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BB02FF" w:rsidRDefault="00794070" w:rsidP="00FF6F5E">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500248-28AF-403C-9E18-583C362D3A22" style="width:450.85pt;height:477.8pt">
            <v:imagedata r:id="rId8" o:title=""/>
          </v:shape>
        </w:pict>
      </w:r>
    </w:p>
    <w:p w:rsidR="0004170D" w:rsidRPr="00BB02FF" w:rsidRDefault="0004170D">
      <w:pPr>
        <w:sectPr w:rsidR="0004170D" w:rsidRPr="00BB02FF" w:rsidSect="00FF6F5E">
          <w:footerReference w:type="default" r:id="rId9"/>
          <w:pgSz w:w="11907" w:h="16839"/>
          <w:pgMar w:top="1134" w:right="1417" w:bottom="1134" w:left="1417" w:header="709" w:footer="709" w:gutter="0"/>
          <w:pgNumType w:start="0"/>
          <w:cols w:space="720"/>
          <w:docGrid w:linePitch="360"/>
        </w:sectPr>
      </w:pPr>
    </w:p>
    <w:p w:rsidR="0004170D" w:rsidRPr="00BB02FF" w:rsidRDefault="00FF6F5E" w:rsidP="00FF6F5E">
      <w:pPr>
        <w:pStyle w:val="Typedudocument"/>
      </w:pPr>
      <w:r w:rsidRPr="00FF6F5E">
        <w:lastRenderedPageBreak/>
        <w:t>RIALACHÁN CUR CHUN FEIDHME (AE) .../... ÓN gCOIMISIÚN</w:t>
      </w:r>
    </w:p>
    <w:p w:rsidR="0004170D" w:rsidRPr="00BB02FF" w:rsidRDefault="00FF6F5E" w:rsidP="00FF6F5E">
      <w:pPr>
        <w:pStyle w:val="Datedadoption"/>
      </w:pPr>
      <w:r w:rsidRPr="00FF6F5E">
        <w:t xml:space="preserve">an </w:t>
      </w:r>
      <w:r w:rsidRPr="00FF6F5E">
        <w:rPr>
          <w:rStyle w:val="Marker2"/>
        </w:rPr>
        <w:t>XXX</w:t>
      </w:r>
    </w:p>
    <w:p w:rsidR="0004170D" w:rsidRPr="00BB02FF" w:rsidRDefault="00FF6F5E" w:rsidP="00FF6F5E">
      <w:pPr>
        <w:pStyle w:val="Titreobjet"/>
      </w:pPr>
      <w:r w:rsidRPr="00FF6F5E">
        <w:t>lena leagtar síos caighdeáin theicniúla cur chun feidhme maidir le nochtaí poiblí na faisnéis ó institiúidí dá dtagraítear i dTeidil II agus III de Chuid a hOcht de Rialachán (AE) Uimh. 575/2013 ó Pharlaimint na hEorpa agus ón gComhairle agus lena n</w:t>
      </w:r>
      <w:r w:rsidRPr="00FF6F5E">
        <w:noBreakHyphen/>
        <w:t xml:space="preserve">aisghairtear Rialachán Cur Chun Feidhme (AE) Uimh. 1423/2013 ón gCoimisiún, Rialachán Tarmligthe (AE) 2015/1555 ón gCoimisiún, Rialachán Cur Chun Feidhme (AE) Uimh. 2016/200 ón gCoimisiún agus Rialachán Tarmligthe (AE) 2017/2295 ón gCoimisiún </w:t>
      </w:r>
      <w:r w:rsidRPr="00FF6F5E">
        <w:br/>
        <w:t xml:space="preserve"> </w:t>
      </w:r>
      <w:r w:rsidRPr="00FF6F5E">
        <w:br/>
      </w:r>
    </w:p>
    <w:p w:rsidR="0004170D" w:rsidRPr="00BB02FF" w:rsidRDefault="00FF6F5E" w:rsidP="00FF6F5E">
      <w:pPr>
        <w:pStyle w:val="IntrtEEE"/>
      </w:pPr>
      <w:r w:rsidRPr="00FF6F5E">
        <w:t>(Téacs atá ábhartha maidir le LEE)</w:t>
      </w:r>
    </w:p>
    <w:p w:rsidR="0004170D" w:rsidRPr="00BB02FF" w:rsidRDefault="0004170D" w:rsidP="009675DD">
      <w:pPr>
        <w:pStyle w:val="Institutionquiagit"/>
      </w:pPr>
      <w:r w:rsidRPr="00BB02FF">
        <w:t>TÁ AN COIMISIÚN EORPACH,</w:t>
      </w:r>
    </w:p>
    <w:p w:rsidR="0004170D" w:rsidRPr="00BB02FF" w:rsidRDefault="0004170D" w:rsidP="009675DD">
      <w:r w:rsidRPr="00BB02FF">
        <w:rPr>
          <w:color w:val="000000"/>
        </w:rPr>
        <w:t>Ag féachaint don Chonradh ar Fheidhmiú an Aontais Eorpaigh</w:t>
      </w:r>
      <w:r w:rsidRPr="00BB02FF">
        <w:t>,</w:t>
      </w:r>
    </w:p>
    <w:p w:rsidR="0004170D" w:rsidRPr="00BB02FF" w:rsidRDefault="007E66A7" w:rsidP="009675DD">
      <w:r w:rsidRPr="00BB02FF">
        <w:t xml:space="preserve">Ag féachaint do Rialachán (AE) </w:t>
      </w:r>
      <w:r w:rsidR="0061010F">
        <w:t>Uimh. </w:t>
      </w:r>
      <w:r w:rsidRPr="00BB02FF">
        <w:t xml:space="preserve">575/2013 ó Pharlaimint na hEorpa agus ón gComhairle an </w:t>
      </w:r>
      <w:r w:rsidRPr="00BB02FF">
        <w:rPr>
          <w:color w:val="000000"/>
        </w:rPr>
        <w:t>2</w:t>
      </w:r>
      <w:r w:rsidR="00975F64" w:rsidRPr="00BB02FF">
        <w:rPr>
          <w:color w:val="000000"/>
        </w:rPr>
        <w:t>6</w:t>
      </w:r>
      <w:r w:rsidR="00975F64">
        <w:rPr>
          <w:color w:val="000000"/>
        </w:rPr>
        <w:t> </w:t>
      </w:r>
      <w:r w:rsidR="00975F64" w:rsidRPr="00BB02FF">
        <w:rPr>
          <w:color w:val="000000"/>
        </w:rPr>
        <w:t>Meitheamh</w:t>
      </w:r>
      <w:r w:rsidR="00975F64">
        <w:rPr>
          <w:color w:val="000000"/>
        </w:rPr>
        <w:t> </w:t>
      </w:r>
      <w:r w:rsidR="00975F64" w:rsidRPr="00BB02FF">
        <w:rPr>
          <w:color w:val="000000"/>
        </w:rPr>
        <w:t>2013</w:t>
      </w:r>
      <w:r w:rsidRPr="00BB02FF">
        <w:t xml:space="preserve"> maidir le ceanglais stuamachta d</w:t>
      </w:r>
      <w:r w:rsidR="00975A58">
        <w:t>’</w:t>
      </w:r>
      <w:r w:rsidRPr="00BB02FF">
        <w:t xml:space="preserve">institiúidí creidmheasa agus do ghnólachtaí infheistíochta agus lena leasaítear Rialachán (AE) </w:t>
      </w:r>
      <w:r w:rsidR="0061010F">
        <w:t>Uimh. </w:t>
      </w:r>
      <w:r w:rsidRPr="00BB02FF">
        <w:t>648/2012</w:t>
      </w:r>
      <w:r w:rsidRPr="00BB02FF">
        <w:rPr>
          <w:rStyle w:val="FootnoteReference"/>
        </w:rPr>
        <w:footnoteReference w:id="2"/>
      </w:r>
      <w:r w:rsidRPr="00BB02FF">
        <w:t xml:space="preserve">, agus go háirithe </w:t>
      </w:r>
      <w:r w:rsidR="00A345B2">
        <w:t>Airteagal </w:t>
      </w:r>
      <w:r w:rsidRPr="00BB02FF">
        <w:t>434a de,</w:t>
      </w:r>
    </w:p>
    <w:p w:rsidR="0004170D" w:rsidRPr="00BB02FF" w:rsidRDefault="0004170D" w:rsidP="009675DD">
      <w:r w:rsidRPr="00BB02FF">
        <w:t>De bharr an mhéid seo a leanas:</w:t>
      </w:r>
    </w:p>
    <w:p w:rsidR="0094247F" w:rsidRPr="00BB02FF" w:rsidRDefault="00975A58" w:rsidP="00AD58EF">
      <w:pPr>
        <w:pStyle w:val="Considrant"/>
        <w:numPr>
          <w:ilvl w:val="0"/>
          <w:numId w:val="13"/>
        </w:numPr>
      </w:pPr>
      <w:r>
        <w:t>I mí na Nollag</w:t>
      </w:r>
      <w:r w:rsidRPr="00794070">
        <w:t> </w:t>
      </w:r>
      <w:r w:rsidR="0094247F" w:rsidRPr="00BB02FF">
        <w:t>2019, d</w:t>
      </w:r>
      <w:r w:rsidRPr="00794070">
        <w:t>’</w:t>
      </w:r>
      <w:r w:rsidR="0094247F" w:rsidRPr="00BB02FF">
        <w:t>fhoilsigh Coiste Basel um Maoirseacht ar Bhaincéireacht (CBMB) Creat Basel comhdhlúite, lena</w:t>
      </w:r>
      <w:r w:rsidR="0061010F">
        <w:t xml:space="preserve"> n</w:t>
      </w:r>
      <w:r w:rsidR="0061010F">
        <w:noBreakHyphen/>
      </w:r>
      <w:r w:rsidR="0094247F" w:rsidRPr="00BB02FF">
        <w:t>áirítear na ceanglais nuashonraithe Ch</w:t>
      </w:r>
      <w:r w:rsidR="00EE598D">
        <w:t>olún </w:t>
      </w:r>
      <w:r w:rsidR="0094247F" w:rsidRPr="00BB02FF">
        <w:t>3 maidir le nochtadh</w:t>
      </w:r>
      <w:r w:rsidR="0094247F" w:rsidRPr="00BB02FF">
        <w:rPr>
          <w:rStyle w:val="FootnoteReference"/>
          <w:szCs w:val="24"/>
        </w:rPr>
        <w:footnoteReference w:id="3"/>
      </w:r>
      <w:r w:rsidR="0094247F" w:rsidRPr="00BB02FF">
        <w:t>, a tugadh isteach den chuid is mó i Rialachán (AE)575/2013 le Rialachán (AE) 2019/876 ó Pharlaimint na hEorpa agus ón gComhairle</w:t>
      </w:r>
      <w:r w:rsidR="0094247F" w:rsidRPr="00BB02FF">
        <w:rPr>
          <w:rStyle w:val="FootnoteReference"/>
          <w:szCs w:val="24"/>
        </w:rPr>
        <w:footnoteReference w:id="4"/>
      </w:r>
      <w:r w:rsidR="0094247F" w:rsidRPr="00BB02FF">
        <w:t xml:space="preserve">. Chun na leasuithe sin a chur chun feidhme, ba cheart creat nochta, atá comhsheasmhach agus iomlán, </w:t>
      </w:r>
      <w:r w:rsidR="00EE598D">
        <w:t>a leagan síos le haghaidh Colún</w:t>
      </w:r>
      <w:r w:rsidR="00EE598D" w:rsidRPr="00794070">
        <w:t> </w:t>
      </w:r>
      <w:r w:rsidR="0094247F" w:rsidRPr="00BB02FF">
        <w:t>3.</w:t>
      </w:r>
    </w:p>
    <w:p w:rsidR="007E66A7" w:rsidRPr="00BB02FF" w:rsidRDefault="00442C93" w:rsidP="00F5043B">
      <w:pPr>
        <w:pStyle w:val="Considrant"/>
        <w:rPr>
          <w:sz w:val="22"/>
        </w:rPr>
      </w:pPr>
      <w:r w:rsidRPr="00BB02FF">
        <w:t xml:space="preserve">Le Rialachán Cur Chun Feidhme (AE) </w:t>
      </w:r>
      <w:r w:rsidR="0061010F">
        <w:t>Uimh. </w:t>
      </w:r>
      <w:r w:rsidRPr="00BB02FF">
        <w:t>1423/2013</w:t>
      </w:r>
      <w:r w:rsidRPr="00BB02FF">
        <w:rPr>
          <w:rStyle w:val="FootnoteReference"/>
        </w:rPr>
        <w:footnoteReference w:id="5"/>
      </w:r>
      <w:r w:rsidRPr="00BB02FF">
        <w:t xml:space="preserve"> ón gCoimisiún, Rialachán Tarmligthe (AE) 2015/1555</w:t>
      </w:r>
      <w:r w:rsidRPr="00BB02FF">
        <w:rPr>
          <w:rStyle w:val="FootnoteReference"/>
        </w:rPr>
        <w:footnoteReference w:id="6"/>
      </w:r>
      <w:r w:rsidRPr="00BB02FF">
        <w:t xml:space="preserve"> ón gCoimisiún, Rialachán Cur Chun Feidhme (AE) </w:t>
      </w:r>
      <w:r w:rsidRPr="00BB02FF">
        <w:lastRenderedPageBreak/>
        <w:t>2016/200</w:t>
      </w:r>
      <w:r w:rsidRPr="00BB02FF">
        <w:rPr>
          <w:rStyle w:val="FootnoteReference"/>
        </w:rPr>
        <w:footnoteReference w:id="7"/>
      </w:r>
      <w:r w:rsidRPr="00BB02FF">
        <w:t xml:space="preserve"> ón gCoimisiún agus le Rialachán Tarmligthe (AE) 2017/2295</w:t>
      </w:r>
      <w:r w:rsidRPr="00BB02FF">
        <w:rPr>
          <w:rStyle w:val="FootnoteReference"/>
        </w:rPr>
        <w:footnoteReference w:id="8"/>
      </w:r>
      <w:r w:rsidRPr="00BB02FF">
        <w:t xml:space="preserve"> ón gCoimisiún, leagtar síos formáidí aonfhoirmeacha, teimpléid agus táblaí le haghaidh cistí dílse, caipiteal maolánach frith-thimthriallach, an cóimheas giarála agus ualú sócmhainní, faoi seach. Dá bhrí sin, ba cheart, formáidí teimpléid agus táblaí aonfhoirmeacha a leathnú amach chun nochtuithe gnéithe stuamachta eile a chumhdach, gnéithe nach bhfuil faoi cheangal a nochta le Rialachán (AE) 2019/876. Rud is sonraithe fós, ba cheart teimpléad ríthábhachtach um nochtadh méadrachta a thabhairt isteach, rud a éascóidh rochtain rannpháirtithe sa mhargadh ar fhaisnéis ríthábhachtach maidir le cistí dílse agus leachtacht.</w:t>
      </w:r>
    </w:p>
    <w:p w:rsidR="007E66A7" w:rsidRPr="00BB02FF" w:rsidRDefault="00F5043B" w:rsidP="007E66A7">
      <w:pPr>
        <w:pStyle w:val="Considrant"/>
      </w:pPr>
      <w:r w:rsidRPr="00BB02FF">
        <w:t>Na teimpléid agus na táblaí a úsáidtear le haghaidh nochta, ba cheart dóibh faisnéis ar leor a cuimsitheacht agus a hinchomparáideacht a chur in iúl d</w:t>
      </w:r>
      <w:r w:rsidR="00975A58">
        <w:t>’</w:t>
      </w:r>
      <w:r w:rsidRPr="00BB02FF">
        <w:t xml:space="preserve">úsáideoirí na faisnéise sin chun measúnú a dhéanamh ar phróifílí priacail institiúidí agus ar a mhéid atá siad ag comhlíonadh Rialachán (AE) </w:t>
      </w:r>
      <w:r w:rsidR="0061010F">
        <w:t>Uimh. </w:t>
      </w:r>
      <w:r w:rsidRPr="00BB02FF">
        <w:t xml:space="preserve">575/2013. Mar sin féin, chun prionsabal na comhréireachta a chur san áireamh, ba cheart do na teimpléid agus do na táblaí na difríochtaí i méid agus i gcastacht idir institiúidí a chur san áireamh, difríochtaí is cúis le leibhéil éagsúla agus cineálacha éagsúla priacal, trí thairseacha breise a áireamh le haghaidh nochtuithe leathnaithe. </w:t>
      </w:r>
    </w:p>
    <w:p w:rsidR="007E66A7" w:rsidRPr="00BB02FF" w:rsidRDefault="00C91C95" w:rsidP="007E66A7">
      <w:pPr>
        <w:pStyle w:val="Considrant"/>
      </w:pPr>
      <w:r w:rsidRPr="00BB02FF">
        <w:t xml:space="preserve">Le Rialachán (AE) 2019/876 tugadh isteach i Rialachán (AE) </w:t>
      </w:r>
      <w:r w:rsidR="0061010F">
        <w:t>Uimh. </w:t>
      </w:r>
      <w:r w:rsidRPr="00BB02FF">
        <w:t>575/2013 cóimheas giarála calabraithe nua agus maolán cóimheasa giarála G-SIIanna. Chun an leasú sin agus na coigeartuithe is gá sa ríomh risíochta a chur chun feidhme, is gá teimpléid agus táblaí a leagan síos.</w:t>
      </w:r>
    </w:p>
    <w:p w:rsidR="007E66A7" w:rsidRPr="00BB02FF" w:rsidRDefault="00C91C95" w:rsidP="007E66A7">
      <w:pPr>
        <w:pStyle w:val="Considrant"/>
      </w:pPr>
      <w:r w:rsidRPr="00BB02FF">
        <w:t xml:space="preserve">Le Rialachán (AE) 2019/876 tugadh isteach i Rialachán (AE) </w:t>
      </w:r>
      <w:r w:rsidR="0061010F">
        <w:t>Uimh. </w:t>
      </w:r>
      <w:r w:rsidRPr="00BB02FF">
        <w:t>575/2013 ceanglais nua maidir le nochtadh le haghaidh an chóimheasa glanchistiúcháin. Chun an leasú sin a chur chun feidhme, is gá teimpléad a leagan síos do na ceanglais nua sin maidir le nochtadh.</w:t>
      </w:r>
    </w:p>
    <w:p w:rsidR="007E66A7" w:rsidRPr="00BB02FF" w:rsidRDefault="00387DA9" w:rsidP="007E66A7">
      <w:pPr>
        <w:pStyle w:val="Considrant"/>
        <w:rPr>
          <w:sz w:val="22"/>
        </w:rPr>
      </w:pPr>
      <w:r w:rsidRPr="00BB02FF">
        <w:t xml:space="preserve">Le Rialachán (AE) 2019/876 cuireadh an Cur Chuige Caighdeánaithe le haghaidh priacal creidmheasa contrapháirtí (SA-CCR), atá níos íogaire ó thaobh priacail de, agus SA-CCR Simplithe le haghaidh institiúidí a chomhlíonann critéir cháilitheachta réamhshainithe, in ionad na gcur chuige caighdeánaithe maidir le priacal creidmheasa an chontrapháirtí i Rialachán (AE) </w:t>
      </w:r>
      <w:r w:rsidR="0061010F">
        <w:t>Uimh. </w:t>
      </w:r>
      <w:r w:rsidRPr="00BB02FF">
        <w:t>575/2013. Ina theannta sin, rinne Rialachán (AE) 2019/876 Modh na Risíochta Tosaigh a athbhreithniú. Chun na leasuithe sin a chur chun feidhme, is gá sraith chuimsitheach táblaí agus teimpléid maidir le nochtadh.</w:t>
      </w:r>
    </w:p>
    <w:p w:rsidR="007E66A7" w:rsidRPr="00BB02FF" w:rsidRDefault="00B90336" w:rsidP="007E66A7">
      <w:pPr>
        <w:pStyle w:val="Considrant"/>
        <w:rPr>
          <w:sz w:val="22"/>
        </w:rPr>
      </w:pPr>
      <w:r w:rsidRPr="00BB02FF">
        <w:t>Le rialachán (AE) 2019/876 tugadh isteach i Rialachán (AE) 575/2013 ceanglais nua maidir le nochtadh le haghaidh risíochtaí tuillmheacha, neamhthuillmheacha agus staonta, lena</w:t>
      </w:r>
      <w:r w:rsidR="0061010F">
        <w:t xml:space="preserve"> n</w:t>
      </w:r>
      <w:r w:rsidR="0061010F">
        <w:noBreakHyphen/>
      </w:r>
      <w:r w:rsidRPr="00BB02FF">
        <w:t>áirítear faisnéis faoi chomhthaobhachtaí agus ráthaíochtaí airgeadais a fuarthas a nochtadh. Chun an leasú sin agus na ceanglais nua sin maidir le nochtadh a chur chun feidhme, is gá sraith chuimsitheach teimpléad agus táblaí a thabhairt isteach. Ar chúiseanna simplíochta agus comhsheasmhachta, ba cheart na teimpléid agus na táblaí sin a bhunú ar theimpléid agus ar tháblaí a d</w:t>
      </w:r>
      <w:r w:rsidR="00975A58">
        <w:t>’</w:t>
      </w:r>
      <w:r w:rsidRPr="00BB02FF">
        <w:t xml:space="preserve">fhorbair ÚBE cheana ina </w:t>
      </w:r>
      <w:r w:rsidRPr="00BB02FF">
        <w:lastRenderedPageBreak/>
        <w:t>threoirlínte maidir le nochtadh risíochtaí tuillmheacha, neamhthuillmheacha agus staonta</w:t>
      </w:r>
      <w:r w:rsidRPr="00BB02FF">
        <w:rPr>
          <w:rStyle w:val="FootnoteReference"/>
        </w:rPr>
        <w:footnoteReference w:id="9"/>
      </w:r>
      <w:r w:rsidRPr="00BB02FF">
        <w:t>.</w:t>
      </w:r>
    </w:p>
    <w:p w:rsidR="007E66A7" w:rsidRPr="00BB02FF" w:rsidRDefault="003E3102" w:rsidP="00B90336">
      <w:pPr>
        <w:pStyle w:val="Considrant"/>
      </w:pPr>
      <w:r w:rsidRPr="00BB02FF">
        <w:t>Le Rialachán (AE) 2017/2401 ó Pharlaimint na hEorpa agus ón gComhairle</w:t>
      </w:r>
      <w:r w:rsidRPr="00BB02FF">
        <w:rPr>
          <w:rStyle w:val="FootnoteReference"/>
        </w:rPr>
        <w:footnoteReference w:id="10"/>
      </w:r>
      <w:r w:rsidRPr="00BB02FF">
        <w:t xml:space="preserve"> leasaíodh Rialachán (AE) </w:t>
      </w:r>
      <w:r w:rsidR="0061010F">
        <w:t>Uimh. </w:t>
      </w:r>
      <w:r w:rsidRPr="00BB02FF">
        <w:t>575/2013 chun na gnéithe sonracha urrúsuithe STC mar a leagtar síos i Rialachán (AE) 2017/2402 ó Pharlaimint na hEorpa agus ón gComhairle a léiriú sna ceanglais chaipitil a leagtar síos sa Rialachán sin</w:t>
      </w:r>
      <w:r w:rsidRPr="00BB02FF">
        <w:rPr>
          <w:rStyle w:val="FootnoteReference"/>
        </w:rPr>
        <w:footnoteReference w:id="11"/>
      </w:r>
      <w:r w:rsidRPr="00BB02FF">
        <w:rPr>
          <w:shd w:val="clear" w:color="auto" w:fill="FFFFFF"/>
        </w:rPr>
        <w:t xml:space="preserve">. Is gá </w:t>
      </w:r>
      <w:r w:rsidRPr="00BB02FF">
        <w:t>teimpléid agus táblaí nua maidir le nochtadh a thabhairt isteach ina bhfuil faisnéis chainníochtúil agus cháilíochtúil maidir le hurrúsú chun an leasú sin a léiriú.</w:t>
      </w:r>
    </w:p>
    <w:p w:rsidR="007E66A7" w:rsidRPr="00BB02FF" w:rsidRDefault="00387DA9" w:rsidP="007E66A7">
      <w:pPr>
        <w:pStyle w:val="Considrant"/>
        <w:rPr>
          <w:sz w:val="22"/>
        </w:rPr>
      </w:pPr>
      <w:r w:rsidRPr="00BB02FF">
        <w:t xml:space="preserve">Rinne Rialachán (AE) 2019/876 ceanglais áirithe maidir le nochtadh a leasú maidir le luach saothair a leagtar síos i Rialachán (AE) </w:t>
      </w:r>
      <w:r w:rsidR="0061010F">
        <w:t>Uimh. </w:t>
      </w:r>
      <w:r w:rsidRPr="00BB02FF">
        <w:t xml:space="preserve">575/2013 chun a áirithiú i dtaca leis na </w:t>
      </w:r>
      <w:r w:rsidRPr="00BB02FF">
        <w:rPr>
          <w:shd w:val="clear" w:color="auto" w:fill="FFFFFF"/>
        </w:rPr>
        <w:t>beartais luacha saothair agus na cleachtais luacha saothair do chatagóirí de bhaill foirne a mbíonn tionchar ábhartha ag a ngníomhaíochtaí gairmiúla ar phróifíl priacail na hinstitiúide, go bhfuil siad comhsheasmhach le bainistíocht éifeachtach priacail.</w:t>
      </w:r>
      <w:r w:rsidRPr="00BB02FF">
        <w:t xml:space="preserve"> Ba cheart sraith teimpléad agus táblaí maidir le nochtadh a leagan síos, teimpléid agus táblaí lena gcuirtear na ceanglais sin maidir le nochtadh chun feidhme.</w:t>
      </w:r>
    </w:p>
    <w:p w:rsidR="004427A5" w:rsidRPr="00BB02FF" w:rsidRDefault="004A1CDB" w:rsidP="007E66A7">
      <w:pPr>
        <w:pStyle w:val="Considrant"/>
        <w:rPr>
          <w:sz w:val="22"/>
        </w:rPr>
      </w:pPr>
      <w:r w:rsidRPr="00BB02FF">
        <w:t>Chun an tsraith chomhtháite chuimsitheach d</w:t>
      </w:r>
      <w:r w:rsidR="00975A58">
        <w:t>’</w:t>
      </w:r>
      <w:r w:rsidRPr="00BB02FF">
        <w:t>fhormáidí, teimpléid agus táblaí aonfhoirmeacha maidir le nochtadh a sholáthar agus chun nochtuithe d</w:t>
      </w:r>
      <w:r w:rsidR="00975A58">
        <w:t>’</w:t>
      </w:r>
      <w:r w:rsidRPr="00BB02FF">
        <w:t xml:space="preserve">ardcháilíocht a áirithiú, is gá tacar aonair de chaighdeáin theicniúla a thabhairt isteach maidir le nochtuithe. Dá bhrí sin, is gá Rialachán Cur Chun Feidhme (AE) </w:t>
      </w:r>
      <w:r w:rsidR="0061010F">
        <w:t>Uimh. </w:t>
      </w:r>
      <w:r w:rsidRPr="00BB02FF">
        <w:t>1423/2013, Rialachán Tarmligthe (AE) 2015/1555, Rialachán Cur Chun Feidhme (AE) 2016/200 agus Rialachán Tarmligthe (AE) 2017/2295 a aisghairm.</w:t>
      </w:r>
    </w:p>
    <w:p w:rsidR="004427A5" w:rsidRPr="00BB02FF" w:rsidRDefault="0094247F" w:rsidP="007E66A7">
      <w:pPr>
        <w:pStyle w:val="Considrant"/>
        <w:rPr>
          <w:sz w:val="22"/>
        </w:rPr>
      </w:pPr>
      <w:r w:rsidRPr="00BB02FF">
        <w:t>Chun nochtadh tráthúla agus ar ardcháilíocht a áirithiú ó institiúidí, ba cheart dóthain ama a thabhairt dóibh chun a gcórais inmheánacha le haghaidh nochtuithe a oiriúnú.</w:t>
      </w:r>
    </w:p>
    <w:p w:rsidR="007E66A7" w:rsidRPr="00BB02FF" w:rsidRDefault="007E66A7" w:rsidP="007E66A7">
      <w:pPr>
        <w:pStyle w:val="Considrant"/>
      </w:pPr>
      <w:r w:rsidRPr="00BB02FF">
        <w:t>Tá an rialachán seo bunaithe ar na dréachtchaighdeáin theicniúla cur chun feidhme a chuirfidh an tÚdarás Baincéireachta Eorpach (ÚBE) faoi bhráid an Choimisiúin.</w:t>
      </w:r>
    </w:p>
    <w:p w:rsidR="0004170D" w:rsidRPr="00BB02FF" w:rsidRDefault="00587191" w:rsidP="00453D69">
      <w:pPr>
        <w:pStyle w:val="Considrant"/>
      </w:pPr>
      <w:r w:rsidRPr="00BB02FF">
        <w:t>Tá comhairliúcháin phoiblí oscailte déanta ag ÚBE maidir leis na dréachtchaighdeáin theicniúla cur chun feidhme ar a bhfuil an Rialachán seo bunaithe, tá anailís déanta aige ar na costais agus ar na tairbhí a d</w:t>
      </w:r>
      <w:r w:rsidR="00975A58">
        <w:t>’</w:t>
      </w:r>
      <w:r w:rsidRPr="00BB02FF">
        <w:t>fhéadfadh a bheith ag baint leo ann agus d</w:t>
      </w:r>
      <w:r w:rsidR="00975A58">
        <w:t>’</w:t>
      </w:r>
      <w:r w:rsidRPr="00BB02FF">
        <w:t>iarr sé comhairle ón nGrúpa Geallsealbhóirí Baincéireachta arna bhunú i gcomhréir le h</w:t>
      </w:r>
      <w:r w:rsidR="00A345B2">
        <w:t>Airteagal </w:t>
      </w:r>
      <w:r w:rsidRPr="00BB02FF">
        <w:t xml:space="preserve">37 de Rialachán (AE) </w:t>
      </w:r>
      <w:r w:rsidR="0061010F">
        <w:t>Uimh. </w:t>
      </w:r>
      <w:r w:rsidRPr="00BB02FF">
        <w:t>1093/2010 ó Pharlaimint na hEorpa agus ón gComhairle</w:t>
      </w:r>
      <w:r w:rsidRPr="00BB02FF">
        <w:rPr>
          <w:rStyle w:val="FootnoteReference"/>
        </w:rPr>
        <w:footnoteReference w:id="12"/>
      </w:r>
      <w:r w:rsidRPr="00BB02FF">
        <w:t xml:space="preserve">, </w:t>
      </w:r>
    </w:p>
    <w:p w:rsidR="0004170D" w:rsidRPr="00BB02FF" w:rsidRDefault="0004170D" w:rsidP="009675DD">
      <w:pPr>
        <w:pStyle w:val="Formuledadoption"/>
      </w:pPr>
      <w:r w:rsidRPr="00BB02FF">
        <w:lastRenderedPageBreak/>
        <w:t>TAR ÉIS AN RIALACHÁN SEO A GHLACADH:</w:t>
      </w:r>
    </w:p>
    <w:p w:rsidR="00FF364B" w:rsidRPr="00BB02FF" w:rsidRDefault="00FF364B" w:rsidP="00FF364B">
      <w:pPr>
        <w:pStyle w:val="Titrearticle"/>
      </w:pPr>
      <w:r w:rsidRPr="00BB02FF">
        <w:t>Airteagal 1</w:t>
      </w:r>
    </w:p>
    <w:p w:rsidR="007E66A7" w:rsidRPr="00BB02FF" w:rsidRDefault="007E66A7" w:rsidP="007E66A7">
      <w:pPr>
        <w:pStyle w:val="Titrearticle"/>
        <w:spacing w:before="120"/>
        <w:rPr>
          <w:b/>
          <w:i w:val="0"/>
        </w:rPr>
      </w:pPr>
      <w:r w:rsidRPr="00BB02FF">
        <w:rPr>
          <w:b/>
          <w:i w:val="0"/>
        </w:rPr>
        <w:t>Méadracha ríthábhachtacha agus forléargas ar mhéideanna risíochta ualaithe a nochtadh</w:t>
      </w:r>
    </w:p>
    <w:p w:rsidR="007E66A7" w:rsidRPr="00BB02FF" w:rsidRDefault="007E66A7" w:rsidP="00F5043B">
      <w:pPr>
        <w:pStyle w:val="NumPar1"/>
        <w:numPr>
          <w:ilvl w:val="0"/>
          <w:numId w:val="14"/>
        </w:numPr>
        <w:tabs>
          <w:tab w:val="clear" w:pos="850"/>
          <w:tab w:val="left" w:pos="567"/>
        </w:tabs>
        <w:ind w:left="0" w:firstLine="0"/>
      </w:pPr>
      <w:r w:rsidRPr="00BB02FF">
        <w:t xml:space="preserve">Déanfaidh institiúidí an fhaisnéis dá dtagraítear in </w:t>
      </w:r>
      <w:r w:rsidR="00A345B2">
        <w:t>Airteagal </w:t>
      </w:r>
      <w:r w:rsidRPr="00BB02FF">
        <w:t>447, p</w:t>
      </w:r>
      <w:r w:rsidR="002922C2">
        <w:t>ointí </w:t>
      </w:r>
      <w:r w:rsidRPr="00BB02FF">
        <w:t xml:space="preserve">(a) go (g), agus in </w:t>
      </w:r>
      <w:r w:rsidR="00A345B2">
        <w:t>Airteagal </w:t>
      </w:r>
      <w:r w:rsidRPr="00BB02FF">
        <w:t>438, p</w:t>
      </w:r>
      <w:r w:rsidR="002922C2">
        <w:t>ointe </w:t>
      </w:r>
      <w:r w:rsidRPr="00BB02FF">
        <w:t xml:space="preserve">(b), de Rialachán (AE) </w:t>
      </w:r>
      <w:r w:rsidR="0061010F">
        <w:t>Uimh. </w:t>
      </w:r>
      <w:r w:rsidRPr="00BB02FF">
        <w:t xml:space="preserve">575/2013 a nochtadh trí úsáid a bhaint as teimpléad </w:t>
      </w:r>
      <w:r w:rsidR="00EE598D">
        <w:t>EU </w:t>
      </w:r>
      <w:r w:rsidRPr="00BB02FF">
        <w:t>KM1 d</w:t>
      </w:r>
      <w:r w:rsidR="00975A58">
        <w:t>’</w:t>
      </w:r>
      <w:r w:rsidRPr="00BB02FF">
        <w:t>Iarscr</w:t>
      </w:r>
      <w:r w:rsidR="002922C2">
        <w:t>íbhinn </w:t>
      </w:r>
      <w:r w:rsidRPr="00BB02FF">
        <w:t>I a ghabhann leis an Rialachán seo agus trí na treoracha atá leagtha amach in Iarscr</w:t>
      </w:r>
      <w:r w:rsidR="002922C2">
        <w:t>íbhinn </w:t>
      </w:r>
      <w:r w:rsidRPr="00BB02FF">
        <w:t>II a ghabhann leis an Rialachán seo a leanúint.</w:t>
      </w:r>
    </w:p>
    <w:p w:rsidR="007E66A7" w:rsidRPr="00BB02FF" w:rsidRDefault="007E66A7" w:rsidP="00F5043B">
      <w:pPr>
        <w:pStyle w:val="NumPar1"/>
        <w:tabs>
          <w:tab w:val="clear" w:pos="850"/>
          <w:tab w:val="left" w:pos="567"/>
        </w:tabs>
        <w:ind w:left="0" w:firstLine="0"/>
      </w:pPr>
      <w:r w:rsidRPr="00BB02FF">
        <w:t xml:space="preserve">Déanfaidh institiúidí an fhaisnéis dá dtagraítear in </w:t>
      </w:r>
      <w:r w:rsidR="00A345B2">
        <w:t>Airteagal </w:t>
      </w:r>
      <w:r w:rsidRPr="00BB02FF">
        <w:t>438, p</w:t>
      </w:r>
      <w:r w:rsidR="002922C2">
        <w:t>ointe </w:t>
      </w:r>
      <w:r w:rsidRPr="00BB02FF">
        <w:t xml:space="preserve">(d), de Rialachán (AE) </w:t>
      </w:r>
      <w:r w:rsidR="0061010F">
        <w:t>Uimh. </w:t>
      </w:r>
      <w:r w:rsidRPr="00BB02FF">
        <w:t xml:space="preserve">575/2013 a nochtadh trí úsáid a bhaint as teimpléad </w:t>
      </w:r>
      <w:r w:rsidR="00EE598D">
        <w:t>EU </w:t>
      </w:r>
      <w:r w:rsidRPr="00BB02FF">
        <w:t>OV1 d</w:t>
      </w:r>
      <w:r w:rsidR="00975A58">
        <w:t>’</w:t>
      </w:r>
      <w:r w:rsidRPr="00BB02FF">
        <w:t>Iarscr</w:t>
      </w:r>
      <w:r w:rsidR="002922C2">
        <w:t>íbhinn </w:t>
      </w:r>
      <w:r w:rsidRPr="00BB02FF">
        <w:t>I a ghabhann leis an Rialachán seo agus trí na treoracha atá leagtha amach in Iarscr</w:t>
      </w:r>
      <w:r w:rsidR="002922C2">
        <w:t>íbhinn </w:t>
      </w:r>
      <w:r w:rsidRPr="00BB02FF">
        <w:t>II a ghabhann leis an Rialachán seo a leanúint.</w:t>
      </w:r>
    </w:p>
    <w:p w:rsidR="007E66A7" w:rsidRPr="00BB02FF" w:rsidRDefault="007E66A7" w:rsidP="00F5043B">
      <w:pPr>
        <w:pStyle w:val="NumPar1"/>
        <w:tabs>
          <w:tab w:val="clear" w:pos="850"/>
          <w:tab w:val="left" w:pos="567"/>
        </w:tabs>
        <w:ind w:left="0" w:firstLine="0"/>
      </w:pPr>
      <w:r w:rsidRPr="00BB02FF">
        <w:t xml:space="preserve">Déanfaidh institiúidí an fhaisnéis dá dtagraítear in </w:t>
      </w:r>
      <w:r w:rsidR="00A345B2">
        <w:t>Airteagal </w:t>
      </w:r>
      <w:r w:rsidRPr="00BB02FF">
        <w:t>438, p</w:t>
      </w:r>
      <w:r w:rsidR="002922C2">
        <w:t>ointí </w:t>
      </w:r>
      <w:r w:rsidRPr="00BB02FF">
        <w:t xml:space="preserve">(a) agus (c), de Rialachán (AE) </w:t>
      </w:r>
      <w:r w:rsidR="0061010F">
        <w:t>Uimh. </w:t>
      </w:r>
      <w:r w:rsidRPr="00BB02FF">
        <w:t xml:space="preserve">575/2013 a nochtadh trí úsáid a bhaint as teimpléad </w:t>
      </w:r>
      <w:r w:rsidR="00EE598D">
        <w:t>EU </w:t>
      </w:r>
      <w:r w:rsidRPr="00BB02FF">
        <w:t>OVC d</w:t>
      </w:r>
      <w:r w:rsidR="00975A58">
        <w:t>’</w:t>
      </w:r>
      <w:r w:rsidRPr="00BB02FF">
        <w:t>Iarscr</w:t>
      </w:r>
      <w:r w:rsidR="002922C2">
        <w:t>íbhinn </w:t>
      </w:r>
      <w:r w:rsidRPr="00BB02FF">
        <w:t>I a ghabhann leis an Rialachán seo agus trí na treoracha atá leagtha amach in Iarscr</w:t>
      </w:r>
      <w:r w:rsidR="002922C2">
        <w:t>íbhinn </w:t>
      </w:r>
      <w:r w:rsidRPr="00BB02FF">
        <w:t>II a ghabhann leis an Rialachán seo a leanúint.</w:t>
      </w:r>
    </w:p>
    <w:p w:rsidR="007E66A7" w:rsidRPr="00BB02FF" w:rsidRDefault="007E66A7" w:rsidP="00F5043B">
      <w:pPr>
        <w:pStyle w:val="NumPar1"/>
        <w:tabs>
          <w:tab w:val="clear" w:pos="850"/>
          <w:tab w:val="left" w:pos="567"/>
        </w:tabs>
        <w:ind w:left="0" w:firstLine="0"/>
      </w:pPr>
      <w:r w:rsidRPr="00BB02FF">
        <w:t xml:space="preserve">Déanfaidh institiúidí an fhaisnéis dá dtagraítear in </w:t>
      </w:r>
      <w:r w:rsidR="00A345B2">
        <w:t>Airteagal </w:t>
      </w:r>
      <w:r w:rsidRPr="00BB02FF">
        <w:t>438, p</w:t>
      </w:r>
      <w:r w:rsidR="002922C2">
        <w:t>ointí </w:t>
      </w:r>
      <w:r w:rsidRPr="00BB02FF">
        <w:t xml:space="preserve">(f) agus (g), de Rialachán (AE) </w:t>
      </w:r>
      <w:r w:rsidR="0061010F">
        <w:t>Uimh. </w:t>
      </w:r>
      <w:r w:rsidRPr="00BB02FF">
        <w:t xml:space="preserve">575/2013 a nochtadh trí úsáid a bhaint as teimpléid </w:t>
      </w:r>
      <w:r w:rsidR="00EE598D">
        <w:t>EU </w:t>
      </w:r>
      <w:r w:rsidRPr="00BB02FF">
        <w:t xml:space="preserve">INS1 agus </w:t>
      </w:r>
      <w:r w:rsidR="00EE598D">
        <w:t>EU </w:t>
      </w:r>
      <w:r w:rsidRPr="00BB02FF">
        <w:t>INS2 a leagtar amach in Iarscr</w:t>
      </w:r>
      <w:r w:rsidR="002922C2">
        <w:t>íbhinn </w:t>
      </w:r>
      <w:r w:rsidRPr="00BB02FF">
        <w:t>I a ghabhann leis an Rialachán seo agus trí na treoracha atá leagtha amach in Iarscr</w:t>
      </w:r>
      <w:r w:rsidR="002922C2">
        <w:t>íbhinn </w:t>
      </w:r>
      <w:r w:rsidRPr="00BB02FF">
        <w:t>II a ghabhann leis an Rialachán seo a leanúint.</w:t>
      </w:r>
    </w:p>
    <w:p w:rsidR="00725875" w:rsidRPr="00BB02FF" w:rsidRDefault="00725875" w:rsidP="00725875">
      <w:pPr>
        <w:pStyle w:val="Titrearticle"/>
      </w:pPr>
      <w:r w:rsidRPr="00BB02FF">
        <w:t>Airteagal 2</w:t>
      </w:r>
    </w:p>
    <w:p w:rsidR="007E66A7" w:rsidRPr="00BB02FF" w:rsidRDefault="007E66A7" w:rsidP="007E66A7">
      <w:pPr>
        <w:pStyle w:val="Titrearticle"/>
        <w:spacing w:before="120"/>
        <w:rPr>
          <w:b/>
          <w:i w:val="0"/>
        </w:rPr>
      </w:pPr>
      <w:r w:rsidRPr="00BB02FF">
        <w:rPr>
          <w:b/>
          <w:i w:val="0"/>
        </w:rPr>
        <w:t>Cuspóirí agus beartais bainistíochta priacail a nochtadh</w:t>
      </w:r>
    </w:p>
    <w:p w:rsidR="007E66A7" w:rsidRPr="00BB02FF" w:rsidRDefault="007E66A7" w:rsidP="007E66A7">
      <w:pPr>
        <w:rPr>
          <w:i/>
        </w:rPr>
      </w:pPr>
      <w:r w:rsidRPr="00BB02FF">
        <w:t xml:space="preserve">Déanfaidh institiúidí an fhaisnéis dá dtagraítear in </w:t>
      </w:r>
      <w:r w:rsidR="00A345B2">
        <w:t>Airteagal </w:t>
      </w:r>
      <w:r w:rsidRPr="00BB02FF">
        <w:t xml:space="preserve">435 de Rialachán (AE) </w:t>
      </w:r>
      <w:r w:rsidR="0061010F">
        <w:t>Uimh. </w:t>
      </w:r>
      <w:r w:rsidRPr="00BB02FF">
        <w:t xml:space="preserve">575/2013 a nochtadh trí úsáid a bhaint as táblaí </w:t>
      </w:r>
      <w:r w:rsidR="00EE598D">
        <w:t>EU </w:t>
      </w:r>
      <w:r w:rsidRPr="00BB02FF">
        <w:t xml:space="preserve">OVA agus </w:t>
      </w:r>
      <w:r w:rsidR="00EE598D">
        <w:t>EU </w:t>
      </w:r>
      <w:r w:rsidRPr="00BB02FF">
        <w:t>OVB a leagtar amach in Iarscr</w:t>
      </w:r>
      <w:r w:rsidR="002922C2">
        <w:t>íbhinn </w:t>
      </w:r>
      <w:r w:rsidRPr="00BB02FF">
        <w:t>III a ghabhann leis an Rialachán seo agus trí na treoracha atá leagtha amach in Iarscr</w:t>
      </w:r>
      <w:r w:rsidR="002922C2">
        <w:t>íbhinn </w:t>
      </w:r>
      <w:r w:rsidRPr="00BB02FF">
        <w:t>IV a ghabhann leis an Rialachán seo a leanúint.</w:t>
      </w:r>
    </w:p>
    <w:p w:rsidR="00725875" w:rsidRPr="00BB02FF" w:rsidRDefault="00725875" w:rsidP="00725875">
      <w:pPr>
        <w:pStyle w:val="Titrearticle"/>
      </w:pPr>
      <w:r w:rsidRPr="00BB02FF">
        <w:t>Airteagal 3</w:t>
      </w:r>
    </w:p>
    <w:p w:rsidR="009F40BE" w:rsidRPr="00BB02FF" w:rsidRDefault="009F40BE" w:rsidP="00F5043B">
      <w:pPr>
        <w:pStyle w:val="Titrearticle"/>
        <w:tabs>
          <w:tab w:val="left" w:pos="567"/>
        </w:tabs>
        <w:spacing w:before="120"/>
        <w:rPr>
          <w:b/>
          <w:i w:val="0"/>
        </w:rPr>
      </w:pPr>
      <w:r w:rsidRPr="00BB02FF">
        <w:rPr>
          <w:b/>
          <w:i w:val="0"/>
        </w:rPr>
        <w:t xml:space="preserve">Raon feidhme chur i bhfeidhm a nochtadh </w:t>
      </w:r>
    </w:p>
    <w:p w:rsidR="009F40BE" w:rsidRPr="00BB02FF" w:rsidRDefault="009F40BE" w:rsidP="00F5043B">
      <w:pPr>
        <w:pStyle w:val="NumPar1"/>
        <w:numPr>
          <w:ilvl w:val="0"/>
          <w:numId w:val="10"/>
        </w:numPr>
        <w:tabs>
          <w:tab w:val="clear" w:pos="850"/>
          <w:tab w:val="left" w:pos="567"/>
        </w:tabs>
        <w:ind w:left="0" w:firstLine="0"/>
      </w:pPr>
      <w:r w:rsidRPr="00BB02FF">
        <w:t xml:space="preserve">Déanfaidh institiúidí an fhaisnéis dá dtagraítear in </w:t>
      </w:r>
      <w:r w:rsidR="00A345B2">
        <w:t>Airteagal </w:t>
      </w:r>
      <w:r w:rsidRPr="00BB02FF">
        <w:t>436, p</w:t>
      </w:r>
      <w:r w:rsidR="002922C2">
        <w:t>ointí </w:t>
      </w:r>
      <w:r w:rsidRPr="00BB02FF">
        <w:t xml:space="preserve">(b) agus (c), de Rialachán (AE) </w:t>
      </w:r>
      <w:r w:rsidR="0061010F">
        <w:t>Uimh. </w:t>
      </w:r>
      <w:r w:rsidRPr="00BB02FF">
        <w:t xml:space="preserve">575/2013 a nochtadh trí úsáid a bhaint as teimpléid </w:t>
      </w:r>
      <w:r w:rsidR="00EE598D">
        <w:t>EU </w:t>
      </w:r>
      <w:r w:rsidRPr="00BB02FF">
        <w:t xml:space="preserve">LI1 agus </w:t>
      </w:r>
      <w:r w:rsidR="00EE598D">
        <w:t>EU </w:t>
      </w:r>
      <w:r w:rsidRPr="00BB02FF">
        <w:t>LI3 d</w:t>
      </w:r>
      <w:r w:rsidR="00975A58">
        <w:t>’</w:t>
      </w:r>
      <w:r w:rsidRPr="00BB02FF">
        <w:t>Iarscr</w:t>
      </w:r>
      <w:r w:rsidR="002922C2">
        <w:t>íbhinn </w:t>
      </w:r>
      <w:r w:rsidRPr="00BB02FF">
        <w:t>V a ghabhann leis an Rialachán seo agus trí na treoracha atá leagtha amach in Iarscr</w:t>
      </w:r>
      <w:r w:rsidR="002922C2">
        <w:t>íbhinn </w:t>
      </w:r>
      <w:r w:rsidRPr="00BB02FF">
        <w:t>VI a ghabhann leis an Rialachán seo a leanúint.</w:t>
      </w:r>
    </w:p>
    <w:p w:rsidR="009F40BE" w:rsidRPr="00BB02FF" w:rsidRDefault="009F40BE" w:rsidP="00F5043B">
      <w:pPr>
        <w:pStyle w:val="NumPar1"/>
        <w:tabs>
          <w:tab w:val="clear" w:pos="850"/>
          <w:tab w:val="left" w:pos="567"/>
        </w:tabs>
        <w:ind w:left="0" w:firstLine="0"/>
      </w:pPr>
      <w:r w:rsidRPr="00BB02FF">
        <w:t xml:space="preserve">Déanfaidh institiúidí an fhaisnéis dá dtagraítear in </w:t>
      </w:r>
      <w:r w:rsidR="00A345B2">
        <w:t>Airteagal </w:t>
      </w:r>
      <w:r w:rsidRPr="00BB02FF">
        <w:t>436, p</w:t>
      </w:r>
      <w:r w:rsidR="002922C2">
        <w:t>ointí </w:t>
      </w:r>
      <w:r w:rsidRPr="00BB02FF">
        <w:t xml:space="preserve">(b) agus (d), de Rialachán (AE) </w:t>
      </w:r>
      <w:r w:rsidR="0061010F">
        <w:t>Uimh. </w:t>
      </w:r>
      <w:r w:rsidRPr="00BB02FF">
        <w:t xml:space="preserve">575/2013 a nochtadh trí úsáid a bhaint as teimpléad </w:t>
      </w:r>
      <w:r w:rsidR="00EE598D">
        <w:t>EU </w:t>
      </w:r>
      <w:r w:rsidRPr="00BB02FF">
        <w:t>LI2 agus t</w:t>
      </w:r>
      <w:r w:rsidR="00EE598D">
        <w:t>ábla EU </w:t>
      </w:r>
      <w:r w:rsidRPr="00BB02FF">
        <w:t>LIA d’Iarscr</w:t>
      </w:r>
      <w:r w:rsidR="002922C2">
        <w:t>íbhinn </w:t>
      </w:r>
      <w:r w:rsidRPr="00BB02FF">
        <w:t>V a ghabhann leis an Rialachán seo agus trí na treoracha atá leagtha amach in Iarscr</w:t>
      </w:r>
      <w:r w:rsidR="002922C2">
        <w:t>íbhinn </w:t>
      </w:r>
      <w:r w:rsidRPr="00BB02FF">
        <w:t>VI a ghabhann leis an Rialachán seo a leanúint.</w:t>
      </w:r>
    </w:p>
    <w:p w:rsidR="009F40BE" w:rsidRPr="00BB02FF" w:rsidRDefault="009F40BE" w:rsidP="00F5043B">
      <w:pPr>
        <w:pStyle w:val="NumPar1"/>
        <w:tabs>
          <w:tab w:val="clear" w:pos="850"/>
          <w:tab w:val="left" w:pos="567"/>
        </w:tabs>
        <w:ind w:left="0" w:firstLine="0"/>
      </w:pPr>
      <w:r w:rsidRPr="00BB02FF">
        <w:t xml:space="preserve">Déanfaidh institiúidí an fhaisnéis dá dtagraítear in </w:t>
      </w:r>
      <w:r w:rsidR="00A345B2">
        <w:t>Airteagal </w:t>
      </w:r>
      <w:r w:rsidRPr="00BB02FF">
        <w:t>436, p</w:t>
      </w:r>
      <w:r w:rsidR="002922C2">
        <w:t>ointe </w:t>
      </w:r>
      <w:r w:rsidRPr="00BB02FF">
        <w:t xml:space="preserve">(e), de Rialachán (AE) </w:t>
      </w:r>
      <w:r w:rsidR="0061010F">
        <w:t>Uimh. </w:t>
      </w:r>
      <w:r w:rsidRPr="00BB02FF">
        <w:t xml:space="preserve">575/2013 a nochtadh trí úsáid a bhaint as teimpléad </w:t>
      </w:r>
      <w:r w:rsidR="00EE598D">
        <w:t>EU </w:t>
      </w:r>
      <w:r w:rsidRPr="00BB02FF">
        <w:t>PV1 d</w:t>
      </w:r>
      <w:r w:rsidR="00975A58">
        <w:t>’</w:t>
      </w:r>
      <w:r w:rsidRPr="00BB02FF">
        <w:t>Iarscr</w:t>
      </w:r>
      <w:r w:rsidR="002922C2">
        <w:t>íbhinn </w:t>
      </w:r>
      <w:r w:rsidRPr="00BB02FF">
        <w:t>V a ghabhann leis an Rialachán seo agus trí na treoracha atá leagtha amach in Iarscr</w:t>
      </w:r>
      <w:r w:rsidR="002922C2">
        <w:t>íbhinn </w:t>
      </w:r>
      <w:r w:rsidRPr="00BB02FF">
        <w:t>VI a ghabhann leis an Rialachán seo a leanúint.</w:t>
      </w:r>
    </w:p>
    <w:p w:rsidR="009F40BE" w:rsidRPr="00BB02FF" w:rsidRDefault="009F40BE" w:rsidP="00F5043B">
      <w:pPr>
        <w:pStyle w:val="NumPar1"/>
        <w:tabs>
          <w:tab w:val="clear" w:pos="850"/>
          <w:tab w:val="left" w:pos="567"/>
        </w:tabs>
        <w:ind w:left="0" w:firstLine="0"/>
      </w:pPr>
      <w:r w:rsidRPr="00BB02FF">
        <w:lastRenderedPageBreak/>
        <w:t xml:space="preserve">Déanfaidh institiúidí an fhaisnéis dá dtagraítear in </w:t>
      </w:r>
      <w:r w:rsidR="00A345B2">
        <w:t>Airteagal </w:t>
      </w:r>
      <w:r w:rsidRPr="00BB02FF">
        <w:t>436, p</w:t>
      </w:r>
      <w:r w:rsidR="002922C2">
        <w:t>ointí </w:t>
      </w:r>
      <w:r w:rsidRPr="00BB02FF">
        <w:t xml:space="preserve">(f), (g) agus (h), de Rialachán (AE) </w:t>
      </w:r>
      <w:r w:rsidR="0061010F">
        <w:t>Uimh. </w:t>
      </w:r>
      <w:r w:rsidRPr="00BB02FF">
        <w:t>575/2013 a nochtadh trí úsáid a bhaint as t</w:t>
      </w:r>
      <w:r w:rsidR="00EE598D">
        <w:t>ábla EU </w:t>
      </w:r>
      <w:r w:rsidRPr="00BB02FF">
        <w:t>LIB d</w:t>
      </w:r>
      <w:r w:rsidR="00975A58">
        <w:t>’</w:t>
      </w:r>
      <w:r w:rsidRPr="00BB02FF">
        <w:t>Iarscr</w:t>
      </w:r>
      <w:r w:rsidR="002922C2">
        <w:t>íbhinn </w:t>
      </w:r>
      <w:r w:rsidRPr="00BB02FF">
        <w:t>V a ghabhann leis an Rialachán seo agus trí na treoracha atá leagtha amach in Iarscr</w:t>
      </w:r>
      <w:r w:rsidR="002922C2">
        <w:t>íbhinn </w:t>
      </w:r>
      <w:r w:rsidRPr="00BB02FF">
        <w:t>VI a ghabhann leis an Rialachán seo a leanúint.</w:t>
      </w:r>
    </w:p>
    <w:p w:rsidR="00725875" w:rsidRPr="00BB02FF" w:rsidRDefault="00725875" w:rsidP="00725875">
      <w:pPr>
        <w:pStyle w:val="Titrearticle"/>
      </w:pPr>
      <w:r w:rsidRPr="00BB02FF">
        <w:t>Airteagal 4</w:t>
      </w:r>
    </w:p>
    <w:p w:rsidR="009F40BE" w:rsidRPr="00BB02FF" w:rsidRDefault="009F40BE" w:rsidP="009F40BE">
      <w:pPr>
        <w:pStyle w:val="Titrearticle"/>
        <w:spacing w:before="120"/>
        <w:rPr>
          <w:b/>
          <w:i w:val="0"/>
        </w:rPr>
      </w:pPr>
      <w:r w:rsidRPr="00BB02FF">
        <w:rPr>
          <w:b/>
          <w:i w:val="0"/>
        </w:rPr>
        <w:t>Cistí dílse a nochtadh</w:t>
      </w:r>
    </w:p>
    <w:p w:rsidR="009F40BE" w:rsidRPr="00BB02FF" w:rsidRDefault="009F40BE" w:rsidP="009F40BE">
      <w:pPr>
        <w:rPr>
          <w:i/>
        </w:rPr>
      </w:pPr>
      <w:r w:rsidRPr="00BB02FF">
        <w:t xml:space="preserve">Déanfaidh institiúidí an fhaisnéis dá dtagraítear in </w:t>
      </w:r>
      <w:r w:rsidR="00A345B2">
        <w:t>Airteagal </w:t>
      </w:r>
      <w:r w:rsidRPr="00BB02FF">
        <w:t xml:space="preserve">437 de Rialachán (AE) </w:t>
      </w:r>
      <w:r w:rsidR="0061010F">
        <w:t>Uimh. </w:t>
      </w:r>
      <w:r w:rsidRPr="00BB02FF">
        <w:t>575/2013 a nochtadh mar a leanas:</w:t>
      </w:r>
    </w:p>
    <w:p w:rsidR="009F40BE" w:rsidRPr="00BB02FF" w:rsidRDefault="005F490A" w:rsidP="00F5043B">
      <w:pPr>
        <w:pStyle w:val="Point1letter"/>
        <w:numPr>
          <w:ilvl w:val="3"/>
          <w:numId w:val="15"/>
        </w:numPr>
        <w:tabs>
          <w:tab w:val="clear" w:pos="1417"/>
        </w:tabs>
        <w:ind w:left="567"/>
      </w:pPr>
      <w:r w:rsidRPr="00BB02FF">
        <w:t xml:space="preserve">an fhaisnéis dá dtagraítear in </w:t>
      </w:r>
      <w:r w:rsidR="00A345B2">
        <w:t>Airteagal </w:t>
      </w:r>
      <w:r w:rsidRPr="00BB02FF">
        <w:t>437, p</w:t>
      </w:r>
      <w:r w:rsidR="002922C2">
        <w:t>ointí </w:t>
      </w:r>
      <w:r w:rsidRPr="00BB02FF">
        <w:t xml:space="preserve">(a), (d), (e) agus (f), de Rialachán (AE) </w:t>
      </w:r>
      <w:r w:rsidR="0061010F">
        <w:t>Uimh. </w:t>
      </w:r>
      <w:r w:rsidRPr="00BB02FF">
        <w:t xml:space="preserve">575/2013 trí úsáid a bhaint as teimpléid </w:t>
      </w:r>
      <w:r w:rsidR="00EE598D">
        <w:t>EU </w:t>
      </w:r>
      <w:r w:rsidRPr="00BB02FF">
        <w:t xml:space="preserve">CC1 agus </w:t>
      </w:r>
      <w:r w:rsidR="00EE598D">
        <w:t>EU </w:t>
      </w:r>
      <w:r w:rsidRPr="00BB02FF">
        <w:t>CC2 d</w:t>
      </w:r>
      <w:r w:rsidR="00975A58">
        <w:t>’</w:t>
      </w:r>
      <w:r w:rsidRPr="00BB02FF">
        <w:t>Iarscr</w:t>
      </w:r>
      <w:r w:rsidR="002922C2">
        <w:t>íbhinn </w:t>
      </w:r>
      <w:r w:rsidRPr="00BB02FF">
        <w:t>VII a ghabhann leis an Rialachán seo agus trí na treoracha atá leagtha amach in Iarscr</w:t>
      </w:r>
      <w:r w:rsidR="002922C2">
        <w:t>íbhinn </w:t>
      </w:r>
      <w:r w:rsidRPr="00BB02FF">
        <w:t>VIII a ghabhann leis an Rialachán seo a leanúint;</w:t>
      </w:r>
    </w:p>
    <w:p w:rsidR="009F40BE" w:rsidRPr="00BB02FF" w:rsidRDefault="005F490A" w:rsidP="00F5043B">
      <w:pPr>
        <w:pStyle w:val="Point1letter"/>
        <w:tabs>
          <w:tab w:val="clear" w:pos="1417"/>
        </w:tabs>
        <w:ind w:left="567"/>
      </w:pPr>
      <w:r w:rsidRPr="00BB02FF">
        <w:t xml:space="preserve">an fhaisnéis dá dtagraítear in </w:t>
      </w:r>
      <w:r w:rsidR="00A345B2">
        <w:t>Airteagal </w:t>
      </w:r>
      <w:r w:rsidRPr="00BB02FF">
        <w:t>437, p</w:t>
      </w:r>
      <w:r w:rsidR="002922C2">
        <w:t>ointí </w:t>
      </w:r>
      <w:r w:rsidRPr="00BB02FF">
        <w:t xml:space="preserve">(b) agus (c) agus (f), de Rialachán (AE) </w:t>
      </w:r>
      <w:r w:rsidR="0061010F">
        <w:t>Uimh. </w:t>
      </w:r>
      <w:r w:rsidRPr="00BB02FF">
        <w:t>575/2013 trí úsáid a bhaint as t</w:t>
      </w:r>
      <w:r w:rsidR="00EE598D">
        <w:t>ábla EU </w:t>
      </w:r>
      <w:r w:rsidRPr="00BB02FF">
        <w:t>CCA d</w:t>
      </w:r>
      <w:r w:rsidR="00975A58">
        <w:t>’</w:t>
      </w:r>
      <w:r w:rsidRPr="00BB02FF">
        <w:t>Iarscr</w:t>
      </w:r>
      <w:r w:rsidR="002922C2">
        <w:t>íbhinn </w:t>
      </w:r>
      <w:r w:rsidRPr="00BB02FF">
        <w:t>VII a ghabhann leis an Rialachán seo agus trí na treoracha atá leagtha amach in Iarscr</w:t>
      </w:r>
      <w:r w:rsidR="002922C2">
        <w:t>íbhinn </w:t>
      </w:r>
      <w:r w:rsidRPr="00BB02FF">
        <w:t>VII a ghabhann leis an Rialachán seo a leanúint.</w:t>
      </w:r>
    </w:p>
    <w:p w:rsidR="00A10245" w:rsidRPr="00BB02FF" w:rsidRDefault="00A10245" w:rsidP="00A10245">
      <w:pPr>
        <w:pStyle w:val="Titrearticle"/>
      </w:pPr>
      <w:r w:rsidRPr="00BB02FF">
        <w:t xml:space="preserve">Airteagal 5 </w:t>
      </w:r>
    </w:p>
    <w:p w:rsidR="009F40BE" w:rsidRPr="00BB02FF" w:rsidRDefault="009F40BE" w:rsidP="009F40BE">
      <w:pPr>
        <w:pStyle w:val="Titrearticle"/>
        <w:spacing w:before="120"/>
        <w:rPr>
          <w:b/>
          <w:i w:val="0"/>
        </w:rPr>
      </w:pPr>
      <w:r w:rsidRPr="00BB02FF">
        <w:rPr>
          <w:b/>
          <w:i w:val="0"/>
        </w:rPr>
        <w:t>Caipiteal maolánach frith-thimthriallach a nochtadh</w:t>
      </w:r>
    </w:p>
    <w:p w:rsidR="009F40BE" w:rsidRPr="00BB02FF" w:rsidRDefault="009F40BE" w:rsidP="009F40BE">
      <w:r w:rsidRPr="00BB02FF">
        <w:t xml:space="preserve">Déanfaidh institiúidí an fhaisnéis dá dtagraítear in </w:t>
      </w:r>
      <w:r w:rsidR="00A345B2">
        <w:t>Airteagal </w:t>
      </w:r>
      <w:r w:rsidRPr="00BB02FF">
        <w:t xml:space="preserve">440 de Rialachán (AE) </w:t>
      </w:r>
      <w:r w:rsidR="0061010F">
        <w:t>Uimh. </w:t>
      </w:r>
      <w:r w:rsidRPr="00BB02FF">
        <w:t>575/2013 a nochtadh mar a leanas:</w:t>
      </w:r>
    </w:p>
    <w:p w:rsidR="009F40BE" w:rsidRPr="00BB02FF" w:rsidRDefault="005F490A" w:rsidP="00F5043B">
      <w:pPr>
        <w:pStyle w:val="Point1letter"/>
        <w:numPr>
          <w:ilvl w:val="3"/>
          <w:numId w:val="11"/>
        </w:numPr>
        <w:tabs>
          <w:tab w:val="clear" w:pos="1417"/>
        </w:tabs>
        <w:ind w:left="567"/>
      </w:pPr>
      <w:r w:rsidRPr="00BB02FF">
        <w:t xml:space="preserve">an fhaisnéis dá dtagraítear in </w:t>
      </w:r>
      <w:r w:rsidR="00A345B2">
        <w:t>Airteagal </w:t>
      </w:r>
      <w:r w:rsidRPr="00BB02FF">
        <w:t>440, p</w:t>
      </w:r>
      <w:r w:rsidR="002922C2">
        <w:t>ointe </w:t>
      </w:r>
      <w:r w:rsidRPr="00BB02FF">
        <w:t xml:space="preserve">(a), de Rialachán (AE) </w:t>
      </w:r>
      <w:r w:rsidR="0061010F">
        <w:t>Uimh. </w:t>
      </w:r>
      <w:r w:rsidRPr="00BB02FF">
        <w:t xml:space="preserve">575/2013 trí úsáid a bhaint as teimpléad </w:t>
      </w:r>
      <w:r w:rsidR="00EE598D">
        <w:t>EU </w:t>
      </w:r>
      <w:r w:rsidRPr="00BB02FF">
        <w:t>CCYB1 d</w:t>
      </w:r>
      <w:r w:rsidR="00975A58">
        <w:t>’</w:t>
      </w:r>
      <w:r w:rsidRPr="00BB02FF">
        <w:t>Iarscr</w:t>
      </w:r>
      <w:r w:rsidR="002922C2">
        <w:t>íbhinn </w:t>
      </w:r>
      <w:r w:rsidRPr="00BB02FF">
        <w:t>IX a ghabhann leis an Rialachán seo agus trí na treoracha atá leagtha amach in Iarscr</w:t>
      </w:r>
      <w:r w:rsidR="002922C2">
        <w:t>íbhinn </w:t>
      </w:r>
      <w:r w:rsidRPr="00BB02FF">
        <w:t>X a ghabhann leis an Rialachán seo a leanúint;</w:t>
      </w:r>
    </w:p>
    <w:p w:rsidR="009F40BE" w:rsidRPr="00BB02FF" w:rsidRDefault="00E42EC8" w:rsidP="00F5043B">
      <w:pPr>
        <w:pStyle w:val="Point1letter"/>
        <w:tabs>
          <w:tab w:val="clear" w:pos="1417"/>
        </w:tabs>
        <w:ind w:left="567"/>
      </w:pPr>
      <w:r w:rsidRPr="00BB02FF">
        <w:t xml:space="preserve">an fhaisnéis dá dtagraítear in </w:t>
      </w:r>
      <w:r w:rsidR="00A345B2">
        <w:t>Airteagal </w:t>
      </w:r>
      <w:r w:rsidRPr="00BB02FF">
        <w:t>440, p</w:t>
      </w:r>
      <w:r w:rsidR="002922C2">
        <w:t>ointe </w:t>
      </w:r>
      <w:r w:rsidRPr="00BB02FF">
        <w:t xml:space="preserve">(b), de Rialachán (AE) </w:t>
      </w:r>
      <w:r w:rsidR="0061010F">
        <w:t>Uimh. </w:t>
      </w:r>
      <w:r w:rsidRPr="00BB02FF">
        <w:t xml:space="preserve">575/2013 trí úsáid a bhaint as teimpléad </w:t>
      </w:r>
      <w:r w:rsidR="00EE598D">
        <w:t>EU </w:t>
      </w:r>
      <w:r w:rsidRPr="00BB02FF">
        <w:t>CCYB2 d</w:t>
      </w:r>
      <w:r w:rsidR="00975A58">
        <w:t>’</w:t>
      </w:r>
      <w:r w:rsidRPr="00BB02FF">
        <w:t>Iarscr</w:t>
      </w:r>
      <w:r w:rsidR="002922C2">
        <w:t>íbhinn </w:t>
      </w:r>
      <w:r w:rsidRPr="00BB02FF">
        <w:t>IX a ghabhann leis an Rialachán seo agus trí na treoracha atá leagtha amach in Iarscr</w:t>
      </w:r>
      <w:r w:rsidR="002922C2">
        <w:t>íbhinn </w:t>
      </w:r>
      <w:r w:rsidRPr="00BB02FF">
        <w:t>X a ghabhann leis an Rialachán seo a leanúint.</w:t>
      </w:r>
    </w:p>
    <w:p w:rsidR="00496B08" w:rsidRPr="00BB02FF" w:rsidRDefault="00496B08" w:rsidP="00496B08">
      <w:pPr>
        <w:pStyle w:val="Titrearticle"/>
      </w:pPr>
      <w:r w:rsidRPr="00BB02FF">
        <w:t>Airteagal 6</w:t>
      </w:r>
    </w:p>
    <w:p w:rsidR="009F40BE" w:rsidRPr="00BB02FF" w:rsidRDefault="009F40BE" w:rsidP="009F40BE">
      <w:pPr>
        <w:pStyle w:val="Titrearticle"/>
        <w:spacing w:before="120"/>
        <w:rPr>
          <w:b/>
          <w:i w:val="0"/>
        </w:rPr>
      </w:pPr>
      <w:r w:rsidRPr="00BB02FF">
        <w:rPr>
          <w:b/>
          <w:i w:val="0"/>
        </w:rPr>
        <w:t>An cóimheas giarála a nochtadh</w:t>
      </w:r>
    </w:p>
    <w:p w:rsidR="009F40BE" w:rsidRPr="00BB02FF" w:rsidRDefault="009F40BE" w:rsidP="009F40BE">
      <w:r w:rsidRPr="00BB02FF">
        <w:t xml:space="preserve">Déanfaidh institiúidí an fhaisnéis dá dtagraítear in </w:t>
      </w:r>
      <w:r w:rsidR="00A345B2">
        <w:t>Airteagal </w:t>
      </w:r>
      <w:r w:rsidRPr="00BB02FF">
        <w:t xml:space="preserve">451 de Rialachán (AE) </w:t>
      </w:r>
      <w:r w:rsidR="0061010F">
        <w:t>Uimh. </w:t>
      </w:r>
      <w:r w:rsidRPr="00BB02FF">
        <w:t>575/2013 a nochtadh mar a leanas:</w:t>
      </w:r>
    </w:p>
    <w:p w:rsidR="009F40BE" w:rsidRPr="00BB02FF" w:rsidRDefault="00786078" w:rsidP="00F5043B">
      <w:pPr>
        <w:pStyle w:val="Point1letter"/>
        <w:numPr>
          <w:ilvl w:val="3"/>
          <w:numId w:val="12"/>
        </w:numPr>
        <w:tabs>
          <w:tab w:val="clear" w:pos="1417"/>
        </w:tabs>
        <w:ind w:left="567"/>
      </w:pPr>
      <w:r w:rsidRPr="00BB02FF">
        <w:t xml:space="preserve">an fhaisnéis dá dtagraítear in </w:t>
      </w:r>
      <w:r w:rsidR="00A345B2">
        <w:t>Airteagal </w:t>
      </w:r>
      <w:r w:rsidRPr="00BB02FF">
        <w:t>451(1), p</w:t>
      </w:r>
      <w:r w:rsidR="002922C2">
        <w:t>ointí </w:t>
      </w:r>
      <w:r w:rsidRPr="00BB02FF">
        <w:t xml:space="preserve">(a), (b), agus (c), agus in </w:t>
      </w:r>
      <w:r w:rsidR="00A345B2">
        <w:t>Airteagal </w:t>
      </w:r>
      <w:r w:rsidRPr="00BB02FF">
        <w:t>451, m</w:t>
      </w:r>
      <w:r w:rsidR="002922C2">
        <w:t>íreanna </w:t>
      </w:r>
      <w:r w:rsidRPr="00BB02FF">
        <w:t xml:space="preserve">2 agus 3, de Rialachán (AE) </w:t>
      </w:r>
      <w:r w:rsidR="0061010F">
        <w:t>Uimh. </w:t>
      </w:r>
      <w:r w:rsidRPr="00BB02FF">
        <w:t xml:space="preserve">575/2013 trí úsáid a bhaint as teimpléid </w:t>
      </w:r>
      <w:r w:rsidR="00EE598D">
        <w:t>EU </w:t>
      </w:r>
      <w:r w:rsidRPr="00BB02FF">
        <w:t xml:space="preserve">LR1, </w:t>
      </w:r>
      <w:r w:rsidR="00EE598D">
        <w:t>EU </w:t>
      </w:r>
      <w:r w:rsidRPr="00BB02FF">
        <w:t xml:space="preserve">LR2 agus </w:t>
      </w:r>
      <w:r w:rsidR="00EE598D">
        <w:t>EU </w:t>
      </w:r>
      <w:r w:rsidRPr="00BB02FF">
        <w:t>LR3 d</w:t>
      </w:r>
      <w:r w:rsidR="00975A58">
        <w:t>’</w:t>
      </w:r>
      <w:r w:rsidRPr="00BB02FF">
        <w:t>Iarscr</w:t>
      </w:r>
      <w:r w:rsidR="002922C2">
        <w:t>íbhinn </w:t>
      </w:r>
      <w:r w:rsidRPr="00BB02FF">
        <w:t>XI a ghabhann leis an Rialachán seo agus trí na treoracha atá leagtha amach in Iarscr</w:t>
      </w:r>
      <w:r w:rsidR="002922C2">
        <w:t>íbhinn </w:t>
      </w:r>
      <w:r w:rsidRPr="00BB02FF">
        <w:t>XII a ghabhann leis an Rialachán seo a leanúint;</w:t>
      </w:r>
    </w:p>
    <w:p w:rsidR="009F40BE" w:rsidRPr="00BB02FF" w:rsidRDefault="00786078" w:rsidP="00F5043B">
      <w:pPr>
        <w:pStyle w:val="Point1letter"/>
        <w:tabs>
          <w:tab w:val="clear" w:pos="1417"/>
        </w:tabs>
        <w:ind w:left="567"/>
      </w:pPr>
      <w:r w:rsidRPr="00BB02FF">
        <w:t xml:space="preserve">an fhaisnéis dá dtagraítear in </w:t>
      </w:r>
      <w:r w:rsidR="00A345B2">
        <w:t>Airteagal </w:t>
      </w:r>
      <w:r w:rsidRPr="00BB02FF">
        <w:t>451(1), p</w:t>
      </w:r>
      <w:r w:rsidR="002922C2">
        <w:t>ointí </w:t>
      </w:r>
      <w:r w:rsidRPr="00BB02FF">
        <w:t xml:space="preserve">(d) agus (e), de Rialachán (AE) </w:t>
      </w:r>
      <w:r w:rsidR="0061010F">
        <w:t>Uimh. </w:t>
      </w:r>
      <w:r w:rsidRPr="00BB02FF">
        <w:t>575/2013 trí úsáid a bhaint as t</w:t>
      </w:r>
      <w:r w:rsidR="00EE598D">
        <w:t>ábla EU </w:t>
      </w:r>
      <w:r w:rsidRPr="00BB02FF">
        <w:t>LRA d</w:t>
      </w:r>
      <w:r w:rsidR="00975A58">
        <w:t>’</w:t>
      </w:r>
      <w:r w:rsidRPr="00BB02FF">
        <w:t>Iarscr</w:t>
      </w:r>
      <w:r w:rsidR="002922C2">
        <w:t>íbhinn </w:t>
      </w:r>
      <w:r w:rsidRPr="00BB02FF">
        <w:t>XI a ghabhann leis an Rialachán seo agus trí na treoracha atá leagtha amach in Iarscr</w:t>
      </w:r>
      <w:r w:rsidR="002922C2">
        <w:t>íbhinn </w:t>
      </w:r>
      <w:r w:rsidRPr="00BB02FF">
        <w:t>XII a ghabhann leis an Rialachán seo a leanúint.</w:t>
      </w:r>
    </w:p>
    <w:p w:rsidR="00496B08" w:rsidRPr="00BB02FF" w:rsidRDefault="00496B08" w:rsidP="00496B08">
      <w:pPr>
        <w:pStyle w:val="Titrearticle"/>
      </w:pPr>
      <w:r w:rsidRPr="00BB02FF">
        <w:lastRenderedPageBreak/>
        <w:t>Airteagal 7</w:t>
      </w:r>
    </w:p>
    <w:p w:rsidR="00A858BC" w:rsidRPr="00BB02FF" w:rsidRDefault="00A858BC" w:rsidP="00A858BC">
      <w:pPr>
        <w:pStyle w:val="Titrearticle"/>
        <w:spacing w:before="120"/>
        <w:rPr>
          <w:b/>
          <w:i w:val="0"/>
        </w:rPr>
      </w:pPr>
      <w:r w:rsidRPr="00BB02FF">
        <w:rPr>
          <w:b/>
          <w:i w:val="0"/>
        </w:rPr>
        <w:t>Na ceanglais leachtachta a nochtadh</w:t>
      </w:r>
    </w:p>
    <w:p w:rsidR="000715FC" w:rsidRPr="00BB02FF" w:rsidRDefault="000715FC" w:rsidP="003D44B9">
      <w:pPr>
        <w:rPr>
          <w:i/>
        </w:rPr>
      </w:pPr>
      <w:r w:rsidRPr="00BB02FF">
        <w:t xml:space="preserve">Déanfaidh institiúidí an fhaisnéis dá dtagraítear in </w:t>
      </w:r>
      <w:r w:rsidR="00A345B2">
        <w:t>Airteagal </w:t>
      </w:r>
      <w:r w:rsidRPr="00BB02FF">
        <w:t xml:space="preserve">435(1) agus in </w:t>
      </w:r>
      <w:r w:rsidR="00A345B2">
        <w:t>Airteagal </w:t>
      </w:r>
      <w:r w:rsidRPr="00BB02FF">
        <w:t xml:space="preserve">451a de Rialachán (AE) </w:t>
      </w:r>
      <w:r w:rsidR="0061010F">
        <w:t>Uimh. </w:t>
      </w:r>
      <w:r w:rsidRPr="00BB02FF">
        <w:t>575/2013 a nochtadh mar a leanas:</w:t>
      </w:r>
    </w:p>
    <w:p w:rsidR="00A858BC" w:rsidRPr="00BB02FF" w:rsidRDefault="00D001B4" w:rsidP="00F5043B">
      <w:pPr>
        <w:pStyle w:val="Point1letter"/>
        <w:numPr>
          <w:ilvl w:val="3"/>
          <w:numId w:val="16"/>
        </w:numPr>
        <w:tabs>
          <w:tab w:val="clear" w:pos="1417"/>
        </w:tabs>
        <w:ind w:left="567"/>
      </w:pPr>
      <w:r w:rsidRPr="00BB02FF">
        <w:t xml:space="preserve">an fhaisnéis dá dtagraítear in </w:t>
      </w:r>
      <w:r w:rsidR="00A345B2">
        <w:t>Airteagal </w:t>
      </w:r>
      <w:r w:rsidRPr="00BB02FF">
        <w:t xml:space="preserve">435(1), agus in </w:t>
      </w:r>
      <w:r w:rsidR="00A345B2">
        <w:t>Airteagal </w:t>
      </w:r>
      <w:r w:rsidRPr="00BB02FF">
        <w:t xml:space="preserve">451a(4), de Rialachán (AE) </w:t>
      </w:r>
      <w:r w:rsidR="0061010F">
        <w:t>Uimh. </w:t>
      </w:r>
      <w:r w:rsidRPr="00BB02FF">
        <w:t>575/2013 trí úsáid a bhaint as t</w:t>
      </w:r>
      <w:r w:rsidR="00EE598D">
        <w:t>ábla EU </w:t>
      </w:r>
      <w:r w:rsidRPr="00BB02FF">
        <w:t>LIQA d</w:t>
      </w:r>
      <w:r w:rsidR="00975A58">
        <w:t>’</w:t>
      </w:r>
      <w:r w:rsidRPr="00BB02FF">
        <w:t>Iarscr</w:t>
      </w:r>
      <w:r w:rsidR="002922C2">
        <w:t>íbhinn </w:t>
      </w:r>
      <w:r w:rsidRPr="00BB02FF">
        <w:t>XIII a ghabhann leis an Rialachán seo agus trí na treoracha atá leagtha amach in Iarscr</w:t>
      </w:r>
      <w:r w:rsidR="002922C2">
        <w:t>íbhinn </w:t>
      </w:r>
      <w:r w:rsidRPr="00BB02FF">
        <w:t>XIV a ghabhann leis an Rialachán seo a leanúint;</w:t>
      </w:r>
    </w:p>
    <w:p w:rsidR="00A858BC" w:rsidRPr="00BB02FF" w:rsidRDefault="00D001B4" w:rsidP="00F5043B">
      <w:pPr>
        <w:pStyle w:val="Point1letter"/>
        <w:numPr>
          <w:ilvl w:val="3"/>
          <w:numId w:val="16"/>
        </w:numPr>
        <w:tabs>
          <w:tab w:val="clear" w:pos="1417"/>
        </w:tabs>
        <w:ind w:left="567"/>
      </w:pPr>
      <w:r w:rsidRPr="00BB02FF">
        <w:t xml:space="preserve">an fhaisnéis dá dtagraítear in </w:t>
      </w:r>
      <w:r w:rsidR="00A345B2">
        <w:t>Airteagal </w:t>
      </w:r>
      <w:r w:rsidRPr="00BB02FF">
        <w:t xml:space="preserve">451a(2), de Rialachán (AE) </w:t>
      </w:r>
      <w:r w:rsidR="0061010F">
        <w:t>Uimh. </w:t>
      </w:r>
      <w:r w:rsidRPr="00BB02FF">
        <w:t xml:space="preserve">575/2013 trí úsáid a bhaint as teimpléad </w:t>
      </w:r>
      <w:r w:rsidR="00EE598D">
        <w:t>EU </w:t>
      </w:r>
      <w:r w:rsidRPr="00BB02FF">
        <w:t>LIQ1 agus as t</w:t>
      </w:r>
      <w:r w:rsidR="00EE598D">
        <w:t>ábla EU </w:t>
      </w:r>
      <w:r w:rsidRPr="00BB02FF">
        <w:t>LIQB d</w:t>
      </w:r>
      <w:r w:rsidR="00975A58">
        <w:t>’</w:t>
      </w:r>
      <w:r w:rsidRPr="00BB02FF">
        <w:t>Iarscr</w:t>
      </w:r>
      <w:r w:rsidR="002922C2">
        <w:t>íbhinn </w:t>
      </w:r>
      <w:r w:rsidRPr="00BB02FF">
        <w:t>XXV a ghabhann leis an Rialachán seo agus trí na treoracha atá leagtha amach in Iarscr</w:t>
      </w:r>
      <w:r w:rsidR="002922C2">
        <w:t>íbhinn </w:t>
      </w:r>
      <w:r w:rsidRPr="00BB02FF">
        <w:t>XIV a ghabhann leis an Rialachán seo a leanúint;</w:t>
      </w:r>
    </w:p>
    <w:p w:rsidR="00A858BC" w:rsidRPr="00BB02FF" w:rsidRDefault="00D001B4" w:rsidP="00F5043B">
      <w:pPr>
        <w:pStyle w:val="Point1letter"/>
        <w:numPr>
          <w:ilvl w:val="3"/>
          <w:numId w:val="16"/>
        </w:numPr>
        <w:tabs>
          <w:tab w:val="clear" w:pos="1417"/>
        </w:tabs>
        <w:ind w:left="567"/>
      </w:pPr>
      <w:r w:rsidRPr="00BB02FF">
        <w:t xml:space="preserve">an fhaisnéis dá dtagraítear in </w:t>
      </w:r>
      <w:r w:rsidR="00A345B2">
        <w:t>Airteagal </w:t>
      </w:r>
      <w:r w:rsidRPr="00BB02FF">
        <w:t xml:space="preserve">451a(3), de Rialachán (AE) </w:t>
      </w:r>
      <w:r w:rsidR="0061010F">
        <w:t>Uimh. </w:t>
      </w:r>
      <w:r w:rsidRPr="00BB02FF">
        <w:t xml:space="preserve">575/2013 trí úsáid a bhaint as teimpléad </w:t>
      </w:r>
      <w:r w:rsidR="00EE598D">
        <w:t>EU </w:t>
      </w:r>
      <w:r w:rsidRPr="00BB02FF">
        <w:t>LIQ2 d</w:t>
      </w:r>
      <w:r w:rsidR="00975A58">
        <w:t>’</w:t>
      </w:r>
      <w:r w:rsidRPr="00BB02FF">
        <w:t>Iarscr</w:t>
      </w:r>
      <w:r w:rsidR="002922C2">
        <w:t>íbhinn </w:t>
      </w:r>
      <w:r w:rsidRPr="00BB02FF">
        <w:t>XIII a ghabhann leis an Rialachán seo agus trí na treoracha atá leagtha amach in Iarscr</w:t>
      </w:r>
      <w:r w:rsidR="002922C2">
        <w:t>íbhinn </w:t>
      </w:r>
      <w:r w:rsidRPr="00BB02FF">
        <w:t>XIV a ghabhann leis an Rialachán seo a leanúint.</w:t>
      </w:r>
    </w:p>
    <w:p w:rsidR="00496B08" w:rsidRPr="00BB02FF" w:rsidRDefault="00496B08" w:rsidP="00496B08">
      <w:pPr>
        <w:pStyle w:val="Titrearticle"/>
      </w:pPr>
      <w:r w:rsidRPr="00BB02FF">
        <w:t>Airteagal 8</w:t>
      </w:r>
    </w:p>
    <w:p w:rsidR="00A858BC" w:rsidRPr="00BB02FF" w:rsidRDefault="00A858BC" w:rsidP="00A858BC">
      <w:pPr>
        <w:pStyle w:val="Titrearticle"/>
        <w:spacing w:before="120"/>
        <w:rPr>
          <w:b/>
          <w:i w:val="0"/>
        </w:rPr>
      </w:pPr>
      <w:r w:rsidRPr="00BB02FF">
        <w:rPr>
          <w:b/>
          <w:i w:val="0"/>
        </w:rPr>
        <w:t>Risíochtaí ar phriacal creidmheasa, ar phriacal caolúcháin agus ar cháilíocht creidmheasa a nochtadh</w:t>
      </w:r>
    </w:p>
    <w:p w:rsidR="00A858BC" w:rsidRPr="00BB02FF" w:rsidRDefault="00A858BC" w:rsidP="000747E8">
      <w:pPr>
        <w:pStyle w:val="NumPar1"/>
        <w:numPr>
          <w:ilvl w:val="0"/>
          <w:numId w:val="29"/>
        </w:numPr>
        <w:tabs>
          <w:tab w:val="clear" w:pos="850"/>
          <w:tab w:val="left" w:pos="567"/>
        </w:tabs>
        <w:ind w:left="0" w:firstLine="0"/>
      </w:pPr>
      <w:r w:rsidRPr="00BB02FF">
        <w:t xml:space="preserve">Déanfaidh institiúidí an fhaisnéis dá dtagraítear in </w:t>
      </w:r>
      <w:r w:rsidR="00A345B2">
        <w:t>Airteagail </w:t>
      </w:r>
      <w:r w:rsidRPr="00BB02FF">
        <w:t xml:space="preserve">435 agus 442 de Rialachán (AE) </w:t>
      </w:r>
      <w:r w:rsidR="0061010F">
        <w:t>Uimh. </w:t>
      </w:r>
      <w:r w:rsidRPr="00BB02FF">
        <w:t>575/2013 a nochtadh mar a leanas:</w:t>
      </w:r>
    </w:p>
    <w:p w:rsidR="00A858BC" w:rsidRPr="00BB02FF" w:rsidRDefault="00D001B4" w:rsidP="00F5043B">
      <w:pPr>
        <w:pStyle w:val="Point1letter"/>
        <w:numPr>
          <w:ilvl w:val="3"/>
          <w:numId w:val="17"/>
        </w:numPr>
        <w:tabs>
          <w:tab w:val="clear" w:pos="1417"/>
        </w:tabs>
        <w:ind w:left="567"/>
      </w:pPr>
      <w:r w:rsidRPr="00BB02FF">
        <w:t xml:space="preserve">an fhaisnéis dá dtagraítear in </w:t>
      </w:r>
      <w:r w:rsidR="00A345B2">
        <w:t>Airteagal </w:t>
      </w:r>
      <w:r w:rsidRPr="00BB02FF">
        <w:t>435(1), p</w:t>
      </w:r>
      <w:r w:rsidR="002922C2">
        <w:t>ointí </w:t>
      </w:r>
      <w:r w:rsidRPr="00BB02FF">
        <w:t xml:space="preserve">(a) (b), (d) agus (f), de Rialachán (AE) </w:t>
      </w:r>
      <w:r w:rsidR="0061010F">
        <w:t>Uimh. </w:t>
      </w:r>
      <w:r w:rsidRPr="00BB02FF">
        <w:t>575/2013 trí úsáid a bhaint as t</w:t>
      </w:r>
      <w:r w:rsidR="00EE598D">
        <w:t>ábla EU </w:t>
      </w:r>
      <w:r w:rsidRPr="00BB02FF">
        <w:t>CRA d</w:t>
      </w:r>
      <w:r w:rsidR="00975A58">
        <w:t>’</w:t>
      </w:r>
      <w:r w:rsidRPr="00BB02FF">
        <w:t>Iarscr</w:t>
      </w:r>
      <w:r w:rsidR="002922C2">
        <w:t>íbhinn </w:t>
      </w:r>
      <w:r w:rsidRPr="00BB02FF">
        <w:t>XV a ghabhann leis an Rialachán seo agus trí na treoracha atá leagtha amach in Iarscr</w:t>
      </w:r>
      <w:r w:rsidR="002922C2">
        <w:t>íbhinn </w:t>
      </w:r>
      <w:r w:rsidRPr="00BB02FF">
        <w:t>XVI a ghabhann leis an Rialachán seo a leanúint;</w:t>
      </w:r>
    </w:p>
    <w:p w:rsidR="00A858BC" w:rsidRPr="00BB02FF" w:rsidRDefault="00D001B4" w:rsidP="00F5043B">
      <w:pPr>
        <w:pStyle w:val="Point1letter"/>
        <w:numPr>
          <w:ilvl w:val="3"/>
          <w:numId w:val="16"/>
        </w:numPr>
        <w:tabs>
          <w:tab w:val="clear" w:pos="1417"/>
        </w:tabs>
        <w:ind w:left="567"/>
      </w:pPr>
      <w:r w:rsidRPr="00BB02FF">
        <w:t xml:space="preserve">an fhaisnéis dá dtagraítear in </w:t>
      </w:r>
      <w:r w:rsidR="00A345B2">
        <w:t>Airteagal </w:t>
      </w:r>
      <w:r w:rsidRPr="00BB02FF">
        <w:t>442, p</w:t>
      </w:r>
      <w:r w:rsidR="002922C2">
        <w:t>ointí </w:t>
      </w:r>
      <w:r w:rsidRPr="00BB02FF">
        <w:t xml:space="preserve">(a) agus (b), de Rialachán (AE) </w:t>
      </w:r>
      <w:r w:rsidR="0061010F">
        <w:t>Uimh. </w:t>
      </w:r>
      <w:r w:rsidRPr="00BB02FF">
        <w:t>575/2013 trí úsáid a bhaint as t</w:t>
      </w:r>
      <w:r w:rsidR="00EE598D">
        <w:t>ábla EU </w:t>
      </w:r>
      <w:r w:rsidRPr="00BB02FF">
        <w:t>CRB d</w:t>
      </w:r>
      <w:r w:rsidR="00975A58">
        <w:t>’</w:t>
      </w:r>
      <w:r w:rsidRPr="00BB02FF">
        <w:t>Iarscr</w:t>
      </w:r>
      <w:r w:rsidR="002922C2">
        <w:t>íbhinn </w:t>
      </w:r>
      <w:r w:rsidRPr="00BB02FF">
        <w:t>XV a ghabhann leis an Rialachán seo agus trí na treoracha atá leagtha amach in Iarscr</w:t>
      </w:r>
      <w:r w:rsidR="002922C2">
        <w:t>íbhinn </w:t>
      </w:r>
      <w:r w:rsidRPr="00BB02FF">
        <w:t>XVI a ghabhann leis an Rialachán seo a leanúint;</w:t>
      </w:r>
    </w:p>
    <w:p w:rsidR="00A858BC" w:rsidRPr="00BB02FF" w:rsidRDefault="00D001B4" w:rsidP="00F5043B">
      <w:pPr>
        <w:pStyle w:val="Point1letter"/>
        <w:numPr>
          <w:ilvl w:val="3"/>
          <w:numId w:val="16"/>
        </w:numPr>
        <w:tabs>
          <w:tab w:val="clear" w:pos="1417"/>
        </w:tabs>
        <w:ind w:left="567"/>
      </w:pPr>
      <w:r w:rsidRPr="00BB02FF">
        <w:t xml:space="preserve">an fhaisnéis dá dtagraítear in </w:t>
      </w:r>
      <w:r w:rsidR="00A345B2">
        <w:t>Airteagal </w:t>
      </w:r>
      <w:r w:rsidRPr="00BB02FF">
        <w:t>442, p</w:t>
      </w:r>
      <w:r w:rsidR="002922C2">
        <w:t>ointe </w:t>
      </w:r>
      <w:r w:rsidRPr="00BB02FF">
        <w:t xml:space="preserve">(d), de Rialachán (AE) </w:t>
      </w:r>
      <w:r w:rsidR="0061010F">
        <w:t>Uimh. </w:t>
      </w:r>
      <w:r w:rsidRPr="00BB02FF">
        <w:t xml:space="preserve">575/2013 trí úsáid a bhaint as teimpléad </w:t>
      </w:r>
      <w:r w:rsidR="00EE598D">
        <w:t>EU </w:t>
      </w:r>
      <w:r w:rsidRPr="00BB02FF">
        <w:t>CQ3 d</w:t>
      </w:r>
      <w:r w:rsidR="00975A58">
        <w:t>’</w:t>
      </w:r>
      <w:r w:rsidRPr="00BB02FF">
        <w:t>Iarscr</w:t>
      </w:r>
      <w:r w:rsidR="002922C2">
        <w:t>íbhinn </w:t>
      </w:r>
      <w:r w:rsidRPr="00BB02FF">
        <w:t>XV a ghabhann leis an Rialachán seo agus trí na treoracha atá leagtha amach in Iarscr</w:t>
      </w:r>
      <w:r w:rsidR="002922C2">
        <w:t>íbhinn </w:t>
      </w:r>
      <w:r w:rsidRPr="00BB02FF">
        <w:t>XVI a ghabhann leis an Rialachán seo a leanúint;</w:t>
      </w:r>
    </w:p>
    <w:p w:rsidR="00A858BC" w:rsidRPr="00BB02FF" w:rsidRDefault="00D001B4" w:rsidP="00F5043B">
      <w:pPr>
        <w:pStyle w:val="Point1letter"/>
        <w:numPr>
          <w:ilvl w:val="3"/>
          <w:numId w:val="16"/>
        </w:numPr>
        <w:tabs>
          <w:tab w:val="clear" w:pos="1417"/>
        </w:tabs>
        <w:ind w:left="567"/>
      </w:pPr>
      <w:r w:rsidRPr="00BB02FF">
        <w:t xml:space="preserve">an fhaisnéis dá dtagraítear in </w:t>
      </w:r>
      <w:r w:rsidR="00A345B2">
        <w:t>Airteagal </w:t>
      </w:r>
      <w:r w:rsidRPr="00BB02FF">
        <w:t>442, p</w:t>
      </w:r>
      <w:r w:rsidR="002922C2">
        <w:t>ointe </w:t>
      </w:r>
      <w:r w:rsidRPr="00BB02FF">
        <w:t xml:space="preserve">(g), de Rialachán (AE) </w:t>
      </w:r>
      <w:r w:rsidR="0061010F">
        <w:t>Uimh. </w:t>
      </w:r>
      <w:r w:rsidRPr="00BB02FF">
        <w:t xml:space="preserve">575/2013 trí úsáid a bhaint as teimpléad </w:t>
      </w:r>
      <w:r w:rsidR="00EE598D">
        <w:t>EU </w:t>
      </w:r>
      <w:r w:rsidRPr="00BB02FF">
        <w:t>CR1-A d</w:t>
      </w:r>
      <w:r w:rsidR="00975A58">
        <w:t>’</w:t>
      </w:r>
      <w:r w:rsidRPr="00BB02FF">
        <w:t>Iarscr</w:t>
      </w:r>
      <w:r w:rsidR="002922C2">
        <w:t>íbhinn </w:t>
      </w:r>
      <w:r w:rsidRPr="00BB02FF">
        <w:t>XV a ghabhann leis an Rialachán seo agus trí na treoracha atá leagtha amach in Iarscr</w:t>
      </w:r>
      <w:r w:rsidR="002922C2">
        <w:t>íbhinn </w:t>
      </w:r>
      <w:r w:rsidRPr="00BB02FF">
        <w:t>XVI a ghabhann leis an Rialachán seo a leanúint;</w:t>
      </w:r>
    </w:p>
    <w:p w:rsidR="00A858BC" w:rsidRPr="00BB02FF" w:rsidRDefault="00D001B4" w:rsidP="00F5043B">
      <w:pPr>
        <w:pStyle w:val="Point1letter"/>
        <w:numPr>
          <w:ilvl w:val="3"/>
          <w:numId w:val="16"/>
        </w:numPr>
        <w:tabs>
          <w:tab w:val="clear" w:pos="1417"/>
        </w:tabs>
        <w:ind w:left="567"/>
      </w:pPr>
      <w:r w:rsidRPr="00BB02FF">
        <w:t xml:space="preserve">an fhaisnéis dá dtagraítear in </w:t>
      </w:r>
      <w:r w:rsidR="00A345B2">
        <w:t>Airteagal </w:t>
      </w:r>
      <w:r w:rsidRPr="00BB02FF">
        <w:t>442, p</w:t>
      </w:r>
      <w:r w:rsidR="002922C2">
        <w:t>ointe </w:t>
      </w:r>
      <w:r w:rsidRPr="00BB02FF">
        <w:t xml:space="preserve">(f), de Rialachán (AE) </w:t>
      </w:r>
      <w:r w:rsidR="0061010F">
        <w:t>Uimh. </w:t>
      </w:r>
      <w:r w:rsidRPr="00BB02FF">
        <w:t xml:space="preserve">575/2013 trí úsáid a bhaint as teimpléad </w:t>
      </w:r>
      <w:r w:rsidR="00EE598D">
        <w:t>EU </w:t>
      </w:r>
      <w:r w:rsidRPr="00BB02FF">
        <w:t>CR2 d</w:t>
      </w:r>
      <w:r w:rsidR="00975A58">
        <w:t>’</w:t>
      </w:r>
      <w:r w:rsidRPr="00BB02FF">
        <w:t>Iarscr</w:t>
      </w:r>
      <w:r w:rsidR="002922C2">
        <w:t>íbhinn </w:t>
      </w:r>
      <w:r w:rsidRPr="00BB02FF">
        <w:t>XV a ghabhann leis an Rialachán seo agus trí na treoracha atá leagtha amach in Iarscr</w:t>
      </w:r>
      <w:r w:rsidR="002922C2">
        <w:t>íbhinn </w:t>
      </w:r>
      <w:r w:rsidRPr="00BB02FF">
        <w:t>XVI a ghabhann leis an Rialachán seo a leanúint.</w:t>
      </w:r>
    </w:p>
    <w:p w:rsidR="00DF14E1" w:rsidRPr="00BB02FF" w:rsidRDefault="00A858BC" w:rsidP="00DF14E1">
      <w:pPr>
        <w:pStyle w:val="NumPar1"/>
        <w:tabs>
          <w:tab w:val="clear" w:pos="850"/>
          <w:tab w:val="left" w:pos="567"/>
        </w:tabs>
        <w:ind w:left="0" w:firstLine="0"/>
      </w:pPr>
      <w:r w:rsidRPr="00BB02FF">
        <w:t xml:space="preserve">Déanfaidh institiúidí an fhaisnéis dá dtagraítear in </w:t>
      </w:r>
      <w:r w:rsidR="00A345B2">
        <w:t>Airteagal </w:t>
      </w:r>
      <w:r w:rsidRPr="00BB02FF">
        <w:t>442, p</w:t>
      </w:r>
      <w:r w:rsidR="002922C2">
        <w:t>ointí </w:t>
      </w:r>
      <w:r w:rsidRPr="00BB02FF">
        <w:t xml:space="preserve">(c), (e) agus (f), de Rialachán (AE) </w:t>
      </w:r>
      <w:r w:rsidR="0061010F">
        <w:t>Uimh. </w:t>
      </w:r>
      <w:r w:rsidRPr="00BB02FF">
        <w:t xml:space="preserve">575/2013 a nochtadh trí úsáid a bhaint as teimpléid </w:t>
      </w:r>
      <w:r w:rsidR="00EE598D">
        <w:t>EU </w:t>
      </w:r>
      <w:r w:rsidRPr="00BB02FF">
        <w:t>C</w:t>
      </w:r>
      <w:r w:rsidR="00EE598D">
        <w:t>R1, EU CQ1, agus EU CQ7, colúin</w:t>
      </w:r>
      <w:r w:rsidR="00EE598D" w:rsidRPr="00794070">
        <w:t> </w:t>
      </w:r>
      <w:r w:rsidRPr="00BB02FF">
        <w:t>a, c, e, f agus g de</w:t>
      </w:r>
      <w:r w:rsidR="00EE598D">
        <w:t xml:space="preserve"> theimpléad EU CQ4, agus colúin</w:t>
      </w:r>
      <w:r w:rsidR="00EE598D" w:rsidRPr="00794070">
        <w:t> </w:t>
      </w:r>
      <w:r w:rsidRPr="00BB02FF">
        <w:t xml:space="preserve">a, c, e </w:t>
      </w:r>
      <w:r w:rsidRPr="00BB02FF">
        <w:lastRenderedPageBreak/>
        <w:t xml:space="preserve">agus f de theimpléad </w:t>
      </w:r>
      <w:r w:rsidR="00EE598D">
        <w:t>EU </w:t>
      </w:r>
      <w:r w:rsidRPr="00BB02FF">
        <w:t>CQ5, a leagtar amach in Iarscr</w:t>
      </w:r>
      <w:r w:rsidR="002922C2">
        <w:t>íbhinn </w:t>
      </w:r>
      <w:r w:rsidRPr="00BB02FF">
        <w:t>XV a ghabhann leis an Rialachán seo agus trí na treoracha atá leagtha amach in Iarscr</w:t>
      </w:r>
      <w:r w:rsidR="002922C2">
        <w:t>íbhinn </w:t>
      </w:r>
      <w:r w:rsidRPr="00BB02FF">
        <w:t>XVI a ghabhann leis an Rialachán seo a leanúint.</w:t>
      </w:r>
    </w:p>
    <w:p w:rsidR="00A858BC" w:rsidRPr="00BB02FF" w:rsidRDefault="00956448" w:rsidP="00DF14E1">
      <w:pPr>
        <w:pStyle w:val="NumPar1"/>
        <w:tabs>
          <w:tab w:val="clear" w:pos="850"/>
          <w:tab w:val="left" w:pos="567"/>
        </w:tabs>
        <w:ind w:left="0" w:firstLine="0"/>
      </w:pPr>
      <w:r w:rsidRPr="00BB02FF">
        <w:t xml:space="preserve">Institiúidí móra a bhfuil cóimheas acu idir oll-luach de réir na leabhar de na hiasachtaí agus de na hairleacain a thagann faoi </w:t>
      </w:r>
      <w:r w:rsidR="00A345B2">
        <w:t>Airteagal </w:t>
      </w:r>
      <w:r w:rsidRPr="00BB02FF">
        <w:t xml:space="preserve">47a(3) de Rialachán (AE) </w:t>
      </w:r>
      <w:r w:rsidR="0061010F">
        <w:t>Uimh. </w:t>
      </w:r>
      <w:r w:rsidRPr="00BB02FF">
        <w:t xml:space="preserve">575/2013 agus oll-luach iomlán de réir na leabhar de na hiasachtaí agus na hairleacain a thagann faoi </w:t>
      </w:r>
      <w:r w:rsidR="00A345B2">
        <w:t>Airteagal </w:t>
      </w:r>
      <w:r w:rsidRPr="00BB02FF">
        <w:t xml:space="preserve">47a(1) de Rialachán (AE) </w:t>
      </w:r>
      <w:r w:rsidR="0061010F">
        <w:t>Uimh. </w:t>
      </w:r>
      <w:r w:rsidRPr="00BB02FF">
        <w:t>575/2013 atá cothrom le 5</w:t>
      </w:r>
      <w:r w:rsidR="0061010F">
        <w:t> %</w:t>
      </w:r>
      <w:r w:rsidRPr="00BB02FF">
        <w:t xml:space="preserve"> nó os a chionn, le cois na dteimpléad agus na gcolún dá dtagraítear i m</w:t>
      </w:r>
      <w:r w:rsidR="002922C2">
        <w:t>ír </w:t>
      </w:r>
      <w:r w:rsidRPr="00BB02FF">
        <w:t xml:space="preserve">2, déanfaidh siad an fhaisnéis dá dtagraítear in </w:t>
      </w:r>
      <w:r w:rsidR="00A345B2">
        <w:t>Airteagal </w:t>
      </w:r>
      <w:r w:rsidRPr="00BB02FF">
        <w:t>442, p</w:t>
      </w:r>
      <w:r w:rsidR="002922C2">
        <w:t>ointí </w:t>
      </w:r>
      <w:r w:rsidRPr="00BB02FF">
        <w:t xml:space="preserve">(c) agus (f) de Rialachán (AE) </w:t>
      </w:r>
      <w:r w:rsidR="0061010F">
        <w:t>Uimh. </w:t>
      </w:r>
      <w:r w:rsidRPr="00BB02FF">
        <w:t xml:space="preserve">575/2013 a nochtadh trí úsáid a bhaint as teimpléid </w:t>
      </w:r>
      <w:r w:rsidR="00EE598D">
        <w:t>EU </w:t>
      </w:r>
      <w:r w:rsidRPr="00BB02FF">
        <w:t xml:space="preserve">CR2a, </w:t>
      </w:r>
      <w:r w:rsidR="00EE598D">
        <w:t>EU </w:t>
      </w:r>
      <w:r w:rsidRPr="00BB02FF">
        <w:t>CQ</w:t>
      </w:r>
      <w:r w:rsidR="00EE598D">
        <w:t xml:space="preserve">2, </w:t>
      </w:r>
      <w:r w:rsidR="00E809D3" w:rsidRPr="00794070">
        <w:t>EU </w:t>
      </w:r>
      <w:r w:rsidR="00EE598D">
        <w:t xml:space="preserve">CQ6 agus </w:t>
      </w:r>
      <w:r w:rsidR="00E809D3">
        <w:t>EU </w:t>
      </w:r>
      <w:r w:rsidR="00EE598D">
        <w:t>CQ8, agus colúin</w:t>
      </w:r>
      <w:r w:rsidR="00EE598D" w:rsidRPr="00794070">
        <w:t> </w:t>
      </w:r>
      <w:r w:rsidRPr="00BB02FF">
        <w:t xml:space="preserve">b agus d de theimpléid </w:t>
      </w:r>
      <w:r w:rsidR="00E809D3">
        <w:t>EU </w:t>
      </w:r>
      <w:r w:rsidRPr="00BB02FF">
        <w:t xml:space="preserve">CQ4 agus </w:t>
      </w:r>
      <w:r w:rsidR="00E809D3">
        <w:t>EU </w:t>
      </w:r>
      <w:r w:rsidRPr="00BB02FF">
        <w:t>CQ5 a leagtar amach in Iarscr</w:t>
      </w:r>
      <w:r w:rsidR="002922C2">
        <w:t>íbhinn </w:t>
      </w:r>
      <w:r w:rsidRPr="00BB02FF">
        <w:t>XV a ghabhann leis an Rialachán tríd na treoracha a leagtar amach in Iarscr</w:t>
      </w:r>
      <w:r w:rsidR="002922C2">
        <w:t>íbhinn </w:t>
      </w:r>
      <w:r w:rsidRPr="00BB02FF">
        <w:t xml:space="preserve">XVI a leanúint. Déanfaidh siad an fhaisnéis sin a nochtadh ar bhonn bliantúil. </w:t>
      </w:r>
    </w:p>
    <w:p w:rsidR="00A858BC" w:rsidRPr="00BB02FF" w:rsidRDefault="00A858BC" w:rsidP="00F5043B">
      <w:pPr>
        <w:pStyle w:val="NumPar1"/>
        <w:tabs>
          <w:tab w:val="clear" w:pos="850"/>
          <w:tab w:val="left" w:pos="567"/>
        </w:tabs>
        <w:ind w:left="0" w:firstLine="0"/>
      </w:pPr>
      <w:r w:rsidRPr="00BB02FF">
        <w:t>Chun críocha mh</w:t>
      </w:r>
      <w:r w:rsidR="002922C2">
        <w:t>ír </w:t>
      </w:r>
      <w:r w:rsidRPr="00BB02FF">
        <w:t>3, na hiasachtaí agus na hairleacain atá á</w:t>
      </w:r>
      <w:r w:rsidR="0061010F">
        <w:t xml:space="preserve"> n</w:t>
      </w:r>
      <w:r w:rsidR="0061010F">
        <w:noBreakHyphen/>
      </w:r>
      <w:r w:rsidRPr="00BB02FF">
        <w:t>aicmiú mar shócmhainní atá á sealbhú lena ndíol, airgead ar láimh ag bainc cheannais agus taiscí éilimh eile, déanfar iad a eisiamh ón ainmneoir agus ó uimhreoir an chóimheasa.</w:t>
      </w:r>
    </w:p>
    <w:p w:rsidR="00A858BC" w:rsidRPr="00BB02FF" w:rsidRDefault="00A858BC" w:rsidP="00F5043B">
      <w:pPr>
        <w:pStyle w:val="NumPar1"/>
        <w:tabs>
          <w:tab w:val="clear" w:pos="850"/>
          <w:tab w:val="left" w:pos="567"/>
        </w:tabs>
        <w:ind w:left="0" w:firstLine="0"/>
      </w:pPr>
      <w:r w:rsidRPr="00BB02FF">
        <w:t>Cuirfidh institiúidí tús le nochtadh i gcomhréir le m</w:t>
      </w:r>
      <w:r w:rsidR="002922C2">
        <w:t>ír </w:t>
      </w:r>
      <w:r w:rsidRPr="00BB02FF">
        <w:t>3 i gcás ina bhfuil an tairseach 5</w:t>
      </w:r>
      <w:r w:rsidR="0061010F">
        <w:t> %</w:t>
      </w:r>
      <w:r w:rsidRPr="00BB02FF">
        <w:t xml:space="preserve"> dá dtagraítear sa mhír sin sroichte nó sáraithe acu in dhá ráithe as a chéile le linn na gceithre ráithe roimh dháta tagartha maidir le nochtadh. Maidir leis an dáta tagartha sa chéad nochtadh, déanfaidh institiúidí an fhaisnéis lena mbaineann a nochtadh trí úsáid a bhaint as na teimpléid dá dtagraítear sa mhír sin i gcás ina gcomhlíonann siad an tairseach 5</w:t>
      </w:r>
      <w:r w:rsidR="0061010F">
        <w:t> %</w:t>
      </w:r>
      <w:r w:rsidRPr="00BB02FF">
        <w:t xml:space="preserve"> ar an dáta tagartha sin maidir le nochtadh.</w:t>
      </w:r>
    </w:p>
    <w:p w:rsidR="00A858BC" w:rsidRPr="00BB02FF" w:rsidRDefault="00A858BC" w:rsidP="00F5043B">
      <w:pPr>
        <w:pStyle w:val="NumPar1"/>
        <w:tabs>
          <w:tab w:val="clear" w:pos="850"/>
          <w:tab w:val="left" w:pos="567"/>
        </w:tabs>
        <w:ind w:left="0" w:firstLine="0"/>
      </w:pPr>
      <w:r w:rsidRPr="00BB02FF">
        <w:t>Ní bheidh oibleagáid a thuilleadh ar institiúidí nochtadh a dhéanamh i gcomhréir le m</w:t>
      </w:r>
      <w:r w:rsidR="002922C2">
        <w:t>ír </w:t>
      </w:r>
      <w:r w:rsidRPr="00BB02FF">
        <w:t>3 i gcás ina dtitfidh siad faoi bhun na tairsí 5</w:t>
      </w:r>
      <w:r w:rsidR="0061010F">
        <w:t> %</w:t>
      </w:r>
      <w:r w:rsidRPr="00BB02FF">
        <w:t xml:space="preserve"> le linn trí ráithe as a chéile i rith na gceithre ráithe roimh an dáta tagartha maidir le nochtadh.</w:t>
      </w:r>
    </w:p>
    <w:p w:rsidR="00496B08" w:rsidRPr="00BB02FF" w:rsidRDefault="00496B08" w:rsidP="00496B08">
      <w:pPr>
        <w:pStyle w:val="Titrearticle"/>
      </w:pPr>
      <w:r w:rsidRPr="00BB02FF">
        <w:t>Airteagal 9</w:t>
      </w:r>
    </w:p>
    <w:p w:rsidR="00A858BC" w:rsidRPr="00BB02FF" w:rsidRDefault="00A858BC" w:rsidP="00A858BC">
      <w:pPr>
        <w:pStyle w:val="Titrearticle"/>
        <w:spacing w:before="120"/>
        <w:rPr>
          <w:b/>
          <w:i w:val="0"/>
        </w:rPr>
      </w:pPr>
      <w:r w:rsidRPr="00BB02FF">
        <w:rPr>
          <w:b/>
          <w:i w:val="0"/>
        </w:rPr>
        <w:t xml:space="preserve">Úsáid teicnící um maolú riosca creidmheasa a nochtadh </w:t>
      </w:r>
    </w:p>
    <w:p w:rsidR="00A858BC" w:rsidRPr="00BB02FF" w:rsidRDefault="00A858BC" w:rsidP="00A858BC">
      <w:pPr>
        <w:rPr>
          <w:i/>
        </w:rPr>
      </w:pPr>
      <w:r w:rsidRPr="00BB02FF">
        <w:t xml:space="preserve">Déanfaidh institiúidí an fhaisnéis dá dtagraítear in </w:t>
      </w:r>
      <w:r w:rsidR="00A345B2">
        <w:t>Airteagal </w:t>
      </w:r>
      <w:r w:rsidRPr="00BB02FF">
        <w:t>453 a nochtadh, p</w:t>
      </w:r>
      <w:r w:rsidR="002922C2">
        <w:t>ointí </w:t>
      </w:r>
      <w:r w:rsidRPr="00BB02FF">
        <w:t xml:space="preserve">(a) go (f), de Rialachán (AE) </w:t>
      </w:r>
      <w:r w:rsidR="0061010F">
        <w:t>Uimh. </w:t>
      </w:r>
      <w:r w:rsidRPr="00BB02FF">
        <w:t>575/2013 mara leanas:</w:t>
      </w:r>
    </w:p>
    <w:p w:rsidR="00A858BC" w:rsidRPr="00BB02FF" w:rsidRDefault="00F53E64" w:rsidP="00F5043B">
      <w:pPr>
        <w:pStyle w:val="Point1letter"/>
        <w:numPr>
          <w:ilvl w:val="3"/>
          <w:numId w:val="18"/>
        </w:numPr>
        <w:tabs>
          <w:tab w:val="clear" w:pos="1417"/>
        </w:tabs>
        <w:ind w:left="567"/>
      </w:pPr>
      <w:r w:rsidRPr="00BB02FF">
        <w:t xml:space="preserve">an fhaisnéis dá dtagraítear in </w:t>
      </w:r>
      <w:r w:rsidR="00A345B2">
        <w:t>Airteagal </w:t>
      </w:r>
      <w:r w:rsidRPr="00BB02FF">
        <w:t>453, p</w:t>
      </w:r>
      <w:r w:rsidR="002922C2">
        <w:t>ointí </w:t>
      </w:r>
      <w:r w:rsidRPr="00BB02FF">
        <w:t xml:space="preserve">(a) go (e), de Rialachán (AE) </w:t>
      </w:r>
      <w:r w:rsidR="0061010F">
        <w:t>Uimh. </w:t>
      </w:r>
      <w:r w:rsidRPr="00BB02FF">
        <w:t>575/2013 trí úsáid a bhaint as t</w:t>
      </w:r>
      <w:r w:rsidR="00EE598D">
        <w:t>ábla </w:t>
      </w:r>
      <w:r w:rsidR="00E809D3">
        <w:t>EU </w:t>
      </w:r>
      <w:r w:rsidRPr="00BB02FF">
        <w:t>CRC d</w:t>
      </w:r>
      <w:r w:rsidR="00975A58">
        <w:t>’</w:t>
      </w:r>
      <w:r w:rsidRPr="00BB02FF">
        <w:t>Iarscr</w:t>
      </w:r>
      <w:r w:rsidR="002922C2">
        <w:t>íbhinn </w:t>
      </w:r>
      <w:r w:rsidRPr="00BB02FF">
        <w:t>XVII a ghabhann leis an Rialachán seo agus trí na treoracha atá leagtha amach in Iarscr</w:t>
      </w:r>
      <w:r w:rsidR="002922C2">
        <w:t>íbhinn </w:t>
      </w:r>
      <w:r w:rsidRPr="00BB02FF">
        <w:t>XVIII a ghabhann leis an Rialachán seo a leanúint;</w:t>
      </w:r>
    </w:p>
    <w:p w:rsidR="00A858BC" w:rsidRPr="00BB02FF" w:rsidRDefault="00F53E64" w:rsidP="00F5043B">
      <w:pPr>
        <w:pStyle w:val="Point1letter"/>
        <w:numPr>
          <w:ilvl w:val="3"/>
          <w:numId w:val="16"/>
        </w:numPr>
        <w:tabs>
          <w:tab w:val="clear" w:pos="1417"/>
        </w:tabs>
        <w:ind w:left="567"/>
      </w:pPr>
      <w:r w:rsidRPr="00BB02FF">
        <w:t xml:space="preserve">an fhaisnéis dá dtagraítear in </w:t>
      </w:r>
      <w:r w:rsidR="00A345B2">
        <w:t>Airteagal </w:t>
      </w:r>
      <w:r w:rsidRPr="00BB02FF">
        <w:t>453, p</w:t>
      </w:r>
      <w:r w:rsidR="002922C2">
        <w:t>ointe </w:t>
      </w:r>
      <w:r w:rsidRPr="00BB02FF">
        <w:t xml:space="preserve">(f), de Rialachán (AE) </w:t>
      </w:r>
      <w:r w:rsidR="0061010F">
        <w:t>Uimh. </w:t>
      </w:r>
      <w:r w:rsidRPr="00BB02FF">
        <w:t xml:space="preserve">575/2013 trí úsáid a bhaint as teimpléad </w:t>
      </w:r>
      <w:r w:rsidR="00E809D3">
        <w:t>EU </w:t>
      </w:r>
      <w:r w:rsidRPr="00BB02FF">
        <w:t>CR3 d</w:t>
      </w:r>
      <w:r w:rsidR="00975A58">
        <w:t>’</w:t>
      </w:r>
      <w:r w:rsidRPr="00BB02FF">
        <w:t>Iarscr</w:t>
      </w:r>
      <w:r w:rsidR="002922C2">
        <w:t>íbhinn </w:t>
      </w:r>
      <w:r w:rsidRPr="00BB02FF">
        <w:t>XVII a ghabhann leis an Rialachán seo agus trí na treoracha atá leagtha amach in Iarscr</w:t>
      </w:r>
      <w:r w:rsidR="002922C2">
        <w:t>íbhinn </w:t>
      </w:r>
      <w:r w:rsidRPr="00BB02FF">
        <w:t>XVIII a ghabhann leis an Rialachán seo a leanúint.</w:t>
      </w:r>
    </w:p>
    <w:p w:rsidR="000B18AB" w:rsidRPr="00BB02FF" w:rsidRDefault="000B18AB" w:rsidP="000B18AB">
      <w:pPr>
        <w:pStyle w:val="Titrearticle"/>
      </w:pPr>
      <w:r w:rsidRPr="00BB02FF">
        <w:t xml:space="preserve">Airteagal 10 </w:t>
      </w:r>
    </w:p>
    <w:p w:rsidR="00A858BC" w:rsidRPr="00BB02FF" w:rsidRDefault="00A858BC" w:rsidP="00A858BC">
      <w:pPr>
        <w:pStyle w:val="Titrearticle"/>
        <w:spacing w:before="120"/>
        <w:rPr>
          <w:b/>
          <w:i w:val="0"/>
        </w:rPr>
      </w:pPr>
      <w:r w:rsidRPr="00BB02FF">
        <w:rPr>
          <w:b/>
          <w:i w:val="0"/>
        </w:rPr>
        <w:t>Úsáid an chur chuige chaighdeánaithe a nochtadh</w:t>
      </w:r>
    </w:p>
    <w:p w:rsidR="00A858BC" w:rsidRPr="00BB02FF" w:rsidRDefault="00A858BC" w:rsidP="00A858BC">
      <w:r w:rsidRPr="00BB02FF">
        <w:t xml:space="preserve">Na hinstitiúidí a dhéanann méideanna neamhchosanta ualaithe a ríomh ó thaobh priacail faoin gCur Chuige Caighdeánaithe, nochtfaidh siad an fhaisnéis dá dtagraítear in </w:t>
      </w:r>
      <w:r w:rsidR="00A345B2">
        <w:t>Airteagal </w:t>
      </w:r>
      <w:r w:rsidRPr="00BB02FF">
        <w:t xml:space="preserve">444 agus in </w:t>
      </w:r>
      <w:r w:rsidR="00A345B2">
        <w:t>Airteagal </w:t>
      </w:r>
      <w:r w:rsidRPr="00BB02FF">
        <w:t>453, p</w:t>
      </w:r>
      <w:r w:rsidR="002922C2">
        <w:t>ointí </w:t>
      </w:r>
      <w:r w:rsidRPr="00BB02FF">
        <w:t xml:space="preserve">(g), (h) agus (i), de Rialachán (AE) </w:t>
      </w:r>
      <w:r w:rsidR="0061010F">
        <w:t>Uimh. </w:t>
      </w:r>
      <w:r w:rsidRPr="00BB02FF">
        <w:t>575/2013 mar seo a leanas:</w:t>
      </w:r>
    </w:p>
    <w:p w:rsidR="00A858BC" w:rsidRPr="00BB02FF" w:rsidRDefault="00F53E64" w:rsidP="00F5043B">
      <w:pPr>
        <w:pStyle w:val="Point1letter"/>
        <w:numPr>
          <w:ilvl w:val="3"/>
          <w:numId w:val="19"/>
        </w:numPr>
        <w:tabs>
          <w:tab w:val="clear" w:pos="1417"/>
        </w:tabs>
        <w:ind w:left="567"/>
      </w:pPr>
      <w:r w:rsidRPr="00BB02FF">
        <w:lastRenderedPageBreak/>
        <w:t xml:space="preserve">an fhaisnéis dá dtagraítear in </w:t>
      </w:r>
      <w:r w:rsidR="00A345B2">
        <w:t>Airteagal </w:t>
      </w:r>
      <w:r w:rsidRPr="00BB02FF">
        <w:t>444, p</w:t>
      </w:r>
      <w:r w:rsidR="002922C2">
        <w:t>ointí </w:t>
      </w:r>
      <w:r w:rsidRPr="00BB02FF">
        <w:t xml:space="preserve">(a) go (d), de Rialachán (AE) </w:t>
      </w:r>
      <w:r w:rsidR="0061010F">
        <w:t>Uimh. </w:t>
      </w:r>
      <w:r w:rsidRPr="00BB02FF">
        <w:t>575/2013</w:t>
      </w:r>
      <w:r w:rsidR="00EE598D">
        <w:t xml:space="preserve"> trí úsáid a bhaint as tábla EU</w:t>
      </w:r>
      <w:r w:rsidR="00EE598D" w:rsidRPr="00794070">
        <w:t> </w:t>
      </w:r>
      <w:r w:rsidRPr="00BB02FF">
        <w:t>CRD d</w:t>
      </w:r>
      <w:r w:rsidR="00975A58">
        <w:t>’</w:t>
      </w:r>
      <w:r w:rsidRPr="00BB02FF">
        <w:t>Iarscr</w:t>
      </w:r>
      <w:r w:rsidR="002922C2">
        <w:t>íbhinn </w:t>
      </w:r>
      <w:r w:rsidRPr="00BB02FF">
        <w:t>XIX a ghabhann leis an Rialachán seo agus trí na treoracha atá leagtha amach in Iarscr</w:t>
      </w:r>
      <w:r w:rsidR="002922C2">
        <w:t>íbhinn </w:t>
      </w:r>
      <w:r w:rsidRPr="00BB02FF">
        <w:t>XX a ghabhann leis an Rialachán seo a leanúint;</w:t>
      </w:r>
    </w:p>
    <w:p w:rsidR="00A858BC" w:rsidRPr="00BB02FF" w:rsidRDefault="00F53E64" w:rsidP="00F5043B">
      <w:pPr>
        <w:pStyle w:val="Point1letter"/>
        <w:numPr>
          <w:ilvl w:val="3"/>
          <w:numId w:val="19"/>
        </w:numPr>
        <w:tabs>
          <w:tab w:val="clear" w:pos="1417"/>
        </w:tabs>
        <w:ind w:left="567"/>
      </w:pPr>
      <w:r w:rsidRPr="00BB02FF">
        <w:t xml:space="preserve">an fhaisnéis dá dtagraítear in </w:t>
      </w:r>
      <w:r w:rsidR="00A345B2">
        <w:t>Airteagal </w:t>
      </w:r>
      <w:r w:rsidRPr="00BB02FF">
        <w:t>453, p</w:t>
      </w:r>
      <w:r w:rsidR="002922C2">
        <w:t>ointe </w:t>
      </w:r>
      <w:r w:rsidRPr="00BB02FF">
        <w:t xml:space="preserve">(g), (h) agus (i), agus </w:t>
      </w:r>
      <w:r w:rsidR="00A345B2">
        <w:t>Airteagal </w:t>
      </w:r>
      <w:r w:rsidRPr="00BB02FF">
        <w:t xml:space="preserve">444 de Rialachán (AE) </w:t>
      </w:r>
      <w:r w:rsidR="0061010F">
        <w:t>Uimh. </w:t>
      </w:r>
      <w:r w:rsidRPr="00BB02FF">
        <w:t xml:space="preserve">575/2013 trí úsáid a bhaint as teimpléad </w:t>
      </w:r>
      <w:r w:rsidR="00E809D3">
        <w:t>EU </w:t>
      </w:r>
      <w:r w:rsidRPr="00BB02FF">
        <w:t>CR4 d</w:t>
      </w:r>
      <w:r w:rsidR="00975A58">
        <w:t>’</w:t>
      </w:r>
      <w:r w:rsidRPr="00BB02FF">
        <w:t>Iarscr</w:t>
      </w:r>
      <w:r w:rsidR="002922C2">
        <w:t>íbhinn </w:t>
      </w:r>
      <w:r w:rsidRPr="00BB02FF">
        <w:t>XIX a ghabhann leis an Rialachán seo agus trí na treoracha atá leagtha amach in Iarscr</w:t>
      </w:r>
      <w:r w:rsidR="002922C2">
        <w:t>íbhinn </w:t>
      </w:r>
      <w:r w:rsidRPr="00BB02FF">
        <w:t>XX a ghabhann leis an Rialachán seo a leanúint;</w:t>
      </w:r>
    </w:p>
    <w:p w:rsidR="00A858BC" w:rsidRPr="00BB02FF" w:rsidRDefault="00F53E64" w:rsidP="00F5043B">
      <w:pPr>
        <w:pStyle w:val="Point1letter"/>
        <w:numPr>
          <w:ilvl w:val="3"/>
          <w:numId w:val="19"/>
        </w:numPr>
        <w:tabs>
          <w:tab w:val="clear" w:pos="1417"/>
        </w:tabs>
        <w:ind w:left="567"/>
      </w:pPr>
      <w:r w:rsidRPr="00BB02FF">
        <w:t xml:space="preserve">an fhaisnéis dá dtagraítear in </w:t>
      </w:r>
      <w:r w:rsidR="00A345B2">
        <w:t>Airteagal </w:t>
      </w:r>
      <w:r w:rsidRPr="00BB02FF">
        <w:t>444, p</w:t>
      </w:r>
      <w:r w:rsidR="002922C2">
        <w:t>ointe </w:t>
      </w:r>
      <w:r w:rsidRPr="00BB02FF">
        <w:t xml:space="preserve">(e), de Rialachán (AE) </w:t>
      </w:r>
      <w:r w:rsidR="0061010F">
        <w:t>Uimh. </w:t>
      </w:r>
      <w:r w:rsidRPr="00BB02FF">
        <w:t xml:space="preserve">575/2013 trí úsáid a bhaint as teimpléad </w:t>
      </w:r>
      <w:r w:rsidR="00E809D3">
        <w:t>EU </w:t>
      </w:r>
      <w:r w:rsidRPr="00BB02FF">
        <w:t>CR5 d</w:t>
      </w:r>
      <w:r w:rsidR="00975A58">
        <w:t>’</w:t>
      </w:r>
      <w:r w:rsidRPr="00BB02FF">
        <w:t>Iarscr</w:t>
      </w:r>
      <w:r w:rsidR="002922C2">
        <w:t>íbhinn </w:t>
      </w:r>
      <w:r w:rsidRPr="00BB02FF">
        <w:t>XIX a ghabhann leis an Rialachán seo agus trí na treoracha atá leagtha amach in Iarscr</w:t>
      </w:r>
      <w:r w:rsidR="002922C2">
        <w:t>íbhinn </w:t>
      </w:r>
      <w:r w:rsidRPr="00BB02FF">
        <w:t xml:space="preserve">XX a ghabhann leis an Rialachán seo agus, i dtaca le faisnéis faoi na luachanna risíochta a bhaintear as cistí dílse dá dtagraítear san Airteagal céanna sin, trí úsáid a bhaint as teimpléad </w:t>
      </w:r>
      <w:r w:rsidR="00E809D3">
        <w:t>EU </w:t>
      </w:r>
      <w:r w:rsidRPr="00BB02FF">
        <w:t>CC1 d</w:t>
      </w:r>
      <w:r w:rsidR="00975A58">
        <w:t>’</w:t>
      </w:r>
      <w:r w:rsidRPr="00BB02FF">
        <w:t>Iarscr</w:t>
      </w:r>
      <w:r w:rsidR="002922C2">
        <w:t>íbhinn </w:t>
      </w:r>
      <w:r w:rsidRPr="00BB02FF">
        <w:t>VII a ghabhann leis an Rialachán seo agus trí na treoracha atá leagtha amach in Iarscr</w:t>
      </w:r>
      <w:r w:rsidR="002922C2">
        <w:t>íbhinn </w:t>
      </w:r>
      <w:r w:rsidRPr="00BB02FF">
        <w:t>VIII a ghabhann l</w:t>
      </w:r>
      <w:r w:rsidR="00A47540">
        <w:t>eis an Rialachán seo a leanúint</w:t>
      </w:r>
      <w:r w:rsidR="00A47540" w:rsidRPr="00794070">
        <w:t>.</w:t>
      </w:r>
    </w:p>
    <w:p w:rsidR="00173862" w:rsidRPr="00BB02FF" w:rsidRDefault="00173862" w:rsidP="00173862">
      <w:pPr>
        <w:pStyle w:val="Titrearticle"/>
      </w:pPr>
      <w:r w:rsidRPr="00BB02FF">
        <w:t>Airteagal 11</w:t>
      </w:r>
    </w:p>
    <w:p w:rsidR="00A858BC" w:rsidRPr="00BB02FF" w:rsidRDefault="00A858BC" w:rsidP="00A858BC">
      <w:pPr>
        <w:pStyle w:val="Titrearticle"/>
        <w:spacing w:before="120"/>
        <w:rPr>
          <w:b/>
          <w:i w:val="0"/>
        </w:rPr>
      </w:pPr>
      <w:r w:rsidRPr="00BB02FF">
        <w:rPr>
          <w:b/>
          <w:i w:val="0"/>
        </w:rPr>
        <w:t>Úsáid an chur chuige IBR maidir le priacal creidmheasa</w:t>
      </w:r>
    </w:p>
    <w:p w:rsidR="00A858BC" w:rsidRPr="00BB02FF" w:rsidRDefault="00A858BC" w:rsidP="00A858BC">
      <w:r w:rsidRPr="00BB02FF">
        <w:t xml:space="preserve">Na hinstitiúidí a dhéanann méideanna neamhchosanta ualaithe a ríomh ó thaobh priacail faoin gcur chuige IBR, nochtfaidh siad an fhaisnéis dá dtagraítear in </w:t>
      </w:r>
      <w:r w:rsidR="00A345B2">
        <w:t>Airteagail </w:t>
      </w:r>
      <w:r w:rsidRPr="00BB02FF">
        <w:t xml:space="preserve">438 agus 452 agus in </w:t>
      </w:r>
      <w:r w:rsidR="00A345B2">
        <w:t>Airteagal </w:t>
      </w:r>
      <w:r w:rsidRPr="00BB02FF">
        <w:t>453, p</w:t>
      </w:r>
      <w:r w:rsidR="002922C2">
        <w:t>ointí </w:t>
      </w:r>
      <w:r w:rsidRPr="00BB02FF">
        <w:t xml:space="preserve">(g) go (j), de Rialachán (AE) </w:t>
      </w:r>
      <w:r w:rsidR="0061010F">
        <w:t>Uimh. </w:t>
      </w:r>
      <w:r w:rsidRPr="00BB02FF">
        <w:t>575/2013 mar seo a leanas:</w:t>
      </w:r>
    </w:p>
    <w:p w:rsidR="00A858BC" w:rsidRPr="00BB02FF" w:rsidRDefault="00926007" w:rsidP="00F5043B">
      <w:pPr>
        <w:pStyle w:val="Point1letter"/>
        <w:numPr>
          <w:ilvl w:val="3"/>
          <w:numId w:val="20"/>
        </w:numPr>
        <w:tabs>
          <w:tab w:val="clear" w:pos="1417"/>
        </w:tabs>
        <w:ind w:left="567"/>
      </w:pPr>
      <w:r w:rsidRPr="00BB02FF">
        <w:t xml:space="preserve">an fhaisnéis dá dtagraítear in </w:t>
      </w:r>
      <w:r w:rsidR="00A345B2">
        <w:t>Airteagal </w:t>
      </w:r>
      <w:r w:rsidRPr="00BB02FF">
        <w:t>452, p</w:t>
      </w:r>
      <w:r w:rsidR="002922C2">
        <w:t>ointí </w:t>
      </w:r>
      <w:r w:rsidRPr="00BB02FF">
        <w:t xml:space="preserve">(a) go (f), de Rialachán (AE) </w:t>
      </w:r>
      <w:r w:rsidR="0061010F">
        <w:t>Uimh. </w:t>
      </w:r>
      <w:r w:rsidRPr="00BB02FF">
        <w:t>575/2013</w:t>
      </w:r>
      <w:r w:rsidR="00EE598D">
        <w:t xml:space="preserve"> trí úsáid a bhaint as tábla EU</w:t>
      </w:r>
      <w:r w:rsidR="00EE598D" w:rsidRPr="00794070">
        <w:t> </w:t>
      </w:r>
      <w:r w:rsidRPr="00BB02FF">
        <w:t xml:space="preserve">CRE agus teimpléad </w:t>
      </w:r>
      <w:r w:rsidR="00E809D3">
        <w:t>EU </w:t>
      </w:r>
      <w:r w:rsidRPr="00BB02FF">
        <w:t>CR6-A d</w:t>
      </w:r>
      <w:r w:rsidR="00975A58">
        <w:t>’</w:t>
      </w:r>
      <w:r w:rsidRPr="00BB02FF">
        <w:t>Iarscr</w:t>
      </w:r>
      <w:r w:rsidR="002922C2">
        <w:t>íbhinn </w:t>
      </w:r>
      <w:r w:rsidRPr="00BB02FF">
        <w:t>XXI a ghabhann leis an Rialachán seo agus trí na treoracha atá leagtha amach in Iarscr</w:t>
      </w:r>
      <w:r w:rsidR="002922C2">
        <w:t>íbhinn </w:t>
      </w:r>
      <w:r w:rsidRPr="00BB02FF">
        <w:t>XXII a ghabhann leis an Rialachán seo a leanúint;</w:t>
      </w:r>
    </w:p>
    <w:p w:rsidR="00A858BC" w:rsidRPr="00BB02FF" w:rsidRDefault="00926007" w:rsidP="00F5043B">
      <w:pPr>
        <w:pStyle w:val="Point1letter"/>
        <w:numPr>
          <w:ilvl w:val="3"/>
          <w:numId w:val="19"/>
        </w:numPr>
        <w:tabs>
          <w:tab w:val="clear" w:pos="1417"/>
        </w:tabs>
        <w:ind w:left="567"/>
      </w:pPr>
      <w:r w:rsidRPr="00BB02FF">
        <w:t xml:space="preserve">an fhaisnéis dá dtagraítear in </w:t>
      </w:r>
      <w:r w:rsidR="00A345B2">
        <w:t>Airteagal </w:t>
      </w:r>
      <w:r w:rsidRPr="00BB02FF">
        <w:t>452, p</w:t>
      </w:r>
      <w:r w:rsidR="002922C2">
        <w:t>ointe </w:t>
      </w:r>
      <w:r w:rsidRPr="00BB02FF">
        <w:t xml:space="preserve">(g), de Rialachán (AE) </w:t>
      </w:r>
      <w:r w:rsidR="0061010F">
        <w:t>Uimh. </w:t>
      </w:r>
      <w:r w:rsidRPr="00BB02FF">
        <w:t xml:space="preserve">575/2013 trí úsáid a bhaint as teimpléad </w:t>
      </w:r>
      <w:r w:rsidR="00E809D3">
        <w:t>EU </w:t>
      </w:r>
      <w:r w:rsidRPr="00BB02FF">
        <w:t>CR6 d</w:t>
      </w:r>
      <w:r w:rsidR="00975A58">
        <w:t>’</w:t>
      </w:r>
      <w:r w:rsidRPr="00BB02FF">
        <w:t>Iarscr</w:t>
      </w:r>
      <w:r w:rsidR="002922C2">
        <w:t>íbhinn </w:t>
      </w:r>
      <w:r w:rsidRPr="00BB02FF">
        <w:t>XXI a ghabhann leis an Rialachán seo agus trí na treoracha atá leagtha amach in Iarscr</w:t>
      </w:r>
      <w:r w:rsidR="002922C2">
        <w:t>íbhinn </w:t>
      </w:r>
      <w:r w:rsidRPr="00BB02FF">
        <w:t>XXII a ghabhann leis an Rialachán seo;</w:t>
      </w:r>
    </w:p>
    <w:p w:rsidR="00A858BC" w:rsidRPr="00BB02FF" w:rsidRDefault="00926007" w:rsidP="00F5043B">
      <w:pPr>
        <w:pStyle w:val="Point1letter"/>
        <w:numPr>
          <w:ilvl w:val="3"/>
          <w:numId w:val="19"/>
        </w:numPr>
        <w:tabs>
          <w:tab w:val="clear" w:pos="1417"/>
        </w:tabs>
        <w:ind w:left="567"/>
      </w:pPr>
      <w:r w:rsidRPr="00BB02FF">
        <w:t xml:space="preserve">an fhaisnéis dá dtagraítear in </w:t>
      </w:r>
      <w:r w:rsidR="00A345B2">
        <w:t>Airteagal </w:t>
      </w:r>
      <w:r w:rsidRPr="00BB02FF">
        <w:t>453, p</w:t>
      </w:r>
      <w:r w:rsidR="002922C2">
        <w:t>ointí </w:t>
      </w:r>
      <w:r w:rsidRPr="00BB02FF">
        <w:t xml:space="preserve">(g) agus (j), de Rialachán (AE) </w:t>
      </w:r>
      <w:r w:rsidR="0061010F">
        <w:t>Uimh. </w:t>
      </w:r>
      <w:r w:rsidRPr="00BB02FF">
        <w:t xml:space="preserve">575/2013 trí úsáid a bhaint as teimpléid </w:t>
      </w:r>
      <w:r w:rsidR="00E809D3">
        <w:t>EU </w:t>
      </w:r>
      <w:r w:rsidRPr="00BB02FF">
        <w:t>CR7-A agus CR7 d</w:t>
      </w:r>
      <w:r w:rsidR="00975A58">
        <w:t>’</w:t>
      </w:r>
      <w:r w:rsidRPr="00BB02FF">
        <w:t>Iarscr</w:t>
      </w:r>
      <w:r w:rsidR="002922C2">
        <w:t>íbhinn </w:t>
      </w:r>
      <w:r w:rsidRPr="00BB02FF">
        <w:t>XXI a ghabhann leis an Rialachán seo agus trí na treoracha atá leagtha amach in Iarscr</w:t>
      </w:r>
      <w:r w:rsidR="002922C2">
        <w:t>íbhinn </w:t>
      </w:r>
      <w:r w:rsidRPr="00BB02FF">
        <w:t>XXII a ghabhann leis an Rialachán seo a leanúint;</w:t>
      </w:r>
    </w:p>
    <w:p w:rsidR="00A858BC" w:rsidRPr="00BB02FF" w:rsidRDefault="00926007" w:rsidP="00F5043B">
      <w:pPr>
        <w:pStyle w:val="Point1letter"/>
        <w:numPr>
          <w:ilvl w:val="3"/>
          <w:numId w:val="19"/>
        </w:numPr>
        <w:tabs>
          <w:tab w:val="clear" w:pos="1417"/>
        </w:tabs>
        <w:ind w:left="567"/>
      </w:pPr>
      <w:r w:rsidRPr="00BB02FF">
        <w:t xml:space="preserve">an fhaisnéis dá dtagraítear in </w:t>
      </w:r>
      <w:r w:rsidR="00A345B2">
        <w:t>Airteagal </w:t>
      </w:r>
      <w:r w:rsidRPr="00BB02FF">
        <w:t>438, p</w:t>
      </w:r>
      <w:r w:rsidR="002922C2">
        <w:t>ointe </w:t>
      </w:r>
      <w:r w:rsidRPr="00BB02FF">
        <w:t xml:space="preserve">(h), de Rialachán (AE) </w:t>
      </w:r>
      <w:r w:rsidR="0061010F">
        <w:t>Uimh. </w:t>
      </w:r>
      <w:r w:rsidRPr="00BB02FF">
        <w:t xml:space="preserve">575/2013 trí úsáid a bhaint as teimpléad </w:t>
      </w:r>
      <w:r w:rsidR="00E809D3">
        <w:t>EU </w:t>
      </w:r>
      <w:r w:rsidRPr="00BB02FF">
        <w:t>CR8 d</w:t>
      </w:r>
      <w:r w:rsidR="00975A58">
        <w:t>’</w:t>
      </w:r>
      <w:r w:rsidRPr="00BB02FF">
        <w:t>Iarscr</w:t>
      </w:r>
      <w:r w:rsidR="002922C2">
        <w:t>íbhinn </w:t>
      </w:r>
      <w:r w:rsidRPr="00BB02FF">
        <w:t>XXI a ghabhann leis an Rialachán seo agus trí na treoracha atá leagtha amach in Iarscr</w:t>
      </w:r>
      <w:r w:rsidR="002922C2">
        <w:t>íbhinn </w:t>
      </w:r>
      <w:r w:rsidRPr="00BB02FF">
        <w:t>XXII a ghabhann leis an Rialachán seo a leanúint;</w:t>
      </w:r>
    </w:p>
    <w:p w:rsidR="00A858BC" w:rsidRPr="00BB02FF" w:rsidRDefault="00926007" w:rsidP="00F5043B">
      <w:pPr>
        <w:pStyle w:val="Point1letter"/>
        <w:numPr>
          <w:ilvl w:val="3"/>
          <w:numId w:val="19"/>
        </w:numPr>
        <w:tabs>
          <w:tab w:val="clear" w:pos="1417"/>
        </w:tabs>
        <w:ind w:left="567"/>
      </w:pPr>
      <w:r w:rsidRPr="00BB02FF">
        <w:t xml:space="preserve">an fhaisnéis dá dtagraítear in </w:t>
      </w:r>
      <w:r w:rsidR="00A345B2">
        <w:t>Airteagal </w:t>
      </w:r>
      <w:r w:rsidRPr="00BB02FF">
        <w:t>452, p</w:t>
      </w:r>
      <w:r w:rsidR="002922C2">
        <w:t>ointe </w:t>
      </w:r>
      <w:r w:rsidRPr="00BB02FF">
        <w:t xml:space="preserve">(h), de Rialachán (AE) </w:t>
      </w:r>
      <w:r w:rsidR="0061010F">
        <w:t>Uimh. </w:t>
      </w:r>
      <w:r w:rsidRPr="00BB02FF">
        <w:t xml:space="preserve">575/2013 trí úsáid a bhaint as teimpléid </w:t>
      </w:r>
      <w:r w:rsidR="00E809D3">
        <w:t>EU </w:t>
      </w:r>
      <w:r w:rsidRPr="00BB02FF">
        <w:t xml:space="preserve">CR9 agus </w:t>
      </w:r>
      <w:r w:rsidR="00E809D3">
        <w:t>EU </w:t>
      </w:r>
      <w:r w:rsidRPr="00BB02FF">
        <w:t>CR9.1 d</w:t>
      </w:r>
      <w:r w:rsidR="00975A58">
        <w:t>’</w:t>
      </w:r>
      <w:r w:rsidRPr="00BB02FF">
        <w:t>Iarscr</w:t>
      </w:r>
      <w:r w:rsidR="002922C2">
        <w:t>íbhinn </w:t>
      </w:r>
      <w:r w:rsidRPr="00BB02FF">
        <w:t>XXI a ghabhann leis an Rialachán seo agus trí na treoracha atá leagtha amach in Iarscr</w:t>
      </w:r>
      <w:r w:rsidR="002922C2">
        <w:t>íbhinn </w:t>
      </w:r>
      <w:r w:rsidRPr="00BB02FF">
        <w:t>XXII a ghabhann leis an Rialachán seo a leanúint.</w:t>
      </w:r>
    </w:p>
    <w:p w:rsidR="009675DD" w:rsidRPr="00BB02FF" w:rsidRDefault="009675DD" w:rsidP="009675DD">
      <w:pPr>
        <w:pStyle w:val="Titrearticle"/>
      </w:pPr>
      <w:r w:rsidRPr="00BB02FF">
        <w:lastRenderedPageBreak/>
        <w:t>Airteagal 12</w:t>
      </w:r>
    </w:p>
    <w:p w:rsidR="00A858BC" w:rsidRPr="00BB02FF" w:rsidRDefault="00A858BC" w:rsidP="00A858BC">
      <w:pPr>
        <w:pStyle w:val="Titrearticle"/>
        <w:spacing w:before="120"/>
        <w:rPr>
          <w:b/>
          <w:i w:val="0"/>
        </w:rPr>
      </w:pPr>
      <w:r w:rsidRPr="00BB02FF">
        <w:rPr>
          <w:b/>
          <w:i w:val="0"/>
        </w:rPr>
        <w:t>Iasachtú speisialaithe agus risíocht cothromais a nochtadh faoin gcur chuige simplí maidir le hualú riosca</w:t>
      </w:r>
    </w:p>
    <w:p w:rsidR="00A858BC" w:rsidRPr="00BB02FF" w:rsidRDefault="00A858BC" w:rsidP="00A858BC">
      <w:r w:rsidRPr="00BB02FF">
        <w:t xml:space="preserve">Déanfaidh institiúidí an fhaisnéis dá dtagraítear in </w:t>
      </w:r>
      <w:r w:rsidR="00A345B2">
        <w:t>Airteagal </w:t>
      </w:r>
      <w:r w:rsidRPr="00BB02FF">
        <w:t>438, p</w:t>
      </w:r>
      <w:r w:rsidR="002922C2">
        <w:t>ointe </w:t>
      </w:r>
      <w:r w:rsidRPr="00BB02FF">
        <w:t xml:space="preserve">(e), de Rialachán (AE) </w:t>
      </w:r>
      <w:r w:rsidR="0061010F">
        <w:t>Uimh. </w:t>
      </w:r>
      <w:r w:rsidRPr="00BB02FF">
        <w:t xml:space="preserve">575/2013 a nochtadh trí úsáid a bhaint as teimpléad </w:t>
      </w:r>
      <w:r w:rsidR="00E809D3">
        <w:t>EU </w:t>
      </w:r>
      <w:r w:rsidRPr="00BB02FF">
        <w:t>CR10 d</w:t>
      </w:r>
      <w:r w:rsidR="00975A58">
        <w:t>’</w:t>
      </w:r>
      <w:r w:rsidRPr="00BB02FF">
        <w:t>Iarscr</w:t>
      </w:r>
      <w:r w:rsidR="002922C2">
        <w:t>íbhinn </w:t>
      </w:r>
      <w:r w:rsidRPr="00BB02FF">
        <w:t>XXIII a ghabhann leis an Rialachán seo agus trí na treoracha atá leagtha amach in Iarscr</w:t>
      </w:r>
      <w:r w:rsidR="002922C2">
        <w:t>íbhinn </w:t>
      </w:r>
      <w:r w:rsidRPr="00BB02FF">
        <w:t>XXIV a ghabhann leis an Rialachán seo a leanúint.</w:t>
      </w:r>
    </w:p>
    <w:p w:rsidR="00BF182F" w:rsidRPr="00BB02FF" w:rsidRDefault="00BF182F" w:rsidP="00BF182F">
      <w:pPr>
        <w:pStyle w:val="Titrearticle"/>
      </w:pPr>
      <w:r w:rsidRPr="00BB02FF">
        <w:t>Airteagal 13</w:t>
      </w:r>
    </w:p>
    <w:p w:rsidR="00A858BC" w:rsidRPr="00BB02FF" w:rsidRDefault="00A858BC" w:rsidP="00A858BC">
      <w:pPr>
        <w:pStyle w:val="Titrearticle"/>
        <w:spacing w:before="120"/>
        <w:rPr>
          <w:b/>
          <w:i w:val="0"/>
        </w:rPr>
      </w:pPr>
      <w:r w:rsidRPr="00BB02FF">
        <w:rPr>
          <w:b/>
          <w:i w:val="0"/>
        </w:rPr>
        <w:t>Risíocht ar phriacal creidmheasa an chontrapháirtí a nochtadh</w:t>
      </w:r>
    </w:p>
    <w:p w:rsidR="00A858BC" w:rsidRPr="00BB02FF" w:rsidRDefault="00A858BC" w:rsidP="00A858BC">
      <w:r w:rsidRPr="00BB02FF">
        <w:t xml:space="preserve">Déanfaidh institiúidí an fhaisnéis dá dtagraítear in </w:t>
      </w:r>
      <w:r w:rsidR="00A345B2">
        <w:t>Airteagal </w:t>
      </w:r>
      <w:r w:rsidRPr="00BB02FF">
        <w:t>438 a nochtadh, p</w:t>
      </w:r>
      <w:r w:rsidR="002922C2">
        <w:t>ointe </w:t>
      </w:r>
      <w:r w:rsidRPr="00BB02FF">
        <w:t xml:space="preserve">(h), agus in </w:t>
      </w:r>
      <w:r w:rsidR="00A345B2">
        <w:t>Airteagal </w:t>
      </w:r>
      <w:r w:rsidRPr="00BB02FF">
        <w:t xml:space="preserve">439 de Rialachán (AE) </w:t>
      </w:r>
      <w:r w:rsidR="0061010F">
        <w:t>Uimh. </w:t>
      </w:r>
      <w:r w:rsidRPr="00BB02FF">
        <w:t>575/2013 mar a leanas:</w:t>
      </w:r>
    </w:p>
    <w:p w:rsidR="00A858BC" w:rsidRPr="00BB02FF" w:rsidRDefault="00336F4D" w:rsidP="00F5043B">
      <w:pPr>
        <w:pStyle w:val="Point1letter"/>
        <w:numPr>
          <w:ilvl w:val="3"/>
          <w:numId w:val="21"/>
        </w:numPr>
        <w:tabs>
          <w:tab w:val="clear" w:pos="1417"/>
        </w:tabs>
        <w:ind w:left="567"/>
      </w:pPr>
      <w:r w:rsidRPr="00BB02FF">
        <w:t xml:space="preserve">an fhaisnéis dá dtagraítear in </w:t>
      </w:r>
      <w:r w:rsidR="00A345B2">
        <w:t>Airteagal </w:t>
      </w:r>
      <w:r w:rsidRPr="00BB02FF">
        <w:t>439, p</w:t>
      </w:r>
      <w:r w:rsidR="002922C2">
        <w:t>ointí </w:t>
      </w:r>
      <w:r w:rsidRPr="00BB02FF">
        <w:t xml:space="preserve">(a) (b), (c) agus (d), de Rialachán (AE) </w:t>
      </w:r>
      <w:r w:rsidR="0061010F">
        <w:t>Uimh. </w:t>
      </w:r>
      <w:r w:rsidRPr="00BB02FF">
        <w:t>575/2013</w:t>
      </w:r>
      <w:r w:rsidR="00EE598D">
        <w:t xml:space="preserve"> trí úsáid a bhaint as tábla </w:t>
      </w:r>
      <w:r w:rsidR="00E809D3">
        <w:t>EU </w:t>
      </w:r>
      <w:r w:rsidRPr="00BB02FF">
        <w:t>CCRA d</w:t>
      </w:r>
      <w:r w:rsidR="00975A58">
        <w:t>’</w:t>
      </w:r>
      <w:r w:rsidRPr="00BB02FF">
        <w:t>Iarscr</w:t>
      </w:r>
      <w:r w:rsidR="002922C2">
        <w:t>íbhinn </w:t>
      </w:r>
      <w:r w:rsidRPr="00BB02FF">
        <w:t>XXV a ghabhann leis an Rialachán seo agus trí na treoracha atá leagtha amach in Iarscr</w:t>
      </w:r>
      <w:r w:rsidR="002922C2">
        <w:t>íbhinn </w:t>
      </w:r>
      <w:r w:rsidRPr="00BB02FF">
        <w:t>XXVII a ghabhann leis an Rialachán seo a leanúint;</w:t>
      </w:r>
    </w:p>
    <w:p w:rsidR="00A858BC" w:rsidRPr="00BB02FF" w:rsidRDefault="00336F4D" w:rsidP="00F5043B">
      <w:pPr>
        <w:pStyle w:val="Point1letter"/>
        <w:numPr>
          <w:ilvl w:val="3"/>
          <w:numId w:val="19"/>
        </w:numPr>
        <w:tabs>
          <w:tab w:val="clear" w:pos="1417"/>
        </w:tabs>
        <w:ind w:left="567"/>
      </w:pPr>
      <w:r w:rsidRPr="00BB02FF">
        <w:t xml:space="preserve">an fhaisnéis dá dtagraítear in </w:t>
      </w:r>
      <w:r w:rsidR="00A345B2">
        <w:t>Airteagal </w:t>
      </w:r>
      <w:r w:rsidRPr="00BB02FF">
        <w:t>439, p</w:t>
      </w:r>
      <w:r w:rsidR="002922C2">
        <w:t>ointí </w:t>
      </w:r>
      <w:r w:rsidRPr="00BB02FF">
        <w:t xml:space="preserve">(f), (g), (k) agus (m), de Rialachán (AE) </w:t>
      </w:r>
      <w:r w:rsidR="0061010F">
        <w:t>Uimh. </w:t>
      </w:r>
      <w:r w:rsidRPr="00BB02FF">
        <w:t xml:space="preserve">575/2013 trí úsáid a bhaint as teimpléad </w:t>
      </w:r>
      <w:r w:rsidR="00E809D3">
        <w:t>EU </w:t>
      </w:r>
      <w:r w:rsidRPr="00BB02FF">
        <w:t>CCR1 d</w:t>
      </w:r>
      <w:r w:rsidR="00975A58">
        <w:t>’</w:t>
      </w:r>
      <w:r w:rsidRPr="00BB02FF">
        <w:t>Iarscr</w:t>
      </w:r>
      <w:r w:rsidR="002922C2">
        <w:t>íbhinn </w:t>
      </w:r>
      <w:r w:rsidRPr="00BB02FF">
        <w:t>XXV a ghabhann leis an Rialachán seo agus trí na treoracha atá leagtha amach in Iarscr</w:t>
      </w:r>
      <w:r w:rsidR="002922C2">
        <w:t>íbhinn </w:t>
      </w:r>
      <w:r w:rsidRPr="00BB02FF">
        <w:t>XXVI a ghabhann leis an Rialachán seo a leanúint;</w:t>
      </w:r>
    </w:p>
    <w:p w:rsidR="00A858BC" w:rsidRPr="00BB02FF" w:rsidRDefault="00336F4D" w:rsidP="00F5043B">
      <w:pPr>
        <w:pStyle w:val="Point1letter"/>
        <w:numPr>
          <w:ilvl w:val="3"/>
          <w:numId w:val="19"/>
        </w:numPr>
        <w:tabs>
          <w:tab w:val="clear" w:pos="1417"/>
        </w:tabs>
        <w:ind w:left="567"/>
      </w:pPr>
      <w:r w:rsidRPr="00BB02FF">
        <w:t xml:space="preserve">an fhaisnéis dá dtagraítear in </w:t>
      </w:r>
      <w:r w:rsidR="00A345B2">
        <w:t>Airteagal </w:t>
      </w:r>
      <w:r w:rsidRPr="00BB02FF">
        <w:t>439, p</w:t>
      </w:r>
      <w:r w:rsidR="002922C2">
        <w:t>ointe </w:t>
      </w:r>
      <w:r w:rsidRPr="00BB02FF">
        <w:t xml:space="preserve">(h), de Rialachán (AE) </w:t>
      </w:r>
      <w:r w:rsidR="0061010F">
        <w:t>Uimh. </w:t>
      </w:r>
      <w:r w:rsidRPr="00BB02FF">
        <w:t xml:space="preserve">575/2013 trí úsáid a bhaint as teimpléad </w:t>
      </w:r>
      <w:r w:rsidR="00E809D3">
        <w:t>EU </w:t>
      </w:r>
      <w:r w:rsidRPr="00BB02FF">
        <w:t>CCR2 d</w:t>
      </w:r>
      <w:r w:rsidR="00975A58">
        <w:t>’</w:t>
      </w:r>
      <w:r w:rsidRPr="00BB02FF">
        <w:t>Iarscr</w:t>
      </w:r>
      <w:r w:rsidR="002922C2">
        <w:t>íbhinn </w:t>
      </w:r>
      <w:r w:rsidRPr="00BB02FF">
        <w:t>XXV a ghabhann leis an Rialachán seo agus trí na treoracha atá leagtha amach in Iarscr</w:t>
      </w:r>
      <w:r w:rsidR="002922C2">
        <w:t>íbhinn </w:t>
      </w:r>
      <w:r w:rsidRPr="00BB02FF">
        <w:t>XXVI a ghabhann leis an Rialachán seo a leanúint;</w:t>
      </w:r>
    </w:p>
    <w:p w:rsidR="00F31307" w:rsidRPr="00BB02FF" w:rsidRDefault="00F31307" w:rsidP="00F31307">
      <w:pPr>
        <w:pStyle w:val="Point1letter"/>
        <w:numPr>
          <w:ilvl w:val="3"/>
          <w:numId w:val="19"/>
        </w:numPr>
        <w:tabs>
          <w:tab w:val="clear" w:pos="1417"/>
        </w:tabs>
        <w:ind w:left="567"/>
      </w:pPr>
      <w:r w:rsidRPr="00BB02FF">
        <w:t xml:space="preserve">an fhaisnéis dá dtagraítear in </w:t>
      </w:r>
      <w:r w:rsidR="00A345B2">
        <w:t>Airteagal </w:t>
      </w:r>
      <w:r w:rsidRPr="00BB02FF">
        <w:t>439, p</w:t>
      </w:r>
      <w:r w:rsidR="002922C2">
        <w:t>ointe </w:t>
      </w:r>
      <w:r w:rsidRPr="00BB02FF">
        <w:t xml:space="preserve">(l) de Rialachán (AE) </w:t>
      </w:r>
      <w:r w:rsidR="0061010F">
        <w:t>Uimh. </w:t>
      </w:r>
      <w:r w:rsidRPr="00BB02FF">
        <w:t xml:space="preserve">575/2013 trí úsáid a bhaint as teimpléid </w:t>
      </w:r>
      <w:r w:rsidR="00E809D3">
        <w:t>EU </w:t>
      </w:r>
      <w:r w:rsidRPr="00BB02FF">
        <w:t xml:space="preserve">CCR3 agus </w:t>
      </w:r>
      <w:r w:rsidR="00E809D3">
        <w:t>EU </w:t>
      </w:r>
      <w:r w:rsidRPr="00BB02FF">
        <w:t>CCR4 d</w:t>
      </w:r>
      <w:r w:rsidR="00975A58">
        <w:t>’</w:t>
      </w:r>
      <w:r w:rsidRPr="00BB02FF">
        <w:t>Iarscr</w:t>
      </w:r>
      <w:r w:rsidR="002922C2">
        <w:t>íbhinn </w:t>
      </w:r>
      <w:r w:rsidRPr="00BB02FF">
        <w:t>XXV a ghabhann leis an Rialachán seo agus trí na treoracha atá leagtha amach in Iarscr</w:t>
      </w:r>
      <w:r w:rsidR="002922C2">
        <w:t>íbhinn </w:t>
      </w:r>
      <w:r w:rsidRPr="00BB02FF">
        <w:t>XXVI a ghabhann leis an Rialachán seo a leanúint;</w:t>
      </w:r>
    </w:p>
    <w:p w:rsidR="00F31307" w:rsidRPr="00BB02FF" w:rsidRDefault="00F31307" w:rsidP="00F31307">
      <w:pPr>
        <w:pStyle w:val="Point1letter"/>
        <w:numPr>
          <w:ilvl w:val="3"/>
          <w:numId w:val="19"/>
        </w:numPr>
        <w:tabs>
          <w:tab w:val="clear" w:pos="1417"/>
        </w:tabs>
        <w:ind w:left="567"/>
      </w:pPr>
      <w:r w:rsidRPr="00BB02FF">
        <w:t xml:space="preserve">an fhaisnéis dá dtagraítear in </w:t>
      </w:r>
      <w:r w:rsidR="00A345B2">
        <w:t>Airteagal </w:t>
      </w:r>
      <w:r w:rsidRPr="00BB02FF">
        <w:t>439, p</w:t>
      </w:r>
      <w:r w:rsidR="002922C2">
        <w:t>ointe </w:t>
      </w:r>
      <w:r w:rsidRPr="00BB02FF">
        <w:t xml:space="preserve">(e), de Rialachán (AE) </w:t>
      </w:r>
      <w:r w:rsidR="0061010F">
        <w:t>Uimh. </w:t>
      </w:r>
      <w:r w:rsidRPr="00BB02FF">
        <w:t xml:space="preserve">575/2013 trí úsáid a bhaint as teimpléad </w:t>
      </w:r>
      <w:r w:rsidR="00E809D3">
        <w:t>EU </w:t>
      </w:r>
      <w:r w:rsidRPr="00BB02FF">
        <w:t>CCR5 d</w:t>
      </w:r>
      <w:r w:rsidR="00975A58">
        <w:t>’</w:t>
      </w:r>
      <w:r w:rsidRPr="00BB02FF">
        <w:t>Iarscr</w:t>
      </w:r>
      <w:r w:rsidR="002922C2">
        <w:t>íbhinn </w:t>
      </w:r>
      <w:r w:rsidRPr="00BB02FF">
        <w:t>XXV a ghabhann leis an Rialachán seo agus trí na treoracha atá leagtha amach in Iarscr</w:t>
      </w:r>
      <w:r w:rsidR="002922C2">
        <w:t>íbhinn </w:t>
      </w:r>
      <w:r w:rsidRPr="00BB02FF">
        <w:t>XXVI a ghabhann leis an Rialachán seo a leanúint;</w:t>
      </w:r>
    </w:p>
    <w:p w:rsidR="00F31307" w:rsidRPr="00BB02FF" w:rsidRDefault="00F31307" w:rsidP="007F676F">
      <w:pPr>
        <w:pStyle w:val="Point1letter"/>
        <w:numPr>
          <w:ilvl w:val="3"/>
          <w:numId w:val="19"/>
        </w:numPr>
        <w:tabs>
          <w:tab w:val="clear" w:pos="1417"/>
        </w:tabs>
        <w:ind w:left="567"/>
      </w:pPr>
      <w:r w:rsidRPr="00BB02FF">
        <w:t xml:space="preserve">an fhaisnéis dá dtagraítear in </w:t>
      </w:r>
      <w:r w:rsidR="00A345B2">
        <w:t>Airteagal </w:t>
      </w:r>
      <w:r w:rsidRPr="00BB02FF">
        <w:t>439, p</w:t>
      </w:r>
      <w:r w:rsidR="002922C2">
        <w:t>ointe </w:t>
      </w:r>
      <w:r w:rsidRPr="00BB02FF">
        <w:t xml:space="preserve">(j), de Rialachán (AE) </w:t>
      </w:r>
      <w:r w:rsidR="0061010F">
        <w:t>Uimh. </w:t>
      </w:r>
      <w:r w:rsidRPr="00BB02FF">
        <w:t xml:space="preserve">575/2013 trí úsáid a bhaint as teimpléad </w:t>
      </w:r>
      <w:r w:rsidR="00E809D3">
        <w:t>EU </w:t>
      </w:r>
      <w:r w:rsidRPr="00BB02FF">
        <w:t>CCR6 d</w:t>
      </w:r>
      <w:r w:rsidR="00975A58">
        <w:t>’</w:t>
      </w:r>
      <w:r w:rsidRPr="00BB02FF">
        <w:t>Iarscr</w:t>
      </w:r>
      <w:r w:rsidR="002922C2">
        <w:t>íbhinn </w:t>
      </w:r>
      <w:r w:rsidRPr="00BB02FF">
        <w:t>XXV a ghabhann leis an Rialachán seo agus trí na treoracha atá leagtha amach in Iarscr</w:t>
      </w:r>
      <w:r w:rsidR="002922C2">
        <w:t>íbhinn </w:t>
      </w:r>
      <w:r w:rsidRPr="00BB02FF">
        <w:t>XXVI a ghabhann leis an Rialachán seo a leanúint;</w:t>
      </w:r>
    </w:p>
    <w:p w:rsidR="00262584" w:rsidRPr="00BB02FF" w:rsidRDefault="00262584" w:rsidP="00262584">
      <w:pPr>
        <w:pStyle w:val="Point1letter"/>
        <w:numPr>
          <w:ilvl w:val="3"/>
          <w:numId w:val="19"/>
        </w:numPr>
        <w:tabs>
          <w:tab w:val="clear" w:pos="1417"/>
        </w:tabs>
        <w:ind w:left="567"/>
      </w:pPr>
      <w:r w:rsidRPr="00BB02FF">
        <w:t xml:space="preserve">an fhaisnéis dá dtagraítear in </w:t>
      </w:r>
      <w:r w:rsidR="00A345B2">
        <w:t>Airteagal </w:t>
      </w:r>
      <w:r w:rsidRPr="00BB02FF">
        <w:t>438, p</w:t>
      </w:r>
      <w:r w:rsidR="002922C2">
        <w:t>ointe </w:t>
      </w:r>
      <w:r w:rsidRPr="00BB02FF">
        <w:t xml:space="preserve">(h), de Rialachán (AE) </w:t>
      </w:r>
      <w:r w:rsidR="0061010F">
        <w:t>Uimh. </w:t>
      </w:r>
      <w:r w:rsidRPr="00BB02FF">
        <w:t xml:space="preserve">575/2013 trí úsáid a bhaint as teimpléad </w:t>
      </w:r>
      <w:r w:rsidR="00E809D3">
        <w:t>EU </w:t>
      </w:r>
      <w:r w:rsidRPr="00BB02FF">
        <w:t>CCR7 d</w:t>
      </w:r>
      <w:r w:rsidR="00975A58">
        <w:t>’</w:t>
      </w:r>
      <w:r w:rsidRPr="00BB02FF">
        <w:t>Iarscr</w:t>
      </w:r>
      <w:r w:rsidR="002922C2">
        <w:t>íbhinn </w:t>
      </w:r>
      <w:r w:rsidRPr="00BB02FF">
        <w:t>XXV a ghabhann leis an Rialachán seo agus trí na treoracha atá leagtha amach in Iarscr</w:t>
      </w:r>
      <w:r w:rsidR="002922C2">
        <w:t>íbhinn </w:t>
      </w:r>
      <w:r w:rsidRPr="00BB02FF">
        <w:t>XXVI a ghabhann leis an Rialachán seo a leanúint;</w:t>
      </w:r>
    </w:p>
    <w:p w:rsidR="00262584" w:rsidRPr="00BB02FF" w:rsidRDefault="00262584" w:rsidP="00262584">
      <w:pPr>
        <w:pStyle w:val="Point1letter"/>
        <w:numPr>
          <w:ilvl w:val="3"/>
          <w:numId w:val="19"/>
        </w:numPr>
        <w:tabs>
          <w:tab w:val="clear" w:pos="1417"/>
        </w:tabs>
        <w:ind w:left="567"/>
      </w:pPr>
      <w:r w:rsidRPr="00BB02FF">
        <w:t xml:space="preserve">an fhaisnéis dá dtagraítear in </w:t>
      </w:r>
      <w:r w:rsidR="00A345B2">
        <w:t>Airteagal </w:t>
      </w:r>
      <w:r w:rsidRPr="00BB02FF">
        <w:t>439, p</w:t>
      </w:r>
      <w:r w:rsidR="002922C2">
        <w:t>ointe </w:t>
      </w:r>
      <w:r w:rsidRPr="00BB02FF">
        <w:t xml:space="preserve">(i), de Rialachán (AE) </w:t>
      </w:r>
      <w:r w:rsidR="0061010F">
        <w:t>Uimh. </w:t>
      </w:r>
      <w:r w:rsidRPr="00BB02FF">
        <w:t xml:space="preserve">575/2013 trí úsáid a bhaint as teimpléad </w:t>
      </w:r>
      <w:r w:rsidR="00E809D3">
        <w:t>EU </w:t>
      </w:r>
      <w:r w:rsidRPr="00BB02FF">
        <w:t>CCR8 d</w:t>
      </w:r>
      <w:r w:rsidR="00975A58">
        <w:t>’</w:t>
      </w:r>
      <w:r w:rsidRPr="00BB02FF">
        <w:t>Iarscr</w:t>
      </w:r>
      <w:r w:rsidR="002922C2">
        <w:t>íbhinn </w:t>
      </w:r>
      <w:r w:rsidRPr="00BB02FF">
        <w:t>XXV a ghabhann leis an Rialachán seo agus trí na treoracha atá leagtha amach in Iarscr</w:t>
      </w:r>
      <w:r w:rsidR="002922C2">
        <w:t>íbhinn </w:t>
      </w:r>
      <w:r w:rsidRPr="00BB02FF">
        <w:t xml:space="preserve">XXVI a ghabhann leis an Rialachán seo a leanúint. </w:t>
      </w:r>
    </w:p>
    <w:p w:rsidR="00F91209" w:rsidRPr="00BB02FF" w:rsidRDefault="00F91209" w:rsidP="00F91209">
      <w:pPr>
        <w:pStyle w:val="Titrearticle"/>
      </w:pPr>
      <w:r w:rsidRPr="00BB02FF">
        <w:lastRenderedPageBreak/>
        <w:t>Airteagal 14</w:t>
      </w:r>
    </w:p>
    <w:p w:rsidR="00A858BC" w:rsidRPr="00BB02FF" w:rsidRDefault="00A858BC" w:rsidP="00A858BC">
      <w:pPr>
        <w:pStyle w:val="Titrearticle"/>
        <w:spacing w:before="120"/>
        <w:rPr>
          <w:b/>
          <w:i w:val="0"/>
        </w:rPr>
      </w:pPr>
      <w:r w:rsidRPr="00BB02FF">
        <w:rPr>
          <w:b/>
          <w:i w:val="0"/>
        </w:rPr>
        <w:t xml:space="preserve">Risíocht ar shuíomhanna urrúsúcháin a nochtadh </w:t>
      </w:r>
    </w:p>
    <w:p w:rsidR="00A858BC" w:rsidRPr="00BB02FF" w:rsidRDefault="00A858BC" w:rsidP="009777B7">
      <w:r w:rsidRPr="00BB02FF">
        <w:t xml:space="preserve">Déanfaidh institiúidí an fhaisnéis dá dtagraítear in </w:t>
      </w:r>
      <w:r w:rsidR="00A345B2">
        <w:t>Airteagal </w:t>
      </w:r>
      <w:r w:rsidRPr="00BB02FF">
        <w:t xml:space="preserve">449 de Rialachán (AE) </w:t>
      </w:r>
      <w:r w:rsidR="0061010F">
        <w:t>Uimh. </w:t>
      </w:r>
      <w:r w:rsidRPr="00BB02FF">
        <w:t>575/2013 a nochtadh mar a leanas:</w:t>
      </w:r>
    </w:p>
    <w:p w:rsidR="009777B7" w:rsidRPr="00BB02FF" w:rsidRDefault="00CE62E1" w:rsidP="00F5043B">
      <w:pPr>
        <w:pStyle w:val="Point1letter"/>
        <w:numPr>
          <w:ilvl w:val="3"/>
          <w:numId w:val="22"/>
        </w:numPr>
        <w:tabs>
          <w:tab w:val="clear" w:pos="1417"/>
        </w:tabs>
        <w:ind w:left="567"/>
      </w:pPr>
      <w:r w:rsidRPr="00BB02FF">
        <w:t xml:space="preserve">an fhaisnéis dá dtagraítear in </w:t>
      </w:r>
      <w:r w:rsidR="00A345B2">
        <w:t>Airteagal </w:t>
      </w:r>
      <w:r w:rsidRPr="00BB02FF">
        <w:t>449, p</w:t>
      </w:r>
      <w:r w:rsidR="002922C2">
        <w:t>ointí </w:t>
      </w:r>
      <w:r w:rsidRPr="00BB02FF">
        <w:t xml:space="preserve">(a) go (i), de Rialachán (AE) </w:t>
      </w:r>
      <w:r w:rsidR="0061010F">
        <w:t>Uimh. </w:t>
      </w:r>
      <w:r w:rsidRPr="00BB02FF">
        <w:t>575/2013</w:t>
      </w:r>
      <w:r w:rsidR="00EE598D">
        <w:t xml:space="preserve"> trí úsáid a bhaint as tábla EU</w:t>
      </w:r>
      <w:r w:rsidR="00EE598D" w:rsidRPr="00794070">
        <w:t> </w:t>
      </w:r>
      <w:r w:rsidRPr="00BB02FF">
        <w:t>SECA d</w:t>
      </w:r>
      <w:r w:rsidR="00975A58">
        <w:t>’</w:t>
      </w:r>
      <w:r w:rsidRPr="00BB02FF">
        <w:t>Iarscr</w:t>
      </w:r>
      <w:r w:rsidR="002922C2">
        <w:t>íbhinn </w:t>
      </w:r>
      <w:r w:rsidRPr="00BB02FF">
        <w:t>XXVII a ghabhann leis an Rialachán seo agus trí na treoracha atá leagtha amach in Iarscr</w:t>
      </w:r>
      <w:r w:rsidR="002922C2">
        <w:t>íbhinn </w:t>
      </w:r>
      <w:r w:rsidRPr="00BB02FF">
        <w:t>XXVIII a ghabhann leis an Rialachán seo a leanúint;</w:t>
      </w:r>
    </w:p>
    <w:p w:rsidR="009777B7" w:rsidRPr="00BB02FF" w:rsidRDefault="00CE62E1" w:rsidP="00F5043B">
      <w:pPr>
        <w:pStyle w:val="Point1letter"/>
        <w:numPr>
          <w:ilvl w:val="3"/>
          <w:numId w:val="22"/>
        </w:numPr>
        <w:tabs>
          <w:tab w:val="clear" w:pos="1417"/>
        </w:tabs>
        <w:ind w:left="567"/>
      </w:pPr>
      <w:r w:rsidRPr="00BB02FF">
        <w:t xml:space="preserve">an fhaisnéis dá dtagraítear in </w:t>
      </w:r>
      <w:r w:rsidR="00A345B2">
        <w:t>Airteagal </w:t>
      </w:r>
      <w:r w:rsidRPr="00BB02FF">
        <w:t>449, p</w:t>
      </w:r>
      <w:r w:rsidR="002922C2">
        <w:t>ointe </w:t>
      </w:r>
      <w:r w:rsidRPr="00BB02FF">
        <w:t xml:space="preserve">(j), de Rialachán (AE) </w:t>
      </w:r>
      <w:r w:rsidR="0061010F">
        <w:t>Uimh. </w:t>
      </w:r>
      <w:r w:rsidRPr="00BB02FF">
        <w:t xml:space="preserve">575/2013 trí úsáid a bhaint as teimpléid </w:t>
      </w:r>
      <w:r w:rsidR="00E809D3">
        <w:t>EU </w:t>
      </w:r>
      <w:r w:rsidRPr="00BB02FF">
        <w:t xml:space="preserve">SEC1 agus </w:t>
      </w:r>
      <w:r w:rsidR="00E809D3">
        <w:t>EU </w:t>
      </w:r>
      <w:r w:rsidRPr="00BB02FF">
        <w:t>SEC2 d</w:t>
      </w:r>
      <w:r w:rsidR="00975A58">
        <w:t>’</w:t>
      </w:r>
      <w:r w:rsidRPr="00BB02FF">
        <w:t>Iarscr</w:t>
      </w:r>
      <w:r w:rsidR="002922C2">
        <w:t>íbhinn </w:t>
      </w:r>
      <w:r w:rsidRPr="00BB02FF">
        <w:t>XXVII a ghabhann leis an Rialachán seo agus trí na treoracha atá leagtha amach in Iarscr</w:t>
      </w:r>
      <w:r w:rsidR="002922C2">
        <w:t>íbhinn </w:t>
      </w:r>
      <w:r w:rsidRPr="00BB02FF">
        <w:t>XXVIII a ghabhann leis an Rialachán seo a leanúint;</w:t>
      </w:r>
    </w:p>
    <w:p w:rsidR="009777B7" w:rsidRPr="00BB02FF" w:rsidRDefault="00336F4D" w:rsidP="00F5043B">
      <w:pPr>
        <w:pStyle w:val="Point1letter"/>
        <w:numPr>
          <w:ilvl w:val="3"/>
          <w:numId w:val="22"/>
        </w:numPr>
        <w:tabs>
          <w:tab w:val="clear" w:pos="1417"/>
        </w:tabs>
        <w:ind w:left="567"/>
      </w:pPr>
      <w:r w:rsidRPr="00BB02FF">
        <w:t xml:space="preserve">an fhaisnéis dá dtagraítear in </w:t>
      </w:r>
      <w:r w:rsidR="00A345B2">
        <w:t>Airteagal </w:t>
      </w:r>
      <w:r w:rsidRPr="00BB02FF">
        <w:t>449, p</w:t>
      </w:r>
      <w:r w:rsidR="002922C2">
        <w:t>ointe </w:t>
      </w:r>
      <w:r w:rsidRPr="00BB02FF">
        <w:t xml:space="preserve">(k), de Rialachán (AE) </w:t>
      </w:r>
      <w:r w:rsidR="0061010F">
        <w:t>Uimh. </w:t>
      </w:r>
      <w:r w:rsidRPr="00BB02FF">
        <w:t xml:space="preserve">575/2013 trí úsáid a bhaint as teimpléid </w:t>
      </w:r>
      <w:r w:rsidR="00E809D3">
        <w:t>EU </w:t>
      </w:r>
      <w:r w:rsidRPr="00BB02FF">
        <w:t xml:space="preserve">SEC3 agus </w:t>
      </w:r>
      <w:r w:rsidR="00E809D3">
        <w:t>EU </w:t>
      </w:r>
      <w:r w:rsidRPr="00BB02FF">
        <w:t>SEC4 d</w:t>
      </w:r>
      <w:r w:rsidR="00975A58">
        <w:t>’</w:t>
      </w:r>
      <w:r w:rsidRPr="00BB02FF">
        <w:t>Iarscr</w:t>
      </w:r>
      <w:r w:rsidR="002922C2">
        <w:t>íbhinn </w:t>
      </w:r>
      <w:r w:rsidRPr="00BB02FF">
        <w:t>XXVII a ghabhann leis an Rialachán seo agus trí na treoracha atá leagtha amach in Iarscr</w:t>
      </w:r>
      <w:r w:rsidR="002922C2">
        <w:t>íbhinn </w:t>
      </w:r>
      <w:r w:rsidRPr="00BB02FF">
        <w:t>XXVIII a ghabhann leis an Rialachán seo a leanúint;</w:t>
      </w:r>
    </w:p>
    <w:p w:rsidR="009777B7" w:rsidRPr="00BB02FF" w:rsidRDefault="00336F4D" w:rsidP="00F5043B">
      <w:pPr>
        <w:pStyle w:val="Point1letter"/>
        <w:numPr>
          <w:ilvl w:val="3"/>
          <w:numId w:val="22"/>
        </w:numPr>
        <w:tabs>
          <w:tab w:val="clear" w:pos="1417"/>
        </w:tabs>
        <w:ind w:left="567"/>
      </w:pPr>
      <w:r w:rsidRPr="00BB02FF">
        <w:t xml:space="preserve">an fhaisnéis dá dtagraítear in </w:t>
      </w:r>
      <w:r w:rsidR="00A345B2">
        <w:t>Airteagal </w:t>
      </w:r>
      <w:r w:rsidRPr="00BB02FF">
        <w:t>449, p</w:t>
      </w:r>
      <w:r w:rsidR="002922C2">
        <w:t>ointe </w:t>
      </w:r>
      <w:r w:rsidRPr="00BB02FF">
        <w:t xml:space="preserve">(l), de Rialachán (AE) </w:t>
      </w:r>
      <w:r w:rsidR="0061010F">
        <w:t>Uimh. </w:t>
      </w:r>
      <w:r w:rsidRPr="00BB02FF">
        <w:t xml:space="preserve">575/2013 trí úsáid a bhaint as teimpléid </w:t>
      </w:r>
      <w:r w:rsidR="00E809D3">
        <w:t>EU </w:t>
      </w:r>
      <w:r w:rsidRPr="00BB02FF">
        <w:t>SEC5 d</w:t>
      </w:r>
      <w:r w:rsidR="00975A58">
        <w:t>’</w:t>
      </w:r>
      <w:r w:rsidRPr="00BB02FF">
        <w:t>Iarscr</w:t>
      </w:r>
      <w:r w:rsidR="002922C2">
        <w:t>íbhinn </w:t>
      </w:r>
      <w:r w:rsidRPr="00BB02FF">
        <w:t>XXVII a ghabhann leis an Rialachán seo agus trí na treoracha atá leagtha amach in Iarscr</w:t>
      </w:r>
      <w:r w:rsidR="002922C2">
        <w:t>íbhinn </w:t>
      </w:r>
      <w:r w:rsidRPr="00BB02FF">
        <w:t>XXVIII a ghabhann leis an Rialachán seo a leanúint.</w:t>
      </w:r>
    </w:p>
    <w:p w:rsidR="00F91209" w:rsidRPr="00BB02FF" w:rsidRDefault="00F91209" w:rsidP="00F91209">
      <w:pPr>
        <w:pStyle w:val="Titrearticle"/>
      </w:pPr>
      <w:r w:rsidRPr="00BB02FF">
        <w:t>Airteagal 15</w:t>
      </w:r>
    </w:p>
    <w:p w:rsidR="009777B7" w:rsidRPr="00BB02FF" w:rsidRDefault="009777B7" w:rsidP="009777B7">
      <w:pPr>
        <w:pStyle w:val="Titrearticle"/>
        <w:spacing w:before="120"/>
        <w:rPr>
          <w:b/>
          <w:i w:val="0"/>
        </w:rPr>
      </w:pPr>
      <w:r w:rsidRPr="00BB02FF">
        <w:rPr>
          <w:b/>
          <w:i w:val="0"/>
        </w:rPr>
        <w:t>Úsáid an chur chuige chaighdeánaithe agus na samhlacha inmheánacha do phriacal margaidh a nochtadh</w:t>
      </w:r>
    </w:p>
    <w:p w:rsidR="009777B7" w:rsidRPr="00BB02FF" w:rsidRDefault="009777B7" w:rsidP="00F5043B">
      <w:pPr>
        <w:pStyle w:val="NumPar1"/>
        <w:numPr>
          <w:ilvl w:val="0"/>
          <w:numId w:val="23"/>
        </w:numPr>
        <w:tabs>
          <w:tab w:val="clear" w:pos="850"/>
          <w:tab w:val="left" w:pos="567"/>
        </w:tabs>
        <w:ind w:left="0" w:firstLine="0"/>
      </w:pPr>
      <w:r w:rsidRPr="00BB02FF">
        <w:t xml:space="preserve">Déanfaidh institiúidí an fhaisnéis dá dtagraítear in </w:t>
      </w:r>
      <w:r w:rsidR="00A345B2">
        <w:t>Airteagal </w:t>
      </w:r>
      <w:r w:rsidRPr="00BB02FF">
        <w:t xml:space="preserve">445 de Rialachán (AE) </w:t>
      </w:r>
      <w:r w:rsidR="0061010F">
        <w:t>Uimh. </w:t>
      </w:r>
      <w:r w:rsidRPr="00BB02FF">
        <w:t>575/2013 a nochtadh trí úsáid a bhaint as t</w:t>
      </w:r>
      <w:r w:rsidR="00E809D3">
        <w:t>eimpléad EU </w:t>
      </w:r>
      <w:r w:rsidRPr="00BB02FF">
        <w:t>MR1 d</w:t>
      </w:r>
      <w:r w:rsidR="00975A58">
        <w:t>’</w:t>
      </w:r>
      <w:r w:rsidRPr="00BB02FF">
        <w:t>Iarscr</w:t>
      </w:r>
      <w:r w:rsidR="002922C2">
        <w:t>íbhinn </w:t>
      </w:r>
      <w:r w:rsidRPr="00BB02FF">
        <w:t>XXIX a ghabhann leis an Rialachán seo agus trí na treoracha atá leagtha amach in Iarscr</w:t>
      </w:r>
      <w:r w:rsidR="002922C2">
        <w:t>íbhinn </w:t>
      </w:r>
      <w:r w:rsidRPr="00BB02FF">
        <w:t>XXX a ghabhann leis an Rialachán seo a leanúint.</w:t>
      </w:r>
    </w:p>
    <w:p w:rsidR="009777B7" w:rsidRPr="00BB02FF" w:rsidRDefault="009777B7" w:rsidP="00F5043B">
      <w:pPr>
        <w:pStyle w:val="NumPar1"/>
        <w:numPr>
          <w:ilvl w:val="0"/>
          <w:numId w:val="23"/>
        </w:numPr>
        <w:tabs>
          <w:tab w:val="clear" w:pos="850"/>
          <w:tab w:val="left" w:pos="567"/>
        </w:tabs>
        <w:ind w:left="0" w:firstLine="0"/>
      </w:pPr>
      <w:r w:rsidRPr="00BB02FF">
        <w:t xml:space="preserve">Déanfaidh institiúidí an fhaisnéis dá dtagraítear in </w:t>
      </w:r>
      <w:r w:rsidR="00A345B2">
        <w:t>Airteagail </w:t>
      </w:r>
      <w:r w:rsidRPr="00BB02FF">
        <w:t xml:space="preserve">435, 438 agus 455 de Rialachán (AE) </w:t>
      </w:r>
      <w:r w:rsidR="0061010F">
        <w:t>Uimh. </w:t>
      </w:r>
      <w:r w:rsidRPr="00BB02FF">
        <w:t>575/2013 a nochtadh mar a leanas:</w:t>
      </w:r>
    </w:p>
    <w:p w:rsidR="009777B7" w:rsidRPr="00BB02FF" w:rsidRDefault="00CE62E1" w:rsidP="00F5043B">
      <w:pPr>
        <w:pStyle w:val="Point1letter"/>
        <w:numPr>
          <w:ilvl w:val="3"/>
          <w:numId w:val="24"/>
        </w:numPr>
        <w:tabs>
          <w:tab w:val="clear" w:pos="1417"/>
        </w:tabs>
        <w:ind w:left="567"/>
      </w:pPr>
      <w:r w:rsidRPr="00BB02FF">
        <w:t xml:space="preserve">an fhaisnéis maidir le priacal margaidh dá dtagraítear in </w:t>
      </w:r>
      <w:r w:rsidR="00A345B2">
        <w:t>Airteagal </w:t>
      </w:r>
      <w:r w:rsidRPr="00BB02FF">
        <w:t>435(1), p</w:t>
      </w:r>
      <w:r w:rsidR="002922C2">
        <w:t>ointí </w:t>
      </w:r>
      <w:r w:rsidRPr="00BB02FF">
        <w:t xml:space="preserve">(a) go (d), de Rialachán (AE) </w:t>
      </w:r>
      <w:r w:rsidR="0061010F">
        <w:t>Uimh. </w:t>
      </w:r>
      <w:r w:rsidRPr="00BB02FF">
        <w:t>575/2013</w:t>
      </w:r>
      <w:r w:rsidR="00EE598D">
        <w:t xml:space="preserve"> trí úsáid a bhaint as tábla EU</w:t>
      </w:r>
      <w:r w:rsidR="00EE598D" w:rsidRPr="00794070">
        <w:t> </w:t>
      </w:r>
      <w:r w:rsidRPr="00BB02FF">
        <w:t>MRA d</w:t>
      </w:r>
      <w:r w:rsidR="00975A58">
        <w:t>’</w:t>
      </w:r>
      <w:r w:rsidRPr="00BB02FF">
        <w:t>Iarscr</w:t>
      </w:r>
      <w:r w:rsidR="002922C2">
        <w:t>íbhinn </w:t>
      </w:r>
      <w:r w:rsidRPr="00BB02FF">
        <w:t>XXIX a ghabhann leis an Rialachán seo agus trí na treoracha atá leagtha amach in Iarscr</w:t>
      </w:r>
      <w:r w:rsidR="002922C2">
        <w:t>íbhinn </w:t>
      </w:r>
      <w:r w:rsidRPr="00BB02FF">
        <w:t>XXX a ghabhann leis an Rialachán seo a leanúint;</w:t>
      </w:r>
    </w:p>
    <w:p w:rsidR="009777B7" w:rsidRPr="00BB02FF" w:rsidRDefault="00CE62E1" w:rsidP="00F5043B">
      <w:pPr>
        <w:pStyle w:val="Point1letter"/>
        <w:numPr>
          <w:ilvl w:val="3"/>
          <w:numId w:val="24"/>
        </w:numPr>
        <w:tabs>
          <w:tab w:val="clear" w:pos="1417"/>
        </w:tabs>
        <w:ind w:left="567"/>
      </w:pPr>
      <w:r w:rsidRPr="00BB02FF">
        <w:t xml:space="preserve">an fhaisnéis dá dtagraítear in </w:t>
      </w:r>
      <w:r w:rsidR="00A345B2">
        <w:t>Airteagal </w:t>
      </w:r>
      <w:r w:rsidRPr="00BB02FF">
        <w:t>455, p</w:t>
      </w:r>
      <w:r w:rsidR="002922C2">
        <w:t>ointí </w:t>
      </w:r>
      <w:r w:rsidRPr="00BB02FF">
        <w:t xml:space="preserve">(a) (b), (c) agus (f), de Rialachán (AE) </w:t>
      </w:r>
      <w:r w:rsidR="0061010F">
        <w:t>Uimh. </w:t>
      </w:r>
      <w:r w:rsidRPr="00BB02FF">
        <w:t>575/2013 trí úsáid a bhaint as t</w:t>
      </w:r>
      <w:r w:rsidR="00EE598D">
        <w:t>ábla EU </w:t>
      </w:r>
      <w:r w:rsidRPr="00BB02FF">
        <w:t>MRB d</w:t>
      </w:r>
      <w:r w:rsidR="00975A58">
        <w:t>’</w:t>
      </w:r>
      <w:r w:rsidRPr="00BB02FF">
        <w:t>Iarscr</w:t>
      </w:r>
      <w:r w:rsidR="002922C2">
        <w:t>íbhinn </w:t>
      </w:r>
      <w:r w:rsidRPr="00BB02FF">
        <w:t>XXIX a ghabhann leis an Rialachán seo agus trí na treoracha atá leagtha amach in Iarscr</w:t>
      </w:r>
      <w:r w:rsidR="002922C2">
        <w:t>íbhinn </w:t>
      </w:r>
      <w:r w:rsidRPr="00BB02FF">
        <w:t>XXX a ghabhann leis an Rialachán seo a leanúint;</w:t>
      </w:r>
    </w:p>
    <w:p w:rsidR="009777B7" w:rsidRPr="00BB02FF" w:rsidRDefault="00CE62E1" w:rsidP="00F5043B">
      <w:pPr>
        <w:pStyle w:val="Point1letter"/>
        <w:numPr>
          <w:ilvl w:val="3"/>
          <w:numId w:val="24"/>
        </w:numPr>
        <w:tabs>
          <w:tab w:val="clear" w:pos="1417"/>
        </w:tabs>
        <w:ind w:left="567"/>
      </w:pPr>
      <w:r w:rsidRPr="00BB02FF">
        <w:t xml:space="preserve">an fhaisnéis dá dtagraítear in </w:t>
      </w:r>
      <w:r w:rsidR="00A345B2">
        <w:t>Airteagal </w:t>
      </w:r>
      <w:r w:rsidRPr="00BB02FF">
        <w:t>455, p</w:t>
      </w:r>
      <w:r w:rsidR="002922C2">
        <w:t>ointe </w:t>
      </w:r>
      <w:r w:rsidRPr="00BB02FF">
        <w:t xml:space="preserve">(e), de Rialachán (AE) </w:t>
      </w:r>
      <w:r w:rsidR="0061010F">
        <w:t>Uimh. </w:t>
      </w:r>
      <w:r w:rsidRPr="00BB02FF">
        <w:t>575/2013 trí úsáid a bhaint as t</w:t>
      </w:r>
      <w:r w:rsidR="00E809D3">
        <w:t>eimpléad </w:t>
      </w:r>
      <w:r w:rsidR="00EE598D">
        <w:t>EU </w:t>
      </w:r>
      <w:r w:rsidRPr="00BB02FF">
        <w:t>MR2-A d</w:t>
      </w:r>
      <w:r w:rsidR="00975A58">
        <w:t>’</w:t>
      </w:r>
      <w:r w:rsidRPr="00BB02FF">
        <w:t>Iarscr</w:t>
      </w:r>
      <w:r w:rsidR="002922C2">
        <w:t>íbhinn </w:t>
      </w:r>
      <w:r w:rsidRPr="00BB02FF">
        <w:t>XXIX a ghabhann leis an Rialachán seo agus trí na treoracha atá leagtha amach in Iarscr</w:t>
      </w:r>
      <w:r w:rsidR="002922C2">
        <w:t>íbhinn </w:t>
      </w:r>
      <w:r w:rsidRPr="00BB02FF">
        <w:t>XXX a ghabhann leis an Rialachán seo a leanúint;</w:t>
      </w:r>
    </w:p>
    <w:p w:rsidR="009777B7" w:rsidRPr="00BB02FF" w:rsidRDefault="00CE62E1" w:rsidP="00F5043B">
      <w:pPr>
        <w:pStyle w:val="Point1letter"/>
        <w:numPr>
          <w:ilvl w:val="3"/>
          <w:numId w:val="24"/>
        </w:numPr>
        <w:tabs>
          <w:tab w:val="clear" w:pos="1417"/>
        </w:tabs>
        <w:ind w:left="567"/>
      </w:pPr>
      <w:r w:rsidRPr="00BB02FF">
        <w:t xml:space="preserve">an fhaisnéis maidir le samhlacha priacail margaidh inmheánaigh dá dtagraítear in </w:t>
      </w:r>
      <w:r w:rsidR="00A345B2">
        <w:t>Airteagal </w:t>
      </w:r>
      <w:r w:rsidRPr="00BB02FF">
        <w:t>438, p</w:t>
      </w:r>
      <w:r w:rsidR="002922C2">
        <w:t>ointe </w:t>
      </w:r>
      <w:r w:rsidRPr="00BB02FF">
        <w:t xml:space="preserve">(h), de Rialachán (AE) </w:t>
      </w:r>
      <w:r w:rsidR="0061010F">
        <w:t>Uimh. </w:t>
      </w:r>
      <w:r w:rsidRPr="00BB02FF">
        <w:t>575/2013 trí úsáid a bhaint as t</w:t>
      </w:r>
      <w:r w:rsidR="00E809D3">
        <w:t>eimpléad </w:t>
      </w:r>
      <w:r w:rsidR="00EE598D">
        <w:t>EU </w:t>
      </w:r>
      <w:r w:rsidRPr="00BB02FF">
        <w:t>MR2-B d</w:t>
      </w:r>
      <w:r w:rsidR="00975A58">
        <w:t>’</w:t>
      </w:r>
      <w:r w:rsidRPr="00BB02FF">
        <w:t>Iarscr</w:t>
      </w:r>
      <w:r w:rsidR="002922C2">
        <w:t>íbhinn </w:t>
      </w:r>
      <w:r w:rsidRPr="00BB02FF">
        <w:t xml:space="preserve">XXIX a ghabhann leis an Rialachán seo agus trí na </w:t>
      </w:r>
      <w:r w:rsidRPr="00BB02FF">
        <w:lastRenderedPageBreak/>
        <w:t>treoracha atá leagtha amach in Iarscr</w:t>
      </w:r>
      <w:r w:rsidR="002922C2">
        <w:t>íbhinn </w:t>
      </w:r>
      <w:r w:rsidRPr="00BB02FF">
        <w:t>XXX a ghabhann leis an Rialachán seo a leanúint;</w:t>
      </w:r>
    </w:p>
    <w:p w:rsidR="009777B7" w:rsidRPr="00BB02FF" w:rsidRDefault="00CE62E1" w:rsidP="00F5043B">
      <w:pPr>
        <w:pStyle w:val="Point1letter"/>
        <w:numPr>
          <w:ilvl w:val="3"/>
          <w:numId w:val="24"/>
        </w:numPr>
        <w:tabs>
          <w:tab w:val="clear" w:pos="1417"/>
        </w:tabs>
        <w:ind w:left="567"/>
      </w:pPr>
      <w:r w:rsidRPr="00BB02FF">
        <w:t xml:space="preserve">an fhaisnéis dá dtagraítear in </w:t>
      </w:r>
      <w:r w:rsidR="00A345B2">
        <w:t>Airteagal </w:t>
      </w:r>
      <w:r w:rsidRPr="00BB02FF">
        <w:t>455, p</w:t>
      </w:r>
      <w:r w:rsidR="002922C2">
        <w:t>ointe </w:t>
      </w:r>
      <w:r w:rsidRPr="00BB02FF">
        <w:t xml:space="preserve">(d), de Rialachán (AE) </w:t>
      </w:r>
      <w:r w:rsidR="0061010F">
        <w:t>Uimh. </w:t>
      </w:r>
      <w:r w:rsidRPr="00BB02FF">
        <w:t>575/2013 trí úsáid a bhaint as t</w:t>
      </w:r>
      <w:r w:rsidR="00E809D3">
        <w:t>eimpléad </w:t>
      </w:r>
      <w:r w:rsidR="00EE598D">
        <w:t>EU </w:t>
      </w:r>
      <w:r w:rsidRPr="00BB02FF">
        <w:t>MR3 d</w:t>
      </w:r>
      <w:r w:rsidR="00975A58">
        <w:t>’</w:t>
      </w:r>
      <w:r w:rsidRPr="00BB02FF">
        <w:t>Iarscr</w:t>
      </w:r>
      <w:r w:rsidR="002922C2">
        <w:t>íbhinn </w:t>
      </w:r>
      <w:r w:rsidRPr="00BB02FF">
        <w:t>XXIX a ghabhann leis an Rialachán seo agus trí na treoracha atá leagtha amach in Iarscr</w:t>
      </w:r>
      <w:r w:rsidR="002922C2">
        <w:t>íbhinn </w:t>
      </w:r>
      <w:r w:rsidRPr="00BB02FF">
        <w:t>XXX a ghabhann leis an Rialachán seo a leanúint;</w:t>
      </w:r>
    </w:p>
    <w:p w:rsidR="009777B7" w:rsidRPr="00BB02FF" w:rsidRDefault="00CE62E1" w:rsidP="00F5043B">
      <w:pPr>
        <w:pStyle w:val="Point1letter"/>
        <w:numPr>
          <w:ilvl w:val="3"/>
          <w:numId w:val="24"/>
        </w:numPr>
        <w:tabs>
          <w:tab w:val="clear" w:pos="1417"/>
        </w:tabs>
        <w:ind w:left="567"/>
      </w:pPr>
      <w:r w:rsidRPr="00BB02FF">
        <w:t xml:space="preserve">an fhaisnéis dá dtagraítear in </w:t>
      </w:r>
      <w:r w:rsidR="00A345B2">
        <w:t>Airteagal </w:t>
      </w:r>
      <w:r w:rsidRPr="00BB02FF">
        <w:t>455, p</w:t>
      </w:r>
      <w:r w:rsidR="002922C2">
        <w:t>ointe </w:t>
      </w:r>
      <w:r w:rsidRPr="00BB02FF">
        <w:t xml:space="preserve">(g), de Rialachán (AE) </w:t>
      </w:r>
      <w:r w:rsidR="0061010F">
        <w:t>Uimh. </w:t>
      </w:r>
      <w:r w:rsidRPr="00BB02FF">
        <w:t>575/2013 trí úsáid a bhaint as t</w:t>
      </w:r>
      <w:r w:rsidR="00E809D3">
        <w:t>eimpléad </w:t>
      </w:r>
      <w:r w:rsidR="00EE598D">
        <w:t>EU </w:t>
      </w:r>
      <w:r w:rsidRPr="00BB02FF">
        <w:t>MR4 d</w:t>
      </w:r>
      <w:r w:rsidR="00975A58">
        <w:t>’</w:t>
      </w:r>
      <w:r w:rsidRPr="00BB02FF">
        <w:t>Iarscr</w:t>
      </w:r>
      <w:r w:rsidR="002922C2">
        <w:t>íbhinn </w:t>
      </w:r>
      <w:r w:rsidRPr="00BB02FF">
        <w:t>XXIX a ghabhann leis an Rialachán seo agus trí na treoracha atá leagtha amach in Iarscr</w:t>
      </w:r>
      <w:r w:rsidR="002922C2">
        <w:t>íbhinn </w:t>
      </w:r>
      <w:r w:rsidRPr="00BB02FF">
        <w:t>XXX a ghabhann leis an Rialachán seo a leanúint.</w:t>
      </w:r>
    </w:p>
    <w:p w:rsidR="00F91209" w:rsidRPr="00BB02FF" w:rsidRDefault="00F91209" w:rsidP="00F91209">
      <w:pPr>
        <w:pStyle w:val="Titrearticle"/>
      </w:pPr>
      <w:r w:rsidRPr="00BB02FF">
        <w:t>Airteagal 16</w:t>
      </w:r>
      <w:r w:rsidRPr="00BB02FF">
        <w:fldChar w:fldCharType="begin"/>
      </w:r>
      <w:r w:rsidRPr="00BB02FF">
        <w:instrText xml:space="preserve"> seq article </w:instrText>
      </w:r>
      <w:r w:rsidRPr="00BB02FF">
        <w:fldChar w:fldCharType="end"/>
      </w:r>
    </w:p>
    <w:p w:rsidR="009777B7" w:rsidRPr="00BB02FF" w:rsidRDefault="009777B7" w:rsidP="009777B7">
      <w:pPr>
        <w:pStyle w:val="Titrearticle"/>
        <w:spacing w:before="120"/>
        <w:rPr>
          <w:b/>
          <w:i w:val="0"/>
        </w:rPr>
      </w:pPr>
      <w:r w:rsidRPr="00BB02FF">
        <w:rPr>
          <w:b/>
          <w:i w:val="0"/>
        </w:rPr>
        <w:t xml:space="preserve">Priacal oibriúcháin a nochtadh </w:t>
      </w:r>
    </w:p>
    <w:p w:rsidR="009777B7" w:rsidRPr="00BB02FF" w:rsidRDefault="009777B7" w:rsidP="009777B7">
      <w:r w:rsidRPr="00BB02FF">
        <w:t xml:space="preserve">Déanfaidh institiúidí an fhaisnéis dá dtagraítear in </w:t>
      </w:r>
      <w:r w:rsidR="00A345B2">
        <w:t>Airteagal </w:t>
      </w:r>
      <w:r w:rsidRPr="00BB02FF">
        <w:t xml:space="preserve">435, in </w:t>
      </w:r>
      <w:r w:rsidR="00A345B2">
        <w:t>Airteagal </w:t>
      </w:r>
      <w:r w:rsidRPr="00BB02FF">
        <w:t>438, p</w:t>
      </w:r>
      <w:r w:rsidR="002922C2">
        <w:t>ointe </w:t>
      </w:r>
      <w:r w:rsidRPr="00BB02FF">
        <w:t xml:space="preserve">(d), agus in </w:t>
      </w:r>
      <w:r w:rsidR="00A345B2">
        <w:t>Airteagail </w:t>
      </w:r>
      <w:r w:rsidRPr="00BB02FF">
        <w:t xml:space="preserve">446 agus 454 de Rialachán (AE) </w:t>
      </w:r>
      <w:r w:rsidR="0061010F">
        <w:t>Uimh. </w:t>
      </w:r>
      <w:r w:rsidRPr="00BB02FF">
        <w:t>575/2013 a nochtadh trí úsáid a bhaint as t</w:t>
      </w:r>
      <w:r w:rsidR="00EE598D">
        <w:t>ábla EU </w:t>
      </w:r>
      <w:r w:rsidRPr="00BB02FF">
        <w:t>ORA agus as t</w:t>
      </w:r>
      <w:r w:rsidR="00E809D3">
        <w:t>eimpléad </w:t>
      </w:r>
      <w:r w:rsidR="00EE598D">
        <w:t>EU </w:t>
      </w:r>
      <w:r w:rsidRPr="00BB02FF">
        <w:t>OR1 d</w:t>
      </w:r>
      <w:r w:rsidR="00975A58">
        <w:t>’</w:t>
      </w:r>
      <w:r w:rsidRPr="00BB02FF">
        <w:t>Iarscr</w:t>
      </w:r>
      <w:r w:rsidR="002922C2">
        <w:t>íbhinn </w:t>
      </w:r>
      <w:r w:rsidRPr="00BB02FF">
        <w:t>XXXI a ghabhann leis an Rialachán seo agus trí na treoracha atá leagtha amach in Iarscr</w:t>
      </w:r>
      <w:r w:rsidR="002922C2">
        <w:t>íbhinn </w:t>
      </w:r>
      <w:r w:rsidRPr="00BB02FF">
        <w:t>XXXII a ghabhann leis an Rialachán seo a leanúint.</w:t>
      </w:r>
    </w:p>
    <w:p w:rsidR="000C60D7" w:rsidRPr="00BB02FF" w:rsidRDefault="000C60D7" w:rsidP="000C60D7">
      <w:pPr>
        <w:pStyle w:val="Titrearticle"/>
      </w:pPr>
      <w:r w:rsidRPr="00BB02FF">
        <w:t>Airteagal 17</w:t>
      </w:r>
    </w:p>
    <w:p w:rsidR="009777B7" w:rsidRPr="00BB02FF" w:rsidRDefault="009777B7" w:rsidP="009777B7">
      <w:pPr>
        <w:pStyle w:val="Titrearticle"/>
        <w:spacing w:before="120"/>
        <w:rPr>
          <w:b/>
          <w:i w:val="0"/>
        </w:rPr>
      </w:pPr>
      <w:r w:rsidRPr="00BB02FF">
        <w:rPr>
          <w:b/>
          <w:i w:val="0"/>
        </w:rPr>
        <w:t>Beartas luacha saothair a nochtadh</w:t>
      </w:r>
    </w:p>
    <w:p w:rsidR="009777B7" w:rsidRPr="00BB02FF" w:rsidRDefault="009777B7" w:rsidP="009777B7">
      <w:pPr>
        <w:pStyle w:val="Titrearticle"/>
        <w:keepNext w:val="0"/>
        <w:tabs>
          <w:tab w:val="center" w:pos="4390"/>
        </w:tabs>
        <w:jc w:val="both"/>
        <w:rPr>
          <w:i w:val="0"/>
        </w:rPr>
      </w:pPr>
      <w:r w:rsidRPr="00BB02FF">
        <w:rPr>
          <w:i w:val="0"/>
        </w:rPr>
        <w:t xml:space="preserve">Déanfaidh institiúidí an fhaisnéis dá dtagraítear in </w:t>
      </w:r>
      <w:r w:rsidR="00A345B2">
        <w:rPr>
          <w:i w:val="0"/>
        </w:rPr>
        <w:t>Airteagal </w:t>
      </w:r>
      <w:r w:rsidRPr="00BB02FF">
        <w:rPr>
          <w:i w:val="0"/>
        </w:rPr>
        <w:t xml:space="preserve">450 de Rialachán (AE) </w:t>
      </w:r>
      <w:r w:rsidR="0061010F">
        <w:rPr>
          <w:i w:val="0"/>
        </w:rPr>
        <w:t>Uimh. </w:t>
      </w:r>
      <w:r w:rsidRPr="00BB02FF">
        <w:rPr>
          <w:i w:val="0"/>
        </w:rPr>
        <w:t>575/2013 a nochtadh mar a leanas:</w:t>
      </w:r>
    </w:p>
    <w:p w:rsidR="009777B7" w:rsidRPr="00BB02FF" w:rsidRDefault="00922950" w:rsidP="006A7F00">
      <w:pPr>
        <w:pStyle w:val="Point1letter"/>
        <w:numPr>
          <w:ilvl w:val="3"/>
          <w:numId w:val="25"/>
        </w:numPr>
        <w:tabs>
          <w:tab w:val="clear" w:pos="1417"/>
        </w:tabs>
        <w:ind w:left="567"/>
      </w:pPr>
      <w:r w:rsidRPr="00BB02FF">
        <w:t xml:space="preserve">an fhaisnéis dá dtagraítear in </w:t>
      </w:r>
      <w:r w:rsidR="00A345B2">
        <w:t>Airteagal </w:t>
      </w:r>
      <w:r w:rsidRPr="00BB02FF">
        <w:t>450(1), p</w:t>
      </w:r>
      <w:r w:rsidR="002922C2">
        <w:t>ointí </w:t>
      </w:r>
      <w:r w:rsidRPr="00BB02FF">
        <w:t>(a) go (f), agus i bp</w:t>
      </w:r>
      <w:r w:rsidR="002922C2">
        <w:t>ointí </w:t>
      </w:r>
      <w:r w:rsidRPr="00BB02FF">
        <w:t xml:space="preserve">(j) agus (k), agus an fhaisnéis dá dtagraítear in </w:t>
      </w:r>
      <w:r w:rsidR="00A345B2">
        <w:t>Airteagal </w:t>
      </w:r>
      <w:r w:rsidRPr="00BB02FF">
        <w:t>450(2) den Rialachán sin, trí úsáid a bhaint as t</w:t>
      </w:r>
      <w:r w:rsidR="00EE598D">
        <w:t>ábla EU </w:t>
      </w:r>
      <w:r w:rsidRPr="00BB02FF">
        <w:t>REMA d</w:t>
      </w:r>
      <w:r w:rsidR="00975A58">
        <w:t>’</w:t>
      </w:r>
      <w:r w:rsidRPr="00BB02FF">
        <w:t>Iarscr</w:t>
      </w:r>
      <w:r w:rsidR="002922C2">
        <w:t>íbhinn </w:t>
      </w:r>
      <w:r w:rsidRPr="00BB02FF">
        <w:t>XXXIII a ghabhann leis an Rialachán seo agus trí na treoracha atá leagtha amach in Iarscr</w:t>
      </w:r>
      <w:r w:rsidR="002922C2">
        <w:t>íbhinn </w:t>
      </w:r>
      <w:r w:rsidRPr="00BB02FF">
        <w:t>XXXIV a ghabhann leis an Rialachán seo a leanúint;</w:t>
      </w:r>
    </w:p>
    <w:p w:rsidR="009777B7" w:rsidRPr="00BB02FF" w:rsidRDefault="00922950" w:rsidP="006A7F00">
      <w:pPr>
        <w:pStyle w:val="Point1letter"/>
        <w:numPr>
          <w:ilvl w:val="3"/>
          <w:numId w:val="25"/>
        </w:numPr>
        <w:tabs>
          <w:tab w:val="clear" w:pos="1417"/>
        </w:tabs>
        <w:ind w:left="567"/>
      </w:pPr>
      <w:r w:rsidRPr="00BB02FF">
        <w:t xml:space="preserve">an fhaisnéis dá dtagraítear in </w:t>
      </w:r>
      <w:r w:rsidR="00A345B2">
        <w:t>Airteagal </w:t>
      </w:r>
      <w:r w:rsidRPr="00BB02FF">
        <w:t>450(1), p</w:t>
      </w:r>
      <w:r w:rsidR="002922C2">
        <w:t>ointí </w:t>
      </w:r>
      <w:r w:rsidRPr="00BB02FF">
        <w:t xml:space="preserve">(h)(i) agus (h)(ii), de Rialachán (AE) </w:t>
      </w:r>
      <w:r w:rsidR="0061010F">
        <w:t>Uimh. </w:t>
      </w:r>
      <w:r w:rsidRPr="00BB02FF">
        <w:t>575/2013 trí úsáid a bhaint as t</w:t>
      </w:r>
      <w:r w:rsidR="00E809D3">
        <w:t>eimpléad </w:t>
      </w:r>
      <w:r w:rsidR="00EE598D">
        <w:t>EU </w:t>
      </w:r>
      <w:r w:rsidRPr="00BB02FF">
        <w:t>REM1 d</w:t>
      </w:r>
      <w:r w:rsidR="00975A58">
        <w:t>’</w:t>
      </w:r>
      <w:r w:rsidRPr="00BB02FF">
        <w:t>Iarscr</w:t>
      </w:r>
      <w:r w:rsidR="002922C2">
        <w:t>íbhinn </w:t>
      </w:r>
      <w:r w:rsidRPr="00BB02FF">
        <w:t>XXXIII a ghabhann leis an Rialachán seo agus trí na treoracha atá leagtha amach in Iarscr</w:t>
      </w:r>
      <w:r w:rsidR="002922C2">
        <w:t>íbhinn </w:t>
      </w:r>
      <w:r w:rsidRPr="00BB02FF">
        <w:t>XXXIV a ghabhann leis an Rialachán seo a leanúint;</w:t>
      </w:r>
    </w:p>
    <w:p w:rsidR="009777B7" w:rsidRPr="00BB02FF" w:rsidRDefault="00922950" w:rsidP="006A7F00">
      <w:pPr>
        <w:pStyle w:val="Point1letter"/>
        <w:numPr>
          <w:ilvl w:val="3"/>
          <w:numId w:val="25"/>
        </w:numPr>
        <w:tabs>
          <w:tab w:val="clear" w:pos="1417"/>
        </w:tabs>
        <w:ind w:left="567"/>
      </w:pPr>
      <w:r w:rsidRPr="00BB02FF">
        <w:t xml:space="preserve">an fhaisnéis dá dtagraítear in </w:t>
      </w:r>
      <w:r w:rsidR="00A345B2">
        <w:t>Airteagal </w:t>
      </w:r>
      <w:r w:rsidRPr="00BB02FF">
        <w:t>450(1), p</w:t>
      </w:r>
      <w:r w:rsidR="002922C2">
        <w:t>ointí </w:t>
      </w:r>
      <w:r w:rsidRPr="00BB02FF">
        <w:t xml:space="preserve">(h)(v), (h)(vi) agus (h)(vii), de Rialachán (AE) </w:t>
      </w:r>
      <w:r w:rsidR="0061010F">
        <w:t>Uimh. </w:t>
      </w:r>
      <w:r w:rsidRPr="00BB02FF">
        <w:t>575/2013 trí úsáid a bhaint as t</w:t>
      </w:r>
      <w:r w:rsidR="00E809D3">
        <w:t>eimpléad </w:t>
      </w:r>
      <w:r w:rsidR="00EE598D">
        <w:t>EU </w:t>
      </w:r>
      <w:r w:rsidRPr="00BB02FF">
        <w:t>REM2 d</w:t>
      </w:r>
      <w:r w:rsidR="00975A58">
        <w:t>’</w:t>
      </w:r>
      <w:r w:rsidRPr="00BB02FF">
        <w:t>Iarscr</w:t>
      </w:r>
      <w:r w:rsidR="002922C2">
        <w:t>íbhinn </w:t>
      </w:r>
      <w:r w:rsidRPr="00BB02FF">
        <w:t>XXXIII a ghabhann leis an Rialachán seo agus trí na treoracha atá leagtha amach in Iarscr</w:t>
      </w:r>
      <w:r w:rsidR="002922C2">
        <w:t>íbhinn </w:t>
      </w:r>
      <w:r w:rsidRPr="00BB02FF">
        <w:t>XXXIV a ghabhann leis an Rialachán seo a leanúint;</w:t>
      </w:r>
    </w:p>
    <w:p w:rsidR="009777B7" w:rsidRPr="00BB02FF" w:rsidRDefault="00922950" w:rsidP="006A7F00">
      <w:pPr>
        <w:pStyle w:val="Point1letter"/>
        <w:numPr>
          <w:ilvl w:val="3"/>
          <w:numId w:val="25"/>
        </w:numPr>
        <w:tabs>
          <w:tab w:val="clear" w:pos="1417"/>
        </w:tabs>
        <w:ind w:left="567"/>
      </w:pPr>
      <w:r w:rsidRPr="00BB02FF">
        <w:t xml:space="preserve">an fhaisnéis dá dtagraítear in </w:t>
      </w:r>
      <w:r w:rsidR="00A345B2">
        <w:t>Airteagal </w:t>
      </w:r>
      <w:r w:rsidRPr="00BB02FF">
        <w:t>450(1), p</w:t>
      </w:r>
      <w:r w:rsidR="002922C2">
        <w:t>ointí </w:t>
      </w:r>
      <w:r w:rsidRPr="00BB02FF">
        <w:t xml:space="preserve">(h)(iii) agus (h)(iv), de Rialachán (AE) </w:t>
      </w:r>
      <w:r w:rsidR="0061010F">
        <w:t>Uimh. </w:t>
      </w:r>
      <w:r w:rsidRPr="00BB02FF">
        <w:t>575/2013 trí úsáid a bhaint as t</w:t>
      </w:r>
      <w:r w:rsidR="00E809D3">
        <w:t>eimpléad </w:t>
      </w:r>
      <w:r w:rsidR="00EE598D">
        <w:t>EU </w:t>
      </w:r>
      <w:r w:rsidRPr="00BB02FF">
        <w:t>REM3 d</w:t>
      </w:r>
      <w:r w:rsidR="00975A58">
        <w:t>’</w:t>
      </w:r>
      <w:r w:rsidRPr="00BB02FF">
        <w:t>Iarscr</w:t>
      </w:r>
      <w:r w:rsidR="002922C2">
        <w:t>íbhinn </w:t>
      </w:r>
      <w:r w:rsidRPr="00BB02FF">
        <w:t>XXXIII a ghabhann leis an Rialachán seo agus trí na treoracha atá leagtha amach in Iarscr</w:t>
      </w:r>
      <w:r w:rsidR="002922C2">
        <w:t>íbhinn </w:t>
      </w:r>
      <w:r w:rsidRPr="00BB02FF">
        <w:t>XXXIV a ghabhann leis an Rialachán seo a leanúint;</w:t>
      </w:r>
    </w:p>
    <w:p w:rsidR="009777B7" w:rsidRPr="00BB02FF" w:rsidRDefault="009B4728" w:rsidP="006A7F00">
      <w:pPr>
        <w:pStyle w:val="Point1letter"/>
        <w:numPr>
          <w:ilvl w:val="3"/>
          <w:numId w:val="25"/>
        </w:numPr>
        <w:tabs>
          <w:tab w:val="clear" w:pos="1417"/>
        </w:tabs>
        <w:ind w:left="567"/>
      </w:pPr>
      <w:r w:rsidRPr="00BB02FF">
        <w:t xml:space="preserve">an fhaisnéis dá dtagraítear in </w:t>
      </w:r>
      <w:r w:rsidR="00A345B2">
        <w:t>Airteagal </w:t>
      </w:r>
      <w:r w:rsidRPr="00BB02FF">
        <w:t>450(1), p</w:t>
      </w:r>
      <w:r w:rsidR="002922C2">
        <w:t>ointí </w:t>
      </w:r>
      <w:r w:rsidRPr="00BB02FF">
        <w:t xml:space="preserve">(g) agus (i), de Rialachán (AE) </w:t>
      </w:r>
      <w:r w:rsidR="0061010F">
        <w:t>Uimh. </w:t>
      </w:r>
      <w:r w:rsidRPr="00BB02FF">
        <w:t xml:space="preserve">575/2013 trí úsáid a bhaint as teimpléid </w:t>
      </w:r>
      <w:r w:rsidR="00EE598D">
        <w:t>EU </w:t>
      </w:r>
      <w:r w:rsidRPr="00BB02FF">
        <w:t xml:space="preserve">REM4 agus </w:t>
      </w:r>
      <w:r w:rsidR="00EE598D">
        <w:t>EU </w:t>
      </w:r>
      <w:r w:rsidRPr="00BB02FF">
        <w:t>REM5 d</w:t>
      </w:r>
      <w:r w:rsidR="00975A58">
        <w:t>’</w:t>
      </w:r>
      <w:r w:rsidRPr="00BB02FF">
        <w:t>Iarscr</w:t>
      </w:r>
      <w:r w:rsidR="002922C2">
        <w:t>íbhinn </w:t>
      </w:r>
      <w:r w:rsidRPr="00BB02FF">
        <w:t>XXXIII a ghabhann leis an Rialachán seo agus trí na treoracha atá leagtha amach in Iarscr</w:t>
      </w:r>
      <w:r w:rsidR="002922C2">
        <w:t>íbhinn </w:t>
      </w:r>
      <w:r w:rsidRPr="00BB02FF">
        <w:t>XXXIV a ghabhann leis an Rialachán seo a leanúint.</w:t>
      </w:r>
    </w:p>
    <w:p w:rsidR="000C60D7" w:rsidRPr="00BB02FF" w:rsidRDefault="000C60D7" w:rsidP="000B4F70">
      <w:pPr>
        <w:pStyle w:val="Titrearticle"/>
      </w:pPr>
      <w:r w:rsidRPr="00BB02FF">
        <w:lastRenderedPageBreak/>
        <w:t>Airteagal 18</w:t>
      </w:r>
    </w:p>
    <w:p w:rsidR="00701631" w:rsidRPr="00BB02FF" w:rsidRDefault="00701631" w:rsidP="00701631">
      <w:pPr>
        <w:pStyle w:val="Titrearticle"/>
        <w:spacing w:before="120"/>
        <w:rPr>
          <w:b/>
          <w:i w:val="0"/>
        </w:rPr>
      </w:pPr>
      <w:r w:rsidRPr="00BB02FF">
        <w:rPr>
          <w:b/>
          <w:i w:val="0"/>
        </w:rPr>
        <w:t xml:space="preserve">Sócmhainní ualaithe agus neamhualaithe a nochtadh </w:t>
      </w:r>
    </w:p>
    <w:p w:rsidR="00701631" w:rsidRPr="00BB02FF" w:rsidRDefault="00701631" w:rsidP="006A7F00">
      <w:pPr>
        <w:spacing w:after="360"/>
      </w:pPr>
      <w:r w:rsidRPr="00BB02FF">
        <w:t xml:space="preserve">Déanfaidh institiúidí an fhaisnéis dá dtagraítear in </w:t>
      </w:r>
      <w:r w:rsidR="00A345B2">
        <w:t>Airteagal </w:t>
      </w:r>
      <w:r w:rsidRPr="00BB02FF">
        <w:t xml:space="preserve">443 de Rialachán (AE) </w:t>
      </w:r>
      <w:r w:rsidR="0061010F">
        <w:t>Uimh. </w:t>
      </w:r>
      <w:r w:rsidRPr="00BB02FF">
        <w:t xml:space="preserve">575/2013 a nochtadh trí úsáid a bhaint as teimpléid </w:t>
      </w:r>
      <w:r w:rsidR="00EE598D">
        <w:t>EU </w:t>
      </w:r>
      <w:r w:rsidRPr="00BB02FF">
        <w:t xml:space="preserve">AE1, </w:t>
      </w:r>
      <w:r w:rsidR="00EE598D">
        <w:t>EU </w:t>
      </w:r>
      <w:r w:rsidRPr="00BB02FF">
        <w:t xml:space="preserve">AE2 agus </w:t>
      </w:r>
      <w:r w:rsidR="00EE598D">
        <w:t>EU </w:t>
      </w:r>
      <w:r w:rsidRPr="00BB02FF">
        <w:t>AE3 agus as an t</w:t>
      </w:r>
      <w:r w:rsidR="00EE598D">
        <w:t>ábla EU </w:t>
      </w:r>
      <w:r w:rsidRPr="00BB02FF">
        <w:t>AE4 d</w:t>
      </w:r>
      <w:r w:rsidR="00975A58">
        <w:t>’</w:t>
      </w:r>
      <w:r w:rsidRPr="00BB02FF">
        <w:t>Iarscr</w:t>
      </w:r>
      <w:r w:rsidR="002922C2">
        <w:t>íbhinn </w:t>
      </w:r>
      <w:r w:rsidRPr="00BB02FF">
        <w:t>XXXV a ghabhann leis an Rialachán seo agus trí na treoracha atá leagtha amach in Iarscr</w:t>
      </w:r>
      <w:r w:rsidR="002922C2">
        <w:t>íbhinn </w:t>
      </w:r>
      <w:r w:rsidRPr="00BB02FF">
        <w:t>XXXVI a ghabhann leis an Rialachán seo a leanúint.</w:t>
      </w:r>
    </w:p>
    <w:p w:rsidR="00701631" w:rsidRPr="00BB02FF" w:rsidRDefault="00701631" w:rsidP="00701631">
      <w:pPr>
        <w:pStyle w:val="ChapterTitle"/>
      </w:pPr>
    </w:p>
    <w:p w:rsidR="000C60D7" w:rsidRPr="00BB02FF" w:rsidRDefault="000C60D7" w:rsidP="000C60D7">
      <w:pPr>
        <w:pStyle w:val="Titrearticle"/>
      </w:pPr>
      <w:r w:rsidRPr="00BB02FF">
        <w:t>Airteagal 19</w:t>
      </w:r>
    </w:p>
    <w:p w:rsidR="00701631" w:rsidRPr="00BB02FF" w:rsidRDefault="00701631" w:rsidP="00701631">
      <w:pPr>
        <w:pStyle w:val="Titrearticle"/>
        <w:spacing w:before="120"/>
        <w:rPr>
          <w:b/>
          <w:i w:val="0"/>
        </w:rPr>
      </w:pPr>
      <w:r w:rsidRPr="00BB02FF">
        <w:rPr>
          <w:b/>
          <w:i w:val="0"/>
        </w:rPr>
        <w:t>Forálacha ginearálta</w:t>
      </w:r>
    </w:p>
    <w:p w:rsidR="00701631" w:rsidRPr="00BB02FF" w:rsidRDefault="008A6A1E" w:rsidP="006A7F00">
      <w:pPr>
        <w:pStyle w:val="NumPar1"/>
        <w:numPr>
          <w:ilvl w:val="0"/>
          <w:numId w:val="26"/>
        </w:numPr>
        <w:tabs>
          <w:tab w:val="clear" w:pos="850"/>
          <w:tab w:val="left" w:pos="567"/>
        </w:tabs>
        <w:ind w:left="0" w:firstLine="0"/>
      </w:pPr>
      <w:r w:rsidRPr="00BB02FF">
        <w:t>I gcás ina bhfágfaidh institiúid nochtadh amháin nó níos mó ar lár i gcomhréir le h</w:t>
      </w:r>
      <w:r w:rsidR="00A345B2">
        <w:t>Airteagal </w:t>
      </w:r>
      <w:r w:rsidRPr="00BB02FF">
        <w:t xml:space="preserve">432 de Rialachán (AE) </w:t>
      </w:r>
      <w:r w:rsidR="0061010F">
        <w:t>Uimh. </w:t>
      </w:r>
      <w:r w:rsidRPr="00BB02FF">
        <w:t>575/2013, ní dhéanfar uimhriú na rónna nó na gcolún a choigeartú.</w:t>
      </w:r>
    </w:p>
    <w:p w:rsidR="00701631" w:rsidRPr="00BB02FF" w:rsidRDefault="00701631" w:rsidP="0015237E">
      <w:pPr>
        <w:pStyle w:val="NumPar1"/>
        <w:numPr>
          <w:ilvl w:val="0"/>
          <w:numId w:val="26"/>
        </w:numPr>
        <w:tabs>
          <w:tab w:val="clear" w:pos="850"/>
          <w:tab w:val="left" w:pos="567"/>
        </w:tabs>
        <w:ind w:left="0" w:firstLine="0"/>
      </w:pPr>
      <w:r w:rsidRPr="00BB02FF">
        <w:t>Déanfaidh institiúidí nóta soiléir san insint a ghabhann leis an teimpléad nó leis an tábla lena mbaineann ina gcuirfear in iúl cé na rónna nó na colúin nár líonadh isteach agus luafar sa nóta sin an chúis gur fágadh an nochtadh ar lár.</w:t>
      </w:r>
    </w:p>
    <w:p w:rsidR="00701631" w:rsidRPr="00BB02FF" w:rsidRDefault="00701631" w:rsidP="006A7F00">
      <w:pPr>
        <w:pStyle w:val="NumPar1"/>
        <w:numPr>
          <w:ilvl w:val="0"/>
          <w:numId w:val="26"/>
        </w:numPr>
        <w:tabs>
          <w:tab w:val="clear" w:pos="850"/>
          <w:tab w:val="left" w:pos="567"/>
        </w:tabs>
        <w:ind w:left="0" w:firstLine="0"/>
      </w:pPr>
      <w:r w:rsidRPr="00BB02FF">
        <w:t>An fhaisnéis a cheanglaítear le h</w:t>
      </w:r>
      <w:r w:rsidR="00A345B2">
        <w:t>Airteagal </w:t>
      </w:r>
      <w:r w:rsidRPr="00BB02FF">
        <w:t xml:space="preserve">431 de Rialachán (AE) </w:t>
      </w:r>
      <w:r w:rsidR="0061010F">
        <w:t>Uimh. </w:t>
      </w:r>
      <w:r w:rsidRPr="00BB02FF">
        <w:t>575/2013, beidh sí soiléir agus cuimsitheach, rud a fhágfaidh go mbeidh úsáideoirí na faisnéise sin in ann na nochtuithe cainníochtúla a thuiscint, agus cuirfear í in aice leis na teimpléid a bhaineann léi.</w:t>
      </w:r>
    </w:p>
    <w:p w:rsidR="00701631" w:rsidRPr="00BB02FF" w:rsidRDefault="008A6A1E" w:rsidP="006A7F00">
      <w:pPr>
        <w:pStyle w:val="NumPar1"/>
        <w:numPr>
          <w:ilvl w:val="0"/>
          <w:numId w:val="26"/>
        </w:numPr>
        <w:tabs>
          <w:tab w:val="clear" w:pos="850"/>
          <w:tab w:val="left" w:pos="567"/>
        </w:tabs>
        <w:ind w:left="0" w:firstLine="0"/>
      </w:pPr>
      <w:r w:rsidRPr="00BB02FF">
        <w:t>Cuirfear luachanna uimhriúla i láthair mar a leanas:</w:t>
      </w:r>
    </w:p>
    <w:p w:rsidR="00701631" w:rsidRPr="00BB02FF" w:rsidRDefault="006A7F00" w:rsidP="006A7F00">
      <w:pPr>
        <w:pStyle w:val="Point1letter"/>
        <w:numPr>
          <w:ilvl w:val="3"/>
          <w:numId w:val="27"/>
        </w:numPr>
        <w:tabs>
          <w:tab w:val="clear" w:pos="1417"/>
        </w:tabs>
        <w:ind w:left="567"/>
      </w:pPr>
      <w:r w:rsidRPr="00BB02FF">
        <w:t>déanfar sonraí airgeadaíochta cainníochtúla a nochtadh ag baint úsáide as beachtas íosta is ionann agus na milliúin aonad;</w:t>
      </w:r>
    </w:p>
    <w:p w:rsidR="00701631" w:rsidRPr="00BB02FF" w:rsidRDefault="006A7F00" w:rsidP="006A7F00">
      <w:pPr>
        <w:pStyle w:val="Point1letter"/>
        <w:numPr>
          <w:ilvl w:val="3"/>
          <w:numId w:val="25"/>
        </w:numPr>
        <w:tabs>
          <w:tab w:val="clear" w:pos="1417"/>
        </w:tabs>
        <w:ind w:left="567"/>
      </w:pPr>
      <w:r w:rsidRPr="00BB02FF">
        <w:t xml:space="preserve">déanfar sonraí cainníochtúla a nochtar mar </w:t>
      </w:r>
      <w:r w:rsidR="00975A58">
        <w:t>‘</w:t>
      </w:r>
      <w:r w:rsidRPr="00BB02FF">
        <w:t>Céatadán</w:t>
      </w:r>
      <w:r w:rsidR="00975A58">
        <w:t>’</w:t>
      </w:r>
      <w:r w:rsidRPr="00BB02FF">
        <w:t xml:space="preserve"> a shloinneadh in aghaidh an aonaid agus beachtas íosta acu is ionann agus ceithre dheachúil.</w:t>
      </w:r>
    </w:p>
    <w:p w:rsidR="00701631" w:rsidRPr="00BB02FF" w:rsidRDefault="007C003F" w:rsidP="006A7F00">
      <w:pPr>
        <w:pStyle w:val="NumPar1"/>
        <w:numPr>
          <w:ilvl w:val="0"/>
          <w:numId w:val="26"/>
        </w:numPr>
        <w:tabs>
          <w:tab w:val="clear" w:pos="850"/>
          <w:tab w:val="left" w:pos="567"/>
        </w:tabs>
        <w:ind w:left="0" w:firstLine="0"/>
      </w:pPr>
      <w:r w:rsidRPr="00BB02FF">
        <w:t>Chomh maith leis an bhfaisnéis a nochtar i gcomhréir leis an Rialachán seo, cuirfidh institiúidí an fhaisnéis seo a leanas ar fáil freisin:</w:t>
      </w:r>
    </w:p>
    <w:p w:rsidR="00701631" w:rsidRPr="00BB02FF" w:rsidRDefault="00701631" w:rsidP="006A7F00">
      <w:pPr>
        <w:pStyle w:val="Point1letter"/>
        <w:numPr>
          <w:ilvl w:val="3"/>
          <w:numId w:val="28"/>
        </w:numPr>
        <w:tabs>
          <w:tab w:val="clear" w:pos="1417"/>
        </w:tabs>
        <w:ind w:left="567"/>
      </w:pPr>
      <w:r w:rsidRPr="00BB02FF">
        <w:t xml:space="preserve">dáta tagartha nochta agus tréimhse thagartha nochta; </w:t>
      </w:r>
    </w:p>
    <w:p w:rsidR="00701631" w:rsidRPr="00BB02FF" w:rsidRDefault="00701631" w:rsidP="006A7F00">
      <w:pPr>
        <w:pStyle w:val="Point1letter"/>
        <w:numPr>
          <w:ilvl w:val="3"/>
          <w:numId w:val="25"/>
        </w:numPr>
        <w:tabs>
          <w:tab w:val="clear" w:pos="1417"/>
        </w:tabs>
        <w:ind w:left="567"/>
      </w:pPr>
      <w:r w:rsidRPr="00BB02FF">
        <w:t xml:space="preserve">airgeadra tuairiscithe; </w:t>
      </w:r>
    </w:p>
    <w:p w:rsidR="00701631" w:rsidRPr="00BB02FF" w:rsidRDefault="00701631" w:rsidP="006A7F00">
      <w:pPr>
        <w:pStyle w:val="Point1letter"/>
        <w:numPr>
          <w:ilvl w:val="3"/>
          <w:numId w:val="25"/>
        </w:numPr>
        <w:tabs>
          <w:tab w:val="clear" w:pos="1417"/>
        </w:tabs>
        <w:ind w:left="567"/>
      </w:pPr>
      <w:r w:rsidRPr="00BB02FF">
        <w:t>ainm agus, i gcás inarb ábhartha, aitheantóir eintitis dhlítheanaigh (LEI) na hinstitiúide nochta;</w:t>
      </w:r>
    </w:p>
    <w:p w:rsidR="00701631" w:rsidRPr="00BB02FF" w:rsidRDefault="00701631" w:rsidP="006A7F00">
      <w:pPr>
        <w:pStyle w:val="Point1letter"/>
        <w:numPr>
          <w:ilvl w:val="3"/>
          <w:numId w:val="25"/>
        </w:numPr>
        <w:tabs>
          <w:tab w:val="clear" w:pos="1417"/>
        </w:tabs>
        <w:ind w:left="567"/>
      </w:pPr>
      <w:r w:rsidRPr="00BB02FF">
        <w:t>i gcás inarb ábhartha, an caighdeán cuntasaíochta a úsáideadh;</w:t>
      </w:r>
    </w:p>
    <w:p w:rsidR="00701631" w:rsidRPr="00BB02FF" w:rsidRDefault="00701631" w:rsidP="006A7F00">
      <w:pPr>
        <w:pStyle w:val="Point1letter"/>
        <w:numPr>
          <w:ilvl w:val="3"/>
          <w:numId w:val="25"/>
        </w:numPr>
        <w:tabs>
          <w:tab w:val="clear" w:pos="1417"/>
        </w:tabs>
        <w:ind w:left="567"/>
      </w:pPr>
      <w:r w:rsidRPr="00BB02FF">
        <w:t>i gcás inarb ábhartha, raon feidhme an chomhdhlúthaithe.</w:t>
      </w:r>
    </w:p>
    <w:p w:rsidR="00701631" w:rsidRPr="00BB02FF" w:rsidRDefault="00701631" w:rsidP="00701631">
      <w:pPr>
        <w:pStyle w:val="ChapterTitle"/>
      </w:pPr>
    </w:p>
    <w:p w:rsidR="00480310" w:rsidRPr="00BB02FF" w:rsidRDefault="00480310" w:rsidP="00480310">
      <w:pPr>
        <w:pStyle w:val="Titrearticle"/>
      </w:pPr>
      <w:r w:rsidRPr="00BB02FF">
        <w:t>Airteagal 20</w:t>
      </w:r>
    </w:p>
    <w:p w:rsidR="00701631" w:rsidRPr="00BB02FF" w:rsidRDefault="00701631" w:rsidP="00701631">
      <w:pPr>
        <w:pStyle w:val="Titrearticle"/>
        <w:spacing w:before="120"/>
        <w:rPr>
          <w:b/>
          <w:i w:val="0"/>
        </w:rPr>
      </w:pPr>
      <w:r w:rsidRPr="00BB02FF">
        <w:rPr>
          <w:b/>
          <w:i w:val="0"/>
        </w:rPr>
        <w:t>Aisghairm</w:t>
      </w:r>
    </w:p>
    <w:p w:rsidR="00701631" w:rsidRPr="00BB02FF" w:rsidRDefault="00701631" w:rsidP="00CE5120">
      <w:r w:rsidRPr="00BB02FF">
        <w:t xml:space="preserve">Déantar Rialachán Cur Chun Feidhme (AE) </w:t>
      </w:r>
      <w:r w:rsidR="0061010F">
        <w:t>Uimh. </w:t>
      </w:r>
      <w:r w:rsidRPr="00BB02FF">
        <w:t>1423/2013, Rialachán Tarmligthe (AE) 2015/1555, Rialachán Cur Chun Feidhme (AE) 2016/200 agus Rialachán Tarmligthe (AE) 2017/2295 a aisghairm.</w:t>
      </w:r>
    </w:p>
    <w:p w:rsidR="00701631" w:rsidRPr="00BB02FF" w:rsidRDefault="00701631" w:rsidP="00CE5120"/>
    <w:p w:rsidR="00480310" w:rsidRPr="00BB02FF" w:rsidRDefault="00480310" w:rsidP="00480310">
      <w:pPr>
        <w:pStyle w:val="Titrearticle"/>
        <w:spacing w:before="120"/>
      </w:pPr>
      <w:r w:rsidRPr="00BB02FF">
        <w:t>Airteagal 21</w:t>
      </w:r>
    </w:p>
    <w:p w:rsidR="003A35E9" w:rsidRPr="00BB02FF" w:rsidRDefault="003A35E9" w:rsidP="003A35E9">
      <w:pPr>
        <w:pStyle w:val="Titrearticle"/>
        <w:spacing w:before="120"/>
        <w:rPr>
          <w:b/>
          <w:i w:val="0"/>
        </w:rPr>
      </w:pPr>
      <w:r w:rsidRPr="00BB02FF">
        <w:rPr>
          <w:b/>
          <w:i w:val="0"/>
        </w:rPr>
        <w:t>Teacht i bhfeidhm</w:t>
      </w:r>
    </w:p>
    <w:p w:rsidR="0004170D" w:rsidRPr="00BB02FF" w:rsidRDefault="0004170D" w:rsidP="009675DD">
      <w:r w:rsidRPr="00BB02FF">
        <w:t xml:space="preserve">Tiocfaidh an Rialachán seo i bhfeidhm an fichiú lá tar éis lá a fhoilsithe in </w:t>
      </w:r>
      <w:r w:rsidRPr="00BB02FF">
        <w:rPr>
          <w:i/>
        </w:rPr>
        <w:t>Iris Oifigiúil an Aontais Eorpaigh</w:t>
      </w:r>
      <w:r w:rsidRPr="00BB02FF">
        <w:t>.</w:t>
      </w:r>
    </w:p>
    <w:p w:rsidR="00FF364B" w:rsidRPr="00BB02FF" w:rsidRDefault="00FF364B" w:rsidP="00FF364B">
      <w:r w:rsidRPr="00BB02FF">
        <w:t>Beidh feidhm aige ón 2</w:t>
      </w:r>
      <w:r w:rsidR="00975F64" w:rsidRPr="00BB02FF">
        <w:t>8</w:t>
      </w:r>
      <w:r w:rsidR="00975F64">
        <w:t> </w:t>
      </w:r>
      <w:r w:rsidR="00975F64" w:rsidRPr="00BB02FF">
        <w:t>Meitheamh</w:t>
      </w:r>
      <w:r w:rsidR="00975F64">
        <w:t> </w:t>
      </w:r>
      <w:r w:rsidR="00975F64" w:rsidRPr="00BB02FF">
        <w:t>2021</w:t>
      </w:r>
      <w:r w:rsidRPr="00BB02FF">
        <w:t>.</w:t>
      </w:r>
    </w:p>
    <w:p w:rsidR="0004170D" w:rsidRPr="00BB02FF" w:rsidRDefault="0004170D" w:rsidP="009675DD">
      <w:pPr>
        <w:pStyle w:val="Applicationdirecte"/>
      </w:pPr>
      <w:r w:rsidRPr="00BB02FF">
        <w:t>Beidh an Rialachán seo ina cheangal go huile agus go hiomlán agus beidh sé infheidhme go díreach i ngach Ballstát.</w:t>
      </w:r>
    </w:p>
    <w:p w:rsidR="0004170D" w:rsidRPr="00BB02FF" w:rsidRDefault="00FF6F5E" w:rsidP="00FF6F5E">
      <w:pPr>
        <w:pStyle w:val="Fait"/>
      </w:pPr>
      <w:r w:rsidRPr="00FF6F5E">
        <w:t>Arna dhéanamh sa Bhruiséil,</w:t>
      </w:r>
    </w:p>
    <w:p w:rsidR="0004170D" w:rsidRPr="00BB02FF" w:rsidRDefault="0004170D" w:rsidP="0004170D">
      <w:pPr>
        <w:pStyle w:val="Institutionquisigne"/>
      </w:pPr>
      <w:r w:rsidRPr="00BB02FF">
        <w:tab/>
        <w:t>Thar ceann an Choimisiúin</w:t>
      </w:r>
    </w:p>
    <w:p w:rsidR="00553957" w:rsidRPr="00BB02FF" w:rsidRDefault="0004170D" w:rsidP="0004170D">
      <w:pPr>
        <w:pStyle w:val="Personnequisigne"/>
      </w:pPr>
      <w:r w:rsidRPr="00BB02FF">
        <w:tab/>
        <w:t>An tUachtarán</w:t>
      </w:r>
    </w:p>
    <w:p w:rsidR="0004170D" w:rsidRPr="00BB02FF" w:rsidRDefault="00553957" w:rsidP="0004170D">
      <w:pPr>
        <w:pStyle w:val="Personnequisigne"/>
      </w:pPr>
      <w:r w:rsidRPr="00BB02FF">
        <w:tab/>
        <w:t xml:space="preserve">Ursula von der Leyen </w:t>
      </w:r>
      <w:r w:rsidRPr="00BB02FF">
        <w:br/>
      </w:r>
      <w:r w:rsidR="000B4F70">
        <w:tab/>
      </w:r>
      <w:r w:rsidRPr="00BB02FF">
        <w:br/>
      </w:r>
      <w:r w:rsidR="000B4F70">
        <w:tab/>
      </w:r>
      <w:r w:rsidRPr="00BB02FF">
        <w:br/>
        <w:t xml:space="preserve"> </w:t>
      </w:r>
      <w:r w:rsidRPr="00BB02FF">
        <w:br/>
      </w:r>
      <w:r w:rsidRPr="00BB02FF">
        <w:tab/>
      </w:r>
    </w:p>
    <w:sectPr w:rsidR="0004170D" w:rsidRPr="00BB02FF" w:rsidSect="00FF6F5E">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98D" w:rsidRDefault="00EE598D" w:rsidP="0004170D">
      <w:pPr>
        <w:spacing w:before="0" w:after="0"/>
      </w:pPr>
      <w:r>
        <w:separator/>
      </w:r>
    </w:p>
  </w:endnote>
  <w:endnote w:type="continuationSeparator" w:id="0">
    <w:p w:rsidR="00EE598D" w:rsidRDefault="00EE598D" w:rsidP="0004170D">
      <w:pPr>
        <w:spacing w:before="0" w:after="0"/>
      </w:pPr>
      <w:r>
        <w:continuationSeparator/>
      </w:r>
    </w:p>
  </w:endnote>
  <w:endnote w:type="continuationNotice" w:id="1">
    <w:p w:rsidR="00EE598D" w:rsidRDefault="00EE598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F5E" w:rsidRPr="00FF6F5E" w:rsidRDefault="00FF6F5E" w:rsidP="00FF6F5E">
    <w:pPr>
      <w:pStyle w:val="Footer"/>
      <w:rPr>
        <w:rFonts w:ascii="Arial" w:hAnsi="Arial" w:cs="Arial"/>
        <w:b/>
        <w:sz w:val="48"/>
      </w:rPr>
    </w:pPr>
    <w:r w:rsidRPr="00FF6F5E">
      <w:rPr>
        <w:rFonts w:ascii="Arial" w:hAnsi="Arial" w:cs="Arial"/>
        <w:b/>
        <w:sz w:val="48"/>
      </w:rPr>
      <w:t>GA</w:t>
    </w:r>
    <w:r w:rsidRPr="00FF6F5E">
      <w:rPr>
        <w:rFonts w:ascii="Arial" w:hAnsi="Arial" w:cs="Arial"/>
        <w:b/>
        <w:sz w:val="48"/>
      </w:rPr>
      <w:tab/>
    </w:r>
    <w:r w:rsidRPr="00FF6F5E">
      <w:rPr>
        <w:rFonts w:ascii="Arial" w:hAnsi="Arial" w:cs="Arial"/>
        <w:b/>
        <w:sz w:val="48"/>
      </w:rPr>
      <w:tab/>
    </w:r>
    <w:r w:rsidRPr="00FF6F5E">
      <w:tab/>
    </w:r>
    <w:r w:rsidRPr="00FF6F5E">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F5E" w:rsidRPr="00FF6F5E" w:rsidRDefault="00FF6F5E" w:rsidP="00FF6F5E">
    <w:pPr>
      <w:pStyle w:val="Footer"/>
      <w:rPr>
        <w:rFonts w:ascii="Arial" w:hAnsi="Arial" w:cs="Arial"/>
        <w:b/>
        <w:sz w:val="48"/>
      </w:rPr>
    </w:pPr>
    <w:r w:rsidRPr="00FF6F5E">
      <w:rPr>
        <w:rFonts w:ascii="Arial" w:hAnsi="Arial" w:cs="Arial"/>
        <w:b/>
        <w:sz w:val="48"/>
      </w:rPr>
      <w:t>GA</w:t>
    </w:r>
    <w:r w:rsidRPr="00FF6F5E">
      <w:rPr>
        <w:rFonts w:ascii="Arial" w:hAnsi="Arial" w:cs="Arial"/>
        <w:b/>
        <w:sz w:val="48"/>
      </w:rPr>
      <w:tab/>
    </w:r>
    <w:r>
      <w:fldChar w:fldCharType="begin"/>
    </w:r>
    <w:r>
      <w:instrText xml:space="preserve"> PAGE  \* MERGEFORMAT </w:instrText>
    </w:r>
    <w:r>
      <w:fldChar w:fldCharType="separate"/>
    </w:r>
    <w:r w:rsidR="00794070">
      <w:rPr>
        <w:noProof/>
      </w:rPr>
      <w:t>13</w:t>
    </w:r>
    <w:r>
      <w:fldChar w:fldCharType="end"/>
    </w:r>
    <w:r>
      <w:tab/>
    </w:r>
    <w:r w:rsidRPr="00FF6F5E">
      <w:tab/>
    </w:r>
    <w:r w:rsidRPr="00FF6F5E">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F5E" w:rsidRPr="00FF6F5E" w:rsidRDefault="00FF6F5E" w:rsidP="00FF6F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98D" w:rsidRDefault="00EE598D" w:rsidP="0004170D">
      <w:pPr>
        <w:spacing w:before="0" w:after="0"/>
      </w:pPr>
      <w:r>
        <w:separator/>
      </w:r>
    </w:p>
  </w:footnote>
  <w:footnote w:type="continuationSeparator" w:id="0">
    <w:p w:rsidR="00EE598D" w:rsidRDefault="00EE598D" w:rsidP="0004170D">
      <w:pPr>
        <w:spacing w:before="0" w:after="0"/>
      </w:pPr>
      <w:r>
        <w:continuationSeparator/>
      </w:r>
    </w:p>
  </w:footnote>
  <w:footnote w:type="continuationNotice" w:id="1">
    <w:p w:rsidR="00EE598D" w:rsidRDefault="00EE598D">
      <w:pPr>
        <w:spacing w:before="0" w:after="0"/>
      </w:pPr>
    </w:p>
  </w:footnote>
  <w:footnote w:id="2">
    <w:p w:rsidR="00EE598D" w:rsidRPr="005823FE" w:rsidRDefault="00EE598D" w:rsidP="00195285">
      <w:pPr>
        <w:pStyle w:val="FootnoteText"/>
        <w:ind w:left="567" w:hanging="567"/>
      </w:pPr>
      <w:r>
        <w:rPr>
          <w:rStyle w:val="FootnoteReference"/>
        </w:rPr>
        <w:footnoteRef/>
      </w:r>
      <w:r>
        <w:tab/>
        <w:t>IO L 176, 27.6.2013, lch. 1.</w:t>
      </w:r>
    </w:p>
  </w:footnote>
  <w:footnote w:id="3">
    <w:p w:rsidR="00EE598D" w:rsidRPr="003460F1" w:rsidRDefault="00EE598D" w:rsidP="00A72EF0">
      <w:pPr>
        <w:pStyle w:val="FootnoteText"/>
        <w:ind w:left="567" w:hanging="567"/>
      </w:pPr>
      <w:r>
        <w:rPr>
          <w:rStyle w:val="FootnoteReference"/>
        </w:rPr>
        <w:footnoteRef/>
      </w:r>
      <w:r>
        <w:tab/>
        <w:t>Coiste Basel um Maoirseacht ar Bhaincéireacht an Bhainc um Shocraíochtaí Idirnáisiúnta, ceanglais maidir le Nochtadh DIS, mí na Nollag</w:t>
      </w:r>
      <w:r>
        <w:rPr>
          <w:lang w:val="en-IE"/>
        </w:rPr>
        <w:t> </w:t>
      </w:r>
      <w:r>
        <w:t xml:space="preserve">2019. </w:t>
      </w:r>
    </w:p>
  </w:footnote>
  <w:footnote w:id="4">
    <w:p w:rsidR="00EE598D" w:rsidRPr="00A72EF0" w:rsidRDefault="00EE598D" w:rsidP="00A72EF0">
      <w:pPr>
        <w:pStyle w:val="FootnoteText"/>
        <w:ind w:left="567" w:hanging="567"/>
        <w:rPr>
          <w:rStyle w:val="FootnoteReference"/>
          <w:vertAlign w:val="baseline"/>
        </w:rPr>
      </w:pPr>
      <w:r>
        <w:rPr>
          <w:rStyle w:val="FootnoteReference"/>
        </w:rPr>
        <w:footnoteRef/>
      </w:r>
      <w:r>
        <w:tab/>
        <w:t>Rialachán (AE) Uimh. 575/2013 ó Pharlaimint na hEorpa agus ón gComhairle an 26 Meitheamh</w:t>
      </w:r>
      <w:r w:rsidRPr="00794070">
        <w:t> </w:t>
      </w:r>
      <w:r>
        <w:t>2013 maidir le ceanglais stuamachta i gcomhair institiúidí creidmheasa agus gnólachtaí infheistíochta, agus lena leasaítear Rialachán (AE) Uimh. 648/2012 (</w:t>
      </w:r>
      <w:hyperlink r:id="rId1" w:history="1">
        <w:r>
          <w:rPr>
            <w:rStyle w:val="Hyperlink"/>
          </w:rPr>
          <w:t>IO L 176, 27.6.2013, lch. 1</w:t>
        </w:r>
      </w:hyperlink>
      <w:r>
        <w:t>).</w:t>
      </w:r>
    </w:p>
  </w:footnote>
  <w:footnote w:id="5">
    <w:p w:rsidR="00EE598D" w:rsidRPr="00587191" w:rsidRDefault="00EE598D" w:rsidP="00A72EF0">
      <w:pPr>
        <w:pStyle w:val="FootnoteText"/>
        <w:ind w:left="567" w:hanging="567"/>
      </w:pPr>
      <w:r>
        <w:rPr>
          <w:rStyle w:val="FootnoteReference"/>
        </w:rPr>
        <w:footnoteRef/>
      </w:r>
      <w:r>
        <w:tab/>
        <w:t>Rialachán Cur Chun Feidhme (AE) Uimh. 1423/2013 ón gCoimisiún an 20 Nollaig 2013 lena leagtar síos caighdeáin theicniúla cur chun feidhme le haghaidh institiúidí i dtaca le ceanglais maidir le nochtadh cistí dílse de réir Rialachán (AE) Uimh. 575/2013 ó Pharlaimint na hEorpa agus ón gComhairle (IO L 355, 31.12.2013, lch. 60).</w:t>
      </w:r>
    </w:p>
  </w:footnote>
  <w:footnote w:id="6">
    <w:p w:rsidR="00EE598D" w:rsidRPr="005823FE" w:rsidRDefault="00EE598D" w:rsidP="00A72EF0">
      <w:pPr>
        <w:pStyle w:val="FootnoteText"/>
        <w:ind w:left="567" w:hanging="567"/>
      </w:pPr>
      <w:r>
        <w:rPr>
          <w:rStyle w:val="FootnoteReference"/>
        </w:rPr>
        <w:footnoteRef/>
      </w:r>
      <w:r>
        <w:tab/>
        <w:t>Rialachán Tarmligthe ón gCoimisiún (AE) Uimh. 2015/1555 an Déardaoin 28 Bealtaine 2015 lena bhforlíontar Rialachán (AE) Uimh. 575/2013 ó Pharlaimint na hEorpa agus ón gComhairle maidir le caighdeáin theicniúla rialála i dtaca le faisnéis a nochtadh maidir le hinstitiúidí a bheith ag comhlíonadh an cheanglais le haghaidh chaipiteal maolánach frith-thimthriallach i gcomhréir le hAirteagal 440 (IO L 244, 19.9.2015, lch 1).</w:t>
      </w:r>
    </w:p>
  </w:footnote>
  <w:footnote w:id="7">
    <w:p w:rsidR="00EE598D" w:rsidRPr="005823FE" w:rsidRDefault="00EE598D" w:rsidP="00A72EF0">
      <w:pPr>
        <w:pStyle w:val="FootnoteText"/>
        <w:ind w:left="567" w:hanging="567"/>
      </w:pPr>
      <w:r>
        <w:rPr>
          <w:rStyle w:val="FootnoteReference"/>
        </w:rPr>
        <w:footnoteRef/>
      </w:r>
      <w:r>
        <w:tab/>
        <w:t>Rialachán Cur Chun Feidhme (AE) 2016/200 ón gCoimisiún an 15 Feabhra 2016 lena leagtar síos caighdeáin theicniúla cur chun feidhme le haghaidh institiúidí maidir leis an gcóimheas giarála a nochtadh, de réir Rialachán (AE) Uimh. 575/2013 ó Pharlaimint na hEorpa agus ón gComhairle (IO L 39, 16.2.2016, lch. 5).</w:t>
      </w:r>
    </w:p>
  </w:footnote>
  <w:footnote w:id="8">
    <w:p w:rsidR="00EE598D" w:rsidRPr="005823FE" w:rsidRDefault="00EE598D" w:rsidP="00A72EF0">
      <w:pPr>
        <w:pStyle w:val="FootnoteText"/>
        <w:ind w:left="567" w:hanging="567"/>
      </w:pPr>
      <w:r>
        <w:rPr>
          <w:rStyle w:val="FootnoteReference"/>
        </w:rPr>
        <w:footnoteRef/>
      </w:r>
      <w:r>
        <w:tab/>
        <w:t>Rialachán Tarmligthe ón gCoimisiún (AE) Uimh. 2017/2295 an 4 Meán Fómhair 2017 lena bhforlíontar Rialachán (AE) Uimh. 575/2013 ó Pharlaimint na hEorpa agus ón gComhairle maidir le caighdeáin theicniúla rialála i dtaca le sócmhainní ualaithe agus neamhualaithe a nochtadh (IO L 329, 13.12.2017, lch 6).</w:t>
      </w:r>
    </w:p>
  </w:footnote>
  <w:footnote w:id="9">
    <w:p w:rsidR="00EE598D" w:rsidRPr="00A72EF0" w:rsidRDefault="00EE598D" w:rsidP="00967C75">
      <w:pPr>
        <w:pStyle w:val="FootnoteText"/>
        <w:ind w:left="567" w:hanging="567"/>
      </w:pPr>
      <w:r>
        <w:rPr>
          <w:rStyle w:val="FootnoteReference"/>
        </w:rPr>
        <w:footnoteRef/>
      </w:r>
      <w:r>
        <w:tab/>
        <w:t>Treoirlínte EBA/GL/2018/10 ón Údarás Baincéireachta Eorpach an 17 Nollaig 2018 maidir risíochtaí neamhthuillmheacha agus staonta a nochtadh.</w:t>
      </w:r>
    </w:p>
  </w:footnote>
  <w:footnote w:id="10">
    <w:p w:rsidR="00EE598D" w:rsidRPr="00587191" w:rsidRDefault="00EE598D" w:rsidP="00195285">
      <w:pPr>
        <w:pStyle w:val="FootnoteText"/>
        <w:ind w:left="567" w:hanging="567"/>
      </w:pPr>
      <w:r>
        <w:rPr>
          <w:rStyle w:val="FootnoteReference"/>
        </w:rPr>
        <w:footnoteRef/>
      </w:r>
      <w:r>
        <w:tab/>
        <w:t>Rialachán (AE) 2017/2401 ó Pharlaimint na hEorpa agus ón gComhairle an 12 Nollaig 2017 lena leasaítear Rialachán (AE) Uimh. 575/2013 maidir le ceanglais stuamachta i gcomhair institiúidí creidmheasa agus gnólachtaí infheistíochta (IO L 347, 28.12.2017, lch. 1).</w:t>
      </w:r>
    </w:p>
  </w:footnote>
  <w:footnote w:id="11">
    <w:p w:rsidR="00EE598D" w:rsidRPr="00587191" w:rsidRDefault="00EE598D" w:rsidP="00195285">
      <w:pPr>
        <w:pStyle w:val="FootnoteText"/>
        <w:ind w:left="567" w:hanging="567"/>
      </w:pPr>
      <w:r>
        <w:rPr>
          <w:rStyle w:val="FootnoteReference"/>
        </w:rPr>
        <w:footnoteRef/>
      </w:r>
      <w:r>
        <w:tab/>
      </w:r>
      <w:r>
        <w:rPr>
          <w:shd w:val="clear" w:color="auto" w:fill="FFFFFF"/>
        </w:rPr>
        <w:t>Rialachán (AE) 2017/2402 ó Pharlaimint na hEorpa agus ón gComhairle an 12 Nollaig 2017 lena leagtar síos creat ginearálta maidir le hurrúsú agus lena gcruthaítear creat sonrach maidir le hurrúsú simplí trédhearcach caighdeánaithe, agus lena leasaítear Treoracha 2009/65/CE, 2009/138/CE agus Treoir 2011/61/AE agus Rialacháin (CE) Uimh. 1060/2009 agus (AE) Uimh. 648/2012 (</w:t>
      </w:r>
      <w:r>
        <w:t>IO L 347, 28.12.2017, lch. 35</w:t>
      </w:r>
      <w:r>
        <w:rPr>
          <w:shd w:val="clear" w:color="auto" w:fill="FFFFFF"/>
        </w:rPr>
        <w:t>).</w:t>
      </w:r>
    </w:p>
  </w:footnote>
  <w:footnote w:id="12">
    <w:p w:rsidR="00EE598D" w:rsidRPr="00587191" w:rsidRDefault="00EE598D" w:rsidP="00195285">
      <w:pPr>
        <w:pStyle w:val="FootnoteText"/>
        <w:ind w:left="567" w:hanging="567"/>
      </w:pPr>
      <w:r>
        <w:rPr>
          <w:rStyle w:val="FootnoteReference"/>
        </w:rPr>
        <w:footnoteRef/>
      </w:r>
      <w:r>
        <w:tab/>
        <w:t>Rialachán (AE) Uimh. 1093/2010 ó Pharlaimint na hEorpa agus ón gComhairle an 24 Samhain 2010 lena mbunaítear Údarás Maoirseachta Eorpach (An tÚdarás Baincéireachta Eorpach), lena leasaítear Cinneadh Uimh. 716/2009/CE agus lena n</w:t>
      </w:r>
      <w:r>
        <w:noBreakHyphen/>
        <w:t>aisghairtear Cinneadh 2009/78/CE ón gCoimisiún (IO L 331, 15.12.2010, lch.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30"/>
  <w:removePersonalInformation/>
  <w:removeDateAndTime/>
  <w:displayBackgroundShape/>
  <w:attachedTemplate r:id="rId1"/>
  <w:defaultTabStop w:val="72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8 10:53:0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6"/>
    <w:docVar w:name="DQCResult_ModifiedMarkers" w:val="0;0"/>
    <w:docVar w:name="DQCResult_ModifiedNumbering" w:val="0;0"/>
    <w:docVar w:name="DQCResult_Objects" w:val="0;0"/>
    <w:docVar w:name="DQCResult_Sections" w:val="0;0"/>
    <w:docVar w:name="DQCResult_StructureCheck" w:val="0;0"/>
    <w:docVar w:name="DQCResult_SuperfluousWhitespace" w:val="0;3"/>
    <w:docVar w:name="DQCResult_UnknownFonts" w:val="0;0"/>
    <w:docVar w:name="DQCResult_UnknownStyles" w:val="0;0"/>
    <w:docVar w:name="DQCStatus" w:val="Green"/>
    <w:docVar w:name="DQCVersion" w:val="3"/>
    <w:docVar w:name="DQCWithWarnings" w:val="0"/>
    <w:docVar w:name="LW_COVERPAGE_EXISTS" w:val="True"/>
    <w:docVar w:name="LW_COVERPAGE_GUID" w:val="CA500248-28AF-403C-9E18-583C362D3A22"/>
    <w:docVar w:name="LW_COVERPAGE_TYPE" w:val="1"/>
    <w:docVar w:name="LW_CROSSREFERENCE" w:val="&lt;UNUSED&gt;"/>
    <w:docVar w:name="LW_DATE.ADOPT.CP" w:val="an XXX"/>
    <w:docVar w:name="LW_DATE.ADOPT.CP_DATEFORMAT" w:val="an %DATE%"/>
    <w:docVar w:name="LW_DATE.ADOPT.CP_ISODATE" w:val="&lt;EMPTY&gt;"/>
    <w:docVar w:name="LW_DocType" w:val="COM"/>
    <w:docVar w:name="LW_EMISSION" w:val="&lt;EMPTY&gt;"/>
    <w:docVar w:name="LW_EMISSION_ISODATE" w:val="&lt;EMPTY&gt;"/>
    <w:docVar w:name="LW_EMISSION_LOCATION" w:val="BRX"/>
    <w:docVar w:name="LW_EMISSION_PREFIX" w:val="An Bhruiséil,"/>
    <w:docVar w:name="LW_EMISSION_SUFFIX" w:val="&lt;EMPTY&gt;"/>
    <w:docVar w:name="LW_ID_DOCMODEL" w:val="SJ-004"/>
    <w:docVar w:name="LW_ID_DOCSIGNATURE" w:val="SJ-004"/>
    <w:docVar w:name="LW_ID_DOCSTRUCTURE" w:val="COM/AA"/>
    <w:docVar w:name="LW_ID_DOCTYPE" w:val="SJ-004"/>
    <w:docVar w:name="LW_INTERETEEE.CP" w:val="(Téacs atá ábhartha maidir le LEE)"/>
    <w:docVar w:name="LW_LANGUE" w:val="GA"/>
    <w:docVar w:name="LW_LANGUESFAISANTFOI.CP" w:val="&lt;UNUSED&gt;"/>
    <w:docVar w:name="LW_LEVEL_OF_SENSITIVITY" w:val="Standard treatment"/>
    <w:docVar w:name="LW_NOM.INST" w:val="AN COIMISIÚN EORPACH"/>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ena leagtar síos caighdeáin theicniúla cur chun feidhme maidir le nochtaí poiblí na faisnéis ó institiúidí dá dtagraítear i dTeidil II agus III de Chuid a hOcht de Rialachán (AE) Uimh. 575/2013 ó Pharlaimint na hEorpa agus ón gComhairle agus lena n_x001e_aisghairtear Rialachán Cur Chun Feidhme (AE) Uimh. 1423/2013 ón gCoimisiún, Rialachán Tarmligthe (AE) 2015/1555 ón gCoimisiún, Rialachán Cur Chun Feidhme (AE) Uimh. 2016/200 ón gCoimisiún agus Rialachán Tarmligthe (AE) 2017/2295 ón gCoimisiún _x000b_ _x000b_"/>
    <w:docVar w:name="LW_TYPE.DOC.CP" w:val="RIALACHÁN CUR CHUN FEIDHME (AE) .../... ÓN gCOIMISIÚN"/>
  </w:docVars>
  <w:rsids>
    <w:rsidRoot w:val="0004170D"/>
    <w:rsid w:val="0000233F"/>
    <w:rsid w:val="00010CC7"/>
    <w:rsid w:val="0002231C"/>
    <w:rsid w:val="00023622"/>
    <w:rsid w:val="000302BA"/>
    <w:rsid w:val="00036497"/>
    <w:rsid w:val="0004170D"/>
    <w:rsid w:val="000530A8"/>
    <w:rsid w:val="00066D60"/>
    <w:rsid w:val="000715FC"/>
    <w:rsid w:val="000747E8"/>
    <w:rsid w:val="00075194"/>
    <w:rsid w:val="0008268D"/>
    <w:rsid w:val="000965A4"/>
    <w:rsid w:val="000A7C56"/>
    <w:rsid w:val="000B05C5"/>
    <w:rsid w:val="000B18AB"/>
    <w:rsid w:val="000B31D0"/>
    <w:rsid w:val="000B4D68"/>
    <w:rsid w:val="000B4F70"/>
    <w:rsid w:val="000B5ADE"/>
    <w:rsid w:val="000B75F5"/>
    <w:rsid w:val="000C0000"/>
    <w:rsid w:val="000C2A47"/>
    <w:rsid w:val="000C4EBE"/>
    <w:rsid w:val="000C60D7"/>
    <w:rsid w:val="000D57AD"/>
    <w:rsid w:val="000F1AE0"/>
    <w:rsid w:val="00105D7C"/>
    <w:rsid w:val="00124000"/>
    <w:rsid w:val="00124B31"/>
    <w:rsid w:val="0012658B"/>
    <w:rsid w:val="00130336"/>
    <w:rsid w:val="00133341"/>
    <w:rsid w:val="00133A68"/>
    <w:rsid w:val="00142DC9"/>
    <w:rsid w:val="0014569E"/>
    <w:rsid w:val="00151336"/>
    <w:rsid w:val="0015237E"/>
    <w:rsid w:val="00160CAB"/>
    <w:rsid w:val="001612FE"/>
    <w:rsid w:val="00164D08"/>
    <w:rsid w:val="00167DBD"/>
    <w:rsid w:val="00173862"/>
    <w:rsid w:val="00175820"/>
    <w:rsid w:val="00183568"/>
    <w:rsid w:val="00184CD1"/>
    <w:rsid w:val="00190EC6"/>
    <w:rsid w:val="00194CD4"/>
    <w:rsid w:val="00195285"/>
    <w:rsid w:val="001C49B7"/>
    <w:rsid w:val="001D579B"/>
    <w:rsid w:val="001D5E4E"/>
    <w:rsid w:val="0020373E"/>
    <w:rsid w:val="00204CA9"/>
    <w:rsid w:val="00211FA4"/>
    <w:rsid w:val="00223E6D"/>
    <w:rsid w:val="00254B69"/>
    <w:rsid w:val="002554D0"/>
    <w:rsid w:val="00257DE9"/>
    <w:rsid w:val="00262584"/>
    <w:rsid w:val="002907D3"/>
    <w:rsid w:val="002922C2"/>
    <w:rsid w:val="00292A0A"/>
    <w:rsid w:val="002933BD"/>
    <w:rsid w:val="0029527B"/>
    <w:rsid w:val="00296DB6"/>
    <w:rsid w:val="002A48C4"/>
    <w:rsid w:val="002A6E84"/>
    <w:rsid w:val="002C0C3E"/>
    <w:rsid w:val="002C1097"/>
    <w:rsid w:val="002C433D"/>
    <w:rsid w:val="002D22E3"/>
    <w:rsid w:val="002E2681"/>
    <w:rsid w:val="002E399E"/>
    <w:rsid w:val="002E3B6F"/>
    <w:rsid w:val="002E476B"/>
    <w:rsid w:val="00305114"/>
    <w:rsid w:val="00312E0D"/>
    <w:rsid w:val="00316F57"/>
    <w:rsid w:val="00324024"/>
    <w:rsid w:val="00334AD0"/>
    <w:rsid w:val="00334D45"/>
    <w:rsid w:val="00336F4D"/>
    <w:rsid w:val="00342795"/>
    <w:rsid w:val="003460F1"/>
    <w:rsid w:val="00352527"/>
    <w:rsid w:val="00356414"/>
    <w:rsid w:val="00356B75"/>
    <w:rsid w:val="00362906"/>
    <w:rsid w:val="00362E56"/>
    <w:rsid w:val="0036351A"/>
    <w:rsid w:val="00373213"/>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0164"/>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B4753"/>
    <w:rsid w:val="005C3834"/>
    <w:rsid w:val="005C4422"/>
    <w:rsid w:val="005D2ABA"/>
    <w:rsid w:val="005E2A3F"/>
    <w:rsid w:val="005E4E75"/>
    <w:rsid w:val="005F2549"/>
    <w:rsid w:val="005F490A"/>
    <w:rsid w:val="005F7F66"/>
    <w:rsid w:val="0061010F"/>
    <w:rsid w:val="00625AFA"/>
    <w:rsid w:val="0063239A"/>
    <w:rsid w:val="00632AF6"/>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7A"/>
    <w:rsid w:val="007328EB"/>
    <w:rsid w:val="00732B32"/>
    <w:rsid w:val="007475DB"/>
    <w:rsid w:val="00755F0F"/>
    <w:rsid w:val="00755F6F"/>
    <w:rsid w:val="00756C6D"/>
    <w:rsid w:val="00786078"/>
    <w:rsid w:val="00792BDA"/>
    <w:rsid w:val="00794070"/>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5A58"/>
    <w:rsid w:val="00975F64"/>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27898"/>
    <w:rsid w:val="00A3263C"/>
    <w:rsid w:val="00A345B2"/>
    <w:rsid w:val="00A47540"/>
    <w:rsid w:val="00A518E0"/>
    <w:rsid w:val="00A5494A"/>
    <w:rsid w:val="00A70AF9"/>
    <w:rsid w:val="00A72EF0"/>
    <w:rsid w:val="00A762FD"/>
    <w:rsid w:val="00A84A3E"/>
    <w:rsid w:val="00A858BC"/>
    <w:rsid w:val="00A91F18"/>
    <w:rsid w:val="00AB786E"/>
    <w:rsid w:val="00AD027A"/>
    <w:rsid w:val="00AD4A67"/>
    <w:rsid w:val="00AD58EF"/>
    <w:rsid w:val="00AE2C32"/>
    <w:rsid w:val="00AE3F40"/>
    <w:rsid w:val="00AE6C16"/>
    <w:rsid w:val="00B23891"/>
    <w:rsid w:val="00B30A70"/>
    <w:rsid w:val="00B41102"/>
    <w:rsid w:val="00B609A7"/>
    <w:rsid w:val="00B61C46"/>
    <w:rsid w:val="00B711DB"/>
    <w:rsid w:val="00B8013E"/>
    <w:rsid w:val="00B80AC9"/>
    <w:rsid w:val="00B861EE"/>
    <w:rsid w:val="00B90336"/>
    <w:rsid w:val="00BA0CA9"/>
    <w:rsid w:val="00BA6C63"/>
    <w:rsid w:val="00BA7AD9"/>
    <w:rsid w:val="00BB02FF"/>
    <w:rsid w:val="00BB093D"/>
    <w:rsid w:val="00BB60B6"/>
    <w:rsid w:val="00BC75BD"/>
    <w:rsid w:val="00BD158D"/>
    <w:rsid w:val="00BE1C5E"/>
    <w:rsid w:val="00BF182F"/>
    <w:rsid w:val="00C02ED9"/>
    <w:rsid w:val="00C03DDA"/>
    <w:rsid w:val="00C05465"/>
    <w:rsid w:val="00C14839"/>
    <w:rsid w:val="00C16675"/>
    <w:rsid w:val="00C24911"/>
    <w:rsid w:val="00C25E54"/>
    <w:rsid w:val="00C278CC"/>
    <w:rsid w:val="00C36E0D"/>
    <w:rsid w:val="00C40BF9"/>
    <w:rsid w:val="00C41BFF"/>
    <w:rsid w:val="00C47BED"/>
    <w:rsid w:val="00C5099A"/>
    <w:rsid w:val="00C61949"/>
    <w:rsid w:val="00C81C3A"/>
    <w:rsid w:val="00C84B15"/>
    <w:rsid w:val="00C875AA"/>
    <w:rsid w:val="00C91C95"/>
    <w:rsid w:val="00C94DC0"/>
    <w:rsid w:val="00CA348C"/>
    <w:rsid w:val="00CA56F8"/>
    <w:rsid w:val="00CA57C3"/>
    <w:rsid w:val="00CA5835"/>
    <w:rsid w:val="00CB377F"/>
    <w:rsid w:val="00CC3294"/>
    <w:rsid w:val="00CC620B"/>
    <w:rsid w:val="00CC62AE"/>
    <w:rsid w:val="00CD689A"/>
    <w:rsid w:val="00CE5120"/>
    <w:rsid w:val="00CE62E1"/>
    <w:rsid w:val="00CE75DB"/>
    <w:rsid w:val="00CF0948"/>
    <w:rsid w:val="00CF6BC4"/>
    <w:rsid w:val="00D001B4"/>
    <w:rsid w:val="00D2760A"/>
    <w:rsid w:val="00D33DA0"/>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57C85"/>
    <w:rsid w:val="00E62304"/>
    <w:rsid w:val="00E6427C"/>
    <w:rsid w:val="00E76705"/>
    <w:rsid w:val="00E76D3F"/>
    <w:rsid w:val="00E809D3"/>
    <w:rsid w:val="00E8665C"/>
    <w:rsid w:val="00EA0958"/>
    <w:rsid w:val="00EA3E25"/>
    <w:rsid w:val="00EA6449"/>
    <w:rsid w:val="00EB4A85"/>
    <w:rsid w:val="00EC422C"/>
    <w:rsid w:val="00ED3421"/>
    <w:rsid w:val="00EE598D"/>
    <w:rsid w:val="00EF3146"/>
    <w:rsid w:val="00EF6392"/>
    <w:rsid w:val="00F04CDC"/>
    <w:rsid w:val="00F15C9D"/>
    <w:rsid w:val="00F31307"/>
    <w:rsid w:val="00F335A5"/>
    <w:rsid w:val="00F37426"/>
    <w:rsid w:val="00F5043B"/>
    <w:rsid w:val="00F53E64"/>
    <w:rsid w:val="00F6330E"/>
    <w:rsid w:val="00F676B3"/>
    <w:rsid w:val="00F83A04"/>
    <w:rsid w:val="00F855B3"/>
    <w:rsid w:val="00F91209"/>
    <w:rsid w:val="00F93ED1"/>
    <w:rsid w:val="00F978FE"/>
    <w:rsid w:val="00F97AAB"/>
    <w:rsid w:val="00FA2322"/>
    <w:rsid w:val="00FA4569"/>
    <w:rsid w:val="00FA53E3"/>
    <w:rsid w:val="00FB4483"/>
    <w:rsid w:val="00FD6645"/>
    <w:rsid w:val="00FF2606"/>
    <w:rsid w:val="00FF364B"/>
    <w:rsid w:val="00FF58E7"/>
    <w:rsid w:val="00FF6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ga-IE"/>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ga-IE"/>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ga-IE"/>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ga-IE"/>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ga-IE"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ga-IE"/>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ga-IE"/>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E5D52-6708-4E52-A0D4-2D6D153B9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14</Pages>
  <Words>5471</Words>
  <Characters>28072</Characters>
  <Application>Microsoft Office Word</Application>
  <DocSecurity>0</DocSecurity>
  <Lines>492</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2021-03-08T11:07:00Z</dcterms:created>
  <dcterms:modified xsi:type="dcterms:W3CDTF">2021-03-08T11:07:00Z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