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PŘÍLOHA II</w:t>
      </w:r>
    </w:p>
    <w:p w14:paraId="03FA508D" w14:textId="43AA388F" w:rsidR="00C31378" w:rsidRPr="007F4CC8" w:rsidRDefault="00C31378" w:rsidP="004077B1">
      <w:pPr>
        <w:pStyle w:val="Annexetitre"/>
        <w:ind w:firstLine="720"/>
      </w:pPr>
      <w:r>
        <w:t>Pokyny k šablonám pro zpřístupňování přehledů</w:t>
      </w:r>
    </w:p>
    <w:p w14:paraId="161E3440" w14:textId="0F1207E8"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Šablona EU OV1 – Přehled celkového objemu rizikové expozice</w:t>
      </w:r>
      <w:r w:rsidR="00320783">
        <w:rPr>
          <w:rFonts w:ascii="Times New Roman" w:hAnsi="Times New Roman"/>
          <w:b/>
          <w:color w:val="auto"/>
          <w:sz w:val="24"/>
        </w:rPr>
        <w:t>.</w:t>
      </w:r>
      <w:r>
        <w:rPr>
          <w:rFonts w:ascii="Times New Roman" w:hAnsi="Times New Roman"/>
          <w:b/>
          <w:color w:val="auto"/>
          <w:sz w:val="24"/>
        </w:rPr>
        <w:t xml:space="preserve"> </w:t>
      </w:r>
      <w:r>
        <w:rPr>
          <w:rFonts w:ascii="Times New Roman" w:hAnsi="Times New Roman"/>
          <w:color w:val="auto"/>
          <w:sz w:val="24"/>
        </w:rPr>
        <w:t>Pevně daný formát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Při vyplňování šablony EU OV1, obsažené v příloze I tohoto prováděcího nařízení, pro účely čl. 438 písm. d) nařízení (EU) č. 575/2013 (dále jen „CRR“)</w:t>
      </w:r>
      <w:r w:rsidR="006C0184" w:rsidRPr="007F4CC8">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se instituce řídí následujícími pokyny.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V komentáři připojeném k šabloně instituce dle potřeby vysvětlí, jaký dopad má uplatnění minimálních hodnot kapitálu a neuplatnění odpočtu položek od kapitálu na výpočet objemů kapitálu a rizikově vážených expozic.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Odkazy na právní předpisy a pokyny</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Celkový objem rizikové expozice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Celkový objem rizikové expozice vypočtený podle čl. 92 odst. 3 a článků 95, 96 a 98 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Celkový objem rizikové expozice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Celkový objem rizikové expozice zveřejněný v předchozím období, za něž se informace zpřístupňují.</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Celkové kapitálové požadavky</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Kapitálové požadavky odpovídající objemům rizikově vážených expozic pro jednotlivé kategorie rizika.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Odkazy na právní předpisy a pokyny</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Úvěrové riziko (vyjma úvěrového rizika protistrany)</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 xml:space="preserve">Objemy rizikově vážených expozic a kapitálové požadavky vypočtené podle části třetí hlavy II kapitol 1 až 4 CRR a podle článku 379 CRR. Objemy rizikově vážených expozic pro </w:t>
            </w:r>
            <w:proofErr w:type="spellStart"/>
            <w:r>
              <w:rPr>
                <w:rFonts w:ascii="Times New Roman" w:hAnsi="Times New Roman"/>
                <w:sz w:val="24"/>
              </w:rPr>
              <w:t>sekuritizované</w:t>
            </w:r>
            <w:proofErr w:type="spellEnd"/>
            <w:r>
              <w:rPr>
                <w:rFonts w:ascii="Times New Roman" w:hAnsi="Times New Roman"/>
                <w:sz w:val="24"/>
              </w:rPr>
              <w:t xml:space="preserve"> expozice v investičním portfoliu a pro úvěrová rizika protistrany (CCR) jsou vyloučeny a uvedeny v řádcích 6 a 16 této šablony. Do hodnoty uvedené v tomto řádku instituce zahrnou objemy rizikově vážených expozic a kapitálové požadavky pro riziko volných dodávek vypočtené podle článku 379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Úvěrové riziko (vyjma úvěrového rizika protistrany) – z toho standardizovaný přístup</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Objemy rizikově vážených expozic a kapitálové požadavky vypočtené v souladu se standardizovaným přístupem ke kapitálovým požadavkům (část třetí hlava II kapitola 2 CRR a článek 379 CRR).</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Úvěrové riziko (vyjma úvěrového rizika protistrany) – z toho základní přístup 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Objemy rizikově vážených expozic a kapitálové požadavky vypočtené podle kapitálových požadavků – základního přístupu založeného na interním ratingu (část třetí hlava II kapitola 3 CRR), vyjma objemů rizikově vážených expozic uvedených v řádku 4 pro specializované úvěrové expozice podléhající rozřazovacímu přístupu a v řádku EU 4a pro akcie na základě metody zjednodušené rizikové váhy a včetně objemů rizikově vážených expozic a kapitálových požadavků vypočtených v souladu s článkem 379 CRR.</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Úvěrové riziko (vyjma úvěrového rizika protistrany) – z toho rozřazovací přístup</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Objemy rizikově vážených expozic a kapitálové požadavky pro specializované úvěrové expozice podléhající rozřazovacímu přístupu vypočtené podle čl. 153 odst. 5 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Úvěrové riziko (vyjma úvěrového rizika protistrany) – z toho akcie na základě metody zjednodušené rizikové váhy</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Objemy rizikově vážených expozic a kapitálové požadavky pro akcie na základě metody zjednodušené rizikové váhy vypočtené podle čl. 155 odst. 2 CRR.</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Úvěrové riziko (vyjma úvěrového rizika protistrany) – z toho pokročilý přístup 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Objemy rizikově vážených expozic a kapitálové požadavky vypočtené podle kapitálových požadavků – pokročilého přístupu založeného na interním ratingu (část třetí hlava II kapitola 3 CRR), vyjma objemů rizikově vážených expozic uvedených v řádku 4 pro specializované úvěrové expozice podléhající rozřazovacímu přístupu a v řádku EU 4a pro akcie na základě metody zjednodušené rizikové váhy a včetně objemů rizikově vážených expozic a kapitálových požadavků vypočtených v souladu s článkem 379 CRR.</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Úvěrové riziko protistrany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Objemy rizikově vážených expozic a kapitálové požadavky vypočtené podle části třetí hlavy II kapitoly 6 CRR pro úvěrové riziko protistrany.</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z toho standardizovaný přístup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části třetí hlavy II kapitoly 6 oddílu 3 CRR.</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z toho metoda interního modelu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článku 283 CRR.</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CCR – z toho expozice vůči ústřední protistraně</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části třetí hlavy II kapitoly 6 oddílu 9 CRR.</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z toho úvěrová úprava ocenění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lastRenderedPageBreak/>
              <w:t>Objemy rizikově vážených expozic a kapitálové požadavky vypočtené podle části třetí hlavy VI kapitoly CRR.</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lastRenderedPageBreak/>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z toho ostatní CCR</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pro CCR neuvedené v řádcích 7, 8, EU 8a a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Nepoužije se</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Nepoužije se</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Nepoužije se</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Nepoužije se</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Nepoužije se</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Vypořádací riziko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Objem rizikové expozice (REA) a kapitálové požadavky vypočtené pro vypořádací riziko a riziko dodání podle článku 378 CRR.</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Sekuritizované</w:t>
            </w:r>
            <w:proofErr w:type="spellEnd"/>
            <w:r>
              <w:rPr>
                <w:rFonts w:ascii="Times New Roman" w:hAnsi="Times New Roman"/>
                <w:b/>
                <w:sz w:val="24"/>
              </w:rPr>
              <w:t xml:space="preserve"> expozice v investičním portfoliu (po uplatnění horního limitu)</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části třetí hlavy II kapitoly 5 CRR.</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Sekuritizace – z toho přístup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regulačního přístupu SEC-IRBA použitého podle pořadí metod stanoveného v článku 254 CRR.</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Sekuritizace – z toho přístup SEC-ERBA (včetně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regulačního přístupu SEC-ERBA (včetně IAA) použitého podle pořadí metod stanoveného v článku 254 CRR.</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Sekuritizace – z toho přístup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regulačního přístupu SEC-SA použitého podle pořadí metod stanoveného v článku 254 CRR.</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Sekuritizace – z toho 1 250 % / odpočet</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 xml:space="preserve">Objemy rizikově vážených expozic a kapitálové požadavky pro </w:t>
            </w:r>
            <w:proofErr w:type="spellStart"/>
            <w:r>
              <w:rPr>
                <w:rFonts w:ascii="Times New Roman" w:hAnsi="Times New Roman"/>
                <w:sz w:val="24"/>
              </w:rPr>
              <w:t>sekuritizované</w:t>
            </w:r>
            <w:proofErr w:type="spellEnd"/>
            <w:r>
              <w:rPr>
                <w:rFonts w:ascii="Times New Roman" w:hAnsi="Times New Roman"/>
                <w:sz w:val="24"/>
              </w:rPr>
              <w:t xml:space="preserve"> expozice v investičním portfoliu vypočtené s rizikovou vahou 1 250 % nebo s odpočtem od kapitálu podle části třetí hlavy II kapitoly 5 CRR.</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lastRenderedPageBreak/>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Poziční, měnové a komoditní riziko (tržní riziko)</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Objemy rizikově vážených expozic a kapitálové požadavky vypočtené podle části třetí hlavy IV kapitoly CRR.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Tržní riziko – z toho standardizovaný přístup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Objemy rizikově vážených expozic a kapitálové požadavky vypočtené podle části třetí hlavy IV kapitol 2 až 4 CRR.</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Tržní riziko – z toho IMA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Objem rizikové expozice a kapitálové požadavky vypočtené podle části třetí hlavy IV kapitoly 5 CRR.</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Velké expozice</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 xml:space="preserve">Objem rizikové expozice a kapitálové požadavky vypočtené podle čl. 92 odst. 3 písm. b) bodu </w:t>
            </w:r>
            <w:proofErr w:type="spellStart"/>
            <w:r>
              <w:rPr>
                <w:rFonts w:ascii="Times New Roman" w:hAnsi="Times New Roman"/>
                <w:sz w:val="24"/>
              </w:rPr>
              <w:t>ii</w:t>
            </w:r>
            <w:proofErr w:type="spellEnd"/>
            <w:r>
              <w:rPr>
                <w:rFonts w:ascii="Times New Roman" w:hAnsi="Times New Roman"/>
                <w:sz w:val="24"/>
              </w:rPr>
              <w:t>) CRR.</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Operační riziko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Objem rizikové expozice a kapitálové požadavky vypočtené podle části třetí hlavy III CRR.</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Operační riziko – z toho přístup základního ukazatele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Objem rizikové expozice a kapitálové požadavky vypočtené podle části třetí hlavy III kapitoly 2 CRR.</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Operační riziko – z toho standardizovaný přístup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Objem rizikové expozice a kapitálové požadavky vypočtené podle části třetí hlavy III kapitoly 3 CRR.</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Operační riziko – z toho pokročilý přístup k měření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Objem rizikové expozice a kapitálové požadavky vypočtené podle části třetí hlavy III kapitoly 4 CRR.</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Objemy pod prahovými hodnotami pro odpočet (podléhající rizikové váze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Hodnota odpovídá součtu hodnot položek podléhajících rizikové váze 250 % podle čl. 48 odst. 4 CRR po použití 250% rizikové váhy. Tyto hodnoty zahrnují:</w:t>
            </w:r>
          </w:p>
          <w:p w14:paraId="7233691E" w14:textId="15B5E492"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 xml:space="preserve">odložené daňové pohledávky závislé na budoucím zisku a vyplývající z přechodných rozdílů, jejichž souhrnná výše je rovna nebo nižší než 10 % položek kmenového kapitálu </w:t>
            </w:r>
            <w:proofErr w:type="spellStart"/>
            <w:r>
              <w:rPr>
                <w:rFonts w:ascii="Times New Roman" w:hAnsi="Times New Roman"/>
                <w:sz w:val="24"/>
              </w:rPr>
              <w:t>tier</w:t>
            </w:r>
            <w:proofErr w:type="spellEnd"/>
            <w:r>
              <w:rPr>
                <w:rFonts w:ascii="Times New Roman" w:hAnsi="Times New Roman"/>
                <w:sz w:val="24"/>
              </w:rPr>
              <w:t xml:space="preserve"> 1 instituce, vypočtené podle čl. 48 odst. 1 písm. a) CRR</w:t>
            </w:r>
            <w:r w:rsidR="00320783">
              <w:rPr>
                <w:rFonts w:ascii="Times New Roman" w:hAnsi="Times New Roman"/>
                <w:sz w:val="24"/>
              </w:rPr>
              <w:t>,</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 xml:space="preserve">významné investice v subjektech finančního sektoru, 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těchto subjektů, jejichž souhrnná výše je </w:t>
            </w:r>
            <w:r>
              <w:rPr>
                <w:rFonts w:ascii="Times New Roman" w:hAnsi="Times New Roman"/>
                <w:sz w:val="24"/>
              </w:rPr>
              <w:lastRenderedPageBreak/>
              <w:t xml:space="preserve">rovna nebo nižší než 10 % hodnoty položek kmenového kapitálu </w:t>
            </w:r>
            <w:proofErr w:type="spellStart"/>
            <w:r>
              <w:rPr>
                <w:rFonts w:ascii="Times New Roman" w:hAnsi="Times New Roman"/>
                <w:sz w:val="24"/>
              </w:rPr>
              <w:t>tier</w:t>
            </w:r>
            <w:proofErr w:type="spellEnd"/>
            <w:r>
              <w:rPr>
                <w:rFonts w:ascii="Times New Roman" w:hAnsi="Times New Roman"/>
                <w:sz w:val="24"/>
              </w:rPr>
              <w:t xml:space="preserve"> 1 instituce, vypočtené podle čl. 48 odst. 1 písm. b) CRR.</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Údaje v tomto řádku se uvedou pouze pro informaci, neboť zde uvedená hodnota je zahrnuta i v řádku 1, kde musí instituce zpřístupnit informace o úvěrovém riziku.</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Nepoužije se</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Nepoužije se</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Nepoužije se</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Nepoužije se</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Celkem</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Celkový objem rizikové expozice vypočtený podle čl. 92 odst. 3 a článků 95, 96 a 98 CRR.</w:t>
            </w:r>
          </w:p>
        </w:tc>
      </w:tr>
    </w:tbl>
    <w:p w14:paraId="2CB62609" w14:textId="77777777" w:rsidR="00C41C25" w:rsidRPr="007F4CC8" w:rsidRDefault="00C41C25" w:rsidP="00501CEC">
      <w:pPr>
        <w:pStyle w:val="Titlelevel2"/>
        <w:spacing w:before="120" w:after="120"/>
        <w:rPr>
          <w:rFonts w:ascii="Times New Roman" w:hAnsi="Times New Roman"/>
          <w:b/>
          <w:color w:val="auto"/>
          <w:sz w:val="24"/>
          <w:lang w:val="en-GB"/>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Šablona EU KM1 – Klíčové ukazatele </w:t>
      </w:r>
      <w:r>
        <w:rPr>
          <w:rFonts w:ascii="Times New Roman" w:hAnsi="Times New Roman"/>
          <w:color w:val="auto"/>
          <w:sz w:val="24"/>
        </w:rPr>
        <w:t>Pevně daný formát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Při vyplňování šablony EU KM1, obsažené v příloze I tohoto prováděcího nařízení, pro účely čl. 447 písm. a) až g) CRR a čl. 438 písm. b) CRR se instituce řídí následujícími pokyny.</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Odkazy na právní předpisy a pokyny</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proofErr w:type="gramStart"/>
            <w:r>
              <w:t>a–e</w:t>
            </w:r>
            <w:proofErr w:type="gramEnd"/>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Období T, T-1, T-2, T-3 a T-4, za něž se informace zpřístupňují, jsou vymezena jako čtvrtletní období a vyplňují se podle četnosti stanovené v článcích 433a, 433b a 433c CRR.</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Instituce, které zpřístupňují informace obsažené v této šabloně čtvrtletně, uvedou údaje za období T, T-1, T-2, T-3 a T-4; instituce, které zpřístupňují informace obsažené v této šabloně pololetně, uvedou údaje za období T, T-2 a T-4 a instituce, které zpřístupňují informace obsažené v této šabloně ročně, uvedou údaje za období T a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Instituce uvedou data odpovídající obdobím, za která se informace zpřístupňují.</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Zpřístupnění údajů za předchozí období se nepožaduje, jsou-li údaje zpřístupňovány poprvé.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Odkazy na právní předpisy a pokyny</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 xml:space="preserve">Kmenový kapitál </w:t>
            </w:r>
            <w:proofErr w:type="spellStart"/>
            <w:r>
              <w:rPr>
                <w:rFonts w:ascii="Times New Roman" w:hAnsi="Times New Roman"/>
                <w:b/>
                <w:sz w:val="24"/>
              </w:rPr>
              <w:t>tier</w:t>
            </w:r>
            <w:proofErr w:type="spellEnd"/>
            <w:r>
              <w:rPr>
                <w:rFonts w:ascii="Times New Roman" w:hAnsi="Times New Roman"/>
                <w:b/>
                <w:sz w:val="24"/>
              </w:rPr>
              <w:t xml:space="preserve"> 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 xml:space="preserve">Hodnota kmenového kapitálu </w:t>
            </w:r>
            <w:proofErr w:type="spellStart"/>
            <w:r>
              <w:rPr>
                <w:rFonts w:ascii="Times New Roman" w:hAnsi="Times New Roman"/>
                <w:sz w:val="24"/>
              </w:rPr>
              <w:t>tier</w:t>
            </w:r>
            <w:proofErr w:type="spellEnd"/>
            <w:r>
              <w:rPr>
                <w:rFonts w:ascii="Times New Roman" w:hAnsi="Times New Roman"/>
                <w:sz w:val="24"/>
              </w:rPr>
              <w:t xml:space="preserve"> 1 je hodnota, kterou instituce zpřístupňují v příloze VII tohoto prováděcího nařízení (řádek 29 šablony EU CC1 Skladba regulatorního kapitálu).</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lastRenderedPageBreak/>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 xml:space="preserve">Kapitál </w:t>
            </w:r>
            <w:proofErr w:type="spellStart"/>
            <w:r>
              <w:rPr>
                <w:rFonts w:ascii="Times New Roman" w:hAnsi="Times New Roman"/>
                <w:b/>
                <w:sz w:val="24"/>
              </w:rPr>
              <w:t>tier</w:t>
            </w:r>
            <w:proofErr w:type="spellEnd"/>
            <w:r>
              <w:rPr>
                <w:rFonts w:ascii="Times New Roman" w:hAnsi="Times New Roman"/>
                <w:b/>
                <w:sz w:val="24"/>
              </w:rPr>
              <w:t xml:space="preserve"> 1</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 xml:space="preserve">Hodnota kapitálu </w:t>
            </w:r>
            <w:proofErr w:type="spellStart"/>
            <w:r>
              <w:rPr>
                <w:rFonts w:ascii="Times New Roman" w:hAnsi="Times New Roman"/>
                <w:sz w:val="24"/>
              </w:rPr>
              <w:t>tier</w:t>
            </w:r>
            <w:proofErr w:type="spellEnd"/>
            <w:r>
              <w:rPr>
                <w:rFonts w:ascii="Times New Roman" w:hAnsi="Times New Roman"/>
                <w:sz w:val="24"/>
              </w:rPr>
              <w:t xml:space="preserve"> 1 je hodnota, kterou instituce zpřístupňují v příloze VII tohoto prováděcího nařízení (řádek 45 šablony EU CC1 Skladba regulatorního kapitálu).</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Celkový kapitál</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Hodnota celkového kapitálu je hodnota, kterou instituce zpřístupňují v příloze VII tohoto prováděcího nařízení (řádek 59 šablony EU CC1 Skladba regulatorního kapitálu).</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Celkový objem rizikové expozice</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Hodnota celkového objemu rizikové expozice (TREA) je hodnota, kterou instituce zpřístupňují v příloze VII tohoto prováděcího nařízení (řádek 60 šablony EU CC1 Skladba regulatorního kapitálu).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Poměr kmenového kapitálu </w:t>
            </w:r>
            <w:proofErr w:type="spellStart"/>
            <w:r>
              <w:rPr>
                <w:rFonts w:ascii="Times New Roman" w:hAnsi="Times New Roman"/>
                <w:b/>
                <w:sz w:val="24"/>
              </w:rPr>
              <w:t>tier</w:t>
            </w:r>
            <w:proofErr w:type="spellEnd"/>
            <w:r>
              <w:rPr>
                <w:rFonts w:ascii="Times New Roman" w:hAnsi="Times New Roman"/>
                <w:b/>
                <w:sz w:val="24"/>
              </w:rPr>
              <w:t xml:space="preserve"> 1 (%)</w:t>
            </w:r>
          </w:p>
          <w:p w14:paraId="42EC7CCC" w14:textId="1A6EC8AA"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 xml:space="preserve">Poměr kmenového kapitálu </w:t>
            </w:r>
            <w:proofErr w:type="spellStart"/>
            <w:r>
              <w:rPr>
                <w:rFonts w:ascii="Times New Roman" w:hAnsi="Times New Roman"/>
                <w:sz w:val="24"/>
              </w:rPr>
              <w:t>tier</w:t>
            </w:r>
            <w:proofErr w:type="spellEnd"/>
            <w:r>
              <w:rPr>
                <w:rFonts w:ascii="Times New Roman" w:hAnsi="Times New Roman"/>
                <w:sz w:val="24"/>
              </w:rPr>
              <w:t xml:space="preserve"> 1 je hodnota, kterou instituce zpřístupňují v příloze VII tohoto prováděcího nařízení (řádek 61 šablony EU CC1 Skladba regulatorního kapitálu)</w:t>
            </w:r>
            <w:r w:rsidR="00320783">
              <w:rPr>
                <w:rFonts w:ascii="Times New Roman" w:hAnsi="Times New Roman"/>
                <w:sz w:val="24"/>
              </w:rPr>
              <w:t>.</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 xml:space="preserve">Poměr kapitálu </w:t>
            </w:r>
            <w:proofErr w:type="spellStart"/>
            <w:r>
              <w:rPr>
                <w:rFonts w:ascii="Times New Roman" w:hAnsi="Times New Roman"/>
                <w:b/>
                <w:sz w:val="24"/>
              </w:rPr>
              <w:t>tier</w:t>
            </w:r>
            <w:proofErr w:type="spellEnd"/>
            <w:r>
              <w:rPr>
                <w:rFonts w:ascii="Times New Roman" w:hAnsi="Times New Roman"/>
                <w:b/>
                <w:sz w:val="24"/>
              </w:rPr>
              <w:t xml:space="preserve"> 1 (%)</w:t>
            </w:r>
          </w:p>
          <w:p w14:paraId="7486F374" w14:textId="4F3E7289"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 xml:space="preserve">Kapitálový poměr </w:t>
            </w:r>
            <w:proofErr w:type="spellStart"/>
            <w:r>
              <w:rPr>
                <w:rFonts w:ascii="Times New Roman" w:hAnsi="Times New Roman"/>
                <w:sz w:val="24"/>
              </w:rPr>
              <w:t>tier</w:t>
            </w:r>
            <w:proofErr w:type="spellEnd"/>
            <w:r>
              <w:rPr>
                <w:rFonts w:ascii="Times New Roman" w:hAnsi="Times New Roman"/>
                <w:sz w:val="24"/>
              </w:rPr>
              <w:t xml:space="preserve"> 1 je hodnota, kterou instituce zpřístupňují v příloze VII tohoto prováděcího nařízení (řádek 62 šablony EU CC1 Skladba regulatorního kapitálu)</w:t>
            </w:r>
            <w:r w:rsidR="00320783">
              <w:rPr>
                <w:rFonts w:ascii="Times New Roman" w:hAnsi="Times New Roman"/>
                <w:sz w:val="24"/>
              </w:rPr>
              <w:t>.</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Celkový kapitálový poměr (%)</w:t>
            </w:r>
          </w:p>
          <w:p w14:paraId="19C20331" w14:textId="217611BE"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Celkový kapitálový poměr je hodnota, kterou instituce zpřístupňují v příloze VII tohoto prováděcího nařízení (řádek 63 šablony EU CC1 Skladba regulatorního kapitálu)</w:t>
            </w:r>
            <w:r w:rsidR="00320783">
              <w:rPr>
                <w:rFonts w:ascii="Times New Roman" w:hAnsi="Times New Roman"/>
                <w:sz w:val="24"/>
              </w:rPr>
              <w:t>.</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 xml:space="preserve">Dodatečné kapitálové </w:t>
            </w:r>
            <w:proofErr w:type="gramStart"/>
            <w:r>
              <w:rPr>
                <w:rFonts w:ascii="Times New Roman" w:hAnsi="Times New Roman"/>
                <w:b/>
                <w:sz w:val="24"/>
              </w:rPr>
              <w:t>požadavky</w:t>
            </w:r>
            <w:proofErr w:type="gramEnd"/>
            <w:r>
              <w:rPr>
                <w:rFonts w:ascii="Times New Roman" w:hAnsi="Times New Roman"/>
                <w:b/>
                <w:sz w:val="24"/>
              </w:rPr>
              <w:t xml:space="preserve"> k řešení rizik jiných než </w:t>
            </w:r>
            <w:proofErr w:type="gramStart"/>
            <w:r>
              <w:rPr>
                <w:rFonts w:ascii="Times New Roman" w:hAnsi="Times New Roman"/>
                <w:b/>
                <w:sz w:val="24"/>
              </w:rPr>
              <w:t>je</w:t>
            </w:r>
            <w:proofErr w:type="gramEnd"/>
            <w:r>
              <w:rPr>
                <w:rFonts w:ascii="Times New Roman" w:hAnsi="Times New Roman"/>
                <w:b/>
                <w:sz w:val="24"/>
              </w:rPr>
              <w:t xml:space="preserve"> riziko nadměrné páky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Dodatečné kapitálové požadavky pro řešení rizik jiných, než je riziko nadměrné páky, které ukládá příslušný orgán podle čl. 104 odst. 1 písm. a) CRD, vyjádřené jako procentní podíl celkového objemu rizikové expozice.</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 xml:space="preserve">z toho: z kmenového kapitálu </w:t>
            </w:r>
            <w:proofErr w:type="spellStart"/>
            <w:r>
              <w:rPr>
                <w:rFonts w:ascii="Times New Roman" w:hAnsi="Times New Roman"/>
                <w:b/>
                <w:sz w:val="24"/>
              </w:rPr>
              <w:t>tier</w:t>
            </w:r>
            <w:proofErr w:type="spellEnd"/>
            <w:r>
              <w:rPr>
                <w:rFonts w:ascii="Times New Roman" w:hAnsi="Times New Roman"/>
                <w:b/>
                <w:sz w:val="24"/>
              </w:rPr>
              <w:t xml:space="preserve"> 1 (procentní body)</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 xml:space="preserve">Část dodatečných kapitálových požadavků pro řešení rizik jiných, než je riziko nadměrné páky, uložených příslušným orgánem podle čl. 104 odst. 1 písm. a) CRD, kterou je třeba splnit kmenovým kapitálem </w:t>
            </w:r>
            <w:proofErr w:type="spellStart"/>
            <w:r>
              <w:rPr>
                <w:rFonts w:ascii="Times New Roman" w:hAnsi="Times New Roman"/>
                <w:sz w:val="24"/>
              </w:rPr>
              <w:t>tier</w:t>
            </w:r>
            <w:proofErr w:type="spellEnd"/>
            <w:r>
              <w:rPr>
                <w:rFonts w:ascii="Times New Roman" w:hAnsi="Times New Roman"/>
                <w:sz w:val="24"/>
              </w:rPr>
              <w:t xml:space="preserve"> 1 podle čl. 104a odst. 4 prvního a třetího pododstavce.</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 xml:space="preserve">z toho: z kapitálu </w:t>
            </w:r>
            <w:proofErr w:type="spellStart"/>
            <w:r>
              <w:rPr>
                <w:rFonts w:ascii="Times New Roman" w:hAnsi="Times New Roman"/>
                <w:b/>
                <w:sz w:val="24"/>
              </w:rPr>
              <w:t>tier</w:t>
            </w:r>
            <w:proofErr w:type="spellEnd"/>
            <w:r>
              <w:rPr>
                <w:rFonts w:ascii="Times New Roman" w:hAnsi="Times New Roman"/>
                <w:b/>
                <w:sz w:val="24"/>
              </w:rPr>
              <w:t xml:space="preserve"> 1 (procentní body)</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 xml:space="preserve">Část dodatečných kapitálových požadavků pro řešení rizik jiných, než je riziko nadměrné páky, uložených příslušným orgánem podle čl. 104 odst. 1 písm. a) </w:t>
            </w:r>
            <w:r>
              <w:rPr>
                <w:rFonts w:ascii="Times New Roman" w:hAnsi="Times New Roman"/>
                <w:sz w:val="24"/>
              </w:rPr>
              <w:lastRenderedPageBreak/>
              <w:t xml:space="preserve">CRD, kterou je třeba splnit kapitálem </w:t>
            </w:r>
            <w:proofErr w:type="spellStart"/>
            <w:r>
              <w:rPr>
                <w:rFonts w:ascii="Times New Roman" w:hAnsi="Times New Roman"/>
                <w:sz w:val="24"/>
              </w:rPr>
              <w:t>tier</w:t>
            </w:r>
            <w:proofErr w:type="spellEnd"/>
            <w:r>
              <w:rPr>
                <w:rFonts w:ascii="Times New Roman" w:hAnsi="Times New Roman"/>
                <w:sz w:val="24"/>
              </w:rPr>
              <w:t xml:space="preserve"> 1 podle čl. 104a odst. 4 prvního a třetího pododstavce.</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lastRenderedPageBreak/>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Celkové kapitálové požadavky na základě procesu přezkumu a hodnocení (poměr TSCR) (v %)</w:t>
            </w:r>
          </w:p>
          <w:p w14:paraId="0EB50A81" w14:textId="77CE0E9A" w:rsidR="003F72E2" w:rsidRPr="007F4CC8" w:rsidRDefault="003F72E2" w:rsidP="0039153D">
            <w:pPr>
              <w:pStyle w:val="InstructionsText"/>
            </w:pPr>
            <w:r>
              <w:t>Součet hodnot určených v bodech i) a </w:t>
            </w:r>
            <w:proofErr w:type="spellStart"/>
            <w:r>
              <w:t>ii</w:t>
            </w:r>
            <w:proofErr w:type="spellEnd"/>
            <w:r>
              <w:t>):</w:t>
            </w:r>
          </w:p>
          <w:p w14:paraId="5260BB93" w14:textId="4398EAAF" w:rsidR="003F72E2" w:rsidRPr="007F4CC8" w:rsidRDefault="003F72E2" w:rsidP="0039153D">
            <w:pPr>
              <w:pStyle w:val="InstructionsText"/>
              <w:numPr>
                <w:ilvl w:val="0"/>
                <w:numId w:val="11"/>
              </w:numPr>
            </w:pPr>
            <w:r>
              <w:t xml:space="preserve">celkový kapitálový poměr (8 %) uvedený v čl. 92 odst. 1 písm. c) CRR; </w:t>
            </w:r>
          </w:p>
          <w:p w14:paraId="6408D689" w14:textId="0479FF8E" w:rsidR="003F72E2" w:rsidRPr="007F4CC8" w:rsidRDefault="003F72E2" w:rsidP="0039153D">
            <w:pPr>
              <w:pStyle w:val="InstructionsText"/>
              <w:numPr>
                <w:ilvl w:val="0"/>
                <w:numId w:val="11"/>
              </w:numPr>
            </w:pPr>
            <w:r>
              <w:t xml:space="preserve">dodatečné kapitálové požadavky k řešení rizik jiných, než je riziko nadměrné páky (požadavky pilíře 2 – P2R), které ukládá příslušný orgán podle čl. 104 odst. 1 písm. a) CRD a které se určují podle kritérií stanovených v </w:t>
            </w:r>
            <w:r>
              <w:rPr>
                <w:i/>
              </w:rPr>
              <w:t>obecných pokynech EBA ke společným postupům a metodikám procesu přezkumu a vyhodnocení a zátěžového testování v rámci dohledu</w:t>
            </w:r>
            <w:r w:rsidR="00D35D87" w:rsidRPr="007F4CC8">
              <w:rPr>
                <w:rStyle w:val="FootnoteReference"/>
                <w:i/>
              </w:rPr>
              <w:footnoteReference w:id="3"/>
            </w:r>
            <w:r>
              <w:rPr>
                <w:i/>
              </w:rPr>
              <w:t xml:space="preserve"> </w:t>
            </w:r>
            <w:r>
              <w:t>(dále jen „EBA SREP GL“), vyjádřené jako procentní podíl celkových objemů rizikově vážených expozic.</w:t>
            </w:r>
          </w:p>
          <w:p w14:paraId="421B2155" w14:textId="77777777" w:rsidR="003F72E2" w:rsidRPr="007F4CC8" w:rsidRDefault="003F72E2" w:rsidP="0039153D">
            <w:pPr>
              <w:pStyle w:val="InstructionsText"/>
            </w:pPr>
            <w:r>
              <w:t>Tato položka vyjadřuje poměr celkového kapitálového požadavku procesu přezkumu a hodnocení v rámci dohledu (TSCR), který instituci sdělil příslušný orgán. TSCR je vymezen v oddílu 1.2 EBA SREP GL.</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Pokud příslušný orgán nesdělil žádné dodatečné kapitálové požadavky uložené k řešení rizik jiných, než je riziko nadměrné páky, uvádí se pouze bod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Bezpečnostní kapitálová rezerva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Hodnota kapitálu, který jsou instituce povinny udržovat podle čl. 128 odst. 1) a článku 129 CRD, vyjádřená jako procento celkových objemů rizikově vážených expozic.</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Bezpečnostní rezerva, je-li na úrovni členského státu zjištěno </w:t>
            </w:r>
            <w:proofErr w:type="spellStart"/>
            <w:r>
              <w:rPr>
                <w:rFonts w:ascii="Times New Roman" w:hAnsi="Times New Roman"/>
                <w:b/>
                <w:sz w:val="24"/>
              </w:rPr>
              <w:t>makroobezřetnostní</w:t>
            </w:r>
            <w:proofErr w:type="spellEnd"/>
            <w:r>
              <w:rPr>
                <w:rFonts w:ascii="Times New Roman" w:hAnsi="Times New Roman"/>
                <w:b/>
                <w:sz w:val="24"/>
              </w:rPr>
              <w:t xml:space="preserve"> nebo systémové riziko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 xml:space="preserve">Výše bezpečnostní rezervy, je-li na úrovni členského státu zjištěno </w:t>
            </w:r>
            <w:proofErr w:type="spellStart"/>
            <w:r>
              <w:rPr>
                <w:rFonts w:ascii="Times New Roman" w:hAnsi="Times New Roman"/>
                <w:sz w:val="24"/>
              </w:rPr>
              <w:t>makroobezřetnostní</w:t>
            </w:r>
            <w:proofErr w:type="spellEnd"/>
            <w:r>
              <w:rPr>
                <w:rFonts w:ascii="Times New Roman" w:hAnsi="Times New Roman"/>
                <w:sz w:val="24"/>
              </w:rPr>
              <w:t xml:space="preserve"> nebo systémové riziko, která může být v souladu s článkem 458 CRR vyžadována jako doplněk k bezpečnostní kapitálové rezervě, vyjádřená jako procento celkových objemů rizikově vážených expozic.</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proofErr w:type="spellStart"/>
            <w:r>
              <w:rPr>
                <w:rFonts w:ascii="Times New Roman" w:hAnsi="Times New Roman"/>
                <w:b/>
                <w:sz w:val="24"/>
              </w:rPr>
              <w:t>Proticyklická</w:t>
            </w:r>
            <w:proofErr w:type="spellEnd"/>
            <w:r>
              <w:rPr>
                <w:rFonts w:ascii="Times New Roman" w:hAnsi="Times New Roman"/>
                <w:b/>
                <w:sz w:val="24"/>
              </w:rPr>
              <w:t xml:space="preserve"> kapitálová rezerva stanovená konkrétně pro danou instituci (%)</w:t>
            </w:r>
          </w:p>
          <w:p w14:paraId="7EE95752" w14:textId="6C1631A4" w:rsidR="008C672C" w:rsidRPr="007F4CC8" w:rsidRDefault="008C672C" w:rsidP="0039153D">
            <w:pPr>
              <w:pStyle w:val="InstructionsText"/>
            </w:pPr>
            <w:r>
              <w:t>Hodnota kapitálu, který jsou instituce povinny udržovat podle čl. 128 odst. 2, článku 130 a článků 135 až 140 CRD, vyjádřená jako procento celkových objemů rizikově vážených expozic.</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Procentní podíl odráží objem kapitálu potřebný ke splnění příslušných požadavků na kapitálové rezervy k datu zpřístupnění.</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lastRenderedPageBreak/>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Kapitálová rezerva pro krytí systémového rizika (%)</w:t>
            </w:r>
          </w:p>
          <w:p w14:paraId="1A39C087" w14:textId="127435F7" w:rsidR="008C672C" w:rsidRPr="007F4CC8" w:rsidRDefault="008C672C" w:rsidP="0039153D">
            <w:pPr>
              <w:pStyle w:val="InstructionsText"/>
            </w:pPr>
            <w:r>
              <w:t>Hodnota kapitálu, který jsou instituce povinny udržovat podle čl. 128 odst. 5, článků 133 a 134 CRD, vyjádřená jako procento celkových objemů rizikově vážených expozic.</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Procentní podíl odráží objem kapitálu potřebný ke splnění příslušných požadavků na kapitálové rezervy k datu zpřístupnění.</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Kapitálová rezerva pro globální systémově významné instituce (%)</w:t>
            </w:r>
          </w:p>
          <w:p w14:paraId="6FDE597A" w14:textId="3100067E" w:rsidR="00F16314" w:rsidRPr="007F4CC8" w:rsidRDefault="00F16314" w:rsidP="0039153D">
            <w:pPr>
              <w:pStyle w:val="InstructionsText"/>
            </w:pPr>
            <w:r>
              <w:t>Hodnota kapitálu, který jsou instituce povinny udržovat podle čl. 128 odst. 3 a článku 131 CRD, vyjádřená jako procento celkových objemů rizikově vážených expozic.</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Procentní podíl odráží objem kapitálu potřebný ke splnění příslušných požadavků na kapitálové rezervy k datu zpřístupnění.</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Kapitálová rezerva pro jiné systémově významné instituce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Hodnota kapitálu, který jsou instituce povinny udržovat podle čl. 128 odst. 4) a článku 131 CRD, vyjádřená jako procento celkových objemů rizikově vážených expozic.</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Procentní podíl odráží objem kapitálu potřebný ke splnění příslušných požadavků na kapitálové rezervy k datu zpřístupnění.</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Požadavek kombinovaných kapitálových rezerv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Podle čl. 128 bodu 6 CRD, vyjádřený jako procento celkových objemů rizikově vážených expozic.</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Celkové kapitálové požadavky (OCR) (v %)</w:t>
            </w:r>
          </w:p>
          <w:p w14:paraId="27E7760D" w14:textId="77777777" w:rsidR="003F72E2" w:rsidRPr="007F4CC8" w:rsidRDefault="003F72E2" w:rsidP="0039153D">
            <w:pPr>
              <w:pStyle w:val="InstructionsText"/>
            </w:pPr>
            <w:r>
              <w:t>Součet hodnot v bodech i) a </w:t>
            </w:r>
            <w:proofErr w:type="spellStart"/>
            <w:r>
              <w:t>ii</w:t>
            </w:r>
            <w:proofErr w:type="spellEnd"/>
            <w:r>
              <w:t>):</w:t>
            </w:r>
          </w:p>
          <w:p w14:paraId="75A891AF" w14:textId="77777777" w:rsidR="003F72E2" w:rsidRPr="007F4CC8" w:rsidRDefault="003F72E2" w:rsidP="0039153D">
            <w:pPr>
              <w:pStyle w:val="InstructionsText"/>
              <w:numPr>
                <w:ilvl w:val="0"/>
                <w:numId w:val="12"/>
              </w:numPr>
            </w:pPr>
            <w:r>
              <w:t>poměr TSCR uvedený v řádku EU 7d;</w:t>
            </w:r>
          </w:p>
          <w:p w14:paraId="5EE9D2EB" w14:textId="3AB53BE2" w:rsidR="003F72E2" w:rsidRPr="007F4CC8" w:rsidRDefault="003F72E2" w:rsidP="0039153D">
            <w:pPr>
              <w:pStyle w:val="InstructionsText"/>
              <w:numPr>
                <w:ilvl w:val="0"/>
                <w:numId w:val="12"/>
              </w:numPr>
            </w:pPr>
            <w:r>
              <w:t>v rozsahu, který je právně použitelný, poměr požadavku kombinovaných kapitálových rezerv podle čl. 128 bodu 6 CRD.</w:t>
            </w:r>
          </w:p>
          <w:p w14:paraId="4B4D7463" w14:textId="16DE3F70" w:rsidR="003F72E2" w:rsidRPr="007F4CC8" w:rsidRDefault="003F72E2" w:rsidP="0039153D">
            <w:pPr>
              <w:pStyle w:val="InstructionsText"/>
            </w:pPr>
            <w:r>
              <w:t>Tato položka vyjadřuje poměr celkové</w:t>
            </w:r>
            <w:r w:rsidR="0039153D">
              <w:t xml:space="preserve">ho kapitálového požadavku (OCR) </w:t>
            </w:r>
            <w:r>
              <w:t>vymezeného v oddíle 1.2 EBA SREP GL.</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Nepoužije-li se žádný požadavek rezerv, zpřístupňuje se pouze bod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 xml:space="preserve">Kmenový kapitál </w:t>
            </w:r>
            <w:proofErr w:type="spellStart"/>
            <w:r>
              <w:rPr>
                <w:rFonts w:ascii="Times New Roman" w:hAnsi="Times New Roman"/>
                <w:b/>
                <w:sz w:val="24"/>
              </w:rPr>
              <w:t>tier</w:t>
            </w:r>
            <w:proofErr w:type="spellEnd"/>
            <w:r>
              <w:rPr>
                <w:rFonts w:ascii="Times New Roman" w:hAnsi="Times New Roman"/>
                <w:b/>
                <w:sz w:val="24"/>
              </w:rPr>
              <w:t xml:space="preserve"> 1 dostupný po splnění celkových kapitálových požadavků na základě procesu přezkumu a hodnocení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Celková míra expozic</w:t>
            </w:r>
          </w:p>
          <w:p w14:paraId="7F06FA40" w14:textId="64A920D7"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 xml:space="preserve">Celková míra expozic v souladu s hodnotou, kterou instituce zpřístupňují v příloze XI tohoto prováděcího nařízení (řádek 24 šablony EU LR2 – </w:t>
            </w:r>
            <w:proofErr w:type="spellStart"/>
            <w:r>
              <w:rPr>
                <w:rFonts w:ascii="Times New Roman" w:hAnsi="Times New Roman"/>
                <w:sz w:val="24"/>
              </w:rPr>
              <w:t>LRCom</w:t>
            </w:r>
            <w:proofErr w:type="spellEnd"/>
            <w:r>
              <w:rPr>
                <w:rFonts w:ascii="Times New Roman" w:hAnsi="Times New Roman"/>
                <w:sz w:val="24"/>
              </w:rPr>
              <w:t>: Harmonizované zveřejnění pákového poměru)</w:t>
            </w:r>
            <w:r w:rsidR="0039153D">
              <w:rPr>
                <w:rFonts w:ascii="Times New Roman" w:hAnsi="Times New Roman"/>
                <w:sz w:val="24"/>
              </w:rPr>
              <w:t>.</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Pákový poměr (%)</w:t>
            </w:r>
          </w:p>
          <w:p w14:paraId="19D19C40" w14:textId="54BDA06B"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lastRenderedPageBreak/>
              <w:t xml:space="preserve">Pákový poměr v souladu s hodnotou, kterou instituce zpřístupňují v příloze XI tohoto prováděcího nařízení (řádek 25 šablony EU LR2 – </w:t>
            </w:r>
            <w:proofErr w:type="spellStart"/>
            <w:r>
              <w:rPr>
                <w:rFonts w:ascii="Times New Roman" w:hAnsi="Times New Roman"/>
                <w:sz w:val="24"/>
              </w:rPr>
              <w:t>LRCom</w:t>
            </w:r>
            <w:proofErr w:type="spellEnd"/>
            <w:r>
              <w:rPr>
                <w:rFonts w:ascii="Times New Roman" w:hAnsi="Times New Roman"/>
                <w:sz w:val="24"/>
              </w:rPr>
              <w:t>: Harmonizované zveřejnění pákového poměru)</w:t>
            </w:r>
            <w:r w:rsidR="0039153D">
              <w:rPr>
                <w:rFonts w:ascii="Times New Roman" w:hAnsi="Times New Roman"/>
                <w:sz w:val="24"/>
              </w:rPr>
              <w:t>.</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lastRenderedPageBreak/>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Dodatečné kapitálové požadavky k řešení rizika nadměrné páky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Dodatečné</w:t>
            </w:r>
            <w:r>
              <w:rPr>
                <w:rFonts w:ascii="Times New Roman" w:hAnsi="Times New Roman"/>
                <w:sz w:val="24"/>
              </w:rPr>
              <w:t xml:space="preserve"> </w:t>
            </w:r>
            <w:r>
              <w:rPr>
                <w:rFonts w:ascii="Times New Roman" w:hAnsi="Times New Roman"/>
                <w:bCs/>
                <w:color w:val="000000"/>
                <w:sz w:val="24"/>
                <w:shd w:val="clear" w:color="auto" w:fill="FFFFFF"/>
              </w:rPr>
              <w:t>kapitálové</w:t>
            </w:r>
            <w:r>
              <w:rPr>
                <w:rFonts w:ascii="Times New Roman" w:hAnsi="Times New Roman"/>
                <w:sz w:val="24"/>
              </w:rPr>
              <w:t xml:space="preserve"> požadavky k </w:t>
            </w:r>
            <w:r>
              <w:rPr>
                <w:rFonts w:ascii="Times New Roman" w:hAnsi="Times New Roman"/>
                <w:bCs/>
                <w:color w:val="000000"/>
                <w:sz w:val="24"/>
                <w:shd w:val="clear" w:color="auto" w:fill="FFFFFF"/>
              </w:rPr>
              <w:t>řešení</w:t>
            </w:r>
            <w:r>
              <w:rPr>
                <w:rFonts w:ascii="Times New Roman" w:hAnsi="Times New Roman"/>
                <w:sz w:val="24"/>
              </w:rPr>
              <w:t xml:space="preserve"> rizika nadměrné páky, které ukládá příslušný orgán podle čl. 104 odst. 1 písm. a) CRD, vyjádřené jako procentní podíl celkové míry </w:t>
            </w:r>
            <w:r>
              <w:rPr>
                <w:rFonts w:ascii="Times New Roman" w:hAnsi="Times New Roman"/>
                <w:bCs/>
                <w:color w:val="000000"/>
                <w:sz w:val="24"/>
                <w:shd w:val="clear" w:color="auto" w:fill="FFFFFF"/>
              </w:rPr>
              <w:t>expozic</w:t>
            </w:r>
            <w:r>
              <w:rPr>
                <w:rFonts w:ascii="Times New Roman" w:hAnsi="Times New Roman"/>
                <w:sz w:val="24"/>
              </w:rPr>
              <w:t>.</w:t>
            </w:r>
            <w:r>
              <w:rPr>
                <w:rFonts w:ascii="Times New Roman" w:hAnsi="Times New Roman"/>
                <w:bCs/>
                <w:color w:val="000000"/>
                <w:sz w:val="24"/>
                <w:shd w:val="clear" w:color="auto" w:fill="FFFFFF"/>
              </w:rPr>
              <w:t xml:space="preserve">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 xml:space="preserve">Dodatečné kapitálové požadavky v souladu s hodnotou, kterou instituce zpřístupňují v příloze XI tohoto prováděcího nařízení (řádek EU-26a šablony EU LR2 – </w:t>
            </w:r>
            <w:proofErr w:type="spellStart"/>
            <w:r>
              <w:rPr>
                <w:rFonts w:ascii="Times New Roman" w:hAnsi="Times New Roman"/>
                <w:sz w:val="24"/>
              </w:rPr>
              <w:t>LRCom</w:t>
            </w:r>
            <w:proofErr w:type="spellEnd"/>
            <w:r>
              <w:rPr>
                <w:rFonts w:ascii="Times New Roman" w:hAnsi="Times New Roman"/>
                <w:sz w:val="24"/>
              </w:rPr>
              <w:t>: Harmonizované zveřejnění pákového poměru).</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 xml:space="preserve">z toho: z kmenového kapitálu </w:t>
            </w:r>
            <w:proofErr w:type="spellStart"/>
            <w:r>
              <w:rPr>
                <w:rFonts w:ascii="Times New Roman" w:hAnsi="Times New Roman"/>
                <w:b/>
                <w:sz w:val="24"/>
              </w:rPr>
              <w:t>tier</w:t>
            </w:r>
            <w:proofErr w:type="spellEnd"/>
            <w:r>
              <w:rPr>
                <w:rFonts w:ascii="Times New Roman" w:hAnsi="Times New Roman"/>
                <w:b/>
                <w:sz w:val="24"/>
              </w:rPr>
              <w:t xml:space="preserve"> 1 (procentní body)</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Část </w:t>
            </w:r>
            <w:r>
              <w:rPr>
                <w:rFonts w:ascii="Times New Roman" w:hAnsi="Times New Roman"/>
                <w:sz w:val="24"/>
              </w:rPr>
              <w:t xml:space="preserve">dodatečných </w:t>
            </w:r>
            <w:r>
              <w:rPr>
                <w:rFonts w:ascii="Times New Roman" w:hAnsi="Times New Roman"/>
                <w:bCs/>
                <w:color w:val="000000"/>
                <w:sz w:val="24"/>
                <w:shd w:val="clear" w:color="auto" w:fill="FFFFFF"/>
              </w:rPr>
              <w:t>kapitálových</w:t>
            </w:r>
            <w:r>
              <w:rPr>
                <w:rFonts w:ascii="Times New Roman" w:hAnsi="Times New Roman"/>
                <w:sz w:val="24"/>
              </w:rPr>
              <w:t xml:space="preserve"> požadavků k řešení rizika nadměrné páky uložených příslušným orgánem podle čl. 104 odst. 1 písm. a) CRD, kterou je třeba splnit kmenovým </w:t>
            </w:r>
            <w:r>
              <w:rPr>
                <w:rFonts w:ascii="Times New Roman" w:hAnsi="Times New Roman"/>
                <w:bCs/>
                <w:color w:val="000000"/>
                <w:sz w:val="24"/>
                <w:shd w:val="clear" w:color="auto" w:fill="FFFFFF"/>
              </w:rPr>
              <w:t>kapitálem</w:t>
            </w:r>
            <w:r>
              <w:rPr>
                <w:rFonts w:ascii="Times New Roman" w:hAnsi="Times New Roman"/>
                <w:sz w:val="24"/>
              </w:rPr>
              <w:t xml:space="preserve"> </w:t>
            </w:r>
            <w:proofErr w:type="spellStart"/>
            <w:r>
              <w:rPr>
                <w:rFonts w:ascii="Times New Roman" w:hAnsi="Times New Roman"/>
                <w:sz w:val="24"/>
              </w:rPr>
              <w:t>tier</w:t>
            </w:r>
            <w:proofErr w:type="spellEnd"/>
            <w:r>
              <w:rPr>
                <w:rFonts w:ascii="Times New Roman" w:hAnsi="Times New Roman"/>
                <w:sz w:val="24"/>
              </w:rPr>
              <w:t xml:space="preserve"> 1 podle čl. 104a odst. 4 třetího pododstavce.</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 xml:space="preserve">Dodatečné kapitálové požadavky v souladu s hodnotou, kterou instituce zpřístupňují v příloze XI tohoto prováděcího nařízení (řádek EU-26b šablony EU LR2 – </w:t>
            </w:r>
            <w:proofErr w:type="spellStart"/>
            <w:r>
              <w:rPr>
                <w:rFonts w:ascii="Times New Roman" w:hAnsi="Times New Roman"/>
                <w:sz w:val="24"/>
              </w:rPr>
              <w:t>LRCom</w:t>
            </w:r>
            <w:proofErr w:type="spellEnd"/>
            <w:r>
              <w:rPr>
                <w:rFonts w:ascii="Times New Roman" w:hAnsi="Times New Roman"/>
                <w:sz w:val="24"/>
              </w:rPr>
              <w:t>: Harmonizované zveřejnění pákového poměru).</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Celkové požadavky na pákový poměr na základě procesu přezkumu a hodnocení (%)</w:t>
            </w:r>
          </w:p>
          <w:p w14:paraId="12B9013E" w14:textId="77777777" w:rsidR="00505188" w:rsidRPr="007F4CC8" w:rsidRDefault="00505188" w:rsidP="0039153D">
            <w:pPr>
              <w:pStyle w:val="InstructionsText"/>
            </w:pPr>
            <w:r>
              <w:t>Součet hodnot v bodech i) a </w:t>
            </w:r>
            <w:proofErr w:type="spellStart"/>
            <w:r>
              <w:t>ii</w:t>
            </w:r>
            <w:proofErr w:type="spellEnd"/>
            <w:r>
              <w:t>):</w:t>
            </w:r>
          </w:p>
          <w:p w14:paraId="5E716F27" w14:textId="071E258A" w:rsidR="00505188" w:rsidRPr="007F4CC8" w:rsidRDefault="00505188" w:rsidP="0039153D">
            <w:pPr>
              <w:pStyle w:val="InstructionsText"/>
              <w:numPr>
                <w:ilvl w:val="0"/>
                <w:numId w:val="14"/>
              </w:numPr>
            </w:pPr>
            <w:r>
              <w:t xml:space="preserve">minimální požadavek na pákový poměr podle čl. 92 odst. 1 písm. d) CRR, případně požadavek na upravený pákový poměr vypočtený podle čl. 429a odst. 7 CRR; </w:t>
            </w:r>
          </w:p>
          <w:p w14:paraId="40C21DE2" w14:textId="3B257965" w:rsidR="00505188" w:rsidRPr="007F4CC8" w:rsidRDefault="00505188" w:rsidP="0039153D">
            <w:pPr>
              <w:pStyle w:val="InstructionsText"/>
              <w:numPr>
                <w:ilvl w:val="0"/>
                <w:numId w:val="14"/>
              </w:numPr>
            </w:pPr>
            <w:r>
              <w:t>dodatečné kapitálové požadavky k řešení rizika nadměrné páky (požadavky pilíře 2 – P2R), které ukládá příslušný orgán podle čl. 104 odst. 1 písm. a) CRD, vyjádřené jako procentní podíl celkové míry expozic.</w:t>
            </w:r>
          </w:p>
          <w:p w14:paraId="72014476" w14:textId="72428B13" w:rsidR="00505188" w:rsidRPr="007F4CC8" w:rsidRDefault="00505188" w:rsidP="0039153D">
            <w:pPr>
              <w:pStyle w:val="InstructionsText"/>
            </w:pPr>
            <w:r>
              <w:t>Tato položka vyjadřuje celkový požadavek na pákový poměr na základě procesu přezkumu a hodnocení (TSLRR), který instituci sdělil příslušný orgán.</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Pokud příslušný orgán neuložil žádné dodatečné kapitálové požadavky k řešení rizika nadměrné páky, uvádí se pouze bod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39153D">
            <w:pPr>
              <w:pStyle w:val="InstructionsText"/>
              <w:rPr>
                <w:rFonts w:eastAsiaTheme="minorEastAsia"/>
              </w:rPr>
            </w:pPr>
            <w:r>
              <w:t>Požadavek kapitálové rezervy k pákovému poměru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Čl. 92 odst. 1a CRR</w:t>
            </w:r>
          </w:p>
          <w:p w14:paraId="7716A8FF" w14:textId="7AE6C32D"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 xml:space="preserve">Příslušná kapitálová rezerva k pákovému poměru v souladu s hodnotou, kterou instituce zpřístupňují v příloze XI tohoto prováděcího nařízení (řádek 27 šablony EU LR2 – </w:t>
            </w:r>
            <w:proofErr w:type="spellStart"/>
            <w:r>
              <w:rPr>
                <w:rFonts w:ascii="Times New Roman" w:hAnsi="Times New Roman"/>
                <w:sz w:val="24"/>
              </w:rPr>
              <w:t>LRCom</w:t>
            </w:r>
            <w:proofErr w:type="spellEnd"/>
            <w:r>
              <w:rPr>
                <w:rFonts w:ascii="Times New Roman" w:hAnsi="Times New Roman"/>
                <w:sz w:val="24"/>
              </w:rPr>
              <w:t>: Harmonizované zveřejnění pákového poměru)</w:t>
            </w:r>
            <w:r w:rsidR="0039153D">
              <w:rPr>
                <w:rFonts w:ascii="Times New Roman" w:hAnsi="Times New Roman"/>
                <w:sz w:val="24"/>
              </w:rPr>
              <w:t>.</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Souhrnný požadavek na pákový poměr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lastRenderedPageBreak/>
              <w:t>Součet řádků EU 14c a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lastRenderedPageBreak/>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Vysoce kvalitní likvidní aktiva celkem (vážená hodnota – průměr)</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Instituce jako váženou hodnotu uvádějí hodnotu likvidních aktiv podle článku 9 nařízení Komise v přenesené pravomoci (EU) 2015/61</w:t>
            </w:r>
            <w:r w:rsidR="00704085" w:rsidRPr="007F4CC8">
              <w:rPr>
                <w:rStyle w:val="FootnoteReference"/>
                <w:rFonts w:cs="Times New Roman"/>
              </w:rPr>
              <w:footnoteReference w:id="4"/>
            </w:r>
            <w:r>
              <w:rPr>
                <w:rFonts w:ascii="Times New Roman" w:hAnsi="Times New Roman"/>
                <w:sz w:val="24"/>
              </w:rPr>
              <w:t xml:space="preserve"> před uplatněním mechanismu úprav stanoveného v čl. 17 odst. 2 nařízení v přenesené pravomoci (EU)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Odtok peněžních prostředků – celková vážená hodnota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Instituce uvedou součet vážené hodnoty svého odtoku peněžních prostředků uvedeného v příloze XIII (řádek 16 šablony EU LIQ1 – Kvantitativní informace o ukazateli krytí likvidity).</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Přítok peněžních prostředků – celková vážená hodnota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Instituce uvedou součet vážené hodnoty svého přítoku peněžních prostředků uvedeného v příloze XIII (řádek 20 šablony EU LIQ1 – Kvantitativní informace o ukazateli krytí likvidity).</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Čistý odtok peněžních prostředků celkem (upravená hodnota)</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Instituce uvedou upravenou hodnotu čistého odtoku likvidity, který se rovná odtoku celkem minus snížení za plně vyjmutý přítok minus snížení za přítok podléhající limitu ve výši 90 % minus snížení za přítok podléhající limitu ve výši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Ukazatel krytí likvidity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Instituce jako upravenou hodnotu zpřístupňují procentní podíl položky „Ukazatel krytí likvidity (v %)“ ve smyslu čl. 4 odst. 1 nařízení v přenesené pravomoci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Ukazatel krytí likvidity se rovná poměru mezi rezervou v oblasti likvidity úvěrové instituce a jejím čistým odtokem likvidity v průběhu krizového období 30 kalendářních dnů a vyjadřuje se v procentech.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Celkové dostupné stabilní financování</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zpřístupňují objem dostupného stabilního financování vypočteného podle části šesté hlavy IV kapitoly 3 CRR, uvedeného v příloze XIII (řádek 14 šablony EU LIQ2 – Ukazatel čistého stabilního financování).</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Celkové požadované stabilní financování</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Instituce zpřístupňují objem požadovaného stabilního financování vypočteného podle části šesté hlavy IV kapitoly 4 CRR, uvedeného v příloze XIII (řádek 33 šablony EU LIQ2 – Ukazatel čistého stabilního financování).</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lastRenderedPageBreak/>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Ukazatel 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NSFR vypočtený podle článku 428b CRR.</w:t>
            </w:r>
          </w:p>
        </w:tc>
      </w:tr>
    </w:tbl>
    <w:p w14:paraId="1917C482" w14:textId="77777777" w:rsidR="00251512" w:rsidRPr="00320783"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Šablona EU INS1 – Účasti v pojišťovnách. </w:t>
      </w:r>
      <w:r>
        <w:rPr>
          <w:rFonts w:ascii="Times New Roman" w:hAnsi="Times New Roman"/>
          <w:sz w:val="24"/>
        </w:rPr>
        <w:t>Pevně daný formát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Při vyplňování šablony EU INS1, obsažené v příloze I tohoto prováděcího nařízení, pro účely čl. 438 písm. f)</w:t>
      </w:r>
      <w:r>
        <w:rPr>
          <w:rFonts w:ascii="Times New Roman" w:hAnsi="Times New Roman"/>
          <w:bCs w:val="0"/>
          <w:color w:val="auto"/>
          <w:sz w:val="24"/>
        </w:rPr>
        <w:t xml:space="preserve"> CRR</w:t>
      </w:r>
      <w:r>
        <w:rPr>
          <w:rFonts w:ascii="Times New Roman" w:hAnsi="Times New Roman"/>
          <w:color w:val="auto"/>
          <w:sz w:val="24"/>
        </w:rPr>
        <w:t xml:space="preserve"> se instituce řídí následujícími pokyny.</w:t>
      </w:r>
    </w:p>
    <w:p w14:paraId="5970EF08" w14:textId="77777777" w:rsidR="00295952" w:rsidRPr="00320783"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Odkazy na právní předpisy a pokyny</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Hodnota expozice</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 xml:space="preserve">Hodnota expozice kapitálových nástrojů držených v jakékoli pojišťovně, zajišťovně nebo pojišťovací holdingové společnosti, které instituce při výpočtu svých kapitálových požadavků na individuálním, </w:t>
            </w:r>
            <w:proofErr w:type="spellStart"/>
            <w:r>
              <w:rPr>
                <w:rFonts w:ascii="Times New Roman" w:hAnsi="Times New Roman"/>
                <w:sz w:val="24"/>
              </w:rPr>
              <w:t>subkonsolidovaném</w:t>
            </w:r>
            <w:proofErr w:type="spellEnd"/>
            <w:r>
              <w:rPr>
                <w:rFonts w:ascii="Times New Roman" w:hAnsi="Times New Roman"/>
                <w:sz w:val="24"/>
              </w:rPr>
              <w:t xml:space="preserve"> a konsolidovaném základě neodečítají od kapitálu podle článku 49 CRR.</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Výše rizikové expozice</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 xml:space="preserve">Objem rizikové expozice kapitálových nástrojů držených v jakékoli pojišťovně, zajišťovně nebo pojišťovací holdingové společnosti, které instituce při výpočtu svých kapitálových požadavků na individuálním, </w:t>
            </w:r>
            <w:proofErr w:type="spellStart"/>
            <w:r>
              <w:rPr>
                <w:rFonts w:ascii="Times New Roman" w:hAnsi="Times New Roman"/>
                <w:sz w:val="24"/>
              </w:rPr>
              <w:t>subkonsolidovaném</w:t>
            </w:r>
            <w:proofErr w:type="spellEnd"/>
            <w:r>
              <w:rPr>
                <w:rFonts w:ascii="Times New Roman" w:hAnsi="Times New Roman"/>
                <w:sz w:val="24"/>
              </w:rPr>
              <w:t xml:space="preserve"> a konsolidovaném základě neodečítají od kapitálu podle článku 49 CRR.</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Šablona EU INS2 – Informace finančních konglomerátů o kapitálu a ukazateli kapitálové přiměřenosti. </w:t>
      </w:r>
      <w:r>
        <w:rPr>
          <w:rFonts w:ascii="Times New Roman" w:hAnsi="Times New Roman"/>
          <w:sz w:val="24"/>
        </w:rPr>
        <w:t>Pevně daný formát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Při vyplňování šablony EU INS2, obsažené v příloze I tohoto prováděcího nařízení, pro účely čl. 438 písm. g)</w:t>
      </w:r>
      <w:r>
        <w:rPr>
          <w:rFonts w:ascii="Times New Roman" w:hAnsi="Times New Roman"/>
          <w:bCs w:val="0"/>
          <w:color w:val="auto"/>
          <w:sz w:val="24"/>
        </w:rPr>
        <w:t xml:space="preserve"> CRR</w:t>
      </w:r>
      <w:r>
        <w:rPr>
          <w:rFonts w:ascii="Times New Roman" w:hAnsi="Times New Roman"/>
          <w:color w:val="auto"/>
          <w:sz w:val="24"/>
        </w:rPr>
        <w:t xml:space="preserve"> se instituce řídí následujícími pokyny.</w:t>
      </w:r>
    </w:p>
    <w:p w14:paraId="2C33B06C" w14:textId="77777777" w:rsidR="00295952" w:rsidRPr="00320783"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Odkazy na právní předpisy a pokyny</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Doplňkové kapitálové požadavky finančního konglomerátu (objem)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Objem doplňkových kapitálových požadavků finančního konglomerátu vypočtených podle článku 6 směrnice Evropského parlamentu a Rady (ES) 2002/87</w:t>
            </w:r>
            <w:r w:rsidR="00F515D4" w:rsidRPr="007F4CC8">
              <w:rPr>
                <w:rStyle w:val="FootnoteReference"/>
                <w:rFonts w:cs="Times New Roman"/>
              </w:rPr>
              <w:footnoteReference w:id="5"/>
            </w:r>
            <w:r>
              <w:rPr>
                <w:rFonts w:ascii="Times New Roman" w:hAnsi="Times New Roman"/>
                <w:sz w:val="24"/>
              </w:rPr>
              <w:t xml:space="preserve"> a přílohy I uvedené směrnice při použití metod 1 nebo 2 stanovených v příloze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Ukazatel kapitálové přiměřenosti finančního konglomerátu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lastRenderedPageBreak/>
              <w:t>Ukazatel kapitálové přiměřenosti finančního konglomerátu vypočtený podle článku 6 směrnice Evropského parlamentu (ES) 2002/87 a přílohy I uvedené směrnice při použití metod 1 nebo 2 stanovených v příloze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Tabulka EU OVC – Informace o interním postup pro hodnocení kapitálové přiměřenosti. </w:t>
      </w:r>
      <w:r>
        <w:rPr>
          <w:rFonts w:ascii="Times New Roman" w:hAnsi="Times New Roman"/>
          <w:sz w:val="24"/>
        </w:rPr>
        <w:t>Flexibilní formát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 xml:space="preserve">Při vyplňování šablony EU OVC, obsažené v příloze I tohoto prováděcího nařízení, pro účely čl. 438 písm. a) a c) </w:t>
      </w:r>
      <w:r>
        <w:rPr>
          <w:rFonts w:ascii="Times New Roman" w:hAnsi="Times New Roman"/>
          <w:bCs w:val="0"/>
          <w:color w:val="auto"/>
          <w:sz w:val="24"/>
        </w:rPr>
        <w:t>CRR</w:t>
      </w:r>
      <w:r>
        <w:rPr>
          <w:rFonts w:ascii="Times New Roman" w:hAnsi="Times New Roman"/>
          <w:color w:val="auto"/>
          <w:sz w:val="24"/>
        </w:rPr>
        <w:t xml:space="preserve"> se instituce řídí následujícími pokyny.</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Odkazy na právní předpisy a pokyny</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D15B1C" w:rsidRPr="007F4CC8" w14:paraId="53740EA1" w14:textId="77777777" w:rsidTr="00B2180A">
        <w:trPr>
          <w:trHeight w:val="680"/>
        </w:trPr>
        <w:tc>
          <w:tcPr>
            <w:tcW w:w="1384" w:type="dxa"/>
          </w:tcPr>
          <w:p w14:paraId="33BBDE21" w14:textId="3F92821B"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Přístup k hodnocení přiměřenosti vnitřně stanoveného kapitálu</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Instituce uvedou shrnutí svého přístupu k hodnocení přiměřenosti vnitřně stanoveného kapitálu vzhledem k současným a budoucím činnostem.</w:t>
            </w:r>
          </w:p>
        </w:tc>
      </w:tr>
      <w:tr w:rsidR="00D15B1C" w:rsidRPr="007F4CC8" w14:paraId="3EB24671" w14:textId="77777777" w:rsidTr="00B2180A">
        <w:trPr>
          <w:trHeight w:val="680"/>
        </w:trPr>
        <w:tc>
          <w:tcPr>
            <w:tcW w:w="1384" w:type="dxa"/>
          </w:tcPr>
          <w:p w14:paraId="26622B61" w14:textId="739DD9B2"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Na vyžádání daného příslušného orgánu výsledek interního postupu pro hodnocení kapitálové přiměřenosti instituce</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Tyto informace instituce zpřístupní pouze na žádost daného příslušného orgánu.</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PŘÍLOHA IV – Pokyny k zpřístupňování informací o cílech a zásadách v oblasti řízení rizik</w:t>
      </w:r>
    </w:p>
    <w:p w14:paraId="760D0F94" w14:textId="77777777" w:rsidR="00600593" w:rsidRPr="007F4CC8" w:rsidRDefault="00600593" w:rsidP="00600593">
      <w:pPr>
        <w:rPr>
          <w:rFonts w:ascii="Times New Roman" w:hAnsi="Times New Roman" w:cs="Times New Roman"/>
          <w:sz w:val="24"/>
        </w:rPr>
      </w:pPr>
    </w:p>
    <w:p w14:paraId="6E1BA8AF" w14:textId="77777777" w:rsidR="00600593" w:rsidRPr="007F4CC8" w:rsidRDefault="00600593" w:rsidP="00600593">
      <w:pPr>
        <w:rPr>
          <w:rFonts w:ascii="Times New Roman" w:hAnsi="Times New Roman" w:cs="Times New Roman"/>
          <w:sz w:val="24"/>
        </w:rPr>
      </w:pPr>
      <w:r>
        <w:rPr>
          <w:rFonts w:ascii="Times New Roman" w:hAnsi="Times New Roman"/>
          <w:b/>
          <w:sz w:val="24"/>
        </w:rPr>
        <w:t>Tabulka EU OVA – Přístup instituce k řízení rizik.</w:t>
      </w:r>
      <w:r>
        <w:rPr>
          <w:rFonts w:ascii="Times New Roman" w:hAnsi="Times New Roman"/>
          <w:sz w:val="24"/>
        </w:rPr>
        <w:t xml:space="preserve"> Pole s volně zadávanými kvalitativními informacemi</w:t>
      </w:r>
    </w:p>
    <w:p w14:paraId="36232E99" w14:textId="0A1F1BD6"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Informace uvedené v čl. 435 odst. 1 nařízení (EU) č. 575/2013</w:t>
      </w:r>
      <w:r w:rsidRPr="007F4CC8">
        <w:rPr>
          <w:rStyle w:val="FootnoteReference"/>
        </w:rPr>
        <w:footnoteReference w:id="6"/>
      </w:r>
      <w:r>
        <w:rPr>
          <w:rFonts w:ascii="Times New Roman" w:hAnsi="Times New Roman"/>
          <w:sz w:val="24"/>
        </w:rPr>
        <w:t xml:space="preserve"> (dále jen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OVA, obsažené v příloze III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Odkazy na právní předpisy a pokyny</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600593" w:rsidRPr="007F4CC8" w14:paraId="36EA873F" w14:textId="77777777" w:rsidTr="00803BB4">
        <w:trPr>
          <w:trHeight w:val="1803"/>
        </w:trPr>
        <w:tc>
          <w:tcPr>
            <w:tcW w:w="1384" w:type="dxa"/>
          </w:tcPr>
          <w:p w14:paraId="1557E074" w14:textId="4510713D"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Stručné prohlášení o riziku schválené vedoucím orgánem při uplatnění čl. 435 odst. 1 písm. f) CRR popisuje, jak model podnikání určuje celkový rizikový profil a jak je s ním propojen: například klíčová rizika související s modelem podnikání a to, jak se každé z těchto rizik odráží a popisuje ve zpřístupněných údajích o </w:t>
            </w:r>
            <w:proofErr w:type="gramStart"/>
            <w:r>
              <w:rPr>
                <w:rFonts w:ascii="Times New Roman" w:hAnsi="Times New Roman"/>
                <w:sz w:val="24"/>
              </w:rPr>
              <w:t>riziku nebo</w:t>
            </w:r>
            <w:proofErr w:type="gramEnd"/>
            <w:r>
              <w:rPr>
                <w:rFonts w:ascii="Times New Roman" w:hAnsi="Times New Roman"/>
                <w:sz w:val="24"/>
              </w:rPr>
              <w:t xml:space="preserve"> jak je rizikový profil instituce propojen s tolerancí rizik schválenou vedoucím orgánem.</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V prohlášení o riziku při uplatnění čl. 435 odst. 1 písm. f) CRR uvádějí instituce rovněž povahu, rozsah, účel a ekonomickou podstatu podstatných transakcí v rámci skupiny, přidružených společností a spřízněných stran. Zpřístupnění informací by mělo být omezeno na transakce, které mají podstatný dopad na rizikový profil instituce (včetně rizika poškození pověsti) nebo rozdělení rizik v rámci skupiny. Instituce rovněž zahrnou klíčové ukazatele a údaje, které ukazují, jak je rizikový profil instituce propojen s tolerancí k riziku stanovenou vedoucím orgánem.</w:t>
            </w:r>
          </w:p>
        </w:tc>
      </w:tr>
      <w:tr w:rsidR="00600593" w:rsidRPr="007F4CC8" w14:paraId="72E9B739" w14:textId="77777777" w:rsidTr="00803BB4">
        <w:trPr>
          <w:trHeight w:val="316"/>
        </w:trPr>
        <w:tc>
          <w:tcPr>
            <w:tcW w:w="1384" w:type="dxa"/>
          </w:tcPr>
          <w:p w14:paraId="5E534F35" w14:textId="0464882F"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 informacím, které mají být zpřístupněny při uplatnění čl. 435 odst. 1 písm. b) CRR, patří struktura řídicího a kontrolního systému pro jednotlivé druhy rizik: funkce přidělené v rámci instituce (sem případně patří dohled a přenesení pravomoci a rozdělení funkcí mezi vedoucí orgán, obchodní útvary a útvar řízení rizik podle druhu rizika, obchodního útvaru a další příslušné informace); vztahy mezi orgány a útvary, které se angažují v procesech řízení rizik (sem patří podle potřeby vedoucí orgán, výbor pro rizika, útvar řízení rizik, funkce kontroly dodržování předpisů (</w:t>
            </w:r>
            <w:proofErr w:type="spellStart"/>
            <w:r>
              <w:rPr>
                <w:rFonts w:ascii="Times New Roman" w:hAnsi="Times New Roman"/>
                <w:sz w:val="24"/>
              </w:rPr>
              <w:t>compliance</w:t>
            </w:r>
            <w:proofErr w:type="spellEnd"/>
            <w:r>
              <w:rPr>
                <w:rFonts w:ascii="Times New Roman" w:hAnsi="Times New Roman"/>
                <w:sz w:val="24"/>
              </w:rPr>
              <w:t xml:space="preserve">), útvar interního auditu); a organizační postupy a postupy vnitřní kontroly.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Při zpřístupňování informací o struktuře a organizaci příslušné funkce řízení rizik instituce doplní zveřejnění o tyto informace: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informace o celkovém rámci interní kontroly a organizaci kontrolních funkcí (pravomoc, zdroje, stanovy, nezávislost), hlavní úkoly, které plní, a jakékoli současné a plánované významné změny těchto funkcí,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schválené limity rizik, kterým je instituce vystavena,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změny vedoucích útvarů interní kontroly, řízení rizik, funkce kontroly dodržování předpisů (</w:t>
            </w:r>
            <w:proofErr w:type="spellStart"/>
            <w:r>
              <w:rPr>
                <w:rFonts w:ascii="Times New Roman" w:hAnsi="Times New Roman"/>
                <w:sz w:val="24"/>
                <w:szCs w:val="24"/>
              </w:rPr>
              <w:t>compliance</w:t>
            </w:r>
            <w:proofErr w:type="spellEnd"/>
            <w:r>
              <w:rPr>
                <w:rFonts w:ascii="Times New Roman" w:hAnsi="Times New Roman"/>
                <w:sz w:val="24"/>
                <w:szCs w:val="24"/>
              </w:rPr>
              <w:t>) a interního auditu,</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způsoby sdělování, snižování a vymáhání kultury rizik v rámci instituce (např. zda existují kodexy chování, manuály obsahující provozní limity nebo postupy při porušení nebo překročení rizikových prahů nebo postupy, jak upozornit na problémy související s riziky a jak je sdílet mezi obchodními útvary a útvary pro rizika).</w:t>
            </w:r>
          </w:p>
        </w:tc>
      </w:tr>
      <w:tr w:rsidR="00600593" w:rsidRPr="007F4CC8" w14:paraId="37D179D5" w14:textId="77777777" w:rsidTr="00803BB4">
        <w:trPr>
          <w:trHeight w:val="316"/>
        </w:trPr>
        <w:tc>
          <w:tcPr>
            <w:tcW w:w="1384" w:type="dxa"/>
          </w:tcPr>
          <w:p w14:paraId="0B26EFE2" w14:textId="6C5C05FD"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Prohlášení, které instituce zveřejňují podle čl. 435 odst. 1 písm. e) CRR o přiměřenosti opatření k řízení rizik, musí být schváleno vedoucím orgánem a musí poskytovat záruku, že zavedené systémy řízení rizik jsou přiměřené s ohledem na rizikový profil a strategii instituce.</w:t>
            </w:r>
          </w:p>
        </w:tc>
      </w:tr>
      <w:tr w:rsidR="00600593" w:rsidRPr="007F4CC8" w14:paraId="67618ABC" w14:textId="77777777" w:rsidTr="00803BB4">
        <w:trPr>
          <w:trHeight w:val="316"/>
        </w:trPr>
        <w:tc>
          <w:tcPr>
            <w:tcW w:w="1384" w:type="dxa"/>
          </w:tcPr>
          <w:p w14:paraId="7A3BAF6D" w14:textId="5711F608"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 rámci zpřístupnění informací požadovaných v čl. 435 odst. 1 písm. c) CRR instituce zpřístupňují rozsah a povahu systémů hlášení a/nebo měření rizik a popis toku informací o riziku k vedoucímu orgánu a vrcholnému vedení. </w:t>
            </w:r>
          </w:p>
        </w:tc>
      </w:tr>
      <w:tr w:rsidR="00600593" w:rsidRPr="007F4CC8" w14:paraId="7A8B78B9" w14:textId="77777777" w:rsidTr="00803BB4">
        <w:trPr>
          <w:trHeight w:val="316"/>
        </w:trPr>
        <w:tc>
          <w:tcPr>
            <w:tcW w:w="1384" w:type="dxa"/>
          </w:tcPr>
          <w:p w14:paraId="2414413D" w14:textId="62EB8D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Při poskytování informací o hlavních rysech systémů hlášení a měření rizik při uplatnění čl. 435 odst. 1 písm. c) CRR instituce zpřístupňují své zásady týkající se systematických a pravidelných přezkumů strategií řízení rizik a pravidelného hodnocení jejich účinnosti. </w:t>
            </w:r>
          </w:p>
        </w:tc>
      </w:tr>
      <w:tr w:rsidR="00600593" w:rsidRPr="007F4CC8" w14:paraId="7A1D3EEF" w14:textId="77777777" w:rsidTr="00803BB4">
        <w:trPr>
          <w:trHeight w:val="316"/>
        </w:trPr>
        <w:tc>
          <w:tcPr>
            <w:tcW w:w="1384" w:type="dxa"/>
          </w:tcPr>
          <w:p w14:paraId="53A35036" w14:textId="2969DD5C"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Zpřístupněné informace o strategiích a postupech řízení rizik při uplatnění čl. 435 odst. 1 písm. a) obsahují kvalitativní informace o zátěžovém testování, jako jsou portfolia, u nichž se zátěžové testování uplatňuje, přijaté scénáře a použité metodiky a využití zátěžového testování při řízení rizik. </w:t>
            </w:r>
          </w:p>
        </w:tc>
      </w:tr>
      <w:tr w:rsidR="00600593" w:rsidRPr="007F4CC8" w14:paraId="39F4F7F3" w14:textId="77777777" w:rsidTr="00803BB4">
        <w:trPr>
          <w:trHeight w:val="316"/>
        </w:trPr>
        <w:tc>
          <w:tcPr>
            <w:tcW w:w="1384" w:type="dxa"/>
          </w:tcPr>
          <w:p w14:paraId="4F04414C" w14:textId="34EBCEA9"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 rizik, která vyplývají z podnikatelského modelu institucí, instituce poskytují informace o strategiích a postupech řízení, zajišťování a snižování rizik, jakož i sledování efektivity zajištění a snižování rizika podle čl. 435 odst. 1 písm. a) a d). </w:t>
            </w:r>
          </w:p>
        </w:tc>
      </w:tr>
    </w:tbl>
    <w:p w14:paraId="05D8F5D4" w14:textId="77777777" w:rsidR="00600593" w:rsidRPr="007F4CC8" w:rsidRDefault="00600593" w:rsidP="00600593">
      <w:pPr>
        <w:rPr>
          <w:rFonts w:ascii="Times New Roman" w:hAnsi="Times New Roman" w:cs="Times New Roman"/>
          <w:b/>
          <w:sz w:val="24"/>
        </w:rPr>
      </w:pPr>
    </w:p>
    <w:p w14:paraId="6F5B839B" w14:textId="77777777" w:rsidR="00600593" w:rsidRPr="007F4CC8" w:rsidRDefault="00600593" w:rsidP="00600593">
      <w:pPr>
        <w:rPr>
          <w:rFonts w:ascii="Times New Roman" w:hAnsi="Times New Roman" w:cs="Times New Roman"/>
          <w:sz w:val="24"/>
        </w:rPr>
      </w:pPr>
      <w:r>
        <w:rPr>
          <w:rFonts w:ascii="Times New Roman" w:hAnsi="Times New Roman"/>
          <w:b/>
          <w:sz w:val="24"/>
        </w:rPr>
        <w:t xml:space="preserve">Tabulka EU OVB – Zpřístupňování informací o systémech správy a řízení. </w:t>
      </w:r>
      <w:r>
        <w:rPr>
          <w:rFonts w:ascii="Times New Roman" w:hAnsi="Times New Roman"/>
          <w:sz w:val="24"/>
        </w:rPr>
        <w:t>Pole s volně zadávanými kvalitativními informacemi</w:t>
      </w:r>
    </w:p>
    <w:p w14:paraId="24D4B6FD" w14:textId="03EA6BFB"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 xml:space="preserve">Informace uvedené v čl. 435 odst. 2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OVB, obsažené v příloze III tohoto prováděcího nařízení.</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Odkazy na právní předpisy a pokyny</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600593" w:rsidRPr="007F4CC8" w14:paraId="6E61BF7A" w14:textId="77777777" w:rsidTr="00803BB4">
        <w:trPr>
          <w:trHeight w:val="316"/>
        </w:trPr>
        <w:tc>
          <w:tcPr>
            <w:tcW w:w="1384" w:type="dxa"/>
          </w:tcPr>
          <w:p w14:paraId="76CDF84D" w14:textId="722ED37E"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Instituce uvedou počet míst ve vedoucích orgánech společností zastávaný členy vedoucího orgánu podle čl. 435 odst. 2 písm. a) CRR. Při zpřístupnění těchto informací se použijí tyto specifikace:</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instituce v oblasti působnosti čl. 91 odst. 3 a 4 směrnice (EU) 2013/36</w:t>
            </w:r>
            <w:r w:rsidRPr="007F4CC8">
              <w:rPr>
                <w:rStyle w:val="FootnoteReference"/>
                <w:rFonts w:eastAsia="Times New Roman"/>
              </w:rPr>
              <w:footnoteReference w:id="7"/>
            </w:r>
            <w:r>
              <w:rPr>
                <w:rFonts w:ascii="Times New Roman" w:hAnsi="Times New Roman"/>
                <w:sz w:val="24"/>
                <w:szCs w:val="24"/>
              </w:rPr>
              <w:t>(dále jen „CRD“) zpřístupňují počet míst ve vedoucích orgánech vypočtený podle uvedeného článku,</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instituce uvedou počet funkcí ve vedoucím orgánu skutečně zastávaných každým členem vedoucího orgánu (ať už se jedná o společnost skupiny či nikoli, kvalifikovanou účast nebo instituci v rámci téhož institucionálního systému ochrany a ať už je funkce ve vedoucím orgánu výkonnou nebo nevýkonnou funkcí) bez ohledu na to, zda funkce ve vedoucím orgánu existuje v rámci subjektu, který sleduje nebo nesleduje obchodní cíl,</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pokud byla příslušným orgánem schválena další funkce ve vedoucím orgánu, všechny instituce, v nichž daný člen zastává funkci ve vedoucím orgánu, tuto skutečnost zveřejní spolu s názvem příslušného orgánu, který další funkci ve vedoucím orgánu schválil.</w:t>
            </w:r>
          </w:p>
        </w:tc>
      </w:tr>
      <w:tr w:rsidR="00600593" w:rsidRPr="007F4CC8" w14:paraId="601A208C" w14:textId="77777777" w:rsidTr="00803BB4">
        <w:trPr>
          <w:trHeight w:val="316"/>
        </w:trPr>
        <w:tc>
          <w:tcPr>
            <w:tcW w:w="1384" w:type="dxa"/>
          </w:tcPr>
          <w:p w14:paraId="36FBAD2C" w14:textId="3387B96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Při zpřístupňování informací týkajících se politiky přijímání pracovníků pro výběr členů vedoucího orgánu podle čl. 435 odst. 2 písm. b) CRR uvedou instituce informace o skutečných znalostech, dovednostech a zkušenostech členů. Instituce uvedou informace o politice, která případně vyplývá z plánování nástupnictví, a o všech předvídatelných změnách v celkovém složení vedoucího orgánu.</w:t>
            </w:r>
          </w:p>
        </w:tc>
      </w:tr>
      <w:tr w:rsidR="00600593" w:rsidRPr="007F4CC8" w14:paraId="19AC202D" w14:textId="77777777" w:rsidTr="00803BB4">
        <w:trPr>
          <w:trHeight w:val="316"/>
        </w:trPr>
        <w:tc>
          <w:tcPr>
            <w:tcW w:w="1384" w:type="dxa"/>
          </w:tcPr>
          <w:p w14:paraId="655F9391" w14:textId="0BCC95D1"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Při zpřístupňování své politiky různorodosti podle čl. 435 odst. 2 písm. c) CRR instituce uvedou informace o cílech a veškerých příslušných cílových hodnotách stanovených v dané politice a o rozsahu, v jakém bylo těchto cílů a cílových hodnot dosaženo.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Instituce zpřístupňují zejména politiku týkající se genderové diverzity, včetně těchto údajů: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pokud byl stanoven cíl pro nedostatečně zastoupené pohlaví a pro politiky týkající se rozmanitosti co do věku, vzdělání, profesních zkušeností a zeměpisného původu, stanovenou cílovou hodnotu a rozsah, v jakém je cílů dosaženo,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není-li cílové hodnoty dosaženo, instituce uvedou důvody a případně opatření přijatá ke splnění cílové hodnoty v určité lhůtě.</w:t>
            </w:r>
          </w:p>
        </w:tc>
      </w:tr>
      <w:tr w:rsidR="00600593" w:rsidRPr="007F4CC8" w14:paraId="2E4705B5" w14:textId="77777777" w:rsidTr="00803BB4">
        <w:trPr>
          <w:trHeight w:val="316"/>
        </w:trPr>
        <w:tc>
          <w:tcPr>
            <w:tcW w:w="1384" w:type="dxa"/>
          </w:tcPr>
          <w:p w14:paraId="7B5B1D5C" w14:textId="5634E6D3"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Instituce uvedou informace o tom, zda zřídily zvláštní výbor pro rizika a kolikrát tento výbor pro rizika zasedal, podle čl. 435 odst. 2 písm. d) CRR.</w:t>
            </w:r>
          </w:p>
        </w:tc>
      </w:tr>
      <w:tr w:rsidR="00600593" w:rsidRPr="007F4CC8" w14:paraId="1DF712FB" w14:textId="77777777" w:rsidTr="00803BB4">
        <w:trPr>
          <w:trHeight w:val="316"/>
        </w:trPr>
        <w:tc>
          <w:tcPr>
            <w:tcW w:w="1384" w:type="dxa"/>
          </w:tcPr>
          <w:p w14:paraId="75B2AC05" w14:textId="4FF9524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 rámci údajů o toku informací o riziku pro vedoucí orgán při uplatnění čl. 435 odst. 2 písm. e) CRR instituce popisují postup zveřejňování rizik vůči vedoucímu orgánu, zejména četnost, rozsah a hlavní obsah zpráv o rizikové expozici a způsob, jakým se vedoucí orgán podílel na vymezení obsahu, který má být zpřístupněn.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PŘÍLOHA VI – Pokyny k zpřístupňování informací o oblasti působnosti regulatorního rámce</w:t>
      </w:r>
    </w:p>
    <w:p w14:paraId="07CCE7F0" w14:textId="77777777" w:rsidR="007B082B" w:rsidRPr="007F4CC8" w:rsidRDefault="007B082B" w:rsidP="007B082B">
      <w:pPr>
        <w:rPr>
          <w:rFonts w:ascii="Times New Roman" w:hAnsi="Times New Roman" w:cs="Times New Roman"/>
          <w:b/>
          <w:sz w:val="24"/>
        </w:rPr>
      </w:pPr>
    </w:p>
    <w:p w14:paraId="5AEAA4F3" w14:textId="378285BD" w:rsidR="007B082B" w:rsidRPr="007F4CC8" w:rsidRDefault="007B082B" w:rsidP="007B082B">
      <w:pPr>
        <w:rPr>
          <w:rFonts w:ascii="Times New Roman" w:hAnsi="Times New Roman" w:cs="Times New Roman"/>
          <w:b/>
          <w:sz w:val="24"/>
        </w:rPr>
      </w:pPr>
      <w:r>
        <w:rPr>
          <w:rFonts w:ascii="Times New Roman" w:hAnsi="Times New Roman"/>
          <w:b/>
          <w:sz w:val="24"/>
        </w:rPr>
        <w:t>Šablona EU LI1 – Rozdíly mezi rozsahem účetní a regulatorní konsolidace a přiřazování kategorií účetní závěrky ke kategoriím regulačních rizik.</w:t>
      </w:r>
      <w:r>
        <w:rPr>
          <w:rFonts w:ascii="Times New Roman" w:hAnsi="Times New Roman"/>
          <w:sz w:val="24"/>
        </w:rPr>
        <w:t xml:space="preserve"> Flexibilní formát.</w:t>
      </w:r>
    </w:p>
    <w:p w14:paraId="76C6D20B" w14:textId="77777777" w:rsidR="007B082B" w:rsidRPr="007F4CC8" w:rsidRDefault="007B082B" w:rsidP="007B082B">
      <w:pPr>
        <w:rPr>
          <w:rFonts w:ascii="Times New Roman" w:hAnsi="Times New Roman" w:cs="Times New Roman"/>
          <w:b/>
          <w:sz w:val="24"/>
        </w:rPr>
      </w:pPr>
    </w:p>
    <w:p w14:paraId="4474F30C" w14:textId="1FB2AEE0"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Informace uvedené v čl. 436 písm. c) nařízení (EU) č. 575/2013</w:t>
      </w:r>
      <w:r w:rsidRPr="007F4CC8">
        <w:rPr>
          <w:rStyle w:val="FootnoteReference"/>
        </w:rPr>
        <w:footnoteReference w:id="8"/>
      </w:r>
      <w:r>
        <w:rPr>
          <w:rFonts w:ascii="Times New Roman" w:hAnsi="Times New Roman"/>
          <w:sz w:val="24"/>
        </w:rPr>
        <w:t xml:space="preserve"> (dále jen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LI1, obsažené v příloze 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Odkazy na právní předpisy a pokyny</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až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Aktiva celkem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řádků se shoduje se strukturou řádků rozvahy použité v posledním dostupném účetním výkaznictví instituce.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„Účetním výkaznictvím“ se rozumí roční individuální nebo konsolidované účetní závěrky vymezené v článcích 4 a 24 směrnice (EU) 2013/34</w:t>
            </w:r>
            <w:r w:rsidRPr="007F4CC8">
              <w:rPr>
                <w:rStyle w:val="FootnoteReference"/>
                <w:rFonts w:eastAsia="Times New Roman" w:cs="Times New Roman"/>
              </w:rPr>
              <w:footnoteReference w:id="9"/>
            </w:r>
            <w:r>
              <w:rPr>
                <w:rFonts w:ascii="Times New Roman" w:hAnsi="Times New Roman"/>
                <w:sz w:val="24"/>
              </w:rPr>
              <w:t>, jakož i (v příslušných případech) finanční výkazy ve smyslu mezinárodních účetních standardů schválených v EU v rámci provádění nařízení (ES) č. 1606/2002</w:t>
            </w:r>
            <w:r w:rsidRPr="007F4CC8">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až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Závazky celkem</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řádků se shoduje se strukturou řádků rozvahy použité v posledním dostupném účetním výkaznictví instituce.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„Účetním výkaznictvím“ se rozumí roční individuální nebo konsolidované účetní závěrky vymezené v článcích 4 a 24 směrnice (EU) 2013/34, jakož i (v příslušných případech) finanční výkazy ve smyslu mezinárodních účetních standardů schválené v EU v rámci provádění nařízení (ES)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Odkazy na právní předpisy a pokyny</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Účetní hodnoty vykázané ve zveřejněné účetní závěrce</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 xml:space="preserve">Hodnota vykázaná na straně aktiv a na straně pasiv rozvahy, která je stanovena na základě požadavků na konsolidaci v příslušném účetním rámci včetně </w:t>
            </w:r>
            <w:r>
              <w:rPr>
                <w:rFonts w:ascii="Times New Roman" w:hAnsi="Times New Roman"/>
                <w:sz w:val="24"/>
              </w:rPr>
              <w:lastRenderedPageBreak/>
              <w:t>rámců na základě směrnice (EU) 2013/34/EU a směrnice (EHS) 86/635</w:t>
            </w:r>
            <w:r w:rsidRPr="007F4CC8">
              <w:rPr>
                <w:rStyle w:val="FootnoteReference"/>
                <w:rFonts w:eastAsia="Times New Roman" w:cs="Times New Roman"/>
              </w:rPr>
              <w:footnoteReference w:id="11"/>
            </w:r>
            <w:r>
              <w:rPr>
                <w:rFonts w:ascii="Times New Roman" w:hAnsi="Times New Roman"/>
                <w:sz w:val="24"/>
              </w:rPr>
              <w:t xml:space="preserve"> nebo mezinárodních účetních standardů schválených v EU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Účetní hodnoty podle obezřetnostní konsolidace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Hodnota vykázaná na straně aktiv a na straně pasiv rozvahy, která je stanovena na základě požadavků na regulatorní konsolidaci v části první hlavě II oddílech 2 a 3 CRR.</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Pokud je rozsah účetní konsolidace zcela shodný s rozsahem obezřetnostní konsolidace, sloupce a) a b) této přílohy se sloučí.</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Účetní hodnoty položek spadajících do rámce pro úvěrové riziko</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Účetní hodnoty podle obezřetnostní konsolidace položek (jiných než podrozvahových položek), na které se vztahuje část třetí hlava II kapitoly 2 a 3 CRR.</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Účetní hodnoty položek spadajících do rámce pro úvěrové riziko protistrany</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Účetní hodnoty podle obezřetnostní konsolidace položek (jiných než podrozvahových položek), na které se vztahuje část třetí hlava II kapitola 6 CRR.</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Účetní hodnoty položek spadajících do rámce pro </w:t>
            </w:r>
            <w:proofErr w:type="spellStart"/>
            <w:r>
              <w:rPr>
                <w:rFonts w:ascii="Times New Roman" w:hAnsi="Times New Roman"/>
                <w:b/>
                <w:sz w:val="24"/>
              </w:rPr>
              <w:t>sekuritizaci</w:t>
            </w:r>
            <w:proofErr w:type="spellEnd"/>
            <w:r>
              <w:rPr>
                <w:rFonts w:ascii="Times New Roman" w:hAnsi="Times New Roman"/>
                <w:b/>
                <w:sz w:val="24"/>
              </w:rPr>
              <w:t xml:space="preserve">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Účetní hodnoty podle obezřetnostní konsolidace položek (jiných než podrozvahových položek) z investičního portfolia, na které se vztahuje část třetí hlava II kapitola 5 CRR.</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Účetní hodnoty položek spadajících do rámce pro tržní riziko</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Účetní hodnoty podle obezřetnostní konsolidace položek (jiných než podrozvahových položek), na které se vztahuje část třetí hlava IV CRR. V tomto sloupci se uvádějí položky odpovídající </w:t>
            </w:r>
            <w:proofErr w:type="spellStart"/>
            <w:r>
              <w:rPr>
                <w:rFonts w:ascii="Times New Roman" w:hAnsi="Times New Roman"/>
                <w:sz w:val="24"/>
              </w:rPr>
              <w:t>sekuritizovaným</w:t>
            </w:r>
            <w:proofErr w:type="spellEnd"/>
            <w:r>
              <w:rPr>
                <w:rFonts w:ascii="Times New Roman" w:hAnsi="Times New Roman"/>
                <w:sz w:val="24"/>
              </w:rPr>
              <w:t xml:space="preserve"> pozicím v obchodním portfoliu, na které se vztahuje požadavky části třetí hlavy IV CRR.</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Účetní hodnoty položek nepodléhajících kapitálovým požadavkům nebo podléhajících odpočtu od kapitálu</w:t>
            </w:r>
          </w:p>
          <w:p w14:paraId="0F80A2EF" w14:textId="76094FDC"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Účetní hodnoty podle obezřetnostní konsolidace položek (jiných než podrozvahových položek), které nepodléhají kapitálovým požadavkům podle CRR; účetní hodnoty podle obezřetnostní konsolidace položek (jiných než podrozvahových položek), které podléhají odpočtům od kapitálu podle části druhé CRR</w:t>
            </w:r>
            <w:r w:rsidR="004D1A28">
              <w:rPr>
                <w:rFonts w:ascii="Times New Roman" w:hAnsi="Times New Roman"/>
                <w:sz w:val="24"/>
              </w:rPr>
              <w:t>.</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Odečítané položky mohou zahrnovat například položky vyjmenované v článcích 37, 38, 39, a 41 CRR.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Hodnotami u aktiv se rozumí částky skutečně odečtené od kapitálu, a to se zohledněním veškerých započtení proti závazkům povolených na základě </w:t>
            </w:r>
            <w:r>
              <w:rPr>
                <w:rFonts w:ascii="Times New Roman" w:hAnsi="Times New Roman"/>
                <w:sz w:val="24"/>
              </w:rPr>
              <w:lastRenderedPageBreak/>
              <w:t>odpočtu podle příslušných článků části druhé CRR (a jakýkoli prahových hodnot těchto odpočtů).</w:t>
            </w:r>
          </w:p>
          <w:p w14:paraId="76CA48AF" w14:textId="22A658DF"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Použije-li se na položky vyjmenované v čl. 36 odst. 1 písm. k) a v článku 48 CRR riziková váha 1 250 % namísto odpočtu, nebudou uvedeny ve sloupci g</w:t>
            </w:r>
            <w:r w:rsidR="005B280B">
              <w:rPr>
                <w:rFonts w:ascii="Times New Roman" w:hAnsi="Times New Roman"/>
                <w:sz w:val="24"/>
              </w:rPr>
              <w:t>)</w:t>
            </w:r>
            <w:r>
              <w:rPr>
                <w:rFonts w:ascii="Times New Roman" w:hAnsi="Times New Roman"/>
                <w:sz w:val="24"/>
              </w:rPr>
              <w:t xml:space="preserve"> této šablony, ale v ostatních příslušných sloupcích šablony </w:t>
            </w:r>
            <w:r w:rsidR="00CC4769">
              <w:rPr>
                <w:rFonts w:ascii="Times New Roman" w:hAnsi="Times New Roman"/>
                <w:sz w:val="24"/>
              </w:rPr>
              <w:t xml:space="preserve">EU </w:t>
            </w:r>
            <w:r>
              <w:rPr>
                <w:rFonts w:ascii="Times New Roman" w:hAnsi="Times New Roman"/>
                <w:sz w:val="24"/>
              </w:rPr>
              <w:t>LI1. To platí také pro veškeré ostatní položky s rizikovou vahou 1 250 % podle požadavků CRR.</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 xml:space="preserve">Hodnotami u pasiv se rozumí objem závazků, které musí být zohledněny při stanovení výše aktiv, která mají být odečtena od kapitálu, podle příslušných článků v části druhé CRR. Kromě toho se v tomto sloupci uvedou všechny závazky jiné než ty, které i) jsou relevantní pro uplatnění požadavků části třetí hlavy II kapitoly 4 CRR, nebo </w:t>
            </w:r>
            <w:proofErr w:type="spellStart"/>
            <w:r>
              <w:rPr>
                <w:rFonts w:ascii="Times New Roman" w:hAnsi="Times New Roman"/>
                <w:sz w:val="24"/>
              </w:rPr>
              <w:t>ii</w:t>
            </w:r>
            <w:proofErr w:type="spellEnd"/>
            <w:r>
              <w:rPr>
                <w:rFonts w:ascii="Times New Roman" w:hAnsi="Times New Roman"/>
                <w:sz w:val="24"/>
              </w:rPr>
              <w:t>) které jsou relevantní pro uplatnění požadavků části třetí hlavy II kapitoly 6 CRR a části třetí hlavy IV CRR.</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vše</w:t>
            </w:r>
          </w:p>
        </w:tc>
        <w:tc>
          <w:tcPr>
            <w:tcW w:w="7655" w:type="dxa"/>
            <w:shd w:val="clear" w:color="auto" w:fill="FFFFFF" w:themeFill="background1"/>
          </w:tcPr>
          <w:p w14:paraId="679453E6" w14:textId="579920DF"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Pokud jediná položka podléhá kapitálovým požadavkům podle více rámců pro rizika, uvedou se hodnoty ve všech sloupcích odpovídajících příslušným kapitálovým požadavkům. V důsledku toho může být součet hodnot ve sloupcích c</w:t>
            </w:r>
            <w:r w:rsidR="005B280B">
              <w:rPr>
                <w:rFonts w:ascii="Times New Roman" w:hAnsi="Times New Roman"/>
                <w:sz w:val="24"/>
              </w:rPr>
              <w:t>)</w:t>
            </w:r>
            <w:r>
              <w:rPr>
                <w:rFonts w:ascii="Times New Roman" w:hAnsi="Times New Roman"/>
                <w:sz w:val="24"/>
              </w:rPr>
              <w:t xml:space="preserve"> až g</w:t>
            </w:r>
            <w:r w:rsidR="005B280B">
              <w:rPr>
                <w:rFonts w:ascii="Times New Roman" w:hAnsi="Times New Roman"/>
                <w:sz w:val="24"/>
              </w:rPr>
              <w:t>)</w:t>
            </w:r>
            <w:r>
              <w:rPr>
                <w:rFonts w:ascii="Times New Roman" w:hAnsi="Times New Roman"/>
                <w:sz w:val="24"/>
              </w:rPr>
              <w:t xml:space="preserve"> této šablony vyšší než hodnota ve sloupci b</w:t>
            </w:r>
            <w:r w:rsidR="005B280B">
              <w:rPr>
                <w:rFonts w:ascii="Times New Roman" w:hAnsi="Times New Roman"/>
                <w:sz w:val="24"/>
              </w:rPr>
              <w:t>)</w:t>
            </w:r>
            <w:r>
              <w:rPr>
                <w:rFonts w:ascii="Times New Roman" w:hAnsi="Times New Roman"/>
                <w:sz w:val="24"/>
              </w:rPr>
              <w:t xml:space="preserve"> této šablony. Instituce poskytnou kvalitativní vysvětlení aktiv a pasiv, na která se vztahují kapitálové požadavky více rámců pro rizika vyjmenované v části třetí CRR.</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0CD57DA2" w:rsidR="007B082B" w:rsidRPr="007F4CC8" w:rsidRDefault="007B082B" w:rsidP="007B082B">
      <w:pPr>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LI2 – Hlavní zdroje rozdílů mezi regulatorními hodnotami expozic a účetními hodnotami v účetní závěrce. </w:t>
      </w:r>
      <w:r>
        <w:rPr>
          <w:rFonts w:ascii="Times New Roman" w:hAnsi="Times New Roman"/>
          <w:sz w:val="24"/>
        </w:rPr>
        <w:t>Pevně daný formát</w:t>
      </w:r>
      <w:r>
        <w:rPr>
          <w:rFonts w:ascii="Times New Roman" w:hAnsi="Times New Roman"/>
          <w:b/>
          <w:sz w:val="24"/>
        </w:rPr>
        <w:t xml:space="preserve"> </w:t>
      </w:r>
    </w:p>
    <w:p w14:paraId="6EE0E7BA" w14:textId="1054CD7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 xml:space="preserve">Informace uvedené v čl. 436 písm. d) CRR zpřístupní instituce podle následujících pokynů k vyplnění šablony </w:t>
      </w:r>
      <w:r w:rsidR="00CC4769">
        <w:rPr>
          <w:rFonts w:ascii="Times New Roman" w:hAnsi="Times New Roman"/>
          <w:color w:val="000000" w:themeColor="text1"/>
          <w:sz w:val="24"/>
        </w:rPr>
        <w:t xml:space="preserve">EU </w:t>
      </w:r>
      <w:r>
        <w:rPr>
          <w:rFonts w:ascii="Times New Roman" w:hAnsi="Times New Roman"/>
          <w:color w:val="000000" w:themeColor="text1"/>
          <w:sz w:val="24"/>
        </w:rPr>
        <w:t>LI2, obsažených v příloze 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Odkazy na právní předpisy a pokyny</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Výše účetní hodnoty aktiv, na niž se vztahuje působnost obezřetnostní konsolidace</w:t>
            </w:r>
          </w:p>
          <w:p w14:paraId="4566519D" w14:textId="1152F6F9"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Hodnoty ve sloupcích b) až e) této šablony jsou shodné s hodnotami ve sloupcích c) až f) šablony </w:t>
            </w:r>
            <w:r w:rsidR="00CC4769">
              <w:rPr>
                <w:rFonts w:ascii="Times New Roman" w:hAnsi="Times New Roman"/>
                <w:sz w:val="24"/>
              </w:rPr>
              <w:t xml:space="preserve">EU </w:t>
            </w:r>
            <w:r>
              <w:rPr>
                <w:rFonts w:ascii="Times New Roman" w:hAnsi="Times New Roman"/>
                <w:sz w:val="24"/>
              </w:rPr>
              <w:t xml:space="preserve">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Výše účetní hodnoty pasiv, na niž se vztahuje působnost obezřetnostní konsolidace</w:t>
            </w:r>
          </w:p>
          <w:p w14:paraId="34408E15" w14:textId="102598DE"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Hodnoty ve sloupcích b) až e) této šablony jsou shodné s hodnotami ve sloupcích c) až f) šablony </w:t>
            </w:r>
            <w:r w:rsidR="00CC4769">
              <w:rPr>
                <w:rFonts w:ascii="Times New Roman" w:hAnsi="Times New Roman"/>
                <w:sz w:val="24"/>
              </w:rPr>
              <w:t xml:space="preserve">EU </w:t>
            </w:r>
            <w:r>
              <w:rPr>
                <w:rFonts w:ascii="Times New Roman" w:hAnsi="Times New Roman"/>
                <w:sz w:val="24"/>
              </w:rPr>
              <w:t>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Čistá výše, na niž se vztahuje působnost obezřetnostní konsolidace, celkem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Výše po rozvahovém započtení aktiv a pasiv podle obezřetnostní konsolidace bez ohledu na způsobilost těchto aktiv a pasiv pro konkrétní pravidla započtení při uplatnění části třetí hlavy II kapitol 4 a 5 a části třetí hlavy IV CRR.</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lastRenderedPageBreak/>
              <w:t xml:space="preserve">Hodnota v tomto řádku se bude rovnat hodnotě v řádku 1 po odečtení hodnoty v řádku 2 </w:t>
            </w:r>
            <w:proofErr w:type="gramStart"/>
            <w:r>
              <w:rPr>
                <w:rFonts w:ascii="Times New Roman" w:hAnsi="Times New Roman"/>
                <w:sz w:val="24"/>
              </w:rPr>
              <w:t>této</w:t>
            </w:r>
            <w:proofErr w:type="gramEnd"/>
            <w:r>
              <w:rPr>
                <w:rFonts w:ascii="Times New Roman" w:hAnsi="Times New Roman"/>
                <w:sz w:val="24"/>
              </w:rPr>
              <w:t xml:space="preserve"> šablony.</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Podrozvahové hodnoty</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Obsahují původní podrozvahové expozice, před případným použitím konverzního faktoru, ze sestaveného prohlášení o podrozvaze podle obezřetnostní konsolidace ve sloupcích a) až d) této šablony.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Rozdíly v ocenění</w:t>
            </w:r>
          </w:p>
          <w:p w14:paraId="6481AA32" w14:textId="324F06B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Dopad účetní hodnoty úprav ocenění podle části druhé hlavy I kapitoly 2 článku 34 CRR a části třetí hlavy I kapitoly 3 článku 105 CRR na expozice v obchodním a investičním portfoliu oceněné reálnou hodnotou v souladu s příslušným účetním rámcem</w:t>
            </w:r>
            <w:r w:rsidR="004D1A28">
              <w:rPr>
                <w:rFonts w:ascii="Times New Roman" w:hAnsi="Times New Roman"/>
                <w:sz w:val="24"/>
              </w:rPr>
              <w:t>.</w:t>
            </w:r>
          </w:p>
          <w:p w14:paraId="5D6B1E33" w14:textId="154C1911"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 xml:space="preserve">Tato hodnota je v souladu s hodnotou v řádku 7 šablony </w:t>
            </w:r>
            <w:r w:rsidR="00CC4769">
              <w:rPr>
                <w:rFonts w:ascii="Times New Roman" w:hAnsi="Times New Roman"/>
                <w:sz w:val="24"/>
              </w:rPr>
              <w:t xml:space="preserve">EU </w:t>
            </w:r>
            <w:r>
              <w:rPr>
                <w:rFonts w:ascii="Times New Roman" w:hAnsi="Times New Roman"/>
                <w:sz w:val="24"/>
              </w:rPr>
              <w:t xml:space="preserve">CC1 a také s hodnotou v řádku 12 sloupci f) šablony </w:t>
            </w:r>
            <w:r w:rsidR="00CC4769">
              <w:rPr>
                <w:rFonts w:ascii="Times New Roman" w:hAnsi="Times New Roman"/>
                <w:sz w:val="24"/>
              </w:rPr>
              <w:t xml:space="preserve">EU </w:t>
            </w:r>
            <w:r>
              <w:rPr>
                <w:rFonts w:ascii="Times New Roman" w:hAnsi="Times New Roman"/>
                <w:sz w:val="24"/>
              </w:rPr>
              <w:t>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Rozdíly vzniklé z titulu rozdílných pravidel započtení, mimo rozdíly uvedené na řádku 2 </w:t>
            </w:r>
            <w:proofErr w:type="gramStart"/>
            <w:r>
              <w:rPr>
                <w:rFonts w:ascii="Times New Roman" w:hAnsi="Times New Roman"/>
                <w:b/>
                <w:i/>
                <w:sz w:val="24"/>
              </w:rPr>
              <w:t>této</w:t>
            </w:r>
            <w:proofErr w:type="gramEnd"/>
            <w:r>
              <w:rPr>
                <w:rFonts w:ascii="Times New Roman" w:hAnsi="Times New Roman"/>
                <w:b/>
                <w:i/>
                <w:sz w:val="24"/>
              </w:rPr>
              <w:t xml:space="preserve"> šablony</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Tato položka se týká hodnoty čisté rozvahové a podrozvahové expozice po uplatnění konkrétních pravidel započtení podle části třetí hlavy II kapitol 4 a 5 a části třetí hlavy IV CRR. Dopad uplatnění pravidel započtení může být záporný (v případě, že je nutné započíst více expozic, než je použití rozvahového započtení v řádku 2 této šablony) nebo kladný (v případě, že je po uplatnění pravidel započtení v CRR započtena nižší hodnota, než je hodnota rozvahového započtení v řádku 2 </w:t>
            </w:r>
            <w:proofErr w:type="gramStart"/>
            <w:r>
              <w:rPr>
                <w:rFonts w:ascii="Times New Roman" w:hAnsi="Times New Roman"/>
                <w:sz w:val="24"/>
              </w:rPr>
              <w:t>této</w:t>
            </w:r>
            <w:proofErr w:type="gramEnd"/>
            <w:r>
              <w:rPr>
                <w:rFonts w:ascii="Times New Roman" w:hAnsi="Times New Roman"/>
                <w:sz w:val="24"/>
              </w:rPr>
              <w:t xml:space="preserve"> šablony).</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Rozdíly vzniklé z titulu zohlednění rezerv</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Opětovné začlenění specifických a obecných úprav o úvěrové riziko do hodnoty expozice (ve smyslu nařízení Komise v přenesené pravomoci (EU) č. 183/2014</w:t>
            </w:r>
            <w:r w:rsidRPr="007F4CC8">
              <w:rPr>
                <w:rStyle w:val="FootnoteReference"/>
                <w:rFonts w:eastAsia="Times New Roman" w:cs="Times New Roman"/>
              </w:rPr>
              <w:footnoteReference w:id="12"/>
            </w:r>
            <w:r>
              <w:rPr>
                <w:rFonts w:ascii="Times New Roman" w:hAnsi="Times New Roman"/>
                <w:sz w:val="24"/>
              </w:rPr>
              <w:t xml:space="preserve">), které byly odečteny v souladu s příslušným účetní rámcem od účetní hodnoty expozic podle části třetí hlavy II kapitoly 3 CRR pro účely vážení rizik. Pokud jde o expozice, které jsou rizikově vážené podle části třetí hlavy II kapitoly 2 CRR, pak jestliže je účetní hodnota v účetní závěrce podle obezřetnostní konsolidace snížena o složky představující obecné úpravy o úvěrové riziko podle výše uvedeného nařízení v přenesené pravomoci, tyto složky musí být začleněny zpět do hodnoty expozice.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Rozdíly vzniklé z titulu použití technik snižování úvěrového rizika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Dopad použití technik snižování úvěrového rizika ve smyslu CRR na hodnotu expozice podle obezřetnostní konsolidace.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Rozdíly vzniklé z titulu úvěrových konverzních faktorů</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7411D0FC"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lastRenderedPageBreak/>
              <w:t>Dopad použití příslušných konverzních faktorů podle CRR na hodnotu expozice podrozvahových expozic podle obezřetnostní konsolidace</w:t>
            </w:r>
            <w:r w:rsidR="004D1A28">
              <w:rPr>
                <w:rFonts w:ascii="Times New Roman" w:hAnsi="Times New Roman"/>
                <w:sz w:val="24"/>
              </w:rPr>
              <w:t>.</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Konverzní faktor pro podrozvahové položky, které mají být rizikově váženy při uplatnění části třetí hlavy II CRR, se stanoví v souladu s články 111, 166, 167 a 182 (v rozsahu platném pro úvěrové riziko) a článkem 246 CRR (v rozsahu platném pro riziko sekuritizace).</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Rozdíly vzniklé z titulu sekuritizace s převodem rizika</w:t>
            </w:r>
          </w:p>
          <w:p w14:paraId="01A15C01" w14:textId="29271534"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Dopad použití sekuritizovaných transakcí k převodu úvěrového rizika na třetí strany podle CRR na hodnotu expozice podrozvahových expozic</w:t>
            </w:r>
            <w:r w:rsidR="004D1A28">
              <w:rPr>
                <w:rFonts w:ascii="Times New Roman" w:hAnsi="Times New Roman"/>
                <w:sz w:val="24"/>
              </w:rPr>
              <w:t>.</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Jiné rozdíly </w:t>
            </w:r>
            <w:r>
              <w:rPr>
                <w:rFonts w:ascii="Times New Roman" w:hAnsi="Times New Roman"/>
                <w:i/>
                <w:sz w:val="24"/>
              </w:rPr>
              <w:t>(jsou-li relevantní)</w:t>
            </w:r>
          </w:p>
          <w:p w14:paraId="3D1A8C2D" w14:textId="659FD39C"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Další faktory významně ovlivňující rozdíly mezi účetními hodnotami podle účetní závěrky v rámci regulatorní působnosti a hodnotami expozic posuzovanými pro regulatorní účely</w:t>
            </w:r>
            <w:r w:rsidR="004D1A28">
              <w:rPr>
                <w:rFonts w:ascii="Times New Roman" w:hAnsi="Times New Roman"/>
                <w:sz w:val="24"/>
              </w:rPr>
              <w:t>.</w:t>
            </w:r>
          </w:p>
          <w:p w14:paraId="3E8064E7" w14:textId="33AD113C"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 xml:space="preserve">Instituce doplní kvantitativní údaje uvedené v tomto řádku o kvalitativní vysvětlení hlavních příčin těchto rozdílů v tabulce </w:t>
            </w:r>
            <w:r w:rsidR="00CC4769">
              <w:rPr>
                <w:rFonts w:ascii="Times New Roman" w:hAnsi="Times New Roman"/>
                <w:sz w:val="24"/>
              </w:rPr>
              <w:t xml:space="preserve">EU </w:t>
            </w:r>
            <w:r>
              <w:rPr>
                <w:rFonts w:ascii="Times New Roman" w:hAnsi="Times New Roman"/>
                <w:sz w:val="24"/>
              </w:rPr>
              <w:t>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Hodnoty expozic posuzované pro regulatorní účely</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Celková hodnota považovaná za výchozí bod výpočtu objemu rizikově vážených expozic před uplatněním jiných metod snižování úvěrového rizika, než je započtení v části třetí hlavě II kapitole 4 CRR, a po uplatnění požadavků na započtení v části třetí hlavě II kapitolách 4 a 5 a části třetí hlavě IV téhož nařízení pro jednotlivé kategorie rizik.</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Při použití standardizovaného přístupu se jedná o hodnotu po specifických úpravách o úvěrové riziko, dodatečných úpravách ocenění podle článků 34 a 110 CRR a dalším snížení kapitálu souvisejícím s danou položkou aktiv. U podrozvahových položek vyjmenovaných v příloze I tohoto prováděcího nařízení je hodnotou expozice nominální hodnota po odečtení specifických úprav o úvěrové riziko vynásobená použitelným procentním podílem podle čl. 111 odst. 1 písm. a) a d) CRR.</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Při přístupu IRB se uvede hodnota expozice ve smyslu článků 166, 167 a 168 CRR.</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Účetní hodnoty vykázané v účetní závěrce v rámci obezřetnostní konsolidace se tedy uvedou v odpovídajících řádcích 1 až 3 této šablony, zatímco původní podrozvahové expozice se zveřejní v řádku 4 </w:t>
            </w:r>
            <w:proofErr w:type="gramStart"/>
            <w:r>
              <w:rPr>
                <w:rFonts w:ascii="Times New Roman" w:hAnsi="Times New Roman"/>
                <w:sz w:val="24"/>
              </w:rPr>
              <w:t>této</w:t>
            </w:r>
            <w:proofErr w:type="gramEnd"/>
            <w:r>
              <w:rPr>
                <w:rFonts w:ascii="Times New Roman" w:hAnsi="Times New Roman"/>
                <w:sz w:val="24"/>
              </w:rPr>
              <w:t xml:space="preserve"> šablony. Jakýkoli specifický regulatorní přírůstek nebo úbytek týkající se těchto hodnot je třeba zahrnout do řádků 5 až 11 této šablony, aby bylo vysvětleno, jak tyto hodnoty sesouhlasit s hodnotou expozice, která je pro regulatorní účely výchozím bodem výpočtu objemu rizikově vážených expozic v souladu s každým z rámců uvedených ve sloupcích b) až e) této šablony. To znamená, že zejména u úvěrového rizika se hodnoty expozic posuzované pro regulatorní účely, které se uvádějí v řádku 12 této šablony, budou lišit od účetních hodnot vykázaných účetní závěrce v rámci obezřetnostní konsolidace, a to z titulu konkrétního </w:t>
            </w:r>
            <w:r>
              <w:rPr>
                <w:rFonts w:ascii="Times New Roman" w:hAnsi="Times New Roman"/>
                <w:sz w:val="24"/>
              </w:rPr>
              <w:lastRenderedPageBreak/>
              <w:t>regulatorního režimu účetních opravných položek při výpočtu objemu rizikově vážených expozic.</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Odkazy na právní předpisy a pokyny</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Sloupec</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Vysvětlení</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Celkem</w:t>
            </w:r>
          </w:p>
          <w:p w14:paraId="4CA8C4A4" w14:textId="25107558"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Hodnota celkem ve sloupci a) šablony </w:t>
            </w:r>
            <w:r w:rsidR="00CC4769">
              <w:rPr>
                <w:rFonts w:ascii="Times New Roman" w:hAnsi="Times New Roman"/>
                <w:sz w:val="24"/>
              </w:rPr>
              <w:t xml:space="preserve">EU </w:t>
            </w:r>
            <w:r>
              <w:rPr>
                <w:rFonts w:ascii="Times New Roman" w:hAnsi="Times New Roman"/>
                <w:sz w:val="24"/>
              </w:rPr>
              <w:t xml:space="preserve">LI2 = hodnoty ve sloupci b) šablony </w:t>
            </w:r>
            <w:r w:rsidR="00CC4769">
              <w:rPr>
                <w:rFonts w:ascii="Times New Roman" w:hAnsi="Times New Roman"/>
                <w:sz w:val="24"/>
              </w:rPr>
              <w:t xml:space="preserve">EU </w:t>
            </w:r>
            <w:r>
              <w:rPr>
                <w:rFonts w:ascii="Times New Roman" w:hAnsi="Times New Roman"/>
                <w:sz w:val="24"/>
              </w:rPr>
              <w:t xml:space="preserve">LI1 – hodnoty ve sloupci g) šablony </w:t>
            </w:r>
            <w:r w:rsidR="00CC4769">
              <w:rPr>
                <w:rFonts w:ascii="Times New Roman" w:hAnsi="Times New Roman"/>
                <w:sz w:val="24"/>
              </w:rPr>
              <w:t xml:space="preserve">EU </w:t>
            </w:r>
            <w:r>
              <w:rPr>
                <w:rFonts w:ascii="Times New Roman" w:hAnsi="Times New Roman"/>
                <w:sz w:val="24"/>
              </w:rPr>
              <w:t>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Členění sloupců v kategoriích regulačního rizika b) až e) odpovídá členění vyjmenovanému v části třetí CRR: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Rámec pro úvěrové riziko</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Expozice v části třetí hlavě II CRR</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Expozice v rámci pro úvěrové riziko odpovídají buď výši expozice při uplatnění standardizovaného přístupu k úvěrovému riziku (viz část třetí hlava II kapitola 2 článek 111 CRR), nebo expozicím v selhání v přístupu IRB k úvěrovému riziku (viz část třetí hlava II kapitola 3 články 166, 167 a 168 CRR).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Rámec pro </w:t>
            </w:r>
            <w:proofErr w:type="spellStart"/>
            <w:r>
              <w:rPr>
                <w:rFonts w:ascii="Times New Roman" w:hAnsi="Times New Roman"/>
                <w:b/>
                <w:sz w:val="24"/>
              </w:rPr>
              <w:t>sekuritizaci</w:t>
            </w:r>
            <w:proofErr w:type="spellEnd"/>
            <w:r>
              <w:rPr>
                <w:rFonts w:ascii="Times New Roman" w:hAnsi="Times New Roman"/>
                <w:b/>
                <w:sz w:val="24"/>
              </w:rPr>
              <w:t xml:space="preserve">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Expozice z investičního portfolia uvedené v části třetí hlavě II kapitole 5 CRR.</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sz w:val="24"/>
              </w:rPr>
              <w:t>Sekuritizované</w:t>
            </w:r>
            <w:proofErr w:type="spellEnd"/>
            <w:r>
              <w:rPr>
                <w:rFonts w:ascii="Times New Roman" w:hAnsi="Times New Roman"/>
                <w:sz w:val="24"/>
              </w:rPr>
              <w:t xml:space="preserve"> expozice se určují v souladu s částí třetí hlavou II kapitolou 5 článkem 246 CRR.</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Rámec úvěrového rizika protistrany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Expozice uvedené v části třetí hlavě II kapitole 6 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Rámec pro tržní riziko</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Expozice tržnímu riziku odpovídající pozicím podléhajícím rámci pro tržní riziko v části třetí hlavě IV CRR.</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V tomto sloupci se vyplňují pouze řádky 1 až 3 a řádek 12 této šablony.</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vše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501AE7AF" w:rsidR="007B082B" w:rsidRPr="007F4CC8" w:rsidRDefault="007B082B" w:rsidP="004D1A28">
            <w:pPr>
              <w:spacing w:before="60" w:after="120"/>
              <w:jc w:val="both"/>
              <w:rPr>
                <w:rFonts w:ascii="Times New Roman" w:eastAsia="Times New Roman" w:hAnsi="Times New Roman" w:cs="Times New Roman"/>
                <w:sz w:val="24"/>
              </w:rPr>
            </w:pPr>
            <w:r>
              <w:rPr>
                <w:rFonts w:ascii="Times New Roman" w:hAnsi="Times New Roman"/>
                <w:sz w:val="24"/>
              </w:rPr>
              <w:t>Pokud jediná položka podléhá kapitálovým požadavkům podle více rámců pro rizika, uvedou se hodnoty ve všech příslušný</w:t>
            </w:r>
            <w:r w:rsidR="004D1A28">
              <w:rPr>
                <w:rFonts w:ascii="Times New Roman" w:hAnsi="Times New Roman"/>
                <w:sz w:val="24"/>
              </w:rPr>
              <w:t>ch</w:t>
            </w:r>
            <w:r>
              <w:rPr>
                <w:rFonts w:ascii="Times New Roman" w:hAnsi="Times New Roman"/>
                <w:sz w:val="24"/>
              </w:rPr>
              <w:t xml:space="preserve"> sloupcích odpovídajících kapitálovým požadavkům. V důsledku toho může být součet hodnot ve sloupcích b) až e) této šablony vyšší než hodnota ve sloupci a) této šablony. Instituce poskytnou kvalitativní vysvětlení aktiv a pasiv, na která se vztahují kapitálové požadavky více rámců pro rizika vyjmenované v části třetí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2E01E951" w:rsidR="007B082B" w:rsidRPr="007F4CC8" w:rsidRDefault="007B082B" w:rsidP="007B082B">
      <w:pPr>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LI3 – Přehled rozdílů v rozsahu konsolidace (podle jednotlivých subjektů)</w:t>
      </w:r>
    </w:p>
    <w:p w14:paraId="2DCB70BA" w14:textId="5C634EFD"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 xml:space="preserve">Informace uvedené v čl. 436 písm. b) CRR zpřístupní instituce podle pokynů k vyplnění šablony </w:t>
      </w:r>
      <w:r w:rsidR="00CC4769">
        <w:rPr>
          <w:rFonts w:ascii="Times New Roman" w:hAnsi="Times New Roman"/>
          <w:color w:val="000000" w:themeColor="text1"/>
          <w:sz w:val="24"/>
        </w:rPr>
        <w:t xml:space="preserve">EU </w:t>
      </w:r>
      <w:r>
        <w:rPr>
          <w:rFonts w:ascii="Times New Roman" w:hAnsi="Times New Roman"/>
          <w:color w:val="000000" w:themeColor="text1"/>
          <w:sz w:val="24"/>
        </w:rPr>
        <w:t>LI3, obsažené v příloze 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lastRenderedPageBreak/>
              <w:t>Odkazy na právní předpisy a pokyny</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Řádky jsou flexibilní. Zpřístupňují se informace o subjektech, které jsou zahrnuty v účetní a regulatorní konsolidaci definované v souladu s platným účetním rámcem a částí první hlavou II oddíly 2 a 3 CRR, u nichž se metoda účetní konsolidace liší od metody regulatorní konsolidace. Jeden řádek na každý subjekt.</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Odkazy na právní předpisy a pokyny</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Název subjektu</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Obchodní název jakéhokoli subjektu zahrnutého do regulatorní a účetní konsolidace instituce nebo z ní vyňatého.</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účetní konsolidace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Metoda konsolidace použitá v souladu s platným účetním rámcem</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až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regulatorní konsolidace</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Metoda konsolidace zavedená pro účely části první hlavy II kapitoly 2 CRR.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Uvádějí se přinejmenším informace o metodách vyjmenovaných v čl. 436 písm. b) CRR.</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 xml:space="preserve">Instituce zaškrtnou hodící se sloupce, aby označily metodu konsolidace u jednotlivých subjektů podle účetního rámce a zda jsou jednotlivé subjekty v rámci obezřetnostní konsolidace i) plně konsolidovány; </w:t>
            </w:r>
            <w:proofErr w:type="spellStart"/>
            <w:r>
              <w:rPr>
                <w:rFonts w:ascii="Times New Roman" w:hAnsi="Times New Roman"/>
                <w:sz w:val="24"/>
              </w:rPr>
              <w:t>ii</w:t>
            </w:r>
            <w:proofErr w:type="spellEnd"/>
            <w:r>
              <w:rPr>
                <w:rFonts w:ascii="Times New Roman" w:hAnsi="Times New Roman"/>
                <w:sz w:val="24"/>
              </w:rPr>
              <w:t xml:space="preserve">) poměrně konsolidovány; </w:t>
            </w:r>
            <w:proofErr w:type="spellStart"/>
            <w:r>
              <w:rPr>
                <w:rFonts w:ascii="Times New Roman" w:hAnsi="Times New Roman"/>
                <w:sz w:val="24"/>
              </w:rPr>
              <w:t>iii</w:t>
            </w:r>
            <w:proofErr w:type="spellEnd"/>
            <w:r>
              <w:rPr>
                <w:rFonts w:ascii="Times New Roman" w:hAnsi="Times New Roman"/>
                <w:sz w:val="24"/>
              </w:rPr>
              <w:t xml:space="preserve">) zaúčtovány podle ekvivalenční metody; </w:t>
            </w:r>
            <w:proofErr w:type="spellStart"/>
            <w:r>
              <w:rPr>
                <w:rFonts w:ascii="Times New Roman" w:hAnsi="Times New Roman"/>
                <w:sz w:val="24"/>
              </w:rPr>
              <w:t>iv</w:t>
            </w:r>
            <w:proofErr w:type="spellEnd"/>
            <w:r>
              <w:rPr>
                <w:rFonts w:ascii="Times New Roman" w:hAnsi="Times New Roman"/>
                <w:sz w:val="24"/>
              </w:rPr>
              <w:t>) nejsou ani konsolidovány ani odečteny, nebo v) odečteny.</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Popis subjektu</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Stručný popis subjektu a uvedení (minimálních) informací o odvětví jeho činnosti.</w:t>
            </w:r>
          </w:p>
        </w:tc>
      </w:tr>
    </w:tbl>
    <w:p w14:paraId="4BCBBC38" w14:textId="77777777" w:rsidR="007B082B" w:rsidRPr="007F4CC8" w:rsidRDefault="007B082B" w:rsidP="007B082B">
      <w:pPr>
        <w:rPr>
          <w:rFonts w:ascii="Times New Roman" w:hAnsi="Times New Roman" w:cs="Times New Roman"/>
          <w:sz w:val="24"/>
        </w:rPr>
      </w:pPr>
    </w:p>
    <w:p w14:paraId="62009EA3" w14:textId="355B8A57" w:rsidR="007B082B" w:rsidRPr="007F4CC8" w:rsidRDefault="007B082B" w:rsidP="007B082B">
      <w:pPr>
        <w:jc w:val="both"/>
        <w:rPr>
          <w:rFonts w:ascii="Times New Roman" w:hAnsi="Times New Roman" w:cs="Times New Roman"/>
          <w:sz w:val="24"/>
        </w:rPr>
      </w:pPr>
      <w:r>
        <w:rPr>
          <w:rFonts w:ascii="Times New Roman" w:hAnsi="Times New Roman"/>
          <w:b/>
          <w:sz w:val="24"/>
        </w:rPr>
        <w:t xml:space="preserve">Tabulka </w:t>
      </w:r>
      <w:r w:rsidR="00CC4769">
        <w:rPr>
          <w:rFonts w:ascii="Times New Roman" w:hAnsi="Times New Roman"/>
          <w:b/>
          <w:sz w:val="24"/>
        </w:rPr>
        <w:t xml:space="preserve">EU </w:t>
      </w:r>
      <w:r>
        <w:rPr>
          <w:rFonts w:ascii="Times New Roman" w:hAnsi="Times New Roman"/>
          <w:b/>
          <w:sz w:val="24"/>
        </w:rPr>
        <w:t xml:space="preserve">LIA – Vysvětlení rozdílů mezi hodnotami pro účely účetnictví a regulace. </w:t>
      </w:r>
      <w:r>
        <w:rPr>
          <w:rFonts w:ascii="Times New Roman" w:hAnsi="Times New Roman"/>
          <w:sz w:val="24"/>
        </w:rPr>
        <w:t>Pole s volně zadávanými kvalitativními informacemi</w:t>
      </w:r>
    </w:p>
    <w:p w14:paraId="4CD2BB71" w14:textId="77777777" w:rsidR="007B082B" w:rsidRPr="007F4CC8" w:rsidRDefault="007B082B" w:rsidP="007B082B">
      <w:pPr>
        <w:jc w:val="both"/>
        <w:rPr>
          <w:rFonts w:ascii="Times New Roman" w:hAnsi="Times New Roman" w:cs="Times New Roman"/>
          <w:sz w:val="24"/>
        </w:rPr>
      </w:pPr>
    </w:p>
    <w:p w14:paraId="4B6DAAED" w14:textId="4335D198"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 xml:space="preserve">Informace uvedené v čl. 436 písm. b) a d) CRR zpřístupní instituce podle následujících pokynů k vyplnění šablony </w:t>
      </w:r>
      <w:r w:rsidR="00CC4769">
        <w:rPr>
          <w:rFonts w:ascii="Times New Roman" w:hAnsi="Times New Roman"/>
          <w:color w:val="000000" w:themeColor="text1"/>
          <w:sz w:val="24"/>
        </w:rPr>
        <w:t xml:space="preserve">EU </w:t>
      </w:r>
      <w:r>
        <w:rPr>
          <w:rFonts w:ascii="Times New Roman" w:hAnsi="Times New Roman"/>
          <w:color w:val="000000" w:themeColor="text1"/>
          <w:sz w:val="24"/>
        </w:rPr>
        <w:t>LIA, obsažené v příloze 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Odkazy na právní předpisy a pokyny</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393B1E5"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2BB1D3F6"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Instituce vysvětlí a vyčíslí, jak vznikly jakékoli významné rozdíly mezi hodnotami ve sloupcích a</w:t>
            </w:r>
            <w:r w:rsidR="004D1A28">
              <w:rPr>
                <w:rFonts w:ascii="Times New Roman" w:hAnsi="Times New Roman"/>
                <w:sz w:val="24"/>
              </w:rPr>
              <w:t>)</w:t>
            </w:r>
            <w:r>
              <w:rPr>
                <w:rFonts w:ascii="Times New Roman" w:hAnsi="Times New Roman"/>
                <w:sz w:val="24"/>
              </w:rPr>
              <w:t xml:space="preserve"> a b</w:t>
            </w:r>
            <w:r w:rsidR="004D1A28">
              <w:rPr>
                <w:rFonts w:ascii="Times New Roman" w:hAnsi="Times New Roman"/>
                <w:sz w:val="24"/>
              </w:rPr>
              <w:t>)</w:t>
            </w:r>
            <w:r>
              <w:rPr>
                <w:rFonts w:ascii="Times New Roman" w:hAnsi="Times New Roman"/>
                <w:sz w:val="24"/>
              </w:rPr>
              <w:t xml:space="preserve"> v šabloně </w:t>
            </w:r>
            <w:r w:rsidR="00CC4769">
              <w:rPr>
                <w:rFonts w:ascii="Times New Roman" w:hAnsi="Times New Roman"/>
                <w:sz w:val="24"/>
              </w:rPr>
              <w:t xml:space="preserve">EU </w:t>
            </w:r>
            <w:r>
              <w:rPr>
                <w:rFonts w:ascii="Times New Roman" w:hAnsi="Times New Roman"/>
                <w:sz w:val="24"/>
              </w:rPr>
              <w:t>LI1 bez ohledu na to, zda tyto rozdíly plynou z rozdílných pravidel konsolidace nebo z použití různých účetních standardů mezi účetní a regulatorní konsolidací.</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2B9B65FE"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bottom w:val="single" w:sz="4" w:space="0" w:color="auto"/>
            </w:tcBorders>
            <w:shd w:val="clear" w:color="auto" w:fill="FFFFFF" w:themeFill="background1"/>
            <w:vAlign w:val="center"/>
          </w:tcPr>
          <w:p w14:paraId="1FDDFD4B" w14:textId="3C15E83F"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Instituce vysvětlí, jak vznikly rozdíly mezi účetními hodnotami podle obezřetnostní konsolidace a hodnotami posuzovanými pro účely regulace vykázanými v šabloně </w:t>
            </w:r>
            <w:r w:rsidR="00CC4769">
              <w:rPr>
                <w:rFonts w:ascii="Times New Roman" w:hAnsi="Times New Roman"/>
                <w:sz w:val="24"/>
              </w:rPr>
              <w:t xml:space="preserve">EU </w:t>
            </w:r>
            <w:r>
              <w:rPr>
                <w:rFonts w:ascii="Times New Roman" w:hAnsi="Times New Roman"/>
                <w:sz w:val="24"/>
              </w:rPr>
              <w:t>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45AC79CD" w:rsidR="007B082B" w:rsidRPr="007F4CC8" w:rsidRDefault="007B082B" w:rsidP="007B082B">
      <w:pPr>
        <w:spacing w:after="120"/>
        <w:rPr>
          <w:rFonts w:ascii="Times New Roman" w:hAnsi="Times New Roman" w:cs="Times New Roman"/>
          <w:sz w:val="24"/>
        </w:rPr>
      </w:pPr>
      <w:r>
        <w:rPr>
          <w:rFonts w:ascii="Times New Roman" w:hAnsi="Times New Roman"/>
          <w:b/>
          <w:sz w:val="24"/>
        </w:rPr>
        <w:t xml:space="preserve">Tabulka </w:t>
      </w:r>
      <w:r w:rsidR="00CC4769">
        <w:rPr>
          <w:rFonts w:ascii="Times New Roman" w:hAnsi="Times New Roman"/>
          <w:b/>
          <w:sz w:val="24"/>
        </w:rPr>
        <w:t xml:space="preserve">EU </w:t>
      </w:r>
      <w:r>
        <w:rPr>
          <w:rFonts w:ascii="Times New Roman" w:hAnsi="Times New Roman"/>
          <w:b/>
          <w:sz w:val="24"/>
        </w:rPr>
        <w:t>LIB – Ostatní kvalitativní informace o oblasti působnosti.</w:t>
      </w:r>
      <w:r>
        <w:rPr>
          <w:rFonts w:ascii="Times New Roman" w:hAnsi="Times New Roman"/>
          <w:sz w:val="24"/>
        </w:rPr>
        <w:t xml:space="preserve"> Pole s volně zadávanými kvalitativními informacemi</w:t>
      </w:r>
    </w:p>
    <w:p w14:paraId="544FD00E" w14:textId="766F981C"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 xml:space="preserve">Informace uvedené v čl. 436 písm. f), g) a h)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LIB, obsažené v příloze 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Odkazy na právní předpisy a pokyny</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01D936F6" w14:textId="77777777" w:rsidTr="00803BB4">
        <w:trPr>
          <w:trHeight w:val="238"/>
        </w:trPr>
        <w:tc>
          <w:tcPr>
            <w:tcW w:w="1384" w:type="dxa"/>
            <w:shd w:val="clear" w:color="auto" w:fill="auto"/>
          </w:tcPr>
          <w:p w14:paraId="114BC413" w14:textId="117C5F4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Instituce zpřístupňují jakékoli současné nebo předpokládané podstatné věcné nebo právní překážky bránící okamžitému převodu kapitálu nebo splacení závazků mezi mateřským podnikem a jeho dceřinými podniky.</w:t>
            </w:r>
          </w:p>
        </w:tc>
      </w:tr>
      <w:tr w:rsidR="007B082B" w:rsidRPr="007F4CC8" w14:paraId="5FDF5C76" w14:textId="77777777" w:rsidTr="00803BB4">
        <w:trPr>
          <w:trHeight w:val="238"/>
        </w:trPr>
        <w:tc>
          <w:tcPr>
            <w:tcW w:w="1384" w:type="dxa"/>
            <w:shd w:val="clear" w:color="auto" w:fill="auto"/>
          </w:tcPr>
          <w:p w14:paraId="051E33A4" w14:textId="511D7F4B"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V příslušných případech instituce uvedou název nebo názvy dceřiných podniků nezahrnutých do konsolidace.</w:t>
            </w:r>
          </w:p>
        </w:tc>
      </w:tr>
      <w:tr w:rsidR="007B082B" w:rsidRPr="007F4CC8" w14:paraId="6461BD48" w14:textId="77777777" w:rsidTr="00803BB4">
        <w:trPr>
          <w:trHeight w:val="238"/>
        </w:trPr>
        <w:tc>
          <w:tcPr>
            <w:tcW w:w="1384" w:type="dxa"/>
            <w:shd w:val="clear" w:color="auto" w:fill="auto"/>
          </w:tcPr>
          <w:p w14:paraId="16EB0F3C" w14:textId="6C230D00"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Instituce případně uvedou okolnosti, za nichž je využívána výjimka podle článku 7 CRR nebo postup individuální konsolidace stanovený v článku 9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0D5DCC9C"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V příslušných případech instituce uvedou souhrnnou hodnotu, o niž je skutečný kapitál nižší, než je požadováno, ve všech dceřiných podnicích nezahrnutých do konsolidace a název nebo názvy těchto dceřiných podniků.</w:t>
            </w:r>
          </w:p>
        </w:tc>
      </w:tr>
    </w:tbl>
    <w:p w14:paraId="6052B499" w14:textId="77777777" w:rsidR="007B082B" w:rsidRPr="007F4CC8" w:rsidRDefault="007B082B" w:rsidP="007B082B">
      <w:pPr>
        <w:rPr>
          <w:rFonts w:ascii="Times New Roman" w:hAnsi="Times New Roman" w:cs="Times New Roman"/>
          <w:sz w:val="24"/>
        </w:rPr>
      </w:pPr>
    </w:p>
    <w:p w14:paraId="5FE73A08" w14:textId="56D05C4F" w:rsidR="007B082B" w:rsidRPr="00DD0C4D" w:rsidRDefault="007B082B" w:rsidP="007B082B">
      <w:pPr>
        <w:spacing w:after="120"/>
        <w:jc w:val="both"/>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PV1 – Šablona </w:t>
      </w:r>
      <w:r w:rsidR="00CC4769">
        <w:rPr>
          <w:rFonts w:ascii="Times New Roman" w:hAnsi="Times New Roman"/>
          <w:b/>
          <w:sz w:val="24"/>
        </w:rPr>
        <w:t xml:space="preserve">EU </w:t>
      </w:r>
      <w:r>
        <w:rPr>
          <w:rFonts w:ascii="Times New Roman" w:hAnsi="Times New Roman"/>
          <w:b/>
          <w:sz w:val="24"/>
        </w:rPr>
        <w:t xml:space="preserve">PV1: Úpravy v rámci obezřetného oceňování: </w:t>
      </w:r>
      <w:r>
        <w:rPr>
          <w:rFonts w:ascii="Times New Roman" w:hAnsi="Times New Roman"/>
          <w:sz w:val="24"/>
        </w:rPr>
        <w:t>Pevně daný formát</w:t>
      </w:r>
    </w:p>
    <w:p w14:paraId="44AA26B0" w14:textId="4A523717"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Instituce, které pro účely obezřetného oceňování uplatňují k určení dodatečné úpravy ocenění základní postup podle kapitoly III nařízení Komise v přenesené pravomoci</w:t>
      </w:r>
      <w:r>
        <w:rPr>
          <w:rFonts w:ascii="Times New Roman" w:hAnsi="Times New Roman"/>
          <w:bCs/>
          <w:sz w:val="24"/>
        </w:rPr>
        <w:t xml:space="preserve"> (EU) 2016/101</w:t>
      </w:r>
      <w:r w:rsidRPr="007F4CC8">
        <w:rPr>
          <w:rStyle w:val="FootnoteReference"/>
          <w:rFonts w:ascii="Times New Roman" w:hAnsi="Times New Roman"/>
          <w:bCs/>
          <w:sz w:val="24"/>
          <w:szCs w:val="24"/>
        </w:rPr>
        <w:footnoteReference w:id="13"/>
      </w:r>
      <w:r>
        <w:rPr>
          <w:rFonts w:ascii="Times New Roman" w:hAnsi="Times New Roman"/>
          <w:bCs/>
          <w:sz w:val="24"/>
        </w:rPr>
        <w:t xml:space="preserve">, zpřístupní informace uvedené v čl. 436 písm. e) </w:t>
      </w:r>
      <w:r>
        <w:rPr>
          <w:rFonts w:ascii="Times New Roman" w:hAnsi="Times New Roman"/>
          <w:sz w:val="24"/>
        </w:rPr>
        <w:t>CRR</w:t>
      </w:r>
      <w:r>
        <w:rPr>
          <w:rFonts w:ascii="Times New Roman" w:hAnsi="Times New Roman"/>
          <w:bCs/>
          <w:sz w:val="24"/>
        </w:rPr>
        <w:t xml:space="preserve"> podle pokynů uvedených v této příloze k vyplňování šablony </w:t>
      </w:r>
      <w:r w:rsidR="00CC4769">
        <w:rPr>
          <w:rFonts w:ascii="Times New Roman" w:hAnsi="Times New Roman"/>
          <w:bCs/>
          <w:sz w:val="24"/>
        </w:rPr>
        <w:t xml:space="preserve">EU </w:t>
      </w:r>
      <w:r>
        <w:rPr>
          <w:rFonts w:ascii="Times New Roman" w:hAnsi="Times New Roman"/>
          <w:bCs/>
          <w:sz w:val="24"/>
        </w:rPr>
        <w:t>PV1, kterou uvádí příloha V tohoto prováděcího nařízení</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Odkazy na právní předpisy a pokyny</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Řádky 1 až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úrovni kategorie</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Dodatečné úpravy ocenění (AVA) na úrovni kategorie pro nejistotu tržních cen, náklady na uzavření pozice, rizika modelů, koncentrované pozice, budoucí administrativní náklady, předčasné ukončení a operační riziko se určí podle článků 9 až 11, resp. 14 až 17 nařízení Komise v přenesené pravomoci (EU) 2016/101.</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lastRenderedPageBreak/>
              <w:t>U kategorií nejistoty tržních cen, nákladů na uzavření pozice a rizik modelů, u nichž se uplatní výhoda diverzifikace podle čl. 9 odst. 6, čl. 10 odst. 7, resp. čl. 11 odst. 7 nařízení Komise v přenesené pravomoci (EU) 2016/101 se AVA na úrovni kategorie uvedou ve sloupcích a) až EU-e2 této šablony jako běžný součet jednotlivých AVA před výhodou diverzifikace. Výhody diverzifikace podle čl. 9 odst. 6, čl. 10 odst. 7 a čl. 11 odst. 7 nařízení Komise v přenesené pravomoci (EU) 2016/101 se uvádějí ve sloupci f) této šablony.</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Nejistota tržních cen</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Dodatečné úpravy ocenění zohledňující nejistotu tržních cen se vypočítají v souladu s článkem 9 nařízení Komise v přenesené pravomoci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Nepoužije se</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Dodatečné úpravy ocenění zohledňující náklady na uzavření pozice se vypočítají v souladu s článkem 10 nařízení Komise v přenesené pravomoci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Koncentrované pozice</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11 CRR</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Dodatečné úpravy ocenění zohledňující koncentrované pozice se vypočítají v souladu s článkem 14 nařízení Komise v přenesené pravomoci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Předčasné ukončení</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Dodatečné úpravy ocenění zohledňující předčasné ukončení se vypočítají v souladu s článkem 16 nařízení Komise v přenesené pravomoci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Modelové riziko</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Dodatečné úpravy ocenění zohledňující riziko modelů se vypočítají v souladu s článkem 11 nařízení Komise v přenesené pravomoci (EU) 2016/101.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Operační riziko</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lastRenderedPageBreak/>
              <w:t>Dodatečné úpravy ocenění zohledňující operační riziko se vypočítají v souladu s článkem 17 nařízení Komise v přenesené pravomoci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Nepoužije se</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Nepoužije se</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 105 odst. 10 CRR</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Dodatečné úpravy ocenění zohledňující budoucí administrativní náklady se vypočítají v souladu s článkem 15 nařízení Komise v přenesené pravomoci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Nepoužije se</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Dodatečné úpravy ocenění celkem</w:t>
            </w:r>
          </w:p>
          <w:p w14:paraId="4F2DD722" w14:textId="24B4B5BE"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 xml:space="preserve">Celková hodnota </w:t>
            </w:r>
            <w:r>
              <w:rPr>
                <w:rFonts w:ascii="Times New Roman" w:hAnsi="Times New Roman"/>
                <w:color w:val="auto"/>
              </w:rPr>
              <w:t xml:space="preserve">AVA, která má být odečtena od kapitálu podle článků 34 a 105 CRR, se uvede v řádku 12 sloupci f) této šablony. Tato hodnota je v souladu s hodnotou v řádku 7 šablony </w:t>
            </w:r>
            <w:r w:rsidR="00CC4769">
              <w:rPr>
                <w:rFonts w:ascii="Times New Roman" w:hAnsi="Times New Roman"/>
                <w:color w:val="auto"/>
              </w:rPr>
              <w:t xml:space="preserve">EU </w:t>
            </w:r>
            <w:r>
              <w:rPr>
                <w:rFonts w:ascii="Times New Roman" w:hAnsi="Times New Roman"/>
                <w:color w:val="auto"/>
              </w:rPr>
              <w:t xml:space="preserve">CC1 a také s hodnotou v řádku 5 sloupci a) šablony </w:t>
            </w:r>
            <w:r w:rsidR="00CC4769">
              <w:rPr>
                <w:rFonts w:ascii="Times New Roman" w:hAnsi="Times New Roman"/>
                <w:color w:val="auto"/>
              </w:rPr>
              <w:t xml:space="preserve">EU </w:t>
            </w:r>
            <w:r>
              <w:rPr>
                <w:rFonts w:ascii="Times New Roman" w:hAnsi="Times New Roman"/>
                <w:color w:val="auto"/>
              </w:rPr>
              <w:t xml:space="preserve">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U portfolií, u nichž se uplatňuje základní postup stanovený v kapitole III nařízení Komise v přenesené pravomoci (EU) 2016/101 o obezřetném oceňování, je celkovou hodnotou AVA součet hodnot v řádcích 1 až 10 této šablony a hodnot vypočtených podle čl. 7 odst. 2 písm. b) bodů i) až </w:t>
            </w:r>
            <w:proofErr w:type="spellStart"/>
            <w:r>
              <w:rPr>
                <w:rFonts w:ascii="Times New Roman" w:hAnsi="Times New Roman"/>
                <w:color w:val="auto"/>
              </w:rPr>
              <w:t>iii</w:t>
            </w:r>
            <w:proofErr w:type="spellEnd"/>
            <w:r>
              <w:rPr>
                <w:rFonts w:ascii="Times New Roman" w:hAnsi="Times New Roman"/>
                <w:color w:val="auto"/>
              </w:rPr>
              <w:t xml:space="preserve">) nařízení Komise v přenesené pravomoci (EU) 2016/101 u portfolií, u nichž se použije záložní postup, pokud taková existují.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U portfolií, u nichž se uplatňuje zjednodušený postup stanovený v kapitole II nařízení Komise v přenesené pravomoci (EU) 2016/101 o obezřetném oceňování, je celkovou hodnotou AVA uvedenou ve sloupci f) této šablony hodnota vypočtená v souladu s článkem 5 této kapitoly.</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Vysvětlení</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proofErr w:type="gramStart"/>
            <w:r>
              <w:rPr>
                <w:rFonts w:ascii="Times New Roman" w:hAnsi="Times New Roman"/>
                <w:sz w:val="24"/>
              </w:rPr>
              <w:t>a–e</w:t>
            </w:r>
            <w:proofErr w:type="gramEnd"/>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Členění podle KATEGORIÍ RIZIK</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Instituce přiřadí svá aktiva a závazky oceňované reálnou hodnotou zahrnuté do výpočtu prahové hodnoty podle čl. 4 odst. 1 nařízení Komise v přenesené pravomoci (EU) 2016/101 (obchodní a investiční portfolio) podle následujících kategorií rizik: úrokové riziko, měnové riziko, úvěrové riziko, akciové riziko, komoditní riziko.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Členění v těchto sloupcích neobsahuje dodatečné úpravy ocenění vypočtené v souladu s články 12 a 13 nařízení Komise v přenesené pravomoci (EU) 2016/101, které se uvádějí ve sloupcích EU-e1 a EU-e2 této šablony.</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na úrovni kategorie – nejistota ocenění: AVA zohledňující nepodchycená úvěrová rozpětí</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lastRenderedPageBreak/>
              <w:t xml:space="preserve">Čl. 105 odst. 10 CRR, článek 12 nařízení Komise v přenesené pravomoci (EU)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Celková hodnota AVA zohledňující nepodchycená úvěrová rozpětí a její rozdělení mezi </w:t>
            </w:r>
            <w:proofErr w:type="gramStart"/>
            <w:r>
              <w:rPr>
                <w:rFonts w:ascii="Times New Roman" w:hAnsi="Times New Roman"/>
                <w:sz w:val="24"/>
              </w:rPr>
              <w:t>AVA</w:t>
            </w:r>
            <w:proofErr w:type="gramEnd"/>
            <w:r>
              <w:rPr>
                <w:rFonts w:ascii="Times New Roman" w:hAnsi="Times New Roman"/>
                <w:sz w:val="24"/>
              </w:rPr>
              <w:t xml:space="preserve"> zohledňující nejistotu tržních cen, náklady na uzavření pozice nebo riziko modelů se určí v souladu s článkem 12 nařízení Komise v přenesené pravomoci (EU) 2016/101.</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na úrovni kategorie – AVA zohledňující investiční náklady a náklady na financování</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Čl. 105 odst. 10 CRR, článek 13 nařízení Komise v přenesené pravomoci (EU)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Celková hodnota AVA zohledňující investiční náklady a náklady na financování a její rozdělení mezi </w:t>
            </w:r>
            <w:proofErr w:type="gramStart"/>
            <w:r>
              <w:rPr>
                <w:rFonts w:ascii="Times New Roman" w:hAnsi="Times New Roman"/>
                <w:sz w:val="24"/>
              </w:rPr>
              <w:t>AVA</w:t>
            </w:r>
            <w:proofErr w:type="gramEnd"/>
            <w:r>
              <w:rPr>
                <w:rFonts w:ascii="Times New Roman" w:hAnsi="Times New Roman"/>
                <w:sz w:val="24"/>
              </w:rPr>
              <w:t xml:space="preserve"> zohledňující nejistotu tržních cen, náklady na uzavření pozice nebo riziko modelů se určí v souladu s článkem 13 nařízení Komise v přenesené pravomoci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Celkem na úrovni kategorie po diverzifikaci</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U portfolií, u nichž se uplatňuje základní postup stanovený v kapitole III nařízení Komise v přenesené pravomoci (EU) 2016/101 zahrnuje celková hodnota na úrovni kategorie po diverzifikaci celkové hodnoty AVA vypočtené v souladu se základním postupem pro aktiva a závazky oceňované reálnou hodnotou zahrnuté do výpočtu prahové hodnoty podle čl. 4 odst. 1 nařízení v přenesené pravomoci (EU) 2016/101. Zahrnuty jsou výhody diverzifikace vymezené v souladu s čl. 9 odst. 6, čl. 10 odst. 7 a čl. 11 odst. 7 nařízení Komise v přenesené pravomoci (EU) 2016/101.</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Celková hodnota AVA v řádku 12 sloupci f) této šablony u případných portfolií, u nichž se použije záložní postup, zahrnuje hodnoty vypočtené podle čl. 7 odst. 2 písm. b) bodů i) až </w:t>
            </w:r>
            <w:proofErr w:type="spellStart"/>
            <w:r>
              <w:rPr>
                <w:rFonts w:ascii="Times New Roman" w:hAnsi="Times New Roman"/>
                <w:sz w:val="24"/>
              </w:rPr>
              <w:t>iii</w:t>
            </w:r>
            <w:proofErr w:type="spellEnd"/>
            <w:r>
              <w:rPr>
                <w:rFonts w:ascii="Times New Roman" w:hAnsi="Times New Roman"/>
                <w:sz w:val="24"/>
              </w:rPr>
              <w:t>) nařízení Komise v přenesené pravomoci (EU) 2016/101.</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U portfolií, u nichž se uplatňuje zjednodušený postup stanovený v kapitole II nařízení Komise v přenesené pravomoci (EU) 2016/101 o obezřetném oceňování, je celkovou hodnotou AVA uvedenou v řádku 12 této šablony hodnota vypočtená v souladu s článkem 5 této kapitoly.</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Z toho: základní postup celkem v obchodním portfoliu</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Pro každou příslušnou kategorii AVA, u portfolií, u nichž se použije základní postup stanovený v kapitole III nařízení Komise v přenesené pravomoci (EU) 2016/101, podíl AVA plynoucích z pozic držených v „obchodním portfoliu“: veškeré pozice ve finančních nástrojích a komoditách, jež instituce drží se záměrem obchodovat nebo s cílem zajistit pozice držené se záměrem obchodovat v souladu s článkem 104 CRR.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Zpřístupněná hodnota zahrnuje výhody diverzifikace vymezené podle čl. 9 odst. 6, čl. 10 odst. 7 a čl. 11 odst. 7 nařízení Komise v přenesené pravomoci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Z toho: základní postup celkem v neobchodním portfoliu</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Pro každou příslušnou kategorii AVA, u portfolií, u nichž se použije základní postup stanovený v kapitole III nařízení Komise v přenesené pravomoci (EU) 2016/101, podíl AVA plynoucích z pozic oceňovaných reálnou hodnotou ve finančních nástrojích a komoditách, které nejsou drženy v obchodním portfoliu.</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Vykázaná hodnota zahrnuje výhody diverzifikace určené podle čl. 9 odst. 6, čl. 10 odst. 7 a čl. 11 odst. 7 nařízení Komise v přenesené pravomoci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PŘÍLOHA VIII – Pokyny k šablonám pro zpřístupňování informací o kapitálu</w:t>
      </w:r>
    </w:p>
    <w:p w14:paraId="451B2A96" w14:textId="77777777" w:rsidR="00CE019E" w:rsidRPr="007F4CC8" w:rsidRDefault="00CE019E" w:rsidP="00CE019E">
      <w:pPr>
        <w:rPr>
          <w:rFonts w:ascii="Times New Roman" w:hAnsi="Times New Roman" w:cs="Times New Roman"/>
          <w:sz w:val="24"/>
        </w:rPr>
      </w:pPr>
    </w:p>
    <w:p w14:paraId="3E3D9D60" w14:textId="4AA5C577" w:rsidR="00CE019E" w:rsidRPr="007F4CC8" w:rsidRDefault="00CE019E" w:rsidP="00CE019E">
      <w:pPr>
        <w:rPr>
          <w:rFonts w:ascii="Times New Roman" w:hAnsi="Times New Roman" w:cs="Times New Roman"/>
          <w:b/>
          <w:bCs/>
          <w:sz w:val="24"/>
        </w:rPr>
      </w:pPr>
      <w:r>
        <w:rPr>
          <w:rFonts w:ascii="Times New Roman" w:hAnsi="Times New Roman"/>
          <w:b/>
          <w:bCs/>
          <w:sz w:val="24"/>
        </w:rPr>
        <w:t xml:space="preserve">Šablona </w:t>
      </w:r>
      <w:r w:rsidR="00CC4769">
        <w:rPr>
          <w:rFonts w:ascii="Times New Roman" w:hAnsi="Times New Roman"/>
          <w:b/>
          <w:bCs/>
          <w:sz w:val="24"/>
        </w:rPr>
        <w:t xml:space="preserve">EU </w:t>
      </w:r>
      <w:r>
        <w:rPr>
          <w:rFonts w:ascii="Times New Roman" w:hAnsi="Times New Roman"/>
          <w:b/>
          <w:bCs/>
          <w:sz w:val="24"/>
        </w:rPr>
        <w:t>CC1 – Složení regulatorního kapitálu</w:t>
      </w:r>
    </w:p>
    <w:p w14:paraId="5CCB4065" w14:textId="77777777" w:rsidR="00CE019E" w:rsidRPr="007F4CC8" w:rsidRDefault="00CE019E" w:rsidP="00CE019E">
      <w:pPr>
        <w:rPr>
          <w:rFonts w:ascii="Times New Roman" w:hAnsi="Times New Roman" w:cs="Times New Roman"/>
          <w:sz w:val="24"/>
        </w:rPr>
      </w:pPr>
    </w:p>
    <w:p w14:paraId="7C723855" w14:textId="7D446E0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Informace</w:t>
      </w:r>
      <w:r>
        <w:rPr>
          <w:rFonts w:ascii="Times New Roman" w:hAnsi="Times New Roman"/>
          <w:sz w:val="24"/>
        </w:rPr>
        <w:t xml:space="preserve"> uvedené </w:t>
      </w:r>
      <w:r>
        <w:rPr>
          <w:rFonts w:ascii="Times New Roman" w:hAnsi="Times New Roman"/>
          <w:bCs/>
          <w:sz w:val="24"/>
        </w:rPr>
        <w:t>v čl. 437 písm. a), d), e) a f)</w:t>
      </w:r>
      <w:r>
        <w:rPr>
          <w:rFonts w:ascii="Times New Roman" w:hAnsi="Times New Roman"/>
          <w:sz w:val="24"/>
        </w:rPr>
        <w:t xml:space="preserve"> </w:t>
      </w:r>
      <w:r>
        <w:rPr>
          <w:rFonts w:ascii="Times New Roman" w:hAnsi="Times New Roman"/>
          <w:color w:val="000000"/>
          <w:sz w:val="24"/>
        </w:rPr>
        <w:t>nařízení (EU) č. 575/2013</w:t>
      </w:r>
      <w:r w:rsidRPr="007F4CC8">
        <w:rPr>
          <w:rStyle w:val="FootnoteReference"/>
          <w:rFonts w:cs="Times New Roman"/>
          <w:color w:val="000000"/>
        </w:rPr>
        <w:footnoteReference w:id="14"/>
      </w:r>
      <w:r>
        <w:rPr>
          <w:rFonts w:ascii="Times New Roman" w:hAnsi="Times New Roman"/>
          <w:sz w:val="24"/>
        </w:rPr>
        <w:t xml:space="preserve"> </w:t>
      </w:r>
      <w:r>
        <w:rPr>
          <w:rFonts w:ascii="Times New Roman" w:hAnsi="Times New Roman"/>
          <w:color w:val="000000"/>
          <w:sz w:val="24"/>
        </w:rPr>
        <w:t>(dále jen „CRR“)</w:t>
      </w:r>
      <w:r>
        <w:rPr>
          <w:rFonts w:ascii="Times New Roman" w:hAnsi="Times New Roman"/>
          <w:sz w:val="24"/>
        </w:rPr>
        <w:t xml:space="preserve"> </w:t>
      </w:r>
      <w:r>
        <w:rPr>
          <w:rFonts w:ascii="Times New Roman" w:hAnsi="Times New Roman"/>
          <w:bCs/>
          <w:sz w:val="24"/>
        </w:rPr>
        <w:t xml:space="preserve">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CC1, obsažené v příloze VII tohoto prováděcího nařízení.</w:t>
      </w:r>
    </w:p>
    <w:p w14:paraId="44E80652" w14:textId="75703A2D"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Pro účely šablony </w:t>
      </w:r>
      <w:r w:rsidR="00CC4769">
        <w:rPr>
          <w:rFonts w:ascii="Times New Roman" w:hAnsi="Times New Roman"/>
          <w:bCs/>
          <w:sz w:val="24"/>
        </w:rPr>
        <w:t xml:space="preserve">EU </w:t>
      </w:r>
      <w:r>
        <w:rPr>
          <w:rFonts w:ascii="Times New Roman" w:hAnsi="Times New Roman"/>
          <w:bCs/>
          <w:sz w:val="24"/>
        </w:rPr>
        <w:t>CC1 normativní úpravy zahrnují odpočty od kapitálu a obezřetnostní filtry.</w:t>
      </w:r>
    </w:p>
    <w:p w14:paraId="144751EE" w14:textId="63768CDC"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Instituce musí vyplnit sloupec b) této šablony, aby uvedly zdroj každého významného vstupu, a to s křížovými odkazy na odpovídající řádky v šabloně </w:t>
      </w:r>
      <w:r w:rsidR="00CC4769">
        <w:rPr>
          <w:rFonts w:ascii="Times New Roman" w:hAnsi="Times New Roman"/>
          <w:bCs/>
          <w:sz w:val="24"/>
        </w:rPr>
        <w:t xml:space="preserve">EU </w:t>
      </w:r>
      <w:r>
        <w:rPr>
          <w:rFonts w:ascii="Times New Roman" w:hAnsi="Times New Roman"/>
          <w:bCs/>
          <w:sz w:val="24"/>
        </w:rPr>
        <w:t>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 xml:space="preserve">V komentáři připojeném k šabloně instituce popíší všechna omezení uplatněná na výpočet kapitálu v souladu s CRR a nástroje, obezřetnostní filtry a odpočty, na které se tato omezení vztahují. Provádí-li se výpočet kapitálových poměrů pomocí složek kapitálu určených na jiném základě, než který je </w:t>
      </w:r>
      <w:proofErr w:type="gramStart"/>
      <w:r>
        <w:rPr>
          <w:rFonts w:ascii="Times New Roman" w:hAnsi="Times New Roman"/>
          <w:bCs/>
          <w:sz w:val="24"/>
        </w:rPr>
        <w:t>stanoven v CRR</w:t>
      </w:r>
      <w:proofErr w:type="gramEnd"/>
      <w:r>
        <w:rPr>
          <w:rFonts w:ascii="Times New Roman" w:hAnsi="Times New Roman"/>
          <w:bCs/>
          <w:sz w:val="24"/>
        </w:rPr>
        <w:t>, uvedou rovněž komplexní objasnění základu použitého pro výpočet těchto poměrů kapitálu.</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Odkazy na právní předpisy a pokyny</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Řádek</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Vysvětlení</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 v souladu s čl. 26 odst. 1 písm. a) a b) a články 27, 28 a 29 CRR a seznamem orgánu EBA podle čl. 26 odst. 3 CRR, a dále jejich členění podle typu nástroje.</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Nerozdělený zisk</w:t>
            </w:r>
          </w:p>
          <w:p w14:paraId="5044CDE7" w14:textId="68FE912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Nerozdělený zisk před veškerými normativními úpravami podle čl. 26 odst. 1 písm. c) CRR (před zahrnutím mezitímního čistého zisku nebo ztrát)</w:t>
            </w:r>
            <w:r w:rsidR="004A2CE8">
              <w:rPr>
                <w:rFonts w:ascii="Times New Roman" w:hAnsi="Times New Roman"/>
                <w:sz w:val="24"/>
              </w:rPr>
              <w:t>.</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Kumulovaný ostatní úplný výsledek hospodaření (a jiné rezervy)</w:t>
            </w:r>
          </w:p>
          <w:p w14:paraId="082776BB" w14:textId="298888E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Kumulovaný ostatní úplný výsledek hospodaření a jiné rezervy podle čl. 26 odst. 1 písm. d) a e) CRR</w:t>
            </w:r>
            <w:r w:rsidR="004A2CE8">
              <w:rPr>
                <w:rFonts w:ascii="Times New Roman" w:hAnsi="Times New Roman"/>
                <w:sz w:val="24"/>
              </w:rPr>
              <w:t>.</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Rezervní fondy na všeobecná bankovní rizika</w:t>
            </w:r>
          </w:p>
          <w:p w14:paraId="490A1246" w14:textId="7922B5D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Prostředky na všeobecná bankovní rizika podle čl. 26 odst. 1 písm. f) CRR</w:t>
            </w:r>
            <w:r w:rsidR="004A2CE8">
              <w:rPr>
                <w:rFonts w:ascii="Times New Roman" w:hAnsi="Times New Roman"/>
                <w:sz w:val="24"/>
              </w:rPr>
              <w:t>.</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6BAAB332" w14:textId="704140E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484 odst. 3 CRR a souvisejícího emisního ážia podléhající postupnému odstranění z kmenového kapitálu </w:t>
            </w:r>
            <w:proofErr w:type="spellStart"/>
            <w:r>
              <w:rPr>
                <w:rFonts w:ascii="Times New Roman" w:hAnsi="Times New Roman"/>
                <w:sz w:val="24"/>
              </w:rPr>
              <w:t>tier</w:t>
            </w:r>
            <w:proofErr w:type="spellEnd"/>
            <w:r>
              <w:rPr>
                <w:rFonts w:ascii="Times New Roman" w:hAnsi="Times New Roman"/>
                <w:sz w:val="24"/>
              </w:rPr>
              <w:t xml:space="preserve"> 1</w:t>
            </w:r>
            <w:r w:rsidR="004A2CE8">
              <w:rPr>
                <w:rFonts w:ascii="Times New Roman" w:hAnsi="Times New Roman"/>
                <w:sz w:val="24"/>
              </w:rPr>
              <w:t>.</w:t>
            </w:r>
          </w:p>
          <w:p w14:paraId="0EA9884B" w14:textId="119AFC3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484 odst. 3 CRR a souvisejícího emisního ážia podléhající postupnému odstranění z kmenového kapitálu </w:t>
            </w:r>
            <w:proofErr w:type="spellStart"/>
            <w:r>
              <w:rPr>
                <w:rFonts w:ascii="Times New Roman" w:hAnsi="Times New Roman"/>
                <w:sz w:val="24"/>
              </w:rPr>
              <w:t>tier</w:t>
            </w:r>
            <w:proofErr w:type="spellEnd"/>
            <w:r>
              <w:rPr>
                <w:rFonts w:ascii="Times New Roman" w:hAnsi="Times New Roman"/>
                <w:sz w:val="24"/>
              </w:rPr>
              <w:t xml:space="preserve"> 1, jak je popsáno v čl. 486 odst. 2 CRR</w:t>
            </w:r>
            <w:r w:rsidR="004A2CE8">
              <w:rPr>
                <w:rFonts w:ascii="Times New Roman" w:hAnsi="Times New Roman"/>
                <w:sz w:val="24"/>
              </w:rPr>
              <w:t>.</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Menšinový podíl (hodnota přípustná v konsolidovaném kmenovém kapitálu </w:t>
            </w:r>
            <w:proofErr w:type="spellStart"/>
            <w:r>
              <w:rPr>
                <w:rFonts w:ascii="Times New Roman" w:hAnsi="Times New Roman"/>
                <w:sz w:val="24"/>
              </w:rPr>
              <w:t>tier</w:t>
            </w:r>
            <w:proofErr w:type="spellEnd"/>
            <w:r>
              <w:rPr>
                <w:rFonts w:ascii="Times New Roman" w:hAnsi="Times New Roman"/>
                <w:sz w:val="24"/>
              </w:rPr>
              <w:t xml:space="preserve"> 1)</w:t>
            </w:r>
          </w:p>
          <w:p w14:paraId="013C723E" w14:textId="580C1AA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Menšinové podíly (hodnota přípustná v konsolidovaném kmenovém kapitálu </w:t>
            </w:r>
            <w:proofErr w:type="spellStart"/>
            <w:r>
              <w:rPr>
                <w:rFonts w:ascii="Times New Roman" w:hAnsi="Times New Roman"/>
                <w:sz w:val="24"/>
              </w:rPr>
              <w:t>tier</w:t>
            </w:r>
            <w:proofErr w:type="spellEnd"/>
            <w:r>
              <w:rPr>
                <w:rFonts w:ascii="Times New Roman" w:hAnsi="Times New Roman"/>
                <w:sz w:val="24"/>
              </w:rPr>
              <w:t xml:space="preserve"> 1) podle článku 84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Nezávisle ověřený mezitímní zisk snížený o předvídatelné výplaty nebo dividendy</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Nezávisle ověřený mezitímní zisk snížený o předvídatelné výplaty nebo dividendy podle čl. 26 odst. 2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Kmenový kapitál </w:t>
            </w:r>
            <w:proofErr w:type="spellStart"/>
            <w:r>
              <w:rPr>
                <w:rFonts w:ascii="Times New Roman" w:hAnsi="Times New Roman"/>
                <w:sz w:val="24"/>
              </w:rPr>
              <w:t>tier</w:t>
            </w:r>
            <w:proofErr w:type="spellEnd"/>
            <w:r>
              <w:rPr>
                <w:rFonts w:ascii="Times New Roman" w:hAnsi="Times New Roman"/>
                <w:sz w:val="24"/>
              </w:rPr>
              <w:t xml:space="preserve"> 1 před normativními úpravami</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Součet hodnot v řádcích 1 až EU-5a této šablony</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Dodatečné úpravy ocenění (záporná hodnota)</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Dodatečné úpravy ocenění podle článků 34 a 105 CRR (záporná hodnota)</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Nehmotná aktiva (snížená o související daňové závazky) (záporná hodnota)</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Nehmotná aktiva (snížená o související daňové závazky) podle čl. 36 odst. 1 písm. b) a článku 37 CRR (záporná hodnota)</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2948FDF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Odložené daňové pohledávky závislé na budoucím zisku kromě pohledávek vyplývajících z přechodných rozdílů (snížené o související daňové závazky, pokud jsou splněny podmínky čl. 38 odst. 3 CRR) (záporná hodnota)</w:t>
            </w:r>
            <w:r w:rsidR="004A2CE8">
              <w:rPr>
                <w:rFonts w:ascii="Times New Roman" w:hAnsi="Times New Roman"/>
                <w:sz w:val="24"/>
              </w:rPr>
              <w:t>.</w:t>
            </w:r>
          </w:p>
          <w:p w14:paraId="007F4022" w14:textId="46CB6CC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Odložené daňové pohledávky závislé na budoucím zisku kromě pohledávek vyplývajících z přechodných rozdílů (snížené o související daňové závazky, pokud jsou splněny podmínky čl. 38 odst. 3 CRR) podle čl. 36 odst. 1 písm. c) a článku 38 CRR (záporná hodnota)</w:t>
            </w:r>
            <w:r w:rsidR="004A2CE8">
              <w:rPr>
                <w:rFonts w:ascii="Times New Roman" w:hAnsi="Times New Roman"/>
                <w:sz w:val="24"/>
              </w:rPr>
              <w:t>.</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C543169" w14:textId="70A439B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Oceňovací rozdíly ze změn reálné hodnoty spojené se zisky nebo ztrátami ze zajištění peněžních toků z finančních nástrojů, které nejsou oceněny reálnou hodnotou</w:t>
            </w:r>
            <w:r w:rsidR="004A2CE8">
              <w:rPr>
                <w:rFonts w:ascii="Times New Roman" w:hAnsi="Times New Roman"/>
                <w:sz w:val="24"/>
              </w:rPr>
              <w:t>.</w:t>
            </w:r>
          </w:p>
          <w:p w14:paraId="74F88C74" w14:textId="3EB38E2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Oceňovací rozdíly ze změn reálné hodnoty spojené se zisky nebo ztrátami ze zajištění peněžních toků, které nejsou oceněny reálnou hodnotou, podle čl. 33 odst. 1 písm. a) CRR</w:t>
            </w:r>
            <w:r w:rsidR="004A2CE8">
              <w:rPr>
                <w:rFonts w:ascii="Times New Roman" w:hAnsi="Times New Roman"/>
                <w:sz w:val="24"/>
              </w:rPr>
              <w:t>.</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Záporné hodnoty vyplývající z výpočtu výše očekávaných ztrát</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Záporné hodnoty vyplývající z výpočtu výše očekávaných ztrát podle čl. 36 odst. 1 písm. d) a článku 40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Zvýšení vlastního kapitálu, které vyplývá ze sekuritizace aktiv (záporná hodnota)</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Zvýšení vlastního kapitálu, které vyplývá ze sekuritizace aktiv podle čl. 32 odst. 1 CRR (záporná hodnota)</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Zisky nebo ztráty ze závazků oceněných reálnou hodnotou, které vyplývají ze změn vlastního úvěrového hodnocení</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Zisky nebo ztráty ze závazků oceněných reálnou hodnotou, které vyplývají ze změn vlastního úvěrového hodnocení, podle čl. 33 odst. 1 písm. b)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Aktiva penzijního fondu definovaných požitků (záporná hodnota)</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Aktiva penzijního fondu definovaných požitků podle čl. 36 odst. 1 písm. e) a článku 41 CRR (záporná hodnota)</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(záporná hodnota)</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jak je popsáno v čl. 36 odst. 1 písm. f) a článku 42 CRR (záporná hodnota)</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pokud tyto subjekty mají s institucí vztah vzájemné účasti, jehož účelem je uměle zvýšit kapitál instituce (záporná hodnota)</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pokud tyto subjekty mají s institucí vztah vzájemné účasti, jehož účelem je uměle zvýšit kapitál instituce, jak je popsáno v čl. 36 odst. 1 písm. g) a článku 44 CRR (záporná hodnota)</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nemá významnou investici (objem vyšší než 10% prahová hodnota po odečtení způsobilých krátkých pozic) (záporná hodnota)</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nemá významnou investici (objem vyšší než 10% prahová hodnota po odečtení způsobilých krátkých pozic), jak je popsáno v čl. 36 odst. 1 písm. h), článcích 43, 45 a 46, čl. 49 odst. 2 a 3 a článku 79 CRR (záporná hodnota)</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má významnou investici (objem vyšší než 10% prahová hodnota po odečtení způsobilých krátkých pozic) (záporná hodnota)</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má instituce významnou investici (objem vyšší než 10% prahová hodnota po odečtení způsobilých krátkých pozic), jak je popsáno v čl. 36 odst. 1 písm. i), článcích 43, 45 a 47, čl. 48 odst. 1 písm. b) a čl. 49 odst. 1 až 3 CRR (záporná hodnota)</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Objem expozice u následujících položek, kterým se má přiřadit riziková váha 1 250 %, pokud se instituce rozhodne pro odpočet jako alternativní postup</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Objem expozice u položek, kterým se má přiřadit riziková váha 1 250 %, pokud se instituce rozhodne pro odpočet jako alternativní postup, jak je popsáno v čl. 36 odst. 1 písm. k)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kvalifikované účasti mimo finanční sektor (záporná hodnota)</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hodnoty v řádku EU-20a hodnota týkající se kvalifikovaných účastí mimo finanční sektor podle čl. 36 odst. 1 písm. k) bodu i) a článků 89 až 91 CRR (záporná hodnota)</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toho: </w:t>
            </w:r>
            <w:proofErr w:type="spellStart"/>
            <w:r>
              <w:rPr>
                <w:rFonts w:ascii="Times New Roman" w:hAnsi="Times New Roman"/>
                <w:sz w:val="24"/>
              </w:rPr>
              <w:t>sekuritizované</w:t>
            </w:r>
            <w:proofErr w:type="spellEnd"/>
            <w:r>
              <w:rPr>
                <w:rFonts w:ascii="Times New Roman" w:hAnsi="Times New Roman"/>
                <w:sz w:val="24"/>
              </w:rPr>
              <w:t xml:space="preserve"> pozice (záporná hodnota)</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hodnoty v řádku EU-20a hodnota týkající se sekuritizovaných pozic podle čl. 36 odst. 1 písm. k) bodu </w:t>
            </w:r>
            <w:proofErr w:type="spellStart"/>
            <w:r>
              <w:rPr>
                <w:rFonts w:ascii="Times New Roman" w:hAnsi="Times New Roman"/>
                <w:sz w:val="24"/>
              </w:rPr>
              <w:t>ii</w:t>
            </w:r>
            <w:proofErr w:type="spellEnd"/>
            <w:r>
              <w:rPr>
                <w:rFonts w:ascii="Times New Roman" w:hAnsi="Times New Roman"/>
                <w:sz w:val="24"/>
              </w:rPr>
              <w:t>), čl. 243 odst. 1 písm. b), čl. 244 odst. 1 písm. b) a článku 258 CRR (záporná hodnota)</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volné dodávky (záporná hodnota)</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hodnoty v řádku EU-20a této šablony, hodnota týkající se volných dodávek podle čl. 36 odst. 1 písm. k) bodu </w:t>
            </w:r>
            <w:proofErr w:type="spellStart"/>
            <w:r>
              <w:rPr>
                <w:rFonts w:ascii="Times New Roman" w:hAnsi="Times New Roman"/>
                <w:sz w:val="24"/>
              </w:rPr>
              <w:t>iii</w:t>
            </w:r>
            <w:proofErr w:type="spellEnd"/>
            <w:r>
              <w:rPr>
                <w:rFonts w:ascii="Times New Roman" w:hAnsi="Times New Roman"/>
                <w:sz w:val="24"/>
              </w:rPr>
              <w:t>) a čl. 379 odst. 3 CRR (záporná hodnota)</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Odložené daňové pohledávky vyplývající z přechodných rozdílů (objem vyšší než 10% prahová hodnota, snížený o související daňové závazky, </w:t>
            </w:r>
            <w:r>
              <w:rPr>
                <w:rFonts w:ascii="Times New Roman" w:hAnsi="Times New Roman"/>
                <w:sz w:val="24"/>
              </w:rPr>
              <w:lastRenderedPageBreak/>
              <w:t>jsou-li splněny podmínky stanovené v čl. 38 odst. 3 CRR) (záporná hodnota)</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Odložené daňové pohledávky vyplývající z přechodných rozdílů (objem vyšší než 10% prahová hodnota, snížený o související daňové závazky, jsou-li splněny podmínky stanovené v čl. 38 odst. 3), jak je popsáno v čl. 36 odst. 1 písm. c), článku 38 a čl. 48 odst. 1 písm. a) CRR (záporná hodnota)</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Objem přesahující 17,65% prahovou hodnotu (záporná hodnota)</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Objem přesahující 17,65% prahovou hodnotu podle čl. 48 odst. 1 CRR (záporná hodnota)</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toho: přímé, nepřímé a syntetické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má významnou investici</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hodnoty v řádku 22 této šablony hodnota přímých, nepřímých a syntetických kapitálových investic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má instituce významnou investici, jak je popsáno v čl. 36 odst. 1 písm. i) a čl. 48 odst. 1 písm. b)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odložené daňové pohledávky vyplývající z přechodných rozdílů</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hodnoty v řádku 22 této šablony hodnota odložených daňových pohledávek vyplývajících z přechodných rozdílů, jak je popsáno v čl. 36 odst. 1 písm. c), článku 38 a čl. 48 odst. 1 písm. a)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Ztráty běžného účetního roku (záporná hodnota)</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Ztráty za účetní rok podle čl. 36 odst. 1 písm. a) CRR (záporná hodnota)</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Předvídatelné daňové platby týkající se položek kmenového kapitálu </w:t>
            </w:r>
            <w:proofErr w:type="spellStart"/>
            <w:r>
              <w:rPr>
                <w:rFonts w:ascii="Times New Roman" w:hAnsi="Times New Roman"/>
                <w:sz w:val="24"/>
              </w:rPr>
              <w:t>tier</w:t>
            </w:r>
            <w:proofErr w:type="spellEnd"/>
            <w:r>
              <w:rPr>
                <w:rFonts w:ascii="Times New Roman" w:hAnsi="Times New Roman"/>
                <w:sz w:val="24"/>
              </w:rPr>
              <w:t xml:space="preserve"> 1, s výjimkou případu, kdy instituce vhodně upraví hodnotu položek kmenového kapitálu </w:t>
            </w:r>
            <w:proofErr w:type="spellStart"/>
            <w:r>
              <w:rPr>
                <w:rFonts w:ascii="Times New Roman" w:hAnsi="Times New Roman"/>
                <w:sz w:val="24"/>
              </w:rPr>
              <w:t>tier</w:t>
            </w:r>
            <w:proofErr w:type="spellEnd"/>
            <w:r>
              <w:rPr>
                <w:rFonts w:ascii="Times New Roman" w:hAnsi="Times New Roman"/>
                <w:sz w:val="24"/>
              </w:rPr>
              <w:t xml:space="preserve"> 1, pokud tyto daňové platby snižují částku, do jejíž výše lze dané položky použít ke krytí rizik nebo ztrát (záporná hodnota)</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daňových plateb týkajících se položek kmenového kapitálu </w:t>
            </w:r>
            <w:proofErr w:type="spellStart"/>
            <w:r>
              <w:rPr>
                <w:rFonts w:ascii="Times New Roman" w:hAnsi="Times New Roman"/>
                <w:sz w:val="24"/>
              </w:rPr>
              <w:t>tier</w:t>
            </w:r>
            <w:proofErr w:type="spellEnd"/>
            <w:r>
              <w:rPr>
                <w:rFonts w:ascii="Times New Roman" w:hAnsi="Times New Roman"/>
                <w:sz w:val="24"/>
              </w:rPr>
              <w:t xml:space="preserve"> 1 předvídatelných v době výpočtu, s výjimkou případu, kdy instituce vhodně upraví hodnotu položek kmenového kapitálu </w:t>
            </w:r>
            <w:proofErr w:type="spellStart"/>
            <w:r>
              <w:rPr>
                <w:rFonts w:ascii="Times New Roman" w:hAnsi="Times New Roman"/>
                <w:sz w:val="24"/>
              </w:rPr>
              <w:t>tier</w:t>
            </w:r>
            <w:proofErr w:type="spellEnd"/>
            <w:r>
              <w:rPr>
                <w:rFonts w:ascii="Times New Roman" w:hAnsi="Times New Roman"/>
                <w:sz w:val="24"/>
              </w:rPr>
              <w:t xml:space="preserve"> 1, pokud tyto daňové platby snižují hodnotu, do jejíž výše lze dané položky použít ke krytí rizik nebo ztrát, podle čl. 36 odst. 1 písm. l) CRR (záporná hodnota)</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kvalifikovaných položek odečtených od položek vedlejšího kapitálu </w:t>
            </w:r>
            <w:proofErr w:type="spellStart"/>
            <w:r>
              <w:rPr>
                <w:rFonts w:ascii="Times New Roman" w:hAnsi="Times New Roman"/>
                <w:sz w:val="24"/>
              </w:rPr>
              <w:t>tier</w:t>
            </w:r>
            <w:proofErr w:type="spellEnd"/>
            <w:r>
              <w:rPr>
                <w:rFonts w:ascii="Times New Roman" w:hAnsi="Times New Roman"/>
                <w:sz w:val="24"/>
              </w:rPr>
              <w:t xml:space="preserve"> 1, která přesahuje hodnotu položek vedlejšího kapitálu </w:t>
            </w:r>
            <w:proofErr w:type="spellStart"/>
            <w:r>
              <w:rPr>
                <w:rFonts w:ascii="Times New Roman" w:hAnsi="Times New Roman"/>
                <w:sz w:val="24"/>
              </w:rPr>
              <w:t>tier</w:t>
            </w:r>
            <w:proofErr w:type="spellEnd"/>
            <w:r>
              <w:rPr>
                <w:rFonts w:ascii="Times New Roman" w:hAnsi="Times New Roman"/>
                <w:sz w:val="24"/>
              </w:rPr>
              <w:t xml:space="preserve"> 1 instituce (záporná hodnota)</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položek odečtených od položek vedlejšího kapitálu </w:t>
            </w:r>
            <w:proofErr w:type="spellStart"/>
            <w:r>
              <w:rPr>
                <w:rFonts w:ascii="Times New Roman" w:hAnsi="Times New Roman"/>
                <w:sz w:val="24"/>
              </w:rPr>
              <w:t>tier</w:t>
            </w:r>
            <w:proofErr w:type="spellEnd"/>
            <w:r>
              <w:rPr>
                <w:rFonts w:ascii="Times New Roman" w:hAnsi="Times New Roman"/>
                <w:sz w:val="24"/>
              </w:rPr>
              <w:t xml:space="preserve"> 1, která přesahuje vedlejší kapitál </w:t>
            </w:r>
            <w:proofErr w:type="spellStart"/>
            <w:r>
              <w:rPr>
                <w:rFonts w:ascii="Times New Roman" w:hAnsi="Times New Roman"/>
                <w:sz w:val="24"/>
              </w:rPr>
              <w:t>tier</w:t>
            </w:r>
            <w:proofErr w:type="spellEnd"/>
            <w:r>
              <w:rPr>
                <w:rFonts w:ascii="Times New Roman" w:hAnsi="Times New Roman"/>
                <w:sz w:val="24"/>
              </w:rPr>
              <w:t xml:space="preserve"> 1 instituce, jak je popsáno v čl. 36 odst. 1 písm. j) CRR (záporná hodnota)</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Ostatní normativní úpravy</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Instituce v tomto řádku uvedou veškeré příslušné normativní úpravy vykázané v rámci podávání zpráv pro účely dohledu a nezahrnuté v žádném jiném řádku této šablony, případně včetně hodnoty podle přechodných ustanovení IFRS 9, a to až do konce přechodného období.</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Normativní úpravy kmenového kapitálu </w:t>
            </w:r>
            <w:proofErr w:type="spellStart"/>
            <w:r>
              <w:rPr>
                <w:rFonts w:ascii="Times New Roman" w:hAnsi="Times New Roman"/>
                <w:sz w:val="24"/>
              </w:rPr>
              <w:t>tier</w:t>
            </w:r>
            <w:proofErr w:type="spellEnd"/>
            <w:r>
              <w:rPr>
                <w:rFonts w:ascii="Times New Roman" w:hAnsi="Times New Roman"/>
                <w:sz w:val="24"/>
              </w:rPr>
              <w:t xml:space="preserve"> 1 celkem</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Vypočítá se jako součet hodnot v řádcích 7 až EU-20a, 21, 22 a EU-25a až EU-27a této šablony</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Kmenový kapitál </w:t>
            </w:r>
            <w:proofErr w:type="spellStart"/>
            <w:r>
              <w:rPr>
                <w:rFonts w:ascii="Times New Roman" w:hAnsi="Times New Roman"/>
                <w:sz w:val="24"/>
              </w:rPr>
              <w:t>tier</w:t>
            </w:r>
            <w:proofErr w:type="spellEnd"/>
            <w:r>
              <w:rPr>
                <w:rFonts w:ascii="Times New Roman" w:hAnsi="Times New Roman"/>
                <w:sz w:val="24"/>
              </w:rPr>
              <w:t xml:space="preserve"> 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Vypočítá se jako řádek 6 minus řádek 28 této šablony</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 podle článků 51 a 52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podle použitelných účetních standardů považované za vlastní kapitál</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Hodnota v řádku 30 této šablony podle použitelných účetních standardů považovaná za vlastní kapitál</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podle použitelných účetních standardů považované za závazky</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Hodnota v řádku 30 této šablony podle použitelných účetních standardů považovaná za závazky</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484 odst. 4 CRR a souvisejícího emisního ážia podléhající postupnému odstranění z vedlejšího kapitálu </w:t>
            </w:r>
            <w:proofErr w:type="spellStart"/>
            <w:r>
              <w:rPr>
                <w:rFonts w:ascii="Times New Roman" w:hAnsi="Times New Roman"/>
                <w:sz w:val="24"/>
              </w:rPr>
              <w:t>tier</w:t>
            </w:r>
            <w:proofErr w:type="spellEnd"/>
            <w:r>
              <w:rPr>
                <w:rFonts w:ascii="Times New Roman" w:hAnsi="Times New Roman"/>
                <w:sz w:val="24"/>
              </w:rPr>
              <w:t xml:space="preserve"> 1</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484 odst. 4 CRR a souvisejícího emisního ážia podléhající postupnému odstranění z vedlejšího kapitálu </w:t>
            </w:r>
            <w:proofErr w:type="spellStart"/>
            <w:r>
              <w:rPr>
                <w:rFonts w:ascii="Times New Roman" w:hAnsi="Times New Roman"/>
                <w:sz w:val="24"/>
              </w:rPr>
              <w:t>tier</w:t>
            </w:r>
            <w:proofErr w:type="spellEnd"/>
            <w:r>
              <w:rPr>
                <w:rFonts w:ascii="Times New Roman" w:hAnsi="Times New Roman"/>
                <w:sz w:val="24"/>
              </w:rPr>
              <w:t xml:space="preserve"> 1, jak je popsáno v čl. 486 odst. 3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494a odst. 1 CRR podléhající postupnému odstranění z vedlejšího kapitálu </w:t>
            </w:r>
            <w:proofErr w:type="spellStart"/>
            <w:r>
              <w:rPr>
                <w:rFonts w:ascii="Times New Roman" w:hAnsi="Times New Roman"/>
                <w:sz w:val="24"/>
              </w:rPr>
              <w:t>tier</w:t>
            </w:r>
            <w:proofErr w:type="spellEnd"/>
            <w:r>
              <w:rPr>
                <w:rFonts w:ascii="Times New Roman" w:hAnsi="Times New Roman"/>
                <w:sz w:val="24"/>
              </w:rPr>
              <w:t xml:space="preserve"> 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494b odst. 1 CRR podléhající postupnému odstranění z vedlejšího kapitálu </w:t>
            </w:r>
            <w:proofErr w:type="spellStart"/>
            <w:r>
              <w:rPr>
                <w:rFonts w:ascii="Times New Roman" w:hAnsi="Times New Roman"/>
                <w:sz w:val="24"/>
              </w:rPr>
              <w:t>tier</w:t>
            </w:r>
            <w:proofErr w:type="spellEnd"/>
            <w:r>
              <w:rPr>
                <w:rFonts w:ascii="Times New Roman" w:hAnsi="Times New Roman"/>
                <w:sz w:val="24"/>
              </w:rPr>
              <w:t xml:space="preserve"> 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Kvalifikovaný kapitál </w:t>
            </w:r>
            <w:proofErr w:type="spellStart"/>
            <w:r>
              <w:rPr>
                <w:rFonts w:ascii="Times New Roman" w:hAnsi="Times New Roman"/>
                <w:sz w:val="24"/>
              </w:rPr>
              <w:t>tier</w:t>
            </w:r>
            <w:proofErr w:type="spellEnd"/>
            <w:r>
              <w:rPr>
                <w:rFonts w:ascii="Times New Roman" w:hAnsi="Times New Roman"/>
                <w:sz w:val="24"/>
              </w:rPr>
              <w:t xml:space="preserve"> 1 zahrnutý do konsolidovaného vedlejšího kapitálu </w:t>
            </w:r>
            <w:proofErr w:type="spellStart"/>
            <w:r>
              <w:rPr>
                <w:rFonts w:ascii="Times New Roman" w:hAnsi="Times New Roman"/>
                <w:sz w:val="24"/>
              </w:rPr>
              <w:t>tier</w:t>
            </w:r>
            <w:proofErr w:type="spellEnd"/>
            <w:r>
              <w:rPr>
                <w:rFonts w:ascii="Times New Roman" w:hAnsi="Times New Roman"/>
                <w:sz w:val="24"/>
              </w:rPr>
              <w:t xml:space="preserve"> 1 (včetně menšinových podílů nezahrnutých v řádku 5) vydaný dceřinými podniky a držený třetími stranami</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Kvalifikovaný kapitál </w:t>
            </w:r>
            <w:proofErr w:type="spellStart"/>
            <w:r>
              <w:rPr>
                <w:rFonts w:ascii="Times New Roman" w:hAnsi="Times New Roman"/>
                <w:sz w:val="24"/>
              </w:rPr>
              <w:t>tier</w:t>
            </w:r>
            <w:proofErr w:type="spellEnd"/>
            <w:r>
              <w:rPr>
                <w:rFonts w:ascii="Times New Roman" w:hAnsi="Times New Roman"/>
                <w:sz w:val="24"/>
              </w:rPr>
              <w:t xml:space="preserve"> 1 zahrnutý do konsolidovaného vedlejšího kapitálu </w:t>
            </w:r>
            <w:proofErr w:type="spellStart"/>
            <w:r>
              <w:rPr>
                <w:rFonts w:ascii="Times New Roman" w:hAnsi="Times New Roman"/>
                <w:sz w:val="24"/>
              </w:rPr>
              <w:t>tier</w:t>
            </w:r>
            <w:proofErr w:type="spellEnd"/>
            <w:r>
              <w:rPr>
                <w:rFonts w:ascii="Times New Roman" w:hAnsi="Times New Roman"/>
                <w:sz w:val="24"/>
              </w:rPr>
              <w:t xml:space="preserve"> 1 (včetně menšinových podílů nezahrnutých v řádku 5 této šablony) vydaný dceřinými podniky a držený třetími stranami, jak je popsáno v článcích 85 a 86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nástroje vydané dceřinými podniky podléhající postupnému odstranění</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Hodnota v řádku 34 této šablony, která se týká nástrojů vydaných dceřinými podniky podléhajících postupnému odstranění, jak je popsáno v čl. 486 odst. 3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Vedlejší kapitál </w:t>
            </w:r>
            <w:proofErr w:type="spellStart"/>
            <w:r>
              <w:rPr>
                <w:rFonts w:ascii="Times New Roman" w:hAnsi="Times New Roman"/>
                <w:sz w:val="24"/>
              </w:rPr>
              <w:t>tier</w:t>
            </w:r>
            <w:proofErr w:type="spellEnd"/>
            <w:r>
              <w:rPr>
                <w:rFonts w:ascii="Times New Roman" w:hAnsi="Times New Roman"/>
                <w:sz w:val="24"/>
              </w:rPr>
              <w:t xml:space="preserve"> 1 před normativními úpravami</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Součet hodnot v řádcích 30, 33, EU-33a, EU-33b a 34 této šablony</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(záporná hodnota)</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jak je popsáno v čl. 52 odst. 1 písm. b), čl. 56 písm. a) a článku 57 CRR (záporná hodnota)</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s nimiž je instituce ve vztahu vzájemné účasti, jehož účelem je uměle zvýšit kapitál instituce (záporná hodnota)</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pokud tyto subjekty mají s institucí vztah vzájemné účasti, jehož účelem je uměle zvýšit kapitál instituce, jak je popsáno v čl. 56 písm. b) a článku 58 CRR (záporná hodnota)</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nemá významnou investici (objem vyšší než 10% prahová hodnota po odečtení způsobilých krátkých pozic) (záporná hodnota)</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nemá významnou investici (objem vyšší než 10% prahová hodnota po odečtení způsobilých krátkých pozic), jak je popsáno v čl. 56 písm. c) a článcích 59, 60 a 79 CRR (záporná hodnota)</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w:t>
            </w:r>
            <w:r>
              <w:rPr>
                <w:rFonts w:ascii="Times New Roman" w:hAnsi="Times New Roman"/>
                <w:sz w:val="24"/>
              </w:rPr>
              <w:lastRenderedPageBreak/>
              <w:t>nichž instituce má významnou investici (po odečtení způsobilých krátkých pozic) (záporná hodnota)</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má instituce významnou investici (po odečtení způsobilých krátkých pozic), jak je popsáno v čl. 56 písm. d) a článcích 59 a 79 CRR (záporná hodnota)</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kvalifikovaných položek odečtených od položek kapitálu </w:t>
            </w:r>
            <w:proofErr w:type="spellStart"/>
            <w:r>
              <w:rPr>
                <w:rFonts w:ascii="Times New Roman" w:hAnsi="Times New Roman"/>
                <w:sz w:val="24"/>
              </w:rPr>
              <w:t>tier</w:t>
            </w:r>
            <w:proofErr w:type="spellEnd"/>
            <w:r>
              <w:rPr>
                <w:rFonts w:ascii="Times New Roman" w:hAnsi="Times New Roman"/>
                <w:sz w:val="24"/>
              </w:rPr>
              <w:t xml:space="preserve"> 2, která přesahuje hodnotu položek kapitálu </w:t>
            </w:r>
            <w:proofErr w:type="spellStart"/>
            <w:r>
              <w:rPr>
                <w:rFonts w:ascii="Times New Roman" w:hAnsi="Times New Roman"/>
                <w:sz w:val="24"/>
              </w:rPr>
              <w:t>tier</w:t>
            </w:r>
            <w:proofErr w:type="spellEnd"/>
            <w:r>
              <w:rPr>
                <w:rFonts w:ascii="Times New Roman" w:hAnsi="Times New Roman"/>
                <w:sz w:val="24"/>
              </w:rPr>
              <w:t xml:space="preserve"> 2 instituce (záporná hodnota)</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položek odečtených od položek kapitálu </w:t>
            </w:r>
            <w:proofErr w:type="spellStart"/>
            <w:r>
              <w:rPr>
                <w:rFonts w:ascii="Times New Roman" w:hAnsi="Times New Roman"/>
                <w:sz w:val="24"/>
              </w:rPr>
              <w:t>tier</w:t>
            </w:r>
            <w:proofErr w:type="spellEnd"/>
            <w:r>
              <w:rPr>
                <w:rFonts w:ascii="Times New Roman" w:hAnsi="Times New Roman"/>
                <w:sz w:val="24"/>
              </w:rPr>
              <w:t xml:space="preserve"> 2, která převyšuje kapitál </w:t>
            </w:r>
            <w:proofErr w:type="spellStart"/>
            <w:r>
              <w:rPr>
                <w:rFonts w:ascii="Times New Roman" w:hAnsi="Times New Roman"/>
                <w:sz w:val="24"/>
              </w:rPr>
              <w:t>tier</w:t>
            </w:r>
            <w:proofErr w:type="spellEnd"/>
            <w:r>
              <w:rPr>
                <w:rFonts w:ascii="Times New Roman" w:hAnsi="Times New Roman"/>
                <w:sz w:val="24"/>
              </w:rPr>
              <w:t xml:space="preserve"> 2 instituce, jak je popsáno v čl. 56 písm. e) CRR (záporná hodnota)</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Ostatní normativní úpravy vedlejšího kapitálu </w:t>
            </w:r>
            <w:proofErr w:type="spellStart"/>
            <w:r>
              <w:rPr>
                <w:rFonts w:ascii="Times New Roman" w:hAnsi="Times New Roman"/>
                <w:sz w:val="24"/>
              </w:rPr>
              <w:t>tier</w:t>
            </w:r>
            <w:proofErr w:type="spellEnd"/>
            <w:r>
              <w:rPr>
                <w:rFonts w:ascii="Times New Roman" w:hAnsi="Times New Roman"/>
                <w:sz w:val="24"/>
              </w:rPr>
              <w:t xml:space="preserve"> 1</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 tomto řádku instituce uvedou veškeré použitelné normativní úpravy vykázané v rámci podávání zpráv pro účely dohledu a nezahrnuté v žádném jiném řádku této šablony</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Normativní úpravy vedlejšího kapitálu </w:t>
            </w:r>
            <w:proofErr w:type="spellStart"/>
            <w:r>
              <w:rPr>
                <w:rFonts w:ascii="Times New Roman" w:hAnsi="Times New Roman"/>
                <w:sz w:val="24"/>
              </w:rPr>
              <w:t>tier</w:t>
            </w:r>
            <w:proofErr w:type="spellEnd"/>
            <w:r>
              <w:rPr>
                <w:rFonts w:ascii="Times New Roman" w:hAnsi="Times New Roman"/>
                <w:sz w:val="24"/>
              </w:rPr>
              <w:t xml:space="preserve"> 1 celkem</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Součet hodnot v řádcích 37 až EU-42a této šablony</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Vedlejší kapitál </w:t>
            </w:r>
            <w:proofErr w:type="spellStart"/>
            <w:r>
              <w:rPr>
                <w:rFonts w:ascii="Times New Roman" w:hAnsi="Times New Roman"/>
                <w:sz w:val="24"/>
              </w:rPr>
              <w:t>tier</w:t>
            </w:r>
            <w:proofErr w:type="spellEnd"/>
            <w:r>
              <w:rPr>
                <w:rFonts w:ascii="Times New Roman" w:hAnsi="Times New Roman"/>
                <w:sz w:val="24"/>
              </w:rPr>
              <w:t xml:space="preserve"> 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 xml:space="preserve">Vedlejší kapitál </w:t>
            </w:r>
            <w:proofErr w:type="spellStart"/>
            <w:r>
              <w:rPr>
                <w:rFonts w:ascii="Times New Roman" w:hAnsi="Times New Roman"/>
                <w:sz w:val="24"/>
              </w:rPr>
              <w:t>tier</w:t>
            </w:r>
            <w:proofErr w:type="spellEnd"/>
            <w:r>
              <w:rPr>
                <w:rFonts w:ascii="Times New Roman" w:hAnsi="Times New Roman"/>
                <w:sz w:val="24"/>
              </w:rPr>
              <w:t xml:space="preserve"> 1 se vypočítá jako řádek 36 minus řádek 43 této šablony</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1 = kmenový kapitál </w:t>
            </w:r>
            <w:proofErr w:type="spellStart"/>
            <w:r>
              <w:rPr>
                <w:rFonts w:ascii="Times New Roman" w:hAnsi="Times New Roman"/>
                <w:sz w:val="24"/>
              </w:rPr>
              <w:t>tier</w:t>
            </w:r>
            <w:proofErr w:type="spellEnd"/>
            <w:r>
              <w:rPr>
                <w:rFonts w:ascii="Times New Roman" w:hAnsi="Times New Roman"/>
                <w:sz w:val="24"/>
              </w:rPr>
              <w:t xml:space="preserve"> 1 + vedlejší kapitál </w:t>
            </w:r>
            <w:proofErr w:type="spellStart"/>
            <w:r>
              <w:rPr>
                <w:rFonts w:ascii="Times New Roman" w:hAnsi="Times New Roman"/>
                <w:sz w:val="24"/>
              </w:rPr>
              <w:t>tier</w:t>
            </w:r>
            <w:proofErr w:type="spellEnd"/>
            <w:r>
              <w:rPr>
                <w:rFonts w:ascii="Times New Roman" w:hAnsi="Times New Roman"/>
                <w:sz w:val="24"/>
              </w:rPr>
              <w:t xml:space="preserve"> 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1 se vypočítá jako řádek 29 plus řádek 44 této šablony</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Kapitálové nástroje a související emisní ážio, jak je popsáno v článcích 62 a 63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484 odst. 5 CRR a souvisejícího emisního ážia podléhající postupnému odstranění z kapitálu </w:t>
            </w:r>
            <w:proofErr w:type="spellStart"/>
            <w:r>
              <w:rPr>
                <w:rFonts w:ascii="Times New Roman" w:hAnsi="Times New Roman"/>
                <w:sz w:val="24"/>
              </w:rPr>
              <w:t>tier</w:t>
            </w:r>
            <w:proofErr w:type="spellEnd"/>
            <w:r>
              <w:rPr>
                <w:rFonts w:ascii="Times New Roman" w:hAnsi="Times New Roman"/>
                <w:sz w:val="24"/>
              </w:rPr>
              <w:t xml:space="preserve"> 2, jak je popsáno v čl. 486 odst. 4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494a odst. 2 CRR podléhající postupnému odstranění z kapitálu </w:t>
            </w:r>
            <w:proofErr w:type="spellStart"/>
            <w:r>
              <w:rPr>
                <w:rFonts w:ascii="Times New Roman" w:hAnsi="Times New Roman"/>
                <w:sz w:val="24"/>
              </w:rPr>
              <w:t>tier</w:t>
            </w:r>
            <w:proofErr w:type="spellEnd"/>
            <w:r>
              <w:rPr>
                <w:rFonts w:ascii="Times New Roman" w:hAnsi="Times New Roman"/>
                <w:sz w:val="24"/>
              </w:rPr>
              <w:t xml:space="preserve"> 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kvalifikovaných položek uvedených v čl. 494b odst. 2 CRR podléhající postupnému odstranění z kapitálu </w:t>
            </w:r>
            <w:proofErr w:type="spellStart"/>
            <w:r>
              <w:rPr>
                <w:rFonts w:ascii="Times New Roman" w:hAnsi="Times New Roman"/>
                <w:sz w:val="24"/>
              </w:rPr>
              <w:t>tier</w:t>
            </w:r>
            <w:proofErr w:type="spellEnd"/>
            <w:r>
              <w:rPr>
                <w:rFonts w:ascii="Times New Roman" w:hAnsi="Times New Roman"/>
                <w:sz w:val="24"/>
              </w:rPr>
              <w:t xml:space="preserve"> 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Kvalifikované kapitálové nástroje zahrnuté do konsolidovaného kapitálu </w:t>
            </w:r>
            <w:proofErr w:type="spellStart"/>
            <w:r>
              <w:rPr>
                <w:rFonts w:ascii="Times New Roman" w:hAnsi="Times New Roman"/>
                <w:sz w:val="24"/>
              </w:rPr>
              <w:t>tier</w:t>
            </w:r>
            <w:proofErr w:type="spellEnd"/>
            <w:r>
              <w:rPr>
                <w:rFonts w:ascii="Times New Roman" w:hAnsi="Times New Roman"/>
                <w:sz w:val="24"/>
              </w:rPr>
              <w:t xml:space="preserve"> 2 (včetně menšinových podílů a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nezahrnutých v řádku 5 nebo řádku 34) vydané dceřinými podniky a držené třetími stranami</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Kvalifikované kapitálové nástroje zahrnuté do konsolidovaného kapitálu </w:t>
            </w:r>
            <w:proofErr w:type="spellStart"/>
            <w:r>
              <w:rPr>
                <w:rFonts w:ascii="Times New Roman" w:hAnsi="Times New Roman"/>
                <w:sz w:val="24"/>
              </w:rPr>
              <w:t>tier</w:t>
            </w:r>
            <w:proofErr w:type="spellEnd"/>
            <w:r>
              <w:rPr>
                <w:rFonts w:ascii="Times New Roman" w:hAnsi="Times New Roman"/>
                <w:sz w:val="24"/>
              </w:rPr>
              <w:t xml:space="preserve"> 2 (včetně menšinových podílů a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nezahrnutých v řádku 5 nebo řádku 34) vydané dceřinými podniky a držené třetími stranami, jak je popsáno v článcích 87 a 88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nástroje vydané dceřinými podniky podléhající postupnému odstranění</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hodnoty v řádku 48 hodnota, která se týká nástrojů vydaných dceřinými podniky podléhajících postupnému odstranění, jak je popsáno v čl. 486 odst. 4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Úpravy o úvěrové riziko</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Úpravy z titulu úvěrového rizika podle čl. 62 písm. c) a d)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2 před normativními úpravami</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Součet hodnot v řádcích 46 až 48 a řádku 50 této šablony</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(záporná hodnota)</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vlastních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jak je popsáno v čl. 63 písm. b) bodu i), čl. 66 písm. a) a článku 67 CRR (záporná hodnota)</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subjektů finančního sektoru, s nimiž je instituce ve vztahu vzájemné účasti, jehož účelem je uměle zvýšit kapitál instituce (záporná hodnota)</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subjektů finančního sektoru, s nimiž je instituce ve vztahu vzájemné účasti, jehož účelem je uměle zvýšit kapitál instituce, jak je popsáno v čl. 66 písm. b) a článku 68 CRR (záporná hodnota)</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subjektů finančního sektoru, v nichž instituce nemá významnou investici (objem vyšší než 10% prahová hodnota po odečtení způsobilých krátkých pozic) (záporná hodnota)</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subjektů finančního sektoru, v nichž instituce nemá významnou investici (objem vyšší než 10% prahová hodnota po odečtení způsobilých krátkých pozic), jak je popsáno v čl. 66 písm. c) a článcích 69, 70 a 79 CRR (záporná hodnota)</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a podřízených půjček subjektů finančního sektoru, v nichž instituce má významnou investici (snížené o způsobilé krátké pozice) (záporná hodnota)</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nepřímé a syntetické kapitálové investice instituce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subjektů finančního sektoru, v nichž má instituce významnou investici (po odečtení způsobilých krátkých pozic), podle čl. 66 písm. d) a článků 69 a 79 CRR (záporná hodnota)</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Hodnota kvalifikovaných položek odečtených od položek způsobilých závazků, která přesahuje hodnotu položek způsobilých závazků instituce (záporná hodnota)</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 xml:space="preserve">Odpočty od položek kvalifikovaných způsobilých závazků, které převyšují položky způsobilých závazků instituce </w:t>
            </w:r>
            <w:r>
              <w:rPr>
                <w:rFonts w:ascii="Times New Roman" w:hAnsi="Times New Roman"/>
                <w:color w:val="000000" w:themeColor="text1"/>
                <w:sz w:val="24"/>
              </w:rPr>
              <w:t xml:space="preserve">podle čl. 66 písm. e) </w:t>
            </w:r>
            <w:r>
              <w:rPr>
                <w:rFonts w:ascii="Times New Roman" w:hAnsi="Times New Roman"/>
                <w:sz w:val="24"/>
              </w:rPr>
              <w:t>CRR (záporná hodnota</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Ostatní normativní úpravy kapitálu </w:t>
            </w:r>
            <w:proofErr w:type="spellStart"/>
            <w:r>
              <w:rPr>
                <w:rFonts w:ascii="Times New Roman" w:hAnsi="Times New Roman"/>
                <w:sz w:val="24"/>
              </w:rPr>
              <w:t>tier</w:t>
            </w:r>
            <w:proofErr w:type="spellEnd"/>
            <w:r>
              <w:rPr>
                <w:rFonts w:ascii="Times New Roman" w:hAnsi="Times New Roman"/>
                <w:sz w:val="24"/>
              </w:rPr>
              <w:t xml:space="preserve"> 2</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 tomto řádku instituce uvedou veškeré použitelné normativní úpravy vykázané v rámci podávání zpráv pro účely dohledu a nezahrnuté v žádném jiném řádku této šablony.</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Normativní úpravy kapitálu </w:t>
            </w:r>
            <w:proofErr w:type="spellStart"/>
            <w:r>
              <w:rPr>
                <w:rFonts w:ascii="Times New Roman" w:hAnsi="Times New Roman"/>
                <w:sz w:val="24"/>
              </w:rPr>
              <w:t>tier</w:t>
            </w:r>
            <w:proofErr w:type="spellEnd"/>
            <w:r>
              <w:rPr>
                <w:rFonts w:ascii="Times New Roman" w:hAnsi="Times New Roman"/>
                <w:sz w:val="24"/>
              </w:rPr>
              <w:t xml:space="preserve"> 2 celkem</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Součet hodnot v řádcích 52 až EU-56b této šablony</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2 se vypočítá jako řádek 51 minus řádek 57 této šablony</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 xml:space="preserve">Celkový kapitál = kapitál </w:t>
            </w:r>
            <w:proofErr w:type="spellStart"/>
            <w:r>
              <w:rPr>
                <w:rFonts w:ascii="Times New Roman" w:hAnsi="Times New Roman"/>
                <w:sz w:val="24"/>
              </w:rPr>
              <w:t>tier</w:t>
            </w:r>
            <w:proofErr w:type="spellEnd"/>
            <w:r>
              <w:rPr>
                <w:rFonts w:ascii="Times New Roman" w:hAnsi="Times New Roman"/>
                <w:sz w:val="24"/>
              </w:rPr>
              <w:t xml:space="preserve"> 1 + kapitál </w:t>
            </w:r>
            <w:proofErr w:type="spellStart"/>
            <w:r>
              <w:rPr>
                <w:rFonts w:ascii="Times New Roman" w:hAnsi="Times New Roman"/>
                <w:sz w:val="24"/>
              </w:rPr>
              <w:t>tier</w:t>
            </w:r>
            <w:proofErr w:type="spellEnd"/>
            <w:r>
              <w:rPr>
                <w:rFonts w:ascii="Times New Roman" w:hAnsi="Times New Roman"/>
                <w:sz w:val="24"/>
              </w:rPr>
              <w:t xml:space="preserve"> 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Celkový kapitál se vypočítá jako řádek 45 plus řádek 58 této šablony</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Celkový objem rizikové expozice</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Celkový objem rizikové expozice skupiny</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Kmenový kapitál </w:t>
            </w:r>
            <w:proofErr w:type="spellStart"/>
            <w:r>
              <w:rPr>
                <w:rFonts w:ascii="Times New Roman" w:hAnsi="Times New Roman"/>
                <w:sz w:val="24"/>
              </w:rPr>
              <w:t>tier</w:t>
            </w:r>
            <w:proofErr w:type="spellEnd"/>
            <w:r>
              <w:rPr>
                <w:rFonts w:ascii="Times New Roman" w:hAnsi="Times New Roman"/>
                <w:sz w:val="24"/>
              </w:rPr>
              <w:t xml:space="preserve"> 1</w:t>
            </w:r>
          </w:p>
          <w:p w14:paraId="7C9EC9BA" w14:textId="7547B69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Kmenový kapitál </w:t>
            </w:r>
            <w:proofErr w:type="spellStart"/>
            <w:r>
              <w:rPr>
                <w:rFonts w:ascii="Times New Roman" w:hAnsi="Times New Roman"/>
                <w:sz w:val="24"/>
              </w:rPr>
              <w:t>tier</w:t>
            </w:r>
            <w:proofErr w:type="spellEnd"/>
            <w:r>
              <w:rPr>
                <w:rFonts w:ascii="Times New Roman" w:hAnsi="Times New Roman"/>
                <w:sz w:val="24"/>
              </w:rPr>
              <w:t xml:space="preserve"> 1 (vyjádřený jako procentní podíl celkového objemu rizikové expozice) se vypočítá se jako řádek 29 vydělený řádkem 60 (vyjádřeno jako procentní podíl) podle čl. 92 odst. 2 písm. a) CRR</w:t>
            </w:r>
            <w:r w:rsidR="00B93D7C">
              <w:rPr>
                <w:rFonts w:ascii="Times New Roman" w:hAnsi="Times New Roman"/>
                <w:sz w:val="24"/>
              </w:rPr>
              <w:t>.</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1</w:t>
            </w:r>
          </w:p>
          <w:p w14:paraId="4F9B420D" w14:textId="241C104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Kapitál </w:t>
            </w:r>
            <w:proofErr w:type="spellStart"/>
            <w:r>
              <w:rPr>
                <w:rFonts w:ascii="Times New Roman" w:hAnsi="Times New Roman"/>
                <w:sz w:val="24"/>
              </w:rPr>
              <w:t>tier</w:t>
            </w:r>
            <w:proofErr w:type="spellEnd"/>
            <w:r>
              <w:rPr>
                <w:rFonts w:ascii="Times New Roman" w:hAnsi="Times New Roman"/>
                <w:sz w:val="24"/>
              </w:rPr>
              <w:t xml:space="preserve"> 1 (vyjádřený jako procentní podíl objemu rizikové expozice) se vypočítá jako řádek 45 vydělený řádkem 60 (vyjádřeno jako procentní podíl) této šablony podle čl. 92 odst. 2 písm. b) CRR</w:t>
            </w:r>
            <w:r w:rsidR="00B93D7C">
              <w:rPr>
                <w:rFonts w:ascii="Times New Roman" w:hAnsi="Times New Roman"/>
                <w:sz w:val="24"/>
              </w:rPr>
              <w:t>.</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Celkový kapitál</w:t>
            </w:r>
          </w:p>
          <w:p w14:paraId="6ED4EBDC" w14:textId="35215F8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Celkový kapitál (vyjádřený jako procentní podíl celkového objemu rizikové expozice) se vypočítá jako řádek 59 vydělený řádkem 60 (vyjádřeno jako procentní podíl) podle čl. 92 odst. 2 písm. c) CRR</w:t>
            </w:r>
            <w:r w:rsidR="00B93D7C">
              <w:rPr>
                <w:rFonts w:ascii="Times New Roman" w:hAnsi="Times New Roman"/>
                <w:sz w:val="24"/>
              </w:rPr>
              <w:t>.</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Požadavky na kmenový kapitál </w:t>
            </w:r>
            <w:proofErr w:type="spellStart"/>
            <w:r>
              <w:rPr>
                <w:rFonts w:ascii="Times New Roman" w:hAnsi="Times New Roman"/>
                <w:sz w:val="24"/>
              </w:rPr>
              <w:t>tier</w:t>
            </w:r>
            <w:proofErr w:type="spellEnd"/>
            <w:r>
              <w:rPr>
                <w:rFonts w:ascii="Times New Roman" w:hAnsi="Times New Roman"/>
                <w:sz w:val="24"/>
              </w:rPr>
              <w:t xml:space="preserve"> 1 instituce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Celkové kapitálové požadavky na kmenový kapitál </w:t>
            </w:r>
            <w:proofErr w:type="spellStart"/>
            <w:r>
              <w:rPr>
                <w:rFonts w:ascii="Times New Roman" w:hAnsi="Times New Roman"/>
                <w:sz w:val="24"/>
              </w:rPr>
              <w:t>tier</w:t>
            </w:r>
            <w:proofErr w:type="spellEnd"/>
            <w:r>
              <w:rPr>
                <w:rFonts w:ascii="Times New Roman" w:hAnsi="Times New Roman"/>
                <w:sz w:val="24"/>
              </w:rPr>
              <w:t xml:space="preserve"> 1 se vypočítají jako požadavek na kmenový kapitál </w:t>
            </w:r>
            <w:proofErr w:type="spellStart"/>
            <w:r>
              <w:rPr>
                <w:rFonts w:ascii="Times New Roman" w:hAnsi="Times New Roman"/>
                <w:sz w:val="24"/>
              </w:rPr>
              <w:t>tier</w:t>
            </w:r>
            <w:proofErr w:type="spellEnd"/>
            <w:r>
              <w:rPr>
                <w:rFonts w:ascii="Times New Roman" w:hAnsi="Times New Roman"/>
                <w:sz w:val="24"/>
              </w:rPr>
              <w:t xml:space="preserve"> 1 podle čl. 92 odst. 1 písm. a) CRR plus dodatečný požadavek na kmenový kapitál </w:t>
            </w:r>
            <w:proofErr w:type="spellStart"/>
            <w:r>
              <w:rPr>
                <w:rFonts w:ascii="Times New Roman" w:hAnsi="Times New Roman"/>
                <w:sz w:val="24"/>
              </w:rPr>
              <w:t>tier</w:t>
            </w:r>
            <w:proofErr w:type="spellEnd"/>
            <w:r>
              <w:rPr>
                <w:rFonts w:ascii="Times New Roman" w:hAnsi="Times New Roman"/>
                <w:sz w:val="24"/>
              </w:rPr>
              <w:t xml:space="preserve"> 1, který musí instituce držet podle čl. 104 odst. 1 písm. a) směrnice (EU) 2013/36</w:t>
            </w:r>
            <w:r w:rsidRPr="007F4CC8">
              <w:rPr>
                <w:rStyle w:val="FootnoteReference"/>
                <w:rFonts w:cs="Times New Roman"/>
                <w:lang w:eastAsia="ja-JP"/>
              </w:rPr>
              <w:footnoteReference w:id="15"/>
            </w:r>
            <w:r>
              <w:rPr>
                <w:rFonts w:ascii="Times New Roman" w:hAnsi="Times New Roman"/>
                <w:sz w:val="24"/>
              </w:rPr>
              <w:t>(dále jen „CRD“), plus požadavek kombinované kapitálové rezervy podle čl. 128 odst. 6 CRD, vyjádřené jako procento objemu rizikové expozice.</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Vypočítá se jako 4,5 % plus dodatečné požadavky pilíře 2, které musí instituce držet podle čl. 104 odst. 1 písm. a) CRD, plus požadavek kombinovaných kapitálových rezerv vypočtený podle článků 128, 129, 130, 131 a 133 CRD.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Tento řádek bude uvádět poměr kmenového kapitálu </w:t>
            </w:r>
            <w:proofErr w:type="spellStart"/>
            <w:r>
              <w:rPr>
                <w:rFonts w:ascii="Times New Roman" w:hAnsi="Times New Roman"/>
                <w:sz w:val="24"/>
              </w:rPr>
              <w:t>tier</w:t>
            </w:r>
            <w:proofErr w:type="spellEnd"/>
            <w:r>
              <w:rPr>
                <w:rFonts w:ascii="Times New Roman" w:hAnsi="Times New Roman"/>
                <w:sz w:val="24"/>
              </w:rPr>
              <w:t xml:space="preserve"> 1 relevantní pro posouzení omezení pro rozdělení.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požadavek na bezpečnostní kapitálovou rezervu</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Hodnota v řádku 64 (vyjádřená jako procentní podíl celkového objemu rizikové expozice) této šablony, která se týká požadavku bezpečnostní kapitálové rezervy podle článku 129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toho: požadavek na </w:t>
            </w:r>
            <w:proofErr w:type="spellStart"/>
            <w:r>
              <w:rPr>
                <w:rFonts w:ascii="Times New Roman" w:hAnsi="Times New Roman"/>
                <w:sz w:val="24"/>
              </w:rPr>
              <w:t>proticyklickou</w:t>
            </w:r>
            <w:proofErr w:type="spellEnd"/>
            <w:r>
              <w:rPr>
                <w:rFonts w:ascii="Times New Roman" w:hAnsi="Times New Roman"/>
                <w:sz w:val="24"/>
              </w:rPr>
              <w:t xml:space="preserve"> kapitálovou rezervu</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v řádku 64 (vyjádřená jako procentní podíl celkového objemu rizikové expozice) této šablony, která se týká požadavku </w:t>
            </w:r>
            <w:proofErr w:type="spellStart"/>
            <w:r>
              <w:rPr>
                <w:rFonts w:ascii="Times New Roman" w:hAnsi="Times New Roman"/>
                <w:sz w:val="24"/>
              </w:rPr>
              <w:t>proticyklické</w:t>
            </w:r>
            <w:proofErr w:type="spellEnd"/>
            <w:r>
              <w:rPr>
                <w:rFonts w:ascii="Times New Roman" w:hAnsi="Times New Roman"/>
                <w:sz w:val="24"/>
              </w:rPr>
              <w:t xml:space="preserve"> kapitálové rezervy podle článku 130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požadavek na rezervu pro krytí systémového rizika</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Hodnota v řádku 64 (vyjádřená jako procentní podíl celkového objemu rizikové expozice) této šablony, která se týká požadavku na rezervu pro krytí systémového rizika podle článku 133 CRD</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 toho: požadavek na rezervu pro globální systémově významnou instituci (G-SVI) nebo jinou systémově významnou instituci (J-SVI)</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Hodnota v řádku 64 (vyjádřená jako procentní podíl celkového objemu rizikové expozice) této šablony, která se týká požadavku na rezervu pro globální systémově významnou instituci nebo jinou systémově významnou instituci podle článku 131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z toho: dodatečné kapitálové požadavky k řešení rizik jiných, než je riziko nadměrné páky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Hodnota v řádku 64 (vyjádřená jako procentní podíl celkového objemu rizikové expozice) této šablony, která se týká dodatečných kapitálových požadavků vyplývajících z procesu kontroly orgánem dohledu, které je třeba splnit kmenovým kapitálem </w:t>
            </w:r>
            <w:proofErr w:type="spellStart"/>
            <w:r>
              <w:rPr>
                <w:rFonts w:ascii="Times New Roman" w:hAnsi="Times New Roman"/>
                <w:sz w:val="24"/>
              </w:rPr>
              <w:t>tier</w:t>
            </w:r>
            <w:proofErr w:type="spellEnd"/>
            <w:r>
              <w:rPr>
                <w:rFonts w:ascii="Times New Roman" w:hAnsi="Times New Roman"/>
                <w:sz w:val="24"/>
              </w:rPr>
              <w:t xml:space="preserve"> 1 podle čl. 104 odst. 1 písm. a) směrnice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Kmenový kapitál </w:t>
            </w:r>
            <w:proofErr w:type="spellStart"/>
            <w:r>
              <w:rPr>
                <w:rFonts w:ascii="Times New Roman" w:hAnsi="Times New Roman"/>
                <w:sz w:val="24"/>
              </w:rPr>
              <w:t>tier</w:t>
            </w:r>
            <w:proofErr w:type="spellEnd"/>
            <w:r>
              <w:rPr>
                <w:rFonts w:ascii="Times New Roman" w:hAnsi="Times New Roman"/>
                <w:sz w:val="24"/>
              </w:rPr>
              <w:t xml:space="preserve"> 1 (jako procento objemu rizikové expozice) dostupný po splnění minimálních kapitálových požadavků</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Vypočítá se jako řádek 61 minus 4,5 (procentního bodu) minus EU-67b minus kmenový kapitál </w:t>
            </w:r>
            <w:proofErr w:type="spellStart"/>
            <w:r>
              <w:rPr>
                <w:rFonts w:ascii="Times New Roman" w:hAnsi="Times New Roman"/>
                <w:sz w:val="24"/>
              </w:rPr>
              <w:t>tier</w:t>
            </w:r>
            <w:proofErr w:type="spellEnd"/>
            <w:r>
              <w:rPr>
                <w:rFonts w:ascii="Times New Roman" w:hAnsi="Times New Roman"/>
                <w:sz w:val="24"/>
              </w:rPr>
              <w:t xml:space="preserve"> 1 použitý institucí na splnění kapitálových požadavků týkajících se vedlejšího kapitálu </w:t>
            </w:r>
            <w:proofErr w:type="spellStart"/>
            <w:r>
              <w:rPr>
                <w:rFonts w:ascii="Times New Roman" w:hAnsi="Times New Roman"/>
                <w:sz w:val="24"/>
              </w:rPr>
              <w:t>tier</w:t>
            </w:r>
            <w:proofErr w:type="spellEnd"/>
            <w:r>
              <w:rPr>
                <w:rFonts w:ascii="Times New Roman" w:hAnsi="Times New Roman"/>
                <w:sz w:val="24"/>
              </w:rPr>
              <w:t xml:space="preserve"> 1 a kapitálu </w:t>
            </w:r>
            <w:proofErr w:type="spellStart"/>
            <w:r>
              <w:rPr>
                <w:rFonts w:ascii="Times New Roman" w:hAnsi="Times New Roman"/>
                <w:sz w:val="24"/>
              </w:rPr>
              <w:t>tier</w:t>
            </w:r>
            <w:proofErr w:type="spellEnd"/>
            <w:r>
              <w:rPr>
                <w:rFonts w:ascii="Times New Roman" w:hAnsi="Times New Roman"/>
                <w:sz w:val="24"/>
              </w:rPr>
              <w:t xml:space="preserve"> 2.</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Přímé a nepřímé kapitálové investice instituce do kapitálu a způsobilých závazků subjektů finančního sektoru, v nichž instituce nemá významnou investici (objem nižší než 10% prahová hodnota po odečtení způsobilých krátkých pozic)</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a nepřímé kapitálové investice do kapitálu subjektů finančního sektoru, v nichž instituce nemá významnou investici (objem nižší než 10% prahová hodnota po odečtení způsobilých krátkých pozic) a způsobilé závazky těchto subjektů podle čl. 36 odst. 1 písm. h) a článků 45 a 46, čl. 56 písm. c), článků 59 a 60, čl. 66 písm. c), článků 69, 70 a 72i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Přímé a nepřímé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instituce má významnou investici (objem nižší než 17,65% prahová hodnota po odečtení způsobilých krátkých pozic)</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Přímé a nepřímé kapitálové investice instituce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v nichž má instituce významnou investici (objem nižší než 17,65% prahová hodnota po odečtení způsobilých krátkých pozic) podle čl. 36 odst. 1 písm. i), článků 43, 45 a 47, čl. 48 odst. 1 písm. b) a čl. 49 odst. 1 až 3 CRR (celková hodnota těchto investic, které nejsou uvedeny v řádku 19 a řádku 23 této šablony)</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Nepoužije se</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Odložené daňové pohledávky vyplývající z přechodných rozdílů (objem nižší než 17,65% prahová hodnota, snížený o související daňové závazky, jsou-li splněny podmínky stanovené v čl. 38 odst. 3 CRR)</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Odložené daňové pohledávky vyplývající z přechodných rozdílů (objem vyšší než 17,65% prahová hodnota podle čl. 48 odst. 2 písm. b) CRR, snížený o související daňové závazky, jsou-li splněny podmínky stanovené v čl. 38 odst. 3 CRR) podle čl. 36 odst. 1 písm. c) a článků 38 a 48 CRR (celková hodnota těchto odložených daňových pohledávek, které nejsou uvedeny v řádku 21 a řádku 25 této šablony)</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Úpravy o úvěrové riziko zahrnované do kapitálu </w:t>
            </w:r>
            <w:proofErr w:type="spellStart"/>
            <w:r>
              <w:rPr>
                <w:rFonts w:ascii="Times New Roman" w:hAnsi="Times New Roman"/>
                <w:sz w:val="24"/>
              </w:rPr>
              <w:t>tier</w:t>
            </w:r>
            <w:proofErr w:type="spellEnd"/>
            <w:r>
              <w:rPr>
                <w:rFonts w:ascii="Times New Roman" w:hAnsi="Times New Roman"/>
                <w:sz w:val="24"/>
              </w:rPr>
              <w:t xml:space="preserve"> 2 s ohledem na expozice, na které se vztahuje standardizovaný přístup (před použitím limitu)</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Úpravy o úvěrové riziko zahrnované do kapitálu </w:t>
            </w:r>
            <w:proofErr w:type="spellStart"/>
            <w:r>
              <w:rPr>
                <w:rFonts w:ascii="Times New Roman" w:hAnsi="Times New Roman"/>
                <w:sz w:val="24"/>
              </w:rPr>
              <w:t>tier</w:t>
            </w:r>
            <w:proofErr w:type="spellEnd"/>
            <w:r>
              <w:rPr>
                <w:rFonts w:ascii="Times New Roman" w:hAnsi="Times New Roman"/>
                <w:sz w:val="24"/>
              </w:rPr>
              <w:t xml:space="preserve"> 2 s ohledem na expozice, na které se vztahuje standardizovaný přístup podle čl. 62 písm. c)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Limit pro zahrnování úprav o úvěrové riziko do kapitálu </w:t>
            </w:r>
            <w:proofErr w:type="spellStart"/>
            <w:r>
              <w:rPr>
                <w:rFonts w:ascii="Times New Roman" w:hAnsi="Times New Roman"/>
                <w:sz w:val="24"/>
              </w:rPr>
              <w:t>tier</w:t>
            </w:r>
            <w:proofErr w:type="spellEnd"/>
            <w:r>
              <w:rPr>
                <w:rFonts w:ascii="Times New Roman" w:hAnsi="Times New Roman"/>
                <w:sz w:val="24"/>
              </w:rPr>
              <w:t xml:space="preserve"> 2 podle standardizovaného přístupu</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Limit pro zahrnování úprav o úvěrové riziko do kapitálu </w:t>
            </w:r>
            <w:proofErr w:type="spellStart"/>
            <w:r>
              <w:rPr>
                <w:rFonts w:ascii="Times New Roman" w:hAnsi="Times New Roman"/>
                <w:sz w:val="24"/>
              </w:rPr>
              <w:t>tier</w:t>
            </w:r>
            <w:proofErr w:type="spellEnd"/>
            <w:r>
              <w:rPr>
                <w:rFonts w:ascii="Times New Roman" w:hAnsi="Times New Roman"/>
                <w:sz w:val="24"/>
              </w:rPr>
              <w:t> 2 podle standardizovaného přístupu podle čl. 62 písm. c)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Úpravy o úvěrové riziko zahrnované do kapitálu </w:t>
            </w:r>
            <w:proofErr w:type="spellStart"/>
            <w:r>
              <w:rPr>
                <w:rFonts w:ascii="Times New Roman" w:hAnsi="Times New Roman"/>
                <w:sz w:val="24"/>
              </w:rPr>
              <w:t>tier</w:t>
            </w:r>
            <w:proofErr w:type="spellEnd"/>
            <w:r>
              <w:rPr>
                <w:rFonts w:ascii="Times New Roman" w:hAnsi="Times New Roman"/>
                <w:sz w:val="24"/>
              </w:rPr>
              <w:t xml:space="preserve"> 2 s ohledem na expozice, na které se vztahuje přístup založený na interním ratingu (před použitím limitu)</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Úpravy o úvěrové riziko zahrnované do kapitálu </w:t>
            </w:r>
            <w:proofErr w:type="spellStart"/>
            <w:r>
              <w:rPr>
                <w:rFonts w:ascii="Times New Roman" w:hAnsi="Times New Roman"/>
                <w:sz w:val="24"/>
              </w:rPr>
              <w:t>tier</w:t>
            </w:r>
            <w:proofErr w:type="spellEnd"/>
            <w:r>
              <w:rPr>
                <w:rFonts w:ascii="Times New Roman" w:hAnsi="Times New Roman"/>
                <w:sz w:val="24"/>
              </w:rPr>
              <w:t xml:space="preserve"> 2 s ohledem na expozice, na které se vztahuje přístup založený na interním ratingu podle čl. 62 písm. d)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Limit pro zahrnování úprav o úvěrové riziko do kapitálu </w:t>
            </w:r>
            <w:proofErr w:type="spellStart"/>
            <w:r>
              <w:rPr>
                <w:rFonts w:ascii="Times New Roman" w:hAnsi="Times New Roman"/>
                <w:sz w:val="24"/>
              </w:rPr>
              <w:t>tier</w:t>
            </w:r>
            <w:proofErr w:type="spellEnd"/>
            <w:r>
              <w:rPr>
                <w:rFonts w:ascii="Times New Roman" w:hAnsi="Times New Roman"/>
                <w:sz w:val="24"/>
              </w:rPr>
              <w:t xml:space="preserve"> 2 podle přístupu založeného na interním ratingu</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Limit pro zahrnování úprav o úvěrové riziko do kapitálu </w:t>
            </w:r>
            <w:proofErr w:type="spellStart"/>
            <w:r>
              <w:rPr>
                <w:rFonts w:ascii="Times New Roman" w:hAnsi="Times New Roman"/>
                <w:sz w:val="24"/>
              </w:rPr>
              <w:t>tier</w:t>
            </w:r>
            <w:proofErr w:type="spellEnd"/>
            <w:r>
              <w:rPr>
                <w:rFonts w:ascii="Times New Roman" w:hAnsi="Times New Roman"/>
                <w:sz w:val="24"/>
              </w:rPr>
              <w:t xml:space="preserve"> 2 podle přístupu založeného na interním ratingu podle čl. 62 písm. d)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kmenového kapitálu </w:t>
            </w:r>
            <w:proofErr w:type="spellStart"/>
            <w:r>
              <w:rPr>
                <w:rFonts w:ascii="Times New Roman" w:hAnsi="Times New Roman"/>
                <w:sz w:val="24"/>
              </w:rPr>
              <w:t>tier</w:t>
            </w:r>
            <w:proofErr w:type="spellEnd"/>
            <w:r>
              <w:rPr>
                <w:rFonts w:ascii="Times New Roman" w:hAnsi="Times New Roman"/>
                <w:sz w:val="24"/>
              </w:rPr>
              <w:t xml:space="preserve"> 1, na které se vztahují ustanovení o postupném odstranění</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vedlejšího kapitálu </w:t>
            </w:r>
            <w:proofErr w:type="spellStart"/>
            <w:r>
              <w:rPr>
                <w:rFonts w:ascii="Times New Roman" w:hAnsi="Times New Roman"/>
                <w:sz w:val="24"/>
              </w:rPr>
              <w:t>tier</w:t>
            </w:r>
            <w:proofErr w:type="spellEnd"/>
            <w:r>
              <w:rPr>
                <w:rFonts w:ascii="Times New Roman" w:hAnsi="Times New Roman"/>
                <w:sz w:val="24"/>
              </w:rPr>
              <w:t xml:space="preserve"> 1, na které se vztahují ustanovení o postupném odstranění, podle čl. 484 odst. 3 a čl. 486 odst. 2 a 5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kmenového kapitálu </w:t>
            </w:r>
            <w:proofErr w:type="spellStart"/>
            <w:r>
              <w:rPr>
                <w:rFonts w:ascii="Times New Roman" w:hAnsi="Times New Roman"/>
                <w:sz w:val="24"/>
              </w:rPr>
              <w:t>tier</w:t>
            </w:r>
            <w:proofErr w:type="spellEnd"/>
            <w:r>
              <w:rPr>
                <w:rFonts w:ascii="Times New Roman" w:hAnsi="Times New Roman"/>
                <w:sz w:val="24"/>
              </w:rPr>
              <w:t xml:space="preserve"> 1 kvůli limitu (objem přesahující limit snížený o splacené nástroje a nástroje po splatnosti)</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kmenového kapitálu </w:t>
            </w:r>
            <w:proofErr w:type="spellStart"/>
            <w:r>
              <w:rPr>
                <w:rFonts w:ascii="Times New Roman" w:hAnsi="Times New Roman"/>
                <w:sz w:val="24"/>
              </w:rPr>
              <w:t>tier</w:t>
            </w:r>
            <w:proofErr w:type="spellEnd"/>
            <w:r>
              <w:rPr>
                <w:rFonts w:ascii="Times New Roman" w:hAnsi="Times New Roman"/>
                <w:sz w:val="24"/>
              </w:rPr>
              <w:t xml:space="preserve"> 1 kvůli limitu (objem přesahující limit snížený o splacené nástroje a nástroje po splatnosti) podle čl. 484 odst. 3 a čl. 486 odst. 2 a 5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vedlejšího kapitálu </w:t>
            </w:r>
            <w:proofErr w:type="spellStart"/>
            <w:r>
              <w:rPr>
                <w:rFonts w:ascii="Times New Roman" w:hAnsi="Times New Roman"/>
                <w:sz w:val="24"/>
              </w:rPr>
              <w:t>tier</w:t>
            </w:r>
            <w:proofErr w:type="spellEnd"/>
            <w:r>
              <w:rPr>
                <w:rFonts w:ascii="Times New Roman" w:hAnsi="Times New Roman"/>
                <w:sz w:val="24"/>
              </w:rPr>
              <w:t xml:space="preserve"> 1, na které se vztahují ustanovení o postupném odstranění</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vedlejšího kapitálu </w:t>
            </w:r>
            <w:proofErr w:type="spellStart"/>
            <w:r>
              <w:rPr>
                <w:rFonts w:ascii="Times New Roman" w:hAnsi="Times New Roman"/>
                <w:sz w:val="24"/>
              </w:rPr>
              <w:t>tier</w:t>
            </w:r>
            <w:proofErr w:type="spellEnd"/>
            <w:r>
              <w:rPr>
                <w:rFonts w:ascii="Times New Roman" w:hAnsi="Times New Roman"/>
                <w:sz w:val="24"/>
              </w:rPr>
              <w:t xml:space="preserve"> 1, na které se vztahují ustanovení o postupném odstranění, podle čl. 484 odst. 4 a čl. 486 odst. 3 a 5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vedlejšího kapitálu </w:t>
            </w:r>
            <w:proofErr w:type="spellStart"/>
            <w:r>
              <w:rPr>
                <w:rFonts w:ascii="Times New Roman" w:hAnsi="Times New Roman"/>
                <w:sz w:val="24"/>
              </w:rPr>
              <w:t>tier</w:t>
            </w:r>
            <w:proofErr w:type="spellEnd"/>
            <w:r>
              <w:rPr>
                <w:rFonts w:ascii="Times New Roman" w:hAnsi="Times New Roman"/>
                <w:sz w:val="24"/>
              </w:rPr>
              <w:t xml:space="preserve"> 1 kvůli limitu (objem přesahující limit snížený o splacené nástroje a nástroje po splatnosti)</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vedlejšího kapitálu </w:t>
            </w:r>
            <w:proofErr w:type="spellStart"/>
            <w:r>
              <w:rPr>
                <w:rFonts w:ascii="Times New Roman" w:hAnsi="Times New Roman"/>
                <w:sz w:val="24"/>
              </w:rPr>
              <w:t>tier</w:t>
            </w:r>
            <w:proofErr w:type="spellEnd"/>
            <w:r>
              <w:rPr>
                <w:rFonts w:ascii="Times New Roman" w:hAnsi="Times New Roman"/>
                <w:sz w:val="24"/>
              </w:rPr>
              <w:t xml:space="preserve"> 1 kvůli limitu (objem přesahující limit snížený o splacené nástroje a nástroje po splatnosti) podle čl. 484 odst. 4 a čl. 486 odst. 3 a 5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kapitálu </w:t>
            </w:r>
            <w:proofErr w:type="spellStart"/>
            <w:r>
              <w:rPr>
                <w:rFonts w:ascii="Times New Roman" w:hAnsi="Times New Roman"/>
                <w:sz w:val="24"/>
              </w:rPr>
              <w:t>tier</w:t>
            </w:r>
            <w:proofErr w:type="spellEnd"/>
            <w:r>
              <w:rPr>
                <w:rFonts w:ascii="Times New Roman" w:hAnsi="Times New Roman"/>
                <w:sz w:val="24"/>
              </w:rPr>
              <w:t xml:space="preserve"> 2, na které se vztahují ujednání o postupném odstranění</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Stávající limit pro nástroje zahrnované do kapitálu </w:t>
            </w:r>
            <w:proofErr w:type="spellStart"/>
            <w:r>
              <w:rPr>
                <w:rFonts w:ascii="Times New Roman" w:hAnsi="Times New Roman"/>
                <w:sz w:val="24"/>
              </w:rPr>
              <w:t>tier</w:t>
            </w:r>
            <w:proofErr w:type="spellEnd"/>
            <w:r>
              <w:rPr>
                <w:rFonts w:ascii="Times New Roman" w:hAnsi="Times New Roman"/>
                <w:sz w:val="24"/>
              </w:rPr>
              <w:t xml:space="preserve"> 2, na které se vztahují ustanovení o postupném odstranění, podle čl. 484 odst. 5 a čl. 486 odst. 4 a 5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kapitálu </w:t>
            </w:r>
            <w:proofErr w:type="spellStart"/>
            <w:r>
              <w:rPr>
                <w:rFonts w:ascii="Times New Roman" w:hAnsi="Times New Roman"/>
                <w:sz w:val="24"/>
              </w:rPr>
              <w:t>tier</w:t>
            </w:r>
            <w:proofErr w:type="spellEnd"/>
            <w:r>
              <w:rPr>
                <w:rFonts w:ascii="Times New Roman" w:hAnsi="Times New Roman"/>
                <w:sz w:val="24"/>
              </w:rPr>
              <w:t xml:space="preserve"> 2 kvůli limitu (objem přesahující limit snížený o splacené nástroje a nástroje po splatnosti)</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Objem vyloučený z kapitálu </w:t>
            </w:r>
            <w:proofErr w:type="spellStart"/>
            <w:r>
              <w:rPr>
                <w:rFonts w:ascii="Times New Roman" w:hAnsi="Times New Roman"/>
                <w:sz w:val="24"/>
              </w:rPr>
              <w:t>tier</w:t>
            </w:r>
            <w:proofErr w:type="spellEnd"/>
            <w:r>
              <w:rPr>
                <w:rFonts w:ascii="Times New Roman" w:hAnsi="Times New Roman"/>
                <w:sz w:val="24"/>
              </w:rPr>
              <w:t xml:space="preserve"> 2 kvůli limitu (objem přesahující limit snížený o splacené nástroje a nástroje po splatnosti) podle čl. 484 odst. 5 a čl. 486 odst. 4 a 5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5F742632" w:rsidR="00CE019E" w:rsidRPr="007F4CC8" w:rsidRDefault="00CE019E" w:rsidP="00CE019E">
      <w:pPr>
        <w:rPr>
          <w:rFonts w:ascii="Times New Roman" w:hAnsi="Times New Roman" w:cs="Times New Roman"/>
          <w:b/>
          <w:bCs/>
          <w:sz w:val="24"/>
        </w:rPr>
      </w:pPr>
      <w:r>
        <w:rPr>
          <w:rFonts w:ascii="Times New Roman" w:hAnsi="Times New Roman"/>
          <w:b/>
          <w:bCs/>
          <w:sz w:val="24"/>
        </w:rPr>
        <w:lastRenderedPageBreak/>
        <w:t xml:space="preserve">Šablona </w:t>
      </w:r>
      <w:r w:rsidR="00CC4769">
        <w:rPr>
          <w:rFonts w:ascii="Times New Roman" w:hAnsi="Times New Roman"/>
          <w:b/>
          <w:bCs/>
          <w:sz w:val="24"/>
        </w:rPr>
        <w:t xml:space="preserve">EU </w:t>
      </w:r>
      <w:r>
        <w:rPr>
          <w:rFonts w:ascii="Times New Roman" w:hAnsi="Times New Roman"/>
          <w:b/>
          <w:bCs/>
          <w:sz w:val="24"/>
        </w:rPr>
        <w:t>CC2 – Sesouhlasení regulatorního kapitálu s rozvahou v auditované účetní závěrce</w:t>
      </w:r>
    </w:p>
    <w:p w14:paraId="711EC574" w14:textId="77777777" w:rsidR="00CE019E" w:rsidRPr="007F4CC8" w:rsidRDefault="00CE019E" w:rsidP="00CE019E">
      <w:pPr>
        <w:rPr>
          <w:rFonts w:ascii="Times New Roman" w:hAnsi="Times New Roman" w:cs="Times New Roman"/>
          <w:b/>
          <w:sz w:val="24"/>
        </w:rPr>
      </w:pPr>
    </w:p>
    <w:p w14:paraId="4489D8F8" w14:textId="3789FD83"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Informace uvedené v čl. 437 písm. a)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CC2, obsažené v příloze VII tohoto prováděcího nařízení</w:t>
      </w:r>
      <w:r>
        <w:rPr>
          <w:rFonts w:ascii="Times New Roman" w:hAnsi="Times New Roman"/>
          <w:bCs/>
          <w:sz w:val="24"/>
        </w:rPr>
        <w:t>.</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Instituce zpřístupňují rozvahu obsaženou v jejich zveřejněné účetní závěrce. Účetní závěrkou musí být auditovaná účetní závěrka uvádějící údaje ke konci roku.</w:t>
      </w:r>
    </w:p>
    <w:p w14:paraId="24A5DB54" w14:textId="0209796C"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Řádky šablony jsou flexibilní a instituce je vyplní v souladu se svou účetní závěrkou. Položky kapitálu v auditované účetní závěrce zahrnují veškeré položky, které jsou složkami regulatorního kapitálu nebo které jsou odečteny od tohoto kapitálu, včetně vlastního kapitálu, závazků, jako jsou dluhy, nebo jiných rozvahových položek, které ovlivňují regulatorní kapitál, jako jsou nehmotná aktiva, goodwill a odložené daňové pohledávky. Instituce podle potřeby rozšíří položky kapitálu v rozvaze, aby zajistily, že všechny složky obsažené v šabloně pro zveřejňování informací o skladbě kapitálu (šablona </w:t>
      </w:r>
      <w:r w:rsidR="00CC4769">
        <w:rPr>
          <w:rFonts w:ascii="Times New Roman" w:hAnsi="Times New Roman"/>
          <w:bCs/>
          <w:sz w:val="24"/>
        </w:rPr>
        <w:t xml:space="preserve">EU </w:t>
      </w:r>
      <w:r>
        <w:rPr>
          <w:rFonts w:ascii="Times New Roman" w:hAnsi="Times New Roman"/>
          <w:bCs/>
          <w:sz w:val="24"/>
        </w:rPr>
        <w:t xml:space="preserve">CC1) budou uvedeny zvlášť. Instituce rozšíří prvky rozvahy pouze na takovou úroveň členění, která je nezbytná k odvození složek požadovaných šablonou </w:t>
      </w:r>
      <w:r w:rsidR="00CC4769">
        <w:rPr>
          <w:rFonts w:ascii="Times New Roman" w:hAnsi="Times New Roman"/>
          <w:bCs/>
          <w:sz w:val="24"/>
        </w:rPr>
        <w:t xml:space="preserve">EU </w:t>
      </w:r>
      <w:r>
        <w:rPr>
          <w:rFonts w:ascii="Times New Roman" w:hAnsi="Times New Roman"/>
          <w:bCs/>
          <w:sz w:val="24"/>
        </w:rPr>
        <w:t>CC1. Zpřístupnění informací musí být přiměřené složitosti rozvahy instituce,</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Sloupce jsou pevně dané a informace v nich se uvedou takto:</w:t>
      </w:r>
    </w:p>
    <w:p w14:paraId="53064F99" w14:textId="2F3D230D"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Sloupec a</w:t>
      </w:r>
      <w:r w:rsidR="005B280B">
        <w:rPr>
          <w:rFonts w:ascii="Times New Roman" w:hAnsi="Times New Roman"/>
          <w:sz w:val="24"/>
        </w:rPr>
        <w:t>)</w:t>
      </w:r>
      <w:r>
        <w:rPr>
          <w:rFonts w:ascii="Times New Roman" w:hAnsi="Times New Roman"/>
          <w:sz w:val="24"/>
        </w:rPr>
        <w:t>: Instituce uvedou číselné údaje vykázané v rozvaze obsažené v jejich zveřejněných účetních závěrkách v souladu s účetním rozsahem konsolidace.</w:t>
      </w:r>
    </w:p>
    <w:p w14:paraId="3428898F" w14:textId="6538D53F"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Sloupec b</w:t>
      </w:r>
      <w:r w:rsidR="005B280B">
        <w:rPr>
          <w:rFonts w:ascii="Times New Roman" w:hAnsi="Times New Roman"/>
          <w:sz w:val="24"/>
        </w:rPr>
        <w:t>)</w:t>
      </w:r>
      <w:r>
        <w:rPr>
          <w:rFonts w:ascii="Times New Roman" w:hAnsi="Times New Roman"/>
          <w:sz w:val="24"/>
        </w:rPr>
        <w:t>: Instituce uvedou číselné údaje odpovídající obezřetnostní konsolidaci.</w:t>
      </w:r>
    </w:p>
    <w:p w14:paraId="1231F8C9" w14:textId="2FE4FCD9"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Sloupec c</w:t>
      </w:r>
      <w:r w:rsidR="005B280B">
        <w:rPr>
          <w:rFonts w:ascii="Times New Roman" w:hAnsi="Times New Roman"/>
          <w:sz w:val="24"/>
        </w:rPr>
        <w:t>)</w:t>
      </w:r>
      <w:r>
        <w:rPr>
          <w:rFonts w:ascii="Times New Roman" w:hAnsi="Times New Roman"/>
          <w:sz w:val="24"/>
        </w:rPr>
        <w:t xml:space="preserve">: Instituce uvedou křížové odkazy mezi položkou kapitálu v šabloně </w:t>
      </w:r>
      <w:r w:rsidR="00CC4769">
        <w:rPr>
          <w:rFonts w:ascii="Times New Roman" w:hAnsi="Times New Roman"/>
          <w:sz w:val="24"/>
        </w:rPr>
        <w:t xml:space="preserve">EU </w:t>
      </w:r>
      <w:r>
        <w:rPr>
          <w:rFonts w:ascii="Times New Roman" w:hAnsi="Times New Roman"/>
          <w:sz w:val="24"/>
        </w:rPr>
        <w:t xml:space="preserve">CC2 a příslušnými položkami šablony pro zpřístupňování informací o kapitálu </w:t>
      </w:r>
      <w:r w:rsidR="00CC4769">
        <w:rPr>
          <w:rFonts w:ascii="Times New Roman" w:hAnsi="Times New Roman"/>
          <w:sz w:val="24"/>
        </w:rPr>
        <w:t xml:space="preserve">EU </w:t>
      </w:r>
      <w:r>
        <w:rPr>
          <w:rFonts w:ascii="Times New Roman" w:hAnsi="Times New Roman"/>
          <w:sz w:val="24"/>
        </w:rPr>
        <w:t xml:space="preserve">CC1. Odkaz ve sloupci c) šablony </w:t>
      </w:r>
      <w:r w:rsidR="00CC4769">
        <w:rPr>
          <w:rFonts w:ascii="Times New Roman" w:hAnsi="Times New Roman"/>
          <w:sz w:val="24"/>
        </w:rPr>
        <w:t xml:space="preserve">EU </w:t>
      </w:r>
      <w:r>
        <w:rPr>
          <w:rFonts w:ascii="Times New Roman" w:hAnsi="Times New Roman"/>
          <w:sz w:val="24"/>
        </w:rPr>
        <w:t xml:space="preserve">CC2 bude propojen s odkazem uvedeným ve sloupci b) šablony </w:t>
      </w:r>
      <w:r w:rsidR="00CC4769">
        <w:rPr>
          <w:rFonts w:ascii="Times New Roman" w:hAnsi="Times New Roman"/>
          <w:sz w:val="24"/>
        </w:rPr>
        <w:t xml:space="preserve">EU </w:t>
      </w:r>
      <w:r>
        <w:rPr>
          <w:rFonts w:ascii="Times New Roman" w:hAnsi="Times New Roman"/>
          <w:sz w:val="24"/>
        </w:rPr>
        <w:t>CC1.</w:t>
      </w:r>
    </w:p>
    <w:p w14:paraId="2221F596" w14:textId="09386160"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V následujících případech, kdy je rozsah účetní konsolidace institucí zcela shodný s rozsahem obezřetnostní konsolidace, sloupce a) a b) této přílohy se sloučí a tato skutečnost bude jasně uvedena.</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 xml:space="preserve">Pokud instituce plní požadavky stanovené v části osmé CRR na konsolidovaném nebo </w:t>
      </w:r>
      <w:proofErr w:type="spellStart"/>
      <w:r>
        <w:rPr>
          <w:rFonts w:ascii="Times New Roman" w:hAnsi="Times New Roman"/>
          <w:sz w:val="24"/>
        </w:rPr>
        <w:t>subkonsolidovaném</w:t>
      </w:r>
      <w:proofErr w:type="spellEnd"/>
      <w:r>
        <w:rPr>
          <w:rFonts w:ascii="Times New Roman" w:hAnsi="Times New Roman"/>
          <w:sz w:val="24"/>
        </w:rPr>
        <w:t xml:space="preserve"> základě, rozsah a metoda konsolidace použité pro rozvahu v rámci účetní závěrky jsou však totožné s rozsahem a metodou konsolidace stanovenými podle části první hlavy II kapitoly 2 CRR, a instituce jednoznačně uvedou, že mezi příslušnými rozsahy a metodami konsolidace neexistují rozdíly.</w:t>
      </w: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Pokud instituce plní požadavky stanovené v části osmé CRR na individuálním základě.</w:t>
      </w:r>
    </w:p>
    <w:p w14:paraId="6FBA5BFD" w14:textId="77777777" w:rsidR="00CE019E" w:rsidRPr="007F4CC8" w:rsidRDefault="00CE019E" w:rsidP="00CE019E">
      <w:pPr>
        <w:pStyle w:val="ListParagraph"/>
        <w:rPr>
          <w:rFonts w:ascii="Times New Roman" w:hAnsi="Times New Roman"/>
          <w:bCs/>
          <w:sz w:val="24"/>
          <w:szCs w:val="24"/>
        </w:rPr>
      </w:pPr>
    </w:p>
    <w:p w14:paraId="5B67FEBB" w14:textId="3D318763" w:rsidR="00CE019E" w:rsidRPr="007F4CC8" w:rsidRDefault="00CE019E" w:rsidP="00CE019E">
      <w:pPr>
        <w:rPr>
          <w:rFonts w:ascii="Times New Roman" w:hAnsi="Times New Roman" w:cs="Times New Roman"/>
          <w:b/>
          <w:bCs/>
          <w:sz w:val="24"/>
        </w:rPr>
      </w:pPr>
      <w:r>
        <w:rPr>
          <w:rFonts w:ascii="Times New Roman" w:hAnsi="Times New Roman"/>
          <w:b/>
          <w:bCs/>
          <w:sz w:val="24"/>
        </w:rPr>
        <w:t>Tabulka </w:t>
      </w:r>
      <w:r w:rsidR="00CC4769">
        <w:rPr>
          <w:rFonts w:ascii="Times New Roman" w:hAnsi="Times New Roman"/>
          <w:b/>
          <w:bCs/>
          <w:sz w:val="24"/>
        </w:rPr>
        <w:t xml:space="preserve">EU </w:t>
      </w:r>
      <w:r>
        <w:rPr>
          <w:rFonts w:ascii="Times New Roman" w:hAnsi="Times New Roman"/>
          <w:b/>
          <w:bCs/>
          <w:sz w:val="24"/>
        </w:rPr>
        <w:t>CCA – Základní vlastnosti nástrojů regulatorního kapitálu a nástrojů způsobilých závazků</w:t>
      </w:r>
    </w:p>
    <w:p w14:paraId="3FA435A8" w14:textId="77777777" w:rsidR="00CE019E" w:rsidRPr="007F4CC8" w:rsidRDefault="00CE019E" w:rsidP="00CE019E">
      <w:pPr>
        <w:rPr>
          <w:rFonts w:ascii="Times New Roman" w:hAnsi="Times New Roman" w:cs="Times New Roman"/>
          <w:b/>
          <w:bCs/>
          <w:sz w:val="24"/>
        </w:rPr>
      </w:pPr>
    </w:p>
    <w:p w14:paraId="19AB5330" w14:textId="45411EC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lastRenderedPageBreak/>
        <w:t xml:space="preserve">Informace uvedené v čl. 437 písm. b) a c) CRR zpřístupňují instituce podle následujících pokynů k vyplnění tabulky </w:t>
      </w:r>
      <w:r w:rsidR="00CC4769">
        <w:rPr>
          <w:rFonts w:ascii="Times New Roman" w:hAnsi="Times New Roman"/>
          <w:bCs/>
          <w:sz w:val="24"/>
        </w:rPr>
        <w:t xml:space="preserve">EU </w:t>
      </w:r>
      <w:r>
        <w:rPr>
          <w:rFonts w:ascii="Times New Roman" w:hAnsi="Times New Roman"/>
          <w:bCs/>
          <w:sz w:val="24"/>
        </w:rPr>
        <w:t>CCA, obsažené v příloze VII tohoto prováděcího nařízení.</w:t>
      </w:r>
    </w:p>
    <w:p w14:paraId="5CA31427" w14:textId="12491B89"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Instituce vyplní tabulku </w:t>
      </w:r>
      <w:r w:rsidR="00CC4769">
        <w:rPr>
          <w:rFonts w:ascii="Times New Roman" w:hAnsi="Times New Roman"/>
          <w:bCs/>
          <w:sz w:val="24"/>
        </w:rPr>
        <w:t xml:space="preserve">EU </w:t>
      </w:r>
      <w:r>
        <w:rPr>
          <w:rFonts w:ascii="Times New Roman" w:hAnsi="Times New Roman"/>
          <w:bCs/>
          <w:sz w:val="24"/>
        </w:rPr>
        <w:t xml:space="preserve">CCA pro tyto kategorie: nástroje zahrnované do kmenového kapitálu </w:t>
      </w:r>
      <w:proofErr w:type="spellStart"/>
      <w:r>
        <w:rPr>
          <w:rFonts w:ascii="Times New Roman" w:hAnsi="Times New Roman"/>
          <w:bCs/>
          <w:sz w:val="24"/>
        </w:rPr>
        <w:t>tier</w:t>
      </w:r>
      <w:proofErr w:type="spellEnd"/>
      <w:r>
        <w:rPr>
          <w:rFonts w:ascii="Times New Roman" w:hAnsi="Times New Roman"/>
          <w:bCs/>
          <w:sz w:val="24"/>
        </w:rPr>
        <w:t xml:space="preserve"> 1, nástroje zahrnované do vedlejšího kapitálu </w:t>
      </w:r>
      <w:proofErr w:type="spellStart"/>
      <w:r>
        <w:rPr>
          <w:rFonts w:ascii="Times New Roman" w:hAnsi="Times New Roman"/>
          <w:bCs/>
          <w:sz w:val="24"/>
        </w:rPr>
        <w:t>tier</w:t>
      </w:r>
      <w:proofErr w:type="spellEnd"/>
      <w:r>
        <w:rPr>
          <w:rFonts w:ascii="Times New Roman" w:hAnsi="Times New Roman"/>
          <w:bCs/>
          <w:sz w:val="24"/>
        </w:rPr>
        <w:t xml:space="preserve"> 1, nástroje zahrnované do kapitálu </w:t>
      </w:r>
      <w:proofErr w:type="spellStart"/>
      <w:r>
        <w:rPr>
          <w:rFonts w:ascii="Times New Roman" w:hAnsi="Times New Roman"/>
          <w:bCs/>
          <w:sz w:val="24"/>
        </w:rPr>
        <w:t>tier</w:t>
      </w:r>
      <w:proofErr w:type="spellEnd"/>
      <w:r>
        <w:rPr>
          <w:rFonts w:ascii="Times New Roman" w:hAnsi="Times New Roman"/>
          <w:bCs/>
          <w:sz w:val="24"/>
        </w:rPr>
        <w:t xml:space="preserve"> 2 a ve smyslu článku 72b CRR nástroje způsobilých závazků.</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Tabulky obsahují samostatné sloupce s vlastnostmi jednotlivých nástrojů regulatorního kapitálu a nástrojů způsobilých závazků. Mají-li různé nástroje téže kategorie totožné vlastnosti, mohou instituce vyplnit pouze jeden sloupec uvádějící tyto totožné vlastnosti a určit emise, jichž se totožné vlastnosti týkají. Při zpřístupňování informací ve sloupcích pro tyto nástroje je instituce seskupí do tří oddílů (vodorovně v tabulce), aby znázornily, zda jsou nástroje určeny ke splnění i) požadavků týkajících se pouze kapitálu (nikoli však způsobilých závazků); </w:t>
      </w:r>
      <w:proofErr w:type="spellStart"/>
      <w:r>
        <w:rPr>
          <w:rFonts w:ascii="Times New Roman" w:hAnsi="Times New Roman"/>
          <w:bCs/>
          <w:sz w:val="24"/>
        </w:rPr>
        <w:t>ii</w:t>
      </w:r>
      <w:proofErr w:type="spellEnd"/>
      <w:r>
        <w:rPr>
          <w:rFonts w:ascii="Times New Roman" w:hAnsi="Times New Roman"/>
          <w:bCs/>
          <w:sz w:val="24"/>
        </w:rPr>
        <w:t xml:space="preserve">) požadavků týkajících se kapitálu i způsobilých závazků nebo </w:t>
      </w:r>
      <w:proofErr w:type="spellStart"/>
      <w:r>
        <w:rPr>
          <w:rFonts w:ascii="Times New Roman" w:hAnsi="Times New Roman"/>
          <w:bCs/>
          <w:sz w:val="24"/>
        </w:rPr>
        <w:t>iii</w:t>
      </w:r>
      <w:proofErr w:type="spellEnd"/>
      <w:r>
        <w:rPr>
          <w:rFonts w:ascii="Times New Roman" w:hAnsi="Times New Roman"/>
          <w:bCs/>
          <w:sz w:val="24"/>
        </w:rPr>
        <w:t>) požadavků týkajících se pouze způsobilých závazků (nikoli však kapitálu).</w:t>
      </w:r>
      <w:r>
        <w:rPr>
          <w:rFonts w:ascii="Times New Roman" w:hAnsi="Times New Roman"/>
          <w:bCs/>
          <w:sz w:val="24"/>
        </w:rP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Ve vztahu k nástrojům způsobilých závazků, které nejsou podřízeny vyloučeným závazkům, instituce zpřístupňují informace týkající se pouze cenných papírů, které jsou zastupitelnými, obchodovatelnými finančními nástroji, s vyloučením úvěrů a vkladů.</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Pokyny k vyplnění tabulky základních vlastností nástrojů regulatorního kapitálu a způsobilých závazků</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Řádek</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Vysvětlení</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Emitent</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uvedou oficiální název emitenta.</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Specifický identifikační kód (např. CUSIP, ISIN nebo </w:t>
            </w:r>
            <w:proofErr w:type="spellStart"/>
            <w:r>
              <w:rPr>
                <w:rFonts w:ascii="Times New Roman" w:hAnsi="Times New Roman"/>
                <w:sz w:val="24"/>
              </w:rPr>
              <w:t>Bloomberg</w:t>
            </w:r>
            <w:proofErr w:type="spellEnd"/>
            <w:r>
              <w:rPr>
                <w:rFonts w:ascii="Times New Roman" w:hAnsi="Times New Roman"/>
                <w:sz w:val="24"/>
              </w:rPr>
              <w:t xml:space="preserve"> v případě soukromé investice)</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Volný text</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Veřejná nebo soukromá investice</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Instituce upřesní, zda byl nástroj předmětem veřejné, nebo soukromé investice.</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Výběr z nabídky: [Veřejná] [ Soukromá]</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Právní předpisy, jimiž se nástroj řídí</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právní předpisy, jimiž se nástroj řídí.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Volný text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Smluvní uznání pravomocí příslušného orgánu k odpisu a konverzi</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zda nástroj obsahuje doložku, podle níž má být na základě rozhodnutí orgánu příslušného k řešení krize nebo relevantního orgánu třetí </w:t>
            </w:r>
            <w:r>
              <w:rPr>
                <w:rFonts w:ascii="Times New Roman" w:hAnsi="Times New Roman"/>
                <w:sz w:val="24"/>
              </w:rPr>
              <w:lastRenderedPageBreak/>
              <w:t xml:space="preserve">země trvale odepsána jistina nástroje, nebo má být nástroj konvertován na nástroj zahrnovaný do kmenového kapitálu </w:t>
            </w:r>
            <w:proofErr w:type="spellStart"/>
            <w:r>
              <w:rPr>
                <w:rFonts w:ascii="Times New Roman" w:hAnsi="Times New Roman"/>
                <w:sz w:val="24"/>
              </w:rPr>
              <w:t>tier</w:t>
            </w:r>
            <w:proofErr w:type="spellEnd"/>
            <w:r>
              <w:rPr>
                <w:rFonts w:ascii="Times New Roman" w:hAnsi="Times New Roman"/>
                <w:sz w:val="24"/>
              </w:rPr>
              <w:t xml:space="preserve"> 1 ve smyslu těchto ustanovení:</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pokud jde o nástroje zahrnované do vedlejšího kapitálu </w:t>
            </w:r>
            <w:proofErr w:type="spellStart"/>
            <w:r>
              <w:rPr>
                <w:rFonts w:ascii="Times New Roman" w:hAnsi="Times New Roman"/>
                <w:sz w:val="24"/>
              </w:rPr>
              <w:t>tier</w:t>
            </w:r>
            <w:proofErr w:type="spellEnd"/>
            <w:r>
              <w:rPr>
                <w:rFonts w:ascii="Times New Roman" w:hAnsi="Times New Roman"/>
                <w:sz w:val="24"/>
              </w:rPr>
              <w:t xml:space="preserve"> 1, čl. 52 odst. 1 písm. p) CRR,</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pokud jde o nástroje zahrnované do kapitálu </w:t>
            </w:r>
            <w:proofErr w:type="spellStart"/>
            <w:r>
              <w:rPr>
                <w:rFonts w:ascii="Times New Roman" w:hAnsi="Times New Roman"/>
                <w:sz w:val="24"/>
              </w:rPr>
              <w:t>tier</w:t>
            </w:r>
            <w:proofErr w:type="spellEnd"/>
            <w:r>
              <w:rPr>
                <w:rFonts w:ascii="Times New Roman" w:hAnsi="Times New Roman"/>
                <w:sz w:val="24"/>
              </w:rPr>
              <w:t xml:space="preserve"> 2, čl. 63 písm. n) nebo o) CRR,</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pokud jde o způsobilé závazky, čl. 72b odst. 2 písm. n) CRR,</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pokud jde o kterýkoli výše uvedený nástroj, který se řídí právem třetí země, článek 55 směrnice (EU) 2019/879</w:t>
            </w:r>
            <w:r w:rsidRPr="007F4CC8">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(dále jen „BRRD“).</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Odpis a konverze mohou být v souladu s článkem 55 BRRD a současně s kteroukoli z prvních tří odrážek.</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[ANO] [NE]</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Současné zacházení zohledňující dle potřeby pravidla CRR platná v přechodném období</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přechodné zacházení s regulatorním kapitálem podle CRR. Rozhodující je původní klasifikace nástroje bez ohledu na případnou </w:t>
            </w:r>
            <w:proofErr w:type="spellStart"/>
            <w:r>
              <w:rPr>
                <w:rFonts w:ascii="Times New Roman" w:hAnsi="Times New Roman"/>
                <w:sz w:val="24"/>
              </w:rPr>
              <w:t>reklasifikaci</w:t>
            </w:r>
            <w:proofErr w:type="spellEnd"/>
            <w:r>
              <w:rPr>
                <w:rFonts w:ascii="Times New Roman" w:hAnsi="Times New Roman"/>
                <w:sz w:val="24"/>
              </w:rPr>
              <w:t xml:space="preserve"> na kapitál nižší třídy.</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Výběr z nabídky: [Kmenový kapitál </w:t>
            </w:r>
            <w:proofErr w:type="spellStart"/>
            <w:r>
              <w:rPr>
                <w:rFonts w:ascii="Times New Roman" w:hAnsi="Times New Roman"/>
                <w:i/>
                <w:sz w:val="24"/>
              </w:rPr>
              <w:t>tier</w:t>
            </w:r>
            <w:proofErr w:type="spellEnd"/>
            <w:r>
              <w:rPr>
                <w:rFonts w:ascii="Times New Roman" w:hAnsi="Times New Roman"/>
                <w:i/>
                <w:sz w:val="24"/>
              </w:rPr>
              <w:t xml:space="preserve"> 1] [Vedlejší kapitál </w:t>
            </w:r>
            <w:proofErr w:type="spellStart"/>
            <w:r>
              <w:rPr>
                <w:rFonts w:ascii="Times New Roman" w:hAnsi="Times New Roman"/>
                <w:i/>
                <w:sz w:val="24"/>
              </w:rPr>
              <w:t>tier</w:t>
            </w:r>
            <w:proofErr w:type="spellEnd"/>
            <w:r>
              <w:rPr>
                <w:rFonts w:ascii="Times New Roman" w:hAnsi="Times New Roman"/>
                <w:i/>
                <w:sz w:val="24"/>
              </w:rPr>
              <w:t xml:space="preserve"> 1] [Kapitál </w:t>
            </w:r>
            <w:proofErr w:type="spellStart"/>
            <w:r>
              <w:rPr>
                <w:rFonts w:ascii="Times New Roman" w:hAnsi="Times New Roman"/>
                <w:i/>
                <w:sz w:val="24"/>
              </w:rPr>
              <w:t>tier</w:t>
            </w:r>
            <w:proofErr w:type="spellEnd"/>
            <w:r>
              <w:rPr>
                <w:rFonts w:ascii="Times New Roman" w:hAnsi="Times New Roman"/>
                <w:i/>
                <w:sz w:val="24"/>
              </w:rPr>
              <w:t xml:space="preserve"> 2] [Nezpůsobilé] [Nepoužije se]</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Volný text – upřesněte, zda byla část emise </w:t>
            </w:r>
            <w:proofErr w:type="spellStart"/>
            <w:r>
              <w:rPr>
                <w:rFonts w:ascii="Times New Roman" w:hAnsi="Times New Roman"/>
                <w:i/>
                <w:sz w:val="24"/>
              </w:rPr>
              <w:t>reklasifikována</w:t>
            </w:r>
            <w:proofErr w:type="spellEnd"/>
            <w:r>
              <w:rPr>
                <w:rFonts w:ascii="Times New Roman" w:hAnsi="Times New Roman"/>
                <w:i/>
                <w:sz w:val="24"/>
              </w:rPr>
              <w:t xml:space="preserve"> na kapitál nižší třídy.</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Pravidla CRR platná po uplynutí přechodného období</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zacházení s regulatorním kapitálem podle CRR, aniž by se přihlíželo k přechodnému zacházení.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Výběr z nabídky: [Kmenový kapitál </w:t>
            </w:r>
            <w:proofErr w:type="spellStart"/>
            <w:r>
              <w:rPr>
                <w:rFonts w:ascii="Times New Roman" w:hAnsi="Times New Roman"/>
                <w:i/>
                <w:sz w:val="24"/>
              </w:rPr>
              <w:t>tier</w:t>
            </w:r>
            <w:proofErr w:type="spellEnd"/>
            <w:r>
              <w:rPr>
                <w:rFonts w:ascii="Times New Roman" w:hAnsi="Times New Roman"/>
                <w:i/>
                <w:sz w:val="24"/>
              </w:rPr>
              <w:t xml:space="preserve"> 1] [Vedlejší kapitál </w:t>
            </w:r>
            <w:proofErr w:type="spellStart"/>
            <w:r>
              <w:rPr>
                <w:rFonts w:ascii="Times New Roman" w:hAnsi="Times New Roman"/>
                <w:i/>
                <w:sz w:val="24"/>
              </w:rPr>
              <w:t>tier</w:t>
            </w:r>
            <w:proofErr w:type="spellEnd"/>
            <w:r>
              <w:rPr>
                <w:rFonts w:ascii="Times New Roman" w:hAnsi="Times New Roman"/>
                <w:i/>
                <w:sz w:val="24"/>
              </w:rPr>
              <w:t xml:space="preserve"> 1] [Kapitál </w:t>
            </w:r>
            <w:proofErr w:type="spellStart"/>
            <w:r>
              <w:rPr>
                <w:rFonts w:ascii="Times New Roman" w:hAnsi="Times New Roman"/>
                <w:i/>
                <w:sz w:val="24"/>
              </w:rPr>
              <w:t>tier</w:t>
            </w:r>
            <w:proofErr w:type="spellEnd"/>
            <w:r>
              <w:rPr>
                <w:rFonts w:ascii="Times New Roman" w:hAnsi="Times New Roman"/>
                <w:i/>
                <w:sz w:val="24"/>
              </w:rPr>
              <w:t xml:space="preserve"> 2] [Způsobilé závazky] [Nezpůsobilé]</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Způsobilý na individuálním/(sub-)konsolidovaném základě / individuálním a (sub-)konsolidovaném základě</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úroveň nebo úrovně v rámci skupiny, na nichž je nástroj zahrnován do kapitálu / způsobilých závazků.</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Výběr z nabídky: [Individuální] [(Sub-)konsolidovaný] [Individuální a (sub-)konsolidovaný]</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Typ nástroje (typy upřesní každá jurisdikce)</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typ nástroje v závislosti na jurisdikci.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 případě nástrojů zahrnovaných do kmenového kapitálu </w:t>
            </w:r>
            <w:proofErr w:type="spellStart"/>
            <w:r>
              <w:rPr>
                <w:rFonts w:ascii="Times New Roman" w:hAnsi="Times New Roman"/>
                <w:i/>
                <w:sz w:val="24"/>
              </w:rPr>
              <w:t>tier</w:t>
            </w:r>
            <w:proofErr w:type="spellEnd"/>
            <w:r>
              <w:rPr>
                <w:rFonts w:ascii="Times New Roman" w:hAnsi="Times New Roman"/>
                <w:i/>
                <w:sz w:val="24"/>
              </w:rPr>
              <w:t xml:space="preserve"> 1 vyberte název nástroje ze seznamu pro CET1, který zveřejňuje EBA podle čl. 26 odst. 3 CRR.</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 případě ostatních nástrojů vyberte z: možností v nabídce, kterou institucím poskytnou jednotlivé jurisdikce – u každého typu nástroje se vloží právní odkazy na články CRR.</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Objem uznaný v regulatorním kapitálu nebo způsobilých závazcích (měna v milionech, k poslednímu datu pro vykazování)</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objem uznaný v regulatorním kapitálu nebo způsobilých závazcích.</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 – zejména upřesněte, zda jsou určité části nástrojů vykazovány v různých třídách regulatorního kapitálu a zda se objem uznaný v regulatorním kapitálu liší od emitovaného objemu.</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Nominální hodnota nástroje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Nominální hodnota nástroje v měně emise a měně použité pro oznamovací povinnosti.</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 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Emisní cena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Emisní cena nástroje</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při splacení</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při splacení nástroje</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Účetní klasifikace</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účetní klasifikaci.</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[Vlastní kapitál akcionářů] [Závazek – zůstatková hodnota] [Závazek – reálná hodnota] [Menšinový podíl v dceřiném podniku zahrnutém do konsolidace]</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Původní datum emise</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datum vydání.</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Volný text</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Věčný nebo datovaný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se jedná o datovaný, nebo věčný nástroj.</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[Věčný] [Datovaný]</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Původní datum splatnosti</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U datovaného nástroje instituce upřesní původní datum splatnosti (den, měsíc a rok). V případě věčného nástroje uveďte „bez splatnosti“.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Volný text</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Vypovězení emitentem s výhradou předchozího schválení orgány dohledu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existuje možnost vypovězení emitentem (všechny typy kupních opcí).</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[Ano] [Ne]</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Datum možného vypovězení, data případného vypovězení a hodnota při splacení</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nástroje s možností vypovězení emitentem instituce upřesní první datum vypovězení, existuje-li u nástroje možnost vypovězení k určitému dni (den, měsíc a rok), a mimoto uvede, zda u nástroje existuje možnost vypovězení v případě daňové a/nebo regulativní rozhodné události. Instituce rovněž uvedou cenu při splacení, která pomáhá posoudit trvalost.</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Data následného vypovězení, je-li to relevantní</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existenci a četnost dat následného vypovězení, je-li to relevantní, což pomáhá posoudit trvalost.</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Volný text</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Pevná nebo pohyblivá dividenda/kupon</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zda jsou kupon/dividenda během existence nástroje pevně stanovené, nebo během existence nástroje pohyblivé, nebo v současnosti pevné, v budoucnu se však sazba změní na pohyblivou, nebo v současnosti pohyblivé, v budoucnu se však sazba změní na pevnou.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Výběr z nabídky: [Pevné] [Pohyblivé] [Změna z pevných sazeb na pohyblivé] [Změna z pohyblivých sazeb na pevné]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Kuponová sazba a případný související index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kuponovou sazbu nástroje a případný související index, k němuž se kuponová/dividendová sazba vztahuje.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Volný text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Existence systému pozastavení výplaty dividend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zda nevyplacení kuponu nebo dividendy z nástroje zakazuje výplatu dividend z kmenových akcií (tj. zda existuje systém pozastavení výplaty dividend).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Výběr z nabídky: [ano] [ne]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Zcela podle uvážení, částečně podle uvážení nebo povinné (pokud jde o časový harmonogram)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emitent rozhoduje o vyplacení kuponů/dividend zcela podle svého uvážení, částečně podle svého uvážení, nebo zda nemá v tomto ohledu žádnou rozhodovací pravomoc. Rozhoduje-li instituce o zrušení výplat kuponů/dividend za všech okolností podle svého uvážení, musí zvolit možnost „zcela podle uvážení“ (včetně v případech, kdy existuje systém pozastavení výplaty dividend, který instituci nebrání zrušit výplaty u nástroje). Existují-li určité podmínky, které musí být splněny, než je možné výplatu zrušit (např. kapitál pod určitou prahovou hodnotou), musí instituce zvolit možnost „částečně podle uvážení“. Nemůže-li instituce zrušit vyplacení mimo platební neschopnost instituce, musí vybrat možnost „povinné“.</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[Zcela podle uvážení] [Částečně podle uvážení] [Povinné]</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Volný text (uveďte důvody rozhodnutí, existenci systémů povinné výplaty dividend, systémů pozastavení výplaty dividend, alternativního mechanismu výplaty kuponu).</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Zcela podle uvážení, částečně podle uvážení nebo povinné (pokud jde o objem)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emitent rozhoduje o výši kuponu/dividendy zcela podle svého uvážení, částečně podle svého uvážení, nebo zda nemá v tomto ohledu žádnou rozhodovací pravomoc.</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[Zcela podle uvážení] [Částečně podle uvážení] [Povinné]</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Existence navýšení či jiné pobídky ke splacení nástroje</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existuje navýšení či jiná pobídka ke splacení nástroje.</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[Ano] [Ne]</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Nekumulativní nebo kumulativní</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jsou dividendy/kupony kumulativní nebo nekumulativní.</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[Nekumulativní] [Kumulativní] [Alternativní mechanismus výplaty kuponu]</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Konvertibilní nebo nekonvertibilní</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je nástroj konvertibilní, či nikoli.</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[Konvertibilní] [Nekonvertibilní]</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rozhodná událost pro konverzi</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podmínky konverze nástroje, včetně okamžiku neživotaschopnosti. Pokud může konverzi provést jeden či více orgánů, uvedou se tyto orgány. U každého orgánu se uvádí, zda právní základ pro provedení konverze orgánem stanoví podmínky smlouvy týkající se nástroje (smluvní přístup), nebo zda je právní základ stanoven zákonným způsobem (zákonný přístup).</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konvertibilní zcela nebo částečně</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bude nástroj vždy převeden zcela, zda může být převeden zcela nebo částečně, nebo zda bude vždy převeden částečně.</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[Vždy zcela] [Částečně nebo zcela] [Vždy částečně]</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konverzní faktor</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konverzní faktor při převedení na nástroj více absorbující ztráty.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povinná nebo nepovinná konverze</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U konvertibilních nástrojů instituce upřesní, zda je konverze povinná, nebo nepovinná.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[Povinná] [Nepovinná] [Nepoužitelné] a [Dle uvážení držitelů] [Dle uvážení emitenta] [Dle uvážení držitelů i emitenta]</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upřesněte, na jaký typ nástroje lze dotyčný nástroj převést</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 konvertibilních nástrojů instituce upřesní, na jaký typ nástroje lze dotyčný nástroj převést. Pomáhá posoudit schopnost absorbovat ztráty.</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Výběr z nabídky: [Kmenový kapitál </w:t>
            </w:r>
            <w:proofErr w:type="spellStart"/>
            <w:r>
              <w:rPr>
                <w:rFonts w:ascii="Times New Roman" w:hAnsi="Times New Roman"/>
                <w:i/>
                <w:sz w:val="24"/>
              </w:rPr>
              <w:t>tier</w:t>
            </w:r>
            <w:proofErr w:type="spellEnd"/>
            <w:r>
              <w:rPr>
                <w:rFonts w:ascii="Times New Roman" w:hAnsi="Times New Roman"/>
                <w:i/>
                <w:sz w:val="24"/>
              </w:rPr>
              <w:t xml:space="preserve"> 1] [Vedlejší kapitál </w:t>
            </w:r>
            <w:proofErr w:type="spellStart"/>
            <w:r>
              <w:rPr>
                <w:rFonts w:ascii="Times New Roman" w:hAnsi="Times New Roman"/>
                <w:i/>
                <w:sz w:val="24"/>
              </w:rPr>
              <w:t>tier</w:t>
            </w:r>
            <w:proofErr w:type="spellEnd"/>
            <w:r>
              <w:rPr>
                <w:rFonts w:ascii="Times New Roman" w:hAnsi="Times New Roman"/>
                <w:i/>
                <w:sz w:val="24"/>
              </w:rPr>
              <w:t xml:space="preserve"> 1] [Kapitál </w:t>
            </w:r>
            <w:proofErr w:type="spellStart"/>
            <w:r>
              <w:rPr>
                <w:rFonts w:ascii="Times New Roman" w:hAnsi="Times New Roman"/>
                <w:i/>
                <w:sz w:val="24"/>
              </w:rPr>
              <w:t>tier</w:t>
            </w:r>
            <w:proofErr w:type="spellEnd"/>
            <w:r>
              <w:rPr>
                <w:rFonts w:ascii="Times New Roman" w:hAnsi="Times New Roman"/>
                <w:i/>
                <w:sz w:val="24"/>
              </w:rPr>
              <w:t xml:space="preserve"> 2] [Jiné]</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konvertibilního nástroje uveďte emitenta nástroje, na nějž je dotyčný nástroj převeden</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Možnost snížení účetní hodnoty</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zda existuje možnost snížení účetní hodnoty.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[Ano] [Ne]</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 případě snížení účetní hodnoty, rozhodná událost pro snížení účetní hodnoty</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Instituce upřesní rozhodné události, které vedou k snížení účetní hodnoty, včetně okamžiku neživotaschopnosti. Může-li snížení hodnoty provést jeden nebo více orgánů, uvedou se tyto orgány. U každého orgánu se uvede, zda právní základ pro snížení účetní hodnoty orgánem stanoví podmínky smlouvy týkající se nástroje (smluvní přístup), nebo zda je právní základ stanoven zákonným způsobem (zákonný přístup).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snížení účetní hodnoty, snížení v celém rozsahu nebo částečné</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bude nástroj vždy odepsán zcela, nebo zda může být odepsán částečně, nebo zda bude vždy odepsán částečně. Pomáhá posoudit úroveň schopnosti absorbovat ztráty při snížení účetní hodnoty.</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[Vždy zcela] [Zcela nebo částečně] [Vždy částečně]</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případě snížení účetní hodnoty, trvalé nebo dočasné snížení</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 případě snížení účetní hodnoty nástroje instituce upřesní, zda je toto snížení trvalé nebo dočasné.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[Trvalé] [Dočasné] [Nepoužije se]</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 případě dočasného snížení účetní hodnoty, popis mechanismu zvýšení účetní hodnoty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popíší mechanismus zvýšení účetní hodnoty.</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Druh podřízenosti (pouze u způsobilých závazků)</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Instituce upřesní, zda nástroj splňuje některý z typů podřízenosti popsaných v čl. 72b odst. 2 písm. d) bodech i), </w:t>
            </w:r>
            <w:proofErr w:type="spellStart"/>
            <w:r>
              <w:rPr>
                <w:rFonts w:ascii="Times New Roman" w:hAnsi="Times New Roman"/>
                <w:sz w:val="24"/>
              </w:rPr>
              <w:t>ii</w:t>
            </w:r>
            <w:proofErr w:type="spellEnd"/>
            <w:r>
              <w:rPr>
                <w:rFonts w:ascii="Times New Roman" w:hAnsi="Times New Roman"/>
                <w:sz w:val="24"/>
              </w:rPr>
              <w:t xml:space="preserve">) a </w:t>
            </w:r>
            <w:proofErr w:type="spellStart"/>
            <w:r>
              <w:rPr>
                <w:rFonts w:ascii="Times New Roman" w:hAnsi="Times New Roman"/>
                <w:sz w:val="24"/>
              </w:rPr>
              <w:t>iii</w:t>
            </w:r>
            <w:proofErr w:type="spellEnd"/>
            <w:r>
              <w:rPr>
                <w:rFonts w:ascii="Times New Roman" w:hAnsi="Times New Roman"/>
                <w:sz w:val="24"/>
              </w:rPr>
              <w:t xml:space="preserve">) CRR.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[Smluvní], pokud nástroj splňuje požadavky stanovené v čl. 72b odst. 2 písm. d) bodě i) CRR;</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[Stanovená právními předpisy], pokud nástroj splňuje požadavky stanovené v čl. 72b odst. 2 písm. d) bodě </w:t>
            </w:r>
            <w:proofErr w:type="spellStart"/>
            <w:r>
              <w:rPr>
                <w:rFonts w:ascii="Times New Roman" w:hAnsi="Times New Roman"/>
                <w:i/>
                <w:sz w:val="24"/>
              </w:rPr>
              <w:t>ii</w:t>
            </w:r>
            <w:proofErr w:type="spellEnd"/>
            <w:r>
              <w:rPr>
                <w:rFonts w:ascii="Times New Roman" w:hAnsi="Times New Roman"/>
                <w:i/>
                <w:sz w:val="24"/>
              </w:rPr>
              <w:t>) CRR;</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[Strukturální], pokud nástroj splňuje požadavky stanovené v čl. 72b odst. 2 písm. d) bodě </w:t>
            </w:r>
            <w:proofErr w:type="spellStart"/>
            <w:r>
              <w:rPr>
                <w:rFonts w:ascii="Times New Roman" w:hAnsi="Times New Roman"/>
                <w:i/>
                <w:sz w:val="24"/>
              </w:rPr>
              <w:t>iii</w:t>
            </w:r>
            <w:proofErr w:type="spellEnd"/>
            <w:r>
              <w:rPr>
                <w:rFonts w:ascii="Times New Roman" w:hAnsi="Times New Roman"/>
                <w:i/>
                <w:sz w:val="24"/>
              </w:rPr>
              <w:t xml:space="preserve">) CRR;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[Výjimka z podřízenosti], pokud nástroj nesplňuje žádnou z výše uvedených forem podřízenosti a instituci je povoleno podle čl. 72b odst. 4 CRR zahrnout nepodřízené závazky do položek způsobilých závazků.</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Pořadí nástroje v případě běžného úpadkového řízení</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úroveň nástroje v běžném úpadkovém řízení.</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Jak je vymezeno v [prováděcí technické normě pro vykazování minimálního požadavku na kapitál a způsobilé závazky].</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Pozice v hierarchii podřízenosti v případě likvidace (uveďte typ nástroje bezprostředně nadřazeného dotyčnému nástroji)</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nástroj, jemuž je dotyčný nástroj nejvíce podřízen. Banky ve vyplněné tabulce pro zpřístupňování informací o hlavních rysech případně uvedou čísla sloupců nástrojů, jimž je nástroj nejvíce podřízen.</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Rysy nesplňující požadavky</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upřesní, zda existují rysy nesplňující požadavky.</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Výběr z nabídky: [Ano] [Ne]</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Pokud ano, uveďte rysy nesplňující požadavky</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Pokud existují rysy nesplňující požadavky, instituce upřesní jaké.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Volný text</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Odkaz na úplné znění podmínek nástroje (odkaz)</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Instituce uvedou hypertextový odkaz s přístupem k prospektu emise včetně veškerých podmínek nástroje.</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 xml:space="preserve">PŘÍLOHA X – Pokyny k zpřístupňování informací o </w:t>
      </w:r>
      <w:proofErr w:type="spellStart"/>
      <w:r>
        <w:t>proticyklických</w:t>
      </w:r>
      <w:proofErr w:type="spellEnd"/>
      <w:r>
        <w:t xml:space="preserve"> kapitálových rezervách</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32A23578" w:rsidR="00CE019E" w:rsidRPr="007F4CC8" w:rsidRDefault="00CE019E"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CCyB1 – Zeměpisné rozdělení úvěrových expozic relevantních pro výpočet </w:t>
      </w:r>
      <w:proofErr w:type="spellStart"/>
      <w:r>
        <w:rPr>
          <w:rFonts w:ascii="Times New Roman" w:hAnsi="Times New Roman"/>
          <w:b/>
          <w:sz w:val="24"/>
        </w:rPr>
        <w:t>proticyklické</w:t>
      </w:r>
      <w:proofErr w:type="spellEnd"/>
      <w:r>
        <w:rPr>
          <w:rFonts w:ascii="Times New Roman" w:hAnsi="Times New Roman"/>
          <w:b/>
          <w:sz w:val="24"/>
        </w:rPr>
        <w:t xml:space="preserve"> kapitálové rezervy </w:t>
      </w:r>
      <w:r>
        <w:rPr>
          <w:rFonts w:ascii="Times New Roman" w:hAnsi="Times New Roman"/>
          <w:sz w:val="24"/>
        </w:rPr>
        <w:t xml:space="preserve">Pevný formát pro sloupce, flexibilní formát pro řádky.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293735C0"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Informace uvedené v čl. 440 písm. a) nařízení (EU) č. 575/2013</w:t>
      </w:r>
      <w:r w:rsidRPr="007F4CC8">
        <w:rPr>
          <w:rStyle w:val="FootnoteReference"/>
        </w:rPr>
        <w:footnoteReference w:id="17"/>
      </w:r>
      <w:r>
        <w:rPr>
          <w:rFonts w:ascii="Times New Roman" w:hAnsi="Times New Roman"/>
          <w:sz w:val="24"/>
        </w:rPr>
        <w:t xml:space="preserve"> (dále jen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 xml:space="preserve">CCyB1, obsažené v příloze IX tohoto prováděcího nařízení. </w:t>
      </w:r>
    </w:p>
    <w:p w14:paraId="766E97DB" w14:textId="6547B9E0"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Oblast působnosti šablony </w:t>
      </w:r>
      <w:r w:rsidR="00CC4769">
        <w:rPr>
          <w:rFonts w:ascii="Times New Roman" w:hAnsi="Times New Roman"/>
          <w:sz w:val="24"/>
        </w:rPr>
        <w:t xml:space="preserve">EU </w:t>
      </w:r>
      <w:r>
        <w:rPr>
          <w:rFonts w:ascii="Times New Roman" w:hAnsi="Times New Roman"/>
          <w:sz w:val="24"/>
        </w:rPr>
        <w:t xml:space="preserve">CCyB1 je omezena na úvěrové expozice relevantní pro výpočet </w:t>
      </w:r>
      <w:proofErr w:type="spellStart"/>
      <w:r>
        <w:rPr>
          <w:rFonts w:ascii="Times New Roman" w:hAnsi="Times New Roman"/>
          <w:sz w:val="24"/>
        </w:rPr>
        <w:t>proticyklické</w:t>
      </w:r>
      <w:proofErr w:type="spellEnd"/>
      <w:r>
        <w:rPr>
          <w:rFonts w:ascii="Times New Roman" w:hAnsi="Times New Roman"/>
          <w:sz w:val="24"/>
        </w:rPr>
        <w:t xml:space="preserve"> kapitálové rezervy podle čl. 140 odst. 4 směrnice (EU) 2013/36</w:t>
      </w:r>
      <w:r w:rsidRPr="007F4CC8">
        <w:rPr>
          <w:rStyle w:val="FootnoteReference"/>
          <w:rFonts w:eastAsia="Times New Roman"/>
        </w:rPr>
        <w:footnoteReference w:id="18"/>
      </w:r>
      <w:r>
        <w:rPr>
          <w:rFonts w:ascii="Times New Roman" w:hAnsi="Times New Roman"/>
          <w:sz w:val="24"/>
        </w:rPr>
        <w:t xml:space="preserve"> (dále jen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Odkazy na právní předpisy a pokyny</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Členění podle zemí</w:t>
            </w:r>
          </w:p>
          <w:p w14:paraId="058E3F2B" w14:textId="77777777" w:rsidR="00CE019E" w:rsidRPr="007F4CC8" w:rsidRDefault="00CE019E" w:rsidP="001E06A3">
            <w:pPr>
              <w:pStyle w:val="Applicationdirecte"/>
              <w:spacing w:before="120"/>
            </w:pPr>
            <w:r>
              <w:t xml:space="preserve">Seznam zemí, ve kterých má instituce úvěrové expozice relevantní pro výpočet individuální </w:t>
            </w:r>
            <w:proofErr w:type="spellStart"/>
            <w:r>
              <w:t>proticyklické</w:t>
            </w:r>
            <w:proofErr w:type="spellEnd"/>
            <w:r>
              <w:t xml:space="preserve"> kapitálové rezervy v souladu s nařízením Komise v přenesené pravomoci (EU) č. 1152/2014</w:t>
            </w:r>
            <w:r w:rsidRPr="007F4CC8">
              <w:rPr>
                <w:rStyle w:val="FootnoteReference"/>
              </w:rPr>
              <w:footnoteReference w:id="19"/>
            </w:r>
            <w:r>
              <w:t>.</w:t>
            </w:r>
          </w:p>
          <w:p w14:paraId="3D1A0E2B" w14:textId="77777777" w:rsidR="00CE019E" w:rsidRPr="007F4CC8" w:rsidRDefault="00CE019E" w:rsidP="001E06A3">
            <w:pPr>
              <w:pStyle w:val="Fait"/>
              <w:spacing w:after="120"/>
            </w:pPr>
            <w:r>
              <w:t xml:space="preserve">Počet řádků se může lišit v závislosti na počtu zemí, v nichž má instituce své úvěrové expozice relevantní pro výpočet </w:t>
            </w:r>
            <w:proofErr w:type="spellStart"/>
            <w:r>
              <w:t>proticyklické</w:t>
            </w:r>
            <w:proofErr w:type="spellEnd"/>
            <w:r>
              <w:t xml:space="preserve"> rezervy. Instituce řádky pro jednotlivé země očíslují po sobě jdoucími čísly od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V souladu s nařízením Komise v přenesené pravomoci (EU) č. 1152/2014, pokud expozice obchodního portfolia nebo zahraniční úvěrové expozice instituce představují méně než 2 % souhrnu rizikově vážených expozic, může se instituce rozhodnout, že tyto expozice přidělí místu instituce (tj. domovskému členskému státu instituce). Pokud expozice uvedené u místa instituce zahrnují expozice z jiných zemí, jsou expozice z jiných zemí jasně označeny v poznámce k dané šabloně pro zpřístupnění informací.</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Celkem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Hodnota podle vysvětlivek pro sloupce a) až m) této šablony.</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Odkazy na právní předpisy a pokyny</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Vysvětlení</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lastRenderedPageBreak/>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Hodnota obecných úvěrových expozic podle standardizovaného přístupu</w:t>
            </w:r>
          </w:p>
          <w:p w14:paraId="28AF669D" w14:textId="77777777" w:rsidR="00CE019E" w:rsidRPr="007F4CC8" w:rsidRDefault="00CE019E" w:rsidP="001E06A3">
            <w:pPr>
              <w:pStyle w:val="Fait"/>
              <w:spacing w:after="120"/>
            </w:pPr>
            <w:r>
              <w:t>Hodnota rozhodných úvěrových expozic stanovená v souladu s čl. 140 odst. 4 písm. a) CRD a článkem 111 CRR.</w:t>
            </w:r>
          </w:p>
          <w:p w14:paraId="6C005399" w14:textId="77777777" w:rsidR="00CE019E" w:rsidRPr="007F4CC8" w:rsidRDefault="00CE019E" w:rsidP="001E06A3">
            <w:pPr>
              <w:pStyle w:val="Fait"/>
              <w:spacing w:after="120"/>
            </w:pPr>
            <w:r>
              <w:t>Hodnota rozhodných úvěrových expozic stanovená v souladu s čl. 140 odst. 4 písm. c) CRD a čl. 248 písm. a) a c) CRR se neuvádí zde, ale ve sloupci e) této šablony.</w:t>
            </w:r>
          </w:p>
          <w:p w14:paraId="6394081F" w14:textId="77777777" w:rsidR="00CE019E" w:rsidRPr="007F4CC8" w:rsidRDefault="00CE019E" w:rsidP="001E06A3">
            <w:pPr>
              <w:pStyle w:val="Fait"/>
              <w:spacing w:after="120"/>
            </w:pPr>
            <w:r>
              <w:t xml:space="preserve">Zeměpisné rozdělení se provádí v souladu s nařízením Komise v přenesené pravomoci (EU) č. 1152/2014. </w:t>
            </w:r>
          </w:p>
          <w:p w14:paraId="41086AB3" w14:textId="77777777" w:rsidR="00CE019E" w:rsidRPr="007F4CC8" w:rsidRDefault="00CE019E" w:rsidP="001E06A3">
            <w:pPr>
              <w:pStyle w:val="Fait"/>
              <w:spacing w:after="120"/>
            </w:pPr>
            <w:r>
              <w:t>Řádek 020 (Celkem): Součet všech rozhodných úvěrových expozic se stanoví v souladu s čl. 140 odst. 4 písm. a) CRD a článkem 111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Hodnota obecných úvěrových expozic podle přístupu IRB</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Hodnota rozhodných úvěrových expozic stanovená v souladu s čl. 140 odst. 4 písm. a) CRD a s články 166, 167 a 168 CRR.</w:t>
            </w:r>
          </w:p>
          <w:p w14:paraId="6CF97579" w14:textId="77777777" w:rsidR="00CE019E" w:rsidRPr="007F4CC8" w:rsidRDefault="00CE019E" w:rsidP="001E06A3">
            <w:pPr>
              <w:pStyle w:val="Fait"/>
              <w:spacing w:after="120"/>
            </w:pPr>
            <w:r>
              <w:t>Hodnota rozhodných úvěrových expozic stanovená v souladu s čl. 140 odst. 4 písm. c) CRD a čl. 248 písm. a) a c) CRR se neuvádí zde, ale ve sloupci e) této šablony.</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Zeměpisné rozdělení se provádí v souladu s nařízením Komise v přenesené pravomoci (EU) č.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Řádek 020 (Celkem): Součet všech rozhodných úvěrových expozic se stanoví v souladu s čl. 140 odst. 4 písm. a) CRD a s články 166, 167 a 168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Součet dlouhých a krátkých pozic expozic obchodního portfolia pro standardizovaný přístup</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Součet dlouhých a krátkých pozic rozhodných úvěrových expozic podle čl. 140 odst. 4 písm. b) CRD vypočtený jako součet dlouhých a krátkých pozic stanovených v souladu s článkem 327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Zeměpisné rozdělení se provádí v souladu s nařízením Komise v přenesené pravomoci (EU) č.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Celkový součet všech dlouhých a krátkých pozic rozhodných úvěrových expozic podle čl. 140 odst. 4 písm. b) CRD vypočtený jako součet dlouhých a krátkých pozic stanovených v souladu s článkem 327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Hodnota expozic obchodního portfolia pro interní modely</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Součet těchto hodnot:</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reálné hodnoty hotovostních pozic představujících rozhodné úvěrové expozice stanovené v souladu s čl. 140 odst. 4 písm. b) CRD a s článkem 104 CRR,</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pomyslné hodnoty derivátů představujících rozhodné úvěrové expozice stanovené v souladu s čl. 140 odst. 4 písm. b)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Zeměpisné rozdělení se provádí v souladu s nařízením Komise v přenesené pravomoci (EU) č.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reálné hodnoty všech hotovostních pozic představujících rozhodné úvěrové expozice se stanoví v souladu s čl. 140 odst. 4 písm. b) CRD a s článkem 104 CRR a součet pomyslných hodnot všech derivátů představujících rozhodné úvěrové expozice se stanoví v souladu s čl. 140 odst. 4 písm. b) CRD.</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Sekuritizované</w:t>
            </w:r>
            <w:proofErr w:type="spellEnd"/>
            <w:r>
              <w:rPr>
                <w:rFonts w:ascii="Times New Roman" w:hAnsi="Times New Roman"/>
                <w:b/>
                <w:sz w:val="24"/>
              </w:rPr>
              <w:t xml:space="preserve"> expozice Hodnota expozice v investičním portfoliu</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Hodnota expozice rozhodných úvěrových expozic stanovená v souladu s čl. 140 odst. 4 písm. c) CRD a s čl. 248 písm. a) a c)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Zeměpisné rozdělení se provádí v souladu s nařízením Komise v přenesené pravomoci (EU) č.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všech rozhodných úvěrových expozic se stanoví v souladu s čl. 140 odst. 4 písm. c) CRD a s čl. 248 písm. a) a c) CRR.</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Celková hodnota expozice</w:t>
            </w:r>
          </w:p>
          <w:p w14:paraId="52555FD3" w14:textId="568B6AF6"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Součet hodnot ve sloupcích a</w:t>
            </w:r>
            <w:r w:rsidR="005B280B">
              <w:rPr>
                <w:rFonts w:ascii="Times New Roman" w:hAnsi="Times New Roman"/>
                <w:sz w:val="24"/>
              </w:rPr>
              <w:t>)</w:t>
            </w:r>
            <w:r>
              <w:rPr>
                <w:rFonts w:ascii="Times New Roman" w:hAnsi="Times New Roman"/>
                <w:sz w:val="24"/>
              </w:rPr>
              <w:t>, b</w:t>
            </w:r>
            <w:r w:rsidR="005B280B">
              <w:rPr>
                <w:rFonts w:ascii="Times New Roman" w:hAnsi="Times New Roman"/>
                <w:sz w:val="24"/>
              </w:rPr>
              <w:t>)</w:t>
            </w:r>
            <w:r>
              <w:rPr>
                <w:rFonts w:ascii="Times New Roman" w:hAnsi="Times New Roman"/>
                <w:sz w:val="24"/>
              </w:rPr>
              <w:t>, c</w:t>
            </w:r>
            <w:r w:rsidR="005B280B">
              <w:rPr>
                <w:rFonts w:ascii="Times New Roman" w:hAnsi="Times New Roman"/>
                <w:sz w:val="24"/>
              </w:rPr>
              <w:t>)</w:t>
            </w:r>
            <w:r>
              <w:rPr>
                <w:rFonts w:ascii="Times New Roman" w:hAnsi="Times New Roman"/>
                <w:sz w:val="24"/>
              </w:rPr>
              <w:t>, d</w:t>
            </w:r>
            <w:r w:rsidR="005B280B">
              <w:rPr>
                <w:rFonts w:ascii="Times New Roman" w:hAnsi="Times New Roman"/>
                <w:sz w:val="24"/>
              </w:rPr>
              <w:t>)</w:t>
            </w:r>
            <w:r>
              <w:rPr>
                <w:rFonts w:ascii="Times New Roman" w:hAnsi="Times New Roman"/>
                <w:sz w:val="24"/>
              </w:rPr>
              <w:t xml:space="preserve"> a e</w:t>
            </w:r>
            <w:r w:rsidR="005B280B">
              <w:rPr>
                <w:rFonts w:ascii="Times New Roman" w:hAnsi="Times New Roman"/>
                <w:sz w:val="24"/>
              </w:rPr>
              <w:t>)</w:t>
            </w:r>
            <w:r>
              <w:rPr>
                <w:rFonts w:ascii="Times New Roman" w:hAnsi="Times New Roman"/>
                <w:sz w:val="24"/>
              </w:rPr>
              <w:t xml:space="preserve"> této šablony</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všech rozhodných úvěrových expozic se stanoví v souladu s čl. 140 odst. 4 CRD.</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Kapitálové požadavky – Rozhodné úvěrové expozice – Úvěrové riziko</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Kapitálové požadavky na rozhodné expozice úvěrového rizika v dané zemi stanovené v souladu s čl. 140 odst. 4 písm. a) CRD a s částí třetí hlavou II CRR a zohledňující kapitálové požadavky související s případnými úpravami rizikových vah pro jednotlivé země podle článku 458 CRR.</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všech kapitálových požadavků na rozhodné expozice úvěrového rizika se stanoví v souladu s čl. 140 odst. 4 písm. a) CRD a s částí třetí hlavou II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Kapitálové požadavky – Rozhodné úvěrové expozice – Tržní riziko </w:t>
            </w:r>
          </w:p>
          <w:p w14:paraId="31945EB4" w14:textId="77777777" w:rsidR="00CE019E" w:rsidRPr="007F4CC8" w:rsidRDefault="00CE019E" w:rsidP="001E06A3">
            <w:pPr>
              <w:pStyle w:val="Fait"/>
              <w:spacing w:after="120"/>
            </w:pPr>
            <w:r>
              <w:t>Kapitálové požadavky na rozhodné úvěrové expozice v dané zemi stanovené v souladu s čl. 140 odst. 4 písm. b) CRD a s částí třetí hlavou IV kapitolou 2 CRR pro specifické riziko nebo v souladu s částí třetí hlavou IV kapitolou 5 CRR pro dodatečné riziko selhání a migrace.</w:t>
            </w:r>
          </w:p>
          <w:p w14:paraId="2401E826" w14:textId="77777777" w:rsidR="00CE019E" w:rsidRPr="007F4CC8" w:rsidRDefault="00CE019E" w:rsidP="001E06A3">
            <w:pPr>
              <w:pStyle w:val="Fait"/>
              <w:spacing w:after="120"/>
            </w:pPr>
            <w:r>
              <w:t>Řádek 020 (Celkem): Součet všech kapitálových požadavků na rozhodné úvěrové expozice se stanoví v souladu s čl. 140 odst. 4 písm. b) CRD a s částí třetí hlavou IV kapitolou 2 CRR pro specifické riziko nebo s částí třetí hlavou IV kapitolou 5 CRR pro dodatečné riziko selhání a migrace.</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Kapitálové požadavky – Rozhodné úvěrové expozice – </w:t>
            </w:r>
            <w:proofErr w:type="spellStart"/>
            <w:r>
              <w:rPr>
                <w:rFonts w:ascii="Times New Roman" w:hAnsi="Times New Roman"/>
                <w:b/>
                <w:sz w:val="24"/>
              </w:rPr>
              <w:t>Sekuritizované</w:t>
            </w:r>
            <w:proofErr w:type="spellEnd"/>
            <w:r>
              <w:rPr>
                <w:rFonts w:ascii="Times New Roman" w:hAnsi="Times New Roman"/>
                <w:b/>
                <w:sz w:val="24"/>
              </w:rPr>
              <w:t xml:space="preserve"> pozice v investičním portfoliu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Kapitálové požadavky na rozhodné úvěrové expozice v dané zemi stanovené v souladu s čl. 140 odst. 4 písm. c) CRD a s částí třetí hlavou II kapitolou 5 CRR.</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všech kapitálových požadavků na rozhodné úvěrové expozice se stanoví v souladu s čl. 140 odst. 4 písm. c) CRD a s částí třetí hlavou II kapitolou 5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Kapitálové požadavky – celkem</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Součet hodnot ve sloupcích g), h) a i) této šablony</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Řádek 020 (Celkem): Součet všech kapitálových požadavků na rozhodné úvěrové expozice se stanoví v souladu s čl. 140 odst. 4 CRD.</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Objemy rizikově vážených expozic</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Objemy rizikově vážených expozic u rozhodných úvěrových expozic stanovené v souladu s čl. 140 odst. 4 CRD, členěné podle zemí a zohledňující případné úpravy rizikových vah pro jednotlivé země podle článku 458 CRR.</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Řádek 020 (Celkem): Součet všech objemů rizikově vážených expozic u rozhodných úvěrových expozic se stanoví v souladu s čl. 140 odst. 4 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Váhy kapitálových požadavků (v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Váha uplatněná na sazbu </w:t>
            </w:r>
            <w:proofErr w:type="spellStart"/>
            <w:r>
              <w:rPr>
                <w:rFonts w:ascii="Times New Roman" w:hAnsi="Times New Roman"/>
                <w:sz w:val="24"/>
              </w:rPr>
              <w:t>proticyklické</w:t>
            </w:r>
            <w:proofErr w:type="spellEnd"/>
            <w:r>
              <w:rPr>
                <w:rFonts w:ascii="Times New Roman" w:hAnsi="Times New Roman"/>
                <w:sz w:val="24"/>
              </w:rPr>
              <w:t xml:space="preserve"> rezervy v každé zemi vypočítaná jako podíl celkových kapitálových požadavků na rozhodné úvěrové expozice v dané zemi (řádek 01X, sloupec j) této šablony) na celkových kapitálových požadavcích na všechny úvěrové expozice relevantní pro výpočet </w:t>
            </w:r>
            <w:proofErr w:type="spellStart"/>
            <w:r>
              <w:rPr>
                <w:rFonts w:ascii="Times New Roman" w:hAnsi="Times New Roman"/>
                <w:sz w:val="24"/>
              </w:rPr>
              <w:t>proticyklické</w:t>
            </w:r>
            <w:proofErr w:type="spellEnd"/>
            <w:r>
              <w:rPr>
                <w:rFonts w:ascii="Times New Roman" w:hAnsi="Times New Roman"/>
                <w:sz w:val="24"/>
              </w:rPr>
              <w:t xml:space="preserve"> rezervy podle čl. 140 odst. 4 CRD (řádek 020, sloupec j) této šablony).</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Tato hodnota se uvádí jako procento s přesností na 2 desetinná místa.</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 xml:space="preserve">Sazba </w:t>
            </w:r>
            <w:proofErr w:type="spellStart"/>
            <w:r>
              <w:rPr>
                <w:rFonts w:ascii="Times New Roman" w:hAnsi="Times New Roman"/>
                <w:b/>
                <w:sz w:val="24"/>
              </w:rPr>
              <w:t>proticyklické</w:t>
            </w:r>
            <w:proofErr w:type="spellEnd"/>
            <w:r>
              <w:rPr>
                <w:rFonts w:ascii="Times New Roman" w:hAnsi="Times New Roman"/>
                <w:b/>
                <w:sz w:val="24"/>
              </w:rPr>
              <w:t xml:space="preserve"> kapitálové rezervy (v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Sazba </w:t>
            </w:r>
            <w:proofErr w:type="spellStart"/>
            <w:r>
              <w:rPr>
                <w:rFonts w:ascii="Times New Roman" w:hAnsi="Times New Roman"/>
                <w:sz w:val="24"/>
              </w:rPr>
              <w:t>proticyklické</w:t>
            </w:r>
            <w:proofErr w:type="spellEnd"/>
            <w:r>
              <w:rPr>
                <w:rFonts w:ascii="Times New Roman" w:hAnsi="Times New Roman"/>
                <w:sz w:val="24"/>
              </w:rPr>
              <w:t xml:space="preserve"> kapitálové rezervy platná v dané zemi a stanovená v souladu s články 136, 137, 138 a 139 CRD.</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Tento sloupec nezahrnuje sazby </w:t>
            </w:r>
            <w:proofErr w:type="spellStart"/>
            <w:r>
              <w:rPr>
                <w:rFonts w:ascii="Times New Roman" w:hAnsi="Times New Roman"/>
                <w:sz w:val="24"/>
              </w:rPr>
              <w:t>proticyklické</w:t>
            </w:r>
            <w:proofErr w:type="spellEnd"/>
            <w:r>
              <w:rPr>
                <w:rFonts w:ascii="Times New Roman" w:hAnsi="Times New Roman"/>
                <w:sz w:val="24"/>
              </w:rPr>
              <w:t xml:space="preserve"> kapitálové rezervy, které byly stanoveny, ale v době výpočtu individuální </w:t>
            </w:r>
            <w:proofErr w:type="spellStart"/>
            <w:r>
              <w:rPr>
                <w:rFonts w:ascii="Times New Roman" w:hAnsi="Times New Roman"/>
                <w:sz w:val="24"/>
              </w:rPr>
              <w:t>proticyklické</w:t>
            </w:r>
            <w:proofErr w:type="spellEnd"/>
            <w:r>
              <w:rPr>
                <w:rFonts w:ascii="Times New Roman" w:hAnsi="Times New Roman"/>
                <w:sz w:val="24"/>
              </w:rPr>
              <w:t xml:space="preserve"> kapitálové rezervy, jíž se zveřejnění informací týká, zatím nejsou platné.</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Tato hodnota se uvádí jako procento se stejným počtem desetinných míst, jaký stanoví články 136, 137, 138 a 139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3F871D0E" w:rsidR="00CE019E" w:rsidRPr="007F4CC8" w:rsidRDefault="00CE019E" w:rsidP="00CE019E">
      <w:pPr>
        <w:autoSpaceDE w:val="0"/>
        <w:autoSpaceDN w:val="0"/>
        <w:adjustRightInd w:val="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CCyB2 – Objem </w:t>
      </w:r>
      <w:proofErr w:type="spellStart"/>
      <w:r>
        <w:rPr>
          <w:rFonts w:ascii="Times New Roman" w:hAnsi="Times New Roman"/>
          <w:b/>
          <w:sz w:val="24"/>
        </w:rPr>
        <w:t>proticyklické</w:t>
      </w:r>
      <w:proofErr w:type="spellEnd"/>
      <w:r>
        <w:rPr>
          <w:rFonts w:ascii="Times New Roman" w:hAnsi="Times New Roman"/>
          <w:b/>
          <w:sz w:val="24"/>
        </w:rPr>
        <w:t xml:space="preserve"> kapitálové rezervy stanovené konkrétně pro danou instituci</w:t>
      </w:r>
    </w:p>
    <w:p w14:paraId="53EB0A4C" w14:textId="277DA8CD"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 xml:space="preserve">Informace uvedené v čl. 440 písm. b)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CCyB2, obsažené v příloze IX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Odkazy na právní předpisy a pokyny</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lastRenderedPageBreak/>
              <w:t>Řádek</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Vysvětlení</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Celkový objem rizikové expozice</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Celkový objem rizikové expozice vypočtený v souladu s čl. 92 odst. 3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Sazba </w:t>
            </w:r>
            <w:proofErr w:type="spellStart"/>
            <w:r>
              <w:rPr>
                <w:rFonts w:ascii="Times New Roman" w:hAnsi="Times New Roman"/>
                <w:b/>
                <w:sz w:val="24"/>
              </w:rPr>
              <w:t>proticyklické</w:t>
            </w:r>
            <w:proofErr w:type="spellEnd"/>
            <w:r>
              <w:rPr>
                <w:rFonts w:ascii="Times New Roman" w:hAnsi="Times New Roman"/>
                <w:b/>
                <w:sz w:val="24"/>
              </w:rPr>
              <w:t xml:space="preserve"> kapitálové rezervy stanovené konkrétně pro danou instituci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Sazba </w:t>
            </w:r>
            <w:proofErr w:type="spellStart"/>
            <w:r>
              <w:rPr>
                <w:rFonts w:ascii="Times New Roman" w:hAnsi="Times New Roman"/>
                <w:sz w:val="24"/>
              </w:rPr>
              <w:t>proticyklické</w:t>
            </w:r>
            <w:proofErr w:type="spellEnd"/>
            <w:r>
              <w:rPr>
                <w:rFonts w:ascii="Times New Roman" w:hAnsi="Times New Roman"/>
                <w:sz w:val="24"/>
              </w:rPr>
              <w:t xml:space="preserve"> kapitálové rezervy pro danou instituci stanovená v souladu s čl. 140 odst. 1 CRD. </w:t>
            </w:r>
          </w:p>
          <w:p w14:paraId="621A174E" w14:textId="7228AD0E"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Sazba </w:t>
            </w:r>
            <w:proofErr w:type="spellStart"/>
            <w:r>
              <w:rPr>
                <w:rFonts w:ascii="Times New Roman" w:hAnsi="Times New Roman"/>
                <w:sz w:val="24"/>
              </w:rPr>
              <w:t>proticyklické</w:t>
            </w:r>
            <w:proofErr w:type="spellEnd"/>
            <w:r>
              <w:rPr>
                <w:rFonts w:ascii="Times New Roman" w:hAnsi="Times New Roman"/>
                <w:sz w:val="24"/>
              </w:rPr>
              <w:t xml:space="preserve"> kapitálové rezervy stanovené konkrétně pro danou instituci se vypočítá jako vážený průměr sazeb </w:t>
            </w:r>
            <w:proofErr w:type="spellStart"/>
            <w:r>
              <w:rPr>
                <w:rFonts w:ascii="Times New Roman" w:hAnsi="Times New Roman"/>
                <w:sz w:val="24"/>
              </w:rPr>
              <w:t>proticyklické</w:t>
            </w:r>
            <w:proofErr w:type="spellEnd"/>
            <w:r>
              <w:rPr>
                <w:rFonts w:ascii="Times New Roman" w:hAnsi="Times New Roman"/>
                <w:sz w:val="24"/>
              </w:rPr>
              <w:t xml:space="preserve"> kapitálové rezervy, které se použijí v zemích, kde se nacházejí rozhodné úvěrové expozice dané instituce, které jsou uvedeny v řádcích 010.1 až </w:t>
            </w:r>
            <w:proofErr w:type="gramStart"/>
            <w:r>
              <w:rPr>
                <w:rFonts w:ascii="Times New Roman" w:hAnsi="Times New Roman"/>
                <w:sz w:val="24"/>
              </w:rPr>
              <w:t>010.X sloupce</w:t>
            </w:r>
            <w:proofErr w:type="gramEnd"/>
            <w:r>
              <w:rPr>
                <w:rFonts w:ascii="Times New Roman" w:hAnsi="Times New Roman"/>
                <w:sz w:val="24"/>
              </w:rPr>
              <w:t xml:space="preserve"> m) šablony </w:t>
            </w:r>
            <w:r w:rsidR="00CC4769">
              <w:rPr>
                <w:rFonts w:ascii="Times New Roman" w:hAnsi="Times New Roman"/>
                <w:sz w:val="24"/>
              </w:rPr>
              <w:t xml:space="preserve">EU </w:t>
            </w:r>
            <w:r>
              <w:rPr>
                <w:rFonts w:ascii="Times New Roman" w:hAnsi="Times New Roman"/>
                <w:sz w:val="24"/>
              </w:rPr>
              <w:t>CCyB1.</w:t>
            </w:r>
          </w:p>
          <w:p w14:paraId="1DFCE7F3" w14:textId="5681702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Váha uplatněná na sazbu </w:t>
            </w:r>
            <w:proofErr w:type="spellStart"/>
            <w:r>
              <w:rPr>
                <w:rFonts w:ascii="Times New Roman" w:hAnsi="Times New Roman"/>
                <w:sz w:val="24"/>
              </w:rPr>
              <w:t>proticyklické</w:t>
            </w:r>
            <w:proofErr w:type="spellEnd"/>
            <w:r>
              <w:rPr>
                <w:rFonts w:ascii="Times New Roman" w:hAnsi="Times New Roman"/>
                <w:sz w:val="24"/>
              </w:rPr>
              <w:t xml:space="preserve"> rezervy v každé zemi je podílem kapitálových požadavků na celkových kapitálových požadavcích a je uvedena ve sloupci 1) šablony </w:t>
            </w:r>
            <w:r w:rsidR="00CC4769">
              <w:rPr>
                <w:rFonts w:ascii="Times New Roman" w:hAnsi="Times New Roman"/>
                <w:sz w:val="24"/>
              </w:rPr>
              <w:t xml:space="preserve">EU </w:t>
            </w:r>
            <w:r>
              <w:rPr>
                <w:rFonts w:ascii="Times New Roman" w:hAnsi="Times New Roman"/>
                <w:sz w:val="24"/>
              </w:rPr>
              <w:t xml:space="preserve">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Tato hodnota se uvádí jako procento s přesností na 2 desetinná místa.</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Požadavek </w:t>
            </w:r>
            <w:proofErr w:type="spellStart"/>
            <w:r>
              <w:rPr>
                <w:rFonts w:ascii="Times New Roman" w:hAnsi="Times New Roman"/>
                <w:b/>
                <w:sz w:val="24"/>
              </w:rPr>
              <w:t>proticyklické</w:t>
            </w:r>
            <w:proofErr w:type="spellEnd"/>
            <w:r>
              <w:rPr>
                <w:rFonts w:ascii="Times New Roman" w:hAnsi="Times New Roman"/>
                <w:b/>
                <w:sz w:val="24"/>
              </w:rPr>
              <w:t xml:space="preserve"> kapitálové rezervy stanovené konkrétně pro danou instituci</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Požadavek </w:t>
            </w:r>
            <w:proofErr w:type="spellStart"/>
            <w:r>
              <w:rPr>
                <w:rFonts w:ascii="Times New Roman" w:hAnsi="Times New Roman"/>
                <w:sz w:val="24"/>
              </w:rPr>
              <w:t>proticyklické</w:t>
            </w:r>
            <w:proofErr w:type="spellEnd"/>
            <w:r>
              <w:rPr>
                <w:rFonts w:ascii="Times New Roman" w:hAnsi="Times New Roman"/>
                <w:sz w:val="24"/>
              </w:rPr>
              <w:t xml:space="preserve"> kapitálové rezervy stanovené konkrétně pro danou instituci vypočítaný pomocí </w:t>
            </w:r>
            <w:proofErr w:type="spellStart"/>
            <w:r>
              <w:rPr>
                <w:rFonts w:ascii="Times New Roman" w:hAnsi="Times New Roman"/>
                <w:sz w:val="24"/>
              </w:rPr>
              <w:t>proticyklické</w:t>
            </w:r>
            <w:proofErr w:type="spellEnd"/>
            <w:r>
              <w:rPr>
                <w:rFonts w:ascii="Times New Roman" w:hAnsi="Times New Roman"/>
                <w:sz w:val="24"/>
              </w:rPr>
              <w:t xml:space="preserve"> kapitálové rezervy stanovené konkrétně pro danou instituci uvedené v řádku 2 </w:t>
            </w:r>
            <w:proofErr w:type="gramStart"/>
            <w:r>
              <w:rPr>
                <w:rFonts w:ascii="Times New Roman" w:hAnsi="Times New Roman"/>
                <w:sz w:val="24"/>
              </w:rPr>
              <w:t>této</w:t>
            </w:r>
            <w:proofErr w:type="gramEnd"/>
            <w:r>
              <w:rPr>
                <w:rFonts w:ascii="Times New Roman" w:hAnsi="Times New Roman"/>
                <w:sz w:val="24"/>
              </w:rPr>
              <w:t xml:space="preserve"> šablony, která se uplatní na celkový objem rizikové expozice uvedený v řádku 1 této šablony.</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Odkazy na právní předpisy a pokyny</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Vysvětlení</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Hodnota podle vysvětlivek k řádkům 1 až 3 této šablony.</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PŘÍLOHA XII – Pokyny k zpřístupňování informací o pákovém poměru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Šablona EU LR1 – </w:t>
      </w:r>
      <w:proofErr w:type="spellStart"/>
      <w:r>
        <w:rPr>
          <w:rFonts w:ascii="Times New Roman" w:hAnsi="Times New Roman"/>
          <w:color w:val="000000"/>
          <w:sz w:val="24"/>
          <w:szCs w:val="24"/>
        </w:rPr>
        <w:t>LRSum</w:t>
      </w:r>
      <w:proofErr w:type="spellEnd"/>
      <w:r>
        <w:rPr>
          <w:rFonts w:ascii="Times New Roman" w:hAnsi="Times New Roman"/>
          <w:color w:val="000000"/>
          <w:sz w:val="24"/>
          <w:szCs w:val="24"/>
        </w:rPr>
        <w:t xml:space="preserve">: Shrnutí sesouhlasení účetních aktiv a expozic pákového poměru. </w:t>
      </w:r>
      <w:r>
        <w:rPr>
          <w:rFonts w:ascii="Times New Roman" w:hAnsi="Times New Roman"/>
          <w:b w:val="0"/>
          <w:color w:val="000000"/>
          <w:sz w:val="24"/>
          <w:szCs w:val="24"/>
        </w:rPr>
        <w:t>Šablona s pevně daným formátem.</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Při vyplňování šablony EU LR1 – </w:t>
      </w:r>
      <w:proofErr w:type="spellStart"/>
      <w:r>
        <w:rPr>
          <w:rFonts w:ascii="Times New Roman" w:hAnsi="Times New Roman"/>
          <w:sz w:val="24"/>
          <w:szCs w:val="24"/>
        </w:rPr>
        <w:t>LRSum</w:t>
      </w:r>
      <w:proofErr w:type="spellEnd"/>
      <w:r>
        <w:rPr>
          <w:rFonts w:ascii="Times New Roman" w:hAnsi="Times New Roman"/>
          <w:sz w:val="24"/>
          <w:szCs w:val="24"/>
        </w:rPr>
        <w:t xml:space="preserve"> pro účely čl. 451 odst. 1 písm. b) nařízení</w:t>
      </w:r>
      <w:r>
        <w:rPr>
          <w:rFonts w:ascii="Times New Roman" w:hAnsi="Times New Roman"/>
          <w:sz w:val="24"/>
        </w:rPr>
        <w:t xml:space="preserve"> (EU) č. 575/2013</w:t>
      </w:r>
      <w:r w:rsidRPr="007F4CC8">
        <w:rPr>
          <w:rStyle w:val="FootnoteReference"/>
        </w:rPr>
        <w:footnoteReference w:id="20"/>
      </w:r>
      <w:r>
        <w:rPr>
          <w:rFonts w:ascii="Times New Roman" w:hAnsi="Times New Roman"/>
          <w:sz w:val="24"/>
        </w:rPr>
        <w:t xml:space="preserve"> (dále jen „CRR“) se instituce řídí pokyny obsaženými v tomto oddíle.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Odkazy na právní předpisy a pokyny</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Celková aktiva dle zveřejněné účetní závěrky</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celková aktiva dle údajů zpřístupněných v jejich účetní závěrce podle platného účetního rámce ve smyslu čl. 4 odst. 1 bodu 77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Úprava o subjekty, které jsou konsolidovány pro účetní účely, avšak nespadají do působnosti obezřetnostní konsolidace</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rozdíl mezi celkovou mírou expozic uvedenou v řádku 13 šablony EU LR1 – </w:t>
            </w:r>
            <w:proofErr w:type="spellStart"/>
            <w:r>
              <w:rPr>
                <w:rFonts w:ascii="Times New Roman" w:hAnsi="Times New Roman"/>
                <w:sz w:val="24"/>
                <w:szCs w:val="24"/>
              </w:rPr>
              <w:t>LRSum</w:t>
            </w:r>
            <w:proofErr w:type="spellEnd"/>
            <w:r>
              <w:rPr>
                <w:rFonts w:ascii="Times New Roman" w:hAnsi="Times New Roman"/>
                <w:sz w:val="24"/>
                <w:szCs w:val="24"/>
              </w:rPr>
              <w:t xml:space="preserve"> a celkovými účetními aktivy uvedenými v řádku 1 šablony EU LR1 – </w:t>
            </w:r>
            <w:proofErr w:type="spellStart"/>
            <w:r>
              <w:rPr>
                <w:rFonts w:ascii="Times New Roman" w:hAnsi="Times New Roman"/>
                <w:sz w:val="24"/>
                <w:szCs w:val="24"/>
              </w:rPr>
              <w:t>LRSum</w:t>
            </w:r>
            <w:proofErr w:type="spellEnd"/>
            <w:r>
              <w:rPr>
                <w:rFonts w:ascii="Times New Roman" w:hAnsi="Times New Roman"/>
                <w:sz w:val="24"/>
                <w:szCs w:val="24"/>
              </w:rPr>
              <w:t xml:space="preserve"> vyplývající z rozdílů mezi účetní a obezřetnostní konsolidací.</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Vede-li tato úprava k nárůstu expozice, uvedou instituce její hodnotu jako kladnou. Vede-li úprava k poklesu expozice, uvedou instituce hodnotu v tomto řádku v závorkách (záporná hodnota).</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(Úprava o </w:t>
            </w:r>
            <w:proofErr w:type="spellStart"/>
            <w:r>
              <w:rPr>
                <w:rStyle w:val="TeksttreciPogrubienie"/>
                <w:rFonts w:ascii="Times New Roman" w:hAnsi="Times New Roman"/>
                <w:sz w:val="24"/>
                <w:szCs w:val="24"/>
              </w:rPr>
              <w:t>sekuritizované</w:t>
            </w:r>
            <w:proofErr w:type="spellEnd"/>
            <w:r>
              <w:rPr>
                <w:rStyle w:val="TeksttreciPogrubienie"/>
                <w:rFonts w:ascii="Times New Roman" w:hAnsi="Times New Roman"/>
                <w:sz w:val="24"/>
                <w:szCs w:val="24"/>
              </w:rPr>
              <w:t xml:space="preserve"> expozice, které splňují provozní požadavky na uznání převodu rizika)</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Čl. 429a odst. 1 písm. m) CRR</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hodnotu sekuritizovaných expozic z tradičních </w:t>
            </w:r>
            <w:proofErr w:type="spellStart"/>
            <w:r>
              <w:rPr>
                <w:rFonts w:ascii="Times New Roman" w:hAnsi="Times New Roman"/>
                <w:sz w:val="24"/>
                <w:szCs w:val="24"/>
              </w:rPr>
              <w:t>sekuritizací</w:t>
            </w:r>
            <w:proofErr w:type="spellEnd"/>
            <w:r>
              <w:rPr>
                <w:rFonts w:ascii="Times New Roman" w:hAnsi="Times New Roman"/>
                <w:sz w:val="24"/>
                <w:szCs w:val="24"/>
              </w:rPr>
              <w:t>, které splňují podmínky týkající se převodu významného rizika stanovené v čl. 244 odst. 2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Vzhledem k tomu, že se touto úpravou se celková míra expozic snižuje, uvedou instituce hodnotu v tomto řádku v závorkách (záporná hodnota).</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dočasné vynětí expozic vůči centrálním bankám (je-li to relevantní))</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Čl. 429a odst. 1 písm. n) CRR</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V příslušných případech instituce uvedou hodnotu mincí a bankovek představujících zákonné platidlo v jurisdikci centrální banky a aktiv představujících pohledávky vůči centrální bance včetně rezerv držených </w:t>
            </w:r>
            <w:r>
              <w:rPr>
                <w:rStyle w:val="TeksttreciPogrubienie"/>
                <w:rFonts w:ascii="Times New Roman" w:hAnsi="Times New Roman"/>
                <w:sz w:val="24"/>
                <w:szCs w:val="24"/>
              </w:rPr>
              <w:lastRenderedPageBreak/>
              <w:t>u centrální banky. Tyto expozice mohou být dočasně vyňaty s výhradou podmínek uvedených v čl. 429a odst. 5 a 6 CRR.</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Vzhledem k tomu, že touto úpravou se celková míra expozic snižuje, uvedou instituce hodnotu v tomto řádku v závorkách (záporná hodnota).</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(Úprava o aktiva ve svěřenecké správě, která jsou podle platného účetního rámce vykázána v rozvaze, avšak podle čl. 429a odst. 1 písm. i) CRR jsou z celkové míry expozic vyňata)</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objem odúčtovaných položek ve svěřenecké správě podle čl. 429a odst. 1 písm. i)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hodnotu v tomto řádku v závorkách (záporná hodnota).</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nákupy a prodeje finančních aktiv s obvyklým termínem dodání účtovaných k datu obchodu</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429g odst. 1 a 2 CRR</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Instituce uvedou úpravu účetní hodnoty související s prodeji nebo nákupy s obvyklým termínem dodání čekající na vypořádání účtování k datu obchodu podle čl. 429g odst. 1 a 2 CRR. Úpravu představuje součet těchto položek:</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objem kompenzace mezi hotovostními pohledávkami z prodejů s obvyklým termínem dodání čekajících na vypořádání a hotovostními závazky z nákupů s obvyklým termínem dodání čekajících na vypořádání, jak je povoleno podle platného účetního rámce. Tato hodnota je kladná,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objem kompenzace mezi hotovostními pohledávkami a hotovostními závazky v případech, kdy jsou příslušné prodeje i nákupy s obvyklým termínem dodání vypořádány na základě dodání proti zaplacení podle čl. 429g odst. 2 CRR. Tato hodnota je záporná.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Prodeje nebo nákupy s obvyklým termínem dodání s vypořádáním účtování k datu vypořádání podle čl. 429g odst. 3 CRR se uvádějí v řádku 10 šablony EU LR1 – </w:t>
            </w:r>
            <w:proofErr w:type="spellStart"/>
            <w:r>
              <w:rPr>
                <w:rFonts w:ascii="Times New Roman" w:hAnsi="Times New Roman"/>
                <w:sz w:val="24"/>
              </w:rPr>
              <w:t>LRSum</w:t>
            </w:r>
            <w:proofErr w:type="spellEnd"/>
            <w:r>
              <w:rPr>
                <w:rFonts w:ascii="Times New Roman" w:hAnsi="Times New Roman"/>
                <w:sz w:val="24"/>
              </w:rPr>
              <w:t>.</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Vede-li tato úprava k nárůstu expozice, uvedou instituce její hodnotu jako kladnou. Vede-li úprava k poklesu expozice, uvedou instituce hodnotu v tomto řádku v závorkách (záporná hodnota).</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způsobilé transakce sdružování finančních prostředků</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429b odst. 2 a 3 CRR</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rozdíl mezi účetní hodnotou a hodnotou expozice pákového poměru z dohod o sdružování finančních prostředků v souladu s podmínkami, které uvádí čl. 429b odst. 2 a 3 CRR.</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Vede-li tato úprava k nárůstu expozice z důvodu transakcí, které jsou podle platného účetního rámce uváděny na čistém základě, ale nesplňují podmínky pro uvádění na čistém základě podle čl. 429b odst. 2 a 3 CRR, uvedou instituce její hodnotu jako kladnou. Vede-li tato úprava k poklesu expozice z důvodu transakcí, které nejsou podle platného účetního rámce uváděny na čistém </w:t>
            </w:r>
            <w:r>
              <w:rPr>
                <w:rFonts w:ascii="Times New Roman" w:hAnsi="Times New Roman"/>
                <w:sz w:val="24"/>
                <w:szCs w:val="24"/>
              </w:rPr>
              <w:lastRenderedPageBreak/>
              <w:t>základě, ale splňují podmínky pro uvádění na čistém základě podle čl. 429b odst. 2 a 3 CRR, uvedou instituce hodnotu v tomto řádku v závorkách (záporná hodnota).</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derivátové finanční nástroje</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 případě úvěrových derivátů a kontraktů vyjmenovaných v příloze II CRR instituce uvedou rozdíl mezi účetní hodnotou derivátů vykázaných jako aktiva a hodnotou expozice pákového poměru, která se zjistí podle čl. 429 odst. 4 písm. b), článků 429c a 429d, čl. 429a odst. 1 písm. g) a h) a čl. 429 odst. 5 CRR.</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Vede-li tato úprava k nárůstu expozice, uvedou instituce její hodnotu jako kladnou. Vede-li úprava k poklesu expozice, uvedou instituce hodnotu v tomto řádku v závorkách (záporná hodnota).</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transakce s financováním cenných papírů (SFT)</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 případě SFT instituce uvedou rozdíl mezi účetní hodnotou SFT vykázaných jako aktiva a hodnotou expozice pákového poměru, která se zjistí podle čl. 429 odst. 4 písm. a) a c) ve spojení s článkem 429e, čl. 429 odst. 7 písm. b) a čl. 429b odst. 1 písm. b), s čl. 429b odst. 4 a čl. 429a odst. 1 písm. g) a h)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Vede-li tato úprava k nárůstu expozice, uvedou instituce její hodnotu jako kladnou. Vede-li úprava k poklesu expozice, uvedou instituce hodnotu v tomto řádku v závorkách (záporná hodnota).</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podrozvahové položky (tj. konverze podrozvahových expozic na ekvivalentní výši úvěrů)</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rozdíl mezi hodnotou expozice pákového poměru uvedenou v řádku 13 šablony EU LR1 – </w:t>
            </w:r>
            <w:proofErr w:type="spellStart"/>
            <w:r>
              <w:rPr>
                <w:rFonts w:ascii="Times New Roman" w:hAnsi="Times New Roman"/>
                <w:sz w:val="24"/>
                <w:szCs w:val="24"/>
              </w:rPr>
              <w:t>LRSum</w:t>
            </w:r>
            <w:proofErr w:type="spellEnd"/>
            <w:r>
              <w:rPr>
                <w:rFonts w:ascii="Times New Roman" w:hAnsi="Times New Roman"/>
                <w:sz w:val="24"/>
                <w:szCs w:val="24"/>
              </w:rPr>
              <w:t xml:space="preserve"> a celkovými účetními aktivy v řádku 1 šablony EU LR1 – </w:t>
            </w:r>
            <w:proofErr w:type="spellStart"/>
            <w:r>
              <w:rPr>
                <w:rFonts w:ascii="Times New Roman" w:hAnsi="Times New Roman"/>
                <w:sz w:val="24"/>
                <w:szCs w:val="24"/>
              </w:rPr>
              <w:t>LRSum</w:t>
            </w:r>
            <w:proofErr w:type="spellEnd"/>
            <w:r>
              <w:rPr>
                <w:rFonts w:ascii="Times New Roman" w:hAnsi="Times New Roman"/>
                <w:sz w:val="24"/>
                <w:szCs w:val="24"/>
              </w:rPr>
              <w:t>, jenž vyplývá ze zahrnutí podrozvahových položek do celkové míry expozic pro účely pákového poměru.</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Tato hodnota zahrnuje přísliby k úhradě týkající se nákupů s obvyklým termínem dodání s účtováním k datu vypořádání vypočtené podle čl. 429g odst. 3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se touto úpravou celková míra expozic zvyšuje, uvádí se hodnota jako kladná.</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(Úprava z důvodu úprav v rámci obezřetného oceňování a o specifické a obecné rezervy, jež snížily kapitál </w:t>
            </w:r>
            <w:proofErr w:type="spellStart"/>
            <w:r>
              <w:rPr>
                <w:rStyle w:val="TeksttreciPogrubienie"/>
                <w:rFonts w:ascii="Times New Roman" w:hAnsi="Times New Roman"/>
                <w:sz w:val="24"/>
                <w:szCs w:val="24"/>
              </w:rPr>
              <w:t>tier</w:t>
            </w:r>
            <w:proofErr w:type="spellEnd"/>
            <w:r>
              <w:rPr>
                <w:rStyle w:val="TeksttreciPogrubienie"/>
                <w:rFonts w:ascii="Times New Roman" w:hAnsi="Times New Roman"/>
                <w:sz w:val="24"/>
                <w:szCs w:val="24"/>
              </w:rPr>
              <w:t xml:space="preserve"> 1)</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Instituce uvedou hodnotu úprav při obezřetném oceňování podle čl. 429a odst. 1 písm. a) a b) CRR a </w:t>
            </w:r>
            <w:r>
              <w:rPr>
                <w:rFonts w:ascii="Times New Roman" w:hAnsi="Times New Roman"/>
                <w:sz w:val="24"/>
                <w:szCs w:val="24"/>
              </w:rPr>
              <w:t xml:space="preserve">hodnotu případných specifických a obecných úprav rozvahových a podrozvahových položek o úvěrové riziko, které snížily kapitál </w:t>
            </w:r>
            <w:proofErr w:type="spellStart"/>
            <w:r>
              <w:rPr>
                <w:rFonts w:ascii="Times New Roman" w:hAnsi="Times New Roman"/>
                <w:sz w:val="24"/>
                <w:szCs w:val="24"/>
              </w:rPr>
              <w:t>tier</w:t>
            </w:r>
            <w:proofErr w:type="spellEnd"/>
            <w:r>
              <w:rPr>
                <w:rFonts w:ascii="Times New Roman" w:hAnsi="Times New Roman"/>
                <w:sz w:val="24"/>
                <w:szCs w:val="24"/>
              </w:rPr>
              <w:t xml:space="preserve"> 1, podle čl. 429 odst. 4 poslední věty a čl. 429f odst. 2</w:t>
            </w:r>
            <w:r>
              <w:rPr>
                <w:rStyle w:val="TeksttreciPogrubienie"/>
                <w:rFonts w:ascii="Times New Roman" w:hAnsi="Times New Roman"/>
                <w:b w:val="0"/>
                <w:sz w:val="24"/>
                <w:szCs w:val="24"/>
              </w:rPr>
              <w:t xml:space="preserve"> CRR</w:t>
            </w:r>
            <w:r>
              <w:rPr>
                <w:rFonts w:ascii="Times New Roman" w:hAnsi="Times New Roman"/>
                <w:sz w:val="24"/>
                <w:szCs w:val="24"/>
              </w:rPr>
              <w:t xml:space="preserve">. Specifické opravné položky se začlení pouze v případě, že v souladu s platným účetním rámcem již nejsou odečteny od hrubých účetních hodnot.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Vzhledem k tomu, že touto úpravou se celková míra expozic snižuje, uvedou instituce hodnotu v tomto řádku v závorkách (záporná hodnota).</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(Úprava o expozice vyňaté z celkové míry expozic podle čl. 429a odst. 1 písm. c) CRR)</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c) a čl. 113 odst. 6 a 7 CRR</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rozvahovou část expozic vyloučených z celkové míry expozic podle čl. 429a odst. 1 písm. c)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hodnotu v tomto řádku v závorkách (záporná hodnota).</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(Úprava o expozice vyňaté z celkové míry expozic podle čl. 429a odst. 1 písm. j) CRR)</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j), čl. 116 odst. 4 CRR</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rozvahovou část expozic vyloučených z celkové míry expozic podle čl. 429a odst. 1 písm. j)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se touto úpravou se celková míra expozic snižuje, uvedou instituce hodnoty v tomto řádku v závorkách (záporná hodnota).</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Další úpravy</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zde uvedou případný zbývající rozdíl mezi celkovou mírou expozic a celkovými účetními aktivy. Instituce vezmou v úvahu úpravy expozic</w:t>
            </w:r>
            <w:r>
              <w:rPr>
                <w:rStyle w:val="DeltaViewInsertion"/>
                <w:rFonts w:ascii="Times New Roman" w:hAnsi="Times New Roman"/>
                <w:b w:val="0"/>
                <w:i w:val="0"/>
                <w:color w:val="auto"/>
                <w:sz w:val="24"/>
                <w:szCs w:val="24"/>
              </w:rPr>
              <w:t xml:space="preserve"> podle čl. 429 odst. 8 CRR a ostatní úpravy expozic uvedené v čl. 429a odst. 1 písm. d), e), f), h), k), l), o) a p) CRR, které nejsou uvedeny na jiném místě v šabloně.</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Vedou-li tyto úpravy k nárůstu expozice, uvedou instituce jejich hodnotu jako kladnou. Vedou-li tyto úpravy k poklesu expozice, uvedou instituce hodnotu v tomto řádku v závorkách (záporná hodnota).</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Celková míra expozic</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Celková míra expozic (uvedená i v řádku 24 šablony </w:t>
            </w:r>
            <w:r>
              <w:rPr>
                <w:rFonts w:ascii="Times New Roman" w:hAnsi="Times New Roman"/>
                <w:color w:val="000000"/>
                <w:sz w:val="24"/>
                <w:szCs w:val="24"/>
              </w:rPr>
              <w:t xml:space="preserve">EU LR2 – </w:t>
            </w:r>
            <w:proofErr w:type="spellStart"/>
            <w:r>
              <w:rPr>
                <w:rFonts w:ascii="Times New Roman" w:hAnsi="Times New Roman"/>
                <w:sz w:val="24"/>
                <w:szCs w:val="24"/>
              </w:rPr>
              <w:t>LRCom</w:t>
            </w:r>
            <w:proofErr w:type="spellEnd"/>
            <w:r>
              <w:rPr>
                <w:rFonts w:ascii="Times New Roman" w:hAnsi="Times New Roman"/>
                <w:sz w:val="24"/>
                <w:szCs w:val="24"/>
              </w:rPr>
              <w:t>), která je součtem předchozích položek.</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Šablona EU 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w:t>
      </w:r>
      <w:bookmarkStart w:id="14" w:name="bookmark12"/>
      <w:r>
        <w:rPr>
          <w:rFonts w:ascii="Times New Roman" w:hAnsi="Times New Roman"/>
          <w:color w:val="000000"/>
          <w:sz w:val="24"/>
          <w:szCs w:val="24"/>
        </w:rPr>
        <w:t>Harmonizované zveřejnění pákového poměru</w:t>
      </w:r>
      <w:bookmarkEnd w:id="14"/>
      <w:r>
        <w:rPr>
          <w:rFonts w:ascii="Times New Roman" w:hAnsi="Times New Roman"/>
          <w:color w:val="000000"/>
          <w:sz w:val="24"/>
          <w:szCs w:val="24"/>
        </w:rPr>
        <w:t xml:space="preserve">. </w:t>
      </w:r>
      <w:r>
        <w:rPr>
          <w:rFonts w:ascii="Times New Roman" w:hAnsi="Times New Roman"/>
          <w:b w:val="0"/>
          <w:color w:val="000000"/>
          <w:sz w:val="24"/>
          <w:szCs w:val="24"/>
        </w:rPr>
        <w:t>Šablona s pevně daným formátem.</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Při vyplňování šablony EU 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pro účely čl. 451 odst. 1 písm. a) a b) a čl. 451 odst. 3 CRR, případě se zohledněním čl. 451 odst. 1 písm. c) a čl. 451 odst. 2 CRR, se instituce řídí pokyny obsaženými v tomto oddíle.</w:t>
      </w:r>
    </w:p>
    <w:p w14:paraId="14BBB142" w14:textId="05CC9443"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Instituce ve sloupci a</w:t>
      </w:r>
      <w:r w:rsidR="003D59D6">
        <w:rPr>
          <w:rFonts w:ascii="Times New Roman" w:hAnsi="Times New Roman"/>
          <w:color w:val="000000"/>
          <w:sz w:val="24"/>
          <w:szCs w:val="24"/>
        </w:rPr>
        <w:t>)</w:t>
      </w:r>
      <w:r>
        <w:rPr>
          <w:rFonts w:ascii="Times New Roman" w:hAnsi="Times New Roman"/>
          <w:color w:val="000000"/>
          <w:sz w:val="24"/>
          <w:szCs w:val="24"/>
        </w:rPr>
        <w:t xml:space="preserve"> uvedou hodnoty jednotlivých řádků za období, za něž jsou informac</w:t>
      </w:r>
      <w:r w:rsidR="003D59D6">
        <w:rPr>
          <w:rFonts w:ascii="Times New Roman" w:hAnsi="Times New Roman"/>
          <w:color w:val="000000"/>
          <w:sz w:val="24"/>
          <w:szCs w:val="24"/>
        </w:rPr>
        <w:t xml:space="preserve">e zpřístupňovány, a ve sloupci </w:t>
      </w:r>
      <w:r>
        <w:rPr>
          <w:rFonts w:ascii="Times New Roman" w:hAnsi="Times New Roman"/>
          <w:color w:val="000000"/>
          <w:sz w:val="24"/>
          <w:szCs w:val="24"/>
        </w:rPr>
        <w:t>b</w:t>
      </w:r>
      <w:r w:rsidR="003D59D6">
        <w:rPr>
          <w:rFonts w:ascii="Times New Roman" w:hAnsi="Times New Roman"/>
          <w:color w:val="000000"/>
          <w:sz w:val="24"/>
          <w:szCs w:val="24"/>
        </w:rPr>
        <w:t>)</w:t>
      </w:r>
      <w:r>
        <w:rPr>
          <w:rFonts w:ascii="Times New Roman" w:hAnsi="Times New Roman"/>
          <w:color w:val="000000"/>
          <w:sz w:val="24"/>
          <w:szCs w:val="24"/>
        </w:rPr>
        <w:t xml:space="preserve"> hodnoty řádků za předchozí období.</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V komentáři připojeném k šabloně instituce vysvětlí skladbu podpůrných úvěrů uvedených v řádcích EU-22d a EU-22e této šablony včetně informací podle druhu protistrany.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Odkazy na právní předpisy a pokyny</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Rozvahové položky (s výjimkou derivátů a SFT, avšak včetně kolaterálu)</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Články 429 a 429b CRR</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všechna aktiva s výjimkou kontraktů vyjmenovaných v příloze II CRR, úvěrových derivátů a SFT. Ocenění těchto aktiv provedou instituce podle zásad stanovených v čl. 429 odst. 7 a čl. 429b odst. 1 CRR.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V tomto výpočtu instituce dle potřeby zohlední čl. 429a odst. 1 písm. i), m) a n) CRR, článek 429g a čl. 429 odst. 4 poslední pododstavec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v této buňce zohlední obdrženou hotovost nebo cenné papíry, které jsou poskytnuty protistraně prostřednictvím SFT a jsou ponechány v rozvaze (tj. nejsou splněna účetní kritéria pro odúčtování podle platného účetního rámce).</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V tomto výpočtu instituce nezohlední čl. 429 odst. 8 a čl. 429a odst. 1 písm. a) až h), j) a k) CRR, tj. nesníží o uvedené výjimky hodnotu, která má být v tomto řádku uvedena.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Navýšení o poskytnutý kolaterál k derivátům odečtený z aktiv v rozvaze podle platného účetního rámce</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429c odst. 2 CRR</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objem poskytnutého kolaterálu k derivátům, pokud se podle platného účetního rámce jeho poskytnutím snižuje objem aktiv, jak stanoví čl. 429c odst. 2 CRR.</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Instituce v této buňce nezohlední počáteční marži u derivátových transakcí na účet klienta se způsobilou ústřední protistranou, ani způsobilou hotovostní variační marži ve smyslu čl. 429c odst. 3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(Odpočty pohledávek vykázaných jako aktiva a plynoucích z hotovostní variační marže poskytnuté v derivátových transakcích)</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429c odst. 3 CRR</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pohledávky, jež plynou z variační marže uhrazené v hotovosti protistraně v derivátových transakcích, je-li instituce podle platného účetního rámce povinna uznat tyto pohledávky jako aktivum, za předpokladu splnění podmínek v čl. 429c odst. 3 písm. a) až e) CRR.</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Vzhledem k tomu, že touto úpravou se celková míra expozic snižuje, uvedou instituce hodnotu v tomto řádku v závorkách (záporná hodnota).</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Úprava o cenné papíry získané v rámci transakcí s financováním cenných papírů vykázané jako aktivum)</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Úprava o cenné papíry obdržené v rámci transakce s financováním cenných papírů, pokud banka ve své rozvaze vykázala cenné papíry jako aktivum. Tyto hodnoty musí být vyňaty z celkové míry expozic podle čl. 429e odst. 6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Vzhledem k tomu, že těmito úpravami se celková míra expozic snižuje, uvedou instituce hodnotu v tomto řádku v závorkách (záporná hodnota).</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(Obecné úpravy o úvěrové riziko u rozvahových položek)</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Příslušný objem obecných úprav o úvěrové riziko u rozvahových položek podle čl. 429 odst. 4 písm. a) CRR, který instituce odečtou v souladu s čl. 429 odst. 4 posledním pododstavcem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Vzhledem k tomu, že těmito úpravami se celková míra expozic snižuje, uvedou instituce hodnotu v tomto řádku v závorkách (záporná hodnota).</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(Hodnota aktiv odečtená při výpočtu kapitálu </w:t>
            </w:r>
            <w:proofErr w:type="spellStart"/>
            <w:r>
              <w:rPr>
                <w:rStyle w:val="TeksttreciPogrubienie"/>
                <w:rFonts w:ascii="Times New Roman" w:hAnsi="Times New Roman"/>
                <w:sz w:val="24"/>
                <w:szCs w:val="24"/>
              </w:rPr>
              <w:t>tier</w:t>
            </w:r>
            <w:proofErr w:type="spellEnd"/>
            <w:r>
              <w:rPr>
                <w:rStyle w:val="TeksttreciPogrubienie"/>
                <w:rFonts w:ascii="Times New Roman" w:hAnsi="Times New Roman"/>
                <w:sz w:val="24"/>
                <w:szCs w:val="24"/>
              </w:rPr>
              <w:t xml:space="preserve"> 1)</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a) a b) a čl. 499 odst. 2 CRR</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výši normativních úprav hodnoty kapitálu </w:t>
            </w:r>
            <w:proofErr w:type="spellStart"/>
            <w:r>
              <w:rPr>
                <w:rFonts w:ascii="Times New Roman" w:hAnsi="Times New Roman"/>
                <w:sz w:val="24"/>
                <w:szCs w:val="24"/>
              </w:rPr>
              <w:t>tier</w:t>
            </w:r>
            <w:proofErr w:type="spellEnd"/>
            <w:r>
              <w:rPr>
                <w:rFonts w:ascii="Times New Roman" w:hAnsi="Times New Roman"/>
                <w:sz w:val="24"/>
                <w:szCs w:val="24"/>
              </w:rPr>
              <w:t xml:space="preserve"> 1 na základě volby, kterou učiní podle čl. 499 odst. 2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Jmenovitě instituce uvedou součet všech úprav, které se týkají hodnoty určitého aktiva a které jsou předepsány v:</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szCs w:val="24"/>
              </w:rPr>
              <w:t>článcích</w:t>
            </w:r>
            <w:proofErr w:type="gramEnd"/>
            <w:r>
              <w:rPr>
                <w:rFonts w:ascii="Times New Roman" w:hAnsi="Times New Roman"/>
                <w:sz w:val="24"/>
                <w:szCs w:val="24"/>
              </w:rPr>
              <w:t xml:space="preserve"> 32 až 35 CRR, nebo</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szCs w:val="24"/>
              </w:rPr>
              <w:t>článcích</w:t>
            </w:r>
            <w:proofErr w:type="gramEnd"/>
            <w:r>
              <w:rPr>
                <w:rFonts w:ascii="Times New Roman" w:hAnsi="Times New Roman"/>
                <w:sz w:val="24"/>
                <w:szCs w:val="24"/>
              </w:rPr>
              <w:t xml:space="preserve"> 36 až 47 CRR, nebo</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szCs w:val="24"/>
              </w:rPr>
              <w:t>článcích</w:t>
            </w:r>
            <w:proofErr w:type="gramEnd"/>
            <w:r>
              <w:rPr>
                <w:rFonts w:ascii="Times New Roman" w:hAnsi="Times New Roman"/>
                <w:sz w:val="24"/>
                <w:szCs w:val="24"/>
              </w:rPr>
              <w:t xml:space="preserve"> 56 až 60 CRR.</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Při vyplňování této buňky instituce uvedou hodnotu podle čl. 429a odst. 1 písm. a) CRR.</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Rozhodne-li se instituce zveřejňovat kapitál </w:t>
            </w:r>
            <w:proofErr w:type="spellStart"/>
            <w:r>
              <w:rPr>
                <w:rFonts w:ascii="Times New Roman" w:hAnsi="Times New Roman"/>
                <w:sz w:val="24"/>
                <w:szCs w:val="24"/>
              </w:rPr>
              <w:t>tier</w:t>
            </w:r>
            <w:proofErr w:type="spellEnd"/>
            <w:r>
              <w:rPr>
                <w:rFonts w:ascii="Times New Roman" w:hAnsi="Times New Roman"/>
                <w:sz w:val="24"/>
                <w:szCs w:val="24"/>
              </w:rPr>
              <w:t xml:space="preserve"> 1 v souladu s čl. 499 odst. 1 písm. a) CRR, zohlední výjimky, alternativy a osvobození týkající se takových odpočtů stanovené v článcích 48, 49 a 79 CRR, aniž by přihlížela k výjimce stanovené v části desáté hlavě I kapitolách 1 a 2 CRR. Naopak rozhodne-li se instituce zveřejňovat kapitál </w:t>
            </w:r>
            <w:proofErr w:type="spellStart"/>
            <w:r>
              <w:rPr>
                <w:rFonts w:ascii="Times New Roman" w:hAnsi="Times New Roman"/>
                <w:sz w:val="24"/>
                <w:szCs w:val="24"/>
              </w:rPr>
              <w:t>tier</w:t>
            </w:r>
            <w:proofErr w:type="spellEnd"/>
            <w:r>
              <w:rPr>
                <w:rFonts w:ascii="Times New Roman" w:hAnsi="Times New Roman"/>
                <w:sz w:val="24"/>
                <w:szCs w:val="24"/>
              </w:rPr>
              <w:t xml:space="preserve"> 1 v souladu s čl. 499 odst. 1 písm. b) CRR, zohlední výjimky, alternativy a osvobození týkající se takových odpočtů stanovené v článcích 48, 49 a 79 CRR a zároveň přihlédne k výjimkám stanoveným v části desáté hlavě I kapitolách 1 a 2 CRR.</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Aby nedocházelo k dvojímu vykázání, nezveřejňují instituce úpravy, které již uplatnily podle článku 111 CRR při výpočtu hodnoty expozic, ani úpravy, které nespočívají v odpočtu hodnoty určitého aktiva.</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Vzhledem k tomu, že hodnotou v tomto řádku</w:t>
            </w:r>
            <w:r>
              <w:rPr>
                <w:rFonts w:ascii="Times New Roman" w:hAnsi="Times New Roman"/>
                <w:sz w:val="24"/>
                <w:szCs w:val="24"/>
              </w:rPr>
              <w:t xml:space="preserve"> se celková míra expozic snižuje, uvedou instituce hodnotu v této buňce v závorkách (záporná hodnota).</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Celkové rozvahové expozice (s výjimkou derivátů a SFT)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Součet řádků 1 až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Reprodukční náklady spojené s derivátovými transakcemi SA-CCR (tj. po odečtení způsobilé hotovostní variační marže)</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Články 274, 275, 295, 296, 297, 298, 429c a čl. 429c odst. 3 CRR</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současné reprodukční náklady blíže určené v čl. 275 odst. 1, které jsou spojeny s kontrakty vyjmenovanými v příloze II CRR a s úvěrovými deriváty, včetně podrozvahových kontraktů a úvěrových derivátů. Od těchto reprodukčních nákladů se v souladu s čl. 429c odst. 3 CRR odečte způsobilá hotovostní variační marže, a naopak se nezohlední </w:t>
            </w:r>
            <w:r>
              <w:rPr>
                <w:rFonts w:ascii="Times New Roman" w:hAnsi="Times New Roman"/>
                <w:sz w:val="24"/>
                <w:szCs w:val="24"/>
              </w:rPr>
              <w:lastRenderedPageBreak/>
              <w:t>hotovostní variační marže obdržená u části expozic vůči ústřední protistraně vyňaté v souladu s čl. 429a odst. 1 písm. g) nebo h) CRR.</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Jak stanoví čl. 429c odst. 1 CRR, instituce mohou zohlednit dopady smluv o novaci a jiných dohod o započtení v souladu s článkem 295 CRR. Křížové započtení se neuplatňuje. Instituce však mohou provádět započtení v rámci kategorie produktů uvedené v čl. 272 odst. 25 písm. c) CRR a u úvěrových derivátů, pokud se na ně vztahují dohody o křížovém započtení uvedené v čl. 295 písm. c) CRR.</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v této buňce nezohledňují kontrakty oceňované za použití přístupů podle čl. 429c odst. 6, tj. přístupů stanovených v části třetí hlavě II kapitole 6 oddíle 4 nebo 5 CRR (zjednodušeného přístupu SA-CCR nebo metody původní expozice).</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Při výpočtu reprodukčních nákladů instituce v souladu s čl. 429c odst. 4 CRR začlení účinek uznání kolaterálu na výpočet NICA u derivátových smluv s klienty, pokud clearing těchto smluv provádí způsobilá ústřední protistrana.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Uvede se částka s koeficientem alfa 1,4, jak je uvedeno v čl. 274 odst. 2 CRR.</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Odchylka pro deriváty: příspěvek reprodukčních nákladů na základě zjednodušeného standardizovaného přístupu</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429c odst. 6 a článek 281 CRR</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Tato buňka uvádí míru expozice kontraktů vyjmenovaných v příloze II </w:t>
            </w:r>
            <w:proofErr w:type="gramStart"/>
            <w:r>
              <w:rPr>
                <w:rFonts w:ascii="Times New Roman" w:hAnsi="Times New Roman"/>
                <w:bCs/>
                <w:sz w:val="24"/>
                <w:szCs w:val="24"/>
              </w:rPr>
              <w:t>bodech</w:t>
            </w:r>
            <w:proofErr w:type="gramEnd"/>
            <w:r>
              <w:rPr>
                <w:rFonts w:ascii="Times New Roman" w:hAnsi="Times New Roman"/>
                <w:bCs/>
                <w:sz w:val="24"/>
                <w:szCs w:val="24"/>
              </w:rPr>
              <w:t xml:space="preserve"> 1 a 2 CRR vypočtenou podle metody zjednodušeného standardizovaného přístupu podle článku 281 CRR, a to bez dopadu kolaterálu na NICA. Uvede se částka s koeficientem alfa 1,4 uplatněným podle čl. 274 odst. 2 CRR.</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Instituce, které zjednodušený standardizovaný přístup používají, nesnižují v souladu s čl. 429c odst. 6 CRR míru expozice o přijatou marži.</w:t>
            </w:r>
            <w:r>
              <w:rPr>
                <w:rFonts w:ascii="Times New Roman" w:hAnsi="Times New Roman"/>
                <w:sz w:val="24"/>
                <w:szCs w:val="24"/>
              </w:rPr>
              <w:t xml:space="preserve"> </w:t>
            </w:r>
            <w:r>
              <w:rPr>
                <w:rFonts w:ascii="Times New Roman" w:hAnsi="Times New Roman"/>
                <w:bCs/>
                <w:sz w:val="24"/>
                <w:szCs w:val="24"/>
              </w:rPr>
              <w:t>Nepoužije se tudíž výjimka pro derivátové smlouvy s klienty, pokud clearing těchto smluv provádí způsobilá ústřední protistrana, podle čl. 429c odst. 4 CRR.</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V této buňce nezohledňují instituce smlouvy oceňované pomocí SA-CRR nebo metody původní expozice.</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Navýšení o potenciální budoucí expozici spojenou s derivátovými transakcemi SA-CCR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Články 274, 275, 295, 296, 297, 298, čl. 299 odst. 2 a článek 429c CRR</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navýšení o potenciální budoucí expozice u kontraktů vyjmenovaných v příloze II CRR a úvěrových derivátů, včetně těch, které jsou podrozvahovými položkami, vypočtených v souladu s článkem 278 CRR pro smlouvy vyjmenované v příloze II CRR a s čl. 299 odst. 2 CRR pro úvěrové deriváty a za použití pravidel započtení podle čl. 429c odst. 1 CRR. Při určování hodnoty expozice těchto smluv mohou instituce zohlednit dopady smluv o novaci a jiných dohod o započtení v souladu s článkem 295 CRR. Křížové započtení se neuplatňuje. Instituce však mohou provádět započtení v rámci kategorie produktů uvedené v čl. 272 odst. 25 písm. c) CRR a u úvěrových derivátů, pokud se na ně vztahují dohody o křížovém započtení </w:t>
            </w:r>
            <w:r>
              <w:rPr>
                <w:rFonts w:ascii="Times New Roman" w:hAnsi="Times New Roman"/>
                <w:sz w:val="24"/>
                <w:szCs w:val="24"/>
              </w:rPr>
              <w:lastRenderedPageBreak/>
              <w:t>uvedené v čl. 295 písm. c) CRR.</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V souladu s čl. 429c odst. 5 CRR instituce stanoví hodnotu multiplikátoru pro výpočet potenciální budoucí expozice v souladu s čl. 278 odst. 1 CRR na jedna, s výjimkou derivátových smluv s klienty, pokud clearing těchto smluv provádí způsobilá ústřední protistrana.</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v této buňce nezohledňují kontrakty oceňované za použití přístupů podle čl. 429c odst. 6, tj. přístupů stanovených v části třetí hlavě II kapitole 6 oddíle 4 nebo 5 CRR (zjednodušeného přístupu SA-CCR nebo metody původní expozice).</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Odchylka pro deriváty: příspěvek potenciální budoucí expozice podle zjednodušeného standardizovaného přístupu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429c odst. 5 CRR</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Potenciální budoucí expozice v souladu se zjednodušeným standardizovaným přístupem stanoveným v článku 281 CRR za předpokladu, že se použije multiplikátor ve výši 1. Uvede se částka s koeficientem alfa 1,4 uplatněným podle čl. 274 odst. 2 CRR.</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Instituce, které zjednodušený standardizovaný přístup používají, nesnižují v souladu s čl. 429c odst. 6 CRR míru expozice o přijatou marži. Nepoužije se tudíž výjimka pro derivátové smlouvy s klienty, pokud clearing těchto smluv provádí způsobilá ústřední protistrana, podle čl. 429c odst. 5 CRR.</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V této buňce nezohledňují instituce smlouvy oceňované pomocí SA-CRR nebo metody původní expozice.</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určená metodou původní expozice</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429c odst. 6 a část třetí hlava II kapitola 6 oddíly 4 nebo 5 CRR</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míru expozice kontraktů vyjmenovaných v příloze II </w:t>
            </w:r>
            <w:proofErr w:type="gramStart"/>
            <w:r>
              <w:rPr>
                <w:rFonts w:ascii="Times New Roman" w:hAnsi="Times New Roman"/>
                <w:sz w:val="24"/>
                <w:szCs w:val="24"/>
              </w:rPr>
              <w:t>bodech</w:t>
            </w:r>
            <w:proofErr w:type="gramEnd"/>
            <w:r>
              <w:rPr>
                <w:rFonts w:ascii="Times New Roman" w:hAnsi="Times New Roman"/>
                <w:sz w:val="24"/>
                <w:szCs w:val="24"/>
              </w:rPr>
              <w:t xml:space="preserve"> 1 a 2 CRR vypočtenou podle metody původní expozice podle části třetí hlavy II kapitoly 6 oddílu 4 nebo 5 CRR.</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které metodu původní expozice používají, nesnižují v souladu s čl. 429c odst. 6 CRR celkovou míru expozice o přijatou marži.</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které metodu původní expozice nepoužívají, tuto buňku nevyplňují.</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(Vyňaté obchodní expozice vůči ústřední protistraně na účet klienta)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g) a h) CRR</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vyňaté obchodní expozice vůči způsobilé ústřední protistraně, jež plynou z derivátových transakcí na účet klienta (SA-CRR), za předpokladu, že tyto položky splňují podmínky stanovené v čl. 306 odst. 1 písm. c) CRR.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hodnoty v této buňce v závorkách (záporná hodnota).</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Zde uvedená hodnota musí být zohledněna i v příslušných buňkách výše, jako </w:t>
            </w:r>
            <w:r>
              <w:rPr>
                <w:rFonts w:ascii="Times New Roman" w:hAnsi="Times New Roman"/>
                <w:sz w:val="24"/>
                <w:szCs w:val="24"/>
              </w:rPr>
              <w:lastRenderedPageBreak/>
              <w:t>kdyby se žádná výjimka nepoužila.</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(Vyňaté obchodní expozice vůči ústřední protistraně na účet klienta) (zjednodušený standardizovaný přístup)</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429a odst. 1 písm. g) a h) CRR</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Instituce uvedou vyňaté obchodní expozice vůči způsobilé ústřední protistraně, jež plynou z derivátových transakcí na účet klienta (zjednodušený standardizovaný přístup), za předpokladu, že tyto položky splňují podmínky stanovené v čl. 306 odst. 1 písm. c) CRR.</w:t>
            </w:r>
            <w:r>
              <w:rPr>
                <w:rFonts w:ascii="Times New Roman" w:hAnsi="Times New Roman"/>
                <w:bCs/>
                <w:sz w:val="24"/>
                <w:szCs w:val="24"/>
              </w:rPr>
              <w:t xml:space="preserve"> </w:t>
            </w:r>
            <w:r>
              <w:rPr>
                <w:rFonts w:ascii="Times New Roman" w:hAnsi="Times New Roman"/>
                <w:sz w:val="24"/>
                <w:szCs w:val="24"/>
              </w:rPr>
              <w:t>Uvede se částka s koeficientem alfa 1,4 uplatněným podle čl. 274 odst. 2 CRR (záporná hodnota).</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Uvedená částka musí být zohledněna i v příslušných buňkách výše, jako kdyby se žádná výjimka nepoužila.</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(Vyňaté obchodní expozice vůči ústřední protistraně na účet klienta)</w:t>
            </w:r>
            <w:r>
              <w:rPr>
                <w:rFonts w:ascii="Times New Roman" w:hAnsi="Times New Roman"/>
                <w:sz w:val="24"/>
                <w:szCs w:val="24"/>
              </w:rPr>
              <w:t xml:space="preserve"> </w:t>
            </w:r>
            <w:r>
              <w:rPr>
                <w:rStyle w:val="TeksttreciPogrubienie"/>
                <w:rFonts w:ascii="Times New Roman" w:hAnsi="Times New Roman"/>
                <w:sz w:val="24"/>
                <w:szCs w:val="24"/>
              </w:rPr>
              <w:t>(metoda původní expozice)</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g) a h) CRR</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vyňaté obchodní expozice vůči způsobilé ústřední protistraně, jež plynou z derivátových transakcí na účet klienta (metoda původní expozice), za předpokladu, že tyto položky splňují podmínky stanovené v čl. 306 odst. 1 písm. c) CRR.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hodnoty v této buňce v závorkách (záporná hodnota).</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Uvedená částka musí být zohledněna i v příslušných buňkách výše, jako kdyby se žádná výjimka nepoužila.</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Upravená efektivní pomyslná částka písemných úvěrových derivátů</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Článek 429d CRR</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limitovanou pomyslnou hodnotu prodaných úvěrových derivátů (tj. poskytuje-li instituce protistraně zajištění úvěrového rizika), kterou upravuje článek 429d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(Upravené efektivní pomyslné kompenzace a odpočty navýšení u písemných úvěrových derivátů)</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Článek 429d CRR</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limitovanou pomyslnou hodnotu zakoupených úvěrových derivátů (tj. kupuje-li instituce od protistrany zajištění úvěrového rizika) se stejným referenčním jménem jako úvěrové deriváty účtované danou institucí, jestliže zbývající doba splatnosti zakoupeného zajištění je nejméně rovna zbývající době splatnosti prodaného zajištění. Hodnota tudíž nesmí být vyšší než hodnota uvedená v řádku 11 šablony </w:t>
            </w:r>
            <w:r>
              <w:rPr>
                <w:rFonts w:ascii="Times New Roman" w:hAnsi="Times New Roman"/>
                <w:color w:val="000000"/>
                <w:sz w:val="24"/>
                <w:szCs w:val="24"/>
              </w:rPr>
              <w:t xml:space="preserve">EU LR2 – </w:t>
            </w:r>
            <w:proofErr w:type="spellStart"/>
            <w:r>
              <w:rPr>
                <w:rFonts w:ascii="Times New Roman" w:hAnsi="Times New Roman"/>
                <w:sz w:val="24"/>
                <w:szCs w:val="24"/>
              </w:rPr>
              <w:t>LRCom</w:t>
            </w:r>
            <w:proofErr w:type="spellEnd"/>
            <w:r>
              <w:rPr>
                <w:rFonts w:ascii="Times New Roman" w:hAnsi="Times New Roman"/>
                <w:sz w:val="24"/>
                <w:szCs w:val="24"/>
              </w:rPr>
              <w:t xml:space="preserve"> pro každé referenční jméno.</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Vzhledem k tomu, že o zveřejněnou hodnotu se celková míra expozic snižuje, </w:t>
            </w:r>
            <w:r>
              <w:rPr>
                <w:rFonts w:ascii="Times New Roman" w:hAnsi="Times New Roman"/>
                <w:sz w:val="24"/>
                <w:szCs w:val="24"/>
              </w:rPr>
              <w:lastRenderedPageBreak/>
              <w:t>uvedou instituce hodnoty v této buňce v závorkách (záporná hodnota).</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Zveřejněná hodnota musí být zohledněna i v předchozí buňce, jako kdyby se žádná úprava nepoužila.</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Celkové derivátové expozice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Součet řádků 8 až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Hrubá </w:t>
            </w:r>
            <w:proofErr w:type="gramStart"/>
            <w:r>
              <w:rPr>
                <w:rStyle w:val="TeksttreciPogrubienie"/>
                <w:rFonts w:ascii="Times New Roman" w:hAnsi="Times New Roman"/>
                <w:sz w:val="24"/>
                <w:szCs w:val="24"/>
              </w:rPr>
              <w:t>aktiva v SFT</w:t>
            </w:r>
            <w:proofErr w:type="gramEnd"/>
            <w:r>
              <w:rPr>
                <w:rStyle w:val="TeksttreciPogrubienie"/>
                <w:rFonts w:ascii="Times New Roman" w:hAnsi="Times New Roman"/>
                <w:sz w:val="24"/>
                <w:szCs w:val="24"/>
              </w:rPr>
              <w:t xml:space="preserve"> (bez vykázání započtení) po úpravě o účetní operace související s prodejem</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 odst. 1 bod 77, článek 206 a čl. 429e odst. 6 CRR</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účetní hodnotu SFT z rozvahy zjištěnou podle platného účetního rámce bez ohledu na to, jsou-li SFT předmětem rámcové dohody o započtení, která je způsobilá dle článku 206 CRR, jestliže jsou tyto kontrakty vykázány jako aktivum v rozvaze, za předpokladu, že se neuplatní obezřetnostní ani účetní započtení anebo účinky snižování rizika (tj. účetní hodnota z rozvahy upravená o účinky účetního započtení nebo snižování rizika).</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Pokud navíc platný účetní rámec umožňuje účtovat o transakci SFT jako o prodeji, provedou instituce v souladu s čl. 429e odst. 6 CRR reverzi všech účetních zápisů souvisejících s prodejem.</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do této buňky nezahrnou obdržené peněžní prostředky nebo jakékoli zajištění poskytnuté protistraně prostřednictvím výše uvedených transakcí, které je ponecháno v rozvaze (tj. nejsou splněna účetní kritéria pro odúčtování).</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(Započtené hotovostní pohledávky a závazky související s hrubými </w:t>
            </w:r>
            <w:proofErr w:type="gramStart"/>
            <w:r>
              <w:rPr>
                <w:rStyle w:val="TeksttreciPogrubienie"/>
                <w:rFonts w:ascii="Times New Roman" w:hAnsi="Times New Roman"/>
                <w:sz w:val="24"/>
                <w:szCs w:val="24"/>
              </w:rPr>
              <w:t>aktivy v SFT</w:t>
            </w:r>
            <w:proofErr w:type="gramEnd"/>
            <w:r>
              <w:rPr>
                <w:rStyle w:val="TeksttreciPogrubienie"/>
                <w:rFonts w:ascii="Times New Roman" w:hAnsi="Times New Roman"/>
                <w:sz w:val="24"/>
                <w:szCs w:val="24"/>
              </w:rPr>
              <w:t>)</w:t>
            </w:r>
          </w:p>
          <w:p w14:paraId="22328E59" w14:textId="7F0D724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 odst. 1 bod 77, článek 206, čl. 429b odst. 1 písm. b), čl. 429b odst. 4 a čl. 429e odst. 6 CRR</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hotovostní závazky související s hrubými </w:t>
            </w:r>
            <w:proofErr w:type="gramStart"/>
            <w:r>
              <w:rPr>
                <w:rFonts w:ascii="Times New Roman" w:hAnsi="Times New Roman"/>
                <w:sz w:val="24"/>
                <w:szCs w:val="24"/>
              </w:rPr>
              <w:t>aktivy v SFT</w:t>
            </w:r>
            <w:proofErr w:type="gramEnd"/>
            <w:r>
              <w:rPr>
                <w:rFonts w:ascii="Times New Roman" w:hAnsi="Times New Roman"/>
                <w:sz w:val="24"/>
                <w:szCs w:val="24"/>
              </w:rPr>
              <w:t>, které byly započteny podle čl. 429b odst. 4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hodnotu v tomto řádku v závorkách (záporná hodnota).</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Expozice úvěrového rizika protistrany v případě </w:t>
            </w:r>
            <w:proofErr w:type="gramStart"/>
            <w:r>
              <w:rPr>
                <w:rStyle w:val="TeksttreciPogrubienie"/>
                <w:rFonts w:ascii="Times New Roman" w:hAnsi="Times New Roman"/>
                <w:sz w:val="24"/>
                <w:szCs w:val="24"/>
              </w:rPr>
              <w:t>aktiv v SFT</w:t>
            </w:r>
            <w:proofErr w:type="gramEnd"/>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429e odst. 1 CRR</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navýšení o úvěrové riziko protistrany u transakcí SFT včetně transakcí uvedených v podrozvaze, toto navýšení vypočtou podle čl. 429e odst. 2 nebo 3 CRR.</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 této buňce instituce zahrnou transakce podle čl. 429e odst. 7 písm. c) CRR.</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w:t>
            </w:r>
            <w:r>
              <w:rPr>
                <w:rFonts w:ascii="Times New Roman" w:hAnsi="Times New Roman"/>
                <w:sz w:val="24"/>
                <w:szCs w:val="24"/>
              </w:rPr>
              <w:lastRenderedPageBreak/>
              <w:t xml:space="preserve">s čl. 429e odst. 7 písm. a)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Odchylka pro SFT: expozice úvěrového rizika protistrany podle čl. 429e odst. 5 a článku 222 CRR</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429e odst. 5 a článek 222 CRR</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navýšení o transakce SFT včetně transakcí uvedených v podrozvaze, toto navýšení vypočtou podle článku 222 CRR a uplatní příslušnou rizikovou váhu ve výši nejméně 20 %.</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 této buňce instituce zahrnou transakce podle čl. 429e odst. 7 písm. c) CRR.</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v této buňce nezahrnou transakce, u kterých je část hodnoty expozice pákového poměru připadající na navýšení stanovena metodou podle čl. 429e odst. 1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transakcí, v nichž instituce jedná jako zmocněnec</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429e odst. 2 a 3 a čl. 429e odst. 7 písm. a) CRR</w:t>
            </w:r>
          </w:p>
          <w:p w14:paraId="43BB1BE9" w14:textId="0F2A2C17" w:rsidR="000A7015" w:rsidRPr="007F4CC8" w:rsidRDefault="00642DEB"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w:t>
            </w:r>
            <w:r w:rsidR="000A7015">
              <w:rPr>
                <w:rFonts w:ascii="Times New Roman" w:hAnsi="Times New Roman"/>
                <w:sz w:val="24"/>
                <w:szCs w:val="24"/>
              </w:rPr>
              <w:t>odnot</w:t>
            </w:r>
            <w:r>
              <w:rPr>
                <w:rFonts w:ascii="Times New Roman" w:hAnsi="Times New Roman"/>
                <w:sz w:val="24"/>
                <w:szCs w:val="24"/>
              </w:rPr>
              <w:t>a</w:t>
            </w:r>
            <w:r w:rsidR="000A7015">
              <w:rPr>
                <w:rFonts w:ascii="Times New Roman" w:hAnsi="Times New Roman"/>
                <w:sz w:val="24"/>
                <w:szCs w:val="24"/>
              </w:rPr>
              <w:t xml:space="preserve"> expozice transakcí SFT, v nichž vystupuje jako zmocněnec a poskytuje zákazníkovi nebo protistraně zabezpečení či záruku, které jsou omezeny na rozdíl mezi hodnotou cenných papírů nebo hotovosti, jež zapůjčil zákazník, a hodnotou kolaterálu, který poskytl dlužník, v souladu s čl. 429e odst. 7 písm. a) CRR</w:t>
            </w:r>
            <w:r>
              <w:rPr>
                <w:rFonts w:ascii="Times New Roman" w:hAnsi="Times New Roman"/>
                <w:sz w:val="24"/>
                <w:szCs w:val="24"/>
              </w:rPr>
              <w:t>,</w:t>
            </w:r>
            <w:r w:rsidR="000A7015">
              <w:rPr>
                <w:rFonts w:ascii="Times New Roman" w:hAnsi="Times New Roman"/>
                <w:sz w:val="24"/>
                <w:szCs w:val="24"/>
              </w:rPr>
              <w:t xml:space="preserve"> sestává pouze z navýšení vypočteného v souladu s čl. 429e odst. 2</w:t>
            </w:r>
            <w:r>
              <w:rPr>
                <w:rFonts w:ascii="Times New Roman" w:hAnsi="Times New Roman"/>
                <w:sz w:val="24"/>
                <w:szCs w:val="24"/>
              </w:rPr>
              <w:t>,</w:t>
            </w:r>
            <w:r w:rsidR="000A7015">
              <w:rPr>
                <w:rFonts w:ascii="Times New Roman" w:hAnsi="Times New Roman"/>
                <w:sz w:val="24"/>
                <w:szCs w:val="24"/>
              </w:rPr>
              <w:t xml:space="preserve"> </w:t>
            </w:r>
            <w:r>
              <w:rPr>
                <w:rFonts w:ascii="Times New Roman" w:hAnsi="Times New Roman"/>
                <w:sz w:val="24"/>
                <w:szCs w:val="24"/>
              </w:rPr>
              <w:t>případně</w:t>
            </w:r>
            <w:r w:rsidR="000A7015">
              <w:rPr>
                <w:rFonts w:ascii="Times New Roman" w:hAnsi="Times New Roman"/>
                <w:sz w:val="24"/>
                <w:szCs w:val="24"/>
              </w:rPr>
              <w:t xml:space="preserve"> 3 CRR.</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 této buňce instituce nezahrnou transakce podle čl. 429e odst. 7 písm. c)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(Vyňaté expozice SFT vůči ústřední protistraně na účet klienta)</w:t>
            </w:r>
          </w:p>
          <w:p w14:paraId="27B70148" w14:textId="507E819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Čl. 429a odst. 1 písm. g) a h) a čl. 306 odst. 1 písm. c) CRR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vyňaté obchodní expozice vůči ústřední protistraně, jež plynou z transakcí SFT na účet klienta, pokud tyto položky splňují podmínky čl. 306 odst. 1 písm. c) CRR.</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Je-li vyňatou expozicí vůči ústřední protistraně cenný papír, v této buňce se nezohlední, ledaže se jedná o opětovně zastavený cenný papír, který je podle platného účetního rámce (tj. v souladu s čl. 111 odst. 1 první větou CRR) zohledňován v plné výši.</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touto úpravou se celková míra expozic snižuje, uvedou instituce hodnotu v tomto řádku v závorkách (záporná hodnota).</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Uvedená částka musí být zohledněna i v příslušných buňkách výše, jako kdyby se žádná výjimka nepoužila.</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Celkové expozice transakcí s financováním cenných papírů</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Součet řádků 14 až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Podrozvahové expozice v hrubé pomyslné hodnotě</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Článek 429f CRR</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nominální hodnotu všech podrozvahových položek ve smyslu čl. 429f CRR před úpravou o konverzní faktory a specifickými úpravami o úvěrové riziko.</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(Úpravy z důvodu konverze na ekvivalentní výši úvěrů)</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Článek 429f CRR</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Snížení hrubého objemu podrozvahových expozic v důsledku použití úvěrových konverzních faktorů. Vzhledem k tomu, že snižuje celkovou míru expozic, hodnota uvedená v tomto řádku negativně přispívá k výpočtu celkového součtu, který se uvádí v řádku 22 šablony </w:t>
            </w:r>
            <w:r>
              <w:rPr>
                <w:rFonts w:ascii="Times New Roman" w:hAnsi="Times New Roman"/>
                <w:color w:val="000000"/>
                <w:sz w:val="24"/>
                <w:szCs w:val="24"/>
              </w:rPr>
              <w:t xml:space="preserve">EU 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(Obecná rezerva odečtená při výpočtu kapitálu </w:t>
            </w:r>
            <w:proofErr w:type="spellStart"/>
            <w:r>
              <w:rPr>
                <w:rStyle w:val="TeksttreciPogrubienie"/>
                <w:rFonts w:ascii="Times New Roman" w:hAnsi="Times New Roman"/>
                <w:sz w:val="24"/>
                <w:szCs w:val="24"/>
              </w:rPr>
              <w:t>tier</w:t>
            </w:r>
            <w:proofErr w:type="spellEnd"/>
            <w:r>
              <w:rPr>
                <w:rStyle w:val="TeksttreciPogrubienie"/>
                <w:rFonts w:ascii="Times New Roman" w:hAnsi="Times New Roman"/>
                <w:sz w:val="24"/>
                <w:szCs w:val="24"/>
              </w:rPr>
              <w:t xml:space="preserve"> 1 a specifická rezerva spojená s podrozvahovými expozicemi)</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 odst. 4 a čl. 429f odst. </w:t>
            </w:r>
            <w:r>
              <w:rPr>
                <w:rFonts w:ascii="Times New Roman" w:hAnsi="Times New Roman"/>
                <w:bCs/>
                <w:sz w:val="24"/>
                <w:szCs w:val="24"/>
              </w:rPr>
              <w:t xml:space="preserve">1 a </w:t>
            </w:r>
            <w:r>
              <w:rPr>
                <w:rFonts w:ascii="Times New Roman" w:hAnsi="Times New Roman"/>
                <w:sz w:val="24"/>
                <w:szCs w:val="24"/>
              </w:rPr>
              <w:t>2</w:t>
            </w:r>
            <w:r>
              <w:rPr>
                <w:rStyle w:val="TeksttreciPogrubienie"/>
                <w:rFonts w:ascii="Times New Roman" w:hAnsi="Times New Roman"/>
                <w:sz w:val="24"/>
                <w:szCs w:val="24"/>
              </w:rPr>
              <w:t xml:space="preserve"> </w:t>
            </w:r>
            <w:r>
              <w:rPr>
                <w:rFonts w:ascii="Times New Roman" w:hAnsi="Times New Roman"/>
                <w:sz w:val="24"/>
                <w:szCs w:val="24"/>
              </w:rPr>
              <w:t>CRR</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mohou snížit hodnotu ekvivalentní úvěrové expozice podrozvahové položky o odpovídající hodnotu specifických úprav o úvěrové riziko odečtených od kapitálu </w:t>
            </w:r>
            <w:proofErr w:type="spellStart"/>
            <w:r>
              <w:rPr>
                <w:rFonts w:ascii="Times New Roman" w:hAnsi="Times New Roman"/>
                <w:sz w:val="24"/>
                <w:szCs w:val="24"/>
              </w:rPr>
              <w:t>tier</w:t>
            </w:r>
            <w:proofErr w:type="spellEnd"/>
            <w:r>
              <w:rPr>
                <w:rFonts w:ascii="Times New Roman" w:hAnsi="Times New Roman"/>
                <w:sz w:val="24"/>
                <w:szCs w:val="24"/>
              </w:rPr>
              <w:t xml:space="preserve"> 1. Na tento výpočet se vztahuje minimální nulová hodnota.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mohou snížit hodnotu ekvivalentní úvěrové expozice podrozvahové položky o odpovídající hodnotu specifických úprav o úvěrové riziko. Na tento výpočet se vztahuje minimální nulová hodnota.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Absolutní hodnota těchto úprav o úvěrové riziko nepřesáhne součet řádků 19 a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se těmito úpravami celková míra expozic snižuje, uvedou instituce hodnoty v tomto řádku v závorkách (záporná hodnota).</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Zveřejněná hodnota musí být zohledněna i v příslušných buňkách výše, jako kdyby se toto snížení nepoužilo.</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Podrozvahové expozice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Článek 429f, čl. 111 odst. 1 a čl. 166 odst. 9 CRR; součet řádků 19 až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hodnoty expozice pákového poměru podrozvahových položek, které určí podle článku 429f CRR, přičemž zohledňují příslušné konverzní faktory.</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přihlédnou k tomu, že řádky 20–21 šablony </w:t>
            </w:r>
            <w:r>
              <w:rPr>
                <w:rFonts w:ascii="Times New Roman" w:hAnsi="Times New Roman"/>
                <w:color w:val="000000"/>
                <w:sz w:val="24"/>
                <w:szCs w:val="24"/>
              </w:rPr>
              <w:t>EU LR2 –</w:t>
            </w:r>
            <w:r>
              <w:rPr>
                <w:rFonts w:ascii="Times New Roman" w:hAnsi="Times New Roman"/>
                <w:sz w:val="24"/>
                <w:szCs w:val="24"/>
              </w:rPr>
              <w:t xml:space="preserve"> </w:t>
            </w:r>
            <w:proofErr w:type="spellStart"/>
            <w:r>
              <w:rPr>
                <w:rFonts w:ascii="Times New Roman" w:hAnsi="Times New Roman"/>
                <w:sz w:val="24"/>
                <w:szCs w:val="24"/>
              </w:rPr>
              <w:t>LRCom</w:t>
            </w:r>
            <w:proofErr w:type="spellEnd"/>
            <w:r>
              <w:rPr>
                <w:rFonts w:ascii="Times New Roman" w:hAnsi="Times New Roman"/>
                <w:sz w:val="24"/>
                <w:szCs w:val="24"/>
              </w:rPr>
              <w:t xml:space="preserve"> k výpočtu tohoto součtu přispívají negativně.</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vyňaté z celkové míry expozic podle čl. 429a odst. 1 písm. c) CRR)</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c) a čl. 113 odst. 6 a 7 CRR</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 xml:space="preserve">Instituce uvedou expozice vyloučené podle čl. 429a odst. 1 písm. c).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Zveřejněná hodnota se zohlední i v příslušných buňkách výše, jako kdyby se žádná výjimka nepoužila.</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vyňaté podle čl. 429a odst. 1 písm. j) CRR</w:t>
            </w:r>
            <w:r>
              <w:rPr>
                <w:rFonts w:ascii="Times New Roman" w:hAnsi="Times New Roman"/>
                <w:sz w:val="24"/>
                <w:szCs w:val="24"/>
              </w:rPr>
              <w:t xml:space="preserve"> </w:t>
            </w:r>
            <w:r>
              <w:rPr>
                <w:rStyle w:val="TeksttreciPogrubienie"/>
                <w:rFonts w:ascii="Times New Roman" w:hAnsi="Times New Roman"/>
                <w:sz w:val="24"/>
                <w:szCs w:val="24"/>
              </w:rPr>
              <w:t>(rozvahové a podrozvahové))</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j) CRR</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expozice vyloučené podle čl. 429a odst. 1 písm. j) CRR s výhradou splnění podmínek uvedených v tomto ustanovení.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Zveřejněná hodnota se zohlední i v příslušných buňkách výše, jako kdyby se žádná výjimka nepoužila.</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expozice veřejných rozvojových bank (nebo útvarů) – investice veřejného sektoru)</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429a odst. 1 písm. d) a čl. 429a odst. 2 CRR</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Expozice vyplývající z aktiv představujících pohledávky vůči ústředním vládám, regionálním vládám, místním orgánům nebo subjektům veřejného sektoru týkající se investic veřejného sektoru, jež lze vyloučit podle čl. 429a odst. 1 písm. d) CRR. To zahrnuje pouze případy, kdy je instituce veřejnou rozvojovou úvěrovou institucí nebo kdy jsou expozice drženy v útvaru, k němuž se přistupuje jako k veřejné rozvojové úvěrové instituci v souladu s čl. 429a odst. 2 posledním pododstavcem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této buňce v závorkách (záporná hodnota).</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(Vyloučené expozice veřejných rozvojových bank (nebo útvarů) – podpůrné úvěry)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 429a odst. 1 písm. d) a čl. 429a odst. 2 CRR</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vyloučené podpůrné úvěry podle čl. 429a odst. 1 písm. d) CRR. To zahrnuje pouze případy, kdy je instituce veřejnou rozvojovou úvěrovou institucí nebo kdy jsou podpůrné úvěry drženy v útvaru, k němuž se přistupuje jako k veřejné rozvojové úvěrové instituci v souladu s čl. 429a odst. 2 posledním pododstavcem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expozice vyplývající z postoupení podpůrných úvěrů neveřejnými rozvojovými bankami (nebo útvary))</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 429a odst. 1 písm. e) CRR</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Instituce uvedou expozice vyloučené podle čl. 429a odst. 1 písm. e) CRR týkající se </w:t>
            </w:r>
            <w:r>
              <w:rPr>
                <w:rFonts w:ascii="Times New Roman" w:hAnsi="Times New Roman"/>
                <w:color w:val="auto"/>
                <w:sz w:val="24"/>
                <w:szCs w:val="24"/>
              </w:rPr>
              <w:t>částí expozic vyplývajících z postoupení podpůrných úvěrů jiným úvěrovým institucím</w:t>
            </w:r>
            <w:r>
              <w:rPr>
                <w:rFonts w:ascii="Times New Roman" w:hAnsi="Times New Roman"/>
                <w:bCs/>
                <w:sz w:val="24"/>
                <w:szCs w:val="24"/>
              </w:rPr>
              <w:t>. To zahrnuje pouze případy, kdy instituce není veřejnou rozvojovou úvěrovou institucí a činnost nespadá do útvaru, k němuž se přistupuje jako k veřejné rozvojové úvěrové instituci v souladu s čl. 429a odst. 2 posledním pododstavcem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zaručené části expozic vyplývajících z vývozních úvěrů)</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Čl. 429a odst. 1 písm. f) CRR</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Zaručené části expozic vyplývajících z vývozních úvěrů, které lze vyloučit, jestliže jsou splněny podmínky čl. 429a odst. 1 písm. f) CRR.</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(Vyloučený přebytečný kolaterál uložený u trojstranných zmocněnců)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429a odst. 1 písm. k) CRR</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Přebytečný kolaterál uložený u trojstranných zmocněnců, který nebyl zapůjčen a který lze vyloučit podle čl. 429a odst. 1 písm. k)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služby centrálních depozitářů cenných papírů / institucí související se službami centrálních depozitářů cenných papírů podle čl. 429a odst. 1 písm. o) CRR</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429a odst. 1 písm. o) CRR</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Služby centrálních depozitářů cenných papírů / institucí vztahující se k centrálním depozitářům cenných papírů, které lze vyloučit podle čl. 429a odst. 1 písm. o)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služby určených institucí související se službami centrálních depozitářů cenných papírů podle čl. 429a odst. 1 písm. p) CRR</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 429a odst. 1 písm. p) CRR</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Služby určených institucí vztahující se k centrálním depozitářům cenných papírů, které lze vyloučit podle čl. 429a odst. 1 písm. p)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(Snížení hodnoty expozice úvěru předběžného financování nebo překlenovacího úvěru)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 429 odst. 8 CRR</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Hodnota odečtená od hodnoty expozice úvěru předběžného financování nebo překlenovacího úvěru podle čl. 429 odst. 8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(Vyloučené expozice celkem)</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Součet řádků EU-22a až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Vzhledem k tomu, že o tuto hodnotu se celková míra expozic snižuje, uvedou instituce hodnotu v tomto řádku v závorkách (záporná hodnota).</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Kapitál </w:t>
            </w:r>
            <w:proofErr w:type="spellStart"/>
            <w:r>
              <w:rPr>
                <w:rStyle w:val="TeksttreciPogrubienie"/>
                <w:rFonts w:ascii="Times New Roman" w:hAnsi="Times New Roman"/>
                <w:sz w:val="24"/>
                <w:szCs w:val="24"/>
              </w:rPr>
              <w:t>tier</w:t>
            </w:r>
            <w:proofErr w:type="spellEnd"/>
            <w:r>
              <w:rPr>
                <w:rStyle w:val="TeksttreciPogrubienie"/>
                <w:rFonts w:ascii="Times New Roman" w:hAnsi="Times New Roman"/>
                <w:sz w:val="24"/>
                <w:szCs w:val="24"/>
              </w:rPr>
              <w:t xml:space="preserve"> 1</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429 odst. 3 a čl. 499 odst. 1 a 2 CRR</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výši kapitálu </w:t>
            </w:r>
            <w:proofErr w:type="spellStart"/>
            <w:r>
              <w:rPr>
                <w:rFonts w:ascii="Times New Roman" w:hAnsi="Times New Roman"/>
                <w:sz w:val="24"/>
                <w:szCs w:val="24"/>
              </w:rPr>
              <w:t>tier</w:t>
            </w:r>
            <w:proofErr w:type="spellEnd"/>
            <w:r>
              <w:rPr>
                <w:rFonts w:ascii="Times New Roman" w:hAnsi="Times New Roman"/>
                <w:sz w:val="24"/>
                <w:szCs w:val="24"/>
              </w:rPr>
              <w:t xml:space="preserve"> 1 vypočtenou na základě volby, kterou učiní podle čl. 499 odst. 2 CRR, uvedenou v řádku EU-27 šablony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Konkrétněji, rozhodne-li se instituce zveřejňovat kapitál </w:t>
            </w:r>
            <w:proofErr w:type="spellStart"/>
            <w:r>
              <w:rPr>
                <w:rFonts w:ascii="Times New Roman" w:hAnsi="Times New Roman"/>
                <w:sz w:val="24"/>
                <w:szCs w:val="24"/>
              </w:rPr>
              <w:t>tier</w:t>
            </w:r>
            <w:proofErr w:type="spellEnd"/>
            <w:r>
              <w:rPr>
                <w:rFonts w:ascii="Times New Roman" w:hAnsi="Times New Roman"/>
                <w:sz w:val="24"/>
                <w:szCs w:val="24"/>
              </w:rPr>
              <w:t xml:space="preserve"> 1 v souladu s čl. 499 odst. 1 písm. a) CRR, uvede výši kapitálu </w:t>
            </w:r>
            <w:proofErr w:type="spellStart"/>
            <w:r>
              <w:rPr>
                <w:rFonts w:ascii="Times New Roman" w:hAnsi="Times New Roman"/>
                <w:sz w:val="24"/>
                <w:szCs w:val="24"/>
              </w:rPr>
              <w:t>tier</w:t>
            </w:r>
            <w:proofErr w:type="spellEnd"/>
            <w:r>
              <w:rPr>
                <w:rFonts w:ascii="Times New Roman" w:hAnsi="Times New Roman"/>
                <w:sz w:val="24"/>
                <w:szCs w:val="24"/>
              </w:rPr>
              <w:t xml:space="preserve"> 1 vypočtenou podle článku 25 CRR, aniž by přihlížela k výjimkám stanoveným v části desáté hlavě I kapitolách 1 a 2 CRR.</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Naopak rozhodne-li se instituce zveřejňovat kapitál </w:t>
            </w:r>
            <w:proofErr w:type="spellStart"/>
            <w:r>
              <w:rPr>
                <w:rFonts w:ascii="Times New Roman" w:hAnsi="Times New Roman"/>
                <w:sz w:val="24"/>
                <w:szCs w:val="24"/>
              </w:rPr>
              <w:t>tier</w:t>
            </w:r>
            <w:proofErr w:type="spellEnd"/>
            <w:r>
              <w:rPr>
                <w:rFonts w:ascii="Times New Roman" w:hAnsi="Times New Roman"/>
                <w:sz w:val="24"/>
                <w:szCs w:val="24"/>
              </w:rPr>
              <w:t xml:space="preserve"> 1 v souladu s čl. 499 odst. 1 písm. b) CRR, uvede výši kapitálu </w:t>
            </w:r>
            <w:proofErr w:type="spellStart"/>
            <w:r>
              <w:rPr>
                <w:rFonts w:ascii="Times New Roman" w:hAnsi="Times New Roman"/>
                <w:sz w:val="24"/>
                <w:szCs w:val="24"/>
              </w:rPr>
              <w:t>tier</w:t>
            </w:r>
            <w:proofErr w:type="spellEnd"/>
            <w:r>
              <w:rPr>
                <w:rFonts w:ascii="Times New Roman" w:hAnsi="Times New Roman"/>
                <w:sz w:val="24"/>
                <w:szCs w:val="24"/>
              </w:rPr>
              <w:t xml:space="preserve"> 1 vypočtenou podle článku 25 CRR po přihlédnutí k výjimkám stanoveným v části desáté hlavě I kapitolách 1 a 2 CRR.</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Celková míra expozic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 xml:space="preserve">Součet hodnot v řádcích 7, 13, 18, 22 a EU-22k šablony </w:t>
            </w:r>
            <w:r>
              <w:rPr>
                <w:rFonts w:ascii="Times New Roman" w:hAnsi="Times New Roman"/>
                <w:sz w:val="24"/>
                <w:szCs w:val="24"/>
              </w:rPr>
              <w:t xml:space="preserve">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Pákový poměr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Instituce uvedou hodnotu z řádku 23 šablony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 xml:space="preserve"> vyjádřenou jako procento hodnoty v řádku 24 šablony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Pákový poměr (vyjma dopadu vynětí investic veřejného sektoru a podpůrných úvěrů)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Podle čl. 451 odst. 2 CRR veřejné rozvojové úvěrové instituce ve smyslu čl. 429a odst. 2 uvedou pákový poměr bez úpravy celkové míry expozic podle čl. 429a odst. 1 písm. d) CRR, tj. úpravy uvedené v řádcích EU-22c a EU-22d této šablony.</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Pákový poměr (vyjma dopadu případného dočasného vynětí rezerv u centrální banky)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Pokud celková míra expozic instituce podléhá dočasnému vynětí rezerv u centrální banky podle čl. 429a odst. 1 písm. n) CRR, je tento poměr vymezen jako míra expozic kapitálu </w:t>
            </w:r>
            <w:proofErr w:type="spellStart"/>
            <w:r>
              <w:rPr>
                <w:rFonts w:ascii="Times New Roman" w:hAnsi="Times New Roman"/>
                <w:sz w:val="24"/>
                <w:szCs w:val="24"/>
              </w:rPr>
              <w:t>tier</w:t>
            </w:r>
            <w:proofErr w:type="spellEnd"/>
            <w:r>
              <w:rPr>
                <w:rFonts w:ascii="Times New Roman" w:hAnsi="Times New Roman"/>
                <w:sz w:val="24"/>
                <w:szCs w:val="24"/>
              </w:rPr>
              <w:t xml:space="preserve"> 1 dělená součtem celkové míry expozic a hodnoty vynětí rezerv u centrální banky, přičemž poměr je vyjádřen jako procentní podíl.</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Pokud celková míra expozic instituce nepodléhá dočasnému vynětí rezerv u centrální banky, bude poměr totožný s poměrem uvedeným v řádku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Regulatorní požadavek na minimální pákový poměr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Čl. 92 odst. 1 </w:t>
            </w:r>
            <w:proofErr w:type="gramStart"/>
            <w:r>
              <w:rPr>
                <w:rFonts w:ascii="Times New Roman" w:hAnsi="Times New Roman"/>
                <w:sz w:val="24"/>
              </w:rPr>
              <w:t>písm. d),</w:t>
            </w:r>
            <w:r>
              <w:rPr>
                <w:rFonts w:ascii="Times New Roman" w:hAnsi="Times New Roman"/>
                <w:bCs/>
                <w:color w:val="000000"/>
                <w:sz w:val="24"/>
                <w:shd w:val="clear" w:color="auto" w:fill="FFFFFF"/>
              </w:rPr>
              <w:t>čl.</w:t>
            </w:r>
            <w:proofErr w:type="gramEnd"/>
            <w:r>
              <w:rPr>
                <w:rFonts w:ascii="Times New Roman" w:hAnsi="Times New Roman"/>
                <w:bCs/>
                <w:color w:val="000000"/>
                <w:sz w:val="24"/>
                <w:shd w:val="clear" w:color="auto" w:fill="FFFFFF"/>
              </w:rPr>
              <w:t> 429a odst. 1 písm. n) a čl. 429a odst. 7 CRR</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Instituce uvedou minimální požadavek na pákový poměr podle čl. 92 odst. 1 písm. d) CRR. Jestliže instituce vyloučí expozice podle čl. 429a odst. 1 písm. n) CRR, uvedou požadavek na upravený pákový poměr vypočtený v souladu s čl. 429a odst. 7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Dodatečné kapitálové požadavky k řešení rizika nadměrné páky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Dodatečné kapitálové požadavky pro řešení rizika nadměrné páky, které ukládá příslušný orgán podle čl. 104 odst. 1 písm. a) směrnice 2013/36/EU (dále jen „CRD“), vyjádřené jako procentní podíl celkové míry expozic</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 xml:space="preserve">z toho: z kmenového kapitálu </w:t>
            </w:r>
            <w:proofErr w:type="spellStart"/>
            <w:r>
              <w:rPr>
                <w:rFonts w:ascii="Times New Roman" w:hAnsi="Times New Roman"/>
                <w:b/>
                <w:sz w:val="24"/>
              </w:rPr>
              <w:t>tier</w:t>
            </w:r>
            <w:proofErr w:type="spellEnd"/>
            <w:r>
              <w:rPr>
                <w:rFonts w:ascii="Times New Roman" w:hAnsi="Times New Roman"/>
                <w:b/>
                <w:sz w:val="24"/>
              </w:rPr>
              <w:t xml:space="preserve"> 1 (procentní body)</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 xml:space="preserve">Část dodatečných kapitálových požadavků pro řešení rizika nadměrné páky uložených příslušným orgánem podle čl. 104 odst. 1 písm. a) CRD, kterou je třeba splnit kmenovým kapitálem </w:t>
            </w:r>
            <w:proofErr w:type="spellStart"/>
            <w:r>
              <w:rPr>
                <w:rFonts w:ascii="Times New Roman" w:hAnsi="Times New Roman"/>
                <w:sz w:val="24"/>
              </w:rPr>
              <w:t>tier</w:t>
            </w:r>
            <w:proofErr w:type="spellEnd"/>
            <w:r>
              <w:rPr>
                <w:rFonts w:ascii="Times New Roman" w:hAnsi="Times New Roman"/>
                <w:sz w:val="24"/>
              </w:rPr>
              <w:t xml:space="preserve"> 1 podle čl. 104a odst. 4 třetího pododstavce</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Požadavek kapitálové rezervy k pákovému poměru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 92 odst. 1a CRR</w:t>
            </w:r>
          </w:p>
          <w:p w14:paraId="19ECBCFE" w14:textId="1EEAEC3D" w:rsidR="000A7015" w:rsidRPr="007F4CC8" w:rsidRDefault="0031317B"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Instituce, na ně</w:t>
            </w:r>
            <w:r w:rsidR="000A7015">
              <w:rPr>
                <w:rFonts w:ascii="Times New Roman" w:hAnsi="Times New Roman"/>
                <w:sz w:val="24"/>
                <w:szCs w:val="24"/>
              </w:rPr>
              <w:t>ž se vztahuje čl. 92 odst. 1a CRR uvedou svůj příslušný požadavek kapitálové rezervy k pákovému poměru.</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Souhrnný požadavek na pákový poměr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Součet řádků 26, EU-26a a 27 této šablony</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Volba přechodných ustanovení za účelem definice míry kapitálu</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499 odst. 2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Zde instituce uvedou, pro která přechodná ustanovení o kapitálu se pro účely požadavků na zveřejňování informací rozhodly, a za tímto účelem použijí jeden z těchto dvou údajů:</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„Plně zavedeno“, pokud se instituce rozhodne zpřístupnit pákový poměr v souladu s čl. 499 odst. 1 písm. a) CRR,</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 xml:space="preserve">„Přechodné“, pokud se instituce rozhodne zpřístupnit pákový poměr </w:t>
            </w:r>
            <w:r>
              <w:rPr>
                <w:rFonts w:ascii="Times New Roman" w:hAnsi="Times New Roman"/>
                <w:sz w:val="24"/>
                <w:szCs w:val="24"/>
              </w:rPr>
              <w:lastRenderedPageBreak/>
              <w:t>v souladu s čl. 499 odst. 1 písm. b) CRR.</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Průměr denních hodnot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po úpravě o účetní operace související s prodejem a po odečtení souvisejících hotovostních pohledávek a závazků</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 451 odst. 3 CRR; aritmetický průměr součtů řádků 14 a 15 na základě součtů počítaných ke každému dni čtvrtletí, za které se zpřístupňují informace</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Hodnota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na konci čtvrtletí po úpravě o účetní operace související s prodejem a po odečtení souvisejících hotovostních pohledávek a závazků</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Pokud řádky 14 a 15 vycházejí z hodnot ke konci čtvrtletí, je příslušnou hodnotou součet řádků 14 a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Pokud řádky 14 a 15 vycházejí z průměrných hodnot, je příslušnou hodnotou součet hodnot ke konci čtvrtletí odpovídajících obsahu řádků 14 a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Celková míra expozic (včetně dopadu případného dočasného vynětí rezerv u centrální banky), která zahrnuje střední hodnotu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v řádku 28 (po úpravě o účetní operace související s prodejem a po odečtení souvisejících hotovostních pohledávek a závazků)</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 451 odst. 3 CRR</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Celková míra expozic (včetně dopadu případného dočasného vynětí rezerv u centrální banky) za použití hodnot aritmetických průměrů vypočtených ke každému dni čtvrtletí, za které se zpřístupňují informace, pro hodnoty míry expozic spojené s hrubými </w:t>
            </w:r>
            <w:proofErr w:type="gramStart"/>
            <w:r>
              <w:rPr>
                <w:rStyle w:val="TeksttreciPogrubienie"/>
                <w:rFonts w:ascii="Times New Roman" w:hAnsi="Times New Roman"/>
                <w:b w:val="0"/>
                <w:sz w:val="24"/>
                <w:szCs w:val="24"/>
              </w:rPr>
              <w:t>aktivy v SFT</w:t>
            </w:r>
            <w:proofErr w:type="gramEnd"/>
            <w:r>
              <w:rPr>
                <w:rStyle w:val="TeksttreciPogrubienie"/>
                <w:rFonts w:ascii="Times New Roman" w:hAnsi="Times New Roman"/>
                <w:b w:val="0"/>
                <w:sz w:val="24"/>
                <w:szCs w:val="24"/>
              </w:rPr>
              <w:t xml:space="preserve"> (po úpravě o účetní operace související s prodejem a po odečtení souvisejících hotovostních pohledávek a závazků).</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Celková míra expozic (vyjma dopadu případného dočasného vynětí rezerv u centrální banky), která zahrnuje střední hodnotu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v řádku 28 (po úpravě o účetní operace související s prodejem a po odečtení souvisejících hotovostních pohledávek a závazků)</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 451 odst. 3 CRR</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Celková míra expozic (vyjma dopadu případného dočasného vynětí rezerv u centrální banky) za použití hodnot aritmetických průměrů vypočtených ke každému dni čtvrtletí, za které se zpřístupňují informace, pro hodnoty míry expozic spojené s hrubými </w:t>
            </w:r>
            <w:proofErr w:type="gramStart"/>
            <w:r>
              <w:rPr>
                <w:rStyle w:val="TeksttreciPogrubienie"/>
                <w:rFonts w:ascii="Times New Roman" w:hAnsi="Times New Roman"/>
                <w:b w:val="0"/>
                <w:sz w:val="24"/>
                <w:szCs w:val="24"/>
              </w:rPr>
              <w:t>aktivy v SFT</w:t>
            </w:r>
            <w:proofErr w:type="gramEnd"/>
            <w:r>
              <w:rPr>
                <w:rStyle w:val="TeksttreciPogrubienie"/>
                <w:rFonts w:ascii="Times New Roman" w:hAnsi="Times New Roman"/>
                <w:b w:val="0"/>
                <w:sz w:val="24"/>
                <w:szCs w:val="24"/>
              </w:rPr>
              <w:t xml:space="preserve"> (po úpravě o účetní operace související s prodejem a po odečtení souvisejících hotovostních pohledávek a závazků).</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Pokud celková míra expozic instituce nepodléhá dočasnému vynětí rezerv u centrální banky, bude tato hodnota totožná s hodnotou uvedenou v řádku 30 této šablony.</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Pákový poměr (včetně dopadu případného dočasného vynětí rezerv u centrální banky), která zahrnuje střední hodnotu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v řádku 28 (po úpravě o účetní operace související s prodejem a po odečtení souvisejících hotovostních pohledávek a závazků)</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lastRenderedPageBreak/>
              <w:t>Čl. 451 odst. 3 CRR</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Pákový poměr (vyjma dopadu případného dočasného vynětí rezerv u centrální banky), která zahrnuje střední hodnotu hrubých </w:t>
            </w:r>
            <w:proofErr w:type="gramStart"/>
            <w:r>
              <w:rPr>
                <w:rStyle w:val="TeksttreciPogrubienie"/>
                <w:rFonts w:ascii="Times New Roman" w:hAnsi="Times New Roman"/>
                <w:sz w:val="24"/>
                <w:szCs w:val="24"/>
              </w:rPr>
              <w:t>aktiv v SFT</w:t>
            </w:r>
            <w:proofErr w:type="gramEnd"/>
            <w:r>
              <w:rPr>
                <w:rStyle w:val="TeksttreciPogrubienie"/>
                <w:rFonts w:ascii="Times New Roman" w:hAnsi="Times New Roman"/>
                <w:sz w:val="24"/>
                <w:szCs w:val="24"/>
              </w:rPr>
              <w:t xml:space="preserve"> v řádku 28 (po úpravě o účetní operace související s prodejem a po odečtení souvisejících hotovostních pohledávek a závazků)</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 451 odst. 3 CRR</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DBC06F8"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Šablona </w:t>
      </w:r>
      <w:r w:rsidR="00CC4769">
        <w:rPr>
          <w:rFonts w:ascii="Times New Roman" w:hAnsi="Times New Roman"/>
          <w:color w:val="000000"/>
          <w:sz w:val="24"/>
          <w:szCs w:val="24"/>
        </w:rPr>
        <w:t xml:space="preserve">EU </w:t>
      </w:r>
      <w:r>
        <w:rPr>
          <w:rFonts w:ascii="Times New Roman" w:hAnsi="Times New Roman"/>
          <w:color w:val="000000"/>
          <w:sz w:val="24"/>
          <w:szCs w:val="24"/>
        </w:rPr>
        <w:t xml:space="preserve">LR3 –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Rozdělení rozvahových expozic (s výjimkou derivátů, SFT a vyňatých expozic). </w:t>
      </w:r>
      <w:r>
        <w:rPr>
          <w:rFonts w:ascii="Times New Roman" w:hAnsi="Times New Roman"/>
          <w:b w:val="0"/>
          <w:color w:val="000000"/>
          <w:sz w:val="24"/>
          <w:szCs w:val="24"/>
        </w:rPr>
        <w:t>Pevně daný formát</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 xml:space="preserve">Při vyplňování šablony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pro účely čl. 451 odst. 1 písm. b) CRR se instituce řídí pokyny obsaženými v tomto oddíle.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Odkazy na právní předpisy a pokyny</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Celkové rozvahové expozice (s výjimkou derivátů, SFT a vyňatých expozic), z toho:</w:t>
            </w:r>
          </w:p>
          <w:p w14:paraId="6C1AF07E" w14:textId="0A57CC9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součet hodnot v řádcích EU-2 a EU-3 šablony </w:t>
            </w:r>
            <w:r w:rsidR="00CC4769">
              <w:rPr>
                <w:rFonts w:ascii="Times New Roman" w:hAnsi="Times New Roman"/>
                <w:color w:val="000000"/>
                <w:sz w:val="24"/>
                <w:szCs w:val="24"/>
              </w:rPr>
              <w:t xml:space="preserve">EU </w:t>
            </w:r>
            <w:r>
              <w:rPr>
                <w:rFonts w:ascii="Times New Roman" w:hAnsi="Times New Roman"/>
                <w:color w:val="000000"/>
                <w:sz w:val="24"/>
                <w:szCs w:val="24"/>
              </w:rPr>
              <w:t xml:space="preserve">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obchodního portfolia</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expozice, které jsou součástí hodnoty expozice aktiv patřících do obchodního portfolia, s výjimkou derivátů, SFT a vyňatých expozic.</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bankovního portfolia, z toho:</w:t>
            </w:r>
          </w:p>
          <w:p w14:paraId="07286961" w14:textId="23E584C3"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Instituce uvedou součet hodnot v řádcích EU-4 až EU-12 šablony</w:t>
            </w:r>
            <w:r>
              <w:rPr>
                <w:rFonts w:ascii="Times New Roman" w:hAnsi="Times New Roman"/>
                <w:color w:val="000000"/>
                <w:sz w:val="24"/>
                <w:szCs w:val="24"/>
              </w:rPr>
              <w:t xml:space="preserve"> </w:t>
            </w:r>
            <w:r w:rsidR="00CC4769">
              <w:rPr>
                <w:rFonts w:ascii="Times New Roman" w:hAnsi="Times New Roman"/>
                <w:color w:val="000000"/>
                <w:sz w:val="24"/>
                <w:szCs w:val="24"/>
              </w:rPr>
              <w:t xml:space="preserve">EU </w:t>
            </w:r>
            <w:r>
              <w:rPr>
                <w:rFonts w:ascii="Times New Roman" w:hAnsi="Times New Roman"/>
                <w:color w:val="000000"/>
                <w:sz w:val="24"/>
                <w:szCs w:val="24"/>
              </w:rPr>
              <w:t xml:space="preserve">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Kryté dluhopisy</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součet expozic, který představuje celkovou hodnotu expozice aktiv ve formě krytých dluhopisů ve smyslu </w:t>
            </w:r>
            <w:r>
              <w:rPr>
                <w:rFonts w:ascii="Times New Roman" w:hAnsi="Times New Roman"/>
                <w:bCs/>
                <w:sz w:val="24"/>
                <w:szCs w:val="24"/>
              </w:rPr>
              <w:t>článku 129 a čl. 161 odst. 1 písm. d)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Instituce uvedou celkovou expozici v krytých dluhopisech po odečtení expozic v selhání.</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považované za expozice vůči suverénním subjektům</w:t>
            </w:r>
          </w:p>
          <w:p w14:paraId="09AE25B3" w14:textId="3FAEB4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Instituce uvedou součet expozic, který představuje celkovou hodnotu expozice vůči subjektům, které jsou podle CRR považovány za stát. (</w:t>
            </w:r>
            <w:r>
              <w:rPr>
                <w:rFonts w:ascii="Times New Roman" w:hAnsi="Times New Roman"/>
                <w:bCs/>
                <w:sz w:val="24"/>
                <w:szCs w:val="24"/>
              </w:rPr>
              <w:t xml:space="preserve">Ústřední vlády a centrální banky (článek 114 a čl. 147 odst. 2 písm. a) CRR); regionální vlády a místní orgány, které jsou považovány za suverénní subjekty (čl. 115 odst. 2 a 4 a čl. 147 odst. 3 písm. a) CRR), mezinárodní rozvojové banky a mezinárodní organizace, které jsou považovány za suverénní subjekty (čl. 117 odst. 2 a článek 118 a čl. 147 odst. 3 písm. b) a c) CRR), subjekty veřejného </w:t>
            </w:r>
            <w:r>
              <w:rPr>
                <w:rFonts w:ascii="Times New Roman" w:hAnsi="Times New Roman"/>
                <w:bCs/>
                <w:sz w:val="24"/>
                <w:szCs w:val="24"/>
              </w:rPr>
              <w:lastRenderedPageBreak/>
              <w:t>sektoru (čl. 116 odst. 4 a čl. 147 odst. 3 písm. a) CRR)</w:t>
            </w:r>
            <w:r w:rsidR="0031317B">
              <w:rPr>
                <w:rFonts w:ascii="Times New Roman" w:hAnsi="Times New Roman"/>
                <w:bCs/>
                <w:sz w:val="24"/>
                <w:szCs w:val="24"/>
              </w:rPr>
              <w:t>.</w:t>
            </w:r>
            <w:r>
              <w:rPr>
                <w:rFonts w:ascii="Times New Roman" w:hAnsi="Times New Roman"/>
                <w:bCs/>
                <w:sz w:val="24"/>
                <w:szCs w:val="24"/>
              </w:rPr>
              <w:t>)</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Instituce uvedou celkovou expozici vůči suverénním subjektům po odečtení expozic v selhání.</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vůči regionálním vládám, mezinárodním rozvojovým bankám, mezinárodním organizacím a subjektům veřejného sektoru, s nimiž se nezachází jako se státy</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Instituce uvedou součet expozic, který představuje celkovou hodnotu expozice vůči regionálním vládám a místním orgánům ve smyslu čl. 115 odst. 1, 3 a 5 CRR v případě expozic, na které se vztahuje přístup SA, a čl. 147 odst. 4 písm. a) CRR v případě expozic, na které se vztahuje přístup IRB; mezinárodním rozvojovým bankám ve smyslu čl. 117 odst. 1 a 3 CRR v případě expozic, na které se vztahuje přístup SA, a čl. 147 odst. 4 písm. c) CRR v případě expozic, na které se vztahuje přístup IRB; mezinárodním organizacím a subjektům veřejného sektoru ve smyslu čl. 116 odst. 1, 2, 3 a 5 CRR v případě expozic, na které se vztahuje přístup SA, a čl. 147 odst. 4 písm. b) CRR v případě expozic, na které se vztahuje přístup IRB, s nimiž se nezachází jako se suverénními subjekty.</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Instituce uvedou výše uvedenou celkovou expozici po odečtení expozic v selhání.</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Instituce</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 xml:space="preserve">Instituce uvedou součet expozic, který je celkovou hodnotou expozic vůči </w:t>
            </w:r>
            <w:r>
              <w:rPr>
                <w:rFonts w:ascii="Times New Roman" w:hAnsi="Times New Roman"/>
                <w:bCs/>
                <w:sz w:val="24"/>
                <w:szCs w:val="24"/>
              </w:rPr>
              <w:t xml:space="preserve">institucím, které spadají do působnosti </w:t>
            </w:r>
            <w:r>
              <w:rPr>
                <w:rFonts w:ascii="Times New Roman" w:hAnsi="Times New Roman"/>
                <w:bCs/>
                <w:color w:val="000000"/>
                <w:sz w:val="24"/>
                <w:szCs w:val="24"/>
              </w:rPr>
              <w:t>článků 119 až 121 CRR v případě expozic, na které se vztahuje přístup SA, a čl. 147 odst. 2 písm. b) CRR v případě expozic, na které se vztahuje přístup IRB, a které nejsou expozicemi ve formě krytých dluhopisů podle čl. 161 odst. 1 písm. d) CRR a nespadají do působnosti čl. 147 odst. 4 písm. a) až c)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Instituce uvedou celkovou expozici po odečtení expozic v selhání.</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Zajištěné nemovitostmi</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Instituce uvedou součet expozic, který představuje hodnotu expozice aktiv, která jsou expozicemi zajištěnými nemovitostmi, jež spadají do oblasti působnosti článku </w:t>
            </w:r>
            <w:r>
              <w:rPr>
                <w:rFonts w:ascii="Times New Roman" w:hAnsi="Times New Roman"/>
                <w:bCs/>
                <w:sz w:val="24"/>
                <w:szCs w:val="24"/>
              </w:rPr>
              <w:t xml:space="preserve">124 CRR v případě expozic, na které se vztahuje přístup SA, a expozicemi podnikům podle čl. 147 odst. 2 písm. c) CRR nebo retailovými expozicemi podle čl. 147 odst. 2 písm. d) CRR, jsou-li tyto expozice zajištěné nemovitostmi podle čl. 199 odst. 1 písm. a) CRR v případě expozic, na které se vztahuje přístup IRB.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Instituce uvedou celkovou expozici po odečtení expozic v selhání.</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Retailové expozice</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Instituce uvedou součet expozic, který představuje celkovou hodnotu expozice aktiv, která jsou retailovými expozicemi</w:t>
            </w:r>
            <w:r>
              <w:rPr>
                <w:rFonts w:ascii="Times New Roman" w:hAnsi="Times New Roman"/>
                <w:bCs/>
                <w:sz w:val="24"/>
                <w:szCs w:val="24"/>
              </w:rPr>
              <w:t xml:space="preserve"> podle článku 123 CRR v případě expozic, na které se vztahuje přístup SA, a expozicemi podle čl. 147 odst. 2 písm. d) CRR, jestliže tyto expozice </w:t>
            </w:r>
            <w:r>
              <w:rPr>
                <w:rFonts w:ascii="Times New Roman" w:hAnsi="Times New Roman"/>
                <w:b/>
                <w:bCs/>
                <w:sz w:val="24"/>
                <w:szCs w:val="24"/>
                <w:u w:val="single"/>
              </w:rPr>
              <w:t>nejsou</w:t>
            </w:r>
            <w:r>
              <w:rPr>
                <w:rFonts w:ascii="Times New Roman" w:hAnsi="Times New Roman"/>
                <w:bCs/>
                <w:sz w:val="24"/>
                <w:szCs w:val="24"/>
              </w:rPr>
              <w:t xml:space="preserve"> zajištěny nemovitostmi podle čl. 199 odst. 1 písm. a) CRR – v případě expozic, na které se vztahuje přístup IRB.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Instituce uvedou celkovou expozici po odečtení expozic v selhání.</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Podniky</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Instituce uvedou součet expozic, který představuje celkovou hodnotu expozice aktiv, která jsou expozicemi vůči podnikům (tj. finančním i nefinančním). V případě expozic, na které se vztahuje přístup SA, se jedná o expozice podnikům, které spadají do působnosti článku 122 CRR, a v případě expozic, na které se vztahuje přístup IRB, jde o expozice podnikům podle čl. 147 odst. 2 písm. c) CRR, pokud tyto expozice </w:t>
            </w:r>
            <w:r>
              <w:rPr>
                <w:rFonts w:ascii="Times New Roman" w:hAnsi="Times New Roman"/>
                <w:b/>
                <w:sz w:val="24"/>
                <w:szCs w:val="24"/>
                <w:u w:val="single"/>
              </w:rPr>
              <w:t>nejsou</w:t>
            </w:r>
            <w:r>
              <w:rPr>
                <w:rFonts w:ascii="Times New Roman" w:hAnsi="Times New Roman"/>
                <w:sz w:val="24"/>
                <w:szCs w:val="24"/>
              </w:rPr>
              <w:t xml:space="preserve"> zajištěny nemovitostmi podle čl. 199 odst. 1 písm. a) CRR.</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Finančními institucemi se rozumí regulované a neregulované podniky jiné než instituce uvedené v řádku EU-7 této šablony, jejichž hlavní činností je nabývání účastí nebo výkon jedné nebo více činností vyjmenovaných v příloze I CRD, jakož i podniky ve smyslu čl. 4 odst. 1 bodu 27 CRR, jiné než instituce uvedené v řádku EU-7 této šablony.</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Malý a střední podnik je pro účely této buňky definován v souladu s čl. 501 odst. 2 písm. b)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Instituce uvedou celkovou expozici po odečtení expozic v selhání.</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Expozice v selhání</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Instituce uvedou součet expozic, který představuje celkovou hodnotu expozice aktiv, která jsou v selhání a (v případě expozic, na které se vztahuje přístup SA) spadají působnosti článku 127 CRR nebo v případě expozic, na které se vztahuje přístup IRB, jsou zařazeny do kategorií expozic vyjmenovaných v čl. 147 odst. 2 CRR, pokud u nich došlo k selhání ve smyslu článku 178 CRR.</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Jiné expozice (např. akciové expozice, sekuritizace a jiná aktiva nemající povahu úvěrového závazku)</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Instituce uvedou součet expozic, který představuje celkovou hodnotu expozice jiných expozic v investičním portfoliu podle CRR (např. akciových expozic, </w:t>
            </w:r>
            <w:proofErr w:type="spellStart"/>
            <w:r>
              <w:rPr>
                <w:rFonts w:ascii="Times New Roman" w:hAnsi="Times New Roman"/>
                <w:sz w:val="24"/>
                <w:szCs w:val="24"/>
              </w:rPr>
              <w:t>sekuritizací</w:t>
            </w:r>
            <w:proofErr w:type="spellEnd"/>
            <w:r>
              <w:rPr>
                <w:rFonts w:ascii="Times New Roman" w:hAnsi="Times New Roman"/>
                <w:sz w:val="24"/>
                <w:szCs w:val="24"/>
              </w:rPr>
              <w:t xml:space="preserve"> a aktiv nemajících povahu úvěrového závazku; v případě expozic, na které se vztahuje přístup SA, jsou to aktiva zařazená do kategorií expozic vyjmenovaných v čl. 112 </w:t>
            </w:r>
            <w:r>
              <w:rPr>
                <w:rFonts w:ascii="Times New Roman" w:hAnsi="Times New Roman"/>
                <w:bCs/>
                <w:sz w:val="24"/>
                <w:szCs w:val="24"/>
              </w:rPr>
              <w:t>písm. k), m), n), o), p) a q) CRR a v případě expozic, na které se vztahuje přístup IRB, v čl. 147 odst. 2 písm. e), f) a g) CRR</w:t>
            </w:r>
            <w:r>
              <w:rPr>
                <w:rFonts w:ascii="Times New Roman" w:hAnsi="Times New Roman"/>
                <w:sz w:val="24"/>
                <w:szCs w:val="24"/>
              </w:rPr>
              <w:t xml:space="preserve">). Instituce sem zahrnou aktiva, která se při výpočtu kapitálu </w:t>
            </w:r>
            <w:proofErr w:type="spellStart"/>
            <w:r>
              <w:rPr>
                <w:rFonts w:ascii="Times New Roman" w:hAnsi="Times New Roman"/>
                <w:sz w:val="24"/>
                <w:szCs w:val="24"/>
              </w:rPr>
              <w:t>tier</w:t>
            </w:r>
            <w:proofErr w:type="spellEnd"/>
            <w:r>
              <w:rPr>
                <w:rFonts w:ascii="Times New Roman" w:hAnsi="Times New Roman"/>
                <w:sz w:val="24"/>
                <w:szCs w:val="24"/>
              </w:rPr>
              <w:t xml:space="preserve"> 1 odečítají, a jsou tedy uvedena v řádku 2 šablony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 xml:space="preserve">, s výjimkou </w:t>
            </w:r>
            <w:proofErr w:type="spellStart"/>
            <w:r>
              <w:rPr>
                <w:rFonts w:ascii="Times New Roman" w:hAnsi="Times New Roman"/>
                <w:sz w:val="24"/>
                <w:szCs w:val="24"/>
              </w:rPr>
              <w:t>pípadů</w:t>
            </w:r>
            <w:proofErr w:type="spellEnd"/>
            <w:r>
              <w:rPr>
                <w:rFonts w:ascii="Times New Roman" w:hAnsi="Times New Roman"/>
                <w:sz w:val="24"/>
                <w:szCs w:val="24"/>
              </w:rPr>
              <w:t xml:space="preserve">, kdy jsou uvedena v řádcích EU-2, EU-4 až EU-11 šablony EU </w:t>
            </w:r>
            <w:r>
              <w:rPr>
                <w:rFonts w:ascii="Times New Roman" w:hAnsi="Times New Roman"/>
                <w:color w:val="000000"/>
                <w:sz w:val="24"/>
                <w:szCs w:val="24"/>
              </w:rPr>
              <w:t xml:space="preserve">LR3 – </w:t>
            </w:r>
            <w:proofErr w:type="spellStart"/>
            <w:r>
              <w:rPr>
                <w:rFonts w:ascii="Times New Roman" w:hAnsi="Times New Roman"/>
                <w:sz w:val="24"/>
                <w:szCs w:val="24"/>
              </w:rPr>
              <w:t>LRSpl</w:t>
            </w:r>
            <w:proofErr w:type="spellEnd"/>
            <w:r>
              <w:rPr>
                <w:rFonts w:ascii="Times New Roman" w:hAnsi="Times New Roman"/>
                <w:sz w:val="24"/>
                <w:szCs w:val="24"/>
              </w:rPr>
              <w:t>.</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lastRenderedPageBreak/>
        <w:t xml:space="preserve">Tabulka EU LRA – Zpřístupnění kvalitativních informací o pákovém poměru </w:t>
      </w:r>
      <w:r>
        <w:rPr>
          <w:rFonts w:ascii="Times New Roman" w:hAnsi="Times New Roman"/>
          <w:b w:val="0"/>
          <w:color w:val="000000"/>
          <w:sz w:val="24"/>
          <w:szCs w:val="24"/>
        </w:rPr>
        <w:t>Pole s volně zadávanými kvalitativními informacemi</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Instituce vyplní tabulku</w:t>
      </w:r>
      <w:r>
        <w:rPr>
          <w:rFonts w:ascii="Times New Roman" w:hAnsi="Times New Roman"/>
          <w:color w:val="000000"/>
          <w:sz w:val="24"/>
          <w:szCs w:val="24"/>
        </w:rPr>
        <w:tab/>
        <w:t xml:space="preserve"> EU LRA pro účely čl. 451 odst. 1 písm. d) a e) CRR podle níže uvedených pokynů.</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Odkazy na právní předpisy a pokyny</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A7015" w:rsidRPr="007F4CC8" w14:paraId="408201A6" w14:textId="77777777" w:rsidTr="001E06A3">
        <w:trPr>
          <w:trHeight w:val="805"/>
        </w:trPr>
        <w:tc>
          <w:tcPr>
            <w:tcW w:w="1384" w:type="dxa"/>
          </w:tcPr>
          <w:p w14:paraId="116E3028" w14:textId="0E0B37E5"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Popis postupů použitých k řízení rizika nadměrné páky</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451 odst. 1 písm. d) CRR</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 „popisu postupů použitých k řízení rizika nadměrné páky“ je nutno uvést všechny důležité informace o:</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procedurách</w:t>
            </w:r>
            <w:proofErr w:type="gramEnd"/>
            <w:r>
              <w:rPr>
                <w:rFonts w:ascii="Times New Roman" w:hAnsi="Times New Roman"/>
                <w:sz w:val="24"/>
                <w:szCs w:val="24"/>
              </w:rPr>
              <w:t xml:space="preserve"> a zdrojích, jež jsou k posouzení rizika nadměrné páky používány;</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případných kvantitativních </w:t>
            </w:r>
            <w:proofErr w:type="gramStart"/>
            <w:r>
              <w:rPr>
                <w:rFonts w:ascii="Times New Roman" w:hAnsi="Times New Roman"/>
                <w:sz w:val="24"/>
                <w:szCs w:val="24"/>
              </w:rPr>
              <w:t>nástrojích</w:t>
            </w:r>
            <w:proofErr w:type="gramEnd"/>
            <w:r>
              <w:rPr>
                <w:rFonts w:ascii="Times New Roman" w:hAnsi="Times New Roman"/>
                <w:sz w:val="24"/>
                <w:szCs w:val="24"/>
              </w:rPr>
              <w:t>, jež jsou k posouzení rizika nadměrné páky používány, včetně podrobností k případným interním cílovým hodnotám a včetně údaje, jsou-li používány jiné ukazatele než pákový poměr podle CRR;</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způsobech, jakými jsou v řízení rizika nadměrné páky zohledňovány nesoulad splatností a zatížení aktiv;</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d) postupech reakce na změny pákového poměru, včetně postupů a lhůt při potenciálním navyšování kapitálu </w:t>
            </w:r>
            <w:proofErr w:type="spellStart"/>
            <w:r>
              <w:rPr>
                <w:rFonts w:ascii="Times New Roman" w:hAnsi="Times New Roman"/>
                <w:sz w:val="24"/>
                <w:szCs w:val="24"/>
              </w:rPr>
              <w:t>tier</w:t>
            </w:r>
            <w:proofErr w:type="spellEnd"/>
            <w:r>
              <w:rPr>
                <w:rFonts w:ascii="Times New Roman" w:hAnsi="Times New Roman"/>
                <w:sz w:val="24"/>
                <w:szCs w:val="24"/>
              </w:rPr>
              <w:t xml:space="preserve"> 1 za účelem řízení rizika nadměrné páky, anebo postupech a lhůtách při úpravě jmenovatele pákového poměru (celkové míry expozic) za účelem řízení rizika nadměrné páky.</w:t>
            </w:r>
          </w:p>
        </w:tc>
      </w:tr>
      <w:tr w:rsidR="000A7015" w:rsidRPr="007F4CC8" w14:paraId="535F2FD9" w14:textId="77777777" w:rsidTr="001E06A3">
        <w:trPr>
          <w:trHeight w:val="2265"/>
        </w:trPr>
        <w:tc>
          <w:tcPr>
            <w:tcW w:w="1384" w:type="dxa"/>
          </w:tcPr>
          <w:p w14:paraId="568620E2" w14:textId="54EA23DC"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Popis faktorů, které měly vliv na pákový poměr během období, kterého se zpřístupněný pákový poměr týká</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 451 odst. 1 písm. e) CRR</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 „popisu faktorů, které měly vliv na pákový poměr během období, kterého se zpřístupněný pákový poměr týká“ je nutno uvést všechny tyto významné informace:</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kvantifikaci změny pákového poměru od posledního rozhodného dne;</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hlavní faktory pákového poměru od posledního rozhodného dne spolu s uvedením vysvětlujících komentářů k:</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povaze této změny včetně údaje, zda k ní došlo v čitateli, jmenovateli, nebo v obou částech poměru;</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údaji, zda změna vyplynula z interního strategického rozhodnutí, a pokud ano, zda se toto rozhodnutí týkalo pákového poměru přímo, nebo zda se jej dotklo jen nepřímo;</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nejvýznamnějším vnějším faktorům v hospodářském a finančním prostředí, které měly na pákový poměr vliv.</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rsidRPr="007F4CC8">
        <w:lastRenderedPageBreak/>
        <w:fldChar w:fldCharType="begin"/>
      </w:r>
      <w:r w:rsidRPr="007F4CC8">
        <w:fldChar w:fldCharType="separate"/>
      </w:r>
      <w:r w:rsidRPr="007F4CC8">
        <w:rPr>
          <w:noProof/>
          <w:lang w:eastAsia="cs-CZ"/>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PŘÍLOHA XIV – Pokyny k šablonám týkajícím se požadavků na likviditu</w:t>
      </w:r>
    </w:p>
    <w:p w14:paraId="1454673D" w14:textId="04250A27"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Pokyny k tabulce </w:t>
      </w:r>
      <w:r w:rsidR="00CC4769">
        <w:rPr>
          <w:rFonts w:ascii="Times New Roman" w:hAnsi="Times New Roman"/>
          <w:b/>
          <w:sz w:val="24"/>
        </w:rPr>
        <w:t xml:space="preserve">EU </w:t>
      </w:r>
      <w:r>
        <w:rPr>
          <w:rFonts w:ascii="Times New Roman" w:hAnsi="Times New Roman"/>
          <w:b/>
          <w:sz w:val="24"/>
        </w:rPr>
        <w:t xml:space="preserve">LIQA o řízení rizika likvidity a k šabloně </w:t>
      </w:r>
      <w:r w:rsidR="00CC4769">
        <w:rPr>
          <w:rFonts w:ascii="Times New Roman" w:hAnsi="Times New Roman"/>
          <w:b/>
          <w:sz w:val="24"/>
        </w:rPr>
        <w:t xml:space="preserve">EU </w:t>
      </w:r>
      <w:r>
        <w:rPr>
          <w:rFonts w:ascii="Times New Roman" w:hAnsi="Times New Roman"/>
          <w:b/>
          <w:sz w:val="24"/>
        </w:rPr>
        <w:t xml:space="preserve">LIQ1 o ukazateli krytí likvidity (LCR) </w:t>
      </w:r>
    </w:p>
    <w:p w14:paraId="05093B5F" w14:textId="396136D8"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Instituce, na které se vztahuje část šestá nařízení (EU) č. 575/2013</w:t>
      </w:r>
      <w:r w:rsidRPr="007F4CC8">
        <w:rPr>
          <w:rStyle w:val="FootnoteReference"/>
          <w:rFonts w:ascii="Times New Roman" w:hAnsi="Times New Roman" w:cs="Times New Roman"/>
          <w:sz w:val="24"/>
        </w:rPr>
        <w:footnoteReference w:id="21"/>
      </w:r>
      <w:r>
        <w:rPr>
          <w:rFonts w:ascii="Times New Roman" w:hAnsi="Times New Roman"/>
          <w:sz w:val="24"/>
        </w:rPr>
        <w:t xml:space="preserve"> (dále jen „CRR“) zpřístupní informace podle článku 451a CRR vyplněním tabulky </w:t>
      </w:r>
      <w:r w:rsidR="00CC4769">
        <w:rPr>
          <w:rFonts w:ascii="Times New Roman" w:hAnsi="Times New Roman"/>
          <w:sz w:val="24"/>
        </w:rPr>
        <w:t xml:space="preserve">EU </w:t>
      </w:r>
      <w:r>
        <w:rPr>
          <w:rFonts w:ascii="Times New Roman" w:hAnsi="Times New Roman"/>
          <w:sz w:val="24"/>
        </w:rPr>
        <w:t xml:space="preserve">LIQA, šablony </w:t>
      </w:r>
      <w:r w:rsidR="00CC4769">
        <w:rPr>
          <w:rFonts w:ascii="Times New Roman" w:hAnsi="Times New Roman"/>
          <w:sz w:val="24"/>
        </w:rPr>
        <w:t xml:space="preserve">EU </w:t>
      </w:r>
      <w:r>
        <w:rPr>
          <w:rFonts w:ascii="Times New Roman" w:hAnsi="Times New Roman"/>
          <w:sz w:val="24"/>
        </w:rPr>
        <w:t xml:space="preserve">LIQ1 a tabulky </w:t>
      </w:r>
      <w:r w:rsidR="00CC4769">
        <w:rPr>
          <w:rFonts w:ascii="Times New Roman" w:hAnsi="Times New Roman"/>
          <w:sz w:val="24"/>
        </w:rPr>
        <w:t xml:space="preserve">EU </w:t>
      </w:r>
      <w:r>
        <w:rPr>
          <w:rFonts w:ascii="Times New Roman" w:hAnsi="Times New Roman"/>
          <w:sz w:val="24"/>
        </w:rPr>
        <w:t>LIQB.</w:t>
      </w:r>
      <w:bookmarkEnd w:id="15"/>
      <w:r>
        <w:rPr>
          <w:rFonts w:ascii="Times New Roman" w:hAnsi="Times New Roman"/>
          <w:b/>
          <w:sz w:val="24"/>
        </w:rPr>
        <w:t xml:space="preserve"> </w:t>
      </w:r>
    </w:p>
    <w:p w14:paraId="4E3770EF" w14:textId="590BBA7A"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Tabulka EU</w:t>
      </w:r>
      <w:r w:rsidR="00CC4769">
        <w:rPr>
          <w:rFonts w:ascii="Times New Roman" w:hAnsi="Times New Roman"/>
          <w:b/>
          <w:color w:val="auto"/>
          <w:sz w:val="24"/>
        </w:rPr>
        <w:t xml:space="preserve"> </w:t>
      </w:r>
      <w:r>
        <w:rPr>
          <w:rFonts w:ascii="Times New Roman" w:hAnsi="Times New Roman"/>
          <w:b/>
          <w:color w:val="auto"/>
          <w:sz w:val="24"/>
        </w:rPr>
        <w:t xml:space="preserve">LIQA – Řízení rizika likvidity </w:t>
      </w:r>
    </w:p>
    <w:p w14:paraId="3FF4529C" w14:textId="37DA362D"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Instituce, na které se vztahuje část šestá CRR, zpřístupní informace uvedené v čl. 451a odst. 4 CRR podle pokynů uvedených v této příloze k vyplňování tabulky </w:t>
      </w:r>
      <w:r w:rsidR="00CC4769">
        <w:rPr>
          <w:rFonts w:ascii="Times New Roman" w:hAnsi="Times New Roman"/>
          <w:sz w:val="24"/>
        </w:rPr>
        <w:t xml:space="preserve">EU </w:t>
      </w:r>
      <w:r>
        <w:rPr>
          <w:rFonts w:ascii="Times New Roman" w:hAnsi="Times New Roman"/>
          <w:sz w:val="24"/>
        </w:rPr>
        <w:t>LIQA, kterou uvádí příloha XIII tohoto prováděcího nařízení.</w:t>
      </w:r>
    </w:p>
    <w:p w14:paraId="1B11FB4C" w14:textId="754B8AF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Pro účely tabulky </w:t>
      </w:r>
      <w:r w:rsidR="00CC4769">
        <w:rPr>
          <w:rFonts w:ascii="Times New Roman" w:hAnsi="Times New Roman"/>
          <w:sz w:val="24"/>
        </w:rPr>
        <w:t xml:space="preserve">EU </w:t>
      </w:r>
      <w:r>
        <w:rPr>
          <w:rFonts w:ascii="Times New Roman" w:hAnsi="Times New Roman"/>
          <w:sz w:val="24"/>
        </w:rPr>
        <w:t>LIQA považují instituce, na které se vztahuje část šestá CRR, textová pole v tabulce za pole s volně zadávanými údaji. Uvedou příslušné kvalitativní i kvantitativní informace o cílech řízení rizik a o zásadách týkajících se rizika likvidity v závislosti na jejich obchodních modelech a profilech rizika likvidity, organizaci a funkcích podílejících se na řízení rizika likvidity v souladu s čl. 435 odst. 1 CRR a nařízením Komise v přenesené pravomoci (EU) 2015/61</w:t>
      </w:r>
      <w:r w:rsidRPr="007F4CC8">
        <w:rPr>
          <w:rStyle w:val="FootnoteReference"/>
          <w:rFonts w:ascii="Times New Roman" w:hAnsi="Times New Roman" w:cs="Times New Roman"/>
          <w:sz w:val="24"/>
        </w:rPr>
        <w:footnoteReference w:id="22"/>
      </w:r>
      <w:r>
        <w:rPr>
          <w:rFonts w:ascii="Times New Roman" w:hAnsi="Times New Roman"/>
          <w:sz w:val="24"/>
        </w:rPr>
        <w:t xml:space="preserve">, pokud jde o požadavek na krytí likvidity pro úvěrové instituce. </w:t>
      </w:r>
    </w:p>
    <w:p w14:paraId="1BE2572C" w14:textId="665E966F"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LIQ1 – Kvantitativní informace o LCR</w:t>
      </w:r>
    </w:p>
    <w:bookmarkEnd w:id="16"/>
    <w:p w14:paraId="5536EE2D" w14:textId="02A4BDFC"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na které se vztahuje část šestá CRR, zpřístupní informace uvedené v čl. 451a odst. 2 CRR podle následujících pokynů k vyplňování šablony </w:t>
      </w:r>
      <w:r w:rsidR="00CC4769">
        <w:rPr>
          <w:rFonts w:ascii="Times New Roman" w:hAnsi="Times New Roman"/>
          <w:sz w:val="24"/>
        </w:rPr>
        <w:t xml:space="preserve">EU </w:t>
      </w:r>
      <w:r>
        <w:rPr>
          <w:rFonts w:ascii="Times New Roman" w:hAnsi="Times New Roman"/>
          <w:sz w:val="24"/>
        </w:rPr>
        <w:t>LIQ1, obsažené v příloze XIII tohoto prováděcího nařízení.</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Při zpřístupňování informací požadovaných v této šabloně uvádějí instituce, na které se vztahuje část šestá CRR, požadované hodnoty a číselné údaje za každé ze čtyř kalendářních čtvrtletí (</w:t>
      </w:r>
      <w:proofErr w:type="gramStart"/>
      <w:r>
        <w:rPr>
          <w:rFonts w:ascii="Times New Roman" w:hAnsi="Times New Roman"/>
          <w:sz w:val="24"/>
        </w:rPr>
        <w:t>leden</w:t>
      </w:r>
      <w:proofErr w:type="gramEnd"/>
      <w:r>
        <w:rPr>
          <w:rFonts w:ascii="Times New Roman" w:hAnsi="Times New Roman"/>
          <w:sz w:val="24"/>
        </w:rPr>
        <w:t>–</w:t>
      </w:r>
      <w:proofErr w:type="gramStart"/>
      <w:r>
        <w:rPr>
          <w:rFonts w:ascii="Times New Roman" w:hAnsi="Times New Roman"/>
          <w:sz w:val="24"/>
        </w:rPr>
        <w:t>březen</w:t>
      </w:r>
      <w:proofErr w:type="gramEnd"/>
      <w:r>
        <w:rPr>
          <w:rFonts w:ascii="Times New Roman" w:hAnsi="Times New Roman"/>
          <w:sz w:val="24"/>
        </w:rPr>
        <w:t>, duben–červen, červenec–září, říjen–prosinec) předcházející datu zpřístupnění informací. Tyto hodnoty a číselné údaje instituce vypočítají jako prosté průměry údajů ke konci měsíce za dvanáct měsíců předcházejících konci každého čtvrtletí.</w:t>
      </w:r>
    </w:p>
    <w:p w14:paraId="64733842" w14:textId="1821647D"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Informace požadované v šabloně </w:t>
      </w:r>
      <w:r w:rsidR="00CC4769">
        <w:rPr>
          <w:rFonts w:ascii="Times New Roman" w:hAnsi="Times New Roman"/>
          <w:sz w:val="24"/>
        </w:rPr>
        <w:t xml:space="preserve">EU </w:t>
      </w:r>
      <w:r>
        <w:rPr>
          <w:rFonts w:ascii="Times New Roman" w:hAnsi="Times New Roman"/>
          <w:sz w:val="24"/>
        </w:rPr>
        <w:t>LIQ1 obsahují všechny položky bez ohledu na měnu, ve které jsou denominovány, a jsou zpřístupněny ve vykazovací měně ve smyslu článku 3 nařízení Komise v přenesené pravomoci (EU) 2015/61.</w:t>
      </w:r>
    </w:p>
    <w:p w14:paraId="334230CA" w14:textId="501768AB"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Při výpočtu neváženého a váženého přítoku a odtoku likvidity peněžních prostředků a vážených vysoce kvalitních likvidních aktiv pro účely šablony </w:t>
      </w:r>
      <w:r w:rsidR="00CC4769">
        <w:rPr>
          <w:rFonts w:ascii="Times New Roman" w:hAnsi="Times New Roman"/>
          <w:sz w:val="24"/>
        </w:rPr>
        <w:t xml:space="preserve">EU </w:t>
      </w:r>
      <w:r>
        <w:rPr>
          <w:rFonts w:ascii="Times New Roman" w:hAnsi="Times New Roman"/>
          <w:sz w:val="24"/>
        </w:rPr>
        <w:t>LIQ1 se instituce řídí těmito pokyny:</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Přítok/odtok: nevážená hodnota přítoku a odtoku peněžních prostředků se vypočítá jako nevyrovnané zůstatky různých kategorií nebo druhů závazků, podrozvahových položek nebo smluvních pohledávek. „Vážená“ hodnota přítoku a odtoku peněžních prostředků se vypočítá jako hodnota po uplatnění sazeb přítoku a odtoku.</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Vysoce kvalitní likvidní aktiva: „vážená“ hodnota vysoce kvalitních likvidních aktiv </w:t>
      </w:r>
      <w:r>
        <w:rPr>
          <w:rFonts w:ascii="Times New Roman" w:hAnsi="Times New Roman"/>
          <w:sz w:val="24"/>
        </w:rPr>
        <w:lastRenderedPageBreak/>
        <w:t>(HQLA) se vypočítá jako hodnota po uplatnění srážek při ocenění.</w:t>
      </w:r>
    </w:p>
    <w:p w14:paraId="6216B9AD" w14:textId="5E9A25BB"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Při výpočtu upravené hodnoty rezervy v oblasti likvidity v položce 21 a upravené hodnoty celkového čistého odtoku peněžních prostředků v položce 22 šablony </w:t>
      </w:r>
      <w:r w:rsidR="00CC4769">
        <w:rPr>
          <w:rFonts w:ascii="Times New Roman" w:hAnsi="Times New Roman"/>
          <w:sz w:val="24"/>
        </w:rPr>
        <w:t xml:space="preserve">EU </w:t>
      </w:r>
      <w:r>
        <w:rPr>
          <w:rFonts w:ascii="Times New Roman" w:hAnsi="Times New Roman"/>
          <w:sz w:val="24"/>
        </w:rPr>
        <w:t>LIQ1 se instituce řídí každým z těchto pokynů:</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upravená hodnota rezervy v oblasti likvidity je hodnota celkových vysoce kvalitních likvidních aktiv po uplatnění srážek při ocenění i jakéhokoli případného limitu;</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upravená hodnota čistého odtoku peněžních prostředků se vypočítá po uplatnění případného limitu pro přítok peněžních prostředků.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Odkazy na právní předpisy a pokyny</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Vysoce kvalitní likvidní aktiva celkem</w:t>
            </w:r>
          </w:p>
          <w:p w14:paraId="5E16583C" w14:textId="77777777" w:rsidR="001E06A3" w:rsidRPr="007F4CC8" w:rsidRDefault="001E06A3" w:rsidP="0039153D">
            <w:pPr>
              <w:pStyle w:val="InstructionsText"/>
              <w:rPr>
                <w:rFonts w:eastAsiaTheme="minorEastAsia"/>
              </w:rPr>
            </w:pPr>
            <w:r>
              <w:t xml:space="preserve">Instituce jako váženou hodnotu uvedou hodnotu likvidních aktiv podle článku 9 nařízení Komise v přenesené pravomoci (EU) 2015/61 před uplatněním mechanismu úprav stanoveného v čl. 17 odst. 2 nařízení Komise v přenesené pravomoci (EU) 2015/61.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Retailové vklady a vklady od zákazníků z řad malých podniků, z toho:</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Instituce jako neváženou hodnotu uvedou hodnotu retailových vkladů podle článků </w:t>
            </w:r>
            <w:r>
              <w:rPr>
                <w:rFonts w:ascii="Times New Roman" w:hAnsi="Times New Roman"/>
                <w:bCs/>
                <w:sz w:val="24"/>
              </w:rPr>
              <w:t xml:space="preserve">24 a 25 nařízení Komise v přenesené pravomoci (EU) 2015/61.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Instituce jako váženou hodnotu uvedou hodnotu odtoku retailových vkladů podle článků </w:t>
            </w:r>
            <w:r>
              <w:rPr>
                <w:rFonts w:ascii="Times New Roman" w:hAnsi="Times New Roman"/>
                <w:bCs/>
                <w:sz w:val="24"/>
              </w:rPr>
              <w:t>24 a 25 nařízení Komise v přenesené pravomoci (EU) 2015/61.</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Instituce zde uvedou informace o retailových vkladech podle čl. 411 odst. 2 CRR.</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V souladu s čl. 28 odst. 6 nařízení Komise v přenesené pravomoci (EU) 2015/61 instituce také vykazují v příslušné kategorii retailových vkladů výši pokladničních poukázek, dluhopisů a jiných emitovaných cenných papírů, které jsou prodávány výhradně na retailovém trhu a drženy na retailovém účtu. Instituce posoudí pro tuto kategorii závazků použitelné sazby odtoku stanovené nařízením Komise v přenesené pravomoci (EU) 2015/61 pro různé kategorie retailových vkladů.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Stabilní vklady</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neváženou hodnotu uvedou součet stabilních vkladů podle článku 24 nařízení Komise v přenesené pravomoci (EU) 2015/61.</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váženou hodnotu uvedou součet odtoku stabilních vkladů podle článku 24 nařízení Komise v přenesené pravomoci (EU) 2015/61.</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Instituce uvedou část objemu retailových vkladů krytých systémem pojištění vkladů podle směrnice 94/19/ES</w:t>
            </w:r>
            <w:r w:rsidRPr="007F4CC8">
              <w:rPr>
                <w:rStyle w:val="FootnoteReference"/>
                <w:rFonts w:ascii="Times New Roman" w:hAnsi="Times New Roman" w:cs="Times New Roman"/>
                <w:sz w:val="24"/>
              </w:rPr>
              <w:footnoteReference w:id="23"/>
            </w:r>
            <w:r>
              <w:rPr>
                <w:rFonts w:ascii="Times New Roman" w:hAnsi="Times New Roman"/>
                <w:sz w:val="24"/>
              </w:rPr>
              <w:t xml:space="preserve"> nebo směrnice 2014/49/EU</w:t>
            </w:r>
            <w:r w:rsidRPr="007F4CC8">
              <w:rPr>
                <w:rStyle w:val="FootnoteReference"/>
                <w:rFonts w:ascii="Times New Roman" w:hAnsi="Times New Roman" w:cs="Times New Roman"/>
                <w:sz w:val="24"/>
              </w:rPr>
              <w:footnoteReference w:id="24"/>
            </w:r>
            <w:r>
              <w:rPr>
                <w:rFonts w:ascii="Times New Roman" w:hAnsi="Times New Roman"/>
                <w:sz w:val="24"/>
              </w:rPr>
              <w:t xml:space="preserve"> nebo 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tyto vklady nesplňují kritéria pro stanovení vyšší sazby odtoku v souladu s čl. 25 odst. 2, 3 nebo 5 nařízení Komise v přenesené pravomoci (EU) 2015/61 a</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tyto vklady nebyly přijaty ve třetích zemích, ve kterých se uplatňuje vyšší sazba odtoku v souladu s čl. 25 odst. 5 nařízení v přenesené pravomoci (EU) 2015/61.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Méně stabilní vklady</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Instituce jako neváženou hodnotu uvedou součet retailových vkladů podle čl. 25 odst. 1, 2 a 3 nařízení Komise v přenesené pravomoci (EU) 2015/61.</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váženou hodnotu uvedou součet odtoku retailových vkladů podle čl. 25 odst. 1, 2 a 3 nařízení Komise v přenesené pravomoci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Nezajištěné velkoobchodní financování</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uvedou součty nevážených a vážených částek, které je třeba zpřístupnit v řádku 6 „Provozní vklady (všechny protistrany) a vklady v sítích družstevních bank“, v řádku 7 „Neprovozní vklady (všechny protistrany)“ a v řádku 8 „Nezajištěné závazky“ této šablony.</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Provozní vklady (všechny protistrany) a vklady v sítích družstevních bank</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Instituce jako neváženou hodnotu uvedou součet provozních vkladů podle článku 27 nařízení Komise v přenesené pravomoci (EU) 2015/61.</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Instituce jako váženou hodnotu uvedou hodnotu odtoku provozních vkladů podle článku 27 nařízení Komise v přenesené pravomoci (EU) 2015/61.</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část provozních vkladů podle článku 27 nařízení Komise v přenesené pravomoci (EU) 2015/61, které jsou nezbytné pro poskytování provozních služeb. Vklady pocházející z korespondenčního bankovnictví nebo z poskytování makléřských služeb se v souladu s čl. 27 odst. 5 nařízení Komise v přenesené pravomoci (EU) 2015/61 považují za neprovozní vklady.</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Ta část provozních vkladů, která převyšuje částku nezbytnou pro poskytování provozních služeb, se zde neuvede.</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Neprovozní vklady (všechny protistrany)</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Instituce jako neváženou hodnotu uvedou výši neprovozních vkladů podle čl. 27 odst. 5, čl. 28 odst. 1 a čl. 31a odst. 1 nařízení Komise v přenesené pravomoci (EU) 2015/61.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váženou hodnotu uvedou hodnotu odtoku neprovozních vkladů podle čl. 27 odst. 5, čl. 28 odst. 1 a čl. 31a odst. 1 nařízení Komise v přenesené pravomoci (EU) 2015/61.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zde uvedou informace o vkladech pocházejících z korespondenčního bankovnictví nebo z poskytování makléřských služeb podle čl. 27 odst. 5 nařízení Komise v přenesené pravomoci (EU) 2015/61.</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Ta část provozních vkladů podle čl. 27 odst. 5 nařízení Komise v přenesené pravomoci (EU) 2015/61, která převyšuje částku nezbytnou pro poskytování provozních služeb, se zde neuvede.</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Nezajištěné závazky</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Instituce jako neváženou hodnotu uvedou nevyplacený zůstatek pokladničních poukázek, dluhopisů a ostatních dluhových cenných papírů vydaných danou institucí, jiných, než jsou ty, které se vykazují jako retailové vklady, jak je uvedeno v čl. 28 odst. 6 nařízení Komise v přenesené pravomoci (EU) 2015/61. Tato výše zahrnuje také kupóny, které jsou splatné v průběhu následujících 30 kalendářních dnů ve vztahu ke všem těmto cenným papírům.</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váženou hodnotu uvedou odtok těchto pokladničních poukázek, dluhopisů a ostatních dluhových cenných papírů uvedených v předchozím odstavci.</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Zajištěné velkoobchodní financování</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Instituce jako váženou hodnotu uvedou hodnotu odtoku vyplývajícího ze zajištěných úvěrových transakcí a transakcí na kapitálovém trhu podle čl. 28 odst. 3 nařízení Komise v přenesené pravomoci (EU) 2015/61 a z </w:t>
            </w:r>
            <w:proofErr w:type="spellStart"/>
            <w:r>
              <w:rPr>
                <w:rFonts w:ascii="Times New Roman" w:hAnsi="Times New Roman"/>
                <w:sz w:val="24"/>
              </w:rPr>
              <w:t>kolaterálových</w:t>
            </w:r>
            <w:proofErr w:type="spellEnd"/>
            <w:r>
              <w:rPr>
                <w:rFonts w:ascii="Times New Roman" w:hAnsi="Times New Roman"/>
                <w:sz w:val="24"/>
              </w:rPr>
              <w:t xml:space="preserve"> swapů a ostatních transakcí v obdobné formě podle čl. 28 odst. 4 nařízení Komise v přenesené pravomoci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Další požadavky</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uvedou součty nevážených a vážených částek, které je třeba zpřístupnit v řádku 11 „Odtok související s expozicemi z derivátů a dalšími požadavky na kolaterál“, v řádku 12 „Odtok související se ztrátou financování u dluhových produktů“ a v řádku 13 „Úvěrové a likviditní přísliby“ této šablony.</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Odtok související s expozicemi z derivátů a dalšími požadavky na kolaterál</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těchto částek a jako váženou hodnotu součet těchto odtoků:</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Tržní hodnota a příslušný odtok kolaterálu jiného, než je kolaterál úrovně 1, který je složen v souvislosti s kontrakty vyjmenovanými v </w:t>
            </w:r>
            <w:r>
              <w:rPr>
                <w:rFonts w:ascii="Times New Roman" w:hAnsi="Times New Roman"/>
                <w:sz w:val="24"/>
              </w:rPr>
              <w:lastRenderedPageBreak/>
              <w:t>příloze II CRR a s úvěrovými deriváty podle čl. 30 odst. 1 nařízení Komise v přenesené pravomoci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Tržní hodnota a příslušný odtok kolaterálu tvořeného aktivy ve formě krytých dluhopisů mimořádně vysoké kvality úrovně 1, který je složen v souvislosti s kontrakty vyjmenovanými v příloze II CRR a s úvěrovými deriváty podle čl. 30 odst. 1 nařízení Komise v přenesené pravomoci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Celková hodnota dodatečného odtoku vypočteného a oznámeného příslušným orgánům v souladu s čl. 30 odst. 2 nařízení Komise v přenesené pravomoci (EU) 2015/61 jako podstatný odtok v důsledku zhoršení vlastní úvěrové kvality.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Hodnota odtoku, který je výsledkem dopadu nepříznivého tržního scénáře na derivátové transakce, jak uvádí čl. 30 odst. 3 nařízení Komise v přenesené pravomoci (EU) 2015/61, který se vypočítá v souladu s nařízením Komise v přenesené pravomoci (EU) 2017/208</w:t>
            </w:r>
            <w:r w:rsidRPr="007F4CC8">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Hodnota odtoku, který se očekává během 30 kalendářních dnů z kontraktů vyjmenovaných v příloze II CRR a z úvěrových derivátů, jak uvádí čl. 30 odst. 4 nařízení Komise v přenesené pravomoci (EU) 2015/61, který se vypočítá v souladu s článkem 21 nařízení Komise v přenesené pravomoci (EU) 2015/61.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Tržní hodnota a příslušný odtok přebytečného kolaterálu drženého institucí, o který může na základě smlouvy příslušná protistrana kdykoli požádat, jak uvádí čl. 30 odst. 6 písm. a) nařízení Komise v přenesené pravomoci (EU) 2015/61.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Tržní hodnota a příslušný odtok kolaterálu, který má být složen protistraně do 30 kalendářních dnů, jak uvádí čl. 30 odst. 6 písm. b) nařízení Komise v přenesené pravomoci (EU) 2015/61.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Tržní hodnota a příslušný odtok kolaterálu, který se pro účely hlavy II nařízení Komise v přenesené pravomoci (EU) 2015/61 považuje za likvidní aktiva, jež lze nahradit aktivy odpovídajícími aktivům, která nelze bez souhlasu úvěrové instituce považovat za likvidní aktiva pro účely hlavy II téhož nařízení, jak uvádí čl. 30 odst. 6 písm. c) nařízení Komise v přenesené pravomoci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Odtok související se ztrátou financování u dluhových produktů</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souvisejících se ztrátou financování u strukturovaných nástrojů financování, jak uvádí čl. 30 odst. 8 až 10 nařízení Komise v přenesené pravomoci (EU) 2015/61.</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Instituce předpokládají odtok ve výši 100 % vyplývající ze ztráty financování u cenných papírů zajištěných aktivy, krytých dluhopisů a jiných strukturovaných nástrojů financování splatných do 30 kalendářních dnů, </w:t>
            </w:r>
            <w:r>
              <w:rPr>
                <w:rFonts w:ascii="Times New Roman" w:hAnsi="Times New Roman"/>
                <w:sz w:val="24"/>
              </w:rPr>
              <w:lastRenderedPageBreak/>
              <w:t>pokud se jedná o nástroje emitované úvěrovou institucí nebo sponzorovanými účelovými subjekty nebo jednotkami pro speciální účel.</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které jsou poskytovateli likviditních příslibů souvisejících s programy financování, jež se zde uvádějí, nemusejí splatný nástroj financování a likviditní příslib pro konsolidované programy započítávat dvakrát.</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Úvěrové a likviditní přísliby</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z úvěrových a likviditních příslibů podle článku 31 nařízení Komise v přenesené pravomoci (EU) 2015/61.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zde uvedou informace o závazných příslibech v souladu s článkem 29 nařízení Komise v přenesené pravomoci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Ostatní smluvní závazky financování</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jako neváženou hodnotu součet částek a jako váženou hodnotu součet odtoků z těchto položek:</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Aktiva vypůjčená bez zajištění a splatná do 30 dnů, jak uvádí čl. 28 odst. 7 nařízení Komise v přenesené pravomoci (EU) 2015/61. U těchto aktiv se předpokládá, že budou vyplacena v plné výši, což povede k 100 % odtoku. Instituce uvedou tržní hodnotu aktiv vypůjčených bez zajištění a splatných do 30 dnů, pokud úvěrová instituce tyto cenné papíry nevlastní a pokud netvoří součást její rezervy v oblasti likvidity.</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Krátké pozice kryté nezajištěnou výpůjčkou cenných papírů. Jak stanoví čl. 30 odst. 5 nařízení Komise v přenesené pravomoci (EU) 2015/61, instituce doplní dodatečný odtok odpovídající 100 % tržní hodnoty cenných papírů nebo ostatních aktiv prodaných nedávno, pokud si je úvěrová instituce nepůjčila za podmínek, které vyžadují jejich navrácení až po uplynutí 30 kalendářních dnů. Je-li krátká pozice zajištěna transakcí s financováním </w:t>
            </w:r>
            <w:proofErr w:type="spellStart"/>
            <w:r>
              <w:rPr>
                <w:rFonts w:ascii="Times New Roman" w:hAnsi="Times New Roman"/>
                <w:sz w:val="24"/>
              </w:rPr>
              <w:t>kolateralizovaných</w:t>
            </w:r>
            <w:proofErr w:type="spellEnd"/>
            <w:r>
              <w:rPr>
                <w:rFonts w:ascii="Times New Roman" w:hAnsi="Times New Roman"/>
                <w:sz w:val="24"/>
              </w:rPr>
              <w:t xml:space="preserve"> cenných papírů, předpokládá úvěrová instituce, že tato krátká pozice bude držena v průběhu celého období 30 kalendářních dnů a obdrží odtok 0 %.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Závazky vyplývající z provozních nákladů. Jak stanoví čl. 28 odst. 2 nařízení Komise v přenesené pravomoci (EU) 2015/61, instituce zpřístupňují výši nevyplacených zůstatků závazků vyplývajících z vlastních provozních nákladů dané úvěrové instituce. Tyto závazky nevedou k odtoku.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Jiné nezajištěné transakce, které jsou splatné v průběhu následujících 30 kalendářních dnů a nejsou zahrnuty v článcích 24 až 31 nařízení Komise v přenesené pravomoci (EU) 2015/61, které podle čl. 31a odst. 1 nařízení Komise v přenesené pravomoci (EU) 2015/61 nevedou </w:t>
            </w:r>
            <w:proofErr w:type="gramStart"/>
            <w:r>
              <w:rPr>
                <w:rFonts w:ascii="Times New Roman" w:hAnsi="Times New Roman"/>
                <w:sz w:val="24"/>
              </w:rPr>
              <w:t>ke 100%</w:t>
            </w:r>
            <w:proofErr w:type="gramEnd"/>
            <w:r>
              <w:rPr>
                <w:rFonts w:ascii="Times New Roman" w:hAnsi="Times New Roman"/>
                <w:sz w:val="24"/>
              </w:rPr>
              <w:t xml:space="preserve"> odtoku.</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Ostatní podmíněné závazky financování</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lastRenderedPageBreak/>
              <w:t>Instituce uvedou jako neváženou hodnotu součet částek a jako váženou hodnotu součet odtoků z těchto položek:</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Ostatní produkty nebo služby podle článku 23 nařízení Komise v přenesené pravomoci (EU) 2015/61. Instituce zde uvedou informace o produktech nebo službách uvedených v čl. 23 odst. 1 nařízení Komise v přenesené pravomoci (EU) 2015/61. Vykazuje se maximální částka, kterou lze čerpat z produktů nebo služeb uvedených v čl. 23 odst. 1 nařízení Komise v přenesené pravomoci (EU) 2015/61.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Přebytek smluvních příslibů poskytnout financování nefinančním zákazníkům v nejbližších 30 kalendářních dnech podle čl. 31a odst. 2 nařízení Komise v přenesené pravomoci (EU) 2015/61.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Interní zápočet pozic klienta podle čl. 30 odst. 11 nařízení Komise v přenesené pravomoci (EU) 2015/61. Instituce zde uvedou tržní hodnotu nelikvidních aktiv klienta, které v souvislosti s poskytováním makléřských služeb úvěrová instituce použila ke krytí krátkých prodejů jiného klienta pomocí interního zápočtu.</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ODTOK PENĚŽNÍCH PROSTŘEDKŮ CELKEM</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Instituce uvedou součet vážené hodnoty následujících položek podle těchto pokynů:</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2: retailové vklady a vklady od zákazníků z řad malých podniků v této šabloně,</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5: nezajištěné velkoobchodní financování v této šabloně,</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9: zajištěné velkoobchodní financování v této šabloně,</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10: další požadavky v této šabloně,</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14: ostatní smluvní závazky financování v této šabloně,</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15: ostatní podmíněné závazky financování v této šabloně.</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 xml:space="preserve">Zajištěné úvěrové transakce (např. reverzní </w:t>
            </w:r>
            <w:proofErr w:type="spellStart"/>
            <w:r>
              <w:rPr>
                <w:rFonts w:ascii="Times New Roman" w:hAnsi="Times New Roman"/>
                <w:b/>
                <w:sz w:val="24"/>
              </w:rPr>
              <w:t>repo</w:t>
            </w:r>
            <w:proofErr w:type="spellEnd"/>
            <w:r>
              <w:rPr>
                <w:rFonts w:ascii="Times New Roman" w:hAnsi="Times New Roman"/>
                <w:b/>
                <w:sz w:val="24"/>
              </w:rPr>
              <w:t xml:space="preserve"> operace)</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Instituce uvedou jako neváženou hodnotu součet:</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částek zajištěných úvěrových transakcí a transakcí na kapitálovém trhu se zbytkovou splatností nepřesahující 30 dnů podle čl. 32 odst. 3 písm. b), c) a f) nařízení Komise v přenesené pravomoci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 xml:space="preserve">tržní hodnoty zapůjčeného kolaterálu v </w:t>
            </w:r>
            <w:proofErr w:type="spellStart"/>
            <w:r>
              <w:rPr>
                <w:rFonts w:ascii="Times New Roman" w:hAnsi="Times New Roman"/>
                <w:sz w:val="24"/>
              </w:rPr>
              <w:t>kolaterálových</w:t>
            </w:r>
            <w:proofErr w:type="spellEnd"/>
            <w:r>
              <w:rPr>
                <w:rFonts w:ascii="Times New Roman" w:hAnsi="Times New Roman"/>
                <w:sz w:val="24"/>
              </w:rPr>
              <w:t xml:space="preserve"> swapech podle čl. 32 odst. 3 nařízení Komise v přenesené pravomoci (EU) 2015/61.</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Instituce uvedou jako váženou hodnotu součet:</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přítoků ze zajištěných úvěrových transakcí a transakcí na kapitálovém trhu se zbytkovou splatností nepřesahující 30 dnů podle čl. 32 odst. 3 písm. b), c) a f) nařízení Komise v přenesené pravomoci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přítoků z </w:t>
            </w:r>
            <w:proofErr w:type="spellStart"/>
            <w:r>
              <w:rPr>
                <w:rFonts w:ascii="Times New Roman" w:hAnsi="Times New Roman"/>
                <w:sz w:val="24"/>
              </w:rPr>
              <w:t>kolaterálových</w:t>
            </w:r>
            <w:proofErr w:type="spellEnd"/>
            <w:r>
              <w:rPr>
                <w:rFonts w:ascii="Times New Roman" w:hAnsi="Times New Roman"/>
                <w:sz w:val="24"/>
              </w:rPr>
              <w:t xml:space="preserve"> swapů podle čl. 32 odst. 3 nařízení Komise v přenesené pravomoci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Přítok z plně výkonných expozic</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lastRenderedPageBreak/>
              <w:t>Instituce uvedou jako neváženou hodnotu součet celkových částek a jako váženou hodnotu součet přítoků z těchto položek:</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od nefinančních zákazníků (kromě centrálních bank) podle čl. 32 odst. 3 písm. a) nařízení Komise v přenesené pravomoci (EU) 2015/61,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od centrálních bank a finančních zákazníků se zbytkovou splatností podle čl. 32 odst. 2 písm. a) nařízení Komise v přenesené pravomoci (EU) 2015/61,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peněžní částky splatné z transakcí financování obchodu podle čl. 32 odst. 2 písm. b) nařízení Komise v přenesené pravomoci (EU) 2015/61 se zbytkovou splatností nepřesahující 30 kalendářních dnů,</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přítok, který odpovídá odtoku v souladu s přísliby podpůrných úvěrů uvedenými v čl. 31 odst. 9 nařízení Komise v přenesené pravomoci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Ostatní přítoky peněžních prostředků</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Instituce uvedou jako neváženou hodnotu součet celkových částek a jako váženou hodnotu součet přítoků z těchto položek:</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peněžní částky splatné z cenných papírů se splatností do 30 kalendářních dnů podle čl. 32 odst. 2 písm. c) nařízení Komise v přenesené pravomoci (EU) 2015/61,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úvěry s neurčeným datem ukončení smlouvy v souladu podle čl. 32 odst. 3 písm. i) nařízení Komise v přenesené pravomoci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peněžní částky splatné z pozic v kapitálových nástrojích zahrnutých do hlavního indexu, pokud se likvidní aktiva nezapočítávají dvojmo, podle čl. 32 odst. 2 písm. d) nařízení Komise v přenesené pravomoci (EU) 2015/61. Pozice zahrnuje peněžní částky smluvně splatné do 30 kalendářních dnů, jako jsou dividendy vyplácené v hotovosti z uvedených hlavních indexů a peněžní hotovost splatná z uvedených prodaných, ale dosud nezaplacených kapitálových nástrojů, pokud nejsou uznány jako likvidní aktiva v souladu s hlavou II nařízení Komise v přenesené pravomoci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přítok z uvolnění rezerv držených na oddělených účtech v souladu s regulačními požadavky na ochranu obchodních aktiv zákazníků podle čl. 32 odst. 4 nařízení Komise v přenesené pravomoci (EU) 2015/61. Přítok se zohlední, pouze jsou-li tyto rezervy drženy v likvidních aktivech určených blíže v hlavě II nařízení Komise v přenesené pravomoci (EU) 2015/61,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přítok z derivátů podle čl. 32 odst. 5 ve spojení s článkem 21 nařízení Komise v přenesené pravomoci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přítok z nevyčerpaných úvěrových nebo likviditních příslibů poskytnutých členy skupiny či institucionálního systému ochrany, pokud příslušné orgány povolily uplatnění vyšší sazby přítoku v souladu s článkem 34 nařízení Komise v přenesené pravomoci (EU) 2015/61,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 xml:space="preserve">jiný přítok podle čl. 32 odst. 2 nařízení Komise v přenesené pravomoci (EU) 2015/61.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(Rozdíl mezi celkovým váženým přítokem a celkovým váženým odtokem z transakcí ve třetích zemích, kde existují omezení převodu, nebo které jsou denominovány v nesměnitelných měnách)</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Jak uvádí čl. 32 odst. 8 nařízení Komise v přenesené pravomoci (EU) 2015/61, instituce jako váženou hodnotu zpřístupňují přebytek tohoto váženého přítoku vůči odtoku.</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(Přebytek přítoku z přidružené specializované úvěrové instituce)</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Jak uvádí čl. 2 odst. 3 písm. e) a čl. 33 odst. 6 nařízení Komise v přenesené pravomoci (EU) 2015/61, úvěrové instituce pro účely zpřístupňování informací na konsolidovaném základě zpřístupňují jako váženou hodnotu přítok z přidružené specializované úvěrové instituce podle čl. 33 odst. 3 a 4 nařízení Komise v přenesené pravomoci (EU) 2015/61, který převyšuje odtok ze stejné instituce.</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PŘÍTOK PENĚŽNÍCH PROSTŘEDKŮ CELKEM</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Instituce v rámci těchto pokynů uvedou součet nevážené a vážené hodnoty těchto položek:</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řádek 17: zajištěné úvěrové transakce (např. reverzní </w:t>
            </w:r>
            <w:proofErr w:type="spellStart"/>
            <w:r>
              <w:rPr>
                <w:rFonts w:ascii="Times New Roman" w:hAnsi="Times New Roman"/>
                <w:sz w:val="24"/>
              </w:rPr>
              <w:t>repo</w:t>
            </w:r>
            <w:proofErr w:type="spellEnd"/>
            <w:r>
              <w:rPr>
                <w:rFonts w:ascii="Times New Roman" w:hAnsi="Times New Roman"/>
                <w:sz w:val="24"/>
              </w:rPr>
              <w:t xml:space="preserve"> operace) z této šablony,</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18: přítok z plně výkonných expozic z této šablony,</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19: ostatní přítoky peněžních prostředků z této šablony</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minus:</w:t>
            </w:r>
          </w:p>
          <w:p w14:paraId="2EF58274" w14:textId="4E31D90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EU-19a: (Rozdíl mezi celkovým váženým přítokem a celkovým váženým odtokem z transakcí ve třetích zemích, kde existují omezení převodu, nebo které jsou denominovány v nesměnitelných měnách) této šablony</w:t>
            </w:r>
            <w:r w:rsidR="00B33AFE">
              <w:rPr>
                <w:rFonts w:ascii="Times New Roman" w:hAnsi="Times New Roman"/>
                <w:sz w:val="24"/>
              </w:rPr>
              <w:t>,</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řádek EU-19b: (přebytek přítoku z přidružené specializované úvěrové instituce) z této šablony.</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Plně vyjmutý přítok</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Instituce uvedou jako neváženou hodnotu a váženou hodnotu celkovou výši aktiv / splatných peněžních částek / maximální částky, kterou lze čerpat, a jejich příslušný celkový přítok vyjmutý z limitu pro přítok podle článků 32, 33 a 34 nařízení Komise v přenesené pravomoci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Přítok podléhající limitu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Instituce uvedou jako neváženou hodnotu a váženou hodnotu celkovou výši aktiv / splatných peněžních částek /maximální částky, kterou lze čerpat, a jejich příslušný celkový přítok podléhající limitu pro přítok ve výši 90 % podle článků 32, 33 a 34 nařízení Komise v přenesené pravomoci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Přítok podléhající limitu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lastRenderedPageBreak/>
              <w:t>Instituce uvedou jako neváženou hodnotu a váženou hodnotu celkovou výši aktiv / splatných peněžních částek /maximální částky, kterou lze čerpat, a jejich příslušný celkový přítok podléhající limitu pro přítok ve výši 75 % podle článků 32, 33 a 34 nařízení Komise v přenesené pravomoci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REZERVA V OBLASTI LIKVIDITY</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jako upravenou hodnotu uvedou hodnotu rezervy instituce v oblasti likvidity vypočtenou v souladu s přílohou I – Vzorce pro určení složení rezervy v oblasti likvidity nařízení Komise v přenesené pravomoci (EU) 2015/61.</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ČISTÝ ODTOK PENĚŽNÍCH PROSTŘEDKŮ CELKEM</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upravenou hodnotu čistého odtoku likvidity, který se rovná odtoku celkem minus snížení za plně vyjmutý přítok minus snížení za přítok podléhající limitu ve výši 90 % minus snížení za přítok podléhající limitu ve výši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UKAZATEL KRYTÍ LIKVIDITY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jako upravenou hodnotu uvedou procentní podíl položky „Ukazatel krytí likvidity (%)“ vymezený v čl. 4 odst. 1 nařízení v přenesené pravomoci (EU) 2015/61.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Ukazatel krytí likvidity se rovná poměru mezi rezervou v oblasti likvidity úvěrové instituce a jejím čistým odtokem likvidity v průběhu krizového období 30 kalendářních dnů a vyjadřuje se v procentech.</w:t>
            </w:r>
          </w:p>
        </w:tc>
      </w:tr>
    </w:tbl>
    <w:p w14:paraId="300E35AD" w14:textId="77777777" w:rsidR="001E06A3" w:rsidRPr="007F4CC8" w:rsidRDefault="001E06A3" w:rsidP="001E06A3">
      <w:pPr>
        <w:rPr>
          <w:rFonts w:ascii="Times New Roman" w:hAnsi="Times New Roman" w:cs="Times New Roman"/>
          <w:sz w:val="24"/>
        </w:rPr>
      </w:pPr>
    </w:p>
    <w:p w14:paraId="2C2DEE24" w14:textId="32C16D42"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Tabulka </w:t>
      </w:r>
      <w:r w:rsidR="00CC4769">
        <w:rPr>
          <w:rFonts w:ascii="Times New Roman" w:hAnsi="Times New Roman"/>
          <w:b/>
          <w:color w:val="auto"/>
          <w:sz w:val="24"/>
        </w:rPr>
        <w:t xml:space="preserve">EU </w:t>
      </w:r>
      <w:r>
        <w:rPr>
          <w:rFonts w:ascii="Times New Roman" w:hAnsi="Times New Roman"/>
          <w:b/>
          <w:color w:val="auto"/>
          <w:sz w:val="24"/>
        </w:rPr>
        <w:t xml:space="preserve">LIQB s kvalitativními informacemi o LCR, která doplňuje šablonu </w:t>
      </w:r>
      <w:r w:rsidR="00CC4769">
        <w:rPr>
          <w:rFonts w:ascii="Times New Roman" w:hAnsi="Times New Roman"/>
          <w:b/>
          <w:color w:val="auto"/>
          <w:sz w:val="24"/>
        </w:rPr>
        <w:t xml:space="preserve">EU </w:t>
      </w:r>
      <w:r>
        <w:rPr>
          <w:rFonts w:ascii="Times New Roman" w:hAnsi="Times New Roman"/>
          <w:b/>
          <w:color w:val="auto"/>
          <w:sz w:val="24"/>
        </w:rPr>
        <w:t xml:space="preserve">LIQ1. </w:t>
      </w:r>
    </w:p>
    <w:p w14:paraId="79159435" w14:textId="45F1CA08"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na které se vztahuje část šestá CRR, zpřístupní informace uvedené v čl. 451a odst. 2 CRR podle pokynů uvedených v této příloze k vyplňování tabulky </w:t>
      </w:r>
      <w:r w:rsidR="00CC4769">
        <w:rPr>
          <w:rFonts w:ascii="Times New Roman" w:hAnsi="Times New Roman"/>
          <w:sz w:val="24"/>
        </w:rPr>
        <w:t xml:space="preserve">EU </w:t>
      </w:r>
      <w:r>
        <w:rPr>
          <w:rFonts w:ascii="Times New Roman" w:hAnsi="Times New Roman"/>
          <w:sz w:val="24"/>
        </w:rPr>
        <w:t>LIQB, kterou uvádí příloha XIII tohoto prováděcího nařízení.</w:t>
      </w:r>
    </w:p>
    <w:p w14:paraId="4BE3B57E" w14:textId="281EDCB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Tabulka </w:t>
      </w:r>
      <w:r w:rsidR="00CC4769">
        <w:rPr>
          <w:rFonts w:ascii="Times New Roman" w:hAnsi="Times New Roman"/>
          <w:sz w:val="24"/>
        </w:rPr>
        <w:t xml:space="preserve">EU </w:t>
      </w:r>
      <w:r>
        <w:rPr>
          <w:rFonts w:ascii="Times New Roman" w:hAnsi="Times New Roman"/>
          <w:sz w:val="24"/>
        </w:rPr>
        <w:t xml:space="preserve">LIQB uvádí kvantitativní informace o položkách obsažených v šabloně </w:t>
      </w:r>
      <w:r w:rsidR="00CC4769">
        <w:rPr>
          <w:rFonts w:ascii="Times New Roman" w:hAnsi="Times New Roman"/>
          <w:sz w:val="24"/>
        </w:rPr>
        <w:t xml:space="preserve">EU </w:t>
      </w:r>
      <w:r>
        <w:rPr>
          <w:rFonts w:ascii="Times New Roman" w:hAnsi="Times New Roman"/>
          <w:sz w:val="24"/>
        </w:rPr>
        <w:t>LIQ1 pro kvantitativní informace o ukazateli krytí likvidity.</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na které se vztahuje část šestá CRR, budou textová pole uvedená v této tabulce považovat za textová pole s volně zadávanými údaji a v možných případech zpřístupňovat zde uvedené položky v souladu s tím, jak jsou uvažovány kontextu definice ukazatele krytí likvidity v nařízení Komise v přenesené pravomoci (EU) 2015/61 a doplňkového měření sledování likvidity vymezeného v kapitole 7b prováděcího nařízení Komise (EU) č. 680/2014</w:t>
      </w:r>
      <w:r w:rsidRPr="007F4CC8">
        <w:rPr>
          <w:rStyle w:val="FootnoteReference"/>
          <w:rFonts w:ascii="Times New Roman" w:hAnsi="Times New Roman" w:cs="Times New Roman"/>
          <w:sz w:val="24"/>
        </w:rPr>
        <w:footnoteReference w:id="26"/>
      </w:r>
      <w:r>
        <w:rPr>
          <w:rFonts w:ascii="Times New Roman" w:hAnsi="Times New Roman"/>
          <w:sz w:val="24"/>
        </w:rPr>
        <w:t>.</w:t>
      </w:r>
    </w:p>
    <w:p w14:paraId="6B050B9E" w14:textId="1B37BD93"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 xml:space="preserve">Pokyny k šabloně </w:t>
      </w:r>
      <w:r w:rsidR="00CC4769">
        <w:rPr>
          <w:rFonts w:ascii="Times New Roman" w:hAnsi="Times New Roman"/>
          <w:b/>
          <w:sz w:val="24"/>
        </w:rPr>
        <w:t xml:space="preserve">EU </w:t>
      </w:r>
      <w:r>
        <w:rPr>
          <w:rFonts w:ascii="Times New Roman" w:hAnsi="Times New Roman"/>
          <w:b/>
          <w:sz w:val="24"/>
        </w:rPr>
        <w:t>LIQ2 pro zpřístupňování ukazatele čistého stabilního financování (NSFR)</w:t>
      </w:r>
    </w:p>
    <w:p w14:paraId="3B9B8BEF" w14:textId="10F40620"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na které se vztahuje část šestá CRR, zpřístupní informace uvedené v </w:t>
      </w:r>
      <w:r>
        <w:rPr>
          <w:rFonts w:ascii="Times New Roman" w:hAnsi="Times New Roman"/>
          <w:sz w:val="24"/>
        </w:rPr>
        <w:lastRenderedPageBreak/>
        <w:t xml:space="preserve">šabloně </w:t>
      </w:r>
      <w:r w:rsidR="00CC4769">
        <w:rPr>
          <w:rFonts w:ascii="Times New Roman" w:hAnsi="Times New Roman"/>
          <w:sz w:val="24"/>
        </w:rPr>
        <w:t xml:space="preserve">EU </w:t>
      </w:r>
      <w:r>
        <w:rPr>
          <w:rFonts w:ascii="Times New Roman" w:hAnsi="Times New Roman"/>
          <w:sz w:val="24"/>
        </w:rPr>
        <w:t xml:space="preserve">LIQ2 pro účely čl. 451a odst. 3 CRR podle pokynů uvedených v této příloze. Uvádějí se údaje ke konci čtvrtletí příslušného období, za něž se informace zpřístupňují. Např. pro roční zpřístupnění informací to zahrnuje čtyři soubory údajů za poslední a tři předcházející čtvrtletí. </w:t>
      </w:r>
    </w:p>
    <w:p w14:paraId="59541A14" w14:textId="4B630F75"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Informace požadované v šabloně </w:t>
      </w:r>
      <w:r w:rsidR="00CC4769">
        <w:rPr>
          <w:rFonts w:ascii="Times New Roman" w:hAnsi="Times New Roman"/>
          <w:sz w:val="24"/>
        </w:rPr>
        <w:t xml:space="preserve">EU </w:t>
      </w:r>
      <w:r>
        <w:rPr>
          <w:rFonts w:ascii="Times New Roman" w:hAnsi="Times New Roman"/>
          <w:sz w:val="24"/>
        </w:rPr>
        <w:t>LIQ2 obsahují všechna aktiva, závazky a podrozvahové položky bez ohledu na měnu, ve které jsou denominovány, a uvedou se ve vykazovací měně ve smyslu čl. 411 odst. 15 CRR.</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Aby nedocházelo k dvojímu započítávání, instituce nevykazují aktiva ani závazky, které souvisejí s kolaterálem poskytnutým nebo přijatým jako variační marže podle čl. 428k odst. 4 a čl. 428ah odst. 2 CRR, počáteční marže a příspěvek do fondu pro riziko selhání ústřední protistrany podle čl. 428ag písm. a) a b) 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Vklady držené v rámci institucionálního systému ochrany nebo kooperativní sítě, které jsou považovány za likvidní aktiva, se uvedou jako takové. Ostatní položky ve skupině nebo v institucionálním systému ochran se uvedou v příslušných obecných kategoriích v šabloně pro požadované nebo dostupné stabilní financování.</w:t>
      </w:r>
    </w:p>
    <w:p w14:paraId="767BB1BE" w14:textId="1C1CDBD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Instituce uvedou účetní hodnoty vždy jako „neváženou hodnotu podle zbytkové splatnosti“ ve sloupcích a</w:t>
      </w:r>
      <w:r w:rsidR="005B280B">
        <w:rPr>
          <w:rFonts w:ascii="Times New Roman" w:hAnsi="Times New Roman"/>
          <w:sz w:val="24"/>
        </w:rPr>
        <w:t>)</w:t>
      </w:r>
      <w:r>
        <w:rPr>
          <w:rFonts w:ascii="Times New Roman" w:hAnsi="Times New Roman"/>
          <w:sz w:val="24"/>
        </w:rPr>
        <w:t>, b</w:t>
      </w:r>
      <w:r w:rsidR="005B280B">
        <w:rPr>
          <w:rFonts w:ascii="Times New Roman" w:hAnsi="Times New Roman"/>
          <w:sz w:val="24"/>
        </w:rPr>
        <w:t>)</w:t>
      </w:r>
      <w:r>
        <w:rPr>
          <w:rFonts w:ascii="Times New Roman" w:hAnsi="Times New Roman"/>
          <w:sz w:val="24"/>
        </w:rPr>
        <w:t>, c</w:t>
      </w:r>
      <w:r w:rsidR="005B280B">
        <w:rPr>
          <w:rFonts w:ascii="Times New Roman" w:hAnsi="Times New Roman"/>
          <w:sz w:val="24"/>
        </w:rPr>
        <w:t>)</w:t>
      </w:r>
      <w:r>
        <w:rPr>
          <w:rFonts w:ascii="Times New Roman" w:hAnsi="Times New Roman"/>
          <w:sz w:val="24"/>
        </w:rPr>
        <w:t xml:space="preserve"> a d</w:t>
      </w:r>
      <w:r w:rsidR="005B280B">
        <w:rPr>
          <w:rFonts w:ascii="Times New Roman" w:hAnsi="Times New Roman"/>
          <w:sz w:val="24"/>
        </w:rPr>
        <w:t>)</w:t>
      </w:r>
      <w:r>
        <w:rPr>
          <w:rFonts w:ascii="Times New Roman" w:hAnsi="Times New Roman"/>
          <w:sz w:val="24"/>
        </w:rPr>
        <w:t xml:space="preserve"> šablony, s výjimkou případů derivátových smluv, u nichž instituce použijí reálnou hodnotu podle čl. 428d odst. 2 CRR.</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Ve sloupci e) této šablony instituce uvedou „váženou hodnotu“. Tato hodnota odráží hodnotu v souladu s čl. 428c odst. 2 CRR, která je výsledkem nevážené hodnoty vynásobené faktory stabilního financování.</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Hodnota aktiv a závazků vyplývající z transakcí s financováním cenných papírů (SFT) s jednou protistranou se posuzuje na čistém základě, pokud se použije článek 428e CRR. V případě, že by jednotlivé vzájemně započtené transakce podléhaly různým faktorům požadovaného stabilního financování (RSF), pokud by byly brány v úvahu samostatně, použije se na čistou částku, která má být zpřístupněna, a jedná-li se o aktivum, vyšší příslušný faktor RSF.</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 komentáři připojeném k šabloně instituce uvedou veškerá vysvětlení potřebná k pochopení výsledků a doprovodných údajů. Instituce přinejmenším vysvětlí:</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hlavní činitele jejich výsledných NSFR a důvody změn v rámci období, jakož i změn v průběhu času (např. změn strategií, struktury financování, okolností) a</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skladbu vzájemně závislých aktiv a závazků instituce a do jaké míry jsou tyto transakce provázány.</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Položky dostupného stabilního financování</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 souladu s článkem 428i CRR, není-li v části šesté hlavě IV kapitole 3 CRR stanoveno jinak, se částka dostupného stabilního financování (ASF) vypočítá vynásobením nevážené hodnoty závazků a kapitálu faktory dostupného stabilního financování. Vážená hodnota ve sloupci e) této šablony odráží částku dostupného stabilního financování.</w:t>
      </w:r>
    </w:p>
    <w:p w14:paraId="2EF85710" w14:textId="5E91BA4D"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Veškeré závazky a kapitál se zveřejňují s členěním podle své zbytkové splatnosti ve sloupcích a</w:t>
      </w:r>
      <w:r w:rsidR="005B280B">
        <w:rPr>
          <w:rFonts w:ascii="Times New Roman" w:hAnsi="Times New Roman"/>
          <w:sz w:val="24"/>
        </w:rPr>
        <w:t>)</w:t>
      </w:r>
      <w:r>
        <w:rPr>
          <w:rFonts w:ascii="Times New Roman" w:hAnsi="Times New Roman"/>
          <w:sz w:val="24"/>
        </w:rPr>
        <w:t>, b</w:t>
      </w:r>
      <w:r w:rsidR="005B280B">
        <w:rPr>
          <w:rFonts w:ascii="Times New Roman" w:hAnsi="Times New Roman"/>
          <w:sz w:val="24"/>
        </w:rPr>
        <w:t>)</w:t>
      </w:r>
      <w:r>
        <w:rPr>
          <w:rFonts w:ascii="Times New Roman" w:hAnsi="Times New Roman"/>
          <w:sz w:val="24"/>
        </w:rPr>
        <w:t>, c</w:t>
      </w:r>
      <w:r w:rsidR="005B280B">
        <w:rPr>
          <w:rFonts w:ascii="Times New Roman" w:hAnsi="Times New Roman"/>
          <w:sz w:val="24"/>
        </w:rPr>
        <w:t>)</w:t>
      </w:r>
      <w:r>
        <w:rPr>
          <w:rFonts w:ascii="Times New Roman" w:hAnsi="Times New Roman"/>
          <w:sz w:val="24"/>
        </w:rPr>
        <w:t>, a d</w:t>
      </w:r>
      <w:r w:rsidR="005B280B">
        <w:rPr>
          <w:rFonts w:ascii="Times New Roman" w:hAnsi="Times New Roman"/>
          <w:sz w:val="24"/>
        </w:rPr>
        <w:t>)</w:t>
      </w:r>
      <w:r>
        <w:rPr>
          <w:rFonts w:ascii="Times New Roman" w:hAnsi="Times New Roman"/>
          <w:sz w:val="24"/>
        </w:rPr>
        <w:t xml:space="preserve"> této šablony a jsou vypočteny v souladu s články 428j, 428o a 428ak CRR, v následujícím členění podle košů splatnosti:</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bez splatnosti: položky, které mají být uvedeny v koši „bez splatnosti“, nemají stanovenou splatnost nebo jsou věčné;</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zbytková splatnost kratší než šest měsíců;</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zbytková splatnost minimálně šest měsíců, ale méně než jeden rok a</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b/>
        <w:t>zbytková splatnost jeden rok nebo déle.</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Položky požadovaného stabilního financování</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Instituce v příslušné kategorii uvedou všechna aktiva, u nichž si ponechávají skutečné vlastnictví, a to i pokud nejsou zaúčtována v jejich rozvaze. Aktiva, u nichž si instituce neponechávají skutečné vlastnictví, se nevykazují, a to </w:t>
      </w:r>
      <w:proofErr w:type="gramStart"/>
      <w:r>
        <w:rPr>
          <w:rFonts w:ascii="Times New Roman" w:hAnsi="Times New Roman"/>
          <w:sz w:val="24"/>
        </w:rPr>
        <w:t>ani když</w:t>
      </w:r>
      <w:proofErr w:type="gramEnd"/>
      <w:r>
        <w:rPr>
          <w:rFonts w:ascii="Times New Roman" w:hAnsi="Times New Roman"/>
          <w:sz w:val="24"/>
        </w:rPr>
        <w:t xml:space="preserve"> jsou tato aktiva zaúčtována v jejich rozvaze.</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 souladu s článkem 428p CRR, není-li v části šesté hlavě IV kapitole 4 CRR stanoveno jinak, se částka požadovaného stabilního financování (RSF) vypočítá vynásobením nevážené hodnoty aktiv a podrozvahových položek faktory požadovaného stabilního financování.</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Aktiva způsobilá jako vysoce kvalitní likvidní aktiva (HQLA) v souladu s nařízením Komise v přenesené pravomoci (EU) 2015/61 se zveřejňují jako taková v určeném řádku a bez ohledu na svou zbytkovou splatnost.</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Všechna jiná než vysoce kvalitní likvidní aktiva a podrozvahové položky se vykazují v členění podle své zbytkové splatnosti v souladu s článkem 428q CRR. Koše splatnosti částek, standardní faktory a použitelné faktory jsou:</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zbytková splatnost méně než šest měsíců nebo bez uvedené splatnosti;</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zbytková splatnost minimálně šest měsíců, ale méně než jeden rok a</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zbytková splatnost jeden rok nebo déle.</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1"/>
        <w:gridCol w:w="7440"/>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3D59D6" w:rsidRDefault="001E06A3" w:rsidP="001E06A3">
            <w:pPr>
              <w:rPr>
                <w:rFonts w:ascii="Times New Roman" w:hAnsi="Times New Roman"/>
                <w:sz w:val="24"/>
                <w:lang w:val="cs-CZ"/>
              </w:rPr>
            </w:pPr>
            <w:r w:rsidRPr="003D59D6">
              <w:rPr>
                <w:rFonts w:ascii="Times New Roman" w:hAnsi="Times New Roman"/>
                <w:b/>
                <w:sz w:val="24"/>
                <w:lang w:val="cs-CZ"/>
              </w:rPr>
              <w:t>Odkazy na právní předpisy a pokyny</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Řádek</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Vysvětlení</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Položky dostupného stabilního financování</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Kapitálové položky a nástroje</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uvedou součet hodnot z řádků 2 a 3 této šablony.</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B33AFE" w:rsidRDefault="001E06A3" w:rsidP="001E06A3">
            <w:pPr>
              <w:spacing w:after="240"/>
              <w:jc w:val="both"/>
              <w:rPr>
                <w:rFonts w:ascii="Times New Roman" w:hAnsi="Times New Roman"/>
                <w:b/>
                <w:sz w:val="24"/>
                <w:lang w:val="cs-CZ"/>
              </w:rPr>
            </w:pPr>
            <w:r w:rsidRPr="00B33AFE">
              <w:rPr>
                <w:rFonts w:ascii="Times New Roman" w:hAnsi="Times New Roman"/>
                <w:b/>
                <w:sz w:val="24"/>
                <w:lang w:val="cs-CZ"/>
              </w:rPr>
              <w:t>Kapitál</w:t>
            </w:r>
          </w:p>
          <w:p w14:paraId="198B2663"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Čl. 428o písm. a), b) a c) CRR</w:t>
            </w:r>
          </w:p>
          <w:p w14:paraId="0A4C5F9D"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lastRenderedPageBreak/>
              <w:t>Zde instituce uvádějí součet těchto položek:</w:t>
            </w:r>
          </w:p>
          <w:p w14:paraId="2EFCADA1" w14:textId="77777777" w:rsidR="001E06A3" w:rsidRPr="00B33AFE" w:rsidRDefault="001E06A3" w:rsidP="00E70D84">
            <w:pPr>
              <w:pStyle w:val="ListParagraph"/>
              <w:numPr>
                <w:ilvl w:val="0"/>
                <w:numId w:val="40"/>
              </w:numPr>
              <w:spacing w:after="240"/>
              <w:contextualSpacing/>
              <w:jc w:val="both"/>
              <w:rPr>
                <w:rFonts w:ascii="Times New Roman" w:hAnsi="Times New Roman"/>
                <w:sz w:val="24"/>
                <w:lang w:val="cs-CZ"/>
              </w:rPr>
            </w:pPr>
            <w:r w:rsidRPr="00B33AFE">
              <w:rPr>
                <w:rFonts w:ascii="Times New Roman" w:hAnsi="Times New Roman"/>
                <w:sz w:val="24"/>
                <w:lang w:val="cs-CZ"/>
              </w:rPr>
              <w:t xml:space="preserve">položky kmenového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1 (CET1) před uplatněním obezřetnostních filtrů, odpočtů a výjimek nebo alternativ stanovených v článcích 32 až 36, 48, 49 a 79 CRR,</w:t>
            </w:r>
          </w:p>
          <w:p w14:paraId="2E9DB7AE" w14:textId="77777777" w:rsidR="001E06A3" w:rsidRPr="00B33AFE" w:rsidRDefault="001E06A3" w:rsidP="00E70D84">
            <w:pPr>
              <w:pStyle w:val="ListParagraph"/>
              <w:numPr>
                <w:ilvl w:val="0"/>
                <w:numId w:val="40"/>
              </w:numPr>
              <w:spacing w:after="240"/>
              <w:contextualSpacing/>
              <w:jc w:val="both"/>
              <w:rPr>
                <w:rFonts w:ascii="Times New Roman" w:hAnsi="Times New Roman"/>
                <w:sz w:val="24"/>
                <w:lang w:val="cs-CZ"/>
              </w:rPr>
            </w:pPr>
            <w:r w:rsidRPr="00B33AFE">
              <w:rPr>
                <w:rFonts w:ascii="Times New Roman" w:hAnsi="Times New Roman"/>
                <w:sz w:val="24"/>
                <w:lang w:val="cs-CZ"/>
              </w:rPr>
              <w:t xml:space="preserve">položky vedlejšího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1 (AT1) před uplatněním odpočtů a výjimek stanovených v článcích 56 a 79 CRR a</w:t>
            </w:r>
          </w:p>
          <w:p w14:paraId="739C5EE8" w14:textId="77777777" w:rsidR="001E06A3" w:rsidRPr="00B33AFE" w:rsidRDefault="001E06A3" w:rsidP="00E70D84">
            <w:pPr>
              <w:pStyle w:val="ListParagraph"/>
              <w:numPr>
                <w:ilvl w:val="0"/>
                <w:numId w:val="40"/>
              </w:numPr>
              <w:spacing w:after="240"/>
              <w:contextualSpacing/>
              <w:jc w:val="both"/>
              <w:rPr>
                <w:rFonts w:ascii="Times New Roman" w:hAnsi="Times New Roman"/>
                <w:sz w:val="24"/>
                <w:lang w:val="cs-CZ"/>
              </w:rPr>
            </w:pPr>
            <w:r w:rsidRPr="00B33AFE">
              <w:rPr>
                <w:rFonts w:ascii="Times New Roman" w:hAnsi="Times New Roman"/>
                <w:sz w:val="24"/>
                <w:lang w:val="cs-CZ"/>
              </w:rPr>
              <w:t xml:space="preserve">položky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2 (T2) před uplatněním odpočtů a výjimek stanovených v článcích 66 a 79 CRR, které mají k referenčnímu datu sledovaného období zbytkovou splatnost jeden rok nebo déle.</w:t>
            </w:r>
          </w:p>
          <w:p w14:paraId="50F1DC2C"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 xml:space="preserve">Položky CET1 a AT1 jsou věčné nástroje, které se uvádějí v koši „bez splatnosti“. Položky vedlejšího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1, které může instituce vypovědět, pouze pokud je doba do data kupních opcí kratší než jeden rok, nebudou zpřístupněny v koši „bez splatnosti“, ale v příslušném časovém koši (tj. zbytková splatnost kratší než šest měsíců nebo zbytková splatnost minimálně šest měsíců, ale méně než jeden rok). Nezáleží, zda je opce uplatněna či nikoli.</w:t>
            </w:r>
          </w:p>
          <w:p w14:paraId="6998616B"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 xml:space="preserve">Pokud jde o položky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2, koš splatnosti jeden rok nebo déle zahrnuje nástroje s rovnocennou zbytkovou splatností a ve výjimečných případech nástrojů zahrnutých do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2 bez splatnosti také tyto nástroje. V případě, že by instituce mohla položky kapitálu </w:t>
            </w:r>
            <w:proofErr w:type="spellStart"/>
            <w:r w:rsidRPr="00B33AFE">
              <w:rPr>
                <w:rFonts w:ascii="Times New Roman" w:hAnsi="Times New Roman"/>
                <w:sz w:val="24"/>
                <w:lang w:val="cs-CZ"/>
              </w:rPr>
              <w:t>tier</w:t>
            </w:r>
            <w:proofErr w:type="spellEnd"/>
            <w:r w:rsidRPr="00B33AFE">
              <w:rPr>
                <w:rFonts w:ascii="Times New Roman" w:hAnsi="Times New Roman"/>
                <w:sz w:val="24"/>
                <w:lang w:val="cs-CZ"/>
              </w:rPr>
              <w:t xml:space="preserve"> 2 vypovědět, a bez ohledu na to, zda instituce uplatnila kupní opci, bude zbytková splatnost nástroje určena datem kupní opce. V takovém případě instituce zpřístupní tyto položky v příslušném časovém koši a nepoužije 100% faktor ASF, pokud lze opci uplatnit do jednoho roku.</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Jiné kapitálové nástroje</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 428o písm. d) a čl. 428k odst. 3 písm. d) CRR</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Jiné kapitálové nástroje se zbytkovou splatností k referenčnímu datu sledovaného období jeden rok nebo déle.</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V případě, že by instituce mohla jiné kapitálové nástroje vypovědět, a bez ohledu na to, zda instituce uplatnila kupní opci, bude zbytková splatnost nástroje určena datem kupní opce. V takovém případě instituce zpřístupní tyto položky v příslušném časovém koši a nepoužije 100% faktor ASF, pokud lze opci uplatnit do jednoho roku.</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Retailové vklady</w:t>
            </w:r>
          </w:p>
          <w:p w14:paraId="34660FE1" w14:textId="77777777" w:rsidR="001E06A3" w:rsidRPr="007F4CC8" w:rsidRDefault="001E06A3" w:rsidP="001E06A3">
            <w:pPr>
              <w:spacing w:after="240"/>
              <w:jc w:val="both"/>
            </w:pPr>
            <w:r>
              <w:rPr>
                <w:rFonts w:ascii="Times New Roman" w:hAnsi="Times New Roman"/>
                <w:sz w:val="24"/>
              </w:rPr>
              <w:t>Zde instituce uvedou součet hodnot z řádků 5 a 6 této šablony.</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Stabilní retailové vklady</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Článek 428n CRR</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lastRenderedPageBreak/>
              <w:t>Instituce uvedou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tyto vklady nesplňují kritéria pro stanovení vyšší sazby odtoku podle čl. 25 odst. 2, 3 a 5 nařízení Komise v přenesené pravomoci (EU) 2015/61, v kterémžto případě se vykazují jako „méně stabilní vklady“, nebo</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tyto vklady nebyly přijaty ve třetích zemích, ve kterých se uplatňuje vyšší sazba odtoku v souladu s čl. 25 odst. 5 nařízení Komise v přenesené pravomoci (EU) 2015/61, v kterémžto případě se vykazují jako „méně stabilní vklady“.</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Méně stabilní retailové vklady</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Článek 428m CRR</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uvedou hodnotu jiných retailových vkladů, které nejsou vykázány jako „stabilní retailové vklady“ v řádku 5 této šablony.</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Velkoobchodní financování:</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uvedou součet hodnot z řádků 8 a 9 této šablony.</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Provozní vklady</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 428l písm. a) CRR</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Zde instituce uvedou část přijatých vkladů (od finančních zákazníků i od jiných nefinančních zákazníků), které splňují kritéria pro provozní vklady, které jsou nezbytné pro poskytování provozních služeb, stanovená v článku 27 nařízení Komise v přenesené pravomoci (EU) 2015/61. </w:t>
            </w:r>
            <w:r>
              <w:rPr>
                <w:rFonts w:ascii="Times New Roman" w:hAnsi="Times New Roman"/>
                <w:sz w:val="24"/>
              </w:rPr>
              <w:t>Provozní vklady převyšující částku nezbytnou pro poskytování provozních služeb nebudou zahrnuty zde, ale v řádku 9 „Ostatní velkoobchodní financování“ této šablony.</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Vklady pocházející z korespondenčního bankovnictví nebo z poskytování makléřských služeb se považují za neprovozní vklady podle čl. 27 odst. 5 nařízení Komise v přenesené pravomoci (EU) 2015/61 a zveřejňují se v řádku 9 „Ostatní velkoobchodní financování“ této šablony.</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Ostatní velkoobchodní financování</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 428l písm. b) až d), článek 428g a čl. 428k odst. 3 písm. c) a d) CRR</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Zde instituce uvedou velkoobchodní financování jiné než provozní vklady, které jsou nezbytné pro poskytování provozních služeb. To zahrnuje závazky poskytnuté ústředními vládami, regionálními vládami, místními orgány, subjekty veřejného sektoru, mezinárodními rozvojovými bankami, mezinárodními organizacemi, centrálními bankami a jakýmikoli jinými nefinančními nebo finančními zákazníky, jakož i závazky, u nichž nelze určit protistranu, včetně vydaných cenných papírů, u nichž nelze identifikovat držitele.</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Vzájemně závislé závazky</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 428k odst. 3 písm. b) CRR</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Instituce uvedou závazky, s nimiž se po schválení příslušným orgánem zachází jako se vzájemně závislými aktivy podle článku 428f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Ostatní závazky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uvedou součet hodnot z řádků 12 a 13 této šablony.</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Derivátové závazky NSFR</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 428k odst. 4 CRR</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uvedou absolutní hodnotu záporného rozdílu mezi skupinami transakcí se započtením vypočteného podle čl. 428k odst. 4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Všechny ostatní závazky a kapitálové nástroje nezahrnuté do výše uvedených kategorií</w:t>
            </w:r>
          </w:p>
          <w:p w14:paraId="2E4D9C3C" w14:textId="77777777" w:rsidR="001E06A3" w:rsidRPr="005870FD" w:rsidRDefault="001E06A3" w:rsidP="001E06A3">
            <w:pPr>
              <w:spacing w:after="240"/>
              <w:jc w:val="both"/>
              <w:rPr>
                <w:rFonts w:ascii="Times New Roman" w:hAnsi="Times New Roman"/>
                <w:sz w:val="24"/>
                <w:lang w:val="pl-PL"/>
              </w:rPr>
            </w:pPr>
            <w:proofErr w:type="spellStart"/>
            <w:r w:rsidRPr="005870FD">
              <w:rPr>
                <w:rFonts w:ascii="Times New Roman" w:hAnsi="Times New Roman"/>
                <w:sz w:val="24"/>
                <w:lang w:val="pl-PL"/>
              </w:rPr>
              <w:t>Čl</w:t>
            </w:r>
            <w:proofErr w:type="spellEnd"/>
            <w:r w:rsidRPr="005870FD">
              <w:rPr>
                <w:rFonts w:ascii="Times New Roman" w:hAnsi="Times New Roman"/>
                <w:sz w:val="24"/>
                <w:lang w:val="pl-PL"/>
              </w:rPr>
              <w:t>. 428</w:t>
            </w:r>
            <w:proofErr w:type="gramStart"/>
            <w:r w:rsidRPr="005870FD">
              <w:rPr>
                <w:rFonts w:ascii="Times New Roman" w:hAnsi="Times New Roman"/>
                <w:sz w:val="24"/>
                <w:lang w:val="pl-PL"/>
              </w:rPr>
              <w:t>k</w:t>
            </w:r>
            <w:proofErr w:type="gramEnd"/>
            <w:r w:rsidRPr="005870FD">
              <w:rPr>
                <w:rFonts w:ascii="Times New Roman" w:hAnsi="Times New Roman"/>
                <w:sz w:val="24"/>
                <w:lang w:val="pl-PL"/>
              </w:rPr>
              <w:t xml:space="preserve"> </w:t>
            </w:r>
            <w:proofErr w:type="spellStart"/>
            <w:r w:rsidRPr="005870FD">
              <w:rPr>
                <w:rFonts w:ascii="Times New Roman" w:hAnsi="Times New Roman"/>
                <w:sz w:val="24"/>
                <w:lang w:val="pl-PL"/>
              </w:rPr>
              <w:t>odst</w:t>
            </w:r>
            <w:proofErr w:type="spellEnd"/>
            <w:r w:rsidRPr="005870FD">
              <w:rPr>
                <w:rFonts w:ascii="Times New Roman" w:hAnsi="Times New Roman"/>
                <w:sz w:val="24"/>
                <w:lang w:val="pl-PL"/>
              </w:rPr>
              <w:t xml:space="preserve">. 1 </w:t>
            </w:r>
            <w:proofErr w:type="gramStart"/>
            <w:r w:rsidRPr="005870FD">
              <w:rPr>
                <w:rFonts w:ascii="Times New Roman" w:hAnsi="Times New Roman"/>
                <w:sz w:val="24"/>
                <w:lang w:val="pl-PL"/>
              </w:rPr>
              <w:t>a</w:t>
            </w:r>
            <w:proofErr w:type="gramEnd"/>
            <w:r w:rsidRPr="005870FD">
              <w:rPr>
                <w:rFonts w:ascii="Times New Roman" w:hAnsi="Times New Roman"/>
                <w:sz w:val="24"/>
                <w:lang w:val="pl-PL"/>
              </w:rPr>
              <w:t xml:space="preserve"> </w:t>
            </w:r>
            <w:proofErr w:type="spellStart"/>
            <w:r w:rsidRPr="005870FD">
              <w:rPr>
                <w:rFonts w:ascii="Times New Roman" w:hAnsi="Times New Roman"/>
                <w:sz w:val="24"/>
                <w:lang w:val="pl-PL"/>
              </w:rPr>
              <w:t>čl</w:t>
            </w:r>
            <w:proofErr w:type="spellEnd"/>
            <w:r w:rsidRPr="005870FD">
              <w:rPr>
                <w:rFonts w:ascii="Times New Roman" w:hAnsi="Times New Roman"/>
                <w:sz w:val="24"/>
                <w:lang w:val="pl-PL"/>
              </w:rPr>
              <w:t>. 428</w:t>
            </w:r>
            <w:proofErr w:type="gramStart"/>
            <w:r w:rsidRPr="005870FD">
              <w:rPr>
                <w:rFonts w:ascii="Times New Roman" w:hAnsi="Times New Roman"/>
                <w:sz w:val="24"/>
                <w:lang w:val="pl-PL"/>
              </w:rPr>
              <w:t>k</w:t>
            </w:r>
            <w:proofErr w:type="gramEnd"/>
            <w:r w:rsidRPr="005870FD">
              <w:rPr>
                <w:rFonts w:ascii="Times New Roman" w:hAnsi="Times New Roman"/>
                <w:sz w:val="24"/>
                <w:lang w:val="pl-PL"/>
              </w:rPr>
              <w:t xml:space="preserve"> </w:t>
            </w:r>
            <w:proofErr w:type="spellStart"/>
            <w:r w:rsidRPr="005870FD">
              <w:rPr>
                <w:rFonts w:ascii="Times New Roman" w:hAnsi="Times New Roman"/>
                <w:sz w:val="24"/>
                <w:lang w:val="pl-PL"/>
              </w:rPr>
              <w:t>odst</w:t>
            </w:r>
            <w:proofErr w:type="spellEnd"/>
            <w:r w:rsidRPr="005870FD">
              <w:rPr>
                <w:rFonts w:ascii="Times New Roman" w:hAnsi="Times New Roman"/>
                <w:sz w:val="24"/>
                <w:lang w:val="pl-PL"/>
              </w:rPr>
              <w:t>. 3 CRR</w:t>
            </w:r>
          </w:p>
          <w:p w14:paraId="726F7D6A" w14:textId="77777777" w:rsidR="001E06A3" w:rsidRPr="005870FD" w:rsidRDefault="001E06A3" w:rsidP="001E06A3">
            <w:pPr>
              <w:spacing w:after="240"/>
              <w:jc w:val="both"/>
              <w:rPr>
                <w:rFonts w:ascii="Times New Roman" w:hAnsi="Times New Roman"/>
                <w:sz w:val="24"/>
                <w:lang w:val="pl-PL"/>
              </w:rPr>
            </w:pPr>
            <w:proofErr w:type="spellStart"/>
            <w:r w:rsidRPr="005870FD">
              <w:rPr>
                <w:rFonts w:ascii="Times New Roman" w:hAnsi="Times New Roman"/>
                <w:sz w:val="24"/>
                <w:lang w:val="pl-PL"/>
              </w:rPr>
              <w:t>Zde</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instituce</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uvádějí</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součet</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těchto</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položek</w:t>
            </w:r>
            <w:proofErr w:type="spellEnd"/>
            <w:r w:rsidRPr="005870FD">
              <w:rPr>
                <w:rFonts w:ascii="Times New Roman" w:hAnsi="Times New Roman"/>
                <w:sz w:val="24"/>
                <w:lang w:val="pl-PL"/>
              </w:rPr>
              <w:t>:</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proofErr w:type="spellStart"/>
            <w:proofErr w:type="gramStart"/>
            <w:r w:rsidRPr="005870FD">
              <w:rPr>
                <w:rFonts w:ascii="Times New Roman" w:hAnsi="Times New Roman"/>
                <w:sz w:val="24"/>
                <w:lang w:val="pl-PL"/>
              </w:rPr>
              <w:t>z</w:t>
            </w:r>
            <w:proofErr w:type="gramEnd"/>
            <w:r w:rsidRPr="005870FD">
              <w:rPr>
                <w:rFonts w:ascii="Times New Roman" w:hAnsi="Times New Roman"/>
                <w:sz w:val="24"/>
                <w:lang w:val="pl-PL"/>
              </w:rPr>
              <w:t>ávazky</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se</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zúčtováním</w:t>
            </w:r>
            <w:proofErr w:type="spellEnd"/>
            <w:r w:rsidRPr="005870FD">
              <w:rPr>
                <w:rFonts w:ascii="Times New Roman" w:hAnsi="Times New Roman"/>
                <w:sz w:val="24"/>
                <w:lang w:val="pl-PL"/>
              </w:rPr>
              <w:t xml:space="preserve"> v den </w:t>
            </w:r>
            <w:proofErr w:type="spellStart"/>
            <w:r w:rsidRPr="005870FD">
              <w:rPr>
                <w:rFonts w:ascii="Times New Roman" w:hAnsi="Times New Roman"/>
                <w:sz w:val="24"/>
                <w:lang w:val="pl-PL"/>
              </w:rPr>
              <w:t>realizace</w:t>
            </w:r>
            <w:proofErr w:type="spellEnd"/>
            <w:r w:rsidRPr="005870FD">
              <w:rPr>
                <w:rFonts w:ascii="Times New Roman" w:hAnsi="Times New Roman"/>
                <w:sz w:val="24"/>
                <w:lang w:val="pl-PL"/>
              </w:rPr>
              <w:t xml:space="preserve"> obchodu </w:t>
            </w:r>
            <w:proofErr w:type="spellStart"/>
            <w:r w:rsidRPr="005870FD">
              <w:rPr>
                <w:rFonts w:ascii="Times New Roman" w:hAnsi="Times New Roman"/>
                <w:sz w:val="24"/>
                <w:lang w:val="pl-PL"/>
              </w:rPr>
              <w:t>vyplývající</w:t>
            </w:r>
            <w:proofErr w:type="spellEnd"/>
            <w:r w:rsidRPr="005870FD">
              <w:rPr>
                <w:rFonts w:ascii="Times New Roman" w:hAnsi="Times New Roman"/>
                <w:sz w:val="24"/>
                <w:lang w:val="pl-PL"/>
              </w:rPr>
              <w:t xml:space="preserve"> z </w:t>
            </w:r>
            <w:proofErr w:type="spellStart"/>
            <w:r w:rsidRPr="005870FD">
              <w:rPr>
                <w:rFonts w:ascii="Times New Roman" w:hAnsi="Times New Roman"/>
                <w:sz w:val="24"/>
                <w:lang w:val="pl-PL"/>
              </w:rPr>
              <w:t>nákupů</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finančních</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nástrojů</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cizích</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měn</w:t>
            </w:r>
            <w:proofErr w:type="spellEnd"/>
            <w:r w:rsidRPr="005870FD">
              <w:rPr>
                <w:rFonts w:ascii="Times New Roman" w:hAnsi="Times New Roman"/>
                <w:sz w:val="24"/>
                <w:lang w:val="pl-PL"/>
              </w:rPr>
              <w:t xml:space="preserve"> a </w:t>
            </w:r>
            <w:proofErr w:type="spellStart"/>
            <w:r w:rsidRPr="005870FD">
              <w:rPr>
                <w:rFonts w:ascii="Times New Roman" w:hAnsi="Times New Roman"/>
                <w:sz w:val="24"/>
                <w:lang w:val="pl-PL"/>
              </w:rPr>
              <w:t>komodit</w:t>
            </w:r>
            <w:proofErr w:type="spellEnd"/>
            <w:r w:rsidRPr="005870FD">
              <w:rPr>
                <w:rFonts w:ascii="Times New Roman" w:hAnsi="Times New Roman"/>
                <w:sz w:val="24"/>
                <w:lang w:val="pl-PL"/>
              </w:rPr>
              <w:t xml:space="preserve">, u </w:t>
            </w:r>
            <w:proofErr w:type="spellStart"/>
            <w:r w:rsidRPr="005870FD">
              <w:rPr>
                <w:rFonts w:ascii="Times New Roman" w:hAnsi="Times New Roman"/>
                <w:sz w:val="24"/>
                <w:lang w:val="pl-PL"/>
              </w:rPr>
              <w:t>kterých</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se</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očekává</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vypořádání</w:t>
            </w:r>
            <w:proofErr w:type="spellEnd"/>
            <w:r w:rsidRPr="005870FD">
              <w:rPr>
                <w:rFonts w:ascii="Times New Roman" w:hAnsi="Times New Roman"/>
                <w:sz w:val="24"/>
                <w:lang w:val="pl-PL"/>
              </w:rPr>
              <w:t xml:space="preserve"> v </w:t>
            </w:r>
            <w:proofErr w:type="spellStart"/>
            <w:r w:rsidRPr="005870FD">
              <w:rPr>
                <w:rFonts w:ascii="Times New Roman" w:hAnsi="Times New Roman"/>
                <w:sz w:val="24"/>
                <w:lang w:val="pl-PL"/>
              </w:rPr>
              <w:t>rámci</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běžného</w:t>
            </w:r>
            <w:proofErr w:type="spellEnd"/>
            <w:r w:rsidRPr="005870FD">
              <w:rPr>
                <w:rFonts w:ascii="Times New Roman" w:hAnsi="Times New Roman"/>
                <w:sz w:val="24"/>
                <w:lang w:val="pl-PL"/>
              </w:rPr>
              <w:t xml:space="preserve"> cyklu </w:t>
            </w:r>
            <w:proofErr w:type="spellStart"/>
            <w:r w:rsidRPr="005870FD">
              <w:rPr>
                <w:rFonts w:ascii="Times New Roman" w:hAnsi="Times New Roman"/>
                <w:sz w:val="24"/>
                <w:lang w:val="pl-PL"/>
              </w:rPr>
              <w:t>vypořádání</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nebo</w:t>
            </w:r>
            <w:proofErr w:type="spellEnd"/>
            <w:r w:rsidRPr="005870FD">
              <w:rPr>
                <w:rFonts w:ascii="Times New Roman" w:hAnsi="Times New Roman"/>
                <w:sz w:val="24"/>
                <w:lang w:val="pl-PL"/>
              </w:rPr>
              <w:t xml:space="preserve"> v </w:t>
            </w:r>
            <w:proofErr w:type="spellStart"/>
            <w:r w:rsidRPr="005870FD">
              <w:rPr>
                <w:rFonts w:ascii="Times New Roman" w:hAnsi="Times New Roman"/>
                <w:sz w:val="24"/>
                <w:lang w:val="pl-PL"/>
              </w:rPr>
              <w:t>období</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jež</w:t>
            </w:r>
            <w:proofErr w:type="spellEnd"/>
            <w:r w:rsidRPr="005870FD">
              <w:rPr>
                <w:rFonts w:ascii="Times New Roman" w:hAnsi="Times New Roman"/>
                <w:sz w:val="24"/>
                <w:lang w:val="pl-PL"/>
              </w:rPr>
              <w:t xml:space="preserve"> je </w:t>
            </w:r>
            <w:proofErr w:type="spellStart"/>
            <w:r w:rsidRPr="005870FD">
              <w:rPr>
                <w:rFonts w:ascii="Times New Roman" w:hAnsi="Times New Roman"/>
                <w:sz w:val="24"/>
                <w:lang w:val="pl-PL"/>
              </w:rPr>
              <w:t>obvyklé</w:t>
            </w:r>
            <w:proofErr w:type="spellEnd"/>
            <w:r w:rsidRPr="005870FD">
              <w:rPr>
                <w:rFonts w:ascii="Times New Roman" w:hAnsi="Times New Roman"/>
                <w:sz w:val="24"/>
                <w:lang w:val="pl-PL"/>
              </w:rPr>
              <w:t xml:space="preserve"> pro </w:t>
            </w:r>
            <w:proofErr w:type="spellStart"/>
            <w:r w:rsidRPr="005870FD">
              <w:rPr>
                <w:rFonts w:ascii="Times New Roman" w:hAnsi="Times New Roman"/>
                <w:sz w:val="24"/>
                <w:lang w:val="pl-PL"/>
              </w:rPr>
              <w:t>příslušný</w:t>
            </w:r>
            <w:proofErr w:type="spellEnd"/>
            <w:r w:rsidRPr="005870FD">
              <w:rPr>
                <w:rFonts w:ascii="Times New Roman" w:hAnsi="Times New Roman"/>
                <w:sz w:val="24"/>
                <w:lang w:val="pl-PL"/>
              </w:rPr>
              <w:t xml:space="preserve"> typ </w:t>
            </w:r>
            <w:proofErr w:type="spellStart"/>
            <w:r w:rsidRPr="005870FD">
              <w:rPr>
                <w:rFonts w:ascii="Times New Roman" w:hAnsi="Times New Roman"/>
                <w:sz w:val="24"/>
                <w:lang w:val="pl-PL"/>
              </w:rPr>
              <w:t>výměny</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nebo</w:t>
            </w:r>
            <w:proofErr w:type="spellEnd"/>
            <w:r w:rsidRPr="005870FD">
              <w:rPr>
                <w:rFonts w:ascii="Times New Roman" w:hAnsi="Times New Roman"/>
                <w:sz w:val="24"/>
                <w:lang w:val="pl-PL"/>
              </w:rPr>
              <w:t xml:space="preserve"> typ </w:t>
            </w:r>
            <w:proofErr w:type="spellStart"/>
            <w:r w:rsidRPr="005870FD">
              <w:rPr>
                <w:rFonts w:ascii="Times New Roman" w:hAnsi="Times New Roman"/>
                <w:sz w:val="24"/>
                <w:lang w:val="pl-PL"/>
              </w:rPr>
              <w:t>transakcí</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nebo</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které</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nebyly</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vypořádány</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avšak</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jejich</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vypořádání</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se</w:t>
            </w:r>
            <w:proofErr w:type="spellEnd"/>
            <w:r w:rsidRPr="005870FD">
              <w:rPr>
                <w:rFonts w:ascii="Times New Roman" w:hAnsi="Times New Roman"/>
                <w:sz w:val="24"/>
                <w:lang w:val="pl-PL"/>
              </w:rPr>
              <w:t xml:space="preserve"> </w:t>
            </w:r>
            <w:proofErr w:type="spellStart"/>
            <w:r w:rsidRPr="005870FD">
              <w:rPr>
                <w:rFonts w:ascii="Times New Roman" w:hAnsi="Times New Roman"/>
                <w:sz w:val="24"/>
                <w:lang w:val="pl-PL"/>
              </w:rPr>
              <w:t>očekává</w:t>
            </w:r>
            <w:proofErr w:type="spellEnd"/>
            <w:r w:rsidRPr="005870FD">
              <w:rPr>
                <w:rFonts w:ascii="Times New Roman" w:hAnsi="Times New Roman"/>
                <w:sz w:val="24"/>
                <w:lang w:val="pl-PL"/>
              </w:rPr>
              <w:t xml:space="preserve">, v </w:t>
            </w:r>
            <w:proofErr w:type="spellStart"/>
            <w:r w:rsidRPr="005870FD">
              <w:rPr>
                <w:rFonts w:ascii="Times New Roman" w:hAnsi="Times New Roman"/>
                <w:sz w:val="24"/>
                <w:lang w:val="pl-PL"/>
              </w:rPr>
              <w:t>souladu</w:t>
            </w:r>
            <w:proofErr w:type="spellEnd"/>
            <w:r w:rsidRPr="005870FD">
              <w:rPr>
                <w:rFonts w:ascii="Times New Roman" w:hAnsi="Times New Roman"/>
                <w:sz w:val="24"/>
                <w:lang w:val="pl-PL"/>
              </w:rPr>
              <w:t xml:space="preserve"> s </w:t>
            </w:r>
            <w:proofErr w:type="spellStart"/>
            <w:r w:rsidRPr="005870FD">
              <w:rPr>
                <w:rFonts w:ascii="Times New Roman" w:hAnsi="Times New Roman"/>
                <w:sz w:val="24"/>
                <w:lang w:val="pl-PL"/>
              </w:rPr>
              <w:t>čl</w:t>
            </w:r>
            <w:proofErr w:type="spellEnd"/>
            <w:r w:rsidRPr="005870FD">
              <w:rPr>
                <w:rFonts w:ascii="Times New Roman" w:hAnsi="Times New Roman"/>
                <w:sz w:val="24"/>
                <w:lang w:val="pl-PL"/>
              </w:rPr>
              <w:t>. 428</w:t>
            </w:r>
            <w:proofErr w:type="gramStart"/>
            <w:r w:rsidRPr="005870FD">
              <w:rPr>
                <w:rFonts w:ascii="Times New Roman" w:hAnsi="Times New Roman"/>
                <w:sz w:val="24"/>
                <w:lang w:val="pl-PL"/>
              </w:rPr>
              <w:t>k</w:t>
            </w:r>
            <w:proofErr w:type="gramEnd"/>
            <w:r w:rsidRPr="005870FD">
              <w:rPr>
                <w:rFonts w:ascii="Times New Roman" w:hAnsi="Times New Roman"/>
                <w:sz w:val="24"/>
                <w:lang w:val="pl-PL"/>
              </w:rPr>
              <w:t xml:space="preserve"> </w:t>
            </w:r>
            <w:proofErr w:type="spellStart"/>
            <w:r w:rsidRPr="005870FD">
              <w:rPr>
                <w:rFonts w:ascii="Times New Roman" w:hAnsi="Times New Roman"/>
                <w:sz w:val="24"/>
                <w:lang w:val="pl-PL"/>
              </w:rPr>
              <w:t>odst</w:t>
            </w:r>
            <w:proofErr w:type="spellEnd"/>
            <w:r w:rsidRPr="005870FD">
              <w:rPr>
                <w:rFonts w:ascii="Times New Roman" w:hAnsi="Times New Roman"/>
                <w:sz w:val="24"/>
                <w:lang w:val="pl-PL"/>
              </w:rPr>
              <w:t>. </w:t>
            </w:r>
            <w:r>
              <w:rPr>
                <w:rFonts w:ascii="Times New Roman" w:hAnsi="Times New Roman"/>
                <w:sz w:val="24"/>
              </w:rPr>
              <w:t xml:space="preserve">3 </w:t>
            </w:r>
            <w:proofErr w:type="spellStart"/>
            <w:r>
              <w:rPr>
                <w:rFonts w:ascii="Times New Roman" w:hAnsi="Times New Roman"/>
                <w:sz w:val="24"/>
              </w:rPr>
              <w:t>písm</w:t>
            </w:r>
            <w:proofErr w:type="spellEnd"/>
            <w:r>
              <w:rPr>
                <w:rFonts w:ascii="Times New Roman" w:hAnsi="Times New Roman"/>
                <w:sz w:val="24"/>
              </w:rPr>
              <w:t>. a) CRR,</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odložené daňové závazky, u nichž se za zbytkovou splatnost považuje nejbližší možné datum, kdy lze tyto závazky realizovat, v souladu s čl. 428k odst. 2 písm. a) CRR,</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menšinové podíly, u nichž se za zbytkovou splatnost považuje termín dotčeného nástroje, v souladu s čl. 428k odst. 1 písm. b) CRR a</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ostatní závazky, například krátké pozice a pozice s otevřenou splatností v souladu s čl. 428k odst. 1 a čl. 428k odst. 3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76AAD23A"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b/>
                <w:sz w:val="24"/>
                <w:lang w:val="cs-CZ"/>
              </w:rPr>
              <w:t>Celkové dostupné stabilní financování</w:t>
            </w:r>
          </w:p>
          <w:p w14:paraId="124FE4A6" w14:textId="77777777" w:rsidR="001E06A3" w:rsidRPr="00B33AFE" w:rsidRDefault="001E06A3" w:rsidP="001E06A3">
            <w:pPr>
              <w:pStyle w:val="TableParagraph"/>
              <w:spacing w:after="240"/>
              <w:jc w:val="both"/>
              <w:rPr>
                <w:rFonts w:ascii="Times New Roman" w:eastAsia="Times New Roman" w:hAnsi="Times New Roman"/>
                <w:sz w:val="24"/>
                <w:szCs w:val="24"/>
                <w:lang w:val="cs-CZ"/>
              </w:rPr>
            </w:pPr>
            <w:r w:rsidRPr="00B33AFE">
              <w:rPr>
                <w:rFonts w:ascii="Times New Roman" w:hAnsi="Times New Roman"/>
                <w:sz w:val="24"/>
                <w:szCs w:val="24"/>
                <w:lang w:val="cs-CZ"/>
              </w:rPr>
              <w:t>Část šestá hlava IV kapitola 3 CRR</w:t>
            </w:r>
          </w:p>
          <w:p w14:paraId="1E03653C" w14:textId="77777777" w:rsidR="001E06A3" w:rsidRPr="00B33AFE" w:rsidRDefault="001E06A3" w:rsidP="001E06A3">
            <w:pPr>
              <w:pStyle w:val="TableParagraph"/>
              <w:spacing w:after="240"/>
              <w:jc w:val="both"/>
              <w:rPr>
                <w:rFonts w:ascii="Times New Roman" w:hAnsi="Times New Roman"/>
                <w:sz w:val="24"/>
                <w:lang w:val="cs-CZ"/>
              </w:rPr>
            </w:pPr>
            <w:r w:rsidRPr="00B33AFE">
              <w:rPr>
                <w:rFonts w:ascii="Times New Roman" w:hAnsi="Times New Roman"/>
                <w:sz w:val="24"/>
                <w:lang w:val="cs-CZ"/>
              </w:rPr>
              <w:t xml:space="preserve">Zde instituce uvedou celkovou hodnotu položek </w:t>
            </w:r>
            <w:r w:rsidRPr="00B33AFE">
              <w:rPr>
                <w:rFonts w:ascii="Times New Roman" w:hAnsi="Times New Roman"/>
                <w:sz w:val="24"/>
                <w:szCs w:val="24"/>
                <w:lang w:val="cs-CZ"/>
              </w:rPr>
              <w:t xml:space="preserve">zajišťujících dostupné stabilní financování podle části šesté hlavy IV kapitoly 3 CRR (součet hodnot v řádcích 1, 4, 7, 10 a 11 </w:t>
            </w:r>
            <w:r w:rsidRPr="00B33AFE">
              <w:rPr>
                <w:rFonts w:ascii="Times New Roman" w:hAnsi="Times New Roman"/>
                <w:sz w:val="24"/>
                <w:lang w:val="cs-CZ"/>
              </w:rPr>
              <w:t>této šablony</w:t>
            </w:r>
            <w:r w:rsidRPr="00B33AFE">
              <w:rPr>
                <w:rFonts w:ascii="Times New Roman" w:hAnsi="Times New Roman"/>
                <w:sz w:val="24"/>
                <w:szCs w:val="24"/>
                <w:lang w:val="cs-CZ"/>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CC4769" w:rsidRDefault="001E06A3" w:rsidP="001E06A3">
            <w:pPr>
              <w:spacing w:after="240"/>
              <w:rPr>
                <w:rFonts w:ascii="Times New Roman" w:hAnsi="Times New Roman"/>
                <w:color w:val="000000" w:themeColor="text1"/>
                <w:sz w:val="24"/>
                <w:lang w:val="cs-CZ"/>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proofErr w:type="spellStart"/>
            <w:r>
              <w:rPr>
                <w:rFonts w:ascii="Times New Roman" w:hAnsi="Times New Roman"/>
                <w:b/>
                <w:color w:val="000000" w:themeColor="text1"/>
                <w:sz w:val="24"/>
              </w:rPr>
              <w:t>Položky</w:t>
            </w:r>
            <w:proofErr w:type="spellEnd"/>
            <w:r>
              <w:rPr>
                <w:rFonts w:ascii="Times New Roman" w:hAnsi="Times New Roman"/>
                <w:b/>
                <w:color w:val="000000" w:themeColor="text1"/>
                <w:sz w:val="24"/>
              </w:rPr>
              <w:t xml:space="preserve"> </w:t>
            </w:r>
            <w:proofErr w:type="spellStart"/>
            <w:r>
              <w:rPr>
                <w:rFonts w:ascii="Times New Roman" w:hAnsi="Times New Roman"/>
                <w:b/>
                <w:color w:val="000000" w:themeColor="text1"/>
                <w:sz w:val="24"/>
              </w:rPr>
              <w:t>požadovaného</w:t>
            </w:r>
            <w:proofErr w:type="spellEnd"/>
            <w:r>
              <w:rPr>
                <w:rFonts w:ascii="Times New Roman" w:hAnsi="Times New Roman"/>
                <w:b/>
                <w:color w:val="000000" w:themeColor="text1"/>
                <w:sz w:val="24"/>
              </w:rPr>
              <w:t xml:space="preserve"> </w:t>
            </w:r>
            <w:proofErr w:type="spellStart"/>
            <w:r>
              <w:rPr>
                <w:rFonts w:ascii="Times New Roman" w:hAnsi="Times New Roman"/>
                <w:b/>
                <w:color w:val="000000" w:themeColor="text1"/>
                <w:sz w:val="24"/>
              </w:rPr>
              <w:t>stabilního</w:t>
            </w:r>
            <w:proofErr w:type="spellEnd"/>
            <w:r>
              <w:rPr>
                <w:rFonts w:ascii="Times New Roman" w:hAnsi="Times New Roman"/>
                <w:b/>
                <w:color w:val="000000" w:themeColor="text1"/>
                <w:sz w:val="24"/>
              </w:rPr>
              <w:t xml:space="preserve"> </w:t>
            </w:r>
            <w:proofErr w:type="spellStart"/>
            <w:r>
              <w:rPr>
                <w:rFonts w:ascii="Times New Roman" w:hAnsi="Times New Roman"/>
                <w:b/>
                <w:color w:val="000000" w:themeColor="text1"/>
                <w:sz w:val="24"/>
              </w:rPr>
              <w:t>financování</w:t>
            </w:r>
            <w:proofErr w:type="spellEnd"/>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Vysoce kvalitní likvidní aktiva celkem</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zde také uvedou zatížená a nezatížená vysoce kvalitní likvidní aktiva podle nařízení Komise v přenesené pravomoci (EU) 2015/61, a to bez ohledu na to, zda splňují provozní požadavky podle článku 8 uvedeného nařízení v přenesené pravomoci, v souladu s články 428r až 428ae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Aktiva zatížená po dobu zbytkové splatnosti jeden rok nebo déle v krycím portfoliu</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 428ag písm. h) CRR</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Instituce zde uvedou informace o výši peněžních částek splatných z úvěrů, které nejsou v selhání podle článku 178 CRR, a likvidních aktiv zatížených po zbytkovou splatnost jednoho roku nebo déle v krycím portfoliu financovaném krytými dluhopisy podle čl. 52 odst. 4 směrnice 2009/65/ES</w:t>
            </w:r>
            <w:r w:rsidRPr="007F4CC8">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nebo krytými dluhopisy, které splňují požadavky na způsobilost pro zacházení uvedené v čl. 129 odst. 4 nebo 5 CRR.</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Vklady držené v jiných finančních institucích pro provozní účely</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 428ad písm. b) CRR</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zde uvedou informace o výši peněžních částek splatných z úvěrů, které nejsou v selhání podle článku 178 CRR a představují provozní vklady podle nařízení Komise v přenesené pravomoci (EU) 2015/61 a jsou nezbytné pro poskytování provozních služeb.</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B33AFE" w:rsidRDefault="001E06A3" w:rsidP="001E06A3">
            <w:pPr>
              <w:spacing w:after="240"/>
              <w:jc w:val="both"/>
              <w:rPr>
                <w:rFonts w:ascii="Times New Roman" w:hAnsi="Times New Roman"/>
                <w:b/>
                <w:sz w:val="24"/>
                <w:lang w:val="cs-CZ"/>
              </w:rPr>
            </w:pPr>
            <w:r w:rsidRPr="00B33AFE">
              <w:rPr>
                <w:rFonts w:ascii="Times New Roman" w:hAnsi="Times New Roman"/>
                <w:b/>
                <w:sz w:val="24"/>
                <w:lang w:val="cs-CZ"/>
              </w:rPr>
              <w:t>Úvěry bez selhání a cenné papíry:</w:t>
            </w:r>
          </w:p>
          <w:p w14:paraId="69E0B124"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Zde instituce uvedou součet hodnot z řádků 18, 19, 20, 22 a 24 této šablony.</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Výkonné transakce s financováním cenných papírů s finančními zákazníky zajištěné vysoce kvalitními likvidními aktivy úrovně 1, jež podléhají srážce 0 %</w:t>
            </w:r>
          </w:p>
          <w:p w14:paraId="1C3668E3" w14:textId="77777777" w:rsidR="001E06A3" w:rsidRPr="005870FD" w:rsidRDefault="001E06A3" w:rsidP="001E06A3">
            <w:pPr>
              <w:spacing w:after="240"/>
              <w:jc w:val="both"/>
              <w:rPr>
                <w:lang w:val="pt-PT"/>
              </w:rPr>
            </w:pPr>
            <w:proofErr w:type="spellStart"/>
            <w:r w:rsidRPr="005870FD">
              <w:rPr>
                <w:rFonts w:ascii="Times New Roman" w:hAnsi="Times New Roman"/>
                <w:sz w:val="24"/>
                <w:lang w:val="pt-PT"/>
              </w:rPr>
              <w:lastRenderedPageBreak/>
              <w:t>Článek</w:t>
            </w:r>
            <w:proofErr w:type="spellEnd"/>
            <w:r w:rsidRPr="005870FD">
              <w:rPr>
                <w:rFonts w:ascii="Times New Roman" w:hAnsi="Times New Roman"/>
                <w:sz w:val="24"/>
                <w:lang w:val="pt-PT"/>
              </w:rPr>
              <w:t xml:space="preserve"> 428e, </w:t>
            </w:r>
            <w:proofErr w:type="spellStart"/>
            <w:r w:rsidRPr="005870FD">
              <w:rPr>
                <w:rFonts w:ascii="Times New Roman" w:hAnsi="Times New Roman"/>
                <w:sz w:val="24"/>
                <w:lang w:val="pt-PT"/>
              </w:rPr>
              <w:t>čl</w:t>
            </w:r>
            <w:proofErr w:type="spellEnd"/>
            <w:r w:rsidRPr="005870FD">
              <w:rPr>
                <w:rFonts w:ascii="Times New Roman" w:hAnsi="Times New Roman"/>
                <w:sz w:val="24"/>
                <w:lang w:val="pt-PT"/>
              </w:rPr>
              <w:t xml:space="preserve">. 428r </w:t>
            </w:r>
            <w:proofErr w:type="spellStart"/>
            <w:r w:rsidRPr="005870FD">
              <w:rPr>
                <w:rFonts w:ascii="Times New Roman" w:hAnsi="Times New Roman"/>
                <w:sz w:val="24"/>
                <w:lang w:val="pt-PT"/>
              </w:rPr>
              <w:t>odst</w:t>
            </w:r>
            <w:proofErr w:type="spellEnd"/>
            <w:r w:rsidRPr="005870FD">
              <w:rPr>
                <w:rFonts w:ascii="Times New Roman" w:hAnsi="Times New Roman"/>
                <w:sz w:val="24"/>
                <w:lang w:val="pt-PT"/>
              </w:rPr>
              <w:t xml:space="preserve">. 1 </w:t>
            </w:r>
            <w:proofErr w:type="spellStart"/>
            <w:r w:rsidRPr="005870FD">
              <w:rPr>
                <w:rFonts w:ascii="Times New Roman" w:hAnsi="Times New Roman"/>
                <w:sz w:val="24"/>
                <w:lang w:val="pt-PT"/>
              </w:rPr>
              <w:t>písm</w:t>
            </w:r>
            <w:proofErr w:type="spellEnd"/>
            <w:r w:rsidRPr="005870FD">
              <w:rPr>
                <w:rFonts w:ascii="Times New Roman" w:hAnsi="Times New Roman"/>
                <w:sz w:val="24"/>
                <w:lang w:val="pt-PT"/>
              </w:rPr>
              <w:t xml:space="preserve">. g) a </w:t>
            </w:r>
            <w:proofErr w:type="spellStart"/>
            <w:r w:rsidRPr="005870FD">
              <w:rPr>
                <w:rFonts w:ascii="Times New Roman" w:hAnsi="Times New Roman"/>
                <w:sz w:val="24"/>
                <w:lang w:val="pt-PT"/>
              </w:rPr>
              <w:t>čl</w:t>
            </w:r>
            <w:proofErr w:type="spellEnd"/>
            <w:r w:rsidRPr="005870FD">
              <w:rPr>
                <w:rFonts w:ascii="Times New Roman" w:hAnsi="Times New Roman"/>
                <w:sz w:val="24"/>
                <w:lang w:val="pt-PT"/>
              </w:rPr>
              <w:t xml:space="preserve">. 428s </w:t>
            </w:r>
            <w:proofErr w:type="spellStart"/>
            <w:r w:rsidRPr="005870FD">
              <w:rPr>
                <w:rFonts w:ascii="Times New Roman" w:hAnsi="Times New Roman"/>
                <w:sz w:val="24"/>
                <w:lang w:val="pt-PT"/>
              </w:rPr>
              <w:t>písm</w:t>
            </w:r>
            <w:proofErr w:type="spellEnd"/>
            <w:r w:rsidRPr="005870FD">
              <w:rPr>
                <w:rFonts w:ascii="Times New Roman" w:hAnsi="Times New Roman"/>
                <w:sz w:val="24"/>
                <w:lang w:val="pt-PT"/>
              </w:rPr>
              <w:t>. b) CRR</w:t>
            </w:r>
          </w:p>
          <w:p w14:paraId="6E629990" w14:textId="77777777" w:rsidR="001E06A3" w:rsidRPr="005870FD" w:rsidRDefault="001E06A3" w:rsidP="001E06A3">
            <w:pPr>
              <w:spacing w:after="240"/>
              <w:jc w:val="both"/>
              <w:rPr>
                <w:rFonts w:ascii="Times New Roman" w:hAnsi="Times New Roman"/>
                <w:sz w:val="24"/>
                <w:lang w:val="pt-PT"/>
              </w:rPr>
            </w:pPr>
            <w:proofErr w:type="spellStart"/>
            <w:r w:rsidRPr="005870FD">
              <w:rPr>
                <w:rFonts w:ascii="Times New Roman" w:hAnsi="Times New Roman"/>
                <w:sz w:val="24"/>
                <w:lang w:val="pt-PT"/>
              </w:rPr>
              <w:t>Instituce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zde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uvedou</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informace</w:t>
            </w:r>
            <w:proofErr w:type="spellEnd"/>
            <w:r w:rsidRPr="005870FD">
              <w:rPr>
                <w:rFonts w:ascii="Times New Roman" w:hAnsi="Times New Roman"/>
                <w:sz w:val="24"/>
                <w:lang w:val="pt-PT"/>
              </w:rPr>
              <w:t xml:space="preserve"> o </w:t>
            </w:r>
            <w:proofErr w:type="spellStart"/>
            <w:r w:rsidRPr="005870FD">
              <w:rPr>
                <w:rFonts w:ascii="Times New Roman" w:hAnsi="Times New Roman"/>
                <w:sz w:val="24"/>
                <w:lang w:val="pt-PT"/>
              </w:rPr>
              <w:t>výši</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peněžních</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částek</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splatných</w:t>
            </w:r>
            <w:proofErr w:type="spellEnd"/>
            <w:r w:rsidRPr="005870FD">
              <w:rPr>
                <w:rFonts w:ascii="Times New Roman" w:hAnsi="Times New Roman"/>
                <w:sz w:val="24"/>
                <w:lang w:val="pt-PT"/>
              </w:rPr>
              <w:t xml:space="preserve"> z </w:t>
            </w:r>
            <w:proofErr w:type="spellStart"/>
            <w:r w:rsidRPr="005870FD">
              <w:rPr>
                <w:rFonts w:ascii="Times New Roman" w:hAnsi="Times New Roman"/>
                <w:sz w:val="24"/>
                <w:lang w:val="pt-PT"/>
              </w:rPr>
              <w:t>transakcí</w:t>
            </w:r>
            <w:proofErr w:type="spellEnd"/>
            <w:r w:rsidRPr="005870FD">
              <w:rPr>
                <w:rFonts w:ascii="Times New Roman" w:hAnsi="Times New Roman"/>
                <w:sz w:val="24"/>
                <w:lang w:val="pt-PT"/>
              </w:rPr>
              <w:t xml:space="preserve"> s </w:t>
            </w:r>
            <w:proofErr w:type="spellStart"/>
            <w:r w:rsidRPr="005870FD">
              <w:rPr>
                <w:rFonts w:ascii="Times New Roman" w:hAnsi="Times New Roman"/>
                <w:sz w:val="24"/>
                <w:lang w:val="pt-PT"/>
              </w:rPr>
              <w:t>financováním</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cenných</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papírů</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které</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nejsou</w:t>
            </w:r>
            <w:proofErr w:type="spellEnd"/>
            <w:r w:rsidRPr="005870FD">
              <w:rPr>
                <w:rFonts w:ascii="Times New Roman" w:hAnsi="Times New Roman"/>
                <w:sz w:val="24"/>
                <w:lang w:val="pt-PT"/>
              </w:rPr>
              <w:t xml:space="preserve"> v </w:t>
            </w:r>
            <w:proofErr w:type="spellStart"/>
            <w:r w:rsidRPr="005870FD">
              <w:rPr>
                <w:rFonts w:ascii="Times New Roman" w:hAnsi="Times New Roman"/>
                <w:sz w:val="24"/>
                <w:lang w:val="pt-PT"/>
              </w:rPr>
              <w:t>selhání</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podle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článku</w:t>
            </w:r>
            <w:proofErr w:type="spellEnd"/>
            <w:r w:rsidRPr="005870FD">
              <w:rPr>
                <w:rFonts w:ascii="Times New Roman" w:hAnsi="Times New Roman"/>
                <w:sz w:val="24"/>
                <w:lang w:val="pt-PT"/>
              </w:rPr>
              <w:t xml:space="preserve"> 178 CRR, s </w:t>
            </w:r>
            <w:proofErr w:type="spellStart"/>
            <w:r w:rsidRPr="005870FD">
              <w:rPr>
                <w:rFonts w:ascii="Times New Roman" w:hAnsi="Times New Roman"/>
                <w:sz w:val="24"/>
                <w:lang w:val="pt-PT"/>
              </w:rPr>
              <w:t>finančními</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zákazníky</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zajištěných</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vysoce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kvalitními</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likvidními</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aktivy</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úrovně</w:t>
            </w:r>
            <w:proofErr w:type="spellEnd"/>
            <w:r w:rsidRPr="005870FD">
              <w:rPr>
                <w:rFonts w:ascii="Times New Roman" w:hAnsi="Times New Roman"/>
                <w:sz w:val="24"/>
                <w:lang w:val="pt-PT"/>
              </w:rPr>
              <w:t xml:space="preserve"> 1 </w:t>
            </w:r>
            <w:proofErr w:type="spellStart"/>
            <w:r w:rsidRPr="005870FD">
              <w:rPr>
                <w:rFonts w:ascii="Times New Roman" w:hAnsi="Times New Roman"/>
                <w:sz w:val="24"/>
                <w:lang w:val="pt-PT"/>
              </w:rPr>
              <w:t>způsobilými</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ke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srážce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ve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výši</w:t>
            </w:r>
            <w:proofErr w:type="spellEnd"/>
            <w:r w:rsidRPr="005870FD">
              <w:rPr>
                <w:rFonts w:ascii="Times New Roman" w:hAnsi="Times New Roman"/>
                <w:sz w:val="24"/>
                <w:lang w:val="pt-PT"/>
              </w:rPr>
              <w:t xml:space="preserve"> 0 % </w:t>
            </w:r>
            <w:proofErr w:type="spellStart"/>
            <w:r w:rsidRPr="005870FD">
              <w:rPr>
                <w:rFonts w:ascii="Times New Roman" w:hAnsi="Times New Roman"/>
                <w:sz w:val="24"/>
                <w:lang w:val="pt-PT"/>
              </w:rPr>
              <w:t>podle</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nařízení</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Komise</w:t>
            </w:r>
            <w:proofErr w:type="spellEnd"/>
            <w:r w:rsidRPr="005870FD">
              <w:rPr>
                <w:rFonts w:ascii="Times New Roman" w:hAnsi="Times New Roman"/>
                <w:sz w:val="24"/>
                <w:lang w:val="pt-PT"/>
              </w:rPr>
              <w:t xml:space="preserve"> v </w:t>
            </w:r>
            <w:proofErr w:type="spellStart"/>
            <w:r w:rsidRPr="005870FD">
              <w:rPr>
                <w:rFonts w:ascii="Times New Roman" w:hAnsi="Times New Roman"/>
                <w:sz w:val="24"/>
                <w:lang w:val="pt-PT"/>
              </w:rPr>
              <w:t>přenesené</w:t>
            </w:r>
            <w:proofErr w:type="spellEnd"/>
            <w:r w:rsidRPr="005870FD">
              <w:rPr>
                <w:rFonts w:ascii="Times New Roman" w:hAnsi="Times New Roman"/>
                <w:sz w:val="24"/>
                <w:lang w:val="pt-PT"/>
              </w:rPr>
              <w:t xml:space="preserve"> </w:t>
            </w:r>
            <w:proofErr w:type="spellStart"/>
            <w:r w:rsidRPr="005870FD">
              <w:rPr>
                <w:rFonts w:ascii="Times New Roman" w:hAnsi="Times New Roman"/>
                <w:sz w:val="24"/>
                <w:lang w:val="pt-PT"/>
              </w:rPr>
              <w:t>pravomoci</w:t>
            </w:r>
            <w:proofErr w:type="spellEnd"/>
            <w:r w:rsidRPr="005870FD">
              <w:rPr>
                <w:rFonts w:ascii="Times New Roman" w:hAnsi="Times New Roman"/>
                <w:sz w:val="24"/>
                <w:lang w:val="pt-PT"/>
              </w:rPr>
              <w:t xml:space="preserve">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Výkonné transakce s financováním cenných papírů s finančními zákazníky zajištěné jinými aktivy a jinými úvěry a pohledávkami za finančními institucemi</w:t>
            </w:r>
          </w:p>
          <w:p w14:paraId="49B871A6" w14:textId="5DFC7DC8" w:rsidR="001E06A3" w:rsidRPr="005870FD" w:rsidRDefault="001E06A3" w:rsidP="001E06A3">
            <w:pPr>
              <w:pStyle w:val="TableParagraph"/>
              <w:spacing w:after="240"/>
              <w:ind w:right="96"/>
              <w:jc w:val="both"/>
              <w:rPr>
                <w:rFonts w:ascii="Times New Roman" w:hAnsi="Times New Roman"/>
                <w:sz w:val="24"/>
                <w:lang w:val="pt-PT"/>
              </w:rPr>
            </w:pPr>
            <w:r>
              <w:rPr>
                <w:rFonts w:ascii="Times New Roman" w:hAnsi="Times New Roman"/>
                <w:sz w:val="24"/>
                <w:szCs w:val="24"/>
              </w:rPr>
              <w:t>Čl. 428s písm. b), čl. 428ad písm. d), čl. 428ah odst. </w:t>
            </w:r>
            <w:r w:rsidRPr="005870FD">
              <w:rPr>
                <w:rFonts w:ascii="Times New Roman" w:hAnsi="Times New Roman"/>
                <w:sz w:val="24"/>
                <w:szCs w:val="24"/>
                <w:lang w:val="pt-PT"/>
              </w:rPr>
              <w:t xml:space="preserve">1 </w:t>
            </w:r>
            <w:proofErr w:type="spellStart"/>
            <w:r w:rsidRPr="005870FD">
              <w:rPr>
                <w:rFonts w:ascii="Times New Roman" w:hAnsi="Times New Roman"/>
                <w:sz w:val="24"/>
                <w:szCs w:val="24"/>
                <w:lang w:val="pt-PT"/>
              </w:rPr>
              <w:t>písm</w:t>
            </w:r>
            <w:proofErr w:type="spellEnd"/>
            <w:r w:rsidRPr="005870FD">
              <w:rPr>
                <w:rFonts w:ascii="Times New Roman" w:hAnsi="Times New Roman"/>
                <w:sz w:val="24"/>
                <w:szCs w:val="24"/>
                <w:lang w:val="pt-PT"/>
              </w:rPr>
              <w:t xml:space="preserve">. b) a </w:t>
            </w:r>
            <w:proofErr w:type="spellStart"/>
            <w:r w:rsidRPr="005870FD">
              <w:rPr>
                <w:rFonts w:ascii="Times New Roman" w:hAnsi="Times New Roman"/>
                <w:sz w:val="24"/>
                <w:szCs w:val="24"/>
                <w:lang w:val="pt-PT"/>
              </w:rPr>
              <w:t>čl</w:t>
            </w:r>
            <w:proofErr w:type="spellEnd"/>
            <w:r w:rsidRPr="005870FD">
              <w:rPr>
                <w:rFonts w:ascii="Times New Roman" w:hAnsi="Times New Roman"/>
                <w:sz w:val="24"/>
                <w:szCs w:val="24"/>
                <w:lang w:val="pt-PT"/>
              </w:rPr>
              <w:t xml:space="preserve">. 428v </w:t>
            </w:r>
            <w:proofErr w:type="spellStart"/>
            <w:r w:rsidRPr="005870FD">
              <w:rPr>
                <w:rFonts w:ascii="Times New Roman" w:hAnsi="Times New Roman"/>
                <w:sz w:val="24"/>
                <w:szCs w:val="24"/>
                <w:lang w:val="pt-PT"/>
              </w:rPr>
              <w:t>písm</w:t>
            </w:r>
            <w:proofErr w:type="spellEnd"/>
            <w:r w:rsidRPr="005870FD">
              <w:rPr>
                <w:rFonts w:ascii="Times New Roman" w:hAnsi="Times New Roman"/>
                <w:sz w:val="24"/>
                <w:szCs w:val="24"/>
                <w:lang w:val="pt-PT"/>
              </w:rPr>
              <w:t>. a) CRR</w:t>
            </w:r>
          </w:p>
          <w:p w14:paraId="43ECC51F" w14:textId="77777777" w:rsidR="001E06A3" w:rsidRPr="007F4CC8" w:rsidRDefault="001E06A3" w:rsidP="001E06A3">
            <w:pPr>
              <w:spacing w:after="240"/>
              <w:jc w:val="both"/>
              <w:rPr>
                <w:rFonts w:ascii="Times New Roman" w:hAnsi="Times New Roman"/>
                <w:sz w:val="24"/>
              </w:rPr>
            </w:pPr>
            <w:proofErr w:type="spellStart"/>
            <w:r>
              <w:rPr>
                <w:rFonts w:ascii="Times New Roman" w:hAnsi="Times New Roman"/>
                <w:sz w:val="24"/>
              </w:rPr>
              <w:t>Zde</w:t>
            </w:r>
            <w:proofErr w:type="spellEnd"/>
            <w:r>
              <w:rPr>
                <w:rFonts w:ascii="Times New Roman" w:hAnsi="Times New Roman"/>
                <w:sz w:val="24"/>
              </w:rPr>
              <w:t xml:space="preserve"> </w:t>
            </w:r>
            <w:proofErr w:type="spellStart"/>
            <w:r>
              <w:rPr>
                <w:rFonts w:ascii="Times New Roman" w:hAnsi="Times New Roman"/>
                <w:sz w:val="24"/>
              </w:rPr>
              <w:t>instituce</w:t>
            </w:r>
            <w:proofErr w:type="spellEnd"/>
            <w:r>
              <w:rPr>
                <w:rFonts w:ascii="Times New Roman" w:hAnsi="Times New Roman"/>
                <w:sz w:val="24"/>
              </w:rPr>
              <w:t xml:space="preserve"> </w:t>
            </w:r>
            <w:proofErr w:type="spellStart"/>
            <w:r>
              <w:rPr>
                <w:rFonts w:ascii="Times New Roman" w:hAnsi="Times New Roman"/>
                <w:sz w:val="24"/>
              </w:rPr>
              <w:t>uvádějí</w:t>
            </w:r>
            <w:proofErr w:type="spellEnd"/>
            <w:r>
              <w:rPr>
                <w:rFonts w:ascii="Times New Roman" w:hAnsi="Times New Roman"/>
                <w:sz w:val="24"/>
              </w:rPr>
              <w:t xml:space="preserve"> </w:t>
            </w:r>
            <w:proofErr w:type="spellStart"/>
            <w:r>
              <w:rPr>
                <w:rFonts w:ascii="Times New Roman" w:hAnsi="Times New Roman"/>
                <w:sz w:val="24"/>
              </w:rPr>
              <w:t>součet</w:t>
            </w:r>
            <w:proofErr w:type="spellEnd"/>
            <w:r>
              <w:rPr>
                <w:rFonts w:ascii="Times New Roman" w:hAnsi="Times New Roman"/>
                <w:sz w:val="24"/>
              </w:rPr>
              <w:t xml:space="preserve"> těchto položek:</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výše peněžních částek splatných z transakcí s finančními zákazníky s financováním cenných papírů, které nejsou v selhání podle článku 178 CRR, zajištěných aktivy jinými než aktiva úrovně 1 způsobilá ke srážce ve výši 0 % podle nařízení Komise v přenesené pravomoci (EU) 2015/61, a</w:t>
            </w:r>
          </w:p>
          <w:p w14:paraId="25F10EE1" w14:textId="29BF3148"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výše peněžních částek splatných finančním zákazníkům z jiných úvěrů a pohledávek, které nejsou v selhání podle článku 178 CRR, v souladu s čl. 428v pí</w:t>
            </w:r>
            <w:r w:rsidR="00B33AFE">
              <w:rPr>
                <w:rFonts w:ascii="Times New Roman" w:hAnsi="Times New Roman"/>
                <w:sz w:val="24"/>
              </w:rPr>
              <w:t xml:space="preserve">sm. a) a čl. 428ad písm. d) </w:t>
            </w:r>
            <w:proofErr w:type="spellStart"/>
            <w:proofErr w:type="gramStart"/>
            <w:r w:rsidR="00B33AFE">
              <w:rPr>
                <w:rFonts w:ascii="Times New Roman" w:hAnsi="Times New Roman"/>
                <w:sz w:val="24"/>
              </w:rPr>
              <w:t>bodem</w:t>
            </w:r>
            <w:proofErr w:type="spellEnd"/>
            <w:proofErr w:type="gramEnd"/>
            <w:r>
              <w:rPr>
                <w:rFonts w:ascii="Times New Roman" w:hAnsi="Times New Roman"/>
                <w:sz w:val="24"/>
              </w:rPr>
              <w:t xml:space="preserve"> iii)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Úvěry bez selhání poskytnuté nefinančním podnikům, úvěry retailovým zákazníkům a malým podnikům, úvěry ústředním vládám a subjektům veřejného sektoru, z toho:</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 428ad písm. c), článek 428af a čl. 428ag písm. c) CRR</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zde uvedou informace o výši peněžních částek splatných z úvěrů, které nejsou v selhání podle článku 178 CRR a představují úvěry na obytné nemovitosti plně zajištěné způsobilým poskytovatelem zajištění uvedeným podle čl. 129 odst. 1 písm. e) CRR nebo úvěry, s výjimkou úvěrů poskytnutých finančním zákazníkům a úvěrů podle článků 428r až 428af, kromě čl. 428ad písm. c) CRR, a to bez ohledu na rizikové váhy přiřazené těmto úvěrům. Tato částka nezahrnuje expozice zajištěné obytnými nemovitostmi.</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b/>
                <w:sz w:val="24"/>
                <w:lang w:val="cs-CZ"/>
              </w:rPr>
              <w:t xml:space="preserve">s rizikovou váhou ne větší než 35 % podle standardizovaného přístupu k úvěrovému riziku </w:t>
            </w:r>
            <w:proofErr w:type="spellStart"/>
            <w:r w:rsidRPr="00B33AFE">
              <w:rPr>
                <w:rFonts w:ascii="Times New Roman" w:hAnsi="Times New Roman"/>
                <w:b/>
                <w:sz w:val="24"/>
                <w:lang w:val="cs-CZ"/>
              </w:rPr>
              <w:t>Basel</w:t>
            </w:r>
            <w:proofErr w:type="spellEnd"/>
            <w:r w:rsidRPr="00B33AFE">
              <w:rPr>
                <w:rFonts w:ascii="Times New Roman" w:hAnsi="Times New Roman"/>
                <w:b/>
                <w:sz w:val="24"/>
                <w:lang w:val="cs-CZ"/>
              </w:rPr>
              <w:t xml:space="preserve"> II</w:t>
            </w:r>
          </w:p>
          <w:p w14:paraId="321E82BB" w14:textId="77777777" w:rsidR="001E06A3" w:rsidRPr="00B33AFE" w:rsidRDefault="001E06A3" w:rsidP="001E06A3">
            <w:pPr>
              <w:pStyle w:val="TableParagraph"/>
              <w:spacing w:after="240"/>
              <w:ind w:right="99"/>
              <w:jc w:val="both"/>
              <w:rPr>
                <w:rFonts w:ascii="Times New Roman" w:hAnsi="Times New Roman"/>
                <w:sz w:val="24"/>
                <w:szCs w:val="24"/>
                <w:lang w:val="cs-CZ"/>
              </w:rPr>
            </w:pPr>
            <w:r w:rsidRPr="00B33AFE">
              <w:rPr>
                <w:rFonts w:ascii="Times New Roman" w:hAnsi="Times New Roman"/>
                <w:sz w:val="24"/>
                <w:szCs w:val="24"/>
                <w:lang w:val="cs-CZ"/>
              </w:rPr>
              <w:t>Čl. 428ad písm. c) a článek 428af CRR</w:t>
            </w:r>
          </w:p>
          <w:p w14:paraId="5789FF06"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lastRenderedPageBreak/>
              <w:t>Instituce zde uvedou ty částky úvěrů z řádku 21 této šablony, kterým je podle části třetí hlavy II kapitoly 2 přiřazena riziková váha rovná nebo nižší než 35 %.</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Hypoteční úvěry na obytné nemovitosti bez selhání, z toho:</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Čl. 428ad písm. c), čl. 428af písm. a) a čl. 428ag písm. c) CRR</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Instituce zde uvedou informace o výši peněžních částek splatných z úvěrů, které nejsou v selhání podle článku 178 CRR a představují úvěry zajištěné obytnými nemovitostmi, s výjimkou úvěrů poskytnutých finančním zákazníkům a úvěrů podle článků 428r až 428ad, kromě čl. 428ad písm. c) CRR, a to bez ohledu na rizikové váhy přiřazené těmto úvěrům.</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b/>
                <w:sz w:val="24"/>
                <w:lang w:val="cs-CZ"/>
              </w:rPr>
              <w:t xml:space="preserve">s rizikovou váhou ne větší než 35 % podle standardizovaného přístupu k úvěrovému riziku </w:t>
            </w:r>
            <w:proofErr w:type="spellStart"/>
            <w:r w:rsidRPr="00B33AFE">
              <w:rPr>
                <w:rFonts w:ascii="Times New Roman" w:hAnsi="Times New Roman"/>
                <w:b/>
                <w:sz w:val="24"/>
                <w:lang w:val="cs-CZ"/>
              </w:rPr>
              <w:t>Basel</w:t>
            </w:r>
            <w:proofErr w:type="spellEnd"/>
            <w:r w:rsidRPr="00B33AFE">
              <w:rPr>
                <w:rFonts w:ascii="Times New Roman" w:hAnsi="Times New Roman"/>
                <w:b/>
                <w:sz w:val="24"/>
                <w:lang w:val="cs-CZ"/>
              </w:rPr>
              <w:t xml:space="preserve"> II</w:t>
            </w:r>
          </w:p>
          <w:p w14:paraId="705B3481"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Čl. 428ad písm. c) a čl. 428af písm. a) CRR</w:t>
            </w:r>
          </w:p>
          <w:p w14:paraId="75FA19E4" w14:textId="77777777" w:rsidR="001E06A3" w:rsidRPr="00B33AFE" w:rsidRDefault="001E06A3" w:rsidP="001E06A3">
            <w:pPr>
              <w:spacing w:after="240"/>
              <w:jc w:val="both"/>
              <w:rPr>
                <w:rFonts w:ascii="Times New Roman" w:hAnsi="Times New Roman"/>
                <w:sz w:val="24"/>
                <w:lang w:val="cs-CZ"/>
              </w:rPr>
            </w:pPr>
            <w:r w:rsidRPr="00B33AFE">
              <w:rPr>
                <w:rFonts w:ascii="Times New Roman" w:hAnsi="Times New Roman"/>
                <w:sz w:val="24"/>
                <w:lang w:val="cs-CZ"/>
              </w:rPr>
              <w:t>Instituce zde uvedou ty částky úvěrů z řádku 22 této šablony, kterým je podle části třetí hlavy II kapitoly 2 přiřazena riziková váha rovná nebo nižší než 35 %.</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Ostatní úvěry a cenné papíry, které nejsou v selhání a nelze je klasifikovat jako vysoce kvalitní likvidní aktiva, včetně akcií obchodovaných na burze a produktů rozvahového financování obchodu</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uvádějí součet těchto položek:</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podle čl. 428ag písm. e) a f) cenné papíry, které nejsou v selhání podle článku 178 CRR a které nejsou likvidní aktiva podle nařízení Komise v přenesené pravomoci (EU) 2015/61, bez ohledu na to, zda splňují provozní požadavky tam stanovené, a</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produkty související s rozvahovým financováním obchodu podle čl. 428v písm. b), čl. 428ad písm. e) a čl. 428ag písm. d)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Vzájemně závislá aktiva</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Článek 428f a čl. 428r odst. 1 písm. f) CRR</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Instituce zde uvedou aktiva, která po schválení příslušným orgánem představují aktiva vzájemně závislá se závazky podle článku 428f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Ostatní aktiva:</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uvedou součet hodnot z řádků 27, 28, 29, 30 a 31 této šablony.</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Fyzicky obchodované komodity</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lastRenderedPageBreak/>
              <w:t>Čl. 428ag písm. g) CRR</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Zde instituce uvádějí hodnotu fyzicky obchodovaných komodit. Tato částka nezahrnuje komoditní deriváty.</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Aktiva složená jako počáteční marže pro derivátové smlouvy a příspěvky do fondu pro riziko selhání ústřední protistrany</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Zde instituce uvedou součet těchto částek:</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výše požadovaného stabilního financování na základě derivátových smluv podle článku 428d, čl. 428s odst. 2, čl. 428ag písm. a) a čl. 428ah odst. 2 CRR, které souvisí s počátečními maržemi pro derivátové smlouvy, a</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částky související s položkami složenými jako příspěvek do fondu pro riziko selhání ústřední protistrany podle čl. 428ag písm. b)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Derivátová aktiva NSFR</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Článek 428d a čl. 428ah odst. 2 CRR</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Zde instituce uvedou částku požadovaného stabilního financování na základě derivátových smluv podle článku 428d, čl. 428s odst. 2, čl. 428ag písm. a) a čl. 428ah odst. 2 CRR, která se vypočítá jako absolutní hodnota kladného rozdílu mezi skupinami transakcí se započtením vypočteného podle čl. 428ah odst. 2 CRR.</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Derivátové závazky NSFR před odečtením složené variační marže</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 428s odst. 2 CRR</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Zde instituce uvedou částku požadovaného stabilního financování na základě derivátových závazků podle článku 428d, čl. 428s odst. 2, čl. 428ag písm. a) a čl. 428ah odst. 2 CRR, která se vypočítá jako absolutní reálná hodnota skupin transakcí se započtením se zápornou reálnou hodnotou vypočtených v souladu s čl. 428s odst. 2 CRR.</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Všechna ostatní aktiva nezahrnutá do výše uvedených kategorií</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Zde instituce uvádějí součet těchto položek:</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pohledávky se zúčtováním v den realizace obchodu podle čl. 428r odst. 1 písm. e) CRR,</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nevýkonná aktiva podle čl. 428ah odst. 1 písm. b) CRR,</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rezervy u centrálních bank nepovažované za vysoce kvalitní likvidní aktiva a</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jiná aktiva neuvedená v předchozích vyjmenovaných položkách.</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Podrozvahové položky</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Zde instituce uvedou částku podrozvahových položek podléhajících požadavkům na požadované stabilní financování.</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Požadované stabilní financování (RSF) celkem</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Část šestá hlava IV kapitola 4 CRR</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Zde instituce uvedou celkovou hodnotu položek podléhajících požadavkům na požadované stabilní financování podle části šesté hlavy IV kapitoly 4 CRR (součet hodnot v řádcích 15, EU-15a, 16, 17, 25, 26 a 32 této šablony).</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Ukazatel čistého stabilního financování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NSFR vypočtený podle čl. 428b odst. 1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PŘÍLOHA XVI – Pokyny k zpřístupňování informací o cílech a zásadách v oblasti řízení rizik, o expozicích vůči úvěrovému riziku, riziku rozmělnění a o úvěrově kvalitě</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Příloha XV tohoto prováděcího nařízení obsahuje soubor šablon, které jsou použitelné na všechny instituce podléhající článku 442 CRR. Zahrnuje také některé dodatečné šablony vyžadované u velkých institucí s poměrem mezi hrubou účetní hodnotou úvěrů a jiných pohledávek podle článku 47a odst. 3 nařízení (EU) č. 575/2013 a celkovou hrubou účetní hodnotou úvěrů a pohledávek podle článku 47a odst. 1 nařízení (EU) č. 575/2013, který je roven nebo vyšší než 5 %. Pro účely tohoto poměru a šablon obsažených v příloze XV jsou úvěry a pohledávky klasifikované jako držené k prodeji, hotovost u centrálních bank a ostatní vklady na požádání vyloučeny ze jmenovatele i z čitatele poměrů, a z řádků pro úvěry a jiné pohledávky obsažených v šablonách. Informace o hotovosti u centrálních bank a ostatních vkladech na požádání jsou v některých šablonách zpřístupněny samostatně.</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Dodatečné šablony jsou nutné k tomu, aby uživatelům těchto informací poskytly dostatečně komplexní a srovnatelné informace k posouzení rizikových profilů institucí. Z tohoto důvodu instituce při čtení těchto pokynů zohlední kritéria proporcionality obsažená v článku 9 tohoto prováděcího nařízení.</w:t>
      </w:r>
    </w:p>
    <w:p w14:paraId="4F0F5F3B" w14:textId="615F3AE3"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Tabulka </w:t>
      </w:r>
      <w:r w:rsidR="00CC4769">
        <w:rPr>
          <w:rFonts w:ascii="Times New Roman" w:hAnsi="Times New Roman"/>
          <w:b/>
          <w:sz w:val="24"/>
        </w:rPr>
        <w:t xml:space="preserve">EU </w:t>
      </w:r>
      <w:r>
        <w:rPr>
          <w:rFonts w:ascii="Times New Roman" w:hAnsi="Times New Roman"/>
          <w:b/>
          <w:sz w:val="24"/>
        </w:rPr>
        <w:t>CRA: Obecné kvalitativní informace o úvěrovém riziku</w:t>
      </w:r>
    </w:p>
    <w:p w14:paraId="1BC548A8" w14:textId="7A647FB6"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 xml:space="preserve">Informace uvedené v čl. 435 odst. 1 písm. a), b), d) a f) </w:t>
      </w:r>
      <w:r>
        <w:rPr>
          <w:rFonts w:ascii="Times New Roman" w:hAnsi="Times New Roman"/>
          <w:sz w:val="24"/>
        </w:rPr>
        <w:t xml:space="preserve">nařízení </w:t>
      </w:r>
      <w:r>
        <w:rPr>
          <w:rFonts w:ascii="Times New Roman" w:hAnsi="Times New Roman"/>
          <w:color w:val="000000"/>
          <w:sz w:val="24"/>
        </w:rPr>
        <w:t>(EU) č. 575/2013</w:t>
      </w:r>
      <w:r w:rsidRPr="007F4CC8">
        <w:rPr>
          <w:rStyle w:val="FootnoteReference"/>
          <w:color w:val="000000"/>
        </w:rPr>
        <w:footnoteReference w:id="28"/>
      </w:r>
      <w:r>
        <w:rPr>
          <w:rFonts w:ascii="Times New Roman" w:hAnsi="Times New Roman"/>
          <w:color w:val="000000"/>
          <w:sz w:val="24"/>
        </w:rPr>
        <w:t xml:space="preserve"> (dále jen „CRR“) týkající se jejich cílů řízení rizik </w:t>
      </w:r>
      <w:r>
        <w:rPr>
          <w:rFonts w:ascii="Times New Roman" w:hAnsi="Times New Roman"/>
          <w:bCs/>
          <w:sz w:val="24"/>
        </w:rPr>
        <w:t xml:space="preserve">a zásad úvěrového rizika zpřístupňují instituce podle následujících pokynů k vyplnění tabulky </w:t>
      </w:r>
      <w:r w:rsidR="00CC4769">
        <w:rPr>
          <w:rFonts w:ascii="Times New Roman" w:hAnsi="Times New Roman"/>
          <w:bCs/>
          <w:sz w:val="24"/>
        </w:rPr>
        <w:t xml:space="preserve">EU </w:t>
      </w:r>
      <w:r>
        <w:rPr>
          <w:rFonts w:ascii="Times New Roman" w:hAnsi="Times New Roman"/>
          <w:bCs/>
          <w:sz w:val="24"/>
        </w:rPr>
        <w:t>CRA, obsažené v příloze 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08E28A42" w14:textId="77777777" w:rsidTr="00155C96">
        <w:trPr>
          <w:trHeight w:val="935"/>
        </w:trPr>
        <w:tc>
          <w:tcPr>
            <w:tcW w:w="1384" w:type="dxa"/>
          </w:tcPr>
          <w:p w14:paraId="56447D5F" w14:textId="0149D642"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Ve stručném prohlášení o riziku podle čl. 435 odst. 1 písm. f) CRR – jak se model podnikání promítá do prvků profilu úvěrového rizika instituce.</w:t>
            </w:r>
          </w:p>
        </w:tc>
      </w:tr>
      <w:tr w:rsidR="004E71F4" w:rsidRPr="007F4CC8" w14:paraId="1B71C28C" w14:textId="77777777" w:rsidTr="00155C96">
        <w:trPr>
          <w:trHeight w:val="1403"/>
        </w:trPr>
        <w:tc>
          <w:tcPr>
            <w:tcW w:w="1384" w:type="dxa"/>
          </w:tcPr>
          <w:p w14:paraId="75DEBC85" w14:textId="154B2DE7"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Při uvedení strategií a procesů řízení úvěrového rizika a zásad pro zajištění a snižování tohoto rizika podle čl. 435 odst. 1 písm. a) a d) CRR – kritéria a přístup použitý pro definování zásad řízení úvěrového rizika a stanovení limitů pro úvěrové riziko.</w:t>
            </w:r>
          </w:p>
        </w:tc>
      </w:tr>
      <w:tr w:rsidR="004E71F4" w:rsidRPr="007F4CC8" w14:paraId="178A46CE" w14:textId="77777777" w:rsidTr="00155C96">
        <w:trPr>
          <w:trHeight w:val="755"/>
        </w:trPr>
        <w:tc>
          <w:tcPr>
            <w:tcW w:w="1384" w:type="dxa"/>
          </w:tcPr>
          <w:p w14:paraId="7641331F" w14:textId="392CD6B4"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Při informování o struktuře a organizaci útvaru řízení rizik podle čl. 435 odst. 1 písm. b) CRR – strukturu a organizaci útvaru řízení úvěrových rizik a kontroly.</w:t>
            </w:r>
          </w:p>
        </w:tc>
      </w:tr>
      <w:tr w:rsidR="004E71F4" w:rsidRPr="007F4CC8" w14:paraId="31DFB78E" w14:textId="77777777" w:rsidTr="00155C96">
        <w:trPr>
          <w:trHeight w:val="755"/>
        </w:trPr>
        <w:tc>
          <w:tcPr>
            <w:tcW w:w="1384" w:type="dxa"/>
          </w:tcPr>
          <w:p w14:paraId="2ECB1239" w14:textId="2DF3E3E9"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Při informování o pravomoci, statutu a jiných opatřeních útvaru řízení rizik podle čl. 435 odst. 1 písm. b) CRR – vztah mezi útvary řízení úvěrového rizika, kontroly rizik, dodržování předpisů a interního auditu.</w:t>
            </w:r>
          </w:p>
        </w:tc>
      </w:tr>
    </w:tbl>
    <w:p w14:paraId="6E919D9F" w14:textId="0B537634" w:rsidR="004E71F4" w:rsidRPr="007F4CC8" w:rsidRDefault="004E71F4"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Tabulka </w:t>
      </w:r>
      <w:r w:rsidR="00CC4769">
        <w:rPr>
          <w:rFonts w:ascii="Times New Roman" w:hAnsi="Times New Roman"/>
          <w:b/>
          <w:sz w:val="24"/>
        </w:rPr>
        <w:t xml:space="preserve">EU </w:t>
      </w:r>
      <w:r>
        <w:rPr>
          <w:rFonts w:ascii="Times New Roman" w:hAnsi="Times New Roman"/>
          <w:b/>
          <w:sz w:val="24"/>
        </w:rPr>
        <w:t>CRB: Dodatečné zpřístupnění ohledně úvěrové kvality aktiv</w:t>
      </w:r>
    </w:p>
    <w:p w14:paraId="6358D133" w14:textId="2A38E759"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 xml:space="preserve">Informace uvedené v čl. 442 písm. a) a b) CRR zpřístupňují instituce podle následujících pokynů k vyplnění tabulky </w:t>
      </w:r>
      <w:r w:rsidR="00CC4769">
        <w:rPr>
          <w:rFonts w:ascii="Times New Roman" w:hAnsi="Times New Roman"/>
          <w:bCs/>
          <w:sz w:val="24"/>
        </w:rPr>
        <w:t xml:space="preserve">EU </w:t>
      </w:r>
      <w:r>
        <w:rPr>
          <w:rFonts w:ascii="Times New Roman" w:hAnsi="Times New Roman"/>
          <w:bCs/>
          <w:sz w:val="24"/>
        </w:rPr>
        <w:t>CRB, obsažené v příloze 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6C4B59" w:rsidRPr="007F4CC8" w14:paraId="4A0466B8" w14:textId="77777777" w:rsidTr="00155C96">
        <w:trPr>
          <w:trHeight w:val="710"/>
        </w:trPr>
        <w:tc>
          <w:tcPr>
            <w:tcW w:w="1384" w:type="dxa"/>
          </w:tcPr>
          <w:p w14:paraId="36B563D2" w14:textId="223CF3D1"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Rozsah a definice expozic „po splatnosti“ a „znehodnocených“ použitých pro účely účetnictví a případné rozdíly mezi definicemi pojmů „po splatnosti“ a „selhání“ pro účely účetnictví a pro regulatorní účely v souladu s článkem 178 CRR.</w:t>
            </w:r>
          </w:p>
        </w:tc>
      </w:tr>
      <w:tr w:rsidR="006C4B59" w:rsidRPr="007F4CC8" w14:paraId="193BE82D" w14:textId="77777777" w:rsidTr="00155C96">
        <w:trPr>
          <w:trHeight w:val="800"/>
        </w:trPr>
        <w:tc>
          <w:tcPr>
            <w:tcW w:w="1384" w:type="dxa"/>
          </w:tcPr>
          <w:p w14:paraId="25E58925" w14:textId="034E1227"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Rozsah expozic po splatnosti (více než 90 dní), které nejsou považovány za znehodnocené, a příslušné odůvodnění.</w:t>
            </w:r>
          </w:p>
        </w:tc>
      </w:tr>
      <w:tr w:rsidR="006C4B59" w:rsidRPr="007F4CC8" w14:paraId="3C7E51BE" w14:textId="77777777" w:rsidTr="00155C96">
        <w:trPr>
          <w:trHeight w:val="755"/>
        </w:trPr>
        <w:tc>
          <w:tcPr>
            <w:tcW w:w="1384" w:type="dxa"/>
          </w:tcPr>
          <w:p w14:paraId="2A46D04E" w14:textId="21C5C0B1"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Popis metod použitých k určení obecných a specifických úprav o úvěrové riziko.</w:t>
            </w:r>
          </w:p>
        </w:tc>
      </w:tr>
      <w:tr w:rsidR="006C4B59" w:rsidRPr="007F4CC8" w14:paraId="17D3C32C" w14:textId="77777777" w:rsidTr="00155C96">
        <w:trPr>
          <w:trHeight w:val="755"/>
        </w:trPr>
        <w:tc>
          <w:tcPr>
            <w:tcW w:w="1384" w:type="dxa"/>
          </w:tcPr>
          <w:p w14:paraId="5512B1A0" w14:textId="0881267F"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Vlastní definice instituce pro restrukturalizovanou expozici použitá k provedení čl. 178 odst. 3 písm. d) CRR v souladu s článkem 178 CRR, pokud se liší od definice expozic s opatřeními týkajícími se úlevy ve smyslu článku 47b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7872AFEF"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CR1: Výkonné a nevýkonné expozice a související rezerva</w:t>
      </w:r>
    </w:p>
    <w:p w14:paraId="2DEE3861" w14:textId="1395EAEC"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 xml:space="preserve">Informace podle čl. 442 písm. c) a e)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CR1, obsažené v příloze 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Hotovost u centrálních bank a ostatní vklady na požádání</w:t>
            </w:r>
          </w:p>
          <w:p w14:paraId="0BE345BE" w14:textId="56945842" w:rsidR="004E71F4" w:rsidRPr="007F4CC8" w:rsidRDefault="004E71F4" w:rsidP="00155C96">
            <w:pPr>
              <w:pStyle w:val="Applicationdirecte"/>
              <w:spacing w:before="0"/>
            </w:pPr>
            <w:r>
              <w:t>Tyto informace instituce zpřístupní v souladu s informacemi uvedenými v přílohách III a IV prováděcího nařízení Komise (EU) č. 680/2014</w:t>
            </w:r>
            <w:r w:rsidRPr="007F4CC8">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Úvěry a jiné pohledávky</w:t>
            </w:r>
          </w:p>
          <w:p w14:paraId="248CDA04" w14:textId="67C83D7F" w:rsidR="004E71F4" w:rsidRPr="007F4CC8" w:rsidRDefault="004E71F4" w:rsidP="00155C96">
            <w:pPr>
              <w:pStyle w:val="Applicationdirecte"/>
              <w:spacing w:before="0"/>
            </w:pPr>
            <w:r>
              <w:t>Úvěry a jiné pohledávky jsou dluhové nástroje, které jsou v držení dané instituce a které nejsou cennými papíry; tato položka zahrnuje „úvěry“ podle nařízení (EU) č. 1071/2013 (dále jen „nařízení ECB o BSI“)</w:t>
            </w:r>
            <w:r w:rsidRPr="007F4CC8">
              <w:rPr>
                <w:rStyle w:val="FootnoteReference"/>
              </w:rPr>
              <w:footnoteReference w:id="30"/>
            </w:r>
            <w:r>
              <w:t xml:space="preserve">, jakož i pohledávky, které nelze klasifikovat jako „úvěry“ v souladu s nařízením ECB o BSI ve smyslu přílohy V části první odst. 32 prováděcího nařízení Komise </w:t>
            </w:r>
            <w:r>
              <w:lastRenderedPageBreak/>
              <w:t>(EU) č. 680/2014, avšak s výjimkou úvěrů a pohledávek klasifikovaných jako držené k prodeji, hotovosti u centrálních bank a ostatních vkladů na požádání</w:t>
            </w:r>
            <w:r>
              <w:rPr>
                <w:sz w:val="22"/>
                <w:szCs w:val="22"/>
              </w:rPr>
              <w:t>.</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lastRenderedPageBreak/>
              <w:t>020–060, 080, 100–140, 160–210</w:t>
            </w:r>
          </w:p>
        </w:tc>
        <w:tc>
          <w:tcPr>
            <w:tcW w:w="7655" w:type="dxa"/>
          </w:tcPr>
          <w:p w14:paraId="0101F9B0" w14:textId="77777777" w:rsidR="004E71F4" w:rsidRPr="007F4CC8" w:rsidRDefault="004E71F4" w:rsidP="00155C96">
            <w:pPr>
              <w:pStyle w:val="Applicationdirecte"/>
              <w:spacing w:before="0"/>
              <w:rPr>
                <w:b/>
              </w:rPr>
            </w:pPr>
            <w:r>
              <w:rPr>
                <w:b/>
              </w:rPr>
              <w:t>Struktura podle protistrany</w:t>
            </w:r>
          </w:p>
          <w:p w14:paraId="43D478E7" w14:textId="306962B2" w:rsidR="004E71F4" w:rsidRPr="007F4CC8" w:rsidRDefault="004E71F4" w:rsidP="00155C96">
            <w:pPr>
              <w:pStyle w:val="Applicationdirecte"/>
              <w:spacing w:before="0"/>
            </w:pPr>
            <w:r>
              <w:t>Instituce použijí členění podle protistran ve smyslu přílohy V části první odst. 42 prováděcího nařízení Komise (EU) č. 680/2014.</w:t>
            </w:r>
          </w:p>
          <w:p w14:paraId="492F16F3" w14:textId="77777777" w:rsidR="004E71F4" w:rsidRPr="007F4CC8" w:rsidRDefault="004E71F4" w:rsidP="00155C96">
            <w:pPr>
              <w:pStyle w:val="Fait"/>
              <w:spacing w:before="0" w:after="120"/>
            </w:pPr>
            <w:r>
              <w:t>Zařazení protistrany do určitého odvětví se řídí výhradně povahou dotyčné protistrany. Klasifikace expozic nabytých společně více než jedním dlužníkem se provádí na základě vlastností toho dlužníka, který byl pro rozhodnutí dané instituce z hlediska poskytnutí této expozice významnějším nebo rozhodujícím. Kromě jiných klasifikací se i rozdělení společně nabytých expozic podle kategorie protistrany, země trvalého pobytu/sídla a kódu statistické klasifikace ekonomických činností v Evropské unii (NACE) řídí vlastnostmi významnějšího nebo rozhodujícího dlužníka.</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Ve smyslu přílohy V části první odst. 5 písm. i) prováděcího nařízení Komise (EU) č. 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Dluhové cenné papíry</w:t>
            </w:r>
          </w:p>
          <w:p w14:paraId="2836BAA1" w14:textId="07A773F6" w:rsidR="004E71F4" w:rsidRPr="007F4CC8" w:rsidRDefault="004E71F4" w:rsidP="00155C96">
            <w:pPr>
              <w:pStyle w:val="Applicationdirecte"/>
              <w:spacing w:before="0"/>
            </w:pPr>
            <w:r>
              <w:t>Dluhové cenné papíry jsou dluhové nástroje držené institucí a vydané jako cenné papíry, které nejsou úvěry podle nařízení ECB o BSI, ve smyslu přílohy V části první odst. 31 prováděcího nařízení Komise (EU) č. 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Podrozvahové expozice</w:t>
            </w:r>
          </w:p>
          <w:p w14:paraId="2847C284" w14:textId="77777777" w:rsidR="004E71F4" w:rsidRPr="007F4CC8" w:rsidRDefault="004E71F4" w:rsidP="00155C96">
            <w:pPr>
              <w:pStyle w:val="Applicationdirecte"/>
              <w:spacing w:before="0"/>
            </w:pPr>
            <w:r>
              <w:t>Podrozvahové expozice zahrnují podrozvahové položky vyjmenované v příloze I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Hrubá účetní hodnota / jmenovitá hodnota výkonných expozic</w:t>
            </w:r>
          </w:p>
          <w:p w14:paraId="216564CB" w14:textId="77777777" w:rsidR="004E71F4" w:rsidRPr="007F4CC8" w:rsidRDefault="004E71F4" w:rsidP="00155C96">
            <w:pPr>
              <w:pStyle w:val="Fait"/>
              <w:spacing w:before="0" w:after="120"/>
            </w:pPr>
            <w:r>
              <w:t xml:space="preserve">Hrubá účetní hodnota ve smyslu přílohy V části první odst. 34 prováděcího nařízení Komise (EU) č. 680/2014; jmenovitá </w:t>
            </w:r>
            <w:r>
              <w:rPr>
                <w:i/>
              </w:rPr>
              <w:t>hodnota ve smyslu přílohy V části druhé odst. 118 prováděcího nařízení Komise (EU) č.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a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z toho stupeň 1 / stupeň 2 / stupeň 3</w:t>
            </w:r>
          </w:p>
          <w:p w14:paraId="755E71F1" w14:textId="77777777" w:rsidR="004E71F4" w:rsidRPr="007F4CC8" w:rsidRDefault="004E71F4" w:rsidP="00155C96">
            <w:pPr>
              <w:pStyle w:val="Fait"/>
              <w:spacing w:before="0" w:after="120"/>
            </w:pPr>
            <w:r>
              <w:t xml:space="preserve">Pro instituce, které uplatňují IFRS, kategorie znehodnocení ve smyslu odstavce 5.5 IFRS 9. „Stupeň 1“ se vztahuje na znehodnocení oceněné v souladu s odstavcem 5.5.5 IFRS 9. „Stupeň 2“ se vztahuje na znehodnocení oceněné v souladu s odstavcem 5.5.3 IFRS 9. „Stupeň 3“ se vztahuje na </w:t>
            </w:r>
            <w:r>
              <w:lastRenderedPageBreak/>
              <w:t>znehodnocení úvěrově znehodnocených aktiv vymezených v dodatku A standardu IFRS 9.</w:t>
            </w:r>
          </w:p>
          <w:p w14:paraId="43461F5D" w14:textId="4614E890" w:rsidR="004E71F4" w:rsidRPr="007F4CC8" w:rsidRDefault="004E71F4" w:rsidP="006127E4">
            <w:pPr>
              <w:pStyle w:val="Fait"/>
              <w:spacing w:before="0" w:after="120"/>
              <w:rPr>
                <w:rFonts w:eastAsiaTheme="minorEastAsia"/>
              </w:rPr>
            </w:pPr>
            <w:r>
              <w:t>Sloupce „z toho stupeň 1“, „z toho stupeň 2“ a „z toho stupeň 3“ nevyplňují instituce, které uplatňují vnitrostátní obecně uznávané účetní zásady podle směrnice (EHS) 86/635</w:t>
            </w:r>
            <w:r w:rsidRPr="007F4CC8">
              <w:rPr>
                <w:rStyle w:val="FootnoteReference"/>
              </w:rPr>
              <w:footnoteReference w:id="31"/>
            </w:r>
            <w:r>
              <w:t xml:space="preserve"> o ročních účetních závěrkách a konsolidovaných účetních závěrkách bank a ostatních finančních institucí.</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lastRenderedPageBreak/>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Hrubá účetní hodnota / jmenovitá hodnota nevýkonných expozic</w:t>
            </w:r>
          </w:p>
          <w:p w14:paraId="2C430D1F" w14:textId="41560C77" w:rsidR="004E71F4" w:rsidRPr="007F4CC8" w:rsidRDefault="004E71F4" w:rsidP="00B33AFE">
            <w:pPr>
              <w:pStyle w:val="Fait"/>
              <w:spacing w:before="0" w:after="120"/>
              <w:rPr>
                <w:b/>
              </w:rPr>
            </w:pPr>
            <w:r>
              <w:t xml:space="preserve">Hrubá účetní hodnota ve smyslu přílohy V části první odst. 34 prováděcího nařízení Komise (EU) č. 680/2014; jmenovitá </w:t>
            </w:r>
            <w:r>
              <w:rPr>
                <w:i/>
              </w:rPr>
              <w:t>hodnota ve smyslu přílohy V části druhé odst. 118 prováděcího nařízení Komise (EU) č. 680/2014;</w:t>
            </w:r>
            <w:r>
              <w:t xml:space="preserve"> nevýkonné expozice ve smyslu článku 47a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Výkonné expozice – Kumulované ztráty ze znehodnocení a rezervy</w:t>
            </w:r>
          </w:p>
          <w:p w14:paraId="120B4159" w14:textId="77777777" w:rsidR="004E71F4" w:rsidRPr="007F4CC8" w:rsidRDefault="004E71F4" w:rsidP="00155C96">
            <w:pPr>
              <w:pStyle w:val="Fait"/>
              <w:spacing w:before="0" w:after="120"/>
            </w:pPr>
            <w:r>
              <w:t>Tato položka zahrnuje částky určené v souladu s přílohou V částí druhou odst. 11, 69 až 71, 106 a 110 prováděcího nařízení Komise (EU) č.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Nevýkonné expozice – Kumulované ztráty ze znehodnocení, kumulované negativní změny reálné hodnoty z titulu úvěrového rizika a rezerv</w:t>
            </w:r>
          </w:p>
          <w:p w14:paraId="09812FFD" w14:textId="77777777" w:rsidR="004E71F4" w:rsidRPr="007F4CC8" w:rsidRDefault="004E71F4" w:rsidP="00155C96">
            <w:pPr>
              <w:pStyle w:val="Fait"/>
              <w:spacing w:before="0" w:after="120"/>
            </w:pPr>
            <w:r>
              <w:t>Nevýkonné expozice ve smyslu článku 47a CRR</w:t>
            </w:r>
          </w:p>
          <w:p w14:paraId="3C1AAE83" w14:textId="77777777" w:rsidR="004E71F4" w:rsidRPr="007F4CC8" w:rsidRDefault="004E71F4" w:rsidP="00155C96">
            <w:pPr>
              <w:pStyle w:val="Fait"/>
              <w:spacing w:before="0" w:after="120"/>
              <w:rPr>
                <w:b/>
              </w:rPr>
            </w:pPr>
            <w:r>
              <w:t>Tato položka zahrnuje částky určené v souladu s přílohou V částí druhou odst. 11, 69 až 71, 106 a 110 prováděcího nařízení Komise (EU) č.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částečné odpisy</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Tato položka zahrnuje kumulovanou dílčí hodnotu k referenčnímu datu jistiny a narostlé úroky a poplatky po splatnosti u všech dluhových nástrojů, které byly k dnešnímu dni odúčtovány pomocí jedné z metod popsaných v příloze V části druhé odst. 74 prováděcího nařízení Komise (EU) č. 680/2014, které se zpřístupňují, neboť instituce oprávněně neočekává, že dané smluvní peněžní toky získá zpět. Tyto částky se zpřístupňují až do úplného zániku všech práv dané instituce podle data uplynutí stanovené promlčecí lhůty, prominutí či jiných příčin, nebo až do splacení. Proto v případě, že odepsané částky nebyly splaceny, zpřístupňují se, dokud probíhá vymáhání.</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Odpisy představují odúčtování a vztahují se k finančnímu aktivu jako celku nebo (v případě částečného odpisu) k jeho části, včetně případů, kdy změna aktiva vede instituci k tomu, aby se vzdala práva vybírat peněžní toky buď z části aktiva, nebo z celého aktiva.</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Kolaterál a finanční záruky přijaté k výkonným expozicím</w:t>
            </w:r>
          </w:p>
          <w:p w14:paraId="1151880A" w14:textId="77777777" w:rsidR="004E71F4" w:rsidRPr="007F4CC8" w:rsidRDefault="004E71F4" w:rsidP="00155C96">
            <w:pPr>
              <w:pStyle w:val="Fait"/>
              <w:spacing w:before="0" w:after="120"/>
            </w:pPr>
            <w:r>
              <w:t>Částky přijatého kolaterálu a přijatých záruk se vypočítají v souladu s přílohou V částí druhou odst. 239 prováděcího nařízení Komise (EU) č. 680/2014. Součet částek kolaterálu a záruk nepřesáhne účetní hodnotu související expozice.</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Kolaterál a finanční záruky přijaté k nevýkonným expozicím </w:t>
            </w:r>
          </w:p>
          <w:p w14:paraId="25BA6F5A" w14:textId="77777777" w:rsidR="004E71F4" w:rsidRPr="007F4CC8" w:rsidRDefault="004E71F4" w:rsidP="00155C96">
            <w:pPr>
              <w:pStyle w:val="Fait"/>
              <w:spacing w:before="0" w:after="120"/>
            </w:pPr>
            <w:r>
              <w:t>Nevýkonné expozice ve smyslu článku 47a CRR</w:t>
            </w:r>
          </w:p>
          <w:p w14:paraId="7C4E9AFF" w14:textId="77777777" w:rsidR="004E71F4" w:rsidRPr="007F4CC8" w:rsidRDefault="004E71F4" w:rsidP="00155C96">
            <w:pPr>
              <w:pStyle w:val="Fait"/>
              <w:spacing w:before="0" w:after="120"/>
              <w:rPr>
                <w:b/>
              </w:rPr>
            </w:pPr>
            <w:r>
              <w:t>Částky přijatého kolaterálu a přijatých záruk se vypočítají v souladu s přílohou V částí druhou odst. 239 prováděcího nařízení Komise (EU) č. 680/2014. Součet částek kolaterálu a záruk nepřesáhne účetní hodnotu související expozice.</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501F7725"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CR1-A: Splatnost expozic</w:t>
      </w:r>
    </w:p>
    <w:p w14:paraId="0A8280D6" w14:textId="3A6893C7"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sz w:val="24"/>
        </w:rPr>
        <w:t xml:space="preserve">Informace podle čl. 442 písm. g)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CR1-A, obsažené v příloze XV tohoto prováděcího nařízení</w:t>
      </w:r>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Úvěry a jiné pohledávky</w:t>
            </w:r>
          </w:p>
          <w:p w14:paraId="3B17EB9D" w14:textId="77777777" w:rsidR="004E71F4" w:rsidRPr="007F4CC8" w:rsidRDefault="004E71F4" w:rsidP="00155C96">
            <w:pPr>
              <w:pStyle w:val="Fait"/>
              <w:spacing w:before="0" w:after="120"/>
              <w:rPr>
                <w:b/>
              </w:rPr>
            </w:pPr>
            <w:r>
              <w:t>Úvěry a jiné pohledávky jsou dluhové nástroje, které jsou v držení dané instituce a které nejsou cennými papíry; tato položka zahrnuje „úvěry“ podle nařízení ECB o BSI, jakož i pohledávky, které nelze klasifikovat jako „úvěry“ v souladu s nařízením ECB o BSI ve smyslu přílohy V části první odst. 32 prováděcího nařízení Komise (EU) č. 680/2014, avšak s výjimkou úvěrů a pohledávek klasifikovaných jako držené k prodeji, hotovosti u centrálních bank a ostatních vkladů na požádání.</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Dluhové cenné papíry</w:t>
            </w:r>
          </w:p>
          <w:p w14:paraId="0D5D26AA" w14:textId="77777777" w:rsidR="004E71F4" w:rsidRPr="007F4CC8" w:rsidRDefault="004E71F4" w:rsidP="00155C96">
            <w:pPr>
              <w:pStyle w:val="Fait"/>
              <w:spacing w:before="0" w:after="120"/>
              <w:rPr>
                <w:b/>
              </w:rPr>
            </w:pPr>
            <w:r>
              <w:t>Dluhové cenné papíry jsou dluhové nástroje držené institucí a vydané jako cenné papíry, které nejsou úvěry podle nařízení ECB o BSI, ve smyslu přílohy V části první odst. 31 prováděcího nařízení Komise (EU) č.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Celkem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až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Hodnota čistých expozic </w:t>
            </w:r>
          </w:p>
          <w:p w14:paraId="0117F2D1" w14:textId="77777777" w:rsidR="004E71F4" w:rsidRPr="007F4CC8" w:rsidRDefault="004E71F4" w:rsidP="00155C96">
            <w:pPr>
              <w:pStyle w:val="Fait"/>
              <w:spacing w:before="0" w:after="120"/>
            </w:pPr>
            <w:r>
              <w:t>Čisté hodnoty se uvedou podle zbytkových smluvních splatností.</w:t>
            </w:r>
          </w:p>
          <w:p w14:paraId="0ECAE4C4" w14:textId="77777777" w:rsidR="004E71F4" w:rsidRPr="007F4CC8" w:rsidRDefault="004E71F4" w:rsidP="00155C96">
            <w:pPr>
              <w:pStyle w:val="Fait"/>
              <w:spacing w:before="0" w:after="120"/>
            </w:pPr>
            <w:r>
              <w:t xml:space="preserve">Čistá hodnota expozice: U rozvahových položek je čistou hodnotou hrubá účetní hodnota expozice snížená o opravné položky / znehodnocení. U </w:t>
            </w:r>
            <w:r>
              <w:lastRenderedPageBreak/>
              <w:t xml:space="preserve">podrozvahových položek je čistou hodnotou hrubá účetní hodnota expozice snížená o rezervy. </w:t>
            </w:r>
          </w:p>
          <w:p w14:paraId="18B6E675" w14:textId="77777777" w:rsidR="004E71F4" w:rsidRPr="007F4CC8" w:rsidRDefault="004E71F4" w:rsidP="00155C96">
            <w:pPr>
              <w:pStyle w:val="Fait"/>
              <w:spacing w:before="0" w:after="120"/>
            </w:pPr>
            <w:r>
              <w:t>Expozice: V souladu s článkem 5 CRR se expozicí rozumí aktivum nebo podrozvahová položka, na jejímž základě vzniká expozice úvěrového rizika podle CRR.</w:t>
            </w:r>
          </w:p>
          <w:p w14:paraId="3BB3DEC6" w14:textId="77777777" w:rsidR="004E71F4" w:rsidRPr="007F4CC8" w:rsidRDefault="004E71F4" w:rsidP="00155C96">
            <w:pPr>
              <w:pStyle w:val="Fait"/>
              <w:spacing w:before="0" w:after="120"/>
            </w:pPr>
            <w:r>
              <w:t>Hrubé účetní hodnoty: Účetní hodnota před opravnými položkami / znehodnocením, ale po zohlednění odpisů. Při uplatňování části třetí hlavy II kapitoly 4 CRR instituce nezohlední žádnou techniku snižování úvěrového rizika. Podrozvahové položky se uvedou ve jmenovité hodnotě bez zohlednění případného úvěrového konverzního faktoru použitelného podle článků 111 a 166 CRR nebo technik snižování úvěrového rizika a bez veškerých rezerv, zejména a) poskytnutých záruk (maximální částka, kterou by instituce musela zaplatit, kdyby byla záruka uplatněna) a b) úvěrových a jiných příslibů (celková částka, kterou instituce přislíbila půjčit).</w:t>
            </w:r>
          </w:p>
          <w:p w14:paraId="7E761FF7" w14:textId="77777777" w:rsidR="004E71F4" w:rsidRPr="007F4CC8" w:rsidRDefault="004E71F4" w:rsidP="00155C96">
            <w:pPr>
              <w:pStyle w:val="Fait"/>
              <w:spacing w:before="0" w:after="120"/>
            </w:pPr>
            <w:r>
              <w:t>U tohoto zveřejnění platí, že:</w:t>
            </w:r>
          </w:p>
          <w:p w14:paraId="14B53A93" w14:textId="305F32D3" w:rsidR="004E71F4" w:rsidRPr="007F4CC8" w:rsidRDefault="004E71F4" w:rsidP="00155C96">
            <w:pPr>
              <w:pStyle w:val="Fait"/>
              <w:spacing w:before="0" w:after="120"/>
            </w:pPr>
            <w:r>
              <w:t xml:space="preserve"> – Pokud má protistrana možnost volby, kdy bude částka splacena, částka se zařadí do sloupce „na požádání“. Tento sloupec uvádí zůstatky splatné na požádání (výzvu), s krátkou lhůtou, běžné účty a obdobné zůstatky (což může zahrnovat úvěry, které jsou jednodenními vklady pro vypůjčovatele, bez ohledu na jejich právní formu). Zahrnuje také „přečerpání“ ve smyslu debetních zůstatků na běžných účtech</w:t>
            </w:r>
            <w:r w:rsidR="00B33AFE">
              <w:t>,</w:t>
            </w:r>
          </w:p>
          <w:p w14:paraId="0794C5FD" w14:textId="6894064D" w:rsidR="004E71F4" w:rsidRPr="007F4CC8" w:rsidRDefault="004E71F4" w:rsidP="00155C96">
            <w:pPr>
              <w:pStyle w:val="Fait"/>
              <w:spacing w:before="0" w:after="120"/>
            </w:pPr>
            <w:r>
              <w:t xml:space="preserve"> – Pokud expozice nemá uvedenou splatnost z jiných důvodů, než je možnost protistrany zvolit si datum splacení, uvádí se hodnota této expozice ve sloupci „bez uvedené splatnosti“</w:t>
            </w:r>
            <w:r w:rsidR="00B33AFE">
              <w:t>,</w:t>
            </w:r>
          </w:p>
          <w:p w14:paraId="717C314E" w14:textId="77777777" w:rsidR="004E71F4" w:rsidRPr="007F4CC8" w:rsidRDefault="004E71F4" w:rsidP="00155C96">
            <w:pPr>
              <w:pStyle w:val="Fait"/>
              <w:spacing w:before="0" w:after="120"/>
              <w:rPr>
                <w:rFonts w:eastAsiaTheme="minorEastAsia"/>
                <w:i/>
              </w:rPr>
            </w:pPr>
            <w:r>
              <w:t xml:space="preserve"> – Je-li částka splácena ve splátkách, zařadí se expozice do koše splatnosti odpovídajícího poslední splátce.</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lastRenderedPageBreak/>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Celkem</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8EC3BD4"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CR2: Změny objemu nevýkonných úvěrů a pohledávek</w:t>
      </w:r>
    </w:p>
    <w:p w14:paraId="2E036D32" w14:textId="4B4436B8"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sz w:val="24"/>
        </w:rPr>
        <w:t xml:space="preserve">Informace podle čl. 442 písm. f)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CR2, obsažené v příloze XV tohoto prováděcího nařízení</w:t>
      </w:r>
      <w:r>
        <w:rPr>
          <w:rFonts w:ascii="Times New Roman" w:hAnsi="Times New Roman"/>
          <w:bCs/>
          <w:sz w:val="24"/>
        </w:rPr>
        <w:t>. V komentáři připojeném k šablonám instituce vysvětlí veškeré podstatné rozdíly mezi hodnotami nevýkonných položek uvedenými v každém řádku a hodnotami odpovídajícími použití definice pojmu „v selhání“ podle článku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Počáteční objem nevýkonných úvěrů a pohledávek</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stavu nevýkonných úvěrů a pohledávek ke konci posledního účetního období</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Přítok do nevýkonných portfolií</w:t>
            </w:r>
          </w:p>
          <w:p w14:paraId="1A775B10" w14:textId="64D0436C" w:rsidR="004E71F4" w:rsidRPr="007F4CC8" w:rsidRDefault="004E71F4" w:rsidP="00B33AF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Hrubá účetní hodnota úvěrů a jiných pohledávek, které získaly status nevýkonných během období (od konce posledního účetního období)</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Odtok z nevýkonných portfolií</w:t>
            </w:r>
          </w:p>
          <w:p w14:paraId="76D22C1F" w14:textId="4E095F6F" w:rsidR="004E71F4" w:rsidRPr="007F4CC8" w:rsidRDefault="004E71F4" w:rsidP="00B33AFE">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úvěrů a jiných pohledávek, které ztratily status nevýkonných</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odpisů </w:t>
            </w:r>
          </w:p>
          <w:p w14:paraId="0E4163E1" w14:textId="11D2A926"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Úplné nebo částečné odpisy celkových úvěrů a pohledávek zaznamenané během referenčního období</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Odpis (úplný nebo částečný) znamená odúčtování. Hrubá účetní hodnota úvěrů a jiných pohledávek se proto snižuje o částku odpisů. Do této kategorie má být dále zahrnuto prominutí dluhu v rámci opatření týkajících se úlev, tj. odpisy, u nichž byla zrušena dlužná částka nesplacená vypůjčovatelem (instituce ztrácí právo na její právní vymáhání).</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jiných důvodů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Do tohoto řádku se zahrnou veškerá další snížení účetní hodnoty úvěrů a pohledávek jiná než odpisy. Tyto úpravy mohou například zahrnovat odtok z důvodu: i) splacení úvěru, částečného nebo úplného; </w:t>
            </w:r>
            <w:proofErr w:type="spellStart"/>
            <w:r>
              <w:rPr>
                <w:rFonts w:ascii="Times New Roman" w:hAnsi="Times New Roman"/>
                <w:sz w:val="24"/>
              </w:rPr>
              <w:t>ii</w:t>
            </w:r>
            <w:proofErr w:type="spellEnd"/>
            <w:r>
              <w:rPr>
                <w:rFonts w:ascii="Times New Roman" w:hAnsi="Times New Roman"/>
                <w:sz w:val="24"/>
              </w:rPr>
              <w:t xml:space="preserve">) likvidace kolaterálu; </w:t>
            </w:r>
            <w:proofErr w:type="spellStart"/>
            <w:r>
              <w:rPr>
                <w:rFonts w:ascii="Times New Roman" w:hAnsi="Times New Roman"/>
                <w:sz w:val="24"/>
              </w:rPr>
              <w:t>iii</w:t>
            </w:r>
            <w:proofErr w:type="spellEnd"/>
            <w:r>
              <w:rPr>
                <w:rFonts w:ascii="Times New Roman" w:hAnsi="Times New Roman"/>
                <w:sz w:val="24"/>
              </w:rPr>
              <w:t xml:space="preserve">) převzetí kolaterálu; </w:t>
            </w:r>
            <w:proofErr w:type="spellStart"/>
            <w:r>
              <w:rPr>
                <w:rFonts w:ascii="Times New Roman" w:hAnsi="Times New Roman"/>
                <w:sz w:val="24"/>
              </w:rPr>
              <w:t>iv</w:t>
            </w:r>
            <w:proofErr w:type="spellEnd"/>
            <w:r>
              <w:rPr>
                <w:rFonts w:ascii="Times New Roman" w:hAnsi="Times New Roman"/>
                <w:sz w:val="24"/>
              </w:rPr>
              <w:t xml:space="preserve">) prodeje nástrojů; v) převodů rizik; </w:t>
            </w:r>
            <w:proofErr w:type="spellStart"/>
            <w:r>
              <w:rPr>
                <w:rFonts w:ascii="Times New Roman" w:hAnsi="Times New Roman"/>
                <w:sz w:val="24"/>
              </w:rPr>
              <w:t>vi</w:t>
            </w:r>
            <w:proofErr w:type="spellEnd"/>
            <w:r>
              <w:rPr>
                <w:rFonts w:ascii="Times New Roman" w:hAnsi="Times New Roman"/>
                <w:sz w:val="24"/>
              </w:rPr>
              <w:t xml:space="preserve">) devizových změn; </w:t>
            </w:r>
            <w:proofErr w:type="spellStart"/>
            <w:r>
              <w:rPr>
                <w:rFonts w:ascii="Times New Roman" w:hAnsi="Times New Roman"/>
                <w:sz w:val="24"/>
              </w:rPr>
              <w:t>vii</w:t>
            </w:r>
            <w:proofErr w:type="spellEnd"/>
            <w:r>
              <w:rPr>
                <w:rFonts w:ascii="Times New Roman" w:hAnsi="Times New Roman"/>
                <w:sz w:val="24"/>
              </w:rPr>
              <w:t xml:space="preserve">) jiných uzavření; </w:t>
            </w:r>
            <w:proofErr w:type="spellStart"/>
            <w:r>
              <w:rPr>
                <w:rFonts w:ascii="Times New Roman" w:hAnsi="Times New Roman"/>
                <w:sz w:val="24"/>
              </w:rPr>
              <w:t>viii</w:t>
            </w:r>
            <w:proofErr w:type="spellEnd"/>
            <w:r>
              <w:rPr>
                <w:rFonts w:ascii="Times New Roman" w:hAnsi="Times New Roman"/>
                <w:sz w:val="24"/>
              </w:rPr>
              <w:t xml:space="preserve">) </w:t>
            </w:r>
            <w:proofErr w:type="spellStart"/>
            <w:r>
              <w:rPr>
                <w:rFonts w:ascii="Times New Roman" w:hAnsi="Times New Roman"/>
                <w:sz w:val="24"/>
              </w:rPr>
              <w:t>reklasifikací</w:t>
            </w:r>
            <w:proofErr w:type="spellEnd"/>
            <w:r>
              <w:rPr>
                <w:rFonts w:ascii="Times New Roman" w:hAnsi="Times New Roman"/>
                <w:sz w:val="24"/>
              </w:rPr>
              <w:t xml:space="preserve"> mezi třídami aktiv atd. Úpravy mohou také zahrnovat odtok z důvodu </w:t>
            </w:r>
            <w:proofErr w:type="spellStart"/>
            <w:r>
              <w:rPr>
                <w:rFonts w:ascii="Times New Roman" w:hAnsi="Times New Roman"/>
                <w:sz w:val="24"/>
              </w:rPr>
              <w:t>reklasifikace</w:t>
            </w:r>
            <w:proofErr w:type="spellEnd"/>
            <w:r>
              <w:rPr>
                <w:rFonts w:ascii="Times New Roman" w:hAnsi="Times New Roman"/>
                <w:sz w:val="24"/>
              </w:rPr>
              <w:t xml:space="preserve"> na držené k prodeji.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Je-li hodnota u této kategorie významná, jsou instituce žádány o poskytnutí doplňujících informací v komentáři připojeném k této šabloně.</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Konečný objem nevýkonných úvěrů a pohledávek</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stavu nevýkonných úvěrů a pohledávek k referenčnímu datu zpřístupňování informací.</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Vysvětlení</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Hrubá účetní hodnota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Hrubá účetní hodnota ve smyslu přílohy V části první odst. 34 prováděcího nařízení Komise (EU) č.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7E811ACA"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CR2a: Změny objemu nevýkonných úvěrů a pohledávek a související čisté kumulované zpětně získané částky</w:t>
      </w:r>
    </w:p>
    <w:p w14:paraId="046F988F" w14:textId="5CB6F7C2"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 xml:space="preserve">Informace podle čl. 442 písm. c) a f)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CR2a, obsažené v příloze XV tohoto prováděcího nařízení</w:t>
      </w:r>
      <w:r>
        <w:rPr>
          <w:rFonts w:ascii="Times New Roman" w:hAnsi="Times New Roman"/>
          <w:bCs/>
          <w:sz w:val="24"/>
        </w:rPr>
        <w:t>. V komentáři připojeném k šablonám instituce vysvětlí veškeré podstatné rozdíly mezi hodnotami nevýkonných položek uvedenými v každém řádku a hodnotami odpovídajícími použití definice pojmu „v selhání“ podle článku 178 CRR, zejména pokud jde o řádky 010, 030, 100 a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Odkazy na právní předpisy a pokyny</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Počáteční objem nevýkonných úvěrů a pohledávek</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stavu nevýkonných úvěrů a pohledávek ke konci posledního účetního období</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Přítok do nevýkonných portfolií</w:t>
            </w:r>
          </w:p>
          <w:p w14:paraId="2F21CFAF" w14:textId="5A7CFB62" w:rsidR="004E71F4" w:rsidRPr="007F4CC8" w:rsidRDefault="004E71F4" w:rsidP="00B33AFE">
            <w:pPr>
              <w:autoSpaceDE w:val="0"/>
              <w:autoSpaceDN w:val="0"/>
              <w:adjustRightInd w:val="0"/>
              <w:spacing w:after="120"/>
              <w:jc w:val="both"/>
              <w:rPr>
                <w:rFonts w:ascii="Times New Roman" w:hAnsi="Times New Roman" w:cs="Times New Roman"/>
                <w:sz w:val="24"/>
              </w:rPr>
            </w:pPr>
            <w:r>
              <w:rPr>
                <w:rFonts w:ascii="Times New Roman" w:hAnsi="Times New Roman"/>
                <w:sz w:val="24"/>
              </w:rPr>
              <w:t>Hrubá účetní hodnota úvěrů a jiných pohledávek, které získaly status nevýkonných během období (od konce posledního účetního období)</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Odtok z nevýkonných portfolií</w:t>
            </w:r>
          </w:p>
          <w:p w14:paraId="6CEA25F4" w14:textId="426C5064" w:rsidR="004E71F4" w:rsidRPr="007F4CC8" w:rsidRDefault="004E71F4" w:rsidP="00B33AFE">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úvěrů a jiných pohledávek, které ztratily status nevýkonných</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Odtok do výkonného portfolia</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úvěrů a jiných pohledávek, které během období ztratily status nevýkonných a staly se výkonnými (od konce posledního účetního období)</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Odtok z důvodu částečného nebo úplného splacení úvěru</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Snížení hrubé účetní hodnoty nevýkonných úvěrů a jiných pohledávek z důvodu hotovostních plateb, konkrétně pravidelných plateb kapitálu a případných splátek </w:t>
            </w:r>
            <w:r>
              <w:rPr>
                <w:rFonts w:ascii="Times New Roman" w:hAnsi="Times New Roman"/>
                <w:i/>
                <w:sz w:val="24"/>
              </w:rPr>
              <w:t>ad hoc</w:t>
            </w:r>
            <w:r>
              <w:rPr>
                <w:rFonts w:ascii="Times New Roman" w:hAnsi="Times New Roman"/>
                <w:sz w:val="24"/>
              </w:rPr>
              <w:t xml:space="preserve"> během období (od konce posledního účetního období)</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likvidace kolaterálu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tomto řádku se zpřístupňuje účinek likvidace jakéhokoli druhu kolaterálu na hrubou účetní hodnotu nástroje. Do tohoto řádku se rovněž zahrnují odtoky z důvodu jiných likvidačních nebo právních postupů a dobrovolného prodeje majetku. Pro vyloučení pochyb upozorňujeme, že se zpřístupňuje hrubá účetní hodnota nástroje, včetně případných souvisejících částečných odpisů. Upozorňujeme také, že odtok se nemusí rovnat součtu čistých kumulovaných výtěžků a částečných odpisů.</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sloupec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Související čisté kumulované zpětně získané částky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tomto řádku se uvedou vymožené peněžní částky nebo peněžní ekvivalenty inkasované z důvodu likvidace kolaterálu (po odečtení příslušných nákladů na likvidaci kolaterálu).</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převzetí kolaterálu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V tomto řádku se zpřístupňuje účinek realizace jakéhokoli druhu kolaterálu na hrubou účetní hodnotu nástroje. Převzetí znamená nabytí nehotovostního kolaterálu, jehož vlastnictví přešlo na instituci nebo dceřiný podnik skupiny a který dosud nebyl prodán třetí straně. Do této kategorie se zahrnují i swapy dluh-aktiva, dobrovolná předání a swapy dluh-kapitál. Pro vyloučení pochyb upozorňujeme, že se zpřístupňuje hrubá účetní hodnota nástroje včetně </w:t>
            </w:r>
            <w:r>
              <w:rPr>
                <w:rFonts w:ascii="Times New Roman" w:hAnsi="Times New Roman"/>
                <w:sz w:val="24"/>
              </w:rPr>
              <w:lastRenderedPageBreak/>
              <w:t>případných souvisejících částečných odpisů. Upozorňujeme také, že odtok se nemusí rovnat součtu čistých kumulovaných výtěžků a částečných odpisů.</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sloupec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Související čisté kumulované zpětně získané částky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tomto řádku se uvede prvotní zaúčtování reálné hodnoty kolaterálu v okamžiku převzetí v rozvaze instituce. Vymožené peněžní částky nebo peněžní ekvivalenty inkasované v rámci převzetí kolaterálu bez nákladů se neuvádějí v tomto řádku, ale v řádku Odtok z důvodu splacení úvěru, částečného nebo úplného.</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prodeje nástrojů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Změny celkového zůstatku vyplývající z úvěrů a jiných pohledávek prodaných jiným institucím, s výjimkou transakcí uvnitř skupiny.</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Pro vyloučení pochyb vezmou instituce na vědomí, že se zpřístupňuje hrubá účetní hodnota prodaných úvěrů a jiných pohledávek (včetně případných souvisejících částečných odpisů), nikoli jejich ocenění nebo cena během transakce. Instituce také vezmou na vědomí, že odtok se nemusí rovnat součtu čistých kumulovaných výtěžků a částečných odpisů.</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sloupec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Související čisté kumulované zpětně získané částky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tomto řádku se uvedou vymožené peněžní částky nebo peněžní ekvivalenty inkasované v rámci prodeje úvěrů a jiných pohledávek, bez nákladů prodeje.</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převodů rizik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Hrubé snížení počtu nevýkonných úvěrů a jiných pohledávek z důvodu sekuritizace nebo jiných převodů rizik odůvodňujících odúčtování z rozvahy.</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Instituce vezmou na vědomí, že odtok se nemusí rovnat součtu čistých kumulovaných výtěžků a částečných odpisů.</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sloupec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Související čisté kumulované zpětně získané částky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tomto řádku se uvedou vymožené peněžní částky nebo peněžní ekvivalenty inkasované v rámci převodu významných rizik.</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odpisů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Úplné nebo částečné odpisy celkových úvěrů a pohledávek zaznamenané během referenčního období.</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Odpis (úplný nebo částečný) znamená odúčtování. Hrubá účetní hodnota úvěrů a jiných pohledávek se proto snižuje o částku odpisů. Pro vyloučení pochyb upozorňujeme, že tento řádek odráží změny hrubé účetní hodnoty úvěrů a jiných pohledávek a neuvádějí se zde případné částečné odpisy, které již byly uvedeny v předchozích řádcích (např. související prodej úvěrů a jiných pohledávek, likvidace kolaterálu, převzetí kolaterálu nebo převod významných rizik). Do této kategorie má být dále zahrnuto prominutí dluhu v rámci opatření týkajících se úlev, tj. odpisy, u nichž byla zrušena dlužná částka nesplacená vypůjčovatelem (instituce ztrácí právo na její právní vymáhání).</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jiných důvodů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 xml:space="preserve">Do tohoto řádku se zahrnou veškerá další snížení účetní hodnoty úvěrů a jiných pohledávek, která nejsou obsažena ve výše uvedených případech. Tyto úpravy mohou zahrnovat například devizové změny, jiná uzavření, </w:t>
            </w:r>
            <w:proofErr w:type="spellStart"/>
            <w:r>
              <w:rPr>
                <w:rFonts w:ascii="Times New Roman" w:hAnsi="Times New Roman"/>
                <w:sz w:val="24"/>
              </w:rPr>
              <w:t>reklasifikace</w:t>
            </w:r>
            <w:proofErr w:type="spellEnd"/>
            <w:r>
              <w:rPr>
                <w:rFonts w:ascii="Times New Roman" w:hAnsi="Times New Roman"/>
                <w:sz w:val="24"/>
              </w:rPr>
              <w:t xml:space="preserve"> mezi třídami aktiv atd. Je-li hodnota u této kategorie významná, jsou instituce žádány o poskytnutí doplňujících informací v textu připojeném k této šabloně.</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Odtok z důvodu </w:t>
            </w:r>
            <w:proofErr w:type="spellStart"/>
            <w:r>
              <w:rPr>
                <w:rFonts w:ascii="Times New Roman" w:hAnsi="Times New Roman"/>
                <w:b/>
                <w:sz w:val="24"/>
              </w:rPr>
              <w:t>reklasifikace</w:t>
            </w:r>
            <w:proofErr w:type="spellEnd"/>
            <w:r>
              <w:rPr>
                <w:rFonts w:ascii="Times New Roman" w:hAnsi="Times New Roman"/>
                <w:b/>
                <w:sz w:val="24"/>
              </w:rPr>
              <w:t xml:space="preserve"> na držené k prodeji </w:t>
            </w:r>
          </w:p>
          <w:p w14:paraId="118AD68E" w14:textId="46A4D989" w:rsidR="004E71F4" w:rsidRPr="007F4CC8" w:rsidRDefault="004E71F4" w:rsidP="00B33AF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Snížení účetní hodnoty nevýkonných úvěrů a jiných pohledávek z důvodu jejich </w:t>
            </w:r>
            <w:proofErr w:type="spellStart"/>
            <w:r>
              <w:rPr>
                <w:rFonts w:ascii="Times New Roman" w:hAnsi="Times New Roman"/>
                <w:sz w:val="24"/>
              </w:rPr>
              <w:t>reklasifikace</w:t>
            </w:r>
            <w:proofErr w:type="spellEnd"/>
            <w:r>
              <w:rPr>
                <w:rFonts w:ascii="Times New Roman" w:hAnsi="Times New Roman"/>
                <w:sz w:val="24"/>
              </w:rPr>
              <w:t xml:space="preserve"> na držené k prodeji</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Konečný objem nevýkonných úvěrů a pohledávek</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Hrubá účetní hodnota stavu nevýkonných úvěrů a pohledávek k referenčnímu datu zpřístupňování informací</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Hrubá účetní hodnota </w:t>
            </w:r>
          </w:p>
          <w:p w14:paraId="06829554" w14:textId="2DE03F82" w:rsidR="004E71F4" w:rsidRPr="007F4CC8" w:rsidRDefault="004E71F4" w:rsidP="00155C96">
            <w:pPr>
              <w:autoSpaceDE w:val="0"/>
              <w:autoSpaceDN w:val="0"/>
              <w:adjustRightInd w:val="0"/>
              <w:spacing w:after="120"/>
            </w:pPr>
            <w:r>
              <w:rPr>
                <w:rFonts w:ascii="Times New Roman" w:hAnsi="Times New Roman"/>
                <w:sz w:val="24"/>
              </w:rPr>
              <w:t>Hrubá účetní hodnota ve smyslu přílohy V části první odst. 34 prováděcího n</w:t>
            </w:r>
            <w:r w:rsidR="00B33AFE">
              <w:rPr>
                <w:rFonts w:ascii="Times New Roman" w:hAnsi="Times New Roman"/>
                <w:sz w:val="24"/>
              </w:rPr>
              <w:t>ařízení Komise (EU) č.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Související čisté kumulované zpětně získané částky</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Viz definice řádků v této šabloně.</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42F21568"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CQ1: Úvěrová kvalita expozic s úlevou</w:t>
      </w:r>
    </w:p>
    <w:p w14:paraId="32139503" w14:textId="16DEC30B"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sz w:val="24"/>
        </w:rPr>
        <w:t xml:space="preserve">Informace podle čl. 442 písm. c)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CQ1, obsažené v příloze XV tohoto prováděcího nařízení</w:t>
      </w:r>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Hotovost u centrálních bank a ostatní vklady na požádání</w:t>
            </w:r>
          </w:p>
          <w:p w14:paraId="74D7D3EC" w14:textId="77777777" w:rsidR="004E71F4" w:rsidRPr="007F4CC8" w:rsidRDefault="004E71F4" w:rsidP="00155C96">
            <w:pPr>
              <w:pStyle w:val="Applicationdirecte"/>
              <w:spacing w:before="0"/>
            </w:pPr>
            <w:r>
              <w:t>Tyto informace instituce zpřístupní v souladu s informacemi uvedenými v přílohách III a IV prováděcího nařízení Komise (EU) č.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Úvěry a jiné pohledávky</w:t>
            </w:r>
          </w:p>
          <w:p w14:paraId="707B1F64" w14:textId="5A98412C" w:rsidR="004E71F4" w:rsidRPr="007F4CC8" w:rsidRDefault="004E71F4" w:rsidP="00155C96">
            <w:pPr>
              <w:pStyle w:val="Applicationdirecte"/>
              <w:spacing w:before="0"/>
            </w:pPr>
            <w:r>
              <w:t xml:space="preserve">Viz definice v šabloně </w:t>
            </w:r>
            <w:r w:rsidR="00CC4769">
              <w:t xml:space="preserve">EU </w:t>
            </w:r>
            <w:r>
              <w:t>CR1: Výkonné a nevýkonné expozice a související rezerva</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lastRenderedPageBreak/>
              <w:t>020–070</w:t>
            </w:r>
          </w:p>
        </w:tc>
        <w:tc>
          <w:tcPr>
            <w:tcW w:w="7655" w:type="dxa"/>
          </w:tcPr>
          <w:p w14:paraId="08490743" w14:textId="77777777" w:rsidR="004E71F4" w:rsidRPr="007F4CC8" w:rsidRDefault="004E71F4" w:rsidP="00155C96">
            <w:pPr>
              <w:pStyle w:val="Applicationdirecte"/>
              <w:spacing w:before="0"/>
              <w:rPr>
                <w:b/>
              </w:rPr>
            </w:pPr>
            <w:r>
              <w:rPr>
                <w:b/>
              </w:rPr>
              <w:t>Struktura podle protistrany</w:t>
            </w:r>
          </w:p>
          <w:p w14:paraId="74A846B7" w14:textId="77777777" w:rsidR="004E71F4" w:rsidRPr="007F4CC8" w:rsidRDefault="004E71F4" w:rsidP="00155C96">
            <w:pPr>
              <w:pStyle w:val="Applicationdirecte"/>
              <w:spacing w:before="0"/>
            </w:pPr>
            <w:r>
              <w:t>Instituce použijí členění podle protistran ve smyslu přílohy V části první odst. 42 prováděcího nařízení Komise (EU) č. 680/2014.</w:t>
            </w:r>
          </w:p>
          <w:p w14:paraId="76ADCF37" w14:textId="77777777" w:rsidR="004E71F4" w:rsidRPr="007F4CC8" w:rsidRDefault="004E71F4" w:rsidP="00155C96">
            <w:pPr>
              <w:pStyle w:val="Fait"/>
              <w:spacing w:before="0" w:after="120"/>
            </w:pPr>
            <w:r>
              <w:t>Zařazení protistrany do určitého odvětví se řídí výhradně povahou dotyčné protistrany. Klasifikace expozic nabytých společně více než jedním dlužníkem se provádí na základě vlastností toho dlužníka, který byl pro rozhodnutí dané instituce z hlediska poskytnutí této expozice významnějším nebo rozhodujícím. Kromě jiných klasifikací se i rozdělení společně nabytých expozic podle kategorie protistrany, země trvalého pobytu/sídla a kódu statistické klasifikace ekonomických činností v Evropské unii (NACE) řídí vlastnostmi významnějšího nebo rozhodujícího dlužníka.</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Dluhové cenné papíry</w:t>
            </w:r>
          </w:p>
          <w:p w14:paraId="0B5E936A" w14:textId="251C75F3" w:rsidR="004E71F4" w:rsidRPr="007F4CC8" w:rsidRDefault="004E71F4" w:rsidP="00155C96">
            <w:pPr>
              <w:pStyle w:val="Applicationdirecte"/>
              <w:spacing w:before="0"/>
            </w:pPr>
            <w:r>
              <w:t xml:space="preserve">Viz definice v šabloně </w:t>
            </w:r>
            <w:r w:rsidR="00CC4769">
              <w:t xml:space="preserve">EU </w:t>
            </w:r>
            <w:r>
              <w:t>CR1: Výkonné a nevýkonné expozice a související rezerva</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Poskytnuté úvěrové přísliby</w:t>
            </w:r>
          </w:p>
          <w:p w14:paraId="7B6AB76A" w14:textId="77777777" w:rsidR="004E71F4" w:rsidRPr="007F4CC8" w:rsidRDefault="004E71F4" w:rsidP="00155C96">
            <w:pPr>
              <w:pStyle w:val="Fait"/>
              <w:spacing w:before="0" w:after="120"/>
            </w:pPr>
            <w:r>
              <w:t>U poskytnutých úvěrových příslibů se zpřístupní jmenovitá hodnota ve smyslu přílohy V části druhé odst. 118 prováděcího nařízení Komise (EU) č. 680/2014.</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Hrubá účetní hodnota / jmenovitá hodnota expozic s opatřeními týkajícími se úlevy – z toho výkonné s úlevou</w:t>
            </w:r>
          </w:p>
          <w:p w14:paraId="13725C9F" w14:textId="77777777" w:rsidR="004E71F4" w:rsidRPr="007F4CC8" w:rsidRDefault="004E71F4" w:rsidP="00155C96">
            <w:pPr>
              <w:pStyle w:val="Institutionquisigne"/>
              <w:spacing w:before="0" w:after="120"/>
            </w:pPr>
            <w:r>
              <w:rPr>
                <w:i w:val="0"/>
              </w:rPr>
              <w:t>Hrubá účetní hodnota ve smyslu přílohy V části první odst. 34 prováděcího nařízení Komise (EU) č. 680/2014; jmenovitá hodnota ve smyslu přílohy V části druhé odst. 118 prováděcího nařízení Komise (EU) č. 680/2014; expozice s opatřeními týkajícími se úlevy ve smyslu článku 47b CRR.</w:t>
            </w:r>
          </w:p>
          <w:p w14:paraId="25580945" w14:textId="77777777" w:rsidR="004E71F4" w:rsidRPr="007F4CC8" w:rsidRDefault="004E71F4" w:rsidP="00155C96">
            <w:pPr>
              <w:pStyle w:val="Fait"/>
              <w:spacing w:before="0" w:after="120"/>
            </w:pPr>
            <w:r>
              <w:t>Hrubá účetní hodnota týkající se expozic podléhajících znehodnocení se uvádí po odečtení kumulovaných částečných a celkových odpisů.</w:t>
            </w:r>
          </w:p>
          <w:p w14:paraId="3D6856D0" w14:textId="77777777" w:rsidR="004E71F4" w:rsidRPr="007F4CC8" w:rsidRDefault="004E71F4" w:rsidP="00155C96">
            <w:pPr>
              <w:pStyle w:val="Institutionquisigne"/>
              <w:spacing w:before="0" w:after="120"/>
              <w:rPr>
                <w:rFonts w:eastAsiaTheme="minorEastAsia"/>
                <w:i w:val="0"/>
              </w:rPr>
            </w:pPr>
            <w:r>
              <w:rPr>
                <w:i w:val="0"/>
              </w:rPr>
              <w:t>V závislosti na tom, zda expozice s úlevou splňují požadované podmínky stanovené v článku 47a CRR, je lze identifikovat jako výkonné nebo nevýkonné.</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Hrubá účetní hodnota / jmenovitá hodnota expozic s opatřeními týkajícími se úlevy – z toho nevýkonné s úlevou</w:t>
            </w:r>
          </w:p>
          <w:p w14:paraId="7C4FC6F8" w14:textId="77777777" w:rsidR="004E71F4" w:rsidRPr="007F4CC8" w:rsidRDefault="004E71F4" w:rsidP="00155C96">
            <w:pPr>
              <w:pStyle w:val="Institutionquisigne"/>
              <w:spacing w:before="0" w:after="120"/>
              <w:rPr>
                <w:i w:val="0"/>
              </w:rPr>
            </w:pPr>
            <w:r>
              <w:rPr>
                <w:i w:val="0"/>
              </w:rPr>
              <w:t>Hrubá účetní hodnota ve smyslu přílohy V části první odst. 34 prováděcího nařízení Komise (EU) č. 680/2014; jmenovitá hodnota ve smyslu přílohy V části druhé odst. 118 prováděcího nařízení Komise (EU) č. 680/2014</w:t>
            </w:r>
          </w:p>
          <w:p w14:paraId="1B91069E" w14:textId="77777777" w:rsidR="004E71F4" w:rsidRPr="007F4CC8" w:rsidRDefault="004E71F4" w:rsidP="00155C96">
            <w:pPr>
              <w:pStyle w:val="Fait"/>
              <w:spacing w:before="0" w:after="120"/>
            </w:pPr>
            <w:r>
              <w:t>Hrubá účetní hodnota týkající se expozic podléhajících znehodnocení se uvádí po odečtení kumulovaných částečných a celkových odpisů.</w:t>
            </w:r>
          </w:p>
          <w:p w14:paraId="25B78BE1" w14:textId="77777777" w:rsidR="004E71F4" w:rsidRPr="007F4CC8" w:rsidRDefault="004E71F4" w:rsidP="00155C96">
            <w:pPr>
              <w:pStyle w:val="Fait"/>
              <w:spacing w:before="0" w:after="120"/>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a) expozice, jež se v důsledku uplatnění opatření týkajících se úlevy staly nevýkonnými; b) expozice, jež byly před uplatněním opatření týkajících se úlevy nevýkonné; c) 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podle článku 47a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Z toho v selhání</w:t>
            </w:r>
          </w:p>
          <w:p w14:paraId="088A6CD1" w14:textId="77777777" w:rsidR="004E71F4" w:rsidRPr="007F4CC8" w:rsidRDefault="004E71F4" w:rsidP="00155C96">
            <w:pPr>
              <w:pStyle w:val="Fait"/>
              <w:spacing w:before="0" w:after="120"/>
              <w:rPr>
                <w:rFonts w:eastAsiaTheme="minorEastAsia"/>
              </w:rPr>
            </w:pPr>
            <w:r>
              <w:t>Expozice s úlevou, které jsou rovněž klasifikovány jako v selhání v souladu s článkem 178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Z toho znehodnocené</w:t>
            </w:r>
          </w:p>
          <w:p w14:paraId="0464B764" w14:textId="77777777" w:rsidR="004E71F4" w:rsidRPr="007F4CC8" w:rsidRDefault="004E71F4" w:rsidP="00155C96">
            <w:pPr>
              <w:pStyle w:val="Fait"/>
              <w:spacing w:before="0" w:after="120"/>
              <w:rPr>
                <w:rFonts w:eastAsiaTheme="minorEastAsia"/>
              </w:rPr>
            </w:pPr>
            <w:r>
              <w:t>Expozice s úlevou, které jsou rovněž znehodnocené v souladu s platným účetním rámcem podle přílohy V části druhé odst. 215 prováděcího nařízení Komise (EU) č.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ztráty ze znehodnocení, kumulované negativní změny reálné hodnoty z titulu úvěrového rizika a rezervy na výkonné expozice s úlevou</w:t>
            </w:r>
          </w:p>
          <w:p w14:paraId="0BC0E204" w14:textId="514727B8" w:rsidR="004E71F4" w:rsidRPr="007F4CC8" w:rsidRDefault="004E71F4" w:rsidP="00155C96">
            <w:pPr>
              <w:pStyle w:val="Fait"/>
              <w:spacing w:before="0" w:after="120"/>
            </w:pPr>
            <w:r>
              <w:t xml:space="preserve">Expozice s opatřeními týkajícími se úlevy ve smyslu článku 47b CRR </w:t>
            </w:r>
          </w:p>
          <w:p w14:paraId="01AB5B78" w14:textId="77777777" w:rsidR="004E71F4" w:rsidRPr="007F4CC8" w:rsidRDefault="004E71F4" w:rsidP="00155C96">
            <w:pPr>
              <w:pStyle w:val="Fait"/>
              <w:spacing w:before="0" w:after="120"/>
            </w:pPr>
            <w:r>
              <w:t>Instituce zahrnou částky určené v souladu s přílohou V částí druhou odst. 11, 69 až 71, 106 a 110 prováděcího nařízení Komise (EU) č. 680/2014.</w:t>
            </w:r>
          </w:p>
          <w:p w14:paraId="25E0BDEC" w14:textId="77777777" w:rsidR="004E71F4" w:rsidRPr="007F4CC8" w:rsidRDefault="004E71F4" w:rsidP="00155C96">
            <w:pPr>
              <w:pStyle w:val="Fait"/>
              <w:spacing w:before="0" w:after="120"/>
              <w:rPr>
                <w:rFonts w:eastAsiaTheme="minorEastAsia"/>
              </w:rPr>
            </w:pPr>
            <w:r>
              <w:t>V závislosti na tom, zda expozice s úlevou splňují požadované podmínky stanovené v článcích 47a a 47b CRR, je lze identifikovat jako výkonné nebo nevýkonné.</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ztráty ze znehodnocení, kumulované negativní změny reálné hodnoty z titulu úvěrového rizika a rezervy na nevýkonné expozice s úlevou</w:t>
            </w:r>
          </w:p>
          <w:p w14:paraId="25B80717" w14:textId="77777777" w:rsidR="004E71F4" w:rsidRPr="007F4CC8" w:rsidRDefault="004E71F4" w:rsidP="00155C96">
            <w:pPr>
              <w:pStyle w:val="Fait"/>
              <w:spacing w:before="0" w:after="120"/>
            </w:pPr>
            <w:r>
              <w:t>Tato položka zahrnuje částky určené v souladu s přílohou V částí druhou odst. 11, 69 až 71, 106 a 110 prováděcího nařízení Komise (EU) č. 680/2014.</w:t>
            </w:r>
          </w:p>
          <w:p w14:paraId="1FF4CC1B" w14:textId="77777777" w:rsidR="004E71F4" w:rsidRPr="007F4CC8" w:rsidRDefault="004E71F4" w:rsidP="00155C96">
            <w:pPr>
              <w:pStyle w:val="Fait"/>
              <w:spacing w:before="0" w:after="120"/>
              <w:rPr>
                <w:rFonts w:eastAsiaTheme="minorEastAsia"/>
              </w:rPr>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a) expozice, jež se v důsledku uplatnění opatření týkajících se úlevy staly nevýkonnými; b) expozice, jež byly před uplatněním opatření týkajících se úlevy nevýkonné; c) expozice s </w:t>
            </w:r>
            <w:r>
              <w:lastRenderedPageBreak/>
              <w:t xml:space="preserve">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podle článku 47a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lastRenderedPageBreak/>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Přijatý kolaterál a přijaté finanční záruky k expozicím s úlevou</w:t>
            </w:r>
          </w:p>
          <w:p w14:paraId="141099E9" w14:textId="77777777" w:rsidR="004E71F4" w:rsidRPr="007F4CC8" w:rsidRDefault="004E71F4" w:rsidP="00155C96">
            <w:pPr>
              <w:pStyle w:val="Fait"/>
              <w:spacing w:before="0" w:after="120"/>
              <w:rPr>
                <w:rFonts w:eastAsiaTheme="minorEastAsia"/>
              </w:rPr>
            </w:pPr>
            <w:r>
              <w:t>Zpřístupňují se za všechny expozice s opatřeními týkajícími se úlevy bez ohledu na jejich výkonný nebo nevýkonný status. Částky přijatého kolaterálu a přijatých záruk se vypočítají v souladu s přílohou V částí druhou odst. 239 prováděcího nařízení Komise (EU) č. 680/2014. Součet částek kolaterálu a záruk nepřesáhne účetní hodnotu související expozice.</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Z toho kolaterál a finanční záruky přijaté k nevýkonným expozicím s opatřeními týkajícími se úlevy</w:t>
            </w:r>
          </w:p>
          <w:p w14:paraId="654570CA" w14:textId="77777777" w:rsidR="004E71F4" w:rsidRPr="007F4CC8" w:rsidRDefault="004E71F4" w:rsidP="00155C96">
            <w:pPr>
              <w:pStyle w:val="Fait"/>
              <w:spacing w:before="0" w:after="120"/>
            </w:pPr>
            <w:r>
              <w:t>Částky pro přijatý kolaterál a přijaté záruky se vypočítají v souladu s přílohou V částí druhou odst. 239 prováděcího nařízení Komise (EU) č. 680/2014. Součet částek kolaterálu a záruk nepřesáhne účetní hodnotu související expozice.</w:t>
            </w:r>
          </w:p>
          <w:p w14:paraId="3404E1BB" w14:textId="77777777" w:rsidR="004E71F4" w:rsidRPr="007F4CC8" w:rsidRDefault="004E71F4" w:rsidP="00155C96">
            <w:pPr>
              <w:pStyle w:val="Fait"/>
              <w:spacing w:before="0" w:after="120"/>
              <w:rPr>
                <w:rFonts w:eastAsiaTheme="minorEastAsia"/>
              </w:rPr>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a) expozice, jež se v důsledku uplatnění opatření týkajících se úlevy staly nevýkonnými; b) expozice, jež byly před uplatněním opatření týkajících se úlevy nevýkonné; c) 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podle článku 47a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793EA673"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CQ2: Kvalita úlev</w:t>
      </w:r>
    </w:p>
    <w:p w14:paraId="48713760" w14:textId="4330547E"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sz w:val="24"/>
        </w:rPr>
        <w:t xml:space="preserve">Informace uvedené v čl. 442 písm. c)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CQ2, obsažené v příloze XV tohoto prováděcího nařízení</w:t>
      </w:r>
      <w:r>
        <w:rPr>
          <w:rFonts w:ascii="Times New Roman" w:hAnsi="Times New Roman"/>
          <w:bCs/>
          <w:sz w:val="24"/>
        </w:rPr>
        <w:t>.</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Úvěry a jiné pohledávky, na něž byla uplatněna úleva více než dvakrát</w:t>
            </w:r>
          </w:p>
          <w:p w14:paraId="6246E853" w14:textId="77777777" w:rsidR="004E71F4" w:rsidRPr="007F4CC8" w:rsidRDefault="004E71F4" w:rsidP="00155C96">
            <w:pPr>
              <w:pStyle w:val="Fait"/>
              <w:spacing w:before="0" w:after="120"/>
            </w:pPr>
            <w:r>
              <w:t>Hrubá účetní hodnota úvěrů a jiných pohledávek, kterým byla v minulosti a více než dvakrát poskytnuta opatření týkající se úlevy</w:t>
            </w:r>
          </w:p>
          <w:p w14:paraId="554BA266" w14:textId="77777777" w:rsidR="004E71F4" w:rsidRPr="007F4CC8" w:rsidRDefault="004E71F4" w:rsidP="00155C96">
            <w:pPr>
              <w:pStyle w:val="Fait"/>
              <w:spacing w:before="0" w:after="120"/>
            </w:pPr>
            <w:r>
              <w:t>Jsou zde uvedeny i úvěry a jiné pohledávky, na které byla poskytnuta opatření týkající se úlevy a byly vyřazeny z kategorie s úlevou (tj. vyléčené úvěry a jiné pohledávky s úlevou), pokud je poskytnuto nové opatření týkající se úlevy.</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Nevýkonné úvěry a pohledávky s úlevou, které nesplnily kritéria pro výstup z kategorie nevýkonných</w:t>
            </w:r>
          </w:p>
          <w:p w14:paraId="651BEEE0" w14:textId="5642B886" w:rsidR="004E71F4" w:rsidRPr="007F4CC8" w:rsidRDefault="004E71F4" w:rsidP="00155C96">
            <w:pPr>
              <w:pStyle w:val="Fait"/>
              <w:spacing w:before="0" w:after="120"/>
              <w:rPr>
                <w:b/>
              </w:rPr>
            </w:pPr>
            <w:r>
              <w:t xml:space="preserve">Hrubá účetní hodnota nevýkonných úvěrů a jiných pohledávek s úlevami, které jsou zařazeny v kategorii nevýkonných úvěrů a jiných pohledávek s </w:t>
            </w:r>
            <w:r>
              <w:lastRenderedPageBreak/>
              <w:t>úlevami s roční lhůtou pro nápravu a nesplnily opatření týkající se úlevy po dvanáctiměsíční lhůtě pro nápravu, a tudíž se jim nepodařilo přejít ke statusu výkonných s úlevami, ale nadále mají ve lhůtě pro nápravu status nevýkonných s</w:t>
            </w:r>
            <w:r w:rsidR="00C44E30">
              <w:t> </w:t>
            </w:r>
            <w:r>
              <w:t>úlevami</w:t>
            </w:r>
            <w:r w:rsidR="00C44E30">
              <w:t>.</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Hrubá účetní hodnota expozic s úlevou</w:t>
            </w:r>
          </w:p>
          <w:p w14:paraId="64A87F8A" w14:textId="77777777" w:rsidR="004E71F4" w:rsidRPr="007F4CC8" w:rsidRDefault="004E71F4" w:rsidP="00155C96">
            <w:pPr>
              <w:pStyle w:val="Institutionquisigne"/>
              <w:spacing w:before="0" w:after="120"/>
              <w:rPr>
                <w:i w:val="0"/>
              </w:rPr>
            </w:pPr>
            <w:r>
              <w:rPr>
                <w:i w:val="0"/>
              </w:rPr>
              <w:t>Hrubá účetní hodnota ve smyslu přílohy V části první odst. 34 prováděcího nařízení Komise (EU) č. 680/2014; expozice s opatřeními týkajícími se úlevy ve smyslu článku 47b CRR.</w:t>
            </w:r>
          </w:p>
          <w:p w14:paraId="2F31ADDC" w14:textId="77777777" w:rsidR="004E71F4" w:rsidRPr="007F4CC8" w:rsidRDefault="004E71F4" w:rsidP="00155C96">
            <w:pPr>
              <w:pStyle w:val="Institutionquisigne"/>
              <w:spacing w:before="0" w:after="120"/>
            </w:pPr>
            <w:r>
              <w:rPr>
                <w:i w:val="0"/>
              </w:rPr>
              <w:t>V závislosti na tom, zda expozice s úlevou splňují požadované podmínky stanovené v článku 47a nebo 47b CRR, je lze identifikovat jako výkonné nebo nevýkonné.</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00BA8DE"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CQ3: Úvěrová kvalita výkonných a nevýkonných expozic podle počtu dnů po splatnosti</w:t>
      </w:r>
    </w:p>
    <w:p w14:paraId="5634BDBD" w14:textId="2BEABD7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Informace uvedené v čl. 442 písm. d)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CQ3, obsažené v příloze XV tohoto prováděcího nařízení</w:t>
      </w:r>
      <w:r>
        <w:rPr>
          <w:rFonts w:ascii="Times New Roman" w:hAnsi="Times New Roman"/>
          <w:bCs/>
          <w:sz w:val="24"/>
        </w:rPr>
        <w:t>.</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Hotovost u centrálních bank a ostatní vklady na požádání</w:t>
            </w:r>
          </w:p>
          <w:p w14:paraId="50BED74F" w14:textId="77777777" w:rsidR="004E71F4" w:rsidRPr="007F4CC8" w:rsidRDefault="004E71F4" w:rsidP="00155C96">
            <w:pPr>
              <w:pStyle w:val="Applicationdirecte"/>
              <w:spacing w:before="0"/>
            </w:pPr>
            <w:r>
              <w:t>Tyto informace instituce zpřístupní v souladu s informacemi uvedenými v přílohách III a IV prováděcího nařízení Komise (EU) č.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Úvěry a jiné pohledávky</w:t>
            </w:r>
          </w:p>
          <w:p w14:paraId="4B205592" w14:textId="0A6FE23E" w:rsidR="004E71F4" w:rsidRPr="007F4CC8" w:rsidRDefault="004E71F4" w:rsidP="00155C96">
            <w:pPr>
              <w:pStyle w:val="Applicationdirecte"/>
              <w:spacing w:before="0"/>
            </w:pPr>
            <w:r>
              <w:t xml:space="preserve">Viz definice v šabloně </w:t>
            </w:r>
            <w:r w:rsidR="00CC4769">
              <w:t xml:space="preserve">EU </w:t>
            </w:r>
            <w:r>
              <w:t>CR1: Výkonné a nevýkonné expozice a související rezerva</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lastRenderedPageBreak/>
              <w:t>020–060, 080, 100–140, 160–210</w:t>
            </w:r>
          </w:p>
        </w:tc>
        <w:tc>
          <w:tcPr>
            <w:tcW w:w="7655" w:type="dxa"/>
          </w:tcPr>
          <w:p w14:paraId="7D10F9AE" w14:textId="77777777" w:rsidR="004E71F4" w:rsidRPr="007F4CC8" w:rsidRDefault="004E71F4" w:rsidP="00155C96">
            <w:pPr>
              <w:pStyle w:val="Applicationdirecte"/>
              <w:spacing w:before="0"/>
              <w:rPr>
                <w:b/>
              </w:rPr>
            </w:pPr>
            <w:r>
              <w:rPr>
                <w:b/>
              </w:rPr>
              <w:t>Struktura podle protistrany</w:t>
            </w:r>
          </w:p>
          <w:p w14:paraId="0F47965A" w14:textId="77777777" w:rsidR="004E71F4" w:rsidRPr="007F4CC8" w:rsidRDefault="004E71F4" w:rsidP="00155C96">
            <w:pPr>
              <w:pStyle w:val="Applicationdirecte"/>
              <w:spacing w:before="0"/>
            </w:pPr>
            <w:r>
              <w:t>Instituce použijí členění podle protistran ve smyslu přílohy V části první odst. 42 prováděcího nařízení Komise (EU) č. 680/2014.</w:t>
            </w:r>
          </w:p>
          <w:p w14:paraId="485FC433" w14:textId="77777777" w:rsidR="004E71F4" w:rsidRPr="007F4CC8" w:rsidRDefault="004E71F4" w:rsidP="00155C96">
            <w:pPr>
              <w:pStyle w:val="Fait"/>
              <w:spacing w:before="0" w:after="120"/>
            </w:pPr>
            <w:r>
              <w:t>Zařazení protistrany do určitého odvětví se řídí výhradně povahou dotyčné protistrany. Klasifikace expozic nabytých společně více než jedním dlužníkem se provádí na základě vlastností toho dlužníka, který byl pro rozhodnutí dané instituce z hlediska poskytnutí této expozice významnějším nebo rozhodujícím. Kromě jiných klasifikací se i rozdělení společně nabytých expozic podle kategorie protistrany, země trvalého pobytu/sídla a kódu statistické klasifikace ekonomických činností v Evropské unii (NACE) řídí vlastnostmi významnějšího nebo rozhodujícího dlužníka.</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4DBC8B1B" w14:textId="0F6E0422" w:rsidR="004E71F4" w:rsidRPr="007F4CC8" w:rsidRDefault="004E71F4" w:rsidP="00C44E30">
            <w:pPr>
              <w:autoSpaceDE w:val="0"/>
              <w:autoSpaceDN w:val="0"/>
              <w:adjustRightInd w:val="0"/>
              <w:spacing w:after="120"/>
              <w:jc w:val="both"/>
              <w:rPr>
                <w:rFonts w:ascii="Times New Roman" w:hAnsi="Times New Roman" w:cs="Times New Roman"/>
                <w:b/>
                <w:sz w:val="24"/>
              </w:rPr>
            </w:pPr>
            <w:r>
              <w:rPr>
                <w:rFonts w:ascii="Times New Roman" w:hAnsi="Times New Roman"/>
                <w:sz w:val="24"/>
              </w:rPr>
              <w:t>Ve smyslu přílohy V části první odst. 5 písm. i) prováděcího nařízení Komise (EU) č.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Dluhové cenné papíry</w:t>
            </w:r>
          </w:p>
          <w:p w14:paraId="092856A9" w14:textId="1E753B19" w:rsidR="004E71F4" w:rsidRPr="007F4CC8" w:rsidRDefault="004E71F4" w:rsidP="00155C96">
            <w:pPr>
              <w:pStyle w:val="Applicationdirecte"/>
              <w:spacing w:before="0"/>
            </w:pPr>
            <w:r>
              <w:t xml:space="preserve">Viz definice v šabloně </w:t>
            </w:r>
            <w:r w:rsidR="00CC4769">
              <w:t xml:space="preserve">EU </w:t>
            </w:r>
            <w:r>
              <w:t>CR1: Výkonné a nevýkonné expozice a související rezerva</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Podrozvahové expozice</w:t>
            </w:r>
          </w:p>
          <w:p w14:paraId="3C8CA495" w14:textId="6CFE2186" w:rsidR="004E71F4" w:rsidRPr="007F4CC8" w:rsidRDefault="004E71F4" w:rsidP="00155C96">
            <w:pPr>
              <w:pStyle w:val="Applicationdirecte"/>
              <w:spacing w:before="0"/>
            </w:pPr>
            <w:r>
              <w:t xml:space="preserve">Viz definice v šabloně </w:t>
            </w:r>
            <w:r w:rsidR="00CC4769">
              <w:t xml:space="preserve">EU </w:t>
            </w:r>
            <w:r>
              <w:t>CR1: Výkonné a nevýkonné expozice a související rezerva</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Hrubá účetní hodnota / jmenovitá hodnota výkonných expozic </w:t>
            </w:r>
          </w:p>
          <w:p w14:paraId="70B79014" w14:textId="46706E7B" w:rsidR="004E71F4" w:rsidRPr="007F4CC8" w:rsidRDefault="004E71F4" w:rsidP="00C44E30">
            <w:pPr>
              <w:pStyle w:val="Fait"/>
              <w:spacing w:before="0" w:after="120"/>
            </w:pPr>
            <w:r>
              <w:t>Hrubá účetní hodnota ve smyslu přílohy V části první odst. 34 prováděcího nařízení Komise (EU) č. 680/2014; jmenovitá hodnota ve smyslu přílohy V části druhé odst. 118 prováděcího nařízení Komise (EU) č.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Z toho: Před splatností nebo po splatnosti ≤ 30 dnů</w:t>
            </w:r>
          </w:p>
          <w:p w14:paraId="2748EF98" w14:textId="77777777" w:rsidR="004E71F4" w:rsidRPr="007F4CC8" w:rsidRDefault="004E71F4" w:rsidP="00155C96">
            <w:pPr>
              <w:pStyle w:val="Fait"/>
              <w:spacing w:before="0" w:after="120"/>
              <w:rPr>
                <w:rFonts w:eastAsiaTheme="minorEastAsia"/>
              </w:rPr>
            </w:pPr>
            <w:r>
              <w:t>Podkategorie výkonných expozic, které nejsou po splatnosti nebo jsou 1–30 dnů po splatnosti</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Z toho: Po splatnosti &gt; 30 dnů ≤ 90 dnů</w:t>
            </w:r>
          </w:p>
          <w:p w14:paraId="1521ABA3" w14:textId="77777777" w:rsidR="004E71F4" w:rsidRPr="007F4CC8" w:rsidRDefault="004E71F4" w:rsidP="00155C96">
            <w:pPr>
              <w:pStyle w:val="Fait"/>
              <w:spacing w:before="0" w:after="120"/>
            </w:pPr>
            <w:r>
              <w:t>Podkategorie výkonných expozic, které jsou 31–90 dnů po splatnosti</w:t>
            </w:r>
          </w:p>
          <w:p w14:paraId="47C24F0D" w14:textId="77777777" w:rsidR="004E71F4" w:rsidRPr="007F4CC8" w:rsidRDefault="004E71F4" w:rsidP="00155C96">
            <w:pPr>
              <w:pStyle w:val="Fait"/>
              <w:spacing w:before="0" w:after="120"/>
              <w:rPr>
                <w:rFonts w:eastAsiaTheme="minorEastAsia"/>
              </w:rPr>
            </w:pPr>
            <w:r>
              <w:t>Kromě toho se do této podkategorie zahrnují expozice, které jsou více než 90 dnů po splatnosti, ale nejsou podstatné.</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lastRenderedPageBreak/>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Hrubá účetní hodnota / jmenovitá hodnota nevýkonných expozic</w:t>
            </w:r>
          </w:p>
          <w:p w14:paraId="12F6FBD9" w14:textId="77777777" w:rsidR="004E71F4" w:rsidRPr="007F4CC8" w:rsidRDefault="004E71F4" w:rsidP="00155C96">
            <w:pPr>
              <w:pStyle w:val="Fait"/>
              <w:spacing w:before="0" w:after="120"/>
              <w:rPr>
                <w:b/>
              </w:rPr>
            </w:pPr>
            <w:r>
              <w:t xml:space="preserve">Hrubá účetní hodnota ve smyslu přílohy V části první odst. 34 prováděcího nařízení Komise (EU) č. 680/2014; jmenovitá </w:t>
            </w:r>
            <w:r>
              <w:rPr>
                <w:i/>
              </w:rPr>
              <w:t>hodnota ve smyslu přílohy V části druhé odst. 118 prováděcího nařízení Komise (EU) č. 680/2014;</w:t>
            </w:r>
            <w:r>
              <w:t xml:space="preserve"> nevýkonné expozice ve smyslu článku 47a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Z toho: Zřejmě nebudou uhrazeny, ale nejsou po splatnosti, nebo jsou po splatnosti ≤ 90 dnů</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Podkategorie expozic, které buď nejsou po splatnosti, nebo jsou po splatnosti nejvýše 90 dnů, ale jsou přesto identifikovány jako nevýkonné ve smyslu článku 47a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Z toho: Po splatnosti &gt; 90 dnů ≤ 180 dnů</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Podkategorie nevýkonných expozic, které jsou po splatnosti více než 90 dnů, ale ne více než 180 dnů</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Z toho: po splatnosti &gt; 180 dnů ≤ 1 rok</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Podkategorie nevýkonných expozic, které jsou po splatnosti více než 180 dnů, ale ne více než 1 rok</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Z toho: po splatnosti &gt; 1 rok ≤ 2 roky</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nevýkonných expozic, které jsou po splatnosti více než 1 rok, ale ne více než 2 roky</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2 roky ≤ 5 let</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nevýkonných expozic, které jsou po splatnosti více než 2 roky, ale ne více než 5 let</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5 let ≤ 7 let</w:t>
            </w:r>
          </w:p>
          <w:p w14:paraId="5FA5588F" w14:textId="73CAD590" w:rsidR="004E71F4" w:rsidRPr="007F4CC8" w:rsidRDefault="004E71F4" w:rsidP="00C44E30">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Podkategorie nevýkonných expozic, které jsou po splatnosti více než 5 </w:t>
            </w:r>
            <w:r w:rsidR="00C44E30">
              <w:rPr>
                <w:rFonts w:ascii="Times New Roman" w:hAnsi="Times New Roman"/>
                <w:sz w:val="24"/>
              </w:rPr>
              <w:t>let</w:t>
            </w:r>
            <w:r>
              <w:rPr>
                <w:rFonts w:ascii="Times New Roman" w:hAnsi="Times New Roman"/>
                <w:sz w:val="24"/>
              </w:rPr>
              <w:t>, ale ne více než 7 let</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7 let</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nevýkonných expozic, které jsou po splatnosti více než 7 let</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v selhání</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Expozice v selhání podle článku 178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552BCA40"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CQ4: Kvalita nevýkonných expozic podle zeměpisné oblasti </w:t>
      </w:r>
    </w:p>
    <w:p w14:paraId="629B62E2" w14:textId="527F44B7"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Jsou-li zahraniční původní expozice ve všech zahraničních zemích ve všech kategoriích expozic rovny nebo vyšší než 10 % celkových (domácích a zahraničních) původních expozic, zpřístupní instituce informace podle čl. 442 písm. c) a e) CRR podle níže uvedených pokynů k vyplnění šablony </w:t>
      </w:r>
      <w:r w:rsidR="00CC4769">
        <w:rPr>
          <w:rFonts w:ascii="Times New Roman" w:hAnsi="Times New Roman"/>
          <w:sz w:val="24"/>
        </w:rPr>
        <w:t xml:space="preserve">EU </w:t>
      </w:r>
      <w:r>
        <w:rPr>
          <w:rFonts w:ascii="Times New Roman" w:hAnsi="Times New Roman"/>
          <w:sz w:val="24"/>
        </w:rPr>
        <w:t>CQ4, obsažené v příloze XV tohoto prováděcího nařízení</w:t>
      </w:r>
      <w:r>
        <w:rPr>
          <w:rFonts w:ascii="Times New Roman" w:hAnsi="Times New Roman"/>
          <w:bCs/>
          <w:sz w:val="24"/>
        </w:rPr>
        <w:t>.</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Řádek</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Rozvahové expozice</w:t>
            </w:r>
          </w:p>
          <w:p w14:paraId="6CCB87CE" w14:textId="77777777" w:rsidR="004E71F4" w:rsidRPr="007F4CC8" w:rsidRDefault="004E71F4" w:rsidP="00155C96">
            <w:pPr>
              <w:pStyle w:val="Fait"/>
              <w:spacing w:before="0" w:after="120"/>
            </w:pPr>
            <w:r>
              <w:t>Rozvahové expozice celkem</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a 090–140</w:t>
            </w:r>
          </w:p>
        </w:tc>
        <w:tc>
          <w:tcPr>
            <w:tcW w:w="7655" w:type="dxa"/>
          </w:tcPr>
          <w:p w14:paraId="0FDB9099" w14:textId="77777777" w:rsidR="004E71F4" w:rsidRPr="007F4CC8" w:rsidRDefault="004E71F4" w:rsidP="00155C96">
            <w:pPr>
              <w:pStyle w:val="Applicationdirecte"/>
              <w:spacing w:before="0"/>
              <w:rPr>
                <w:b/>
              </w:rPr>
            </w:pPr>
            <w:r>
              <w:rPr>
                <w:b/>
              </w:rPr>
              <w:t>Země</w:t>
            </w:r>
          </w:p>
          <w:p w14:paraId="754707AF" w14:textId="77777777" w:rsidR="004E71F4" w:rsidRPr="007F4CC8" w:rsidRDefault="004E71F4" w:rsidP="00155C96">
            <w:pPr>
              <w:pStyle w:val="Fait"/>
              <w:spacing w:before="0" w:after="120"/>
            </w:pPr>
            <w:r>
              <w:t>Země, v níž jsou expozice dané instituce podstatné v souladu s článkem 432 CRR.</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Je-li významnost zemí určena pomocí prahové hodnoty významnosti, zpřístupní se tato prahová hodnota, stejně jako seznam nevýznamných zemí zahrnutý v řádcích „Ostatní země“.</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Instituce přiřadí expozice významné zemi na základě sídla/bydliště dotyčné protistrany. Expozice vůči nadnárodním organizacím se nepřiřazují k zemi sídla instituce, ale do „Ostatní země“.</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Podrozvahové expozice</w:t>
            </w:r>
          </w:p>
          <w:p w14:paraId="26E2715C" w14:textId="3AAF629B" w:rsidR="004E71F4" w:rsidRPr="007F4CC8" w:rsidRDefault="004E71F4" w:rsidP="00155C96">
            <w:pPr>
              <w:autoSpaceDE w:val="0"/>
              <w:autoSpaceDN w:val="0"/>
              <w:adjustRightInd w:val="0"/>
              <w:spacing w:after="120"/>
              <w:jc w:val="both"/>
            </w:pPr>
            <w:r>
              <w:rPr>
                <w:rFonts w:ascii="Times New Roman" w:hAnsi="Times New Roman"/>
                <w:sz w:val="24"/>
              </w:rPr>
              <w:t xml:space="preserve">Viz definice v šabloně </w:t>
            </w:r>
            <w:r w:rsidR="00CC4769">
              <w:rPr>
                <w:rFonts w:ascii="Times New Roman" w:hAnsi="Times New Roman"/>
                <w:sz w:val="24"/>
              </w:rPr>
              <w:t xml:space="preserve">EU </w:t>
            </w:r>
            <w:r>
              <w:rPr>
                <w:rFonts w:ascii="Times New Roman" w:hAnsi="Times New Roman"/>
                <w:sz w:val="24"/>
              </w:rPr>
              <w:t>CR1: Výkonné a nevýkonné expozice a související rezerva</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Hrubá účetní hodnota / Jmenovitá hodnota </w:t>
            </w:r>
          </w:p>
          <w:p w14:paraId="407BB8E5" w14:textId="77777777" w:rsidR="004E71F4" w:rsidRPr="007F4CC8" w:rsidRDefault="004E71F4" w:rsidP="00155C96">
            <w:pPr>
              <w:pStyle w:val="Fait"/>
              <w:spacing w:before="0" w:after="120"/>
            </w:pPr>
            <w:r>
              <w:t>Hrubá účetní hodnota ve smyslu přílohy V části první odst. 34 prováděcího nařízení Komise (EU) č. 680/2014; jmenovitá hodnota ve smyslu přílohy V části druhé odst. 118 prováděcího nařízení Komise (EU) č. 680/2014.</w:t>
            </w:r>
          </w:p>
          <w:p w14:paraId="6570F2FC" w14:textId="77777777" w:rsidR="004E71F4" w:rsidRPr="007F4CC8" w:rsidRDefault="004E71F4" w:rsidP="00155C96">
            <w:pPr>
              <w:pStyle w:val="Fait"/>
              <w:spacing w:before="0" w:after="120"/>
            </w:pPr>
            <w:r>
              <w:t>Hrubá účetní hodnota týkající se expozic podléhajících znehodnocení se uvádí po odečtení kumulovaných částečných a celkových odpisů.</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Hrubá účetní hodnota / jmenovitá hodnota – z toho nevýkonné</w:t>
            </w:r>
          </w:p>
          <w:p w14:paraId="324B3E45" w14:textId="77777777" w:rsidR="004E71F4" w:rsidRPr="007F4CC8" w:rsidRDefault="004E71F4" w:rsidP="00155C96">
            <w:pPr>
              <w:pStyle w:val="Fait"/>
              <w:spacing w:before="0" w:after="120"/>
              <w:rPr>
                <w:b/>
              </w:rPr>
            </w:pPr>
            <w:r>
              <w:t>Hrubá účetní hodnota ve smyslu přílohy V části první odst. 34 prováděcího nařízení Komise (EU) č. 680/2014; jmenovitá hodnota ve smyslu přílohy V části druhé odst. 118 prováděcího nařízení Komise (EU) č. 680/2014; nevýkonné expozice ve smyslu článku 47a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v selhání</w:t>
            </w:r>
          </w:p>
          <w:p w14:paraId="2D9AD627" w14:textId="77777777" w:rsidR="004E71F4" w:rsidRPr="007F4CC8" w:rsidRDefault="004E71F4" w:rsidP="00155C96">
            <w:pPr>
              <w:pStyle w:val="Fait"/>
              <w:spacing w:before="0" w:after="120"/>
            </w:pPr>
            <w:r>
              <w:t>Expozice v selhání podle článku 178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Hrubá účetní hodnota / jmenovitá hodnota – z toho podléhající znehodnocení</w:t>
            </w:r>
          </w:p>
          <w:p w14:paraId="6BD3FAE2" w14:textId="77777777" w:rsidR="004E71F4" w:rsidRPr="007F4CC8" w:rsidRDefault="004E71F4" w:rsidP="00155C96">
            <w:pPr>
              <w:pStyle w:val="Fait"/>
              <w:spacing w:before="0" w:after="120"/>
            </w:pPr>
            <w:r>
              <w:t>Hrubá účetní nebo jmenovitá hodnota týkající se expozic podléhajících požadavkům na znehodnocení podle platného účetního rámce</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ztráty ze znehodnocení</w:t>
            </w:r>
          </w:p>
          <w:p w14:paraId="4FB7F9C5" w14:textId="77777777" w:rsidR="004E71F4" w:rsidRPr="007F4CC8" w:rsidRDefault="004E71F4" w:rsidP="00155C96">
            <w:pPr>
              <w:pStyle w:val="Fait"/>
              <w:spacing w:before="0" w:after="120"/>
            </w:pPr>
            <w:r>
              <w:t>Tato položka zahrnuje částky určené v souladu s přílohou V částí druhou odst. 11, 69 až 71, 106 a 110 prováděcího nařízení Komise (EU) č.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Rezervy na podrozvahové závazky a poskytnuté finanční záruky</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Tento řádek uvádí rezervy na podrozvahové poskytnuté přísliby a finanční záruky.</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negativní změny reálné hodnoty z titulu úvěrového rizika u nevýkonných expozic</w:t>
            </w:r>
          </w:p>
          <w:p w14:paraId="697B0B24" w14:textId="77777777" w:rsidR="004E71F4" w:rsidRPr="007F4CC8" w:rsidRDefault="004E71F4" w:rsidP="00155C96">
            <w:pPr>
              <w:pStyle w:val="Fait"/>
              <w:spacing w:before="0" w:after="120"/>
            </w:pPr>
            <w:r>
              <w:t>Tato položka zahrnuje částky určené v souladu s přílohou V částí druhou odst. 11, 69 až 71, 106 a 110 prováděcího nařízení Komise (EU) č.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18FA81C9"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CQ5: Úvěrová kvalita úvěrů a pohledávek za nefinančními podniky podle odvětví</w:t>
      </w:r>
    </w:p>
    <w:p w14:paraId="201DD2F2" w14:textId="6C6486BB"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Informace podle čl. 442 písm. c) a e)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CQ5, obsažené v příloze 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Členění protistran podle odvětví</w:t>
            </w:r>
          </w:p>
          <w:p w14:paraId="75719E9B" w14:textId="77777777" w:rsidR="004E71F4" w:rsidRPr="007F4CC8" w:rsidRDefault="004E71F4" w:rsidP="00155C96">
            <w:pPr>
              <w:pStyle w:val="Fait"/>
              <w:spacing w:before="0" w:after="120"/>
            </w:pPr>
            <w:r>
              <w:t>Zařazení protistrany do určitého odvětví se týká pouze odvětví souvisejících s protistranou, která je nefinančním podnikem.</w:t>
            </w:r>
          </w:p>
          <w:p w14:paraId="22DE98F2" w14:textId="77777777" w:rsidR="004E71F4" w:rsidRPr="007F4CC8" w:rsidRDefault="004E71F4" w:rsidP="00155C96">
            <w:pPr>
              <w:pStyle w:val="Fait"/>
              <w:spacing w:before="0" w:after="120"/>
            </w:pPr>
            <w:r>
              <w:t>Zařazení protistrany do určitého odvětví se řídí výhradně povahou dotyčné protistrany. Klasifikace expozic nabytých společně více než jedním dlužníkem se provádí na základě vlastností toho dlužníka, který byl pro rozhodnutí dané instituce z hlediska poskytnutí této expozice významnějším nebo rozhodujícím.</w:t>
            </w:r>
          </w:p>
          <w:p w14:paraId="509E4079" w14:textId="77777777" w:rsidR="004E71F4" w:rsidRPr="007F4CC8" w:rsidRDefault="004E71F4" w:rsidP="00155C96">
            <w:pPr>
              <w:pStyle w:val="Fait"/>
              <w:spacing w:before="0" w:after="120"/>
            </w:pPr>
            <w:r>
              <w:t>Řádky se použijí k uvedení podstatných odvětví nebo typů protistran, vůči nimž instituce evidují expozice. Podstatnost se posuzuje v souladu s článkem 432 CRR a nepodstatná odvětví nebo typy protistran jsou shrnuty v řádku „Ostatní služby“.</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lastRenderedPageBreak/>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Hrubá účetní hodnota </w:t>
            </w:r>
          </w:p>
          <w:p w14:paraId="54BC957E" w14:textId="755CDC97" w:rsidR="004E71F4" w:rsidRPr="007F4CC8" w:rsidRDefault="004E71F4" w:rsidP="00155C96">
            <w:pPr>
              <w:pStyle w:val="Fait"/>
              <w:spacing w:before="0" w:after="120"/>
            </w:pPr>
            <w:r>
              <w:t>Hrubá účetní hodnota ve smyslu přílohy V části první odst. 34 prováděcího nařízení Komise (EU) č. 680/</w:t>
            </w:r>
            <w:r w:rsidR="00C44E30">
              <w:t>2014</w:t>
            </w:r>
          </w:p>
          <w:p w14:paraId="61BFF20A" w14:textId="77777777" w:rsidR="004E71F4" w:rsidRPr="007F4CC8" w:rsidRDefault="004E71F4" w:rsidP="00155C96">
            <w:pPr>
              <w:pStyle w:val="Fait"/>
              <w:spacing w:before="0" w:after="120"/>
            </w:pPr>
            <w:r>
              <w:t>Hrubá účetní hodnota týkající se expozic podléhajících znehodnocení se uvádí po odečtení kumulovaných částečných a celkových odpisů.</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Hrubá účetní hodnota – z toho nevýkonné </w:t>
            </w:r>
          </w:p>
          <w:p w14:paraId="218B3169" w14:textId="31843722" w:rsidR="004E71F4" w:rsidRPr="007F4CC8" w:rsidRDefault="004E71F4" w:rsidP="00C44E30">
            <w:pPr>
              <w:pStyle w:val="Fait"/>
              <w:spacing w:before="0" w:after="120"/>
              <w:rPr>
                <w:rFonts w:eastAsiaTheme="minorEastAsia"/>
              </w:rPr>
            </w:pPr>
            <w:r>
              <w:t>Hrubá účetní hodnota ve smyslu přílohy V části první odst. 34 prováděcího nařízení Komise (EU) č. 680/2014; nevýkonné expozice ve smyslu článku 47a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Z toho v selhání</w:t>
            </w:r>
          </w:p>
          <w:p w14:paraId="37399537" w14:textId="77777777" w:rsidR="004E71F4" w:rsidRPr="007F4CC8" w:rsidRDefault="004E71F4" w:rsidP="00155C96">
            <w:pPr>
              <w:pStyle w:val="Fait"/>
              <w:spacing w:before="0" w:after="120"/>
              <w:rPr>
                <w:rFonts w:eastAsiaTheme="minorEastAsia"/>
              </w:rPr>
            </w:pPr>
            <w:r>
              <w:t>Expozice v selhání podle článku 178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Hrubá účetní hodnota úvěrů – z toho úvěry a jiné pohledávky podléhající znehodnocení</w:t>
            </w:r>
          </w:p>
          <w:p w14:paraId="4B4B425B" w14:textId="23F43AB0" w:rsidR="004E71F4" w:rsidRPr="007F4CC8" w:rsidRDefault="004E71F4" w:rsidP="00C44E30">
            <w:pPr>
              <w:pStyle w:val="Fait"/>
              <w:spacing w:before="0" w:after="120"/>
            </w:pPr>
            <w:r>
              <w:t>Hrubá účetní hodnota týkající se úvěrů a jiných pohledávek podléhajících požadavkům na znehodnocení podle platného účetního rámce</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Kumulované ztráty ze znehodnocení</w:t>
            </w:r>
          </w:p>
          <w:p w14:paraId="7702A0EE" w14:textId="77777777" w:rsidR="004E71F4" w:rsidRPr="007F4CC8" w:rsidRDefault="004E71F4" w:rsidP="00155C96">
            <w:pPr>
              <w:pStyle w:val="Fait"/>
              <w:spacing w:before="0" w:after="120"/>
            </w:pPr>
            <w:r>
              <w:t>Tato položka zahrnuje částky určené v souladu s přílohou V částí druhou odst. 11, 69 až 71, 106 a 110 prováděcího nařízení Komise (EU) č.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Kumulované negativní změny reálné hodnoty z titulu úvěrového rizika u nevýkonných expozic</w:t>
            </w:r>
          </w:p>
          <w:p w14:paraId="5DCDC716" w14:textId="77777777" w:rsidR="004E71F4" w:rsidRPr="007F4CC8" w:rsidRDefault="004E71F4" w:rsidP="00155C96">
            <w:pPr>
              <w:pStyle w:val="Fait"/>
              <w:spacing w:before="0" w:after="120"/>
            </w:pPr>
            <w:r>
              <w:t>Nevýkonné expozice ve smyslu článku 47a CRR</w:t>
            </w:r>
          </w:p>
          <w:p w14:paraId="3A5B7C72" w14:textId="77777777" w:rsidR="004E71F4" w:rsidRPr="007F4CC8" w:rsidRDefault="004E71F4" w:rsidP="00155C96">
            <w:pPr>
              <w:pStyle w:val="Fait"/>
              <w:spacing w:before="0" w:after="120"/>
            </w:pPr>
            <w:r>
              <w:t>Instituce zahrnou částky určené v souladu s přílohou V částí druhou odst. 11, 69 až 71, 106 a 110 prováděcího nařízení Komise (EU) č.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407BDB36"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CQ6: Ocenění kolaterálu – úvěry a pohledávky</w:t>
      </w:r>
    </w:p>
    <w:p w14:paraId="0FE385CA" w14:textId="4169F0EC"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Informace uvedené v čl. 442 písm. c)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CQ6, obsažené v příloze XV tohoto prováděcího nařízení</w:t>
      </w:r>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Hrubá účetní hodnota </w:t>
            </w:r>
          </w:p>
          <w:p w14:paraId="42B0DF3A" w14:textId="0ED8BAF4" w:rsidR="004E71F4" w:rsidRPr="007F4CC8" w:rsidRDefault="004E71F4" w:rsidP="00C44E30">
            <w:pPr>
              <w:pStyle w:val="Fait"/>
              <w:spacing w:before="0" w:after="120"/>
            </w:pPr>
            <w:r>
              <w:t>Hrubá účetní hodnota ve smyslu přílohy V části první odst. 34 prováděcího nařízení Komise (EU) č.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lastRenderedPageBreak/>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Z toho zajištěné </w:t>
            </w:r>
          </w:p>
          <w:p w14:paraId="1989790B" w14:textId="77777777" w:rsidR="004E71F4" w:rsidRPr="007F4CC8" w:rsidRDefault="004E71F4" w:rsidP="00155C96">
            <w:pPr>
              <w:pStyle w:val="Fait"/>
              <w:spacing w:before="0" w:after="120"/>
            </w:pPr>
            <w:r>
              <w:t>V tomto řádku se zpřístupňuje hrubá účetní hodnota zajištěných a částečně zajištěných úvěrů ve smyslu přílohy V části první odst. 34 prováděcího nařízení Komise (EU) č. 680/2014.</w:t>
            </w:r>
          </w:p>
          <w:p w14:paraId="49F56793" w14:textId="77777777" w:rsidR="004E71F4" w:rsidRPr="007F4CC8" w:rsidRDefault="004E71F4" w:rsidP="00155C96">
            <w:pPr>
              <w:pStyle w:val="Fait"/>
              <w:spacing w:before="0" w:after="120"/>
            </w:pPr>
            <w:r>
              <w:t xml:space="preserve">Nezajištěné úvěry a jiné pohledávky zahrnují expozice, za něž nebyl zastaven </w:t>
            </w:r>
            <w:proofErr w:type="gramStart"/>
            <w:r>
              <w:t>kolaterál ani</w:t>
            </w:r>
            <w:proofErr w:type="gramEnd"/>
            <w:r>
              <w:t xml:space="preserve"> nebyly obdrženy finanční záruky; v tomto řádku se uvádí nezajištěná část částečně zajištěných nebo částečně zaručených expozic v souladu s přílohou V částí druhou odst. 323 prováděcího nařízení Komise (EU) č. 680/2014.</w:t>
            </w:r>
          </w:p>
          <w:p w14:paraId="66933E4D" w14:textId="77777777" w:rsidR="004E71F4" w:rsidRPr="007F4CC8" w:rsidRDefault="004E71F4" w:rsidP="00155C96">
            <w:pPr>
              <w:pStyle w:val="Fait"/>
              <w:spacing w:before="0" w:after="120"/>
            </w:pPr>
            <w:r>
              <w:t>Zajištěné úvěry a jiné pohledávky proto musí být vypočítány jako rozdíl mezi hrubou účetní hodnotou všech úvěrů a jiných pohledávek a hrubou účetní hodnotou nezajištěných úvěrů a jiných pohledávek a budou zahrnovat zajištěnou i nezajištěnou část úvěru.</w:t>
            </w:r>
          </w:p>
          <w:p w14:paraId="39CA1040" w14:textId="77777777" w:rsidR="004E71F4" w:rsidRPr="007F4CC8" w:rsidRDefault="004E71F4" w:rsidP="00155C96">
            <w:pPr>
              <w:pStyle w:val="Institutionquisigne"/>
              <w:spacing w:before="0" w:after="120"/>
            </w:pPr>
            <w:r>
              <w:rPr>
                <w:i w:val="0"/>
              </w:rPr>
              <w:t>V případě nadměrného zajištění se zpřístupní hrubá účetní hodnota úvěru.</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Z toho zajištěné nemovitostmi</w:t>
            </w:r>
          </w:p>
          <w:p w14:paraId="758E75CD" w14:textId="0705DBC9" w:rsidR="004E71F4" w:rsidRPr="007F4CC8" w:rsidRDefault="004E71F4" w:rsidP="00155C96">
            <w:pPr>
              <w:pStyle w:val="Fait"/>
              <w:spacing w:before="0" w:after="120"/>
            </w:pPr>
            <w:r>
              <w:t>Úvěry zajištěné nemovitým majetkem zahrnují úvěry a jiné pohledávky formálně zajištěné kolaterálem ve formě obytných nebo komerčních nemovitostí, nezávisle na poměru úvěr/kolaterál (běžně označovaném jako „poměr úvěru k hodnotě“) a právní formě kolaterálu ve smyslu přílohy V části druhé odst. 86 písm. a) prováděcího nařízení Komise (EU) č. 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Z toho nástroje s poměrem LTV vyšším než 60 % a nižším nebo rovným 80 %</w:t>
            </w:r>
          </w:p>
          <w:p w14:paraId="5D101848" w14:textId="77777777" w:rsidR="004E71F4" w:rsidRPr="007F4CC8" w:rsidRDefault="004E71F4" w:rsidP="00155C96">
            <w:pPr>
              <w:pStyle w:val="Institutionquisigne"/>
              <w:spacing w:before="0" w:after="120"/>
              <w:rPr>
                <w:rFonts w:eastAsiaTheme="minorEastAsia"/>
              </w:rPr>
            </w:pPr>
            <w:r>
              <w:rPr>
                <w:i w:val="0"/>
              </w:rPr>
              <w:t>Poměr úvěru k hodnotě (LTV) se vypočítá pomocí metody výpočtu uvedené pro „stávající LTV“ v doporučení Evropské rady pro systémová rizika o doplnění chybějících údajů o nemovitostech (ESRB/2016/14)</w:t>
            </w:r>
            <w:r w:rsidRPr="007F4CC8">
              <w:rPr>
                <w:rStyle w:val="FootnoteReference"/>
                <w:i w:val="0"/>
              </w:rPr>
              <w:footnoteReference w:id="32"/>
            </w:r>
            <w:r>
              <w:rPr>
                <w:i w:val="0"/>
              </w:rPr>
              <w:t>. Instituce uvedou hrubou účetní hodnotu úvěrů a jiných pohledávek s poměrem LTV vyšším než 60 % a nižším nebo rovným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Z toho nástroje s poměrem LTV vyšším než 80 % a nižším nebo rovným 100 %</w:t>
            </w:r>
          </w:p>
          <w:p w14:paraId="6EFD6EA8" w14:textId="77777777" w:rsidR="004E71F4" w:rsidRPr="007F4CC8" w:rsidRDefault="004E71F4" w:rsidP="00155C96">
            <w:pPr>
              <w:pStyle w:val="Institutionquisigne"/>
              <w:spacing w:before="0" w:after="120"/>
              <w:rPr>
                <w:rFonts w:eastAsiaTheme="minorEastAsia"/>
              </w:rPr>
            </w:pPr>
            <w:r>
              <w:rPr>
                <w:i w:val="0"/>
              </w:rPr>
              <w:t>Instituce uvedou hrubou účetní hodnotu úvěrů a jiných pohledávek s poměrem LTV vyšším než 80 % a nižším nebo rovným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Z toho nástroje s poměrem LTV vyšším než 100 %</w:t>
            </w:r>
          </w:p>
          <w:p w14:paraId="70834439" w14:textId="77777777" w:rsidR="004E71F4" w:rsidRPr="007F4CC8" w:rsidRDefault="004E71F4" w:rsidP="00155C96">
            <w:pPr>
              <w:pStyle w:val="Institutionquisigne"/>
              <w:spacing w:before="0" w:after="120"/>
              <w:rPr>
                <w:rFonts w:eastAsiaTheme="minorEastAsia"/>
              </w:rPr>
            </w:pPr>
            <w:r>
              <w:rPr>
                <w:i w:val="0"/>
              </w:rPr>
              <w:t>Hrubá účetní hodnota úvěrů a jiných pohledávek s poměrem LTV vyšším než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Kumulovaná ztráta ze znehodnocení zajištěných aktiv</w:t>
            </w:r>
          </w:p>
          <w:p w14:paraId="1699F1C0" w14:textId="77777777" w:rsidR="004E71F4" w:rsidRPr="007F4CC8" w:rsidRDefault="004E71F4" w:rsidP="00155C96">
            <w:pPr>
              <w:pStyle w:val="Fait"/>
              <w:spacing w:before="0" w:after="120"/>
            </w:pPr>
            <w:r>
              <w:t xml:space="preserve">U zajištěných dluhových nástrojů se kumulované ztráty ze znehodnocení vypočítají jako zaúčtovaná kumulativní výše ztrát ze znehodnocení bez použití </w:t>
            </w:r>
            <w:r>
              <w:lastRenderedPageBreak/>
              <w:t>a zrušení, dle potřeby pro každý stupeň znehodnocení (příloha V část druhá odst. 70 prováděcího nařízení Komise (EU) č. 680/2014).</w:t>
            </w:r>
          </w:p>
          <w:p w14:paraId="2ADC11C4" w14:textId="77777777" w:rsidR="004E71F4" w:rsidRPr="007F4CC8" w:rsidRDefault="004E71F4" w:rsidP="00155C96">
            <w:pPr>
              <w:pStyle w:val="Fait"/>
              <w:spacing w:before="0" w:after="120"/>
              <w:rPr>
                <w:b/>
              </w:rPr>
            </w:pPr>
            <w:r>
              <w:t>Do tohoto řádku se zahrnou kumulované ztráty ze znehodnocení týkající se nezajištěné části částečně zajištěné nebo částečně zaručené expozice.</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Kolaterál - z toho hodnota omezená na hodnotu expozice</w:t>
            </w:r>
          </w:p>
          <w:p w14:paraId="757848DF" w14:textId="77777777" w:rsidR="004E71F4" w:rsidRPr="007F4CC8" w:rsidRDefault="004E71F4" w:rsidP="00155C96">
            <w:pPr>
              <w:pStyle w:val="Fait"/>
              <w:spacing w:before="0" w:after="120"/>
              <w:rPr>
                <w:b/>
              </w:rPr>
            </w:pPr>
            <w:r>
              <w:t>Částky pro přijatý kolaterál se vypočítají v souladu s přílohou V částí druhou odst. 239 prováděcího nařízení Komise (EU) č. 680/2014. Součet částek kolaterálu v tomto řádku nepřesáhne účetní hodnotu související expozice.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nemovitosti</w:t>
            </w:r>
          </w:p>
          <w:p w14:paraId="5FB7DBC4" w14:textId="77777777" w:rsidR="004E71F4" w:rsidRPr="007F4CC8" w:rsidRDefault="004E71F4" w:rsidP="00155C96">
            <w:pPr>
              <w:pStyle w:val="Fait"/>
              <w:spacing w:before="0" w:after="120"/>
            </w:pPr>
            <w:r>
              <w:t>Část kolaterálu sestávající z obytných nebo komerčních nemovitostí (příloha V část druhá odst. 173 prováděcího nařízení Komise (EU) č. 680/2014)</w:t>
            </w:r>
          </w:p>
          <w:p w14:paraId="2B76D036" w14:textId="77777777" w:rsidR="004E71F4" w:rsidRPr="007F4CC8" w:rsidRDefault="004E71F4" w:rsidP="00155C96">
            <w:pPr>
              <w:pStyle w:val="Fait"/>
              <w:spacing w:before="0" w:after="120"/>
              <w:rPr>
                <w:b/>
              </w:rPr>
            </w:pPr>
            <w:r>
              <w:t>Součet částek kolaterálu v tomto řádku nepřesáhne účetní hodnotu související expozice.</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Kolaterál – z toho hodnota nad horním limitem</w:t>
            </w:r>
          </w:p>
          <w:p w14:paraId="4825BFE6" w14:textId="3F318490" w:rsidR="004E71F4" w:rsidRPr="007F4CC8" w:rsidRDefault="004E71F4" w:rsidP="00155C96">
            <w:pPr>
              <w:pStyle w:val="Fait"/>
              <w:spacing w:before="0" w:after="120"/>
              <w:rPr>
                <w:b/>
              </w:rPr>
            </w:pPr>
            <w:r>
              <w:t xml:space="preserve">V tomto řádku se zpřístupňuje rozdíl mezi skutečnou hodnotou kolaterálu a </w:t>
            </w:r>
            <w:proofErr w:type="spellStart"/>
            <w:r>
              <w:t>zastropovanou</w:t>
            </w:r>
            <w:proofErr w:type="spellEnd"/>
            <w:r>
              <w:t xml:space="preserve"> hodnotou kolaterálu (účetní hodnota související expozice) (instituce nepoužijí k výpočtu skutečné hodnoty kolaterálu přílohu V část druhou odst. 239 prováděcího nařízení Komise (EU) č. 680/2014).</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nemovitosti</w:t>
            </w:r>
          </w:p>
          <w:p w14:paraId="3CEE730C" w14:textId="77777777" w:rsidR="004E71F4" w:rsidRPr="007F4CC8" w:rsidRDefault="004E71F4" w:rsidP="00155C96">
            <w:pPr>
              <w:pStyle w:val="Fait"/>
              <w:spacing w:before="0" w:after="120"/>
              <w:rPr>
                <w:b/>
              </w:rPr>
            </w:pPr>
            <w:r>
              <w:t xml:space="preserve">Rozdíl mezi skutečnou a </w:t>
            </w:r>
            <w:proofErr w:type="spellStart"/>
            <w:r>
              <w:t>zastropovanou</w:t>
            </w:r>
            <w:proofErr w:type="spellEnd"/>
            <w:r>
              <w:t xml:space="preserve"> hodnotou části kolaterálu sestávající z obytných nebo komerčních nemovitostí (příloha V část druhá odst. 173 písm. a) prováděcího nařízení Komise (EU) č.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Přijaté finanční záruky</w:t>
            </w:r>
          </w:p>
          <w:p w14:paraId="521216D0" w14:textId="77777777" w:rsidR="004E71F4" w:rsidRPr="007F4CC8" w:rsidRDefault="004E71F4" w:rsidP="00155C96">
            <w:pPr>
              <w:pStyle w:val="Fait"/>
              <w:spacing w:before="0" w:after="120"/>
              <w:rPr>
                <w:b/>
              </w:rPr>
            </w:pPr>
            <w:r>
              <w:t>Ve smyslu přílohy V části druhé odst. 114 prováděcího nařízení Komise (EU) č.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Kumulované částečné odpisy</w:t>
            </w:r>
          </w:p>
          <w:p w14:paraId="1C49ED21" w14:textId="77777777" w:rsidR="004E71F4" w:rsidRPr="007F4CC8" w:rsidRDefault="004E71F4" w:rsidP="00155C96">
            <w:pPr>
              <w:pStyle w:val="Fait"/>
              <w:spacing w:before="0" w:after="120"/>
            </w:pPr>
            <w:r>
              <w:t>Tato položka zahrnuje kumulovanou dílčí hodnotu k referenčnímu datu jistiny a narostlé úroky a poplatky po splatnosti u všech dluhových nástrojů, které byly k dnešnímu dni odúčtovány pomocí jedné z metod popsaných v příloze V části druhé odst. 74 prováděcího nařízení Komise (EU) č. 680/2014, které se zpřístupňují, neboť instituce oprávněně neočekává, že dané smluvní peněžní toky získá zpět. Tyto částky se zpřístupňují až do úplného zániku všech práv dané instituce podle data uplynutí stanovené promlčecí lhůty, prominutí či jiných příčin, nebo až do splacení. Proto v případě, že odepsané částky nebyly splaceny, zpřístupňují se, dokud probíhá vymáhání.</w:t>
            </w:r>
          </w:p>
          <w:p w14:paraId="5B1ADC49" w14:textId="77777777" w:rsidR="004E71F4" w:rsidRPr="007F4CC8" w:rsidRDefault="004E71F4" w:rsidP="00155C96">
            <w:pPr>
              <w:pStyle w:val="Fait"/>
              <w:spacing w:before="0" w:after="120"/>
            </w:pPr>
            <w:r>
              <w:t>Odpisy představují odúčtování a vztahují se k finančnímu aktivu jako celku nebo (v případě částečného odpisu) k jeho části, včetně případů, kdy změna aktiva vede instituci k tomu, aby se vzdala práva vybírat peněžní toky buď z části aktiva, nebo z celého aktiva.</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Odkazy na právní předpisy a pokyny</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Úvěry a jiné pohledávky</w:t>
            </w:r>
          </w:p>
          <w:p w14:paraId="2D0C3F66" w14:textId="012B0D90" w:rsidR="004E71F4" w:rsidRPr="007F4CC8" w:rsidRDefault="004E71F4" w:rsidP="00155C96">
            <w:pPr>
              <w:pStyle w:val="Fait"/>
              <w:spacing w:before="0" w:after="120"/>
              <w:rPr>
                <w:rFonts w:eastAsiaTheme="minorEastAsia"/>
              </w:rPr>
            </w:pPr>
            <w:r>
              <w:t xml:space="preserve">Viz definice v šabloně </w:t>
            </w:r>
            <w:r w:rsidR="00CC4769">
              <w:t xml:space="preserve">EU </w:t>
            </w:r>
            <w:r>
              <w:t>CR1: Výkonné a nevýkonné expozice a související rezerva</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Úvěry a jiné pohledávky – z toho výkonné </w:t>
            </w:r>
          </w:p>
          <w:p w14:paraId="622F5076" w14:textId="678DE50F" w:rsidR="004E71F4" w:rsidRPr="007F4CC8" w:rsidRDefault="004E71F4" w:rsidP="00155C96">
            <w:pPr>
              <w:pStyle w:val="Fait"/>
              <w:spacing w:before="0" w:after="120"/>
              <w:rPr>
                <w:rFonts w:eastAsiaTheme="minorEastAsia"/>
              </w:rPr>
            </w:pPr>
            <w:r>
              <w:t xml:space="preserve">Viz definice v šabloně </w:t>
            </w:r>
            <w:r w:rsidR="00CC4769">
              <w:t xml:space="preserve">EU </w:t>
            </w:r>
            <w:r>
              <w:t>CR1: Výkonné a nevýkonné expozice a související rezerva</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Z toho po splatnosti &gt; 30 dnů ≤ 90 dnů</w:t>
            </w:r>
          </w:p>
          <w:p w14:paraId="147C9DA1" w14:textId="77777777" w:rsidR="004E71F4" w:rsidRPr="007F4CC8" w:rsidRDefault="004E71F4" w:rsidP="00155C96">
            <w:pPr>
              <w:pStyle w:val="Fait"/>
              <w:spacing w:before="0" w:after="120"/>
              <w:rPr>
                <w:rFonts w:eastAsiaTheme="minorEastAsia"/>
              </w:rPr>
            </w:pPr>
            <w:r>
              <w:t>Podkategorie výkonných úvěrů a jiných pohledávek, které jsou 31–90 dnů po splatnosti</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Úvěry a jiné pohledávky – z toho nevýkonné expozice</w:t>
            </w:r>
          </w:p>
          <w:p w14:paraId="74EB556B" w14:textId="77777777" w:rsidR="004E71F4" w:rsidRPr="007F4CC8" w:rsidRDefault="004E71F4" w:rsidP="00155C96">
            <w:pPr>
              <w:pStyle w:val="Fait"/>
              <w:spacing w:before="0" w:after="120"/>
            </w:pPr>
            <w:r>
              <w:t>Nevýkonné expozice ve smyslu článku 47a CRR</w:t>
            </w:r>
          </w:p>
          <w:p w14:paraId="0338D40C" w14:textId="705D0B12" w:rsidR="004E71F4" w:rsidRPr="007F4CC8" w:rsidRDefault="004E71F4" w:rsidP="00155C96">
            <w:pPr>
              <w:pStyle w:val="Fait"/>
              <w:spacing w:before="0" w:after="120"/>
            </w:pPr>
            <w:r>
              <w:t xml:space="preserve">Viz definice v šabloně </w:t>
            </w:r>
            <w:r w:rsidR="00CC4769">
              <w:t xml:space="preserve">EU </w:t>
            </w:r>
            <w:r>
              <w:t>CR1: Výkonné a nevýkonné expozice a související rezerva</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Z toho zřejmě nebudou uhrazeny, ale nejsou po splatnosti, nebo jsou po splatnosti ≤ 90 dnů</w:t>
            </w:r>
          </w:p>
          <w:p w14:paraId="25E07F3A" w14:textId="77777777" w:rsidR="004E71F4" w:rsidRPr="007F4CC8" w:rsidRDefault="004E71F4" w:rsidP="00155C96">
            <w:pPr>
              <w:pStyle w:val="Fait"/>
              <w:spacing w:before="0" w:after="120"/>
            </w:pPr>
            <w:r>
              <w:t>Podkategorie úvěrů a jiných pohledávek, které buď nejsou po splatnosti, nebo jsou po splatnosti nejvýše 90 dnů, ale jsou přesto identifikovány jako nevýkonné z důvodu pravděpodobnosti, že nebudou plně splaceny ve smyslu článku 47a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Po splatnosti &gt; 90 dnů</w:t>
            </w:r>
          </w:p>
          <w:p w14:paraId="4AF30303" w14:textId="77777777" w:rsidR="004E71F4" w:rsidRPr="007F4CC8" w:rsidRDefault="004E71F4" w:rsidP="00155C96">
            <w:pPr>
              <w:pStyle w:val="Fait"/>
              <w:spacing w:before="0" w:after="120"/>
            </w:pPr>
            <w:r>
              <w:t>Podkategorie úvěrů a jiných pohledávek, které jsou více než 90 dnů po splatnosti</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90 dnů ≤ 180 dnů</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Podkategorie úvěrů a jiných pohledávek, které jsou 91–180 dnů po splatnosti</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180 dnů ≤ 1 rok</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Podkategorie úvěrů a jiných pohledávek, které jsou 181 dnů až 1 rok po splatnosti</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1 rok ≤ 2 roky</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úvěrů a jiných pohledávek, které jsou 1–2 roky po splatnosti</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2 roky ≤ 5 let</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úvěrů a jiných pohledávek, které jsou 2–5 let po splatnosti</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5 let ≤ 7 let</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Podkategorie úvěrů a jiných pohledávek, které jsou 5–7 let po splatnosti</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 toho po splatnosti &gt; 7 let</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Podkategorie úvěrů a jiných pohledávek, které jsou více než 7 let po splatnosti.</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61C6529A"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CQ7: Kolaterál získaný převzetím a exekucemi</w:t>
      </w:r>
    </w:p>
    <w:p w14:paraId="1E1D6586" w14:textId="720474EF"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Informace uvedené v čl. 442 písm. c)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CQ7, obsažené v příloze 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Pozemky, budovy a zařízení</w:t>
            </w:r>
          </w:p>
          <w:p w14:paraId="2DA3F6F7" w14:textId="77777777" w:rsidR="004E71F4" w:rsidRPr="007F4CC8" w:rsidRDefault="004E71F4" w:rsidP="00155C96">
            <w:pPr>
              <w:pStyle w:val="Institutionquisigne"/>
              <w:spacing w:before="0" w:after="120"/>
              <w:rPr>
                <w:i w:val="0"/>
              </w:rPr>
            </w:pPr>
            <w:r>
              <w:rPr>
                <w:i w:val="0"/>
              </w:rPr>
              <w:t>Instituce uvedou stav kolaterálu získaného převzetím, který k rozvahovému dni zůstává vykázán v rozvaze a který je klasifikován jako pozemky, budovy a zařízení.</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Jiné než pozemky, budovy a zařízení</w:t>
            </w:r>
          </w:p>
          <w:p w14:paraId="65C75F92" w14:textId="77777777" w:rsidR="004E71F4" w:rsidRPr="007F4CC8" w:rsidRDefault="004E71F4" w:rsidP="00155C96">
            <w:pPr>
              <w:pStyle w:val="Institutionquisigne"/>
              <w:spacing w:before="0" w:after="120"/>
              <w:rPr>
                <w:b/>
              </w:rPr>
            </w:pPr>
            <w:r>
              <w:rPr>
                <w:i w:val="0"/>
              </w:rPr>
              <w:t>V tomto řádku bude automaticky uveden stav kolaterálu získaného převzetím, který k rozvahovému dni zůstává vykázán v rozvaze a není klasifikován jako pozemky, budovy a zařízení. Celkový stav bude vypočítán s přihlédnutím k počátečnímu stavu (od konce posledního účetního období) a přítoku a odtoku během období, za něž se informace zpřístupňují (od konce posledního účetního období). Kolaterál získaný převzetím (jiný než pozemky, budovy a zařízení) se v řádcích uvádí podle typu kolaterálu.</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Obytné nemovitosti</w:t>
            </w:r>
          </w:p>
          <w:p w14:paraId="379AD7D1" w14:textId="77777777" w:rsidR="004E71F4" w:rsidRPr="007F4CC8" w:rsidRDefault="004E71F4" w:rsidP="00155C96">
            <w:pPr>
              <w:pStyle w:val="Institutionquisigne"/>
              <w:spacing w:before="0" w:after="120"/>
              <w:rPr>
                <w:b/>
              </w:rPr>
            </w:pPr>
            <w:r>
              <w:rPr>
                <w:i w:val="0"/>
              </w:rPr>
              <w:t>Kolaterál získaný převzetím obytných nemovitostí (např. domů, bytů atd.) nebo nemovitostí s takovým potenciálním budoucím využitím (např. nedokončených obytných nemovitostí atd.).</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Obchodní nemovitosti</w:t>
            </w:r>
          </w:p>
          <w:p w14:paraId="17CE5C2D" w14:textId="77777777" w:rsidR="004E71F4" w:rsidRPr="007F4CC8" w:rsidRDefault="004E71F4" w:rsidP="00155C96">
            <w:pPr>
              <w:pStyle w:val="Institutionquisigne"/>
              <w:spacing w:before="0" w:after="120"/>
              <w:rPr>
                <w:i w:val="0"/>
              </w:rPr>
            </w:pPr>
            <w:r>
              <w:rPr>
                <w:i w:val="0"/>
              </w:rPr>
              <w:t>Kolaterál získaný převzetím komerčních nebo průmyslových nemovitostí, které lze použít pro podnikatelské a/nebo investiční účely, nebo jakýchkoli nemovitostí, které nejsou obytnými nemovitostmi popsanými výše</w:t>
            </w:r>
          </w:p>
          <w:p w14:paraId="62B2F832" w14:textId="77777777" w:rsidR="004E71F4" w:rsidRPr="007F4CC8" w:rsidRDefault="004E71F4" w:rsidP="00155C96">
            <w:pPr>
              <w:pStyle w:val="Institutionquisigne"/>
              <w:spacing w:before="0" w:after="120"/>
              <w:rPr>
                <w:b/>
              </w:rPr>
            </w:pPr>
            <w:r>
              <w:rPr>
                <w:i w:val="0"/>
              </w:rPr>
              <w:t>Do této kategorie se zahrnují i pozemky (nezemědělské i zemědělské).</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Movitý majetek (automobily, přeprava atd.)</w:t>
            </w:r>
          </w:p>
          <w:p w14:paraId="34A36ED9" w14:textId="77777777" w:rsidR="004E71F4" w:rsidRPr="007F4CC8" w:rsidRDefault="004E71F4" w:rsidP="00155C96">
            <w:pPr>
              <w:pStyle w:val="Institutionquisigne"/>
              <w:spacing w:before="0" w:after="120"/>
              <w:rPr>
                <w:b/>
              </w:rPr>
            </w:pPr>
            <w:r>
              <w:rPr>
                <w:i w:val="0"/>
              </w:rPr>
              <w:t>V tomto řádku se uvádí kolaterál získaný převzetím jiného než nemovitého majetku.</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Kapitálové a dluhové nástroje</w:t>
            </w:r>
          </w:p>
          <w:p w14:paraId="16CC26D5" w14:textId="77777777" w:rsidR="004E71F4" w:rsidRPr="007F4CC8" w:rsidRDefault="004E71F4" w:rsidP="00155C96">
            <w:pPr>
              <w:pStyle w:val="Institutionquisigne"/>
              <w:spacing w:before="0" w:after="120"/>
              <w:rPr>
                <w:b/>
              </w:rPr>
            </w:pPr>
            <w:r>
              <w:rPr>
                <w:i w:val="0"/>
              </w:rPr>
              <w:t>V tomto řádku se uvádí kolaterál získaný převzetím kapitálových nebo dluhových nástrojů.</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lastRenderedPageBreak/>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Ostatní kolaterál</w:t>
            </w:r>
          </w:p>
          <w:p w14:paraId="5C94E21B" w14:textId="77777777" w:rsidR="004E71F4" w:rsidRPr="007F4CC8" w:rsidRDefault="004E71F4" w:rsidP="00155C96">
            <w:pPr>
              <w:pStyle w:val="Institutionquisigne"/>
              <w:spacing w:before="0" w:after="120"/>
              <w:rPr>
                <w:i w:val="0"/>
              </w:rPr>
            </w:pPr>
            <w:r>
              <w:rPr>
                <w:i w:val="0"/>
              </w:rPr>
              <w:t>Kolaterál získaný převzetím, který nespadá do kategorií v ostatních řádcích</w:t>
            </w:r>
          </w:p>
          <w:p w14:paraId="56B31A9F" w14:textId="77777777" w:rsidR="004E71F4" w:rsidRPr="007F4CC8" w:rsidRDefault="004E71F4" w:rsidP="00155C96">
            <w:pPr>
              <w:pStyle w:val="Institutionquisigne"/>
              <w:spacing w:before="0" w:after="120"/>
              <w:rPr>
                <w:b/>
              </w:rPr>
            </w:pPr>
            <w:r>
              <w:rPr>
                <w:i w:val="0"/>
              </w:rPr>
              <w:t>Je-li hodnota v tomto řádku poměrně významná, jsou instituce žádány o poskytnutí doplňujících informací v komentáři připojeném k této šabloně.</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Celkem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Kolaterál získaný převzetím – Hodnota při prvním zaúčtování</w:t>
            </w:r>
          </w:p>
          <w:p w14:paraId="492004D4" w14:textId="77777777" w:rsidR="004E71F4" w:rsidRPr="007F4CC8" w:rsidRDefault="004E71F4" w:rsidP="00155C96">
            <w:pPr>
              <w:pStyle w:val="Institutionquisigne"/>
              <w:spacing w:before="0" w:after="120"/>
            </w:pPr>
            <w:r>
              <w:rPr>
                <w:i w:val="0"/>
              </w:rPr>
              <w:t>Instituce v tomto sloupci uvedou hrubou účetní hodnotu kolaterálu získaného převzetím v hodnotě při prvním zaúčtování v rozvaze instituce.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Kolaterál získaný převzetím – Kumulované negativní změny</w:t>
            </w:r>
          </w:p>
          <w:p w14:paraId="2BD88503" w14:textId="77777777" w:rsidR="004E71F4" w:rsidRPr="007F4CC8" w:rsidRDefault="004E71F4" w:rsidP="00155C96">
            <w:pPr>
              <w:pStyle w:val="Institutionquisigne"/>
              <w:spacing w:before="0" w:after="120"/>
              <w:rPr>
                <w:i w:val="0"/>
              </w:rPr>
            </w:pPr>
            <w:r>
              <w:rPr>
                <w:i w:val="0"/>
              </w:rPr>
              <w:t>Kumulované ztráty ze znehodnocení nebo kumulované negativní změny hodnoty kolaterálu získaného převzetím při prvotním zaúčtování, jak je popsáno výše</w:t>
            </w:r>
          </w:p>
          <w:p w14:paraId="2C738F18" w14:textId="77777777" w:rsidR="004E71F4" w:rsidRPr="007F4CC8" w:rsidRDefault="004E71F4" w:rsidP="00155C96">
            <w:pPr>
              <w:pStyle w:val="Institutionquisigne"/>
              <w:spacing w:before="0" w:after="120"/>
            </w:pPr>
            <w:r>
              <w:rPr>
                <w:i w:val="0"/>
              </w:rPr>
              <w:t>Instituce rovněž uvedou kumulované negativní změny z důvodu případných odpisů pozemků, budov a zařízení a investičních nemovitostí.</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7AD3674"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CQ8: Kolaterál získaný převzetím a exekucemi – podle roku původu</w:t>
      </w:r>
    </w:p>
    <w:p w14:paraId="539C6CF1" w14:textId="6E1A1EA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Informace uvedené v čl. 442 písm. c)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CQ8, obsažené v příloze XV tohoto prováděcího nařízení</w:t>
      </w:r>
      <w:r>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Pozemky, budovy a zařízení</w:t>
            </w:r>
          </w:p>
          <w:p w14:paraId="03A034E4" w14:textId="77777777" w:rsidR="004E71F4" w:rsidRPr="007F4CC8" w:rsidRDefault="004E71F4" w:rsidP="00155C96">
            <w:pPr>
              <w:pStyle w:val="Institutionquisigne"/>
              <w:spacing w:before="0" w:after="120"/>
              <w:rPr>
                <w:i w:val="0"/>
              </w:rPr>
            </w:pPr>
            <w:r>
              <w:rPr>
                <w:i w:val="0"/>
              </w:rPr>
              <w:t>Instituce uvedou stav kolaterálu získaného převzetím, který k rozvahovému dni zůstává vykázán v rozvaze a který je klasifikován jako pozemky, budovy a zařízení.</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Jiné než pozemky, budovy a zařízení</w:t>
            </w:r>
          </w:p>
          <w:p w14:paraId="3F0B3F2E" w14:textId="77777777" w:rsidR="004E71F4" w:rsidRPr="007F4CC8" w:rsidRDefault="004E71F4" w:rsidP="00155C96">
            <w:pPr>
              <w:pStyle w:val="Institutionquisigne"/>
              <w:spacing w:before="0" w:after="120"/>
              <w:rPr>
                <w:i w:val="0"/>
              </w:rPr>
            </w:pPr>
            <w:r>
              <w:rPr>
                <w:i w:val="0"/>
              </w:rPr>
              <w:t>V tomto řádku bude automaticky uveden stav kolaterálu získaného převzetím, který k rozvahovému dni zůstává vykázán v rozvaze a není klasifikován jako pozemky, budovy a zařízení. Celkový stav bude vypočítán s přihlédnutím k počátečnímu stavu (od konce posledního účetního období) a přítoku a odtoku během období, za něž se informace zpřístupňují (od konce posledního účetního období). Kolaterál získaný převzetím (jiný než pozemky, budovy a zařízení) se v řádcích uvádí podle typu kolaterálu.</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lastRenderedPageBreak/>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Obytné nemovitosti</w:t>
            </w:r>
          </w:p>
          <w:p w14:paraId="74F31DF3" w14:textId="77777777" w:rsidR="004E71F4" w:rsidRPr="007F4CC8" w:rsidRDefault="004E71F4" w:rsidP="00155C96">
            <w:pPr>
              <w:pStyle w:val="Institutionquisigne"/>
              <w:spacing w:before="0" w:after="120"/>
              <w:rPr>
                <w:b/>
              </w:rPr>
            </w:pPr>
            <w:r>
              <w:rPr>
                <w:i w:val="0"/>
              </w:rPr>
              <w:t>Kolaterál získaný převzetím obytných nemovitostí (např. domů, bytů atd.) nebo nemovitostí s takovým potenciálním budoucím využitím (např. nedokončených obytných nemovitostí atd.).</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Obchodní nemovitosti</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Kolaterál získaný převzetím komerčních nebo průmyslových nemovitostí, které lze použít pro podnikatelské a/nebo investiční účely, nebo jakýchkoli nemovitostí, které nejsou obytnými nemovitostmi popsanými výše</w:t>
            </w:r>
          </w:p>
          <w:p w14:paraId="1521CDD3" w14:textId="77777777" w:rsidR="004E71F4" w:rsidRPr="007F4CC8" w:rsidRDefault="004E71F4" w:rsidP="00155C96">
            <w:pPr>
              <w:pStyle w:val="Institutionquisigne"/>
              <w:spacing w:before="0" w:after="120"/>
              <w:rPr>
                <w:b/>
              </w:rPr>
            </w:pPr>
            <w:r>
              <w:rPr>
                <w:i w:val="0"/>
              </w:rPr>
              <w:t>Do této kategorie se zahrnují i pozemky (nezemědělské i zemědělské).</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Movitý majetek (automobily, přeprava atd.)</w:t>
            </w:r>
          </w:p>
          <w:p w14:paraId="6A3FFE7D" w14:textId="77777777" w:rsidR="004E71F4" w:rsidRPr="007F4CC8" w:rsidRDefault="004E71F4" w:rsidP="00155C96">
            <w:pPr>
              <w:pStyle w:val="Institutionquisigne"/>
              <w:spacing w:before="0" w:after="120"/>
              <w:rPr>
                <w:b/>
              </w:rPr>
            </w:pPr>
            <w:r>
              <w:rPr>
                <w:i w:val="0"/>
              </w:rPr>
              <w:t>V tomto řádku se uvádí kolaterál získaný převzetím jiného než nemovitého majetku.</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Kapitálové a dluhové nástroje</w:t>
            </w:r>
          </w:p>
          <w:p w14:paraId="609FD4E1" w14:textId="77777777" w:rsidR="004E71F4" w:rsidRPr="007F4CC8" w:rsidRDefault="004E71F4" w:rsidP="00155C96">
            <w:pPr>
              <w:pStyle w:val="Institutionquisigne"/>
              <w:spacing w:before="0" w:after="120"/>
              <w:rPr>
                <w:b/>
              </w:rPr>
            </w:pPr>
            <w:r>
              <w:rPr>
                <w:i w:val="0"/>
              </w:rPr>
              <w:t>V tomto řádku se uvádí kolaterál získaný převzetím kapitálových nebo dluhových nástrojů.</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Ostatní kolaterál</w:t>
            </w:r>
          </w:p>
          <w:p w14:paraId="724F6703" w14:textId="77777777" w:rsidR="004E71F4" w:rsidRPr="007F4CC8" w:rsidRDefault="004E71F4" w:rsidP="00155C96">
            <w:pPr>
              <w:pStyle w:val="Institutionquisigne"/>
              <w:spacing w:before="0" w:after="120"/>
              <w:rPr>
                <w:i w:val="0"/>
              </w:rPr>
            </w:pPr>
            <w:r>
              <w:rPr>
                <w:i w:val="0"/>
              </w:rPr>
              <w:t xml:space="preserve">Kolaterál získaný převzetím, který nespadá do kategorií v ostatních řádcích. </w:t>
            </w:r>
          </w:p>
          <w:p w14:paraId="6B2FC257" w14:textId="77777777" w:rsidR="004E71F4" w:rsidRPr="007F4CC8" w:rsidRDefault="004E71F4" w:rsidP="00155C96">
            <w:pPr>
              <w:pStyle w:val="Institutionquisigne"/>
              <w:spacing w:before="0" w:after="120"/>
              <w:rPr>
                <w:b/>
              </w:rPr>
            </w:pPr>
            <w:r>
              <w:rPr>
                <w:i w:val="0"/>
              </w:rPr>
              <w:t>Je-li hodnota v tomto řádku poměrně významná, jsou instituce žádány o poskytnutí doplňujících informací v komentáři připojeném k této šabloně.</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Celkem</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Snížení dluhového zůstatku – hrubá účetní hodnota</w:t>
            </w:r>
          </w:p>
          <w:p w14:paraId="32C50F20" w14:textId="77777777" w:rsidR="004E71F4" w:rsidRPr="007F4CC8" w:rsidRDefault="004E71F4" w:rsidP="00155C96">
            <w:pPr>
              <w:pStyle w:val="Institutionquisigne"/>
              <w:spacing w:before="0" w:after="120"/>
              <w:rPr>
                <w:i w:val="0"/>
              </w:rPr>
            </w:pPr>
            <w:r>
              <w:rPr>
                <w:i w:val="0"/>
              </w:rPr>
              <w:t>Hrubá hodnota dluhu, který byl zrušen výměnou za kolaterál získaný převzetím, v přesný okamžik výměny, na základě soudního řízení nebo dvoustranné dohody</w:t>
            </w:r>
          </w:p>
          <w:p w14:paraId="4CE1FD7D" w14:textId="77777777" w:rsidR="004E71F4" w:rsidRPr="007F4CC8" w:rsidRDefault="004E71F4" w:rsidP="00155C96">
            <w:pPr>
              <w:pStyle w:val="Institutionquisigne"/>
              <w:spacing w:before="0" w:after="120"/>
            </w:pPr>
            <w:r>
              <w:rPr>
                <w:i w:val="0"/>
              </w:rPr>
              <w:t>Hrubá hodnota se vypočítá jako hrubé snížení zůstatku nástroje bez zohlednění rezerv. Pro vyloučení pochyb, v tomto sloupci se neuvádí snížení zůstatku z jiných důvodů (např. inkasa hotovosti).</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Snížení dluhového zůstatku – kumulované negativní změny</w:t>
            </w:r>
          </w:p>
          <w:p w14:paraId="7CF34C02" w14:textId="77777777" w:rsidR="004E71F4" w:rsidRPr="007F4CC8" w:rsidRDefault="004E71F4" w:rsidP="00155C96">
            <w:pPr>
              <w:pStyle w:val="Institutionquisigne"/>
              <w:spacing w:before="0" w:after="120"/>
              <w:rPr>
                <w:i w:val="0"/>
              </w:rPr>
            </w:pPr>
            <w:r>
              <w:rPr>
                <w:i w:val="0"/>
              </w:rPr>
              <w:t>Kumulované ztráty ze znehodnocení nebo kumulované negativní změny hodnoty kolaterálu získaného převzetím při prvotním zaúčtování, jak je popsáno výše.</w:t>
            </w:r>
          </w:p>
          <w:p w14:paraId="1CB7E8DB" w14:textId="77777777" w:rsidR="004E71F4" w:rsidRPr="007F4CC8" w:rsidRDefault="004E71F4" w:rsidP="00155C96">
            <w:pPr>
              <w:pStyle w:val="Institutionquisigne"/>
              <w:spacing w:before="0" w:after="120"/>
              <w:rPr>
                <w:i w:val="0"/>
              </w:rPr>
            </w:pPr>
            <w:r>
              <w:rPr>
                <w:i w:val="0"/>
              </w:rPr>
              <w:t>Viz definice v šabloně CQ7 „Kolaterál získaný převzetím a exekucemi“.</w:t>
            </w:r>
          </w:p>
          <w:p w14:paraId="566CE469" w14:textId="77777777" w:rsidR="004E71F4" w:rsidRPr="007F4CC8" w:rsidRDefault="004E71F4" w:rsidP="00155C96">
            <w:pPr>
              <w:pStyle w:val="Institutionquisigne"/>
              <w:spacing w:before="0" w:after="120"/>
            </w:pPr>
            <w:r>
              <w:rPr>
                <w:i w:val="0"/>
              </w:rPr>
              <w:t>Instituce uvedou kumulované negativní změny z důvodu případných odpisů pozemků, budov a zařízení a investičních nemovitostí.</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lastRenderedPageBreak/>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Celkový kolaterál získaný převzetím – hodnota při prvním zaúčtování</w:t>
            </w:r>
          </w:p>
          <w:p w14:paraId="074CCD2D" w14:textId="77777777" w:rsidR="004E71F4" w:rsidRPr="007F4CC8" w:rsidRDefault="004E71F4" w:rsidP="00155C96">
            <w:pPr>
              <w:pStyle w:val="Institutionquisigne"/>
              <w:spacing w:before="0" w:after="120"/>
              <w:rPr>
                <w:b/>
                <w:i w:val="0"/>
              </w:rPr>
            </w:pPr>
            <w:r>
              <w:rPr>
                <w:i w:val="0"/>
              </w:rPr>
              <w:t>Instituce v tomto sloupci uvedou hrubou účetní hodnotu kolaterálu získaného převzetím v hodnotě při prvním zaúčtování v rozvaze instituce.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Celkový kolaterál získaný převzetím – kumulované negativní změny</w:t>
            </w:r>
          </w:p>
          <w:p w14:paraId="291CB036" w14:textId="77777777" w:rsidR="004E71F4" w:rsidRPr="007F4CC8" w:rsidRDefault="004E71F4" w:rsidP="00155C96">
            <w:pPr>
              <w:pStyle w:val="Institutionquisigne"/>
              <w:spacing w:before="0" w:after="120"/>
              <w:rPr>
                <w:i w:val="0"/>
              </w:rPr>
            </w:pPr>
            <w:r>
              <w:rPr>
                <w:i w:val="0"/>
              </w:rPr>
              <w:t xml:space="preserve">Kumulované ztráty ze znehodnocení nebo kumulované negativní změny hodnoty kolaterálu získaného převzetím při prvotním zaúčtování, jak je popsáno výše. </w:t>
            </w:r>
          </w:p>
          <w:p w14:paraId="4CA0D5C4" w14:textId="77777777" w:rsidR="004E71F4" w:rsidRPr="007F4CC8" w:rsidRDefault="004E71F4" w:rsidP="00155C96">
            <w:pPr>
              <w:pStyle w:val="Institutionquisigne"/>
              <w:spacing w:before="0" w:after="120"/>
            </w:pPr>
            <w:r>
              <w:rPr>
                <w:i w:val="0"/>
              </w:rPr>
              <w:t>Instituce uvedou kumulované negativní změny z důvodu případných odpisů pozemků, budov a zařízení a investičních nemovitostí.</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Celkový kolaterál získaný převzetím – Ponechaný ≤ 2 roky – z toho: hodnota při prvním zaúčtování </w:t>
            </w:r>
          </w:p>
          <w:p w14:paraId="417F34A7" w14:textId="77777777" w:rsidR="004E71F4" w:rsidRPr="007F4CC8" w:rsidRDefault="004E71F4" w:rsidP="00155C96">
            <w:pPr>
              <w:pStyle w:val="Institutionquisigne"/>
              <w:spacing w:before="0" w:after="120"/>
              <w:rPr>
                <w:i w:val="0"/>
              </w:rPr>
            </w:pPr>
            <w:r>
              <w:rPr>
                <w:i w:val="0"/>
              </w:rPr>
              <w:t>Hodnota při prvním zaúčtování kolaterálu získaného převzetím a zaúčtovaného v rozvaze k referenčnímu datu sledovaného období po dobu 2 let nebo méně</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Celkový kolaterál získaný převzetím – Ponechaný ≤ 2 roky – z toho: kumulované negativní změny</w:t>
            </w:r>
          </w:p>
          <w:p w14:paraId="11843E8C" w14:textId="77777777" w:rsidR="004E71F4" w:rsidRPr="007F4CC8" w:rsidRDefault="004E71F4" w:rsidP="00155C96">
            <w:pPr>
              <w:pStyle w:val="Institutionquisigne"/>
              <w:spacing w:before="0" w:after="120"/>
            </w:pPr>
            <w:r>
              <w:rPr>
                <w:i w:val="0"/>
              </w:rPr>
              <w:t>Kumulované negativní změny kolaterálu získaného převzetím a zaúčtovaného v rozvaze k referenčnímu datu sledovaného období po dobu 2 let nebo méně</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Celkový kolaterál získaný převzetím – Ponechaný &gt; 2 roky ≤ 5 let – z toho hodnota při prvním zaúčtování </w:t>
            </w:r>
          </w:p>
          <w:p w14:paraId="650D54A9" w14:textId="77777777" w:rsidR="004E71F4" w:rsidRPr="007F4CC8" w:rsidRDefault="004E71F4" w:rsidP="00155C96">
            <w:pPr>
              <w:pStyle w:val="Institutionquisigne"/>
              <w:spacing w:before="0" w:after="120"/>
              <w:rPr>
                <w:b/>
                <w:i w:val="0"/>
              </w:rPr>
            </w:pPr>
            <w:r>
              <w:rPr>
                <w:i w:val="0"/>
              </w:rPr>
              <w:t>Hodnota při prvním zaúčtování kolaterálu získaného převzetím a zaúčtovaného v rozvaze k referenčnímu datu sledovaného období po dobu více než 2 let a méně než 5 let</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Celkový kolaterál získaný převzetím – Ponechaný &gt; 2 roky ≤ 5 let – z toho: kumulované negativní změny</w:t>
            </w:r>
          </w:p>
          <w:p w14:paraId="1F75800B" w14:textId="3B683CA0" w:rsidR="004E71F4" w:rsidRPr="007F4CC8" w:rsidRDefault="004E71F4" w:rsidP="00C44E30">
            <w:pPr>
              <w:pStyle w:val="Institutionquisigne"/>
              <w:spacing w:before="0" w:after="120"/>
            </w:pPr>
            <w:r>
              <w:rPr>
                <w:i w:val="0"/>
              </w:rPr>
              <w:t xml:space="preserve">Kumulované negativní změny kolaterálu získaného převzetím a zaúčtovaného v rozvaze k referenčnímu datu sledovaného období po dobu více než 2 </w:t>
            </w:r>
            <w:r w:rsidR="00C44E30">
              <w:rPr>
                <w:i w:val="0"/>
              </w:rPr>
              <w:t>roky</w:t>
            </w:r>
            <w:r>
              <w:rPr>
                <w:i w:val="0"/>
              </w:rPr>
              <w:t xml:space="preserve"> a méně než 5 let</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Celkový kolaterál získaný převzetím – Ponechaný &gt; 5 let – z toho: hodnota při prvním zaúčtování</w:t>
            </w:r>
          </w:p>
          <w:p w14:paraId="7E2F7EB4" w14:textId="77777777" w:rsidR="004E71F4" w:rsidRPr="007F4CC8" w:rsidRDefault="004E71F4" w:rsidP="00155C96">
            <w:pPr>
              <w:pStyle w:val="Institutionquisigne"/>
              <w:spacing w:before="0" w:after="120"/>
              <w:rPr>
                <w:b/>
                <w:i w:val="0"/>
              </w:rPr>
            </w:pPr>
            <w:r>
              <w:rPr>
                <w:i w:val="0"/>
              </w:rPr>
              <w:t>Hodnota při prvním zaúčtování kolaterálu získaného převzetím a zaúčtovaného v rozvaze k referenčnímu datu sledovaného období po dobu více než 5 let</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Celkový kolaterál získaný převzetím – Ponechaný &gt; 5 let – z toho: kumulované negativní změny</w:t>
            </w:r>
          </w:p>
          <w:p w14:paraId="46C0DC66" w14:textId="77777777" w:rsidR="004E71F4" w:rsidRPr="007F4CC8" w:rsidRDefault="004E71F4" w:rsidP="00155C96">
            <w:pPr>
              <w:pStyle w:val="Institutionquisigne"/>
              <w:spacing w:before="0" w:after="120"/>
            </w:pPr>
            <w:r>
              <w:rPr>
                <w:i w:val="0"/>
              </w:rPr>
              <w:t>Kumulované negativní změny kolaterálu získaného převzetím a zaúčtovaného v rozvaze k referenčnímu datu sledovaného období po dobu více než 5 let</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lastRenderedPageBreak/>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Celkový kolaterál získaný převzetím – Z toho neoběžná aktiva určená k prodeji – z toho hodnota při prvním zaúčtování</w:t>
            </w:r>
          </w:p>
          <w:p w14:paraId="42251EB3" w14:textId="77777777" w:rsidR="004E71F4" w:rsidRPr="007F4CC8" w:rsidRDefault="004E71F4" w:rsidP="00155C96">
            <w:pPr>
              <w:pStyle w:val="Institutionquisigne"/>
              <w:spacing w:before="0" w:after="120"/>
              <w:rPr>
                <w:b/>
                <w:i w:val="0"/>
              </w:rPr>
            </w:pPr>
            <w:r>
              <w:rPr>
                <w:i w:val="0"/>
              </w:rPr>
              <w:t>Zpřístupňuje se hodnota při prvním zaúčtování kolaterálu získaného převzetím, který je klasifikován jako neoběžná aktiva k prodeji. Není-li tato klasifikace relevantní podle účetního rámce platného pro danou instituci, tyto informace se neposkytují.</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Celkový kolaterál získaný převzetím – Z toho neoběžná aktiva určená k prodeji – z toho kumulované negativní změny</w:t>
            </w:r>
          </w:p>
          <w:p w14:paraId="217374E3" w14:textId="77777777" w:rsidR="004E71F4" w:rsidRPr="007F4CC8" w:rsidRDefault="004E71F4" w:rsidP="00155C96">
            <w:pPr>
              <w:pStyle w:val="Personnequisigne"/>
              <w:spacing w:after="120"/>
              <w:jc w:val="both"/>
            </w:pPr>
            <w:r>
              <w:rPr>
                <w:i w:val="0"/>
              </w:rPr>
              <w:t>Uvádí se kumulované negativní změny kolaterálu získaného převzetím, který je klasifikován jako neoběžná aktiva k prodeji. Není-li tato klasifikace relevantní podle účetního rámce platného pro danou instituci, tyto informace se neposkytují.</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PŘÍLOHA XVIII – Zpřístupňování informací o použití technik snižování úvěrového rizika</w:t>
      </w:r>
    </w:p>
    <w:p w14:paraId="695A387D" w14:textId="77777777" w:rsidR="001C2E4C" w:rsidRPr="007F4CC8" w:rsidRDefault="001C2E4C" w:rsidP="001C2E4C">
      <w:pPr>
        <w:spacing w:after="120"/>
        <w:rPr>
          <w:rFonts w:ascii="Times New Roman" w:hAnsi="Times New Roman" w:cs="Times New Roman"/>
          <w:sz w:val="24"/>
        </w:rPr>
      </w:pPr>
    </w:p>
    <w:p w14:paraId="45361111" w14:textId="5B105656" w:rsidR="001C2E4C" w:rsidRPr="007F4CC8" w:rsidRDefault="001C2E4C" w:rsidP="001C2E4C">
      <w:pPr>
        <w:spacing w:after="120"/>
        <w:rPr>
          <w:rFonts w:ascii="Times New Roman" w:hAnsi="Times New Roman"/>
          <w:sz w:val="24"/>
        </w:rPr>
      </w:pPr>
      <w:r>
        <w:rPr>
          <w:rFonts w:ascii="Times New Roman" w:hAnsi="Times New Roman"/>
          <w:b/>
          <w:sz w:val="24"/>
        </w:rPr>
        <w:t xml:space="preserve">Tabulka </w:t>
      </w:r>
      <w:r w:rsidR="00CC4769">
        <w:rPr>
          <w:rFonts w:ascii="Times New Roman" w:hAnsi="Times New Roman"/>
          <w:b/>
          <w:sz w:val="24"/>
        </w:rPr>
        <w:t xml:space="preserve">EU </w:t>
      </w:r>
      <w:r>
        <w:rPr>
          <w:rFonts w:ascii="Times New Roman" w:hAnsi="Times New Roman"/>
          <w:b/>
          <w:sz w:val="24"/>
        </w:rPr>
        <w:t>CRC – Požadavky na zpřístupnění kvalitativních informací, které se týkají technik snižování úvěrového rizika. Flexibilní tabulka</w:t>
      </w:r>
    </w:p>
    <w:p w14:paraId="4639841B" w14:textId="41395692"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Informace uvedené v čl. 453 písm. a) až e) nařízení (EU) č. 575/2013</w:t>
      </w:r>
      <w:r w:rsidRPr="007F4CC8">
        <w:rPr>
          <w:rStyle w:val="FootnoteReference"/>
          <w:rFonts w:ascii="Times New Roman" w:hAnsi="Times New Roman" w:cs="Times New Roman"/>
          <w:sz w:val="24"/>
          <w:szCs w:val="24"/>
        </w:rPr>
        <w:footnoteReference w:id="33"/>
      </w:r>
      <w:r>
        <w:rPr>
          <w:rFonts w:ascii="Times New Roman" w:hAnsi="Times New Roman"/>
          <w:sz w:val="24"/>
        </w:rPr>
        <w:t xml:space="preserve"> (dále jen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CRC, obsažené v příloze XVII tohoto prováděcího nařízení.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Označení</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řádku</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7"/>
        <w:gridCol w:w="1003"/>
        <w:gridCol w:w="668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2A8ADCAE"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Čl. 453 písm.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Při zpřístupňování informací o svých zásadách započtení a používání započtení v souladu s čl. 453 písm. a) CRR instituce uvedou jasný popis zásad a procesů snižování úvěrového rizika týkajících se dohod o rozvahovém a podrozvahovém započtení a rámcových dohod o započtení. Rovněž uvedou, do jaké míry byly dohody o rozvahovém a podrozvahovém započtení a rámcové dohody o započtení využity a jaký mají význam z hlediska snižování úvěrového rizika. Instituce by mohly zmínit zejména podrobnosti o používaných technikách, o pozicích, na které se vztahují dohody o rozvahovém započtení, a o finančních nástrojích, které jsou zařazeny do rámcových dohod o započtení. Také by mohly být popsány podmínky nezbytné k zajištění účinnosti těchto technik a zavedené kontroly právního rizika.</w:t>
            </w:r>
          </w:p>
        </w:tc>
      </w:tr>
      <w:tr w:rsidR="001C2E4C" w:rsidRPr="007F4CC8" w14:paraId="6FBF74D8" w14:textId="77777777" w:rsidTr="00155C96">
        <w:trPr>
          <w:trHeight w:val="841"/>
        </w:trPr>
        <w:tc>
          <w:tcPr>
            <w:tcW w:w="1407" w:type="dxa"/>
          </w:tcPr>
          <w:p w14:paraId="1AB3C80B" w14:textId="595A34CE"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Čl. 453 písm. b)</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CRR</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 rámci zpřístupňování informací o klíčových rysech jejich zásad a procesů oceňování a řízení způsobilého kolaterálu v souladu s čl. 453 písm. b) CRR instituce uvedou:</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základ pro hodnocení a oceňování zastaveného kolaterálu, včetně hodnocení právní jistoty technik snižování úvěrového rizika,</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druh ocenění (tržní hodnota, zástavní hodnota nemovitosti, jiné druhy hodnot),</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do jaké míry je vypočtená hodnota kolaterálu snížená srážkou při ocenění,</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postup, četnost a zavedené metody sledování hodnoty zajištění hypotéky a ostatního hmotného kolaterálu.</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Instituce by dále měly zpřístupnit informace o tom, zda je zaveden systém limitů úvěrové expozice a jaký dopad má přijatý kolaterál na kvantifikaci těchto limitů.</w:t>
            </w:r>
          </w:p>
        </w:tc>
      </w:tr>
      <w:tr w:rsidR="001C2E4C" w:rsidRPr="007F4CC8" w:rsidDel="00915DC9" w14:paraId="2F808C5D" w14:textId="77777777" w:rsidTr="00155C96">
        <w:trPr>
          <w:trHeight w:val="973"/>
        </w:trPr>
        <w:tc>
          <w:tcPr>
            <w:tcW w:w="1407" w:type="dxa"/>
          </w:tcPr>
          <w:p w14:paraId="1EF28047" w14:textId="0A478DDC"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Čl. 453 písm. c) CRR</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Při popisu kolaterálu přijatého v souladu s čl. 453 písm. c) CRR uvedou instituce podrobný popis hlavních druhů kolaterálu přijatého ke zmírnění úvěrového rizika, podle druhů expozic.</w:t>
            </w:r>
          </w:p>
        </w:tc>
      </w:tr>
      <w:tr w:rsidR="001C2E4C" w:rsidRPr="007F4CC8" w14:paraId="3549FC01" w14:textId="77777777" w:rsidTr="00155C96">
        <w:trPr>
          <w:trHeight w:val="1265"/>
        </w:trPr>
        <w:tc>
          <w:tcPr>
            <w:tcW w:w="1407" w:type="dxa"/>
          </w:tcPr>
          <w:p w14:paraId="71959583" w14:textId="381249FF"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proofErr w:type="spellStart"/>
            <w:r>
              <w:rPr>
                <w:rFonts w:ascii="Times New Roman" w:hAnsi="Times New Roman"/>
                <w:iCs/>
                <w:sz w:val="24"/>
              </w:rPr>
              <w:t>Čl</w:t>
            </w:r>
            <w:proofErr w:type="spellEnd"/>
            <w:r>
              <w:rPr>
                <w:rFonts w:ascii="Times New Roman" w:hAnsi="Times New Roman"/>
                <w:iCs/>
                <w:sz w:val="24"/>
              </w:rPr>
              <w:t xml:space="preserve">. 453 </w:t>
            </w:r>
            <w:proofErr w:type="spellStart"/>
            <w:r>
              <w:rPr>
                <w:rFonts w:ascii="Times New Roman" w:hAnsi="Times New Roman"/>
                <w:iCs/>
                <w:sz w:val="24"/>
              </w:rPr>
              <w:t>písm</w:t>
            </w:r>
            <w:proofErr w:type="spellEnd"/>
            <w:r>
              <w:rPr>
                <w:rFonts w:ascii="Times New Roman" w:hAnsi="Times New Roman"/>
                <w:iCs/>
                <w:sz w:val="24"/>
              </w:rPr>
              <w:t>. d) CRR</w:t>
            </w:r>
          </w:p>
        </w:tc>
        <w:tc>
          <w:tcPr>
            <w:tcW w:w="6782" w:type="dxa"/>
          </w:tcPr>
          <w:p w14:paraId="14D7C916" w14:textId="77777777" w:rsidR="001C2E4C" w:rsidRPr="00C44E30" w:rsidRDefault="001C2E4C" w:rsidP="00155C96">
            <w:pPr>
              <w:spacing w:after="120"/>
              <w:jc w:val="both"/>
              <w:rPr>
                <w:rFonts w:ascii="Times New Roman" w:hAnsi="Times New Roman" w:cs="Times New Roman"/>
                <w:sz w:val="24"/>
                <w:lang w:val="cs-CZ"/>
              </w:rPr>
            </w:pPr>
            <w:r w:rsidRPr="00C44E30">
              <w:rPr>
                <w:rFonts w:ascii="Times New Roman" w:hAnsi="Times New Roman"/>
                <w:sz w:val="24"/>
                <w:lang w:val="cs-CZ"/>
              </w:rPr>
              <w:t xml:space="preserve">Popis hlavních druhů ručitelů a protistran u úvěrových derivátů a jejich úvěruschopnosti, který se zpřístupňuje podle čl. 453 písm. d) CRR, by měl zahrnovat úvěrové deriváty používané ke snížení kapitálových požadavků, s výjimkou těch, které jsou použity jako součást struktur syntetické sekuritizace. Instituce by mohly uvést i popis metod použitých k uznání účinků záruk nebo úvěrových derivátů poskytovaných hlavními druhy ručitelů a protistran. </w:t>
            </w:r>
          </w:p>
        </w:tc>
      </w:tr>
      <w:tr w:rsidR="001C2E4C" w:rsidRPr="007F4CC8" w14:paraId="078F2BF9" w14:textId="77777777" w:rsidTr="00155C96">
        <w:trPr>
          <w:trHeight w:val="1405"/>
        </w:trPr>
        <w:tc>
          <w:tcPr>
            <w:tcW w:w="1407" w:type="dxa"/>
          </w:tcPr>
          <w:p w14:paraId="72556FE0" w14:textId="645E11C1"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 453 písm. e) CRR</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Při zpřístupňování informací o koncentracích tržního nebo úvěrového rizika v rámci snižování úvěrového rizika podle čl. 453 písm. e) CRR poskytnou instituce analýzu jakékoli koncentrace, která vznikne z důvodu opatření ke snižování úvěrového rizika a může bránit účinnosti nástrojů pro snižování úvěrového rizika. Koncentrace v rámci těchto zpřístupňovaných informací by mohly zahrnovat koncentrace podle typu nástroje použitého jako kolaterál, subjektu (koncentrace podle druhu ručitele a poskytovatele úvěrových derivátů), odvětví, zeměpisné oblasti, měny, ratingu nebo jiných faktorů, které mohou potenciálně ovlivnit hodnotu ochrany, a tím tuto ochranu snížit.</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4B89989F" w:rsidR="001C2E4C" w:rsidRPr="007F4CC8" w:rsidRDefault="001C2E4C" w:rsidP="001C2E4C">
      <w:pPr>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CR3 – Přehled technik snižování úvěrového rizika: Zpřístupňování informací o použití technik snižování úvěrového rizika. Šablona s pevným formátem.</w:t>
      </w:r>
    </w:p>
    <w:p w14:paraId="62783EF0" w14:textId="1F79FDDD"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Informace uvedené v čl. 453 písm. f) CRR zpřístupňují instituce podle následujících pokynů k vyplňování šablony </w:t>
      </w:r>
      <w:r w:rsidR="00CC4769">
        <w:rPr>
          <w:rFonts w:ascii="Times New Roman" w:hAnsi="Times New Roman"/>
          <w:sz w:val="24"/>
        </w:rPr>
        <w:t xml:space="preserve">EU </w:t>
      </w:r>
      <w:r>
        <w:rPr>
          <w:rFonts w:ascii="Times New Roman" w:hAnsi="Times New Roman"/>
          <w:sz w:val="24"/>
        </w:rPr>
        <w:t>CR3, obsažené v příloze XVII tohoto prováděcího nařízení.</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Tato šablona pokrývá všechny techniky snižování úvěrového rizika uznané podle platného účetního rámce bez ohledu na to, zda jsou uznány podle CRR, mimo jiné včetně všech druhů kolaterálu, finančních záruk a úvěrových derivátů použitých pro všechny zajištěné expozice bez ohledu na to, zda se pro výpočet objemů rizikově vážené expozice (RWEA) použije standardizovaný přístup nebo přístup IRB.</w:t>
      </w:r>
      <w:r>
        <w:rPr>
          <w:rFonts w:ascii="Times New Roman" w:hAnsi="Times New Roman"/>
          <w:iCs/>
          <w:sz w:val="24"/>
        </w:rPr>
        <w:t xml:space="preserve"> Instituce doplní šablonu popisným komentářem, ve kterém vysvětlí všechny významné změny během období, za něž se informace zpřístupňují, a hlavní důvody k nim.</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Vysvětlení</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Nezajištěná účetní hodnota: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Účetní hodnota expozic (snížená o opravné položky / znehodnocení), u nichž se nepoužívá žádná technika snižování úvěrového rizika, a to bez ohledu na to, zda je tato technika uznána podle CRR.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lastRenderedPageBreak/>
              <w:t xml:space="preserve">Zejména se jedná o expozice, za něž nebyl zastaven </w:t>
            </w:r>
            <w:proofErr w:type="gramStart"/>
            <w:r>
              <w:rPr>
                <w:rFonts w:ascii="Times New Roman" w:hAnsi="Times New Roman"/>
                <w:iCs/>
                <w:sz w:val="24"/>
              </w:rPr>
              <w:t>kolaterál ani</w:t>
            </w:r>
            <w:proofErr w:type="gramEnd"/>
            <w:r>
              <w:rPr>
                <w:rFonts w:ascii="Times New Roman" w:hAnsi="Times New Roman"/>
                <w:iCs/>
                <w:sz w:val="24"/>
              </w:rPr>
              <w:t xml:space="preserve"> nebyly obdrženy finanční záruky. Nezajištěná část částečně zajištěné nebo částečně zaručené expozice se zde nezahrnuje.</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Zajištěná účetní hodnota: </w:t>
            </w:r>
          </w:p>
          <w:p w14:paraId="34A5E0D0" w14:textId="70EB5980"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Účetní hodnota expozic, s nimiž je spojena alespoň jedna technika snižování úvěrového rizika (kolaterál, finanční záruky, úvěrové deriváty)</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Jestliže hodnota kolaterálu, finančních záruk a úvěrových derivátů zajišťujících expozici převyšuje účetní hodnotu dané expozice, zahrnou se pouze hodnoty do výše účetní hodnoty expozice. Jestliže účetní hodnota expozice přesáhne hodnotu kolaterálu, finančních záruk a úvěrových derivátů zajišťujících tuto expozici, zahrne se celá účetní hodnota dané expozice.</w:t>
            </w:r>
          </w:p>
          <w:p w14:paraId="705DC79D" w14:textId="67AD1E26"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Pro účely následujících sloupců c</w:t>
            </w:r>
            <w:r w:rsidR="005B280B">
              <w:rPr>
                <w:rFonts w:ascii="Times New Roman" w:hAnsi="Times New Roman"/>
                <w:iCs/>
                <w:sz w:val="24"/>
              </w:rPr>
              <w:t>)</w:t>
            </w:r>
            <w:r>
              <w:rPr>
                <w:rFonts w:ascii="Times New Roman" w:hAnsi="Times New Roman"/>
                <w:iCs/>
                <w:sz w:val="24"/>
              </w:rPr>
              <w:t>, d</w:t>
            </w:r>
            <w:r w:rsidR="005B280B">
              <w:rPr>
                <w:rFonts w:ascii="Times New Roman" w:hAnsi="Times New Roman"/>
                <w:iCs/>
                <w:sz w:val="24"/>
              </w:rPr>
              <w:t>)</w:t>
            </w:r>
            <w:r>
              <w:rPr>
                <w:rFonts w:ascii="Times New Roman" w:hAnsi="Times New Roman"/>
                <w:iCs/>
                <w:sz w:val="24"/>
              </w:rPr>
              <w:t xml:space="preserve"> a e</w:t>
            </w:r>
            <w:r w:rsidR="005B280B">
              <w:rPr>
                <w:rFonts w:ascii="Times New Roman" w:hAnsi="Times New Roman"/>
                <w:iCs/>
                <w:sz w:val="24"/>
              </w:rPr>
              <w:t>)</w:t>
            </w:r>
            <w:r>
              <w:rPr>
                <w:rFonts w:ascii="Times New Roman" w:hAnsi="Times New Roman"/>
                <w:iCs/>
                <w:sz w:val="24"/>
              </w:rPr>
              <w:t xml:space="preserve"> se přiřazení účetní hodnoty expozic zajištěných více mechanismy různým technikám snižování úvěrového rizika provádí podle priority, počínaje technikou snižování úvěrového rizika, u níž se očekává, že bude v případě neplacení uplatněna jako první, a v mezích účetní hodnoty zajištěných expozic. Kterákoli část expozice bude zahrnuta pouze v jednom ze sloupců c</w:t>
            </w:r>
            <w:r w:rsidR="005B280B">
              <w:rPr>
                <w:rFonts w:ascii="Times New Roman" w:hAnsi="Times New Roman"/>
                <w:iCs/>
                <w:sz w:val="24"/>
              </w:rPr>
              <w:t>)</w:t>
            </w:r>
            <w:r>
              <w:rPr>
                <w:rFonts w:ascii="Times New Roman" w:hAnsi="Times New Roman"/>
                <w:iCs/>
                <w:sz w:val="24"/>
              </w:rPr>
              <w:t>, d</w:t>
            </w:r>
            <w:r w:rsidR="005B280B">
              <w:rPr>
                <w:rFonts w:ascii="Times New Roman" w:hAnsi="Times New Roman"/>
                <w:iCs/>
                <w:sz w:val="24"/>
              </w:rPr>
              <w:t>)</w:t>
            </w:r>
            <w:r>
              <w:rPr>
                <w:rFonts w:ascii="Times New Roman" w:hAnsi="Times New Roman"/>
                <w:iCs/>
                <w:sz w:val="24"/>
              </w:rPr>
              <w:t xml:space="preserve"> nebo e</w:t>
            </w:r>
            <w:r w:rsidR="005B280B">
              <w:rPr>
                <w:rFonts w:ascii="Times New Roman" w:hAnsi="Times New Roman"/>
                <w:iCs/>
                <w:sz w:val="24"/>
              </w:rPr>
              <w:t>)</w:t>
            </w:r>
            <w:r>
              <w:rPr>
                <w:rFonts w:ascii="Times New Roman" w:hAnsi="Times New Roman"/>
                <w:iCs/>
                <w:sz w:val="24"/>
              </w:rPr>
              <w:t xml:space="preserve"> této šablony.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Z toho zajištěné kolaterálem: </w:t>
            </w:r>
          </w:p>
          <w:p w14:paraId="3B317890" w14:textId="22CFE7FC"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Tato položka je podmnožinou sloupce b</w:t>
            </w:r>
            <w:r w:rsidR="005B280B">
              <w:rPr>
                <w:rFonts w:ascii="Times New Roman" w:hAnsi="Times New Roman"/>
                <w:iCs/>
                <w:sz w:val="24"/>
              </w:rPr>
              <w:t>)</w:t>
            </w:r>
            <w:r>
              <w:rPr>
                <w:rFonts w:ascii="Times New Roman" w:hAnsi="Times New Roman"/>
                <w:iCs/>
                <w:sz w:val="24"/>
              </w:rPr>
              <w:t xml:space="preserve"> této šablony a představuje účetní hodnotu expozic (sníženou o opravné položky / znehodnocení) nebo částí expozic zajištěných kolaterálem. V případě, že je expozice zajištěna kolaterálem a jinými technikami snižování úvěrového rizika, u nichž se očekává, že budou v případě neplacení uplatněny předem, je účetní hodnotou expozice zajištěné kolaterálem zbývající podíl expozice po zohlednění částí expozic již zajištěných jinými technikami snižování rizika, a to až do výše účetní hodnoty této expozice.</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Z toho zajištěné finančními zárukami: </w:t>
            </w:r>
          </w:p>
          <w:p w14:paraId="2B2982FE" w14:textId="32C66778"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Tato položka je podmnožinou sloupce b</w:t>
            </w:r>
            <w:r w:rsidR="005B280B">
              <w:rPr>
                <w:rFonts w:ascii="Times New Roman" w:hAnsi="Times New Roman"/>
                <w:iCs/>
                <w:sz w:val="24"/>
              </w:rPr>
              <w:t>)</w:t>
            </w:r>
            <w:r>
              <w:rPr>
                <w:rFonts w:ascii="Times New Roman" w:hAnsi="Times New Roman"/>
                <w:iCs/>
                <w:sz w:val="24"/>
              </w:rPr>
              <w:t xml:space="preserve"> této šablony a představuje účetní hodnotu expozic (sníženou o opravné položky / znehodnocení) nebo částí expozic zajištěných zárukami. V případě, že je expozice zajištěna zárukami a jinými technikami snižování úvěrového rizika, u nichž se očekává, že budou v případě neplacení uplatněny předem, je účetní hodnotou expozice zajištěné zárukami zbývající část expozice po zohlednění částí expozic již zajištěných jinými technikami snižování rizika, a to až do výše účetní hodnoty této expozice.</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Z toho zajištěné úvěrovými deriváty: </w:t>
            </w:r>
          </w:p>
          <w:p w14:paraId="40A31B4D" w14:textId="2DFCA69A"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Tato položka je podmnožinou sloupce d</w:t>
            </w:r>
            <w:r w:rsidR="005B280B">
              <w:rPr>
                <w:rFonts w:ascii="Times New Roman" w:hAnsi="Times New Roman"/>
                <w:iCs/>
                <w:sz w:val="24"/>
              </w:rPr>
              <w:t>)</w:t>
            </w:r>
            <w:r>
              <w:rPr>
                <w:rFonts w:ascii="Times New Roman" w:hAnsi="Times New Roman"/>
                <w:iCs/>
                <w:sz w:val="24"/>
              </w:rPr>
              <w:t xml:space="preserve"> (finanční záruky) této šablony a představuje účetní hodnotu expozic (sníženou o opravné položky / znehodnocení) nebo částí expozic zajištěných úvěrovými deriváty. V případě, že je expozice zajištěna úvěrovými deriváty a jinými technikami snižování úvěrového rizika, u nichž se očekává, že budou v případě neplacení uplatněny předem, je účetní hodnotou expozice zajištěné úvěrovými deriváty zbývající </w:t>
            </w:r>
            <w:r>
              <w:rPr>
                <w:rFonts w:ascii="Times New Roman" w:hAnsi="Times New Roman"/>
                <w:iCs/>
                <w:sz w:val="24"/>
              </w:rPr>
              <w:lastRenderedPageBreak/>
              <w:t xml:space="preserve">část expozice po zohlednění částí expozic již zajištěných jinými technikami snižování rizika, a to až do výše účetní hodnoty této expozice.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Úvěry a jiné pohledávky</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„Úvěry a jiné pohledávky“ jsou dluhové nástroje, které jsou v držení dané instituce a které nejsou cennými papíry; tato položka zahrnuje „úvěry“ podle nařízení (EU) č. 1071/2013 (dále jen „nařízení ECB o BSI“)</w:t>
            </w:r>
            <w:r w:rsidRPr="007F4CC8">
              <w:rPr>
                <w:rStyle w:val="FootnoteReference"/>
                <w:rFonts w:ascii="Times New Roman" w:hAnsi="Times New Roman" w:cs="Times New Roman"/>
                <w:sz w:val="24"/>
                <w:szCs w:val="24"/>
              </w:rPr>
              <w:footnoteReference w:id="34"/>
            </w:r>
            <w:r>
              <w:rPr>
                <w:rFonts w:ascii="Times New Roman" w:hAnsi="Times New Roman"/>
                <w:sz w:val="24"/>
              </w:rPr>
              <w:t>, jakož i pohledávky, které nelze klasifikovat jako „úvěry“ v souladu s nařízením ECB o BSI ve smyslu přílohy V části první odst. 32 prováděcího nařízení Komise (EU) č. 680/2014</w:t>
            </w:r>
            <w:r w:rsidRPr="007F4CC8">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Dluhové cenné papíry</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Dluhové cenné papíry jsou dluhové nástroje držené institucí a vydané jako cenné papíry, které nejsou úvěry podle nařízení ECB o BSI, ve smyslu přílohy V části první odst. 31 prováděcího nařízení Komise (EU) č.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Celkem</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Součet hodnot v řádcích 1 a 2 této šablony.</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Z toho nevýkonné expozice</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Nevýkonné expozice podle článku 47a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Z toho v selhání</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Expozice v selhání podle článku 178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PŘÍLOHA XX – Pokyny ke zpřístupňování informací o použití standardizovaného přístupu k úvěrovému riziku (vyjma úvěrového rizika protistrany a sekuritizovaných pozic)</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Šablony, ke kterým jsou v této příloze uvedeny pokyny, se netýkají nástrojů, na které se vztahuje část třetí hlava II kapitola 6 CRR (expozice úvěrového rizika protistrany), ani nástrojů, na které se vztahují požadavky části třetí hlavy II kapitoly 5 CRR (</w:t>
      </w:r>
      <w:proofErr w:type="spellStart"/>
      <w:r>
        <w:rPr>
          <w:rFonts w:ascii="Times New Roman" w:hAnsi="Times New Roman"/>
          <w:sz w:val="24"/>
        </w:rPr>
        <w:t>sekuritizované</w:t>
      </w:r>
      <w:proofErr w:type="spellEnd"/>
      <w:r>
        <w:rPr>
          <w:rFonts w:ascii="Times New Roman" w:hAnsi="Times New Roman"/>
          <w:sz w:val="24"/>
        </w:rPr>
        <w:t xml:space="preserve"> expozice).</w:t>
      </w:r>
    </w:p>
    <w:p w14:paraId="57D320CA" w14:textId="04C04C20" w:rsidR="00563C4F" w:rsidRPr="007F4CC8" w:rsidRDefault="00563C4F" w:rsidP="00563C4F">
      <w:pPr>
        <w:spacing w:after="120"/>
        <w:rPr>
          <w:rFonts w:ascii="Times New Roman" w:hAnsi="Times New Roman" w:cs="Times New Roman"/>
          <w:b/>
          <w:sz w:val="24"/>
        </w:rPr>
      </w:pPr>
      <w:r>
        <w:rPr>
          <w:rFonts w:ascii="Times New Roman" w:hAnsi="Times New Roman"/>
          <w:b/>
          <w:sz w:val="24"/>
        </w:rPr>
        <w:t xml:space="preserve">Tabulka </w:t>
      </w:r>
      <w:proofErr w:type="gramStart"/>
      <w:r>
        <w:rPr>
          <w:rFonts w:ascii="Times New Roman" w:hAnsi="Times New Roman"/>
          <w:b/>
          <w:sz w:val="24"/>
        </w:rPr>
        <w:t>EU</w:t>
      </w:r>
      <w:proofErr w:type="gramEnd"/>
      <w:r>
        <w:rPr>
          <w:rFonts w:ascii="Times New Roman" w:hAnsi="Times New Roman"/>
          <w:b/>
          <w:sz w:val="24"/>
        </w:rPr>
        <w:t>–</w:t>
      </w:r>
      <w:proofErr w:type="gramStart"/>
      <w:r>
        <w:rPr>
          <w:rFonts w:ascii="Times New Roman" w:hAnsi="Times New Roman"/>
          <w:b/>
          <w:sz w:val="24"/>
        </w:rPr>
        <w:t>CRD</w:t>
      </w:r>
      <w:proofErr w:type="gramEnd"/>
      <w:r>
        <w:rPr>
          <w:rFonts w:ascii="Times New Roman" w:hAnsi="Times New Roman"/>
          <w:b/>
          <w:sz w:val="24"/>
        </w:rPr>
        <w:t xml:space="preserve"> – Požadavky na zpřístupnění kvalitativních informací, které se týkají standardizovaného přístupu. </w:t>
      </w:r>
      <w:r>
        <w:rPr>
          <w:rFonts w:ascii="Times New Roman" w:hAnsi="Times New Roman"/>
          <w:sz w:val="24"/>
        </w:rPr>
        <w:t>Flexibilní formát</w:t>
      </w:r>
    </w:p>
    <w:p w14:paraId="599DC7C3" w14:textId="00ED8A1D"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Informace uvedené v čl. 444 písm. a) až d) nařízení (EU) č. 575/2013</w:t>
      </w:r>
      <w:r w:rsidRPr="007F4CC8">
        <w:rPr>
          <w:rStyle w:val="FootnoteReference"/>
        </w:rPr>
        <w:footnoteReference w:id="36"/>
      </w:r>
      <w:r>
        <w:rPr>
          <w:rFonts w:ascii="Times New Roman" w:hAnsi="Times New Roman"/>
          <w:sz w:val="24"/>
        </w:rPr>
        <w:t xml:space="preserve"> (dále jen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CRD, obsažené v příloze XIX tohoto prováděcího nařízení.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označení</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6"/>
        <w:gridCol w:w="1003"/>
        <w:gridCol w:w="668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00E30816"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 444 písm. a)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Instituce uvedou názvy využitých určených externích ratingových agentur a exportních úvěrových agentur a důvody případných změn těchto určení v průběhu období, za něž se informace zpřístupňují. </w:t>
            </w:r>
          </w:p>
        </w:tc>
      </w:tr>
      <w:tr w:rsidR="00563C4F" w:rsidRPr="007F4CC8" w14:paraId="2C10014A" w14:textId="77777777" w:rsidTr="00155C96">
        <w:trPr>
          <w:trHeight w:val="1492"/>
        </w:trPr>
        <w:tc>
          <w:tcPr>
            <w:tcW w:w="1406" w:type="dxa"/>
            <w:vAlign w:val="top"/>
          </w:tcPr>
          <w:p w14:paraId="574F04C4" w14:textId="69287968"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 444 písm. b) CRR</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Instituce uvedou kategorie expozic specifikované v článku 112 CRR, pro které instituce počítají objemy rizikově vážených expozic podle části třetí hlavy II kapitoly 2 CRR pomocí úvěrového hodnocení určených externích ratingových agentur nebo exportních úvěrových agentur. </w:t>
            </w:r>
          </w:p>
        </w:tc>
      </w:tr>
      <w:tr w:rsidR="00563C4F" w:rsidRPr="007F4CC8" w:rsidDel="00915DC9" w14:paraId="1018CEAB" w14:textId="77777777" w:rsidTr="00155C96">
        <w:trPr>
          <w:trHeight w:val="973"/>
        </w:trPr>
        <w:tc>
          <w:tcPr>
            <w:tcW w:w="1406" w:type="dxa"/>
            <w:vAlign w:val="top"/>
          </w:tcPr>
          <w:p w14:paraId="7D0E4447" w14:textId="5EC87023"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 444 písm. c) CRR</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Pokud se k určení rizikové váhy, která má být přiřazena expozici, jež není zahrnuta v obchodním portfoliu, podle části třetí hlavy II kapitoly 2 čl. 139 CRR použije úvěrové hodnocení emitenta a emise, popíší instituce použitý postup.</w:t>
            </w:r>
          </w:p>
        </w:tc>
      </w:tr>
      <w:tr w:rsidR="00563C4F" w:rsidRPr="007F4CC8" w14:paraId="11E18846" w14:textId="77777777" w:rsidTr="00155C96">
        <w:trPr>
          <w:trHeight w:val="1265"/>
        </w:trPr>
        <w:tc>
          <w:tcPr>
            <w:tcW w:w="1406" w:type="dxa"/>
            <w:vAlign w:val="top"/>
          </w:tcPr>
          <w:p w14:paraId="22BD313E" w14:textId="48774B22"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Čl. 444 písm. d) CRR</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U každé z kategorií expozic podle článku 112 CRR instituce uvedou alfanumerickou stupnici každé určené externí ratingové agentury / exportní úvěrové agentury (podle řádku a) této šablony) s rizikovými vahami odpovídajícími stupňům úvěrové kvality, které stanoví část třetí hlava II kapitola 2 CRR, s výjimkou případů, kdy instituce splňuje standardní způsob přiřazování stanovený orgánem EBA.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1488A63" w:rsidR="00563C4F" w:rsidRPr="007F4CC8" w:rsidRDefault="00563C4F" w:rsidP="00563C4F">
      <w:pPr>
        <w:spacing w:after="120"/>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CR4 – Expozice úvěrového rizika a účinky snižování úvěrového rizika.</w:t>
      </w:r>
      <w:r>
        <w:rPr>
          <w:rFonts w:ascii="Times New Roman" w:hAnsi="Times New Roman"/>
          <w:sz w:val="24"/>
        </w:rPr>
        <w:t xml:space="preserve"> Pevně daný formát</w:t>
      </w:r>
    </w:p>
    <w:p w14:paraId="4909B41D" w14:textId="03FBA63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 xml:space="preserve">Instituce, které vypočítávají objemy rizikově vážených expozic pro úvěrové riziko v souladu s částí třetí hlavou II kapitolou 2 CRR, zpřístupní informace na základě čl. 453 písm. g), h) a i) CRR a čl. 444 písm. e) CRR podle následujících pokynů k vyplňování šablony </w:t>
      </w:r>
      <w:r w:rsidR="00CC4769">
        <w:rPr>
          <w:rFonts w:ascii="Times New Roman" w:hAnsi="Times New Roman"/>
          <w:sz w:val="24"/>
        </w:rPr>
        <w:t xml:space="preserve">EU </w:t>
      </w:r>
      <w:r>
        <w:rPr>
          <w:rFonts w:ascii="Times New Roman" w:hAnsi="Times New Roman"/>
          <w:sz w:val="24"/>
        </w:rPr>
        <w:t>CR4, obsažené v příloze XIX tohoto prováděcího nařízení.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Vysvětlení</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Expozice před použitím úvěrového konverzního faktoru a před snížením úvěrového rizika – rozvahové expozice: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Instituce zpřístupňují hodnotu rozvahových expozic v rámci obezřetnostní konsolidace podle článku 111 CRR, po specifických úpravách o úvěrové riziko podle článku 110 CRR, dodatečných úpravách ocenění podle článků 34 a 105 CRR, odpočtech podle čl. 36 odst. 1 písm. m) CRR, dalších sníženích kapitálu a odpisech (ve smyslu platného účetního rámce), avšak před i) použitím úvěrových konverzních faktorů podle téhož článku a </w:t>
            </w:r>
            <w:proofErr w:type="spellStart"/>
            <w:r>
              <w:rPr>
                <w:rFonts w:ascii="Times New Roman" w:hAnsi="Times New Roman"/>
                <w:sz w:val="24"/>
              </w:rPr>
              <w:t>ii</w:t>
            </w:r>
            <w:proofErr w:type="spellEnd"/>
            <w:r>
              <w:rPr>
                <w:rFonts w:ascii="Times New Roman" w:hAnsi="Times New Roman"/>
                <w:sz w:val="24"/>
              </w:rPr>
              <w:t>) použitím technik snižování úvěrového rizika podle části třetí hlavy II kapitoly 4 CRR.</w:t>
            </w:r>
            <w:r>
              <w:rPr>
                <w:rFonts w:ascii="Times New Roman" w:hAnsi="Times New Roman"/>
                <w:iCs/>
                <w:sz w:val="24"/>
              </w:rPr>
              <w:t xml:space="preserve"> Hodnoty expozic u pronájmů se určují podle čl. 134 odst. 7 CRR.</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Expozice před použitím úvěrového konverzního faktoru a před snížením úvěrového rizika – podrozvahové expozice:</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Instituce uvedou hodnotu podrozvahových expozic v rámci obezřetnostní konsolidace po snížení specifických úprav o úvěrové riziko a odpočtech podle čl. 36 odst. 1 písm. m) CRR, avšak před použitím úvěrových konverzních faktorů podle článku 111 CRR a před účinkem technik snižování úvěrového rizika (při uplatnění části třetí hlavy II kapitoly 4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Expozice po použití úvěrového konverzního faktoru a po snížení úvěrového rizika – rozvahové expozice: </w:t>
            </w:r>
          </w:p>
          <w:p w14:paraId="70B5B0C5" w14:textId="7D9A418F" w:rsidR="00563C4F" w:rsidRPr="007F4CC8" w:rsidRDefault="00563C4F" w:rsidP="00B3560E">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Instituce uvedou hodnotu rozvahových expozic v rámci obezřetnostní konsolidace (podle článku 111 CRR), po specifických úpravách o úvěrové riziko podle článku 110 CRR, dodatečných úpravách ocenění podle článků 34 a 105 CRR, odpočtech podle čl. 36 odst. 1 písm. m) CRR, dalších sníženích kapitálu a odpisech ve smyslu platného účetního rámce, po použití všech technik snižujících úvěrové riziko a úvěrových konverzních faktorů.</w:t>
            </w:r>
            <w:r>
              <w:rPr>
                <w:rFonts w:ascii="Times New Roman" w:hAnsi="Times New Roman"/>
                <w:iCs/>
                <w:sz w:val="24"/>
              </w:rPr>
              <w:t xml:space="preserve"> Jedná se o částku, na kterou se použijí rizikové váhy (podle článku 113 CRR a části třetí hlavy II kapitoly 2 oddílu 1 CRR). Jde o </w:t>
            </w:r>
            <w:r w:rsidR="00B3560E">
              <w:rPr>
                <w:rFonts w:ascii="Times New Roman" w:hAnsi="Times New Roman"/>
                <w:iCs/>
                <w:sz w:val="24"/>
              </w:rPr>
              <w:t xml:space="preserve">částku </w:t>
            </w:r>
            <w:r>
              <w:rPr>
                <w:rFonts w:ascii="Times New Roman" w:hAnsi="Times New Roman"/>
                <w:iCs/>
                <w:sz w:val="24"/>
              </w:rPr>
              <w:t xml:space="preserve">ekvivalentní </w:t>
            </w:r>
            <w:r w:rsidR="00B3560E">
              <w:rPr>
                <w:rFonts w:ascii="Times New Roman" w:hAnsi="Times New Roman"/>
                <w:iCs/>
                <w:sz w:val="24"/>
              </w:rPr>
              <w:t xml:space="preserve">čisté </w:t>
            </w:r>
            <w:r>
              <w:rPr>
                <w:rFonts w:ascii="Times New Roman" w:hAnsi="Times New Roman"/>
                <w:iCs/>
                <w:sz w:val="24"/>
              </w:rPr>
              <w:t>výši úvěrů po uplatnění technik snižování úvěrového rizika a úvěrového konverzního faktoru.</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Expozice po použití úvěrového konverzního faktoru a po snížení úvěrového rizika – podrozvahové expozice: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Instituce uvedou hodnotu podrozvahových expozic po zohlednění specifických úprav o úvěrové riziko ve smyslu nařízení Komise v přenesené pravomoci č. 183/2014</w:t>
            </w:r>
            <w:r w:rsidRPr="007F4CC8">
              <w:rPr>
                <w:rStyle w:val="FootnoteReference"/>
                <w:rFonts w:eastAsia="Times New Roman" w:cs="Times New Roman"/>
                <w:iCs/>
              </w:rPr>
              <w:footnoteReference w:id="37"/>
            </w:r>
            <w:r>
              <w:rPr>
                <w:rFonts w:ascii="Times New Roman" w:hAnsi="Times New Roman"/>
                <w:iCs/>
                <w:sz w:val="24"/>
              </w:rPr>
              <w:t xml:space="preserve">, dodatečných úprav ocenění a dalších snížení </w:t>
            </w:r>
            <w:r>
              <w:rPr>
                <w:rFonts w:ascii="Times New Roman" w:hAnsi="Times New Roman"/>
                <w:iCs/>
                <w:sz w:val="24"/>
              </w:rPr>
              <w:lastRenderedPageBreak/>
              <w:t>kapitálu, po použití všech technik snižujících úvěrové riziko a úvěrových konverzních faktorů. Jedná se o částku, na kterou se použijí rizikové váhy (podle článku 113 CRR a části třetí hlavy II kapitoly 2 oddílu 1 CRR). Jde o čistou ekvivalentní výši úvěrů po uplatnění technik snižování úvěrového rizika a úvěrového konverzního faktoru.</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Objemy rizikově vážených expozic (RWEA) vypočtené podle části třetí hlavy II kapitoly 2 oddílu 1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Hustota rizikově vážených aktiv</w:t>
            </w:r>
          </w:p>
          <w:p w14:paraId="1FF6408D" w14:textId="27DDE32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(sloupec e</w:t>
            </w:r>
            <w:r w:rsidR="00C44E30">
              <w:rPr>
                <w:rFonts w:ascii="Times New Roman" w:hAnsi="Times New Roman"/>
                <w:iCs/>
                <w:sz w:val="24"/>
              </w:rPr>
              <w:t>)</w:t>
            </w:r>
            <w:r>
              <w:rPr>
                <w:rFonts w:ascii="Times New Roman" w:hAnsi="Times New Roman"/>
                <w:iCs/>
                <w:sz w:val="24"/>
              </w:rPr>
              <w:t xml:space="preserve"> / sloupce </w:t>
            </w:r>
            <w:r w:rsidR="00C44E30">
              <w:rPr>
                <w:rFonts w:ascii="Times New Roman" w:hAnsi="Times New Roman"/>
                <w:iCs/>
                <w:sz w:val="24"/>
              </w:rPr>
              <w:t>(c)</w:t>
            </w:r>
            <w:r>
              <w:rPr>
                <w:rFonts w:ascii="Times New Roman" w:hAnsi="Times New Roman"/>
                <w:iCs/>
                <w:sz w:val="24"/>
              </w:rPr>
              <w:t>+d)</w:t>
            </w:r>
            <w:r w:rsidR="00C44E30">
              <w:rPr>
                <w:rFonts w:ascii="Times New Roman" w:hAnsi="Times New Roman"/>
                <w:iCs/>
                <w:sz w:val="24"/>
              </w:rPr>
              <w:t>)</w:t>
            </w:r>
            <w:r>
              <w:rPr>
                <w:rFonts w:ascii="Times New Roman" w:hAnsi="Times New Roman"/>
                <w:sz w:val="24"/>
              </w:rPr>
              <w:t xml:space="preserve"> této šablony</w:t>
            </w:r>
            <w:r>
              <w:rPr>
                <w:rFonts w:ascii="Times New Roman" w:hAnsi="Times New Roman"/>
                <w:iCs/>
                <w:sz w:val="24"/>
              </w:rPr>
              <w:t>)</w:t>
            </w:r>
          </w:p>
          <w:p w14:paraId="45173152" w14:textId="63A210D8"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Poměr se vypočítá vydělením objemů rizikově vážených expozic příslušné kategorie expozic (sloupec e</w:t>
            </w:r>
            <w:r w:rsidR="00C44E30">
              <w:rPr>
                <w:rFonts w:ascii="Times New Roman" w:hAnsi="Times New Roman"/>
                <w:sz w:val="24"/>
              </w:rPr>
              <w:t>)</w:t>
            </w:r>
            <w:r>
              <w:rPr>
                <w:rFonts w:ascii="Times New Roman" w:hAnsi="Times New Roman"/>
                <w:sz w:val="24"/>
              </w:rPr>
              <w:t xml:space="preserve"> této šablony) částkou příslušných expozic po zohlednění všech faktorů snižujících úvěrové riziko a úvěrových konverzních faktorů (součet hodnot ve sloupcích c</w:t>
            </w:r>
            <w:r w:rsidR="00C44E30">
              <w:rPr>
                <w:rFonts w:ascii="Times New Roman" w:hAnsi="Times New Roman"/>
                <w:sz w:val="24"/>
              </w:rPr>
              <w:t>)</w:t>
            </w:r>
            <w:r>
              <w:rPr>
                <w:rFonts w:ascii="Times New Roman" w:hAnsi="Times New Roman"/>
                <w:sz w:val="24"/>
              </w:rPr>
              <w:t xml:space="preserve"> a d</w:t>
            </w:r>
            <w:r w:rsidR="00C44E30">
              <w:rPr>
                <w:rFonts w:ascii="Times New Roman" w:hAnsi="Times New Roman"/>
                <w:sz w:val="24"/>
              </w:rPr>
              <w:t>)</w:t>
            </w:r>
            <w:r>
              <w:rPr>
                <w:rFonts w:ascii="Times New Roman" w:hAnsi="Times New Roman"/>
                <w:sz w:val="24"/>
              </w:rPr>
              <w:t xml:space="preserve"> této šablony</w:t>
            </w:r>
            <w:r>
              <w:rPr>
                <w:rFonts w:ascii="Times New Roman" w:hAnsi="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Kategorie expozic ve smyslu článku 112 CRR</w:t>
            </w:r>
          </w:p>
          <w:p w14:paraId="0A23C16C" w14:textId="4E40D8FA" w:rsidR="00563C4F" w:rsidRPr="007F4CC8" w:rsidRDefault="00563C4F" w:rsidP="00855AC9">
            <w:pPr>
              <w:spacing w:after="120"/>
              <w:jc w:val="both"/>
              <w:rPr>
                <w:rFonts w:ascii="Times New Roman" w:eastAsia="Times New Roman" w:hAnsi="Times New Roman" w:cs="Times New Roman"/>
                <w:sz w:val="24"/>
              </w:rPr>
            </w:pPr>
            <w:r>
              <w:rPr>
                <w:rFonts w:ascii="Times New Roman" w:hAnsi="Times New Roman"/>
                <w:sz w:val="24"/>
              </w:rPr>
              <w:t xml:space="preserve">Expozice zařazené do kategorie expozic „položky představující </w:t>
            </w:r>
            <w:proofErr w:type="spellStart"/>
            <w:r>
              <w:rPr>
                <w:rFonts w:ascii="Times New Roman" w:hAnsi="Times New Roman"/>
                <w:sz w:val="24"/>
              </w:rPr>
              <w:t>sekuritizované</w:t>
            </w:r>
            <w:proofErr w:type="spellEnd"/>
            <w:r>
              <w:rPr>
                <w:rFonts w:ascii="Times New Roman" w:hAnsi="Times New Roman"/>
                <w:sz w:val="24"/>
              </w:rPr>
              <w:t xml:space="preserve"> pozice“ podle čl. 112 písm. m) CRR nejsou zahrnuty.</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Kategorie expozic „ostatní položky“ zahrnuje:</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aktiva, na která se použije specifická riziková váha podle článku 134 CRR,</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aktiva neodpočtená při použití článku 39 CRR (přeplatky daně, zpětně použité daňové ztráty a odložené daňové pohledávky nezávislé na budoucím zisku), článku 41 CRR (aktiva penzijního fondu definovaných požitků), článku 46 CRR (nevýznamné investice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článku 48 CRR (odložené daňové pohledávky a přímé, nepřímé a syntetické investice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do stanovené prahové hodnoty), článků 49 CRR a 471 CRR (účasti v pojišťovnách bez ohledu na to, zda pojišťovny podléhají dohledu podle směrnice o konglomerátu), článků 60 a 475 CRR (nevýznamné a významné přímé, nepřímé a syntetické investice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vedlejšího kapitálu </w:t>
            </w:r>
            <w:proofErr w:type="spellStart"/>
            <w:r>
              <w:rPr>
                <w:rFonts w:ascii="Times New Roman" w:hAnsi="Times New Roman"/>
                <w:sz w:val="24"/>
              </w:rPr>
              <w:t>tier</w:t>
            </w:r>
            <w:proofErr w:type="spellEnd"/>
            <w:r>
              <w:rPr>
                <w:rFonts w:ascii="Times New Roman" w:hAnsi="Times New Roman"/>
                <w:sz w:val="24"/>
              </w:rPr>
              <w:t xml:space="preserve"> 1 a kapitálu </w:t>
            </w:r>
            <w:proofErr w:type="spellStart"/>
            <w:r>
              <w:rPr>
                <w:rFonts w:ascii="Times New Roman" w:hAnsi="Times New Roman"/>
                <w:sz w:val="24"/>
              </w:rPr>
              <w:t>tier</w:t>
            </w:r>
            <w:proofErr w:type="spellEnd"/>
            <w:r>
              <w:rPr>
                <w:rFonts w:ascii="Times New Roman" w:hAnsi="Times New Roman"/>
                <w:sz w:val="24"/>
              </w:rPr>
              <w:t xml:space="preserve"> 2 vydaných subjekty finančního sektoru), článku 70 CRR (nevýznamné a významné 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vydaných subjektem finančního sektoru), pokud nejsou zařazeny do jiných kategorií expozic a do kvalifikovaných účastí mimo finanční sektor a nepodléhají rizikové váze 1 250 % (při použití části druhé hlavy I kapitoly 1 čl. 36 písm. k) CRR).</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1B80BC9A" w:rsidR="00563C4F" w:rsidRPr="007F4CC8" w:rsidRDefault="00563C4F" w:rsidP="00563C4F">
      <w:pPr>
        <w:spacing w:after="120"/>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CR5 – Standardizovaný přístup</w:t>
      </w:r>
      <w:r>
        <w:rPr>
          <w:rFonts w:ascii="Times New Roman" w:hAnsi="Times New Roman"/>
          <w:sz w:val="24"/>
        </w:rPr>
        <w:t>. Pevně daný formát</w:t>
      </w:r>
    </w:p>
    <w:p w14:paraId="7B518821" w14:textId="46F8E304"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 xml:space="preserve">Informace uvedené v čl. 444 písm. e)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CR5, obsažené v příloze XIX tohoto prováděcího nařízení.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Vysvětlení</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proofErr w:type="gramStart"/>
            <w:r>
              <w:rPr>
                <w:rFonts w:ascii="Times New Roman" w:hAnsi="Times New Roman"/>
                <w:sz w:val="24"/>
              </w:rPr>
              <w:t>a–o</w:t>
            </w:r>
            <w:proofErr w:type="gramEnd"/>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Riziková váha: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Instituce zpřístupňují informace </w:t>
            </w:r>
            <w:r>
              <w:rPr>
                <w:rFonts w:ascii="Times New Roman" w:hAnsi="Times New Roman"/>
                <w:iCs/>
                <w:sz w:val="24"/>
              </w:rPr>
              <w:t>o rozložení rizikových vah v rámci příslušné kategorie expozic podle části třetí hlavy II kapitoly 2 oddílu 2 CRR.</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Celkem: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Celková hodnota rozvahových a podrozvahových expozic v rámci obezřetnostní konsolidace: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 specifických úpravách o úvěrové riziko podle článku 110 CRR, dodatečných úpravách ocenění podle článků 34 a 105 CRR, odpočtech podle čl. 36 odst. 1 písm. m) CRR, dalších sníženích kapitálu a odpisech (ve smyslu platného účetního rámce) u rozvahových expozic v souladu s článkem 111 CRR,</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 odpočtu specifických úprav o úvěrové riziko a odpočtech podle čl. 36 odst. 1 písm. m) CRR u podrozvahových expozic v souladu s článkem 111 CRR,</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po i) použití konverzních faktorů podle téhož článku a </w:t>
            </w:r>
            <w:proofErr w:type="spellStart"/>
            <w:r>
              <w:rPr>
                <w:rFonts w:ascii="Times New Roman" w:hAnsi="Times New Roman"/>
                <w:sz w:val="24"/>
              </w:rPr>
              <w:t>ii</w:t>
            </w:r>
            <w:proofErr w:type="spellEnd"/>
            <w:r>
              <w:rPr>
                <w:rFonts w:ascii="Times New Roman" w:hAnsi="Times New Roman"/>
                <w:sz w:val="24"/>
              </w:rPr>
              <w:t>) použití technik snižování úvěrového rizika uvedených v části třetí hlavě II kapitole 4 CRR u rozvahových i podrozvahových expozic.</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z toho bez ratingu:</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Expozice, pro které není posouzení úvěrové kvality uznanými externími ratingovými agenturami k dispozici a u nichž se použijí specifické rizikové váhy podle jejich kategorie expozice, jak je uvedeno v článcích 113 až 134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Kategorie expozic podle článku 112 CRR</w:t>
            </w:r>
          </w:p>
          <w:p w14:paraId="1C962613" w14:textId="375AF8A0"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Expozice zařazené do kategorie expozic „položky představující </w:t>
            </w:r>
            <w:proofErr w:type="spellStart"/>
            <w:r>
              <w:rPr>
                <w:rFonts w:ascii="Times New Roman" w:hAnsi="Times New Roman"/>
                <w:sz w:val="24"/>
              </w:rPr>
              <w:t>sekuritizované</w:t>
            </w:r>
            <w:proofErr w:type="spellEnd"/>
            <w:r>
              <w:rPr>
                <w:rFonts w:ascii="Times New Roman" w:hAnsi="Times New Roman"/>
                <w:sz w:val="24"/>
              </w:rPr>
              <w:t xml:space="preserve"> pozice“ podle čl. 112 písm. m) CRR nejsou zahrnuty.</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Kategorie expozic „ostatní položky“ zahrnuje:</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aktiva, na která se použije specifická riziková váha podle části třetí hlavy II kapitoly 4 článku 134 CRR,</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aktiva neodpočtená při použití článku 39 CRR (přeplatky daně, zpětně použité daňové ztráty a odložené daňové pohledávky nezávislé na budoucím zisku), článku 41 CRR (aktiva penzijního fondu definovaných požitků), článků 46 a 469 CRR (nevýznamné investice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článků 49 a 471 CRR (účasti v pojišťovnách bez ohledu na to, zda pojišťovny podléhají dohledu podle směrnice o konglomerátu), článků 60 a 475 CRR (nevýznamné a významné přímé, nepřímé a syntetické investice do nástrojů zahrnovaných do kmenového kapitálu </w:t>
            </w:r>
            <w:proofErr w:type="spellStart"/>
            <w:r>
              <w:rPr>
                <w:rFonts w:ascii="Times New Roman" w:hAnsi="Times New Roman"/>
                <w:sz w:val="24"/>
              </w:rPr>
              <w:t>tier</w:t>
            </w:r>
            <w:proofErr w:type="spellEnd"/>
            <w:r>
              <w:rPr>
                <w:rFonts w:ascii="Times New Roman" w:hAnsi="Times New Roman"/>
                <w:sz w:val="24"/>
              </w:rPr>
              <w:t xml:space="preserve"> 1 vydaných subjekty finančního sektoru), článků 70 a 477 CRR (nevýznamné a významné 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vydaných subjektem finančního sektoru), pokud nejsou zařazeny do jiných kategorií expozic a do kvalifikovaných účastí mimo finanční sektor a nepodléhají rizikové váze 1 250 % (při použití části druhé hlavy I kapitoly 1 čl. 36 písm. k) CRR).</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PŘÍLOHA XXII – Zpřístupňování informací o použití přístupu IRB k úvěrovému riziku (vyjma úvěrového rizika protistrany)</w:t>
      </w:r>
    </w:p>
    <w:p w14:paraId="58AB8056" w14:textId="77777777" w:rsidR="000646F8" w:rsidRPr="007F4CC8" w:rsidRDefault="000646F8" w:rsidP="000646F8">
      <w:pPr>
        <w:spacing w:after="120"/>
        <w:rPr>
          <w:rFonts w:ascii="Times New Roman" w:hAnsi="Times New Roman" w:cs="Times New Roman"/>
          <w:sz w:val="24"/>
        </w:rPr>
      </w:pPr>
    </w:p>
    <w:p w14:paraId="4667538F" w14:textId="6E64A0C8" w:rsidR="000646F8" w:rsidRPr="007F4CC8" w:rsidRDefault="000646F8" w:rsidP="000646F8">
      <w:pPr>
        <w:spacing w:after="120"/>
        <w:rPr>
          <w:rFonts w:ascii="Times New Roman" w:hAnsi="Times New Roman" w:cs="Times New Roman"/>
          <w:sz w:val="24"/>
        </w:rPr>
      </w:pPr>
      <w:r>
        <w:rPr>
          <w:rFonts w:ascii="Times New Roman" w:hAnsi="Times New Roman"/>
          <w:b/>
          <w:sz w:val="24"/>
        </w:rPr>
        <w:t xml:space="preserve">Tabulka </w:t>
      </w:r>
      <w:r w:rsidR="00CC4769">
        <w:rPr>
          <w:rFonts w:ascii="Times New Roman" w:hAnsi="Times New Roman"/>
          <w:b/>
          <w:sz w:val="24"/>
        </w:rPr>
        <w:t xml:space="preserve">EU </w:t>
      </w:r>
      <w:r>
        <w:rPr>
          <w:rFonts w:ascii="Times New Roman" w:hAnsi="Times New Roman"/>
          <w:b/>
          <w:sz w:val="24"/>
        </w:rPr>
        <w:t>CRE – Požadavky na zpřístupnění kvalitativních informací, které se týkají přístupu IRB. Flexibilní tabulka</w:t>
      </w:r>
      <w:r>
        <w:rPr>
          <w:rFonts w:ascii="Times New Roman" w:hAnsi="Times New Roman"/>
          <w:sz w:val="24"/>
        </w:rPr>
        <w:t>.</w:t>
      </w:r>
    </w:p>
    <w:p w14:paraId="04FD7982" w14:textId="0BD3FD13"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Informace uvedené v čl. 452 písm. a) až f) nařízení (EU) č. 575/2013</w:t>
      </w:r>
      <w:r w:rsidRPr="007F4CC8">
        <w:rPr>
          <w:rStyle w:val="FootnoteReference"/>
        </w:rPr>
        <w:footnoteReference w:id="38"/>
      </w:r>
      <w:r>
        <w:rPr>
          <w:rFonts w:ascii="Times New Roman" w:hAnsi="Times New Roman"/>
          <w:sz w:val="24"/>
        </w:rPr>
        <w:t xml:space="preserve"> (dále jen „CRR“) zpřístupňují instituce podle následujících pokynů k vyplnění tabulky </w:t>
      </w:r>
      <w:r w:rsidR="00CC4769">
        <w:rPr>
          <w:rFonts w:ascii="Times New Roman" w:hAnsi="Times New Roman"/>
          <w:sz w:val="24"/>
        </w:rPr>
        <w:t xml:space="preserve">EU </w:t>
      </w:r>
      <w:r>
        <w:rPr>
          <w:rFonts w:ascii="Times New Roman" w:hAnsi="Times New Roman"/>
          <w:sz w:val="24"/>
        </w:rPr>
        <w:t>CRE, obsažené v příloze XXI tohoto prováděcího nařízení.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147F567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 452 písm.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Při zpřístupňování informací o rozsahu povolení přístupu nebo schváleného přechodu příslušným orgánem podle čl. 452 písm. a) CRR instituce popíší hlavní charakteristiky ratingových systémů používaných v rámci přístupu IRB, pro který příslušný orgán vydal povolení, a druhy expozic, na které se tyto ratingové systémy vztahují. Instituce rovněž popíší druhy expozic, pro které mají povolení trvale částečně používat standardizovaný přístup v souladu s článkem 150 CRR a které spadají do jejich plánů zavádění přístupu IRB v souladu s článkem 148 CRR. Popis se poskytuje na úrovni skupiny.</w:t>
            </w:r>
          </w:p>
        </w:tc>
      </w:tr>
      <w:tr w:rsidR="000646F8" w:rsidRPr="007F4CC8" w14:paraId="1564FC55" w14:textId="77777777" w:rsidTr="00155C96">
        <w:trPr>
          <w:trHeight w:val="557"/>
        </w:trPr>
        <w:tc>
          <w:tcPr>
            <w:tcW w:w="1363" w:type="dxa"/>
            <w:vAlign w:val="top"/>
          </w:tcPr>
          <w:p w14:paraId="14A340DD" w14:textId="4CEE3E09"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Čl. 452 písm. c) body </w:t>
            </w:r>
            <w:proofErr w:type="spellStart"/>
            <w:r>
              <w:rPr>
                <w:rFonts w:ascii="Times New Roman" w:hAnsi="Times New Roman"/>
                <w:iCs/>
                <w:sz w:val="24"/>
              </w:rPr>
              <w:t>i</w:t>
            </w:r>
            <w:proofErr w:type="spellEnd"/>
            <w:r>
              <w:rPr>
                <w:rFonts w:ascii="Times New Roman" w:hAnsi="Times New Roman"/>
                <w:iCs/>
                <w:sz w:val="24"/>
              </w:rPr>
              <w:t xml:space="preserve">) </w:t>
            </w:r>
            <w:proofErr w:type="spellStart"/>
            <w:r>
              <w:rPr>
                <w:rFonts w:ascii="Times New Roman" w:hAnsi="Times New Roman"/>
                <w:iCs/>
                <w:sz w:val="24"/>
              </w:rPr>
              <w:t>až</w:t>
            </w:r>
            <w:proofErr w:type="spellEnd"/>
            <w:r>
              <w:rPr>
                <w:rFonts w:ascii="Times New Roman" w:hAnsi="Times New Roman"/>
                <w:iCs/>
                <w:sz w:val="24"/>
              </w:rPr>
              <w:t xml:space="preserve"> iv) CRR</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Popis kontrolních mechanismů pro ratingové systémy zahrnuje odhad rizikových parametrů, včetně vývoje a kalibrace interních modelů, jakož i kontroly při používání modelů a změn ratingových systémů.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V souladu s čl. 452 písm. c) body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až</w:t>
            </w:r>
            <w:proofErr w:type="spellEnd"/>
            <w:r>
              <w:rPr>
                <w:rFonts w:ascii="Times New Roman" w:hAnsi="Times New Roman"/>
                <w:sz w:val="24"/>
              </w:rPr>
              <w:t xml:space="preserve"> iv) CRR </w:t>
            </w:r>
            <w:proofErr w:type="spellStart"/>
            <w:r>
              <w:rPr>
                <w:rFonts w:ascii="Times New Roman" w:hAnsi="Times New Roman"/>
                <w:sz w:val="24"/>
              </w:rPr>
              <w:t>zahrnuje</w:t>
            </w:r>
            <w:proofErr w:type="spellEnd"/>
            <w:r>
              <w:rPr>
                <w:rFonts w:ascii="Times New Roman" w:hAnsi="Times New Roman"/>
                <w:sz w:val="24"/>
              </w:rPr>
              <w:t xml:space="preserve"> </w:t>
            </w:r>
            <w:proofErr w:type="spellStart"/>
            <w:r>
              <w:rPr>
                <w:rFonts w:ascii="Times New Roman" w:hAnsi="Times New Roman"/>
                <w:sz w:val="24"/>
              </w:rPr>
              <w:t>popis</w:t>
            </w:r>
            <w:proofErr w:type="spellEnd"/>
            <w:r>
              <w:rPr>
                <w:rFonts w:ascii="Times New Roman" w:hAnsi="Times New Roman"/>
                <w:sz w:val="24"/>
              </w:rPr>
              <w:t xml:space="preserve"> </w:t>
            </w:r>
            <w:proofErr w:type="spellStart"/>
            <w:r>
              <w:rPr>
                <w:rFonts w:ascii="Times New Roman" w:hAnsi="Times New Roman"/>
                <w:sz w:val="24"/>
              </w:rPr>
              <w:t>úlohy</w:t>
            </w:r>
            <w:proofErr w:type="spellEnd"/>
            <w:r>
              <w:rPr>
                <w:rFonts w:ascii="Times New Roman" w:hAnsi="Times New Roman"/>
                <w:sz w:val="24"/>
              </w:rPr>
              <w:t xml:space="preserve"> </w:t>
            </w:r>
            <w:proofErr w:type="spellStart"/>
            <w:r>
              <w:rPr>
                <w:rFonts w:ascii="Times New Roman" w:hAnsi="Times New Roman"/>
                <w:sz w:val="24"/>
              </w:rPr>
              <w:t>výše</w:t>
            </w:r>
            <w:proofErr w:type="spellEnd"/>
            <w:r>
              <w:rPr>
                <w:rFonts w:ascii="Times New Roman" w:hAnsi="Times New Roman"/>
                <w:sz w:val="24"/>
              </w:rPr>
              <w:t xml:space="preserve"> uvedených funkcí také:</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vztah mezi funkcí řízení rizik a funkcí interního auditu;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procesy a metody přezkumu ratingových systémů, včetně přezkumů odhadů podle čl. 179 odst. 1 písm. c) CRR a validací;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postupy a organizační opatření k zajištění nezávislosti funkce odpovědné za přezkumy modelů (validační funkce) na funkcích odpovědných za vývoj a kalibraci modelů;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postup k zajištění odpovědnosti funkcí odpovědných za vývoj a za přezkumy modelů.</w:t>
            </w:r>
          </w:p>
        </w:tc>
      </w:tr>
      <w:tr w:rsidR="000646F8" w:rsidRPr="007F4CC8" w:rsidDel="00915DC9" w14:paraId="40E4A10C" w14:textId="77777777" w:rsidTr="00155C96">
        <w:trPr>
          <w:trHeight w:val="973"/>
        </w:trPr>
        <w:tc>
          <w:tcPr>
            <w:tcW w:w="1363" w:type="dxa"/>
            <w:vAlign w:val="top"/>
          </w:tcPr>
          <w:p w14:paraId="5E3113E1" w14:textId="73E9349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 452 písm. d) CRR</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Instituce upřesní úlohu funkcí zapojených do vývoje, kalibrace, schvalování a následných změn ratingových systémů.</w:t>
            </w:r>
          </w:p>
        </w:tc>
      </w:tr>
      <w:tr w:rsidR="000646F8" w:rsidRPr="007F4CC8" w14:paraId="038F0FCE" w14:textId="77777777" w:rsidTr="00155C96">
        <w:trPr>
          <w:trHeight w:val="1265"/>
        </w:trPr>
        <w:tc>
          <w:tcPr>
            <w:tcW w:w="1363" w:type="dxa"/>
            <w:vAlign w:val="top"/>
          </w:tcPr>
          <w:p w14:paraId="1E031BDC" w14:textId="77EE7AD1"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 452 písm. e) CRR</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Instituce uvedou rozsah a hlavní obsah zpráv vedení souvisejících s modely IRB podle článku 189 CRR, jakož i příjemce a četnost těchto zpráv. </w:t>
            </w:r>
          </w:p>
        </w:tc>
      </w:tr>
      <w:tr w:rsidR="000646F8" w:rsidRPr="007F4CC8" w14:paraId="394C27F8" w14:textId="77777777" w:rsidTr="00155C96">
        <w:trPr>
          <w:trHeight w:val="1405"/>
        </w:trPr>
        <w:tc>
          <w:tcPr>
            <w:tcW w:w="1363" w:type="dxa"/>
            <w:vAlign w:val="top"/>
          </w:tcPr>
          <w:p w14:paraId="225DFE0C" w14:textId="3AD0300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 452 písm. f) CRR</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Zpřístupnění informací o systémech interních ratingů podle kategorie expozic zahrnuje počet klíčových modelů použitých pro každou kategorii expozic ve vztahu k jednotlivým druhům expozic, a to se stručným popisem hlavních rozdílů mezi modely v rámci téže kategorie expozice. Rovněž obsahuje popis hlavních charakteristik hlavních schválených modelů, a to zejména: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definic, metod a údajů pro odhad a validaci hodnot PD, včetně odhadů a validace PD u portfolií s nízkým počtem selhání, případných použitelných regulatorních limitů a určujících faktorů vedoucí k rozdílům vysledovaným mezi odhady PD a skutečnými mírami selhání nejméně za poslední tři roky;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w:t>
            </w:r>
            <w:proofErr w:type="spellStart"/>
            <w:r>
              <w:rPr>
                <w:rFonts w:ascii="Times New Roman" w:hAnsi="Times New Roman"/>
                <w:sz w:val="24"/>
              </w:rPr>
              <w:t>případně</w:t>
            </w:r>
            <w:proofErr w:type="spellEnd"/>
            <w:r>
              <w:rPr>
                <w:rFonts w:ascii="Times New Roman" w:hAnsi="Times New Roman"/>
                <w:sz w:val="24"/>
              </w:rPr>
              <w:t xml:space="preserve"> </w:t>
            </w:r>
            <w:proofErr w:type="spellStart"/>
            <w:r>
              <w:rPr>
                <w:rFonts w:ascii="Times New Roman" w:hAnsi="Times New Roman"/>
                <w:sz w:val="24"/>
              </w:rPr>
              <w:t>definic</w:t>
            </w:r>
            <w:proofErr w:type="spellEnd"/>
            <w:r>
              <w:rPr>
                <w:rFonts w:ascii="Times New Roman" w:hAnsi="Times New Roman"/>
                <w:sz w:val="24"/>
              </w:rPr>
              <w:t xml:space="preserve">, </w:t>
            </w:r>
            <w:proofErr w:type="spellStart"/>
            <w:r>
              <w:rPr>
                <w:rFonts w:ascii="Times New Roman" w:hAnsi="Times New Roman"/>
                <w:sz w:val="24"/>
              </w:rPr>
              <w:t>metod</w:t>
            </w:r>
            <w:proofErr w:type="spellEnd"/>
            <w:r>
              <w:rPr>
                <w:rFonts w:ascii="Times New Roman" w:hAnsi="Times New Roman"/>
                <w:sz w:val="24"/>
              </w:rPr>
              <w:t xml:space="preserve"> a údajů pro odhad a validaci hodnot LGD, včetně odhadů a validace LGD při poklesu, informací o tom, jak se hodnoty LGD odhadují u portfolia s nízkým počtem selhání, a o časové prodlevě mezi selháním a uzavřením expozice;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iii) </w:t>
            </w:r>
            <w:proofErr w:type="spellStart"/>
            <w:r>
              <w:rPr>
                <w:rFonts w:ascii="Times New Roman" w:hAnsi="Times New Roman"/>
                <w:sz w:val="24"/>
              </w:rPr>
              <w:t>definic</w:t>
            </w:r>
            <w:proofErr w:type="spellEnd"/>
            <w:r>
              <w:rPr>
                <w:rFonts w:ascii="Times New Roman" w:hAnsi="Times New Roman"/>
                <w:sz w:val="24"/>
              </w:rPr>
              <w:t xml:space="preserve">, </w:t>
            </w:r>
            <w:proofErr w:type="spellStart"/>
            <w:r>
              <w:rPr>
                <w:rFonts w:ascii="Times New Roman" w:hAnsi="Times New Roman"/>
                <w:sz w:val="24"/>
              </w:rPr>
              <w:t>metod</w:t>
            </w:r>
            <w:proofErr w:type="spellEnd"/>
            <w:r>
              <w:rPr>
                <w:rFonts w:ascii="Times New Roman" w:hAnsi="Times New Roman"/>
                <w:sz w:val="24"/>
              </w:rPr>
              <w:t xml:space="preserve"> a </w:t>
            </w:r>
            <w:proofErr w:type="spellStart"/>
            <w:r>
              <w:rPr>
                <w:rFonts w:ascii="Times New Roman" w:hAnsi="Times New Roman"/>
                <w:sz w:val="24"/>
              </w:rPr>
              <w:t>údajů</w:t>
            </w:r>
            <w:proofErr w:type="spellEnd"/>
            <w:r>
              <w:rPr>
                <w:rFonts w:ascii="Times New Roman" w:hAnsi="Times New Roman"/>
                <w:sz w:val="24"/>
              </w:rPr>
              <w:t xml:space="preserve"> pro odhad a validaci konverzních faktorů, včetně předpokladů použitých při odvozování těchto odhadů.</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094EEE91" w:rsidR="000646F8" w:rsidRPr="007F4CC8" w:rsidRDefault="000646F8" w:rsidP="000646F8">
      <w:pPr>
        <w:spacing w:after="120"/>
        <w:rPr>
          <w:rFonts w:ascii="Times New Roman" w:hAnsi="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CR6 – Přístup IRB – Expozice úvěrového rizika podle kategorie expozic a rozmezí hodnot PD. Šablona s pevným formátem.</w:t>
      </w:r>
    </w:p>
    <w:p w14:paraId="01BC3589" w14:textId="12454B14"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Informace uvedené v čl. 452 písm. g) bodech i) až v) CRR o hlavních parametrech použitých pro výpočet kapitálových požadavků podle přístupu IRB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 xml:space="preserve">CR6, obsažené v příloze XXI tohoto prováděcího nařízení. Informace uvedené v této šabloně nezahrnují údaje o specializovaném úvěrování podle čl. 153 odst. 4 CRR. Tato šablona nezahrnuje expozice úvěrového rizika protistrany (expozice CCR) (část třetí hlava II kapitola 6 CRR), </w:t>
      </w:r>
      <w:proofErr w:type="spellStart"/>
      <w:r>
        <w:rPr>
          <w:rFonts w:ascii="Times New Roman" w:hAnsi="Times New Roman"/>
          <w:sz w:val="24"/>
        </w:rPr>
        <w:t>sekuritizované</w:t>
      </w:r>
      <w:proofErr w:type="spellEnd"/>
      <w:r>
        <w:rPr>
          <w:rFonts w:ascii="Times New Roman" w:hAnsi="Times New Roman"/>
          <w:sz w:val="24"/>
        </w:rPr>
        <w:t xml:space="preserve"> expozice a akciové expozice.</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Rozmezí hodnot PD</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Jedná se o pevné rozmezí PD, které se nesmí měnit.</w:t>
            </w:r>
          </w:p>
          <w:p w14:paraId="31D2661A" w14:textId="77777777" w:rsidR="000646F8" w:rsidRPr="007F4CC8" w:rsidRDefault="000646F8" w:rsidP="00155C96">
            <w:pPr>
              <w:pStyle w:val="Fait"/>
              <w:spacing w:before="0" w:after="120"/>
            </w:pPr>
            <w:r>
              <w:t xml:space="preserve">V případě, že jsou údaje o expozicích v selhání podle článku 178 CRR dále členěny v souladu s případnými definicemi kategorií expozic v selhání, </w:t>
            </w:r>
            <w:r>
              <w:lastRenderedPageBreak/>
              <w:t>budou definice a hodnoty pro kategorie expozic v selhání vysvětleny v doprovodném komentáři.</w:t>
            </w:r>
          </w:p>
          <w:p w14:paraId="6FA3CD0F" w14:textId="77777777" w:rsidR="000646F8" w:rsidRPr="007F4CC8" w:rsidRDefault="000646F8" w:rsidP="00155C96">
            <w:pPr>
              <w:pStyle w:val="Fait"/>
              <w:spacing w:before="0" w:after="120"/>
            </w:pPr>
            <w:r>
              <w:t>Expozice se přiřadí k vhodnému koši pevného rozmezí PD na základě PD odhadnuté pro každého dlužníka zařazeného do dané kategorie expozic (bez zohlednění případných substitučních účinků v důsledku snižování úvěrového rizika). Všechny expozice, u nichž došlo k selhání, se zahrnují do koše PD o hodnotě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lastRenderedPageBreak/>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Rozvahové expozice</w:t>
            </w:r>
          </w:p>
          <w:p w14:paraId="2BC08EF6" w14:textId="77777777" w:rsidR="000646F8" w:rsidRPr="007F4CC8" w:rsidRDefault="000646F8" w:rsidP="00155C96">
            <w:pPr>
              <w:pStyle w:val="Fait"/>
              <w:spacing w:before="0" w:after="120"/>
            </w:pPr>
            <w:r>
              <w:t>Hodnota expozice vypočtená podle čl. 166 odst. 1 až 7 bez zohlednění případných úprav z titulu úvěrového rizika a konverzních faktorů</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Podrozvahové expozice před uplatněním úvěrového konverzního faktoru</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Hodnota expozice v souladu s čl. 166 odst. 1 až 7 CRR, bez zohlednění jakýchkoli úprav o úvěrové riziko a konverzních faktorů, vlastních odhadů ani konverzních faktorů uvedených v čl. 166 odst. 8 CRR ani procentních podílů uvedených v čl. 166 odst. 10 CRR</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Podrozvahové expozice zahrnují všechny přislíbené, avšak nevyčerpané částky a všechny podrozvahové položky vyjmenované v příloze I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úvěrového konverzního faktoru</w:t>
            </w:r>
          </w:p>
          <w:p w14:paraId="324D6568" w14:textId="471713CD"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U všech expozic v každém koši pevné stupnice PD průměrný konverzní faktor, který instituce použily pro výpočet objemů rizikově vážených expozic, vážený podrozvahovou expozicí před vynásobením úvěrovým konverzním faktorem, jak je vykázán ve sloupci c</w:t>
            </w:r>
            <w:r w:rsidR="00C44E30">
              <w:rPr>
                <w:rFonts w:ascii="Times New Roman" w:hAnsi="Times New Roman"/>
                <w:sz w:val="24"/>
              </w:rPr>
              <w:t>)</w:t>
            </w:r>
            <w:r>
              <w:rPr>
                <w:rFonts w:ascii="Times New Roman" w:hAnsi="Times New Roman"/>
                <w:sz w:val="24"/>
              </w:rPr>
              <w:t xml:space="preserve"> této šablony</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Hodnota expozic po použití úvěrového konverzního faktoru a po snížení úvěrového rizika</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Hodnota expozice podle článku 166 CRR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Tento sloupec uvádí součet hodnoty rozvahových expozic a podrozvahových expozic po vynásobení konverzními faktory a procentními podíly podle čl. 166 odst. 8 až 10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PD (%)</w:t>
            </w:r>
          </w:p>
          <w:p w14:paraId="7FB14433" w14:textId="0A1C87FF"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U všech expozic v každém koši pevného rozmezí PD průměrný odhad PD každého dlužníka vážený hodnotou expozice po vynásobení úvěrovým konverzním faktorem a snížení úvěrového rizika, jak je vykázán ve sloupci e</w:t>
            </w:r>
            <w:r w:rsidR="00C44E30">
              <w:rPr>
                <w:rFonts w:ascii="Times New Roman" w:hAnsi="Times New Roman"/>
                <w:sz w:val="24"/>
              </w:rPr>
              <w:t>)</w:t>
            </w:r>
            <w:r>
              <w:rPr>
                <w:rFonts w:ascii="Times New Roman" w:hAnsi="Times New Roman"/>
                <w:sz w:val="24"/>
              </w:rPr>
              <w:t xml:space="preserve"> této šablony</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Počet dlužníků</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Počet právních subjektů nebo dlužníků přiřazených ke každému koši pevně stanoveného rozmezí PD, jež byli ohodnoceni odděleně, bez ohledu na počet různých poskytnutých úvěrů nebo expozic.</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 xml:space="preserve">Se společnými dlužníky se zachází stejným způsobem jako pro účely kalibrace PD. Pokud jsou různé expozice vůči stejnému dlužníkovi </w:t>
            </w:r>
            <w:r>
              <w:rPr>
                <w:rFonts w:ascii="Times New Roman" w:hAnsi="Times New Roman"/>
                <w:sz w:val="24"/>
              </w:rPr>
              <w:lastRenderedPageBreak/>
              <w:t>ohodnoceny samostatně, započítávají se samostatně. K takové situaci může dojít v rámci kategorie retailových expozic, je-li definice selhání použita na úrovni jednotlivých úvěrových příslibů v souladu s čl. 178 odst. 1 poslední větou CRR, nebo jsou-li v jiných kategoriích expozic různým expozicím vůči témuž dlužníkovi přiřazeny různé ratingové stupně dlužníka v souladu s čl. 172 odst. 1 písm. e) druhou větou CRR.</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h</w:t>
            </w:r>
          </w:p>
        </w:tc>
        <w:tc>
          <w:tcPr>
            <w:tcW w:w="7483" w:type="dxa"/>
          </w:tcPr>
          <w:p w14:paraId="715FD946" w14:textId="16C95439" w:rsidR="000646F8" w:rsidRPr="004B15A9" w:rsidRDefault="000646F8" w:rsidP="00155C96">
            <w:pPr>
              <w:pStyle w:val="Fait"/>
              <w:spacing w:before="0" w:after="120"/>
              <w:rPr>
                <w:b/>
              </w:rPr>
            </w:pPr>
            <w:r>
              <w:rPr>
                <w:b/>
              </w:rPr>
              <w:t>Expozicí vážená průměrná hodnota LGD (%)</w:t>
            </w:r>
          </w:p>
          <w:p w14:paraId="051F3DA8" w14:textId="18B7883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pevného rozmezí PD průměrný odhad LGD každé expozice vážený hodnotou expozice po vynásobení úvěrovým konverzním faktorem a snížení úvěrového rizika, jak je vykázán ve sloupci e</w:t>
            </w:r>
            <w:r w:rsidR="00C44E30">
              <w:rPr>
                <w:rFonts w:ascii="Times New Roman" w:hAnsi="Times New Roman"/>
                <w:sz w:val="24"/>
              </w:rPr>
              <w:t>)</w:t>
            </w:r>
            <w:r>
              <w:rPr>
                <w:rFonts w:ascii="Times New Roman" w:hAnsi="Times New Roman"/>
                <w:sz w:val="24"/>
              </w:rPr>
              <w:t xml:space="preserve"> této šablony</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Uvedená hodnota LGD odpovídá konečnému odhadu LGD použitému pro výpočet rizikově vážených částek získaných po zvážení případných dopadů snižování úvěrového rizika a podmínek hospodářského poklesu. U retailových expozic zajištěných nemovitostmi zohlední vykazovaná hodnota LGD dolní meze uvedené v čl. 164 odst. 4 CRR.</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 případě, že expozice podléhají přístupu dvojího selhání, odpovídá hodnota LGD, která má být zpřístupněna, LGD vybrané v souladu s čl. 161 odst. 4 CRR.</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V případě expozic, u nichž došlo k selhání podle přístupu A-IRB, se zohlední ustanovení čl. 181 odst. 1 písm. h) CRR. Vykázaná hodnota LGD odpovídá odhadu LGD v selhání v souladu s použitelnými metodikami odhadu.</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splatnost (roky)</w:t>
            </w:r>
          </w:p>
          <w:p w14:paraId="15AF3A23" w14:textId="13C6251F"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pevného rozmezí PD průměrná splatnost každé expozice vážená hodnotou expozice po vynásobení úvěrovým konverzním faktorem podle sloupce e</w:t>
            </w:r>
            <w:r w:rsidR="00C44E30">
              <w:rPr>
                <w:rFonts w:ascii="Times New Roman" w:hAnsi="Times New Roman"/>
                <w:sz w:val="24"/>
              </w:rPr>
              <w:t>)</w:t>
            </w:r>
            <w:r>
              <w:rPr>
                <w:rFonts w:ascii="Times New Roman" w:hAnsi="Times New Roman"/>
                <w:sz w:val="24"/>
              </w:rPr>
              <w:t xml:space="preserve"> této šablony</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Uvedená hodnota splatnosti odráží článek 162 CRR.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Průměrná splatnost se vykazuje v letech.</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Tento údaj se nevykazuje u hodnot expozice, v jejichž případě splatnost není součástí výpočtu </w:t>
            </w:r>
            <w:r>
              <w:rPr>
                <w:rStyle w:val="InstructionsTabelleText"/>
                <w:rFonts w:ascii="Times New Roman" w:hAnsi="Times New Roman"/>
                <w:sz w:val="24"/>
              </w:rPr>
              <w:t>objemů rizikově vážených expozic</w:t>
            </w:r>
            <w:r>
              <w:rPr>
                <w:rFonts w:ascii="Times New Roman" w:hAnsi="Times New Roman"/>
                <w:sz w:val="24"/>
              </w:rPr>
              <w:t xml:space="preserve"> v souladu s částí třetí hlavou II kapitolou 3 CRR. Znamená to, že tento sloupec se nevyplňuje pro kategorii „retailové expozice“.</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 po uplatnění podpůrných koeficientů</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U expozic vůči ústředním vládám a centrálním bankám, institucím a podnikům objem rizikově vážené expozice vypočtený v souladu s čl. 153 odst. 1 až 4 CRR; u retailových expozic objem rizikově vážené expozice vypočítaný v souladu s článkem 154 CRR.</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Zohledňují se podpůrné koeficienty pro malé a střední podniky a infrastrukturu podle článků 501 a 501a CRR.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Hustota objemů rizikově vážených expozic</w:t>
            </w:r>
          </w:p>
          <w:p w14:paraId="48C3A469" w14:textId="2CB09DF9"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lastRenderedPageBreak/>
              <w:t>Poměr mezi součtem objemů rizikově vážených expozic po uplatnění podpůrných koeficientů podle sloupce j</w:t>
            </w:r>
            <w:r w:rsidR="005B280B">
              <w:rPr>
                <w:rFonts w:ascii="Times New Roman" w:hAnsi="Times New Roman"/>
                <w:sz w:val="24"/>
              </w:rPr>
              <w:t>)</w:t>
            </w:r>
            <w:r>
              <w:rPr>
                <w:rFonts w:ascii="Times New Roman" w:hAnsi="Times New Roman"/>
                <w:sz w:val="24"/>
              </w:rPr>
              <w:t xml:space="preserve"> této šablony a hodnotou expozice ve sloupci e</w:t>
            </w:r>
            <w:r w:rsidR="005B280B">
              <w:rPr>
                <w:rFonts w:ascii="Times New Roman" w:hAnsi="Times New Roman"/>
                <w:sz w:val="24"/>
              </w:rPr>
              <w:t>)</w:t>
            </w:r>
            <w:r>
              <w:rPr>
                <w:rFonts w:ascii="Times New Roman" w:hAnsi="Times New Roman"/>
                <w:sz w:val="24"/>
              </w:rPr>
              <w:t xml:space="preserve"> této šablony</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Výše očekávaných ztrát</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Výše očekávané ztráty vypočítaná v souladu s článkem 158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Výše očekávané ztráty, která má být vykázána, vychází ze současných rizikových parametrů, které se používají v interním ratingovém systému schváleném příslušným orgánem.</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Úpravy ocenění a rezervy</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Specifické a obecné úpravy o úvěrové riziko v souladu s nařízením Komise v přenesené pravomoci (EU) č. 183/2014</w:t>
            </w:r>
            <w:r w:rsidRPr="007F4CC8">
              <w:rPr>
                <w:rStyle w:val="FootnoteReference"/>
                <w:rFonts w:cs="Times New Roman"/>
              </w:rPr>
              <w:footnoteReference w:id="39"/>
            </w:r>
            <w:r>
              <w:rPr>
                <w:rFonts w:ascii="Times New Roman" w:hAnsi="Times New Roman"/>
                <w:sz w:val="24"/>
              </w:rPr>
              <w:t>, dodatečné úpravy ocenění v souladu s články 34 a 110 CRR, jakož i další snížení kapitálu související s expozicemi přiřazenými každému koši pevného rozmezí PD</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Tyto úpravy ocenění a rezervy jsou brány v úvahu pro účely provádění článku 159 CRR.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Obecné rezervy se vykazují přiřazením poměrné hodnoty – na základě očekávané výše ztrát u různých ratingových stupňů dlužníka.</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Kategorie expozic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V případech, kdy instituce obdržely povolení používat pro výpočet objemů rizikově vážených expozic vlastní LGD a konverzní faktory, zpřístupní informace požadované v této šabloně samostatně pro kategorie expozic, na něž se povolení vztahuje (pokročilý přístup IRB). U kategorií expozic, pro které instituce nemá povolení používat vlastní odhady LGD a konverzních faktorů (základní přístup IRB, F-IRB), zpřístupňují instituce informace o příslušných expozicích samostatně pomocí šablony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Pokročilý přístup 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Kategorie expozic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Pro každou kategorii vyjmenovanou v čl. 147 odst. 2 CRR, s výjimkami uvedenými výše, instituce zpřístupňují samostatnou šablonu s dalším členěním pro následující kategorie expozic: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v rámci kategorie expozic „expozice vůči podnikům“ (čl. 147 odst. 2 písm. c) CRR) členění </w:t>
            </w:r>
            <w:proofErr w:type="gramStart"/>
            <w:r>
              <w:rPr>
                <w:rFonts w:ascii="Times New Roman" w:hAnsi="Times New Roman"/>
                <w:iCs/>
                <w:sz w:val="24"/>
              </w:rPr>
              <w:t>na</w:t>
            </w:r>
            <w:proofErr w:type="gramEnd"/>
            <w:r>
              <w:rPr>
                <w:rFonts w:ascii="Times New Roman" w:hAnsi="Times New Roman"/>
                <w:iCs/>
                <w:sz w:val="24"/>
              </w:rPr>
              <w:t>:</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lastRenderedPageBreak/>
              <w:t>b.</w:t>
            </w:r>
            <w:r>
              <w:rPr>
                <w:rFonts w:ascii="Times New Roman" w:hAnsi="Times New Roman"/>
                <w:iCs/>
                <w:sz w:val="24"/>
              </w:rPr>
              <w:tab/>
              <w:t>expozice vůči podnikům – specializované úvěrování podle čl. 147 odst. 8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expozice vůči podnikům – ostatní,</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v rámci kategorie expozic „retailové expozice“ (čl. 147 odst. 2 písm. d) a čl. 147 odst. 5 CRR) členění </w:t>
            </w:r>
            <w:proofErr w:type="gramStart"/>
            <w:r>
              <w:rPr>
                <w:rFonts w:ascii="Times New Roman" w:hAnsi="Times New Roman"/>
                <w:iCs/>
                <w:sz w:val="24"/>
              </w:rPr>
              <w:t>na</w:t>
            </w:r>
            <w:proofErr w:type="gramEnd"/>
            <w:r>
              <w:rPr>
                <w:rFonts w:ascii="Times New Roman" w:hAnsi="Times New Roman"/>
                <w:iCs/>
                <w:sz w:val="24"/>
              </w:rPr>
              <w:t>:</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retailové expozice – vůči MSP zajištěné kolaterálem ve formě nemovitostí (čl. 147 odst. 2 písm. d) CRR ve spojení s čl. 154 odst. 2 a 3 CRR);</w:t>
            </w:r>
          </w:p>
          <w:p w14:paraId="00C7272D" w14:textId="76C62A11" w:rsidR="000646F8" w:rsidRPr="007F4CC8" w:rsidRDefault="000503AE"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r>
            <w:r w:rsidR="000646F8">
              <w:rPr>
                <w:rFonts w:ascii="Times New Roman" w:hAnsi="Times New Roman"/>
                <w:iCs/>
                <w:sz w:val="24"/>
              </w:rPr>
              <w:t>retailové expozice – MSP ostatní;</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retailové expozice – jiné než vůči MSP zajištěné kolaterálem ve formě nemovitostí (čl. 147 odst. 2 písm. d) CRR ve spojení s čl. 154 odst. 3 CRR);</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Pr>
                <w:rFonts w:ascii="Times New Roman" w:hAnsi="Times New Roman"/>
                <w:iCs/>
                <w:sz w:val="24"/>
              </w:rPr>
              <w:tab/>
              <w:t>retailové expozice – kvalifikované revolvingové (čl. 147 odst. 2 písm. d) CRR ve spojení s čl. 154 odst. 4 CRR);</w:t>
            </w:r>
          </w:p>
          <w:p w14:paraId="1E06E2C7" w14:textId="75D19A52" w:rsidR="000646F8" w:rsidRPr="007F4CC8" w:rsidRDefault="000503AE"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w:t>
            </w:r>
            <w:r>
              <w:rPr>
                <w:rFonts w:ascii="Times New Roman" w:hAnsi="Times New Roman"/>
                <w:iCs/>
                <w:sz w:val="24"/>
              </w:rPr>
              <w:tab/>
            </w:r>
            <w:r w:rsidR="000646F8">
              <w:rPr>
                <w:rFonts w:ascii="Times New Roman" w:hAnsi="Times New Roman"/>
                <w:iCs/>
                <w:sz w:val="24"/>
              </w:rPr>
              <w:t>retailové expozice – jiné než vůči MSP, ostatní.</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Na konci každé samostatné šablony se pro každou kategorii expozic uvede řádek s celkovými objemy expozic.</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Základní přístup 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Kategorie expozic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Pro každou kategorii vyjmenovanou v čl. 147 odst. 2 CRR, s výjimkami uvedenými výše, instituce zpřístupňují samostatnou šablonu s dalším členěním pro následující kategorie expozic:</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v rámci kategorie expozic „expozice vůči podnikům“ (čl. 147 odst. 2 písm. c) CRR) členění </w:t>
            </w:r>
            <w:proofErr w:type="gramStart"/>
            <w:r>
              <w:rPr>
                <w:rFonts w:ascii="Times New Roman" w:hAnsi="Times New Roman"/>
                <w:iCs/>
                <w:sz w:val="24"/>
              </w:rPr>
              <w:t>na</w:t>
            </w:r>
            <w:proofErr w:type="gramEnd"/>
            <w:r>
              <w:rPr>
                <w:rFonts w:ascii="Times New Roman" w:hAnsi="Times New Roman"/>
                <w:iCs/>
                <w:sz w:val="24"/>
              </w:rPr>
              <w:t>:</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w:t>
            </w:r>
          </w:p>
          <w:p w14:paraId="03A7AC1A" w14:textId="591A9C5B"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rPr>
                <w:rFonts w:ascii="Times New Roman" w:hAnsi="Times New Roman"/>
                <w:iCs/>
                <w:sz w:val="24"/>
              </w:rPr>
              <w:tab/>
              <w:t>e</w:t>
            </w:r>
            <w:r w:rsidR="000503AE">
              <w:rPr>
                <w:rFonts w:ascii="Times New Roman" w:hAnsi="Times New Roman"/>
                <w:iCs/>
                <w:sz w:val="24"/>
              </w:rPr>
              <w:t>xpozice vůči podnikům – ostatní.</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3E017C6A"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CR6-A – Přístup IRB – Rozsah použití přístupů IRB a SA Šablona s pevným formátem</w:t>
      </w:r>
    </w:p>
    <w:p w14:paraId="5CEA1D8C" w14:textId="77777777" w:rsidR="000646F8" w:rsidRPr="007F4CC8" w:rsidRDefault="000646F8" w:rsidP="000646F8">
      <w:pPr>
        <w:spacing w:after="120"/>
        <w:rPr>
          <w:rFonts w:ascii="Times New Roman" w:hAnsi="Times New Roman" w:cs="Times New Roman"/>
          <w:sz w:val="24"/>
        </w:rPr>
      </w:pPr>
    </w:p>
    <w:p w14:paraId="1C7C6FC2" w14:textId="328F0B2B"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Instituce, které vypočítávají objemy rizikově vážených expozic na základě přístupu IRB k úvěrovému riziku, zpřístupňují informace uvedené v čl. 452 písm. b) CRR podle následujících pokynů k vyplňování šablony </w:t>
      </w:r>
      <w:r w:rsidR="00CC4769">
        <w:rPr>
          <w:rFonts w:ascii="Times New Roman" w:hAnsi="Times New Roman"/>
          <w:sz w:val="24"/>
        </w:rPr>
        <w:t xml:space="preserve">EU </w:t>
      </w:r>
      <w:r>
        <w:rPr>
          <w:rFonts w:ascii="Times New Roman" w:hAnsi="Times New Roman"/>
          <w:sz w:val="24"/>
        </w:rPr>
        <w:t>CR6-A, obsažené v příloze XXI tohoto prováděcího nařízení.</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Pro účely této šablony instituce přiřadí své expozice podléhající standardizovanému přístupu stanovenému v části třetí hlavě II kapitole 2 nebo přístupu IRB stanovenému </w:t>
      </w:r>
      <w:r>
        <w:rPr>
          <w:rFonts w:ascii="Times New Roman" w:hAnsi="Times New Roman"/>
          <w:sz w:val="24"/>
        </w:rPr>
        <w:lastRenderedPageBreak/>
        <w:t xml:space="preserve">v části třetí hlavě II kapitole 3 kategoriím expozic vymezeným podle přístupu IRB. Tato šablona nezahrnuje expozice úvěrového rizika protistrany (expozice CCR) (část třetí hlava II kapitola 6 CRR) a </w:t>
      </w:r>
      <w:proofErr w:type="spellStart"/>
      <w:r>
        <w:rPr>
          <w:rFonts w:ascii="Times New Roman" w:hAnsi="Times New Roman"/>
          <w:sz w:val="24"/>
        </w:rPr>
        <w:t>sekuritizované</w:t>
      </w:r>
      <w:proofErr w:type="spellEnd"/>
      <w:r>
        <w:rPr>
          <w:rFonts w:ascii="Times New Roman" w:hAnsi="Times New Roman"/>
          <w:sz w:val="24"/>
        </w:rPr>
        <w:t xml:space="preserve"> expozice.</w:t>
      </w:r>
    </w:p>
    <w:p w14:paraId="3C7DF511" w14:textId="73CECFF6"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V komentáři připojeném k šabloně instituce vysvětlí veškeré podstatné rozdíly mezi hodnotou expozice podle článku 166 u expozic, na něž se vztahuje přístup IRB, uvedenou ve sloupci a</w:t>
      </w:r>
      <w:r w:rsidR="005B280B">
        <w:rPr>
          <w:rFonts w:ascii="Times New Roman" w:hAnsi="Times New Roman"/>
          <w:sz w:val="24"/>
        </w:rPr>
        <w:t>)</w:t>
      </w:r>
      <w:r>
        <w:rPr>
          <w:rFonts w:ascii="Times New Roman" w:hAnsi="Times New Roman"/>
          <w:sz w:val="24"/>
        </w:rPr>
        <w:t xml:space="preserve"> šablony, a hodnotou expozice pro tytéž expozice podle čl. 429 odst. 4 CRR, uvedenou ve sloupcích b</w:t>
      </w:r>
      <w:r w:rsidR="005B280B">
        <w:rPr>
          <w:rFonts w:ascii="Times New Roman" w:hAnsi="Times New Roman"/>
          <w:sz w:val="24"/>
        </w:rPr>
        <w:t>)</w:t>
      </w:r>
      <w:r>
        <w:rPr>
          <w:rFonts w:ascii="Times New Roman" w:hAnsi="Times New Roman"/>
          <w:sz w:val="24"/>
        </w:rPr>
        <w:t xml:space="preserve"> a d</w:t>
      </w:r>
      <w:r w:rsidR="005B280B">
        <w:rPr>
          <w:rFonts w:ascii="Times New Roman" w:hAnsi="Times New Roman"/>
          <w:sz w:val="24"/>
        </w:rPr>
        <w:t>)</w:t>
      </w:r>
      <w:r>
        <w:rPr>
          <w:rFonts w:ascii="Times New Roman" w:hAnsi="Times New Roman"/>
          <w:sz w:val="24"/>
        </w:rPr>
        <w:t xml:space="preserve"> této šablony.</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Odkazy na právní předpisy a pokyny</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Sloupec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Vysvětlení</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Hodnota expozic ve smyslu článku 166 CRR u expozic, na něž se vztahuje přístup IRB</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V tomto sloupci instituce uvedou hodnotu expozice ve smyslu 166 CRR pouze pro expozice, na něž se vztahuje přístup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Celková hodnota expozic, na něž se vztahuje standardizovaný přístup a přístup IRB</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 vykázání celkové hodnoty expozice, včetně expozic podle standardizovaného přístupu i podle přístupu IRB, instituce použijí hodnotu expozice podle čl. 429 odst. 4 CRR.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Procento celkové hodnoty expozic, na něž se vztahuje trvalé částečné použití standardizovaného přístupu (%)</w:t>
            </w:r>
          </w:p>
          <w:p w14:paraId="488DCA7D" w14:textId="72021A68"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Část expozice pro každou kategorii expozic, na které se vztahuje standardizovaný přístup (expozice podléhající standardizovanému přístupu podle části třetí hlavy II kapitoly 2 v souladu s rozsahem povolení k trvalému částečnému použití standardizovaného přístupu obdrženého od příslušného orgánu podle článku 150 CRR) vůči celkové expozici v dané kategorii expozice podle sloupce b</w:t>
            </w:r>
            <w:r w:rsidR="005B280B">
              <w:rPr>
                <w:rFonts w:ascii="Times New Roman" w:hAnsi="Times New Roman"/>
                <w:sz w:val="24"/>
              </w:rPr>
              <w:t>)</w:t>
            </w:r>
            <w:r>
              <w:rPr>
                <w:rFonts w:ascii="Times New Roman" w:hAnsi="Times New Roman"/>
                <w:sz w:val="24"/>
              </w:rPr>
              <w:t xml:space="preserve"> této šablony.</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Procento celkové hodnoty expozic, na něž se vztahuje přístup IRB (%)</w:t>
            </w:r>
          </w:p>
          <w:p w14:paraId="76473BF7" w14:textId="3E7F84A6" w:rsidR="000646F8" w:rsidRPr="007F4CC8" w:rsidRDefault="000646F8" w:rsidP="000503AE">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Část expozice pro každou kategorii expozic, na které se vztahuje přístup IRB (expozice podléhající přístupu IRB podle části třetí hlavy II kapitoly 3 vůči celkové expozic</w:t>
            </w:r>
            <w:r w:rsidR="000503AE">
              <w:rPr>
                <w:rFonts w:ascii="Times New Roman" w:hAnsi="Times New Roman"/>
                <w:sz w:val="24"/>
              </w:rPr>
              <w:t>i</w:t>
            </w:r>
            <w:r>
              <w:rPr>
                <w:rFonts w:ascii="Times New Roman" w:hAnsi="Times New Roman"/>
                <w:sz w:val="24"/>
              </w:rPr>
              <w:t xml:space="preserve"> v dané kategorii expozice), při dodržení rozsahu povolení k použití přístupu IRB obdrženého od příslušného orgánu podle článku 143 CRR, vůči celkové expozici v dané kategorii expozice podle sloupce b</w:t>
            </w:r>
            <w:r w:rsidR="005B280B">
              <w:rPr>
                <w:rFonts w:ascii="Times New Roman" w:hAnsi="Times New Roman"/>
                <w:sz w:val="24"/>
              </w:rPr>
              <w:t>)</w:t>
            </w:r>
            <w:r>
              <w:rPr>
                <w:rFonts w:ascii="Times New Roman" w:hAnsi="Times New Roman"/>
                <w:sz w:val="24"/>
              </w:rPr>
              <w:t xml:space="preserve"> této šablony. To zahrnuje jak expozice, u nichž mají instituce povolení používat nebo nepoužívat vlastní odhady LGD a konverzních faktorů (základní a pokročilý přístup IRB), včetně dohledového rozřazovacího přístupu pro specializované úvěrové expozice a akciové expozice podle metody zjednodušené rizikové váhy.</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Procento celkové hodnoty expozic, na něž se vztahuje plán zavedení (%)</w:t>
            </w:r>
          </w:p>
          <w:p w14:paraId="0A1E83BC" w14:textId="7942C2FD"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Část expozice pro každou kategorii aktiv, které se týká postupné zavádění přístupu IRB podle článku 148 CRR, vůči celkové expozici v dané kategorii expozic podle sloupce b</w:t>
            </w:r>
            <w:r w:rsidR="005B280B">
              <w:rPr>
                <w:rFonts w:ascii="Times New Roman" w:hAnsi="Times New Roman"/>
                <w:sz w:val="24"/>
              </w:rPr>
              <w:t>)</w:t>
            </w:r>
            <w:r>
              <w:rPr>
                <w:rFonts w:ascii="Times New Roman" w:hAnsi="Times New Roman"/>
                <w:sz w:val="24"/>
              </w:rPr>
              <w:t>. To zahrnuje:</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lastRenderedPageBreak/>
              <w:t>expozice, u nichž instituce plánují použít přístup IRB s vlastním odhadem LGD a konverzních faktorů nebo bez něj (základní nebo pokročilý přístup IRB),</w:t>
            </w:r>
          </w:p>
          <w:p w14:paraId="403F364D" w14:textId="5442B218"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nepodstatné akciové expozice nezahrnuté ve sloupcích c</w:t>
            </w:r>
            <w:r w:rsidR="005B280B">
              <w:rPr>
                <w:rFonts w:ascii="Times New Roman" w:hAnsi="Times New Roman"/>
                <w:sz w:val="24"/>
              </w:rPr>
              <w:t>)</w:t>
            </w:r>
            <w:r>
              <w:rPr>
                <w:rFonts w:ascii="Times New Roman" w:hAnsi="Times New Roman"/>
                <w:sz w:val="24"/>
              </w:rPr>
              <w:t xml:space="preserve"> a d</w:t>
            </w:r>
            <w:r w:rsidR="005B280B">
              <w:rPr>
                <w:rFonts w:ascii="Times New Roman" w:hAnsi="Times New Roman"/>
                <w:sz w:val="24"/>
              </w:rPr>
              <w:t>)</w:t>
            </w:r>
            <w:r>
              <w:rPr>
                <w:rFonts w:ascii="Times New Roman" w:hAnsi="Times New Roman"/>
                <w:sz w:val="24"/>
              </w:rPr>
              <w:t xml:space="preserve"> této šablony,</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expozice, na které se již vztahuje základní přístup IRB v případě, že instituce hodlá v budoucnu uplatňovat pokročilý přístup IRB,</w:t>
            </w:r>
          </w:p>
          <w:p w14:paraId="75D515C7" w14:textId="53A13AAB"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specializované úvěrové expozice v rámci dohledového rozřazovacího přístupu neuvedené ve sloupci d</w:t>
            </w:r>
            <w:r w:rsidR="005B280B">
              <w:rPr>
                <w:rFonts w:ascii="Times New Roman" w:hAnsi="Times New Roman"/>
                <w:sz w:val="24"/>
              </w:rPr>
              <w:t>)</w:t>
            </w:r>
            <w:r>
              <w:rPr>
                <w:rFonts w:ascii="Times New Roman" w:hAnsi="Times New Roman"/>
                <w:sz w:val="24"/>
              </w:rPr>
              <w:t xml:space="preserve"> této šablony.</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Kategorie expozic</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Instituce v šabloně CR 6-A uvedou informace podle kategorií expozic v souladu s rozčleněním kategorií expozic uvedených v řádcích šablony.</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4E6278CE"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CR7 – Přístup IRB – Vliv úvěrových derivátů použitých jako techniky snižování úvěrového rizika na objemy rizikově vážených expozic. Šablona s pevným formátem.</w:t>
      </w:r>
    </w:p>
    <w:p w14:paraId="2B1781FA" w14:textId="275B1D5F"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Informace uvedené v čl. 453 písm. j)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 xml:space="preserve">CR7, obsažené v příloze XXI tohoto prováděcího nařízení. Instituce doplní šablonu popisným komentářem, ve kterém vysvětlí vliv úvěrových derivátů na objemy rizikově vážených expozic. Tato šablona nezahrnuje expozice úvěrového rizika protistrany (expozice CCR) (část třetí hlava II kapitola 6 CRR), </w:t>
      </w:r>
      <w:proofErr w:type="spellStart"/>
      <w:r>
        <w:rPr>
          <w:rFonts w:ascii="Times New Roman" w:hAnsi="Times New Roman"/>
          <w:sz w:val="24"/>
        </w:rPr>
        <w:t>sekuritizované</w:t>
      </w:r>
      <w:proofErr w:type="spellEnd"/>
      <w:r>
        <w:rPr>
          <w:rFonts w:ascii="Times New Roman" w:hAnsi="Times New Roman"/>
          <w:sz w:val="24"/>
        </w:rPr>
        <w:t xml:space="preserve"> expozice, jiná aktiva nemající povahu úvěrového závazku a akciové expozice.</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Objem rizikově vážených expozic před použitím úvěrových derivátů</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Hypotetický objem rizikově vážené expozice vypočtený jako skutečný objem rizikově vážené expozice za předpokladu, že úvěrový derivát není uznán jako technika snižování úvěrového rizika podle článku 204 CRR. Částky se uvádějí v kategoriích expozic relevantních pro expozice vůči původnímu dlužníkovi.</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Skutečný objem rizikově vážených expozic</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Objem rizikově vážené expozice vypočtený se zohledněním dopadu úvěrových derivátů. Pokud instituce nahradí rizikovou váhu nebo rizikové parametry dlužníka rizikovou váhou nebo rizikovými parametry </w:t>
            </w:r>
            <w:r>
              <w:rPr>
                <w:rFonts w:ascii="Times New Roman" w:hAnsi="Times New Roman"/>
                <w:sz w:val="24"/>
              </w:rPr>
              <w:lastRenderedPageBreak/>
              <w:t>poskytovatele zajištění, uvedou se objemy rizikově vážených expozic v kategorii expozic relevantní pro přímé expozice vůči poskytovateli zajištění.</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až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Instituce zahrnou členění rizikově vážené expozice před použitím úvěrových derivátů a skutečné rizikově vážené expozice podle kategorií expozic v souladu s kategoriemi expozic uvedenými v článku 147 CRR, a to s dalším členěním uvedeným v šabloně a zvlášť pro expozice podle základního přístupu IRB a expozice podle pokročilého přístupu IRB.</w:t>
            </w:r>
            <w:r>
              <w:rPr>
                <w:rFonts w:ascii="Times New Roman" w:hAnsi="Times New Roman"/>
                <w:color w:val="auto"/>
              </w:rPr>
              <w:t xml:space="preserve"> </w:t>
            </w:r>
            <w:r>
              <w:rPr>
                <w:rFonts w:ascii="Times New Roman" w:hAnsi="Times New Roman"/>
              </w:rPr>
              <w:t>V řádcích 1 a 6 této šablony instituce uvedou mezisoučty pro expozice základního přístupu IRB a expozice pokročilého přístupu 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Instituce uvedou další členění pro kategorii expozic „expozice vůči podnikům“ (čl. 147 odst. 2 písm. c) CRR) takto:</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 vyjma specializovaných úvěrových expozic podle rozřazovacího přístupu;</w:t>
            </w:r>
          </w:p>
          <w:p w14:paraId="4CD1D6C5" w14:textId="208C77AB"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expozice vůči podnikům – ostatní</w:t>
            </w:r>
            <w:r w:rsidR="000503AE">
              <w:rPr>
                <w:rFonts w:ascii="Times New Roman" w:hAnsi="Times New Roman"/>
                <w:iCs/>
                <w:sz w:val="24"/>
              </w:rPr>
              <w:t>.</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Instituce uvedou další členění pro kategorii expozic „retailové expozice“ (čl. 147 odst. 2 písm. d) a čl. 147 odst. 5 CRR). Instituce uvedou další členění pro:</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retailové expozice – vůči MSP zajištěné kolaterálem ve formě nemovitostí (ve spojení s čl. 154 odst. 2 a 3 CRR);</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retailové expozice – jiné než vůči MSP zajištěné kolaterálem ve formě nemovitostí (ve spojení s čl. 154 odst. 3 CRR);</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retailové expozice – kvalifikované revolvingové (ve spojení s čl. 154 odst. 4 CRR);</w:t>
            </w:r>
          </w:p>
          <w:p w14:paraId="6FDBCF5C" w14:textId="16F24752"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503AE">
              <w:rPr>
                <w:rFonts w:ascii="Times New Roman" w:hAnsi="Times New Roman"/>
                <w:iCs/>
                <w:sz w:val="24"/>
              </w:rPr>
              <w:tab/>
            </w:r>
            <w:r>
              <w:rPr>
                <w:rFonts w:ascii="Times New Roman" w:hAnsi="Times New Roman"/>
                <w:iCs/>
                <w:sz w:val="24"/>
              </w:rPr>
              <w:t>retailové expozice – MSP ostatní;</w:t>
            </w:r>
          </w:p>
          <w:p w14:paraId="5EAF028B" w14:textId="489D2F0F"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0503AE">
              <w:rPr>
                <w:rFonts w:ascii="Times New Roman" w:hAnsi="Times New Roman"/>
                <w:iCs/>
                <w:sz w:val="24"/>
              </w:rPr>
              <w:tab/>
            </w:r>
            <w:r>
              <w:rPr>
                <w:rFonts w:ascii="Times New Roman" w:hAnsi="Times New Roman"/>
                <w:iCs/>
                <w:sz w:val="24"/>
              </w:rPr>
              <w:t>retailové expozice – jiné než vůči MSP, ostatní.</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CELKEM (včetně expozic, na něž se vztahuje základní a pokročilý přístup 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Celkový objem rizikově vážené expozice před použitím úvěrových derivátů a celkový skutečný objem rizikově vážené expozice pro všechny expozice, na které se použije přístup IRB (základní i pokročilý přístup 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585C11F4"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CR7-A – Přístup IRB – Zpřístupňování informací o rozsahu využití technik snižování úvěrového rizika </w:t>
      </w:r>
    </w:p>
    <w:p w14:paraId="7A5DAE09" w14:textId="49A6412F"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 xml:space="preserve">Informace uvedené v čl. 453 písm. g) zvlášť pro expozice, u kterých se použije pokročilý přístup IRB, a ty, u kterých se použije základní přístup IRB,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CR7-A, obsažené v příloze XXI tohoto prováděcího nařízení. V případě, že se položka majetkového zajištění úvěrového rizika vztahuje na více než jednu expozici, součet expozic považovaných za zajištěné touto položkou nesmí překročit hodnotu položky úvěrového zajištění.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Celkové expozice</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Hodnota expozice (po použití konverzních faktorů) podle článků 166 a 167 CRR</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Expozice se uvedou v souladu s kategorií expozic použitelnou pro dlužníka, bez zohlednění případných substitučních účinků v důsledku existence záruky.</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Instituce, které používají metodu zjednodušené rizikové váhy, rovněž zohlední ustanovení o započtení podle čl. 155 odst. 2 CRR.</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finančním kolaterálem (v %)</w:t>
            </w:r>
          </w:p>
          <w:p w14:paraId="7F761059" w14:textId="44A13E0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finančním kolaterálem vůči celkovým expozicím podle sloupce a</w:t>
            </w:r>
            <w:r w:rsidR="005B280B">
              <w:rPr>
                <w:rFonts w:ascii="Times New Roman" w:hAnsi="Times New Roman"/>
                <w:sz w:val="24"/>
              </w:rPr>
              <w:t>)</w:t>
            </w:r>
            <w:r>
              <w:rPr>
                <w:rFonts w:ascii="Times New Roman" w:hAnsi="Times New Roman"/>
                <w:sz w:val="24"/>
              </w:rPr>
              <w:t xml:space="preserve"> této šablony</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Pokud jsou splněny všechny požadavky stanovené v čl. 207 odst. 2 až 4 CRR, zahrne se do čitatele finanční kolaterál včetně hotovostního kolaterálu, dluhových cenných papírů a zlata podle článků 197 a 198 CRR. Hodnota uvedeného kolaterálu je omezena hodnotou expozice na úrovni jednotlivé expozice.</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Pokud jsou používány vlastní odhady LGD: finanční kolaterál zohledňovaný v odhadech LGD podle čl. 181 odst. 1 písm. e) a f) CRR. Výše, která má být vykázána, odpovídá odhadované tržní hodnotě kolaterálu.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jiným způsobilým kolaterálem (v %)</w:t>
            </w:r>
          </w:p>
          <w:p w14:paraId="04DFFFB0" w14:textId="5DAF051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jiným způsobilým kolaterálem vůči celkovým expozicím podle sloupce a</w:t>
            </w:r>
            <w:r w:rsidR="005B280B">
              <w:rPr>
                <w:rFonts w:ascii="Times New Roman" w:hAnsi="Times New Roman"/>
                <w:sz w:val="24"/>
              </w:rPr>
              <w:t>)</w:t>
            </w:r>
            <w:r>
              <w:rPr>
                <w:rFonts w:ascii="Times New Roman" w:hAnsi="Times New Roman"/>
                <w:sz w:val="24"/>
              </w:rPr>
              <w:t xml:space="preserve"> této šablony</w:t>
            </w:r>
          </w:p>
          <w:p w14:paraId="2060A807" w14:textId="11CDD33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Hodnoty uvedené v tomto sloupci jsou součtem hodnot ve sloupcích d</w:t>
            </w:r>
            <w:r w:rsidR="005B280B">
              <w:rPr>
                <w:rFonts w:ascii="Times New Roman" w:hAnsi="Times New Roman"/>
                <w:sz w:val="24"/>
              </w:rPr>
              <w:t>)</w:t>
            </w:r>
            <w:r>
              <w:rPr>
                <w:rFonts w:ascii="Times New Roman" w:hAnsi="Times New Roman"/>
                <w:sz w:val="24"/>
              </w:rPr>
              <w:t xml:space="preserve"> až f</w:t>
            </w:r>
            <w:r w:rsidR="005B280B">
              <w:rPr>
                <w:rFonts w:ascii="Times New Roman" w:hAnsi="Times New Roman"/>
                <w:sz w:val="24"/>
              </w:rPr>
              <w:t>)</w:t>
            </w:r>
            <w:r>
              <w:rPr>
                <w:rFonts w:ascii="Times New Roman" w:hAnsi="Times New Roman"/>
                <w:sz w:val="24"/>
              </w:rPr>
              <w:t xml:space="preserve"> této šablony.</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Pokud nejsou používány vlastní odhady LGD: čl. 199 odst. 1 až 8 a článek 229 CRR.</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Pokud jsou používány vlastní odhady LGD: ostatní kolaterál zohledňovaný v odhadech LGD podle čl. 181 odst. 1 písm. e) a f)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nemovitým kolaterálem (v %)</w:t>
            </w:r>
          </w:p>
          <w:p w14:paraId="56FCDB17" w14:textId="52F1A182"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Procentní podíl expozic zajištěných kolaterálem ve formě nemovitostí včetně pronájmu podle čl. 199 odst. 7 CRR vůči celkovým expozicím podle sloupce a</w:t>
            </w:r>
            <w:r w:rsidR="000503AE">
              <w:rPr>
                <w:rFonts w:ascii="Times New Roman" w:hAnsi="Times New Roman"/>
                <w:sz w:val="24"/>
              </w:rPr>
              <w:t>)</w:t>
            </w:r>
            <w:r>
              <w:rPr>
                <w:rFonts w:ascii="Times New Roman" w:hAnsi="Times New Roman"/>
                <w:sz w:val="24"/>
              </w:rPr>
              <w:t xml:space="preserve"> této šablony</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Kolaterál ve formě nemovitostí bude zařazen do čitatele, pokud splňuje všechny požadavky způsobilosti stanovené v čl. 208 odst. 2 až 5 CRR.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Pronájem nemovitostí bude zařazen do čitatele, pokud splňuje všechny požadavky způsobilosti stanovené v článku 211 CRR. Vykázaná hodnota kolaterálu je omezena hodnotou expozice na úrovni jednotlivé expozice.</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Podíl expozic krytých pohledávkami (%)</w:t>
            </w:r>
          </w:p>
          <w:p w14:paraId="7EEBA573" w14:textId="78900F14"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pohledávkami podle čl. 199 odst. 5 CRR vůči celkovým expozicím podle sloupce a</w:t>
            </w:r>
            <w:r w:rsidR="000503AE">
              <w:rPr>
                <w:rFonts w:ascii="Times New Roman" w:hAnsi="Times New Roman"/>
                <w:sz w:val="24"/>
              </w:rPr>
              <w:t>)</w:t>
            </w:r>
            <w:r>
              <w:rPr>
                <w:rFonts w:ascii="Times New Roman" w:hAnsi="Times New Roman"/>
                <w:sz w:val="24"/>
              </w:rPr>
              <w:t xml:space="preserve"> této šablony</w:t>
            </w:r>
          </w:p>
          <w:p w14:paraId="31372BEF" w14:textId="534DBFE9"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Pohledávky budou zařazeny do čitatele, pokud splňují všechny požadavky způsobilosti stanovené v článku 209 CRR. Vykázaná hodnota kolaterálu je omezena hodnotou expozice na úrovni jednotlivé expozice</w:t>
            </w:r>
            <w:r w:rsidR="000503AE">
              <w:rPr>
                <w:rFonts w:ascii="Times New Roman" w:hAnsi="Times New Roman"/>
                <w:sz w:val="24"/>
              </w:rPr>
              <w:t>.</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Podíl expozic krytých jiným fyzickým kolaterálem (%)</w:t>
            </w:r>
          </w:p>
          <w:p w14:paraId="4CD98DA7" w14:textId="4A64A59A"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Procentní podíl expozic zajištěných jiným hmotným kolaterálem včetně pronájmu tohoto kolaterálu podle čl. 199 odst. 6 a 8 CRR vůči celkovým expozicím podle sloupce a</w:t>
            </w:r>
            <w:r w:rsidR="000503AE">
              <w:rPr>
                <w:rFonts w:ascii="Times New Roman" w:hAnsi="Times New Roman"/>
                <w:sz w:val="24"/>
              </w:rPr>
              <w:t>)</w:t>
            </w:r>
            <w:r>
              <w:rPr>
                <w:rFonts w:ascii="Times New Roman" w:hAnsi="Times New Roman"/>
                <w:sz w:val="24"/>
              </w:rPr>
              <w:t xml:space="preserve"> této šablony</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Ostatní hmotný kolaterál bude zařazen do čitatele, pokud splňuje všechny požadavky způsobilosti stanovené v článku 210 CRR. Vykázaná hodnota kolaterálu je omezena hodnotou expozice na úrovni jednotlivé expozice.</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Podíl expozic krytých jiným majetkovým zajištěním úvěrového rizika (%)</w:t>
            </w:r>
          </w:p>
          <w:p w14:paraId="3666B91E" w14:textId="37FAC6F6"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jiným majetkovým zajištěním úvěrového rizika vůči celkovým expozicím podle sloupce a</w:t>
            </w:r>
            <w:r w:rsidR="000503AE">
              <w:rPr>
                <w:rFonts w:ascii="Times New Roman" w:hAnsi="Times New Roman"/>
                <w:sz w:val="24"/>
              </w:rPr>
              <w:t>)</w:t>
            </w:r>
          </w:p>
          <w:p w14:paraId="1DD87311" w14:textId="09FD7D4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Hodnoty uvedené v tomto sloupci jsou součtem hodnot ve sloupcích h</w:t>
            </w:r>
            <w:r w:rsidR="000503AE">
              <w:rPr>
                <w:rFonts w:ascii="Times New Roman" w:hAnsi="Times New Roman"/>
                <w:sz w:val="24"/>
              </w:rPr>
              <w:t>)</w:t>
            </w:r>
            <w:r>
              <w:rPr>
                <w:rFonts w:ascii="Times New Roman" w:hAnsi="Times New Roman"/>
                <w:sz w:val="24"/>
              </w:rPr>
              <w:t>, i</w:t>
            </w:r>
            <w:r w:rsidR="000503AE">
              <w:rPr>
                <w:rFonts w:ascii="Times New Roman" w:hAnsi="Times New Roman"/>
                <w:sz w:val="24"/>
              </w:rPr>
              <w:t>)</w:t>
            </w:r>
            <w:r>
              <w:rPr>
                <w:rFonts w:ascii="Times New Roman" w:hAnsi="Times New Roman"/>
                <w:sz w:val="24"/>
              </w:rPr>
              <w:t xml:space="preserve"> a j</w:t>
            </w:r>
            <w:r w:rsidR="000503AE">
              <w:rPr>
                <w:rFonts w:ascii="Times New Roman" w:hAnsi="Times New Roman"/>
                <w:sz w:val="24"/>
              </w:rPr>
              <w:t>)</w:t>
            </w:r>
            <w:r>
              <w:rPr>
                <w:rFonts w:ascii="Times New Roman" w:hAnsi="Times New Roman"/>
                <w:sz w:val="24"/>
              </w:rPr>
              <w:t xml:space="preserve"> této šablony.</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hotovostními vklady (v %)</w:t>
            </w:r>
          </w:p>
          <w:p w14:paraId="2C2EEE49" w14:textId="53B204F3"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Procentní podíl expozic zajištěných hotovostí nebo hotovostními nástroji v držení třetí strany, která je institucí, vůči celkovým expozicím podle sloupce a</w:t>
            </w:r>
            <w:r w:rsidR="005B280B">
              <w:rPr>
                <w:rFonts w:ascii="Times New Roman" w:hAnsi="Times New Roman"/>
                <w:sz w:val="24"/>
              </w:rPr>
              <w:t>)</w:t>
            </w:r>
            <w:r>
              <w:rPr>
                <w:rFonts w:ascii="Times New Roman" w:hAnsi="Times New Roman"/>
                <w:sz w:val="24"/>
              </w:rPr>
              <w:t xml:space="preserve"> této šablony; v souladu s čl. 200 písm. a) CRR zahrnuje ostatní majetkové zajištění úvěrového rizika složenou hotovost nebo hotovostní nástroje v držení třetí strany, která je institucí, které nejsou ve správě třetí strany a jsou zastavené ve prospěch instituce poskytující úvěr.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Vykázaná hodnota kolaterálu je omezena hodnotou expozice na úrovni jednotlivé expozice.</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životními pojistkami (v %)</w:t>
            </w:r>
          </w:p>
          <w:p w14:paraId="68D00E2B" w14:textId="06943AE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životními pojistkami vůči celkovým expozicím podle sloupce a</w:t>
            </w:r>
            <w:r w:rsidR="000503AE">
              <w:rPr>
                <w:rFonts w:ascii="Times New Roman" w:hAnsi="Times New Roman"/>
                <w:sz w:val="24"/>
              </w:rPr>
              <w:t>)</w:t>
            </w:r>
            <w:r>
              <w:rPr>
                <w:rFonts w:ascii="Times New Roman" w:hAnsi="Times New Roman"/>
                <w:sz w:val="24"/>
              </w:rPr>
              <w:t xml:space="preserve"> této šablony</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V souladu s čl. 200 písm. b) CRR zahrnuje ostatní majetkové zajištění úvěrového rizika životní pojistky zastavené ve prospěch instituce poskytující úvěr. Vykázaná hodnota kolaterálu je omezena hodnotou expozice na úrovni jednotlivé expozice.</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Podíl expozic krytých nástroji v držení třetí strany (%)</w:t>
            </w:r>
          </w:p>
          <w:p w14:paraId="340DC0A0" w14:textId="7EE187E1"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nástroji v držení třetí strany vůči celkovým expozicím podle sloupce a</w:t>
            </w:r>
            <w:r w:rsidR="000503AE">
              <w:rPr>
                <w:rFonts w:ascii="Times New Roman" w:hAnsi="Times New Roman"/>
                <w:sz w:val="24"/>
              </w:rPr>
              <w:t>)</w:t>
            </w:r>
            <w:r>
              <w:rPr>
                <w:rFonts w:ascii="Times New Roman" w:hAnsi="Times New Roman"/>
                <w:sz w:val="24"/>
              </w:rPr>
              <w:t xml:space="preserve"> této šablony; podíl expozic krytých nástroji vydanými třetí stranou vůči celkovým expozicím</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souladu s čl. 200 písm. c) CRR zahrnuje zveřejněná hodnota nástroje vydané třetí stranou, která je institucí, jež budou na požádání touto institucí zpětně odkoupeny. Hodnota kolaterálu je omezena na hodnotu expozice na úrovni jednotlivé expozice. Procentní podíl nezahrnuje expozice kryté nástroji v držení třetí strany, pokud instituce podle čl. 232 odst. 4 CRR nakládá s nástroji, které budou na požádání zpětně odkoupeny a které jsou způsobilé podle čl. 200 písm. c) CRR, jako se zárukou emitující instituce.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Osobní zajištění úvěrového rizika – Podíl expozic krytých zárukami (v %)</w:t>
            </w:r>
          </w:p>
          <w:p w14:paraId="16C4B7FC" w14:textId="724F8E6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zárukami vůči celkovým expozic</w:t>
            </w:r>
            <w:r w:rsidR="000503AE">
              <w:rPr>
                <w:rFonts w:ascii="Times New Roman" w:hAnsi="Times New Roman"/>
                <w:sz w:val="24"/>
              </w:rPr>
              <w:t>ím podle sloupce a) této šablony</w:t>
            </w:r>
            <w:r>
              <w:rPr>
                <w:rFonts w:ascii="Times New Roman" w:hAnsi="Times New Roman"/>
                <w:sz w:val="24"/>
              </w:rPr>
              <w:t xml:space="preserve">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Záruky musí splňovat požadavek stanovený v článcích 213, 214, 215, případně v článku 217 a čl. 232 odst. 4 CRR. Hodnota záruk je omezena na hodnotu expozice na úrovni jednotlivé expozice.</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Osobní zajištění úvěrového rizika – Podíl expozic krytých úvěrovými deriváty (v %) </w:t>
            </w:r>
          </w:p>
          <w:p w14:paraId="09005096" w14:textId="15B86AEF"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úvěrovými deriváty vůči celkovým expozicím podle sloupce a</w:t>
            </w:r>
            <w:r w:rsidR="000503AE">
              <w:rPr>
                <w:rFonts w:ascii="Times New Roman" w:hAnsi="Times New Roman"/>
                <w:sz w:val="24"/>
              </w:rPr>
              <w:t>) této šablony</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Úvěrové deriváty zahrnují:</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swapy úvěrového selhání,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swapy veškerých výnosů</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úvěrové dluhopisy do výše, v jaké jsou podloženy hotovostí.</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Tyto nástroje musí splňovat požadavek stanovený v čl. 204 odst. 1 a 2, článcích 213, 216 a případně v článku 217 CRR. Hodnota úvěrových derivátů je omezena na hodnotu expozice na úrovni jednotlivé expozice.</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Objemy rizikově vážených expozic bez substitučních účinků (pouze redukční účinky)</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Objemy rizikově vážených expozic vypočtené podle čl. 92 odst. 3 písm. a) a f) CRR, včetně jakéhokoli snížení těchto objemů v důsledku existence majetkového nebo osobního zajištění úvěrového rizika, včetně případů substituce PD a LGD nebo rizikové váhy v důsledku existence osobního zajištění úvěrového rizika. Nicméně ve všech případech, včetně případů, kdy </w:t>
            </w:r>
            <w:r>
              <w:rPr>
                <w:rFonts w:ascii="Times New Roman" w:hAnsi="Times New Roman"/>
                <w:sz w:val="24"/>
              </w:rPr>
              <w:lastRenderedPageBreak/>
              <w:t>je použit substituční přístup, jsou expozice uvedeny v původních kategoriích expozic vztahujících se na dlužníka.</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Objemy rizikově vážených expozic se substitučními účinky (redukční i substituční účinky)</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Objemy rizikově vážených expozic vypočtené podle článků 153 až 157 CRR, včetně jakéhokoli snížení těchto objemů v důsledku existence majetkového nebo osobního zajištění úvěrového rizika. Pokud jsou PD a LGD nebo riziková váha substituovány z důvodu existence osobního zajištění úvěrového rizika, expozice se zveřejňují v kategorii expozic vztahující se na poskytovatele zajištění.</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Tyto informace se zpřístupňují zvlášť pro expozice v rámci přístupu A-IRB, přístupu F-IRB, jakož i pro specializované úvěrové expozice v rámci rozřazovacího přístupu a akciové expozice.</w:t>
            </w:r>
            <w:r>
              <w:rPr>
                <w:rFonts w:ascii="Times New Roman" w:hAnsi="Times New Roman"/>
                <w:color w:val="auto"/>
              </w:rP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Pokročilý přístup IRB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Instituce uvedou informace o technikách snižování úvěrového rizika obsažené v této šabloně podle kategorií expozic v souladu s kategoriemi expozic uvedenými v článku 147 CRR a s dalším členěním pro kategorii expozic „Podniky“ (čl. 147 odst. 2 písm. c) CRR) takto:</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 s výjimkou specializovaných úvěrových expozic podle rozřazovacího přístupu;</w:t>
            </w:r>
          </w:p>
          <w:p w14:paraId="4527C255" w14:textId="12E1E020"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expoz</w:t>
            </w:r>
            <w:r w:rsidR="000503AE">
              <w:rPr>
                <w:rFonts w:ascii="Times New Roman" w:hAnsi="Times New Roman"/>
                <w:iCs/>
                <w:sz w:val="24"/>
              </w:rPr>
              <w:t>ice vůči podnikům – ostatní.</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Instituce uvedou další členění kategorie expozic „Retailové expozice“ (čl. 147 odst. 2 písm. d) a čl. 147 odst. 5 CRR). Instituce uvedou další členění pro:</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retailové expozice – vůči MSP zajištěné kolaterálem ve formě nemovitostí (ve spojení s čl. 154 odst. 2 a 3 CRR);</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retailové expozice – jiné než vůči MSP zajištěné kolaterálem ve formě nemovitostí (ve spojení s čl. 154 odst. 3 CRR);</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retailové expozice – kvalifikované revolvingové (ve spojení s čl. 154 odst. 4 CRR);</w:t>
            </w:r>
          </w:p>
          <w:p w14:paraId="79106AD7" w14:textId="7FD7944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503AE">
              <w:rPr>
                <w:rFonts w:ascii="Times New Roman" w:hAnsi="Times New Roman"/>
                <w:iCs/>
                <w:sz w:val="24"/>
              </w:rPr>
              <w:tab/>
            </w:r>
            <w:r>
              <w:rPr>
                <w:rFonts w:ascii="Times New Roman" w:hAnsi="Times New Roman"/>
                <w:iCs/>
                <w:sz w:val="24"/>
              </w:rPr>
              <w:t>retailové expozice – MSP ostatní;</w:t>
            </w:r>
          </w:p>
          <w:p w14:paraId="05DFAC4D" w14:textId="75FF01AD"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sidR="000503AE">
              <w:rPr>
                <w:rFonts w:ascii="Times New Roman" w:hAnsi="Times New Roman"/>
                <w:iCs/>
                <w:sz w:val="24"/>
              </w:rPr>
              <w:tab/>
            </w:r>
            <w:r>
              <w:rPr>
                <w:rFonts w:ascii="Times New Roman" w:hAnsi="Times New Roman"/>
                <w:iCs/>
                <w:sz w:val="24"/>
              </w:rPr>
              <w:t>retailové expozice – jiné než vůči MSP, ostatní.</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Základní přístup IRB (F-IRB)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Instituce uvedou informace o technikách snižování úvěrového rizika obsažené v této šabloně podle kategorií expozic v souladu s kategoriemi expozic uvedenými v článku 147 CRR a s dalším členěním pro kategorii expozic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lastRenderedPageBreak/>
              <w:t>„Podniky“ (čl. 147 odst. 2 písm. c) CRR) takto:</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 s výjimkou specializovaných úvěrových expozic podle rozřazovacího přístupu;</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expozice vůči podnikům – ostatní,</w:t>
            </w:r>
          </w:p>
        </w:tc>
      </w:tr>
    </w:tbl>
    <w:p w14:paraId="3565DF75" w14:textId="15FCA2F6" w:rsidR="000646F8" w:rsidRPr="007F4CC8" w:rsidRDefault="00CC4769" w:rsidP="000646F8">
      <w:pPr>
        <w:spacing w:before="240" w:after="120"/>
        <w:rPr>
          <w:rFonts w:ascii="Times New Roman" w:hAnsi="Times New Roman" w:cs="Times New Roman"/>
          <w:b/>
          <w:sz w:val="24"/>
        </w:rPr>
      </w:pPr>
      <w:r>
        <w:rPr>
          <w:rFonts w:ascii="Times New Roman" w:hAnsi="Times New Roman"/>
          <w:b/>
          <w:sz w:val="24"/>
        </w:rPr>
        <w:lastRenderedPageBreak/>
        <w:t xml:space="preserve">Šablona EU </w:t>
      </w:r>
      <w:r w:rsidR="000646F8">
        <w:rPr>
          <w:rFonts w:ascii="Times New Roman" w:hAnsi="Times New Roman"/>
          <w:b/>
          <w:sz w:val="24"/>
        </w:rPr>
        <w:t xml:space="preserve">CR8 – Tokové výkazy objemů rizikově vážených expozic (RWEA) o expozicích úvěrového rizika podle přístupu IRB. Šablona s pevným formátem. </w:t>
      </w:r>
    </w:p>
    <w:p w14:paraId="203A55C3" w14:textId="03CF4DEE"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Informace uvedené v čl. 438 písm. h) CRR zpřístupňují instituce podle následujících pokynů k vyplnění šablony EU</w:t>
      </w:r>
      <w:r w:rsidR="00CC4769">
        <w:rPr>
          <w:rFonts w:ascii="Times New Roman" w:hAnsi="Times New Roman"/>
          <w:sz w:val="24"/>
        </w:rPr>
        <w:t xml:space="preserve"> </w:t>
      </w:r>
      <w:r>
        <w:rPr>
          <w:rFonts w:ascii="Times New Roman" w:hAnsi="Times New Roman"/>
          <w:sz w:val="24"/>
        </w:rPr>
        <w:t>CR8, obsažené v příloze XXI tohoto prováděcího nařízení. Informace v této šabloně nezahrnují expozice úvěrového rizika protistrany (expozice CCR) (část třetí hlava II kapitola 6 CRR).</w:t>
      </w:r>
    </w:p>
    <w:p w14:paraId="78F8CD8A" w14:textId="675073DB"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Instituce zveřejní toky RWEA jako změny mezi objemy rizikově vážených expozic ke konci referenčního období, za něž se zpřístupňují informace (jak je uvedeno níže v řádku 9 této šablony), a objemy rizikově vážených expozic ke konci předchozího referenčního období (jak je uvedeno níže v řádku 1 této šablony</w:t>
      </w:r>
      <w:r>
        <w:rPr>
          <w:rFonts w:ascii="Times New Roman" w:hAnsi="Times New Roman"/>
          <w:bCs/>
          <w:color w:val="000000"/>
          <w:sz w:val="24"/>
          <w:szCs w:val="24"/>
        </w:rPr>
        <w:t xml:space="preserve">; </w:t>
      </w:r>
      <w:r>
        <w:rPr>
          <w:rFonts w:ascii="Times New Roman" w:hAnsi="Times New Roman"/>
          <w:color w:val="000000"/>
          <w:sz w:val="24"/>
          <w:szCs w:val="24"/>
        </w:rPr>
        <w:t xml:space="preserve">v případě čtvrtletního zpřístupňování informací ke konci čtvrtletí před čtvrtletím referenčního </w:t>
      </w:r>
      <w:r w:rsidR="00CC4769">
        <w:rPr>
          <w:rFonts w:ascii="Times New Roman" w:hAnsi="Times New Roman"/>
          <w:color w:val="000000"/>
          <w:sz w:val="24"/>
          <w:szCs w:val="24"/>
        </w:rPr>
        <w:t>období</w:t>
      </w:r>
      <w:r>
        <w:rPr>
          <w:rFonts w:ascii="Times New Roman" w:hAnsi="Times New Roman"/>
          <w:color w:val="000000"/>
          <w:sz w:val="24"/>
          <w:szCs w:val="24"/>
        </w:rPr>
        <w:t xml:space="preserve"> zpřístupňování informací). Instituce mohou své informace zpřístupněné podle pilíře 3 doplnit zveřejněním stejných informací za tři předchozí čtvrtletí</w:t>
      </w:r>
      <w:r>
        <w:rPr>
          <w:rFonts w:ascii="Times New Roman"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Instituce doplní šablonu popisným komentářem, v kterém vysvětlí číselné údaje v řádku 8 této šablony, tj. případné další faktory, které významně přispívají k odchylkám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Celkový objem rizikově vážené expozice pro úvěrové riziko vypočtený podle přístupu IRB s přihlédnutím k podpůrným koeficientům v souladu s články 501 a 501a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 na konci předchozího období, za něž se informace zpřístupňují</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Výše aktiv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 xml:space="preserve">Změna objemu rizikově vážené expozice mezi koncem předchozího období, za něž se informace zpřístupňují, a koncem běžného období, za něž se informace zpřístupňují, v důsledku změny výše aktiv, tj. běžné změny velikosti a složení portfolia (včetně vzniku nových podniků a splatných </w:t>
            </w:r>
            <w:r>
              <w:rPr>
                <w:rFonts w:ascii="Times New Roman" w:hAnsi="Times New Roman"/>
                <w:sz w:val="24"/>
              </w:rPr>
              <w:lastRenderedPageBreak/>
              <w:t>úvěrů), avšak s vyloučením změn ve velikosti portfolia v důsledku nabytí a pozbytí subjektů.</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Kvalita aktiv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v důsledku změny kvality aktiv, tj. změn v odhadované kvalitě aktiv instituce z titulu změn dlužníkova rizika, jako je např. migrace ratingového stupně nebo podobné účinky.</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Aktualizace modelu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v důsledku aktualizací modelů, tj. změn z titulu zavedení nových modelů, změn modelů, změn rozsahu modelů nebo jakýchkoli jiných změn týkajících se řešení slabých stránek modelů.</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Metodika a zásady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Změna objemu rizikově vážené expozice mezi koncem předchozího období, za něž se informace zpřístupňují, a koncem běžného období, za něž se informace zpřístupňují, v důsledku metodiky a politiky, tj. změn z titulu metodických změn ve výpočtech způsobených změnami regulační politiky, včetně revizí stávajících předpisů i nových předpisů, s výjimkou změn modelů, které jsou zahrnuty do řádku 4 </w:t>
            </w:r>
            <w:proofErr w:type="gramStart"/>
            <w:r>
              <w:rPr>
                <w:rFonts w:ascii="Times New Roman" w:hAnsi="Times New Roman"/>
                <w:sz w:val="24"/>
              </w:rPr>
              <w:t>této</w:t>
            </w:r>
            <w:proofErr w:type="gramEnd"/>
            <w:r>
              <w:rPr>
                <w:rFonts w:ascii="Times New Roman" w:hAnsi="Times New Roman"/>
                <w:sz w:val="24"/>
              </w:rPr>
              <w:t xml:space="preserve"> šablony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Převzetí a zcizení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v důsledku nabytí a pozbytí, tj. změn velikosti portfolia v důsledku nabytí a pozbytí subjektů</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Devizové pohyby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v důsledku devizových pohybů, tj. změn způsobených pohyby převodů z cizích měn.</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Zvýšení objemu rizikově vážené expozice se vykazuje jako kladná hodnota a snížení objemu rizikově vážené expozice se vykazuje jako záporná hodnota.</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Ostatní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z jiných důvodů</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Tato kategorie se použije k zachycení změn, které nelze zařadit do žádné jiné kategorie. V textu připojeném k této šabloně instituce dále popíší jakékoli jiné podstatné faktory pohybů rizikově vážených objemů za období, za něž se informace zpřístupňují, uvedených v tomto řádku.</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 rizikově vážených expozic na konci vykazovaného období, za něž se informace zpřístupňují</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1B132CB6" w:rsidR="000646F8" w:rsidRPr="007F4CC8" w:rsidRDefault="000646F8" w:rsidP="000646F8">
      <w:pPr>
        <w:spacing w:after="120"/>
        <w:rPr>
          <w:rFonts w:ascii="Times New Roman" w:hAnsi="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CR9 </w:t>
      </w:r>
      <w:r>
        <w:rPr>
          <w:rFonts w:ascii="Times New Roman" w:hAnsi="Times New Roman"/>
          <w:b/>
          <w:sz w:val="24"/>
        </w:rPr>
        <w:tab/>
        <w:t xml:space="preserve"> – přístup IRB – zpětné testování PD podle kategorií expozic. Šablona s pevným formátem.</w:t>
      </w:r>
    </w:p>
    <w:p w14:paraId="6422BCC6" w14:textId="6AE2066F"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Informace uvedené v čl. 452 písm. h) CRR zpřístupňují instituce podle následujících pokynů k vyplňování šablony </w:t>
      </w:r>
      <w:r w:rsidR="00CC4769">
        <w:rPr>
          <w:rFonts w:ascii="Times New Roman" w:hAnsi="Times New Roman"/>
          <w:sz w:val="24"/>
        </w:rPr>
        <w:t xml:space="preserve">EU </w:t>
      </w:r>
      <w:r>
        <w:rPr>
          <w:rFonts w:ascii="Times New Roman" w:hAnsi="Times New Roman"/>
          <w:sz w:val="24"/>
        </w:rPr>
        <w:t xml:space="preserve">CR9, obsažené v příloze XXI tohoto prováděcího nařízení. Pokud instituce využívá základní i pokročilý přístup IRB, vyplní dva samostatné soubory šablon, jeden pro základní přístup IRB a jeden pro pokročilý přístup IRB, s jednou šablonou pro každou kategorii expozic v každém souboru.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Instituce zváží modely používané v každé kategorii expozic a vysvětlí procentní podíl objemu rizikově vážené expozice příslušné kategorie expozic, na kterou se vztahují modely a pro niž jsou zde uvedeny výsledky zpětného testování.</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V doprovodném komentáři instituce vysvětlí celkový počet dlužníků s krátkodobými smlouvami ke dni zpřístupnění informací a uvedou, které kategorie expozic obsahují větší počet dlužníků s krátkodobými smlouvami. Krátkodobými smlouvami se rozumějí smlouvy, jejichž zbytková splatnost je kratší než 12 měsíců. Instituce rovněž vysvětlí, zda při výpočtu dlouhodobých průměrných PD existují překrývající se časová okna.</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Tato šablona nezahrnuje expozice úvěrového rizika protistrany (expozice CCR) (část třetí hlava II kapitola 6 CRR), </w:t>
      </w:r>
      <w:proofErr w:type="spellStart"/>
      <w:r>
        <w:rPr>
          <w:rFonts w:ascii="Times New Roman" w:hAnsi="Times New Roman"/>
          <w:sz w:val="24"/>
        </w:rPr>
        <w:t>sekuritizované</w:t>
      </w:r>
      <w:proofErr w:type="spellEnd"/>
      <w:r>
        <w:rPr>
          <w:rFonts w:ascii="Times New Roman" w:hAnsi="Times New Roman"/>
          <w:sz w:val="24"/>
        </w:rPr>
        <w:t xml:space="preserve"> pozice, jiná aktiva nemající povahu úvěrového závazku a akciové expozice.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Kategorie expozic</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Pro každou kategorii expozic vyjmenovanou v čl. 147 odst. 2 CRR instituce zpřístupňují samostatnou šablonu s dalším členěním pro následující kategorie expozic: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 v rámci kategorie expozic „expozice vůči podnikům“ (čl. 147 odst. 2 písm. c) CRR) členění </w:t>
            </w:r>
            <w:proofErr w:type="gramStart"/>
            <w:r>
              <w:rPr>
                <w:rFonts w:ascii="Times New Roman" w:hAnsi="Times New Roman"/>
                <w:iCs/>
                <w:sz w:val="24"/>
              </w:rPr>
              <w:t>na</w:t>
            </w:r>
            <w:proofErr w:type="gramEnd"/>
            <w:r>
              <w:rPr>
                <w:rFonts w:ascii="Times New Roman" w:hAnsi="Times New Roman"/>
                <w:iCs/>
                <w:sz w:val="24"/>
              </w:rPr>
              <w:t>:</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expozice vůči podnikům – ostatní,</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v rámci kategorie expozic „retailové expozice“ (čl. 147 odst. 2 písm. d) a čl. 147 odst. 5 CRR) členění </w:t>
            </w:r>
            <w:proofErr w:type="gramStart"/>
            <w:r>
              <w:rPr>
                <w:rFonts w:ascii="Times New Roman" w:hAnsi="Times New Roman"/>
                <w:iCs/>
                <w:sz w:val="24"/>
              </w:rPr>
              <w:t>na</w:t>
            </w:r>
            <w:proofErr w:type="gramEnd"/>
            <w:r>
              <w:rPr>
                <w:rFonts w:ascii="Times New Roman" w:hAnsi="Times New Roman"/>
                <w:iCs/>
                <w:sz w:val="24"/>
              </w:rPr>
              <w:t>:</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retailové expozice – vůči MSP zajištěné kolaterálem ve formě nemovitostí (čl. 147 odst. 2 písm. d) CRR ve spojení s čl. 154 odst. 2 a 3 CRR);</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retailové expozice – jiné než vůči MSP zajištěné kolaterálem ve formě nemovitostí (čl. 147 odst. 2 písm. d) CRR ve spojení s čl. 154 odst. 3 CRR);</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rPr>
                <w:rFonts w:ascii="Times New Roman" w:hAnsi="Times New Roman"/>
                <w:iCs/>
                <w:sz w:val="24"/>
              </w:rPr>
              <w:tab/>
              <w:t>retailové expozice – kvalifikované revolvingové (čl. 147 odst. 2 písm. d) CRR ve spojení s čl. 154 odst. 4 CRR);</w:t>
            </w:r>
          </w:p>
          <w:p w14:paraId="4A646D37" w14:textId="1D8CC25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sidR="000503AE">
              <w:rPr>
                <w:rFonts w:ascii="Times New Roman" w:hAnsi="Times New Roman"/>
                <w:iCs/>
                <w:sz w:val="24"/>
              </w:rPr>
              <w:tab/>
            </w:r>
            <w:r>
              <w:rPr>
                <w:rFonts w:ascii="Times New Roman" w:hAnsi="Times New Roman"/>
                <w:iCs/>
                <w:sz w:val="24"/>
              </w:rPr>
              <w:t>retailové expozice – MSP ostatní;</w:t>
            </w:r>
          </w:p>
          <w:p w14:paraId="09BEA762" w14:textId="57D0B479" w:rsidR="000646F8" w:rsidRPr="007F4CC8" w:rsidRDefault="000646F8" w:rsidP="000503AE">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w:t>
            </w:r>
            <w:r w:rsidR="000503AE">
              <w:rPr>
                <w:rFonts w:ascii="Times New Roman" w:hAnsi="Times New Roman"/>
                <w:iCs/>
                <w:sz w:val="24"/>
              </w:rPr>
              <w:tab/>
            </w:r>
            <w:r>
              <w:rPr>
                <w:rFonts w:ascii="Times New Roman" w:hAnsi="Times New Roman"/>
                <w:iCs/>
                <w:sz w:val="24"/>
              </w:rPr>
              <w:t>retailové expozice – jiné než vůči MSP, ostatní.</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Kategorie expozic</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Pro každou kategorii expozic vyjmenovanou v čl. 147 odst. 2 CRR instituce zpřístupňují samostatnou šablonu s dalším členěním pro následující kategorie expozic:</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v rámci kategorie expozic „expozice vůči podnikům“ (čl. 147 odst. 2 písm. c) CRR) členění </w:t>
            </w:r>
            <w:proofErr w:type="gramStart"/>
            <w:r>
              <w:rPr>
                <w:rFonts w:ascii="Times New Roman" w:hAnsi="Times New Roman"/>
                <w:iCs/>
                <w:sz w:val="24"/>
              </w:rPr>
              <w:t>na</w:t>
            </w:r>
            <w:proofErr w:type="gramEnd"/>
            <w:r>
              <w:rPr>
                <w:rFonts w:ascii="Times New Roman" w:hAnsi="Times New Roman"/>
                <w:iCs/>
                <w:sz w:val="24"/>
              </w:rPr>
              <w:t>:</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rPr>
                <w:rFonts w:ascii="Times New Roman" w:hAnsi="Times New Roman"/>
                <w:iCs/>
                <w:sz w:val="24"/>
              </w:rPr>
              <w:tab/>
              <w:t>expozice vůči podnikům – MSP v souladu s interní klasifikací expozic vůči podnikům na základě zásad řízení rizik;</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expozice vůči podnikům – specializované úvěrování podle čl. 147 odst. 8 CRR;</w:t>
            </w:r>
          </w:p>
          <w:p w14:paraId="2C70F148" w14:textId="33274F2D" w:rsidR="000646F8" w:rsidRPr="007F4CC8" w:rsidRDefault="000646F8" w:rsidP="000503AE">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rPr>
                <w:rFonts w:ascii="Times New Roman" w:hAnsi="Times New Roman"/>
                <w:iCs/>
                <w:sz w:val="24"/>
              </w:rPr>
              <w:tab/>
              <w:t>expozice vůči podnikům – ostatní</w:t>
            </w:r>
            <w:r w:rsidR="000503AE">
              <w:rPr>
                <w:rFonts w:ascii="Times New Roman" w:hAnsi="Times New Roman"/>
                <w:iCs/>
                <w:sz w:val="24"/>
              </w:rPr>
              <w:t>.</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Rozmezí hodnot PD</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Jedná se o pevné rozmezí PD, které se nesmí měnit.</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Expozice se přiřadí k vhodnému koši pevného rozmezí PD na základě PD pro každého dlužníka zařazeného do dané kategorie expozic (bez zohlednění případných substitučních účinků v důsledku snižování úvěrového rizika) odhadnuté na začátku období, za něž se informace zpřístupňují.  Všechny expozice, u nichž došlo k selhání, se zahrnují do koše PD o hodnotě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 dlužníků na konci předchozího roku</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Instituce uvedou tyto dva soubory informací: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lastRenderedPageBreak/>
              <w:t>počet dlužníků na konci předchozího roku</w:t>
            </w:r>
            <w:r>
              <w:rPr>
                <w:rFonts w:ascii="Times New Roman" w:hAnsi="Times New Roman"/>
                <w:sz w:val="24"/>
                <w:szCs w:val="24"/>
              </w:rPr>
              <w:t xml:space="preserve"> (sloupec C této šablony),</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počet dlužníků na konci roku, za který se informace zpřístupňují.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V obou případech se uvedou všichni dlužníci, kteří mají v příslušném okamžiku úvěrový závazek.</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Instituce uvedou počet právních subjektů nebo dlužníků přiřazených ke každému koši pevně stanoveného rozmezí PD do konce předchozího roku, kteří byli ohodnoceni odděleně, bez ohledu na počet různých poskytnutých úvěrů nebo expozic.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Se společnými dlužníky se zachází stejným způsobem jako pro účely kalibrace PD.</w:t>
            </w:r>
            <w:r>
              <w:rPr>
                <w:rFonts w:ascii="Times New Roman" w:hAnsi="Times New Roman"/>
                <w:sz w:val="24"/>
                <w:szCs w:val="24"/>
              </w:rPr>
              <w:t xml:space="preserve"> Pokud jsou různé expozice vůči stejnému dlužníkovi ohodnoceny samostatně, započítávají se samostatně. K takové situaci může dojít v rámci kategorie retailových expozic, je-li definice selhání použita na úrovni jednotlivých úvěrových příslibů v souladu s čl. 178 odst. 1 poslední větou CRR. K takové situaci může rovněž dojít v případě, že jsou samostatné expozice vůči témuž dlužníkovi přiřazeny různým ratingovým stupňům dlužníka v jiných kategoriích expozic v souladu s čl. 172 odst. 1 písm. e) druhou větou CRR;</w:t>
            </w:r>
          </w:p>
          <w:p w14:paraId="5E4CFB8F" w14:textId="404AA52C"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z toho počet dlužníků, u nichž došlo k selhání během roku předcházejícího datu zpřístupnění informací (sloupec d</w:t>
            </w:r>
            <w:r w:rsidR="005B280B">
              <w:rPr>
                <w:rFonts w:ascii="Times New Roman" w:hAnsi="Times New Roman"/>
                <w:sz w:val="24"/>
              </w:rPr>
              <w:t>)</w:t>
            </w:r>
            <w:r>
              <w:rPr>
                <w:rFonts w:ascii="Times New Roman" w:hAnsi="Times New Roman"/>
                <w:sz w:val="24"/>
              </w:rPr>
              <w:t xml:space="preserve"> této šablony).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Bude se jednat o dílčí soubor sloupce C této šablony, který představuje počet dlužníků, u nichž došlo k selhání během roku. Selhání se určí v souladu s článkem 178 CRR. Každý dlužník, u nějž došlo k selhání, se v čitateli a jmenovateli výpočtu jednoletého poměru selhání počítá pouze jednou, a to i v případě, že u dlužníka během příslušného jednoletého období došlo k selhání více než jednou.</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Zjištěná průměrná míra selhání</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Aritmetický průměr poměru selhání ve smyslu čl. 4 odst. 1 bodu 78 CRR, zjištěný v rámci dostupného souboru údajů.</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Při výpočtu jednoletého poměru selhání zajistí instituce splnění obou těchto požadavků:</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aby jmenovatel obsahoval počet dlužníků, kteří nejsou v selhání u jakéhokoliv úvěrového závazku pozorovaného na začátku jednoletého sledovaného období (začátek období, za něž se informace zpřístupňují, tj. začátek roku před referenčním datem zpřístupňování informací); v této souvislosti se úvěrovým závazkem rozumí: i) jakákoli rozvahová položka, včetně jakékoli částky jistiny, úroků a poplatků; </w:t>
            </w:r>
            <w:proofErr w:type="spellStart"/>
            <w:r>
              <w:rPr>
                <w:rFonts w:ascii="Times New Roman" w:hAnsi="Times New Roman"/>
                <w:sz w:val="24"/>
              </w:rPr>
              <w:t>ii</w:t>
            </w:r>
            <w:proofErr w:type="spellEnd"/>
            <w:r>
              <w:rPr>
                <w:rFonts w:ascii="Times New Roman" w:hAnsi="Times New Roman"/>
                <w:sz w:val="24"/>
              </w:rPr>
              <w:t>) jakékoli podrozvahové položky, včetně záruk, které instituce vydala jako ručitel;</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b) aby čitatel zahrnoval všechny dlužníky uvažované ve jmenovateli, u nichž během sledovaného jednoletého období (rok před referenčním datem zpřístupňování informací) došlo alespoň k jednomu selhání.</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Instituce zvolí vhodný přístup, přičemž se budou rozhodovat mezi přístupem založeným na překrývajících se nebo jednoletých časových oknech a přístupem založeným na nepřekrývajících se jednoletých časových oknech, aby vypočítaly pozorovaný průměrný poměr selhání.</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PD (%)</w:t>
            </w:r>
          </w:p>
          <w:p w14:paraId="2F323A04" w14:textId="44D3BF9B"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Expozicí vážená průměrná hodnota PD (%) jako ve sloupci f</w:t>
            </w:r>
            <w:r w:rsidR="005B280B">
              <w:rPr>
                <w:rFonts w:ascii="Times New Roman" w:hAnsi="Times New Roman"/>
                <w:sz w:val="24"/>
              </w:rPr>
              <w:t>)</w:t>
            </w:r>
            <w:r>
              <w:rPr>
                <w:rFonts w:ascii="Times New Roman" w:hAnsi="Times New Roman"/>
                <w:sz w:val="24"/>
              </w:rPr>
              <w:t xml:space="preserve"> šablony </w:t>
            </w:r>
            <w:r w:rsidR="00CC4769">
              <w:rPr>
                <w:rFonts w:ascii="Times New Roman" w:hAnsi="Times New Roman"/>
                <w:sz w:val="24"/>
              </w:rPr>
              <w:t xml:space="preserve">EU </w:t>
            </w:r>
            <w:r>
              <w:rPr>
                <w:rFonts w:ascii="Times New Roman" w:hAnsi="Times New Roman"/>
                <w:sz w:val="24"/>
              </w:rPr>
              <w:t>CR6; u všech expozic v každém koši pevného rozmezí PD průměrný odhad PD každého dlužníka vážený hodnotou expozice po vynásobení úvěrovým konverzním faktorem a po snížení úvěrového rizika, jako ve sloupci e</w:t>
            </w:r>
            <w:r w:rsidR="005B280B">
              <w:rPr>
                <w:rFonts w:ascii="Times New Roman" w:hAnsi="Times New Roman"/>
                <w:sz w:val="24"/>
              </w:rPr>
              <w:t>)</w:t>
            </w:r>
            <w:r>
              <w:rPr>
                <w:rFonts w:ascii="Times New Roman" w:hAnsi="Times New Roman"/>
                <w:sz w:val="24"/>
              </w:rPr>
              <w:t xml:space="preserve"> šablony </w:t>
            </w:r>
            <w:r w:rsidR="00CC4769">
              <w:rPr>
                <w:rFonts w:ascii="Times New Roman" w:hAnsi="Times New Roman"/>
                <w:sz w:val="24"/>
              </w:rPr>
              <w:t xml:space="preserve">EU </w:t>
            </w:r>
            <w:r>
              <w:rPr>
                <w:rFonts w:ascii="Times New Roman" w:hAnsi="Times New Roman"/>
                <w:sz w:val="24"/>
              </w:rPr>
              <w:t>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Průměrná hodnota PD k datu zpřístupnění informací (v %)</w:t>
            </w:r>
          </w:p>
          <w:p w14:paraId="6917168B" w14:textId="48CB32A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Aritmetický průměr PD na začátku období, za něž se informace zpřístupňují, u dlužníků, kteří spadají do koše pevného rozmezí PD, vypočtený ve sloupci d</w:t>
            </w:r>
            <w:r w:rsidR="005B280B">
              <w:rPr>
                <w:rFonts w:ascii="Times New Roman" w:hAnsi="Times New Roman"/>
                <w:sz w:val="24"/>
              </w:rPr>
              <w:t>)</w:t>
            </w:r>
            <w:r>
              <w:rPr>
                <w:rFonts w:ascii="Times New Roman" w:hAnsi="Times New Roman"/>
                <w:sz w:val="24"/>
              </w:rPr>
              <w:t xml:space="preserve"> (průměr vážený počtem dlužníků).</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Průměrný historický roční poměr selhání (v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Aritmetický průměr ročního poměru selhání za nejméně pět posledních let (dlužníci na začátku každého roku, u nichž v daném roce došlo k selhání / celkový počet dlužníků na začátku roku)</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Instituce může použít delší historické období, které odpovídá jejím současným postupům řízení rizik. Pokud instituce používá delší historické období, vysvětlí to v komentáři přiloženém k šabloně.</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5857DE0C"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CR9.1 – Přístup IRB – Zpětné testování PD podle kategorií expozic (pouze pro odhady PD v souladu s čl. 180 odst. 1 písm. f) CRR)</w:t>
      </w:r>
    </w:p>
    <w:p w14:paraId="476E9A86" w14:textId="77777777" w:rsidR="000646F8" w:rsidRPr="007F4CC8" w:rsidRDefault="000646F8" w:rsidP="000646F8">
      <w:pPr>
        <w:spacing w:after="120"/>
        <w:rPr>
          <w:rFonts w:ascii="Times New Roman" w:hAnsi="Times New Roman" w:cs="Times New Roman"/>
          <w:sz w:val="24"/>
        </w:rPr>
      </w:pPr>
    </w:p>
    <w:p w14:paraId="792AF220" w14:textId="467A8FFE"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Kromě šablony </w:t>
      </w:r>
      <w:r w:rsidR="00CC4769">
        <w:rPr>
          <w:rFonts w:ascii="Times New Roman" w:hAnsi="Times New Roman"/>
          <w:sz w:val="24"/>
        </w:rPr>
        <w:t xml:space="preserve">EU </w:t>
      </w:r>
      <w:r>
        <w:rPr>
          <w:rFonts w:ascii="Times New Roman" w:hAnsi="Times New Roman"/>
          <w:sz w:val="24"/>
        </w:rPr>
        <w:t xml:space="preserve">CR9 instituce zpřístupňují informace obsažené v šabloně </w:t>
      </w:r>
      <w:r w:rsidR="00CC4769">
        <w:rPr>
          <w:rFonts w:ascii="Times New Roman" w:hAnsi="Times New Roman"/>
          <w:sz w:val="24"/>
        </w:rPr>
        <w:t xml:space="preserve">EU </w:t>
      </w:r>
      <w:r>
        <w:rPr>
          <w:rFonts w:ascii="Times New Roman" w:hAnsi="Times New Roman"/>
          <w:sz w:val="24"/>
        </w:rPr>
        <w:t xml:space="preserve">CR9.1 v případě, že pro odhad PD použijí čl. 180 odst. 1 písm. f) CRR, a pouze pro odhady PD v souladu s týmž článkem. Pokyny jsou stejné jako k šabloně </w:t>
      </w:r>
      <w:r w:rsidR="00CC4769">
        <w:rPr>
          <w:rFonts w:ascii="Times New Roman" w:hAnsi="Times New Roman"/>
          <w:sz w:val="24"/>
        </w:rPr>
        <w:t xml:space="preserve">EU </w:t>
      </w:r>
      <w:r>
        <w:rPr>
          <w:rFonts w:ascii="Times New Roman" w:hAnsi="Times New Roman"/>
          <w:sz w:val="24"/>
        </w:rPr>
        <w:t>CR9, s těmito výjimkami:</w:t>
      </w:r>
    </w:p>
    <w:p w14:paraId="7F97A198" w14:textId="1F867FE6"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ve sloupci b</w:t>
      </w:r>
      <w:r w:rsidR="005B280B">
        <w:rPr>
          <w:rFonts w:ascii="Times New Roman" w:hAnsi="Times New Roman"/>
          <w:sz w:val="24"/>
        </w:rPr>
        <w:t>)</w:t>
      </w:r>
      <w:r>
        <w:rPr>
          <w:rFonts w:ascii="Times New Roman" w:hAnsi="Times New Roman"/>
          <w:sz w:val="24"/>
        </w:rPr>
        <w:t xml:space="preserve"> této šablony instituce zveřejňují rozmezí PD v souladu se svými interními ratingovými stupni, které přiřazují ke stupnici užívané externí ratingovou agenturou, namísto pevného externího rozmezí PD;</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instituce vyplňují jeden sloupec pro každou externí ratingovou agenturu, jež se zohlední podle čl. 180 odst. 1 písm. f) CRR. Instituce v těchto sloupcích uvedou externí rating, k němuž jsou přiřazeny jejich interní rozsahy PD.</w:t>
      </w:r>
      <w:r>
        <w:rPr>
          <w:rFonts w:ascii="Times New Roman" w:hAnsi="Times New Roman"/>
          <w:sz w:val="24"/>
        </w:rP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PŘÍLOHA XXIV – Zpřístupňování informací o specializovaných úvěrových expozicích a akciových expozicích podle metody zjednodušené rizikové váhy</w:t>
      </w:r>
    </w:p>
    <w:p w14:paraId="4F127519" w14:textId="77777777" w:rsidR="00F75FFC" w:rsidRPr="007F4CC8" w:rsidRDefault="00F75FFC" w:rsidP="00F75FFC">
      <w:pPr>
        <w:spacing w:after="120"/>
        <w:rPr>
          <w:rFonts w:ascii="Times New Roman" w:hAnsi="Times New Roman" w:cs="Times New Roman"/>
          <w:sz w:val="24"/>
        </w:rPr>
      </w:pPr>
    </w:p>
    <w:p w14:paraId="12232C6E" w14:textId="503EE12A" w:rsidR="00F75FFC" w:rsidRPr="007F4CC8" w:rsidRDefault="00F75FFC" w:rsidP="00F75FFC">
      <w:pPr>
        <w:spacing w:after="120"/>
        <w:ind w:left="3"/>
        <w:rPr>
          <w:rFonts w:ascii="Times New Roman" w:hAnsi="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CR10 – Specializované úvěrové expozice a akciové expozice podle metody zjednodušené rizikové váhy.</w:t>
      </w:r>
      <w:r>
        <w:rPr>
          <w:rFonts w:ascii="Times New Roman" w:hAnsi="Times New Roman"/>
          <w:sz w:val="24"/>
        </w:rPr>
        <w:t xml:space="preserve"> Šablona s pevným formátem.</w:t>
      </w:r>
    </w:p>
    <w:p w14:paraId="6A6C4476" w14:textId="4E8B017E"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Informace uvedené v čl. 438 písm. e) nařízení (EU) č. 575/2013</w:t>
      </w:r>
      <w:r w:rsidRPr="007F4CC8">
        <w:rPr>
          <w:rStyle w:val="FootnoteReference"/>
        </w:rPr>
        <w:footnoteReference w:id="40"/>
      </w:r>
      <w:r>
        <w:rPr>
          <w:rFonts w:ascii="Times New Roman" w:hAnsi="Times New Roman"/>
          <w:sz w:val="24"/>
        </w:rPr>
        <w:t xml:space="preserve"> (dále jen „CRR“) zpřístupňují instituce podle následujících pokynů k vyplnění šablony </w:t>
      </w:r>
      <w:r w:rsidR="00CC4769">
        <w:rPr>
          <w:rFonts w:ascii="Times New Roman" w:hAnsi="Times New Roman"/>
          <w:sz w:val="24"/>
        </w:rPr>
        <w:t xml:space="preserve">EU </w:t>
      </w:r>
      <w:r>
        <w:rPr>
          <w:rFonts w:ascii="Times New Roman" w:hAnsi="Times New Roman"/>
          <w:sz w:val="24"/>
        </w:rPr>
        <w:t>CR10, obsažené v příloze XXIII tohoto prováděcího nařízení. Instituce zpřístupňují:</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informace o těchto druzích specializovaných úvěrových expozic uvedených v čl. 153 odst. 5 tabulce 1:</w:t>
      </w:r>
    </w:p>
    <w:p w14:paraId="39427F4B" w14:textId="7912EE20"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„projektové financování“ v šabloně </w:t>
      </w:r>
      <w:r w:rsidR="00CC4769">
        <w:rPr>
          <w:rFonts w:ascii="Times New Roman" w:hAnsi="Times New Roman"/>
          <w:sz w:val="24"/>
          <w:szCs w:val="24"/>
        </w:rPr>
        <w:t xml:space="preserve">EU </w:t>
      </w:r>
      <w:r>
        <w:rPr>
          <w:rFonts w:ascii="Times New Roman" w:hAnsi="Times New Roman"/>
          <w:sz w:val="24"/>
          <w:szCs w:val="24"/>
        </w:rPr>
        <w:t>CR10.1,</w:t>
      </w:r>
    </w:p>
    <w:p w14:paraId="471A3883" w14:textId="38DB75ED"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„nemovitosti vytvářející příjem a vysoce </w:t>
      </w:r>
      <w:proofErr w:type="spellStart"/>
      <w:r>
        <w:rPr>
          <w:rFonts w:ascii="Times New Roman" w:hAnsi="Times New Roman"/>
          <w:sz w:val="24"/>
          <w:szCs w:val="24"/>
        </w:rPr>
        <w:t>volatilní</w:t>
      </w:r>
      <w:proofErr w:type="spellEnd"/>
      <w:r>
        <w:rPr>
          <w:rFonts w:ascii="Times New Roman" w:hAnsi="Times New Roman"/>
          <w:sz w:val="24"/>
          <w:szCs w:val="24"/>
        </w:rPr>
        <w:t xml:space="preserve"> komerční nemovitosti“ v šabloně </w:t>
      </w:r>
      <w:r w:rsidR="00CC4769">
        <w:rPr>
          <w:rFonts w:ascii="Times New Roman" w:hAnsi="Times New Roman"/>
          <w:sz w:val="24"/>
          <w:szCs w:val="24"/>
        </w:rPr>
        <w:t xml:space="preserve">EU </w:t>
      </w:r>
      <w:r>
        <w:rPr>
          <w:rFonts w:ascii="Times New Roman" w:hAnsi="Times New Roman"/>
          <w:sz w:val="24"/>
          <w:szCs w:val="24"/>
        </w:rPr>
        <w:t>CR10.2,</w:t>
      </w:r>
    </w:p>
    <w:p w14:paraId="53F6D261" w14:textId="6B2DEFA2"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„financování hmotných aktiv“ v šabloně </w:t>
      </w:r>
      <w:r w:rsidR="00CC4769">
        <w:rPr>
          <w:rFonts w:ascii="Times New Roman" w:hAnsi="Times New Roman"/>
          <w:sz w:val="24"/>
          <w:szCs w:val="24"/>
        </w:rPr>
        <w:t xml:space="preserve">EU </w:t>
      </w:r>
      <w:r>
        <w:rPr>
          <w:rFonts w:ascii="Times New Roman" w:hAnsi="Times New Roman"/>
          <w:sz w:val="24"/>
          <w:szCs w:val="24"/>
        </w:rPr>
        <w:t>CR10.3,</w:t>
      </w:r>
    </w:p>
    <w:p w14:paraId="3EF1B672" w14:textId="30F7EAAC"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„komoditní financování“ v šabloně </w:t>
      </w:r>
      <w:r w:rsidR="00CC4769">
        <w:rPr>
          <w:rFonts w:ascii="Times New Roman" w:hAnsi="Times New Roman"/>
          <w:sz w:val="24"/>
          <w:szCs w:val="24"/>
        </w:rPr>
        <w:t xml:space="preserve">EU </w:t>
      </w:r>
      <w:r>
        <w:rPr>
          <w:rFonts w:ascii="Times New Roman" w:hAnsi="Times New Roman"/>
          <w:sz w:val="24"/>
          <w:szCs w:val="24"/>
        </w:rPr>
        <w:t>CR 10.4;</w:t>
      </w:r>
    </w:p>
    <w:p w14:paraId="59F0F9C5" w14:textId="6E4A8F59"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 xml:space="preserve">informace o akciových expozicích podle metody zjednodušené rizikové váhy v šabloně </w:t>
      </w:r>
      <w:r w:rsidR="00CC4769">
        <w:rPr>
          <w:rFonts w:ascii="Times New Roman" w:hAnsi="Times New Roman"/>
          <w:sz w:val="24"/>
          <w:szCs w:val="24"/>
        </w:rPr>
        <w:t xml:space="preserve">EU </w:t>
      </w:r>
      <w:r>
        <w:rPr>
          <w:rFonts w:ascii="Times New Roman" w:hAnsi="Times New Roman"/>
          <w:sz w:val="24"/>
          <w:szCs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Rozvahové expozice</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Instituce uvedou hodnotu rozvahových expozic v souladu s čl. 166 odst. 1 až 7 a čl. 167 odst. 1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Podrozvahové expozice</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Instituce uvedou hodnotu podrozvahových expozic v souladu s článkem 166 a čl. 167 odst. 2 CRR, aniž zohlední případné konverzní faktory podle čl. 166 odst. 8 nebo 9 CRR nebo procentní podíly podle čl. 166 odst. 10 CRR.</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Podrozvahové expozice zahrnují všechny přislíbené, avšak nevyčerpané částky a všechny podrozvahové položky uvedené v příloze I CRR.</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Riziková váha</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Tento sloupec má pevně daný formát. Nesmí se měnit. </w:t>
            </w:r>
          </w:p>
          <w:p w14:paraId="3DFA2E81" w14:textId="2808EA30"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Tento sloupec je specifikován v souladu s čl. 153 odst. 5 CRR pro šablony </w:t>
            </w:r>
            <w:r w:rsidR="00CC4769">
              <w:rPr>
                <w:rFonts w:ascii="Times New Roman" w:hAnsi="Times New Roman"/>
                <w:sz w:val="24"/>
              </w:rPr>
              <w:t xml:space="preserve">EU </w:t>
            </w:r>
            <w:r>
              <w:rPr>
                <w:rFonts w:ascii="Times New Roman" w:hAnsi="Times New Roman"/>
                <w:sz w:val="24"/>
              </w:rPr>
              <w:t xml:space="preserve">CR10.1 až </w:t>
            </w:r>
            <w:r w:rsidR="00CC4769">
              <w:rPr>
                <w:rFonts w:ascii="Times New Roman" w:hAnsi="Times New Roman"/>
                <w:sz w:val="24"/>
              </w:rPr>
              <w:t xml:space="preserve">EU </w:t>
            </w:r>
            <w:r>
              <w:rPr>
                <w:rFonts w:ascii="Times New Roman" w:hAnsi="Times New Roman"/>
                <w:sz w:val="24"/>
              </w:rPr>
              <w:t xml:space="preserve">CR10.4 a v souladu s čl. 155 odst. 2 CRR pro šablonu </w:t>
            </w:r>
            <w:r w:rsidR="00CC4769">
              <w:rPr>
                <w:rFonts w:ascii="Times New Roman" w:hAnsi="Times New Roman"/>
                <w:sz w:val="24"/>
              </w:rPr>
              <w:t xml:space="preserve">EU </w:t>
            </w:r>
            <w:r>
              <w:rPr>
                <w:rFonts w:ascii="Times New Roman" w:hAnsi="Times New Roman"/>
                <w:sz w:val="24"/>
              </w:rPr>
              <w:t>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Hodnota expozice</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Hodnota expozice podle článku 166 nebo 167 CRR</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lastRenderedPageBreak/>
              <w:t xml:space="preserve">Tento sloupec uvádí součet hodnoty expozice pro rozvahové expozice a hodnoty expozice pro podrozvahové expozice po vynásobení konverzními faktory a procentními podíly podle čl. 166 odst. 8 až 10 CRR. </w:t>
            </w:r>
          </w:p>
        </w:tc>
      </w:tr>
      <w:tr w:rsidR="00F75FFC" w:rsidRPr="007F4CC8" w14:paraId="13CF4D96" w14:textId="77777777" w:rsidTr="00155C96">
        <w:trPr>
          <w:trHeight w:val="316"/>
        </w:trPr>
        <w:tc>
          <w:tcPr>
            <w:tcW w:w="1413" w:type="dxa"/>
            <w:tcBorders>
              <w:bottom w:val="single" w:sz="4" w:space="0" w:color="auto"/>
            </w:tcBorders>
          </w:tcPr>
          <w:p w14:paraId="21028C1D" w14:textId="215D7B28" w:rsidR="00F75FFC" w:rsidRPr="00DD0C4D" w:rsidRDefault="00F75FFC"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 xml:space="preserve">e (šablony </w:t>
            </w:r>
            <w:r w:rsidR="00CC4769">
              <w:rPr>
                <w:rFonts w:ascii="Times New Roman" w:hAnsi="Times New Roman"/>
                <w:sz w:val="24"/>
              </w:rPr>
              <w:t xml:space="preserve">EU </w:t>
            </w:r>
            <w:r>
              <w:rPr>
                <w:rFonts w:ascii="Times New Roman" w:hAnsi="Times New Roman"/>
                <w:sz w:val="24"/>
              </w:rPr>
              <w:t xml:space="preserve">CR10.1 až </w:t>
            </w:r>
            <w:r w:rsidR="00CC4769">
              <w:rPr>
                <w:rFonts w:ascii="Times New Roman" w:hAnsi="Times New Roman"/>
                <w:sz w:val="24"/>
              </w:rPr>
              <w:t xml:space="preserve">EU </w:t>
            </w:r>
            <w:r>
              <w:rPr>
                <w:rFonts w:ascii="Times New Roman" w:hAnsi="Times New Roman"/>
                <w:sz w:val="24"/>
              </w:rPr>
              <w:t>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 rizikově vážené expozice (specializované úvěrové expozice podle rozřazovacího přístupu)</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Objem rizikově vážené expozice vypočtený v souladu s čl. 153 odst. 5 CRR, po případném uplatnění podpůrných koeficientů podle článků 501 a 501a CRR</w:t>
            </w:r>
          </w:p>
        </w:tc>
      </w:tr>
      <w:tr w:rsidR="00F75FFC" w:rsidRPr="007F4CC8" w14:paraId="4174C902" w14:textId="77777777" w:rsidTr="00155C96">
        <w:trPr>
          <w:trHeight w:val="316"/>
        </w:trPr>
        <w:tc>
          <w:tcPr>
            <w:tcW w:w="1413" w:type="dxa"/>
            <w:tcBorders>
              <w:bottom w:val="single" w:sz="4" w:space="0" w:color="auto"/>
            </w:tcBorders>
          </w:tcPr>
          <w:p w14:paraId="12E030C9" w14:textId="714CC6D5"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e (šablona </w:t>
            </w:r>
            <w:r w:rsidR="00CC4769">
              <w:rPr>
                <w:rFonts w:ascii="Times New Roman" w:hAnsi="Times New Roman"/>
                <w:sz w:val="24"/>
              </w:rPr>
              <w:t xml:space="preserve">EU </w:t>
            </w:r>
            <w:r>
              <w:rPr>
                <w:rFonts w:ascii="Times New Roman" w:hAnsi="Times New Roman"/>
                <w:sz w:val="24"/>
              </w:rPr>
              <w:t>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 rizikově vážené expozice (akciové expozice podle metody zjednodušené rizikové váhy)</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Objem rizikově vážené expozice vypočtený v souladu s čl. 155 odst. 2 CRR</w:t>
            </w:r>
          </w:p>
        </w:tc>
      </w:tr>
      <w:tr w:rsidR="00F75FFC" w:rsidRPr="007F4CC8" w14:paraId="32ABB4F4" w14:textId="77777777" w:rsidTr="00155C96">
        <w:trPr>
          <w:trHeight w:val="316"/>
        </w:trPr>
        <w:tc>
          <w:tcPr>
            <w:tcW w:w="1413" w:type="dxa"/>
            <w:tcBorders>
              <w:bottom w:val="nil"/>
            </w:tcBorders>
          </w:tcPr>
          <w:p w14:paraId="38501C95" w14:textId="73AB2771" w:rsidR="00F75FFC" w:rsidRPr="00DD0C4D" w:rsidRDefault="00F75FFC"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f (šablony </w:t>
            </w:r>
            <w:r w:rsidR="00CC4769">
              <w:rPr>
                <w:rFonts w:ascii="Times New Roman" w:hAnsi="Times New Roman"/>
                <w:sz w:val="24"/>
              </w:rPr>
              <w:t xml:space="preserve">EU </w:t>
            </w:r>
            <w:r>
              <w:rPr>
                <w:rFonts w:ascii="Times New Roman" w:hAnsi="Times New Roman"/>
                <w:sz w:val="24"/>
              </w:rPr>
              <w:t xml:space="preserve">CR10.1 až </w:t>
            </w:r>
            <w:r w:rsidR="00CC4769">
              <w:rPr>
                <w:rFonts w:ascii="Times New Roman" w:hAnsi="Times New Roman"/>
                <w:sz w:val="24"/>
              </w:rPr>
              <w:t xml:space="preserve">EU </w:t>
            </w:r>
            <w:r>
              <w:rPr>
                <w:rFonts w:ascii="Times New Roman" w:hAnsi="Times New Roman"/>
                <w:sz w:val="24"/>
              </w:rPr>
              <w:t>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Výše očekávané ztráty (specializované úvěrové expozice podle rozřazovacího přístupu)</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Výše očekávané ztráty vypočtená v souladu s čl. 158 odst. 6 CRR</w:t>
            </w:r>
          </w:p>
        </w:tc>
      </w:tr>
      <w:tr w:rsidR="00F75FFC" w:rsidRPr="007F4CC8" w14:paraId="1D239CA4" w14:textId="77777777" w:rsidTr="00155C96">
        <w:trPr>
          <w:trHeight w:val="316"/>
        </w:trPr>
        <w:tc>
          <w:tcPr>
            <w:tcW w:w="1413" w:type="dxa"/>
            <w:tcBorders>
              <w:top w:val="nil"/>
            </w:tcBorders>
          </w:tcPr>
          <w:p w14:paraId="0049D53A" w14:textId="07C4DB0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f (šablona </w:t>
            </w:r>
            <w:r w:rsidR="00CC4769">
              <w:rPr>
                <w:rFonts w:ascii="Times New Roman" w:hAnsi="Times New Roman"/>
                <w:sz w:val="24"/>
              </w:rPr>
              <w:t xml:space="preserve">EU </w:t>
            </w:r>
            <w:r>
              <w:rPr>
                <w:rFonts w:ascii="Times New Roman" w:hAnsi="Times New Roman"/>
                <w:sz w:val="24"/>
              </w:rPr>
              <w:t>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Výše očekávané ztráty (akciové expozice podle metody zjednodušené rizikové váhy)</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Výše očekávané ztráty vypočtená v souladu s čl. 158 odst. 7 CRR</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Kategorie upravené v právních předpisech</w:t>
            </w:r>
          </w:p>
        </w:tc>
        <w:tc>
          <w:tcPr>
            <w:tcW w:w="7654" w:type="dxa"/>
          </w:tcPr>
          <w:p w14:paraId="18671DFD" w14:textId="26EC8269" w:rsidR="00F75FFC" w:rsidRPr="00DD0C4D"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 xml:space="preserve">Šablony </w:t>
            </w:r>
            <w:r w:rsidR="00CC4769">
              <w:rPr>
                <w:rFonts w:ascii="Times New Roman" w:hAnsi="Times New Roman"/>
                <w:b/>
                <w:sz w:val="24"/>
              </w:rPr>
              <w:t xml:space="preserve">EU </w:t>
            </w:r>
            <w:r>
              <w:rPr>
                <w:rFonts w:ascii="Times New Roman" w:hAnsi="Times New Roman"/>
                <w:b/>
                <w:sz w:val="24"/>
              </w:rPr>
              <w:t xml:space="preserve">CR10.1 – </w:t>
            </w:r>
            <w:r w:rsidR="00CC4769">
              <w:rPr>
                <w:rFonts w:ascii="Times New Roman" w:hAnsi="Times New Roman"/>
                <w:b/>
                <w:sz w:val="24"/>
              </w:rPr>
              <w:t xml:space="preserve">EU </w:t>
            </w:r>
            <w:r>
              <w:rPr>
                <w:rFonts w:ascii="Times New Roman" w:hAnsi="Times New Roman"/>
                <w:b/>
                <w:sz w:val="24"/>
              </w:rPr>
              <w:t>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Kategorie podle právních předpisů platné pro specializované úvěrové expozice podle rozřazovacího přístupu </w:t>
            </w:r>
            <w:r>
              <w:rPr>
                <w:rFonts w:ascii="Times New Roman" w:hAnsi="Times New Roman"/>
                <w:iCs/>
                <w:sz w:val="24"/>
              </w:rPr>
              <w:t xml:space="preserve">u každé kategorie specializovaných úvěrových expozic; </w:t>
            </w:r>
            <w:r>
              <w:rPr>
                <w:rFonts w:ascii="Times New Roman" w:hAnsi="Times New Roman"/>
                <w:sz w:val="24"/>
              </w:rPr>
              <w:t>podle čl. 153 odst. 5 CRR a konečného návrhu regulačních technických norem pro rozřazovací přístup</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Kategorie</w:t>
            </w:r>
          </w:p>
        </w:tc>
        <w:tc>
          <w:tcPr>
            <w:tcW w:w="7654" w:type="dxa"/>
          </w:tcPr>
          <w:p w14:paraId="395CC9EA" w14:textId="42833550" w:rsidR="00F75FFC" w:rsidRPr="00360C8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Kategorie podle právních předpisů platné pro akcie podle metody zjednodušené rizikové váhy podle čl. 155 odst. 2 CRR</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PŘÍLOHA XXVI – Tabulky a šablony pro zpřístupňování informací o úvěrovém riziku protistrany: Pokyny</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Informace podle článku 439 CRR týkající se jejich expozice úvěrového rizika protistrany podle části třetí hlavy II kapitoly 6 nařízení (EU) č. 575/2013</w:t>
      </w:r>
      <w:r w:rsidRPr="007F4CC8">
        <w:rPr>
          <w:rStyle w:val="FootnoteReference"/>
          <w:color w:val="auto"/>
          <w:lang w:val="en-GB"/>
        </w:rPr>
        <w:footnoteReference w:id="41"/>
      </w:r>
      <w:r>
        <w:rPr>
          <w:rFonts w:ascii="Times New Roman" w:hAnsi="Times New Roman"/>
          <w:color w:val="auto"/>
          <w:sz w:val="24"/>
        </w:rPr>
        <w:t xml:space="preserve"> (dále jen „CRR“) zpřístupňují instituce podle následujících pokynů k vyplnění tabulek a šablon obsažených v příloze XXV tohoto prováděcího nařízení. </w:t>
      </w:r>
    </w:p>
    <w:p w14:paraId="6F02BE4D" w14:textId="79F2EF69" w:rsidR="005710A4" w:rsidRPr="007F4CC8" w:rsidRDefault="005710A4"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 xml:space="preserve">Tabulka </w:t>
      </w:r>
      <w:r w:rsidR="00CC4769">
        <w:rPr>
          <w:rFonts w:ascii="Times New Roman" w:hAnsi="Times New Roman"/>
          <w:b/>
          <w:color w:val="auto"/>
          <w:sz w:val="24"/>
        </w:rPr>
        <w:t xml:space="preserve">EU </w:t>
      </w:r>
      <w:r>
        <w:rPr>
          <w:rFonts w:ascii="Times New Roman" w:hAnsi="Times New Roman"/>
          <w:b/>
          <w:color w:val="auto"/>
          <w:sz w:val="24"/>
        </w:rPr>
        <w:t>CCRA – Zpřístupnění kvalitativních informací týkajících se úvěrového rizika protistrany (CCR):</w:t>
      </w:r>
      <w:r>
        <w:rPr>
          <w:rFonts w:ascii="Times New Roman" w:hAnsi="Times New Roman"/>
          <w:sz w:val="24"/>
        </w:rPr>
        <w:t xml:space="preserve"> </w:t>
      </w:r>
      <w:r>
        <w:rPr>
          <w:rFonts w:ascii="Times New Roman" w:hAnsi="Times New Roman"/>
          <w:bCs w:val="0"/>
          <w:color w:val="000000"/>
          <w:sz w:val="24"/>
        </w:rPr>
        <w:t xml:space="preserve">Pole s volně zadávanými údaji </w:t>
      </w:r>
    </w:p>
    <w:p w14:paraId="574B95B8" w14:textId="41D1AE79"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000000"/>
          <w:sz w:val="24"/>
        </w:rPr>
        <w:t xml:space="preserve">Informace uvedené v čl. 439 písm. a) až d) CRR zpřístupňují instituce podle následujících pokynů k vyplňování šablony </w:t>
      </w:r>
      <w:r w:rsidR="00CC4769">
        <w:rPr>
          <w:rFonts w:ascii="Times New Roman" w:hAnsi="Times New Roman"/>
          <w:bCs w:val="0"/>
          <w:color w:val="000000"/>
          <w:sz w:val="24"/>
        </w:rPr>
        <w:t xml:space="preserve">EU </w:t>
      </w:r>
      <w:r>
        <w:rPr>
          <w:rFonts w:ascii="Times New Roman" w:hAnsi="Times New Roman"/>
          <w:bCs w:val="0"/>
          <w:color w:val="000000"/>
          <w:sz w:val="24"/>
        </w:rPr>
        <w:t>CCRA, obsažené v příloze XXV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05665A0F" w14:textId="77777777" w:rsidTr="00155C96">
        <w:trPr>
          <w:trHeight w:val="680"/>
        </w:trPr>
        <w:tc>
          <w:tcPr>
            <w:tcW w:w="1384" w:type="dxa"/>
          </w:tcPr>
          <w:p w14:paraId="2565E4DE" w14:textId="2DED4FEB"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Při zpřístupňování informací požadovaných v čl. 439 písm. a) CRR instituce popíší metodiky použité k přiřazení vnitřně stanoveného kapitálu a úvěrových limitů pro úvěrové expozice vůči protistraně včetně metod, které byly použity k přiřazení těchto limitů k expozicím vůči ústředním protistranám.</w:t>
            </w:r>
          </w:p>
        </w:tc>
      </w:tr>
      <w:tr w:rsidR="005710A4" w:rsidRPr="007F4CC8" w14:paraId="77B03842" w14:textId="77777777" w:rsidTr="00155C96">
        <w:trPr>
          <w:trHeight w:val="680"/>
        </w:trPr>
        <w:tc>
          <w:tcPr>
            <w:tcW w:w="1384" w:type="dxa"/>
          </w:tcPr>
          <w:p w14:paraId="4299B689" w14:textId="075F3F22"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Při zpřístupňování informací požadovaných v čl. 439 písm. b) CRR instituce popíší zásad týkajících se záruk a jiných prostředků ke snižování úvěrového rizika, jako jsou zásady zajištění kolaterálu a ustavení úvěrových rezerv.</w:t>
            </w:r>
          </w:p>
        </w:tc>
      </w:tr>
      <w:tr w:rsidR="005710A4" w:rsidRPr="007F4CC8" w14:paraId="16AFFB4D" w14:textId="77777777" w:rsidTr="00155C96">
        <w:trPr>
          <w:trHeight w:val="436"/>
        </w:trPr>
        <w:tc>
          <w:tcPr>
            <w:tcW w:w="1384" w:type="dxa"/>
          </w:tcPr>
          <w:p w14:paraId="3E6B3BE1" w14:textId="67B96FAF"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Při zpřístupňování informací požadovaných v čl. 439 písm. c) CRR instituce popíší</w:t>
            </w:r>
            <w:r>
              <w:rPr>
                <w:rFonts w:ascii="Times New Roman" w:hAnsi="Times New Roman"/>
                <w:color w:val="000000"/>
                <w:sz w:val="24"/>
              </w:rPr>
              <w:t xml:space="preserve"> </w:t>
            </w:r>
            <w:r>
              <w:rPr>
                <w:rFonts w:ascii="Times New Roman" w:hAnsi="Times New Roman"/>
                <w:sz w:val="24"/>
              </w:rPr>
              <w:t>zásad týkajících se rizika pozitivní korelace ve smyslu článku 291 CRR.</w:t>
            </w:r>
          </w:p>
        </w:tc>
      </w:tr>
      <w:tr w:rsidR="005710A4" w:rsidRPr="007F4CC8" w14:paraId="61203F55" w14:textId="77777777" w:rsidTr="00155C96">
        <w:trPr>
          <w:trHeight w:val="557"/>
        </w:trPr>
        <w:tc>
          <w:tcPr>
            <w:tcW w:w="1384" w:type="dxa"/>
          </w:tcPr>
          <w:p w14:paraId="78488193" w14:textId="619C4DFE"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V souladu s čl. 431 odst. 3 a 4 CRR instituce k výše uvedeným informacím doplní případné jiné cíle týkající se řízení rizik a příslušné zásady související s úvěrovým rizikem protistrany.</w:t>
            </w:r>
          </w:p>
        </w:tc>
      </w:tr>
      <w:tr w:rsidR="005710A4" w:rsidRPr="007F4CC8" w14:paraId="539DBB08" w14:textId="77777777" w:rsidTr="00155C96">
        <w:trPr>
          <w:trHeight w:val="557"/>
        </w:trPr>
        <w:tc>
          <w:tcPr>
            <w:tcW w:w="1384" w:type="dxa"/>
          </w:tcPr>
          <w:p w14:paraId="2D2A8B07" w14:textId="3D245529"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Při zpřístupňování informací požadovaných v čl. 439 písm. d) CRR instituce uvedou výši kolaterálu, kterou by instituce musela poskytnout v případě snížení svého úvěrového ratingu.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Pokud centrální banka členského státu poskytuje pomoc v oblasti likvidity v podobě </w:t>
            </w:r>
            <w:proofErr w:type="spellStart"/>
            <w:r>
              <w:rPr>
                <w:rFonts w:ascii="Times New Roman" w:hAnsi="Times New Roman"/>
                <w:color w:val="000000"/>
                <w:sz w:val="24"/>
              </w:rPr>
              <w:t>kolaterálových</w:t>
            </w:r>
            <w:proofErr w:type="spellEnd"/>
            <w:r>
              <w:rPr>
                <w:rFonts w:ascii="Times New Roman" w:hAnsi="Times New Roman"/>
                <w:color w:val="000000"/>
                <w:sz w:val="24"/>
              </w:rPr>
              <w:t xml:space="preserve"> swapů, může příslušný orgán osvobodit instituce od poskytování uvedených informací, má-li za to, že zpřístupněním uvedených informací by mohlo být nouzové poskytnutí likvidity odkryto. Pro tyto účely stanoví příslušný orgán náležité prahové hodnoty a objektivní kritéria.</w:t>
            </w:r>
          </w:p>
        </w:tc>
      </w:tr>
    </w:tbl>
    <w:p w14:paraId="651D0C27" w14:textId="77777777" w:rsidR="005710A4" w:rsidRPr="00320783" w:rsidRDefault="005710A4" w:rsidP="005710A4">
      <w:pPr>
        <w:pStyle w:val="Titlelevel2"/>
        <w:spacing w:before="0"/>
        <w:rPr>
          <w:rFonts w:ascii="Times New Roman" w:hAnsi="Times New Roman" w:cs="Times New Roman"/>
          <w:b/>
          <w:color w:val="auto"/>
          <w:sz w:val="24"/>
        </w:rPr>
      </w:pPr>
    </w:p>
    <w:p w14:paraId="266823BD" w14:textId="7A25258F" w:rsidR="005710A4" w:rsidRPr="007F4CC8"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CCR1 – Analýza expozic s úvěrovým rizikem protistrany podle přístupu: </w:t>
      </w:r>
      <w:r>
        <w:rPr>
          <w:rFonts w:ascii="Times New Roman" w:hAnsi="Times New Roman"/>
          <w:color w:val="auto"/>
          <w:sz w:val="24"/>
        </w:rPr>
        <w:t>Pevně daný formát</w:t>
      </w:r>
    </w:p>
    <w:p w14:paraId="042FCEE6" w14:textId="176558E0"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439 písm. f), g) a k) CRR zpřístupňují instituce podle následujících pokynů k vyplňování šablony </w:t>
      </w:r>
      <w:r w:rsidR="00CC4769">
        <w:rPr>
          <w:rFonts w:ascii="Times New Roman" w:hAnsi="Times New Roman"/>
          <w:bCs w:val="0"/>
          <w:color w:val="000000"/>
          <w:sz w:val="24"/>
        </w:rPr>
        <w:t xml:space="preserve">EU </w:t>
      </w:r>
      <w:r>
        <w:rPr>
          <w:rFonts w:ascii="Times New Roman" w:hAnsi="Times New Roman"/>
          <w:bCs w:val="0"/>
          <w:color w:val="000000"/>
          <w:sz w:val="24"/>
        </w:rPr>
        <w:t>CCR1, obsažené v příloze XXV tohoto prováděcího nařízení.</w:t>
      </w:r>
    </w:p>
    <w:p w14:paraId="3920FABD" w14:textId="721A3052"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 xml:space="preserve">Tato šablona nezahrnuje kapitálové požadavky na riziko úvěrových úprav v ocenění (CVA) (část třetí hlava VI CRR) a expozice vůči ústřední protistraně (část třetí hlava II kapitola 6 oddíl 9 CRR) vymezené pro účely šablony </w:t>
      </w:r>
      <w:r w:rsidR="00CC4769">
        <w:rPr>
          <w:rFonts w:ascii="Times New Roman" w:hAnsi="Times New Roman"/>
          <w:bCs w:val="0"/>
          <w:color w:val="000000"/>
          <w:sz w:val="24"/>
        </w:rPr>
        <w:t xml:space="preserve">EU </w:t>
      </w:r>
      <w:r>
        <w:rPr>
          <w:rFonts w:ascii="Times New Roman" w:hAnsi="Times New Roman"/>
          <w:bCs w:val="0"/>
          <w:color w:val="000000"/>
          <w:sz w:val="24"/>
        </w:rPr>
        <w:t>CCR8.</w:t>
      </w:r>
      <w:r>
        <w:t xml:space="preserve"> </w:t>
      </w:r>
      <w:r>
        <w:rPr>
          <w:rFonts w:ascii="Times New Roman" w:hAnsi="Times New Roman"/>
          <w:bCs w:val="0"/>
          <w:color w:val="000000"/>
          <w:sz w:val="24"/>
        </w:rPr>
        <w:t>V případě transakcí s financováním cenných papírů zahrnuje hodnoty expozic před účinkem snižování úvěrového rizika i po něm, jak jsou určeny pomocí metod stanovených v části třetí hlavě II kapitole 4 a 6, ať už se použije kterákoli z nich, v souladu s čl. 439 písm. g) CRR, a související objemy rizikové expozice v členění podle příslušné metody.</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Instituce používající metody stanovené v části třetí hlavě II kapitole 6 oddílech 4 až 5 uvedou v textu připojeném k šabloně objem svých rozvahových a podrozvahových derivátových obchodů vypočtený podle čl. 273a odst. 1, případně odst. 2 CRR při použití čl. 439 odst. m)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Metoda původní expozice (pro deriváty)</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Deriváty a transakce s delší dobou vypořádání, u nichž se instituce rozhodly vypočítávat </w:t>
            </w:r>
            <w:r>
              <w:rPr>
                <w:rFonts w:ascii="Times New Roman" w:hAnsi="Times New Roman"/>
                <w:sz w:val="24"/>
                <w:szCs w:val="24"/>
              </w:rPr>
              <w:t xml:space="preserve">hodnotu expozice jako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kde </w:t>
            </w:r>
            <w:r>
              <w:rPr>
                <w:rFonts w:ascii="Times New Roman" w:hAnsi="Times New Roman"/>
                <w:color w:val="000000"/>
                <w:sz w:val="24"/>
                <w:szCs w:val="24"/>
              </w:rPr>
              <w:t xml:space="preserve">α=1,4 a </w:t>
            </w:r>
            <w:r>
              <w:rPr>
                <w:rFonts w:ascii="Times New Roman" w:hAnsi="Times New Roman"/>
                <w:sz w:val="24"/>
                <w:szCs w:val="24"/>
              </w:rPr>
              <w:t>RC a PFE se vypočítá v souladu s částí třetí hlavou II kapitolou 6 oddílem 5 článkem 282 CRR</w:t>
            </w:r>
            <w:r>
              <w:rPr>
                <w:rFonts w:ascii="Times New Roman" w:hAnsi="Times New Roman"/>
                <w:sz w:val="24"/>
              </w:rPr>
              <w:t>.</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Tuto zjednodušenou metodu výpočtu hodnoty expozice derivátových pozic mohou použít pouze instituce, které splňují podmínky stanovené v části třetí hlavě II kapitole 6 čl. 273a odst. 2 nebo 4 CRR.</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Zjednodušený standardizovaný přístup pro CCR (zjednodušený přístup SA-CCR pro deriváty)</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Deriváty a transakce s delší dobou vypořádání, u nichž se instituce rozhodly vypočítávat </w:t>
            </w:r>
            <w:r>
              <w:rPr>
                <w:rFonts w:ascii="Times New Roman" w:hAnsi="Times New Roman"/>
                <w:sz w:val="24"/>
                <w:szCs w:val="24"/>
              </w:rPr>
              <w:t xml:space="preserve">hodnotu expozice jako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kde </w:t>
            </w:r>
            <w:r>
              <w:rPr>
                <w:rFonts w:ascii="Times New Roman" w:hAnsi="Times New Roman"/>
                <w:color w:val="000000"/>
                <w:sz w:val="24"/>
                <w:szCs w:val="24"/>
              </w:rPr>
              <w:t xml:space="preserve">α=1,4 a </w:t>
            </w:r>
            <w:r>
              <w:rPr>
                <w:rFonts w:ascii="Times New Roman" w:hAnsi="Times New Roman"/>
                <w:sz w:val="24"/>
                <w:szCs w:val="24"/>
              </w:rPr>
              <w:t>RC a PFE se vypočítá v souladu s částí třetí hlavou II kapitolou 6 oddílem 4 článkem 281 CRR</w:t>
            </w:r>
            <w:r>
              <w:rPr>
                <w:rFonts w:ascii="Times New Roman" w:hAnsi="Times New Roman"/>
                <w:sz w:val="24"/>
              </w:rPr>
              <w:t>.</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Tento zjednodušený standardizovaný přístup k výpočtu hodnoty expozice derivátových pozic mohou použít pouze instituce, které splňují podmínky stanovené v části třetí hlavě II kapitole 6 čl. 273a odst. 1 nebo 4 CRR.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Standardizovaný přístup pro CCR (přístup SA-CCR pro deriváty)</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Deriváty a transakce s delší dobou vypořádání, u nichž se instituce rozhodly vypočítávat hodnotu expozice jako alfa*(RC+PFE), kde α=1,4 a RC a PFE se vypočítá v souladu s částí třetí hlavou II kapitolou 6 oddílem 3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Metoda interního modelu (pro deriváty a SFT)</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Deriváty</w:t>
            </w:r>
            <w:r>
              <w:rPr>
                <w:rFonts w:ascii="Times New Roman" w:hAnsi="Times New Roman"/>
                <w:sz w:val="24"/>
              </w:rPr>
              <w:t xml:space="preserve"> a transakce s delší dobou vypořádání a transakce s financováním cenných papírů</w:t>
            </w:r>
            <w:r>
              <w:rPr>
                <w:rFonts w:ascii="Times New Roman" w:hAnsi="Times New Roman"/>
                <w:color w:val="000000"/>
                <w:sz w:val="24"/>
              </w:rPr>
              <w:t>, u nichž bylo instituci povoleno vypočítat hodnotu expozice pomocí metody interního modelu v souladu s částí třetí hlavou II kapitolou 6 oddílem 6</w:t>
            </w:r>
            <w:r>
              <w:rPr>
                <w:rFonts w:ascii="Times New Roman" w:hAnsi="Times New Roman"/>
                <w:sz w:val="24"/>
              </w:rPr>
              <w:t xml:space="preserve"> CRR</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Z toho skupiny transakcí se započtením transakcí s financováním cenných papírů</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Skupiny transakcí se započtením obsahující pouze transakce s financováním cenných papírů ve smyslu čl. 4 odst. 1 bodu 139 CRR, u nichž bylo instituci povoleno určit hodnotu expozice pomocí metody interního modelu</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Z toho skupiny transakcí se započtením zahrnující deriváty a transakce s delší dobou vypořádání</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Skupiny transakcí se započtením obsahující pouze derivátové nástroje uvedené v příloze II CRR a transakce s delší dobou vypořádání ve smyslu čl. 272 bodu 2 CRR, u nichž bylo instituci povoleno určit hodnotu expozice pomocí metody interního modelu</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Z toho ze smluvního křížového započtení</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Skupina transakcí se započtením zahrnující transakce různých kategorií produktů (čl. 272 bod 11 CRR), tj. deriváty a transakce s financováním cenných papírů, pro které existuje dohoda o křížovém započtení na základě smlouvy ve smyslu čl. 272 bodu 25 CRR a u nichž bylo instituci povoleno určit hodnotu expozice pomocí metody interního modelu</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Jednoduchá metoda finančního kolaterálu (pro SFT) a komplexní metoda finančního kolaterálu (pro SFT)</w:t>
            </w:r>
          </w:p>
          <w:p w14:paraId="08677EBD" w14:textId="2FADFB24" w:rsidR="005710A4" w:rsidRPr="007F4CC8" w:rsidRDefault="005710A4" w:rsidP="003B3A9D">
            <w:pPr>
              <w:pStyle w:val="TableMainHeading"/>
              <w:spacing w:before="0" w:after="240"/>
              <w:jc w:val="both"/>
              <w:rPr>
                <w:rFonts w:ascii="Times New Roman" w:hAnsi="Times New Roman"/>
                <w:i/>
                <w:sz w:val="24"/>
                <w:szCs w:val="24"/>
              </w:rPr>
            </w:pPr>
            <w:proofErr w:type="spellStart"/>
            <w:r>
              <w:rPr>
                <w:rFonts w:ascii="Times New Roman" w:hAnsi="Times New Roman"/>
                <w:sz w:val="24"/>
                <w:szCs w:val="24"/>
              </w:rPr>
              <w:t>Repo</w:t>
            </w:r>
            <w:proofErr w:type="spellEnd"/>
            <w:r>
              <w:rPr>
                <w:rFonts w:ascii="Times New Roman" w:hAnsi="Times New Roman"/>
                <w:sz w:val="24"/>
                <w:szCs w:val="24"/>
              </w:rPr>
              <w:t xml:space="preserve"> obchody, půjčky či výpůjčky cenných papírů nebo komodit a maržové obchody, u nichž se instituce rozhodly určit hodnotu expozice v souladu s částí třetí hlavou II kapitolou 4 články 222 a 223 CRR, nikoli s částí třetí hlavou II kapitolou 6 čl. 271 odst. 2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proofErr w:type="spellStart"/>
            <w:r>
              <w:rPr>
                <w:rFonts w:ascii="Times New Roman" w:hAnsi="Times New Roman"/>
                <w:b/>
                <w:sz w:val="24"/>
                <w:szCs w:val="24"/>
              </w:rPr>
              <w:t>VaR</w:t>
            </w:r>
            <w:proofErr w:type="spellEnd"/>
            <w:r>
              <w:rPr>
                <w:rFonts w:ascii="Times New Roman" w:hAnsi="Times New Roman"/>
                <w:b/>
                <w:sz w:val="24"/>
                <w:szCs w:val="24"/>
              </w:rPr>
              <w:t xml:space="preserve"> pro SFT</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proofErr w:type="spellStart"/>
            <w:r>
              <w:rPr>
                <w:rFonts w:ascii="Times New Roman" w:hAnsi="Times New Roman"/>
                <w:sz w:val="24"/>
                <w:szCs w:val="24"/>
              </w:rPr>
              <w:t>Repo</w:t>
            </w:r>
            <w:proofErr w:type="spellEnd"/>
            <w:r>
              <w:rPr>
                <w:rFonts w:ascii="Times New Roman" w:hAnsi="Times New Roman"/>
                <w:sz w:val="24"/>
                <w:szCs w:val="24"/>
              </w:rPr>
              <w:t xml:space="preserve"> obchody, půjčky či výpůjčky cenných papírů nebo komodit, maržové obchody nebo jiné transakce na kapitálovém trhu jiné než transakce s deriváty, u nichž se (v souladu s článkem 221 CRR) hodnota expozice vypočítá pomocí přístupu interního modelu, který zohledňuje vliv korelace mezi pozicemi v </w:t>
            </w:r>
            <w:r>
              <w:rPr>
                <w:rFonts w:ascii="Times New Roman" w:hAnsi="Times New Roman"/>
                <w:sz w:val="24"/>
                <w:szCs w:val="24"/>
              </w:rPr>
              <w:lastRenderedPageBreak/>
              <w:t>cenných papírech, které jsou předmětem dané rámcové dohody o započtení, i likviditu dotčených nástrojů</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lastRenderedPageBreak/>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Celkem</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Reprodukční náklady (RC) a potenciální budoucí expozice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a PFE se vypočítají:</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v souladu s částí třetí hlavou II kapitolou 6 oddílem 5 čl. 282 odst. 3 a 4 CRR u metody původní expozice (řádek EU-1 této šablony),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 souladu s částí třetí hlavou II kapitolou 6 oddílem 5 článkem 281 CRR u zjednodušeného přístupu SA-CCR (řádek EU-2 této šablony),</w:t>
            </w:r>
          </w:p>
          <w:p w14:paraId="18463CE2" w14:textId="4E1C5AD3"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 souladu s částí třetí hlavou II kapitolou 6 oddíly 4 a 5 články 275 a 278 CRR u přístupu SA-CCR (řádek 1 této šablony)</w:t>
            </w:r>
            <w:r w:rsidR="00A03748">
              <w:rPr>
                <w:rFonts w:ascii="Times New Roman" w:hAnsi="Times New Roman"/>
                <w:sz w:val="24"/>
                <w:szCs w:val="24"/>
              </w:rPr>
              <w:t>.</w:t>
            </w:r>
          </w:p>
          <w:p w14:paraId="599A5CCA" w14:textId="77777777" w:rsidR="005710A4" w:rsidRPr="007F4CC8" w:rsidRDefault="005710A4" w:rsidP="00155C96">
            <w:pPr>
              <w:spacing w:after="240"/>
            </w:pPr>
            <w:r>
              <w:rPr>
                <w:rFonts w:ascii="Times New Roman" w:hAnsi="Times New Roman"/>
                <w:sz w:val="24"/>
              </w:rPr>
              <w:t>Instituce uvedou součet reprodukčních nákladů pro všechny skupiny transakcí se započtením v příslušných řádcích.</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Efektivní očekávaná pozitivní expozice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EEPE pro jednotlivé skupiny transakcí se započtením je definována v čl. 272 bodě 22 CRR a vypočítá se v souladu s čl. 284 odst. 6 CRR.</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Zde se vykazuje EEPE použitá pro stanovení kapitálových požadavků v souladu s čl. 284 odst. 3 CRR, tj. buď EEPE vypočtená za použití stávajících tržních údajů, nebo EEPE vypočtená pomocí zátěžové kalibrace, podle toho, která hodnota vede k vyššímu kapitálovému požadavku.</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V textu připojeném k šabloně instituce upřesní, která EEPE byla zadána.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Koeficient alfa použitý pro výpočet regulatorní hodnoty expozic</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Hodnota α je pevně stanovena jako 1,4 v řádcích EU-1, EU-2 a 1 této šablony v souladu s čl. 282 odst. 2, odst. 281 odst. 1 a čl. 274 odst. 2 CRR</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Pro účely metody interního modelu může koeficient α nabývat buď implicitní hodnoty 1,4, nebo jiné hodnoty, pokud příslušné orgány vyžadují vyšší koeficient α v souladu s čl. 284 odst. 4 CRR nebo povolí institucím používat jejich vlastní odhady v souladu částí třetí hlavou II kapitolou 6 oddílem 6 čl. 284 odst. 9 CRR.</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Hodnota expozic před snížením úvěrového rizika</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Hodnota expozice před snížením úvěrového rizika vyplývající z CCR se vypočítá v souladu s metodami stanovenými v části třetí hlavě II kapitolách 4 a 6 CRR a s přihlédnutím k účinku započtení, avšak bez ohledu na jakékoli jiné techniky snižování úvěrového rizika (např. maržový kolaterál).</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 případě SFT se složka cenných papírů při určování hodnoty expozice před snížením úvěrového rizika, když je obdržen kolaterál, nebere v úvahu, a tudíž nesnižuje hodnotu expozice. Složka cenných papírů SFT se naopak zohlední při určování hodnoty expozice před snížením úvěrového rizika obvyklým způsobem při poskytnutí kolaterálu.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K obchodům zajištěným kolaterálem se přistupuje stejně jako k nezajištěným obchodům, tj. neuplatní se dopady </w:t>
            </w:r>
            <w:proofErr w:type="spellStart"/>
            <w:r>
              <w:rPr>
                <w:rFonts w:ascii="Times New Roman" w:hAnsi="Times New Roman"/>
                <w:sz w:val="24"/>
                <w:szCs w:val="24"/>
              </w:rPr>
              <w:t>dozajištění</w:t>
            </w:r>
            <w:proofErr w:type="spellEnd"/>
            <w:r>
              <w:rPr>
                <w:rFonts w:ascii="Times New Roman" w:hAnsi="Times New Roman"/>
                <w:sz w:val="24"/>
                <w:szCs w:val="24"/>
              </w:rPr>
              <w:t>.</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 transakcí, u nichž bylo zjištěno specifické riziko pozitivní korelace, musí být hodnota expozice před snížením úvěrového rizika stanovena v souladu s článkem 291 CRR.</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Hodnota expozice před snížením úvěrového rizika nezohledňuje odpočet vzniklé ztráty v souvislosti s úvěrovou úpravou v ocenění podle čl. 273 odst. 6 CRR.</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Instituce vykazuje součet všech hodnot expozic před snížením úvěrového rizika v příslušném řádku.</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Hodnota expozic (po snížení úvěrového rizika)</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Hodnota expozice po snížení úvěrového rizika vyplývající z CCR se vypočítá v souladu s metodami stanovenými v části třetí hlavě II kapitolách 4 a 6 CRR a po uplatnění technik snižování úvěrového rizika použitelných v souladu s částí třetí hlavou II kapitolami 4 a 6 CRR.</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 transakcí, u nichž bylo zjištěno specifické riziko pozitivní korelace, musí být hodnota expozice stanovena v souladu s článkem 291 CRR.</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 souladu s čl. 273 odst. 6 CRR se od hodnoty expozice po snížení úvěrového rizika neodečítá vzniklá ztráta CVA.</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Instituce vykazuje součet všech hodnot expozic po snížení úvěrového rizika v příslušném řádku.</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Hodnota expozic</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Hodnota expozice vyplývající z CCR vypočtená v souladu s metodami stanovenými v části třetí hlavě II kapitolách 4 a 6 CRR, která představuje příslušnou hodnotu pro výpočet kapitálových požadavků, tj. po použití příslušných technik snižování úvěrového rizika v souladu s částí třetí hlavou II kapitolami 4 a 6 CRR a zohlednění odpočtu vzniklé ztráty CVA v souladu s čl. 273 odst. 6 CRR.</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Hodnota expozice u transakcí, u nichž bylo zjištěno specifické riziko pozitivní korelace, se stanoví v souladu s článkem 291 CRR.</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 případech, kdy se pro jednu protistranu používá více než jeden přístup CCR, se vzniklá ztráta CVA, která se odečte na úrovni protistrany, přiřadí k hodnotě expozice různých skupin transakcí se započtením v rámci každého přístupu CCR odrážející poměr hodnoty expozice po snížení úvěrového rizika příslušných skupin transakcí se započtením k celkové hodnotě expozice po snížení úvěrového rizika protistrany.</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Instituce vykazuje součet všech hodnot expozic po snížení úvěrového rizika v příslušném řádku.</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Objem rizikově vážených expozic (RWEA)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Objemy rizikově vážených expozic ve smyslu čl. 92 odst. 3 a 4 CRR vypočtené v souladu s článkem 107 CRR u prvků, jejichž rizikové váhy se odhadují na základě požadavků stanovených v části třetí hlavě II kapitolách 2 a 3 CRR a u nichž se hodnota expozice vyplývající z CCR vypočítá v souladu s částí třetí hlavou II kapitolami 4 a 6 CRR.</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0C1CDAB7" w:rsidR="005710A4" w:rsidRPr="007F4CC8" w:rsidRDefault="005710A4" w:rsidP="005710A4">
      <w:pPr>
        <w:spacing w:after="240"/>
        <w:jc w:val="both"/>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CCR2 – Transakce podléhající kapitálovým požadavkům na riziko související s úvěrovou úpravou v ocenění: </w:t>
      </w:r>
      <w:r>
        <w:rPr>
          <w:rFonts w:ascii="Times New Roman" w:hAnsi="Times New Roman"/>
          <w:sz w:val="24"/>
        </w:rPr>
        <w:t>Pevně daný formát</w:t>
      </w:r>
    </w:p>
    <w:p w14:paraId="1EB3C357" w14:textId="34614190"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 xml:space="preserve">Informace uvedené v čl. 439 písm. h) CRR zpřístupňují instituce podle následujících pokynů k vyplňování šablony </w:t>
      </w:r>
      <w:r w:rsidR="00CC4769">
        <w:rPr>
          <w:rFonts w:ascii="Times New Roman" w:hAnsi="Times New Roman"/>
          <w:bCs w:val="0"/>
          <w:color w:val="000000"/>
          <w:sz w:val="24"/>
        </w:rPr>
        <w:t xml:space="preserve">EU </w:t>
      </w:r>
      <w:r>
        <w:rPr>
          <w:rFonts w:ascii="Times New Roman" w:hAnsi="Times New Roman"/>
          <w:bCs w:val="0"/>
          <w:color w:val="000000"/>
          <w:sz w:val="24"/>
        </w:rPr>
        <w:t>CCR2, obsažené v příloze XXV tohoto prováděcího nařízení</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V této šabloně se vyplňují regulatorní informace o CVA pro všechny transakce podléhající kapitálovým požadavkům k riziku CVA (část třetí hlava VI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Transakce podléhající pokročilé metodě celkem</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Transakce, na které se vztahuje pokročilá metoda pro výpočet kapitálových požadavků k riziku CVA podle článku 383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složka </w:t>
            </w:r>
            <w:proofErr w:type="spellStart"/>
            <w:r>
              <w:rPr>
                <w:rFonts w:ascii="Times New Roman" w:hAnsi="Times New Roman"/>
                <w:b/>
                <w:sz w:val="24"/>
                <w:szCs w:val="24"/>
              </w:rPr>
              <w:t>VaR</w:t>
            </w:r>
            <w:proofErr w:type="spellEnd"/>
            <w:r>
              <w:rPr>
                <w:rFonts w:ascii="Times New Roman" w:hAnsi="Times New Roman"/>
                <w:b/>
                <w:sz w:val="24"/>
                <w:szCs w:val="24"/>
              </w:rPr>
              <w:t xml:space="preserve"> (včetně koeficientu násobení třemi)</w:t>
            </w:r>
          </w:p>
          <w:p w14:paraId="78E01F57" w14:textId="58650231"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Transakce, na které se vztahují kapitálové požadavky k riziku CVA, u nichž jsou objemy rizikově vážených expozic získávány na základě vzorce v článku 383 CRR, pomocí výpočtu </w:t>
            </w:r>
            <w:proofErr w:type="spellStart"/>
            <w:r>
              <w:rPr>
                <w:rFonts w:ascii="Times New Roman" w:hAnsi="Times New Roman"/>
                <w:sz w:val="24"/>
                <w:szCs w:val="24"/>
              </w:rPr>
              <w:t>VaR</w:t>
            </w:r>
            <w:proofErr w:type="spellEnd"/>
            <w:r>
              <w:rPr>
                <w:rFonts w:ascii="Times New Roman" w:hAnsi="Times New Roman"/>
                <w:sz w:val="24"/>
                <w:szCs w:val="24"/>
              </w:rPr>
              <w:t xml:space="preserve"> na základě inter</w:t>
            </w:r>
            <w:r w:rsidR="00B3560E">
              <w:rPr>
                <w:rFonts w:ascii="Times New Roman" w:hAnsi="Times New Roman"/>
                <w:sz w:val="24"/>
                <w:szCs w:val="24"/>
              </w:rPr>
              <w:t>ních modelů pro tržní riziko (s</w:t>
            </w:r>
            <w:r>
              <w:rPr>
                <w:rFonts w:ascii="Times New Roman" w:hAnsi="Times New Roman"/>
                <w:sz w:val="24"/>
                <w:szCs w:val="24"/>
              </w:rPr>
              <w:t xml:space="preserve"> </w:t>
            </w:r>
            <w:r w:rsidR="00B3560E">
              <w:rPr>
                <w:rFonts w:ascii="Times New Roman" w:hAnsi="Times New Roman"/>
                <w:sz w:val="24"/>
                <w:szCs w:val="24"/>
              </w:rPr>
              <w:t xml:space="preserve">kalibracemi </w:t>
            </w:r>
            <w:r>
              <w:rPr>
                <w:rFonts w:ascii="Times New Roman" w:hAnsi="Times New Roman"/>
                <w:sz w:val="24"/>
                <w:szCs w:val="24"/>
              </w:rPr>
              <w:t>stávající</w:t>
            </w:r>
            <w:r w:rsidR="00B3560E">
              <w:rPr>
                <w:rFonts w:ascii="Times New Roman" w:hAnsi="Times New Roman"/>
                <w:sz w:val="24"/>
                <w:szCs w:val="24"/>
              </w:rPr>
              <w:t>ch</w:t>
            </w:r>
            <w:r>
              <w:rPr>
                <w:rFonts w:ascii="Times New Roman" w:hAnsi="Times New Roman"/>
                <w:sz w:val="24"/>
                <w:szCs w:val="24"/>
              </w:rPr>
              <w:t xml:space="preserve"> parametrů pro očekávané expozice podle čl. 292 odst. 2 </w:t>
            </w:r>
            <w:proofErr w:type="gramStart"/>
            <w:r>
              <w:rPr>
                <w:rFonts w:ascii="Times New Roman" w:hAnsi="Times New Roman"/>
                <w:sz w:val="24"/>
                <w:szCs w:val="24"/>
              </w:rPr>
              <w:t>prvního</w:t>
            </w:r>
            <w:proofErr w:type="gramEnd"/>
            <w:r>
              <w:rPr>
                <w:rFonts w:ascii="Times New Roman" w:hAnsi="Times New Roman"/>
                <w:sz w:val="24"/>
                <w:szCs w:val="24"/>
              </w:rPr>
              <w:t xml:space="preserve"> pododstavce CRR).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lastRenderedPageBreak/>
              <w:t xml:space="preserve">Výpočet zahrnuje použití multiplikátoru v hodnotě nejméně 3 (stanoví orgán dohledu).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lastRenderedPageBreak/>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složka </w:t>
            </w:r>
            <w:proofErr w:type="spellStart"/>
            <w:r>
              <w:rPr>
                <w:rFonts w:ascii="Times New Roman" w:hAnsi="Times New Roman"/>
                <w:b/>
                <w:sz w:val="24"/>
                <w:szCs w:val="24"/>
              </w:rPr>
              <w:t>SVaR</w:t>
            </w:r>
            <w:proofErr w:type="spellEnd"/>
            <w:r>
              <w:rPr>
                <w:rFonts w:ascii="Times New Roman" w:hAnsi="Times New Roman"/>
                <w:b/>
                <w:sz w:val="24"/>
                <w:szCs w:val="24"/>
              </w:rPr>
              <w:t xml:space="preserve"> (včetně koeficientu násobení třemi)</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Transakce, na které se vztahují kapitálové požadavky k riziku CVA, u nichž jsou objemy rizikově vážených expozic získávány na základě vzorce v článku 383 CRR pomocí výpočtu stresové </w:t>
            </w:r>
            <w:proofErr w:type="spellStart"/>
            <w:r>
              <w:rPr>
                <w:rFonts w:ascii="Times New Roman" w:hAnsi="Times New Roman"/>
                <w:sz w:val="24"/>
                <w:szCs w:val="24"/>
              </w:rPr>
              <w:t>VaR</w:t>
            </w:r>
            <w:proofErr w:type="spellEnd"/>
            <w:r>
              <w:rPr>
                <w:rFonts w:ascii="Times New Roman" w:hAnsi="Times New Roman"/>
                <w:sz w:val="24"/>
                <w:szCs w:val="24"/>
              </w:rPr>
              <w:t xml:space="preserve"> na základě interních modelů pro tržní riziko (se zátěžovými parametry pro kalibraci vzorce podle čl. 292 odst. 2 </w:t>
            </w:r>
            <w:proofErr w:type="gramStart"/>
            <w:r>
              <w:rPr>
                <w:rFonts w:ascii="Times New Roman" w:hAnsi="Times New Roman"/>
                <w:sz w:val="24"/>
                <w:szCs w:val="24"/>
              </w:rPr>
              <w:t>prvního</w:t>
            </w:r>
            <w:proofErr w:type="gramEnd"/>
            <w:r>
              <w:rPr>
                <w:rFonts w:ascii="Times New Roman" w:hAnsi="Times New Roman"/>
                <w:sz w:val="24"/>
                <w:szCs w:val="24"/>
              </w:rPr>
              <w:t xml:space="preserve"> pododstavce CRR).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Výpočet zahrnuje použití multiplikátoru v hodnotě nejméně 3 (stanoví orgán dohledu).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Transakce podléhající standardizované metodě</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Transakce, na které se vztahuje standardizovaná metoda pro výpočet kapitálových požadavků k riziku CVA podle článku 384 CRR</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Transakce podléhající alternativnímu přístupu (podle metody původní expozice)</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Transakce, na které se vztahuje alternativní přístup k výpočtu kapitálových požadavků k riziku CVA podle článku 385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Celkem transakce podléhající kapitálovým požadavkům na riziko související s úvěrovou úpravou v ocenění</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Hodnota expozic</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Hodnota expozice, která je určena v souladu s částí třetí hlavou II kapitolou 6 CRR (nebo v případě transakcí v oblasti působnosti čl. 271 odst. 2 CRR v souladu s částí třetí hlavou II kapitolou 4 CRR) pro transakce, které spadají do oblasti působnosti části třetí hlavy VI CRR.</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Hodnotou expozice je hodnota použitá při výpočtu kapitálových požadavků k riziku CVA se zohledněním účinků snižování rizika v souladu s částí třetí hlavou VI CRR. U transakcí, u nichž se používá metoda původní expozice (alternativní přístup) je hodnotou expozice hodnota, která byla použita k výpočtu objemů rizikově vážených expozic.</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Objemy rizikově vážených expozic v souladu s čl. 438 písm. d) a s čl. 92 odst. 3 písm. d) CRR, tj. kapitálové požadavky k riziku CVA vypočtené </w:t>
            </w:r>
            <w:r>
              <w:rPr>
                <w:rFonts w:ascii="Times New Roman" w:hAnsi="Times New Roman"/>
                <w:sz w:val="24"/>
                <w:szCs w:val="24"/>
              </w:rPr>
              <w:lastRenderedPageBreak/>
              <w:t>prostřednictvím vybrané metody a vynásobené koeficientem 12,5 v souladu s čl. 92 odst. 4 písm. b) CRR</w:t>
            </w:r>
          </w:p>
        </w:tc>
      </w:tr>
    </w:tbl>
    <w:p w14:paraId="4FF274D7" w14:textId="18E2DF3A" w:rsidR="005710A4" w:rsidRPr="007F4CC8" w:rsidRDefault="005710A4" w:rsidP="005710A4">
      <w:pPr>
        <w:pStyle w:val="Titlelevel2"/>
        <w:jc w:val="both"/>
        <w:rPr>
          <w:rFonts w:ascii="Times New Roman" w:hAnsi="Times New Roman" w:cs="Times New Roman"/>
          <w:color w:val="auto"/>
          <w:sz w:val="24"/>
        </w:rPr>
      </w:pPr>
      <w:r>
        <w:rPr>
          <w:rFonts w:ascii="Times New Roman" w:hAnsi="Times New Roman"/>
          <w:b/>
          <w:color w:val="auto"/>
          <w:sz w:val="24"/>
        </w:rPr>
        <w:lastRenderedPageBreak/>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CCR3 – Standardizovaný přístup – Expozice s úvěrovým rizikem protistrany podle regulatorních kategorií expozic a rizikové váhy: </w:t>
      </w:r>
      <w:r>
        <w:rPr>
          <w:rFonts w:ascii="Times New Roman" w:hAnsi="Times New Roman"/>
          <w:color w:val="auto"/>
          <w:sz w:val="24"/>
        </w:rPr>
        <w:t>Pevně daný formát</w:t>
      </w:r>
    </w:p>
    <w:p w14:paraId="237929BC" w14:textId="151F49D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444 písm. e)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CCR3, obsažené v příloze XXV tohoto prováděcího nařízení.</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Instituce, které používají standardizovaný přístup k úvěrovému riziku k výpočtu objemů rizikově vážených expozic (s výjimkou těch, které jsou odvozeny z kapitálových požadavků k riziku CVA a k expozicím zúčtovaným prostřednictvím ústřední protistrany) pro všechny své expozice s CCR nebo jejich část v souladu s článkem 107 CRR, bez ohledu na přístup CCR použitý ke stanovení hodnot expozice v souladu s části třetí hlavou II kapitolami 4 a 6 CRR, zveřejňují následující informace</w:t>
      </w:r>
      <w:r>
        <w:rPr>
          <w:rFonts w:ascii="Times New Roman" w:hAnsi="Times New Roman"/>
          <w:bCs w:val="0"/>
          <w:color w:val="auto"/>
          <w:sz w:val="24"/>
        </w:rPr>
        <w:t xml:space="preserv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Pokud má instituce za to, že informace požadované v této šabloně nejsou smysluplné, neboť expozice a objemy rizikově vážených expozic nejsou významné, může se instituce rozhodnout šablonu nezveřejnit. Instituce je však povinna v připojeném komentáři vysvětlit, proč nepovažuje informace za smysluplné, a uvést popis expozic v dotčených portfoliích a celkový součet objemů rizikově vážených expozic z takových expozic.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Kategorie expozic</w:t>
            </w:r>
          </w:p>
          <w:p w14:paraId="6127D200" w14:textId="036BE9CF"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Tyto řádky se týkají regulatorních kategorií expozic ve smyslu části třetí hlavy II kapitoly 4 článků 112 až 134 CRR. V každém řádku se uvádějí příslušné hodnoty expozic (viz definice ve sloupci g</w:t>
            </w:r>
            <w:r w:rsidR="005B280B">
              <w:rPr>
                <w:rFonts w:ascii="Times New Roman" w:hAnsi="Times New Roman"/>
                <w:sz w:val="24"/>
              </w:rPr>
              <w:t>)</w:t>
            </w:r>
            <w:r>
              <w:rPr>
                <w:rFonts w:ascii="Times New Roman" w:hAnsi="Times New Roman"/>
                <w:sz w:val="24"/>
              </w:rPr>
              <w:t xml:space="preserve"> šablony </w:t>
            </w:r>
            <w:r w:rsidR="00CC4769">
              <w:rPr>
                <w:rFonts w:ascii="Times New Roman" w:hAnsi="Times New Roman"/>
                <w:sz w:val="24"/>
              </w:rPr>
              <w:t xml:space="preserve">EU </w:t>
            </w:r>
            <w:r>
              <w:rPr>
                <w:rFonts w:ascii="Times New Roman" w:hAnsi="Times New Roman"/>
                <w:sz w:val="24"/>
              </w:rPr>
              <w:t xml:space="preserve">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Ostatní položky</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Týká se aktiv, na která se použije specifická riziková váha podle části třetí hlavy II kapitoly 4 článku 134 CRR, a veškerých ostatních položek neuvedených v řádcích 1 až 9 této šablony. Rovněž jde o aktiva neodpočtená při použití článku 39 CRR (přeplatky daně, zpětně použité daňové ztráty a odložené daňové pohledávky nezávislé na budoucím zisku), článku 41 CRR (aktiva penzijního fondu definovaných požitků), článků 46 a 469 CRR (nevýznamné investice do kmenového kapitálu </w:t>
            </w:r>
            <w:proofErr w:type="spellStart"/>
            <w:r>
              <w:rPr>
                <w:rFonts w:ascii="Times New Roman" w:hAnsi="Times New Roman"/>
                <w:sz w:val="24"/>
              </w:rPr>
              <w:t>tier</w:t>
            </w:r>
            <w:proofErr w:type="spellEnd"/>
            <w:r>
              <w:rPr>
                <w:rFonts w:ascii="Times New Roman" w:hAnsi="Times New Roman"/>
                <w:sz w:val="24"/>
              </w:rPr>
              <w:t xml:space="preserve"> 1 subjektů finančního sektoru), článku 49 CRR a článku 471 CRR (účasti v pojišťovnách bez ohledu na to, zda pojišťovny podléhají dohledu podle směrnice o konglomerátu), článků 60 a 475 CRR (nevýznamné a významné nepřímé investice do nástrojů zahrnovaných do vedlejšího kapitálu </w:t>
            </w:r>
            <w:proofErr w:type="spellStart"/>
            <w:r>
              <w:rPr>
                <w:rFonts w:ascii="Times New Roman" w:hAnsi="Times New Roman"/>
                <w:sz w:val="24"/>
              </w:rPr>
              <w:t>tier</w:t>
            </w:r>
            <w:proofErr w:type="spellEnd"/>
            <w:r>
              <w:rPr>
                <w:rFonts w:ascii="Times New Roman" w:hAnsi="Times New Roman"/>
                <w:sz w:val="24"/>
              </w:rPr>
              <w:t xml:space="preserve"> 1 vydaných subjekty finančního </w:t>
            </w:r>
            <w:r>
              <w:rPr>
                <w:rFonts w:ascii="Times New Roman" w:hAnsi="Times New Roman"/>
                <w:sz w:val="24"/>
              </w:rPr>
              <w:lastRenderedPageBreak/>
              <w:t xml:space="preserve">sektoru), článků 70 a 477 CRR (nevýznamné a významné přímé, nepřímé a syntetické kapitálové investice do nástrojů zahrnovaných do kapitálu </w:t>
            </w:r>
            <w:proofErr w:type="spellStart"/>
            <w:r>
              <w:rPr>
                <w:rFonts w:ascii="Times New Roman" w:hAnsi="Times New Roman"/>
                <w:sz w:val="24"/>
              </w:rPr>
              <w:t>tier</w:t>
            </w:r>
            <w:proofErr w:type="spellEnd"/>
            <w:r>
              <w:rPr>
                <w:rFonts w:ascii="Times New Roman" w:hAnsi="Times New Roman"/>
                <w:sz w:val="24"/>
              </w:rPr>
              <w:t xml:space="preserve"> 2 vydaných subjektem finančního sektoru), pokud nejsou zařazeny do jiných kategorií expozic a do kvalifikovaných účastí mimo finanční sektor a nepodléhají rizikové váze 1 250 % při použití části druhé hlavy I kapitoly 2 čl. 36 písm. k) CRR.</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lastRenderedPageBreak/>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Celková hodnota expozic</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proofErr w:type="gramStart"/>
            <w:r>
              <w:t>a–k</w:t>
            </w:r>
            <w:proofErr w:type="gramEnd"/>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053509DB"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Tyto sloupce se týkají stupňů úvěrové kvality / rizikových vah podle části třetí hlavy II kapitoly 2 CRR, pro které se uvádějí příslušné hodnoty expozic (viz definice ve sloupci g</w:t>
            </w:r>
            <w:r w:rsidR="005B280B">
              <w:rPr>
                <w:rFonts w:ascii="Times New Roman" w:hAnsi="Times New Roman"/>
                <w:sz w:val="24"/>
              </w:rPr>
              <w:t>)</w:t>
            </w:r>
            <w:r>
              <w:rPr>
                <w:rFonts w:ascii="Times New Roman" w:hAnsi="Times New Roman"/>
                <w:sz w:val="24"/>
              </w:rPr>
              <w:t xml:space="preserve"> šablony </w:t>
            </w:r>
            <w:r w:rsidR="00CC4769">
              <w:rPr>
                <w:rFonts w:ascii="Times New Roman" w:hAnsi="Times New Roman"/>
                <w:sz w:val="24"/>
              </w:rPr>
              <w:t xml:space="preserve">EU </w:t>
            </w:r>
            <w:r>
              <w:rPr>
                <w:rFonts w:ascii="Times New Roman" w:hAnsi="Times New Roman"/>
                <w:sz w:val="24"/>
              </w:rPr>
              <w:t xml:space="preserve">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Celková hodnota expozic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82F09CA" w:rsidR="005710A4" w:rsidRPr="007F4CC8" w:rsidRDefault="005710A4"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CCR4 – Přístup IRB – Expozice s úvěrovým rizikem protistrany podle kategorie expozic a stupnice PD: </w:t>
      </w:r>
      <w:r>
        <w:rPr>
          <w:rFonts w:ascii="Times New Roman" w:hAnsi="Times New Roman"/>
          <w:color w:val="auto"/>
          <w:sz w:val="24"/>
        </w:rPr>
        <w:t>Pevně daný formát</w:t>
      </w:r>
    </w:p>
    <w:p w14:paraId="474B630B" w14:textId="5756514B"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452 písm. g)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 xml:space="preserve">CCR4, obsažené v příloze XXV tohoto prováděcího nařízení.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Instituce, které používají buď pokročilý, nebo základní přístup IRB k výpočtu objemů rizikově vážených expozic (s výjimkou těch, které jsou odvozeny z kapitálových požadavků k riziku CVA a k expozicím zúčtovaným prostřednictvím ústřední protistrany) pro všechny své expozice s CCR nebo jejich část v souladu s článkem 107 CRR, bez ohledu na přístup CCR použitý ke stanovení hodnot expozice v souladu s části třetí hlavou II kapitolami 4 a 6 CRR, zveřejňují následující informace</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až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Stupnice PD</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Expozice s CCR se přiřadí k vhodnému koši pevné stupnice PD na základě PD odhadnuté pro každého dlužníka zařazeného do dané kategorie expozic (bez zohlednění případných substitučních účinků v důsledku existence záruky nebo úvěrového derivátu). Instituce přiřadí jednotlivé expozice k rozmezí PD uvedenému v šabloně s přehlédnutím ke kontinuálním stupnicím. Všechny expozice, u nichž došlo k selhání, se zahrnují do koše PD o hodnotě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lastRenderedPageBreak/>
              <w:t>1 až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Kategorie expozic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Týká se jednotlivých kategorií expozic vyjmenovaných v části třetí hlavě II kapitole 3 článku 147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a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Mezisoučet (kategorie expozice X) / Součet (všechny příslušné kategorie expozice s CCR)</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(Mezi)součet hodnot expozic, objemů rizikově vážených expozic a počtu dlužníků je prostý součet příslušných sloupců. Pokud jde o jednotlivé parametry průměrné PD, průměrné LGD, průměrné splatnosti a hustoty objemů rizikově vážených expozic, použijí se následující definice na vzorek kategorie expozice X nebo na všechny příslušné kategorie expozice s CCR.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Hodnota expozice</w:t>
            </w:r>
          </w:p>
          <w:p w14:paraId="36642B83" w14:textId="1EE16B55"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Hodnota expozice (viz definice ve sloupci g</w:t>
            </w:r>
            <w:r w:rsidR="005B280B">
              <w:rPr>
                <w:rFonts w:ascii="Times New Roman" w:hAnsi="Times New Roman"/>
                <w:sz w:val="24"/>
              </w:rPr>
              <w:t>)</w:t>
            </w:r>
            <w:r>
              <w:rPr>
                <w:rFonts w:ascii="Times New Roman" w:hAnsi="Times New Roman"/>
                <w:sz w:val="24"/>
              </w:rPr>
              <w:t xml:space="preserve"> šablony </w:t>
            </w:r>
            <w:r w:rsidR="00CC4769">
              <w:rPr>
                <w:rFonts w:ascii="Times New Roman" w:hAnsi="Times New Roman"/>
                <w:sz w:val="24"/>
              </w:rPr>
              <w:t xml:space="preserve">EU </w:t>
            </w:r>
            <w:r>
              <w:rPr>
                <w:rFonts w:ascii="Times New Roman" w:hAnsi="Times New Roman"/>
                <w:sz w:val="24"/>
              </w:rPr>
              <w:t>CCR1), členěná podle kategorií expozice a dané stupnice PD podle části třetí hlavy II kapitoly 3 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Expozicí vážená průměrná hodnota PD (%)</w:t>
            </w:r>
          </w:p>
          <w:p w14:paraId="4959E87C" w14:textId="73214738"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Průměr PD jednotlivých ratingových stupňů dlužníka vážených jejich odpovídající hodnotou expozice ve sloupci a</w:t>
            </w:r>
            <w:r w:rsidR="005B280B">
              <w:rPr>
                <w:rFonts w:ascii="Times New Roman" w:hAnsi="Times New Roman"/>
                <w:sz w:val="24"/>
              </w:rPr>
              <w:t>)</w:t>
            </w:r>
            <w:r>
              <w:rPr>
                <w:rFonts w:ascii="Times New Roman" w:hAnsi="Times New Roman"/>
                <w:sz w:val="24"/>
              </w:rPr>
              <w:t xml:space="preserve"> této šablony</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Počet dlužníků</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Počet právních subjektů nebo dlužníků přiřazených ke každému koši pevně stanovené stupnice PD, jež byli ohodnoceni odděleně, bez ohledu na počet různých poskytnutých úvěrů nebo expozic</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Pokud jsou různé expozice vůči stejnému dlužníkovi ohodnoceny samostatně, započítávají se samostatně. K takové situaci může dojít, pokud jsou různým expozicím vůči témuž dlužníkovi přiřazeny různé ratingové stupně dlužníka v souladu s čl. 172 odst. 1 písm. e) druhou větou CRR.</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Expozicí vážená průměrná hodnota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Průměrná hodnota LGD přiřazených ratingovým stupňům dlužníků vážená jejich odpovídající hodnotou expozice</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Uvedená hodnota LGD odpovídá konečnému odhadu LGD použitému pro výpočet kapitálových požadavků získaných po zvážení případných dopadů snižování úvěrového rizika a podmínek hospodářského poklesu.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V případě, že expozice podléhají přístupu dvojího selhání, odpovídá hodnota LGD, která má být zpřístupněna, LGD vybrané v souladu s čl. 161 odst. 4 CRR.</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 případě expozic, u nichž došlo k selhání podle přístupu A-IRB, se zohlední ustanovení čl. 181 odst. 1 písm. h) CRR. Vykázaná LGD odpovídá odhadu LGD v selhání.</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lastRenderedPageBreak/>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Expozicí vážená průměrná splatnost (roky)</w:t>
            </w:r>
          </w:p>
          <w:p w14:paraId="35D0A9DC" w14:textId="2A5914EA"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Průměr splatností dlužníka vážených jejich odpovídající hodnotou expozice ve sloupci a</w:t>
            </w:r>
            <w:r w:rsidR="005B280B">
              <w:rPr>
                <w:rFonts w:ascii="Times New Roman" w:hAnsi="Times New Roman"/>
                <w:sz w:val="24"/>
              </w:rPr>
              <w:t>)</w:t>
            </w:r>
            <w:r>
              <w:rPr>
                <w:rFonts w:ascii="Times New Roman" w:hAnsi="Times New Roman"/>
                <w:sz w:val="24"/>
              </w:rPr>
              <w:t xml:space="preserve"> této šablony.</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Vykazovaná hodnota splatnosti se určí v souladu s článkem 162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Objemy rizikově vážených expozic vypočtené podle požadavků stanovených v části třetí hlavě II kapitole 3 CRR; u expozic vůči ústředním vládám a centrálním bankám, institucím a podnikům objem rizikově vážené expozice vypočtený v souladu s čl. 153 odst. 1 až 4 CRR; zohledňují se podpůrné koeficienty pro malé a střední podniky a infrastrukturu podle článků 501 a 501a CRR; u akciových expozic podle přístupu PD/LGD objem rizikově vážené expozice vypočtený v souladu s čl. 155 odst. 3 CRR.</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Hustota objemů rizikově vážených expozic</w:t>
            </w:r>
          </w:p>
          <w:p w14:paraId="4D404572" w14:textId="17175200"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Poměr mezi celkovým objemem rizikově vážených expozic (ve sloupci f</w:t>
            </w:r>
            <w:r w:rsidR="005B280B">
              <w:rPr>
                <w:rFonts w:ascii="Times New Roman" w:hAnsi="Times New Roman"/>
                <w:sz w:val="24"/>
              </w:rPr>
              <w:t>)</w:t>
            </w:r>
            <w:r>
              <w:rPr>
                <w:rFonts w:ascii="Times New Roman" w:hAnsi="Times New Roman"/>
                <w:sz w:val="24"/>
              </w:rPr>
              <w:t xml:space="preserve"> této šablony) a hodnotou expozice (ve sloupci a</w:t>
            </w:r>
            <w:r w:rsidR="005B280B">
              <w:rPr>
                <w:rFonts w:ascii="Times New Roman" w:hAnsi="Times New Roman"/>
                <w:sz w:val="24"/>
              </w:rPr>
              <w:t>)</w:t>
            </w:r>
            <w:r>
              <w:rPr>
                <w:rFonts w:ascii="Times New Roman" w:hAnsi="Times New Roman"/>
                <w:sz w:val="24"/>
              </w:rPr>
              <w:t xml:space="preserve"> této šablony)</w:t>
            </w:r>
          </w:p>
        </w:tc>
      </w:tr>
    </w:tbl>
    <w:p w14:paraId="7B815329" w14:textId="77777777" w:rsidR="005710A4" w:rsidRPr="00320783" w:rsidRDefault="005710A4" w:rsidP="005710A4">
      <w:pPr>
        <w:pStyle w:val="Titlelevel2"/>
        <w:spacing w:before="0"/>
        <w:rPr>
          <w:rFonts w:ascii="Times New Roman" w:hAnsi="Times New Roman" w:cs="Times New Roman"/>
          <w:color w:val="auto"/>
          <w:sz w:val="24"/>
        </w:rPr>
      </w:pPr>
    </w:p>
    <w:p w14:paraId="2B605431" w14:textId="51866E65" w:rsidR="005710A4" w:rsidRPr="007F4CC8"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CCR5 – Složení kolaterálu pro expozice s úvěrovým rizikem protistrany: </w:t>
      </w:r>
      <w:r>
        <w:rPr>
          <w:rFonts w:ascii="Times New Roman" w:hAnsi="Times New Roman"/>
          <w:color w:val="auto"/>
          <w:sz w:val="24"/>
        </w:rPr>
        <w:t>Pevně dané sloupce</w:t>
      </w:r>
    </w:p>
    <w:p w14:paraId="298A9EDD" w14:textId="1518979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439 písm. e)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CCR5, obsažené v příloze XXV tohoto prováděcího nařízení.</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V této šabloně se uvede reálná hodnota kolaterálu (poskytnutého nebo obdrženého) použitého v expozicích s CCR týkajících se derivátových transakcí nebo transakcí s financováním cenných papírů, bez ohledu na to, zda jsou zúčtovány prostřednictvím ústřední protistrany a zda je ústřední protistraně poskytnut kolaterál, či nikoli.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Pokud centrální banka členského státu poskytuje pomoc v oblasti likvidity v podobě </w:t>
      </w:r>
      <w:proofErr w:type="spellStart"/>
      <w:r>
        <w:rPr>
          <w:rFonts w:ascii="Times New Roman" w:hAnsi="Times New Roman"/>
          <w:bCs w:val="0"/>
          <w:color w:val="000000"/>
          <w:sz w:val="24"/>
        </w:rPr>
        <w:t>kolaterálových</w:t>
      </w:r>
      <w:proofErr w:type="spellEnd"/>
      <w:r>
        <w:rPr>
          <w:rFonts w:ascii="Times New Roman" w:hAnsi="Times New Roman"/>
          <w:bCs w:val="0"/>
          <w:color w:val="000000"/>
          <w:sz w:val="24"/>
        </w:rPr>
        <w:t xml:space="preserve"> swapů, může příslušný orgán osvobodit instituce od poskytování informací v této šabloně, má-li za to, že poskytnutím těchto informací by mohlo být nouzové poskytnutí likvidity odkryto. Pro tyto účely stanoví příslušný orgán náležité prahové hodnoty a objektivní kritéria.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Odkazy na právní předpisy a pokyny</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Typ kolaterálu</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Členění podle druhu kolaterálu</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Celkem</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a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Oddělený</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Kolaterál, který je držen jako odolný vůči úpadku ve smyslu čl. 300 odst. 1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a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Neoddělený</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Kolaterál, který není držen jako odolný vůči úpadku ve smyslu čl. 300 odst. 1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až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Kolaterál použitý v transakcích s deriváty</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Kolaterál (včetně počáteční marže a variační marže), který se používá v expozicích s CCR v souvislosti s jakýmkoli derivátovým nástrojem uvedeným v příloze II CRR nebo s transakcí s delší dobou vypořádání podle čl. 271 odst. 2 CCR, kterou nelze považovat za transakci s financováním cenných papírů.</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až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 xml:space="preserve">Kolaterál </w:t>
            </w:r>
            <w:proofErr w:type="gramStart"/>
            <w:r>
              <w:rPr>
                <w:rFonts w:ascii="Times New Roman" w:hAnsi="Times New Roman"/>
                <w:b/>
                <w:sz w:val="24"/>
              </w:rPr>
              <w:t>použitý v SFT</w:t>
            </w:r>
            <w:proofErr w:type="gramEnd"/>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Kolaterál (včetně počáteční marže a variační marže, jakož i kolaterálu uvedeného jako zajištění transakce s financováním cenných papírů), který se používá v expozicích s CCR v souvislosti s jakoukoli transakcí s financováním cenných papírů nebo transakcí s delší dobou vypořádání, kterou nelze považovat za derivátovou</w:t>
            </w:r>
          </w:p>
        </w:tc>
      </w:tr>
    </w:tbl>
    <w:p w14:paraId="496D5A35" w14:textId="77777777" w:rsidR="005710A4" w:rsidRPr="00320783" w:rsidRDefault="005710A4" w:rsidP="005710A4">
      <w:pPr>
        <w:pStyle w:val="Titlelevel2"/>
        <w:spacing w:before="0"/>
        <w:rPr>
          <w:rFonts w:ascii="Times New Roman" w:hAnsi="Times New Roman" w:cs="Times New Roman"/>
          <w:color w:val="auto"/>
          <w:sz w:val="24"/>
        </w:rPr>
      </w:pPr>
    </w:p>
    <w:p w14:paraId="032A765A" w14:textId="645C0BA1" w:rsidR="005710A4" w:rsidRPr="00DD0C4D"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CCR6 – Expozice úvěrových derivátů: </w:t>
      </w:r>
      <w:r>
        <w:rPr>
          <w:rFonts w:ascii="Times New Roman" w:hAnsi="Times New Roman"/>
          <w:color w:val="auto"/>
          <w:sz w:val="24"/>
        </w:rPr>
        <w:t>Pevně daný formát</w:t>
      </w:r>
    </w:p>
    <w:p w14:paraId="0F0B1F09" w14:textId="426C53FE"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439 písm. j)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CCR6, obsažené v příloze XXV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lastRenderedPageBreak/>
              <w:t>Řádek</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Pomyslné hodnoty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Součet absolutních pomyslných derivátových částek před započtením v členění podle typu produktu</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Reálné hodnoty</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Reálné hodnoty členěné podle aktiv (kladné reálné hodnoty) a závazků (záporné reálné hodnoty)</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proofErr w:type="gramStart"/>
            <w:r>
              <w:rPr>
                <w:rFonts w:ascii="Times New Roman" w:hAnsi="Times New Roman"/>
                <w:sz w:val="24"/>
              </w:rPr>
              <w:t>a–b</w:t>
            </w:r>
            <w:proofErr w:type="gramEnd"/>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Zajištění úvěrových derivátů</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Zajištění úvěrových derivátů nakoupené nebo prodané v souladu s částí třetí hlavou II kapitolou 6 CRR</w:t>
            </w:r>
          </w:p>
        </w:tc>
      </w:tr>
    </w:tbl>
    <w:p w14:paraId="167E06C3" w14:textId="77777777" w:rsidR="005710A4" w:rsidRPr="00320783" w:rsidRDefault="005710A4" w:rsidP="005710A4">
      <w:pPr>
        <w:pStyle w:val="Titlelevel2"/>
        <w:spacing w:before="0"/>
        <w:rPr>
          <w:rFonts w:ascii="Times New Roman" w:hAnsi="Times New Roman" w:cs="Times New Roman"/>
          <w:color w:val="auto"/>
          <w:sz w:val="24"/>
        </w:rPr>
      </w:pPr>
    </w:p>
    <w:p w14:paraId="7BD61990" w14:textId="56F5D490"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CCR7 – Tokové výkazy objemů rizikově vážených expozic o expozicích s úvěrovým rizikem protistrany podle metody interního modelu: </w:t>
      </w:r>
      <w:r>
        <w:rPr>
          <w:rFonts w:ascii="Times New Roman" w:hAnsi="Times New Roman"/>
          <w:color w:val="auto"/>
          <w:sz w:val="24"/>
        </w:rPr>
        <w:t>Pevně daný formát</w:t>
      </w:r>
    </w:p>
    <w:p w14:paraId="5F9FA864" w14:textId="2140CBC0"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438 písm. h)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CCR7, obsažené v příloze XXV tohoto prováděcího nařízení.</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Instituce, které používají metodu interního modelu pro výpočet objemů rizikově vážených expozic pro všechny expozice s CCR nebo jejich část v souladu s částí třetí hlavou II kapitolou 6 CRR, bez ohledu na přístup k úvěrovému riziku použitý ke stanovení odpovídajících rizikových vah, zpřístupní výkaz o tocích vysvětlující změny objemů rizikově vážených expozic derivátů a SFT v rozsahu působnosti metody interního modelu v rozlišení podle klíčových faktorů a na základě přiměřených odhadů.</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Tato šablona nezahrnuje objemy rizikově vážených expozic k riziku CVA (část třetí hlava VI CRR) a expozice vůči ústřední protistraně (část třetí hlava II kapitola 6 oddíl 9 CRR).</w:t>
      </w:r>
    </w:p>
    <w:p w14:paraId="270DF823" w14:textId="3968C7F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Instituce zveřejní toky RWEA jako změny mezi objemy rizikově vážených expozic ke konci referenčního </w:t>
      </w:r>
      <w:r w:rsidR="00CC4769">
        <w:rPr>
          <w:rFonts w:ascii="Times New Roman" w:hAnsi="Times New Roman"/>
          <w:color w:val="auto"/>
          <w:sz w:val="24"/>
        </w:rPr>
        <w:t>období</w:t>
      </w:r>
      <w:r>
        <w:rPr>
          <w:rFonts w:ascii="Times New Roman" w:hAnsi="Times New Roman"/>
          <w:color w:val="auto"/>
          <w:sz w:val="24"/>
        </w:rPr>
        <w:t xml:space="preserve"> zpřístupňování informací (jak je uvedeno níže v řádku 9 této šablony) a objemy rizikově vážených expozic ke konci předchozího referenčního </w:t>
      </w:r>
      <w:r w:rsidR="00CC4769">
        <w:rPr>
          <w:rFonts w:ascii="Times New Roman" w:hAnsi="Times New Roman"/>
          <w:color w:val="auto"/>
          <w:sz w:val="24"/>
        </w:rPr>
        <w:t>období</w:t>
      </w:r>
      <w:r>
        <w:rPr>
          <w:rFonts w:ascii="Times New Roman" w:hAnsi="Times New Roman"/>
          <w:color w:val="auto"/>
          <w:sz w:val="24"/>
        </w:rPr>
        <w:t xml:space="preserve"> zpřístupňování informací (jak je uvedeno níže v řádku 1 této šablony</w:t>
      </w:r>
      <w:r>
        <w:rPr>
          <w:rFonts w:ascii="Times New Roman" w:hAnsi="Times New Roman"/>
          <w:bCs w:val="0"/>
          <w:color w:val="auto"/>
          <w:sz w:val="24"/>
        </w:rPr>
        <w:t xml:space="preserve">; v případě čtvrtletně zpřístupňovaných informací ke konci čtvrtletí před čtvrtletím referenčního </w:t>
      </w:r>
      <w:r w:rsidR="00CC4769">
        <w:rPr>
          <w:rFonts w:ascii="Times New Roman" w:hAnsi="Times New Roman"/>
          <w:bCs w:val="0"/>
          <w:color w:val="auto"/>
          <w:sz w:val="24"/>
        </w:rPr>
        <w:t>období</w:t>
      </w:r>
      <w:r>
        <w:rPr>
          <w:rFonts w:ascii="Times New Roman" w:hAnsi="Times New Roman"/>
          <w:bCs w:val="0"/>
          <w:color w:val="auto"/>
          <w:sz w:val="24"/>
        </w:rPr>
        <w:t xml:space="preserve"> zpřístupňování informací). Instituce mohou své zpřístupněné informace podle pilíře 3 doplnit zveřejněním týchž informací za tři předchozí čtvrtletí.</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lastRenderedPageBreak/>
        <w:t>Instituce v komentáři přiloženém k šabloně vysvětlí číselné údaje v řádku 8 této šablony, tj. případné další faktory, které významně přispívají k odchylkám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Objem rizikově vážených expozic (RWEA) na konci předchozího období, za něž se informace zpřístupňují</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Objemy rizikově vážených expozic pro expozice s CCR v rámci metody interního modelu na konci předchozího období, za něž se informace zpřístupňují</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Výše aktiv</w:t>
            </w:r>
          </w:p>
          <w:p w14:paraId="0373C5C0" w14:textId="021A07B2" w:rsidR="005710A4" w:rsidRPr="007F4CC8" w:rsidRDefault="005710A4" w:rsidP="00A03748">
            <w:pPr>
              <w:spacing w:after="240"/>
              <w:jc w:val="both"/>
              <w:rPr>
                <w:rFonts w:ascii="Times New Roman" w:hAnsi="Times New Roman" w:cs="Times New Roman"/>
                <w:sz w:val="24"/>
              </w:rPr>
            </w:pPr>
            <w:r>
              <w:rPr>
                <w:rFonts w:ascii="Times New Roman" w:hAnsi="Times New Roman"/>
                <w:sz w:val="24"/>
              </w:rPr>
              <w:t>Změny RWEA (kladné nebo záporné) v důsledku běžných změn ve velikosti a složení portfolia (včetně vzniku nových podniků a splatných expozic), ale s vyloučením změn ve velikosti portfolia v důsledku převzetí a zcizení subjektů</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Úvěrová kvalita protistran</w:t>
            </w:r>
          </w:p>
          <w:p w14:paraId="0CD63849" w14:textId="5CBCFE44"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Změny RWEA (kladné nebo záporné) v důsledku změn v hodnocení kvality protistran instituce měřených podle rámce pro úvěrové riziko bez ohledu na přístup, který instituce používá</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Tento řádek obsahuje možné změny RWEA v důsledku modelů IRB, pokud instituce používá přístup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Aktualizace modelu (pouze metoda interního modelu)</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Změny RWEA (kladné nebo záporné) v důsledku zavedení modelu, změn v rozsahu modelu nebo jakýchkoli změn určených k řešení slabých stránek modelu</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Tento řádek bude odrážet pouze změny metody interního modelu.</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Metodika a zásady (pouze metoda interního modelu)</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Změny RWEA (kladné nebo záporné) v důsledku metodických změn ve výpočtech způsobených změnami regulační politiky, například novými předpisy (pouze v případě metody interního modelu)</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Převzetí a zcizení</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Změny RWEA (kladné nebo záporné) v důsledku změn velikosti portfolia v důsledku nabytí a pozbytí subjektů</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Devizové pohyby</w:t>
            </w:r>
          </w:p>
          <w:p w14:paraId="76E6FC87" w14:textId="035E8CA7" w:rsidR="005710A4" w:rsidRPr="007F4CC8" w:rsidRDefault="005710A4" w:rsidP="00A03748">
            <w:pPr>
              <w:spacing w:after="240"/>
              <w:jc w:val="both"/>
              <w:rPr>
                <w:rFonts w:ascii="Times New Roman" w:hAnsi="Times New Roman" w:cs="Times New Roman"/>
                <w:sz w:val="24"/>
              </w:rPr>
            </w:pPr>
            <w:r>
              <w:rPr>
                <w:rFonts w:ascii="Times New Roman" w:hAnsi="Times New Roman"/>
                <w:sz w:val="24"/>
              </w:rPr>
              <w:lastRenderedPageBreak/>
              <w:t>Změny RWEA (kladné nebo záporné) v důsledku změn vyplývajících z pohybů přepočtů cizích měn</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Ostatní</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Tato kategorie se použije k zachycení změn RWEA (kladných nebo záporných), které nelze zařadit do výše uvedených kategorií. V tomto řádku instituce uvedou součet těchto změn RWEA. V komentáři připojeném k této šabloně instituce dále popíší jakékoli jiné podstatné faktory pohybů rizikově vážených objemů za období, za něž se informace zpřístupňují.</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na konci běžného období, za něž se informace zpřístupňují</w:t>
            </w:r>
          </w:p>
          <w:p w14:paraId="747E8477" w14:textId="2B99FEB2" w:rsidR="005710A4" w:rsidRPr="007F4CC8" w:rsidRDefault="005710A4" w:rsidP="00A03748">
            <w:pPr>
              <w:spacing w:after="240"/>
              <w:jc w:val="both"/>
              <w:rPr>
                <w:rFonts w:ascii="Times New Roman" w:hAnsi="Times New Roman" w:cs="Times New Roman"/>
                <w:i/>
                <w:sz w:val="24"/>
              </w:rPr>
            </w:pPr>
            <w:r>
              <w:rPr>
                <w:rFonts w:ascii="Times New Roman" w:hAnsi="Times New Roman"/>
                <w:sz w:val="24"/>
              </w:rPr>
              <w:t>Objemy rizikově vážených expozic pro expozice s CCR v rámci metody interního modelu na konci běžného období, za něž se informace zpřístupňují</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Vysvětlení</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102F581F"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CCR8 – Expozice vůči ústředním protistranám: </w:t>
      </w:r>
      <w:r>
        <w:rPr>
          <w:rFonts w:ascii="Times New Roman" w:hAnsi="Times New Roman"/>
          <w:color w:val="auto"/>
          <w:sz w:val="24"/>
        </w:rPr>
        <w:t>Pevně daný formát</w:t>
      </w:r>
      <w:r>
        <w:rPr>
          <w:rFonts w:ascii="Times New Roman" w:hAnsi="Times New Roman"/>
          <w:b/>
          <w:color w:val="auto"/>
          <w:sz w:val="24"/>
        </w:rPr>
        <w:t xml:space="preserve"> </w:t>
      </w:r>
    </w:p>
    <w:p w14:paraId="7482DAFB" w14:textId="5315C07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Informace uvedené v čl. 439 písm. i) CRR zpřístupňují instituce podle následujících pokynů k vyplnění šablony </w:t>
      </w:r>
      <w:r w:rsidR="00CC4769">
        <w:rPr>
          <w:rFonts w:ascii="Times New Roman" w:hAnsi="Times New Roman"/>
          <w:bCs w:val="0"/>
          <w:color w:val="000000"/>
          <w:sz w:val="24"/>
        </w:rPr>
        <w:t xml:space="preserve">EU </w:t>
      </w:r>
      <w:r>
        <w:rPr>
          <w:rFonts w:ascii="Times New Roman" w:hAnsi="Times New Roman"/>
          <w:bCs w:val="0"/>
          <w:color w:val="000000"/>
          <w:sz w:val="24"/>
        </w:rPr>
        <w:t>CCR8, obsažené v příloze XXV tohoto prováděcího nařízení.</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Expozice vůči ústředním protistranám: Smlouvy a transakce vyjmenované v čl. 301 odst. 1 CRR, které dosud nebyly s ústřední protistranou vypořádány, včetně expozic z transakcí souvisejících s ústřední protistranou v souladu s čl. 300 odst. 2 CRR, pro něž se vypočítávají kapitálové požadavky v souladu s částí třetí hlavou II kapitolou 6 oddílem 9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Způsobilá ústřední protistrana</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Způsobilá ústřední protistrana ve smyslu čl. 4 odst. 1 bodu 88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a 8</w:t>
            </w:r>
          </w:p>
          <w:p w14:paraId="5F527E02" w14:textId="4FC16A22" w:rsidR="005710A4" w:rsidRPr="007F4CC8" w:rsidRDefault="00F40A8B" w:rsidP="00BC5D5C">
            <w:pPr>
              <w:pStyle w:val="Fait"/>
              <w:spacing w:before="0" w:after="240"/>
              <w:jc w:val="center"/>
            </w:pPr>
            <w:r>
              <w:t>17 a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Počáteční marže</w:t>
            </w:r>
          </w:p>
          <w:p w14:paraId="2415FFD0" w14:textId="000D2F1D"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Instituce uvedou reálné hodnoty obdrženého nebo poskytnutého kolaterálu jako počáteční marži definovanou v čl. 4 odst. 1 bodě 140 CRR</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Pro účely této šablony počáteční marže nezahrnuje příspěvky ústřední protistraně za rozložené sdílení ztráty (tj. v případech, kdy ústřední protistrana </w:t>
            </w:r>
            <w:r>
              <w:rPr>
                <w:rFonts w:ascii="Times New Roman" w:hAnsi="Times New Roman"/>
                <w:sz w:val="24"/>
              </w:rPr>
              <w:lastRenderedPageBreak/>
              <w:t xml:space="preserve">použije počáteční marži k rozložení ztrát mezi členy clearingového systému, bude považována za expozici z příspěvků fondu pro riziko selhání).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lastRenderedPageBreak/>
              <w:t>9 a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Předfinancované příspěvky do fondu pro riziko selhání</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Příspěvek do fondu pro riziko selhání zřízeného ústřední protistranou, který instituce platí.</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„Fond pro riziko selhání“ je vymezen v čl. 4 odst. 1 </w:t>
            </w:r>
            <w:proofErr w:type="gramStart"/>
            <w:r>
              <w:rPr>
                <w:rFonts w:ascii="Times New Roman" w:hAnsi="Times New Roman"/>
                <w:sz w:val="24"/>
              </w:rPr>
              <w:t>bodě</w:t>
            </w:r>
            <w:proofErr w:type="gramEnd"/>
            <w:r>
              <w:rPr>
                <w:rFonts w:ascii="Times New Roman" w:hAnsi="Times New Roman"/>
                <w:sz w:val="24"/>
              </w:rPr>
              <w:t xml:space="preserve"> 89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Nefinancované příspěvky do fondu pro riziko selhání</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Příspěvky, které má instituce působící jako člen clearingového systému na základě smluvního závazku poskytnout ústřední protistraně poté, co tato ústřední protistrana vyčerpala svůj fond pro riziko selhání na pokrytí ztrát vzniklých v důsledku selhání jednoho nebo více členů jejího clearingového systému. „Fond pro riziko selhání“ je vymezen v čl. 4 odst. 1 </w:t>
            </w:r>
            <w:proofErr w:type="gramStart"/>
            <w:r>
              <w:rPr>
                <w:rFonts w:ascii="Times New Roman" w:hAnsi="Times New Roman"/>
                <w:sz w:val="24"/>
              </w:rPr>
              <w:t>bodě</w:t>
            </w:r>
            <w:proofErr w:type="gramEnd"/>
            <w:r>
              <w:rPr>
                <w:rFonts w:ascii="Times New Roman" w:hAnsi="Times New Roman"/>
                <w:sz w:val="24"/>
              </w:rPr>
              <w:t xml:space="preserve"> 89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a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Oddělený</w:t>
            </w:r>
          </w:p>
          <w:p w14:paraId="50393526" w14:textId="1AA380DA"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Viz definice v šabloně </w:t>
            </w:r>
            <w:r w:rsidR="00CC4769">
              <w:rPr>
                <w:rFonts w:ascii="Times New Roman" w:hAnsi="Times New Roman"/>
                <w:sz w:val="24"/>
              </w:rPr>
              <w:t xml:space="preserve">EU </w:t>
            </w:r>
            <w:r>
              <w:rPr>
                <w:rFonts w:ascii="Times New Roman" w:hAnsi="Times New Roman"/>
                <w:sz w:val="24"/>
              </w:rPr>
              <w:t>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a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Neoddělený</w:t>
            </w:r>
          </w:p>
          <w:p w14:paraId="7E296D70" w14:textId="38E43F6C"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Viz definice v šabloně </w:t>
            </w:r>
            <w:r w:rsidR="00CC4769">
              <w:rPr>
                <w:rFonts w:ascii="Times New Roman" w:hAnsi="Times New Roman"/>
                <w:sz w:val="24"/>
              </w:rPr>
              <w:t xml:space="preserve">EU </w:t>
            </w:r>
            <w:r>
              <w:rPr>
                <w:rFonts w:ascii="Times New Roman" w:hAnsi="Times New Roman"/>
                <w:sz w:val="24"/>
              </w:rPr>
              <w:t>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Vysvětlení</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Hodnota expozice</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Hodnota expozice vypočtená v souladu s metodami stanovenými v části třetí hlavě II kapitolách 4 a 6 CRR pro transakce v oblasti působnosti části třetí hlavy II kapitoly 6 oddílu 9 CRR po uplatnění příslušných úprav podle článků 304, 306 a 308 uvedeného oddílu.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Expozicí může být obchodní expozice ve smyslu čl. 4 odst. 1 bodu 91 CRR. Zpřístupněnou hodnotou expozice je částka relevantní pro výpočet kapitálových požadavků v souladu s částí třetí hlavou II kapitolou 6 oddílem 9 CRR při zohlednění požadavků článku 497 CRR během přechodného období stanoveného v uvedeném článku.</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2488AFAE" w:rsidR="005710A4" w:rsidRPr="007F4CC8" w:rsidRDefault="005710A4" w:rsidP="00A03748">
            <w:pPr>
              <w:keepNext/>
              <w:spacing w:after="240"/>
              <w:jc w:val="both"/>
              <w:rPr>
                <w:rFonts w:ascii="Times New Roman" w:eastAsia="Times New Roman" w:hAnsi="Times New Roman" w:cs="Times New Roman"/>
                <w:sz w:val="24"/>
              </w:rPr>
            </w:pPr>
            <w:r>
              <w:rPr>
                <w:rFonts w:ascii="Times New Roman" w:hAnsi="Times New Roman"/>
                <w:sz w:val="24"/>
              </w:rPr>
              <w:t xml:space="preserve">Objemy rizikově vážených expozic podle čl. 92 odst. 3 písm. a) CRR </w:t>
            </w:r>
            <w:r>
              <w:rPr>
                <w:rFonts w:ascii="Times New Roman" w:hAnsi="Times New Roman"/>
                <w:color w:val="000000"/>
                <w:sz w:val="24"/>
              </w:rPr>
              <w:t xml:space="preserve">vypočtené v souladu s </w:t>
            </w:r>
            <w:r>
              <w:rPr>
                <w:rFonts w:ascii="Times New Roman" w:hAnsi="Times New Roman"/>
                <w:sz w:val="24"/>
              </w:rPr>
              <w:t>částí třetí hlavou II kapitolou 6 oddílem 9 článkem 107 CRR</w:t>
            </w:r>
          </w:p>
        </w:tc>
      </w:tr>
    </w:tbl>
    <w:p w14:paraId="5E5AD0AE" w14:textId="77777777" w:rsidR="005710A4" w:rsidRPr="00320783"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 xml:space="preserve">PŘÍLOHA XXVIII – Pokyny k zpřístupňování informací o expozicích vůči </w:t>
      </w:r>
      <w:proofErr w:type="spellStart"/>
      <w:r>
        <w:t>sekuritizovaným</w:t>
      </w:r>
      <w:proofErr w:type="spellEnd"/>
      <w:r>
        <w:t xml:space="preserve"> pozicím</w:t>
      </w:r>
    </w:p>
    <w:p w14:paraId="41E22AA6" w14:textId="0BB865DB" w:rsidR="00FD656A" w:rsidRPr="007F4CC8" w:rsidRDefault="00FD656A" w:rsidP="00FD656A">
      <w:pPr>
        <w:rPr>
          <w:rFonts w:ascii="Times New Roman" w:hAnsi="Times New Roman" w:cs="Times New Roman"/>
          <w:b/>
          <w:sz w:val="24"/>
        </w:rPr>
      </w:pPr>
      <w:r>
        <w:rPr>
          <w:rFonts w:ascii="Times New Roman" w:hAnsi="Times New Roman"/>
          <w:b/>
          <w:sz w:val="24"/>
        </w:rPr>
        <w:t xml:space="preserve">Tabulka </w:t>
      </w:r>
      <w:r w:rsidR="00CC4769">
        <w:rPr>
          <w:rFonts w:ascii="Times New Roman" w:hAnsi="Times New Roman"/>
          <w:b/>
          <w:sz w:val="24"/>
        </w:rPr>
        <w:t xml:space="preserve">EU </w:t>
      </w:r>
      <w:r>
        <w:rPr>
          <w:rFonts w:ascii="Times New Roman" w:hAnsi="Times New Roman"/>
          <w:b/>
          <w:sz w:val="24"/>
        </w:rPr>
        <w:t xml:space="preserve">SECA – Požadavky na zpřístupnění kvalitativních informací, které se týkají sekuritizovaných expozic. </w:t>
      </w:r>
      <w:r>
        <w:rPr>
          <w:rFonts w:ascii="Times New Roman" w:hAnsi="Times New Roman"/>
          <w:sz w:val="24"/>
        </w:rPr>
        <w:t>Pole s volně zadávanými kvalitativními informacemi</w:t>
      </w:r>
    </w:p>
    <w:p w14:paraId="1C8AFCD2" w14:textId="0CF346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Informace uvedené v čl. 449 písm. a) až i) nařízení (EU) č. 575/2013</w:t>
      </w:r>
      <w:r w:rsidRPr="007F4CC8">
        <w:rPr>
          <w:rStyle w:val="FootnoteReference"/>
          <w:bCs/>
        </w:rPr>
        <w:footnoteReference w:id="42"/>
      </w:r>
      <w:r>
        <w:rPr>
          <w:rFonts w:ascii="Times New Roman" w:hAnsi="Times New Roman"/>
          <w:bCs/>
          <w:sz w:val="24"/>
        </w:rPr>
        <w:t xml:space="preserve"> (dále jen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SECA, obsažené v příloze XXVII tohoto prováděcího nařízení.</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2553A3E0" w14:textId="77777777" w:rsidTr="00155C96">
        <w:trPr>
          <w:trHeight w:val="316"/>
        </w:trPr>
        <w:tc>
          <w:tcPr>
            <w:tcW w:w="1413" w:type="dxa"/>
          </w:tcPr>
          <w:p w14:paraId="31377940" w14:textId="653CCD05"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Popis sekuritizačních a resekuritizačních činností, včetně řízení rizik a investičních cílů ve spojení s těmito činnostmi, úlohy v sekuritizačních a resekuritizačních transakcích, zda používají rámec pro jednoduché, transparentní a standardizované (STS) sekuritizace, a rozsahu, ve kterém používají sekuritizační transakce k přenosu úvěrového rizika sekuritizovaných expozic na třetí strany, případně se samostatným popisem strategie přenosu rizika v rámci syntetické sekuritizace, v souladu s čl. 449 písm. a) CRR</w:t>
            </w:r>
          </w:p>
        </w:tc>
      </w:tr>
      <w:tr w:rsidR="00FD656A" w:rsidRPr="007F4CC8" w14:paraId="16B56EE8" w14:textId="77777777" w:rsidTr="00155C96">
        <w:trPr>
          <w:trHeight w:val="316"/>
        </w:trPr>
        <w:tc>
          <w:tcPr>
            <w:tcW w:w="1413" w:type="dxa"/>
          </w:tcPr>
          <w:p w14:paraId="14C29B06" w14:textId="05394B6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Druh rizika, kterému jsou instituce vystaveny ve svých sekuritizačních a resekuritizačních činnostech podle pořadí přednosti příslušných sekuritizovaných pozic s rozlišením STS a jiných než STS pozic a dále:</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riziko ponechané v transakcích, jejichž původcem je sama instituce;</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 riziko vzniklé v souvislosti s transakcemi, jejichž původcem je třetí strana,</w:t>
            </w:r>
          </w:p>
          <w:p w14:paraId="708E1B2D" w14:textId="0569A959"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 souladu s čl. 449 písm. b) CRR</w:t>
            </w:r>
            <w:r w:rsidR="00A03748">
              <w:rPr>
                <w:rFonts w:ascii="Times New Roman" w:hAnsi="Times New Roman"/>
                <w:sz w:val="24"/>
              </w:rPr>
              <w:t>.</w:t>
            </w:r>
          </w:p>
        </w:tc>
      </w:tr>
      <w:tr w:rsidR="00FD656A" w:rsidRPr="007F4CC8" w14:paraId="7D26D833" w14:textId="77777777" w:rsidTr="00155C96">
        <w:trPr>
          <w:trHeight w:val="316"/>
        </w:trPr>
        <w:tc>
          <w:tcPr>
            <w:tcW w:w="1413" w:type="dxa"/>
          </w:tcPr>
          <w:p w14:paraId="496C80F0" w14:textId="2D89F552"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7A6E1E7D"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Přístupy k výpočtu objemů rizikově vážených expozic, které instituce používá v souvislosti se </w:t>
            </w:r>
            <w:proofErr w:type="spellStart"/>
            <w:r>
              <w:rPr>
                <w:rFonts w:ascii="Times New Roman" w:hAnsi="Times New Roman"/>
                <w:iCs/>
                <w:sz w:val="24"/>
              </w:rPr>
              <w:t>sekuritizačními</w:t>
            </w:r>
            <w:proofErr w:type="spellEnd"/>
            <w:r>
              <w:rPr>
                <w:rFonts w:ascii="Times New Roman" w:hAnsi="Times New Roman"/>
                <w:iCs/>
                <w:sz w:val="24"/>
              </w:rPr>
              <w:t xml:space="preserve"> činnostmi, včetně informace, jaký přístup se používá pro jaký druh </w:t>
            </w:r>
            <w:proofErr w:type="spellStart"/>
            <w:r>
              <w:rPr>
                <w:rFonts w:ascii="Times New Roman" w:hAnsi="Times New Roman"/>
                <w:iCs/>
                <w:sz w:val="24"/>
              </w:rPr>
              <w:t>sekuritizované</w:t>
            </w:r>
            <w:proofErr w:type="spellEnd"/>
            <w:r>
              <w:rPr>
                <w:rFonts w:ascii="Times New Roman" w:hAnsi="Times New Roman"/>
                <w:iCs/>
                <w:sz w:val="24"/>
              </w:rPr>
              <w:t xml:space="preserve"> pozice, s rozlišením STS a jiných než STS pozic, v souladu s čl. 449 písm. c) CRR</w:t>
            </w:r>
            <w:r w:rsidR="00A03748">
              <w:rPr>
                <w:rFonts w:ascii="Times New Roman" w:hAnsi="Times New Roman"/>
                <w:iCs/>
                <w:sz w:val="24"/>
              </w:rPr>
              <w:t>.</w:t>
            </w:r>
          </w:p>
        </w:tc>
      </w:tr>
      <w:tr w:rsidR="00FD656A" w:rsidRPr="007F4CC8" w14:paraId="72D476FA" w14:textId="77777777" w:rsidTr="00155C96">
        <w:trPr>
          <w:trHeight w:val="316"/>
        </w:trPr>
        <w:tc>
          <w:tcPr>
            <w:tcW w:w="1413" w:type="dxa"/>
          </w:tcPr>
          <w:p w14:paraId="5641244C" w14:textId="36A1EDF5"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Seznam sekuritizačních jednotek pro speciální účel, které spadají do těchto kategorií, s popisem druhů expozic vůči těmto jednotkám, včetně derivátových smluv:</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sekuritizační jednotky pro speciální účel, které nabývají expozice, jejichž původci jsou instituce;</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iCs/>
                <w:sz w:val="24"/>
              </w:rPr>
              <w:t>ii</w:t>
            </w:r>
            <w:proofErr w:type="spellEnd"/>
            <w:r>
              <w:rPr>
                <w:rFonts w:ascii="Times New Roman" w:hAnsi="Times New Roman"/>
                <w:iCs/>
                <w:sz w:val="24"/>
              </w:rPr>
              <w:t xml:space="preserve">) </w:t>
            </w:r>
            <w:proofErr w:type="spellStart"/>
            <w:r>
              <w:rPr>
                <w:rFonts w:ascii="Times New Roman" w:hAnsi="Times New Roman"/>
                <w:iCs/>
                <w:sz w:val="24"/>
              </w:rPr>
              <w:t>sekuritizační</w:t>
            </w:r>
            <w:proofErr w:type="spellEnd"/>
            <w:r>
              <w:rPr>
                <w:rFonts w:ascii="Times New Roman" w:hAnsi="Times New Roman"/>
                <w:iCs/>
                <w:sz w:val="24"/>
              </w:rPr>
              <w:t xml:space="preserve"> jednotky pro speciální účel, jejichž sponzory jsou instituce;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iCs/>
                <w:sz w:val="24"/>
              </w:rPr>
              <w:t>iii</w:t>
            </w:r>
            <w:proofErr w:type="spellEnd"/>
            <w:r>
              <w:rPr>
                <w:rFonts w:ascii="Times New Roman" w:hAnsi="Times New Roman"/>
                <w:iCs/>
                <w:sz w:val="24"/>
              </w:rPr>
              <w:t xml:space="preserve">) </w:t>
            </w:r>
            <w:proofErr w:type="spellStart"/>
            <w:r>
              <w:rPr>
                <w:rFonts w:ascii="Times New Roman" w:hAnsi="Times New Roman"/>
                <w:iCs/>
                <w:sz w:val="24"/>
              </w:rPr>
              <w:t>sekuritizační</w:t>
            </w:r>
            <w:proofErr w:type="spellEnd"/>
            <w:r>
              <w:rPr>
                <w:rFonts w:ascii="Times New Roman" w:hAnsi="Times New Roman"/>
                <w:iCs/>
                <w:sz w:val="24"/>
              </w:rPr>
              <w:t xml:space="preserve"> jednotky pro speciální účel, pro něž instituce poskytují služby související se </w:t>
            </w:r>
            <w:proofErr w:type="spellStart"/>
            <w:r>
              <w:rPr>
                <w:rFonts w:ascii="Times New Roman" w:hAnsi="Times New Roman"/>
                <w:iCs/>
                <w:sz w:val="24"/>
              </w:rPr>
              <w:t>sekuritizací</w:t>
            </w:r>
            <w:proofErr w:type="spellEnd"/>
            <w:r>
              <w:rPr>
                <w:rFonts w:ascii="Times New Roman" w:hAnsi="Times New Roman"/>
                <w:iCs/>
                <w:sz w:val="24"/>
              </w:rPr>
              <w:t xml:space="preserve">, například poradenství, obsluhu aktiv nebo služby správy;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iCs/>
                <w:sz w:val="24"/>
              </w:rPr>
              <w:lastRenderedPageBreak/>
              <w:t>iv</w:t>
            </w:r>
            <w:proofErr w:type="spellEnd"/>
            <w:r>
              <w:rPr>
                <w:rFonts w:ascii="Times New Roman" w:hAnsi="Times New Roman"/>
                <w:iCs/>
                <w:sz w:val="24"/>
              </w:rPr>
              <w:t xml:space="preserve">) </w:t>
            </w:r>
            <w:proofErr w:type="spellStart"/>
            <w:r>
              <w:rPr>
                <w:rFonts w:ascii="Times New Roman" w:hAnsi="Times New Roman"/>
                <w:iCs/>
                <w:sz w:val="24"/>
              </w:rPr>
              <w:t>sekuritizační</w:t>
            </w:r>
            <w:proofErr w:type="spellEnd"/>
            <w:r>
              <w:rPr>
                <w:rFonts w:ascii="Times New Roman" w:hAnsi="Times New Roman"/>
                <w:iCs/>
                <w:sz w:val="24"/>
              </w:rPr>
              <w:t xml:space="preserve"> jednotky pro speciální účel zahrnuté v obezřetnostní konsolidaci instituce,</w:t>
            </w:r>
          </w:p>
          <w:p w14:paraId="7FDD961B" w14:textId="685966B6"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v souladu s čl. 449 písm. d) CRR</w:t>
            </w:r>
            <w:r w:rsidR="00A03748">
              <w:rPr>
                <w:rFonts w:ascii="Times New Roman" w:hAnsi="Times New Roman"/>
                <w:sz w:val="24"/>
              </w:rPr>
              <w:t>.</w:t>
            </w:r>
          </w:p>
        </w:tc>
      </w:tr>
      <w:tr w:rsidR="00FD656A" w:rsidRPr="007F4CC8" w14:paraId="2D30FBEB" w14:textId="77777777" w:rsidTr="00155C96">
        <w:trPr>
          <w:trHeight w:val="316"/>
        </w:trPr>
        <w:tc>
          <w:tcPr>
            <w:tcW w:w="1413" w:type="dxa"/>
          </w:tcPr>
          <w:p w14:paraId="5BE547AF" w14:textId="5B072DB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Seznam všech právních subjektů, o nichž instituce zpřístupnily informaci, že poskytly podporu v souladu s částí třetí hlavou II kapitolou 5 čl. 449 písm. e) CRR</w:t>
            </w:r>
          </w:p>
        </w:tc>
      </w:tr>
      <w:tr w:rsidR="00FD656A" w:rsidRPr="007F4CC8" w14:paraId="5AB66595" w14:textId="77777777" w:rsidTr="00155C96">
        <w:trPr>
          <w:trHeight w:val="316"/>
        </w:trPr>
        <w:tc>
          <w:tcPr>
            <w:tcW w:w="1413" w:type="dxa"/>
          </w:tcPr>
          <w:p w14:paraId="4B3D3A84" w14:textId="4A75570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1E8EAC6B"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Seznam právních subjektů, které jsou přidruženy k daným institucím a které investují do </w:t>
            </w:r>
            <w:proofErr w:type="spellStart"/>
            <w:r>
              <w:rPr>
                <w:rFonts w:ascii="Times New Roman" w:hAnsi="Times New Roman"/>
                <w:iCs/>
                <w:sz w:val="24"/>
              </w:rPr>
              <w:t>sekuritizací</w:t>
            </w:r>
            <w:proofErr w:type="spellEnd"/>
            <w:r>
              <w:rPr>
                <w:rFonts w:ascii="Times New Roman" w:hAnsi="Times New Roman"/>
                <w:iCs/>
                <w:sz w:val="24"/>
              </w:rPr>
              <w:t xml:space="preserve">, jejichž původcem jsou dané instituce, nebo do </w:t>
            </w:r>
            <w:proofErr w:type="spellStart"/>
            <w:r>
              <w:rPr>
                <w:rFonts w:ascii="Times New Roman" w:hAnsi="Times New Roman"/>
                <w:iCs/>
                <w:sz w:val="24"/>
              </w:rPr>
              <w:t>sekuritizovaných</w:t>
            </w:r>
            <w:proofErr w:type="spellEnd"/>
            <w:r>
              <w:rPr>
                <w:rFonts w:ascii="Times New Roman" w:hAnsi="Times New Roman"/>
                <w:iCs/>
                <w:sz w:val="24"/>
              </w:rPr>
              <w:t xml:space="preserve"> pozic vydaných </w:t>
            </w:r>
            <w:proofErr w:type="spellStart"/>
            <w:r>
              <w:rPr>
                <w:rFonts w:ascii="Times New Roman" w:hAnsi="Times New Roman"/>
                <w:iCs/>
                <w:sz w:val="24"/>
              </w:rPr>
              <w:t>sekuritizačními</w:t>
            </w:r>
            <w:proofErr w:type="spellEnd"/>
            <w:r>
              <w:rPr>
                <w:rFonts w:ascii="Times New Roman" w:hAnsi="Times New Roman"/>
                <w:iCs/>
                <w:sz w:val="24"/>
              </w:rPr>
              <w:t xml:space="preserve"> jednotkami pro speciální účel, jichž jsou dané instituce sponzory, v souladu s čl. 449 písm. f) CRR</w:t>
            </w:r>
          </w:p>
        </w:tc>
      </w:tr>
      <w:tr w:rsidR="00FD656A" w:rsidRPr="007F4CC8" w14:paraId="5C90321B" w14:textId="77777777" w:rsidTr="00155C96">
        <w:trPr>
          <w:trHeight w:val="316"/>
        </w:trPr>
        <w:tc>
          <w:tcPr>
            <w:tcW w:w="1413" w:type="dxa"/>
          </w:tcPr>
          <w:p w14:paraId="2263DD3F" w14:textId="59CCA582"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34944037"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Shrnutí účetních metod instituce použitých pro </w:t>
            </w:r>
            <w:proofErr w:type="spellStart"/>
            <w:r>
              <w:rPr>
                <w:rFonts w:ascii="Times New Roman" w:hAnsi="Times New Roman"/>
                <w:iCs/>
                <w:sz w:val="24"/>
              </w:rPr>
              <w:t>sekuritizaci</w:t>
            </w:r>
            <w:proofErr w:type="spellEnd"/>
            <w:r>
              <w:rPr>
                <w:rFonts w:ascii="Times New Roman" w:hAnsi="Times New Roman"/>
                <w:iCs/>
                <w:sz w:val="24"/>
              </w:rPr>
              <w:t xml:space="preserve">, v příslušných případech včetně odlišení </w:t>
            </w:r>
            <w:proofErr w:type="spellStart"/>
            <w:r>
              <w:rPr>
                <w:rFonts w:ascii="Times New Roman" w:hAnsi="Times New Roman"/>
                <w:iCs/>
                <w:sz w:val="24"/>
              </w:rPr>
              <w:t>sekuritizovaných</w:t>
            </w:r>
            <w:proofErr w:type="spellEnd"/>
            <w:r>
              <w:rPr>
                <w:rFonts w:ascii="Times New Roman" w:hAnsi="Times New Roman"/>
                <w:iCs/>
                <w:sz w:val="24"/>
              </w:rPr>
              <w:t xml:space="preserve"> a </w:t>
            </w:r>
            <w:proofErr w:type="spellStart"/>
            <w:r>
              <w:rPr>
                <w:rFonts w:ascii="Times New Roman" w:hAnsi="Times New Roman"/>
                <w:iCs/>
                <w:sz w:val="24"/>
              </w:rPr>
              <w:t>resekuritizovaných</w:t>
            </w:r>
            <w:proofErr w:type="spellEnd"/>
            <w:r>
              <w:rPr>
                <w:rFonts w:ascii="Times New Roman" w:hAnsi="Times New Roman"/>
                <w:iCs/>
                <w:sz w:val="24"/>
              </w:rPr>
              <w:t xml:space="preserve"> pozic, v souladu s čl. 449 písm. g) CRR</w:t>
            </w:r>
          </w:p>
        </w:tc>
      </w:tr>
      <w:tr w:rsidR="00FD656A" w:rsidRPr="007F4CC8" w14:paraId="6B7C5187" w14:textId="77777777" w:rsidTr="00155C96">
        <w:trPr>
          <w:trHeight w:val="316"/>
        </w:trPr>
        <w:tc>
          <w:tcPr>
            <w:tcW w:w="1413" w:type="dxa"/>
          </w:tcPr>
          <w:p w14:paraId="22DF21EF" w14:textId="126A8BE8"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B0E377"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Názvy externích ratingových agentur použitých pro hodnocení sekuritizace a druhy expozic v členění podle jednotlivých použitých agentur,</w:t>
            </w:r>
            <w:r w:rsidR="00A03748">
              <w:rPr>
                <w:rFonts w:ascii="Times New Roman" w:hAnsi="Times New Roman"/>
                <w:iCs/>
                <w:sz w:val="24"/>
              </w:rPr>
              <w:t xml:space="preserve"> </w:t>
            </w:r>
            <w:r>
              <w:rPr>
                <w:rFonts w:ascii="Times New Roman" w:hAnsi="Times New Roman"/>
                <w:iCs/>
                <w:sz w:val="24"/>
              </w:rPr>
              <w:t>v souladu s čl. 449 písm. h) CRR</w:t>
            </w:r>
          </w:p>
        </w:tc>
      </w:tr>
      <w:tr w:rsidR="00FD656A" w:rsidRPr="007F4CC8" w14:paraId="3FA71EDB" w14:textId="77777777" w:rsidTr="00155C96">
        <w:trPr>
          <w:trHeight w:val="316"/>
        </w:trPr>
        <w:tc>
          <w:tcPr>
            <w:tcW w:w="1413" w:type="dxa"/>
          </w:tcPr>
          <w:p w14:paraId="1B50AB52" w14:textId="484FE804"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 relevantních případech popis metody interního hodnocení podle části třetí hlavy II kapitoly 5 CRR, včetně struktury procesu interního hodnocení a vztahu mezi interním hodnocením a externími ratingy příslušné externí ratingové agentury zpřístupněnými v souladu s písmenem h), kontrolních mechanismů pro proces interního hodnocení včetně diskuse nezávislosti, odpovědnosti a přezkumu procesu interního hodnocení, informací o druzích expozic, pro které se proces interního hodnocení použije, a o zátěžových faktorech použitých k určení úrovní úvěrového posílení, v souladu s čl. 449 písm. i) CRR</w:t>
            </w:r>
          </w:p>
        </w:tc>
      </w:tr>
    </w:tbl>
    <w:p w14:paraId="09579526" w14:textId="77777777" w:rsidR="00FD656A" w:rsidRPr="007F4CC8" w:rsidRDefault="00FD656A" w:rsidP="00FD656A">
      <w:pPr>
        <w:rPr>
          <w:rFonts w:ascii="Times New Roman" w:hAnsi="Times New Roman" w:cs="Times New Roman"/>
          <w:sz w:val="24"/>
        </w:rPr>
      </w:pPr>
    </w:p>
    <w:p w14:paraId="00018CBA" w14:textId="64C3740F" w:rsidR="00FD656A" w:rsidRPr="007F4CC8" w:rsidRDefault="00CC4769" w:rsidP="00FD656A">
      <w:pPr>
        <w:rPr>
          <w:rFonts w:ascii="Times New Roman" w:hAnsi="Times New Roman" w:cs="Times New Roman"/>
          <w:b/>
          <w:sz w:val="24"/>
        </w:rPr>
      </w:pPr>
      <w:r>
        <w:rPr>
          <w:rFonts w:ascii="Times New Roman" w:hAnsi="Times New Roman"/>
          <w:b/>
          <w:sz w:val="24"/>
        </w:rPr>
        <w:t xml:space="preserve">EU </w:t>
      </w:r>
      <w:r w:rsidR="00FD656A">
        <w:rPr>
          <w:rFonts w:ascii="Times New Roman" w:hAnsi="Times New Roman"/>
          <w:b/>
          <w:sz w:val="24"/>
        </w:rPr>
        <w:t xml:space="preserve">SEC1 – </w:t>
      </w:r>
      <w:proofErr w:type="spellStart"/>
      <w:r w:rsidR="00FD656A">
        <w:rPr>
          <w:rFonts w:ascii="Times New Roman" w:hAnsi="Times New Roman"/>
          <w:b/>
          <w:sz w:val="24"/>
        </w:rPr>
        <w:t>Sekuritizované</w:t>
      </w:r>
      <w:proofErr w:type="spellEnd"/>
      <w:r w:rsidR="00FD656A">
        <w:rPr>
          <w:rFonts w:ascii="Times New Roman" w:hAnsi="Times New Roman"/>
          <w:b/>
          <w:sz w:val="24"/>
        </w:rPr>
        <w:t xml:space="preserve"> expozice v investičním portfoliu. </w:t>
      </w:r>
      <w:r w:rsidR="00FD656A">
        <w:rPr>
          <w:rFonts w:ascii="Times New Roman" w:hAnsi="Times New Roman"/>
          <w:sz w:val="24"/>
        </w:rPr>
        <w:t>Pevně daný formát</w:t>
      </w:r>
    </w:p>
    <w:p w14:paraId="56807EB4" w14:textId="1373173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Informace uvedené v čl. 449 písm. j)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 xml:space="preserve">SEC1, obsažené v příloze XXVII tohoto prováděcího nařízení. V komentáři přiloženém k šabloně instituce vysvětlí, zda mají v rámci svých tradičních </w:t>
      </w:r>
      <w:proofErr w:type="spellStart"/>
      <w:r>
        <w:rPr>
          <w:rFonts w:ascii="Times New Roman" w:hAnsi="Times New Roman"/>
          <w:bCs/>
          <w:sz w:val="24"/>
        </w:rPr>
        <w:t>sekuritizací</w:t>
      </w:r>
      <w:proofErr w:type="spellEnd"/>
      <w:r>
        <w:rPr>
          <w:rFonts w:ascii="Times New Roman" w:hAnsi="Times New Roman"/>
          <w:bCs/>
          <w:sz w:val="24"/>
        </w:rPr>
        <w:t xml:space="preserve"> programy ABCP, a pokud ano, objem ABCP transakcí.</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t>a–g</w:t>
            </w:r>
            <w:proofErr w:type="gramEnd"/>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Instituce jedná jako původce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Pokud „instituce jedná jako původce“, jak je definováno v čl. 4 odst. 1 </w:t>
            </w:r>
            <w:proofErr w:type="gramStart"/>
            <w:r>
              <w:rPr>
                <w:rFonts w:ascii="Times New Roman" w:hAnsi="Times New Roman"/>
                <w:iCs/>
                <w:sz w:val="24"/>
              </w:rPr>
              <w:t>bodě</w:t>
            </w:r>
            <w:proofErr w:type="gramEnd"/>
            <w:r>
              <w:rPr>
                <w:rFonts w:ascii="Times New Roman" w:hAnsi="Times New Roman"/>
                <w:iCs/>
                <w:sz w:val="24"/>
              </w:rPr>
              <w:t xml:space="preserve"> 13 CRR, jsou </w:t>
            </w:r>
            <w:proofErr w:type="spellStart"/>
            <w:r>
              <w:rPr>
                <w:rFonts w:ascii="Times New Roman" w:hAnsi="Times New Roman"/>
                <w:iCs/>
                <w:sz w:val="24"/>
              </w:rPr>
              <w:t>sekuritizované</w:t>
            </w:r>
            <w:proofErr w:type="spellEnd"/>
            <w:r>
              <w:rPr>
                <w:rFonts w:ascii="Times New Roman" w:hAnsi="Times New Roman"/>
                <w:iCs/>
                <w:sz w:val="24"/>
              </w:rPr>
              <w:t xml:space="preserve"> expozice ponechanými pozicemi, a to i v případech, kdy nejsou způsobilé pro sekuritizační rámec z důvodu neexistence převodu významného rizika. Sekuritizační expozice u transakcí, které dosáhly převodu významného rizika (SRT), se vykazují samostatně.</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Instituce, které jsou původci, zveřejní účetní hodnotu k datu zveřejnění všech současných sekuritizovaných expozic, které drží v sekuritizačních transakcích, jichž jsou původcem. Uvedou se zde tedy rozvahové </w:t>
            </w:r>
            <w:proofErr w:type="spellStart"/>
            <w:r>
              <w:rPr>
                <w:rFonts w:ascii="Times New Roman" w:hAnsi="Times New Roman"/>
                <w:sz w:val="24"/>
              </w:rPr>
              <w:t>sekuritizované</w:t>
            </w:r>
            <w:proofErr w:type="spellEnd"/>
            <w:r>
              <w:rPr>
                <w:rFonts w:ascii="Times New Roman" w:hAnsi="Times New Roman"/>
                <w:sz w:val="24"/>
              </w:rPr>
              <w:t xml:space="preserve"> expozice (např. dluhopisy či podřízené půjčky) a stejně tak podrozvahové expozice a deriváty (např. podřízené úvěrové linky, likviditní přísliby, swapy úrokových sazeb, swapy úvěrového selhání atd.), které vznikly při </w:t>
            </w:r>
            <w:proofErr w:type="spellStart"/>
            <w:r>
              <w:rPr>
                <w:rFonts w:ascii="Times New Roman" w:hAnsi="Times New Roman"/>
                <w:sz w:val="24"/>
              </w:rPr>
              <w:t>sekuritizaci</w:t>
            </w:r>
            <w:proofErr w:type="spellEnd"/>
            <w:r>
              <w:rPr>
                <w:rFonts w:ascii="Times New Roman" w:hAnsi="Times New Roman"/>
                <w:sz w:val="24"/>
              </w:rPr>
              <w:t>.</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lastRenderedPageBreak/>
              <w:t>h–k</w:t>
            </w:r>
            <w:proofErr w:type="gramEnd"/>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Instituce jedná jako sponzor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Pokud „instituce vystupuje jako sponzor“ (jak je definováno v čl. 4 odst. 1 bodu 14 CRR), zahrnují </w:t>
            </w:r>
            <w:proofErr w:type="spellStart"/>
            <w:r>
              <w:rPr>
                <w:rFonts w:ascii="Times New Roman" w:hAnsi="Times New Roman"/>
                <w:iCs/>
                <w:sz w:val="24"/>
              </w:rPr>
              <w:t>sekuritizované</w:t>
            </w:r>
            <w:proofErr w:type="spellEnd"/>
            <w:r>
              <w:rPr>
                <w:rFonts w:ascii="Times New Roman" w:hAnsi="Times New Roman"/>
                <w:iCs/>
                <w:sz w:val="24"/>
              </w:rPr>
              <w:t xml:space="preserve"> expozice </w:t>
            </w:r>
            <w:proofErr w:type="spellStart"/>
            <w:r>
              <w:rPr>
                <w:rFonts w:ascii="Times New Roman" w:hAnsi="Times New Roman"/>
                <w:iCs/>
                <w:sz w:val="24"/>
              </w:rPr>
              <w:t>expozice</w:t>
            </w:r>
            <w:proofErr w:type="spellEnd"/>
            <w:r>
              <w:rPr>
                <w:rFonts w:ascii="Times New Roman" w:hAnsi="Times New Roman"/>
                <w:iCs/>
                <w:sz w:val="24"/>
              </w:rPr>
              <w:t xml:space="preserve"> vůči účelovým subjektům investujícím do komerčních papírů, jimž instituce poskytuje programová posílení, likviditní a další </w:t>
            </w:r>
            <w:proofErr w:type="spellStart"/>
            <w:r>
              <w:rPr>
                <w:rFonts w:ascii="Times New Roman" w:hAnsi="Times New Roman"/>
                <w:iCs/>
                <w:sz w:val="24"/>
              </w:rPr>
              <w:t>facility</w:t>
            </w:r>
            <w:proofErr w:type="spellEnd"/>
            <w:r>
              <w:rPr>
                <w:rFonts w:ascii="Times New Roman" w:hAnsi="Times New Roman"/>
                <w:iCs/>
                <w:sz w:val="24"/>
              </w:rPr>
              <w:t>. Pokud instituce vystupuje jako původce i jako sponzor, zamezí dvojímu započtení. S ohledem na to může instituce sloučit dva sloupce „instituce jedná jako původce“ a „instituce jedná jako sponzor“ a použít sloupec „instituce jedná jako původce nebo sponzor“.</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t>l–o</w:t>
            </w:r>
            <w:proofErr w:type="gramEnd"/>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Instituce jedná jako investor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iCs/>
                <w:sz w:val="24"/>
              </w:rPr>
              <w:t>Sekuritizačními</w:t>
            </w:r>
            <w:proofErr w:type="spellEnd"/>
            <w:r>
              <w:rPr>
                <w:rFonts w:ascii="Times New Roman" w:hAnsi="Times New Roman"/>
                <w:iCs/>
                <w:sz w:val="24"/>
              </w:rPr>
              <w:t xml:space="preserve"> expozicemi, kdy „instituce jedná jako investor“, jsou investiční pozice zakoupené při obchodech se třetími stranami.</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gramStart"/>
            <w:r>
              <w:rPr>
                <w:rFonts w:ascii="Times New Roman" w:hAnsi="Times New Roman"/>
                <w:iCs/>
                <w:sz w:val="24"/>
              </w:rPr>
              <w:t>V CRR</w:t>
            </w:r>
            <w:proofErr w:type="gramEnd"/>
            <w:r>
              <w:rPr>
                <w:rFonts w:ascii="Times New Roman" w:hAnsi="Times New Roman"/>
                <w:iCs/>
                <w:sz w:val="24"/>
              </w:rPr>
              <w:t xml:space="preserve"> není </w:t>
            </w:r>
            <w:proofErr w:type="gramStart"/>
            <w:r>
              <w:rPr>
                <w:rFonts w:ascii="Times New Roman" w:hAnsi="Times New Roman"/>
                <w:iCs/>
                <w:sz w:val="24"/>
              </w:rPr>
              <w:t>uvedena</w:t>
            </w:r>
            <w:proofErr w:type="gramEnd"/>
            <w:r>
              <w:rPr>
                <w:rFonts w:ascii="Times New Roman" w:hAnsi="Times New Roman"/>
                <w:iCs/>
                <w:sz w:val="24"/>
              </w:rPr>
              <w:t xml:space="preserve"> výslovná definice investora. V této souvislosti by proto měl být investor považován za instituci, která drží sekuritizační pozice v sekuritizační transakci, přičemž není ani původcem, ani sponzorem.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 případě, že je seskupení sekuritizovaných expozic kombinací druhů sekuritizovaných pozic, instituce uvede nejdůležitější druh.</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t>a–d, h, i, l, m</w:t>
            </w:r>
            <w:proofErr w:type="gramEnd"/>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Tradiční transakce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 souladu s čl. 242 bodem 13 CRR ve spojení s čl. 2 bodem 9 nařízení (EU) 2017/2402</w:t>
            </w:r>
            <w:r w:rsidRPr="007F4CC8">
              <w:rPr>
                <w:rStyle w:val="FootnoteReference"/>
                <w:rFonts w:eastAsia="Times New Roman" w:cs="Times New Roman"/>
                <w:iCs/>
              </w:rPr>
              <w:footnoteReference w:id="43"/>
            </w:r>
            <w:r>
              <w:rPr>
                <w:rFonts w:ascii="Times New Roman" w:hAnsi="Times New Roman"/>
                <w:iCs/>
                <w:sz w:val="24"/>
              </w:rPr>
              <w:t xml:space="preserve"> se „tradiční </w:t>
            </w:r>
            <w:proofErr w:type="spellStart"/>
            <w:r>
              <w:rPr>
                <w:rFonts w:ascii="Times New Roman" w:hAnsi="Times New Roman"/>
                <w:iCs/>
                <w:sz w:val="24"/>
              </w:rPr>
              <w:t>sekuritizací</w:t>
            </w:r>
            <w:proofErr w:type="spellEnd"/>
            <w:r>
              <w:rPr>
                <w:rFonts w:ascii="Times New Roman" w:hAnsi="Times New Roman"/>
                <w:iCs/>
                <w:sz w:val="24"/>
              </w:rPr>
              <w:t xml:space="preserve">“ rozumí </w:t>
            </w:r>
            <w:proofErr w:type="spellStart"/>
            <w:r>
              <w:rPr>
                <w:rFonts w:ascii="Times New Roman" w:hAnsi="Times New Roman"/>
                <w:iCs/>
                <w:sz w:val="24"/>
              </w:rPr>
              <w:t>sekuritizace</w:t>
            </w:r>
            <w:proofErr w:type="spellEnd"/>
            <w:r>
              <w:rPr>
                <w:rFonts w:ascii="Times New Roman" w:hAnsi="Times New Roman"/>
                <w:iCs/>
                <w:sz w:val="24"/>
              </w:rPr>
              <w:t xml:space="preserve"> zahrnující převod ekonomického podílu na sekuritizovaných expozicích</w:t>
            </w:r>
            <w:r>
              <w:rPr>
                <w:iCs/>
              </w:rPr>
              <w:t>.</w:t>
            </w:r>
            <w:r>
              <w:rPr>
                <w:rFonts w:ascii="Times New Roman" w:hAnsi="Times New Roman"/>
                <w:iCs/>
                <w:sz w:val="24"/>
              </w:rPr>
              <w:t xml:space="preserve"> Tento převod je doprovázen buď převodem vlastnictví k převáděným </w:t>
            </w:r>
            <w:proofErr w:type="spellStart"/>
            <w:r>
              <w:rPr>
                <w:rFonts w:ascii="Times New Roman" w:hAnsi="Times New Roman"/>
                <w:iCs/>
                <w:sz w:val="24"/>
              </w:rPr>
              <w:t>sekuritizovaným</w:t>
            </w:r>
            <w:proofErr w:type="spellEnd"/>
            <w:r>
              <w:rPr>
                <w:rFonts w:ascii="Times New Roman" w:hAnsi="Times New Roman"/>
                <w:iCs/>
                <w:sz w:val="24"/>
              </w:rPr>
              <w:t xml:space="preserve"> expozicím z instituce, která je původcem, na sekuritizační jednotku pro speciální účel, nebo </w:t>
            </w:r>
            <w:proofErr w:type="spellStart"/>
            <w:r>
              <w:rPr>
                <w:rFonts w:ascii="Times New Roman" w:hAnsi="Times New Roman"/>
                <w:iCs/>
                <w:sz w:val="24"/>
              </w:rPr>
              <w:t>subparticipací</w:t>
            </w:r>
            <w:proofErr w:type="spellEnd"/>
            <w:r>
              <w:rPr>
                <w:rFonts w:ascii="Times New Roman" w:hAnsi="Times New Roman"/>
                <w:iCs/>
                <w:sz w:val="24"/>
              </w:rPr>
              <w:t xml:space="preserve"> </w:t>
            </w:r>
            <w:proofErr w:type="spellStart"/>
            <w:r>
              <w:rPr>
                <w:rFonts w:ascii="Times New Roman" w:hAnsi="Times New Roman"/>
                <w:iCs/>
                <w:sz w:val="24"/>
              </w:rPr>
              <w:t>sekuritizační</w:t>
            </w:r>
            <w:proofErr w:type="spellEnd"/>
            <w:r>
              <w:rPr>
                <w:rFonts w:ascii="Times New Roman" w:hAnsi="Times New Roman"/>
                <w:iCs/>
                <w:sz w:val="24"/>
              </w:rPr>
              <w:t xml:space="preserve"> jednotky pro speciální účel k pohledávce. Vydané cenné papíry nepředstavují platební závazky instituce, která je původcem.</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 případě tradičních </w:t>
            </w:r>
            <w:proofErr w:type="spellStart"/>
            <w:r>
              <w:rPr>
                <w:rFonts w:ascii="Times New Roman" w:hAnsi="Times New Roman"/>
                <w:iCs/>
                <w:sz w:val="24"/>
              </w:rPr>
              <w:t>sekuritizací</w:t>
            </w:r>
            <w:proofErr w:type="spellEnd"/>
            <w:r>
              <w:rPr>
                <w:rFonts w:ascii="Times New Roman" w:hAnsi="Times New Roman"/>
                <w:iCs/>
                <w:sz w:val="24"/>
              </w:rPr>
              <w:t xml:space="preserve">, v nichž původce nedrží žádné pozice, potom původce danou </w:t>
            </w:r>
            <w:proofErr w:type="spellStart"/>
            <w:r>
              <w:rPr>
                <w:rFonts w:ascii="Times New Roman" w:hAnsi="Times New Roman"/>
                <w:iCs/>
                <w:sz w:val="24"/>
              </w:rPr>
              <w:t>sekuritizaci</w:t>
            </w:r>
            <w:proofErr w:type="spellEnd"/>
            <w:r>
              <w:rPr>
                <w:rFonts w:ascii="Times New Roman" w:hAnsi="Times New Roman"/>
                <w:iCs/>
                <w:sz w:val="24"/>
              </w:rPr>
              <w:t xml:space="preserve"> při zveřejnění informací podle této šablony nezohledňuje.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Syntetické transakce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 souladu s čl. 242 bodem 14 CRR ve spojení s čl. 2 bodem 10 nařízení (EU) 2017/2402 se „syntetickou </w:t>
            </w:r>
            <w:proofErr w:type="spellStart"/>
            <w:r>
              <w:rPr>
                <w:rFonts w:ascii="Times New Roman" w:hAnsi="Times New Roman"/>
                <w:iCs/>
                <w:sz w:val="24"/>
              </w:rPr>
              <w:t>sekuritizací</w:t>
            </w:r>
            <w:proofErr w:type="spellEnd"/>
            <w:r>
              <w:rPr>
                <w:rFonts w:ascii="Times New Roman" w:hAnsi="Times New Roman"/>
                <w:iCs/>
                <w:sz w:val="24"/>
              </w:rPr>
              <w:t xml:space="preserve">“ rozumí </w:t>
            </w:r>
            <w:proofErr w:type="spellStart"/>
            <w:r>
              <w:rPr>
                <w:rFonts w:ascii="Times New Roman" w:hAnsi="Times New Roman"/>
                <w:iCs/>
                <w:sz w:val="24"/>
              </w:rPr>
              <w:t>sekuritizace</w:t>
            </w:r>
            <w:proofErr w:type="spellEnd"/>
            <w:r>
              <w:rPr>
                <w:rFonts w:ascii="Times New Roman" w:hAnsi="Times New Roman"/>
                <w:iCs/>
                <w:sz w:val="24"/>
              </w:rPr>
              <w:t xml:space="preserve">, při níž je </w:t>
            </w:r>
            <w:r>
              <w:rPr>
                <w:rFonts w:ascii="Times New Roman" w:hAnsi="Times New Roman"/>
                <w:iCs/>
                <w:sz w:val="24"/>
              </w:rPr>
              <w:lastRenderedPageBreak/>
              <w:t xml:space="preserve">převodu rizika dosaženo použitím úvěrových derivátů nebo záruk a </w:t>
            </w:r>
            <w:proofErr w:type="spellStart"/>
            <w:r>
              <w:rPr>
                <w:rFonts w:ascii="Times New Roman" w:hAnsi="Times New Roman"/>
                <w:iCs/>
                <w:sz w:val="24"/>
              </w:rPr>
              <w:t>sekuritizované</w:t>
            </w:r>
            <w:proofErr w:type="spellEnd"/>
            <w:r>
              <w:rPr>
                <w:rFonts w:ascii="Times New Roman" w:hAnsi="Times New Roman"/>
                <w:iCs/>
                <w:sz w:val="24"/>
              </w:rPr>
              <w:t xml:space="preserve"> expozice zůstávají expozicemi instituce, která je původcem.</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Pokud instituce zakoupila zajištění, zveřejní čisté objemy expozic, kterým je vystavena a které nejsou předmětem koupeného zajištění podle sloupců původce/sponzor (tj. částka, která není zajištěna) této šablony. Pokud instituce prodala zajištění, zveřejní se objem expozice zajištění úvěrového rizika ve sloupci „investor“ této šablony.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Expozice STS </w:t>
            </w:r>
          </w:p>
          <w:p w14:paraId="0D3E5667" w14:textId="50C63035" w:rsidR="00FD656A" w:rsidRPr="007F4CC8" w:rsidRDefault="00FD656A" w:rsidP="00A03748">
            <w:pPr>
              <w:autoSpaceDE w:val="0"/>
              <w:autoSpaceDN w:val="0"/>
              <w:adjustRightInd w:val="0"/>
              <w:spacing w:before="120" w:after="120"/>
              <w:jc w:val="both"/>
              <w:rPr>
                <w:rFonts w:ascii="Times New Roman" w:hAnsi="Times New Roman"/>
                <w:sz w:val="24"/>
              </w:rPr>
            </w:pPr>
            <w:r>
              <w:rPr>
                <w:rFonts w:ascii="Times New Roman" w:hAnsi="Times New Roman"/>
                <w:sz w:val="24"/>
              </w:rPr>
              <w:t>Celkový objem STS sekuritizovaných pozic v souladu s kritérii stanovenými v článcích 18 až 26 nařízení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Expozice SRT </w:t>
            </w:r>
          </w:p>
          <w:p w14:paraId="66644678" w14:textId="3DC33664" w:rsidR="00FD656A" w:rsidRPr="007F4CC8" w:rsidRDefault="00FD656A" w:rsidP="00A03748">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Celkový objem sekuritizovaných pozic, u nichž instituce, která je původcem, dosáhla významného převodu rizika (SRT) v souladu s článkem 244 (tradiční sekuritizace) a článkem 245 (syntetická sekuritizace) CRR</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proofErr w:type="spellStart"/>
            <w:r>
              <w:rPr>
                <w:rFonts w:ascii="Times New Roman" w:hAnsi="Times New Roman"/>
                <w:b/>
                <w:sz w:val="24"/>
              </w:rPr>
              <w:t>Resekuritizace</w:t>
            </w:r>
            <w:proofErr w:type="spellEnd"/>
          </w:p>
          <w:p w14:paraId="52FFD5C2" w14:textId="3B79C935"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Celkový objem nesplacených </w:t>
            </w:r>
            <w:proofErr w:type="spellStart"/>
            <w:r>
              <w:rPr>
                <w:rFonts w:ascii="Times New Roman" w:hAnsi="Times New Roman"/>
                <w:iCs/>
                <w:sz w:val="24"/>
              </w:rPr>
              <w:t>resekuritizovaných</w:t>
            </w:r>
            <w:proofErr w:type="spellEnd"/>
            <w:r>
              <w:rPr>
                <w:rFonts w:ascii="Times New Roman" w:hAnsi="Times New Roman"/>
                <w:iCs/>
                <w:sz w:val="24"/>
              </w:rPr>
              <w:t xml:space="preserve"> pozic ve smyslu čl. 4 odst. 1 bodů 63 a 64 CRR</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Všechny sekuritizační expozice související s </w:t>
            </w:r>
            <w:proofErr w:type="spellStart"/>
            <w:r>
              <w:rPr>
                <w:rFonts w:ascii="Times New Roman" w:hAnsi="Times New Roman"/>
                <w:iCs/>
                <w:sz w:val="24"/>
              </w:rPr>
              <w:t>resekuritizací</w:t>
            </w:r>
            <w:proofErr w:type="spellEnd"/>
            <w:r>
              <w:rPr>
                <w:rFonts w:ascii="Times New Roman" w:hAnsi="Times New Roman"/>
                <w:iCs/>
                <w:sz w:val="24"/>
              </w:rPr>
              <w:t xml:space="preserve"> se vyplňují v řádcích „</w:t>
            </w:r>
            <w:proofErr w:type="spellStart"/>
            <w:r>
              <w:rPr>
                <w:rFonts w:ascii="Times New Roman" w:hAnsi="Times New Roman"/>
                <w:iCs/>
                <w:sz w:val="24"/>
              </w:rPr>
              <w:t>resekuritizace</w:t>
            </w:r>
            <w:proofErr w:type="spellEnd"/>
            <w:r>
              <w:rPr>
                <w:rFonts w:ascii="Times New Roman" w:hAnsi="Times New Roman"/>
                <w:iCs/>
                <w:sz w:val="24"/>
              </w:rPr>
              <w:t xml:space="preserve">“, a nikoli v předchozích řádcích (podle druhu podkladového aktiva), které obsahují pouze sekuritizační expozice jiné než </w:t>
            </w:r>
            <w:proofErr w:type="spellStart"/>
            <w:r>
              <w:rPr>
                <w:rFonts w:ascii="Times New Roman" w:hAnsi="Times New Roman"/>
                <w:iCs/>
                <w:sz w:val="24"/>
              </w:rPr>
              <w:t>resekuritizace</w:t>
            </w:r>
            <w:proofErr w:type="spellEnd"/>
            <w:r>
              <w:rPr>
                <w:rFonts w:ascii="Times New Roman" w:hAnsi="Times New Roman"/>
                <w:iCs/>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0DDF783F" w:rsidR="00FD656A" w:rsidRPr="007F4CC8" w:rsidRDefault="00FD656A" w:rsidP="00FD656A">
      <w:pPr>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SEC2 – </w:t>
      </w:r>
      <w:proofErr w:type="spellStart"/>
      <w:r>
        <w:rPr>
          <w:rFonts w:ascii="Times New Roman" w:hAnsi="Times New Roman"/>
          <w:b/>
          <w:sz w:val="24"/>
        </w:rPr>
        <w:t>Sekuritizované</w:t>
      </w:r>
      <w:proofErr w:type="spellEnd"/>
      <w:r>
        <w:rPr>
          <w:rFonts w:ascii="Times New Roman" w:hAnsi="Times New Roman"/>
          <w:b/>
          <w:sz w:val="24"/>
        </w:rPr>
        <w:t xml:space="preserve"> expozice v obchodním portfoliu. </w:t>
      </w:r>
      <w:r>
        <w:rPr>
          <w:rFonts w:ascii="Times New Roman" w:hAnsi="Times New Roman"/>
          <w:sz w:val="24"/>
        </w:rPr>
        <w:t>Pevně daný formát</w:t>
      </w:r>
    </w:p>
    <w:p w14:paraId="7B7C16C7" w14:textId="18A8A8A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Informace uvedené v čl. 449 písm. j)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SEC2, obsažené v příloze XXVII tohoto prováděcího nařízení.</w:t>
      </w:r>
    </w:p>
    <w:p w14:paraId="6282D1B1" w14:textId="03B4DC29"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Instituce se v tomto případě řídí pokyny k šabloně </w:t>
      </w:r>
      <w:r w:rsidR="00CC4769">
        <w:rPr>
          <w:rFonts w:ascii="Times New Roman" w:hAnsi="Times New Roman"/>
          <w:bCs/>
          <w:sz w:val="24"/>
        </w:rPr>
        <w:t xml:space="preserve">EU </w:t>
      </w:r>
      <w:r>
        <w:rPr>
          <w:rFonts w:ascii="Times New Roman" w:hAnsi="Times New Roman"/>
          <w:bCs/>
          <w:sz w:val="24"/>
        </w:rPr>
        <w:t>SEC1 – Sekuritizační expozice v investičním portfoliu.</w:t>
      </w:r>
    </w:p>
    <w:p w14:paraId="4FB367D0" w14:textId="77777777" w:rsidR="00FD656A" w:rsidRPr="007F4CC8" w:rsidRDefault="00FD656A" w:rsidP="00FD656A">
      <w:pPr>
        <w:rPr>
          <w:rFonts w:ascii="Times New Roman" w:hAnsi="Times New Roman" w:cs="Times New Roman"/>
          <w:sz w:val="24"/>
        </w:rPr>
      </w:pPr>
    </w:p>
    <w:p w14:paraId="30A281B6" w14:textId="34706F04" w:rsidR="00FD656A" w:rsidRPr="007F4CC8" w:rsidRDefault="00FD656A" w:rsidP="00FD656A">
      <w:pPr>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SEC3 – </w:t>
      </w:r>
      <w:proofErr w:type="spellStart"/>
      <w:r>
        <w:rPr>
          <w:rFonts w:ascii="Times New Roman" w:hAnsi="Times New Roman"/>
          <w:b/>
          <w:sz w:val="24"/>
        </w:rPr>
        <w:t>Sekuritizované</w:t>
      </w:r>
      <w:proofErr w:type="spellEnd"/>
      <w:r>
        <w:rPr>
          <w:rFonts w:ascii="Times New Roman" w:hAnsi="Times New Roman"/>
          <w:b/>
          <w:sz w:val="24"/>
        </w:rPr>
        <w:t xml:space="preserve"> expozice v investičním portfoliu a související regulatorní kapitálové požadavky – instituce jednající jako původce nebo sponzor. </w:t>
      </w:r>
      <w:r>
        <w:rPr>
          <w:rFonts w:ascii="Times New Roman" w:hAnsi="Times New Roman"/>
          <w:sz w:val="24"/>
        </w:rPr>
        <w:t>Pevně daný formát</w:t>
      </w:r>
    </w:p>
    <w:p w14:paraId="6556F337" w14:textId="4B568217"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Informace uvedené v čl. 449 písm. k) a i)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 xml:space="preserve">SEC3, obsažené v příloze XXVII tohoto prováděcího nařízení.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až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Hodnoty expozice (podle pásem rizikových vah / odpočtů)</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Hodnoty, které mají být zveřejněny ve sloupcích a) až d) této šablony ve vztahu k regulatorním rizikovým vahám, se stanoví v souladu s částí třetí hlavou II kapitolou 5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až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Hodnota expozice (podle regulatorního přístupu)</w:t>
            </w:r>
          </w:p>
          <w:p w14:paraId="1120BB04" w14:textId="509582A7" w:rsidR="00FD656A" w:rsidRPr="007F4CC8" w:rsidRDefault="00FD656A" w:rsidP="001D27FC">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Sloupce f) až h) této šablony odpovídající regulatornímu přístupu používanému v souladu s hierarchií přístupů podle článku 254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(podle regulatorního přístupu)</w:t>
            </w:r>
          </w:p>
          <w:p w14:paraId="478B8E54" w14:textId="58D0C67B" w:rsidR="00FD656A" w:rsidRPr="007F4CC8" w:rsidRDefault="00FD656A" w:rsidP="001D27FC">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Objem rizikově vážené expozice (RWEA) podle regulatorního přístupu v souladu s částí třetí hlavou II kapitolou 5 CRR před uplatněním limitu</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až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Kapitálový požadavek (po uplatnění horního limitu)</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Tyto sloupce se týkají kapitálových požadavků po uplatnění limitu v souladu s články 267 a 268 CRR.</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RV 1 250 % /odpočty</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Sloupce se týkají položek:</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Podléhající rizikové váze 1 250 % nebo odečtené v souladu s částí třetí hlavou II kapitolou 5 CRR,</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Podléhající rizikové váze 1 250 % nebo odečtené v souladu s čl. 244 odst. 1 písm. b) a čl. 245 odst. 1 písm. b) CRR,</w:t>
            </w:r>
          </w:p>
          <w:p w14:paraId="5EE3DE47" w14:textId="041D35EE"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Podléhající rizikové váze 1 250 % v souladu s čl. 254 odst. 7 CRR,</w:t>
            </w:r>
            <w:r w:rsidR="001D27FC">
              <w:rPr>
                <w:rFonts w:ascii="Times New Roman" w:hAnsi="Times New Roman"/>
                <w:sz w:val="24"/>
                <w:szCs w:val="24"/>
              </w:rPr>
              <w:t xml:space="preserve"> nebo</w:t>
            </w:r>
          </w:p>
          <w:p w14:paraId="66D33204" w14:textId="524DC1FA" w:rsidR="00FD656A" w:rsidRPr="007F4CC8" w:rsidRDefault="001D27FC"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O</w:t>
            </w:r>
            <w:r w:rsidR="00FD656A">
              <w:rPr>
                <w:rFonts w:ascii="Times New Roman" w:hAnsi="Times New Roman"/>
                <w:sz w:val="24"/>
                <w:szCs w:val="24"/>
              </w:rPr>
              <w:t xml:space="preserve">dečtené v souladu s článkem 253 CRR.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Celkové expozice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Celkovými expozicemi se rozumí celkový objem </w:t>
            </w:r>
            <w:proofErr w:type="spellStart"/>
            <w:r>
              <w:rPr>
                <w:rFonts w:ascii="Times New Roman" w:hAnsi="Times New Roman"/>
                <w:sz w:val="24"/>
              </w:rPr>
              <w:t>sekuritizovaných</w:t>
            </w:r>
            <w:proofErr w:type="spellEnd"/>
            <w:r>
              <w:rPr>
                <w:rFonts w:ascii="Times New Roman" w:hAnsi="Times New Roman"/>
                <w:sz w:val="24"/>
              </w:rPr>
              <w:t xml:space="preserve"> a </w:t>
            </w:r>
            <w:proofErr w:type="spellStart"/>
            <w:r>
              <w:rPr>
                <w:rFonts w:ascii="Times New Roman" w:hAnsi="Times New Roman"/>
                <w:sz w:val="24"/>
              </w:rPr>
              <w:t>resekuritizovaných</w:t>
            </w:r>
            <w:proofErr w:type="spellEnd"/>
            <w:r>
              <w:rPr>
                <w:rFonts w:ascii="Times New Roman" w:hAnsi="Times New Roman"/>
                <w:sz w:val="24"/>
              </w:rPr>
              <w:t xml:space="preserve"> pozic, které instituce jednající jako původce nebo sponzor drží. Tento řádek je souhrnem informací o tradiční a syntetické </w:t>
            </w:r>
            <w:proofErr w:type="spellStart"/>
            <w:r>
              <w:rPr>
                <w:rFonts w:ascii="Times New Roman" w:hAnsi="Times New Roman"/>
                <w:sz w:val="24"/>
              </w:rPr>
              <w:t>sekuritizaci</w:t>
            </w:r>
            <w:proofErr w:type="spellEnd"/>
            <w:r>
              <w:rPr>
                <w:rFonts w:ascii="Times New Roman" w:hAnsi="Times New Roman"/>
                <w:sz w:val="24"/>
              </w:rPr>
              <w:t xml:space="preserve"> zveřejněných původci a sponzory v následujících řádcích.</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Tradiční transakce </w:t>
            </w:r>
          </w:p>
          <w:p w14:paraId="131E718F" w14:textId="4AC8EC49"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Viz vysvětlení k šabloně </w:t>
            </w:r>
            <w:r w:rsidR="00CC4769">
              <w:rPr>
                <w:rFonts w:ascii="Times New Roman" w:hAnsi="Times New Roman"/>
                <w:sz w:val="24"/>
              </w:rPr>
              <w:t xml:space="preserve">EU </w:t>
            </w:r>
            <w:r>
              <w:rPr>
                <w:rFonts w:ascii="Times New Roman" w:hAnsi="Times New Roman"/>
                <w:sz w:val="24"/>
              </w:rPr>
              <w:t>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Sekuritizace </w:t>
            </w:r>
          </w:p>
          <w:p w14:paraId="03D9D77A" w14:textId="1FBD3C9E" w:rsidR="00FD656A" w:rsidRPr="007F4CC8" w:rsidRDefault="00FD656A" w:rsidP="001D27FC">
            <w:pPr>
              <w:jc w:val="both"/>
              <w:rPr>
                <w:rFonts w:ascii="Times New Roman" w:hAnsi="Times New Roman" w:cs="Times New Roman"/>
                <w:sz w:val="24"/>
              </w:rPr>
            </w:pPr>
            <w:r>
              <w:rPr>
                <w:rFonts w:ascii="Times New Roman" w:hAnsi="Times New Roman"/>
                <w:sz w:val="24"/>
              </w:rPr>
              <w:t xml:space="preserve">Celkový objem nesplacených sekuritizovaných pozic ve smyslu čl. 4 odst. 1 bodu 62 CRR, které nejsou </w:t>
            </w:r>
            <w:proofErr w:type="spellStart"/>
            <w:r>
              <w:rPr>
                <w:rFonts w:ascii="Times New Roman" w:hAnsi="Times New Roman"/>
                <w:sz w:val="24"/>
              </w:rPr>
              <w:t>resekuritizovanými</w:t>
            </w:r>
            <w:proofErr w:type="spellEnd"/>
            <w:r>
              <w:rPr>
                <w:rFonts w:ascii="Times New Roman" w:hAnsi="Times New Roman"/>
                <w:sz w:val="24"/>
              </w:rPr>
              <w:t xml:space="preserve"> pozicemi ve smyslu čl. 4 odst. 1 bodu 64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6898CB38"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Viz vysvětlení k šabloně </w:t>
            </w:r>
            <w:r w:rsidR="00CC4769">
              <w:rPr>
                <w:rFonts w:ascii="Times New Roman" w:hAnsi="Times New Roman"/>
                <w:sz w:val="24"/>
              </w:rPr>
              <w:t xml:space="preserve">EU </w:t>
            </w:r>
            <w:r>
              <w:rPr>
                <w:rFonts w:ascii="Times New Roman" w:hAnsi="Times New Roman"/>
                <w:sz w:val="24"/>
              </w:rPr>
              <w:t>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Resekuritizace</w:t>
            </w:r>
            <w:proofErr w:type="spellEnd"/>
          </w:p>
          <w:p w14:paraId="25C089FC" w14:textId="3BE90022"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Viz vysvětlení k šabloně </w:t>
            </w:r>
            <w:r w:rsidR="00CC4769">
              <w:rPr>
                <w:rFonts w:ascii="Times New Roman" w:hAnsi="Times New Roman"/>
                <w:sz w:val="24"/>
              </w:rPr>
              <w:t xml:space="preserve">EU </w:t>
            </w:r>
            <w:r>
              <w:rPr>
                <w:rFonts w:ascii="Times New Roman" w:hAnsi="Times New Roman"/>
                <w:sz w:val="24"/>
              </w:rPr>
              <w:t>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Syntetické transakce</w:t>
            </w:r>
          </w:p>
          <w:p w14:paraId="502DDA4D" w14:textId="72C1C08B"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Viz vysvětlení k šabloně </w:t>
            </w:r>
            <w:r w:rsidR="00CC4769">
              <w:rPr>
                <w:rFonts w:ascii="Times New Roman" w:hAnsi="Times New Roman"/>
                <w:sz w:val="24"/>
              </w:rPr>
              <w:t xml:space="preserve">EU </w:t>
            </w:r>
            <w:r>
              <w:rPr>
                <w:rFonts w:ascii="Times New Roman" w:hAnsi="Times New Roman"/>
                <w:sz w:val="24"/>
              </w:rPr>
              <w:t>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4322AB50" w:rsidR="00FD656A" w:rsidRPr="007F4CC8" w:rsidRDefault="00FD656A" w:rsidP="00FD656A">
      <w:pPr>
        <w:rPr>
          <w:rFonts w:ascii="Times New Roman" w:hAnsi="Times New Roman" w:cs="Times New Roman"/>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SEC4 – </w:t>
      </w:r>
      <w:proofErr w:type="spellStart"/>
      <w:r>
        <w:rPr>
          <w:rFonts w:ascii="Times New Roman" w:hAnsi="Times New Roman"/>
          <w:b/>
          <w:sz w:val="24"/>
        </w:rPr>
        <w:t>Sekuritizované</w:t>
      </w:r>
      <w:proofErr w:type="spellEnd"/>
      <w:r>
        <w:rPr>
          <w:rFonts w:ascii="Times New Roman" w:hAnsi="Times New Roman"/>
          <w:b/>
          <w:sz w:val="24"/>
        </w:rPr>
        <w:t xml:space="preserve"> expozice v investičním portfoliu a související regulatorní kapitálové požadavky – instituce jednající jako investor. </w:t>
      </w:r>
      <w:r>
        <w:rPr>
          <w:rFonts w:ascii="Times New Roman" w:hAnsi="Times New Roman"/>
          <w:sz w:val="24"/>
        </w:rPr>
        <w:t>Pevně daný formát</w:t>
      </w:r>
    </w:p>
    <w:p w14:paraId="1B1244CB" w14:textId="3DC463D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Informace uvedené v čl. 449 písm. bodu k) </w:t>
      </w:r>
      <w:proofErr w:type="spellStart"/>
      <w:r>
        <w:rPr>
          <w:rFonts w:ascii="Times New Roman" w:hAnsi="Times New Roman"/>
          <w:bCs/>
          <w:sz w:val="24"/>
        </w:rPr>
        <w:t>ii</w:t>
      </w:r>
      <w:proofErr w:type="spellEnd"/>
      <w:r>
        <w:rPr>
          <w:rFonts w:ascii="Times New Roman" w:hAnsi="Times New Roman"/>
          <w:bCs/>
          <w:sz w:val="24"/>
        </w:rPr>
        <w:t xml:space="preserve">)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SEC4, obsažené v příloze XXVII tohoto prováděcího nařízení.</w:t>
      </w:r>
    </w:p>
    <w:p w14:paraId="26E5EFB2" w14:textId="10F5E602"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 xml:space="preserve">Instituce se v tomto případě řídí pokyny k šabloně </w:t>
      </w:r>
      <w:r w:rsidR="00CC4769">
        <w:rPr>
          <w:rFonts w:ascii="Times New Roman" w:hAnsi="Times New Roman"/>
          <w:sz w:val="24"/>
        </w:rPr>
        <w:t xml:space="preserve">EU </w:t>
      </w:r>
      <w:r>
        <w:rPr>
          <w:rFonts w:ascii="Times New Roman" w:hAnsi="Times New Roman"/>
          <w:sz w:val="24"/>
        </w:rPr>
        <w:t>SEC3 – Sekuritizační expozice v investičním portfoliu a související regulatorní kapitálové požadavky – instituce jedná jako původce nebo jako sponzor.</w:t>
      </w:r>
    </w:p>
    <w:p w14:paraId="5E29523C" w14:textId="77777777" w:rsidR="00FD656A" w:rsidRPr="007F4CC8" w:rsidRDefault="00FD656A" w:rsidP="00FD656A">
      <w:pPr>
        <w:rPr>
          <w:rFonts w:ascii="Times New Roman" w:hAnsi="Times New Roman" w:cs="Times New Roman"/>
          <w:sz w:val="24"/>
        </w:rPr>
      </w:pPr>
    </w:p>
    <w:p w14:paraId="7244A814" w14:textId="4D5AFF91" w:rsidR="00FD656A" w:rsidRPr="007F4CC8" w:rsidRDefault="00FD656A" w:rsidP="00FD656A">
      <w:pPr>
        <w:rPr>
          <w:rFonts w:ascii="Times New Roman" w:hAnsi="Times New Roman" w:cs="Times New Roman"/>
          <w:b/>
          <w:sz w:val="24"/>
        </w:rPr>
      </w:pPr>
      <w:r>
        <w:rPr>
          <w:rFonts w:ascii="Times New Roman" w:hAnsi="Times New Roman"/>
          <w:b/>
          <w:sz w:val="24"/>
        </w:rPr>
        <w:t xml:space="preserve">Šablona </w:t>
      </w:r>
      <w:r w:rsidR="00CC4769">
        <w:rPr>
          <w:rFonts w:ascii="Times New Roman" w:hAnsi="Times New Roman"/>
          <w:b/>
          <w:sz w:val="24"/>
        </w:rPr>
        <w:t xml:space="preserve">EU </w:t>
      </w:r>
      <w:r>
        <w:rPr>
          <w:rFonts w:ascii="Times New Roman" w:hAnsi="Times New Roman"/>
          <w:b/>
          <w:sz w:val="24"/>
        </w:rPr>
        <w:t xml:space="preserve">SEC5 – Expozice </w:t>
      </w:r>
      <w:proofErr w:type="spellStart"/>
      <w:r>
        <w:rPr>
          <w:rFonts w:ascii="Times New Roman" w:hAnsi="Times New Roman"/>
          <w:b/>
          <w:sz w:val="24"/>
        </w:rPr>
        <w:t>sekuritizované</w:t>
      </w:r>
      <w:proofErr w:type="spellEnd"/>
      <w:r>
        <w:rPr>
          <w:rFonts w:ascii="Times New Roman" w:hAnsi="Times New Roman"/>
          <w:b/>
          <w:sz w:val="24"/>
        </w:rPr>
        <w:t xml:space="preserve"> institucí – Expozice v selhání a specifické úpravy o úvěrové riziko. </w:t>
      </w:r>
      <w:r>
        <w:rPr>
          <w:rFonts w:ascii="Times New Roman" w:hAnsi="Times New Roman"/>
          <w:sz w:val="24"/>
        </w:rPr>
        <w:t>Pevně daný formát</w:t>
      </w:r>
    </w:p>
    <w:p w14:paraId="4EF0F0C4" w14:textId="51A0816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Informace uvedené v čl. 449 písm. l) CRR zpřístupňují instituce podle druhu </w:t>
      </w:r>
      <w:proofErr w:type="spellStart"/>
      <w:r>
        <w:rPr>
          <w:rFonts w:ascii="Times New Roman" w:hAnsi="Times New Roman"/>
          <w:bCs/>
          <w:sz w:val="24"/>
        </w:rPr>
        <w:t>sekuritizované</w:t>
      </w:r>
      <w:proofErr w:type="spellEnd"/>
      <w:r>
        <w:rPr>
          <w:rFonts w:ascii="Times New Roman" w:hAnsi="Times New Roman"/>
          <w:bCs/>
          <w:sz w:val="24"/>
        </w:rPr>
        <w:t xml:space="preserve"> expozice, a to podle níže uvedených pokynů k vyplnění šablony </w:t>
      </w:r>
      <w:r w:rsidR="00CC4769">
        <w:rPr>
          <w:rFonts w:ascii="Times New Roman" w:hAnsi="Times New Roman"/>
          <w:bCs/>
          <w:sz w:val="24"/>
        </w:rPr>
        <w:t xml:space="preserve">EU </w:t>
      </w:r>
      <w:r>
        <w:rPr>
          <w:rFonts w:ascii="Times New Roman" w:hAnsi="Times New Roman"/>
          <w:bCs/>
          <w:sz w:val="24"/>
        </w:rPr>
        <w:t>SEC5, obsažené v příloze XXVII tohoto prováděcího nařízení.</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Odkazy na právní předpisy a pokyny</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Sloupec</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Celková nesplacená nominální hodnota</w:t>
            </w:r>
          </w:p>
          <w:p w14:paraId="093F3639" w14:textId="49C338E5" w:rsidR="00FD656A" w:rsidRPr="007F4CC8" w:rsidRDefault="00FD656A" w:rsidP="001D27FC">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Celková nesplacená nominální hodnota expozic sekuritizovaných institucí (instituce jedná jako původce nebo jako sponzor) v členění podle druhu </w:t>
            </w:r>
            <w:proofErr w:type="spellStart"/>
            <w:r>
              <w:rPr>
                <w:rFonts w:ascii="Times New Roman" w:hAnsi="Times New Roman"/>
                <w:sz w:val="24"/>
              </w:rPr>
              <w:t>sekuritizované</w:t>
            </w:r>
            <w:proofErr w:type="spellEnd"/>
            <w:r>
              <w:rPr>
                <w:rFonts w:ascii="Times New Roman" w:hAnsi="Times New Roman"/>
                <w:sz w:val="24"/>
              </w:rPr>
              <w:t xml:space="preserve"> expozice</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Celková nesplacená nominální hodnota - z toho expozice v selhání</w:t>
            </w:r>
          </w:p>
          <w:p w14:paraId="0EFCD670" w14:textId="0C704E0D" w:rsidR="00FD656A" w:rsidRPr="007F4CC8" w:rsidRDefault="00FD656A" w:rsidP="001D27FC">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Celková nesplacená nominální hodnota </w:t>
            </w:r>
            <w:r>
              <w:rPr>
                <w:rFonts w:ascii="Times New Roman" w:hAnsi="Times New Roman"/>
                <w:sz w:val="24"/>
              </w:rPr>
              <w:t xml:space="preserve">expozic sekuritizovaných institucí (instituce jedná jako původce nebo jako sponzor), </w:t>
            </w:r>
            <w:r>
              <w:rPr>
                <w:rStyle w:val="InstructionsTabelleText"/>
                <w:rFonts w:ascii="Times New Roman" w:hAnsi="Times New Roman"/>
                <w:sz w:val="24"/>
              </w:rPr>
              <w:t>které byly klasifikovány jako „expozice v selhání“ v souladu s článkem 178 CRR,</w:t>
            </w:r>
            <w:r>
              <w:rPr>
                <w:rFonts w:ascii="Times New Roman" w:hAnsi="Times New Roman"/>
                <w:sz w:val="24"/>
              </w:rPr>
              <w:t xml:space="preserve"> v členění podle druhu </w:t>
            </w:r>
            <w:proofErr w:type="spellStart"/>
            <w:r>
              <w:rPr>
                <w:rFonts w:ascii="Times New Roman" w:hAnsi="Times New Roman"/>
                <w:sz w:val="24"/>
              </w:rPr>
              <w:t>sekuritizované</w:t>
            </w:r>
            <w:proofErr w:type="spellEnd"/>
            <w:r>
              <w:rPr>
                <w:rFonts w:ascii="Times New Roman" w:hAnsi="Times New Roman"/>
                <w:sz w:val="24"/>
              </w:rPr>
              <w:t xml:space="preserve"> expozice</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Specifické úpravy o úvěrové riziko provedené v daném období</w:t>
            </w:r>
          </w:p>
          <w:p w14:paraId="00230EE3" w14:textId="0AA62FF5" w:rsidR="00FD656A" w:rsidRPr="007F4CC8" w:rsidRDefault="00FD656A" w:rsidP="001D27FC">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Objem specifických úprav o úvěrové riziko provedených během období v souladu s článkem 110 CRR u expozic sekuritizovaných institucí (instituce vystupuje jako původce nebo jako sponzor) v členění podle druhu </w:t>
            </w:r>
            <w:proofErr w:type="spellStart"/>
            <w:r>
              <w:rPr>
                <w:rFonts w:ascii="Times New Roman" w:hAnsi="Times New Roman"/>
                <w:sz w:val="24"/>
              </w:rPr>
              <w:t>sekuritizované</w:t>
            </w:r>
            <w:proofErr w:type="spellEnd"/>
            <w:r>
              <w:rPr>
                <w:rFonts w:ascii="Times New Roman" w:hAnsi="Times New Roman"/>
                <w:sz w:val="24"/>
              </w:rPr>
              <w:t xml:space="preserve"> expozice</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PŘÍLOHA XXX – Tabulky a šablony pro zveřejňování informací o tržním riziku podle standardizovaného a interního přístupu: Pokyny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Tato příloha obsahuje pokyny, kterými se instituce musí řídit při zveřejňování informací uvedených v článcích 435, 445 a 455 nařízení (EU) č. 575/2013</w:t>
      </w:r>
      <w:r w:rsidRPr="007F4CC8">
        <w:rPr>
          <w:rStyle w:val="FootnoteReference"/>
          <w:rFonts w:cs="Times New Roman"/>
          <w:color w:val="auto"/>
          <w:lang w:val="en-GB"/>
        </w:rPr>
        <w:footnoteReference w:id="44"/>
      </w:r>
      <w:r>
        <w:rPr>
          <w:rFonts w:ascii="Times New Roman" w:hAnsi="Times New Roman"/>
          <w:color w:val="auto"/>
          <w:sz w:val="24"/>
        </w:rPr>
        <w:t xml:space="preserve"> (dále jen „CRR“), aby doplnily tabulky a šablony pro zveřejňování tržních rizik, které jsou uvedeny v příloze XXIX tohoto prováděcího nařízení.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Tabulka EU MRA</w:t>
      </w:r>
      <w:r>
        <w:rPr>
          <w:rFonts w:ascii="Times New Roman" w:hAnsi="Times New Roman"/>
          <w:sz w:val="24"/>
        </w:rPr>
        <w:t xml:space="preserve"> </w:t>
      </w:r>
      <w:r>
        <w:rPr>
          <w:rFonts w:ascii="Times New Roman" w:hAnsi="Times New Roman"/>
          <w:b/>
          <w:sz w:val="24"/>
        </w:rPr>
        <w:t>– Požadavky na zveřejňování kvalitativních informací týkajících se tržního rizika:</w:t>
      </w:r>
      <w:r>
        <w:rPr>
          <w:rFonts w:ascii="Times New Roman" w:hAnsi="Times New Roman"/>
          <w:sz w:val="24"/>
        </w:rPr>
        <w:t xml:space="preserve"> Pole s volně zadávanými údaji</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 xml:space="preserve">Informace uvedené v čl. 435 odst. 1 písm. a) až d) CRR týkající se tržního rizika zpřístupňují instituce podle následujících pokynů k vyplnění šablony EU </w:t>
      </w:r>
      <w:proofErr w:type="gramStart"/>
      <w:r>
        <w:rPr>
          <w:rFonts w:ascii="Times New Roman" w:hAnsi="Times New Roman"/>
          <w:bCs w:val="0"/>
          <w:color w:val="000000"/>
          <w:sz w:val="24"/>
        </w:rPr>
        <w:t>MRA</w:t>
      </w:r>
      <w:proofErr w:type="gramEnd"/>
      <w:r>
        <w:rPr>
          <w:rFonts w:ascii="Times New Roman" w:hAnsi="Times New Roman"/>
          <w:bCs w:val="0"/>
          <w:color w:val="000000"/>
          <w:sz w:val="24"/>
        </w:rPr>
        <w:t>, obsažené v příloze XXIX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Vysvětlení</w:t>
            </w:r>
          </w:p>
        </w:tc>
      </w:tr>
      <w:tr w:rsidR="00203C1C" w:rsidRPr="007F4CC8" w14:paraId="53C1F101" w14:textId="77777777" w:rsidTr="00155C96">
        <w:trPr>
          <w:trHeight w:val="680"/>
        </w:trPr>
        <w:tc>
          <w:tcPr>
            <w:tcW w:w="1384" w:type="dxa"/>
          </w:tcPr>
          <w:p w14:paraId="32AAAE6A" w14:textId="72471724"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Při zveřejňování informací uvedených v čl. 435 odst. 1 písm. a) a d) CRR týkajících se cílů a zásad řízení rizik pro řízení tržního rizika instituce zahrnou:</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vysvětlení strategických cílů jejich vedení při provádění obchodních činností,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zavedené postupy identifikace, měření, sledování a řízení tržních rizik instituce,</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zásady zajištění a snižování rizika,</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strategie a postupy sledování trvalé účinnosti zajištění.</w:t>
            </w:r>
          </w:p>
        </w:tc>
      </w:tr>
      <w:tr w:rsidR="00203C1C" w:rsidRPr="007F4CC8" w14:paraId="3F01BBBA" w14:textId="77777777" w:rsidTr="00155C96">
        <w:trPr>
          <w:trHeight w:val="680"/>
        </w:trPr>
        <w:tc>
          <w:tcPr>
            <w:tcW w:w="1384" w:type="dxa"/>
          </w:tcPr>
          <w:p w14:paraId="52479A50" w14:textId="5DBF42F0"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Při zveřejňování informací uvedených v čl. 435 odst. 1 písm. b) CRR o struktuře a organizaci funkce řízení tržních rizik instituce uvedou:</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popis struktury řízení tržních rizik zřízené za účelem provádění strategií a procesů instituce uvedených v řádku a) výše,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popis vztahů a komunikačních mechanismů mezi různými stranami zapojenými do řízení tržních rizik. </w:t>
            </w:r>
          </w:p>
        </w:tc>
      </w:tr>
      <w:tr w:rsidR="00203C1C" w:rsidRPr="007F4CC8" w14:paraId="0E940734" w14:textId="77777777" w:rsidTr="00155C96">
        <w:trPr>
          <w:trHeight w:val="436"/>
        </w:trPr>
        <w:tc>
          <w:tcPr>
            <w:tcW w:w="1384" w:type="dxa"/>
          </w:tcPr>
          <w:p w14:paraId="408BB1DA" w14:textId="39B1F94A" w:rsidR="00203C1C" w:rsidRPr="007F4CC8" w:rsidRDefault="006E02CE" w:rsidP="00155C96">
            <w:pPr>
              <w:pStyle w:val="Applicationdirecte"/>
              <w:spacing w:before="0" w:after="240"/>
              <w:jc w:val="center"/>
            </w:pPr>
            <w:r>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Při zveřejňování informací uvedených v čl. 435 odst. 1 písm. c) CRR o rozsahu a povaze systémů zveřejňování a měření tržních rizik instituce poskytnou popis rozsahu a povahy zveřejňování tržních rizik a systémů měření. </w:t>
            </w:r>
          </w:p>
        </w:tc>
      </w:tr>
    </w:tbl>
    <w:p w14:paraId="5FE50BEA" w14:textId="77777777" w:rsidR="00203C1C" w:rsidRPr="00320783"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Šablona EU MR1 – Tržní riziko podle standardizovaného přístupu</w:t>
      </w:r>
      <w:r>
        <w:rPr>
          <w:rFonts w:ascii="Times New Roman" w:hAnsi="Times New Roman"/>
          <w:color w:val="auto"/>
          <w:sz w:val="24"/>
        </w:rPr>
        <w:t>: Pevně daný formát</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Informace uvedené v čl. 445 CRR zpřístupňují instituce podle následujících pokynů k vyplnění šablony EU MR1, obsažené v příloze XXIX tohoto prováděcího nařízení.</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Řádek</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Přímé produkty</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Úrokové riziko (obecné a specifické) </w:t>
            </w:r>
          </w:p>
          <w:p w14:paraId="41EBBFD3" w14:textId="4FB69B82" w:rsidR="00203C1C" w:rsidRPr="007F4CC8" w:rsidRDefault="00203C1C" w:rsidP="001D27FC">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Obecné a specifické riziko pozic v obchodovaných dluhových nástrojích v obchodním portfoliu v souladu s částí třetí hlavou IV kapitolou 2 CRR, s výjimkou specifického rizika spojeného se </w:t>
            </w:r>
            <w:proofErr w:type="spellStart"/>
            <w:r>
              <w:rPr>
                <w:rFonts w:ascii="Times New Roman" w:hAnsi="Times New Roman"/>
                <w:sz w:val="24"/>
              </w:rPr>
              <w:t>sekuritizací</w:t>
            </w:r>
            <w:proofErr w:type="spellEnd"/>
            <w:r>
              <w:rPr>
                <w:rFonts w:ascii="Times New Roman" w:hAnsi="Times New Roman"/>
                <w:sz w:val="24"/>
              </w:rPr>
              <w:t>, které zároveň nejsou volitelné</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Akciové riziko (obecné a specifické)</w:t>
            </w:r>
          </w:p>
          <w:p w14:paraId="31F702CB" w14:textId="68F97126"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Obecné a specifické riziko pozic v akciích v obchodním portfoliu v souladu s částí třetí hlavou IV kapitolou 2 CRR, s výjimkou nepovin</w:t>
            </w:r>
            <w:r w:rsidR="001D27FC">
              <w:rPr>
                <w:rFonts w:ascii="Times New Roman" w:hAnsi="Times New Roman"/>
                <w:sz w:val="24"/>
              </w:rPr>
              <w:t>ných nástrojů</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Měnové riziko</w:t>
            </w:r>
          </w:p>
          <w:p w14:paraId="7628F8C1" w14:textId="1DA482D7"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Riziko pozic v cizí měně podle části třetí hlavy IV kapitoly 3 CRR, s výjimkou nepovinných nástrojů</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Komoditní riziko</w:t>
            </w:r>
          </w:p>
          <w:p w14:paraId="049FF5D5" w14:textId="72DF16B8"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Riziko pozic v komoditách podle části třetí hlavy IV kapitoly 4 CRR, s výjimkou nepovinných nástrojů</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Opce</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Zjednodušená metoda</w:t>
            </w:r>
          </w:p>
          <w:p w14:paraId="3C1371D3" w14:textId="3C991278"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Opce nebo opční listy definované v části třetí hlavě IV kapitole 2 čl. 329 odst. 3 CRR, pro které instituce vypočítávají kapitálové požadavky související s jiným rizikem než rizikem delta pomocí zjednodušeného přístupu</w:t>
            </w:r>
            <w:r w:rsidRPr="007F4CC8">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Metoda Delta-plus</w:t>
            </w:r>
          </w:p>
          <w:p w14:paraId="11A872D3" w14:textId="2DE226E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Opce nebo opční listy v obchodním portfoliu ve smyslu čl. 329 odst. 3 kapitoly 2 hlavy IV části třetí CRR, pro které instituce vypočítávají kapitálové požadavky související s jiným rizikem než rizikem delta pomocí přístupu delta plus</w:t>
            </w:r>
            <w:r w:rsidRPr="007F4CC8">
              <w:rPr>
                <w:rStyle w:val="FootnoteReference"/>
                <w:rFonts w:eastAsia="Times New Roman" w:cs="Times New Roman"/>
              </w:rPr>
              <w:footnoteReference w:id="46"/>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Přístup podle scénáře</w:t>
            </w:r>
          </w:p>
          <w:p w14:paraId="34E43048" w14:textId="290252AC"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Opce nebo opční listy v obchodním portfoliu ve smyslu čl. 329 odst. 3 kapitoly 2 hlavy IV části třetí CRR, pro které instituce vypočítávají kapitálové požadavky související s rizikem jiným než delta pomocí přístupu podle scénáře</w:t>
            </w:r>
            <w:r w:rsidRPr="007F4CC8">
              <w:rPr>
                <w:rStyle w:val="FootnoteReference"/>
                <w:rFonts w:eastAsia="Times New Roman" w:cs="Times New Roman"/>
              </w:rPr>
              <w:footnoteReference w:id="47"/>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Sekuritizace (specifické riziko)</w:t>
            </w:r>
          </w:p>
          <w:p w14:paraId="4C3784F6" w14:textId="19767D69"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 xml:space="preserve">Specifické riziko sekuritizačních pozic v obchodním portfoliu podle části třetí hlavy IV </w:t>
            </w:r>
            <w:r w:rsidR="001D27FC">
              <w:rPr>
                <w:rFonts w:ascii="Times New Roman" w:hAnsi="Times New Roman"/>
                <w:sz w:val="24"/>
              </w:rPr>
              <w:t>kapitoly 2 článků 337 a 338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Celkem</w:t>
            </w:r>
          </w:p>
          <w:p w14:paraId="0B091741" w14:textId="7627793C" w:rsidR="00203C1C" w:rsidRPr="007F4CC8" w:rsidRDefault="00203C1C" w:rsidP="001D27FC">
            <w:pPr>
              <w:spacing w:after="240"/>
              <w:rPr>
                <w:rFonts w:ascii="Times New Roman" w:hAnsi="Times New Roman" w:cs="Times New Roman"/>
                <w:sz w:val="24"/>
              </w:rPr>
            </w:pPr>
            <w:r>
              <w:rPr>
                <w:rFonts w:ascii="Times New Roman" w:hAnsi="Times New Roman"/>
                <w:sz w:val="24"/>
              </w:rPr>
              <w:t>Součet hodnot v řádcích 1 až 8 této šablony</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Sloupec</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w:t>
            </w:r>
          </w:p>
          <w:p w14:paraId="56F10A61" w14:textId="7B1AE9C1"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Zveřejnění rizikově vážených expozic uvedených v čl. 438 písm. d) CRR, vypočítaných jako hodnota ve sloupci b</w:t>
            </w:r>
            <w:r w:rsidR="005B280B">
              <w:rPr>
                <w:rFonts w:ascii="Times New Roman" w:hAnsi="Times New Roman"/>
                <w:sz w:val="24"/>
              </w:rPr>
              <w:t>)</w:t>
            </w:r>
            <w:r>
              <w:rPr>
                <w:rFonts w:ascii="Times New Roman" w:hAnsi="Times New Roman"/>
                <w:sz w:val="24"/>
              </w:rPr>
              <w:t xml:space="preserve"> vynásobená 12,5 v souladu s čl. 92 odst. 4 písm. b) CRR</w:t>
            </w:r>
          </w:p>
        </w:tc>
      </w:tr>
    </w:tbl>
    <w:p w14:paraId="349F27AF" w14:textId="77777777" w:rsidR="00203C1C" w:rsidRPr="005B280B"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Tabulka EU MRB: Požadavky na zpřístupnění kvalitativních informací pro instituce, které používají interní modely pro tržní riziko</w:t>
      </w:r>
      <w:r>
        <w:rPr>
          <w:rFonts w:ascii="Times New Roman" w:hAnsi="Times New Roman"/>
          <w:sz w:val="24"/>
        </w:rPr>
        <w:t>: volný formát</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lastRenderedPageBreak/>
        <w:t>Informace uvedené v čl. 455 písm. a) b), c) a f) CRR zpřístupňují instituce podle následujících pokynů k vyplnění šablony EU MRB, obsažené v příloze XXIX tohoto prováděcího nařízení.</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Řádek</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DA83432" w:rsidR="00203C1C" w:rsidRPr="007F4CC8" w:rsidRDefault="00DF112E" w:rsidP="00B77F75">
            <w:pPr>
              <w:spacing w:after="240"/>
              <w:jc w:val="center"/>
              <w:rPr>
                <w:rFonts w:ascii="Times New Roman" w:hAnsi="Times New Roman" w:cs="Times New Roman"/>
                <w:b/>
                <w:sz w:val="24"/>
              </w:rPr>
            </w:pPr>
            <w:r>
              <w:rPr>
                <w:rFonts w:ascii="Times New Roman" w:hAnsi="Times New Roman"/>
                <w:sz w:val="24"/>
              </w:rPr>
              <w:t xml:space="preserve">EU </w:t>
            </w:r>
            <w:r w:rsidR="00B77F75">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Při zveřejňování informací uvedených v čl. 455 písm. c) CRR o rozsahu a metodikách pro splnění požadavků článku 104 CRR instituce uvedou:</w:t>
            </w:r>
          </w:p>
          <w:p w14:paraId="506D32A6" w14:textId="3A345966"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popis postupů a systémů zavedených k zajištění obchodovatelnosti pozic obsažených v obchodním portfoliu, aby splňovaly požadavky článku 104 CRR</w:t>
            </w:r>
            <w:r w:rsidR="001D27FC">
              <w:rPr>
                <w:rFonts w:ascii="Times New Roman" w:hAnsi="Times New Roman"/>
                <w:sz w:val="24"/>
                <w:szCs w:val="24"/>
              </w:rPr>
              <w:t>,</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popis metodiky použité k zajištění vhodnosti zásad a postupů zavedených pro celkové řízení obchodního portfolia.</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732A296" w:rsidR="00203C1C" w:rsidRPr="007F4CC8" w:rsidRDefault="00DF112E" w:rsidP="00B77F75">
            <w:pPr>
              <w:spacing w:after="240"/>
              <w:jc w:val="center"/>
              <w:rPr>
                <w:rFonts w:ascii="Times New Roman" w:hAnsi="Times New Roman" w:cs="Times New Roman"/>
                <w:b/>
                <w:sz w:val="24"/>
              </w:rPr>
            </w:pPr>
            <w:r>
              <w:rPr>
                <w:rFonts w:ascii="Times New Roman" w:hAnsi="Times New Roman"/>
                <w:sz w:val="24"/>
              </w:rPr>
              <w:t xml:space="preserve">EU </w:t>
            </w:r>
            <w:r w:rsidR="00B77F75">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Při zveřejňování informací uvedených v čl. 455 písm. c) CRR o rozsahu a metodikách pro splnění požadavků článku 105 CRR instituce zahrnou:</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popis metodik oceňování, včetně vysvětlení, jak dalece se používají metodiky oceňování podle tržní hodnoty a podle modelu,</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popis nezávislého procesu ověřování cen,</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postupy pro úpravy ocenění nebo rezervy (včetně popisu procesu a metodiky oceňování obchodních pozic podle druhu nástroje).</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3E3C22C9"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Instituce, které používají </w:t>
            </w:r>
            <w:proofErr w:type="spellStart"/>
            <w:r>
              <w:rPr>
                <w:rFonts w:ascii="Times New Roman" w:hAnsi="Times New Roman"/>
                <w:b/>
                <w:sz w:val="24"/>
              </w:rPr>
              <w:t>VaR</w:t>
            </w:r>
            <w:proofErr w:type="spellEnd"/>
            <w:r>
              <w:rPr>
                <w:rFonts w:ascii="Times New Roman" w:hAnsi="Times New Roman"/>
                <w:b/>
                <w:sz w:val="24"/>
              </w:rPr>
              <w:t xml:space="preserve"> modely a </w:t>
            </w:r>
            <w:proofErr w:type="spellStart"/>
            <w:r>
              <w:rPr>
                <w:rFonts w:ascii="Times New Roman" w:hAnsi="Times New Roman"/>
                <w:b/>
                <w:sz w:val="24"/>
              </w:rPr>
              <w:t>SVaR</w:t>
            </w:r>
            <w:proofErr w:type="spellEnd"/>
            <w:r>
              <w:rPr>
                <w:rFonts w:ascii="Times New Roman" w:hAnsi="Times New Roman"/>
                <w:b/>
                <w:sz w:val="24"/>
              </w:rPr>
              <w:t xml:space="preserve"> modely, jak jsou definovány v článku 365 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89BC48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Při zveřejňování informací uvedených v čl. 455 písm. a) bodě i) a čl. 455 písm. b) CRR instituce popíší činnosti a rizika, na které se vztahují modely </w:t>
            </w:r>
            <w:proofErr w:type="spellStart"/>
            <w:r>
              <w:rPr>
                <w:rFonts w:ascii="Times New Roman" w:hAnsi="Times New Roman"/>
                <w:sz w:val="24"/>
              </w:rPr>
              <w:t>VaR</w:t>
            </w:r>
            <w:proofErr w:type="spellEnd"/>
            <w:r>
              <w:rPr>
                <w:rFonts w:ascii="Times New Roman" w:hAnsi="Times New Roman"/>
                <w:sz w:val="24"/>
              </w:rPr>
              <w:t xml:space="preserve"> a </w:t>
            </w:r>
            <w:proofErr w:type="spellStart"/>
            <w:r>
              <w:rPr>
                <w:rFonts w:ascii="Times New Roman" w:hAnsi="Times New Roman"/>
                <w:sz w:val="24"/>
              </w:rPr>
              <w:t>SVaR</w:t>
            </w:r>
            <w:proofErr w:type="spellEnd"/>
            <w:r>
              <w:rPr>
                <w:rFonts w:ascii="Times New Roman" w:hAnsi="Times New Roman"/>
                <w:sz w:val="24"/>
              </w:rPr>
              <w:t>, a upřesní, jak jsou rozloženy v portfoliích / dílčích portfoliích, pro která příslušný orgán udělil povolení.</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05BB086B"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Při zveřejňování podle čl. 455 písm. b) nařízení o kapitálových požadavcích instituce uvedou:</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popis rozsahu použití modelů </w:t>
            </w:r>
            <w:proofErr w:type="spellStart"/>
            <w:r>
              <w:rPr>
                <w:rFonts w:ascii="Times New Roman" w:hAnsi="Times New Roman"/>
                <w:sz w:val="24"/>
                <w:szCs w:val="24"/>
              </w:rPr>
              <w:t>VaR</w:t>
            </w:r>
            <w:proofErr w:type="spellEnd"/>
            <w:r>
              <w:rPr>
                <w:rFonts w:ascii="Times New Roman" w:hAnsi="Times New Roman"/>
                <w:sz w:val="24"/>
                <w:szCs w:val="24"/>
              </w:rPr>
              <w:t xml:space="preserve"> a </w:t>
            </w:r>
            <w:proofErr w:type="spellStart"/>
            <w:r>
              <w:rPr>
                <w:rFonts w:ascii="Times New Roman" w:hAnsi="Times New Roman"/>
                <w:sz w:val="24"/>
                <w:szCs w:val="24"/>
              </w:rPr>
              <w:t>SVaR</w:t>
            </w:r>
            <w:proofErr w:type="spellEnd"/>
            <w:r>
              <w:rPr>
                <w:rFonts w:ascii="Times New Roman" w:hAnsi="Times New Roman"/>
                <w:sz w:val="24"/>
                <w:szCs w:val="24"/>
              </w:rPr>
              <w:t xml:space="preserve">, pro které příslušný orgán udělil povolení,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jsou-li relevantní, informace o tom, které subjekty ve skupině tyto modely používají a jak modely představují všechny modely používané na úrovni skupiny, jakož i procento kapitálových požadavků zahrnutých do modelů / nebo jsou-li stejné modely </w:t>
            </w:r>
            <w:proofErr w:type="spellStart"/>
            <w:r>
              <w:rPr>
                <w:rFonts w:ascii="Times New Roman" w:hAnsi="Times New Roman"/>
                <w:sz w:val="24"/>
                <w:szCs w:val="24"/>
              </w:rPr>
              <w:lastRenderedPageBreak/>
              <w:t>VaR</w:t>
            </w:r>
            <w:proofErr w:type="spellEnd"/>
            <w:r>
              <w:rPr>
                <w:rFonts w:ascii="Times New Roman" w:hAnsi="Times New Roman"/>
                <w:sz w:val="24"/>
                <w:szCs w:val="24"/>
              </w:rPr>
              <w:t>/</w:t>
            </w:r>
            <w:proofErr w:type="spellStart"/>
            <w:r>
              <w:rPr>
                <w:rFonts w:ascii="Times New Roman" w:hAnsi="Times New Roman"/>
                <w:sz w:val="24"/>
                <w:szCs w:val="24"/>
              </w:rPr>
              <w:t>SVaR</w:t>
            </w:r>
            <w:proofErr w:type="spellEnd"/>
            <w:r>
              <w:rPr>
                <w:rFonts w:ascii="Times New Roman" w:hAnsi="Times New Roman"/>
                <w:sz w:val="24"/>
                <w:szCs w:val="24"/>
              </w:rPr>
              <w:t xml:space="preserve"> používány pro všechny subjekty s expozicí vůči tržnímu riziku.</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Zveřejňování informací uvedených v čl. 455 písm. a) bodě i) CRR o charakteristikách použitého modelu zahrnuje:</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77DC0BBF"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Obecného popisu modelů </w:t>
            </w:r>
            <w:proofErr w:type="spellStart"/>
            <w:r>
              <w:rPr>
                <w:rFonts w:ascii="Times New Roman" w:hAnsi="Times New Roman"/>
                <w:sz w:val="24"/>
              </w:rPr>
              <w:t>VaR</w:t>
            </w:r>
            <w:proofErr w:type="spellEnd"/>
            <w:r>
              <w:rPr>
                <w:rFonts w:ascii="Times New Roman" w:hAnsi="Times New Roman"/>
                <w:sz w:val="24"/>
              </w:rPr>
              <w:t xml:space="preserve"> a </w:t>
            </w:r>
            <w:proofErr w:type="spellStart"/>
            <w:r>
              <w:rPr>
                <w:rFonts w:ascii="Times New Roman" w:hAnsi="Times New Roman"/>
                <w:sz w:val="24"/>
              </w:rPr>
              <w:t>SVaR</w:t>
            </w:r>
            <w:proofErr w:type="spellEnd"/>
            <w:r>
              <w:rPr>
                <w:rFonts w:ascii="Times New Roman" w:hAnsi="Times New Roman"/>
                <w:sz w:val="24"/>
              </w:rPr>
              <w:t xml:space="preserve"> pro regulační účely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7337265A"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Vyložení případných hlavních rozdílů u modelů </w:t>
            </w:r>
            <w:proofErr w:type="spellStart"/>
            <w:r>
              <w:rPr>
                <w:rFonts w:ascii="Times New Roman" w:hAnsi="Times New Roman"/>
                <w:sz w:val="24"/>
              </w:rPr>
              <w:t>VaR</w:t>
            </w:r>
            <w:proofErr w:type="spellEnd"/>
            <w:r>
              <w:rPr>
                <w:rFonts w:ascii="Times New Roman" w:hAnsi="Times New Roman"/>
                <w:sz w:val="24"/>
              </w:rPr>
              <w:t xml:space="preserve"> a </w:t>
            </w:r>
            <w:proofErr w:type="spellStart"/>
            <w:r>
              <w:rPr>
                <w:rFonts w:ascii="Times New Roman" w:hAnsi="Times New Roman"/>
                <w:sz w:val="24"/>
              </w:rPr>
              <w:t>SVaR</w:t>
            </w:r>
            <w:proofErr w:type="spellEnd"/>
            <w:r>
              <w:rPr>
                <w:rFonts w:ascii="Times New Roman" w:hAnsi="Times New Roman"/>
                <w:sz w:val="24"/>
              </w:rPr>
              <w:t xml:space="preserve"> mezi modelem použitým pro účely řízení a modelem použitým pro regulační účely (10 dnů 99 %)</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031D8DC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U modelů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četnost aktualizace údajů;</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1AD51F60" w14:textId="17B93E25" w:rsidR="00203C1C" w:rsidRPr="007F4CC8" w:rsidRDefault="00203C1C" w:rsidP="001D27FC">
            <w:pPr>
              <w:spacing w:after="240"/>
              <w:ind w:left="280"/>
              <w:jc w:val="both"/>
              <w:rPr>
                <w:rFonts w:ascii="Times New Roman" w:hAnsi="Times New Roman" w:cs="Times New Roman"/>
                <w:sz w:val="24"/>
              </w:rPr>
            </w:pPr>
            <w:r>
              <w:rPr>
                <w:rFonts w:ascii="Times New Roman" w:hAnsi="Times New Roman"/>
                <w:sz w:val="24"/>
              </w:rPr>
              <w:t>délka časového období používaného ke kalibraci modelu. Popis použitého systému vážení (pokud existuje)</w:t>
            </w:r>
            <w:r w:rsidR="001D27FC">
              <w:rPr>
                <w:rFonts w:ascii="Times New Roman" w:hAnsi="Times New Roman"/>
                <w:sz w:val="24"/>
              </w:rPr>
              <w:t>;</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iii</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Popis, jak instituce určí desetidenní období držení (například zda zvyšuje jednodenní </w:t>
            </w:r>
            <w:proofErr w:type="spellStart"/>
            <w:r>
              <w:rPr>
                <w:rFonts w:ascii="Times New Roman" w:hAnsi="Times New Roman"/>
                <w:sz w:val="24"/>
              </w:rPr>
              <w:t>VaR</w:t>
            </w:r>
            <w:proofErr w:type="spellEnd"/>
            <w:r>
              <w:rPr>
                <w:rFonts w:ascii="Times New Roman" w:hAnsi="Times New Roman"/>
                <w:sz w:val="24"/>
              </w:rPr>
              <w:t xml:space="preserve"> o druhou odmocninu deseti, nebo přímo modeluje desetidenní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iv</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Popis souhrnného přístupu, což je metoda slučující specifická a obecná rizika (tj. vypočítávají instituce specifický náklad jako samostatný náklad použitím jiné metody než u výpočtu obecného rizika, nebo používají jednotný model, který obecné a specifické riziko diverzifikuje?);</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postup ocenění (úplné přecenění nebo použití aproximací);</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vi</w:t>
            </w:r>
            <w:proofErr w:type="spellEnd"/>
            <w:r>
              <w:rPr>
                <w:rFonts w:ascii="Times New Roman" w:hAnsi="Times New Roman"/>
                <w:sz w:val="24"/>
              </w:rPr>
              <w:t>)</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zda se při simulaci možných pohybů rizikových faktorů používají absolutní nebo relativní výnosy (nebo kombinovaný přístup) (tj. poměrná změna cen nebo sazeb nebo absolutní změna cen nebo sazeb).</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185D9C3"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Pro modely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60F5908A"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Popis způsobu stanovení desetidenní doby držení. Zvyšuje například instituce jednodenní </w:t>
            </w:r>
            <w:proofErr w:type="spellStart"/>
            <w:r>
              <w:rPr>
                <w:rFonts w:ascii="Times New Roman" w:hAnsi="Times New Roman"/>
                <w:sz w:val="24"/>
              </w:rPr>
              <w:t>VaR</w:t>
            </w:r>
            <w:proofErr w:type="spellEnd"/>
            <w:r>
              <w:rPr>
                <w:rFonts w:ascii="Times New Roman" w:hAnsi="Times New Roman"/>
                <w:sz w:val="24"/>
              </w:rPr>
              <w:t xml:space="preserve"> o druhou odmocninu deseti, nebo přímo modeluje desetidenní </w:t>
            </w:r>
            <w:proofErr w:type="spellStart"/>
            <w:r>
              <w:rPr>
                <w:rFonts w:ascii="Times New Roman" w:hAnsi="Times New Roman"/>
                <w:sz w:val="24"/>
              </w:rPr>
              <w:t>VaR</w:t>
            </w:r>
            <w:proofErr w:type="spellEnd"/>
            <w:r>
              <w:rPr>
                <w:rFonts w:ascii="Times New Roman" w:hAnsi="Times New Roman"/>
                <w:sz w:val="24"/>
              </w:rPr>
              <w:t xml:space="preserve">? Jestliže je přístup týž jako u modelů </w:t>
            </w:r>
            <w:proofErr w:type="spellStart"/>
            <w:r>
              <w:rPr>
                <w:rFonts w:ascii="Times New Roman" w:hAnsi="Times New Roman"/>
                <w:sz w:val="24"/>
              </w:rPr>
              <w:t>VaR</w:t>
            </w:r>
            <w:proofErr w:type="spellEnd"/>
            <w:r>
              <w:rPr>
                <w:rFonts w:ascii="Times New Roman" w:hAnsi="Times New Roman"/>
                <w:sz w:val="24"/>
              </w:rPr>
              <w:t xml:space="preserve">, mohou to instituce potvrdit a odkázat na informace zpřístupněné v řádku e) </w:t>
            </w:r>
            <w:proofErr w:type="spellStart"/>
            <w:r>
              <w:rPr>
                <w:rFonts w:ascii="Times New Roman" w:hAnsi="Times New Roman"/>
                <w:sz w:val="24"/>
              </w:rPr>
              <w:t>iii</w:t>
            </w:r>
            <w:proofErr w:type="spellEnd"/>
            <w:r>
              <w:rPr>
                <w:rFonts w:ascii="Times New Roman" w:hAnsi="Times New Roman"/>
                <w:sz w:val="24"/>
              </w:rPr>
              <w:t>) výše;</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popis krizového období zvoleného institucí a odůvodnění této volby;</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iii</w:t>
            </w:r>
            <w:proofErr w:type="spellEnd"/>
            <w:r>
              <w:rPr>
                <w:rFonts w:ascii="Times New Roman" w:hAnsi="Times New Roman"/>
                <w:sz w:val="24"/>
              </w:rPr>
              <w:t>)</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Popis metody ocenění (plné přecenění nebo použití aproximací).</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7C93643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Při zveřejňování informací uvedených v čl. 455 písm. a) bodě </w:t>
            </w:r>
            <w:proofErr w:type="spellStart"/>
            <w:r>
              <w:rPr>
                <w:rFonts w:ascii="Times New Roman" w:hAnsi="Times New Roman"/>
                <w:sz w:val="24"/>
              </w:rPr>
              <w:t>iii</w:t>
            </w:r>
            <w:proofErr w:type="spellEnd"/>
            <w:r>
              <w:rPr>
                <w:rFonts w:ascii="Times New Roman" w:hAnsi="Times New Roman"/>
                <w:sz w:val="24"/>
              </w:rPr>
              <w:t xml:space="preserve">) CRR instituce popíší zátěžové testování použité na modelovací parametry, které jsou v souladu s informacemi zveřejněnými podle písmene a) výše </w:t>
            </w:r>
            <w:r>
              <w:rPr>
                <w:rFonts w:ascii="Times New Roman" w:hAnsi="Times New Roman"/>
                <w:sz w:val="24"/>
              </w:rPr>
              <w:lastRenderedPageBreak/>
              <w:t xml:space="preserve">(hlavní scénáře vypracované za účelem zachycení charakteristik portfolií, na něž se na úrovni skupiny vztahují modely </w:t>
            </w:r>
            <w:proofErr w:type="spellStart"/>
            <w:r>
              <w:rPr>
                <w:rFonts w:ascii="Times New Roman" w:hAnsi="Times New Roman"/>
                <w:sz w:val="24"/>
              </w:rPr>
              <w:t>VaR</w:t>
            </w:r>
            <w:proofErr w:type="spellEnd"/>
            <w:r>
              <w:rPr>
                <w:rFonts w:ascii="Times New Roman" w:hAnsi="Times New Roman"/>
                <w:sz w:val="24"/>
              </w:rPr>
              <w:t xml:space="preserve"> a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0A6A3B8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Při zveřejňování informací uvedených v čl. 455 písm. a) bodě </w:t>
            </w:r>
            <w:proofErr w:type="spellStart"/>
            <w:r>
              <w:rPr>
                <w:rFonts w:ascii="Times New Roman" w:hAnsi="Times New Roman"/>
                <w:sz w:val="24"/>
              </w:rPr>
              <w:t>iv</w:t>
            </w:r>
            <w:proofErr w:type="spellEnd"/>
            <w:r>
              <w:rPr>
                <w:rFonts w:ascii="Times New Roman" w:hAnsi="Times New Roman"/>
                <w:sz w:val="24"/>
              </w:rPr>
              <w:t>) CRR instituce zveřejní popis přístupu použitého pro zpětné testování/validaci přesnosti a vnitřní konzistence údajů a parametrů používaných pro interní modely a modelovací procesy.</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4815D6A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Instituce používající interní modely k měření kapitálových požadavků dodatečných rizik selhání a migrace (IRC) v souladu s částí třetí hlavou IV kapitolou 5 oddíly 3 a 4 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218746E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Při zveřejňování informací uvedených v čl. 455 písm. a) bodě </w:t>
            </w:r>
            <w:proofErr w:type="spellStart"/>
            <w:r>
              <w:rPr>
                <w:rFonts w:ascii="Times New Roman" w:hAnsi="Times New Roman"/>
                <w:sz w:val="24"/>
              </w:rPr>
              <w:t>ii</w:t>
            </w:r>
            <w:proofErr w:type="spellEnd"/>
            <w:r>
              <w:rPr>
                <w:rFonts w:ascii="Times New Roman" w:hAnsi="Times New Roman"/>
                <w:sz w:val="24"/>
              </w:rPr>
              <w:t>) a v čl. 455 písm. b) CRR instituce popíší rizika, na která se vztahují modely IRC, a upřesní, jak jsou rozložena v portfoliích / dílčích portfoliích, pro která příslušný orgán udělil povolení.</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23DF6DC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Informace uvedené v čl. 455 písm. b) CRR musí obsahovat popis oblasti působnosti modelu IRC, pro který příslušný orgán udělil povolení, a musí být doplněny o informace o tom, které subjekty ve skupině tyto modely používají a jak modely představují všechny modely používané na úrovni skupiny, včetně procentního podílu kapitálových požadavků, na něž se modely vztahují, nebo zda se stejné modely IRC používají pro všechny subjekty s expozicí vůči tržnímu riziku.</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ii</w:t>
            </w:r>
            <w:proofErr w:type="spellEnd"/>
            <w:r>
              <w:rPr>
                <w:rFonts w:ascii="Times New Roman" w:hAnsi="Times New Roman"/>
                <w:sz w:val="24"/>
              </w:rPr>
              <w:t>) CRR týkající se charakteristik použitých modelů IRC budou zahrnovat:</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4A2D7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Obecný popis metodiky použité pro interní modely pro dodatečné riziko selhání a migrace, včetně:</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4B24DA93"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informace o celkovém přístupu modelování (zejména použití modelů vycházejících z rozpětí nebo modelů vycházejících z migrační matice);</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informace o kalibraci matice přechodu;</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CE80998" w14:textId="7FF8B4D3" w:rsidR="00203C1C" w:rsidRPr="007F4CC8" w:rsidRDefault="00203C1C" w:rsidP="001D27FC">
            <w:pPr>
              <w:spacing w:after="240"/>
              <w:ind w:left="280"/>
              <w:jc w:val="both"/>
              <w:rPr>
                <w:rFonts w:ascii="Times New Roman" w:hAnsi="Times New Roman" w:cs="Times New Roman"/>
                <w:sz w:val="24"/>
              </w:rPr>
            </w:pPr>
            <w:r>
              <w:rPr>
                <w:rFonts w:ascii="Times New Roman" w:hAnsi="Times New Roman"/>
                <w:sz w:val="24"/>
              </w:rPr>
              <w:t>informace o korelačních předpokladech</w:t>
            </w:r>
            <w:r w:rsidR="001D27FC">
              <w:rPr>
                <w:rFonts w:ascii="Times New Roman" w:hAnsi="Times New Roman"/>
                <w:sz w:val="24"/>
              </w:rPr>
              <w:t>.</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14DC3B1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24A3FA92"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Instituce popíší přístup použitý k určen</w:t>
            </w:r>
            <w:r w:rsidR="001D27FC">
              <w:rPr>
                <w:rFonts w:ascii="Times New Roman" w:hAnsi="Times New Roman"/>
                <w:sz w:val="24"/>
              </w:rPr>
              <w:t>í horizontů likvidity.</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7A4D68B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03850749"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Instituce popíší metodiky použité k dosažení kapitálového hodnocení, která je v souladu s požadovaným standardem spolehlivosti</w:t>
            </w:r>
            <w:r w:rsidR="001D27FC">
              <w:rPr>
                <w:rFonts w:ascii="Times New Roman" w:hAnsi="Times New Roman"/>
                <w:sz w:val="24"/>
              </w:rPr>
              <w:t>.</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844E5FB"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5A6BED46"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Instituce popíší přístup použitý při validaci modelů</w:t>
            </w:r>
            <w:r w:rsidR="001D27FC">
              <w:rPr>
                <w:rFonts w:ascii="Times New Roman" w:hAnsi="Times New Roman"/>
                <w:sz w:val="24"/>
              </w:rPr>
              <w:t>.</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15BDB72E"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iii</w:t>
            </w:r>
            <w:proofErr w:type="spellEnd"/>
            <w:r>
              <w:rPr>
                <w:rFonts w:ascii="Times New Roman" w:hAnsi="Times New Roman"/>
                <w:sz w:val="24"/>
              </w:rPr>
              <w:t xml:space="preserve">) CRR budou obsahovat popis zátěžového testování použitého na modelovací parametry, které jsou v souladu s informacemi zveřejněnými podle bodu B) písm. a) výše </w:t>
            </w:r>
            <w:r>
              <w:rPr>
                <w:rFonts w:ascii="Times New Roman" w:hAnsi="Times New Roman"/>
                <w:sz w:val="24"/>
              </w:rPr>
              <w:lastRenderedPageBreak/>
              <w:t>(hlavní scénáře vypracované za účelem zachycení charakteristik portfolií, na něž se na úrovni skupiny vztahují modely IRC).</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0941D39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iv</w:t>
            </w:r>
            <w:proofErr w:type="spellEnd"/>
            <w:r>
              <w:rPr>
                <w:rFonts w:ascii="Times New Roman" w:hAnsi="Times New Roman"/>
                <w:sz w:val="24"/>
              </w:rPr>
              <w:t>) CRR budou obsahovat popis přístupu používaného pro zpětné testování/validaci přesnosti a vnitřní konzistence údajů a parametrů používaných pro interní modely a procesy modelování IRC.</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27B7A1B"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33439139"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Instituce používající interní modely k měření kapitálových požadavků pro </w:t>
            </w:r>
            <w:r w:rsidR="001D27FC">
              <w:rPr>
                <w:rFonts w:ascii="Times New Roman" w:hAnsi="Times New Roman"/>
                <w:b/>
                <w:sz w:val="24"/>
              </w:rPr>
              <w:t>portfolio</w:t>
            </w:r>
            <w:r>
              <w:rPr>
                <w:rFonts w:ascii="Times New Roman" w:hAnsi="Times New Roman"/>
                <w:b/>
                <w:sz w:val="24"/>
              </w:rPr>
              <w:t xml:space="preserve"> obchodování s korelací (souhrnné rizikové opatření) v souladu s částí třetí hlavou IV kapitolou 5 oddílem 5 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252E7E9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Při zveřejňování informací uvedených v čl. 455 písm. a) bodě </w:t>
            </w:r>
            <w:proofErr w:type="spellStart"/>
            <w:r>
              <w:rPr>
                <w:rFonts w:ascii="Times New Roman" w:hAnsi="Times New Roman"/>
                <w:sz w:val="24"/>
              </w:rPr>
              <w:t>ii</w:t>
            </w:r>
            <w:proofErr w:type="spellEnd"/>
            <w:r>
              <w:rPr>
                <w:rFonts w:ascii="Times New Roman" w:hAnsi="Times New Roman"/>
                <w:sz w:val="24"/>
              </w:rPr>
              <w:t>) a čl. 455 písm. b) CRR instituce popíší rizika, na která se vztahují modely komplexního měření rizik, a upřesní, jak jsou rozložena v portfoliích / dílčích portfoliích, k nimž příslušný orgán udělil povolení.</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1C72A88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Informace uvedené v čl. 455 písm. b) CRR budou obsahovat popis rozsahu použití modelů komplexního měření rizik, k nimž příslušný orgán udělil povolení. Doplní jej informace o tom, které subjekty ve skupině tyto modely používají a jak modely představují všechny modely používané na úrovni skupiny, včetně procentního podílu kapitálových požadavků zahrnutých v modelech nebo zda se u všech subjektů s expozicí vůči tržnímu riziku používají stejné modely IRC.</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ii</w:t>
            </w:r>
            <w:proofErr w:type="spellEnd"/>
            <w:r>
              <w:rPr>
                <w:rFonts w:ascii="Times New Roman" w:hAnsi="Times New Roman"/>
                <w:sz w:val="24"/>
              </w:rPr>
              <w:t>) CRR o charakteristikách použitých modelů komplexního měření rizika budou zahrnovat:</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C243CA4"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Obecný popis metodiky použité pro obchodování s korelací, včetně:</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09A83EF5"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informace o celkovém přístupu modelování (volbě korelace modelu mezi selháním/migracemi a rozpětím: i) oddělené, ale korelované stochastické procesy, které způsobují pohyby migrace/selhání a rozpětí; </w:t>
            </w:r>
            <w:proofErr w:type="spellStart"/>
            <w:r>
              <w:rPr>
                <w:rFonts w:ascii="Times New Roman" w:hAnsi="Times New Roman"/>
                <w:sz w:val="24"/>
              </w:rPr>
              <w:t>ii</w:t>
            </w:r>
            <w:proofErr w:type="spellEnd"/>
            <w:r>
              <w:rPr>
                <w:rFonts w:ascii="Times New Roman" w:hAnsi="Times New Roman"/>
                <w:sz w:val="24"/>
              </w:rPr>
              <w:t xml:space="preserve">) změny rozpětí způsobující migraci/selhání nebo </w:t>
            </w:r>
            <w:proofErr w:type="spellStart"/>
            <w:r>
              <w:rPr>
                <w:rFonts w:ascii="Times New Roman" w:hAnsi="Times New Roman"/>
                <w:sz w:val="24"/>
              </w:rPr>
              <w:t>iii</w:t>
            </w:r>
            <w:proofErr w:type="spellEnd"/>
            <w:r>
              <w:rPr>
                <w:rFonts w:ascii="Times New Roman" w:hAnsi="Times New Roman"/>
                <w:sz w:val="24"/>
              </w:rPr>
              <w:t>) selhání/migrace způsobující změny rozpětí);</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informace použité ke kalibraci parametrů základní korelace: tvorba cen tranší LGD (konstantní nebo stochastická);</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147B3BA0" w14:textId="7BB198B8" w:rsidR="00203C1C" w:rsidRPr="007F4CC8" w:rsidRDefault="00203C1C" w:rsidP="001D27FC">
            <w:pPr>
              <w:spacing w:after="240"/>
              <w:ind w:left="280"/>
              <w:jc w:val="both"/>
              <w:rPr>
                <w:rFonts w:ascii="Times New Roman" w:hAnsi="Times New Roman" w:cs="Times New Roman"/>
                <w:sz w:val="24"/>
              </w:rPr>
            </w:pPr>
            <w:r>
              <w:rPr>
                <w:rFonts w:ascii="Times New Roman" w:hAnsi="Times New Roman"/>
                <w:sz w:val="24"/>
              </w:rPr>
              <w:t>informace o volbě ohledně stárnutí pozic (zisky a ztráty vycházející ze simulovaného pohybu trhu v modelu vypočtené podle doby do ukončení platnosti jednotlivých pozic na konci jednoletého kapitálového horizontu nebo za použití doby do ukončení platnosti k datu výpočtu)</w:t>
            </w:r>
            <w:r w:rsidR="001D27FC">
              <w:rPr>
                <w:rFonts w:ascii="Times New Roman" w:hAnsi="Times New Roman"/>
                <w:sz w:val="24"/>
              </w:rPr>
              <w:t>.</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27CBEFF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Instituce popíší přístup použitý k určení horizontů likvidity.</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758C8823"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Instituce popíší metodiku použitou k dosažení kapitálového hodnocení, která je v souladu s požadovaným standardem spolehlivosti.</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5E5C7AB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Instituce popíší přístup použitý při validaci modelů.</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0D2B400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iii</w:t>
            </w:r>
            <w:proofErr w:type="spellEnd"/>
            <w:r>
              <w:rPr>
                <w:rFonts w:ascii="Times New Roman" w:hAnsi="Times New Roman"/>
                <w:sz w:val="24"/>
              </w:rPr>
              <w:t>) CRR budou obsahovat popis zátěžového testování uplatňovaného na modelovací parametry (hlavní scénáře vypracované s cílem zachytit charakteristiky portfolií, na něž se na úrovni skupiny vztahují modely komplexního měření rizika).</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40FDA22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Informace uvedené v čl. 455 písm. a) bodě </w:t>
            </w:r>
            <w:proofErr w:type="spellStart"/>
            <w:r>
              <w:rPr>
                <w:rFonts w:ascii="Times New Roman" w:hAnsi="Times New Roman"/>
                <w:sz w:val="24"/>
              </w:rPr>
              <w:t>iv</w:t>
            </w:r>
            <w:proofErr w:type="spellEnd"/>
            <w:r>
              <w:rPr>
                <w:rFonts w:ascii="Times New Roman" w:hAnsi="Times New Roman"/>
                <w:sz w:val="24"/>
              </w:rPr>
              <w:t>) CRR budou obsahovat popis přístupu používaného pro zpětné testování nebo ověřování přesnosti a vnitřní konzistence údajů a parametrů používaných pro vyčerpávající měření rizika, interních modelů a procesů modelování.</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263374D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Instituce doplní zveřejněné informace týkající se interních modelů pro přírůstkové riziko selhání a migrace a pro portfolia obchodování s korelací o informace uvedené v čl. 455 písm. f) o váženém průměrném horizontu likvidity pro dílčí portfolia v souladu s popisem uvedeným v řádcích B) a) a d) a C) a) a d) tabulky EU MRB.</w:t>
            </w:r>
          </w:p>
        </w:tc>
      </w:tr>
    </w:tbl>
    <w:p w14:paraId="5B3DAEF3" w14:textId="77777777" w:rsidR="001D27FC" w:rsidRDefault="001D27FC" w:rsidP="00203C1C">
      <w:pPr>
        <w:pStyle w:val="Titlelevel2"/>
        <w:spacing w:before="0"/>
        <w:rPr>
          <w:rFonts w:ascii="Times New Roman" w:hAnsi="Times New Roman"/>
          <w:b/>
          <w:color w:val="auto"/>
          <w:sz w:val="24"/>
        </w:rPr>
      </w:pPr>
    </w:p>
    <w:p w14:paraId="5AD1417E" w14:textId="060DD1FE"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Šablona EU MR2-A – Tržní riziko podle přístupu interního modelu (IMA):</w:t>
      </w:r>
      <w:r>
        <w:rPr>
          <w:rFonts w:ascii="Times New Roman" w:hAnsi="Times New Roman"/>
          <w:color w:val="auto"/>
          <w:sz w:val="24"/>
        </w:rPr>
        <w:t xml:space="preserve"> Pevně daný formát</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Informace uvedené v čl. 455 písm. e) CRR zpřístupňují instituce podle následujících pokynů k vyplnění šablony EU MR2-A, obsažené v příloze XXIX tohoto prováděcího nařízení.</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Řádek</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VaR</w:t>
            </w:r>
            <w:proofErr w:type="spellEnd"/>
            <w:r>
              <w:rPr>
                <w:rFonts w:ascii="Times New Roman" w:hAnsi="Times New Roman"/>
                <w:sz w:val="24"/>
              </w:rPr>
              <w:t xml:space="preserve"> (vyšší z hodnot a </w:t>
            </w:r>
            <w:proofErr w:type="spellStart"/>
            <w:r>
              <w:rPr>
                <w:rFonts w:ascii="Times New Roman" w:hAnsi="Times New Roman"/>
                <w:sz w:val="24"/>
              </w:rPr>
              <w:t>a</w:t>
            </w:r>
            <w:proofErr w:type="spellEnd"/>
            <w:r>
              <w:rPr>
                <w:rFonts w:ascii="Times New Roman" w:hAnsi="Times New Roman"/>
                <w:sz w:val="24"/>
              </w:rPr>
              <w:t>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Denní výše </w:t>
            </w:r>
            <w:proofErr w:type="spellStart"/>
            <w:r>
              <w:rPr>
                <w:rFonts w:ascii="Times New Roman" w:hAnsi="Times New Roman"/>
                <w:i/>
                <w:sz w:val="24"/>
              </w:rPr>
              <w:t>VaR</w:t>
            </w:r>
            <w:proofErr w:type="spellEnd"/>
            <w:r>
              <w:rPr>
                <w:rFonts w:ascii="Times New Roman" w:hAnsi="Times New Roman"/>
                <w:i/>
                <w:sz w:val="24"/>
              </w:rPr>
              <w:t xml:space="preserve"> z předchozího dne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Hodnota v riziku z předchozího dne (VaR</w:t>
            </w:r>
            <w:r>
              <w:rPr>
                <w:rFonts w:ascii="Times New Roman" w:hAnsi="Times New Roman"/>
                <w:sz w:val="24"/>
                <w:vertAlign w:val="subscript"/>
              </w:rPr>
              <w:t>t-1</w:t>
            </w:r>
            <w:r>
              <w:rPr>
                <w:rFonts w:ascii="Times New Roman" w:hAnsi="Times New Roman"/>
                <w:sz w:val="24"/>
              </w:rPr>
              <w:t>) vypočtená v souladu s čl. 365 odst. 1 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Multiplikační faktor (</w:t>
            </w:r>
            <w:proofErr w:type="spellStart"/>
            <w:r>
              <w:rPr>
                <w:rFonts w:ascii="Times New Roman" w:hAnsi="Times New Roman"/>
                <w:i/>
                <w:sz w:val="24"/>
              </w:rPr>
              <w:t>mc</w:t>
            </w:r>
            <w:proofErr w:type="spellEnd"/>
            <w:r>
              <w:rPr>
                <w:rFonts w:ascii="Times New Roman" w:hAnsi="Times New Roman"/>
                <w:i/>
                <w:sz w:val="24"/>
              </w:rPr>
              <w:t>) x průměr za předchozích 60 pracovních dnů (</w:t>
            </w:r>
            <w:proofErr w:type="spellStart"/>
            <w:r>
              <w:rPr>
                <w:rFonts w:ascii="Times New Roman" w:hAnsi="Times New Roman"/>
                <w:i/>
                <w:sz w:val="24"/>
              </w:rPr>
              <w:t>VaRavg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Průměrná denní hodnota rizikových hodnot vypočítaná v souladu s čl. 365 odst. 1 CRR v předcházejících 60 obchodních dnech (</w:t>
            </w:r>
            <w:proofErr w:type="spellStart"/>
            <w:r>
              <w:rPr>
                <w:rFonts w:ascii="Times New Roman" w:hAnsi="Times New Roman"/>
                <w:sz w:val="24"/>
              </w:rPr>
              <w:t>VaR</w:t>
            </w:r>
            <w:r>
              <w:rPr>
                <w:rFonts w:ascii="Times New Roman" w:hAnsi="Times New Roman"/>
                <w:sz w:val="24"/>
                <w:vertAlign w:val="subscript"/>
              </w:rPr>
              <w:t>avg</w:t>
            </w:r>
            <w:proofErr w:type="spellEnd"/>
            <w:r>
              <w:rPr>
                <w:rFonts w:ascii="Times New Roman" w:hAnsi="Times New Roman"/>
                <w:sz w:val="24"/>
              </w:rPr>
              <w:t>) x vynásobená koeficientem násobení (</w:t>
            </w:r>
            <w:proofErr w:type="spellStart"/>
            <w:r>
              <w:rPr>
                <w:rFonts w:ascii="Times New Roman" w:hAnsi="Times New Roman"/>
                <w:sz w:val="24"/>
              </w:rPr>
              <w:t>mc</w:t>
            </w:r>
            <w:proofErr w:type="spellEnd"/>
            <w:r>
              <w:rPr>
                <w:rFonts w:ascii="Times New Roman" w:hAnsi="Times New Roman"/>
                <w:sz w:val="24"/>
              </w:rPr>
              <w:t>) v souladu s článkem 366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SVaR</w:t>
            </w:r>
            <w:proofErr w:type="spellEnd"/>
            <w:r>
              <w:rPr>
                <w:rFonts w:ascii="Times New Roman" w:hAnsi="Times New Roman"/>
                <w:sz w:val="24"/>
              </w:rPr>
              <w:t xml:space="preserve"> (vyšší z hodnot a </w:t>
            </w:r>
            <w:proofErr w:type="spellStart"/>
            <w:r>
              <w:rPr>
                <w:rFonts w:ascii="Times New Roman" w:hAnsi="Times New Roman"/>
                <w:sz w:val="24"/>
              </w:rPr>
              <w:t>a</w:t>
            </w:r>
            <w:proofErr w:type="spellEnd"/>
            <w:r>
              <w:rPr>
                <w:rFonts w:ascii="Times New Roman" w:hAnsi="Times New Roman"/>
                <w:sz w:val="24"/>
              </w:rPr>
              <w:t>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Poslední dostupná </w:t>
            </w:r>
            <w:proofErr w:type="spellStart"/>
            <w:r>
              <w:rPr>
                <w:rFonts w:ascii="Times New Roman" w:hAnsi="Times New Roman"/>
                <w:i/>
                <w:sz w:val="24"/>
              </w:rPr>
              <w:t>SVaR</w:t>
            </w:r>
            <w:proofErr w:type="spellEnd"/>
            <w:r>
              <w:rPr>
                <w:rFonts w:ascii="Times New Roman" w:hAnsi="Times New Roman"/>
                <w:i/>
                <w:sz w:val="24"/>
              </w:rPr>
              <w:t xml:space="preserve"> (SVaRt-1)</w:t>
            </w:r>
          </w:p>
          <w:p w14:paraId="06B35619" w14:textId="1590A232" w:rsidR="00203C1C" w:rsidRPr="007F4CC8" w:rsidRDefault="00203C1C" w:rsidP="001D27FC">
            <w:pPr>
              <w:autoSpaceDE w:val="0"/>
              <w:autoSpaceDN w:val="0"/>
              <w:adjustRightInd w:val="0"/>
              <w:spacing w:after="240"/>
              <w:jc w:val="both"/>
              <w:rPr>
                <w:rFonts w:ascii="Times New Roman" w:hAnsi="Times New Roman" w:cs="Times New Roman"/>
                <w:b/>
                <w:sz w:val="24"/>
              </w:rPr>
            </w:pPr>
            <w:r>
              <w:rPr>
                <w:rFonts w:ascii="Times New Roman" w:hAnsi="Times New Roman"/>
                <w:sz w:val="24"/>
              </w:rPr>
              <w:t>Poslední dostupná stresová hodnota v riziku instituce (sVaR</w:t>
            </w:r>
            <w:r>
              <w:rPr>
                <w:rFonts w:ascii="Times New Roman" w:hAnsi="Times New Roman"/>
                <w:sz w:val="24"/>
                <w:vertAlign w:val="subscript"/>
              </w:rPr>
              <w:t>t-1</w:t>
            </w:r>
            <w:r>
              <w:rPr>
                <w:rFonts w:ascii="Times New Roman" w:hAnsi="Times New Roman"/>
                <w:sz w:val="24"/>
              </w:rPr>
              <w:t>) vypočtená podle čl. 365 odst. 2 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Multiplikační faktor (</w:t>
            </w:r>
            <w:proofErr w:type="spellStart"/>
            <w:r>
              <w:rPr>
                <w:rFonts w:ascii="Times New Roman" w:hAnsi="Times New Roman"/>
                <w:i/>
                <w:sz w:val="24"/>
              </w:rPr>
              <w:t>ms</w:t>
            </w:r>
            <w:proofErr w:type="spellEnd"/>
            <w:r>
              <w:rPr>
                <w:rFonts w:ascii="Times New Roman" w:hAnsi="Times New Roman"/>
                <w:i/>
                <w:sz w:val="24"/>
              </w:rPr>
              <w:t xml:space="preserve">) x průměr výše </w:t>
            </w:r>
            <w:proofErr w:type="spellStart"/>
            <w:r>
              <w:rPr>
                <w:rFonts w:ascii="Times New Roman" w:hAnsi="Times New Roman"/>
                <w:i/>
                <w:sz w:val="24"/>
              </w:rPr>
              <w:t>SVaR</w:t>
            </w:r>
            <w:proofErr w:type="spellEnd"/>
            <w:r>
              <w:rPr>
                <w:rFonts w:ascii="Times New Roman" w:hAnsi="Times New Roman"/>
                <w:i/>
                <w:sz w:val="24"/>
              </w:rPr>
              <w:t xml:space="preserve"> za předchozích 60 pracovních dnů (</w:t>
            </w:r>
            <w:proofErr w:type="spellStart"/>
            <w:r>
              <w:rPr>
                <w:rFonts w:ascii="Times New Roman" w:hAnsi="Times New Roman"/>
                <w:i/>
                <w:sz w:val="24"/>
              </w:rPr>
              <w:t>sVaRavg</w:t>
            </w:r>
            <w:proofErr w:type="spellEnd"/>
            <w:r>
              <w:rPr>
                <w:rFonts w:ascii="Times New Roman" w:hAnsi="Times New Roman"/>
                <w:i/>
                <w:sz w:val="24"/>
              </w:rPr>
              <w:t>)</w:t>
            </w:r>
          </w:p>
          <w:p w14:paraId="3C1AEA07" w14:textId="4B1DC432"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Průměr stresových hodnot v riziku vypočtených způsobem a s četností podle čl. 365 odst. 2 CRR v předcházejících 60 obchodních dnech (</w:t>
            </w:r>
            <w:proofErr w:type="spellStart"/>
            <w:r>
              <w:rPr>
                <w:rFonts w:ascii="Times New Roman" w:hAnsi="Times New Roman"/>
                <w:sz w:val="24"/>
              </w:rPr>
              <w:t>sVaR</w:t>
            </w:r>
            <w:r>
              <w:rPr>
                <w:rFonts w:ascii="Times New Roman" w:hAnsi="Times New Roman"/>
                <w:sz w:val="24"/>
                <w:vertAlign w:val="subscript"/>
              </w:rPr>
              <w:t>avg</w:t>
            </w:r>
            <w:proofErr w:type="spellEnd"/>
            <w:r>
              <w:rPr>
                <w:rFonts w:ascii="Times New Roman" w:hAnsi="Times New Roman"/>
                <w:sz w:val="24"/>
              </w:rPr>
              <w:t>), který se vynásobí multiplikačním fak</w:t>
            </w:r>
            <w:r w:rsidR="001D27FC">
              <w:rPr>
                <w:rFonts w:ascii="Times New Roman" w:hAnsi="Times New Roman"/>
                <w:sz w:val="24"/>
              </w:rPr>
              <w:t>torem (</w:t>
            </w:r>
            <w:proofErr w:type="spellStart"/>
            <w:r w:rsidR="001D27FC">
              <w:rPr>
                <w:rFonts w:ascii="Times New Roman" w:hAnsi="Times New Roman"/>
                <w:sz w:val="24"/>
              </w:rPr>
              <w:t>ms</w:t>
            </w:r>
            <w:proofErr w:type="spellEnd"/>
            <w:r w:rsidR="001D27FC">
              <w:rPr>
                <w:rFonts w:ascii="Times New Roman" w:hAnsi="Times New Roman"/>
                <w:sz w:val="24"/>
              </w:rPr>
              <w:t>) podle článku 366 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(vyšší z hodnot a a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Nejnovější hodnota IRC</w:t>
            </w:r>
          </w:p>
          <w:p w14:paraId="43020B50" w14:textId="653620D7" w:rsidR="00203C1C" w:rsidRPr="007F4CC8" w:rsidRDefault="00203C1C" w:rsidP="001D27FC">
            <w:pPr>
              <w:autoSpaceDE w:val="0"/>
              <w:autoSpaceDN w:val="0"/>
              <w:adjustRightInd w:val="0"/>
              <w:spacing w:after="240"/>
              <w:jc w:val="both"/>
              <w:rPr>
                <w:rFonts w:ascii="Times New Roman" w:hAnsi="Times New Roman" w:cs="Times New Roman"/>
                <w:b/>
                <w:sz w:val="24"/>
              </w:rPr>
            </w:pPr>
            <w:r>
              <w:rPr>
                <w:rFonts w:ascii="Times New Roman" w:hAnsi="Times New Roman"/>
                <w:sz w:val="24"/>
              </w:rPr>
              <w:t>Nejnovější hodnota rizika pro dodatečné riziko selhání a migrace vypočtená podle části třetí hlavy IV kapitoly 5 oddílu 3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Průměrná hodnota IRC za dvanáct týdnů</w:t>
            </w:r>
          </w:p>
          <w:p w14:paraId="680EDF24" w14:textId="3ADE826F" w:rsidR="00203C1C" w:rsidRPr="007F4CC8" w:rsidRDefault="00203C1C" w:rsidP="001D27FC">
            <w:pPr>
              <w:autoSpaceDE w:val="0"/>
              <w:autoSpaceDN w:val="0"/>
              <w:adjustRightInd w:val="0"/>
              <w:spacing w:after="240"/>
              <w:jc w:val="both"/>
              <w:rPr>
                <w:rFonts w:ascii="Times New Roman" w:hAnsi="Times New Roman" w:cs="Times New Roman"/>
                <w:b/>
                <w:sz w:val="24"/>
              </w:rPr>
            </w:pPr>
            <w:r>
              <w:rPr>
                <w:rFonts w:ascii="Times New Roman" w:hAnsi="Times New Roman"/>
                <w:sz w:val="24"/>
              </w:rPr>
              <w:t>Průměrná hodnota rizika pro dodatečné riziko selhání a migrace vypočtená podle části třetí hlavy IV kapitoly 5 oddílu 3 CRR za posledních dvanáct týdnů</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Komplexní riziková míra</w:t>
            </w:r>
            <w:r>
              <w:rPr>
                <w:rFonts w:ascii="Times New Roman" w:hAnsi="Times New Roman"/>
                <w:sz w:val="24"/>
              </w:rPr>
              <w:t xml:space="preserve"> (nejvyšší z hodnot a, b a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Nejnovější hodnota komplexní rizikové míry</w:t>
            </w:r>
          </w:p>
          <w:p w14:paraId="33A8F77F" w14:textId="3A67F440" w:rsidR="00203C1C" w:rsidRPr="007F4CC8" w:rsidRDefault="00203C1C" w:rsidP="001D27FC">
            <w:pPr>
              <w:autoSpaceDE w:val="0"/>
              <w:autoSpaceDN w:val="0"/>
              <w:adjustRightInd w:val="0"/>
              <w:spacing w:after="240"/>
              <w:jc w:val="both"/>
              <w:rPr>
                <w:rFonts w:ascii="Times New Roman" w:hAnsi="Times New Roman" w:cs="Times New Roman"/>
                <w:b/>
                <w:sz w:val="24"/>
              </w:rPr>
            </w:pPr>
            <w:r>
              <w:rPr>
                <w:rFonts w:ascii="Times New Roman" w:hAnsi="Times New Roman"/>
                <w:sz w:val="24"/>
              </w:rPr>
              <w:t>Nejnovější hodnota rizika pro portfolio obchodování s korelací vypočtená vypočtené podle části třetí hlavy IV kapitoly 5 oddílu 5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Průměrná hodnota komplexní rizikové míry za dvanáct týdnů</w:t>
            </w:r>
          </w:p>
          <w:p w14:paraId="33D5CC91" w14:textId="29D84EE3" w:rsidR="00203C1C" w:rsidRPr="007F4CC8" w:rsidRDefault="00203C1C" w:rsidP="001D27FC">
            <w:pPr>
              <w:spacing w:after="240"/>
              <w:jc w:val="both"/>
              <w:rPr>
                <w:rFonts w:ascii="Times New Roman" w:hAnsi="Times New Roman" w:cs="Times New Roman"/>
                <w:b/>
                <w:sz w:val="24"/>
              </w:rPr>
            </w:pPr>
            <w:r>
              <w:rPr>
                <w:rFonts w:ascii="Times New Roman" w:hAnsi="Times New Roman"/>
                <w:sz w:val="24"/>
              </w:rPr>
              <w:t xml:space="preserve">Nejnovější hodnota rizika pro portfolio obchodování s korelací vypočtená podle části třetí hlavy IV kapitoly 5 oddílu 5 CRR za posledních </w:t>
            </w:r>
            <w:r w:rsidR="001D27FC">
              <w:rPr>
                <w:rFonts w:ascii="Times New Roman" w:hAnsi="Times New Roman"/>
                <w:sz w:val="24"/>
              </w:rPr>
              <w:t>dvanáct</w:t>
            </w:r>
            <w:r>
              <w:rPr>
                <w:rFonts w:ascii="Times New Roman" w:hAnsi="Times New Roman"/>
                <w:sz w:val="24"/>
              </w:rPr>
              <w:t xml:space="preserve"> týdnů</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Dolní limit komplexní rizikové míry</w:t>
            </w:r>
          </w:p>
          <w:p w14:paraId="4A95667F" w14:textId="1C43BE9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8 % kapitálového požadavku, který by byl v době výpočtu nejnovější hodnoty rizika uvedené v řádku a) této šablony vypočten v souladu s čl. 338 odst. 4 CRR pro všechny tyto pozice začleněné do interního modelu pro p</w:t>
            </w:r>
            <w:r w:rsidR="001D27FC">
              <w:rPr>
                <w:rFonts w:ascii="Times New Roman" w:hAnsi="Times New Roman"/>
                <w:sz w:val="24"/>
              </w:rPr>
              <w:t>ortfolio obchodování s korelací</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Ostatní</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lastRenderedPageBreak/>
              <w:t>Tato položka se týká dodatečného kapitálu, který orgány dohledu požadují po institucích používajících u tržního rizika přístup interního modelu (např. dodatečný kapitál podle článku 101 směrnice 2013/36/EU).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Celkem</w:t>
            </w:r>
            <w:r>
              <w:rPr>
                <w:rFonts w:ascii="Times New Roman" w:hAnsi="Times New Roman"/>
                <w:sz w:val="24"/>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Sloupec</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w:t>
            </w:r>
          </w:p>
          <w:p w14:paraId="7AA133AC" w14:textId="0886501B"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Zveřejnění rizikově vážených expozic uvedených v čl. 438 písm. d) CRR, vypočítaných jako hodnota ve sloupci b</w:t>
            </w:r>
            <w:r w:rsidR="005B280B">
              <w:rPr>
                <w:rFonts w:ascii="Times New Roman" w:hAnsi="Times New Roman"/>
                <w:sz w:val="24"/>
              </w:rPr>
              <w:t>)</w:t>
            </w:r>
            <w:r>
              <w:rPr>
                <w:rFonts w:ascii="Times New Roman" w:hAnsi="Times New Roman"/>
                <w:sz w:val="24"/>
              </w:rPr>
              <w:t xml:space="preserve"> vynásobená 12,5 v soulad</w:t>
            </w:r>
            <w:r w:rsidR="001D27FC">
              <w:rPr>
                <w:rFonts w:ascii="Times New Roman" w:hAnsi="Times New Roman"/>
                <w:sz w:val="24"/>
              </w:rPr>
              <w:t>u s čl. 92 odst. 4 písm. b) CRR</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Kapitálové požadavky</w:t>
            </w:r>
          </w:p>
          <w:p w14:paraId="7B42FEEB" w14:textId="3E8874BB" w:rsidR="00203C1C" w:rsidRPr="007F4CC8" w:rsidRDefault="00203C1C" w:rsidP="001D27FC">
            <w:pPr>
              <w:spacing w:after="240"/>
              <w:jc w:val="both"/>
              <w:rPr>
                <w:rFonts w:ascii="Times New Roman" w:hAnsi="Times New Roman" w:cs="Times New Roman"/>
                <w:b/>
                <w:sz w:val="24"/>
              </w:rPr>
            </w:pPr>
            <w:r>
              <w:rPr>
                <w:rFonts w:ascii="Times New Roman" w:hAnsi="Times New Roman"/>
                <w:sz w:val="24"/>
              </w:rPr>
              <w:t>Kapitálové požadavky k tržnímu riziku podle části třetí hlavy IV kapitoly 5 CRR v souladu s pokyny v řádcích 1 až 4 výše</w:t>
            </w:r>
          </w:p>
        </w:tc>
      </w:tr>
    </w:tbl>
    <w:p w14:paraId="5FDCA595" w14:textId="77777777" w:rsidR="00203C1C" w:rsidRPr="00320783"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Šablona EU MR2-B – Tokové výkazy rizikově vážených expozic vůči tržnímu riziku podle přístupu IMA:</w:t>
      </w:r>
      <w:r>
        <w:rPr>
          <w:rFonts w:ascii="Times New Roman" w:hAnsi="Times New Roman"/>
          <w:color w:val="auto"/>
          <w:sz w:val="24"/>
        </w:rPr>
        <w:t xml:space="preserve"> Pevně daný formát</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Informace uvedené v čl. 438 písm. h) CRR zpřístupňují instituce podle následujících pokynů k vyplnění šablony EU MR2-B, obsažené v příloze XXIX tohoto prováděcího nařízení. </w:t>
      </w:r>
    </w:p>
    <w:p w14:paraId="1BA0C5CF" w14:textId="6B7EC3F2"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Instituce zveřejní toky RWEA jako změny mezi objemy rizikově vážených expozic ke konci referenčního </w:t>
      </w:r>
      <w:r w:rsidR="00CC4769">
        <w:rPr>
          <w:rFonts w:ascii="Times New Roman" w:hAnsi="Times New Roman"/>
          <w:color w:val="auto"/>
          <w:sz w:val="24"/>
        </w:rPr>
        <w:t>období</w:t>
      </w:r>
      <w:r>
        <w:rPr>
          <w:rFonts w:ascii="Times New Roman" w:hAnsi="Times New Roman"/>
          <w:color w:val="auto"/>
          <w:sz w:val="24"/>
        </w:rPr>
        <w:t xml:space="preserve"> zpřístupňování informací (jak je uvedeno níže v řádku 8) a objemy rizikově vážených expozic ke konci předchozího referenčního </w:t>
      </w:r>
      <w:r w:rsidR="00CC4769">
        <w:rPr>
          <w:rFonts w:ascii="Times New Roman" w:hAnsi="Times New Roman"/>
          <w:color w:val="auto"/>
          <w:sz w:val="24"/>
        </w:rPr>
        <w:t>období</w:t>
      </w:r>
      <w:r>
        <w:rPr>
          <w:rFonts w:ascii="Times New Roman" w:hAnsi="Times New Roman"/>
          <w:color w:val="auto"/>
          <w:sz w:val="24"/>
        </w:rPr>
        <w:t xml:space="preserve"> zpřístupňování informací (jak je uvedeno níže v řádku 1,</w:t>
      </w:r>
      <w:r>
        <w:rPr>
          <w:rFonts w:ascii="Times New Roman" w:hAnsi="Times New Roman"/>
          <w:bCs w:val="0"/>
          <w:color w:val="auto"/>
          <w:sz w:val="24"/>
        </w:rPr>
        <w:t xml:space="preserve"> v případě čtvrtletního zpřístupňování informací ke konci čtvrtletí před čtvrtletím referenčního </w:t>
      </w:r>
      <w:r w:rsidR="00CC4769">
        <w:rPr>
          <w:rFonts w:ascii="Times New Roman" w:hAnsi="Times New Roman"/>
          <w:bCs w:val="0"/>
          <w:color w:val="auto"/>
          <w:sz w:val="24"/>
        </w:rPr>
        <w:t>období</w:t>
      </w:r>
      <w:r>
        <w:rPr>
          <w:rFonts w:ascii="Times New Roman" w:hAnsi="Times New Roman"/>
          <w:bCs w:val="0"/>
          <w:color w:val="auto"/>
          <w:sz w:val="24"/>
        </w:rPr>
        <w:t xml:space="preserve"> zpřístupňování informací). Instituce mohou své zpřístupněné informace podle pilíře 3 doplnit zveřejněním týchž informací za tři předchozí čtvrtletí.</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Instituce v komentáři přiloženém k šabloně vysvětlí číselné údaje v řádku 8 této šablony, tj. případné další faktory, které významně přispívají k odchylkám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Řádek</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Rizikově vážené expozice (RWEA) na konci předchozího období</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Hodnoty rizikově vážených expozic na konci předchozího období odvozené ze součtu kapitálových požadavků v souladu s článkem 364 CRR s výjimkou čl. 364 odst. 2 písm. a) CRR a veškerých dodatečných </w:t>
            </w:r>
            <w:r>
              <w:rPr>
                <w:rFonts w:ascii="Times New Roman" w:hAnsi="Times New Roman"/>
                <w:sz w:val="24"/>
              </w:rPr>
              <w:lastRenderedPageBreak/>
              <w:t>kapitálových požadavků, které orgány dohledu požadují po institucích používajících přístup interního modelu pro tržní riziko, vynásobené 12,5 v souladu s čl. 92 odst. 4 písm. b)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Pohyby úrovní rizika</w:t>
            </w:r>
          </w:p>
          <w:p w14:paraId="39890C40" w14:textId="1652D3E4" w:rsidR="00203C1C" w:rsidRPr="007F4CC8" w:rsidRDefault="00203C1C" w:rsidP="001D27FC">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Změny v důsledku změn pozic, které nejsou způsobeny změnami regulační politiky</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Změny modelu</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Významné aktualizace modelu odrážející nedávné zkušenosti (např. překalibrování) a také významné změny v rozsahu modelu. Pokud došlo k více než jedné aktualizaci modelu, mohou být nutné další řádky.</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Metodika a zásady</w:t>
            </w:r>
          </w:p>
          <w:p w14:paraId="4601C250" w14:textId="36D06ADB" w:rsidR="00203C1C" w:rsidRPr="007F4CC8" w:rsidRDefault="00203C1C" w:rsidP="001D27FC">
            <w:pPr>
              <w:pStyle w:val="Default"/>
              <w:spacing w:after="240"/>
              <w:jc w:val="both"/>
              <w:rPr>
                <w:rFonts w:ascii="Times New Roman" w:hAnsi="Times New Roman" w:cs="Times New Roman"/>
                <w:b/>
              </w:rPr>
            </w:pPr>
            <w:r>
              <w:rPr>
                <w:rFonts w:ascii="Times New Roman" w:hAnsi="Times New Roman"/>
              </w:rPr>
              <w:t>Změny metodiky výpočtů vyvolané změnami regulatorní politiky</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Převzetí a zcizení</w:t>
            </w:r>
          </w:p>
          <w:p w14:paraId="70D2C9BB" w14:textId="2BA3E058" w:rsidR="00203C1C" w:rsidRPr="007F4CC8" w:rsidRDefault="00203C1C" w:rsidP="001D27FC">
            <w:pPr>
              <w:pStyle w:val="Default"/>
              <w:spacing w:after="240"/>
              <w:jc w:val="both"/>
              <w:rPr>
                <w:rFonts w:ascii="Times New Roman" w:hAnsi="Times New Roman" w:cs="Times New Roman"/>
              </w:rPr>
            </w:pPr>
            <w:r>
              <w:rPr>
                <w:rFonts w:ascii="Times New Roman" w:hAnsi="Times New Roman"/>
              </w:rPr>
              <w:t>Změny v důsledku akvizice nebo zcizení obchodních/produktových řad nebo subjektů</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Devizové pohyby</w:t>
            </w:r>
          </w:p>
          <w:p w14:paraId="6B59EAA1" w14:textId="51000DA2" w:rsidR="00203C1C" w:rsidRPr="007F4CC8" w:rsidRDefault="00203C1C" w:rsidP="001D27FC">
            <w:pPr>
              <w:pStyle w:val="Default"/>
              <w:spacing w:after="240"/>
              <w:jc w:val="both"/>
              <w:rPr>
                <w:rFonts w:ascii="Times New Roman" w:hAnsi="Times New Roman" w:cs="Times New Roman"/>
              </w:rPr>
            </w:pPr>
            <w:r>
              <w:rPr>
                <w:rFonts w:ascii="Times New Roman" w:hAnsi="Times New Roman"/>
              </w:rPr>
              <w:t>Změny vyplývající z pohybů přepočtu cizí měny</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Ostatní</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Tato kategorie slouží k zachycení změn, které nelze přiřadit k žádné kategorii faktorů uvedených v řádcích 2 až 6 této šablony, přičemž vysvětlení příčin těchto změn musí být uvedeno v průvodním komentáři.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na konci období, za něž se informace zpřístupňují</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Hodnoty rizikově vážených expozic na konci období odvozené ze součtu kapitálových požadavků v souladu s článkem 364 CRR s výjimkou čl. 364 odst. 2 písm. a) CRR a případného dodatečného kapitálu požadovaného orgány dohledu pro instituce používající metodu interního modelu pro tržní riziko vynásobeného 12,5 v souladu s čl. 92 odst. 4 písm. b)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258E95D"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Řádky 1a/1b a 8a/8b této šablony se použijí v případě, kdy je RWEA / kapitálový požadavek pro kterýkoli ze sloupců a</w:t>
            </w:r>
            <w:r w:rsidR="005B280B">
              <w:rPr>
                <w:rFonts w:ascii="Times New Roman" w:hAnsi="Times New Roman"/>
                <w:sz w:val="24"/>
              </w:rPr>
              <w:t>)</w:t>
            </w:r>
            <w:r>
              <w:rPr>
                <w:rFonts w:ascii="Times New Roman" w:hAnsi="Times New Roman"/>
                <w:sz w:val="24"/>
              </w:rPr>
              <w:t xml:space="preserve"> až d</w:t>
            </w:r>
            <w:r w:rsidR="005B280B">
              <w:rPr>
                <w:rFonts w:ascii="Times New Roman" w:hAnsi="Times New Roman"/>
                <w:sz w:val="24"/>
              </w:rPr>
              <w:t>)</w:t>
            </w:r>
            <w:r>
              <w:rPr>
                <w:rFonts w:ascii="Times New Roman" w:hAnsi="Times New Roman"/>
                <w:sz w:val="24"/>
              </w:rPr>
              <w:t xml:space="preserve"> této šablony průměrem 60 dnů (pro </w:t>
            </w:r>
            <w:proofErr w:type="spellStart"/>
            <w:r>
              <w:rPr>
                <w:rFonts w:ascii="Times New Roman" w:hAnsi="Times New Roman"/>
                <w:sz w:val="24"/>
              </w:rPr>
              <w:t>VaR</w:t>
            </w:r>
            <w:proofErr w:type="spellEnd"/>
            <w:r>
              <w:rPr>
                <w:rFonts w:ascii="Times New Roman" w:hAnsi="Times New Roman"/>
                <w:sz w:val="24"/>
              </w:rPr>
              <w:t xml:space="preserve"> a </w:t>
            </w:r>
            <w:proofErr w:type="spellStart"/>
            <w:r>
              <w:rPr>
                <w:rFonts w:ascii="Times New Roman" w:hAnsi="Times New Roman"/>
                <w:sz w:val="24"/>
              </w:rPr>
              <w:t>SVaR</w:t>
            </w:r>
            <w:proofErr w:type="spellEnd"/>
            <w:r>
              <w:rPr>
                <w:rFonts w:ascii="Times New Roman" w:hAnsi="Times New Roman"/>
                <w:sz w:val="24"/>
              </w:rPr>
              <w:t xml:space="preserve">) nebo průměrem 12 týdnů nebo minimálním měřítkem (pro IRC a míru komplexního rizika), a nikoli RWEA / kapitálovým požadavkem na konci období (předchozího nebo zveřejňovaného) v souladu s čl. 364 odst. 1 písm. a) bodem i) a písm. b) bodem i), čl. 364 odst. 2 písm. b) bodem i) a čl. 364 odst. 3 písm. a) CRR. Částka v dalších řádcích 1a a 8b odpovídá rozdílu mezi konečnou </w:t>
            </w:r>
            <w:r>
              <w:rPr>
                <w:rFonts w:ascii="Times New Roman" w:hAnsi="Times New Roman"/>
                <w:sz w:val="24"/>
              </w:rPr>
              <w:lastRenderedPageBreak/>
              <w:t>odvozenou hodnotou RWEA v průměrných měrách zveřejněnou v řádcích 1 nebo 8 této šablony a měrami odvozenými přímo z modelů v řádcích 1b/8a této šablony. V těchto případech dodatečné řádky pro normativní úpravu (1a a 8b této šablony) zajišťují, že instituce je schopna uvést zdroj změn RWEA / kapitálových požadavků na základě posledního měření RWEA / kapitálových požadavků na konci období (předchozího nebo zveřejňovaného) v řádcích 1b a 8a této šablony. V takovém případě řádky 2, 3, 4, 5, 6, 7 této šablony vyrovnávají hodnotu v řádcích 1b a 8a</w:t>
            </w:r>
            <w:r w:rsidRPr="007F4CC8">
              <w:rPr>
                <w:rStyle w:val="FootnoteReference"/>
                <w:rFonts w:ascii="Times New Roman" w:hAnsi="Times New Roman" w:cs="Times New Roman"/>
                <w:sz w:val="24"/>
                <w:szCs w:val="24"/>
              </w:rPr>
              <w:footnoteReference w:id="48"/>
            </w:r>
            <w:r>
              <w:rPr>
                <w:rFonts w:ascii="Times New Roman" w:hAnsi="Times New Roman"/>
                <w:sz w:val="24"/>
              </w:rPr>
              <w:t xml:space="preserve"> této šablony.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Sloupec</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sz w:val="24"/>
              </w:rPr>
              <w:t xml:space="preserve"> Klíčové faktory změn v průběhu období v souladu s řádky 2 až 7 této šablony (na základě přiměřeného odhadu) u RWEA vážených hodnotou v riziku odvozených z kapitálových požadavků v souladu s čl. 364 odst. 1 písm. a) 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Klíčové faktory změn v průběhu období v souladu s řádky 2 až 7 této šablony (na základě přiměřeného odhadu) u RWEA vážených stresovou hodnotou v riziku odvozených z kapitálových požadavků v souladu s čl. 364 odst. 1 písm. b) CRR a veškerého dodatečného kapitálu požadovaného orgány dohledu.</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Klíčové faktory změn v průběhu období v souladu s řádky 2 až 7 této šablony (na základě přiměřeného odhadu) u RWEA vážených dodatečným rizikem selhání a migrace odvozených z kapitálových požadavků v souladu s čl. 364 odst. 2 písm. b) CRR a veškerého dodatečného kapitálu požadovaného orgány dohledu.</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Komplexní riziková míra</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Klíčové faktory změn během období v souladu s řádky 2 až 7 této šablony (na základě přiměřeného odhadu) u RWEA v portfoliu obchodování s korelací odvozených z kapitálových požadavků v souladu s čl. 364 odst. 3 CRR a veškerého dodatečného kapitálu požadovaného orgány dohledu.</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Ostatní</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Klíčové faktory změn za období podle řádků 2 až 7 této šablony u RWEA na základě modelových přístupů, které nejsou vykazovány ve sloupcích a) až 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Celkem RWEA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Kapitálové požadavky celkem (f x 8 %)</w:t>
            </w:r>
          </w:p>
        </w:tc>
      </w:tr>
    </w:tbl>
    <w:p w14:paraId="77BEF27F" w14:textId="77777777" w:rsidR="00203C1C" w:rsidRPr="00320783"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Šablona EU MR3 – Hodnoty IMA pro obchodní portfolia:</w:t>
      </w:r>
      <w:r>
        <w:rPr>
          <w:rFonts w:ascii="Times New Roman" w:hAnsi="Times New Roman"/>
          <w:color w:val="auto"/>
          <w:sz w:val="24"/>
        </w:rPr>
        <w:t xml:space="preserve"> Pevně daný formát</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Informace uvedené v čl. 455 písm. d) CRR zpřístupňují instituce podle následujících pokynů k vyplnění šablony EU MR3, obsažené v příloze XXIX tohoto prováděcího nařízení.</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Řádek</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dnů 99 %)</w:t>
            </w:r>
          </w:p>
          <w:p w14:paraId="7FE86511" w14:textId="6205721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Míra hodnoty v riziku podle čl. 365 odst. 1 CRR</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Částky nezahrnují dodatečné požadavky na kapitál na základě rozhodnutí orgánu dohledu (související například s multiplikátorem).</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až 4</w:t>
            </w:r>
          </w:p>
        </w:tc>
        <w:tc>
          <w:tcPr>
            <w:tcW w:w="7070" w:type="dxa"/>
            <w:tcBorders>
              <w:top w:val="single" w:sz="4" w:space="0" w:color="auto"/>
              <w:left w:val="single" w:sz="4" w:space="0" w:color="auto"/>
              <w:bottom w:val="single" w:sz="4" w:space="0" w:color="auto"/>
              <w:right w:val="single" w:sz="4" w:space="0" w:color="auto"/>
            </w:tcBorders>
          </w:tcPr>
          <w:p w14:paraId="4AD9AA0B" w14:textId="759B96F6"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Nejvyšší/nejnižší/střední denní výše hodnot v riziku během daného období a ke konci období</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dnů 99 %)</w:t>
            </w:r>
          </w:p>
          <w:p w14:paraId="2213DE21" w14:textId="208B2405"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Výše stresové hodnoty v riziku podle čl. 365 odst. 2 CRR</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Částky nezahrnují dodatečné kapitálové požadavky na základě rozhodnutí orgánu dohledu (multiplikátor).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až 8</w:t>
            </w:r>
          </w:p>
        </w:tc>
        <w:tc>
          <w:tcPr>
            <w:tcW w:w="7070" w:type="dxa"/>
            <w:tcBorders>
              <w:top w:val="single" w:sz="4" w:space="0" w:color="auto"/>
              <w:left w:val="single" w:sz="4" w:space="0" w:color="auto"/>
              <w:bottom w:val="single" w:sz="4" w:space="0" w:color="auto"/>
              <w:right w:val="single" w:sz="4" w:space="0" w:color="auto"/>
            </w:tcBorders>
          </w:tcPr>
          <w:p w14:paraId="3791ED38" w14:textId="2D01D7C1"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Nejvyšší/nejnižší/střední denní výše stresové hodnoty v riziku během daného období a denní výše hodnot v riziku ke konci období</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52AE07D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Hodnota dodatečného rizika selhání a migrace podle části třetí hlavy IV kapitoly 5 oddílu 3 CRR</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Částky nezahrnují dodatečné kapitálové požadavky na základě rozhodnutí orgánu dohledu (multiplikátor).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až 12</w:t>
            </w:r>
          </w:p>
        </w:tc>
        <w:tc>
          <w:tcPr>
            <w:tcW w:w="7070" w:type="dxa"/>
            <w:tcBorders>
              <w:top w:val="single" w:sz="4" w:space="0" w:color="auto"/>
              <w:left w:val="single" w:sz="4" w:space="0" w:color="auto"/>
              <w:bottom w:val="single" w:sz="4" w:space="0" w:color="auto"/>
              <w:right w:val="single" w:sz="4" w:space="0" w:color="auto"/>
            </w:tcBorders>
          </w:tcPr>
          <w:p w14:paraId="5AD9C775" w14:textId="14951B1B"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Nejvyšší/nejnižší/střední hodnota IRC během daného období a denní výše hodnot v riziku ke konci období</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Komplexní riziková míra (99,9 %)</w:t>
            </w:r>
          </w:p>
          <w:p w14:paraId="313F8990" w14:textId="27F9DABC"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Hodnota portfolií obchodování s korelací podle části třetí h</w:t>
            </w:r>
            <w:r w:rsidR="001D27FC">
              <w:rPr>
                <w:rFonts w:ascii="Times New Roman" w:hAnsi="Times New Roman"/>
                <w:sz w:val="24"/>
              </w:rPr>
              <w:t>lavy IV kapitoly 5 oddílu 5 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lastRenderedPageBreak/>
              <w:t>13 až 16</w:t>
            </w:r>
          </w:p>
        </w:tc>
        <w:tc>
          <w:tcPr>
            <w:tcW w:w="7070" w:type="dxa"/>
            <w:tcBorders>
              <w:top w:val="single" w:sz="4" w:space="0" w:color="auto"/>
              <w:left w:val="single" w:sz="4" w:space="0" w:color="auto"/>
              <w:bottom w:val="single" w:sz="4" w:space="0" w:color="auto"/>
              <w:right w:val="single" w:sz="4" w:space="0" w:color="auto"/>
            </w:tcBorders>
          </w:tcPr>
          <w:p w14:paraId="5042A236" w14:textId="76F3E207" w:rsidR="00203C1C" w:rsidRPr="007F4CC8" w:rsidRDefault="00203C1C" w:rsidP="001D27FC">
            <w:pPr>
              <w:spacing w:after="240"/>
              <w:jc w:val="both"/>
              <w:rPr>
                <w:rFonts w:ascii="Times New Roman" w:hAnsi="Times New Roman" w:cs="Times New Roman"/>
                <w:sz w:val="24"/>
              </w:rPr>
            </w:pPr>
            <w:r>
              <w:rPr>
                <w:rFonts w:ascii="Times New Roman" w:hAnsi="Times New Roman"/>
                <w:sz w:val="24"/>
              </w:rPr>
              <w:t>Nejvyšší/nejnižší/střední hodnota portfolií obchodování s korelací během daného období a denní výše hodnot v riziku ke konci období</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Sloupec</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16BAB296" w:rsidR="00203C1C" w:rsidRPr="007F4CC8" w:rsidRDefault="00203C1C" w:rsidP="001D27FC">
            <w:pPr>
              <w:spacing w:after="240"/>
              <w:rPr>
                <w:rFonts w:ascii="Times New Roman" w:hAnsi="Times New Roman" w:cs="Times New Roman"/>
                <w:sz w:val="24"/>
              </w:rPr>
            </w:pPr>
            <w:r>
              <w:rPr>
                <w:rFonts w:ascii="Times New Roman" w:hAnsi="Times New Roman"/>
                <w:sz w:val="24"/>
              </w:rPr>
              <w:t>Nejvyšší/nejnižší/střední hodnoty během období vykazování a hodnoty ke konci období odpovídající řádkům (1) až (16) této šablony</w:t>
            </w:r>
          </w:p>
        </w:tc>
      </w:tr>
    </w:tbl>
    <w:p w14:paraId="0A2D8EA1" w14:textId="77777777" w:rsidR="00203C1C" w:rsidRPr="00320783"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Šablona EU MR4 – Porovnání odhadů </w:t>
      </w:r>
      <w:proofErr w:type="spellStart"/>
      <w:r>
        <w:rPr>
          <w:rFonts w:ascii="Times New Roman" w:hAnsi="Times New Roman"/>
          <w:b/>
          <w:color w:val="auto"/>
          <w:sz w:val="24"/>
        </w:rPr>
        <w:t>VaR</w:t>
      </w:r>
      <w:proofErr w:type="spellEnd"/>
      <w:r>
        <w:rPr>
          <w:rFonts w:ascii="Times New Roman" w:hAnsi="Times New Roman"/>
          <w:b/>
          <w:color w:val="auto"/>
          <w:sz w:val="24"/>
        </w:rPr>
        <w:t xml:space="preserve"> se zisky/ztrátami: Flexibilní šablona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Pokud jde o informace uvedené v čl. 455 písm. g) CRR, instituce zveřejní graf, který je obsažen v příloze XXIX tohoto prováděcího nařízení, včetně informací uvedených v této tabulce.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Odkazy na právní předpisy a pokyny</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Vysvětlení</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Informace uvedené v čl. 455 písm. g) CRR zahrnují výši hodnoty v riziku použitou pro regulatorní účely v souladu s čl. 365 odst. 1 CRR kalibrovanou na jednodenní dobu držení, aby bylo možné porovnat je s výstupy obchodování instituce s 99% spolehlivostí.</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Instituce uvedou analýzu „odlehlých hodnot“ (výjimky ze zpětného testování podle článku 366 CRR) ve výsledcích zpětného testování, přičemž uvedou data a odpovídající přebytek (</w:t>
            </w:r>
            <w:proofErr w:type="spellStart"/>
            <w:proofErr w:type="gramStart"/>
            <w:r>
              <w:rPr>
                <w:rFonts w:ascii="Times New Roman" w:hAnsi="Times New Roman"/>
              </w:rPr>
              <w:t>VaR</w:t>
            </w:r>
            <w:proofErr w:type="spellEnd"/>
            <w:proofErr w:type="gramEnd"/>
            <w:r>
              <w:rPr>
                <w:rFonts w:ascii="Times New Roman" w:hAnsi="Times New Roman"/>
              </w:rPr>
              <w:t>–</w:t>
            </w:r>
            <w:proofErr w:type="gramStart"/>
            <w:r>
              <w:rPr>
                <w:rFonts w:ascii="Times New Roman" w:hAnsi="Times New Roman"/>
              </w:rPr>
              <w:t>P&amp;L</w:t>
            </w:r>
            <w:proofErr w:type="gramEnd"/>
            <w:r>
              <w:rPr>
                <w:rFonts w:ascii="Times New Roman" w:hAnsi="Times New Roman"/>
              </w:rPr>
              <w:t xml:space="preserve">). Analýza by měla specifikovat přinejmenším hlavní příčiny výjimek.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Instituce zveřejní podobná srovnání skutečných zisků a ztrát a hypotetických zisků a ztrát (tj. na základě hypotetických změn hodnot portfolií, ke kterým by došlo, pokud by se pozice na konci dne nezměnily) podle článku 366 CRR.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Instituce tyto informace doplní informacemi o skutečných ziscích/ztrátách, a zejména objasní, zda zahrnují rezervy, a pokud ne, jak jsou rezervy začleněny do procesu zpětného testování. </w:t>
            </w:r>
          </w:p>
        </w:tc>
      </w:tr>
    </w:tbl>
    <w:p w14:paraId="191D0407" w14:textId="77777777" w:rsidR="00203C1C" w:rsidRPr="00320783"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PŘÍLOHA XXXII – Pokyny k šablonám pro zpřístupňování informací o operačních rizicích</w:t>
      </w:r>
    </w:p>
    <w:p w14:paraId="33A4E9C6" w14:textId="77777777" w:rsidR="00FA02BC" w:rsidRPr="007F4CC8" w:rsidRDefault="00FA02BC" w:rsidP="00FA02BC">
      <w:pPr>
        <w:spacing w:after="120"/>
        <w:jc w:val="both"/>
        <w:rPr>
          <w:rFonts w:ascii="Times New Roman" w:hAnsi="Times New Roman"/>
          <w:b/>
          <w:bCs/>
          <w:sz w:val="24"/>
        </w:rPr>
      </w:pPr>
    </w:p>
    <w:p w14:paraId="58A921A0" w14:textId="6779DEEF" w:rsidR="00FA02BC" w:rsidRPr="007F4CC8" w:rsidRDefault="00FA02BC" w:rsidP="00FA02BC">
      <w:pPr>
        <w:spacing w:after="120"/>
        <w:rPr>
          <w:rFonts w:ascii="Times New Roman" w:hAnsi="Times New Roman"/>
          <w:bCs/>
          <w:sz w:val="24"/>
        </w:rPr>
      </w:pPr>
      <w:r>
        <w:rPr>
          <w:rFonts w:ascii="Times New Roman" w:hAnsi="Times New Roman"/>
          <w:b/>
          <w:bCs/>
          <w:sz w:val="24"/>
        </w:rPr>
        <w:t xml:space="preserve">Tabulka </w:t>
      </w:r>
      <w:r w:rsidR="00CC4769">
        <w:rPr>
          <w:rFonts w:ascii="Times New Roman" w:hAnsi="Times New Roman"/>
          <w:b/>
          <w:bCs/>
          <w:sz w:val="24"/>
        </w:rPr>
        <w:t xml:space="preserve">EU </w:t>
      </w:r>
      <w:r>
        <w:rPr>
          <w:rFonts w:ascii="Times New Roman" w:hAnsi="Times New Roman"/>
          <w:b/>
          <w:bCs/>
          <w:sz w:val="24"/>
        </w:rPr>
        <w:t xml:space="preserve">ORA – Kvalitativní informace o operačním riziku. </w:t>
      </w:r>
      <w:r>
        <w:rPr>
          <w:rFonts w:ascii="Times New Roman" w:hAnsi="Times New Roman"/>
          <w:bCs/>
          <w:sz w:val="24"/>
        </w:rPr>
        <w:t>Flexibilní tabulka</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Informace uvedené v této tabulce se zpřístupňují na základě čl. 435 odst. 1 a článků 446 a 454 nařízení (EU) č. 575/2013</w:t>
      </w:r>
      <w:r w:rsidRPr="007F4CC8">
        <w:rPr>
          <w:rStyle w:val="FootnoteReference"/>
          <w:rFonts w:ascii="Times New Roman" w:hAnsi="Times New Roman"/>
          <w:bCs/>
          <w:sz w:val="24"/>
        </w:rPr>
        <w:footnoteReference w:id="49"/>
      </w:r>
      <w:r>
        <w:rPr>
          <w:rFonts w:ascii="Times New Roman" w:hAnsi="Times New Roman"/>
          <w:bCs/>
          <w:sz w:val="24"/>
        </w:rPr>
        <w:t xml:space="preserve"> (dále jen „CRR“).</w:t>
      </w:r>
    </w:p>
    <w:p w14:paraId="0BA71BE4" w14:textId="2A035C43"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 xml:space="preserve">Při vyplňování tabulky s informacemi o operačním riziku </w:t>
      </w:r>
      <w:r w:rsidR="00CC4769">
        <w:rPr>
          <w:rFonts w:ascii="Times New Roman" w:hAnsi="Times New Roman"/>
          <w:bCs/>
          <w:sz w:val="24"/>
        </w:rPr>
        <w:t xml:space="preserve">EU </w:t>
      </w:r>
      <w:r>
        <w:rPr>
          <w:rFonts w:ascii="Times New Roman" w:hAnsi="Times New Roman"/>
          <w:bCs/>
          <w:sz w:val="24"/>
        </w:rPr>
        <w:t>ORA, obsažené v příloze XXXI tohoto prováděcího nařízení, se instituce řídí pokyny uvedenými níže.</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Odkazy na právní předpisy a pokyny</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Řádek</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Vysvětlení</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62B93AC0"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Zpřístupňování informací o cílech a zásadách v oblasti řízení rizik</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V souladu s čl. 435 odst. 1 CRR instituce zveřejní své cíle a zásady v oblasti řízení operačního rizika, včetně:</w:t>
            </w:r>
          </w:p>
          <w:p w14:paraId="5D2DF5EA" w14:textId="554E644F" w:rsidR="00FA02BC" w:rsidRPr="007F4CC8" w:rsidRDefault="00FA02BC" w:rsidP="009860B6">
            <w:pPr>
              <w:spacing w:after="120"/>
              <w:rPr>
                <w:rFonts w:ascii="Times New Roman" w:eastAsia="Times New Roman" w:hAnsi="Times New Roman" w:cs="Times New Roman"/>
                <w:color w:val="000000"/>
                <w:sz w:val="24"/>
              </w:rPr>
            </w:pPr>
            <w:r>
              <w:rPr>
                <w:rFonts w:ascii="Times New Roman" w:hAnsi="Times New Roman"/>
                <w:color w:val="000000"/>
                <w:sz w:val="24"/>
              </w:rPr>
              <w:t>– strategií a procesů,</w:t>
            </w:r>
            <w:r>
              <w:rPr>
                <w:rFonts w:ascii="Times New Roman" w:hAnsi="Times New Roman"/>
                <w:color w:val="000000"/>
                <w:sz w:val="24"/>
              </w:rPr>
              <w:br/>
              <w:t>– struktury a organizace funkce řízení operačního rizika,</w:t>
            </w:r>
            <w:r>
              <w:rPr>
                <w:rFonts w:ascii="Times New Roman" w:hAnsi="Times New Roman"/>
                <w:color w:val="000000"/>
                <w:sz w:val="24"/>
              </w:rPr>
              <w:br/>
              <w:t>– měření a kontroly rizik,</w:t>
            </w:r>
            <w:r>
              <w:rPr>
                <w:rFonts w:ascii="Times New Roman" w:hAnsi="Times New Roman"/>
                <w:color w:val="000000"/>
                <w:sz w:val="24"/>
              </w:rPr>
              <w:br/>
              <w:t>– hlášení o operačním riziku</w:t>
            </w:r>
            <w:r w:rsidR="009860B6">
              <w:rPr>
                <w:rFonts w:ascii="Times New Roman" w:hAnsi="Times New Roman"/>
                <w:color w:val="000000"/>
                <w:sz w:val="24"/>
              </w:rPr>
              <w:t>,</w:t>
            </w:r>
            <w:r>
              <w:rPr>
                <w:rFonts w:ascii="Times New Roman" w:hAnsi="Times New Roman"/>
                <w:color w:val="000000"/>
                <w:sz w:val="24"/>
              </w:rPr>
              <w:br/>
              <w:t>– zásad zajištění a zmírňování operačního rizika.</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5799DC65"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Zpřístupňování informací o přístupech k posouzení minimálních kapitálových požadavků</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Instituce poskytnou popis metod používaných k výpočtu kapitálových požadavků k operačnímu riziku a metod identifikace, hodnocení a řízení operačního rizika.</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V případě dílčího používání metodik instituce zveřejní rozsah a pokrytí jednotlivých používaných metodik.</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A3505F8"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Popis uplatněného přístupu AMA</w:t>
            </w:r>
            <w:r>
              <w:rPr>
                <w:rFonts w:ascii="Times New Roman" w:hAnsi="Times New Roman"/>
                <w:color w:val="000000"/>
                <w:sz w:val="24"/>
              </w:rPr>
              <w:t xml:space="preserve"> (je-li to relevantní)</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Instituce, které zveřejňují informace o operačním riziku v souladu s čl. 312 odst. 2 CRR, zveřejní popis použité metodiky, včetně popisu standardů pro externí a interní údaje podle čl. 322 odst. 3 a 4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015BF49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Informace o použití pojištění za účelem snížení rizika v rámci pokročilého přístupu k měření</w:t>
            </w:r>
            <w:r>
              <w:rPr>
                <w:rFonts w:ascii="Times New Roman" w:hAnsi="Times New Roman"/>
                <w:color w:val="000000"/>
                <w:sz w:val="24"/>
              </w:rPr>
              <w:t xml:space="preserve"> (je-li to relevantní)</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Instituce, které používají pokročilý přístup k měření v souladu s článkem 454 CRR, by měly uvést informace o využívání pojištění a jiných mechanismů převodu rizika pro účely snižování operačního rizika.</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4E92F69C" w:rsidR="00FA02BC" w:rsidRPr="007F4CC8" w:rsidRDefault="00FA02BC" w:rsidP="00FA02BC">
      <w:pPr>
        <w:spacing w:after="120"/>
        <w:jc w:val="both"/>
        <w:rPr>
          <w:rFonts w:ascii="Times New Roman" w:hAnsi="Times New Roman" w:cs="Times New Roman"/>
          <w:bCs/>
          <w:sz w:val="24"/>
        </w:rPr>
      </w:pPr>
      <w:r>
        <w:rPr>
          <w:rFonts w:ascii="Times New Roman" w:hAnsi="Times New Roman"/>
          <w:b/>
          <w:bCs/>
          <w:sz w:val="24"/>
        </w:rPr>
        <w:lastRenderedPageBreak/>
        <w:t xml:space="preserve">Šablona </w:t>
      </w:r>
      <w:r w:rsidR="00CC4769">
        <w:rPr>
          <w:rFonts w:ascii="Times New Roman" w:hAnsi="Times New Roman"/>
          <w:b/>
          <w:bCs/>
          <w:sz w:val="24"/>
        </w:rPr>
        <w:t xml:space="preserve">EU </w:t>
      </w:r>
      <w:r>
        <w:rPr>
          <w:rFonts w:ascii="Times New Roman" w:hAnsi="Times New Roman"/>
          <w:b/>
          <w:bCs/>
          <w:sz w:val="24"/>
        </w:rPr>
        <w:t xml:space="preserve">OR1 – Kapitálové požadavky k operačnímu riziku a objemy rizikově vážených expozic. </w:t>
      </w:r>
      <w:r>
        <w:rPr>
          <w:rFonts w:ascii="Times New Roman" w:hAnsi="Times New Roman"/>
          <w:bCs/>
          <w:sz w:val="24"/>
        </w:rPr>
        <w:t>Šablona s pevně daným formátem</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41E4B5A2"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Informace uvedené v článcích 446 a 454 CRR zpřístupňují instituce podle následujících pokynů k vyplnění šablony </w:t>
      </w:r>
      <w:r w:rsidR="00CC4769">
        <w:rPr>
          <w:rFonts w:ascii="Times New Roman" w:hAnsi="Times New Roman"/>
          <w:bCs/>
          <w:sz w:val="24"/>
        </w:rPr>
        <w:t xml:space="preserve">EU </w:t>
      </w:r>
      <w:r>
        <w:rPr>
          <w:rFonts w:ascii="Times New Roman" w:hAnsi="Times New Roman"/>
          <w:bCs/>
          <w:sz w:val="24"/>
        </w:rPr>
        <w:t xml:space="preserve">OR1 o operačnímu riziku, obsažené v příloze XXXI tohoto prováděcího nařízení. Šablona obsahuje informace o výpočtu kapitálových požadavků v souladu s články 312 až 324 (k operačnímu riziku podle přístupu základního ukazatele (BIA), standardizovaného přístupu (TSA), alternativního standardizovaného přístupu (ASA) a pokročilého přístupu k měření (AMA)) v části třetí hlavě III CRR. </w:t>
      </w:r>
    </w:p>
    <w:p w14:paraId="6EF02617" w14:textId="77777777" w:rsidR="00FA02BC" w:rsidRPr="007F4CC8" w:rsidRDefault="00FA02BC" w:rsidP="00FA02BC">
      <w:pPr>
        <w:pStyle w:val="InstructionsText2"/>
        <w:numPr>
          <w:ilvl w:val="0"/>
          <w:numId w:val="19"/>
        </w:numPr>
        <w:spacing w:after="120"/>
      </w:pPr>
      <w:r>
        <w:t>Instituce, které používají přístup BIA, TSA a/nebo ASA, v komentáři přiloženém k šabloně uvedou, zda informace ke konci účetního roku, které používají pro výpočet kapitálových požadavků: a) vychází z auditovaných údajů, nebo: b) nejsou-li auditované údaje k dispozici, vychází z obchodních odhadů. Ve druhém případě instituce uvedou všechny výjimečné okolnosti, které vedly ke změnám těchto údajů (např. nedávné akvizice nebo zcizení subjektů či činností).</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38474E51"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 xml:space="preserve">Pokyny k vyplňování šablony pro zveřejňování informací </w:t>
            </w:r>
            <w:r w:rsidR="00CC4769">
              <w:rPr>
                <w:rFonts w:ascii="Times New Roman" w:hAnsi="Times New Roman"/>
                <w:sz w:val="24"/>
                <w:szCs w:val="24"/>
              </w:rPr>
              <w:t xml:space="preserve">EU </w:t>
            </w:r>
            <w:r>
              <w:rPr>
                <w:rFonts w:ascii="Times New Roman" w:hAnsi="Times New Roman"/>
                <w:sz w:val="24"/>
                <w:szCs w:val="24"/>
              </w:rPr>
              <w:t>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Relevantní ukazatel</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Pojem „relevantní ukazatel“ označuje „součet položek“ ke konci účetního období, jež jsou obsaženy v tabulce 1 (pro instituce používající BIA) uvedené v čl. 316 odst. 1 CRR. Pro instituce používající TSA nebo ASA je „relevantní ukazatel“ ke konci účetního období definován v článcích 317 až 319 CRR. </w:t>
            </w:r>
          </w:p>
          <w:p w14:paraId="02FFEA95" w14:textId="5FE8E0C9"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Instituce, které pro výpočet kapitálového požadavku k operačnímu riziku (přístup BIA, TSA a ASA) používají relevantní ukazatel, uvedou relevantní ukazatel pro příslušné roky ve sloupcích a</w:t>
            </w:r>
            <w:r w:rsidR="005B280B">
              <w:rPr>
                <w:rFonts w:ascii="Times New Roman" w:hAnsi="Times New Roman"/>
                <w:sz w:val="24"/>
              </w:rPr>
              <w:t>)</w:t>
            </w:r>
            <w:r>
              <w:rPr>
                <w:rFonts w:ascii="Times New Roman" w:hAnsi="Times New Roman"/>
                <w:sz w:val="24"/>
              </w:rPr>
              <w:t xml:space="preserve"> až c</w:t>
            </w:r>
            <w:r w:rsidR="005B280B">
              <w:rPr>
                <w:rFonts w:ascii="Times New Roman" w:hAnsi="Times New Roman"/>
                <w:sz w:val="24"/>
              </w:rPr>
              <w:t>)</w:t>
            </w:r>
            <w:r>
              <w:rPr>
                <w:rFonts w:ascii="Times New Roman" w:hAnsi="Times New Roman"/>
                <w:sz w:val="24"/>
              </w:rPr>
              <w:t xml:space="preserve"> této šablony. Kromě toho v případě kombinovaného použití různých přístupů, jak je uvedeno v článku 314 CRR, instituce zveřejní také relevantní ukazatel pro činnosti podléhající přístupu AMA. Banky používající přístup AMA rovněž zveřejní relevantní ukazatel pro činnosti podléhající AMA.</w:t>
            </w:r>
          </w:p>
          <w:p w14:paraId="2ED7106D" w14:textId="48168AEE"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Má-li instituce k dispozici údaje o „relevantním ukazateli“ za méně než tři roky, zařadí dostupné historické údaje (auditované) podle priority do odpovídajících sloupců šablony. Jsou-li například k dispozici historické údaje pouze za jeden rok, uvedou se ve sloupci c</w:t>
            </w:r>
            <w:r w:rsidR="00BF3410">
              <w:rPr>
                <w:rFonts w:ascii="Times New Roman" w:hAnsi="Times New Roman"/>
                <w:sz w:val="24"/>
              </w:rPr>
              <w:t>)</w:t>
            </w:r>
            <w:r>
              <w:rPr>
                <w:rFonts w:ascii="Times New Roman" w:hAnsi="Times New Roman"/>
                <w:sz w:val="24"/>
              </w:rPr>
              <w:t xml:space="preserve"> této šablony. Je-li to přijatelné, výhledové odhady se tedy uvedou ve sloupci b</w:t>
            </w:r>
            <w:r w:rsidR="00BF3410">
              <w:rPr>
                <w:rFonts w:ascii="Times New Roman" w:hAnsi="Times New Roman"/>
                <w:sz w:val="24"/>
              </w:rPr>
              <w:t>)</w:t>
            </w:r>
            <w:r>
              <w:rPr>
                <w:rFonts w:ascii="Times New Roman" w:hAnsi="Times New Roman"/>
                <w:sz w:val="24"/>
              </w:rPr>
              <w:t xml:space="preserve"> (odhady pro příští rok) a ve sloupci a</w:t>
            </w:r>
            <w:r w:rsidR="00BF3410">
              <w:rPr>
                <w:rFonts w:ascii="Times New Roman" w:hAnsi="Times New Roman"/>
                <w:sz w:val="24"/>
              </w:rPr>
              <w:t>)</w:t>
            </w:r>
            <w:r>
              <w:rPr>
                <w:rFonts w:ascii="Times New Roman" w:hAnsi="Times New Roman"/>
                <w:sz w:val="24"/>
              </w:rPr>
              <w:t xml:space="preserve"> (odhady pro rok +2) této šablony.</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Pokud ale nejsou k dispozici žádné historické údaje o „relevantním ukazateli“, může instituce zveřejnit výhledové obchodní odhady používané pro výpočet kapitálových požadavků.</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Kapitálové požadavky</w:t>
            </w:r>
          </w:p>
          <w:p w14:paraId="38B5A43D" w14:textId="27EF5FA6"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lastRenderedPageBreak/>
              <w:t>Kapitálové požadavky vypočítané na základě použitého přístupu, v souladu s články 312 až 324 CRR. Výsledná hodnota je uvedena ve sloupci d</w:t>
            </w:r>
            <w:r w:rsidR="00BF3410">
              <w:rPr>
                <w:rFonts w:ascii="Times New Roman" w:hAnsi="Times New Roman"/>
                <w:sz w:val="24"/>
              </w:rPr>
              <w:t>)</w:t>
            </w:r>
            <w:r>
              <w:rPr>
                <w:rFonts w:ascii="Times New Roman" w:hAnsi="Times New Roman"/>
                <w:sz w:val="24"/>
              </w:rPr>
              <w:t xml:space="preserve"> této šablony.</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Výše rizikové expozice</w:t>
            </w:r>
          </w:p>
          <w:p w14:paraId="1EA91C04" w14:textId="5E20AD7E" w:rsidR="00FA02BC" w:rsidRPr="007F4CC8" w:rsidRDefault="00FA02BC" w:rsidP="009860B6">
            <w:pPr>
              <w:spacing w:after="120"/>
              <w:jc w:val="both"/>
              <w:rPr>
                <w:rFonts w:ascii="Times New Roman" w:hAnsi="Times New Roman" w:cs="Times New Roman"/>
                <w:b/>
                <w:sz w:val="24"/>
              </w:rPr>
            </w:pPr>
            <w:r>
              <w:rPr>
                <w:rFonts w:ascii="Times New Roman" w:hAnsi="Times New Roman"/>
                <w:sz w:val="24"/>
              </w:rPr>
              <w:t>Čl. 92 odst. 3  písm. e) a čl. 92 odst. 4 CRR. Kapitálové požadavky ve sloupci d</w:t>
            </w:r>
            <w:r w:rsidR="00BF3410">
              <w:rPr>
                <w:rFonts w:ascii="Times New Roman" w:hAnsi="Times New Roman"/>
                <w:sz w:val="24"/>
              </w:rPr>
              <w:t>)</w:t>
            </w:r>
            <w:r>
              <w:rPr>
                <w:rFonts w:ascii="Times New Roman" w:hAnsi="Times New Roman"/>
                <w:sz w:val="24"/>
              </w:rPr>
              <w:t xml:space="preserve"> této šablony vynásobené koeficientem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Řádek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Vysvětlení</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Bankovní činnosti podléhající přístupu základního ukazatele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V tomto řádku se uvádějí částky odpovídající činnostem, které při výpočtu kapitálového požadavku k operačnímu riziku podléhají přístupu BIA (články 315 a 316 nařízení o kapitálových požadavcích).</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Bankovní činnosti podléhající standardizovanému (TSA) / alternativnímu standardizovanému (ASA) přístupu</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V tomto řádku se uvedou kapitálové požadavky vypočítané v souladu s přístupem TSA a ASA (články 317 až 320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Podléhající TSA</w:t>
            </w:r>
          </w:p>
          <w:p w14:paraId="6DA3CF06" w14:textId="16E7CEFE" w:rsidR="00FA02BC" w:rsidRPr="007F4CC8" w:rsidRDefault="00FA02BC" w:rsidP="009860B6">
            <w:pPr>
              <w:spacing w:after="120"/>
              <w:jc w:val="both"/>
              <w:rPr>
                <w:rFonts w:ascii="Times New Roman" w:eastAsia="Times New Roman" w:hAnsi="Times New Roman" w:cs="Times New Roman"/>
                <w:sz w:val="24"/>
              </w:rPr>
            </w:pPr>
            <w:r>
              <w:rPr>
                <w:rFonts w:ascii="Times New Roman" w:hAnsi="Times New Roman"/>
                <w:sz w:val="24"/>
              </w:rPr>
              <w:t xml:space="preserve">V případě použití TSA relevantní ukazatel pro každý příslušný rok zahrnuje všechny oblasti podnikání definované v tabulce 2, která je obsažena v článku 317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Podléhající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Instituce používající přístup ASA (článek 319 CRR) zveřejní relevantní ukazatel pro příslušné roky.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Bankovní činnosti podléhající pokročilým přístupům k měření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Zde se uvedou údaje týkající se institucí, které uplatňují přístup AMA (čl. 312 odst. 2) a články 321 až 323 CRR.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V případě kombinovaného použití různých přístupů v souladu s článkem 314 CRR se zpřístupňují také údaje o relevantním ukazateli pro činnosti podléhající přístupu AMA. Banky používající přístup AMA rovněž zveřejní relevantní ukazatel pro činnosti podléhající AMA.</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38E9768B" w:rsidR="009360C9" w:rsidRPr="007F4CC8" w:rsidRDefault="009360C9" w:rsidP="009360C9">
      <w:pPr>
        <w:pStyle w:val="Annexetitre"/>
        <w:spacing w:after="240"/>
        <w:rPr>
          <w:u w:val="none"/>
        </w:rPr>
      </w:pPr>
      <w:r>
        <w:rPr>
          <w:u w:val="none"/>
        </w:rPr>
        <w:lastRenderedPageBreak/>
        <w:t>PŘÍLOHA XXXIV</w:t>
      </w:r>
      <w:r w:rsidR="009860B6">
        <w:rPr>
          <w:u w:val="none"/>
        </w:rPr>
        <w:t xml:space="preserve"> </w:t>
      </w:r>
      <w:r>
        <w:rPr>
          <w:u w:val="none"/>
        </w:rPr>
        <w:t>– Pokyny k šablonám pro zveřejňování informací o zásadách odměňování</w:t>
      </w:r>
    </w:p>
    <w:p w14:paraId="4E85F73C" w14:textId="77777777" w:rsidR="009360C9" w:rsidRPr="00320783" w:rsidRDefault="009360C9" w:rsidP="009360C9">
      <w:pPr>
        <w:pStyle w:val="Titlelevel2"/>
        <w:spacing w:before="120" w:after="120"/>
        <w:rPr>
          <w:rFonts w:ascii="Times New Roman" w:hAnsi="Times New Roman"/>
          <w:b/>
          <w:color w:val="auto"/>
          <w:sz w:val="22"/>
        </w:rPr>
      </w:pPr>
    </w:p>
    <w:p w14:paraId="046A9F87" w14:textId="60BAD5BB" w:rsidR="009360C9" w:rsidRPr="00DD0C4D"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Tabulka </w:t>
      </w:r>
      <w:r w:rsidR="00CC4769">
        <w:rPr>
          <w:rFonts w:ascii="Times New Roman" w:hAnsi="Times New Roman"/>
          <w:b/>
          <w:color w:val="auto"/>
          <w:sz w:val="24"/>
        </w:rPr>
        <w:t xml:space="preserve">EU </w:t>
      </w:r>
      <w:r>
        <w:rPr>
          <w:rFonts w:ascii="Times New Roman" w:hAnsi="Times New Roman"/>
          <w:b/>
          <w:color w:val="auto"/>
          <w:sz w:val="24"/>
        </w:rPr>
        <w:t xml:space="preserve">REMA – Zásady odměňování: </w:t>
      </w:r>
      <w:r>
        <w:rPr>
          <w:rFonts w:ascii="Times New Roman" w:hAnsi="Times New Roman"/>
          <w:color w:val="auto"/>
          <w:sz w:val="24"/>
        </w:rPr>
        <w:t>Flexibilní formát</w:t>
      </w:r>
    </w:p>
    <w:p w14:paraId="0976B2A5" w14:textId="2B20FB42"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Informace uvedené v čl. 450 odst. 1 písm. a), b), c), d), e), f), j) a k) a čl. 450 odst. 2 CRR</w:t>
      </w:r>
      <w:r w:rsidRPr="007F4CC8">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zpřístupňují instituce podle následujících pokynů k vyplnění tabulky </w:t>
      </w:r>
      <w:r w:rsidR="00CC4769">
        <w:rPr>
          <w:rFonts w:ascii="Times New Roman" w:hAnsi="Times New Roman"/>
          <w:bCs w:val="0"/>
          <w:color w:val="auto"/>
          <w:sz w:val="24"/>
        </w:rPr>
        <w:t xml:space="preserve">EU </w:t>
      </w:r>
      <w:r>
        <w:rPr>
          <w:rFonts w:ascii="Times New Roman" w:hAnsi="Times New Roman"/>
          <w:bCs w:val="0"/>
          <w:color w:val="auto"/>
          <w:sz w:val="24"/>
        </w:rPr>
        <w:t>REMA, obsažené v příloze XXXIII tohoto prováděcího nařízení.</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Tato tabulka má flexibilní formát. V případě, že instituce použijí jiný formát, poskytnou informace srovnatelné s informacemi požadovanými v této tabulce, s podobnou úrovní členění a včetně všech požadovaných podstatných informací.</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Pro účely této tabulky a šablon vysvětlených v této příloze se přiznáním rozumí poskytnutí pohyblivé složky odměny za určité akruální období bez ohledu na okamžik, kdy je přiznaná částka skutečně vyplacena.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Odkazy na právní předpisy a pokyny</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573C9594"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Informace týkající se orgánů, jež na odměňování dohlíží, včetně:</w:t>
            </w:r>
          </w:p>
          <w:p w14:paraId="34792097" w14:textId="06624CE8"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názvu, složení a mandátu hlavního orgánu (vedoucího orgánu, resp. výboru pro odměňování, byl-li zřízen), který dohlíží na uplatňování zásad odměňování, a kolikrát v daném účetním období zasedal</w:t>
            </w:r>
            <w:r w:rsidR="009860B6">
              <w:rPr>
                <w:rFonts w:ascii="Times New Roman" w:hAnsi="Times New Roman"/>
                <w:sz w:val="24"/>
                <w:szCs w:val="24"/>
              </w:rPr>
              <w:t>,</w:t>
            </w:r>
          </w:p>
          <w:p w14:paraId="25E40D95" w14:textId="57908BB6"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informací o externích poradcích, kteří v souvislosti se zásadami odměňování poskytli poradenství, o tom, který orgán si jejich služby vyžádal a které oblasti rámce odměňování se poradenství týkalo</w:t>
            </w:r>
            <w:r w:rsidR="009860B6">
              <w:rPr>
                <w:rFonts w:ascii="Times New Roman" w:hAnsi="Times New Roman"/>
                <w:sz w:val="24"/>
                <w:szCs w:val="24"/>
              </w:rPr>
              <w:t>,</w:t>
            </w:r>
          </w:p>
          <w:p w14:paraId="38E9E6F8" w14:textId="1C744FC8"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popisu působnosti zásad odměňování dané instituce (např. podle regionů, předmětu činnosti), a do jaké míry platí i pro její dceřiné společnosti a pobočky ve třetích zemích</w:t>
            </w:r>
            <w:r w:rsidR="009860B6">
              <w:rPr>
                <w:rFonts w:ascii="Times New Roman" w:hAnsi="Times New Roman"/>
                <w:sz w:val="24"/>
                <w:szCs w:val="24"/>
              </w:rPr>
              <w:t>,</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popisu pracovníků či kategorií pracovníků, jejichž pracovní činnosti mají podstatný dopad na rizikový profil instituce (vybraní zaměstnanci).</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2BA768CA"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Informace týkající se koncepce a struktury systému odměňování vybraných zaměstnanců, včetně:</w:t>
            </w:r>
          </w:p>
          <w:p w14:paraId="4A3CCFC4" w14:textId="0A604586"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přehledu hlavních rysů a cílů zásad odměňování a informací o tom, jaký rozhodovací proces byl použit pro jejich stanovení a jaké jsou úlohy příslušných zainteresovaných subjektů (např. valná hromada akcionářů)</w:t>
            </w:r>
            <w:r w:rsidR="009860B6">
              <w:rPr>
                <w:rFonts w:ascii="Times New Roman" w:hAnsi="Times New Roman"/>
                <w:sz w:val="24"/>
                <w:szCs w:val="24"/>
              </w:rPr>
              <w:t>,</w:t>
            </w:r>
          </w:p>
          <w:p w14:paraId="19FB8179" w14:textId="19F18C0A"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informací o kritériích používaných k měření výkonnosti a při předem stanovených a následných úpravách po zohlednění rizik</w:t>
            </w:r>
            <w:r w:rsidR="009860B6">
              <w:rPr>
                <w:rFonts w:ascii="Times New Roman" w:hAnsi="Times New Roman"/>
                <w:sz w:val="24"/>
                <w:szCs w:val="24"/>
              </w:rPr>
              <w:t>,</w:t>
            </w:r>
          </w:p>
          <w:p w14:paraId="60A2CEAE" w14:textId="39339F84"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informace, zda vedoucí orgán nebo výbor pro odměňování (pokud byl zřízen) během uplynulého roku zásady odměňování instituce přezkoumal, a pokud ano, přehled provedených změn, důvodů k nim a jejich dopad na odměny</w:t>
            </w:r>
            <w:r w:rsidR="009860B6">
              <w:rPr>
                <w:rFonts w:ascii="Times New Roman" w:hAnsi="Times New Roman"/>
                <w:sz w:val="24"/>
                <w:szCs w:val="24"/>
              </w:rPr>
              <w:t>,</w:t>
            </w:r>
          </w:p>
          <w:p w14:paraId="60DFCD3D" w14:textId="7167B505"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informací o tom, jakým způsobem instituce zajišťuje, aby pracovníci zastávající funkce interní kontroly byli odměňováni nezávisle na obchodních útvarech, nad nimiž vykonávají dohled</w:t>
            </w:r>
            <w:r w:rsidR="009860B6">
              <w:rPr>
                <w:rFonts w:ascii="Times New Roman" w:hAnsi="Times New Roman"/>
                <w:sz w:val="24"/>
                <w:szCs w:val="24"/>
              </w:rPr>
              <w:t>,</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zásad a kritérií poskytování zaručené pohyblivé složky odměny a přiznávání odstupného.</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1035A041"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Popis, jak jsou ve způsobech odměňování zohledňována stávající a budoucí rizika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Zpřístupňované informace zahrnují přehled hlavních rizik, jejich měření a jejich dopad na odměňování.</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2F886A2D"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6A2F49BF" w:rsidR="009360C9" w:rsidRPr="007F4CC8" w:rsidRDefault="009860B6" w:rsidP="009860B6">
            <w:pPr>
              <w:spacing w:before="60" w:after="120"/>
              <w:jc w:val="both"/>
              <w:rPr>
                <w:rFonts w:ascii="Times New Roman" w:hAnsi="Times New Roman"/>
                <w:sz w:val="24"/>
              </w:rPr>
            </w:pPr>
            <w:r>
              <w:rPr>
                <w:rFonts w:ascii="Times New Roman" w:hAnsi="Times New Roman"/>
                <w:sz w:val="24"/>
              </w:rPr>
              <w:t>P</w:t>
            </w:r>
            <w:r w:rsidR="009360C9">
              <w:rPr>
                <w:rFonts w:ascii="Times New Roman" w:hAnsi="Times New Roman"/>
                <w:sz w:val="24"/>
              </w:rPr>
              <w:t>oměry mezi stálou a pohyblivou složkou odměny stanovené podle čl. 94 odst. 1 písm. g) směrnice (EU) 2013/36 (CRD)</w:t>
            </w:r>
            <w:r w:rsidR="009360C9" w:rsidRPr="007F4CC8">
              <w:rPr>
                <w:rStyle w:val="FootnoteReference"/>
                <w:rFonts w:ascii="Times New Roman" w:hAnsi="Times New Roman"/>
                <w:sz w:val="24"/>
              </w:rPr>
              <w:footnoteReference w:id="51"/>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7510140C"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F1800E9" w:rsidR="009360C9" w:rsidRPr="007F4CC8" w:rsidRDefault="009360C9" w:rsidP="00155C96">
            <w:pPr>
              <w:spacing w:before="60" w:after="120"/>
              <w:jc w:val="both"/>
              <w:rPr>
                <w:rFonts w:ascii="Times New Roman" w:hAnsi="Times New Roman"/>
                <w:sz w:val="24"/>
              </w:rPr>
            </w:pPr>
            <w:r>
              <w:rPr>
                <w:rFonts w:ascii="Times New Roman" w:hAnsi="Times New Roman"/>
                <w:sz w:val="24"/>
              </w:rPr>
              <w:t>Popis způsobu, jakým instituce zajišťuje provázanost výkonnosti během období měření výkonnosti s úrovní odměn</w:t>
            </w:r>
            <w:r w:rsidR="009860B6">
              <w:rPr>
                <w:rFonts w:ascii="Times New Roman" w:hAnsi="Times New Roman"/>
                <w:sz w:val="24"/>
              </w:rPr>
              <w:t>,</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včetně:</w:t>
            </w:r>
          </w:p>
          <w:p w14:paraId="063A0E13" w14:textId="76714824"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přehledu hlavních kritérií a ukazatelů výkonnosti instituce, obchodních útvarů a jednotlivců</w:t>
            </w:r>
            <w:r w:rsidR="009860B6">
              <w:rPr>
                <w:rFonts w:ascii="Times New Roman" w:hAnsi="Times New Roman"/>
                <w:sz w:val="24"/>
                <w:szCs w:val="24"/>
              </w:rPr>
              <w:t>,</w:t>
            </w:r>
          </w:p>
          <w:p w14:paraId="7C3AAE37" w14:textId="686FEE5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přehledu provázanosti výše jednotlivých pohyblivých složek odměny s výkonností instituce jako celku a výkonností jednotlivce</w:t>
            </w:r>
            <w:r w:rsidR="009860B6">
              <w:rPr>
                <w:rFonts w:ascii="Times New Roman" w:hAnsi="Times New Roman"/>
                <w:sz w:val="24"/>
                <w:szCs w:val="24"/>
              </w:rPr>
              <w:t>,</w:t>
            </w:r>
          </w:p>
          <w:p w14:paraId="723A6079" w14:textId="20977453"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kritérií používaných ke stanovení rovnováhy mezi různými druhy poskytovaných nástrojů, jako jsou akcie, rovnocenné vlastnické podíly, opce a další</w:t>
            </w:r>
            <w:r w:rsidR="009860B6">
              <w:rPr>
                <w:rFonts w:ascii="Times New Roman" w:hAnsi="Times New Roman"/>
                <w:sz w:val="24"/>
                <w:szCs w:val="24"/>
              </w:rPr>
              <w:t>,</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informace o opatřeních, která instituce provede pro úpravu pohyblivé složky odměny v případě, že je výkonnostní ukazatel slabý, včetně kritérií instituce pro stanovení výkonnostních ukazatelů, pokud jsou výkonnostní ukazatelé považovány za „slabé“. V souladu s čl. 94 odst. 1 písm. n) CRD musí být pohyblivá složka odměny, která má být vyplacena nebo přiznána, odůvodněna na základě výsledků instituce, obchodního útvaru a dotyčného jednotlivce. Instituce vysvětlí kritéria / prahové hodnoty, podle nichž určuje, že výkonnost je slabá, a jež neopravňují k vyplacení nebo přiznání pohyblivé složky odměny.</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0F35763C" w:rsidR="009360C9" w:rsidRPr="007F4CC8" w:rsidRDefault="00933038"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Popis způsobu, jakým instituce upravuje odměny tak, aby zohledňovaly dlouhodobou výkonnost,</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včetně:</w:t>
            </w:r>
          </w:p>
          <w:p w14:paraId="1335D35E" w14:textId="1144900D"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přehledu zásad instituce týkajících se oddálení nároku na pohyblivou složku odměny, výplaty v podobě nástrojů, období zadržování a kritérií pro její přiznání, včetně případů, kdy se liší pro jednotlivé pracovníky nebo kategorie pracovníků</w:t>
            </w:r>
            <w:r w:rsidR="009860B6">
              <w:rPr>
                <w:rFonts w:ascii="Times New Roman" w:hAnsi="Times New Roman"/>
                <w:sz w:val="24"/>
                <w:szCs w:val="24"/>
              </w:rPr>
              <w:t>,</w:t>
            </w:r>
          </w:p>
          <w:p w14:paraId="12FA72CD" w14:textId="6BB21C1C"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kritérií instituce pro úpravy </w:t>
            </w:r>
            <w:r>
              <w:rPr>
                <w:rFonts w:ascii="Times New Roman" w:hAnsi="Times New Roman"/>
                <w:i/>
                <w:sz w:val="24"/>
                <w:szCs w:val="24"/>
              </w:rPr>
              <w:t>ex post</w:t>
            </w:r>
            <w:r>
              <w:rPr>
                <w:rFonts w:ascii="Times New Roman" w:hAnsi="Times New Roman"/>
                <w:sz w:val="24"/>
                <w:szCs w:val="24"/>
              </w:rPr>
              <w:t xml:space="preserve"> (malus během oddálení a zpětné vymáhání po přiznání, pokud to vnitrostátní právo umožňuje)</w:t>
            </w:r>
            <w:r w:rsidR="009860B6">
              <w:rPr>
                <w:rFonts w:ascii="Times New Roman" w:hAnsi="Times New Roman"/>
                <w:sz w:val="24"/>
                <w:szCs w:val="24"/>
              </w:rPr>
              <w:t>,</w:t>
            </w:r>
          </w:p>
          <w:p w14:paraId="2D12D80C" w14:textId="2DC81559"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v relevantních případech požadavky na držení podílů, jež mohou být uvaleny na vybrané zaměstnance</w:t>
            </w:r>
            <w:r w:rsidR="009860B6">
              <w:rPr>
                <w:rFonts w:ascii="Times New Roman" w:hAnsi="Times New Roman"/>
                <w:sz w:val="24"/>
                <w:szCs w:val="24"/>
              </w:rPr>
              <w:t>.</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047159DD" w:rsidR="009360C9" w:rsidRPr="007F4CC8" w:rsidRDefault="00933038" w:rsidP="006D005E">
            <w:pPr>
              <w:pStyle w:val="Applicationdirecte"/>
              <w:spacing w:before="0" w:after="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Popis hlavních parametrů a zdůvodnění všech systémů pohyblivých složek odměny a dalších nepeněžních výhod podle čl. 450 odst. 1 písm. f) CRR, včetně:</w:t>
            </w:r>
          </w:p>
          <w:p w14:paraId="3A414D6B" w14:textId="73F3E18D"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informací o specifických rizicích / zvláštních ukazatelích výkonnosti používaných ke stanovení pohyblivé složky odměny a kritérií používaných ke stanovení rovnováhy mezi různými druhy poskytovaných nástrojů, jako jsou akcie, rovnocenné vlastnické podíly, nástroje navázané na akcie, rovnocenné nepeněžní nástroje, opce a další</w:t>
            </w:r>
            <w:r w:rsidR="009860B6">
              <w:rPr>
                <w:rFonts w:ascii="Times New Roman" w:hAnsi="Times New Roman"/>
                <w:sz w:val="24"/>
                <w:szCs w:val="24"/>
              </w:rPr>
              <w:t>.</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1BE87C60"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Na žádost příslušného členského státu nebo příslušného orgánu celková odměna každého člena vedoucího orgánu nebo vrcholného vedení podle čl. 450 odst. 1 písm. j)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73660113"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Informace o tom, zda instituce využívá odchylky stanovené v čl. 94 odst. 3 CRD, jak je uvedeno v čl. 450 odst. 1 písm. k) CRR</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Pro účely tohoto bodu uvedou instituce, které takové odchylky využívají, zda tak činí na základě čl. 94 odst. 3 písmene a) nebo b) CRD. Uvedou rovněž, u kterých požadavků na odměňování uplatňují odchylku (odchylky), (tj. čl. 94 odst. 1 písm. l) a/nebo m) a/nebo o) CRD), počet zaměstnanců, kteří využívají odchylku (odchylky), a jejich celkovou odměnu rozdělenou na pevnou a pohyblivou složku odměny.</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32A9B1A2"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994CDB9" w:rsidR="009360C9" w:rsidRPr="007F4CC8" w:rsidRDefault="009360C9" w:rsidP="00155C96">
            <w:pPr>
              <w:spacing w:before="60" w:after="120"/>
              <w:jc w:val="both"/>
              <w:rPr>
                <w:rFonts w:ascii="Times New Roman" w:hAnsi="Times New Roman"/>
                <w:sz w:val="24"/>
              </w:rPr>
            </w:pPr>
            <w:r>
              <w:rPr>
                <w:rFonts w:ascii="Times New Roman" w:hAnsi="Times New Roman"/>
                <w:sz w:val="24"/>
              </w:rPr>
              <w:t>Velké instituce zpřístupní rovněž kvantitativní informace o odměňování svého kolektivního vedoucího orgánu v členění na výkonné a nevýkonné členy v souladu s čl. 450 odst. 2 CRR</w:t>
            </w:r>
            <w:r w:rsidR="009860B6">
              <w:rPr>
                <w:rFonts w:ascii="Times New Roman" w:hAnsi="Times New Roman"/>
                <w:sz w:val="24"/>
              </w:rPr>
              <w:t>.</w:t>
            </w:r>
          </w:p>
        </w:tc>
      </w:tr>
    </w:tbl>
    <w:p w14:paraId="093C4B50"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6921F53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56C9C8FA"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162FF1E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486088B5" w14:textId="369BEC6E"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REM1 – Výše odměn v účetním období: </w:t>
      </w:r>
      <w:r>
        <w:rPr>
          <w:rFonts w:ascii="Times New Roman" w:hAnsi="Times New Roman"/>
          <w:color w:val="auto"/>
          <w:sz w:val="24"/>
        </w:rPr>
        <w:t>Pevně daný formát</w:t>
      </w:r>
    </w:p>
    <w:p w14:paraId="3A695468" w14:textId="0CE6FACE"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Při vyplňování šablony </w:t>
      </w:r>
      <w:r w:rsidR="00CC4769">
        <w:rPr>
          <w:rFonts w:ascii="Times New Roman" w:hAnsi="Times New Roman"/>
          <w:bCs w:val="0"/>
          <w:color w:val="auto"/>
          <w:sz w:val="24"/>
        </w:rPr>
        <w:t xml:space="preserve">EU </w:t>
      </w:r>
      <w:r>
        <w:rPr>
          <w:rFonts w:ascii="Times New Roman" w:hAnsi="Times New Roman"/>
          <w:bCs w:val="0"/>
          <w:color w:val="auto"/>
          <w:sz w:val="24"/>
        </w:rPr>
        <w:t xml:space="preserve">REM1, obsažené v příloze XXXIII tohoto prováděcího nařízení, pro účely čl. 450 odst. 1 písm. h) bodů i) až </w:t>
      </w:r>
      <w:proofErr w:type="spellStart"/>
      <w:r>
        <w:rPr>
          <w:rFonts w:ascii="Times New Roman" w:hAnsi="Times New Roman"/>
          <w:bCs w:val="0"/>
          <w:color w:val="auto"/>
          <w:sz w:val="24"/>
        </w:rPr>
        <w:t>ii</w:t>
      </w:r>
      <w:proofErr w:type="spellEnd"/>
      <w:r>
        <w:rPr>
          <w:rFonts w:ascii="Times New Roman" w:hAnsi="Times New Roman"/>
          <w:bCs w:val="0"/>
          <w:color w:val="auto"/>
          <w:sz w:val="24"/>
        </w:rPr>
        <w:t>) CRR se instituce řídí níže uvedenými pokyny.</w:t>
      </w:r>
    </w:p>
    <w:p w14:paraId="75D7ECA6" w14:textId="77777777" w:rsidR="009360C9" w:rsidRPr="00320783"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lastRenderedPageBreak/>
              <w:t>Odkazy na právní předpisy a pokyny</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a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Počet vybraných zaměstnanců</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Počet zaměstnanců, jejichž pracovní činnosti mají podstatný dopad na rizikový profil institucí v souladu s článkem 92 CRD a nařízením Komise v přenesené pravomoci o vybraných zaměstnancích</w:t>
            </w:r>
            <w:r w:rsidRPr="007F4CC8">
              <w:rPr>
                <w:rStyle w:val="FootnoteReference"/>
                <w:rFonts w:ascii="Times New Roman" w:hAnsi="Times New Roman" w:cs="Times New Roman"/>
                <w:sz w:val="24"/>
                <w:szCs w:val="24"/>
              </w:rPr>
              <w:footnoteReference w:id="52"/>
            </w:r>
            <w:r>
              <w:rPr>
                <w:rFonts w:ascii="Times New Roman" w:hAnsi="Times New Roman"/>
                <w:sz w:val="24"/>
              </w:rPr>
              <w:t>, kterým se provádí čl. 94 odst. 2 CRD (dále jen „vybraní zaměstnanci“), a kteří jsou příjemci složek odměn uvedených v této šabloně. Vypočítá se pomocí přístupu FTE (ekvivalent plného pracovního úvazku) pro vybrané zaměstnance jiné než členy vedoucího orgánu, kde se čísla uvádějí jako počet zaměstnanců.</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Pevná složka odměny celkem</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Součet hodnot v řádcích 3 až 7 této šablony</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peněžitá</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Výše peněžité odměny v rámci pevné odměny</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akcie nebo rovnocenné vlastnické podíly</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Součet hodnot akcií nebo rovnocenných vlastnických podílů, s výhradou právní struktury dotčené instituce uvedené v čl. 94 odst. 1 písm. l) bodě i) CRD, v rámci pevné odměny.</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Z toho: nástroje spojené s akciemi nebo rovnocenné nepeněžní nástroje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Součet hodnot nástrojů vázaných na akcie nebo rovnocenných nepeněžních nástrojů uvedených v čl. 94 odst. 1 písm. l) bodě i) CRD v rámci pevné odměny.</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ostatní nástroje</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Hodnota ostatních nástrojů uvedených v čl. 94 odst. 1 písm. l) bodě </w:t>
            </w:r>
            <w:proofErr w:type="spellStart"/>
            <w:r>
              <w:rPr>
                <w:rFonts w:ascii="Times New Roman" w:hAnsi="Times New Roman"/>
                <w:sz w:val="24"/>
              </w:rPr>
              <w:t>ii</w:t>
            </w:r>
            <w:proofErr w:type="spellEnd"/>
            <w:r>
              <w:rPr>
                <w:rFonts w:ascii="Times New Roman" w:hAnsi="Times New Roman"/>
                <w:sz w:val="24"/>
              </w:rPr>
              <w:t>) CRD v rámci pevné složky odměny.</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jiné formy</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Výše pevné složky odměny přiznané za rozpočtový rok, která není uvedena v jiných řádcích pod hlavičkou pevná složka odměny celkem.</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by mohlo zahrnovat poměrné pravidelné příspěvky na důchodové zabezpečení nebo výhody (jsou-li poskytovány bez ohledu na jakákoli kritéria týkající se dosažených výsledků) uvedené v 64. bodě odůvodnění CRD nebo jiné formy odměňování, jako jsou příspěvky na provoz vozidla.</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Pohyblivá složka odměny celkem</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Součet hodnot v řádcích 11, EU-13a, EU-13b, EU-14x a 15 této šablony</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Součet všech složek odměny, které nejsou pevnou složkou odměny a které jsou uvedeny v řádku 2 </w:t>
            </w:r>
            <w:proofErr w:type="gramStart"/>
            <w:r>
              <w:rPr>
                <w:rFonts w:ascii="Times New Roman" w:hAnsi="Times New Roman"/>
                <w:sz w:val="24"/>
              </w:rPr>
              <w:t>této</w:t>
            </w:r>
            <w:proofErr w:type="gramEnd"/>
            <w:r>
              <w:rPr>
                <w:rFonts w:ascii="Times New Roman" w:hAnsi="Times New Roman"/>
                <w:sz w:val="24"/>
              </w:rPr>
              <w:t xml:space="preserve"> šablony, včetně zaručených variabilních plateb a odchodného poskytnutých během daného roku.</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peněžitá</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Výše peněžité odměny v rámci pohyblivé složky odměny</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a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odložená</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Výše pohyblivé složky odměny podle různých druhů složek, které jsou odloženy, stanovená v souladu s článkem 94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akcie nebo rovnocenné vlastnické podíly</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Součet hodnot akcií nebo rovnocenných vlastnických podílů v rámci pohyblivé složky odměny v závislosti na právní struktuře dotyčné instituce uvedených v čl. 94 odst. 1 písm. l) bodě i) CRD.</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z toho: nástroje spojené s akciemi nebo rovnocenné nepeněžní nástroje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Součet hodnot nástrojů v rámci pohyblivé složky odměny spojených s akciemi nebo rovnocennými nepeněžními nástroji uvedených v čl. 94 odst. 1 písm. l) bodě i) CRD.</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ostatní nástroje</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 xml:space="preserve">Hodnota ostatních nástrojů v rámci pohyblivé složky odměny uvedených v čl. 94 odst. 1 písm. l) bodě </w:t>
            </w:r>
            <w:proofErr w:type="spellStart"/>
            <w:r>
              <w:rPr>
                <w:rFonts w:ascii="Times New Roman" w:hAnsi="Times New Roman"/>
                <w:sz w:val="24"/>
              </w:rPr>
              <w:t>ii</w:t>
            </w:r>
            <w:proofErr w:type="spellEnd"/>
            <w:r>
              <w:rPr>
                <w:rFonts w:ascii="Times New Roman" w:hAnsi="Times New Roman"/>
                <w:sz w:val="24"/>
              </w:rPr>
              <w:t>) CRD.</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 toho: jiné formy</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Výše pohyblivých složek odměny přiznaných za účetní období, které nejsou uvedeny v jiných řádcích pod hlavičkou pohyblivé složky odměny.</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Celková odměna</w:t>
            </w:r>
          </w:p>
          <w:p w14:paraId="181EB30A" w14:textId="1AA02D61" w:rsidR="009360C9" w:rsidRPr="007F4CC8" w:rsidRDefault="009360C9" w:rsidP="009860B6">
            <w:pPr>
              <w:autoSpaceDE w:val="0"/>
              <w:autoSpaceDN w:val="0"/>
              <w:adjustRightInd w:val="0"/>
              <w:spacing w:after="120"/>
              <w:rPr>
                <w:rFonts w:ascii="Times New Roman" w:hAnsi="Times New Roman" w:cs="Times New Roman"/>
                <w:sz w:val="24"/>
              </w:rPr>
            </w:pPr>
            <w:r>
              <w:rPr>
                <w:rFonts w:ascii="Times New Roman" w:hAnsi="Times New Roman"/>
                <w:sz w:val="24"/>
              </w:rPr>
              <w:t>Součet hodnot v řádcích 2 a 10 této šablony</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Vysvětlení</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Členové vedoucího orgánu v kontrolní funkci</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Členové vedoucího orgánu v kontrolní funkci neboli vedoucí orgán, který vykonává funkci spočívající v kontrole a sledování rozhodování osob ve vedení, jak je definováno v čl. 3 odst. 1 </w:t>
            </w:r>
            <w:proofErr w:type="gramStart"/>
            <w:r>
              <w:rPr>
                <w:rFonts w:ascii="Times New Roman" w:hAnsi="Times New Roman"/>
                <w:sz w:val="24"/>
              </w:rPr>
              <w:t>bodě</w:t>
            </w:r>
            <w:proofErr w:type="gramEnd"/>
            <w:r>
              <w:rPr>
                <w:rFonts w:ascii="Times New Roman" w:hAnsi="Times New Roman"/>
                <w:sz w:val="24"/>
              </w:rPr>
              <w:t xml:space="preserve"> 8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Instituce uvedou informace na základě na počtu členů. </w:t>
            </w:r>
          </w:p>
          <w:p w14:paraId="6BC6F325" w14:textId="5BDC4255"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 souladu s článkem 13 CRR mateřské instituce v EU tyto informace uvedou na základě své konsolidované situace a velké dceřiné podniky mateřských institucí v EU je uvedou na individuálním základě, případně v souladu s tímto nařízením a CRD na </w:t>
            </w:r>
            <w:proofErr w:type="spellStart"/>
            <w:r>
              <w:rPr>
                <w:rFonts w:ascii="Times New Roman" w:hAnsi="Times New Roman"/>
                <w:sz w:val="24"/>
              </w:rPr>
              <w:t>subkonsolidovaném</w:t>
            </w:r>
            <w:proofErr w:type="spellEnd"/>
            <w:r>
              <w:rPr>
                <w:rFonts w:ascii="Times New Roman" w:hAnsi="Times New Roman"/>
                <w:sz w:val="24"/>
              </w:rPr>
              <w:t xml:space="preserve"> základě. Zveřejňující subjekt v tomto sloupci uvede informace o svém vedoucím orgánu. Pokud se na základě článků 6 a 13 CRR informace zpřístupňují na konsolidované nebo </w:t>
            </w:r>
            <w:proofErr w:type="spellStart"/>
            <w:r>
              <w:rPr>
                <w:rFonts w:ascii="Times New Roman" w:hAnsi="Times New Roman"/>
                <w:sz w:val="24"/>
              </w:rPr>
              <w:t>subkonsolidované</w:t>
            </w:r>
            <w:proofErr w:type="spellEnd"/>
            <w:r>
              <w:rPr>
                <w:rFonts w:ascii="Times New Roman" w:hAnsi="Times New Roman"/>
                <w:sz w:val="24"/>
              </w:rPr>
              <w:t xml:space="preserve"> úrovni, uvedou se informace o vybraných zaměstnancích vedoucích orgánů dceřiných podniků v rámci odpovídají</w:t>
            </w:r>
            <w:r w:rsidR="00D06D6D">
              <w:rPr>
                <w:rFonts w:ascii="Times New Roman" w:hAnsi="Times New Roman"/>
                <w:sz w:val="24"/>
              </w:rPr>
              <w:t>cí</w:t>
            </w:r>
            <w:r>
              <w:rPr>
                <w:rFonts w:ascii="Times New Roman" w:hAnsi="Times New Roman"/>
                <w:sz w:val="24"/>
              </w:rPr>
              <w:t xml:space="preserve"> oblasti podnikání.</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Členové vedoucího orgánu v řídící funkci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Členové vedoucího orgánu, kteří odpovídají za jeho řídící funkce.</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Instituce uvedou informace na základě na počtu členů.</w:t>
            </w:r>
          </w:p>
          <w:p w14:paraId="160E29F2" w14:textId="5DC6BCA8"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Instituce uvedou informace na základě na počtu členů. V souladu s článkem 13 CRR. Mateřské instituce v EU tyto informace uvedou na základě své konsolidované situace a velké dceřiné společnosti mateřských institucí v EU je uvedou na individuálním základě, případně v souladu s tímto nařízením a CRD na </w:t>
            </w:r>
            <w:proofErr w:type="spellStart"/>
            <w:r>
              <w:rPr>
                <w:rFonts w:ascii="Times New Roman" w:hAnsi="Times New Roman"/>
                <w:sz w:val="24"/>
              </w:rPr>
              <w:t>subkonsolidovaném</w:t>
            </w:r>
            <w:proofErr w:type="spellEnd"/>
            <w:r>
              <w:rPr>
                <w:rFonts w:ascii="Times New Roman" w:hAnsi="Times New Roman"/>
                <w:sz w:val="24"/>
              </w:rPr>
              <w:t xml:space="preserve"> základě. Zveřejňující subjekt v tomto sloupci uvede informace o svém vedoucím orgánu. Pokud se na základě článků 6 a 13 CRR informace zpřístupňují na konsolidované nebo </w:t>
            </w:r>
            <w:proofErr w:type="spellStart"/>
            <w:r>
              <w:rPr>
                <w:rFonts w:ascii="Times New Roman" w:hAnsi="Times New Roman"/>
                <w:sz w:val="24"/>
              </w:rPr>
              <w:t>subkonsolidované</w:t>
            </w:r>
            <w:proofErr w:type="spellEnd"/>
            <w:r>
              <w:rPr>
                <w:rFonts w:ascii="Times New Roman" w:hAnsi="Times New Roman"/>
                <w:sz w:val="24"/>
              </w:rPr>
              <w:t xml:space="preserve"> úrovni, uvedou se informace o vybraných zaměstnancích vedoucích orgánů dceřiných podniků v rámci odpovídají</w:t>
            </w:r>
            <w:r w:rsidR="00D06D6D">
              <w:rPr>
                <w:rFonts w:ascii="Times New Roman" w:hAnsi="Times New Roman"/>
                <w:sz w:val="24"/>
              </w:rPr>
              <w:t>cí</w:t>
            </w:r>
            <w:r>
              <w:rPr>
                <w:rFonts w:ascii="Times New Roman" w:hAnsi="Times New Roman"/>
                <w:sz w:val="24"/>
              </w:rPr>
              <w:t xml:space="preserve"> oblasti podnikání.</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Ostatní členové vrcholného vedení</w:t>
            </w:r>
          </w:p>
          <w:p w14:paraId="7260CFA7" w14:textId="5E48D396" w:rsidR="009360C9" w:rsidRPr="007F4CC8" w:rsidRDefault="009860B6"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w:t>
            </w:r>
            <w:r w:rsidR="009360C9">
              <w:rPr>
                <w:rFonts w:ascii="Times New Roman" w:hAnsi="Times New Roman"/>
                <w:sz w:val="24"/>
              </w:rPr>
              <w:t>rcholné vedení ve smyslu čl. 3 odst. 1 bodu 9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Instituce uvedou počet členů vrcholného vedení, kteří nejsou vykázáni jako členové vedoucího orgánu v řídící funkci ani jako ostatní vybraní zaměstnanci. Instituce uvedou informace na základě ekvivalentu plných pracovních úvazků.</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Ostatní vybraní zaměstnanci</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Jiní zaměstnanci než členové vedoucího orgánu v kontrolní nebo řídící funkci a jiní než členové vrcholného vedení, jejichž pracovní činnosti mají podstatný dopad na rizikový profil instituce v souladu s kritérii stanovenými v nařízení Komise v přenesené pravomoci o vybraných zaměstnancích, kterým se provádí čl. 94 odst. 2 CRD, a případně navíc na základě kritérií institucí.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Instituce mohou do této šablony zahrnout členění podle oblastí podnikání navržené v šabloně EU REM5. Instituce uvedou informace na základě ekvivalentu plných pracovních úvazků.</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5564D434"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REM2 – Zvláštní platby pracovníkům, jejichž pracovní činnosti mají podstatný dopad na rizikový profil daných institucí (vybraní zaměstnanci): </w:t>
      </w:r>
      <w:r>
        <w:rPr>
          <w:rFonts w:ascii="Times New Roman" w:hAnsi="Times New Roman"/>
          <w:color w:val="auto"/>
          <w:sz w:val="24"/>
        </w:rPr>
        <w:t>Pevně daný formát</w:t>
      </w:r>
    </w:p>
    <w:p w14:paraId="12D04FA2" w14:textId="2FD724D9"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Informace uvedené v čl. 450 odst. 1 písm. h) bodech v) až </w:t>
      </w:r>
      <w:proofErr w:type="spellStart"/>
      <w:r>
        <w:rPr>
          <w:rFonts w:ascii="Times New Roman" w:hAnsi="Times New Roman"/>
          <w:bCs w:val="0"/>
          <w:color w:val="auto"/>
          <w:sz w:val="24"/>
        </w:rPr>
        <w:t>vii</w:t>
      </w:r>
      <w:proofErr w:type="spellEnd"/>
      <w:r>
        <w:rPr>
          <w:rFonts w:ascii="Times New Roman" w:hAnsi="Times New Roman"/>
          <w:bCs w:val="0"/>
          <w:color w:val="auto"/>
          <w:sz w:val="24"/>
        </w:rPr>
        <w:t xml:space="preserve">) CRR zpřístupňují instituce podle následujících pokynů k vyplnění šablony </w:t>
      </w:r>
      <w:r w:rsidR="00CC4769">
        <w:rPr>
          <w:rFonts w:ascii="Times New Roman" w:hAnsi="Times New Roman"/>
          <w:bCs w:val="0"/>
          <w:color w:val="auto"/>
          <w:sz w:val="24"/>
        </w:rPr>
        <w:t xml:space="preserve">EU </w:t>
      </w:r>
      <w:r>
        <w:rPr>
          <w:rFonts w:ascii="Times New Roman" w:hAnsi="Times New Roman"/>
          <w:bCs w:val="0"/>
          <w:color w:val="auto"/>
          <w:sz w:val="24"/>
        </w:rPr>
        <w:t>REM2, obsažené v příloze XXXIII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Odkazy na právní předpisy a pokyny</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a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Počet vybraných zaměstnanců</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Počet vybraných zaměstnanců, jejichž pracovní činnosti mají podstatný dopad na rizikový profil institucí v souladu s článkem 92 CRD a nařízením Komise v přenesené pravomoci o vybraných zaměstnancích, kterým se provádí čl. 94 odst. 2 CRD, pro každou konkrétní složku odměny.</w:t>
            </w:r>
          </w:p>
          <w:p w14:paraId="3CD9C986" w14:textId="3D482924"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Ve sloupcích a</w:t>
            </w:r>
            <w:r w:rsidR="009860B6">
              <w:rPr>
                <w:rFonts w:ascii="Times New Roman" w:hAnsi="Times New Roman"/>
                <w:sz w:val="24"/>
              </w:rPr>
              <w:t>)</w:t>
            </w:r>
            <w:r>
              <w:rPr>
                <w:rFonts w:ascii="Times New Roman" w:hAnsi="Times New Roman"/>
                <w:sz w:val="24"/>
              </w:rPr>
              <w:t xml:space="preserve"> a b</w:t>
            </w:r>
            <w:r w:rsidR="009860B6">
              <w:rPr>
                <w:rFonts w:ascii="Times New Roman" w:hAnsi="Times New Roman"/>
                <w:sz w:val="24"/>
              </w:rPr>
              <w:t>)</w:t>
            </w:r>
            <w:r>
              <w:rPr>
                <w:rFonts w:ascii="Times New Roman" w:hAnsi="Times New Roman"/>
                <w:sz w:val="24"/>
              </w:rPr>
              <w:t xml:space="preserve"> (MB) této šablony je hodnota založena na počtu zaměstnanců. Ve sloupcích c</w:t>
            </w:r>
            <w:r w:rsidR="00BF3410">
              <w:rPr>
                <w:rFonts w:ascii="Times New Roman" w:hAnsi="Times New Roman"/>
                <w:sz w:val="24"/>
              </w:rPr>
              <w:t>)</w:t>
            </w:r>
            <w:r>
              <w:rPr>
                <w:rFonts w:ascii="Times New Roman" w:hAnsi="Times New Roman"/>
                <w:sz w:val="24"/>
              </w:rPr>
              <w:t xml:space="preserve"> a d</w:t>
            </w:r>
            <w:r w:rsidR="00BF3410">
              <w:rPr>
                <w:rFonts w:ascii="Times New Roman" w:hAnsi="Times New Roman"/>
                <w:sz w:val="24"/>
              </w:rPr>
              <w:t>)</w:t>
            </w:r>
            <w:r>
              <w:rPr>
                <w:rFonts w:ascii="Times New Roman" w:hAnsi="Times New Roman"/>
                <w:sz w:val="24"/>
              </w:rPr>
              <w:t xml:space="preserve"> této šablony se hodnota vypočítá metodou přepočtu na plné pracovní úvazky (FTE).</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Řádek 4 této šablony se týká odstupného přiznaného v předchozích obdobích a vyplaceného během účetního období (současný rok), zatímco řádek 6 této šablony se týká odstupného přiznaného během účetního období (současný rok).</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Udělené zaručené pohyblivé odměny – celková výše</w:t>
            </w:r>
          </w:p>
          <w:p w14:paraId="4ED4990E" w14:textId="7333A4C2"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Výše zaručených pohyblivých odměn podle čl. 94 odst. 1 písm. e)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z toho zaručené pohyblivé odměny udělené během daného účetního období, nezahrnuté v limitu prémií</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Výše zaručených pohyblivých odměn podle čl. 94 odst. 1 písm. e) CRD vyplacených v průběhu účetního období (současný rok), které nejsou zohledněny v horním limitu prémií.</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S ohledem na zveřejňované informace uvedené v čl. 450 odst. 1 písm. g) a písm. h) bodech v) až </w:t>
            </w:r>
            <w:proofErr w:type="spellStart"/>
            <w:r>
              <w:rPr>
                <w:rFonts w:ascii="Times New Roman" w:hAnsi="Times New Roman"/>
                <w:sz w:val="24"/>
              </w:rPr>
              <w:t>vi</w:t>
            </w:r>
            <w:proofErr w:type="spellEnd"/>
            <w:r>
              <w:rPr>
                <w:rFonts w:ascii="Times New Roman" w:hAnsi="Times New Roman"/>
                <w:sz w:val="24"/>
              </w:rPr>
              <w:t>) CRR instituce jasně uvedou, zda souhrnné kvantitativní informace o odměňování v členění podle oblastí podnikání u nově vzniklých pracovních poměrů a odstupného odrážejí horní limit prémií.</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Odstupné přiznané za minulá období a vyplacené během účetního období – celková výše</w:t>
            </w:r>
          </w:p>
          <w:p w14:paraId="7ECBBDBF" w14:textId="1A3A6EE5"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Výše odstupného podle čl. 94 odst. 1 písm. h) CRD, které bylo přiznáno v předchozích obdobích a bylo vyplaceno v průběhu účetního období (současný rok)</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Odstupné přiznané během účetního období – celková výše</w:t>
            </w:r>
          </w:p>
          <w:p w14:paraId="51AE3F53" w14:textId="6373DA0B"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Výše odstupného podle čl. 94 odst. 1 písm. h) CRD, které bylo přiznáno během účetního období (současný rok)</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Z toho odstupné přiznané během účetního období – vyplacené během účetního období</w:t>
            </w:r>
          </w:p>
          <w:p w14:paraId="28EB2362" w14:textId="23E65B81" w:rsidR="009360C9" w:rsidRPr="007F4CC8" w:rsidRDefault="009360C9" w:rsidP="009860B6">
            <w:pPr>
              <w:spacing w:before="60" w:after="120"/>
              <w:jc w:val="both"/>
              <w:rPr>
                <w:rFonts w:ascii="Times New Roman" w:hAnsi="Times New Roman"/>
                <w:sz w:val="24"/>
              </w:rPr>
            </w:pPr>
            <w:r>
              <w:rPr>
                <w:rFonts w:ascii="Times New Roman" w:hAnsi="Times New Roman"/>
                <w:sz w:val="24"/>
              </w:rPr>
              <w:t>Výše odstupného podle čl. 94 odst. 1 písm. h) CRD přiznaného během účetního období, které bylo vyplaceno během účetního období</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Z toho odstupné přiznané během účetního období – s odloženou splatností</w:t>
            </w:r>
          </w:p>
          <w:p w14:paraId="09BF78DA" w14:textId="7DCC12D0"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Výše odstupného podle čl. 94 odst. 1 písm. h) CRD přiznaného během účetního období, s odloženou splatností podle článku 94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z toho odstupné vyplacené během daného účetního období, nezahrnuté v limitu prémií</w:t>
            </w:r>
          </w:p>
          <w:p w14:paraId="471902AA" w14:textId="4F62B28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Výše odstupného podle čl. 94 odst. 1 písm. h) CRD vyplaceného v průběhu účetního období, kter</w:t>
            </w:r>
            <w:r w:rsidR="009860B6">
              <w:rPr>
                <w:rFonts w:ascii="Times New Roman" w:hAnsi="Times New Roman"/>
                <w:sz w:val="24"/>
              </w:rPr>
              <w:t>é není zahrnuto v limitu prémií</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S ohledem na zveřejňované informace uvedené v čl. 450 odst. 1 písm. g) a písm. h) bodech v) až </w:t>
            </w:r>
            <w:proofErr w:type="spellStart"/>
            <w:r>
              <w:rPr>
                <w:rFonts w:ascii="Times New Roman" w:hAnsi="Times New Roman"/>
                <w:sz w:val="24"/>
              </w:rPr>
              <w:t>vi</w:t>
            </w:r>
            <w:proofErr w:type="spellEnd"/>
            <w:r>
              <w:rPr>
                <w:rFonts w:ascii="Times New Roman" w:hAnsi="Times New Roman"/>
                <w:sz w:val="24"/>
              </w:rPr>
              <w:t xml:space="preserve">) CRR instituce jasně uvedou, zda souhrnné </w:t>
            </w:r>
            <w:r>
              <w:rPr>
                <w:rFonts w:ascii="Times New Roman" w:hAnsi="Times New Roman"/>
                <w:sz w:val="24"/>
              </w:rPr>
              <w:lastRenderedPageBreak/>
              <w:t>kvantitativní informace o odměnách v členění podle oblastí podnikání u nově vzniklých pracovních poměrů a odstupného odrážejí limit prémií.</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Z toho odstupné přiznané během účetního období – nejvyšší částka, která byla přiznána jedné osobě</w:t>
            </w:r>
          </w:p>
          <w:p w14:paraId="52245E53" w14:textId="2114882D" w:rsidR="009360C9" w:rsidRPr="007F4CC8" w:rsidRDefault="009360C9" w:rsidP="009860B6">
            <w:pPr>
              <w:spacing w:before="60" w:after="120"/>
              <w:jc w:val="both"/>
              <w:rPr>
                <w:rFonts w:ascii="Times New Roman" w:hAnsi="Times New Roman"/>
                <w:sz w:val="24"/>
              </w:rPr>
            </w:pPr>
            <w:r>
              <w:rPr>
                <w:rFonts w:ascii="Times New Roman" w:hAnsi="Times New Roman"/>
                <w:sz w:val="24"/>
              </w:rPr>
              <w:t>Výše nejvyššího odstupného podle čl. 94 odst. 1 písm. h) CRD, které bylo v průběhu účetního období přiznáno jediné osobě</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Vysvětlení</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Členové vedoucího orgánu v kontrolní funkci</w:t>
            </w:r>
          </w:p>
          <w:p w14:paraId="2D39782E" w14:textId="220FAD83" w:rsidR="009360C9" w:rsidRPr="007F4CC8" w:rsidRDefault="009360C9" w:rsidP="009860B6">
            <w:pPr>
              <w:spacing w:after="120"/>
              <w:jc w:val="both"/>
              <w:rPr>
                <w:rFonts w:ascii="Times New Roman" w:hAnsi="Times New Roman" w:cs="Times New Roman"/>
                <w:color w:val="000000"/>
                <w:sz w:val="24"/>
              </w:rPr>
            </w:pPr>
            <w:r>
              <w:rPr>
                <w:rFonts w:ascii="Times New Roman" w:hAnsi="Times New Roman"/>
                <w:sz w:val="24"/>
              </w:rPr>
              <w:t>Členové vedoucího orgánu v kontrolní funkci neboli vedoucí orgán, který vykonává funkci spočívající v kontrole a sledování rozhodování osob ve vedení, jak je definováno v čl. 3 odst. 1 bodě 8 CRD (počet členů)</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Členové vedoucího orgánu v řídící funkci</w:t>
            </w:r>
          </w:p>
          <w:p w14:paraId="300616B8" w14:textId="62EF6858" w:rsidR="009360C9" w:rsidRPr="007F4CC8" w:rsidRDefault="009360C9" w:rsidP="009860B6">
            <w:pPr>
              <w:spacing w:after="120"/>
              <w:jc w:val="both"/>
              <w:rPr>
                <w:rFonts w:ascii="Times New Roman" w:hAnsi="Times New Roman" w:cs="Times New Roman"/>
                <w:color w:val="000000"/>
                <w:sz w:val="24"/>
              </w:rPr>
            </w:pPr>
            <w:r>
              <w:rPr>
                <w:rFonts w:ascii="Times New Roman" w:hAnsi="Times New Roman"/>
                <w:sz w:val="24"/>
              </w:rPr>
              <w:t>Členové vedoucího orgánu, kteří odpovídají za jeho řídící funkce (počet členů)</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Ostatní členové vrcholného vedení</w:t>
            </w:r>
          </w:p>
          <w:p w14:paraId="71EC3B26" w14:textId="0489AF7D"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Vrcholné vedení ve smyslu čl. 3 odst. 1 bodu 9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Instituce uvedou počet členů vrcholného vedení, kteří nejsou vykázáni jako členové vedoucího orgánu v řídící funkci ani jako ostatní vybraní zaměstnanci (FTE).</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Ostatní vybraní zaměstnanci</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Jiní zaměstnanci než členové vedoucího orgánu v kontrolní nebo řídící funkci a jiní než členové vrcholného vedení, jejichž pracovní činnosti mají podstatný dopad na rizikový profil instituce v souladu s kritérii stanovenými v nařízení Komise v přenesené pravomoci o vybraných zaměstnancích, kterým se provádí čl. 94 odst. 2 CRD, a případně navíc na základě kritérií institucí.</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Instituce mohou do této šablony zahrnout členění podle oblastí podnikání navržené v šabloně EU REM5 (FTE).</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6D1F0FAB"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REM3 – Odměny s odloženou splatností: </w:t>
      </w:r>
      <w:r>
        <w:rPr>
          <w:rFonts w:ascii="Times New Roman" w:hAnsi="Times New Roman"/>
          <w:color w:val="auto"/>
          <w:sz w:val="24"/>
        </w:rPr>
        <w:t>Pevně daný formát</w:t>
      </w:r>
    </w:p>
    <w:p w14:paraId="452E9BCD" w14:textId="4E9331C4"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Informace uvedené v čl. 450 odst. 1 písm. h) bodech </w:t>
      </w:r>
      <w:proofErr w:type="spellStart"/>
      <w:r>
        <w:rPr>
          <w:rFonts w:ascii="Times New Roman" w:hAnsi="Times New Roman"/>
          <w:bCs w:val="0"/>
          <w:color w:val="auto"/>
          <w:sz w:val="24"/>
        </w:rPr>
        <w:t>iii</w:t>
      </w:r>
      <w:proofErr w:type="spellEnd"/>
      <w:r>
        <w:rPr>
          <w:rFonts w:ascii="Times New Roman" w:hAnsi="Times New Roman"/>
          <w:bCs w:val="0"/>
          <w:color w:val="auto"/>
          <w:sz w:val="24"/>
        </w:rPr>
        <w:t xml:space="preserve">) až </w:t>
      </w:r>
      <w:proofErr w:type="spellStart"/>
      <w:r>
        <w:rPr>
          <w:rFonts w:ascii="Times New Roman" w:hAnsi="Times New Roman"/>
          <w:bCs w:val="0"/>
          <w:color w:val="auto"/>
          <w:sz w:val="24"/>
        </w:rPr>
        <w:t>iv</w:t>
      </w:r>
      <w:proofErr w:type="spellEnd"/>
      <w:r>
        <w:rPr>
          <w:rFonts w:ascii="Times New Roman" w:hAnsi="Times New Roman"/>
          <w:bCs w:val="0"/>
          <w:color w:val="auto"/>
          <w:sz w:val="24"/>
        </w:rPr>
        <w:t xml:space="preserve">) CRR zpřístupňují instituce podle následujících pokynů k vyplnění šablony </w:t>
      </w:r>
      <w:r w:rsidR="00CC4769">
        <w:rPr>
          <w:rFonts w:ascii="Times New Roman" w:hAnsi="Times New Roman"/>
          <w:bCs w:val="0"/>
          <w:color w:val="auto"/>
          <w:sz w:val="24"/>
        </w:rPr>
        <w:t xml:space="preserve">EU </w:t>
      </w:r>
      <w:r>
        <w:rPr>
          <w:rFonts w:ascii="Times New Roman" w:hAnsi="Times New Roman"/>
          <w:bCs w:val="0"/>
          <w:color w:val="auto"/>
          <w:sz w:val="24"/>
        </w:rPr>
        <w:t>REM3, obsažené v příloze XXXIII tohoto prováděcího nařízení.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Odkazy na právní předpisy a pokyny</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Členové vedoucího orgánu v kontrolní funkci</w:t>
            </w:r>
          </w:p>
          <w:p w14:paraId="23D0ECA9" w14:textId="5CB7145B"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Členové vedoucího orgánu v kontrolní funkci neboli vedoucí orgán, který vykonává funkci spočívající v kontrole a sledování rozhodování osob ve vedení, jak je definováno v čl. 3 odst. 1 </w:t>
            </w:r>
            <w:proofErr w:type="gramStart"/>
            <w:r>
              <w:rPr>
                <w:rFonts w:ascii="Times New Roman" w:hAnsi="Times New Roman"/>
                <w:sz w:val="24"/>
              </w:rPr>
              <w:t>bodě</w:t>
            </w:r>
            <w:proofErr w:type="gramEnd"/>
            <w:r>
              <w:rPr>
                <w:rFonts w:ascii="Times New Roman" w:hAnsi="Times New Roman"/>
                <w:sz w:val="24"/>
              </w:rPr>
              <w:t xml:space="preserve"> 8 CRD</w:t>
            </w:r>
          </w:p>
          <w:p w14:paraId="2113E171" w14:textId="58BE9C53" w:rsidR="009360C9" w:rsidRPr="007F4CC8" w:rsidRDefault="009360C9" w:rsidP="009860B6">
            <w:pPr>
              <w:spacing w:before="60" w:after="120"/>
              <w:jc w:val="both"/>
              <w:rPr>
                <w:rFonts w:ascii="Times New Roman" w:hAnsi="Times New Roman"/>
                <w:sz w:val="24"/>
              </w:rPr>
            </w:pPr>
            <w:r>
              <w:rPr>
                <w:rFonts w:ascii="Times New Roman" w:hAnsi="Times New Roman"/>
                <w:sz w:val="24"/>
              </w:rPr>
              <w:lastRenderedPageBreak/>
              <w:t>Součet hodnot v řádcích 2, 3, 4, 5 a 6 této šablony</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lastRenderedPageBreak/>
              <w:t>2, 8, 14 a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Peněžité</w:t>
            </w:r>
          </w:p>
          <w:p w14:paraId="58955E4E" w14:textId="29F71709"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Výše peněžité odměny v rámci pohyblivé složky odměny</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a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Akcie nebo rovnocenné vlastnické podíly </w:t>
            </w:r>
          </w:p>
          <w:p w14:paraId="7C7C980D" w14:textId="5A446EA5" w:rsidR="009360C9" w:rsidRPr="007F4CC8" w:rsidRDefault="009360C9" w:rsidP="009860B6">
            <w:pPr>
              <w:spacing w:before="60" w:after="120"/>
              <w:jc w:val="both"/>
              <w:rPr>
                <w:rFonts w:ascii="Times New Roman" w:hAnsi="Times New Roman"/>
                <w:b/>
                <w:sz w:val="24"/>
              </w:rPr>
            </w:pPr>
            <w:r>
              <w:rPr>
                <w:rFonts w:ascii="Times New Roman" w:hAnsi="Times New Roman"/>
                <w:sz w:val="24"/>
              </w:rPr>
              <w:t>Součet hodnot akcií nebo rovnocenných vlastnických podílů v rámci pohyblivé složky odměny v závislosti na právní struktuře dotyčné instituce uvedených v čl. 94 odst. 1 písm. l) bodě i) CRD</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a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Nástroje spojené s akciemi nebo rovnocenné nepeněžní nástroje </w:t>
            </w:r>
          </w:p>
          <w:p w14:paraId="57A17049" w14:textId="747ACEB2" w:rsidR="009360C9" w:rsidRPr="007F4CC8" w:rsidRDefault="009360C9" w:rsidP="009860B6">
            <w:pPr>
              <w:autoSpaceDE w:val="0"/>
              <w:autoSpaceDN w:val="0"/>
              <w:adjustRightInd w:val="0"/>
              <w:spacing w:after="120"/>
              <w:jc w:val="both"/>
              <w:rPr>
                <w:rFonts w:ascii="Times New Roman" w:hAnsi="Times New Roman"/>
                <w:sz w:val="24"/>
              </w:rPr>
            </w:pPr>
            <w:r>
              <w:rPr>
                <w:rFonts w:ascii="Times New Roman" w:hAnsi="Times New Roman"/>
                <w:sz w:val="24"/>
              </w:rPr>
              <w:t>Součet hodnot nástrojů v rámci pohyblivé složky odměny spojených s akciemi nebo rovnocennými nepeněžními nástroji uvedených v čl. 94 odst. 1 písm. l) bodě i) CRD</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a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Ostatní nástroje</w:t>
            </w:r>
          </w:p>
          <w:p w14:paraId="6FFE1D63" w14:textId="18781141" w:rsidR="009360C9" w:rsidRPr="007F4CC8" w:rsidRDefault="009360C9" w:rsidP="009860B6">
            <w:pPr>
              <w:spacing w:before="60" w:after="120"/>
              <w:jc w:val="both"/>
              <w:rPr>
                <w:rFonts w:ascii="Times New Roman" w:hAnsi="Times New Roman"/>
                <w:sz w:val="24"/>
              </w:rPr>
            </w:pPr>
            <w:r>
              <w:rPr>
                <w:rFonts w:ascii="Times New Roman" w:hAnsi="Times New Roman"/>
                <w:sz w:val="24"/>
              </w:rPr>
              <w:t xml:space="preserve">Hodnota ostatních nástrojů v rámci pohyblivé složky odměny uvedených v čl. 94 odst. 1 písm. l) bodě </w:t>
            </w:r>
            <w:proofErr w:type="spellStart"/>
            <w:r>
              <w:rPr>
                <w:rFonts w:ascii="Times New Roman" w:hAnsi="Times New Roman"/>
                <w:sz w:val="24"/>
              </w:rPr>
              <w:t>ii</w:t>
            </w:r>
            <w:proofErr w:type="spellEnd"/>
            <w:r>
              <w:rPr>
                <w:rFonts w:ascii="Times New Roman" w:hAnsi="Times New Roman"/>
                <w:sz w:val="24"/>
              </w:rPr>
              <w:t>) CRD</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a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Jiné formy</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Výše pohyblivých složek odměny jiných než uvedených v řádcích „peněžní“, „akcie nebo rovnocenné vlastnické podíly v závislosti na právní struktuře dotyčné instituce nebo nástroje spojené s akciemi nebo rovnocenné nepeněžní nástroje“ a „ostatní nástroje“.</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To by mohlo zahrnovat poměrné pravidelné příspěvky na důchodové zabezpečení nebo výhody (jsou-li poskytovány bez ohledu na jakákoli kritéria týkající se dosažených výsledků) uvedené v 64. bodě odůvodnění CRD nebo jiné formy odměňování, jako jsou příspěvky na provoz vozidla.</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Členové vedoucího orgánu v řídící funkci </w:t>
            </w:r>
          </w:p>
          <w:p w14:paraId="58DBE153" w14:textId="496ECF84" w:rsidR="009360C9" w:rsidRPr="007F4CC8" w:rsidRDefault="009360C9" w:rsidP="009860B6">
            <w:pPr>
              <w:autoSpaceDE w:val="0"/>
              <w:autoSpaceDN w:val="0"/>
              <w:adjustRightInd w:val="0"/>
              <w:spacing w:after="120"/>
              <w:jc w:val="both"/>
              <w:rPr>
                <w:rFonts w:ascii="Times New Roman" w:hAnsi="Times New Roman" w:cs="Times New Roman"/>
                <w:sz w:val="24"/>
              </w:rPr>
            </w:pPr>
            <w:r>
              <w:rPr>
                <w:rFonts w:ascii="Times New Roman" w:hAnsi="Times New Roman"/>
                <w:sz w:val="24"/>
              </w:rPr>
              <w:t>Členové vedoucího orgánu, kteří odpovídají za jeho řídící funkce, součet hodnot v řádcích 8, 9, 10, 11 a 12 této šablony</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Ostatní členové vrcholného vedení</w:t>
            </w:r>
          </w:p>
          <w:p w14:paraId="619B3A4D" w14:textId="74014A10"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Vrcholné vedení ve smyslu čl. 3 odst. 1 bodu 9 CRD, součet hodnot v řádcích 14, 15, 16, 17 a 18 této šablony</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Instituce uvedou počet členů vrcholného vedení, kteří nejsou vykázáni jako členové vedoucího orgánu v řídící funkci ani jako ostatní vybraní zaměstnanci.</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Ostatní vybraní zaměstnanci</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Jiní zaměstnanci než členové vedoucího orgánu v kontrolní nebo řídící funkci a jiní než členové vrcholného vedení, jejichž pracovní činnosti mají podstatný dopad na rizikový profil instituce v souladu s kritérii stanovenými v nařízení Komise v přenesené pravomoci o vybraných zaměstnancích, kterým se </w:t>
            </w:r>
            <w:r>
              <w:rPr>
                <w:rFonts w:ascii="Times New Roman" w:hAnsi="Times New Roman"/>
                <w:sz w:val="24"/>
              </w:rPr>
              <w:lastRenderedPageBreak/>
              <w:t>provádí čl. 94 odst. 2 CRD, a případně navíc na základě kritérií institucí; součet hodnot v řádcích 20, 21, 22, 23 a 24 této šablony.</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lastRenderedPageBreak/>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Celková částka</w:t>
            </w:r>
          </w:p>
          <w:p w14:paraId="1149FC38" w14:textId="209AA2CC" w:rsidR="009360C9" w:rsidRPr="007F4CC8" w:rsidRDefault="009360C9" w:rsidP="009860B6">
            <w:pPr>
              <w:spacing w:before="60" w:after="120"/>
              <w:jc w:val="both"/>
              <w:rPr>
                <w:rFonts w:ascii="Times New Roman" w:hAnsi="Times New Roman" w:cs="Times New Roman"/>
                <w:sz w:val="24"/>
              </w:rPr>
            </w:pPr>
            <w:r>
              <w:rPr>
                <w:rFonts w:ascii="Times New Roman" w:hAnsi="Times New Roman"/>
                <w:sz w:val="24"/>
              </w:rPr>
              <w:t>Součet hodnot v řádcích 1, 7, 13 a 19 této šablony</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Vysvětlení</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Celková výše odměn s odloženou splatností přiznaných za předchozí výkonnostní období</w:t>
            </w:r>
          </w:p>
          <w:p w14:paraId="7F348F09" w14:textId="0B576874" w:rsidR="009360C9" w:rsidRPr="007F4CC8" w:rsidRDefault="009360C9" w:rsidP="009860B6">
            <w:pPr>
              <w:spacing w:after="120"/>
              <w:jc w:val="both"/>
              <w:rPr>
                <w:rFonts w:ascii="Times New Roman" w:hAnsi="Times New Roman" w:cs="Times New Roman"/>
                <w:sz w:val="24"/>
              </w:rPr>
            </w:pPr>
            <w:r>
              <w:rPr>
                <w:rFonts w:ascii="Times New Roman" w:hAnsi="Times New Roman"/>
                <w:sz w:val="24"/>
              </w:rPr>
              <w:t>Výše odměn s odloženou splatností stanovených v souladu s článkem 94 CRD a přiznaných za předchozí výkonnostní období (součet částek uvedených ve sloupcích b</w:t>
            </w:r>
            <w:r w:rsidR="00BF3410">
              <w:rPr>
                <w:rFonts w:ascii="Times New Roman" w:hAnsi="Times New Roman"/>
                <w:sz w:val="24"/>
              </w:rPr>
              <w:t>)</w:t>
            </w:r>
            <w:r>
              <w:rPr>
                <w:rFonts w:ascii="Times New Roman" w:hAnsi="Times New Roman"/>
                <w:sz w:val="24"/>
              </w:rPr>
              <w:t xml:space="preserve"> a c</w:t>
            </w:r>
            <w:r w:rsidR="00BF3410">
              <w:rPr>
                <w:rFonts w:ascii="Times New Roman" w:hAnsi="Times New Roman"/>
                <w:sz w:val="24"/>
              </w:rPr>
              <w:t>)</w:t>
            </w:r>
            <w:r>
              <w:rPr>
                <w:rFonts w:ascii="Times New Roman" w:hAnsi="Times New Roman"/>
                <w:sz w:val="24"/>
              </w:rPr>
              <w:t xml:space="preserve"> této šablony)</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z toho částka odměn, které mají být přiznány v daném účetním období</w:t>
            </w:r>
          </w:p>
          <w:p w14:paraId="56243123" w14:textId="19A2B115" w:rsidR="009360C9" w:rsidRPr="007F4CC8" w:rsidRDefault="009360C9" w:rsidP="009860B6">
            <w:pPr>
              <w:spacing w:after="120"/>
              <w:jc w:val="both"/>
              <w:rPr>
                <w:rFonts w:ascii="Times New Roman" w:hAnsi="Times New Roman"/>
                <w:color w:val="000000"/>
                <w:sz w:val="24"/>
              </w:rPr>
            </w:pPr>
            <w:r>
              <w:rPr>
                <w:rFonts w:ascii="Times New Roman" w:hAnsi="Times New Roman"/>
                <w:sz w:val="24"/>
              </w:rPr>
              <w:t>Výše odměn s odloženou splatností za předchozí výkonnostní období stanovených v souladu s článkem 94 CRD, které mají být přiznány v daném účetní období</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z toho částka odměn, které mají být přiznány v následujících obdobích</w:t>
            </w:r>
          </w:p>
          <w:p w14:paraId="168FD24F" w14:textId="34F3F9B8" w:rsidR="009360C9" w:rsidRPr="007F4CC8" w:rsidRDefault="009360C9" w:rsidP="009860B6">
            <w:pPr>
              <w:spacing w:after="120"/>
              <w:jc w:val="both"/>
              <w:rPr>
                <w:rFonts w:ascii="Times New Roman" w:hAnsi="Times New Roman"/>
                <w:color w:val="000000"/>
                <w:sz w:val="24"/>
              </w:rPr>
            </w:pPr>
            <w:r>
              <w:rPr>
                <w:rFonts w:ascii="Times New Roman" w:hAnsi="Times New Roman"/>
                <w:sz w:val="24"/>
              </w:rPr>
              <w:t>Výše odměn s odloženou splatností za předchozí výkonnostní období stanovených v souladu s článkem 94 CRD, které mají být přiznány v následujících účetních obdobích</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Částka, o kterou je v daném účetním období na základě výkonnosti upravena odměna s odloženou splatností, která měla být přiznána v daném účetní období</w:t>
            </w:r>
          </w:p>
          <w:p w14:paraId="1792F0FB" w14:textId="31E8B89A" w:rsidR="009360C9" w:rsidRPr="007F4CC8" w:rsidRDefault="009360C9" w:rsidP="009860B6">
            <w:pPr>
              <w:spacing w:after="120"/>
              <w:jc w:val="both"/>
              <w:rPr>
                <w:rFonts w:ascii="Times New Roman" w:hAnsi="Times New Roman" w:cs="Times New Roman"/>
                <w:sz w:val="24"/>
              </w:rPr>
            </w:pPr>
            <w:r>
              <w:rPr>
                <w:rFonts w:ascii="Times New Roman" w:hAnsi="Times New Roman"/>
                <w:sz w:val="24"/>
              </w:rPr>
              <w:t>Částka, o kterou je upravena odměna s odloženou splatností stanovená v souladu s článkem 94 CRD, která měla být přiznána v daném účetní období</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Částka, o kterou je v daném účetním období na základě výkonnosti upravena odměna s odloženou splatností, která měla být přiznána v příštích účetních obdobích</w:t>
            </w:r>
          </w:p>
          <w:p w14:paraId="237959D1" w14:textId="351E1E60" w:rsidR="009360C9" w:rsidRPr="007F4CC8" w:rsidRDefault="009360C9" w:rsidP="009860B6">
            <w:pPr>
              <w:spacing w:after="120"/>
              <w:jc w:val="both"/>
              <w:rPr>
                <w:rFonts w:ascii="Times New Roman" w:hAnsi="Times New Roman" w:cs="Times New Roman"/>
                <w:sz w:val="24"/>
              </w:rPr>
            </w:pPr>
            <w:r>
              <w:rPr>
                <w:rFonts w:ascii="Times New Roman" w:hAnsi="Times New Roman"/>
                <w:sz w:val="24"/>
              </w:rPr>
              <w:t>Částka, o kterou je upravena odměna s odloženou splatností stanovená v souladu s článkem 94 CRD, která měla být přiznána v příštích účetních obdobích</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Celková výše úprav během účetního období v důsledku implicitních úprav </w:t>
            </w:r>
            <w:r>
              <w:rPr>
                <w:rFonts w:ascii="Times New Roman" w:hAnsi="Times New Roman"/>
                <w:b/>
                <w:i/>
                <w:sz w:val="24"/>
              </w:rPr>
              <w:t>ex post</w:t>
            </w:r>
            <w:r>
              <w:rPr>
                <w:rFonts w:ascii="Times New Roman" w:hAnsi="Times New Roman"/>
                <w:b/>
                <w:sz w:val="24"/>
              </w:rPr>
              <w:t xml:space="preserve"> provedených během účetního období (tj. změn hodnoty odměn s odloženou splatností vlivem změn v cenách nástrojů)</w:t>
            </w:r>
          </w:p>
          <w:p w14:paraId="623380BC" w14:textId="1CC1DCE2" w:rsidR="009360C9" w:rsidRPr="007F4CC8" w:rsidRDefault="009360C9" w:rsidP="009860B6">
            <w:pPr>
              <w:spacing w:after="120"/>
              <w:jc w:val="both"/>
              <w:rPr>
                <w:rFonts w:ascii="Times New Roman" w:hAnsi="Times New Roman" w:cs="Times New Roman"/>
                <w:sz w:val="24"/>
              </w:rPr>
            </w:pPr>
            <w:r>
              <w:rPr>
                <w:rFonts w:ascii="Times New Roman" w:hAnsi="Times New Roman"/>
                <w:sz w:val="24"/>
              </w:rPr>
              <w:t xml:space="preserve">Tam, kde je to relevantní, výše úprav během účetního období v důsledku implicitních úprav </w:t>
            </w:r>
            <w:r>
              <w:rPr>
                <w:rFonts w:ascii="Times New Roman" w:hAnsi="Times New Roman"/>
                <w:i/>
                <w:sz w:val="24"/>
              </w:rPr>
              <w:t>ex post</w:t>
            </w:r>
            <w:r>
              <w:rPr>
                <w:rFonts w:ascii="Times New Roman" w:hAnsi="Times New Roman"/>
                <w:sz w:val="24"/>
              </w:rPr>
              <w:t xml:space="preserve">, jako jsou změny hodnoty odměn s odloženou splatností vlivem změn v cenách nástrojů, odhadnuté s vynaložením maximálního úsilí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Celková výše odměn s odloženou splatností přiznaných před daným účetním obdobím, ale skutečně vyplacených v daném účetním období</w:t>
            </w:r>
          </w:p>
          <w:p w14:paraId="42BA8D9A" w14:textId="7D497AF4"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Výše odměn s odloženou splatností stanovených v souladu s článkem 94 CRD, které byly vyplaceny v daném účetní obdob.</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Jakmile jsou odměny s odloženou splatností přiznány k výplatě, považují se za vyplacené.</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lastRenderedPageBreak/>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Celková výše odměn s odloženou splatností za předchozí výkonnostní období, které byly přiznány, ale vztahuje se na ně období zadržování</w:t>
            </w:r>
          </w:p>
          <w:p w14:paraId="7B1AEBFC" w14:textId="5E5357E2" w:rsidR="009360C9" w:rsidRPr="007F4CC8" w:rsidRDefault="009360C9" w:rsidP="009860B6">
            <w:pPr>
              <w:spacing w:after="120"/>
              <w:jc w:val="both"/>
              <w:rPr>
                <w:rFonts w:ascii="Times New Roman" w:hAnsi="Times New Roman" w:cs="Times New Roman"/>
                <w:sz w:val="24"/>
              </w:rPr>
            </w:pPr>
            <w:r>
              <w:rPr>
                <w:rFonts w:ascii="Times New Roman" w:hAnsi="Times New Roman"/>
                <w:sz w:val="24"/>
              </w:rPr>
              <w:t>Celková výše odměn s odloženou splatností stanovených v souladu s článkem 94 CRD za předchozí výkonnostní období, které byly přiznány k výplatě, ale vztahuje se na ně období zadržování</w:t>
            </w:r>
          </w:p>
        </w:tc>
      </w:tr>
    </w:tbl>
    <w:p w14:paraId="612E1D14" w14:textId="77777777" w:rsidR="009360C9" w:rsidRPr="007F4CC8" w:rsidRDefault="009360C9" w:rsidP="009360C9">
      <w:pPr>
        <w:rPr>
          <w:rFonts w:ascii="Times New Roman" w:hAnsi="Times New Roman" w:cs="Times New Roman"/>
          <w:sz w:val="24"/>
        </w:rPr>
      </w:pPr>
    </w:p>
    <w:p w14:paraId="411E8519" w14:textId="3D1407FD"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REM4 – Odměny ve výši 1 milion EUR nebo více ročně: </w:t>
      </w:r>
      <w:r>
        <w:rPr>
          <w:rFonts w:ascii="Times New Roman" w:hAnsi="Times New Roman"/>
          <w:color w:val="auto"/>
          <w:sz w:val="24"/>
        </w:rPr>
        <w:t>Pevně daný formát</w:t>
      </w:r>
    </w:p>
    <w:p w14:paraId="4AE4DB16" w14:textId="5DB995F8"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Informace uvedené v čl. 450 odst. 1 písm. i) CRR zpřístupňují instituce podle následujících pokynů k vyplnění šablony </w:t>
      </w:r>
      <w:r w:rsidR="00CC4769">
        <w:rPr>
          <w:rFonts w:ascii="Times New Roman" w:hAnsi="Times New Roman"/>
          <w:bCs w:val="0"/>
          <w:color w:val="auto"/>
          <w:sz w:val="24"/>
        </w:rPr>
        <w:t xml:space="preserve">EU </w:t>
      </w:r>
      <w:r>
        <w:rPr>
          <w:rFonts w:ascii="Times New Roman" w:hAnsi="Times New Roman"/>
          <w:bCs w:val="0"/>
          <w:color w:val="auto"/>
          <w:sz w:val="24"/>
        </w:rPr>
        <w:t>REM4, obsažené v příloze XXXIII tohoto prováděcího nařízení.</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Data se předloží s použitím údajů ke konci účetního období v eurech. Všechny částky se uvádějí jako celé částky, tj. nezaokrouhlené částky, v eurech (např. 1 234 567 EUR, nikoli 1,2 milionu EUR). Je-li odměna vyplácena v jiné měně než v eurech, použije se pro přepočet konsolidovaných údajů, které mají být zveřejněny, směnný kurz použitý Komisí pro finanční plánování a rozpočet za prosinec vykazovaného roku.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Odkazy na právní předpisy a pokyny</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až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3D68CC37" w:rsidR="009360C9" w:rsidRPr="007F4CC8" w:rsidRDefault="009360C9" w:rsidP="009860B6">
            <w:pPr>
              <w:autoSpaceDE w:val="0"/>
              <w:autoSpaceDN w:val="0"/>
              <w:adjustRightInd w:val="0"/>
              <w:spacing w:after="120"/>
              <w:rPr>
                <w:rFonts w:ascii="Times New Roman" w:hAnsi="Times New Roman" w:cs="Times New Roman"/>
                <w:sz w:val="24"/>
              </w:rPr>
            </w:pPr>
            <w:r>
              <w:rPr>
                <w:rFonts w:ascii="Times New Roman" w:hAnsi="Times New Roman"/>
                <w:sz w:val="24"/>
              </w:rPr>
              <w:t>Odměny mezi 1 a 5 miliony EUR za účetní období, rozdělené do platových pásem po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až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0FBEDC2C" w:rsidR="009360C9" w:rsidRPr="007F4CC8" w:rsidRDefault="009360C9" w:rsidP="009860B6">
            <w:pPr>
              <w:autoSpaceDE w:val="0"/>
              <w:autoSpaceDN w:val="0"/>
              <w:adjustRightInd w:val="0"/>
              <w:spacing w:after="120"/>
              <w:rPr>
                <w:rFonts w:ascii="Times New Roman" w:hAnsi="Times New Roman" w:cs="Times New Roman"/>
                <w:sz w:val="24"/>
              </w:rPr>
            </w:pPr>
            <w:r>
              <w:rPr>
                <w:rFonts w:ascii="Times New Roman" w:hAnsi="Times New Roman"/>
                <w:sz w:val="24"/>
              </w:rPr>
              <w:t>Odměny přesahující 5 milionů EUR za účetní období, rozdělené do platových pásem po 1 milionu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Vysvětlení</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08EB790A"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Počet vybraných zaměstnanců, jejichž odměna za účetní období činila 1 milion EUR nebo více</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Instituce zveřejní informace založené na počtu zaměstnanců.</w:t>
            </w:r>
          </w:p>
        </w:tc>
      </w:tr>
    </w:tbl>
    <w:p w14:paraId="68D74085" w14:textId="77777777" w:rsidR="009360C9" w:rsidRPr="007F4CC8" w:rsidRDefault="009360C9" w:rsidP="009360C9">
      <w:pPr>
        <w:rPr>
          <w:rFonts w:ascii="Times New Roman" w:hAnsi="Times New Roman" w:cs="Times New Roman"/>
          <w:sz w:val="24"/>
        </w:rPr>
      </w:pPr>
    </w:p>
    <w:p w14:paraId="24D3144C" w14:textId="60815107"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Šablona </w:t>
      </w:r>
      <w:r w:rsidR="00CC4769">
        <w:rPr>
          <w:rFonts w:ascii="Times New Roman" w:hAnsi="Times New Roman"/>
          <w:b/>
          <w:color w:val="auto"/>
          <w:sz w:val="24"/>
        </w:rPr>
        <w:t xml:space="preserve">EU </w:t>
      </w:r>
      <w:r>
        <w:rPr>
          <w:rFonts w:ascii="Times New Roman" w:hAnsi="Times New Roman"/>
          <w:b/>
          <w:color w:val="auto"/>
          <w:sz w:val="24"/>
        </w:rPr>
        <w:t xml:space="preserve">REM5 – Informace o odměnách pracovníků, jejichž pracovní činnosti mají podstatný dopad na rizikový profil daných institucí (vybraní zaměstnanci): </w:t>
      </w:r>
      <w:r>
        <w:rPr>
          <w:rFonts w:ascii="Times New Roman" w:hAnsi="Times New Roman"/>
          <w:color w:val="auto"/>
          <w:sz w:val="24"/>
        </w:rPr>
        <w:t>Pevně daný formát</w:t>
      </w:r>
    </w:p>
    <w:p w14:paraId="50BE6340" w14:textId="6C55C30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Informace uvedené v čl. 450 odst. 1 písm. g) CRR zpřístupňují instituce podle následujících pokynů k vyplnění šablony </w:t>
      </w:r>
      <w:r w:rsidR="00CC4769">
        <w:rPr>
          <w:rFonts w:ascii="Times New Roman" w:hAnsi="Times New Roman"/>
          <w:bCs w:val="0"/>
          <w:color w:val="auto"/>
          <w:sz w:val="24"/>
        </w:rPr>
        <w:t xml:space="preserve">EU </w:t>
      </w:r>
      <w:r>
        <w:rPr>
          <w:rFonts w:ascii="Times New Roman" w:hAnsi="Times New Roman"/>
          <w:bCs w:val="0"/>
          <w:color w:val="auto"/>
          <w:sz w:val="24"/>
        </w:rPr>
        <w:t>REM5, obsažené v příloze XXXIII tohoto prováděcího nařízení.</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Pokud jde o sloupce s členěním podle oblastí činnosti, veškeré úvěry, včetně velkoobchodních, se zahrnou do retailových úvěrů. Do investičního bankovnictví se </w:t>
      </w:r>
      <w:r>
        <w:rPr>
          <w:rFonts w:ascii="Times New Roman" w:hAnsi="Times New Roman"/>
          <w:bCs w:val="0"/>
          <w:color w:val="auto"/>
          <w:sz w:val="24"/>
        </w:rPr>
        <w:lastRenderedPageBreak/>
        <w:t>zahrnou podnikové finance a obchodování na finančních trzích. Další pokyny ohledně aktivit zahrnutých v těchto oblastech činnosti lze nalézt v článku 317 CRR v tabulce, která definuje linie podnikání v rámci standardizovaného přístupu k operačnímu riziku.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Odkazy na právní předpisy a pokyny</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Vysvětlení</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 vybraných zaměstnanců celkem</w:t>
            </w:r>
          </w:p>
          <w:p w14:paraId="097FFE2F" w14:textId="188233C3"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Zaměstnanci instituce a jejích dceřiných společností, včetně dceřiných společností nepodléhajících CRD, a všichni členové jejich příslušných řídících orgánů, jejichž pracovní činnosti mají podstatný vliv na rizikový profil </w:t>
            </w:r>
            <w:r w:rsidR="009860B6">
              <w:rPr>
                <w:rFonts w:ascii="Times New Roman" w:hAnsi="Times New Roman"/>
                <w:sz w:val="24"/>
              </w:rPr>
              <w:t>instituce (vybraní zaměstnanci)</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Hodnota se zveřejní na základě FTE.</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Z toho: členové vedoucího orgánu</w:t>
            </w:r>
          </w:p>
          <w:p w14:paraId="45B2AD9B" w14:textId="34BF5AEC" w:rsidR="009360C9" w:rsidRPr="007F4CC8" w:rsidRDefault="009360C9" w:rsidP="009860B6">
            <w:pPr>
              <w:autoSpaceDE w:val="0"/>
              <w:autoSpaceDN w:val="0"/>
              <w:adjustRightInd w:val="0"/>
              <w:spacing w:after="120"/>
              <w:jc w:val="both"/>
              <w:rPr>
                <w:rFonts w:ascii="Times New Roman" w:hAnsi="Times New Roman"/>
                <w:sz w:val="24"/>
              </w:rPr>
            </w:pPr>
            <w:r>
              <w:rPr>
                <w:rFonts w:ascii="Times New Roman" w:hAnsi="Times New Roman"/>
                <w:sz w:val="24"/>
              </w:rPr>
              <w:t>Počet členů v příslušném vedoucím orgánu v kontrolní funkci a v řídící funkci a v celém vedoucím orgánu</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Z toho: ostatní členové vrcholného vedení</w:t>
            </w:r>
          </w:p>
          <w:p w14:paraId="03A2678F" w14:textId="3D297B37" w:rsidR="009360C9" w:rsidRPr="007F4CC8" w:rsidRDefault="009360C9" w:rsidP="009860B6">
            <w:pPr>
              <w:autoSpaceDE w:val="0"/>
              <w:autoSpaceDN w:val="0"/>
              <w:adjustRightInd w:val="0"/>
              <w:spacing w:after="120"/>
              <w:jc w:val="both"/>
              <w:rPr>
                <w:rFonts w:ascii="Times New Roman" w:hAnsi="Times New Roman"/>
                <w:sz w:val="24"/>
              </w:rPr>
            </w:pPr>
            <w:r>
              <w:rPr>
                <w:rFonts w:ascii="Times New Roman" w:hAnsi="Times New Roman"/>
                <w:sz w:val="24"/>
              </w:rPr>
              <w:t>Ostatní zaměstnanci, kteří nejsou členy vedoucího orgánu, ale jsou členy vrcholného vedení v</w:t>
            </w:r>
            <w:bookmarkStart w:id="17" w:name="_GoBack"/>
            <w:bookmarkEnd w:id="17"/>
            <w:r>
              <w:rPr>
                <w:rFonts w:ascii="Times New Roman" w:hAnsi="Times New Roman"/>
                <w:sz w:val="24"/>
              </w:rPr>
              <w:t>e smyslu čl. 3 odst. 1 bodu 9 CRD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Z toho: ostatní vybraní zaměstnanci</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Ostatní zaměstnanci, kteří nejsou členy vedoucího orgánu ani vrcholného vedení, jejichž pracovní činnosti mají podstatný dopad na rizikový profil instituce v souladu s kritérii stanovenými v nařízení Komise v přenesené pravomoci o vybraných zaměstnancích, kterým se provádí čl. 94 odst. 2 CRD, a případně navíc na základě kritérií institucí.</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Odměny vybraných zaměstnanců celkem</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Celková výše odměn, kterou se rozumí všechny formy pevné a pohyblivé odměny, jež zahrnují platby a výhody, peněžní i nepeněžní, poskytované přímo zaměstnancům nebo jménem institucí výměnou za odborné služby poskytované zaměstnanci, odměny za zhodnocení kapitálu ve smyslu čl. 4 odst. 1 písm. d) směrnice 2011/61/EU</w:t>
            </w:r>
            <w:r w:rsidR="000A6D95">
              <w:rPr>
                <w:rStyle w:val="FootnoteReference"/>
                <w:rFonts w:cs="Times New Roman"/>
              </w:rPr>
              <w:footnoteReference w:id="53"/>
            </w:r>
            <w:r>
              <w:rPr>
                <w:rFonts w:ascii="Times New Roman" w:hAnsi="Times New Roman"/>
                <w:sz w:val="24"/>
              </w:rPr>
              <w:t xml:space="preserve"> a jiné platby provedené prostřednictvím metod a prostředků, které by, pokud by nebyly považovány za odměnu, vedly k obcházení požadavků na odměňování podle CRD.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Z toho: pohyblivá složka odměny</w:t>
            </w:r>
          </w:p>
          <w:p w14:paraId="747E669C" w14:textId="732A7B5A" w:rsidR="009360C9" w:rsidRPr="007F4CC8" w:rsidRDefault="009360C9" w:rsidP="009860B6">
            <w:pPr>
              <w:autoSpaceDE w:val="0"/>
              <w:autoSpaceDN w:val="0"/>
              <w:adjustRightInd w:val="0"/>
              <w:spacing w:after="120"/>
              <w:jc w:val="both"/>
              <w:rPr>
                <w:rFonts w:ascii="Times New Roman" w:hAnsi="Times New Roman" w:cs="Times New Roman"/>
                <w:sz w:val="24"/>
              </w:rPr>
            </w:pPr>
            <w:r>
              <w:rPr>
                <w:rFonts w:ascii="Times New Roman" w:hAnsi="Times New Roman"/>
                <w:sz w:val="24"/>
              </w:rPr>
              <w:t>Součet všech složek odměny, které nejsou pevnou odměnou a které jsou uvedeny v řádku 7 této šablony</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Z toho: pevná složka odměny</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Instituce považují odměnu za pevnou, pokud podmínky pro její poskytnutí a její výše: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vycházejí z předem stanovených kritérií;</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jsou pevně stanovené s ohledem na úroveň odborné praxe a služební věk zaměstnanců;</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jsou transparentní, pokud jde o konkrétní částku přidělenou konkrétnímu zaměstnanci;</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jsou trvalé, tj. platné po dobu vázanou na konkrétní roli a povinnosti v rámci organizace;</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jsou neodvolatelné; stálá výše se mění pouze na základě kolektivního vyjednávání nebo po sjednání nových podmínek v souladu s vnitrostátními kritérii pro stanovování mezd;</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nemohou být institucí omezeny, pozastaveny nebo zrušeny;</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nemotivují k podstupování rizika a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nezávisí na dosažených výsledcích.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Sloupec</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Vysvětlení</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a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Vedoucí orgán (MB)</w:t>
            </w:r>
          </w:p>
          <w:p w14:paraId="19CE9061" w14:textId="5E915F0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Vedoucí orgán instituce s rozdělenou kontrolní a řídící funkcí</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Instituce uvedou informace na základě na počtu členů.</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 až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Oblast činnosti</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Hlavní oblasti podnikání instituce, jako investiční bankovnictví, retailové bankovnictví, správa aktiv, podnikové funkce, nezávislé funkce vnitřní kontroly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Informace se zveřejní na základě FTE.</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Vše ostatní</w:t>
            </w:r>
          </w:p>
          <w:p w14:paraId="727C82F7" w14:textId="4B14E87E"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Všechny ostatní oblasti podnikání, které nebyly zahrnuty v p</w:t>
            </w:r>
            <w:r w:rsidR="009860B6">
              <w:rPr>
                <w:rFonts w:ascii="Times New Roman" w:hAnsi="Times New Roman"/>
                <w:sz w:val="24"/>
              </w:rPr>
              <w:t>ředchozích sloupcích samostatně</w:t>
            </w:r>
            <w:r>
              <w:rPr>
                <w:rFonts w:ascii="Times New Roman" w:hAnsi="Times New Roman"/>
                <w:sz w:val="24"/>
              </w:rPr>
              <w:t xml:space="preserve">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Informace se zveřejní na základě FTE.</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PŘÍLOHA XXXVI – Pokyny k šablonám pro zpřístupňování informací o zatížení aktiv</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Informace uvedené v článku 443 nařízení (EU) č. 575/2013</w:t>
      </w:r>
      <w:r w:rsidRPr="007F4CC8">
        <w:rPr>
          <w:rStyle w:val="FootnoteReference"/>
          <w:lang w:val="en-GB"/>
        </w:rPr>
        <w:footnoteReference w:id="54"/>
      </w:r>
      <w:r>
        <w:rPr>
          <w:sz w:val="24"/>
          <w:szCs w:val="24"/>
        </w:rPr>
        <w:t xml:space="preserve"> (dále jen „CRR“) zpřístupňují instituce podle následujících pokynů k vyplnění šablon EU AE1 až EU AE4, obsažených v příloze XXXV tohoto prováděcího nařízení.</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Pro účely šablon pro zpřístupňování informací o zatížení aktiv </w:t>
      </w:r>
      <w:r>
        <w:rPr>
          <w:rStyle w:val="TeksttreciTimesNewRoman105ptOdstpy0pt"/>
          <w:sz w:val="24"/>
          <w:szCs w:val="24"/>
        </w:rPr>
        <w:t xml:space="preserve">se použije </w:t>
      </w:r>
      <w:r>
        <w:rPr>
          <w:sz w:val="24"/>
          <w:szCs w:val="24"/>
        </w:rPr>
        <w:t xml:space="preserve">definice zatížení aktiv uvedená v bodě </w:t>
      </w:r>
      <w:r>
        <w:rPr>
          <w:rStyle w:val="TeksttreciTimesNewRoman105ptOdstpy0pt"/>
          <w:sz w:val="24"/>
          <w:szCs w:val="24"/>
        </w:rPr>
        <w:t>1.7 přílohy XVII (pokyny k šablonám pro podávání zpráv o zatížení aktiv) prováděcího nařízení Komise (EU) č. 680/2014</w:t>
      </w:r>
      <w:r w:rsidRPr="007F4CC8">
        <w:rPr>
          <w:rStyle w:val="FootnoteReference"/>
          <w:rFonts w:eastAsia="Calibri"/>
          <w:color w:val="000000"/>
          <w:shd w:val="clear" w:color="auto" w:fill="FFFFFF"/>
          <w:lang w:val="en-GB"/>
        </w:rPr>
        <w:footnoteReference w:id="55"/>
      </w:r>
      <w:r>
        <w: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Instituce zpřístupní položky uvedené v šablonách EU AE1, EU AE2 a EU AE3 stejným způsobem, jako jsou vykazovány v souladu s přílohou XVI (šablony pro podávání zpráv o zatížení aktiv) prováděcího nařízení Komise (EU) 680/2014, není-li v těchto tabulkách konkrétně stanoveno jinak.</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Položky uvedené v odstavci 3 se uvedou s použitím středních hodnot. Střední hodnoty jsou klouzavé čtvrtletní mediány za předchozích dvanáct měsíců a určují se interpolací.</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Pokud ke zpřístupnění dochází na konsolidovaném základě, je použitelným rozsahem konsolidace rozsah obezřetnostní konsolidace podle části první hlavy II kapitoly 2 oddílu 2 CRR.</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 xml:space="preserve">Ukazatele kvality aktiv podle druhu aktiv ve sloupcích C030, C050, C080 a C100 šablony EU AE1 a podle druhů přijatého kolaterálu a emitovaných dluhových cenných papírů, včetně krytých dluhopisů a </w:t>
      </w:r>
      <w:proofErr w:type="spellStart"/>
      <w:r>
        <w:rPr>
          <w:sz w:val="24"/>
          <w:szCs w:val="24"/>
        </w:rPr>
        <w:t>sekuritizací</w:t>
      </w:r>
      <w:proofErr w:type="spellEnd"/>
      <w:r>
        <w:rPr>
          <w:sz w:val="24"/>
          <w:szCs w:val="24"/>
        </w:rPr>
        <w:t>, ve sloupcích C030 a C060, jak je stanoveno v šabloně EU AE2, se vztahují pouze na úvěrové instituce, které splňují některou z těchto podmínek:</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1B1C5B2F"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jejich celková aktiva vypočtená podle bodu 10 oddílu 1.6 přílohy XVII prováděcího nařízení Komise (EU) č. 680/2014 dosahují více než 30 miliard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65DD496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jejich míra zatížení aktiv vypočtená podle bodu 9 oddílu 1.6 přílohy XVII prováděcího nařízení Komise (EU) č. 680/2014 je vyšší než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Šablona EU AE1 – Zatížená a nezatížená aktiva</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Instituce vyplní šablonu EU AE1, která je obsažena v příloze XXXV tohoto prováděcího nařízení, podle níže uvedených pokynů.</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Vysvětlení</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lastRenderedPageBreak/>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Aktiva zveřejňující instituce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Mezinárodní účetní standardy (IAS) 1.9 a), prováděcí pokyny (IG) 6, v případě institucí IFRS</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Veškerá aktiva instituce vykázaná v její rozvaze s výjimkou vlastních dluhových cenných papírů a vlastních kapitálových nástrojů, jejichž vykázání v rozvaze platné účetní standardy povolují.</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Hodnota uvedená v tomto řádku je mediánem součtů čtyř čtvrtletních hodnot ke konci období za předchozích dvanáct měsíců pro řádky 030, 040 a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Kapitálové nástroje</w:t>
            </w:r>
          </w:p>
          <w:p w14:paraId="0D4FD605" w14:textId="5383F892" w:rsidR="00D312C4" w:rsidRPr="007F4CC8" w:rsidRDefault="00D312C4" w:rsidP="0063188F">
            <w:pPr>
              <w:spacing w:after="120"/>
              <w:jc w:val="both"/>
              <w:rPr>
                <w:rFonts w:ascii="Times New Roman" w:hAnsi="Times New Roman" w:cs="Times New Roman"/>
                <w:bCs/>
                <w:sz w:val="24"/>
              </w:rPr>
            </w:pPr>
            <w:r>
              <w:rPr>
                <w:rStyle w:val="TeksttreciTimesNewRoman105ptOdstpy0pt"/>
                <w:rFonts w:eastAsiaTheme="minorEastAsia"/>
                <w:sz w:val="24"/>
              </w:rPr>
              <w:t>Střední hodnoty</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kapitálových nástrojů, jak jsou definovány v platných účetních zásadách (IAS 32 odst. 1 v případě institucí IFRS)</w:t>
            </w:r>
            <w:r>
              <w:rPr>
                <w:rStyle w:val="TeksttreciTimesNewRoman105ptOdstpy0pt"/>
                <w:rFonts w:eastAsiaTheme="minorEastAsia"/>
                <w:sz w:val="24"/>
              </w:rPr>
              <w:t>, s výjimkou vlastních kapitálových nástrojů, jejichž vykázání v rozvaze platné účetní standardy povolují</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Dluhové cenné papíry</w:t>
            </w:r>
          </w:p>
          <w:p w14:paraId="7557A686" w14:textId="643093DD"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hodnoty dluhových nástrojů v držení instituce vydaných jako cenné papíry, které nejsou úvěry podle nařízení Evropské centrální banky (EU) č. 1071/2013 („nařízení ECB o BSI“)</w:t>
            </w:r>
            <w:r w:rsidRPr="007F4CC8">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s výjimkou vlastních dluhových cenných papírů, jejichž vykázání v rozvaze p</w:t>
            </w:r>
            <w:r w:rsidR="0063188F">
              <w:rPr>
                <w:rStyle w:val="TeksttreciTimesNewRoman105ptOdstpy0pt"/>
                <w:rFonts w:eastAsiaTheme="minorEastAsia"/>
                <w:sz w:val="24"/>
              </w:rPr>
              <w:t>latné účetní standardy povolují</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kryté dluhopisy</w:t>
            </w:r>
          </w:p>
          <w:p w14:paraId="1617C62A" w14:textId="4D29A54E" w:rsidR="00D312C4" w:rsidRPr="007F4CC8" w:rsidRDefault="00D312C4" w:rsidP="0063188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hodnoty</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dluhových cenných papírů v držení instituce,</w:t>
            </w:r>
            <w:r>
              <w:rPr>
                <w:rStyle w:val="TeksttreciTimesNewRoman105ptOdstpy0pt"/>
                <w:rFonts w:eastAsiaTheme="minorEastAsia"/>
                <w:b/>
                <w:sz w:val="24"/>
              </w:rPr>
              <w:t xml:space="preserve"> </w:t>
            </w:r>
            <w:r>
              <w:rPr>
                <w:rStyle w:val="TeksttreciTimesNewRoman105ptOdstpy0pt"/>
                <w:rFonts w:eastAsiaTheme="minorEastAsia"/>
                <w:sz w:val="24"/>
              </w:rPr>
              <w:t>které jsou dluhopisy uvedenými v čl. 52 odst. 4 prvním pododstavci směrnice (ES) 2009/65</w:t>
            </w:r>
            <w:r w:rsidRPr="007F4CC8">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bez ohledu na to, zda mají tyto nástroje právní formu cenného papíru, či nikoli</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z toho: sekuritizace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Střední hodnoty dluhových cenných papírů v držení instituce, které jsou </w:t>
            </w:r>
            <w:proofErr w:type="spellStart"/>
            <w:r>
              <w:rPr>
                <w:rStyle w:val="TeksttreciTimesNewRoman105ptOdstpy0pt"/>
                <w:rFonts w:eastAsiaTheme="minorEastAsia"/>
                <w:sz w:val="24"/>
              </w:rPr>
              <w:t>sekuritizovanými</w:t>
            </w:r>
            <w:proofErr w:type="spellEnd"/>
            <w:r>
              <w:rPr>
                <w:rStyle w:val="TeksttreciTimesNewRoman105ptOdstpy0pt"/>
                <w:rFonts w:eastAsiaTheme="minorEastAsia"/>
                <w:sz w:val="24"/>
              </w:rPr>
              <w:t xml:space="preserve"> pozicemi ve smyslu čl. 4 odst. 1 bodu 62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vládními institucemi</w:t>
            </w:r>
          </w:p>
          <w:p w14:paraId="14FFA7FD" w14:textId="529235EA" w:rsidR="00D312C4" w:rsidRPr="007F4CC8" w:rsidRDefault="00D312C4" w:rsidP="0063188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Střední hodnoty </w:t>
            </w:r>
            <w:r>
              <w:rPr>
                <w:rStyle w:val="InstructionsTabelleberschrift"/>
                <w:rFonts w:ascii="Times New Roman" w:hAnsi="Times New Roman"/>
                <w:b w:val="0"/>
                <w:sz w:val="24"/>
                <w:u w:val="none"/>
              </w:rPr>
              <w:t>dluhových cenných papírů v držení instituce, které jsou vydané vládními institucemi</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finančními institucemi</w:t>
            </w:r>
          </w:p>
          <w:p w14:paraId="27413572" w14:textId="3DE66671"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Střední hodnoty </w:t>
            </w:r>
            <w:r>
              <w:rPr>
                <w:rStyle w:val="InstructionsTabelleberschrift"/>
                <w:rFonts w:ascii="Times New Roman" w:hAnsi="Times New Roman"/>
                <w:b w:val="0"/>
                <w:sz w:val="24"/>
                <w:u w:val="none"/>
              </w:rPr>
              <w:t xml:space="preserve">dluhových cenných papírů v držení instituce vydaných úvěrovými institucemi ve smyslu čl. 4 odst. 1 bodu 1 CRR a ostatními finančními institucemi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lastRenderedPageBreak/>
              <w:t>Ostatní finanční instituce zahrnují kromě úvěrových institucí veškeré finanční podniky a </w:t>
            </w:r>
            <w:proofErr w:type="spellStart"/>
            <w:r>
              <w:rPr>
                <w:rStyle w:val="InstructionsTabelleberschrift"/>
                <w:rFonts w:ascii="Times New Roman" w:hAnsi="Times New Roman"/>
                <w:b w:val="0"/>
                <w:sz w:val="24"/>
                <w:u w:val="none"/>
              </w:rPr>
              <w:t>kvazispolečnosti</w:t>
            </w:r>
            <w:proofErr w:type="spellEnd"/>
            <w:r>
              <w:rPr>
                <w:rStyle w:val="InstructionsTabelleberschrift"/>
                <w:rFonts w:ascii="Times New Roman" w:hAnsi="Times New Roman"/>
                <w:b w:val="0"/>
                <w:sz w:val="24"/>
                <w:u w:val="none"/>
              </w:rPr>
              <w:t>, jako jsou investiční podniky, investiční fondy, pojišťovny, penzijní fondy, subjekty kolektivního investování a clearingové systémy a ostatní finanční zprostředkovatelé, pomocné finanční instituce a </w:t>
            </w:r>
            <w:proofErr w:type="spellStart"/>
            <w:r>
              <w:rPr>
                <w:rStyle w:val="InstructionsTabelleberschrift"/>
                <w:rFonts w:ascii="Times New Roman" w:hAnsi="Times New Roman"/>
                <w:b w:val="0"/>
                <w:sz w:val="24"/>
                <w:u w:val="none"/>
              </w:rPr>
              <w:t>kaptivní</w:t>
            </w:r>
            <w:proofErr w:type="spellEnd"/>
            <w:r>
              <w:rPr>
                <w:rStyle w:val="InstructionsTabelleberschrift"/>
                <w:rFonts w:ascii="Times New Roman" w:hAnsi="Times New Roman"/>
                <w:b w:val="0"/>
                <w:sz w:val="24"/>
                <w:u w:val="none"/>
              </w:rPr>
              <w:t xml:space="preserve"> finanční instituce a půjčovatelé peněz.</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nefinančními podniky</w:t>
            </w:r>
          </w:p>
          <w:p w14:paraId="27DAAC2C" w14:textId="60A491C7" w:rsidR="00D312C4" w:rsidRPr="00C83CCD" w:rsidRDefault="00D312C4" w:rsidP="0063188F">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Střední hodnoty </w:t>
            </w:r>
            <w:r>
              <w:rPr>
                <w:rStyle w:val="InstructionsTabelleberschrift"/>
                <w:rFonts w:ascii="Times New Roman" w:hAnsi="Times New Roman"/>
                <w:b w:val="0"/>
                <w:sz w:val="24"/>
                <w:u w:val="none"/>
              </w:rPr>
              <w:t>dluhových cenných papírů v držení instituce vydaných</w:t>
            </w:r>
            <w:r>
              <w:rPr>
                <w:rStyle w:val="InstructionsTabelleberschrift"/>
                <w:rFonts w:ascii="Times New Roman" w:hAnsi="Times New Roman"/>
                <w:sz w:val="24"/>
                <w:u w:val="none"/>
              </w:rPr>
              <w:t xml:space="preserve"> </w:t>
            </w:r>
            <w:r>
              <w:rPr>
                <w:rFonts w:ascii="Times New Roman" w:hAnsi="Times New Roman"/>
                <w:sz w:val="24"/>
              </w:rPr>
              <w:t xml:space="preserve">společnostmi a </w:t>
            </w:r>
            <w:proofErr w:type="spellStart"/>
            <w:r>
              <w:rPr>
                <w:rFonts w:ascii="Times New Roman" w:hAnsi="Times New Roman"/>
                <w:sz w:val="24"/>
              </w:rPr>
              <w:t>kvazispolečnostmi</w:t>
            </w:r>
            <w:proofErr w:type="spellEnd"/>
            <w:r>
              <w:rPr>
                <w:rFonts w:ascii="Times New Roman" w:hAnsi="Times New Roman"/>
                <w:sz w:val="24"/>
              </w:rPr>
              <w:t>, které se nezabývají finančním zprostředkováním, nýbrž převážně výrobou tržního zboží a poskytováním nefinančních služeb ve smyslu nařízení ECB o BSI</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Ostatní aktiva</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Střední hodnota ostatních aktiv instituce vykázaných v rozvaze, která nejsou aktivy uvedenými ve výše uvedených řádcích a nejsou vlastními dluhovými cennými papíry ani vlastními kapitálovými nástroji, jež instituce nevykazující podle standardu IFRS nesmí odúčtovat z rozvahy.</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V tomto případě se vlastní dluhové nástroje uvedou v řádku 240 šablony EU AE2 a vlastní kapitálové nástroje se do zpřístupňovaných informací o zatížených aktivech nezahrnou.</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Ostatní aktiva zahrnují pokladní hotovost (držení národních a zahraničních bankovek a mincí v oběhu, které se běžně používají k provádění plateb), úvěry na vyžádání (IAS 1 odst. 54 písm. i) pro instituce IFRS) včetně zůstatků na vyžádání u centrálních bank a jiných institucí. Ostatní aktiva zahrnují rovněž úvěry a půjčky jiné než úvěry na vyžádání, tj. dluhové nástroje držené institucemi, které nejsou cennými papíry, kromě zůstatků na vyžádání, včetně úvěrů zajištěných nemovitým majetkem ve smyslu přílohy V</w:t>
            </w:r>
            <w:r>
              <w:rPr>
                <w:sz w:val="24"/>
              </w:rPr>
              <w:t xml:space="preserve"> </w:t>
            </w:r>
            <w:r>
              <w:rPr>
                <w:rStyle w:val="InstructionsTabelleberschrift"/>
                <w:rFonts w:ascii="Times New Roman" w:hAnsi="Times New Roman"/>
                <w:b w:val="0"/>
                <w:sz w:val="24"/>
                <w:u w:val="none"/>
              </w:rPr>
              <w:t>části 2 odst. 86 písm. a)</w:t>
            </w:r>
            <w:r>
              <w:rPr>
                <w:rStyle w:val="TeksttreciTimesNewRoman105ptOdstpy0pt"/>
                <w:rFonts w:eastAsia="Book Antiqua"/>
                <w:sz w:val="24"/>
                <w:szCs w:val="24"/>
              </w:rPr>
              <w:t xml:space="preserve">prováděcího nařízení Komise (EU) č. 680/2014. Ostatní aktiva mohou dále zahrnovat nehmotná aktiva, včetně goodwill, odložené daňové pohledávky, pozemky, budovy a jiná dlouhodobá aktiva, derivátová aktiva, reverzní </w:t>
            </w:r>
            <w:proofErr w:type="spellStart"/>
            <w:r>
              <w:rPr>
                <w:rStyle w:val="TeksttreciTimesNewRoman105ptOdstpy0pt"/>
                <w:rFonts w:eastAsia="Book Antiqua"/>
                <w:sz w:val="24"/>
                <w:szCs w:val="24"/>
              </w:rPr>
              <w:t>repa</w:t>
            </w:r>
            <w:proofErr w:type="spellEnd"/>
            <w:r>
              <w:rPr>
                <w:rStyle w:val="TeksttreciTimesNewRoman105ptOdstpy0pt"/>
                <w:rFonts w:eastAsia="Book Antiqua"/>
                <w:sz w:val="24"/>
                <w:szCs w:val="24"/>
              </w:rPr>
              <w:t xml:space="preserve"> a pohledávky z výpůjčky akcií.</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Pokud podkladová aktiva a aktiva krycího portfolia ponechaných </w:t>
            </w:r>
            <w:proofErr w:type="spellStart"/>
            <w:r>
              <w:rPr>
                <w:rStyle w:val="TeksttreciTimesNewRoman105ptOdstpy0pt"/>
                <w:rFonts w:eastAsiaTheme="minorEastAsia"/>
                <w:sz w:val="24"/>
              </w:rPr>
              <w:t>sekuritizací</w:t>
            </w:r>
            <w:proofErr w:type="spellEnd"/>
            <w:r>
              <w:rPr>
                <w:rStyle w:val="TeksttreciTimesNewRoman105ptOdstpy0pt"/>
                <w:rFonts w:eastAsiaTheme="minorEastAsia"/>
                <w:sz w:val="24"/>
              </w:rPr>
              <w:t xml:space="preserve"> a ponechaných krytých dluhopisů představují úvěry na vyžádání nebo úvěry a půjčky jiné, než jsou úvěry na vyžádání, uvedou se rovněž v tomto řádku.</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Účetní hodnota zatížených aktiv</w:t>
            </w:r>
          </w:p>
          <w:p w14:paraId="023B3B5F" w14:textId="767C8EAD"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Střední hodnota účetní hodnoty aktiv držených institucí, která jsou zatížená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Účetní hodnotou se rozumí hodnota vykázaná v rozvaze na straně aktiv.</w:t>
            </w:r>
          </w:p>
          <w:p w14:paraId="70F39F33" w14:textId="77777777" w:rsidR="00D312C4" w:rsidRPr="007F4CC8" w:rsidRDefault="00D312C4" w:rsidP="00155C96">
            <w:pPr>
              <w:pStyle w:val="Fait"/>
              <w:spacing w:before="0" w:after="120"/>
            </w:pPr>
            <w:r>
              <w:rPr>
                <w:rStyle w:val="TeksttreciTimesNewRoman105ptOdstpy0pt"/>
              </w:rPr>
              <w:t>U každé třídy aktiv je uvedená účetní hodnota střední hodnotou jednotlivých účetních hodnot na konci každého příslušného období zahrnutého do výpočtu mediánu.</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lastRenderedPageBreak/>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pomyslně způsobilá aktiva EHQLA a HQLA</w:t>
            </w:r>
          </w:p>
          <w:p w14:paraId="36896FCB" w14:textId="603145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Medián účetní hodnoty zatížených aktiv, která jsou pomyslně způsobilá pro klasifikaci jako převoditelná aktiva velmi vysoké likvidity a úvěrové kvality (EHQLA) a převoditelná aktiva vysoké likvidity a vysoké úvěrové kvality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Pro účely tohoto nařízení budou pomyslně způsobilými zatíženými aktivy EHQLA a pomyslně způsobilými zatíženými aktivy HQLA aktiva uvedená v článcích 10, 11, 12, 13, 15 a 16 nařízení Komise v přenesené pravomoci (EU) 2015/61</w:t>
            </w:r>
            <w:r w:rsidRPr="007F4CC8">
              <w:rPr>
                <w:rStyle w:val="FootnoteReference"/>
                <w:rFonts w:eastAsia="Calibri" w:cs="Times New Roman"/>
                <w:color w:val="000000"/>
                <w:spacing w:val="4"/>
                <w:shd w:val="clear" w:color="auto" w:fill="FFFFFF"/>
              </w:rPr>
              <w:footnoteReference w:id="58"/>
            </w:r>
            <w:r>
              <w:t>,</w:t>
            </w:r>
            <w:r>
              <w:rPr>
                <w:rStyle w:val="TeksttreciTimesNewRoman105ptOdstpy0pt"/>
                <w:rFonts w:eastAsiaTheme="minorEastAsia"/>
                <w:sz w:val="24"/>
              </w:rPr>
              <w:t xml:space="preserve"> která by splňovala obecné a provozní požadavky stanovené v článcích 7 a 8 daného nařízení v přenesené pravomoci, kdyby neměla status zatížených aktiv podle přílohy XVII prováděcího nařízení Komise (EU) 680/2014. Pomyslně způsobilá zatížená aktiva EHQLA a pomyslně způsobilá zatížená aktiva HQLA musí rovněž splňovat požadavky pro příslušnou kategorii expozice stanovené v článcích 10 až 16 a 35 až 37 nařízení v přenesené pravomoci (EU) 2015/61. Účetní hodnota pomyslně způsobilých zatížených aktiv EHQLA a pomyslně způsobilých zatížených aktiv HQLA je účetní hodnota před uplatněním srážek při ocenění stanovených v článcích 10 až 16 nařízení v přenesené pravomoci (EU)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U každé třídy aktiv je uvedená účetní hodnota střední hodnotou jednotlivých účetních hodnot na konci každého příslušného období zahrnutého do výpočtu mediánu.</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Reálná hodnota zatížených aktiv</w:t>
            </w:r>
          </w:p>
          <w:p w14:paraId="17E176CC" w14:textId="432E5744"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Medián</w:t>
            </w:r>
            <w:r>
              <w:rPr>
                <w:sz w:val="24"/>
              </w:rPr>
              <w:t xml:space="preserve"> </w:t>
            </w:r>
            <w:r>
              <w:rPr>
                <w:rStyle w:val="InstructionsTabelleberschrift"/>
                <w:rFonts w:ascii="Times New Roman" w:hAnsi="Times New Roman"/>
                <w:b w:val="0"/>
                <w:sz w:val="24"/>
                <w:u w:val="none"/>
              </w:rPr>
              <w:t>reálné hodnoty dluhových cenných papírů v držení vykazující instituce, které jsou zatížené v souladu s definicí zatížení aktiv</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Reálná hodnota finančního nástroje je cena, která by byla získána za prodej aktiva nebo zaplacena za převod závazku při řádné transakci mezi účastníky trhu v den ocenění (viz IFRS 13 Ocenění reálnou hodnotou a článek 8 směrnice 2013/34/EU </w:t>
            </w:r>
            <w:r w:rsidRPr="00C83CCD">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pro instituce, které nevykazují podle standardů IFRS).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U každé třídy aktiv je uvedená reálná hodnota střední hodnotou jednotlivých reálných hodnot na konci každého příslušného období zahrnutého do výpočtu mediánu.</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pomyslně způsobilá aktiva EHQLA a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Medián reálné hodnoty zatížených aktiv, která jsou pomyslně způsobilá ke klasifikaci jako aktiva EHQLA a HQLA. Pro účely tohoto nařízení jsou pomyslně způsobilými zatíženými aktivy EHQLA a pomyslně způsobilými zatíženými aktivy HQLA aktiva uvedená v článcích 10, 11, 12, 13, 15 a 16 </w:t>
            </w:r>
            <w:r>
              <w:rPr>
                <w:rStyle w:val="TeksttreciTimesNewRoman105ptOdstpy0pt"/>
                <w:rFonts w:eastAsiaTheme="minorEastAsia"/>
                <w:sz w:val="24"/>
              </w:rPr>
              <w:lastRenderedPageBreak/>
              <w:t>nařízení v přenesené pravomoci (EU) 2015/61, která by splňovala obecné a provozní požadavky stanovené v článcích 7 a 8 nařízení Komise v přenesené pravomoci (EU) 2015/61, kdyby neměla status zatížených aktiv podle přílohy XVII prováděcího nařízení Komise (EU) 680/2014. Pomyslně způsobilá zatížená aktiva EHQLA a pomyslně způsobilá zatížená aktiva HQLA musí rovněž splňovat požadavky pro příslušnou kategorii expozice stanovené v článcích 10 až 16 a 35 až 37 nařízení Komise v přenesené pravomoci (EU) 2015/61. Reálná hodnota pomyslně způsobilých zatížených aktiv EHQLA a pomyslně způsobilých zatížených aktiv HQLA je reálná hodnota před uplatněním srážek při ocenění stanovených v článcích 10 až 16 nařízení Komise v přenesené pravomoci (EU) 2015/61.</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U každé třídy aktiv je uvedená reálná hodnota střední hodnotou jednotlivých reálných hodnot na konci každého příslušného období zahrnutého do výpočtu mediánu.</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Účetní hodnota nezatížených aktiv</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Medián </w:t>
            </w:r>
            <w:r>
              <w:rPr>
                <w:rStyle w:val="InstructionsTabelleberschrift"/>
                <w:rFonts w:ascii="Times New Roman" w:hAnsi="Times New Roman"/>
                <w:b w:val="0"/>
                <w:sz w:val="24"/>
                <w:u w:val="none"/>
              </w:rPr>
              <w:t>účetní hodnoty aktiv držených institucí, která nejsou zatížena podle definice zatížení aktiv. Účetní hodnotou se rozumí hodnota vykázaná v rozvaze na straně aktiv.</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U každé třídy aktiv je uvedená účetní hodnota střední hodnotou jednotlivých účetních hodnot na konci každého příslušného období zahrnutého do výpočtu mediánu.</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EHQLA a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Medián účetní hodnoty nezatížených aktiv EHQLA a HQLA uvedených v článcích 10, 11, 12, 13, 15 a 16 nařízení v Komise přenesené pravomoci (EU) 2015/61, která jsou v souladu s obecnými a provozními požadavky stanovenými v článcích 7 a 8 nařízení Komise v přenesené pravomoci (EU) 2015/61 a dále s požadavky pro příslušnou kategorii expozice stanovenými v článcích 10 až 16 a 35 až 37 nařízení Komise v přenesené </w:t>
            </w:r>
            <w:proofErr w:type="gramStart"/>
            <w:r>
              <w:rPr>
                <w:rStyle w:val="TeksttreciTimesNewRoman105ptOdstpy0pt"/>
                <w:rFonts w:eastAsiaTheme="minorEastAsia"/>
                <w:sz w:val="24"/>
              </w:rPr>
              <w:t>pravomoci(EU</w:t>
            </w:r>
            <w:proofErr w:type="gramEnd"/>
            <w:r>
              <w:rPr>
                <w:rStyle w:val="TeksttreciTimesNewRoman105ptOdstpy0pt"/>
                <w:rFonts w:eastAsiaTheme="minorEastAsia"/>
                <w:sz w:val="24"/>
              </w:rPr>
              <w:t>) 2015/61. Účetní hodnota aktiv EHQLA a HQLA je účetní hodnota před uplatněním srážek při ocenění stanovených v článcích 10 až 16 nařízení Komise v přenesené pravomoci (EU) 2015/61.</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U každé třídy aktiv je uvedená účetní hodnota střední hodnotou jednotlivých účetních hodnot na konci každého příslušného období zahrnutého do výpočtu mediánu.</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Reálná hodnota nezatížených aktiv</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Medián</w:t>
            </w:r>
            <w:r>
              <w:rPr>
                <w:sz w:val="24"/>
              </w:rPr>
              <w:t xml:space="preserve"> </w:t>
            </w:r>
            <w:r>
              <w:rPr>
                <w:rStyle w:val="InstructionsTabelleberschrift"/>
                <w:rFonts w:ascii="Times New Roman" w:hAnsi="Times New Roman"/>
                <w:b w:val="0"/>
                <w:sz w:val="24"/>
                <w:u w:val="none"/>
              </w:rPr>
              <w:t xml:space="preserve">reálné hodnoty dluhových cenných papírů v držení instituce, které nejsou zatížené. Reálná hodnota finančního nástroje je cena, která by byla získána za prodej aktiva nebo zaplacena za převod závazku v řádné transakci mezi účastníky trhu v den ocenění. (Viz IFRS 13 Ocenění reálnou hodnotou a článek 8 směrnice (EU) 2013/34).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U každé třídy aktiv je uvedená reálná hodnota střední hodnotou jednotlivých reálných hodnot na konci každého příslušného období zahrnutého do výpočtu mediánu.</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EHQLA a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Medián reálné hodnoty nezatížených aktiv EHQLA a HQLA uvedených v článcích 10, 11, 12, 13, 15 a 16 nařízení Komise v přenesené pravomoci (EU) 2015/61, která jsou v souladu s obecnými a provozními požadavky stanovenými v článcích 7 a 8 nařízení Komise v přenesené pravomoci (EU) 2015/61 a dále s požadavky pro příslušnou kategorii expozice stanovenými v článcích 10 až 16 a 35 až 37 nařízení Komise v přenesené pravomoci (EU) 2015/61. Reálná hodnota aktiv EHQLA a HQLA je reálná hodnota před uplatněním srážek při ocenění stanovených v článcích 10 až 16 nařízení Komise v přenesené pravomoci (EU) 2015/61.</w:t>
            </w:r>
          </w:p>
          <w:p w14:paraId="363AC6DC" w14:textId="77777777" w:rsidR="00D312C4" w:rsidRPr="007F4CC8" w:rsidRDefault="00D312C4" w:rsidP="00155C96">
            <w:pPr>
              <w:pStyle w:val="Fait"/>
              <w:spacing w:before="0" w:after="120"/>
            </w:pPr>
            <w:r>
              <w:rPr>
                <w:rStyle w:val="TeksttreciTimesNewRoman105ptOdstpy0pt"/>
              </w:rPr>
              <w:t>U každé třídy aktiv je uvedená reálná hodnota střední hodnotou jednotlivých reálných hodnot na konci každého příslušného období zahrnutého do výpočtu mediánu.</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Šablona EU AE2 – Přijatý kolaterál a emitované vlastní dluhové cenné papíry</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Instituce vyplní šablonu EU AE2, která je obsažena v příloze XXXV tohoto prováděcího nařízení, podle níže uvedených pokynů.</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Vysvětlení</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Kolaterál přijatý zveřejňující institucí</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Všechny třídy kolaterálu přijatého institucí. V tomto řádku se uvádí všechny cenné papíry přijaté institucí v roli vypůjčovatele v rámci jakýchkoli transakcí s výpůjčkou cenných papírů. Celkový kolaterál přijatý institucí je mediánem součtů čtyř čtvrtletních hodnot ke konci období za předchozích dvanáct měsíců pro řádky 140 až 160, 220 a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Úvěry na vyžádání</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V tomto řádku se uvede střední hodnota kolaterálu přijatého institucí, který tvoří úvěry na požádání (viz odkazy na právní předpisy a pokyny k řádku 120 šablony EU AE1). Patří sem všechny cenné papíry přijaté institucí v roli vypůjčovatele v rámci jakýchkoli transakcí s výpůjčkou cenných papírů.</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Kapitálové nástroje</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kapitálové nástroje (viz odkazy na právní předpisy a pokyny k řádku 030 šablony EU AE1). Patří sem všechny cenné papíry přijaté institucí v roli vypůjčovatele v rámci jakýchkoli transakcí s výpůjčkou cenných papírů.</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Dluhové cenné papíry</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dluhové cenné papíry (viz odkazy na právní předpisy a pokyny k řádku 040 šablony EU AE1). Patří sem všechny cenné papíry přijaté institucí v roli vypůjčovatele v rámci jakýchkoli transakcí s výpůjčkou cenných papírů.</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kryté dluhopisy</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kryté dluhopisy (viz odkazy na právní předpisy a pokyny k řádku 050 šablony EU AE1). Patří sem všechny cenné papíry přijaté institucí v roli vypůjčovatele v rámci jakýchkoli transakcí s výpůjčkou cenných papírů.</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sekuritizace</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cenné papíry kryté aktivy (viz odkazy na právní předpisy a pokyny k řádku 060 šablony EU AE1). Patří sem všechny cenné papíry přijaté institucí v roli vypůjčovatele v rámci jakýchkoli transakcí s výpůjčkou cenných papírů.</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vládními institucemi</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dluhové</w:t>
            </w:r>
            <w:r>
              <w:rPr>
                <w:sz w:val="24"/>
              </w:rPr>
              <w:t xml:space="preserve"> </w:t>
            </w:r>
            <w:r>
              <w:rPr>
                <w:rStyle w:val="TeksttreciTimesNewRoman105ptOdstpy0pt"/>
                <w:rFonts w:eastAsiaTheme="minorEastAsia"/>
                <w:sz w:val="24"/>
              </w:rPr>
              <w:t>cenné papíry emitované vládními institucemi (viz odkazy na právní předpisy a pokyny k řádku 070 šablony EU AE1). Patří sem všechny cenné papíry přijaté institucí v roli vypůjčovatele v rámci jakýchkoli transakcí s výpůjčkou cenných papírů.</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finančními institucemi</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dluhové cenné papíry emitované finančními institucemi (viz odkazy na právní předpisy a pokyny k řádku 080 šablony EU AE1). Patří sem všechny cenné papíry přijaté institucí v roli vypůjčovatele v rámci jakýchkoli transakcí s výpůjčkou cenných papírů.</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emitované nefinančními podniky</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dluhové cenné papíry emitované nefinančními institucemi (viz odkazy na právní předpisy a pokyny k řádku 090 šablony EU AE1). Patří sem všechny cenné papíry přijaté institucí v roli vypůjčovatele v rámci jakýchkoli transakcí s výpůjčkou cenných papírů.</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Úvěry a půjčky jiné než úvěry na vyžádání</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Střední hodnota kolaterálu přijatého institucí, který tvoří úvěry a půjčky jiné než úvěry na požádání (viz odkazy na právní předpisy a pokyny k řádku 120 šablony EU AE1). Patří sem všechny cenné papíry přijaté institucí v roli vypůjčovatele v rámci jakýchkoli transakcí s výpůjčkou cenných papírů.</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Jiný přijatý kolaterál</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Střední hodnota kolaterálu přijatého institucí, který tvoří ostatní aktiva (viz odkazy na právní předpisy a pokyny k řádku 120 šablony EU AE1). Patří sem všechny cenné papíry přijaté institucí v roli vypůjčovatele v rámci jakýchkoli transakcí s výpůjčkou cenných papírů.</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Emitované vlastní dluhové cenné papíry jiné než vlastní kryté dluhopisy nebo sekuritizace</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lastRenderedPageBreak/>
              <w:t xml:space="preserve">Střední hodnota vlastních vydaných dluhových cenných papírů jiných než vlastních krytých dluhopisů nebo </w:t>
            </w:r>
            <w:proofErr w:type="spellStart"/>
            <w:r>
              <w:rPr>
                <w:rStyle w:val="TeksttreciTimesNewRoman105ptOdstpy0pt"/>
                <w:rFonts w:eastAsia="Book Antiqua"/>
                <w:sz w:val="24"/>
                <w:szCs w:val="24"/>
              </w:rPr>
              <w:t>sekuritizací</w:t>
            </w:r>
            <w:proofErr w:type="spellEnd"/>
            <w:r>
              <w:rPr>
                <w:rStyle w:val="TeksttreciTimesNewRoman105ptOdstpy0pt"/>
                <w:rFonts w:eastAsia="Book Antiqua"/>
                <w:sz w:val="24"/>
                <w:szCs w:val="24"/>
              </w:rPr>
              <w:t>. Vzhledem k tomu, že ponechané nebo zpětně odkoupené vlastní vydané dluhové cenné papíry v souladu s IAS 39 odst. 42 pro instituce IFRS snižují související finanční závazky, nejsou tyto cenné papíry zahrnuty do kategorie aktiv vykazující instituce. V tomto řádku se uvedou i vlastní dluhové cenné papíry, které nesmí být odúčtovány z rozvahy instituce, která nevykazuje podle standardů IFRS.</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Emitované vlastní kryté dluhopisy a sekuritizace, jež dosud nebyly zastaveny</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Střední hodnota </w:t>
            </w:r>
            <w:r>
              <w:rPr>
                <w:rStyle w:val="InstructionsTabelleberschrift"/>
                <w:rFonts w:ascii="Times New Roman" w:hAnsi="Times New Roman"/>
                <w:b w:val="0"/>
                <w:sz w:val="24"/>
                <w:u w:val="none"/>
              </w:rPr>
              <w:t xml:space="preserve">emitovaných vlastních krytých dluhopisů a </w:t>
            </w:r>
            <w:proofErr w:type="spellStart"/>
            <w:r>
              <w:rPr>
                <w:rStyle w:val="InstructionsTabelleberschrift"/>
                <w:rFonts w:ascii="Times New Roman" w:hAnsi="Times New Roman"/>
                <w:b w:val="0"/>
                <w:sz w:val="24"/>
                <w:u w:val="none"/>
              </w:rPr>
              <w:t>sekuritizací</w:t>
            </w:r>
            <w:proofErr w:type="spellEnd"/>
            <w:r>
              <w:rPr>
                <w:rStyle w:val="InstructionsTabelleberschrift"/>
                <w:rFonts w:ascii="Times New Roman" w:hAnsi="Times New Roman"/>
                <w:b w:val="0"/>
                <w:sz w:val="24"/>
                <w:u w:val="none"/>
              </w:rPr>
              <w:t>, které si vykazující instituce ponechala a nejsou zatížené.</w:t>
            </w:r>
            <w:r>
              <w:rPr>
                <w:rStyle w:val="TeksttreciTimesNewRoman105ptOdstpy0pt"/>
                <w:rFonts w:eastAsiaTheme="minorEastAsia"/>
                <w:sz w:val="24"/>
              </w:rPr>
              <w:t xml:space="preserve"> Aby se zamezilo dvojímu započtení, použije se ve vztahu k vlastním emitovaným krytým dluhopisům a </w:t>
            </w:r>
            <w:proofErr w:type="spellStart"/>
            <w:r>
              <w:rPr>
                <w:rStyle w:val="TeksttreciTimesNewRoman105ptOdstpy0pt"/>
                <w:rFonts w:eastAsiaTheme="minorEastAsia"/>
                <w:sz w:val="24"/>
              </w:rPr>
              <w:t>sekuritizacím</w:t>
            </w:r>
            <w:proofErr w:type="spellEnd"/>
            <w:r>
              <w:rPr>
                <w:rStyle w:val="TeksttreciTimesNewRoman105ptOdstpy0pt"/>
                <w:rFonts w:eastAsiaTheme="minorEastAsia"/>
                <w:sz w:val="24"/>
              </w:rPr>
              <w:t xml:space="preserve">, které si </w:t>
            </w:r>
            <w:proofErr w:type="gramStart"/>
            <w:r>
              <w:rPr>
                <w:rStyle w:val="TeksttreciTimesNewRoman105ptOdstpy0pt"/>
                <w:rFonts w:eastAsiaTheme="minorEastAsia"/>
                <w:sz w:val="24"/>
              </w:rPr>
              <w:t>zpřístupňují</w:t>
            </w:r>
            <w:proofErr w:type="gramEnd"/>
            <w:r>
              <w:rPr>
                <w:rStyle w:val="TeksttreciTimesNewRoman105ptOdstpy0pt"/>
                <w:rFonts w:eastAsiaTheme="minorEastAsia"/>
                <w:sz w:val="24"/>
              </w:rPr>
              <w:t xml:space="preserve"> instituce </w:t>
            </w:r>
            <w:proofErr w:type="gramStart"/>
            <w:r>
              <w:rPr>
                <w:rStyle w:val="TeksttreciTimesNewRoman105ptOdstpy0pt"/>
                <w:rFonts w:eastAsiaTheme="minorEastAsia"/>
                <w:sz w:val="24"/>
              </w:rPr>
              <w:t>ponechala</w:t>
            </w:r>
            <w:proofErr w:type="gramEnd"/>
            <w:r>
              <w:rPr>
                <w:rStyle w:val="TeksttreciTimesNewRoman105ptOdstpy0pt"/>
                <w:rFonts w:eastAsiaTheme="minorEastAsia"/>
                <w:sz w:val="24"/>
              </w:rPr>
              <w:t>, toto pravidlo:</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jsou-li tyto cenné papíry zastaveny, hodnota krycího portfolia / podkladových aktiv, jež slouží k jejich zajištění, se uvede v šabloně EU AE1 jako zatížená aktiva. V případě zastavení vlastních krytých dluhopisů a </w:t>
            </w:r>
            <w:proofErr w:type="spellStart"/>
            <w:r>
              <w:rPr>
                <w:rStyle w:val="TeksttreciTimesNewRoman105ptOdstpy0pt"/>
                <w:rFonts w:eastAsia="Book Antiqua"/>
                <w:sz w:val="24"/>
                <w:szCs w:val="24"/>
              </w:rPr>
              <w:t>sekuritizací</w:t>
            </w:r>
            <w:proofErr w:type="spellEnd"/>
            <w:r>
              <w:rPr>
                <w:rStyle w:val="TeksttreciTimesNewRoman105ptOdstpy0pt"/>
                <w:rFonts w:eastAsia="Book Antiqua"/>
                <w:sz w:val="24"/>
                <w:szCs w:val="24"/>
              </w:rPr>
              <w:t xml:space="preserve"> je zdrojem financování nová transakce, při které se zastavují cenné papíry (financování centrální bankou nebo jiný typ zajištěného financování), a nikoli původní emise krytých dluhopisů nebo </w:t>
            </w:r>
            <w:proofErr w:type="spellStart"/>
            <w:r>
              <w:rPr>
                <w:rStyle w:val="TeksttreciTimesNewRoman105ptOdstpy0pt"/>
                <w:rFonts w:eastAsia="Book Antiqua"/>
                <w:sz w:val="24"/>
                <w:szCs w:val="24"/>
              </w:rPr>
              <w:t>sekuritizací</w:t>
            </w:r>
            <w:proofErr w:type="spellEnd"/>
            <w:r>
              <w:rPr>
                <w:rStyle w:val="TeksttreciTimesNewRoman105ptOdstpy0pt"/>
                <w:rFonts w:eastAsia="Book Antiqua"/>
                <w:sz w:val="24"/>
                <w:szCs w:val="24"/>
              </w:rPr>
              <w:t>.</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jestliže tyto cenné papíry nejsou dosud zastaveny, hodnota krycího portfolia / podkladových aktiv, jež slouží k zajištění těchto cenných papírů, se uvede v šabloně EU AE1 jako nezatížená aktiva.</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Přijatý kolaterál a emitované vlastní dluhové cenné papíry celkem</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Všechny třídy kolaterálu přijatého institucí a vlastní vydané dluhové cenné papíry, které si instituce ponechala a které nejsou vlastními vydanými krytými dluhopisy nebo vlastními vydanými </w:t>
            </w:r>
            <w:proofErr w:type="spellStart"/>
            <w:r>
              <w:rPr>
                <w:rStyle w:val="TeksttreciTimesNewRoman105ptOdstpy0pt"/>
                <w:rFonts w:eastAsia="Book Antiqua"/>
                <w:sz w:val="24"/>
                <w:szCs w:val="24"/>
              </w:rPr>
              <w:t>sekuritizacemi</w:t>
            </w:r>
            <w:proofErr w:type="spellEnd"/>
            <w:r>
              <w:rPr>
                <w:rStyle w:val="TeksttreciTimesNewRoman105ptOdstpy0pt"/>
                <w:rFonts w:eastAsia="Book Antiqua"/>
                <w:sz w:val="24"/>
                <w:szCs w:val="24"/>
              </w:rPr>
              <w:t>.</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Tento řádek je součtem středních hodnot v řádku 010 šablony EU AE1 a řádků 130 a 240 šablony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Reálná hodnota zatíženého přijatého kolaterálu nebo emitovaných vlastních dluhových cenných papírů</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Medián reálné hodnoty přijatého kolaterálu, včetně kolaterálu přijatého v rámci jakýchkoli transakcí s výpůjčkou cenných papírů, nebo emitovaných vlastních dluhových cenných papírů, které má instituce v držení nebo si je ponechala a které jsou zatížené v souladu s článkem 100 CRR.</w:t>
            </w:r>
          </w:p>
          <w:p w14:paraId="75605FD1" w14:textId="77777777" w:rsidR="00D312C4" w:rsidRPr="00253301" w:rsidRDefault="00D312C4" w:rsidP="00155C96">
            <w:pPr>
              <w:pStyle w:val="Fait"/>
              <w:spacing w:before="0" w:after="120"/>
            </w:pPr>
            <w:r>
              <w:rPr>
                <w:rStyle w:val="TeksttreciTimesNewRoman105ptOdstpy0pt"/>
                <w:sz w:val="24"/>
                <w:szCs w:val="24"/>
              </w:rPr>
              <w:t xml:space="preserve">Reálná hodnota finančního nástroje je cena, která by byla získána za prodej aktiva nebo zaplacena za převod závazku v řádné transakci mezi účastníky </w:t>
            </w:r>
            <w:r>
              <w:rPr>
                <w:rStyle w:val="TeksttreciTimesNewRoman105ptOdstpy0pt"/>
                <w:sz w:val="24"/>
                <w:szCs w:val="24"/>
              </w:rPr>
              <w:lastRenderedPageBreak/>
              <w:t>trhu v den ocenění (</w:t>
            </w:r>
            <w:r>
              <w:t>Viz IFRS 13 Ocenění reálnou hodnotou pro instituce IFRS).</w:t>
            </w:r>
            <w:r>
              <w:rPr>
                <w:rStyle w:val="TeksttreciTimesNewRoman105ptOdstpy0pt"/>
                <w:sz w:val="24"/>
                <w:szCs w:val="24"/>
              </w:rPr>
              <w:t xml:space="preserve"> U každé položky kolaterálu je uvedená reálná hodnota mediánem jednotlivých reálných hodnot na konci každého příslušného období zahrnutého do výpočtu mediánu.</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pomyslně způsobilá aktiva EHQLA a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Medián reálné hodnoty přijatého zatíženého kolaterálu, včetně kolaterálu přijatého v rámci jakýchkoli transakcí s výpůjčkou cenných papírů, nebo emitovaných vlastních dluhových cenných papírů, které má instituce v držení nebo si je ponechala, které jsou pomyslně způsobilé ke klasifikaci jako aktiva EHQLA a HQLA. Pro účely tohoto nařízení jsou pomyslně způsobilými zatíženými aktivy EHQLA a pomyslně způsobilými zatíženými aktivy HQLA položky přijatého kolaterálu nebo emitované vlastní dluhové cenné papíry, které má instituce v držení nebo si je ponechala, uvedené v článcích 10, 11, 12, 13, 15 a 16 nařízení Komise v přenesené pravomoci (EU) 2015/61, které by splňovaly obecné a provozní požadavky stanovené v článcích 7 a 8 nařízení Komise v přenesené pravomoci (EU) 2015/61, kdyby neměly status zatížených aktiv podle přílohy XVII prováděcího nařízení Komise (EU) 680/2014. Pomyslně způsobilá zatížená aktiva EHQLA a pomyslně způsobilá zatížená aktiva HQLA musí rovněž splňovat požadavky pro příslušnou kategorii expozice stanovené v článcích 10 až 16 a 35 až 37 nařízení Komise v přenesené pravomoci (EU) 2015/61. Reálná hodnota pomyslně způsobilých zatížených aktiv EHQLA a pomyslně způsobilých zatížených aktiv HQLA je reálná hodnota před uplatněním srážek při ocenění stanovených v článcích 10 až 16 nařízení Komise v přenesené pravomoci (EU) 2015/61.</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U každé položky kolaterálu je uvedená reálná hodnota mediánem jednotlivých reálných hodnot na konci každého příslušného období zahrnutého do výpočtu mediánu.</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Reálná hodnota zatížitelného přijatého kolaterálu nebo zatížitelných emitovaných vlastních dluhových cenných papírů</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Medián reálné hodnoty kolaterálu přijatého institucí, včetně kolaterálu přijatého v rámci jakýchkoli transakcí s výpůjčkou cenných papírů, který není zatížený, ale je zatížitelný, protože instituce je oprávněna kolaterál prodat nebo opětovně zastavit v případě, že nedojde k nesplnění závazku majitele kolaterálu. Zahrnuje také reálnou hodnotu emitovaných vlastních dluhových cenných papírů, které nejsou vlastními krytými dluhopisy nebo </w:t>
            </w:r>
            <w:proofErr w:type="spellStart"/>
            <w:r>
              <w:rPr>
                <w:rStyle w:val="TeksttreciTimesNewRoman105ptOdstpy0pt"/>
                <w:rFonts w:eastAsiaTheme="minorEastAsia"/>
                <w:sz w:val="24"/>
              </w:rPr>
              <w:t>sekuritizovanými</w:t>
            </w:r>
            <w:proofErr w:type="spellEnd"/>
            <w:r>
              <w:rPr>
                <w:rStyle w:val="TeksttreciTimesNewRoman105ptOdstpy0pt"/>
                <w:rFonts w:eastAsiaTheme="minorEastAsia"/>
                <w:sz w:val="24"/>
              </w:rPr>
              <w:t xml:space="preserve"> pozicemi a které nejsou zatížené, ale jsou zatížitelné. U každé položky kolaterálu je uvedená reálná hodnota mediánem jednotlivých reálných hodnot na konci každého příslušného období zahrnutého do výpočtu mediánu.</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 toho: EHQLA a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Medián reálné hodnoty nezatíženého přijatého kolaterálu nebo emitovaných vlastních dluhových cenných papírů, které má instituce v držení nebo si je ponechala a které nejsou zatížitelnými vlastními krytými dluhopisy ani </w:t>
            </w:r>
            <w:proofErr w:type="spellStart"/>
            <w:r>
              <w:rPr>
                <w:rStyle w:val="TeksttreciTimesNewRoman105ptOdstpy0pt"/>
                <w:rFonts w:eastAsiaTheme="minorEastAsia"/>
                <w:sz w:val="24"/>
              </w:rPr>
              <w:t>sekuritizovanými</w:t>
            </w:r>
            <w:proofErr w:type="spellEnd"/>
            <w:r>
              <w:rPr>
                <w:rStyle w:val="TeksttreciTimesNewRoman105ptOdstpy0pt"/>
                <w:rFonts w:eastAsiaTheme="minorEastAsia"/>
                <w:sz w:val="24"/>
              </w:rPr>
              <w:t xml:space="preserve"> pozicemi, které se kvalifikují jako aktiva </w:t>
            </w:r>
            <w:r>
              <w:rPr>
                <w:rStyle w:val="TeksttreciTimesNewRoman105ptOdstpy0pt"/>
                <w:rFonts w:eastAsiaTheme="minorEastAsia"/>
                <w:sz w:val="24"/>
              </w:rPr>
              <w:lastRenderedPageBreak/>
              <w:t xml:space="preserve">EHQLA a HQLA uvedená v článcích 10, 11, 12, 13, 15 a 16 nařízení Komise v přenesené pravomoci (EU) 2015/61 a splňují obecné a provozní požadavky stanovené v článcích 7 a 8 nařízení Komise v přenesené pravomoci (EU) 2015/61, jakož i požadavky pro příslušnou kategorii expozice stanovené v článcích 10 až 16 a 35 až 37 nařízení Komise v přenesené pravomoci (EU) 2015/61. Reálná hodnota aktiv EHQLA a HQLA je reálná hodnota před uplatněním srážek při ocenění stanovených v článcích 10 až 16 nařízení Komise v přenesené pravomoci (EU) 2015/61.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Šablona EU AE3 – Zdroje zatížení</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Instituce vyplní šablonu EU AE3, která je obsažena v příloze XXXV tohoto prováděcího nařízení, podle níže uvedených pokynů.</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Vysvětlení</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Účetní hodnota vybraných finančních závazků</w:t>
            </w:r>
          </w:p>
          <w:p w14:paraId="1EC7B62A" w14:textId="58DAD3DD" w:rsidR="00D312C4" w:rsidRPr="00253301" w:rsidRDefault="00D312C4" w:rsidP="0063188F">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Střední hodnota položky „Účetní hodnota vybraných finančních závazků“ instituce, pokud tyto závazky znamenají zatížení aktiv této instituce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Odpovídající závazky, podmíněné závazky nebo zapůjčené cenné papíry</w:t>
            </w:r>
          </w:p>
          <w:p w14:paraId="64DB2DA1" w14:textId="7F76AD28"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Střední hodnota odpovídajících závazků, podmíněných závazků (přijaté úvěrové přísliby a přijaté finanční záruky) nebo poskytnutých půjček cenných papírů zajištěných nehotovostním kolaterálem, pokud tyto transakce znamenají zatížení aktiv této instituce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Finanční závazky se uvádějí v účetní hodnotě, podmíněné závazky se uvádějí v nominální hodnotě a poskytnuté půjčky cenných papírů s nehotovostním kolaterálem v reálných hodnotách.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Uváděnou reálnou hodnotou je medián jednotlivých reálných hodnot na konci každého období zahrnutého do výpočtu mediánu.</w:t>
            </w:r>
          </w:p>
          <w:p w14:paraId="52DDBB79" w14:textId="77777777" w:rsidR="00D312C4" w:rsidRPr="007F4CC8" w:rsidRDefault="00D312C4" w:rsidP="00155C96">
            <w:pPr>
              <w:pStyle w:val="Fait"/>
              <w:spacing w:before="0" w:after="120"/>
            </w:pPr>
            <w:r>
              <w:rPr>
                <w:rStyle w:val="TeksttreciTimesNewRoman105ptOdstpy0pt"/>
              </w:rPr>
              <w:t>Patří sem závazky bez souvisejícího financování, např. deriváty.</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Zatížená aktiva, přijatý kolaterál a emitované vlastní cenné papíry jiné než kryté dluhopisy a sekuritizace</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Částka aktiv, přijatého kolaterálu a emitovaných vlastních cenných papírů jiných, než jsou kryté dluhopisy a sekuritizace, zatížených v důsledku různých druhů zde vykázaných transakcí.</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lastRenderedPageBreak/>
              <w:t>Aby byla zajištěna jednotnost s kritérii použitými v šablonách EU AE1 a EU AE2, uvádějí se aktiva instituce vykázaná v rozvaze v mediánové hodnotě jejich účetní hodnoty, zatímco přijatý a opětovně použitý kolaterál a zatížené emitované vlastní cenné papíry jiné než kryté dluhopisy a sekuritizace se uvedou v mediánové hodnotě jejich reálné hodnoty. Uváděnou reálnou hodnotou je medián jednotlivých reálných hodnot na konci každého období zahrnutého do výpočtu mediánu.</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Patří sem také zatížená aktiva bez odpovídajících závazků.</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Tabulka EU AE4 – Průvodní komentář</w:t>
      </w:r>
    </w:p>
    <w:p w14:paraId="1C63A1CC" w14:textId="346D1BF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 xml:space="preserve">Instituce vyplní tabulku </w:t>
      </w:r>
      <w:r w:rsidR="00CC4769">
        <w:rPr>
          <w:sz w:val="24"/>
          <w:szCs w:val="24"/>
        </w:rPr>
        <w:t xml:space="preserve">EU </w:t>
      </w:r>
      <w:r>
        <w:rPr>
          <w:sz w:val="24"/>
          <w:szCs w:val="24"/>
        </w:rPr>
        <w:t>AE4, která je obsažena v příloze XXXV tohoto prováděcího nařízení, podle níže uvedených pokynů.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Odkazy na právní předpisy a pokyny</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Obecné popisné informace o zatížení aktiv, včetně:</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vysvětlení případného rozdílu mezi regulačním rozsahem konsolidace použitým pro účely zveřejnění informací o zatížení aktiv a rozsahem pro použití požadavků na likviditu na konsolidovaném základě, jak je definován v části druhé hlavě I kapitole 2 CRR, který se používá k definici způsobilosti jako aktiva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vysvětlení případného rozdílu mezi aktivy zastavenými a převedenými v souladu s platnými účetními rámci, jak je instituce používá, na jedné straně a zatíženými aktivy na straně druhé a nastínění případných rozdílů v přístupu k transakcím, například když se má za to, že transakce povede k zastavení nebo převodu aktiv, ale nikoli k zatížení aktiv, a naopak;</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hodnoty expozice použité pro účely zveřejnění a jak jsou odvozeny průměrné hodnoty expozice.</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Informace popisující dopad obchodního modelu instituce na její úroveň zatížení a význam zatížení aktiv pro model financování instituce, včetně těchto informací:</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hlavních zdrojů a typů zatížení, v případě potřeby s detailním popisem zatížení v důsledku významných aktivit s deriváty, půjčováním cenných papírů, </w:t>
            </w:r>
            <w:proofErr w:type="spellStart"/>
            <w:r>
              <w:rPr>
                <w:sz w:val="24"/>
                <w:szCs w:val="24"/>
              </w:rPr>
              <w:t>repy</w:t>
            </w:r>
            <w:proofErr w:type="spellEnd"/>
            <w:r>
              <w:rPr>
                <w:sz w:val="24"/>
                <w:szCs w:val="24"/>
              </w:rPr>
              <w:t>, emisemi krytých dluhopisů a </w:t>
            </w:r>
            <w:proofErr w:type="spellStart"/>
            <w:r>
              <w:rPr>
                <w:sz w:val="24"/>
                <w:szCs w:val="24"/>
              </w:rPr>
              <w:t>sekuritizací</w:t>
            </w:r>
            <w:proofErr w:type="spellEnd"/>
            <w:r>
              <w:rPr>
                <w:sz w:val="24"/>
                <w:szCs w:val="24"/>
              </w:rPr>
              <w:t>;</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struktury zatížení mezi subjekty v rámci skupiny a především zda úroveň zatížení konsolidované skupiny pochází od konkrétních subjektů a zda dochází </w:t>
            </w:r>
            <w:r>
              <w:rPr>
                <w:sz w:val="24"/>
                <w:szCs w:val="24"/>
              </w:rPr>
              <w:lastRenderedPageBreak/>
              <w:t>k významnému zatížení uvnitř skupiny;</w:t>
            </w:r>
          </w:p>
          <w:p w14:paraId="3973EE9F" w14:textId="1C9736B4"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informací o celkovém </w:t>
            </w:r>
            <w:proofErr w:type="spellStart"/>
            <w:r>
              <w:rPr>
                <w:sz w:val="24"/>
                <w:szCs w:val="24"/>
              </w:rPr>
              <w:t>přezajištění</w:t>
            </w:r>
            <w:proofErr w:type="spellEnd"/>
            <w:r>
              <w:rPr>
                <w:sz w:val="24"/>
                <w:szCs w:val="24"/>
              </w:rPr>
              <w:t>, především co se týče krytých dluhopisů a </w:t>
            </w:r>
            <w:proofErr w:type="spellStart"/>
            <w:r>
              <w:rPr>
                <w:sz w:val="24"/>
                <w:szCs w:val="24"/>
              </w:rPr>
              <w:t>sekuritizací</w:t>
            </w:r>
            <w:proofErr w:type="spellEnd"/>
            <w:r>
              <w:rPr>
                <w:sz w:val="24"/>
                <w:szCs w:val="24"/>
              </w:rPr>
              <w:t xml:space="preserve">, a o dopadu </w:t>
            </w:r>
            <w:proofErr w:type="spellStart"/>
            <w:r>
              <w:rPr>
                <w:sz w:val="24"/>
                <w:szCs w:val="24"/>
              </w:rPr>
              <w:t>přezajištění</w:t>
            </w:r>
            <w:proofErr w:type="spellEnd"/>
            <w:r>
              <w:rPr>
                <w:sz w:val="24"/>
                <w:szCs w:val="24"/>
              </w:rPr>
              <w:t xml:space="preserve"> na úrovně zatížení</w:t>
            </w:r>
            <w:r w:rsidR="00901578">
              <w:rPr>
                <w:sz w:val="24"/>
                <w:szCs w:val="24"/>
              </w:rPr>
              <w:t>;</w:t>
            </w:r>
          </w:p>
          <w:p w14:paraId="2F962DA4" w14:textId="268CC662"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dalších informací o zatížení aktiv, kolaterálu a podrozvahových položek a o zdrojích zatížení podle významných měn jiných, než je vykazovací měna, jak je uvedeno v čl. 415 odst. 2 CRR</w:t>
            </w:r>
            <w:r w:rsidR="00901578">
              <w:rPr>
                <w:sz w:val="24"/>
                <w:szCs w:val="24"/>
              </w:rPr>
              <w:t>;</w:t>
            </w:r>
          </w:p>
          <w:p w14:paraId="2F61CB4A" w14:textId="3F1D3BC9"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obecného popisu poměrného podílu položek uvedených ve sloupci 060 „účetní hodnota nezatížených aktiv“ v šabloně EU AE1, které by instituce při svém běžném podnikání nepovažovala za zatížitelné (např. nehmotná aktiva, včetně goodwill, odložené daňové pohledávky, pozemky, budovy a jiná dlouhodobá aktiva, derivátová aktiva, reverzní </w:t>
            </w:r>
            <w:proofErr w:type="spellStart"/>
            <w:r>
              <w:rPr>
                <w:sz w:val="24"/>
                <w:szCs w:val="24"/>
              </w:rPr>
              <w:t>repa</w:t>
            </w:r>
            <w:proofErr w:type="spellEnd"/>
            <w:r>
              <w:rPr>
                <w:sz w:val="24"/>
                <w:szCs w:val="24"/>
              </w:rPr>
              <w:t xml:space="preserve"> a pohledávky z výpůjčky akcií)</w:t>
            </w:r>
            <w:r w:rsidR="00901578">
              <w:rPr>
                <w:sz w:val="24"/>
                <w:szCs w:val="24"/>
              </w:rPr>
              <w:t>;</w:t>
            </w:r>
          </w:p>
          <w:p w14:paraId="55C0A023" w14:textId="49C954E8"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částky podkladových aktiv a aktiv krycího portfolia ponechaných </w:t>
            </w:r>
            <w:proofErr w:type="spellStart"/>
            <w:r>
              <w:rPr>
                <w:sz w:val="24"/>
                <w:szCs w:val="24"/>
              </w:rPr>
              <w:t>sekuritizací</w:t>
            </w:r>
            <w:proofErr w:type="spellEnd"/>
            <w:r>
              <w:rPr>
                <w:sz w:val="24"/>
                <w:szCs w:val="24"/>
              </w:rPr>
              <w:t xml:space="preserve"> a ponechaných krytých </w:t>
            </w:r>
            <w:proofErr w:type="gramStart"/>
            <w:r>
              <w:rPr>
                <w:sz w:val="24"/>
                <w:szCs w:val="24"/>
              </w:rPr>
              <w:t>dluhopisů a zda</w:t>
            </w:r>
            <w:proofErr w:type="gramEnd"/>
            <w:r>
              <w:rPr>
                <w:sz w:val="24"/>
                <w:szCs w:val="24"/>
              </w:rPr>
              <w:t xml:space="preserve"> jsou tato podkladová aktiva a aktiva krycího portfolia zatížené nebo nezatížené, spolu s částkou souvisejících ponechaných </w:t>
            </w:r>
            <w:proofErr w:type="spellStart"/>
            <w:r>
              <w:rPr>
                <w:sz w:val="24"/>
                <w:szCs w:val="24"/>
              </w:rPr>
              <w:t>sekuritizací</w:t>
            </w:r>
            <w:proofErr w:type="spellEnd"/>
            <w:r>
              <w:rPr>
                <w:sz w:val="24"/>
                <w:szCs w:val="24"/>
              </w:rPr>
              <w:t> a ponechaných krytých dluhopisů</w:t>
            </w:r>
            <w:r w:rsidR="00901578">
              <w:rPr>
                <w:sz w:val="24"/>
                <w:szCs w:val="24"/>
              </w:rPr>
              <w:t>;</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je-li to relevantní pro vysvětlení dopadu jejich obchodního modelu na míru zatížení, podrobnosti (případně včetně kvantitativních informací) ke každé z těchto položek:</w:t>
            </w:r>
          </w:p>
          <w:p w14:paraId="0AAB10E0" w14:textId="6F65052F"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druhy a částky zatížených a nezatížených aktiv uvedených v řádku 120 šablony EU AE1</w:t>
            </w:r>
            <w:r w:rsidR="00901578">
              <w:rPr>
                <w:sz w:val="24"/>
                <w:szCs w:val="24"/>
              </w:rPr>
              <w:t>;</w:t>
            </w:r>
          </w:p>
          <w:p w14:paraId="5FB30809" w14:textId="2F3F9FDF"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částky a druhy zatížených aktiv a podrozvahových položek uvedených v řádku 010 šablony EU AE3, které nejsou spojeny s žádnými závazky</w:t>
            </w:r>
            <w:r w:rsidR="00901578">
              <w:rPr>
                <w:sz w:val="24"/>
                <w:szCs w:val="24"/>
              </w:rPr>
              <w:t>;</w:t>
            </w:r>
          </w:p>
          <w:p w14:paraId="724836FB" w14:textId="617C7270"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rStyle w:val="TeksttreciTimesNewRoman105ptOdstpy0pt"/>
                <w:sz w:val="24"/>
                <w:szCs w:val="24"/>
              </w:rPr>
              <w:t xml:space="preserve">je-li to relevantní v souvislosti s používáním zatížení ve vztahu k jejich obchodnímu modelu, další informace o členění těchto řádků v šablonách EU AE1, EU AE2 a EU AE3: </w:t>
            </w:r>
          </w:p>
          <w:p w14:paraId="577222BC" w14:textId="60084839"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Řádek 120 šablony EU AE1 – „Ostatní aktiva“</w:t>
            </w:r>
            <w:r w:rsidR="00901578">
              <w:rPr>
                <w:rStyle w:val="TeksttreciTimesNewRoman105ptOdstpy0pt"/>
                <w:sz w:val="24"/>
                <w:szCs w:val="24"/>
              </w:rPr>
              <w:t>;</w:t>
            </w:r>
          </w:p>
          <w:p w14:paraId="50AB6156" w14:textId="3F6EEF24"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Řádek 230 šablony EU AE2 „Ostatní přijatý kolaterál“</w:t>
            </w:r>
            <w:r w:rsidR="00901578">
              <w:rPr>
                <w:rStyle w:val="TeksttreciTimesNewRoman105ptOdstpy0pt"/>
                <w:sz w:val="24"/>
                <w:szCs w:val="24"/>
              </w:rPr>
              <w:t>;</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Řádek 010 šablony EU AE3 – „Účetní hodnota vybraných finančních závazků“ (zejména pokud je část zatížení aktiv spojena se závazky a jiná část nikoli).</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5870FD" w:rsidRDefault="005870FD" w:rsidP="00A00E34">
      <w:r>
        <w:separator/>
      </w:r>
    </w:p>
    <w:p w14:paraId="09D91489" w14:textId="77777777" w:rsidR="005870FD" w:rsidRDefault="005870FD"/>
  </w:endnote>
  <w:endnote w:type="continuationSeparator" w:id="0">
    <w:p w14:paraId="51EB50DE" w14:textId="77777777" w:rsidR="005870FD" w:rsidRDefault="005870FD" w:rsidP="00A00E34">
      <w:r>
        <w:continuationSeparator/>
      </w:r>
    </w:p>
    <w:p w14:paraId="4B8A26D8" w14:textId="77777777" w:rsidR="005870FD" w:rsidRDefault="005870FD"/>
  </w:endnote>
  <w:endnote w:type="continuationNotice" w:id="1">
    <w:p w14:paraId="59DA252B" w14:textId="77777777" w:rsidR="005870FD" w:rsidRDefault="00587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5870FD" w:rsidRDefault="005870F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5870FD" w:rsidRDefault="005870F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34DDBD3F" w:rsidR="005870FD" w:rsidRDefault="005870F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65E0">
      <w:rPr>
        <w:rStyle w:val="PageNumber"/>
        <w:noProof/>
      </w:rPr>
      <w:t>12</w:t>
    </w:r>
    <w:r>
      <w:rPr>
        <w:rStyle w:val="PageNumber"/>
      </w:rPr>
      <w:fldChar w:fldCharType="end"/>
    </w:r>
  </w:p>
  <w:p w14:paraId="1ADEF20C" w14:textId="2F6876BD" w:rsidR="005870FD" w:rsidRDefault="005870FD" w:rsidP="00155C96">
    <w:pPr>
      <w:pStyle w:val="Footer"/>
      <w:tabs>
        <w:tab w:val="clear" w:pos="4320"/>
        <w:tab w:val="clear" w:pos="8640"/>
        <w:tab w:val="left" w:pos="1093"/>
      </w:tabs>
      <w:ind w:right="360"/>
    </w:pPr>
    <w:r>
      <w:rPr>
        <w:noProof/>
        <w:lang w:eastAsia="cs-CZ"/>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5870FD" w:rsidRDefault="00587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5870FD" w:rsidRPr="00DB5E8F" w:rsidRDefault="005870FD">
      <w:pPr>
        <w:rPr>
          <w:sz w:val="12"/>
          <w:szCs w:val="12"/>
        </w:rPr>
      </w:pPr>
      <w:r w:rsidRPr="00DB5E8F">
        <w:rPr>
          <w:sz w:val="12"/>
          <w:szCs w:val="12"/>
        </w:rPr>
        <w:separator/>
      </w:r>
    </w:p>
  </w:footnote>
  <w:footnote w:type="continuationSeparator" w:id="0">
    <w:p w14:paraId="7486523A" w14:textId="77777777" w:rsidR="005870FD" w:rsidRDefault="005870FD" w:rsidP="00A00E34">
      <w:r>
        <w:continuationSeparator/>
      </w:r>
    </w:p>
    <w:p w14:paraId="600D8191" w14:textId="77777777" w:rsidR="005870FD" w:rsidRDefault="005870FD"/>
  </w:footnote>
  <w:footnote w:type="continuationNotice" w:id="1">
    <w:p w14:paraId="3AC4A386" w14:textId="77777777" w:rsidR="005870FD" w:rsidRDefault="005870FD"/>
  </w:footnote>
  <w:footnote w:id="2">
    <w:p w14:paraId="262BD994" w14:textId="124858B9" w:rsidR="005870FD" w:rsidRPr="00346640" w:rsidRDefault="005870FD" w:rsidP="00BB5993">
      <w:pPr>
        <w:pStyle w:val="FootnoteText"/>
        <w:rPr>
          <w:rFonts w:eastAsia="Calibri"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color w:val="800080"/>
          <w:u w:val="single"/>
        </w:rPr>
        <w:t>Úř</w:t>
      </w:r>
      <w:proofErr w:type="spellEnd"/>
      <w:r>
        <w:rPr>
          <w:color w:val="800080"/>
          <w:u w:val="single"/>
        </w:rPr>
        <w:t xml:space="preserve">. </w:t>
      </w:r>
      <w:proofErr w:type="spellStart"/>
      <w:proofErr w:type="gramStart"/>
      <w:r>
        <w:rPr>
          <w:color w:val="800080"/>
          <w:u w:val="single"/>
        </w:rPr>
        <w:t>věst</w:t>
      </w:r>
      <w:proofErr w:type="spellEnd"/>
      <w:proofErr w:type="gramEnd"/>
      <w:r>
        <w:rPr>
          <w:color w:val="800080"/>
          <w:u w:val="single"/>
        </w:rPr>
        <w:t xml:space="preserve">. L 176, </w:t>
      </w:r>
      <w:proofErr w:type="gramStart"/>
      <w:r>
        <w:rPr>
          <w:color w:val="800080"/>
          <w:u w:val="single"/>
        </w:rPr>
        <w:t>27.6.2013</w:t>
      </w:r>
      <w:proofErr w:type="gramEnd"/>
      <w:r>
        <w:rPr>
          <w:color w:val="800080"/>
          <w:u w:val="single"/>
        </w:rPr>
        <w:t>, s. 1</w:t>
      </w:r>
      <w:r>
        <w:rPr>
          <w:color w:val="800080"/>
          <w:u w:val="single"/>
        </w:rPr>
        <w:fldChar w:fldCharType="end"/>
      </w:r>
      <w:r>
        <w:t>).</w:t>
      </w:r>
    </w:p>
  </w:footnote>
  <w:footnote w:id="3">
    <w:p w14:paraId="65DAF6E3" w14:textId="5241BF60" w:rsidR="005870FD" w:rsidRPr="00222AAB" w:rsidRDefault="005870FD" w:rsidP="00BB5993">
      <w:pPr>
        <w:pStyle w:val="FootnoteText"/>
        <w:rPr>
          <w:rFonts w:cstheme="minorHAnsi"/>
        </w:rPr>
      </w:pPr>
      <w:r>
        <w:rPr>
          <w:rStyle w:val="FootnoteReference"/>
          <w:rFonts w:cstheme="minorHAnsi"/>
          <w:sz w:val="18"/>
        </w:rPr>
        <w:footnoteRef/>
      </w:r>
      <w:r>
        <w:t xml:space="preserve"> Revidované obecné pokyny Evropského orgánu pro bankovnictví ke společným postupům a metodikám procesu přezkumu a vyhodnocení a zátěžového testování v rámci dohledu ze dne 19. července 2018 (EBA/GL/2018/03).</w:t>
      </w:r>
    </w:p>
  </w:footnote>
  <w:footnote w:id="4">
    <w:p w14:paraId="6EEE1EF0" w14:textId="468CF1D3" w:rsidR="005870FD" w:rsidRPr="00222AAB" w:rsidRDefault="005870FD" w:rsidP="00BB5993">
      <w:pPr>
        <w:pStyle w:val="FootnoteText"/>
        <w:rPr>
          <w:rFonts w:cstheme="minorHAnsi"/>
        </w:rPr>
      </w:pPr>
      <w:r>
        <w:rPr>
          <w:rStyle w:val="FootnoteReference"/>
          <w:rFonts w:cstheme="minorHAnsi"/>
          <w:sz w:val="18"/>
        </w:rPr>
        <w:footnoteRef/>
      </w:r>
      <w:r>
        <w:t xml:space="preserve"> Nařízení Komise v přenesené pravomoci (EU) 2015/61 ze dne 10. října 2014, kterým se doplňuje nařízení Evropského parlamentu a Rady (EU) č. 575/2013, pokud jde o požadavek na úvěrové instituce týkající se krytí likvidity (</w:t>
      </w:r>
      <w:proofErr w:type="spellStart"/>
      <w:r>
        <w:t>Úř</w:t>
      </w:r>
      <w:proofErr w:type="spellEnd"/>
      <w:r>
        <w:t xml:space="preserve">. </w:t>
      </w:r>
      <w:proofErr w:type="spellStart"/>
      <w:proofErr w:type="gramStart"/>
      <w:r>
        <w:t>věst</w:t>
      </w:r>
      <w:proofErr w:type="spellEnd"/>
      <w:proofErr w:type="gramEnd"/>
      <w:r>
        <w:t xml:space="preserve">. L 11, </w:t>
      </w:r>
      <w:proofErr w:type="gramStart"/>
      <w:r>
        <w:t>17.1.2015</w:t>
      </w:r>
      <w:proofErr w:type="gramEnd"/>
      <w:r>
        <w:t>, s. 1).</w:t>
      </w:r>
    </w:p>
  </w:footnote>
  <w:footnote w:id="5">
    <w:p w14:paraId="2A17ED68" w14:textId="5745B56A" w:rsidR="005870FD" w:rsidRPr="00222AAB" w:rsidRDefault="005870FD" w:rsidP="00BB5993">
      <w:pPr>
        <w:pStyle w:val="FootnoteText"/>
        <w:rPr>
          <w:rFonts w:cstheme="minorHAnsi"/>
        </w:rPr>
      </w:pPr>
      <w:r>
        <w:rPr>
          <w:rStyle w:val="FootnoteReference"/>
          <w:rFonts w:cstheme="minorHAnsi"/>
          <w:sz w:val="18"/>
        </w:rPr>
        <w:footnoteRef/>
      </w:r>
      <w:r>
        <w:t xml:space="preserve"> Směrnice Evropského parlamentu a Rady 2002/87/ES ze dne 16. prosince 2002 o doplňkovém dozoru nad úvěrovými institucemi, pojišťovnami a investičními podniky ve finančním konglomerátu a o změně směrnice Rady 73/239/EHS, 79/267/EHS, 92/49/EHS, 92/96/EHS, 93/6/EHS a 93/22/EHS a směrnice Evropského parlamentu a Rady 98/78/ES a 2000/12/ES (</w:t>
      </w:r>
      <w:proofErr w:type="spellStart"/>
      <w:r>
        <w:t>Úř</w:t>
      </w:r>
      <w:proofErr w:type="spellEnd"/>
      <w:r>
        <w:t xml:space="preserve">. </w:t>
      </w:r>
      <w:proofErr w:type="spellStart"/>
      <w:proofErr w:type="gramStart"/>
      <w:r>
        <w:t>věst</w:t>
      </w:r>
      <w:proofErr w:type="spellEnd"/>
      <w:proofErr w:type="gramEnd"/>
      <w:r>
        <w:t xml:space="preserve">. L 35, </w:t>
      </w:r>
      <w:proofErr w:type="gramStart"/>
      <w:r>
        <w:t>11.2.2003</w:t>
      </w:r>
      <w:proofErr w:type="gramEnd"/>
      <w:r>
        <w:t>, s. 1).</w:t>
      </w:r>
    </w:p>
  </w:footnote>
  <w:footnote w:id="6">
    <w:p w14:paraId="0F97224E" w14:textId="729DACC0" w:rsidR="005870FD" w:rsidRPr="00346640" w:rsidRDefault="005870FD" w:rsidP="00BB5993">
      <w:pPr>
        <w:pStyle w:val="FootnoteText"/>
        <w:rPr>
          <w:rFonts w:eastAsia="Calibri"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color w:val="800080"/>
          <w:u w:val="single"/>
        </w:rPr>
        <w:t>Úř</w:t>
      </w:r>
      <w:proofErr w:type="spellEnd"/>
      <w:r>
        <w:rPr>
          <w:color w:val="800080"/>
          <w:u w:val="single"/>
        </w:rPr>
        <w:t xml:space="preserve">. </w:t>
      </w:r>
      <w:proofErr w:type="spellStart"/>
      <w:proofErr w:type="gramStart"/>
      <w:r>
        <w:rPr>
          <w:color w:val="800080"/>
          <w:u w:val="single"/>
        </w:rPr>
        <w:t>věst</w:t>
      </w:r>
      <w:proofErr w:type="spellEnd"/>
      <w:proofErr w:type="gramEnd"/>
      <w:r>
        <w:rPr>
          <w:color w:val="800080"/>
          <w:u w:val="single"/>
        </w:rPr>
        <w:t xml:space="preserve">. L 176, </w:t>
      </w:r>
      <w:proofErr w:type="gramStart"/>
      <w:r>
        <w:rPr>
          <w:color w:val="800080"/>
          <w:u w:val="single"/>
        </w:rPr>
        <w:t>27.6.2013</w:t>
      </w:r>
      <w:proofErr w:type="gramEnd"/>
      <w:r>
        <w:rPr>
          <w:color w:val="800080"/>
          <w:u w:val="single"/>
        </w:rPr>
        <w:t>, s. 1</w:t>
      </w:r>
      <w:r>
        <w:rPr>
          <w:color w:val="800080"/>
          <w:u w:val="single"/>
        </w:rPr>
        <w:fldChar w:fldCharType="end"/>
      </w:r>
      <w:r>
        <w:t>).</w:t>
      </w:r>
    </w:p>
  </w:footnote>
  <w:footnote w:id="7">
    <w:p w14:paraId="340BC0CF" w14:textId="64A6735B" w:rsidR="005870FD" w:rsidRPr="00222AAB" w:rsidRDefault="005870FD" w:rsidP="00BB5993">
      <w:pPr>
        <w:pStyle w:val="FootnoteText"/>
        <w:rPr>
          <w:rFonts w:cstheme="minorHAnsi"/>
        </w:rPr>
      </w:pPr>
      <w:r>
        <w:rPr>
          <w:rStyle w:val="FootnoteReference"/>
          <w:rFonts w:cstheme="minorHAnsi"/>
          <w:sz w:val="18"/>
        </w:rPr>
        <w:footnoteRef/>
      </w:r>
      <w:r>
        <w:t xml:space="preserve"> SMĚRNICE EVROPSKÉHO PARLAMENTU A RADY 2013/36/EU ze dne 26. června 2013 o přístupu k činnosti úvěrových institucí a o obezřetnostním dohledu nad úvěrovými institucemi a investičními podniky, o změně směrnice 2002/87/ES a zrušení směrnic 2006/48/ES a 2006/49/ES (</w:t>
      </w:r>
      <w:proofErr w:type="spellStart"/>
      <w:r>
        <w:t>Úř</w:t>
      </w:r>
      <w:proofErr w:type="spellEnd"/>
      <w:r>
        <w:t xml:space="preserve">. </w:t>
      </w:r>
      <w:proofErr w:type="spellStart"/>
      <w:proofErr w:type="gramStart"/>
      <w:r>
        <w:t>věst</w:t>
      </w:r>
      <w:proofErr w:type="spellEnd"/>
      <w:proofErr w:type="gramEnd"/>
      <w:r>
        <w:t xml:space="preserve">. L 176, </w:t>
      </w:r>
      <w:proofErr w:type="gramStart"/>
      <w:r>
        <w:t>27.6.2013</w:t>
      </w:r>
      <w:proofErr w:type="gramEnd"/>
      <w:r>
        <w:t>, s. 338).</w:t>
      </w:r>
    </w:p>
  </w:footnote>
  <w:footnote w:id="8">
    <w:p w14:paraId="1BE208BA" w14:textId="7F79ECB4" w:rsidR="005870FD" w:rsidRPr="00346640" w:rsidRDefault="005870FD" w:rsidP="00BB5993">
      <w:pPr>
        <w:pStyle w:val="FootnoteText"/>
        <w:rPr>
          <w:rFonts w:eastAsia="Calibri" w:cstheme="minorHAnsi"/>
        </w:rPr>
      </w:pPr>
      <w:r>
        <w:rPr>
          <w:rStyle w:val="FootnoteReference"/>
          <w:rFonts w:cstheme="minorHAnsi"/>
          <w:sz w:val="18"/>
          <w:lang w:val="en-GB"/>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color w:val="800080"/>
          <w:u w:val="single"/>
        </w:rPr>
        <w:t>Úř</w:t>
      </w:r>
      <w:proofErr w:type="spellEnd"/>
      <w:r>
        <w:rPr>
          <w:color w:val="800080"/>
          <w:u w:val="single"/>
        </w:rPr>
        <w:t xml:space="preserve">. </w:t>
      </w:r>
      <w:proofErr w:type="spellStart"/>
      <w:proofErr w:type="gramStart"/>
      <w:r>
        <w:rPr>
          <w:color w:val="800080"/>
          <w:u w:val="single"/>
        </w:rPr>
        <w:t>věst</w:t>
      </w:r>
      <w:proofErr w:type="spellEnd"/>
      <w:proofErr w:type="gramEnd"/>
      <w:r>
        <w:rPr>
          <w:color w:val="800080"/>
          <w:u w:val="single"/>
        </w:rPr>
        <w:t xml:space="preserve">. L 176, </w:t>
      </w:r>
      <w:proofErr w:type="gramStart"/>
      <w:r>
        <w:rPr>
          <w:color w:val="800080"/>
          <w:u w:val="single"/>
        </w:rPr>
        <w:t>27.6.2013</w:t>
      </w:r>
      <w:proofErr w:type="gramEnd"/>
      <w:r>
        <w:rPr>
          <w:color w:val="800080"/>
          <w:u w:val="single"/>
        </w:rPr>
        <w:t>, s. 1</w:t>
      </w:r>
      <w:r>
        <w:rPr>
          <w:color w:val="800080"/>
          <w:u w:val="single"/>
        </w:rPr>
        <w:fldChar w:fldCharType="end"/>
      </w:r>
      <w:r>
        <w:t>).</w:t>
      </w:r>
    </w:p>
  </w:footnote>
  <w:footnote w:id="9">
    <w:p w14:paraId="49757893" w14:textId="037AB167" w:rsidR="005870FD" w:rsidRPr="00BB5993" w:rsidRDefault="005870FD" w:rsidP="00BB5993">
      <w:pPr>
        <w:pStyle w:val="FootnoteText"/>
        <w:rPr>
          <w:rFonts w:cstheme="minorHAnsi"/>
        </w:rPr>
      </w:pPr>
      <w:r>
        <w:rPr>
          <w:rStyle w:val="FootnoteReference"/>
          <w:rFonts w:cstheme="minorHAnsi"/>
          <w:sz w:val="18"/>
        </w:rPr>
        <w:footnoteRef/>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roofErr w:type="spellStart"/>
      <w:r>
        <w:t>Úř</w:t>
      </w:r>
      <w:proofErr w:type="spellEnd"/>
      <w:r>
        <w:t xml:space="preserve">. </w:t>
      </w:r>
      <w:proofErr w:type="spellStart"/>
      <w:proofErr w:type="gramStart"/>
      <w:r>
        <w:t>věst</w:t>
      </w:r>
      <w:proofErr w:type="spellEnd"/>
      <w:proofErr w:type="gramEnd"/>
      <w:r>
        <w:t xml:space="preserve">. L 182, </w:t>
      </w:r>
      <w:proofErr w:type="gramStart"/>
      <w:r>
        <w:t>29.6.2013</w:t>
      </w:r>
      <w:proofErr w:type="gramEnd"/>
      <w:r>
        <w:t>, s. 19).</w:t>
      </w:r>
    </w:p>
  </w:footnote>
  <w:footnote w:id="10">
    <w:p w14:paraId="3A9F714D" w14:textId="14F46136" w:rsidR="005870FD" w:rsidRPr="00222AAB" w:rsidRDefault="005870FD">
      <w:pPr>
        <w:pStyle w:val="FootnoteText"/>
        <w:rPr>
          <w:rFonts w:cstheme="minorHAnsi"/>
        </w:rPr>
      </w:pPr>
      <w:r>
        <w:rPr>
          <w:rStyle w:val="FootnoteReference"/>
          <w:rFonts w:cstheme="minorHAnsi"/>
          <w:sz w:val="18"/>
        </w:rPr>
        <w:footnoteRef/>
      </w:r>
      <w:r>
        <w:tab/>
        <w:t>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w:t>
      </w:r>
      <w:proofErr w:type="gramStart"/>
      <w:r>
        <w:t>11.9.2002</w:t>
      </w:r>
      <w:proofErr w:type="gramEnd"/>
      <w:r>
        <w:t>, s. 1).</w:t>
      </w:r>
    </w:p>
  </w:footnote>
  <w:footnote w:id="11">
    <w:p w14:paraId="11CA5EE8" w14:textId="7E420F35" w:rsidR="005870FD" w:rsidRPr="00222AAB" w:rsidRDefault="005870FD">
      <w:pPr>
        <w:pStyle w:val="FootnoteText"/>
        <w:rPr>
          <w:rFonts w:cstheme="minorHAnsi"/>
        </w:rPr>
      </w:pPr>
      <w:r>
        <w:rPr>
          <w:rStyle w:val="FootnoteReference"/>
          <w:rFonts w:cstheme="minorHAnsi"/>
          <w:sz w:val="18"/>
        </w:rPr>
        <w:footnoteRef/>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12">
    <w:p w14:paraId="1BA7AC25" w14:textId="474E661B"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č. 183/2014 ze dne 20. prosince 2013, kterým se doplňuje nařízení Evropského parlamentu a Rady (EU) č. 575/2013 o obezřetnostních požadavcích na úvěrové instituce a investiční podniky, pokud jde o regulační technické normy pro upřesnění výpočtu specifických a obecných úprav o úvěrové riziko (</w:t>
      </w:r>
      <w:proofErr w:type="spellStart"/>
      <w:r>
        <w:t>Úř</w:t>
      </w:r>
      <w:proofErr w:type="spellEnd"/>
      <w:r>
        <w:t xml:space="preserve">. </w:t>
      </w:r>
      <w:proofErr w:type="spellStart"/>
      <w:proofErr w:type="gramStart"/>
      <w:r>
        <w:t>věst</w:t>
      </w:r>
      <w:proofErr w:type="spellEnd"/>
      <w:proofErr w:type="gramEnd"/>
      <w:r>
        <w:t xml:space="preserve">. L 57, </w:t>
      </w:r>
      <w:proofErr w:type="gramStart"/>
      <w:r>
        <w:t>27.2.2014</w:t>
      </w:r>
      <w:proofErr w:type="gramEnd"/>
      <w:r>
        <w:t>, s. 3).</w:t>
      </w:r>
    </w:p>
  </w:footnote>
  <w:footnote w:id="13">
    <w:p w14:paraId="0A83D452" w14:textId="25AFEB68"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2016/101 ze dne 26. října 2015, kterým se doplňuje nařízení Evropského parlamentu a Rady (EU) č. 575/2013, pokud jde o regulační technické normy ohledně obezřetného oceňování podle čl. 105 odst. 14 (</w:t>
      </w:r>
      <w:proofErr w:type="spellStart"/>
      <w:r>
        <w:t>Úř</w:t>
      </w:r>
      <w:proofErr w:type="spellEnd"/>
      <w:r>
        <w:t xml:space="preserve">. </w:t>
      </w:r>
      <w:proofErr w:type="spellStart"/>
      <w:proofErr w:type="gramStart"/>
      <w:r>
        <w:t>věst</w:t>
      </w:r>
      <w:proofErr w:type="spellEnd"/>
      <w:proofErr w:type="gramEnd"/>
      <w:r>
        <w:t xml:space="preserve">. L 21, </w:t>
      </w:r>
      <w:proofErr w:type="gramStart"/>
      <w:r>
        <w:t>28.1.2016</w:t>
      </w:r>
      <w:proofErr w:type="gramEnd"/>
      <w:r>
        <w:t>, s. 54).</w:t>
      </w:r>
    </w:p>
  </w:footnote>
  <w:footnote w:id="14">
    <w:p w14:paraId="334F3E32" w14:textId="1517F5D4"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6BE73D03" w14:textId="37FE378A" w:rsidR="005870FD" w:rsidRPr="00222AAB" w:rsidRDefault="005870FD">
      <w:pPr>
        <w:pStyle w:val="FootnoteText"/>
        <w:rPr>
          <w:rFonts w:cstheme="minorHAnsi"/>
        </w:rPr>
      </w:pPr>
    </w:p>
  </w:footnote>
  <w:footnote w:id="15">
    <w:p w14:paraId="24515CC3" w14:textId="77777777" w:rsidR="005870FD" w:rsidRPr="00222AAB" w:rsidRDefault="005870FD" w:rsidP="00346640">
      <w:pPr>
        <w:pStyle w:val="FootnoteText"/>
        <w:rPr>
          <w:rFonts w:cstheme="minorHAnsi"/>
        </w:rPr>
      </w:pPr>
    </w:p>
    <w:p w14:paraId="211C8118" w14:textId="77777777" w:rsidR="005870FD" w:rsidRPr="00222AAB" w:rsidRDefault="005870FD" w:rsidP="00346640">
      <w:pPr>
        <w:pStyle w:val="FootnoteText"/>
        <w:rPr>
          <w:rFonts w:cstheme="minorHAnsi"/>
        </w:rPr>
      </w:pPr>
    </w:p>
  </w:footnote>
  <w:footnote w:id="16">
    <w:p w14:paraId="5D9149DD" w14:textId="1D176DB8" w:rsidR="005870FD" w:rsidRPr="00222AAB" w:rsidRDefault="005870FD">
      <w:pPr>
        <w:pStyle w:val="FootnoteText"/>
        <w:rPr>
          <w:rFonts w:cstheme="minorHAnsi"/>
        </w:rPr>
      </w:pPr>
      <w:r>
        <w:rPr>
          <w:rStyle w:val="FootnoteReference"/>
          <w:rFonts w:cstheme="minorHAnsi"/>
          <w:sz w:val="18"/>
        </w:rPr>
        <w:footnoteRef/>
      </w:r>
      <w:r>
        <w:tab/>
        <w:t>SMĚRNICE EVROPSKÉHO PARLAMENTU A RADY (EU) 2019/879 ze dne 20. května 2019, kterou se mění směrnice 2014/59/EU, pokud jde o schopnost úvěrových institucí a investičních podniků absorbovat ztráty a schopnost rekapitalizace, a směrnice 98/26/ES (</w:t>
      </w:r>
      <w:proofErr w:type="spellStart"/>
      <w:r>
        <w:t>Úř</w:t>
      </w:r>
      <w:proofErr w:type="spellEnd"/>
      <w:r>
        <w:t xml:space="preserve">. </w:t>
      </w:r>
      <w:proofErr w:type="spellStart"/>
      <w:proofErr w:type="gramStart"/>
      <w:r>
        <w:t>věst</w:t>
      </w:r>
      <w:proofErr w:type="spellEnd"/>
      <w:proofErr w:type="gramEnd"/>
      <w:r>
        <w:t xml:space="preserve">. L 150, </w:t>
      </w:r>
      <w:proofErr w:type="gramStart"/>
      <w:r>
        <w:t>7.6.2019</w:t>
      </w:r>
      <w:proofErr w:type="gramEnd"/>
      <w:r>
        <w:t>, s. 296).</w:t>
      </w:r>
    </w:p>
  </w:footnote>
  <w:footnote w:id="17">
    <w:p w14:paraId="0E03FE55" w14:textId="7B5400CC"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18">
    <w:p w14:paraId="4A40AE56" w14:textId="6CDC37B0" w:rsidR="005870FD" w:rsidRPr="00222AAB" w:rsidRDefault="005870FD">
      <w:pPr>
        <w:pStyle w:val="FootnoteText"/>
        <w:rPr>
          <w:rFonts w:cstheme="minorHAnsi"/>
        </w:rPr>
      </w:pPr>
      <w:r>
        <w:rPr>
          <w:rStyle w:val="FootnoteReference"/>
          <w:rFonts w:cstheme="minorHAnsi"/>
          <w:sz w:val="18"/>
        </w:rPr>
        <w:footnoteRef/>
      </w:r>
      <w:r>
        <w:tab/>
        <w:t>SMĚRNICE EVROPSKÉHO PARLAMENTU A RADY 2013/36/EU ze dne 26. června 2013 o přístupu k činnosti úvěrových institucí a o obezřetnostním dohledu nad úvěrovými institucemi a investičními podniky, o změně směrnice 2002/87/ES a zrušení směrnic 2006/48/ES a 2006/49/ES (</w:t>
      </w:r>
      <w:proofErr w:type="spellStart"/>
      <w:r>
        <w:t>Úř</w:t>
      </w:r>
      <w:proofErr w:type="spellEnd"/>
      <w:r>
        <w:t xml:space="preserve">. </w:t>
      </w:r>
      <w:proofErr w:type="spellStart"/>
      <w:proofErr w:type="gramStart"/>
      <w:r>
        <w:t>věst</w:t>
      </w:r>
      <w:proofErr w:type="spellEnd"/>
      <w:proofErr w:type="gramEnd"/>
      <w:r>
        <w:t xml:space="preserve">. L 176, </w:t>
      </w:r>
      <w:proofErr w:type="gramStart"/>
      <w:r>
        <w:t>27.6.2013</w:t>
      </w:r>
      <w:proofErr w:type="gramEnd"/>
      <w:r>
        <w:t>, s. 338).</w:t>
      </w:r>
    </w:p>
  </w:footnote>
  <w:footnote w:id="19">
    <w:p w14:paraId="2E6D0092" w14:textId="342891CC" w:rsidR="005870FD" w:rsidRPr="00222AAB" w:rsidRDefault="005870FD">
      <w:pPr>
        <w:pStyle w:val="FootnoteText"/>
        <w:rPr>
          <w:rFonts w:cstheme="minorHAnsi"/>
        </w:rPr>
      </w:pPr>
      <w:r>
        <w:rPr>
          <w:rStyle w:val="FootnoteReference"/>
          <w:rFonts w:cstheme="minorHAnsi"/>
          <w:sz w:val="18"/>
        </w:rPr>
        <w:footnoteRef/>
      </w:r>
      <w:r>
        <w:tab/>
        <w:t xml:space="preserve">NAŘÍZENÍ KOMISE V PŘENESENÉ PRAVOMOCI (EU) č. 1152/2014 ze dne 4. června 2014, kterým se doplňuje směrnice Evropského parlamentu a Rady 2013/36/EU, pokud jde o regulační technické normy pro určování zeměpisné oblasti rozhodných úvěrových expozic pro výpočet individuální sazby </w:t>
      </w:r>
      <w:proofErr w:type="spellStart"/>
      <w:r>
        <w:t>proticyklické</w:t>
      </w:r>
      <w:proofErr w:type="spellEnd"/>
      <w:r>
        <w:t xml:space="preserve"> kapitálové rezervy (</w:t>
      </w:r>
      <w:proofErr w:type="spellStart"/>
      <w:r>
        <w:t>Úř</w:t>
      </w:r>
      <w:proofErr w:type="spellEnd"/>
      <w:r>
        <w:t xml:space="preserve">. </w:t>
      </w:r>
      <w:proofErr w:type="spellStart"/>
      <w:proofErr w:type="gramStart"/>
      <w:r>
        <w:t>věst</w:t>
      </w:r>
      <w:proofErr w:type="spellEnd"/>
      <w:proofErr w:type="gramEnd"/>
      <w:r>
        <w:t xml:space="preserve">. L 309, </w:t>
      </w:r>
      <w:proofErr w:type="gramStart"/>
      <w:r>
        <w:t>30.10.2014</w:t>
      </w:r>
      <w:proofErr w:type="gramEnd"/>
      <w:r>
        <w:t>, s. 5).</w:t>
      </w:r>
    </w:p>
  </w:footnote>
  <w:footnote w:id="20">
    <w:p w14:paraId="06491F87" w14:textId="58702F68"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21">
    <w:p w14:paraId="60C78B1A" w14:textId="7EB95601"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22">
    <w:p w14:paraId="62305A9B" w14:textId="27255F79"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2015/61 ze dne 10. října 2014, kterým se doplňuje nařízení Evropského parlamentu a Rady (EU) č. 575/2013, pokud jde o požadavek na úvěrové instituce týkající se krytí likvidity (</w:t>
      </w:r>
      <w:proofErr w:type="spellStart"/>
      <w:r>
        <w:t>Úř</w:t>
      </w:r>
      <w:proofErr w:type="spellEnd"/>
      <w:r>
        <w:t xml:space="preserve">. </w:t>
      </w:r>
      <w:proofErr w:type="spellStart"/>
      <w:proofErr w:type="gramStart"/>
      <w:r>
        <w:t>věst</w:t>
      </w:r>
      <w:proofErr w:type="spellEnd"/>
      <w:proofErr w:type="gramEnd"/>
      <w:r>
        <w:t xml:space="preserve">. L 11, </w:t>
      </w:r>
      <w:proofErr w:type="gramStart"/>
      <w:r>
        <w:t>17.1.2015</w:t>
      </w:r>
      <w:proofErr w:type="gramEnd"/>
      <w:r>
        <w:t xml:space="preserve">, s. 1). </w:t>
      </w:r>
    </w:p>
  </w:footnote>
  <w:footnote w:id="23">
    <w:p w14:paraId="7410D74E" w14:textId="5FCC6937" w:rsidR="005870FD" w:rsidRPr="00222AAB" w:rsidRDefault="005870FD">
      <w:pPr>
        <w:pStyle w:val="FootnoteText"/>
        <w:rPr>
          <w:rFonts w:cstheme="minorHAnsi"/>
        </w:rPr>
      </w:pPr>
      <w:r>
        <w:rPr>
          <w:rStyle w:val="FootnoteReference"/>
          <w:rFonts w:cstheme="minorHAnsi"/>
          <w:sz w:val="18"/>
        </w:rPr>
        <w:footnoteRef/>
      </w:r>
      <w:r>
        <w:tab/>
        <w:t>SMĚRNICE EVROPSKÉHO PARLAMENTU A RADY 94/19/ES ze dne 30. května 1994 o systémech pojištění vkladů (</w:t>
      </w:r>
      <w:proofErr w:type="spellStart"/>
      <w:r>
        <w:t>Úř</w:t>
      </w:r>
      <w:proofErr w:type="spellEnd"/>
      <w:r>
        <w:t xml:space="preserve">. </w:t>
      </w:r>
      <w:proofErr w:type="spellStart"/>
      <w:proofErr w:type="gramStart"/>
      <w:r>
        <w:t>věst</w:t>
      </w:r>
      <w:proofErr w:type="spellEnd"/>
      <w:proofErr w:type="gramEnd"/>
      <w:r>
        <w:t xml:space="preserve">. L 135, </w:t>
      </w:r>
      <w:proofErr w:type="gramStart"/>
      <w:r>
        <w:t>31.5.1994</w:t>
      </w:r>
      <w:proofErr w:type="gramEnd"/>
      <w:r>
        <w:t>, s. 5).</w:t>
      </w:r>
    </w:p>
  </w:footnote>
  <w:footnote w:id="24">
    <w:p w14:paraId="4520B3DC" w14:textId="3FED4F07" w:rsidR="005870FD" w:rsidRPr="00222AAB" w:rsidRDefault="005870FD">
      <w:pPr>
        <w:pStyle w:val="FootnoteText"/>
        <w:rPr>
          <w:rFonts w:cstheme="minorHAnsi"/>
        </w:rPr>
      </w:pPr>
      <w:r>
        <w:rPr>
          <w:rStyle w:val="FootnoteReference"/>
          <w:rFonts w:cstheme="minorHAnsi"/>
          <w:sz w:val="18"/>
        </w:rPr>
        <w:footnoteRef/>
      </w:r>
      <w:r>
        <w:tab/>
        <w:t>SMĚRNICE EVROPSKÉHO PARLAMENTU A RADY 2014/49/EU ze dne 16. dubna 2014 o systémech pojištění vkladů (</w:t>
      </w:r>
      <w:proofErr w:type="spellStart"/>
      <w:r>
        <w:t>Úř</w:t>
      </w:r>
      <w:proofErr w:type="spellEnd"/>
      <w:r>
        <w:t xml:space="preserve">. </w:t>
      </w:r>
      <w:proofErr w:type="spellStart"/>
      <w:proofErr w:type="gramStart"/>
      <w:r>
        <w:t>věst</w:t>
      </w:r>
      <w:proofErr w:type="spellEnd"/>
      <w:proofErr w:type="gramEnd"/>
      <w:r>
        <w:t xml:space="preserve">. L 173, </w:t>
      </w:r>
      <w:proofErr w:type="gramStart"/>
      <w:r>
        <w:t>12.6.2014</w:t>
      </w:r>
      <w:proofErr w:type="gramEnd"/>
      <w:r>
        <w:t>, s. 149).</w:t>
      </w:r>
    </w:p>
  </w:footnote>
  <w:footnote w:id="25">
    <w:p w14:paraId="12A0E7C0" w14:textId="5484DB30"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2017/208 ze dne 31. října 2016, kterým se doplňuje nařízení Evropského parlamentu a Rady (EU) č. 575/2013, pokud jde o regulační technické normy pro dodatečný odtok likvidity odpovídající potřebám kolaterálu, který je výsledkem dopadu nepříznivého tržního scénáře na derivátové transakce instituce (</w:t>
      </w:r>
      <w:proofErr w:type="spellStart"/>
      <w:r>
        <w:t>Úř</w:t>
      </w:r>
      <w:proofErr w:type="spellEnd"/>
      <w:r>
        <w:t xml:space="preserve">. </w:t>
      </w:r>
      <w:proofErr w:type="spellStart"/>
      <w:proofErr w:type="gramStart"/>
      <w:r>
        <w:t>věst</w:t>
      </w:r>
      <w:proofErr w:type="spellEnd"/>
      <w:proofErr w:type="gramEnd"/>
      <w:r>
        <w:t xml:space="preserve">. L 33, </w:t>
      </w:r>
      <w:proofErr w:type="gramStart"/>
      <w:r>
        <w:t>8.2.2017</w:t>
      </w:r>
      <w:proofErr w:type="gramEnd"/>
      <w:r>
        <w:t>, s. 14).</w:t>
      </w:r>
    </w:p>
  </w:footnote>
  <w:footnote w:id="26">
    <w:p w14:paraId="41E768A6" w14:textId="07D99CFA" w:rsidR="005870FD" w:rsidRPr="00222AAB" w:rsidRDefault="005870FD">
      <w:pPr>
        <w:pStyle w:val="FootnoteText"/>
        <w:rPr>
          <w:rFonts w:cstheme="minorHAnsi"/>
        </w:rPr>
      </w:pPr>
      <w:r>
        <w:rPr>
          <w:rStyle w:val="FootnoteReference"/>
          <w:rFonts w:cstheme="minorHAnsi"/>
          <w:sz w:val="18"/>
        </w:rPr>
        <w:footnoteRef/>
      </w:r>
      <w:r>
        <w:tab/>
        <w:t>PROVÁDĚCÍ NAŘÍZENÍ KOMISE (EU) č. 680/2014 ze dne 16. dubna 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s. 1).</w:t>
      </w:r>
    </w:p>
  </w:footnote>
  <w:footnote w:id="27">
    <w:p w14:paraId="65A66F1C" w14:textId="4267E2CF" w:rsidR="005870FD" w:rsidRPr="00222AAB" w:rsidRDefault="005870FD">
      <w:pPr>
        <w:pStyle w:val="FootnoteText"/>
        <w:rPr>
          <w:rFonts w:cstheme="minorHAnsi"/>
        </w:rPr>
      </w:pPr>
      <w:r>
        <w:rPr>
          <w:rStyle w:val="FootnoteReference"/>
          <w:rFonts w:cstheme="minorHAnsi"/>
          <w:sz w:val="18"/>
        </w:rPr>
        <w:footnoteRef/>
      </w:r>
      <w:r>
        <w:tab/>
        <w:t>SMĚRNICE EVROPSKÉHO PARLAMENTU A RADY 2009/65/ES ze dne 13. července 2009 o koordinaci právních a správních předpisů týkajících se subjektů kolektivního investování do převoditelných cenných papírů (SKIPCP) (</w:t>
      </w:r>
      <w:proofErr w:type="spellStart"/>
      <w:r>
        <w:t>Úř</w:t>
      </w:r>
      <w:proofErr w:type="spellEnd"/>
      <w:r>
        <w:t xml:space="preserve">. </w:t>
      </w:r>
      <w:proofErr w:type="spellStart"/>
      <w:proofErr w:type="gramStart"/>
      <w:r>
        <w:t>věst</w:t>
      </w:r>
      <w:proofErr w:type="spellEnd"/>
      <w:proofErr w:type="gramEnd"/>
      <w:r>
        <w:t xml:space="preserve">. L 302, </w:t>
      </w:r>
      <w:proofErr w:type="gramStart"/>
      <w:r>
        <w:t>17.11.2009</w:t>
      </w:r>
      <w:proofErr w:type="gramEnd"/>
      <w:r>
        <w:t>, s. 32).</w:t>
      </w:r>
    </w:p>
  </w:footnote>
  <w:footnote w:id="28">
    <w:p w14:paraId="1E2B4845" w14:textId="190C1CF3"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29">
    <w:p w14:paraId="7D803589" w14:textId="00BF5572" w:rsidR="005870FD" w:rsidRPr="00222AAB" w:rsidRDefault="005870FD">
      <w:pPr>
        <w:pStyle w:val="FootnoteText"/>
        <w:rPr>
          <w:rFonts w:cstheme="minorHAnsi"/>
        </w:rPr>
      </w:pPr>
      <w:r>
        <w:rPr>
          <w:rStyle w:val="FootnoteReference"/>
          <w:rFonts w:cstheme="minorHAnsi"/>
          <w:sz w:val="18"/>
        </w:rPr>
        <w:footnoteRef/>
      </w:r>
      <w:r>
        <w:tab/>
        <w:t>PROVÁDĚCÍ NAŘÍZENÍ KOMISE (EU) č. 680/2014 ze dne 16. dubna 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s. 1).</w:t>
      </w:r>
    </w:p>
  </w:footnote>
  <w:footnote w:id="30">
    <w:p w14:paraId="3A92CAFF" w14:textId="2460795B" w:rsidR="005870FD" w:rsidRPr="00222AAB" w:rsidRDefault="005870FD">
      <w:pPr>
        <w:pStyle w:val="FootnoteText"/>
        <w:rPr>
          <w:rFonts w:cstheme="minorHAnsi"/>
        </w:rPr>
      </w:pPr>
      <w:r>
        <w:rPr>
          <w:rStyle w:val="FootnoteReference"/>
          <w:rFonts w:cstheme="minorHAnsi"/>
          <w:sz w:val="18"/>
        </w:rPr>
        <w:footnoteRef/>
      </w:r>
      <w:r>
        <w:tab/>
        <w:t>NAŘÍZENÍ EVROPSKÉ CENTRÁLNÍ BANKY (EU) č. 1071/2013 ze dne 24. září 2013 o rozvaze sektoru měnových finančních institucí (přepracované znění)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31">
    <w:p w14:paraId="2C8266CA" w14:textId="241C5F78" w:rsidR="005870FD" w:rsidRPr="00BB5993" w:rsidRDefault="005870FD">
      <w:pPr>
        <w:pStyle w:val="FootnoteText"/>
        <w:rPr>
          <w:rFonts w:cstheme="minorHAnsi"/>
        </w:rPr>
      </w:pPr>
      <w:r>
        <w:rPr>
          <w:rStyle w:val="FootnoteReference"/>
          <w:rFonts w:cstheme="minorHAnsi"/>
          <w:sz w:val="18"/>
        </w:rPr>
        <w:footnoteRef/>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32">
    <w:p w14:paraId="21AE182B" w14:textId="6F87360A" w:rsidR="005870FD" w:rsidRPr="00222AAB" w:rsidRDefault="005870FD">
      <w:pPr>
        <w:pStyle w:val="FootnoteText"/>
        <w:rPr>
          <w:rFonts w:cstheme="minorHAnsi"/>
        </w:rPr>
      </w:pPr>
      <w:r>
        <w:rPr>
          <w:rStyle w:val="FootnoteReference"/>
          <w:rFonts w:cstheme="minorHAnsi"/>
          <w:sz w:val="18"/>
        </w:rPr>
        <w:footnoteRef/>
      </w:r>
      <w:r>
        <w:tab/>
        <w:t>DOPORUČENÍ EVROPSKÉ RADY PRO SYSTÉMOVÁ RIZIKA ze dne 31. října 2016 o doplnění chybějících údajů o nemovitostech (ESRB/2016/14) (</w:t>
      </w:r>
      <w:proofErr w:type="spellStart"/>
      <w:r>
        <w:t>Úř</w:t>
      </w:r>
      <w:proofErr w:type="spellEnd"/>
      <w:r>
        <w:t xml:space="preserve">. </w:t>
      </w:r>
      <w:proofErr w:type="spellStart"/>
      <w:proofErr w:type="gramStart"/>
      <w:r>
        <w:t>věst</w:t>
      </w:r>
      <w:proofErr w:type="spellEnd"/>
      <w:proofErr w:type="gramEnd"/>
      <w:r>
        <w:t xml:space="preserve">. C 31, </w:t>
      </w:r>
      <w:proofErr w:type="gramStart"/>
      <w:r>
        <w:t>31.1.2017</w:t>
      </w:r>
      <w:proofErr w:type="gramEnd"/>
      <w:r>
        <w:t>, s. 1).</w:t>
      </w:r>
    </w:p>
  </w:footnote>
  <w:footnote w:id="33">
    <w:p w14:paraId="3C3116D6" w14:textId="6E94C091"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34">
    <w:p w14:paraId="0FC5834E" w14:textId="45FF0B6E" w:rsidR="005870FD" w:rsidRPr="00222AAB" w:rsidRDefault="005870FD">
      <w:pPr>
        <w:pStyle w:val="FootnoteText"/>
        <w:rPr>
          <w:rFonts w:cstheme="minorHAnsi"/>
        </w:rPr>
      </w:pPr>
      <w:r>
        <w:rPr>
          <w:rStyle w:val="FootnoteReference"/>
          <w:rFonts w:cstheme="minorHAnsi"/>
          <w:sz w:val="18"/>
        </w:rPr>
        <w:footnoteRef/>
      </w:r>
      <w:r>
        <w:tab/>
        <w:t>NAŘÍZENÍ EVROPSKÉ CENTRÁLNÍ BANKY (EU) č. 1071/2013 ze dne 24. září 2013 o rozvaze sektoru měnových finančních institucí (přepracované znění)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35">
    <w:p w14:paraId="274AF186" w14:textId="6466509A" w:rsidR="005870FD" w:rsidRPr="00222AAB" w:rsidRDefault="005870FD">
      <w:pPr>
        <w:pStyle w:val="FootnoteText"/>
        <w:rPr>
          <w:rFonts w:cstheme="minorHAnsi"/>
        </w:rPr>
      </w:pPr>
      <w:r>
        <w:rPr>
          <w:rStyle w:val="FootnoteReference"/>
          <w:rFonts w:cstheme="minorHAnsi"/>
          <w:sz w:val="18"/>
        </w:rPr>
        <w:footnoteRef/>
      </w:r>
      <w:r>
        <w:tab/>
        <w:t>PROVÁDĚCÍ NAŘÍZENÍ KOMISE (EU) č. 680/2014 ze dne 16. dubna 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s. 1).</w:t>
      </w:r>
    </w:p>
  </w:footnote>
  <w:footnote w:id="36">
    <w:p w14:paraId="345D93EA" w14:textId="6EC7C985"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37">
    <w:p w14:paraId="0500421E" w14:textId="018AD76D"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č. 183/2014 ze dne 20. prosince 2013, kterým se doplňuje nařízení Evropského parlamentu a Rady (EU) č. 575/2013 o obezřetnostních požadavcích na úvěrové instituce a investiční podniky, pokud jde o regulační technické normy pro upřesnění výpočtu specifických a obecných úprav o úvěrové riziko (</w:t>
      </w:r>
      <w:proofErr w:type="spellStart"/>
      <w:r>
        <w:t>Úř</w:t>
      </w:r>
      <w:proofErr w:type="spellEnd"/>
      <w:r>
        <w:t xml:space="preserve">. </w:t>
      </w:r>
      <w:proofErr w:type="spellStart"/>
      <w:proofErr w:type="gramStart"/>
      <w:r>
        <w:t>věst</w:t>
      </w:r>
      <w:proofErr w:type="spellEnd"/>
      <w:proofErr w:type="gramEnd"/>
      <w:r>
        <w:t xml:space="preserve">. L 57, </w:t>
      </w:r>
      <w:proofErr w:type="gramStart"/>
      <w:r>
        <w:t>27.2.2014</w:t>
      </w:r>
      <w:proofErr w:type="gramEnd"/>
      <w:r>
        <w:t>, s. 3).</w:t>
      </w:r>
    </w:p>
  </w:footnote>
  <w:footnote w:id="38">
    <w:p w14:paraId="1BBA1BD5" w14:textId="61CCD44D"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39">
    <w:p w14:paraId="4DCA811C" w14:textId="09F974A1"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č. 183/2014 ze dne 20. prosince 2013, kterým se doplňuje nařízení Evropského parlamentu a Rady (EU) č. 575/2013 o obezřetnostních požadavcích na úvěrové instituce a investiční podniky, pokud jde o regulační technické normy pro upřesnění výpočtu specifických a obecných úprav o úvěrové riziko (</w:t>
      </w:r>
      <w:proofErr w:type="spellStart"/>
      <w:r>
        <w:t>Úř</w:t>
      </w:r>
      <w:proofErr w:type="spellEnd"/>
      <w:r>
        <w:t xml:space="preserve">. </w:t>
      </w:r>
      <w:proofErr w:type="spellStart"/>
      <w:proofErr w:type="gramStart"/>
      <w:r>
        <w:t>věst</w:t>
      </w:r>
      <w:proofErr w:type="spellEnd"/>
      <w:proofErr w:type="gramEnd"/>
      <w:r>
        <w:t xml:space="preserve">. L 57, </w:t>
      </w:r>
      <w:proofErr w:type="gramStart"/>
      <w:r>
        <w:t>27.2.2014</w:t>
      </w:r>
      <w:proofErr w:type="gramEnd"/>
      <w:r>
        <w:t>, s. 3).</w:t>
      </w:r>
    </w:p>
  </w:footnote>
  <w:footnote w:id="40">
    <w:p w14:paraId="40EFF385" w14:textId="723BF643"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5A21779D" w14:textId="65905555" w:rsidR="005870FD" w:rsidRPr="00222AAB" w:rsidRDefault="005870FD">
      <w:pPr>
        <w:pStyle w:val="FootnoteText"/>
        <w:rPr>
          <w:rFonts w:cstheme="minorHAnsi"/>
        </w:rPr>
      </w:pPr>
    </w:p>
  </w:footnote>
  <w:footnote w:id="41">
    <w:p w14:paraId="50C71071" w14:textId="759AFC82"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1354A9D5" w14:textId="1DB9F003" w:rsidR="005870FD" w:rsidRPr="00222AAB" w:rsidRDefault="005870FD">
      <w:pPr>
        <w:pStyle w:val="FootnoteText"/>
        <w:rPr>
          <w:rFonts w:cstheme="minorHAnsi"/>
        </w:rPr>
      </w:pPr>
    </w:p>
  </w:footnote>
  <w:footnote w:id="42">
    <w:p w14:paraId="5E5D6FE4" w14:textId="7C2BFDD9"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6D017CEF" w14:textId="140A98B1" w:rsidR="005870FD" w:rsidRPr="00222AAB" w:rsidRDefault="005870FD">
      <w:pPr>
        <w:pStyle w:val="FootnoteText"/>
        <w:rPr>
          <w:rFonts w:cstheme="minorHAnsi"/>
        </w:rPr>
      </w:pPr>
    </w:p>
  </w:footnote>
  <w:footnote w:id="43">
    <w:p w14:paraId="6D22D42F" w14:textId="3FE88DCC" w:rsidR="005870FD" w:rsidRPr="00222AAB" w:rsidRDefault="005870FD">
      <w:pPr>
        <w:pStyle w:val="FootnoteText"/>
        <w:rPr>
          <w:rFonts w:cstheme="minorHAnsi"/>
        </w:rPr>
      </w:pPr>
      <w:r>
        <w:rPr>
          <w:rStyle w:val="FootnoteReference"/>
          <w:rFonts w:cstheme="minorHAnsi"/>
          <w:sz w:val="18"/>
        </w:rPr>
        <w:footnoteRef/>
      </w:r>
      <w:r>
        <w:tab/>
        <w:t xml:space="preserve">NAŘÍZENÍ EVROPSKÉHO PARLAMENTU A RADY (EU) 2017/2402 ze dne 12. prosince 2017, kterým se stanoví obecný rámec pro </w:t>
      </w:r>
      <w:proofErr w:type="spellStart"/>
      <w:r>
        <w:t>sekuritizaci</w:t>
      </w:r>
      <w:proofErr w:type="spellEnd"/>
      <w:r>
        <w:t xml:space="preserve"> a vytváří se zvláštní rámec pro jednoduchou, transparentní a standardizovanou </w:t>
      </w:r>
      <w:proofErr w:type="spellStart"/>
      <w:r>
        <w:t>sekuritizaci</w:t>
      </w:r>
      <w:proofErr w:type="spellEnd"/>
      <w:r>
        <w:t xml:space="preserve"> a kterým se mění směrnice 2009/65/ES, 2009/138/ES, 2011/61/EU a nařízení (ES) č. 1060/2009 a (EU) č. 648/2012 (</w:t>
      </w:r>
      <w:proofErr w:type="spellStart"/>
      <w:r>
        <w:t>Úř</w:t>
      </w:r>
      <w:proofErr w:type="spellEnd"/>
      <w:r>
        <w:t xml:space="preserve">. </w:t>
      </w:r>
      <w:proofErr w:type="spellStart"/>
      <w:proofErr w:type="gramStart"/>
      <w:r>
        <w:t>věst</w:t>
      </w:r>
      <w:proofErr w:type="spellEnd"/>
      <w:proofErr w:type="gramEnd"/>
      <w:r>
        <w:t xml:space="preserve">. L 347, </w:t>
      </w:r>
      <w:proofErr w:type="gramStart"/>
      <w:r>
        <w:t>28.12.2017</w:t>
      </w:r>
      <w:proofErr w:type="gramEnd"/>
      <w:r>
        <w:t>, s. 35).</w:t>
      </w:r>
    </w:p>
  </w:footnote>
  <w:footnote w:id="44">
    <w:p w14:paraId="1C33D3DE" w14:textId="769CD3C9"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0B53A160" w14:textId="77777777" w:rsidR="005870FD" w:rsidRPr="00222AAB" w:rsidRDefault="005870FD">
      <w:pPr>
        <w:pStyle w:val="FootnoteText"/>
        <w:rPr>
          <w:rFonts w:cstheme="minorHAnsi"/>
        </w:rPr>
      </w:pPr>
    </w:p>
  </w:footnote>
  <w:footnote w:id="45">
    <w:p w14:paraId="22629C6B" w14:textId="408B9827" w:rsidR="005870FD" w:rsidRPr="00222AAB" w:rsidRDefault="005870FD">
      <w:pPr>
        <w:pStyle w:val="FootnoteText"/>
        <w:rPr>
          <w:rFonts w:cstheme="minorHAnsi"/>
        </w:rPr>
      </w:pPr>
      <w:r>
        <w:rPr>
          <w:rStyle w:val="FootnoteReference"/>
          <w:rFonts w:cstheme="minorHAnsi"/>
          <w:sz w:val="18"/>
        </w:rPr>
        <w:footnoteRef/>
      </w:r>
      <w:r>
        <w:tab/>
        <w:t>Jak je definováno v NAŘÍZENÍ KOMISE V PŘENESENÉ PRAVOMOCI (EU) č. 528/2014 ze dne 12. března 2014, kterým se doplňuje nařízení Evropského parlamentu a Rady (EU) č. 575/2013, pokud jde o regulační technické normy pro rizika opcí jiná než rizika delta v rámci standardizovaného přístupu k tržním rizikům (</w:t>
      </w:r>
      <w:proofErr w:type="spellStart"/>
      <w:r>
        <w:t>Úř</w:t>
      </w:r>
      <w:proofErr w:type="spellEnd"/>
      <w:r>
        <w:t xml:space="preserve">. </w:t>
      </w:r>
      <w:proofErr w:type="spellStart"/>
      <w:proofErr w:type="gramStart"/>
      <w:r>
        <w:t>věst</w:t>
      </w:r>
      <w:proofErr w:type="spellEnd"/>
      <w:proofErr w:type="gramEnd"/>
      <w:r>
        <w:t xml:space="preserve">. L 148, </w:t>
      </w:r>
      <w:proofErr w:type="gramStart"/>
      <w:r>
        <w:t>20.5.2014</w:t>
      </w:r>
      <w:proofErr w:type="gramEnd"/>
      <w:r>
        <w:t>, s. 29).</w:t>
      </w:r>
    </w:p>
  </w:footnote>
  <w:footnote w:id="46">
    <w:p w14:paraId="3C1785B8" w14:textId="19F63BFD" w:rsidR="005870FD" w:rsidRPr="00222AAB" w:rsidRDefault="005870FD">
      <w:pPr>
        <w:pStyle w:val="FootnoteText"/>
        <w:rPr>
          <w:rFonts w:cstheme="minorHAnsi"/>
        </w:rPr>
      </w:pPr>
      <w:r>
        <w:rPr>
          <w:rStyle w:val="FootnoteReference"/>
          <w:rFonts w:cstheme="minorHAnsi"/>
          <w:sz w:val="18"/>
        </w:rPr>
        <w:footnoteRef/>
      </w:r>
      <w:r>
        <w:tab/>
        <w:t>Jak je definováno v NAŘÍZENÍ KOMISE V PŘENESENÉ PRAVOMOCI (EU) č. 528/2014 ze dne 12. března 2014, kterým se doplňuje nařízení Evropského parlamentu a Rady (EU) č. 575/2013, pokud jde o regulační technické normy pro rizika opcí jiná než rizika delta v rámci standardizovaného přístupu k tržním rizikům (</w:t>
      </w:r>
      <w:proofErr w:type="spellStart"/>
      <w:r>
        <w:t>Úř</w:t>
      </w:r>
      <w:proofErr w:type="spellEnd"/>
      <w:r>
        <w:t xml:space="preserve">. </w:t>
      </w:r>
      <w:proofErr w:type="spellStart"/>
      <w:proofErr w:type="gramStart"/>
      <w:r>
        <w:t>věst</w:t>
      </w:r>
      <w:proofErr w:type="spellEnd"/>
      <w:proofErr w:type="gramEnd"/>
      <w:r>
        <w:t xml:space="preserve">. L 148, </w:t>
      </w:r>
      <w:proofErr w:type="gramStart"/>
      <w:r>
        <w:t>20.5.2014</w:t>
      </w:r>
      <w:proofErr w:type="gramEnd"/>
      <w:r>
        <w:t>, s. 29).</w:t>
      </w:r>
    </w:p>
  </w:footnote>
  <w:footnote w:id="47">
    <w:p w14:paraId="6D71BD4E" w14:textId="3F80B846" w:rsidR="005870FD" w:rsidRPr="00222AAB" w:rsidRDefault="005870FD">
      <w:pPr>
        <w:pStyle w:val="FootnoteText"/>
        <w:rPr>
          <w:rFonts w:cstheme="minorHAnsi"/>
        </w:rPr>
      </w:pPr>
      <w:r>
        <w:rPr>
          <w:rStyle w:val="FootnoteReference"/>
          <w:rFonts w:cstheme="minorHAnsi"/>
          <w:sz w:val="18"/>
        </w:rPr>
        <w:footnoteRef/>
      </w:r>
      <w:r>
        <w:tab/>
        <w:t>Jak je definováno v NAŘÍZENÍ KOMISE V PŘENESENÉ PRAVOMOCI (EU) č. 528/2014 ze dne 12. března 2014, kterým se doplňuje nařízení Evropského parlamentu a Rady (EU) č. 575/2013, pokud jde o regulační technické normy pro rizika opcí jiná než rizika delta v rámci standardizovaného přístupu k tržním rizikům (</w:t>
      </w:r>
      <w:proofErr w:type="spellStart"/>
      <w:r>
        <w:t>Úř</w:t>
      </w:r>
      <w:proofErr w:type="spellEnd"/>
      <w:r>
        <w:t xml:space="preserve">. </w:t>
      </w:r>
      <w:proofErr w:type="spellStart"/>
      <w:proofErr w:type="gramStart"/>
      <w:r>
        <w:t>věst</w:t>
      </w:r>
      <w:proofErr w:type="spellEnd"/>
      <w:proofErr w:type="gramEnd"/>
      <w:r>
        <w:t xml:space="preserve">. L 148, </w:t>
      </w:r>
      <w:proofErr w:type="gramStart"/>
      <w:r>
        <w:t>20.5.2014</w:t>
      </w:r>
      <w:proofErr w:type="gramEnd"/>
      <w:r>
        <w:t>, s. 29).</w:t>
      </w:r>
    </w:p>
  </w:footnote>
  <w:footnote w:id="48">
    <w:p w14:paraId="1D6CBC8D" w14:textId="32F2DA8E" w:rsidR="005870FD" w:rsidRPr="00222AAB" w:rsidRDefault="005870FD">
      <w:pPr>
        <w:pStyle w:val="FootnoteText"/>
        <w:rPr>
          <w:rFonts w:cstheme="minorHAnsi"/>
        </w:rPr>
      </w:pPr>
      <w:r>
        <w:rPr>
          <w:rStyle w:val="FootnoteReference"/>
          <w:rFonts w:cstheme="minorHAnsi"/>
          <w:sz w:val="18"/>
        </w:rPr>
        <w:footnoteRef/>
      </w:r>
      <w:r>
        <w:tab/>
        <w:t xml:space="preserve">Viz ilustrace v požadavcích na zveřejnění </w:t>
      </w:r>
      <w:r>
        <w:rPr>
          <w:i/>
        </w:rPr>
        <w:t>DIS</w:t>
      </w:r>
      <w:r>
        <w:t xml:space="preserve"> </w:t>
      </w:r>
      <w:proofErr w:type="spellStart"/>
      <w:r>
        <w:rPr>
          <w:i/>
        </w:rPr>
        <w:t>Disclosure</w:t>
      </w:r>
      <w:proofErr w:type="spellEnd"/>
      <w:r>
        <w:rPr>
          <w:i/>
        </w:rPr>
        <w:t xml:space="preserve"> </w:t>
      </w:r>
      <w:proofErr w:type="spellStart"/>
      <w:r>
        <w:rPr>
          <w:i/>
        </w:rPr>
        <w:t>requirements</w:t>
      </w:r>
      <w:proofErr w:type="spellEnd"/>
      <w:r>
        <w:rPr>
          <w:i/>
        </w:rPr>
        <w:t xml:space="preserve"> DIS 99 </w:t>
      </w:r>
      <w:proofErr w:type="spellStart"/>
      <w:r>
        <w:rPr>
          <w:i/>
        </w:rPr>
        <w:t>Worked</w:t>
      </w:r>
      <w:proofErr w:type="spellEnd"/>
      <w:r>
        <w:rPr>
          <w:i/>
        </w:rPr>
        <w:t xml:space="preserve"> </w:t>
      </w:r>
      <w:proofErr w:type="spellStart"/>
      <w:r>
        <w:rPr>
          <w:i/>
        </w:rPr>
        <w:t>examples</w:t>
      </w:r>
      <w:proofErr w:type="spellEnd"/>
      <w:r>
        <w:t xml:space="preserve"> vydaných Basilejským výborem pro bankovní dohled Banky pro mezinárodní platby, prosinec 2019.</w:t>
      </w:r>
    </w:p>
    <w:p w14:paraId="065D9CE7" w14:textId="17A04201" w:rsidR="005870FD" w:rsidRPr="00222AAB" w:rsidRDefault="005870FD">
      <w:pPr>
        <w:pStyle w:val="FootnoteText"/>
        <w:rPr>
          <w:rFonts w:cstheme="minorHAnsi"/>
        </w:rPr>
      </w:pPr>
    </w:p>
  </w:footnote>
  <w:footnote w:id="49">
    <w:p w14:paraId="7B9D7DCE" w14:textId="11FC0C0C"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013701B3" w14:textId="2DF11389" w:rsidR="005870FD" w:rsidRPr="00222AAB" w:rsidRDefault="005870FD">
      <w:pPr>
        <w:pStyle w:val="FootnoteText"/>
        <w:rPr>
          <w:rFonts w:cstheme="minorHAnsi"/>
        </w:rPr>
      </w:pPr>
    </w:p>
  </w:footnote>
  <w:footnote w:id="50">
    <w:p w14:paraId="11FA91EC" w14:textId="0E0C9483"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p w14:paraId="21C8047D" w14:textId="443E7EDB" w:rsidR="005870FD" w:rsidRPr="00222AAB" w:rsidRDefault="005870FD">
      <w:pPr>
        <w:pStyle w:val="FootnoteText"/>
        <w:rPr>
          <w:rFonts w:cstheme="minorHAnsi"/>
        </w:rPr>
      </w:pPr>
    </w:p>
  </w:footnote>
  <w:footnote w:id="51">
    <w:p w14:paraId="1160ECDB" w14:textId="5767778E" w:rsidR="005870FD" w:rsidRPr="00222AAB" w:rsidRDefault="005870FD">
      <w:pPr>
        <w:pStyle w:val="FootnoteText"/>
        <w:rPr>
          <w:rFonts w:cstheme="minorHAnsi"/>
        </w:rPr>
      </w:pPr>
      <w:r>
        <w:rPr>
          <w:rStyle w:val="FootnoteReference"/>
          <w:rFonts w:cstheme="minorHAnsi"/>
          <w:sz w:val="18"/>
        </w:rPr>
        <w:footnoteRef/>
      </w:r>
      <w:r>
        <w:tab/>
        <w:t>SMĚRNICE EVROPSKÉHO PARLAMENTU A RADY 2013/36/EU ze dne 26. června 2013 o přístupu k činnosti úvěrových institucí a o obezřetnostním dohledu nad úvěrovými institucemi a investičními podniky, o změně směrnice 2002/87/ES a zrušení směrnic 2006/48/ES a 2006/49/ES (</w:t>
      </w:r>
      <w:proofErr w:type="spellStart"/>
      <w:r>
        <w:t>Úř</w:t>
      </w:r>
      <w:proofErr w:type="spellEnd"/>
      <w:r>
        <w:t xml:space="preserve">. </w:t>
      </w:r>
      <w:proofErr w:type="spellStart"/>
      <w:proofErr w:type="gramStart"/>
      <w:r>
        <w:t>věst</w:t>
      </w:r>
      <w:proofErr w:type="spellEnd"/>
      <w:proofErr w:type="gramEnd"/>
      <w:r>
        <w:t xml:space="preserve">. L 176, </w:t>
      </w:r>
      <w:proofErr w:type="gramStart"/>
      <w:r>
        <w:t>27.6.2013</w:t>
      </w:r>
      <w:proofErr w:type="gramEnd"/>
      <w:r>
        <w:t>, s. 338).</w:t>
      </w:r>
    </w:p>
  </w:footnote>
  <w:footnote w:id="52">
    <w:p w14:paraId="4E6B3EF0" w14:textId="75A90F04" w:rsidR="005870FD" w:rsidRPr="00346640" w:rsidRDefault="005870FD" w:rsidP="00346640">
      <w:pPr>
        <w:pStyle w:val="FootnoteText"/>
        <w:rPr>
          <w:rFonts w:cstheme="minorHAnsi"/>
        </w:rPr>
      </w:pPr>
      <w:r>
        <w:rPr>
          <w:rStyle w:val="FootnoteReference"/>
          <w:rFonts w:cstheme="minorHAnsi"/>
          <w:sz w:val="18"/>
        </w:rPr>
        <w:footnoteRef/>
      </w:r>
      <w:r>
        <w:tab/>
        <w:t>NAŘÍZENÍ KOMISE V PŘENESENÉ PRAVOMOCI (EU) č. 604/2014 ze dne 4. března 2014, kterým se doplňuje směrnice Evropského parlamentu a Rady 2013/36/EU, pokud jde o regulační technické normy týkající se kvalitativních a vhodných kvantitativních kritérií k určení kategorií zaměstnanců, jejichž pracovní činnosti mají podstatný vliv na rizikový profil instituce (</w:t>
      </w:r>
      <w:proofErr w:type="spellStart"/>
      <w:r>
        <w:t>Úř</w:t>
      </w:r>
      <w:proofErr w:type="spellEnd"/>
      <w:r>
        <w:t xml:space="preserve">. </w:t>
      </w:r>
      <w:proofErr w:type="spellStart"/>
      <w:proofErr w:type="gramStart"/>
      <w:r>
        <w:t>věst</w:t>
      </w:r>
      <w:proofErr w:type="spellEnd"/>
      <w:proofErr w:type="gramEnd"/>
      <w:r>
        <w:t xml:space="preserve">. L 167, </w:t>
      </w:r>
      <w:proofErr w:type="gramStart"/>
      <w:r>
        <w:t>6.6.2014</w:t>
      </w:r>
      <w:proofErr w:type="gramEnd"/>
      <w:r>
        <w:t>, s. 30).</w:t>
      </w:r>
    </w:p>
  </w:footnote>
  <w:footnote w:id="53">
    <w:p w14:paraId="1CD04175" w14:textId="7603B6C9" w:rsidR="005870FD" w:rsidRDefault="005870FD">
      <w:pPr>
        <w:pStyle w:val="FootnoteText"/>
      </w:pPr>
      <w:r>
        <w:rPr>
          <w:rStyle w:val="FootnoteReference"/>
        </w:rPr>
        <w:footnoteRef/>
      </w:r>
      <w:r>
        <w:tab/>
        <w:t>Směrnice Evropského parlamentu a Rady 2011/61/EU ze dne 8. června 2011 o správcích alternativních investičních fondů a o změně směrnic 2003/41/ES a 2009/65/ES a nařízení (ES) č. 1060/2009 a (EU) č. 1095/2010 (</w:t>
      </w:r>
      <w:proofErr w:type="spellStart"/>
      <w:r>
        <w:t>Úř</w:t>
      </w:r>
      <w:proofErr w:type="spellEnd"/>
      <w:r>
        <w:t xml:space="preserve">. </w:t>
      </w:r>
      <w:proofErr w:type="spellStart"/>
      <w:proofErr w:type="gramStart"/>
      <w:r>
        <w:t>věst</w:t>
      </w:r>
      <w:proofErr w:type="spellEnd"/>
      <w:proofErr w:type="gramEnd"/>
      <w:r>
        <w:t>. L 174, 1. 7. 2011, s. 1).</w:t>
      </w:r>
    </w:p>
  </w:footnote>
  <w:footnote w:id="54">
    <w:p w14:paraId="37D9562D" w14:textId="7982B55C" w:rsidR="005870FD" w:rsidRPr="00222AAB" w:rsidRDefault="005870FD">
      <w:pPr>
        <w:pStyle w:val="FootnoteText"/>
        <w:rPr>
          <w:rFonts w:cstheme="minorHAnsi"/>
        </w:rPr>
      </w:pPr>
      <w:r>
        <w:rPr>
          <w:rStyle w:val="FootnoteReference"/>
          <w:rFonts w:cstheme="minorHAnsi"/>
          <w:sz w:val="18"/>
        </w:rPr>
        <w:footnoteRef/>
      </w:r>
      <w:r>
        <w:tab/>
        <w:t>Nařízení Evropského parlamentu a Rady (EU) č. 575/2013 ze dne 26. června 2013 o obezřetnostních požadavcích na úvěrové instituce a o změně nařízení (EU) č. 648/2012 (</w:t>
      </w:r>
      <w:proofErr w:type="spellStart"/>
      <w:r>
        <w:fldChar w:fldCharType="begin"/>
      </w:r>
      <w:r>
        <w:instrText xml:space="preserve"> HYPERLINK "https://eur-lex.europa.eu/legal-content/CS/AUTO/?uri=OJ:L:2013:176:TOC" </w:instrText>
      </w:r>
      <w:r>
        <w:fldChar w:fldCharType="separate"/>
      </w:r>
      <w:r>
        <w:rPr>
          <w:rStyle w:val="Hyperlink"/>
        </w:rPr>
        <w:t>Úř</w:t>
      </w:r>
      <w:proofErr w:type="spellEnd"/>
      <w:r>
        <w:rPr>
          <w:rStyle w:val="Hyperlink"/>
        </w:rPr>
        <w:t xml:space="preserve">. </w:t>
      </w:r>
      <w:proofErr w:type="spellStart"/>
      <w:proofErr w:type="gramStart"/>
      <w:r>
        <w:rPr>
          <w:rStyle w:val="Hyperlink"/>
        </w:rPr>
        <w:t>věst</w:t>
      </w:r>
      <w:proofErr w:type="spellEnd"/>
      <w:proofErr w:type="gramEnd"/>
      <w:r>
        <w:rPr>
          <w:rStyle w:val="Hyperlink"/>
        </w:rPr>
        <w:t xml:space="preserve">. L 176, </w:t>
      </w:r>
      <w:proofErr w:type="gramStart"/>
      <w:r>
        <w:rPr>
          <w:rStyle w:val="Hyperlink"/>
        </w:rPr>
        <w:t>27.6.2013</w:t>
      </w:r>
      <w:proofErr w:type="gramEnd"/>
      <w:r>
        <w:rPr>
          <w:rStyle w:val="Hyperlink"/>
        </w:rPr>
        <w:t>, s. 1</w:t>
      </w:r>
      <w:r>
        <w:rPr>
          <w:rStyle w:val="Hyperlink"/>
        </w:rPr>
        <w:fldChar w:fldCharType="end"/>
      </w:r>
      <w:r>
        <w:t>).</w:t>
      </w:r>
    </w:p>
  </w:footnote>
  <w:footnote w:id="55">
    <w:p w14:paraId="27CBD7E9" w14:textId="2674818F" w:rsidR="005870FD" w:rsidRPr="00222AAB" w:rsidRDefault="005870FD">
      <w:pPr>
        <w:pStyle w:val="FootnoteText"/>
        <w:rPr>
          <w:rFonts w:cstheme="minorHAnsi"/>
        </w:rPr>
      </w:pPr>
      <w:r>
        <w:rPr>
          <w:rStyle w:val="FootnoteReference"/>
          <w:rFonts w:cstheme="minorHAnsi"/>
          <w:sz w:val="18"/>
        </w:rPr>
        <w:footnoteRef/>
      </w:r>
      <w:r>
        <w:tab/>
        <w:t>PROVÁDĚCÍ NAŘÍZENÍ KOMISE (EU) č. 680/2014 ze dne 16. dubna 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s. 1).</w:t>
      </w:r>
    </w:p>
  </w:footnote>
  <w:footnote w:id="56">
    <w:p w14:paraId="5226DE22" w14:textId="5E9B1D98" w:rsidR="005870FD" w:rsidRPr="00222AAB" w:rsidRDefault="005870FD">
      <w:pPr>
        <w:pStyle w:val="FootnoteText"/>
        <w:rPr>
          <w:rFonts w:cstheme="minorHAnsi"/>
        </w:rPr>
      </w:pPr>
      <w:r>
        <w:rPr>
          <w:rStyle w:val="FootnoteReference"/>
          <w:rFonts w:cstheme="minorHAnsi"/>
          <w:sz w:val="18"/>
        </w:rPr>
        <w:footnoteRef/>
      </w:r>
      <w:r>
        <w:tab/>
        <w:t>NAŘÍZENÍ EVROPSKÉ CENTRÁLNÍ BANKY (EU) č. 1071/2013 ze dne 24. září 2013 o rozvaze sektoru měnových finančních institucí (přepracované znění)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57">
    <w:p w14:paraId="3824AC0C" w14:textId="460A8FCE" w:rsidR="005870FD" w:rsidRPr="00222AAB" w:rsidRDefault="005870FD">
      <w:pPr>
        <w:pStyle w:val="FootnoteText"/>
        <w:rPr>
          <w:rFonts w:cstheme="minorHAnsi"/>
        </w:rPr>
      </w:pPr>
      <w:r>
        <w:rPr>
          <w:rStyle w:val="FootnoteReference"/>
          <w:rFonts w:cstheme="minorHAnsi"/>
          <w:sz w:val="18"/>
        </w:rPr>
        <w:footnoteRef/>
      </w:r>
      <w:r>
        <w:tab/>
        <w:t>SMĚRNICE EVROPSKÉHO PARLAMENTU A RADY 2009/65/ES ze dne 13. července 2009 o koordinaci právních a správních předpisů týkajících se subjektů kolektivního investování do převoditelných cenných papírů (SKIPCP) (</w:t>
      </w:r>
      <w:proofErr w:type="spellStart"/>
      <w:r>
        <w:t>Úř</w:t>
      </w:r>
      <w:proofErr w:type="spellEnd"/>
      <w:r>
        <w:t xml:space="preserve">. </w:t>
      </w:r>
      <w:proofErr w:type="spellStart"/>
      <w:proofErr w:type="gramStart"/>
      <w:r>
        <w:t>věst</w:t>
      </w:r>
      <w:proofErr w:type="spellEnd"/>
      <w:proofErr w:type="gramEnd"/>
      <w:r>
        <w:t xml:space="preserve">. L 302, </w:t>
      </w:r>
      <w:proofErr w:type="gramStart"/>
      <w:r>
        <w:t>17.11.2009</w:t>
      </w:r>
      <w:proofErr w:type="gramEnd"/>
      <w:r>
        <w:t>, s. 32).</w:t>
      </w:r>
    </w:p>
  </w:footnote>
  <w:footnote w:id="58">
    <w:p w14:paraId="71E91F33" w14:textId="321BDBF9" w:rsidR="005870FD" w:rsidRPr="00222AAB" w:rsidRDefault="005870FD">
      <w:pPr>
        <w:pStyle w:val="FootnoteText"/>
        <w:rPr>
          <w:rFonts w:cstheme="minorHAnsi"/>
        </w:rPr>
      </w:pPr>
      <w:r>
        <w:rPr>
          <w:rStyle w:val="FootnoteReference"/>
          <w:rFonts w:cstheme="minorHAnsi"/>
          <w:sz w:val="18"/>
        </w:rPr>
        <w:footnoteRef/>
      </w:r>
      <w:r>
        <w:tab/>
        <w:t>NAŘÍZENÍ KOMISE V PŘENESENÉ PRAVOMOCI (EU) 2015/61 ze dne 10. října 2014, kterým se doplňuje nařízení Evropského parlamentu a Rady (EU) č. 575/2013, pokud jde o požadavek na úvěrové instituce týkající se krytí likvidity (</w:t>
      </w:r>
      <w:proofErr w:type="spellStart"/>
      <w:r>
        <w:t>Úř</w:t>
      </w:r>
      <w:proofErr w:type="spellEnd"/>
      <w:r>
        <w:t xml:space="preserve">. </w:t>
      </w:r>
      <w:proofErr w:type="spellStart"/>
      <w:proofErr w:type="gramStart"/>
      <w:r>
        <w:t>věst</w:t>
      </w:r>
      <w:proofErr w:type="spellEnd"/>
      <w:proofErr w:type="gramEnd"/>
      <w:r>
        <w:t xml:space="preserve">. L 11, </w:t>
      </w:r>
      <w:proofErr w:type="gramStart"/>
      <w:r>
        <w:t>17.1.2015</w:t>
      </w:r>
      <w:proofErr w:type="gramEnd"/>
      <w:r>
        <w:t>, s. 1).</w:t>
      </w:r>
    </w:p>
  </w:footnote>
  <w:footnote w:id="59">
    <w:p w14:paraId="175ED560" w14:textId="6C343BA9" w:rsidR="005870FD" w:rsidRPr="00346640" w:rsidRDefault="005870FD">
      <w:pPr>
        <w:pStyle w:val="FootnoteText"/>
        <w:rPr>
          <w:rFonts w:cstheme="minorHAnsi"/>
        </w:rPr>
      </w:pPr>
      <w:r>
        <w:rPr>
          <w:rStyle w:val="FootnoteReference"/>
          <w:rFonts w:cstheme="minorHAnsi"/>
          <w:sz w:val="18"/>
        </w:rPr>
        <w:footnoteRef/>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roofErr w:type="spellStart"/>
      <w:r>
        <w:t>Úř</w:t>
      </w:r>
      <w:proofErr w:type="spellEnd"/>
      <w:r>
        <w:t xml:space="preserve">. </w:t>
      </w:r>
      <w:proofErr w:type="spellStart"/>
      <w:proofErr w:type="gramStart"/>
      <w:r>
        <w:t>věst</w:t>
      </w:r>
      <w:proofErr w:type="spellEnd"/>
      <w:proofErr w:type="gramEnd"/>
      <w:r>
        <w:t xml:space="preserve">. L 182, </w:t>
      </w:r>
      <w:proofErr w:type="gramStart"/>
      <w:r>
        <w:t>29.6.2013</w:t>
      </w:r>
      <w:proofErr w:type="gramEnd"/>
      <w:r>
        <w:t>,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5870FD" w:rsidRDefault="005870FD">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5870FD" w:rsidRDefault="005870F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5870FD" w:rsidRDefault="005870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5870FD" w:rsidRDefault="005870FD" w:rsidP="00E677EF">
    <w:pPr>
      <w:pStyle w:val="Runningtitle"/>
    </w:pPr>
    <w:r>
      <w:t>running title comes here in running title style</w:t>
    </w:r>
    <w:r>
      <w:rPr>
        <w:noProof/>
        <w:lang w:eastAsia="cs-CZ"/>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8"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4CCA77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FCFAB298"/>
    <w:lvl w:ilvl="0">
      <w:start w:val="2"/>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45D6801C"/>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5DF4C4F8"/>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DA6AC4B0"/>
    <w:lvl w:ilvl="0">
      <w:start w:val="1"/>
      <w:numFmt w:val="lowerRoman"/>
      <w:lvlText w:val="%1ii)"/>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079C4672"/>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7018DA2A"/>
    <w:lvl w:ilvl="0" w:tplc="4C245000">
      <w:start w:val="1"/>
      <w:numFmt w:val="decimal"/>
      <w:lvlText w:val="%1."/>
      <w:lvlJc w:val="left"/>
      <w:pPr>
        <w:ind w:left="360" w:hanging="360"/>
      </w:pPr>
      <w:rPr>
        <w:rFonts w:hint="default"/>
      </w:rPr>
    </w:lvl>
    <w:lvl w:ilvl="1" w:tplc="22965BCE">
      <w:start w:val="2"/>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5EAE9170"/>
    <w:lvl w:ilvl="0" w:tplc="0B1A37F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45DC95A0"/>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B60C8AD2"/>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E1E47C68"/>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D7D49480"/>
    <w:lvl w:ilvl="0">
      <w:start w:val="1"/>
      <w:numFmt w:val="lowerRoman"/>
      <w:lvlText w:val="%1i)"/>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B06FA30"/>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5BC287B8"/>
    <w:lvl w:ilvl="0" w:tplc="2796000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9D2403E0"/>
    <w:lvl w:ilvl="0" w:tplc="22965BCE">
      <w:start w:val="2"/>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93BAE5F2"/>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FC8669E6"/>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33128044"/>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10525AB8"/>
    <w:lvl w:ilvl="0" w:tplc="0B1A37F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6D18CD64"/>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C4964856"/>
    <w:lvl w:ilvl="0" w:tplc="0B1A3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A0C4F2EC"/>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F08EFEC2"/>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num>
  <w:num w:numId="12">
    <w:abstractNumId w:val="55"/>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 w:numId="73">
    <w:abstractNumId w:val="18"/>
  </w:num>
  <w:num w:numId="74">
    <w:abstractNumId w:val="5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it-IT" w:vendorID="64" w:dllVersion="131078" w:nlCheck="1" w:checkStyle="0"/>
  <w:activeWritingStyle w:appName="MSWord" w:lang="pt-PT" w:vendorID="64" w:dllVersion="131078"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3AE"/>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27FC"/>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17B"/>
    <w:rsid w:val="00313821"/>
    <w:rsid w:val="00314D6E"/>
    <w:rsid w:val="00320783"/>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153D"/>
    <w:rsid w:val="00392385"/>
    <w:rsid w:val="00395966"/>
    <w:rsid w:val="003A1224"/>
    <w:rsid w:val="003A2616"/>
    <w:rsid w:val="003A4578"/>
    <w:rsid w:val="003A6482"/>
    <w:rsid w:val="003B3A9D"/>
    <w:rsid w:val="003B4C84"/>
    <w:rsid w:val="003B6056"/>
    <w:rsid w:val="003B6A5A"/>
    <w:rsid w:val="003B7D75"/>
    <w:rsid w:val="003C0305"/>
    <w:rsid w:val="003C095D"/>
    <w:rsid w:val="003C2B40"/>
    <w:rsid w:val="003C3E41"/>
    <w:rsid w:val="003C6475"/>
    <w:rsid w:val="003D01F8"/>
    <w:rsid w:val="003D04AB"/>
    <w:rsid w:val="003D1ACD"/>
    <w:rsid w:val="003D450D"/>
    <w:rsid w:val="003D59D6"/>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CE8"/>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1A28"/>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870FD"/>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280B"/>
    <w:rsid w:val="005B335E"/>
    <w:rsid w:val="005B4448"/>
    <w:rsid w:val="005B5C09"/>
    <w:rsid w:val="005B7D63"/>
    <w:rsid w:val="005C1518"/>
    <w:rsid w:val="005C2774"/>
    <w:rsid w:val="005C326D"/>
    <w:rsid w:val="005C3DFF"/>
    <w:rsid w:val="005C498B"/>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8F"/>
    <w:rsid w:val="00633DC7"/>
    <w:rsid w:val="00634158"/>
    <w:rsid w:val="00636E1D"/>
    <w:rsid w:val="0063793A"/>
    <w:rsid w:val="006400F5"/>
    <w:rsid w:val="00641F64"/>
    <w:rsid w:val="006420A5"/>
    <w:rsid w:val="00642DEB"/>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1578"/>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60B6"/>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748"/>
    <w:rsid w:val="00A03D37"/>
    <w:rsid w:val="00A0415A"/>
    <w:rsid w:val="00A04FB4"/>
    <w:rsid w:val="00A060B7"/>
    <w:rsid w:val="00A062C7"/>
    <w:rsid w:val="00A10257"/>
    <w:rsid w:val="00A10DC8"/>
    <w:rsid w:val="00A11903"/>
    <w:rsid w:val="00A14332"/>
    <w:rsid w:val="00A146D1"/>
    <w:rsid w:val="00A1502F"/>
    <w:rsid w:val="00A165E0"/>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3AFE"/>
    <w:rsid w:val="00B35302"/>
    <w:rsid w:val="00B3560E"/>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3D7C"/>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3410"/>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30"/>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4769"/>
    <w:rsid w:val="00CC67A6"/>
    <w:rsid w:val="00CC7137"/>
    <w:rsid w:val="00CD0596"/>
    <w:rsid w:val="00CD11F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6D6D"/>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61EB"/>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112E"/>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cs-CZ"/>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cs-CZ"/>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cs-CZ"/>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cs-CZ"/>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cs-CZ"/>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cs-CZ"/>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39153D"/>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39153D"/>
    <w:pPr>
      <w:spacing w:after="120"/>
      <w:ind w:left="68" w:hanging="35"/>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cs-CZ"/>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cs-CZ"/>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cs-CZ"/>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cs-CZ"/>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cs-CZ"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cs-CZ"/>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cs-CZ"/>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24D3D-537A-4038-B4EA-1B6D5CFA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220</Pages>
  <Words>66943</Words>
  <Characters>377564</Characters>
  <Application>Microsoft Office Word</Application>
  <DocSecurity>0</DocSecurity>
  <Lines>9439</Lines>
  <Paragraphs>5291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2021-02-26T14:03:00Z</dcterms:modified>
</cp:coreProperties>
</file>