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0D" w:rsidRPr="00451D4C" w:rsidRDefault="00F460C6" w:rsidP="00D528BE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92B563A-7FA2-4FFB-BF40-4A4DCB3E925B" style="width:451pt;height:422.8pt">
            <v:imagedata r:id="rId8" o:title=""/>
          </v:shape>
        </w:pict>
      </w:r>
    </w:p>
    <w:p w:rsidR="0004170D" w:rsidRPr="00451D4C" w:rsidRDefault="0004170D">
      <w:pPr>
        <w:sectPr w:rsidR="0004170D" w:rsidRPr="00451D4C" w:rsidSect="00D528BE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04170D" w:rsidRPr="00451D4C" w:rsidRDefault="00D528BE" w:rsidP="00D528BE">
      <w:pPr>
        <w:pStyle w:val="Typedudocument"/>
      </w:pPr>
      <w:r w:rsidRPr="00D528BE">
        <w:lastRenderedPageBreak/>
        <w:t>VYKONÁVACIE NARIADENIE KOMISIE (EÚ) …/...</w:t>
      </w:r>
    </w:p>
    <w:p w:rsidR="0004170D" w:rsidRPr="00451D4C" w:rsidRDefault="00D528BE" w:rsidP="00D528BE">
      <w:pPr>
        <w:pStyle w:val="Datedadoption"/>
      </w:pPr>
      <w:r w:rsidRPr="00D528BE">
        <w:t xml:space="preserve">z </w:t>
      </w:r>
      <w:r w:rsidRPr="00D528BE">
        <w:rPr>
          <w:rStyle w:val="Marker2"/>
        </w:rPr>
        <w:t>XXX</w:t>
      </w:r>
      <w:r w:rsidRPr="00D528BE">
        <w:t>,</w:t>
      </w:r>
    </w:p>
    <w:p w:rsidR="0004170D" w:rsidRPr="00451D4C" w:rsidRDefault="00D528BE" w:rsidP="00D528BE">
      <w:pPr>
        <w:pStyle w:val="Titreobjet"/>
      </w:pPr>
      <w:r w:rsidRPr="00D528BE">
        <w:t>ktorým sa stanovujú vykonávacie technické predpisy, pokiaľ ide o zverejňovanie informácií uvedených v ôsmej časti hlavách II a III nariadenia Európskeho parlamentu a Rady (EÚ) č. 575/2013 inštitúciami, a ktorým sa zrušuje vykonávacie nariadenie Komisie (EÚ) č. 1423/2013, delegované nariadenie Komisie (EÚ) 2015/1555, vykonávacie nariadenie Komisie (EÚ) 2016/200 a delegované nariadenie Komisie (EÚ) 2017/2295</w:t>
      </w:r>
    </w:p>
    <w:p w:rsidR="0004170D" w:rsidRPr="00451D4C" w:rsidRDefault="00D528BE" w:rsidP="00D528BE">
      <w:pPr>
        <w:pStyle w:val="IntrtEEE"/>
      </w:pPr>
      <w:r w:rsidRPr="00D528BE">
        <w:t>(Text s významom pre EHP)</w:t>
      </w:r>
    </w:p>
    <w:p w:rsidR="0004170D" w:rsidRPr="00451D4C" w:rsidRDefault="0004170D" w:rsidP="009675DD">
      <w:pPr>
        <w:pStyle w:val="Institutionquiagit"/>
      </w:pPr>
      <w:r w:rsidRPr="00451D4C">
        <w:t>EURÓPSKA KOMISIA,</w:t>
      </w:r>
    </w:p>
    <w:p w:rsidR="0004170D" w:rsidRPr="00451D4C" w:rsidRDefault="0004170D" w:rsidP="009675DD">
      <w:r w:rsidRPr="00451D4C">
        <w:t>so zreteľom na Zmluvu</w:t>
      </w:r>
      <w:r w:rsidR="00451D4C">
        <w:t xml:space="preserve"> o </w:t>
      </w:r>
      <w:r w:rsidRPr="00451D4C">
        <w:t>fungovaní Európskej únie,</w:t>
      </w:r>
    </w:p>
    <w:p w:rsidR="0004170D" w:rsidRPr="00451D4C" w:rsidRDefault="007E66A7" w:rsidP="009675DD">
      <w:r w:rsidRPr="00451D4C">
        <w:t>so zreteľom na nariadenie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</w:t>
      </w:r>
      <w:r w:rsidR="00451D4C">
        <w:t xml:space="preserve"> z </w:t>
      </w:r>
      <w:r w:rsidRPr="00451D4C">
        <w:t>26</w:t>
      </w:r>
      <w:r w:rsidR="00451D4C">
        <w:t>. júna</w:t>
      </w:r>
      <w:r w:rsidRPr="00451D4C">
        <w:t xml:space="preserve"> 2013</w:t>
      </w:r>
      <w:r w:rsidR="00451D4C">
        <w:t xml:space="preserve"> o </w:t>
      </w:r>
      <w:r w:rsidRPr="00451D4C">
        <w:t>prudenciálnych požiadavkách na úverové inštitúcie</w:t>
      </w:r>
      <w:r w:rsidR="00451D4C">
        <w:t xml:space="preserve"> a </w:t>
      </w:r>
      <w:r w:rsidRPr="00451D4C">
        <w:t>investičné spoločnosti</w:t>
      </w:r>
      <w:r w:rsidR="00451D4C">
        <w:t xml:space="preserve"> a o </w:t>
      </w:r>
      <w:r w:rsidRPr="00451D4C">
        <w:t xml:space="preserve">zmene nariadenia (EÚ) </w:t>
      </w:r>
      <w:r w:rsidR="00451D4C">
        <w:t>č. </w:t>
      </w:r>
      <w:r w:rsidRPr="00451D4C">
        <w:t>648/2012</w:t>
      </w:r>
      <w:r w:rsidRPr="00451D4C">
        <w:rPr>
          <w:rStyle w:val="FootnoteReference"/>
        </w:rPr>
        <w:footnoteReference w:id="2"/>
      </w:r>
      <w:r w:rsidRPr="00451D4C">
        <w:t>,</w:t>
      </w:r>
      <w:r w:rsidR="00451D4C">
        <w:t xml:space="preserve"> a </w:t>
      </w:r>
      <w:r w:rsidRPr="00451D4C">
        <w:t>najmä na jeho článok 434a,</w:t>
      </w:r>
    </w:p>
    <w:p w:rsidR="0004170D" w:rsidRPr="00451D4C" w:rsidRDefault="0004170D" w:rsidP="009675DD">
      <w:r w:rsidRPr="00451D4C">
        <w:t>keďže:</w:t>
      </w:r>
    </w:p>
    <w:p w:rsidR="0094247F" w:rsidRPr="00451D4C" w:rsidRDefault="0094247F" w:rsidP="007D3DD0">
      <w:pPr>
        <w:pStyle w:val="Considrant"/>
        <w:numPr>
          <w:ilvl w:val="0"/>
          <w:numId w:val="11"/>
        </w:numPr>
      </w:pPr>
      <w:r w:rsidRPr="00451D4C">
        <w:t>Bazilejský výbor pre bankový dohľad (BCBS) uverejnil</w:t>
      </w:r>
      <w:r w:rsidR="00451D4C">
        <w:t xml:space="preserve"> v </w:t>
      </w:r>
      <w:r w:rsidRPr="00451D4C">
        <w:t>decembri 2019 konsolidovaný bazilejský rámec vrátane aktualizovaných požiadaviek na zverejňovanie informácií</w:t>
      </w:r>
      <w:r w:rsidR="00451D4C">
        <w:t xml:space="preserve"> z </w:t>
      </w:r>
      <w:r w:rsidRPr="00451D4C">
        <w:t>piliera 3</w:t>
      </w:r>
      <w:r w:rsidRPr="00451D4C">
        <w:rPr>
          <w:rStyle w:val="FootnoteReference"/>
          <w:szCs w:val="24"/>
        </w:rPr>
        <w:footnoteReference w:id="3"/>
      </w:r>
      <w:r w:rsidRPr="00451D4C">
        <w:t>, ktoré boli do nariadenia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 väčšinou zavedené nariadením Európskeho parlamentu</w:t>
      </w:r>
      <w:r w:rsidR="00451D4C">
        <w:t xml:space="preserve"> a </w:t>
      </w:r>
      <w:r w:rsidRPr="00451D4C">
        <w:t>Rady (EÚ) 2019/876</w:t>
      </w:r>
      <w:r w:rsidRPr="00451D4C">
        <w:rPr>
          <w:rStyle w:val="FootnoteReference"/>
          <w:szCs w:val="24"/>
        </w:rPr>
        <w:footnoteReference w:id="4"/>
      </w:r>
      <w:r w:rsidRPr="00451D4C">
        <w:t>. Na vykonanie uvedených zmien by sa mal stanoviť konzistentný</w:t>
      </w:r>
      <w:r w:rsidR="00451D4C">
        <w:t xml:space="preserve"> a </w:t>
      </w:r>
      <w:r w:rsidRPr="00451D4C">
        <w:t>úplný rámec zverejňovania informácií</w:t>
      </w:r>
      <w:r w:rsidR="00451D4C">
        <w:t xml:space="preserve"> z </w:t>
      </w:r>
      <w:r w:rsidRPr="00451D4C">
        <w:t>piliera 3.</w:t>
      </w:r>
    </w:p>
    <w:p w:rsidR="007E66A7" w:rsidRPr="00451D4C" w:rsidRDefault="00442C93" w:rsidP="00F5043B">
      <w:pPr>
        <w:pStyle w:val="Considrant"/>
        <w:rPr>
          <w:sz w:val="22"/>
        </w:rPr>
      </w:pPr>
      <w:r w:rsidRPr="00451D4C">
        <w:t xml:space="preserve">Vykonávacím nariadením Komisie (EÚ) </w:t>
      </w:r>
      <w:r w:rsidR="00451D4C">
        <w:t>č. </w:t>
      </w:r>
      <w:r w:rsidRPr="00451D4C">
        <w:t>1423/2013</w:t>
      </w:r>
      <w:r w:rsidRPr="00451D4C">
        <w:rPr>
          <w:rStyle w:val="FootnoteReference"/>
        </w:rPr>
        <w:footnoteReference w:id="5"/>
      </w:r>
      <w:r w:rsidRPr="00451D4C">
        <w:t>, delegovaným nariadením Komisie (EÚ) 2015/1555</w:t>
      </w:r>
      <w:r w:rsidRPr="00451D4C">
        <w:rPr>
          <w:rStyle w:val="FootnoteReference"/>
        </w:rPr>
        <w:footnoteReference w:id="6"/>
      </w:r>
      <w:r w:rsidRPr="00451D4C">
        <w:t>, vykonávacím nariadením Komisie (EÚ) 2016/200</w:t>
      </w:r>
      <w:r w:rsidRPr="00451D4C">
        <w:rPr>
          <w:rStyle w:val="FootnoteReference"/>
        </w:rPr>
        <w:footnoteReference w:id="7"/>
      </w:r>
      <w:r w:rsidR="00451D4C">
        <w:t xml:space="preserve"> a </w:t>
      </w:r>
      <w:r w:rsidRPr="00451D4C">
        <w:t>delegovaným nariadením Komisie (EÚ) 2017/2295</w:t>
      </w:r>
      <w:r w:rsidRPr="00451D4C">
        <w:rPr>
          <w:rStyle w:val="FootnoteReference"/>
        </w:rPr>
        <w:footnoteReference w:id="8"/>
      </w:r>
      <w:r w:rsidRPr="00451D4C">
        <w:t xml:space="preserve"> sa stanovujú jednotné formáty, vzory</w:t>
      </w:r>
      <w:r w:rsidR="00451D4C">
        <w:t xml:space="preserve"> a </w:t>
      </w:r>
      <w:r w:rsidRPr="00451D4C">
        <w:t xml:space="preserve">tabuľky pre vlastné zdroje, proticyklické kapitálové vankúše, ukazovateľ </w:t>
      </w:r>
      <w:r w:rsidRPr="00451D4C">
        <w:lastRenderedPageBreak/>
        <w:t>finančnej páky</w:t>
      </w:r>
      <w:r w:rsidR="00451D4C">
        <w:t xml:space="preserve"> a </w:t>
      </w:r>
      <w:r w:rsidRPr="00451D4C">
        <w:t>zaťaženosť aktív. Jednotné formáty, vzory</w:t>
      </w:r>
      <w:r w:rsidR="00451D4C">
        <w:t xml:space="preserve"> a </w:t>
      </w:r>
      <w:r w:rsidRPr="00451D4C">
        <w:t>tabuľky by sa preto mali rozšíriť tak, aby zahŕňali zverejňovanie iných prudenciálnych aspektov, ktoré sa musia zverejniť podľa nariadenia (EÚ) 2019/876. Konkrétnejšie by sa mal zaviesť vzor pre zverejňovanie kľúčových ukazovateľov, ktorý účastníkom trhu uľahčí prístup ku kľúčovým informáciám inštitúcií</w:t>
      </w:r>
      <w:r w:rsidR="00451D4C">
        <w:t xml:space="preserve"> o </w:t>
      </w:r>
      <w:r w:rsidRPr="00451D4C">
        <w:t>vlastných zdrojoch</w:t>
      </w:r>
      <w:r w:rsidR="00451D4C">
        <w:t xml:space="preserve"> a </w:t>
      </w:r>
      <w:r w:rsidRPr="00451D4C">
        <w:t>likvidite.</w:t>
      </w:r>
    </w:p>
    <w:p w:rsidR="00451D4C" w:rsidRDefault="00F5043B" w:rsidP="007E66A7">
      <w:pPr>
        <w:pStyle w:val="Considrant"/>
      </w:pPr>
      <w:r w:rsidRPr="00451D4C">
        <w:t>Vzory</w:t>
      </w:r>
      <w:r w:rsidR="00451D4C">
        <w:t xml:space="preserve"> a </w:t>
      </w:r>
      <w:r w:rsidRPr="00451D4C">
        <w:t>tabuľky používané na zverejňovanie informácií by mali poskytovať dostatočne komplexné</w:t>
      </w:r>
      <w:r w:rsidR="00451D4C">
        <w:t xml:space="preserve"> a </w:t>
      </w:r>
      <w:r w:rsidRPr="00451D4C">
        <w:t>porovnateľné informácie, aby sa používateľom týchto informácií umožnilo posúdiť rizikové profily inštitúcií</w:t>
      </w:r>
      <w:r w:rsidR="00451D4C">
        <w:t xml:space="preserve"> a </w:t>
      </w:r>
      <w:r w:rsidRPr="00451D4C">
        <w:t>stupeň ich súladu</w:t>
      </w:r>
      <w:r w:rsidR="00451D4C">
        <w:t xml:space="preserve"> s </w:t>
      </w:r>
      <w:r w:rsidRPr="00451D4C">
        <w:t xml:space="preserve">nariadením (EÚ) </w:t>
      </w:r>
      <w:r w:rsidR="00451D4C">
        <w:t>č. </w:t>
      </w:r>
      <w:r w:rsidRPr="00451D4C">
        <w:t>575/2013.</w:t>
      </w:r>
      <w:r w:rsidR="00451D4C">
        <w:t xml:space="preserve"> S </w:t>
      </w:r>
      <w:r w:rsidRPr="00451D4C">
        <w:t>cieľom zohľadniť zásadu proporcionality by sa však vo formátoch, vzoroch</w:t>
      </w:r>
      <w:r w:rsidR="00451D4C">
        <w:t xml:space="preserve"> a </w:t>
      </w:r>
      <w:r w:rsidRPr="00451D4C">
        <w:t>tabuľkách na zverejňovanie informácií mali zohľadňovať rozdiely vo veľkosti</w:t>
      </w:r>
      <w:r w:rsidR="00451D4C">
        <w:t xml:space="preserve"> a </w:t>
      </w:r>
      <w:r w:rsidRPr="00451D4C">
        <w:t>zložitosti medzi jednotlivými inštitúciami, ktoré vedú</w:t>
      </w:r>
      <w:r w:rsidR="00451D4C">
        <w:t xml:space="preserve"> k </w:t>
      </w:r>
      <w:r w:rsidRPr="00451D4C">
        <w:t>výskytu rôznych úrovní</w:t>
      </w:r>
      <w:r w:rsidR="00451D4C">
        <w:t xml:space="preserve"> a </w:t>
      </w:r>
      <w:r w:rsidRPr="00451D4C">
        <w:t>druhov rizík,</w:t>
      </w:r>
      <w:r w:rsidR="00451D4C">
        <w:t xml:space="preserve"> a </w:t>
      </w:r>
      <w:r w:rsidRPr="00451D4C">
        <w:t>to tak, že sa pre rozšírené zverejňovanie informácií zahrnú dodatočné prahové hodnoty</w:t>
      </w:r>
      <w:r w:rsidR="00451D4C">
        <w:t>.</w:t>
      </w:r>
    </w:p>
    <w:p w:rsidR="007E66A7" w:rsidRPr="00451D4C" w:rsidRDefault="00C91C95" w:rsidP="007E66A7">
      <w:pPr>
        <w:pStyle w:val="Considrant"/>
      </w:pPr>
      <w:r w:rsidRPr="00451D4C">
        <w:t xml:space="preserve">Nariadením (EÚ) 2019/876 sa do nariadenia (EÚ) </w:t>
      </w:r>
      <w:r w:rsidR="00451D4C">
        <w:t>č. </w:t>
      </w:r>
      <w:r w:rsidRPr="00451D4C">
        <w:t>575/2013 zaviedol nový kalibrovaný ukazovateľ finančnej páky</w:t>
      </w:r>
      <w:r w:rsidR="00451D4C">
        <w:t xml:space="preserve"> a </w:t>
      </w:r>
      <w:r w:rsidRPr="00451D4C">
        <w:t>vankúš ukazovateľa finančnej páky pre globálne systémovo významné inštitúcie (G-SII). Na vykonanie uvedenej zmeny</w:t>
      </w:r>
      <w:r w:rsidR="00451D4C">
        <w:t xml:space="preserve"> a </w:t>
      </w:r>
      <w:r w:rsidRPr="00451D4C">
        <w:t>potrebných úprav vo výpočte expozícií treba stanoviť vzory</w:t>
      </w:r>
      <w:r w:rsidR="00451D4C">
        <w:t xml:space="preserve"> a </w:t>
      </w:r>
      <w:r w:rsidRPr="00451D4C">
        <w:t>tabuľky.</w:t>
      </w:r>
    </w:p>
    <w:p w:rsidR="007E66A7" w:rsidRPr="00451D4C" w:rsidRDefault="00C91C95" w:rsidP="007E66A7">
      <w:pPr>
        <w:pStyle w:val="Considrant"/>
      </w:pPr>
      <w:r w:rsidRPr="00451D4C">
        <w:t xml:space="preserve">Nariadením (EÚ) 2019/876 sa do nariadenia (EÚ) </w:t>
      </w:r>
      <w:r w:rsidR="00451D4C">
        <w:t>č. </w:t>
      </w:r>
      <w:r w:rsidRPr="00451D4C">
        <w:t>575/2013 zaviedli nové požiadavky na zverejňovanie informácií</w:t>
      </w:r>
      <w:r w:rsidR="00451D4C">
        <w:t xml:space="preserve"> o </w:t>
      </w:r>
      <w:r w:rsidRPr="00451D4C">
        <w:t>ukazovateli čistého stabilného financovania. Na vykonanie uvedenej zmeny treba stanoviť vzor pre tieto nové požiadavky na zverejňovanie.</w:t>
      </w:r>
    </w:p>
    <w:p w:rsidR="007E66A7" w:rsidRPr="00451D4C" w:rsidRDefault="00387DA9" w:rsidP="007E66A7">
      <w:pPr>
        <w:pStyle w:val="Considrant"/>
        <w:rPr>
          <w:sz w:val="22"/>
        </w:rPr>
      </w:pPr>
      <w:r w:rsidRPr="00451D4C">
        <w:t>Nariadením (EÚ) 2019/876 sa</w:t>
      </w:r>
      <w:r w:rsidR="00451D4C">
        <w:t xml:space="preserve"> v </w:t>
      </w:r>
      <w:r w:rsidRPr="00451D4C">
        <w:t xml:space="preserve">nariadení (EÚ) </w:t>
      </w:r>
      <w:r w:rsidR="00451D4C">
        <w:t>č. </w:t>
      </w:r>
      <w:r w:rsidRPr="00451D4C">
        <w:t>575/2013 štandardizované prístupy ku kreditnému riziku protistrany nahradili štandardizovaným prístupom ku kreditnému riziku protistrany (SA-CCR), ktorý je citlivejší na riziko,</w:t>
      </w:r>
      <w:r w:rsidR="00451D4C">
        <w:t xml:space="preserve"> a </w:t>
      </w:r>
      <w:r w:rsidRPr="00451D4C">
        <w:t>zjednodušeným prístupom SA-CCR pre inštitúcie, ktoré spĺňajú vopred vymedzené kritériá oprávnenosti. Okrem toho sa</w:t>
      </w:r>
      <w:r w:rsidR="00451D4C">
        <w:t xml:space="preserve"> v </w:t>
      </w:r>
      <w:r w:rsidRPr="00451D4C">
        <w:t>nariadení (EÚ) 2019/876 zrevidovala metóda pôvodnej expozície. Na vykonanie uvedených zmien treba zaviesť komplexný súbor tabuliek</w:t>
      </w:r>
      <w:r w:rsidR="00451D4C">
        <w:t xml:space="preserve"> a </w:t>
      </w:r>
      <w:r w:rsidRPr="00451D4C">
        <w:t>vzorov na zverejňovanie informácií.</w:t>
      </w:r>
    </w:p>
    <w:p w:rsidR="007E66A7" w:rsidRPr="00451D4C" w:rsidRDefault="00B90336" w:rsidP="007E66A7">
      <w:pPr>
        <w:pStyle w:val="Considrant"/>
        <w:rPr>
          <w:sz w:val="22"/>
        </w:rPr>
      </w:pPr>
      <w:r w:rsidRPr="00451D4C">
        <w:t xml:space="preserve">Nariadením (EÚ) 2019/876 sa do nariadenia (EÚ) </w:t>
      </w:r>
      <w:r w:rsidR="00451D4C">
        <w:t>č. </w:t>
      </w:r>
      <w:r w:rsidRPr="00451D4C">
        <w:t>575/2013 zaviedla nová požiadavka na zverejňovanie informácií</w:t>
      </w:r>
      <w:r w:rsidR="00451D4C">
        <w:t xml:space="preserve"> o </w:t>
      </w:r>
      <w:r w:rsidRPr="00451D4C">
        <w:t>bezproblémových</w:t>
      </w:r>
      <w:r w:rsidR="00451D4C">
        <w:t xml:space="preserve"> a </w:t>
      </w:r>
      <w:r w:rsidRPr="00451D4C">
        <w:t>problémových expozíciách</w:t>
      </w:r>
      <w:r w:rsidR="00451D4C">
        <w:t xml:space="preserve"> a o </w:t>
      </w:r>
      <w:r w:rsidRPr="00451D4C">
        <w:t>expozíciách</w:t>
      </w:r>
      <w:r w:rsidR="00451D4C">
        <w:t xml:space="preserve"> s </w:t>
      </w:r>
      <w:r w:rsidRPr="00451D4C">
        <w:t>úľavou vrátane zverejňovania informácií</w:t>
      </w:r>
      <w:r w:rsidR="00451D4C">
        <w:t xml:space="preserve"> o </w:t>
      </w:r>
      <w:r w:rsidRPr="00451D4C">
        <w:t>prijatých kolateráloch</w:t>
      </w:r>
      <w:r w:rsidR="00451D4C">
        <w:t xml:space="preserve"> a </w:t>
      </w:r>
      <w:r w:rsidRPr="00451D4C">
        <w:t>finančných zárukách. Na vykonanie uvedenej zmeny</w:t>
      </w:r>
      <w:r w:rsidR="00451D4C">
        <w:t xml:space="preserve"> a </w:t>
      </w:r>
      <w:r w:rsidRPr="00451D4C">
        <w:t>uvedených nových požiadaviek na zverejňovanie informácií treba zaviesť komplexný súbor vzorov</w:t>
      </w:r>
      <w:r w:rsidR="00451D4C">
        <w:t xml:space="preserve"> a </w:t>
      </w:r>
      <w:r w:rsidRPr="00451D4C">
        <w:t>tabuliek.</w:t>
      </w:r>
      <w:r w:rsidR="00451D4C">
        <w:t xml:space="preserve"> Z </w:t>
      </w:r>
      <w:r w:rsidRPr="00451D4C">
        <w:t>dôvodu jednoduchosti</w:t>
      </w:r>
      <w:r w:rsidR="00451D4C">
        <w:t xml:space="preserve"> a </w:t>
      </w:r>
      <w:r w:rsidRPr="00451D4C">
        <w:t>konzistentnosti by uvedené vzory</w:t>
      </w:r>
      <w:r w:rsidR="00451D4C">
        <w:t xml:space="preserve"> a </w:t>
      </w:r>
      <w:r w:rsidRPr="00451D4C">
        <w:t>tabuľky mali byť založené na vzoroch</w:t>
      </w:r>
      <w:r w:rsidR="00451D4C">
        <w:t xml:space="preserve"> a </w:t>
      </w:r>
      <w:r w:rsidRPr="00451D4C">
        <w:t>tabuľkách na zverejňovanie informácií, ktoré už orgán EBA vypracoval vo svojich usmerneniach týkajúcich sa zverejňovania problémových expozícií</w:t>
      </w:r>
      <w:r w:rsidR="00451D4C">
        <w:t xml:space="preserve"> a </w:t>
      </w:r>
      <w:r w:rsidRPr="00451D4C">
        <w:t>expozícií</w:t>
      </w:r>
      <w:r w:rsidR="00451D4C">
        <w:t xml:space="preserve"> s </w:t>
      </w:r>
      <w:r w:rsidRPr="00451D4C">
        <w:t>úľavou</w:t>
      </w:r>
      <w:r w:rsidRPr="00451D4C">
        <w:rPr>
          <w:rStyle w:val="FootnoteReference"/>
        </w:rPr>
        <w:footnoteReference w:id="9"/>
      </w:r>
      <w:r w:rsidRPr="00451D4C">
        <w:t>.</w:t>
      </w:r>
    </w:p>
    <w:p w:rsidR="007E66A7" w:rsidRPr="00451D4C" w:rsidRDefault="003E3102" w:rsidP="00B90336">
      <w:pPr>
        <w:pStyle w:val="Considrant"/>
      </w:pPr>
      <w:r w:rsidRPr="00451D4C">
        <w:t>Nariadením Európskeho parlamentu</w:t>
      </w:r>
      <w:r w:rsidR="00451D4C">
        <w:t xml:space="preserve"> a </w:t>
      </w:r>
      <w:r w:rsidRPr="00451D4C">
        <w:t>Rady (EÚ) 2017/2401</w:t>
      </w:r>
      <w:r w:rsidRPr="00451D4C">
        <w:rPr>
          <w:rStyle w:val="FootnoteReference"/>
        </w:rPr>
        <w:footnoteReference w:id="10"/>
      </w:r>
      <w:r w:rsidRPr="00451D4C">
        <w:t xml:space="preserve"> sa zmenilo nariadenie (EÚ) </w:t>
      </w:r>
      <w:r w:rsidR="00451D4C">
        <w:t>č. </w:t>
      </w:r>
      <w:r w:rsidRPr="00451D4C">
        <w:t>575/2013</w:t>
      </w:r>
      <w:r w:rsidR="00451D4C">
        <w:t xml:space="preserve"> s </w:t>
      </w:r>
      <w:r w:rsidRPr="00451D4C">
        <w:t>cieľom zohľadniť</w:t>
      </w:r>
      <w:r w:rsidR="00451D4C">
        <w:t xml:space="preserve"> v </w:t>
      </w:r>
      <w:r w:rsidRPr="00451D4C">
        <w:t>kapitálových požiadavkách stanovených</w:t>
      </w:r>
      <w:r w:rsidR="00451D4C">
        <w:t xml:space="preserve"> v </w:t>
      </w:r>
      <w:r w:rsidRPr="00451D4C">
        <w:t xml:space="preserve">uvedenom nariadení </w:t>
      </w:r>
      <w:r w:rsidRPr="00451D4C">
        <w:rPr>
          <w:shd w:val="clear" w:color="auto" w:fill="FFFFFF"/>
        </w:rPr>
        <w:t>osobitné vlastnosti STS sekuritizácií, ako sa stanovuje</w:t>
      </w:r>
      <w:r w:rsidR="00451D4C">
        <w:rPr>
          <w:shd w:val="clear" w:color="auto" w:fill="FFFFFF"/>
        </w:rPr>
        <w:t xml:space="preserve"> v </w:t>
      </w:r>
      <w:r w:rsidRPr="00451D4C">
        <w:rPr>
          <w:shd w:val="clear" w:color="auto" w:fill="FFFFFF"/>
        </w:rPr>
        <w:t>nariadení Európskeho parlamentu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Rady (EÚ) 2017/2402</w:t>
      </w:r>
      <w:r w:rsidRPr="00451D4C">
        <w:rPr>
          <w:rStyle w:val="FootnoteReference"/>
        </w:rPr>
        <w:footnoteReference w:id="11"/>
      </w:r>
      <w:r w:rsidRPr="00451D4C">
        <w:rPr>
          <w:shd w:val="clear" w:color="auto" w:fill="FFFFFF"/>
        </w:rPr>
        <w:t>. Na zohľadnenie uvedenej zmeny</w:t>
      </w:r>
      <w:r w:rsidRPr="00451D4C">
        <w:t xml:space="preserve"> treba zaviesť nové vzory</w:t>
      </w:r>
      <w:r w:rsidR="00451D4C">
        <w:t xml:space="preserve"> a </w:t>
      </w:r>
      <w:r w:rsidRPr="00451D4C">
        <w:t>tabuľky na zverejňovanie kvantitatívnych</w:t>
      </w:r>
      <w:r w:rsidR="00451D4C">
        <w:t xml:space="preserve"> a </w:t>
      </w:r>
      <w:r w:rsidRPr="00451D4C">
        <w:t>kvalitatívnych informácií</w:t>
      </w:r>
      <w:r w:rsidR="00451D4C">
        <w:t xml:space="preserve"> o </w:t>
      </w:r>
      <w:r w:rsidRPr="00451D4C">
        <w:t>sekuritizácii.</w:t>
      </w:r>
    </w:p>
    <w:p w:rsidR="007E66A7" w:rsidRPr="00451D4C" w:rsidRDefault="00387DA9" w:rsidP="007E66A7">
      <w:pPr>
        <w:pStyle w:val="Considrant"/>
        <w:rPr>
          <w:sz w:val="22"/>
        </w:rPr>
      </w:pPr>
      <w:r w:rsidRPr="00451D4C">
        <w:t>Nariadením (EÚ) 2019/876 sa zmenili určité požiadavky na zverejňovanie informácií</w:t>
      </w:r>
      <w:r w:rsidR="00451D4C">
        <w:t xml:space="preserve"> o </w:t>
      </w:r>
      <w:r w:rsidRPr="00451D4C">
        <w:t>odmeňovaní stanovené</w:t>
      </w:r>
      <w:r w:rsidR="00451D4C">
        <w:t xml:space="preserve"> v </w:t>
      </w:r>
      <w:r w:rsidRPr="00451D4C">
        <w:t xml:space="preserve">nariadení (EÚ) </w:t>
      </w:r>
      <w:r w:rsidR="00451D4C">
        <w:t>č. </w:t>
      </w:r>
      <w:r w:rsidRPr="00451D4C">
        <w:t>575/2013</w:t>
      </w:r>
      <w:r w:rsidR="00451D4C">
        <w:t xml:space="preserve"> s </w:t>
      </w:r>
      <w:r w:rsidRPr="00451D4C">
        <w:t xml:space="preserve">cieľom zabezpečiť, aby </w:t>
      </w:r>
      <w:r w:rsidRPr="00451D4C">
        <w:rPr>
          <w:shd w:val="clear" w:color="auto" w:fill="FFFFFF"/>
        </w:rPr>
        <w:t>politiky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postupy odmeňovania pre kategórie zamestnancov, ktorých profesionálne činnosti majú významný vplyv na rizikový profil inštitúcie, boli</w:t>
      </w:r>
      <w:r w:rsidR="00451D4C">
        <w:rPr>
          <w:shd w:val="clear" w:color="auto" w:fill="FFFFFF"/>
        </w:rPr>
        <w:t xml:space="preserve"> v </w:t>
      </w:r>
      <w:r w:rsidRPr="00451D4C">
        <w:rPr>
          <w:shd w:val="clear" w:color="auto" w:fill="FFFFFF"/>
        </w:rPr>
        <w:t>súlade</w:t>
      </w:r>
      <w:r w:rsidR="00451D4C">
        <w:rPr>
          <w:shd w:val="clear" w:color="auto" w:fill="FFFFFF"/>
        </w:rPr>
        <w:t xml:space="preserve"> s </w:t>
      </w:r>
      <w:r w:rsidRPr="00451D4C">
        <w:rPr>
          <w:shd w:val="clear" w:color="auto" w:fill="FFFFFF"/>
        </w:rPr>
        <w:t>účinným riadením rizík.</w:t>
      </w:r>
      <w:r w:rsidRPr="00451D4C">
        <w:t xml:space="preserve"> Mal by sa stanoviť súbor vzorov</w:t>
      </w:r>
      <w:r w:rsidR="00451D4C">
        <w:t xml:space="preserve"> a </w:t>
      </w:r>
      <w:r w:rsidRPr="00451D4C">
        <w:t>tabuliek na zverejňovanie informácií, ktorými by sa vykonávali uvedené požiadavky na zverejňovanie.</w:t>
      </w:r>
    </w:p>
    <w:p w:rsidR="004427A5" w:rsidRPr="00451D4C" w:rsidRDefault="004A1CDB" w:rsidP="007E66A7">
      <w:pPr>
        <w:pStyle w:val="Considrant"/>
        <w:rPr>
          <w:sz w:val="22"/>
        </w:rPr>
      </w:pPr>
      <w:r w:rsidRPr="00451D4C">
        <w:t>S cieľom poskytnúť inštitúciám komplexný integrovaný súbor jednotných formátov, vzorov</w:t>
      </w:r>
      <w:r w:rsidR="00451D4C">
        <w:t xml:space="preserve"> a </w:t>
      </w:r>
      <w:r w:rsidRPr="00451D4C">
        <w:t>tabuliek na zverejňovanie informácií</w:t>
      </w:r>
      <w:r w:rsidR="00451D4C">
        <w:t xml:space="preserve"> a </w:t>
      </w:r>
      <w:r w:rsidRPr="00451D4C">
        <w:t>zabezpečiť vysokokvalitné zverejňovanie treba zaviesť jednotný súbor technických predpisov</w:t>
      </w:r>
      <w:r w:rsidR="00451D4C">
        <w:t xml:space="preserve"> o </w:t>
      </w:r>
      <w:r w:rsidRPr="00451D4C">
        <w:t xml:space="preserve">zverejňovaní. Preto treba zrušiť vykonávacie nariadenie (EÚ) </w:t>
      </w:r>
      <w:r w:rsidR="00451D4C">
        <w:t>č. </w:t>
      </w:r>
      <w:r w:rsidRPr="00451D4C">
        <w:t>1423/2013, delegované nariadenie (EÚ) 2015/1555, vykonávacie nariadenie (EÚ) 2016/200</w:t>
      </w:r>
      <w:r w:rsidR="00451D4C">
        <w:t xml:space="preserve"> a </w:t>
      </w:r>
      <w:r w:rsidRPr="00451D4C">
        <w:t>delegované nariadenie (EÚ) 2017/2295.</w:t>
      </w:r>
    </w:p>
    <w:p w:rsidR="004427A5" w:rsidRPr="00451D4C" w:rsidRDefault="0094247F" w:rsidP="007E66A7">
      <w:pPr>
        <w:pStyle w:val="Considrant"/>
        <w:rPr>
          <w:sz w:val="22"/>
        </w:rPr>
      </w:pPr>
      <w:r w:rsidRPr="00451D4C">
        <w:t>S cieľom zabezpečiť včasné</w:t>
      </w:r>
      <w:r w:rsidR="00451D4C">
        <w:t xml:space="preserve"> a </w:t>
      </w:r>
      <w:r w:rsidRPr="00451D4C">
        <w:t>kvalitné zverejňovanie informácií inštitúciami by sa im mal poskytnúť dostatočný čas na to, aby prispôsobili svoje interné systémy zverejňovania.</w:t>
      </w:r>
    </w:p>
    <w:p w:rsidR="007E66A7" w:rsidRPr="00451D4C" w:rsidRDefault="007E66A7" w:rsidP="007E66A7">
      <w:pPr>
        <w:pStyle w:val="Considrant"/>
      </w:pPr>
      <w:r w:rsidRPr="00451D4C">
        <w:t>Toto nariadenie vychádza</w:t>
      </w:r>
      <w:r w:rsidR="00451D4C">
        <w:t xml:space="preserve"> z </w:t>
      </w:r>
      <w:r w:rsidRPr="00451D4C">
        <w:t>návrhu vykonávacích technických predpisov, ktorý Komisii predložil Európsky orgán pre bankovníctvo (EBA).</w:t>
      </w:r>
    </w:p>
    <w:p w:rsidR="00451D4C" w:rsidRDefault="00587191" w:rsidP="00453D69">
      <w:pPr>
        <w:pStyle w:val="Considrant"/>
      </w:pPr>
      <w:r w:rsidRPr="00451D4C">
        <w:t>Orgán EBA uskutočnil otvorené verejné konzultácie</w:t>
      </w:r>
      <w:r w:rsidR="00451D4C">
        <w:t xml:space="preserve"> o </w:t>
      </w:r>
      <w:r w:rsidRPr="00451D4C">
        <w:t>návrhu vykonávacích technických predpisov,</w:t>
      </w:r>
      <w:r w:rsidR="00451D4C">
        <w:t xml:space="preserve"> z </w:t>
      </w:r>
      <w:r w:rsidRPr="00451D4C">
        <w:t>ktorého vychádza toto nariadenie, analyzoval možné súvisiace náklady</w:t>
      </w:r>
      <w:r w:rsidR="00451D4C">
        <w:t xml:space="preserve"> a </w:t>
      </w:r>
      <w:r w:rsidRPr="00451D4C">
        <w:t>prínosy</w:t>
      </w:r>
      <w:r w:rsidR="00451D4C">
        <w:t xml:space="preserve"> a </w:t>
      </w:r>
      <w:r w:rsidRPr="00451D4C">
        <w:t>požiadal</w:t>
      </w:r>
      <w:r w:rsidR="00451D4C">
        <w:t xml:space="preserve"> o </w:t>
      </w:r>
      <w:r w:rsidRPr="00451D4C">
        <w:t>poradenstvo Skupinu zainteresovaných strán</w:t>
      </w:r>
      <w:r w:rsidR="00451D4C">
        <w:t xml:space="preserve"> v </w:t>
      </w:r>
      <w:r w:rsidRPr="00451D4C">
        <w:t>bankovníctve zriadenú</w:t>
      </w:r>
      <w:r w:rsidR="00451D4C">
        <w:t xml:space="preserve"> v </w:t>
      </w:r>
      <w:r w:rsidRPr="00451D4C">
        <w:t>súlade</w:t>
      </w:r>
      <w:r w:rsidR="00451D4C">
        <w:t xml:space="preserve"> s </w:t>
      </w:r>
      <w:r w:rsidRPr="00451D4C">
        <w:t>článkom 37 nariadenia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1093/2010</w:t>
      </w:r>
      <w:r w:rsidRPr="00451D4C">
        <w:rPr>
          <w:rStyle w:val="FootnoteReference"/>
        </w:rPr>
        <w:footnoteReference w:id="12"/>
      </w:r>
      <w:r w:rsidRPr="00451D4C">
        <w:t>,</w:t>
      </w:r>
    </w:p>
    <w:p w:rsidR="0004170D" w:rsidRPr="00451D4C" w:rsidRDefault="0004170D" w:rsidP="009675DD">
      <w:pPr>
        <w:pStyle w:val="Formuledadoption"/>
      </w:pPr>
      <w:r w:rsidRPr="00451D4C">
        <w:t>PRIJALA TOTO NARIADENIE:</w:t>
      </w:r>
    </w:p>
    <w:p w:rsidR="00FF364B" w:rsidRPr="00451D4C" w:rsidRDefault="00FF364B" w:rsidP="00FF364B">
      <w:pPr>
        <w:pStyle w:val="Titrearticle"/>
      </w:pPr>
      <w:r w:rsidRPr="00451D4C">
        <w:t>Článok 1</w:t>
      </w:r>
    </w:p>
    <w:p w:rsidR="007E66A7" w:rsidRPr="00451D4C" w:rsidRDefault="007E66A7" w:rsidP="007E66A7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kľúčových ukazovateľov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prehľad hodnôt rizikovo vážených expozícií</w:t>
      </w:r>
    </w:p>
    <w:p w:rsidR="007E66A7" w:rsidRPr="00451D4C" w:rsidRDefault="007E66A7" w:rsidP="007D3DD0">
      <w:pPr>
        <w:pStyle w:val="NumPar1"/>
        <w:numPr>
          <w:ilvl w:val="0"/>
          <w:numId w:val="12"/>
        </w:numPr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447 písm. a) až g)</w:t>
      </w:r>
      <w:r w:rsidR="00451D4C">
        <w:t xml:space="preserve"> a v </w:t>
      </w:r>
      <w:r w:rsidRPr="00451D4C">
        <w:t xml:space="preserve">článku 438 písm. b) nariadenia (EÚ) </w:t>
      </w:r>
      <w:r w:rsidR="00451D4C">
        <w:t>č. </w:t>
      </w:r>
      <w:r w:rsidRPr="00451D4C">
        <w:t>575/2013 použitím vzoru EU KM1 uvedeného</w:t>
      </w:r>
      <w:r w:rsidR="00451D4C">
        <w:t xml:space="preserve"> v </w:t>
      </w:r>
      <w:r w:rsidRPr="00451D4C">
        <w:t>prílohe 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II</w:t>
      </w:r>
      <w:r w:rsidR="00451D4C">
        <w:t xml:space="preserve"> k </w:t>
      </w:r>
      <w:r w:rsidRPr="00451D4C">
        <w:t>tomuto nariadeniu.</w:t>
      </w:r>
    </w:p>
    <w:p w:rsidR="007E66A7" w:rsidRPr="00451D4C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438 písm. d) nariadenia (EÚ) </w:t>
      </w:r>
      <w:r w:rsidR="00451D4C">
        <w:t>č. </w:t>
      </w:r>
      <w:r w:rsidRPr="00451D4C">
        <w:t>575/2013 použitím vzoru EU OV1 uvedeného</w:t>
      </w:r>
      <w:r w:rsidR="00451D4C">
        <w:t xml:space="preserve"> v </w:t>
      </w:r>
      <w:r w:rsidRPr="00451D4C">
        <w:t>prílohe 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II</w:t>
      </w:r>
      <w:r w:rsidR="00451D4C">
        <w:t xml:space="preserve"> k </w:t>
      </w:r>
      <w:r w:rsidRPr="00451D4C">
        <w:t>tomuto nariadeniu.</w:t>
      </w:r>
    </w:p>
    <w:p w:rsidR="007E66A7" w:rsidRPr="00451D4C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438 písm. a)</w:t>
      </w:r>
      <w:r w:rsidR="00451D4C">
        <w:t xml:space="preserve"> a </w:t>
      </w:r>
      <w:r w:rsidRPr="00451D4C">
        <w:t xml:space="preserve">c) nariadenia (EÚ) </w:t>
      </w:r>
      <w:r w:rsidR="00451D4C">
        <w:t>č. </w:t>
      </w:r>
      <w:r w:rsidRPr="00451D4C">
        <w:t>575/2013 použitím tabuľky EU OVC uvedenej</w:t>
      </w:r>
      <w:r w:rsidR="00451D4C">
        <w:t xml:space="preserve"> v </w:t>
      </w:r>
      <w:r w:rsidRPr="00451D4C">
        <w:t>prílohe 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II</w:t>
      </w:r>
      <w:r w:rsidR="00451D4C">
        <w:t xml:space="preserve"> k </w:t>
      </w:r>
      <w:r w:rsidRPr="00451D4C">
        <w:t>tomuto nariadeniu.</w:t>
      </w:r>
    </w:p>
    <w:p w:rsidR="007E66A7" w:rsidRPr="00451D4C" w:rsidRDefault="007E66A7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438 písm. f)</w:t>
      </w:r>
      <w:r w:rsidR="00451D4C">
        <w:t xml:space="preserve"> a </w:t>
      </w:r>
      <w:r w:rsidRPr="00451D4C">
        <w:t xml:space="preserve">g) nariadenia (EÚ) </w:t>
      </w:r>
      <w:r w:rsidR="00451D4C">
        <w:t>č. </w:t>
      </w:r>
      <w:r w:rsidRPr="00451D4C">
        <w:t>575/2013 použitím vzorov EU INS1</w:t>
      </w:r>
      <w:r w:rsidR="00451D4C">
        <w:t xml:space="preserve"> a </w:t>
      </w:r>
      <w:r w:rsidRPr="00451D4C">
        <w:t>EU INS2 uvedených</w:t>
      </w:r>
      <w:r w:rsidR="00451D4C">
        <w:t xml:space="preserve"> v </w:t>
      </w:r>
      <w:r w:rsidRPr="00451D4C">
        <w:t>prílohe 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II</w:t>
      </w:r>
      <w:r w:rsidR="00451D4C">
        <w:t xml:space="preserve"> k </w:t>
      </w:r>
      <w:r w:rsidRPr="00451D4C">
        <w:t>tomuto nariadeniu.</w:t>
      </w:r>
    </w:p>
    <w:p w:rsidR="00725875" w:rsidRPr="00451D4C" w:rsidRDefault="00725875" w:rsidP="00725875">
      <w:pPr>
        <w:pStyle w:val="Titrearticle"/>
      </w:pPr>
      <w:r w:rsidRPr="00451D4C">
        <w:t>Článok 2</w:t>
      </w:r>
    </w:p>
    <w:p w:rsidR="007E66A7" w:rsidRPr="00451D4C" w:rsidRDefault="007E66A7" w:rsidP="007E66A7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cieľoch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politikách riadenia rizík</w:t>
      </w:r>
    </w:p>
    <w:p w:rsidR="007E66A7" w:rsidRPr="00451D4C" w:rsidRDefault="007E66A7" w:rsidP="007E66A7">
      <w:pPr>
        <w:rPr>
          <w:i/>
        </w:rPr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435 nariadenia (EÚ) </w:t>
      </w:r>
      <w:r w:rsidR="00451D4C">
        <w:t>č. </w:t>
      </w:r>
      <w:r w:rsidRPr="00451D4C">
        <w:t>575/2013 použitím tabuliek EU OVA</w:t>
      </w:r>
      <w:r w:rsidR="00451D4C">
        <w:t xml:space="preserve"> a </w:t>
      </w:r>
      <w:r w:rsidRPr="00451D4C">
        <w:t>EU OVB uvedených</w:t>
      </w:r>
      <w:r w:rsidR="00451D4C">
        <w:t xml:space="preserve"> v </w:t>
      </w:r>
      <w:r w:rsidRPr="00451D4C">
        <w:t>prílohe III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IV</w:t>
      </w:r>
      <w:r w:rsidR="00451D4C">
        <w:t xml:space="preserve"> k </w:t>
      </w:r>
      <w:r w:rsidRPr="00451D4C">
        <w:t>tomuto nariadeniu.</w:t>
      </w:r>
    </w:p>
    <w:p w:rsidR="00725875" w:rsidRPr="00451D4C" w:rsidRDefault="00725875" w:rsidP="00725875">
      <w:pPr>
        <w:pStyle w:val="Titrearticle"/>
      </w:pPr>
      <w:r w:rsidRPr="00451D4C">
        <w:t>Článok 3</w:t>
      </w:r>
    </w:p>
    <w:p w:rsidR="00451D4C" w:rsidRDefault="009F40BE" w:rsidP="00F5043B">
      <w:pPr>
        <w:pStyle w:val="Titrearticle"/>
        <w:tabs>
          <w:tab w:val="left" w:pos="567"/>
        </w:tabs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rozsahu uplatňovania</w:t>
      </w:r>
    </w:p>
    <w:p w:rsidR="009F40BE" w:rsidRPr="00451D4C" w:rsidRDefault="009F40BE" w:rsidP="00F5043B">
      <w:pPr>
        <w:pStyle w:val="NumPar1"/>
        <w:numPr>
          <w:ilvl w:val="0"/>
          <w:numId w:val="10"/>
        </w:numPr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436 písm. b)</w:t>
      </w:r>
      <w:r w:rsidR="00451D4C">
        <w:t xml:space="preserve"> a </w:t>
      </w:r>
      <w:r w:rsidRPr="00451D4C">
        <w:t xml:space="preserve">c) nariadenia (EÚ) </w:t>
      </w:r>
      <w:r w:rsidR="00451D4C">
        <w:t>č. </w:t>
      </w:r>
      <w:r w:rsidRPr="00451D4C">
        <w:t>575/2013 použitím vzorov EU LI1</w:t>
      </w:r>
      <w:r w:rsidR="00451D4C">
        <w:t xml:space="preserve"> a </w:t>
      </w:r>
      <w:r w:rsidRPr="00451D4C">
        <w:t>EU LI3 uvedených</w:t>
      </w:r>
      <w:r w:rsidR="00451D4C">
        <w:t xml:space="preserve"> v </w:t>
      </w:r>
      <w:r w:rsidRPr="00451D4C">
        <w:t>prílohe</w:t>
      </w:r>
      <w:r w:rsidR="00451D4C">
        <w:t xml:space="preserve"> V 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VI</w:t>
      </w:r>
      <w:r w:rsidR="00451D4C">
        <w:t xml:space="preserve"> k </w:t>
      </w:r>
      <w:r w:rsidRPr="00451D4C">
        <w:t>tomuto nariadeniu.</w:t>
      </w:r>
    </w:p>
    <w:p w:rsidR="009F40BE" w:rsidRPr="00451D4C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436 písm. b)</w:t>
      </w:r>
      <w:r w:rsidR="00451D4C">
        <w:t xml:space="preserve"> a </w:t>
      </w:r>
      <w:r w:rsidRPr="00451D4C">
        <w:t xml:space="preserve">d) nariadenia (EÚ) </w:t>
      </w:r>
      <w:r w:rsidR="00451D4C">
        <w:t>č. </w:t>
      </w:r>
      <w:r w:rsidRPr="00451D4C">
        <w:t>575/2013 použitím vzoru EU LI2</w:t>
      </w:r>
      <w:r w:rsidR="00451D4C">
        <w:t xml:space="preserve"> a </w:t>
      </w:r>
      <w:r w:rsidRPr="00451D4C">
        <w:t>tabuľky EU LIA uvedených</w:t>
      </w:r>
      <w:r w:rsidR="00451D4C">
        <w:t xml:space="preserve"> v </w:t>
      </w:r>
      <w:r w:rsidRPr="00451D4C">
        <w:t>prílohe</w:t>
      </w:r>
      <w:r w:rsidR="00451D4C">
        <w:t xml:space="preserve"> V 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VI</w:t>
      </w:r>
      <w:r w:rsidR="00451D4C">
        <w:t xml:space="preserve"> k </w:t>
      </w:r>
      <w:r w:rsidRPr="00451D4C">
        <w:t>tomuto nariadeniu.</w:t>
      </w:r>
    </w:p>
    <w:p w:rsidR="009F40BE" w:rsidRPr="00451D4C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436 písm. e) nariadenia (EÚ) </w:t>
      </w:r>
      <w:r w:rsidR="00451D4C">
        <w:t>č. </w:t>
      </w:r>
      <w:r w:rsidRPr="00451D4C">
        <w:t>575/2013 použitím vzoru EU PV1 uvedeného</w:t>
      </w:r>
      <w:r w:rsidR="00451D4C">
        <w:t xml:space="preserve"> v </w:t>
      </w:r>
      <w:r w:rsidRPr="00451D4C">
        <w:t>prílohe</w:t>
      </w:r>
      <w:r w:rsidR="00451D4C">
        <w:t xml:space="preserve"> V 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VI</w:t>
      </w:r>
      <w:r w:rsidR="00451D4C">
        <w:t xml:space="preserve"> k </w:t>
      </w:r>
      <w:r w:rsidRPr="00451D4C">
        <w:t>tomuto nariadeniu.</w:t>
      </w:r>
    </w:p>
    <w:p w:rsidR="009F40BE" w:rsidRPr="00451D4C" w:rsidRDefault="009F40BE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436 písm. f), g)</w:t>
      </w:r>
      <w:r w:rsidR="00451D4C">
        <w:t xml:space="preserve"> a </w:t>
      </w:r>
      <w:r w:rsidRPr="00451D4C">
        <w:t xml:space="preserve">h) nariadenia (EÚ) </w:t>
      </w:r>
      <w:r w:rsidR="00451D4C">
        <w:t>č. </w:t>
      </w:r>
      <w:r w:rsidRPr="00451D4C">
        <w:t>575/2013 použitím tabuľky EU LIB uvedenej</w:t>
      </w:r>
      <w:r w:rsidR="00451D4C">
        <w:t xml:space="preserve"> v </w:t>
      </w:r>
      <w:r w:rsidRPr="00451D4C">
        <w:t>prílohe</w:t>
      </w:r>
      <w:r w:rsidR="00451D4C">
        <w:t xml:space="preserve"> V 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VI</w:t>
      </w:r>
      <w:r w:rsidR="00451D4C">
        <w:t xml:space="preserve"> k </w:t>
      </w:r>
      <w:r w:rsidRPr="00451D4C">
        <w:t>tomuto nariadeniu.</w:t>
      </w:r>
    </w:p>
    <w:p w:rsidR="00725875" w:rsidRPr="00451D4C" w:rsidRDefault="00725875" w:rsidP="00725875">
      <w:pPr>
        <w:pStyle w:val="Titrearticle"/>
      </w:pPr>
      <w:r w:rsidRPr="00451D4C">
        <w:t>Článok 4</w:t>
      </w:r>
    </w:p>
    <w:p w:rsidR="009F40BE" w:rsidRPr="00451D4C" w:rsidRDefault="009F40BE" w:rsidP="009F40BE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vlastných zdrojoch</w:t>
      </w:r>
    </w:p>
    <w:p w:rsidR="009F40BE" w:rsidRPr="00451D4C" w:rsidRDefault="009F40BE" w:rsidP="009F40BE">
      <w:pPr>
        <w:rPr>
          <w:i/>
        </w:rPr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437 nariadenia (EÚ) </w:t>
      </w:r>
      <w:r w:rsidR="00451D4C">
        <w:t>č. </w:t>
      </w:r>
      <w:r w:rsidRPr="00451D4C">
        <w:t>575/2013 takto:</w:t>
      </w:r>
    </w:p>
    <w:p w:rsidR="009F40BE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5F490A" w:rsidRPr="00451D4C">
        <w:t>informácie uvedené</w:t>
      </w:r>
      <w:r>
        <w:t xml:space="preserve"> v </w:t>
      </w:r>
      <w:r w:rsidR="005F490A" w:rsidRPr="00451D4C">
        <w:t>článku 437 písm. a), d), e)</w:t>
      </w:r>
      <w:r>
        <w:t xml:space="preserve"> a </w:t>
      </w:r>
      <w:r w:rsidR="005F490A" w:rsidRPr="00451D4C">
        <w:t xml:space="preserve">f) nariadenia (EÚ) </w:t>
      </w:r>
      <w:r>
        <w:t>č. </w:t>
      </w:r>
      <w:r w:rsidR="005F490A" w:rsidRPr="00451D4C">
        <w:t>575/2013 použitím vzorov EU CC1</w:t>
      </w:r>
      <w:r>
        <w:t xml:space="preserve"> a </w:t>
      </w:r>
      <w:r w:rsidR="005F490A" w:rsidRPr="00451D4C">
        <w:t>EU CC2 uvedených</w:t>
      </w:r>
      <w:r>
        <w:t xml:space="preserve"> v </w:t>
      </w:r>
      <w:r w:rsidR="005F490A" w:rsidRPr="00451D4C">
        <w:t>prílohe VII</w:t>
      </w:r>
      <w:r>
        <w:t xml:space="preserve"> k </w:t>
      </w:r>
      <w:r w:rsidR="005F490A" w:rsidRPr="00451D4C">
        <w:t>tomuto nariadeniu</w:t>
      </w:r>
      <w:r>
        <w:t xml:space="preserve"> a </w:t>
      </w:r>
      <w:r w:rsidR="005F490A" w:rsidRPr="00451D4C">
        <w:t>podľa pokynov uvedených</w:t>
      </w:r>
      <w:r>
        <w:t xml:space="preserve"> v </w:t>
      </w:r>
      <w:r w:rsidR="005F490A" w:rsidRPr="00451D4C">
        <w:t>prílohe VIII</w:t>
      </w:r>
      <w:r>
        <w:t xml:space="preserve"> k </w:t>
      </w:r>
      <w:r w:rsidR="005F490A" w:rsidRPr="00451D4C">
        <w:t>tomuto nariadeniu;</w:t>
      </w:r>
    </w:p>
    <w:p w:rsidR="009F40BE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5F490A" w:rsidRPr="00451D4C">
        <w:t>informácie uvedené</w:t>
      </w:r>
      <w:r>
        <w:t xml:space="preserve"> v </w:t>
      </w:r>
      <w:r w:rsidR="005F490A" w:rsidRPr="00451D4C">
        <w:t>článku 437 písm. b)</w:t>
      </w:r>
      <w:r>
        <w:t xml:space="preserve"> a </w:t>
      </w:r>
      <w:r w:rsidR="005F490A" w:rsidRPr="00451D4C">
        <w:t xml:space="preserve">c) nariadenia (EÚ) </w:t>
      </w:r>
      <w:r>
        <w:t>č. </w:t>
      </w:r>
      <w:r w:rsidR="005F490A" w:rsidRPr="00451D4C">
        <w:t>575/2013 použitím tabuľky EU CCA uvedenej</w:t>
      </w:r>
      <w:r>
        <w:t xml:space="preserve"> v </w:t>
      </w:r>
      <w:r w:rsidR="005F490A" w:rsidRPr="00451D4C">
        <w:t>prílohe VII</w:t>
      </w:r>
      <w:r>
        <w:t xml:space="preserve"> k </w:t>
      </w:r>
      <w:r w:rsidR="005F490A" w:rsidRPr="00451D4C">
        <w:t>tomuto nariadeniu</w:t>
      </w:r>
      <w:r>
        <w:t xml:space="preserve"> a </w:t>
      </w:r>
      <w:r w:rsidR="005F490A" w:rsidRPr="00451D4C">
        <w:t>podľa pokynov uvedených</w:t>
      </w:r>
      <w:r>
        <w:t xml:space="preserve"> v </w:t>
      </w:r>
      <w:r w:rsidR="005F490A" w:rsidRPr="00451D4C">
        <w:t>prílohe VIII</w:t>
      </w:r>
      <w:r>
        <w:t xml:space="preserve"> k </w:t>
      </w:r>
      <w:r w:rsidR="005F490A" w:rsidRPr="00451D4C">
        <w:t>tomuto nariadeniu.</w:t>
      </w:r>
    </w:p>
    <w:p w:rsidR="00451D4C" w:rsidRDefault="00A10245" w:rsidP="00A10245">
      <w:pPr>
        <w:pStyle w:val="Titrearticle"/>
      </w:pPr>
      <w:r w:rsidRPr="00451D4C">
        <w:t>Článok 5</w:t>
      </w:r>
    </w:p>
    <w:p w:rsidR="009F40BE" w:rsidRPr="00451D4C" w:rsidRDefault="009F40BE" w:rsidP="009F40BE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proticyklických kapitálových vankúšoch</w:t>
      </w:r>
    </w:p>
    <w:p w:rsidR="009F40BE" w:rsidRPr="00451D4C" w:rsidRDefault="009F40BE" w:rsidP="009F40BE"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440 nariadenia (EÚ) </w:t>
      </w:r>
      <w:r w:rsidR="00451D4C">
        <w:t>č. </w:t>
      </w:r>
      <w:r w:rsidRPr="00451D4C">
        <w:t>575/2013 takto:</w:t>
      </w:r>
    </w:p>
    <w:p w:rsidR="009F40BE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5F490A" w:rsidRPr="00451D4C">
        <w:t>informácie uvedené</w:t>
      </w:r>
      <w:r>
        <w:t xml:space="preserve"> v </w:t>
      </w:r>
      <w:r w:rsidR="005F490A" w:rsidRPr="00451D4C">
        <w:t xml:space="preserve">článku 440 písm. a) nariadenia (EÚ) </w:t>
      </w:r>
      <w:r>
        <w:t>č. </w:t>
      </w:r>
      <w:r w:rsidR="005F490A" w:rsidRPr="00451D4C">
        <w:t>575/2013 použitím vzoru EU CCYB1 uvedeného</w:t>
      </w:r>
      <w:r>
        <w:t xml:space="preserve"> v </w:t>
      </w:r>
      <w:r w:rsidR="005F490A" w:rsidRPr="00451D4C">
        <w:t>prílohe IX</w:t>
      </w:r>
      <w:r>
        <w:t xml:space="preserve"> k </w:t>
      </w:r>
      <w:r w:rsidR="005F490A" w:rsidRPr="00451D4C">
        <w:t>tomuto nariadeniu</w:t>
      </w:r>
      <w:r>
        <w:t xml:space="preserve"> a </w:t>
      </w:r>
      <w:r w:rsidR="005F490A" w:rsidRPr="00451D4C">
        <w:t>podľa pokynov uvedených</w:t>
      </w:r>
      <w:r>
        <w:t xml:space="preserve"> v </w:t>
      </w:r>
      <w:r w:rsidR="005F490A" w:rsidRPr="00451D4C">
        <w:t>prílohe X</w:t>
      </w:r>
      <w:r>
        <w:t xml:space="preserve"> k </w:t>
      </w:r>
      <w:r w:rsidR="005F490A" w:rsidRPr="00451D4C">
        <w:t>tomuto nariadeniu;</w:t>
      </w:r>
    </w:p>
    <w:p w:rsidR="009F40BE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E42EC8" w:rsidRPr="00451D4C">
        <w:t>informácie uvedené</w:t>
      </w:r>
      <w:r>
        <w:t xml:space="preserve"> v </w:t>
      </w:r>
      <w:r w:rsidR="00E42EC8" w:rsidRPr="00451D4C">
        <w:t xml:space="preserve">článku 440 písm. b) nariadenia (EÚ) </w:t>
      </w:r>
      <w:r>
        <w:t>č. </w:t>
      </w:r>
      <w:r w:rsidR="00E42EC8" w:rsidRPr="00451D4C">
        <w:t>575/2013 použitím vzoru EU CCYB2 uvedeného</w:t>
      </w:r>
      <w:r>
        <w:t xml:space="preserve"> v </w:t>
      </w:r>
      <w:r w:rsidR="00E42EC8" w:rsidRPr="00451D4C">
        <w:t>prílohe IX</w:t>
      </w:r>
      <w:r>
        <w:t xml:space="preserve"> k </w:t>
      </w:r>
      <w:r w:rsidR="00E42EC8" w:rsidRPr="00451D4C">
        <w:t>tomuto nariadeniu</w:t>
      </w:r>
      <w:r>
        <w:t xml:space="preserve"> a </w:t>
      </w:r>
      <w:r w:rsidR="00E42EC8" w:rsidRPr="00451D4C">
        <w:t>podľa pokynov uvedených</w:t>
      </w:r>
      <w:r>
        <w:t xml:space="preserve"> v </w:t>
      </w:r>
      <w:r w:rsidR="00E42EC8" w:rsidRPr="00451D4C">
        <w:t>prílohe X</w:t>
      </w:r>
      <w:r>
        <w:t xml:space="preserve"> k </w:t>
      </w:r>
      <w:r w:rsidR="00E42EC8" w:rsidRPr="00451D4C">
        <w:t>tomuto nariadeniu.</w:t>
      </w:r>
    </w:p>
    <w:p w:rsidR="00496B08" w:rsidRPr="00451D4C" w:rsidRDefault="00496B08" w:rsidP="00496B08">
      <w:pPr>
        <w:pStyle w:val="Titrearticle"/>
      </w:pPr>
      <w:r w:rsidRPr="00451D4C">
        <w:t>Článok 6</w:t>
      </w:r>
    </w:p>
    <w:p w:rsidR="009F40BE" w:rsidRPr="00451D4C" w:rsidRDefault="009F40BE" w:rsidP="009F40BE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ukazovateli finančnej páky</w:t>
      </w:r>
    </w:p>
    <w:p w:rsidR="009F40BE" w:rsidRPr="00451D4C" w:rsidRDefault="009F40BE" w:rsidP="009F40BE"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451 nariadenia (EÚ) </w:t>
      </w:r>
      <w:r w:rsidR="00451D4C">
        <w:t>č. </w:t>
      </w:r>
      <w:r w:rsidRPr="00451D4C">
        <w:t>575/2013 takto:</w:t>
      </w:r>
    </w:p>
    <w:p w:rsidR="009F40BE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786078" w:rsidRPr="00451D4C">
        <w:t>informácie uvedené</w:t>
      </w:r>
      <w:r>
        <w:t xml:space="preserve"> v </w:t>
      </w:r>
      <w:r w:rsidR="00786078" w:rsidRPr="00451D4C">
        <w:t>článku 451 ods. 1 písm. a), b)</w:t>
      </w:r>
      <w:r>
        <w:t xml:space="preserve"> a </w:t>
      </w:r>
      <w:r w:rsidR="00786078" w:rsidRPr="00451D4C">
        <w:t>c)</w:t>
      </w:r>
      <w:r>
        <w:t xml:space="preserve"> a v </w:t>
      </w:r>
      <w:r w:rsidR="00786078" w:rsidRPr="00451D4C">
        <w:t>článku 451 ods. 2</w:t>
      </w:r>
      <w:r>
        <w:t xml:space="preserve"> a </w:t>
      </w:r>
      <w:r w:rsidR="00786078" w:rsidRPr="00451D4C">
        <w:t xml:space="preserve">3 nariadenia (EÚ) </w:t>
      </w:r>
      <w:r>
        <w:t>č. </w:t>
      </w:r>
      <w:r w:rsidR="00786078" w:rsidRPr="00451D4C">
        <w:t>575/2013 použitím vzorov EU LR1, EU LR2</w:t>
      </w:r>
      <w:r>
        <w:t xml:space="preserve"> a </w:t>
      </w:r>
      <w:r w:rsidR="00786078" w:rsidRPr="00451D4C">
        <w:t>EU LR3 uvedených</w:t>
      </w:r>
      <w:r>
        <w:t xml:space="preserve"> v </w:t>
      </w:r>
      <w:r w:rsidR="00786078" w:rsidRPr="00451D4C">
        <w:t>prílohe XI</w:t>
      </w:r>
      <w:r>
        <w:t xml:space="preserve"> k </w:t>
      </w:r>
      <w:r w:rsidR="00786078" w:rsidRPr="00451D4C">
        <w:t>tomuto nariadeniu</w:t>
      </w:r>
      <w:r>
        <w:t xml:space="preserve"> a </w:t>
      </w:r>
      <w:r w:rsidR="00786078" w:rsidRPr="00451D4C">
        <w:t>podľa pokynov uvedených</w:t>
      </w:r>
      <w:r>
        <w:t xml:space="preserve"> v </w:t>
      </w:r>
      <w:r w:rsidR="00786078" w:rsidRPr="00451D4C">
        <w:t>prílohe XII</w:t>
      </w:r>
      <w:r>
        <w:t xml:space="preserve"> k </w:t>
      </w:r>
      <w:r w:rsidR="00786078" w:rsidRPr="00451D4C">
        <w:t>tomuto nariadeniu;</w:t>
      </w:r>
    </w:p>
    <w:p w:rsidR="009F40BE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786078" w:rsidRPr="00451D4C">
        <w:t>informácie uvedené</w:t>
      </w:r>
      <w:r>
        <w:t xml:space="preserve"> v </w:t>
      </w:r>
      <w:r w:rsidR="00786078" w:rsidRPr="00451D4C">
        <w:t>článku 451 ods. 1 písm. d)</w:t>
      </w:r>
      <w:r>
        <w:t xml:space="preserve"> a </w:t>
      </w:r>
      <w:r w:rsidR="00786078" w:rsidRPr="00451D4C">
        <w:t xml:space="preserve">e) nariadenia (EÚ) </w:t>
      </w:r>
      <w:r>
        <w:t>č. </w:t>
      </w:r>
      <w:r w:rsidR="00786078" w:rsidRPr="00451D4C">
        <w:t>575/2013 použitím tabuľky EU LRA uvedenej</w:t>
      </w:r>
      <w:r>
        <w:t xml:space="preserve"> v </w:t>
      </w:r>
      <w:r w:rsidR="00786078" w:rsidRPr="00451D4C">
        <w:t>prílohe XI</w:t>
      </w:r>
      <w:r>
        <w:t xml:space="preserve"> k </w:t>
      </w:r>
      <w:r w:rsidR="00786078" w:rsidRPr="00451D4C">
        <w:t>tomuto nariadeniu</w:t>
      </w:r>
      <w:r>
        <w:t xml:space="preserve"> a </w:t>
      </w:r>
      <w:r w:rsidR="00786078" w:rsidRPr="00451D4C">
        <w:t>podľa pokynov uvedených</w:t>
      </w:r>
      <w:r>
        <w:t xml:space="preserve"> v </w:t>
      </w:r>
      <w:r w:rsidR="00786078" w:rsidRPr="00451D4C">
        <w:t>prílohe XII</w:t>
      </w:r>
      <w:r>
        <w:t xml:space="preserve"> k </w:t>
      </w:r>
      <w:r w:rsidR="00786078" w:rsidRPr="00451D4C">
        <w:t>tomuto nariadeniu.</w:t>
      </w:r>
    </w:p>
    <w:p w:rsidR="00496B08" w:rsidRPr="00451D4C" w:rsidRDefault="00496B08" w:rsidP="00496B08">
      <w:pPr>
        <w:pStyle w:val="Titrearticle"/>
      </w:pPr>
      <w:r w:rsidRPr="00451D4C">
        <w:t>Článok 7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požiadavkách na likviditu</w:t>
      </w:r>
    </w:p>
    <w:p w:rsidR="000715FC" w:rsidRPr="00451D4C" w:rsidRDefault="000715FC" w:rsidP="003D44B9">
      <w:pPr>
        <w:rPr>
          <w:i/>
        </w:rPr>
      </w:pPr>
      <w:r w:rsidRPr="00451D4C">
        <w:t>Inštitúcie zverejňujú informácie uvedené</w:t>
      </w:r>
      <w:r w:rsidR="00451D4C">
        <w:t xml:space="preserve"> v </w:t>
      </w:r>
      <w:r w:rsidRPr="00451D4C">
        <w:t>článku 435 ods. 1</w:t>
      </w:r>
      <w:r w:rsidR="00451D4C">
        <w:t xml:space="preserve"> a v </w:t>
      </w:r>
      <w:r w:rsidRPr="00451D4C">
        <w:t xml:space="preserve">článku 451a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>článku 435 ods. 1</w:t>
      </w:r>
      <w:r>
        <w:t xml:space="preserve"> a v </w:t>
      </w:r>
      <w:r w:rsidR="00D001B4" w:rsidRPr="00451D4C">
        <w:t xml:space="preserve">článku 451a ods. 4 nariadenia (EÚ) </w:t>
      </w:r>
      <w:r>
        <w:t>č. </w:t>
      </w:r>
      <w:r w:rsidR="00D001B4" w:rsidRPr="00451D4C">
        <w:t>575/2013 použitím tabuľky EU LIQA uvedenej</w:t>
      </w:r>
      <w:r>
        <w:t xml:space="preserve"> v </w:t>
      </w:r>
      <w:r w:rsidR="00D001B4" w:rsidRPr="00451D4C">
        <w:t>prílohe XIII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XIV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 xml:space="preserve">článku 451a ods. 2 nariadenia (EÚ) </w:t>
      </w:r>
      <w:r>
        <w:t>č. </w:t>
      </w:r>
      <w:r w:rsidR="00D001B4" w:rsidRPr="00451D4C">
        <w:t>575/2013 použitím vzoru EU LIQ1</w:t>
      </w:r>
      <w:r>
        <w:t xml:space="preserve"> a </w:t>
      </w:r>
      <w:r w:rsidR="00D001B4" w:rsidRPr="00451D4C">
        <w:t>tabuľky EU LIQB uvedených</w:t>
      </w:r>
      <w:r>
        <w:t xml:space="preserve"> v </w:t>
      </w:r>
      <w:r w:rsidR="00D001B4" w:rsidRPr="00451D4C">
        <w:t>prílohe XIII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XIV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 xml:space="preserve">článku 451a ods. 3 nariadenia (EÚ) </w:t>
      </w:r>
      <w:r>
        <w:t>č. </w:t>
      </w:r>
      <w:r w:rsidR="00D001B4" w:rsidRPr="00451D4C">
        <w:t>575/2013 použitím vzoru EU LIQ2 uvedeného</w:t>
      </w:r>
      <w:r>
        <w:t xml:space="preserve"> v </w:t>
      </w:r>
      <w:r w:rsidR="00D001B4" w:rsidRPr="00451D4C">
        <w:t>prílohe XIII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XIV</w:t>
      </w:r>
      <w:r>
        <w:t xml:space="preserve"> k </w:t>
      </w:r>
      <w:r w:rsidR="00D001B4" w:rsidRPr="00451D4C">
        <w:t>tomuto nariadeniu.</w:t>
      </w:r>
    </w:p>
    <w:p w:rsidR="00496B08" w:rsidRPr="00451D4C" w:rsidRDefault="00496B08" w:rsidP="00496B08">
      <w:pPr>
        <w:pStyle w:val="Titrearticle"/>
      </w:pPr>
      <w:r w:rsidRPr="00451D4C">
        <w:t>Článok 8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expozíciách voči kreditnému riziku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riziku zníženia kvality pohľadávok</w:t>
      </w:r>
      <w:r w:rsidR="00451D4C">
        <w:rPr>
          <w:b/>
          <w:i w:val="0"/>
        </w:rPr>
        <w:t xml:space="preserve"> z </w:t>
      </w:r>
      <w:r w:rsidRPr="00451D4C">
        <w:rPr>
          <w:b/>
          <w:i w:val="0"/>
        </w:rPr>
        <w:t>iných ako kreditných dôvodov</w:t>
      </w:r>
      <w:r w:rsidR="00451D4C">
        <w:rPr>
          <w:b/>
          <w:i w:val="0"/>
        </w:rPr>
        <w:t xml:space="preserve"> a o </w:t>
      </w:r>
      <w:r w:rsidRPr="00451D4C">
        <w:rPr>
          <w:b/>
          <w:i w:val="0"/>
        </w:rPr>
        <w:t>kreditnej kvalite</w:t>
      </w:r>
    </w:p>
    <w:p w:rsidR="00A858BC" w:rsidRPr="00451D4C" w:rsidRDefault="00A858BC" w:rsidP="007D3DD0">
      <w:pPr>
        <w:pStyle w:val="NumPar1"/>
        <w:numPr>
          <w:ilvl w:val="0"/>
          <w:numId w:val="15"/>
        </w:numPr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článkoch 435</w:t>
      </w:r>
      <w:r w:rsidR="00451D4C">
        <w:t xml:space="preserve"> a </w:t>
      </w:r>
      <w:r w:rsidRPr="00451D4C">
        <w:t xml:space="preserve">442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>článku 435 ods. 1 písm. a), b), d)</w:t>
      </w:r>
      <w:r>
        <w:t xml:space="preserve"> a </w:t>
      </w:r>
      <w:r w:rsidR="00D001B4" w:rsidRPr="00451D4C">
        <w:t xml:space="preserve">f) nariadenia (EÚ) </w:t>
      </w:r>
      <w:r>
        <w:t>č. </w:t>
      </w:r>
      <w:r w:rsidR="00D001B4" w:rsidRPr="00451D4C">
        <w:t>575/2013 použitím tabuľky EU CRA uvedenej</w:t>
      </w:r>
      <w:r>
        <w:t xml:space="preserve"> v </w:t>
      </w:r>
      <w:r w:rsidR="00D001B4" w:rsidRPr="00451D4C">
        <w:t>prílohe XV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XVI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>článku 442 písm. a)</w:t>
      </w:r>
      <w:r>
        <w:t xml:space="preserve"> a </w:t>
      </w:r>
      <w:r w:rsidR="00D001B4" w:rsidRPr="00451D4C">
        <w:t xml:space="preserve">b) nariadenia (EÚ) </w:t>
      </w:r>
      <w:r>
        <w:t>č. </w:t>
      </w:r>
      <w:r w:rsidR="00D001B4" w:rsidRPr="00451D4C">
        <w:t>575/2013 použitím tabuľky EU CRB uvedenej</w:t>
      </w:r>
      <w:r>
        <w:t xml:space="preserve"> v </w:t>
      </w:r>
      <w:r w:rsidR="00D001B4" w:rsidRPr="00451D4C">
        <w:t>prílohe XV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XVI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 xml:space="preserve">článku 442 písm. d) nariadenia (EÚ) </w:t>
      </w:r>
      <w:r>
        <w:t>č. </w:t>
      </w:r>
      <w:r w:rsidR="00D001B4" w:rsidRPr="00451D4C">
        <w:t>575/2013 použitím vzoru EU CQ3 uvedeného</w:t>
      </w:r>
      <w:r>
        <w:t xml:space="preserve"> v </w:t>
      </w:r>
      <w:r w:rsidR="00D001B4" w:rsidRPr="00451D4C">
        <w:t>prílohe XV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XVI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 xml:space="preserve">článku 442 písm. g) nariadenia (EÚ) </w:t>
      </w:r>
      <w:r>
        <w:t>č. </w:t>
      </w:r>
      <w:r w:rsidR="00D001B4" w:rsidRPr="00451D4C">
        <w:t>575/2013 použitím vzoru EU CR1-A uvedeného</w:t>
      </w:r>
      <w:r>
        <w:t xml:space="preserve"> v </w:t>
      </w:r>
      <w:r w:rsidR="00D001B4" w:rsidRPr="00451D4C">
        <w:t>prílohe XV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XVI</w:t>
      </w:r>
      <w:r>
        <w:t xml:space="preserve"> k </w:t>
      </w:r>
      <w:r w:rsidR="00D001B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D001B4" w:rsidRPr="00451D4C">
        <w:t>informácie uvedené</w:t>
      </w:r>
      <w:r>
        <w:t xml:space="preserve"> v </w:t>
      </w:r>
      <w:r w:rsidR="00D001B4" w:rsidRPr="00451D4C">
        <w:t xml:space="preserve">článku 442 písm. f) nariadenia (EÚ) </w:t>
      </w:r>
      <w:r>
        <w:t>č. </w:t>
      </w:r>
      <w:r w:rsidR="00D001B4" w:rsidRPr="00451D4C">
        <w:t>575/2013 použitím vzoru EU CR2 uvedeného</w:t>
      </w:r>
      <w:r>
        <w:t xml:space="preserve"> v </w:t>
      </w:r>
      <w:r w:rsidR="00D001B4" w:rsidRPr="00451D4C">
        <w:t>prílohe XV</w:t>
      </w:r>
      <w:r>
        <w:t xml:space="preserve"> k </w:t>
      </w:r>
      <w:r w:rsidR="00D001B4" w:rsidRPr="00451D4C">
        <w:t>tomuto nariadeniu</w:t>
      </w:r>
      <w:r>
        <w:t xml:space="preserve"> a </w:t>
      </w:r>
      <w:r w:rsidR="00D001B4" w:rsidRPr="00451D4C">
        <w:t>podľa pokynov uvedených</w:t>
      </w:r>
      <w:r>
        <w:t xml:space="preserve"> v </w:t>
      </w:r>
      <w:r w:rsidR="00D001B4" w:rsidRPr="00451D4C">
        <w:t>prílohe XVI</w:t>
      </w:r>
      <w:r>
        <w:t xml:space="preserve"> k </w:t>
      </w:r>
      <w:r w:rsidR="00D001B4" w:rsidRPr="00451D4C">
        <w:t>tomuto nariadeniu.</w:t>
      </w:r>
    </w:p>
    <w:p w:rsidR="00DF14E1" w:rsidRPr="00451D4C" w:rsidRDefault="00A858BC" w:rsidP="00DF14E1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článku 442 písm. c), e)</w:t>
      </w:r>
      <w:r w:rsidR="00451D4C">
        <w:t xml:space="preserve"> a </w:t>
      </w:r>
      <w:r w:rsidRPr="00451D4C">
        <w:t xml:space="preserve">f) nariadenia (EÚ) </w:t>
      </w:r>
      <w:r w:rsidR="00451D4C">
        <w:t>č. </w:t>
      </w:r>
      <w:r w:rsidRPr="00451D4C">
        <w:t>575/2013 použitím vzorov EU CR1, EU CQ1</w:t>
      </w:r>
      <w:r w:rsidR="00451D4C">
        <w:t xml:space="preserve"> a </w:t>
      </w:r>
      <w:r w:rsidRPr="00451D4C">
        <w:t>EU CQ7, stĺpcov a, c, e, f</w:t>
      </w:r>
      <w:r w:rsidR="00451D4C">
        <w:t xml:space="preserve"> a </w:t>
      </w:r>
      <w:r w:rsidRPr="00451D4C">
        <w:t>g vzoru EU CQ4</w:t>
      </w:r>
      <w:r w:rsidR="00451D4C">
        <w:t xml:space="preserve"> a </w:t>
      </w:r>
      <w:r w:rsidRPr="00451D4C">
        <w:t>stĺpcov a, c, e</w:t>
      </w:r>
      <w:r w:rsidR="00451D4C">
        <w:t xml:space="preserve"> a </w:t>
      </w:r>
      <w:r w:rsidRPr="00451D4C">
        <w:t>f vzoru EU CQ5 uvedených</w:t>
      </w:r>
      <w:r w:rsidR="00451D4C">
        <w:t xml:space="preserve"> v </w:t>
      </w:r>
      <w:r w:rsidRPr="00451D4C">
        <w:t>prílohe XV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XVI</w:t>
      </w:r>
      <w:r w:rsidR="00451D4C">
        <w:t xml:space="preserve"> k </w:t>
      </w:r>
      <w:r w:rsidRPr="00451D4C">
        <w:t>tomuto nariadeniu.</w:t>
      </w:r>
    </w:p>
    <w:p w:rsidR="00451D4C" w:rsidRDefault="00956448" w:rsidP="00DF14E1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Veľké inštitúcie, ktorých pomer medzi hrubou účtovnou hodnotou úverov</w:t>
      </w:r>
      <w:r w:rsidR="00451D4C">
        <w:t xml:space="preserve"> a </w:t>
      </w:r>
      <w:r w:rsidRPr="00451D4C">
        <w:t xml:space="preserve">preddavkov, na ktoré sa vzťahuje článok 47a ods. 3 nariadenia (EÚ) </w:t>
      </w:r>
      <w:r w:rsidR="00451D4C">
        <w:t>č. </w:t>
      </w:r>
      <w:r w:rsidRPr="00451D4C">
        <w:t>575/2013,</w:t>
      </w:r>
      <w:r w:rsidR="00451D4C">
        <w:t xml:space="preserve"> a </w:t>
      </w:r>
      <w:r w:rsidRPr="00451D4C">
        <w:t>celkovou hrubou účtovnou hodnotou úverov</w:t>
      </w:r>
      <w:r w:rsidR="00451D4C">
        <w:t xml:space="preserve"> a </w:t>
      </w:r>
      <w:r w:rsidRPr="00451D4C">
        <w:t xml:space="preserve">preddavkov, na ktoré sa vzťahuje článok 47a ods. 1 nariadenia (EÚ) </w:t>
      </w:r>
      <w:r w:rsidR="00451D4C">
        <w:t>č. </w:t>
      </w:r>
      <w:r w:rsidRPr="00451D4C">
        <w:t>575/2013, je rovný alebo vyšší ako 5</w:t>
      </w:r>
      <w:r w:rsidR="00451D4C">
        <w:t> %</w:t>
      </w:r>
      <w:r w:rsidRPr="00451D4C">
        <w:t>, zverejňujú popri vzoroch</w:t>
      </w:r>
      <w:r w:rsidR="00451D4C">
        <w:t xml:space="preserve"> a </w:t>
      </w:r>
      <w:r w:rsidRPr="00451D4C">
        <w:t>stĺpcoch uvedených</w:t>
      </w:r>
      <w:r w:rsidR="00451D4C">
        <w:t xml:space="preserve"> v </w:t>
      </w:r>
      <w:r w:rsidRPr="00451D4C">
        <w:t>odseku 2 aj informácie uvedené</w:t>
      </w:r>
      <w:r w:rsidR="00451D4C">
        <w:t xml:space="preserve"> v </w:t>
      </w:r>
      <w:r w:rsidRPr="00451D4C">
        <w:t>článku 442 písm. c)</w:t>
      </w:r>
      <w:r w:rsidR="00451D4C">
        <w:t xml:space="preserve"> a </w:t>
      </w:r>
      <w:r w:rsidRPr="00451D4C">
        <w:t xml:space="preserve">f) nariadenia (EÚ) </w:t>
      </w:r>
      <w:r w:rsidR="00451D4C">
        <w:t>č. </w:t>
      </w:r>
      <w:r w:rsidRPr="00451D4C">
        <w:t>575/2013,</w:t>
      </w:r>
      <w:r w:rsidR="00451D4C">
        <w:t xml:space="preserve"> a </w:t>
      </w:r>
      <w:r w:rsidRPr="00451D4C">
        <w:t>to použitím vzorov EU CR2a, EU CQ2, EU CQ6</w:t>
      </w:r>
      <w:r w:rsidR="00451D4C">
        <w:t xml:space="preserve"> a </w:t>
      </w:r>
      <w:r w:rsidRPr="00451D4C">
        <w:t>EU CQ8</w:t>
      </w:r>
      <w:r w:rsidR="00451D4C">
        <w:t xml:space="preserve"> a </w:t>
      </w:r>
      <w:r w:rsidRPr="00451D4C">
        <w:t>stĺpcov b</w:t>
      </w:r>
      <w:r w:rsidR="00451D4C">
        <w:t xml:space="preserve"> a </w:t>
      </w:r>
      <w:r w:rsidRPr="00451D4C">
        <w:t>d vzorov EU CQ4</w:t>
      </w:r>
      <w:r w:rsidR="00451D4C">
        <w:t xml:space="preserve"> a </w:t>
      </w:r>
      <w:r w:rsidRPr="00451D4C">
        <w:t>EU CQ5 uvedených</w:t>
      </w:r>
      <w:r w:rsidR="00451D4C">
        <w:t xml:space="preserve"> v </w:t>
      </w:r>
      <w:r w:rsidRPr="00451D4C">
        <w:t>prílohe XV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XVI. Uvedené informácie zverejňujú raz ročne</w:t>
      </w:r>
      <w:r w:rsidR="00451D4C">
        <w:t>.</w:t>
      </w:r>
    </w:p>
    <w:p w:rsidR="00A858BC" w:rsidRPr="00451D4C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Na účely odseku 3 sú úvery</w:t>
      </w:r>
      <w:r w:rsidR="00451D4C">
        <w:t xml:space="preserve"> a </w:t>
      </w:r>
      <w:r w:rsidRPr="00451D4C">
        <w:t>preddavky klasifikované ako držané na predaj, pokladničné zostatky</w:t>
      </w:r>
      <w:r w:rsidR="00451D4C">
        <w:t xml:space="preserve"> v </w:t>
      </w:r>
      <w:r w:rsidRPr="00451D4C">
        <w:t>centrálnych bankách</w:t>
      </w:r>
      <w:r w:rsidR="00451D4C">
        <w:t xml:space="preserve"> a </w:t>
      </w:r>
      <w:r w:rsidRPr="00451D4C">
        <w:t>ostatné vklady splatné na požiadanie vylúčené</w:t>
      </w:r>
      <w:r w:rsidR="00451D4C">
        <w:t xml:space="preserve"> z </w:t>
      </w:r>
      <w:r w:rsidRPr="00451D4C">
        <w:t>menovateľa aj čitateľa daného pomeru.</w:t>
      </w:r>
    </w:p>
    <w:p w:rsidR="00A858BC" w:rsidRPr="00451D4C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začnú zverejňovať informácie podľa odseku 3, ak dosiahli alebo prekročili prahovú hodnotu 5</w:t>
      </w:r>
      <w:r w:rsidR="00451D4C">
        <w:t> %</w:t>
      </w:r>
      <w:r w:rsidRPr="00451D4C">
        <w:t xml:space="preserve"> stanovenú</w:t>
      </w:r>
      <w:r w:rsidR="00451D4C">
        <w:t xml:space="preserve"> v </w:t>
      </w:r>
      <w:r w:rsidRPr="00451D4C">
        <w:t>uvedenom odseku</w:t>
      </w:r>
      <w:r w:rsidR="00451D4C">
        <w:t xml:space="preserve"> v </w:t>
      </w:r>
      <w:r w:rsidRPr="00451D4C">
        <w:t>dvoch po sebe nasledujúcich štvrťrokoch počas štyroch štvrťrokov pred referenčným dátumom zverejnenia.</w:t>
      </w:r>
      <w:r w:rsidR="00451D4C">
        <w:t xml:space="preserve"> K </w:t>
      </w:r>
      <w:r w:rsidRPr="00451D4C">
        <w:t>referenčnému dátumu prvého zverejnenia inštitúcie zverejňujú príslušné informácie použitím vzorov stanovených</w:t>
      </w:r>
      <w:r w:rsidR="00451D4C">
        <w:t xml:space="preserve"> v </w:t>
      </w:r>
      <w:r w:rsidRPr="00451D4C">
        <w:t>uvedenom odseku, ak</w:t>
      </w:r>
      <w:r w:rsidR="00451D4C">
        <w:t xml:space="preserve"> k </w:t>
      </w:r>
      <w:r w:rsidRPr="00451D4C">
        <w:t>referenčnému dátumu zverejnenia presahujú prahovú hodnotu 5</w:t>
      </w:r>
      <w:r w:rsidR="00451D4C">
        <w:t> %</w:t>
      </w:r>
      <w:r w:rsidRPr="00451D4C">
        <w:t>.</w:t>
      </w:r>
    </w:p>
    <w:p w:rsidR="00A858BC" w:rsidRPr="00451D4C" w:rsidRDefault="00A858BC" w:rsidP="00F5043B">
      <w:pPr>
        <w:pStyle w:val="NumPar1"/>
        <w:tabs>
          <w:tab w:val="clear" w:pos="850"/>
          <w:tab w:val="left" w:pos="567"/>
        </w:tabs>
        <w:ind w:left="0" w:firstLine="0"/>
      </w:pPr>
      <w:r w:rsidRPr="00451D4C">
        <w:t>Inštitúcie prestávajú byť povinné zverejňovať informácie podľa odseku 3, ak počas troch po sebe nasledujúcich štvrťrokov počas štyroch štvrťrokov pred referenčným dátumom zverejnenia klesli pod prahovú hodnotu 5</w:t>
      </w:r>
      <w:r w:rsidR="00451D4C">
        <w:t> %</w:t>
      </w:r>
      <w:r w:rsidRPr="00451D4C">
        <w:t>.</w:t>
      </w:r>
    </w:p>
    <w:p w:rsidR="00496B08" w:rsidRPr="00451D4C" w:rsidRDefault="00496B08" w:rsidP="00496B08">
      <w:pPr>
        <w:pStyle w:val="Titrearticle"/>
      </w:pPr>
      <w:r w:rsidRPr="00451D4C">
        <w:t>Článok 9</w:t>
      </w:r>
    </w:p>
    <w:p w:rsid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používaní postupov zmierňovania kreditného rizika</w:t>
      </w:r>
    </w:p>
    <w:p w:rsidR="00A858BC" w:rsidRPr="00451D4C" w:rsidRDefault="00A858BC" w:rsidP="00A858BC">
      <w:pPr>
        <w:rPr>
          <w:i/>
        </w:rPr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453 písm. a) až f)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F53E64" w:rsidRPr="00451D4C">
        <w:t>informácie uvedené</w:t>
      </w:r>
      <w:r>
        <w:t xml:space="preserve"> v </w:t>
      </w:r>
      <w:r w:rsidR="00F53E64" w:rsidRPr="00451D4C">
        <w:t xml:space="preserve">článku 453 písm. a) až e) nariadenia (EÚ) </w:t>
      </w:r>
      <w:r>
        <w:t>č. </w:t>
      </w:r>
      <w:r w:rsidR="00F53E64" w:rsidRPr="00451D4C">
        <w:t>575/2013 použitím tabuľky EU CRC uvedenej</w:t>
      </w:r>
      <w:r>
        <w:t xml:space="preserve"> v </w:t>
      </w:r>
      <w:r w:rsidR="00F53E64" w:rsidRPr="00451D4C">
        <w:t>prílohe XVII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XVIII</w:t>
      </w:r>
      <w:r>
        <w:t xml:space="preserve"> k </w:t>
      </w:r>
      <w:r w:rsidR="00F53E6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F53E64" w:rsidRPr="00451D4C">
        <w:t>informácie uvedené</w:t>
      </w:r>
      <w:r>
        <w:t xml:space="preserve"> v </w:t>
      </w:r>
      <w:r w:rsidR="00F53E64" w:rsidRPr="00451D4C">
        <w:t xml:space="preserve">článku 453 písm. f) nariadenia (EÚ) </w:t>
      </w:r>
      <w:r>
        <w:t>č. </w:t>
      </w:r>
      <w:r w:rsidR="00F53E64" w:rsidRPr="00451D4C">
        <w:t>575/2013 použitím vzoru EU CR3 uvedeného</w:t>
      </w:r>
      <w:r>
        <w:t xml:space="preserve"> v </w:t>
      </w:r>
      <w:r w:rsidR="00F53E64" w:rsidRPr="00451D4C">
        <w:t>prílohe XVII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XVIII</w:t>
      </w:r>
      <w:r>
        <w:t xml:space="preserve"> k </w:t>
      </w:r>
      <w:r w:rsidR="00F53E64" w:rsidRPr="00451D4C">
        <w:t>tomuto nariadeniu.</w:t>
      </w:r>
    </w:p>
    <w:p w:rsidR="00451D4C" w:rsidRDefault="000B18AB" w:rsidP="000B18AB">
      <w:pPr>
        <w:pStyle w:val="Titrearticle"/>
      </w:pPr>
      <w:r w:rsidRPr="00451D4C">
        <w:t>Článok 10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používaní štandardizovaného prístupu</w:t>
      </w:r>
    </w:p>
    <w:p w:rsidR="00A858BC" w:rsidRPr="00451D4C" w:rsidRDefault="00A858BC" w:rsidP="00A858BC">
      <w:r w:rsidRPr="00451D4C">
        <w:t>Inštitúcie, ktoré vypočítavajú hodnoty rizikovo vážených expozícií na základe štandardizovaného prístupu, zverejňujú informácie uvedené</w:t>
      </w:r>
      <w:r w:rsidR="00451D4C">
        <w:t xml:space="preserve"> v </w:t>
      </w:r>
      <w:r w:rsidRPr="00451D4C">
        <w:t>článku 444</w:t>
      </w:r>
      <w:r w:rsidR="00451D4C">
        <w:t xml:space="preserve"> a v </w:t>
      </w:r>
      <w:r w:rsidRPr="00451D4C">
        <w:t>článku 453 písm. g), h)</w:t>
      </w:r>
      <w:r w:rsidR="00451D4C">
        <w:t xml:space="preserve"> a </w:t>
      </w:r>
      <w:r w:rsidRPr="00451D4C">
        <w:t xml:space="preserve">i)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F53E64" w:rsidRPr="00451D4C">
        <w:t>informácie uvedené</w:t>
      </w:r>
      <w:r>
        <w:t xml:space="preserve"> v </w:t>
      </w:r>
      <w:r w:rsidR="00F53E64" w:rsidRPr="00451D4C">
        <w:t xml:space="preserve">článku 444 písm. a) až d) nariadenia (EÚ) </w:t>
      </w:r>
      <w:r>
        <w:t>č. </w:t>
      </w:r>
      <w:r w:rsidR="00F53E64" w:rsidRPr="00451D4C">
        <w:t>575/2013 použitím tabuľky EU CRD uvedenej</w:t>
      </w:r>
      <w:r>
        <w:t xml:space="preserve"> v </w:t>
      </w:r>
      <w:r w:rsidR="00F53E64" w:rsidRPr="00451D4C">
        <w:t>prílohe XIX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XX</w:t>
      </w:r>
      <w:r>
        <w:t xml:space="preserve"> k </w:t>
      </w:r>
      <w:r w:rsidR="00F53E6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F53E64" w:rsidRPr="00451D4C">
        <w:t>informácie uvedené</w:t>
      </w:r>
      <w:r>
        <w:t xml:space="preserve"> v </w:t>
      </w:r>
      <w:r w:rsidR="00F53E64" w:rsidRPr="00451D4C">
        <w:t>článku 453 písm. g), h)</w:t>
      </w:r>
      <w:r>
        <w:t xml:space="preserve"> a </w:t>
      </w:r>
      <w:r w:rsidR="00F53E64" w:rsidRPr="00451D4C">
        <w:t>i)</w:t>
      </w:r>
      <w:r>
        <w:t xml:space="preserve"> a v </w:t>
      </w:r>
      <w:r w:rsidR="00F53E64" w:rsidRPr="00451D4C">
        <w:t xml:space="preserve">článku 444 písm. e) nariadenia (EÚ) </w:t>
      </w:r>
      <w:r>
        <w:t>č. </w:t>
      </w:r>
      <w:r w:rsidR="00F53E64" w:rsidRPr="00451D4C">
        <w:t>575/2013 použitím vzoru EU CR4 uvedeného</w:t>
      </w:r>
      <w:r>
        <w:t xml:space="preserve"> v </w:t>
      </w:r>
      <w:r w:rsidR="00F53E64" w:rsidRPr="00451D4C">
        <w:t>prílohe XIX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XX</w:t>
      </w:r>
      <w:r>
        <w:t xml:space="preserve"> k </w:t>
      </w:r>
      <w:r w:rsidR="00F53E64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F53E64" w:rsidRPr="00451D4C">
        <w:t>informácie uvedené</w:t>
      </w:r>
      <w:r>
        <w:t xml:space="preserve"> v </w:t>
      </w:r>
      <w:r w:rsidR="00F53E64" w:rsidRPr="00451D4C">
        <w:t xml:space="preserve">článku 444 písm. e) nariadenia (EÚ) </w:t>
      </w:r>
      <w:r>
        <w:t>č. </w:t>
      </w:r>
      <w:r w:rsidR="00F53E64" w:rsidRPr="00451D4C">
        <w:t>575/2013 použitím vzoru EU CR5 uvedeného</w:t>
      </w:r>
      <w:r>
        <w:t xml:space="preserve"> v </w:t>
      </w:r>
      <w:r w:rsidR="00F53E64" w:rsidRPr="00451D4C">
        <w:t>prílohe XIX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XX</w:t>
      </w:r>
      <w:r>
        <w:t xml:space="preserve"> k </w:t>
      </w:r>
      <w:r w:rsidR="00F53E64" w:rsidRPr="00451D4C">
        <w:t>tomuto nariadeniu</w:t>
      </w:r>
      <w:r>
        <w:t xml:space="preserve"> a v </w:t>
      </w:r>
      <w:r w:rsidR="00F53E64" w:rsidRPr="00451D4C">
        <w:t>prípade informácií</w:t>
      </w:r>
      <w:r>
        <w:t xml:space="preserve"> o </w:t>
      </w:r>
      <w:r w:rsidR="00F53E64" w:rsidRPr="00451D4C">
        <w:t>hodnotách expozícií odpočítaných od vlastných zdrojov uvedených</w:t>
      </w:r>
      <w:r>
        <w:t xml:space="preserve"> v </w:t>
      </w:r>
      <w:r w:rsidR="00F53E64" w:rsidRPr="00451D4C">
        <w:t>tom istom článku použitím vzoru EU CC1 uvedeného</w:t>
      </w:r>
      <w:r>
        <w:t xml:space="preserve"> v </w:t>
      </w:r>
      <w:r w:rsidR="00F53E64" w:rsidRPr="00451D4C">
        <w:t>prílohe VII</w:t>
      </w:r>
      <w:r>
        <w:t xml:space="preserve"> k </w:t>
      </w:r>
      <w:r w:rsidR="00F53E64" w:rsidRPr="00451D4C">
        <w:t>tomuto nariadeniu</w:t>
      </w:r>
      <w:r>
        <w:t xml:space="preserve"> a </w:t>
      </w:r>
      <w:r w:rsidR="00F53E64" w:rsidRPr="00451D4C">
        <w:t>podľa pokynov uvedených</w:t>
      </w:r>
      <w:r>
        <w:t xml:space="preserve"> v </w:t>
      </w:r>
      <w:r w:rsidR="00F53E64" w:rsidRPr="00451D4C">
        <w:t>prílohe VIII</w:t>
      </w:r>
      <w:r>
        <w:t xml:space="preserve"> k </w:t>
      </w:r>
      <w:r w:rsidR="00F53E64" w:rsidRPr="00451D4C">
        <w:t>tomuto nariadeniu.</w:t>
      </w:r>
    </w:p>
    <w:p w:rsidR="00173862" w:rsidRPr="00451D4C" w:rsidRDefault="00173862" w:rsidP="00173862">
      <w:pPr>
        <w:pStyle w:val="Titrearticle"/>
      </w:pPr>
      <w:r w:rsidRPr="00451D4C">
        <w:t>Článok 11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používaní prístupu IRB na kreditné riziko</w:t>
      </w:r>
    </w:p>
    <w:p w:rsidR="00A858BC" w:rsidRPr="00451D4C" w:rsidRDefault="00A858BC" w:rsidP="00A858BC">
      <w:r w:rsidRPr="00451D4C">
        <w:t>Inštitúcie, ktoré vypočítavajú hodnoty rizikovo vážených expozícií na základe prístupu IRB, zverejňujú informácie uvedené</w:t>
      </w:r>
      <w:r w:rsidR="00451D4C">
        <w:t xml:space="preserve"> v </w:t>
      </w:r>
      <w:r w:rsidRPr="00451D4C">
        <w:t>článkoch 438</w:t>
      </w:r>
      <w:r w:rsidR="00451D4C">
        <w:t xml:space="preserve"> a </w:t>
      </w:r>
      <w:r w:rsidRPr="00451D4C">
        <w:t>452</w:t>
      </w:r>
      <w:r w:rsidR="00451D4C">
        <w:t xml:space="preserve"> a v </w:t>
      </w:r>
      <w:r w:rsidRPr="00451D4C">
        <w:t>článku 453 písm. g)</w:t>
      </w:r>
      <w:r w:rsidR="00451D4C">
        <w:t xml:space="preserve"> a </w:t>
      </w:r>
      <w:r w:rsidRPr="00451D4C">
        <w:t xml:space="preserve">j)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926007" w:rsidRPr="00451D4C">
        <w:t>informácie uvedené</w:t>
      </w:r>
      <w:r>
        <w:t xml:space="preserve"> v </w:t>
      </w:r>
      <w:r w:rsidR="00926007" w:rsidRPr="00451D4C">
        <w:t xml:space="preserve">článku 452 písm. a) až f) nariadenia (EÚ) </w:t>
      </w:r>
      <w:r>
        <w:t>č. </w:t>
      </w:r>
      <w:r w:rsidR="00926007" w:rsidRPr="00451D4C">
        <w:t>575/2013 použitím tabuľky EU CRE</w:t>
      </w:r>
      <w:r>
        <w:t xml:space="preserve"> a </w:t>
      </w:r>
      <w:r w:rsidR="00926007" w:rsidRPr="00451D4C">
        <w:t>vzoru EU CR6-A uvedených</w:t>
      </w:r>
      <w:r>
        <w:t xml:space="preserve"> v </w:t>
      </w:r>
      <w:r w:rsidR="00926007" w:rsidRPr="00451D4C">
        <w:t>prílohe XXI</w:t>
      </w:r>
      <w:r>
        <w:t xml:space="preserve"> k </w:t>
      </w:r>
      <w:r w:rsidR="00926007" w:rsidRPr="00451D4C">
        <w:t>tomuto nariadeniu</w:t>
      </w:r>
      <w:r>
        <w:t xml:space="preserve"> a </w:t>
      </w:r>
      <w:r w:rsidR="00926007" w:rsidRPr="00451D4C">
        <w:t>podľa pokynov uvedených</w:t>
      </w:r>
      <w:r>
        <w:t xml:space="preserve"> v </w:t>
      </w:r>
      <w:r w:rsidR="00926007" w:rsidRPr="00451D4C">
        <w:t>prílohe XXII</w:t>
      </w:r>
      <w:r>
        <w:t xml:space="preserve"> k </w:t>
      </w:r>
      <w:r w:rsidR="00926007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926007" w:rsidRPr="00451D4C">
        <w:t>informácie uvedené</w:t>
      </w:r>
      <w:r>
        <w:t xml:space="preserve"> v </w:t>
      </w:r>
      <w:r w:rsidR="00926007" w:rsidRPr="00451D4C">
        <w:t xml:space="preserve">článku 452 písm. g) nariadenia (EÚ) </w:t>
      </w:r>
      <w:r>
        <w:t>č. </w:t>
      </w:r>
      <w:r w:rsidR="00926007" w:rsidRPr="00451D4C">
        <w:t>575/2013 použitím vzoru EU CR6 uvedeného</w:t>
      </w:r>
      <w:r>
        <w:t xml:space="preserve"> v </w:t>
      </w:r>
      <w:r w:rsidR="00926007" w:rsidRPr="00451D4C">
        <w:t>prílohe XXI</w:t>
      </w:r>
      <w:r>
        <w:t xml:space="preserve"> k </w:t>
      </w:r>
      <w:r w:rsidR="00926007" w:rsidRPr="00451D4C">
        <w:t>tomuto nariadeniu</w:t>
      </w:r>
      <w:r>
        <w:t xml:space="preserve"> a </w:t>
      </w:r>
      <w:r w:rsidR="00926007" w:rsidRPr="00451D4C">
        <w:t>podľa pokynov uvedených</w:t>
      </w:r>
      <w:r>
        <w:t xml:space="preserve"> v </w:t>
      </w:r>
      <w:r w:rsidR="00926007" w:rsidRPr="00451D4C">
        <w:t>prílohe XXII</w:t>
      </w:r>
      <w:r>
        <w:t xml:space="preserve"> k </w:t>
      </w:r>
      <w:r w:rsidR="00926007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926007" w:rsidRPr="00451D4C">
        <w:t>informácie uvedené</w:t>
      </w:r>
      <w:r>
        <w:t xml:space="preserve"> v </w:t>
      </w:r>
      <w:r w:rsidR="00926007" w:rsidRPr="00451D4C">
        <w:t>článku 453 písm. g)</w:t>
      </w:r>
      <w:r>
        <w:t xml:space="preserve"> a </w:t>
      </w:r>
      <w:r w:rsidR="00926007" w:rsidRPr="00451D4C">
        <w:t xml:space="preserve">j) nariadenia (EÚ) </w:t>
      </w:r>
      <w:r>
        <w:t>č. </w:t>
      </w:r>
      <w:r w:rsidR="00926007" w:rsidRPr="00451D4C">
        <w:t>575/2013 použitím vzorov EU CR7-A</w:t>
      </w:r>
      <w:r>
        <w:t xml:space="preserve"> a </w:t>
      </w:r>
      <w:r w:rsidR="00926007" w:rsidRPr="00451D4C">
        <w:t>EU CR7 uvedených</w:t>
      </w:r>
      <w:r>
        <w:t xml:space="preserve"> v </w:t>
      </w:r>
      <w:r w:rsidR="00926007" w:rsidRPr="00451D4C">
        <w:t>prílohe XXI</w:t>
      </w:r>
      <w:r>
        <w:t xml:space="preserve"> k </w:t>
      </w:r>
      <w:r w:rsidR="00926007" w:rsidRPr="00451D4C">
        <w:t>tomuto nariadeniu</w:t>
      </w:r>
      <w:r>
        <w:t xml:space="preserve"> a </w:t>
      </w:r>
      <w:r w:rsidR="00926007" w:rsidRPr="00451D4C">
        <w:t>podľa pokynov uvedených</w:t>
      </w:r>
      <w:r>
        <w:t xml:space="preserve"> v </w:t>
      </w:r>
      <w:r w:rsidR="00926007" w:rsidRPr="00451D4C">
        <w:t>prílohe XXII</w:t>
      </w:r>
      <w:r>
        <w:t xml:space="preserve"> k </w:t>
      </w:r>
      <w:r w:rsidR="00926007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926007" w:rsidRPr="00451D4C">
        <w:t>informácie uvedené</w:t>
      </w:r>
      <w:r>
        <w:t xml:space="preserve"> v </w:t>
      </w:r>
      <w:r w:rsidR="00926007" w:rsidRPr="00451D4C">
        <w:t xml:space="preserve">článku 438 písm. h) nariadenia (EÚ) </w:t>
      </w:r>
      <w:r>
        <w:t>č. </w:t>
      </w:r>
      <w:r w:rsidR="00926007" w:rsidRPr="00451D4C">
        <w:t>575/2013 použitím vzoru EU CR8 uvedeného</w:t>
      </w:r>
      <w:r>
        <w:t xml:space="preserve"> v </w:t>
      </w:r>
      <w:r w:rsidR="00926007" w:rsidRPr="00451D4C">
        <w:t>prílohe XXI</w:t>
      </w:r>
      <w:r>
        <w:t xml:space="preserve"> k </w:t>
      </w:r>
      <w:r w:rsidR="00926007" w:rsidRPr="00451D4C">
        <w:t>tomuto nariadeniu</w:t>
      </w:r>
      <w:r>
        <w:t xml:space="preserve"> a </w:t>
      </w:r>
      <w:r w:rsidR="00926007" w:rsidRPr="00451D4C">
        <w:t>podľa pokynov uvedených</w:t>
      </w:r>
      <w:r>
        <w:t xml:space="preserve"> v </w:t>
      </w:r>
      <w:r w:rsidR="00926007" w:rsidRPr="00451D4C">
        <w:t>prílohe XXII</w:t>
      </w:r>
      <w:r>
        <w:t xml:space="preserve"> k </w:t>
      </w:r>
      <w:r w:rsidR="00926007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926007" w:rsidRPr="00451D4C">
        <w:t>informácie uvedené</w:t>
      </w:r>
      <w:r>
        <w:t xml:space="preserve"> v </w:t>
      </w:r>
      <w:r w:rsidR="00926007" w:rsidRPr="00451D4C">
        <w:t xml:space="preserve">článku 452 písm. h) nariadenia (EÚ) </w:t>
      </w:r>
      <w:r>
        <w:t>č. </w:t>
      </w:r>
      <w:r w:rsidR="00926007" w:rsidRPr="00451D4C">
        <w:t>575/2013 použitím vzorov EU CR9</w:t>
      </w:r>
      <w:r>
        <w:t xml:space="preserve"> a </w:t>
      </w:r>
      <w:r w:rsidR="00926007" w:rsidRPr="00451D4C">
        <w:t>EU CR9.1 uvedených</w:t>
      </w:r>
      <w:r>
        <w:t xml:space="preserve"> v </w:t>
      </w:r>
      <w:r w:rsidR="00926007" w:rsidRPr="00451D4C">
        <w:t>prílohe XXI</w:t>
      </w:r>
      <w:r>
        <w:t xml:space="preserve"> k </w:t>
      </w:r>
      <w:r w:rsidR="00926007" w:rsidRPr="00451D4C">
        <w:t>tomuto nariadeniu</w:t>
      </w:r>
      <w:r>
        <w:t xml:space="preserve"> a </w:t>
      </w:r>
      <w:r w:rsidR="00926007" w:rsidRPr="00451D4C">
        <w:t>podľa pokynov uvedených</w:t>
      </w:r>
      <w:r>
        <w:t xml:space="preserve"> v </w:t>
      </w:r>
      <w:r w:rsidR="00926007" w:rsidRPr="00451D4C">
        <w:t>prílohe XXII</w:t>
      </w:r>
      <w:r>
        <w:t xml:space="preserve"> k </w:t>
      </w:r>
      <w:r w:rsidR="00926007" w:rsidRPr="00451D4C">
        <w:t>tomuto nariadeniu.</w:t>
      </w:r>
    </w:p>
    <w:p w:rsidR="009675DD" w:rsidRPr="00451D4C" w:rsidRDefault="009675DD" w:rsidP="009675DD">
      <w:pPr>
        <w:pStyle w:val="Titrearticle"/>
      </w:pPr>
      <w:r w:rsidRPr="00451D4C">
        <w:t>Článok 12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špecializovaného financovania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kapitálových expozícií</w:t>
      </w:r>
      <w:r w:rsidR="00451D4C">
        <w:rPr>
          <w:b/>
          <w:i w:val="0"/>
        </w:rPr>
        <w:t xml:space="preserve"> v </w:t>
      </w:r>
      <w:r w:rsidRPr="00451D4C">
        <w:rPr>
          <w:b/>
          <w:i w:val="0"/>
        </w:rPr>
        <w:t>rámci jednoduchého prístupu založeného na použití rizikovej váhy</w:t>
      </w:r>
    </w:p>
    <w:p w:rsidR="00A858BC" w:rsidRPr="00451D4C" w:rsidRDefault="00A858BC" w:rsidP="00A858BC"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438 písm. e) nariadenia (EÚ) </w:t>
      </w:r>
      <w:r w:rsidR="00451D4C">
        <w:t>č. </w:t>
      </w:r>
      <w:r w:rsidRPr="00451D4C">
        <w:t>575/2013 použitím vzoru EU CR10 uvedeného</w:t>
      </w:r>
      <w:r w:rsidR="00451D4C">
        <w:t xml:space="preserve"> v </w:t>
      </w:r>
      <w:r w:rsidRPr="00451D4C">
        <w:t>prílohe XXIII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XXIV</w:t>
      </w:r>
      <w:r w:rsidR="00451D4C">
        <w:t xml:space="preserve"> k </w:t>
      </w:r>
      <w:r w:rsidRPr="00451D4C">
        <w:t>tomuto nariadeniu.</w:t>
      </w:r>
    </w:p>
    <w:p w:rsidR="00BF182F" w:rsidRPr="00451D4C" w:rsidRDefault="00BF182F" w:rsidP="00BF182F">
      <w:pPr>
        <w:pStyle w:val="Titrearticle"/>
      </w:pPr>
      <w:r w:rsidRPr="00451D4C">
        <w:t>Článok 13</w:t>
      </w:r>
    </w:p>
    <w:p w:rsidR="00A858BC" w:rsidRP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expozíciách voči kreditnému riziku protistrany</w:t>
      </w:r>
    </w:p>
    <w:p w:rsidR="00A858BC" w:rsidRPr="00451D4C" w:rsidRDefault="00A858BC" w:rsidP="00A858BC">
      <w:r w:rsidRPr="00451D4C">
        <w:t>Inštitúcie zverejňujú informácie uvedené</w:t>
      </w:r>
      <w:r w:rsidR="00451D4C">
        <w:t xml:space="preserve"> v </w:t>
      </w:r>
      <w:r w:rsidRPr="00451D4C">
        <w:t>článku 438 písm. h)</w:t>
      </w:r>
      <w:r w:rsidR="00451D4C">
        <w:t xml:space="preserve"> a v </w:t>
      </w:r>
      <w:r w:rsidRPr="00451D4C">
        <w:t xml:space="preserve">článku 439 nariadenia (EÚ) </w:t>
      </w:r>
      <w:r w:rsidR="00451D4C">
        <w:t>č. </w:t>
      </w:r>
      <w:r w:rsidRPr="00451D4C">
        <w:t>575/2013 takto:</w:t>
      </w:r>
    </w:p>
    <w:p w:rsidR="00A858BC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336F4D" w:rsidRPr="00451D4C">
        <w:t>informácie uvedené</w:t>
      </w:r>
      <w:r>
        <w:t xml:space="preserve"> v </w:t>
      </w:r>
      <w:r w:rsidR="00336F4D" w:rsidRPr="00451D4C">
        <w:t>článku 439 písm. a), b), c)</w:t>
      </w:r>
      <w:r>
        <w:t xml:space="preserve"> a </w:t>
      </w:r>
      <w:r w:rsidR="00336F4D" w:rsidRPr="00451D4C">
        <w:t xml:space="preserve">d) nariadenia (EÚ) </w:t>
      </w:r>
      <w:r>
        <w:t>č. </w:t>
      </w:r>
      <w:r w:rsidR="00336F4D" w:rsidRPr="00451D4C">
        <w:t>575/2013 použitím tabuľky EU CCRA uvedenej</w:t>
      </w:r>
      <w:r>
        <w:t xml:space="preserve"> v </w:t>
      </w:r>
      <w:r w:rsidR="00336F4D" w:rsidRPr="00451D4C">
        <w:t>prílohe XXV</w:t>
      </w:r>
      <w:r>
        <w:t xml:space="preserve"> k </w:t>
      </w:r>
      <w:r w:rsidR="00336F4D" w:rsidRPr="00451D4C">
        <w:t>tomuto nariadeniu</w:t>
      </w:r>
      <w:r>
        <w:t xml:space="preserve"> a </w:t>
      </w:r>
      <w:r w:rsidR="00336F4D" w:rsidRPr="00451D4C">
        <w:t>podľa pokynov uvedených</w:t>
      </w:r>
      <w:r>
        <w:t xml:space="preserve"> v </w:t>
      </w:r>
      <w:r w:rsidR="00336F4D" w:rsidRPr="00451D4C">
        <w:t>prílohe XXVI</w:t>
      </w:r>
      <w:r>
        <w:t xml:space="preserve"> k </w:t>
      </w:r>
      <w:r w:rsidR="00336F4D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336F4D" w:rsidRPr="00451D4C">
        <w:t>informácie uvedené</w:t>
      </w:r>
      <w:r>
        <w:t xml:space="preserve"> v </w:t>
      </w:r>
      <w:r w:rsidR="00336F4D" w:rsidRPr="00451D4C">
        <w:t>článku 439 písm. f), g), k)</w:t>
      </w:r>
      <w:r>
        <w:t xml:space="preserve"> a </w:t>
      </w:r>
      <w:r w:rsidR="00336F4D" w:rsidRPr="00451D4C">
        <w:t xml:space="preserve">m) nariadenia (EÚ) </w:t>
      </w:r>
      <w:r>
        <w:t>č. </w:t>
      </w:r>
      <w:r w:rsidR="00336F4D" w:rsidRPr="00451D4C">
        <w:t>575/2013 použitím vzoru EU CCR1 uvedeného</w:t>
      </w:r>
      <w:r>
        <w:t xml:space="preserve"> v </w:t>
      </w:r>
      <w:r w:rsidR="00336F4D" w:rsidRPr="00451D4C">
        <w:t>prílohe XXV</w:t>
      </w:r>
      <w:r>
        <w:t xml:space="preserve"> k </w:t>
      </w:r>
      <w:r w:rsidR="00336F4D" w:rsidRPr="00451D4C">
        <w:t>tomuto nariadeniu</w:t>
      </w:r>
      <w:r>
        <w:t xml:space="preserve"> a </w:t>
      </w:r>
      <w:r w:rsidR="00336F4D" w:rsidRPr="00451D4C">
        <w:t>podľa pokynov uvedených</w:t>
      </w:r>
      <w:r>
        <w:t xml:space="preserve"> v </w:t>
      </w:r>
      <w:r w:rsidR="00336F4D" w:rsidRPr="00451D4C">
        <w:t>prílohe XXVI</w:t>
      </w:r>
      <w:r>
        <w:t xml:space="preserve"> k </w:t>
      </w:r>
      <w:r w:rsidR="00336F4D" w:rsidRPr="00451D4C">
        <w:t>tomuto nariadeniu;</w:t>
      </w:r>
    </w:p>
    <w:p w:rsidR="00A858BC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336F4D" w:rsidRPr="00451D4C">
        <w:t>informácie uvedené</w:t>
      </w:r>
      <w:r>
        <w:t xml:space="preserve"> v </w:t>
      </w:r>
      <w:r w:rsidR="00336F4D" w:rsidRPr="00451D4C">
        <w:t xml:space="preserve">článku 439 písm. h) nariadenia (EÚ) </w:t>
      </w:r>
      <w:r>
        <w:t>č. </w:t>
      </w:r>
      <w:r w:rsidR="00336F4D" w:rsidRPr="00451D4C">
        <w:t>575/2013 použitím vzoru EU CCR2 uvedeného</w:t>
      </w:r>
      <w:r>
        <w:t xml:space="preserve"> v </w:t>
      </w:r>
      <w:r w:rsidR="00336F4D" w:rsidRPr="00451D4C">
        <w:t>prílohe XXV</w:t>
      </w:r>
      <w:r>
        <w:t xml:space="preserve"> k </w:t>
      </w:r>
      <w:r w:rsidR="00336F4D" w:rsidRPr="00451D4C">
        <w:t>tomuto nariadeniu</w:t>
      </w:r>
      <w:r>
        <w:t xml:space="preserve"> a </w:t>
      </w:r>
      <w:r w:rsidR="00336F4D" w:rsidRPr="00451D4C">
        <w:t>podľa pokynov uvedených</w:t>
      </w:r>
      <w:r>
        <w:t xml:space="preserve"> v </w:t>
      </w:r>
      <w:r w:rsidR="00336F4D" w:rsidRPr="00451D4C">
        <w:t>prílohe XXVI</w:t>
      </w:r>
      <w:r>
        <w:t xml:space="preserve"> k </w:t>
      </w:r>
      <w:r w:rsidR="00336F4D" w:rsidRPr="00451D4C">
        <w:t>tomuto nariadeniu;</w:t>
      </w:r>
    </w:p>
    <w:p w:rsidR="00F31307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F31307" w:rsidRPr="00451D4C">
        <w:t>informácie uvedené</w:t>
      </w:r>
      <w:r>
        <w:t xml:space="preserve"> v </w:t>
      </w:r>
      <w:r w:rsidR="00F31307" w:rsidRPr="00451D4C">
        <w:t xml:space="preserve">článku 439 písm. l) nariadenia (EÚ) </w:t>
      </w:r>
      <w:r>
        <w:t>č. </w:t>
      </w:r>
      <w:r w:rsidR="00F31307" w:rsidRPr="00451D4C">
        <w:t>575/2013 použitím vzorov EU CCR3</w:t>
      </w:r>
      <w:r>
        <w:t xml:space="preserve"> a </w:t>
      </w:r>
      <w:r w:rsidR="00F31307" w:rsidRPr="00451D4C">
        <w:t>EU CCR4 uvedených</w:t>
      </w:r>
      <w:r>
        <w:t xml:space="preserve"> v </w:t>
      </w:r>
      <w:r w:rsidR="00F31307" w:rsidRPr="00451D4C">
        <w:t>prílohe XXV</w:t>
      </w:r>
      <w:r>
        <w:t xml:space="preserve"> k </w:t>
      </w:r>
      <w:r w:rsidR="00F31307" w:rsidRPr="00451D4C">
        <w:t>tomuto nariadeniu</w:t>
      </w:r>
      <w:r>
        <w:t xml:space="preserve"> a </w:t>
      </w:r>
      <w:r w:rsidR="00F31307" w:rsidRPr="00451D4C">
        <w:t>podľa pokynov uvedených</w:t>
      </w:r>
      <w:r>
        <w:t xml:space="preserve"> v </w:t>
      </w:r>
      <w:r w:rsidR="00F31307" w:rsidRPr="00451D4C">
        <w:t>prílohe XXVI</w:t>
      </w:r>
      <w:r>
        <w:t xml:space="preserve"> k </w:t>
      </w:r>
      <w:r w:rsidR="00F31307" w:rsidRPr="00451D4C">
        <w:t>tomuto nariadeniu;</w:t>
      </w:r>
    </w:p>
    <w:p w:rsidR="00F31307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F31307" w:rsidRPr="00451D4C">
        <w:t>informácie uvedené</w:t>
      </w:r>
      <w:r>
        <w:t xml:space="preserve"> v </w:t>
      </w:r>
      <w:r w:rsidR="00F31307" w:rsidRPr="00451D4C">
        <w:t xml:space="preserve">článku 439 písm. e) nariadenia (EÚ) </w:t>
      </w:r>
      <w:r>
        <w:t>č. </w:t>
      </w:r>
      <w:r w:rsidR="00F31307" w:rsidRPr="00451D4C">
        <w:t>575/2013 použitím vzoru EU CCR5 uvedeného</w:t>
      </w:r>
      <w:r>
        <w:t xml:space="preserve"> v </w:t>
      </w:r>
      <w:r w:rsidR="00F31307" w:rsidRPr="00451D4C">
        <w:t>prílohe XXV</w:t>
      </w:r>
      <w:r>
        <w:t xml:space="preserve"> k </w:t>
      </w:r>
      <w:r w:rsidR="00F31307" w:rsidRPr="00451D4C">
        <w:t>tomuto nariadeniu</w:t>
      </w:r>
      <w:r>
        <w:t xml:space="preserve"> a </w:t>
      </w:r>
      <w:r w:rsidR="00F31307" w:rsidRPr="00451D4C">
        <w:t>podľa pokynov uvedených</w:t>
      </w:r>
      <w:r>
        <w:t xml:space="preserve"> v </w:t>
      </w:r>
      <w:r w:rsidR="00F31307" w:rsidRPr="00451D4C">
        <w:t>prílohe XXVI</w:t>
      </w:r>
      <w:r>
        <w:t xml:space="preserve"> k </w:t>
      </w:r>
      <w:r w:rsidR="00F31307" w:rsidRPr="00451D4C">
        <w:t>tomuto nariadeniu;</w:t>
      </w:r>
    </w:p>
    <w:p w:rsidR="00F31307" w:rsidRPr="00451D4C" w:rsidRDefault="00451D4C" w:rsidP="00451D4C">
      <w:pPr>
        <w:pStyle w:val="Point1"/>
      </w:pPr>
      <w:r w:rsidRPr="00451D4C">
        <w:t>f)</w:t>
      </w:r>
      <w:r w:rsidRPr="00451D4C">
        <w:tab/>
      </w:r>
      <w:r w:rsidR="00F31307" w:rsidRPr="00451D4C">
        <w:t>informácie uvedené</w:t>
      </w:r>
      <w:r>
        <w:t xml:space="preserve"> v </w:t>
      </w:r>
      <w:r w:rsidR="00F31307" w:rsidRPr="00451D4C">
        <w:t xml:space="preserve">článku 439 písm. j) nariadenia (EÚ) </w:t>
      </w:r>
      <w:r>
        <w:t>č. </w:t>
      </w:r>
      <w:r w:rsidR="00F31307" w:rsidRPr="00451D4C">
        <w:t>575/2013 použitím vzoru EU CCR6 uvedeného</w:t>
      </w:r>
      <w:r>
        <w:t xml:space="preserve"> v </w:t>
      </w:r>
      <w:r w:rsidR="00F31307" w:rsidRPr="00451D4C">
        <w:t>prílohe XXV</w:t>
      </w:r>
      <w:r>
        <w:t xml:space="preserve"> k </w:t>
      </w:r>
      <w:r w:rsidR="00F31307" w:rsidRPr="00451D4C">
        <w:t>tomuto nariadeniu</w:t>
      </w:r>
      <w:r>
        <w:t xml:space="preserve"> a </w:t>
      </w:r>
      <w:r w:rsidR="00F31307" w:rsidRPr="00451D4C">
        <w:t>podľa pokynov uvedených</w:t>
      </w:r>
      <w:r>
        <w:t xml:space="preserve"> v </w:t>
      </w:r>
      <w:r w:rsidR="00F31307" w:rsidRPr="00451D4C">
        <w:t>prílohe XXVI</w:t>
      </w:r>
      <w:r>
        <w:t xml:space="preserve"> k </w:t>
      </w:r>
      <w:r w:rsidR="00F31307" w:rsidRPr="00451D4C">
        <w:t>tomuto nariadeniu;</w:t>
      </w:r>
    </w:p>
    <w:p w:rsidR="00262584" w:rsidRPr="00451D4C" w:rsidRDefault="00451D4C" w:rsidP="00451D4C">
      <w:pPr>
        <w:pStyle w:val="Point1"/>
      </w:pPr>
      <w:r w:rsidRPr="00451D4C">
        <w:t>g)</w:t>
      </w:r>
      <w:r w:rsidRPr="00451D4C">
        <w:tab/>
      </w:r>
      <w:r w:rsidR="00262584" w:rsidRPr="00451D4C">
        <w:t>informácie uvedené</w:t>
      </w:r>
      <w:r>
        <w:t xml:space="preserve"> v </w:t>
      </w:r>
      <w:r w:rsidR="00262584" w:rsidRPr="00451D4C">
        <w:t xml:space="preserve">článku 438 písm. h) nariadenia (EÚ) </w:t>
      </w:r>
      <w:r>
        <w:t>č. </w:t>
      </w:r>
      <w:r w:rsidR="00262584" w:rsidRPr="00451D4C">
        <w:t>575/2013 použitím vzoru EU CCR7 uvedeného</w:t>
      </w:r>
      <w:r>
        <w:t xml:space="preserve"> v </w:t>
      </w:r>
      <w:r w:rsidR="00262584" w:rsidRPr="00451D4C">
        <w:t>prílohe XXV</w:t>
      </w:r>
      <w:r>
        <w:t xml:space="preserve"> k </w:t>
      </w:r>
      <w:r w:rsidR="00262584" w:rsidRPr="00451D4C">
        <w:t>tomuto nariadeniu</w:t>
      </w:r>
      <w:r>
        <w:t xml:space="preserve"> a </w:t>
      </w:r>
      <w:r w:rsidR="00262584" w:rsidRPr="00451D4C">
        <w:t>podľa pokynov uvedených</w:t>
      </w:r>
      <w:r>
        <w:t xml:space="preserve"> v </w:t>
      </w:r>
      <w:r w:rsidR="00262584" w:rsidRPr="00451D4C">
        <w:t>prílohe XXVI</w:t>
      </w:r>
      <w:r>
        <w:t xml:space="preserve"> k </w:t>
      </w:r>
      <w:r w:rsidR="00262584" w:rsidRPr="00451D4C">
        <w:t>tomuto nariadeniu;</w:t>
      </w:r>
    </w:p>
    <w:p w:rsidR="00451D4C" w:rsidRDefault="00451D4C" w:rsidP="00451D4C">
      <w:pPr>
        <w:pStyle w:val="Point1"/>
      </w:pPr>
      <w:r w:rsidRPr="00451D4C">
        <w:t>h)</w:t>
      </w:r>
      <w:r w:rsidRPr="00451D4C">
        <w:tab/>
      </w:r>
      <w:r w:rsidR="00262584" w:rsidRPr="00451D4C">
        <w:t>informácie uvedené</w:t>
      </w:r>
      <w:r>
        <w:t xml:space="preserve"> v </w:t>
      </w:r>
      <w:r w:rsidR="00262584" w:rsidRPr="00451D4C">
        <w:t xml:space="preserve">článku 439 písm. i) nariadenia (EÚ) </w:t>
      </w:r>
      <w:r>
        <w:t>č. </w:t>
      </w:r>
      <w:r w:rsidR="00262584" w:rsidRPr="00451D4C">
        <w:t>575/2013 použitím vzoru EU CCR8 uvedeného</w:t>
      </w:r>
      <w:r>
        <w:t xml:space="preserve"> v </w:t>
      </w:r>
      <w:r w:rsidR="00262584" w:rsidRPr="00451D4C">
        <w:t>prílohe XXV</w:t>
      </w:r>
      <w:r>
        <w:t xml:space="preserve"> k </w:t>
      </w:r>
      <w:r w:rsidR="00262584" w:rsidRPr="00451D4C">
        <w:t>tomuto nariadeniu</w:t>
      </w:r>
      <w:r>
        <w:t xml:space="preserve"> a </w:t>
      </w:r>
      <w:r w:rsidR="00262584" w:rsidRPr="00451D4C">
        <w:t>podľa pokynov uvedených</w:t>
      </w:r>
      <w:r>
        <w:t xml:space="preserve"> v </w:t>
      </w:r>
      <w:r w:rsidR="00262584" w:rsidRPr="00451D4C">
        <w:t>prílohe XXVI</w:t>
      </w:r>
      <w:r>
        <w:t xml:space="preserve"> k </w:t>
      </w:r>
      <w:r w:rsidR="00262584" w:rsidRPr="00451D4C">
        <w:t>tomuto nariadeniu</w:t>
      </w:r>
      <w:r>
        <w:t>.</w:t>
      </w:r>
    </w:p>
    <w:p w:rsidR="00F91209" w:rsidRPr="00451D4C" w:rsidRDefault="00F91209" w:rsidP="00F91209">
      <w:pPr>
        <w:pStyle w:val="Titrearticle"/>
      </w:pPr>
      <w:r w:rsidRPr="00451D4C">
        <w:t>Článok 14</w:t>
      </w:r>
    </w:p>
    <w:p w:rsidR="00451D4C" w:rsidRDefault="00A858BC" w:rsidP="00A858BC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expozíciách voči sekuritizačným pozíciám</w:t>
      </w:r>
    </w:p>
    <w:p w:rsidR="00A858BC" w:rsidRPr="00451D4C" w:rsidRDefault="00A858BC" w:rsidP="009777B7"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449 nariadenia (EÚ) </w:t>
      </w:r>
      <w:r w:rsidR="00451D4C">
        <w:t>č. </w:t>
      </w:r>
      <w:r w:rsidRPr="00451D4C">
        <w:t>575/2013 takto:</w:t>
      </w:r>
    </w:p>
    <w:p w:rsidR="009777B7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 xml:space="preserve">článku 449 písm. a) až i) nariadenia (EÚ) </w:t>
      </w:r>
      <w:r>
        <w:t>č. </w:t>
      </w:r>
      <w:r w:rsidR="00CE62E1" w:rsidRPr="00451D4C">
        <w:t>575/2013 použitím tabuľky EU SECA uvedenej</w:t>
      </w:r>
      <w:r>
        <w:t xml:space="preserve"> v </w:t>
      </w:r>
      <w:r w:rsidR="00CE62E1" w:rsidRPr="00451D4C">
        <w:t>prílohe XXVII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XXVIII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 xml:space="preserve">článku 449 písm. j) nariadenia (EÚ) </w:t>
      </w:r>
      <w:r>
        <w:t>č. </w:t>
      </w:r>
      <w:r w:rsidR="00CE62E1" w:rsidRPr="00451D4C">
        <w:t>575/2013 použitím vzorov EU SEC1</w:t>
      </w:r>
      <w:r>
        <w:t xml:space="preserve"> a </w:t>
      </w:r>
      <w:r w:rsidR="00CE62E1" w:rsidRPr="00451D4C">
        <w:t>EU SEC2 uvedených</w:t>
      </w:r>
      <w:r>
        <w:t xml:space="preserve"> v </w:t>
      </w:r>
      <w:r w:rsidR="00CE62E1" w:rsidRPr="00451D4C">
        <w:t>prílohe XXVII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XXVIII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336F4D" w:rsidRPr="00451D4C">
        <w:t>informácie uvedené</w:t>
      </w:r>
      <w:r>
        <w:t xml:space="preserve"> v </w:t>
      </w:r>
      <w:r w:rsidR="00336F4D" w:rsidRPr="00451D4C">
        <w:t xml:space="preserve">článku 449 písm. k) nariadenia (EÚ) </w:t>
      </w:r>
      <w:r>
        <w:t>č. </w:t>
      </w:r>
      <w:r w:rsidR="00336F4D" w:rsidRPr="00451D4C">
        <w:t>575/2013 použitím vzorov EU SEC3</w:t>
      </w:r>
      <w:r>
        <w:t xml:space="preserve"> a </w:t>
      </w:r>
      <w:r w:rsidR="00336F4D" w:rsidRPr="00451D4C">
        <w:t>EU SEC4 uvedených</w:t>
      </w:r>
      <w:r>
        <w:t xml:space="preserve"> v </w:t>
      </w:r>
      <w:r w:rsidR="00336F4D" w:rsidRPr="00451D4C">
        <w:t>prílohe XXVII</w:t>
      </w:r>
      <w:r>
        <w:t xml:space="preserve"> k </w:t>
      </w:r>
      <w:r w:rsidR="00336F4D" w:rsidRPr="00451D4C">
        <w:t>tomuto nariadeniu</w:t>
      </w:r>
      <w:r>
        <w:t xml:space="preserve"> a </w:t>
      </w:r>
      <w:r w:rsidR="00336F4D" w:rsidRPr="00451D4C">
        <w:t>podľa pokynov uvedených</w:t>
      </w:r>
      <w:r>
        <w:t xml:space="preserve"> v </w:t>
      </w:r>
      <w:r w:rsidR="00336F4D" w:rsidRPr="00451D4C">
        <w:t>prílohe XXVIII</w:t>
      </w:r>
      <w:r>
        <w:t xml:space="preserve"> k </w:t>
      </w:r>
      <w:r w:rsidR="00336F4D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336F4D" w:rsidRPr="00451D4C">
        <w:t>informácie uvedené</w:t>
      </w:r>
      <w:r>
        <w:t xml:space="preserve"> v </w:t>
      </w:r>
      <w:r w:rsidR="00336F4D" w:rsidRPr="00451D4C">
        <w:t xml:space="preserve">článku 449 písm. l) nariadenia (EÚ) </w:t>
      </w:r>
      <w:r>
        <w:t>č. </w:t>
      </w:r>
      <w:r w:rsidR="00336F4D" w:rsidRPr="00451D4C">
        <w:t>575/2013 použitím vzoru EU SEC5 uvedeného</w:t>
      </w:r>
      <w:r>
        <w:t xml:space="preserve"> v </w:t>
      </w:r>
      <w:r w:rsidR="00336F4D" w:rsidRPr="00451D4C">
        <w:t>prílohe XXVII</w:t>
      </w:r>
      <w:r>
        <w:t xml:space="preserve"> k </w:t>
      </w:r>
      <w:r w:rsidR="00336F4D" w:rsidRPr="00451D4C">
        <w:t>tomuto nariadeniu</w:t>
      </w:r>
      <w:r>
        <w:t xml:space="preserve"> a </w:t>
      </w:r>
      <w:r w:rsidR="00336F4D" w:rsidRPr="00451D4C">
        <w:t>podľa pokynov uvedených</w:t>
      </w:r>
      <w:r>
        <w:t xml:space="preserve"> v </w:t>
      </w:r>
      <w:r w:rsidR="00336F4D" w:rsidRPr="00451D4C">
        <w:t>prílohe XXVIII</w:t>
      </w:r>
      <w:r>
        <w:t xml:space="preserve"> k </w:t>
      </w:r>
      <w:r w:rsidR="00336F4D" w:rsidRPr="00451D4C">
        <w:t>tomuto nariadeniu.</w:t>
      </w:r>
    </w:p>
    <w:p w:rsidR="00F91209" w:rsidRPr="00451D4C" w:rsidRDefault="00F91209" w:rsidP="00F91209">
      <w:pPr>
        <w:pStyle w:val="Titrearticle"/>
      </w:pPr>
      <w:r w:rsidRPr="00451D4C">
        <w:t>Článok 15</w:t>
      </w:r>
    </w:p>
    <w:p w:rsidR="009777B7" w:rsidRPr="00451D4C" w:rsidRDefault="009777B7" w:rsidP="009777B7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používaní štandardizovaného prístupu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interných modelov pre trhové riziko</w:t>
      </w:r>
    </w:p>
    <w:p w:rsidR="009777B7" w:rsidRPr="00451D4C" w:rsidRDefault="009777B7" w:rsidP="007D3DD0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445 nariadenia (EÚ) </w:t>
      </w:r>
      <w:r w:rsidR="00451D4C">
        <w:t>č. </w:t>
      </w:r>
      <w:r w:rsidRPr="00451D4C">
        <w:t>575/2013 použitím vzoru EU MR1 uvedeného</w:t>
      </w:r>
      <w:r w:rsidR="00451D4C">
        <w:t xml:space="preserve"> v </w:t>
      </w:r>
      <w:r w:rsidRPr="00451D4C">
        <w:t>prílohe XXIX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XXX</w:t>
      </w:r>
      <w:r w:rsidR="00451D4C">
        <w:t xml:space="preserve"> k </w:t>
      </w:r>
      <w:r w:rsidRPr="00451D4C">
        <w:t>tomuto nariadeniu.</w:t>
      </w:r>
    </w:p>
    <w:p w:rsidR="009777B7" w:rsidRPr="00451D4C" w:rsidRDefault="009777B7" w:rsidP="007D3DD0">
      <w:pPr>
        <w:pStyle w:val="NumPar1"/>
        <w:numPr>
          <w:ilvl w:val="0"/>
          <w:numId w:val="13"/>
        </w:numPr>
        <w:tabs>
          <w:tab w:val="clear" w:pos="850"/>
          <w:tab w:val="left" w:pos="567"/>
        </w:tabs>
        <w:ind w:left="0" w:firstLine="0"/>
      </w:pPr>
      <w:r w:rsidRPr="00451D4C">
        <w:t>Inštitúcie zverejňujú informácie uvedené</w:t>
      </w:r>
      <w:r w:rsidR="00451D4C">
        <w:t xml:space="preserve"> v </w:t>
      </w:r>
      <w:r w:rsidRPr="00451D4C">
        <w:t>článkoch 435, 438</w:t>
      </w:r>
      <w:r w:rsidR="00451D4C">
        <w:t xml:space="preserve"> a </w:t>
      </w:r>
      <w:r w:rsidRPr="00451D4C">
        <w:t xml:space="preserve">455 nariadenia (EÚ) </w:t>
      </w:r>
      <w:r w:rsidR="00451D4C">
        <w:t>č. </w:t>
      </w:r>
      <w:r w:rsidRPr="00451D4C">
        <w:t>575/2013 takto:</w:t>
      </w:r>
    </w:p>
    <w:p w:rsidR="009777B7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CE62E1" w:rsidRPr="00451D4C">
        <w:t>informácie týkajúce sa trhového rizika uvedené</w:t>
      </w:r>
      <w:r>
        <w:t xml:space="preserve"> v </w:t>
      </w:r>
      <w:r w:rsidR="00CE62E1" w:rsidRPr="00451D4C">
        <w:t xml:space="preserve">článku 435 ods. 1 písm. a) až d) nariadenia (EÚ) </w:t>
      </w:r>
      <w:r>
        <w:t>č. </w:t>
      </w:r>
      <w:r w:rsidR="00CE62E1" w:rsidRPr="00451D4C">
        <w:t>575/2013 použitím tabuľky EU MRA uvedenej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b)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>článku 455 písm. a), b), c)</w:t>
      </w:r>
      <w:r>
        <w:t xml:space="preserve"> a </w:t>
      </w:r>
      <w:r w:rsidR="00CE62E1" w:rsidRPr="00451D4C">
        <w:t xml:space="preserve">f) nariadenia (EÚ) </w:t>
      </w:r>
      <w:r>
        <w:t>č. </w:t>
      </w:r>
      <w:r w:rsidR="00CE62E1" w:rsidRPr="00451D4C">
        <w:t>575/2013 použitím tabuľky EU MRB uvedenej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 xml:space="preserve">článku 455 písm. e) nariadenia (EÚ) </w:t>
      </w:r>
      <w:r>
        <w:t>č. </w:t>
      </w:r>
      <w:r w:rsidR="00CE62E1" w:rsidRPr="00451D4C">
        <w:t>575/2013 použitím vzoru EU MR2-A uvedeného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CE62E1" w:rsidRPr="00451D4C">
        <w:t>informácie týkajúce sa interných modelov pre trhové riziko uvedené</w:t>
      </w:r>
      <w:r>
        <w:t xml:space="preserve"> v </w:t>
      </w:r>
      <w:r w:rsidR="00CE62E1" w:rsidRPr="00451D4C">
        <w:t xml:space="preserve">článku 438 písm. h) nariadenia (EÚ) </w:t>
      </w:r>
      <w:r>
        <w:t>č. </w:t>
      </w:r>
      <w:r w:rsidR="00CE62E1" w:rsidRPr="00451D4C">
        <w:t>575/2013 použitím vzoru EU MR2-B uvedeného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 xml:space="preserve">článku 455 písm. d) nariadenia (EÚ) </w:t>
      </w:r>
      <w:r>
        <w:t>č. </w:t>
      </w:r>
      <w:r w:rsidR="00CE62E1" w:rsidRPr="00451D4C">
        <w:t>575/2013 použitím vzoru EU MR3 uvedeného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nariadeniu;</w:t>
      </w:r>
    </w:p>
    <w:p w:rsidR="009777B7" w:rsidRPr="00451D4C" w:rsidRDefault="00451D4C" w:rsidP="00451D4C">
      <w:pPr>
        <w:pStyle w:val="Point1"/>
      </w:pPr>
      <w:r w:rsidRPr="00451D4C">
        <w:t>f)</w:t>
      </w:r>
      <w:r w:rsidRPr="00451D4C">
        <w:tab/>
      </w:r>
      <w:r w:rsidR="00CE62E1" w:rsidRPr="00451D4C">
        <w:t>informácie uvedené</w:t>
      </w:r>
      <w:r>
        <w:t xml:space="preserve"> v </w:t>
      </w:r>
      <w:r w:rsidR="00CE62E1" w:rsidRPr="00451D4C">
        <w:t xml:space="preserve">článku 455 písm. g) nariadenia (EÚ) </w:t>
      </w:r>
      <w:r>
        <w:t>č. </w:t>
      </w:r>
      <w:r w:rsidR="00CE62E1" w:rsidRPr="00451D4C">
        <w:t>575/2013 použitím vzoru EU MR4 uvedeného</w:t>
      </w:r>
      <w:r>
        <w:t xml:space="preserve"> v </w:t>
      </w:r>
      <w:r w:rsidR="00CE62E1" w:rsidRPr="00451D4C">
        <w:t>prílohe XXIX</w:t>
      </w:r>
      <w:r>
        <w:t xml:space="preserve"> k </w:t>
      </w:r>
      <w:r w:rsidR="00CE62E1" w:rsidRPr="00451D4C">
        <w:t>tomuto nariadeniu</w:t>
      </w:r>
      <w:r>
        <w:t xml:space="preserve"> a </w:t>
      </w:r>
      <w:r w:rsidR="00CE62E1" w:rsidRPr="00451D4C">
        <w:t>podľa pokynov uvedených</w:t>
      </w:r>
      <w:r>
        <w:t xml:space="preserve"> v </w:t>
      </w:r>
      <w:r w:rsidR="00CE62E1" w:rsidRPr="00451D4C">
        <w:t>prílohe XXX</w:t>
      </w:r>
      <w:r>
        <w:t xml:space="preserve"> k </w:t>
      </w:r>
      <w:r w:rsidR="00CE62E1" w:rsidRPr="00451D4C">
        <w:t>tomuto nariadeniu.</w:t>
      </w:r>
    </w:p>
    <w:p w:rsidR="00F91209" w:rsidRPr="00451D4C" w:rsidRDefault="00F91209" w:rsidP="00F91209">
      <w:pPr>
        <w:pStyle w:val="Titrearticle"/>
      </w:pPr>
      <w:r w:rsidRPr="00451D4C">
        <w:t>Článok 16</w:t>
      </w:r>
      <w:r w:rsidRPr="00451D4C">
        <w:fldChar w:fldCharType="begin"/>
      </w:r>
      <w:r w:rsidRPr="00451D4C">
        <w:instrText xml:space="preserve"> seq article </w:instrText>
      </w:r>
      <w:r w:rsidRPr="00451D4C">
        <w:fldChar w:fldCharType="end"/>
      </w:r>
    </w:p>
    <w:p w:rsidR="00451D4C" w:rsidRDefault="009777B7" w:rsidP="009777B7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operačnom riziku</w:t>
      </w:r>
    </w:p>
    <w:p w:rsidR="009777B7" w:rsidRPr="00451D4C" w:rsidRDefault="009777B7" w:rsidP="009777B7">
      <w:r w:rsidRPr="00451D4C">
        <w:t>Inštitúcie zverejňujú informácie uvedené</w:t>
      </w:r>
      <w:r w:rsidR="00451D4C">
        <w:t xml:space="preserve"> v </w:t>
      </w:r>
      <w:r w:rsidRPr="00451D4C">
        <w:t>článku 435, článku 438 písm. d)</w:t>
      </w:r>
      <w:r w:rsidR="00451D4C">
        <w:t xml:space="preserve"> a v </w:t>
      </w:r>
      <w:r w:rsidRPr="00451D4C">
        <w:t>článkoch 446</w:t>
      </w:r>
      <w:r w:rsidR="00451D4C">
        <w:t xml:space="preserve"> a </w:t>
      </w:r>
      <w:r w:rsidRPr="00451D4C">
        <w:t xml:space="preserve">454 nariadenia (EÚ) </w:t>
      </w:r>
      <w:r w:rsidR="00451D4C">
        <w:t>č. </w:t>
      </w:r>
      <w:r w:rsidRPr="00451D4C">
        <w:t>575/2013 použitím tabuľky EU ORA</w:t>
      </w:r>
      <w:r w:rsidR="00451D4C">
        <w:t xml:space="preserve"> a </w:t>
      </w:r>
      <w:r w:rsidRPr="00451D4C">
        <w:t>vzoru EU OR1 uvedených</w:t>
      </w:r>
      <w:r w:rsidR="00451D4C">
        <w:t xml:space="preserve"> v </w:t>
      </w:r>
      <w:r w:rsidRPr="00451D4C">
        <w:t>prílohe XXXI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XXXII</w:t>
      </w:r>
      <w:r w:rsidR="00451D4C">
        <w:t xml:space="preserve"> k </w:t>
      </w:r>
      <w:r w:rsidRPr="00451D4C">
        <w:t>tomuto nariadeniu.</w:t>
      </w:r>
    </w:p>
    <w:p w:rsidR="000C60D7" w:rsidRPr="00451D4C" w:rsidRDefault="000C60D7" w:rsidP="000C60D7">
      <w:pPr>
        <w:pStyle w:val="Titrearticle"/>
      </w:pPr>
      <w:r w:rsidRPr="00451D4C">
        <w:t>Článok 17</w:t>
      </w:r>
    </w:p>
    <w:p w:rsidR="009777B7" w:rsidRPr="00451D4C" w:rsidRDefault="009777B7" w:rsidP="009777B7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politike odmeňovania</w:t>
      </w:r>
    </w:p>
    <w:p w:rsidR="009777B7" w:rsidRPr="00451D4C" w:rsidRDefault="009777B7" w:rsidP="009777B7">
      <w:pPr>
        <w:pStyle w:val="Titrearticle"/>
        <w:keepNext w:val="0"/>
        <w:tabs>
          <w:tab w:val="center" w:pos="4390"/>
        </w:tabs>
        <w:jc w:val="both"/>
        <w:rPr>
          <w:i w:val="0"/>
        </w:rPr>
      </w:pPr>
      <w:r w:rsidRPr="00451D4C">
        <w:rPr>
          <w:i w:val="0"/>
        </w:rPr>
        <w:t>Inštitúcie zverejňujú informácie uvedené</w:t>
      </w:r>
      <w:r w:rsidR="00451D4C">
        <w:rPr>
          <w:i w:val="0"/>
        </w:rPr>
        <w:t xml:space="preserve"> v </w:t>
      </w:r>
      <w:r w:rsidRPr="00451D4C">
        <w:rPr>
          <w:i w:val="0"/>
        </w:rPr>
        <w:t xml:space="preserve">článku 450 nariadenia (EÚ) </w:t>
      </w:r>
      <w:r w:rsidR="00451D4C">
        <w:rPr>
          <w:i w:val="0"/>
        </w:rPr>
        <w:t>č. </w:t>
      </w:r>
      <w:r w:rsidRPr="00451D4C">
        <w:rPr>
          <w:i w:val="0"/>
        </w:rPr>
        <w:t>575/2013 takto:</w:t>
      </w:r>
    </w:p>
    <w:p w:rsidR="009777B7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922950" w:rsidRPr="00451D4C">
        <w:t>informácie uvedené</w:t>
      </w:r>
      <w:r>
        <w:t xml:space="preserve"> v </w:t>
      </w:r>
      <w:r w:rsidR="00922950" w:rsidRPr="00451D4C">
        <w:t>článku 450 ods. 1 písm. a) až f)</w:t>
      </w:r>
      <w:r>
        <w:t xml:space="preserve"> a </w:t>
      </w:r>
      <w:r w:rsidR="00922950" w:rsidRPr="00451D4C">
        <w:t>písm. j)</w:t>
      </w:r>
      <w:r>
        <w:t xml:space="preserve"> a </w:t>
      </w:r>
      <w:r w:rsidR="00922950" w:rsidRPr="00451D4C">
        <w:t>k)</w:t>
      </w:r>
      <w:r>
        <w:t xml:space="preserve"> a </w:t>
      </w:r>
      <w:r w:rsidR="00922950" w:rsidRPr="00451D4C">
        <w:t>informácie uvedené</w:t>
      </w:r>
      <w:r>
        <w:t xml:space="preserve"> v </w:t>
      </w:r>
      <w:r w:rsidR="00922950" w:rsidRPr="00451D4C">
        <w:t>článku 450 ods. 2 uvedeného nariadenia použitím tabuľky EU REMA uvedenej</w:t>
      </w:r>
      <w:r>
        <w:t xml:space="preserve"> v </w:t>
      </w:r>
      <w:r w:rsidR="00922950" w:rsidRPr="00451D4C">
        <w:t>prílohe XXXIII</w:t>
      </w:r>
      <w:r>
        <w:t xml:space="preserve"> k </w:t>
      </w:r>
      <w:r w:rsidR="00922950" w:rsidRPr="00451D4C">
        <w:t>tomuto nariadeniu</w:t>
      </w:r>
      <w:r>
        <w:t xml:space="preserve"> a </w:t>
      </w:r>
      <w:r w:rsidR="00922950" w:rsidRPr="00451D4C">
        <w:t>podľa pokynov uvedených</w:t>
      </w:r>
      <w:r>
        <w:t xml:space="preserve"> v </w:t>
      </w:r>
      <w:r w:rsidR="00922950" w:rsidRPr="00451D4C">
        <w:t>prílohe XXXIV</w:t>
      </w:r>
      <w:r>
        <w:t xml:space="preserve"> k </w:t>
      </w:r>
      <w:r w:rsidR="00922950" w:rsidRPr="00451D4C">
        <w:t>tomuto nariadeniu;</w:t>
      </w:r>
    </w:p>
    <w:p w:rsidR="009777B7" w:rsidRPr="00451D4C" w:rsidRDefault="00451D4C" w:rsidP="00451D4C">
      <w:pPr>
        <w:pStyle w:val="Point1"/>
        <w:rPr>
          <w:spacing w:val="-4"/>
        </w:rPr>
      </w:pPr>
      <w:r w:rsidRPr="00451D4C">
        <w:t>b)</w:t>
      </w:r>
      <w:r w:rsidRPr="00451D4C">
        <w:tab/>
      </w:r>
      <w:r w:rsidR="00922950" w:rsidRPr="00451D4C">
        <w:rPr>
          <w:spacing w:val="-4"/>
        </w:rPr>
        <w:t>informácie uvedené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článku 450 ods. 1 písm. h) bodoch i)</w:t>
      </w:r>
      <w:r w:rsidRPr="00451D4C">
        <w:rPr>
          <w:spacing w:val="-4"/>
        </w:rPr>
        <w:t xml:space="preserve"> a </w:t>
      </w:r>
      <w:r w:rsidR="00922950" w:rsidRPr="00451D4C">
        <w:rPr>
          <w:spacing w:val="-4"/>
        </w:rPr>
        <w:t xml:space="preserve">ii) nariadenia (EÚ) </w:t>
      </w:r>
      <w:r w:rsidRPr="00451D4C">
        <w:rPr>
          <w:spacing w:val="-4"/>
        </w:rPr>
        <w:t>č. </w:t>
      </w:r>
      <w:r w:rsidR="00922950" w:rsidRPr="00451D4C">
        <w:rPr>
          <w:spacing w:val="-4"/>
        </w:rPr>
        <w:t>575/2013 použitím vzoru EU REM1 uvedeného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prílohe XXXIII</w:t>
      </w:r>
      <w:r w:rsidRPr="00451D4C">
        <w:rPr>
          <w:spacing w:val="-4"/>
        </w:rPr>
        <w:t xml:space="preserve"> k </w:t>
      </w:r>
      <w:r w:rsidR="00922950" w:rsidRPr="00451D4C">
        <w:rPr>
          <w:spacing w:val="-4"/>
        </w:rPr>
        <w:t>tomuto nariadeniu</w:t>
      </w:r>
      <w:r w:rsidRPr="00451D4C">
        <w:rPr>
          <w:spacing w:val="-4"/>
        </w:rPr>
        <w:t xml:space="preserve"> a </w:t>
      </w:r>
      <w:r w:rsidR="00922950" w:rsidRPr="00451D4C">
        <w:rPr>
          <w:spacing w:val="-4"/>
        </w:rPr>
        <w:t>podľa pokynov uvedených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prílohe XXXIV</w:t>
      </w:r>
      <w:r w:rsidRPr="00451D4C">
        <w:rPr>
          <w:spacing w:val="-4"/>
        </w:rPr>
        <w:t xml:space="preserve"> k </w:t>
      </w:r>
      <w:r w:rsidR="00922950" w:rsidRPr="00451D4C">
        <w:rPr>
          <w:spacing w:val="-4"/>
        </w:rPr>
        <w:t>tomuto nariadeniu;</w:t>
      </w:r>
    </w:p>
    <w:p w:rsidR="009777B7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922950" w:rsidRPr="00451D4C">
        <w:t>informácie uvedené</w:t>
      </w:r>
      <w:r>
        <w:t xml:space="preserve"> v </w:t>
      </w:r>
      <w:r w:rsidR="00922950" w:rsidRPr="00451D4C">
        <w:t>článku 450 ods. 1 písm. h) bodoch v), vi)</w:t>
      </w:r>
      <w:r>
        <w:t xml:space="preserve"> a </w:t>
      </w:r>
      <w:r w:rsidR="00922950" w:rsidRPr="00451D4C">
        <w:t xml:space="preserve">vii) nariadenia (EÚ) </w:t>
      </w:r>
      <w:r>
        <w:t>č. </w:t>
      </w:r>
      <w:r w:rsidR="00922950" w:rsidRPr="00451D4C">
        <w:t>575/2013 použitím vzoru EU REM2 uvedeného</w:t>
      </w:r>
      <w:r>
        <w:t xml:space="preserve"> v </w:t>
      </w:r>
      <w:r w:rsidR="00922950" w:rsidRPr="00451D4C">
        <w:t>prílohe XXXIII</w:t>
      </w:r>
      <w:r>
        <w:t xml:space="preserve"> k </w:t>
      </w:r>
      <w:r w:rsidR="00922950" w:rsidRPr="00451D4C">
        <w:t>tomuto nariadeniu</w:t>
      </w:r>
      <w:r>
        <w:t xml:space="preserve"> a </w:t>
      </w:r>
      <w:r w:rsidR="00922950" w:rsidRPr="00451D4C">
        <w:t>podľa pokynov uvedených</w:t>
      </w:r>
      <w:r>
        <w:t xml:space="preserve"> v </w:t>
      </w:r>
      <w:r w:rsidR="00922950" w:rsidRPr="00451D4C">
        <w:t>prílohe XXXIV</w:t>
      </w:r>
      <w:r>
        <w:t xml:space="preserve"> k </w:t>
      </w:r>
      <w:r w:rsidR="00922950" w:rsidRPr="00451D4C">
        <w:t>tomuto nariadeniu;</w:t>
      </w:r>
    </w:p>
    <w:p w:rsidR="009777B7" w:rsidRPr="00451D4C" w:rsidRDefault="00451D4C" w:rsidP="00451D4C">
      <w:pPr>
        <w:pStyle w:val="Point1"/>
        <w:rPr>
          <w:spacing w:val="-4"/>
        </w:rPr>
      </w:pPr>
      <w:r w:rsidRPr="00451D4C">
        <w:t>d)</w:t>
      </w:r>
      <w:r w:rsidRPr="00451D4C">
        <w:tab/>
      </w:r>
      <w:r w:rsidR="00922950" w:rsidRPr="00451D4C">
        <w:rPr>
          <w:spacing w:val="-4"/>
        </w:rPr>
        <w:t>informácie uvedené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článku 450 ods. 1 písm. h) bodoch iii)</w:t>
      </w:r>
      <w:r w:rsidRPr="00451D4C">
        <w:rPr>
          <w:spacing w:val="-4"/>
        </w:rPr>
        <w:t xml:space="preserve"> a </w:t>
      </w:r>
      <w:r w:rsidR="00922950" w:rsidRPr="00451D4C">
        <w:rPr>
          <w:spacing w:val="-4"/>
        </w:rPr>
        <w:t xml:space="preserve">iv) nariadenia (EÚ) </w:t>
      </w:r>
      <w:r w:rsidRPr="00451D4C">
        <w:rPr>
          <w:spacing w:val="-4"/>
        </w:rPr>
        <w:t>č. </w:t>
      </w:r>
      <w:r w:rsidR="00922950" w:rsidRPr="00451D4C">
        <w:rPr>
          <w:spacing w:val="-4"/>
        </w:rPr>
        <w:t>575/2013 použitím vzoru EU REM3 uvedeného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prílohe XXXIII</w:t>
      </w:r>
      <w:r w:rsidRPr="00451D4C">
        <w:rPr>
          <w:spacing w:val="-4"/>
        </w:rPr>
        <w:t xml:space="preserve"> k </w:t>
      </w:r>
      <w:r w:rsidR="00922950" w:rsidRPr="00451D4C">
        <w:rPr>
          <w:spacing w:val="-4"/>
        </w:rPr>
        <w:t>tomuto nariadeniu</w:t>
      </w:r>
      <w:r w:rsidRPr="00451D4C">
        <w:rPr>
          <w:spacing w:val="-4"/>
        </w:rPr>
        <w:t xml:space="preserve"> a </w:t>
      </w:r>
      <w:r w:rsidR="00922950" w:rsidRPr="00451D4C">
        <w:rPr>
          <w:spacing w:val="-4"/>
        </w:rPr>
        <w:t>podľa pokynov uvedených</w:t>
      </w:r>
      <w:r w:rsidRPr="00451D4C">
        <w:rPr>
          <w:spacing w:val="-4"/>
        </w:rPr>
        <w:t xml:space="preserve"> v </w:t>
      </w:r>
      <w:r w:rsidR="00922950" w:rsidRPr="00451D4C">
        <w:rPr>
          <w:spacing w:val="-4"/>
        </w:rPr>
        <w:t>prílohe XXXIV</w:t>
      </w:r>
      <w:r w:rsidRPr="00451D4C">
        <w:rPr>
          <w:spacing w:val="-4"/>
        </w:rPr>
        <w:t xml:space="preserve"> k </w:t>
      </w:r>
      <w:r w:rsidR="00922950" w:rsidRPr="00451D4C">
        <w:rPr>
          <w:spacing w:val="-4"/>
        </w:rPr>
        <w:t>tomuto nariadeniu;</w:t>
      </w:r>
    </w:p>
    <w:p w:rsidR="009777B7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9B4728" w:rsidRPr="00451D4C">
        <w:t>informácie uvedené</w:t>
      </w:r>
      <w:r>
        <w:t xml:space="preserve"> v </w:t>
      </w:r>
      <w:r w:rsidR="009B4728" w:rsidRPr="00451D4C">
        <w:t>článku 450 ods. 1 písm. g)</w:t>
      </w:r>
      <w:r>
        <w:t xml:space="preserve"> a </w:t>
      </w:r>
      <w:r w:rsidR="009B4728" w:rsidRPr="00451D4C">
        <w:t xml:space="preserve">i) nariadenia (EÚ) </w:t>
      </w:r>
      <w:r>
        <w:t>č. </w:t>
      </w:r>
      <w:r w:rsidR="009B4728" w:rsidRPr="00451D4C">
        <w:t>575/2013 použitím vzorov EU REM4</w:t>
      </w:r>
      <w:r>
        <w:t xml:space="preserve"> a </w:t>
      </w:r>
      <w:r w:rsidR="009B4728" w:rsidRPr="00451D4C">
        <w:t>EU REM5 uvedených</w:t>
      </w:r>
      <w:r>
        <w:t xml:space="preserve"> v </w:t>
      </w:r>
      <w:r w:rsidR="009B4728" w:rsidRPr="00451D4C">
        <w:t>prílohe XXXIII</w:t>
      </w:r>
      <w:r>
        <w:t xml:space="preserve"> k </w:t>
      </w:r>
      <w:r w:rsidR="009B4728" w:rsidRPr="00451D4C">
        <w:t>tomuto nariadeniu</w:t>
      </w:r>
      <w:r>
        <w:t xml:space="preserve"> a </w:t>
      </w:r>
      <w:r w:rsidR="009B4728" w:rsidRPr="00451D4C">
        <w:t>podľa pokynov uvedených</w:t>
      </w:r>
      <w:r>
        <w:t xml:space="preserve"> v </w:t>
      </w:r>
      <w:r w:rsidR="009B4728" w:rsidRPr="00451D4C">
        <w:t>prílohe XXXIV</w:t>
      </w:r>
      <w:r>
        <w:t xml:space="preserve"> k </w:t>
      </w:r>
      <w:r w:rsidR="009B4728" w:rsidRPr="00451D4C">
        <w:t>tomuto nariadeniu.</w:t>
      </w:r>
    </w:p>
    <w:p w:rsidR="000C60D7" w:rsidRPr="00451D4C" w:rsidRDefault="000C60D7" w:rsidP="006A7F00">
      <w:pPr>
        <w:pStyle w:val="Titrearticle"/>
        <w:ind w:left="567" w:hanging="567"/>
      </w:pPr>
      <w:r w:rsidRPr="00451D4C">
        <w:t>Článok 18</w:t>
      </w:r>
    </w:p>
    <w:p w:rsidR="00451D4C" w:rsidRDefault="00701631" w:rsidP="00701631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Zverejňovanie informácií</w:t>
      </w:r>
      <w:r w:rsidR="00451D4C">
        <w:rPr>
          <w:b/>
          <w:i w:val="0"/>
        </w:rPr>
        <w:t xml:space="preserve"> o </w:t>
      </w:r>
      <w:r w:rsidRPr="00451D4C">
        <w:rPr>
          <w:b/>
          <w:i w:val="0"/>
        </w:rPr>
        <w:t>zaťažených</w:t>
      </w:r>
      <w:r w:rsidR="00451D4C">
        <w:rPr>
          <w:b/>
          <w:i w:val="0"/>
        </w:rPr>
        <w:t xml:space="preserve"> a </w:t>
      </w:r>
      <w:r w:rsidRPr="00451D4C">
        <w:rPr>
          <w:b/>
          <w:i w:val="0"/>
        </w:rPr>
        <w:t>nezaťažených aktívach</w:t>
      </w:r>
    </w:p>
    <w:p w:rsidR="00701631" w:rsidRPr="00451D4C" w:rsidRDefault="00701631" w:rsidP="006A7F00">
      <w:pPr>
        <w:spacing w:after="360"/>
      </w:pPr>
      <w:r w:rsidRPr="00451D4C">
        <w:t>Inštitúcie zverejňujú informácie uvedené</w:t>
      </w:r>
      <w:r w:rsidR="00451D4C">
        <w:t xml:space="preserve"> v </w:t>
      </w:r>
      <w:r w:rsidRPr="00451D4C">
        <w:t xml:space="preserve">článku 443 nariadenia (EÚ) </w:t>
      </w:r>
      <w:r w:rsidR="00451D4C">
        <w:t>č. </w:t>
      </w:r>
      <w:r w:rsidRPr="00451D4C">
        <w:t>575/2013 použitím vzorov EU AE1, EU AE2</w:t>
      </w:r>
      <w:r w:rsidR="00451D4C">
        <w:t xml:space="preserve"> a </w:t>
      </w:r>
      <w:r w:rsidRPr="00451D4C">
        <w:t>EU AE3</w:t>
      </w:r>
      <w:r w:rsidR="00451D4C">
        <w:t xml:space="preserve"> a </w:t>
      </w:r>
      <w:r w:rsidRPr="00451D4C">
        <w:t>tabuľky EU AE4 uvedených</w:t>
      </w:r>
      <w:r w:rsidR="00451D4C">
        <w:t xml:space="preserve"> v </w:t>
      </w:r>
      <w:r w:rsidRPr="00451D4C">
        <w:t>prílohe XXXV</w:t>
      </w:r>
      <w:r w:rsidR="00451D4C">
        <w:t xml:space="preserve"> k </w:t>
      </w:r>
      <w:r w:rsidRPr="00451D4C">
        <w:t>tomuto nariadeniu</w:t>
      </w:r>
      <w:r w:rsidR="00451D4C">
        <w:t xml:space="preserve"> a </w:t>
      </w:r>
      <w:r w:rsidRPr="00451D4C">
        <w:t>podľa pokynov uvedených</w:t>
      </w:r>
      <w:r w:rsidR="00451D4C">
        <w:t xml:space="preserve"> v </w:t>
      </w:r>
      <w:r w:rsidRPr="00451D4C">
        <w:t>prílohe XXXVI</w:t>
      </w:r>
      <w:r w:rsidR="00451D4C">
        <w:t xml:space="preserve"> k </w:t>
      </w:r>
      <w:r w:rsidRPr="00451D4C">
        <w:t>tomuto nariadeniu.</w:t>
      </w:r>
    </w:p>
    <w:p w:rsidR="00701631" w:rsidRPr="00451D4C" w:rsidRDefault="00701631" w:rsidP="00701631">
      <w:pPr>
        <w:pStyle w:val="ChapterTitle"/>
      </w:pPr>
    </w:p>
    <w:p w:rsidR="000C60D7" w:rsidRPr="00451D4C" w:rsidRDefault="000C60D7" w:rsidP="000C60D7">
      <w:pPr>
        <w:pStyle w:val="Titrearticle"/>
      </w:pPr>
      <w:r w:rsidRPr="00451D4C">
        <w:t>Článok 19</w:t>
      </w:r>
    </w:p>
    <w:p w:rsidR="00701631" w:rsidRPr="00451D4C" w:rsidRDefault="00701631" w:rsidP="00701631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Všeobecné ustanovenia</w:t>
      </w:r>
    </w:p>
    <w:p w:rsidR="00701631" w:rsidRPr="00451D4C" w:rsidRDefault="008A6A1E" w:rsidP="007D3DD0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51D4C">
        <w:t>Číslovanie riadkov alebo stĺpcov sa nemení, ak inštitúcia vynechá jedno alebo viacero zverejnení</w:t>
      </w:r>
      <w:r w:rsidR="00451D4C">
        <w:t xml:space="preserve"> v </w:t>
      </w:r>
      <w:r w:rsidRPr="00451D4C">
        <w:t>súlade</w:t>
      </w:r>
      <w:r w:rsidR="00451D4C">
        <w:t xml:space="preserve"> s </w:t>
      </w:r>
      <w:r w:rsidRPr="00451D4C">
        <w:t xml:space="preserve">článkom 432 nariadenia (EÚ) </w:t>
      </w:r>
      <w:r w:rsidR="00451D4C">
        <w:t>č. </w:t>
      </w:r>
      <w:r w:rsidRPr="00451D4C">
        <w:t>575/2013.</w:t>
      </w:r>
    </w:p>
    <w:p w:rsidR="00701631" w:rsidRPr="00451D4C" w:rsidRDefault="00701631" w:rsidP="007D3DD0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51D4C">
        <w:t>Inštitúcie</w:t>
      </w:r>
      <w:r w:rsidR="00451D4C">
        <w:t xml:space="preserve"> v </w:t>
      </w:r>
      <w:r w:rsidRPr="00451D4C">
        <w:t>slovnom opise pripojenom</w:t>
      </w:r>
      <w:r w:rsidR="00451D4C">
        <w:t xml:space="preserve"> k </w:t>
      </w:r>
      <w:r w:rsidRPr="00451D4C">
        <w:t>príslušnému vzoru alebo tabuľke uvedú jasnú poznámku,</w:t>
      </w:r>
      <w:r w:rsidR="00451D4C">
        <w:t xml:space="preserve"> v </w:t>
      </w:r>
      <w:r w:rsidRPr="00451D4C">
        <w:t>ktorej vysvetlia, ktoré riadky alebo stĺpce nie sú vyplnené,</w:t>
      </w:r>
      <w:r w:rsidR="00451D4C">
        <w:t xml:space="preserve"> a </w:t>
      </w:r>
      <w:r w:rsidRPr="00451D4C">
        <w:t>uvedú dôvod, pre ktorý vynechávajú dané zverejnenie.</w:t>
      </w:r>
    </w:p>
    <w:p w:rsidR="00701631" w:rsidRPr="00451D4C" w:rsidRDefault="00701631" w:rsidP="007D3DD0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51D4C">
        <w:t xml:space="preserve">Informácie požadované podľa článku 431 nariadenia (EÚ) </w:t>
      </w:r>
      <w:r w:rsidR="00451D4C">
        <w:t>č. </w:t>
      </w:r>
      <w:r w:rsidRPr="00451D4C">
        <w:t>575/2013 musia byť jasné</w:t>
      </w:r>
      <w:r w:rsidR="00451D4C">
        <w:t xml:space="preserve"> a </w:t>
      </w:r>
      <w:r w:rsidRPr="00451D4C">
        <w:t>úplné, aby používatelia týchto informácií dokázali porozumieť kvantitatívnym zverejneniam, pričom tieto informácie sa umiestnia vedľa vzorov, ktorých sa týkajú.</w:t>
      </w:r>
    </w:p>
    <w:p w:rsidR="00701631" w:rsidRPr="00451D4C" w:rsidRDefault="008A6A1E" w:rsidP="007D3DD0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51D4C">
        <w:t>Číselné hodnoty sa prezentujú takto:</w:t>
      </w:r>
    </w:p>
    <w:p w:rsidR="00701631" w:rsidRPr="00451D4C" w:rsidRDefault="00451D4C" w:rsidP="00451D4C">
      <w:pPr>
        <w:pStyle w:val="Point1"/>
      </w:pPr>
      <w:r w:rsidRPr="00451D4C">
        <w:t>a)</w:t>
      </w:r>
      <w:r w:rsidRPr="00451D4C">
        <w:tab/>
      </w:r>
      <w:r w:rsidR="006A7F00" w:rsidRPr="00451D4C">
        <w:t>kvantitatívne peňažné údaje sa zverejňujú</w:t>
      </w:r>
      <w:r>
        <w:t xml:space="preserve"> s </w:t>
      </w:r>
      <w:r w:rsidR="006A7F00" w:rsidRPr="00451D4C">
        <w:t>minimálnou presnosťou zodpovedajúcou miliónom jednotiek;</w:t>
      </w:r>
    </w:p>
    <w:p w:rsidR="00701631" w:rsidRPr="00451D4C" w:rsidRDefault="00451D4C" w:rsidP="00451D4C">
      <w:pPr>
        <w:pStyle w:val="Point1"/>
        <w:rPr>
          <w:spacing w:val="-4"/>
        </w:rPr>
      </w:pPr>
      <w:r w:rsidRPr="00451D4C">
        <w:t>b)</w:t>
      </w:r>
      <w:r w:rsidRPr="00451D4C">
        <w:tab/>
      </w:r>
      <w:r w:rsidR="006A7F00" w:rsidRPr="00451D4C">
        <w:rPr>
          <w:spacing w:val="-4"/>
        </w:rPr>
        <w:t>kvantitatívne údaje zverejňované ako „percentuálny podiel“ sa vyjadrujú podľa jednotky</w:t>
      </w:r>
      <w:r w:rsidRPr="00451D4C">
        <w:rPr>
          <w:spacing w:val="-4"/>
        </w:rPr>
        <w:t xml:space="preserve"> s </w:t>
      </w:r>
      <w:r w:rsidR="006A7F00" w:rsidRPr="00451D4C">
        <w:rPr>
          <w:spacing w:val="-4"/>
        </w:rPr>
        <w:t>minimálnou presnosťou zodpovedajúcou štyrom desatinným miestam.</w:t>
      </w:r>
    </w:p>
    <w:p w:rsidR="00701631" w:rsidRPr="00451D4C" w:rsidRDefault="007C003F" w:rsidP="007D3DD0">
      <w:pPr>
        <w:pStyle w:val="NumPar1"/>
        <w:numPr>
          <w:ilvl w:val="0"/>
          <w:numId w:val="14"/>
        </w:numPr>
        <w:tabs>
          <w:tab w:val="clear" w:pos="850"/>
          <w:tab w:val="left" w:pos="567"/>
        </w:tabs>
        <w:ind w:left="0" w:firstLine="0"/>
      </w:pPr>
      <w:r w:rsidRPr="00451D4C">
        <w:t>Inštitúcie popri informáciách zverejňovaných</w:t>
      </w:r>
      <w:r w:rsidR="00451D4C">
        <w:t xml:space="preserve"> v </w:t>
      </w:r>
      <w:r w:rsidRPr="00451D4C">
        <w:t>súlade</w:t>
      </w:r>
      <w:r w:rsidR="00451D4C">
        <w:t xml:space="preserve"> s </w:t>
      </w:r>
      <w:r w:rsidRPr="00451D4C">
        <w:t>týmto nariadením poskytujú aj tieto informácie:</w:t>
      </w:r>
    </w:p>
    <w:p w:rsidR="00451D4C" w:rsidRDefault="00451D4C" w:rsidP="00451D4C">
      <w:pPr>
        <w:pStyle w:val="Point1"/>
      </w:pPr>
      <w:r w:rsidRPr="00451D4C">
        <w:t>a)</w:t>
      </w:r>
      <w:r w:rsidRPr="00451D4C">
        <w:tab/>
      </w:r>
      <w:r w:rsidR="00701631" w:rsidRPr="00451D4C">
        <w:t>referenčný dátum zverejnenia</w:t>
      </w:r>
      <w:r>
        <w:t xml:space="preserve"> a </w:t>
      </w:r>
      <w:r w:rsidR="00701631" w:rsidRPr="00451D4C">
        <w:t>referenčné obdobie</w:t>
      </w:r>
      <w:r>
        <w:t>;</w:t>
      </w:r>
    </w:p>
    <w:p w:rsidR="00451D4C" w:rsidRDefault="00451D4C" w:rsidP="00451D4C">
      <w:pPr>
        <w:pStyle w:val="Point1"/>
      </w:pPr>
      <w:r w:rsidRPr="00451D4C">
        <w:t>b)</w:t>
      </w:r>
      <w:r w:rsidRPr="00451D4C">
        <w:tab/>
      </w:r>
      <w:r w:rsidR="00701631" w:rsidRPr="00451D4C">
        <w:t>mena vykazovania</w:t>
      </w:r>
      <w:r>
        <w:t>;</w:t>
      </w:r>
    </w:p>
    <w:p w:rsidR="00701631" w:rsidRPr="00451D4C" w:rsidRDefault="00451D4C" w:rsidP="00451D4C">
      <w:pPr>
        <w:pStyle w:val="Point1"/>
      </w:pPr>
      <w:r w:rsidRPr="00451D4C">
        <w:t>c)</w:t>
      </w:r>
      <w:r w:rsidRPr="00451D4C">
        <w:tab/>
      </w:r>
      <w:r w:rsidR="00701631" w:rsidRPr="00451D4C">
        <w:t>názov</w:t>
      </w:r>
      <w:r>
        <w:t xml:space="preserve"> a </w:t>
      </w:r>
      <w:r w:rsidR="00701631" w:rsidRPr="00451D4C">
        <w:t>prípadne identifikátor právneho subjektu (LEI) inštitúcie zverejňujúcej informácie;</w:t>
      </w:r>
    </w:p>
    <w:p w:rsidR="00701631" w:rsidRPr="00451D4C" w:rsidRDefault="00451D4C" w:rsidP="00451D4C">
      <w:pPr>
        <w:pStyle w:val="Point1"/>
      </w:pPr>
      <w:r w:rsidRPr="00451D4C">
        <w:t>d)</w:t>
      </w:r>
      <w:r w:rsidRPr="00451D4C">
        <w:tab/>
      </w:r>
      <w:r w:rsidR="00701631" w:rsidRPr="00451D4C">
        <w:t>v relevantných prípadoch použitý účtovný štandard;</w:t>
      </w:r>
    </w:p>
    <w:p w:rsidR="00701631" w:rsidRPr="00451D4C" w:rsidRDefault="00451D4C" w:rsidP="00451D4C">
      <w:pPr>
        <w:pStyle w:val="Point1"/>
      </w:pPr>
      <w:r w:rsidRPr="00451D4C">
        <w:t>e)</w:t>
      </w:r>
      <w:r w:rsidRPr="00451D4C">
        <w:tab/>
      </w:r>
      <w:r w:rsidR="00701631" w:rsidRPr="00451D4C">
        <w:t>v relevantných prípadoch rozsah konsolidácie.</w:t>
      </w:r>
    </w:p>
    <w:p w:rsidR="00701631" w:rsidRPr="00451D4C" w:rsidRDefault="00701631" w:rsidP="00701631">
      <w:pPr>
        <w:pStyle w:val="ChapterTitle"/>
      </w:pPr>
    </w:p>
    <w:p w:rsidR="00480310" w:rsidRPr="00451D4C" w:rsidRDefault="00480310" w:rsidP="00480310">
      <w:pPr>
        <w:pStyle w:val="Titrearticle"/>
      </w:pPr>
      <w:r w:rsidRPr="00451D4C">
        <w:t>Článok 20</w:t>
      </w:r>
    </w:p>
    <w:p w:rsidR="00701631" w:rsidRPr="00451D4C" w:rsidRDefault="00701631" w:rsidP="00701631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Zrušenie</w:t>
      </w:r>
    </w:p>
    <w:p w:rsidR="00701631" w:rsidRPr="00451D4C" w:rsidRDefault="00701631" w:rsidP="00CE5120">
      <w:r w:rsidRPr="00451D4C">
        <w:t xml:space="preserve">Vykonávacie nariadenie (EÚ) </w:t>
      </w:r>
      <w:r w:rsidR="00451D4C">
        <w:t>č. </w:t>
      </w:r>
      <w:r w:rsidRPr="00451D4C">
        <w:t>1423/2013, delegované nariadenie (EÚ) 2015/1555, vykonávacie nariadenie (EÚ) 2016/200</w:t>
      </w:r>
      <w:r w:rsidR="00451D4C">
        <w:t xml:space="preserve"> a </w:t>
      </w:r>
      <w:r w:rsidRPr="00451D4C">
        <w:t>delegované nariadenie (EÚ) 2017/2295 sa zrušujú.</w:t>
      </w:r>
    </w:p>
    <w:p w:rsidR="00701631" w:rsidRPr="00451D4C" w:rsidRDefault="00701631" w:rsidP="00CE5120"/>
    <w:p w:rsidR="00480310" w:rsidRPr="00451D4C" w:rsidRDefault="00480310" w:rsidP="00480310">
      <w:pPr>
        <w:pStyle w:val="Titrearticle"/>
        <w:spacing w:before="120"/>
      </w:pPr>
      <w:r w:rsidRPr="00451D4C">
        <w:t>Článok 21</w:t>
      </w:r>
    </w:p>
    <w:p w:rsidR="003A35E9" w:rsidRPr="00451D4C" w:rsidRDefault="003A35E9" w:rsidP="003A35E9">
      <w:pPr>
        <w:pStyle w:val="Titrearticle"/>
        <w:spacing w:before="120"/>
        <w:rPr>
          <w:b/>
          <w:i w:val="0"/>
        </w:rPr>
      </w:pPr>
      <w:r w:rsidRPr="00451D4C">
        <w:rPr>
          <w:b/>
          <w:i w:val="0"/>
        </w:rPr>
        <w:t>Nadobudnutie účinnosti</w:t>
      </w:r>
    </w:p>
    <w:p w:rsidR="0004170D" w:rsidRPr="00451D4C" w:rsidRDefault="0004170D" w:rsidP="009675DD">
      <w:r w:rsidRPr="00451D4C">
        <w:t>Toto nariadenie nadobúda účinnosť dvadsiatym dňom po jeho uverejnení</w:t>
      </w:r>
      <w:r w:rsidR="00451D4C">
        <w:t xml:space="preserve"> v </w:t>
      </w:r>
      <w:r w:rsidRPr="00451D4C">
        <w:rPr>
          <w:i/>
        </w:rPr>
        <w:t>Úradnom vestníku Európskej únie</w:t>
      </w:r>
      <w:r w:rsidRPr="00451D4C">
        <w:t>.</w:t>
      </w:r>
    </w:p>
    <w:p w:rsidR="00FF364B" w:rsidRPr="00451D4C" w:rsidRDefault="00FF364B" w:rsidP="00FF364B">
      <w:r w:rsidRPr="00451D4C">
        <w:t>Uplatňuje sa od 28</w:t>
      </w:r>
      <w:r w:rsidR="00451D4C">
        <w:t>. júna</w:t>
      </w:r>
      <w:r w:rsidRPr="00451D4C">
        <w:t xml:space="preserve"> 2021.</w:t>
      </w:r>
    </w:p>
    <w:p w:rsidR="0004170D" w:rsidRPr="00451D4C" w:rsidRDefault="0004170D" w:rsidP="009675DD">
      <w:pPr>
        <w:pStyle w:val="Applicationdirecte"/>
      </w:pPr>
      <w:r w:rsidRPr="00451D4C">
        <w:t>Toto nariadenie je záväzné</w:t>
      </w:r>
      <w:r w:rsidR="00451D4C">
        <w:t xml:space="preserve"> v </w:t>
      </w:r>
      <w:r w:rsidRPr="00451D4C">
        <w:t>celom rozsahu</w:t>
      </w:r>
      <w:r w:rsidR="00451D4C">
        <w:t xml:space="preserve"> a </w:t>
      </w:r>
      <w:r w:rsidRPr="00451D4C">
        <w:t>priamo uplatniteľné vo všetkých členských štátoch.</w:t>
      </w:r>
    </w:p>
    <w:p w:rsidR="0004170D" w:rsidRPr="00451D4C" w:rsidRDefault="00D528BE" w:rsidP="00D528BE">
      <w:pPr>
        <w:pStyle w:val="Fait"/>
      </w:pPr>
      <w:r w:rsidRPr="00D528BE">
        <w:t>V Bruseli</w:t>
      </w:r>
    </w:p>
    <w:p w:rsidR="0004170D" w:rsidRPr="00451D4C" w:rsidRDefault="0004170D" w:rsidP="0004170D">
      <w:pPr>
        <w:pStyle w:val="Institutionquisigne"/>
      </w:pPr>
      <w:r w:rsidRPr="00451D4C">
        <w:tab/>
        <w:t>Za Komisiu</w:t>
      </w:r>
    </w:p>
    <w:p w:rsidR="00553957" w:rsidRPr="00451D4C" w:rsidRDefault="0004170D" w:rsidP="0004170D">
      <w:pPr>
        <w:pStyle w:val="Personnequisigne"/>
      </w:pPr>
      <w:r w:rsidRPr="00451D4C">
        <w:tab/>
        <w:t>predsedníčka</w:t>
      </w:r>
    </w:p>
    <w:p w:rsidR="0004170D" w:rsidRPr="00451D4C" w:rsidRDefault="00553957" w:rsidP="0004170D">
      <w:pPr>
        <w:pStyle w:val="Personnequisigne"/>
      </w:pPr>
      <w:r w:rsidRPr="00451D4C">
        <w:tab/>
        <w:t xml:space="preserve">Ursula von der Leyen </w:t>
      </w:r>
      <w:r w:rsidRPr="00451D4C">
        <w:br/>
      </w:r>
      <w:r w:rsidRPr="00451D4C">
        <w:tab/>
        <w:t xml:space="preserve"> </w:t>
      </w:r>
      <w:r w:rsidRPr="00451D4C">
        <w:br/>
      </w:r>
      <w:r w:rsidRPr="00451D4C">
        <w:tab/>
        <w:t xml:space="preserve"> </w:t>
      </w:r>
      <w:r w:rsidRPr="00451D4C">
        <w:br/>
        <w:t xml:space="preserve"> </w:t>
      </w:r>
      <w:r w:rsidRPr="00451D4C">
        <w:br/>
      </w:r>
      <w:r w:rsidRPr="00451D4C">
        <w:tab/>
      </w:r>
    </w:p>
    <w:sectPr w:rsidR="0004170D" w:rsidRPr="00451D4C" w:rsidSect="00D528BE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D60" w:rsidRDefault="00066D60" w:rsidP="0004170D">
      <w:pPr>
        <w:spacing w:before="0" w:after="0"/>
      </w:pPr>
      <w:r>
        <w:separator/>
      </w:r>
    </w:p>
  </w:endnote>
  <w:endnote w:type="continuationSeparator" w:id="0">
    <w:p w:rsidR="00066D60" w:rsidRDefault="00066D60" w:rsidP="0004170D">
      <w:pPr>
        <w:spacing w:before="0" w:after="0"/>
      </w:pPr>
      <w:r>
        <w:continuationSeparator/>
      </w:r>
    </w:p>
  </w:endnote>
  <w:endnote w:type="continuationNotice" w:id="1">
    <w:p w:rsidR="00066D60" w:rsidRDefault="00066D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BE" w:rsidRPr="00D528BE" w:rsidRDefault="00D528BE" w:rsidP="00D528BE">
    <w:pPr>
      <w:pStyle w:val="Footer"/>
      <w:rPr>
        <w:rFonts w:ascii="Arial" w:hAnsi="Arial" w:cs="Arial"/>
        <w:b/>
        <w:sz w:val="48"/>
      </w:rPr>
    </w:pPr>
    <w:r w:rsidRPr="00D528BE">
      <w:rPr>
        <w:rFonts w:ascii="Arial" w:hAnsi="Arial" w:cs="Arial"/>
        <w:b/>
        <w:sz w:val="48"/>
      </w:rPr>
      <w:t>SK</w:t>
    </w:r>
    <w:r w:rsidRPr="00D528BE">
      <w:rPr>
        <w:rFonts w:ascii="Arial" w:hAnsi="Arial" w:cs="Arial"/>
        <w:b/>
        <w:sz w:val="48"/>
      </w:rPr>
      <w:tab/>
    </w:r>
    <w:r w:rsidRPr="00D528BE">
      <w:rPr>
        <w:rFonts w:ascii="Arial" w:hAnsi="Arial" w:cs="Arial"/>
        <w:b/>
        <w:sz w:val="48"/>
      </w:rPr>
      <w:tab/>
    </w:r>
    <w:r w:rsidRPr="00D528BE">
      <w:tab/>
    </w:r>
    <w:r w:rsidRPr="00D528BE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BE" w:rsidRPr="00D528BE" w:rsidRDefault="00D528BE" w:rsidP="00D528BE">
    <w:pPr>
      <w:pStyle w:val="Footer"/>
      <w:rPr>
        <w:rFonts w:ascii="Arial" w:hAnsi="Arial" w:cs="Arial"/>
        <w:b/>
        <w:sz w:val="48"/>
      </w:rPr>
    </w:pPr>
    <w:r w:rsidRPr="00D528BE">
      <w:rPr>
        <w:rFonts w:ascii="Arial" w:hAnsi="Arial" w:cs="Arial"/>
        <w:b/>
        <w:sz w:val="48"/>
      </w:rPr>
      <w:t>SK</w:t>
    </w:r>
    <w:r w:rsidRPr="00D528B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460C6">
      <w:rPr>
        <w:noProof/>
      </w:rPr>
      <w:t>1</w:t>
    </w:r>
    <w:r>
      <w:fldChar w:fldCharType="end"/>
    </w:r>
    <w:r>
      <w:tab/>
    </w:r>
    <w:r w:rsidRPr="00D528BE">
      <w:tab/>
    </w:r>
    <w:r w:rsidRPr="00D528BE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BE" w:rsidRPr="00D528BE" w:rsidRDefault="00D528BE" w:rsidP="00D52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D60" w:rsidRDefault="00066D60" w:rsidP="0004170D">
      <w:pPr>
        <w:spacing w:before="0" w:after="0"/>
      </w:pPr>
      <w:r>
        <w:separator/>
      </w:r>
    </w:p>
  </w:footnote>
  <w:footnote w:type="continuationSeparator" w:id="0">
    <w:p w:rsidR="00066D60" w:rsidRDefault="00066D60" w:rsidP="0004170D">
      <w:pPr>
        <w:spacing w:before="0" w:after="0"/>
      </w:pPr>
      <w:r>
        <w:continuationSeparator/>
      </w:r>
    </w:p>
  </w:footnote>
  <w:footnote w:type="continuationNotice" w:id="1">
    <w:p w:rsidR="00066D60" w:rsidRDefault="00066D60">
      <w:pPr>
        <w:spacing w:before="0" w:after="0"/>
      </w:pPr>
    </w:p>
  </w:footnote>
  <w:footnote w:id="2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Ú. v. EÚ L 176, 27.6.2013, s. 1.</w:t>
      </w:r>
    </w:p>
  </w:footnote>
  <w:footnote w:id="3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 xml:space="preserve">Bazilejský výbor pre bankový dohľad (BCBS) Banky pre medzinárodné zúčtovanie, Požiadavky na zverejňovanie informácií (DIS), december 2019. </w:t>
      </w:r>
    </w:p>
  </w:footnote>
  <w:footnote w:id="4">
    <w:p w:rsidR="00D642C6" w:rsidRPr="00451D4C" w:rsidRDefault="004328FB" w:rsidP="00451D4C">
      <w:pPr>
        <w:pStyle w:val="FootnoteText"/>
        <w:rPr>
          <w:rStyle w:val="FootnoteReference"/>
          <w:vertAlign w:val="baseline"/>
        </w:rPr>
      </w:pPr>
      <w:r w:rsidRPr="00451D4C">
        <w:rPr>
          <w:rStyle w:val="FootnoteReference"/>
        </w:rPr>
        <w:footnoteRef/>
      </w:r>
      <w:r w:rsidRPr="00451D4C">
        <w:tab/>
        <w:t>Nariadenie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</w:t>
      </w:r>
      <w:r w:rsidR="00451D4C">
        <w:t xml:space="preserve"> z </w:t>
      </w:r>
      <w:r w:rsidRPr="00451D4C">
        <w:t>26</w:t>
      </w:r>
      <w:r w:rsidR="00451D4C">
        <w:t>. júna</w:t>
      </w:r>
      <w:r w:rsidRPr="00451D4C">
        <w:t xml:space="preserve"> 2013</w:t>
      </w:r>
      <w:r w:rsidR="00451D4C">
        <w:t xml:space="preserve"> o </w:t>
      </w:r>
      <w:r w:rsidRPr="00451D4C">
        <w:t>prudenciálnych požiadavkách na úverové inštitúcie</w:t>
      </w:r>
      <w:r w:rsidR="00451D4C">
        <w:t xml:space="preserve"> a </w:t>
      </w:r>
      <w:r w:rsidRPr="00451D4C">
        <w:t>investičné spoločnosti</w:t>
      </w:r>
      <w:r w:rsidR="00451D4C">
        <w:t xml:space="preserve"> a o </w:t>
      </w:r>
      <w:r w:rsidRPr="00451D4C">
        <w:t xml:space="preserve">zmene nariadenia (EÚ) </w:t>
      </w:r>
      <w:r w:rsidR="00451D4C">
        <w:t>č. </w:t>
      </w:r>
      <w:r w:rsidRPr="00451D4C">
        <w:t>648/2012 (</w:t>
      </w:r>
      <w:hyperlink r:id="rId1" w:history="1">
        <w:r w:rsidRPr="00451D4C">
          <w:rPr>
            <w:rStyle w:val="Hyperlink"/>
          </w:rPr>
          <w:t>Ú.</w:t>
        </w:r>
        <w:r w:rsidR="00451D4C">
          <w:rPr>
            <w:rStyle w:val="Hyperlink"/>
          </w:rPr>
          <w:t> </w:t>
        </w:r>
        <w:r w:rsidRPr="00451D4C">
          <w:rPr>
            <w:rStyle w:val="Hyperlink"/>
          </w:rPr>
          <w:t>v. EÚ L 176, 27.6.2013, s. 1</w:t>
        </w:r>
      </w:hyperlink>
      <w:r w:rsidRPr="00451D4C">
        <w:t>).</w:t>
      </w:r>
    </w:p>
  </w:footnote>
  <w:footnote w:id="5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 xml:space="preserve">Vykonávacie nariadenie Komisie (EÚ) </w:t>
      </w:r>
      <w:r w:rsidR="00451D4C">
        <w:t>č. </w:t>
      </w:r>
      <w:r w:rsidRPr="00451D4C">
        <w:t>1423/2013</w:t>
      </w:r>
      <w:r w:rsidR="00451D4C">
        <w:t xml:space="preserve"> z </w:t>
      </w:r>
      <w:r w:rsidRPr="00451D4C">
        <w:t>20</w:t>
      </w:r>
      <w:r w:rsidR="00451D4C">
        <w:t>. decembra</w:t>
      </w:r>
      <w:r w:rsidRPr="00451D4C">
        <w:t xml:space="preserve"> 2013, ktorým sa stanovujú vykonávacie technické predpisy, pokiaľ ide</w:t>
      </w:r>
      <w:r w:rsidR="00451D4C">
        <w:t xml:space="preserve"> o </w:t>
      </w:r>
      <w:r w:rsidRPr="00451D4C">
        <w:t>zverejňovanie požiadaviek na vlastné zdroje pre inštitúcie podľa nariadenia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 (Ú. v. EÚ L 355, 31.12.2013, s. 60).</w:t>
      </w:r>
    </w:p>
  </w:footnote>
  <w:footnote w:id="6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Delegované nariadenie Komisie (EÚ) 2015/1555</w:t>
      </w:r>
      <w:r w:rsidR="00451D4C">
        <w:t xml:space="preserve"> z </w:t>
      </w:r>
      <w:r w:rsidRPr="00451D4C">
        <w:t>28</w:t>
      </w:r>
      <w:r w:rsidR="00451D4C">
        <w:t>. mája</w:t>
      </w:r>
      <w:r w:rsidRPr="00451D4C">
        <w:t xml:space="preserve"> 2015, ktorým sa dopĺňa nariadenie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575/2013, pokiaľ ide</w:t>
      </w:r>
      <w:r w:rsidR="00451D4C">
        <w:t xml:space="preserve"> o </w:t>
      </w:r>
      <w:r w:rsidRPr="00451D4C">
        <w:t>regulačné technické predpisy</w:t>
      </w:r>
      <w:r w:rsidR="00451D4C">
        <w:t xml:space="preserve"> o </w:t>
      </w:r>
      <w:r w:rsidRPr="00451D4C">
        <w:t>zverejňovaní informácií týkajúcich sa dodržiavania požiadaviek na proticyklický kapitálový vankúš inštitúciami</w:t>
      </w:r>
      <w:r w:rsidR="00451D4C">
        <w:t xml:space="preserve"> v </w:t>
      </w:r>
      <w:r w:rsidRPr="00451D4C">
        <w:t>súlade</w:t>
      </w:r>
      <w:r w:rsidR="00451D4C">
        <w:t xml:space="preserve"> s </w:t>
      </w:r>
      <w:r w:rsidRPr="00451D4C">
        <w:t>článkom 440 (Ú. v. EÚ L 244, 19.9.2015, s. 1).</w:t>
      </w:r>
    </w:p>
  </w:footnote>
  <w:footnote w:id="7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Vykonávacie nariadenie Komisie (EÚ) 2016/200</w:t>
      </w:r>
      <w:r w:rsidR="00451D4C">
        <w:t xml:space="preserve"> z </w:t>
      </w:r>
      <w:r w:rsidRPr="00451D4C">
        <w:t>15</w:t>
      </w:r>
      <w:r w:rsidR="00451D4C">
        <w:t>. februára</w:t>
      </w:r>
      <w:r w:rsidRPr="00451D4C">
        <w:t xml:space="preserve"> 2016, ktorým sa stanovujú vykonávacie technické predpisy, pokiaľ ide</w:t>
      </w:r>
      <w:r w:rsidR="00451D4C">
        <w:t xml:space="preserve"> o </w:t>
      </w:r>
      <w:r w:rsidRPr="00451D4C">
        <w:t>zverejňovanie ukazovateľa finančnej páky pre inštitúcie podľa nariadenia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 (Ú. v. EÚ L 39, 16.2.2016, s. 5).</w:t>
      </w:r>
    </w:p>
  </w:footnote>
  <w:footnote w:id="8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Delegované nariadenie Komisie (EÚ) 2017/2295 zo 4</w:t>
      </w:r>
      <w:r w:rsidR="00451D4C">
        <w:t>. septembra</w:t>
      </w:r>
      <w:r w:rsidRPr="00451D4C">
        <w:t xml:space="preserve"> 2017, ktorým sa dopĺňa nariadenie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575/2013, pokiaľ ide</w:t>
      </w:r>
      <w:r w:rsidR="00451D4C">
        <w:t xml:space="preserve"> o </w:t>
      </w:r>
      <w:r w:rsidRPr="00451D4C">
        <w:t>regulačné technické predpisy pre zverejňovanie zaťažených</w:t>
      </w:r>
      <w:r w:rsidR="00451D4C">
        <w:t xml:space="preserve"> a </w:t>
      </w:r>
      <w:r w:rsidRPr="00451D4C">
        <w:t>nezaťažených aktív (Ú. v. EÚ L 329, 13.12.2017, s. 6).</w:t>
      </w:r>
    </w:p>
  </w:footnote>
  <w:footnote w:id="9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Usmernenia EBA/GL/2018/10 Európskeho orgánu pre bankovníctvo zo 17</w:t>
      </w:r>
      <w:r w:rsidR="00451D4C">
        <w:t>. decembra</w:t>
      </w:r>
      <w:r w:rsidRPr="00451D4C">
        <w:t xml:space="preserve"> 2018 týkajúce sa zverejňovania problémových expozícií</w:t>
      </w:r>
      <w:r w:rsidR="00451D4C">
        <w:t xml:space="preserve"> a </w:t>
      </w:r>
      <w:r w:rsidRPr="00451D4C">
        <w:t>expozícií</w:t>
      </w:r>
      <w:r w:rsidR="00451D4C">
        <w:t xml:space="preserve"> s </w:t>
      </w:r>
      <w:r w:rsidRPr="00451D4C">
        <w:t>úľavou.</w:t>
      </w:r>
    </w:p>
  </w:footnote>
  <w:footnote w:id="10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Nariadenie Európskeho parlamentu</w:t>
      </w:r>
      <w:r w:rsidR="00451D4C">
        <w:t xml:space="preserve"> a </w:t>
      </w:r>
      <w:r w:rsidRPr="00451D4C">
        <w:t>Rady (EÚ) 2017/2401</w:t>
      </w:r>
      <w:r w:rsidR="00451D4C">
        <w:t xml:space="preserve"> z </w:t>
      </w:r>
      <w:r w:rsidRPr="00451D4C">
        <w:t>12</w:t>
      </w:r>
      <w:r w:rsidR="00451D4C">
        <w:t>. decembra</w:t>
      </w:r>
      <w:r w:rsidRPr="00451D4C">
        <w:t xml:space="preserve"> 2017, ktorým sa mení nariadenie (EÚ) </w:t>
      </w:r>
      <w:r w:rsidR="00451D4C">
        <w:t>č. </w:t>
      </w:r>
      <w:r w:rsidRPr="00451D4C">
        <w:t>575/2013</w:t>
      </w:r>
      <w:r w:rsidR="00451D4C">
        <w:t xml:space="preserve"> o </w:t>
      </w:r>
      <w:r w:rsidRPr="00451D4C">
        <w:t>prudenciálnych požiadavkách na úverové inštitúcie</w:t>
      </w:r>
      <w:r w:rsidR="00451D4C">
        <w:t xml:space="preserve"> a </w:t>
      </w:r>
      <w:r w:rsidRPr="00451D4C">
        <w:t>investičné spoločnosti (Ú. v. EÚ L 347, 28.12.2017, s. 1).</w:t>
      </w:r>
    </w:p>
  </w:footnote>
  <w:footnote w:id="11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</w:r>
      <w:r w:rsidRPr="00451D4C">
        <w:rPr>
          <w:shd w:val="clear" w:color="auto" w:fill="FFFFFF"/>
        </w:rPr>
        <w:t>Nariadenie Európskeho parlamentu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Rady (EÚ) 2017/2402</w:t>
      </w:r>
      <w:r w:rsidR="00451D4C">
        <w:rPr>
          <w:shd w:val="clear" w:color="auto" w:fill="FFFFFF"/>
        </w:rPr>
        <w:t xml:space="preserve"> z </w:t>
      </w:r>
      <w:r w:rsidRPr="00451D4C">
        <w:rPr>
          <w:shd w:val="clear" w:color="auto" w:fill="FFFFFF"/>
        </w:rPr>
        <w:t>12</w:t>
      </w:r>
      <w:r w:rsidR="00451D4C">
        <w:rPr>
          <w:shd w:val="clear" w:color="auto" w:fill="FFFFFF"/>
        </w:rPr>
        <w:t>. decembra</w:t>
      </w:r>
      <w:r w:rsidRPr="00451D4C">
        <w:rPr>
          <w:shd w:val="clear" w:color="auto" w:fill="FFFFFF"/>
        </w:rPr>
        <w:t xml:space="preserve"> 2017, ktorým sa stanovuje všeobecný rámec pre sekuritizáciu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vytvára sa osobitný rámec pre jednoduchú, transparentnú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štandardizovanú sekuritizáciu,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ktorým sa menia smernice 2009/65/ES, 2009/138/ES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>2011/61/EÚ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 xml:space="preserve">nariadenia (ES) </w:t>
      </w:r>
      <w:r w:rsidR="00451D4C">
        <w:rPr>
          <w:shd w:val="clear" w:color="auto" w:fill="FFFFFF"/>
        </w:rPr>
        <w:t>č. </w:t>
      </w:r>
      <w:r w:rsidRPr="00451D4C">
        <w:rPr>
          <w:shd w:val="clear" w:color="auto" w:fill="FFFFFF"/>
        </w:rPr>
        <w:t>1060/2009</w:t>
      </w:r>
      <w:r w:rsidR="00451D4C">
        <w:rPr>
          <w:shd w:val="clear" w:color="auto" w:fill="FFFFFF"/>
        </w:rPr>
        <w:t xml:space="preserve"> a </w:t>
      </w:r>
      <w:r w:rsidRPr="00451D4C">
        <w:rPr>
          <w:shd w:val="clear" w:color="auto" w:fill="FFFFFF"/>
        </w:rPr>
        <w:t xml:space="preserve">(EÚ) </w:t>
      </w:r>
      <w:r w:rsidR="00451D4C">
        <w:rPr>
          <w:shd w:val="clear" w:color="auto" w:fill="FFFFFF"/>
        </w:rPr>
        <w:t>č. </w:t>
      </w:r>
      <w:r w:rsidRPr="00451D4C">
        <w:rPr>
          <w:shd w:val="clear" w:color="auto" w:fill="FFFFFF"/>
        </w:rPr>
        <w:t>648/2012 (</w:t>
      </w:r>
      <w:r w:rsidRPr="00451D4C">
        <w:t>Ú. v. EÚ L 347, 28.12.2017, s. 35</w:t>
      </w:r>
      <w:r w:rsidRPr="00451D4C">
        <w:rPr>
          <w:shd w:val="clear" w:color="auto" w:fill="FFFFFF"/>
        </w:rPr>
        <w:t>).</w:t>
      </w:r>
    </w:p>
  </w:footnote>
  <w:footnote w:id="12">
    <w:p w:rsidR="00D642C6" w:rsidRPr="00451D4C" w:rsidRDefault="00D642C6" w:rsidP="00451D4C">
      <w:pPr>
        <w:pStyle w:val="FootnoteText"/>
      </w:pPr>
      <w:r w:rsidRPr="00451D4C">
        <w:rPr>
          <w:rStyle w:val="FootnoteReference"/>
        </w:rPr>
        <w:footnoteRef/>
      </w:r>
      <w:r w:rsidRPr="00451D4C">
        <w:tab/>
        <w:t>Nariadenie Európskeho parlamentu</w:t>
      </w:r>
      <w:r w:rsidR="00451D4C">
        <w:t xml:space="preserve"> a </w:t>
      </w:r>
      <w:r w:rsidRPr="00451D4C">
        <w:t xml:space="preserve">Rady (EÚ) </w:t>
      </w:r>
      <w:r w:rsidR="00451D4C">
        <w:t>č. </w:t>
      </w:r>
      <w:r w:rsidRPr="00451D4C">
        <w:t>1093/2010</w:t>
      </w:r>
      <w:r w:rsidR="00451D4C">
        <w:t xml:space="preserve"> z </w:t>
      </w:r>
      <w:r w:rsidRPr="00451D4C">
        <w:t>24</w:t>
      </w:r>
      <w:r w:rsidR="00451D4C">
        <w:t>. novembra</w:t>
      </w:r>
      <w:r w:rsidRPr="00451D4C">
        <w:t xml:space="preserve"> 2010, ktorým sa zriaďuje Európsky orgán dohľadu (Európsky orgán pre bankovníctvo)</w:t>
      </w:r>
      <w:r w:rsidR="00451D4C">
        <w:t xml:space="preserve"> a </w:t>
      </w:r>
      <w:r w:rsidRPr="00451D4C">
        <w:t>ktorým sa mení</w:t>
      </w:r>
      <w:r w:rsidR="00451D4C">
        <w:t xml:space="preserve"> a </w:t>
      </w:r>
      <w:r w:rsidRPr="00451D4C">
        <w:t xml:space="preserve">dopĺňa rozhodnutie </w:t>
      </w:r>
      <w:r w:rsidR="00451D4C">
        <w:t>č. </w:t>
      </w:r>
      <w:r w:rsidRPr="00451D4C">
        <w:t>716/2009/ES</w:t>
      </w:r>
      <w:r w:rsidR="00451D4C">
        <w:t xml:space="preserve"> a </w:t>
      </w:r>
      <w:r w:rsidRPr="00451D4C">
        <w:t>zrušuje rozhodnutie Komisie 2009/78/ES (Ú. v. EÚ L 331, 15.12.2010, s.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DB98189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A81A8D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878EBD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61AF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B5823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118AF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06CD6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3FAD0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2026DC68"/>
    <w:lvl w:ilvl="0" w:tplc="1890AE56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359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7"/>
  </w:num>
  <w:num w:numId="26">
    <w:abstractNumId w:val="18"/>
  </w:num>
  <w:num w:numId="27">
    <w:abstractNumId w:val="10"/>
  </w:num>
  <w:num w:numId="28">
    <w:abstractNumId w:val="16"/>
  </w:num>
  <w:num w:numId="29">
    <w:abstractNumId w:val="22"/>
  </w:num>
  <w:num w:numId="30">
    <w:abstractNumId w:val="19"/>
  </w:num>
  <w:num w:numId="31">
    <w:abstractNumId w:val="12"/>
  </w:num>
  <w:num w:numId="32">
    <w:abstractNumId w:val="21"/>
  </w:num>
  <w:num w:numId="33">
    <w:abstractNumId w:val="11"/>
  </w:num>
  <w:num w:numId="34">
    <w:abstractNumId w:val="13"/>
  </w:num>
  <w:num w:numId="35">
    <w:abstractNumId w:val="9"/>
  </w:num>
  <w:num w:numId="36">
    <w:abstractNumId w:val="20"/>
  </w:num>
  <w:num w:numId="37">
    <w:abstractNumId w:val="8"/>
  </w:num>
  <w:num w:numId="38">
    <w:abstractNumId w:val="14"/>
  </w:num>
  <w:num w:numId="39">
    <w:abstractNumId w:val="17"/>
  </w:num>
  <w:num w:numId="40">
    <w:abstractNumId w:val="18"/>
  </w:num>
  <w:num w:numId="41">
    <w:abstractNumId w:val="10"/>
  </w:num>
  <w:num w:numId="42">
    <w:abstractNumId w:val="16"/>
  </w:num>
  <w:num w:numId="43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isplayBackgroundShape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1-03-08 09:17:38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22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992B563A-7FA2-4FFB-BF40-4A4DCB3E925B"/>
    <w:docVar w:name="LW_COVERPAGE_TYPE" w:val="1"/>
    <w:docVar w:name="LW_CROSSREFERENCE" w:val="&lt;UNUSED&gt;"/>
    <w:docVar w:name="LW_DATE.ADOPT.CP" w:val="z XXX,"/>
    <w:docVar w:name="LW_DATE.ADOPT.CP_DATEFORMAT" w:val="z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i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orým sa stanovujú vykonávacie technické predpisy, pokia\u318? ide o zverej\u328?ovanie informácií uvedených v ôsmej \u269?asti hlavách II a III nariadenia Európskeho parlamentu a Rady (EÚ) \u269?. 575/2013 in\u353?titúciami, a ktorým sa zru\u353?uje vykonávacie nariadenie Komisie (EÚ) \u269?. 1423/2013, delegované nariadenie Komisie (EÚ) 2015/1555, vykonávacie nariadenie Komisie (EÚ) 2016/200 a delegované nariadenie Komisie (EÚ) 2017/2295"/>
    <w:docVar w:name="LW_TYPE.DOC.CP" w:val="VYKONÁVACIE NARIADENIE KOMISIE (EÚ) \u8230?/..."/>
  </w:docVars>
  <w:rsids>
    <w:rsidRoot w:val="0004170D"/>
    <w:rsid w:val="0000233F"/>
    <w:rsid w:val="00010CC7"/>
    <w:rsid w:val="0002231C"/>
    <w:rsid w:val="00023622"/>
    <w:rsid w:val="000302BA"/>
    <w:rsid w:val="0003598F"/>
    <w:rsid w:val="00036497"/>
    <w:rsid w:val="0004170D"/>
    <w:rsid w:val="000530A8"/>
    <w:rsid w:val="00066D60"/>
    <w:rsid w:val="000715FC"/>
    <w:rsid w:val="000747E8"/>
    <w:rsid w:val="00075194"/>
    <w:rsid w:val="0008268D"/>
    <w:rsid w:val="000965A4"/>
    <w:rsid w:val="000A7C56"/>
    <w:rsid w:val="000B18AB"/>
    <w:rsid w:val="000B31D0"/>
    <w:rsid w:val="000B4D68"/>
    <w:rsid w:val="000B5ADE"/>
    <w:rsid w:val="000B75F5"/>
    <w:rsid w:val="000C0000"/>
    <w:rsid w:val="000C2A47"/>
    <w:rsid w:val="000C4EBE"/>
    <w:rsid w:val="000C60D7"/>
    <w:rsid w:val="000D57AD"/>
    <w:rsid w:val="000F1AE0"/>
    <w:rsid w:val="00105D7C"/>
    <w:rsid w:val="00124000"/>
    <w:rsid w:val="00124B31"/>
    <w:rsid w:val="0012658B"/>
    <w:rsid w:val="00130336"/>
    <w:rsid w:val="00133A68"/>
    <w:rsid w:val="00142DC9"/>
    <w:rsid w:val="0014569E"/>
    <w:rsid w:val="00151336"/>
    <w:rsid w:val="0015237E"/>
    <w:rsid w:val="001561A9"/>
    <w:rsid w:val="001612FE"/>
    <w:rsid w:val="00164D08"/>
    <w:rsid w:val="00167DBD"/>
    <w:rsid w:val="00173862"/>
    <w:rsid w:val="00175820"/>
    <w:rsid w:val="00183568"/>
    <w:rsid w:val="00184CD1"/>
    <w:rsid w:val="00190EC6"/>
    <w:rsid w:val="00194CD4"/>
    <w:rsid w:val="00195285"/>
    <w:rsid w:val="001C49B7"/>
    <w:rsid w:val="001D579B"/>
    <w:rsid w:val="001D5E4E"/>
    <w:rsid w:val="0020373E"/>
    <w:rsid w:val="00204CA9"/>
    <w:rsid w:val="00223E6D"/>
    <w:rsid w:val="00254B69"/>
    <w:rsid w:val="002554D0"/>
    <w:rsid w:val="00257DE9"/>
    <w:rsid w:val="00262584"/>
    <w:rsid w:val="002907D3"/>
    <w:rsid w:val="00292A0A"/>
    <w:rsid w:val="002933BD"/>
    <w:rsid w:val="00296DB6"/>
    <w:rsid w:val="002A48C4"/>
    <w:rsid w:val="002A6E84"/>
    <w:rsid w:val="002C0C3E"/>
    <w:rsid w:val="002C1097"/>
    <w:rsid w:val="002C433D"/>
    <w:rsid w:val="002D22E3"/>
    <w:rsid w:val="002E2681"/>
    <w:rsid w:val="002E3B6F"/>
    <w:rsid w:val="002E476B"/>
    <w:rsid w:val="00305114"/>
    <w:rsid w:val="00312E0D"/>
    <w:rsid w:val="00316F57"/>
    <w:rsid w:val="00324024"/>
    <w:rsid w:val="00334AD0"/>
    <w:rsid w:val="00334D45"/>
    <w:rsid w:val="00336F4D"/>
    <w:rsid w:val="00342795"/>
    <w:rsid w:val="003460F1"/>
    <w:rsid w:val="00352527"/>
    <w:rsid w:val="00356414"/>
    <w:rsid w:val="00362906"/>
    <w:rsid w:val="00362E56"/>
    <w:rsid w:val="0036351A"/>
    <w:rsid w:val="0037662B"/>
    <w:rsid w:val="00387DA9"/>
    <w:rsid w:val="003A1165"/>
    <w:rsid w:val="003A35E9"/>
    <w:rsid w:val="003B2A70"/>
    <w:rsid w:val="003B73C9"/>
    <w:rsid w:val="003C1E7F"/>
    <w:rsid w:val="003C4F11"/>
    <w:rsid w:val="003C6EE3"/>
    <w:rsid w:val="003D2479"/>
    <w:rsid w:val="003D44B9"/>
    <w:rsid w:val="003D6311"/>
    <w:rsid w:val="003E3102"/>
    <w:rsid w:val="003E38FD"/>
    <w:rsid w:val="00401969"/>
    <w:rsid w:val="00403378"/>
    <w:rsid w:val="00405415"/>
    <w:rsid w:val="00414EB3"/>
    <w:rsid w:val="004166C6"/>
    <w:rsid w:val="00424D6E"/>
    <w:rsid w:val="004328FB"/>
    <w:rsid w:val="00433CFD"/>
    <w:rsid w:val="0044155A"/>
    <w:rsid w:val="004427A5"/>
    <w:rsid w:val="00442C93"/>
    <w:rsid w:val="00444CBF"/>
    <w:rsid w:val="00445AB9"/>
    <w:rsid w:val="004515BE"/>
    <w:rsid w:val="00451D4C"/>
    <w:rsid w:val="00453D69"/>
    <w:rsid w:val="00461468"/>
    <w:rsid w:val="0047525C"/>
    <w:rsid w:val="00476884"/>
    <w:rsid w:val="00480310"/>
    <w:rsid w:val="00486017"/>
    <w:rsid w:val="004939A4"/>
    <w:rsid w:val="00496B08"/>
    <w:rsid w:val="00497414"/>
    <w:rsid w:val="004A1CDB"/>
    <w:rsid w:val="004A255E"/>
    <w:rsid w:val="004B0164"/>
    <w:rsid w:val="004B6788"/>
    <w:rsid w:val="004B7AEA"/>
    <w:rsid w:val="004C4F9A"/>
    <w:rsid w:val="004E05C8"/>
    <w:rsid w:val="00501B9B"/>
    <w:rsid w:val="0053062E"/>
    <w:rsid w:val="00535526"/>
    <w:rsid w:val="00552202"/>
    <w:rsid w:val="00553957"/>
    <w:rsid w:val="00563765"/>
    <w:rsid w:val="005715DB"/>
    <w:rsid w:val="00580B2A"/>
    <w:rsid w:val="00581093"/>
    <w:rsid w:val="005823FE"/>
    <w:rsid w:val="00587191"/>
    <w:rsid w:val="005A7F5C"/>
    <w:rsid w:val="005B07FD"/>
    <w:rsid w:val="005C3834"/>
    <w:rsid w:val="005C4422"/>
    <w:rsid w:val="005E2A3F"/>
    <w:rsid w:val="005E4E75"/>
    <w:rsid w:val="005F2549"/>
    <w:rsid w:val="005F490A"/>
    <w:rsid w:val="005F7F66"/>
    <w:rsid w:val="00625AFA"/>
    <w:rsid w:val="0063239A"/>
    <w:rsid w:val="00632AF6"/>
    <w:rsid w:val="006430F5"/>
    <w:rsid w:val="00646429"/>
    <w:rsid w:val="00646DA2"/>
    <w:rsid w:val="006518A1"/>
    <w:rsid w:val="00656F3B"/>
    <w:rsid w:val="00670714"/>
    <w:rsid w:val="00693D08"/>
    <w:rsid w:val="00693F0A"/>
    <w:rsid w:val="006947FE"/>
    <w:rsid w:val="006A32A4"/>
    <w:rsid w:val="006A7F00"/>
    <w:rsid w:val="006D20F7"/>
    <w:rsid w:val="006E0911"/>
    <w:rsid w:val="006E3B08"/>
    <w:rsid w:val="006F2F67"/>
    <w:rsid w:val="006F4232"/>
    <w:rsid w:val="006F792A"/>
    <w:rsid w:val="00701631"/>
    <w:rsid w:val="00704A57"/>
    <w:rsid w:val="00717B5E"/>
    <w:rsid w:val="007241CC"/>
    <w:rsid w:val="00725875"/>
    <w:rsid w:val="0073287A"/>
    <w:rsid w:val="007328EB"/>
    <w:rsid w:val="00732B32"/>
    <w:rsid w:val="007475DB"/>
    <w:rsid w:val="00755F0F"/>
    <w:rsid w:val="00755F6F"/>
    <w:rsid w:val="00756C6D"/>
    <w:rsid w:val="00786078"/>
    <w:rsid w:val="00792BDA"/>
    <w:rsid w:val="0079582A"/>
    <w:rsid w:val="007A1D1D"/>
    <w:rsid w:val="007A231C"/>
    <w:rsid w:val="007A76EC"/>
    <w:rsid w:val="007B1860"/>
    <w:rsid w:val="007C003F"/>
    <w:rsid w:val="007C3D8E"/>
    <w:rsid w:val="007D178B"/>
    <w:rsid w:val="007D3DD0"/>
    <w:rsid w:val="007E5F66"/>
    <w:rsid w:val="007E66A7"/>
    <w:rsid w:val="007F579D"/>
    <w:rsid w:val="007F676F"/>
    <w:rsid w:val="0080055A"/>
    <w:rsid w:val="00800894"/>
    <w:rsid w:val="00802909"/>
    <w:rsid w:val="008326B8"/>
    <w:rsid w:val="008568F5"/>
    <w:rsid w:val="00856A5A"/>
    <w:rsid w:val="00861266"/>
    <w:rsid w:val="00877878"/>
    <w:rsid w:val="00886F23"/>
    <w:rsid w:val="00892FEE"/>
    <w:rsid w:val="008A33A3"/>
    <w:rsid w:val="008A5096"/>
    <w:rsid w:val="008A5945"/>
    <w:rsid w:val="008A6A1E"/>
    <w:rsid w:val="008B6784"/>
    <w:rsid w:val="008B78EA"/>
    <w:rsid w:val="008C19A5"/>
    <w:rsid w:val="008C51D0"/>
    <w:rsid w:val="008D42B0"/>
    <w:rsid w:val="008D6EA6"/>
    <w:rsid w:val="00905357"/>
    <w:rsid w:val="00921F21"/>
    <w:rsid w:val="00922950"/>
    <w:rsid w:val="00923CC6"/>
    <w:rsid w:val="00926007"/>
    <w:rsid w:val="009310C9"/>
    <w:rsid w:val="00931C56"/>
    <w:rsid w:val="00941988"/>
    <w:rsid w:val="0094247F"/>
    <w:rsid w:val="009458BD"/>
    <w:rsid w:val="00951C31"/>
    <w:rsid w:val="00956448"/>
    <w:rsid w:val="00963178"/>
    <w:rsid w:val="00965673"/>
    <w:rsid w:val="00965716"/>
    <w:rsid w:val="00966B3C"/>
    <w:rsid w:val="009675DD"/>
    <w:rsid w:val="00967C75"/>
    <w:rsid w:val="0097765D"/>
    <w:rsid w:val="009777B7"/>
    <w:rsid w:val="00993FAE"/>
    <w:rsid w:val="00995CF9"/>
    <w:rsid w:val="00997228"/>
    <w:rsid w:val="009A0FCB"/>
    <w:rsid w:val="009A56F4"/>
    <w:rsid w:val="009B4728"/>
    <w:rsid w:val="009C5CB4"/>
    <w:rsid w:val="009F40BE"/>
    <w:rsid w:val="00A10245"/>
    <w:rsid w:val="00A228D5"/>
    <w:rsid w:val="00A260ED"/>
    <w:rsid w:val="00A26E4D"/>
    <w:rsid w:val="00A27898"/>
    <w:rsid w:val="00A3263C"/>
    <w:rsid w:val="00A37962"/>
    <w:rsid w:val="00A518E0"/>
    <w:rsid w:val="00A5279E"/>
    <w:rsid w:val="00A5494A"/>
    <w:rsid w:val="00A70AF9"/>
    <w:rsid w:val="00A72EF0"/>
    <w:rsid w:val="00A762FD"/>
    <w:rsid w:val="00A84A3E"/>
    <w:rsid w:val="00A858BC"/>
    <w:rsid w:val="00A91F18"/>
    <w:rsid w:val="00AB786E"/>
    <w:rsid w:val="00AD027A"/>
    <w:rsid w:val="00AD4A67"/>
    <w:rsid w:val="00AD58EF"/>
    <w:rsid w:val="00AE2C32"/>
    <w:rsid w:val="00AE3F40"/>
    <w:rsid w:val="00AE6C16"/>
    <w:rsid w:val="00B30A70"/>
    <w:rsid w:val="00B41102"/>
    <w:rsid w:val="00B609A7"/>
    <w:rsid w:val="00B61C46"/>
    <w:rsid w:val="00B711DB"/>
    <w:rsid w:val="00B8013E"/>
    <w:rsid w:val="00B80AC9"/>
    <w:rsid w:val="00B861EE"/>
    <w:rsid w:val="00B90336"/>
    <w:rsid w:val="00BA0CA9"/>
    <w:rsid w:val="00BA6C63"/>
    <w:rsid w:val="00BA7AD9"/>
    <w:rsid w:val="00BB093D"/>
    <w:rsid w:val="00BB60B6"/>
    <w:rsid w:val="00BC75BD"/>
    <w:rsid w:val="00BD158D"/>
    <w:rsid w:val="00BE1C5E"/>
    <w:rsid w:val="00BF182F"/>
    <w:rsid w:val="00C02ED9"/>
    <w:rsid w:val="00C05465"/>
    <w:rsid w:val="00C14839"/>
    <w:rsid w:val="00C16675"/>
    <w:rsid w:val="00C24911"/>
    <w:rsid w:val="00C25E54"/>
    <w:rsid w:val="00C278CC"/>
    <w:rsid w:val="00C36E0D"/>
    <w:rsid w:val="00C40BF9"/>
    <w:rsid w:val="00C41BFF"/>
    <w:rsid w:val="00C47BED"/>
    <w:rsid w:val="00C5099A"/>
    <w:rsid w:val="00C61949"/>
    <w:rsid w:val="00C81C3A"/>
    <w:rsid w:val="00C84B15"/>
    <w:rsid w:val="00C91C95"/>
    <w:rsid w:val="00C94DC0"/>
    <w:rsid w:val="00CA348C"/>
    <w:rsid w:val="00CA57C3"/>
    <w:rsid w:val="00CA5835"/>
    <w:rsid w:val="00CB377F"/>
    <w:rsid w:val="00CC3294"/>
    <w:rsid w:val="00CC620B"/>
    <w:rsid w:val="00CC62AE"/>
    <w:rsid w:val="00CD689A"/>
    <w:rsid w:val="00CE5120"/>
    <w:rsid w:val="00CE62E1"/>
    <w:rsid w:val="00CF0948"/>
    <w:rsid w:val="00CF6BC4"/>
    <w:rsid w:val="00D001B4"/>
    <w:rsid w:val="00D2760A"/>
    <w:rsid w:val="00D34C25"/>
    <w:rsid w:val="00D528BE"/>
    <w:rsid w:val="00D602DE"/>
    <w:rsid w:val="00D642C6"/>
    <w:rsid w:val="00D76B54"/>
    <w:rsid w:val="00D9176D"/>
    <w:rsid w:val="00DC2475"/>
    <w:rsid w:val="00DC3ED7"/>
    <w:rsid w:val="00DD2BA0"/>
    <w:rsid w:val="00DF14E1"/>
    <w:rsid w:val="00E0170F"/>
    <w:rsid w:val="00E10715"/>
    <w:rsid w:val="00E14194"/>
    <w:rsid w:val="00E174B5"/>
    <w:rsid w:val="00E206C9"/>
    <w:rsid w:val="00E23611"/>
    <w:rsid w:val="00E42EC8"/>
    <w:rsid w:val="00E5338C"/>
    <w:rsid w:val="00E5388C"/>
    <w:rsid w:val="00E62304"/>
    <w:rsid w:val="00E6427C"/>
    <w:rsid w:val="00E76705"/>
    <w:rsid w:val="00E76D3F"/>
    <w:rsid w:val="00E8665C"/>
    <w:rsid w:val="00EA0958"/>
    <w:rsid w:val="00EA3E25"/>
    <w:rsid w:val="00EA6449"/>
    <w:rsid w:val="00EB4A85"/>
    <w:rsid w:val="00EC422C"/>
    <w:rsid w:val="00ED3421"/>
    <w:rsid w:val="00EF3146"/>
    <w:rsid w:val="00EF6392"/>
    <w:rsid w:val="00F04CDC"/>
    <w:rsid w:val="00F15C9D"/>
    <w:rsid w:val="00F31307"/>
    <w:rsid w:val="00F335A5"/>
    <w:rsid w:val="00F37426"/>
    <w:rsid w:val="00F460C6"/>
    <w:rsid w:val="00F5043B"/>
    <w:rsid w:val="00F53E64"/>
    <w:rsid w:val="00F6330E"/>
    <w:rsid w:val="00F676B3"/>
    <w:rsid w:val="00F72B65"/>
    <w:rsid w:val="00F83A04"/>
    <w:rsid w:val="00F855B3"/>
    <w:rsid w:val="00F91209"/>
    <w:rsid w:val="00F93ED1"/>
    <w:rsid w:val="00F978FE"/>
    <w:rsid w:val="00F97AAB"/>
    <w:rsid w:val="00FA2322"/>
    <w:rsid w:val="00FA4569"/>
    <w:rsid w:val="00FA53E3"/>
    <w:rsid w:val="00FB4483"/>
    <w:rsid w:val="00FD6645"/>
    <w:rsid w:val="00FF2606"/>
    <w:rsid w:val="00FF364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170D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4170D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04170D"/>
    <w:rPr>
      <w:rFonts w:ascii="Calibri" w:eastAsia="Calibri" w:hAnsi="Calibri" w:cs="Times New Roman"/>
      <w:lang w:val="sk-SK"/>
    </w:rPr>
  </w:style>
  <w:style w:type="paragraph" w:customStyle="1" w:styleId="numberedparagraph">
    <w:name w:val="numbered paragraph"/>
    <w:basedOn w:val="Normal"/>
    <w:qFormat/>
    <w:rsid w:val="0004170D"/>
    <w:pPr>
      <w:numPr>
        <w:numId w:val="1"/>
      </w:numPr>
      <w:spacing w:before="240" w:line="276" w:lineRule="auto"/>
    </w:pPr>
    <w:rPr>
      <w:rFonts w:asciiTheme="minorHAnsi" w:eastAsiaTheme="minorEastAsia" w:hAnsiTheme="minorHAnsi" w:cstheme="minorBidi"/>
      <w:sz w:val="22"/>
      <w:szCs w:val="24"/>
    </w:rPr>
  </w:style>
  <w:style w:type="paragraph" w:styleId="ListBullet">
    <w:name w:val="List Bullet"/>
    <w:basedOn w:val="Normal"/>
    <w:uiPriority w:val="99"/>
    <w:semiHidden/>
    <w:unhideWhenUsed/>
    <w:rsid w:val="00F335A5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5A5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5A5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5A5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A0CA9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A0CA9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BA0CA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A0CA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A0CA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A0CA9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1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1D0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1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1D0"/>
    <w:rPr>
      <w:rFonts w:ascii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1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D0"/>
    <w:rPr>
      <w:rFonts w:ascii="Segoe UI" w:hAnsi="Segoe UI" w:cs="Segoe UI"/>
      <w:sz w:val="18"/>
      <w:szCs w:val="18"/>
      <w:lang w:val="sk-SK"/>
    </w:rPr>
  </w:style>
  <w:style w:type="paragraph" w:customStyle="1" w:styleId="Titlelevel4">
    <w:name w:val="Title level 4"/>
    <w:next w:val="Normal"/>
    <w:qFormat/>
    <w:rsid w:val="00496B08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91209"/>
    <w:pPr>
      <w:widowControl w:val="0"/>
      <w:autoSpaceDE w:val="0"/>
      <w:autoSpaceDN w:val="0"/>
      <w:spacing w:before="0" w:after="0"/>
      <w:jc w:val="left"/>
    </w:pPr>
    <w:rPr>
      <w:rFonts w:ascii="Calibri" w:eastAsia="Calibri" w:hAnsi="Calibri" w:cs="Calibri"/>
      <w:sz w:val="2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F91209"/>
    <w:rPr>
      <w:rFonts w:ascii="Calibri" w:eastAsia="Calibri" w:hAnsi="Calibri" w:cs="Calibri"/>
      <w:lang w:val="sk-SK" w:eastAsia="en-GB" w:bidi="en-GB"/>
    </w:rPr>
  </w:style>
  <w:style w:type="paragraph" w:customStyle="1" w:styleId="CM4">
    <w:name w:val="CM4"/>
    <w:basedOn w:val="Normal"/>
    <w:next w:val="Normal"/>
    <w:uiPriority w:val="99"/>
    <w:rsid w:val="000C60D7"/>
    <w:pPr>
      <w:autoSpaceDE w:val="0"/>
      <w:autoSpaceDN w:val="0"/>
      <w:adjustRightInd w:val="0"/>
      <w:spacing w:before="0" w:after="0"/>
      <w:jc w:val="left"/>
    </w:pPr>
    <w:rPr>
      <w:rFonts w:eastAsiaTheme="minorEastAsia"/>
      <w:szCs w:val="24"/>
    </w:rPr>
  </w:style>
  <w:style w:type="paragraph" w:styleId="Subtitle">
    <w:name w:val="Subtitle"/>
    <w:next w:val="Normal"/>
    <w:link w:val="SubtitleChar"/>
    <w:autoRedefine/>
    <w:uiPriority w:val="11"/>
    <w:qFormat/>
    <w:rsid w:val="00A858BC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A858BC"/>
    <w:rPr>
      <w:rFonts w:asciiTheme="majorHAnsi" w:eastAsiaTheme="majorEastAsia" w:hAnsiTheme="majorHAnsi" w:cstheme="majorBidi"/>
      <w:color w:val="4F81BD" w:themeColor="accent1"/>
      <w:sz w:val="32"/>
      <w:szCs w:val="32"/>
      <w:lang w:val="sk-SK"/>
    </w:rPr>
  </w:style>
  <w:style w:type="character" w:customStyle="1" w:styleId="super">
    <w:name w:val="super"/>
    <w:basedOn w:val="DefaultParagraphFont"/>
    <w:rsid w:val="00B90336"/>
  </w:style>
  <w:style w:type="character" w:styleId="FollowedHyperlink">
    <w:name w:val="FollowedHyperlink"/>
    <w:basedOn w:val="DefaultParagraphFont"/>
    <w:uiPriority w:val="99"/>
    <w:semiHidden/>
    <w:unhideWhenUsed/>
    <w:rsid w:val="0034279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94DC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unhideWhenUsed/>
    <w:rsid w:val="00195285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95285"/>
    <w:rPr>
      <w:i/>
      <w:iCs/>
    </w:rPr>
  </w:style>
  <w:style w:type="table" w:styleId="TableGrid">
    <w:name w:val="Table Grid"/>
    <w:basedOn w:val="TableNormal"/>
    <w:uiPriority w:val="59"/>
    <w:rsid w:val="005F2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823FE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3FE"/>
    <w:rPr>
      <w:rFonts w:ascii="Times New Roman" w:hAnsi="Times New Roman" w:cs="Times New Roman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5823F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30"/>
      </w:numPr>
    </w:pPr>
  </w:style>
  <w:style w:type="paragraph" w:customStyle="1" w:styleId="Tiret1">
    <w:name w:val="Tiret 1"/>
    <w:basedOn w:val="Point1"/>
    <w:rsid w:val="009B7138"/>
    <w:pPr>
      <w:numPr>
        <w:numId w:val="31"/>
      </w:numPr>
    </w:pPr>
  </w:style>
  <w:style w:type="paragraph" w:customStyle="1" w:styleId="Tiret2">
    <w:name w:val="Tiret 2"/>
    <w:basedOn w:val="Point2"/>
    <w:rsid w:val="009B7138"/>
    <w:pPr>
      <w:numPr>
        <w:numId w:val="32"/>
      </w:numPr>
    </w:pPr>
  </w:style>
  <w:style w:type="paragraph" w:customStyle="1" w:styleId="Tiret3">
    <w:name w:val="Tiret 3"/>
    <w:basedOn w:val="Point3"/>
    <w:rsid w:val="009B7138"/>
    <w:pPr>
      <w:numPr>
        <w:numId w:val="33"/>
      </w:numPr>
    </w:pPr>
  </w:style>
  <w:style w:type="paragraph" w:customStyle="1" w:styleId="Tiret4">
    <w:name w:val="Tiret 4"/>
    <w:basedOn w:val="Point4"/>
    <w:rsid w:val="009B7138"/>
    <w:pPr>
      <w:numPr>
        <w:numId w:val="3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7"/>
      </w:numPr>
    </w:pPr>
  </w:style>
  <w:style w:type="paragraph" w:customStyle="1" w:styleId="Bullet0">
    <w:name w:val="Bullet 0"/>
    <w:basedOn w:val="Normal"/>
    <w:rsid w:val="009B7138"/>
    <w:pPr>
      <w:numPr>
        <w:numId w:val="38"/>
      </w:numPr>
    </w:pPr>
  </w:style>
  <w:style w:type="paragraph" w:customStyle="1" w:styleId="Bullet1">
    <w:name w:val="Bullet 1"/>
    <w:basedOn w:val="Normal"/>
    <w:rsid w:val="009B7138"/>
    <w:pPr>
      <w:numPr>
        <w:numId w:val="39"/>
      </w:numPr>
    </w:pPr>
  </w:style>
  <w:style w:type="paragraph" w:customStyle="1" w:styleId="Bullet2">
    <w:name w:val="Bullet 2"/>
    <w:basedOn w:val="Normal"/>
    <w:rsid w:val="009B7138"/>
    <w:pPr>
      <w:numPr>
        <w:numId w:val="40"/>
      </w:numPr>
    </w:pPr>
  </w:style>
  <w:style w:type="paragraph" w:customStyle="1" w:styleId="Bullet3">
    <w:name w:val="Bullet 3"/>
    <w:basedOn w:val="Normal"/>
    <w:rsid w:val="009B7138"/>
    <w:pPr>
      <w:numPr>
        <w:numId w:val="41"/>
      </w:numPr>
    </w:pPr>
  </w:style>
  <w:style w:type="paragraph" w:customStyle="1" w:styleId="Bullet4">
    <w:name w:val="Bullet 4"/>
    <w:basedOn w:val="Normal"/>
    <w:rsid w:val="009B7138"/>
    <w:pPr>
      <w:numPr>
        <w:numId w:val="4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K/AUTO/?uri=OJ:L:2013:176:T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C0EF9-1979-4786-8433-B6F7C34F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4028</Words>
  <Characters>22148</Characters>
  <Application>Microsoft Office Word</Application>
  <DocSecurity>0</DocSecurity>
  <Lines>414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2021-03-08T08:17:00Z</dcterms:created>
  <dcterms:modified xsi:type="dcterms:W3CDTF">2021-03-08T08:17:00Z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Version">
    <vt:lpwstr>6.0.1.0</vt:lpwstr>
  </property>
  <property fmtid="{D5CDD505-2E9C-101B-9397-08002B2CF9AE}" pid="6" name="Created using">
    <vt:lpwstr>LW 6.0, Build 20171009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