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PRILOGA II</w:t>
      </w:r>
    </w:p>
    <w:p w14:paraId="03FA508D" w14:textId="43AA388F" w:rsidR="00C31378" w:rsidRPr="007F4CC8" w:rsidRDefault="00C31378" w:rsidP="004077B1">
      <w:pPr>
        <w:pStyle w:val="Annexetitre"/>
        <w:ind w:firstLine="720"/>
      </w:pPr>
      <w:r>
        <w:t>Navodila za predloge s pregledom razkritij</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Predloga EU OV1 – Pregled zneskov skupne izpostavljenosti tveganju. </w:t>
      </w:r>
      <w:r>
        <w:rPr>
          <w:rFonts w:ascii="Times New Roman" w:hAnsi="Times New Roman"/>
          <w:color w:val="auto"/>
          <w:sz w:val="24"/>
        </w:rPr>
        <w:t>Fiksna oblika.</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uporabljajo spodnja navodila za izpolnjevanje predloge EU OV1, kot je predstavljena v Prilogi I k tej izvedbeni uredbi, ob upoštevanju člena 438(d) Uredbe (EU) št.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(v nadaljnjem besedilu: CRR).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 xml:space="preserve">Kjer je relevantno, institucije v besedilu, priloženem predlogi, pojasnijo učinek, ki ga imata uporaba spodnjih pragov za kapital in </w:t>
      </w:r>
      <w:proofErr w:type="spellStart"/>
      <w:r>
        <w:rPr>
          <w:rFonts w:ascii="Times New Roman" w:hAnsi="Times New Roman"/>
          <w:bCs w:val="0"/>
          <w:color w:val="000000"/>
          <w:sz w:val="24"/>
        </w:rPr>
        <w:t>neodštetje</w:t>
      </w:r>
      <w:proofErr w:type="spellEnd"/>
      <w:r>
        <w:rPr>
          <w:rFonts w:ascii="Times New Roman" w:hAnsi="Times New Roman"/>
          <w:bCs w:val="0"/>
          <w:color w:val="000000"/>
          <w:sz w:val="24"/>
        </w:rPr>
        <w:t xml:space="preserve"> postavk od kapitala na izračun kapitala in zneskov izpostavljenosti tveganju.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Pravna podlaga in navodila</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Znesek skupne izpostavljenosti tveganju (TREA)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Znesek skupne izpostavljenosti tveganju, izračunan v skladu s členom 92(3) ter členi 95, 96 in 98 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kot je razkrit v prejšnjem obdobju razkritja.</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Skupne kapitalske zahteve</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Kapitalske zahteve, ki ustrezajo zneskom tveganju prilagojenih izpostavljenosti (RWEA) za različne kategorije tveganja.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Pravna podlaga in navodila</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Kreditno tveganje (brez CCR)</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 xml:space="preserve">RWEA in kapitalske zahteve, izračunani v skladu s poglavji 1 do 4 naslova II dela 3 CRR in členom 379 CRR. RWEA za izpostavljenosti v </w:t>
            </w:r>
            <w:proofErr w:type="spellStart"/>
            <w:r>
              <w:rPr>
                <w:rFonts w:ascii="Times New Roman" w:hAnsi="Times New Roman"/>
                <w:sz w:val="24"/>
              </w:rPr>
              <w:t>listinjenju</w:t>
            </w:r>
            <w:proofErr w:type="spellEnd"/>
            <w:r>
              <w:rPr>
                <w:rFonts w:ascii="Times New Roman" w:hAnsi="Times New Roman"/>
                <w:sz w:val="24"/>
              </w:rPr>
              <w:t xml:space="preserve"> v </w:t>
            </w:r>
            <w:proofErr w:type="spellStart"/>
            <w:r>
              <w:rPr>
                <w:rFonts w:ascii="Times New Roman" w:hAnsi="Times New Roman"/>
                <w:sz w:val="24"/>
              </w:rPr>
              <w:t>netrgovalni</w:t>
            </w:r>
            <w:proofErr w:type="spellEnd"/>
            <w:r>
              <w:rPr>
                <w:rFonts w:ascii="Times New Roman" w:hAnsi="Times New Roman"/>
                <w:sz w:val="24"/>
              </w:rPr>
              <w:t xml:space="preserve"> knjigi in za kreditno tveganje nasprotne stranke (CCR) se izključijo in razkrijejo v vrsticah 6 in 16 te predloge. Institucije v znesek, razkrit v tej vrstici, vključijo RWEA in lastne kapitalske zahteve za tveganje iz naslova prostih izročitev v skladu s členom 379 CRR.</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Kreditno tveganje (brez CCR) – od tega po standardiziranem pristopu</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RWEA in kapitalske zahteve, izračunani v skladu s standardiziranim pristopom za kreditno tveganje (poglavje 2 naslova II dela 3 CRR in člen 379 CRR).</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Kreditno tveganje (brez CCR) – od tega po osnovnem pristopu 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 xml:space="preserve">RWEA in kapitalske zahteve, izračunani v skladu z osnovnim pristopom IRB za kreditno tveganje (poglavje 3 naslova II dela 3 CRR), brez RWEA, </w:t>
            </w:r>
            <w:r>
              <w:rPr>
                <w:rFonts w:ascii="Times New Roman" w:hAnsi="Times New Roman"/>
                <w:sz w:val="24"/>
              </w:rPr>
              <w:lastRenderedPageBreak/>
              <w:t>razkritih v vrstici 4 za izpostavljenosti iz naslova posebnih kreditnih aranžmajev, za katere se uporablja pristop razporejanja, in v vrstici EU 4a za lastniške instrumente po pristopu enostavnih uteži tveganja in vključno z RWEA in kapitalskimi zahtevami, izračunanimi v skladu s členom 379 CRR.</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lastRenderedPageBreak/>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Kreditno tveganje (brez CCR) – od tega: po pristopu razporejanja</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RWEA in kapitalske zahteve za posebne kreditne aranžmaje, za katere se uporablja pristop razporejanja, izračunani v skladu s členom 153(5) 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Kreditno tveganje (brez CCR) – od tega: lastniški instrumenti po pristopu enostavnih uteži tveganja</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RWEA in kapitalske zahteve za lastniške instrumente po pristopu enostavnih uteži tveganja, izračunani v skladu s členom 155(2) CRR.</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Kreditno tveganje (brez CCR) – od tega po naprednem pristopu 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RWEA in kapitalske zahteve, izračunani v skladu z naprednim pristopom IRB za kreditno tveganje (poglavje 3 naslova II dela 3 CRR), brez RWEA, razkritih v vrstici 4 za izpostavljenosti iz naslova posebnih kreditnih aranžmajev, za katere se uporablja pristop razporejanja, in v vrstici EU 4a za lastniške instrumente po pristopu enostavnih uteži tveganja in vključno z RWEA in kapitalskimi zahtevami, izračunanimi v skladu s členom 379 CRR.</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Kreditno tveganje nasprotne stranke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RWEA in kapitalske zahteve, izračunani v skladu s poglavjem 6 naslova II dela 3 CRR za kreditno tveganje nasprotne stranke.</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od tega po standardiziranem pristopu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RWEA in kapitalske zahteve, izračunani v skladu z oddelkom 3 poglavja 6 naslova II dela 3 CRR.</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od tega po metodi notranjih modelov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RWEA in kapitalske zahteve, izračunani v skladu s členom 283 CRR.</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CCR – od tega izpostavljenosti do CNS</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RWEA in kapitalske zahteve, izračunani v skladu z oddelkom 9 poglavja 6 naslova II dela 3 CRR.</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od tega prilagoditev kreditnega vrednotenja –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RWEA in kapitalske zahteve, izračunani v skladu z naslovom VI dela 3 CRR.</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od tega drugo CCR</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RWEA in kapitalske zahteve za CCR, ki niso razkriti v vrsticah 7, 8, EU 8a in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Ni relevantno</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lastRenderedPageBreak/>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Ni relevantno</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Ni relevantno</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Ni relevantno</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Ni relevantno</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Tveganje poravnave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Znesek izpostavljenosti tveganju (REA) in kapitalske zahteve, izračunani za tveganje poravnave/izročitve v skladu s členom 378 CRR.</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Izpostavljenosti v </w:t>
            </w:r>
            <w:proofErr w:type="spellStart"/>
            <w:r>
              <w:rPr>
                <w:rFonts w:ascii="Times New Roman" w:hAnsi="Times New Roman"/>
                <w:b/>
                <w:sz w:val="24"/>
              </w:rPr>
              <w:t>listinjenju</w:t>
            </w:r>
            <w:proofErr w:type="spellEnd"/>
            <w:r>
              <w:rPr>
                <w:rFonts w:ascii="Times New Roman" w:hAnsi="Times New Roman"/>
                <w:b/>
                <w:sz w:val="24"/>
              </w:rPr>
              <w:t xml:space="preserve"> v </w:t>
            </w:r>
            <w:proofErr w:type="spellStart"/>
            <w:r>
              <w:rPr>
                <w:rFonts w:ascii="Times New Roman" w:hAnsi="Times New Roman"/>
                <w:b/>
                <w:sz w:val="24"/>
              </w:rPr>
              <w:t>netrgovalni</w:t>
            </w:r>
            <w:proofErr w:type="spellEnd"/>
            <w:r>
              <w:rPr>
                <w:rFonts w:ascii="Times New Roman" w:hAnsi="Times New Roman"/>
                <w:b/>
                <w:sz w:val="24"/>
              </w:rPr>
              <w:t xml:space="preserve"> knjigi (po uporabi omejitve)</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RWEA in kapitalske zahteve, izračunani v skladu s poglavjem 5 naslova II dela 3 CRR.</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Listinjenje</w:t>
            </w:r>
            <w:proofErr w:type="spellEnd"/>
            <w:r>
              <w:rPr>
                <w:rFonts w:ascii="Times New Roman" w:hAnsi="Times New Roman"/>
                <w:b/>
                <w:sz w:val="24"/>
              </w:rPr>
              <w:t xml:space="preserve"> – od tega po pristopu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RWEA in kapitalske zahteve, izračunani v skladu z regulativnim pristopom SEC-IRBA, uporabljenim v skladu s hierarhijo pristopov iz člena 254 CRR.</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proofErr w:type="spellStart"/>
            <w:r>
              <w:rPr>
                <w:rFonts w:ascii="Times New Roman" w:hAnsi="Times New Roman"/>
                <w:b/>
                <w:sz w:val="24"/>
              </w:rPr>
              <w:t>Listinjenje</w:t>
            </w:r>
            <w:proofErr w:type="spellEnd"/>
            <w:r>
              <w:rPr>
                <w:rFonts w:ascii="Times New Roman" w:hAnsi="Times New Roman"/>
                <w:b/>
                <w:sz w:val="24"/>
              </w:rPr>
              <w:t xml:space="preserve"> – od tega po pristopu SEC-ERBA (vključno s pristopom notranjega ocenjevanja)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RWEA in kapitalske zahteve, izračunani v skladu z regulativnim pristopom SEC-ERBA (vključno s pristopom notranjega ocenjevanja), uporabljenim v skladu s hierarhijo pristopov iz člena 254 CRR.</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Listinjenje</w:t>
            </w:r>
            <w:proofErr w:type="spellEnd"/>
            <w:r>
              <w:rPr>
                <w:rFonts w:ascii="Times New Roman" w:hAnsi="Times New Roman"/>
                <w:b/>
                <w:sz w:val="24"/>
              </w:rPr>
              <w:t xml:space="preserve"> – od tega po pristopu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RWEA in kapitalske zahteve, izračunani v skladu z regulativnim pristopom SEC-SA, uporabljenim v skladu s hierarhijo pristopov iz člena 254 CRR.</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Listinjenje</w:t>
            </w:r>
            <w:proofErr w:type="spellEnd"/>
            <w:r>
              <w:rPr>
                <w:rFonts w:ascii="Times New Roman" w:hAnsi="Times New Roman"/>
                <w:b/>
                <w:sz w:val="24"/>
              </w:rPr>
              <w:t xml:space="preserve"> – od tega utež 1 250 % / odbitek</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 xml:space="preserve">RWEA in kapitalske zahteve za izpostavljenosti v </w:t>
            </w:r>
            <w:proofErr w:type="spellStart"/>
            <w:r>
              <w:rPr>
                <w:rFonts w:ascii="Times New Roman" w:hAnsi="Times New Roman"/>
                <w:sz w:val="24"/>
              </w:rPr>
              <w:t>listinjenju</w:t>
            </w:r>
            <w:proofErr w:type="spellEnd"/>
            <w:r>
              <w:rPr>
                <w:rFonts w:ascii="Times New Roman" w:hAnsi="Times New Roman"/>
                <w:sz w:val="24"/>
              </w:rPr>
              <w:t xml:space="preserve"> v </w:t>
            </w:r>
            <w:proofErr w:type="spellStart"/>
            <w:r>
              <w:rPr>
                <w:rFonts w:ascii="Times New Roman" w:hAnsi="Times New Roman"/>
                <w:sz w:val="24"/>
              </w:rPr>
              <w:t>netrgovalni</w:t>
            </w:r>
            <w:proofErr w:type="spellEnd"/>
            <w:r>
              <w:rPr>
                <w:rFonts w:ascii="Times New Roman" w:hAnsi="Times New Roman"/>
                <w:sz w:val="24"/>
              </w:rPr>
              <w:t xml:space="preserve"> knjigi z utežjo tveganja 1 250 % ali odbite od kapitala v skladu s poglavjem 5 naslova II dela 3 CRR.</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Pozicijsko, valutno in blagovno tveganje (tržno tveganje)</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RWEA in kapitalske zahteve, izračunani v skladu z naslovom IV dela 3 CRR.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Tržno tveganje – od tega po standardiziranem pristopu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RWEA in kapitalske zahteve, izračunani v skladu s poglavji 2 do 4 naslova IV dela 3 CRR.</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Tržno tveganje – od tega po pristopu notranjih modelov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REA in kapitalske zahteve, izračunani v skladu s poglavjem 5 naslova IV dela 3 CRR.</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lastRenderedPageBreak/>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Velike izpostavljenosti</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REA in kapitalske zahteve, izračunani v skladu s členom 92(3)(b)(ii).</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Operativno tveganje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REA in kapitalske zahteve, izračunani v skladu z naslovom III dela 3 CRR.</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Operativno tveganje – od tega po enostavnem pristopu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REA in kapitalske zahteve, izračunani v skladu s poglavjem 2 naslova III dela 3 CRR.</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Operativno tveganje – od tega po standardiziranem pristopu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REA in kapitalske zahteve, izračunani v skladu s poglavjem 3 naslova III dela 3 CRR.</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Operativno tveganje – od tega po naprednem pristopu za merjenje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REA in kapitalske zahteve, izračunani v skladu s poglavjem 4 naslova III dela 3 CRR.</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Znesek pod pragom za odbitke (utež tveganja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Znesek ustreza vsoti zneskov postavk, za katere se uporablja utež tveganja 250 % iz člena 48(4) CRR, po uporabi uteži tveganja 250 %. Ti zneski vključujejo:</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odložene terjatve za davek, ki se nanašajo na prihodnji dobiček in izhajajo iz začasnih razlik ter je njihov celotni seštevek enak ali nižji od 10 % postavk navadnega lastniškega temeljnega kapitala institucije, izračunanega v skladu s členom 48(1)(a) CRR;</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pomembne naložbe v subjektih finančnega sektorja, tj. neposredne, posredne in sintetične deleže institucije v instrumentih navadnega lastniškega temeljnega kapitala teh subjektov, katerih celotni seštevek je enak ali nižji od 10 % postavk navadnega lastniškega temeljnega kapitala institucije, izračunanega v skladu s členom 48(1)(b) CRR.</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Informacije v tej vrstici se razkrijejo samo v informativne namene, ker je znesek, vključen tukaj, vključen tudi v vrstici 1, kjer morajo institucije razkriti informacije o kreditnem tveganju.</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 relevantno</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 relevantno</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 relevantno</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 relevantno</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Skupaj</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lastRenderedPageBreak/>
              <w:t>Znesek skupne izpostavljenosti tveganju, izračunan v skladu s členom 92(3) ter členi 95, 96 in 98 CRR.</w:t>
            </w:r>
          </w:p>
        </w:tc>
      </w:tr>
    </w:tbl>
    <w:p w14:paraId="2CB62609" w14:textId="7F41B597" w:rsidR="00C41C25" w:rsidRPr="0081737A" w:rsidRDefault="0081737A" w:rsidP="0081737A">
      <w:pPr>
        <w:pStyle w:val="Titlelevel2"/>
        <w:tabs>
          <w:tab w:val="left" w:pos="7684"/>
        </w:tabs>
        <w:spacing w:before="120" w:after="120"/>
        <w:rPr>
          <w:rFonts w:ascii="Times New Roman" w:hAnsi="Times New Roman"/>
          <w:b/>
          <w:color w:val="auto"/>
          <w:sz w:val="24"/>
        </w:rPr>
      </w:pPr>
      <w:r>
        <w:rPr>
          <w:rFonts w:ascii="Times New Roman" w:hAnsi="Times New Roman"/>
          <w:b/>
          <w:color w:val="auto"/>
          <w:sz w:val="24"/>
        </w:rPr>
        <w:lastRenderedPageBreak/>
        <w:tab/>
      </w: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Predloga EU KM1 – Predloga s ključnimi metrikami. </w:t>
      </w:r>
      <w:r>
        <w:rPr>
          <w:rFonts w:ascii="Times New Roman" w:hAnsi="Times New Roman"/>
          <w:color w:val="auto"/>
          <w:sz w:val="24"/>
        </w:rPr>
        <w:t>Fiksna oblika.</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Institucije uporabljajo navodila iz te priloge za izpolnjevanje predloge EU KM1 iz Priloge I k tej izvedbeni uredbi ob upoštevanju člena 447(a) do (g) CRR in člena 438(b) CRR.</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Pravna podlaga in navodila</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a–e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Obdobja razkritja T, T-1, T-2, T-3 in T-4 so opredeljena kot četrtletna obdobja in se izpolnijo glede na pogostost, določeno v členih 433a, 433b in 433c CRR.</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Institucije, ki razkrivajo informacije iz te predloge na četrtletni osnovi, zagotovijo podatke za obdobja T, T-1, T-2, T-3 in T-4; institucije, ki razkrivajo informacije iz te predloge na polletni osnovi, zagotovijo podatke za obdobja T, T-2 in T-4; institucije, ki razkrivajo informacije iz te predloge na letni osnovi, zagotovijo podatke za obdobji T in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Institucije razkrijejo datume, ki ustrezajo obdobjem razkritja.</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Razkritje podatkov za prejšnja obdobja ni potrebno, če se podatki razkrivajo prvič.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Pravna podlaga in navodila</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Navadni lastniški temeljni kapital</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Znesek navadnega lastniškega temeljnega kapitala je znesek, ki ga institucije razkrijejo v Prilogi VII k tej izvedbeni uredbi (vrstica 29 predloge EU CC1 Sestava regulativnega kapitala).</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Temeljni kapital</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Znesek temeljnega kapitala je znesek, ki ga institucije razkrijejo v Prilogi VII k tej izvedbeni uredbi (vrstica 45 predloge EU CC1 Sestava regulativnega kapitala).</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Skupni kapital</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Znesek skupnega kapitala je znesek, ki ga institucije razkrijejo v Prilogi VII k tej izvedbeni uredbi (vrstica 59 predloge EU CC1 Sestava regulativnega kapitala).</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Znesek skupne izpostavljenosti tveganju</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Znesek skupne izpostavljenosti tveganju (TREA) je znesek, ki ga institucije razkrijejo v Prilogi VII k tej izvedbeni uredbi (vrstica 60 predloge EU CC1 Sestava regulativnega kapitala).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lastRenderedPageBreak/>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Količnik navadnega lastniškega temeljnega kapitala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Količnik navadnega lastniškega temeljnega kapitala je vrednost, ki jo institucije razkrijejo v Prilogi VII k tej izvedbeni uredbi (vrstica 61 predloge EU CC1 Sestava regulativnega kapitala).</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Količnik temeljnega kapitala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Količnik temeljnega kapitala je vrednost, ki jo institucije razkrijejo v Prilogi VII k tej izvedbeni uredbi (vrstica 62 predloge EU CC1 Sestava regulativnega kapitala).</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Količnik skupnega kapitala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Količnik skupnega kapitala je vrednost, ki jo institucije razkrijejo v Prilogi VII k tej izvedbeni uredbi (vrstica 63 predloge EU CC1 Sestava regulativnega kapitala).</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Dodatne kapitalske zahteve za obravnavanje tveganj, ki niso tveganje prevelikega finančnega vzvoda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Dodatne kapitalske zahteve za obravnavanje tveganj, ki niso tveganje prevelikega finančnega vzvoda, ki jih naloži pristojni organ v skladu s členom 104(1)(a) CRD, izražene kot odstotek zneska skupne izpostavljenosti tveganju.</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od tega: ki morajo biti sestavljene iz navadnega lastniškega temeljnega kapitala (odstotne točke)</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Del dodatnih kapitalskih zahtev za obravnavanje tveganj, ki niso tveganje prevelikega finančnega vzvoda, naloženih s strani pristojnega organa v skladu s členom 104(1)(a) CRD, ki mora biti izpolnjen z navadnim lastniškim temeljnim kapitalom v skladu s prvim in tretjim pododstavkom člena 104a(4).</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od tega: ki morajo biti sestavljene iz temeljnega kapitala (odstotne točke)</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Del dodatnih kapitalskih zahtev za obravnavanje tveganj, ki niso tveganje prevelikega finančnega vzvoda, naloženih s strani pristojnega organa v skladu s členom 104(1)(a) CRD, ki mora biti izpolnjen s temeljnim kapitalom v skladu s prvim in tretjim pododstavkom člena 104a(4).</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Skupna kapitalska zahteva v okviru PNPO (količnik TSCR) (%)</w:t>
            </w:r>
          </w:p>
          <w:p w14:paraId="0EB50A81" w14:textId="77CE0E9A" w:rsidR="003F72E2" w:rsidRPr="007F4CC8" w:rsidRDefault="003F72E2" w:rsidP="00702A38">
            <w:pPr>
              <w:pStyle w:val="InstructionsText"/>
            </w:pPr>
            <w:r>
              <w:t>Vsota vrednosti, določenih pod točkama (i) in (ii), kot sledi:</w:t>
            </w:r>
          </w:p>
          <w:p w14:paraId="5260BB93" w14:textId="4398EAAF" w:rsidR="003F72E2" w:rsidRPr="007F4CC8" w:rsidRDefault="003F72E2" w:rsidP="00702A38">
            <w:pPr>
              <w:pStyle w:val="InstructionsText"/>
              <w:numPr>
                <w:ilvl w:val="0"/>
                <w:numId w:val="11"/>
              </w:numPr>
            </w:pPr>
            <w:r>
              <w:t xml:space="preserve">količnika skupnega kapitala (8 %), kot je določen v členu 92(1)(c) CRR; </w:t>
            </w:r>
          </w:p>
          <w:p w14:paraId="6408D689" w14:textId="0479FF8E" w:rsidR="003F72E2" w:rsidRPr="007F4CC8" w:rsidRDefault="003F72E2" w:rsidP="00702A38">
            <w:pPr>
              <w:pStyle w:val="InstructionsText"/>
              <w:numPr>
                <w:ilvl w:val="0"/>
                <w:numId w:val="11"/>
              </w:numPr>
            </w:pPr>
            <w:r>
              <w:t xml:space="preserve">dodatnih kapitalskih zahtev za obravnavanje tveganj, ki niso tveganje prevelikega finančnega vzvoda (zahteve v okviru stebra 2 – P2R), ki jih naloži pristojni organ v skladu s členom 104(1)(a) CRD in ki se določijo v skladu z merili, določenimi v </w:t>
            </w:r>
            <w:r>
              <w:rPr>
                <w:i/>
              </w:rPr>
              <w:t xml:space="preserve">smernicah EBA o skupnih postopkih in metodologijah za proces nadzorniškega pregledovanja in </w:t>
            </w:r>
            <w:r>
              <w:rPr>
                <w:i/>
              </w:rPr>
              <w:lastRenderedPageBreak/>
              <w:t>ovrednotenja ter nadzorniškega stresnega testiranja</w:t>
            </w:r>
            <w:r>
              <w:rPr>
                <w:rStyle w:val="FootnoteReference"/>
                <w:i/>
              </w:rPr>
              <w:footnoteReference w:id="3"/>
            </w:r>
            <w:r>
              <w:t xml:space="preserve"> (v nadaljnjem besedilu: smernice EBA glede PNPO), izraženih kot odstotek skupnih RWEA.</w:t>
            </w:r>
          </w:p>
          <w:p w14:paraId="421B2155" w14:textId="77777777" w:rsidR="003F72E2" w:rsidRPr="007F4CC8" w:rsidRDefault="003F72E2" w:rsidP="00702A38">
            <w:pPr>
              <w:pStyle w:val="InstructionsText"/>
            </w:pPr>
            <w:r>
              <w:t>Ta postavka odraža količnik skupne kapitalske zahteve v okviru PNPO (</w:t>
            </w:r>
            <w:r>
              <w:rPr>
                <w:i/>
              </w:rPr>
              <w:t xml:space="preserve">total SREP </w:t>
            </w:r>
            <w:proofErr w:type="spellStart"/>
            <w:r>
              <w:rPr>
                <w:i/>
              </w:rPr>
              <w:t>capital</w:t>
            </w:r>
            <w:proofErr w:type="spellEnd"/>
            <w:r>
              <w:rPr>
                <w:i/>
              </w:rPr>
              <w:t xml:space="preserve"> </w:t>
            </w:r>
            <w:proofErr w:type="spellStart"/>
            <w:r>
              <w:rPr>
                <w:i/>
              </w:rPr>
              <w:t>requirement</w:t>
            </w:r>
            <w:proofErr w:type="spellEnd"/>
            <w:r>
              <w:t xml:space="preserve"> – TSCR), kot ga instituciji sporoči pristojni organ. TSCR je opredeljen v oddelku 1.2 smernic EBA glede PNPO.</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Če pristojni organ ni sporočil nobenih drugih dodatnih kapitalskih zahtev, naloženih za obravnavanje tveganj, ki niso tveganje prevelikega finančnega vzvoda, se razkrije samo točka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Varovalni kapitalski blažilnik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Znesek kapitala, ki ga morajo institucije ohranjati v skladu s členom 128(1) in členom 129 CRD, izražen kot odstotek skupnih RWEA.</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Varovalni blažilnik zaradi </w:t>
            </w:r>
            <w:proofErr w:type="spellStart"/>
            <w:r>
              <w:rPr>
                <w:rFonts w:ascii="Times New Roman" w:hAnsi="Times New Roman"/>
                <w:b/>
                <w:sz w:val="24"/>
              </w:rPr>
              <w:t>makrobonitetnega</w:t>
            </w:r>
            <w:proofErr w:type="spellEnd"/>
            <w:r>
              <w:rPr>
                <w:rFonts w:ascii="Times New Roman" w:hAnsi="Times New Roman"/>
                <w:b/>
                <w:sz w:val="24"/>
              </w:rPr>
              <w:t xml:space="preserve"> ali sistemskega tveganja, ugotovljenega na ravni države članice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 xml:space="preserve">Znesek varovalnega blažilnika zaradi </w:t>
            </w:r>
            <w:proofErr w:type="spellStart"/>
            <w:r>
              <w:rPr>
                <w:rFonts w:ascii="Times New Roman" w:hAnsi="Times New Roman"/>
                <w:sz w:val="24"/>
              </w:rPr>
              <w:t>makrobonitetnega</w:t>
            </w:r>
            <w:proofErr w:type="spellEnd"/>
            <w:r>
              <w:rPr>
                <w:rFonts w:ascii="Times New Roman" w:hAnsi="Times New Roman"/>
                <w:sz w:val="24"/>
              </w:rPr>
              <w:t xml:space="preserve"> ali sistemskega tveganja, ugotovljenega na ravni države članice, ki se lahko v skladu s členom 458 CRR zahteva poleg varovalnega kapitalskega blažilnika, izražen kot odstotek skupnih RWEA.</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Posamezni instituciji lasten </w:t>
            </w:r>
            <w:proofErr w:type="spellStart"/>
            <w:r>
              <w:rPr>
                <w:rFonts w:ascii="Times New Roman" w:hAnsi="Times New Roman"/>
                <w:b/>
                <w:sz w:val="24"/>
              </w:rPr>
              <w:t>proticiklični</w:t>
            </w:r>
            <w:proofErr w:type="spellEnd"/>
            <w:r>
              <w:rPr>
                <w:rFonts w:ascii="Times New Roman" w:hAnsi="Times New Roman"/>
                <w:b/>
                <w:sz w:val="24"/>
              </w:rPr>
              <w:t xml:space="preserve"> kapitalski blažilnik (%)</w:t>
            </w:r>
          </w:p>
          <w:p w14:paraId="7EE95752" w14:textId="6C1631A4" w:rsidR="008C672C" w:rsidRPr="007F4CC8" w:rsidRDefault="008C672C" w:rsidP="00702A38">
            <w:pPr>
              <w:pStyle w:val="InstructionsText"/>
            </w:pPr>
            <w:r>
              <w:t>Znesek kapitala, ki ga morajo institucije ohranjati v skladu s členom 128(2), členom 130 in členi 135 do 140 CRD, izražen kot odstotek skupnih RWEA.</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Odstotek odraža znesek kapitala, ki je potreben za izpolnitev ustreznih zahtev po kapitalskem blažilniku na datum razkritja.</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Blažilnik sistemskih tveganj (%)</w:t>
            </w:r>
          </w:p>
          <w:p w14:paraId="1A39C087" w14:textId="127435F7" w:rsidR="008C672C" w:rsidRPr="007F4CC8" w:rsidRDefault="008C672C" w:rsidP="00702A38">
            <w:pPr>
              <w:pStyle w:val="InstructionsText"/>
            </w:pPr>
            <w:r>
              <w:t>Znesek kapitala, ki ga morajo institucije ohranjati v skladu s členom 128(5), členom 133 in členom 134 CRD, izražen kot odstotek skupnih RWEA.</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Odstotek odraža znesek kapitala, ki je potreben za izpolnitev ustreznih zahtev po kapitalskem blažilniku na datum razkritja.</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Blažilnik za globalne sistemsko pomembne institucije (%)</w:t>
            </w:r>
          </w:p>
          <w:p w14:paraId="6FDE597A" w14:textId="3100067E" w:rsidR="00F16314" w:rsidRPr="007F4CC8" w:rsidRDefault="00F16314" w:rsidP="00702A38">
            <w:pPr>
              <w:pStyle w:val="InstructionsText"/>
            </w:pPr>
            <w:r>
              <w:t>Znesek kapitala, ki ga morajo institucije ohranjati v skladu s členom 128(3) in členom 131 CRD, izražen kot odstotek skupnih RWEA.</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Odstotek odraža znesek kapitala, ki je potreben za izpolnitev ustreznih zahtev po kapitalskem blažilniku na datum razkritja.</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Blažilnik za druge sistemsko pomembne institucije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Znesek kapitala, ki ga morajo institucije ohranjati v skladu s členom 128(4) in členom 131 CRD, izražen kot odstotek skupnih RWEA.</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lastRenderedPageBreak/>
              <w:t>Odstotek odraža znesek kapitala, ki je potreben za izpolnitev ustreznih zahtev po kapitalskem blažilniku na datum razkritja.</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lastRenderedPageBreak/>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Zahteva po skupnem blažilniku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V skladu s členom 128(6) CRD, izražena kot odstotek skupnih RWEA.</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Skupna kapitalska zahteva (OCR) (%)</w:t>
            </w:r>
          </w:p>
          <w:p w14:paraId="27E7760D" w14:textId="77777777" w:rsidR="003F72E2" w:rsidRPr="007F4CC8" w:rsidRDefault="003F72E2" w:rsidP="00702A38">
            <w:pPr>
              <w:pStyle w:val="InstructionsText"/>
            </w:pPr>
            <w:r>
              <w:t>Vsota (i) in (ii), kot sledi:</w:t>
            </w:r>
          </w:p>
          <w:p w14:paraId="75A891AF" w14:textId="77777777" w:rsidR="003F72E2" w:rsidRPr="007F4CC8" w:rsidRDefault="003F72E2" w:rsidP="00702A38">
            <w:pPr>
              <w:pStyle w:val="InstructionsText"/>
              <w:numPr>
                <w:ilvl w:val="0"/>
                <w:numId w:val="12"/>
              </w:numPr>
            </w:pPr>
            <w:r>
              <w:t>količnika TSCR iz vrstice EU 7d;</w:t>
            </w:r>
          </w:p>
          <w:p w14:paraId="5EE9D2EB" w14:textId="3AB53BE2" w:rsidR="003F72E2" w:rsidRPr="007F4CC8" w:rsidRDefault="003F72E2" w:rsidP="00702A38">
            <w:pPr>
              <w:pStyle w:val="InstructionsText"/>
              <w:numPr>
                <w:ilvl w:val="0"/>
                <w:numId w:val="12"/>
              </w:numPr>
            </w:pPr>
            <w:r>
              <w:t>v obsegu, v katerem se uporablja v skladu z zakonodajo, količnika zahteve po skupnem blažilniku iz člena 128(6) CRD.</w:t>
            </w:r>
          </w:p>
          <w:p w14:paraId="4B4D7463" w14:textId="52E60BF7" w:rsidR="003F72E2" w:rsidRPr="007F4CC8" w:rsidRDefault="003F72E2" w:rsidP="00702A38">
            <w:pPr>
              <w:pStyle w:val="InstructionsText"/>
            </w:pPr>
            <w:r>
              <w:t>Ta postavka odraža skupno kapitalsko zahtevo (</w:t>
            </w:r>
            <w:proofErr w:type="spellStart"/>
            <w:r>
              <w:rPr>
                <w:i/>
              </w:rPr>
              <w:t>overall</w:t>
            </w:r>
            <w:proofErr w:type="spellEnd"/>
            <w:r>
              <w:rPr>
                <w:i/>
              </w:rPr>
              <w:t xml:space="preserve"> </w:t>
            </w:r>
            <w:proofErr w:type="spellStart"/>
            <w:r>
              <w:rPr>
                <w:i/>
              </w:rPr>
              <w:t>capital</w:t>
            </w:r>
            <w:proofErr w:type="spellEnd"/>
            <w:r>
              <w:rPr>
                <w:i/>
              </w:rPr>
              <w:t xml:space="preserve"> </w:t>
            </w:r>
            <w:proofErr w:type="spellStart"/>
            <w:r>
              <w:rPr>
                <w:i/>
              </w:rPr>
              <w:t>requirement</w:t>
            </w:r>
            <w:proofErr w:type="spellEnd"/>
            <w:r>
              <w:t xml:space="preserve"> – OCR), kot je opredeljena v oddelku 1.2 smernic EBA glede PNPO.</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Če se zahteva po blažilniku ne uporablja, se razkrije samo točka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Razpoložljivi navadni lastniški temeljni kapital po izpolnitvi skupne kapitalske zahteve v okviru PNPO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Mera skupne izpostavljenosti</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 xml:space="preserve">Mera skupne izpostavljenosti v skladu z zneskom, ki ga institucije razkrijejo v Prilogi XI k tej izvedbeni uredbi (vrstica 24 predloge EU LR2 – </w:t>
            </w:r>
            <w:proofErr w:type="spellStart"/>
            <w:r>
              <w:rPr>
                <w:rFonts w:ascii="Times New Roman" w:hAnsi="Times New Roman"/>
                <w:sz w:val="24"/>
              </w:rPr>
              <w:t>LRCom</w:t>
            </w:r>
            <w:proofErr w:type="spellEnd"/>
            <w:r>
              <w:rPr>
                <w:rFonts w:ascii="Times New Roman" w:hAnsi="Times New Roman"/>
                <w:sz w:val="24"/>
              </w:rPr>
              <w:t>: skupno razkritje za količnik finančnega vzvoda).</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Količnik finančnega vzvoda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 xml:space="preserve">Količnik finančnega vzvoda v skladu z vrednostjo, ki jo institucije razkrijejo v Prilogi XI k tej izvedbeni uredbi (vrstica 25 predloge EU LR2 – </w:t>
            </w:r>
            <w:proofErr w:type="spellStart"/>
            <w:r>
              <w:rPr>
                <w:rFonts w:ascii="Times New Roman" w:hAnsi="Times New Roman"/>
                <w:sz w:val="24"/>
              </w:rPr>
              <w:t>LRCom</w:t>
            </w:r>
            <w:proofErr w:type="spellEnd"/>
            <w:r>
              <w:rPr>
                <w:rFonts w:ascii="Times New Roman" w:hAnsi="Times New Roman"/>
                <w:sz w:val="24"/>
              </w:rPr>
              <w:t>: skupno razkritje za količnik finančnega vzvoda).</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Dodatne kapitalske zahteve za obravnavanje tveganja prevelikega finančnega vzvoda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 xml:space="preserve">Dodatne kapitalske zahteve za obravnavanje tveganja prevelikega finančnega vzvoda, ki jih naloži pristojni organ v skladu s členom 104(1)(a) CRD, izražene kot odstotek mere skupne izpostavljenosti.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 xml:space="preserve">Dodatne kapitalske zahteve v skladu z vrednostjo, ki jo institucije razkrijejo v Prilogi XI k tej izvedbeni uredbi (vrstica EU-26a predloge EU LR2 – </w:t>
            </w:r>
            <w:proofErr w:type="spellStart"/>
            <w:r>
              <w:rPr>
                <w:rFonts w:ascii="Times New Roman" w:hAnsi="Times New Roman"/>
                <w:sz w:val="24"/>
              </w:rPr>
              <w:t>LRCom</w:t>
            </w:r>
            <w:proofErr w:type="spellEnd"/>
            <w:r>
              <w:rPr>
                <w:rFonts w:ascii="Times New Roman" w:hAnsi="Times New Roman"/>
                <w:sz w:val="24"/>
              </w:rPr>
              <w:t>: skupno razkritje za količnik finančnega vzvoda).</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od tega: ki morajo biti sestavljene iz navadnega lastniškega temeljnega kapitala (odstotne točke)</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 xml:space="preserve">Del dodatnih kapitalskih zahtev za obravnavanje tveganja prevelikega finančnega vzvoda, naloženih s strani pristojnega organa v skladu s členom 104(1)(a) CRD, ki mora biti izpolnjen z navadnim lastniškim temeljnim kapitalom v skladu s tretjim pododstavkom člena 104a(4).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lastRenderedPageBreak/>
              <w:t xml:space="preserve">Dodatne kapitalske zahteve v skladu z vrednostjo, ki jo institucije razkrijejo v Prilogi XI k tej izvedbeni uredbi (vrstica EU-26b predloge EU LR2 – </w:t>
            </w:r>
            <w:proofErr w:type="spellStart"/>
            <w:r>
              <w:rPr>
                <w:rFonts w:ascii="Times New Roman" w:hAnsi="Times New Roman"/>
                <w:sz w:val="24"/>
              </w:rPr>
              <w:t>LRCom</w:t>
            </w:r>
            <w:proofErr w:type="spellEnd"/>
            <w:r>
              <w:rPr>
                <w:rFonts w:ascii="Times New Roman" w:hAnsi="Times New Roman"/>
                <w:sz w:val="24"/>
              </w:rPr>
              <w:t>: skupno razkritje za količnik finančnega vzvoda).</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lastRenderedPageBreak/>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Skupna zahteva za količnik finančnega vzvoda v okviru PNPO (%)</w:t>
            </w:r>
          </w:p>
          <w:p w14:paraId="12B9013E" w14:textId="77777777" w:rsidR="00505188" w:rsidRPr="007F4CC8" w:rsidRDefault="00505188" w:rsidP="00702A38">
            <w:pPr>
              <w:pStyle w:val="InstructionsText"/>
            </w:pPr>
            <w:r>
              <w:t>Vsota (i) in (ii), kot sledi:</w:t>
            </w:r>
          </w:p>
          <w:p w14:paraId="5E716F27" w14:textId="071E258A" w:rsidR="00505188" w:rsidRPr="007F4CC8" w:rsidRDefault="00505188" w:rsidP="00E70D84">
            <w:pPr>
              <w:pStyle w:val="InstructionsText"/>
              <w:numPr>
                <w:ilvl w:val="0"/>
                <w:numId w:val="14"/>
              </w:numPr>
            </w:pPr>
            <w:r>
              <w:t xml:space="preserve">zahteve za minimalni količnik finančnega vzvoda, kot je določena v členu 92(1)(d) CRR, ali zahteve za prilagojeni količnik finančnega vzvoda, izračunane v skladu s členom 429a(7) CRR, kot je ustrezno; </w:t>
            </w:r>
          </w:p>
          <w:p w14:paraId="40C21DE2" w14:textId="3B257965" w:rsidR="00505188" w:rsidRPr="007F4CC8" w:rsidRDefault="00505188" w:rsidP="00E70D84">
            <w:pPr>
              <w:pStyle w:val="InstructionsText"/>
              <w:numPr>
                <w:ilvl w:val="0"/>
                <w:numId w:val="14"/>
              </w:numPr>
            </w:pPr>
            <w:r>
              <w:t>dodatnih kapitalskih zahtev za obravnavanje tveganja prevelikega finančnega vzvoda (zahteve v okviru stebra 2 – P2R), ki jih naloži pristojni organ v skladu s členom 104(1)(a) CRD, izraženih kot odstotek zneska skupne mere izpostavljenosti.</w:t>
            </w:r>
          </w:p>
          <w:p w14:paraId="72014476" w14:textId="72428B13" w:rsidR="00505188" w:rsidRPr="007F4CC8" w:rsidRDefault="00505188" w:rsidP="00702A38">
            <w:pPr>
              <w:pStyle w:val="InstructionsText"/>
            </w:pPr>
            <w:r>
              <w:t>Ta postavka odraža skupno zahtevo za količnik finančnega vzvoda v okviru PNPO (</w:t>
            </w:r>
            <w:r>
              <w:rPr>
                <w:i/>
              </w:rPr>
              <w:t xml:space="preserve">total SREP </w:t>
            </w:r>
            <w:proofErr w:type="spellStart"/>
            <w:r>
              <w:rPr>
                <w:i/>
              </w:rPr>
              <w:t>leverage</w:t>
            </w:r>
            <w:proofErr w:type="spellEnd"/>
            <w:r>
              <w:rPr>
                <w:i/>
              </w:rPr>
              <w:t xml:space="preserve"> ratio </w:t>
            </w:r>
            <w:proofErr w:type="spellStart"/>
            <w:r>
              <w:rPr>
                <w:i/>
              </w:rPr>
              <w:t>requirement</w:t>
            </w:r>
            <w:proofErr w:type="spellEnd"/>
            <w:r>
              <w:t xml:space="preserve"> – TSLRR), kot jo instituciji sporoči pristojni organ.</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Če pristojni organ ni naložil nobenih dodatnih kapitalskih zahtev za obravnavanje tveganja prevelikega finančnega vzvoda, se razkrije samo točka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Zahteva po blažilniku količnika finančnega vzvoda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Člen 92(1a) CRR.</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 xml:space="preserve">Ustrezni blažilnik količnika finančnega vzvoda v skladu z vrednostjo, ki jo institucije razkrijejo v Prilogi XI k tej izvedbeni uredbi (vrstica 27 predloge EU LR2 – </w:t>
            </w:r>
            <w:proofErr w:type="spellStart"/>
            <w:r>
              <w:rPr>
                <w:rFonts w:ascii="Times New Roman" w:hAnsi="Times New Roman"/>
                <w:sz w:val="24"/>
              </w:rPr>
              <w:t>LRCom</w:t>
            </w:r>
            <w:proofErr w:type="spellEnd"/>
            <w:r>
              <w:rPr>
                <w:rFonts w:ascii="Times New Roman" w:hAnsi="Times New Roman"/>
                <w:sz w:val="24"/>
              </w:rPr>
              <w:t>: skupno razkritje za količnik finančnega vzvoda).</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Zahteva za skupni količnik finančnega vzvoda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Vsota vrstic EU 14c in EU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Skupaj visokokakovostna likvidna sredstva (HQLA) (tehtana vrednost – povprečje)</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Institucije kot tehtano vrednost razkrijejo vrednost likvidnih sredstev v skladu s členom 9 Delegirane uredbe Komisije (EU) 2015/61</w:t>
            </w:r>
            <w:r>
              <w:rPr>
                <w:rStyle w:val="FootnoteReference"/>
                <w:rFonts w:cs="Times New Roman"/>
              </w:rPr>
              <w:footnoteReference w:id="4"/>
            </w:r>
            <w:r>
              <w:rPr>
                <w:rFonts w:ascii="Times New Roman" w:hAnsi="Times New Roman"/>
                <w:sz w:val="24"/>
              </w:rPr>
              <w:t xml:space="preserve"> pred uporabo mehanizma za prilagoditev iz člena 17(2) Delegirane uredbe (EU)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Denarni odlivi – skupna tehtana vrednost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Institucije razkrijejo vsoto tehtanih vrednosti denarnih odlivov, kot se razkrijejo v Prilogi XIII (vrstica 16 predloge EU LIQ1 – Kvantitativne informacije o LCR).</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Denarni prilivi – skupna tehtana vrednost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lastRenderedPageBreak/>
              <w:t>Institucije razkrijejo vsoto tehtanih vrednosti denarnih prilivov, kot se razkrijejo v Prilogi XIII (vrstica 20 predloge EU LIQ1 – Kvantitativne informacije o LCR).</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lastRenderedPageBreak/>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Neto denarni odlivi skupaj (prilagojena vrednost)</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kot prilagojeno vrednost razkrijejo neto likvidnostni odliv, ki je enak skupnim odlivom, od katerih se odštejejo zmanjšanje za v celoti izvzete prilive, zmanjšanje za prilive, za katere se uporablja 90-odstotna zgornja meja, in zmanjšanje za prilive, za katere se uporablja 75-odstotna zgornja meja.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Količnik likvidnostnega kritja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Institucije kot prilagojeno vrednost razkrijejo odstotek iz postavke „količnik likvidnostnega kritja (%)“, kot je določena v členu 4(1) Delegirane uredbe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Količnik likvidnostnega kritja je enak količniku likvidnostnega blažilnika kreditne institucije in njenih neto likvidnostnih odlivov v stresnem obdobju, ki traja 30 koledarskih dni, ter se izrazi kot odstotek.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Skupaj razpoložljivo stabilno financiranje</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razkrijejo znesek razpoložljivega stabilnega financiranja, izračunan v skladu s poglavjem 3 naslova IV dela 6 CRR, kot je razkrit v Prilogi XIII (vrstica 14 predloge EU LIQ2 – Količnik neto stabilnega financiranja).</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Skupaj potrebno stabilno financiranje</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Institucije razkrijejo znesek potrebnega stabilnega financiranja, izračunan v skladu s poglavjem 4 naslova IV dela 6 CRR, kot je razkrit v Prilogi XIII (vrstica 33 predloge EU LIQ2 – Količnik neto stabilnega financiranja).</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NSFR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Količnik neto stabilnega financiranja, izračunan v skladu s členom 428b CRR.</w:t>
            </w:r>
          </w:p>
        </w:tc>
      </w:tr>
    </w:tbl>
    <w:p w14:paraId="1917C482" w14:textId="77777777" w:rsidR="00251512" w:rsidRPr="0081737A"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Predloga EU INS1 – Udeležbe v zavarovalnicah. </w:t>
      </w:r>
      <w:r>
        <w:rPr>
          <w:rFonts w:ascii="Times New Roman" w:hAnsi="Times New Roman"/>
          <w:sz w:val="24"/>
        </w:rPr>
        <w:t>Fiksna oblika.</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Institucije</w:t>
      </w:r>
      <w:r>
        <w:rPr>
          <w:rFonts w:ascii="Times New Roman" w:hAnsi="Times New Roman"/>
          <w:color w:val="auto"/>
          <w:sz w:val="24"/>
        </w:rPr>
        <w:t xml:space="preserve"> uporabijo </w:t>
      </w:r>
      <w:r>
        <w:rPr>
          <w:rFonts w:ascii="Times New Roman" w:hAnsi="Times New Roman"/>
          <w:bCs w:val="0"/>
          <w:color w:val="000000"/>
          <w:sz w:val="24"/>
        </w:rPr>
        <w:t xml:space="preserve"> navodila iz te priloge za izpolnjevanje predloge EU INS1 iz Priloge I</w:t>
      </w:r>
      <w:r>
        <w:rPr>
          <w:rFonts w:ascii="Times New Roman" w:hAnsi="Times New Roman"/>
          <w:color w:val="auto"/>
          <w:sz w:val="24"/>
        </w:rPr>
        <w:t xml:space="preserve"> ob upoštevanju člena 438(f) </w:t>
      </w:r>
      <w:r>
        <w:rPr>
          <w:rFonts w:ascii="Times New Roman" w:hAnsi="Times New Roman"/>
          <w:bCs w:val="0"/>
          <w:color w:val="auto"/>
          <w:sz w:val="24"/>
        </w:rPr>
        <w:t>CRR</w:t>
      </w:r>
      <w:r>
        <w:rPr>
          <w:rFonts w:ascii="Times New Roman" w:hAnsi="Times New Roman"/>
          <w:color w:val="auto"/>
          <w:sz w:val="24"/>
        </w:rPr>
        <w:t>.</w:t>
      </w:r>
    </w:p>
    <w:p w14:paraId="5970EF08" w14:textId="77777777" w:rsidR="00295952" w:rsidRPr="0081737A"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Pravna podlaga in navodila</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Vrednost izpostavljenosti</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 xml:space="preserve">Vrednost izpostavljenosti za kapitalske instrumente v zavarovalnicah, pozavarovalnicah ali zavarovalnih holdingih, ki jih institucije pri izračunu svojih kapitalskih zahtev na posamični, </w:t>
            </w:r>
            <w:proofErr w:type="spellStart"/>
            <w:r>
              <w:rPr>
                <w:rFonts w:ascii="Times New Roman" w:hAnsi="Times New Roman"/>
                <w:sz w:val="24"/>
              </w:rPr>
              <w:t>subkonsolidirani</w:t>
            </w:r>
            <w:proofErr w:type="spellEnd"/>
            <w:r>
              <w:rPr>
                <w:rFonts w:ascii="Times New Roman" w:hAnsi="Times New Roman"/>
                <w:sz w:val="24"/>
              </w:rPr>
              <w:t xml:space="preserve"> in konsolidirani podlagi ne odbijejo od svojega kapitala v skladu s členom 49 CRR.</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lastRenderedPageBreak/>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Znesek izpostavljenosti tveganju</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 xml:space="preserve">Znesek izpostavljenosti tveganju za kapitalske instrumente v zavarovalnicah, pozavarovalnicah ali zavarovalnih holdingih, ki jih institucije pri izračunu svojih kapitalskih zahtev na posamični, </w:t>
            </w:r>
            <w:proofErr w:type="spellStart"/>
            <w:r>
              <w:rPr>
                <w:rFonts w:ascii="Times New Roman" w:hAnsi="Times New Roman"/>
                <w:sz w:val="24"/>
              </w:rPr>
              <w:t>subkonsolidirani</w:t>
            </w:r>
            <w:proofErr w:type="spellEnd"/>
            <w:r>
              <w:rPr>
                <w:rFonts w:ascii="Times New Roman" w:hAnsi="Times New Roman"/>
                <w:sz w:val="24"/>
              </w:rPr>
              <w:t xml:space="preserve"> in konsolidirani podlagi ne odbijejo od svojega kapitala v skladu s členom 49 CRR.</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Predloga EU INS2 – Finančni konglomerati – Informacije o kapitalu in količniku kapitalske ustreznosti. </w:t>
      </w:r>
      <w:r>
        <w:rPr>
          <w:rFonts w:ascii="Times New Roman" w:hAnsi="Times New Roman"/>
          <w:sz w:val="24"/>
        </w:rPr>
        <w:t>Fiksna oblika.</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Institucije</w:t>
      </w:r>
      <w:r>
        <w:rPr>
          <w:rFonts w:ascii="Times New Roman" w:hAnsi="Times New Roman"/>
          <w:color w:val="auto"/>
          <w:sz w:val="24"/>
        </w:rPr>
        <w:t xml:space="preserve"> uporabijo </w:t>
      </w:r>
      <w:r>
        <w:rPr>
          <w:rFonts w:ascii="Times New Roman" w:hAnsi="Times New Roman"/>
          <w:bCs w:val="0"/>
          <w:color w:val="000000"/>
          <w:sz w:val="24"/>
        </w:rPr>
        <w:t xml:space="preserve"> navodila iz te priloge za izpolnjevanje predloge EU INS2 iz Priloge I k tej izvedbeni uredbi</w:t>
      </w:r>
      <w:r>
        <w:rPr>
          <w:rFonts w:ascii="Times New Roman" w:hAnsi="Times New Roman"/>
          <w:color w:val="auto"/>
          <w:sz w:val="24"/>
        </w:rPr>
        <w:t xml:space="preserve"> ob upoštevanju člena 438(g) </w:t>
      </w:r>
      <w:r>
        <w:rPr>
          <w:rFonts w:ascii="Times New Roman" w:hAnsi="Times New Roman"/>
          <w:bCs w:val="0"/>
          <w:color w:val="auto"/>
          <w:sz w:val="24"/>
        </w:rPr>
        <w:t>CRR</w:t>
      </w:r>
      <w:r>
        <w:rPr>
          <w:rFonts w:ascii="Times New Roman" w:hAnsi="Times New Roman"/>
          <w:color w:val="auto"/>
          <w:sz w:val="24"/>
        </w:rPr>
        <w:t>.</w:t>
      </w:r>
    </w:p>
    <w:p w14:paraId="2C33B06C" w14:textId="77777777" w:rsidR="00295952" w:rsidRPr="0081737A"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Pravna podlaga in navodila</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Dopolnilne kapitalske zahteve finančnega konglomerata (znesek)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Znesek dopolnilnih kapitalskih zahtev finančnega konglomerata, izračunan v skladu s členom 6 Direktive 2002/87/ES Evropskega parlamenta in Sveta</w:t>
            </w:r>
            <w:r>
              <w:rPr>
                <w:rStyle w:val="FootnoteReference"/>
                <w:rFonts w:cs="Times New Roman"/>
              </w:rPr>
              <w:footnoteReference w:id="5"/>
            </w:r>
            <w:r>
              <w:rPr>
                <w:rFonts w:ascii="Times New Roman" w:hAnsi="Times New Roman"/>
                <w:sz w:val="24"/>
              </w:rPr>
              <w:t xml:space="preserve"> ter Prilogo I k navedeni direktivi, pri čemer se uporabi metoda 1 ali 2 iz Priloge 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Količnik kapitalske ustreznosti finančnega konglomerata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Količnik kapitalske ustreznosti finančnega konglomerata, izračunan v skladu s členom 6 Direktive 2002/87/ES ter Prilogo I k navedeni direktivi, pri čemer se uporabi metoda 1 ali 2 iz Priloge 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Razpredelnica EU OVC – Informacije o procesu ocenjevanja ustreznosti notranjega kapitala. </w:t>
      </w:r>
      <w:r>
        <w:rPr>
          <w:rFonts w:ascii="Times New Roman" w:hAnsi="Times New Roman"/>
          <w:sz w:val="24"/>
        </w:rPr>
        <w:t>Prilagodljiva oblika.</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Institucije uporabijo</w:t>
      </w:r>
      <w:r>
        <w:rPr>
          <w:rFonts w:ascii="Times New Roman" w:hAnsi="Times New Roman"/>
          <w:bCs w:val="0"/>
          <w:color w:val="000000"/>
          <w:sz w:val="24"/>
        </w:rPr>
        <w:t xml:space="preserve"> navodila iz te priloge za izpolnjevanje razpredelnice EU OVC iz Priloge I</w:t>
      </w:r>
      <w:r>
        <w:rPr>
          <w:rFonts w:ascii="Times New Roman" w:hAnsi="Times New Roman"/>
          <w:color w:val="auto"/>
          <w:sz w:val="24"/>
        </w:rPr>
        <w:t xml:space="preserve"> ob upoštevanju člena 438(a) in (c) </w:t>
      </w:r>
      <w:r>
        <w:rPr>
          <w:rFonts w:ascii="Times New Roman" w:hAnsi="Times New Roman"/>
          <w:bCs w:val="0"/>
          <w:color w:val="auto"/>
          <w:sz w:val="24"/>
        </w:rPr>
        <w:t>CRR</w:t>
      </w:r>
      <w:r>
        <w:rPr>
          <w:rFonts w:ascii="Times New Roman" w:hAnsi="Times New Roman"/>
          <w:color w:val="auto"/>
          <w:sz w:val="24"/>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Pravna podlaga in navodila</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Pristop za ocenjevanje ustreznosti notranjega kapitala</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Institucije razkrijejo povzetek svojega pristopa za ocenjevanje ustreznosti svojega notranjega kapitala za podporo tekočim in prihodnjim dejavnostim.</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lastRenderedPageBreak/>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Na zahtevo zadevnega pristojnega organa rezultat procesa ocenjevanja ustreznosti notranjega kapitala institucije.</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Institucije te informacije razkrijejo samo, če to zahteva zadevni pristojni organ.</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PRILOGA IV – Navodila za razkritje ciljev in politik upravljanja tveganj</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Razpredelnica EU OVA – Pristop k upravljanju tveganj institucije.</w:t>
      </w:r>
      <w:r>
        <w:rPr>
          <w:rFonts w:ascii="Times New Roman" w:hAnsi="Times New Roman"/>
          <w:sz w:val="24"/>
        </w:rPr>
        <w:t xml:space="preserve"> Polja, namenjena prosti vsebini, za razkritje kvalitativnih informacij.</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Institucije razkrijejo informacije iz člena 435(1) Uredbe (EU) št. 575/2013</w:t>
      </w:r>
      <w:r>
        <w:rPr>
          <w:rStyle w:val="FootnoteReference"/>
        </w:rPr>
        <w:footnoteReference w:id="6"/>
      </w:r>
      <w:r>
        <w:rPr>
          <w:rFonts w:ascii="Times New Roman" w:hAnsi="Times New Roman"/>
          <w:sz w:val="24"/>
        </w:rPr>
        <w:t xml:space="preserve"> (CRR) ob upoštevanju navodil iz te priloge za izpolnjevanje razpredelnice EU OVA iz Priloge III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Pravna podlaga in navodila</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Strnjena izjava o tveganjih, ki jo je odobril upravljalni organ, ob uporabi člena 435(1)(f) CRR opisuje, kako poslovni model določa splošni profil tveganosti in kako je povezan z njim: na primer, ključna tveganja, povezana s poslovnim modelom, in kako se vsako od teh tveganj odraža in je opisano v razkritjih o tveganjih ali kako je profil tveganosti povezan z ravnjo sprejemljivega tveganja, ki jo odobri upravljalni organ.</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V izjavi o tveganjih institucije ob uporabi člena 435(1)(f) CRR razkrijejo tudi naravo, obseg, namen in ekonomsko vsebino pomembnih poslov v skupini, pridruženih družbah in povezanih strankah. Razkritje je omejeno na posle, ki pomembno vplivajo na profil tveganosti institucije (vključno s tveganjem za ugled) ali porazdelitev tveganj v skupini. Institucije vključijo tudi ključne količnike in številke, ki kažejo, kako je profil tveganosti institucije povezan z ravnjo sprejemljivega tveganja, ki jo določi upravljalni organ.</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Informacije, ki se razkrijejo ob uporabi člena 435(1)(b) CRR, vključujejo strukturo upravljanja tveganj za vsako vrsto tveganja: pristojnosti, določene v instituciji (kjer je relevantno, vključno z nadzorom in prenašanjem pooblastil ter razčlenitvijo pristojnosti med upravljalnim organom, poslovnimi področji in funkcijo upravljanja tveganj glede na vrsto tveganja, poslovno enoto in druge relevantne informacije); razmerja med organi in funkcijami, vključenimi v procese upravljanja tveganj (vključno z upravljalnim organom, komisijo za tveganja, funkcijo upravljanja tveganj, funkcijo za zagotavljanje skladnosti, funkcijo notranje revizije, kakor je ustrezno); in organizacijske postopke ter postopke notranjih kontrol.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pri razkrivanju strukture in organizacije zadevne funkcije upravljanja tveganj razkritje dopolnijo z naslednjimi informacijami: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informacije o splošnem okviru za notranje kontrole in o tem, kako so organizirane njegove kontrolne funkcije (pooblastila, viri, statut, neodvisnost), kakšne so njihove glavne naloge ter o dejanskih ali načrtovanih pomembnih spremembah teh funkcij;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odobrene omejitve pri tveganjih, ki jim je izpostavljena institucija;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spremembe v zvezi z vodjami funkcij notranjih kontrol, upravljanja tveganja, zagotavljanja skladnosti in notranje revizije;</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načini za seznanjanje s kulturo tveganja v instituciji in njeno zavračanje ter uveljavljanje (na primer, ali obstajajo pravila ravnanja, priročniki, ki vsebujejo operativne omejitve, ali postopki za obravnavanje kršitev omejitev glede tveganj ali postopki za obravnavanje vprašanj v zvezi s tveganji in njihovo izmenjavanje med poslovnimi področji in funkcijami, odgovornimi za tveganja).</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Izjavo, ki jo institucije razkrijejo ob upoštevanju člena 435(1)(e) CRR, o ustreznosti ureditev upravljanja tveganj, mora odobriti upravljalni organ in mora zagotavljati, da so vzpostavljeni sistemi za upravljanje tveganj ustrezni glede na profil in strategijo institucije v zvezi s tveganji.</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v okviru razkritij, ki jih zahteva člen 435(1)(c) CRR, razkrijejo obseg in naravo razkrivanja tveganj in/ali sistemov merjenja tveganj ter opis toka informacij glede tveganj do upravljalnega organa ali višjega vodstva.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 okviru informacij o glavnih značilnostih razkrivanja tveganj in sistemov merjenja tveganj v skladu s členom 435(1)(c) CRR institucije razkrijejo svoje politike glede sistematičnih in rednih pregledov strategij upravljanja tveganj ter rednega ocenjevanja njihove učinkovitosti.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Razkritje v zvezi s strategijami in procesi za upravljanje tveganj v skladu s členom 435(1)(a) CRR mora vključevati kvalitativne informacije o stresnem testiranju, kot so portfelji, ki so predmet stresnega testiranja, sprejeti scenariji in uporabljene metodologije ter uporaba stresnega testiranja pri upravljanju tveganj.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glede tveganj, ki izhajajo iz njihovega poslovnega modela, zagotovijo informacije o strategijah in procesih za upravljanje tveganj, varovanje pred njimi in njihovo zmanjševanje ter o spremljanju učinkovitosti instrumentov za varovanje pred tveganji in instrumentov za zmanjševanje tveganj v skladu s členom 435(1)(a) in (d) CRR.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Razpredelnica EU OVB – Razkritje ureditev upravljanja. </w:t>
      </w:r>
      <w:r>
        <w:rPr>
          <w:rFonts w:ascii="Times New Roman" w:hAnsi="Times New Roman"/>
          <w:sz w:val="24"/>
        </w:rPr>
        <w:t>Polja, namenjena prosti vsebini, za razkritje kvalitativnih informacij.</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Institucije razkrijejo informacije iz člena 435(2) CRR ob upoštevanju navodil iz te priloge za izpolnjevanje razpredelnice EU OVB iz Priloge III k tej izvedbeni uredbi.</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Pravna podlaga in navodila</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razkrijejo število direktorskih mest, ki jih zasedajo člani upravljalnega organa, v skladu s členom 435(2)(a) CRR. Pri razkrivanju teh informacij velja naslednje:</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institucije, ki jih zajema člen 91(3) in (4) Direktive 2013/36/EU</w:t>
            </w:r>
            <w:r>
              <w:rPr>
                <w:rStyle w:val="FootnoteReference"/>
                <w:rFonts w:eastAsia="Times New Roman"/>
              </w:rPr>
              <w:footnoteReference w:id="7"/>
            </w:r>
            <w:r>
              <w:rPr>
                <w:rFonts w:ascii="Times New Roman" w:hAnsi="Times New Roman"/>
                <w:sz w:val="24"/>
                <w:szCs w:val="24"/>
              </w:rPr>
              <w:t xml:space="preserve"> (CRD), razkrijejo število direktorskih mest, kot je določeno v skladu s tem členom;</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institucije za vsakega člana upravljalnega organa razkrijejo število dejansko zasedenih direktorskih mest (ne glede na to, ali je institucija članica skupine, kvalificiran delež ali institucija znotraj iste institucionalne sheme za zaščito vlog, in ali je direktorsko mesto izvršno ali </w:t>
            </w:r>
            <w:proofErr w:type="spellStart"/>
            <w:r>
              <w:rPr>
                <w:rFonts w:ascii="Times New Roman" w:hAnsi="Times New Roman"/>
                <w:sz w:val="24"/>
                <w:szCs w:val="24"/>
              </w:rPr>
              <w:t>neizvršno</w:t>
            </w:r>
            <w:proofErr w:type="spellEnd"/>
            <w:r>
              <w:rPr>
                <w:rFonts w:ascii="Times New Roman" w:hAnsi="Times New Roman"/>
                <w:sz w:val="24"/>
                <w:szCs w:val="24"/>
              </w:rPr>
              <w:t>) ne glede na to, ali je direktorsko mesto v subjektu, katerega glavni cilj je ali ni predvsem komercialne narave;</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če je pristojni organ za člana upravljalnega organa odobril dodatno direktorsko mesto, vse institucije, v katerih ta član zaseda direktorsko mesto, to dejstvo razkrijejo skupaj z imenom pristojnega organa, ki je odobril to dodatno direktorsko mesto.</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pri razkrivanju informacij o politiki zaposlovanja za izbor članov upravljalnega organa v skladu s členom 435(2)(b) CRR vključijo informacije o dejanskem znanju, veščinah in izkušnjah članov. Institucije vključijo informacije o politiki, ki bi lahko bila rezultat načrtovanja nasledstev, in o predvidljivih spremembah splošne sestave upravljalnega organa.</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pri razkrivanju politike glede raznolikosti v skladu s členom 435(2)(c) CRR razkrijejo informacije o splošnih in relevantnih konkretnih ciljih te politike ter v kolikšni meri so bili doseženi.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zlasti razkrijejo politiko raznolikosti spolov, kar vključuje: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če je bil določen cilj za premalo zastopani spol in za politike glede raznolikosti z vidika starosti, izobrazbe, strokovnih izkušenj in geografskega porekla, določeni cilj in v kolikšni meri je cilj dosežen;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če cilj ni dosežen, institucije navedejo razloge za to in, kjer je relevantno, sprejete ukrepe za uresničitev cilja v določenem roku.</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v skladu s členom 435(2)(d) CRR razkrijejo, ali so ustanovile ločeno komisijo za tveganja ter kolikokrat se je komisija za tveganja sestala.</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v okviru podatkov o toku informacij glede tveganj do upravljalnega organa ob uporabi člena 435(2)(e) CRR opišejo postopek razkritja tveganj upravljalnemu organu, zlasti pogostost, obseg in glavno vsebino izpostavljenosti tveganjem ter navedbo, kako je upravljalni organ sodeloval pri določanju vsebine razkritja.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PRILOGA VI – Navodila za razkritje informacij o področju uporabe regulativnega okvira</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Predloga EU LI1 – Razlike med obsegom konsolidacije za računovodske namene in obsegom bonitetne konsolidacije ter vzporejanje kategorij iz računovodskih izkazov s kategorijami regulativnega tveganja.</w:t>
      </w:r>
      <w:r>
        <w:rPr>
          <w:rFonts w:ascii="Times New Roman" w:hAnsi="Times New Roman"/>
          <w:sz w:val="24"/>
        </w:rPr>
        <w:t xml:space="preserve"> Prilagodljiva oblika.</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Institucije razkrijejo informacije iz člena 436(c) Uredbe (EU) št. 575/2013</w:t>
      </w:r>
      <w:r>
        <w:rPr>
          <w:rStyle w:val="FootnoteReference"/>
        </w:rPr>
        <w:footnoteReference w:id="8"/>
      </w:r>
      <w:r>
        <w:rPr>
          <w:rFonts w:ascii="Times New Roman" w:hAnsi="Times New Roman"/>
          <w:sz w:val="24"/>
        </w:rPr>
        <w:t xml:space="preserve"> (CRR) ob upoštevanju navodil iz te priloge za izpolnjevanje predloge EU LI1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Pravna podlaga in navodila</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do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Sredstva skupaj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Struktura vrstic je enaka strukturi vrstic bilance stanja, ki je uporabljena v zadnjih razpoložljivih računovodskih poročilih institucije.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„Računovodska poročila“ se nanašajo na letne posamične ali konsolidirane računovodske izkaze, opredeljene v členih 4 in 24 Direktive 2013/34/EU</w:t>
            </w:r>
            <w:r>
              <w:rPr>
                <w:rStyle w:val="FootnoteReference"/>
                <w:rFonts w:eastAsia="Times New Roman" w:cs="Times New Roman"/>
              </w:rPr>
              <w:footnoteReference w:id="9"/>
            </w:r>
            <w:r>
              <w:rPr>
                <w:rFonts w:ascii="Times New Roman" w:hAnsi="Times New Roman"/>
                <w:sz w:val="24"/>
              </w:rPr>
              <w:t>, ter (po potrebi) na računovodske izkaze v smislu mednarodnih računovodskih standardov, kot so odobreni v EU v skladu z Uredbo (ES) št.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do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Obveznosti skupaj</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Struktura vrstic je enaka strukturi vrstic bilance stanja, ki je uporabljena v zadnjih razpoložljivih računovodskih poročilih institucije.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„Računovodska poročila“ se nanašajo na letne posamične ali konsolidirane računovodske izkaze, opredeljene v členih 4 in 24 Direktive 2013/34/EU, ter (po potrebi) na računovodske izkaze v smislu mednarodnih računovodskih standardov, kot so odobreni v EU v skladu z Uredbo (ES) št.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Pravna podlaga in navodila</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Stolpec</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Knjigovodske vrednosti, kot so navedene v objavljenih računovodskih izkazih</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lastRenderedPageBreak/>
              <w:t>Znesek, ki je naveden na strani sredstev in strani obveznosti v bilanci stanja ter je določen v skladu z zahtevami glede konsolidacije, določenimi v veljavnem računovodskem okviru, vključno z okviri na podlagi Direktive 2013/34/EU, Direktive 86/635/EGS</w:t>
            </w:r>
            <w:r>
              <w:rPr>
                <w:rStyle w:val="FootnoteReference"/>
                <w:rFonts w:eastAsia="Times New Roman" w:cs="Times New Roman"/>
              </w:rPr>
              <w:footnoteReference w:id="11"/>
            </w:r>
            <w:r>
              <w:rPr>
                <w:rFonts w:ascii="Times New Roman" w:hAnsi="Times New Roman"/>
                <w:sz w:val="24"/>
              </w:rPr>
              <w:t xml:space="preserve"> ali mednarodnih računovodskih standardov, kot so odobreni v EU.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Knjigovodske vrednosti v okviru obsega bonitetne konsolidacije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Znesek, ki je naveden na strani sredstev in strani obveznosti v bilanci stanja ter je določen na podlagi zahtev glede konsolidacije za regulativne namene iz oddelkov 2 in 3 naslova II dela 1 CRR.</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Če sta obseg konsolidacije za računovodske namene in obseg bonitetne konsolidacije povsem enaka, se stolpca (a) in (b) te predloge združita.</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Knjigovodske vrednosti postavk, za katere velja okvir kreditnega tveganja</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Knjigovodske vrednosti v okviru obsega bonitetne konsolidacije postavk (razen </w:t>
            </w:r>
            <w:proofErr w:type="spellStart"/>
            <w:r>
              <w:rPr>
                <w:rFonts w:ascii="Times New Roman" w:hAnsi="Times New Roman"/>
                <w:sz w:val="24"/>
              </w:rPr>
              <w:t>zunajbilančnih</w:t>
            </w:r>
            <w:proofErr w:type="spellEnd"/>
            <w:r>
              <w:rPr>
                <w:rFonts w:ascii="Times New Roman" w:hAnsi="Times New Roman"/>
                <w:sz w:val="24"/>
              </w:rPr>
              <w:t xml:space="preserve"> postavk), za katere se uporabljata poglavji 2 in 3 naslova II dela 3 CRR.</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Knjigovodske vrednosti postavk, za katere velja okvir kreditnega tveganja nasprotne stranke</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 xml:space="preserve">Knjigovodske vrednosti v okviru obsega bonitetne konsolidacije postavk (razen </w:t>
            </w:r>
            <w:proofErr w:type="spellStart"/>
            <w:r>
              <w:rPr>
                <w:rFonts w:ascii="Times New Roman" w:hAnsi="Times New Roman"/>
                <w:sz w:val="24"/>
              </w:rPr>
              <w:t>zunajbilančnih</w:t>
            </w:r>
            <w:proofErr w:type="spellEnd"/>
            <w:r>
              <w:rPr>
                <w:rFonts w:ascii="Times New Roman" w:hAnsi="Times New Roman"/>
                <w:sz w:val="24"/>
              </w:rPr>
              <w:t xml:space="preserve"> postavk), za katere se uporablja poglavje 6 naslova II dela 3 CRR.</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Knjigovodske vrednosti postavk, za katere velja okvir </w:t>
            </w:r>
            <w:proofErr w:type="spellStart"/>
            <w:r>
              <w:rPr>
                <w:rFonts w:ascii="Times New Roman" w:hAnsi="Times New Roman"/>
                <w:b/>
                <w:sz w:val="24"/>
              </w:rPr>
              <w:t>listinjenja</w:t>
            </w:r>
            <w:proofErr w:type="spellEnd"/>
            <w:r>
              <w:rPr>
                <w:rFonts w:ascii="Times New Roman" w:hAnsi="Times New Roman"/>
                <w:b/>
                <w:sz w:val="24"/>
              </w:rPr>
              <w:t xml:space="preserve">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Knjigovodske vrednosti v okviru obsega bonitetne konsolidacije postavk (razen </w:t>
            </w:r>
            <w:proofErr w:type="spellStart"/>
            <w:r>
              <w:rPr>
                <w:rFonts w:ascii="Times New Roman" w:hAnsi="Times New Roman"/>
                <w:sz w:val="24"/>
              </w:rPr>
              <w:t>zunajbilančnih</w:t>
            </w:r>
            <w:proofErr w:type="spellEnd"/>
            <w:r>
              <w:rPr>
                <w:rFonts w:ascii="Times New Roman" w:hAnsi="Times New Roman"/>
                <w:sz w:val="24"/>
              </w:rPr>
              <w:t xml:space="preserve"> postavk) iz </w:t>
            </w:r>
            <w:proofErr w:type="spellStart"/>
            <w:r>
              <w:rPr>
                <w:rFonts w:ascii="Times New Roman" w:hAnsi="Times New Roman"/>
                <w:sz w:val="24"/>
              </w:rPr>
              <w:t>netrgovalne</w:t>
            </w:r>
            <w:proofErr w:type="spellEnd"/>
            <w:r>
              <w:rPr>
                <w:rFonts w:ascii="Times New Roman" w:hAnsi="Times New Roman"/>
                <w:sz w:val="24"/>
              </w:rPr>
              <w:t xml:space="preserve"> knjige, za katere se uporablja poglavje 5 naslova II dela 3 CRR.</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Knjigovodske vrednosti postavk, za katere velja okvir tržnega tveganja</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 xml:space="preserve">Knjigovodske vrednosti v okviru obsega bonitetne konsolidacije postavk (razen </w:t>
            </w:r>
            <w:proofErr w:type="spellStart"/>
            <w:r>
              <w:rPr>
                <w:rFonts w:ascii="Times New Roman" w:hAnsi="Times New Roman"/>
                <w:sz w:val="24"/>
              </w:rPr>
              <w:t>zunajbilančnih</w:t>
            </w:r>
            <w:proofErr w:type="spellEnd"/>
            <w:r>
              <w:rPr>
                <w:rFonts w:ascii="Times New Roman" w:hAnsi="Times New Roman"/>
                <w:sz w:val="24"/>
              </w:rPr>
              <w:t xml:space="preserve"> postavk), za katere se uporablja naslov IV dela 3 CRR. V ta stolpec se vključijo postavke, ki ustrezajo pozicijam v </w:t>
            </w:r>
            <w:proofErr w:type="spellStart"/>
            <w:r>
              <w:rPr>
                <w:rFonts w:ascii="Times New Roman" w:hAnsi="Times New Roman"/>
                <w:sz w:val="24"/>
              </w:rPr>
              <w:t>listinjenju</w:t>
            </w:r>
            <w:proofErr w:type="spellEnd"/>
            <w:r>
              <w:rPr>
                <w:rFonts w:ascii="Times New Roman" w:hAnsi="Times New Roman"/>
                <w:sz w:val="24"/>
              </w:rPr>
              <w:t xml:space="preserve"> v trgovalni knjigi in za katere se uporabljajo zahteve iz naslova IV dela 3 CRR.</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Knjigovodske vrednosti postavk, za katere ne veljajo kapitalske zahteve ali ki se odbijejo od kapitala</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Knjigovodske vrednosti v okviru obsega bonitetne konsolidacije postavk (razen </w:t>
            </w:r>
            <w:proofErr w:type="spellStart"/>
            <w:r>
              <w:rPr>
                <w:rFonts w:ascii="Times New Roman" w:hAnsi="Times New Roman"/>
                <w:sz w:val="24"/>
              </w:rPr>
              <w:t>zunajbilančnih</w:t>
            </w:r>
            <w:proofErr w:type="spellEnd"/>
            <w:r>
              <w:rPr>
                <w:rFonts w:ascii="Times New Roman" w:hAnsi="Times New Roman"/>
                <w:sz w:val="24"/>
              </w:rPr>
              <w:t xml:space="preserve"> postavk), za katere se ne uporabljajo kapitalske zahteve v skladu s CRR; knjigovodske vrednosti v okviru obsega bonitetne konsolidacije postavk (razen </w:t>
            </w:r>
            <w:proofErr w:type="spellStart"/>
            <w:r>
              <w:rPr>
                <w:rFonts w:ascii="Times New Roman" w:hAnsi="Times New Roman"/>
                <w:sz w:val="24"/>
              </w:rPr>
              <w:t>zunajbilančnih</w:t>
            </w:r>
            <w:proofErr w:type="spellEnd"/>
            <w:r>
              <w:rPr>
                <w:rFonts w:ascii="Times New Roman" w:hAnsi="Times New Roman"/>
                <w:sz w:val="24"/>
              </w:rPr>
              <w:t xml:space="preserve"> postavk), ki se odbijejo od kapitala v skladu z delom 2 CRR.</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lastRenderedPageBreak/>
              <w:t xml:space="preserve">Odbite postavke lahko na primer vključujejo postavke iz členov 37, 38, 39 in 41 CRR.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Zneski za sredstva so zneski, ki so dejansko odbiti od kapitala, ob upoštevanju morebitnega pobota z obveznostmi, ki ga omogoča odbitek (in morebitnega praga za odbitek), ki se uporabi v skladu z ustreznimi členi dela 2 CRR.</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Kadar se postavkam iz člena 36(1)(k) in člena 48 CRR, namesto da se odbijejo, dodeli utež tveganja 1 250 %, se ne razkrijejo v stolpcu (g) te predloge, temveč v drugih ustreznih stolpcih predloge EU LI1. To velja tudi za katere koli druge postavke, ki jim je dodeljena utež tveganja 1 250 % v skladu z zahtevami iz CRR.</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Zneski za obveznosti so zneski obveznosti, ki se morajo upoštevati pri določitvi zneska sredstev, ki se odbije od kapitala v skladu z ustreznimi členi dela 2 CRR. Poleg tega se v tem stolpcu razkrijejo vse obveznosti razen tistih, ki so (i) relevantne za uporabo zahtev iz poglavja 4 naslova II dela 3 uredbe CRR ali (ii) relevantne za uporabo zahtev iz poglavja 6 naslova II dela 3 CRR in naslova IV dela 3 CRR.</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vsi</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Kadar za posamezno postavko veljajo kapitalske zahteve v skladu z več kot enim okvirom tveganja, se vrednosti razkrijejo v vseh stolpcih, ki ustrezajo kapitalskim zahtevam, ki veljajo zanjo. Zato je lahko vsota zneskov v stolpcih (c) do (g) te predloge večja od zneska v stolpcu (b) te predloge. Institucije zagotovijo kvalitativna pojasnila o sredstvih in obveznostih, za katere veljajo kapitalske zahteve za več kot en okvir tveganja iz dela 3 CRR.</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Predloga EU LI2 – Glavni viri razlik med regulativnimi zneski izpostavljenosti in knjigovodskimi vrednostmi v računovodskih izkazih. </w:t>
      </w:r>
      <w:r>
        <w:rPr>
          <w:rFonts w:ascii="Times New Roman" w:hAnsi="Times New Roman"/>
          <w:sz w:val="24"/>
        </w:rPr>
        <w:t>Fiksna oblika.</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Institucije razkrijejo informacije iz člena 436(d) CRR ob upoštevanju navodil iz te priloge za izpolnjevanje predloge EU LI2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podlaga in navodila</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Knjigovodska vrednost sredstev v okviru obsega bonitetne konsolidacije</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Zneski v stolpcih (b) do (e) te predloge so enaki zneskom v stolpcih (c) do (f) predloge EU 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Knjigovodska vrednost obveznosti v okviru obsega bonitetne konsolidacije</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Zneski v stolpcih (b) do (e) te predloge so enaki zneskom v stolpcih (c) do (f) predloge EU 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Skupni neto znesek v okviru obsega bonitetne konsolidacije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Znesek po bilančnem pobotu med sredstvi in obveznostmi v okviru obsega bonitetne konsolidacije ne glede na upravičenost teh sredstev in obveznosti do </w:t>
            </w:r>
            <w:r>
              <w:rPr>
                <w:rFonts w:ascii="Times New Roman" w:hAnsi="Times New Roman"/>
                <w:sz w:val="24"/>
              </w:rPr>
              <w:lastRenderedPageBreak/>
              <w:t>uporabe posebnih pravil o pobotu v skladu s poglavjema 4 in 5 naslova II dela 3 CRR ter naslovom IV dela 3 CRR.</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Znesek v tej vrstici je enak vrednosti v vrstici 1, zmanjšani za vrednost v vrstici 2 te predloge.</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proofErr w:type="spellStart"/>
            <w:r>
              <w:rPr>
                <w:rFonts w:ascii="Times New Roman" w:hAnsi="Times New Roman"/>
                <w:b/>
                <w:sz w:val="24"/>
              </w:rPr>
              <w:t>Zunajbilančni</w:t>
            </w:r>
            <w:proofErr w:type="spellEnd"/>
            <w:r>
              <w:rPr>
                <w:rFonts w:ascii="Times New Roman" w:hAnsi="Times New Roman"/>
                <w:b/>
                <w:sz w:val="24"/>
              </w:rPr>
              <w:t xml:space="preserve"> zneski</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V stolpce (a) do (d) te predloge se vključijo </w:t>
            </w:r>
            <w:proofErr w:type="spellStart"/>
            <w:r>
              <w:rPr>
                <w:rFonts w:ascii="Times New Roman" w:hAnsi="Times New Roman"/>
                <w:sz w:val="24"/>
              </w:rPr>
              <w:t>zunajbilančne</w:t>
            </w:r>
            <w:proofErr w:type="spellEnd"/>
            <w:r>
              <w:rPr>
                <w:rFonts w:ascii="Times New Roman" w:hAnsi="Times New Roman"/>
                <w:sz w:val="24"/>
              </w:rPr>
              <w:t xml:space="preserve"> originalne izpostavljenosti (pred uporabo </w:t>
            </w:r>
            <w:proofErr w:type="spellStart"/>
            <w:r>
              <w:rPr>
                <w:rFonts w:ascii="Times New Roman" w:hAnsi="Times New Roman"/>
                <w:sz w:val="24"/>
              </w:rPr>
              <w:t>konverzijskega</w:t>
            </w:r>
            <w:proofErr w:type="spellEnd"/>
            <w:r>
              <w:rPr>
                <w:rFonts w:ascii="Times New Roman" w:hAnsi="Times New Roman"/>
                <w:sz w:val="24"/>
              </w:rPr>
              <w:t xml:space="preserve"> faktorja, kjer je relevantno) iz ustaljenega </w:t>
            </w:r>
            <w:proofErr w:type="spellStart"/>
            <w:r>
              <w:rPr>
                <w:rFonts w:ascii="Times New Roman" w:hAnsi="Times New Roman"/>
                <w:sz w:val="24"/>
              </w:rPr>
              <w:t>zunajbilančnega</w:t>
            </w:r>
            <w:proofErr w:type="spellEnd"/>
            <w:r>
              <w:rPr>
                <w:rFonts w:ascii="Times New Roman" w:hAnsi="Times New Roman"/>
                <w:sz w:val="24"/>
              </w:rPr>
              <w:t xml:space="preserve"> izkaza ob upoštevanju obsega bonitetne konsolidacije.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Razlike v vrednotenjih</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Učinek knjigovodske vrednosti prilagoditev vrednosti v skladu s členom 34 v poglavju 2 naslova I dela 2 in členom 105 poglavja 3 naslova I dela 3 CRR na izpostavljenosti v trgovalni in </w:t>
            </w:r>
            <w:proofErr w:type="spellStart"/>
            <w:r>
              <w:rPr>
                <w:rFonts w:ascii="Times New Roman" w:hAnsi="Times New Roman"/>
                <w:sz w:val="24"/>
              </w:rPr>
              <w:t>netrgovalni</w:t>
            </w:r>
            <w:proofErr w:type="spellEnd"/>
            <w:r>
              <w:rPr>
                <w:rFonts w:ascii="Times New Roman" w:hAnsi="Times New Roman"/>
                <w:sz w:val="24"/>
              </w:rPr>
              <w:t xml:space="preserve"> knjigi, merjene po pošteni vrednosti v skladu z veljavnim računovodskim okvirom.</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Ta znesek je skladen z zneskom v vrstici 7 predloge EU CC1 in z zneskom v vrstici 12 stolpca (f) predloge EU 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Razlike zaradi različnih pravil o pobotu razen tistih, že vključenih v vrstici 2 te predloge</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Ta postavka se nanaša na neto zneske bilančnih in </w:t>
            </w:r>
            <w:proofErr w:type="spellStart"/>
            <w:r>
              <w:rPr>
                <w:rFonts w:ascii="Times New Roman" w:hAnsi="Times New Roman"/>
                <w:sz w:val="24"/>
              </w:rPr>
              <w:t>zunajbilančnih</w:t>
            </w:r>
            <w:proofErr w:type="spellEnd"/>
            <w:r>
              <w:rPr>
                <w:rFonts w:ascii="Times New Roman" w:hAnsi="Times New Roman"/>
                <w:sz w:val="24"/>
              </w:rPr>
              <w:t xml:space="preserve"> izpostavljenosti po uporabi posebnih pravil o pobotu iz poglavij 4 in 5 naslova II dela 3 CRR in iz naslova IV dela 3 CRR. Učinek uporabe pravil o pobotu je lahko negativen (če je treba pobotati več izpostavljenosti kot pri bilančnem pobotu v vrstici 2 te predloge) ali pozitiven (če je zaradi uporabe pravil o pobotu iz CRR znesek, ki se pobota, nižji kot pri bilančnem pobotu v vrstici 2 te predloge).</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Razlike zaradi upoštevanja rezervacij</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Ponovna vključitev posebnih in splošnih popravkov zaradi kreditnega tveganja (kot so opredeljeni v Delegirani uredbi Komisije (EU) št. 183/2014</w:t>
            </w:r>
            <w:r>
              <w:rPr>
                <w:rStyle w:val="FootnoteReference"/>
                <w:rFonts w:eastAsia="Times New Roman" w:cs="Times New Roman"/>
              </w:rPr>
              <w:footnoteReference w:id="12"/>
            </w:r>
            <w:r>
              <w:rPr>
                <w:rFonts w:ascii="Times New Roman" w:hAnsi="Times New Roman"/>
                <w:sz w:val="24"/>
              </w:rPr>
              <w:t xml:space="preserve">), ki so bili v skladu z veljavnim računovodskih okvirom za namen določitve uteži tveganja odbiti od knjigovodske vrednosti izpostavljenosti v skladu s poglavjem 3 naslova II dela 3 CRR, v vrednost izpostavljenosti. V zvezi z izpostavljenostmi, ki jim je dodeljena utež tveganja v skladu s poglavjem 2 naslova II dela 3 CRR, se, kadar je bila knjigovodska vrednost v računovodskih izkazih v okviru obsega bonitetne konsolidacije zmanjšana za elemente, ki štejejo za splošne popravke zaradi kreditnega tveganja na podlagi zgoraj navedene delegirane uredbe, ti elementi ponovno vključijo v vrednost izpostavljenosti.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Razlike zaradi uporabe tehnik za zmanjševanje kreditnega tveganja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lastRenderedPageBreak/>
              <w:t xml:space="preserve">Učinek uporabe tehnik za zmanjševanje kreditnega tveganja, kot so opredeljene v CRR, na vrednost izpostavljenosti v okviru obsega bonitetne konsolidacije.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Razlike zaradi kreditnih </w:t>
            </w:r>
            <w:proofErr w:type="spellStart"/>
            <w:r>
              <w:rPr>
                <w:rFonts w:ascii="Times New Roman" w:hAnsi="Times New Roman"/>
                <w:b/>
                <w:i/>
                <w:sz w:val="24"/>
              </w:rPr>
              <w:t>konverzijskih</w:t>
            </w:r>
            <w:proofErr w:type="spellEnd"/>
            <w:r>
              <w:rPr>
                <w:rFonts w:ascii="Times New Roman" w:hAnsi="Times New Roman"/>
                <w:b/>
                <w:i/>
                <w:sz w:val="24"/>
              </w:rPr>
              <w:t xml:space="preserve"> faktorjev</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Učinek uporabe relevantnih kreditnih </w:t>
            </w:r>
            <w:proofErr w:type="spellStart"/>
            <w:r>
              <w:rPr>
                <w:rFonts w:ascii="Times New Roman" w:hAnsi="Times New Roman"/>
                <w:sz w:val="24"/>
              </w:rPr>
              <w:t>konverzijskih</w:t>
            </w:r>
            <w:proofErr w:type="spellEnd"/>
            <w:r>
              <w:rPr>
                <w:rFonts w:ascii="Times New Roman" w:hAnsi="Times New Roman"/>
                <w:sz w:val="24"/>
              </w:rPr>
              <w:t xml:space="preserve"> faktorjev v skladu s CRR na vrednost izpostavljenosti pri </w:t>
            </w:r>
            <w:proofErr w:type="spellStart"/>
            <w:r>
              <w:rPr>
                <w:rFonts w:ascii="Times New Roman" w:hAnsi="Times New Roman"/>
                <w:sz w:val="24"/>
              </w:rPr>
              <w:t>zunajbilančnih</w:t>
            </w:r>
            <w:proofErr w:type="spellEnd"/>
            <w:r>
              <w:rPr>
                <w:rFonts w:ascii="Times New Roman" w:hAnsi="Times New Roman"/>
                <w:sz w:val="24"/>
              </w:rPr>
              <w:t xml:space="preserve"> izpostavljenostih v okviru obsega bonitetne konsolidacije.</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proofErr w:type="spellStart"/>
            <w:r>
              <w:rPr>
                <w:rFonts w:ascii="Times New Roman" w:hAnsi="Times New Roman"/>
                <w:sz w:val="24"/>
              </w:rPr>
              <w:t>Konverzijski</w:t>
            </w:r>
            <w:proofErr w:type="spellEnd"/>
            <w:r>
              <w:rPr>
                <w:rFonts w:ascii="Times New Roman" w:hAnsi="Times New Roman"/>
                <w:sz w:val="24"/>
              </w:rPr>
              <w:t xml:space="preserve"> faktor za </w:t>
            </w:r>
            <w:proofErr w:type="spellStart"/>
            <w:r>
              <w:rPr>
                <w:rFonts w:ascii="Times New Roman" w:hAnsi="Times New Roman"/>
                <w:sz w:val="24"/>
              </w:rPr>
              <w:t>zunajbilančne</w:t>
            </w:r>
            <w:proofErr w:type="spellEnd"/>
            <w:r>
              <w:rPr>
                <w:rFonts w:ascii="Times New Roman" w:hAnsi="Times New Roman"/>
                <w:sz w:val="24"/>
              </w:rPr>
              <w:t xml:space="preserve"> postavke, ki se jim dodeli utež tveganja z uporabo naslova II dela 3 CRR, se določi v skladu s členi 111, 166, 167 in 182 (kar zadeva kreditno tveganje) ter členom 246 (kar zadeva tveganje </w:t>
            </w:r>
            <w:proofErr w:type="spellStart"/>
            <w:r>
              <w:rPr>
                <w:rFonts w:ascii="Times New Roman" w:hAnsi="Times New Roman"/>
                <w:sz w:val="24"/>
              </w:rPr>
              <w:t>listinjenja</w:t>
            </w:r>
            <w:proofErr w:type="spellEnd"/>
            <w:r>
              <w:rPr>
                <w:rFonts w:ascii="Times New Roman" w:hAnsi="Times New Roman"/>
                <w:sz w:val="24"/>
              </w:rPr>
              <w:t>).</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 xml:space="preserve">Razlike zaradi </w:t>
            </w:r>
            <w:proofErr w:type="spellStart"/>
            <w:r>
              <w:rPr>
                <w:rFonts w:ascii="Times New Roman" w:hAnsi="Times New Roman"/>
                <w:b/>
                <w:i/>
                <w:sz w:val="24"/>
              </w:rPr>
              <w:t>listinjenja</w:t>
            </w:r>
            <w:proofErr w:type="spellEnd"/>
            <w:r>
              <w:rPr>
                <w:rFonts w:ascii="Times New Roman" w:hAnsi="Times New Roman"/>
                <w:b/>
                <w:i/>
                <w:sz w:val="24"/>
              </w:rPr>
              <w:t xml:space="preserve"> s prenosom tveganja</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Učinek uporabe </w:t>
            </w:r>
            <w:proofErr w:type="spellStart"/>
            <w:r>
              <w:rPr>
                <w:rFonts w:ascii="Times New Roman" w:hAnsi="Times New Roman"/>
                <w:sz w:val="24"/>
              </w:rPr>
              <w:t>listinjenih</w:t>
            </w:r>
            <w:proofErr w:type="spellEnd"/>
            <w:r>
              <w:rPr>
                <w:rFonts w:ascii="Times New Roman" w:hAnsi="Times New Roman"/>
                <w:sz w:val="24"/>
              </w:rPr>
              <w:t xml:space="preserve"> izpostavljenosti za prenos kreditnega tveganja na tretje osebe v skladu s CRR na vrednost izpostavljenosti pri </w:t>
            </w:r>
            <w:proofErr w:type="spellStart"/>
            <w:r>
              <w:rPr>
                <w:rFonts w:ascii="Times New Roman" w:hAnsi="Times New Roman"/>
                <w:sz w:val="24"/>
              </w:rPr>
              <w:t>listinjenih</w:t>
            </w:r>
            <w:proofErr w:type="spellEnd"/>
            <w:r>
              <w:rPr>
                <w:rFonts w:ascii="Times New Roman" w:hAnsi="Times New Roman"/>
                <w:sz w:val="24"/>
              </w:rPr>
              <w:t xml:space="preserve"> izpostavljenostih.</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Druge razlike </w:t>
            </w:r>
            <w:r>
              <w:rPr>
                <w:rFonts w:ascii="Times New Roman" w:hAnsi="Times New Roman"/>
                <w:i/>
                <w:sz w:val="24"/>
              </w:rPr>
              <w:t>(če je relevantno)</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Drugi pomembnejši povzročitelji razlik med knjigovodskimi vrednostmi v računovodskih izkazih v okviru konsolidacije za regulativne namene in zneski izpostavljenosti, ki se upoštevajo za regulativne namene.</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Institucije dopolnijo kvantitativna razkritja v tej vrstici s kvalitativnimi pojasnili v zvezi z glavnimi povzročitelji teh razlik v razpredelnici EU 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Zneski izpostavljenosti, upoštevani za regulativne namene</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Skupni znesek, ki velja za izhodišče za izračun RWEA po uporabi tehnik za zmanjševanje kreditnega tveganja (CRM) razen pobota iz poglavja 4 naslova II dela 3 CRR in po uporabi zahtev glede pobota iz poglavij 4 in 5 naslova II dela 3 CRR in iz naslova IV dela 3 CRR za vsako od kategorij tveganja.</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Če se uporabi standardizirani pristop, je to vrednost po upoštevanju posebnih popravkov zaradi kreditnega tveganja, dodatnih prilagoditev vrednosti v skladu s členoma 34 in 110 CRR in drugih zmanjšanj kapitala v zvezi z zadevno aktivno postavko. Za </w:t>
            </w:r>
            <w:proofErr w:type="spellStart"/>
            <w:r>
              <w:rPr>
                <w:rFonts w:ascii="Times New Roman" w:hAnsi="Times New Roman"/>
                <w:sz w:val="24"/>
              </w:rPr>
              <w:t>zunajbilančne</w:t>
            </w:r>
            <w:proofErr w:type="spellEnd"/>
            <w:r>
              <w:rPr>
                <w:rFonts w:ascii="Times New Roman" w:hAnsi="Times New Roman"/>
                <w:sz w:val="24"/>
              </w:rPr>
              <w:t xml:space="preserve"> postavke iz Priloge I k tej izvedbeni uredbi je vrednost izpostavljenosti nominalna vrednost po odštetju posebnih popravkov zaradi kreditnega tveganja, pomnožena z zadevnim odstotkom iz točk (a) in (d) člena 111(1) CRR.</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Za pristop IRB je razkrita vrednost enaka vrednosti izpostavljenosti v smislu členov 166, 167 in 168 CRR.</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Zato se knjigovodske vrednosti, kot se poročajo v računovodskih izkazih v okviru obsega bonitetne konsolidacije, razkrijejo v ustreznih vrsticah 1 do 3 te predloge, </w:t>
            </w:r>
            <w:proofErr w:type="spellStart"/>
            <w:r>
              <w:rPr>
                <w:rFonts w:ascii="Times New Roman" w:hAnsi="Times New Roman"/>
                <w:sz w:val="24"/>
              </w:rPr>
              <w:t>zunajbilančne</w:t>
            </w:r>
            <w:proofErr w:type="spellEnd"/>
            <w:r>
              <w:rPr>
                <w:rFonts w:ascii="Times New Roman" w:hAnsi="Times New Roman"/>
                <w:sz w:val="24"/>
              </w:rPr>
              <w:t xml:space="preserve"> originalne izpostavljenosti pa se razkrijejo v vrstici 4 te predloge. Vsako posebno regulativno prištetje ali odštetje v zvezi s temi zneski se vključi v vrstice 5 do 11 te predloge, da se pojasni, kako se ti zneski </w:t>
            </w:r>
            <w:r>
              <w:rPr>
                <w:rFonts w:ascii="Times New Roman" w:hAnsi="Times New Roman"/>
                <w:sz w:val="24"/>
              </w:rPr>
              <w:lastRenderedPageBreak/>
              <w:t>uskladijo z zneskom izpostavljenosti, ki se za regulativne namene obravnava kot izhodišče za izračun RWEA v skladu z vsakim od okvirov iz stolpcev (b) do (e) te predloge. To pomeni, da se bodo zlasti za kreditno tveganje zneski izpostavljenosti, upoštevani za regulativne namene, ki se razkrijejo v vrstici 12 te predloge, razlikovali od knjigovodskih vrednosti, ki se poročajo v računovodskih izkazih v okviru obsega bonitetne konsolidacije, zaradi posebne regulativne obravnave računovodskih rezervacij za izračun RWEA.</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Pravna podlaga in navodila</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Stolpec</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Pojasnilo</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Skupaj</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Skupni znesek za stolpec (a) predloge EU LI2 = zneski v stolpcu (b) predloge EU LI1 – zneski v stolpcu (g) predloge EU 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Razčlenitev glede na kategorije regulativnega tveganja v stolpcih (b) do (e) ustreza razčlenitvi v delu 3 CRR.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Okvir kreditnega tveganja</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Izpostavljenosti iz naslova II dela 3 CRR.</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Izpostavljenosti v okviru kreditnega tveganja ustrezajo bodisi znesku izpostavljenosti, ki se uporablja v standardiziranem pristopu za kreditno tveganje (glej člen 111 v poglavju 2 naslova II dela 3 CRR), bodisi neplačanim izpostavljenostim v pristopu IRB za kreditno tveganje (glej člene 166, 167 in 168 v poglavju 3 naslova II dela 3 CRR).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Okvir </w:t>
            </w:r>
            <w:proofErr w:type="spellStart"/>
            <w:r>
              <w:rPr>
                <w:rFonts w:ascii="Times New Roman" w:hAnsi="Times New Roman"/>
                <w:b/>
                <w:sz w:val="24"/>
              </w:rPr>
              <w:t>listinjenja</w:t>
            </w:r>
            <w:proofErr w:type="spellEnd"/>
            <w:r>
              <w:rPr>
                <w:rFonts w:ascii="Times New Roman" w:hAnsi="Times New Roman"/>
                <w:b/>
                <w:sz w:val="24"/>
              </w:rPr>
              <w:t xml:space="preserve">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 xml:space="preserve">Izpostavljenosti iz </w:t>
            </w:r>
            <w:proofErr w:type="spellStart"/>
            <w:r>
              <w:rPr>
                <w:rFonts w:ascii="Times New Roman" w:hAnsi="Times New Roman"/>
                <w:sz w:val="24"/>
              </w:rPr>
              <w:t>netrgovalne</w:t>
            </w:r>
            <w:proofErr w:type="spellEnd"/>
            <w:r>
              <w:rPr>
                <w:rFonts w:ascii="Times New Roman" w:hAnsi="Times New Roman"/>
                <w:sz w:val="24"/>
              </w:rPr>
              <w:t xml:space="preserve"> knjige iz poglavja 5 naslova II dela 3 CRR.</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 xml:space="preserve">Izpostavljenosti v </w:t>
            </w:r>
            <w:proofErr w:type="spellStart"/>
            <w:r>
              <w:rPr>
                <w:rFonts w:ascii="Times New Roman" w:hAnsi="Times New Roman"/>
                <w:sz w:val="24"/>
              </w:rPr>
              <w:t>listinjenju</w:t>
            </w:r>
            <w:proofErr w:type="spellEnd"/>
            <w:r>
              <w:rPr>
                <w:rFonts w:ascii="Times New Roman" w:hAnsi="Times New Roman"/>
                <w:sz w:val="24"/>
              </w:rPr>
              <w:t xml:space="preserve"> se določijo v skladu s členom 246 v poglavju 5 naslova II dela 3 CRR.</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Kreditno tveganje nasprotne stranke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Izpostavljenosti iz poglavja 6 naslova II dela 3 CRR.</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Okvir tržnega tveganja</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Izpostavljenosti tržnemu tveganju, ki ustrezajo pozicijam, za katere velja okvir tržnega tveganja (glej naslov IV dela 3 uredbe CRR).</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V zvezi s tem stolpcem se razkrijejo samo vrstice 1 do 3 in 12.</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vsi</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Kadar za posamezno postavko veljajo kapitalske zahteve v skladu z več kot enim okvirom tveganja, se razkrije v vseh relevantnih stolpcih, ki ustrezajo kapitalskim zahtevam. Zato je lahko vsota zneskov v stolpcih (b) do (e) te predloge večja od zneska v stolpcu (a) te predloge. Institucije zagotovijo kvalitativna pojasnila o sredstvih in obveznostih, za katere veljajo kapitalske zahteve za več kot en okvir tveganja iz dela 3 CRR.</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Predloga EU LI3 – Pregled razlik v obsegih konsolidacije (po posameznih subjektih)</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Institucije razkrijejo informacije iz člena 436(b) CRR ob upoštevanju navodil iz te priloge za izpolnjevanje predloge EU LI3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podlaga in navodila</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Vrstice so prilagodljive. Razkritja se zagotovijo za subjekte, ki so vključeni v obsega konsolidacije za računovodske in regulativne namene, kot sta opredeljena v skladu z veljavnim računovodskim okvirom ter oddelkoma 2 in 3 naslova II dela 1 CRR, in pri katerih se metoda konsolidacije za računovodske namene razlikuje od metode konsolidacije za regulativne namene. Ena vrstica na subjekt.</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podlaga in navodila</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Stolpec</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Ime subjekta</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Komercialno ime vsakega subjekta, ki je vključen v obseg konsolidacije za računovodske in regulativne namene institucije ali izključen iz njega.</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Metoda konsolidacije za računovodske namene</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Metoda konsolidacije, uporabljena v skladu z veljavnim računovodskim okvirom.</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do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Metoda konsolidacije za regulativne namene</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Metoda konsolidacije, uporabljena za namene poglavja 2 naslova II dela 1 CRR.</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Razkrijejo se najmanj metode iz člena 436(b) CRR.</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Institucije obkljukajo ustrezne stolpce, da navedejo metodo konsolidacije vsakega subjekta na podlagi računovodskega okvira in ali je v okviru obsega bonitetne konsolidacije vsak subjekt (i) polno konsolidiran; (ii) sorazmerno konsolidiran; (iii) pripoznan po kapitalski metodi; (iv) niti konsolidiran niti odbit ali (v) odbit.</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Opis subjekta</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Kratek opis subjekta, pri čemer se navede (najmanj) njegov sektor dejavnosti.</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Razpredelnica EU LIA – Pojasnila razlik med računovodskimi in regulativnimi zneski izpostavljenosti. </w:t>
      </w:r>
      <w:r>
        <w:rPr>
          <w:rFonts w:ascii="Times New Roman" w:hAnsi="Times New Roman"/>
          <w:sz w:val="24"/>
        </w:rPr>
        <w:t>Polja, namenjena prosti vsebini, za razkritje kvalitativnih informacij.</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Institucije razkrijejo informacije iz člena 436(b) in (d) CRR ob upoštevanju navodil iz te priloge za izpolnjevanje razpredelnice EU LIA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lastRenderedPageBreak/>
              <w:t>Pravna podlaga in navodila</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Institucije pojasnijo in kvantitativno opredelijo izvore vseh bistvenih razlik med zneski v stolpcih (a) in (b) predloge EU LI1 ne glede na to, ali so te razlike posledica različnih pravil konsolidacije ali tega, da so bili za konsolidacijo za računovodske namene in konsolidacijo za regulativne namene uporabljeni različni računovodski standardi.</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Institucije pojasnijo izvore razlik med knjigovodskimi vrednostmi v okviru obsega bonitetne konsolidacije in zneski, upoštevanimi za regulativne namene, kot so prikazani v predlogi EU 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Razpredelnica EU LIB – Druge kvalitativne informacije o področju uporabe.</w:t>
      </w:r>
      <w:r>
        <w:rPr>
          <w:rFonts w:ascii="Times New Roman" w:hAnsi="Times New Roman"/>
          <w:sz w:val="24"/>
        </w:rPr>
        <w:t xml:space="preserve"> Polja, namenjena prosti vsebini, za razkritje kvalitativnih informacij.</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Institucije razkrijejo informacije iz člena 436(f), (g) in (h) CRR ob upoštevanju navodil iz te priloge za izpolnjevanje razpredelnice EU LIB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Pravna podlaga in navodila</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razkrijejo vse trenutne ali predvidene pomembne praktične ali pravne ovire za takojšnji prenos kapitala ali poravnavo obveznosti med nadrejeno osebo in njenimi podrejenimi družbami.</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Kjer je relevantno, institucije razkrijejo ime ali imena podrejenih družb, ki niso vključene v konsolidacijo.</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Kjer je relevantno, institucije razkrijejo okoliščine, v katerih se uporabi odstopanje iz člena 7 CRR ali metoda individualne konsolidacije iz člena 9 CRR.</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Kjer je relevantno, institucije razkrijejo zbirni znesek, za katerega je dejanski kapital nižji od zahtevanega v vseh podrejenih družbah, ki niso vključene v konsolidacijo, in ime ali imena teh podrejenih družb.</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Predloga EU PV1 – Prilagoditve preudarnega vrednotenja. </w:t>
      </w:r>
      <w:r>
        <w:rPr>
          <w:rFonts w:ascii="Times New Roman" w:hAnsi="Times New Roman"/>
          <w:sz w:val="24"/>
        </w:rPr>
        <w:t>Fiksna oblika.</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Institucije, ki uporabljajo temeljni pristop za določitev dodatne prilagoditve vrednosti za preudarno vrednotenje v skladu s poglavjem III Delegirane uredbe Komisije (EU) 2016/101</w:t>
      </w:r>
      <w:r>
        <w:rPr>
          <w:rStyle w:val="FootnoteReference"/>
          <w:rFonts w:ascii="Times New Roman" w:hAnsi="Times New Roman"/>
          <w:bCs/>
          <w:sz w:val="24"/>
          <w:szCs w:val="24"/>
        </w:rPr>
        <w:footnoteReference w:id="13"/>
      </w:r>
      <w:r>
        <w:rPr>
          <w:rFonts w:ascii="Times New Roman" w:hAnsi="Times New Roman"/>
          <w:sz w:val="24"/>
        </w:rPr>
        <w:t>, razkrijejo informacije iz člena 436(e) CRR ob upoštevanju navodil iz te priloge za izpolnjevanje predloge EU PV1 iz Priloge 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Pravna podlaga in navodila</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lastRenderedPageBreak/>
              <w:t>Vrstice 1 do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ravni kategorije</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Dodatne prilagoditve vrednosti na ravni kategorije za nestabilnost tržnih cen, stroške zapiranja pozicij, tveganje, povezano z uporabo modela, koncentracije pozicij, prihodnje administrativne stroške, predčasno zapiranje pozicij in operativno tveganje se določijo v skladu s členi 9 do 11 oziroma 14 do 17 Delegirane uredbe Komisije (EU) 2016/101.</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Za kategorije „nestabilnost tržnih cen“, „stroški zapiranja pozicij“ in „tveganje, povezano z uporabo modela“, pri katerih se upoštevajo koristi zaradi razpršitve, kot je določeno v členu 9(6), 10(7) oziroma 11(7) Delegirane uredbe (EU) 2016/101, se dodatne prilagoditve vrednosti na ravni kategorije razkrijejo v stolpcih a do EU-e2 te predloge kot enostavna vsota posameznih dodatnih prilagoditev vrednosti pred koristjo zaradi razpršitve. Koristi zaradi razpršitve v skladu s členi 9(6), 10(7) in 11(7) Delegirane uredbe Komisije (EU) 2016/101 se vključijo v stolpec (f) te predloge.</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Nestabilnost tržnih cen</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105(10) CRR.</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Dodatne prilagoditve vrednosti za nestabilnost tržnih cen se izračunajo v skladu s členom 9 Delegirane uredbe Komisije (EU) 2016/101.</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Ni relevantno</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105(10) CRR.</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Dodatne prilagoditve vrednosti za stroške zapiranja pozicij se izračunajo v skladu s členom 10 Delegirane uredbe Komisije (EU) 2016/101.</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Koncentracije pozicij</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105(11) CRR.</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Dodatne prilagoditve vrednosti za koncentracije pozicij se izračunajo v skladu s členom 14 Delegirane uredbe Komisije (EU) 2016/101.</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105(10) CRR.</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Dodatne prilagoditve vrednosti za predčasno zapiranje pozicij se izračunajo v skladu s členom 16 Delegirane uredbe Komisije (EU) 2016/101.</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105(10) CRR.</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Dodatne prilagoditve vrednosti za tveganje, povezano z uporabo modela, se izračunajo v skladu s členom 11 Delegirane uredbe Komisije (EU) 2016/101.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Operativno tveganje</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105(10) CRR.</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Dodatne prilagoditve vrednosti za operativno tveganje se izračunajo v skladu s členom 17 Delegirane uredbe Komisije (EU) 2016/101.</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Ni relevantno</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Ni relevantno</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Člen 105(10) CRR.</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Dodatne prilagoditve vrednosti za prihodnje administrativne stroške se izračunajo v skladu s členom 15 Delegirane uredbe Komisije (EU) 2016/101.</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Ni relevantno</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Skupne dodatne prilagoditve vrednosti</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t>Skupna dodatna prilagoditev vrednosti, ki se odbije od kapitala v skladu s členoma 34 in 105 CRR, se razkrije v vrstici 12 stolpca (f) te predloge.</w:t>
            </w:r>
            <w:r>
              <w:rPr>
                <w:rFonts w:ascii="Times New Roman" w:hAnsi="Times New Roman"/>
                <w:color w:val="auto"/>
              </w:rPr>
              <w:t xml:space="preserve"> Ta znesek je skladen z zneskom v vrstici 7 predloge EU CC1 in z zneskom v vrstici 5 stolpca (a) predloge EU 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Za portfelje, za katere se uporablja temeljni pristop iz poglavja III Delegirane uredbe (EU) 2016/101 o preudarnem vrednotenju, je skupna dodatna prilagoditev vrednosti vsota zneskov v vrsticah 1 do 10 te predloge, za portfelje, za katere se uporablja nadomestni pristop (če obstajajo), pa vsota zneskov, izračunanih v skladu s pododstavki (i) do (iii) člena 7(2)(b) Delegirane uredbe (EU) 2016/101.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Za portfelje, za katere se uporablja poenostavljeni pristop iz poglavja II Delegirane uredbe (EU) 2016/101 o preudarnem vrednotenju, je skupna dodatna prilagoditev vrednosti v stolpcu (f) te predloge znesek, izračunan v skladu s členom 5 tega poglavja.</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Pojasnilo</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Razčlenitev po KATEGORIJAH TVEGANJA</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Institucije razporedijo svoja sredstva in obveznosti po pošteni vrednosti, vključene v izračun praga v skladu s členom 4(1) Delegirane uredbe Komisije (EU) 2016/101 (trgovalna in </w:t>
            </w:r>
            <w:proofErr w:type="spellStart"/>
            <w:r>
              <w:rPr>
                <w:rFonts w:ascii="Times New Roman" w:hAnsi="Times New Roman"/>
                <w:sz w:val="24"/>
              </w:rPr>
              <w:t>netrgovalna</w:t>
            </w:r>
            <w:proofErr w:type="spellEnd"/>
            <w:r>
              <w:rPr>
                <w:rFonts w:ascii="Times New Roman" w:hAnsi="Times New Roman"/>
                <w:sz w:val="24"/>
              </w:rPr>
              <w:t xml:space="preserve"> knjiga), glede na naslednje kategorije tveganja: obrestno tveganje, valutno tveganje, kreditno tveganje, tveganje lastniških finančnih instrumentov in tveganje spremembe cen blaga.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Razčlenitev v teh stolpcih izključuje dodatne prilagoditve vrednosti, izračunane v skladu s členoma 12 in 13 Delegirane uredbe Komisije (EU) 2016/101, ki se razkrijejo v stolpcih EU-e1 in EU-e2 te predloge.</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na ravni kategorije – negotovost pri vrednotenju: AVA za nerealizirane kreditne razmike</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Člen 105(10) CRR in člen 12 Delegirane uredbe Komisije (EU) 2016/101.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uporabo modela, se določi v skladu s členom 12 Delegirane uredbe Komisije (EU) 2016/101.</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na ravni kategorije – AVA za stroške investiranja in financiranja</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Člen 105(10) CRR in člen 13 Delegirane uredbe Komisije (EU) 2016/101.</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Skupna dodatna prilagoditev vrednosti za stroške investiranja in financiranja ter njena razporeditev med dodatno prilagoditev vrednosti za nestabilnost tržnih cen, dodatno prilagoditev vrednosti za stroške zapiranja pozicij ali dodatno prilagoditev vrednosti za tveganje, povezano z uporabo modela, se določi v skladu s členom 13 Delegirane uredbe Komisije (EU) 2016/101.</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Skupaj na ravni kategorije po razpršitvi</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Za portfelje, za katere se uporablja temeljni pristop iz poglavja III Delegirane uredbe Komisije (EU) 2016/101, skupni znesek na ravni kategorije po razpršitvi zajema skupne dodatne prilagoditve vrednosti, izračunane v skladu s temeljnim pristopom za sredstva in obveznosti po pošteni vrednosti, vključene v izračun praga v skladu s členom 4(1) navedene uredbe. To vključuje koristi zaradi razpršitve, določene v skladu s členi 9(6), 10(7) in 11(7) Delegirane uredbe Komisije (EU) 2016/101.</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Skupna dodatna prilagoditev vrednosti v vrstici 12 stolpca (f) te predloge vključuje zneske, izračunane v skladu s pododstavki (i) do (iii) člena 7(2)(b) Delegirane uredbe (EU) 2016/101 za portfelje, za katere se uporablja nadomestni pristop (če obstajajo).</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Za portfelje, za katere se uporablja poenostavljeni pristop iz poglavja II Delegirane uredbe (EU) 2016/101 o preudarnem vrednotenju, je skupna dodatna prilagoditev vrednosti v vrstici 12 te predloge znesek, izračunan v skladu s členom 5 tega poglavja.</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Od tega: skupaj temeljni pristop v trgovalni knjigi</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Za vsako relevantno kategorijo dodatnih prilagoditev vrednosti pri portfeljih, za katere se uporablja temeljni pristop iz poglavja III Delegirane uredbe Komisije (EU) 2016/101, delež dodatnih prilagoditev vrednosti, ki izhajajo iz pozicij v trgovalni knjigi, tj. vseh pozicij v finančnih instrumentih in blagu, ki jih ima institucija za namene trgovanja ali za varovanje pozicij, ki jih ima za namene trgovanja, v skladu s členom 104 CRR.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Razkrita vrednost vključuje koristi zaradi razpršitve, določene v skladu s členi 9(6), 10(7) in 11(7) Delegirane uredbe Komisije (EU) 2016/101.</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 xml:space="preserve">Od tega: skupaj temeljni pristop v </w:t>
            </w:r>
            <w:proofErr w:type="spellStart"/>
            <w:r>
              <w:rPr>
                <w:rFonts w:ascii="Times New Roman" w:hAnsi="Times New Roman"/>
                <w:b/>
                <w:sz w:val="24"/>
                <w:u w:val="single"/>
              </w:rPr>
              <w:t>netrgovalni</w:t>
            </w:r>
            <w:proofErr w:type="spellEnd"/>
            <w:r>
              <w:rPr>
                <w:rFonts w:ascii="Times New Roman" w:hAnsi="Times New Roman"/>
                <w:b/>
                <w:sz w:val="24"/>
                <w:u w:val="single"/>
              </w:rPr>
              <w:t xml:space="preserve"> knjigi</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Za vsako relevantno kategorijo dodatnih prilagoditev vrednosti pri portfeljih, za katere se uporablja temeljni pristop iz poglavja III Delegirane uredbe Komisije (EU) 2016/101, delež dodatnih prilagoditev vrednosti, ki izhajajo iz pozicij po pošteni vrednosti v finančnih instrumentih in blagu, ki niso v trgovalni knjigi.</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Razkrita vrednost vključuje koristi zaradi razpršitve, določene v skladu s členi 9(6), 10(7) in 11(7) Delegirane uredbe Komisije (EU) 2016/101.</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PRILOGA VIII – Navodila za predloge za razkritja o kapitalu</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Predloga EU CC1 – Sestava regulativnega kapitala</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Institucije razkrijejo informacije iz člena 437(a), (d), (e) in (f) Uredbe (EU) št. 575/2013</w:t>
      </w:r>
      <w:r>
        <w:rPr>
          <w:rStyle w:val="FootnoteReference"/>
          <w:rFonts w:cs="Times New Roman"/>
          <w:color w:val="000000"/>
        </w:rPr>
        <w:footnoteReference w:id="14"/>
      </w:r>
      <w:r>
        <w:rPr>
          <w:rFonts w:ascii="Times New Roman" w:hAnsi="Times New Roman"/>
          <w:sz w:val="24"/>
        </w:rPr>
        <w:t xml:space="preserve"> (CRR) ob upoštevanju navodil iz te priloge za izpolnjevanje predloge EU CC1 iz Priloge VII k tej izvedbeni uredbi.</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Za namene predloge EU CC1 regulativne prilagoditve zajemajo odbitke od kapitala in bonitetne filtre.</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Institucije morajo izpolniti stolpec (b) te predloge, da prikažejo vir vsakega večjega vnosa, ki mora biti povezan z ustreznimi vrsticami v predlogi EU 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Institucije v besedilo, priloženo predlogi, vključijo opis vseh omejitev, ki se uporabljajo za izračun kapitala v skladu s CRR, ter instrumentov, bonitetnih filtrov in odbitkov, za katere veljajo te omejitve. Vključijo tudi celovito obrazložitev osnove, na kateri so izračunani kapitalski količniki, kadar so ti izračunani z uporabo sestavin kapitala, določenih na drugačni osnovi kot v CRR.</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Pravna podlaga in navodila</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Številka vrstice</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Pojasnilo</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 v skladu s členom 26(1)(a) in (b) ter členi 27, 28 in 29 CRR in seznamom EBA iz člena 26(3) CRR, kot tudi njihova razčlenitev po vrstah instrumenta.</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Zadržani dobiček</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Zadržani dobiček pred vsemi regulativnimi prilagoditvami v skladu s členom 26(1)(c) CRR (pred vključitvijo kakršnih koli čistih dobičkov ali izgub med letom).</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Akumulirani drugi vseobsegajoči donos (in druge rezerve)</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akumuliranega drugega vseobsegajočega donosa in drugih rezerv v skladu s členom 26(1)(d) in (e) CRR.</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Rezervacije za splošna bančna tveganja</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Znesek rezervacij za splošna bančna tveganja v skladu s členom 26(1)(f) CRR.</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484(3) CRR in z njim povezan vplačani presežek kapitala, za katerega velja postopna odprava iz navadnega lastniškega temeljnega kapitala</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484(3) CRR in z njim povezan vplačani presežek kapitala, za katerega velja postopna odprava iz navadnega lastniškega temeljnega kapitala, kot je opisano v členu 486(2) CRR.</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Manjšinski deleži (dovoljeni znesek v konsolidiranem navadnem lastniškem temeljnem kapitalu)</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Manjšinski deleži (dovoljeni znesek v konsolidiranem navadnem lastniškem temeljnem kapitalu) v skladu s členom 84 CRR.</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Neodvisno pregledan dobiček med letom, zmanjšan za kakršne koli predvidljive obremenitve ali dividende.</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Neodvisno pregledan dobiček med letom, zmanjšan za kakršne koli predvidljive obremenitve ali dividende v skladu s členom 26(2) CRR.</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Navadni lastniški temeljni kapital pred regulativnimi prilagoditvami</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Vsota zneskov v vrsticah 1 do EU-5a te predloge.</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Dodatne prilagoditve vrednosti (negativni znesek)</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Dodatne prilagoditve vrednosti v skladu s členoma 34 in 105 CRR (negativni znesek).</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Neopredmetena sredstva (zmanjšana za povezane obveznosti za davek) (negativni znesek)</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Neopredmetena sredstva (zmanjšana za povezane obveznosti za davek) v skladu s členom 36(1)(b) in členom 37 CRR (negativni znesek).</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Odložene terjatve za davek, ki se nanašajo na prihodnji dobiček, razen tistih, ki izhajajo iz začasnih razlik (zmanjšane za povezane obveznosti za davek, če so izpolnjeni pogoji iz člena 38(3) CRR) (negativni znesek)</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Odložene terjatve za davek, ki se nanašajo na prihodnji dobiček, razen tistih, ki izhajajo iz začasnih razlik (zmanjšane za povezane obveznosti za davek, če so izpolnjeni pogoji iz člena 38(3) CRR), v skladu s členom 36(1)(c) in členom 38 CRR (negativni znesek).</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Rezerve, nastale zaradi vrednotenja po pošteni vrednosti, povezane z dobički ali izgubami pri varovanju denarnih tokov finančnih instrumentov, ki niso vrednoteni po pošteni vrednosti</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Rezerve, nastale zaradi vrednotenja po pošteni vrednosti, povezane z dobički ali izgubami pri varovanju denarnih tokov finančnih instrumentov, ki niso vrednoteni po pošteni vrednosti, v skladu s členom 33(1)(a) CRR.</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Negativni zneski, ki so rezultat izračuna zneskov pričakovane izgube</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Negativni zneski, ki so rezultat izračuna zneskov pričakovane izgube, v skladu s členom 36(1)(d) in členom 40 CRR.</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Vsako povečanje lastniškega kapitala, ki izhaja iz </w:t>
            </w:r>
            <w:proofErr w:type="spellStart"/>
            <w:r>
              <w:rPr>
                <w:rFonts w:ascii="Times New Roman" w:hAnsi="Times New Roman"/>
                <w:sz w:val="24"/>
              </w:rPr>
              <w:t>listinjenih</w:t>
            </w:r>
            <w:proofErr w:type="spellEnd"/>
            <w:r>
              <w:rPr>
                <w:rFonts w:ascii="Times New Roman" w:hAnsi="Times New Roman"/>
                <w:sz w:val="24"/>
              </w:rPr>
              <w:t xml:space="preserve"> sredstev (negativni znesek)</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Vsako povečanje lastniškega kapitala, ki izhaja iz </w:t>
            </w:r>
            <w:proofErr w:type="spellStart"/>
            <w:r>
              <w:rPr>
                <w:rFonts w:ascii="Times New Roman" w:hAnsi="Times New Roman"/>
                <w:sz w:val="24"/>
              </w:rPr>
              <w:t>listinjenih</w:t>
            </w:r>
            <w:proofErr w:type="spellEnd"/>
            <w:r>
              <w:rPr>
                <w:rFonts w:ascii="Times New Roman" w:hAnsi="Times New Roman"/>
                <w:sz w:val="24"/>
              </w:rPr>
              <w:t xml:space="preserve"> sredstev, v skladu s členom 32(1) CRR (negativni znesek).</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Dobički ali izgube, nastali na podlagi vrednotenja obveznosti po pošteni vrednosti, ki so posledica sprememb v boniteti</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Dobički ali izgube, nastali na podlagi vrednotenja obveznosti po pošteni vrednosti, ki so posledica sprememb v boniteti, v skladu s členom 33(1)(b) CRR.</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Sredstva pokojninskega sklada z določenimi pravicami (negativni znesek)</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Sredstva pokojninskega sklada z določenimi pravicami v skladu s členom 36(1)(e) in členom 41 CRR (negativni znesek).</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navadnega lastniškega temeljnega kapitala (negativni znesek)</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navadnega lastniškega temeljnega kapitala, kot je opisano v členu 36(1)(f) in členu 42 CRR (negativni znesek).</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navadnega lastniškega temeljnega kapitala subjektov finančnega sektorja, če imajo ti subjekti vzajemne navzkrižne deleže v instituciji, oblikovane z namenom umetnega povečanja kapitala institucije (negativni znesek)</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navadnega lastniškega temeljnega kapitala subjektov finančnega sektorja, če imajo ti subjekti vzajemne navzkrižne deleže v instituciji, oblikovane z namenom umetnega povečanja kapitala institucije, kot je opisano v členu 36(1)(g) in členu 44 CRR (negativni znesek).</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Neposredni, posredni in sintetični deleži institucije v instrumentih navadnega lastniškega temeljnega kapitala subjektov finančnega sektorja, </w:t>
            </w:r>
            <w:r>
              <w:rPr>
                <w:rFonts w:ascii="Times New Roman" w:hAnsi="Times New Roman"/>
                <w:sz w:val="24"/>
              </w:rPr>
              <w:lastRenderedPageBreak/>
              <w:t>kadar institucija v teh subjektih nima pomembne naložbe (znesek nad pragom 10 %, zmanjšan za sprejemljive kratke pozicije) (negativni znesek)</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navadnega lastniškega temeljnega kapitala subjektov finančnega sektorja, kadar institucija v teh subjektih nima pomembne naložbe (znesek nad pragom 10 %, zmanjšan za sprejemljive kratke pozicije), kot je opisano v členu 36(1)(h), členih 43, 45 in 46, členu 49(2) in (3) ter členu 79 CRR (negativni znesek).</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navadnega lastniškega temeljnega kapitala subjektov finančnega sektorja, kadar ima institucija v teh subjektih pomembno naložbo (znesek nad pragom 10 %, zmanjšan za sprejemljive kratke pozicije) (negativni znesek)</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navadnega lastniškega temeljnega kapitala subjektov finančnega sektorja, kadar ima institucija v teh subjektih pomembno naložbo (znesek nad pragom 10 %, zmanjšan za sprejemljive kratke pozicije), kot je opisano v členu 36(1)(i), členih 43, 45 in 47, členu 48(1)(b) ter členu 49(1) do (3) CRR (negativni znesek).</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izpostavljenosti naslednjih postavk, ki izpolnjujejo pogoje za utež tveganja 1 250 %, kadar institucija izbere alternativo odbitka</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izpostavljenosti, ki izpolnjuje pogoje za utež tveganja 1 250 %, kadar institucija izbere alternativo odbitka, kot je opisano v členu 36(1)(k) CRR.</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kvalificirani deleži izven finančnega sektorja (negativni znesek)</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zneska iz vrstice EU-20a, ki se nanaša na kvalificirane deleže izven finančnega sektorja v skladu s členom 36(1)(k)(i) ter členi 89 do 91 CRR (negativni znesek).</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tega: pozicije v </w:t>
            </w:r>
            <w:proofErr w:type="spellStart"/>
            <w:r>
              <w:rPr>
                <w:rFonts w:ascii="Times New Roman" w:hAnsi="Times New Roman"/>
                <w:sz w:val="24"/>
              </w:rPr>
              <w:t>listinjenju</w:t>
            </w:r>
            <w:proofErr w:type="spellEnd"/>
            <w:r>
              <w:rPr>
                <w:rFonts w:ascii="Times New Roman" w:hAnsi="Times New Roman"/>
                <w:sz w:val="24"/>
              </w:rPr>
              <w:t xml:space="preserve"> (negativni znesek)</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Del zneska iz vrstice EU-20a te predloge, ki se nanaša na pozicije v </w:t>
            </w:r>
            <w:proofErr w:type="spellStart"/>
            <w:r>
              <w:rPr>
                <w:rFonts w:ascii="Times New Roman" w:hAnsi="Times New Roman"/>
                <w:sz w:val="24"/>
              </w:rPr>
              <w:t>listinjenju</w:t>
            </w:r>
            <w:proofErr w:type="spellEnd"/>
            <w:r>
              <w:rPr>
                <w:rFonts w:ascii="Times New Roman" w:hAnsi="Times New Roman"/>
                <w:sz w:val="24"/>
              </w:rPr>
              <w:t xml:space="preserve"> v skladu s členom 36(1)(k)(ii), členom 243(1)(b), členom 244(1)(b) in členom 258 CRR (negativni znesek).</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proste izročitve (negativni znesek)</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zneska iz vrstice EU-20a te predloge, ki se nanaša na proste izročitve v skladu s členom 36(1)(k)(iii) ter členom 379(3) CRR (negativni znesek).</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nad pragom 10 %, zmanjšan za povezane obveznosti za davek, če so izpolnjeni pogoji iz člena 38(3) CRR) (negativni znesek)</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nad pragom 10 %, zmanjšan za povezane obveznosti za davek, če so izpolnjeni pogoji iz člena 38(3) CRR), kot je opisano v členu 36(1)(c), členu 38 in členu 48(1)(a) CRR (negativni znesek).</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ki presega prag 17,65 % (negativni znesek)</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ki presega prag 17,65 % v skladu s členom 48(1) CRR (negativni znesek).</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neposredni, posredni in sintetični deleži institucije v instrumentih navadnega lastniškega temeljnega kapitala subjektov finančnega sektorja, kadar ima institucija pomembno naložbo v teh subjektih</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zneska iz vrstice 22 te predloge, ki se nanaša na neposredne, posredne in sintetične deleže institucije v instrumentih navadnega lastniškega temeljnega kapitala subjektov finančnega sektorja, kadar ima institucija pomembno naložbo v teh subjektih, kot je opisano v členu 36(1)(i) in členu 48(1)(b) CRR.</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odložene terjatve za davek, ki izhajajo iz začasnih razlik</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zneska iz vrstice 22 te predloge, ki se nanaša na odložene terjatve za davek, ki izhajajo iz začasnih razlik, kot je opisano v členu 36(1)(c), členu 38 in členu 48(1)(a) CRR.</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Izgube tekočega poslovnega leta (negativni znesek)</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Izgube poslovnega leta v skladu s členom 36(1)(a) CRR (negativni znesek).</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Predvidljive davčne obremenitve, povezane s postavkami navadnega lastniškega temeljnega kapitala, razen kadar institucija ustrezno prilagodi znesek postavk navadnega lastniškega temeljnega kapitala in se zaradi teh davčnih obremenitev zmanjša znesek, do katerega se te postavke lahko uporabijo za kritje tveganj ali izgub (negativni znesek)</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predvidljivih davčnih obremenitev, povezanih s postavkami navadnega lastniškega temeljnega kapitala, predvidljivih v času izračuna, razen kadar institucija ustrezno prilagodi znesek postavk navadnega lastniškega temeljnega kapitala in se zaradi teh davčnih obremenitev zmanjša znesek, do katerega se te postavke lahko uporabijo za kritje tveganj ali izgub, v skladu s členom 36(1)(l) CRR (negativni znesek).</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odbitki dodatnega temeljnega kapitala, ki presegajo postavke dodatnega temeljnega kapitala institucije (negativni znesek)</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odbitki dodatnega temeljnega kapitala, ki presegajo postavke dodatnega temeljnega kapitala institucije, kot je opisano v členu 36(1)(j) CRR (negativni znesek).</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Druge regulativne prilagoditve</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Institucije v tej vrstici razkrijejo vse veljavne regulativne prilagoditve, ki se poročajo v okviru nadzorniškega poročanja in niso vključene v nobeno drugo vrstico te predloge, vključno z zneskom prilagoditev zaradi prehodnih ureditev za MSRP 9, kadar je relevantno, in do konca prehodnega obdobja.</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Skupne regulativne prilagoditve navadnega lastniškega temeljnega kapitala</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Izračunajo se kot vsota zneskov v vrsticah 7 do EU-20a, 21, 22 in EU-25a do EU-27a te predloge.</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Navadni lastniški temeljni kapital</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Izračuna se z odštetjem vrstice 28 od vrstice 6 te predloge.</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 v skladu s členoma 51 in 52 CRR.</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razvrščeni kot lastniški kapital v skladu z veljavnimi računovodskimi standardi</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30 te predloge, razvrščen kot lastniški kapital v skladu z veljavnimi računovodskimi standardi.</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razvrščeni kot obveznosti v skladu z veljavnimi računovodskimi standardi</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30 te predloge, razvrščen kot obveznosti v skladu z veljavnimi računovodskimi standardi.</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484(4) CRR in z njim povezan vplačani presežek kapitala, za katerega velja postopna odprava iz dodatnega temeljnega kapitala</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484(4) CRR in z njim povezan vplačani presežek kapitala, za katerega velja postopna odprava iz dodatnega temeljnega kapitala v skladu s členom 486(3) CRR.</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494a(1) CRR, za katere velja postopna odprava iz dodatnega temeljnega kapitala</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494b(1) CRR, za katere velja postopna odprava iz dodatnega temeljnega kapitala.</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temeljni kapital, vključen v konsolidirani dodatni temeljni kapital (vključno z manjšinskimi deleži, ki niso vključeni v vrstico 5), ki ga izdajo podrejene družbe, imetnica pa je tretja oseba</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 temeljni kapital, vključen v konsolidirani dodatni temeljni kapital (vključno z manjšinskimi deleži, ki niso vključeni v vrstico 5 te predloge), ki ga izdajo podrejene družbe, imetnice pa so tretje osebe, kot je opisano v členih 85 in 86 CRR.</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instrumenti, ki jih izdajo podrejene družbe in za katere velja postopna odprava</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34 te predloge, ki se nanaša na instrumente, ki jih izdajo podrejene družbe in za katere velja postopna odprava, kot je opisano v členu 486(3) CRR.</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Dodatni temeljni kapital pred regulativnimi prilagoditvami</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Vsota zneskov v vrsticah 30, 33, EU-33a, EU-33b in 34 te predloge.</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temeljnega kapitala (negativni znesek)</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temeljnega kapitala, kot je opisano v členu 52(1)(b), členu 56(a) in členu 57 CRR (negativni znesek).</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temeljnega kapitala subjektov finančnega sektorja, če imajo ti subjekti vzajemne navzkrižne deleže v instituciji, oblikovane z namenom umetnega povečanja kapitala institucije (negativni znesek)</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temeljnega kapitala subjektov finančnega sektorja, če imajo ti subjekti vzajemne navzkrižne deleže v instituciji, oblikovane z namenom umetnega povečanja kapitala institucije, kot je opisano v členu 56(b) in členu 58 CRR (negativni znesek).</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temeljnega kapitala subjektov finančnega sektorja, kadar institucija v teh subjektih nima pomembne naložbe (znesek nad pragom 10 %, zmanjšan za sprejemljive kratke pozicije) (negativni znesek)</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Neposredni, posredni in sintetični deleži v instrumentih dodatnega temeljnega kapitala subjektov finančnega sektorja, kadar institucija v teh subjektih nima pomembne naložbe (znesek nad pragom 10 %, zmanjšan </w:t>
            </w:r>
            <w:r>
              <w:rPr>
                <w:rFonts w:ascii="Times New Roman" w:hAnsi="Times New Roman"/>
                <w:sz w:val="24"/>
              </w:rPr>
              <w:lastRenderedPageBreak/>
              <w:t>za sprejemljive kratke pozicije), kot je opisano v členu 56(c) in členih 59, 60 ter 79 CRR (negativni znesek).</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temeljnega kapitala subjektov finančnega sektorja, kadar ima institucija v teh subjektih pomembno naložbo (zmanjšani za sprejemljive kratke pozicije) (negativni znesek)</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temeljnega kapitala subjektov finančnega sektorja, kadar ima institucija v teh subjektih pomembno naložbo (zmanjšano za sprejemljive kratke pozicije), kot je opisano v členu 56(d) in členih 59 ter 79 CRR (negativni znesek).</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odbitki dodatnega kapitala, ki presegajo postavke dodatnega kapitala institucije (negativni znesek)</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odbitki dodatnega kapitala, ki presegajo postavke dodatnega kapitala institucije, kot je opisano v členu 56(e) CRR (negativni znesek).</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Druge regulativne prilagoditve dodatnega temeljnega kapitala</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Institucije v tej vrstici razkrijejo vse veljavne regulativne prilagoditve, ki se poročajo v okviru nadzorniškega poročanja in niso vključene v nobeno drugo vrstico te predloge.</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Skupne regulativne prilagoditve dodatnega temeljnega kapitala</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Vsota zneskov v vrsticah 37 do EU-42a te predloge.</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Dodatni temeljni kapital</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Dodatni temeljni kapital se izračuna z odštetjem vrstice 43 od vrstice 36 te predloge.</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Temeljni kapital (temeljni kapital = navadni lastniški temeljni kapital + dodatni temeljni kapital)</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Temeljni kapital se izračuna s seštetjem vrstice 29 in vrstice 44 te predloge.</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 kot so opisani v členih 62 in 63 CRR.</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484(5) CRR in z njim povezan vplačani presežek kapitala, za katerega velja postopna odprava iz dodatnega kapitala, kot je opisano v členu 486(4) CRR</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494a(2) CRR, za katere velja postopna odprava iz dodatnega kapitala</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kvalificiranih postavk iz člena 494b(2) CRR, za katere velja postopna odprava iz dodatnega kapitala</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kapitalski instrumenti, vključeni v konsolidirani dodatni kapital (vključno z manjšinskimi deleži in instrumenti dodatnega temeljnega kapitala, ki niso vključeni v vrstico 5 ali 34), ki jih izdajo podrejene družbe, imetnica pa je tretja oseba</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kapitalski instrumenti, vključeni v konsolidirani dodatni kapital (vključno z manjšinskimi deleži in instrumenti dodatnega temeljnega kapitala, ki niso vključeni v vrstico 5 ali 34 te predloge), ki jih izdajo podrejene družbe, imetnice pa so tretje osebe, kot je opisano v členih 87 in 88 CRR.</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instrumenti, ki jih izdajo podrejene družbe in za katere velja postopna odprava</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zneska v vrstici 48, ki se nanaša na instrumente, ki jih izdajo podrejene družbe in za katere velja postopna odprava, kot je opisano v členu 486(4) CRR.</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Popravki zaradi kreditnega tveganja</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Popravki zaradi kreditnega tveganja v skladu s členom 62(c) in (d) CRR.</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Dodatni kapital pred regulativnimi prilagoditvami</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Vsota zneskov v vrsticah 46 do 48 in 50 te predloge.</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kapitala in podrejenih dolgovih (negativni znesek)</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kapitala in podrejenih dolgovih, kot je opisano v členu 63(b)(i), členu 66(a) in členu 67 CRR (negativni znesek).</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kapitala in podrejenih dolgovih subjektov finančnega sektorja, če imajo ti subjekti vzajemne navzkrižne deleže v instituciji, oblikovane z namenom umetnega povečanja kapitala institucije (negativni znesek)</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kapitala in podrejenih dolgovih subjektov finančnega sektorja, če imajo ti subjekti vzajemne navzkrižne deleže v instituciji, oblikovane z namenom umetnega povečanja kapitala institucije, kot je opisano v členu 66(b) in členu 68 CRR (negativni znesek).</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Neposredni, posredni in sintetični deleži v instrumentih dodatnega kapitala in podrejenih dolgovih subjektov finančnega sektorja, kadar </w:t>
            </w:r>
            <w:r>
              <w:rPr>
                <w:rFonts w:ascii="Times New Roman" w:hAnsi="Times New Roman"/>
                <w:sz w:val="24"/>
              </w:rPr>
              <w:lastRenderedPageBreak/>
              <w:t>institucija v teh subjektih nima pomembne naložbe (znesek nad pragom 10 %, zmanjšan za sprejemljive kratke pozicije) (negativni znesek)</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kapitala in podrejenih dolgovih subjektov finančnega sektorja, kadar institucija v teh subjektih nima pomembne naložbe (znesek nad pragom 10 %, zmanjšan za sprejemljive kratke pozicije), kot je opisano v členu 66(c) in členih 69, 70 ter 79 CRR (negativni znesek).</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kapitala in podrejenih dolgovih subjektov finančnega sektorja, kadar ima institucija v teh subjektih pomembno naložbo (zmanjšani za sprejemljive kratke pozicije) (negativni znesek)</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kapitala in podrejenih dolgovih subjektov finančnega sektorja, kadar ima institucija v teh subjektih pomembno naložbo (zmanjšani za sprejemljive kratke pozicije) v skladu s členom 66(d) in členoma 69 ter 79 CRR (negativni znesek).</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Kvalificirani odbitki od kvalificiranih obveznosti, ki presegajo postavke kvalificiranih obveznosti institucije (negativni znesek)</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Kvalificirani odbitki od kvalificiranih obveznosti, ki presegajo postavke kvalificiranih obveznosti institucije v skladu s členom 66(e) CRR (negativni znesek).</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Druge regulativne prilagoditve dodatnega kapitala</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Institucije v tej vrstici razkrijejo vse veljavne regulativne prilagoditve, ki se poročajo v okviru nadzorniškega poročanja in niso vključene v nobeno drugo vrstico te predloge.</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Skupne regulativne prilagoditve dodatnega kapitala</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Vsota zneskov v vrsticah 52 do EU-56b te predloge.</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Dodatni kapital</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Dodatni kapital se izračuna z odštetjem vrstice 57 od vrstice 51 te predloge.</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Skupni kapital (skupni kapital = temeljni kapital + dodatni kapital)</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Skupni kapital se izračuna s seštetjem vrstice 45 in vrstice 58 te predloge.</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skupne izpostavljenosti tveganju</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Znesek skupne izpostavljenosti tveganju skupine.</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Navadni lastniški temeljni kapital</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Navadni lastniški temeljni kapital (kot odstotek zneska skupne izpostavljenosti tveganju), ki se izračuna tako, da se vrstica 29 deli z vrstico 60 (izraženo kot odstotek) te predloge v skladu s členom 92(2)(a) CRR.</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Temeljni kapital</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Temeljni kapital (kot odstotek zneska skupne izpostavljenosti tveganju), ki se izračuna tako, da se vrstica 45 deli z vrstico 60 (izraženo kot odstotek) te predloge v skladu s členom 92(2)(b) CRR.</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Skupni kapital</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Skupni kapital (kot odstotek zneska skupne izpostavljenosti tveganju), ki se izračuna tako, da se vrstica 59 deli z vrstico 60 (izraženo kot odstotek) te predloge v skladu s členom 92(2)(c) CRR.</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Skupne kapitalske zahteve institucije glede navadnega lastniškega temeljnega kapitala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Skupne kapitalske zahteve institucije glede navadnega lastniškega temeljnega kapitala se izračunajo kot zahteva glede navadnega lastniškega temeljnega kapitala v skladu s členom 92(1)(a) CRR, ki se jim prištejeta dodatna zahteva glede navadnega lastniškega temeljnega kapitala, ki ga morajo institucije imeti v skladu s členom 104(1)(a) Direktive 2013/36/EU</w:t>
            </w:r>
            <w:r>
              <w:rPr>
                <w:rStyle w:val="FootnoteReference"/>
                <w:rFonts w:cs="Times New Roman"/>
                <w:lang w:eastAsia="ja-JP"/>
              </w:rPr>
              <w:footnoteReference w:id="15"/>
            </w:r>
            <w:r>
              <w:rPr>
                <w:rFonts w:ascii="Times New Roman" w:hAnsi="Times New Roman"/>
                <w:sz w:val="24"/>
              </w:rPr>
              <w:t xml:space="preserve"> (CRD), in zahteva po skupnem blažilniku v skladu s členom 128(6) CRD, izražena kot odstotek zneska izpostavljenosti tveganju.</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Izračunajo se kot količnik v višini 4,5 %, ki se mu prištejeta dodatna zahteva v okviru stebra 2, ki jo morajo institucije izpolnjevati v skladu s členom 104(1)(a) CRD, in zahteva po skupnem blažilniku, izračunana v skladu s členi 128, 129, 130, 131 in 133 CRD.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 tej vrstici se prikaže količnik navadnega lastniškega temeljnega kapitala, ki je relevanten za oceno omejitev glede razdelitev.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zahteva glede varovalnega kapitalskega blažilnika</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zahtevo glede varovalnega kapitalskega blažilnika v skladu s členom 129 CRD.</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tega: zahteva glede </w:t>
            </w:r>
            <w:proofErr w:type="spellStart"/>
            <w:r>
              <w:rPr>
                <w:rFonts w:ascii="Times New Roman" w:hAnsi="Times New Roman"/>
                <w:sz w:val="24"/>
              </w:rPr>
              <w:t>proticikličnega</w:t>
            </w:r>
            <w:proofErr w:type="spellEnd"/>
            <w:r>
              <w:rPr>
                <w:rFonts w:ascii="Times New Roman" w:hAnsi="Times New Roman"/>
                <w:sz w:val="24"/>
              </w:rPr>
              <w:t xml:space="preserve"> kapitalskega blažilnika</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Znesek v vrstici 64 (izražen kot odstotek zneska skupne izpostavljenosti tveganju) te predloge, ki se nanaša na zahtevo glede </w:t>
            </w:r>
            <w:proofErr w:type="spellStart"/>
            <w:r>
              <w:rPr>
                <w:rFonts w:ascii="Times New Roman" w:hAnsi="Times New Roman"/>
                <w:sz w:val="24"/>
              </w:rPr>
              <w:t>proticikličnega</w:t>
            </w:r>
            <w:proofErr w:type="spellEnd"/>
            <w:r>
              <w:rPr>
                <w:rFonts w:ascii="Times New Roman" w:hAnsi="Times New Roman"/>
                <w:sz w:val="24"/>
              </w:rPr>
              <w:t xml:space="preserve"> kapitalskega blažilnika v skladu s členom 130 CRD.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zahteva glede blažilnika sistemskih tveganj</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zahtevo glede blažilnika sistemskih tveganj v skladu s členom 133 CRD.</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tega: zahteva glede blažilnika za globalne sistemsko pomembne institucije (GSPI) ali druge sistemsko pomembne institucije (DSPI)</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zahtevo glede blažilnika GSPI ali DSPI v skladu s členom 131 CRD.</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tega: dodatne kapitalske zahteve za obravnavanje tveganj, ki niso tveganje prevelikega finančnega vzvoda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dodatne kapitalske zahteve, ki izhajajo iz procesa nadzorniškega pregledovanja in morajo biti izpolnjene z navadnim lastniškim temeljnim kapitalom iz člena 104(1)(a) Direktive 2013/36/EU.</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Navadni lastniški temeljni kapital (kot odstotek zneska izpostavljenosti tveganju), ki je na voljo po izpolnitvi minimalnih kapitalskih zahtev</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Izračuna se kot vrednost iz vrstice 61, ki se ji odštejejo 4,5 (odstotne točke), vrstica EU-67b in navadni lastniški temeljni kapital, ki ga institucija uporabi za izpolnitev zahtev glede dodatnega temeljnega kapitala in dodatnega kapitala.</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in posredni deleži v kapitalu ter kvalificiranih obveznostih subjektov finančnega sektorja, kadar institucija v teh subjektih nima pomembne naložbe (znesek pod pragom 10 %, zmanjšan za sprejemljive kratke pozicije)</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Neposredni in posredni deleži v kapitalu ter kvalificiranih obveznostih subjektov finančnega sektorja, kadar institucija v teh subjektih nima pomembne naložbe (znesek pod pragom 10 %, zmanjšan za sprejemljive kratke pozicije), v skladu s členom 36(1)(h), členoma 45 in 46, členom 56(c), členoma 59 in 60, členom 66(c) ter členi 69, 70 in 72i CRR.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in posredni deleži institucije v instrumentih navadnega lastniškega temeljnega kapitala subjektov finančnega sektorja, kadar ima institucija v teh subjektih pomembno naložbo (znesek pod pragom 17,65 %, zmanjšan za sprejemljive kratke pozicije)</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Neposredni in posredni deleži institucije v instrumentih navadnega lastniškega temeljnega kapitala subjektov finančnega sektorja, kadar ima institucija v teh subjektih pomembno naložbo (znesek pod pragom 17,65 %, zmanjšan za sprejemljive kratke pozicije), v skladu s členom 36(1)(i), členi 43, 45 in 47, členom 48(1)(b) ter členom 49(1) do (3) CRR (skupni znesek takih naložb, ki niso razkrite v vrsticah 19 in 23 te predloge).</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 relevantno</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pod pragom 17,65 %, zmanjšan za povezane obveznosti za davek, če so izpolnjeni pogoji iz člena 38(3) CRR)</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pod pragom 17,65 % v skladu s členom 48(2)(b) CRR, zmanjšan za povezane obveznosti za davek, če so izpolnjeni pogoji iz člena 38(3) CRR), v skladu s členom 36(1)(c) in členoma 38 ter 48 CRR (skupni znesek takih odloženih terjatev za davek, ki niso razkrite v vrsticah 21 in 25 te predloge).</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standardizirani pristop (pred uporabo zgornje meje)</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standardizirani pristop, v skladu s členom 62(c) CRR.</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standardiziranega pristopa</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standardiziranega pristopa v skladu s členom 62(c) CRR.</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pristop na podlagi notranjih bonitetnih ocen (pred uporabo zgornje meje)</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pristop na podlagi notranjih bonitetnih ocen, v skladu s členom 62(d) CRR.</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pristopa na podlagi notranjih bonitetnih ocen</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pristopa na podlagi notranjih bonitetnih ocen v skladu s členom 62(d) CRR.</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Trenutna zgornja meja za instrumente navadnega lastniškega temeljnega kapitala, za katere se uporabljajo ureditve postopne odprave</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Trenutna zgornja meja za instrumente navadnega lastniškega temeljnega kapitala, za katere se uporabljajo ureditve postopne odprave, v skladu s členi 484(3) ter 486(2) in (5) CRR.</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izključen iz navadnega lastniškega temeljnega kapitala zaradi zgornje meje (preseganje zgornje meje po odkupih in zapadlostih)</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izključen iz navadnega lastniškega temeljnega kapitala zaradi zgornje meje (preseganje zgornje meje po odkupih in zapadlostih), v skladu s členi 484(3) ter 486(2) in (5) CRR.</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Trenutna zgornja meja za instrumente dodatnega temeljnega kapitala, za katere se uporabljajo ureditve postopne odprave</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Trenutna zgornja meja za instrumente dodatnega temeljnega kapitala, za katere se uporabljajo ureditve postopne odprave, v skladu s členi 484(4) ter 486(3) in (5) CRR.</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izključen iz dodatnega temeljnega kapitala zaradi zgornje meje (preseganje zgornje meje po odkupih in zapadlostih)</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izključen iz dodatnega temeljnega kapitala zaradi zgornje meje (preseganje zgornje meje po odkupih in zapadlostih), v skladu s členi 484(4) ter 486(3) in (5) CRR.</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Trenutna zgornja meja za instrumente dodatnega kapitala, za katere se uporabljajo ureditve postopne odprave</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Trenutna zgornja meja za instrumente dodatnega kapitala, za katere se uporabljajo ureditve postopne odprave, v skladu s členi 484(5) ter 486(4) in (5) CRR.</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izključen iz dodatnega kapitala zaradi zgornje meje (preseganje zgornje meje po odkupih in zapadlostih)</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Znesek, izključen iz dodatnega kapitala zaradi zgornje meje (preseganje zgornje meje po odkupih in zapadlostih), v skladu s členi 484(5) ter 486(4) in (5) CRR.</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Predloga EU CC2 – Uskladitev regulativnega kapitala z bilanco stanja v revidiranih računovodskih izkazih</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razkrijejo informacije iz člena 437(a) CRR ob upoštevanju navodil iz te priloge za izpolnjevanje predloge EU CC2 iz Priloge VII k tej izvedbeni uredbi.</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razkrijejo bilanco stanja iz svojih objavljenih računovodskih izkazov. Računovodski izkazi so revidirani računovodski izkazi za razkritja ob koncu leta.</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Vrstice predloge so prilagodljive, institucije pa jih razkrijejo v skladu s svojimi računovodskimi izkazi. Postavke kapitala v revidiranih računovodskih izkazih zajemajo vse postavke, ki so sestavine regulativnega kapitala, vključno z lastniškim kapitalom, ali ki se odštejejo od njega, obveznosti, kot je dolg, ali druge bilančne postavke, ki vplivajo na regulativni kapital, kot so neopredmetena sredstva, dobro ime in odložene terjatve za davek. Institucije razširijo postavke kapitala iz bilance stanja, kot je potrebno za zagotovitev, da so vse sestavine, vključene v predlogo za razkritja o sestavi kapitala (predloga EU CC1), prikazane ločeno. Institucije elemente iz bilance stanja razširijo le do ravni razdrobljenosti, ki je potrebna za pridobitev sestavin, ki se zahtevajo s predlogo EU CC1. Razkritje je sorazmerno s kompleksnostjo bilance stanja institucije.</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Stolpci so fiksni in se razkrijejo, kot sledi:</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Stolpec a: institucije vključijo številke, ki se poročajo v bilanci stanja iz objavljenih računovodskih izkazov v skladu z obsegom konsolidacije za računovodske namene.</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Stolpec b: institucije razkrijejo številke, ki ustrezajo obsegu bonitetne konsolidacije.</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Stolpec c: institucije vključijo navzkrižna sklicevanja med postavko kapitala v predlogi EU CC2 in ustreznimi postavkami v predlogi za razkritja o kapitalu EU CC1. Sklic v stolpcu c predloge EU CC2 je povezan s sklicem v stolpcu b predloge EU CC1.</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Če sta obseg konsolidacije za računovodske namene in obseg bonitetne konsolidacije institucije povsem enaka, se stolpca (a) in (b) te predloge združita, to dejstvo pa se jasno razkrije, in sicer to velja za naslednje primere:</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 xml:space="preserve">Če institucije izpolnjujejo obveznosti iz dela 8 CRR na konsolidirani ali </w:t>
      </w:r>
      <w:proofErr w:type="spellStart"/>
      <w:r>
        <w:rPr>
          <w:rFonts w:ascii="Times New Roman" w:hAnsi="Times New Roman"/>
          <w:sz w:val="24"/>
        </w:rPr>
        <w:t>subkonsolidirani</w:t>
      </w:r>
      <w:proofErr w:type="spellEnd"/>
      <w:r>
        <w:rPr>
          <w:rFonts w:ascii="Times New Roman" w:hAnsi="Times New Roman"/>
          <w:sz w:val="24"/>
        </w:rPr>
        <w:t xml:space="preserve"> podlagi, vendar sta obseg in metoda konsolidacije, uporabljena za bilanco stanja v računovodskih izkazih identična obsegu in metodi konsolidacije, določenima v skladu s poglavjem 2 naslova II dela 1 CRR, in institucije jasno navedejo, da med zadevnima obsegoma in metodama konsolidacije ni nobenih razlik.</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Če institucije izpolnjujejo obveznosti iz dela 8 CRR na posamični podlagi.</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Razpredelnica EU CCA – Glavne značilnosti instrumentov regulativnega kapitala in instrumentov kvalificiranih obveznosti</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lastRenderedPageBreak/>
        <w:t>Institucije razkrijejo informacije iz člena 437(b) in (c) CRR ob upoštevanju navodil iz te priloge za izpolnjevanje razpredelnice EU CCA iz Priloge VII k tej izvedbeni uredbi.</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izpolnijo razpredelnico EU CCA za naslednje kategorije: instrumenti navadnega lastniškega temeljnega kapitala, instrumenti dodatnega temeljnega kapitala, instrumenti dodatnega kapitala ter, v smislu člena 72b CRR, instrumenti kvalificiranih obveznosti.</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Razpredelnice sestavljajo ločeni stolpci z značilnostmi vsakega instrumenta regulativnega kapitala in instrumenta kvalificiranih obveznosti. Če imajo različni instrumenti iste kategorije enake značilnosti, lahko institucije izpolnijo le en stolpec, v katerem razkrijejo te enake značilnosti, in navedejo izdaje, ki imajo enake značilnosti. Institucije pri razkritju stolpcev za te instrumente te razdelijo med tri oddelke (horizontalno, ob tabeli), kjer navedejo, ali so namenjeni za (i) samo za kapitalske zahteve (ne pa za zahteve glede kvalificiranih obveznosti); (ii) za kapitalske zahteve in zahteve glede kvalificiranih obveznosti; (iii) samo za zahteve glede kvalificiranih obveznosti (ne pa kapitalske zahteve).</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v zvezi z instrumenti kvalificiranih obveznosti, ki niso podrejeni izključenim obveznostim, razkrijejo samo vrednostne papirje, ki so zamenljivi, tržni finančni instrumenti, ob izključitvi kreditov in vlog.</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Navodila za izpolnjevanje razpredelnice o glavnih značilnostih instrumentov regulativnega kapitala in instrumentov kvalificiranih obveznosti</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Številka vrstice</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Pojasnilo</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Izdajatelj</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uradno ime izdajatelja.</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Edinstvena oznaka (npr. koda CUSIP, koda ISIN ali oznaka </w:t>
            </w:r>
            <w:proofErr w:type="spellStart"/>
            <w:r>
              <w:rPr>
                <w:rFonts w:ascii="Times New Roman" w:hAnsi="Times New Roman"/>
                <w:sz w:val="24"/>
              </w:rPr>
              <w:t>Bloomberg</w:t>
            </w:r>
            <w:proofErr w:type="spellEnd"/>
            <w:r>
              <w:rPr>
                <w:rFonts w:ascii="Times New Roman" w:hAnsi="Times New Roman"/>
                <w:sz w:val="24"/>
              </w:rPr>
              <w:t xml:space="preserve"> za prodajo zaprtemu krogu vlagateljev)</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Javna prodaja ali prodaja zaprtemu krogu vlagateljev</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Institucije navedejo, ali je za instrument izvedena javna prodaja ali prodaja zaprtemu krogu vlagateljev.</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Izberite z menija: [javna], [zaprti krog vlagateljev]</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Zakonodaja, ki ureja instrument</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zakonodajo, ki ureja dokument.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Prosto besedilo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Pogodbeno pripoznanje pooblastil organov za reševanje za odpis in konverzijo</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Institucije navedejo, ali instrument vsebuje klavzulo, na podlagi katere se lahko z odločitvijo organa za reševanje ali ustreznega organa tretje države znesek glavnice instrumenta trajno odpiše ali pa se instrument konvertira v instrument navadnega lastniškega temeljnega kapitala, v smislu naslednjih določb, kjer je relevantno:</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52(1)(p) CRR v zvezi z instrumenti dodatnega temeljnega kapitala;</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63(n) ali (o) CRR v zvezi z instrumenti dodatnega kapitala;</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72b(2)(n) v zvezi s kvalificiranimi obveznostmi;</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55 Direktive (EU)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(DSRB) v zvezi s katerim koli od zgornjih instrumentov, kadar ga ureja pravo tretje države.</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Odpis in konverzija sta lahko skladna tako s členom 55 DSRB kot eno od zgornjih treh alinej.</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Trenutna obravnava ob upoštevanju prehodnih pravil CRR, kjer je relevantno</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prehodno obravnavo regulativnega kapitala iz CRR. Referenčna točka je prvotna razvrstitev instrumenta ne glede na morebitno prerazvrstitev na nižje stopnje kapitala.</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[navadni lastniški temeljni kapital], [dodatni temeljni kapital], [dodatni kapital], [ni sprejemljiv], [ni relevantno]</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Prosto besedilo – navedite, ali je bil del izdaje prerazvrščen na nižje stopnje kapitala.</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Pravila iz CRR po prehodnem obdobju</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obravnavo regulativnega kapitala v skladu s CRR brez upoštevanja prehodne obravnave.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Izberite z menija: [navadni lastniški temeljni kapital], [dodatni temeljni kapital], [dodatni kapital], [kvalificirane obveznosti], [ni sprejemljiv]</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Sprejemljivi na posamični/(sub)konsolidirani ravni / na posamični in na (sub)konsolidirani ravni</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raven znotraj skupine, na kateri je instrument vključen v kapital/kvalificirane obveznosti.</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Izberite z menija: [posamična], [(sub)konsolidirana], [posamična in (sub)konsolidirana]</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Vrsta instrumenta (vrste določi posamezna jurisdikcija)</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vrsto instrumenta glede na jurisdikcijo.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Za instrumente navadnega lastniškega temeljnega kapitala izberite ime instrumenta s seznama instrumentov navadnega lastniškega temeljnega kapitala, ki ga objavi EBA v skladu s členom 26(3) CRR.</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Za druge instrumente izmed: možnosti iz menija, ki ga institucijam zagotovi posamezna jurisdikcija – vstavijo se pravni sklici na člene CRR za vsako vrsto instrumenta.</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Znesek, pripoznan v regulativnem kapitalu ali kvalificiranih obveznostih (valuta v milijonih na zadnji datum poročanja)</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znesek, pripoznan v regulativnem kapitalu ali kvalificiranih obveznostih.</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 – zlasti navedite, ali so kateri deli instrumentov na različnih stopnjah regulativnega kapitala in ali se znesek, pripoznan v regulativnem kapitalu, razlikuje od izdanega zneska.</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Nominalni znesek instrumenta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Nominalni znesek instrumenta v valuti izdaje in valuti, ki se uporablja za obveznosti poročanja.</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Cena izdaje</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Cena izdaje instrumenta.</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Cena odkupa</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Cena odkupa instrumenta.</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Računovodska razvrstitev</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računovodsko razvrstitev.</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[lastniški kapital], [obveznost – odplačna vrednost], [obveznost – opcija poštene vrednosti], [</w:t>
            </w:r>
            <w:proofErr w:type="spellStart"/>
            <w:r>
              <w:rPr>
                <w:rFonts w:ascii="Times New Roman" w:hAnsi="Times New Roman"/>
                <w:i/>
                <w:sz w:val="24"/>
              </w:rPr>
              <w:t>neobvladujoči</w:t>
            </w:r>
            <w:proofErr w:type="spellEnd"/>
            <w:r>
              <w:rPr>
                <w:rFonts w:ascii="Times New Roman" w:hAnsi="Times New Roman"/>
                <w:i/>
                <w:sz w:val="24"/>
              </w:rPr>
              <w:t xml:space="preserve"> delež v konsolidirani podrejeni družbi].</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Prvotni datum izdaje</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datum izdaje.</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Prosto besedilo</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Brez zapadlosti ali z zapadlostjo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so instrumenti brez zapadlosti ali imajo določen rok zapadlosti.</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[brez zapadlosti], [z zapadlostjo]</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Prvotni datum zapadlosti</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Za instrumente z zapadlostjo institucije navedejo prvotni datum zapadlosti (dan, mesec in leto). Za instrumente brez zapadlosti se navede „brez zapadlosti“.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Odpoklic izdajatelja na podlagi predhodne nadzorniške odobritve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obstaja opcija odpoklica izdajatelja (vse vrste opcij odpoklica).</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Poljubni datum odpoklica, pogojni datumi odpoklica in odkupni znesek</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Za instrument z opcijo odpoklica izdajatelja, institucije navedejo prvi datum odpoklica, če ima instrument opcijo odpoklica na določen datum (dan, mesec in leto), in ali ima instrument opcijo odpoklica zaradi davčnega in/ali regulativnega dogodka/obravnave. Institucije navedejo tudi odkupno ceno, kar je v pomoč pri oceni trajnosti.</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Naknadni datumi odpoklica, če je relevantno</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obstoj in pogostost naknadnih datumov odpoklica, če je relevantno, kar je v pomoč pri oceni trajnosti.</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Fiksna ali spremenljiva dividenda/kuponska obrestna mera</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ali je kuponska obrestna mera/dividenda fiksna ali spremenljiva v celotni življenjski dobi instrumenta ali trenutno fiksna, ampak se bo v prihodnje pretvorila v spremenljivo obrestno mero, ali trenutno spremenljiva, ampak se bo v prihodnje pretvorila v fiksno obrestno mero.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Izberite z menija: [fiksna], [spremenljiva], [fiksna, nato spremenljiva], [spremenljiva, nato fiksna]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Kuponska obrestna mera in vsak z njo povezan indeks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 xml:space="preserve">Institucije navedejo kuponsko obrestno mero instrumenta in vsak povezan indeks, na katerem temelji kuponska obrestna mera/dividenda.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Prosto besedilo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Obstoj možnosti neizplačila donosov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ali neizplačilo kupona ali dividende instrumenta prepoveduje izplačilo dividend na navadne delnice (tj. ali obstaja možnost neizplačila donosov).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Izberite z menija: [da], [ne]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Popolna diskrecijska pravica, delna diskrecijska pravica ali obvezno (glede na časovno razporeditev)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ima izdajatelj popolno diskrecijsko pravico, delno diskrecijsko pravico ali nima diskrecijske pravice v zvezi z izplačilom kupona/dividende. Če ima institucija popolno diskrecijsko pravico do ukinitve izplačil kupona/dividende v vseh okoliščinah, mora izbrati možnost „popolna diskrecijska pravica“ (tudi če obstaja možnost neizplačila donosov, ki instituciji ne more preprečiti ukinitve izplačil instrumenta). Če je za ukinitev izplačila potrebno izpolnjevati določene pogoje (npr. kapital pod določenim pragom), mora institucija izbrati možnost „delna diskrecijska pravica“. Če institucija ne more ukiniti izplačila, razen v primeru insolventnosti, mora izbrati „obvezno“.</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[popolna diskrecijska pravica], [delna diskrecijska pravica], [obvezno]</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Prosto besedilo – navedite razloge za diskrecijsko pravico ter obstoj možnosti gotovega izplačila donosov, možnosti neizplačila donosov in alternativnega mehanizma za poravnavo kuponske obrestne mere.</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Popolna diskrecijska pravica, delna diskrecijska pravica ali obvezno (glede na znesek)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ima izdajatelj popolno diskrecijsko pravico, delno diskrecijsko pravico ali nima diskrecijske pravice v zvezi z zneskom izplačanega kupona/dividende.</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[popolna diskrecijska pravica], [delna diskrecijska pravica], [obvezno]</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Možnost povečanja ali druge spodbude za odkup</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obstaja možnost povečanja stopnje izplačila ali druga spodbuda za odkup.</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proofErr w:type="spellStart"/>
            <w:r>
              <w:rPr>
                <w:rFonts w:ascii="Times New Roman" w:hAnsi="Times New Roman"/>
                <w:sz w:val="24"/>
              </w:rPr>
              <w:t>Nekumulativni</w:t>
            </w:r>
            <w:proofErr w:type="spellEnd"/>
            <w:r>
              <w:rPr>
                <w:rFonts w:ascii="Times New Roman" w:hAnsi="Times New Roman"/>
                <w:sz w:val="24"/>
              </w:rPr>
              <w:t xml:space="preserve"> ali kumulativni</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ali so dividende/kuponi kumulativni ali </w:t>
            </w:r>
            <w:proofErr w:type="spellStart"/>
            <w:r>
              <w:rPr>
                <w:rFonts w:ascii="Times New Roman" w:hAnsi="Times New Roman"/>
                <w:sz w:val="24"/>
              </w:rPr>
              <w:t>nekumulativni</w:t>
            </w:r>
            <w:proofErr w:type="spellEnd"/>
            <w:r>
              <w:rPr>
                <w:rFonts w:ascii="Times New Roman" w:hAnsi="Times New Roman"/>
                <w:sz w:val="24"/>
              </w:rPr>
              <w:t>.</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w:t>
            </w:r>
            <w:proofErr w:type="spellStart"/>
            <w:r>
              <w:rPr>
                <w:rFonts w:ascii="Times New Roman" w:hAnsi="Times New Roman"/>
                <w:i/>
                <w:sz w:val="24"/>
              </w:rPr>
              <w:t>nekumulativni</w:t>
            </w:r>
            <w:proofErr w:type="spellEnd"/>
            <w:r>
              <w:rPr>
                <w:rFonts w:ascii="Times New Roman" w:hAnsi="Times New Roman"/>
                <w:i/>
                <w:sz w:val="24"/>
              </w:rPr>
              <w:t>], [kumulativni], [alternativni mehanizem za poravnavo kuponske obrestne mere]</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Konvertibilni ali nekonvertibilni</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so instrumenti konvertibilni ali ne.</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[konvertibilni], [nekonvertibilni]</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so konvertibilni, kateri so sprožilni dogodki za konverzijo</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pogoje, pod katerimi bo instrument konvertiran, vključno s točko neizvedljivosti. Če lahko eden ali več organov sproži konverzijo, se te organe navede. V zvezi z vsakim organom se navede, ali mu pravno podlago za sprožitev konverzije zagotavljajo pogoji iz pogodbe za instrument (pogodbeni pristop) ali mu je pravna podlaga zagotovljena na zakonski osnovi (zakonski pristop).</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so konvertibilni, ali so v celoti ali delno</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se bo instrument vedno v celoti konvertiral, se bo lahko konvertiral v celoti ali delno ali se bo vedno konvertiral delno.</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[vedno v celoti], [v celoti ali delno], [vedno delno]</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so konvertibilni, kakšna je stopnja konverzije</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stopnjo, po kateri se instrument konvertira v instrument, ki bolj pokriva izgube.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so konvertibilni, ali je konverzija obvezna ali izbirna</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za konvertibilne instrumente navedejo, ali je konverzija obvezna ali izbirna.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[obvezna], [izbirna], [n. r.] in [po izbiri imetnikov], [po izbiri izdajatelja], [po izbiri imetnikov in izdajatelja]</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so konvertibilni, navedite vrsto instrumenta, v katerega se konvertirajo</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za konvertibilne instrumente navedejo vrsto instrumenta, v katerega se konvertirajo. To pomaga pri oceni pokritja izgub.</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[navadni lastniški temeljni kapital], [dodatni temeljni kapital], [dodatni kapital], [drugo]</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so konvertibilni, navedite izdajatelja instrumenta, v katerega se konvertirajo</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Možnosti odpisa</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ali obstaja možnost odpisa.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 primeru odpisa, kateri so sprožilni dogodki</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sprožilne dogodke, pri katerih pride do odpisa, vključno s točko neizvedljivosti. Če lahko eden ali več organov sproži odpis, se te organe navede. V zvezi z vsakim organom se navede, ali mu pravno podlago za odpis zagotavljajo pogoji iz pogodbe za instrument (pogodbeni pristop) ali mu je pravna podlaga zagotovljena na zakonski osnovi (zakonski pristop).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primeru odpisa, ali gre za popoln ali delen odpis</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bo instrument vedno odpisan v celoti, ali se lahko odpiše delno ali se bo vedno odpisal delno. To pomaga pri oceni ravni pokritja izgub pri odpisu.</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[vedno v celoti], [v celoti ali delno], [vedno delno]</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 primeru odpisa, ali je stalen ali začasen</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za odpisane instrumente navedejo, ali je odpis trajen ali začasen.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[trajen] [začasen] [</w:t>
            </w:r>
            <w:proofErr w:type="spellStart"/>
            <w:r>
              <w:rPr>
                <w:rFonts w:ascii="Times New Roman" w:hAnsi="Times New Roman"/>
                <w:i/>
                <w:sz w:val="24"/>
              </w:rPr>
              <w:t>n.r</w:t>
            </w:r>
            <w:proofErr w:type="spellEnd"/>
            <w:r>
              <w:rPr>
                <w:rFonts w:ascii="Times New Roman" w:hAnsi="Times New Roman"/>
                <w:i/>
                <w:sz w:val="24"/>
              </w:rPr>
              <w:t>.]</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 primeru začasnega odpisa, opis mehanizma za zvišanje vrednosti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opišejo mehanizem za pripis višje vrednosti.</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Vrsta podrejenosti (samo za kvalificirane obveznosti)</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ali instrument ustreza kateri od vrst podrejenosti, opisanih v členu 72b(2)(d)(i), (ii) in (iii) CRR.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[pogodbena], če instrument izpolnjuje zahteve iz člena 72b(2)(d)(i) CRR;</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[zakonska], če instrument izpolnjuje zahteve iz člena 72b(2)(d)(ii) CRR;</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[strukturna], če instrument izpolnjuje zahteve iz člena 72b(2)(d)(iii) CRR;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[izvzet iz podrejenosti], če instrument ne ustreza nobeni od zgornjih vrst podrejenosti in če je bilo instituciji v skladu s členom 72b(4) CRR dovoljeno, da nepodrejene obveznosti vključi kot postavke kvalificiranih obveznosti.</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Prednostni vrstni red poplačila instrumenta v običajnem </w:t>
            </w:r>
            <w:proofErr w:type="spellStart"/>
            <w:r>
              <w:rPr>
                <w:rFonts w:ascii="Times New Roman" w:hAnsi="Times New Roman"/>
                <w:sz w:val="24"/>
              </w:rPr>
              <w:t>insolvenčnem</w:t>
            </w:r>
            <w:proofErr w:type="spellEnd"/>
            <w:r>
              <w:rPr>
                <w:rFonts w:ascii="Times New Roman" w:hAnsi="Times New Roman"/>
                <w:sz w:val="24"/>
              </w:rPr>
              <w:t xml:space="preserve"> postopku</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navedejo prednostni vrstni red poplačila instrumenta v običajnem </w:t>
            </w:r>
            <w:proofErr w:type="spellStart"/>
            <w:r>
              <w:rPr>
                <w:rFonts w:ascii="Times New Roman" w:hAnsi="Times New Roman"/>
                <w:sz w:val="24"/>
              </w:rPr>
              <w:t>insolvenčnem</w:t>
            </w:r>
            <w:proofErr w:type="spellEnd"/>
            <w:r>
              <w:rPr>
                <w:rFonts w:ascii="Times New Roman" w:hAnsi="Times New Roman"/>
                <w:sz w:val="24"/>
              </w:rPr>
              <w:t xml:space="preserve"> postopku.</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Kot je določeno v [ITS o minimalnih zahtevah glede kapitala in kvalificiranih obveznosti].</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Položaj v hierarhiji podrejenosti pri likvidaciji (navedite vrsto instrumenta, ki je neposredno nadrejen zadevnemu instrumentu)</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instrument, ki mu je zadevni instrument najbolj neposredno podrejen. Kjer je relevantno, banke navedejo tudi številke stolpcev iz izpolnjene razpredelnice o glavnih značilnosti za instrumente, katerim je instrument najbolj neposredno podrejen.</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Neskladne značilnosti v prehodnem obdobju</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ali obstajajo neskladne značilnosti.</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Če neskladne značilnosti obstajajo, jih navedite</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Če obstajajo neskladne značilnosti, jih institucija navede.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Povezava do vseh določil in pogojev instrumenta (sklicevanje)</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navedejo spletno povezavo, ki omogoča dostop do prospekta izdaje, vključno z vsemi določili in pogoji instrumenta.</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 xml:space="preserve">PRILOGA X – Navodila za razkritje informacij o </w:t>
      </w:r>
      <w:proofErr w:type="spellStart"/>
      <w:r>
        <w:t>proticikličnih</w:t>
      </w:r>
      <w:proofErr w:type="spellEnd"/>
      <w:r>
        <w:t xml:space="preserve"> kapitalskih blažilnikih</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Predloga EU CCyB1 – Geografska razčlenitev ustreznih kreditnih izpostavljenosti za namene izračuna </w:t>
      </w:r>
      <w:proofErr w:type="spellStart"/>
      <w:r>
        <w:rPr>
          <w:rFonts w:ascii="Times New Roman" w:hAnsi="Times New Roman"/>
          <w:b/>
          <w:sz w:val="24"/>
        </w:rPr>
        <w:t>proticikličnega</w:t>
      </w:r>
      <w:proofErr w:type="spellEnd"/>
      <w:r>
        <w:rPr>
          <w:rFonts w:ascii="Times New Roman" w:hAnsi="Times New Roman"/>
          <w:b/>
          <w:sz w:val="24"/>
        </w:rPr>
        <w:t xml:space="preserve"> kapitalskega blažilnika. </w:t>
      </w:r>
      <w:r>
        <w:rPr>
          <w:rFonts w:ascii="Times New Roman" w:hAnsi="Times New Roman"/>
          <w:sz w:val="24"/>
        </w:rPr>
        <w:t xml:space="preserve">Fiksna oblika za stolpce, prilagodljiva oblika za vrstice.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Institucije razkrijejo informacije iz člena 440(a) Uredbe (EU) št. 575/2013</w:t>
      </w:r>
      <w:r>
        <w:rPr>
          <w:rStyle w:val="FootnoteReference"/>
        </w:rPr>
        <w:footnoteReference w:id="17"/>
      </w:r>
      <w:r>
        <w:rPr>
          <w:rFonts w:ascii="Times New Roman" w:hAnsi="Times New Roman"/>
          <w:sz w:val="24"/>
        </w:rPr>
        <w:t xml:space="preserve"> (CRR) ob upoštevanju navodil iz te priloge za izpolnjevanje predloge EU CCyB1 iz Priloge IX k tej izvedbeni uredbi.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Obseg predloge EU CCyB1 je omejen na ustrezne kreditne izpostavljenosti za namene izračuna </w:t>
      </w:r>
      <w:proofErr w:type="spellStart"/>
      <w:r>
        <w:rPr>
          <w:rFonts w:ascii="Times New Roman" w:hAnsi="Times New Roman"/>
          <w:sz w:val="24"/>
        </w:rPr>
        <w:t>proticikličnega</w:t>
      </w:r>
      <w:proofErr w:type="spellEnd"/>
      <w:r>
        <w:rPr>
          <w:rFonts w:ascii="Times New Roman" w:hAnsi="Times New Roman"/>
          <w:sz w:val="24"/>
        </w:rPr>
        <w:t xml:space="preserve"> blažilnika v skladu s členom 140(4) Direktive 2013/36/EU</w:t>
      </w:r>
      <w:r>
        <w:rPr>
          <w:rStyle w:val="FootnoteReference"/>
          <w:rFonts w:eastAsia="Times New Roman"/>
        </w:rPr>
        <w:footnoteReference w:id="18"/>
      </w:r>
      <w:r>
        <w:rPr>
          <w:rFonts w:ascii="Times New Roman" w:hAnsi="Times New Roman"/>
          <w:sz w:val="24"/>
        </w:rPr>
        <w:t xml:space="preserve"> (CRD)</w:t>
      </w:r>
      <w: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Pravna podlaga in navodila</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Razčlenitev po državah</w:t>
            </w:r>
          </w:p>
          <w:p w14:paraId="058E3F2B" w14:textId="77777777" w:rsidR="00CE019E" w:rsidRPr="007F4CC8" w:rsidRDefault="00CE019E" w:rsidP="001E06A3">
            <w:pPr>
              <w:pStyle w:val="Applicationdirecte"/>
              <w:spacing w:before="120"/>
            </w:pPr>
            <w:r>
              <w:t xml:space="preserve">Seznam držav, v katerih ima institucija ustrezne kreditne izpostavljenosti za namen izračuna posamezni instituciji lastnega </w:t>
            </w:r>
            <w:proofErr w:type="spellStart"/>
            <w:r>
              <w:t>proticikličnega</w:t>
            </w:r>
            <w:proofErr w:type="spellEnd"/>
            <w:r>
              <w:t xml:space="preserve"> blažilnika v skladu z Delegirano uredbo Komisije (EU) št. 1152/2014</w:t>
            </w:r>
            <w:r>
              <w:rPr>
                <w:rStyle w:val="FootnoteReference"/>
              </w:rPr>
              <w:footnoteReference w:id="19"/>
            </w:r>
            <w:r>
              <w:t>.</w:t>
            </w:r>
          </w:p>
          <w:p w14:paraId="3D1A0E2B" w14:textId="77777777" w:rsidR="00CE019E" w:rsidRPr="007F4CC8" w:rsidRDefault="00CE019E" w:rsidP="001E06A3">
            <w:pPr>
              <w:pStyle w:val="Fait"/>
              <w:spacing w:after="120"/>
            </w:pPr>
            <w:r>
              <w:t xml:space="preserve">Število vrstic se lahko razlikuje glede na število držav, v katerih ima institucija ustrezne kreditne izpostavljenosti za namene izračuna </w:t>
            </w:r>
            <w:proofErr w:type="spellStart"/>
            <w:r>
              <w:t>proticikličnega</w:t>
            </w:r>
            <w:proofErr w:type="spellEnd"/>
            <w:r>
              <w:t xml:space="preserve"> blažilnika. Institucije oštevilčijo vrstice zaporedno za vsako državo, pri čemer začnejo z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V skladu z Delegirano uredbo Komisije (EU) št. 1152/2014 se lahko institucija, če izpostavljenosti v trgovalni knjigi ali tuje kreditne izpostavljenosti predstavljajo manj kot 2 % skupnih tveganju prilagojenih izpostavljenosti, odloči izpostavljenosti razporediti na lokacijo institucije (tj. matično državo članico institucije). Če izpostavljenosti za lokacijo institucije vključujejo izpostavljenosti iz drugih držav, je to jasno navedeno v opombi k predlogi z razkritji.</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Skupaj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Vrednost, kot je opisana v skladu s pojasnilom za stolpce a do m te predloge.</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lastRenderedPageBreak/>
              <w:t>Pravna podlaga in navodila</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Pojasnilo</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Vrednost izpostavljenosti splošnih kreditnih izpostavljenosti po standardiziranem pristopu</w:t>
            </w:r>
          </w:p>
          <w:p w14:paraId="28AF669D" w14:textId="77777777" w:rsidR="00CE019E" w:rsidRPr="007F4CC8" w:rsidRDefault="00CE019E" w:rsidP="001E06A3">
            <w:pPr>
              <w:pStyle w:val="Fait"/>
              <w:spacing w:after="120"/>
            </w:pPr>
            <w:r>
              <w:t>Vrednost izpostavljenosti ustreznih kreditnih izpostavljenosti, določena v skladu s členom 140(4)(a) CRD in členom 111 CRR.</w:t>
            </w:r>
          </w:p>
          <w:p w14:paraId="6C005399" w14:textId="77777777" w:rsidR="00CE019E" w:rsidRPr="007F4CC8" w:rsidRDefault="00CE019E" w:rsidP="001E06A3">
            <w:pPr>
              <w:pStyle w:val="Fait"/>
              <w:spacing w:after="120"/>
            </w:pPr>
            <w:r>
              <w:t>Vrednost izpostavljenosti ustreznih kreditnih izpostavljenosti, določena v skladu s členom 140(4)(c) CRD, pri čemer se vrednosti iz člena 248(a) in (c) CRR ne vključijo tukaj, ampak v stolpcu e te predloge.</w:t>
            </w:r>
          </w:p>
          <w:p w14:paraId="6394081F" w14:textId="77777777" w:rsidR="00CE019E" w:rsidRPr="007F4CC8" w:rsidRDefault="00CE019E" w:rsidP="001E06A3">
            <w:pPr>
              <w:pStyle w:val="Fait"/>
              <w:spacing w:after="120"/>
            </w:pPr>
            <w:r>
              <w:t xml:space="preserve">Geografska razčlenitev se opravi v skladu z Delegirano uredbo Komisije (EU) št. 1152/2014. </w:t>
            </w:r>
          </w:p>
          <w:p w14:paraId="41086AB3" w14:textId="77777777" w:rsidR="00CE019E" w:rsidRPr="007F4CC8" w:rsidRDefault="00CE019E" w:rsidP="001E06A3">
            <w:pPr>
              <w:pStyle w:val="Fait"/>
              <w:spacing w:after="120"/>
            </w:pPr>
            <w:r>
              <w:t>Vrstica 020 (skupaj): vsota vseh ustreznih kreditnih izpostavljenosti se določi v skladu s členom 140(4)(a) CRD in členom 111 CRR.</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Vrednost izpostavljenosti splošnih kreditnih izpostavljenosti po pristopu IRB</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Vrednost izpostavljenosti ustreznih kreditnih izpostavljenosti, določena v skladu s členom 140(4)(a) CRD in členom 166, 167 in 168 CRR.</w:t>
            </w:r>
          </w:p>
          <w:p w14:paraId="6CF97579" w14:textId="77777777" w:rsidR="00CE019E" w:rsidRPr="007F4CC8" w:rsidRDefault="00CE019E" w:rsidP="001E06A3">
            <w:pPr>
              <w:pStyle w:val="Fait"/>
              <w:spacing w:after="120"/>
            </w:pPr>
            <w:r>
              <w:t>Vrednost izpostavljenosti ustreznih kreditnih izpostavljenosti, določena v skladu s členom 140(4)(c) CRD, pri čemer se vrednosti iz člena 248(a) in (c) CRR ne vključijo tukaj, ampak v stolpcu e te predloge.</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razčlenitev se opravi v skladu z Delegirano uredbo Komisije (EU) št.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Vrstica 020 (skupaj): vsota vseh ustreznih kreditnih izpostavljenosti se določi v skladu s členom 140(4)(a) CRD in členi 166, 167 ter 168 CRR.</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Vsota dolgih in kratkih pozicij izpostavljenosti v trgovalni knjigi po standardiziranem pristopu</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Vsota dolgih in kratkih pozicij ustreznih kreditnih izpostavljenosti, določenih v skladu s členom 140(4)(b) CRD, izračunana kot vsota dolgih in kratkih pozicij, določena v skladu s členom 327 CRR.</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razčlenitev se opravi v skladu z Delegirano uredbo Komisije (EU) št.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vseh dolgih in kratkih pozicij ustreznih kreditnih izpostavljenosti se določi v skladu s členom 140(4)(b) CRD, izračunana kot vsota dolgih in kratkih pozicij, določena v skladu s členom 327 CRR.</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Vrednost izpostavljenosti v trgovalni knjigi po notranjih modelih</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Vsota:</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lastRenderedPageBreak/>
              <w:t>poštene vrednosti denarnih pozicij, ki predstavljajo ustrezne kreditne izpostavljenosti, kot se določijo v skladu s členom 140(4)(b) CRD in členom 104 CRR;</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hipotetične vrednosti izvedenih finančnih instrumentov, ki predstavljajo ustrezne kreditne izpostavljenosti, kot se določijo v skladu s členom 140(4)(b) CRD.</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razčlenitev se opravi v skladu z Delegirano uredbo Komisije (EU) št.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poštenih vrednosti vseh denarnih pozicij, ki predstavljajo ustrezne kreditne izpostavljenosti, se določi v skladu s členom 140(4)(b) CRD in členom 104 CRR, vsota hipotetičnih vrednosti vseh izvedenih finančnih instrumentov, ki predstavljajo ustrezne kreditne izpostavljenosti, pa se določi v skladu s členom 140(4)(b) CRD.</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Izpostavljenosti v </w:t>
            </w:r>
            <w:proofErr w:type="spellStart"/>
            <w:r>
              <w:rPr>
                <w:rFonts w:ascii="Times New Roman" w:hAnsi="Times New Roman"/>
                <w:b/>
                <w:sz w:val="24"/>
              </w:rPr>
              <w:t>listinjenju</w:t>
            </w:r>
            <w:proofErr w:type="spellEnd"/>
            <w:r>
              <w:rPr>
                <w:rFonts w:ascii="Times New Roman" w:hAnsi="Times New Roman"/>
                <w:b/>
                <w:sz w:val="24"/>
              </w:rPr>
              <w:t xml:space="preserve"> – vrednost izpostavljenosti v </w:t>
            </w:r>
            <w:proofErr w:type="spellStart"/>
            <w:r>
              <w:rPr>
                <w:rFonts w:ascii="Times New Roman" w:hAnsi="Times New Roman"/>
                <w:b/>
                <w:sz w:val="24"/>
              </w:rPr>
              <w:t>netrgovalni</w:t>
            </w:r>
            <w:proofErr w:type="spellEnd"/>
            <w:r>
              <w:rPr>
                <w:rFonts w:ascii="Times New Roman" w:hAnsi="Times New Roman"/>
                <w:b/>
                <w:sz w:val="24"/>
              </w:rPr>
              <w:t xml:space="preserve"> knjigi</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Vrednost izpostavljenosti ustreznih kreditnih izpostavljenosti, določena v skladu s členom 140(4)(c) CRD in členom 248(a) in (c) CRR.</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razčlenitev se opravi v skladu z Delegirano uredbo Komisije (EU) št.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vseh ustreznih kreditnih izpostavljenosti se določi v skladu s členom 140(4)(c) CRD in členom 248(a) in (c) CRR.</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Vrednost skupne izpostavljenosti</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Vsota zneskov v stolpcih a, b, c, d in e te predloge.</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vseh ustreznih kreditnih izpostavljenosti se določi v skladu s členom 140(4) CRD.</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Kapitalske zahteve – ustrezne izpostavljenosti kreditnemu tveganju – kreditno tveganje</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Kapitalske zahteve za ustrezne kreditne izpostavljenosti v zadevni državi, določene v skladu s členom 140(4)(a) CRD in naslovom II dela 3 CRR ter ob upoštevanju kapitalskih zahtev v zvezi z vsemi za državo specifičnimi prilagoditvami uteži tveganja, določenimi v skladu s členom 458.</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vseh kapitalskih zahtev za ustrezne kreditne izpostavljenosti se določi v skladu s členom 140(4)(a) CRD in naslovom II dela 3 CRR.</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Kapitalske zahteve – ustrezne kreditne izpostavljenosti – tržno tveganje </w:t>
            </w:r>
          </w:p>
          <w:p w14:paraId="31945EB4" w14:textId="77777777" w:rsidR="00CE019E" w:rsidRPr="007F4CC8" w:rsidRDefault="00CE019E" w:rsidP="001E06A3">
            <w:pPr>
              <w:pStyle w:val="Fait"/>
              <w:spacing w:after="120"/>
            </w:pPr>
            <w:r>
              <w:t xml:space="preserve">Kapitalske zahteve za ustrezne kreditne izpostavljenosti v zadevni državi, določene v skladu s členom 140(4)(b) CRD in poglavjem 2 naslova IV dela 3 </w:t>
            </w:r>
            <w:r>
              <w:lastRenderedPageBreak/>
              <w:t>CRR za specifično tveganje ali v skladu s poglavjem 5 naslova IV dela 3 CRR za presežno tveganje neplačila in migracije.</w:t>
            </w:r>
          </w:p>
          <w:p w14:paraId="2401E826" w14:textId="77777777" w:rsidR="00CE019E" w:rsidRPr="007F4CC8" w:rsidRDefault="00CE019E" w:rsidP="001E06A3">
            <w:pPr>
              <w:pStyle w:val="Fait"/>
              <w:spacing w:after="120"/>
            </w:pPr>
            <w:r>
              <w:t>Vrstica 020 (skupaj): Vsota vseh kapitalskih zahtev za ustrezne kreditne izpostavljenosti se določi v skladu s členom 140(4)(b) CRD in poglavjem 2 naslova IV dela 3 CRR za specifično tveganje ali v skladu s poglavjem 5 naslova IV dela 3 CRR za presežno tveganje neplačila in migracije.</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Kapitalske zahteve – ustrezne kreditne izpostavljenosti – pozicije v </w:t>
            </w:r>
            <w:proofErr w:type="spellStart"/>
            <w:r>
              <w:rPr>
                <w:rFonts w:ascii="Times New Roman" w:hAnsi="Times New Roman"/>
                <w:b/>
                <w:sz w:val="24"/>
              </w:rPr>
              <w:t>listinjenju</w:t>
            </w:r>
            <w:proofErr w:type="spellEnd"/>
            <w:r>
              <w:rPr>
                <w:rFonts w:ascii="Times New Roman" w:hAnsi="Times New Roman"/>
                <w:b/>
                <w:sz w:val="24"/>
              </w:rPr>
              <w:t xml:space="preserve"> v </w:t>
            </w:r>
            <w:proofErr w:type="spellStart"/>
            <w:r>
              <w:rPr>
                <w:rFonts w:ascii="Times New Roman" w:hAnsi="Times New Roman"/>
                <w:b/>
                <w:sz w:val="24"/>
              </w:rPr>
              <w:t>netrgovalni</w:t>
            </w:r>
            <w:proofErr w:type="spellEnd"/>
            <w:r>
              <w:rPr>
                <w:rFonts w:ascii="Times New Roman" w:hAnsi="Times New Roman"/>
                <w:b/>
                <w:sz w:val="24"/>
              </w:rPr>
              <w:t xml:space="preserve"> knjigi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Kapitalske zahteve za ustrezne kreditne izpostavljenosti v zadevni državi, določene v skladu s členom 140(4)(c) CRD in poglavjem 5 naslova II dela 3 CRR.</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vseh kapitalskih zahtev za ustrezne kreditne izpostavljenosti se določi v skladu s členom 140(4)(c) CRD in poglavjem 5 naslova II dela 3 CRR.</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Kapitalske zahteve – skupaj</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Vsota zneskov v stolpcih g, h in i te predloge.</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Vrstica 020 (skupaj): vsota vseh kapitalskih zahtev za ustrezne kreditne izpostavljenosti se določi v skladu s členom 140(4) CRD.</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Zneski tveganju prilagojenih izpostavljenosti</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Zneski tveganju prilagojenih izpostavljenosti za ustrezne kreditne izpostavljenosti, določene v skladu s členom 140(4) CRD, razčlenjeni po državah in ob upoštevanju za države specifičnih prilagoditev uteži tveganja, določenih v skladu s členom 458 CRR.</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Vrstica 020 (skupaj): vsota vseh zneskov tveganju prilagojenih izpostavljenosti za ustrezne kreditne izpostavljenosti se določi v skladu s členom 140(4) CRD.</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Uteži kapitalskih zahtev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Utež, ki se uporablja za stopnjo </w:t>
            </w:r>
            <w:proofErr w:type="spellStart"/>
            <w:r>
              <w:rPr>
                <w:rFonts w:ascii="Times New Roman" w:hAnsi="Times New Roman"/>
                <w:sz w:val="24"/>
              </w:rPr>
              <w:t>proticikličnega</w:t>
            </w:r>
            <w:proofErr w:type="spellEnd"/>
            <w:r>
              <w:rPr>
                <w:rFonts w:ascii="Times New Roman" w:hAnsi="Times New Roman"/>
                <w:sz w:val="24"/>
              </w:rPr>
              <w:t xml:space="preserve"> blažilnika v posamezni državi, izračunana kot skupna kapitalska zahteva, ki se nanaša na ustrezne kreditne izpostavljenosti v zadevni državi (vrstica 01X, stolpec j te predloge), deljena s skupno kapitalsko zahtevo, ki se nanaša na vse ustrezne kreditne izpostavljenosti za namene izračuna </w:t>
            </w:r>
            <w:proofErr w:type="spellStart"/>
            <w:r>
              <w:rPr>
                <w:rFonts w:ascii="Times New Roman" w:hAnsi="Times New Roman"/>
                <w:sz w:val="24"/>
              </w:rPr>
              <w:t>proticikličnega</w:t>
            </w:r>
            <w:proofErr w:type="spellEnd"/>
            <w:r>
              <w:rPr>
                <w:rFonts w:ascii="Times New Roman" w:hAnsi="Times New Roman"/>
                <w:sz w:val="24"/>
              </w:rPr>
              <w:t xml:space="preserve"> blažilnika v skladu s členom 140(4) CRD (vrstica 020, stolpec j te predloge).</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Ta vrednost se razkrije kot odstotek, zaokrožen na dve decimalni mesti.</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 xml:space="preserve">Stopnja </w:t>
            </w:r>
            <w:proofErr w:type="spellStart"/>
            <w:r>
              <w:rPr>
                <w:rFonts w:ascii="Times New Roman" w:hAnsi="Times New Roman"/>
                <w:b/>
                <w:sz w:val="24"/>
              </w:rPr>
              <w:t>proticikličnega</w:t>
            </w:r>
            <w:proofErr w:type="spellEnd"/>
            <w:r>
              <w:rPr>
                <w:rFonts w:ascii="Times New Roman" w:hAnsi="Times New Roman"/>
                <w:b/>
                <w:sz w:val="24"/>
              </w:rPr>
              <w:t xml:space="preserve"> kapitalskega blažilnika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Stopnja </w:t>
            </w:r>
            <w:proofErr w:type="spellStart"/>
            <w:r>
              <w:rPr>
                <w:rFonts w:ascii="Times New Roman" w:hAnsi="Times New Roman"/>
                <w:sz w:val="24"/>
              </w:rPr>
              <w:t>proticikličnega</w:t>
            </w:r>
            <w:proofErr w:type="spellEnd"/>
            <w:r>
              <w:rPr>
                <w:rFonts w:ascii="Times New Roman" w:hAnsi="Times New Roman"/>
                <w:sz w:val="24"/>
              </w:rPr>
              <w:t xml:space="preserve"> kapitalskega blažilnika, ki se uporablja v zadevni državi ter je določena v skladu s členi 136, 137, 138 in 139 CRD.</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 stolpec ne vključuje stopenj </w:t>
            </w:r>
            <w:proofErr w:type="spellStart"/>
            <w:r>
              <w:rPr>
                <w:rFonts w:ascii="Times New Roman" w:hAnsi="Times New Roman"/>
                <w:sz w:val="24"/>
              </w:rPr>
              <w:t>proticikličnega</w:t>
            </w:r>
            <w:proofErr w:type="spellEnd"/>
            <w:r>
              <w:rPr>
                <w:rFonts w:ascii="Times New Roman" w:hAnsi="Times New Roman"/>
                <w:sz w:val="24"/>
              </w:rPr>
              <w:t xml:space="preserve"> kapitalskega blažilnika, ki so bile določene, vendar se še ne uporabljajo v času izračuna posamezni </w:t>
            </w:r>
            <w:r>
              <w:rPr>
                <w:rFonts w:ascii="Times New Roman" w:hAnsi="Times New Roman"/>
                <w:sz w:val="24"/>
              </w:rPr>
              <w:lastRenderedPageBreak/>
              <w:t xml:space="preserve">instituciji lastnega </w:t>
            </w:r>
            <w:proofErr w:type="spellStart"/>
            <w:r>
              <w:rPr>
                <w:rFonts w:ascii="Times New Roman" w:hAnsi="Times New Roman"/>
                <w:sz w:val="24"/>
              </w:rPr>
              <w:t>proticikličnega</w:t>
            </w:r>
            <w:proofErr w:type="spellEnd"/>
            <w:r>
              <w:rPr>
                <w:rFonts w:ascii="Times New Roman" w:hAnsi="Times New Roman"/>
                <w:sz w:val="24"/>
              </w:rPr>
              <w:t xml:space="preserve"> kapitalskega blažilnika, na katerega se razkritje nanaša.</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Ta vrednost se razkrije kot odstotek, zaokrožen na enako število decimalnih mest, kakor je določeno v skladu s členi 136, 137, 138 in 139 CRD.</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 xml:space="preserve">Predloga EU CCyB2 – Znesek instituciji lastnega </w:t>
      </w:r>
      <w:proofErr w:type="spellStart"/>
      <w:r>
        <w:rPr>
          <w:rFonts w:ascii="Times New Roman" w:hAnsi="Times New Roman"/>
          <w:b/>
          <w:sz w:val="24"/>
        </w:rPr>
        <w:t>proticikličnega</w:t>
      </w:r>
      <w:proofErr w:type="spellEnd"/>
      <w:r>
        <w:rPr>
          <w:rFonts w:ascii="Times New Roman" w:hAnsi="Times New Roman"/>
          <w:b/>
          <w:sz w:val="24"/>
        </w:rPr>
        <w:t xml:space="preserve"> kapitalskega blažilnika</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Institucije razkrijejo informacije iz člena 440(b) CRR ob upoštevanju navodil iz te priloge za izpolnjevanje predloge EU CCyB2 iz Priloge IX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Pravna podlaga in navodila</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Pojasnilo</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Znesek skupne izpostavljenosti tveganju</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Znesek skupne izpostavljenosti tveganju, izračunan v skladu s členom 92(3) CRR.</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Stopnja posamezni instituciji lastnega </w:t>
            </w:r>
            <w:proofErr w:type="spellStart"/>
            <w:r>
              <w:rPr>
                <w:rFonts w:ascii="Times New Roman" w:hAnsi="Times New Roman"/>
                <w:b/>
                <w:sz w:val="24"/>
              </w:rPr>
              <w:t>proticikličnega</w:t>
            </w:r>
            <w:proofErr w:type="spellEnd"/>
            <w:r>
              <w:rPr>
                <w:rFonts w:ascii="Times New Roman" w:hAnsi="Times New Roman"/>
                <w:b/>
                <w:sz w:val="24"/>
              </w:rPr>
              <w:t xml:space="preserve"> kapitalskega blažilnika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Stopnja posamezni instituciji lastnega </w:t>
            </w:r>
            <w:proofErr w:type="spellStart"/>
            <w:r>
              <w:rPr>
                <w:rFonts w:ascii="Times New Roman" w:hAnsi="Times New Roman"/>
                <w:sz w:val="24"/>
              </w:rPr>
              <w:t>proticikličnega</w:t>
            </w:r>
            <w:proofErr w:type="spellEnd"/>
            <w:r>
              <w:rPr>
                <w:rFonts w:ascii="Times New Roman" w:hAnsi="Times New Roman"/>
                <w:sz w:val="24"/>
              </w:rPr>
              <w:t xml:space="preserve"> kapitalskega blažilnika, določena v skladu s členom 140(1) CRD.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Stopnja posamezni instituciji lastnega </w:t>
            </w:r>
            <w:proofErr w:type="spellStart"/>
            <w:r>
              <w:rPr>
                <w:rFonts w:ascii="Times New Roman" w:hAnsi="Times New Roman"/>
                <w:sz w:val="24"/>
              </w:rPr>
              <w:t>proticikličnega</w:t>
            </w:r>
            <w:proofErr w:type="spellEnd"/>
            <w:r>
              <w:rPr>
                <w:rFonts w:ascii="Times New Roman" w:hAnsi="Times New Roman"/>
                <w:sz w:val="24"/>
              </w:rPr>
              <w:t xml:space="preserve"> kapitalskega blažilnika se izračuna kot tehtano povprečje stopenj </w:t>
            </w:r>
            <w:proofErr w:type="spellStart"/>
            <w:r>
              <w:rPr>
                <w:rFonts w:ascii="Times New Roman" w:hAnsi="Times New Roman"/>
                <w:sz w:val="24"/>
              </w:rPr>
              <w:t>proticikličnega</w:t>
            </w:r>
            <w:proofErr w:type="spellEnd"/>
            <w:r>
              <w:rPr>
                <w:rFonts w:ascii="Times New Roman" w:hAnsi="Times New Roman"/>
                <w:sz w:val="24"/>
              </w:rPr>
              <w:t xml:space="preserve"> blažilnika, ki se uporabljajo v državah, v katerih se nahajajo ustrezne kreditne izpostavljenosti institucije, iz vrstic 010.1 do 010.X stolpca m predloge EU CCyB1.</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Utež, ki se uporabi za stopnjo </w:t>
            </w:r>
            <w:proofErr w:type="spellStart"/>
            <w:r>
              <w:rPr>
                <w:rFonts w:ascii="Times New Roman" w:hAnsi="Times New Roman"/>
                <w:sz w:val="24"/>
              </w:rPr>
              <w:t>proticikličnega</w:t>
            </w:r>
            <w:proofErr w:type="spellEnd"/>
            <w:r>
              <w:rPr>
                <w:rFonts w:ascii="Times New Roman" w:hAnsi="Times New Roman"/>
                <w:sz w:val="24"/>
              </w:rPr>
              <w:t xml:space="preserve"> blažilnika v vsaki državi, je delež kapitalskih zahtev v skupnih kapitalskih zahtevah in se poroča v stolpcu l predloge EU 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 vrednost se razkrije kot odstotek, zaokrožen na dve decimalni mesti.</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Zahteva za posamezni instituciji lasten </w:t>
            </w:r>
            <w:proofErr w:type="spellStart"/>
            <w:r>
              <w:rPr>
                <w:rFonts w:ascii="Times New Roman" w:hAnsi="Times New Roman"/>
                <w:b/>
                <w:sz w:val="24"/>
              </w:rPr>
              <w:t>proticiklični</w:t>
            </w:r>
            <w:proofErr w:type="spellEnd"/>
            <w:r>
              <w:rPr>
                <w:rFonts w:ascii="Times New Roman" w:hAnsi="Times New Roman"/>
                <w:b/>
                <w:sz w:val="24"/>
              </w:rPr>
              <w:t xml:space="preserve"> kapitalski blažilnik</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Zahteva za posamezni instituciji lasten </w:t>
            </w:r>
            <w:proofErr w:type="spellStart"/>
            <w:r>
              <w:rPr>
                <w:rFonts w:ascii="Times New Roman" w:hAnsi="Times New Roman"/>
                <w:sz w:val="24"/>
              </w:rPr>
              <w:t>proticiklični</w:t>
            </w:r>
            <w:proofErr w:type="spellEnd"/>
            <w:r>
              <w:rPr>
                <w:rFonts w:ascii="Times New Roman" w:hAnsi="Times New Roman"/>
                <w:sz w:val="24"/>
              </w:rPr>
              <w:t xml:space="preserve"> kapitalski blažilnik, izračunana kot stopnja posamezni instituciji lastnega </w:t>
            </w:r>
            <w:proofErr w:type="spellStart"/>
            <w:r>
              <w:rPr>
                <w:rFonts w:ascii="Times New Roman" w:hAnsi="Times New Roman"/>
                <w:sz w:val="24"/>
              </w:rPr>
              <w:t>proticikličnega</w:t>
            </w:r>
            <w:proofErr w:type="spellEnd"/>
            <w:r>
              <w:rPr>
                <w:rFonts w:ascii="Times New Roman" w:hAnsi="Times New Roman"/>
                <w:sz w:val="24"/>
              </w:rPr>
              <w:t xml:space="preserve"> blažilnika, kot se razkrije v vrstici 2 te predloge, uporabljena za skupni znesek izpostavljenosti tveganju, kot se razkrije v vrstici 1 te predloge.</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Pravna podlaga in navodila</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Pojasnilo</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Vrednost, kot je opisana v skladu s pojasnilom za vrstice 1 do 3 te predloge.</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PRILOGA XII – Navodila za razkritje količnika finančnega vzvoda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Predloga EU LR1 – </w:t>
      </w:r>
      <w:proofErr w:type="spellStart"/>
      <w:r>
        <w:rPr>
          <w:rFonts w:ascii="Times New Roman" w:hAnsi="Times New Roman"/>
          <w:color w:val="000000"/>
          <w:sz w:val="24"/>
          <w:szCs w:val="24"/>
        </w:rPr>
        <w:t>LRSum</w:t>
      </w:r>
      <w:proofErr w:type="spellEnd"/>
      <w:r>
        <w:rPr>
          <w:rFonts w:ascii="Times New Roman" w:hAnsi="Times New Roman"/>
          <w:color w:val="000000"/>
          <w:sz w:val="24"/>
          <w:szCs w:val="24"/>
        </w:rPr>
        <w:t xml:space="preserve">: Povzetek uskladitve računovodskih sredstev in količnika finančnega vzvoda. </w:t>
      </w:r>
      <w:r>
        <w:rPr>
          <w:rFonts w:ascii="Times New Roman" w:hAnsi="Times New Roman"/>
          <w:b w:val="0"/>
          <w:color w:val="000000"/>
          <w:sz w:val="24"/>
          <w:szCs w:val="24"/>
        </w:rPr>
        <w:t>Predloga s fiksno obliko.</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Institucije uporabljajo navodila v tem oddelku za izpolnjevanje predloge EU LR1 – </w:t>
      </w:r>
      <w:proofErr w:type="spellStart"/>
      <w:r>
        <w:rPr>
          <w:rFonts w:ascii="Times New Roman" w:hAnsi="Times New Roman"/>
          <w:sz w:val="24"/>
          <w:szCs w:val="24"/>
        </w:rPr>
        <w:t>LRSum</w:t>
      </w:r>
      <w:proofErr w:type="spellEnd"/>
      <w:r>
        <w:rPr>
          <w:rFonts w:ascii="Times New Roman" w:hAnsi="Times New Roman"/>
          <w:sz w:val="24"/>
          <w:szCs w:val="24"/>
        </w:rPr>
        <w:t xml:space="preserve"> ob upoštevanju člena 451(1)(b) </w:t>
      </w:r>
      <w:r>
        <w:rPr>
          <w:rFonts w:ascii="Times New Roman" w:hAnsi="Times New Roman"/>
          <w:sz w:val="24"/>
        </w:rPr>
        <w:t>Uredbe (EU) št. 575/2013</w:t>
      </w:r>
      <w:r>
        <w:rPr>
          <w:rStyle w:val="FootnoteReference"/>
        </w:rPr>
        <w:footnoteReference w:id="20"/>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podlaga in navodila</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Skupaj sredstva glede na objavljene računovodske izkaze</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skupna sredstva, kakor so bila objavljena v njihovih računovodskih izkazih, v skladu z veljavnim računovodskim okvirom iz člena 4(1)(77) CRR.</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Prilagoditev za subjekte, ki so konsolidirani za računovodske namene, vendar niso vključeni v obseg bonitetne konsolidacije</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razliko v vrednosti med mero skupne izpostavljenosti, kot je razkrita v vrstici 13 predloge EU LR1 – </w:t>
            </w:r>
            <w:proofErr w:type="spellStart"/>
            <w:r>
              <w:rPr>
                <w:rFonts w:ascii="Times New Roman" w:hAnsi="Times New Roman"/>
                <w:sz w:val="24"/>
                <w:szCs w:val="24"/>
              </w:rPr>
              <w:t>LRSum</w:t>
            </w:r>
            <w:proofErr w:type="spellEnd"/>
            <w:r>
              <w:rPr>
                <w:rFonts w:ascii="Times New Roman" w:hAnsi="Times New Roman"/>
                <w:sz w:val="24"/>
                <w:szCs w:val="24"/>
              </w:rPr>
              <w:t xml:space="preserve">, in skupnimi računovodskimi sredstvi, kot so razkrita v vrstici 1 predloge EU LR1 – </w:t>
            </w:r>
            <w:proofErr w:type="spellStart"/>
            <w:r>
              <w:rPr>
                <w:rFonts w:ascii="Times New Roman" w:hAnsi="Times New Roman"/>
                <w:sz w:val="24"/>
                <w:szCs w:val="24"/>
              </w:rPr>
              <w:t>LRSum</w:t>
            </w:r>
            <w:proofErr w:type="spellEnd"/>
            <w:r>
              <w:rPr>
                <w:rFonts w:ascii="Times New Roman" w:hAnsi="Times New Roman"/>
                <w:sz w:val="24"/>
                <w:szCs w:val="24"/>
              </w:rPr>
              <w:t>, ki izhaja iz razlik med obsegom konsolidacije za računovodske namene in obsegom bonitetne konsolidacije.</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(Prilagoditev za </w:t>
            </w:r>
            <w:proofErr w:type="spellStart"/>
            <w:r>
              <w:rPr>
                <w:rStyle w:val="TeksttreciPogrubienie"/>
                <w:rFonts w:ascii="Times New Roman" w:hAnsi="Times New Roman"/>
                <w:sz w:val="24"/>
                <w:szCs w:val="24"/>
              </w:rPr>
              <w:t>listinjene</w:t>
            </w:r>
            <w:proofErr w:type="spellEnd"/>
            <w:r>
              <w:rPr>
                <w:rStyle w:val="TeksttreciPogrubienie"/>
                <w:rFonts w:ascii="Times New Roman" w:hAnsi="Times New Roman"/>
                <w:sz w:val="24"/>
                <w:szCs w:val="24"/>
              </w:rPr>
              <w:t xml:space="preserve"> izpostavljenosti, ki izpolnjujejo operativne zahteve za pripoznanje prenosa tveganja)</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Člen 429a(1)(m) CRR.</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znesek </w:t>
            </w:r>
            <w:proofErr w:type="spellStart"/>
            <w:r>
              <w:rPr>
                <w:rFonts w:ascii="Times New Roman" w:hAnsi="Times New Roman"/>
                <w:sz w:val="24"/>
                <w:szCs w:val="24"/>
              </w:rPr>
              <w:t>listinjenih</w:t>
            </w:r>
            <w:proofErr w:type="spellEnd"/>
            <w:r>
              <w:rPr>
                <w:rFonts w:ascii="Times New Roman" w:hAnsi="Times New Roman"/>
                <w:sz w:val="24"/>
                <w:szCs w:val="24"/>
              </w:rPr>
              <w:t xml:space="preserve"> izpostavljenosti iz tradicionalnega </w:t>
            </w:r>
            <w:proofErr w:type="spellStart"/>
            <w:r>
              <w:rPr>
                <w:rFonts w:ascii="Times New Roman" w:hAnsi="Times New Roman"/>
                <w:sz w:val="24"/>
                <w:szCs w:val="24"/>
              </w:rPr>
              <w:t>listinjenja</w:t>
            </w:r>
            <w:proofErr w:type="spellEnd"/>
            <w:r>
              <w:rPr>
                <w:rFonts w:ascii="Times New Roman" w:hAnsi="Times New Roman"/>
                <w:sz w:val="24"/>
                <w:szCs w:val="24"/>
              </w:rPr>
              <w:t>, ki izpolnjujejo pogoje za prenos pomembnega deleža tveganja iz člena 244(2) CRR.</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Ker ta prilagoditev zmanjša mero skupne izpostavljenosti, institucije vrednost v tej vrstici navedejo v oklepajih (negativen znesek).</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začasno izvzetje izpostavljenosti do centralnih bank (če je relevantno))</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Člen 429a(1)(n) CRR.</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Če je relevantno, institucije razkrijejo znesek kovancev in bankovcev, ki </w:t>
            </w:r>
            <w:r>
              <w:rPr>
                <w:rStyle w:val="TeksttreciPogrubienie"/>
                <w:rFonts w:ascii="Times New Roman" w:hAnsi="Times New Roman"/>
                <w:sz w:val="24"/>
                <w:szCs w:val="24"/>
              </w:rPr>
              <w:lastRenderedPageBreak/>
              <w:t>v pristojnosti centralne banke pomenijo uradno valuto, in sredstva, ki predstavljajo terjatve do centralne banke, vključno z rezervami pri centralni banki. Te izpostavljenosti se lahko začasno izvzamejo pod pogoji iz člena 429a(5) in (6) CRR.</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Ker ta prilagoditev zmanjša mero skupne izpostavljenosti, institucije vrednost v tej vrstici navedejo v oklepajih (negativen znesek).</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(Prilagoditev za fiduciarna sredstva, pripoznana v bilanci stanja institucije na podlagi veljavnih računovodskih standardov, vendar izključena iz mere skupne izpostavljenosti v skladu s členom 429a(1)(i) CRR)</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znesek fiduciarnih postavk, za katere se je odpravilo pripoznanje, v skladu s členom 429a(1)(i) CRR.</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prilagoditev zmanjša mero skupne izpostavljenosti, institucije vrednost v tej vrstici navedejo v oklepajih (negativen znesek).</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običajne nakupe in prodaje finančnih sredstev, za katere se uporablja obračunavanje sredstev po datumu sklenitve posla</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429g(1) in (2) CRR.</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Institucije razkrijejo prilagoditev knjigovodske vrednosti, povezano z običajnimi nakupi ali prodajami, ki čakajo na poravnavo, za katere se uporablja obračunavanje sredstev po datumu sklenitve posla v skladu s členom 429g(1) in (2) CRR. Prilagoditev je vsota:</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Pobotani znesek med denarnimi terjatvami za običajne prodaje, ki čakajo na poravnavo, in denarnimi obveznostmi za običajne nakupe, ki čakajo na poravnavo, iz pobota, dovoljenega v skladu z računovodskim okvirom. To je pozitiven znesek.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Pobotani znesek med tistimi denarnimi terjatvami in denarnimi obveznostmi, pri katerih se tako povezane običajne prodaje kot nakupi pobotajo po načelu dostave proti plačilu v skladu s členom 429g(2) CRR. To je negativna vrednost.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Običajni nakupi ali prodaje, ki čakajo na poravnavo, za katere se uporablja obračunavanje po datumu poravnave v skladu s členom 429g(3) CRR, se vključijo v vrstico 10 predloge EU LR1 – </w:t>
            </w:r>
            <w:proofErr w:type="spellStart"/>
            <w:r>
              <w:rPr>
                <w:rFonts w:ascii="Times New Roman" w:hAnsi="Times New Roman"/>
                <w:sz w:val="24"/>
              </w:rPr>
              <w:t>LRSum</w:t>
            </w:r>
            <w:proofErr w:type="spellEnd"/>
            <w:r>
              <w:rPr>
                <w:rFonts w:ascii="Times New Roman" w:hAnsi="Times New Roman"/>
                <w:sz w:val="24"/>
              </w:rPr>
              <w:t>.</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dogovore o združevanju sredstev, ki izpolnjujejo pogoje</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429b(2) in (3) CRR.</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razliko med knjigovodsko vrednostjo in vrednostjo izpostavljenosti količnika finančnega vzvoda pri dogovorih o združevanju sredstev v skladu s členom 429b(2) in (3) CRR.</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Če ta prilagoditev privede do povečanja izpostavljenosti zaradi poslov, ki so </w:t>
            </w:r>
            <w:r>
              <w:rPr>
                <w:rFonts w:ascii="Times New Roman" w:hAnsi="Times New Roman"/>
                <w:sz w:val="24"/>
                <w:szCs w:val="24"/>
              </w:rPr>
              <w:lastRenderedPageBreak/>
              <w:t>predstavljeni po neto znesku v skladu z veljavnim računovodskim okvirom, vendar ne izpolnjujejo pogojev za predstavljanje po neto znesku v skladu s členom 429b(2) in (3) CRR, institucije to razkrijejo kot pozitiven znesek. Če ta prilagoditev privede do zmanjšanja izpostavljenosti zaradi poslov, ki niso predstavljeni po neto znesku v skladu z veljavnim računovodskim okvirom, vendar izpolnjujejo pogoje za predstavljanje po neto znesku v skladu s členom 429b(2) in (3) CRR, institucije vrednost v tej vrstici navedejo v oklepajih (negativen znesek).</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izvedene finančne instrumente</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za kreditne izvedene finančne instrumente in pogodbe iz Priloge II k CRR razkrijejo razliko v vrednosti med knjigovodsko vrednostjo izvedenih finančnih instrumentov, pripoznanih kot sredstva, in vrednostjo izpostavljenosti količnika finančnega vzvoda, kot se določi na podlagi člena 429(4)(b), člena 429c, člena 429d, člena 429a(1)(g) in (h) ter člena 429(5) CRR.</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posle financiranja z vrednostnimi papirji</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za posle financiranja z vrednostnimi papirji (SFT) razkrijejo razliko v vrednosti med knjigovodsko vrednostjo SFT, pripoznanih kot sredstva, in vrednostjo izpostavljenosti količnika finančnega vzvoda, kot se določi na podlagi člena 429(4)(a) in (c) v povezavi s členom 429e, členom 429(7)(b), členom 429b(1)(b), členom 429b(4) ter členom 429a(1)(g) in (h) CRR.</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ta prilagoditev privede do povečanja izpostavljenosti, institucije to razkrijejo kot pozitiven znesek. Če ta prilagoditev privede do zmanjšanja izpostavljenosti, institucije vrednost v tej vrstici navedejo v oklepajih (negativen znesek).</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Prilagoditev za </w:t>
            </w:r>
            <w:proofErr w:type="spellStart"/>
            <w:r>
              <w:rPr>
                <w:rStyle w:val="TeksttreciPogrubienie"/>
                <w:rFonts w:ascii="Times New Roman" w:hAnsi="Times New Roman"/>
                <w:sz w:val="24"/>
                <w:szCs w:val="24"/>
              </w:rPr>
              <w:t>zunajbilančne</w:t>
            </w:r>
            <w:proofErr w:type="spellEnd"/>
            <w:r>
              <w:rPr>
                <w:rStyle w:val="TeksttreciPogrubienie"/>
                <w:rFonts w:ascii="Times New Roman" w:hAnsi="Times New Roman"/>
                <w:sz w:val="24"/>
                <w:szCs w:val="24"/>
              </w:rPr>
              <w:t xml:space="preserve"> postavke (tj. konverzija </w:t>
            </w:r>
            <w:proofErr w:type="spellStart"/>
            <w:r>
              <w:rPr>
                <w:rStyle w:val="TeksttreciPogrubienie"/>
                <w:rFonts w:ascii="Times New Roman" w:hAnsi="Times New Roman"/>
                <w:sz w:val="24"/>
                <w:szCs w:val="24"/>
              </w:rPr>
              <w:t>zunajbilančnih</w:t>
            </w:r>
            <w:proofErr w:type="spellEnd"/>
            <w:r>
              <w:rPr>
                <w:rStyle w:val="TeksttreciPogrubienie"/>
                <w:rFonts w:ascii="Times New Roman" w:hAnsi="Times New Roman"/>
                <w:sz w:val="24"/>
                <w:szCs w:val="24"/>
              </w:rPr>
              <w:t xml:space="preserve"> izpostavljenosti v enakovredne kreditne zneske)</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razliko v vrednosti med vrednostjo izpostavljenosti količnika finančnega vzvoda, kot je razkrita v vrstici 13 predloge EU LR1 – </w:t>
            </w:r>
            <w:proofErr w:type="spellStart"/>
            <w:r>
              <w:rPr>
                <w:rFonts w:ascii="Times New Roman" w:hAnsi="Times New Roman"/>
                <w:sz w:val="24"/>
                <w:szCs w:val="24"/>
              </w:rPr>
              <w:t>LRSum</w:t>
            </w:r>
            <w:proofErr w:type="spellEnd"/>
            <w:r>
              <w:rPr>
                <w:rFonts w:ascii="Times New Roman" w:hAnsi="Times New Roman"/>
                <w:sz w:val="24"/>
                <w:szCs w:val="24"/>
              </w:rPr>
              <w:t>, in skupnimi računovodskimi sredstvi, kot so razkrita v vrstici 1 predloge EU LR1 – </w:t>
            </w:r>
            <w:proofErr w:type="spellStart"/>
            <w:r>
              <w:rPr>
                <w:rFonts w:ascii="Times New Roman" w:hAnsi="Times New Roman"/>
                <w:sz w:val="24"/>
                <w:szCs w:val="24"/>
              </w:rPr>
              <w:t>LRSum</w:t>
            </w:r>
            <w:proofErr w:type="spellEnd"/>
            <w:r>
              <w:rPr>
                <w:rFonts w:ascii="Times New Roman" w:hAnsi="Times New Roman"/>
                <w:sz w:val="24"/>
                <w:szCs w:val="24"/>
              </w:rPr>
              <w:t xml:space="preserve">, ki izhaja iz vključitve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v mero skupne izpostavljenosti za izračun količnika finančnega vzvoda.</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To vključuje zaveze za plačilo v zvezi z običajnimi nakupi, za katere se uporablja obračunavanje po datumu poravnave, ki se izračunajo v skladu s členom 429g(3) CRR.</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prilagoditev poveča mero skupne izpostavljenosti, se razkrije kot pozitiven znesek.</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prilagoditve preudarnega vrednotenja ter posebne in splošne popravke, ki so zmanjšali temeljni kapital)</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Institucije razkrijejo znesek prilagoditev preudarnega vrednotenja v skladu s členom 429a(1)(a) in (b) CRR ter znesek posebnih (če je relevantno) in splošnih popravkov zaradi kreditnega tveganja pri bilančnih in </w:t>
            </w:r>
            <w:proofErr w:type="spellStart"/>
            <w:r>
              <w:rPr>
                <w:rStyle w:val="TeksttreciPogrubienie"/>
                <w:rFonts w:ascii="Times New Roman" w:hAnsi="Times New Roman"/>
                <w:b w:val="0"/>
                <w:sz w:val="24"/>
                <w:szCs w:val="24"/>
              </w:rPr>
              <w:t>zunajbilančnih</w:t>
            </w:r>
            <w:proofErr w:type="spellEnd"/>
            <w:r>
              <w:rPr>
                <w:rStyle w:val="TeksttreciPogrubienie"/>
                <w:rFonts w:ascii="Times New Roman" w:hAnsi="Times New Roman"/>
                <w:b w:val="0"/>
                <w:sz w:val="24"/>
                <w:szCs w:val="24"/>
              </w:rPr>
              <w:t xml:space="preserve"> postavkah iz zadnjega stavka člena 429(4) in člena 429f(2) CRR, na podlagi katerih je bil zmanjšan temeljni kapital.</w:t>
            </w:r>
            <w:r>
              <w:rPr>
                <w:rFonts w:ascii="Times New Roman" w:hAnsi="Times New Roman"/>
                <w:sz w:val="24"/>
                <w:szCs w:val="24"/>
              </w:rPr>
              <w:t xml:space="preserve"> Posebni popravki se vključijo samo, če se niso že odbili od bruto knjigovodskih vrednosti v skladu z veljavnim računovodskim okvirom.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Ker ta prilagoditev zmanjša mero skupne izpostavljenosti, institucije vrednost v tej vrstici navedejo v oklepajih (negativen znesek).</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(Prilagoditev za izpostavljenosti, izključene iz mere skupne izpostavljenosti v skladu s členom 429a(1)(c) CRR)</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429a(1)(c) ter člen 113(6) in (7) CRR.</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bilančni delež izpostavljenosti, izključenih iz mere skupne izpostavljenosti v skladu s členom 429a(1)(c) CRR.</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prilagoditev zmanjša mero skupne izpostavljenosti, institucije vrednost v tej vrstici navedejo v oklepajih (negativen znesek).</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(Prilagoditev za izpostavljenosti, izključene iz mere skupne izpostavljenosti v skladu s členom 429a(1)(j) CRR)</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Člena 429a(1)(j) in člen 116(4) CRR.</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bilančni delež izpostavljenosti, izključenih iz mere skupne izpostavljenosti v skladu s členom 429a(1)(j) CRR.</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prilagoditev zmanjša mero skupne izpostavljenosti, institucije vrednosti v tej vrstici navedejo v oklepajih (negativen znesek).</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Druge prilagoditve</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tukaj navedejo vse preostale razlike v vrednosti med skupno mero izpostavljenosti in skupnimi računovodskimi sredstvi. Institucije upoštevajo prilagoditve izpostavljenosti </w:t>
            </w:r>
            <w:r>
              <w:rPr>
                <w:rStyle w:val="DeltaViewInsertion"/>
                <w:rFonts w:ascii="Times New Roman" w:hAnsi="Times New Roman"/>
                <w:b w:val="0"/>
                <w:i w:val="0"/>
                <w:color w:val="auto"/>
                <w:sz w:val="24"/>
                <w:szCs w:val="24"/>
              </w:rPr>
              <w:t>v skladu s členom 429(8) CRR in druge prilagoditve izpostavljenosti iz člena 429a(1)(d), (e), (f), (h), (k), (l), (o) in (p), ki niso razkrite drugje v predlogi.</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te prilagoditve privedejo do povečanja izpostavljenosti, institucije to razkrijejo kot pozitiven znesek. Če te prilagoditve privedejo do zmanjšanja izpostavljenosti, institucije vrednost v tej vrstici navedejo v oklepajih (negativen znesek).</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Mera skupne izpostavljenosti</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Mera skupne izpostavljenosti (razkrita tudi v vrstici 24 predloge EU LR2 – </w:t>
            </w:r>
            <w:proofErr w:type="spellStart"/>
            <w:r>
              <w:rPr>
                <w:rFonts w:ascii="Times New Roman" w:hAnsi="Times New Roman"/>
                <w:sz w:val="24"/>
                <w:szCs w:val="24"/>
              </w:rPr>
              <w:t>LRCom</w:t>
            </w:r>
            <w:proofErr w:type="spellEnd"/>
            <w:r>
              <w:rPr>
                <w:rFonts w:ascii="Times New Roman" w:hAnsi="Times New Roman"/>
                <w:sz w:val="24"/>
                <w:szCs w:val="24"/>
              </w:rPr>
              <w:t>), ki je vsota prejšnjih postavk.</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lastRenderedPageBreak/>
        <w:t xml:space="preserve">Predloga EU 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w:t>
      </w:r>
      <w:bookmarkStart w:id="14" w:name="bookmark12"/>
      <w:r>
        <w:rPr>
          <w:rFonts w:ascii="Times New Roman" w:hAnsi="Times New Roman"/>
          <w:color w:val="000000"/>
          <w:sz w:val="24"/>
          <w:szCs w:val="24"/>
        </w:rPr>
        <w:t>Skupno razkritje za količnik finančnega vzvoda</w:t>
      </w:r>
      <w:bookmarkEnd w:id="14"/>
      <w:r>
        <w:rPr>
          <w:rFonts w:ascii="Times New Roman" w:hAnsi="Times New Roman"/>
          <w:color w:val="000000"/>
          <w:sz w:val="24"/>
          <w:szCs w:val="24"/>
        </w:rPr>
        <w:t xml:space="preserve">. </w:t>
      </w:r>
      <w:r>
        <w:rPr>
          <w:rFonts w:ascii="Times New Roman" w:hAnsi="Times New Roman"/>
          <w:b w:val="0"/>
          <w:color w:val="000000"/>
          <w:sz w:val="24"/>
          <w:szCs w:val="24"/>
        </w:rPr>
        <w:t>Predloga s fiksno obliko.</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Institucije uporabljajo navodila v tem oddelku za izpolnjevanje predloge EU 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ob upoštevanju člena 451(1)(a) in (b) CRR ter člena 451(3) CRR, kjer je relevantno, pa tudi člena 451(1)(c) in člena 451(2) CRR.</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Institucije v stolpcu „a“ razkrijejo vrednosti različnih vrstic za obdobje razkritja, v stolpcu „b“ pa vrednosti vrstic za prejšnje obdobje razkritja.</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Institucije v besedilu, priloženem predlogi, pojasnijo sestavo promocijskih kreditov, razkritih v vrsticah EU-22d in EU-22e te predloge, vključno z informacijami glede na vrsto nasprotne stranke.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podlaga in navodila</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Bilančne postavke (razen izvedenih finančnih instrumentov in SFT, vendar vključno z zavarovanjem s premoženjem)</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Člena 429 in 429b CRR.</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vsa sredstva, razen pogodb iz Priloge II k CRR, kreditnih izvedenih finančnih instrumentov in SFT. Institucije pri vrednotenju teh sredstev upoštevajo načela iz člena 429(7) in 429b(1) CRR.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Če je relevantno, institucije pri tem izračunu upoštevajo člen 429a(1)(i), (m) in (n), člen 429g in zadnji odstavek člena 429(4) CRR.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polje vključijo prejeta denarna sredstva ali kakršen koli vrednostni papir, ki je nasprotni stranki zagotovljen prek SFT in se ohrani v bilanci stanja (tj. računovodska merila za odpravo pripoznanja v skladu z veljavnim računovodskim okvirom niso izpolnjena).</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pri tem izračunu ne upoštevajo člena 429(8) ter člena 429a(1)(a) do (h), (j) in (k) CRR, tj. zneska, ki se razkrije v tej vrstici, ne zmanjšajo za navedena izvzetja.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Prištetje zneska zavarovanja s premoženjem, zagotovljenega v zvezi z izvedenimi finančnimi instrumenti, kadar se to odbije od sredstev v bilanci stanja v skladu z veljavnim računovodskim okvirom</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429c(2) CRR.</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znesek vsega zavarovanja s premoženjem, zagotovljenega v zvezi z izvedenimi finančnimi instrumenti, če zagotovitev tega zavarovanja zmanjša znesek sredstev na podlagi veljavnega računovodskega okvira, kot je določeno v členu 429c(2) CRR.</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Institucije v to celico ne vključijo začetnega kritja za posle z izvedenimi finančnimi instrumenti, za katere je izveden kliring prek kvalificirane CNS (KCNS), ali primernega gibljivega kritja v skladu s členom 429c(3) CRR.</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(Odbitki terjatev za gibljivo kritje v obliki denarnih sredstev, ki je zagotovljeno v poslih z izvedenimi finančnimi instrumenti)</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429c(3) CRR.</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terjatve za gibljivo kritje, plačano nasprotni stranki z denarnimi sredstvi, v poslih z izvedenimi finančnimi instrumenti, če mora institucija v skladu z veljavnim računovodskim okvirom te terjatve pripoznati kot sredstvo, kadar so izpolnjeni pogoji iz točk (a) do (e) člena 429c(3) CRR.</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Ker ta prilagoditev zmanjša mero skupne izpostavljenosti, institucije vrednost v tej vrstici navedejo v oklepajih (negativen znesek).</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(Prilagoditev za vrednostne papirje, prejete v okviru poslov financiranja z vrednostnimi papirji, ki so pripoznani kot sredstvo)</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Prilagoditev za vrednostne papirje, prejete v okviru poslov financiranja z vrednostnimi papirji, pri katerih je banka vrednostne papirje pripoznala kot sredstvo v svoji bilanci stanja. Ti zneski se izključijo iz mere skupne izpostavljenosti v skladu s členom 429e(6) CRR.</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Ker prilagoditve v tej vrstici zmanjšajo mero skupne izpostavljenosti, institucije vrednost v tej vrstici navedejo v oklepajih (negativen znesek).</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(Splošni popravki zaradi kreditnega tveganja pri bilančnih postavkah)</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Znesek splošnih popravkov zaradi kreditnega tveganja, ki ustreza bilančnim postavkam iz člena 429(4)(a) CRR, ki jih institucija odbije v skladu z zadnjim pododstavkom člena 429(4) CRR.</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Ker prilagoditve v tej vrstici zmanjšajo mero skupne izpostavljenosti, institucije vrednost v tej vrstici navedejo v oklepajih (negativen znesek).</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(Zneski sredstev, ki se odbijejo pri določanju temeljnega kapitala)</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429a(1)(a) in (b) ter člen 499(2) CRR.</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znesek regulativnih prilagoditev vrednosti zneskov temeljnega kapitala v skladu z odločitvijo, sprejeto v skladu s členom 499(2) CRR.</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zlasti razkrijejo vrednost vsote vseh prilagoditev, ki se nanašajo na vrednost sredstev in se zahtevajo na podlagi:</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členov 32 do 35 CRR ali</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členov 36 do 47 CRR ali</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členov 56 do 60 CRR, kot je ustrezno.</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vključijo znesek iz člena 429a(1)(a) CRR.</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Če se sprejme odločitev o razkritju temeljnega kapitala v skladu s členom 499(1)(a) CRR, institucije upoštevajo izvzetja, druge možnosti in opustitve teh odbitkov iz členov 48, 49 in 79 CRR, vendar brez upoštevanja odstopanja iz poglavij 1 in 2 naslova I dela 10 CRR. Nasprotno pa, če se sprejme odločitev o razkritju temeljnega kapitala v skladu s členom 499(1)(b) CRR, institucije poleg odstopanj iz poglavij 1 in 2 naslova I dela 10 CRR upoštevajo tudi </w:t>
            </w:r>
            <w:r>
              <w:rPr>
                <w:rFonts w:ascii="Times New Roman" w:hAnsi="Times New Roman"/>
                <w:sz w:val="24"/>
                <w:szCs w:val="24"/>
              </w:rPr>
              <w:lastRenderedPageBreak/>
              <w:t>izvzetja, druge možnosti in opustitve teh odbitkov iz členov 48, 49 in 79 CRR.</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bi se preprečilo dvojno štetje, institucije pri izračunu vrednosti izpostavljenosti ne razkrijejo prilagoditev, ki so se že uporabile v skladu s členom 111 CRR, prav tako pa ne razkrijejo nobenih prilagoditev, ki ne zmanjšajo vrednosti določenega sredstva.</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Ker znesek v tej vrstici zmanjša mero skupne izpostavljenosti</w:t>
            </w:r>
            <w:r>
              <w:rPr>
                <w:rFonts w:ascii="Times New Roman" w:hAnsi="Times New Roman"/>
                <w:sz w:val="24"/>
                <w:szCs w:val="24"/>
              </w:rPr>
              <w:t>, institucije vrednost v tej vrstici navedejo v oklepajih (negativen znesek).</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Skupni znesek bilančnih izpostavljenosti (razen izvedenih finančnih instrumentov in SFT)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Vsota vrstic 1 do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Nadomestitveni stroški, povezani s posli, obravnavanimi po standardiziranem pristopu za kreditno tveganje nasprotne stranke (tj. brez primernega gibljivega kritja v obliki denarnih sredstev)</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Členi 274, 275, 295, 296, 297, 298 in 429c ter člen 429c(3) CRR.</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tekoče nadomestitvene stroške iz člena 275(1) pogodb iz Priloge II k CRR in kreditne izvedene finančne instrumente, vključno s tistimi, ki niso vsebovani v bilanci stanja. Ti nadomestitveni stroški so brez primernega gibljivega kritja v obliki denarnih sredstev v skladu s členom 429c(3) CRR, gibljivo kritje v obliki denarnih sredstev, prejeto v okviru delov poslov s CNS, izključenih v skladu s členom 429a(1)(g) ali (h) CRR, pa ni vključeno.</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Kot je določeno v členu 429c(1) CRR, lahko institucije upoštevajo učinke pogodb o </w:t>
            </w:r>
            <w:proofErr w:type="spellStart"/>
            <w:r>
              <w:rPr>
                <w:rFonts w:ascii="Times New Roman" w:hAnsi="Times New Roman"/>
                <w:sz w:val="24"/>
                <w:szCs w:val="24"/>
              </w:rPr>
              <w:t>novaciji</w:t>
            </w:r>
            <w:proofErr w:type="spellEnd"/>
            <w:r>
              <w:rPr>
                <w:rFonts w:ascii="Times New Roman" w:hAnsi="Times New Roman"/>
                <w:sz w:val="24"/>
                <w:szCs w:val="24"/>
              </w:rPr>
              <w:t xml:space="preserve"> in drugih pogodb o pobotu v skladu s členom 295 CRR. Pobot med različnimi kategorijami produktov se ne uporablja. Vendar lahko institucije izvedejo pobot znotraj kategorije produktov iz člena 272(25)(c) CRR in kreditnih izvedenih finančnih instrumentov, kadar morajo upoštevati pogodbe o pobotu med različnimi kategorijami produktov iz člena 295(c) CRR.</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ne vključijo pogodb, merjenih z uporabo pristopov v skladu s členom 429c(6), tj. pristopov iz oddelka 4 ali 5 poglavja 6 naslova II dela 3 CRR (poenostavljeni standardizirani pristop za kreditno tveganje nasprotne stranke ali metoda originalne izpostavljenosti).</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pri izračunu nadomestitvenih stroškov v skladu s členom 429c(4) CRR vključijo učinek pripoznanja zavarovanja s premoženjem na neto znesek neodvisnega zavarovanja s premoženjem (NICA) pri pogodbah o izvedenih finančnih instrumentih s strankami, pri čemer se za te pogodbe opravi kliring prek KCNS.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Znesek se razkrije z uporabo faktorja alfa 1,4, kot je določeno v členu 274(2) CRR.</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Odstopanje za izvedene finančne instrumente: prispevek nadomestitvenih stroškov na podlagi poenostavljenega standardiziranega pristopa</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Člen 429c(6) in člen 281 CRR.</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 tej celici se navede mera izpostavljenosti pogodb iz točk 1 in 2 Priloge II k CRR, izračunana v skladu s poenostavljenim standardiziranim pristopom iz člena 281 CRR, brez učinka zavarovanja s premoženjem na neto znesek neodvisnega zavarovanja s premoženjem (NICA). Znesek se razkrije z uporabo faktorja alfa 1,4, kot je določeno v členu 274(2) CRR.</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ki uporabljajo poenostavljeni standardizirani pristop, mere skupne izpostavljenosti ne zmanjšajo za znesek prejetega kritja v skladu s členom 429c(6) CRR.</w:t>
            </w:r>
            <w:r>
              <w:rPr>
                <w:rFonts w:ascii="Times New Roman" w:hAnsi="Times New Roman"/>
                <w:sz w:val="24"/>
                <w:szCs w:val="24"/>
              </w:rPr>
              <w:t xml:space="preserve"> </w:t>
            </w:r>
            <w:r>
              <w:rPr>
                <w:rFonts w:ascii="Times New Roman" w:hAnsi="Times New Roman"/>
                <w:bCs/>
                <w:sz w:val="24"/>
                <w:szCs w:val="24"/>
              </w:rPr>
              <w:t>Zato se izjema za pogodbe o izvedenih finančnih instrumentih s strankami, kadar se za te pogodbe kliring izvede prek KCNS, iz člena 429c(4) CRR ne uporablja.</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Institucije v tej celici ne upoštevajo pogodb, merjenih na podlagi standardiziranega pristopa za kreditno tveganje nasprotne stranke ali metode originalne izpostavljenosti.</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Zneski pribitkov za potencialno prihodnjo izpostavljenost, povezano s posli z izvedenimi finančnimi instrumenti, obravnavanimi po standardiziranem pristopu za kreditno tveganje nasprotne stranke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Členi 274, 275, 295, 296, 297 in 298, člen 299(2) in člen 429c CRR.</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pribitek za potencialno prihodnjo izpostavljenost pogodb iz Priloge II k CRR in kreditnih izvedenih finančnih instrumentov, vključno z </w:t>
            </w:r>
            <w:proofErr w:type="spellStart"/>
            <w:r>
              <w:rPr>
                <w:rFonts w:ascii="Times New Roman" w:hAnsi="Times New Roman"/>
                <w:sz w:val="24"/>
                <w:szCs w:val="24"/>
              </w:rPr>
              <w:t>zunajbilančnimi</w:t>
            </w:r>
            <w:proofErr w:type="spellEnd"/>
            <w:r>
              <w:rPr>
                <w:rFonts w:ascii="Times New Roman" w:hAnsi="Times New Roman"/>
                <w:sz w:val="24"/>
                <w:szCs w:val="24"/>
              </w:rPr>
              <w:t xml:space="preserve">, izračunan v skladu s členom 278 CRR za pogodbe iz Priloge II k CRR in členom 299(2) za kreditne izvedene finančne instrumente ter ob uporabi pravil o pobotu v skladu s členom 429c(1) CRR. Institucije lahko pri določanju vrednosti izpostavljenosti navedenih pogodb upoštevajo učinke pogodb o </w:t>
            </w:r>
            <w:proofErr w:type="spellStart"/>
            <w:r>
              <w:rPr>
                <w:rFonts w:ascii="Times New Roman" w:hAnsi="Times New Roman"/>
                <w:sz w:val="24"/>
                <w:szCs w:val="24"/>
              </w:rPr>
              <w:t>novaciji</w:t>
            </w:r>
            <w:proofErr w:type="spellEnd"/>
            <w:r>
              <w:rPr>
                <w:rFonts w:ascii="Times New Roman" w:hAnsi="Times New Roman"/>
                <w:sz w:val="24"/>
                <w:szCs w:val="24"/>
              </w:rPr>
              <w:t xml:space="preserve"> in drugih pogodb o pobotu v skladu s členom 295 CRR. Pobot med različnimi kategorijami produktov se ne uporablja. Vendar lahko institucije izvedejo pobot znotraj kategorije produktov iz člena 272(25)(c) CRR in kreditnih izvedenih finančnih instrumentov, kadar morajo upoštevati pogodbe o pobotu med različnimi kategorijami produktov iz člena 295(c) CRR.</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V skladu s členom 429c(5) CRR institucije vrednost multiplikatorja, ki se uporablja za izračun potencialne prihodnje izpostavljenosti v skladu s členom 278(1) CRR, nastavijo na ena, razen v primeru pogodb o izvedenih finančnih instrumentih s strankami, kadar se za te pogodbe kliring izvede prek KCNS.</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ne vključijo pogodb, merjenih z uporabo pristopov v skladu s členom 429c(6), tj. pristopov iz oddelka 4 ali 5 poglavja 6 naslova II dela 3 CRR (poenostavljeni standardizirani pristop za kreditno tveganje nasprotne stranke ali metoda originalne izpostavljenosti).</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Odstopanje za izvedene finančne instrumente: prispevek potencialne prihodnje izpostavljenosti na podlagi poenostavljenega standardiziranega pristopa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Člen 429c(5) CRR.</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Potencialna prihodnja izpostavljenost v skladu s poenostavljenim standardiziranim pristopom iz člena 281 CRR ob predpostavki, da je vrednost multiplikatorja 1. Znesek se razkrije z uporabo faktorja alfa 1,4, kot je določeno v členu 274(2) CRR.</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ki uporabljajo poenostavljeni standardizirani pristop, mere skupne izpostavljenosti ne zmanjšajo za znesek prejetega kritja v skladu s členom 429c(6) CRR. Zato se izjema za pogodbe o izvedenih finančnih instrumentih s strankami, kadar se za te pogodbe kliring izvede prek KCNS, iz člena 429c(5) CRR ne uporablja.</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Institucije v tej celici ne upoštevajo pogodb, merjenih na podlagi standardiziranega pristopa za kreditno tveganje nasprotne stranke ali metode originalne izpostavljenosti.</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 določena na podlagi metode originalne izpostavljenosti</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429c(6) in oddelek 4 ali 5 poglavja 6 naslova II dela 3 CRR.</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mero izpostavljenosti pogodb iz točk 1 in 2 Priloge II k CRR, izračunano v skladu z metodo originalne izpostavljenosti iz oddelka 4 ali 5 poglavja 6 naslova II dela 3 CRR.</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ki uporabljajo metodo originalne izpostavljenosti, mere izpostavljenosti ne zmanjšajo za znesek prejetega kritja v skladu s členom 429c(6) CRR.</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ki ne uporabljajo metode originalne izpostavljenosti, ne razkrijejo te celice.</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(Posli s CNS, izključeni iz trgovalnih izpostavljenosti, za katere je izveden kliring prek CNS)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429a(1)(g) in (h) CRR.</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izključene trgovalne izpostavljenosti do KCNS iz poslov z izvedenimi finančnimi instrumenti, za katere je izveden kliring prek CNS (obravnavanih po standardiziranem pristopu za kreditno tveganje nasprotne stranke), če navedene postavke izpolnjujejo pogoje iz člena 306(1)(c) CRR.</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to zmanjša mero skupne izpostavljenosti, institucije vrednost v tej celici navedejo v oklepajih (negativen znesek).</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Razkriti znesek se mora vključiti tudi v relevantne celice zgoraj, kot da se ne uporablja nobeno izvzetje.</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(Posli s CNS, izključeni iz trgovalnih izpostavljenosti, za katere je izveden kliring prek CNS) (poenostavljeni standardizirani pristop)</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Člen 429a(1)(g) in (h) CRR.</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lastRenderedPageBreak/>
              <w:t>Institucije razkrijejo izključene trgovalne izpostavljenosti do KCNS iz poslov z izvedenimi finančnimi instrumenti, za katere je izveden kliring prek CNS (obravnavanih po poenostavljenem standardiziranem pristopu), če navedene postavke izpolnjujejo pogoje iz člena 306(1)(c) CRR.</w:t>
            </w:r>
            <w:r>
              <w:rPr>
                <w:rFonts w:ascii="Times New Roman" w:hAnsi="Times New Roman"/>
                <w:bCs/>
                <w:sz w:val="24"/>
                <w:szCs w:val="24"/>
              </w:rPr>
              <w:t xml:space="preserve"> </w:t>
            </w:r>
            <w:r>
              <w:rPr>
                <w:rFonts w:ascii="Times New Roman" w:hAnsi="Times New Roman"/>
                <w:sz w:val="24"/>
                <w:szCs w:val="24"/>
              </w:rPr>
              <w:t>Znesek se razkrije z uporabo faktorja alfa 1,4, kot je določeno v členu 274(2) CRR (negativen znesek).</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Razkriti znesek se mora vključiti tudi v relevantne celice zgoraj, kot da se ne uporablja nobeno izvzetje.</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(Posli s CNS, izključeni iz trgovalnih izpostavljenosti, za katere je izveden kliring prek CNS) (metoda originalne izpostavljenosti)</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429a(1)(g) in (h) CRR.</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izključene trgovalne izpostavljenosti do KCNS iz poslov z izvedenimi finančnimi instrumenti, za katere je izveden kliring prek CNS (obravnavanih po metodi originalne izpostavljenosti), če navedene postavke izpolnjujejo pogoje iz člena 306(1)(c) CRR.</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to zmanjša mero skupne izpostavljenosti, institucije vrednost v tej celici navedejo v oklepajih (negativen znesek).</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Razkriti znesek se mora vključiti tudi v relevantne celice zgoraj, kot da se ne uporablja nobeno izvzetje.</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Prilagojeni efektivni hipotetični znesek prodanih kreditnih izvedenih finančnih instrumentov</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429d CRR.</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omejeno hipotetično vrednost prodanih kreditnih izvedenih finančnih instrumentov (tj. kadar institucija nasprotni stranki zagotovi kreditno zavarovanje), kot je določeno v členu 429d CRR.</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(Poboti s prilagojenim efektivnim hipotetičnim zneskom in odštetje pribitkov za prodane kreditne izvedene finančne instrumente)</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429d CRR.</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omejeno hipotetično vrednost, ki se nanaša na kupljene kreditne izvedene finančne instrumente (tj. kadar institucija od nasprotne stranke kupuje kreditno zavarovanje), na podlagi iste referenčne osnove kot v primeru kreditnih izvedenih finančnih instrumentov, ki jih proda institucija, preostala zapadlost tega kupljenega kreditnega zavarovanja pa je enaka ali daljša od preostale zapadlosti prodanega zavarovanja. Zato vrednost ne sme biti višja od vrednosti, navedene v vrstici 11 predloge EU LR2 – </w:t>
            </w:r>
            <w:proofErr w:type="spellStart"/>
            <w:r>
              <w:rPr>
                <w:rFonts w:ascii="Times New Roman" w:hAnsi="Times New Roman"/>
                <w:sz w:val="24"/>
                <w:szCs w:val="24"/>
              </w:rPr>
              <w:t>LRCom</w:t>
            </w:r>
            <w:proofErr w:type="spellEnd"/>
            <w:r>
              <w:rPr>
                <w:rFonts w:ascii="Times New Roman" w:hAnsi="Times New Roman"/>
                <w:sz w:val="24"/>
                <w:szCs w:val="24"/>
              </w:rPr>
              <w:t xml:space="preserve"> za posamezne referenčne osnove.</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razkriti znesek zmanjša mero skupne izpostavljenosti, institucije vrednost v tej celici navedejo v oklepajih (negativen znesek).</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Razkriti znesek se vključi tudi v celico zgoraj, kot da se ne uporablja nobena prilagoditev.</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Skupaj izpostavljenosti iz naslova izvedenih finančnih instrumentov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Vsota vrstic 8 do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Bruto sredstva iz SFT (brez priznanja pobota) po prilagoditvi za posle, obračunane po pravilu prodaje</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4(1)(77), člen 206 in člen 429e(6) CRR.</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knjigovodsko vrednost iz bilance stanja na podlagi veljavnega računovodskega okvira za SFT, ki so in niso zajeti v okvirni pogodbi o pobotu v skladu s členom 206 CRR, pri čemer so pogodbe pripoznane kot sredstva v bilanci stanja ob predpostavki, da ni bilo nobenega bonitetnega ali računovodskega pobota ali učinkov zmanjševanja tveganja (tj. knjigovodska vrednost iz bilance stanja, prilagojena za učinke računovodskega pobota ali zmanjševanja tveganja).</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poleg tega, če se SFT obračunava po pravilu prodaje v okviru veljavnega računovodskega okvira, razveljavijo vse računovodske vknjižbe v zvezi s prodajo v skladu s členom 429e(6) CRR.</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ne vključijo prejetih denarnih sredstev ali kakršnega koli vrednostnega papirja, ki je nasprotni stranki zagotovljen prek zgoraj navedenih poslov in se ohrani v bilanci stanja (tj. računovodska merila za odpravo pripoznanja niso izpolnjena).</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(Pobotani zneski denarnih obveznosti in denarnih terjatev bruto sredstev iz SFT)</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4(1)(77), člen 206, člen 429b(1)(b), člen 429b(4) in člen 429e(6) CRR.</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znesek denarnih obveznosti bruto sredstev iz SFT, ki so bile pobotane v skladu s členom 429b(4) CRR.</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prilagoditev zmanjša mero skupne izpostavljenosti, institucije vrednost v tej vrstici navedejo v oklepajih (negativen znesek).</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 kreditnemu tveganju nasprotne stranke za sredstva iz SFT</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429e(1) CRR.</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pribitek za kreditno tveganje nasprotne stranke pri SFT, vključno s tistimi, ki so </w:t>
            </w:r>
            <w:proofErr w:type="spellStart"/>
            <w:r>
              <w:rPr>
                <w:rFonts w:ascii="Times New Roman" w:hAnsi="Times New Roman"/>
                <w:sz w:val="24"/>
                <w:szCs w:val="24"/>
              </w:rPr>
              <w:t>zunajbilančni</w:t>
            </w:r>
            <w:proofErr w:type="spellEnd"/>
            <w:r>
              <w:rPr>
                <w:rFonts w:ascii="Times New Roman" w:hAnsi="Times New Roman"/>
                <w:sz w:val="24"/>
                <w:szCs w:val="24"/>
              </w:rPr>
              <w:t>, določen v skladu s členom 429e(2) ali (3) CRR, kot je ustrezno.</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vključijo posle v skladu s členom 429e(7)(c) CRR.</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v to celico ne vključijo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429e(7)(a) CRR.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Odstopanje za SFT: izpostavljenost kreditnemu tveganju nasprotne stranke v skladu s členom 429e(5) in členom 222 CRR</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Člen 429e(5) in člen 222 CRR.</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pribitek za SFT, vključno s tistimi, ki so </w:t>
            </w:r>
            <w:proofErr w:type="spellStart"/>
            <w:r>
              <w:rPr>
                <w:rFonts w:ascii="Times New Roman" w:hAnsi="Times New Roman"/>
                <w:sz w:val="24"/>
                <w:szCs w:val="24"/>
              </w:rPr>
              <w:t>zunajbilančni</w:t>
            </w:r>
            <w:proofErr w:type="spellEnd"/>
            <w:r>
              <w:rPr>
                <w:rFonts w:ascii="Times New Roman" w:hAnsi="Times New Roman"/>
                <w:sz w:val="24"/>
                <w:szCs w:val="24"/>
              </w:rPr>
              <w:t>, izračunan v skladu s členom 222 CRR, pri čemer se uporablja 20-odstotni spodnji prag za ustrezno utež tveganja.</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vključijo posle v skladu s členom 429e(7)(c) CRR.</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ne vključijo poslov, za katere se del s pribitkom vrednosti izpostavljenosti količnika finančnega vzvoda določi v skladu z metodo iz člena 429e(1) CRR.</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 iz naslova poslov, pri katerih institucija deluje kot agent</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429e(2)(3) in člen 429e(7)(a) CRR.</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vrednost izpostavljenosti za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členom 429e(7)(a) CRR. Vrednost izpostavljenosti je sestavljena samo iz pribitka, določenega v skladu s členom 429e(2) ali (3) CRR, kot je ustrezno.</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v to celico ne vključijo poslov v skladu s členom 429e(7)(c) CRR.</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(Posli s CNS, izključeni iz izpostavljenosti v zvezi s SFT, za katere je izveden kliring prek CNS)</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Člen 429a(1)(g) in (h) ter člen 306(1)(c) CRR.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posle s CNS, izključene iz trgovalnih izpostavljenosti v zvezi s SFT, za katere je izveden kliring prek CNS, če navedene postavke izpolnjujejo pogoje iz člena 306(1)(c) CRR.</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je v odnosu do centralne nasprotne stranke izključena stran vrednostni papir, se ne vključi v to celico, razen če gre za ponovno zastavljen vrednostni papir, ki je na podlagi veljavnega računovodskega okvira (tj. v skladu s prvim stavkom člena 111(1) CRR) vključen s polno vrednostjo.</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prilagoditev zmanjša mero skupne izpostavljenosti, institucije vrednost v tej vrstici navedejo v oklepajih (negativen znesek).</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Razkriti znesek se mora vključiti tudi v relevantne celice zgoraj, kot da se ne uporablja nobeno izvzetje.</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Skupni znesek izpostavljenosti iz naslova poslov financiranja z vrednostnimi papirji</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Vsota vrstic 14 do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proofErr w:type="spellStart"/>
            <w:r>
              <w:rPr>
                <w:rStyle w:val="TeksttreciPogrubienie"/>
                <w:rFonts w:ascii="Times New Roman" w:hAnsi="Times New Roman"/>
                <w:sz w:val="24"/>
                <w:szCs w:val="24"/>
              </w:rPr>
              <w:t>Zunajbilančne</w:t>
            </w:r>
            <w:proofErr w:type="spellEnd"/>
            <w:r>
              <w:rPr>
                <w:rStyle w:val="TeksttreciPogrubienie"/>
                <w:rFonts w:ascii="Times New Roman" w:hAnsi="Times New Roman"/>
                <w:sz w:val="24"/>
                <w:szCs w:val="24"/>
              </w:rPr>
              <w:t xml:space="preserve"> izpostavljenosti po bruto hipotetičnem znesku</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429f CRR.</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nominalno vrednost vseh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kot je določeno v členu 429f, pred prilagoditvijo za </w:t>
            </w:r>
            <w:proofErr w:type="spellStart"/>
            <w:r>
              <w:rPr>
                <w:rFonts w:ascii="Times New Roman" w:hAnsi="Times New Roman"/>
                <w:sz w:val="24"/>
                <w:szCs w:val="24"/>
              </w:rPr>
              <w:t>konverzijske</w:t>
            </w:r>
            <w:proofErr w:type="spellEnd"/>
            <w:r>
              <w:rPr>
                <w:rFonts w:ascii="Times New Roman" w:hAnsi="Times New Roman"/>
                <w:sz w:val="24"/>
                <w:szCs w:val="24"/>
              </w:rPr>
              <w:t xml:space="preserve"> faktorje in posebne popravke zaradi kreditnega tveganja.</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(Prilagoditev za konverzijo v enakovredne kreditne zneske)</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429f CRR.</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Zmanjšanje bruto zneska </w:t>
            </w:r>
            <w:proofErr w:type="spellStart"/>
            <w:r>
              <w:rPr>
                <w:rFonts w:ascii="Times New Roman" w:hAnsi="Times New Roman"/>
                <w:sz w:val="24"/>
                <w:szCs w:val="24"/>
              </w:rPr>
              <w:t>zunajbilančnih</w:t>
            </w:r>
            <w:proofErr w:type="spellEnd"/>
            <w:r>
              <w:rPr>
                <w:rFonts w:ascii="Times New Roman" w:hAnsi="Times New Roman"/>
                <w:sz w:val="24"/>
                <w:szCs w:val="24"/>
              </w:rPr>
              <w:t xml:space="preserve"> izpostavljenosti zaradi uporabe kreditnih </w:t>
            </w:r>
            <w:proofErr w:type="spellStart"/>
            <w:r>
              <w:rPr>
                <w:rFonts w:ascii="Times New Roman" w:hAnsi="Times New Roman"/>
                <w:sz w:val="24"/>
                <w:szCs w:val="24"/>
              </w:rPr>
              <w:t>konverzijskih</w:t>
            </w:r>
            <w:proofErr w:type="spellEnd"/>
            <w:r>
              <w:rPr>
                <w:rFonts w:ascii="Times New Roman" w:hAnsi="Times New Roman"/>
                <w:sz w:val="24"/>
                <w:szCs w:val="24"/>
              </w:rPr>
              <w:t xml:space="preserve"> faktorjev. Ker to zmanjša mero skupne izpostavljenosti, vrednost, razkrita v tej vrstici, negativno prispeva k izračunu vsote, ki se razkrije v vrstici 22 predloge EU 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(Splošni popravki, odšteti pri določanju temeljnega kapitala, in posebni popravki, povezani z </w:t>
            </w:r>
            <w:proofErr w:type="spellStart"/>
            <w:r>
              <w:rPr>
                <w:rStyle w:val="TeksttreciPogrubienie"/>
                <w:rFonts w:ascii="Times New Roman" w:hAnsi="Times New Roman"/>
                <w:sz w:val="24"/>
                <w:szCs w:val="24"/>
              </w:rPr>
              <w:t>zunajbilančnimi</w:t>
            </w:r>
            <w:proofErr w:type="spellEnd"/>
            <w:r>
              <w:rPr>
                <w:rStyle w:val="TeksttreciPogrubienie"/>
                <w:rFonts w:ascii="Times New Roman" w:hAnsi="Times New Roman"/>
                <w:sz w:val="24"/>
                <w:szCs w:val="24"/>
              </w:rPr>
              <w:t xml:space="preserve"> izpostavljenostmi)</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429(4) ter člen 429f(1) in (2)</w:t>
            </w:r>
            <w:r>
              <w:rPr>
                <w:rStyle w:val="TeksttreciPogrubienie"/>
                <w:rFonts w:ascii="Times New Roman" w:hAnsi="Times New Roman"/>
                <w:sz w:val="24"/>
                <w:szCs w:val="24"/>
              </w:rPr>
              <w:t xml:space="preserve"> </w:t>
            </w:r>
            <w:r>
              <w:rPr>
                <w:rFonts w:ascii="Times New Roman" w:hAnsi="Times New Roman"/>
                <w:sz w:val="24"/>
                <w:szCs w:val="24"/>
              </w:rPr>
              <w:t>CRR.</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lahko znesek kreditne izpostavljenosti </w:t>
            </w:r>
            <w:proofErr w:type="spellStart"/>
            <w:r>
              <w:rPr>
                <w:rFonts w:ascii="Times New Roman" w:hAnsi="Times New Roman"/>
                <w:sz w:val="24"/>
                <w:szCs w:val="24"/>
              </w:rPr>
              <w:t>zunajbilančne</w:t>
            </w:r>
            <w:proofErr w:type="spellEnd"/>
            <w:r>
              <w:rPr>
                <w:rFonts w:ascii="Times New Roman" w:hAnsi="Times New Roman"/>
                <w:sz w:val="24"/>
                <w:szCs w:val="24"/>
              </w:rPr>
              <w:t xml:space="preserve"> postavke zmanjšajo za ustrezni znesek splošnih popravkov zaradi kreditnega tveganja, ki se odštejejo od temeljnega kapitala. Pri izračunu se uporablja spodnji prag v višini nič.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lahko znesek kreditne izpostavljenosti </w:t>
            </w:r>
            <w:proofErr w:type="spellStart"/>
            <w:r>
              <w:rPr>
                <w:rFonts w:ascii="Times New Roman" w:hAnsi="Times New Roman"/>
                <w:sz w:val="24"/>
                <w:szCs w:val="24"/>
              </w:rPr>
              <w:t>zunajbilančne</w:t>
            </w:r>
            <w:proofErr w:type="spellEnd"/>
            <w:r>
              <w:rPr>
                <w:rFonts w:ascii="Times New Roman" w:hAnsi="Times New Roman"/>
                <w:sz w:val="24"/>
                <w:szCs w:val="24"/>
              </w:rPr>
              <w:t xml:space="preserve"> postavke zmanjšajo za ustrezni znesek posebnih popravkov zaradi kreditnega tveganja. Pri izračunu se uporablja spodnji prag v višini nič.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Absolutna vrednost teh prilagoditev zaradi kreditnega tveganja ne presega vsote vrstic 19 in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te prilagoditve zmanjšajo mero skupne izpostavljenosti, institucije vrednost v tej vrstici navedejo v oklepajih (negativen znesek).</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Razkriti znesek se vključi tudi v relevantne celice zgoraj, kot da se to zmanjšanje ni uporabilo.</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proofErr w:type="spellStart"/>
            <w:r>
              <w:rPr>
                <w:rStyle w:val="TeksttreciPogrubienie"/>
                <w:rFonts w:ascii="Times New Roman" w:hAnsi="Times New Roman"/>
                <w:sz w:val="24"/>
                <w:szCs w:val="24"/>
              </w:rPr>
              <w:t>Zunajbilančne</w:t>
            </w:r>
            <w:proofErr w:type="spellEnd"/>
            <w:r>
              <w:rPr>
                <w:rStyle w:val="TeksttreciPogrubienie"/>
                <w:rFonts w:ascii="Times New Roman" w:hAnsi="Times New Roman"/>
                <w:sz w:val="24"/>
                <w:szCs w:val="24"/>
              </w:rPr>
              <w:t xml:space="preserve"> izpostavljenosti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429f in člena 111(1) ter 166(9) CRR; vsota vrstic 19 do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vrednosti izpostavljenosti količnika finančnega vzvoda za </w:t>
            </w:r>
            <w:proofErr w:type="spellStart"/>
            <w:r>
              <w:rPr>
                <w:rFonts w:ascii="Times New Roman" w:hAnsi="Times New Roman"/>
                <w:sz w:val="24"/>
                <w:szCs w:val="24"/>
              </w:rPr>
              <w:t>zunajbilančne</w:t>
            </w:r>
            <w:proofErr w:type="spellEnd"/>
            <w:r>
              <w:rPr>
                <w:rFonts w:ascii="Times New Roman" w:hAnsi="Times New Roman"/>
                <w:sz w:val="24"/>
                <w:szCs w:val="24"/>
              </w:rPr>
              <w:t xml:space="preserve"> postavke, določene v skladu s členom 429f CRR, pri čemer se upoštevajo ustrezni </w:t>
            </w:r>
            <w:proofErr w:type="spellStart"/>
            <w:r>
              <w:rPr>
                <w:rFonts w:ascii="Times New Roman" w:hAnsi="Times New Roman"/>
                <w:sz w:val="24"/>
                <w:szCs w:val="24"/>
              </w:rPr>
              <w:t>konverzijski</w:t>
            </w:r>
            <w:proofErr w:type="spellEnd"/>
            <w:r>
              <w:rPr>
                <w:rFonts w:ascii="Times New Roman" w:hAnsi="Times New Roman"/>
                <w:sz w:val="24"/>
                <w:szCs w:val="24"/>
              </w:rPr>
              <w:t xml:space="preserve"> faktorji.</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upoštevajo, da vrstici 20 in 21 predloge EU LR2 – </w:t>
            </w:r>
            <w:proofErr w:type="spellStart"/>
            <w:r>
              <w:rPr>
                <w:rFonts w:ascii="Times New Roman" w:hAnsi="Times New Roman"/>
                <w:sz w:val="24"/>
                <w:szCs w:val="24"/>
              </w:rPr>
              <w:t>LRCom</w:t>
            </w:r>
            <w:proofErr w:type="spellEnd"/>
            <w:r>
              <w:rPr>
                <w:rFonts w:ascii="Times New Roman" w:hAnsi="Times New Roman"/>
                <w:sz w:val="24"/>
                <w:szCs w:val="24"/>
              </w:rPr>
              <w:t xml:space="preserve"> negativno prispevata k izračunu te vsote.</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izključene iz mere skupne izpostavljenosti v skladu s členom 429a(1)(c) CRR)</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429a(1)(c) ter člen 113(6) in (7) CRR.</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izpostavljenosti, ki so izključene v skladu s členom 429a(1)(c) CRR.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Razkriti znesek se vključi tudi v relevantne celice zgoraj, kot da se ne uporablja nobeno izvzetje.</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(Izpostavljenosti, izključene v skladu s </w:t>
            </w:r>
            <w:r>
              <w:rPr>
                <w:rFonts w:ascii="Times New Roman" w:hAnsi="Times New Roman"/>
                <w:b/>
                <w:sz w:val="24"/>
                <w:szCs w:val="24"/>
              </w:rPr>
              <w:t xml:space="preserve">členom 429a(1)(j) </w:t>
            </w:r>
            <w:r>
              <w:rPr>
                <w:rStyle w:val="TeksttreciPogrubienie"/>
                <w:rFonts w:ascii="Times New Roman" w:hAnsi="Times New Roman"/>
                <w:sz w:val="24"/>
                <w:szCs w:val="24"/>
              </w:rPr>
              <w:t xml:space="preserve">CRR (bilančne </w:t>
            </w:r>
            <w:r>
              <w:rPr>
                <w:rStyle w:val="TeksttreciPogrubienie"/>
                <w:rFonts w:ascii="Times New Roman" w:hAnsi="Times New Roman"/>
                <w:sz w:val="24"/>
                <w:szCs w:val="24"/>
              </w:rPr>
              <w:lastRenderedPageBreak/>
              <w:t xml:space="preserve">in </w:t>
            </w:r>
            <w:proofErr w:type="spellStart"/>
            <w:r>
              <w:rPr>
                <w:rStyle w:val="TeksttreciPogrubienie"/>
                <w:rFonts w:ascii="Times New Roman" w:hAnsi="Times New Roman"/>
                <w:sz w:val="24"/>
                <w:szCs w:val="24"/>
              </w:rPr>
              <w:t>zunajbilančne</w:t>
            </w:r>
            <w:proofErr w:type="spellEnd"/>
            <w:r>
              <w:rPr>
                <w:rStyle w:val="TeksttreciPogrubienie"/>
                <w:rFonts w:ascii="Times New Roman" w:hAnsi="Times New Roman"/>
                <w:sz w:val="24"/>
                <w:szCs w:val="24"/>
              </w:rPr>
              <w:t>))</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429a(1)(j) CRR.</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izpostavljenosti, izključene v skladu členom 429a(1)(j) CRR, če so izpolnjeni tam navedeni pogoji.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Razkriti znesek se vključi tudi v relevantne celice zgoraj, kot da se ne uporablja nobeno izvzetje.</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(Izključene izpostavljenosti javnih razvojnih bank (ali enot) – naložbe javnega sektorja)</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429a(1)(d) in člen 429a(2) CRR.</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Izpostavljenosti, ki izhajajo iz sredstev, ki predstavljajo terjatve do enote centralne, regionalne ali lokalne ravni držav ali subjektov javnega sektorja v zvezi z naložbami javnega sektorja, ki se lahko izključijo v skladu s členom 429a(1)(d) CRR. To vključuje samo primere, v katerih je institucija javna razvojna kreditna institucija, ali kadar ima izpostavljenosti enota, ki se obravnava kot javna razvojna kreditna institucija v skladu z zadnjim pododstavkom člena 429a(2) CRR.</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celici navedejo v oklepajih (negativen znesek).</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(Izključene izpostavljenosti javnih razvojnih bank (ali enot) – promocijski krediti)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Člen 429a(1)(d) in člen 429a(2) CRR.</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izključene promocijske kredite v skladu s členom 429a(1)(d) CRR. To vključuje samo primere, v katerih je institucija javna razvojna kreditna institucija, ali kadar ima promocijske kredite enota, ki se obravnava kot javna razvojna kreditna institucija v skladu z zadnjim pododstavkom člena 429a(2) CRR.</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(Izključene izpostavljenosti iz naslova pretočnih promocijskih kreditov nejavnih razvojnih bank (ali enot))</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Člen 429a(1)(e) CRR.</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Institucije razkrijejo izključene izpostavljenosti v skladu s členom 429a(1)(e) CRR v zvezi z deli izpostavljenosti, ki izhajajo iz pretočnih promocijskih kreditov drugim kreditnim institucijam.</w:t>
            </w:r>
            <w:r>
              <w:rPr>
                <w:rFonts w:ascii="Times New Roman" w:hAnsi="Times New Roman"/>
                <w:bCs/>
                <w:sz w:val="24"/>
                <w:szCs w:val="24"/>
              </w:rPr>
              <w:t xml:space="preserve"> To vključuje samo primere, v katerih institucija ni javna razvojna kreditna institucija in se dejavnost ne izvaja z nobeno enoto, ki se obravnava kot javna razvojna kreditna institucija v skladu z zadnjim pododstavkom člena 429a(2) CRR.</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(Izključeni zajamčeni deli izpostavljenosti, ki izhajajo iz izvoznih kreditov)</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Člen 429a(1)(f) CRR.</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Zajamčeni deli izpostavljenosti, ki izhajajo iz izvoznih kreditov, ki se lahko izključijo, če so izpolnjeni pogoji iz člena 429a(1)(f) CRR.</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(Izključeno presežno zavarovanje s premoženjem, vloženo pri tripartitnih agentih)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Člen 429a(1)(k) CRR.</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Presežno zavarovanje s premoženjem, vloženo pri tripartitnih agentih, ki ni bilo posojeno, ki se lahko izključi v skladu s členom 429a(1)(k) CRR.</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(Izključene storitve, povezane s centralnimi depotnimi družbami, CDD/institucij v skladu s členom 429a(1)(o) CRR)</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Člen 429a(1)(o) CRR.</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Storitve, povezane s centralnimi depotnimi družbami, CDD/institucij, ki se lahko izključijo v skladu s členom 429a(1)(o) CRR.</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(Izključene storitve, povezane s centralnimi depotnimi družbami, imenovanih institucij v skladu s členom 429a(1)(p) CRR)</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Člen 429a(1)(p) CRR.</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Storitve, povezane s centralnimi depotnimi družbami, imenovanih institucij, ki se lahko izključijo v skladu s členom 429a(1)(p) CRR.</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(Zmanjšanje vrednosti izpostavljenosti kreditov za </w:t>
            </w:r>
            <w:proofErr w:type="spellStart"/>
            <w:r>
              <w:rPr>
                <w:rFonts w:ascii="Times New Roman" w:hAnsi="Times New Roman"/>
                <w:b/>
                <w:bCs/>
                <w:sz w:val="24"/>
                <w:szCs w:val="24"/>
              </w:rPr>
              <w:t>predfinanciranje</w:t>
            </w:r>
            <w:proofErr w:type="spellEnd"/>
            <w:r>
              <w:rPr>
                <w:rFonts w:ascii="Times New Roman" w:hAnsi="Times New Roman"/>
                <w:b/>
                <w:bCs/>
                <w:sz w:val="24"/>
                <w:szCs w:val="24"/>
              </w:rPr>
              <w:t xml:space="preserve"> ali vmesnih kreditov)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Člen 429(8) CRR.</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Znesek, za katerega se zmanjša vrednost izpostavljenosti kredita za </w:t>
            </w:r>
            <w:proofErr w:type="spellStart"/>
            <w:r>
              <w:rPr>
                <w:rFonts w:ascii="Times New Roman" w:hAnsi="Times New Roman"/>
                <w:bCs/>
                <w:sz w:val="24"/>
                <w:szCs w:val="24"/>
              </w:rPr>
              <w:t>predfinanciranje</w:t>
            </w:r>
            <w:proofErr w:type="spellEnd"/>
            <w:r>
              <w:rPr>
                <w:rFonts w:ascii="Times New Roman" w:hAnsi="Times New Roman"/>
                <w:bCs/>
                <w:sz w:val="24"/>
                <w:szCs w:val="24"/>
              </w:rPr>
              <w:t xml:space="preserve"> ali vmesnega kredita v skladu s členom 429(8) CRR.</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(Skupni znesek izključenih izpostavljenosti)</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Vsota vrstic EU-22a do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Ker ta znesek zmanjša mero skupne izpostavljenosti, institucije vrednost v tej vrstici navedejo v oklepajih (negativen znesek).</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Temeljni kapital</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429(3) in člen 499(1) ter (2) CRR.</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znesek temeljnega kapitala, izračunanega glede na odločitev, sprejeto v skladu s členom 499(2) CRR, kot je razkrito v vrstici EU-27 predloge EU LR2 – </w:t>
            </w:r>
            <w:proofErr w:type="spellStart"/>
            <w:r>
              <w:rPr>
                <w:rFonts w:ascii="Times New Roman" w:hAnsi="Times New Roman"/>
                <w:sz w:val="24"/>
                <w:szCs w:val="24"/>
              </w:rPr>
              <w:t>LRCom</w:t>
            </w:r>
            <w:proofErr w:type="spellEnd"/>
            <w:r>
              <w:rPr>
                <w:rFonts w:ascii="Times New Roman" w:hAnsi="Times New Roman"/>
                <w:sz w:val="24"/>
                <w:szCs w:val="24"/>
              </w:rPr>
              <w:t>.</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Natančneje, če se je institucija odločila razkriti temeljni kapital v skladu s členom 499(1)(a) CRR, razkrije znesek temeljnega kapitala, izračunanega v skladu s členom 25 CRR, brez upoštevanja odstopanj iz poglavij 1 in 2 naslova I dela 10 CRR.</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Nasprotno pa, če se je institucija odločila razkriti temeljni kapital v skladu s členom 499(1)(b) CRR, razkrije znesek temeljnega kapitala, izračunanega v skladu s členom 25 CRR, po upoštevanju odstopanj iz poglavij 1 in 2 naslova I dela 10 CRR.</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Mera skupne izpostavljenosti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Vsota zneskov v vrsticah 7, 13, 18, 22 in EU-22k predloge</w:t>
            </w:r>
            <w:r>
              <w:rPr>
                <w:rStyle w:val="TeksttreciPogrubienie"/>
                <w:rFonts w:ascii="Times New Roman" w:hAnsi="Times New Roman"/>
                <w:sz w:val="24"/>
                <w:szCs w:val="24"/>
              </w:rPr>
              <w:t xml:space="preserve"> </w:t>
            </w:r>
            <w:r>
              <w:rPr>
                <w:rFonts w:ascii="Times New Roman" w:hAnsi="Times New Roman"/>
                <w:sz w:val="24"/>
                <w:szCs w:val="24"/>
              </w:rPr>
              <w:t xml:space="preserve">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Količnik finančnega vzvoda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Institucije razkrijejo znesek v vrstici 23 predloge EU LR2 – </w:t>
            </w:r>
            <w:proofErr w:type="spellStart"/>
            <w:r>
              <w:rPr>
                <w:rFonts w:ascii="Times New Roman" w:hAnsi="Times New Roman"/>
                <w:sz w:val="24"/>
                <w:szCs w:val="24"/>
              </w:rPr>
              <w:t>LRCom</w:t>
            </w:r>
            <w:proofErr w:type="spellEnd"/>
            <w:r>
              <w:rPr>
                <w:rFonts w:ascii="Times New Roman" w:hAnsi="Times New Roman"/>
                <w:sz w:val="24"/>
                <w:szCs w:val="24"/>
              </w:rPr>
              <w:t>, izražen kot odstotek zneska v vrstici 24 predloge EU 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Količnik finančnega vzvoda (brez učinka izvzetja naložb javnega sektorja in promocijskih kreditov)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V skladu s členom 451(2) CRR javne razvojne kreditne institucije, kot so opredeljene v členu 429a(2) CRR, razkrijejo količnik finančnega vzvoda brez prilagoditve mere skupne izpostavljenosti, določene v skladu s členom 429a(1)(d) CRR, tj. prilagoditve, ki je razkrita v vrsticah EU-22c in EU-22d te predloge.</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Količnik finančnega vzvoda (brez učinka kakršnega koli ustreznega začasnega izvzetja rezerv pri centralni banki)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se za mero skupne izpostavljenosti institucije uporablja začasno izvzetje rezerv pri centralni banki iz člena 429a(1)(n) CRR, se ta količnik opredeli kot mera temeljnega kapitala, deljena z vsoto mere skupne izpostavljenosti in zneska izvzetih rezerv pri centralni banki, pri čemer se ta količnik izrazi kot odstotek.</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Če se za mero skupne izpostavljenosti institucije ne uporablja začasno izvzetje rezerv pri centralni banki, je ta količnik enak količniku, razkritem v vrstici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Regulativna zahteva za minimalni količnik finančnega vzvoda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Člen 92(1)(d), člen 429a(1)(n) in </w:t>
            </w:r>
            <w:r>
              <w:rPr>
                <w:rFonts w:ascii="Times New Roman" w:hAnsi="Times New Roman"/>
                <w:bCs/>
                <w:color w:val="000000"/>
                <w:sz w:val="24"/>
                <w:shd w:val="clear" w:color="auto" w:fill="FFFFFF"/>
              </w:rPr>
              <w:t>člen 429a(7) CRR.</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Institucije razkrijejo zahtevo za količnik finančnega vzvoda, kot je določena v členu 92(1)(d) CRR. Če institucija izključi izpostavljenosti iz člena 429a(1)(n) CRR, razkrije prilagojeno zahtevo za količnik finančnega vzvoda, izračunano v skladu s členom 429a(7) CRR.</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Dodatne kapitalske zahteve za obravnavanje tveganja prevelikega finančnega vzvoda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Dodatne kapitalske zahteve za obravnavanje tveganja prevelikega finančnega vzvoda, ki jih naloži pristojni organ v skladu s členom 104(1)(a) CRD, izražene kot odstotek zneska mere skupne izpostavljenosti.</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od tega: ki morajo biti sestavljene iz navadnega lastniškega temeljnega kapitala (odstotne točke)</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Del dodatnih kapitalskih zahtev za obravnavanje tveganja prevelikega finančnega vzvoda, naloženih s strani pristojnega organa v skladu s členom 104(1)(a) CRD, ki mora biti izpolnjen z navadnim lastniškim temeljnim kapitalom v skladu s tretjim pododstavkom člena 104a(4).</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Zahteva po blažilniku količnika finančnega vzvoda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Člen 92(1a) CRR.</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Institucije, za katere velja člen 92(1a) CRR, razkrijejo svojo ustrezno zahtevo po blažilniku količnika finančnega vzvoda</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Zahteva za skupni količnik finančnega vzvoda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Vsota zneskov v vrsticah 26, EU-26a in 27 te predloge.</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Izbira prehodne ureditve za opredelitev mere kapitala</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499(2) CRR.</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navedejo, katero prehodno ureditev so izbrale za namene zahtev po razkritjih v zvezi s kapitalom, in sicer tako da razkrijejo eno od naslednjega:</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„opredelitev, ki ne zajema prehodne ureditve“, če se institucija odloči, da bo razkrila količnik finančnega vzvoda v skladu s členom 499(1)(a) CRR;</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„opredelitev, ki zajema prehodno ureditev“, če institucija izbere, da bo razkrila količnik finančnega vzvoda v skladu s členom 499(1)(b) CRR.</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Aritmetična sredina dnevnih vrednosti bruto sredstev iz SFT po prilagoditvi za posle, obračunane po pravilu prodaje, in po odštetju zneskov povezanih denarnih obveznosti in denarnih terjatev</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Člen 451(3) CRR; aritmetična sredina vsot vrstic 14 in 15 na podlagi vsot, izračunanih za vsak dan četrtletja, ki ga zajemajo razkritja.</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Vrednost bruto sredstev iz SFT ob koncu četrtletja po prilagoditvi za posle, obračunane po pravilu prodaje, in po odštetju zneskov povezanih denarnih obveznosti in denarnih terjatev</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Če vrstici 14 in 15 temeljita na vrednostih ob koncu četrtletja, je ta znesek vsota vrstic 14 in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Če vrstici 14 in 15 temeljita na povprečnih vrednostih, je ta znesek vsota vrednosti ob koncu četrtletja za vsebino vrstic 14 in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Mera skupne izpostavljenosti (vključno z učinkom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Člen 451(3) CRR.</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Mera skupne izpostavljenosti (vključno z učinkom kakršnega koli ustreznega začasnega izvzetja rezerv pri centralni banki) z uporabo aritmetičnih sredin na podlagi izračuna za vsak dan četrtletja, ki ga zajemajo razkritja, za zneske mere izpostavljenosti, povezane z bruto sredstvi iz SFT (po prilagoditvi za posle, obračunane po pravilu prodaje, in po odštetju zneskov povezanih denarnih obveznosti in denarnih terjatev).</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Mera skupne izpostavljenosti (brez učinka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Člen 451(3) CRR.</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Mera skupne izpostavljenosti (brez učinka kakršnega koli ustreznega začasnega izvzetja rezerv pri centralni banki), z uporabo aritmetičnih sredin na podlagi izračuna za vsak dan četrtletja, ki ga zajemajo razkritja, za zneske mere izpostavljenosti, povezane z bruto sredstvi iz SFT (po prilagoditvi za posle, obračunane po pravilu prodaje, in po odštetju zneskov povezanih denarnih obveznosti in denarnih terjatev).</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Če se za mero skupne izpostavljenosti institucije ne uporablja začasno izvzetje rezerv pri centralni banki, je ta vrednost enaka vrednosti, razkriti v vrstici 30 te predloge.</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Količnik finančnega vzvoda (vključno z učinkom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Člen 451(3) CRR.</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Količnik finančnega vzvoda (brez učinka kakršnega koli ustreznega začasnega izvzetja rezerv pri centralni banki), ki vključuje aritmetične sredine iz vrstice 28 za bruto sredstva iz SFT (po prilagoditvi za posle, obračunane po pravilu prodaje, in po odštetju zneskov povezanih denarnih obveznosti in denarnih terjatev)</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Člen 451(3) CRR.</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Predloga EU LR3 –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razčlenitev bilančnih izpostavljenosti (razen izvedenih finančnih instrumentov, SFT in izvzetih izpostavljenosti). </w:t>
      </w:r>
      <w:r>
        <w:rPr>
          <w:rFonts w:ascii="Times New Roman" w:hAnsi="Times New Roman"/>
          <w:b w:val="0"/>
          <w:color w:val="000000"/>
          <w:sz w:val="24"/>
          <w:szCs w:val="24"/>
        </w:rPr>
        <w:t>Fiksna oblika.</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 xml:space="preserve">Institucije uporabljajo navodila v tem oddelku za izpolnjevanje predloge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ob upoštevanju člena 451(1)(b)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podlaga in navodila</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Skupni znesek bilančnih izpostavljenosti (razen izvedenih finančnih instrumentov, SFT in izvzetih izpostavljenosti), od tega:</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vsoto zneskov v vrsticah EU-2 in EU-3 predloge EU 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v trgovalni knjigi</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izpostavljenosti, ki so del vrednosti skupne izpostavljenosti sredstev, ki spadajo v trgovalno knjigo, razen izvedenih finančnih instrumentov, SFT in izvzetih izpostavljenosti.</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Izpostavljenosti v </w:t>
            </w:r>
            <w:proofErr w:type="spellStart"/>
            <w:r>
              <w:rPr>
                <w:rStyle w:val="TeksttreciPogrubienie"/>
                <w:rFonts w:ascii="Times New Roman" w:hAnsi="Times New Roman"/>
                <w:sz w:val="24"/>
                <w:szCs w:val="24"/>
              </w:rPr>
              <w:t>netrgovalni</w:t>
            </w:r>
            <w:proofErr w:type="spellEnd"/>
            <w:r>
              <w:rPr>
                <w:rStyle w:val="TeksttreciPogrubienie"/>
                <w:rFonts w:ascii="Times New Roman" w:hAnsi="Times New Roman"/>
                <w:sz w:val="24"/>
                <w:szCs w:val="24"/>
              </w:rPr>
              <w:t xml:space="preserve"> knjigi, od tega:</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vsoto vrednosti v vrsticah EU-4 do EU-12 predloge EU 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Krite obveznice</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razkrijejo vsoto izpostavljenosti, ki je vrednost skupne izpostavljenosti sredstev, ki so v obliki kritih obveznic, kot je določeno v členu 129 in členu 161(1)(d) CRR.</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razkrijejo skupno izpostavljenost iz naslova kritih obveznic brez neplačanih izpostavljenosti.</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ki se obravnavajo kot izpostavljenosti do enot centralne ravni držav</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Institucije razkrijejo vsoto izpostavljenosti, ki je vrednost skupne izpostavljenosti do subjektov, ki se obravnavajo kot izpostavljenosti do enot centralne ravni držav v skladu s CRR (enote centralne ravni države in centralne banke (člen 114 in člen 147(2)(a) CRR);</w:t>
            </w:r>
            <w:r>
              <w:rPr>
                <w:rFonts w:ascii="Times New Roman" w:hAnsi="Times New Roman"/>
                <w:bCs/>
                <w:sz w:val="24"/>
                <w:szCs w:val="24"/>
              </w:rPr>
              <w:t xml:space="preserve"> enote regionalne in lokalne ravni držav, ki se obravnavajo kot enote centralne ravni držav (člen 115(2) in (4) ter člen 147(3)(a) CRR), multilateralne razvojne banke in mednarodne organizacije, ki se obravnavajo kot enote centralne ravni držav (člen 117(2), </w:t>
            </w:r>
            <w:r>
              <w:rPr>
                <w:rFonts w:ascii="Times New Roman" w:hAnsi="Times New Roman"/>
                <w:bCs/>
                <w:sz w:val="24"/>
                <w:szCs w:val="24"/>
              </w:rPr>
              <w:lastRenderedPageBreak/>
              <w:t>člen 118 ter člen 147(3)(b) in (c) CRR), subjekti javnega sektorja (člen 116(4) in člen 147(3)(a) CRR).</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Institucije razkrijejo skupno izpostavljenost iz naslova izpostavljenosti, ki se obravnavajo kot izpostavljenosti do enot centralne ravni držav, brez neplačanih izpostavljenosti.</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do enot regionalne ravni držav, multilateralnih razvojnih bank, mednarodnih organizacij in subjektov javnega sektorja, ki se ne obravnavajo kot enote centralne ravni države</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Institucije razkrijejo vsoto izpostavljenosti, ki je vrednost skupne izpostavljenosti do enot regionalne in lokalne ravni držav, kot je določeno v členu 115(1), (3) in (5) CRR za izpostavljenosti na podlagi standardiziranega pristopa in členu 147(4)(a) CRR za izpostavljenosti na podlagi pristopa IRB; multilateralnih razvojnih bank, kot je določeno v členu 117(1) in (3) CRR za izpostavljenosti na podlagi standardiziranega pristopa in členu 147(4)(c) CRR za izpostavljenosti na podlagi pristopa IRB; mednarodnih organizacij in subjektov javnega sektorja, kot je določeno v členu 116(1), (2), (3) in (5) CRR za izpostavljenosti na podlagi standardiziranega pristopa in členu 147(4)(b) CRR za izpostavljenosti na podlagi pristopa IRB, ki se ne obravnavajo kot enote centralne ravni države v skladu s CRR.</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Institucije razkrijejo zgornjo skupno izpostavljenost brez neplačanih izpostavljenosti.</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Institucije</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Institucije razkrijejo vsoto izpostavljenosti, ki je vrednost izpostavljenosti do institucij, ki spadajo pod člene 119 do 121 CRR za izpostavljenosti na podlagi standardiziranega pristopa in člen 147(2)(b) CRR za izpostavljenosti na podlagi pristopa IRB in ki ne predstavljajo izpostavljenosti v obliki kritih obveznic iz člena 161(1)(d) CRR ter niso zajete v členu 147(4)(a) do (c) CRR.</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Institucije razkrijejo skupno izpostavljenost brez neplačanih izpostavljenosti.</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zavarovane s hipotekami na nepremičnine</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Institucije razkrijejo vsoto izpostavljenosti, ki je vrednost izpostavljenosti sredstev, ki so izpostavljenosti, zavarovane s hipotekami na nepremičnine, ki spadajo pod člen 124 CRR v primeru izpostavljenosti na podlagi standardiziranega pristopa, in ki so izpostavljenosti do podjetij v skladu s členom 147(2)(c) CRR ali izpostavljenosti na drobno v skladu s členom 147(2)(d) CRR, če so te izpostavljenosti zavarovane s hipotekami na nepremičnine v skladu s členom 199(1)(a) CRR, za izpostavljenosti na podlagi pristopa IRB.</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razkrijejo skupno izpostavljenost brez neplačanih izpostavljenosti.</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na drobno</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Institucije razkrijejo vsoto izpostavljenosti, ki je vrednost skupne izpostavljenosti sredstev, ki so izpostavljenosti na drobno, ki spadajo pod člen 123 CRR v primeru izpostavljenosti na podlagi standardiziranega pristopa, in ki so izpostavljenosti v skladu s členom 147(2)(d) CRR, če te izpostavljenosti </w:t>
            </w:r>
            <w:r>
              <w:rPr>
                <w:rFonts w:ascii="Times New Roman" w:hAnsi="Times New Roman"/>
                <w:b/>
                <w:sz w:val="24"/>
                <w:szCs w:val="24"/>
                <w:u w:val="single"/>
              </w:rPr>
              <w:t>niso</w:t>
            </w:r>
            <w:r>
              <w:rPr>
                <w:rFonts w:ascii="Times New Roman" w:hAnsi="Times New Roman"/>
                <w:sz w:val="24"/>
                <w:szCs w:val="24"/>
              </w:rPr>
              <w:t xml:space="preserve"> zavarovane s hipotekami na nepremičnine v skladu s členom 199(1)(a) CRR, za izpostavljenosti na podlagi pristopa IRB.</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Institucije razkrijejo skupno izpostavljenost brez neplačanih izpostavljenosti.</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Izpostavljenosti do podjetij</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Institucije razkrijejo vsoto izpostavljenosti, ki je vrednost skupne izpostavljenosti sredstev, ki so izpostavljenosti do podjetij (tj. finančnih in nefinančnih). Za izpostavljenosti na podlagi standardiziranega pristopa so to izpostavljenosti do podjetij, ki spadajo pod člen 122 CRR, za izpostavljenosti na podlagi pristopa IRB pa so to izpostavljenosti do podjetij iz člena 147(2)(c) CRR, če te izpostavljenosti </w:t>
            </w:r>
            <w:r>
              <w:rPr>
                <w:rFonts w:ascii="Times New Roman" w:hAnsi="Times New Roman"/>
                <w:b/>
                <w:sz w:val="24"/>
                <w:szCs w:val="24"/>
                <w:u w:val="single"/>
              </w:rPr>
              <w:t>niso</w:t>
            </w:r>
            <w:r>
              <w:rPr>
                <w:rFonts w:ascii="Times New Roman" w:hAnsi="Times New Roman"/>
                <w:sz w:val="24"/>
                <w:szCs w:val="24"/>
              </w:rPr>
              <w:t xml:space="preserve"> zavarovane s hipotekami na nepremičnine v skladu s členom 199(1)(a) CRR.</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 xml:space="preserve">Finančna podjetja pomenijo regulirana in </w:t>
            </w:r>
            <w:proofErr w:type="spellStart"/>
            <w:r>
              <w:rPr>
                <w:rFonts w:ascii="Times New Roman" w:hAnsi="Times New Roman"/>
                <w:bCs/>
                <w:sz w:val="24"/>
                <w:szCs w:val="24"/>
              </w:rPr>
              <w:t>neregulirana</w:t>
            </w:r>
            <w:proofErr w:type="spellEnd"/>
            <w:r>
              <w:rPr>
                <w:rFonts w:ascii="Times New Roman" w:hAnsi="Times New Roman"/>
                <w:bCs/>
                <w:sz w:val="24"/>
                <w:szCs w:val="24"/>
              </w:rPr>
              <w:t xml:space="preserve"> podjetja, razen institucij iz vrstice EU-7 te predloge, katerih osnovna dejavnost je pridobivanje deležev ali opravljanje ene ali več dejavnosti iz Priloge I k CRD, ter subjekte iz člena 4(1)(27) CRR, razen institucij iz vrstice EU-7 te predloge.</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Za namene te celice je „malo in srednje podjetje“ opredeljeno v skladu s členom 501(2)(b) CRR.</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Institucije razkrijejo skupno izpostavljenost brez neplačanih izpostavljenosti.</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Neplačane izpostavljenosti</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Institucije razkrijejo vsoto izpostavljenosti, ki je vrednost skupne izpostavljenosti sredstev, pri katerih je prišlo do neplačila in ki v primeru izpostavljenosti na podlagi standardiziranega pristopa spadajo pod člen 127 CRR, v primeru izpostavljenosti na podlagi pristopa IRB pa so razvrščena v razrede izpostavljenosti iz člena 147(2) CRR, če je prišlo do neplačila v skladu s členom 178 CRR.</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Druge izpostavljenosti (npr. lastniški kapital, </w:t>
            </w:r>
            <w:proofErr w:type="spellStart"/>
            <w:r>
              <w:rPr>
                <w:rStyle w:val="TeksttreciPogrubienie"/>
                <w:rFonts w:ascii="Times New Roman" w:hAnsi="Times New Roman"/>
                <w:sz w:val="24"/>
                <w:szCs w:val="24"/>
              </w:rPr>
              <w:t>listinjenja</w:t>
            </w:r>
            <w:proofErr w:type="spellEnd"/>
            <w:r>
              <w:rPr>
                <w:rStyle w:val="TeksttreciPogrubienie"/>
                <w:rFonts w:ascii="Times New Roman" w:hAnsi="Times New Roman"/>
                <w:sz w:val="24"/>
                <w:szCs w:val="24"/>
              </w:rPr>
              <w:t xml:space="preserve"> in druga sredstva iz naslova </w:t>
            </w:r>
            <w:proofErr w:type="spellStart"/>
            <w:r>
              <w:rPr>
                <w:rStyle w:val="TeksttreciPogrubienie"/>
                <w:rFonts w:ascii="Times New Roman" w:hAnsi="Times New Roman"/>
                <w:sz w:val="24"/>
                <w:szCs w:val="24"/>
              </w:rPr>
              <w:t>nekreditnih</w:t>
            </w:r>
            <w:proofErr w:type="spellEnd"/>
            <w:r>
              <w:rPr>
                <w:rStyle w:val="TeksttreciPogrubienie"/>
                <w:rFonts w:ascii="Times New Roman" w:hAnsi="Times New Roman"/>
                <w:sz w:val="24"/>
                <w:szCs w:val="24"/>
              </w:rPr>
              <w:t xml:space="preserve"> obveznosti)</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razkrijejo vsoto izpostavljenosti, ki je vrednost skupne izpostavljenosti drugih izpostavljenosti iz </w:t>
            </w:r>
            <w:proofErr w:type="spellStart"/>
            <w:r>
              <w:rPr>
                <w:rFonts w:ascii="Times New Roman" w:hAnsi="Times New Roman"/>
                <w:sz w:val="24"/>
                <w:szCs w:val="24"/>
              </w:rPr>
              <w:t>netrgovalne</w:t>
            </w:r>
            <w:proofErr w:type="spellEnd"/>
            <w:r>
              <w:rPr>
                <w:rFonts w:ascii="Times New Roman" w:hAnsi="Times New Roman"/>
                <w:sz w:val="24"/>
                <w:szCs w:val="24"/>
              </w:rPr>
              <w:t xml:space="preserve"> knjige v skladu s CRR (npr. lastniški kapital, </w:t>
            </w:r>
            <w:proofErr w:type="spellStart"/>
            <w:r>
              <w:rPr>
                <w:rFonts w:ascii="Times New Roman" w:hAnsi="Times New Roman"/>
                <w:sz w:val="24"/>
                <w:szCs w:val="24"/>
              </w:rPr>
              <w:t>listinjenja</w:t>
            </w:r>
            <w:proofErr w:type="spellEnd"/>
            <w:r>
              <w:rPr>
                <w:rFonts w:ascii="Times New Roman" w:hAnsi="Times New Roman"/>
                <w:sz w:val="24"/>
                <w:szCs w:val="24"/>
              </w:rPr>
              <w:t xml:space="preserve"> in sredstva iz naslova </w:t>
            </w:r>
            <w:proofErr w:type="spellStart"/>
            <w:r>
              <w:rPr>
                <w:rFonts w:ascii="Times New Roman" w:hAnsi="Times New Roman"/>
                <w:sz w:val="24"/>
                <w:szCs w:val="24"/>
              </w:rPr>
              <w:t>nekreditnih</w:t>
            </w:r>
            <w:proofErr w:type="spellEnd"/>
            <w:r>
              <w:rPr>
                <w:rFonts w:ascii="Times New Roman" w:hAnsi="Times New Roman"/>
                <w:sz w:val="24"/>
                <w:szCs w:val="24"/>
              </w:rPr>
              <w:t xml:space="preserve"> obveznosti; v primeru izpostavljenosti na podlagi standardiziranega pristopa so to sredstva, razvrščena v razrede izpostavljenosti iz člena 112(k), (m), (n), (o), (p) in (q), v primeru izpostavljenosti na podlagi pristopa IRB pa v razrede iz člena 147(2)(e), (f) in (g) CRR). Institucije vključijo sredstva, ki so odbita pri določanju temeljnega kapitala in so zato razkrita v vrstici 2 predloge EU-LR2 – </w:t>
            </w:r>
            <w:proofErr w:type="spellStart"/>
            <w:r>
              <w:rPr>
                <w:rFonts w:ascii="Times New Roman" w:hAnsi="Times New Roman"/>
                <w:sz w:val="24"/>
                <w:szCs w:val="24"/>
              </w:rPr>
              <w:t>LRCom</w:t>
            </w:r>
            <w:proofErr w:type="spellEnd"/>
            <w:r>
              <w:rPr>
                <w:rFonts w:ascii="Times New Roman" w:hAnsi="Times New Roman"/>
                <w:sz w:val="24"/>
                <w:szCs w:val="24"/>
              </w:rPr>
              <w:t>, razen če so ta sredstva vključena v vrstice EU-2 ter EU-4 do EU-11 predloge EU-LR3 – </w:t>
            </w:r>
            <w:proofErr w:type="spellStart"/>
            <w:r>
              <w:rPr>
                <w:rFonts w:ascii="Times New Roman" w:hAnsi="Times New Roman"/>
                <w:sz w:val="24"/>
                <w:szCs w:val="24"/>
              </w:rPr>
              <w:t>LRSpl</w:t>
            </w:r>
            <w:proofErr w:type="spellEnd"/>
            <w:r>
              <w:rPr>
                <w:rFonts w:ascii="Times New Roman" w:hAnsi="Times New Roman"/>
                <w:sz w:val="24"/>
                <w:szCs w:val="24"/>
              </w:rPr>
              <w:t>.</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lastRenderedPageBreak/>
        <w:t xml:space="preserve">Razpredelnica EU LRA – Razkritje kvalitativnih informacij o količniku finančnega vzvoda. </w:t>
      </w:r>
      <w:r>
        <w:rPr>
          <w:rFonts w:ascii="Times New Roman" w:hAnsi="Times New Roman"/>
          <w:b w:val="0"/>
          <w:color w:val="000000"/>
          <w:sz w:val="24"/>
          <w:szCs w:val="24"/>
        </w:rPr>
        <w:t>Polja, namenjena prosti vsebini, za razkritje kvalitativnih informacij.</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Institucije izpolnijo razpredelnico EU LRA z uporabo spodnjih navodil ob upoštevanju člena 451(1)(d) in (e) CRR.</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podlaga in navodila</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Opis procesov, ki se uporabljajo za upravljanje tveganja prevelikega finančnega vzvoda</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451(1)(d) CRR.</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„Opis procesov, ki se uporabljajo za upravljanje tveganja prevelikega finančnega vzvoda“, vsebuje vse zadevne informacije o:</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postopkih in virih, ki se uporabljajo za ocenjevanje tveganja prevelikega finančnega vzvoda;</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kvantitativnih orodjih, če obstajajo, ki se uporabljajo za ocenjevanje tveganja prevelikega finančnega vzvoda, vključno s podrobnostmi o morebitnih notranjih ciljih in tem, ali se uporabljajo drugi kazalniki, razen količnika finančnega vzvoda iz CRR;</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načinih, kako se neusklajenosti zapadlosti in obremenitev sredstev upoštevajo pri upravljanju tveganja prevelikega finančnega vzvoda;</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procesih za odzivanje na spremembe količnika finančnega vzvoda, vključno s procesi in časovnimi razporedi za morebitno povečanje temeljnega kapitala, da se obvlada tveganje prevelikega finančnega vzvoda; ali procesih in časovnih razporedih za prilagoditev imenovalca količnika finančnega vzvoda (mera skupne izpostavljenosti), da se obvlada tveganje prevelikega finančnega vzvoda.</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Opis dejavnikov, ki so vplivali na količnik finančnega vzvoda v obdobju, na katerega se nanaša razkriti količnik finančnega vzvoda</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Člen 451(1)(e) CRR.</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„Opis dejavnikov, ki so vplivali na količnik finančnega vzvoda v obdobju, na katerega se nanaša razkriti količnik finančnega vzvoda“, vsebuje vse pomembne informacije o:</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količinski opredelitvi spremembe količnika finančnega vzvoda od predhodnega referenčnega datuma razkritja;</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glavnih dejavnikih količnika finančnega vzvoda od predhodnega referenčnega datuma razkritja s pojasnili o:</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naravi spremembe in ali se je spremenil števec količnika ali imenovalec količnika ali oboje;</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 xml:space="preserve">(2) tem, ali je posledica notranje strateške odločitve in, kadar je, ali je strateška </w:t>
            </w:r>
            <w:r>
              <w:rPr>
                <w:rFonts w:ascii="Times New Roman" w:hAnsi="Times New Roman"/>
                <w:sz w:val="24"/>
                <w:szCs w:val="24"/>
              </w:rPr>
              <w:lastRenderedPageBreak/>
              <w:t>odločitev na količnik finančnega vzvoda vplivala neposredno ali samo posredno;</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najpomembnejših zunanjih dejavnikih, povezanih z gospodarskim in finančnim okoljem, ki so vplivali na količnik finančnega vzvoda.</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7F4CC8" w:rsidRDefault="001E06A3" w:rsidP="001E06A3">
      <w:pPr>
        <w:pStyle w:val="Annexetitre"/>
      </w:pPr>
      <w:r>
        <w:lastRenderedPageBreak/>
        <w:fldChar w:fldCharType="begin"/>
      </w:r>
      <w:r>
        <w:fldChar w:fldCharType="separate"/>
      </w:r>
      <w:r>
        <w:rPr>
          <w:noProof/>
          <w:lang w:eastAsia="sl-SI"/>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PRILOGA XIV – Navodila za predloge o likvidnostnih zahtevah</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Navodila za razpredelnico EU LIQA o upravljanju likvidnostnega tveganja in za predlogo EU LIQ1 o količniku likvidnostnega kritja (LCR)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Institucije, za katere velja del 6 Uredbe (EU) št. 575/2013</w:t>
      </w:r>
      <w:r>
        <w:rPr>
          <w:rStyle w:val="FootnoteReference"/>
          <w:rFonts w:ascii="Times New Roman" w:hAnsi="Times New Roman" w:cs="Times New Roman"/>
          <w:sz w:val="24"/>
        </w:rPr>
        <w:footnoteReference w:id="21"/>
      </w:r>
      <w:r>
        <w:rPr>
          <w:rFonts w:ascii="Times New Roman" w:hAnsi="Times New Roman"/>
          <w:sz w:val="24"/>
        </w:rPr>
        <w:t xml:space="preserve"> (CRR), razkrijejo informacije iz člena 451a CRR, tako da izpolnijo razpredelnico EU LIQA, predlogo EU LIQ1 in razpredelnico EU LIQB.</w:t>
      </w:r>
      <w:bookmarkEnd w:id="15"/>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 xml:space="preserve">Razpredelnica EU LIQA – Upravljanje likvidnostnega tveganja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Institucije, za katere velja del 6 CRR, razkrijejo informacije iz člena 451a(4) CRR ob upoštevanju navodil iz te priloge za izpolnjevanje razpredelnice EU LIQA iz Priloge XIII k tej izvedbeni uredbi.</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za katere velja del 6 CRR, za namene razpredelnice EU LIQA polja za besedilo v razpredelnici obravnavajo kot polja za prosto besedilo. Navedejo relevantne informacije, kvalitativne in kvantitativne, o ciljih upravljanja tveganj in politikah za likvidnostno tveganje glede na svoje poslovne modele in profile likvidnostnega tveganja, organizaciji in funkcijah, vključenih v upravljanje likvidnostnega tveganja v skladu s členom 435(1) CRR in Delegirano uredbo Komisije (EU) 2015/61</w:t>
      </w:r>
      <w:r>
        <w:rPr>
          <w:rStyle w:val="FootnoteReference"/>
          <w:rFonts w:ascii="Times New Roman" w:hAnsi="Times New Roman" w:cs="Times New Roman"/>
          <w:sz w:val="24"/>
        </w:rPr>
        <w:footnoteReference w:id="22"/>
      </w:r>
      <w:r>
        <w:rPr>
          <w:rFonts w:ascii="Times New Roman" w:hAnsi="Times New Roman"/>
          <w:sz w:val="24"/>
        </w:rPr>
        <w:t xml:space="preserve"> v zvezi z zahtevo glede likvidnostnega kritja za kreditne institucije.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Predloga EU LIQ1 – Kvantitativne informacije o LCR</w:t>
      </w:r>
    </w:p>
    <w:bookmarkEnd w:id="16"/>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za katere velja del 6 CRR, razkrijejo informacije iz člena 451a(2) CRR ob upoštevanju navodil iz te priloge za izpolnjevanje predloge EU LIQ1 iz Priloge XIII k tej izvedbeni uredbi.</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Institucije, za katere velja del 6 CRR, pri razkrivanju informacij iz te predloge vključijo vrednosti in številke, ki se zahtevajo za vsako od štirih koledarskih četrtletij (januar-marec, april-junij, julij-september, oktober-december) pred datumom razkritja. Institucije te vrednosti in številke razkrijejo kot preprosta povprečja opazovanih podatkov ob koncu meseca v obdobju 12 mesecev pred koncem vsakega četrtletja.</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Informacije, ki se zahtevajo v predlogi EU LIQ1, vključujejo vse postavke ne glede na valuto, v kateri so </w:t>
      </w:r>
      <w:proofErr w:type="spellStart"/>
      <w:r>
        <w:rPr>
          <w:rFonts w:ascii="Times New Roman" w:hAnsi="Times New Roman"/>
          <w:sz w:val="24"/>
        </w:rPr>
        <w:t>denominirane</w:t>
      </w:r>
      <w:proofErr w:type="spellEnd"/>
      <w:r>
        <w:rPr>
          <w:rFonts w:ascii="Times New Roman" w:hAnsi="Times New Roman"/>
          <w:sz w:val="24"/>
        </w:rPr>
        <w:t>, in se razkrijejo v valuti poročanja, kot je opredeljena v členu 3 Delegirane uredbe Komisije (EU) 2015/61.</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Za izračun </w:t>
      </w:r>
      <w:proofErr w:type="spellStart"/>
      <w:r>
        <w:rPr>
          <w:rFonts w:ascii="Times New Roman" w:hAnsi="Times New Roman"/>
          <w:sz w:val="24"/>
        </w:rPr>
        <w:t>netehtanih</w:t>
      </w:r>
      <w:proofErr w:type="spellEnd"/>
      <w:r>
        <w:rPr>
          <w:rFonts w:ascii="Times New Roman" w:hAnsi="Times New Roman"/>
          <w:sz w:val="24"/>
        </w:rPr>
        <w:t xml:space="preserve"> in tehtanih prilivov in odlivov ter tehtanih HQLA za namene predloge EU LIQ1 institucije uporabijo naslednja navodila:</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Prilivi/odlivi: </w:t>
      </w:r>
      <w:proofErr w:type="spellStart"/>
      <w:r>
        <w:rPr>
          <w:rFonts w:ascii="Times New Roman" w:hAnsi="Times New Roman"/>
          <w:sz w:val="24"/>
        </w:rPr>
        <w:t>netehtana</w:t>
      </w:r>
      <w:proofErr w:type="spellEnd"/>
      <w:r>
        <w:rPr>
          <w:rFonts w:ascii="Times New Roman" w:hAnsi="Times New Roman"/>
          <w:sz w:val="24"/>
        </w:rPr>
        <w:t xml:space="preserve"> vrednost prilivov in odlivov se izračuna kot neporavnano stanje različnih kategorij obveznosti, </w:t>
      </w:r>
      <w:proofErr w:type="spellStart"/>
      <w:r>
        <w:rPr>
          <w:rFonts w:ascii="Times New Roman" w:hAnsi="Times New Roman"/>
          <w:sz w:val="24"/>
        </w:rPr>
        <w:t>zunajbilančnih</w:t>
      </w:r>
      <w:proofErr w:type="spellEnd"/>
      <w:r>
        <w:rPr>
          <w:rFonts w:ascii="Times New Roman" w:hAnsi="Times New Roman"/>
          <w:sz w:val="24"/>
        </w:rPr>
        <w:t xml:space="preserve"> postavk ali pogodbenih terjatev. „Tehtana“ vrednost za prilive in odlive se izračuna kot vrednost po uporabi stopenj prilivov in odlivov.</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HQLA: „tehtana“ vrednost visokokakovostnih likvidnih sredstev (HQLA) se </w:t>
      </w:r>
      <w:r>
        <w:rPr>
          <w:rFonts w:ascii="Times New Roman" w:hAnsi="Times New Roman"/>
          <w:sz w:val="24"/>
        </w:rPr>
        <w:lastRenderedPageBreak/>
        <w:t>izračuna kot vrednost po uporabi odbitkov.</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Institucije za izračun prilagojene vrednosti likvidnostnega blažilnika pod postavko 21 in prilagojene vrednosti skupnih neto denarnih odlivov pod postavko 22 predloge EU LIQ1 uporabijo vsako od naslednjih navodil:</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prilagojena vrednost likvidnostnega blažilnika je vrednost skupnih HQLA po uporabi odbitkov in vseh relevantnih zgornjih mej;</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prilagojena vrednost neto denarnih odlivov se izračuna po uporabi zgornje meje za prilive, kjer je relevantno.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Pravna podlaga in navodila</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Skupaj visokokakovostna likvidna sredstva (HQLA)</w:t>
            </w:r>
          </w:p>
          <w:p w14:paraId="5E16583C" w14:textId="77777777" w:rsidR="001E06A3" w:rsidRPr="007F4CC8" w:rsidRDefault="001E06A3" w:rsidP="001E06A3">
            <w:pPr>
              <w:pStyle w:val="InstructionsText"/>
              <w:rPr>
                <w:rFonts w:eastAsiaTheme="minorEastAsia"/>
              </w:rPr>
            </w:pPr>
            <w:r>
              <w:t xml:space="preserve">Institucije kot tehtano vrednost razkrijejo znesek likvidnih sredstev v skladu s členom 9 Delegirane uredbe Komisije (EU) 2015/61 pred uporabo mehanizma za prilagoditev iz člena 17(2) Delegirane uredbe Komisije (EU) 2015/61.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Vloge na drobno in vloge malih poslovnih strank, od tega:</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znesek vlog na drobno v skladu s členoma 24 in 25 Delegirane uredbe Komisije (EU) 2015/61.</w:t>
            </w:r>
            <w:r>
              <w:rPr>
                <w:rFonts w:ascii="Times New Roman" w:hAnsi="Times New Roman"/>
                <w:bCs/>
                <w:sz w:val="24"/>
              </w:rPr>
              <w:t xml:space="preserve">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Institucije kot tehtano vrednost razkrijejo odliv vlog na drobno v skladu s členoma 24 in 25 Delegirane uredbe Komisije (EU) 2015/61.</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Institucije tukaj razkrijejo vloge na drobno iz člena 411(2) CRR.</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V skladu s členom 28(6) Delegirane uredbe Komisije (EU) 2015/61 institucije v okviru ustrezne kategorije vlog na drobno razkrijejo tudi znesek izdanih zapisov, obveznic in drugih vrednostnih papirjev, ki se prodajajo izključno na trgu za male vlagatelje in so na računu za male vlagatelje. Institucije bodo za to kategorijo obveznosti upoštevale veljavne stopnje odlivov, ki jih določa Delegirana uredba Komisije (EU) 2015/61 za različne kategorije vlog na drobno.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Stabilne vloge</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vsoto zneska stabilnih vlog v skladu s členom 24 Delegirane uredbe Komisije (EU) 2015/61.</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kot tehtano vrednost razkrijejo vsoto odliva stabilnih vlog v skladu s členom 24 Delegirane uredbe Komisije (EU) 2015/61.</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Institucije tukaj razkrijejo del zneskov vlog na drobno, kritih s sistemom jamstva za vloge v skladu z Direktivo 94/19/ES</w:t>
            </w:r>
            <w:r>
              <w:rPr>
                <w:rStyle w:val="FootnoteReference"/>
                <w:rFonts w:ascii="Times New Roman" w:hAnsi="Times New Roman" w:cs="Times New Roman"/>
                <w:sz w:val="24"/>
              </w:rPr>
              <w:footnoteReference w:id="23"/>
            </w:r>
            <w:r>
              <w:rPr>
                <w:rFonts w:ascii="Times New Roman" w:hAnsi="Times New Roman"/>
                <w:sz w:val="24"/>
              </w:rPr>
              <w:t xml:space="preserve"> ali Direktivo 2014/49/EU</w:t>
            </w:r>
            <w:r>
              <w:rPr>
                <w:rStyle w:val="FootnoteReference"/>
                <w:rFonts w:ascii="Times New Roman" w:hAnsi="Times New Roman" w:cs="Times New Roman"/>
                <w:sz w:val="24"/>
              </w:rPr>
              <w:footnoteReference w:id="24"/>
            </w:r>
            <w:r>
              <w:rPr>
                <w:rFonts w:ascii="Times New Roman" w:hAnsi="Times New Roman"/>
                <w:sz w:val="24"/>
              </w:rPr>
              <w:t xml:space="preserve"> ali enakovrednim sistemom jamstva za vloge v tretji državi, če je vloga del ustaljenega razmerja, zaradi česar je verjetnost dviga izjemno majhna, ali je na transakcijskem računu v skladu s členom 24(2) in (3) Delegirane uredbe Komisije (EU) 2015/61, pri čemer:</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te vloge ne izpolnjujejo meril za višjo stopnjo odliva v skladu s členom 25(2), (3) ali (5) Delegirane uredbe Komisije (EU) 2015/61 ter</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te vloge niso v tretjih državah, kjer se uporablja višji odliv v skladu s členom 25(5) Delegirane uredbe Komisije (EU) 2015/61.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Manj stabilne vloge</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vsoto zneska vlog na drobno v skladu s členom 25(1), (2) in (3) Delegirane uredbe Komisije (EU) 2015/61.</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kot tehtano vrednost razkrijejo vsoto odliva vlog na drobno v skladu s členom 25(1), (2) in (3) Delegirane uredbe Komisije (EU) 2015/61.</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Nezavarovano grosistično financiranje</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Institucije razkrijejo vsote </w:t>
            </w:r>
            <w:proofErr w:type="spellStart"/>
            <w:r>
              <w:rPr>
                <w:rFonts w:ascii="Times New Roman" w:hAnsi="Times New Roman"/>
                <w:sz w:val="24"/>
              </w:rPr>
              <w:t>netehtanih</w:t>
            </w:r>
            <w:proofErr w:type="spellEnd"/>
            <w:r>
              <w:rPr>
                <w:rFonts w:ascii="Times New Roman" w:hAnsi="Times New Roman"/>
                <w:sz w:val="24"/>
              </w:rPr>
              <w:t xml:space="preserve"> in tehtanih zneskov, ki jih je treba razkriti v vrstici 6 „vloge za operativne namene (vse nasprotne stranke) in vloge v mrežah zadružnih bank“, vrstici 7 „vloge za </w:t>
            </w:r>
            <w:proofErr w:type="spellStart"/>
            <w:r>
              <w:rPr>
                <w:rFonts w:ascii="Times New Roman" w:hAnsi="Times New Roman"/>
                <w:sz w:val="24"/>
              </w:rPr>
              <w:t>neoperativne</w:t>
            </w:r>
            <w:proofErr w:type="spellEnd"/>
            <w:r>
              <w:rPr>
                <w:rFonts w:ascii="Times New Roman" w:hAnsi="Times New Roman"/>
                <w:sz w:val="24"/>
              </w:rPr>
              <w:t xml:space="preserve"> namene (vse nasprotne stranke)“ in vrstici 8 „nezavarovani dolg“ te predloge.</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Vloge za operativne namene (vse nasprotne stranke) in vloge v mrežah zadružnih bank</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znesek vlog za operativne namene v skladu s členom 27 Delegirane uredbe Komisije (EU) 2015/61.</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Institucije kot tehtano vrednost razkrijejo odlive vlog za operativne namene v skladu s členom 27 Delegirane uredbe Komisije (EU) 2015/61.</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tukaj razkrijejo del vlog za operativne namene v skladu s členom 27 Delegirane uredbe Komisije (EU) 2015/61, ki je potreben za zagotavljanje operativnih storitev. Vloge, ki izhajajo iz korespondenčnega bančništva ali zagotavljanja posredniških storitev, se štejejo za vloge za </w:t>
            </w:r>
            <w:proofErr w:type="spellStart"/>
            <w:r>
              <w:rPr>
                <w:rFonts w:ascii="Times New Roman" w:hAnsi="Times New Roman"/>
                <w:sz w:val="24"/>
              </w:rPr>
              <w:t>neoperativne</w:t>
            </w:r>
            <w:proofErr w:type="spellEnd"/>
            <w:r>
              <w:rPr>
                <w:rFonts w:ascii="Times New Roman" w:hAnsi="Times New Roman"/>
                <w:sz w:val="24"/>
              </w:rPr>
              <w:t xml:space="preserve"> namene v skladu s členom 27(5) Delegirane uredbe Komisije (EU) 2015/61.</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Del vlog za operativne namene, ki presegajo znesek, potreben za zagotavljanje operativnih storitev, se ne razkrije tukaj.</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 xml:space="preserve">Vloge za </w:t>
            </w:r>
            <w:proofErr w:type="spellStart"/>
            <w:r>
              <w:rPr>
                <w:rFonts w:ascii="Times New Roman" w:hAnsi="Times New Roman"/>
                <w:b/>
                <w:sz w:val="24"/>
              </w:rPr>
              <w:t>neoperativne</w:t>
            </w:r>
            <w:proofErr w:type="spellEnd"/>
            <w:r>
              <w:rPr>
                <w:rFonts w:ascii="Times New Roman" w:hAnsi="Times New Roman"/>
                <w:b/>
                <w:sz w:val="24"/>
              </w:rPr>
              <w:t xml:space="preserve"> namene (vse nasprotne stranke)</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znesek vlog za </w:t>
            </w:r>
            <w:proofErr w:type="spellStart"/>
            <w:r>
              <w:rPr>
                <w:rFonts w:ascii="Times New Roman" w:hAnsi="Times New Roman"/>
                <w:sz w:val="24"/>
              </w:rPr>
              <w:t>neoperativne</w:t>
            </w:r>
            <w:proofErr w:type="spellEnd"/>
            <w:r>
              <w:rPr>
                <w:rFonts w:ascii="Times New Roman" w:hAnsi="Times New Roman"/>
                <w:sz w:val="24"/>
              </w:rPr>
              <w:t xml:space="preserve"> namene v skladu s členi 27(5), 28(1) in 31a(1) Delegirane uredbe Komisije (EU) 2015/61.</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Institucije kot tehtano vrednost razkrijejo odliv vlog za </w:t>
            </w:r>
            <w:proofErr w:type="spellStart"/>
            <w:r>
              <w:rPr>
                <w:rFonts w:ascii="Times New Roman" w:hAnsi="Times New Roman"/>
                <w:sz w:val="24"/>
              </w:rPr>
              <w:t>neoperativne</w:t>
            </w:r>
            <w:proofErr w:type="spellEnd"/>
            <w:r>
              <w:rPr>
                <w:rFonts w:ascii="Times New Roman" w:hAnsi="Times New Roman"/>
                <w:sz w:val="24"/>
              </w:rPr>
              <w:t xml:space="preserve"> namene v skladu s členi 27(5), 28(1) in 31a(1) Delegirane uredbe Komisije (EU) 2015/61.</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tukaj razkrijejo vloge, ki izhajajo iz korespondenčnega bančništva ali zagotavljanja posredniških storitev v skladu s členom 27(5) Delegirane uredbe Komisije (EU) 2015/61.</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Tukaj se razkrije del operativnih vlog v skladu s členom 27(5) Delegirane uredbe Komisije (EU) 2015/61, ki presega tiste, ki so potrebne za zagotavljanje operativnih storitev.</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Nezavarovani dolg</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neporavnano stanje zapisov, obveznic in drugih dolžniških vrednostnih papirjev, ki jih izda institucija, in niso tisti, ki so razkriti kot vloge na drobno, kot je navedeno v členu 28(6) Delegirane uredbe Komisije (EU) 2015/61. Ta znesek vključuje tudi kupone, ki zapadejo v naslednjih 30 koledarskih dneh in se nanašajo na vse te vrednostne papirje.</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kot tehtano vrednost razkrijejo odliv teh zapisov, obveznic in drugih dolžniških vrednostnih papirjev iz prejšnjega odstavka.</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Zavarovano grosistično financiranje</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kot tehtano vrednost razkrijejo vsoto odlivov, ki izhajajo iz zavarovanih kreditnih poslov ali poslov z instrumenti kapitalskega trga iz člena 28(3) Delegirane uredbe Komisije (EU) 2015/61 ter iz poslov zamenjave zavarovanja in drugih podobnih poslov v skladu s členom 28(4) Delegirane uredbe Komisije (EU) 2015/61.</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Dodatne zahteve</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Institucije razkrijejo vsote </w:t>
            </w:r>
            <w:proofErr w:type="spellStart"/>
            <w:r>
              <w:rPr>
                <w:rFonts w:ascii="Times New Roman" w:hAnsi="Times New Roman"/>
                <w:sz w:val="24"/>
              </w:rPr>
              <w:t>netehtanih</w:t>
            </w:r>
            <w:proofErr w:type="spellEnd"/>
            <w:r>
              <w:rPr>
                <w:rFonts w:ascii="Times New Roman" w:hAnsi="Times New Roman"/>
                <w:sz w:val="24"/>
              </w:rPr>
              <w:t xml:space="preserve"> in tehtanih zneskov, ki jih je treba razkriti v vrstici 11 „odlivi v zvezi z izpostavljenostmi iz naslova izvedenih finančnih instrumentov in druge zahteve v zvezi z zavarovanjem s premoženjem“, vrstici 12 „odlivi v zvezi z izgubo financiranja iz naslova dolžniških produktov“ in vrstici 13 „okvirni krediti in okvirni likvidnostni krediti“ te predloge.</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Odlivi v zvezi z izpostavljenostmi iz naslova izvedenih finančnih instrumentov in druge zahteve v zvezi z zavarovanjem s premoženjem</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vsoto naslednjih zneskov oziroma odlivov:</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tržna vrednost in ustrezni odlivi zavarovanja s premoženjem, razen zavarovanja s premoženjem stopnje 1, ki se uporablja za pogodbe iz Priloge II k CRR in kreditne izvedene finančne instrumente, v skladu s členom 30(1) Delegirane uredbe Komisije (EU) 2015/61,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tržna vrednost in ustrezni odlivi zavarovanja s premoženjem v obliki sredstev stopnje 1, ki so izjemno visokokakovostne krite obveznice, ki se uporablja za pogodbe iz Priloge II k CRR in kreditne izvedene </w:t>
            </w:r>
            <w:r>
              <w:rPr>
                <w:rFonts w:ascii="Times New Roman" w:hAnsi="Times New Roman"/>
                <w:sz w:val="24"/>
              </w:rPr>
              <w:lastRenderedPageBreak/>
              <w:t>finančne instrumente, v skladu s členom 30(1) Delegirane uredbe Komisije (EU) 2015/61,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skupni znesek dodatnih odlivov, izračunanih in sporočenih pristojnim organom v skladu s členom 30(2) Delegirane uredbe (EU) 2015/61 kot pomembni odlivi zaradi poslabšanje lastne kreditne kakovosti,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znesek odlivov, ki izhajajo iz vpliva slabih razmer na trgu na posle z izvedenimi finančnimi instrumenti, kot je predvideno v členu 30(3) Delegirane uredbe Komisije (EU) 2015/61, in se izračuna v skladu z Delegirano uredbo Komisije (EU) 2017/208</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znesek odlivov, ki se pričakujejo v 30 koledarskih dneh iz pogodb, navedenih v Prilogi II k CRR, in iz izvedenih finančnih instrumentov, kot je predvideno v členu 30(4) Delegirane uredbe Komisije (EU) 2015/61, in se izračuna v skladu s členom 21 Delegirane uredbe Komisije (EU) 2015/61,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tržna vrednost in ustrezni odlivi presežnega zavarovanja s premoženjem, ki ga ima institucija in ki ga lahko na podlagi pogodbe nasprotna stranka kadar koli zahteva, kot je predvideno v členu 30(6)(a) Delegirane uredbe Komisije (EU) 2015/61,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tržna vrednost in ustrezni odlivi zavarovanja s premoženjem, ki naj bi se v 30 koledarskih dneh predložilo nasprotni stranki, kot je predvideno v členu 30(6)(b) Delegirane uredbe Komisije (EU) 2015/61,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tržna vrednost in ustrezni odlivi zavarovanja s premoženjem, ki se lahko razvrsti kot likvidno sredstvo za namene naslova II Delegirane uredbe Komisije (EU) 2015/61, ki se lahko brez soglasja institucije zamenja za sredstva, ki ne bi izpolnjevala pogojev za likvidna sredstva za namene naslova II navedene uredbe, kot je predvideno v členu 30(6)(c) Delegirane uredbe Komisije (EU) 2015/61.</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Odlivi v zvezi z izgubo financiranja iz naslova dolžniških produktov</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znesek oziroma odlive v zvezi z izgubo financiranja iz naslova dejavnosti strukturiranega financiranja, kot je predvideno v členu 30(8) do 30(10) Delegirane uredbe Komisije (EU) 2015/61.</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predvidijo 100-odstoten odliv za izgubo financiranja iz naslova vrednostnih papirjev s premoženjskim kritjem, kritih obveznic in drugih strukturiranih finančnih instrumentov, ki zapadejo v 30 koledarskih dneh in jih izda kreditna institucija ali financirane namenske družbe ali pravni subjekti s posebnim namenom.</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Institucijam, ki ponujajo okvirne likvidnostne kredite, povezane s programi financiranja, razkritimi tukaj, ni treba dvakrat šteti zapadajočega instrumenta financiranja in okvirnega likvidnostnega kredita za konsolidirane programe.</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Okvirni krediti in okvirni likvidnostni krediti</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znesek oziroma odlive v zvezi z okvirnimi krediti in okvirnimi likvidnostnimi krediti v skladu s členom 31 Delegirane uredbe Komisije (EU) 2015/61.</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tukaj razkrijejo tudi odobrene okvirne kredite v skladu s členom 29 Delegirane uredbe Komisije (EU) 2015/61.</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Druge pogodbene obveznosti financiranja</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vsoto zneskov oziroma odlivov za naslednje postavke:</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sredstva, izposojena na nezavarovani podlagi, ki zapadejo v 30 dneh, kot je predvideno v členu 28(7) Delegirane uredbe Komisije (EU) 2015/61. Sredstva se v celoti iztečejo, kar povzroči 100-odstotni odliv. Institucije razkrijejo tržno vrednost sredstev, izposojenih na nezavarovani podlagi, z zapadlostjo v 30 dneh, če kreditna institucija nima v lasti vrednostnih papirjev in niso del likvidnostnega blažilnika institucije,</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kratke pozicije, krite z nezavarovano izposojo vrednostnih papirjev. Kot je določeno v členu 30(5) Delegirane uredbe Komisije (EU) 2015/61, institucija doda dodaten odliv, ki ustreza 100 % tržne vrednosti vrednostnih papirjev ali drugih sredstev, prodanih na kratko, razen če pogoji, pod katerimi si jih je kreditna institucija izposodila, zahtevajo njihovo vračilo šele po 30 koledarskih dneh. Če je kratka pozicija krita z zavarovanim poslom financiranja z vrednostnimi papirji, kreditna institucija predvideva, da se bo kratka pozicija ohranila v obdobju 30 koledarskih dni in imela odliv v višini 0 %,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obveznosti, ki izhajajo iz operativnih stroškov. Kot je določeno v členu 28(2) Delegirane uredbe Komisije (EU) 2015/61, institucije razkrijejo znesek neporavnanega stanja obveznosti, ki izhajajo iz lastnih operativnih stroškov kreditne institucije. Te obveznosti ne sprožijo odlivov,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drugi nezavarovani posli, ki zapadejo v naslednjih 30 dneh in niso vključeni v člene 24 do 31 Delegirane uredbe Komisije (EU) 2015/61, ki sprožijo 100 % odlive, kot je določeno v členu 31a(1) Delegirane uredbe Komisije (EU) 2015/61.</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Druge pogojne obveznosti financiranja</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vsoto zneskov oziroma odlivov za naslednje postavke:</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drugi produkti in storitve iz člena 23 Delegirane uredbe Komisije (EU) 2015/61. Institucije tukaj navedejo razkritja za produkte ali storitve iz člena 23(1) Delegirane uredbe Komisije (EU) 2015/61. Znesek, ki se razkrije, je najvišji znesek, ki bi se lahko črpal iz teh produktov ali storitev iz člena 23(1) Delegirane uredbe Komisije (EU) 2015/61,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presežni znesek pogodbenih obveznosti za zagotovitev financiranja nefinančnim strankam v 30 koledarskih dneh, kot je predvideno v členu 31a(2) Delegirane uredbe Komisije (EU) 2015/61,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notranji pobot pozicij stranke v skladu s členom 30(11) Delegirane uredbe Komisije (EU) 2015/61. Institucije tukaj razkrijejo tržno vrednost nelikvidnih sredstev stranke, ki jih je kreditna institucija pri zagotavljanju posredniških storitev uporabila za kritje kratkih prodaj druge stranke tako, da jih je notranje pobotala.</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DENARNI ODLIVI SKUPAJ</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Institucije razkrijejo vsoto tehtane vrednosti naslednjih postavk v skladu s temi navodili:</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2: vloge na drobno in vloge malih poslovnih strank iz te predloge,</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5: nezavarovano grosistično financiranje iz te predloge,</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9: zavarovano grosistično financiranje iz te predloge,</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10: dodatne zahteve iz te predloge,</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14: druge pogodbene obveznosti financiranja iz te predloge,</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15: druge pogojne obveznosti financiranja iz te predloge.</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Zavarovani kreditni posli (npr. posli začasnega odkupa)</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vrednost razkrijejo vsoto:</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zneskov zavarovanih kreditnih poslov in poslov z instrumenti kapitalskega trga s preostalo zapadlostjo 30 dni ali manj v skladu s členom 32(3)(b), (c) in (f) Delegirane uredbe Komisije (EU) 2015/61,</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tržne vrednosti posojenega zavarovanja s premoženjem v zamenjavah zavarovanja, kot je predvideno v členu 32(3) Delegirane uredbe Komisije (EU) 2015/61.</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Institucije kot tehtano vrednost razkrijejo vsoto:</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prilivov iz zavarovanih kreditnih poslov in poslov z instrumenti kapitalskega trga s preostalo zapadlostjo 30 dni ali manj v skladu s členom 32(3)(b), (c) in (f) Delegirane uredbe Komisije (EU) 2015/61,</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prilivov iz zamenjav zavarovanja, kot je predvideno v členu 32(3) Delegirane uredbe Komisije (EU) 2015/61.</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Prilivi iz v celoti donosnih izpostavljenosti</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vsoto skupnih zneskov oziroma prilivov za naslednje postavke:</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denarna sredstva, ki jih dolgujejo nefinančne stranke (razen centralnih bank), kot je predvideno v členu 32(3)(a) Delegirane uredbe Komisije (EU) 2015/61,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denarna sredstva, ki jih dolgujejo centralne banke in nefinančne stranke, kot je predvideno v členu 32(2)(a) Delegirane uredbe Komisije (EU) 2015/61,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dolgovana denarna sredstva iz naslova poslov trgovinskega financiranja, kot je predvideno v členu 32(2)(b) Delegirane uredbe Komisije (EU) 2015/61, s preostalo zapadlostjo 30 dni ali manj,</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prilivi, ki ustrezajo odlivom v skladu z zavezami promocijskega kredita iz člena 31(9) Delegirane uredbe Komisije (EU) 2015/61.</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Drugi denarni prilivi</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vsoto skupnih zneskov oziroma prilivov za naslednje postavke:</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dolgovana denarna sredstva iz naslova vrednostnih papirjev, ki zapadejo v 30 dneh, kot je predvideno v členu 32(2)(c) Delegirane uredbe Komisije (EU) 2015/61,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krediti z nedoločenim pogodbenim končnim datumom, kot je predvideno v členu 32(3)(i) Delegirane uredbe Komisije (EU) 2015/61,</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dolgovana denarna sredstva iz naslova pozicij v lastniških instrumentih, ki so vključeni v glavne borzne indekse, če se likvidna sredstva ne štejejo dvakrat, kot je predvideno v členu 32(2)(d) Delegirane uredbe Komisije (EU) 2015/61. Pozicija vključuje dolgovana denarna sredstva, ki pogodbeno zapadejo v 30 koledarskih dneh, kot so dividende v denarju iz naslova teh glavnih borznih indeksov in dolgovana denarna sredstva iz naslova teh lastniških instrumentov, ki so bili prodani, a še niso bili poravnani, če se ne pripoznajo kot likvidna sredstva v skladu z naslovom II Delegirane uredbe Komisije (EU) 2015/61,</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prilivi iz naslova sprostitve stanj na ločenih računih v skladu z regulativnimi zahtevami za zaščito trgovalnih sredstev stranke, kot je predvideno v členu 32(4) Delegirane uredbe Komisije (EU) 2015/61. Prilivi se upoštevajo samo, če se ta stanja vzdržujejo v likvidnih sredstvih, kot so opredeljena v naslovu II Delegirane uredbe Komisije (EU) 2015/61,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prilivi iz izvedenih finančnih instrumentov, kot je predvideno v členu 32(5) v povezavi s členom 21 Delegirane uredbe Komisije (EU) 2015/61,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prilivi iz naslova </w:t>
            </w:r>
            <w:proofErr w:type="spellStart"/>
            <w:r>
              <w:rPr>
                <w:rFonts w:ascii="Times New Roman" w:hAnsi="Times New Roman"/>
                <w:sz w:val="24"/>
              </w:rPr>
              <w:t>nečrpanih</w:t>
            </w:r>
            <w:proofErr w:type="spellEnd"/>
            <w:r>
              <w:rPr>
                <w:rFonts w:ascii="Times New Roman" w:hAnsi="Times New Roman"/>
                <w:sz w:val="24"/>
              </w:rPr>
              <w:t xml:space="preserve"> okvirnih kreditov ali okvirnih likvidnostnih kreditov, ki jih zagotovijo člani skupine ali institucionalne sheme za zaščito vlog, pri katerih so pristojni organi dovolili uporabo višje stopnje priliva v skladu s členom 34 Delegirane uredbe Komisije (EU) 2015/61,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drugi prilivi v skladu s členom 32(2) Delegirane uredbe Komisije (EU) 2015/61.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 xml:space="preserve">(Razlika med skupnimi tehtanimi prilivi in skupnimi tehtanimi odlivi, ki izhajajo iz poslov v tretjih državah, v katerih veljajo omejitve pri prenosu, ali ki so </w:t>
            </w:r>
            <w:proofErr w:type="spellStart"/>
            <w:r>
              <w:rPr>
                <w:rFonts w:ascii="Times New Roman" w:hAnsi="Times New Roman"/>
                <w:b/>
                <w:sz w:val="24"/>
              </w:rPr>
              <w:t>denominirani</w:t>
            </w:r>
            <w:proofErr w:type="spellEnd"/>
            <w:r>
              <w:rPr>
                <w:rFonts w:ascii="Times New Roman" w:hAnsi="Times New Roman"/>
                <w:b/>
                <w:sz w:val="24"/>
              </w:rPr>
              <w:t xml:space="preserve"> v nekonvertibilnih valutah)</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lastRenderedPageBreak/>
              <w:t>Kot je predvideno v členu 32(8) Delegirane uredbe Komisije (EU) 2015/61, institucije kot tehtano vrednost razkrijejo presežek navedenih tehtanih prilivov glede na navedene odlive.</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(Presežek prilivov od povezane specializirane kreditne institucije)</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Kot je predvideno v členu 2(3)(e) in členu 33(6) Delegirane uredbe Komisije (EU) 2015/61 institucije za namene razkritij na konsolidirani podlagi kot tehtano vrednost razkrijejo znesek prilivov, ki izhajajo iz povezane specializirane kreditne institucije, iz člena 33(3) in (4) Delegirane uredbe Komisije (EU) 2015/61, za katerega ti presegajo znesek odlivov v zvezi s tem istim podjetjem.</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DENARNI PRILIVI SKUPAJ</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 xml:space="preserve">Institucije razkrijejo vsoto </w:t>
            </w:r>
            <w:proofErr w:type="spellStart"/>
            <w:r>
              <w:rPr>
                <w:rFonts w:ascii="Times New Roman" w:hAnsi="Times New Roman"/>
                <w:sz w:val="24"/>
              </w:rPr>
              <w:t>netehtane</w:t>
            </w:r>
            <w:proofErr w:type="spellEnd"/>
            <w:r>
              <w:rPr>
                <w:rFonts w:ascii="Times New Roman" w:hAnsi="Times New Roman"/>
                <w:sz w:val="24"/>
              </w:rPr>
              <w:t xml:space="preserve"> in tehtane vrednosti naslednjih postavk v skladu s temi navodili:</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17: zavarovani kreditni posli (npr. posli začasnega odkupa) iz te predloge,</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18: prilivi iz v celoti donosnih izpostavljenosti iz te predloge,</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19: drugi denarni prilivi iz te predloge,</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od česar se odšteje:</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vrstica EU-19a: (Razlika med skupnimi tehtanimi prilivi in skupnimi tehtanimi odlivi, ki izhajajo iz poslov v tretjih državah, v katerih veljajo omejitve pri prenosu, ali ki so </w:t>
            </w:r>
            <w:proofErr w:type="spellStart"/>
            <w:r>
              <w:rPr>
                <w:rFonts w:ascii="Times New Roman" w:hAnsi="Times New Roman"/>
                <w:sz w:val="24"/>
              </w:rPr>
              <w:t>denominirani</w:t>
            </w:r>
            <w:proofErr w:type="spellEnd"/>
            <w:r>
              <w:rPr>
                <w:rFonts w:ascii="Times New Roman" w:hAnsi="Times New Roman"/>
                <w:sz w:val="24"/>
              </w:rPr>
              <w:t xml:space="preserve"> v nekonvertibilnih valutah) te predloge,</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vrstica EU-19b: (Presežek prilivov od povezane specializirane kreditne institucije) iz te predloge.</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 celoti izvzeti prilivi</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skupni znesek sredstev/dolgovana denarna sredstva/najvišji znesek, ki se lahko črpa, in njihove povezane skupne prilive, ki so izvzeti iz uporabe zgornje meje prilivov v skladu s členi 32, 33 in 34 Delegirane uredbe Komisije (EU) 2015/61.</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Prilivi, za katere se uporablja zgornja meja v višini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skupni znesek sredstev/dolgovana denarna sredstva/najvišji znesek, ki se lahko črpa, in njihove povezane skupne prilive, za katere se uporablja zgornja meja v višini 90 % v skladu s členom 32, 33 in 34 Delegirane uredbe Komisije (EU) 2015/61.</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Prilivi, za katere se uporablja zgornja meja v višini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 xml:space="preserve">Institucije kot </w:t>
            </w:r>
            <w:proofErr w:type="spellStart"/>
            <w:r>
              <w:rPr>
                <w:rFonts w:ascii="Times New Roman" w:hAnsi="Times New Roman"/>
                <w:sz w:val="24"/>
              </w:rPr>
              <w:t>netehtano</w:t>
            </w:r>
            <w:proofErr w:type="spellEnd"/>
            <w:r>
              <w:rPr>
                <w:rFonts w:ascii="Times New Roman" w:hAnsi="Times New Roman"/>
                <w:sz w:val="24"/>
              </w:rPr>
              <w:t xml:space="preserve"> in tehtano vrednost razkrijejo skupni znesek sredstev/dolgovana denarna sredstva/najvišji znesek, ki se lahko črpa, in njihove povezane skupne prilive, za katere se uporablja zgornja meja v višini 75 % v skladu s členom 32, 33 in 34 Delegirane uredbe Komisije (EU) 2015/61.</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LIKVIDNOSTNI BLAŽILNIK</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kot prilagojeno vrednost razkrijejo vrednost likvidnostnega blažilnika institucije, izračunanega v skladu s Prilogo I k Delegirani uredbi Komisije (EU) 2015/61 – Formula za določitev sestave likvidnostnega blažilnika.</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NETO DENARNI ODLIVI SKUPAJ</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kot prilagojeno vrednost razkrijejo neto likvidnostni odliv, ki je enak skupnim odlivom, od katerih se odštejejo zmanjšanje za v celoti izvzete prilive, zmanjšanje za prilive, za katere se uporablja 90-odstotna zgornja meja, in zmanjšanje za prilive, za katere se uporablja 75-odstotna zgornja meja.</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KOLIČNIK LIKVIDNOSTNEGA KRITJA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kot prilagojeno vrednost razkrijejo odstotek iz postavke „količnik likvidnostnega kritja (%)“, kot je določena v členu 4(1) Delegirane uredbe Komisije (EU) 2015/61.</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Količnik likvidnostnega kritja je enak količniku likvidnostnega blažilnika kreditne institucije in njenih neto likvidnostnih odlivov v stresnem obdobju, ki traja 30 koledarskih dni, ter se izrazi kot odstotek.</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Razpredelnica EU LIQB s kvalitativnimi informacijami o LCR, ki dopolnjuje predlogo EU LIQ1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za katere velja del 6 CRR, razkrijejo informacije iz člena 451a(2) CRR ob upoštevanju navodil iz te priloge za izpolnjevanje razpredelnice EU LIQB iz Priloge XIII k tej izvedbeni uredbi.</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 razpredelnici EU LIQB so navedene kvalitativne informacije o postavkah iz predloge EU LIQ1 o kvantitativnih informacijah o LCR.</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za katere velja del 6 CRR, polja za besedilo v razpredelnici obravnavajo kot polja za prosto besedilo in postavke v teh poljih po možnosti razkrijejo v skladu z obravnavo v okviru opredelitve LCR iz Delegirane uredbe Komisije (EU) 2015/61 in dodatnih metrik za spremljanje likvidnosti iz poglavja 7b Izvedbene uredbe Komisije (EU) št. 680/2014</w:t>
      </w:r>
      <w:r>
        <w:rPr>
          <w:rStyle w:val="FootnoteReference"/>
          <w:rFonts w:ascii="Times New Roman" w:hAnsi="Times New Roman" w:cs="Times New Roman"/>
          <w:sz w:val="24"/>
        </w:rPr>
        <w:footnoteReference w:id="26"/>
      </w:r>
      <w:r>
        <w:rPr>
          <w:rFonts w:ascii="Times New Roman" w:hAnsi="Times New Roman"/>
          <w:sz w:val="24"/>
        </w:rPr>
        <w:t>.</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Navodila za predlogo EU LIQ2 o razkritju količnika neto stabilnega financiranja (NSFR)</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Institucije, za katere velja del 6 CRR, razkrijejo informacije iz predloge EU LIQ2 ob upoštevanju člena 451a(3) CRR v skladu z navodili iz te priloge. Razkrijejo se vrednosti ob koncu četrtletja za vsako četrtletje zadevnega obdobja razkritja. Za npr. letna razkritja to vključuje štiri podatkovne nize, ki zajemajo zadnje četrtletje in predhodna tri četrtletja.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Informacije, ki se zahtevajo v predlogi EU LIQ2, vključujejo vsa sredstva, </w:t>
      </w:r>
      <w:r>
        <w:rPr>
          <w:rFonts w:ascii="Times New Roman" w:hAnsi="Times New Roman"/>
          <w:sz w:val="24"/>
        </w:rPr>
        <w:lastRenderedPageBreak/>
        <w:t xml:space="preserve">obveznosti in </w:t>
      </w:r>
      <w:proofErr w:type="spellStart"/>
      <w:r>
        <w:rPr>
          <w:rFonts w:ascii="Times New Roman" w:hAnsi="Times New Roman"/>
          <w:sz w:val="24"/>
        </w:rPr>
        <w:t>zunajbilančne</w:t>
      </w:r>
      <w:proofErr w:type="spellEnd"/>
      <w:r>
        <w:rPr>
          <w:rFonts w:ascii="Times New Roman" w:hAnsi="Times New Roman"/>
          <w:sz w:val="24"/>
        </w:rPr>
        <w:t xml:space="preserve"> postavke ne glede na valuto, v kateri so </w:t>
      </w:r>
      <w:proofErr w:type="spellStart"/>
      <w:r>
        <w:rPr>
          <w:rFonts w:ascii="Times New Roman" w:hAnsi="Times New Roman"/>
          <w:sz w:val="24"/>
        </w:rPr>
        <w:t>denominirane</w:t>
      </w:r>
      <w:proofErr w:type="spellEnd"/>
      <w:r>
        <w:rPr>
          <w:rFonts w:ascii="Times New Roman" w:hAnsi="Times New Roman"/>
          <w:sz w:val="24"/>
        </w:rPr>
        <w:t>, in se razkrijejo v valuti poročanja, kot je opredeljena v členu 411(15) CRR.</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Da se prepreči dvojno štetje, institucije ne razkrijejo sredstev ali obveznosti, ki so povezane z zavarovanjem s premoženjem, danim ali prejetim kot gibljivo kritje v skladu s členom 428k(4) CRR in členom 428ah(2) CRR, začetno kritje in prispevek v jamstveni sklad CNS v skladu s členom 428ag(a) in (b) CRR.</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Vloge, vzdrževane v okviru institucionalne sheme za zaščito vlog ali zadružne mreže, ki se štejejo za likvidna sredstva, se poročajo kot take. Druge postavke v skupini ali v institucionalni shemi za zaščito vlog se razkrijejo v ustreznih splošnih kategorijah predloge o potrebnem stabilnem financiranju ali razpoložljivem stabilnem financiranju.</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kot „</w:t>
      </w:r>
      <w:proofErr w:type="spellStart"/>
      <w:r>
        <w:rPr>
          <w:rFonts w:ascii="Times New Roman" w:hAnsi="Times New Roman"/>
          <w:sz w:val="24"/>
        </w:rPr>
        <w:t>netehtano</w:t>
      </w:r>
      <w:proofErr w:type="spellEnd"/>
      <w:r>
        <w:rPr>
          <w:rFonts w:ascii="Times New Roman" w:hAnsi="Times New Roman"/>
          <w:sz w:val="24"/>
        </w:rPr>
        <w:t xml:space="preserve"> vrednost po preostalih zapadlostih“ v stolpcih a, b, c in d predloge vedno razkrijejo knjigovodske vrednosti, razen v primeru pogodb o izvedenih finančnih instrumentih, za katere institucije navajajo pošteno vrednost, kot je določeno v členu 428d(2) CRR.</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Institucije razkrijejo „tehtano vrednost“ v stolpcu e te predloge. Ta vrednost odraža vrednost v skladu s členom 428c(2) CRR, ki izhaja iz pomnožitve </w:t>
      </w:r>
      <w:proofErr w:type="spellStart"/>
      <w:r>
        <w:rPr>
          <w:rFonts w:ascii="Times New Roman" w:hAnsi="Times New Roman"/>
          <w:sz w:val="24"/>
        </w:rPr>
        <w:t>netehtane</w:t>
      </w:r>
      <w:proofErr w:type="spellEnd"/>
      <w:r>
        <w:rPr>
          <w:rFonts w:ascii="Times New Roman" w:hAnsi="Times New Roman"/>
          <w:sz w:val="24"/>
        </w:rPr>
        <w:t xml:space="preserve"> vrednosti s faktorji stabilnega financiranja.</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Znesek sredstev in obveznosti, ki izhajajo iz poslov financiranja z vrednostnimi papirji (SFT) z eno samo nasprotno stranko, se obravnavajo na neto osnovi, kadar se uporablja člen 428e CRR. Če sta se za posamezna pobotana posla uporabila različna faktorja potrebnega stabilnega financiranja, ker sta se obravnavala ločeno, se za razkriti pobotani znesek, če je sredstvo, uporabi višji od teh faktorjev.</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v besedilu, priloženem predlogi, zagotovijo pojasnila, potrebna za lažje razumevanje rezultatov in spremljajočih podatkov. Institucije pojasnijo vsaj:</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vzroke za rezultate v zvezi z NSFR in razloge za spremembe v obdobju in skozi čas (npr. spremembe strategij, strukture financiranja, okoliščin) ter</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sestavo soodvisnih sredstev in obveznosti institucije ter v kakem obsegu so ti posli medsebojno povezani.</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Postavke razpoložljivega stabilnega financiranja (ASF)</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 skladu s členom 428i CRR se, razen če je v poglavju 3 naslova IV dela 6 CRR drugače določeno, znesek razpoložljivega stabilnega financiranja (ASF) izračuna tako, da se znesek </w:t>
      </w:r>
      <w:proofErr w:type="spellStart"/>
      <w:r>
        <w:rPr>
          <w:rFonts w:ascii="Times New Roman" w:hAnsi="Times New Roman"/>
          <w:sz w:val="24"/>
        </w:rPr>
        <w:t>netehtane</w:t>
      </w:r>
      <w:proofErr w:type="spellEnd"/>
      <w:r>
        <w:rPr>
          <w:rFonts w:ascii="Times New Roman" w:hAnsi="Times New Roman"/>
          <w:sz w:val="24"/>
        </w:rPr>
        <w:t xml:space="preserve"> vrednosti obveznosti in kapitala pomnoži s faktorji razpoložljivega stabilnega financiranja. „Tehtana vrednost“ v stolpcu e te predloge odraža znesek razpoložljivega stabilnega financiranja.</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Vse obveznosti in kapital se razkrijejo razčlenjeni glede na preostalo zapadlost v stolpcih a, b, c in d te predloge, izračunano v skladu s členi 428j, 428o in 428ak CRR, z naslednjo razčlenitvijo po žepkih zapadlosti:</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brez zapadlosti: postavke, ki se razkrijejo v žepku „brez zapadlosti“, nimajo navedene zapadlosti ali so brez zapadlosti;</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lastRenderedPageBreak/>
        <w:t>preostala zapadlost manj kot šest mesecev;</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preostala zapadlost vsaj šest mesecev in manj kot eno leto; ter</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preostala zapadlost eno leto ali več.</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Postavke potrebnega stabilnega financiranja (RSF)</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v ustrezni kategoriji razkrijejo vsa sredstva, ki jih obdržijo v dejanski lasti, tudi če niso obračunana v njihovi bilanci stanja. Sredstva, ki jih institucije ne obdržijo v dejanski lasti, se ne razkrijejo, tudi če so ta sredstva obračunana v njihovi bilanci stanja.</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 skladu s členom 428p CRR se, razen če je v poglavju 4 naslova IV dela 6 CRR drugače določeno, znesek potrebnega stabilnega financiranja (RSF) izračuna tako, da se </w:t>
      </w:r>
      <w:proofErr w:type="spellStart"/>
      <w:r>
        <w:rPr>
          <w:rFonts w:ascii="Times New Roman" w:hAnsi="Times New Roman"/>
          <w:sz w:val="24"/>
        </w:rPr>
        <w:t>netehtana</w:t>
      </w:r>
      <w:proofErr w:type="spellEnd"/>
      <w:r>
        <w:rPr>
          <w:rFonts w:ascii="Times New Roman" w:hAnsi="Times New Roman"/>
          <w:sz w:val="24"/>
        </w:rPr>
        <w:t xml:space="preserve"> vrednost sredstev in </w:t>
      </w:r>
      <w:proofErr w:type="spellStart"/>
      <w:r>
        <w:rPr>
          <w:rFonts w:ascii="Times New Roman" w:hAnsi="Times New Roman"/>
          <w:sz w:val="24"/>
        </w:rPr>
        <w:t>zunajbilančnih</w:t>
      </w:r>
      <w:proofErr w:type="spellEnd"/>
      <w:r>
        <w:rPr>
          <w:rFonts w:ascii="Times New Roman" w:hAnsi="Times New Roman"/>
          <w:sz w:val="24"/>
        </w:rPr>
        <w:t xml:space="preserve"> postavk pomnoži s faktorji potrebnega stabilnega financiranja.</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Sredstva, ki so primerna za visokokakovostna likvidna sredstva (HQLA) v skladu z Delegirano uredbo Komisije (EU) 2015/61, se razkrijejo kot taka v za to določeni vrstici ne glede na njihovo preostalo zapadlost.</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Vsa sredstva in </w:t>
      </w:r>
      <w:proofErr w:type="spellStart"/>
      <w:r>
        <w:rPr>
          <w:rFonts w:ascii="Times New Roman" w:hAnsi="Times New Roman"/>
          <w:sz w:val="24"/>
        </w:rPr>
        <w:t>zunajbilančne</w:t>
      </w:r>
      <w:proofErr w:type="spellEnd"/>
      <w:r>
        <w:rPr>
          <w:rFonts w:ascii="Times New Roman" w:hAnsi="Times New Roman"/>
          <w:sz w:val="24"/>
        </w:rPr>
        <w:t xml:space="preserve"> postavke, ki ne izpolnjujejo pogojev za HQLA (ne-HQLA), se razkrijejo razčlenjeno glede na njihovo preostalo zapadlost v skladu s členom 428q CRR. Žepki zapadlosti za zneske, standardne faktorje in veljavne faktorje so naslednji:</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preostala zapadlost manj kot šest mesecev ali ni navedena;</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preostala zapadlost vsaj šest mesecev in manj kot eno leto; ter</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preostala zapadlost eno leto ali več.</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5"/>
        <w:gridCol w:w="7436"/>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Pravna podlaga in navodila</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Vrstica</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Pojasnilo</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Postavke razpoložljivega stabilnega financiranja (ASF)</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Kapitalske postavke in instrumenti</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zneskov iz vrstic 2 in 3 te predloge.</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Kapital</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Člen 428o(a), (b) in (c) CRR.</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vključijo vsoto naslednjih postavk:</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lastRenderedPageBreak/>
              <w:t>postavke navadnega lastniškega temeljnega kapitala pred uporabo bonitetnih filtrov, odbitkov ter izvzetij ali drugih možnosti iz členov 32 do 36, 48, 49 in 79 CRR;</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postavke dodatnega temeljnega kapitala pred uporabo odbitkov ter izvzetij iz členov 56 in 79 CRR; ter</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postavke dodatnega kapitala pred uporabo odbitkov ter izvzetij iz členov 66 in 79 CRR ter s preostalo zapadlostjo enega leta ali več na referenčni datum razkritja.</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Postavke navadnega lastniškega temeljnega kapitala in dodatnega temeljnega kapitala so instrumenti brez zapadlosti, ki se razkrijejo v žepku „brez zapadlosti“. Postavke dodatnega temeljnega kapitala z možnostjo odpoklica s strani institucije se, če je obdobje do poteka opcije odpoklica krajše od enega leta, ne razkrijejo v žepku „brez zapadlosti“, ampak v ustreznem žepku zapadlosti (preostala zapadlost manj kot šest mesecev ali preostala zapadlost vsaj šest mesecev in manj kot eno leto). To je neodvisno od tega, ali se je opcija izvršila ali ne.</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Pri postavkah dodatnega kapitala žepek zapadlosti enega leta ali več vključuje instrumente z enakovredno preostalo zapadlostjo in v izjemnih primerih instrumentov dodatnega kapitala brez zapadlosti tudi te instrumente. Če imajo postavke dodatnega kapitala možnost odpoklica s strani institucije in ne glede na to, ali je institucija izvršila opcijo odpoklica, se preostala zapadlost instrumenta določi glede na datum opcije odpoklica. V tem primeru institucija te postavke razkrije v ustreznem žepku zapadlosti in ne uporabi faktorja ASF v višini 100 %, če se lahko opcija izvrši v obdobju enega leta.</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Drugi kapitalski instrumenti</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Člen 428o(d) in člen 428k(3)(d) CRR.</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Drugi kapitalski instrumenti s preostalo zapadlostjo enega leta ali več na referenčni datum razkritja.</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Če imajo drugi kapitalski instrumenti možnost odpoklica s strani institucije in ne glede na to, ali je institucija izvršila opcijo odpoklica, se preostala zapadlost instrumenta določi glede na datum opcije odpoklica. V tem primeru institucija te postavke razkrije v ustreznem žepku zapadlosti in ne uporabi faktorja ASF v višini 100 %, če se lahko opcija izvrši v obdobju enega leta.</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Vloge na drobno</w:t>
            </w:r>
          </w:p>
          <w:p w14:paraId="34660FE1" w14:textId="77777777" w:rsidR="001E06A3" w:rsidRPr="007F4CC8" w:rsidRDefault="001E06A3" w:rsidP="001E06A3">
            <w:pPr>
              <w:spacing w:after="240"/>
              <w:jc w:val="both"/>
            </w:pPr>
            <w:r>
              <w:rPr>
                <w:rFonts w:ascii="Times New Roman" w:hAnsi="Times New Roman"/>
                <w:sz w:val="24"/>
              </w:rPr>
              <w:t>Institucije tukaj razkrijejo vsoto zneskov iz vrstic 5 in 6 te predloge.</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Stabilne vloge na drobno</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lastRenderedPageBreak/>
              <w:t>Člen 428n CRR.</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Institucije vključijo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Komisije (EU) 2015/61, pri čemer:</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te vloge ne izpolnjujejo meril za višjo stopnjo odliva v skladu s členom 25(2), (3) in (5) Delegirane uredbe Komisije (EU) 2015/61, ker bi se v tem primeru vključile kot „manj stabilne vloge“, ali</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te vloge niso v tretjih državah, kjer se uporablja višji odliv v skladu s členom 25(5) Delegirane uredbe Komisije (EU) 2015/61, ker bi se v tem primeru vključile kot „manj stabilne vloge“.</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Manj stabilne vloge na drobno</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Člen 428m CRR.</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razkrijejo znesek drugih vlog na drobno, ki niso zajete v „stabilnih vlogah na drobno“ v vrstici 5 te predloge.</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Grosistično financiranje:</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zneskov iz vrstic 8 in 9 te predloge.</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Vloge za operativne namene</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Člen 428l(a) CRR.</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Institucije tukaj razkrijejo del prejetih vlog (tako od finančnih strank kot od drugih nefinančnih strank), ki izpolnjujejo merila za vloge za operativne namene iz člena 27 Delegirane uredbe Komisije (EU) 2015/61, ki je potreben za zagotavljanje operativnih storitev. </w:t>
            </w:r>
            <w:r>
              <w:rPr>
                <w:rFonts w:ascii="Times New Roman" w:hAnsi="Times New Roman"/>
                <w:sz w:val="24"/>
              </w:rPr>
              <w:t>Vloge za operativne namene, ki presegajo znesek, potreben za zagotavljanje operativnih storitev, se ne vključijo tukaj, ampak v vrstici 9 „drugo grosistično financiranje“ te predloge.</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rPr>
              <w:t xml:space="preserve">Vloge, ki izhajajo iz korespondenčnega bančništva ali zagotavljanja posredniških storitev, se štejejo za vloge za </w:t>
            </w:r>
            <w:proofErr w:type="spellStart"/>
            <w:r>
              <w:rPr>
                <w:rFonts w:ascii="Times New Roman" w:hAnsi="Times New Roman"/>
                <w:sz w:val="24"/>
              </w:rPr>
              <w:t>neoperativne</w:t>
            </w:r>
            <w:proofErr w:type="spellEnd"/>
            <w:r>
              <w:rPr>
                <w:rFonts w:ascii="Times New Roman" w:hAnsi="Times New Roman"/>
                <w:sz w:val="24"/>
              </w:rPr>
              <w:t xml:space="preserve"> namene v skladu s členom 27(5) Delegirane uredbe Komisije (EU) 2015/61 in se razkrijejo v vrstici 9 „drugo grosistično financiranje“ te predloge.</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Drugo grosistično financiranje</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Člen 428l(b) do (d), člen 428g in člen 428k(3)(c) do (d) CRR.</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Institucije tukaj razkrijejo grosistično financiranje razen zneska vlog za operativne namene, ki je potreben za zagotavljanje operativnih storitev. To vključuje obveznosti, ki jih zagotovijo enote centralne ravni države, enote regionalne ravni države, enote lokalne ravni države, subjekti javnega sektorja, mednarodne razvojne banke, mednarodne organizacije, centralne banke in vse druge finančne ali nefinančne stranke, ter obveznosti, pri katerih ni mogoče določiti nasprotne stranke, vključno z izdanimi vrednostnimi papirji, pri katerih ni mogoče identificirati imetnika.</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Soodvisne obveznosti</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Člen 428k(3)(b) CRR.</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Institucije razkrijejo obveznosti, ki se, potem ko je to odobril zadevni pristojni organ, obravnavajo kot soodvisne s sredstvi v skladu s členom 428f CRR.</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Druge obveznosti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zneskov iz vrstic 12 in 13 te predloge.</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NSFR glede na obveznosti iz naslova izvedenih finančnih instrumentov</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Člen 428k(4) CRR.</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razkrijejo absolutni znesek negativne razlike med nizi pobotov, izračunane v skladu s členom 428k(4) CRR.</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Vse druge obveznosti in kapitalski instrumenti, ki niso vključeni v zgornje kategorije</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Člen 428k(1) in člen 428k(3) CRR.</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naslednjih postavk:</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obveznosti iz nakupa finančnih instrumentov, tujih valut in blaga, ki zapadejo na dan sklenitve posla in za katere se pričakuje, da bodo poravnane v standardnem obdobju poravnave ali v obdobju, ki je običajno za zadevno izmenjavo ali vrsto poslov, ali ki še niso poravnane, vendar se še vedno pričakuje, da bodo, v skladu s členom 428k(3)(a) CRR,</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odloženih obveznosti za davek ob upoštevanju prvega možnega datuma, na katerega se lahko realizira njihov znesek, kot preostale zapadlosti v skladu s členom 428k(2)(a) CRR,</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manjšinskih deležev ob upoštevanju trajanja instrumenta kot preostale zapadlosti v skladu s členom 428k(1)(b) CRR ter</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lastRenderedPageBreak/>
              <w:t>drugih obveznosti, na primer kratkih pozicij in pozicij z neopredeljeno zapadlostjo v skladu s členoma 428k(1) in 428k(3) CRR.</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Skupaj razpoložljivo stabilno financiranje (ASF)</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Poglavje 3 naslova IV dela 6 CRR.</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rPr>
              <w:t>Institucije tukaj razkrijejo vsoto postavk, ki zagotavljajo razpoložljivo stabilno financiranje v skladu s poglavjem 3 naslova IV dela 6 CRR (vsota zneskov v vrsticah 1, 4, 7, 10 in 11 te predloge).</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Postavke potrebnega stabilnega financiranja (RSF)</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Skupaj visokokakovostna likvidna sredstva (HQLA)</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vključijo tudi obremenjena in neobremenjena visokokakovostna likvidna sredstva v skladu z Delegirano uredbo Komisije (EU) 2015/61 ne glede na to, ali izpolnjujejo operativne zahteve iz člena 8 navedene delegirane uredbe, v skladu s členi 428r do 428ae CRR.</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Sredstva, obremenjena za preostalo zapadlost enega leta ali več, v kritnem premoženju</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Člen 428ag(h) CRR.</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Institucije tukaj razkrijejo znesek zapadlih denarnih sredstev iz naslova kreditov, pri katerih ni prišlo do neplačila v skladu s členom 178 CRR, in likvidna sredstva, ki so obremenjena za preostalo zapadlost enega leta ali več, v kritnem premoženju, financiranem s kritimi obveznicami iz člena 52(4) Direktive 2009/65/ES</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ali s kritimi obveznicami, ki izpolnjujejo zahteve glede upravičenosti do obravnave iz člena 129(4) ali (5) CRR.</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Vloge pri drugih finančnih institucijah za operativne namene</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Člen 428ad(b) CRR.</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znesek zapadlih denarnih sredstev iz naslova kreditov, pri katerih ni prišlo do neplačila v skladu s členom 178 CRR, ki so vloge za operativne namene v skladu z Delegirano uredbo Komisije (EU) 2015/61 in so potrebne za zagotavljanje operativnih storitev.</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Donosni krediti in vrednostni papirji:</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zneskov iz vrstic 18, 19, 20, 22 in 24 te predloge.</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Donosni posli financiranja z vrednostnimi papirji s finančnimi strankami, zavarovani s HQLA stopnje 1, za katere se uporablja 0 % odbitek</w:t>
            </w:r>
          </w:p>
          <w:p w14:paraId="1C3668E3" w14:textId="77777777" w:rsidR="001E06A3" w:rsidRPr="007F4CC8" w:rsidRDefault="001E06A3" w:rsidP="001E06A3">
            <w:pPr>
              <w:spacing w:after="240"/>
              <w:jc w:val="both"/>
            </w:pPr>
            <w:r>
              <w:rPr>
                <w:rFonts w:ascii="Times New Roman" w:hAnsi="Times New Roman"/>
                <w:sz w:val="24"/>
              </w:rPr>
              <w:t>Člen 428e, člen 428r(1)(g) in člen 428s(b) CRR.</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znesek zapadlih denarnih sredstev iz poslov financiranja z vrednostnimi papirji, pri katerih ni prišlo do neplačila v skladu s členom 178 CRR, s finančnimi strankami, ki so zavarovani s sredstvi stopnje 1, upravičenimi do odbitka v višini 0 % v skladu z Delegirano uredbo Komisije (EU)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Donosni posli financiranja z vrednostnimi papirji s finančnimi strankami, zavarovani z drugimi sredstvi ter drugimi krediti in drugimi finančnimi sredstvi za finančne institucije</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Člen 428s(b), člen 428ad(d), člen 428ah(1)(b) in člen 428v(a) CRR.</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naslednjih postavk:</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zneska zapadlih denarnih sredstev iz poslov financiranja z vrednostnimi papirji, pri katerih ni prišlo do neplačila v skladu s členom 178 CRR, s finančnimi strankami, ki so zavarovani s sredstvi, ki niso sredstva stopnje 1, upravičena do odbitka v višini 0 % v skladu z Delegirano uredbo Komisije (EU) 2015/61; ter</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zneska zapadlih denarnih sredstev iz naslova drugih kreditov in drugih finančnih sredstev, pri katerih ni prišlo do neplačila v skladu s členom 178 CRR, finančnim strankam v skladu s členom 428v(a) ter členom 428ad(d)(iii) CRR.</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Donosni kreditni nefinančnimi podjetjem, krediti strankam na drobno in malim poslovnih strankam ter krediti državam in subjektom javnega sektorja, od tega:</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Člen 428ad(c), člen 428af in člen 428ag(c) CRR.</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znesek zapadlih denarnih sredstev iz naslova kreditov, pri katerih ni prišlo do neplačila v skladu s členom 178 CRR, ki so stanovanjski krediti, za katere v celoti jamči primeren dajalec zavarovanja iz člena 129(1)(e) CRR, ali krediti, ki niso krediti finančnim strankam in krediti iz členov 428r do 428ad CRR, razen člena 428ad(c) CRR, ne glede na utež tveganja, dodeljeno tem kreditom. Ta znesek ne vključuje izpostavljenosti, zavarovane s hipotekami na stanovanjske nepremičnine.</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Z utežjo tveganja, enako ali nižjo od 35 % na podlagi standardiziranega pristopa za kreditno tveganje v skladu z okvirom Basel II</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lastRenderedPageBreak/>
              <w:t>Člen 428ad(c) in člen 428af CRR.</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zneske kreditov iz vrstice 21 te predloge, ki imajo dodeljeno utež tveganja v višini 35 % ali manj v skladu s poglavjem 2 naslova II dela 3 CRR.</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Donosni stanovanjski krediti, od tega:</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Člen 428ad(c), člen 428af(a) in člen 428ag(c) CRR.</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Institucije tukaj razkrijejo znesek zapadlih denarnih sredstev iz naslova kreditov, pri katerih ni prišlo do neplačila v skladu s členom 178 CRR, ki so krediti, zavarovani s hipotekami na stanovanjske nepremičnine, in niso krediti finančnim strankam in krediti iz členov 428r do 428ad CRR, razen člena 428ad(c) CRR, ne glede na utež tveganja, dodeljeno tem kreditom.</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Z utežjo tveganja, enako ali nižjo od 35 % na podlagi standardiziranega pristopa za kreditno tveganje v skladu z okvirom Basel II</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Člen 428ad(c) in člen 428af(a) CRR.</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vključijo zneske kreditov iz vrstice 22 te predloge, ki imajo dodeljeno utež tveganja v višini 35 % ali manj v skladu s poglavjem 2 naslova II dela 3 CRR.</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Drugi krediti in vrednostni papirji, pri katerih ni prišlo do neplačila in ki ne izpolnjujejo pogojev za HQLA, vključno z lastniškimi vrednostnimi papirji, s katerimi se trguje na borzi, ter bilančnimi produkti, povezanimi s trgovinskim financiranjem</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vrednostnih papirjev, pri katerih ni prišlo do neplačila v skladu s členom 178 CRR in ki niso likvidna sredstva na podlagi Delegirane uredbe (EU) 2015/61, ne glede na to, ali izpolnjujejo operativne zahteve iz navedene delegirane uredbe, ob upoštevanju člena 428ag(e) in (f), ter</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bilančnih produktov, povezanih s trgovinskim financiranjem v skladu s členom 428v(b), členom 428ad(e) in členom 428ag(d) CRR.</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Soodvisna sredstva</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Člen 428f in člen 428r(1)(f) CRR.</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sredstva, ki se, potem ko so to odobrili pristojni organi, obravnavajo kot soodvisna z obveznostmi v skladu s členom 428f CRR.</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Druga sredstva:</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vsoto zneskov iz vrstic 27, 28, 29, 30 in 31 te predloge.</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Blago, s katerim se fizično trguje</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Člen 428ag(g) CRR.</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znesek blaga, s katerim se fizično trguje. Ta znesek ne vključuje izvedenih finančnih instrumentov na blago.</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Sredstva, dana kot začetno kritje za pogodbe o izvedenih finančnih instrumentih in kot prispevek v jamstveni sklad CNS</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Institucije tukaj razkrijejo vsoto naslednjih zneskov:</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zneska potrebnega stabilnega financiranja, ki izhaja iz izvedenih finančnih instrumentov, v skladu s členom 428d, členom 428s(2), členom 428ag(a) in členom 428ah(2) CRR, povezan z začetnim kritjem za pogodbe o izvedenih finančnih instrumentih, ter</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zneska, povezanega s postavkami, danimi kot prispevek v jamstveni sklad CNS, v skladu s členom 428ag(b) CRR.</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 glede na sredstva iz naslova izvedenih finančnih instrumentov</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Člen 428d in člen 428ah(2) CRR.</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Institucije tukaj vključijo znesek potrebnega stabilnega financiranja, ki izhaja iz izvedenih finančnih instrumentov, v skladu s členom 428d, členom 428s(2), členom 428ag(a) in členom 428ah(2) CRR, izračunan kot absolutni znesek pozitivne razlike med nizi pobotov, ki se izračuna v skladu s členom 428ah(2).</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 glede na obveznosti iz naslova izvedenih finančnih instrumentov pred odbitkom dane gibljivega kritja</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Člen 428s(2) CRR.</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Institucije tukaj razkrijejo znesek potrebnega stabilnega financiranja, povezanega z obveznostmi iz naslova izvedenih finančnih instrumentov, v skladu s členom 428d, členom 428s(2), členom 428ag(a) in členom 428ah(2) CRR, ki je absolutna poštena vrednost nizov pobotov z negativno pošteno vrednostjo, ki se izračuna v skladu s členom 428s(2).</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Vsa druga sredstva, ki niso vključena v zgornje kategorije</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Institucije tukaj vključijo vsoto naslednjih postavk:</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terjatve, ki zapadejo na dan sklenitve posla, v skladu s členom 428r(1)(e) CRR,</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lastRenderedPageBreak/>
              <w:t>nedonosna sredstva v skladu s členom 428ah(1)(b) CRR,</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rezerve pri centralnih bankah, ki se ne štejejo za HQLA, in</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druga sredstva, ki niso navedena v zgornjih postavkah.</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proofErr w:type="spellStart"/>
            <w:r>
              <w:rPr>
                <w:rFonts w:ascii="Times New Roman" w:hAnsi="Times New Roman"/>
                <w:b/>
                <w:sz w:val="24"/>
              </w:rPr>
              <w:t>Zunajbilančne</w:t>
            </w:r>
            <w:proofErr w:type="spellEnd"/>
            <w:r>
              <w:rPr>
                <w:rFonts w:ascii="Times New Roman" w:hAnsi="Times New Roman"/>
                <w:b/>
                <w:sz w:val="24"/>
              </w:rPr>
              <w:t xml:space="preserve"> postavke</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Institucije tukaj razkrijejo znesek </w:t>
            </w:r>
            <w:proofErr w:type="spellStart"/>
            <w:r>
              <w:rPr>
                <w:rFonts w:ascii="Times New Roman" w:hAnsi="Times New Roman"/>
                <w:sz w:val="24"/>
              </w:rPr>
              <w:t>zunajbilančnih</w:t>
            </w:r>
            <w:proofErr w:type="spellEnd"/>
            <w:r>
              <w:rPr>
                <w:rFonts w:ascii="Times New Roman" w:hAnsi="Times New Roman"/>
                <w:sz w:val="24"/>
              </w:rPr>
              <w:t xml:space="preserve"> postavk, ki so predmet zahtev glede potrebnega stabilnega financiranja.</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Skupaj potrebno stabilno financiranje (RSF)</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Poglavje 4 naslova IV dela 6 CRR.</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Institucije tukaj vključijo vsoto postavk, ki so predmet potrebnega stabilnega financiranja v skladu s poglavjem 4 naslova IV dela 6 CRR (vsota zneskov v vrsticah 15, EU-15a, 16, 17, 25, 26 in 32 te predloge).</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Količnik neto stabilnega financiranja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Količnik neto stabilnega financiranja, izračunan v skladu s členom 428b(1) CRR.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PRILOGA XVI – Navodila za razkritje ciljev in politik upravljanja tveganj, izpostavljenosti kreditnemu tveganju, izpostavljenosti tveganju zmanjšanja vrednosti ter kreditne kakovosti</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Priloga XV k tej izvedbeni uredbi vsebuje niz predlog, ki so relevantne za institucije, za katere velja člen 442 CRR. Vsebuje tudi nekatere dodatne predloge, ki so obvezne za velike institucije z razmerjem med bruto knjigovodsko vrednostjo kreditov in drugih finančnih sredstev, ki spadajo pod člen 47a(3) Uredbe (EU) št. 575/2013, in skupno bruto knjigovodsko vrednostjo kreditov in drugih finančnih sredstev, ki spadajo pod člen 47a(1) Uredbe (EU) št. 575/2013, enakim ali višjim od 5 % Za namene tega količnika in predlog iz Priloge XV se krediti in druga finančna sredstva, razvrščeni kot v posesti za prodajo, stanja na računih pri centralnih bankah in druge vloge na vpogled izključijo iz imenovalca in števca količnikov ter iz vrstic o kreditih in drugih finančnih sredstvih iz teh predlog. Informacije o stanjih na računih pri centralnih bankah in drugih vlogah na vpogled se razkrijejo ločeno v nekaterih predlogah.</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Dodatne predloge so potrebne za predstavitev dovolj izčrpnih in primerljivih informacij njihovim uporabnikom, da lahko ocenijo profile tveganja institucij. Zato institucije pri branju teh navodil upoštevajo merila glede sorazmernosti iz člena 9 te izvedbene uredbe.</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Razpredelnica EU CRA: Splošne kvalitativne informacije o kreditnem tveganju</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Institucije razkrijejo informacije iz člena 435(1)(a), (b), (d) in (f) Uredbe (EU) št. 575/2013</w:t>
      </w:r>
      <w:r>
        <w:rPr>
          <w:rStyle w:val="FootnoteReference"/>
          <w:color w:val="000000"/>
        </w:rPr>
        <w:footnoteReference w:id="28"/>
      </w:r>
      <w:r>
        <w:rPr>
          <w:rFonts w:ascii="Times New Roman" w:hAnsi="Times New Roman"/>
          <w:sz w:val="24"/>
        </w:rPr>
        <w:t xml:space="preserve"> (CRR) o svojih ciljih in politikah upravljanja kreditnega tveganja ob upoštevanju navodil iz te priloge za izpolnjevanje razpredelnice EU CRA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V strnjeni izjavi o tveganju v skladu s členom 435(1)(f) CRR, kako se poslovni model izraža v elementih profila kreditnega tveganja institucije.</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V okviru razkritja svojih strategij in procesov za upravljanje kreditnega tveganja ter politik za varovanje pred njim in njegovo zmanjševanje v skladu s členom 435(1)(a) in (d) CRR merila in pristop, ki se uporabljajo za določanje politike upravljanja kreditnega tveganja in postavljanje omejitev kreditnega tveganja.</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V okviru razkritja informacij o strukturi in organizaciji funkcije upravljanja tveganj v skladu s členom 435(1)(b) CRR strukturo in organizacijo funkcije upravljanja in nadzora kreditnega tveganja.</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 xml:space="preserve">V okviru razkritja informacij o pooblastilih, statutu in drugih ureditvah za funkcijo upravljanja tveganj v skladu s členom 435(1)(b) odnose med </w:t>
            </w:r>
            <w:r>
              <w:lastRenderedPageBreak/>
              <w:t>funkcijami upravljanja kreditnega tveganja, nadzora tveganj, zagotavljanja skladnosti in notranje revizije.</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Razpredelnica EU CRB: Dodatna razkritja v zvezi s kreditno kakovostjo sredstev</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Institucije razkrijejo informacije iz člena 442(a) in (b) CRR ob upoštevanju spodnjih navodil za izpolnjevanje razpredelnice EU CRB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Področje uporabe in opredelitvi „zapadlih“ in „oslabljenih“ izpostavljenosti, ki se uporabljajo za računovodske namene, in morebitne razlike med opredelitvama zapadlosti in neplačila za računovodske in regulativne namene v skladu s členom 178 CRR.</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Obseg zapadlih izpostavljenosti (več kot 90 dni), ki se ne obravnavajo kot oslabljene, in razlogi za to.</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Opis metod, ki se uporabljajo za določanje splošnih in posebnih popravkov zaradi kreditnega tveganja.</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 xml:space="preserve">Lastna opredelitev prestrukturirane izpostavljenosti, ki jo institucija uporablja za izvajanje člena 178(3)(d) CRR v skladu s členom 178 CRR, kadar je ta opredelitev drugačna od opredelitve izpostavljenosti z ukrepi </w:t>
            </w:r>
            <w:proofErr w:type="spellStart"/>
            <w:r>
              <w:t>restrukturiranja</w:t>
            </w:r>
            <w:proofErr w:type="spellEnd"/>
            <w:r>
              <w:t>, kot so opredeljeni v členu 47b CRR.</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CR1: Donosne in nedonosne izpostavljenosti ter povezane rezervacije</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Institucije razkrijejo informacije iz člena 442(c) in (e) CRR ob upoštevanju navodil iz te priloge za izpolnjevanje predloge EU CR1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Stanja na računih pri centralnih bankah in vloge na vpogled pri bankah</w:t>
            </w:r>
          </w:p>
          <w:p w14:paraId="0BE345BE" w14:textId="56945842" w:rsidR="004E71F4" w:rsidRPr="007F4CC8" w:rsidRDefault="004E71F4" w:rsidP="00155C96">
            <w:pPr>
              <w:pStyle w:val="Applicationdirecte"/>
              <w:spacing w:before="0"/>
            </w:pPr>
            <w:r>
              <w:t>Institucije razkrijejo te informacije v skladu z informacijami, ki se poročajo v prilogah III in IV k Izvedbeni uredbi Komisije (EU) št. 680/2014</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Krediti in druga finančna sredstva</w:t>
            </w:r>
          </w:p>
          <w:p w14:paraId="248CDA04" w14:textId="67C83D7F" w:rsidR="004E71F4" w:rsidRPr="007F4CC8" w:rsidRDefault="004E71F4" w:rsidP="00155C96">
            <w:pPr>
              <w:pStyle w:val="Applicationdirecte"/>
              <w:spacing w:before="0"/>
            </w:pPr>
            <w:r>
              <w:t xml:space="preserve">Krediti in druga finančna sredstva so dolžniški instrumenti, ki jih imajo institucije in niso vrednostni papirji; ta postavka vključuje „kredite“ (posojila) v skladu z Uredbo (EU) št. 1071/2013 (uredba ECB o postavkah bilance </w:t>
            </w:r>
            <w:r>
              <w:lastRenderedPageBreak/>
              <w:t>stanja)</w:t>
            </w:r>
            <w:r>
              <w:rPr>
                <w:rStyle w:val="FootnoteReference"/>
              </w:rPr>
              <w:footnoteReference w:id="30"/>
            </w:r>
            <w:r>
              <w:t xml:space="preserve"> ter finančna sredstva, ki se ne morejo razvrstiti kot „krediti“ v skladu z uredbo ECB o postavkah bilance stanja, kot je določeno v odstavku 32 dela 1 Priloge V k Izvedbeni uredbi Komisije (EU) št. 680/2014, in izključuje kredite in druga finančna sredstva, razvrščena kot v posesti za prodajo, stanja na računih pri centralnih bankah in druge vloge na vpogled.</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lastRenderedPageBreak/>
              <w:t>020–060, 080, 100–140, 160–210</w:t>
            </w:r>
          </w:p>
        </w:tc>
        <w:tc>
          <w:tcPr>
            <w:tcW w:w="7655" w:type="dxa"/>
          </w:tcPr>
          <w:p w14:paraId="0101F9B0" w14:textId="77777777" w:rsidR="004E71F4" w:rsidRPr="007F4CC8" w:rsidRDefault="004E71F4" w:rsidP="00155C96">
            <w:pPr>
              <w:pStyle w:val="Applicationdirecte"/>
              <w:spacing w:before="0"/>
              <w:rPr>
                <w:b/>
              </w:rPr>
            </w:pPr>
            <w:r>
              <w:rPr>
                <w:b/>
              </w:rPr>
              <w:t>Razčlenitev po nasprotnih strankah</w:t>
            </w:r>
          </w:p>
          <w:p w14:paraId="43D478E7" w14:textId="306962B2" w:rsidR="004E71F4" w:rsidRPr="007F4CC8" w:rsidRDefault="004E71F4" w:rsidP="00155C96">
            <w:pPr>
              <w:pStyle w:val="Applicationdirecte"/>
              <w:spacing w:before="0"/>
            </w:pPr>
            <w:r>
              <w:t>Institucije uporabijo razčlenitev po nasprotnih strankah, kot je določena v odstavku 42 dela 1 Priloge V k Izvedbeni uredbi Komisije (EU) št. 680/2014.</w:t>
            </w:r>
          </w:p>
          <w:p w14:paraId="492F16F3" w14:textId="77777777" w:rsidR="004E71F4" w:rsidRPr="007F4CC8" w:rsidRDefault="004E71F4" w:rsidP="00155C96">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 Pri drugih razvrstitvah se porazdelitev skupno nastalih izpostavljenosti sektorja nasprotne stranke, država sedeža in oznake NACE določijo na podlagi značilnosti pomembnejšega ali odločilnejšega dolžnika.</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MSP</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Kot so opredeljena v odstavku 5(i) dela 1 Priloge V k Izvedbeni uredbi Komisije (EU) št. 680/2014.</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Dolžniški vrednostni papirji</w:t>
            </w:r>
          </w:p>
          <w:p w14:paraId="2836BAA1" w14:textId="07A773F6" w:rsidR="004E71F4" w:rsidRPr="007F4CC8" w:rsidRDefault="004E71F4" w:rsidP="00155C96">
            <w:pPr>
              <w:pStyle w:val="Applicationdirecte"/>
              <w:spacing w:before="0"/>
            </w:pPr>
            <w:r>
              <w:t>Dolžniški vrednostni papirji so dolžniški instrumenti, ki jih imajo institucije in so izdani kot vrednostni papirji, ki niso krediti v skladu z uredbo ECB o postavkah bilance stanja, kot je določeno v odstavku 31 dela 1 Priloge V k Izvedbeni uredbi Komisije (EU) št. 680/2014.</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proofErr w:type="spellStart"/>
            <w:r>
              <w:rPr>
                <w:rFonts w:ascii="Times New Roman" w:hAnsi="Times New Roman"/>
                <w:b/>
                <w:sz w:val="24"/>
              </w:rPr>
              <w:t>Zunajbilančne</w:t>
            </w:r>
            <w:proofErr w:type="spellEnd"/>
            <w:r>
              <w:rPr>
                <w:rFonts w:ascii="Times New Roman" w:hAnsi="Times New Roman"/>
                <w:b/>
                <w:sz w:val="24"/>
              </w:rPr>
              <w:t xml:space="preserve"> izpostavljenosti</w:t>
            </w:r>
          </w:p>
          <w:p w14:paraId="2847C284" w14:textId="77777777" w:rsidR="004E71F4" w:rsidRPr="007F4CC8" w:rsidRDefault="004E71F4" w:rsidP="00155C96">
            <w:pPr>
              <w:pStyle w:val="Applicationdirecte"/>
              <w:spacing w:before="0"/>
            </w:pPr>
            <w:proofErr w:type="spellStart"/>
            <w:r>
              <w:t>Zunajbilančne</w:t>
            </w:r>
            <w:proofErr w:type="spellEnd"/>
            <w:r>
              <w:t xml:space="preserve"> izpostavljenosti vključujejo </w:t>
            </w:r>
            <w:proofErr w:type="spellStart"/>
            <w:r>
              <w:t>zunajbilančne</w:t>
            </w:r>
            <w:proofErr w:type="spellEnd"/>
            <w:r>
              <w:t xml:space="preserve"> postavke iz Priloge I k CRR.</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Bruto knjigovodska vrednost / nominalni znesek donosnih izpostavljenosti</w:t>
            </w:r>
          </w:p>
          <w:p w14:paraId="216564CB" w14:textId="77777777" w:rsidR="004E71F4" w:rsidRPr="007F4CC8" w:rsidRDefault="004E71F4" w:rsidP="00155C96">
            <w:pPr>
              <w:pStyle w:val="Fait"/>
              <w:spacing w:before="0" w:after="120"/>
            </w:pPr>
            <w:r>
              <w:t>Bruto knjigovodska vrednost, kot je opredeljena v odstavku 34 dela 1 Priloge V k Izvedbeni uredbi Komisije (EU) št. 680/2014; nominalni znesek, kot je opredeljen v odstavku 118 dela 2 Priloge V k Izvedbeni uredbi Komisije (EU) št. 680/2014.</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lastRenderedPageBreak/>
              <w:t>b, c, e, f, h, i, k in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 tega prva skupina/druga skupina/tretja skupina</w:t>
            </w:r>
          </w:p>
          <w:p w14:paraId="755E71F1" w14:textId="77777777" w:rsidR="004E71F4" w:rsidRPr="007F4CC8" w:rsidRDefault="004E71F4" w:rsidP="00155C96">
            <w:pPr>
              <w:pStyle w:val="Fait"/>
              <w:spacing w:before="0" w:after="120"/>
            </w:pPr>
            <w:r>
              <w:t>Za institucije, ki uporabljajo MSRP, so to kategorije oslabitve, kot so opredeljene v oddelku 5.5 MSRP 9. „prva skupina“ se nanaša na oslabitev, merjeno v skladu s 5.5.5. členom MSRP 9; „druga skupina“ se nanaša na oslabitev, merjeno v skladu s 5.5.3. členom MSRP 9; „tretja skupina“ se nanaša na oslabitev finančnih sredstev s poslabšano kreditno kakovostjo, kot so opredeljena v Dodatku A k MSRP 9.</w:t>
            </w:r>
          </w:p>
          <w:p w14:paraId="43461F5D" w14:textId="4614E890" w:rsidR="004E71F4" w:rsidRPr="007F4CC8" w:rsidRDefault="004E71F4" w:rsidP="006127E4">
            <w:pPr>
              <w:pStyle w:val="Fait"/>
              <w:spacing w:before="0" w:after="120"/>
              <w:rPr>
                <w:rFonts w:eastAsiaTheme="minorEastAsia"/>
              </w:rPr>
            </w:pPr>
            <w:r>
              <w:t>Stolpcev „od tega prva skupina“, „od tega druga skupina“, „od tega tretja skupina“ ne razkrivajo institucije, ki uporabljajo nacionalna splošno sprejeta računovodska načela na podlagi Direktive (EGS) 86/635</w:t>
            </w:r>
            <w:r>
              <w:rPr>
                <w:rStyle w:val="FootnoteReference"/>
              </w:rPr>
              <w:footnoteReference w:id="31"/>
            </w:r>
            <w:r>
              <w:t xml:space="preserve"> o letnih računovodskih izkazih in konsolidiranih računovodskih izkazih bank in drugih finančnih institucij.</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Bruto knjigovodska vrednost / nominalni znesek nedonosnih izpostavljenosti</w:t>
            </w:r>
          </w:p>
          <w:p w14:paraId="2C430D1F" w14:textId="77777777" w:rsidR="004E71F4" w:rsidRPr="007F4CC8" w:rsidRDefault="004E71F4" w:rsidP="00155C96">
            <w:pPr>
              <w:pStyle w:val="Fait"/>
              <w:spacing w:before="0" w:after="120"/>
              <w:rPr>
                <w:b/>
              </w:rPr>
            </w:pPr>
            <w:r>
              <w:t>Bruto knjigovodska vrednost, kot je opredeljena v odstavku 34 dela 1 Priloge V k Izvedbeni uredbi Komisije (EU) št. 680/2014; nominalni znesek, kot je opredeljen v odstavku 118 dela 2 Priloge V k Izvedbeni uredbi Komisije (EU) št. 680/2014; nedonosne izpostavljenosti, kot so opredeljene v členu 47a CRR.</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Donosne izpostavljenosti – akumulirane oslabitve in rezervacije</w:t>
            </w:r>
          </w:p>
          <w:p w14:paraId="120B4159" w14:textId="77777777" w:rsidR="004E71F4" w:rsidRPr="007F4CC8" w:rsidRDefault="004E71F4" w:rsidP="00155C96">
            <w:pPr>
              <w:pStyle w:val="Fait"/>
              <w:spacing w:before="0" w:after="120"/>
            </w:pPr>
            <w:r>
              <w:t>To vključuje zneske, določene v skladu z odstavki 11, 69 do 71, 106 in 110 dela 2 Priloge V k Izvedbeni uredbi Komisije (EU) št. 680/2014.</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Nedonosne izpostavljenosti – akumulirane oslabitve, akumulirane negativne spremembe poštene vrednosti zaradi kreditnega tveganja in rezervacije</w:t>
            </w:r>
          </w:p>
          <w:p w14:paraId="09812FFD" w14:textId="77777777" w:rsidR="004E71F4" w:rsidRPr="007F4CC8" w:rsidRDefault="004E71F4" w:rsidP="00155C96">
            <w:pPr>
              <w:pStyle w:val="Fait"/>
              <w:spacing w:before="0" w:after="120"/>
            </w:pPr>
            <w:r>
              <w:t>Nedonosne izpostavljenosti, kot so opredeljene v členu 47a CRR.</w:t>
            </w:r>
          </w:p>
          <w:p w14:paraId="3C1AAE83" w14:textId="77777777" w:rsidR="004E71F4" w:rsidRPr="007F4CC8" w:rsidRDefault="004E71F4" w:rsidP="00155C96">
            <w:pPr>
              <w:pStyle w:val="Fait"/>
              <w:spacing w:before="0" w:after="120"/>
              <w:rPr>
                <w:b/>
              </w:rPr>
            </w:pPr>
            <w:r>
              <w:t>To vključuje zneske, določene v skladu z odstavki 11, 69 do 71, 106 in 110 dela 2 Priloge V k Izvedbeni uredbi Komisije (EU) št. 680/2014.</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Akumulirani delni odpisi</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vključuje akumulirani delni znesek po stanju na referenčni datum za glavnico in zapadle natečene obresti ter provizije vseh dolžniških instrumentov, za katere se je do tega datuma odpravilo pripoznanje z uporabo ene od metod iz odstavka 74 dela 2 Priloge V k Izvedbeni uredbi Komisije (EU) št. 680/2014, ki se morajo razkriti, ker institucija nima razumnih pričakovanj, da bo prišlo do povrnitve pogodbenih denarnih tokov. Ti zneski se razkrivajo do popolnega prenehanja vseh pravic institucije (zaradi izteka roka zastaranja, odpisa ali drugega vzroka) ali do poplačila. Zato se odpisani zneski, če niso povrnjeni, razkrivajo, dokler v zvezi z njimi potekajo postopki izvršbe.</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Odpisi predstavljajo odpravo pripoznanja in se nanašajo na celotno finančno sredstvo ali (v primeru delnega odpisa) njegov del, vključno s primeri, ko se </w:t>
            </w:r>
            <w:r>
              <w:rPr>
                <w:rFonts w:ascii="Times New Roman" w:hAnsi="Times New Roman"/>
                <w:sz w:val="24"/>
              </w:rPr>
              <w:lastRenderedPageBreak/>
              <w:t>institucija zaradi spremembe sredstva odpove pravici do prejemanja denarnih tokov iz dela ali celotnega sredstva.</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Prejeto zavarovanje s premoženjem in finančna poroštva za donosne izpostavljenosti</w:t>
            </w:r>
          </w:p>
          <w:p w14:paraId="1151880A" w14:textId="77777777" w:rsidR="004E71F4" w:rsidRPr="007F4CC8" w:rsidRDefault="004E71F4" w:rsidP="00155C96">
            <w:pPr>
              <w:pStyle w:val="Fait"/>
              <w:spacing w:before="0" w:after="120"/>
            </w:pPr>
            <w:r>
              <w:t>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Prejeto zavarovanje s premoženjem in finančna poroštva za nedonosne izpostavljenosti </w:t>
            </w:r>
          </w:p>
          <w:p w14:paraId="25BA6F5A" w14:textId="77777777" w:rsidR="004E71F4" w:rsidRPr="007F4CC8" w:rsidRDefault="004E71F4" w:rsidP="00155C96">
            <w:pPr>
              <w:pStyle w:val="Fait"/>
              <w:spacing w:before="0" w:after="120"/>
            </w:pPr>
            <w:r>
              <w:t>Nedonosne izpostavljenosti, kot so opredeljene v členu 47a CRR.</w:t>
            </w:r>
          </w:p>
          <w:p w14:paraId="7C4E9AFF" w14:textId="77777777" w:rsidR="004E71F4" w:rsidRPr="007F4CC8" w:rsidRDefault="004E71F4" w:rsidP="00155C96">
            <w:pPr>
              <w:pStyle w:val="Fait"/>
              <w:spacing w:before="0" w:after="120"/>
              <w:rPr>
                <w:b/>
              </w:rPr>
            </w:pPr>
            <w:r>
              <w:t>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CR1-A: Zapadlost izpostavljenosti</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Institucije razkrijejo informacije iz člena 442(g) CRR ob upoštevanju spodnjih navodil za izpolnjevanje predloge EU CR1-A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Krediti in druga finančna sredstva</w:t>
            </w:r>
          </w:p>
          <w:p w14:paraId="3B17EB9D" w14:textId="77777777" w:rsidR="004E71F4" w:rsidRPr="007F4CC8" w:rsidRDefault="004E71F4" w:rsidP="00155C96">
            <w:pPr>
              <w:pStyle w:val="Fait"/>
              <w:spacing w:before="0" w:after="120"/>
              <w:rPr>
                <w:b/>
              </w:rPr>
            </w:pPr>
            <w:r>
              <w:t>Krediti in druga finančna sredstva so dolžniški instrumenti, ki jih imajo institucije in niso vrednostni papirji; ta postavka vključuje „kredite“ (posojila) v skladu z uredbo ECB o postavkah bilance stanja ter finančna sredstva, ki se ne morejo razvrstiti kot „krediti“ v skladu z uredbo ECB o postavkah bilance stanja, kot je določeno v odstavku 32 dela 1 Priloge V k Izvedbeni uredbi Komisije (EU) št. 680/2014, in izključuje kredite in druga finančna sredstva, razvrščena kot v posesti za prodajo, stanja na računih pri centralnih bankah in druge vloge na vpogled.</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Dolžniški vrednostni papirji</w:t>
            </w:r>
          </w:p>
          <w:p w14:paraId="0D5D26AA" w14:textId="77777777" w:rsidR="004E71F4" w:rsidRPr="007F4CC8" w:rsidRDefault="004E71F4" w:rsidP="00155C96">
            <w:pPr>
              <w:pStyle w:val="Fait"/>
              <w:spacing w:before="0" w:after="120"/>
              <w:rPr>
                <w:b/>
              </w:rPr>
            </w:pPr>
            <w:r>
              <w:t>Dolžniški vrednostni papirji so dolžniški instrumenti, ki jih imajo institucije in so izdani kot vrednostni papirji, ki niso krediti v skladu z uredbo ECB o postavkah bilance stanja, kot je določeno v odstavku 31 dela 1 Priloge V k Izvedbeni uredbi Komisije (EU) št. 680/2014.</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Skupaj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 do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Neto vrednosti izpostavljenosti </w:t>
            </w:r>
          </w:p>
          <w:p w14:paraId="0117F2D1" w14:textId="77777777" w:rsidR="004E71F4" w:rsidRPr="007F4CC8" w:rsidRDefault="004E71F4" w:rsidP="00155C96">
            <w:pPr>
              <w:pStyle w:val="Fait"/>
              <w:spacing w:before="0" w:after="120"/>
            </w:pPr>
            <w:r>
              <w:t>Neto vrednosti se razkrijejo po preostalih pogodbenih zapadlostih.</w:t>
            </w:r>
          </w:p>
          <w:p w14:paraId="0ECAE4C4" w14:textId="77777777" w:rsidR="004E71F4" w:rsidRPr="007F4CC8" w:rsidRDefault="004E71F4" w:rsidP="00155C96">
            <w:pPr>
              <w:pStyle w:val="Fait"/>
              <w:spacing w:before="0" w:after="120"/>
            </w:pPr>
            <w:r>
              <w:t xml:space="preserve">Neto vrednost izpostavljenosti: pri bilančnih postavkah je neto vrednost bruto knjigovodska vrednost izpostavljenosti, zmanjšana za popravke/oslabitve. Pri </w:t>
            </w:r>
            <w:proofErr w:type="spellStart"/>
            <w:r>
              <w:t>zunajbilančnih</w:t>
            </w:r>
            <w:proofErr w:type="spellEnd"/>
            <w:r>
              <w:t xml:space="preserve"> postavkah je neto vrednost bruto knjigovodska vrednost izpostavljenosti, zmanjšana za rezervacije. </w:t>
            </w:r>
          </w:p>
          <w:p w14:paraId="18B6E675" w14:textId="77777777" w:rsidR="004E71F4" w:rsidRPr="007F4CC8" w:rsidRDefault="004E71F4" w:rsidP="00155C96">
            <w:pPr>
              <w:pStyle w:val="Fait"/>
              <w:spacing w:before="0" w:after="120"/>
            </w:pPr>
            <w:r>
              <w:t xml:space="preserve">Izpostavljenost: v skladu s členom 5 CRR se izpostavljenost nanaša na sredstvo ali </w:t>
            </w:r>
            <w:proofErr w:type="spellStart"/>
            <w:r>
              <w:t>zunajbilančno</w:t>
            </w:r>
            <w:proofErr w:type="spellEnd"/>
            <w:r>
              <w:t xml:space="preserve"> postavko, ki povzroči izpostavljenost kreditnemu tveganju v skladu s CRR.</w:t>
            </w:r>
          </w:p>
          <w:p w14:paraId="3BB3DEC6" w14:textId="77777777" w:rsidR="004E71F4" w:rsidRPr="007F4CC8" w:rsidRDefault="004E71F4" w:rsidP="00155C96">
            <w:pPr>
              <w:pStyle w:val="Fait"/>
              <w:spacing w:before="0" w:after="120"/>
            </w:pPr>
            <w:r>
              <w:t xml:space="preserve">Bruto knjigovodske vrednosti: knjigovodska vrednost pred popravki/oslabitvami, toda po upoštevanju odpisov. Institucije pri uporabi poglavja 4 naslova II dela 3 uredbe CRR ne upoštevajo tehnik za zmanjševanje kreditnega tveganja. </w:t>
            </w:r>
            <w:proofErr w:type="spellStart"/>
            <w:r>
              <w:t>Zunajbilančne</w:t>
            </w:r>
            <w:proofErr w:type="spellEnd"/>
            <w:r>
              <w:t xml:space="preserve"> postavke se razkrijejo v nominalnem znesku brez upoštevanja kreditnih </w:t>
            </w:r>
            <w:proofErr w:type="spellStart"/>
            <w:r>
              <w:t>konverzijskih</w:t>
            </w:r>
            <w:proofErr w:type="spellEnd"/>
            <w:r>
              <w:t xml:space="preserve"> faktorjev, ki se uporabijo v skladu s členoma 111 in 166 ali tehnikami za zmanjševanje kreditnega tveganja, in brez upoštevanja morebitnih rezervacij, zlasti (a) danih jamstev (najvišjega zneska, ki bi ga institucija morala plačati ob morebitni unovčitvi jamstva) ter (b) obveznosti iz kreditov in drugih obveznosti (celotnega zneska, ki se ga je institucija zavezala posoditi).</w:t>
            </w:r>
          </w:p>
          <w:p w14:paraId="7E761FF7" w14:textId="77777777" w:rsidR="004E71F4" w:rsidRPr="007F4CC8" w:rsidRDefault="004E71F4" w:rsidP="00155C96">
            <w:pPr>
              <w:pStyle w:val="Fait"/>
              <w:spacing w:before="0" w:after="120"/>
            </w:pPr>
            <w:r>
              <w:t>V tem razkritju:</w:t>
            </w:r>
          </w:p>
          <w:p w14:paraId="14B53A93" w14:textId="77777777" w:rsidR="004E71F4" w:rsidRPr="007F4CC8" w:rsidRDefault="004E71F4" w:rsidP="00155C96">
            <w:pPr>
              <w:pStyle w:val="Fait"/>
              <w:spacing w:before="0" w:after="120"/>
            </w:pPr>
            <w:r>
              <w:t xml:space="preserve"> – kadar lahko nasprotna stranka izbira, kdaj se bo znesek odplačal, se ta znesek navede v stolpcu „na vpogled“. Ta stolpec vključuje stanja sredstev na vpogled (zahtevo), stanja sredstev s kratkim odpovednim rokom, transakcijske račune in podobna stanja (ki lahko vključujejo kredite, ki za kreditojemalca ne glede na njihovo pravno obliko predstavljajo vloge čez noč). Prav tako vključuje „prekoračitve stanja“, ki so negativna stanja na transakcijskih računih;</w:t>
            </w:r>
          </w:p>
          <w:p w14:paraId="0794C5FD" w14:textId="77777777" w:rsidR="004E71F4" w:rsidRPr="007F4CC8" w:rsidRDefault="004E71F4" w:rsidP="00155C96">
            <w:pPr>
              <w:pStyle w:val="Fait"/>
              <w:spacing w:before="0" w:after="120"/>
            </w:pPr>
            <w:r>
              <w:t xml:space="preserve"> – kadar pri izpostavljenosti zapadlost ni določena zaradi drugih razlogov razen tega, da lahko nasprotna stranka izbere datum odplačila, se znesek te zapadlosti razkrije v stolpcu „zapadlost ni določena“;</w:t>
            </w:r>
          </w:p>
          <w:p w14:paraId="717C314E" w14:textId="77777777" w:rsidR="004E71F4" w:rsidRPr="007F4CC8" w:rsidRDefault="004E71F4" w:rsidP="00155C96">
            <w:pPr>
              <w:pStyle w:val="Fait"/>
              <w:spacing w:before="0" w:after="120"/>
              <w:rPr>
                <w:rFonts w:eastAsiaTheme="minorEastAsia"/>
                <w:i/>
              </w:rPr>
            </w:pPr>
            <w:r>
              <w:t xml:space="preserve"> – kadar se znesek odplačuje v obrokih, je treba izpostavljenost razvrstiti v žepek zapadlosti, ki ustreza zadnjemu obroku.</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Skupaj</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CR2: Spremembe pri nedonosnih kreditih in drugih finančnih sredstvih</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 xml:space="preserve">Institucije razkrijejo informacije iz člena 442(f) CRR ob upoštevanju spodnjih navodil za izpolnjevanje predloge EU CR2 iz Priloge XV k tej izvedbeni uredbi. Institucije v besedilu, priloženem tem predlogam, pojasnijo vsako pomembno razliko med vrednostmi nedonosnih izpostavljenosti, razkritimi v vsaki vrstici, in </w:t>
      </w:r>
      <w:r>
        <w:rPr>
          <w:rFonts w:ascii="Times New Roman" w:hAnsi="Times New Roman"/>
          <w:bCs/>
          <w:sz w:val="24"/>
        </w:rPr>
        <w:lastRenderedPageBreak/>
        <w:t>vrednostmi, ki bi izhajale iz uporabe opredelitve neplačila v skladu s členom 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Začetno stanje nedonosnih kreditov in drugih finančnih sredstev</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koncu zadnjega poslovnega leta.</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Prilivi v nedonosne portfelje</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knjigovodska vrednost kreditov in drugih finančnih sredstev, ki so v obdobju dobili status nedonosnih (od konca zadnjega poslovnega leta).</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Odlivi iz nedonosnih portfeljev</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kreditov in drugih finančnih sredstev, ki so izgubili status nedonosnih.</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odpisov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Popolni ali delni odpisi skupnih kreditov in drugih finančnih sredstev, evidentirani v referenčnem obdobju.</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Odpis (popolni ali delni) predstavlja odpravo pripoznanja. Zato se bruto knjigovodska vrednost kreditov in drugih finančnih sredstev zmanjša za znesek odpisov. V to kategorijo se vključi tudi oprostitev dolga v okviru ukrepov </w:t>
            </w:r>
            <w:proofErr w:type="spellStart"/>
            <w:r>
              <w:rPr>
                <w:rFonts w:ascii="Times New Roman" w:hAnsi="Times New Roman"/>
                <w:sz w:val="24"/>
              </w:rPr>
              <w:t>restrukturiranja</w:t>
            </w:r>
            <w:proofErr w:type="spellEnd"/>
            <w:r>
              <w:rPr>
                <w:rFonts w:ascii="Times New Roman" w:hAnsi="Times New Roman"/>
                <w:sz w:val="24"/>
              </w:rPr>
              <w:t>, tj. odpisi, pri katerih se je znesek neporavnanega dolga dolžnika preklican (institucija se odpove pravici do njegove zakonite izterjave).</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drugih primerov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 to vrstico se vključijo vsa druga zmanjšanja knjigovodske vrednosti kreditov in drugih finančnih sredstev razen odpisov. Te prilagoditve lahko na primer vključujejo odliv zaradi: (i) odplačila kredita, delnega ali popolnega; (ii) unovčenja zavarovanja s premoženjem; (iii) </w:t>
            </w:r>
            <w:proofErr w:type="spellStart"/>
            <w:r>
              <w:rPr>
                <w:rFonts w:ascii="Times New Roman" w:hAnsi="Times New Roman"/>
                <w:sz w:val="24"/>
              </w:rPr>
              <w:t>priposestvovanja</w:t>
            </w:r>
            <w:proofErr w:type="spellEnd"/>
            <w:r>
              <w:rPr>
                <w:rFonts w:ascii="Times New Roman" w:hAnsi="Times New Roman"/>
                <w:sz w:val="24"/>
              </w:rPr>
              <w:t xml:space="preserve"> zavarovanja s premoženjem; (iv) prodaje instrumentov; (v) prenosov tveganja; (vi) sprememb menjalnih tečajev; (vii) drugih ukrepov za zaprtje pozicije; (viii) prerazvrstitve med kategorijami sredstev itd. Poleg tega prilagoditve vključujejo odliv zaradi razvrstitve kot v posesti za prodajo.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Kadar je znesek v tej kategoriji znaten, morajo institucije v besedilu, priloženem tej predlogi, zagotoviti dodatne informacije.</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Končno stanje nedonosnih kreditov in drugih finančnih sredstev</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referenčni datum razkritja.</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Pravna podlaga in navodila</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Pojasnilo</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Bruto knjigovodska vrednost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Bruto knjigovodska vrednost, kot je opredeljena v odstavku 34 dela 1 Priloge V k Izvedbeni uredbi Komisije (EU) št. 680/2014.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Predloga EU CR2a: Spremembe pri nedonosnih kreditih in drugih finančnih sredstvih ter povezane neto kumulativne povrnitve</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Institucije razkrijejo informacije iz člena 442(c) in (f) CRR ob upoštevanju spodnjih navodil za izpolnjevanje predloge EU CR2a iz Priloge XV k tej izvedbeni uredbi. Institucije v besedilu, priloženem tem predlogam, pojasnijo vsako pomembno razliko med vrednostmi nedonosnih izpostavljenosti, razkritimi v vsaki vrstici, in vrednostmi, ki bi izhajale iz uporabe opredelitve neplačila v skladu s členom 178 CRR, zlasti za vrstice 010, 030, 100 in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Začetno stanje nedonosnih kreditov in drugih finančnih sredstev</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koncu zadnjega poslovnega leta.</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Prilivi v nedonosne portfelje</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knjigovodska vrednost kreditov in drugih finančnih sredstev, ki so v obdobju dobili status nedonosnih (od konca zadnjega poslovnega leta).</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Odlivi iz nedonosnih portfeljev</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kreditov in drugih finančnih sredstev, ki so izgubili status nedonosnih.</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 v donosen portfelj</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kreditov in drugih finančnih sredstev, ki so v obdobju izgubili status nedonosnih in postali donosni (od konca zadnjega poslovnega leta).</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Odliv zaradi odplačila kredita, delnega ali popolnega</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Zmanjšanje bruto knjigovodske vrednosti nedonosnih kreditov in drugih finančnih sredstev zaradi denarnih plačil, tj. rednih plačil kapitala in vseh drugih nenačrtovanih odplačil v obdobju (od konca zadnjega poslovnega leta).</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unovčenj zavarovanja s premoženjem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V tej vrstici se razkrije učinek unovčenja kakršnega koli zavarovanja s premoženjem na bruto knjigovodsko vrednost instrumenta. Odlivi zaradi drugih postopkov unovčenja ali pravnih postopkov in prostovoljna prodaja premoženja se prav tako vključijo v to vrstico. Da ne bi prišlo do dvomov, </w:t>
            </w:r>
            <w:r>
              <w:rPr>
                <w:rFonts w:ascii="Times New Roman" w:hAnsi="Times New Roman"/>
                <w:sz w:val="24"/>
              </w:rPr>
              <w:lastRenderedPageBreak/>
              <w:t>upoštevajte, da se razkrije bruto knjigovodska vrednost instrumenta, vključno z vsemi morebitnimi povezanimi delnimi odpisi. Upoštevajte tudi, da odlivi morda ne bodo enaki vsoti neto kumulativnih povrnitev in delnih odpisov.</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 – stolpec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tej vrstici se razkrijejo povrnitve denarnih sredstev ali izterjave denarnih ustreznikov zaradi unovčenj zavarovanja s premoženjem (brez povezanih stroškov unovčenja zavarovanja s premoženjem).</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w:t>
            </w:r>
            <w:proofErr w:type="spellStart"/>
            <w:r>
              <w:rPr>
                <w:rFonts w:ascii="Times New Roman" w:hAnsi="Times New Roman"/>
                <w:b/>
                <w:sz w:val="24"/>
              </w:rPr>
              <w:t>priposestvovanja</w:t>
            </w:r>
            <w:proofErr w:type="spellEnd"/>
            <w:r>
              <w:rPr>
                <w:rFonts w:ascii="Times New Roman" w:hAnsi="Times New Roman"/>
                <w:b/>
                <w:sz w:val="24"/>
              </w:rPr>
              <w:t xml:space="preserve"> zavarovanja s premoženjem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V tej vrstici se razkrije učinek zasega kakršnega koli zavarovanja s premoženjem na bruto knjigovodsko vrednost instrumenta. </w:t>
            </w:r>
            <w:proofErr w:type="spellStart"/>
            <w:r>
              <w:rPr>
                <w:rFonts w:ascii="Times New Roman" w:hAnsi="Times New Roman"/>
                <w:sz w:val="24"/>
              </w:rPr>
              <w:t>Priposestvovanje</w:t>
            </w:r>
            <w:proofErr w:type="spellEnd"/>
            <w:r>
              <w:rPr>
                <w:rFonts w:ascii="Times New Roman" w:hAnsi="Times New Roman"/>
                <w:sz w:val="24"/>
              </w:rPr>
              <w:t xml:space="preserve"> pomeni prevzem zavarovanja z nedenarnimi sredstvi, nad katerim je institucija ali podrejena družba v skupini pridobila lastništvo in ki ga še ni prodala tretji osebi. V to kategorijo se vključijo tudi zamenjave dolga za sredstva, prostovoljni odstopi in zamenjave dolga za lastniški kapital. Da ne bi prišlo do dvomov, upoštevajte, da se razkrije bruto knjigovodska vrednost instrumenta, vključno z vsemi morebitnimi povezanimi delnimi odpisi. Upoštevajte tudi, da odlivi morda ne bodo enaki vsoti neto kumulativnih povrnitev in delnih odpisov.</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 stolpec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V tej vrstici se razkrije začetno pripoznanje v bilanci stanja institucije za pošteno vrednost zavarovanja s premoženjem v trenutku </w:t>
            </w:r>
            <w:proofErr w:type="spellStart"/>
            <w:r>
              <w:rPr>
                <w:rFonts w:ascii="Times New Roman" w:hAnsi="Times New Roman"/>
                <w:sz w:val="24"/>
              </w:rPr>
              <w:t>priposestvovanja</w:t>
            </w:r>
            <w:proofErr w:type="spellEnd"/>
            <w:r>
              <w:rPr>
                <w:rFonts w:ascii="Times New Roman" w:hAnsi="Times New Roman"/>
                <w:sz w:val="24"/>
              </w:rPr>
              <w:t xml:space="preserve">. Povrnitve denarnih sredstev ali izterjave denarnih ustreznikov zaradi </w:t>
            </w:r>
            <w:proofErr w:type="spellStart"/>
            <w:r>
              <w:rPr>
                <w:rFonts w:ascii="Times New Roman" w:hAnsi="Times New Roman"/>
                <w:sz w:val="24"/>
              </w:rPr>
              <w:t>priposestvovanja</w:t>
            </w:r>
            <w:proofErr w:type="spellEnd"/>
            <w:r>
              <w:rPr>
                <w:rFonts w:ascii="Times New Roman" w:hAnsi="Times New Roman"/>
                <w:sz w:val="24"/>
              </w:rPr>
              <w:t xml:space="preserve"> zavarovanja s premoženjem brez povezanih stroškov se ne vključijo v to vrstico, ampak se razkrijejo v vrstici „odliv zaradi odplačila kredita, delnega ali popolnega“.</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prodaje instrumentov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Spremembe skupnega stanja zaradi prodaje kreditov in drugih finančnih sredstev drugim institucijam z izjemo poslov znotraj skupine.</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Da ne bi prišlo do dvomov, naj institucije upoštevajo, da se razkrije bruto knjigovodska vrednost kreditov in drugih finančnih sredstev (vključno z vsemi morebitnimi povezanimi delnimi odpisi) in ne njihovo ovrednotenje ali cena v poslu. Institucije naj upoštevajo tudi, da odlivi morda ne bodo enaki vsoti neto kumulativnih povrnitev in delnih odpisov.</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 stolpec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 vrstico se vključijo povrnitve denarnih sredstev ali izterjave denarnih ustreznikov zaradi prodaje kreditov in drugih finančnih sredstev, brez stroškov prodaje.</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prenosov tveganja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Bruto zmanjšanje nedonosnih kreditov in drugih finančnih sredstev zaradi </w:t>
            </w:r>
            <w:proofErr w:type="spellStart"/>
            <w:r>
              <w:rPr>
                <w:rFonts w:ascii="Times New Roman" w:hAnsi="Times New Roman"/>
                <w:sz w:val="24"/>
              </w:rPr>
              <w:t>listinjenja</w:t>
            </w:r>
            <w:proofErr w:type="spellEnd"/>
            <w:r>
              <w:rPr>
                <w:rFonts w:ascii="Times New Roman" w:hAnsi="Times New Roman"/>
                <w:sz w:val="24"/>
              </w:rPr>
              <w:t xml:space="preserve"> ali drugih prenosov tveganja, ki izpolnjujejo pogoje za odpravo pripoznanja iz bilance stanja.</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Institucije naj upoštevajo, da odlivi morda ne bodo enaki vsoti neto kumulativnih povrnitev in delnih odpisov.</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090 – stolpec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Povezane neto kumulativne povrnitve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tej vrstici se razkrijejo povrnitve denarnih sredstev ali izterjave denarnih ustreznikov na podlagi odlivov zaradi prenosov pomembnega deleža tveganja.</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odpisov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Popolni ali delni odpisi skupnih kreditov in drugih finančnih sredstev, evidentirani v referenčnem obdobju.</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Odpis (popolni ali delni) predstavlja odpravo pripoznanja. Zato se bruto knjigovodska vrednost kreditov in drugih finančnih sredstev zmanjša za znesek odpisov. Da ne bi prišlo do dvomov, upoštevajte, da ta vrstica odraža spremembe bruto knjigovodske vrednosti kreditov in drugih finančnih sredstev, ne vključuje pa vseh morebitnih delnih odpisov, ki so že bili razkriti v prejšnjih vrsticah (ki so npr. povezani s prodajo kreditov in drugih finančnih sredstev, unovčenjem zavarovanja s premoženjem, </w:t>
            </w:r>
            <w:proofErr w:type="spellStart"/>
            <w:r>
              <w:rPr>
                <w:rFonts w:ascii="Times New Roman" w:hAnsi="Times New Roman"/>
                <w:sz w:val="24"/>
              </w:rPr>
              <w:t>priposestvovanjem</w:t>
            </w:r>
            <w:proofErr w:type="spellEnd"/>
            <w:r>
              <w:rPr>
                <w:rFonts w:ascii="Times New Roman" w:hAnsi="Times New Roman"/>
                <w:sz w:val="24"/>
              </w:rPr>
              <w:t xml:space="preserve"> zavarovanja s premoženjem ali prenosom pomembnega deleža tveganja). V to kategorijo se vključi tudi oprostitev dolga v okviru ukrepov </w:t>
            </w:r>
            <w:proofErr w:type="spellStart"/>
            <w:r>
              <w:rPr>
                <w:rFonts w:ascii="Times New Roman" w:hAnsi="Times New Roman"/>
                <w:sz w:val="24"/>
              </w:rPr>
              <w:t>restrukturiranja</w:t>
            </w:r>
            <w:proofErr w:type="spellEnd"/>
            <w:r>
              <w:rPr>
                <w:rFonts w:ascii="Times New Roman" w:hAnsi="Times New Roman"/>
                <w:sz w:val="24"/>
              </w:rPr>
              <w:t>, tj. odpisi, pri katerih se je znesek neporavnanega dolga dolžnika preklican (institucija se odpove pravici do njegove zakonite izterjave).</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drugih primerov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 to vrstico se vključijo vsa druga zmanjšanja knjigovodske vrednosti kreditov in drugih finančnih sredstev, ki niso zajeta z zgornjimi primeri. Te prilagoditve lahko na primer vključujejo spremembe menjalnih tečajev, druge ukrepe za zaprtje pozicije, prerazvrstitve med kategorijami sredstev itd. Kadar je znesek v tej kategoriji znaten, morajo institucije v besedilu, priloženem tej predlogi, zagotoviti dodatne informacije.</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Odliv zaradi prerazvrstitve kot v posesti za prodajo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Zmanjšanja knjigovodske vrednosti nedonosnih kreditov in drugih finančnih sredstev zaradi njihove prerazvrstitve med instrumente v posesti za prodajo.</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Končno stanje nedonosnih kreditov in drugih finančnih sredstev</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knjigovodska vrednost nedonosnih kreditov in drugih finančnih sredstev na referenčni datum razkritja.</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Bruto knjigovodska vrednost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Bruto knjigovodska vrednost, kot je opredeljena v odstavku 34 dela 1 Priloge V k Izvedbeni uredbi Komisije (EU) št. 680/2014.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lastRenderedPageBreak/>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Povezane neto kumulativne povrnitve</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Glejte opredelitve za vrstice v tej predlogi.</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Predloga EU CQ1: Kreditna kakovost </w:t>
      </w:r>
      <w:proofErr w:type="spellStart"/>
      <w:r>
        <w:rPr>
          <w:rFonts w:ascii="Times New Roman" w:hAnsi="Times New Roman"/>
          <w:b/>
          <w:sz w:val="24"/>
        </w:rPr>
        <w:t>restrukturiranih</w:t>
      </w:r>
      <w:proofErr w:type="spellEnd"/>
      <w:r>
        <w:rPr>
          <w:rFonts w:ascii="Times New Roman" w:hAnsi="Times New Roman"/>
          <w:b/>
          <w:sz w:val="24"/>
        </w:rPr>
        <w:t xml:space="preserve"> izpostavljenosti</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sz w:val="24"/>
        </w:rPr>
        <w:t>Institucije razkrijejo informacije iz člena 442(c)</w:t>
      </w:r>
      <w:r>
        <w:rPr>
          <w:rFonts w:ascii="Times New Roman" w:hAnsi="Times New Roman"/>
          <w:bCs/>
          <w:sz w:val="24"/>
        </w:rPr>
        <w:t xml:space="preserve"> CRR ob upoštevanju spodnjih navodil za izpolnjevanje predloge EU CQ1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Stanja na računih pri centralnih bankah in vloge na vpogled pri bankah</w:t>
            </w:r>
          </w:p>
          <w:p w14:paraId="74D7D3EC" w14:textId="77777777" w:rsidR="004E71F4" w:rsidRPr="007F4CC8" w:rsidRDefault="004E71F4" w:rsidP="00155C96">
            <w:pPr>
              <w:pStyle w:val="Applicationdirecte"/>
              <w:spacing w:before="0"/>
            </w:pPr>
            <w:r>
              <w:t>Institucije razkrijejo te informacije v skladu z informacijami, ki se poročajo v prilogah III in IV k Izvedbeni uredbi Komisije (EU) št. 680/2014.</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Krediti in druga finančna sredstva</w:t>
            </w:r>
          </w:p>
          <w:p w14:paraId="707B1F64" w14:textId="77777777" w:rsidR="004E71F4" w:rsidRPr="007F4CC8" w:rsidRDefault="004E71F4" w:rsidP="00155C96">
            <w:pPr>
              <w:pStyle w:val="Applicationdirecte"/>
              <w:spacing w:before="0"/>
            </w:pPr>
            <w:r>
              <w:t>Glej opredelitev v predlogi EU-CR1: Donosne in nedonosne izpostavljenosti ter povezane rezervacije.</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020–070</w:t>
            </w:r>
          </w:p>
        </w:tc>
        <w:tc>
          <w:tcPr>
            <w:tcW w:w="7655" w:type="dxa"/>
          </w:tcPr>
          <w:p w14:paraId="08490743" w14:textId="77777777" w:rsidR="004E71F4" w:rsidRPr="007F4CC8" w:rsidRDefault="004E71F4" w:rsidP="00155C96">
            <w:pPr>
              <w:pStyle w:val="Applicationdirecte"/>
              <w:spacing w:before="0"/>
              <w:rPr>
                <w:b/>
              </w:rPr>
            </w:pPr>
            <w:r>
              <w:rPr>
                <w:b/>
              </w:rPr>
              <w:t>Razčlenitev po nasprotnih strankah</w:t>
            </w:r>
          </w:p>
          <w:p w14:paraId="74A846B7" w14:textId="77777777" w:rsidR="004E71F4" w:rsidRPr="007F4CC8" w:rsidRDefault="004E71F4" w:rsidP="00155C96">
            <w:pPr>
              <w:pStyle w:val="Applicationdirecte"/>
              <w:spacing w:before="0"/>
            </w:pPr>
            <w:r>
              <w:t>Institucije uporabijo razčlenitev po nasprotnih strankah, kot je določena v odstavku 42 dela 1 Priloge V k Izvedbeni uredbi Komisije (EU) št. 680/2014.</w:t>
            </w:r>
          </w:p>
          <w:p w14:paraId="76ADCF37" w14:textId="77777777" w:rsidR="004E71F4" w:rsidRPr="007F4CC8" w:rsidRDefault="004E71F4" w:rsidP="00155C96">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 Pri drugih razvrstitvah se porazdelitev skupno nastalih izpostavljenosti sektorja nasprotne stranke, država sedeža in oznake NACE določijo na podlagi značilnosti pomembnejšega ali odločilnejšega dolžnika.</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Dolžniški vrednostni papirji</w:t>
            </w:r>
          </w:p>
          <w:p w14:paraId="0B5E936A" w14:textId="77777777" w:rsidR="004E71F4" w:rsidRPr="007F4CC8" w:rsidRDefault="004E71F4" w:rsidP="00155C96">
            <w:pPr>
              <w:pStyle w:val="Applicationdirecte"/>
              <w:spacing w:before="0"/>
            </w:pPr>
            <w:r>
              <w:t>Glej opredelitev v predlogi EU-CR1: Donosne in nedonosne izpostavljenosti ter povezane rezervacije.</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Prevzete obveznosti iz kreditov</w:t>
            </w:r>
          </w:p>
          <w:p w14:paraId="7B6AB76A" w14:textId="77777777" w:rsidR="004E71F4" w:rsidRPr="007F4CC8" w:rsidRDefault="004E71F4" w:rsidP="00155C96">
            <w:pPr>
              <w:pStyle w:val="Fait"/>
              <w:spacing w:before="0" w:after="120"/>
            </w:pPr>
            <w:r>
              <w:t>Razkrije se nominalni znesek, kot je opredeljen v odstavku 118 dela 2 Priloge V k Izvedbeni uredbi Komisije (EU) št. 680/2014, za prevzete obveznosti iz kreditov.</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 xml:space="preserve">Bruto knjigovodska vrednost / nominalni znesek izpostavljenosti z ukrepi </w:t>
            </w:r>
            <w:proofErr w:type="spellStart"/>
            <w:r>
              <w:rPr>
                <w:b/>
              </w:rPr>
              <w:t>restrukturiranja</w:t>
            </w:r>
            <w:proofErr w:type="spellEnd"/>
            <w:r>
              <w:rPr>
                <w:b/>
              </w:rPr>
              <w:t xml:space="preserve"> – od tega donosne </w:t>
            </w:r>
            <w:proofErr w:type="spellStart"/>
            <w:r>
              <w:rPr>
                <w:b/>
              </w:rPr>
              <w:t>restrukturirane</w:t>
            </w:r>
            <w:proofErr w:type="spellEnd"/>
          </w:p>
          <w:p w14:paraId="13725C9F" w14:textId="77777777" w:rsidR="004E71F4" w:rsidRPr="007F4CC8" w:rsidRDefault="004E71F4" w:rsidP="00155C96">
            <w:pPr>
              <w:pStyle w:val="Institutionquisigne"/>
              <w:spacing w:before="0" w:after="120"/>
            </w:pPr>
            <w:r>
              <w:rPr>
                <w:i w:val="0"/>
              </w:rPr>
              <w:t xml:space="preserve">Bruto knjigovodska vrednost, kot je opredeljena v odstavku 34 dela 1 Priloge V k Izvedbeni uredbi Komisije (EU) št. 680/2014; nominalni znesek, kot je opredeljen v odstavku 118 dela 2 Priloge V k Izvedbeni uredbi Komisije (EU) št. 680/2014; izpostavljenosti z ukrepi </w:t>
            </w:r>
            <w:proofErr w:type="spellStart"/>
            <w:r>
              <w:rPr>
                <w:i w:val="0"/>
              </w:rPr>
              <w:t>restrukturiranja</w:t>
            </w:r>
            <w:proofErr w:type="spellEnd"/>
            <w:r>
              <w:rPr>
                <w:i w:val="0"/>
              </w:rPr>
              <w:t>, kot so opredeljeni v členu 47b CRR.</w:t>
            </w:r>
          </w:p>
          <w:p w14:paraId="25580945" w14:textId="77777777" w:rsidR="004E71F4" w:rsidRPr="007F4CC8" w:rsidRDefault="004E71F4" w:rsidP="00155C96">
            <w:pPr>
              <w:pStyle w:val="Fait"/>
              <w:spacing w:before="0" w:after="120"/>
            </w:pPr>
            <w:r>
              <w:t>Bruto knjigovodska vrednost v zvezi z izpostavljenostmi, ki so predmet oslabitve, je neto akumulirani znesek delnih in popolnih odpisov.</w:t>
            </w:r>
          </w:p>
          <w:p w14:paraId="3D6856D0" w14:textId="77777777" w:rsidR="004E71F4" w:rsidRPr="007F4CC8" w:rsidRDefault="004E71F4" w:rsidP="00155C96">
            <w:pPr>
              <w:pStyle w:val="Institutionquisigne"/>
              <w:spacing w:before="0" w:after="120"/>
              <w:rPr>
                <w:rFonts w:eastAsiaTheme="minorEastAsia"/>
                <w:i w:val="0"/>
              </w:rPr>
            </w:pPr>
            <w:proofErr w:type="spellStart"/>
            <w:r>
              <w:rPr>
                <w:i w:val="0"/>
              </w:rPr>
              <w:t>Restrukturirane</w:t>
            </w:r>
            <w:proofErr w:type="spellEnd"/>
            <w:r>
              <w:rPr>
                <w:i w:val="0"/>
              </w:rPr>
              <w:t xml:space="preserve"> izpostavljenosti se lahko glede na to, ali izpolnjujejo zahtevane pogoje iz člena 47a CRR, opredelijo kot donosne ali nedonosne.</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 xml:space="preserve">Bruto knjigovodska vrednost / nominalni znesek izpostavljenosti z ukrepi </w:t>
            </w:r>
            <w:proofErr w:type="spellStart"/>
            <w:r>
              <w:rPr>
                <w:b/>
              </w:rPr>
              <w:t>restrukturiranja</w:t>
            </w:r>
            <w:proofErr w:type="spellEnd"/>
            <w:r>
              <w:rPr>
                <w:b/>
              </w:rPr>
              <w:t xml:space="preserve"> – od tega nedonosne </w:t>
            </w:r>
            <w:proofErr w:type="spellStart"/>
            <w:r>
              <w:rPr>
                <w:b/>
              </w:rPr>
              <w:t>restrukturirane</w:t>
            </w:r>
            <w:proofErr w:type="spellEnd"/>
          </w:p>
          <w:p w14:paraId="7C4FC6F8" w14:textId="77777777" w:rsidR="004E71F4" w:rsidRPr="007F4CC8" w:rsidRDefault="004E71F4" w:rsidP="00155C96">
            <w:pPr>
              <w:pStyle w:val="Institutionquisigne"/>
              <w:spacing w:before="0" w:after="120"/>
              <w:rPr>
                <w:i w:val="0"/>
              </w:rPr>
            </w:pPr>
            <w:r>
              <w:rPr>
                <w:i w:val="0"/>
              </w:rPr>
              <w:t>Bruto knjigovodska vrednost, kot je opredeljena v odstavku 34 dela 1 Priloge V k Izvedbeni uredbi Komisije (EU) št. 680/2014; nominalni znesek, kot je opredeljen v odstavku 118 dela 2 Priloge V k Izvedbeni uredbi Komisije (EU) št. 680/2014.</w:t>
            </w:r>
          </w:p>
          <w:p w14:paraId="1B91069E" w14:textId="77777777" w:rsidR="004E71F4" w:rsidRPr="007F4CC8" w:rsidRDefault="004E71F4" w:rsidP="00155C96">
            <w:pPr>
              <w:pStyle w:val="Fait"/>
              <w:spacing w:before="0" w:after="120"/>
            </w:pPr>
            <w:r>
              <w:t>Bruto knjigovodska vrednost v zvezi z izpostavljenostmi, ki so predmet oslabitve, je neto akumulirani znesek delnih in popolnih odpisov.</w:t>
            </w:r>
          </w:p>
          <w:p w14:paraId="25B78BE1" w14:textId="77777777" w:rsidR="004E71F4" w:rsidRPr="007F4CC8" w:rsidRDefault="004E71F4" w:rsidP="00155C96">
            <w:pPr>
              <w:pStyle w:val="Fait"/>
              <w:spacing w:before="0" w:after="120"/>
            </w:pPr>
            <w:r>
              <w:t xml:space="preserve">Nedonosne izpostavljenosti z ukrepi </w:t>
            </w:r>
            <w:proofErr w:type="spellStart"/>
            <w:r>
              <w:t>restrukturiranja</w:t>
            </w:r>
            <w:proofErr w:type="spellEnd"/>
            <w:r>
              <w:t xml:space="preserve"> (nedonosne </w:t>
            </w:r>
            <w:proofErr w:type="spellStart"/>
            <w:r>
              <w:t>restrukturirane</w:t>
            </w:r>
            <w:proofErr w:type="spellEnd"/>
            <w:r>
              <w:t xml:space="preserve"> izpostavljenosti) so sestavljene iz </w:t>
            </w:r>
            <w:proofErr w:type="spellStart"/>
            <w:r>
              <w:t>restrukturiranih</w:t>
            </w:r>
            <w:proofErr w:type="spellEnd"/>
            <w:r>
              <w:t xml:space="preserve"> izpostavljenosti, ki izpolnjujejo merila za obravnavo kot nedonosne in so vključene v kategorijo nedonosnih izpostavljenosti. Te nedonosne </w:t>
            </w:r>
            <w:proofErr w:type="spellStart"/>
            <w:r>
              <w:t>restrukturirane</w:t>
            </w:r>
            <w:proofErr w:type="spellEnd"/>
            <w:r>
              <w:t xml:space="preserve"> izpostavljenosti vključujejo naslednje: (a) izpostavljenosti, ki so postale nedonosne zaradi uporabe ukrepov </w:t>
            </w:r>
            <w:proofErr w:type="spellStart"/>
            <w:r>
              <w:t>restrukturiranja</w:t>
            </w:r>
            <w:proofErr w:type="spellEnd"/>
            <w:r>
              <w:t xml:space="preserve">; (b) izpostavljenosti, ki so bile nedonosne pred izvedbo ukrepov </w:t>
            </w:r>
            <w:proofErr w:type="spellStart"/>
            <w:r>
              <w:t>restrukturiranja</w:t>
            </w:r>
            <w:proofErr w:type="spellEnd"/>
            <w:r>
              <w:t xml:space="preserve">; (c) </w:t>
            </w:r>
            <w:proofErr w:type="spellStart"/>
            <w:r>
              <w:t>restrukturirane</w:t>
            </w:r>
            <w:proofErr w:type="spellEnd"/>
            <w:r>
              <w:t xml:space="preserve"> izpostavljenosti, ki so bile prerazvrščene iz kategorije donosnih, vključno z izpostavljenostmi, </w:t>
            </w:r>
            <w:proofErr w:type="spellStart"/>
            <w:r>
              <w:t>prerazvrščenimi</w:t>
            </w:r>
            <w:proofErr w:type="spellEnd"/>
            <w:r>
              <w:t xml:space="preserve"> v skladu s členom 47a CRR.</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Od tega neplačane</w:t>
            </w:r>
          </w:p>
          <w:p w14:paraId="088A6CD1" w14:textId="77777777" w:rsidR="004E71F4" w:rsidRPr="007F4CC8" w:rsidRDefault="004E71F4" w:rsidP="00155C96">
            <w:pPr>
              <w:pStyle w:val="Fait"/>
              <w:spacing w:before="0" w:after="120"/>
              <w:rPr>
                <w:rFonts w:eastAsiaTheme="minorEastAsia"/>
              </w:rPr>
            </w:pPr>
            <w:proofErr w:type="spellStart"/>
            <w:r>
              <w:t>Restrukturirane</w:t>
            </w:r>
            <w:proofErr w:type="spellEnd"/>
            <w:r>
              <w:t xml:space="preserve"> izpostavljenosti, ki so razvrščene tudi kot neplačane v skladu s členom 178 uredbe CRR.</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Od tega oslabljene</w:t>
            </w:r>
          </w:p>
          <w:p w14:paraId="0464B764" w14:textId="77777777" w:rsidR="004E71F4" w:rsidRPr="007F4CC8" w:rsidRDefault="004E71F4" w:rsidP="00155C96">
            <w:pPr>
              <w:pStyle w:val="Fait"/>
              <w:spacing w:before="0" w:after="120"/>
              <w:rPr>
                <w:rFonts w:eastAsiaTheme="minorEastAsia"/>
              </w:rPr>
            </w:pPr>
            <w:proofErr w:type="spellStart"/>
            <w:r>
              <w:t>Restrukturirane</w:t>
            </w:r>
            <w:proofErr w:type="spellEnd"/>
            <w:r>
              <w:t xml:space="preserve"> izpostavljenosti, ki so tudi oslabljene v skladu z veljavnim računovodskim okvirom na podlagi odstavka 215 dela 2 Priloge V k Izvedbeni uredbi Komisije (EU) št. 680/2014.</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Akumulirane oslabitve, akumulirane negativne spremembe poštene vrednosti zaradi kreditnega tveganja in rezervacije v zvezi z donosnimi </w:t>
            </w:r>
            <w:proofErr w:type="spellStart"/>
            <w:r>
              <w:rPr>
                <w:rFonts w:ascii="Times New Roman" w:hAnsi="Times New Roman"/>
                <w:b/>
                <w:sz w:val="24"/>
              </w:rPr>
              <w:t>restrukturiranimi</w:t>
            </w:r>
            <w:proofErr w:type="spellEnd"/>
            <w:r>
              <w:rPr>
                <w:rFonts w:ascii="Times New Roman" w:hAnsi="Times New Roman"/>
                <w:b/>
                <w:sz w:val="24"/>
              </w:rPr>
              <w:t xml:space="preserve"> izpostavljenostmi</w:t>
            </w:r>
          </w:p>
          <w:p w14:paraId="0BC0E204" w14:textId="77777777" w:rsidR="004E71F4" w:rsidRPr="007F4CC8" w:rsidRDefault="004E71F4" w:rsidP="00155C96">
            <w:pPr>
              <w:pStyle w:val="Fait"/>
              <w:spacing w:before="0" w:after="120"/>
            </w:pPr>
            <w:r>
              <w:lastRenderedPageBreak/>
              <w:t xml:space="preserve">Izpostavljenosti z ukrepi </w:t>
            </w:r>
            <w:proofErr w:type="spellStart"/>
            <w:r>
              <w:t>restrukturiranja</w:t>
            </w:r>
            <w:proofErr w:type="spellEnd"/>
            <w:r>
              <w:t xml:space="preserve">, kot so opredeljeni v členu 47b CRR. </w:t>
            </w:r>
          </w:p>
          <w:p w14:paraId="01AB5B78" w14:textId="77777777" w:rsidR="004E71F4" w:rsidRPr="007F4CC8" w:rsidRDefault="004E71F4" w:rsidP="00155C96">
            <w:pPr>
              <w:pStyle w:val="Fait"/>
              <w:spacing w:before="0" w:after="120"/>
            </w:pPr>
            <w:r>
              <w:t>Institucije vključijo zneske, določene v skladu z odstavki 11, 69 do 71, 106 in 110 dela 2 Priloge V k Izvedbeni uredbi Komisije (EU) št. 680/2014.</w:t>
            </w:r>
          </w:p>
          <w:p w14:paraId="25E0BDEC" w14:textId="77777777" w:rsidR="004E71F4" w:rsidRPr="007F4CC8" w:rsidRDefault="004E71F4" w:rsidP="00155C96">
            <w:pPr>
              <w:pStyle w:val="Fait"/>
              <w:spacing w:before="0" w:after="120"/>
              <w:rPr>
                <w:rFonts w:eastAsiaTheme="minorEastAsia"/>
              </w:rPr>
            </w:pPr>
            <w:proofErr w:type="spellStart"/>
            <w:r>
              <w:t>Restrukturirane</w:t>
            </w:r>
            <w:proofErr w:type="spellEnd"/>
            <w:r>
              <w:t xml:space="preserve"> izpostavljenosti se lahko glede na to, ali izpolnjujejo zahtevane pogoje iz členov 47a in 47b CRR, opredelijo kot donosne ali nedonosne.</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lastRenderedPageBreak/>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Akumulirane oslabitve, akumulirane negativne spremembe poštene vrednosti zaradi kreditnega tveganja in rezervacije v zvezi z nedonosnimi </w:t>
            </w:r>
            <w:proofErr w:type="spellStart"/>
            <w:r>
              <w:rPr>
                <w:rFonts w:ascii="Times New Roman" w:hAnsi="Times New Roman"/>
                <w:b/>
                <w:sz w:val="24"/>
              </w:rPr>
              <w:t>restrukturiranimi</w:t>
            </w:r>
            <w:proofErr w:type="spellEnd"/>
            <w:r>
              <w:rPr>
                <w:rFonts w:ascii="Times New Roman" w:hAnsi="Times New Roman"/>
                <w:b/>
                <w:sz w:val="24"/>
              </w:rPr>
              <w:t xml:space="preserve"> izpostavljenostmi</w:t>
            </w:r>
          </w:p>
          <w:p w14:paraId="25B80717" w14:textId="77777777" w:rsidR="004E71F4" w:rsidRPr="007F4CC8" w:rsidRDefault="004E71F4" w:rsidP="00155C96">
            <w:pPr>
              <w:pStyle w:val="Fait"/>
              <w:spacing w:before="0" w:after="120"/>
            </w:pPr>
            <w:r>
              <w:t>To vključuje zneske, določene v skladu z odstavki 11, 69 do 71, 106 in 110 dela 2 Priloge V k Izvedbeni uredbi Komisije (EU) št. 680/2014.</w:t>
            </w:r>
          </w:p>
          <w:p w14:paraId="1FF4CC1B" w14:textId="77777777" w:rsidR="004E71F4" w:rsidRPr="007F4CC8" w:rsidRDefault="004E71F4" w:rsidP="00155C96">
            <w:pPr>
              <w:pStyle w:val="Fait"/>
              <w:spacing w:before="0" w:after="120"/>
              <w:rPr>
                <w:rFonts w:eastAsiaTheme="minorEastAsia"/>
              </w:rPr>
            </w:pPr>
            <w:r>
              <w:t xml:space="preserve">Nedonosne izpostavljenosti z ukrepi </w:t>
            </w:r>
            <w:proofErr w:type="spellStart"/>
            <w:r>
              <w:t>restrukturiranja</w:t>
            </w:r>
            <w:proofErr w:type="spellEnd"/>
            <w:r>
              <w:t xml:space="preserve"> (nedonosne </w:t>
            </w:r>
            <w:proofErr w:type="spellStart"/>
            <w:r>
              <w:t>restrukturirane</w:t>
            </w:r>
            <w:proofErr w:type="spellEnd"/>
            <w:r>
              <w:t xml:space="preserve"> izpostavljenosti) so sestavljene iz </w:t>
            </w:r>
            <w:proofErr w:type="spellStart"/>
            <w:r>
              <w:t>restrukturiranih</w:t>
            </w:r>
            <w:proofErr w:type="spellEnd"/>
            <w:r>
              <w:t xml:space="preserve"> izpostavljenosti, ki izpolnjujejo merila za obravnavo kot nedonosne in so vključene v kategorijo nedonosnih izpostavljenosti. Te nedonosne </w:t>
            </w:r>
            <w:proofErr w:type="spellStart"/>
            <w:r>
              <w:t>restrukturirane</w:t>
            </w:r>
            <w:proofErr w:type="spellEnd"/>
            <w:r>
              <w:t xml:space="preserve"> izpostavljenosti vključujejo naslednje: (a) izpostavljenosti, ki so postale nedonosne zaradi uporabe ukrepov </w:t>
            </w:r>
            <w:proofErr w:type="spellStart"/>
            <w:r>
              <w:t>restrukturiranja</w:t>
            </w:r>
            <w:proofErr w:type="spellEnd"/>
            <w:r>
              <w:t xml:space="preserve">; (b) izpostavljenosti, ki so bile nedonosne pred izvedbo ukrepov </w:t>
            </w:r>
            <w:proofErr w:type="spellStart"/>
            <w:r>
              <w:t>restrukturiranja</w:t>
            </w:r>
            <w:proofErr w:type="spellEnd"/>
            <w:r>
              <w:t xml:space="preserve">; (c) </w:t>
            </w:r>
            <w:proofErr w:type="spellStart"/>
            <w:r>
              <w:t>restrukturirane</w:t>
            </w:r>
            <w:proofErr w:type="spellEnd"/>
            <w:r>
              <w:t xml:space="preserve"> izpostavljenosti, ki so bile prerazvrščene iz kategorije donosnih, vključno z izpostavljenostmi, </w:t>
            </w:r>
            <w:proofErr w:type="spellStart"/>
            <w:r>
              <w:t>prerazvrščenimi</w:t>
            </w:r>
            <w:proofErr w:type="spellEnd"/>
            <w:r>
              <w:t xml:space="preserve"> v skladu s členom 47a CRR.</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 xml:space="preserve">Prejeto zavarovanje s premoženjem in prejeta finančna poroštva za </w:t>
            </w:r>
            <w:proofErr w:type="spellStart"/>
            <w:r>
              <w:rPr>
                <w:b/>
              </w:rPr>
              <w:t>restrukturirane</w:t>
            </w:r>
            <w:proofErr w:type="spellEnd"/>
            <w:r>
              <w:rPr>
                <w:b/>
              </w:rPr>
              <w:t xml:space="preserve"> izpostavljenosti</w:t>
            </w:r>
          </w:p>
          <w:p w14:paraId="141099E9" w14:textId="77777777" w:rsidR="004E71F4" w:rsidRPr="007F4CC8" w:rsidRDefault="004E71F4" w:rsidP="00155C96">
            <w:pPr>
              <w:pStyle w:val="Fait"/>
              <w:spacing w:before="0" w:after="120"/>
              <w:rPr>
                <w:rFonts w:eastAsiaTheme="minorEastAsia"/>
              </w:rPr>
            </w:pPr>
            <w:r>
              <w:t xml:space="preserve">To se razkrije za vse izpostavljenosti z ukrepi </w:t>
            </w:r>
            <w:proofErr w:type="spellStart"/>
            <w:r>
              <w:t>restrukturiranja</w:t>
            </w:r>
            <w:proofErr w:type="spellEnd"/>
            <w:r>
              <w:t xml:space="preserve"> ne glede na njihov status donosnosti oziroma nedonosnosti. 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 xml:space="preserve">Od tega prejeto zavarovanje s premoženjem in finančna poroštva za nedonosne izpostavljenosti z ukrepi </w:t>
            </w:r>
            <w:proofErr w:type="spellStart"/>
            <w:r>
              <w:rPr>
                <w:b/>
              </w:rPr>
              <w:t>restrukturiranja</w:t>
            </w:r>
            <w:proofErr w:type="spellEnd"/>
          </w:p>
          <w:p w14:paraId="654570CA" w14:textId="77777777" w:rsidR="004E71F4" w:rsidRPr="007F4CC8" w:rsidRDefault="004E71F4" w:rsidP="00155C96">
            <w:pPr>
              <w:pStyle w:val="Fait"/>
              <w:spacing w:before="0" w:after="120"/>
            </w:pPr>
            <w:r>
              <w:t>Zneski za prejeto zavarovanje s premoženjem in prejeta finančna poroštva se izračunajo v skladu z odstavkom 239 dela 2 Priloge V k Izvedbeni uredbi Komisije (EU) št. 680/2014. Zgornja meja vsote zneskov za zavarovanje s premoženjem in poroštva je knjigovodska vrednost povezane izpostavljenosti.</w:t>
            </w:r>
          </w:p>
          <w:p w14:paraId="3404E1BB" w14:textId="77777777" w:rsidR="004E71F4" w:rsidRPr="007F4CC8" w:rsidRDefault="004E71F4" w:rsidP="00155C96">
            <w:pPr>
              <w:pStyle w:val="Fait"/>
              <w:spacing w:before="0" w:after="120"/>
              <w:rPr>
                <w:rFonts w:eastAsiaTheme="minorEastAsia"/>
              </w:rPr>
            </w:pPr>
            <w:r>
              <w:t xml:space="preserve">Nedonosne izpostavljenosti z ukrepi </w:t>
            </w:r>
            <w:proofErr w:type="spellStart"/>
            <w:r>
              <w:t>restrukturiranja</w:t>
            </w:r>
            <w:proofErr w:type="spellEnd"/>
            <w:r>
              <w:t xml:space="preserve"> (nedonosne </w:t>
            </w:r>
            <w:proofErr w:type="spellStart"/>
            <w:r>
              <w:t>restrukturirane</w:t>
            </w:r>
            <w:proofErr w:type="spellEnd"/>
            <w:r>
              <w:t xml:space="preserve"> izpostavljenosti) so sestavljene iz </w:t>
            </w:r>
            <w:proofErr w:type="spellStart"/>
            <w:r>
              <w:t>restrukturiranih</w:t>
            </w:r>
            <w:proofErr w:type="spellEnd"/>
            <w:r>
              <w:t xml:space="preserve"> izpostavljenosti, ki izpolnjujejo merila za obravnavo kot nedonosne in so vključene v kategorijo nedonosnih izpostavljenosti. Te nedonosne </w:t>
            </w:r>
            <w:proofErr w:type="spellStart"/>
            <w:r>
              <w:t>restrukturirane</w:t>
            </w:r>
            <w:proofErr w:type="spellEnd"/>
            <w:r>
              <w:t xml:space="preserve"> izpostavljenosti vključujejo naslednje: (a) izpostavljenosti, ki so postale nedonosne zaradi uporabe ukrepov </w:t>
            </w:r>
            <w:proofErr w:type="spellStart"/>
            <w:r>
              <w:t>restrukturiranja</w:t>
            </w:r>
            <w:proofErr w:type="spellEnd"/>
            <w:r>
              <w:t xml:space="preserve">; (b) izpostavljenosti, ki so bile nedonosne pred izvedbo ukrepov </w:t>
            </w:r>
            <w:proofErr w:type="spellStart"/>
            <w:r>
              <w:t>restrukturiranja</w:t>
            </w:r>
            <w:proofErr w:type="spellEnd"/>
            <w:r>
              <w:t xml:space="preserve">; (c) </w:t>
            </w:r>
            <w:proofErr w:type="spellStart"/>
            <w:r>
              <w:t>restrukturirane</w:t>
            </w:r>
            <w:proofErr w:type="spellEnd"/>
            <w:r>
              <w:t xml:space="preserve"> izpostavljenosti, ki so bile prerazvrščene iz kategorije </w:t>
            </w:r>
            <w:r>
              <w:lastRenderedPageBreak/>
              <w:t xml:space="preserve">donosnih, vključno z izpostavljenostmi, </w:t>
            </w:r>
            <w:proofErr w:type="spellStart"/>
            <w:r>
              <w:t>prerazvrščenimi</w:t>
            </w:r>
            <w:proofErr w:type="spellEnd"/>
            <w:r>
              <w:t xml:space="preserve"> v skladu s členom 47a CRR.</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Predloga EU CQ2: Kakovost </w:t>
      </w:r>
      <w:proofErr w:type="spellStart"/>
      <w:r>
        <w:rPr>
          <w:rFonts w:ascii="Times New Roman" w:hAnsi="Times New Roman"/>
          <w:b/>
          <w:sz w:val="24"/>
        </w:rPr>
        <w:t>restrukturiranja</w:t>
      </w:r>
      <w:proofErr w:type="spellEnd"/>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bCs/>
          <w:sz w:val="24"/>
        </w:rPr>
        <w:t>Institucije razkrijejo informacije iz člena 442(c) CRR ob upoštevanju navodil iz te priloge za izpolnjevanje predloge EU CQ2 iz Priloge XV k tej izvedbeni uredbi.</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 xml:space="preserve">Krediti in druga finančna sredstva, ki so bili </w:t>
            </w:r>
            <w:proofErr w:type="spellStart"/>
            <w:r>
              <w:rPr>
                <w:b/>
              </w:rPr>
              <w:t>restrukturirani</w:t>
            </w:r>
            <w:proofErr w:type="spellEnd"/>
            <w:r>
              <w:rPr>
                <w:b/>
              </w:rPr>
              <w:t xml:space="preserve"> več kot dvakrat</w:t>
            </w:r>
          </w:p>
          <w:p w14:paraId="6246E853" w14:textId="77777777" w:rsidR="004E71F4" w:rsidRPr="007F4CC8" w:rsidRDefault="004E71F4" w:rsidP="00155C96">
            <w:pPr>
              <w:pStyle w:val="Fait"/>
              <w:spacing w:before="0" w:after="120"/>
            </w:pPr>
            <w:r>
              <w:t xml:space="preserve">Bruto knjigovodska vrednost kreditov in drugih finančnih sredstev, za katere so bili ukrepi </w:t>
            </w:r>
            <w:proofErr w:type="spellStart"/>
            <w:r>
              <w:t>restrukturiranja</w:t>
            </w:r>
            <w:proofErr w:type="spellEnd"/>
            <w:r>
              <w:t xml:space="preserve"> odobreni več kot dvakrat.</w:t>
            </w:r>
          </w:p>
          <w:p w14:paraId="554BA266" w14:textId="77777777" w:rsidR="004E71F4" w:rsidRPr="007F4CC8" w:rsidRDefault="004E71F4" w:rsidP="00155C96">
            <w:pPr>
              <w:pStyle w:val="Fait"/>
              <w:spacing w:before="0" w:after="120"/>
            </w:pPr>
            <w:r>
              <w:t xml:space="preserve">Krediti in druga finančna sredstva, za katere je bilo odobreno </w:t>
            </w:r>
            <w:proofErr w:type="spellStart"/>
            <w:r>
              <w:t>restrukturiranje</w:t>
            </w:r>
            <w:proofErr w:type="spellEnd"/>
            <w:r>
              <w:t xml:space="preserve"> in ki so bili izključeni iz kategorije </w:t>
            </w:r>
            <w:proofErr w:type="spellStart"/>
            <w:r>
              <w:t>restrukturiranih</w:t>
            </w:r>
            <w:proofErr w:type="spellEnd"/>
            <w:r>
              <w:t xml:space="preserve"> (</w:t>
            </w:r>
            <w:proofErr w:type="spellStart"/>
            <w:r>
              <w:t>restrukturirani</w:t>
            </w:r>
            <w:proofErr w:type="spellEnd"/>
            <w:r>
              <w:t xml:space="preserve"> krediti in druga finančna sredstva, ki so okrevali), se prav tako vključijo tukaj, kadar je bil odobren nov ukrep </w:t>
            </w:r>
            <w:proofErr w:type="spellStart"/>
            <w:r>
              <w:t>restrukturiranja</w:t>
            </w:r>
            <w:proofErr w:type="spellEnd"/>
            <w:r>
              <w:t>.</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Nedonosni </w:t>
            </w:r>
            <w:proofErr w:type="spellStart"/>
            <w:r>
              <w:rPr>
                <w:rFonts w:ascii="Times New Roman" w:hAnsi="Times New Roman"/>
                <w:b/>
                <w:sz w:val="24"/>
              </w:rPr>
              <w:t>restrukturirani</w:t>
            </w:r>
            <w:proofErr w:type="spellEnd"/>
            <w:r>
              <w:rPr>
                <w:rFonts w:ascii="Times New Roman" w:hAnsi="Times New Roman"/>
                <w:b/>
                <w:sz w:val="24"/>
              </w:rPr>
              <w:t xml:space="preserve"> krediti in druga finančna sredstva, ki niso izpolnili meril za prenehanje razvrstitve kot nedonosni</w:t>
            </w:r>
          </w:p>
          <w:p w14:paraId="651BEEE0" w14:textId="77777777" w:rsidR="004E71F4" w:rsidRPr="007F4CC8" w:rsidRDefault="004E71F4" w:rsidP="00155C96">
            <w:pPr>
              <w:pStyle w:val="Fait"/>
              <w:spacing w:before="0" w:after="120"/>
              <w:rPr>
                <w:b/>
              </w:rPr>
            </w:pPr>
            <w:r>
              <w:t xml:space="preserve">Bruto knjigovodska vrednost nedonosnih </w:t>
            </w:r>
            <w:proofErr w:type="spellStart"/>
            <w:r>
              <w:t>restrukturiranih</w:t>
            </w:r>
            <w:proofErr w:type="spellEnd"/>
            <w:r>
              <w:t xml:space="preserve"> kreditov in drugih finančnih sredstev, ki so v kategoriji nedonosnih </w:t>
            </w:r>
            <w:proofErr w:type="spellStart"/>
            <w:r>
              <w:t>restrukturiranih</w:t>
            </w:r>
            <w:proofErr w:type="spellEnd"/>
            <w:r>
              <w:t xml:space="preserve"> kreditov in drugih finančnih sredstev v enoletnem obdobju okrevanja ter ki niso izpolnili pogojev ukrepov </w:t>
            </w:r>
            <w:proofErr w:type="spellStart"/>
            <w:r>
              <w:t>restrukturiranja</w:t>
            </w:r>
            <w:proofErr w:type="spellEnd"/>
            <w:r>
              <w:t xml:space="preserve"> po 12-mesečnem obdobju okrevanja in tako niso uspeli preiti na status donosnih </w:t>
            </w:r>
            <w:proofErr w:type="spellStart"/>
            <w:r>
              <w:t>restrukturiranih</w:t>
            </w:r>
            <w:proofErr w:type="spellEnd"/>
            <w:r>
              <w:t xml:space="preserve">, ampak so ohranili status nedonosnih </w:t>
            </w:r>
            <w:proofErr w:type="spellStart"/>
            <w:r>
              <w:t>restrukturiranih</w:t>
            </w:r>
            <w:proofErr w:type="spellEnd"/>
            <w:r>
              <w:t xml:space="preserve"> v obdobju okrevanja.</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 xml:space="preserve">Bruto knjigovodska vrednost </w:t>
            </w:r>
            <w:proofErr w:type="spellStart"/>
            <w:r>
              <w:rPr>
                <w:b/>
              </w:rPr>
              <w:t>restrukturiranih</w:t>
            </w:r>
            <w:proofErr w:type="spellEnd"/>
            <w:r>
              <w:rPr>
                <w:b/>
              </w:rPr>
              <w:t xml:space="preserve"> izpostavljenosti</w:t>
            </w:r>
          </w:p>
          <w:p w14:paraId="64A87F8A" w14:textId="77777777" w:rsidR="004E71F4" w:rsidRPr="007F4CC8" w:rsidRDefault="004E71F4" w:rsidP="00155C96">
            <w:pPr>
              <w:pStyle w:val="Institutionquisigne"/>
              <w:spacing w:before="0" w:after="120"/>
              <w:rPr>
                <w:i w:val="0"/>
              </w:rPr>
            </w:pPr>
            <w:r>
              <w:rPr>
                <w:i w:val="0"/>
              </w:rPr>
              <w:t xml:space="preserve">Bruto knjigovodska vrednost, kot je opredeljena v odstavku 34 dela 1 Priloge V k Izvedbeni uredbi Komisije (EU) št. 680/2014; izpostavljenosti z ukrepi </w:t>
            </w:r>
            <w:proofErr w:type="spellStart"/>
            <w:r>
              <w:rPr>
                <w:i w:val="0"/>
              </w:rPr>
              <w:t>restrukturiranja</w:t>
            </w:r>
            <w:proofErr w:type="spellEnd"/>
            <w:r>
              <w:rPr>
                <w:i w:val="0"/>
              </w:rPr>
              <w:t>, kot so opredeljeni v členu 47b CRR.</w:t>
            </w:r>
          </w:p>
          <w:p w14:paraId="2F31ADDC" w14:textId="77777777" w:rsidR="004E71F4" w:rsidRPr="007F4CC8" w:rsidRDefault="004E71F4" w:rsidP="00155C96">
            <w:pPr>
              <w:pStyle w:val="Institutionquisigne"/>
              <w:spacing w:before="0" w:after="120"/>
            </w:pPr>
            <w:proofErr w:type="spellStart"/>
            <w:r>
              <w:rPr>
                <w:i w:val="0"/>
              </w:rPr>
              <w:t>Restrukturirane</w:t>
            </w:r>
            <w:proofErr w:type="spellEnd"/>
            <w:r>
              <w:rPr>
                <w:i w:val="0"/>
              </w:rPr>
              <w:t xml:space="preserve"> izpostavljenosti se lahko glede na to, ali izpolnjujejo zahtevane pogoje iz členov 47a ali 47b CRR, opredelijo kot donosne ali nedonosne.</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Predloga EU CQ3: Kreditna kakovost donosnih in nedonosnih izpostavljenosti po številu dni zapadlosti</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Institucije razkrijejo informacije iz člena 442(d) CRR ob upoštevanju navodil iz te priloge za izpolnjevanje predloge EU CQ3 iz Priloge XV k tej izvedbeni uredbi.</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Stanja na računih pri centralnih bankah in vloge na vpogled pri bankah</w:t>
            </w:r>
          </w:p>
          <w:p w14:paraId="50BED74F" w14:textId="77777777" w:rsidR="004E71F4" w:rsidRPr="007F4CC8" w:rsidRDefault="004E71F4" w:rsidP="00155C96">
            <w:pPr>
              <w:pStyle w:val="Applicationdirecte"/>
              <w:spacing w:before="0"/>
            </w:pPr>
            <w:r>
              <w:t>Institucije razkrijejo te informacije v skladu z informacijami, ki se poročajo v prilogah III in IV k Izvedbeni uredbi Komisije (EU) št. 680/2014.</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Krediti in druga finančna sredstva</w:t>
            </w:r>
          </w:p>
          <w:p w14:paraId="4B205592" w14:textId="77777777" w:rsidR="004E71F4" w:rsidRPr="007F4CC8" w:rsidRDefault="004E71F4" w:rsidP="00155C96">
            <w:pPr>
              <w:pStyle w:val="Applicationdirecte"/>
              <w:spacing w:before="0"/>
            </w:pPr>
            <w:r>
              <w:t>Glej opredelitev v predlogi EU-CR1: Donosne in nedonosne izpostavljenosti ter povezane rezervacije.</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020–060, 080, 100–140, 160–210</w:t>
            </w:r>
          </w:p>
        </w:tc>
        <w:tc>
          <w:tcPr>
            <w:tcW w:w="7655" w:type="dxa"/>
          </w:tcPr>
          <w:p w14:paraId="7D10F9AE" w14:textId="77777777" w:rsidR="004E71F4" w:rsidRPr="007F4CC8" w:rsidRDefault="004E71F4" w:rsidP="00155C96">
            <w:pPr>
              <w:pStyle w:val="Applicationdirecte"/>
              <w:spacing w:before="0"/>
              <w:rPr>
                <w:b/>
              </w:rPr>
            </w:pPr>
            <w:r>
              <w:rPr>
                <w:b/>
              </w:rPr>
              <w:t>Razčlenitev po nasprotnih strankah</w:t>
            </w:r>
          </w:p>
          <w:p w14:paraId="0F47965A" w14:textId="77777777" w:rsidR="004E71F4" w:rsidRPr="007F4CC8" w:rsidRDefault="004E71F4" w:rsidP="00155C96">
            <w:pPr>
              <w:pStyle w:val="Applicationdirecte"/>
              <w:spacing w:before="0"/>
            </w:pPr>
            <w:r>
              <w:t>Institucije uporabijo razčlenitev po nasprotnih strankah, kot je določena v odstavku 42 dela 1 Priloge V k Izvedbeni uredbi Komisije (EU) št. 680/2014.</w:t>
            </w:r>
          </w:p>
          <w:p w14:paraId="485FC433" w14:textId="77777777" w:rsidR="004E71F4" w:rsidRPr="007F4CC8" w:rsidRDefault="004E71F4" w:rsidP="00155C96">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 Pri drugih razvrstitvah se porazdelitev skupno nastalih izpostavljenosti sektorja nasprotne stranke, država sedeža in oznake NACE določijo na podlagi značilnosti pomembnejšega ali odločilnejšega dolžnika.</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MSP</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Kot so opredeljena v odstavku 5(i) dela 1 Priloge V k Izvedbeni uredbi Komisije (EU) št. 680/2014.</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Dolžniški vrednostni papirji</w:t>
            </w:r>
          </w:p>
          <w:p w14:paraId="092856A9" w14:textId="77777777" w:rsidR="004E71F4" w:rsidRPr="007F4CC8" w:rsidRDefault="004E71F4" w:rsidP="00155C96">
            <w:pPr>
              <w:pStyle w:val="Applicationdirecte"/>
              <w:spacing w:before="0"/>
            </w:pPr>
            <w:r>
              <w:t>Glej opredelitev v predlogi EU-CR1: Donosne in nedonosne izpostavljenosti ter povezane rezervacije.</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proofErr w:type="spellStart"/>
            <w:r>
              <w:rPr>
                <w:rFonts w:ascii="Times New Roman" w:hAnsi="Times New Roman"/>
                <w:b/>
                <w:sz w:val="24"/>
              </w:rPr>
              <w:t>Zunajbilančne</w:t>
            </w:r>
            <w:proofErr w:type="spellEnd"/>
            <w:r>
              <w:rPr>
                <w:rFonts w:ascii="Times New Roman" w:hAnsi="Times New Roman"/>
                <w:b/>
                <w:sz w:val="24"/>
              </w:rPr>
              <w:t xml:space="preserve"> izpostavljenosti</w:t>
            </w:r>
          </w:p>
          <w:p w14:paraId="3C8CA495" w14:textId="77777777" w:rsidR="004E71F4" w:rsidRPr="007F4CC8" w:rsidRDefault="004E71F4" w:rsidP="00155C96">
            <w:pPr>
              <w:pStyle w:val="Applicationdirecte"/>
              <w:spacing w:before="0"/>
            </w:pPr>
            <w:r>
              <w:t>Glej opredelitev v predlogi EU-CR1: Donosne in nedonosne izpostavljenosti ter povezane rezervacije.</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Bruto knjigovodska vrednost / nominalni znesek donosnih izpostavljenosti </w:t>
            </w:r>
          </w:p>
          <w:p w14:paraId="70B79014" w14:textId="77777777" w:rsidR="004E71F4" w:rsidRPr="007F4CC8" w:rsidRDefault="004E71F4" w:rsidP="00155C96">
            <w:pPr>
              <w:pStyle w:val="Fait"/>
              <w:spacing w:before="0" w:after="120"/>
            </w:pPr>
            <w:r>
              <w:t>Bruto knjigovodska vrednost, kot je opredeljena v odstavku 34 dela 1 Priloge V k Izvedbeni uredbi Komisije (EU) št. 680/2014; nominalni znesek, kot je opredeljen v odstavku 118 dela 2 Priloge V k Izvedbeni uredbi Komisije (EU) št. 680/2014.</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 xml:space="preserve">Od tega: </w:t>
            </w:r>
            <w:proofErr w:type="spellStart"/>
            <w:r>
              <w:rPr>
                <w:b/>
              </w:rPr>
              <w:t>nezapadle</w:t>
            </w:r>
            <w:proofErr w:type="spellEnd"/>
            <w:r>
              <w:rPr>
                <w:b/>
              </w:rPr>
              <w:t xml:space="preserve"> ali zapadle ≤ 30 dni</w:t>
            </w:r>
          </w:p>
          <w:p w14:paraId="2748EF98" w14:textId="77777777" w:rsidR="004E71F4" w:rsidRPr="007F4CC8" w:rsidRDefault="004E71F4" w:rsidP="00155C96">
            <w:pPr>
              <w:pStyle w:val="Fait"/>
              <w:spacing w:before="0" w:after="120"/>
              <w:rPr>
                <w:rFonts w:eastAsiaTheme="minorEastAsia"/>
              </w:rPr>
            </w:pPr>
            <w:r>
              <w:t>Podkategorija donosnih izpostavljenosti, ki niso zapadle ali so zapadle od 1 do 30 dni.</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Od tega: zapadle &gt; 30 dni ≤ 90 dni</w:t>
            </w:r>
          </w:p>
          <w:p w14:paraId="1521ABA3" w14:textId="77777777" w:rsidR="004E71F4" w:rsidRPr="007F4CC8" w:rsidRDefault="004E71F4" w:rsidP="00155C96">
            <w:pPr>
              <w:pStyle w:val="Fait"/>
              <w:spacing w:before="0" w:after="120"/>
            </w:pPr>
            <w:r>
              <w:t>Podkategorija donosnih izpostavljenosti, ki so zapadle od 31 do 90 dni.</w:t>
            </w:r>
          </w:p>
          <w:p w14:paraId="47C24F0D" w14:textId="77777777" w:rsidR="004E71F4" w:rsidRPr="007F4CC8" w:rsidRDefault="004E71F4" w:rsidP="00155C96">
            <w:pPr>
              <w:pStyle w:val="Fait"/>
              <w:spacing w:before="0" w:after="120"/>
              <w:rPr>
                <w:rFonts w:eastAsiaTheme="minorEastAsia"/>
              </w:rPr>
            </w:pPr>
            <w:r>
              <w:t>V to kategorijo se vključijo tudi izpostavljenosti, ki so zapadle več kot 90 dni in niso pomembne.</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Bruto knjigovodska vrednost / nominalni znesek nedonosnih izpostavljenosti</w:t>
            </w:r>
          </w:p>
          <w:p w14:paraId="12F6FBD9" w14:textId="77777777" w:rsidR="004E71F4" w:rsidRPr="007F4CC8" w:rsidRDefault="004E71F4" w:rsidP="00155C96">
            <w:pPr>
              <w:pStyle w:val="Fait"/>
              <w:spacing w:before="0" w:after="120"/>
              <w:rPr>
                <w:b/>
              </w:rPr>
            </w:pPr>
            <w:r>
              <w:t>Bruto knjigovodska vrednost, kot je opredeljena v odstavku 34 dela 1 Priloge V k Izvedbeni uredbi Komisije (EU) št. 680/2014; nominalni znesek, kot je opredeljen v odstavku 118 dela 2 Priloge V k Izvedbeni uredbi Komisije (EU) št. 680/2014; nedonosne izpostavljenosti, kot so opredeljene v členu 47a CRR.</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tega: ni verjetno, da bodo plačane, ter niso zapadle ali so zapadle ≤ 90 dni</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Podkategorija izpostavljenosti, ki niso zapadle ali so zapadle do 90 dni, vendar so kljub temu opredeljene kot nedonosne v skladu s členom 47a CRR.</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tega: zapadle &gt; 90 dni ≤ 180 dni</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Podkategorija nedonosnih izpostavljenosti, ki so zapadle več kot 90 dni in manj kot 180 dni.</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tega: zapadle &gt; 180 dni ≤ 1 leto</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Podkategorija nedonosnih izpostavljenosti, ki so zapadle več kot 180 dni in manj kot 1 leto.</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Od tega: zapadle &gt; 1 leto ≤ 2 leti</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1 leto in manj kot 2 leti.</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zapadle &gt; 2 leti ≤ 5 let</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2 leti in manj kot 5 let.</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zapadle &gt; 5 leti ≤ 7 let</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Podkategorija nedonosnih izpostavljenosti, ki so zapadle več kot 5 leti in manj kot 7 let.</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zapadle &gt; 7 let</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nedonosnih izpostavljenosti, ki so zapadle več kot 7 let.</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neplačane</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Neplačane izpostavljenosti v skladu s členom 178 CRR.</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CQ4: Kakovost nedonosnih izpostavljenosti po geografskih območjih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Če tuje originalne izpostavljenosti v vseh tujih državah v vseh kategorijah izpostavljenosti znašajo 10 % ali več od skupnih (domačih in tujih) originalnih izpostavljenosti, institucije razkrijejo informacije iz člena 442(c) in (e) CRR ob upoštevanju navodil iz te priloge za izpolnjevanje predloge EU CQ4 iz Priloge XV k tej izvedbeni uredbi.</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Bilančne izpostavljenosti</w:t>
            </w:r>
          </w:p>
          <w:p w14:paraId="6CCB87CE" w14:textId="77777777" w:rsidR="004E71F4" w:rsidRPr="007F4CC8" w:rsidRDefault="004E71F4" w:rsidP="00155C96">
            <w:pPr>
              <w:pStyle w:val="Fait"/>
              <w:spacing w:before="0" w:after="120"/>
            </w:pPr>
            <w:r>
              <w:t>Skupne bilančne izpostavljenosti.</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020–070 in 090–140</w:t>
            </w:r>
          </w:p>
        </w:tc>
        <w:tc>
          <w:tcPr>
            <w:tcW w:w="7655" w:type="dxa"/>
          </w:tcPr>
          <w:p w14:paraId="0FDB9099" w14:textId="77777777" w:rsidR="004E71F4" w:rsidRPr="007F4CC8" w:rsidRDefault="004E71F4" w:rsidP="00155C96">
            <w:pPr>
              <w:pStyle w:val="Applicationdirecte"/>
              <w:spacing w:before="0"/>
              <w:rPr>
                <w:b/>
              </w:rPr>
            </w:pPr>
            <w:r>
              <w:rPr>
                <w:b/>
              </w:rPr>
              <w:t>Država</w:t>
            </w:r>
          </w:p>
          <w:p w14:paraId="754707AF" w14:textId="77777777" w:rsidR="004E71F4" w:rsidRPr="007F4CC8" w:rsidRDefault="004E71F4" w:rsidP="00155C96">
            <w:pPr>
              <w:pStyle w:val="Fait"/>
              <w:spacing w:before="0" w:after="120"/>
            </w:pPr>
            <w:r>
              <w:t>Država, v kateri so izpostavljenosti institucije pomembne v skladu s členom 432 CRR.</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Kadar se pomembnost držav določi z uporabo praga pomembnosti, se ta prag razkrije, nepomembne države pa se navedejo v stolpcu „druge države“.</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Institucije izpostavljenosti pomembni državi dodelijo na podlagi sedeža neposredne nasprotne stranke. Izpostavljenosti do nadnacionalnih organizacij se ne dodelijo državi sedeža institucije, temveč med „druge države“.</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proofErr w:type="spellStart"/>
            <w:r>
              <w:rPr>
                <w:b/>
              </w:rPr>
              <w:t>Zunajbilančne</w:t>
            </w:r>
            <w:proofErr w:type="spellEnd"/>
            <w:r>
              <w:rPr>
                <w:b/>
              </w:rPr>
              <w:t xml:space="preserve"> izpostavljenosti</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Glej opredelitev v predlogi EU-CR1: Donosne in nedonosne izpostavljenosti ter povezane rezervacije.</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Bruto knjigovodska vrednost / nominalni znesek </w:t>
            </w:r>
          </w:p>
          <w:p w14:paraId="407BB8E5" w14:textId="77777777" w:rsidR="004E71F4" w:rsidRPr="007F4CC8" w:rsidRDefault="004E71F4" w:rsidP="00155C96">
            <w:pPr>
              <w:pStyle w:val="Fait"/>
              <w:spacing w:before="0" w:after="120"/>
            </w:pPr>
            <w:r>
              <w:t>Bruto knjigovodska vrednost, kot je opredeljena v odstavku 34 dela 1 Priloge V k Izvedbeni uredbi Komisije (EU) št. 680/2014; nominalni znesek, kot je opredeljen v odstavku 118 dela 2 Priloge V k Izvedbeni uredbi Komisije (EU) št. 680/2014.</w:t>
            </w:r>
          </w:p>
          <w:p w14:paraId="6570F2FC" w14:textId="77777777" w:rsidR="004E71F4" w:rsidRPr="007F4CC8" w:rsidRDefault="004E71F4" w:rsidP="00155C96">
            <w:pPr>
              <w:pStyle w:val="Fait"/>
              <w:spacing w:before="0" w:after="120"/>
            </w:pPr>
            <w:r>
              <w:t>Bruto knjigovodska vrednost v zvezi z izpostavljenostmi, ki so predmet oslabitve, je neto akumulirani znesek delnih in popolnih odpisov.</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Bruto knjigovodska vrednost / nominalni znesek – od tega nedonosne</w:t>
            </w:r>
          </w:p>
          <w:p w14:paraId="324B3E45" w14:textId="77777777" w:rsidR="004E71F4" w:rsidRPr="007F4CC8" w:rsidRDefault="004E71F4" w:rsidP="00155C96">
            <w:pPr>
              <w:pStyle w:val="Fait"/>
              <w:spacing w:before="0" w:after="120"/>
              <w:rPr>
                <w:b/>
              </w:rPr>
            </w:pPr>
            <w:r>
              <w:t>Bruto knjigovodska vrednost, kot je opredeljena v odstavku 34 dela 1 Priloge V k Izvedbeni uredbi Komisije (EU) št. 680/2014; nominalni znesek, kot je opredeljen v odstavku 118 dela 2 Priloge V k Izvedbeni uredbi Komisije (EU) št. 680/2014; nedonosne izpostavljenosti, kot so opredeljene v členu 47a CRR.</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neplačane</w:t>
            </w:r>
          </w:p>
          <w:p w14:paraId="2D9AD627" w14:textId="77777777" w:rsidR="004E71F4" w:rsidRPr="007F4CC8" w:rsidRDefault="004E71F4" w:rsidP="00155C96">
            <w:pPr>
              <w:pStyle w:val="Fait"/>
              <w:spacing w:before="0" w:after="120"/>
            </w:pPr>
            <w:r>
              <w:t>Neplačane izpostavljenosti v skladu s členom 178 CRR.</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Bruto knjigovodska vrednost / nominalni znesek – od tega predmet oslabitve</w:t>
            </w:r>
          </w:p>
          <w:p w14:paraId="6BD3FAE2" w14:textId="77777777" w:rsidR="004E71F4" w:rsidRPr="007F4CC8" w:rsidRDefault="004E71F4" w:rsidP="00155C96">
            <w:pPr>
              <w:pStyle w:val="Fait"/>
              <w:spacing w:before="0" w:after="120"/>
            </w:pPr>
            <w:r>
              <w:t>Bruto knjigovodska vrednost ali nominalni znesek v zvezi z izpostavljenostmi, za katere veljajo zahteve glede oslabitve iz veljavnega računovodskega okvira.</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Akumulirane oslabitve</w:t>
            </w:r>
          </w:p>
          <w:p w14:paraId="4FB7F9C5" w14:textId="77777777" w:rsidR="004E71F4" w:rsidRPr="007F4CC8" w:rsidRDefault="004E71F4" w:rsidP="00155C96">
            <w:pPr>
              <w:pStyle w:val="Fait"/>
              <w:spacing w:before="0" w:after="120"/>
            </w:pPr>
            <w:r>
              <w:t>To vključuje zneske, določene v skladu z odstavki 11, 69 do 71, 106 in 110 dela 2 Priloge V k Izvedbeni uredbi Komisije (EU) št. 680/2014.</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Rezervacije za </w:t>
            </w:r>
            <w:proofErr w:type="spellStart"/>
            <w:r>
              <w:rPr>
                <w:rFonts w:ascii="Times New Roman" w:hAnsi="Times New Roman"/>
                <w:b/>
                <w:sz w:val="24"/>
              </w:rPr>
              <w:t>zunajbilančne</w:t>
            </w:r>
            <w:proofErr w:type="spellEnd"/>
            <w:r>
              <w:rPr>
                <w:rFonts w:ascii="Times New Roman" w:hAnsi="Times New Roman"/>
                <w:b/>
                <w:sz w:val="24"/>
              </w:rPr>
              <w:t xml:space="preserve"> prevzete zaveze in dana finančna poroštva</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Ta vrstica vsebuje rezervacije za </w:t>
            </w:r>
            <w:proofErr w:type="spellStart"/>
            <w:r>
              <w:rPr>
                <w:rFonts w:ascii="Times New Roman" w:hAnsi="Times New Roman"/>
                <w:sz w:val="24"/>
              </w:rPr>
              <w:t>zunajbilančne</w:t>
            </w:r>
            <w:proofErr w:type="spellEnd"/>
            <w:r>
              <w:rPr>
                <w:rFonts w:ascii="Times New Roman" w:hAnsi="Times New Roman"/>
                <w:sz w:val="24"/>
              </w:rPr>
              <w:t xml:space="preserve"> prevzete zaveze in dana finančna poroštva.</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Akumulirane negativne spremembe poštene vrednosti zaradi kreditnega tveganja pri nedonosnih izpostavljenostih</w:t>
            </w:r>
          </w:p>
          <w:p w14:paraId="697B0B24" w14:textId="77777777" w:rsidR="004E71F4" w:rsidRPr="007F4CC8" w:rsidRDefault="004E71F4" w:rsidP="00155C96">
            <w:pPr>
              <w:pStyle w:val="Fait"/>
              <w:spacing w:before="0" w:after="120"/>
            </w:pPr>
            <w:r>
              <w:t>To vključuje zneske, določene v skladu z odstavki 11, 69 do 71, 106 in 110 dela 2 Priloge V k Izvedbeni uredbi Komisije (EU) št. 680/2014.</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CQ5: Kreditna kakovost kreditov in drugih finančnih sredstev za nefinančna podjetja po gospodarskih panogah</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Institucije razkrijejo informacije iz člena 442(c) in (e) CRR ob upoštevanju navodil iz te priloge za izpolnjevanje predloge EU CQ5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lastRenderedPageBreak/>
              <w:t>010–190</w:t>
            </w:r>
          </w:p>
        </w:tc>
        <w:tc>
          <w:tcPr>
            <w:tcW w:w="7655" w:type="dxa"/>
          </w:tcPr>
          <w:p w14:paraId="69C2E900" w14:textId="77777777" w:rsidR="004E71F4" w:rsidRPr="007F4CC8" w:rsidRDefault="004E71F4" w:rsidP="00155C96">
            <w:pPr>
              <w:pStyle w:val="Fait"/>
              <w:spacing w:before="0" w:after="120"/>
              <w:rPr>
                <w:b/>
              </w:rPr>
            </w:pPr>
            <w:r>
              <w:rPr>
                <w:b/>
              </w:rPr>
              <w:t>Razčlenitev nasprotnih strank po sektorjih</w:t>
            </w:r>
          </w:p>
          <w:p w14:paraId="75719E9B" w14:textId="77777777" w:rsidR="004E71F4" w:rsidRPr="007F4CC8" w:rsidRDefault="004E71F4" w:rsidP="00155C96">
            <w:pPr>
              <w:pStyle w:val="Fait"/>
              <w:spacing w:before="0" w:after="120"/>
            </w:pPr>
            <w:r>
              <w:t>Dodelitev sektorja nasprotni stranki vključuje samo sektorje, povezane z nasprotnimi strankami, ki so nefinančne družbe.</w:t>
            </w:r>
          </w:p>
          <w:p w14:paraId="22DE98F2" w14:textId="77777777" w:rsidR="004E71F4" w:rsidRPr="007F4CC8" w:rsidRDefault="004E71F4" w:rsidP="00155C96">
            <w:pPr>
              <w:pStyle w:val="Fait"/>
              <w:spacing w:before="0" w:after="120"/>
            </w:pPr>
            <w:r>
              <w:t>Dodelitev sektorja nasprotni stranki temelji izključno na naravi neposredne nasprotne stranke. Razvrstitev izpostavljenosti, nastalih skupaj pri več kot enem dolžniku, se pripravi na podlagi značilnosti dolžnika, ki je bil pomembnejši ali odločilnejši za to, da se je institucija odločila odobriti izpostavljenost.</w:t>
            </w:r>
          </w:p>
          <w:p w14:paraId="509E4079" w14:textId="77777777" w:rsidR="004E71F4" w:rsidRPr="007F4CC8" w:rsidRDefault="004E71F4" w:rsidP="00155C96">
            <w:pPr>
              <w:pStyle w:val="Fait"/>
              <w:spacing w:before="0" w:after="120"/>
            </w:pPr>
            <w:r>
              <w:t>V vrsticah se razkrijejo pomembni gospodarski sektorji oz. panoge ali vrste nasprotne stranke, do katerih imajo institucije izpostavljenosti. Pomembnost se oceni v skladu s členom 432 CRR, nepomembni gospodarski sektorji oz. panoge in vrste nasprotne stranke pa se združijo v vrstici „druge storitve“.</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Bruto knjigovodska vrednost </w:t>
            </w:r>
          </w:p>
          <w:p w14:paraId="54BC957E" w14:textId="77777777" w:rsidR="004E71F4" w:rsidRPr="007F4CC8" w:rsidRDefault="004E71F4" w:rsidP="00155C96">
            <w:pPr>
              <w:pStyle w:val="Fait"/>
              <w:spacing w:before="0" w:after="120"/>
            </w:pPr>
            <w:r>
              <w:t>Bruto knjigovodska vrednost, kot je opredeljena v odstavku 34 dela 1 Priloge V k Izvedbeni uredbi Komisije (EU) št. 680/2014.</w:t>
            </w:r>
          </w:p>
          <w:p w14:paraId="61BFF20A" w14:textId="77777777" w:rsidR="004E71F4" w:rsidRPr="007F4CC8" w:rsidRDefault="004E71F4" w:rsidP="00155C96">
            <w:pPr>
              <w:pStyle w:val="Fait"/>
              <w:spacing w:before="0" w:after="120"/>
            </w:pPr>
            <w:r>
              <w:t>Bruto knjigovodska vrednost v zvezi z izpostavljenostmi, ki so predmet oslabitve, je neto akumulirani znesek delnih in popolnih odpisov.</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Bruto knjigovodska vrednost – od tega nedonosne </w:t>
            </w:r>
          </w:p>
          <w:p w14:paraId="218B3169" w14:textId="77777777" w:rsidR="004E71F4" w:rsidRPr="007F4CC8" w:rsidRDefault="004E71F4" w:rsidP="00155C96">
            <w:pPr>
              <w:pStyle w:val="Fait"/>
              <w:spacing w:before="0" w:after="120"/>
              <w:rPr>
                <w:rFonts w:eastAsiaTheme="minorEastAsia"/>
              </w:rPr>
            </w:pPr>
            <w:r>
              <w:t>Bruto knjigovodska vrednost, kot je opredeljena v odstavku 34 dela 1 Priloge V k Izvedbeni uredbi Komisije (EU) št. 680/2014; nedonosne izpostavljenosti, kot so opredeljene v členu 47a CRR.</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Od tega neplačane</w:t>
            </w:r>
          </w:p>
          <w:p w14:paraId="37399537" w14:textId="77777777" w:rsidR="004E71F4" w:rsidRPr="007F4CC8" w:rsidRDefault="004E71F4" w:rsidP="00155C96">
            <w:pPr>
              <w:pStyle w:val="Fait"/>
              <w:spacing w:before="0" w:after="120"/>
              <w:rPr>
                <w:rFonts w:eastAsiaTheme="minorEastAsia"/>
              </w:rPr>
            </w:pPr>
            <w:r>
              <w:t>Neplačane izpostavljenosti v skladu s členom 178 CRR.</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Bruto knjigovodska vrednost – od tega krediti in druga finančna sredstva, ki so predmet oslabitve</w:t>
            </w:r>
          </w:p>
          <w:p w14:paraId="4B4B425B" w14:textId="77777777" w:rsidR="004E71F4" w:rsidRPr="007F4CC8" w:rsidRDefault="004E71F4" w:rsidP="00155C96">
            <w:pPr>
              <w:pStyle w:val="Fait"/>
              <w:spacing w:before="0" w:after="120"/>
            </w:pPr>
            <w:r>
              <w:t>Bruto knjigovodska vrednost v zvezi s krediti in drugimi finančnimi sredstvi, za katere veljajo zahteve glede oslabitve iz veljavnega računovodskega okvira.</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Akumulirane oslabitve</w:t>
            </w:r>
          </w:p>
          <w:p w14:paraId="7702A0EE" w14:textId="77777777" w:rsidR="004E71F4" w:rsidRPr="007F4CC8" w:rsidRDefault="004E71F4" w:rsidP="00155C96">
            <w:pPr>
              <w:pStyle w:val="Fait"/>
              <w:spacing w:before="0" w:after="120"/>
            </w:pPr>
            <w:r>
              <w:t>To vključuje zneske, določene v skladu z odstavki 11, 69 do 71, 106 in 110 dela 2 Priloge V k Izvedbeni uredbi Komisije (EU) št. 680/2014.</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55" w:type="dxa"/>
          </w:tcPr>
          <w:p w14:paraId="2411E6BE" w14:textId="77777777" w:rsidR="004E71F4" w:rsidRPr="007F4CC8" w:rsidRDefault="004E71F4" w:rsidP="00155C96">
            <w:pPr>
              <w:pStyle w:val="Fait"/>
              <w:spacing w:before="0" w:after="120"/>
              <w:rPr>
                <w:b/>
              </w:rPr>
            </w:pPr>
            <w:r>
              <w:rPr>
                <w:b/>
              </w:rPr>
              <w:t>Akumulirane negativne spremembe poštene vrednosti zaradi kreditnega tveganja pri nedonosnih izpostavljenostih</w:t>
            </w:r>
          </w:p>
          <w:p w14:paraId="5DCDC716" w14:textId="77777777" w:rsidR="004E71F4" w:rsidRPr="007F4CC8" w:rsidRDefault="004E71F4" w:rsidP="00155C96">
            <w:pPr>
              <w:pStyle w:val="Fait"/>
              <w:spacing w:before="0" w:after="120"/>
            </w:pPr>
            <w:r>
              <w:t>Nedonosne izpostavljenosti, kot so opredeljene v členu 47a CRR.</w:t>
            </w:r>
          </w:p>
          <w:p w14:paraId="3A5B7C72" w14:textId="77777777" w:rsidR="004E71F4" w:rsidRPr="007F4CC8" w:rsidRDefault="004E71F4" w:rsidP="00155C96">
            <w:pPr>
              <w:pStyle w:val="Fait"/>
              <w:spacing w:before="0" w:after="120"/>
            </w:pPr>
            <w:r>
              <w:t>Institucije vključijo zneske, določene v skladu z odstavki 11, 69 do 71, 106 in 110 dela 2 Priloge V k Izvedbeni uredbi Komisije (EU) št. 680/2014.</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Predloga EU CQ6: Vrednotenje zavarovanja s premoženjem – krediti in druga finančna sredstva</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Institucije razkrijejo informacije iz člena 442(c) CRR ob upoštevanju navodil iz te priloge za izpolnjevanje predloge EU CQ6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Bruto knjigovodska vrednost </w:t>
            </w:r>
          </w:p>
          <w:p w14:paraId="42B0DF3A" w14:textId="77777777" w:rsidR="004E71F4" w:rsidRPr="007F4CC8" w:rsidRDefault="004E71F4" w:rsidP="00155C96">
            <w:pPr>
              <w:pStyle w:val="Fait"/>
              <w:spacing w:before="0" w:after="120"/>
            </w:pPr>
            <w:r>
              <w:t>Bruto knjigovodska vrednost, kot je opredeljena v odstavku 34 dela 1 Priloge V k Izvedbeni uredbi Komisije (EU) št. 680/2014.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Od tega zavarovani </w:t>
            </w:r>
          </w:p>
          <w:p w14:paraId="1989790B" w14:textId="77777777" w:rsidR="004E71F4" w:rsidRPr="007F4CC8" w:rsidRDefault="004E71F4" w:rsidP="00155C96">
            <w:pPr>
              <w:pStyle w:val="Fait"/>
              <w:spacing w:before="0" w:after="120"/>
            </w:pPr>
            <w:r>
              <w:t>V tej vrstici se razkrije bruto knjigovodska vrednost, kot je opredeljena v odstavku 34 dela 1 Priloge V k Izvedbeni uredbi Komisije (EU) št. 680/2014, zavarovanih in delno zavarovanih kreditov.</w:t>
            </w:r>
          </w:p>
          <w:p w14:paraId="49F56793" w14:textId="77777777" w:rsidR="004E71F4" w:rsidRPr="007F4CC8" w:rsidRDefault="004E71F4" w:rsidP="00155C96">
            <w:pPr>
              <w:pStyle w:val="Fait"/>
              <w:spacing w:before="0" w:after="120"/>
            </w:pPr>
            <w:r>
              <w:t>Nezavarovani krediti in druga finančna sredstva vključujejo izpostavljenosti, za katere ni bilo zastavljeno zavarovanje s premoženjem ali prejeto finančno poroštvo; v to vrstico se vključi nezavarovani del delno zavarovane ali delno zajamčene izpostavljenosti v skladu z odstavkom 323 dela 2 Priloge V k Izvedbeni uredbi Komisije (EU) št. 680/2014.</w:t>
            </w:r>
          </w:p>
          <w:p w14:paraId="66933E4D" w14:textId="77777777" w:rsidR="004E71F4" w:rsidRPr="007F4CC8" w:rsidRDefault="004E71F4" w:rsidP="00155C96">
            <w:pPr>
              <w:pStyle w:val="Fait"/>
              <w:spacing w:before="0" w:after="120"/>
            </w:pPr>
            <w:r>
              <w:t>Zato se morajo zavarovani krediti in druga finančna sredstva izračunati kot razlika med bruto knjigovodsko vrednostjo vseh kreditov in drugih finančnih sredstev ter bruto knjigovodsko vrednostjo nezavarovanih kreditov in drugih finančnih sredstev, ter vključevati tako zavarovani kot nezavarovani del kredita.</w:t>
            </w:r>
          </w:p>
          <w:p w14:paraId="39CA1040" w14:textId="77777777" w:rsidR="004E71F4" w:rsidRPr="007F4CC8" w:rsidRDefault="004E71F4" w:rsidP="00155C96">
            <w:pPr>
              <w:pStyle w:val="Institutionquisigne"/>
              <w:spacing w:before="0" w:after="120"/>
            </w:pPr>
            <w:r>
              <w:rPr>
                <w:i w:val="0"/>
              </w:rPr>
              <w:t>V primeru presežnega zavarovanja s premoženjem se razkrije bruto knjigovodska vrednost kredita.</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Od tega zavarovani z nepremičninami</w:t>
            </w:r>
          </w:p>
          <w:p w14:paraId="758E75CD" w14:textId="0705DBC9" w:rsidR="004E71F4" w:rsidRPr="007F4CC8" w:rsidRDefault="004E71F4" w:rsidP="00155C96">
            <w:pPr>
              <w:pStyle w:val="Fait"/>
              <w:spacing w:before="0" w:after="120"/>
            </w:pPr>
            <w:r>
              <w:t>Krediti, zavarovani z nepremičninami, vključujejo kredite in druga finančna sredstva, ki so formalno zavarovani s stanovanjskimi ali poslovnimi nepremičninami, ne glede na njihovo razmerje med kreditom in zavarovanjem (tj. razmerje med vrednostjo kredita in vrednostjo zavarovanja s premoženjem) ter pravno obliko zavarovanja, kot je določeno v odstavku 86(a) dela 2 Priloge V k Izvedbeni uredbi Komisije (EU) št. 680/2014.</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lastRenderedPageBreak/>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Od tega krediti z razmerjem LTV, ki je višje od 60 % in nižje od ali enako 80 %</w:t>
            </w:r>
          </w:p>
          <w:p w14:paraId="5D101848" w14:textId="77777777" w:rsidR="004E71F4" w:rsidRPr="007F4CC8" w:rsidRDefault="004E71F4" w:rsidP="00155C96">
            <w:pPr>
              <w:pStyle w:val="Institutionquisigne"/>
              <w:spacing w:before="0" w:after="120"/>
              <w:rPr>
                <w:rFonts w:eastAsiaTheme="minorEastAsia"/>
              </w:rPr>
            </w:pPr>
            <w:r>
              <w:rPr>
                <w:i w:val="0"/>
              </w:rPr>
              <w:t>Razmerje LTV (razmerje med vrednostjo kredita in vrednostjo zavarovanja s premoženjem) se izračuna v skladu z metodo za izračun „sedanjega razmerja med posojilom in vrednostjo nepremičnine (</w:t>
            </w:r>
            <w:r>
              <w:t>LTV-</w:t>
            </w:r>
            <w:proofErr w:type="spellStart"/>
            <w:r>
              <w:t>Current</w:t>
            </w:r>
            <w:proofErr w:type="spellEnd"/>
            <w:r>
              <w:rPr>
                <w:i w:val="0"/>
              </w:rPr>
              <w:t>)“, določeno v Priporočilu Evropskega odbora za sistemska tveganja o odpravljanju vrzeli v podatkih o nepremičninah (ESRB/2016/14)</w:t>
            </w:r>
            <w:r>
              <w:rPr>
                <w:rStyle w:val="FootnoteReference"/>
                <w:i w:val="0"/>
              </w:rPr>
              <w:footnoteReference w:id="32"/>
            </w:r>
            <w:r>
              <w:rPr>
                <w:i w:val="0"/>
              </w:rPr>
              <w:t>. Institucije razkrijejo bruto knjigovodsko vrednost kreditov in drugih finančnih sredstev z razmerjem LTV, ki je višje od 60 % in nižje od ali enako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Od tega krediti z razmerjem LTV, ki je višje od 80 % in nižje od ali enako 100 %</w:t>
            </w:r>
          </w:p>
          <w:p w14:paraId="6EFD6EA8" w14:textId="77777777" w:rsidR="004E71F4" w:rsidRPr="007F4CC8" w:rsidRDefault="004E71F4" w:rsidP="00155C96">
            <w:pPr>
              <w:pStyle w:val="Institutionquisigne"/>
              <w:spacing w:before="0" w:after="120"/>
              <w:rPr>
                <w:rFonts w:eastAsiaTheme="minorEastAsia"/>
              </w:rPr>
            </w:pPr>
            <w:r>
              <w:rPr>
                <w:i w:val="0"/>
              </w:rPr>
              <w:t>Institucije razkrijejo bruto knjigovodsko vrednost kreditov in drugih finančnih sredstev z razmerjem LTV, ki je višje od 80 % in nižje od ali enako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Od tega instrumenti z razmerjem LTV, ki je višje od 100 %</w:t>
            </w:r>
          </w:p>
          <w:p w14:paraId="70834439" w14:textId="77777777" w:rsidR="004E71F4" w:rsidRPr="007F4CC8" w:rsidRDefault="004E71F4" w:rsidP="00155C96">
            <w:pPr>
              <w:pStyle w:val="Institutionquisigne"/>
              <w:spacing w:before="0" w:after="120"/>
              <w:rPr>
                <w:rFonts w:eastAsiaTheme="minorEastAsia"/>
              </w:rPr>
            </w:pPr>
            <w:r>
              <w:rPr>
                <w:i w:val="0"/>
              </w:rPr>
              <w:t>Bruto knjigovodska vrednost kreditov in drugih finančnih sredstev z razmerjem LTV, ki je višje od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Akumulirana oslabitev za zavarovana sredstva</w:t>
            </w:r>
          </w:p>
          <w:p w14:paraId="1699F1C0" w14:textId="77777777" w:rsidR="004E71F4" w:rsidRPr="007F4CC8" w:rsidRDefault="004E71F4" w:rsidP="00155C96">
            <w:pPr>
              <w:pStyle w:val="Fait"/>
              <w:spacing w:before="0" w:after="120"/>
            </w:pPr>
            <w:r>
              <w:t>Za zavarovane dolžniške instrumente se akumulirana oslabitev izračuna kot kumulativni znesek izgub zaradi oslabitve, od katerega se odštejejo uporaba in razveljavitve, ki je bil pripoznan, kot je bilo ustrezno, za vsako skupino za namen oslabitev (odstavek 70 dela 2 Priloge V k Izvedbeni uredbi Komisije (EU) št. 680/2014).</w:t>
            </w:r>
          </w:p>
          <w:p w14:paraId="2ADC11C4" w14:textId="77777777" w:rsidR="004E71F4" w:rsidRPr="007F4CC8" w:rsidRDefault="004E71F4" w:rsidP="00155C96">
            <w:pPr>
              <w:pStyle w:val="Fait"/>
              <w:spacing w:before="0" w:after="120"/>
              <w:rPr>
                <w:b/>
              </w:rPr>
            </w:pPr>
            <w:r>
              <w:t>V to vrstico se vključi akumulirana oslabitev, povezana z nezavarovanim delom delno zavarovane ali delno zajamčene izpostavljenosti.</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Zavarovanje s premoženjem – od tega vrednost omejena na vrednost izpostavljenosti</w:t>
            </w:r>
          </w:p>
          <w:p w14:paraId="757848DF" w14:textId="77777777" w:rsidR="004E71F4" w:rsidRPr="007F4CC8" w:rsidRDefault="004E71F4" w:rsidP="00155C96">
            <w:pPr>
              <w:pStyle w:val="Fait"/>
              <w:spacing w:before="0" w:after="120"/>
              <w:rPr>
                <w:b/>
              </w:rPr>
            </w:pPr>
            <w:r>
              <w:t>Zneski za prejeto zavarovanje s premoženjem se izračunajo v skladu z odstavkom 239 dela 2 Priloge V k Izvedbeni uredbi Komisije (EU) št. 680/2014. Zgornja meja vsote zneskov za zavarovanje s premoženjem v tej vrstici je knjigovodska vrednost povezane izpostavljenosti.</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stanovanjske nepremičnine</w:t>
            </w:r>
          </w:p>
          <w:p w14:paraId="5FB7DBC4" w14:textId="77777777" w:rsidR="004E71F4" w:rsidRPr="007F4CC8" w:rsidRDefault="004E71F4" w:rsidP="00155C96">
            <w:pPr>
              <w:pStyle w:val="Fait"/>
              <w:spacing w:before="0" w:after="120"/>
            </w:pPr>
            <w:r>
              <w:t>Del zavarovanja s premoženjem, ki je sestavljen iz stanovanjskih ali poslovnih nepremičnin (odstavek 173(a) dela 2 Priloge V k Izvedbeni uredbi Komisije (EU) št. 680/2014).</w:t>
            </w:r>
          </w:p>
          <w:p w14:paraId="2B76D036" w14:textId="77777777" w:rsidR="004E71F4" w:rsidRPr="007F4CC8" w:rsidRDefault="004E71F4" w:rsidP="00155C96">
            <w:pPr>
              <w:pStyle w:val="Fait"/>
              <w:spacing w:before="0" w:after="120"/>
              <w:rPr>
                <w:b/>
              </w:rPr>
            </w:pPr>
            <w:r>
              <w:t>Zgornja meja vsote zneskov za zavarovanje s premoženjem v tej vrstici je knjigovodska vrednost povezane izpostavljenosti.</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Zavarovanje s premoženjem – od tega vrednost nad zgornjo mejo</w:t>
            </w:r>
          </w:p>
          <w:p w14:paraId="4825BFE6" w14:textId="3F318490" w:rsidR="004E71F4" w:rsidRPr="007F4CC8" w:rsidRDefault="004E71F4" w:rsidP="00155C96">
            <w:pPr>
              <w:pStyle w:val="Fait"/>
              <w:spacing w:before="0" w:after="120"/>
              <w:rPr>
                <w:b/>
              </w:rPr>
            </w:pPr>
            <w:r>
              <w:lastRenderedPageBreak/>
              <w:t>V tej vrstici se razkrije razlika med dejansko vrednostjo zavarovanja s premoženjem in zgornjo mejo vrednosti zavarovanja s premoženjem (knjigovodska vrednost povezane izpostavljenosti) (institucije za izračun dejanske vrednosti zavarovanja s premoženjem ne uporabijo odstavka 239 dela 2 Priloge V k Izvedbeni uredbi Komisije (EU) št. 680/2014).</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stanovanjske nepremičnine</w:t>
            </w:r>
          </w:p>
          <w:p w14:paraId="3CEE730C" w14:textId="77777777" w:rsidR="004E71F4" w:rsidRPr="007F4CC8" w:rsidRDefault="004E71F4" w:rsidP="00155C96">
            <w:pPr>
              <w:pStyle w:val="Fait"/>
              <w:spacing w:before="0" w:after="120"/>
              <w:rPr>
                <w:b/>
              </w:rPr>
            </w:pPr>
            <w:r>
              <w:t>Razlika med dejansko vrednostjo in zgornjo mejo vrednosti za del zavarovanja s premoženjem, ki je sestavljen iz stanovanjskih ali poslovnih nepremičnin (odstavek 173(a) dela 2 Priloge V k Izvedbeni uredbi Komisije (EU) št. 680/2014).</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Prejeta finančna poroštva</w:t>
            </w:r>
          </w:p>
          <w:p w14:paraId="521216D0" w14:textId="77777777" w:rsidR="004E71F4" w:rsidRPr="007F4CC8" w:rsidRDefault="004E71F4" w:rsidP="00155C96">
            <w:pPr>
              <w:pStyle w:val="Fait"/>
              <w:spacing w:before="0" w:after="120"/>
              <w:rPr>
                <w:b/>
              </w:rPr>
            </w:pPr>
            <w:r>
              <w:t>Kot so opredeljena v odstavku 114 dela 2 Priloge V k Izvedbeni uredbi Komisije (EU) št. 680/2014.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Akumulirani delni odpisi</w:t>
            </w:r>
          </w:p>
          <w:p w14:paraId="1C49ED21" w14:textId="77777777" w:rsidR="004E71F4" w:rsidRPr="007F4CC8" w:rsidRDefault="004E71F4" w:rsidP="00155C96">
            <w:pPr>
              <w:pStyle w:val="Fait"/>
              <w:spacing w:before="0" w:after="120"/>
            </w:pPr>
            <w:r>
              <w:t>To vključuje akumulirani delni znesek po stanju na referenčni datum za glavnico in zapadle natečene obresti ter provizije vseh dolžniških instrumentov, za katere se je do tega datuma odpravilo pripoznanje z uporabo ene od metod iz odstavka 74 dela 2 Priloge V k Izvedbeni uredbi Komisije (EU) št. 680/2014, ki se morajo razkriti, ker institucija nima razumnih pričakovanj, da bo prišlo do povrnitve pogodbenih denarnih tokov. Ti zneski se razkrivajo do popolnega prenehanja vseh pravic institucije (zaradi izteka roka zastaranja, odpisa ali drugega vzroka) ali do poplačila. Zato se odpisani zneski, če niso povrnjeni, razkrivajo, dokler v zvezi z njimi potekajo postopki izvršbe.</w:t>
            </w:r>
          </w:p>
          <w:p w14:paraId="5B1ADC49" w14:textId="77777777" w:rsidR="004E71F4" w:rsidRPr="007F4CC8" w:rsidRDefault="004E71F4" w:rsidP="00155C96">
            <w:pPr>
              <w:pStyle w:val="Fait"/>
              <w:spacing w:before="0" w:after="120"/>
            </w:pPr>
            <w:r>
              <w:t>Odpisi predstavljajo odpravo pripoznanja in se nanašajo na celotno finančno sredstvo ali (v primeru delnega odpisa) njegov del, vključno s primeri, ko se institucija zaradi spremembe sredstva odpove pravici do prejemanja denarnih tokov iz dela ali celotnega sredstva.</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Krediti in druga finančna sredstva</w:t>
            </w:r>
          </w:p>
          <w:p w14:paraId="2D0C3F66" w14:textId="69F1DD63" w:rsidR="004E71F4" w:rsidRPr="007F4CC8" w:rsidRDefault="004E71F4" w:rsidP="00155C96">
            <w:pPr>
              <w:pStyle w:val="Fait"/>
              <w:spacing w:before="0" w:after="120"/>
              <w:rPr>
                <w:rFonts w:eastAsiaTheme="minorEastAsia"/>
              </w:rPr>
            </w:pPr>
            <w:r>
              <w:t>Glej opredelitev pojmov v predlogi EU CR1: Donosne in nedonosne izpostavljenosti ter povezane rezervacije.</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Krediti in druga finančna sredstva – od tega donosni </w:t>
            </w:r>
          </w:p>
          <w:p w14:paraId="622F5076" w14:textId="42609F89" w:rsidR="004E71F4" w:rsidRPr="007F4CC8" w:rsidRDefault="004E71F4" w:rsidP="00155C96">
            <w:pPr>
              <w:pStyle w:val="Fait"/>
              <w:spacing w:before="0" w:after="120"/>
              <w:rPr>
                <w:rFonts w:eastAsiaTheme="minorEastAsia"/>
              </w:rPr>
            </w:pPr>
            <w:r>
              <w:t>Glej opredelitev pojmov v predlogi EU CR1: Donosne in nedonosne izpostavljenosti ter povezane rezervacije.</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lastRenderedPageBreak/>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Od tega zapadli &gt; 30 dni ≤ 90 dni</w:t>
            </w:r>
          </w:p>
          <w:p w14:paraId="147C9DA1" w14:textId="77777777" w:rsidR="004E71F4" w:rsidRPr="007F4CC8" w:rsidRDefault="004E71F4" w:rsidP="00155C96">
            <w:pPr>
              <w:pStyle w:val="Fait"/>
              <w:spacing w:before="0" w:after="120"/>
              <w:rPr>
                <w:rFonts w:eastAsiaTheme="minorEastAsia"/>
              </w:rPr>
            </w:pPr>
            <w:r>
              <w:t>Podkategorija kreditov in drugih finančnih sredstev, ki so zapadli od 31 do 90 dni.</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Krediti in druga finančna sredstva – od tega nedonosne izpostavljenosti</w:t>
            </w:r>
          </w:p>
          <w:p w14:paraId="74EB556B" w14:textId="77777777" w:rsidR="004E71F4" w:rsidRPr="007F4CC8" w:rsidRDefault="004E71F4" w:rsidP="00155C96">
            <w:pPr>
              <w:pStyle w:val="Fait"/>
              <w:spacing w:before="0" w:after="120"/>
            </w:pPr>
            <w:r>
              <w:t>Nedonosne izpostavljenosti, kot so opredeljene v členu 47a CRR.</w:t>
            </w:r>
          </w:p>
          <w:p w14:paraId="0338D40C" w14:textId="46BE2DDF" w:rsidR="004E71F4" w:rsidRPr="007F4CC8" w:rsidRDefault="004E71F4" w:rsidP="00155C96">
            <w:pPr>
              <w:pStyle w:val="Fait"/>
              <w:spacing w:before="0" w:after="120"/>
            </w:pPr>
            <w:r>
              <w:t>Glej opredelitev pojmov v predlogi EU CR1: Donosne in nedonosne izpostavljenosti ter povezane rezervacije.</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Od tega, za katere ni verjetno, da bodo plačani, ter niso zapadli ali so zapadli ≤ 90 dni</w:t>
            </w:r>
          </w:p>
          <w:p w14:paraId="25E07F3A" w14:textId="77777777" w:rsidR="004E71F4" w:rsidRPr="007F4CC8" w:rsidRDefault="004E71F4" w:rsidP="00155C96">
            <w:pPr>
              <w:pStyle w:val="Fait"/>
              <w:spacing w:before="0" w:after="120"/>
            </w:pPr>
            <w:r>
              <w:t>Podkategorija kreditov in drugih finančnih sredstev, ki niso zapadli ali so zapadli do 90 dni, vendar so kljub temu opredeljeni kot nedonosni zaradi verjetnosti, da ne bodo v celoti odplačani, v skladu s členom 47a CRR.</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Zapadli &gt; 90 dni</w:t>
            </w:r>
          </w:p>
          <w:p w14:paraId="4AF30303" w14:textId="77777777" w:rsidR="004E71F4" w:rsidRPr="007F4CC8" w:rsidRDefault="004E71F4" w:rsidP="00155C96">
            <w:pPr>
              <w:pStyle w:val="Fait"/>
              <w:spacing w:before="0" w:after="120"/>
            </w:pPr>
            <w:r>
              <w:t>Podkategorija kreditov in drugih finančnih sredstev, ki so zapadli več kot 90 dni.</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90 dni ≤ 180 dni</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Podkategorija kreditov in drugih finančnih sredstev, ki so zapadli od 91 do 180 dni.</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180 dni ≤ 1 leto</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Podkategorija kreditov in drugih finančnih sredstev, ki so zapadli od 181 dni do 1 leta.</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1 leto ≤ 2 leti</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od 1 do 2 leti.</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2 leti ≤ 5 let</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od 2 do 5 let.</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5 let ≤ 7 let</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od 5 do 7 let.</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tega zapadli &gt; 7 let</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Podkategorija kreditov in drugih finančnih sredstev, ki so zapadli več kot 7 let.</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Predloga EU CQ7: Zavarovanje, pridobljeno s </w:t>
      </w:r>
      <w:proofErr w:type="spellStart"/>
      <w:r>
        <w:rPr>
          <w:rFonts w:ascii="Times New Roman" w:hAnsi="Times New Roman"/>
          <w:b/>
          <w:sz w:val="24"/>
        </w:rPr>
        <w:t>priposestvovanjem</w:t>
      </w:r>
      <w:proofErr w:type="spellEnd"/>
      <w:r>
        <w:rPr>
          <w:rFonts w:ascii="Times New Roman" w:hAnsi="Times New Roman"/>
          <w:b/>
          <w:sz w:val="24"/>
        </w:rPr>
        <w:t xml:space="preserve"> in postopki izvršbe</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Institucije razkrijejo informacije iz člena 442(c) CRR ob upoštevanju navodil iz te priloge za izpolnjevanje predloge EU CQ7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Pravna podlaga in navodila</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Opredmetena osnovna sredstva</w:t>
            </w:r>
          </w:p>
          <w:p w14:paraId="2DA3F6F7" w14:textId="77777777" w:rsidR="004E71F4" w:rsidRPr="007F4CC8" w:rsidRDefault="004E71F4" w:rsidP="00155C96">
            <w:pPr>
              <w:pStyle w:val="Institutionquisigne"/>
              <w:spacing w:before="0" w:after="120"/>
              <w:rPr>
                <w:i w:val="0"/>
              </w:rPr>
            </w:pPr>
            <w:r>
              <w:rPr>
                <w:i w:val="0"/>
              </w:rPr>
              <w:t xml:space="preserve">Institucije razkrijejo zavarovanje s premoženjem, pridobljeno s </w:t>
            </w:r>
            <w:proofErr w:type="spellStart"/>
            <w:r>
              <w:rPr>
                <w:i w:val="0"/>
              </w:rPr>
              <w:t>priposestvovanjem</w:t>
            </w:r>
            <w:proofErr w:type="spellEnd"/>
            <w:r>
              <w:rPr>
                <w:i w:val="0"/>
              </w:rPr>
              <w:t>, ki je na referenčni datum poročanja še naprej pripoznano v bilanci stanja in razvrščeno kot opredmetena osnovna sredstva.</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Drugo kot opredmetena osnovna sredstva</w:t>
            </w:r>
          </w:p>
          <w:p w14:paraId="65C75F92" w14:textId="77777777" w:rsidR="004E71F4" w:rsidRPr="007F4CC8" w:rsidRDefault="004E71F4" w:rsidP="00155C96">
            <w:pPr>
              <w:pStyle w:val="Institutionquisigne"/>
              <w:spacing w:before="0" w:after="120"/>
              <w:rPr>
                <w:b/>
              </w:rPr>
            </w:pPr>
            <w:r>
              <w:rPr>
                <w:i w:val="0"/>
              </w:rPr>
              <w:t xml:space="preserve">V tej vrstici se avtomatsko razkrije zavarovanje s premoženjem, pridobljeno s </w:t>
            </w:r>
            <w:proofErr w:type="spellStart"/>
            <w:r>
              <w:rPr>
                <w:i w:val="0"/>
              </w:rPr>
              <w:t>priposestvovanjem</w:t>
            </w:r>
            <w:proofErr w:type="spellEnd"/>
            <w:r>
              <w:rPr>
                <w:i w:val="0"/>
              </w:rPr>
              <w:t xml:space="preserve">, ki je na referenčni datum poročanja še naprej pripoznano v bilanci stanja in ni razvrščeno kot opredmetena osnovna sredstva. Skupno stanje se izračuna z upoštevanjem začetnega stanja (od konca zadnjega poslovnega leta) ter prilivov in odlivov, do katerih je prišlo v obdobju razkritja (od konca zadnjega poslovnega leta). Zavarovanje s premoženjem, pridobljeno s </w:t>
            </w:r>
            <w:proofErr w:type="spellStart"/>
            <w:r>
              <w:rPr>
                <w:i w:val="0"/>
              </w:rPr>
              <w:t>priposestvovanjem</w:t>
            </w:r>
            <w:proofErr w:type="spellEnd"/>
            <w:r>
              <w:rPr>
                <w:i w:val="0"/>
              </w:rPr>
              <w:t xml:space="preserve"> (razen opredmetenih osnovnih sredstev) se razkrije v vrsticah po vrstah zavarovanja s premoženjem.</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Stanovanjske nepremičnine</w:t>
            </w:r>
          </w:p>
          <w:p w14:paraId="379AD7D1" w14:textId="77777777" w:rsidR="004E71F4" w:rsidRPr="007F4CC8" w:rsidRDefault="004E71F4" w:rsidP="00155C96">
            <w:pPr>
              <w:pStyle w:val="Institutionquisigne"/>
              <w:spacing w:before="0" w:after="120"/>
              <w:rPr>
                <w:b/>
              </w:rPr>
            </w:pPr>
            <w:r>
              <w:rPr>
                <w:i w:val="0"/>
              </w:rPr>
              <w:t xml:space="preserve">Zavarovanje s premoženjem, pridobljeno s </w:t>
            </w:r>
            <w:proofErr w:type="spellStart"/>
            <w:r>
              <w:rPr>
                <w:i w:val="0"/>
              </w:rPr>
              <w:t>priposestvovanjem</w:t>
            </w:r>
            <w:proofErr w:type="spellEnd"/>
            <w:r>
              <w:rPr>
                <w:i w:val="0"/>
              </w:rPr>
              <w:t xml:space="preserve"> stanovanjskih nepremičnin (npr. hiš, stanovanj itd.) ali premoženja, ki bi se lahko v prihodnosti uporabljalo kot tako (npr. nedokončane stanovanjske nepremičnine itd.).</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Poslovne nepremičnine</w:t>
            </w:r>
          </w:p>
          <w:p w14:paraId="17CE5C2D" w14:textId="77777777" w:rsidR="004E71F4" w:rsidRPr="007F4CC8" w:rsidRDefault="004E71F4" w:rsidP="00155C96">
            <w:pPr>
              <w:pStyle w:val="Institutionquisigne"/>
              <w:spacing w:before="0" w:after="120"/>
              <w:rPr>
                <w:i w:val="0"/>
              </w:rPr>
            </w:pPr>
            <w:r>
              <w:rPr>
                <w:i w:val="0"/>
              </w:rPr>
              <w:t xml:space="preserve">Zavarovanje s premoženjem, pridobljeno s </w:t>
            </w:r>
            <w:proofErr w:type="spellStart"/>
            <w:r>
              <w:rPr>
                <w:i w:val="0"/>
              </w:rPr>
              <w:t>priposestvovanjem</w:t>
            </w:r>
            <w:proofErr w:type="spellEnd"/>
            <w:r>
              <w:rPr>
                <w:i w:val="0"/>
              </w:rPr>
              <w:t xml:space="preserve"> poslovne ali industrijske nepremičnine, ki se lahko uporablja za poslovanje in/ali naložbene namene, ali katere koli nepremičnine, ki ni stanovanjska nepremičnina, kot so opisane zgoraj.</w:t>
            </w:r>
          </w:p>
          <w:p w14:paraId="62B2F832" w14:textId="77777777" w:rsidR="004E71F4" w:rsidRPr="007F4CC8" w:rsidRDefault="004E71F4" w:rsidP="00155C96">
            <w:pPr>
              <w:pStyle w:val="Institutionquisigne"/>
              <w:spacing w:before="0" w:after="120"/>
              <w:rPr>
                <w:b/>
              </w:rPr>
            </w:pPr>
            <w:r>
              <w:rPr>
                <w:i w:val="0"/>
              </w:rPr>
              <w:t>Zemljišča (nekmetijska in kmetijska) se prav tako vključijo v to kategorijo.</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Premičnine (vozila, plovila itd.)</w:t>
            </w:r>
          </w:p>
          <w:p w14:paraId="34A36ED9" w14:textId="77777777" w:rsidR="004E71F4" w:rsidRPr="007F4CC8" w:rsidRDefault="004E71F4" w:rsidP="00155C96">
            <w:pPr>
              <w:pStyle w:val="Institutionquisigne"/>
              <w:spacing w:before="0" w:after="120"/>
              <w:rPr>
                <w:b/>
              </w:rPr>
            </w:pPr>
            <w:r>
              <w:rPr>
                <w:i w:val="0"/>
              </w:rPr>
              <w:t xml:space="preserve">V tej vrstici se razkrije zavarovanje s premoženjem, pridobljeno s </w:t>
            </w:r>
            <w:proofErr w:type="spellStart"/>
            <w:r>
              <w:rPr>
                <w:i w:val="0"/>
              </w:rPr>
              <w:t>priposestvovanjem</w:t>
            </w:r>
            <w:proofErr w:type="spellEnd"/>
            <w:r>
              <w:rPr>
                <w:i w:val="0"/>
              </w:rPr>
              <w:t xml:space="preserve"> premoženja, ki ni nepremičnina.</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Lastniški in dolžniški instrumenti</w:t>
            </w:r>
          </w:p>
          <w:p w14:paraId="16CC26D5" w14:textId="77777777" w:rsidR="004E71F4" w:rsidRPr="007F4CC8" w:rsidRDefault="004E71F4" w:rsidP="00155C96">
            <w:pPr>
              <w:pStyle w:val="Institutionquisigne"/>
              <w:spacing w:before="0" w:after="120"/>
              <w:rPr>
                <w:b/>
              </w:rPr>
            </w:pPr>
            <w:r>
              <w:rPr>
                <w:i w:val="0"/>
              </w:rPr>
              <w:t xml:space="preserve">V tej vrstici se razkrije zavarovanje s premoženjem, pridobljeno s </w:t>
            </w:r>
            <w:proofErr w:type="spellStart"/>
            <w:r>
              <w:rPr>
                <w:i w:val="0"/>
              </w:rPr>
              <w:t>priposestvovanjem</w:t>
            </w:r>
            <w:proofErr w:type="spellEnd"/>
            <w:r>
              <w:rPr>
                <w:i w:val="0"/>
              </w:rPr>
              <w:t xml:space="preserve"> lastniških ali dolžniških instrumentov.</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Drugo zavarovanje s premoženjem</w:t>
            </w:r>
          </w:p>
          <w:p w14:paraId="5C94E21B" w14:textId="77777777" w:rsidR="004E71F4" w:rsidRPr="007F4CC8" w:rsidRDefault="004E71F4" w:rsidP="00155C96">
            <w:pPr>
              <w:pStyle w:val="Institutionquisigne"/>
              <w:spacing w:before="0" w:after="120"/>
              <w:rPr>
                <w:i w:val="0"/>
              </w:rPr>
            </w:pPr>
            <w:r>
              <w:rPr>
                <w:i w:val="0"/>
              </w:rPr>
              <w:t xml:space="preserve">Zavarovanje s premoženjem, pridobljeno s </w:t>
            </w:r>
            <w:proofErr w:type="spellStart"/>
            <w:r>
              <w:rPr>
                <w:i w:val="0"/>
              </w:rPr>
              <w:t>priposestvovanjem</w:t>
            </w:r>
            <w:proofErr w:type="spellEnd"/>
            <w:r>
              <w:rPr>
                <w:i w:val="0"/>
              </w:rPr>
              <w:t>, ki ne spada v nobeno od kategorij v drugih vrsticah.</w:t>
            </w:r>
          </w:p>
          <w:p w14:paraId="56B31A9F" w14:textId="77777777" w:rsidR="004E71F4" w:rsidRPr="007F4CC8" w:rsidRDefault="004E71F4" w:rsidP="00155C96">
            <w:pPr>
              <w:pStyle w:val="Institutionquisigne"/>
              <w:spacing w:before="0" w:after="120"/>
              <w:rPr>
                <w:b/>
              </w:rPr>
            </w:pPr>
            <w:r>
              <w:rPr>
                <w:i w:val="0"/>
              </w:rPr>
              <w:t>Če je znesek v tej kategoriji razmeroma pomemben, institucije v besedilu, priloženem tej predlogi, zagotovijo dodatne informacije.</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Skupaj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 xml:space="preserve">Zavarovanje, pridobljeno s </w:t>
            </w:r>
            <w:proofErr w:type="spellStart"/>
            <w:r>
              <w:rPr>
                <w:b/>
                <w:i w:val="0"/>
              </w:rPr>
              <w:t>priposestvovanjem</w:t>
            </w:r>
            <w:proofErr w:type="spellEnd"/>
            <w:r>
              <w:rPr>
                <w:b/>
                <w:i w:val="0"/>
              </w:rPr>
              <w:t xml:space="preserve"> – vrednost ob začetnem pripoznanju</w:t>
            </w:r>
          </w:p>
          <w:p w14:paraId="492004D4" w14:textId="77777777" w:rsidR="004E71F4" w:rsidRPr="007F4CC8" w:rsidRDefault="004E71F4" w:rsidP="00155C96">
            <w:pPr>
              <w:pStyle w:val="Institutionquisigne"/>
              <w:spacing w:before="0" w:after="120"/>
            </w:pPr>
            <w:r>
              <w:rPr>
                <w:i w:val="0"/>
              </w:rPr>
              <w:t xml:space="preserve">Institucije v tem stolpcu razkrijejo bruto knjigovodsko vrednost zavarovanja s premoženjem, pridobljenega s </w:t>
            </w:r>
            <w:proofErr w:type="spellStart"/>
            <w:r>
              <w:rPr>
                <w:i w:val="0"/>
              </w:rPr>
              <w:t>priposestvovanjem</w:t>
            </w:r>
            <w:proofErr w:type="spellEnd"/>
            <w:r>
              <w:rPr>
                <w:i w:val="0"/>
              </w:rPr>
              <w:t>, ob začetnem pripoznanju v bilanci stanja institucije.</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 xml:space="preserve">Zavarovanje, pridobljeno s </w:t>
            </w:r>
            <w:proofErr w:type="spellStart"/>
            <w:r>
              <w:rPr>
                <w:b/>
              </w:rPr>
              <w:t>priposestvovanjem</w:t>
            </w:r>
            <w:proofErr w:type="spellEnd"/>
            <w:r>
              <w:rPr>
                <w:b/>
              </w:rPr>
              <w:t xml:space="preserve"> – akumulirane negativne spremembe</w:t>
            </w:r>
          </w:p>
          <w:p w14:paraId="2BD88503" w14:textId="77777777" w:rsidR="004E71F4" w:rsidRPr="007F4CC8" w:rsidRDefault="004E71F4" w:rsidP="00155C96">
            <w:pPr>
              <w:pStyle w:val="Institutionquisigne"/>
              <w:spacing w:before="0" w:after="120"/>
              <w:rPr>
                <w:i w:val="0"/>
              </w:rPr>
            </w:pPr>
            <w:r>
              <w:rPr>
                <w:i w:val="0"/>
              </w:rPr>
              <w:t xml:space="preserve">Akumulirana oslabitev ali akumulirane negativne spremembe vrednosti, pripoznane ob začetnem pripoznanju, zavarovanja s premoženjem, pridobljenega s </w:t>
            </w:r>
            <w:proofErr w:type="spellStart"/>
            <w:r>
              <w:rPr>
                <w:i w:val="0"/>
              </w:rPr>
              <w:t>priposestvovanjem</w:t>
            </w:r>
            <w:proofErr w:type="spellEnd"/>
            <w:r>
              <w:rPr>
                <w:i w:val="0"/>
              </w:rPr>
              <w:t>, kot je opisana zgoraj.</w:t>
            </w:r>
          </w:p>
          <w:p w14:paraId="2C738F18" w14:textId="77777777" w:rsidR="004E71F4" w:rsidRPr="007F4CC8" w:rsidRDefault="004E71F4" w:rsidP="00155C96">
            <w:pPr>
              <w:pStyle w:val="Institutionquisigne"/>
              <w:spacing w:before="0" w:after="120"/>
            </w:pPr>
            <w:r>
              <w:rPr>
                <w:i w:val="0"/>
              </w:rPr>
              <w:t>Institucije vključijo tudi akumulirane negativne spremembe zaradi amortizacije v primeru opredmetenih osnovnih sredstev in naložbenih nepremičnin, če je relevantno.</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Predloga EU CQ8: Zavarovanje, pridobljeno s </w:t>
      </w:r>
      <w:proofErr w:type="spellStart"/>
      <w:r>
        <w:rPr>
          <w:rFonts w:ascii="Times New Roman" w:hAnsi="Times New Roman"/>
          <w:b/>
          <w:sz w:val="24"/>
        </w:rPr>
        <w:t>priposestvovanjem</w:t>
      </w:r>
      <w:proofErr w:type="spellEnd"/>
      <w:r>
        <w:rPr>
          <w:rFonts w:ascii="Times New Roman" w:hAnsi="Times New Roman"/>
          <w:b/>
          <w:sz w:val="24"/>
        </w:rPr>
        <w:t xml:space="preserve"> in postopki izvršbe – razčlenitev po letnikih</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Institucije razkrijejo informacije iz člena 442(c) CRR ob upoštevanju navodil iz te priloge za izpolnjevanje predloge EU CQ8 iz Priloge 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Opredmetena osnovna sredstva</w:t>
            </w:r>
          </w:p>
          <w:p w14:paraId="03A034E4" w14:textId="77777777" w:rsidR="004E71F4" w:rsidRPr="007F4CC8" w:rsidRDefault="004E71F4" w:rsidP="00155C96">
            <w:pPr>
              <w:pStyle w:val="Institutionquisigne"/>
              <w:spacing w:before="0" w:after="120"/>
              <w:rPr>
                <w:i w:val="0"/>
              </w:rPr>
            </w:pPr>
            <w:r>
              <w:rPr>
                <w:i w:val="0"/>
              </w:rPr>
              <w:t xml:space="preserve">Institucije razkrijejo zavarovanje s premoženjem, pridobljeno s </w:t>
            </w:r>
            <w:proofErr w:type="spellStart"/>
            <w:r>
              <w:rPr>
                <w:i w:val="0"/>
              </w:rPr>
              <w:t>priposestvovanjem</w:t>
            </w:r>
            <w:proofErr w:type="spellEnd"/>
            <w:r>
              <w:rPr>
                <w:i w:val="0"/>
              </w:rPr>
              <w:t>, ki je na referenčni datum poročanja še naprej pripoznano v bilanci stanja in razvrščeno kot opredmetena osnovna sredstva.</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Drugo kot opredmetena osnovna sredstva</w:t>
            </w:r>
          </w:p>
          <w:p w14:paraId="3F0B3F2E" w14:textId="77777777" w:rsidR="004E71F4" w:rsidRPr="007F4CC8" w:rsidRDefault="004E71F4" w:rsidP="00155C96">
            <w:pPr>
              <w:pStyle w:val="Institutionquisigne"/>
              <w:spacing w:before="0" w:after="120"/>
              <w:rPr>
                <w:i w:val="0"/>
              </w:rPr>
            </w:pPr>
            <w:r>
              <w:rPr>
                <w:i w:val="0"/>
              </w:rPr>
              <w:t xml:space="preserve">V tej vrstici se avtomatsko razkrije zavarovanje s premoženjem, pridobljeno s </w:t>
            </w:r>
            <w:proofErr w:type="spellStart"/>
            <w:r>
              <w:rPr>
                <w:i w:val="0"/>
              </w:rPr>
              <w:t>priposestvovanjem</w:t>
            </w:r>
            <w:proofErr w:type="spellEnd"/>
            <w:r>
              <w:rPr>
                <w:i w:val="0"/>
              </w:rPr>
              <w:t xml:space="preserve">, ki je na referenčni datum poročanja še naprej pripoznano v bilanci stanja in ni razvrščeno kot opredmetena osnovna sredstva. Skupno stanje se izračuna z upoštevanjem začetnega stanja (od konca zadnjega poslovnega leta) ter prilivov in odlivov, do katerih je prišlo v obdobju razkritja (od konca zadnjega poslovnega leta). Zavarovanje s premoženjem, pridobljeno s </w:t>
            </w:r>
            <w:proofErr w:type="spellStart"/>
            <w:r>
              <w:rPr>
                <w:i w:val="0"/>
              </w:rPr>
              <w:t>priposestvovanjem</w:t>
            </w:r>
            <w:proofErr w:type="spellEnd"/>
            <w:r>
              <w:rPr>
                <w:i w:val="0"/>
              </w:rPr>
              <w:t xml:space="preserve"> (razen opredmetenih osnovnih sredstev) se razkrije v vrsticah po vrstah zavarovanja s premoženjem.</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lastRenderedPageBreak/>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Stanovanjske nepremičnine</w:t>
            </w:r>
          </w:p>
          <w:p w14:paraId="74F31DF3" w14:textId="77777777" w:rsidR="004E71F4" w:rsidRPr="007F4CC8" w:rsidRDefault="004E71F4" w:rsidP="00155C96">
            <w:pPr>
              <w:pStyle w:val="Institutionquisigne"/>
              <w:spacing w:before="0" w:after="120"/>
              <w:rPr>
                <w:b/>
              </w:rPr>
            </w:pPr>
            <w:r>
              <w:rPr>
                <w:i w:val="0"/>
              </w:rPr>
              <w:t xml:space="preserve">Zavarovanje s premoženjem, pridobljeno s </w:t>
            </w:r>
            <w:proofErr w:type="spellStart"/>
            <w:r>
              <w:rPr>
                <w:i w:val="0"/>
              </w:rPr>
              <w:t>priposestvovanjem</w:t>
            </w:r>
            <w:proofErr w:type="spellEnd"/>
            <w:r>
              <w:rPr>
                <w:i w:val="0"/>
              </w:rPr>
              <w:t xml:space="preserve"> stanovanjskih nepremičnin (npr. hiš, stanovanj itd.) ali premoženja, ki bi se lahko v prihodnosti uporabljalo kot tako (npr. nedokončane stanovanjske nepremičnine itd.).</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Poslovne nepremičnine</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Zavarovanje s premoženjem, pridobljeno s </w:t>
            </w:r>
            <w:proofErr w:type="spellStart"/>
            <w:r>
              <w:rPr>
                <w:rFonts w:ascii="Times New Roman" w:hAnsi="Times New Roman"/>
                <w:sz w:val="24"/>
              </w:rPr>
              <w:t>priposestvovanjem</w:t>
            </w:r>
            <w:proofErr w:type="spellEnd"/>
            <w:r>
              <w:rPr>
                <w:rFonts w:ascii="Times New Roman" w:hAnsi="Times New Roman"/>
                <w:sz w:val="24"/>
              </w:rPr>
              <w:t xml:space="preserve"> poslovne ali industrijske nepremičnine, ki se lahko uporablja za poslovanje in/ali naložbene namene, ali katere koli nepremičnine, ki ni stanovanjska nepremičnina, kot so opisane zgoraj.</w:t>
            </w:r>
          </w:p>
          <w:p w14:paraId="1521CDD3" w14:textId="77777777" w:rsidR="004E71F4" w:rsidRPr="007F4CC8" w:rsidRDefault="004E71F4" w:rsidP="00155C96">
            <w:pPr>
              <w:pStyle w:val="Institutionquisigne"/>
              <w:spacing w:before="0" w:after="120"/>
              <w:rPr>
                <w:b/>
              </w:rPr>
            </w:pPr>
            <w:r>
              <w:rPr>
                <w:i w:val="0"/>
              </w:rPr>
              <w:t>Zemljišča (nekmetijska in kmetijska) se prav tako vključijo v to kategorijo.</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Premičnine (vozila, plovila itd.)</w:t>
            </w:r>
          </w:p>
          <w:p w14:paraId="6A3FFE7D" w14:textId="77777777" w:rsidR="004E71F4" w:rsidRPr="007F4CC8" w:rsidRDefault="004E71F4" w:rsidP="00155C96">
            <w:pPr>
              <w:pStyle w:val="Institutionquisigne"/>
              <w:spacing w:before="0" w:after="120"/>
              <w:rPr>
                <w:b/>
              </w:rPr>
            </w:pPr>
            <w:r>
              <w:rPr>
                <w:i w:val="0"/>
              </w:rPr>
              <w:t xml:space="preserve">V tej vrstici se razkrije zavarovanje s premoženjem, pridobljeno s </w:t>
            </w:r>
            <w:proofErr w:type="spellStart"/>
            <w:r>
              <w:rPr>
                <w:i w:val="0"/>
              </w:rPr>
              <w:t>priposestvovanjem</w:t>
            </w:r>
            <w:proofErr w:type="spellEnd"/>
            <w:r>
              <w:rPr>
                <w:i w:val="0"/>
              </w:rPr>
              <w:t xml:space="preserve"> premoženja, ki ni nepremičnina.</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Lastniški in dolžniški instrumenti</w:t>
            </w:r>
          </w:p>
          <w:p w14:paraId="609FD4E1" w14:textId="77777777" w:rsidR="004E71F4" w:rsidRPr="007F4CC8" w:rsidRDefault="004E71F4" w:rsidP="00155C96">
            <w:pPr>
              <w:pStyle w:val="Institutionquisigne"/>
              <w:spacing w:before="0" w:after="120"/>
              <w:rPr>
                <w:b/>
              </w:rPr>
            </w:pPr>
            <w:r>
              <w:rPr>
                <w:i w:val="0"/>
              </w:rPr>
              <w:t xml:space="preserve">V tej vrstici se razkrije zavarovanje s premoženjem, pridobljeno s </w:t>
            </w:r>
            <w:proofErr w:type="spellStart"/>
            <w:r>
              <w:rPr>
                <w:i w:val="0"/>
              </w:rPr>
              <w:t>priposestvovanjem</w:t>
            </w:r>
            <w:proofErr w:type="spellEnd"/>
            <w:r>
              <w:rPr>
                <w:i w:val="0"/>
              </w:rPr>
              <w:t xml:space="preserve"> lastniških ali dolžniških instrumentov.</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Drugo zavarovanje s premoženjem</w:t>
            </w:r>
          </w:p>
          <w:p w14:paraId="724F6703" w14:textId="77777777" w:rsidR="004E71F4" w:rsidRPr="007F4CC8" w:rsidRDefault="004E71F4" w:rsidP="00155C96">
            <w:pPr>
              <w:pStyle w:val="Institutionquisigne"/>
              <w:spacing w:before="0" w:after="120"/>
              <w:rPr>
                <w:i w:val="0"/>
              </w:rPr>
            </w:pPr>
            <w:r>
              <w:rPr>
                <w:i w:val="0"/>
              </w:rPr>
              <w:t xml:space="preserve">Zavarovanje s premoženjem, pridobljeno s </w:t>
            </w:r>
            <w:proofErr w:type="spellStart"/>
            <w:r>
              <w:rPr>
                <w:i w:val="0"/>
              </w:rPr>
              <w:t>priposestvovanjem</w:t>
            </w:r>
            <w:proofErr w:type="spellEnd"/>
            <w:r>
              <w:rPr>
                <w:i w:val="0"/>
              </w:rPr>
              <w:t xml:space="preserve">, ki ne spada v nobeno od kategorij v drugih vrsticah. </w:t>
            </w:r>
          </w:p>
          <w:p w14:paraId="6B2FC257" w14:textId="77777777" w:rsidR="004E71F4" w:rsidRPr="007F4CC8" w:rsidRDefault="004E71F4" w:rsidP="00155C96">
            <w:pPr>
              <w:pStyle w:val="Institutionquisigne"/>
              <w:spacing w:before="0" w:after="120"/>
              <w:rPr>
                <w:b/>
              </w:rPr>
            </w:pPr>
            <w:r>
              <w:rPr>
                <w:i w:val="0"/>
              </w:rPr>
              <w:t>Če je znesek v tej kategoriji razmeroma pomemben, institucije v besedilu, priloženem tej predlogi, zagotovijo dodatne informacije.</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Skupaj</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Zmanjšanje stanja dolga – bruto knjigovodska vrednost</w:t>
            </w:r>
          </w:p>
          <w:p w14:paraId="32C50F20" w14:textId="77777777" w:rsidR="004E71F4" w:rsidRPr="007F4CC8" w:rsidRDefault="004E71F4" w:rsidP="00155C96">
            <w:pPr>
              <w:pStyle w:val="Institutionquisigne"/>
              <w:spacing w:before="0" w:after="120"/>
              <w:rPr>
                <w:i w:val="0"/>
              </w:rPr>
            </w:pPr>
            <w:r>
              <w:rPr>
                <w:i w:val="0"/>
              </w:rPr>
              <w:t xml:space="preserve">Bruto znesek dolga, ki je bil preklican v zameno za zavarovanje s premoženjem, pridobljeno s </w:t>
            </w:r>
            <w:proofErr w:type="spellStart"/>
            <w:r>
              <w:rPr>
                <w:i w:val="0"/>
              </w:rPr>
              <w:t>priposestvovanjem</w:t>
            </w:r>
            <w:proofErr w:type="spellEnd"/>
            <w:r>
              <w:rPr>
                <w:i w:val="0"/>
              </w:rPr>
              <w:t>, v točnem trenutku zamenjave v okviru sodnega postopka ali dvostranskega sporazuma.</w:t>
            </w:r>
          </w:p>
          <w:p w14:paraId="4CE1FD7D" w14:textId="77777777" w:rsidR="004E71F4" w:rsidRPr="007F4CC8" w:rsidRDefault="004E71F4" w:rsidP="00155C96">
            <w:pPr>
              <w:pStyle w:val="Institutionquisigne"/>
              <w:spacing w:before="0" w:after="120"/>
            </w:pPr>
            <w:r>
              <w:rPr>
                <w:i w:val="0"/>
              </w:rPr>
              <w:t>Bruto znesek se izračuna kot bruto zmanjšanje stanja instrumenta brez upoštevanja popravkov vrednosti. Da ne bi prišlo do dvomov, se zmanjšanja stanja zaradi drugih razlogov (npr. izterjave denarnih sredstev) ne razkrijejo v tej vrstici.</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lastRenderedPageBreak/>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Zmanjšanje stanja dolga – akumulirane negativne spremembe</w:t>
            </w:r>
          </w:p>
          <w:p w14:paraId="7CF34C02" w14:textId="77777777" w:rsidR="004E71F4" w:rsidRPr="007F4CC8" w:rsidRDefault="004E71F4" w:rsidP="00155C96">
            <w:pPr>
              <w:pStyle w:val="Institutionquisigne"/>
              <w:spacing w:before="0" w:after="120"/>
              <w:rPr>
                <w:i w:val="0"/>
              </w:rPr>
            </w:pPr>
            <w:r>
              <w:rPr>
                <w:i w:val="0"/>
              </w:rPr>
              <w:t xml:space="preserve">Akumulirana oslabitev ali akumulirane negativne spremembe vrednosti, pripoznane ob začetnem pripoznanju, zavarovanja s premoženjem, pridobljenega s </w:t>
            </w:r>
            <w:proofErr w:type="spellStart"/>
            <w:r>
              <w:rPr>
                <w:i w:val="0"/>
              </w:rPr>
              <w:t>priposestvovanjem</w:t>
            </w:r>
            <w:proofErr w:type="spellEnd"/>
            <w:r>
              <w:rPr>
                <w:i w:val="0"/>
              </w:rPr>
              <w:t>, kot je opisana zgoraj.</w:t>
            </w:r>
          </w:p>
          <w:p w14:paraId="1CB7E8DB" w14:textId="77777777" w:rsidR="004E71F4" w:rsidRPr="007F4CC8" w:rsidRDefault="004E71F4" w:rsidP="00155C96">
            <w:pPr>
              <w:pStyle w:val="Institutionquisigne"/>
              <w:spacing w:before="0" w:after="120"/>
              <w:rPr>
                <w:i w:val="0"/>
              </w:rPr>
            </w:pPr>
            <w:r>
              <w:rPr>
                <w:i w:val="0"/>
              </w:rPr>
              <w:t xml:space="preserve">Glej opredelitev v predlogi CQ7 „Zavarovanje, pridobljeno s </w:t>
            </w:r>
            <w:proofErr w:type="spellStart"/>
            <w:r>
              <w:rPr>
                <w:i w:val="0"/>
              </w:rPr>
              <w:t>priposestvovanjem</w:t>
            </w:r>
            <w:proofErr w:type="spellEnd"/>
            <w:r>
              <w:rPr>
                <w:i w:val="0"/>
              </w:rPr>
              <w:t xml:space="preserve"> in postopki izvršbe“.</w:t>
            </w:r>
          </w:p>
          <w:p w14:paraId="566CE469" w14:textId="77777777" w:rsidR="004E71F4" w:rsidRPr="007F4CC8" w:rsidRDefault="004E71F4" w:rsidP="00155C96">
            <w:pPr>
              <w:pStyle w:val="Institutionquisigne"/>
              <w:spacing w:before="0" w:after="120"/>
            </w:pPr>
            <w:r>
              <w:rPr>
                <w:i w:val="0"/>
              </w:rPr>
              <w:t>Institucije vključijo akumulirane negativne spremembe zaradi amortizacije v primeru opredmetenih osnovnih sredstev in naložbenih nepremičnin, če je relevantno.</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vrednost ob začetnem pripoznanju</w:t>
            </w:r>
          </w:p>
          <w:p w14:paraId="074CCD2D" w14:textId="77777777" w:rsidR="004E71F4" w:rsidRPr="007F4CC8" w:rsidRDefault="004E71F4" w:rsidP="00155C96">
            <w:pPr>
              <w:pStyle w:val="Institutionquisigne"/>
              <w:spacing w:before="0" w:after="120"/>
              <w:rPr>
                <w:b/>
                <w:i w:val="0"/>
              </w:rPr>
            </w:pPr>
            <w:r>
              <w:rPr>
                <w:i w:val="0"/>
              </w:rPr>
              <w:t xml:space="preserve">V tem stolpcu se razkrije bruto knjigovodska vrednost zavarovanja s premoženjem, pridobljenega s </w:t>
            </w:r>
            <w:proofErr w:type="spellStart"/>
            <w:r>
              <w:rPr>
                <w:i w:val="0"/>
              </w:rPr>
              <w:t>priposestvovanjem</w:t>
            </w:r>
            <w:proofErr w:type="spellEnd"/>
            <w:r>
              <w:rPr>
                <w:i w:val="0"/>
              </w:rPr>
              <w:t>, ob začetnem pripoznanju v bilanci stanja institucije.</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akumulirane negativne spremembe</w:t>
            </w:r>
          </w:p>
          <w:p w14:paraId="291CB036" w14:textId="77777777" w:rsidR="004E71F4" w:rsidRPr="007F4CC8" w:rsidRDefault="004E71F4" w:rsidP="00155C96">
            <w:pPr>
              <w:pStyle w:val="Institutionquisigne"/>
              <w:spacing w:before="0" w:after="120"/>
              <w:rPr>
                <w:i w:val="0"/>
              </w:rPr>
            </w:pPr>
            <w:r>
              <w:rPr>
                <w:i w:val="0"/>
              </w:rPr>
              <w:t xml:space="preserve">Akumulirana oslabitev ali akumulirane negativne spremembe vrednosti, pripoznane ob začetnem pripoznanju, zavarovanja s premoženjem, pridobljenega s </w:t>
            </w:r>
            <w:proofErr w:type="spellStart"/>
            <w:r>
              <w:rPr>
                <w:i w:val="0"/>
              </w:rPr>
              <w:t>priposestvovanjem</w:t>
            </w:r>
            <w:proofErr w:type="spellEnd"/>
            <w:r>
              <w:rPr>
                <w:i w:val="0"/>
              </w:rPr>
              <w:t xml:space="preserve">, kot je opisana zgoraj. </w:t>
            </w:r>
          </w:p>
          <w:p w14:paraId="4CA0D5C4" w14:textId="77777777" w:rsidR="004E71F4" w:rsidRPr="007F4CC8" w:rsidRDefault="004E71F4" w:rsidP="00155C96">
            <w:pPr>
              <w:pStyle w:val="Institutionquisigne"/>
              <w:spacing w:before="0" w:after="120"/>
            </w:pPr>
            <w:r>
              <w:rPr>
                <w:i w:val="0"/>
              </w:rPr>
              <w:t>Institucije vključijo akumulirane negativne spremembe zaradi amortizacije v primeru opredmetenih osnovnih sredstev in naložbenih nepremičnin, če je relevantno.</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zaseženo ≤ 2 leti – od tega vrednost ob začetnem pripoznanju </w:t>
            </w:r>
          </w:p>
          <w:p w14:paraId="417F34A7" w14:textId="77777777" w:rsidR="004E71F4" w:rsidRPr="007F4CC8" w:rsidRDefault="004E71F4" w:rsidP="00155C96">
            <w:pPr>
              <w:pStyle w:val="Institutionquisigne"/>
              <w:spacing w:before="0" w:after="120"/>
              <w:rPr>
                <w:i w:val="0"/>
              </w:rPr>
            </w:pPr>
            <w:r>
              <w:rPr>
                <w:i w:val="0"/>
              </w:rPr>
              <w:t xml:space="preserve">Vrednost ob začetnem pripoznanju za zavarovanje s premoženjem, pridobljeno s </w:t>
            </w:r>
            <w:proofErr w:type="spellStart"/>
            <w:r>
              <w:rPr>
                <w:i w:val="0"/>
              </w:rPr>
              <w:t>priposestvovanjem</w:t>
            </w:r>
            <w:proofErr w:type="spellEnd"/>
            <w:r>
              <w:rPr>
                <w:i w:val="0"/>
              </w:rPr>
              <w:t>, ki je na referenčni datum poročanja pripoznano v bilanci stanja 2 leti ali manj.</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zaseženo ≤ 2 leti – od tega akumulirane negativne spremembe</w:t>
            </w:r>
          </w:p>
          <w:p w14:paraId="11843E8C" w14:textId="77777777" w:rsidR="004E71F4" w:rsidRPr="007F4CC8" w:rsidRDefault="004E71F4" w:rsidP="00155C96">
            <w:pPr>
              <w:pStyle w:val="Institutionquisigne"/>
              <w:spacing w:before="0" w:after="120"/>
            </w:pPr>
            <w:r>
              <w:rPr>
                <w:i w:val="0"/>
              </w:rPr>
              <w:t xml:space="preserve">Akumulirane negativne spremembe zavarovanja s premoženjem, pridobljenega s </w:t>
            </w:r>
            <w:proofErr w:type="spellStart"/>
            <w:r>
              <w:rPr>
                <w:i w:val="0"/>
              </w:rPr>
              <w:t>priposestvovanjem</w:t>
            </w:r>
            <w:proofErr w:type="spellEnd"/>
            <w:r>
              <w:rPr>
                <w:i w:val="0"/>
              </w:rPr>
              <w:t>, ki je na referenčni datum poročanja pripoznano v bilanci stanja 2 leti ali manj.</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zaseženo &gt; 2 leti ≤ 5 let – od tega vrednost ob začetnem pripoznanju </w:t>
            </w:r>
          </w:p>
          <w:p w14:paraId="650D54A9" w14:textId="77777777" w:rsidR="004E71F4" w:rsidRPr="007F4CC8" w:rsidRDefault="004E71F4" w:rsidP="00155C96">
            <w:pPr>
              <w:pStyle w:val="Institutionquisigne"/>
              <w:spacing w:before="0" w:after="120"/>
              <w:rPr>
                <w:b/>
                <w:i w:val="0"/>
              </w:rPr>
            </w:pPr>
            <w:r>
              <w:rPr>
                <w:i w:val="0"/>
              </w:rPr>
              <w:t xml:space="preserve">Vrednost ob začetnem pripoznanju za zavarovanje s premoženjem, pridobljeno s </w:t>
            </w:r>
            <w:proofErr w:type="spellStart"/>
            <w:r>
              <w:rPr>
                <w:i w:val="0"/>
              </w:rPr>
              <w:t>priposestvovanjem</w:t>
            </w:r>
            <w:proofErr w:type="spellEnd"/>
            <w:r>
              <w:rPr>
                <w:i w:val="0"/>
              </w:rPr>
              <w:t>, ki je na referenčni datum poročanja pripoznano v bilanci stanja več kot 2 leti in manj kot 5 let.</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lastRenderedPageBreak/>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zaseženo &gt; 2 leti ≤ 5 let – od tega akumulirane negativne spremembe</w:t>
            </w:r>
          </w:p>
          <w:p w14:paraId="1F75800B" w14:textId="77777777" w:rsidR="004E71F4" w:rsidRPr="007F4CC8" w:rsidRDefault="004E71F4" w:rsidP="00155C96">
            <w:pPr>
              <w:pStyle w:val="Institutionquisigne"/>
              <w:spacing w:before="0" w:after="120"/>
            </w:pPr>
            <w:r>
              <w:rPr>
                <w:i w:val="0"/>
              </w:rPr>
              <w:t xml:space="preserve">Akumulirane negativne spremembe zavarovanja s premoženjem, pridobljenega s </w:t>
            </w:r>
            <w:proofErr w:type="spellStart"/>
            <w:r>
              <w:rPr>
                <w:i w:val="0"/>
              </w:rPr>
              <w:t>priposestvovanjem</w:t>
            </w:r>
            <w:proofErr w:type="spellEnd"/>
            <w:r>
              <w:rPr>
                <w:i w:val="0"/>
              </w:rPr>
              <w:t>, ki je na referenčni datum poročanja pripoznano v bilanci stanja več kot 2 leti in manj kot 5 let.</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zaseženo &gt; 5 let – od tega vrednost ob začetnem pripoznanju</w:t>
            </w:r>
          </w:p>
          <w:p w14:paraId="7E2F7EB4" w14:textId="77777777" w:rsidR="004E71F4" w:rsidRPr="007F4CC8" w:rsidRDefault="004E71F4" w:rsidP="00155C96">
            <w:pPr>
              <w:pStyle w:val="Institutionquisigne"/>
              <w:spacing w:before="0" w:after="120"/>
              <w:rPr>
                <w:b/>
                <w:i w:val="0"/>
              </w:rPr>
            </w:pPr>
            <w:r>
              <w:rPr>
                <w:i w:val="0"/>
              </w:rPr>
              <w:t xml:space="preserve">Vrednost ob začetnem pripoznanju za zavarovanje s premoženjem, pridobljeno s </w:t>
            </w:r>
            <w:proofErr w:type="spellStart"/>
            <w:r>
              <w:rPr>
                <w:i w:val="0"/>
              </w:rPr>
              <w:t>priposestvovanjem</w:t>
            </w:r>
            <w:proofErr w:type="spellEnd"/>
            <w:r>
              <w:rPr>
                <w:i w:val="0"/>
              </w:rPr>
              <w:t>, ki je na referenčni datum poročanja pripoznano v bilanci stanja več kot 5 let.</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zaseženo &gt; 5 let – od tega akumulirane negativne spremembe</w:t>
            </w:r>
          </w:p>
          <w:p w14:paraId="46C0DC66" w14:textId="77777777" w:rsidR="004E71F4" w:rsidRPr="007F4CC8" w:rsidRDefault="004E71F4" w:rsidP="00155C96">
            <w:pPr>
              <w:pStyle w:val="Institutionquisigne"/>
              <w:spacing w:before="0" w:after="120"/>
            </w:pPr>
            <w:r>
              <w:rPr>
                <w:i w:val="0"/>
              </w:rPr>
              <w:t xml:space="preserve">Akumulirane negativne spremembe zavarovanja s premoženjem, pridobljenega s </w:t>
            </w:r>
            <w:proofErr w:type="spellStart"/>
            <w:r>
              <w:rPr>
                <w:i w:val="0"/>
              </w:rPr>
              <w:t>priposestvovanjem</w:t>
            </w:r>
            <w:proofErr w:type="spellEnd"/>
            <w:r>
              <w:rPr>
                <w:i w:val="0"/>
              </w:rPr>
              <w:t>, ki je na referenčni datum poročanja pripoznano v bilanci stanja več kot 5 let.</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od tega </w:t>
            </w:r>
            <w:proofErr w:type="spellStart"/>
            <w:r>
              <w:rPr>
                <w:b/>
                <w:i w:val="0"/>
              </w:rPr>
              <w:t>nekratkoročna</w:t>
            </w:r>
            <w:proofErr w:type="spellEnd"/>
            <w:r>
              <w:rPr>
                <w:b/>
                <w:i w:val="0"/>
              </w:rPr>
              <w:t xml:space="preserve"> sredstva v posesti za prodajo – od tega vrednost ob začetnem pripoznanju</w:t>
            </w:r>
          </w:p>
          <w:p w14:paraId="42251EB3" w14:textId="77777777" w:rsidR="004E71F4" w:rsidRPr="007F4CC8" w:rsidRDefault="004E71F4" w:rsidP="00155C96">
            <w:pPr>
              <w:pStyle w:val="Institutionquisigne"/>
              <w:spacing w:before="0" w:after="120"/>
              <w:rPr>
                <w:b/>
                <w:i w:val="0"/>
              </w:rPr>
            </w:pPr>
            <w:r>
              <w:rPr>
                <w:i w:val="0"/>
              </w:rPr>
              <w:t xml:space="preserve">Razkrije se začetna vrednost za zavarovanje s premoženjem, pridobljeno s </w:t>
            </w:r>
            <w:proofErr w:type="spellStart"/>
            <w:r>
              <w:rPr>
                <w:i w:val="0"/>
              </w:rPr>
              <w:t>priposestvovanjem</w:t>
            </w:r>
            <w:proofErr w:type="spellEnd"/>
            <w:r>
              <w:rPr>
                <w:i w:val="0"/>
              </w:rPr>
              <w:t xml:space="preserve">, ki je razvrščeno kot </w:t>
            </w:r>
            <w:proofErr w:type="spellStart"/>
            <w:r>
              <w:rPr>
                <w:i w:val="0"/>
              </w:rPr>
              <w:t>nekratkoročna</w:t>
            </w:r>
            <w:proofErr w:type="spellEnd"/>
            <w:r>
              <w:rPr>
                <w:i w:val="0"/>
              </w:rPr>
              <w:t xml:space="preserve"> sredstva v posesti za prodajo. Če ta razvrstitev ni relevantna v skladu z računovodskim okvirom, ki se uporablja za institucijo, se ta podatek ne navede.</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 xml:space="preserve">Skupno zavarovanje, pridobljeno s </w:t>
            </w:r>
            <w:proofErr w:type="spellStart"/>
            <w:r>
              <w:rPr>
                <w:b/>
                <w:i w:val="0"/>
              </w:rPr>
              <w:t>priposestvovanjem</w:t>
            </w:r>
            <w:proofErr w:type="spellEnd"/>
            <w:r>
              <w:rPr>
                <w:b/>
                <w:i w:val="0"/>
              </w:rPr>
              <w:t xml:space="preserve"> – od tega </w:t>
            </w:r>
            <w:proofErr w:type="spellStart"/>
            <w:r>
              <w:rPr>
                <w:b/>
                <w:i w:val="0"/>
              </w:rPr>
              <w:t>nekratkoročna</w:t>
            </w:r>
            <w:proofErr w:type="spellEnd"/>
            <w:r>
              <w:rPr>
                <w:b/>
                <w:i w:val="0"/>
              </w:rPr>
              <w:t xml:space="preserve"> sredstva v posesti za prodajo – od tega akumulirane negativne spremembe</w:t>
            </w:r>
          </w:p>
          <w:p w14:paraId="217374E3" w14:textId="77777777" w:rsidR="004E71F4" w:rsidRPr="007F4CC8" w:rsidRDefault="004E71F4" w:rsidP="00155C96">
            <w:pPr>
              <w:pStyle w:val="Personnequisigne"/>
              <w:spacing w:after="120"/>
              <w:jc w:val="both"/>
            </w:pPr>
            <w:r>
              <w:rPr>
                <w:i w:val="0"/>
              </w:rPr>
              <w:t xml:space="preserve">Razkrijejo se akumulirane negativne spremembe za zavarovanje s premoženjem, pridobljeno s </w:t>
            </w:r>
            <w:proofErr w:type="spellStart"/>
            <w:r>
              <w:rPr>
                <w:i w:val="0"/>
              </w:rPr>
              <w:t>priposestvovanjem</w:t>
            </w:r>
            <w:proofErr w:type="spellEnd"/>
            <w:r>
              <w:rPr>
                <w:i w:val="0"/>
              </w:rPr>
              <w:t xml:space="preserve">, ki je razvrščeno kot </w:t>
            </w:r>
            <w:proofErr w:type="spellStart"/>
            <w:r>
              <w:rPr>
                <w:i w:val="0"/>
              </w:rPr>
              <w:t>nekratkoročna</w:t>
            </w:r>
            <w:proofErr w:type="spellEnd"/>
            <w:r>
              <w:rPr>
                <w:i w:val="0"/>
              </w:rPr>
              <w:t xml:space="preserve"> sredstva v posesti za prodajo. Če ta razvrstitev ni relevantna v skladu z računovodskim okvirom, ki se uporablja za institucijo, se ta podatek ne navede.</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PRILOGA XVIII – Razkritje uporabe tehnik za zmanjševanje kreditnega tveganja</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Razpredelnica EU CRC – Zahteve po kvalitativnih razkritjih v zvezi s tehnikami CRM. Prilagodljiva razpredelnica.</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iCs/>
          <w:sz w:val="24"/>
        </w:rPr>
        <w:t>Institucije razkrijejo informacije iz člena 453(a) do (e) Uredbe (EU) št. 575/2013</w:t>
      </w:r>
      <w:r>
        <w:rPr>
          <w:rStyle w:val="FootnoteReference"/>
          <w:rFonts w:ascii="Times New Roman" w:hAnsi="Times New Roman" w:cs="Times New Roman"/>
          <w:sz w:val="24"/>
          <w:szCs w:val="24"/>
        </w:rPr>
        <w:footnoteReference w:id="33"/>
      </w:r>
      <w:r>
        <w:rPr>
          <w:rFonts w:ascii="Times New Roman" w:hAnsi="Times New Roman"/>
          <w:sz w:val="24"/>
        </w:rPr>
        <w:t xml:space="preserve"> (CRR) ob upoštevanju navodil iz te priloge za izpolnjevanje razpredelnice EU CRC iz Priloge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 </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Pravna podlaga in navodila</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Pojasnilo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Člen 453(a)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Institucije pri razkrivanju informacij o svojih smernicah za pobot in uporabi pobota v skladu s členom 453(a) CRR zagotovijo jasen opis politik in postopkov za zmanjševanje kreditnega tveganja v zvezi z bilančnimi in </w:t>
            </w:r>
            <w:proofErr w:type="spellStart"/>
            <w:r>
              <w:rPr>
                <w:rFonts w:ascii="Times New Roman" w:hAnsi="Times New Roman"/>
                <w:sz w:val="24"/>
              </w:rPr>
              <w:t>zunajbilančnimi</w:t>
            </w:r>
            <w:proofErr w:type="spellEnd"/>
            <w:r>
              <w:rPr>
                <w:rFonts w:ascii="Times New Roman" w:hAnsi="Times New Roman"/>
                <w:sz w:val="24"/>
              </w:rPr>
              <w:t xml:space="preserve"> poboti ter okvirnimi pogodbami o pobotu. Navedejo tudi, v kakšnem obsegu so bili uporabljeni bilančni in </w:t>
            </w:r>
            <w:proofErr w:type="spellStart"/>
            <w:r>
              <w:rPr>
                <w:rFonts w:ascii="Times New Roman" w:hAnsi="Times New Roman"/>
                <w:sz w:val="24"/>
              </w:rPr>
              <w:t>zunajbilančni</w:t>
            </w:r>
            <w:proofErr w:type="spellEnd"/>
            <w:r>
              <w:rPr>
                <w:rFonts w:ascii="Times New Roman" w:hAnsi="Times New Roman"/>
                <w:sz w:val="24"/>
              </w:rPr>
              <w:t xml:space="preserve"> poboti ter okvirne pogodbe o pobotu in njihov pomen za upravljanje kreditnega tveganja. Institucije lahko zlasti navedejo podrobnosti o tehnikah, ki se uporabljajo, o pozicijah, kritih s pogodbami o bilančnem pobotu, in o finančnih instrumentih, vključenih v okvirne pogodbe o pobotu. Poleg tega lahko opišejo tudi pogoje, ki so nujni za zagotovitev učinkovitosti teh tehnik, in kontrole, ki so vzpostavljene za upravljanje pravnega tveganja.</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Člen 453(b)</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CRR.</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Institucije lahko v okviru razkritij o glavnih značilnostih politik in postopkov za vrednotenje in upravljanje primernega zavarovanja s premoženjem v skladu s členom 453(b) CRR, razkrijejo:</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podlago za oceno in ovrednotenje danega zavarovanja s premoženjem, vključno z oceno pravne varnosti tehnik za zmanjševanje kreditnega tveganja (CRM),</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vrsto vrednotenja (tržna vrednost, hipotekarna kreditna vrednost, druge vrste vrednosti),</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v kakšnem obsegu je izračunana vrednost zavarovanja zmanjšana za odbitek,</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postopek, pogostost in metode, ki se uporabljajo za spremljanje vrednosti hipotekarnega zavarovanja s premoženjem in drugega fizičnega zavarovanja s premoženjem.</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Poleg tega lahko institucije razkrijejo tudi, ali obstaja sistem omejitev kreditne izpostavljenosti in kako sprejeto zavarovanje s premoženjem vpliva na količinsko opredelitev teh omejitev.</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Člen 453(c) CRR.</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Pri opisovanju zavarovanja s premoženjem, sprejetega v skladu s členom 453(c) CRR, institucije zagotovijo podroben opis glavnih vrst zavarovanja s premoženjem, ki se sprejema za zmanjševanje kreditnega tveganja, po vrstah izpostavljenosti.</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Člen 453(d) CRR.</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Opis glavnih vrst dajalcev jamstva in nasprotnih strank v kreditnih izvedenih finančnih instrumentih ter njihova kreditna sposobnost, ki jih je treba razkriti v skladu s členom 453(d), zajema kreditne izvedene finančne instrumente, ki se uporabljajo za namene zmanjševanja kapitalskih zahtev, razen tistih, ki so del struktur sintetičnega </w:t>
            </w:r>
            <w:proofErr w:type="spellStart"/>
            <w:r>
              <w:rPr>
                <w:rFonts w:ascii="Times New Roman" w:hAnsi="Times New Roman"/>
                <w:sz w:val="24"/>
              </w:rPr>
              <w:t>listinjenja</w:t>
            </w:r>
            <w:proofErr w:type="spellEnd"/>
            <w:r>
              <w:rPr>
                <w:rFonts w:ascii="Times New Roman" w:hAnsi="Times New Roman"/>
                <w:sz w:val="24"/>
              </w:rPr>
              <w:t xml:space="preserve">. Institucije lahko vključijo tudi opis metod, ki se uporabljajo za pripoznanje učinkov zagotovljenih jamstev ali kreditnih izvedenih finančnih instrumentov po glavnih vrstah dajalcev jamstva in nasprotnih strank.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Člen 453(e) CRR.</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Pri razkrivanju informacij o koncentracijah tržnega ali kreditnega tveganja v okviru CRM v skladu s členom 453(e) institucije zagotovijo analizo vseh koncentracij, do katerih pride zaradi ukrepov CRM in ki lahko preprečijo učinkovitost instrumentov CRM. Koncentracije, ki jih zajemajo ta razkritja, lahko vključujejo koncentracije po vrstah instrumenta, ki se uporablja kot zavarovanje s premoženjem, subjektih (koncentracija glede na vrsto dajalca jamstva in ponudnika kreditnih izvedenih finančnih instrumentov), sektorjih, geografskih območjih, valutah, bonitetnih ocenah ali drugih dejavnikih, ki morda vplivajo na vrednost zavarovanja in jo zato zmanjšajo.</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Predloga EU CR3 – Pregled tehnik CRM: Razkritje uporabe tehnik za zmanjševanje kreditnega tveganja. Fiksna predloga.</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Institucije razkrijejo informacije iz člena 453(f) CRR ob upoštevanju navodil iz te priloge za izpolnjevanje predloge EU CR3 iz Priloge XVII k tej izvedbeni uredbi.</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Ta predloga zajema vse tehnike CRM, pripoznane na podlagi veljavnega računovodskega okvira, neodvisno od tega, ali so te tehnike pripoznane v skladu s CRR, ki med drugim vključujejo vse vrste zavarovanja s premoženjem, finančna poroštva in kreditne izvedene finančne instrumente, ki se uporabljajo za vse zavarovane izpostavljenosti, ne glede na to, ali se za izračun zneska tveganju prilagojenih izpostavljenosti (RWEA) uporablja standardizirani pristop ali pristop IRB.</w:t>
      </w:r>
      <w:r>
        <w:rPr>
          <w:rFonts w:ascii="Times New Roman" w:hAnsi="Times New Roman"/>
          <w:iCs/>
          <w:sz w:val="24"/>
        </w:rPr>
        <w:t xml:space="preserve"> Institucije za pojasnitev kakršnih koli pomembnih sprememb v obdobju razkritja in ključnih dejavnikov za takšne spremembe predlogo dopolnijo s pisnim komentarjem.</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Pravna podlaga in navodila</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Pojasnilo</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Nezavarovana knjigovodska vrednost: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Knjigovodska vrednost izpostavljenosti (brez popravkov/oslabitev), ki nimajo koristi od tehnike CRM, ne glede na to, ali je ta tehnika pripoznana v skladu s CRR.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To se zlasti nanaša na izpostavljenosti, za katere ni bilo zastavljeno zavarovanje s premoženjem ali prejeto finančno poroštvo. Nezavarovani del delno zavarovane ali delno zajamčene izpostavljenosti se ne vključi.</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Zavarovana knjigovodska vrednost: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Knjigovodska vrednost izpostavljenosti, s katerimi je povezana vsaj ena tehnika CRM (zavarovanje s premoženjem, finančna poroštva, kreditni izvedeni finančni instrumenti).</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Če vrednost zavarovanja s premoženjem, finančnih poroštev in kreditnih izvedenih finančnih instrumentov, s katerimi je zavarovana izpostavljenost, presega knjigovodsko vrednost izpostavljenosti, se vključijo samo vrednosti do knjigovodske vrednosti te izpostavljenosti. Če knjigovodska vrednost izpostavljenosti presega vrednost zavarovanja s premoženjem, finančnih poroštev in kreditnih izvedenih finančnih instrumentov, s katerimi je zavarovana izpostavljenost, se vključi polna knjigovodska vrednost te izpostavljenosti.</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Za namene upoštevanja stolpcev c, d in e se razporeditev knjigovodske vrednosti izpostavljenosti z več zavarovanji na različne tehnike CRM izvede po prednostnem vrstnem redu, pri čemer se začne s tehniko CRM, za katero se pričakuje, da bo v primeru neplačila unovčena prva, in v okviru omejitev knjigovodske vrednosti zavarovanih izpostavljenosti. Posamezni del izpostavljenosti je lahko vključen le v enega od stolpcev c, d ali e te predloge.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Od tega zavarovano s premoženjem: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To je podskupina stolpca b te predloge in predstavlja knjigovodsko vrednost izpostavljenosti (brez popravkov/oslabitev) ali delov izpostavljenosti, zavarovanih z zavarovanjem s premoženjem. Če je izpostavljenost zavarovana z zavarovanjem s premoženjem in drugimi tehnikami CRM, za katere se pričakuje, da se bodo v primeru neplačila unovčile prej, je knjigovodska vrednost izpostavljenosti, zavarovane z zavarovanjem s premoženjem, preostali del izpostavljenosti po upoštevanju delov izpostavljenosti, ki so že zavarovani z drugimi tehnikami za zmanjševanje tveganja, v višini do knjigovodske vrednosti izpostavljenosti.</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Od tega zavarovano s finančnimi poroštvi: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To je podskupina stolpca b te predloge in predstavlja knjigovodsko vrednost izpostavljenosti (brez popravkov/oslabitev) ali delov izpostavljenosti, zavarovanih s poroštvi. Če je izpostavljenost zavarovana s poroštvom in drugimi tehnikami CRM, za katere se pričakuje, da se bodo v primeru neplačila unovčile prej, je knjigovodska vrednost izpostavljenosti, zavarovane s poroštvom, preostali del izpostavljenosti po upoštevanju delov izpostavljenosti, ki so že zavarovani z drugimi tehnikami za zmanjševanje tveganja, v višini do knjigovodske vrednosti izpostavljenosti.</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Od tega zavarovano s kreditnimi izvedenimi finančnimi instrumenti: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To je podskupina stolpca d (finančna poroštva) te predloge in predstavlja knjigovodsko vrednost izpostavljenosti (brez popravkov/oslabitev) ali delov izpostavljenosti, zavarovanih s kreditnimi izvedenimi finančnimi instrumenti. Če je izpostavljenost zavarovana s kreditnimi izvedenimi finančnimi instrumenti in drugimi tehnikami CRM, za katere se pričakuje, da se bodo v primeru neplačila unovčile prej, je knjigovodska vrednost izpostavljenosti, </w:t>
            </w:r>
            <w:r>
              <w:rPr>
                <w:rFonts w:ascii="Times New Roman" w:hAnsi="Times New Roman"/>
                <w:iCs/>
                <w:sz w:val="24"/>
              </w:rPr>
              <w:lastRenderedPageBreak/>
              <w:t xml:space="preserve">zavarovane s kreditnimi izvedenimi finančnimi instrumenti, preostali del izpostavljenosti po upoštevanju delov izpostavljenosti, ki so že zavarovani z drugimi tehnikami za zmanjševanje tveganja, v višini do knjigovodske vrednosti izpostavljenosti.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Pravna podlaga in navodila</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Pojasnilo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Krediti in druga finančna sredstva</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„Krediti in druga finančna sredstva“ so dolžniški instrumenti, ki jih imajo institucije in niso vrednostni papirji; ta postavka vključuje „kredite“ (posojila) v skladu z Uredbo (EU) št. 1071/2013 (uredba ECB o postavkah bilance stanja)</w:t>
            </w:r>
            <w:r>
              <w:rPr>
                <w:rStyle w:val="FootnoteReference"/>
                <w:rFonts w:ascii="Times New Roman" w:hAnsi="Times New Roman" w:cs="Times New Roman"/>
                <w:sz w:val="24"/>
                <w:szCs w:val="24"/>
              </w:rPr>
              <w:footnoteReference w:id="34"/>
            </w:r>
            <w:r>
              <w:rPr>
                <w:rFonts w:ascii="Times New Roman" w:hAnsi="Times New Roman"/>
                <w:sz w:val="24"/>
              </w:rPr>
              <w:t xml:space="preserve"> ter finančna sredstva, ki se ne morejo razvrstiti kot „krediti“ v skladu z uredbo ECB o postavkah bilance stanja, kot je določeno v odstavku 32 dela 1 Priloge V k Izvedbeni uredbi Komisije (EU) št. 680/2014</w:t>
            </w:r>
            <w:r>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Dolžniški vrednostni papirji</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Dolžniški vrednostni papirji so dolžniški instrumenti, ki jih imajo institucije in so izdani kot vrednostni papirji, ki niso krediti v skladu z uredbo ECB o postavkah bilance stanja, kot je določeno v odstavku 31 dela 1 Priloge V k Izvedbeni uredbi Komisije (EU) št. 680/2014.</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Skupaj</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Vsota zneskov v vrsticah 1 in 2 te predloge.</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Od tega nedonosne izpostavljenosti</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Nedonosne izpostavljenosti v skladu s členom 47a CRR.</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Od tega neplačane</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Neplačane izpostavljenosti v skladu s členom 178 CRR.</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 xml:space="preserve">PRILOGA XX – Navodila v zvezi z razkritjem uporabe standardiziranega pristopa za kreditno tveganje (brez kreditnega tveganja nasprotne stranke in pozicij v </w:t>
      </w:r>
      <w:proofErr w:type="spellStart"/>
      <w:r>
        <w:t>listinjenju</w:t>
      </w:r>
      <w:proofErr w:type="spellEnd"/>
      <w:r>
        <w:t>)</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 xml:space="preserve">Instrumenti, za katere velja poglavje 6 naslova II dela 3 CRR (izpostavljenosti do CCR), in instrumenti, za katere se uporabljajo zahteve iz poglavja 5 naslova II dela 3 CRR (izpostavljenosti v </w:t>
      </w:r>
      <w:proofErr w:type="spellStart"/>
      <w:r>
        <w:rPr>
          <w:rFonts w:ascii="Times New Roman" w:hAnsi="Times New Roman"/>
          <w:sz w:val="24"/>
        </w:rPr>
        <w:t>listinjenju</w:t>
      </w:r>
      <w:proofErr w:type="spellEnd"/>
      <w:r>
        <w:rPr>
          <w:rFonts w:ascii="Times New Roman" w:hAnsi="Times New Roman"/>
          <w:sz w:val="24"/>
        </w:rPr>
        <w:t>), niso zajeti v predlogah, ki jih obravnavajo navodila v tej prilogi.</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Razpredelnica EU CRD – Zahteve po kvalitativnih razkritjih v zvezi s standardiziranim pristopom. </w:t>
      </w:r>
      <w:r>
        <w:rPr>
          <w:rFonts w:ascii="Times New Roman" w:hAnsi="Times New Roman"/>
          <w:sz w:val="24"/>
        </w:rPr>
        <w:t>Prilagodljiva oblika.</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Institucije razkrijejo informacije iz člena 444(a) do (d) Uredbe (EU) št. 575/2013</w:t>
      </w:r>
      <w:r>
        <w:rPr>
          <w:rStyle w:val="FootnoteReference"/>
        </w:rPr>
        <w:footnoteReference w:id="36"/>
      </w:r>
      <w:r>
        <w:rPr>
          <w:rFonts w:ascii="Times New Roman" w:hAnsi="Times New Roman"/>
          <w:sz w:val="24"/>
        </w:rPr>
        <w:t xml:space="preserve"> (CRR) ob upoštevanju navodil iz te priloge za izpolnjevanje razpredelnice EU CRD iz Priloge XIX k tej izvedbeni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 </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podlaga in navodila</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Pojasnilo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Člen 444(a)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Institucije razkrijejo imena imenovanih zunanjih bonitetnih institucij (ECAI) in izvoznih agencij (ECA), ki jih uporabljajo, ter razloge za kakršne koli spremembe pri imenovanjih v obdobju razkritja.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Člen 444(b) CRR.</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Institucije navedejo kategorije izpostavljenosti iz člena 112 CRR, za katere izračunajo zneske tveganju prilagojenih izpostavljenosti v skladu s poglavjem 2 naslova II dela 3 CRR ob uporabi bonitetne ocene imenovane ECAI ali ECA.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Člen 444(c) CRR.</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Če se za določanje uteži tveganja, ki se dodeli izpostavljenosti, ki ni vključena v trgovalno knjigo, uporabi bonitetna ocena izdajatelja ali izdaje v skladu s členom 139 poglavja 2 naslova II dela 3 CRR, institucije opišejo postopek, ki ga uporabijo.</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Člen 444(d) CRR.</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Institucije za vsako kategorijo izpostavljenosti iz člena 112 CRR navedejo </w:t>
            </w:r>
            <w:proofErr w:type="spellStart"/>
            <w:r>
              <w:rPr>
                <w:rFonts w:ascii="Times New Roman" w:hAnsi="Times New Roman"/>
                <w:sz w:val="24"/>
              </w:rPr>
              <w:t>alfanumerično</w:t>
            </w:r>
            <w:proofErr w:type="spellEnd"/>
            <w:r>
              <w:rPr>
                <w:rFonts w:ascii="Times New Roman" w:hAnsi="Times New Roman"/>
                <w:sz w:val="24"/>
              </w:rPr>
              <w:t xml:space="preserve"> lestvico vsake imenovane ECAI/ECA (kot so navedene v vrstici (a) te predloge) z utežmi tveganja, ki ustrezajo stopnjam kreditne kakovosti iz poglavja 2 naslova II dela 3 CRR, razen kadar institucija upošteva standardno shemo </w:t>
            </w:r>
            <w:proofErr w:type="spellStart"/>
            <w:r>
              <w:rPr>
                <w:rFonts w:ascii="Times New Roman" w:hAnsi="Times New Roman"/>
                <w:sz w:val="24"/>
              </w:rPr>
              <w:t>vzporeditve</w:t>
            </w:r>
            <w:proofErr w:type="spellEnd"/>
            <w:r>
              <w:rPr>
                <w:rFonts w:ascii="Times New Roman" w:hAnsi="Times New Roman"/>
                <w:sz w:val="24"/>
              </w:rPr>
              <w:t xml:space="preserve">, ki jo objavi EBA.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Predloga EU CR4 – Izpostavljenost kreditnemu tveganju in učinki CRM.</w:t>
      </w:r>
      <w:r>
        <w:rPr>
          <w:rFonts w:ascii="Times New Roman" w:hAnsi="Times New Roman"/>
          <w:sz w:val="24"/>
        </w:rPr>
        <w:t xml:space="preserve"> Fiksna oblika.</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 xml:space="preserve">Institucije, ki izračunavajo zneske tveganju prilagojenih izpostavljenosti za kreditno tveganje v skladu s poglavjem 2 naslova II dela 3 CRR, razkrijejo informacije iz člena </w:t>
      </w:r>
      <w:r>
        <w:rPr>
          <w:rFonts w:ascii="Times New Roman" w:hAnsi="Times New Roman"/>
          <w:sz w:val="24"/>
        </w:rPr>
        <w:lastRenderedPageBreak/>
        <w:t>453(g), (h) in (i) CRR in člena 444(e) CRR ob upoštevanju navodil iz te priloge za izpolnjevanje predloge EU CR4 iz Priloge XIX k tej izvedbeni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podlaga in navodila</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Pojasnilo</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Izpostavljenosti pred CCF in pred CRM – bilančne izpostavljenosti: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Institucije razkrijejo bilančno izpostavljenost v okviru obsega bonitetne konsolidacije v skladu s členom 111 CRR po posebnih popravkih zaradi kreditnega tveganja v skladu s členom 110 CRR, dodatnih prilagoditvah vrednosti v skladu s členoma 34 in 105 CRR, odbitih zneskih v skladu s členom 36(1)(m) CRR, drugih zmanjšanjih kapitala in odpisih (kot so opredeljeni v veljavnem računovodskem okviru), vendar pred (i) uporabo kreditnih </w:t>
            </w:r>
            <w:proofErr w:type="spellStart"/>
            <w:r>
              <w:rPr>
                <w:rFonts w:ascii="Times New Roman" w:hAnsi="Times New Roman"/>
                <w:sz w:val="24"/>
              </w:rPr>
              <w:t>konverzijskih</w:t>
            </w:r>
            <w:proofErr w:type="spellEnd"/>
            <w:r>
              <w:rPr>
                <w:rFonts w:ascii="Times New Roman" w:hAnsi="Times New Roman"/>
                <w:sz w:val="24"/>
              </w:rPr>
              <w:t xml:space="preserve"> faktorjev (CCF), ko so določeni v istem členu, in (ii) uporabo tehnik CRM, določenih v poglavju 4 naslova II dela 3 CRR.</w:t>
            </w:r>
            <w:r>
              <w:rPr>
                <w:rFonts w:ascii="Times New Roman" w:hAnsi="Times New Roman"/>
                <w:iCs/>
                <w:sz w:val="24"/>
              </w:rPr>
              <w:t xml:space="preserve"> Za vrednosti izpostavljenosti iz naslova zakupa se uporablja člen 134(7) CRR.</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Izpostavljenosti pred CCF in pred CRM – </w:t>
            </w:r>
            <w:proofErr w:type="spellStart"/>
            <w:r>
              <w:rPr>
                <w:rFonts w:ascii="Times New Roman" w:hAnsi="Times New Roman"/>
                <w:b/>
                <w:iCs/>
                <w:sz w:val="24"/>
              </w:rPr>
              <w:t>zunajbilančne</w:t>
            </w:r>
            <w:proofErr w:type="spellEnd"/>
            <w:r>
              <w:rPr>
                <w:rFonts w:ascii="Times New Roman" w:hAnsi="Times New Roman"/>
                <w:b/>
                <w:iCs/>
                <w:sz w:val="24"/>
              </w:rPr>
              <w:t xml:space="preserve"> izpostavljenosti:</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Institucije razkrijejo </w:t>
            </w:r>
            <w:proofErr w:type="spellStart"/>
            <w:r>
              <w:rPr>
                <w:rFonts w:ascii="Times New Roman" w:hAnsi="Times New Roman"/>
                <w:sz w:val="24"/>
              </w:rPr>
              <w:t>zunajbilančno</w:t>
            </w:r>
            <w:proofErr w:type="spellEnd"/>
            <w:r>
              <w:rPr>
                <w:rFonts w:ascii="Times New Roman" w:hAnsi="Times New Roman"/>
                <w:sz w:val="24"/>
              </w:rPr>
              <w:t xml:space="preserve"> izpostavljenost v okviru obsega bonitetne konsolidacije po posebnih popravkih zaradi kreditnega tveganja in odbitih zneskih v skladu s členom 36(1)(m) CRR, vendar pred uporabo kreditnih </w:t>
            </w:r>
            <w:proofErr w:type="spellStart"/>
            <w:r>
              <w:rPr>
                <w:rFonts w:ascii="Times New Roman" w:hAnsi="Times New Roman"/>
                <w:sz w:val="24"/>
              </w:rPr>
              <w:t>konverzijskih</w:t>
            </w:r>
            <w:proofErr w:type="spellEnd"/>
            <w:r>
              <w:rPr>
                <w:rFonts w:ascii="Times New Roman" w:hAnsi="Times New Roman"/>
                <w:sz w:val="24"/>
              </w:rPr>
              <w:t xml:space="preserve"> faktorjev v skladu s členom 111 in pred učinkom tehnik CRM (ob upoštevanju poglavja 4 naslova II dela 3 CRR).</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Izpostavljenosti po CCF in po CRM – bilančne izpostavljenosti: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Institucije razkrijejo znesek bilančne izpostavljenosti v okviru obsega bonitetne konsolidacije v skladu s členom 111 CRR po posebnih popravkih zaradi kreditnega tveganja v skladu s členom 110 CRR, dodatnih prilagoditvah vrednosti v skladu s členoma 34 in 105 CRR, odbitih zneskih v skladu s členom 36(1)(m) CRR, drugih zmanjšanjih kapitala in odpisih, kot so opredeljeni v veljavnem računovodskem okviru, ter po uporabi vseh tehnik za zmanjševanje kreditnega tveganja in kreditnih </w:t>
            </w:r>
            <w:proofErr w:type="spellStart"/>
            <w:r>
              <w:rPr>
                <w:rFonts w:ascii="Times New Roman" w:hAnsi="Times New Roman"/>
                <w:sz w:val="24"/>
              </w:rPr>
              <w:t>konverzijskih</w:t>
            </w:r>
            <w:proofErr w:type="spellEnd"/>
            <w:r>
              <w:rPr>
                <w:rFonts w:ascii="Times New Roman" w:hAnsi="Times New Roman"/>
                <w:sz w:val="24"/>
              </w:rPr>
              <w:t xml:space="preserve"> faktorjev.</w:t>
            </w:r>
            <w:r>
              <w:rPr>
                <w:rFonts w:ascii="Times New Roman" w:hAnsi="Times New Roman"/>
                <w:iCs/>
                <w:sz w:val="24"/>
              </w:rPr>
              <w:t xml:space="preserve"> To je znesek, za katerega se uporabljajo uteži tveganja (v skladu s členom 113 in oddelkom 1 poglavja 2 naslova II dela 3 CRR). Po uporabi tehnik za zmanjševanje kreditnega tveganja in kreditnih </w:t>
            </w:r>
            <w:proofErr w:type="spellStart"/>
            <w:r>
              <w:rPr>
                <w:rFonts w:ascii="Times New Roman" w:hAnsi="Times New Roman"/>
                <w:iCs/>
                <w:sz w:val="24"/>
              </w:rPr>
              <w:t>konverzijskih</w:t>
            </w:r>
            <w:proofErr w:type="spellEnd"/>
            <w:r>
              <w:rPr>
                <w:rFonts w:ascii="Times New Roman" w:hAnsi="Times New Roman"/>
                <w:iCs/>
                <w:sz w:val="24"/>
              </w:rPr>
              <w:t xml:space="preserve"> faktorjev je to neto enakovredni kreditni znesek.</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Izpostavljenosti po CCF in po CRM – </w:t>
            </w:r>
            <w:proofErr w:type="spellStart"/>
            <w:r>
              <w:rPr>
                <w:rFonts w:ascii="Times New Roman" w:hAnsi="Times New Roman"/>
                <w:b/>
                <w:iCs/>
                <w:sz w:val="24"/>
              </w:rPr>
              <w:t>zunajbilančne</w:t>
            </w:r>
            <w:proofErr w:type="spellEnd"/>
            <w:r>
              <w:rPr>
                <w:rFonts w:ascii="Times New Roman" w:hAnsi="Times New Roman"/>
                <w:b/>
                <w:iCs/>
                <w:sz w:val="24"/>
              </w:rPr>
              <w:t xml:space="preserve"> izpostavljenosti: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Institucije razkrijejo znesek </w:t>
            </w:r>
            <w:proofErr w:type="spellStart"/>
            <w:r>
              <w:rPr>
                <w:rFonts w:ascii="Times New Roman" w:hAnsi="Times New Roman"/>
                <w:iCs/>
                <w:sz w:val="24"/>
              </w:rPr>
              <w:t>zunajbilančne</w:t>
            </w:r>
            <w:proofErr w:type="spellEnd"/>
            <w:r>
              <w:rPr>
                <w:rFonts w:ascii="Times New Roman" w:hAnsi="Times New Roman"/>
                <w:iCs/>
                <w:sz w:val="24"/>
              </w:rPr>
              <w:t xml:space="preserve"> izpostavljenosti po upoštevanju posebnih popravkov zaradi kreditnega tveganja, kot so opredeljeni v Delegirani uredbi (EU) št. 183/2014</w:t>
            </w:r>
            <w:r>
              <w:rPr>
                <w:rStyle w:val="FootnoteReference"/>
                <w:rFonts w:eastAsia="Times New Roman" w:cs="Times New Roman"/>
                <w:iCs/>
              </w:rPr>
              <w:footnoteReference w:id="37"/>
            </w:r>
            <w:r>
              <w:rPr>
                <w:rFonts w:ascii="Times New Roman" w:hAnsi="Times New Roman"/>
                <w:iCs/>
                <w:sz w:val="24"/>
              </w:rPr>
              <w:t xml:space="preserve">, dodatnih prilagoditev vrednosti in drugih zmanjšanj kapitala ter po uporabi vseh tehnik za zmanjševanje kreditnega tveganja in kreditnih </w:t>
            </w:r>
            <w:proofErr w:type="spellStart"/>
            <w:r>
              <w:rPr>
                <w:rFonts w:ascii="Times New Roman" w:hAnsi="Times New Roman"/>
                <w:iCs/>
                <w:sz w:val="24"/>
              </w:rPr>
              <w:t>konverzijskih</w:t>
            </w:r>
            <w:proofErr w:type="spellEnd"/>
            <w:r>
              <w:rPr>
                <w:rFonts w:ascii="Times New Roman" w:hAnsi="Times New Roman"/>
                <w:iCs/>
                <w:sz w:val="24"/>
              </w:rPr>
              <w:t xml:space="preserve"> faktorjev. To je znesek, za katerega se uporabljajo uteži tveganja (v skladu s členom 113 in oddelkom 1 poglavja 2 naslova II dela 3 CRR). Po uporabi tehnik za zmanjševanje </w:t>
            </w:r>
            <w:r>
              <w:rPr>
                <w:rFonts w:ascii="Times New Roman" w:hAnsi="Times New Roman"/>
                <w:iCs/>
                <w:sz w:val="24"/>
              </w:rPr>
              <w:lastRenderedPageBreak/>
              <w:t xml:space="preserve">kreditnega tveganja in kreditnih </w:t>
            </w:r>
            <w:proofErr w:type="spellStart"/>
            <w:r>
              <w:rPr>
                <w:rFonts w:ascii="Times New Roman" w:hAnsi="Times New Roman"/>
                <w:iCs/>
                <w:sz w:val="24"/>
              </w:rPr>
              <w:t>konverzijskih</w:t>
            </w:r>
            <w:proofErr w:type="spellEnd"/>
            <w:r>
              <w:rPr>
                <w:rFonts w:ascii="Times New Roman" w:hAnsi="Times New Roman"/>
                <w:iCs/>
                <w:sz w:val="24"/>
              </w:rPr>
              <w:t xml:space="preserve"> faktorjev je to neto enakovredni kreditni znesek.</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Zneski tveganju prilagojenih izpostavljenosti (RWEA), izračunani v skladu z oddelkom 1 poglavja 2 naslova II dela 3 CRR.</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Gostota RWEA</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(stolpec e/stolpca (</w:t>
            </w:r>
            <w:proofErr w:type="spellStart"/>
            <w:r>
              <w:rPr>
                <w:rFonts w:ascii="Times New Roman" w:hAnsi="Times New Roman"/>
                <w:iCs/>
                <w:sz w:val="24"/>
              </w:rPr>
              <w:t>c+d</w:t>
            </w:r>
            <w:proofErr w:type="spellEnd"/>
            <w:r>
              <w:rPr>
                <w:rFonts w:ascii="Times New Roman" w:hAnsi="Times New Roman"/>
                <w:iCs/>
                <w:sz w:val="24"/>
              </w:rPr>
              <w:t>)</w:t>
            </w:r>
            <w:r>
              <w:rPr>
                <w:rFonts w:ascii="Times New Roman" w:hAnsi="Times New Roman"/>
                <w:sz w:val="24"/>
              </w:rPr>
              <w:t xml:space="preserve"> te predloge</w:t>
            </w:r>
            <w:r>
              <w:rPr>
                <w:rFonts w:ascii="Times New Roman" w:hAnsi="Times New Roman"/>
                <w:iCs/>
                <w:sz w:val="24"/>
              </w:rPr>
              <w:t>)</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Količnik se izračuna tako, da se RWEA zadevne kategorije izpostavljenosti (stolpec e te predloge) deli z zneskom zadevnih izpostavljenosti po upoštevanju vseh tehnik za zmanjševanje kreditnega tveganja in kreditnih </w:t>
            </w:r>
            <w:proofErr w:type="spellStart"/>
            <w:r>
              <w:rPr>
                <w:rFonts w:ascii="Times New Roman" w:hAnsi="Times New Roman"/>
                <w:sz w:val="24"/>
              </w:rPr>
              <w:t>konverzijskih</w:t>
            </w:r>
            <w:proofErr w:type="spellEnd"/>
            <w:r>
              <w:rPr>
                <w:rFonts w:ascii="Times New Roman" w:hAnsi="Times New Roman"/>
                <w:sz w:val="24"/>
              </w:rPr>
              <w:t xml:space="preserve"> faktorjev (vsota zneskov v stolpcih c in d te predloge).</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podlaga in navodila</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Kategorije izpostavljenosti, kot so opredeljene v skladu s členom 112 CRR.</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 xml:space="preserve">Izpostavljenosti, razvrščene v kategorijo „postavke iz naslova pozicij v </w:t>
            </w:r>
            <w:proofErr w:type="spellStart"/>
            <w:r>
              <w:rPr>
                <w:rFonts w:ascii="Times New Roman" w:hAnsi="Times New Roman"/>
                <w:sz w:val="24"/>
              </w:rPr>
              <w:t>listinjenju</w:t>
            </w:r>
            <w:proofErr w:type="spellEnd"/>
            <w:r>
              <w:rPr>
                <w:rFonts w:ascii="Times New Roman" w:hAnsi="Times New Roman"/>
                <w:sz w:val="24"/>
              </w:rPr>
              <w:t>“ iz člena 112(m) CRR, se ne vključijo.</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Kategorija „druge postavke“ se nanaša na:</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sredstva, za katera se uporablja posebna utež tveganja, določena v členu 134 CRR,</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sredstva, ki se ne odbijejo v skladu s členom 39 CRR (preplačilo davka, prenos davčne izgube v predhodno obdobje in odložene terjatve za davek, ki se ne nanašajo na prihodnji dobiček), členom 41 CRR (sredstva pokojninskega sklada z določenimi pravicami), členom 46 CRR (nepomembne naložbe v navadni lastniški temeljni kapital subjektov finančnega sektorja), členom 48 CRR (odložene terjatve za davek ter neposredne, posredne in sintetične naložbe v instrumente navadnega lastniškega temeljnega kapitala subjektov finančnega sektorja do določenega praga), členom 49 CRR in členom 471 CRR (udeležbe v zavarovalnicah ne glede na to, ali se zavarovalnice nadzorujejo na podlagi direktive o konglomeratih), členom 60 CRR in členom 475 CRR (nepomembne in pomembne neposredne, posredne in sintetične naložbe v instrumente navadnega lastniškega temeljnega kapitala, dodatnega temeljnega kapitala in dodatnega kapitala, ki jih izdajo subjekti finančnega sektorja) ter členom 70 CRR (nepomembni in pomembni neposredni, posredni in sintetični deleži v instrumentih dodatnega kapitala, ki jih izdajo subjekti finančnega sektorja), kadar niso razporejena v druge kategorije izpostavljenosti, in na kvalificirane deleže zunaj finančnega sektorja, če jim ni dodeljena utež tveganja 1 250 % (v skladu s členom 36(k) poglavja 1 naslova I dela 2 CRR).</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Predloga EU CR5 – Standardizirani pristop</w:t>
      </w:r>
      <w:r>
        <w:rPr>
          <w:rFonts w:ascii="Times New Roman" w:hAnsi="Times New Roman"/>
          <w:sz w:val="24"/>
        </w:rPr>
        <w:t>. Fiksna oblika.</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lastRenderedPageBreak/>
        <w:t>Institucije razkrijejo informacije iz člena 444(e) CRR ob upoštevanju navodil iz te priloge za izpolnjevanje predloge EU CR5 iz Priloge XIX k tej izvedbeni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podlaga in navodila</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Pojasnilo</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Utež tveganja: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Institucije razkrijejo informacije o dodelitvi uteži tveganja v zadevni kategoriji izpostavljenosti v skladu z oddelkom 2 poglavja 2 naslova II dela 3 CRR.</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Skupaj: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Skupni znesek bilančnih in </w:t>
            </w:r>
            <w:proofErr w:type="spellStart"/>
            <w:r>
              <w:rPr>
                <w:rFonts w:ascii="Times New Roman" w:hAnsi="Times New Roman"/>
                <w:iCs/>
                <w:sz w:val="24"/>
              </w:rPr>
              <w:t>zunajbilančnih</w:t>
            </w:r>
            <w:proofErr w:type="spellEnd"/>
            <w:r>
              <w:rPr>
                <w:rFonts w:ascii="Times New Roman" w:hAnsi="Times New Roman"/>
                <w:iCs/>
                <w:sz w:val="24"/>
              </w:rPr>
              <w:t xml:space="preserve"> izpostavljenosti v okviru obsega bonitetne konsolidacije: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po posebnih popravkih zaradi kreditnega tveganja v skladu s členom 110 CRR, dodatnih prilagoditvah vrednosti v skladu s členoma 34 in 105 CRR, odbitih zneskih v skladu s členom 36(1)(m) CRR, drugih zmanjšanjih kapitala in odpisih (kot so opredeljeni v veljavnem računovodskem okviru) za bilančne izpostavljenosti v skladu s členom 111 CRR,</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po zmanjšanju za posebne popravke zaradi kreditnega tveganja in odbite zneske v skladu s členom 36(1)(m) CRR za </w:t>
            </w:r>
            <w:proofErr w:type="spellStart"/>
            <w:r>
              <w:rPr>
                <w:rFonts w:ascii="Times New Roman" w:hAnsi="Times New Roman"/>
                <w:iCs/>
                <w:sz w:val="24"/>
              </w:rPr>
              <w:t>zunajbilančne</w:t>
            </w:r>
            <w:proofErr w:type="spellEnd"/>
            <w:r>
              <w:rPr>
                <w:rFonts w:ascii="Times New Roman" w:hAnsi="Times New Roman"/>
                <w:iCs/>
                <w:sz w:val="24"/>
              </w:rPr>
              <w:t xml:space="preserve"> izpostavljenosti v skladu s členom 111 CRR,</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po (i) uporabi </w:t>
            </w:r>
            <w:proofErr w:type="spellStart"/>
            <w:r>
              <w:rPr>
                <w:rFonts w:ascii="Times New Roman" w:hAnsi="Times New Roman"/>
                <w:sz w:val="24"/>
              </w:rPr>
              <w:t>konverzijskih</w:t>
            </w:r>
            <w:proofErr w:type="spellEnd"/>
            <w:r>
              <w:rPr>
                <w:rFonts w:ascii="Times New Roman" w:hAnsi="Times New Roman"/>
                <w:sz w:val="24"/>
              </w:rPr>
              <w:t xml:space="preserve"> faktorjev, kot so določeni v istem členu, in (ii) uporabi tehnik CRM, določenih v poglavju 4 naslova II dela 3 uredbe CRR, za bilančne in </w:t>
            </w:r>
            <w:proofErr w:type="spellStart"/>
            <w:r>
              <w:rPr>
                <w:rFonts w:ascii="Times New Roman" w:hAnsi="Times New Roman"/>
                <w:sz w:val="24"/>
              </w:rPr>
              <w:t>zunajbilančne</w:t>
            </w:r>
            <w:proofErr w:type="spellEnd"/>
            <w:r>
              <w:rPr>
                <w:rFonts w:ascii="Times New Roman" w:hAnsi="Times New Roman"/>
                <w:sz w:val="24"/>
              </w:rPr>
              <w:t xml:space="preserve"> izpostavljenosti.</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Od tega neocenjene:</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Izpostavljenosti, za katere ni na voljo bonitetna ocena imenovane ECAI in ki so jim dodeljene posebne uteži tveganja glede na njihovo kategorijo, kot je določeno v členih 113 do 134 CRR.</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podlaga in navodila</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Kategorije izpostavljenosti v skladu s členom 112 CRR.</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 xml:space="preserve">Izpostavljenosti, razvrščene v kategorijo „postavke iz naslova pozicij v </w:t>
            </w:r>
            <w:proofErr w:type="spellStart"/>
            <w:r>
              <w:rPr>
                <w:rFonts w:ascii="Times New Roman" w:hAnsi="Times New Roman"/>
                <w:sz w:val="24"/>
              </w:rPr>
              <w:t>listinjenju</w:t>
            </w:r>
            <w:proofErr w:type="spellEnd"/>
            <w:r>
              <w:rPr>
                <w:rFonts w:ascii="Times New Roman" w:hAnsi="Times New Roman"/>
                <w:sz w:val="24"/>
              </w:rPr>
              <w:t>“ iz člena 112(m) CRR, se ne vključijo.</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Kategorija „druge postavke“ se nanaša na:</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sredstva, za katera se uporablja posebna utež tveganja, določena v členu 134 poglavja 4 naslova II dela 3 CRR,</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sredstva, ki se ne odbijejo v skladu s členom 39 CRR (preplačilo davka, prenos davčne izgube v predhodno obdobje in odložene terjatve za davek, ki se ne nanašajo na prihodnji dobiček), členom 41 CRR (sredstva pokojninskega sklada z določenimi pravicami), členom 46 in členom 469 CRR (nepomembne naložbe v navadni lastniški temeljni kapital subjektov finančnega sektorja), členom 49 in členom 471 CRR (udeležbe v zavarovalnicah ne glede na to, ali se zavarovalnice nadzorujejo na podlagi direktive o konglomeratih), členom 60 in členom 475 CRR (nepomembne in pomembne neposredne, posredne in sintetične naložbe v dodatni temeljni kapital subjektov finančnega sektorja), členom 70 in členom 477 CRR (nepomembni in pomembni neposredni, posredni in sintetični deleži v instrumentih dodatnega kapitala, ki jih izdajo subjekti finančnega sektorja), kadar niso razporejena v druge kategorije izpostavljenosti, in na kvalificirane deleže zunaj finančnega sektorja, če jim ni dodeljena utež tveganja 1 250 % (v skladu s členom 36(k) poglavja 1 naslova I dela 2 CRR).</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PRILOGA XXII – Razkritje uporabe pristopa IRB za kreditno tveganje (brez kreditnega tveganja nasprotne stranke)</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Razpredelnica EU CRE – Zahteve po kvalitativnih razkritjih v zvezi s pristopom IRB. Prilagodljiva razpredelnica</w:t>
      </w:r>
      <w:r>
        <w:rPr>
          <w:rFonts w:ascii="Times New Roman" w:hAnsi="Times New Roman"/>
          <w:sz w:val="24"/>
        </w:rPr>
        <w:t>.</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Institucije razkrijejo informacije iz člena 452(a) do (f) Uredbe (EU) št. 575/2013</w:t>
      </w:r>
      <w:r>
        <w:rPr>
          <w:rStyle w:val="FootnoteReference"/>
        </w:rPr>
        <w:footnoteReference w:id="38"/>
      </w:r>
      <w:r>
        <w:rPr>
          <w:rFonts w:ascii="Times New Roman" w:hAnsi="Times New Roman"/>
          <w:sz w:val="24"/>
        </w:rPr>
        <w:t xml:space="preserve"> (CRR) ob upoštevanju navodil iz te priloge za izpolnjevanje razpredelnice EU CRE iz Priloge XXI k tej izvedbeni uredbi.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Pojasnilo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Člen 452(a)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Pri razkrivanju informacij o obsegu dovoljenja pristojnega organa za pristop ali odobritev postopnega uvajanja v skladu s členom 452(a) CRR institucije opišejo glavne značilnosti bonitetnih sistemov, ki jih uporabljajo v okviru pristopa IRB, za katere je dal dovoljenje pristojni organ, in vrste izpostavljenosti, ki jih zajemajo bonitetni sistemi. Institucije opišejo tudi vrste izpostavljenosti, za katere imajo dovoljenje za uporabo stalnih izvzetij za standardizirani pristop v skladu s členom 150 CRR in ki so vključene v načrte uvedbe pristopa IRB v skladu s členom 148 CRR. Opis se zagotovi na ravni skupine.</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Člen 452(c)(i) do (iv) CRR.</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Opis nadzornih mehanizmov za bonitetne sisteme zajema oceno parametrov tveganja, vključno z razvojem in umerjanjem notranjih modelov, kontrolami pri uporabi modelov in spremembami bonitetnih sistemov.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Opis vloge, ki jo imajo zgornje funkcije, v skladu s členom 452(c)(i) do (iv) CRR vključuje tudi:</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odnose med funkcijo upravljanja tveganj in funkcijo notranje revizije;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postopke in metode za preglede bonitetnih sistemov, vključno z rednimi pregledi ocen v skladu s členom 179(1)(c) CRR ter validacijami;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postopke in organizacijske ureditve za zagotovitev neodvisnosti funkcije, ki je odgovorna za pregled modelov (funkcija validacije), od funkcij, odgovornih za razvoj in umerjanje modelov;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in postopek za zagotovitev odgovornosti funkcij, odgovornih za razvoj in pregledovanje modelov.</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Člen 452(d) CRR.</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Institucije navedejo vlogo, ki jo imajo funkcije, vključene v razvoj, umerjanje, odobritev in poznejše spremembe bonitetnih sistemov.</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Člen 452(e) CRR.</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Institucije razkrijejo obseg in glavno vsebino poročanja vodstva v zvezi z modeli IRB iz člena 189 CRR ter naslovnike in pogostost takega poročanja.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Člen 452(f) CRR.</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Razkritje sistemov notranjih bonitetnih ocen po kategorijah izpostavljenosti vključuje število ključnih modelov, ki se uporabljajo v posamezni kategoriji izpostavljenosti za različne vrste izpostavljenosti, in kratko pojasnilo o glavnih razlikah med modeli v isti kategoriji izpostavljenosti. Vključuje tudi opis glavnih značilnosti ključnih odobrenih modelov, zlasti: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opredelitve, metode in podatke za ocenjevanje in validacijo verjetnosti neplačila (PD), vključno z ocenjevanjem in validacijo PD za portfelje z majhnim številom neplačnikov, morebitne regulativno določene spodnje pragove in dejavnike, ki povzročajo razlike med ocenami PD in dejanskimi stopnjami neplačila, vsaj za zadnja tri leta;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kjer je relevantno, opredelitve, metode in podatke za ocenjevanje in validacijo izgube ob neplačilu (LGD), vključno z ocenjevanjem in validacijo LGD za obdobje gospodarske recesije, informacije o tem, kako se LGD ocenijo za portfelje z majhnim številom neplačnikov, in povprečno časovno obdobje med nastankom neplačila in zaprtjem izpostavljenosti;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(iii) opredelitve, metode in podatke za ocenjevanje in validacijo </w:t>
            </w:r>
            <w:proofErr w:type="spellStart"/>
            <w:r>
              <w:rPr>
                <w:rFonts w:ascii="Times New Roman" w:hAnsi="Times New Roman"/>
                <w:sz w:val="24"/>
              </w:rPr>
              <w:t>konverzijskih</w:t>
            </w:r>
            <w:proofErr w:type="spellEnd"/>
            <w:r>
              <w:rPr>
                <w:rFonts w:ascii="Times New Roman" w:hAnsi="Times New Roman"/>
                <w:sz w:val="24"/>
              </w:rPr>
              <w:t xml:space="preserve"> faktorjev, vključno s predpostavkami, uporabljenimi pri izpeljavi teh ocen.</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Predloga EU CR6 – Pristop IRB – Izpostavljenosti kreditnemu tveganju glede na kategorijo izpostavljenosti in razponi PD. Fiksna predloga.</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Institucije razkrijejo informacije iz člena 452(g)(i) do (v) CRR o glavnih parametrih, ki se uporabljajo za izračun kapitalskih zahtev za pristop IRB, ob upoštevanju navodil iz te priloge za izpolnjevanje predloge EU CR6 iz Priloge XXI k tej izvedbeni uredbi. Informacije, ki se razkrijejo v tej predlogi, ne vključujejo podatkov o posebnih kreditnih aranžmajih iz člena 153(4) CRR. Ta predloga ne vključuje izpostavljenosti iz naslova kreditnega tveganja nasprotne stranke (CCR) (poglavje 6 naslova II dela 3 CRR), izpostavljenosti v </w:t>
      </w:r>
      <w:proofErr w:type="spellStart"/>
      <w:r>
        <w:rPr>
          <w:rFonts w:ascii="Times New Roman" w:hAnsi="Times New Roman"/>
          <w:sz w:val="24"/>
        </w:rPr>
        <w:t>listinjenju</w:t>
      </w:r>
      <w:proofErr w:type="spellEnd"/>
      <w:r>
        <w:rPr>
          <w:rFonts w:ascii="Times New Roman" w:hAnsi="Times New Roman"/>
          <w:sz w:val="24"/>
        </w:rPr>
        <w:t xml:space="preserve"> in izpostavljenosti iz naslova lastniških instrumentov.</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lastRenderedPageBreak/>
              <w:t>a</w:t>
            </w:r>
          </w:p>
        </w:tc>
        <w:tc>
          <w:tcPr>
            <w:tcW w:w="7483" w:type="dxa"/>
          </w:tcPr>
          <w:p w14:paraId="203D229E" w14:textId="240581FA" w:rsidR="000646F8" w:rsidRPr="00DC58CE" w:rsidRDefault="000646F8" w:rsidP="00155C96">
            <w:pPr>
              <w:pStyle w:val="Applicationdirecte"/>
              <w:spacing w:before="0"/>
              <w:rPr>
                <w:b/>
              </w:rPr>
            </w:pPr>
            <w:r>
              <w:rPr>
                <w:b/>
              </w:rPr>
              <w:t>Razponi PD</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je fiksna lestvica razponov PD, ki se ne spreminja.</w:t>
            </w:r>
          </w:p>
          <w:p w14:paraId="31D2661A" w14:textId="77777777" w:rsidR="000646F8" w:rsidRPr="007F4CC8" w:rsidRDefault="000646F8" w:rsidP="00155C96">
            <w:pPr>
              <w:pStyle w:val="Fait"/>
              <w:spacing w:before="0" w:after="120"/>
            </w:pPr>
            <w:r>
              <w:t>Če se podatki o neplačanih izpostavljenostih v skladu s členom 178 CRR nadalje razčlenijo v skladu z možnimi opredelitvami za kategorije neplačanih izpostavljenosti, se v priloženem besedilu pojasnijo opredelitve in zneski za kategorije neplačanih izpostavljenosti.</w:t>
            </w:r>
          </w:p>
          <w:p w14:paraId="6FA3CD0F" w14:textId="77777777" w:rsidR="000646F8" w:rsidRPr="007F4CC8" w:rsidRDefault="000646F8" w:rsidP="00155C96">
            <w:pPr>
              <w:pStyle w:val="Fait"/>
              <w:spacing w:before="0" w:after="120"/>
            </w:pPr>
            <w:r>
              <w:t>Izpostavljenosti se v ustrezni razpon fiksne lestvice razponov PD razporedijo na podlagi ocenjene PD za vsakega dolžnika, dodeljenega v to kategorijo izpostavljenosti (brez upoštevanja učinkov zamenjave zaradi CRM). Vse neplačane izpostavljenosti se vključijo v razpon, ki predstavlja verjetnost neplačila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Bilančne izpostavljenosti</w:t>
            </w:r>
          </w:p>
          <w:p w14:paraId="2BC08EF6" w14:textId="77777777" w:rsidR="000646F8" w:rsidRPr="007F4CC8" w:rsidRDefault="000646F8" w:rsidP="00155C96">
            <w:pPr>
              <w:pStyle w:val="Fait"/>
              <w:spacing w:before="0" w:after="120"/>
            </w:pPr>
            <w:r>
              <w:t xml:space="preserve">Vrednost izpostavljenosti, izračunana v skladu s členom 166(1) do (7) CRR brez upoštevanja popravkov zaradi kreditnega tveganja in </w:t>
            </w:r>
            <w:proofErr w:type="spellStart"/>
            <w:r>
              <w:t>konverzijskih</w:t>
            </w:r>
            <w:proofErr w:type="spellEnd"/>
            <w:r>
              <w:t xml:space="preserve"> faktorjev.</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proofErr w:type="spellStart"/>
            <w:r>
              <w:rPr>
                <w:rFonts w:ascii="Times New Roman" w:hAnsi="Times New Roman"/>
                <w:b/>
                <w:sz w:val="24"/>
              </w:rPr>
              <w:t>Predkonverzijski</w:t>
            </w:r>
            <w:proofErr w:type="spellEnd"/>
            <w:r>
              <w:rPr>
                <w:rFonts w:ascii="Times New Roman" w:hAnsi="Times New Roman"/>
                <w:b/>
                <w:sz w:val="24"/>
              </w:rPr>
              <w:t xml:space="preserve"> faktorji (CCF) </w:t>
            </w:r>
            <w:proofErr w:type="spellStart"/>
            <w:r>
              <w:rPr>
                <w:rFonts w:ascii="Times New Roman" w:hAnsi="Times New Roman"/>
                <w:b/>
                <w:sz w:val="24"/>
              </w:rPr>
              <w:t>zunajbilančnih</w:t>
            </w:r>
            <w:proofErr w:type="spellEnd"/>
            <w:r>
              <w:rPr>
                <w:rFonts w:ascii="Times New Roman" w:hAnsi="Times New Roman"/>
                <w:b/>
                <w:sz w:val="24"/>
              </w:rPr>
              <w:t xml:space="preserve"> izpostavljenosti</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Vrednost izpostavljenosti v skladu s členom 166(1) do (7) CRR brez upoštevanja popravkov zaradi kreditnega tveganja in </w:t>
            </w:r>
            <w:proofErr w:type="spellStart"/>
            <w:r>
              <w:rPr>
                <w:rFonts w:ascii="Times New Roman" w:hAnsi="Times New Roman"/>
                <w:sz w:val="24"/>
              </w:rPr>
              <w:t>konverzijskih</w:t>
            </w:r>
            <w:proofErr w:type="spellEnd"/>
            <w:r>
              <w:rPr>
                <w:rFonts w:ascii="Times New Roman" w:hAnsi="Times New Roman"/>
                <w:sz w:val="24"/>
              </w:rPr>
              <w:t xml:space="preserve"> faktorjev, niti lastnih ocen niti </w:t>
            </w:r>
            <w:proofErr w:type="spellStart"/>
            <w:r>
              <w:rPr>
                <w:rFonts w:ascii="Times New Roman" w:hAnsi="Times New Roman"/>
                <w:sz w:val="24"/>
              </w:rPr>
              <w:t>konverzijskih</w:t>
            </w:r>
            <w:proofErr w:type="spellEnd"/>
            <w:r>
              <w:rPr>
                <w:rFonts w:ascii="Times New Roman" w:hAnsi="Times New Roman"/>
                <w:sz w:val="24"/>
              </w:rPr>
              <w:t xml:space="preserve"> faktorjev iz člena 166(8) CRR, ali odstotkov, določenih v členu 166(10) CRR.</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proofErr w:type="spellStart"/>
            <w:r>
              <w:rPr>
                <w:rFonts w:ascii="Times New Roman" w:hAnsi="Times New Roman"/>
                <w:sz w:val="24"/>
              </w:rPr>
              <w:t>Zunajbilančne</w:t>
            </w:r>
            <w:proofErr w:type="spellEnd"/>
            <w:r>
              <w:rPr>
                <w:rFonts w:ascii="Times New Roman" w:hAnsi="Times New Roman"/>
                <w:sz w:val="24"/>
              </w:rPr>
              <w:t xml:space="preserve"> izpostavljenosti zajemajo vse odobrene, a </w:t>
            </w:r>
            <w:proofErr w:type="spellStart"/>
            <w:r>
              <w:rPr>
                <w:rFonts w:ascii="Times New Roman" w:hAnsi="Times New Roman"/>
                <w:sz w:val="24"/>
              </w:rPr>
              <w:t>nečrpane</w:t>
            </w:r>
            <w:proofErr w:type="spellEnd"/>
            <w:r>
              <w:rPr>
                <w:rFonts w:ascii="Times New Roman" w:hAnsi="Times New Roman"/>
                <w:sz w:val="24"/>
              </w:rPr>
              <w:t xml:space="preserve"> zneske in vse </w:t>
            </w:r>
            <w:proofErr w:type="spellStart"/>
            <w:r>
              <w:rPr>
                <w:rFonts w:ascii="Times New Roman" w:hAnsi="Times New Roman"/>
                <w:sz w:val="24"/>
              </w:rPr>
              <w:t>zunajbilančne</w:t>
            </w:r>
            <w:proofErr w:type="spellEnd"/>
            <w:r>
              <w:rPr>
                <w:rFonts w:ascii="Times New Roman" w:hAnsi="Times New Roman"/>
                <w:sz w:val="24"/>
              </w:rPr>
              <w:t xml:space="preserve"> postavke iz Priloge I k CRR.</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tehtano povprečje CCF</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Za vse izpostavljenosti, vključene v vsak razpon fiksne lestvice razponov verjetnosti neplačila (PD), povprečje </w:t>
            </w:r>
            <w:proofErr w:type="spellStart"/>
            <w:r>
              <w:rPr>
                <w:rFonts w:ascii="Times New Roman" w:hAnsi="Times New Roman"/>
                <w:sz w:val="24"/>
              </w:rPr>
              <w:t>konverzijskih</w:t>
            </w:r>
            <w:proofErr w:type="spellEnd"/>
            <w:r>
              <w:rPr>
                <w:rFonts w:ascii="Times New Roman" w:hAnsi="Times New Roman"/>
                <w:sz w:val="24"/>
              </w:rPr>
              <w:t xml:space="preserve"> faktorjev, ki jih institucije uporabijo pri izračunu zneskov tveganju prilagojenih izpostavljenosti, tehtano z </w:t>
            </w:r>
            <w:proofErr w:type="spellStart"/>
            <w:r>
              <w:rPr>
                <w:rFonts w:ascii="Times New Roman" w:hAnsi="Times New Roman"/>
                <w:sz w:val="24"/>
              </w:rPr>
              <w:t>zunajbilančno</w:t>
            </w:r>
            <w:proofErr w:type="spellEnd"/>
            <w:r>
              <w:rPr>
                <w:rFonts w:ascii="Times New Roman" w:hAnsi="Times New Roman"/>
                <w:sz w:val="24"/>
              </w:rPr>
              <w:t xml:space="preserve"> izpostavljenostjo pred uporabo kreditnih </w:t>
            </w:r>
            <w:proofErr w:type="spellStart"/>
            <w:r>
              <w:rPr>
                <w:rFonts w:ascii="Times New Roman" w:hAnsi="Times New Roman"/>
                <w:sz w:val="24"/>
              </w:rPr>
              <w:t>konverzijskih</w:t>
            </w:r>
            <w:proofErr w:type="spellEnd"/>
            <w:r>
              <w:rPr>
                <w:rFonts w:ascii="Times New Roman" w:hAnsi="Times New Roman"/>
                <w:sz w:val="24"/>
              </w:rPr>
              <w:t xml:space="preserve"> faktorjev, kot se razkrije v stolpcu c te predloge.</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Vrednost izpostavljenosti po uporabi CCF in po uporabi CRM</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Vrednost izpostavljenosti v skladu s členom 166 CRR.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 xml:space="preserve">Ta stolpec vključuje vsoto vrednosti izpostavljenosti bilančnih izpostavljenosti in </w:t>
            </w:r>
            <w:proofErr w:type="spellStart"/>
            <w:r>
              <w:rPr>
                <w:rFonts w:ascii="Times New Roman" w:hAnsi="Times New Roman"/>
                <w:sz w:val="24"/>
              </w:rPr>
              <w:t>zunajbilančnih</w:t>
            </w:r>
            <w:proofErr w:type="spellEnd"/>
            <w:r>
              <w:rPr>
                <w:rFonts w:ascii="Times New Roman" w:hAnsi="Times New Roman"/>
                <w:sz w:val="24"/>
              </w:rPr>
              <w:t xml:space="preserve"> izpostavljenosti po uporabi </w:t>
            </w:r>
            <w:proofErr w:type="spellStart"/>
            <w:r>
              <w:rPr>
                <w:rFonts w:ascii="Times New Roman" w:hAnsi="Times New Roman"/>
                <w:sz w:val="24"/>
              </w:rPr>
              <w:t>konverzijskih</w:t>
            </w:r>
            <w:proofErr w:type="spellEnd"/>
            <w:r>
              <w:rPr>
                <w:rFonts w:ascii="Times New Roman" w:hAnsi="Times New Roman"/>
                <w:sz w:val="24"/>
              </w:rPr>
              <w:t xml:space="preserve"> faktorjev in odstotkov v skladu s členom 166(8) do (10) CRR.</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tehtano povprečje PD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Za vse izpostavljenosti, vključene v vsak razpon fiksne lestvice PD, povprečna ocena PD za vsakega dolžnika, tehtana z vrednostjo izpostavljenosti po uporabi kreditnih </w:t>
            </w:r>
            <w:proofErr w:type="spellStart"/>
            <w:r>
              <w:rPr>
                <w:rFonts w:ascii="Times New Roman" w:hAnsi="Times New Roman"/>
                <w:sz w:val="24"/>
              </w:rPr>
              <w:t>konverzijskih</w:t>
            </w:r>
            <w:proofErr w:type="spellEnd"/>
            <w:r>
              <w:rPr>
                <w:rFonts w:ascii="Times New Roman" w:hAnsi="Times New Roman"/>
                <w:sz w:val="24"/>
              </w:rPr>
              <w:t xml:space="preserve"> faktorjev in CRM, kot se razkrije v stolpcu e te predloge.</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Število dolžnikov</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Število pravnih subjektov ali dolžnikov, razporejenih v vsak razpon fiksne lestvice razponov PD, ki so bili ločeno ocenjeni, ne glede na število različnih odobrenih kreditov ali izpostavljenosti.</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Skupni dolžniki se obravnavajo enako kot za namene umerjanja verjetnosti neplačila. Če se različne izpostavljenosti do istega dolžnika ocenjujejo ločeno, se štejejo ločeno. Do take situacije lahko pride znotraj kategorije izpostavljenosti na drobno, če se opredelitev neplačila uporablja na ravni posameznega okvirnega kredita v skladu z zadnjim stavkom člena 178(1) CRR ali če se posamezne izpostavljenosti do istega dolžnika razvrstijo v različne bonitetne razrede dolžnika v skladu z drugim stavkom člena 172(1)(e) CRR v drugih kategorijah izpostavljenosti.</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h</w:t>
            </w:r>
          </w:p>
        </w:tc>
        <w:tc>
          <w:tcPr>
            <w:tcW w:w="7483" w:type="dxa"/>
          </w:tcPr>
          <w:p w14:paraId="715FD946" w14:textId="16C95439" w:rsidR="000646F8" w:rsidRPr="004B15A9" w:rsidRDefault="000646F8" w:rsidP="00155C96">
            <w:pPr>
              <w:pStyle w:val="Fait"/>
              <w:spacing w:before="0" w:after="120"/>
              <w:rPr>
                <w:b/>
              </w:rPr>
            </w:pPr>
            <w:r>
              <w:rPr>
                <w:b/>
              </w:rPr>
              <w:t>Z izpostavljenostjo tehtano povprečje LGD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Za vse izpostavljenosti, vključene v vsak razpon fiksne lestvice PD, povprečna ocena LGD za vsako izpostavljenost, tehtana z vrednostjo izpostavljenosti po uporabi kreditnih </w:t>
            </w:r>
            <w:proofErr w:type="spellStart"/>
            <w:r>
              <w:rPr>
                <w:rFonts w:ascii="Times New Roman" w:hAnsi="Times New Roman"/>
                <w:sz w:val="24"/>
              </w:rPr>
              <w:t>konverzijskih</w:t>
            </w:r>
            <w:proofErr w:type="spellEnd"/>
            <w:r>
              <w:rPr>
                <w:rFonts w:ascii="Times New Roman" w:hAnsi="Times New Roman"/>
                <w:sz w:val="24"/>
              </w:rPr>
              <w:t xml:space="preserve"> faktorjev in po uporabi CRM, kot se razkrije v stolpcu e te predloge.</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Razkrita LGD mora ustrezati končni oceni LGD, uporabljeni pri izračunu tveganju prilagojenih zneskov, dobljenih po upoštevanju učinkov CRM in razmer gospodarske recesije, kjer je relevantno. Za izpostavljenosti na drobno, zavarovane z nepremičninami, se pri razkriti LGD upoštevajo spodnje meje iz člena 164(4) CRR.</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 primeru izpostavljenosti, ki so predmet obravnave dvojnega neplačila, LGD, ki se razkrije, ustreza LGD, izbrani v skladu s členom 161(4) CRR.</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Za neplačane izpostavljenosti po naprednem pristopu IRB se uporabljajo določbe iz člena 181(1)(h) CRR. Razkrita LGD ustreza oceni LGD pri neplačilu v skladu z veljavnimi metodologijami ocenjevanja.</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tehtana povprečna zapadlost (v letih)</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Za vse izpostavljenosti, vključene v vsak razpon fiksne lestvice razponov PD, povprečna zapadlost vsake izpostavljenosti, tehtana z vrednostjo izpostavljenosti po uporabi kreditnih </w:t>
            </w:r>
            <w:proofErr w:type="spellStart"/>
            <w:r>
              <w:rPr>
                <w:rFonts w:ascii="Times New Roman" w:hAnsi="Times New Roman"/>
                <w:sz w:val="24"/>
              </w:rPr>
              <w:t>konverzijskih</w:t>
            </w:r>
            <w:proofErr w:type="spellEnd"/>
            <w:r>
              <w:rPr>
                <w:rFonts w:ascii="Times New Roman" w:hAnsi="Times New Roman"/>
                <w:sz w:val="24"/>
              </w:rPr>
              <w:t xml:space="preserve"> faktorjev, kot se razkrije v stolpcu e te predloge.</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Razkrita vrednost zapadlosti je v skladu s členom 162 CRR.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Povprečna zapadlost se razkrije v letih.</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Ti podatki se ne razkrijejo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xml:space="preserve"> v skladu s poglavjem 3 naslova II dela 3 CRR. To pomeni, da se ta stolpec ne izpolni za kategorijo izpostavljenosti „na drobno“.</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Znesek tveganju prilagojenih izpostavljenosti po uporabi faktorjev za podporo</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Znesek tveganju prilagojenih izpostavljenosti, izračunan v skladu s členom 153(1) do (4) CRR, za izpostavljenosti do enot centralne ravni države in centralnih bank, institucij ter podjetij. Znesek tveganju prilagojenih </w:t>
            </w:r>
            <w:r>
              <w:rPr>
                <w:rFonts w:ascii="Times New Roman" w:hAnsi="Times New Roman"/>
                <w:sz w:val="24"/>
              </w:rPr>
              <w:lastRenderedPageBreak/>
              <w:t>izpostavljenosti, izračunan v skladu s členom 154 CRR, za izpostavljenosti na drobno.</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Upoštevata se faktor za podporo MSP in faktor za podporo infrastrukturnim projektom, določena v členih 501 in 501a CRR.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Gostota zneskov tveganju prilagojenih izpostavljenosti</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Količnik vsote zneskov tveganju prilagojenih izpostavljenosti po upoštevanju faktorjev za podporo, kot so razkriti v stolpcu j te predloge, in vrednosti izpostavljenosti, kot je razkrita v stolpcu e te predloge.</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Znesek pričakovane izgube</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Znesek pričakovane izgube, izračunan v skladu s členom 158 CRR.</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Znesek pričakovane izgube, ki se razkrije, temelji na dejanskih parametrih tveganja, uporabljenih v notranjem bonitetnem sistemu, ki ga odobri zadevni pristojni organ.</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Prilagoditve vrednosti in rezervacije</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Posebni in splošni popravki zaradi kreditnega tveganja v skladu z Delegirano uredbo Komisije (EU) št. 183/2014</w:t>
            </w:r>
            <w:r>
              <w:rPr>
                <w:rStyle w:val="FootnoteReference"/>
                <w:rFonts w:cs="Times New Roman"/>
              </w:rPr>
              <w:footnoteReference w:id="39"/>
            </w:r>
            <w:r>
              <w:rPr>
                <w:rFonts w:ascii="Times New Roman" w:hAnsi="Times New Roman"/>
                <w:sz w:val="24"/>
              </w:rPr>
              <w:t>, dodatne prilagoditve vrednosti v skladu s členoma 34 in 110 CRR ter druga zmanjšanja kapitala v zvezi z izpostavljenostmi, razporejenimi v vsak razpon fiksne lestvice razponov PD.</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Te prilagoditve vrednosti in rezervacije so tiste, ki se upoštevajo pri izvajanju člena 159 CRR.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Splošne rezervacije se razkrijejo z dodelitvijo sorazmernega zneska v skladu s pričakovano izgubo različnih bonitetnih razredov dolžnika.</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Kategorija izpostavljenosti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Institucije, ki so dobile dovoljenje za uporabo lastnih LGD in </w:t>
            </w:r>
            <w:proofErr w:type="spellStart"/>
            <w:r>
              <w:rPr>
                <w:rFonts w:ascii="Times New Roman" w:hAnsi="Times New Roman"/>
                <w:sz w:val="24"/>
              </w:rPr>
              <w:t>konverzijskih</w:t>
            </w:r>
            <w:proofErr w:type="spellEnd"/>
            <w:r>
              <w:rPr>
                <w:rFonts w:ascii="Times New Roman" w:hAnsi="Times New Roman"/>
                <w:sz w:val="24"/>
              </w:rPr>
              <w:t xml:space="preserve"> faktorjev pri izračunavanju zneskov tveganju prilagojenih izpostavljenosti, informacije, ki se zahtevajo v tej predlogi, razkrijejo ločeno za kategorije izpostavljenosti, za katere se uporablja zadevno dovoljenje (napredni pristop IRB). Za razrede izpostavljenosti, za katere institucija nima dovoljenja za uporabo lastnih ocen LGD in </w:t>
            </w:r>
            <w:proofErr w:type="spellStart"/>
            <w:r>
              <w:rPr>
                <w:rFonts w:ascii="Times New Roman" w:hAnsi="Times New Roman"/>
                <w:sz w:val="24"/>
              </w:rPr>
              <w:t>konverzijskih</w:t>
            </w:r>
            <w:proofErr w:type="spellEnd"/>
            <w:r>
              <w:rPr>
                <w:rFonts w:ascii="Times New Roman" w:hAnsi="Times New Roman"/>
                <w:sz w:val="24"/>
              </w:rPr>
              <w:t xml:space="preserve"> faktorjev (osnovni pristop IRB), institucija razkrije informacije o relevantnih izpostavljenostih ločeno z uporabo predloge za osnovni pristop 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lastRenderedPageBreak/>
              <w:t>Napredni pristop 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Kategorija izpostavljenosti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Institucije za vsako kategorijo izpostavljenosti iz člena 147(2) CRR z zgornjimi izjemami razkrijejo ločeno predlogo z nadaljnjo razčlenitvijo za naslednje kategorije izpostavljenosti: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 kategoriji „izpostavljenosti do podjetij“ (člen 147(2)(c) CRR) razčlenitev na:</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do podjetij – MSP“ v skladu z notranjo razvrstitvijo izpostavljenosti do podjetij na podlagi politik za upravljanje tveganj;</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do podjetij – posebni kreditni aranžmaji“ v skladu s členom 147(8) CRR;</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do podjetij – drugo“;</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 kategoriji „izpostavljenosti na drobno“ (člen 147(2)(d) in člen 147(5) CRR) razčlenitev na:</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na drobno – MSP – zavarovane z nepremičninami“ (člen 147(2)(d) CRR v povezavi s členom 154(2) in (3) CRR);</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„izpostavljenosti na drobno – MSP – drugo“;</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na drobno – podjetja, ki niso MSP – zavarovane z nepremičninami“ (člen 147(2)(d) CRR v povezavi s členom 154(3) CRR);</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„izpostavljenosti na drobno – kvalificirane obnavljajoče se“ (člen 147(2)(d) CRR v povezavi s členom 154(4) CRR);</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„izpostavljenosti na drobno – podjetja, ki niso MSP – drugo“.</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Na koncu posamezne predloge se za vsako kategorijo izpostavljenosti vključi vrstica s skupno izpostavljenostjo.</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Osnovni pristop 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Kategorija izpostavljenosti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Institucije za vsako kategorijo izpostavljenosti iz člena 147(2) CRR z zgornjimi izjemami razkrijejo ločeno predlogo z nadaljnjo razčlenitvijo za naslednje kategorije izpostavljenosti:</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 kategoriji „izpostavljenosti do podjetij“ (člen 147(2)(c) CRR) razčlenitev na:</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do podjetij – MSP“ v skladu z notranjo razvrstitvijo izpostavljenosti do podjetij na podlagi politik za upravljanje tveganj;</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do podjetij – posebni kreditni aranžmaji“ v skladu s členom 147(8) CRR;</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„izpostavljenosti do podjetij – drugo“;</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Predloga EU CR6-A – Pristop IRB – Obseg uporabe pristopa IRB in standardiziranega pristopa. Fiksna predloga.</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Institucije, ki izračunavajo zneske tveganju prilagojenih izpostavljenosti v skladu s pristopom IRB za kreditno tveganje, razkrijejo informacije iz člena 452(b) CRR ob upoštevanju navodil iz te priloge za izpolnjevanje predloge EU CR6-A iz Priloge XXI k tej izvedbeni uredbi.</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Institucije za namene te predloge razporedijo svoje izpostavljenosti, za katere uporabljajo standardizirani pristop iz poglavja 2 naslova II dela 3 CRR ali pristop IRB iz poglavja 3 naslova II dela 3 CRR, v kategorije izpostavljenosti, ki so določene v okviru pristopa IRB. Ta predloga ne vključuje izpostavljenosti iz naslova kreditnega tveganja nasprotne stranke (CCR) (poglavje 6 naslova II dela 3 CRR) in izpostavljenosti v </w:t>
      </w:r>
      <w:proofErr w:type="spellStart"/>
      <w:r>
        <w:rPr>
          <w:rFonts w:ascii="Times New Roman" w:hAnsi="Times New Roman"/>
          <w:sz w:val="24"/>
        </w:rPr>
        <w:t>listinjenju</w:t>
      </w:r>
      <w:proofErr w:type="spellEnd"/>
      <w:r>
        <w:rPr>
          <w:rFonts w:ascii="Times New Roman" w:hAnsi="Times New Roman"/>
          <w:sz w:val="24"/>
        </w:rPr>
        <w:t>.</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v besedilu, priloženem predlogi, pojasnijo vse pomembne razlike med vrednostjo izpostavljenosti, kot je opredeljena v členu 166 CRR, za izpostavljenosti na podlagi pristopa IRB v stolpcu a predloge in vrednostjo izpostavljenosti za iste izpostavljenosti v skladu s členom 429(4) CRR v stolpcih b in d te predloge.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Pravna podlaga in navodila</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Stolpec</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Pojasnilo</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Vrednost izpostavljenosti, kot je opredeljena v členu 166 CRR, za izpostavljenosti, za katere se uporablja pristop IRB</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Institucije v tem stolpcu razkrijejo vrednost izpostavljenosti, kot je opredeljena v členu 166 CRR, samo za tiste izpostavljenosti, za katere se uporablja pristop IRB.</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Vrednost skupne izpostavljenosti za izpostavljenosti, za katere se uporabljata standardizirani pristop in pristop IRB</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uporabijo vrednost izpostavljenosti v skladu s členom 429(4) CRR, da razkrijejo vrednost skupne izpostavljenosti, kar vključuje izpostavljenosti po standardiziranem pristopu in izpostavljenosti po pristopu IRB.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Odstotek vrednosti skupne izpostavljenosti, za katerega se uporabljajo stalna izvzetja za standardizirani pristop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Del izpostavljenosti za vsako kategorijo izpostavljenosti, za katerega se uporablja standardizirani pristop (izpostavljenost, za katero se uporablja standardizirani pristop iz poglavja 2 naslova II dela 3 CRR v skladu z obsegom dovoljenja za uporabo stalnih izvzetij za standardizirani pristop, prejetega od pristojnega organa v skladu s členom 150 CRR), deljen s skupno izpostavljenostjo v tej kategoriji izpostavljenosti iz stolpca b te predloge.</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Odstotek vrednosti skupne izpostavljenosti, za katerega se uporablja pristop IRB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lastRenderedPageBreak/>
              <w:t xml:space="preserve">Del izpostavljenosti za vsako kategorijo izpostavljenosti, za katerega se uporablja pristop IRB (izpostavljenost, za katero se uporablja pristop IRB iz poglavja 3 naslova II dela 3 CRR, deljena s skupno izpostavljenostjo v tej kategoriji izpostavljenosti), ob upoštevanju obsega dovoljenja, prejetega od pristojnega organa, za uporabo pristopa IRB v skladu s členom 143 CRR, deljen s skupno izpostavljenostjo v tej kategoriji izpostavljenosti iz stolpca b te predloge. To vključuje tako izpostavljenosti, pri katerih imajo institucije dovoljenje, da uporabljajo lastne ocene LGD in </w:t>
            </w:r>
            <w:proofErr w:type="spellStart"/>
            <w:r>
              <w:rPr>
                <w:rFonts w:ascii="Times New Roman" w:hAnsi="Times New Roman"/>
                <w:sz w:val="24"/>
              </w:rPr>
              <w:t>konverzijske</w:t>
            </w:r>
            <w:proofErr w:type="spellEnd"/>
            <w:r>
              <w:rPr>
                <w:rFonts w:ascii="Times New Roman" w:hAnsi="Times New Roman"/>
                <w:sz w:val="24"/>
              </w:rPr>
              <w:t xml:space="preserve"> faktorje, kot tiste, pri katerih ga nimajo (osnovni pristop IRB in napredni pristop IRB), vključno s pristopom razporejanja na podlagi nadzorniških meril za izpostavljenosti iz naslova posebnih kreditnih aranžmajev in izpostavljenosti iz naslova lastniških instrumentov po pristopu enostavnih uteži tveganja.</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Odstotek vrednosti skupne izpostavljenosti, ki je vključen v načrt uvedbe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Del izpostavljenosti za vsako kategorijo sredstev, ki je predmet postopnega uvajanja pristopa IRB v skladu s členom 148 CRR, deljen s skupno izpostavljenostjo v tej kategoriji izpostavljenosti iz stolpca b. To vključuje:</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izpostavljenosti, pri katerih nameravajo institucije uporabiti pristop IRB z lastnimi ocenami LGD in </w:t>
            </w:r>
            <w:proofErr w:type="spellStart"/>
            <w:r>
              <w:rPr>
                <w:rFonts w:ascii="Times New Roman" w:hAnsi="Times New Roman"/>
                <w:sz w:val="24"/>
              </w:rPr>
              <w:t>konverzijskimi</w:t>
            </w:r>
            <w:proofErr w:type="spellEnd"/>
            <w:r>
              <w:rPr>
                <w:rFonts w:ascii="Times New Roman" w:hAnsi="Times New Roman"/>
                <w:sz w:val="24"/>
              </w:rPr>
              <w:t xml:space="preserve"> faktorji ali brez njih (osnovni pristop IRB ali napredni pristop 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nepomembne izpostavljenosti iz naslova lastniških instrumentov, ki niso vključene v stolpca c in d te predloge,</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izpostavljenosti, za katere se že uporablja osnovni pristop IRB, vendar namerava zanje institucija v prihodnje uporabljati napredni pristop IRB,</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izpostavljenosti iz naslova posebnih kreditnih aranžmajev v skladu s pristopom razporejanja na podlagi nadzorniških meril, ki niso vključene v stolpec d te predloge.</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Kategorije izpostavljenosti</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Institucije informacije iz predloge CR 6-A vključijo po kategorijah izpostavljenosti v skladu z razčlenitvijo kategorij izpostavljenosti v vrsticah predloge.</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Predloga EU CR7 – Pristop IRB – Učinek kreditnih izvedenih finančnih instrumentov, uporabljenih kot tehnike CRM, na zneske tveganju prilagojenih izpostavljenosti. Fiksna predloga.</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Institucije razkrijejo informacije iz člena 453(j) CRR ob upoštevanju navodil iz te priloge za izpolnjevanje predloge EU CR7 iz Priloge XXI k tej izvedbeni uredbi. Institucije predlogo dopolnijo z besedilom, da pojasnijo učinek kreditnih izvedenih finančnih instrumentov na zneske tveganju prilagojenih izpostavljenosti. Ta predloga </w:t>
      </w:r>
      <w:r>
        <w:rPr>
          <w:rFonts w:ascii="Times New Roman" w:hAnsi="Times New Roman"/>
          <w:sz w:val="24"/>
        </w:rPr>
        <w:lastRenderedPageBreak/>
        <w:t xml:space="preserve">ne vključuje izpostavljenosti iz naslova kreditnega tveganja nasprotne stranke (CCR) (poglavje 6 naslova II dela 3 CRR), izpostavljenosti v </w:t>
      </w:r>
      <w:proofErr w:type="spellStart"/>
      <w:r>
        <w:rPr>
          <w:rFonts w:ascii="Times New Roman" w:hAnsi="Times New Roman"/>
          <w:sz w:val="24"/>
        </w:rPr>
        <w:t>listinjenju</w:t>
      </w:r>
      <w:proofErr w:type="spellEnd"/>
      <w:r>
        <w:rPr>
          <w:rFonts w:ascii="Times New Roman" w:hAnsi="Times New Roman"/>
          <w:sz w:val="24"/>
        </w:rPr>
        <w:t xml:space="preserve">, drugih sredstev iz naslova </w:t>
      </w:r>
      <w:proofErr w:type="spellStart"/>
      <w:r>
        <w:rPr>
          <w:rFonts w:ascii="Times New Roman" w:hAnsi="Times New Roman"/>
          <w:sz w:val="24"/>
        </w:rPr>
        <w:t>nekreditnih</w:t>
      </w:r>
      <w:proofErr w:type="spellEnd"/>
      <w:r>
        <w:rPr>
          <w:rFonts w:ascii="Times New Roman" w:hAnsi="Times New Roman"/>
          <w:sz w:val="24"/>
        </w:rPr>
        <w:t xml:space="preserve"> obveznosti in izpostavljenosti iz naslova lastniških instrumentov.</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Znesek tveganju prilagojenih izpostavljenosti pred pripoznanjem kreditnih izvedenih finančnih instrumentov</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Hipotetični znesek tveganju prilagojenih izpostavljenosti se izračuna kot dejanski RWEA brez pripoznanja kreditnega izvedenega finančnega instrumenta kot tehnike za zmanjševanje kreditnega tveganja, kot je določeno v členu 204 CRR. Zneski se predstavijo v kategorijah izpostavljenosti, ki so relevantne za izpostavljenosti do prvotnega dolžnika.</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Dejanski znesek tveganju prilagojenih izpostavljenosti</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Znesek tveganju prilagojenih izpostavljenosti, izračunan ob upoštevanju učinka kreditnih izvedenih finančnih instrumentov. Kadar institucije utež tveganja ali parametre tveganja dolžnika zamenjajo z utežjo tveganja ali parametri tveganja dajalca zavarovanja, se zneski tveganju prilagojenih izpostavljenosti predstavijo v kategoriji izpostavljenosti, ki je relevantna za neposredne izpostavljenosti dajalca zavarovanja.</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do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Institucije vključijo razčlenitev zneska tveganju prilagojenih izpostavljenosti pred pripoznanjem kreditnih izvedenih finančnih instrumentov in dejanskega zneska tveganju prilagojenih izpostavljenosti po kategorijah izpostavljenosti v skladu s kategorijami izpostavljenosti iz člena 147 CRR z nadaljnjo razčlenitvijo, kot je določena v predlogi, ter ločeno za izpostavljenosti po osnovnem pristopu IRB in izpostavljenosti po naprednem pristopu IRB.</w:t>
            </w:r>
            <w:r>
              <w:rPr>
                <w:rFonts w:ascii="Times New Roman" w:hAnsi="Times New Roman"/>
                <w:color w:val="auto"/>
              </w:rPr>
              <w:t xml:space="preserve"> </w:t>
            </w:r>
            <w:r>
              <w:rPr>
                <w:rFonts w:ascii="Times New Roman" w:hAnsi="Times New Roman"/>
              </w:rPr>
              <w:t>Institucije v vrsticah 1 do 6 te predloge razkrijejo vmesne seštevke za izpostavljenosti po osnovnem pristopu IRB in izpostavljenosti po naprednem pristopu 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Institucije razkrijejo nadaljnjo razčlenitev za kategorijo „izpostavljenosti do podjetij“ (člen 147(2)(c) CRR), kot sledi:</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do podjetij – MSP“ v skladu z notranjo razvrstitvijo izpostavljenosti do podjetij na podlagi politik za upravljanje tveganj;</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b.</w:t>
            </w:r>
            <w:r>
              <w:tab/>
            </w:r>
            <w:r>
              <w:rPr>
                <w:rFonts w:ascii="Times New Roman" w:hAnsi="Times New Roman"/>
                <w:iCs/>
                <w:sz w:val="24"/>
              </w:rPr>
              <w:t>„izpostavljenosti do podjetij – posebni kreditni aranžmaji“ v skladu s členom 147(8) CRR razen izpostavljenosti iz naslova posebnih kreditnih aranžmajev po pristopu razporejanja;</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do podjetij – drugo“;</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Institucije razkrijejo nadaljnjo razčlenitev za kategorijo „izpostavljenosti na drobno“ (člen 147(2)(d) in člen 147(5) CRR). Institucije razkrijejo nadaljnjo razčlenitev za:</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na drobno – MSP – zavarovane z nepremičninami“ (v povezavi s členom 154(2) in (3) CRR);</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na drobno – podjetja, ki niso MSP – zavarovane z nepremičninami“ (v povezavi s členom 154(3) CRR);</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na drobno – kvalificirane obnavljajoče se“ (v povezavi s členom 154(4) CRR);</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„izpostavljenosti na drobno – MSP – drugo“;</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„izpostavljenosti na drobno – podjetja, ki niso MSP – drugo“.</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SKUPNI ZNESEK IZPOSTAVLJENOSTI (vključno z izpostavljenostmi po osnovnem pristopu IRB in izpostavljenostmi po naprednem pristopu 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Skupni znesek tveganju prilagojenih izpostavljenosti pred pripoznanjem kreditnih izvedenih finančnih instrumentov in skupni dejanski znesek tveganju prilagojenih izpostavljenosti za vse kategorije izpostavljenosti po pristopu IRB (vključno z osnovnim in naprednim pristopom 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Predloga EU CR7-A – Pristop IRB – Razkritje obsega uporabe tehnik CRM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razkrijejo informacije iz člena 453(g) CRR ločeno za izpostavljenosti po naprednem pristopu IRB in osnovnem pristopu IRB ob upoštevanju navodil iz te priloge za izpolnjevanje predloge EU CR7-A iz Priloge XXI k tej izvedbeni uredbi. Če se postavka stvarnega kreditnega zavarovanja nanaša na več kot eno izpostavljenost, vsota izpostavljenosti, za katere se šteje, da so z njo zavarovane, ne sme presegati vrednosti postavke kreditnega zavarovanja.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Skupni znesek izpostavljenosti</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Vrednost izpostavljenosti (po uporabi </w:t>
            </w:r>
            <w:proofErr w:type="spellStart"/>
            <w:r>
              <w:rPr>
                <w:rFonts w:ascii="Times New Roman" w:hAnsi="Times New Roman"/>
                <w:sz w:val="24"/>
              </w:rPr>
              <w:t>konverzijskih</w:t>
            </w:r>
            <w:proofErr w:type="spellEnd"/>
            <w:r>
              <w:rPr>
                <w:rFonts w:ascii="Times New Roman" w:hAnsi="Times New Roman"/>
                <w:sz w:val="24"/>
              </w:rPr>
              <w:t xml:space="preserve"> faktorjev) v skladu s členi 166 do 167 CRR.</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Izpostavljenosti se razkrijejo v skladu s kategorijo izpostavljenosti, ki je relevantna za dolžnika, brez upoštevanja učinkov zamenjave zaradi obstoja jamstva.</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Institucije, ki uporabljajo pristop enostavnih uteži tveganja, upoštevajo tudi določbe o pobotu iz člena 155(2) CRR.</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s finančnim premoženjem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zavarovanjem s finančnim premoženjem, glede na skupni znesek izpostavljenosti iz stolpca a te predloge.</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Zavarovanje s finančnim premoženjem, vključno z zavarovanjem z denarnimi sredstvi, dolžniškimi vrednostnimi papirji in zlatom, iz členov 197 in 198 CRR se vključi v števec, če so izpolnjene vse zahteve iz člena 207(2) do (4) CRR. Vrednost razkritega zavarovanja s premoženjem je omejena na vrednost izpostavljenosti na ravni posamezne izpostavljenosti.</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Kadar se uporabljajo lastne ocene LGD, se v ocenah LGD upošteva zavarovanje s finančnim premoženjem v skladu s členom 181(1)(e) in (f) CRR. Znesek, ki se razkrije, je ocenjena tržna vrednost zavarovanja s premoženjem.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drugim primernim zavarovanjem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drugim primernim zavarovanjem s premoženjem, glede na skupni znesek izpostavljenosti iz stolpca a te predloge.</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Vrednosti, ki se razkrijejo v tem stolpcu, so vsota vrednosti v stolpcih d do f te predloge.</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Kadar se lastne ocene LGD ne uporabljajo, veljata člen 199(1) do (8) in člen 229 CRR.</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Kadar se uporabljajo lastne ocene LGD, se v ocenah LGD upošteva drugo zavarovanje s premoženjem v skladu s členom 181(1)(e) in (f) CRR.</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nepremičninami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zavarovanjem s premoženjem, ki ga sestavljajo nepremičnine, vključno z zakupi v skladu s členom 199(7) CRR, glede na skupni znesek izpostavljenosti iz stolpca a te predloge.</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Zavarovanje z nepremičninami se vključi v števec, če so izpolnjene vse zahteve glede primernosti iz člena 208(2) do (5) CRR.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Zakupi nepremičnin se vključijo v števec, če so izpolnjene vse zahteve glede primernosti iz člena 211 CRR. Vrednost razkritega zavarovanja s premoženjem je omejena na vrednost izpostavljenosti na ravni posamezne izpostavljenosti.</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Del izpostavljenosti, zavarovan s terjatvami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s terjatvami v skladu s členom 199(5) CRR, glede na skupni znesek izpostavljenosti iz stolpca a te predloge.</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Terjatve se vključijo v števec, če so izpolnjene vse zahteve glede primernosti iz člena 209 CRR. Vrednost razkritega zavarovanja s premoženjem je omejena na vrednost izpostavljenosti na ravni posamezne izpostavljenosti.</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Del izpostavljenosti, zavarovan z drugim stvarnim premoženjem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Odstotek izpostavljenosti, zavarovanih z zavarovanjem z drugim stvarnim premoženjem, vključno z zakupi tega zavarovanja, v skladu s členom 199(6) in (8) CRR, glede na skupni znesek izpostavljenosti iz stolpca a te predloge.</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Zavarovanje z drugim stvarnim premoženjem se vključi v števec, če so izpolnjene vse zahteve glede primernosti iz člena 210 CRR. Vrednost razkritega zavarovanja s premoženjem je omejena na vrednost izpostavljenosti na ravni posamezne izpostavljenosti.</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drugim stvarnim kreditnim zavarovanjem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drugim stvarnim kreditnim zavarovanjem, glede na skupni znesek izpostavljenosti iz stolpca a te predloge.</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Vrednosti v tem stolpcu so vsota vrednosti v stolpcih h, i in j te predloge.</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bančnimi vlogami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Odstotek izpostavljenosti, zavarovanih z denarnimi sredstvi ali denarju podobnimi instrumenti pri tretji instituciji, glede na skupni znesek izpostavljenosti iz stolpca a te predloge. V skladu s členom 200(a) CRR drugo stvarno kreditno zavarovanje vključuje bančne vloge ali denarju podobne instrumente, ki so pri tretji instituciji na </w:t>
            </w:r>
            <w:proofErr w:type="spellStart"/>
            <w:r>
              <w:rPr>
                <w:rFonts w:ascii="Times New Roman" w:hAnsi="Times New Roman"/>
                <w:sz w:val="24"/>
              </w:rPr>
              <w:t>neskrbniški</w:t>
            </w:r>
            <w:proofErr w:type="spellEnd"/>
            <w:r>
              <w:rPr>
                <w:rFonts w:ascii="Times New Roman" w:hAnsi="Times New Roman"/>
                <w:sz w:val="24"/>
              </w:rPr>
              <w:t xml:space="preserve"> pogodbeni podlagi in so zastavljeni posojilni instituciji.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Vrednost razkritega zavarovanja s premoženjem je omejena na vrednost izpostavljenosti na ravni posamezne izpostavljenosti.</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s policami življenjskega zavarovanja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s policami življenjskega zavarovanja, glede na skupni znesek izpostavljenosti iz stolpca a te predloge.</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 skladu s členom 200(b) CRR drugo stvarno kreditno zavarovanje vključuje police življenjskega zavarovanja, zastavljene posojilni instituciji. Vrednost razkritega zavarovanja s premoženjem je omejena na vrednost izpostavljenosti na ravni posamezne izpostavljenosti.</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instrumenti, ki jih ima tretja oseba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zavarovanjem s premoženjem v obliki instrumentov ki jih ima tretja oseba, glede na skupni znesek izpostavljenosti iz stolpca a te predloge; del izpostavljenosti, zavarovanih z instrumenti, ki jih izda tretja oseba, glede na skupni znesek izpostavljenosti.</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 skladu s členom 200(c) CRR razkrita vrednost vključuje instrumente, ki jih je izdala tretja institucija in ki jih bo ta institucija odkupila na zahtevo. Vrednost zavarovanja s premoženjem je omejena na vrednost izpostavljenosti na ravni posamezne izpostavljenosti. Ta odstotek izključuje tiste izpostavljenosti, ki so zavarovane z instrumenti, ki jih ima tretja oseba, kadar institucije v skladu s členom 232(4) CRR instrumente, odkupljene na zahtevo, </w:t>
            </w:r>
            <w:r>
              <w:rPr>
                <w:rFonts w:ascii="Times New Roman" w:hAnsi="Times New Roman"/>
                <w:sz w:val="24"/>
              </w:rPr>
              <w:lastRenderedPageBreak/>
              <w:t xml:space="preserve">ki so primerni v skladu s členom 200(c) CRR, obravnavajo kot jamstvo institucije, ki jih je izdala.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Osebno kreditno zavarovanje – del izpostavljenosti, zavarovan z jamstvi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Odstotek izpostavljenosti, zavarovanih z jamstvi, glede na skupni znesek izpostavljenosti iz stolpca a te predloge.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Jamstva izpolnjujejo pogoje iz členov 213, 214 in 215 ter, kjer je relevantno, člena 217 in člena 232(4) CRR. Vrednost jamstev je omejena na vrednost izpostavljenosti na ravni posamezne izpostavljenosti.</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Osebno kreditno zavarovanje – del izpostavljenosti, zavarovan s kreditnimi izvedenimi finančnimi instrumenti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s kreditnimi izvedenimi finančnimi instrumenti, glede na skupni znesek izpostavljenosti iz stolpca a te predloge.</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Kreditni izvedeni finančni instrumenti vključujejo naslednje:</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kreditne zamenjave,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zamenjave skupnega donosa,</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kreditne zapise v obsegu, v katerem so vplačani v denarju.</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Ti instrumenti izpolnjujejo zahteve iz člena 204(1) in (2), člena 213 ter 216 in, kjer je relevantno, člena 217 CRR. Vrednost kreditnih izvedenih finančnih instrumentov je omejena na vrednost izpostavljenosti na ravni posamezne izpostavljenosti.</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brez učinkov zamenjave (samo učinki zmanjšanja)</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tveganju prilagojenih izpostavljenosti, izračunani v skladu s členom 92(3)(a) in (f) CRR, vključno z zmanjšanjem RWEA zaradi obstoja stvarnega kreditnega zavarovanja ali osebnega kreditnega zavarovanja, vključno s primeri, v katerih se PD in LGD ali utež tveganja zamenjajo zaradi obstoja osebnega kreditnega zavarovanja. Izpostavljenosti se kljub temu v vseh primerih, tudi kadar je uporabljen pristop zamenjave, razkrijejo v prvotnih kategorijah izpostavljenosti, ki se uporabljajo za dolžnika.</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z učinki zamenjave (učinki zmanjšanja in učinki zamenjave)</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tveganju prilagojenih izpostavljenosti, izračunani v skladu s členi 153 do 157 CRR, vključno z vsemi zmanjšanji RWEA zaradi obstoja stvarnega ali osebnega kreditnega zavarovanja. Kadar se PD in LGD ali utež tveganja zamenjajo zaradi obstoja osebnega kreditnega zavarovanja, se izpostavljenosti razkrijejo v kategoriji izpostavljenosti, ki se uporablja za dajalca zavarovanja.</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 xml:space="preserve">To razkritje se loči za izpostavljenosti po naprednem pristopu IRB, izpostavljenosti po osnovnem pristopu IRB, posebne kreditne aranžmaje v </w:t>
            </w:r>
            <w:r>
              <w:rPr>
                <w:rFonts w:ascii="Times New Roman" w:hAnsi="Times New Roman"/>
                <w:iCs/>
              </w:rPr>
              <w:lastRenderedPageBreak/>
              <w:t>okviru pristopa razporejanja in izpostavljenosti iz naslova lastniških instrumentov.</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Napredni pristop 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Institucije vključijo informacije o tehnikah za zmanjševanje kreditnega tveganja iz te predloge po kategorijah izpostavljenosti v skladu s kategorijami izpostavljenosti iz člena 147 CRR z nadaljnjo razčlenitvijo za kategorijo „izpostavljenosti do podjetij“ (člen 147(2)(c) CRR) v skladu z naslednjim:</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do podjetij – MSP“ v skladu z notranjo razvrstitvijo izpostavljenosti do podjetij na podlagi politik za upravljanje tveganj;</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do podjetij – posebni kreditni aranžmaji“ v skladu s členom 147(8) CRR razen izpostavljenosti iz naslova posebnih kreditnih aranžmajev po pristopu razporejanja;</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do podjetij – drugo“;</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Institucije razkrijejo nadaljnjo razčlenitev za kategorijo „izpostavljenosti na drobno“ (člen 147(2)(d) in člen 147(5) CRR). Institucije razkrijejo nadaljnjo razčlenitev za:</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na drobno – MSP – zavarovane z nepremičninami“ (v povezavi s členom 154(2) in (3) CRR);</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na drobno – podjetja, ki niso MSP – zavarovane z nepremičninami“ (v povezavi s členom 154(3) CRR);</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na drobno – kvalificirane obnavljajoče se“ (v povezavi s členom 154(4) CRR);</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„izpostavljenosti na drobno – MSP – drugo“;</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„izpostavljenosti na drobno – podjetja, ki niso MSP – drugo“.</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Osnovni pristop 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Institucije vključijo informacije o tehnikah za zmanjševanje kreditnega tveganja iz te predloge po kategorijah izpostavljenosti v skladu s kategorijami izpostavljenosti iz člena 147 CRR z nadaljnjo razčlenitvijo za kategorijo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„izpostavljenosti do podjetij“ (člen 147(2)(c) CRR) v skladu z naslednjim:</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do podjetij – MSP“ v skladu z notranjo razvrstitvijo izpostavljenosti do podjetij na podlagi politik za upravljanje tveganj;</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do podjetij – posebni kreditni aranžmaji“ v skladu s členom 147(8) CRR razen izpostavljenosti iz naslova posebnih kreditnih aranžmajev po pristopu razporejanja;</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do podjetij – drugo“;</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t xml:space="preserve">Predloga EU CR8 – Izkazi tokov RWEA pri izpostavljenostih kreditnemu tveganju v okviru pristopa IRB. Fiksna predloga.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Institucije razkrijejo informacije iz člena 438(h) CRR ob upoštevanju navodil iz te priloge za izpolnjevanje predloge EU CR8 iz Priloge XXI k tej izvedbeni uredbi. Informacije v tej predlogi ne vključujejo izpostavljenosti iz naslova kreditnega tveganja nasprotne stranke (CCR) (poglavje 6 naslova II dela 3 CRR).</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Institucije razkrijejo tokove RWEA kot razlike med zneski tveganju prilagojenih izpostavljenosti na koncu referenčnega obdobja razkritja (kot je določen spodaj v vrstici 9 te predloge) in zneski tveganju prilagojenih izpostavljenosti na koncu prejšnjega referenčnega obdobja razkritja (kot je določen spodaj v vrstici 1 te predloge;</w:t>
      </w:r>
      <w:r>
        <w:rPr>
          <w:rFonts w:ascii="Times New Roman" w:hAnsi="Times New Roman"/>
          <w:bCs/>
          <w:color w:val="000000"/>
          <w:sz w:val="24"/>
          <w:szCs w:val="24"/>
        </w:rPr>
        <w:t xml:space="preserve"> </w:t>
      </w:r>
      <w:r>
        <w:rPr>
          <w:rFonts w:ascii="Times New Roman" w:hAnsi="Times New Roman"/>
          <w:color w:val="000000"/>
          <w:sz w:val="24"/>
          <w:szCs w:val="24"/>
        </w:rPr>
        <w:t>v primeru četrtletnih razkritij, se razkrije sprememba glede na konec četrtletja pred četrtletjem, v katerem je referenčno obdobje razkritja). Institucije lahko dopolnijo razkritja v okviru stebra 3 z razkritjem istih informacij za prejšnja tri četrtletja.</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Institucije dopolnijo predlogo s pisnim komentarjem, da pojasnijo številke v vrstici 8 te predloge, tj. vse druge dejavnike, ki znatno prispevajo k razlikam v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Znesek tveganju prilagojenih izpostavljenosti</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Skupni znesek tveganju prilagojenih izpostavljenosti za kreditno tveganje, izračunan po pristopu IRB, ob upoštevanju faktorjev za podporo v skladu s členoma 501 in 501a CRR.</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Zneski tveganju prilagojenih izpostavljenosti na koncu prejšnjega obdobja razkritja</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Velikost sredstev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velikosti sredstev, tj. sprememb velikosti in sestave knjige, ki so posledica običajnega poslovanja (vključno z novimi posli in zapadajočimi krediti), ne pa sprememb velikosti knjige zaradi pridobitve in odtujitve subjektov.</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Kakovost sredstev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kakovosti sredstev, tj. sprememb ocenjene kakovosti sredstev institucije zaradi sprememb tveganja, povezanega s kreditojemalci, kot je prehod v drug bonitetni razred, ali podobnih učinkov.</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Povečanja zneskov tveganju prilagojenih izpostavljenosti se razkrijejo kot pozitiven znesek, zmanjšanja zneskov tveganju prilagojenih izpostavljenosti pa kot negativen.</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Posodobitve modela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posodobitev modela, tj. sprememb zaradi uvedbe novih modelov, sprememb modelov, sprememb obsega modelov ali drugih sprememb za odpravo pomanjkljivosti modelov.</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Metodologija in politika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Sprememba zneska tveganju prilagojenih izpostavljenosti med koncem prejšnjega obdobja razkritja in koncem tekočega obdobja razkritja zaradi sprememb metodologije in politike, tj. sprememb zaradi metodoloških sprememb pri izračunih zaradi spremenjene regulativne politike, kar vključuje revizije obstoječih predpisov in nove predpise in izključuje spremembe modelov, ki se vključijo v vrstico 4 te predloge.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Pridobitve in odtujitve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pridobitev in odtujitev, tj. sprememb velikosti knjige zaradi pridobitev in/ali odtujitev.</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Spremembe deviznih tečajev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gibanja deviznih tečajev, tj. sprememb, ki izhajajo iz sprememb pri pretvorbi v/iz tuje valute.</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Drugo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Sprememba zneska tveganju prilagojenih izpostavljenosti med koncem prejšnjega obdobja razkritja in koncem tekočega obdobja razkritja zaradi drugih dejavnikov.</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Ta kategorija se uporablja za spremembe, ki jih ni mogoče pripisati nobeni drugi kategoriji. Institucije v priloženem besedilu v tej vrstici dodatno opišejo vse druge pomembne dejavnike, ki povzročajo spremembe tveganju prilagojenih zneskov v obdobju razkritja.</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Zneski tveganju prilagojenih izpostavljenosti na koncu obdobja razkritja</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Predloga EU CR9 </w:t>
      </w:r>
      <w:r>
        <w:tab/>
      </w:r>
      <w:r>
        <w:rPr>
          <w:rFonts w:ascii="Times New Roman" w:hAnsi="Times New Roman"/>
          <w:b/>
          <w:sz w:val="24"/>
        </w:rPr>
        <w:t xml:space="preserve"> – Pristop IRB – Testiranje za nazaj za PD po kategorijah izpostavljenosti. Fiksna predloga.</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Institucije razkrijejo informacije iz člena 452(h) CRR ob upoštevanju navodil iz te priloge za izpolnjevanje predloge EU CR9 iz Priloge XXI k tej izvedbeni uredbi. Kadar institucija uporablja tako osnovni pristop IRB kot napredni pristop IRB, razkrije dva ločena sklopa predlog, enega za osnovni pristop IRB in enega za napredni pristop IRB, pri čemer se v vsakem sklopu uporabi po ena predloga na kategorijo izpostavljenosti.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upoštevajo modele, uporabljene v vsaki kategoriji izpostavljenosti in navedejo odstotek zneska tveganju prilagojenih izpostavljenosti zadevne kategorije izpostavljenosti, ki jo zajemajo modeli, za katero se tukaj razkrijejo rezultati testiranja za nazaj.</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v priloženem besedilu pojasnijo skupno število dolžnikov s kratkoročnimi pogodbami na datum razkritja, pri čemer navedejo, katere kategorije izpostavljenosti vsebujejo večje število dolžnikov s kratkoročno pogodbo. Kratkoročne pogodbe so pogodbe s preostalo zapadlostjo manj kot 12 mesecev. Institucije tudi pojasnijo, ali pri izračunu povprečnih dolgoročnih stopenj PD prihaja do prekrivanja obdobij.</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Ta predloga ne vključuje izpostavljenosti iz naslova kreditnega tveganja nasprotne stranke (CCR) (poglavje 6 naslova II dela 3 CRR), pozicij v </w:t>
      </w:r>
      <w:proofErr w:type="spellStart"/>
      <w:r>
        <w:rPr>
          <w:rFonts w:ascii="Times New Roman" w:hAnsi="Times New Roman"/>
          <w:sz w:val="24"/>
        </w:rPr>
        <w:t>listinjenju</w:t>
      </w:r>
      <w:proofErr w:type="spellEnd"/>
      <w:r>
        <w:rPr>
          <w:rFonts w:ascii="Times New Roman" w:hAnsi="Times New Roman"/>
          <w:sz w:val="24"/>
        </w:rPr>
        <w:t xml:space="preserve">, drugih sredstev iz naslova </w:t>
      </w:r>
      <w:proofErr w:type="spellStart"/>
      <w:r>
        <w:rPr>
          <w:rFonts w:ascii="Times New Roman" w:hAnsi="Times New Roman"/>
          <w:sz w:val="24"/>
        </w:rPr>
        <w:t>nekreditnih</w:t>
      </w:r>
      <w:proofErr w:type="spellEnd"/>
      <w:r>
        <w:rPr>
          <w:rFonts w:ascii="Times New Roman" w:hAnsi="Times New Roman"/>
          <w:sz w:val="24"/>
        </w:rPr>
        <w:t xml:space="preserve"> obveznosti in izpostavljenosti iz naslova lastniških instrumentov.</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podlaga in navodila</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(napredni pristop 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Kategorije izpostavljenosti</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Institucije za vsako kategorijo izpostavljenosti iz člena 147(2) CRR razkrijejo ločeno predlogo z nadaljnjo razčlenitvijo za naslednje kategorije izpostavljenosti: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 kategoriji „izpostavljenosti do podjetij“ (člen 147(2)(c) CRR) razčlenitev na:</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a.</w:t>
            </w:r>
            <w:r>
              <w:tab/>
            </w:r>
            <w:r>
              <w:rPr>
                <w:rFonts w:ascii="Times New Roman" w:hAnsi="Times New Roman"/>
                <w:iCs/>
                <w:sz w:val="24"/>
              </w:rPr>
              <w:t>„izpostavljenosti do podjetij – MSP“ v skladu z notranjo razvrstitvijo izpostavljenosti do podjetij na podlagi politik za upravljanje tveganj;</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do podjetij – posebni kreditni aranžmaji“ v skladu s členom 147(8) CRR;</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do podjetij – drugo“;</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 kategoriji „izpostavljenosti na drobno“ (člen 147(2)(d) in člen 147(5) CRR) razčlenitev na:</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na drobno – MSP – zavarovane z nepremičninami“ (člen 147(2)(d) CRR v povezavi s členom 154(2) in (3) CRR);</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na drobno – podjetja, ki niso MSP – zavarovane z nepremičninami“ (člen 147(2)(d) CRR v povezavi s členom 154(3) CRR);</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„izpostavljenosti na drobno – kvalificirane obnavljajoče se“ (člen 147(2)(d) CRR v povezavi s členom 154(4) CRR);</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„izpostavljenosti na drobno – MSP – drugo“;</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„izpostavljenosti na drobno – podjetja, ki niso MSP – drugo“.</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a (osnovni pristop 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Kategorije izpostavljenosti</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Institucije za vsako kategorijo izpostavljenosti iz člena 147(2) CRR razkrijejo ločeno predlogo z nadaljnjo razčlenitvijo za naslednje kategorije izpostavljenosti:</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 kategoriji „izpostavljenosti do podjetij“ (člen 147(2)(c) CRR) razčlenitev na:</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„izpostavljenosti do podjetij – MSP“ v skladu z notranjo razvrstitvijo izpostavljenosti do podjetij na podlagi politik za upravljanje tveganj;</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„izpostavljenosti do podjetij – posebni kreditni aranžmaji“ v skladu s členom 147(8) CRR;</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„izpostavljenosti do podjetij – drugo“;</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Razponi PD</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je fiksna lestvica razponov PD, ki se ne spreminja.</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Izpostavljenosti se v ustrezni razpon fiksne lestvice razponov PD razporedijo na podlagi ocenjene PD na začetku obdobja razkritja za vsakega dolžnika, dodeljenega v to kategorijo izpostavljenosti (brez upoštevanja učinkov zamenjave zaradi CRM).  Vse neplačane izpostavljenosti se vključijo v razpon, ki predstavlja verjetnost neplačila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Število dolžnikov na koncu prejšnjega leta</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razkrijejo naslednja sklopa informacij: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lastRenderedPageBreak/>
              <w:t>število dolžnikov na koncu prejšnjega leta (stolpec C te predloge).</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Število dolžnikov na koncu prejšnjega leta, ki so predmet razkritja.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V obeh primerih se vključijo vsi dolžniki, ki imajo v relevantnem trenutku kreditno obveznost.</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Institucije razkrijejo število pravnih subjektov ali dolžnikov, razporejenih v vsak razpon fiksne lestvice razponov PD do konca prejšnjega leta, ki so bili ločeno ocenjeni, ne glede na število različnih odobrenih kreditov ali izpostavljenosti.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Skupni dolžniki se obravnavajo enako kot za namene umerjanja verjetnosti neplačila.</w:t>
            </w:r>
            <w:r>
              <w:rPr>
                <w:rFonts w:ascii="Times New Roman" w:hAnsi="Times New Roman"/>
                <w:sz w:val="24"/>
                <w:szCs w:val="24"/>
              </w:rPr>
              <w:t xml:space="preserve"> Če se različne izpostavljenosti do istega dolžnika ocenjujejo ločeno, se štejejo ločeno. Do take situacije lahko pride v znotraj kategorije izpostavljenosti na drobno, če se opredelitev neplačila uporablja na ravni posameznega okvirnega kredita v skladu z zadnjim stavkom člena 178(1) CRR. Do take situacije lahko pride tudi, če se posamezne izpostavljenosti do istega dolžnika razvrstijo v več bonitetnih razredov dolžnika v skladu z drugim stavkom člena 172(1)(e) CRR v drugih kategorijah izpostavljenosti.</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od tega število dolžnikov, ki so v letu pred datumom razkritja bili neplačniki (stolpec d te predloge).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To je podskupina stolpca C te predloge, ki predstavlja število dolžnikov, ki so med letom bili neplačniki. Neplačila se določijo v skladu s členom 178 CRR. Vsak dolžnik neplačnik se šteje samo enkrat v števcu in imenovalcu pri izračunu enoletne stopnje neplačil, tudi če dolžnik v zadevnem enoletnem obdobju več kot enkrat ni izpolnjeval obveznosti.</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Ugotovljena povprečna stopnja neplačil</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Aritmetična sredina enoletnih stopenj neplačil, kot so opredeljene v členu 4(1)(78) CRR, ugotovljena v razpoložljivem naboru podatkov.</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pri izračunu enoletnih stopenj neplačil zagotovijo oboje od naslednjega:</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da imenovalec sestavlja število dolžnikov plačnikov, ki so imeli na začetku enoletnega obdobja opazovanja (na začetku prejšnjega obdobja razkritja, tj. na začetku leta pred referenčnim datumom razkritja) ugotovljeno kakršno koli kreditno obveznost; v tem okviru se kreditna obveznost nanaša na oboje od naslednjega: (i) katero koli bilančno postavko, vključno z vsemi zneski glavnice, obresti in provizij; (ii) katero koli </w:t>
            </w:r>
            <w:proofErr w:type="spellStart"/>
            <w:r>
              <w:rPr>
                <w:rFonts w:ascii="Times New Roman" w:hAnsi="Times New Roman"/>
                <w:sz w:val="24"/>
              </w:rPr>
              <w:t>zunajbilančno</w:t>
            </w:r>
            <w:proofErr w:type="spellEnd"/>
            <w:r>
              <w:rPr>
                <w:rFonts w:ascii="Times New Roman" w:hAnsi="Times New Roman"/>
                <w:sz w:val="24"/>
              </w:rPr>
              <w:t xml:space="preserve"> postavko, vključno z jamstvi, ki jih institucija izda kot dajalec jamstva;</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da števec vključuje vse tiste dolžnike, upoštevane v imenovalcu, ki so v enoletnem obdobju opazovanja imeli vsaj en primer neplačila (leto pred referenčnim datumom razkritja).</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Institucije za izračun ugotovljene povprečne stopnje neplačil izberejo ustrezen pristop med pristopom, ki temelji na enoletnih obdobjih, ki se prekrivajo, in pristopom, ki temelji enoletnih obdobjih, ki se ne prekrivajo.</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tehtano povprečje PD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Z izpostavljenostjo tehtano povprečje PD (%), kot je razkrito v stolpcu f predloge EU CR6; za vse izpostavljenosti, vključene v vsak razpon fiksne lestvice PD, povprečna ocena PD za vsakega dolžnika, tehtana z vrednostjo izpostavljenosti po uporabi kreditnih </w:t>
            </w:r>
            <w:proofErr w:type="spellStart"/>
            <w:r>
              <w:rPr>
                <w:rFonts w:ascii="Times New Roman" w:hAnsi="Times New Roman"/>
                <w:sz w:val="24"/>
              </w:rPr>
              <w:t>konverzijskih</w:t>
            </w:r>
            <w:proofErr w:type="spellEnd"/>
            <w:r>
              <w:rPr>
                <w:rFonts w:ascii="Times New Roman" w:hAnsi="Times New Roman"/>
                <w:sz w:val="24"/>
              </w:rPr>
              <w:t xml:space="preserve"> faktorjev in CRM, kot se razkrije v stolpcu e predloge EU 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Povprečje PD na datum razkritja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Aritmetično povprečje PD na začetku obdobja razkritja za dolžnike, ki spadajo v razpon fiksne lestvice razponov PD in katerih število je navedeno v stolpcu d (povprečje, tehtano s številom dolžnikov).</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Povprečna pretekla letna stopnja neplačil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Enostavno povprečje letne stopnje neplačil za vsaj zadnjih pet let (dolžniki na začetku vsakega leta, ki tisto leto niso izpolnjevali obveznosti/skupno število dolžnikov na začetku leta).</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Institucija lahko uporablja daljše preteklo obdobje, ki je skladno z njenimi dejanskimi praksami upravljanja tveganj. Če institucija uporabi daljše preteklo obdobje, to pojasni v besedilu, priloženem predlogi.</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Predloga EU CR9.1 – Pristop IRB – Testiranje za nazaj za PD po kategorijah izpostavljenosti (samo za ocene PD v skladu s členom 180(1)(f) CRR)</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poleg predloge EU CR9 razkrijejo informacije iz predloge EU CR9.1, če uporabljajo točko (f) člena 180(1) CRR za ocenjevanje verjetnosti neplačila (PD) in samo za ocene PD v skladu z istim členom. Navodila so enaka kot za predlogo EU CR9 z naslednjimi izjemami:</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institucije v stolpcu b te predloge namesto fiksne zunanje lestvice razponov PD razkrijejo razpone PD v skladu s svojimi notranjimi bonitetnimi razredi, ki so vzporejeni z lestvico razponov, ki jo uporablja ECAI;</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institucije razkrijejo en stolpec za vsako ECAI, upoštevano v skladu s členom 180(1)(f) CRR. Institucije v te stolpce vključijo zunanje bonitetne ocene, s katerimi so vzporejeni njihovi notranji razponi PD.</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PRILOGA XXIV – Razkritje izpostavljenosti iz naslova posebnih kreditnih aranžmajev in lastniških instrumentov po pristopu enostavnih uteži tveganja</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Predloga EU CR10 – Izpostavljenosti iz naslova posebnih kreditnih aranžmajev in lastniških instrumentov po pristopu enostavnih uteži tveganja.</w:t>
      </w:r>
      <w:r>
        <w:rPr>
          <w:rFonts w:ascii="Times New Roman" w:hAnsi="Times New Roman"/>
          <w:sz w:val="24"/>
        </w:rPr>
        <w:t xml:space="preserve"> Fiksna predloga.</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Institucije razkrijejo informacije iz člena 438(e) Uredbe (EU) št. 575/2013</w:t>
      </w:r>
      <w:r>
        <w:rPr>
          <w:rStyle w:val="FootnoteReference"/>
        </w:rPr>
        <w:footnoteReference w:id="40"/>
      </w:r>
      <w:r>
        <w:rPr>
          <w:rFonts w:ascii="Times New Roman" w:hAnsi="Times New Roman"/>
          <w:sz w:val="24"/>
        </w:rPr>
        <w:t xml:space="preserve"> (CRR) ob upoštevanju navodil iz te priloge za izpolnjevanje predloge EU CR10 iz Priloge XXIII k tej izvedbeni uredbi. Institucije razkrijejo:</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informacije o naslednjih vrstah izpostavljenosti iz naslova posebnih kreditnih aranžmajev iz razpredelnice 1 člena 153(5):</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„kreditih za financiranje projektov“ v predlogi EU 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„nepremičninah, ki ustvarjajo dohodke, in poslovne nepremičninah z visoko nestanovitnostjo stopnje izgub“ v predlogi EU 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„kreditih za financiranje fizičnih sredstev“ v predlogi EU 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„kreditih za financiranje blaga“ v predlogi EU CR10.4,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informacije o izpostavljenostih iz naslova lastniških instrumentov po pristopu enostavnih uteži tveganja v predlogi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Pravna podlaga in navodila</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Bilančne izpostavljenosti</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Institucije razkrijejo vrednost izpostavljenosti bilančnih izpostavljenosti v skladu s členom 166(1) do (7) in členom 167(1) CRR.</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proofErr w:type="spellStart"/>
            <w:r>
              <w:rPr>
                <w:rFonts w:ascii="Times New Roman" w:hAnsi="Times New Roman"/>
                <w:b/>
                <w:sz w:val="24"/>
              </w:rPr>
              <w:t>Zunajbilančne</w:t>
            </w:r>
            <w:proofErr w:type="spellEnd"/>
            <w:r>
              <w:rPr>
                <w:rFonts w:ascii="Times New Roman" w:hAnsi="Times New Roman"/>
                <w:b/>
                <w:sz w:val="24"/>
              </w:rPr>
              <w:t xml:space="preserve"> izpostavljenosti</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razkrijejo vrednost izpostavljenosti </w:t>
            </w:r>
            <w:proofErr w:type="spellStart"/>
            <w:r>
              <w:rPr>
                <w:rFonts w:ascii="Times New Roman" w:hAnsi="Times New Roman"/>
                <w:sz w:val="24"/>
              </w:rPr>
              <w:t>zunajbilančnih</w:t>
            </w:r>
            <w:proofErr w:type="spellEnd"/>
            <w:r>
              <w:rPr>
                <w:rFonts w:ascii="Times New Roman" w:hAnsi="Times New Roman"/>
                <w:sz w:val="24"/>
              </w:rPr>
              <w:t xml:space="preserve"> izpostavljenosti v skladu s členom 166 in členom 167(2) CRR brez upoštevanja </w:t>
            </w:r>
            <w:proofErr w:type="spellStart"/>
            <w:r>
              <w:rPr>
                <w:rFonts w:ascii="Times New Roman" w:hAnsi="Times New Roman"/>
                <w:sz w:val="24"/>
              </w:rPr>
              <w:t>konverzijskih</w:t>
            </w:r>
            <w:proofErr w:type="spellEnd"/>
            <w:r>
              <w:rPr>
                <w:rFonts w:ascii="Times New Roman" w:hAnsi="Times New Roman"/>
                <w:sz w:val="24"/>
              </w:rPr>
              <w:t xml:space="preserve"> faktorjev iz člena 166(8) ali (9) CRR ali drugih odstotkov iz člena 166(10) CRR.</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proofErr w:type="spellStart"/>
            <w:r>
              <w:rPr>
                <w:rFonts w:ascii="Times New Roman" w:hAnsi="Times New Roman"/>
                <w:sz w:val="24"/>
              </w:rPr>
              <w:t>Zunajbilančne</w:t>
            </w:r>
            <w:proofErr w:type="spellEnd"/>
            <w:r>
              <w:rPr>
                <w:rFonts w:ascii="Times New Roman" w:hAnsi="Times New Roman"/>
                <w:sz w:val="24"/>
              </w:rPr>
              <w:t xml:space="preserve"> izpostavljenosti zajemajo vse odobrene, a </w:t>
            </w:r>
            <w:proofErr w:type="spellStart"/>
            <w:r>
              <w:rPr>
                <w:rFonts w:ascii="Times New Roman" w:hAnsi="Times New Roman"/>
                <w:sz w:val="24"/>
              </w:rPr>
              <w:t>nečrpane</w:t>
            </w:r>
            <w:proofErr w:type="spellEnd"/>
            <w:r>
              <w:rPr>
                <w:rFonts w:ascii="Times New Roman" w:hAnsi="Times New Roman"/>
                <w:sz w:val="24"/>
              </w:rPr>
              <w:t xml:space="preserve"> zneske in vse </w:t>
            </w:r>
            <w:proofErr w:type="spellStart"/>
            <w:r>
              <w:rPr>
                <w:rFonts w:ascii="Times New Roman" w:hAnsi="Times New Roman"/>
                <w:sz w:val="24"/>
              </w:rPr>
              <w:t>zunajbilančne</w:t>
            </w:r>
            <w:proofErr w:type="spellEnd"/>
            <w:r>
              <w:rPr>
                <w:rFonts w:ascii="Times New Roman" w:hAnsi="Times New Roman"/>
                <w:sz w:val="24"/>
              </w:rPr>
              <w:t xml:space="preserve"> postavke iz Priloge I k CRR.</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Utež tveganja</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To je fiksen stolpec. Ne sme se ga spreminjati.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Ta stolpec je bil določen v skladu s členom 153(5) CRR za predloge EU CR10.1 do EU CR10.4 in v skladu s členom 155(2) za predlogo EU 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Vrednost izpostavljenosti</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Vrednost izpostavljenosti v skladu s členom 166 ali 167 CRR.</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Ta stolpec vključuje vsoto vrednosti izpostavljenosti bilančnih izpostavljenosti in vrednosti izpostavljenosti </w:t>
            </w:r>
            <w:proofErr w:type="spellStart"/>
            <w:r>
              <w:rPr>
                <w:rFonts w:ascii="Times New Roman" w:hAnsi="Times New Roman"/>
                <w:sz w:val="24"/>
              </w:rPr>
              <w:t>zunajbilančnih</w:t>
            </w:r>
            <w:proofErr w:type="spellEnd"/>
            <w:r>
              <w:rPr>
                <w:rFonts w:ascii="Times New Roman" w:hAnsi="Times New Roman"/>
                <w:sz w:val="24"/>
              </w:rPr>
              <w:t xml:space="preserve"> izpostavljenosti po uporabi </w:t>
            </w:r>
            <w:proofErr w:type="spellStart"/>
            <w:r>
              <w:rPr>
                <w:rFonts w:ascii="Times New Roman" w:hAnsi="Times New Roman"/>
                <w:sz w:val="24"/>
              </w:rPr>
              <w:t>konverzijskih</w:t>
            </w:r>
            <w:proofErr w:type="spellEnd"/>
            <w:r>
              <w:rPr>
                <w:rFonts w:ascii="Times New Roman" w:hAnsi="Times New Roman"/>
                <w:sz w:val="24"/>
              </w:rPr>
              <w:t xml:space="preserve"> faktorjev in odstotkov v skladu s členom 166(8) do (10) CRR.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lastRenderedPageBreak/>
              <w:t>e (predloge EU CR10.1 do EU 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Znesek tveganju prilagojenih izpostavljenosti (izpostavljenosti iz naslova posebnih kreditnih aranžmajev po pristopu razporejanja)</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Znesek tveganju prilagojenih izpostavljenosti, izračunan v skladu s členom 153(5) CRR, po upoštevanju faktorjev za podporo v skladu s členom 501 in 501a CRR, kjer je relevantno.</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(predloga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Znesek tveganju prilagojenih izpostavljenosti (izpostavljenosti iz naslova lastniških instrumentov po pristopu enostavnih uteži tveganja)</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Znesek tveganju prilagojenih izpostavljenosti, izračunan v skladu s členom 155(2) CRR.</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f (predloge EU CR10.1 do 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Znesek pričakovane izgube (izpostavljenosti iz naslova posebnih kreditnih aranžmajev po pristopu razporejanja)</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Znesek pričakovane izgube, izračunan v skladu s členom 158(6) CRR.</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(predloga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Znesek pričakovane izgube (izpostavljenosti iz naslova lastniških instrumentov po pristopu enostavnih uteži tveganja)</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Znesek pričakovane izgube, izračunan v skladu s členom 158(7) CRR.</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Pravna podlaga in navodila</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Regulativna kategorija</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Predloge EU CR10.1 –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Regulativne kategorije, ki se uporabljajo za posebne kreditne aranžmaje po pristopu razporejanja, za vsako kategorijo izpostavljenosti iz naslova posebnih kreditnih aranžmajev;</w:t>
            </w:r>
            <w:r>
              <w:rPr>
                <w:rFonts w:ascii="Times New Roman" w:hAnsi="Times New Roman"/>
                <w:iCs/>
                <w:sz w:val="24"/>
              </w:rPr>
              <w:t xml:space="preserve"> </w:t>
            </w:r>
            <w:r>
              <w:rPr>
                <w:rFonts w:ascii="Times New Roman" w:hAnsi="Times New Roman"/>
                <w:sz w:val="24"/>
              </w:rPr>
              <w:t>kot je določeno v členu 153(5) CRR in v končnem osnutku regulativnih tehničnih standardov o pristopu razporejanja.</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Kategorije</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Predloga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Regulativne kategorije, ki se uporabljajo za lastniške instrumente po pristopu enostavnih uteži tveganja v skladu s členom 155(2) CRR.</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PRILOGA XXVI – Razpredelnice in predloge za razkritje kreditnega tveganja nasprotne stranke: Navodila</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Institucije razkrijejo informacije iz člena 439</w:t>
      </w:r>
      <w:r>
        <w:rPr>
          <w:rStyle w:val="FootnoteReference"/>
          <w:color w:val="auto"/>
          <w:lang w:val="en-GB"/>
        </w:rPr>
        <w:footnoteReference w:id="41"/>
      </w:r>
      <w:r>
        <w:rPr>
          <w:rFonts w:ascii="Times New Roman" w:hAnsi="Times New Roman"/>
          <w:color w:val="auto"/>
          <w:sz w:val="24"/>
        </w:rPr>
        <w:t xml:space="preserve"> Uredbe (EU) št. 575/2013 (CRR) v zvezi z izpostavljenostjo kreditnemu tveganju nasprotne stranke iz poglavja 6 naslova II dela 3 CRR ob upoštevanju navodil iz te priloge za izpolnjevanje razpredelnic in predlog iz Priloge XXV k tej izvedbeni uredbi.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Razpredelnica EU CCRA – Kvalitativna razkritja v zvezi s kreditnim tveganjem nasprotne stranke (CCR).</w:t>
      </w:r>
      <w:r>
        <w:rPr>
          <w:rFonts w:ascii="Times New Roman" w:hAnsi="Times New Roman"/>
          <w:sz w:val="24"/>
        </w:rPr>
        <w:t xml:space="preserve"> </w:t>
      </w:r>
      <w:r>
        <w:rPr>
          <w:rFonts w:ascii="Times New Roman" w:hAnsi="Times New Roman"/>
          <w:bCs w:val="0"/>
          <w:color w:val="000000"/>
          <w:sz w:val="24"/>
        </w:rPr>
        <w:t xml:space="preserve">Polja, namenjena prosti vsebini.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Institucije razkrijejo informacije iz člena </w:t>
      </w:r>
      <w:r>
        <w:rPr>
          <w:rFonts w:ascii="Times New Roman" w:hAnsi="Times New Roman"/>
          <w:bCs w:val="0"/>
          <w:color w:val="000000"/>
          <w:sz w:val="24"/>
        </w:rPr>
        <w:t xml:space="preserve">439(a) do (d) CRR </w:t>
      </w:r>
      <w:r>
        <w:rPr>
          <w:rFonts w:ascii="Times New Roman" w:hAnsi="Times New Roman"/>
          <w:bCs w:val="0"/>
          <w:color w:val="auto"/>
          <w:sz w:val="24"/>
        </w:rPr>
        <w:t xml:space="preserve">ob upoštevanju navodil iz te priloge za izpolnjevanje </w:t>
      </w:r>
      <w:r>
        <w:rPr>
          <w:rFonts w:ascii="Times New Roman" w:hAnsi="Times New Roman"/>
          <w:bCs w:val="0"/>
          <w:color w:val="000000"/>
          <w:sz w:val="24"/>
        </w:rPr>
        <w:t>razpredelnice EU CCRA iz Priloge XXV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Institucije pri razkrivanju informacij iz člena 439(a) CRR zagotovijo opis metodologije, uporabljene za določanje notranjega kapitala in kreditnih limitov za kreditne izpostavljenosti nasprotne stranke, vključno z metodami za določanje teh limitov za izpostavljenosti do CNS.</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439(b) CRR zagotovijo opis politik v zvezi z jamstvi in drugimi načini za zmanjševanje kreditnega tveganja, kot so politike za zagotavljanje zavarovanja s premoženjem in vzpostavljanje kreditnih rezerv.</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439(c) CRR zagotovijo opis politik glede tveganja neugodnih gibanj, kot je opredeljeno v členu 291 CRR.</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Institucije v skladu s členom 431(3) in (4) CRR dopolnijo zgornje informacije s cilji upravljanja tveganj in zadevnimi politikami v zvezi s kreditnim tveganjem nasprotne stranke (CCR).</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Institucije pri razkrivanju informacij iz člena 439(d) CRR navedejo znesek zavarovanja s premoženjem, ki bi ga morale zagotoviti, če bi se njihova bonitetna ocena znižala.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Če centralna banka države članice zagotovi likvidnostno pomoč v obliki poslov zamenjave zavarovanja s premoženjem, lahko pristojni organ institucijo oprosti poročanja teh informacij, če meni, da bi razkritje informacij </w:t>
            </w:r>
            <w:r>
              <w:rPr>
                <w:rFonts w:ascii="Times New Roman" w:hAnsi="Times New Roman"/>
                <w:color w:val="000000"/>
                <w:sz w:val="24"/>
              </w:rPr>
              <w:lastRenderedPageBreak/>
              <w:t>lahko razkrilo zagotavljanje izredne likvidnostne pomoči. V te namene pristojni organ določi ustrezne prage in objektivna merila.</w:t>
            </w:r>
          </w:p>
        </w:tc>
      </w:tr>
    </w:tbl>
    <w:p w14:paraId="651D0C27" w14:textId="77777777" w:rsidR="005710A4" w:rsidRPr="0081737A" w:rsidRDefault="005710A4" w:rsidP="005710A4">
      <w:pPr>
        <w:pStyle w:val="Titlelevel2"/>
        <w:spacing w:before="0"/>
        <w:rPr>
          <w:rFonts w:ascii="Times New Roman" w:hAnsi="Times New Roman" w:cs="Times New Roman"/>
          <w:b/>
          <w:color w:val="auto"/>
          <w:sz w:val="24"/>
          <w:lang w:val="it-IT"/>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Predloga EU CCR1 – Analiza izpostavljenosti CCR po pristopu </w:t>
      </w:r>
      <w:r>
        <w:rPr>
          <w:rFonts w:ascii="Times New Roman" w:hAnsi="Times New Roman"/>
          <w:color w:val="auto"/>
          <w:sz w:val="24"/>
        </w:rPr>
        <w:t>Fiksna oblika.</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razkrijejo informacije iz člena 439(f), (g) in (k) CRR ob upoštevanju navodil iz te priloge za izpolnjevanje predloge EU CCR1 iz Priloge XXV k tej izvedbeni uredbi.</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Ta predloga izključuje kapitalske zahteve za tveganje prilagoditve kreditnega vrednotenja (CVA) (naslov VI dela 3 CRR) in izpostavljenosti do centralne nasprotne stranke (oddelek 9 poglavja 6 naslova II dela 3 CRR), kot so določene za namene predloge EU CCR8.</w:t>
      </w:r>
      <w:r>
        <w:t xml:space="preserve"> </w:t>
      </w:r>
      <w:r>
        <w:rPr>
          <w:rFonts w:ascii="Times New Roman" w:hAnsi="Times New Roman"/>
          <w:bCs w:val="0"/>
          <w:color w:val="000000"/>
          <w:sz w:val="24"/>
        </w:rPr>
        <w:t>Kar zadeva posle financiranja z vrednostnimi papirji, vključuje vrednosti izpostavljenosti pred učinkom zmanjševanja kreditnega tveganja in po njem, kot je določeno v skladu z metodami iz poglavij 4 in 6 naslova II dela 3 CRR glede na uporabljeno metodo, v skladu s členom 439(g) CRR, in s tem povezane zneske izpostavljenosti tveganjem, razčlenjene glede na uporabljeno metodo.</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 xml:space="preserve">Institucije, ki uporabljajo metode iz oddelkov 4 in 5 poglavja 6 naslova II dela 3 CRR, v besedilu, priloženem predlogi, navedejo obseg svojih bilančnih in </w:t>
      </w:r>
      <w:proofErr w:type="spellStart"/>
      <w:r>
        <w:rPr>
          <w:rFonts w:ascii="Times New Roman" w:hAnsi="Times New Roman"/>
          <w:color w:val="auto"/>
          <w:sz w:val="24"/>
        </w:rPr>
        <w:t>zunajbilančnih</w:t>
      </w:r>
      <w:proofErr w:type="spellEnd"/>
      <w:r>
        <w:rPr>
          <w:rFonts w:ascii="Times New Roman" w:hAnsi="Times New Roman"/>
          <w:color w:val="auto"/>
          <w:sz w:val="24"/>
        </w:rPr>
        <w:t xml:space="preserve"> poslov z izvedenimi finančnimi instrumenti, izračunan v skladu s členom 273a(1) oziroma (2) CRR, ob upoštevanju člena 439(m)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Metoda originalne izpostavljenosti (za izvedene finančne instrumente)</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Izvedeni finančni instrumenti in posli z dolgim rokom poravnave, za katere so se institucije odločile izračunati vrednost izpostavljenosti kot alfa*(RC+PFE), pri čemer α znaša 1,4, RC (nadomestitveni stroški) in PFE (potencialna prihodnja izpostavljenost) pa se izračunata v skladu s členom 282 oddelka 5 poglavja 6 naslova II dela 3 CRR.</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To poenostavljeno metodo za izračun vrednosti izpostavljenosti pozicij v izvedenih finančnih instrumentih lahko uporabljajo samo institucije, ki izpolnjujejo pogoje iz člena 273a(2) ali (4) CRR poglavja 6 naslova II dela 3 CRR.</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Poenostavljeni standardizirani pristop za CCR (poenostavljeni SA-CCR za izvedene finančne instrumente)</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Izvedeni finančni instrumenti in posli z dolgim rokom poravnave, za katere so se institucije odločile izračunati vrednost izpostavljenosti kot alfa*(RC+PFE), </w:t>
            </w:r>
            <w:r>
              <w:rPr>
                <w:rFonts w:ascii="Times New Roman" w:hAnsi="Times New Roman"/>
                <w:sz w:val="24"/>
              </w:rPr>
              <w:lastRenderedPageBreak/>
              <w:t>pri čemer je vrednost α 1,4, RC in PFE pa se izračunata v skladu s členom 281 oddelka 4 poglavja 6 naslova II dela 3 CRR.</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Ta poenostavljeni standardizirani pristop za izračun vrednosti izpostavljenosti pozicij v izvedenih finančnih instrumentih lahko uporabljajo samo institucije, ki izpolnjujejo pogoje iz člena 273a(1) ali (4) CRR poglavja 6 naslova II dela 3 CRR.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lastRenderedPageBreak/>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Standardizirani pristop za CCR (SA-CCR za izvedene finančne instrumente)</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Izvedeni finančni instrumenti in posli z dolgim rokom poravnave, za katere so se institucije odločile izračunati vrednost izpostavljenosti kot alfa*(RC+PFE), pri čemer je vrednost α 1,4, RC in PFE pa se izračunata v skladu z oddelkom 3 poglavja 6 naslova II dela 3 CRR.</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Metoda notranjih modelov (za izvedene finančne instrumente in SFT)</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Izvedeni finančni instrumenti, posli z dolgim rokom poravnave in SFT, za katere je institucijam dovoljeno izračunati vrednost izpostavljenosti z uporabo metode notranjih modelov (IMM) v skladu z oddelkom 6 poglavja 6 naslova II dela 3 CRR.</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Od tega nizi pobotov poslov financiranja z vrednostnimi papirji</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Nizi pobotov, ki vsebujejo samo posle financiranja z vrednostnimi papirji, kot so opredeljeni v členu 4(1)(139) CRR, za katere je institucijam dovoljeno določiti vrednost izpostavljenosti z uporabo IMM.</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Od tega nizi pobotov izvedenih finančnih instrumentov in poslov z dolgim rokom poravnave</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Nizi pobotov, ki vsebujejo samo izvedene finančne instrumente iz Priloge II k CRR in posle z dolgim rokom poravnave, kot so opredeljeni v členu 272(2) CRR, za katere je institucijam dovoljeno določiti vrednost izpostavljenosti z uporabo IMM.</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Od tega nizi pobotov iz pogodbenega pobota med različnimi kategorijami produktov</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Nizi pobotov, ki vsebujejo posle z različnimi kategorijami produktov (člen 272(11) CRR), tj. izvedene finančne instrumente in SFT, za katere obstaja pogodba o pobotu med različnimi kategorijami produktov, kot je opredeljena v členu 272(25) CRR, in za katere je institucijam dovoljeno določiti vrednost izpostavljenosti z uporabo IMM.</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Enostavna metoda za izračun učinkov zavarovanja s finančnim premoženjem (za SFT) in razvita metoda za izračun učinkov zavarovanja s finančnim premoženjem (za SFT)</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lastRenderedPageBreak/>
              <w:t xml:space="preserve">Repo posli, posli </w:t>
            </w:r>
            <w:proofErr w:type="spellStart"/>
            <w:r>
              <w:rPr>
                <w:rFonts w:ascii="Times New Roman" w:hAnsi="Times New Roman"/>
                <w:sz w:val="24"/>
                <w:szCs w:val="24"/>
              </w:rPr>
              <w:t>posoje</w:t>
            </w:r>
            <w:proofErr w:type="spellEnd"/>
            <w:r>
              <w:rPr>
                <w:rFonts w:ascii="Times New Roman" w:hAnsi="Times New Roman"/>
                <w:sz w:val="24"/>
                <w:szCs w:val="24"/>
              </w:rPr>
              <w:t>/izposoje vrednostnih papirjev ali blaga in posli kreditiranja za povečanje trgovalnega portfelja, za katere so se institucije odločile določiti vrednost izpostavljenosti v skladu s členoma 222 in 223 poglavja 4 naslova II dela 3 CRR in ne členom 271(2) poglavja 6 naslova II dela 3 CRR.</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lastRenderedPageBreak/>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Tvegana vrednost (VAR) za SFT</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Repo posli, posli </w:t>
            </w:r>
            <w:proofErr w:type="spellStart"/>
            <w:r>
              <w:rPr>
                <w:rFonts w:ascii="Times New Roman" w:hAnsi="Times New Roman"/>
                <w:sz w:val="24"/>
                <w:szCs w:val="24"/>
              </w:rPr>
              <w:t>posoje</w:t>
            </w:r>
            <w:proofErr w:type="spellEnd"/>
            <w:r>
              <w:rPr>
                <w:rFonts w:ascii="Times New Roman" w:hAnsi="Times New Roman"/>
                <w:sz w:val="24"/>
                <w:szCs w:val="24"/>
              </w:rPr>
              <w:t>/izposoje vrednostnih papirjev ali blaga, posli z dolgim rokom poravnave in posli kreditiranja za povečanje trgovalnega portfelja ali drugi posli z instrumenti kapitalskega trga razen poslov z izvedenimi finančnimi instrumenti, za katere se (v skladu s členom 221 CRR) vrednost izpostavljenosti izračuna z uporabo pristopa notranjih modelov (IMA), ki upošteva učinke korelacije med pozicijami v vrednostnih papirjih, ki so predmet okvirne pogodbe o pobotu, ter likvidnost zadevnih instrumentov.</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Skupaj</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Nadomestitveni stroški (RC) in potencialna prihodnja izpostavljenost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RC in PFE se izračunata:</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v skladu s členom 282(3) in (4) oddelka 5 poglavja 6 naslova II dela 3 CRR za metodo originalne izpostavljenosti (vrstica EU-1 te predloge),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 skladu s členom 281 oddelka 5 poglavja 6 naslova II dela 3 CRR za poenostavljeni SA-CCR (vrstica EU-2 te predloge),</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 skladu s členoma 275 in 278 oddelkov 4 in 5 poglavja 6 naslova II dela 3 CRR za SA-CCR (vrstica 1 te predloge).</w:t>
            </w:r>
          </w:p>
          <w:p w14:paraId="599A5CCA" w14:textId="77777777" w:rsidR="005710A4" w:rsidRPr="007F4CC8" w:rsidRDefault="005710A4" w:rsidP="00155C96">
            <w:pPr>
              <w:spacing w:after="240"/>
            </w:pPr>
            <w:r>
              <w:rPr>
                <w:rFonts w:ascii="Times New Roman" w:hAnsi="Times New Roman"/>
                <w:sz w:val="24"/>
              </w:rPr>
              <w:t>Institucije razkrijejo vsoto nadomestitvenih stroškov za vse nize pobotov v ustreznih vrsticah.</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Efektivna pričakovana pozitivna izpostavljenost (efektivna 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Efektivna EPE na niz pobotov je opredeljena v členu 272(22) CRR in se izračuna v skladu s členom 284(6) CRR.</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Efektivna EPE, ki se razkrije tukaj, je tista, uporabljena za določitev kapitalskih zahtev v skladu s členom 284(3) CRR, tj. efektivna EPE, izračunana z uporabo tekočih tržnih podatkov, ali efektivna EPE, izračunana z uporabo stresne umeritve, odvisno od tega, katera privede do višjih kapitalskih zahtev.</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lastRenderedPageBreak/>
              <w:t xml:space="preserve">Institucije v besedilu, priloženem tej predlogi, navedejo, katero efektivno EPE so vnesle.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Alfa, uporabljen za izračun regulativne vrednosti izpostavljenosti</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V vrsticah EU-1, EU-2 in 1 te predloge je vrednost α stalna pri 1,4 v skladu s členi 282(2), 281(1) in 274(2) CRR.</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Za namene IMM je lahko vrednost α privzetih 1,4 ali drugačna, če pristojni organi zahtevajo višji α v skladu s členom 284(4) CRR ali institucijam dovolijo, da uporabijo lastne ocene v skladu s členom 284(9) oddelka 6 poglavja 6 naslova II dela 3 CRR.</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Vrednost izpostavljenosti pred CRM</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Vrednost izpostavljenosti pred CRM za posle, izpostavljene CCR, se izračuna v skladu z metodami, določenimi v poglavjih 4 in 6 naslova II dela 3 CRR, ob upoštevanju učinka pobotov, vendar brez upoštevanja drugih tehnik za zmanjševanje kreditnega tveganja (npr. zavarovanja v obliki kritja).</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 primeru SFT se del z vrednostnim papirjem ne upošteva pri določanju vrednosti izpostavljenosti pred CRM, kadar je zavarovanje s premoženjem prejeto, in zato ne zmanjša vrednosti izpostavljenosti. Nasprotno pa se del z vrednostnim papirjem v SFT upošteva na običajen način pri določanju vrednosti izpostavljenosti pred CRM, kadar je zavarovanje s premoženjem dano.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Poleg tega se zavarovani posli obravnavajo kot nezavarovani, tj. učinki kritja se ne uporabljajo.</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Za posle, pri katerih je bilo ugotovljeno posebno tveganje neugodnih gibanj, je treba vrednost izpostavljenosti pred CRM določiti v skladu s členom 291 CRR.</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Pri vrednosti izpostavljenosti pred CRM se ne upošteva odbitek izgube iz naslova nastale prilagoditve kreditnega vrednotenja v skladu s členom 273(6) CRR.</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Institucija razkrije vsoto vseh vrednosti izpostavljenosti pred CRM v ustrezni vrstici.</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Vrednost izpostavljenosti (po CRM)</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Vrednost izpostavljenosti po CRM za posle, izpostavljene CCR, se izračuna v skladu z metodami, določenimi v poglavjih 4 in 6 naslova II dela 3 CRR, in z uporabo ustreznih tehnik CRM v skladu s poglavjema 4 in 6 naslova II dela 3 CRR.</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Za posle, pri katerih je bilo ugotovljeno posebno tveganje neugodnih gibanj, se vrednost izpostavljenosti določi v skladu s členom 291 CRR.</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 skladu s členom 273(6) CRR se izguba iz naslova nastale prilagoditve kreditnega vrednotenja ne odbije od vrednosti izpostavljenosti po CRM.</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Institucija razkrije vsoto vseh vrednosti izpostavljenosti po CRM v ustrezni vrstici.</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Vrednost izpostavljenosti</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Vrednost izpostavljenosti za posle, izpostavljene CCR, izračunana v skladu z metodami iz poglavij 4 in 6 naslova II dela 3 CRR, ki je relevantni znesek za izračun kapitalskih zahtev, tj. ob uporabi tehnik za zmanjševanje kreditnega tveganja v skladu s poglavjem 4 oziroma poglavjem 6 naslova II dela 3 CRR in upoštevanju odbitka izgube iz naslova nastale prilagoditve kreditnega vrednotenja v skladu s členom 273(6) CRR.</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Vrednost izpostavljenosti za posle, pri katerih je bilo ugotovljeno posebno tveganje neugodnih gibanj, se določi v skladu s členom 291 CRR.</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vsakem pristopu za CCR, ki odražajo delež vrednosti izpostavljenosti po CRM zadevnih nizov pobotov glede na vrednost skupne izpostavljenosti po CRM nasprotne stranke.</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Institucija razkrije vsoto vseh vrednosti izpostavljenosti po CRM v ustrezni vrstici.</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Zneski tveganju prilagojenih izpostavljenosti (RWEA), kot so opredeljeni v členu 92(3) in (4) CRR, izračunani v skladu s členom 107 CRR, za elemente, katerih uteži tveganja so ocenjene na podlagi zahtev iz poglavij 2 in 3 naslova II dela 3 CRR in za katere se vrednost izpostavljenosti za posle, izpostavljene kreditnemu tveganju nasprotne stranke, izračuna v skladu s poglavjema 4 in 6 naslova II dela 3 CRR.</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Predloga EU CCR2 – Posli, ki so predmet kapitalskih zahtev za tveganje CVA. </w:t>
      </w:r>
      <w:r>
        <w:rPr>
          <w:rFonts w:ascii="Times New Roman" w:hAnsi="Times New Roman"/>
          <w:sz w:val="24"/>
        </w:rPr>
        <w:t>Fiksna oblika.</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Institucije</w:t>
      </w:r>
      <w:r>
        <w:rPr>
          <w:rFonts w:ascii="Times New Roman" w:hAnsi="Times New Roman"/>
          <w:bCs w:val="0"/>
          <w:color w:val="auto"/>
          <w:sz w:val="24"/>
        </w:rPr>
        <w:t xml:space="preserve"> razkrijejo informacije iz člena 439(h) CRR ob</w:t>
      </w:r>
      <w:r>
        <w:rPr>
          <w:rFonts w:ascii="Times New Roman" w:hAnsi="Times New Roman"/>
          <w:bCs w:val="0"/>
          <w:color w:val="000000"/>
          <w:sz w:val="24"/>
        </w:rPr>
        <w:t xml:space="preserve"> upoštevanju navodil iz te priloge za izpolnjevanje predloge EU CCR2 iz Priloge XXV k tej izvedbeni uredbi</w:t>
      </w:r>
      <w:r>
        <w:rPr>
          <w:rFonts w:ascii="Times New Roman" w:hAnsi="Times New Roman"/>
          <w:bCs w:val="0"/>
          <w:color w:val="auto"/>
          <w:sz w:val="24"/>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V to predlogo se vnesejo regulativne informacije o CVA za vse posle, ki so predmet kapitalskih zahtev za tveganje CVA (naslov VI dela 3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Pravna podlaga in navodila</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Skupaj posli, za katere se uporablja napredna metoda</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Posli, za katere se uporablja napredna metoda za izračun kapitalskih zahtev za tveganje CVA v skladu s členom 383 CRR.</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Sestavina </w:t>
            </w:r>
            <w:proofErr w:type="spellStart"/>
            <w:r>
              <w:rPr>
                <w:rFonts w:ascii="Times New Roman" w:hAnsi="Times New Roman"/>
                <w:b/>
                <w:sz w:val="24"/>
                <w:szCs w:val="24"/>
              </w:rPr>
              <w:t>VaR</w:t>
            </w:r>
            <w:proofErr w:type="spellEnd"/>
            <w:r>
              <w:rPr>
                <w:rFonts w:ascii="Times New Roman" w:hAnsi="Times New Roman"/>
                <w:b/>
                <w:sz w:val="24"/>
                <w:szCs w:val="24"/>
              </w:rPr>
              <w:t xml:space="preserve"> (vključno s trikratnim multiplikatorjem)</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Posli, ki so predmet kapitalskih zahtev za tveganje CVA, za katere se zneski tveganju prilagojenih izpostavljenosti pridobijo s formulo v členu 383 CRR z uporabo izračuna </w:t>
            </w:r>
            <w:proofErr w:type="spellStart"/>
            <w:r>
              <w:rPr>
                <w:rFonts w:ascii="Times New Roman" w:hAnsi="Times New Roman"/>
                <w:sz w:val="24"/>
                <w:szCs w:val="24"/>
              </w:rPr>
              <w:t>VaR</w:t>
            </w:r>
            <w:proofErr w:type="spellEnd"/>
            <w:r>
              <w:rPr>
                <w:rFonts w:ascii="Times New Roman" w:hAnsi="Times New Roman"/>
                <w:sz w:val="24"/>
                <w:szCs w:val="24"/>
              </w:rPr>
              <w:t xml:space="preserve"> na podlagi notranjih modelov za tržno tveganje (z umeritvami tekočih parametrov za pričakovano izpostavljenost, kot je določeno v prvem pododstavku člena 292(2) CRR).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Izračun vsebuje uporabo multiplikatorja, ki je vsaj 3 (določi ga nadzornik).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Sestavina stresne </w:t>
            </w:r>
            <w:proofErr w:type="spellStart"/>
            <w:r>
              <w:rPr>
                <w:rFonts w:ascii="Times New Roman" w:hAnsi="Times New Roman"/>
                <w:b/>
                <w:sz w:val="24"/>
                <w:szCs w:val="24"/>
              </w:rPr>
              <w:t>VaR</w:t>
            </w:r>
            <w:proofErr w:type="spellEnd"/>
            <w:r>
              <w:rPr>
                <w:rFonts w:ascii="Times New Roman" w:hAnsi="Times New Roman"/>
                <w:b/>
                <w:sz w:val="24"/>
                <w:szCs w:val="24"/>
              </w:rPr>
              <w:t xml:space="preserve"> (vključno s trikratnim multiplikatorjem)</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Posli, ki so predmet kapitalskih zahtev za tveganje CVA, za katere se zneski tveganju prilagojenih izpostavljenosti pridobijo s formulo v členu 383 CRR z uporabo izračuna stresne </w:t>
            </w:r>
            <w:proofErr w:type="spellStart"/>
            <w:r>
              <w:rPr>
                <w:rFonts w:ascii="Times New Roman" w:hAnsi="Times New Roman"/>
                <w:sz w:val="24"/>
                <w:szCs w:val="24"/>
              </w:rPr>
              <w:t>VaR</w:t>
            </w:r>
            <w:proofErr w:type="spellEnd"/>
            <w:r>
              <w:rPr>
                <w:rFonts w:ascii="Times New Roman" w:hAnsi="Times New Roman"/>
                <w:sz w:val="24"/>
                <w:szCs w:val="24"/>
              </w:rPr>
              <w:t xml:space="preserve"> na podlagi notranjih modelov za tržno tveganje (s stresnimi parametri za umeritev formule, kot je določeno v prvem pododstavku člena 292(2) CRR).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Izračun vsebuje uporabo multiplikatorja, ki je vsaj 3 (določi ga nadzornik).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Posli, za katere se uporablja standardizirana metoda</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Posli, za katere se uporablja standardizirana metoda za izračun kapitalskih zahtev za tveganje CVA v skladu s členom 384 CRR.</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Posli, za katere se uporablja alternativni pristop (na podlagi metode originalne izpostavljenosti)</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Posli, za katere se uporablja alternativni pristop za izračun kapitalskih zahtev za tveganje CVA v skladu s členom 385 CRR.</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Skupaj posli, ki so predmet kapitalskih zahtev za tveganje CVA</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Vrednost izpostavljenosti</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Vrednost izpostavljenosti, ki je določena v skladu s poglavjem 6 naslova II dela 3 CRR (ali v primeru poslov iz področja uporabe člena 271(2) CRR v skladu s poglavjem 4 naslova II dela 3 CRR) za posle, ki spadajo v področje uporabe naslova VI dela 3 CRR.</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Vrednost izpostavljenosti je vrednost, ki se uporabi pri izračunu kapitalskih zahtev za tveganje CVA ob upoštevanju učinkov zmanjševanja v skladu z naslovom VI dela 3 CRR. Za posle, ki se obravnavajo po metodi originalne izpostavljenosti (alternativni pristop), je vrednost izpostavljenosti vrednost, ki se je uporabila za izračun zneskov tveganju prilagojenih izpostavljenosti.</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lastRenderedPageBreak/>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Zneski tveganju prilagojenih izpostavljenosti v skladu s členom 438(d) in členom 92(3)(d) CRR, tj. kapitalske zahteve za tveganje CVA, izračunane z izbrano metodo, pomnožene z 12,5 v skladu s členom 92(4)(b) CRR.</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Predloga EU CCR3 – Standardizirani pristop – Izpostavljenosti CCR glede na regulativno kategorijo izpostavljenosti in uteži tveganja. </w:t>
      </w:r>
      <w:r>
        <w:rPr>
          <w:rFonts w:ascii="Times New Roman" w:hAnsi="Times New Roman"/>
          <w:color w:val="auto"/>
          <w:sz w:val="24"/>
        </w:rPr>
        <w:t>Fiksna oblika.</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razkrijejo informacije iz člena 444(e) CRR ob upoštevanju navodil iz te priloge za izpolnjevanje predloge EU CCR3 iz Priloge XXV k tej izvedbeni uredbi.</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ki uporabljajo standardizirani pristop za kreditno tveganje za izračun zneskov tveganju prilagojenih izpostavljenosti (razen tistih, ki izhajajo iz kapitalskih zahtev za tveganje CVA, in za izpostavljenosti, za katere se opravi kliring prek CNS) za vse ali del svojih izpostavljenosti CCR v skladu s členom 107 CRR, ne glede na pristop</w:t>
      </w:r>
      <w:r>
        <w:rPr>
          <w:rFonts w:ascii="Times New Roman" w:hAnsi="Times New Roman"/>
          <w:bCs w:val="0"/>
          <w:color w:val="auto"/>
          <w:sz w:val="24"/>
        </w:rPr>
        <w:t xml:space="preserve"> za kreditno tveganje nasprotne stranke, ki se uporablja za določanje vrednosti izpostavljenosti v skladu s</w:t>
      </w:r>
      <w:r>
        <w:rPr>
          <w:rFonts w:ascii="Times New Roman" w:hAnsi="Times New Roman"/>
          <w:color w:val="auto"/>
          <w:sz w:val="24"/>
        </w:rPr>
        <w:t xml:space="preserve"> poglavjema 4 in 6 naslova II dela 3 CRR</w:t>
      </w:r>
      <w:r>
        <w:rPr>
          <w:rFonts w:ascii="Times New Roman" w:hAnsi="Times New Roman"/>
          <w:bCs w:val="0"/>
          <w:color w:val="auto"/>
          <w:sz w:val="24"/>
        </w:rPr>
        <w:t xml:space="preserve">, razkrijejo naslednje informacije.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Če institucija meni, da informacije, ki se zahtevajo v tej predlogi, niso koristne, ker izpostavljenosti in zneski tveganju prilagojenih izpostavljenosti niso pomembni, se lahko odloči, da informacij iz te predloge ne bo razkrila. Vendar mora institucija s pisnim komentarjem pojasniti, zakaj šteje, da informacije niso koristne, vključno z opisom izpostavljenosti v zadevnih portfeljih in skupnim seštevkom zneskov tveganju prilagojenih izpostavljenosti iz takih izpostavljenosti.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Kategorije izpostavljenosti</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Te vrstice se nanašajo na regulativne kategorije izpostavljenosti iz členov 112 do 134 poglavja 4 naslova II dela 3 CRR. V vsaki vrstici se razkrijejo ustrezne vrednosti izpostavljenosti (glej opredelitev v stolpcu g predloge EU 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lastRenderedPageBreak/>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Druge postavke</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To se nanaša na sredstva, za katera se uporablja posebna utež tveganja iz člena 134 poglavja 4 naslova II dela 3 CRR, in vse druge postavke, ki niso zajete v vrsticah 1 do 9 te predloge. Nanaša se tudi na sredstva, ki se ne odbijejo v skladu s členom 39 CRR (preplačilo davka, prenos davčne izgube v predhodno obdobje in odložene terjatve za davek, ki se ne nanašajo na prihodnji dobiček), členom 41 CRR (sredstva pokojninskega sklada z določenimi pravicami), členom 46 in členom 469 CRR (nepomembne naložbe v navadni lastniški temeljni kapital subjektov finančnega sektorja), členom 49 in členom 471 CRR (udeležbe v zavarovalnicah ne glede na to, ali se zavarovalnice nadzorujejo na podlagi direktive o konglomeratih), členom 60 in členom 475 CRR (nepomembne in pomembne posredne naložbe v dodatni temeljni kapital subjektov finančnega sektorja), členom 70 in členom 477 CRR (nepomembni in pomembni posredni in sintetični deleži v instrumentih dodatnega kapitala, ki jih izdajo subjekti finančnega sektorja), kadar niso razporejena v druge kategorije izpostavljenosti, in na kvalificirane deleže zunaj finančnega sektorja, če jim ni dodeljena utež tveganja 1 250 % (v skladu s členom 36(k) poglavja 2 naslova I dela 2 CRR).</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Vrednost skupne izpostavljenosti</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Ti stolpci se nanašajo na stopnje kreditne kakovosti/uteži tveganja iz poglavja 2 naslova II dela 3 CRR, za katere se razkrijejo ustrezne vrednosti izpostavljenosti (glej opredelitev v stolpcu g predloge EU 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Vrednost skupne izpostavljenosti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Predloga EU CCR4 – Pristop IRB – Izpostavljenosti CCR po razredih izpostavljenosti in razponih verjetnosti neplačila (PD). </w:t>
      </w:r>
      <w:r>
        <w:rPr>
          <w:rFonts w:ascii="Times New Roman" w:hAnsi="Times New Roman"/>
          <w:color w:val="auto"/>
          <w:sz w:val="24"/>
        </w:rPr>
        <w:t>Fiksna oblika.</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Institucije razkrijejo informacije iz člena 452(g) CRR ob upoštevanju navodil iz te priloge za izpolnjevanje predloge EU CCR4 iz Priloge XXV k tej izvedbeni uredbi.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ki uporabljajo napredni ali osnovni pristop IRB za kreditno tveganje za izračun zneskov tveganju prilagojenih izpostavljenosti (razen tistih, ki izhajajo iz kapitalskih zahtev za tveganje CVA, in za izpostavljenosti, za katere se opravi kliring prek CNS) za vse ali del svojih izpostavljenosti CCR v skladu s členom 107 CRR, ne glede na pristop</w:t>
      </w:r>
      <w:r>
        <w:rPr>
          <w:rFonts w:ascii="Times New Roman" w:hAnsi="Times New Roman"/>
          <w:bCs w:val="0"/>
          <w:color w:val="auto"/>
          <w:sz w:val="24"/>
        </w:rPr>
        <w:t xml:space="preserve"> za kreditno tveganje nasprotne stranke, ki se uporablja za določanje vrednosti izpostavljenosti v skladu s</w:t>
      </w:r>
      <w:r>
        <w:rPr>
          <w:rFonts w:ascii="Times New Roman" w:hAnsi="Times New Roman"/>
          <w:color w:val="auto"/>
          <w:sz w:val="24"/>
        </w:rPr>
        <w:t xml:space="preserve"> poglavjema 4 in 6 naslova II dela 3 CRR</w:t>
      </w:r>
      <w:r>
        <w:rPr>
          <w:rFonts w:ascii="Times New Roman" w:hAnsi="Times New Roman"/>
          <w:bCs w:val="0"/>
          <w:color w:val="auto"/>
          <w:sz w:val="24"/>
        </w:rPr>
        <w:t xml:space="preserve">, razkrijejo naslednje informacije.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Pravna podlaga in navodila</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do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Lestvica razponov PD</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Izpostavljenosti CCR se v ustrezni razpon fiksne lestvice razponov PD razporedijo na podlagi ocenjene PD za vsakega dolžnika, dodeljenega v to kategorijo izpostavljenosti (brez upoštevanja zamenjave zaradi obstoja jamstva ali kreditnega izvedenega finančnega instrumenta). Institucije razporedijo izpostavljenosti eno za drugo v lestvico razponov PD v predlogi, pri čemer upoštevajo tudi zvezne lestvice. Vse neplačane izpostavljenosti se vključijo v razpon, ki predstavlja verjetnost neplačila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 do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Kategorija izpostavljenosti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To se nanaša na različne kategorije izpostavljenosti iz člena 147 poglavja 3 naslova II dela 3 CRR.</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in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Vmesni seštevek (kategorija izpostavljenosti X) / Skupni znesek (vse kategorije izpostavljenosti, relevantne za CCR)</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Vmesni seštevek/skupni znesek vrednosti izpostavljenosti, zneski tveganju prilagojenih izpostavljenosti in število dolžnikov so samo vsota zadevnih stolpcev. V zvezi z različnimi parametri „povprečna PD“, „povprečna LGD“, „povprečna zapadlost“ in „gostota RWEA“ se uporabljajo spodnje opredelitve glede vzorca kategorije izpostavljenosti X ali vseh kategorij izpostavljenosti, relevantnih za CCR.</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Vrednost izpostavljenosti</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Vrednost izpostavljenosti (glej opredelitev v stolpcu g predloge EU CCR1), razčlenjena na kategorije izpostavljenosti in dano lestvico razponov PD iz poglavja 3 naslova II dela 3 CRR.</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Z izpostavljenostjo tehtano povprečje PD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Povprečje verjetnosti neplačila posameznih bonitetnih razredov dolžnika, tehtano z ustrezno vrednostjo izpostavljenosti iz stolpca a te predloge.</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Število dolžnikov</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Število pravnih subjektov ali dolžnikov, razporejenih v vsak razpon fiksne lestvice razponov PD, ki so bili ločeno ocenjeni, ne glede na število različnih odobrenih kreditov ali izpostavljenosti.</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Če se različne izpostavljenosti do istega dolžnika ocenjujejo ločeno, se štejejo ločeno. Do take situacije lahko pride, če se posamezne izpostavljenosti do istega dolžnika razvrstijo v različne bonitetne razrede dolžnika v skladu z drugim stavkom člena 172(1)(e) CRR.</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lastRenderedPageBreak/>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Z izpostavljenostjo tehtano povprečje LGD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Povprečje LGD bonitetnih razredov dolžnika, tehtano z ustrezno vrednostjo izpostavljenosti.</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Razkrita LGD mora ustrezati končni oceni LGD, uporabljeni pri izračunu kapitalskih zahtev, dobljenih po upoštevanju učinkov CRM in razmer gospodarske recesije, kjer je relevantno.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V primeru izpostavljenosti, ki so predmet obravnave dvojnega neplačila, LGD, ki se razkrije, ustreza LGD, izbrani v skladu s členom 161(4) CRR.</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Za neplačane izpostavljenosti po naprednem pristopu IRB se uporabljajo določbe iz člena 181(1)(h) CRR. Razkrita LGD ustreza oceni LGD pri neplačilu.</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Z izpostavljenostjo tehtana povprečna zapadlost (v letih)</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Povprečje zapadlosti dolžnikov v letih, tehtano z ustrezno vrednostjo izpostavljenosti iz stolpca a te predloge.</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Razkrita vrednost zapadlosti se določi v skladu s členom 162 CRR.</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Zneski tveganju prilagojenih izpostavljenosti (RWEA), izračunani v skladu z zahtevami iz poglavja 3 naslova II dela 3 CRR; znesek tveganju prilagojenih izpostavljenosti, izračunan v skladu s členom 153(1) do (4) CRR, za izpostavljenosti do enot centralne ravni države in centralnih bank, institucij ter podjetij; upoštevata se faktor za podporo MSP in faktor za podporo infrastrukturnim projektom, določena v členih 501 in 501a CRR; znesek tveganju prilagojenih izpostavljenosti, izračunan v skladu s členom 155(3) CRR, za izpostavljenosti iz naslova lastniških instrumentov v okviru pristopa PD/LGD.</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Gostota zneskov tveganju prilagojenih izpostavljenosti</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Količnik med vsoto zneskov tveganju prilagojenih izpostavljenosti (kot so razkriti v stolpcu f te predloge) in vrednostjo izpostavljenosti (kot je razkrita v stolpcu a te predloge).</w:t>
            </w:r>
          </w:p>
        </w:tc>
      </w:tr>
    </w:tbl>
    <w:p w14:paraId="7B815329" w14:textId="77777777" w:rsidR="005710A4" w:rsidRPr="0081737A"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Predloga EU CCR5 – Sestava zavarovanja s premoženjem za izpostavljenosti CRR. </w:t>
      </w:r>
      <w:r>
        <w:rPr>
          <w:rFonts w:ascii="Times New Roman" w:hAnsi="Times New Roman"/>
          <w:color w:val="auto"/>
          <w:sz w:val="24"/>
        </w:rPr>
        <w:t>Fiksni stolpci.</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Institucije razkrijejo informacije iz člena 439(e) CRR ob upoštevanju navodil iz te priloge za izpolnjevanje predloge EU CCR5 iz Priloge XXV k tej izvedbeni uredbi.</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V to predlogo se vnesejo poštene vrednosti zavarovanja s premoženjem (danega ali prejetega), uporabljenega v izpostavljenostih CCR v zvezi s posli z izvedenimi finančnimi instrumenti ali SFT, ne glede na to, ali se za posle opravi kliring prek CNS in ali se da CNS zavarovanje s premoženjem.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Če centralna banka države članice zagotovi likvidnostno pomoč v obliki poslov zamenjave zavarovanja s premoženjem, lahko pristojni organ institucijo oprosti poročanja informacij v tej predlogi, če meni, da bi razkritje teh informacij lahko razkrilo zagotavljanje izredne likvidnostne pomoči. V te namene pristojni organ določi ustrezne prage in objektivna merila.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Vrsta zavarovanja s premoženjem</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Razčlenitev po vrstah zavarovanja s premoženjem.</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Skupaj</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in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Ločeno</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Zavarovanje s premoženjem, ki se poseduje na način, ki zagotavlja izvzetost iz stečaja, kot je opredeljena v členu 300(1) CRR.</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in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proofErr w:type="spellStart"/>
            <w:r>
              <w:rPr>
                <w:rFonts w:ascii="Times New Roman" w:hAnsi="Times New Roman"/>
                <w:b/>
                <w:sz w:val="24"/>
              </w:rPr>
              <w:t>Neločeno</w:t>
            </w:r>
            <w:proofErr w:type="spellEnd"/>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Zavarovanje s premoženjem, ki se ne poseduje na način, ki zagotavlja izvzetost iz stečaja, kot je opredeljena v členu 300(1) CRR.</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 do 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Zavarovanje s premoženjem, uporabljeno v poslih z izvedenimi finančnimi instrumenti</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Zavarovanje s premoženjem (vključno z zavarovanjem s premoženjem za začetno kritje in gibljivo kritje), ki se uporablja v izpostavljenostih CCR v zvezi s katerim koli izvedenim finančnim instrumentom iz Priloge II k CRR ali poslom z dolgim rokom poravnave v skladu s členom 271(2) CRR, ki ne izpolnjuje pogojev za SFT.</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 do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Zavarovanje s premoženjem, uporabljeno v SFT</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lastRenderedPageBreak/>
              <w:t>Zavarovanje s premoženjem (vključno z zavarovanjem s premoženjem za začetno kritje in gibljivo kritje ter zavarovanjem s premoženjem, ki je v SFT del z vrednostnim papirjem), ki se uporablja v izpostavljenostih CCR v zvezi s katerim koli SFT ali poslom z dolgim rokom poravnave, ki ne izpolnjuje pogojev za izvedeni finančni instrument.</w:t>
            </w:r>
          </w:p>
        </w:tc>
      </w:tr>
    </w:tbl>
    <w:p w14:paraId="496D5A35" w14:textId="77777777" w:rsidR="005710A4" w:rsidRPr="0081737A"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Predloga EU CCR6 – Izpostavljenosti iz naslova kreditnih izvedenih finančnih instrumentov. </w:t>
      </w:r>
      <w:r>
        <w:rPr>
          <w:rFonts w:ascii="Times New Roman" w:hAnsi="Times New Roman"/>
          <w:color w:val="auto"/>
          <w:sz w:val="24"/>
        </w:rPr>
        <w:t>Fiksna oblika.</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razkrijejo informacije iz člena 439(j) CRR ob upoštevanju navodil iz te priloge za izpolnjevanje predloge EU CCR6 iz Priloge XXV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Hipotetični zneski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Vsota absolutnih hipotetičnih zneskov izvedenih finančnih instrumentov pred pobotom, razčlenjena po vrstah produktov.</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Poštene vrednosti</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Poštene vrednosti, razčlenjene na sredstva (pozitivne poštene vrednosti) ter obveznosti (negativne poštene vrednosti).</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Zavarovanje s kreditnim izvedenim finančnim instrumentom</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Zavarovanje s kreditnim izvedenim finančnim instrumentom, kupljeno ali prodano v skladu s poglavjem 6 naslova II dela 3 CRR.</w:t>
            </w:r>
          </w:p>
        </w:tc>
      </w:tr>
    </w:tbl>
    <w:p w14:paraId="167E06C3" w14:textId="77777777" w:rsidR="005710A4" w:rsidRPr="0081737A"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Predloga EU CCR7 – Izkazi tokov RWEA za izpostavljenosti CCR v okviru IMM. </w:t>
      </w:r>
      <w:r>
        <w:rPr>
          <w:rFonts w:ascii="Times New Roman" w:hAnsi="Times New Roman"/>
          <w:color w:val="auto"/>
          <w:sz w:val="24"/>
        </w:rPr>
        <w:t>Fiksna oblika.</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razkrijejo informacije iz člena 438(h) CRR ob upoštevanju navodil iz te priloge za izpolnjevanje predloge EU CCR7 iz Priloge XXV k tej izvedbeni uredbi.</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Institucije, ki uporabljajo IMM za izračun zneskov tveganju prilagojenih izpostavljenosti za vse ali del svojih izpostavljenosti CCR v skladu s poglavjem 6 naslova II dela 3 CRR, ne glede na pristop za kreditno tveganje, ki se uporablja za določanje ustreznih uteži tveganja, razkrijejo izkaz tokov, ki pojasnjuje spremembe zneskov tveganju prilagojenih izpostavljenosti izvedenih finančnih instrumentov in </w:t>
      </w:r>
      <w:r>
        <w:rPr>
          <w:rFonts w:ascii="Times New Roman" w:hAnsi="Times New Roman"/>
          <w:color w:val="auto"/>
          <w:sz w:val="24"/>
        </w:rPr>
        <w:lastRenderedPageBreak/>
        <w:t>SFT, zajetih z IMM, razčlenjene po glavnih povzročiteljih in temelječe na razumnih ocenah.</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Ta predloga izključuje zneske tveganju prilagojenih izpostavljenosti za tveganje CVA (naslov VI dela 3 CRR) in izpostavljenosti do centralne nasprotne stranke (oddelek 9 poglavja 6 naslova II dela 3 CRR).</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razkrijejo tokove RWEA kot razlike med zneski tveganju prilagojenih izpostavljenosti na koncu referenčnega obdobja razkritja (kot je določeno spodaj v vrstici 9 te predloge) in zneski tveganju prilagojenih izpostavljenosti na koncu prejšnjega referenčnega obdobja razkritja (kot je določeno spodaj v vrstici 1 te predloge;</w:t>
      </w:r>
      <w:r>
        <w:rPr>
          <w:rFonts w:ascii="Times New Roman" w:hAnsi="Times New Roman"/>
          <w:bCs w:val="0"/>
          <w:color w:val="auto"/>
          <w:sz w:val="24"/>
        </w:rPr>
        <w:t xml:space="preserve"> v primeru četrtletnih razkritij, se razkrije sprememba glede na konec četrtletja pred četrtletjem, v katerem je referenčno obdobje razkritja). Institucije lahko dopolnijo razkritja v okviru stebra 3 z razkritjem istih informacij za prejšnja tri četrtletja.</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Institucije v besedilu, priloženem predlogi, pojasnijo številke, razkrite v vrstici 8 te predloge, tj. vse druge dejavnike, ki znatno prispevajo k razlikam v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na koncu prejšnjega obdobja razkritja</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Zneski tveganju prilagojenih izpostavljenosti za izpostavljenosti CCR na podlagi IMM na koncu prejšnjega obdobja razkritja.</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Velikost sredstev</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Spremembe RWEA (pozitivne ali negativne) zaradi sprememb velikosti in sestave knjige, ki so posledica običajnega poslovanja (vključno z novimi posli in zapadajočimi izpostavljenostmi), ne pa sprememb velikosti knjige zaradi pridobitve in odtujitve subjektov.</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Kreditna kakovost nasprotnih strank</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Spremembe RWEA (pozitivne ali negativne) zaradi sprememb ocenjene kakovosti nasprotnih strank institucije, kot se meri na podlagi okvira za kreditno tveganje, ne glede na uporabljeni pristop institucije.</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 vrstica vključuje tudi morebitne spremembe RWEA zaradi modelov IRB, ko institucija uporablja pristop IRB.</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Posodobitve modela (samo IMM)</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Spremembe RWEA (pozitivne ali negativne) zaradi uvedbe modelov, sprememb obsega modelov ali kakršnih koli sprememb za odpravo pomanjkljivosti modelov.</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 vrstica odraža samo spremembe modela IMM.</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Metodologija in politika (samo IMM)</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Spremembe RWEA (pozitivne ali negativne) zaradi metodoloških sprememb pri izračunih zaradi spremenjene regulativne politike, npr. novih predpisov (samo za IMM).</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Pridobitve in odtujitve</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Spremembe RWEA (pozitivne ali negativne) zaradi sprememb velikosti knjige zaradi pridobitev in odtujitev subjektov.</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Spremembe deviznih tečajev</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Spremembe RWEA (pozitivne ali negativne) zaradi sprememb, ki izhajajo iz sprememb pri pretvorbi v/iz tuje valute.</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Drugo</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 kategorija se uporablja za zajetje sprememb RWEA (pozitivnih ali negativnih), ki se jih ne more pripisati zgornjim kategorijam. Institucije v to vrstico vključijo vsoto teh sprememb RWEA. Institucije v priloženem besedilu dodatno opišejo vse druge pomembne dejavnike, ki povzročajo spremembe tveganju prilagojenih zneskov v obdobju razkritja.</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na koncu tekočega obdobja razkritja</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Zneski tveganju prilagojenih izpostavljenosti za izpostavljenosti CCR na podlagi IMM na koncu tekočega obdobja razkritja.</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Pojasnilo</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Predloga EU CCR8 – Izpostavljenosti CNS. </w:t>
      </w:r>
      <w:r>
        <w:rPr>
          <w:rFonts w:ascii="Times New Roman" w:hAnsi="Times New Roman"/>
          <w:color w:val="auto"/>
          <w:sz w:val="24"/>
        </w:rPr>
        <w:t>Fiksna oblika.</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razkrijejo informacije iz člena 439(i) CRR ob upoštevanju navodil iz te priloge za izpolnjevanje predloge EU CCR8 iz Priloge XXV k tej izvedbeni uredbi.</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Izpostavljenosti do CNS: pogodbe in posli iz člena 301(1) CRR, vse dokler so neporavnani pri CNS, vključno z izpostavljenostmi iz naslova poslov v povezavi s </w:t>
      </w:r>
      <w:r>
        <w:rPr>
          <w:rFonts w:ascii="Times New Roman" w:hAnsi="Times New Roman"/>
          <w:bCs w:val="0"/>
          <w:color w:val="000000"/>
          <w:sz w:val="24"/>
        </w:rPr>
        <w:lastRenderedPageBreak/>
        <w:t xml:space="preserve">CNS v skladu s členom 300(2) CRR, za katere se kapitalske zahteve izračunajo v skladu z oddelkom 9 poglavja 6 naslova II dela 3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podlaga in navodila</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Kvalificirana CNS (KCNS)</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Kvalificirana centralna nasprotna stranka oziroma „KCNS“, kot je opredeljena v členu 4(1)(88) CRR.</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in 8</w:t>
            </w:r>
          </w:p>
          <w:p w14:paraId="5F527E02" w14:textId="4FC16A22" w:rsidR="005710A4" w:rsidRPr="007F4CC8" w:rsidRDefault="00F40A8B" w:rsidP="00BC5D5C">
            <w:pPr>
              <w:pStyle w:val="Fait"/>
              <w:spacing w:before="0" w:after="240"/>
              <w:jc w:val="center"/>
            </w:pPr>
            <w:r>
              <w:t>17 in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Začetno kritje</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Institucije razkrijejo poštene vrednosti zavarovanja s premoženjem, prejetega ali danega kot začetno kritje, kot je opredeljeno v členu 4(1)(140) CRR.</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Za namene te predloge začetno kritje ne vsebuje prispevkov v CNS za ureditve skupnega kritja izgub (tj. v primerih, v katerih CNS uporabi začetno kritje za skupno kritje izgub med klirinškimi člani, se to obravnava kot izpostavljenost v zvezi z jamstvenim skladom).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in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Predhodno plačani prispevki v jamstveni sklad</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Prispevek v jamstveni sklad CNS, ki ga plačajo institucije.</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„Jamstveni sklad“ je opredeljen v členu 4(1)(89) CRR.</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proofErr w:type="spellStart"/>
            <w:r>
              <w:rPr>
                <w:rFonts w:ascii="Times New Roman" w:hAnsi="Times New Roman"/>
                <w:b/>
                <w:sz w:val="24"/>
              </w:rPr>
              <w:t>Nefinancirani</w:t>
            </w:r>
            <w:proofErr w:type="spellEnd"/>
            <w:r>
              <w:rPr>
                <w:rFonts w:ascii="Times New Roman" w:hAnsi="Times New Roman"/>
                <w:b/>
                <w:sz w:val="24"/>
              </w:rPr>
              <w:t xml:space="preserve"> prispevki v jamstveni sklad</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Prispevki, za katere se je institucija v vlogi klirinškega člana pogodbeno zavezala, da jih bo zagotovila CNS, potem ko bo CNS izčrpala svoj jamstveni sklad za kritje izgub zaradi neplačila enega ali več svojih klirinških članov. „Jamstveni sklad“ je opredeljen v členu 4(1)(89) CRR.</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in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Ločeno</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Glej opredelitev v predlogi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in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proofErr w:type="spellStart"/>
            <w:r>
              <w:rPr>
                <w:rFonts w:ascii="Times New Roman" w:hAnsi="Times New Roman"/>
                <w:b/>
                <w:sz w:val="24"/>
              </w:rPr>
              <w:t>Neločeno</w:t>
            </w:r>
            <w:proofErr w:type="spellEnd"/>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Glej opredelitev v predlogi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Pojasnilo</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lastRenderedPageBreak/>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Vrednost izpostavljenosti</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Vrednost izpostavljenosti, izračunana v skladu z metodami iz poglavij 4 in 6 naslova II dela 3 CRR za posle, ki jih zajema oddelek 9 poglavja 6 naslova II dela 3 CRR, po uporabi ustreznih popravkov, določenih v členih 304, 306 in 308 navedenega oddelka.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Izpostavljenost je lahko trgovalna izpostavljenost, kot je opredeljena v členu 4(1)(91) CRR. Razkrita vrednost izpostavljenosti je znesek, ki je relevanten za izračun kapitalskih zahtev v skladu z oddelkom 9 poglavja 6 naslova II dela 3 CRR, ob upoštevanju zahtev iz člena 497 CRR v prehodnem obdobju, določenem v navedenem členu.</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Zneski tveganju prilagojenih izpostavljenosti iz člena 92(3)(a) CRR, izračunani v skladu s členom 107 oddelka 9 poglavja 6 naslova II dela 3 CRR.</w:t>
            </w:r>
          </w:p>
        </w:tc>
      </w:tr>
    </w:tbl>
    <w:p w14:paraId="5E5AD0AE" w14:textId="77777777" w:rsidR="005710A4" w:rsidRPr="0081737A"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 xml:space="preserve">PRILOGA XXVIII – Navodila za razkritje izpostavljenosti pozicijam v </w:t>
      </w:r>
      <w:proofErr w:type="spellStart"/>
      <w:r>
        <w:t>listinjenju</w:t>
      </w:r>
      <w:proofErr w:type="spellEnd"/>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Razpredelnica EU SECA – Zahteve po kvalitativnih razkritjih v zvezi z izpostavljenostmi v </w:t>
      </w:r>
      <w:proofErr w:type="spellStart"/>
      <w:r>
        <w:rPr>
          <w:rFonts w:ascii="Times New Roman" w:hAnsi="Times New Roman"/>
          <w:b/>
          <w:sz w:val="24"/>
        </w:rPr>
        <w:t>listinjenju</w:t>
      </w:r>
      <w:proofErr w:type="spellEnd"/>
      <w:r>
        <w:rPr>
          <w:rFonts w:ascii="Times New Roman" w:hAnsi="Times New Roman"/>
          <w:b/>
          <w:sz w:val="24"/>
        </w:rPr>
        <w:t xml:space="preserve">. </w:t>
      </w:r>
      <w:r>
        <w:rPr>
          <w:rFonts w:ascii="Times New Roman" w:hAnsi="Times New Roman"/>
          <w:sz w:val="24"/>
        </w:rPr>
        <w:t>Polja, namenjena prosti vsebini, za razkritje kvalitativnih informacij.</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razkrijejo informacije iz člena 449(a) do (i) Uredbe (EU) št. 575/2013</w:t>
      </w:r>
      <w:r>
        <w:rPr>
          <w:rStyle w:val="FootnoteReference"/>
          <w:bCs/>
        </w:rPr>
        <w:footnoteReference w:id="42"/>
      </w:r>
      <w:r>
        <w:rPr>
          <w:rFonts w:ascii="Times New Roman" w:hAnsi="Times New Roman"/>
          <w:bCs/>
          <w:sz w:val="24"/>
        </w:rPr>
        <w:t xml:space="preserve"> (CRR) ob upoštevanju navodil iz te priloge za izpolnjevanje razpredelnice EU SECA iz Priloge XXVII k tej izvedbeni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podlaga in navodila</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Vrstica</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Opis dejavnosti </w:t>
            </w:r>
            <w:proofErr w:type="spellStart"/>
            <w:r>
              <w:rPr>
                <w:rFonts w:ascii="Times New Roman" w:hAnsi="Times New Roman"/>
                <w:sz w:val="24"/>
              </w:rPr>
              <w:t>listinjenja</w:t>
            </w:r>
            <w:proofErr w:type="spellEnd"/>
            <w:r>
              <w:rPr>
                <w:rFonts w:ascii="Times New Roman" w:hAnsi="Times New Roman"/>
                <w:sz w:val="24"/>
              </w:rPr>
              <w:t xml:space="preserve"> in </w:t>
            </w:r>
            <w:proofErr w:type="spellStart"/>
            <w:r>
              <w:rPr>
                <w:rFonts w:ascii="Times New Roman" w:hAnsi="Times New Roman"/>
                <w:sz w:val="24"/>
              </w:rPr>
              <w:t>relistinjenja</w:t>
            </w:r>
            <w:proofErr w:type="spellEnd"/>
            <w:r>
              <w:rPr>
                <w:rFonts w:ascii="Times New Roman" w:hAnsi="Times New Roman"/>
                <w:sz w:val="24"/>
              </w:rPr>
              <w:t xml:space="preserve">, kar vključuje upravljanje tveganj in naložbene cilje v zvezi s temi dejavnostmi, vlogo institucij v poslih </w:t>
            </w:r>
            <w:proofErr w:type="spellStart"/>
            <w:r>
              <w:rPr>
                <w:rFonts w:ascii="Times New Roman" w:hAnsi="Times New Roman"/>
                <w:sz w:val="24"/>
              </w:rPr>
              <w:t>listinjenja</w:t>
            </w:r>
            <w:proofErr w:type="spellEnd"/>
            <w:r>
              <w:rPr>
                <w:rFonts w:ascii="Times New Roman" w:hAnsi="Times New Roman"/>
                <w:sz w:val="24"/>
              </w:rPr>
              <w:t xml:space="preserve"> in </w:t>
            </w:r>
            <w:proofErr w:type="spellStart"/>
            <w:r>
              <w:rPr>
                <w:rFonts w:ascii="Times New Roman" w:hAnsi="Times New Roman"/>
                <w:sz w:val="24"/>
              </w:rPr>
              <w:t>relistinjenja</w:t>
            </w:r>
            <w:proofErr w:type="spellEnd"/>
            <w:r>
              <w:rPr>
                <w:rFonts w:ascii="Times New Roman" w:hAnsi="Times New Roman"/>
                <w:sz w:val="24"/>
              </w:rPr>
              <w:t xml:space="preserve">, ali uporabljajo okvir za enostavno, pregledno in standardizirano </w:t>
            </w:r>
            <w:proofErr w:type="spellStart"/>
            <w:r>
              <w:rPr>
                <w:rFonts w:ascii="Times New Roman" w:hAnsi="Times New Roman"/>
                <w:sz w:val="24"/>
              </w:rPr>
              <w:t>listinjenje</w:t>
            </w:r>
            <w:proofErr w:type="spellEnd"/>
            <w:r>
              <w:rPr>
                <w:rFonts w:ascii="Times New Roman" w:hAnsi="Times New Roman"/>
                <w:sz w:val="24"/>
              </w:rPr>
              <w:t xml:space="preserve"> (STS), ter obseg, v katerem uporabljajo posle </w:t>
            </w:r>
            <w:proofErr w:type="spellStart"/>
            <w:r>
              <w:rPr>
                <w:rFonts w:ascii="Times New Roman" w:hAnsi="Times New Roman"/>
                <w:sz w:val="24"/>
              </w:rPr>
              <w:t>listinjenja</w:t>
            </w:r>
            <w:proofErr w:type="spellEnd"/>
            <w:r>
              <w:rPr>
                <w:rFonts w:ascii="Times New Roman" w:hAnsi="Times New Roman"/>
                <w:sz w:val="24"/>
              </w:rPr>
              <w:t xml:space="preserve"> za prenos kreditnega tveganja </w:t>
            </w:r>
            <w:proofErr w:type="spellStart"/>
            <w:r>
              <w:rPr>
                <w:rFonts w:ascii="Times New Roman" w:hAnsi="Times New Roman"/>
                <w:sz w:val="24"/>
              </w:rPr>
              <w:t>listinjenih</w:t>
            </w:r>
            <w:proofErr w:type="spellEnd"/>
            <w:r>
              <w:rPr>
                <w:rFonts w:ascii="Times New Roman" w:hAnsi="Times New Roman"/>
                <w:sz w:val="24"/>
              </w:rPr>
              <w:t xml:space="preserve"> izpostavljenosti na tretje osebe, z ločenim opisom svoje politike prenosa tveganja pri sintetičnem </w:t>
            </w:r>
            <w:proofErr w:type="spellStart"/>
            <w:r>
              <w:rPr>
                <w:rFonts w:ascii="Times New Roman" w:hAnsi="Times New Roman"/>
                <w:sz w:val="24"/>
              </w:rPr>
              <w:t>listinjenju</w:t>
            </w:r>
            <w:proofErr w:type="spellEnd"/>
            <w:r>
              <w:rPr>
                <w:rFonts w:ascii="Times New Roman" w:hAnsi="Times New Roman"/>
                <w:sz w:val="24"/>
              </w:rPr>
              <w:t>, kjer je relevantno, v skladu s členom 449(a).</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Vrsta tveganj, ki so jim institucije izpostavljene pri dejavnostih </w:t>
            </w:r>
            <w:proofErr w:type="spellStart"/>
            <w:r>
              <w:rPr>
                <w:rFonts w:ascii="Times New Roman" w:hAnsi="Times New Roman"/>
                <w:sz w:val="24"/>
              </w:rPr>
              <w:t>listinjenja</w:t>
            </w:r>
            <w:proofErr w:type="spellEnd"/>
            <w:r>
              <w:rPr>
                <w:rFonts w:ascii="Times New Roman" w:hAnsi="Times New Roman"/>
                <w:sz w:val="24"/>
              </w:rPr>
              <w:t xml:space="preserve"> in </w:t>
            </w:r>
            <w:proofErr w:type="spellStart"/>
            <w:r>
              <w:rPr>
                <w:rFonts w:ascii="Times New Roman" w:hAnsi="Times New Roman"/>
                <w:sz w:val="24"/>
              </w:rPr>
              <w:t>relistinjenja</w:t>
            </w:r>
            <w:proofErr w:type="spellEnd"/>
            <w:r>
              <w:rPr>
                <w:rFonts w:ascii="Times New Roman" w:hAnsi="Times New Roman"/>
                <w:sz w:val="24"/>
              </w:rPr>
              <w:t xml:space="preserve"> po stopnji nadrejenosti zadevnih pozicij </w:t>
            </w:r>
            <w:proofErr w:type="spellStart"/>
            <w:r>
              <w:rPr>
                <w:rFonts w:ascii="Times New Roman" w:hAnsi="Times New Roman"/>
                <w:sz w:val="24"/>
              </w:rPr>
              <w:t>listinjenja</w:t>
            </w:r>
            <w:proofErr w:type="spellEnd"/>
            <w:r>
              <w:rPr>
                <w:rFonts w:ascii="Times New Roman" w:hAnsi="Times New Roman"/>
                <w:sz w:val="24"/>
              </w:rPr>
              <w:t>, pri čemer razlikujejo med STS pozicijami in pozicijami, ki niso STS, in med:</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zadržanim tveganjem v poslih, ki so odobreni pri njih samih;</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tveganjem, nastalim v zvezi s posli, ki so odobreni pri tretjih osebah,</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 skladu s členom 449(b) CRR.</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Pristopi institucij za izračun zneskov tveganju prilagojenih izpostavljenosti, ki jih uporabljajo pri svojih dejavnostih </w:t>
            </w:r>
            <w:proofErr w:type="spellStart"/>
            <w:r>
              <w:rPr>
                <w:rFonts w:ascii="Times New Roman" w:hAnsi="Times New Roman"/>
                <w:iCs/>
                <w:sz w:val="24"/>
              </w:rPr>
              <w:t>listinjenja</w:t>
            </w:r>
            <w:proofErr w:type="spellEnd"/>
            <w:r>
              <w:rPr>
                <w:rFonts w:ascii="Times New Roman" w:hAnsi="Times New Roman"/>
                <w:iCs/>
                <w:sz w:val="24"/>
              </w:rPr>
              <w:t xml:space="preserve">, vključno z vrstami pozicij v </w:t>
            </w:r>
            <w:proofErr w:type="spellStart"/>
            <w:r>
              <w:rPr>
                <w:rFonts w:ascii="Times New Roman" w:hAnsi="Times New Roman"/>
                <w:iCs/>
                <w:sz w:val="24"/>
              </w:rPr>
              <w:t>listinjenju</w:t>
            </w:r>
            <w:proofErr w:type="spellEnd"/>
            <w:r>
              <w:rPr>
                <w:rFonts w:ascii="Times New Roman" w:hAnsi="Times New Roman"/>
                <w:iCs/>
                <w:sz w:val="24"/>
              </w:rPr>
              <w:t>, za katere se posamezen pristop uporablja, pri čemer razlikujejo med STS pozicijami in pozicijami, ki niso STS, v skladu s členom 449(c) CRR.</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Seznam pravnih subjektov s posebnim namenom pri </w:t>
            </w:r>
            <w:proofErr w:type="spellStart"/>
            <w:r>
              <w:rPr>
                <w:rFonts w:ascii="Times New Roman" w:hAnsi="Times New Roman"/>
                <w:iCs/>
                <w:sz w:val="24"/>
              </w:rPr>
              <w:t>listinjenju</w:t>
            </w:r>
            <w:proofErr w:type="spellEnd"/>
            <w:r>
              <w:rPr>
                <w:rFonts w:ascii="Times New Roman" w:hAnsi="Times New Roman"/>
                <w:iCs/>
                <w:sz w:val="24"/>
              </w:rPr>
              <w:t xml:space="preserve"> (SSPE), ki spadajo v katero koli naslednjo kategorijo, z opisom vrst izpostavljenosti institucije do teh SSPE, vključno s pogodbami o izvedenih finančnih instrumentih:</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SSPE, ki prevzamejo izpostavljenosti, odobrene pri institucijah;</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SSPE, ki jih sponzorirajo institucije;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SSPE in drugi pravni subjekti, za katere institucije zagotavljajo storitve, povezane z </w:t>
            </w:r>
            <w:proofErr w:type="spellStart"/>
            <w:r>
              <w:rPr>
                <w:rFonts w:ascii="Times New Roman" w:hAnsi="Times New Roman"/>
                <w:iCs/>
                <w:sz w:val="24"/>
              </w:rPr>
              <w:t>listinjenjem</w:t>
            </w:r>
            <w:proofErr w:type="spellEnd"/>
            <w:r>
              <w:rPr>
                <w:rFonts w:ascii="Times New Roman" w:hAnsi="Times New Roman"/>
                <w:iCs/>
                <w:sz w:val="24"/>
              </w:rPr>
              <w:t xml:space="preserve">, kot so svetovanje, servisiranje sredstev ali storitve upravljanja;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(iv) SSPE, vključeni v obseg bonitetne konsolidacije institucije,</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v skladu s členom 449(d) CRR.</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Seznam vseh pravnih subjektov, v zvezi s katerimi so institucije razkrile, da so zagotovile podporo v skladu s členom 449(e) poglavja 5 naslova II dela 3 CRR.</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Seznam pravnih subjektov, povezanih z institucijami, ki vlagajo v </w:t>
            </w:r>
            <w:proofErr w:type="spellStart"/>
            <w:r>
              <w:rPr>
                <w:rFonts w:ascii="Times New Roman" w:hAnsi="Times New Roman"/>
                <w:iCs/>
                <w:sz w:val="24"/>
              </w:rPr>
              <w:t>listinjenja</w:t>
            </w:r>
            <w:proofErr w:type="spellEnd"/>
            <w:r>
              <w:rPr>
                <w:rFonts w:ascii="Times New Roman" w:hAnsi="Times New Roman"/>
                <w:iCs/>
                <w:sz w:val="24"/>
              </w:rPr>
              <w:t xml:space="preserve">, odobrena pri institucijah, ali v pozicije </w:t>
            </w:r>
            <w:proofErr w:type="spellStart"/>
            <w:r>
              <w:rPr>
                <w:rFonts w:ascii="Times New Roman" w:hAnsi="Times New Roman"/>
                <w:iCs/>
                <w:sz w:val="24"/>
              </w:rPr>
              <w:t>listinjenja</w:t>
            </w:r>
            <w:proofErr w:type="spellEnd"/>
            <w:r>
              <w:rPr>
                <w:rFonts w:ascii="Times New Roman" w:hAnsi="Times New Roman"/>
                <w:iCs/>
                <w:sz w:val="24"/>
              </w:rPr>
              <w:t>, ki jih izdajo SSPE, ki jih sponzorirajo institucije, v skladu s členom 449(f) CRR.</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Povzetek računovodskih usmeritev za dejavnost </w:t>
            </w:r>
            <w:proofErr w:type="spellStart"/>
            <w:r>
              <w:rPr>
                <w:rFonts w:ascii="Times New Roman" w:hAnsi="Times New Roman"/>
                <w:iCs/>
                <w:sz w:val="24"/>
              </w:rPr>
              <w:t>listinjenja</w:t>
            </w:r>
            <w:proofErr w:type="spellEnd"/>
            <w:r>
              <w:rPr>
                <w:rFonts w:ascii="Times New Roman" w:hAnsi="Times New Roman"/>
                <w:iCs/>
                <w:sz w:val="24"/>
              </w:rPr>
              <w:t xml:space="preserve">, po potrebi vključno z ustreznim razlikovanjem med pozicijami </w:t>
            </w:r>
            <w:proofErr w:type="spellStart"/>
            <w:r>
              <w:rPr>
                <w:rFonts w:ascii="Times New Roman" w:hAnsi="Times New Roman"/>
                <w:iCs/>
                <w:sz w:val="24"/>
              </w:rPr>
              <w:t>listinjenja</w:t>
            </w:r>
            <w:proofErr w:type="spellEnd"/>
            <w:r>
              <w:rPr>
                <w:rFonts w:ascii="Times New Roman" w:hAnsi="Times New Roman"/>
                <w:iCs/>
                <w:sz w:val="24"/>
              </w:rPr>
              <w:t xml:space="preserve"> in </w:t>
            </w:r>
            <w:proofErr w:type="spellStart"/>
            <w:r>
              <w:rPr>
                <w:rFonts w:ascii="Times New Roman" w:hAnsi="Times New Roman"/>
                <w:iCs/>
                <w:sz w:val="24"/>
              </w:rPr>
              <w:t>relistinjenja</w:t>
            </w:r>
            <w:proofErr w:type="spellEnd"/>
            <w:r>
              <w:rPr>
                <w:rFonts w:ascii="Times New Roman" w:hAnsi="Times New Roman"/>
                <w:iCs/>
                <w:sz w:val="24"/>
              </w:rPr>
              <w:t>, v skladu s členom 449(g) CRR.</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Imena ECAI, ki se uporabljajo za </w:t>
            </w:r>
            <w:proofErr w:type="spellStart"/>
            <w:r>
              <w:rPr>
                <w:rFonts w:ascii="Times New Roman" w:hAnsi="Times New Roman"/>
                <w:iCs/>
                <w:sz w:val="24"/>
              </w:rPr>
              <w:t>listinjenja</w:t>
            </w:r>
            <w:proofErr w:type="spellEnd"/>
            <w:r>
              <w:rPr>
                <w:rFonts w:ascii="Times New Roman" w:hAnsi="Times New Roman"/>
                <w:iCs/>
                <w:sz w:val="24"/>
              </w:rPr>
              <w:t>, in vrste izpostavljenosti, za katere se uporablja posamezna agencija, v skladu s členom 449(h) CRR.</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Kjer je relevantno, opis pristopa notranjega ocenjevanja, kot je opredeljen v poglavju 5 naslova II dela 3 CRR, vključno s strukturo procesa notranjega ocenjevanja ter razmerjem med notranjimi ocenami in zunanjimi bonitetnimi ocenami ustrezne ECAI, razkritimi v skladu s točko (h), kontrolnih mehanizmov pri procesu notranjega ocenjevanja, vključno z razpravo o neodvisnosti, odgovornosti in pregledu procesa notranjega ocenjevanja, vrst izpostavljenosti, za katere se proces notranjega ocenjevanja uporablja, ter stresnih dejavnikov, uporabljenih za določitev stopenj kreditne izboljšave, v skladu s členom 449(i) CRR.</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Izpostavljenosti v </w:t>
      </w:r>
      <w:proofErr w:type="spellStart"/>
      <w:r>
        <w:rPr>
          <w:rFonts w:ascii="Times New Roman" w:hAnsi="Times New Roman"/>
          <w:b/>
          <w:sz w:val="24"/>
        </w:rPr>
        <w:t>listinjenju</w:t>
      </w:r>
      <w:proofErr w:type="spellEnd"/>
      <w:r>
        <w:rPr>
          <w:rFonts w:ascii="Times New Roman" w:hAnsi="Times New Roman"/>
          <w:b/>
          <w:sz w:val="24"/>
        </w:rPr>
        <w:t xml:space="preserve"> v </w:t>
      </w:r>
      <w:proofErr w:type="spellStart"/>
      <w:r>
        <w:rPr>
          <w:rFonts w:ascii="Times New Roman" w:hAnsi="Times New Roman"/>
          <w:b/>
          <w:sz w:val="24"/>
        </w:rPr>
        <w:t>netrgovalni</w:t>
      </w:r>
      <w:proofErr w:type="spellEnd"/>
      <w:r>
        <w:rPr>
          <w:rFonts w:ascii="Times New Roman" w:hAnsi="Times New Roman"/>
          <w:b/>
          <w:sz w:val="24"/>
        </w:rPr>
        <w:t xml:space="preserve"> knjigi. </w:t>
      </w:r>
      <w:r>
        <w:rPr>
          <w:rFonts w:ascii="Times New Roman" w:hAnsi="Times New Roman"/>
          <w:sz w:val="24"/>
        </w:rPr>
        <w:t>Fiksna oblika.</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Institucije razkrijejo informacije iz člena 449(j) CRR ob upoštevanju navodil iz te priloge za izpolnjevanje predloge EU SEC1 iz Priloge XXVII k tej izvedbeni uredbi. Institucije v besedilu, priloženem predlogi, pojasnijo, ali imajo med tradicionalnimi </w:t>
      </w:r>
      <w:proofErr w:type="spellStart"/>
      <w:r>
        <w:rPr>
          <w:rFonts w:ascii="Times New Roman" w:hAnsi="Times New Roman"/>
          <w:bCs/>
          <w:sz w:val="24"/>
        </w:rPr>
        <w:t>listinjenji</w:t>
      </w:r>
      <w:proofErr w:type="spellEnd"/>
      <w:r>
        <w:rPr>
          <w:rFonts w:ascii="Times New Roman" w:hAnsi="Times New Roman"/>
          <w:bCs/>
          <w:sz w:val="24"/>
        </w:rPr>
        <w:t xml:space="preserve"> programe ABCP, in navedejo obseg poslov ABCP, če jih imajo.</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podlaga in navodila</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Stolpec</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Institucija deluje kot </w:t>
            </w:r>
            <w:proofErr w:type="spellStart"/>
            <w:r>
              <w:rPr>
                <w:rFonts w:ascii="Times New Roman" w:hAnsi="Times New Roman"/>
                <w:b/>
                <w:iCs/>
                <w:sz w:val="24"/>
              </w:rPr>
              <w:t>originator</w:t>
            </w:r>
            <w:proofErr w:type="spellEnd"/>
            <w:r>
              <w:rPr>
                <w:rFonts w:ascii="Times New Roman" w:hAnsi="Times New Roman"/>
                <w:b/>
                <w:iCs/>
                <w:sz w:val="24"/>
              </w:rPr>
              <w:t xml:space="preserve">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Kadar „institucija deluje kot </w:t>
            </w:r>
            <w:proofErr w:type="spellStart"/>
            <w:r>
              <w:rPr>
                <w:rFonts w:ascii="Times New Roman" w:hAnsi="Times New Roman"/>
                <w:iCs/>
                <w:sz w:val="24"/>
              </w:rPr>
              <w:t>originator</w:t>
            </w:r>
            <w:proofErr w:type="spellEnd"/>
            <w:r>
              <w:rPr>
                <w:rFonts w:ascii="Times New Roman" w:hAnsi="Times New Roman"/>
                <w:iCs/>
                <w:sz w:val="24"/>
              </w:rPr>
              <w:t xml:space="preserve">“, kot je opredeljen v členu 4(1)(13) CRR, so izpostavljenosti v </w:t>
            </w:r>
            <w:proofErr w:type="spellStart"/>
            <w:r>
              <w:rPr>
                <w:rFonts w:ascii="Times New Roman" w:hAnsi="Times New Roman"/>
                <w:iCs/>
                <w:sz w:val="24"/>
              </w:rPr>
              <w:t>listinjenju</w:t>
            </w:r>
            <w:proofErr w:type="spellEnd"/>
            <w:r>
              <w:rPr>
                <w:rFonts w:ascii="Times New Roman" w:hAnsi="Times New Roman"/>
                <w:iCs/>
                <w:sz w:val="24"/>
              </w:rPr>
              <w:t xml:space="preserve"> zadržane pozicije, tudi kadar ne izpolnjujejo pogojev za okvir </w:t>
            </w:r>
            <w:proofErr w:type="spellStart"/>
            <w:r>
              <w:rPr>
                <w:rFonts w:ascii="Times New Roman" w:hAnsi="Times New Roman"/>
                <w:iCs/>
                <w:sz w:val="24"/>
              </w:rPr>
              <w:t>listinjenja</w:t>
            </w:r>
            <w:proofErr w:type="spellEnd"/>
            <w:r>
              <w:rPr>
                <w:rFonts w:ascii="Times New Roman" w:hAnsi="Times New Roman"/>
                <w:iCs/>
                <w:sz w:val="24"/>
              </w:rPr>
              <w:t xml:space="preserve"> zaradi odsotnosti prenosa pomembnega deleža tveganja. Izpostavljenosti v </w:t>
            </w:r>
            <w:proofErr w:type="spellStart"/>
            <w:r>
              <w:rPr>
                <w:rFonts w:ascii="Times New Roman" w:hAnsi="Times New Roman"/>
                <w:iCs/>
                <w:sz w:val="24"/>
              </w:rPr>
              <w:t>listinjenju</w:t>
            </w:r>
            <w:proofErr w:type="spellEnd"/>
            <w:r>
              <w:rPr>
                <w:rFonts w:ascii="Times New Roman" w:hAnsi="Times New Roman"/>
                <w:iCs/>
                <w:sz w:val="24"/>
              </w:rPr>
              <w:t xml:space="preserve"> v poslih, pri katerih je bil dosežen prenos pomembnega deleža tveganja, se prikažejo ločeno.</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v vlogi </w:t>
            </w:r>
            <w:proofErr w:type="spellStart"/>
            <w:r>
              <w:rPr>
                <w:rFonts w:ascii="Times New Roman" w:hAnsi="Times New Roman"/>
                <w:sz w:val="24"/>
              </w:rPr>
              <w:t>originatorja</w:t>
            </w:r>
            <w:proofErr w:type="spellEnd"/>
            <w:r>
              <w:rPr>
                <w:rFonts w:ascii="Times New Roman" w:hAnsi="Times New Roman"/>
                <w:sz w:val="24"/>
              </w:rPr>
              <w:t xml:space="preserve"> razkrijejo knjigovodsko vrednost na datum razkritja za vse trenutne izpostavljenosti v </w:t>
            </w:r>
            <w:proofErr w:type="spellStart"/>
            <w:r>
              <w:rPr>
                <w:rFonts w:ascii="Times New Roman" w:hAnsi="Times New Roman"/>
                <w:sz w:val="24"/>
              </w:rPr>
              <w:t>listinjenju</w:t>
            </w:r>
            <w:proofErr w:type="spellEnd"/>
            <w:r>
              <w:rPr>
                <w:rFonts w:ascii="Times New Roman" w:hAnsi="Times New Roman"/>
                <w:sz w:val="24"/>
              </w:rPr>
              <w:t xml:space="preserve">, ki jih imajo v poslih </w:t>
            </w:r>
            <w:proofErr w:type="spellStart"/>
            <w:r>
              <w:rPr>
                <w:rFonts w:ascii="Times New Roman" w:hAnsi="Times New Roman"/>
                <w:sz w:val="24"/>
              </w:rPr>
              <w:lastRenderedPageBreak/>
              <w:t>listinjenja</w:t>
            </w:r>
            <w:proofErr w:type="spellEnd"/>
            <w:r>
              <w:rPr>
                <w:rFonts w:ascii="Times New Roman" w:hAnsi="Times New Roman"/>
                <w:sz w:val="24"/>
              </w:rPr>
              <w:t xml:space="preserve">, ki izvirajo iz institucije. Razkrijejo se bilančne izpostavljenosti v </w:t>
            </w:r>
            <w:proofErr w:type="spellStart"/>
            <w:r>
              <w:rPr>
                <w:rFonts w:ascii="Times New Roman" w:hAnsi="Times New Roman"/>
                <w:sz w:val="24"/>
              </w:rPr>
              <w:t>listinjenju</w:t>
            </w:r>
            <w:proofErr w:type="spellEnd"/>
            <w:r>
              <w:rPr>
                <w:rFonts w:ascii="Times New Roman" w:hAnsi="Times New Roman"/>
                <w:sz w:val="24"/>
              </w:rPr>
              <w:t xml:space="preserve"> (npr. obveznice, podrejeni dolgovi) ter </w:t>
            </w:r>
            <w:proofErr w:type="spellStart"/>
            <w:r>
              <w:rPr>
                <w:rFonts w:ascii="Times New Roman" w:hAnsi="Times New Roman"/>
                <w:sz w:val="24"/>
              </w:rPr>
              <w:t>zunajbilančne</w:t>
            </w:r>
            <w:proofErr w:type="spellEnd"/>
            <w:r>
              <w:rPr>
                <w:rFonts w:ascii="Times New Roman" w:hAnsi="Times New Roman"/>
                <w:sz w:val="24"/>
              </w:rPr>
              <w:t xml:space="preserve"> izpostavljenosti in izvedeni finančni instrumenti (npr. podrejene kreditne linije, okvirni likvidnostni krediti, zamenjave obrestnih mer, kreditne zamenjave itd.), iz teh </w:t>
            </w:r>
            <w:proofErr w:type="spellStart"/>
            <w:r>
              <w:rPr>
                <w:rFonts w:ascii="Times New Roman" w:hAnsi="Times New Roman"/>
                <w:sz w:val="24"/>
              </w:rPr>
              <w:t>listinjenj</w:t>
            </w:r>
            <w:proofErr w:type="spellEnd"/>
            <w:r>
              <w:rPr>
                <w:rFonts w:ascii="Times New Roman" w:hAnsi="Times New Roman"/>
                <w:sz w:val="24"/>
              </w:rPr>
              <w:t>.</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Institucija deluje kot sponzor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 xml:space="preserve">Kadar „institucija deluje kot sponzor“ (kot je opredeljen v členu 4(1)(14) CRR), izpostavljenosti v </w:t>
            </w:r>
            <w:proofErr w:type="spellStart"/>
            <w:r>
              <w:rPr>
                <w:rFonts w:ascii="Times New Roman" w:hAnsi="Times New Roman"/>
                <w:iCs/>
                <w:sz w:val="24"/>
              </w:rPr>
              <w:t>listinjenju</w:t>
            </w:r>
            <w:proofErr w:type="spellEnd"/>
            <w:r>
              <w:rPr>
                <w:rFonts w:ascii="Times New Roman" w:hAnsi="Times New Roman"/>
                <w:iCs/>
                <w:sz w:val="24"/>
              </w:rPr>
              <w:t xml:space="preserve"> vključujejo izpostavljenosti do namenskih subjektov za izdajanje komercialnih zapisov, katerim institucija zagotavlja kreditne izboljšave za celoten program, likvidnost in drugo podporo. Kadar institucija deluje kot </w:t>
            </w:r>
            <w:proofErr w:type="spellStart"/>
            <w:r>
              <w:rPr>
                <w:rFonts w:ascii="Times New Roman" w:hAnsi="Times New Roman"/>
                <w:iCs/>
                <w:sz w:val="24"/>
              </w:rPr>
              <w:t>originator</w:t>
            </w:r>
            <w:proofErr w:type="spellEnd"/>
            <w:r>
              <w:rPr>
                <w:rFonts w:ascii="Times New Roman" w:hAnsi="Times New Roman"/>
                <w:iCs/>
                <w:sz w:val="24"/>
              </w:rPr>
              <w:t xml:space="preserve"> in sponzor, prepreči dvojno štetje. V zvezi s tem lahko institucija združi stolpca „institucija deluje kot </w:t>
            </w:r>
            <w:proofErr w:type="spellStart"/>
            <w:r>
              <w:rPr>
                <w:rFonts w:ascii="Times New Roman" w:hAnsi="Times New Roman"/>
                <w:iCs/>
                <w:sz w:val="24"/>
              </w:rPr>
              <w:t>originator</w:t>
            </w:r>
            <w:proofErr w:type="spellEnd"/>
            <w:r>
              <w:rPr>
                <w:rFonts w:ascii="Times New Roman" w:hAnsi="Times New Roman"/>
                <w:iCs/>
                <w:sz w:val="24"/>
              </w:rPr>
              <w:t xml:space="preserve">“ in „institucija deluje kot sponzor“ ter uporabi stolpec „Institucija deluje kot </w:t>
            </w:r>
            <w:proofErr w:type="spellStart"/>
            <w:r>
              <w:rPr>
                <w:rFonts w:ascii="Times New Roman" w:hAnsi="Times New Roman"/>
                <w:iCs/>
                <w:sz w:val="24"/>
              </w:rPr>
              <w:t>originator</w:t>
            </w:r>
            <w:proofErr w:type="spellEnd"/>
            <w:r>
              <w:rPr>
                <w:rFonts w:ascii="Times New Roman" w:hAnsi="Times New Roman"/>
                <w:iCs/>
                <w:sz w:val="24"/>
              </w:rPr>
              <w:t>/sponzor“.</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Institucija deluje kot investitor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Izpostavljenosti v </w:t>
            </w:r>
            <w:proofErr w:type="spellStart"/>
            <w:r>
              <w:rPr>
                <w:rFonts w:ascii="Times New Roman" w:hAnsi="Times New Roman"/>
                <w:iCs/>
                <w:sz w:val="24"/>
              </w:rPr>
              <w:t>listinjenju</w:t>
            </w:r>
            <w:proofErr w:type="spellEnd"/>
            <w:r>
              <w:rPr>
                <w:rFonts w:ascii="Times New Roman" w:hAnsi="Times New Roman"/>
                <w:iCs/>
                <w:sz w:val="24"/>
              </w:rPr>
              <w:t>, kadar „institucija deluje kot investitor“, so pozicije v naložbah, ki se kupijo v poslih s tretjimi osebami.</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CRR ne vsebuje izrecne opredelitve investitorja. Zato se v tem okviru razume kot institucija, ki ima pozicijo v </w:t>
            </w:r>
            <w:proofErr w:type="spellStart"/>
            <w:r>
              <w:rPr>
                <w:rFonts w:ascii="Times New Roman" w:hAnsi="Times New Roman"/>
                <w:iCs/>
                <w:sz w:val="24"/>
              </w:rPr>
              <w:t>listinjenju</w:t>
            </w:r>
            <w:proofErr w:type="spellEnd"/>
            <w:r>
              <w:rPr>
                <w:rFonts w:ascii="Times New Roman" w:hAnsi="Times New Roman"/>
                <w:iCs/>
                <w:sz w:val="24"/>
              </w:rPr>
              <w:t xml:space="preserve"> v poslu </w:t>
            </w:r>
            <w:proofErr w:type="spellStart"/>
            <w:r>
              <w:rPr>
                <w:rFonts w:ascii="Times New Roman" w:hAnsi="Times New Roman"/>
                <w:iCs/>
                <w:sz w:val="24"/>
              </w:rPr>
              <w:t>listinjenja</w:t>
            </w:r>
            <w:proofErr w:type="spellEnd"/>
            <w:r>
              <w:rPr>
                <w:rFonts w:ascii="Times New Roman" w:hAnsi="Times New Roman"/>
                <w:iCs/>
                <w:sz w:val="24"/>
              </w:rPr>
              <w:t xml:space="preserve">, pri katerem ni </w:t>
            </w:r>
            <w:proofErr w:type="spellStart"/>
            <w:r>
              <w:rPr>
                <w:rFonts w:ascii="Times New Roman" w:hAnsi="Times New Roman"/>
                <w:iCs/>
                <w:sz w:val="24"/>
              </w:rPr>
              <w:t>originator</w:t>
            </w:r>
            <w:proofErr w:type="spellEnd"/>
            <w:r>
              <w:rPr>
                <w:rFonts w:ascii="Times New Roman" w:hAnsi="Times New Roman"/>
                <w:iCs/>
                <w:sz w:val="24"/>
              </w:rPr>
              <w:t xml:space="preserve"> ali sponzor.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Če je skupina </w:t>
            </w:r>
            <w:proofErr w:type="spellStart"/>
            <w:r>
              <w:rPr>
                <w:rFonts w:ascii="Times New Roman" w:hAnsi="Times New Roman"/>
                <w:iCs/>
                <w:sz w:val="24"/>
              </w:rPr>
              <w:t>listinjenih</w:t>
            </w:r>
            <w:proofErr w:type="spellEnd"/>
            <w:r>
              <w:rPr>
                <w:rFonts w:ascii="Times New Roman" w:hAnsi="Times New Roman"/>
                <w:iCs/>
                <w:sz w:val="24"/>
              </w:rPr>
              <w:t xml:space="preserve"> izpostavljenosti mešanica vrst pozicij v </w:t>
            </w:r>
            <w:proofErr w:type="spellStart"/>
            <w:r>
              <w:rPr>
                <w:rFonts w:ascii="Times New Roman" w:hAnsi="Times New Roman"/>
                <w:iCs/>
                <w:sz w:val="24"/>
              </w:rPr>
              <w:t>listinjenju</w:t>
            </w:r>
            <w:proofErr w:type="spellEnd"/>
            <w:r>
              <w:rPr>
                <w:rFonts w:ascii="Times New Roman" w:hAnsi="Times New Roman"/>
                <w:iCs/>
                <w:sz w:val="24"/>
              </w:rPr>
              <w:t>, institucija navede najpomembnejšo vrsto.</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Tradicionalni posli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 skladu s členom 242(13) CRR in v povezavi s členom 2(9) Uredbe (EU) 2017/2402</w:t>
            </w:r>
            <w:r>
              <w:rPr>
                <w:rStyle w:val="FootnoteReference"/>
                <w:rFonts w:eastAsia="Times New Roman" w:cs="Times New Roman"/>
                <w:iCs/>
              </w:rPr>
              <w:footnoteReference w:id="43"/>
            </w:r>
            <w:r>
              <w:rPr>
                <w:rFonts w:ascii="Times New Roman" w:hAnsi="Times New Roman"/>
                <w:iCs/>
                <w:sz w:val="24"/>
              </w:rPr>
              <w:t xml:space="preserve"> „tradicionalno </w:t>
            </w:r>
            <w:proofErr w:type="spellStart"/>
            <w:r>
              <w:rPr>
                <w:rFonts w:ascii="Times New Roman" w:hAnsi="Times New Roman"/>
                <w:iCs/>
                <w:sz w:val="24"/>
              </w:rPr>
              <w:t>listinjenje</w:t>
            </w:r>
            <w:proofErr w:type="spellEnd"/>
            <w:r>
              <w:rPr>
                <w:rFonts w:ascii="Times New Roman" w:hAnsi="Times New Roman"/>
                <w:iCs/>
                <w:sz w:val="24"/>
              </w:rPr>
              <w:t xml:space="preserve">“ pomeni </w:t>
            </w:r>
            <w:proofErr w:type="spellStart"/>
            <w:r>
              <w:rPr>
                <w:rFonts w:ascii="Times New Roman" w:hAnsi="Times New Roman"/>
                <w:iCs/>
                <w:sz w:val="24"/>
              </w:rPr>
              <w:t>listinjenje</w:t>
            </w:r>
            <w:proofErr w:type="spellEnd"/>
            <w:r>
              <w:rPr>
                <w:rFonts w:ascii="Times New Roman" w:hAnsi="Times New Roman"/>
                <w:iCs/>
                <w:sz w:val="24"/>
              </w:rPr>
              <w:t xml:space="preserve">, ki vključuje prenos ekonomskega deleža izpostavljenosti, ki se </w:t>
            </w:r>
            <w:proofErr w:type="spellStart"/>
            <w:r>
              <w:rPr>
                <w:rFonts w:ascii="Times New Roman" w:hAnsi="Times New Roman"/>
                <w:iCs/>
                <w:sz w:val="24"/>
              </w:rPr>
              <w:t>listinijo</w:t>
            </w:r>
            <w:proofErr w:type="spellEnd"/>
            <w:r>
              <w:rPr>
                <w:rFonts w:ascii="Times New Roman" w:hAnsi="Times New Roman"/>
                <w:iCs/>
                <w:sz w:val="24"/>
              </w:rPr>
              <w:t xml:space="preserve">. To se doseže s prenosom lastništva </w:t>
            </w:r>
            <w:proofErr w:type="spellStart"/>
            <w:r>
              <w:rPr>
                <w:rFonts w:ascii="Times New Roman" w:hAnsi="Times New Roman"/>
                <w:iCs/>
                <w:sz w:val="24"/>
              </w:rPr>
              <w:t>listinjenih</w:t>
            </w:r>
            <w:proofErr w:type="spellEnd"/>
            <w:r>
              <w:rPr>
                <w:rFonts w:ascii="Times New Roman" w:hAnsi="Times New Roman"/>
                <w:iCs/>
                <w:sz w:val="24"/>
              </w:rPr>
              <w:t xml:space="preserve"> izpostavljenosti z institucije v vlogi </w:t>
            </w:r>
            <w:proofErr w:type="spellStart"/>
            <w:r>
              <w:rPr>
                <w:rFonts w:ascii="Times New Roman" w:hAnsi="Times New Roman"/>
                <w:iCs/>
                <w:sz w:val="24"/>
              </w:rPr>
              <w:t>originatorja</w:t>
            </w:r>
            <w:proofErr w:type="spellEnd"/>
            <w:r>
              <w:rPr>
                <w:rFonts w:ascii="Times New Roman" w:hAnsi="Times New Roman"/>
                <w:iCs/>
                <w:sz w:val="24"/>
              </w:rPr>
              <w:t xml:space="preserve"> na SSPE ali prek </w:t>
            </w:r>
            <w:proofErr w:type="spellStart"/>
            <w:r>
              <w:rPr>
                <w:rFonts w:ascii="Times New Roman" w:hAnsi="Times New Roman"/>
                <w:iCs/>
                <w:sz w:val="24"/>
              </w:rPr>
              <w:t>podudeležbe</w:t>
            </w:r>
            <w:proofErr w:type="spellEnd"/>
            <w:r>
              <w:rPr>
                <w:rFonts w:ascii="Times New Roman" w:hAnsi="Times New Roman"/>
                <w:iCs/>
                <w:sz w:val="24"/>
              </w:rPr>
              <w:t xml:space="preserve"> SSPE. Izdani vrednostni papirji ne predstavljajo plačilnih obveznosti institucije v vlogi </w:t>
            </w:r>
            <w:proofErr w:type="spellStart"/>
            <w:r>
              <w:rPr>
                <w:rFonts w:ascii="Times New Roman" w:hAnsi="Times New Roman"/>
                <w:iCs/>
                <w:sz w:val="24"/>
              </w:rPr>
              <w:t>originatorja</w:t>
            </w:r>
            <w:proofErr w:type="spellEnd"/>
            <w:r>
              <w:rPr>
                <w:rFonts w:ascii="Times New Roman" w:hAnsi="Times New Roman"/>
                <w:iCs/>
                <w:sz w:val="24"/>
              </w:rPr>
              <w:t>.</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V primeru tradicionalnih </w:t>
            </w:r>
            <w:proofErr w:type="spellStart"/>
            <w:r>
              <w:rPr>
                <w:rFonts w:ascii="Times New Roman" w:hAnsi="Times New Roman"/>
                <w:iCs/>
                <w:sz w:val="24"/>
              </w:rPr>
              <w:t>listinjenj</w:t>
            </w:r>
            <w:proofErr w:type="spellEnd"/>
            <w:r>
              <w:rPr>
                <w:rFonts w:ascii="Times New Roman" w:hAnsi="Times New Roman"/>
                <w:iCs/>
                <w:sz w:val="24"/>
              </w:rPr>
              <w:t xml:space="preserve">, pri katerih </w:t>
            </w:r>
            <w:proofErr w:type="spellStart"/>
            <w:r>
              <w:rPr>
                <w:rFonts w:ascii="Times New Roman" w:hAnsi="Times New Roman"/>
                <w:iCs/>
                <w:sz w:val="24"/>
              </w:rPr>
              <w:t>originator</w:t>
            </w:r>
            <w:proofErr w:type="spellEnd"/>
            <w:r>
              <w:rPr>
                <w:rFonts w:ascii="Times New Roman" w:hAnsi="Times New Roman"/>
                <w:iCs/>
                <w:sz w:val="24"/>
              </w:rPr>
              <w:t xml:space="preserve"> nima v lasti nobene pozicije, </w:t>
            </w:r>
            <w:proofErr w:type="spellStart"/>
            <w:r>
              <w:rPr>
                <w:rFonts w:ascii="Times New Roman" w:hAnsi="Times New Roman"/>
                <w:iCs/>
                <w:sz w:val="24"/>
              </w:rPr>
              <w:t>originator</w:t>
            </w:r>
            <w:proofErr w:type="spellEnd"/>
            <w:r>
              <w:rPr>
                <w:rFonts w:ascii="Times New Roman" w:hAnsi="Times New Roman"/>
                <w:iCs/>
                <w:sz w:val="24"/>
              </w:rPr>
              <w:t xml:space="preserve"> tega </w:t>
            </w:r>
            <w:proofErr w:type="spellStart"/>
            <w:r>
              <w:rPr>
                <w:rFonts w:ascii="Times New Roman" w:hAnsi="Times New Roman"/>
                <w:iCs/>
                <w:sz w:val="24"/>
              </w:rPr>
              <w:t>listinjenja</w:t>
            </w:r>
            <w:proofErr w:type="spellEnd"/>
            <w:r>
              <w:rPr>
                <w:rFonts w:ascii="Times New Roman" w:hAnsi="Times New Roman"/>
                <w:iCs/>
                <w:sz w:val="24"/>
              </w:rPr>
              <w:t xml:space="preserve"> ne upošteva pri razkritjih v tej predlogi.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Sintetični posli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V skladu s členom 242(14) CRR in v povezavi s členom 2(10) Uredbe (EU) 2017/2402 „sintetično </w:t>
            </w:r>
            <w:proofErr w:type="spellStart"/>
            <w:r>
              <w:rPr>
                <w:rFonts w:ascii="Times New Roman" w:hAnsi="Times New Roman"/>
                <w:iCs/>
                <w:sz w:val="24"/>
              </w:rPr>
              <w:t>listinjenje</w:t>
            </w:r>
            <w:proofErr w:type="spellEnd"/>
            <w:r>
              <w:rPr>
                <w:rFonts w:ascii="Times New Roman" w:hAnsi="Times New Roman"/>
                <w:iCs/>
                <w:sz w:val="24"/>
              </w:rPr>
              <w:t xml:space="preserve">“ pomeni </w:t>
            </w:r>
            <w:proofErr w:type="spellStart"/>
            <w:r>
              <w:rPr>
                <w:rFonts w:ascii="Times New Roman" w:hAnsi="Times New Roman"/>
                <w:iCs/>
                <w:sz w:val="24"/>
              </w:rPr>
              <w:t>listinjenje</w:t>
            </w:r>
            <w:proofErr w:type="spellEnd"/>
            <w:r>
              <w:rPr>
                <w:rFonts w:ascii="Times New Roman" w:hAnsi="Times New Roman"/>
                <w:iCs/>
                <w:sz w:val="24"/>
              </w:rPr>
              <w:t xml:space="preserve">, pri katerem se prenos tveganja doseže z uporabo kreditnih izvedenih finančnih instrumentov ali jamstev, izpostavljenosti, ki se </w:t>
            </w:r>
            <w:proofErr w:type="spellStart"/>
            <w:r>
              <w:rPr>
                <w:rFonts w:ascii="Times New Roman" w:hAnsi="Times New Roman"/>
                <w:iCs/>
                <w:sz w:val="24"/>
              </w:rPr>
              <w:t>listinijo</w:t>
            </w:r>
            <w:proofErr w:type="spellEnd"/>
            <w:r>
              <w:rPr>
                <w:rFonts w:ascii="Times New Roman" w:hAnsi="Times New Roman"/>
                <w:iCs/>
                <w:sz w:val="24"/>
              </w:rPr>
              <w:t xml:space="preserve">, pa ostanejo izpostavljenosti </w:t>
            </w:r>
            <w:proofErr w:type="spellStart"/>
            <w:r>
              <w:rPr>
                <w:rFonts w:ascii="Times New Roman" w:hAnsi="Times New Roman"/>
                <w:iCs/>
                <w:sz w:val="24"/>
              </w:rPr>
              <w:t>originatorja</w:t>
            </w:r>
            <w:proofErr w:type="spellEnd"/>
            <w:r>
              <w:rPr>
                <w:rFonts w:ascii="Times New Roman" w:hAnsi="Times New Roman"/>
                <w:iCs/>
                <w:sz w:val="24"/>
              </w:rPr>
              <w:t>.</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Če je institucija kupila zavarovanje, razkrije neto zneske izpostavljenosti, ki jim je izpostavljena in ki niso predmet kupljenega zavarovanja, v stolpcih </w:t>
            </w:r>
            <w:proofErr w:type="spellStart"/>
            <w:r>
              <w:rPr>
                <w:rFonts w:ascii="Times New Roman" w:hAnsi="Times New Roman"/>
                <w:iCs/>
                <w:sz w:val="24"/>
              </w:rPr>
              <w:t>originator</w:t>
            </w:r>
            <w:proofErr w:type="spellEnd"/>
            <w:r>
              <w:rPr>
                <w:rFonts w:ascii="Times New Roman" w:hAnsi="Times New Roman"/>
                <w:iCs/>
                <w:sz w:val="24"/>
              </w:rPr>
              <w:t xml:space="preserve">/sponzor (tj. znesek, ki ni zavarovan) te predloge. Če je institucija prodala zavarovanje, se znesek izpostavljenosti kreditnega zavarovanja razkrije v stolpcu „investitor“ te predloge.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Izpostavljenosti STS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 xml:space="preserve">Skupni znesek pozicij v </w:t>
            </w:r>
            <w:proofErr w:type="spellStart"/>
            <w:r>
              <w:rPr>
                <w:rFonts w:ascii="Times New Roman" w:hAnsi="Times New Roman"/>
                <w:sz w:val="24"/>
              </w:rPr>
              <w:t>listinjenju</w:t>
            </w:r>
            <w:proofErr w:type="spellEnd"/>
            <w:r>
              <w:rPr>
                <w:rFonts w:ascii="Times New Roman" w:hAnsi="Times New Roman"/>
                <w:sz w:val="24"/>
              </w:rPr>
              <w:t xml:space="preserve"> STS v skladu z merili iz členov 18 do 26 Uredbe (EU)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Izpostavljenosti s prenosom pomembnega deleža tveganja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Skupni znesek pozicij v </w:t>
            </w:r>
            <w:proofErr w:type="spellStart"/>
            <w:r>
              <w:rPr>
                <w:rFonts w:ascii="Times New Roman" w:hAnsi="Times New Roman"/>
                <w:iCs/>
                <w:sz w:val="24"/>
              </w:rPr>
              <w:t>listinjenju</w:t>
            </w:r>
            <w:proofErr w:type="spellEnd"/>
            <w:r>
              <w:rPr>
                <w:rFonts w:ascii="Times New Roman" w:hAnsi="Times New Roman"/>
                <w:iCs/>
                <w:sz w:val="24"/>
              </w:rPr>
              <w:t xml:space="preserve"> v zvezi s katerimi je institucija </w:t>
            </w:r>
            <w:proofErr w:type="spellStart"/>
            <w:r>
              <w:rPr>
                <w:rFonts w:ascii="Times New Roman" w:hAnsi="Times New Roman"/>
                <w:iCs/>
                <w:sz w:val="24"/>
              </w:rPr>
              <w:t>originatorka</w:t>
            </w:r>
            <w:proofErr w:type="spellEnd"/>
            <w:r>
              <w:rPr>
                <w:rFonts w:ascii="Times New Roman" w:hAnsi="Times New Roman"/>
                <w:iCs/>
                <w:sz w:val="24"/>
              </w:rPr>
              <w:t xml:space="preserve"> dosegla prenos pomembnega deleža tveganja v skladu s členom 244 (tradicionalno </w:t>
            </w:r>
            <w:proofErr w:type="spellStart"/>
            <w:r>
              <w:rPr>
                <w:rFonts w:ascii="Times New Roman" w:hAnsi="Times New Roman"/>
                <w:iCs/>
                <w:sz w:val="24"/>
              </w:rPr>
              <w:t>listinjenje</w:t>
            </w:r>
            <w:proofErr w:type="spellEnd"/>
            <w:r>
              <w:rPr>
                <w:rFonts w:ascii="Times New Roman" w:hAnsi="Times New Roman"/>
                <w:iCs/>
                <w:sz w:val="24"/>
              </w:rPr>
              <w:t xml:space="preserve">) in členom 245 (sintetično </w:t>
            </w:r>
            <w:proofErr w:type="spellStart"/>
            <w:r>
              <w:rPr>
                <w:rFonts w:ascii="Times New Roman" w:hAnsi="Times New Roman"/>
                <w:iCs/>
                <w:sz w:val="24"/>
              </w:rPr>
              <w:t>listinjenje</w:t>
            </w:r>
            <w:proofErr w:type="spellEnd"/>
            <w:r>
              <w:rPr>
                <w:rFonts w:ascii="Times New Roman" w:hAnsi="Times New Roman"/>
                <w:iCs/>
                <w:sz w:val="24"/>
              </w:rPr>
              <w:t>) CRR.</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podlaga in navodila</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proofErr w:type="spellStart"/>
            <w:r>
              <w:rPr>
                <w:rFonts w:ascii="Times New Roman" w:hAnsi="Times New Roman"/>
                <w:b/>
                <w:sz w:val="24"/>
              </w:rPr>
              <w:t>Relistinjenje</w:t>
            </w:r>
            <w:proofErr w:type="spellEnd"/>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Skupni znesek neporavnanih pozicij v </w:t>
            </w:r>
            <w:proofErr w:type="spellStart"/>
            <w:r>
              <w:rPr>
                <w:rFonts w:ascii="Times New Roman" w:hAnsi="Times New Roman"/>
                <w:iCs/>
                <w:sz w:val="24"/>
              </w:rPr>
              <w:t>relistinjenju</w:t>
            </w:r>
            <w:proofErr w:type="spellEnd"/>
            <w:r>
              <w:rPr>
                <w:rFonts w:ascii="Times New Roman" w:hAnsi="Times New Roman"/>
                <w:iCs/>
                <w:sz w:val="24"/>
              </w:rPr>
              <w:t>, kot so opredeljene v členu 4(1)(63) in (64) CRR.</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 xml:space="preserve">Vse izpostavljenosti v </w:t>
            </w:r>
            <w:proofErr w:type="spellStart"/>
            <w:r>
              <w:rPr>
                <w:rFonts w:ascii="Times New Roman" w:hAnsi="Times New Roman"/>
                <w:iCs/>
                <w:sz w:val="24"/>
              </w:rPr>
              <w:t>listinjenju</w:t>
            </w:r>
            <w:proofErr w:type="spellEnd"/>
            <w:r>
              <w:rPr>
                <w:rFonts w:ascii="Times New Roman" w:hAnsi="Times New Roman"/>
                <w:iCs/>
                <w:sz w:val="24"/>
              </w:rPr>
              <w:t xml:space="preserve">, povezane z </w:t>
            </w:r>
            <w:proofErr w:type="spellStart"/>
            <w:r>
              <w:rPr>
                <w:rFonts w:ascii="Times New Roman" w:hAnsi="Times New Roman"/>
                <w:iCs/>
                <w:sz w:val="24"/>
              </w:rPr>
              <w:t>relistinjenjem</w:t>
            </w:r>
            <w:proofErr w:type="spellEnd"/>
            <w:r>
              <w:rPr>
                <w:rFonts w:ascii="Times New Roman" w:hAnsi="Times New Roman"/>
                <w:iCs/>
                <w:sz w:val="24"/>
              </w:rPr>
              <w:t>, se navedejo v vrsticah „</w:t>
            </w:r>
            <w:proofErr w:type="spellStart"/>
            <w:r>
              <w:rPr>
                <w:rFonts w:ascii="Times New Roman" w:hAnsi="Times New Roman"/>
                <w:iCs/>
                <w:sz w:val="24"/>
              </w:rPr>
              <w:t>relistinjenje</w:t>
            </w:r>
            <w:proofErr w:type="spellEnd"/>
            <w:r>
              <w:rPr>
                <w:rFonts w:ascii="Times New Roman" w:hAnsi="Times New Roman"/>
                <w:iCs/>
                <w:sz w:val="24"/>
              </w:rPr>
              <w:t xml:space="preserve">“ in ne v predhodnih vrsticah (po vrstah sredstva, ki je osnova), ki vsebujejo samo izpostavljenosti v </w:t>
            </w:r>
            <w:proofErr w:type="spellStart"/>
            <w:r>
              <w:rPr>
                <w:rFonts w:ascii="Times New Roman" w:hAnsi="Times New Roman"/>
                <w:iCs/>
                <w:sz w:val="24"/>
              </w:rPr>
              <w:t>listinjenju</w:t>
            </w:r>
            <w:proofErr w:type="spellEnd"/>
            <w:r>
              <w:rPr>
                <w:rFonts w:ascii="Times New Roman" w:hAnsi="Times New Roman"/>
                <w:iCs/>
                <w:sz w:val="24"/>
              </w:rPr>
              <w:t xml:space="preserve"> razen </w:t>
            </w:r>
            <w:proofErr w:type="spellStart"/>
            <w:r>
              <w:rPr>
                <w:rFonts w:ascii="Times New Roman" w:hAnsi="Times New Roman"/>
                <w:iCs/>
                <w:sz w:val="24"/>
              </w:rPr>
              <w:t>relistinjenja</w:t>
            </w:r>
            <w:proofErr w:type="spellEnd"/>
            <w:r>
              <w:rPr>
                <w:rFonts w:ascii="Times New Roman" w:hAnsi="Times New Roman"/>
                <w:iCs/>
                <w:sz w:val="24"/>
              </w:rPr>
              <w:t>.</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Predloga EU SEC2 – Izpostavljenosti v </w:t>
      </w:r>
      <w:proofErr w:type="spellStart"/>
      <w:r>
        <w:rPr>
          <w:rFonts w:ascii="Times New Roman" w:hAnsi="Times New Roman"/>
          <w:b/>
          <w:sz w:val="24"/>
        </w:rPr>
        <w:t>listinjenju</w:t>
      </w:r>
      <w:proofErr w:type="spellEnd"/>
      <w:r>
        <w:rPr>
          <w:rFonts w:ascii="Times New Roman" w:hAnsi="Times New Roman"/>
          <w:b/>
          <w:sz w:val="24"/>
        </w:rPr>
        <w:t xml:space="preserve"> v trgovalni knjigi. </w:t>
      </w:r>
      <w:r>
        <w:rPr>
          <w:rFonts w:ascii="Times New Roman" w:hAnsi="Times New Roman"/>
          <w:sz w:val="24"/>
        </w:rPr>
        <w:t>Fiksna oblika.</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razkrijejo informacije iz člena 449(j) CRR ob upoštevanju navodil iz te priloge za izpolnjevanje predloge EU SEC2 iz Priloge XXVII k tej izvedbeni uredbi.</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Institucije upoštevajo navodila za predlogo EU SEC1 – Izpostavljenosti v </w:t>
      </w:r>
      <w:proofErr w:type="spellStart"/>
      <w:r>
        <w:rPr>
          <w:rFonts w:ascii="Times New Roman" w:hAnsi="Times New Roman"/>
          <w:bCs/>
          <w:sz w:val="24"/>
        </w:rPr>
        <w:t>listinjenju</w:t>
      </w:r>
      <w:proofErr w:type="spellEnd"/>
      <w:r>
        <w:rPr>
          <w:rFonts w:ascii="Times New Roman" w:hAnsi="Times New Roman"/>
          <w:bCs/>
          <w:sz w:val="24"/>
        </w:rPr>
        <w:t xml:space="preserve"> v trgovalni knjigi.</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Predloga EU SEC3 – Izpostavljenosti v </w:t>
      </w:r>
      <w:proofErr w:type="spellStart"/>
      <w:r>
        <w:rPr>
          <w:rFonts w:ascii="Times New Roman" w:hAnsi="Times New Roman"/>
          <w:b/>
          <w:sz w:val="24"/>
        </w:rPr>
        <w:t>listinjenju</w:t>
      </w:r>
      <w:proofErr w:type="spellEnd"/>
      <w:r>
        <w:rPr>
          <w:rFonts w:ascii="Times New Roman" w:hAnsi="Times New Roman"/>
          <w:b/>
          <w:sz w:val="24"/>
        </w:rPr>
        <w:t xml:space="preserve"> v </w:t>
      </w:r>
      <w:proofErr w:type="spellStart"/>
      <w:r>
        <w:rPr>
          <w:rFonts w:ascii="Times New Roman" w:hAnsi="Times New Roman"/>
          <w:b/>
          <w:sz w:val="24"/>
        </w:rPr>
        <w:t>netrgovalni</w:t>
      </w:r>
      <w:proofErr w:type="spellEnd"/>
      <w:r>
        <w:rPr>
          <w:rFonts w:ascii="Times New Roman" w:hAnsi="Times New Roman"/>
          <w:b/>
          <w:sz w:val="24"/>
        </w:rPr>
        <w:t xml:space="preserve"> knjigi in povezane regulativne kapitalske zahteve – Institucija deluje kot </w:t>
      </w:r>
      <w:proofErr w:type="spellStart"/>
      <w:r>
        <w:rPr>
          <w:rFonts w:ascii="Times New Roman" w:hAnsi="Times New Roman"/>
          <w:b/>
          <w:sz w:val="24"/>
        </w:rPr>
        <w:t>originator</w:t>
      </w:r>
      <w:proofErr w:type="spellEnd"/>
      <w:r>
        <w:rPr>
          <w:rFonts w:ascii="Times New Roman" w:hAnsi="Times New Roman"/>
          <w:b/>
          <w:sz w:val="24"/>
        </w:rPr>
        <w:t xml:space="preserve"> ali sponzor. </w:t>
      </w:r>
      <w:r>
        <w:rPr>
          <w:rFonts w:ascii="Times New Roman" w:hAnsi="Times New Roman"/>
          <w:sz w:val="24"/>
        </w:rPr>
        <w:t>Fiksna oblika.</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Institucije razkrijejo informacije iz člena 449(k)(i) CRR ob upoštevanju navodil iz te priloge za izpolnjevanje predloge EU SEC3 iz Priloge XXVII k tej izvedbeni uredbi.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podlaga in navodila</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Stolpec</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 do 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Vrednosti izpostavljenosti (po utežeh tveganja/odbitkih)</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Vrednosti, ki se razkrijejo v stolpcih (a) do (d) te predloge glede na regulativne uteži tveganja, se določijo v skladu s poglavjem 5 naslova II dela 3 CRR.</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do 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Vrednosti izpostavljenosti (po regulativnem pristopu)</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Stolpci (f) do (h) te predloge ustrezajo regulativnemu pristopu, ki se uporablja v skladu s hierarhijo metod iz člena 254 CRR.</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(po regulativnem pristopu)</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Znesek tveganju prilagojenih izpostavljenosti (RWEA) po regulativnem pristopu v skladu s poglavjem 5 naslova II dela 3 CRR pred uporabo zgornje meje.</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do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Kapitalska zahteva po uporabi zgornje meje</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Ti stolpci se nanašajo na kapitalsko zahtevo po uporabi zgornje meje v skladu s členoma 267 in 268 CRR.</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 1 250% / odbitki</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Stolpci se nanašajo na postavke:</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za katere je uporabljena utež tveganja 1 250 % ali ki so se odbile v skladu s poglavjem 5 naslova II dela 3 CRR,</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za katere je uporabljena utež tveganja 1 250 % ali ki so se odbile v skladu s členom 244(1)(b) in členom 245(1)(b) CRR,</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za katere je uporabljena utež tveganja 1 250 % v skladu s členom 254(7) CRR,</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ali ki so se odbile v skladu s členom 253 CRR.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podlaga in navodila</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Skupni znesek izpostavljenosti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Skupni znesek izpostavljenosti se nanaša na skupni znesek pozicij v </w:t>
            </w:r>
            <w:proofErr w:type="spellStart"/>
            <w:r>
              <w:rPr>
                <w:rFonts w:ascii="Times New Roman" w:hAnsi="Times New Roman"/>
                <w:sz w:val="24"/>
              </w:rPr>
              <w:t>listinjenju</w:t>
            </w:r>
            <w:proofErr w:type="spellEnd"/>
            <w:r>
              <w:rPr>
                <w:rFonts w:ascii="Times New Roman" w:hAnsi="Times New Roman"/>
                <w:sz w:val="24"/>
              </w:rPr>
              <w:t xml:space="preserve"> in </w:t>
            </w:r>
            <w:proofErr w:type="spellStart"/>
            <w:r>
              <w:rPr>
                <w:rFonts w:ascii="Times New Roman" w:hAnsi="Times New Roman"/>
                <w:sz w:val="24"/>
              </w:rPr>
              <w:t>relistinjenju</w:t>
            </w:r>
            <w:proofErr w:type="spellEnd"/>
            <w:r>
              <w:rPr>
                <w:rFonts w:ascii="Times New Roman" w:hAnsi="Times New Roman"/>
                <w:sz w:val="24"/>
              </w:rPr>
              <w:t xml:space="preserve">, ki jih ima institucija, ki deluje kot </w:t>
            </w:r>
            <w:proofErr w:type="spellStart"/>
            <w:r>
              <w:rPr>
                <w:rFonts w:ascii="Times New Roman" w:hAnsi="Times New Roman"/>
                <w:sz w:val="24"/>
              </w:rPr>
              <w:t>originator</w:t>
            </w:r>
            <w:proofErr w:type="spellEnd"/>
            <w:r>
              <w:rPr>
                <w:rFonts w:ascii="Times New Roman" w:hAnsi="Times New Roman"/>
                <w:sz w:val="24"/>
              </w:rPr>
              <w:t xml:space="preserve"> ali sponzor. V tej vrstici so povzete informacije o tradicionalnih in sintetičnih </w:t>
            </w:r>
            <w:proofErr w:type="spellStart"/>
            <w:r>
              <w:rPr>
                <w:rFonts w:ascii="Times New Roman" w:hAnsi="Times New Roman"/>
                <w:sz w:val="24"/>
              </w:rPr>
              <w:t>listinjenjih</w:t>
            </w:r>
            <w:proofErr w:type="spellEnd"/>
            <w:r>
              <w:rPr>
                <w:rFonts w:ascii="Times New Roman" w:hAnsi="Times New Roman"/>
                <w:sz w:val="24"/>
              </w:rPr>
              <w:t xml:space="preserve">, razkrite po </w:t>
            </w:r>
            <w:proofErr w:type="spellStart"/>
            <w:r>
              <w:rPr>
                <w:rFonts w:ascii="Times New Roman" w:hAnsi="Times New Roman"/>
                <w:sz w:val="24"/>
              </w:rPr>
              <w:t>originatorjih</w:t>
            </w:r>
            <w:proofErr w:type="spellEnd"/>
            <w:r>
              <w:rPr>
                <w:rFonts w:ascii="Times New Roman" w:hAnsi="Times New Roman"/>
                <w:sz w:val="24"/>
              </w:rPr>
              <w:t xml:space="preserve"> in sponzorjih v vrsticah v nadaljevanju.</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Tradicionalni posli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Glej pojasnilo za predlogo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proofErr w:type="spellStart"/>
            <w:r>
              <w:rPr>
                <w:rFonts w:ascii="Times New Roman" w:hAnsi="Times New Roman"/>
                <w:b/>
                <w:sz w:val="24"/>
              </w:rPr>
              <w:t>Listinjenje</w:t>
            </w:r>
            <w:proofErr w:type="spellEnd"/>
            <w:r>
              <w:rPr>
                <w:rFonts w:ascii="Times New Roman" w:hAnsi="Times New Roman"/>
                <w:b/>
                <w:sz w:val="24"/>
              </w:rPr>
              <w:t xml:space="preserve">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lastRenderedPageBreak/>
              <w:t xml:space="preserve">Skupni znesek neporavnanih pozicij v </w:t>
            </w:r>
            <w:proofErr w:type="spellStart"/>
            <w:r>
              <w:rPr>
                <w:rFonts w:ascii="Times New Roman" w:hAnsi="Times New Roman"/>
                <w:sz w:val="24"/>
              </w:rPr>
              <w:t>listinjenju</w:t>
            </w:r>
            <w:proofErr w:type="spellEnd"/>
            <w:r>
              <w:rPr>
                <w:rFonts w:ascii="Times New Roman" w:hAnsi="Times New Roman"/>
                <w:sz w:val="24"/>
              </w:rPr>
              <w:t xml:space="preserve">, kot so opredeljene v členu 4(1)(62) CRR, ki niso pozicije v </w:t>
            </w:r>
            <w:proofErr w:type="spellStart"/>
            <w:r>
              <w:rPr>
                <w:rFonts w:ascii="Times New Roman" w:hAnsi="Times New Roman"/>
                <w:sz w:val="24"/>
              </w:rPr>
              <w:t>relistinjenju</w:t>
            </w:r>
            <w:proofErr w:type="spellEnd"/>
            <w:r>
              <w:rPr>
                <w:rFonts w:ascii="Times New Roman" w:hAnsi="Times New Roman"/>
                <w:sz w:val="24"/>
              </w:rPr>
              <w:t>, kot so opredeljene v členu 4(1)(64) CRR.</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Glej pojasnilo za predlogo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Relistinjenje</w:t>
            </w:r>
            <w:proofErr w:type="spellEnd"/>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Glej pojasnilo za predlogo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Sintetični posli</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Glej pojasnilo za predlogo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Predloga EU SEC4 – Izpostavljenosti v </w:t>
      </w:r>
      <w:proofErr w:type="spellStart"/>
      <w:r>
        <w:rPr>
          <w:rFonts w:ascii="Times New Roman" w:hAnsi="Times New Roman"/>
          <w:b/>
          <w:sz w:val="24"/>
        </w:rPr>
        <w:t>listinjenju</w:t>
      </w:r>
      <w:proofErr w:type="spellEnd"/>
      <w:r>
        <w:rPr>
          <w:rFonts w:ascii="Times New Roman" w:hAnsi="Times New Roman"/>
          <w:b/>
          <w:sz w:val="24"/>
        </w:rPr>
        <w:t xml:space="preserve"> v </w:t>
      </w:r>
      <w:proofErr w:type="spellStart"/>
      <w:r>
        <w:rPr>
          <w:rFonts w:ascii="Times New Roman" w:hAnsi="Times New Roman"/>
          <w:b/>
          <w:sz w:val="24"/>
        </w:rPr>
        <w:t>netrgovalni</w:t>
      </w:r>
      <w:proofErr w:type="spellEnd"/>
      <w:r>
        <w:rPr>
          <w:rFonts w:ascii="Times New Roman" w:hAnsi="Times New Roman"/>
          <w:b/>
          <w:sz w:val="24"/>
        </w:rPr>
        <w:t xml:space="preserve"> knjigi in povezane regulativne kapitalske zahteve – Institucija deluje kot investitor. </w:t>
      </w:r>
      <w:r>
        <w:rPr>
          <w:rFonts w:ascii="Times New Roman" w:hAnsi="Times New Roman"/>
          <w:sz w:val="24"/>
        </w:rPr>
        <w:t>Fiksna oblika.</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razkrijejo informacije iz člena 449(k)(ii) CRR ob upoštevanju navodil iz te priloge za izpolnjevanje predloge EU SEC4 iz Priloge XXVII k tej izvedbeni uredbi.</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t xml:space="preserve">Institucije upoštevajo navodila za predlogo EU SEC3 – Izpostavljenosti v </w:t>
      </w:r>
      <w:proofErr w:type="spellStart"/>
      <w:r>
        <w:rPr>
          <w:rFonts w:ascii="Times New Roman" w:hAnsi="Times New Roman"/>
          <w:sz w:val="24"/>
        </w:rPr>
        <w:t>listinjenju</w:t>
      </w:r>
      <w:proofErr w:type="spellEnd"/>
      <w:r>
        <w:rPr>
          <w:rFonts w:ascii="Times New Roman" w:hAnsi="Times New Roman"/>
          <w:sz w:val="24"/>
        </w:rPr>
        <w:t xml:space="preserve"> v </w:t>
      </w:r>
      <w:proofErr w:type="spellStart"/>
      <w:r>
        <w:rPr>
          <w:rFonts w:ascii="Times New Roman" w:hAnsi="Times New Roman"/>
          <w:sz w:val="24"/>
        </w:rPr>
        <w:t>netrgovalni</w:t>
      </w:r>
      <w:proofErr w:type="spellEnd"/>
      <w:r>
        <w:rPr>
          <w:rFonts w:ascii="Times New Roman" w:hAnsi="Times New Roman"/>
          <w:sz w:val="24"/>
        </w:rPr>
        <w:t xml:space="preserve"> knjigi in povezane regulativne kapitalske zahteve – Institucija deluje kot </w:t>
      </w:r>
      <w:proofErr w:type="spellStart"/>
      <w:r>
        <w:rPr>
          <w:rFonts w:ascii="Times New Roman" w:hAnsi="Times New Roman"/>
          <w:sz w:val="24"/>
        </w:rPr>
        <w:t>originator</w:t>
      </w:r>
      <w:proofErr w:type="spellEnd"/>
      <w:r>
        <w:rPr>
          <w:rFonts w:ascii="Times New Roman" w:hAnsi="Times New Roman"/>
          <w:sz w:val="24"/>
        </w:rPr>
        <w:t xml:space="preserve"> ali sponzor.</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Predloga EU SEC5 – Izpostavljenosti, ki jih je </w:t>
      </w:r>
      <w:proofErr w:type="spellStart"/>
      <w:r>
        <w:rPr>
          <w:rFonts w:ascii="Times New Roman" w:hAnsi="Times New Roman"/>
          <w:b/>
          <w:sz w:val="24"/>
        </w:rPr>
        <w:t>listinila</w:t>
      </w:r>
      <w:proofErr w:type="spellEnd"/>
      <w:r>
        <w:rPr>
          <w:rFonts w:ascii="Times New Roman" w:hAnsi="Times New Roman"/>
          <w:b/>
          <w:sz w:val="24"/>
        </w:rPr>
        <w:t xml:space="preserve"> institucija – Neplačane izpostavljenosti in posebni popravki zaradi kreditnega tveganja </w:t>
      </w:r>
      <w:r>
        <w:rPr>
          <w:rFonts w:ascii="Times New Roman" w:hAnsi="Times New Roman"/>
          <w:sz w:val="24"/>
        </w:rPr>
        <w:t>Fiksna oblika.</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Institucije razkrijejo informacije iz člena 449(l) CRR po vrstah </w:t>
      </w:r>
      <w:proofErr w:type="spellStart"/>
      <w:r>
        <w:rPr>
          <w:rFonts w:ascii="Times New Roman" w:hAnsi="Times New Roman"/>
          <w:bCs/>
          <w:sz w:val="24"/>
        </w:rPr>
        <w:t>listinjenja</w:t>
      </w:r>
      <w:proofErr w:type="spellEnd"/>
      <w:r>
        <w:rPr>
          <w:rFonts w:ascii="Times New Roman" w:hAnsi="Times New Roman"/>
          <w:bCs/>
          <w:sz w:val="24"/>
        </w:rPr>
        <w:t xml:space="preserve"> ob upoštevanju navodil iz te priloge za izpolnjevanje predloge EU SEC5 iz Priloge XXVII k tej izvedbeni uredbi.</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podlaga in navodila</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Stolpec</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Skupni neporavnani nominalni znesek</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Skupni neporavnani nominalni znesek izpostavljenosti, ki jih je </w:t>
            </w:r>
            <w:proofErr w:type="spellStart"/>
            <w:r>
              <w:rPr>
                <w:rFonts w:ascii="Times New Roman" w:hAnsi="Times New Roman"/>
                <w:sz w:val="24"/>
              </w:rPr>
              <w:t>listinila</w:t>
            </w:r>
            <w:proofErr w:type="spellEnd"/>
            <w:r>
              <w:rPr>
                <w:rFonts w:ascii="Times New Roman" w:hAnsi="Times New Roman"/>
                <w:sz w:val="24"/>
              </w:rPr>
              <w:t xml:space="preserve"> institucija (institucija deluje kot </w:t>
            </w:r>
            <w:proofErr w:type="spellStart"/>
            <w:r>
              <w:rPr>
                <w:rFonts w:ascii="Times New Roman" w:hAnsi="Times New Roman"/>
                <w:sz w:val="24"/>
              </w:rPr>
              <w:t>originator</w:t>
            </w:r>
            <w:proofErr w:type="spellEnd"/>
            <w:r>
              <w:rPr>
                <w:rFonts w:ascii="Times New Roman" w:hAnsi="Times New Roman"/>
                <w:sz w:val="24"/>
              </w:rPr>
              <w:t xml:space="preserve"> ali sponzor), razčlenjen po vrstah izpostavljenosti v </w:t>
            </w:r>
            <w:proofErr w:type="spellStart"/>
            <w:r>
              <w:rPr>
                <w:rFonts w:ascii="Times New Roman" w:hAnsi="Times New Roman"/>
                <w:sz w:val="24"/>
              </w:rPr>
              <w:t>listinjenju</w:t>
            </w:r>
            <w:proofErr w:type="spellEnd"/>
            <w:r>
              <w:rPr>
                <w:rFonts w:ascii="Times New Roman" w:hAnsi="Times New Roman"/>
                <w:sz w:val="24"/>
              </w:rPr>
              <w:t>.</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Skupni neporavnani nominalni znesek – od tega neplačane izpostavljenosti</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Skupni neporavnani nominalni znesek</w:t>
            </w:r>
            <w:r>
              <w:rPr>
                <w:rFonts w:ascii="Times New Roman" w:hAnsi="Times New Roman"/>
                <w:sz w:val="24"/>
              </w:rPr>
              <w:t xml:space="preserve"> izpostavljenosti, ki jih je </w:t>
            </w:r>
            <w:proofErr w:type="spellStart"/>
            <w:r>
              <w:rPr>
                <w:rFonts w:ascii="Times New Roman" w:hAnsi="Times New Roman"/>
                <w:sz w:val="24"/>
              </w:rPr>
              <w:t>listinila</w:t>
            </w:r>
            <w:proofErr w:type="spellEnd"/>
            <w:r>
              <w:rPr>
                <w:rFonts w:ascii="Times New Roman" w:hAnsi="Times New Roman"/>
                <w:sz w:val="24"/>
              </w:rPr>
              <w:t xml:space="preserve"> institucija (institucija deluje kot </w:t>
            </w:r>
            <w:proofErr w:type="spellStart"/>
            <w:r>
              <w:rPr>
                <w:rFonts w:ascii="Times New Roman" w:hAnsi="Times New Roman"/>
                <w:sz w:val="24"/>
              </w:rPr>
              <w:t>originator</w:t>
            </w:r>
            <w:proofErr w:type="spellEnd"/>
            <w:r>
              <w:rPr>
                <w:rFonts w:ascii="Times New Roman" w:hAnsi="Times New Roman"/>
                <w:sz w:val="24"/>
              </w:rPr>
              <w:t xml:space="preserve"> ali sponzor), ki so bile razvrščene kot „neplačane izpostavljenosti“ v skladu s členom 178 CRR, </w:t>
            </w:r>
            <w:r>
              <w:rPr>
                <w:rStyle w:val="InstructionsTabelleText"/>
                <w:rFonts w:ascii="Times New Roman" w:hAnsi="Times New Roman"/>
                <w:sz w:val="24"/>
              </w:rPr>
              <w:t xml:space="preserve">razčlenjen po vrstah izpostavljenosti v </w:t>
            </w:r>
            <w:proofErr w:type="spellStart"/>
            <w:r>
              <w:rPr>
                <w:rStyle w:val="InstructionsTabelleText"/>
                <w:rFonts w:ascii="Times New Roman" w:hAnsi="Times New Roman"/>
                <w:sz w:val="24"/>
              </w:rPr>
              <w:t>listinjenju</w:t>
            </w:r>
            <w:proofErr w:type="spellEnd"/>
            <w:r>
              <w:rPr>
                <w:rFonts w:ascii="Times New Roman" w:hAnsi="Times New Roman"/>
                <w:sz w:val="24"/>
              </w:rPr>
              <w:t>.</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Posebni popravki zaradi kreditnega tveganja v obdobju</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Znesek posebnih popravkov zaradi kreditnega tveganja, izvedenih v obdobju v skladu s členom 110 CRR pri izpostavljenostih, ki jih je </w:t>
            </w:r>
            <w:proofErr w:type="spellStart"/>
            <w:r>
              <w:rPr>
                <w:rFonts w:ascii="Times New Roman" w:hAnsi="Times New Roman"/>
                <w:sz w:val="24"/>
              </w:rPr>
              <w:t>listinila</w:t>
            </w:r>
            <w:proofErr w:type="spellEnd"/>
            <w:r>
              <w:rPr>
                <w:rFonts w:ascii="Times New Roman" w:hAnsi="Times New Roman"/>
                <w:sz w:val="24"/>
              </w:rPr>
              <w:t xml:space="preserve"> institucija (institucija deluje kot </w:t>
            </w:r>
            <w:proofErr w:type="spellStart"/>
            <w:r>
              <w:rPr>
                <w:rFonts w:ascii="Times New Roman" w:hAnsi="Times New Roman"/>
                <w:sz w:val="24"/>
              </w:rPr>
              <w:t>originator</w:t>
            </w:r>
            <w:proofErr w:type="spellEnd"/>
            <w:r>
              <w:rPr>
                <w:rFonts w:ascii="Times New Roman" w:hAnsi="Times New Roman"/>
                <w:sz w:val="24"/>
              </w:rPr>
              <w:t xml:space="preserve"> ali sponzor), razčlenjen po vrstah izpostavljenosti v </w:t>
            </w:r>
            <w:proofErr w:type="spellStart"/>
            <w:r>
              <w:rPr>
                <w:rFonts w:ascii="Times New Roman" w:hAnsi="Times New Roman"/>
                <w:sz w:val="24"/>
              </w:rPr>
              <w:t>listinjenju</w:t>
            </w:r>
            <w:proofErr w:type="spellEnd"/>
            <w:r>
              <w:rPr>
                <w:rFonts w:ascii="Times New Roman" w:hAnsi="Times New Roman"/>
                <w:sz w:val="24"/>
              </w:rPr>
              <w:t>.</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PRILOGA XXX – Razpredelnice in predloge za razkritje standardiziranega pristopa in notranjega modela za tržno tveganje: Navodila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Ta priloga vsebuje navodila, ki jih morajo institucije upoštevati pri razkrivanju informacij iz členov 435, 445 in 455 Uredbe (EU) št. 575/2013</w:t>
      </w:r>
      <w:r>
        <w:rPr>
          <w:rStyle w:val="FootnoteReference"/>
          <w:rFonts w:cs="Times New Roman"/>
          <w:color w:val="auto"/>
          <w:lang w:val="en-GB"/>
        </w:rPr>
        <w:footnoteReference w:id="44"/>
      </w:r>
      <w:r>
        <w:rPr>
          <w:rFonts w:ascii="Times New Roman" w:hAnsi="Times New Roman"/>
          <w:color w:val="auto"/>
          <w:sz w:val="24"/>
        </w:rPr>
        <w:t xml:space="preserve"> (CRR) za izpolnjevanje razpredelnic in predlog z razkritji o tržnem tveganju iz Priloge XXIX k tej izvedbeni uredbi.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Razpredelnica EU MRA – Zahteve po kvalitativnih razkritjih v zvezi s tržnim tveganjem.</w:t>
      </w:r>
      <w:r>
        <w:rPr>
          <w:rFonts w:ascii="Times New Roman" w:hAnsi="Times New Roman"/>
          <w:sz w:val="24"/>
        </w:rPr>
        <w:t xml:space="preserve"> Polja, namenjena prosti vsebini.</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Institucije razkrijejo informacije iz člena 435(1)(a) do (d) CRR v zvezi s tržnim tveganjem ob upoštevanju navodil iz te priloge za izpolnjevanje razpredelnice EU MRA iz Priloge XXIX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435(1)(a) in (d) CRR o ciljih in politikah upravljanja tržnega tveganja vključijo:</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bookmarkStart w:id="17" w:name="_GoBack"/>
            <w:bookmarkEnd w:id="17"/>
            <w:r>
              <w:rPr>
                <w:rFonts w:ascii="Times New Roman" w:hAnsi="Times New Roman"/>
                <w:sz w:val="24"/>
                <w:szCs w:val="24"/>
              </w:rPr>
              <w:t xml:space="preserve">pojasnilo v zvezi s strateškimi cilji vodstva pri izvajanju trgovalnih dejavnosti,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postopke, ki se izvajajo za ugotavljanje, merjenje, spremljanje in obvladovanje tržnih tveganj institucije,</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politike za varovanje pred tveganji in njihovo zmanjševanje,</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strategije in procese za spremljanje stalne učinkovitosti varovanja pred tveganji.</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435(1)(b) CRR o strukturi in organizaciji funkcije upravljanja tržnega tveganja vključijo:</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opis strukture upravljanja tržnega tveganja, ki je bila vzpostavljena za izvajanje strategij in procesov institucije iz vrstice (a) zgoraj,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opis odnosov in mehanizmov komunikacije med različnim stranmi, vključenimi v upravljanje tržnega tveganja.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Institucije pri razkrivanju informacij iz člena 435(1)(c) CRR o obsegu in naravi sistemov za razkritje in merjenje tržnih tveganj zagotovijo opis obsega in narave razkritij o tržnem tveganju ter sistemov za njihovo merjenje. </w:t>
            </w:r>
          </w:p>
        </w:tc>
      </w:tr>
    </w:tbl>
    <w:p w14:paraId="5FE50BEA" w14:textId="77777777" w:rsidR="00203C1C" w:rsidRPr="0081737A"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Predloga EU MR1 – Tržno tveganje na podlagi standardiziranega pristopa.</w:t>
      </w:r>
      <w:r>
        <w:rPr>
          <w:rFonts w:ascii="Times New Roman" w:hAnsi="Times New Roman"/>
          <w:color w:val="auto"/>
          <w:sz w:val="24"/>
        </w:rPr>
        <w:t xml:space="preserve"> Fiksna oblika.</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Institucije razkrijejo informacije iz člena 445 CRR ob upoštevanju navodil iz te priloge za izpolnjevanje predloge EU MR1 iz Priloge XXIX k tej izvedbeni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Številka vrstice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 xml:space="preserve">Produkti brez </w:t>
            </w:r>
            <w:proofErr w:type="spellStart"/>
            <w:r>
              <w:rPr>
                <w:rFonts w:ascii="Times New Roman" w:hAnsi="Times New Roman"/>
                <w:b/>
                <w:i/>
                <w:sz w:val="24"/>
              </w:rPr>
              <w:t>opcionalnosti</w:t>
            </w:r>
            <w:proofErr w:type="spellEnd"/>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Obrestno tveganje (splošno in posebno)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Splošno in posebno tveganje pozicij v dolžniških instrumentih, s katerimi se trguje na borzi, v trgovalni knjigi v skladu s poglavjem 2 naslova IV dela 3 CRR, razen posebnega tveganja v zvezi </w:t>
            </w:r>
            <w:proofErr w:type="spellStart"/>
            <w:r>
              <w:rPr>
                <w:rFonts w:ascii="Times New Roman" w:hAnsi="Times New Roman"/>
                <w:sz w:val="24"/>
              </w:rPr>
              <w:t>listinjenjem</w:t>
            </w:r>
            <w:proofErr w:type="spellEnd"/>
            <w:r>
              <w:rPr>
                <w:rFonts w:ascii="Times New Roman" w:hAnsi="Times New Roman"/>
                <w:sz w:val="24"/>
              </w:rPr>
              <w:t xml:space="preserve">, in ki niso </w:t>
            </w:r>
            <w:proofErr w:type="spellStart"/>
            <w:r>
              <w:rPr>
                <w:rFonts w:ascii="Times New Roman" w:hAnsi="Times New Roman"/>
                <w:sz w:val="24"/>
              </w:rPr>
              <w:t>opcionalni</w:t>
            </w:r>
            <w:proofErr w:type="spellEnd"/>
            <w:r>
              <w:rPr>
                <w:rFonts w:ascii="Times New Roman" w:hAnsi="Times New Roman"/>
                <w:sz w:val="24"/>
              </w:rPr>
              <w:t>.</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Tveganje lastniških vrednostnih papirjev (splošno in posebno)</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Splošno in posebno tveganje pozicij v lastniških instrumentih v trgovalni knjigi v skladu s poglavjem 2 naslova IV dela 3 CRR razen </w:t>
            </w:r>
            <w:proofErr w:type="spellStart"/>
            <w:r>
              <w:rPr>
                <w:rFonts w:ascii="Times New Roman" w:hAnsi="Times New Roman"/>
                <w:sz w:val="24"/>
              </w:rPr>
              <w:t>opcionalnih</w:t>
            </w:r>
            <w:proofErr w:type="spellEnd"/>
            <w:r>
              <w:rPr>
                <w:rFonts w:ascii="Times New Roman" w:hAnsi="Times New Roman"/>
                <w:sz w:val="24"/>
              </w:rPr>
              <w:t xml:space="preserve"> instrumentov.</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Valutno tveganje</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Tveganje pozicij v tuji valuti v skladu s poglavjem 3 naslova IV dela 3 CRR razen </w:t>
            </w:r>
            <w:proofErr w:type="spellStart"/>
            <w:r>
              <w:rPr>
                <w:rFonts w:ascii="Times New Roman" w:hAnsi="Times New Roman"/>
                <w:sz w:val="24"/>
              </w:rPr>
              <w:t>opcionalnih</w:t>
            </w:r>
            <w:proofErr w:type="spellEnd"/>
            <w:r>
              <w:rPr>
                <w:rFonts w:ascii="Times New Roman" w:hAnsi="Times New Roman"/>
                <w:sz w:val="24"/>
              </w:rPr>
              <w:t xml:space="preserve"> instrumentov.</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Blagovno tveganje</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Tveganje pozicij v blagu v skladu s poglavjem 4 naslova IV dela 3 CRR razen </w:t>
            </w:r>
            <w:proofErr w:type="spellStart"/>
            <w:r>
              <w:rPr>
                <w:rFonts w:ascii="Times New Roman" w:hAnsi="Times New Roman"/>
                <w:sz w:val="24"/>
              </w:rPr>
              <w:t>opcionalnih</w:t>
            </w:r>
            <w:proofErr w:type="spellEnd"/>
            <w:r>
              <w:rPr>
                <w:rFonts w:ascii="Times New Roman" w:hAnsi="Times New Roman"/>
                <w:sz w:val="24"/>
              </w:rPr>
              <w:t xml:space="preserve"> instrumentov.</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Opcije</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Poenostavljeni pristop</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Opcije ali nakupni boni, kot so opredeljeni v členu 329(3) poglavja 2 naslova IV dela 3 CRR, za katere institucije izračunajo kapitalske zahteve </w:t>
            </w:r>
            <w:r>
              <w:rPr>
                <w:rFonts w:ascii="Times New Roman" w:hAnsi="Times New Roman"/>
                <w:sz w:val="24"/>
              </w:rPr>
              <w:lastRenderedPageBreak/>
              <w:t>v zvezi s tveganji, ki niso delta tveganja, z uporabo poenostavljenega pristopa.</w:t>
            </w:r>
            <w:r>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Delta-plus pristop</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Opcije ali nakupni boni v trgovalni knjigi, kot so opredeljeni v členu 329(3) poglavja 2 naslova IV dela 3 CRR, za katere institucije izračunajo kapitalske zahteve v zvezi s tveganji, ki niso delta tveganja, z uporabo delta-plus pristopa.</w:t>
            </w:r>
            <w:r>
              <w:rPr>
                <w:rStyle w:val="FootnoteReference"/>
                <w:rFonts w:eastAsia="Times New Roman" w:cs="Times New Roman"/>
              </w:rPr>
              <w:footnoteReference w:id="46"/>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Pristop na podlagi scenarijev</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Opcije ali nakupni boni v trgovalni knjigi, kot so opredeljeni v členu 329(3) poglavja 2 naslova IV dela 3 CRR, za katere institucije izračunajo kapitalske zahteve v zvezi s tveganji, ki niso delta tveganja, z uporabo pristopa na podlagi scenarijev.</w:t>
            </w:r>
            <w:r>
              <w:rPr>
                <w:rStyle w:val="FootnoteReference"/>
                <w:rFonts w:eastAsia="Times New Roman" w:cs="Times New Roman"/>
              </w:rPr>
              <w:footnoteReference w:id="47"/>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proofErr w:type="spellStart"/>
            <w:r>
              <w:rPr>
                <w:rFonts w:ascii="Times New Roman" w:hAnsi="Times New Roman"/>
                <w:b/>
                <w:sz w:val="24"/>
              </w:rPr>
              <w:t>Listinjenje</w:t>
            </w:r>
            <w:proofErr w:type="spellEnd"/>
            <w:r>
              <w:rPr>
                <w:rFonts w:ascii="Times New Roman" w:hAnsi="Times New Roman"/>
                <w:b/>
                <w:sz w:val="24"/>
              </w:rPr>
              <w:t xml:space="preserve"> (posebno tveganje)</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 xml:space="preserve">Posebno tveganje pozicij v </w:t>
            </w:r>
            <w:proofErr w:type="spellStart"/>
            <w:r>
              <w:rPr>
                <w:rFonts w:ascii="Times New Roman" w:hAnsi="Times New Roman"/>
                <w:sz w:val="24"/>
              </w:rPr>
              <w:t>listinjenju</w:t>
            </w:r>
            <w:proofErr w:type="spellEnd"/>
            <w:r>
              <w:rPr>
                <w:rFonts w:ascii="Times New Roman" w:hAnsi="Times New Roman"/>
                <w:sz w:val="24"/>
              </w:rPr>
              <w:t xml:space="preserve"> v trgovalni knjigi v skladu s členoma 337 in 338 poglavja 2 naslova IV dela 3 CRR.</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Skupaj</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Vsota zneskov v vrsticah 1 do 8 te predloge.</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Črka stolpca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Razkritje tveganju prilagojenih izpostavljenosti iz člena 438(d) CRR, izračunanih kot vrednost v stolpcu b, pomnožena z 12,5 v skladu s členom 92(4)(b) CRR.</w:t>
            </w:r>
          </w:p>
        </w:tc>
      </w:tr>
    </w:tbl>
    <w:p w14:paraId="349F27AF" w14:textId="77777777" w:rsidR="00203C1C" w:rsidRPr="0081737A"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lastRenderedPageBreak/>
        <w:t>Razpredelnica EU MRB: Zahteve po kvalitativnih razkritjih za institucije, ki uporabljajo notranje modele za tržno tveganje.</w:t>
      </w:r>
      <w:r>
        <w:rPr>
          <w:rFonts w:ascii="Times New Roman" w:hAnsi="Times New Roman"/>
          <w:sz w:val="24"/>
        </w:rPr>
        <w:t xml:space="preserve"> Prosta vsebina.</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Institucije razkrijejo informacije iz člena 455(a), (b), (c) in (f) CRR ob upoštevanju navodil iz te priloge za izpolnjevanje razpredelnice EU MRB iz Priloge XXIX k tej izvedbeni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Številka vrstice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455(c) CRR o obsegu in metodologijah za skladnost z zahtevami iz člena 104 vključijo:</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opis postopkov in sistemov, vzpostavljenih za zagotavljanje, da je mogoče s pozicijami, vključenimi v trgovalno knjigo, trgovati, da je zagotovljena skladnost z zahtevami iz člena 104 CRR;</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opis metodologije, s katero se zagotavlja ustreznost politik in postopkov za celovito upravljanje trgovalne knjige.</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455(c) CRR o obsegu in metodologijah za skladnost z zahtevami iz člena 105 vključijo:</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opis metodologij vrednotenja, vključno s pojasnilom, v kakšnem obsegu se uporabljata metodologija vrednotenja po tekočih tržnih cenah in metodologija vrednotenja z uporabo notranjega modela;</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opis postopka neodvisnega pregleda cen;</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postopke za prilagoditve vrednotenja ali rezerve (vključno z opisom postopka in metodologije za vrednotenje trgovalnih pozicij glede na vrsto instrumenta).</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Institucije, ki uporabljajo modele </w:t>
            </w:r>
            <w:proofErr w:type="spellStart"/>
            <w:r>
              <w:rPr>
                <w:rFonts w:ascii="Times New Roman" w:hAnsi="Times New Roman"/>
                <w:b/>
                <w:sz w:val="24"/>
              </w:rPr>
              <w:t>VaR</w:t>
            </w:r>
            <w:proofErr w:type="spellEnd"/>
            <w:r>
              <w:rPr>
                <w:rFonts w:ascii="Times New Roman" w:hAnsi="Times New Roman"/>
                <w:b/>
                <w:sz w:val="24"/>
              </w:rPr>
              <w:t xml:space="preserve"> in modele </w:t>
            </w:r>
            <w:proofErr w:type="spellStart"/>
            <w:r>
              <w:rPr>
                <w:rFonts w:ascii="Times New Roman" w:hAnsi="Times New Roman"/>
                <w:b/>
                <w:sz w:val="24"/>
              </w:rPr>
              <w:t>SVaR</w:t>
            </w:r>
            <w:proofErr w:type="spellEnd"/>
            <w:r>
              <w:rPr>
                <w:rFonts w:ascii="Times New Roman" w:hAnsi="Times New Roman"/>
                <w:b/>
                <w:sz w:val="24"/>
              </w:rPr>
              <w:t>, kot so opredeljeni v členu 365 CRR</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pri razkrivanju informacij iz člena 455(a)(i) in člena 455(b) CRR vključijo opis aktivnosti in tveganj, zajetih z modeli tvegane vrednosti (</w:t>
            </w:r>
            <w:proofErr w:type="spellStart"/>
            <w:r>
              <w:rPr>
                <w:rFonts w:ascii="Times New Roman" w:hAnsi="Times New Roman"/>
                <w:sz w:val="24"/>
              </w:rPr>
              <w:t>VaR</w:t>
            </w:r>
            <w:proofErr w:type="spellEnd"/>
            <w:r>
              <w:rPr>
                <w:rFonts w:ascii="Times New Roman" w:hAnsi="Times New Roman"/>
                <w:sz w:val="24"/>
              </w:rPr>
              <w:t>) in modeli stresne tvegane vrednosti (</w:t>
            </w:r>
            <w:proofErr w:type="spellStart"/>
            <w:r>
              <w:rPr>
                <w:rFonts w:ascii="Times New Roman" w:hAnsi="Times New Roman"/>
                <w:sz w:val="24"/>
              </w:rPr>
              <w:t>SVaR</w:t>
            </w:r>
            <w:proofErr w:type="spellEnd"/>
            <w:r>
              <w:rPr>
                <w:rFonts w:ascii="Times New Roman" w:hAnsi="Times New Roman"/>
                <w:sz w:val="24"/>
              </w:rPr>
              <w:t>), pri čemer navedejo, kako so porazdeljeni med portfelje/</w:t>
            </w:r>
            <w:proofErr w:type="spellStart"/>
            <w:r>
              <w:rPr>
                <w:rFonts w:ascii="Times New Roman" w:hAnsi="Times New Roman"/>
                <w:sz w:val="24"/>
              </w:rPr>
              <w:t>podportfelje</w:t>
            </w:r>
            <w:proofErr w:type="spellEnd"/>
            <w:r>
              <w:rPr>
                <w:rFonts w:ascii="Times New Roman" w:hAnsi="Times New Roman"/>
                <w:sz w:val="24"/>
              </w:rPr>
              <w:t>, za katere je pristojni organ dal dovoljenje.</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pri razkrivanju informacij iz člena 455(b) CRR vključijo:</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opis obsega uporabe modelov </w:t>
            </w:r>
            <w:proofErr w:type="spellStart"/>
            <w:r>
              <w:rPr>
                <w:rFonts w:ascii="Times New Roman" w:hAnsi="Times New Roman"/>
                <w:sz w:val="24"/>
                <w:szCs w:val="24"/>
              </w:rPr>
              <w:t>VaR</w:t>
            </w:r>
            <w:proofErr w:type="spellEnd"/>
            <w:r>
              <w:rPr>
                <w:rFonts w:ascii="Times New Roman" w:hAnsi="Times New Roman"/>
                <w:sz w:val="24"/>
                <w:szCs w:val="24"/>
              </w:rPr>
              <w:t xml:space="preserve"> in </w:t>
            </w:r>
            <w:proofErr w:type="spellStart"/>
            <w:r>
              <w:rPr>
                <w:rFonts w:ascii="Times New Roman" w:hAnsi="Times New Roman"/>
                <w:sz w:val="24"/>
                <w:szCs w:val="24"/>
              </w:rPr>
              <w:t>SVaR</w:t>
            </w:r>
            <w:proofErr w:type="spellEnd"/>
            <w:r>
              <w:rPr>
                <w:rFonts w:ascii="Times New Roman" w:hAnsi="Times New Roman"/>
                <w:sz w:val="24"/>
                <w:szCs w:val="24"/>
              </w:rPr>
              <w:t xml:space="preserve">, za katere je pristojni organ dal dovoljenje;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lastRenderedPageBreak/>
              <w:t xml:space="preserve">kadar je relevantno, informacije o tem, kateri subjekti v skupini uporabljajo te modele in kako modeli predstavljajo vse modele, ki se uporabljajo na ravni skupine, ter odstotek kapitalskih zahtev, ki jih zajemajo modeli, ali če se isti modeli </w:t>
            </w:r>
            <w:proofErr w:type="spellStart"/>
            <w:r>
              <w:rPr>
                <w:rFonts w:ascii="Times New Roman" w:hAnsi="Times New Roman"/>
                <w:sz w:val="24"/>
                <w:szCs w:val="24"/>
              </w:rPr>
              <w:t>VaR</w:t>
            </w:r>
            <w:proofErr w:type="spellEnd"/>
            <w:r>
              <w:rPr>
                <w:rFonts w:ascii="Times New Roman" w:hAnsi="Times New Roman"/>
                <w:sz w:val="24"/>
                <w:szCs w:val="24"/>
              </w:rPr>
              <w:t>/</w:t>
            </w:r>
            <w:proofErr w:type="spellStart"/>
            <w:r>
              <w:rPr>
                <w:rFonts w:ascii="Times New Roman" w:hAnsi="Times New Roman"/>
                <w:sz w:val="24"/>
                <w:szCs w:val="24"/>
              </w:rPr>
              <w:t>SVaR</w:t>
            </w:r>
            <w:proofErr w:type="spellEnd"/>
            <w:r>
              <w:rPr>
                <w:rFonts w:ascii="Times New Roman" w:hAnsi="Times New Roman"/>
                <w:sz w:val="24"/>
                <w:szCs w:val="24"/>
              </w:rPr>
              <w:t xml:space="preserve"> uporabljajo za vse subjekte z izpostavljenostmi tržnemu tveganju.</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Razkritje informacij iz člena 455(a)(i) CRR o značilnostih uporabljenih modelov vključuje:</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splošen opis regulativnih modelov </w:t>
            </w:r>
            <w:proofErr w:type="spellStart"/>
            <w:r>
              <w:rPr>
                <w:rFonts w:ascii="Times New Roman" w:hAnsi="Times New Roman"/>
                <w:sz w:val="24"/>
              </w:rPr>
              <w:t>VaR</w:t>
            </w:r>
            <w:proofErr w:type="spellEnd"/>
            <w:r>
              <w:rPr>
                <w:rFonts w:ascii="Times New Roman" w:hAnsi="Times New Roman"/>
                <w:sz w:val="24"/>
              </w:rPr>
              <w:t xml:space="preserve"> in </w:t>
            </w:r>
            <w:proofErr w:type="spellStart"/>
            <w:r>
              <w:rPr>
                <w:rFonts w:ascii="Times New Roman" w:hAnsi="Times New Roman"/>
                <w:sz w:val="24"/>
              </w:rPr>
              <w:t>SVaR</w:t>
            </w:r>
            <w:proofErr w:type="spellEnd"/>
            <w:r>
              <w:rPr>
                <w:rFonts w:ascii="Times New Roman" w:hAnsi="Times New Roman"/>
                <w:sz w:val="24"/>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razpravo o glavnih razlikah, če obstajajo, med modeli, uporabljenimi za namene upravljanja, in modelom, uporabljenim za regulativne namene (10 dni in 99 %), za modele </w:t>
            </w:r>
            <w:proofErr w:type="spellStart"/>
            <w:r>
              <w:rPr>
                <w:rFonts w:ascii="Times New Roman" w:hAnsi="Times New Roman"/>
                <w:sz w:val="24"/>
              </w:rPr>
              <w:t>VaR</w:t>
            </w:r>
            <w:proofErr w:type="spellEnd"/>
            <w:r>
              <w:rPr>
                <w:rFonts w:ascii="Times New Roman" w:hAnsi="Times New Roman"/>
                <w:sz w:val="24"/>
              </w:rPr>
              <w:t xml:space="preserve"> in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za modele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pogostost posodabljanja podatkov;</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dolžino obdobja, ki ga zajemajo podatki, ki se uporablja za umerjanje modela. Opis sistema tehtanja, ki se uporablja (če obstaja);</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opis, kako institucija določi 10‑dnevno obdobje posedovanja (na primer, ali poveča enodnevno </w:t>
            </w:r>
            <w:proofErr w:type="spellStart"/>
            <w:r>
              <w:rPr>
                <w:rFonts w:ascii="Times New Roman" w:hAnsi="Times New Roman"/>
                <w:sz w:val="24"/>
              </w:rPr>
              <w:t>VaR</w:t>
            </w:r>
            <w:proofErr w:type="spellEnd"/>
            <w:r>
              <w:rPr>
                <w:rFonts w:ascii="Times New Roman" w:hAnsi="Times New Roman"/>
                <w:sz w:val="24"/>
              </w:rPr>
              <w:t xml:space="preserve"> za kvadratni koren števila 10 ali neposredno modelira 10‑dnevno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opis pristopa združevanja, ki je metoda za združevanje posebnega in splošnega tveganja (tj. ali institucije izračunajo zahtevo za posebno tveganje kot samostojno zahtevo z uporabo drugačne metode od tiste, ki jo uporabljajo za izračun splošnega tveganja, ali institucije uporabljajo enoten model, ki razprši splošno in posebno tveganje?);</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pristop k vrednotenju (popolno prevrednotenje ali uporaba približkov);</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ali se pri simulaciji morebitnih sprememb dejavnikov tveganja uporabljajo absolutni ali relativni donosi (ali mešan pristop) (tj. sorazmerna sprememba cen ali stopenj oziroma absolutna sprememba cen ali stopenj);</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za modele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opis, kako se določi 10‑dnevno obdobje posedovanja. Ali institucija na primer poveča enodnevno </w:t>
            </w:r>
            <w:proofErr w:type="spellStart"/>
            <w:r>
              <w:rPr>
                <w:rFonts w:ascii="Times New Roman" w:hAnsi="Times New Roman"/>
                <w:sz w:val="24"/>
              </w:rPr>
              <w:t>VaR</w:t>
            </w:r>
            <w:proofErr w:type="spellEnd"/>
            <w:r>
              <w:rPr>
                <w:rFonts w:ascii="Times New Roman" w:hAnsi="Times New Roman"/>
                <w:sz w:val="24"/>
              </w:rPr>
              <w:t xml:space="preserve"> za kvadratni koren števila 10 ali neposredno modelira 10‑dnevno </w:t>
            </w:r>
            <w:proofErr w:type="spellStart"/>
            <w:r>
              <w:rPr>
                <w:rFonts w:ascii="Times New Roman" w:hAnsi="Times New Roman"/>
                <w:sz w:val="24"/>
              </w:rPr>
              <w:t>VaR</w:t>
            </w:r>
            <w:proofErr w:type="spellEnd"/>
            <w:r>
              <w:rPr>
                <w:rFonts w:ascii="Times New Roman" w:hAnsi="Times New Roman"/>
                <w:sz w:val="24"/>
              </w:rPr>
              <w:t xml:space="preserve">? Če je pristop enak kot za modele </w:t>
            </w:r>
            <w:proofErr w:type="spellStart"/>
            <w:r>
              <w:rPr>
                <w:rFonts w:ascii="Times New Roman" w:hAnsi="Times New Roman"/>
                <w:sz w:val="24"/>
              </w:rPr>
              <w:t>VaR</w:t>
            </w:r>
            <w:proofErr w:type="spellEnd"/>
            <w:r>
              <w:rPr>
                <w:rFonts w:ascii="Times New Roman" w:hAnsi="Times New Roman"/>
                <w:sz w:val="24"/>
              </w:rPr>
              <w:t>, lahko institucije to potrdijo in napotijo na razkritje po točko (e)(iii) zgoraj;</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opis stresnega obdobja, ki ga izbere institucija, in utemeljitev te izbire;</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opis pristopa k vrednotenju (popolno prevrednotenje ali uporaba približkov).</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Institucije pri razkrivanju informacij iz člena 455(a)(iii) CRR vključijo opis stresnega testiranja, ki se uporablja za parametre modeliranja skladno z informacijami iz točke (A)(a) zgoraj (glavni scenariji, ki zajemajo značilnosti portfeljev, za katere se modeli </w:t>
            </w:r>
            <w:proofErr w:type="spellStart"/>
            <w:r>
              <w:rPr>
                <w:rFonts w:ascii="Times New Roman" w:hAnsi="Times New Roman"/>
                <w:sz w:val="24"/>
              </w:rPr>
              <w:t>VaR</w:t>
            </w:r>
            <w:proofErr w:type="spellEnd"/>
            <w:r>
              <w:rPr>
                <w:rFonts w:ascii="Times New Roman" w:hAnsi="Times New Roman"/>
                <w:sz w:val="24"/>
              </w:rPr>
              <w:t xml:space="preserve"> in </w:t>
            </w:r>
            <w:proofErr w:type="spellStart"/>
            <w:r>
              <w:rPr>
                <w:rFonts w:ascii="Times New Roman" w:hAnsi="Times New Roman"/>
                <w:sz w:val="24"/>
              </w:rPr>
              <w:t>SVaR</w:t>
            </w:r>
            <w:proofErr w:type="spellEnd"/>
            <w:r>
              <w:rPr>
                <w:rFonts w:ascii="Times New Roman" w:hAnsi="Times New Roman"/>
                <w:sz w:val="24"/>
              </w:rPr>
              <w:t xml:space="preserve"> uporabljajo na ravni skupine).</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pri razkrivanju informacij iz člena 455(a)(iv) CRR vključijo opis pristopa, ki se uporablja za testiranje za nazaj/validacijo točnosti in notranje doslednosti podatkov in parametrov, uporabljenih v notranjih modelih in postopkih modeliranja.</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Institucije, ki uporabljajo notranje modele za merjenje kapitalskih zahtev za presežno tveganje neplačila in migracije (IRC) v skladu z oddelkoma 3 in 4 poglavja 5 naslova IV dela 3 CRR</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pri razkrivanju informacij iz člena 455(a)(ii) in člena 455(b) CRR vključijo opis tveganj, zajetih z modeli IRC, pri čemer navedejo, kako so porazdeljeni med portfelje/</w:t>
            </w:r>
            <w:proofErr w:type="spellStart"/>
            <w:r>
              <w:rPr>
                <w:rFonts w:ascii="Times New Roman" w:hAnsi="Times New Roman"/>
                <w:sz w:val="24"/>
              </w:rPr>
              <w:t>podportfelje</w:t>
            </w:r>
            <w:proofErr w:type="spellEnd"/>
            <w:r>
              <w:rPr>
                <w:rFonts w:ascii="Times New Roman" w:hAnsi="Times New Roman"/>
                <w:sz w:val="24"/>
              </w:rPr>
              <w:t>, za katere je pristojni organ dal dovoljenje.</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455(b) CRR vključujejo opis obsega uporabe modela IRC, za katerega je pristojni organ dal dovoljenje, in se dopolnijo z informacijami o tem, kateri subjekti v skupini uporabljajo te modele in kako modeli predstavljajo vse modele, ki se uporabljajo na ravni skupine, vključno z odstotkom kapitalskih zahtev, ki jih zajemajo modeli, ali če se isti modeli IRC uporabljajo za vse subjekte z izpostavljenostmi tržnemu tveganju.</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455(a)(ii) CRR o značilnostih uporabljenih modelov IRC vključujejo:</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Splošen opis metodologije, uporabljene za notranje modele za presežno tveganje neplačila in migracije, ki vključuje:</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splošnem pristopu k modeliranju (predvsem glede uporabe modelov na podlagi razmika ali modelov na podlagi matrike prehodov);</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umerjanju matrike prehodov;</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predpostavkah glede korelacij.</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vključijo opis pristopa, ki ga uporabljajo za določanje obdobij likvidnosti.</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vključijo opis metodologije, uporabljene za doseganje ocene kapitala, ki je skladna z zahtevanimi standardi zanesljivosti.</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vključijo opis pristopa, ki ga uporabljajo za validacijo modelov.</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455(a)(iii) CRR vključujejo opis stresnega testiranja, ki se uporablja za parametre modeliranja skladno z informacijami iz točke (B)(a) zgoraj (glavni scenariji, ki zajemajo značilnosti portfeljev, za katere se modeli IRC uporabljajo na ravni skupine).</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455(a)(iv) CRR vključujejo opis pristopa, ki se uporablja za testiranje za nazaj/validacijo točnosti in notranje doslednosti podatkov in parametrov, uporabljenih v notranjih modelih IRC in postopkih modeliranja.</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Institucije, ki uporabljajo notranje modele za merjenje kapitalskih zahtev za trgovalni portfelj s korelacijo (celotna mera tveganja) v skladu z oddelkom 5 poglavja 5 naslova IV dela 3 CRR</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pri razkrivanju informacij iz člena 455(a)(ii) in člena 455(b) CRR vključijo opis tveganj, zajetih z modeli celotne mere tveganja, pri čemer navedejo, kako so porazdeljeni med portfelje/</w:t>
            </w:r>
            <w:proofErr w:type="spellStart"/>
            <w:r>
              <w:rPr>
                <w:rFonts w:ascii="Times New Roman" w:hAnsi="Times New Roman"/>
                <w:sz w:val="24"/>
              </w:rPr>
              <w:t>podportfelje</w:t>
            </w:r>
            <w:proofErr w:type="spellEnd"/>
            <w:r>
              <w:rPr>
                <w:rFonts w:ascii="Times New Roman" w:hAnsi="Times New Roman"/>
                <w:sz w:val="24"/>
              </w:rPr>
              <w:t>, za katere je pristojni organ dal dovoljenje.</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455(b) CRR vključujejo opis obsega uporabe modelov celotne mere tveganja, za katere je pristojni organ dal dovoljenje. Dopolnjujejo jih informacije o tem, kateri subjekti v skupini uporabljajo te modele in kako modeli predstavljajo vse modele, ki se uporabljajo na ravni skupine, ter odstotek kapitalskih zahtev, ki jih zajemajo modeli, ali če se isti modeli IRC uporabljajo za vse subjekte z izpostavljenostmi tržnemu tveganju.</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455(a)(ii) CRR o značilnostih uporabljenih modelov celotne mere tveganja vključujejo:</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Splošen opis metodologije, uporabljene za trgovanje s korelacijo, ki vključuje:</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splošnem pristopu k modeliranju (izbira vrste korelacije med neplačili/migracijami in razmikom v modelu: (i) ločeni vendar medsebojno povezani stohastični procesi, ki povzročajo spremembe migracij/neplačil in razmikov; (ii) spremembe razmikov, ki povzročajo migracije/neplačila; ali (iii) neplačila/migracije, ki povzročajo spremembe razmikov);</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uporabljene za umerjanje parametrov osnovne korelacije: določanje LGD za tranše (konstantno ali stohastično);</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lastRenderedPageBreak/>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odločitvi, ali se določa čas do izteka pozicije (dobički in izgube na podlagi simuliranega gibanja trga v modelu, izračunani na podlagi časa do izteka posamezne pozicije na koncu enoletnega kapitalskega obdobja ali na podlagi samostojno določenega časa do izteka na datum izračuna).</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vključijo opis pristopa, ki ga uporabljajo za določanje obdobij likvidnosti.</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vključijo opis metodologije, uporabljene za doseganje ocene kapitala, ki je skladna z zahtevanimi standardi zanesljivosti.</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vključijo opis pristopa, ki ga uporabljajo za validacijo modelov.</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455(a)(iii) CRR vključujejo opis stresnega testiranja, ki se uporablja za parametre modeliranja (glavni scenariji, ki zajemajo značilnosti portfeljev, za katere se modeli celotne mere tveganja uporabljajo na ravni skupine).</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člena 455(a)(iv) CRR vključujejo opis pristopa, ki se uporablja za testiranje za nazaj ali validacijo točnosti in notranje doslednosti podatkov in parametrov, uporabljenih v notranjih modelih celotne mere tveganja in postopkih modeliranja.</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 xml:space="preserve">Institucije razkrite informacije v zvezi z notranjimi modeli za presežno tveganje neplačila in migracije ter za trgovalne portfelje s korelacijo dopolnijo z informacijami iz člena 455(f) o tehtanem povprečju obdobja likvidnosti za </w:t>
            </w:r>
            <w:proofErr w:type="spellStart"/>
            <w:r>
              <w:rPr>
                <w:rFonts w:ascii="Times New Roman" w:hAnsi="Times New Roman"/>
                <w:sz w:val="24"/>
              </w:rPr>
              <w:t>podportfelje</w:t>
            </w:r>
            <w:proofErr w:type="spellEnd"/>
            <w:r>
              <w:rPr>
                <w:rFonts w:ascii="Times New Roman" w:hAnsi="Times New Roman"/>
                <w:sz w:val="24"/>
              </w:rPr>
              <w:t xml:space="preserve"> skladno z opisom v vrsticah (B)(a) in (d) ter (C)(a) in (d) razpredelnice EU 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Predloga EU MR2-A – Tržno tveganje na podlagi pristopa notranjih modelov (IMA).</w:t>
      </w:r>
      <w:r>
        <w:rPr>
          <w:rFonts w:ascii="Times New Roman" w:hAnsi="Times New Roman"/>
          <w:color w:val="auto"/>
          <w:sz w:val="24"/>
        </w:rPr>
        <w:t xml:space="preserve"> Fiksna oblika.</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Institucije razkrijejo informacije iz člena 455(e) CRR ob upoštevanju navodil iz te priloge za izpolnjevanje predloge EU MR2-A iz Priloge XXIX k tej izvedbeni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Številka vrstice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VaR</w:t>
            </w:r>
            <w:proofErr w:type="spellEnd"/>
            <w:r>
              <w:rPr>
                <w:rFonts w:ascii="Times New Roman" w:hAnsi="Times New Roman"/>
                <w:sz w:val="24"/>
              </w:rPr>
              <w:t xml:space="preserve"> (višja izmed vrednosti a in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proofErr w:type="spellStart"/>
            <w:r>
              <w:rPr>
                <w:rFonts w:ascii="Times New Roman" w:hAnsi="Times New Roman"/>
                <w:i/>
                <w:sz w:val="24"/>
              </w:rPr>
              <w:t>VaR</w:t>
            </w:r>
            <w:proofErr w:type="spellEnd"/>
            <w:r>
              <w:rPr>
                <w:rFonts w:ascii="Times New Roman" w:hAnsi="Times New Roman"/>
                <w:i/>
                <w:sz w:val="24"/>
              </w:rPr>
              <w:t xml:space="preserve"> prejšnjega dne (</w:t>
            </w:r>
            <w:proofErr w:type="spellStart"/>
            <w:r>
              <w:rPr>
                <w:rFonts w:ascii="Times New Roman" w:hAnsi="Times New Roman"/>
                <w:i/>
                <w:sz w:val="24"/>
              </w:rPr>
              <w:t>VaRt</w:t>
            </w:r>
            <w:proofErr w:type="spellEnd"/>
            <w:r>
              <w:rPr>
                <w:rFonts w:ascii="Times New Roman" w:hAnsi="Times New Roman"/>
                <w:i/>
                <w:sz w:val="24"/>
              </w:rPr>
              <w: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Tvegana vrednost iz prejšnjega dne (VaR</w:t>
            </w:r>
            <w:r>
              <w:rPr>
                <w:rFonts w:ascii="Times New Roman" w:hAnsi="Times New Roman"/>
                <w:sz w:val="24"/>
                <w:vertAlign w:val="subscript"/>
              </w:rPr>
              <w:t>t-1</w:t>
            </w:r>
            <w:r>
              <w:rPr>
                <w:rFonts w:ascii="Times New Roman" w:hAnsi="Times New Roman"/>
                <w:sz w:val="24"/>
              </w:rPr>
              <w:t>), izračunana v skladu s členom 365(1) CRR.</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Multiplikator (m</w:t>
            </w:r>
            <w:r>
              <w:rPr>
                <w:rFonts w:ascii="Times New Roman" w:hAnsi="Times New Roman"/>
                <w:i/>
                <w:sz w:val="24"/>
                <w:vertAlign w:val="subscript"/>
              </w:rPr>
              <w:t>c</w:t>
            </w:r>
            <w:r>
              <w:rPr>
                <w:rFonts w:ascii="Times New Roman" w:hAnsi="Times New Roman"/>
                <w:i/>
                <w:sz w:val="24"/>
              </w:rPr>
              <w:t>) x povprečje za preteklih 60 delovnih dni (</w:t>
            </w:r>
            <w:proofErr w:type="spellStart"/>
            <w:r>
              <w:rPr>
                <w:rFonts w:ascii="Times New Roman" w:hAnsi="Times New Roman"/>
                <w:i/>
                <w:sz w:val="24"/>
              </w:rPr>
              <w:t>VaR</w:t>
            </w:r>
            <w:r>
              <w:rPr>
                <w:rFonts w:ascii="Times New Roman" w:hAnsi="Times New Roman"/>
                <w:i/>
                <w:sz w:val="24"/>
                <w:vertAlign w:val="subscript"/>
              </w:rPr>
              <w:t>avg</w:t>
            </w:r>
            <w:proofErr w:type="spellEnd"/>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Povprečje dnevnih tveganih vrednosti, izračunanih v skladu s členom 365(1) CRR za vsakega od prejšnjih 60 delovnih dni (</w:t>
            </w:r>
            <w:proofErr w:type="spellStart"/>
            <w:r>
              <w:rPr>
                <w:rFonts w:ascii="Times New Roman" w:hAnsi="Times New Roman"/>
                <w:sz w:val="24"/>
              </w:rPr>
              <w:t>VaR</w:t>
            </w:r>
            <w:r>
              <w:rPr>
                <w:rFonts w:ascii="Times New Roman" w:hAnsi="Times New Roman"/>
                <w:sz w:val="24"/>
                <w:vertAlign w:val="subscript"/>
              </w:rPr>
              <w:t>avg</w:t>
            </w:r>
            <w:proofErr w:type="spellEnd"/>
            <w:r>
              <w:rPr>
                <w:rFonts w:ascii="Times New Roman" w:hAnsi="Times New Roman"/>
                <w:sz w:val="24"/>
              </w:rPr>
              <w:t>), pomnoženo z multiplikatorjem (m</w:t>
            </w:r>
            <w:r>
              <w:rPr>
                <w:rFonts w:ascii="Times New Roman" w:hAnsi="Times New Roman"/>
                <w:sz w:val="24"/>
                <w:vertAlign w:val="subscript"/>
              </w:rPr>
              <w:t>c</w:t>
            </w:r>
            <w:r>
              <w:rPr>
                <w:rFonts w:ascii="Times New Roman" w:hAnsi="Times New Roman"/>
                <w:sz w:val="24"/>
              </w:rPr>
              <w:t>) v skladu s členom 366 CRR.</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SVaR</w:t>
            </w:r>
            <w:proofErr w:type="spellEnd"/>
            <w:r>
              <w:rPr>
                <w:rFonts w:ascii="Times New Roman" w:hAnsi="Times New Roman"/>
                <w:sz w:val="24"/>
              </w:rPr>
              <w:t xml:space="preserve"> (višja izmed vrednosti a in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Zadnja razpoložljiva </w:t>
            </w:r>
            <w:proofErr w:type="spellStart"/>
            <w:r>
              <w:rPr>
                <w:rFonts w:ascii="Times New Roman" w:hAnsi="Times New Roman"/>
                <w:i/>
                <w:sz w:val="24"/>
              </w:rPr>
              <w:t>SVaR</w:t>
            </w:r>
            <w:proofErr w:type="spellEnd"/>
            <w:r>
              <w:rPr>
                <w:rFonts w:ascii="Times New Roman" w:hAnsi="Times New Roman"/>
                <w:i/>
                <w:sz w:val="24"/>
              </w:rPr>
              <w:t xml:space="preserve"> (SVaR</w:t>
            </w:r>
            <w:r>
              <w:rPr>
                <w:rFonts w:ascii="Times New Roman" w:hAnsi="Times New Roman"/>
                <w:i/>
                <w:sz w:val="24"/>
                <w:vertAlign w:val="subscript"/>
              </w:rPr>
              <w:t>t-1</w:t>
            </w:r>
            <w:r>
              <w:rPr>
                <w:rFonts w:ascii="Times New Roman" w:hAnsi="Times New Roman"/>
                <w:i/>
                <w:sz w:val="24"/>
              </w:rPr>
              <w:t>)</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Zadnja razpoložljiva stresna tvegana vrednost (sVaR</w:t>
            </w:r>
            <w:r>
              <w:rPr>
                <w:rFonts w:ascii="Times New Roman" w:hAnsi="Times New Roman"/>
                <w:sz w:val="24"/>
                <w:vertAlign w:val="subscript"/>
              </w:rPr>
              <w:t>t-1</w:t>
            </w:r>
            <w:r>
              <w:rPr>
                <w:rFonts w:ascii="Times New Roman" w:hAnsi="Times New Roman"/>
                <w:sz w:val="24"/>
              </w:rPr>
              <w:t>), izračunana v skladu s členom 365(2) CRR.</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Multiplikator (m</w:t>
            </w:r>
            <w:r>
              <w:rPr>
                <w:rFonts w:ascii="Times New Roman" w:hAnsi="Times New Roman"/>
                <w:i/>
                <w:sz w:val="24"/>
                <w:vertAlign w:val="subscript"/>
              </w:rPr>
              <w:t>s</w:t>
            </w:r>
            <w:r>
              <w:rPr>
                <w:rFonts w:ascii="Times New Roman" w:hAnsi="Times New Roman"/>
                <w:i/>
                <w:sz w:val="24"/>
              </w:rPr>
              <w:t>) x povprečje za preteklih 60 delovnih dni (</w:t>
            </w:r>
            <w:proofErr w:type="spellStart"/>
            <w:r>
              <w:rPr>
                <w:rFonts w:ascii="Times New Roman" w:hAnsi="Times New Roman"/>
                <w:i/>
                <w:sz w:val="24"/>
              </w:rPr>
              <w:t>SVaR</w:t>
            </w:r>
            <w:r>
              <w:rPr>
                <w:rFonts w:ascii="Times New Roman" w:hAnsi="Times New Roman"/>
                <w:i/>
                <w:sz w:val="24"/>
                <w:vertAlign w:val="subscript"/>
              </w:rPr>
              <w:t>avg</w:t>
            </w:r>
            <w:proofErr w:type="spellEnd"/>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Povprečje stresnih tveganih vrednosti, izračunanih na način in v skladu s pogostostjo iz člena 365(2) CRR, za predhodnih 60 delovnih dnevih (</w:t>
            </w:r>
            <w:proofErr w:type="spellStart"/>
            <w:r>
              <w:rPr>
                <w:rFonts w:ascii="Times New Roman" w:hAnsi="Times New Roman"/>
                <w:sz w:val="24"/>
              </w:rPr>
              <w:t>sVaR</w:t>
            </w:r>
            <w:r>
              <w:rPr>
                <w:rFonts w:ascii="Times New Roman" w:hAnsi="Times New Roman"/>
                <w:sz w:val="24"/>
                <w:vertAlign w:val="subscript"/>
              </w:rPr>
              <w:t>avg</w:t>
            </w:r>
            <w:proofErr w:type="spellEnd"/>
            <w:r>
              <w:rPr>
                <w:rFonts w:ascii="Times New Roman" w:hAnsi="Times New Roman"/>
                <w:sz w:val="24"/>
              </w:rPr>
              <w:t>), pomnoženo z multiplikatorjem (m</w:t>
            </w:r>
            <w:r>
              <w:rPr>
                <w:rFonts w:ascii="Times New Roman" w:hAnsi="Times New Roman"/>
                <w:sz w:val="24"/>
                <w:vertAlign w:val="subscript"/>
              </w:rPr>
              <w:t>s</w:t>
            </w:r>
            <w:r>
              <w:rPr>
                <w:rFonts w:ascii="Times New Roman" w:hAnsi="Times New Roman"/>
                <w:sz w:val="24"/>
              </w:rPr>
              <w:t>) v skladu s členom 366 CRR.</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(višja izmed vrednosti a in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Zadnja vrednost IRC</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Zadnja vrednost tveganja za presežno tveganje neplačila in migracije, izračunana v skladu z oddelkom 3 poglavja 5 naslova IV dela 3 CRR.</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12-tedensko povprečje IRC</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Povprečje vrednosti tveganja za presežno tveganje neplačila in migracije, izračunane v skladu z oddelkom 3 poglavja 5 naslova IV dela 3 CRR, v predhodnih 12 tednih.</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 xml:space="preserve">Celotna mera tveganja </w:t>
            </w:r>
            <w:r>
              <w:rPr>
                <w:rFonts w:ascii="Times New Roman" w:hAnsi="Times New Roman"/>
                <w:sz w:val="24"/>
              </w:rPr>
              <w:t>(višja izmed vrednosti a, b in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Zadnja vrednost celotne mere tveganja</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Zadnja vrednost tveganja za trgovalni portfelj s korelacijo, izračunana v skladu z oddelkom 5 poglavja 5 naslova IV dela 3 CRR.</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12-tedensko povprečje celotne mere tveganja</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Povprečje vrednosti tveganja za trgovalni portfelj s korelacijo, izračunane v skladu z oddelkom 5 poglavja 5 naslova IV dela 3 CRR, v predhodnih 12 tednih.</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Celotna mera tveganja – spodnja meja</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8 % kapitalske zahteve, ki bi bila v času izračuna zadnje vrednosti tveganja iz vrstice (a) te predloge izračunana v skladu s členom 338(4) </w:t>
            </w:r>
            <w:r>
              <w:rPr>
                <w:rFonts w:ascii="Times New Roman" w:hAnsi="Times New Roman"/>
                <w:sz w:val="24"/>
              </w:rPr>
              <w:lastRenderedPageBreak/>
              <w:t>CRR, za vse tiste pozicije, ki so vključene v notranji model za trgovalni portfelj s korelacijo.</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Drugo</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„Drugo“ se nanaša na dodatne kapitalske zahteve, ki jih zahtevajo nadzorniki za institucije, ki za tržno tveganje uporabljajo pristop notranjih modelov (npr. dodatni kapital v skladu s členom 101 Direktive 2013/36/EU).</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Skupaj</w:t>
            </w:r>
            <w:r>
              <w:rPr>
                <w:rFonts w:ascii="Times New Roman" w:hAnsi="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Črka stolpca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Razkritje tveganju prilagojenih izpostavljenosti iz člena 438(d) CRR, izračunanih kot vrednost v stolpcu b, pomnožena z 12,5 v skladu s členom 92(4)(b) CRR.</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Kapitalske zahteve</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Kapitalske zahteve za tržno tveganje, kot so določene v poglavju 5 naslova IV dela 3 CRR, v skladu z navodili v vrsticah 1 do 4 zgoraj.</w:t>
            </w:r>
          </w:p>
        </w:tc>
      </w:tr>
    </w:tbl>
    <w:p w14:paraId="5FDCA595" w14:textId="77777777" w:rsidR="00203C1C" w:rsidRPr="0081737A"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Predloga EU MR2-B – Izkazi tokov RWEA pri izpostavljenostih tržnemu tveganju v okviru IMA.</w:t>
      </w:r>
      <w:r>
        <w:rPr>
          <w:rFonts w:ascii="Times New Roman" w:hAnsi="Times New Roman"/>
          <w:color w:val="auto"/>
          <w:sz w:val="24"/>
        </w:rPr>
        <w:t xml:space="preserve"> Fiksna oblika.</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Institucije razkrijejo informacije iz člena 438(h) CRR ob upoštevanju navodil iz te priloge za izpolnjevanje predloge EU MR2-B iz Priloge XXIX k tej izvedbeni uredbi.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razkrijejo tokove RWEA kot razlike med zneski tveganju prilagojenih izpostavljenosti na koncu referenčnega obdobja razkritja (kot je določeno spodaj v vrstici 8) in zneski tveganju prilagojenih izpostavljenosti na koncu prejšnjega referenčnega obdobja razkritja (kot je določeno spodaj v vrstici 1;</w:t>
      </w:r>
      <w:r>
        <w:rPr>
          <w:rFonts w:ascii="Times New Roman" w:hAnsi="Times New Roman"/>
          <w:bCs w:val="0"/>
          <w:color w:val="auto"/>
          <w:sz w:val="24"/>
        </w:rPr>
        <w:t xml:space="preserve"> v primeru četrtletnih razkritij, se razkrije sprememba glede na konec četrtletja pred četrtletjem, v katerem je referenčno obdobje razkritja). Institucije lahko dopolnijo razkritja v okviru stebra 3 z razkritjem istih informacij za prejšnja tri četrtletja.</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v besedilu, priloženem predlogi, pojasnijo številke, razkrite v vrstici 8 te predloge, tj. vse druge dejavnike, ki znatno prispevajo k razlikam v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064"/>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Številka vrstice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na koncu prejšnjega obdobja</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Zneski tveganju prilagojenih izpostavljenosti na koncu prejšnjega obdobja, ki se izpeljejo iz vsote kapitalskih zahtev v skladu s členom 364 CRR z izjemo člena 364(2)(a) CRR in dodatnega kapitala, ki ga zahtevajo nadzorniki za institucije, ki za tržno tveganje uporabljajo pristop notranjih modelov, pomnožene z 12,5 v skladu s členom 92(4)(b) CRR.</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Spremembe stopenj tveganja</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Spremembe zaradi sprememb pozicij razen tistih, ki so posledica spremenjene regulativne politike.</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Sprememba modela</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Znatne posodobitve modela, da se upoštevajo nedavne izkušnje (npr. ponovno umerjanje), kot tudi znatne spremembe obsega modela. V primeru več kot ene posodobitve modela bodo morda potrebne dodatne vrstice.</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Metodologija in politika</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Spremembe metodologije pri izračunih, ki so posledica sprememb regulativne politike.</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Pridobitve in odtujitve</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Spremembe zaradi pridobitve ali odtujitve poslovnega področja/skupine produktov ali subjektov.</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Spremembe deviznih tečajev</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Spremembe, ki izhajajo iz sprememb pri pretvorbi v/iz tuje valute.</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Drugo</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Ta kategorija se uporabi za spremembe, ki se ne morejo pripisati nobenih kategoriji vzrokov iz vrstic 2 do 6 te predloge, v priloženem besedilu pa je treba zagotoviti pojasnila v zvezi z vzroki za te spremembe.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na koncu obdobja razkritja</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Zneski tveganju prilagojenih izpostavljenosti na koncu obdobja, ki se izpeljejo iz vsote kapitalskih zahtev v skladu s členom 364 CRR z izjemo člena 364(2)(a) CRR in dodatnega kapitala, ki ga zahtevajo </w:t>
            </w:r>
            <w:r>
              <w:rPr>
                <w:rFonts w:ascii="Times New Roman" w:hAnsi="Times New Roman"/>
                <w:sz w:val="24"/>
              </w:rPr>
              <w:lastRenderedPageBreak/>
              <w:t>nadzorniki za institucije, ki za tržno tveganje uporabljajo pristop notranjih modelov, pomnožene z 12,5 v skladu s členom 92(4)(b) CRR.</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lastRenderedPageBreak/>
              <w:t>1a/1b/8a/8b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Vrstice 1a/1b in 8a/8b se uporabijo, kadar je RWEA/kapitalska zahteva za katerega koli izmed stolpcev a do d te predloge 60‑dnevna povprečna (za </w:t>
            </w:r>
            <w:proofErr w:type="spellStart"/>
            <w:r>
              <w:rPr>
                <w:rFonts w:ascii="Times New Roman" w:hAnsi="Times New Roman"/>
                <w:sz w:val="24"/>
              </w:rPr>
              <w:t>VaR</w:t>
            </w:r>
            <w:proofErr w:type="spellEnd"/>
            <w:r>
              <w:rPr>
                <w:rFonts w:ascii="Times New Roman" w:hAnsi="Times New Roman"/>
                <w:sz w:val="24"/>
              </w:rPr>
              <w:t xml:space="preserve"> in </w:t>
            </w:r>
            <w:proofErr w:type="spellStart"/>
            <w:r>
              <w:rPr>
                <w:rFonts w:ascii="Times New Roman" w:hAnsi="Times New Roman"/>
                <w:sz w:val="24"/>
              </w:rPr>
              <w:t>SVaR</w:t>
            </w:r>
            <w:proofErr w:type="spellEnd"/>
            <w:r>
              <w:rPr>
                <w:rFonts w:ascii="Times New Roman" w:hAnsi="Times New Roman"/>
                <w:sz w:val="24"/>
              </w:rPr>
              <w:t>) ali 12‑tedenska povprečna mera ali mera pragu (za IRC in celotno mero tveganja) in ne RWEA/kapitalska zahteva na koncu obdobja (prejšnjega ali obdobja razkritja) v skladu s členom 364(1)(a)(i) in (b)(i), členom 364(2)(b)(i) in členom 364(3)(a) CRR. Znesek v dodatnih vrsticah 1a in 8b je razlika med končnim izpeljanim RWEA za povprečne mere, kot je razkrit v vrstici 1 ali 8 te predloge, in merami, izpeljanimi neposredno iz modelov v vrsticah 1b/8a te predloge. V teh primerih dodatne vrstice za regulativne prilagoditve (vrstici 1a in 8b te predloge) zagotavljajo, da lahko institucija vir sprememb RWEA/kapitalske zahteve na podlagi zadnjega izmerjenega RWEA/kapitalske zahteve na koncu obdobja (prejšnjega ali obdobja razkritja) navede v vrsticah 1b in 8a te predloge. V tem primeru vrstice 2, 3, 4, 5, 6, 7 usklajujejo vrednosti v vrstici 1b in 8a</w:t>
            </w:r>
            <w:r>
              <w:rPr>
                <w:rStyle w:val="FootnoteReference"/>
                <w:rFonts w:ascii="Times New Roman" w:hAnsi="Times New Roman" w:cs="Times New Roman"/>
                <w:sz w:val="24"/>
                <w:szCs w:val="24"/>
              </w:rPr>
              <w:footnoteReference w:id="48"/>
            </w:r>
            <w:r>
              <w:rPr>
                <w:rFonts w:ascii="Times New Roman" w:hAnsi="Times New Roman"/>
                <w:sz w:val="24"/>
              </w:rPr>
              <w:t xml:space="preserve"> te predloge.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Črka stolpca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proofErr w:type="spellStart"/>
            <w:r>
              <w:rPr>
                <w:rFonts w:ascii="Times New Roman" w:hAnsi="Times New Roman"/>
                <w:i/>
                <w:sz w:val="24"/>
              </w:rPr>
              <w:t>VaR</w:t>
            </w:r>
            <w:proofErr w:type="spellEnd"/>
            <w:r>
              <w:rPr>
                <w:rFonts w:ascii="Times New Roman" w:hAnsi="Times New Roman"/>
                <w:sz w:val="24"/>
              </w:rPr>
              <w:t xml:space="preserve"> Ključni vzroki za spremembe v obdobju v skladu z vrsticami (2) do (7) te predloge (na podlagi razumne ocene) za RWEA po pristopu na podlagi tvegane vrednosti, ki izhajajo iz kapitalskih zahtev v skladu s členom 364(1)(a) CRR.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proofErr w:type="spellStart"/>
            <w:r>
              <w:rPr>
                <w:rFonts w:ascii="Times New Roman" w:hAnsi="Times New Roman"/>
                <w:i/>
                <w:sz w:val="24"/>
              </w:rPr>
              <w:t>SVaR</w:t>
            </w:r>
            <w:proofErr w:type="spellEnd"/>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Ključni vzroki za spremembe v obdobju v skladu z vrsticami (2) do (7) te predloge (na podlagi razumne ocene) za RWEA po pristopu na podlagi stresne tvegane vrednosti, ki izhajajo iz kapitalskih zahtev v skladu s členom 364(1)(b) CRR in dodatnega kapitala, ki ga zahtevajo nadzorniki.</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Ključni vzroki za spremembe v obdobju v skladu z vrsticami (2) do (7) te predloge (na podlagi razumne ocene) za RWEA po pristopu na podlagi presežnega tveganja neplačila in migracije, ki izhajajo iz kapitalskih zahtev v skladu s členom 364(2)(b) CRR in dodatnega kapitala, ki ga zahtevajo nadzorniki.</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Celotna mera tveganja</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Ključni vzroki za spremembe v obdobju v skladu z vrsticami (2) do (7) te predloge (na podlagi razumne ocene) za RWEA po pristopu na podlagi trgovalnega portfelja s korelacijo, ki izhajajo iz kapitalskih zahtev v skladu s členom 364(3) CRR in dodatnega kapitala, ki ga zahtevajo nadzorniki.</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Drugo</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Ključni vzroki za spremembe v obdobju v skladu z vrsticami (2) do (7) te predloge za RWEA na podlagi pristopov, ki niso razkriti v stolpcih (a) do (d).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Skupaj RWEA (</w:t>
            </w:r>
            <w:proofErr w:type="spellStart"/>
            <w:r>
              <w:rPr>
                <w:rFonts w:ascii="Times New Roman" w:hAnsi="Times New Roman"/>
                <w:sz w:val="24"/>
              </w:rPr>
              <w:t>a+b+c+d+e</w:t>
            </w:r>
            <w:proofErr w:type="spellEnd"/>
            <w:r>
              <w:rPr>
                <w:rFonts w:ascii="Times New Roman" w:hAnsi="Times New Roman"/>
                <w:sz w:val="24"/>
              </w:rPr>
              <w:t>)</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Skupne kapitalske zahteve (f x 8 %)</w:t>
            </w:r>
          </w:p>
        </w:tc>
      </w:tr>
    </w:tbl>
    <w:p w14:paraId="77BEF27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Predloga EU MR3 – Vrednosti po IMA za trgovalne portfelje.</w:t>
      </w:r>
      <w:r>
        <w:rPr>
          <w:rFonts w:ascii="Times New Roman" w:hAnsi="Times New Roman"/>
          <w:color w:val="auto"/>
          <w:sz w:val="24"/>
        </w:rPr>
        <w:t xml:space="preserve"> Fiksna oblika.</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razkrijejo informacije iz člena 455(d) CRR ob upoštevanju navodil iz te priloge za izpolnjevanje predloge EU MR3 iz Priloge XXIX k tej izvedbeni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Številka vrstice</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VaR</w:t>
            </w:r>
            <w:proofErr w:type="spellEnd"/>
            <w:r>
              <w:rPr>
                <w:rFonts w:ascii="Times New Roman" w:hAnsi="Times New Roman"/>
                <w:b/>
                <w:i/>
                <w:sz w:val="24"/>
              </w:rPr>
              <w:t xml:space="preserve"> (10 dni in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Tvegana vrednost v skladu s členom 365(1) CRR.</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Zneski ne vključujejo dodatnih kapitalskih zahtev na podlagi nadzornikove odločitve (na primer v zvezi z multiplikatorjem).</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 do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Najvišja/najnižja/aritmetična sredina dnevnih tveganih vrednosti v obdobju in dnevna tvegana vrednost na koncu obdobja.</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SVaR</w:t>
            </w:r>
            <w:proofErr w:type="spellEnd"/>
            <w:r>
              <w:rPr>
                <w:rFonts w:ascii="Times New Roman" w:hAnsi="Times New Roman"/>
                <w:b/>
                <w:i/>
                <w:sz w:val="24"/>
              </w:rPr>
              <w:t xml:space="preserve"> (10 dni in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Stresna tvegana vrednost v skladu s členom 365(2) CRR.</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Zneski ne vključujejo dodatnih kapitalskih zahtev na podlagi nadzornikove odločitve (multiplikator).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 do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Najvišja/najnižja/aritmetična sredina dnevnih stresnih tveganih vrednosti v obdobju in dnevna tvegana vrednost na koncu obdobja.</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Vrednost presežnega tveganja neplačila in migracije v skladu z oddelkom 3 poglavja 5 naslova IV dela 3 CRR.</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Zneski ne vključujejo dodatnih kapitalskih zahtev na podlagi nadzornikove odločitve (multiplikator).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do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Najvišja/najnižja/aritmetična sredina vrednosti IRC v obdobju in dnevna tvegana vrednost na koncu obdobja.</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Celotna mera tveganja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Vrednost trgovalnih portfeljev s korelacijo v skladu z oddelkom 5 poglavja 5 naslova IV dela 3 CRR.</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 do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Najvišja/najnižja/aritmetična sredina vrednosti trgovalnih portfeljev s korelacijo v obdobju in dnevna tvegana vrednost na koncu obdobja.</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Črka stolpca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Najvišja/najnižja/aritmetična sredina vrednosti v obdobju razkritja in vrednosti na koncu obdobja, ki ustrezajo vrsticam (1) do (16) te predloge.</w:t>
            </w:r>
          </w:p>
        </w:tc>
      </w:tr>
    </w:tbl>
    <w:p w14:paraId="0A2D8EA1" w14:textId="77777777" w:rsidR="00203C1C" w:rsidRPr="0081737A"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Predloga EU MR4 – Primerjava približkov </w:t>
      </w:r>
      <w:proofErr w:type="spellStart"/>
      <w:r>
        <w:rPr>
          <w:rFonts w:ascii="Times New Roman" w:hAnsi="Times New Roman"/>
          <w:b/>
          <w:color w:val="auto"/>
          <w:sz w:val="24"/>
        </w:rPr>
        <w:t>VaR</w:t>
      </w:r>
      <w:proofErr w:type="spellEnd"/>
      <w:r>
        <w:rPr>
          <w:rFonts w:ascii="Times New Roman" w:hAnsi="Times New Roman"/>
          <w:b/>
          <w:color w:val="auto"/>
          <w:sz w:val="24"/>
        </w:rPr>
        <w:t xml:space="preserve"> z dobički/izgubami. Prilagodljiva predloga.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Institucije v zvezi z informacijami iz člena 455(g) CRR razkrijejo graf iz Priloge XXIX k tej izvedbeni uredbi, vključno z informacijami iz te razpredelnice.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podlaga in navodila</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Pojasnilo</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Informacije iz člena 455(g) CRR vključujejo vrednost mere tveganja, ki se uporablja za regulativne namene v skladu s členom 365(1) CRR, umerjene na enodnevno obdobje posedovanja, da se primerja s trgovalnimi rezultati institucije z 99‑odstotno stopnjo zaupanja.</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Institucije predstavijo analizo „odstopanj“ (izjeme pri testiranju za nazaj v skladu s členom 366 CRR) v rezultatih testiranja za nazaj in navedejo datume ter zadevni presežek (</w:t>
            </w:r>
            <w:proofErr w:type="spellStart"/>
            <w:r>
              <w:rPr>
                <w:rFonts w:ascii="Times New Roman" w:hAnsi="Times New Roman"/>
              </w:rPr>
              <w:t>VaR</w:t>
            </w:r>
            <w:proofErr w:type="spellEnd"/>
            <w:r>
              <w:rPr>
                <w:rFonts w:ascii="Times New Roman" w:hAnsi="Times New Roman"/>
              </w:rPr>
              <w:t xml:space="preserve">–poslovni izid). V analizi morajo biti navedeni vsaj ključni vzroki za izjeme.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Institucije razkrijejo podobne primerjave za dejanski poslovni izid in hipotetični poslovni izid (tj. na podlagi hipotetičnih sprememb vrednosti </w:t>
            </w:r>
            <w:r>
              <w:rPr>
                <w:rFonts w:ascii="Times New Roman" w:hAnsi="Times New Roman"/>
              </w:rPr>
              <w:lastRenderedPageBreak/>
              <w:t xml:space="preserve">portfeljev, do katerih bi prišlo, če bi pozicije ob koncu dneva ostale nespremenjene) v skladu s členom 366 CRR.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Institucije te informacije dopolnijo z informacijami o dejanskih dobičkih/izgubah, zlasti da pojasnijo, ali vključujejo rezerve in, če ne, kako so rezerve vključene v postopke testiranja za nazaj. </w:t>
            </w:r>
          </w:p>
        </w:tc>
      </w:tr>
    </w:tbl>
    <w:p w14:paraId="191D0407" w14:textId="77777777" w:rsidR="00203C1C" w:rsidRPr="0081737A"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PRILOGA XXXII – Navodila za predloge za razkritje operativnega tveganja</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Razpredelnica EU ORA – Kvalitativne informacije o operativnem tveganju. </w:t>
      </w:r>
      <w:r>
        <w:rPr>
          <w:rFonts w:ascii="Times New Roman" w:hAnsi="Times New Roman"/>
          <w:bCs/>
          <w:sz w:val="24"/>
        </w:rPr>
        <w:t>Prilagodljiva razpredelnica.</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Institucije razkrijejo informacije iz te razpredelnice v skladu s členom 435(1) ter členoma 446 in 454 Uredbe (EU) št. 575/2013</w:t>
      </w:r>
      <w:r>
        <w:rPr>
          <w:rStyle w:val="FootnoteReference"/>
          <w:rFonts w:ascii="Times New Roman" w:hAnsi="Times New Roman"/>
          <w:bCs/>
          <w:sz w:val="24"/>
        </w:rPr>
        <w:footnoteReference w:id="49"/>
      </w:r>
      <w:r>
        <w:rPr>
          <w:rFonts w:ascii="Times New Roman" w:hAnsi="Times New Roman"/>
          <w:bCs/>
          <w:sz w:val="24"/>
        </w:rPr>
        <w:t xml:space="preserve"> (CRR).</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Institucije upoštevajo navodila iz te priloge za izpolnjevanje razpredelnice z razkritji o operativnem tveganju EU ORA iz Priloge XXXI k tej izvedbeni uredbi.</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Pravna podlaga in navodila</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Številka vrstice</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Pojasnilo</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Razkritje ciljev in politik upravljanja tveganj</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Institucije v skladu s členom 435(1) CRR razkrijejo cilje in politike upravljanja operativnega tveganja, kar vključuje:</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strategije in procese,</w:t>
            </w:r>
            <w:r>
              <w:t xml:space="preserve"> </w:t>
            </w:r>
            <w:r>
              <w:br/>
            </w:r>
            <w:r>
              <w:rPr>
                <w:rFonts w:ascii="Times New Roman" w:hAnsi="Times New Roman"/>
                <w:color w:val="000000"/>
                <w:sz w:val="24"/>
              </w:rPr>
              <w:t>– strukturo in organizacijo funkcije upravljanja tveganj, pristojne za operativno tveganje,</w:t>
            </w:r>
            <w:r>
              <w:t xml:space="preserve"> </w:t>
            </w:r>
            <w:r>
              <w:br/>
            </w:r>
            <w:r>
              <w:rPr>
                <w:rFonts w:ascii="Times New Roman" w:hAnsi="Times New Roman"/>
                <w:color w:val="000000"/>
                <w:sz w:val="24"/>
              </w:rPr>
              <w:t>– merjenje tveganj in nadzor na tveganji,</w:t>
            </w:r>
            <w:r>
              <w:t xml:space="preserve"> </w:t>
            </w:r>
            <w:r>
              <w:br/>
            </w:r>
            <w:r>
              <w:rPr>
                <w:rFonts w:ascii="Times New Roman" w:hAnsi="Times New Roman"/>
                <w:color w:val="000000"/>
                <w:sz w:val="24"/>
              </w:rPr>
              <w:t>– poročanje o operativnem tveganju,</w:t>
            </w:r>
            <w:r>
              <w:t xml:space="preserve"> </w:t>
            </w:r>
            <w:r>
              <w:br/>
            </w:r>
            <w:r>
              <w:rPr>
                <w:rFonts w:ascii="Times New Roman" w:hAnsi="Times New Roman"/>
                <w:color w:val="000000"/>
                <w:sz w:val="24"/>
              </w:rPr>
              <w:t>– politike za varovanje pred operativnim tveganjem in njegovo zmanjševanje.</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Razkritje pristopov za oceno minimalnih kapitalskih zahtev</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Institucije zagotovijo opis metod, ki se uporabljajo za izračun kapitalskih zahtev za operativno tveganje, in metod za odkrivanje, ocenjevanje in upravljanje operativnega tveganja.</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V primeru delne uporabe metodologij institucije razkrijejo, kaj različne uporabljene metodologije obsegajo in zajemajo.</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 xml:space="preserve">Opis metodologije AMA, ki se uporablja </w:t>
            </w:r>
            <w:r>
              <w:rPr>
                <w:rFonts w:ascii="Times New Roman" w:hAnsi="Times New Roman"/>
                <w:color w:val="000000"/>
                <w:sz w:val="24"/>
              </w:rPr>
              <w:t>(če je relevantno)</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Institucije, ki razkrivajo informacije o operativnem tveganju v skladu s členom 312(2) CRR, razkrijejo opis uporabljene metodologije, vključno z opisom standardov v zvezi z zunanjimi in notranjimi podatki iz člena 322(3) in (4) CRR.</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Razkritje uporabe zavarovanja za zmanjševanje tveganja v naprednem pristopu za merjenje</w:t>
            </w:r>
            <w:r>
              <w:rPr>
                <w:rFonts w:ascii="Times New Roman" w:hAnsi="Times New Roman"/>
                <w:color w:val="000000"/>
                <w:sz w:val="24"/>
              </w:rPr>
              <w:t xml:space="preserve"> (če je relevantno)</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Institucije morajo zagotoviti informacije o uporabi zavarovanj in drugih mehanizmov za prenos tveganja za zmanjševanje operativnega tveganja, </w:t>
            </w:r>
            <w:r>
              <w:rPr>
                <w:rFonts w:ascii="Times New Roman" w:hAnsi="Times New Roman"/>
                <w:color w:val="000000"/>
                <w:sz w:val="24"/>
              </w:rPr>
              <w:lastRenderedPageBreak/>
              <w:t>kadar uporabljajo napredne pristope za merjenje v skladu s členom 454 CRR.</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Predloga EU OR1 – Kapitalske zahteve in zneski tveganju prilagojenih izpostavljenosti za operativno tveganje. </w:t>
      </w:r>
      <w:r>
        <w:rPr>
          <w:rFonts w:ascii="Times New Roman" w:hAnsi="Times New Roman"/>
          <w:bCs/>
          <w:sz w:val="24"/>
        </w:rPr>
        <w:t>Fiksna predloga.</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Institucije razkrijejo informacije iz členov 446 in 454 CRR ob upoštevanju navodil iz te priloge za izpolnjevanje predloge za razkritja o operativnem tveganju EU OR1 iz Priloge XXXI k tej izvedbeni uredbi. Ta predloga zagotavlja informacije o izračunu kapitalskih zahtev v skladu s členi 312 do 324 CRR (za operativno tveganje v okviru enostavnega pristopa (BIA), standardiziranega pristopa (TSA), alternativnega standardiziranega pristopa (ASA) in naprednih pristopov za merjenje (AMA)) naslova III dela 3 CRR. </w:t>
      </w:r>
    </w:p>
    <w:p w14:paraId="6EF02617" w14:textId="77777777" w:rsidR="00FA02BC" w:rsidRPr="007F4CC8" w:rsidRDefault="00FA02BC" w:rsidP="00FA02BC">
      <w:pPr>
        <w:pStyle w:val="InstructionsText2"/>
        <w:numPr>
          <w:ilvl w:val="0"/>
          <w:numId w:val="19"/>
        </w:numPr>
        <w:spacing w:after="120"/>
      </w:pPr>
      <w:r>
        <w:t>Institucije, ki uporabljajo BIA, TSA in/ali ASA, v besedilu, priloženem predlogi, navedejo, ali informacije s konca poslovnega leta, ki jih uporabljajo za izračun kapitalskih zahtev: (a) temeljijo na revidiranih podatkih ali (b) temeljijo na ocenah poslovanja, če revidirani podatki niso na voljo. V drugem primeru institucije navedejo vse izredne okoliščine, ki so privedle so spremembe teh podatkov (npr. nedavne pridobitve ali odtujitve subjektov ali dejavnosti).</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Navodila za izpolnitev predloge za razkritja EU 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Relevantni kazalnik</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Izraz „relevantni kazalnik“ se nanaša na „vsoto elementov“ ob koncu poslovnega leta, določenih v razpredelnici 1 (za institucije, ki uporabljajo BIA) člena 316(1) CRR. Za institucije, ki uporabljajo TSA ali ASA je „relevantni kazalnik“ na koncu poslovnega leta, kot je opredeljen v členih 317 do 319 CRR.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Institucije, ki uporabljajo relevantni kazalnik za izračun kapitalske zahteve za operativno tveganje (BIA, TSA in ASA), razkrijejo relevantni kazalnik za zadevna leta v stolpcih a do c te predloge. Poleg tega v primeru kombinirane uporabe različnih pristopov iz člena 314 CRR institucije razkrijejo tudi relevantni kazalnik za dejavnosti, ki so predmet AMA. Banke, ki uporabljajo AMA, razkrijejo tudi relevantni kazalnik za dejavnosti, ki so predmet AMA.</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Če ima institucija na voljo podatke o „relevantnem kazalniku“ za manj kot tri leta, se ustrezni pretekli podatki (revidirani podatki) prednostno dodelijo ustreznim stolpcem v predlogi. Če so pretekli podatki na primer na voljo le za eno leto, se razkrijejo v stolpcu c te predloge. Če se zdi razumno, se ocene prihodnjega poslovanja nato vključijo v stolpec b (ocena naslednjega leta) in stolpec a (ocena leta +2) te predloge.</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lastRenderedPageBreak/>
              <w:t>Če pretekli podatki za „relevantni kazalnik“ niso na voljo, lahko institucija poleg tega razkrije ocene prihodnjega poslovanja, uporabljene za izračun kapitalskih zahtev.</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Kapitalske zahteve</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Kapitalske zahteve, izračunane v skladu z uporabljenim pristopom v skladu s členi 312 do 324 CRR. Izračunani znesek se razkrije v stolpcu d te predloge.</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Znesek izpostavljenosti tveganju</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Člen 92(3)(e) in člen 92(4) CRR. Kapitalske zahteve iz stolpca d te predloge, pomnožene z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Vrstica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Pojasnilo</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Bančne dejavnosti, ki so predmet enostavnega pristopa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V tej vrstici se navedejo zneski, ki ustrezajo dejavnostim, ki so predmet BIA za izračun kapitalskih zahtev za operativno tveganje (člena 315 in 316 CRR).</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Bančne dejavnosti, ki so predmet standardiziranega (TSA)/alternativnega standardiziranega (ASA) pristopa</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V tej vrstici se sporočijo kapitalske zahteve, izračunane v skladu s TSA in ASA (členi 317 do 320 CRR).</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Standardizirani pristop</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V primeru uporabe TSA, relevantni kazalnik za vsako zadevno leto vključuje vsa poslovna področja, opredeljena v razpredelnici 2 člena 317 CRR.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Alternativni standardizirani pristop</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Institucije, ki uporabljajo ASA (člen 319 CRR), razkrijejo relevantni kazalnik za zadevna leta.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Bančne dejavnosti, ki so predmet naprednih pristopov za merjenje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Razkrijejo se ustrezni podatki za institucije, ki uporabljajo AMA (člen 312(2) in členi 321 do 323 CRR).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V primeru kombinirane uporabe različnih pristopov v skladu s členom 314 CRR se razkrijejo informacije o relevantnem kazalniku za dejavnosti, ki so predmet AMA. Banke, ki uporabljajo AMA, razkrijejo tudi relevantni kazalnik za dejavnosti, ki so predmet AMA.</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PRILOGA XXXIV – Navodila za predloge za razkritje politike prejemkov</w:t>
      </w:r>
    </w:p>
    <w:p w14:paraId="4E85F73C" w14:textId="77777777" w:rsidR="009360C9" w:rsidRPr="0081737A" w:rsidRDefault="009360C9" w:rsidP="009360C9">
      <w:pPr>
        <w:pStyle w:val="Titlelevel2"/>
        <w:spacing w:before="120" w:after="120"/>
        <w:rPr>
          <w:rFonts w:ascii="Times New Roman" w:hAnsi="Times New Roman"/>
          <w:b/>
          <w:color w:val="auto"/>
          <w:sz w:val="22"/>
          <w:lang w:val="it-IT"/>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Razpredelnica EU REMA – Politika prejemkov. </w:t>
      </w:r>
      <w:r>
        <w:rPr>
          <w:rFonts w:ascii="Times New Roman" w:hAnsi="Times New Roman"/>
          <w:color w:val="auto"/>
          <w:sz w:val="24"/>
        </w:rPr>
        <w:t>Prilagodljiva oblika.</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razkrijejo informacije iz člena 450(1)(a), (b), (c), (d), (e), (f), (j) in (k) ter 450(2) 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ob upoštevanju navodil iz te priloge za izpolnjevanje razpredelnice EU REMA iz Priloge XXXIII k tej izvedbeni uredbi.</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Ta razpredelnica ima prilagodljivo obliko. Če institucije uporabijo drugačno obliko, zagotovijo informacije, primerljive z informacijami, ki se zahtevajo v tej razpredelnici, na podobni ravni razdrobljenosti in ki vključujejo vse zahtevane vsebinske informacije.</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Za namene te razpredelnice in predlog iz te priloge „dodeliti“ pomeni odobriti variabilne prejemke za specifično obračunsko obdobje neodvisno od dejanskega trenutka, v katerem se dodeljeni znesek izplača.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podlaga in navodila</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Informacije v zvezi z organi za nadzor prejemkov. Razkritja vključujejo:</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naziv, sestavo in mandat glavnega organa (upravljalnega organa in komisije za prejemke, kjer obstaja), ki nadzirajo politiko prejemkov, in število sestankov, ki jih je imel ta glavni organ v poslovnem letu,</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zunanje svetovalce, ki so se najeli za svetovanje, organ, ki jih je najel, in na katerih področjih okvira za prejemke,</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opis obsega uporabe politike prejemkov institucije (npr. po regijah, poslovnih področjih), vključno z obsegom, v katerem se uporablja za podrejene družbe in podružnice v tretjih državah,</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opis zaposlenih ali kategorij zaposlenih, katerih poklicne dejavnosti pomembno vplivajo na profil tveganosti institucije.</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Informacije v zvezi z zasnovo in strukturo sistema prejemkov za zaposlene, katerih poklicne dejavnosti pomembno vplivajo na profil tveganosti institucije. Razkritja vključujejo:</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pregled ključnih lastnosti in ciljev politike prejemkov ter informacije o procesu odločanja, ki se uporablja pri določanju politike prejemkov, in vlogi relevantnih deležnikov (npr. skupščina delničarjev),</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merilih, uporabljenih za merjenje uspešnosti in predhodno ter naknadno prilagajanje tveganju,</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ali sta upravljalni organ in komisija za prejemke, če obstaja, pregledala politiko prejemkov institucije v zadnjem letu in če sta jo, pregled </w:t>
            </w:r>
            <w:r>
              <w:rPr>
                <w:rFonts w:ascii="Times New Roman" w:hAnsi="Times New Roman"/>
                <w:sz w:val="24"/>
                <w:szCs w:val="24"/>
              </w:rPr>
              <w:lastRenderedPageBreak/>
              <w:t>sprejetih sprememb, razlogov za te spremembe in njihovega učinka na prejemke,</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tem, kako institucija zagotavlja, da so prejemki zaposlenih v funkcijah notranjega nadzora neodvisni od poslovanja, ki ga nadzorujejo,</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politike in merila, ki se uporabljajo za dodeljene zajamčene variabilne prejemke in odpravnine.</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Opis načinov, na katere se aktualna in prihodnja tveganja upoštevajo v postopkih prejemkov.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Razkritja vključujejo pregled ključnih tveganj, njihovega merjenja in kako rezultati merjenja vplivajo na prejemke.</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Razmerje med fiksnimi in variabilnimi prejemki, določeno v skladu s členom 94(1)(g) Direktive 2013/36/EU</w:t>
            </w:r>
            <w:r>
              <w:rPr>
                <w:rStyle w:val="FootnoteReference"/>
                <w:rFonts w:ascii="Times New Roman" w:hAnsi="Times New Roman"/>
                <w:sz w:val="24"/>
              </w:rPr>
              <w:footnoteReference w:id="51"/>
            </w:r>
            <w:r>
              <w:rPr>
                <w:rFonts w:ascii="Times New Roman" w:hAnsi="Times New Roman"/>
                <w:sz w:val="24"/>
              </w:rPr>
              <w:t xml:space="preserve"> (CRD).</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Opis načinov, na katere poskuša institucija povezati uspešnost, ugotovljeno v obdobju ocenjevanja uspešnosti, z ravnjo prejemkov.</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Razkritja vključujejo:</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pregled glavnih meril in kazalnikov uspešnosti za institucijo, poslovna področja in posameznike,</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pregled, kako so zneski individualnih variabilnih prejemkov povezani s splošno uspešnostjo institucije in individualno uspešnostjo,</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merilih, ki se uporabljajo za določanje ravnotežja med različnimi vrstami dodeljenih instrumentov, vključno z delnicami, enakovrednimi lastniškimi deleži, opcijami in drugimi instrumenti,</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informacije o ukrepih, ki jih bo institucija sprejela za prilagoditev variabilnih prejemkov v primeru, da so kazalniki uspešnosti „slabi“, vključno z merili institucije za določanje kazalnikov uspešnosti, kadar se ti štejejo za „slabe“. V skladu s členom 94(1)(n) CRD morajo biti variabilni prejemki, da se lahko izplačajo ali dospejo v plačilo, upravičeni z uspešnostjo zadevne institucije, poslovne enote in posameznika. Institucije pojasnijo merila/pragove za določanje, da je uspešnost slaba in da to ne upravičuje, da se lahko variabilni prejemki izplačajo ali dospejo v plačilo.</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Opis načinov, na katere poskuša institucija prilagoditi prejemke, da se upošteva dolgoročna uspešnost.</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Razkritja vključujejo:</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lastRenderedPageBreak/>
              <w:t>pregled politike institucije o odlogu, izplačilu v instrumentih, obdobjih zadržanja in dospetju v plačilo variabilnih prejemkov, vključno z razlikami med zaposlenimi ali kategorijami zaposlenih,</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merilih institucije za naknadne prilagoditve (</w:t>
            </w:r>
            <w:proofErr w:type="spellStart"/>
            <w:r>
              <w:rPr>
                <w:rFonts w:ascii="Times New Roman" w:hAnsi="Times New Roman"/>
                <w:sz w:val="24"/>
                <w:szCs w:val="24"/>
              </w:rPr>
              <w:t>malus</w:t>
            </w:r>
            <w:proofErr w:type="spellEnd"/>
            <w:r>
              <w:rPr>
                <w:rFonts w:ascii="Times New Roman" w:hAnsi="Times New Roman"/>
                <w:sz w:val="24"/>
                <w:szCs w:val="24"/>
              </w:rPr>
              <w:t xml:space="preserve"> med odlogom in vračilo sredstev po dospetju v plačilo, če to dovoljuje nacionalna zakonodaja),</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kjer je relevantno, zahteve glede posedovanja deležev, ki se lahko naložijo zaposlenim, katerih poklicne dejavnosti pomembno vplivajo na profil tveganosti institucije.</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Opis glavnih parametrov in utemeljitve za vsako shemo variabilnih sestavin prejemkov in morebitne druge nedenarne ugodnosti, kot je navedeno v členu 450(1)(f) CRR. Razkritja vključujejo:</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specifičnih kazalnikih tveganja/uspešnosti, ki se uporabljajo za določanje variabilnih sestavin prejemkov, in merilih, ki se uporabljajo za določanje ravnotežja med različnimi vrstami dodeljenih instrumentov, vključno z delnicami, enakovrednimi lastniškimi deleži, z delnicami povezanimi instrumenti, enakovrednimi nedenarnimi instrumenti, opcijami in drugimi instrumenti.</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Na zahtevo zadevne države članice ali pristojnega organa celotni prejemki vsakega člana upravljalnega organa ali višjega vodstva, kot je navedeno v členu 450(1)(j) CRR.</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Informacije o tem, ali se lahko za institucijo uporablja odstopanje iz člena 94(3) CRD, kot je navedeno v členu 450(1)(k) CRR.</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Za namene te točke institucije, za katere se lahko uporablja takšno odstopanje, navedejo, ali je podlaga za to člen 94(3)(a) in/ali (b) CRD. Navedejo tudi, za katere zahteve glede prejemkov uporabljajo odstopanja (tj. člen 94(1)(l) in/ali (m) in/ali (o) CRD), število zaposlenih, za katere velja odstopanje, in njihov skupni prejemek, razdeljen na fiksni in variabilni prejemek.</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Velike institucije razkrijejo kvantitativne informacije o prejemkih za kolektivni upravljalni organ institucije, pri čemer se razlikuje med izvršnimi in </w:t>
            </w:r>
            <w:proofErr w:type="spellStart"/>
            <w:r>
              <w:rPr>
                <w:rFonts w:ascii="Times New Roman" w:hAnsi="Times New Roman"/>
                <w:sz w:val="24"/>
              </w:rPr>
              <w:t>neizvršnimi</w:t>
            </w:r>
            <w:proofErr w:type="spellEnd"/>
            <w:r>
              <w:rPr>
                <w:rFonts w:ascii="Times New Roman" w:hAnsi="Times New Roman"/>
                <w:sz w:val="24"/>
              </w:rPr>
              <w:t xml:space="preserve"> člani, kot je navedeno v členu 450(2) CRR.</w:t>
            </w:r>
          </w:p>
        </w:tc>
      </w:tr>
    </w:tbl>
    <w:p w14:paraId="093C4B50" w14:textId="77777777" w:rsidR="009360C9" w:rsidRPr="0081737A"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81737A"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81737A"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81737A"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Predloga EU REM1 – Prejemki, dodeljeni za poslovno leto. </w:t>
      </w:r>
      <w:r>
        <w:rPr>
          <w:rFonts w:ascii="Times New Roman" w:hAnsi="Times New Roman"/>
          <w:color w:val="auto"/>
          <w:sz w:val="24"/>
        </w:rPr>
        <w:t>Fiksna oblika.</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uporabijo navodila iz te priloge za izpolnjevanje predloge EU REM1 iz Priloge XXXIII k tej izvedbeni uredbi ob upoštevanju člena 450(1)(h)(i) in (ii) CRR.</w:t>
      </w:r>
    </w:p>
    <w:p w14:paraId="75D7ECA6" w14:textId="77777777" w:rsidR="009360C9" w:rsidRPr="0081737A"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lastRenderedPageBreak/>
              <w:t>Pravna podlaga in navodila</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in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Število zaposlenih, katerih poklicne dejavnosti pomembno vplivajo na profil tveganosti institucije</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Število zaposlenih, katerih poklicne dejavnosti pomembno vplivajo na profil tveganosti institucije v skladu s členom 92 CRD in delegirano uredbo Komisije o zaposlenih, katerih poklicne dejavnosti pomembno vplivajo na profil tveganosti institucij</w:t>
            </w:r>
            <w:r>
              <w:rPr>
                <w:rStyle w:val="FootnoteReference"/>
                <w:rFonts w:ascii="Times New Roman" w:hAnsi="Times New Roman" w:cs="Times New Roman"/>
                <w:sz w:val="24"/>
                <w:szCs w:val="24"/>
              </w:rPr>
              <w:footnoteReference w:id="52"/>
            </w:r>
            <w:r>
              <w:rPr>
                <w:rFonts w:ascii="Times New Roman" w:hAnsi="Times New Roman"/>
                <w:sz w:val="24"/>
              </w:rPr>
              <w:t>, ob upoštevanju člena 94(2) CRD, ki prejmejo sestavine prejemkov, navedene v tej predlogi. Izračuna se z uporabo pristopa ekvivalentov polnega delovnega časa za zaposlene, katerih poklicne dejavnosti pomembno vplivajo na profil tveganosti institucij, razen članov upravljalnega organa, pri katerih se število razkrije kot število članov.</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Skupni fiksni prejemki</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Vsota zneskov v vrsticah 3 do 7 te predloge.</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denarni</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Znesek denarnih prejemkov v fiksnih prejemkih.</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delnice ali enakovredni lastniški deleži</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Vsota zneskov delnic ali enakovrednih lastniških deležev v odvisnosti od pravne strukture zadevne institucije, kot je navedeno v členu 94(1)(l)(i) CRD, v fiksnih prejemkih.</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Od tega: z delnicami povezani instrumenti ali enakovredni nedenarni instrumenti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Vsota zneskov z delnicami povezanih instrumentov ali enakovrednih nedenarnih instrumentov, kot je navedeno v členu 94(1)(l)(i) CRD, v fiksnih prejemkih.</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drugi instrumenti</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Znesek drugih instrumentov, kot so navedeni v členu 94(1)(l)(ii) CRD, v fiksnih prejemkih.</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druge oblike</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fiksnih prejemkov, dodeljenih za poslovno leto, ki ne spadajo med tiste, ki so razkriti v drugih vrsticah pod naslovom skupni fiksni prejemki.</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To lahko vključuje sorazmerne redne pokojninske prispevke ali ugodnosti (kadar takšne ugodnosti ne upoštevajo nobenih meril uspešnosti), kot je navedeno v uvodni izjavi 64 CRD, ali druge oblike prejemkov, kot so dodatki v zvezi z uporabo vozila.</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Skupni variabilni prejemki</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Vsota zneskov v vrsticah 11, EU-13a, EU-13b, EU-14x in 15 te predloge.</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Vsota vseh sestavin prejemkov, ki niso fiksni prejemki, razkriti v vrstici 2 te predloge, vključno z zajamčenimi variabilnimi prejemki in odpravninami, dodeljenimi v navedenem letu.</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denarni</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Znesek denarnih prejemkov v variabilnih prejemkih.</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in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odloženi</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variabilnih prejemkov po različnih vrstah sestavin, ki so odloženi, kot se določijo v skladu s členom 94 CRD.</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delnice ali enakovredni lastniški deleži</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Vsota zneskov delnic ali enakovrednih lastniških deležev v odvisnosti od pravne strukture zadevne institucije, kot je navedeno v členu 94(1)(l)(i) CRD, v variabilnih prejemkih.</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Od tega: z delnicami povezani instrumenti ali enakovredni nedenarni instrumenti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Vsota zneskov z delnicami povezanih instrumentov ali enakovrednih nedenarnih instrumentov, kot je navedeno v členu 94(1)(l)(i) CRD, v variabilnih prejemkih.</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drugi instrumenti</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Znesek drugih instrumentov, kot so navedeni v členu 94(1)(l)(ii) CRD, v variabilnih prejemkih.</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tega: druge oblike</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variabilnih prejemkov, dodeljenih za poslovno leto, ki ne spadajo med tiste, ki so razkriti v drugih vrsticah pod naslovom variabilni prejemki.</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Skupni prejemki</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Vsota zneskov v vrsticah 2 in 10 te predloge.</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Pojasnilo</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Upravljalni organ v nadzorni funkciji</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Upravljalni organ v svoji nadzorni funkciji kot upravljalni organ v vlogi spremljanja in nadzora nad sprejemanjem odločitev v zvezi z upravljanjem, kot je opredeljen v členu 3(1)(8) CRD.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Institucije razkrijejo informacije na podlagi števila oseb.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 skladu s členom 13 CRR EU nadrejene institucije razkrijejo te informacije na podlagi konsolidiranega položaja, velike podrejene družbe EU nadrejenih institucij pa razkrijejo informacije na posamični podlagi ali, kadar je relevantno v skladu s to uredbo ali CRD, na </w:t>
            </w:r>
            <w:proofErr w:type="spellStart"/>
            <w:r>
              <w:rPr>
                <w:rFonts w:ascii="Times New Roman" w:hAnsi="Times New Roman"/>
                <w:sz w:val="24"/>
              </w:rPr>
              <w:t>subkonsolidirani</w:t>
            </w:r>
            <w:proofErr w:type="spellEnd"/>
            <w:r>
              <w:rPr>
                <w:rFonts w:ascii="Times New Roman" w:hAnsi="Times New Roman"/>
                <w:sz w:val="24"/>
              </w:rPr>
              <w:t xml:space="preserve"> podlagi. Subjekt, ki razkriva, v ta stolpec vključi informacije o svojem upravljalnem organu. Če se v skladu s členom 6 ali 13 CRR razkritje opravi na konsolidirani ali </w:t>
            </w:r>
            <w:proofErr w:type="spellStart"/>
            <w:r>
              <w:rPr>
                <w:rFonts w:ascii="Times New Roman" w:hAnsi="Times New Roman"/>
                <w:sz w:val="24"/>
              </w:rPr>
              <w:lastRenderedPageBreak/>
              <w:t>subkonsolidirani</w:t>
            </w:r>
            <w:proofErr w:type="spellEnd"/>
            <w:r>
              <w:rPr>
                <w:rFonts w:ascii="Times New Roman" w:hAnsi="Times New Roman"/>
                <w:sz w:val="24"/>
              </w:rPr>
              <w:t xml:space="preserve"> podlagi, se informacije o tistih zaposlenih v upravljalnih organih podrejenih družb, katerih poklicne dejavnosti pomembno vplivajo na profil tveganosti institucije, razkrijejo pod zadevnim področjem poslovanja.</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Upravljalni organ v funkciji vodenja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Člani upravljalnega organa, ki so odgovorni za njegove funkcije vodenja.</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razkrijejo informacije na podlagi števila oseb.</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Institucije razkrijejo informacije na podlagi števila oseb. V skladu s členom 13 CRR EU nadrejene institucije razkrijejo te informacije na podlagi konsolidiranega položaja, velike podrejene družbe EU nadrejenih institucij pa razkrijejo informacije na posamični podlagi ali, kadar je relevantno v skladu s to uredbo ali CRD, na </w:t>
            </w:r>
            <w:proofErr w:type="spellStart"/>
            <w:r>
              <w:rPr>
                <w:rFonts w:ascii="Times New Roman" w:hAnsi="Times New Roman"/>
                <w:sz w:val="24"/>
              </w:rPr>
              <w:t>subkonsolidirani</w:t>
            </w:r>
            <w:proofErr w:type="spellEnd"/>
            <w:r>
              <w:rPr>
                <w:rFonts w:ascii="Times New Roman" w:hAnsi="Times New Roman"/>
                <w:sz w:val="24"/>
              </w:rPr>
              <w:t xml:space="preserve"> podlagi. Subjekt, ki razkriva, v ta stolpec vključi informacije o svojem upravljalnem organu. Če se v skladu s členom 6 ali 13 CRR razkritje opravi na konsolidirani ali </w:t>
            </w:r>
            <w:proofErr w:type="spellStart"/>
            <w:r>
              <w:rPr>
                <w:rFonts w:ascii="Times New Roman" w:hAnsi="Times New Roman"/>
                <w:sz w:val="24"/>
              </w:rPr>
              <w:t>subkonsolidirani</w:t>
            </w:r>
            <w:proofErr w:type="spellEnd"/>
            <w:r>
              <w:rPr>
                <w:rFonts w:ascii="Times New Roman" w:hAnsi="Times New Roman"/>
                <w:sz w:val="24"/>
              </w:rPr>
              <w:t xml:space="preserve"> podlagi, se informacije o tistih zaposlenih v upravljalnih organih podrejenih družb, katerih poklicne dejavnosti pomembno vplivajo na profil tveganosti institucije, razkrijejo pod zadevnim področjem poslovanja.</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Drugo višje vodstvo</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Višje vodstvo, kot je opredeljeno v členu 3(1)(9) CRD.</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razkrijejo število članov višjega vodstva, ki niso razkriti v poljih „upravljalni organ v funkciji vodenja“ in „drugi zaposleni, katerih poklicne dejavnosti pomembno vplivajo na profil tveganosti institucije“. Institucije razkrijejo informacije na podlagi ekvivalentov polnega delovnega časa.</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Drugi zaposleni, katerih poklicne dejavnosti pomembno vplivajo na profil tveganosti institucije</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Drugi zaposleni, razen upravljalnega organa v nadzorni funkciji ali funkciji vodenja in razen višjega vodstva, katerih poklicne dejavnosti pomembno vplivajo na profil tveganosti institucije v skladu z merili iz delegirane uredbe Komisije o zaposlenih, katerih poklicne dejavnosti pomembno vplivajo na profil tveganosti institucij, ob upoštevanju člena 94(2) CRR in po potrebi dodatno na podlagi meril institucije.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lahko v to predlogo vključijo razčlenitev po področjih poslovanja, kot se predlaga v predlogi EU-REM5. Institucije razkrijejo informacije na podlagi ekvivalentov polnega delovnega časa.</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Predloga EU REM2 – Posebna plačila zaposlenim, katerih poklicne dejavnosti pomembno vplivajo na profil tveganosti institucije. </w:t>
      </w:r>
      <w:r>
        <w:rPr>
          <w:rFonts w:ascii="Times New Roman" w:hAnsi="Times New Roman"/>
          <w:color w:val="auto"/>
          <w:sz w:val="24"/>
        </w:rPr>
        <w:t>Fiksna oblika.</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razkrijejo informacije iz člena 450(1)(h)(v) do (vii) CRR ob upoštevanju navodil iz te priloge za izpolnjevanje predloge EU REM2 iz Priloge XXXIII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podlaga in navodila</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lastRenderedPageBreak/>
              <w:t>Številka vrstice</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in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Število zaposlenih, katerih poklicne dejavnosti pomembno vplivajo na profil tveganosti institucije</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Število zaposlenih, katerih poklicne dejavnosti pomembno vplivajo na profil tveganosti institucije v skladu s členom 92 CRD in delegirano uredbo Komisije o zaposlenih, katerih poklicne dejavnosti pomembno vplivajo na profil tveganosti institucij, ob upoštevanju člena 94(2) CRD, za vsako specifično sestavino prejemkov.</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Za stolpca a in b (upravljalni organ) te predloge se navede število oseb. Za stolpca c in d te predloge se vrednost izračuna na podlagi metode ekvivalentov polnega delovnega časa.</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Vrstica 4 te predloge se nanaša na odpravnine, dodeljene v prejšnjih obdobjih in plačane v poslovnem letu (tekoče leto), vrstica 6 te predloge pa se nanaša na odpravnine, dodeljene v poslovnem letu (tekoče leto).</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Dodeljeni zajamčeni variabilni prejemki – skupni znesek</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Znesek dodeljenih zajamčenih variabilnih prejemkov iz člena 94(1)(e) CRD.</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tega dodeljeni zajamčeni variabilni prejemki, plačani v poslovnem letu, ki niso upoštevani v zgornji meji za bonuse</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Zneski dodeljenih zajamčenih variabilnih prejemkov iz člena 94(1)(e) CRD, plačanih v poslovnem letu (tekoče leto), ki se ne upoštevajo pri zgornji meji za bonuse.</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Institucije v zvezi z razkritimi informacijami iz člena 450(1)(g) in člena 450(1)(h)(v) in (vi) CRR jasno navedejo, ali združene kvantitativne informacije o prejemkih, razčlenjene po področjih poslovanja, odražajo zgornjo mejo bonusov, kadar so vključeni novi pogodbeno vnaprej dogovorjeni variabilni prejemki in odpravnine.</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Odpravnine, dodeljene v prejšnjih obdobjih, ki so bile izplačane v zadevnem poslovnem letu – skupni znesek</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Znesek odpravnin iz člena 94(1)(h) CRR, ki so bile dodeljene v prejšnjih obdobjih in izplačane v poslovnem letu (tekoče leto).</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Odpravnine, dodeljene v poslovnem letu – skupni znesek</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Znesek odpravnin iz člena 94(1)(h) CRR, ki so bile dodeljene v poslovnem letu (tekoče leto).</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tega odpravnine, dodeljene v poslovnem letu – izplačane v poslovnem letu</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Znesek odpravnin iz člena 94(1)(h) CRR, ki so bile dodeljene v poslovnem letu in izplačane v poslovnem letu.</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tega odpravnine, dodeljene v poslovnem letu – odložene</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Zneski odpravnin iz člena 94(1)(h) CRR, dodeljenih v poslovnem letu, ki so bile odložene v skladu s členom 94 CRD.</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lastRenderedPageBreak/>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tega odpravnine, plačane v poslovnem letu, ki niso upoštevane v zgornji meji za bonuse</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Zneski odpravnin iz člena 94(1)(h) CRD, plačanih v poslovnem letu, ki se ne upoštevajo pri zgornji meji za bonuse.</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Institucije v zvezi z razkritimi informacijami iz člena 450(1)(g) in člena 450(1)(h)(v) in (vi) CRR jasno navedejo, ali združene kvantitativne informacije o prejemkih, razčlenjene po področjih poslovanja, odražajo zgornjo mejo bonusov, kadar so vključeni novi pogodbeno vnaprej dogovorjeni variabilni prejemki in odpravnine.</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tega odpravnine, dodeljene v poslovnem letu – najvišja odpravnina, dodeljena eni sami osebi</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Znesek najvišje odpravnine iz člena 94(1)(h) CRR, ki je bila v poslovnem letu dodeljena eni sami osebi.</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Pojasnilo</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Upravljalni organ v nadzorni funkciji</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Upravljalni organ v svoji nadzorni funkciji kot upravljalni organ v vlogi spremljanja in nadzora nad sprejemanjem odločitev v zvezi z upravljanjem, kot je opredeljen v členu 3(1)(8) CRD (število oseb).</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Upravljalni organ v funkciji vodenja</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Člani upravljalnega organa, ki so odgovorni za njegove funkcije vodenja (število oseb).</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Drugo višje vodstvo</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Višje vodstvo, kot je opredeljeno v členu 3(1)(9) CRD.</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Institucije razkrijejo število članov višjega vodstva, ki niso razkriti v poljih „upravljalni organ v funkciji vodenja“ in „drugi zaposleni, katerih poklicne dejavnosti pomembno vplivajo na profil tveganosti institucije“ (ekvivalent polnega delovnega časa).</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Drugi zaposleni, katerih poklicne dejavnosti pomembno vplivajo na profil tveganosti institucije</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Drugi zaposleni, razen upravljalnega organa v nadzorni funkciji ali funkciji vodenja in razen višjega vodstva, katerih poklicne dejavnosti pomembno vplivajo na profil tveganosti institucije v skladu z merili iz delegirane uredbe Komisije o zaposlenih, katerih poklicne dejavnosti pomembno vplivajo na profil tveganosti institucij, ob upoštevanju člena 94(2) CRR in po potrebi dodatno na podlagi meril institucije.</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lastRenderedPageBreak/>
              <w:t>Institucije lahko v to predlogo vključijo razčlenitev po področjih poslovanja, kot se predlaga v predlogi EU-REM5 (ekvivalent polnega delovnega časa).</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Predloga EU REM3 – Odloženi prejemki. </w:t>
      </w:r>
      <w:r>
        <w:rPr>
          <w:rFonts w:ascii="Times New Roman" w:hAnsi="Times New Roman"/>
          <w:color w:val="auto"/>
          <w:sz w:val="24"/>
        </w:rPr>
        <w:t>Fiksna oblika.</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razkrijejo informacije iz člena 450(1)(h)(iii) in (iv) CRR ob upoštevanju navodil iz te priloge za izpolnjevanje predloge EU REM3 iz Priloge XXXIII k tej izvedbeni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podlaga in navodila</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Upravljalni organ v nadzorni funkciji</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Upravljalni organ v svoji nadzorni funkciji kot upravljalni organ v vlogi spremljanja in nadzora nad sprejemanjem odločitev v zvezi z upravljanjem, kot je opredeljen v členu 3(1)(8) CRD.</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Vsota zneskov v vrsticah 2, 3, 4, 5 in 6 te predloge.</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in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Denarni</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Znesek denarnih prejemkov v variabilnih prejemkih.</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in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Delnice ali enakovredni lastniški deleži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Vsota zneskov delnic ali enakovrednih lastniških deležev v odvisnosti od pravne strukture zadevne institucije, kot je navedeno v členu 94(1)(l)(i) CRD, v variabilnih prejemkih.</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in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Z delnicami povezani instrumenti ali enakovredni nedenarni instrumenti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Vsota zneskov z delnicami povezanih instrumentov ali enakovrednih nedenarnih instrumentov, kot je navedeno v členu 94(1)(l)(i) CRD, v variabilnih prejemkih.</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in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Drugi instrumenti</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Znesek drugih instrumentov, kot so navedeni v členu 94(1)(l)(ii) CRD, v variabilnih prejemkih.</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in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Druge oblike</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Zneski variabilnih prejemkov razen tistih, razkritih v vrsticah „denarni“, „delnice ali enakovredni lastniški deleži v odvisnosti od pravne strukture zadevne institucije ali z delnicami povezani instrumenti ali enakovredni nedenarni instrumenti“ in „drugi instrumenti“.</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To lahko vključuje sorazmerne redne pokojninske prispevke ali ugodnosti (kadar takšne ugodnosti ne upoštevajo nobenih meril uspešnosti), kot je navedeno v uvodni izjavi 64 CRD, ali druge oblike prejemkov, kot so dodatki v zvezi z uporabo vozila.</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Upravljalni organ v funkciji vodenja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Člani upravljalnega organa, ki so odgovorni za njegove funkcije vodenja; vsota zneskov v vrsticah 8, 9, 10, 11 in 12 te predloge.</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Drugo višje vodstvo</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Višje vodstvo, kot je opredeljeno v členu 3(1)(9) CRD; vsota zneskov v vrsticah 14, 15, 16, 17 in 18 te predloge.</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Institucije razkrijejo število članov višjega vodstva, ki niso razkriti v poljih „upravljalni organ v funkciji vodenja“ in „drugi zaposleni, katerih poklicne dejavnosti pomembno vplivajo na profil tveganosti institucije“.</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Drugi zaposleni, katerih poklicne dejavnosti pomembno vplivajo na profil tveganosti institucije</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Drugi zaposleni, razen upravljalnega organa v nadzorni funkciji ali funkciji vodenja in razen višjega vodstva, katerih poklicne dejavnosti pomembno vplivajo na profil tveganosti institucije v skladu z merili iz delegirane uredbe Komisije o zaposlenih, katerih poklicne dejavnosti pomembno vplivajo na profil tveganosti institucij, ob upoštevanju člena 94(2) CRR in po potrebi dodatno na podlagi meril institucije; vsota zneskov v vrsticah 20, 21, 22, 23 in 24 te predloge.</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Skupni znesek</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Vsota zneskov v vrsticah 1, 7, 13 in 19 te predloge.</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Pojasnilo</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Skupni znesek odloženih prejemkov, dodeljenih za prejšnja obdobja ocenjevanja uspešnosti</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Znesek odloženih prejemkov, kot se določi v skladu s členom 94 CRD, ki so bili dodeljeni za prejšnja obdobja ocenjevanja uspešnosti (vsota zneskov v stolpcih b in c te predloge).</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Od tega, ki bodo dospeli v plačilo v poslovnem letu</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Znesek odloženih prejemkov, dodeljenih za prejšnja obdobja ocenjevanja uspešnosti, kot se določi v skladu s členom 94 CRD, ki bodo dospeli v plačilo v poslovnem letu.</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Od tega, ki bodo dospeli v plačilo v prihodnjih poslovnih letih</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Znesek odloženih prejemkov, dodeljenih za prejšnja obdobja ocenjevanja uspešnosti, kot se določi v skladu s členom 94 CRD, ki bodo dospeli v plačilo v prihodnjih poslovnih letih.</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Znesek prilagoditve za uspešnost v poslovnem letu pri odloženih prejemkih, ki bodo dospeli v plačilo v poslovnem letu</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Znesek prilagoditve za uspešnost pri odloženih prejemkih, kot se določijo v skladu s členom 94 CRD, ki bodo dospeli v plačilo v poslovnem letu.</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lastRenderedPageBreak/>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Znesek prilagoditve za uspešnost v poslovnem letu pri odloženih prejemkih, ki bodo dospeli v plačilo v prihodnjih poslovnih letih</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Znesek prilagoditve za uspešnost pri odloženih prejemkih, kot se določijo v skladu s členom 94 CRD, ki bodo dospeli v plačilo v prihodnjih letih ocenjevanja uspešnosti.</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Skupni znesek prilagoditve v poslovnem letu zaradi naknadnih implicitnih prilagoditev v poslovnem letu (tj. sprememb vrednosti odloženih prejemkov zaradi sprememb cen instrumentov)</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Kjer je relevantno, znesek spremembe vrednosti v poslovnem letu zaradi naknadnih implicitnih prilagoditev v poslovnem letu, kot so spremembe vrednosti odloženih prejemkov zaradi sprememb cen instrumentov, ocenjen po najboljših prizadevanjih.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Skupni znesek odloženih prejemkov, dodeljenih pred poslovnim letom, ki so bili dejansko izplačani v poslovnem letu</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Znesek prilagoditve odloženih prejemkov, kot se določijo v skladu s členom 94 CRD, ki so bili izplačani v poslovnem letu.</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Odloženi prejemki se štejejo za izplačane takoj, ko so dospeli v plačilo.</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Skupni znesek odloženih prejemkov, dodeljenih za prejšnja obdobja ocenjevanja uspešnosti, ki so dospeli v plačilo, vendar zanje velja obdobje zadržanja</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Znesek odloženih prejemkov, dodeljenih za prejšnja obdobja ocenjevanja uspešnosti, ki so dospeli v plačilo, vendar zanje velja obdobje zadržanja, kot je določeno v skladu s členom 94 CRD.</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Predloga EU REM4 – Prejemki v višini 1 milijona EUR ali več. </w:t>
      </w:r>
      <w:r>
        <w:rPr>
          <w:rFonts w:ascii="Times New Roman" w:hAnsi="Times New Roman"/>
          <w:color w:val="auto"/>
          <w:sz w:val="24"/>
        </w:rPr>
        <w:t>Fiksna oblika.</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razkrijejo informacije iz člena 450(1)(i) CRR ob upoštevanju navodil iz te priloge za izpolnjevanje predloge EU REM4 iz Priloge XXXIII k tej izvedbeni uredbi.</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Predloženi podatki temeljijo na številkah s konca računovodskega leta v EUR. Vsi zneski se razkrijejo kot polni zneski, tj. </w:t>
      </w:r>
      <w:proofErr w:type="spellStart"/>
      <w:r>
        <w:rPr>
          <w:rFonts w:ascii="Times New Roman" w:hAnsi="Times New Roman"/>
          <w:bCs w:val="0"/>
          <w:color w:val="auto"/>
          <w:sz w:val="24"/>
        </w:rPr>
        <w:t>nezaokroženi</w:t>
      </w:r>
      <w:proofErr w:type="spellEnd"/>
      <w:r>
        <w:rPr>
          <w:rFonts w:ascii="Times New Roman" w:hAnsi="Times New Roman"/>
          <w:bCs w:val="0"/>
          <w:color w:val="auto"/>
          <w:sz w:val="24"/>
        </w:rPr>
        <w:t xml:space="preserve"> zneski, v eurih (npr. 1 234 567 EUR namesto 1,2 milijona EUR). Če so prejemki v valuti, ki ni EUR, se za pretvorbo konsolidiranih vrednosti, ki se razkrijejo, uporabi menjalni tečaj, ki ga Komisija uporabi za finančno načrtovanje in proračun za december v letu poročanja.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podlaga in navodila</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do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Prejemki med 1 in 5 milijoni EUR na poslovno leto, razdeljeni na plačne razrede po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do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Prejemki nad 5 milijoni EUR na poslovno leto, razdeljeni na plačne razrede po 1 milijon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lastRenderedPageBreak/>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Pojasnilo</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Število zaposlenih, katerih poklicne dejavnosti pomembno vplivajo na profil tveganosti institucije, s prejemki nad 1 milijonom EUR na poslovno leto.</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Institucije razkrijejo informacije na podlagi števila oseb.</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Predloga EU REM5 – Informacije o zaposlenih, katerih poklicne dejavnosti pomembno vplivajo na profil tveganosti institucije. </w:t>
      </w:r>
      <w:r>
        <w:rPr>
          <w:rFonts w:ascii="Times New Roman" w:hAnsi="Times New Roman"/>
          <w:color w:val="auto"/>
          <w:sz w:val="24"/>
        </w:rPr>
        <w:t>Fiksna oblika.</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razkrijejo informacije iz člena 450(1)(g) CRR ob upoštevanju navodil iz te priloge za izpolnjevanje predloge EU REM5 iz Priloge XXXIII k tej izvedbeni uredbi.</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V zvezi s stolpci z razčlenitvijo po področjih poslovanja se vse kreditiranje, vključno s kreditiranjem velikih strank, vključi v kreditiranje na drobno. Za investicijsko bančništvo vključuje podjetniške finance ter trgovanje in prodajo. Nadaljnji napotki glede dejavnosti, ki jih zajemajo navedena poslovna področja, so na voljo v členu 317 CRR v razpredelnici za opredelitev poslovnih področij v okviru standardiziranega pristopa za operativno tveganje.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podlaga in navodila</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Skupno število zaposlenih, katerih poklicne dejavnosti pomembno vplivajo na profil tveganosti institucije</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Zaposleni, katerih poklicne dejavnosti pomembno vplivajo na profil tveganosti institucije, v instituciji in njenih podrejenih družbah, vključno s podrejenimi družbami, za katere ne velja CRD, in vsi člani njihovih zadevnih upravljalnih organov.</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Vrednost se razkrije na podlagi ekvivalentov polnega delovnega časa.</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 tega: člani upravljalnega organa</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Število članov v zadevnem upravljalnem organu v nadzorni funkciji in funkciji vodenja ter v celotnem organu upravljanja.</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Od tega: drugo višje vodstvo</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Drugi zaposleni razen članov upravljalnega organa, ki spadajo v višje vodstvo, kot je opredeljeno v členu 3(1)(9) CRR.</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Od tega: drugi zaposleni, katerih poklicne dejavnosti pomembno vplivajo na profil tveganosti institucije</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Drugi zaposleni razen članov upravljalnega organa in drugega višjega vodstva, katerih poklicne dejavnosti pomembno vplivajo na profil tveganosti institucije v skladu z merili iz delegirane uredbe Komisije o zaposlenih, katerih poklicne dejavnosti pomembno vplivajo na profil tveganosti institucij, ob upoštevanju člena 94(2) CRR in po potrebi dodatno na podlagi meril institucije.</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Skupni prejemki zaposlenih, katerih poklicne dejavnosti pomembno vplivajo na profil tveganosti institucije</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Skupni znesek prejemkov pomeni vse oblike fiksnih in variabilnih prejemkov in vključuje plačila in ugodnosti, denarne ali nedenarne, dodeljene neposredno zaposlenim s strani institucije ali v njenem imenu v zameno za poklicne storitve, ki jih opravijo zaposleni, izplačila spodbujevalne provizije v smislu člena 4(1)(d) Direktive 2011/61/EU</w:t>
            </w:r>
            <w:r>
              <w:rPr>
                <w:rStyle w:val="FootnoteReference"/>
                <w:rFonts w:cs="Times New Roman"/>
              </w:rPr>
              <w:footnoteReference w:id="53"/>
            </w:r>
            <w:r>
              <w:rPr>
                <w:rFonts w:ascii="Times New Roman" w:hAnsi="Times New Roman"/>
                <w:sz w:val="24"/>
              </w:rPr>
              <w:t xml:space="preserve"> in druga plačila, izvedena z metodami ali instrumenti, ki bi lahko, če se ne bi štela za prejemke, povzročila izogibanje zahtevam glede prejemkov iz CRD.</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 tega: variabilni prejemki</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Vsota vseh sestavin prejemkov, ki niso fiksni prejemki, iz vrstice 7 te predloge.</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 tega: fiksni prejemki</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štejejo, da so prejemki fiksni, kadar pogoji za njihovo dodelitev in znesek: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temeljijo na vnaprej določenih merilih,</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proofErr w:type="spellStart"/>
            <w:r>
              <w:rPr>
                <w:rFonts w:ascii="Times New Roman" w:hAnsi="Times New Roman"/>
                <w:sz w:val="24"/>
                <w:szCs w:val="24"/>
              </w:rPr>
              <w:t>nediskrecijsko</w:t>
            </w:r>
            <w:proofErr w:type="spellEnd"/>
            <w:r>
              <w:rPr>
                <w:rFonts w:ascii="Times New Roman" w:hAnsi="Times New Roman"/>
                <w:sz w:val="24"/>
                <w:szCs w:val="24"/>
              </w:rPr>
              <w:t xml:space="preserve"> upoštevajo raven poklicnih izkušenj in delovne dobe zaposlenih,</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so pregledni glede individualnih zneskov, dodeljenih posameznemu zaposlenemu;</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so trajni, tj. se ohranijo v obdobju, vezanem na konkretno vlogo in odgovornosti v organizaciji,</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so nepreklicni, stalni znesek se spremeni le na podlagi kolektivnih pogajanj ali po pogajanjih v skladu z nacionalnimi merili za določanje plač,</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institucija jih ne more znižati, začasno prekiniti ali preklicati,</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 spodbujajo prevzemanja tveganj ter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niso odvisni od uspešnosti.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Pojasnilo</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in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Upravljalni organ</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Upravljalni organ institucije z razčlenitvijo na nadzorno funkcijo in funkcijo vodenja.</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razkrijejo informacije na podlagi števila oseb.</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 do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Področja poslovanja</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 xml:space="preserve">Glavna področja poslovanja institucije, kot so investicijsko bančništvo, bančništvo na drobno, upravljanje premoženja, korporativne funkcije, funkcije neodvisnega notranjega nadzora.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Informacije se razkrijejo na podlagi ekvivalentov polnega delovnega časa.</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Vse drugo</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Vsa druga področja poslovanja, ki niso ločeno zajeta v prejšnjih stolpcih.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Informacije se razkrijejo na podlagi ekvivalentov polnega delovnega časa.</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PRILOGA XXXVI – Navodila za predloge za razkritje obremenitve sredstev</w:t>
      </w:r>
    </w:p>
    <w:p w14:paraId="4A468F96" w14:textId="56322662" w:rsidR="00D312C4" w:rsidRPr="00685764"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sz w:val="24"/>
          <w:szCs w:val="24"/>
        </w:rPr>
      </w:pPr>
      <w:bookmarkStart w:id="18" w:name="bookmark48"/>
      <w:r w:rsidRPr="00685764">
        <w:rPr>
          <w:sz w:val="24"/>
          <w:szCs w:val="24"/>
        </w:rPr>
        <w:t>Institucije razkrijejo informacije iz člena 443 Uredbe (EU) št. 575/2013</w:t>
      </w:r>
      <w:r w:rsidRPr="00685764">
        <w:rPr>
          <w:rStyle w:val="FootnoteReference"/>
          <w:rFonts w:ascii="Times New Roman" w:hAnsi="Times New Roman"/>
          <w:sz w:val="24"/>
          <w:szCs w:val="24"/>
          <w:lang w:val="en-GB"/>
        </w:rPr>
        <w:footnoteReference w:id="54"/>
      </w:r>
      <w:r w:rsidRPr="00685764">
        <w:rPr>
          <w:sz w:val="24"/>
          <w:szCs w:val="24"/>
        </w:rPr>
        <w:t xml:space="preserve"> (CRR) ob upoštevanju navodil iz te priloge za izpolnjevanje predlog EU AE1 do EU AE4 iz Priloge XXXV k tej izvedbeni uredbi.</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Za namene predlog za razkritja o obremenitvi sredstev se uporablja opredelitev obremenitve sredstev iz </w:t>
      </w:r>
      <w:r>
        <w:rPr>
          <w:rStyle w:val="TeksttreciTimesNewRoman105ptOdstpy0pt"/>
          <w:sz w:val="24"/>
          <w:szCs w:val="24"/>
        </w:rPr>
        <w:t>točke 1.7 Priloge XVII (navodila za predloge za poročanje o obremenitvi sredstev) k Izvedbeni uredbi Komisije (EU) št. 680/2014</w:t>
      </w:r>
      <w:r>
        <w:rPr>
          <w:rStyle w:val="FootnoteReference"/>
          <w:rFonts w:eastAsia="Calibri"/>
          <w:color w:val="000000"/>
          <w:shd w:val="clear" w:color="auto" w:fill="FFFFFF"/>
          <w:lang w:val="en-GB"/>
        </w:rPr>
        <w:footnoteReference w:id="55"/>
      </w:r>
      <w:r>
        <w:rPr>
          <w:rStyle w:val="TeksttreciTimesNewRoman105ptOdstpy0pt"/>
          <w:sz w:val="24"/>
          <w:szCs w:val="24"/>
        </w:rPr>
        <w:t>.</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Institucije razkrijejo postavke iz predlog EU AE1, EU AE2 in EU AE3 na enak način, kot se poročajo v skladu s Prilogo XVI (predloge za poročanje o obremenitvi sredstev) k Izvedbeni uredbi Komisije (EU) št. 680/2014, razen če je v navedenih razpredelnicah posebej določeno drugače.</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Postavke iz odstavka 3 se razkrijejo z uporabo median. Mediane so zaporedne četrtletne srednje vrednosti za predhodno dvanajstmesečno obdobje in se določijo z interpolacijo.</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Kadar se razkritja opravijo na konsolidirani podlagi, se za obseg konsolidacije uporabi obseg bonitetne konsolidacije, kot je opredeljen v oddelku 2 poglavja 2 naslova II dela 1 CRR.</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 xml:space="preserve">Kazalniki kakovosti sredstev po vrstah sredstev v stolpcih C030, C050, C080 in C100 predloge EU AE1 ter po vrstah prejetega zavarovanja s premoženjem in izdanih dolžniških instrumentov, vključno s kritimi obveznicami ter </w:t>
      </w:r>
      <w:proofErr w:type="spellStart"/>
      <w:r>
        <w:rPr>
          <w:sz w:val="24"/>
          <w:szCs w:val="24"/>
        </w:rPr>
        <w:t>listinjenji</w:t>
      </w:r>
      <w:proofErr w:type="spellEnd"/>
      <w:r>
        <w:rPr>
          <w:sz w:val="24"/>
          <w:szCs w:val="24"/>
        </w:rPr>
        <w:t>, v stolpcih C030 in C060 predloge EU AE2 se uporabljajo samo za kreditne institucije, ki izpolnjujejo enega od naslednjih pogojev:</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njihova skupna sredstva, izračunana v skladu z odstavkom 10 točke 1.6 Priloge XVII k Izvedbeni uredbi Komisije (EU) št. 680/2014, znašajo več kot 30 milijard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raven obremenitve njihovih sredstev, izračunana v skladu z odstavkom 9 točke 1.6 Priloge XVII k Izvedbeni uredbi Komisije (EU) št. 680/2014, presega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Predloga EU AE1 – Obremenjena in neobremenjena sredstva</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Institucije izpolnijo predlogo EU AE1 iz Priloge XXXV k tej izvedbeni uredbi ob upoštevanju spodnjih navodil.</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Pojasnilo</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lastRenderedPageBreak/>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Sredstva institucije, ki razkriva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V primeru institucij, ki uporabljajo MSRP, 9.(a) člen Mednarodnega računovodskega standarda (MRS) 1, Smernice za izvajanje (IG) 6.</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 xml:space="preserve">Vsa sredstva institucije, izkazana v njeni bilanci stanja, razen lastnih dolžniških vrednostnih papirjev in lastnih lastniških instrumentov, kadar veljavni računovodski standardi dopuščajo njihovo </w:t>
            </w:r>
            <w:proofErr w:type="spellStart"/>
            <w:r>
              <w:rPr>
                <w:rStyle w:val="TeksttreciTimesNewRoman105ptOdstpy0pt"/>
                <w:rFonts w:eastAsiaTheme="minorEastAsia"/>
                <w:sz w:val="24"/>
              </w:rPr>
              <w:t>pripoznavanje</w:t>
            </w:r>
            <w:proofErr w:type="spellEnd"/>
            <w:r>
              <w:rPr>
                <w:rStyle w:val="TeksttreciTimesNewRoman105ptOdstpy0pt"/>
                <w:rFonts w:eastAsiaTheme="minorEastAsia"/>
                <w:sz w:val="24"/>
              </w:rPr>
              <w:t xml:space="preserve"> v bilanci stanja.</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V tej vrstici razkrita vrednost je mediana vsot štirih vrednosti s konca vsakega četrtletja za predhodno dvanajstmesečno obdobje za vrstice 030, 040 in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Lastniški instrumenti</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 xml:space="preserve">Mediane lastniških (kapitalskih) instrumentov, kot so opredeljeni v veljavnih </w:t>
            </w:r>
            <w:r>
              <w:rPr>
                <w:rStyle w:val="InstructionsTabelleberschrift"/>
                <w:rFonts w:ascii="Times New Roman" w:hAnsi="Times New Roman"/>
                <w:b w:val="0"/>
                <w:sz w:val="24"/>
                <w:u w:val="none"/>
              </w:rPr>
              <w:t xml:space="preserve">računovodskih načelih </w:t>
            </w:r>
            <w:r>
              <w:rPr>
                <w:rStyle w:val="TeksttreciTimesNewRoman105ptOdstpy0pt"/>
                <w:rFonts w:eastAsiaTheme="minorEastAsia"/>
                <w:sz w:val="24"/>
              </w:rPr>
              <w:t xml:space="preserve"> (1. člen MRS 32 v primeru institucij, ki uporabljajo MSRP), z izjemo lastnih lastniških instrumentov, kadar veljavni računovodski standardi dopuščajo njihovo pripoznanje v bilanci stanja.</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Dolžniški vrednostni papirji</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Mediane dolžniških instrumentov, ki jih ima institucija, izdanih kot vrednostni papirji, ki niso krediti (posojila) v skladu z Uredbo (EU) št. 1071/2013 Evropske centralne banke (uredba ECB o postavkah bilance stanja)</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z izjemo lastnih dolžniških instrumentov, kadar veljavni računovodski standardi dopuščajo njihovo pripoznanje v bilanci stanja.</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krite obveznice</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rPr>
              <w:t>Mediane dolžniških vrednostnih papirjev, ki jih ima institucija, ki so obveznice iz prvega pododstavka člena 52(4) Direktive 2009/65/ES</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rPr>
              <w:t>, ne glede na to, ali imajo ti instrumenti pravno obliko vrednostnega papirja ali ne.</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od tega: </w:t>
            </w:r>
            <w:proofErr w:type="spellStart"/>
            <w:r>
              <w:rPr>
                <w:rStyle w:val="PogrubienieTeksttreciTimesNewRoman105ptOdstpy0pt"/>
                <w:rFonts w:eastAsia="Book Antiqua"/>
                <w:sz w:val="24"/>
                <w:szCs w:val="24"/>
              </w:rPr>
              <w:t>listinjenja</w:t>
            </w:r>
            <w:proofErr w:type="spellEnd"/>
            <w:r>
              <w:rPr>
                <w:rStyle w:val="PogrubienieTeksttreciTimesNewRoman105ptOdstpy0pt"/>
                <w:rFonts w:eastAsia="Book Antiqua"/>
                <w:sz w:val="24"/>
                <w:szCs w:val="24"/>
              </w:rPr>
              <w:t xml:space="preserve">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Mediane dolžniških vrednostnih papirjev, ki jih ima institucija, ki so pozicije v </w:t>
            </w:r>
            <w:proofErr w:type="spellStart"/>
            <w:r>
              <w:rPr>
                <w:rStyle w:val="TeksttreciTimesNewRoman105ptOdstpy0pt"/>
                <w:rFonts w:eastAsiaTheme="minorEastAsia"/>
                <w:sz w:val="24"/>
              </w:rPr>
              <w:t>listinjenju</w:t>
            </w:r>
            <w:proofErr w:type="spellEnd"/>
            <w:r>
              <w:rPr>
                <w:rStyle w:val="TeksttreciTimesNewRoman105ptOdstpy0pt"/>
                <w:rFonts w:eastAsiaTheme="minorEastAsia"/>
                <w:sz w:val="24"/>
              </w:rPr>
              <w:t>, kot so opredeljene v členu 4(1)(62) CRR.</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ki jih izda sektor država</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Mediane dolžniških vrednostnih papirjev, ki jih ima institucija, ki jih izda sektor država.</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ki jih izdajo finančne družbe</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Mediane dolžniških vrednostnih papirjev</w:t>
            </w:r>
            <w:r>
              <w:rPr>
                <w:rStyle w:val="InstructionsTabelleberschrift"/>
                <w:rFonts w:ascii="Times New Roman" w:hAnsi="Times New Roman"/>
                <w:b w:val="0"/>
                <w:sz w:val="24"/>
                <w:u w:val="none"/>
              </w:rPr>
              <w:t xml:space="preserve">, ki jih ima institucija, ki jih izdajo kreditne institucije, kot so opredeljene v členu 4(1)(1) CRR, in druge finančne družbe.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lastRenderedPageBreak/>
              <w:t>Druge finančne družbe vključujejo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ki jih izdajo nefinančne družbe</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Mediane dolžniških vrednostnih papirjev</w:t>
            </w:r>
            <w:r>
              <w:rPr>
                <w:rFonts w:ascii="Times New Roman" w:hAnsi="Times New Roman"/>
                <w:sz w:val="24"/>
              </w:rPr>
              <w:t>, ki jih ima institucija, ki jih izdajo družbe in neprave družbe, ki se ne ukvarjajo s finančnim posredovanjem, ampak predvsem s proizvodnjo tržnega blaga in opravljanjem nefinančnih storitev v skladu z uredbo ECB o statističnih postavkah bilance stanja.</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Druga sredstva</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Mediana drugih sredstev institucije, ki so izkazana v bilanci stanja, razen sredstev, razkritih v zgornjih vrsticah, in sredstev, ki niso lastni dolžniški vrednostni papirji in lastni lastniški instrumenti, za katere institucija, ki ne uporablja MSRP, morda ni odpravila pripoznanja iz bilance stanja.</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V tem primeru se lastni dolžniški instrumenti vključijo v vrstico 240 predloge EU AE2, lastni lastniški instrumenti pa se izključijo iz razkritij o obremenitvi sredstev.</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Druga sredstva vključujejo denar v blagajni (bankovce in kovance v nacionalni in tujih valutah v obtoku, ki se pogosto uporabljajo za plačevanje), kredite na odpoklic (54.(i) člen MRS 1 za institucije, ki uporabljajo MSRP), vključno z zneski, ki se prejmejo na odpoklic, v centralnih bankah in drugih institucijah. Druga sredstva vključujejo tudi kredite in druga finančna sredstva, ki niso krediti na odpoklic, tj. dolžniške instrumente, ki jih ima institucija, ki niso vrednostni papirji, razen zneskov, ki se prejmejo na odpoklic, vključno s krediti, zavarovanimi z nepremičninami, kot so opredeljeni v točki (a) odstavka 86 dela 2 Priloge V k Izvedbeni uredbi Komisije (EU) št. 680/2014. Druga sredstva lahko vključujejo tudi neopredmetena sredstva, vključno z dobrim imenom, odloženimi terjatvami za davek, opredmetenimi osnovnimi sredstvi, sredstvi iz naslova izvedenih finančnih instrumentov ter terjatvami iz naslova povratnih repo poslov in izposojanja vrednostih papirjev.</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Kadar so osnovna sredstva in sredstva kritnega premoženja zadržanih </w:t>
            </w:r>
            <w:proofErr w:type="spellStart"/>
            <w:r>
              <w:rPr>
                <w:rStyle w:val="TeksttreciTimesNewRoman105ptOdstpy0pt"/>
                <w:rFonts w:eastAsiaTheme="minorEastAsia"/>
                <w:sz w:val="24"/>
              </w:rPr>
              <w:t>listinjenj</w:t>
            </w:r>
            <w:proofErr w:type="spellEnd"/>
            <w:r>
              <w:rPr>
                <w:rStyle w:val="TeksttreciTimesNewRoman105ptOdstpy0pt"/>
                <w:rFonts w:eastAsiaTheme="minorEastAsia"/>
                <w:sz w:val="24"/>
              </w:rPr>
              <w:t xml:space="preserve"> in zadržanih kritih obveznic krediti na odpoklic ali krediti in druga finančna sredstva, razen kreditov na odpoklic, se prav tako navedejo v tej vrstici.</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Knjigovodska vrednost obremenjenih sredstev</w:t>
            </w:r>
          </w:p>
          <w:p w14:paraId="023B3B5F" w14:textId="77777777" w:rsidR="00D312C4" w:rsidRPr="00685764" w:rsidRDefault="00D312C4" w:rsidP="00155C96">
            <w:pPr>
              <w:pStyle w:val="Fait"/>
              <w:spacing w:before="0" w:after="120"/>
              <w:rPr>
                <w:rStyle w:val="TeksttreciTimesNewRoman105ptOdstpy0pt"/>
                <w:rFonts w:eastAsia="Calibri"/>
                <w:sz w:val="24"/>
              </w:rPr>
            </w:pPr>
            <w:r w:rsidRPr="00685764">
              <w:rPr>
                <w:rStyle w:val="TeksttreciTimesNewRoman105ptOdstpy0pt"/>
                <w:sz w:val="24"/>
              </w:rPr>
              <w:lastRenderedPageBreak/>
              <w:t xml:space="preserve">Mediana knjigovodske vrednosti sredstev, ki jih ima institucija, ki so obremenjena. </w:t>
            </w:r>
          </w:p>
          <w:p w14:paraId="35614DD4" w14:textId="77777777" w:rsidR="00D312C4" w:rsidRPr="00685764" w:rsidRDefault="00D312C4" w:rsidP="00155C96">
            <w:pPr>
              <w:pStyle w:val="Fait"/>
              <w:spacing w:before="0" w:after="120"/>
              <w:rPr>
                <w:rStyle w:val="TeksttreciTimesNewRoman105ptOdstpy0pt"/>
                <w:rFonts w:eastAsia="Calibri"/>
                <w:sz w:val="24"/>
              </w:rPr>
            </w:pPr>
            <w:r w:rsidRPr="00685764">
              <w:rPr>
                <w:rStyle w:val="TeksttreciTimesNewRoman105ptOdstpy0pt"/>
                <w:sz w:val="24"/>
              </w:rPr>
              <w:t>Knjigovodska vrednost pomeni znesek na strani sredstev v bilanci stanja.</w:t>
            </w:r>
          </w:p>
          <w:p w14:paraId="70F39F33" w14:textId="77777777" w:rsidR="00D312C4" w:rsidRPr="007F4CC8" w:rsidRDefault="00D312C4" w:rsidP="00155C96">
            <w:pPr>
              <w:pStyle w:val="Fait"/>
              <w:spacing w:before="0" w:after="120"/>
            </w:pPr>
            <w:r w:rsidRPr="00685764">
              <w:rPr>
                <w:rStyle w:val="TeksttreciTimesNewRoman105ptOdstpy0pt"/>
                <w:sz w:val="24"/>
              </w:rPr>
              <w:t>Za vsako kategorijo sredstev je razkrita knjigovodska vrednost mediana različnih razkritih knjigovodskih vrednosti na koncu vsakega obdobja razkritja, ki se upoštevajo pri izračunu mediane.</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lastRenderedPageBreak/>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hipotetično upravičena EHQLA in HQLA</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knjigovodske vrednosti obremenjenih sredstev, ki bi bila ob odsotnosti obremenitve upravičena do razvrstitve kot sredstva izjemno visoke likvidnosti in kreditne kakovosti (EHQLA) ter sredstva visoke likvidnosti in kreditne kakovosti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Za namene te uredbe so hipotetično upravičena obremenjena EHQLA in hipotetično upravičena obremenjena HQLA tista sredstva, ki so našteta v členih 10, 11, 12, 13, 15 in 16 Delegirane uredbe Komisije (EU)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ter bi izpolnjevala splošne in operativne zahteve iz členov 7 in 8 navedene delegirane uredbe, če ne bi imela statusa obremenjenih sredstev v skladu s Prilogo XVII k Izvedbeni uredbi Komisije (EU) št. 680/2014. Hipotetično upravičena obremenjena EHQLA in hipotetično upravičena obremenjena HQLA izpolnjujejo tudi zahteve, specifične za posamezne kategorije izpostavljenosti, določene v členih 10 do 16 in 35 do 37 Delegirane uredbe (EU) 2015/61. Knjigovodska vrednost hipotetično upravičenih obremenjenih EHQLA in hipotetično upravičenih obremenjenih HQLA je knjigovodska vrednost pred uporabo odbitkov iz členov 10 do 16 Delegirane uredbe (EU)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Poštena vrednost obremenjenih sredstev</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Mediana poštene vrednosti</w:t>
            </w:r>
            <w:r>
              <w:rPr>
                <w:rStyle w:val="InstructionsTabelleberschrift"/>
                <w:rFonts w:ascii="Times New Roman" w:hAnsi="Times New Roman"/>
                <w:b w:val="0"/>
                <w:sz w:val="24"/>
                <w:u w:val="none"/>
              </w:rPr>
              <w:t xml:space="preserve"> dolžniških vrednostnih papirjev, ki jih ima institucija, ki razkriva, ki so obremenjeni v skladu z opredelitvijo obremenitve sredstev.</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Poštena vrednost finančnega instrumenta je cena, ki bi se prejela za prodajo sredstva ali plačala za prenos obveznosti v rednem poslu med udeleženci na trgu na datum merjenja (glej MSRP 13 Merjenje poštene vrednosti ter MSRP 13 in člen 8 Direktive 2013/34/EU</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za institucije, ki ne uporabljajo MSRP).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Za vsako kategorijo sredstev je razkrita poštena vrednost mediana različnih poštenih vrednosti, zabeleženih na koncu vsakega obdobja razkritja, ki se upoštevajo pri izračunu mediane.</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hipotetično upravičena EHQLA in 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poštene vrednosti obremenjenih sredstev, ki so hipotetično upravičena do razvrstitve kot EHQLA in HQLA. Za namene te uredbe so hipotetično upravičena obremenjena EHQLA in hipotetično upravičena obremenjena HQLA tista sredstva, ki so našteta v členih 10, 11, 12, 13, 15 in 16 Delegirane uredbe Komisije (EU) 2015/61 ter bi izpolnjevala splošne in operativne zahteve iz členov 7 in 8 navedene delegirane uredbe, če ne bi imela statusa obremenjenih sredstev v skladu s Prilogo XVII k Izvedbeni uredbi Komisije (EU) št. 680/2014. Hipotetično upravičena obremenjena EHQLA in hipotetično upravičena obremenjena HQLA izpolnjujejo tudi zahteve, specifične za posamezne kategorije izpostavljenosti, določene v členih 10 do 16 in 35 do 37 Delegirane uredbe Komisije (EU) 2015/61. Poštena vrednost hipotetično upravičenih obremenjenih EHQLA in hipotetično upravičenih obremenjenih HQLA je poštena vrednost pred uporabo odbitkov iz členov 10 do 16 Delegirane uredbe Komisije (EU) 2015/61.</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poštena vrednost mediana različnih poštenih vrednosti, zabeleženih na koncu vsakega obdobja razkritja, ki se upoštevajo pri izračunu mediane.</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Knjigovodska vrednost neobremenjenih sredstev</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knjigovodske vrednosti</w:t>
            </w:r>
            <w:r>
              <w:rPr>
                <w:rStyle w:val="InstructionsTabelleberschrift"/>
                <w:rFonts w:ascii="Times New Roman" w:hAnsi="Times New Roman"/>
                <w:b w:val="0"/>
                <w:sz w:val="24"/>
                <w:u w:val="none"/>
              </w:rPr>
              <w:t xml:space="preserve"> sredstev, ki jih ima institucija, ki so neobremenjena v skladu z opredelitvijo obremenitve sredstev. Knjigovodska vrednost pomeni znesek, ki se razkrije na strani sredstev v bilanci stanja.</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EHQLA in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knjigovodske vrednosti neobremenjenih EHQLA in HQLA, kot so našteta v členih 10, 11, 12, 13, 15 in 16 Delegirane uredbe Komisije (EU) 2015/61 ter ki izpolnjujejo splošne in operativne zahteve iz členov 7 in 8 navedene delegirane uredbe kot tudi zahteve, specifične za posamezne kategorije izpostavljenosti, določene v členih 10 do 16 in 35 do 37 navedene delegirane uredbe. Knjigovodska vrednost EHQLA in HQLA je knjigovodska vrednost pred uporabo odbitkov iz členov 10 do 16 Delegirane uredbe Komisije (EU) 2015/61.</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Za vsako kategorijo sredstev je razkrita knjigovodska vrednost mediana različnih razkritih knjigovodskih vrednosti na koncu vsakega obdobja razkritja, ki se upoštevajo pri izračunu mediane.</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Poštena vrednost neobremenjenih sredstev</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lastRenderedPageBreak/>
              <w:t xml:space="preserve">Mediana poštene vrednosti </w:t>
            </w:r>
            <w:r>
              <w:rPr>
                <w:rStyle w:val="InstructionsTabelleberschrift"/>
                <w:rFonts w:ascii="Times New Roman" w:hAnsi="Times New Roman"/>
                <w:b w:val="0"/>
                <w:sz w:val="24"/>
                <w:u w:val="none"/>
              </w:rPr>
              <w:t xml:space="preserve">dolžniških vrednostnih papirjev, ki jih ima institucija, ki so neobremenjeni. Poštena vrednost finančnega instrumenta je cena, ki bi se prejela za prodajo sredstva ali plačala za prenos obveznosti v rednem poslu med udeleženci na trgu na datum merjenja. (glej MSRP 13 Merjenje poštene vrednosti ter MSRP 13 in člen 8 Direktive 2013/34/EU)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vsako kategorijo sredstev je razkrita poštena vrednost mediana različnih poštenih vrednosti, zabeleženih na koncu vsakega obdobja razkritja, ki se upoštevajo pri izračunu mediane.</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EHQLA in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Mediana poštene vrednosti neobremenjenih EHQLA in HQLA, kot so našteta v členih 10, 11, 12, 13, 15 in 16 Delegirane uredbe Komisije (EU) 2015/61 ter ki izpolnjujejo splošne in operativne zahteve iz členov 7 in 8 navedene delegirane uredbe kot tudi zahteve, specifične za posamezne kategorije izpostavljenosti, določene v členih 10 do 16 in 35 do 37 navedene delegirane uredbe. Poštena vrednost EHQLA in HQLA je poštena vrednost pred uporabo odbitkov iz členov 10 do 16 Delegirane uredbe Komisije (EU) 2015/61.</w:t>
            </w:r>
          </w:p>
          <w:p w14:paraId="363AC6DC" w14:textId="77777777" w:rsidR="00D312C4" w:rsidRPr="007F4CC8" w:rsidRDefault="00D312C4" w:rsidP="00155C96">
            <w:pPr>
              <w:pStyle w:val="Fait"/>
              <w:spacing w:before="0" w:after="120"/>
            </w:pPr>
            <w:r>
              <w:rPr>
                <w:rStyle w:val="TeksttreciTimesNewRoman105ptOdstpy0pt"/>
              </w:rPr>
              <w:t>Za vsako kategorijo sredstev je razkrita poštena vrednost mediana različnih poštenih vrednosti, zabeleženih na koncu vsakega obdobja razkritja, ki se upoštevajo pri izračunu mediane.</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Predloga EU AE2 – Prejeto zavarovanje s premoženjem in izdani lastni dolžniški vrednostni papirji</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Institucije izpolnijo predlogo EU AE2 iz Priloge XXXV k tej izvedbeni uredbi ob upoštevanju spodnjih navodil.</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Pojasnilo</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Zavarovanje s premoženjem, ki ga prejme institucija, ki razkriva</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Vse kategorije zavarovanja s premoženjem, ki ga prejme institucija. V tej vrstici se razkrijejo vsi vrednostni papirji, ki jih prejme institucija izposojevalka v poslu izposoje vrednostnih papirjev. Skupno zavarovanje s premoženjem, ki ga prejme institucija, je mediana vsot štirih vrednosti na koncu vsakega četrtletja za predhodno dvanajstmesečno obdobje za vrstice 140 do 160 ter 220 in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Krediti na odpoklic</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Mediana zavarovanja s premoženjem, ki ga prejme institucija in zajema kredite na odpoklic, se razkrije v tej vrstici (glej pravno podlago in navodila za vrstico 120 predloge EU AE1). Vključuje vse vrednostne papirje, ki jih prejme institucija izposojevalka v poslu izposoje vrednostnih papirjev.</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Lastniški instrumenti</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Mediana zavarovanja s premoženjem, ki ga prejme institucija in zajema lastniške instrumente (glej pravno podlago in navodila za vrstico 030 predloge EU AE1). Vključuje vse vrednostne papirje, ki jih prejme institucija izposojevalka v poslu izposoje vrednostnih papirjev.</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Dolžniški vrednostni papirji</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(glej pravno podlago in navodila za vrstico 040 predloge EU AE1). Vključuje vse vrednostne papirje, ki jih prejme institucija izposojevalka v poslu izposoje vrednostnih papirjev.</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krite obveznice</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krite obveznice (glej pravno podlago in navodila za vrstico 050 predloge EU AE1). Vključuje vse vrednostne papirje, ki jih prejme institucija izposojevalka v poslu izposoje vrednostnih papirjev.</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od tega: </w:t>
            </w:r>
            <w:proofErr w:type="spellStart"/>
            <w:r>
              <w:rPr>
                <w:rStyle w:val="PogrubienieTeksttreciTimesNewRoman105ptOdstpy0pt"/>
                <w:rFonts w:eastAsia="Book Antiqua"/>
                <w:sz w:val="24"/>
                <w:szCs w:val="24"/>
              </w:rPr>
              <w:t>listinjenja</w:t>
            </w:r>
            <w:proofErr w:type="spellEnd"/>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vrednostne papirje s premoženjskim kritjem (glej pravno podlago in navodila za vrstico 060 predloge EU AE1). Vključuje vse vrednostne papirje, ki jih prejme institucija izposojevalka v poslu izposoje vrednostnih papirjev.</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ki jih izda sektor država</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ki jih izda sektor država (glej pravno podlago in navodila za vrstico 070 predloge EU AE1). Vključuje vse vrednostne papirje, ki jih prejme institucija izposojevalka v poslu izposoje vrednostnih papirjev.</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ki jih izdajo finančne družbe</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ki jih izdajo finančne družbe (glej pravno podlago in navodila za vrstico 080 predloge EU AE1). Vključuje vse vrednostne papirje, ki jih prejme institucija izposojevalka v poslu izposoje vrednostnih papirjev.</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ki jih izdajo nefinančne družbe</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Mediana zavarovanja s premoženjem, ki ga prejme institucija in zajema dolžniške vrednostne papirje, ki jih izdajo nefinančne družbe (glej pravno podlago in navodila za vrstico 090 predloge EU AE1). Vključuje vse vrednostne papirje, ki jih prejme institucija izposojevalka v poslu izposoje vrednostnih papirjev.</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Krediti in druga finančna sredstva razen kreditov na odpoklic</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Mediana zavarovanja s premoženjem, ki ga prejme institucija in zajema kredite in druga finančna sredstva, razen kreditov na odpoklic (glej pravno podlago in navodila za vrstico 120 predloge EU AE1). Vključuje </w:t>
            </w:r>
            <w:r>
              <w:rPr>
                <w:rStyle w:val="TeksttreciTimesNewRoman105ptOdstpy0pt"/>
                <w:rFonts w:eastAsiaTheme="minorEastAsia"/>
                <w:sz w:val="24"/>
              </w:rPr>
              <w:lastRenderedPageBreak/>
              <w:t>vse vrednostne papirje, ki jih prejme institucija izposojevalka v poslu izposoje vrednostnih papirjev.</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Drugo prejeto zavarovanje s premoženjem</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Mediana zavarovanja s premoženjem, ki ga prejme institucija in zajema druga sredstva (glej pravno podlago in navodila za vrstico 120 predloge EU AE1). Vključuje vse vrednostne papirje, ki jih prejme institucija izposojevalka v poslu izposoje vrednostnih papirjev.</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Izdani lastni dolžniški vrednostni papirji razen lastnih kritih obveznic ali </w:t>
            </w:r>
            <w:proofErr w:type="spellStart"/>
            <w:r>
              <w:rPr>
                <w:rStyle w:val="PogrubienieTeksttreciTimesNewRoman105ptOdstpy0pt"/>
                <w:rFonts w:eastAsia="Book Antiqua"/>
                <w:sz w:val="24"/>
                <w:szCs w:val="24"/>
              </w:rPr>
              <w:t>listinjenj</w:t>
            </w:r>
            <w:proofErr w:type="spellEnd"/>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Mediana izdanih lastnih dolžniških vrednostnih papirjev razen lastnih kritih obveznic ali </w:t>
            </w:r>
            <w:proofErr w:type="spellStart"/>
            <w:r>
              <w:rPr>
                <w:rStyle w:val="TeksttreciTimesNewRoman105ptOdstpy0pt"/>
                <w:rFonts w:eastAsia="Book Antiqua"/>
                <w:sz w:val="24"/>
                <w:szCs w:val="24"/>
              </w:rPr>
              <w:t>listinjenj</w:t>
            </w:r>
            <w:proofErr w:type="spellEnd"/>
            <w:r>
              <w:rPr>
                <w:rStyle w:val="TeksttreciTimesNewRoman105ptOdstpy0pt"/>
                <w:rFonts w:eastAsia="Book Antiqua"/>
                <w:sz w:val="24"/>
                <w:szCs w:val="24"/>
              </w:rPr>
              <w:t>. Ker zadržani ali začasno odkupljeni izdani lastni dolžniški vrednostni papirji v skladu z 42. členom MRS 39 za institucije, ki uporabljajo MSRP, zmanjšujejo povezane finančne obveznosti, ti vrednostni papirji niso vključeni v kategorijo sredstev institucije, ki razkriva. V to vrstico so vključeni lastni dolžniški vrednostni papirji, za katere institucija, ki ne uporablja MSRP, ni odpravila pripoznanja v bilanci stanja.</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Izdani lastne krite obveznice in </w:t>
            </w:r>
            <w:proofErr w:type="spellStart"/>
            <w:r>
              <w:rPr>
                <w:rStyle w:val="PogrubienieTeksttreciTimesNewRoman105ptOdstpy0pt"/>
                <w:rFonts w:eastAsia="Book Antiqua"/>
                <w:sz w:val="24"/>
                <w:szCs w:val="24"/>
              </w:rPr>
              <w:t>listinjenja</w:t>
            </w:r>
            <w:proofErr w:type="spellEnd"/>
            <w:r>
              <w:rPr>
                <w:rStyle w:val="PogrubienieTeksttreciTimesNewRoman105ptOdstpy0pt"/>
                <w:rFonts w:eastAsia="Book Antiqua"/>
                <w:sz w:val="24"/>
                <w:szCs w:val="24"/>
              </w:rPr>
              <w:t>, ki še niso zastavljeni</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Mediana izdanih lastnih kritih obveznic in </w:t>
            </w:r>
            <w:proofErr w:type="spellStart"/>
            <w:r>
              <w:rPr>
                <w:rStyle w:val="TeksttreciTimesNewRoman105ptOdstpy0pt"/>
                <w:rFonts w:eastAsiaTheme="minorEastAsia"/>
                <w:sz w:val="24"/>
              </w:rPr>
              <w:t>listinjenj</w:t>
            </w:r>
            <w:proofErr w:type="spellEnd"/>
            <w:r>
              <w:rPr>
                <w:rStyle w:val="InstructionsTabelleberschrift"/>
                <w:rFonts w:ascii="Times New Roman" w:hAnsi="Times New Roman"/>
                <w:b w:val="0"/>
                <w:sz w:val="24"/>
                <w:u w:val="none"/>
              </w:rPr>
              <w:t>, ki jih institucija, ki razkriva, zadrži in niso obremenjeni.</w:t>
            </w:r>
            <w:r>
              <w:rPr>
                <w:rStyle w:val="TeksttreciTimesNewRoman105ptOdstpy0pt"/>
                <w:rFonts w:eastAsiaTheme="minorEastAsia"/>
                <w:sz w:val="24"/>
              </w:rPr>
              <w:t xml:space="preserve"> Da se prepreči dvojno štetje, za lastne krite obveznice in </w:t>
            </w:r>
            <w:proofErr w:type="spellStart"/>
            <w:r>
              <w:rPr>
                <w:rStyle w:val="TeksttreciTimesNewRoman105ptOdstpy0pt"/>
                <w:rFonts w:eastAsiaTheme="minorEastAsia"/>
                <w:sz w:val="24"/>
              </w:rPr>
              <w:t>listinjenja</w:t>
            </w:r>
            <w:proofErr w:type="spellEnd"/>
            <w:r>
              <w:rPr>
                <w:rStyle w:val="TeksttreciTimesNewRoman105ptOdstpy0pt"/>
                <w:rFonts w:eastAsiaTheme="minorEastAsia"/>
                <w:sz w:val="24"/>
              </w:rPr>
              <w:t>, ki jih izda in zadrži institucija, ki razkriva, velja naslednje pravilo:</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 xml:space="preserve">(a) če so navedeni vrednostni papirji zastavljeni, se vrednost kritnega premoženja/sredstev, s katerimi so ti kriti, razkrije v predlogi EU AE1 kot obremenjeno sredstvo. V primeru zastave lastnih kritih obveznic in </w:t>
            </w:r>
            <w:proofErr w:type="spellStart"/>
            <w:r>
              <w:rPr>
                <w:rStyle w:val="TeksttreciTimesNewRoman105ptOdstpy0pt"/>
                <w:rFonts w:eastAsia="Book Antiqua"/>
                <w:sz w:val="24"/>
                <w:szCs w:val="24"/>
              </w:rPr>
              <w:t>listinjenj</w:t>
            </w:r>
            <w:proofErr w:type="spellEnd"/>
            <w:r>
              <w:rPr>
                <w:rStyle w:val="TeksttreciTimesNewRoman105ptOdstpy0pt"/>
                <w:rFonts w:eastAsia="Book Antiqua"/>
                <w:sz w:val="24"/>
                <w:szCs w:val="24"/>
              </w:rPr>
              <w:t xml:space="preserve"> je vir financiranja nov posel, v katerem so </w:t>
            </w:r>
            <w:proofErr w:type="spellStart"/>
            <w:r>
              <w:rPr>
                <w:rStyle w:val="TeksttreciTimesNewRoman105ptOdstpy0pt"/>
                <w:rFonts w:eastAsia="Book Antiqua"/>
                <w:sz w:val="24"/>
                <w:szCs w:val="24"/>
              </w:rPr>
              <w:t>listinjenja</w:t>
            </w:r>
            <w:proofErr w:type="spellEnd"/>
            <w:r>
              <w:rPr>
                <w:rStyle w:val="TeksttreciTimesNewRoman105ptOdstpy0pt"/>
                <w:rFonts w:eastAsia="Book Antiqua"/>
                <w:sz w:val="24"/>
                <w:szCs w:val="24"/>
              </w:rPr>
              <w:t xml:space="preserve"> zastavljena (financiranje s strani centralne banke ali druga vrsta zavarovanega financiranja), in ne prvotna izdaja kritih obveznic ali </w:t>
            </w:r>
            <w:proofErr w:type="spellStart"/>
            <w:r>
              <w:rPr>
                <w:rStyle w:val="TeksttreciTimesNewRoman105ptOdstpy0pt"/>
                <w:rFonts w:eastAsia="Book Antiqua"/>
                <w:sz w:val="24"/>
                <w:szCs w:val="24"/>
              </w:rPr>
              <w:t>listinjenj</w:t>
            </w:r>
            <w:proofErr w:type="spellEnd"/>
            <w:r>
              <w:rPr>
                <w:rStyle w:val="TeksttreciTimesNewRoman105ptOdstpy0pt"/>
                <w:rFonts w:eastAsia="Book Antiqua"/>
                <w:sz w:val="24"/>
                <w:szCs w:val="24"/>
              </w:rPr>
              <w:t>;</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če navedeni vrednostni papirji še niso zastavljeni, se vrednost kritnega premoženja/sredstev, s katerimi so ti kriti, razkrije v predlogi EU AE1 kot neobremenjeno sredstvo.</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Skupaj prejeto zavarovanje s premoženjem in izdani lastni dolžniški vrednostni papirji</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Vsa kategorije prejetega zavarovanja s premoženjem institucije ter izdanih lastnih dolžniških vrednostnih papirjev, ki jih je zadržala institucija, razen izdanih lastnih kritih obveznic ali izdanih lastnih </w:t>
            </w:r>
            <w:proofErr w:type="spellStart"/>
            <w:r>
              <w:rPr>
                <w:rStyle w:val="TeksttreciTimesNewRoman105ptOdstpy0pt"/>
                <w:rFonts w:eastAsia="Book Antiqua"/>
                <w:sz w:val="24"/>
                <w:szCs w:val="24"/>
              </w:rPr>
              <w:t>listinjenj</w:t>
            </w:r>
            <w:proofErr w:type="spellEnd"/>
            <w:r>
              <w:rPr>
                <w:rStyle w:val="TeksttreciTimesNewRoman105ptOdstpy0pt"/>
                <w:rFonts w:eastAsia="Book Antiqua"/>
                <w:sz w:val="24"/>
                <w:szCs w:val="24"/>
              </w:rPr>
              <w:t>.</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Ta vrstica je vsota median za vrstico 010 predloge EU AE1 in vrstici 130 ter 240 predloge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Številka stolpca</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Poštena vrednost prejetega obremenjenega zavarovanja s premoženjem ali izdanih lastnih dolžniških vrednostnih papirjev</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Mediana poštene vrednosti prejetega zavarovanja s premoženjem, vključno v poslih izposoje vrednostnih papirjev, ali izdanih lastnih dolžniških instrumentov, ki jih poseduje/zadrži institucija, ki so obremenjeni v skladu s členom 100 CRR.</w:t>
            </w:r>
          </w:p>
          <w:p w14:paraId="75605FD1" w14:textId="77777777" w:rsidR="00D312C4" w:rsidRPr="00253301" w:rsidRDefault="00D312C4" w:rsidP="00155C96">
            <w:pPr>
              <w:pStyle w:val="Fait"/>
              <w:spacing w:before="0" w:after="120"/>
            </w:pPr>
            <w:r>
              <w:rPr>
                <w:rStyle w:val="TeksttreciTimesNewRoman105ptOdstpy0pt"/>
                <w:sz w:val="24"/>
                <w:szCs w:val="24"/>
              </w:rPr>
              <w:t>Poštena vrednost finančnega instrumenta je cena, ki bi se prejela za prodajo sredstva ali plačala za prenos obveznosti v rednem poslu med udeleženci na trgu na datum merjenja</w:t>
            </w:r>
            <w:r>
              <w:t xml:space="preserve"> (za institucije, ki uporabljajo MSRP, glej MSRP 13 Merjenje poštene vrednosti).</w:t>
            </w:r>
            <w:r>
              <w:rPr>
                <w:rStyle w:val="TeksttreciTimesNewRoman105ptOdstpy0pt"/>
                <w:sz w:val="24"/>
                <w:szCs w:val="24"/>
              </w:rPr>
              <w:t xml:space="preserve"> Za vsako postavko zavarovanja s premoženjem je razkrita poštena vrednost mediana različnih poštenih vrednosti, zabeleženih na koncu vsakega obdobja razkritja, ki se upoštevajo pri izračunu mediane.</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hipotetično upravičena EHQLA in 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poštene vrednosti prejetega obremenjenega zavarovanja s premoženjem, vključno v poslih izposoje vrednostnih papirjev, ali izdanih lastnih dolžniških instrumentov, ki jih ima/zadrži institucija, ki so hipotetično upravičeni do razvrstitve kot EHQLA in HQLA. Za namene te uredbe so hipotetično upravičena obremenjena EHQLA in hipotetično upravičena obremenjena HQLA postavke prejetega zavarovanja s premoženjem ali izdanih lastnih dolžniških instrumentov, ki jih ima/zadrži institucija, iz členov 10, 11, 12, 13, 15 in 16 Delegirane uredbe Komisije (EU) 2015/61, ki bi izpolnjevale splošne in operativne zahteve iz členov 7 in 8 navedene delegirane uredbe, če ne bi imele statusa obremenjenih sredstev v skladu s Prilogo XVII k Izvedbeni uredbi Komisije (EU) št. 680/2014. Hipotetično upravičena obremenjena EHQLA in hipotetično upravičena obremenjena HQLA izpolnjujejo tudi zahteve, specifične za posamezne kategorije izpostavljenosti, določene v členih 10 do 16 in 35 do 37 Delegirane uredbe Komisije (EU) 2015/61. Poštena vrednost hipotetično upravičenih obremenjenih EHQLA in hipotetično upravičenih obremenjenih HQLA je poštena vrednost pred uporabo odbitkov iz členov 10 do 16 Delegirane uredbe Komisije (EU) 2015/61.</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Za vsako postavko zavarovanja s premoženjem je razkrita poštena vrednost mediana različnih poštenih vrednosti, zabeleženih na koncu vsakega obdobja razkritja, ki se upoštevajo pri izračunu mediane.</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Poštena vrednost prejetega zavarovanja s premoženjem ali izdanih lastnih dolžniških vrednostnih papirjev, ki se lahko obremenijo</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poštene vrednosti zavarovanja s premoženjem, ki ga prejme institucija, vključno v poslih izposoje vrednostnih papirjev, ki ni obremenjeno, vendar se ga lahko obremeni, ker ima institucija dovoljenje, da ga proda ali ponovno zastavi, kadar lastnik zavarovanja s premoženjem izpolnjuje svoje obveznosti. Vključuje tudi pošteno vrednost izdanih lastnih dolžniških vrednostnih papirjev, razen lastnih kritih obveznic ali </w:t>
            </w:r>
            <w:r>
              <w:rPr>
                <w:rStyle w:val="TeksttreciTimesNewRoman105ptOdstpy0pt"/>
                <w:rFonts w:eastAsiaTheme="minorEastAsia"/>
                <w:sz w:val="24"/>
              </w:rPr>
              <w:lastRenderedPageBreak/>
              <w:t xml:space="preserve">pozicij v </w:t>
            </w:r>
            <w:proofErr w:type="spellStart"/>
            <w:r>
              <w:rPr>
                <w:rStyle w:val="TeksttreciTimesNewRoman105ptOdstpy0pt"/>
                <w:rFonts w:eastAsiaTheme="minorEastAsia"/>
                <w:sz w:val="24"/>
              </w:rPr>
              <w:t>listinjenju</w:t>
            </w:r>
            <w:proofErr w:type="spellEnd"/>
            <w:r>
              <w:rPr>
                <w:rStyle w:val="TeksttreciTimesNewRoman105ptOdstpy0pt"/>
                <w:rFonts w:eastAsiaTheme="minorEastAsia"/>
                <w:sz w:val="24"/>
              </w:rPr>
              <w:t>, ki niso obremenjeni, vendar se lahko obremenijo. Za vsako postavko zavarovanja s premoženjem je razkrita poštena vrednost mediana različnih poštenih vrednosti, zabeleženih na koncu vsakega obdobja razkritja, ki se upoštevajo pri izračunu mediane.</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tega: EHQLA in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poštene vrednosti prejetega neobremenjenega zavarovanja s premoženjem ali izdanih lastnih dolžniških instrumentov, ki jih ima/zadrži institucija, razen lastnih kritih obveznic ali pozicij v </w:t>
            </w:r>
            <w:proofErr w:type="spellStart"/>
            <w:r>
              <w:rPr>
                <w:rStyle w:val="TeksttreciTimesNewRoman105ptOdstpy0pt"/>
                <w:rFonts w:eastAsiaTheme="minorEastAsia"/>
                <w:sz w:val="24"/>
              </w:rPr>
              <w:t>listinjenju</w:t>
            </w:r>
            <w:proofErr w:type="spellEnd"/>
            <w:r>
              <w:rPr>
                <w:rStyle w:val="TeksttreciTimesNewRoman105ptOdstpy0pt"/>
                <w:rFonts w:eastAsiaTheme="minorEastAsia"/>
                <w:sz w:val="24"/>
              </w:rPr>
              <w:t xml:space="preserve">, ki se lahko obremenijo ter ki izpolnjujejo pogoje za EHQLA in HQLA, kot so našteta v členih 10, 11, 12, 13, 15 in 16 Delegirane uredbe Komisije (EU) 2015/61, ter ki izpolnjujejo splošne in operativne zahteve iz členov 7 in 8 navedene delegirane uredbe kot tudi zahteve, specifične za posamezne kategorije izpostavljenosti, določene v členih 10 do 16 in 35 do 37 navedene delegirane uredbe. Poštena vrednost EHQLA in HQLA je poštena vrednost pred uporabo odbitkov iz členov 10 do 16 Delegirane uredbe Komisije (EU) 2015/61.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Predloga EU AE3 – Viri obremenitve</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Institucije izpolnijo predlogo EU AE3 iz Priloge XXXV k tej izvedbeni uredbi ob upoštevanju spodnjih navodil.</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Pojasnilo</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Knjigovodska vrednost izbranih finančnih obveznosti</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Mediana postavke „knjigovodska vrednost izbranih finančnih obveznosti“ institucije, če te obveznosti vključujejo obremenitev sredstev za institucijo.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stolpca</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Ustrezne obveznosti, pogojne obveznosti ali posojeni vrednostni papirji</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Mediane ustreznih obveznosti, pogojnih obveznosti (prejetih obveznosti iz kreditov in prejetih finančnih jamstev) ali posojenih vrednostnih papirjev z zavarovanjem z nedenarnimi sredstvi, če ti posli vključujejo obremenitev sredstev za zadevno institucijo.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Finančne obveznosti se razkrijejo po njihovi knjigovodski vrednosti; pogojne obveznosti se razkrijejo po njihovi nominalni vrednosti; posojeni vrednostni papirji z zavarovanjem z nedenarnimi sredstvi se razkrijejo po njihovih poštenih vrednostih.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lastRenderedPageBreak/>
              <w:t>Razkrita poštena vrednost je mediana različnih poštenih vrednosti, zabeleženih na koncu vsakega obdobja razkritja, ki se upoštevajo pri izračunu mediane.</w:t>
            </w:r>
          </w:p>
          <w:p w14:paraId="52DDBB79" w14:textId="77777777" w:rsidR="00D312C4" w:rsidRPr="007F4CC8" w:rsidRDefault="00D312C4" w:rsidP="00155C96">
            <w:pPr>
              <w:pStyle w:val="Fait"/>
              <w:spacing w:before="0" w:after="120"/>
            </w:pPr>
            <w:r>
              <w:rPr>
                <w:rStyle w:val="TeksttreciTimesNewRoman105ptOdstpy0pt"/>
              </w:rPr>
              <w:t>Vključijo se obveznosti brez povezanega financiranja, kot so izvedeni finančni instrumenti.</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Obremenjeni sredstva, prejeto zavarovanje s premoženjem in izdani lastni vrednostni papirji razen kritih obveznic in </w:t>
            </w:r>
            <w:proofErr w:type="spellStart"/>
            <w:r>
              <w:rPr>
                <w:rStyle w:val="PogrubienieTeksttreciTimesNewRoman105ptOdstpy0pt"/>
                <w:rFonts w:eastAsia="Book Antiqua"/>
                <w:sz w:val="24"/>
                <w:szCs w:val="24"/>
              </w:rPr>
              <w:t>listinjenj</w:t>
            </w:r>
            <w:proofErr w:type="spellEnd"/>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Znesek sredstev, prejetega zavarovanja s premoženjem in izdanih lastnih vrednostnih papirjev razen kritih obveznic in </w:t>
            </w:r>
            <w:proofErr w:type="spellStart"/>
            <w:r>
              <w:rPr>
                <w:rStyle w:val="TeksttreciTimesNewRoman105ptOdstpy0pt"/>
                <w:rFonts w:eastAsia="Book Antiqua"/>
                <w:sz w:val="24"/>
                <w:szCs w:val="24"/>
              </w:rPr>
              <w:t>listinjenj</w:t>
            </w:r>
            <w:proofErr w:type="spellEnd"/>
            <w:r>
              <w:rPr>
                <w:rStyle w:val="TeksttreciTimesNewRoman105ptOdstpy0pt"/>
                <w:rFonts w:eastAsia="Book Antiqua"/>
                <w:sz w:val="24"/>
                <w:szCs w:val="24"/>
              </w:rPr>
              <w:t>, ki so obremenjeni zaradi različnih vrst poslov, razkritih tukaj.</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Za zagotovitev skladnosti z merili iz predlog EU AE1 in EU AE2 se za sredstva institucije, evidentirana v bilanci stanja, razkrije mediana njihove knjigovodske vrednosti, za ponovno uporabljeno prejeto zavarovanje s premoženjem in obremenjene izdane lastne vrednostne papirje razen kritih obveznic in </w:t>
            </w:r>
            <w:proofErr w:type="spellStart"/>
            <w:r>
              <w:rPr>
                <w:rStyle w:val="TeksttreciTimesNewRoman105ptOdstpy0pt"/>
                <w:rFonts w:eastAsia="Book Antiqua"/>
                <w:sz w:val="24"/>
                <w:szCs w:val="24"/>
              </w:rPr>
              <w:t>listinjenj</w:t>
            </w:r>
            <w:proofErr w:type="spellEnd"/>
            <w:r>
              <w:rPr>
                <w:rStyle w:val="TeksttreciTimesNewRoman105ptOdstpy0pt"/>
                <w:rFonts w:eastAsia="Book Antiqua"/>
                <w:sz w:val="24"/>
                <w:szCs w:val="24"/>
              </w:rPr>
              <w:t xml:space="preserve"> pa se razkrije mediana njihove poštene vrednosti. Razkrita poštena vrednost je mediana različnih poštenih vrednosti, zabeleženih na koncu vsakega obdobja razkritja, ki se upoštevajo pri izračunu mediane.</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Obremenjena sredstva brez ustreznih obveznosti se prav tako vključijo.</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Razpredelnica EU-AE4 – Priložene opisne informacije</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Institucije izpolnijo razpredelnico EU AE4 iz Priloge XXXV k tej izvedbeni uredbi ob upoštevanju spodnjih navodil.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podlaga in navodila</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Splošne opisne informacije o obremenitvi sredstev, ki vključujejo:</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pojasnilo razlik med obsegom konsolidacije za regulativne namene, ki se uporablja za namen razkritij o obremenitvi sredstev, in obsegom, ohranjenim za uporabo likvidnostnih zahtev na konsolidirani podlagi, kot je opredeljeno v poglavju 2 naslova I dela 2 CRR, ki se uporablja za določanje upravičenosti za razvrstitev kot (E)HQLA;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pojasnilo razlik med, na eni strani, sredstvi, zastavljenimi in prenesenimi v skladu z veljavnimi računovodskimi okviri in prakso institucije, ter, na drugi strani, obremenjenimi sredstvi; poleg tega se navede vsaka razlika pri obravnavi poslov, kot v primeru poslov, ki povzročijo zastavo ali prenos sredstev, ne pa tudi njihove obremenitve, in obratno;</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vrednost izpostavljenosti, uporabljeno za namene razkritja, in kako se izračunajo mediane vrednosti izpostavljenosti.</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Opisne informacije v zvezi z vplivom poslovnega modela institucije na njeno raven obremenitve in pomembnostjo obremenitve za model financiranja, ki ga uporablja institucija, ki vključujejo:</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glavne vire in vrste obremenitve, po potrebi s podrobnim opisom obremenitve zaradi pomembnih dejavnosti z izvedenimi finančnimi instrumenti, posojanja vrednostnih papirjev, repo poslov, izdaje kritih obveznic in </w:t>
            </w:r>
            <w:proofErr w:type="spellStart"/>
            <w:r>
              <w:rPr>
                <w:sz w:val="24"/>
                <w:szCs w:val="24"/>
              </w:rPr>
              <w:t>listinjenja</w:t>
            </w:r>
            <w:proofErr w:type="spellEnd"/>
            <w:r>
              <w:rPr>
                <w:sz w:val="24"/>
                <w:szCs w:val="24"/>
              </w:rPr>
              <w:t>;</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strukturo obremenitve med subjekti v skupini in zlasti, ali raven obremenitve konsolidirane skupine izhaja iz določenih subjektov ter ali obstaja precejšnja obremenitev znotraj skupine;</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informacije o presežnem zavarovanju, zlasti v zvezi s kritimi obveznicami in </w:t>
            </w:r>
            <w:proofErr w:type="spellStart"/>
            <w:r>
              <w:rPr>
                <w:sz w:val="24"/>
                <w:szCs w:val="24"/>
              </w:rPr>
              <w:t>listinjenjem</w:t>
            </w:r>
            <w:proofErr w:type="spellEnd"/>
            <w:r>
              <w:rPr>
                <w:sz w:val="24"/>
                <w:szCs w:val="24"/>
              </w:rPr>
              <w:t>, in o vplivu presežnega zavarovanja na ravni obremenitve;</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dodatne informacije o obremenitvi sredstev, zavarovanja s premoženjem in </w:t>
            </w:r>
            <w:proofErr w:type="spellStart"/>
            <w:r>
              <w:rPr>
                <w:sz w:val="24"/>
                <w:szCs w:val="24"/>
              </w:rPr>
              <w:t>zunajbilančnih</w:t>
            </w:r>
            <w:proofErr w:type="spellEnd"/>
            <w:r>
              <w:rPr>
                <w:sz w:val="24"/>
                <w:szCs w:val="24"/>
              </w:rPr>
              <w:t xml:space="preserve"> postavk ter o virih obremenitve po vseh pomembnih valutah razen valuti poročanja, kot je določeno v členu 415(2) CRR;</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splošen opis deleža postavk, vključenih v stolpec 060 „knjigovodska vrednost neobremenjenih sredstev“ v predlogi EU AE1, za katere institucija meni, da niso na voljo za obremenitev pri običajnem poslovanju (npr. neopredmetena sredstva, vključno z dobrim imenom, odložene terjatve za davek, opredmetena osnovna sredstva, sredstva iz naslova izvedenih finančnih instrumentov ter terjatve iz povratnih repo poslov in poslov izposojanja vrednostih papirjev);</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vrednost sredstev, ki so osnova, in sredstev kritnega premoženja zadržanih </w:t>
            </w:r>
            <w:proofErr w:type="spellStart"/>
            <w:r>
              <w:rPr>
                <w:sz w:val="24"/>
                <w:szCs w:val="24"/>
              </w:rPr>
              <w:t>listinjenj</w:t>
            </w:r>
            <w:proofErr w:type="spellEnd"/>
            <w:r>
              <w:rPr>
                <w:sz w:val="24"/>
                <w:szCs w:val="24"/>
              </w:rPr>
              <w:t xml:space="preserve"> in zadržanih kritih obveznic ter ali so ta sredstva, ki so osnova, in sredstva kritnega premoženja obremenjena ali neobremenjena, skupaj z vrednostjo povezanih zadržanih </w:t>
            </w:r>
            <w:proofErr w:type="spellStart"/>
            <w:r>
              <w:rPr>
                <w:sz w:val="24"/>
                <w:szCs w:val="24"/>
              </w:rPr>
              <w:t>listinjenj</w:t>
            </w:r>
            <w:proofErr w:type="spellEnd"/>
            <w:r>
              <w:rPr>
                <w:sz w:val="24"/>
                <w:szCs w:val="24"/>
              </w:rPr>
              <w:t xml:space="preserve"> in zadržanih kritih obveznic;</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kadar je to relevantno za obrazložitev vpliva poslovnega modela institucij na njihovo raven obremenitve, podrobnosti (vključno s kvantitativnimi informacijami, če je to potrebno) o:</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 xml:space="preserve">vrstah in zneskih obremenjenih in neobremenjenih </w:t>
            </w:r>
            <w:r>
              <w:rPr>
                <w:sz w:val="24"/>
                <w:szCs w:val="24"/>
              </w:rPr>
              <w:lastRenderedPageBreak/>
              <w:t>sredstev, vključenih v vrstico 120 predloge EU AE1;</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 xml:space="preserve">zneskih in vrstah obremenjenih sredstev in </w:t>
            </w:r>
            <w:proofErr w:type="spellStart"/>
            <w:r>
              <w:rPr>
                <w:sz w:val="24"/>
                <w:szCs w:val="24"/>
              </w:rPr>
              <w:t>zunajbilančnih</w:t>
            </w:r>
            <w:proofErr w:type="spellEnd"/>
            <w:r>
              <w:rPr>
                <w:sz w:val="24"/>
                <w:szCs w:val="24"/>
              </w:rPr>
              <w:t xml:space="preserve"> postavk, vključenih v vrstico 010 predloge EU AE3, ki niso povezani z nobenimi obveznostmi;</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kjer je relevantno v okviru njihove uporabe obremenitve v zvezi z njihovim poslovnim modelom, dodatne informacije o razčlenitvi naslednjih vrstic v predlogah EU AE1, EU AE2 in EU AE3: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vrstice 120 predloge EU AE1 – „druga sredstva“;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vrstice 230 predloge EU AE2 – „drugo prejeto zavarovanje s premoženjem“;</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vrstice 010 predloge EU AE3 – „knjigovodska vrednost izbranih finančnih obveznosti“ (zlasti če je en del obremenitve sredstev povezan z obveznostmi, drug del pa ne).</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81737A" w:rsidRDefault="0081737A" w:rsidP="00A00E34">
      <w:r>
        <w:separator/>
      </w:r>
    </w:p>
    <w:p w14:paraId="09D91489" w14:textId="77777777" w:rsidR="0081737A" w:rsidRDefault="0081737A"/>
  </w:endnote>
  <w:endnote w:type="continuationSeparator" w:id="0">
    <w:p w14:paraId="51EB50DE" w14:textId="77777777" w:rsidR="0081737A" w:rsidRDefault="0081737A" w:rsidP="00A00E34">
      <w:r>
        <w:continuationSeparator/>
      </w:r>
    </w:p>
    <w:p w14:paraId="4B8A26D8" w14:textId="77777777" w:rsidR="0081737A" w:rsidRDefault="0081737A"/>
  </w:endnote>
  <w:endnote w:type="continuationNotice" w:id="1">
    <w:p w14:paraId="59DA252B" w14:textId="77777777" w:rsidR="0081737A" w:rsidRDefault="00817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81737A" w:rsidRDefault="0081737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81737A" w:rsidRDefault="0081737A"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0B8541DB" w:rsidR="0081737A" w:rsidRDefault="0081737A"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61FD">
      <w:rPr>
        <w:rStyle w:val="PageNumber"/>
        <w:noProof/>
      </w:rPr>
      <w:t>12</w:t>
    </w:r>
    <w:r>
      <w:rPr>
        <w:rStyle w:val="PageNumber"/>
      </w:rPr>
      <w:fldChar w:fldCharType="end"/>
    </w:r>
  </w:p>
  <w:p w14:paraId="1ADEF20C" w14:textId="2F6876BD" w:rsidR="0081737A" w:rsidRDefault="0081737A" w:rsidP="00155C96">
    <w:pPr>
      <w:pStyle w:val="Footer"/>
      <w:tabs>
        <w:tab w:val="clear" w:pos="4320"/>
        <w:tab w:val="clear" w:pos="8640"/>
        <w:tab w:val="left" w:pos="1093"/>
      </w:tabs>
      <w:ind w:right="360"/>
    </w:pPr>
    <w:r>
      <w:rPr>
        <w:noProof/>
        <w:lang w:eastAsia="sl-SI"/>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81737A" w:rsidRDefault="00817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81737A" w:rsidRPr="00DB5E8F" w:rsidRDefault="0081737A">
      <w:pPr>
        <w:rPr>
          <w:sz w:val="12"/>
          <w:szCs w:val="12"/>
        </w:rPr>
      </w:pPr>
      <w:r>
        <w:rPr>
          <w:sz w:val="12"/>
          <w:szCs w:val="12"/>
        </w:rPr>
        <w:separator/>
      </w:r>
    </w:p>
  </w:footnote>
  <w:footnote w:type="continuationSeparator" w:id="0">
    <w:p w14:paraId="7486523A" w14:textId="77777777" w:rsidR="0081737A" w:rsidRDefault="0081737A" w:rsidP="00A00E34">
      <w:r>
        <w:continuationSeparator/>
      </w:r>
    </w:p>
    <w:p w14:paraId="600D8191" w14:textId="77777777" w:rsidR="0081737A" w:rsidRDefault="0081737A"/>
  </w:footnote>
  <w:footnote w:type="continuationNotice" w:id="1">
    <w:p w14:paraId="3AC4A386" w14:textId="77777777" w:rsidR="0081737A" w:rsidRDefault="0081737A"/>
  </w:footnote>
  <w:footnote w:id="2">
    <w:p w14:paraId="262BD994" w14:textId="124858B9" w:rsidR="0081737A" w:rsidRPr="00346640" w:rsidRDefault="0081737A" w:rsidP="00BB5993">
      <w:pPr>
        <w:pStyle w:val="FootnoteText"/>
        <w:rPr>
          <w:rFonts w:eastAsia="Calibri" w:cstheme="minorHAnsi"/>
        </w:rPr>
      </w:pPr>
      <w:r>
        <w:rPr>
          <w:rStyle w:val="FootnoteReference"/>
          <w:rFonts w:cstheme="minorHAnsi"/>
          <w:sz w:val="18"/>
        </w:rPr>
        <w:footnoteRef/>
      </w:r>
      <w:r>
        <w:t xml:space="preserve"> </w:t>
      </w:r>
      <w:r>
        <w:tab/>
        <w:t xml:space="preserve">Uredba (EU) št. 575/2013 Evropskega parlamenta in Sveta z dne 26. junija 2013 o bonitetnih zahtevah za kreditne institucije in investicijska podjetja ter o spremembi Uredbe (EU) št. 648/2012 </w:t>
      </w:r>
      <w:r>
        <w:rPr>
          <w:color w:val="444444"/>
        </w:rPr>
        <w:t>(</w:t>
      </w:r>
      <w:hyperlink r:id="rId1" w:history="1">
        <w:r>
          <w:rPr>
            <w:color w:val="800080"/>
            <w:u w:val="single"/>
          </w:rPr>
          <w:t>UL L 176, 27.6.2013, str. 1</w:t>
        </w:r>
      </w:hyperlink>
      <w:r>
        <w:rPr>
          <w:color w:val="444444"/>
        </w:rPr>
        <w:t>)</w:t>
      </w:r>
      <w:r>
        <w:t>.</w:t>
      </w:r>
    </w:p>
  </w:footnote>
  <w:footnote w:id="3">
    <w:p w14:paraId="65DAF6E3" w14:textId="5241BF60" w:rsidR="0081737A" w:rsidRPr="00222AAB" w:rsidRDefault="0081737A" w:rsidP="00BB5993">
      <w:pPr>
        <w:pStyle w:val="FootnoteText"/>
        <w:rPr>
          <w:rFonts w:cstheme="minorHAnsi"/>
        </w:rPr>
      </w:pPr>
      <w:r>
        <w:rPr>
          <w:rStyle w:val="FootnoteReference"/>
          <w:rFonts w:cstheme="minorHAnsi"/>
          <w:sz w:val="18"/>
        </w:rPr>
        <w:footnoteRef/>
      </w:r>
      <w:r>
        <w:t xml:space="preserve"> Smernice EBA/GL/2018/03 Evropskega bančnega organa z dne 19. julija 2018 o revidiranih skupnih postopkih in metodologijah za proces nadzorniškega pregledovanja in ovrednotenja (PNPO) ter nadzorniškega stresnega testiranja.</w:t>
      </w:r>
    </w:p>
  </w:footnote>
  <w:footnote w:id="4">
    <w:p w14:paraId="6EEE1EF0" w14:textId="468CF1D3" w:rsidR="0081737A" w:rsidRPr="00222AAB" w:rsidRDefault="0081737A" w:rsidP="00BB5993">
      <w:pPr>
        <w:pStyle w:val="FootnoteText"/>
        <w:rPr>
          <w:rFonts w:cstheme="minorHAnsi"/>
        </w:rPr>
      </w:pPr>
      <w:r>
        <w:rPr>
          <w:rStyle w:val="FootnoteReference"/>
          <w:rFonts w:cstheme="minorHAnsi"/>
          <w:sz w:val="18"/>
        </w:rPr>
        <w:footnoteRef/>
      </w:r>
      <w:r>
        <w:t xml:space="preserve"> Delegirana uredba Komisije (EU) 2015/61 z dne 10. oktobra 2014 o dopolnitvi Uredbe (EU) št. 575/2013 Evropskega parlamenta in Sveta v zvezi z zahtevo glede likvidnostnega kritja za kreditne institucije (UL L 11, 17.1.2015, str. 1).</w:t>
      </w:r>
    </w:p>
  </w:footnote>
  <w:footnote w:id="5">
    <w:p w14:paraId="2A17ED68" w14:textId="5745B56A" w:rsidR="0081737A" w:rsidRPr="00222AAB" w:rsidRDefault="0081737A" w:rsidP="00BB5993">
      <w:pPr>
        <w:pStyle w:val="FootnoteText"/>
        <w:rPr>
          <w:rFonts w:cstheme="minorHAnsi"/>
        </w:rPr>
      </w:pPr>
      <w:r>
        <w:rPr>
          <w:rStyle w:val="FootnoteReference"/>
          <w:rFonts w:cstheme="minorHAnsi"/>
          <w:sz w:val="18"/>
        </w:rPr>
        <w:footnoteRef/>
      </w:r>
      <w:r>
        <w:t xml:space="preserve"> Direktiva 2002/87/ES Evropskega parlamenta in Sveta z dne 16. decembra 2002 o dopolnilnem nadzoru kreditnih institucij, zavarovalnic in investicijskih družb v finančnem konglomeratu, ki spreminja direktive Sveta 73/239/EGS, 79/267/EGS, 92/49/EGS, 92/96/EGS, 93/6/EGS in 93/22/EGS ter direktivi 98/78/ES in 2000/12/ES Evropskega parlamenta in Sveta (UL L 35, 11.2.2003, str. 1).</w:t>
      </w:r>
    </w:p>
  </w:footnote>
  <w:footnote w:id="6">
    <w:p w14:paraId="0F97224E" w14:textId="729DACC0" w:rsidR="0081737A" w:rsidRPr="00346640" w:rsidRDefault="0081737A" w:rsidP="00BB5993">
      <w:pPr>
        <w:pStyle w:val="FootnoteText"/>
        <w:rPr>
          <w:rFonts w:eastAsia="Calibri" w:cstheme="minorHAnsi"/>
        </w:rPr>
      </w:pPr>
      <w:r>
        <w:rPr>
          <w:rStyle w:val="FootnoteReference"/>
          <w:rFonts w:cstheme="minorHAnsi"/>
          <w:sz w:val="18"/>
        </w:rPr>
        <w:footnoteRef/>
      </w:r>
      <w:r>
        <w:t xml:space="preserve"> </w:t>
      </w:r>
      <w:r>
        <w:tab/>
      </w:r>
      <w:r>
        <w:rPr>
          <w:color w:val="444444"/>
        </w:rPr>
        <w:t>Uredba (EU) št. 575/2013 Evropskega parlamenta in Sveta z dne 26. junija 2013 o bonitetnih zahtevah za kreditne institucije in investicijska podjetja ter o spremembi Uredbe (EU) št. 648/2012 (</w:t>
      </w:r>
      <w:hyperlink r:id="rId2" w:history="1">
        <w:r>
          <w:rPr>
            <w:color w:val="800080"/>
            <w:u w:val="single"/>
          </w:rPr>
          <w:t>UL L 176, 27.6.2013, str. 1</w:t>
        </w:r>
      </w:hyperlink>
      <w:r>
        <w:rPr>
          <w:color w:val="444444"/>
        </w:rPr>
        <w:t>).</w:t>
      </w:r>
    </w:p>
  </w:footnote>
  <w:footnote w:id="7">
    <w:p w14:paraId="340BC0CF" w14:textId="64A6735B" w:rsidR="0081737A" w:rsidRPr="00222AAB" w:rsidRDefault="0081737A" w:rsidP="00BB5993">
      <w:pPr>
        <w:pStyle w:val="FootnoteText"/>
        <w:rPr>
          <w:rFonts w:cstheme="minorHAnsi"/>
        </w:rPr>
      </w:pPr>
      <w:r>
        <w:rPr>
          <w:rStyle w:val="FootnoteReference"/>
          <w:rFonts w:cstheme="minorHAnsi"/>
          <w:sz w:val="18"/>
        </w:rPr>
        <w:footnoteRef/>
      </w:r>
      <w:r>
        <w:t xml:space="preserve"> </w:t>
      </w:r>
      <w:r>
        <w:tab/>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8">
    <w:p w14:paraId="1BE208BA" w14:textId="7F79ECB4" w:rsidR="0081737A" w:rsidRPr="00346640" w:rsidRDefault="0081737A" w:rsidP="00BB5993">
      <w:pPr>
        <w:pStyle w:val="FootnoteText"/>
        <w:rPr>
          <w:rFonts w:eastAsia="Calibri" w:cstheme="minorHAnsi"/>
        </w:rPr>
      </w:pPr>
      <w:r>
        <w:rPr>
          <w:rStyle w:val="FootnoteReference"/>
          <w:rFonts w:cstheme="minorHAnsi"/>
          <w:sz w:val="18"/>
          <w:lang w:val="en-GB"/>
        </w:rPr>
        <w:footnoteRef/>
      </w:r>
      <w:r>
        <w:t xml:space="preserve"> </w:t>
      </w:r>
      <w:r>
        <w:tab/>
        <w:t>Uredba (EU) št. 575/2013 Evropskega parlamenta in Sveta z dne 26. junija 2013 o bonitetnih zahtevah za kreditne institucije in investicijska podjetja ter o spremembi Uredbe (EU) št. 648/2012 (</w:t>
      </w:r>
      <w:hyperlink r:id="rId3" w:history="1">
        <w:r>
          <w:rPr>
            <w:color w:val="800080"/>
            <w:u w:val="single"/>
          </w:rPr>
          <w:t>UL L 176, 27.6.2013, str. 1).</w:t>
        </w:r>
      </w:hyperlink>
    </w:p>
  </w:footnote>
  <w:footnote w:id="9">
    <w:p w14:paraId="49757893" w14:textId="037AB167" w:rsidR="0081737A" w:rsidRPr="00BB5993" w:rsidRDefault="0081737A" w:rsidP="00BB5993">
      <w:pPr>
        <w:pStyle w:val="FootnoteText"/>
        <w:rPr>
          <w:rFonts w:cstheme="minorHAnsi"/>
        </w:rPr>
      </w:pPr>
      <w:r>
        <w:rPr>
          <w:rStyle w:val="FootnoteReference"/>
          <w:rFonts w:cstheme="minorHAnsi"/>
          <w:sz w:val="18"/>
        </w:rPr>
        <w:footnoteRef/>
      </w:r>
      <w:r>
        <w:t xml:space="preserve"> </w:t>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10">
    <w:p w14:paraId="3A9F714D" w14:textId="14F46136" w:rsidR="0081737A" w:rsidRPr="00222AAB" w:rsidRDefault="0081737A">
      <w:pPr>
        <w:pStyle w:val="FootnoteText"/>
        <w:rPr>
          <w:rFonts w:cstheme="minorHAnsi"/>
        </w:rPr>
      </w:pPr>
      <w:r>
        <w:rPr>
          <w:rStyle w:val="FootnoteReference"/>
          <w:rFonts w:cstheme="minorHAnsi"/>
          <w:sz w:val="18"/>
        </w:rPr>
        <w:footnoteRef/>
      </w:r>
      <w:r>
        <w:t xml:space="preserve"> </w:t>
      </w:r>
      <w:r>
        <w:tab/>
        <w:t>UREDBA (ES) št. 1606/2002 EVROPSKEGA PARLAMENTA IN SVETA z dne 19. julija 2002 o uporabi mednarodnih računovodskih standardov (UL L 243, 11.9.2002, str. 1).</w:t>
      </w:r>
    </w:p>
  </w:footnote>
  <w:footnote w:id="11">
    <w:p w14:paraId="11CA5EE8" w14:textId="7E420F35" w:rsidR="0081737A" w:rsidRPr="00222AAB" w:rsidRDefault="0081737A">
      <w:pPr>
        <w:pStyle w:val="FootnoteText"/>
        <w:rPr>
          <w:rFonts w:cstheme="minorHAnsi"/>
        </w:rPr>
      </w:pPr>
      <w:r>
        <w:rPr>
          <w:rStyle w:val="FootnoteReference"/>
          <w:rFonts w:cstheme="minorHAnsi"/>
          <w:sz w:val="18"/>
        </w:rPr>
        <w:footnoteRef/>
      </w:r>
      <w:r>
        <w:t xml:space="preserve"> </w:t>
      </w:r>
      <w:r>
        <w:tab/>
        <w:t>DIREKTIVA SVETA 86/635/EGS z dne 8. decembra 1986 o letnih računovodskih izkazih in konsolidiranih računovodskih izkazih bank in drugih finančnih institucij (UL L 372, 31.12.1986, str. 1).</w:t>
      </w:r>
    </w:p>
  </w:footnote>
  <w:footnote w:id="12">
    <w:p w14:paraId="1BA7AC25" w14:textId="474E661B" w:rsidR="0081737A" w:rsidRPr="00222AAB" w:rsidRDefault="0081737A">
      <w:pPr>
        <w:pStyle w:val="FootnoteText"/>
        <w:rPr>
          <w:rFonts w:cstheme="minorHAnsi"/>
        </w:rPr>
      </w:pPr>
      <w:r>
        <w:rPr>
          <w:rStyle w:val="FootnoteReference"/>
          <w:rFonts w:cstheme="minorHAnsi"/>
          <w:sz w:val="18"/>
        </w:rPr>
        <w:footnoteRef/>
      </w:r>
      <w:r>
        <w:t xml:space="preserve"> </w:t>
      </w:r>
      <w:r>
        <w:tab/>
        <w:t>DELEGIRANA UREDBA KOMISIJE (EU) št. 183/2014 z dne 20. decembra 2013 o dopolnitvi Uredbe (EU) št. 575/2013 Evropskega parlamenta in Sveta o bonitetnih zahtevah za kreditne institucije in investicijska podjetja glede regulativnih tehničnih standardov za določitev izračuna posebnih in splošnih popravkov zaradi kreditnega tveganja (UL L 57, 27.2.2014, str. 3).</w:t>
      </w:r>
    </w:p>
  </w:footnote>
  <w:footnote w:id="13">
    <w:p w14:paraId="0A83D452" w14:textId="25AFEB68" w:rsidR="0081737A" w:rsidRPr="00222AAB" w:rsidRDefault="0081737A">
      <w:pPr>
        <w:pStyle w:val="FootnoteText"/>
        <w:rPr>
          <w:rFonts w:cstheme="minorHAnsi"/>
        </w:rPr>
      </w:pPr>
      <w:r>
        <w:rPr>
          <w:rStyle w:val="FootnoteReference"/>
          <w:rFonts w:cstheme="minorHAnsi"/>
          <w:sz w:val="18"/>
        </w:rPr>
        <w:footnoteRef/>
      </w:r>
      <w:r>
        <w:t xml:space="preserve"> </w:t>
      </w:r>
      <w:r>
        <w:tab/>
        <w:t>DELEGIRANA UREDBA KOMISIJE (EU) 2016/101 z dne 26. oktobra 2015 o dopolnitvi Uredbe (EU) št. 575/2013 Evropskega parlamenta in Sveta v zvezi z regulativnimi tehničnimi standardi za preudarno vrednotenje v skladu s členom 105(14) (UL L 21, 28.1.2016, str. 54).</w:t>
      </w:r>
    </w:p>
  </w:footnote>
  <w:footnote w:id="14">
    <w:p w14:paraId="334F3E32" w14:textId="1517F5D4"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4" w:history="1">
        <w:r>
          <w:rPr>
            <w:rStyle w:val="Hyperlink"/>
          </w:rPr>
          <w:t>UL L 176, 27.6.2013, str. 1).</w:t>
        </w:r>
      </w:hyperlink>
    </w:p>
    <w:p w14:paraId="6BE73D03" w14:textId="37FE378A" w:rsidR="0081737A" w:rsidRPr="00222AAB" w:rsidRDefault="0081737A">
      <w:pPr>
        <w:pStyle w:val="FootnoteText"/>
        <w:rPr>
          <w:rFonts w:cstheme="minorHAnsi"/>
        </w:rPr>
      </w:pPr>
    </w:p>
  </w:footnote>
  <w:footnote w:id="15">
    <w:p w14:paraId="24515CC3" w14:textId="77777777" w:rsidR="0081737A" w:rsidRPr="00222AAB" w:rsidRDefault="0081737A" w:rsidP="00346640">
      <w:pPr>
        <w:pStyle w:val="FootnoteText"/>
        <w:rPr>
          <w:rFonts w:cstheme="minorHAnsi"/>
        </w:rPr>
      </w:pPr>
    </w:p>
    <w:p w14:paraId="211C8118" w14:textId="77777777" w:rsidR="0081737A" w:rsidRPr="00222AAB" w:rsidRDefault="0081737A" w:rsidP="00346640">
      <w:pPr>
        <w:pStyle w:val="FootnoteText"/>
        <w:rPr>
          <w:rFonts w:cstheme="minorHAnsi"/>
        </w:rPr>
      </w:pPr>
    </w:p>
  </w:footnote>
  <w:footnote w:id="16">
    <w:p w14:paraId="5D9149DD" w14:textId="1D176DB8" w:rsidR="0081737A" w:rsidRPr="00222AAB" w:rsidRDefault="0081737A">
      <w:pPr>
        <w:pStyle w:val="FootnoteText"/>
        <w:rPr>
          <w:rFonts w:cstheme="minorHAnsi"/>
        </w:rPr>
      </w:pPr>
      <w:r>
        <w:rPr>
          <w:rStyle w:val="FootnoteReference"/>
          <w:rFonts w:cstheme="minorHAnsi"/>
          <w:sz w:val="18"/>
        </w:rPr>
        <w:footnoteRef/>
      </w:r>
      <w:r>
        <w:t xml:space="preserve"> </w:t>
      </w:r>
      <w:r>
        <w:tab/>
        <w:t>DIREKTIVA (EU) 2019/879 EVROPSKEGA PARLAMENTA IN SVETA z dne 20. maja 2019 o spremembi Direktive 2014/59/EU glede sposobnosti kreditnih institucij in investicijskih podjetij za pokrivanje izgub in dokapitalizacijo ter Direktive 98/26/ES (UL L 150, 7.6.2019, str. 296).</w:t>
      </w:r>
    </w:p>
  </w:footnote>
  <w:footnote w:id="17">
    <w:p w14:paraId="0E03FE55" w14:textId="7B5400CC"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5" w:history="1">
        <w:r>
          <w:rPr>
            <w:rStyle w:val="Hyperlink"/>
          </w:rPr>
          <w:t>UL L 176, 27.6.2013, str. 1).</w:t>
        </w:r>
      </w:hyperlink>
    </w:p>
  </w:footnote>
  <w:footnote w:id="18">
    <w:p w14:paraId="4A40AE56" w14:textId="48C0ED80" w:rsidR="0081737A" w:rsidRPr="00222AAB" w:rsidRDefault="0081737A">
      <w:pPr>
        <w:pStyle w:val="FootnoteText"/>
        <w:rPr>
          <w:rFonts w:cstheme="minorHAnsi"/>
        </w:rPr>
      </w:pPr>
      <w:r>
        <w:rPr>
          <w:rStyle w:val="FootnoteReference"/>
          <w:rFonts w:cstheme="minorHAnsi"/>
          <w:sz w:val="18"/>
        </w:rPr>
        <w:footnoteRef/>
      </w:r>
      <w:r>
        <w:t xml:space="preserve"> </w:t>
      </w:r>
      <w:r>
        <w:tab/>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19">
    <w:p w14:paraId="2E6D0092" w14:textId="2C642F0D" w:rsidR="0081737A" w:rsidRPr="00222AAB" w:rsidRDefault="0081737A">
      <w:pPr>
        <w:pStyle w:val="FootnoteText"/>
        <w:rPr>
          <w:rFonts w:cstheme="minorHAnsi"/>
        </w:rPr>
      </w:pPr>
      <w:r>
        <w:rPr>
          <w:rStyle w:val="FootnoteReference"/>
          <w:rFonts w:cstheme="minorHAnsi"/>
          <w:sz w:val="18"/>
        </w:rPr>
        <w:footnoteRef/>
      </w:r>
      <w:r>
        <w:t xml:space="preserve"> </w:t>
      </w:r>
      <w:r>
        <w:tab/>
        <w:t xml:space="preserve">DELEGIRANA UREDBA KOMISIJE (EU) št. 1152/2014 z dne 4. junija 2014 o dopolnitvi Direktive 2013/36/EU Evropskega parlamenta in Sveta v zvezi z regulativnimi tehničnimi standardi za določitev geografske lokacije ustreznih kreditnih izpostavljenosti za izračun stopenj posamezni instituciji lastnega </w:t>
      </w:r>
      <w:proofErr w:type="spellStart"/>
      <w:r>
        <w:t>proticikličnega</w:t>
      </w:r>
      <w:proofErr w:type="spellEnd"/>
      <w:r>
        <w:t xml:space="preserve"> kapitalskega blažilnika (UL L 309, 30.10.2014, str. 5).</w:t>
      </w:r>
    </w:p>
  </w:footnote>
  <w:footnote w:id="20">
    <w:p w14:paraId="06491F87" w14:textId="58702F68"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6" w:history="1">
        <w:r>
          <w:rPr>
            <w:rStyle w:val="Hyperlink"/>
          </w:rPr>
          <w:t>UL L 176, 27.6.2013, str. 1).</w:t>
        </w:r>
      </w:hyperlink>
    </w:p>
  </w:footnote>
  <w:footnote w:id="21">
    <w:p w14:paraId="60C78B1A" w14:textId="7EB95601"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7" w:history="1">
        <w:r>
          <w:rPr>
            <w:rStyle w:val="Hyperlink"/>
          </w:rPr>
          <w:t>UL L 176, 27.6.2013, str. 1).</w:t>
        </w:r>
      </w:hyperlink>
    </w:p>
  </w:footnote>
  <w:footnote w:id="22">
    <w:p w14:paraId="62305A9B" w14:textId="27255F79" w:rsidR="0081737A" w:rsidRPr="00222AAB" w:rsidRDefault="0081737A">
      <w:pPr>
        <w:pStyle w:val="FootnoteText"/>
        <w:rPr>
          <w:rFonts w:cstheme="minorHAnsi"/>
        </w:rPr>
      </w:pPr>
      <w:r>
        <w:rPr>
          <w:rStyle w:val="FootnoteReference"/>
          <w:rFonts w:cstheme="minorHAnsi"/>
          <w:sz w:val="18"/>
        </w:rPr>
        <w:footnoteRef/>
      </w:r>
      <w:r>
        <w:t xml:space="preserve"> </w:t>
      </w:r>
      <w:r>
        <w:tab/>
        <w:t xml:space="preserve">DELEGIRANA UREDBA KOMISIJE (EU) 2015/61 z dne 10. oktobra 2014 o dopolnitvi Uredbe (EU) št. 575/2013 Evropskega parlamenta in Sveta v zvezi z zahtevo glede likvidnostnega kritja za kreditne institucije (UL L 11, 17.1.2015, str. 1). </w:t>
      </w:r>
    </w:p>
  </w:footnote>
  <w:footnote w:id="23">
    <w:p w14:paraId="7410D74E" w14:textId="5FCC6937" w:rsidR="0081737A" w:rsidRPr="00222AAB" w:rsidRDefault="0081737A">
      <w:pPr>
        <w:pStyle w:val="FootnoteText"/>
        <w:rPr>
          <w:rFonts w:cstheme="minorHAnsi"/>
        </w:rPr>
      </w:pPr>
      <w:r>
        <w:rPr>
          <w:rStyle w:val="FootnoteReference"/>
          <w:rFonts w:cstheme="minorHAnsi"/>
          <w:sz w:val="18"/>
        </w:rPr>
        <w:footnoteRef/>
      </w:r>
      <w:r>
        <w:t xml:space="preserve"> </w:t>
      </w:r>
      <w:r>
        <w:tab/>
        <w:t>DIREKTIVA 94/19/ES EVROPSKEGA PARLAMENTA IN SVETA z dne 30. maja 1994 o sistemih zajamčenih vlog (UL L 135, 31.5.1994, str. 5).</w:t>
      </w:r>
    </w:p>
  </w:footnote>
  <w:footnote w:id="24">
    <w:p w14:paraId="4520B3DC" w14:textId="3FED4F07" w:rsidR="0081737A" w:rsidRPr="00222AAB" w:rsidRDefault="0081737A">
      <w:pPr>
        <w:pStyle w:val="FootnoteText"/>
        <w:rPr>
          <w:rFonts w:cstheme="minorHAnsi"/>
        </w:rPr>
      </w:pPr>
      <w:r>
        <w:rPr>
          <w:rStyle w:val="FootnoteReference"/>
          <w:rFonts w:cstheme="minorHAnsi"/>
          <w:sz w:val="18"/>
        </w:rPr>
        <w:footnoteRef/>
      </w:r>
      <w:r>
        <w:t xml:space="preserve"> </w:t>
      </w:r>
      <w:r>
        <w:tab/>
        <w:t>DIREKTIVA 2014/49/EU EVROPSKEGA PARLAMENTA IN SVETA z dne 16. aprila 2014 o sistemih jamstva za vloge (UL L 173, 12.6.2014, str. 149).</w:t>
      </w:r>
    </w:p>
  </w:footnote>
  <w:footnote w:id="25">
    <w:p w14:paraId="12A0E7C0" w14:textId="5484DB30" w:rsidR="0081737A" w:rsidRPr="00222AAB" w:rsidRDefault="0081737A">
      <w:pPr>
        <w:pStyle w:val="FootnoteText"/>
        <w:rPr>
          <w:rFonts w:cstheme="minorHAnsi"/>
        </w:rPr>
      </w:pPr>
      <w:r>
        <w:rPr>
          <w:rStyle w:val="FootnoteReference"/>
          <w:rFonts w:cstheme="minorHAnsi"/>
          <w:sz w:val="18"/>
        </w:rPr>
        <w:footnoteRef/>
      </w:r>
      <w:r>
        <w:t xml:space="preserve"> </w:t>
      </w:r>
      <w:r>
        <w:tab/>
        <w:t>DELEGIRANA UREDBA KOMISIJE (EU) 2017/208 z dne 31. oktobra 2016 o dopolnitvi Uredbe (EU) št. 575/2013 Evropskega parlamenta in Sveta v zvezi z regulativnimi tehničnimi standardi za dodatne likvidnostne odlive glede na potrebe po zavarovanju s premoženjem, ki bi nastale zaradi vpliva slabih razmer na trgu na posle institucije z izvedenimi finančnimi instrumenti (UL L 33, 8.2.2017, str. 14).</w:t>
      </w:r>
    </w:p>
  </w:footnote>
  <w:footnote w:id="26">
    <w:p w14:paraId="41E768A6" w14:textId="07D99CFA" w:rsidR="0081737A" w:rsidRPr="00222AAB" w:rsidRDefault="0081737A">
      <w:pPr>
        <w:pStyle w:val="FootnoteText"/>
        <w:rPr>
          <w:rFonts w:cstheme="minorHAnsi"/>
        </w:rPr>
      </w:pPr>
      <w:r>
        <w:rPr>
          <w:rStyle w:val="FootnoteReference"/>
          <w:rFonts w:cstheme="minorHAnsi"/>
          <w:sz w:val="18"/>
        </w:rPr>
        <w:footnoteRef/>
      </w:r>
      <w:r>
        <w:t xml:space="preserve"> </w:t>
      </w:r>
      <w:r>
        <w:tab/>
        <w:t>IZVEDBENA UREDBA KOMISIJE (EU) št. 680/2014 z dne 16. aprila 2014 o določitvi izvedbenih tehničnih standardov v zvezi z nadzorniškim poročanjem institucij v skladu z Uredbo (EU) št. 575/2013 Evropskega parlamenta in Sveta (UL L 191, 28.6.2014, str. 1).</w:t>
      </w:r>
    </w:p>
  </w:footnote>
  <w:footnote w:id="27">
    <w:p w14:paraId="65A66F1C" w14:textId="4267E2CF" w:rsidR="0081737A" w:rsidRPr="00222AAB" w:rsidRDefault="0081737A">
      <w:pPr>
        <w:pStyle w:val="FootnoteText"/>
        <w:rPr>
          <w:rFonts w:cstheme="minorHAnsi"/>
        </w:rPr>
      </w:pPr>
      <w:r>
        <w:rPr>
          <w:rStyle w:val="FootnoteReference"/>
          <w:rFonts w:cstheme="minorHAnsi"/>
          <w:sz w:val="18"/>
        </w:rPr>
        <w:footnoteRef/>
      </w:r>
      <w:r>
        <w:t xml:space="preserve"> </w:t>
      </w:r>
      <w:r>
        <w:tab/>
        <w:t>DIREKTIVA 2009/65/ES EVROPSKEGA PARLAMENTA IN SVETA z dne 13. julija 2009 o usklajevanju zakonov in drugih predpisov o kolektivnih naložbenih podjemih za vlaganja v prenosljive vrednostne papirje (KNPVP) (UL L 302, 17.11.2009, str. 32).</w:t>
      </w:r>
    </w:p>
  </w:footnote>
  <w:footnote w:id="28">
    <w:p w14:paraId="1E2B4845" w14:textId="190C1CF3"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8" w:history="1">
        <w:r>
          <w:rPr>
            <w:rStyle w:val="Hyperlink"/>
          </w:rPr>
          <w:t>UL L 176, 27.6.2013, str. 1).</w:t>
        </w:r>
      </w:hyperlink>
    </w:p>
  </w:footnote>
  <w:footnote w:id="29">
    <w:p w14:paraId="7D803589" w14:textId="00BF5572" w:rsidR="0081737A" w:rsidRPr="00222AAB" w:rsidRDefault="0081737A">
      <w:pPr>
        <w:pStyle w:val="FootnoteText"/>
        <w:rPr>
          <w:rFonts w:cstheme="minorHAnsi"/>
        </w:rPr>
      </w:pPr>
      <w:r>
        <w:rPr>
          <w:rStyle w:val="FootnoteReference"/>
          <w:rFonts w:cstheme="minorHAnsi"/>
          <w:sz w:val="18"/>
        </w:rPr>
        <w:footnoteRef/>
      </w:r>
      <w:r>
        <w:t xml:space="preserve"> </w:t>
      </w:r>
      <w:r>
        <w:tab/>
        <w:t>IZVEDBENA UREDBA KOMISIJE (EU) št. 680/2014 z dne 16. aprila 2014 o določitvi izvedbenih tehničnih standardov v zvezi z nadzorniškim poročanjem institucij v skladu z Uredbo (EU) št. 575/2013 Evropskega parlamenta in Sveta (UL L 191, 28.6.2014, str. 1).</w:t>
      </w:r>
    </w:p>
  </w:footnote>
  <w:footnote w:id="30">
    <w:p w14:paraId="3A92CAFF" w14:textId="2460795B" w:rsidR="0081737A" w:rsidRPr="00222AAB" w:rsidRDefault="0081737A">
      <w:pPr>
        <w:pStyle w:val="FootnoteText"/>
        <w:rPr>
          <w:rFonts w:cstheme="minorHAnsi"/>
        </w:rPr>
      </w:pPr>
      <w:r>
        <w:rPr>
          <w:rStyle w:val="FootnoteReference"/>
          <w:rFonts w:cstheme="minorHAnsi"/>
          <w:sz w:val="18"/>
        </w:rPr>
        <w:footnoteRef/>
      </w:r>
      <w:r>
        <w:t xml:space="preserve"> </w:t>
      </w:r>
      <w:r>
        <w:tab/>
        <w:t>UREDBA (EU) št. 1071/2013 EVROPSKE CENTRALNE BANKE z dne 24. septembra 2013 o bilanci stanja sektorja denarnih finančnih institucij (ECB/2013/33) (UL L 297, 7.11.2013, str. 1).</w:t>
      </w:r>
    </w:p>
  </w:footnote>
  <w:footnote w:id="31">
    <w:p w14:paraId="2C8266CA" w14:textId="241C5F78" w:rsidR="0081737A" w:rsidRPr="00BB5993" w:rsidRDefault="0081737A">
      <w:pPr>
        <w:pStyle w:val="FootnoteText"/>
        <w:rPr>
          <w:rFonts w:cstheme="minorHAnsi"/>
        </w:rPr>
      </w:pPr>
      <w:r>
        <w:rPr>
          <w:rStyle w:val="FootnoteReference"/>
          <w:rFonts w:cstheme="minorHAnsi"/>
          <w:sz w:val="18"/>
        </w:rPr>
        <w:footnoteRef/>
      </w:r>
      <w:r>
        <w:t xml:space="preserve"> </w:t>
      </w:r>
      <w:r>
        <w:tab/>
        <w:t>DIREKTIVA SVETA 86/635/EGS z dne 8. decembra 1986 o letnih računovodskih izkazih in konsolidiranih računovodskih izkazih bank in drugih finančnih institucij (UL L 372, 31.12.1986, str. 1).</w:t>
      </w:r>
    </w:p>
  </w:footnote>
  <w:footnote w:id="32">
    <w:p w14:paraId="21AE182B" w14:textId="6F87360A" w:rsidR="0081737A" w:rsidRPr="00222AAB" w:rsidRDefault="0081737A">
      <w:pPr>
        <w:pStyle w:val="FootnoteText"/>
        <w:rPr>
          <w:rFonts w:cstheme="minorHAnsi"/>
        </w:rPr>
      </w:pPr>
      <w:r>
        <w:rPr>
          <w:rStyle w:val="FootnoteReference"/>
          <w:rFonts w:cstheme="minorHAnsi"/>
          <w:sz w:val="18"/>
        </w:rPr>
        <w:footnoteRef/>
      </w:r>
      <w:r>
        <w:t xml:space="preserve"> </w:t>
      </w:r>
      <w:r>
        <w:tab/>
        <w:t>Priporočilo Evropskega odbora za sistemska tveganja z dne 31. oktobra 2016 o odpravljanju vrzeli v podatkih o nepremičninah (ESRB/2016/14) (UL C 31, 31.1.2017, str. 1).</w:t>
      </w:r>
    </w:p>
  </w:footnote>
  <w:footnote w:id="33">
    <w:p w14:paraId="3C3116D6" w14:textId="6E94C091"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9" w:history="1">
        <w:r>
          <w:rPr>
            <w:rStyle w:val="Hyperlink"/>
          </w:rPr>
          <w:t>UL L 176, 27.6.2013, str. 1).</w:t>
        </w:r>
      </w:hyperlink>
    </w:p>
  </w:footnote>
  <w:footnote w:id="34">
    <w:p w14:paraId="0FC5834E" w14:textId="45FF0B6E" w:rsidR="0081737A" w:rsidRPr="00222AAB" w:rsidRDefault="0081737A">
      <w:pPr>
        <w:pStyle w:val="FootnoteText"/>
        <w:rPr>
          <w:rFonts w:cstheme="minorHAnsi"/>
        </w:rPr>
      </w:pPr>
      <w:r>
        <w:rPr>
          <w:rStyle w:val="FootnoteReference"/>
          <w:rFonts w:cstheme="minorHAnsi"/>
          <w:sz w:val="18"/>
        </w:rPr>
        <w:footnoteRef/>
      </w:r>
      <w:r>
        <w:t xml:space="preserve"> </w:t>
      </w:r>
      <w:r>
        <w:tab/>
        <w:t>UREDBA (EU) št. 1071/2013 EVROPSKE CENTRALNE BANKE z dne 24. septembra 2013 o bilanci stanja sektorja denarnih finančnih institucij (ECB/2013/33) (UL L 297, 7.11.2013, str. 1).</w:t>
      </w:r>
    </w:p>
  </w:footnote>
  <w:footnote w:id="35">
    <w:p w14:paraId="274AF186" w14:textId="6466509A" w:rsidR="0081737A" w:rsidRPr="00222AAB" w:rsidRDefault="0081737A">
      <w:pPr>
        <w:pStyle w:val="FootnoteText"/>
        <w:rPr>
          <w:rFonts w:cstheme="minorHAnsi"/>
        </w:rPr>
      </w:pPr>
      <w:r>
        <w:rPr>
          <w:rStyle w:val="FootnoteReference"/>
          <w:rFonts w:cstheme="minorHAnsi"/>
          <w:sz w:val="18"/>
        </w:rPr>
        <w:footnoteRef/>
      </w:r>
      <w:r>
        <w:t xml:space="preserve"> </w:t>
      </w:r>
      <w:r>
        <w:tab/>
        <w:t>IZVEDBENA UREDBA KOMISIJE (EU) št. 680/2014 z dne 16. aprila 2014 o določitvi izvedbenih tehničnih standardov v zvezi z nadzorniškim poročanjem institucij v skladu z Uredbo (EU) št. 575/2013 Evropskega parlamenta in Sveta (UL L 191, 28.6.2014, str. 1).</w:t>
      </w:r>
    </w:p>
  </w:footnote>
  <w:footnote w:id="36">
    <w:p w14:paraId="345D93EA" w14:textId="6EC7C985"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0" w:history="1">
        <w:r>
          <w:rPr>
            <w:rStyle w:val="Hyperlink"/>
          </w:rPr>
          <w:t>UL L 176, 27.6.2013, str. 1).</w:t>
        </w:r>
      </w:hyperlink>
    </w:p>
  </w:footnote>
  <w:footnote w:id="37">
    <w:p w14:paraId="0500421E" w14:textId="018AD76D" w:rsidR="0081737A" w:rsidRPr="00222AAB" w:rsidRDefault="0081737A">
      <w:pPr>
        <w:pStyle w:val="FootnoteText"/>
        <w:rPr>
          <w:rFonts w:cstheme="minorHAnsi"/>
        </w:rPr>
      </w:pPr>
      <w:r>
        <w:rPr>
          <w:rStyle w:val="FootnoteReference"/>
          <w:rFonts w:cstheme="minorHAnsi"/>
          <w:sz w:val="18"/>
        </w:rPr>
        <w:footnoteRef/>
      </w:r>
      <w:r>
        <w:t xml:space="preserve"> </w:t>
      </w:r>
      <w:r>
        <w:tab/>
        <w:t>DELEGIRANA UREDBA KOMISIJE (EU) št. 183/2014 z dne 20. decembra 2013 o dopolnitvi Uredbe (EU) št. 575/2013 Evropskega parlamenta in Sveta o bonitetnih zahtevah za kreditne institucije in investicijska podjetja glede regulativnih tehničnih standardov za določitev izračuna posebnih in splošnih popravkov zaradi kreditnega tveganja (UL L 57, 27.2.2014, str. 3).</w:t>
      </w:r>
    </w:p>
  </w:footnote>
  <w:footnote w:id="38">
    <w:p w14:paraId="1BBA1BD5" w14:textId="61CCD44D"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1" w:history="1">
        <w:r>
          <w:rPr>
            <w:rStyle w:val="Hyperlink"/>
          </w:rPr>
          <w:t>UL L 176, 27.6.2013, str. 1).</w:t>
        </w:r>
      </w:hyperlink>
    </w:p>
  </w:footnote>
  <w:footnote w:id="39">
    <w:p w14:paraId="4DCA811C" w14:textId="09F974A1" w:rsidR="0081737A" w:rsidRPr="00222AAB" w:rsidRDefault="0081737A">
      <w:pPr>
        <w:pStyle w:val="FootnoteText"/>
        <w:rPr>
          <w:rFonts w:cstheme="minorHAnsi"/>
        </w:rPr>
      </w:pPr>
      <w:r>
        <w:rPr>
          <w:rStyle w:val="FootnoteReference"/>
          <w:rFonts w:cstheme="minorHAnsi"/>
          <w:sz w:val="18"/>
        </w:rPr>
        <w:footnoteRef/>
      </w:r>
      <w:r>
        <w:t xml:space="preserve"> </w:t>
      </w:r>
      <w:r>
        <w:tab/>
        <w:t>DELEGIRANA UREDBA KOMISIJE (EU) št. 183/2014 z dne 20. decembra 2013 o dopolnitvi Uredbe (EU) št. 575/2013 Evropskega parlamenta in Sveta o bonitetnih zahtevah za kreditne institucije in investicijska podjetja glede regulativnih tehničnih standardov za določitev izračuna posebnih in splošnih popravkov zaradi kreditnega tveganja (UL L 57, 27.2.2014, str. 3).</w:t>
      </w:r>
    </w:p>
  </w:footnote>
  <w:footnote w:id="40">
    <w:p w14:paraId="40EFF385" w14:textId="723BF643"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2" w:history="1">
        <w:r>
          <w:rPr>
            <w:rStyle w:val="Hyperlink"/>
          </w:rPr>
          <w:t>UL L 176, 27.6.2013, str. 1).</w:t>
        </w:r>
      </w:hyperlink>
    </w:p>
    <w:p w14:paraId="5A21779D" w14:textId="65905555" w:rsidR="0081737A" w:rsidRPr="00222AAB" w:rsidRDefault="0081737A">
      <w:pPr>
        <w:pStyle w:val="FootnoteText"/>
        <w:rPr>
          <w:rFonts w:cstheme="minorHAnsi"/>
        </w:rPr>
      </w:pPr>
    </w:p>
  </w:footnote>
  <w:footnote w:id="41">
    <w:p w14:paraId="50C71071" w14:textId="759AFC82"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3" w:history="1">
        <w:r>
          <w:rPr>
            <w:rStyle w:val="Hyperlink"/>
          </w:rPr>
          <w:t>UL L 176, 27.6.2013, str. 1).</w:t>
        </w:r>
      </w:hyperlink>
    </w:p>
    <w:p w14:paraId="1354A9D5" w14:textId="1DB9F003" w:rsidR="0081737A" w:rsidRPr="00222AAB" w:rsidRDefault="0081737A">
      <w:pPr>
        <w:pStyle w:val="FootnoteText"/>
        <w:rPr>
          <w:rFonts w:cstheme="minorHAnsi"/>
        </w:rPr>
      </w:pPr>
    </w:p>
  </w:footnote>
  <w:footnote w:id="42">
    <w:p w14:paraId="5E5D6FE4" w14:textId="7C2BFDD9"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4" w:history="1">
        <w:r>
          <w:rPr>
            <w:rStyle w:val="Hyperlink"/>
          </w:rPr>
          <w:t>UL L 176, 27.6.2013, str. 1).</w:t>
        </w:r>
      </w:hyperlink>
    </w:p>
    <w:p w14:paraId="6D017CEF" w14:textId="140A98B1" w:rsidR="0081737A" w:rsidRPr="00222AAB" w:rsidRDefault="0081737A">
      <w:pPr>
        <w:pStyle w:val="FootnoteText"/>
        <w:rPr>
          <w:rFonts w:cstheme="minorHAnsi"/>
        </w:rPr>
      </w:pPr>
    </w:p>
  </w:footnote>
  <w:footnote w:id="43">
    <w:p w14:paraId="6D22D42F" w14:textId="3FE88DCC" w:rsidR="0081737A" w:rsidRPr="00222AAB" w:rsidRDefault="0081737A">
      <w:pPr>
        <w:pStyle w:val="FootnoteText"/>
        <w:rPr>
          <w:rFonts w:cstheme="minorHAnsi"/>
        </w:rPr>
      </w:pPr>
      <w:r>
        <w:rPr>
          <w:rStyle w:val="FootnoteReference"/>
          <w:rFonts w:cstheme="minorHAnsi"/>
          <w:sz w:val="18"/>
        </w:rPr>
        <w:footnoteRef/>
      </w:r>
      <w:r>
        <w:t xml:space="preserve"> </w:t>
      </w:r>
      <w:r>
        <w:tab/>
        <w:t xml:space="preserve">Uredba (EU) 2017/2402 Evropskega parlamenta in Sveta z dne 12. decembra 2017 o določitvi splošnega okvira za </w:t>
      </w:r>
      <w:proofErr w:type="spellStart"/>
      <w:r>
        <w:t>listinjenje</w:t>
      </w:r>
      <w:proofErr w:type="spellEnd"/>
      <w:r>
        <w:t xml:space="preserve"> in o vzpostavitvi posebnega okvira za enostavno, pregledno in standardizirano </w:t>
      </w:r>
      <w:proofErr w:type="spellStart"/>
      <w:r>
        <w:t>listinjenje</w:t>
      </w:r>
      <w:proofErr w:type="spellEnd"/>
      <w:r>
        <w:t xml:space="preserve"> ter o spremembah direktiv 2009/65/ES, 2009/138/ES in 2011/61/EU ter uredb (ES) št. 1060/2009 in (EU) št. 648/2012 (UL L 347, 28.12.2017, str. 35).</w:t>
      </w:r>
    </w:p>
  </w:footnote>
  <w:footnote w:id="44">
    <w:p w14:paraId="1C33D3DE" w14:textId="769CD3C9"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5" w:history="1">
        <w:r>
          <w:rPr>
            <w:rStyle w:val="Hyperlink"/>
          </w:rPr>
          <w:t>UL L 176, 27.6.2013, str. 1).</w:t>
        </w:r>
      </w:hyperlink>
    </w:p>
    <w:p w14:paraId="0B53A160" w14:textId="77777777" w:rsidR="0081737A" w:rsidRPr="00222AAB" w:rsidRDefault="0081737A">
      <w:pPr>
        <w:pStyle w:val="FootnoteText"/>
        <w:rPr>
          <w:rFonts w:cstheme="minorHAnsi"/>
        </w:rPr>
      </w:pPr>
    </w:p>
  </w:footnote>
  <w:footnote w:id="45">
    <w:p w14:paraId="22629C6B" w14:textId="699F0B08" w:rsidR="0081737A" w:rsidRPr="00222AAB" w:rsidRDefault="0081737A">
      <w:pPr>
        <w:pStyle w:val="FootnoteText"/>
        <w:rPr>
          <w:rFonts w:cstheme="minorHAnsi"/>
        </w:rPr>
      </w:pPr>
      <w:r>
        <w:rPr>
          <w:rStyle w:val="FootnoteReference"/>
          <w:rFonts w:cstheme="minorHAnsi"/>
          <w:sz w:val="18"/>
        </w:rPr>
        <w:footnoteRef/>
      </w:r>
      <w:r>
        <w:t xml:space="preserve"> </w:t>
      </w:r>
      <w:r>
        <w:tab/>
        <w:t>Kot je opredeljen v spremenjeni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 w:id="46">
    <w:p w14:paraId="3C1785B8" w14:textId="19F63BFD" w:rsidR="0081737A" w:rsidRPr="00222AAB" w:rsidRDefault="0081737A">
      <w:pPr>
        <w:pStyle w:val="FootnoteText"/>
        <w:rPr>
          <w:rFonts w:cstheme="minorHAnsi"/>
        </w:rPr>
      </w:pPr>
      <w:r>
        <w:rPr>
          <w:rStyle w:val="FootnoteReference"/>
          <w:rFonts w:cstheme="minorHAnsi"/>
          <w:sz w:val="18"/>
        </w:rPr>
        <w:footnoteRef/>
      </w:r>
      <w:r>
        <w:t xml:space="preserve"> </w:t>
      </w:r>
      <w:r>
        <w:tab/>
        <w:t>Kot je opredeljen v spremenjeni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 w:id="47">
    <w:p w14:paraId="6D71BD4E" w14:textId="3F80B846" w:rsidR="0081737A" w:rsidRPr="00222AAB" w:rsidRDefault="0081737A">
      <w:pPr>
        <w:pStyle w:val="FootnoteText"/>
        <w:rPr>
          <w:rFonts w:cstheme="minorHAnsi"/>
        </w:rPr>
      </w:pPr>
      <w:r>
        <w:rPr>
          <w:rStyle w:val="FootnoteReference"/>
          <w:rFonts w:cstheme="minorHAnsi"/>
          <w:sz w:val="18"/>
        </w:rPr>
        <w:footnoteRef/>
      </w:r>
      <w:r>
        <w:t xml:space="preserve"> </w:t>
      </w:r>
      <w:r>
        <w:tab/>
        <w:t>Kot je opredeljen v spremenjeni Delegirani uredbi Komisije (EU) št. 528/2014 z dne 12. marca 2014 o dopolnitvi Uredbe (EU) št. 575/2013 Evropskega parlamenta in Sveta v zvezi z regulativnimi tehničnimi standardi za ne-delta tveganja, povezana z opcijami, pri standardiziranem pristopu za tržna tveganja (UL L 148, 20.5.2014, str. 29).</w:t>
      </w:r>
    </w:p>
  </w:footnote>
  <w:footnote w:id="48">
    <w:p w14:paraId="1D6CBC8D" w14:textId="565806FC" w:rsidR="0081737A" w:rsidRPr="00222AAB" w:rsidRDefault="0081737A">
      <w:pPr>
        <w:pStyle w:val="FootnoteText"/>
        <w:rPr>
          <w:rFonts w:cstheme="minorHAnsi"/>
        </w:rPr>
      </w:pPr>
      <w:r>
        <w:rPr>
          <w:rStyle w:val="FootnoteReference"/>
          <w:rFonts w:cstheme="minorHAnsi"/>
          <w:sz w:val="18"/>
        </w:rPr>
        <w:footnoteRef/>
      </w:r>
      <w:r>
        <w:t xml:space="preserve"> </w:t>
      </w:r>
      <w:r>
        <w:tab/>
        <w:t xml:space="preserve">Glej ponazoritev Baselskega odbora za bančni nadzor Banke za mednarodne poravnave v zahtevah za razkritja </w:t>
      </w:r>
      <w:r>
        <w:rPr>
          <w:i/>
        </w:rPr>
        <w:t xml:space="preserve">DIS 99 </w:t>
      </w:r>
      <w:proofErr w:type="spellStart"/>
      <w:r>
        <w:rPr>
          <w:i/>
        </w:rPr>
        <w:t>Worked</w:t>
      </w:r>
      <w:proofErr w:type="spellEnd"/>
      <w:r>
        <w:rPr>
          <w:i/>
        </w:rPr>
        <w:t xml:space="preserve"> </w:t>
      </w:r>
      <w:proofErr w:type="spellStart"/>
      <w:r>
        <w:rPr>
          <w:i/>
        </w:rPr>
        <w:t>examples</w:t>
      </w:r>
      <w:proofErr w:type="spellEnd"/>
      <w:r>
        <w:t>, december 2019.</w:t>
      </w:r>
    </w:p>
    <w:p w14:paraId="065D9CE7" w14:textId="17A04201" w:rsidR="0081737A" w:rsidRPr="00222AAB" w:rsidRDefault="0081737A">
      <w:pPr>
        <w:pStyle w:val="FootnoteText"/>
        <w:rPr>
          <w:rFonts w:cstheme="minorHAnsi"/>
        </w:rPr>
      </w:pPr>
    </w:p>
  </w:footnote>
  <w:footnote w:id="49">
    <w:p w14:paraId="7B9D7DCE" w14:textId="11FC0C0C"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6" w:history="1">
        <w:r>
          <w:rPr>
            <w:rStyle w:val="Hyperlink"/>
          </w:rPr>
          <w:t>UL L 176, 27.6.2013, str. 1).</w:t>
        </w:r>
      </w:hyperlink>
    </w:p>
    <w:p w14:paraId="013701B3" w14:textId="2DF11389" w:rsidR="0081737A" w:rsidRPr="00222AAB" w:rsidRDefault="0081737A">
      <w:pPr>
        <w:pStyle w:val="FootnoteText"/>
        <w:rPr>
          <w:rFonts w:cstheme="minorHAnsi"/>
        </w:rPr>
      </w:pPr>
    </w:p>
  </w:footnote>
  <w:footnote w:id="50">
    <w:p w14:paraId="11FA91EC" w14:textId="0E0C9483"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7" w:history="1">
        <w:r>
          <w:rPr>
            <w:rStyle w:val="Hyperlink"/>
          </w:rPr>
          <w:t>UL L 176, 27.6.2013, str. 1).</w:t>
        </w:r>
      </w:hyperlink>
    </w:p>
    <w:p w14:paraId="21C8047D" w14:textId="443E7EDB" w:rsidR="0081737A" w:rsidRPr="00222AAB" w:rsidRDefault="0081737A">
      <w:pPr>
        <w:pStyle w:val="FootnoteText"/>
        <w:rPr>
          <w:rFonts w:cstheme="minorHAnsi"/>
        </w:rPr>
      </w:pPr>
    </w:p>
  </w:footnote>
  <w:footnote w:id="51">
    <w:p w14:paraId="1160ECDB" w14:textId="7E626E3F" w:rsidR="0081737A" w:rsidRPr="00222AAB" w:rsidRDefault="0081737A">
      <w:pPr>
        <w:pStyle w:val="FootnoteText"/>
        <w:rPr>
          <w:rFonts w:cstheme="minorHAnsi"/>
        </w:rPr>
      </w:pPr>
      <w:r>
        <w:rPr>
          <w:rStyle w:val="FootnoteReference"/>
          <w:rFonts w:cstheme="minorHAnsi"/>
          <w:sz w:val="18"/>
        </w:rPr>
        <w:footnoteRef/>
      </w:r>
      <w:r>
        <w:t xml:space="preserve"> </w:t>
      </w:r>
      <w:r>
        <w:tab/>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52">
    <w:p w14:paraId="4E6B3EF0" w14:textId="30816868" w:rsidR="0081737A" w:rsidRPr="00346640" w:rsidRDefault="0081737A" w:rsidP="00346640">
      <w:pPr>
        <w:pStyle w:val="FootnoteText"/>
        <w:rPr>
          <w:rFonts w:cstheme="minorHAnsi"/>
        </w:rPr>
      </w:pPr>
      <w:r>
        <w:rPr>
          <w:rStyle w:val="FootnoteReference"/>
          <w:rFonts w:cstheme="minorHAnsi"/>
          <w:sz w:val="18"/>
        </w:rPr>
        <w:footnoteRef/>
      </w:r>
      <w:r>
        <w:t xml:space="preserve"> </w:t>
      </w:r>
      <w:r>
        <w:tab/>
        <w:t>DELEGIRANA UREDBA KOMISIJE (EU) št. 604/2014 z dne 4. marca 2014 o dopolnitvi Direktive 2013/36/EU Evropskega parlamenta in Sveta glede regulativnih tehničnih standardov v zvezi s kvalitativnimi in ustreznimi kvantitativnimi merili za opredelitev kategorij zaposlenih, katerih poklicne dejavnosti pomembno vplivajo na profil tveganosti institucij (UL L 167, 6.6.2014, str. 30).</w:t>
      </w:r>
    </w:p>
  </w:footnote>
  <w:footnote w:id="53">
    <w:p w14:paraId="1CD04175" w14:textId="723CAEBC" w:rsidR="0081737A" w:rsidRDefault="0081737A">
      <w:pPr>
        <w:pStyle w:val="FootnoteText"/>
      </w:pPr>
      <w:r>
        <w:rPr>
          <w:rStyle w:val="FootnoteReference"/>
        </w:rPr>
        <w:footnoteRef/>
      </w:r>
      <w:r>
        <w:t xml:space="preserve"> Direktiva 2011/61/EU Evropskega parlamenta in Sveta z dne 8. junija 2011 o upraviteljih alternativnih investicijskih skladov in spremembah direktiv 2003/41/ES in 2009/65/ES ter uredb (ES) št. 1060/2009 in (EU) št. 1095/2010 (UL L 174, 1.7.2011, str. 1).</w:t>
      </w:r>
    </w:p>
  </w:footnote>
  <w:footnote w:id="54">
    <w:p w14:paraId="37D9562D" w14:textId="7982B55C" w:rsidR="0081737A" w:rsidRPr="00222AAB" w:rsidRDefault="0081737A">
      <w:pPr>
        <w:pStyle w:val="FootnoteText"/>
        <w:rPr>
          <w:rFonts w:cstheme="minorHAnsi"/>
        </w:rPr>
      </w:pPr>
      <w:r>
        <w:rPr>
          <w:rStyle w:val="FootnoteReference"/>
          <w:rFonts w:cstheme="minorHAnsi"/>
          <w:sz w:val="18"/>
        </w:rPr>
        <w:footnoteRef/>
      </w:r>
      <w:r>
        <w:t xml:space="preserve"> </w:t>
      </w:r>
      <w:r>
        <w:tab/>
        <w:t>Uredba (EU) št. 575/2013 Evropskega parlamenta in Sveta z dne 26. junija 2013 o bonitetnih zahtevah za kreditne institucije in investicijska podjetja ter o spremembi Uredbe (EU) št. 648/2012 (</w:t>
      </w:r>
      <w:hyperlink r:id="rId18" w:history="1">
        <w:r>
          <w:rPr>
            <w:rStyle w:val="Hyperlink"/>
          </w:rPr>
          <w:t>UL L 176, 27.6.2013, str. 1).</w:t>
        </w:r>
      </w:hyperlink>
    </w:p>
  </w:footnote>
  <w:footnote w:id="55">
    <w:p w14:paraId="27CBD7E9" w14:textId="2674818F" w:rsidR="0081737A" w:rsidRPr="00222AAB" w:rsidRDefault="0081737A">
      <w:pPr>
        <w:pStyle w:val="FootnoteText"/>
        <w:rPr>
          <w:rFonts w:cstheme="minorHAnsi"/>
        </w:rPr>
      </w:pPr>
      <w:r>
        <w:rPr>
          <w:rStyle w:val="FootnoteReference"/>
          <w:rFonts w:cstheme="minorHAnsi"/>
          <w:sz w:val="18"/>
        </w:rPr>
        <w:footnoteRef/>
      </w:r>
      <w:r>
        <w:t xml:space="preserve"> </w:t>
      </w:r>
      <w:r>
        <w:tab/>
        <w:t>IZVEDBENA UREDBA KOMISIJE (EU) št. 680/2014 z dne 16. aprila 2014 o določitvi izvedbenih tehničnih standardov v zvezi z nadzorniškim poročanjem institucij v skladu z Uredbo (EU) št. 575/2013 Evropskega parlamenta in Sveta (UL L 191, 28.6.2014, str. 1).</w:t>
      </w:r>
    </w:p>
  </w:footnote>
  <w:footnote w:id="56">
    <w:p w14:paraId="5226DE22" w14:textId="5E9B1D98" w:rsidR="0081737A" w:rsidRPr="00222AAB" w:rsidRDefault="0081737A">
      <w:pPr>
        <w:pStyle w:val="FootnoteText"/>
        <w:rPr>
          <w:rFonts w:cstheme="minorHAnsi"/>
        </w:rPr>
      </w:pPr>
      <w:r>
        <w:rPr>
          <w:rStyle w:val="FootnoteReference"/>
          <w:rFonts w:cstheme="minorHAnsi"/>
          <w:sz w:val="18"/>
        </w:rPr>
        <w:footnoteRef/>
      </w:r>
      <w:r>
        <w:t xml:space="preserve"> </w:t>
      </w:r>
      <w:r>
        <w:tab/>
        <w:t>UREDBA (EU) št. 1071/2013 EVROPSKE CENTRALNE BANKE z dne 24. septembra 2013 o bilanci stanja sektorja denarnih finančnih institucij (ECB/2013/33) (UL L 297, 7.11.2013, str. 1).</w:t>
      </w:r>
    </w:p>
  </w:footnote>
  <w:footnote w:id="57">
    <w:p w14:paraId="3824AC0C" w14:textId="460A8FCE" w:rsidR="0081737A" w:rsidRPr="00222AAB" w:rsidRDefault="0081737A">
      <w:pPr>
        <w:pStyle w:val="FootnoteText"/>
        <w:rPr>
          <w:rFonts w:cstheme="minorHAnsi"/>
        </w:rPr>
      </w:pPr>
      <w:r>
        <w:rPr>
          <w:rStyle w:val="FootnoteReference"/>
          <w:rFonts w:cstheme="minorHAnsi"/>
          <w:sz w:val="18"/>
        </w:rPr>
        <w:footnoteRef/>
      </w:r>
      <w:r>
        <w:t xml:space="preserve"> </w:t>
      </w:r>
      <w:r>
        <w:tab/>
        <w:t>DIREKTIVA 2009/65/ES EVROPSKEGA PARLAMENTA IN SVETA z dne 13. julija 2009 o usklajevanju zakonov in drugih predpisov o kolektivnih naložbenih podjemih za vlaganja v prenosljive vrednostne papirje (KNPVP) (UL L 302, 17.11.2009, str. 32).</w:t>
      </w:r>
    </w:p>
  </w:footnote>
  <w:footnote w:id="58">
    <w:p w14:paraId="71E91F33" w14:textId="321BDBF9" w:rsidR="0081737A" w:rsidRPr="00222AAB" w:rsidRDefault="0081737A">
      <w:pPr>
        <w:pStyle w:val="FootnoteText"/>
        <w:rPr>
          <w:rFonts w:cstheme="minorHAnsi"/>
        </w:rPr>
      </w:pPr>
      <w:r>
        <w:rPr>
          <w:rStyle w:val="FootnoteReference"/>
          <w:rFonts w:cstheme="minorHAnsi"/>
          <w:sz w:val="18"/>
        </w:rPr>
        <w:footnoteRef/>
      </w:r>
      <w:r>
        <w:t xml:space="preserve"> </w:t>
      </w:r>
      <w:r>
        <w:tab/>
        <w:t>DELEGIRANA UREDBA KOMISIJE (EU) 2015/61 z dne 10. oktobra 2014 o dopolnitvi Uredbe (EU) št. 575/2013 Evropskega parlamenta in Sveta v zvezi z zahtevo glede likvidnostnega kritja za kreditne institucije (UL L 11, 17.1.2015, str. 1).</w:t>
      </w:r>
    </w:p>
  </w:footnote>
  <w:footnote w:id="59">
    <w:p w14:paraId="175ED560" w14:textId="6C343BA9" w:rsidR="0081737A" w:rsidRPr="00346640" w:rsidRDefault="0081737A">
      <w:pPr>
        <w:pStyle w:val="FootnoteText"/>
        <w:rPr>
          <w:rFonts w:cstheme="minorHAnsi"/>
        </w:rPr>
      </w:pPr>
      <w:r>
        <w:rPr>
          <w:rStyle w:val="FootnoteReference"/>
          <w:rFonts w:cstheme="minorHAnsi"/>
          <w:sz w:val="18"/>
        </w:rPr>
        <w:footnoteRef/>
      </w:r>
      <w:r>
        <w:t xml:space="preserve"> </w:t>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81737A" w:rsidRDefault="0081737A">
    <w:sdt>
      <w:sdtPr>
        <w:id w:val="-1905980668"/>
        <w:temporary/>
        <w:showingPlcHdr/>
      </w:sdtPr>
      <w:sdtContent>
        <w:r>
          <w:t>[Type text]</w:t>
        </w:r>
      </w:sdtContent>
    </w:sdt>
    <w:r>
      <w:ptab w:relativeTo="margin" w:alignment="center" w:leader="none"/>
    </w:r>
    <w:sdt>
      <w:sdtPr>
        <w:id w:val="-476227318"/>
        <w:temporary/>
        <w:showingPlcHdr/>
      </w:sdtPr>
      <w:sdtContent>
        <w:r>
          <w:t>[Type text]</w:t>
        </w:r>
      </w:sdtContent>
    </w:sdt>
    <w:r>
      <w:ptab w:relativeTo="margin" w:alignment="right" w:leader="none"/>
    </w:r>
    <w:sdt>
      <w:sdtPr>
        <w:id w:val="807362839"/>
        <w:temporary/>
        <w:showingPlcHdr/>
      </w:sdtPr>
      <w:sdtContent>
        <w:r>
          <w:t>[Type text]</w:t>
        </w:r>
      </w:sdtContent>
    </w:sdt>
  </w:p>
  <w:p w14:paraId="3846A006" w14:textId="77777777" w:rsidR="0081737A" w:rsidRDefault="008173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81737A" w:rsidRDefault="008173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81737A" w:rsidRDefault="0081737A" w:rsidP="00E677EF">
    <w:pPr>
      <w:pStyle w:val="Runningtitle"/>
    </w:pPr>
    <w:r>
      <w:t>running title comes here in running title style</w:t>
    </w:r>
    <w:r>
      <w:rPr>
        <w:noProof/>
        <w:lang w:eastAsia="sl-SI"/>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6758FB70"/>
    <w:lvl w:ilvl="0" w:tplc="AD0C26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28B4ECB2"/>
    <w:lvl w:ilvl="0" w:tplc="AD0C26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9D9CDE30"/>
    <w:lvl w:ilvl="0" w:tplc="4C245000">
      <w:start w:val="1"/>
      <w:numFmt w:val="decimal"/>
      <w:lvlText w:val="%1."/>
      <w:lvlJc w:val="left"/>
      <w:pPr>
        <w:ind w:left="360" w:hanging="360"/>
      </w:pPr>
      <w:rPr>
        <w:rFonts w:hint="default"/>
      </w:rPr>
    </w:lvl>
    <w:lvl w:ilvl="1" w:tplc="AD0C26D2">
      <w:start w:val="1"/>
      <w:numFmt w:val="bullet"/>
      <w:lvlText w:val="‒"/>
      <w:lvlJc w:val="left"/>
      <w:pPr>
        <w:ind w:left="1080" w:hanging="360"/>
      </w:pPr>
      <w:rPr>
        <w:rFonts w:ascii="Times New Roman" w:eastAsiaTheme="minorHAnsi"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B46AC1C"/>
    <w:lvl w:ilvl="0" w:tplc="AD0C26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265056A2"/>
    <w:lvl w:ilvl="0" w:tplc="AD0C26D2">
      <w:start w:val="1"/>
      <w:numFmt w:val="bullet"/>
      <w:lvlText w:val="‒"/>
      <w:lvlJc w:val="left"/>
      <w:pPr>
        <w:ind w:left="1800" w:hanging="360"/>
      </w:pPr>
      <w:rPr>
        <w:rFonts w:ascii="Times New Roman" w:eastAsiaTheme="minorHAnsi"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1B46BA8E"/>
    <w:lvl w:ilvl="0" w:tplc="AD0C26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DisplayPageBoundaries/>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38E7"/>
    <w:rsid w:val="0002717D"/>
    <w:rsid w:val="00027CA0"/>
    <w:rsid w:val="00030D65"/>
    <w:rsid w:val="00032609"/>
    <w:rsid w:val="000361FD"/>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85764"/>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37A"/>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1D"/>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l-SI"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sl-SI"/>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sl-SI"/>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sl-SI"/>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sl-SI"/>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sl-SI"/>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l-SI"/>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sl-SI"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l-SI"/>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sl-SI"/>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sl-SI"/>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sl-SI"/>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sl-SI"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sl-SI"/>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sl-SI"/>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L/AUTO/?uri=OJ:L:2013:176:TOC" TargetMode="External"/><Relationship Id="rId13" Type="http://schemas.openxmlformats.org/officeDocument/2006/relationships/hyperlink" Target="https://eur-lex.europa.eu/legal-content/SL/AUTO/?uri=OJ:L:2013:176:TOC" TargetMode="External"/><Relationship Id="rId18" Type="http://schemas.openxmlformats.org/officeDocument/2006/relationships/hyperlink" Target="https://eur-lex.europa.eu/legal-content/SL/AUTO/?uri=OJ:L:2013:176:TOC" TargetMode="External"/><Relationship Id="rId3" Type="http://schemas.openxmlformats.org/officeDocument/2006/relationships/hyperlink" Target="https://eur-lex.europa.eu/legal-content/SL/AUTO/?uri=OJ:L:2013:176:TOC" TargetMode="External"/><Relationship Id="rId7" Type="http://schemas.openxmlformats.org/officeDocument/2006/relationships/hyperlink" Target="https://eur-lex.europa.eu/legal-content/SL/AUTO/?uri=OJ:L:2013:176:TOC" TargetMode="External"/><Relationship Id="rId12" Type="http://schemas.openxmlformats.org/officeDocument/2006/relationships/hyperlink" Target="https://eur-lex.europa.eu/legal-content/SL/AUTO/?uri=OJ:L:2013:176:TOC" TargetMode="External"/><Relationship Id="rId17" Type="http://schemas.openxmlformats.org/officeDocument/2006/relationships/hyperlink" Target="https://eur-lex.europa.eu/legal-content/SL/AUTO/?uri=OJ:L:2013:176:TOC" TargetMode="External"/><Relationship Id="rId2" Type="http://schemas.openxmlformats.org/officeDocument/2006/relationships/hyperlink" Target="https://eur-lex.europa.eu/legal-content/SL/AUTO/?uri=OJ:L:2013:176:TOC" TargetMode="External"/><Relationship Id="rId16" Type="http://schemas.openxmlformats.org/officeDocument/2006/relationships/hyperlink" Target="https://eur-lex.europa.eu/legal-content/SL/AUTO/?uri=OJ:L:2013:176:TOC" TargetMode="External"/><Relationship Id="rId1" Type="http://schemas.openxmlformats.org/officeDocument/2006/relationships/hyperlink" Target="https://eur-lex.europa.eu/legal-content/SL/AUTO/?uri=OJ:L:2013:176:TOC" TargetMode="External"/><Relationship Id="rId6" Type="http://schemas.openxmlformats.org/officeDocument/2006/relationships/hyperlink" Target="https://eur-lex.europa.eu/legal-content/SL/AUTO/?uri=OJ:L:2013:176:TOC" TargetMode="External"/><Relationship Id="rId11" Type="http://schemas.openxmlformats.org/officeDocument/2006/relationships/hyperlink" Target="https://eur-lex.europa.eu/legal-content/SL/AUTO/?uri=OJ:L:2013:176:TOC" TargetMode="External"/><Relationship Id="rId5" Type="http://schemas.openxmlformats.org/officeDocument/2006/relationships/hyperlink" Target="https://eur-lex.europa.eu/legal-content/SL/AUTO/?uri=OJ:L:2013:176:TOC" TargetMode="External"/><Relationship Id="rId15" Type="http://schemas.openxmlformats.org/officeDocument/2006/relationships/hyperlink" Target="https://eur-lex.europa.eu/legal-content/SL/AUTO/?uri=OJ:L:2013:176:TOC" TargetMode="External"/><Relationship Id="rId10" Type="http://schemas.openxmlformats.org/officeDocument/2006/relationships/hyperlink" Target="https://eur-lex.europa.eu/legal-content/SL/AUTO/?uri=OJ:L:2013:176:TOC" TargetMode="External"/><Relationship Id="rId4" Type="http://schemas.openxmlformats.org/officeDocument/2006/relationships/hyperlink" Target="https://eur-lex.europa.eu/legal-content/SL/AUTO/?uri=OJ:L:2013:176:TOC" TargetMode="External"/><Relationship Id="rId9" Type="http://schemas.openxmlformats.org/officeDocument/2006/relationships/hyperlink" Target="https://eur-lex.europa.eu/legal-content/SL/AUTO/?uri=OJ:L:2013:176:TOC" TargetMode="External"/><Relationship Id="rId14" Type="http://schemas.openxmlformats.org/officeDocument/2006/relationships/hyperlink" Target="https://eur-lex.europa.eu/legal-content/S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ECEEE-BA33-4EC3-B344-35C0FE6CC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227</Pages>
  <Words>66605</Words>
  <Characters>403631</Characters>
  <Application>Microsoft Office Word</Application>
  <DocSecurity>0</DocSecurity>
  <Lines>9610</Lines>
  <Paragraphs>5224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2021-02-26T16:23:00Z</dcterms:modified>
</cp:coreProperties>
</file>