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7FB24" w14:textId="77777777" w:rsidR="0074740A" w:rsidRPr="007F4CC8" w:rsidRDefault="00C31378" w:rsidP="004077B1">
      <w:pPr>
        <w:pStyle w:val="Annexetitre"/>
        <w:ind w:firstLine="720"/>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PRILOG II.</w:t>
      </w:r>
    </w:p>
    <w:p w14:paraId="03FA508D" w14:textId="43AA388F" w:rsidR="00C31378" w:rsidRPr="007F4CC8" w:rsidRDefault="00C31378" w:rsidP="004077B1">
      <w:pPr>
        <w:pStyle w:val="Annexetitre"/>
        <w:ind w:firstLine="720"/>
      </w:pPr>
      <w:r>
        <w:t>Upute za obrasce s pregledom informacija za objavu</w:t>
      </w:r>
    </w:p>
    <w:p w14:paraId="161E3440" w14:textId="7B37A102" w:rsidR="00662487" w:rsidRPr="007F4CC8" w:rsidRDefault="007F5865" w:rsidP="00662487">
      <w:pPr>
        <w:pStyle w:val="Titlelevel2"/>
        <w:spacing w:before="120" w:after="120"/>
        <w:rPr>
          <w:rFonts w:ascii="Times New Roman" w:hAnsi="Times New Roman"/>
          <w:color w:val="auto"/>
          <w:sz w:val="24"/>
        </w:rPr>
      </w:pPr>
      <w:r>
        <w:rPr>
          <w:rFonts w:ascii="Times New Roman" w:hAnsi="Times New Roman"/>
          <w:b/>
          <w:color w:val="auto"/>
          <w:sz w:val="24"/>
        </w:rPr>
        <w:t xml:space="preserve">Obrazac EU OV1 – Pregled ukupnih iznosa izloženosti rizicima. </w:t>
      </w:r>
      <w:r>
        <w:rPr>
          <w:rFonts w:ascii="Times New Roman" w:hAnsi="Times New Roman"/>
          <w:color w:val="auto"/>
          <w:sz w:val="24"/>
        </w:rPr>
        <w:t>Fiksan format</w:t>
      </w:r>
    </w:p>
    <w:p w14:paraId="1FC729B5" w14:textId="33385D6C" w:rsidR="007E14C6" w:rsidRPr="007F4CC8" w:rsidRDefault="00501BEB" w:rsidP="003414D7">
      <w:pPr>
        <w:pStyle w:val="Titlelevel2"/>
        <w:numPr>
          <w:ilvl w:val="0"/>
          <w:numId w:val="13"/>
        </w:numPr>
        <w:spacing w:before="120" w:after="120"/>
        <w:ind w:left="426"/>
        <w:jc w:val="both"/>
        <w:rPr>
          <w:rFonts w:ascii="Times New Roman" w:eastAsiaTheme="minorEastAsia" w:hAnsi="Times New Roman" w:cs="Times New Roman"/>
          <w:bCs w:val="0"/>
          <w:color w:val="000000"/>
          <w:sz w:val="24"/>
        </w:rPr>
      </w:pPr>
      <w:r>
        <w:rPr>
          <w:rFonts w:ascii="Times New Roman" w:hAnsi="Times New Roman"/>
          <w:bCs w:val="0"/>
          <w:color w:val="000000"/>
          <w:sz w:val="24"/>
        </w:rPr>
        <w:t>Institucije ispunjavaju obrazac EU OV1 iz Priloga I. ovoj Provedbenoj uredbi prateći upute u nastavku, u skladu s člankom 438. točkom (d) Uredbe (EU) br. 575/2013</w:t>
      </w:r>
      <w:r>
        <w:rPr>
          <w:rStyle w:val="FootnoteReference"/>
          <w:rFonts w:eastAsiaTheme="minorEastAsia" w:cs="Times New Roman"/>
          <w:bCs w:val="0"/>
          <w:color w:val="000000"/>
          <w:lang w:val="en-GB"/>
        </w:rPr>
        <w:footnoteReference w:id="2"/>
      </w:r>
      <w:r>
        <w:rPr>
          <w:rFonts w:ascii="Times New Roman" w:hAnsi="Times New Roman"/>
          <w:bCs w:val="0"/>
          <w:color w:val="000000"/>
          <w:sz w:val="24"/>
        </w:rPr>
        <w:t xml:space="preserve"> („CRR”). </w:t>
      </w:r>
    </w:p>
    <w:p w14:paraId="790FD83C" w14:textId="45C15C09" w:rsidR="00C31378" w:rsidRPr="00082163" w:rsidRDefault="00720050" w:rsidP="00076626">
      <w:pPr>
        <w:pStyle w:val="Titlelevel2"/>
        <w:numPr>
          <w:ilvl w:val="0"/>
          <w:numId w:val="13"/>
        </w:numPr>
        <w:spacing w:before="120" w:after="120"/>
        <w:ind w:left="426"/>
        <w:rPr>
          <w:rFonts w:ascii="Times New Roman" w:hAnsi="Times New Roman"/>
          <w:sz w:val="24"/>
        </w:rPr>
      </w:pPr>
      <w:r>
        <w:rPr>
          <w:rFonts w:ascii="Times New Roman" w:hAnsi="Times New Roman"/>
          <w:bCs w:val="0"/>
          <w:color w:val="000000"/>
          <w:sz w:val="24"/>
        </w:rPr>
        <w:t>Institucije u opisu koji prilažu obrascu objašnjavaju, ako je relevantno, učinak primjene gornjih granica i neodbijanja stavki od regulatornog kapitala na izračun regulatornog kapitala i iznosa izloženosti riziku.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F5865" w:rsidRPr="007F4CC8" w14:paraId="1DE5ECE7" w14:textId="77777777" w:rsidTr="00F3523C">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7F4CC8" w:rsidRDefault="007F5865" w:rsidP="00F3523C">
            <w:pPr>
              <w:rPr>
                <w:rFonts w:ascii="Times New Roman" w:hAnsi="Times New Roman" w:cs="Times New Roman"/>
                <w:b/>
                <w:sz w:val="24"/>
              </w:rPr>
            </w:pPr>
            <w:r>
              <w:rPr>
                <w:rFonts w:ascii="Times New Roman" w:hAnsi="Times New Roman"/>
                <w:b/>
                <w:sz w:val="24"/>
              </w:rPr>
              <w:t>Pravna osnova i upute</w:t>
            </w:r>
          </w:p>
        </w:tc>
      </w:tr>
      <w:tr w:rsidR="007F5865" w:rsidRPr="007F4CC8" w14:paraId="602AE0E8" w14:textId="77777777" w:rsidTr="00F3523C">
        <w:trPr>
          <w:trHeight w:val="238"/>
        </w:trPr>
        <w:tc>
          <w:tcPr>
            <w:tcW w:w="1384" w:type="dxa"/>
            <w:shd w:val="clear" w:color="auto" w:fill="D9D9D9" w:themeFill="background1" w:themeFillShade="D9"/>
          </w:tcPr>
          <w:p w14:paraId="18BE2C6B" w14:textId="77777777" w:rsidR="007F5865" w:rsidRPr="007F4CC8" w:rsidRDefault="007F5865" w:rsidP="00F3523C">
            <w:pPr>
              <w:autoSpaceDE w:val="0"/>
              <w:autoSpaceDN w:val="0"/>
              <w:adjustRightInd w:val="0"/>
              <w:rPr>
                <w:rFonts w:ascii="Times New Roman" w:hAnsi="Times New Roman" w:cs="Times New Roman"/>
                <w:b/>
                <w:sz w:val="24"/>
              </w:rPr>
            </w:pPr>
            <w:r>
              <w:rPr>
                <w:rFonts w:ascii="Times New Roman" w:hAnsi="Times New Roman"/>
                <w:b/>
                <w:sz w:val="24"/>
              </w:rPr>
              <w:t>Broj stupca</w:t>
            </w:r>
          </w:p>
        </w:tc>
        <w:tc>
          <w:tcPr>
            <w:tcW w:w="7655" w:type="dxa"/>
            <w:shd w:val="clear" w:color="auto" w:fill="D9D9D9" w:themeFill="background1" w:themeFillShade="D9"/>
          </w:tcPr>
          <w:p w14:paraId="52BAB7D2" w14:textId="77777777" w:rsidR="007F5865" w:rsidRPr="007F4CC8" w:rsidRDefault="007F5865" w:rsidP="00F3523C">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7F5865" w:rsidRPr="007F4CC8" w14:paraId="7E4C270D" w14:textId="77777777" w:rsidTr="00F3523C">
        <w:trPr>
          <w:trHeight w:val="680"/>
        </w:trPr>
        <w:tc>
          <w:tcPr>
            <w:tcW w:w="1384" w:type="dxa"/>
          </w:tcPr>
          <w:p w14:paraId="68031A84" w14:textId="77777777" w:rsidR="007F5865" w:rsidRPr="007F4CC8" w:rsidRDefault="007F5865" w:rsidP="007F5865">
            <w:pPr>
              <w:pStyle w:val="Applicationdirecte"/>
              <w:spacing w:before="60"/>
              <w:jc w:val="center"/>
            </w:pPr>
            <w:r>
              <w:t>a</w:t>
            </w:r>
          </w:p>
        </w:tc>
        <w:tc>
          <w:tcPr>
            <w:tcW w:w="7655" w:type="dxa"/>
            <w:vAlign w:val="center"/>
          </w:tcPr>
          <w:p w14:paraId="5A1D2BEB" w14:textId="501B155B" w:rsidR="00677CC7" w:rsidRPr="00DB2478" w:rsidRDefault="00476E72" w:rsidP="00785478">
            <w:pPr>
              <w:spacing w:before="60" w:after="120"/>
              <w:jc w:val="both"/>
              <w:rPr>
                <w:rFonts w:ascii="Times New Roman" w:hAnsi="Times New Roman" w:cs="Times New Roman"/>
                <w:b/>
                <w:sz w:val="24"/>
              </w:rPr>
            </w:pPr>
            <w:r>
              <w:rPr>
                <w:rFonts w:ascii="Times New Roman" w:hAnsi="Times New Roman"/>
                <w:b/>
                <w:sz w:val="24"/>
              </w:rPr>
              <w:t xml:space="preserve">Ukupni iznosi izloženosti riziku (TREA) </w:t>
            </w:r>
          </w:p>
          <w:p w14:paraId="2C2ABAC7" w14:textId="310DBD96" w:rsidR="007F5865" w:rsidRPr="007F4CC8" w:rsidRDefault="00476E72" w:rsidP="00476E72">
            <w:pPr>
              <w:spacing w:before="60" w:after="120"/>
              <w:jc w:val="both"/>
              <w:rPr>
                <w:rFonts w:ascii="Times New Roman" w:hAnsi="Times New Roman" w:cs="Times New Roman"/>
                <w:sz w:val="24"/>
              </w:rPr>
            </w:pPr>
            <w:r>
              <w:rPr>
                <w:rFonts w:ascii="Times New Roman" w:hAnsi="Times New Roman"/>
                <w:sz w:val="24"/>
              </w:rPr>
              <w:t>Ukupni iznos izloženosti rizicima koji se izračunava u skladu s člankom 92. stavkom 3. i člancima 95., 96. i 98. CRR-a</w:t>
            </w:r>
          </w:p>
        </w:tc>
      </w:tr>
      <w:tr w:rsidR="00720050" w:rsidRPr="007F4CC8" w14:paraId="51DC6C96" w14:textId="77777777" w:rsidTr="00B2180A">
        <w:trPr>
          <w:trHeight w:val="323"/>
        </w:trPr>
        <w:tc>
          <w:tcPr>
            <w:tcW w:w="1384" w:type="dxa"/>
          </w:tcPr>
          <w:p w14:paraId="4A8317DB" w14:textId="77777777" w:rsidR="00720050" w:rsidRPr="007F4CC8" w:rsidRDefault="00720050" w:rsidP="00B2180A">
            <w:pPr>
              <w:pStyle w:val="Applicationdirecte"/>
              <w:spacing w:before="60"/>
              <w:jc w:val="center"/>
            </w:pPr>
            <w:r>
              <w:t>b</w:t>
            </w:r>
          </w:p>
        </w:tc>
        <w:tc>
          <w:tcPr>
            <w:tcW w:w="7655" w:type="dxa"/>
          </w:tcPr>
          <w:p w14:paraId="22370966" w14:textId="4C946B1E" w:rsidR="00677CC7" w:rsidRPr="00DB2478" w:rsidRDefault="00476E72" w:rsidP="00B2180A">
            <w:pPr>
              <w:spacing w:before="60" w:after="120"/>
              <w:jc w:val="both"/>
              <w:rPr>
                <w:rFonts w:ascii="Times New Roman" w:hAnsi="Times New Roman" w:cs="Times New Roman"/>
                <w:b/>
                <w:sz w:val="24"/>
              </w:rPr>
            </w:pPr>
            <w:r>
              <w:rPr>
                <w:rFonts w:ascii="Times New Roman" w:hAnsi="Times New Roman"/>
                <w:b/>
                <w:sz w:val="24"/>
              </w:rPr>
              <w:t xml:space="preserve">TREA (T-1) </w:t>
            </w:r>
          </w:p>
          <w:p w14:paraId="3470438E" w14:textId="07805765" w:rsidR="00720050" w:rsidRPr="007F4CC8" w:rsidRDefault="00476E72" w:rsidP="00B74E92">
            <w:pPr>
              <w:spacing w:before="60" w:after="120"/>
              <w:jc w:val="both"/>
              <w:rPr>
                <w:rFonts w:ascii="Times New Roman" w:eastAsia="Times New Roman" w:hAnsi="Times New Roman" w:cs="Times New Roman"/>
                <w:sz w:val="24"/>
              </w:rPr>
            </w:pPr>
            <w:r>
              <w:rPr>
                <w:rFonts w:ascii="Times New Roman" w:hAnsi="Times New Roman"/>
                <w:sz w:val="24"/>
              </w:rPr>
              <w:t>TREA kako je objavljena u prethodnom razdoblju objave</w:t>
            </w:r>
          </w:p>
        </w:tc>
      </w:tr>
      <w:tr w:rsidR="007F5865" w:rsidRPr="007F4CC8" w14:paraId="0EA18E63" w14:textId="77777777" w:rsidTr="004606A7">
        <w:trPr>
          <w:trHeight w:val="323"/>
        </w:trPr>
        <w:tc>
          <w:tcPr>
            <w:tcW w:w="1384" w:type="dxa"/>
          </w:tcPr>
          <w:p w14:paraId="103E93B5" w14:textId="77777777" w:rsidR="007F5865" w:rsidRPr="007F4CC8" w:rsidRDefault="00720050" w:rsidP="00720050">
            <w:pPr>
              <w:pStyle w:val="Applicationdirecte"/>
              <w:spacing w:before="60"/>
              <w:jc w:val="center"/>
            </w:pPr>
            <w:r>
              <w:t>c</w:t>
            </w:r>
          </w:p>
        </w:tc>
        <w:tc>
          <w:tcPr>
            <w:tcW w:w="7655" w:type="dxa"/>
          </w:tcPr>
          <w:p w14:paraId="4BB538BB" w14:textId="77777777" w:rsidR="007F5865" w:rsidRPr="00DB2478" w:rsidRDefault="00720050" w:rsidP="004606A7">
            <w:pPr>
              <w:spacing w:before="60" w:after="120"/>
              <w:jc w:val="both"/>
              <w:rPr>
                <w:rFonts w:ascii="Times New Roman" w:hAnsi="Times New Roman" w:cs="Times New Roman"/>
                <w:b/>
                <w:sz w:val="24"/>
              </w:rPr>
            </w:pPr>
            <w:r>
              <w:rPr>
                <w:rFonts w:ascii="Times New Roman" w:hAnsi="Times New Roman"/>
                <w:b/>
                <w:sz w:val="24"/>
              </w:rPr>
              <w:t>Ukupni kapitalni zahtjevi</w:t>
            </w:r>
          </w:p>
          <w:p w14:paraId="024E3DB2" w14:textId="08DD3FBD" w:rsidR="00720050" w:rsidRPr="007F4CC8" w:rsidRDefault="00720050" w:rsidP="004606A7">
            <w:pPr>
              <w:spacing w:before="60" w:after="120"/>
              <w:jc w:val="both"/>
              <w:rPr>
                <w:rFonts w:ascii="Times New Roman" w:eastAsia="Times New Roman" w:hAnsi="Times New Roman" w:cs="Times New Roman"/>
                <w:sz w:val="24"/>
              </w:rPr>
            </w:pPr>
            <w:r>
              <w:rPr>
                <w:rFonts w:ascii="Times New Roman" w:hAnsi="Times New Roman"/>
                <w:sz w:val="24"/>
              </w:rPr>
              <w:t>Kapitalni zahtjevi koji odgovaraju iznosima RWEA za različite kategorije rizika</w:t>
            </w:r>
          </w:p>
        </w:tc>
      </w:tr>
      <w:tr w:rsidR="001A0C8D" w:rsidRPr="007F4CC8" w14:paraId="4205D97D"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7F4CC8" w:rsidRDefault="001A0C8D" w:rsidP="00810F8E">
            <w:pPr>
              <w:rPr>
                <w:rFonts w:ascii="Times New Roman" w:hAnsi="Times New Roman" w:cs="Times New Roman"/>
                <w:b/>
                <w:sz w:val="24"/>
              </w:rPr>
            </w:pPr>
            <w:r>
              <w:rPr>
                <w:rFonts w:ascii="Times New Roman" w:hAnsi="Times New Roman"/>
                <w:b/>
                <w:sz w:val="24"/>
              </w:rPr>
              <w:t>Pravna osnova i upute</w:t>
            </w:r>
          </w:p>
        </w:tc>
      </w:tr>
      <w:tr w:rsidR="001A0C8D" w:rsidRPr="007F4CC8" w14:paraId="2490D509" w14:textId="77777777" w:rsidTr="00810F8E">
        <w:trPr>
          <w:trHeight w:val="238"/>
        </w:trPr>
        <w:tc>
          <w:tcPr>
            <w:tcW w:w="1384" w:type="dxa"/>
            <w:shd w:val="clear" w:color="auto" w:fill="D9D9D9" w:themeFill="background1" w:themeFillShade="D9"/>
          </w:tcPr>
          <w:p w14:paraId="75756FCA" w14:textId="77777777" w:rsidR="001A0C8D" w:rsidRPr="007F4CC8" w:rsidRDefault="001A0C8D" w:rsidP="00810F8E">
            <w:pPr>
              <w:autoSpaceDE w:val="0"/>
              <w:autoSpaceDN w:val="0"/>
              <w:adjustRightInd w:val="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354EA15A" w14:textId="77777777" w:rsidR="001A0C8D" w:rsidRPr="007F4CC8" w:rsidRDefault="001A0C8D" w:rsidP="00810F8E">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1A0C8D" w:rsidRPr="007F4CC8" w14:paraId="51DDF3ED" w14:textId="77777777" w:rsidTr="001A0C8D">
        <w:trPr>
          <w:trHeight w:val="680"/>
        </w:trPr>
        <w:tc>
          <w:tcPr>
            <w:tcW w:w="1384" w:type="dxa"/>
          </w:tcPr>
          <w:p w14:paraId="63497DDA" w14:textId="77777777" w:rsidR="001A0C8D" w:rsidRPr="007F4CC8" w:rsidRDefault="001A0C8D" w:rsidP="00260404">
            <w:pPr>
              <w:pStyle w:val="Applicationdirecte"/>
              <w:spacing w:before="60"/>
              <w:jc w:val="center"/>
            </w:pPr>
            <w:r>
              <w:t>1</w:t>
            </w:r>
          </w:p>
        </w:tc>
        <w:tc>
          <w:tcPr>
            <w:tcW w:w="7655" w:type="dxa"/>
            <w:vAlign w:val="center"/>
          </w:tcPr>
          <w:p w14:paraId="156E0E42" w14:textId="77777777" w:rsidR="004606A7" w:rsidRPr="00DB2478" w:rsidRDefault="004606A7" w:rsidP="00260404">
            <w:pPr>
              <w:spacing w:before="60" w:after="120"/>
              <w:jc w:val="both"/>
              <w:rPr>
                <w:rFonts w:ascii="Times New Roman" w:hAnsi="Times New Roman" w:cs="Times New Roman"/>
                <w:b/>
                <w:sz w:val="24"/>
              </w:rPr>
            </w:pPr>
            <w:r>
              <w:rPr>
                <w:rFonts w:ascii="Times New Roman" w:hAnsi="Times New Roman"/>
                <w:b/>
                <w:sz w:val="24"/>
              </w:rPr>
              <w:t>Kreditni rizik (isključujući kreditni rizik druge ugovorne strane)</w:t>
            </w:r>
          </w:p>
          <w:p w14:paraId="3A25A955" w14:textId="4AC0E74D" w:rsidR="001A0C8D" w:rsidRPr="007F4CC8" w:rsidRDefault="009A4635" w:rsidP="00A25707">
            <w:pPr>
              <w:spacing w:before="60" w:after="120"/>
              <w:jc w:val="both"/>
              <w:rPr>
                <w:rFonts w:ascii="Times New Roman" w:hAnsi="Times New Roman" w:cs="Times New Roman"/>
                <w:sz w:val="24"/>
              </w:rPr>
            </w:pPr>
            <w:r>
              <w:rPr>
                <w:rFonts w:ascii="Times New Roman" w:hAnsi="Times New Roman"/>
                <w:sz w:val="24"/>
              </w:rPr>
              <w:t xml:space="preserve">Iznosi RWEA i kapitalni zahtjevi koji se izračunavaju u skladu s dijelom trećim glavom II. poglavljima od 1. do 4. CRR-a i s člankom 379. CRR-a. Iznosi RWEA za </w:t>
            </w:r>
            <w:proofErr w:type="spellStart"/>
            <w:r>
              <w:rPr>
                <w:rFonts w:ascii="Times New Roman" w:hAnsi="Times New Roman"/>
                <w:sz w:val="24"/>
              </w:rPr>
              <w:t>sekuritizacijske</w:t>
            </w:r>
            <w:proofErr w:type="spellEnd"/>
            <w:r>
              <w:rPr>
                <w:rFonts w:ascii="Times New Roman" w:hAnsi="Times New Roman"/>
                <w:sz w:val="24"/>
              </w:rPr>
              <w:t xml:space="preserve"> izloženosti u knjizi pozicija kojima se ne trguje i za kreditni rizik druge ugovorne strane isključeni su i iskazuju se u redcima 6. i 16. ovog obrasca. Institucije u iznos iskazan u ovom retku uključuju iznose RWEA i kapitalne zahtjeve za rizik slobodnih isporuka koji se izračunavaju u skladu s člankom 379. CRR-a.</w:t>
            </w:r>
          </w:p>
        </w:tc>
      </w:tr>
      <w:tr w:rsidR="004A5BCD" w:rsidRPr="007F4CC8" w14:paraId="287E598B" w14:textId="77777777" w:rsidTr="004A5BCD">
        <w:trPr>
          <w:trHeight w:val="680"/>
        </w:trPr>
        <w:tc>
          <w:tcPr>
            <w:tcW w:w="1384" w:type="dxa"/>
          </w:tcPr>
          <w:p w14:paraId="4AE3A0F7" w14:textId="77777777" w:rsidR="004A5BCD" w:rsidRPr="007F4CC8" w:rsidRDefault="004A5BCD" w:rsidP="00260404">
            <w:pPr>
              <w:pStyle w:val="Applicationdirecte"/>
              <w:spacing w:before="60"/>
              <w:jc w:val="center"/>
            </w:pPr>
            <w:r>
              <w:t>2</w:t>
            </w:r>
          </w:p>
        </w:tc>
        <w:tc>
          <w:tcPr>
            <w:tcW w:w="7655" w:type="dxa"/>
          </w:tcPr>
          <w:p w14:paraId="19A303B7" w14:textId="77777777" w:rsidR="008B269B" w:rsidRPr="00DB2478" w:rsidRDefault="008B269B" w:rsidP="008B269B">
            <w:pPr>
              <w:spacing w:before="60" w:after="120"/>
              <w:jc w:val="both"/>
              <w:rPr>
                <w:rFonts w:ascii="Times New Roman" w:hAnsi="Times New Roman" w:cs="Times New Roman"/>
                <w:b/>
                <w:sz w:val="24"/>
              </w:rPr>
            </w:pPr>
            <w:r>
              <w:rPr>
                <w:rFonts w:ascii="Times New Roman" w:hAnsi="Times New Roman"/>
                <w:b/>
                <w:sz w:val="24"/>
              </w:rPr>
              <w:t>Kreditni rizik (isključujući kreditni rizik druge ugovorne strane) – od čega standardizirani pristup</w:t>
            </w:r>
          </w:p>
          <w:p w14:paraId="1DD2511C" w14:textId="65BEE1B1" w:rsidR="004A5BCD"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Iznosi RWEA i kapitalni zahtjevi koji se izračunavaju u skladu sa standardiziranim pristupom kreditnom riziku (dio treći glava II. poglavlje 2. CRR-a i članak 379. CRR-a).</w:t>
            </w:r>
          </w:p>
        </w:tc>
      </w:tr>
      <w:tr w:rsidR="008B269B" w:rsidRPr="007F4CC8" w14:paraId="1C43F82C" w14:textId="77777777" w:rsidTr="004A5BCD">
        <w:trPr>
          <w:trHeight w:val="436"/>
        </w:trPr>
        <w:tc>
          <w:tcPr>
            <w:tcW w:w="1384" w:type="dxa"/>
          </w:tcPr>
          <w:p w14:paraId="123DF015" w14:textId="77777777" w:rsidR="008B269B" w:rsidRPr="007F4CC8" w:rsidRDefault="008B269B" w:rsidP="008B269B">
            <w:pPr>
              <w:pStyle w:val="Applicationdirecte"/>
              <w:spacing w:before="60"/>
              <w:jc w:val="center"/>
            </w:pPr>
            <w:r>
              <w:t>3</w:t>
            </w:r>
          </w:p>
        </w:tc>
        <w:tc>
          <w:tcPr>
            <w:tcW w:w="7655" w:type="dxa"/>
          </w:tcPr>
          <w:p w14:paraId="6D300D26" w14:textId="2612B8E7" w:rsidR="008B269B" w:rsidRPr="00DB2478" w:rsidRDefault="008B269B" w:rsidP="008B269B">
            <w:pPr>
              <w:spacing w:before="60" w:after="120"/>
              <w:jc w:val="both"/>
              <w:rPr>
                <w:rFonts w:ascii="Times New Roman" w:hAnsi="Times New Roman" w:cs="Times New Roman"/>
                <w:b/>
                <w:sz w:val="24"/>
              </w:rPr>
            </w:pPr>
            <w:r>
              <w:rPr>
                <w:rFonts w:ascii="Times New Roman" w:hAnsi="Times New Roman"/>
                <w:b/>
                <w:sz w:val="24"/>
              </w:rPr>
              <w:t xml:space="preserve">Kreditni rizik (isključujući kreditni rizik druge ugovorne strane) – od čega temeljni IRB (F-IRB) pristup </w:t>
            </w:r>
          </w:p>
          <w:p w14:paraId="67755B7F" w14:textId="04E2E873" w:rsidR="008B269B"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lastRenderedPageBreak/>
              <w:t xml:space="preserve">Iznosi RWEA i kapitalni zahtjevi koji se izračunavaju u skladu s temeljnim pristupom zasnovanim na internim rejting-sustavima za kreditni rizik (dio treći glava II. poglavlje 3. CRR-a), isključujući iznose RWEA iskazane u retku 4 za izloženosti u obliku specijaliziranog financiranja na koje se primjenjuje pristup raspoređivanja, i u retku 4a za vlasnička ulaganja u skladu s jednostavnim pristupom </w:t>
            </w:r>
            <w:proofErr w:type="spellStart"/>
            <w:r>
              <w:rPr>
                <w:rFonts w:ascii="Times New Roman" w:hAnsi="Times New Roman"/>
                <w:sz w:val="24"/>
              </w:rPr>
              <w:t>ponderiranja</w:t>
            </w:r>
            <w:proofErr w:type="spellEnd"/>
            <w:r>
              <w:rPr>
                <w:rFonts w:ascii="Times New Roman" w:hAnsi="Times New Roman"/>
                <w:sz w:val="24"/>
              </w:rPr>
              <w:t xml:space="preserve"> rizika, a uključujući iznose RWEA i kapitalne zahtjeve koji se izračunavaju u skladu s člankom 379. CRR-a.</w:t>
            </w:r>
          </w:p>
        </w:tc>
      </w:tr>
      <w:tr w:rsidR="00FA1376" w:rsidRPr="007F4CC8" w14:paraId="12544419" w14:textId="77777777" w:rsidTr="00B2180A">
        <w:trPr>
          <w:trHeight w:val="557"/>
        </w:trPr>
        <w:tc>
          <w:tcPr>
            <w:tcW w:w="1384" w:type="dxa"/>
            <w:vAlign w:val="center"/>
          </w:tcPr>
          <w:p w14:paraId="76946C13" w14:textId="77777777" w:rsidR="00FA1376" w:rsidRPr="007F4CC8" w:rsidRDefault="00460FF6" w:rsidP="00FA1376">
            <w:pPr>
              <w:pStyle w:val="Applicationdirecte"/>
              <w:spacing w:before="60"/>
              <w:jc w:val="center"/>
            </w:pPr>
            <w:r>
              <w:rPr>
                <w:color w:val="000000"/>
              </w:rPr>
              <w:lastRenderedPageBreak/>
              <w:t>4</w:t>
            </w:r>
          </w:p>
        </w:tc>
        <w:tc>
          <w:tcPr>
            <w:tcW w:w="7655" w:type="dxa"/>
          </w:tcPr>
          <w:p w14:paraId="370308AB" w14:textId="0FFC281F"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Kreditni rizik (isključujući kreditni rizik druge ugovorne strane) – od čega: pristup raspoređivanja</w:t>
            </w:r>
          </w:p>
          <w:p w14:paraId="0A705407" w14:textId="05671E50" w:rsidR="00FA1376" w:rsidRPr="007F4CC8" w:rsidRDefault="009A4635" w:rsidP="0077689B">
            <w:pPr>
              <w:spacing w:before="60" w:after="120"/>
              <w:jc w:val="both"/>
              <w:rPr>
                <w:rFonts w:ascii="Times New Roman" w:hAnsi="Times New Roman" w:cs="Times New Roman"/>
                <w:color w:val="000000"/>
                <w:sz w:val="24"/>
              </w:rPr>
            </w:pPr>
            <w:r>
              <w:rPr>
                <w:rFonts w:ascii="Times New Roman" w:hAnsi="Times New Roman"/>
                <w:sz w:val="24"/>
              </w:rPr>
              <w:t>Iznosi RWEA i kapitalni zahtjevi za izloženosti u obliku specijaliziranog financiranja na koje se primjenjuje pristup raspoređivanja koji se izračunavaju u skladu s člankom 153. stavkom 5. CRR-a.</w:t>
            </w:r>
          </w:p>
        </w:tc>
      </w:tr>
      <w:tr w:rsidR="00FA1376" w:rsidRPr="007F4CC8" w14:paraId="003EB127" w14:textId="77777777" w:rsidTr="00B2180A">
        <w:trPr>
          <w:trHeight w:val="557"/>
        </w:trPr>
        <w:tc>
          <w:tcPr>
            <w:tcW w:w="1384" w:type="dxa"/>
            <w:vAlign w:val="center"/>
          </w:tcPr>
          <w:p w14:paraId="45C5255C" w14:textId="77777777" w:rsidR="00FA1376" w:rsidRPr="007F4CC8" w:rsidRDefault="00FA1376" w:rsidP="00FA1376">
            <w:pPr>
              <w:pStyle w:val="Applicationdirecte"/>
              <w:spacing w:before="60"/>
              <w:jc w:val="center"/>
            </w:pPr>
            <w:r>
              <w:rPr>
                <w:color w:val="000000"/>
              </w:rPr>
              <w:t>EU 4a</w:t>
            </w:r>
          </w:p>
        </w:tc>
        <w:tc>
          <w:tcPr>
            <w:tcW w:w="7655" w:type="dxa"/>
          </w:tcPr>
          <w:p w14:paraId="37370FB1"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Kreditni rizik (isključujući kreditni rizik druge ugovorne strane) – od čega: vlasnička ulaganja u skladu s jednostavnim pristupom </w:t>
            </w:r>
            <w:proofErr w:type="spellStart"/>
            <w:r>
              <w:rPr>
                <w:rFonts w:ascii="Times New Roman" w:hAnsi="Times New Roman"/>
                <w:b/>
                <w:sz w:val="24"/>
              </w:rPr>
              <w:t>ponderiranja</w:t>
            </w:r>
            <w:proofErr w:type="spellEnd"/>
            <w:r>
              <w:rPr>
                <w:rFonts w:ascii="Times New Roman" w:hAnsi="Times New Roman"/>
                <w:b/>
                <w:sz w:val="24"/>
              </w:rPr>
              <w:t xml:space="preserve"> rizika</w:t>
            </w:r>
          </w:p>
          <w:p w14:paraId="5661C7E6" w14:textId="47D83240" w:rsidR="00FA1376" w:rsidRPr="007F4CC8" w:rsidRDefault="009A4635" w:rsidP="0077689B">
            <w:pPr>
              <w:spacing w:before="60" w:after="120"/>
              <w:jc w:val="both"/>
              <w:rPr>
                <w:rFonts w:ascii="Times New Roman" w:eastAsia="Times New Roman" w:hAnsi="Times New Roman" w:cs="Times New Roman"/>
                <w:sz w:val="24"/>
              </w:rPr>
            </w:pPr>
            <w:r>
              <w:rPr>
                <w:rFonts w:ascii="Times New Roman" w:hAnsi="Times New Roman"/>
                <w:sz w:val="24"/>
              </w:rPr>
              <w:t xml:space="preserve">Iznosi RWEA i kapitalni zahtjevi za vlasnička ulaganja u skladu s jednostavnim pristupom </w:t>
            </w:r>
            <w:proofErr w:type="spellStart"/>
            <w:r>
              <w:rPr>
                <w:rFonts w:ascii="Times New Roman" w:hAnsi="Times New Roman"/>
                <w:sz w:val="24"/>
              </w:rPr>
              <w:t>ponderiranja</w:t>
            </w:r>
            <w:proofErr w:type="spellEnd"/>
            <w:r>
              <w:rPr>
                <w:rFonts w:ascii="Times New Roman" w:hAnsi="Times New Roman"/>
                <w:sz w:val="24"/>
              </w:rPr>
              <w:t xml:space="preserve"> rizika koji se izračunavaju u skladu s člankom 155. stavkom 2. CRR-a.</w:t>
            </w:r>
          </w:p>
        </w:tc>
      </w:tr>
      <w:tr w:rsidR="00460FF6" w:rsidRPr="007F4CC8" w14:paraId="69AF17D3" w14:textId="77777777" w:rsidTr="00B2180A">
        <w:trPr>
          <w:trHeight w:val="557"/>
        </w:trPr>
        <w:tc>
          <w:tcPr>
            <w:tcW w:w="1384" w:type="dxa"/>
            <w:vAlign w:val="center"/>
          </w:tcPr>
          <w:p w14:paraId="001EDC8B" w14:textId="77777777" w:rsidR="00460FF6" w:rsidRPr="007F4CC8" w:rsidRDefault="00460FF6" w:rsidP="00B2180A">
            <w:pPr>
              <w:pStyle w:val="Applicationdirecte"/>
              <w:spacing w:before="60"/>
              <w:jc w:val="center"/>
            </w:pPr>
            <w:r>
              <w:rPr>
                <w:color w:val="000000"/>
              </w:rPr>
              <w:t>5</w:t>
            </w:r>
          </w:p>
        </w:tc>
        <w:tc>
          <w:tcPr>
            <w:tcW w:w="7655" w:type="dxa"/>
          </w:tcPr>
          <w:p w14:paraId="3AFF7CE4" w14:textId="380D7E2D" w:rsidR="00460FF6" w:rsidRPr="008B248A" w:rsidRDefault="00460FF6" w:rsidP="00B2180A">
            <w:pPr>
              <w:spacing w:before="60" w:after="120"/>
              <w:jc w:val="both"/>
              <w:rPr>
                <w:rFonts w:ascii="Times New Roman" w:hAnsi="Times New Roman" w:cs="Times New Roman"/>
                <w:b/>
                <w:sz w:val="24"/>
              </w:rPr>
            </w:pPr>
            <w:r>
              <w:rPr>
                <w:rFonts w:ascii="Times New Roman" w:hAnsi="Times New Roman"/>
                <w:b/>
                <w:sz w:val="24"/>
              </w:rPr>
              <w:t xml:space="preserve">Kreditni rizik (isključujući kreditni rizik druge ugovorne strane) – od čega napredni IRB (A-IRB) pristup </w:t>
            </w:r>
          </w:p>
          <w:p w14:paraId="7667081C" w14:textId="12965E00" w:rsidR="00460FF6" w:rsidRPr="007F4CC8" w:rsidRDefault="00460FF6" w:rsidP="0097538A">
            <w:pPr>
              <w:spacing w:before="60" w:after="120"/>
              <w:jc w:val="both"/>
              <w:rPr>
                <w:rFonts w:ascii="Times New Roman" w:eastAsia="Times New Roman" w:hAnsi="Times New Roman" w:cs="Times New Roman"/>
                <w:sz w:val="24"/>
              </w:rPr>
            </w:pPr>
            <w:r>
              <w:rPr>
                <w:rFonts w:ascii="Times New Roman" w:hAnsi="Times New Roman"/>
                <w:sz w:val="24"/>
              </w:rPr>
              <w:t xml:space="preserve">Iznosi RWEA i kapitalni zahtjevi koji se izračunavaju u skladu s naprednim pristupom zasnovanim na internim rejting-sustavima za kreditni rizik (dio treći glava II. poglavlje 3. CRR-a), isključujući iznose RWEA iskazane u retku 4 za izloženosti u obliku specijaliziranog financiranja na koje se primjenjuje pristup raspoređivanja, i u retku EU 4a za vlasnička ulaganja u skladu s jednostavnim pristupom </w:t>
            </w:r>
            <w:proofErr w:type="spellStart"/>
            <w:r>
              <w:rPr>
                <w:rFonts w:ascii="Times New Roman" w:hAnsi="Times New Roman"/>
                <w:sz w:val="24"/>
              </w:rPr>
              <w:t>ponderiranja</w:t>
            </w:r>
            <w:proofErr w:type="spellEnd"/>
            <w:r>
              <w:rPr>
                <w:rFonts w:ascii="Times New Roman" w:hAnsi="Times New Roman"/>
                <w:sz w:val="24"/>
              </w:rPr>
              <w:t xml:space="preserve"> rizika, a uključujući iznose RWEA i kapitalne zahtjeve koji se izračunavaju u skladu s člankom 379. CRR-a.</w:t>
            </w:r>
          </w:p>
        </w:tc>
      </w:tr>
      <w:tr w:rsidR="00FA1376" w:rsidRPr="007F4CC8" w14:paraId="79D52CCD" w14:textId="77777777" w:rsidTr="00B2180A">
        <w:trPr>
          <w:trHeight w:val="557"/>
        </w:trPr>
        <w:tc>
          <w:tcPr>
            <w:tcW w:w="1384" w:type="dxa"/>
            <w:vAlign w:val="center"/>
          </w:tcPr>
          <w:p w14:paraId="7D31EB04" w14:textId="77777777" w:rsidR="00FA1376" w:rsidRPr="007F4CC8" w:rsidRDefault="004D588F" w:rsidP="004D588F">
            <w:pPr>
              <w:pStyle w:val="Applicationdirecte"/>
              <w:spacing w:before="60"/>
              <w:jc w:val="center"/>
            </w:pPr>
            <w:r>
              <w:rPr>
                <w:color w:val="000000"/>
              </w:rPr>
              <w:t>6</w:t>
            </w:r>
          </w:p>
        </w:tc>
        <w:tc>
          <w:tcPr>
            <w:tcW w:w="7655" w:type="dxa"/>
          </w:tcPr>
          <w:p w14:paraId="7F11F1D5"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Kreditni rizik druge ugovorne strane – CCR </w:t>
            </w:r>
          </w:p>
          <w:p w14:paraId="6E778278" w14:textId="4A4F8DEC" w:rsidR="00FA1376"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Iznosi RWEA i kapitalni zahtjevi koji se izračunavaju u skladu s dijelom trećim glavom II. poglavljem 6. CRR-a za kreditni rizik druge ugovorne strane.</w:t>
            </w:r>
          </w:p>
        </w:tc>
      </w:tr>
      <w:tr w:rsidR="00FA1376" w:rsidRPr="007F4CC8" w14:paraId="75B82B0F" w14:textId="77777777" w:rsidTr="00B2180A">
        <w:trPr>
          <w:trHeight w:val="557"/>
        </w:trPr>
        <w:tc>
          <w:tcPr>
            <w:tcW w:w="1384" w:type="dxa"/>
            <w:vAlign w:val="center"/>
          </w:tcPr>
          <w:p w14:paraId="0224B461" w14:textId="77777777" w:rsidR="00FA1376" w:rsidRPr="007F4CC8" w:rsidRDefault="004D588F" w:rsidP="00FA1376">
            <w:pPr>
              <w:pStyle w:val="Applicationdirecte"/>
              <w:spacing w:before="60"/>
              <w:jc w:val="center"/>
            </w:pPr>
            <w:r>
              <w:rPr>
                <w:color w:val="000000"/>
              </w:rPr>
              <w:t>7</w:t>
            </w:r>
          </w:p>
        </w:tc>
        <w:tc>
          <w:tcPr>
            <w:tcW w:w="7655" w:type="dxa"/>
          </w:tcPr>
          <w:p w14:paraId="5528A31C" w14:textId="62213072"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CCR – od čega standardizirani pristup </w:t>
            </w:r>
          </w:p>
          <w:p w14:paraId="13065A05" w14:textId="186518FD" w:rsidR="00FA1376" w:rsidRPr="007F4CC8" w:rsidRDefault="009A4635" w:rsidP="00334EB8">
            <w:pPr>
              <w:spacing w:before="60" w:after="120"/>
              <w:jc w:val="both"/>
              <w:rPr>
                <w:rFonts w:ascii="Times New Roman" w:hAnsi="Times New Roman" w:cs="Times New Roman"/>
                <w:sz w:val="24"/>
              </w:rPr>
            </w:pPr>
            <w:r>
              <w:rPr>
                <w:rFonts w:ascii="Times New Roman" w:hAnsi="Times New Roman"/>
                <w:sz w:val="24"/>
              </w:rPr>
              <w:t>Iznosi RWEA i kapitalni zahtjevi koji se izračunavaju u skladu s dijelom trećim glavom II. poglavljem 6. odjeljkom 3. CRR-a.</w:t>
            </w:r>
          </w:p>
        </w:tc>
      </w:tr>
      <w:tr w:rsidR="00FA1376" w:rsidRPr="007F4CC8" w14:paraId="16331F3C" w14:textId="77777777" w:rsidTr="00B2180A">
        <w:trPr>
          <w:trHeight w:val="557"/>
        </w:trPr>
        <w:tc>
          <w:tcPr>
            <w:tcW w:w="1384" w:type="dxa"/>
            <w:vAlign w:val="center"/>
          </w:tcPr>
          <w:p w14:paraId="3558D5F6" w14:textId="77777777" w:rsidR="00FA1376" w:rsidRPr="007F4CC8" w:rsidRDefault="004D588F" w:rsidP="00FA1376">
            <w:pPr>
              <w:pStyle w:val="Applicationdirecte"/>
              <w:spacing w:before="60"/>
              <w:jc w:val="center"/>
            </w:pPr>
            <w:r>
              <w:rPr>
                <w:color w:val="000000"/>
              </w:rPr>
              <w:t>8</w:t>
            </w:r>
          </w:p>
        </w:tc>
        <w:tc>
          <w:tcPr>
            <w:tcW w:w="7655" w:type="dxa"/>
          </w:tcPr>
          <w:p w14:paraId="2C150D6B"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CCR – od čega metoda internog modela (IMM) </w:t>
            </w:r>
          </w:p>
          <w:p w14:paraId="3EB08D8D" w14:textId="4DF1E8A8" w:rsidR="00FA1376" w:rsidRPr="007F4CC8" w:rsidRDefault="009A4635" w:rsidP="002635C4">
            <w:pPr>
              <w:spacing w:before="60" w:after="120"/>
              <w:jc w:val="both"/>
              <w:rPr>
                <w:rFonts w:ascii="Times New Roman" w:hAnsi="Times New Roman" w:cs="Times New Roman"/>
                <w:sz w:val="24"/>
              </w:rPr>
            </w:pPr>
            <w:r>
              <w:rPr>
                <w:rFonts w:ascii="Times New Roman" w:hAnsi="Times New Roman"/>
                <w:sz w:val="24"/>
              </w:rPr>
              <w:t>Iznosi RWEA i kapitalni zahtjevi koji se izračunavaju u skladu s člankom 283. CRR-a.</w:t>
            </w:r>
          </w:p>
        </w:tc>
      </w:tr>
      <w:tr w:rsidR="004D588F" w:rsidRPr="007F4CC8" w14:paraId="58D7FF91" w14:textId="77777777" w:rsidTr="00254E82">
        <w:trPr>
          <w:trHeight w:val="557"/>
        </w:trPr>
        <w:tc>
          <w:tcPr>
            <w:tcW w:w="1384" w:type="dxa"/>
          </w:tcPr>
          <w:p w14:paraId="4241FF70" w14:textId="77777777" w:rsidR="004D588F" w:rsidRPr="007F4CC8" w:rsidRDefault="004D588F" w:rsidP="004D588F">
            <w:pPr>
              <w:pStyle w:val="Applicationdirecte"/>
              <w:spacing w:before="60"/>
              <w:jc w:val="center"/>
            </w:pPr>
            <w:r>
              <w:t>EU 8a</w:t>
            </w:r>
          </w:p>
        </w:tc>
        <w:tc>
          <w:tcPr>
            <w:tcW w:w="7655" w:type="dxa"/>
          </w:tcPr>
          <w:p w14:paraId="78F13FD4" w14:textId="77777777" w:rsidR="004D588F" w:rsidRPr="008B248A" w:rsidRDefault="004D588F" w:rsidP="004D588F">
            <w:pPr>
              <w:spacing w:before="60" w:after="120"/>
              <w:jc w:val="both"/>
              <w:rPr>
                <w:rFonts w:ascii="Times New Roman" w:hAnsi="Times New Roman" w:cs="Times New Roman"/>
                <w:b/>
                <w:sz w:val="24"/>
              </w:rPr>
            </w:pPr>
            <w:r>
              <w:rPr>
                <w:rFonts w:ascii="Times New Roman" w:hAnsi="Times New Roman"/>
                <w:b/>
                <w:sz w:val="24"/>
              </w:rPr>
              <w:t>CCR – od čega izloženosti prema središnjoj drugoj ugovornoj strani</w:t>
            </w:r>
          </w:p>
          <w:p w14:paraId="316A5F55" w14:textId="6DAD69DA" w:rsidR="00194611" w:rsidRPr="007F4CC8" w:rsidRDefault="004D588F" w:rsidP="002635C4">
            <w:pPr>
              <w:spacing w:before="60" w:after="120"/>
              <w:jc w:val="both"/>
              <w:rPr>
                <w:rFonts w:ascii="Times New Roman" w:hAnsi="Times New Roman" w:cs="Times New Roman"/>
                <w:sz w:val="24"/>
              </w:rPr>
            </w:pPr>
            <w:r>
              <w:rPr>
                <w:rFonts w:ascii="Times New Roman" w:hAnsi="Times New Roman"/>
                <w:sz w:val="24"/>
              </w:rPr>
              <w:t>Iznosi RWEA i kapitalni zahtjevi koji se izračunavaju u skladu s dijelom trećim glavom II. poglavljem 6. odjeljkom 9. CRR-a.</w:t>
            </w:r>
          </w:p>
        </w:tc>
      </w:tr>
      <w:tr w:rsidR="004D588F" w:rsidRPr="007F4CC8" w14:paraId="64D4BA23" w14:textId="77777777" w:rsidTr="00254E82">
        <w:trPr>
          <w:trHeight w:val="557"/>
        </w:trPr>
        <w:tc>
          <w:tcPr>
            <w:tcW w:w="1384" w:type="dxa"/>
          </w:tcPr>
          <w:p w14:paraId="717446A6" w14:textId="77777777" w:rsidR="004D588F" w:rsidRPr="007F4CC8" w:rsidRDefault="004D588F" w:rsidP="004D588F">
            <w:pPr>
              <w:pStyle w:val="Applicationdirecte"/>
              <w:spacing w:before="60"/>
              <w:jc w:val="center"/>
            </w:pPr>
            <w:r>
              <w:lastRenderedPageBreak/>
              <w:t>EU 8b</w:t>
            </w:r>
          </w:p>
        </w:tc>
        <w:tc>
          <w:tcPr>
            <w:tcW w:w="7655" w:type="dxa"/>
          </w:tcPr>
          <w:p w14:paraId="14C73A81" w14:textId="77777777" w:rsidR="004D588F" w:rsidRPr="005F1675" w:rsidRDefault="004D588F" w:rsidP="004D588F">
            <w:pPr>
              <w:spacing w:before="60" w:after="120"/>
              <w:jc w:val="both"/>
              <w:rPr>
                <w:rFonts w:ascii="Times New Roman" w:hAnsi="Times New Roman" w:cs="Times New Roman"/>
                <w:b/>
                <w:sz w:val="24"/>
              </w:rPr>
            </w:pPr>
            <w:r>
              <w:rPr>
                <w:rFonts w:ascii="Times New Roman" w:hAnsi="Times New Roman"/>
                <w:b/>
                <w:sz w:val="24"/>
              </w:rPr>
              <w:t>CCR – od čega prilagodba kreditnom vrednovanju – CVA</w:t>
            </w:r>
          </w:p>
          <w:p w14:paraId="3A1C256E" w14:textId="0E87D9BA" w:rsidR="004D588F" w:rsidRPr="007F4CC8" w:rsidRDefault="004D588F" w:rsidP="0097538A">
            <w:pPr>
              <w:spacing w:before="60" w:after="120"/>
              <w:jc w:val="both"/>
              <w:rPr>
                <w:rFonts w:ascii="Times New Roman" w:hAnsi="Times New Roman" w:cs="Times New Roman"/>
                <w:sz w:val="24"/>
              </w:rPr>
            </w:pPr>
            <w:r>
              <w:rPr>
                <w:rFonts w:ascii="Times New Roman" w:hAnsi="Times New Roman"/>
                <w:sz w:val="24"/>
              </w:rPr>
              <w:t>Iznosi RWEA i kapitalni zahtjevi koji se izračunavaju u skladu s dijelom trećim glavom VI. CRR-a.</w:t>
            </w:r>
          </w:p>
        </w:tc>
      </w:tr>
      <w:tr w:rsidR="004D588F" w:rsidRPr="007F4CC8" w14:paraId="25F8E9B4" w14:textId="77777777" w:rsidTr="00254E82">
        <w:trPr>
          <w:trHeight w:val="557"/>
        </w:trPr>
        <w:tc>
          <w:tcPr>
            <w:tcW w:w="1384" w:type="dxa"/>
          </w:tcPr>
          <w:p w14:paraId="4FF5AE00" w14:textId="77777777" w:rsidR="004D588F" w:rsidRPr="007F4CC8" w:rsidRDefault="004D588F" w:rsidP="004D588F">
            <w:pPr>
              <w:pStyle w:val="Applicationdirecte"/>
              <w:spacing w:before="60"/>
              <w:jc w:val="center"/>
            </w:pPr>
            <w:r>
              <w:t>9</w:t>
            </w:r>
          </w:p>
        </w:tc>
        <w:tc>
          <w:tcPr>
            <w:tcW w:w="7655" w:type="dxa"/>
          </w:tcPr>
          <w:p w14:paraId="1F211550" w14:textId="77777777" w:rsidR="004D588F" w:rsidRPr="005F1675" w:rsidRDefault="004D588F" w:rsidP="004D588F">
            <w:pPr>
              <w:spacing w:before="60" w:after="120"/>
              <w:jc w:val="both"/>
              <w:rPr>
                <w:rFonts w:ascii="Times New Roman" w:hAnsi="Times New Roman" w:cs="Times New Roman"/>
                <w:b/>
                <w:sz w:val="24"/>
              </w:rPr>
            </w:pPr>
            <w:r>
              <w:rPr>
                <w:rFonts w:ascii="Times New Roman" w:hAnsi="Times New Roman"/>
                <w:b/>
                <w:sz w:val="24"/>
              </w:rPr>
              <w:t>CCR – od čega ostali kreditni rizici druge ugovorne strane</w:t>
            </w:r>
          </w:p>
          <w:p w14:paraId="533B5356" w14:textId="77777777" w:rsidR="004D588F" w:rsidRPr="007F4CC8" w:rsidRDefault="004D588F" w:rsidP="00576BDE">
            <w:pPr>
              <w:spacing w:before="60" w:after="120"/>
              <w:jc w:val="both"/>
              <w:rPr>
                <w:rFonts w:ascii="Times New Roman" w:hAnsi="Times New Roman" w:cs="Times New Roman"/>
                <w:sz w:val="24"/>
              </w:rPr>
            </w:pPr>
            <w:r>
              <w:rPr>
                <w:rFonts w:ascii="Times New Roman" w:hAnsi="Times New Roman"/>
                <w:sz w:val="24"/>
              </w:rPr>
              <w:t>Iznosi RWEA i kapitalni zahtjevi za kreditni rizik druge ugovorne strane koji nisu iskazani u redcima 7, 8, EU 8a i EU 8b.</w:t>
            </w:r>
          </w:p>
        </w:tc>
      </w:tr>
      <w:tr w:rsidR="004D588F" w:rsidRPr="007F4CC8" w14:paraId="76E49737" w14:textId="77777777" w:rsidTr="009251B5">
        <w:trPr>
          <w:trHeight w:val="557"/>
        </w:trPr>
        <w:tc>
          <w:tcPr>
            <w:tcW w:w="1384" w:type="dxa"/>
          </w:tcPr>
          <w:p w14:paraId="592A619A" w14:textId="77777777" w:rsidR="004D588F" w:rsidRPr="007F4CC8" w:rsidRDefault="004D588F" w:rsidP="004D588F">
            <w:pPr>
              <w:pStyle w:val="Applicationdirecte"/>
              <w:spacing w:before="60"/>
              <w:jc w:val="center"/>
              <w:rPr>
                <w:color w:val="000000"/>
              </w:rPr>
            </w:pPr>
            <w:r>
              <w:t>10</w:t>
            </w:r>
          </w:p>
        </w:tc>
        <w:tc>
          <w:tcPr>
            <w:tcW w:w="7655" w:type="dxa"/>
          </w:tcPr>
          <w:p w14:paraId="49EF2829" w14:textId="4479F372" w:rsidR="004D588F" w:rsidRPr="007F4CC8" w:rsidRDefault="00476E72" w:rsidP="004D588F">
            <w:pPr>
              <w:spacing w:before="60" w:after="120"/>
              <w:jc w:val="both"/>
              <w:rPr>
                <w:rFonts w:ascii="Times New Roman" w:hAnsi="Times New Roman" w:cs="Times New Roman"/>
                <w:sz w:val="24"/>
              </w:rPr>
            </w:pPr>
            <w:r>
              <w:rPr>
                <w:rFonts w:ascii="Times New Roman" w:hAnsi="Times New Roman"/>
              </w:rPr>
              <w:t>Nije primjenjivo</w:t>
            </w:r>
          </w:p>
        </w:tc>
      </w:tr>
      <w:tr w:rsidR="004D588F" w:rsidRPr="007F4CC8" w14:paraId="6475699F" w14:textId="77777777" w:rsidTr="009251B5">
        <w:trPr>
          <w:trHeight w:val="557"/>
        </w:trPr>
        <w:tc>
          <w:tcPr>
            <w:tcW w:w="1384" w:type="dxa"/>
          </w:tcPr>
          <w:p w14:paraId="3A8A0F85" w14:textId="77777777" w:rsidR="004D588F" w:rsidRPr="007F4CC8" w:rsidRDefault="004D588F" w:rsidP="004D588F">
            <w:pPr>
              <w:pStyle w:val="Applicationdirecte"/>
              <w:spacing w:before="60"/>
              <w:jc w:val="center"/>
              <w:rPr>
                <w:color w:val="000000"/>
              </w:rPr>
            </w:pPr>
            <w:r>
              <w:t>11</w:t>
            </w:r>
          </w:p>
        </w:tc>
        <w:tc>
          <w:tcPr>
            <w:tcW w:w="7655" w:type="dxa"/>
          </w:tcPr>
          <w:p w14:paraId="5D822294" w14:textId="1188E96F" w:rsidR="004D588F" w:rsidRPr="007F4CC8" w:rsidRDefault="00476E72" w:rsidP="00CE6D3F">
            <w:pPr>
              <w:spacing w:before="60" w:after="120"/>
              <w:jc w:val="both"/>
              <w:rPr>
                <w:rFonts w:ascii="Times New Roman" w:hAnsi="Times New Roman" w:cs="Times New Roman"/>
                <w:sz w:val="24"/>
              </w:rPr>
            </w:pPr>
            <w:r>
              <w:rPr>
                <w:rFonts w:ascii="Times New Roman" w:hAnsi="Times New Roman"/>
              </w:rPr>
              <w:t>Nije primjenjivo</w:t>
            </w:r>
          </w:p>
        </w:tc>
      </w:tr>
      <w:tr w:rsidR="004D588F" w:rsidRPr="007F4CC8" w14:paraId="185FC154" w14:textId="77777777" w:rsidTr="009251B5">
        <w:trPr>
          <w:trHeight w:val="557"/>
        </w:trPr>
        <w:tc>
          <w:tcPr>
            <w:tcW w:w="1384" w:type="dxa"/>
          </w:tcPr>
          <w:p w14:paraId="0761DB25" w14:textId="77777777" w:rsidR="004D588F" w:rsidRPr="007F4CC8" w:rsidRDefault="004D588F" w:rsidP="004D588F">
            <w:pPr>
              <w:pStyle w:val="Applicationdirecte"/>
              <w:spacing w:before="60"/>
              <w:jc w:val="center"/>
              <w:rPr>
                <w:color w:val="000000"/>
              </w:rPr>
            </w:pPr>
            <w:r>
              <w:t>12</w:t>
            </w:r>
          </w:p>
        </w:tc>
        <w:tc>
          <w:tcPr>
            <w:tcW w:w="7655" w:type="dxa"/>
          </w:tcPr>
          <w:p w14:paraId="5020E0E0" w14:textId="0575BF04" w:rsidR="004D588F" w:rsidRPr="007F4CC8" w:rsidRDefault="00476E72" w:rsidP="004D588F">
            <w:pPr>
              <w:spacing w:before="60" w:after="120"/>
              <w:jc w:val="both"/>
              <w:rPr>
                <w:rFonts w:ascii="Times New Roman" w:hAnsi="Times New Roman" w:cs="Times New Roman"/>
                <w:sz w:val="24"/>
              </w:rPr>
            </w:pPr>
            <w:r>
              <w:rPr>
                <w:rFonts w:ascii="Times New Roman" w:hAnsi="Times New Roman"/>
              </w:rPr>
              <w:t>Nije primjenjivo</w:t>
            </w:r>
          </w:p>
        </w:tc>
      </w:tr>
      <w:tr w:rsidR="00476E72" w:rsidRPr="007F4CC8" w14:paraId="05CAD0EA" w14:textId="77777777" w:rsidTr="009251B5">
        <w:trPr>
          <w:trHeight w:val="557"/>
        </w:trPr>
        <w:tc>
          <w:tcPr>
            <w:tcW w:w="1384" w:type="dxa"/>
          </w:tcPr>
          <w:p w14:paraId="2C885FBA" w14:textId="77777777" w:rsidR="00476E72" w:rsidRPr="007F4CC8" w:rsidRDefault="00476E72" w:rsidP="00476E72">
            <w:pPr>
              <w:pStyle w:val="Applicationdirecte"/>
              <w:spacing w:before="60"/>
              <w:jc w:val="center"/>
              <w:rPr>
                <w:color w:val="000000"/>
              </w:rPr>
            </w:pPr>
            <w:r>
              <w:t>13</w:t>
            </w:r>
          </w:p>
        </w:tc>
        <w:tc>
          <w:tcPr>
            <w:tcW w:w="7655" w:type="dxa"/>
          </w:tcPr>
          <w:p w14:paraId="06CD1C7E" w14:textId="6F75CEAB" w:rsidR="00476E72" w:rsidRPr="007F4CC8" w:rsidRDefault="00476E72" w:rsidP="00476E72">
            <w:pPr>
              <w:spacing w:before="60" w:after="120"/>
              <w:jc w:val="both"/>
              <w:rPr>
                <w:rFonts w:ascii="Times New Roman" w:hAnsi="Times New Roman" w:cs="Times New Roman"/>
                <w:sz w:val="24"/>
              </w:rPr>
            </w:pPr>
            <w:r>
              <w:rPr>
                <w:rFonts w:ascii="Times New Roman" w:hAnsi="Times New Roman"/>
              </w:rPr>
              <w:t>Nije primjenjivo</w:t>
            </w:r>
          </w:p>
        </w:tc>
      </w:tr>
      <w:tr w:rsidR="00476E72" w:rsidRPr="007F4CC8" w14:paraId="532A7C3A" w14:textId="77777777" w:rsidTr="009251B5">
        <w:trPr>
          <w:trHeight w:val="557"/>
        </w:trPr>
        <w:tc>
          <w:tcPr>
            <w:tcW w:w="1384" w:type="dxa"/>
          </w:tcPr>
          <w:p w14:paraId="50BD4AE4" w14:textId="77777777" w:rsidR="00476E72" w:rsidRPr="007F4CC8" w:rsidRDefault="00476E72" w:rsidP="00476E72">
            <w:pPr>
              <w:pStyle w:val="Applicationdirecte"/>
              <w:spacing w:before="60"/>
              <w:jc w:val="center"/>
              <w:rPr>
                <w:color w:val="000000"/>
              </w:rPr>
            </w:pPr>
            <w:r>
              <w:t>14</w:t>
            </w:r>
          </w:p>
        </w:tc>
        <w:tc>
          <w:tcPr>
            <w:tcW w:w="7655" w:type="dxa"/>
          </w:tcPr>
          <w:p w14:paraId="08EEFB47" w14:textId="4D34AB73" w:rsidR="00476E72" w:rsidRPr="007F4CC8" w:rsidRDefault="00476E72" w:rsidP="00476E72">
            <w:pPr>
              <w:spacing w:before="60" w:after="120"/>
              <w:jc w:val="both"/>
              <w:rPr>
                <w:rFonts w:ascii="Times New Roman" w:hAnsi="Times New Roman" w:cs="Times New Roman"/>
                <w:sz w:val="24"/>
              </w:rPr>
            </w:pPr>
            <w:r>
              <w:rPr>
                <w:rFonts w:ascii="Times New Roman" w:hAnsi="Times New Roman"/>
              </w:rPr>
              <w:t>Nije primjenjivo</w:t>
            </w:r>
          </w:p>
        </w:tc>
      </w:tr>
      <w:tr w:rsidR="00FA1376" w:rsidRPr="007F4CC8" w14:paraId="0D00F496" w14:textId="77777777" w:rsidTr="00B2180A">
        <w:trPr>
          <w:trHeight w:val="557"/>
        </w:trPr>
        <w:tc>
          <w:tcPr>
            <w:tcW w:w="1384" w:type="dxa"/>
            <w:vAlign w:val="center"/>
          </w:tcPr>
          <w:p w14:paraId="1FECA812" w14:textId="77777777" w:rsidR="00FA1376" w:rsidRPr="007F4CC8" w:rsidRDefault="00FA1376" w:rsidP="004D588F">
            <w:pPr>
              <w:pStyle w:val="Applicationdirecte"/>
              <w:spacing w:before="60"/>
              <w:jc w:val="center"/>
            </w:pPr>
            <w:r>
              <w:rPr>
                <w:color w:val="000000"/>
              </w:rPr>
              <w:t>15</w:t>
            </w:r>
          </w:p>
        </w:tc>
        <w:tc>
          <w:tcPr>
            <w:tcW w:w="7655" w:type="dxa"/>
          </w:tcPr>
          <w:p w14:paraId="54F87CB3" w14:textId="77777777" w:rsidR="00FA1376" w:rsidRPr="005F1675"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Rizik namire </w:t>
            </w:r>
          </w:p>
          <w:p w14:paraId="5BD4C7C7" w14:textId="6997840E" w:rsidR="00FA1376" w:rsidRPr="007F4CC8" w:rsidRDefault="00476E72" w:rsidP="0077689B">
            <w:pPr>
              <w:spacing w:before="60" w:after="120"/>
              <w:jc w:val="both"/>
              <w:rPr>
                <w:rFonts w:ascii="Times New Roman" w:hAnsi="Times New Roman" w:cs="Times New Roman"/>
                <w:sz w:val="24"/>
              </w:rPr>
            </w:pPr>
            <w:r>
              <w:rPr>
                <w:rFonts w:ascii="Times New Roman" w:hAnsi="Times New Roman"/>
                <w:sz w:val="24"/>
              </w:rPr>
              <w:t>Iznos izloženosti riziku (REA) i kapitalni zahtjevi koji se izračunavaju za rizik namire/isporuke u skladu s člankom 378. CRR-a.</w:t>
            </w:r>
          </w:p>
        </w:tc>
      </w:tr>
      <w:tr w:rsidR="00FA1376" w:rsidRPr="007F4CC8" w14:paraId="657304C7" w14:textId="77777777" w:rsidTr="00B2180A">
        <w:trPr>
          <w:trHeight w:val="557"/>
        </w:trPr>
        <w:tc>
          <w:tcPr>
            <w:tcW w:w="1384" w:type="dxa"/>
            <w:vAlign w:val="center"/>
          </w:tcPr>
          <w:p w14:paraId="78B3E96B" w14:textId="77777777" w:rsidR="00FA1376" w:rsidRPr="007F4CC8" w:rsidRDefault="00FA1376" w:rsidP="00FA1376">
            <w:pPr>
              <w:pStyle w:val="Applicationdirecte"/>
              <w:spacing w:before="60"/>
              <w:jc w:val="center"/>
            </w:pPr>
            <w:r>
              <w:rPr>
                <w:color w:val="000000"/>
              </w:rPr>
              <w:t>16</w:t>
            </w:r>
          </w:p>
        </w:tc>
        <w:tc>
          <w:tcPr>
            <w:tcW w:w="7655" w:type="dxa"/>
          </w:tcPr>
          <w:p w14:paraId="290EA04A" w14:textId="77777777" w:rsidR="00FA1376" w:rsidRPr="005F1675" w:rsidRDefault="00FA1376" w:rsidP="00FA1376">
            <w:pPr>
              <w:spacing w:before="60" w:after="120"/>
              <w:jc w:val="both"/>
              <w:rPr>
                <w:rFonts w:ascii="Times New Roman" w:hAnsi="Times New Roman" w:cs="Times New Roman"/>
                <w:b/>
                <w:sz w:val="24"/>
              </w:rPr>
            </w:pPr>
            <w:r>
              <w:rPr>
                <w:rFonts w:ascii="Times New Roman" w:hAnsi="Times New Roman"/>
                <w:b/>
                <w:sz w:val="24"/>
              </w:rPr>
              <w:t>Sekuritizacijske izloženosti u knjizi pozicija kojima se ne trguje (nakon primjene gornje granice)</w:t>
            </w:r>
          </w:p>
          <w:p w14:paraId="3127F872" w14:textId="6E850BFE" w:rsidR="00FA1376" w:rsidRPr="007F4CC8" w:rsidRDefault="009A4635" w:rsidP="0097538A">
            <w:pPr>
              <w:spacing w:before="60" w:after="120"/>
              <w:jc w:val="both"/>
              <w:rPr>
                <w:rFonts w:ascii="Times New Roman" w:hAnsi="Times New Roman" w:cs="Times New Roman"/>
                <w:sz w:val="24"/>
              </w:rPr>
            </w:pPr>
            <w:r>
              <w:rPr>
                <w:rFonts w:ascii="Times New Roman" w:hAnsi="Times New Roman"/>
                <w:sz w:val="24"/>
              </w:rPr>
              <w:t>Iznosi RWEA i kapitalni zahtjevi koji se izračunavaju u skladu s dijelom trećim glavom II. poglavljem 5. CRR-a.</w:t>
            </w:r>
          </w:p>
        </w:tc>
      </w:tr>
      <w:tr w:rsidR="00FA1376" w:rsidRPr="007F4CC8" w14:paraId="010C9E97" w14:textId="77777777" w:rsidTr="00B2180A">
        <w:trPr>
          <w:trHeight w:val="557"/>
        </w:trPr>
        <w:tc>
          <w:tcPr>
            <w:tcW w:w="1384" w:type="dxa"/>
            <w:vAlign w:val="center"/>
          </w:tcPr>
          <w:p w14:paraId="088B3E8E" w14:textId="77777777" w:rsidR="00FA1376" w:rsidRPr="007F4CC8" w:rsidRDefault="00FA1376" w:rsidP="00FA1376">
            <w:pPr>
              <w:pStyle w:val="Applicationdirecte"/>
              <w:spacing w:before="60"/>
              <w:jc w:val="center"/>
            </w:pPr>
            <w:r>
              <w:rPr>
                <w:color w:val="000000"/>
              </w:rPr>
              <w:t>17</w:t>
            </w:r>
          </w:p>
        </w:tc>
        <w:tc>
          <w:tcPr>
            <w:tcW w:w="7655" w:type="dxa"/>
          </w:tcPr>
          <w:p w14:paraId="60EB9584"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Sekuritizacija – od čega pristup SEC-IRBA </w:t>
            </w:r>
          </w:p>
          <w:p w14:paraId="48D3D12E" w14:textId="012A019E" w:rsidR="00FA1376" w:rsidRPr="007F4CC8" w:rsidRDefault="009A4635" w:rsidP="0097538A">
            <w:pPr>
              <w:spacing w:before="60" w:after="120"/>
              <w:jc w:val="both"/>
              <w:rPr>
                <w:rFonts w:ascii="Times New Roman" w:hAnsi="Times New Roman" w:cs="Times New Roman"/>
                <w:sz w:val="24"/>
              </w:rPr>
            </w:pPr>
            <w:r>
              <w:rPr>
                <w:rFonts w:ascii="Times New Roman" w:hAnsi="Times New Roman"/>
                <w:sz w:val="24"/>
              </w:rPr>
              <w:t>Iznosi RWEA i kapitalni zahtjevi koji se izračunavaju u skladu s regulatornim pristupom SEC-IRBA, koji se primjenjuje u skladu s hijerarhijom pristupa iz članka 254. CRR-a.</w:t>
            </w:r>
          </w:p>
        </w:tc>
      </w:tr>
      <w:tr w:rsidR="004D588F" w:rsidRPr="007F4CC8" w14:paraId="0BD85931" w14:textId="77777777" w:rsidTr="00B2180A">
        <w:trPr>
          <w:trHeight w:val="557"/>
        </w:trPr>
        <w:tc>
          <w:tcPr>
            <w:tcW w:w="1384" w:type="dxa"/>
            <w:vAlign w:val="center"/>
          </w:tcPr>
          <w:p w14:paraId="5C2CC844" w14:textId="77777777" w:rsidR="004D588F" w:rsidRPr="007F4CC8" w:rsidRDefault="004D588F" w:rsidP="00B2180A">
            <w:pPr>
              <w:pStyle w:val="Applicationdirecte"/>
              <w:spacing w:before="60"/>
              <w:jc w:val="center"/>
            </w:pPr>
            <w:r>
              <w:rPr>
                <w:color w:val="000000"/>
              </w:rPr>
              <w:t>18</w:t>
            </w:r>
          </w:p>
        </w:tc>
        <w:tc>
          <w:tcPr>
            <w:tcW w:w="7655" w:type="dxa"/>
          </w:tcPr>
          <w:p w14:paraId="3D0BC87F" w14:textId="77777777" w:rsidR="004D588F" w:rsidRPr="0045539B" w:rsidRDefault="004D588F" w:rsidP="00B2180A">
            <w:pPr>
              <w:spacing w:before="60" w:after="120"/>
              <w:jc w:val="both"/>
              <w:rPr>
                <w:rFonts w:ascii="Times New Roman" w:hAnsi="Times New Roman" w:cs="Times New Roman"/>
                <w:b/>
                <w:sz w:val="24"/>
              </w:rPr>
            </w:pPr>
            <w:r>
              <w:rPr>
                <w:rFonts w:ascii="Times New Roman" w:hAnsi="Times New Roman"/>
                <w:b/>
                <w:sz w:val="24"/>
              </w:rPr>
              <w:t>Sekuritizacija – od čega pristup SEC-ERBA (uključujući IAA)</w:t>
            </w:r>
          </w:p>
          <w:p w14:paraId="081795BE" w14:textId="0A70FFA3" w:rsidR="004D588F" w:rsidRPr="007F4CC8" w:rsidRDefault="004D588F" w:rsidP="0077689B">
            <w:pPr>
              <w:spacing w:before="60" w:after="120"/>
              <w:jc w:val="both"/>
              <w:rPr>
                <w:rFonts w:ascii="Times New Roman" w:hAnsi="Times New Roman" w:cs="Times New Roman"/>
                <w:sz w:val="24"/>
              </w:rPr>
            </w:pPr>
            <w:r>
              <w:rPr>
                <w:rFonts w:ascii="Times New Roman" w:hAnsi="Times New Roman"/>
                <w:sz w:val="24"/>
              </w:rPr>
              <w:t>Iznosi RWEA i kapitalni zahtjevi koji se izračunavaju u skladu s regulatornim pristupom SEC-ERBA (uključujući IAA), koji se primjenjuje u skladu s hijerarhijom pristupa iz članka 254. CRR-a.</w:t>
            </w:r>
          </w:p>
        </w:tc>
      </w:tr>
      <w:tr w:rsidR="00FA1376" w:rsidRPr="007F4CC8" w14:paraId="4D1D51C3" w14:textId="77777777" w:rsidTr="00B2180A">
        <w:trPr>
          <w:trHeight w:val="557"/>
        </w:trPr>
        <w:tc>
          <w:tcPr>
            <w:tcW w:w="1384" w:type="dxa"/>
            <w:vAlign w:val="center"/>
          </w:tcPr>
          <w:p w14:paraId="05E26500" w14:textId="77777777" w:rsidR="00FA1376" w:rsidRPr="007F4CC8" w:rsidRDefault="00FA1376" w:rsidP="00FA1376">
            <w:pPr>
              <w:pStyle w:val="Applicationdirecte"/>
              <w:spacing w:before="60"/>
              <w:jc w:val="center"/>
            </w:pPr>
            <w:r>
              <w:rPr>
                <w:color w:val="000000"/>
              </w:rPr>
              <w:t>19</w:t>
            </w:r>
          </w:p>
        </w:tc>
        <w:tc>
          <w:tcPr>
            <w:tcW w:w="7655" w:type="dxa"/>
          </w:tcPr>
          <w:p w14:paraId="59496D51"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Sekuritizacija – od čega pristup SEC-SA </w:t>
            </w:r>
          </w:p>
          <w:p w14:paraId="70F39EBB" w14:textId="4F4D436C" w:rsidR="00FA1376" w:rsidRPr="007F4CC8" w:rsidRDefault="009A4635" w:rsidP="0077689B">
            <w:pPr>
              <w:spacing w:before="60" w:after="120"/>
              <w:jc w:val="both"/>
              <w:rPr>
                <w:rFonts w:ascii="Times New Roman" w:hAnsi="Times New Roman" w:cs="Times New Roman"/>
                <w:sz w:val="24"/>
              </w:rPr>
            </w:pPr>
            <w:r>
              <w:rPr>
                <w:rFonts w:ascii="Times New Roman" w:hAnsi="Times New Roman"/>
                <w:sz w:val="24"/>
              </w:rPr>
              <w:t>Iznosi RWEA i kapitalni zahtjevi koji se izračunavaju u skladu s regulatornim pristupom SEC-SA, koji se primjenjuje u skladu s hijerarhijom pristupa iz članka 254. CRR-a.</w:t>
            </w:r>
          </w:p>
        </w:tc>
      </w:tr>
      <w:tr w:rsidR="00FA1376" w:rsidRPr="007F4CC8" w14:paraId="2FE59A55" w14:textId="77777777" w:rsidTr="00B2180A">
        <w:trPr>
          <w:trHeight w:val="557"/>
        </w:trPr>
        <w:tc>
          <w:tcPr>
            <w:tcW w:w="1384" w:type="dxa"/>
            <w:vAlign w:val="center"/>
          </w:tcPr>
          <w:p w14:paraId="78D679FB" w14:textId="77777777" w:rsidR="00FA1376" w:rsidRPr="007F4CC8" w:rsidRDefault="004D588F" w:rsidP="00FA1376">
            <w:pPr>
              <w:pStyle w:val="Applicationdirecte"/>
              <w:spacing w:before="60"/>
              <w:jc w:val="center"/>
            </w:pPr>
            <w:r>
              <w:rPr>
                <w:color w:val="000000"/>
              </w:rPr>
              <w:t>EU 19a</w:t>
            </w:r>
          </w:p>
        </w:tc>
        <w:tc>
          <w:tcPr>
            <w:tcW w:w="7655" w:type="dxa"/>
          </w:tcPr>
          <w:p w14:paraId="571291B6" w14:textId="4C543ECF"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Sekuritizacija – od čega 1 250 %/odbitak</w:t>
            </w:r>
          </w:p>
          <w:p w14:paraId="7E6CD2F2" w14:textId="6220597A" w:rsidR="00FA1376" w:rsidRPr="007F4CC8" w:rsidRDefault="009A4635" w:rsidP="0077689B">
            <w:pPr>
              <w:spacing w:before="60" w:after="120"/>
              <w:jc w:val="both"/>
              <w:rPr>
                <w:rFonts w:ascii="Times New Roman" w:hAnsi="Times New Roman" w:cs="Times New Roman"/>
                <w:sz w:val="24"/>
              </w:rPr>
            </w:pPr>
            <w:r>
              <w:rPr>
                <w:rFonts w:ascii="Times New Roman" w:hAnsi="Times New Roman"/>
                <w:sz w:val="24"/>
              </w:rPr>
              <w:t xml:space="preserve">Iznosi RWEA i kapitalni zahtjevi za </w:t>
            </w:r>
            <w:proofErr w:type="spellStart"/>
            <w:r>
              <w:rPr>
                <w:rFonts w:ascii="Times New Roman" w:hAnsi="Times New Roman"/>
                <w:sz w:val="24"/>
              </w:rPr>
              <w:t>sekuritizacijske</w:t>
            </w:r>
            <w:proofErr w:type="spellEnd"/>
            <w:r>
              <w:rPr>
                <w:rFonts w:ascii="Times New Roman" w:hAnsi="Times New Roman"/>
                <w:sz w:val="24"/>
              </w:rPr>
              <w:t xml:space="preserve"> izloženosti iz knjige pozicija kojima se ne trguje s ponderom rizika 1 250 % ili odbijene od </w:t>
            </w:r>
            <w:r>
              <w:rPr>
                <w:rFonts w:ascii="Times New Roman" w:hAnsi="Times New Roman"/>
                <w:sz w:val="24"/>
              </w:rPr>
              <w:lastRenderedPageBreak/>
              <w:t>regulatornog kapitala u skladu s dijelom trećim glavom II. poglavljem 5. CRR-a.</w:t>
            </w:r>
          </w:p>
        </w:tc>
      </w:tr>
      <w:tr w:rsidR="004D588F" w:rsidRPr="007F4CC8" w14:paraId="78AD28BD" w14:textId="77777777" w:rsidTr="00254E82">
        <w:trPr>
          <w:trHeight w:val="557"/>
        </w:trPr>
        <w:tc>
          <w:tcPr>
            <w:tcW w:w="1384" w:type="dxa"/>
          </w:tcPr>
          <w:p w14:paraId="165E71A5" w14:textId="77777777" w:rsidR="004D588F" w:rsidRPr="007F4CC8" w:rsidRDefault="004D588F" w:rsidP="004D588F">
            <w:pPr>
              <w:pStyle w:val="Applicationdirecte"/>
              <w:spacing w:before="60"/>
              <w:jc w:val="center"/>
            </w:pPr>
            <w:r>
              <w:lastRenderedPageBreak/>
              <w:t>20</w:t>
            </w:r>
          </w:p>
        </w:tc>
        <w:tc>
          <w:tcPr>
            <w:tcW w:w="7655" w:type="dxa"/>
          </w:tcPr>
          <w:p w14:paraId="403A7459"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Rizik pozicija, valutni rizik i robni rizik (tržišni rizik)</w:t>
            </w:r>
          </w:p>
          <w:p w14:paraId="1D8E5705" w14:textId="08750D51" w:rsidR="004D588F" w:rsidRPr="007F4CC8" w:rsidRDefault="004D588F" w:rsidP="0097538A">
            <w:pPr>
              <w:spacing w:before="60" w:after="120"/>
              <w:jc w:val="both"/>
              <w:rPr>
                <w:rFonts w:ascii="Times New Roman" w:hAnsi="Times New Roman" w:cs="Times New Roman"/>
                <w:sz w:val="24"/>
              </w:rPr>
            </w:pPr>
            <w:r>
              <w:rPr>
                <w:rFonts w:ascii="Times New Roman" w:hAnsi="Times New Roman"/>
                <w:sz w:val="24"/>
              </w:rPr>
              <w:t xml:space="preserve">Iznosi RWEA i kapitalni zahtjevi koji se izračunavaju u skladu s dijelom trećim glavom IV. CRR-a. </w:t>
            </w:r>
          </w:p>
        </w:tc>
      </w:tr>
      <w:tr w:rsidR="004D588F" w:rsidRPr="007F4CC8" w14:paraId="4F4C8A13" w14:textId="77777777" w:rsidTr="00254E82">
        <w:trPr>
          <w:trHeight w:val="557"/>
        </w:trPr>
        <w:tc>
          <w:tcPr>
            <w:tcW w:w="1384" w:type="dxa"/>
          </w:tcPr>
          <w:p w14:paraId="2600D745" w14:textId="77777777" w:rsidR="004D588F" w:rsidRPr="007F4CC8" w:rsidRDefault="004D588F" w:rsidP="004D588F">
            <w:pPr>
              <w:pStyle w:val="Applicationdirecte"/>
              <w:spacing w:before="60"/>
              <w:jc w:val="center"/>
            </w:pPr>
            <w:r>
              <w:t>21</w:t>
            </w:r>
          </w:p>
        </w:tc>
        <w:tc>
          <w:tcPr>
            <w:tcW w:w="7655" w:type="dxa"/>
          </w:tcPr>
          <w:p w14:paraId="094F283E"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Tržišni rizik – od čega standardizirani pristup </w:t>
            </w:r>
          </w:p>
          <w:p w14:paraId="3CC79283" w14:textId="6D269C69" w:rsidR="004D588F" w:rsidRPr="007F4CC8" w:rsidRDefault="004D588F" w:rsidP="0077689B">
            <w:pPr>
              <w:spacing w:before="60" w:after="120"/>
              <w:jc w:val="both"/>
              <w:rPr>
                <w:rFonts w:ascii="Times New Roman" w:hAnsi="Times New Roman" w:cs="Times New Roman"/>
                <w:sz w:val="24"/>
              </w:rPr>
            </w:pPr>
            <w:r>
              <w:rPr>
                <w:rFonts w:ascii="Times New Roman" w:hAnsi="Times New Roman"/>
                <w:sz w:val="24"/>
              </w:rPr>
              <w:t>Iznosi RWEA i kapitalni zahtjevi koji se izračunavaju u skladu s dijelom trećim glavom IV. poglavljima od 2. do 4. CRR-a.</w:t>
            </w:r>
          </w:p>
        </w:tc>
      </w:tr>
      <w:tr w:rsidR="004D588F" w:rsidRPr="007F4CC8" w14:paraId="7730A887" w14:textId="77777777" w:rsidTr="00254E82">
        <w:trPr>
          <w:trHeight w:val="557"/>
        </w:trPr>
        <w:tc>
          <w:tcPr>
            <w:tcW w:w="1384" w:type="dxa"/>
          </w:tcPr>
          <w:p w14:paraId="4659D69D" w14:textId="77777777" w:rsidR="004D588F" w:rsidRPr="007F4CC8" w:rsidRDefault="004D588F" w:rsidP="004D588F">
            <w:pPr>
              <w:pStyle w:val="Applicationdirecte"/>
              <w:spacing w:before="60"/>
              <w:jc w:val="center"/>
            </w:pPr>
            <w:r>
              <w:t>22</w:t>
            </w:r>
          </w:p>
        </w:tc>
        <w:tc>
          <w:tcPr>
            <w:tcW w:w="7655" w:type="dxa"/>
          </w:tcPr>
          <w:p w14:paraId="7F8B2B75"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Tržišni rizik – od čega pristup internih modela </w:t>
            </w:r>
          </w:p>
          <w:p w14:paraId="190F3353" w14:textId="51FF81BD" w:rsidR="004D588F" w:rsidRPr="007F4CC8" w:rsidRDefault="004D588F" w:rsidP="00476E72">
            <w:pPr>
              <w:spacing w:before="60" w:after="120"/>
              <w:jc w:val="both"/>
              <w:rPr>
                <w:rFonts w:ascii="Times New Roman" w:hAnsi="Times New Roman" w:cs="Times New Roman"/>
                <w:sz w:val="24"/>
              </w:rPr>
            </w:pPr>
            <w:r>
              <w:rPr>
                <w:rFonts w:ascii="Times New Roman" w:hAnsi="Times New Roman"/>
                <w:sz w:val="24"/>
              </w:rPr>
              <w:t>Iznos REA i kapitalni zahtjevi koji se izračunavaju u skladu s dijelom trećim glavom IV. poglavljem 5. CRR-a.</w:t>
            </w:r>
          </w:p>
        </w:tc>
      </w:tr>
      <w:tr w:rsidR="00FA1376" w:rsidRPr="007F4CC8" w14:paraId="634BA896" w14:textId="77777777" w:rsidTr="00B2180A">
        <w:trPr>
          <w:trHeight w:val="557"/>
        </w:trPr>
        <w:tc>
          <w:tcPr>
            <w:tcW w:w="1384" w:type="dxa"/>
            <w:vAlign w:val="center"/>
          </w:tcPr>
          <w:p w14:paraId="20BE37C9" w14:textId="77777777" w:rsidR="00FA1376" w:rsidRPr="007F4CC8" w:rsidRDefault="004D588F" w:rsidP="00FA1376">
            <w:pPr>
              <w:pStyle w:val="Applicationdirecte"/>
              <w:spacing w:before="60"/>
              <w:jc w:val="center"/>
            </w:pPr>
            <w:r>
              <w:rPr>
                <w:color w:val="000000"/>
              </w:rPr>
              <w:t>EU 22a</w:t>
            </w:r>
          </w:p>
        </w:tc>
        <w:tc>
          <w:tcPr>
            <w:tcW w:w="7655" w:type="dxa"/>
          </w:tcPr>
          <w:p w14:paraId="3C6ECD7F"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Velike izloženosti</w:t>
            </w:r>
          </w:p>
          <w:p w14:paraId="01CE52D0" w14:textId="004EAD26" w:rsidR="00FA1376" w:rsidRPr="007F4CC8" w:rsidRDefault="009A4635" w:rsidP="00476E72">
            <w:pPr>
              <w:spacing w:before="60" w:after="120"/>
              <w:jc w:val="both"/>
              <w:rPr>
                <w:rFonts w:ascii="Times New Roman" w:hAnsi="Times New Roman" w:cs="Times New Roman"/>
                <w:sz w:val="24"/>
              </w:rPr>
            </w:pPr>
            <w:r>
              <w:rPr>
                <w:rFonts w:ascii="Times New Roman" w:hAnsi="Times New Roman"/>
                <w:sz w:val="24"/>
              </w:rPr>
              <w:t xml:space="preserve">Iznos REA i kapitalni zahtjevi koji se izračunavaju u skladu s člankom 92. stavkom 3. točkom (b) </w:t>
            </w:r>
            <w:proofErr w:type="spellStart"/>
            <w:r>
              <w:rPr>
                <w:rFonts w:ascii="Times New Roman" w:hAnsi="Times New Roman"/>
                <w:sz w:val="24"/>
              </w:rPr>
              <w:t>podtočkom</w:t>
            </w:r>
            <w:proofErr w:type="spellEnd"/>
            <w:r>
              <w:rPr>
                <w:rFonts w:ascii="Times New Roman" w:hAnsi="Times New Roman"/>
                <w:sz w:val="24"/>
              </w:rPr>
              <w:t xml:space="preserve"> ii. CRR-a.</w:t>
            </w:r>
          </w:p>
        </w:tc>
      </w:tr>
      <w:tr w:rsidR="004D588F" w:rsidRPr="007F4CC8" w14:paraId="4F084615" w14:textId="77777777" w:rsidTr="009251B5">
        <w:trPr>
          <w:trHeight w:val="557"/>
        </w:trPr>
        <w:tc>
          <w:tcPr>
            <w:tcW w:w="1384" w:type="dxa"/>
          </w:tcPr>
          <w:p w14:paraId="688F7715" w14:textId="77777777" w:rsidR="004D588F" w:rsidRPr="00D85025" w:rsidRDefault="004D588F" w:rsidP="004D588F">
            <w:pPr>
              <w:pStyle w:val="Applicationdirecte"/>
              <w:spacing w:before="60"/>
              <w:jc w:val="center"/>
              <w:rPr>
                <w:color w:val="000000"/>
              </w:rPr>
            </w:pPr>
            <w:r>
              <w:t>23</w:t>
            </w:r>
          </w:p>
        </w:tc>
        <w:tc>
          <w:tcPr>
            <w:tcW w:w="7655" w:type="dxa"/>
          </w:tcPr>
          <w:p w14:paraId="62D84362" w14:textId="77777777" w:rsidR="00064A87" w:rsidRPr="0045539B" w:rsidRDefault="00064A87" w:rsidP="00064A87">
            <w:pPr>
              <w:spacing w:before="60" w:after="120"/>
              <w:jc w:val="both"/>
              <w:rPr>
                <w:rFonts w:ascii="Times New Roman" w:hAnsi="Times New Roman" w:cs="Times New Roman"/>
                <w:b/>
                <w:sz w:val="24"/>
              </w:rPr>
            </w:pPr>
            <w:r>
              <w:rPr>
                <w:rFonts w:ascii="Times New Roman" w:hAnsi="Times New Roman"/>
                <w:b/>
                <w:sz w:val="24"/>
              </w:rPr>
              <w:t xml:space="preserve">Operativni rizik </w:t>
            </w:r>
          </w:p>
          <w:p w14:paraId="1D9DEFE1" w14:textId="095BC896" w:rsidR="004D588F" w:rsidRPr="007F4CC8" w:rsidRDefault="00064A87" w:rsidP="00601608">
            <w:pPr>
              <w:spacing w:before="60" w:after="120"/>
              <w:jc w:val="both"/>
              <w:rPr>
                <w:rFonts w:ascii="Times New Roman" w:hAnsi="Times New Roman" w:cs="Times New Roman"/>
                <w:i/>
                <w:sz w:val="24"/>
              </w:rPr>
            </w:pPr>
            <w:r>
              <w:rPr>
                <w:rFonts w:ascii="Times New Roman" w:hAnsi="Times New Roman"/>
                <w:sz w:val="24"/>
              </w:rPr>
              <w:t>Iznosi REA i kapitalni zahtjevi koji se izračunavaju u skladu s dijelom trećim glavom III. CRR-a.</w:t>
            </w:r>
          </w:p>
        </w:tc>
      </w:tr>
      <w:tr w:rsidR="004D588F" w:rsidRPr="007F4CC8" w14:paraId="396F9058" w14:textId="77777777" w:rsidTr="00254E82">
        <w:trPr>
          <w:trHeight w:val="557"/>
        </w:trPr>
        <w:tc>
          <w:tcPr>
            <w:tcW w:w="1384" w:type="dxa"/>
          </w:tcPr>
          <w:p w14:paraId="0B756814" w14:textId="77777777" w:rsidR="004D588F" w:rsidRPr="007F4CC8" w:rsidRDefault="004D588F" w:rsidP="00355D90">
            <w:pPr>
              <w:pStyle w:val="Applicationdirecte"/>
              <w:spacing w:before="60"/>
              <w:jc w:val="center"/>
            </w:pPr>
            <w:r>
              <w:t>EU 23a</w:t>
            </w:r>
          </w:p>
        </w:tc>
        <w:tc>
          <w:tcPr>
            <w:tcW w:w="7655" w:type="dxa"/>
          </w:tcPr>
          <w:p w14:paraId="32266F94"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Operativni rizik – od čega jednostavni pristup </w:t>
            </w:r>
          </w:p>
          <w:p w14:paraId="07934FF8" w14:textId="386E23E0"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t>Iznos REA i kapitalni zahtjevi koji se izračunavaju u skladu s dijelom trećim glavom III. poglavljem 2. CRR-a.</w:t>
            </w:r>
          </w:p>
        </w:tc>
      </w:tr>
      <w:tr w:rsidR="004D588F" w:rsidRPr="007F4CC8" w14:paraId="5EF18DC9" w14:textId="77777777" w:rsidTr="00254E82">
        <w:trPr>
          <w:trHeight w:val="557"/>
        </w:trPr>
        <w:tc>
          <w:tcPr>
            <w:tcW w:w="1384" w:type="dxa"/>
          </w:tcPr>
          <w:p w14:paraId="0801631A" w14:textId="77777777" w:rsidR="004D588F" w:rsidRPr="007F4CC8" w:rsidRDefault="004D588F" w:rsidP="004D588F">
            <w:pPr>
              <w:pStyle w:val="Applicationdirecte"/>
              <w:spacing w:before="60"/>
              <w:jc w:val="center"/>
            </w:pPr>
            <w:r>
              <w:t>EU 23b</w:t>
            </w:r>
          </w:p>
        </w:tc>
        <w:tc>
          <w:tcPr>
            <w:tcW w:w="7655" w:type="dxa"/>
          </w:tcPr>
          <w:p w14:paraId="38439BD6"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Operativni rizik – od čega standardizirani pristup </w:t>
            </w:r>
          </w:p>
          <w:p w14:paraId="14BE2DD9" w14:textId="01865DB3"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t>Iznos REA i kapitalni zahtjevi koji se izračunavaju u skladu s dijelom trećim glavom III. poglavljem 3. CRR-a.</w:t>
            </w:r>
          </w:p>
        </w:tc>
      </w:tr>
      <w:tr w:rsidR="004D588F" w:rsidRPr="007F4CC8" w14:paraId="56E0EEAB" w14:textId="77777777" w:rsidTr="00254E82">
        <w:trPr>
          <w:trHeight w:val="557"/>
        </w:trPr>
        <w:tc>
          <w:tcPr>
            <w:tcW w:w="1384" w:type="dxa"/>
          </w:tcPr>
          <w:p w14:paraId="73D93B72" w14:textId="77777777" w:rsidR="004D588F" w:rsidRPr="007F4CC8" w:rsidRDefault="004D588F" w:rsidP="004D588F">
            <w:pPr>
              <w:pStyle w:val="Applicationdirecte"/>
              <w:spacing w:before="60"/>
              <w:jc w:val="center"/>
            </w:pPr>
            <w:r>
              <w:t>EU 23c</w:t>
            </w:r>
          </w:p>
        </w:tc>
        <w:tc>
          <w:tcPr>
            <w:tcW w:w="7655" w:type="dxa"/>
          </w:tcPr>
          <w:p w14:paraId="6FCA860A"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Operativni rizik – od čega napredni pristup </w:t>
            </w:r>
          </w:p>
          <w:p w14:paraId="478510C3" w14:textId="0793B109"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t>Iznos REA i kapitalni zahtjevi koji se izračunavaju u skladu s dijelom trećim glavom III. poglavljem 4. CRR-a</w:t>
            </w:r>
          </w:p>
        </w:tc>
      </w:tr>
      <w:tr w:rsidR="00355D90" w:rsidRPr="007F4CC8" w14:paraId="76248997" w14:textId="77777777" w:rsidTr="001C2D18">
        <w:trPr>
          <w:trHeight w:val="557"/>
        </w:trPr>
        <w:tc>
          <w:tcPr>
            <w:tcW w:w="1384" w:type="dxa"/>
          </w:tcPr>
          <w:p w14:paraId="0E30EA32" w14:textId="77777777" w:rsidR="00355D90" w:rsidRPr="007F4CC8" w:rsidRDefault="00355D90" w:rsidP="001C2D18">
            <w:pPr>
              <w:pStyle w:val="Applicationdirecte"/>
              <w:spacing w:before="60"/>
              <w:jc w:val="center"/>
            </w:pPr>
            <w:r>
              <w:t xml:space="preserve"> 24</w:t>
            </w:r>
          </w:p>
        </w:tc>
        <w:tc>
          <w:tcPr>
            <w:tcW w:w="7655" w:type="dxa"/>
          </w:tcPr>
          <w:p w14:paraId="46C5B971" w14:textId="03E962D8" w:rsidR="00355D90" w:rsidRPr="007F4CC8" w:rsidRDefault="00355D90" w:rsidP="001C2D18">
            <w:pPr>
              <w:spacing w:before="60" w:after="120"/>
              <w:jc w:val="both"/>
              <w:rPr>
                <w:rFonts w:ascii="Times New Roman" w:hAnsi="Times New Roman" w:cs="Times New Roman"/>
                <w:b/>
                <w:sz w:val="24"/>
              </w:rPr>
            </w:pPr>
            <w:r>
              <w:rPr>
                <w:rFonts w:ascii="Times New Roman" w:hAnsi="Times New Roman"/>
                <w:b/>
                <w:sz w:val="24"/>
              </w:rPr>
              <w:t xml:space="preserve">Iznos ispod pragova za odbitak (na koji se primjenjuje ponder rizika 250 %) </w:t>
            </w:r>
          </w:p>
          <w:p w14:paraId="2A67FBCB" w14:textId="5A392DEA" w:rsidR="00355D90" w:rsidRPr="007F4CC8" w:rsidRDefault="00355D90" w:rsidP="001C2D18">
            <w:pPr>
              <w:spacing w:before="60" w:after="120"/>
              <w:jc w:val="both"/>
              <w:rPr>
                <w:rFonts w:ascii="Times New Roman" w:hAnsi="Times New Roman" w:cs="Times New Roman"/>
                <w:sz w:val="24"/>
              </w:rPr>
            </w:pPr>
            <w:r>
              <w:rPr>
                <w:rFonts w:ascii="Times New Roman" w:hAnsi="Times New Roman"/>
                <w:sz w:val="24"/>
              </w:rPr>
              <w:t>Iznos odgovara zbroju iznosâ stavki na koje se primjenjuje ponder rizika 250 % iz članka 48. stavka 4. CRR-a nakon primjene pondera rizika 250 %. Ti iznosi uključuju:</w:t>
            </w:r>
          </w:p>
          <w:p w14:paraId="7233691E" w14:textId="320BC28F" w:rsidR="00355D90" w:rsidRPr="007F4CC8" w:rsidRDefault="00355D90" w:rsidP="00E70D84">
            <w:pPr>
              <w:pStyle w:val="ListParagraph"/>
              <w:numPr>
                <w:ilvl w:val="0"/>
                <w:numId w:val="15"/>
              </w:numPr>
              <w:spacing w:before="60" w:after="120"/>
              <w:jc w:val="both"/>
              <w:rPr>
                <w:rFonts w:ascii="Times New Roman" w:hAnsi="Times New Roman"/>
                <w:sz w:val="24"/>
              </w:rPr>
            </w:pPr>
            <w:r>
              <w:rPr>
                <w:rFonts w:ascii="Times New Roman" w:hAnsi="Times New Roman"/>
                <w:sz w:val="24"/>
              </w:rPr>
              <w:t>odgođenu poreznu imovinu koja ovisi o budućoj profitabilnosti i proizlazi iz privremenih razlika, a ukupno je jednaka ili manja od 10 % stavki redovnog osnovnog kapitala institucije koje se izračunavaju u skladu s člankom 48. stavkom 1. točkom (a) CRR-a,</w:t>
            </w:r>
          </w:p>
          <w:p w14:paraId="3954A3F4" w14:textId="40FADDF5" w:rsidR="00355D90" w:rsidRPr="007F4CC8" w:rsidRDefault="00355D90" w:rsidP="00E70D84">
            <w:pPr>
              <w:pStyle w:val="ListParagraph"/>
              <w:numPr>
                <w:ilvl w:val="0"/>
                <w:numId w:val="15"/>
              </w:numPr>
              <w:spacing w:before="60" w:after="120"/>
              <w:jc w:val="both"/>
              <w:rPr>
                <w:rFonts w:ascii="Times New Roman" w:hAnsi="Times New Roman"/>
                <w:sz w:val="24"/>
              </w:rPr>
            </w:pPr>
            <w:r>
              <w:rPr>
                <w:rFonts w:ascii="Times New Roman" w:hAnsi="Times New Roman"/>
                <w:sz w:val="24"/>
              </w:rPr>
              <w:t xml:space="preserve">značajna ulaganja u subjekt financijskog sektora, izravna, neizravna i sintetska ulaganja te institucije u instrumente redovnog osnovnog </w:t>
            </w:r>
            <w:r>
              <w:rPr>
                <w:rFonts w:ascii="Times New Roman" w:hAnsi="Times New Roman"/>
                <w:sz w:val="24"/>
              </w:rPr>
              <w:lastRenderedPageBreak/>
              <w:t>kapitala tih subjekata koja su ukupno jednaka ili manja od 10 % stavki redovnog osnovnog kapitala institucije koje se izračunavaju u skladu s člankom 48. stavkom 1. točkom (b) CRR-a.</w:t>
            </w:r>
          </w:p>
          <w:p w14:paraId="6B4CA360" w14:textId="138451FC" w:rsidR="00355D90" w:rsidRPr="007F4CC8" w:rsidRDefault="00355D90" w:rsidP="00544FF5">
            <w:pPr>
              <w:spacing w:before="60" w:after="120"/>
              <w:jc w:val="both"/>
              <w:rPr>
                <w:rFonts w:ascii="Times New Roman" w:hAnsi="Times New Roman" w:cs="Times New Roman"/>
                <w:sz w:val="24"/>
              </w:rPr>
            </w:pPr>
            <w:r>
              <w:rPr>
                <w:rFonts w:ascii="Times New Roman" w:hAnsi="Times New Roman"/>
                <w:sz w:val="24"/>
              </w:rPr>
              <w:t>Informacije u ovom retku iskazuju se samo u informativne svrhe jer je iznos iz ovog retka iskazan i u retku 1, u kojem institucije objavljuju informacije o kreditnom riziku.</w:t>
            </w:r>
          </w:p>
        </w:tc>
      </w:tr>
      <w:tr w:rsidR="00601608" w:rsidRPr="007F4CC8" w14:paraId="44743B38" w14:textId="77777777" w:rsidTr="009251B5">
        <w:trPr>
          <w:trHeight w:val="557"/>
        </w:trPr>
        <w:tc>
          <w:tcPr>
            <w:tcW w:w="1384" w:type="dxa"/>
          </w:tcPr>
          <w:p w14:paraId="72BF5F76" w14:textId="77777777" w:rsidR="00601608" w:rsidRPr="007F4CC8" w:rsidRDefault="00601608" w:rsidP="00601608">
            <w:pPr>
              <w:pStyle w:val="Applicationdirecte"/>
              <w:spacing w:before="60"/>
              <w:jc w:val="center"/>
              <w:rPr>
                <w:color w:val="000000"/>
              </w:rPr>
            </w:pPr>
            <w:r>
              <w:lastRenderedPageBreak/>
              <w:t>25</w:t>
            </w:r>
          </w:p>
        </w:tc>
        <w:tc>
          <w:tcPr>
            <w:tcW w:w="7655" w:type="dxa"/>
          </w:tcPr>
          <w:p w14:paraId="32BE2A94" w14:textId="4E39366D"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Nije primjenjivo</w:t>
            </w:r>
          </w:p>
        </w:tc>
      </w:tr>
      <w:tr w:rsidR="00601608" w:rsidRPr="007F4CC8" w14:paraId="7B789CB1" w14:textId="77777777" w:rsidTr="009251B5">
        <w:trPr>
          <w:trHeight w:val="557"/>
        </w:trPr>
        <w:tc>
          <w:tcPr>
            <w:tcW w:w="1384" w:type="dxa"/>
          </w:tcPr>
          <w:p w14:paraId="3A10A9D0" w14:textId="77777777" w:rsidR="00601608" w:rsidRPr="007F4CC8" w:rsidRDefault="00601608" w:rsidP="00601608">
            <w:pPr>
              <w:pStyle w:val="Applicationdirecte"/>
              <w:spacing w:before="60"/>
              <w:jc w:val="center"/>
              <w:rPr>
                <w:color w:val="000000"/>
              </w:rPr>
            </w:pPr>
            <w:r>
              <w:t>26</w:t>
            </w:r>
          </w:p>
        </w:tc>
        <w:tc>
          <w:tcPr>
            <w:tcW w:w="7655" w:type="dxa"/>
          </w:tcPr>
          <w:p w14:paraId="2C4F5B91" w14:textId="39505F9F"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Nije primjenjivo</w:t>
            </w:r>
          </w:p>
        </w:tc>
      </w:tr>
      <w:tr w:rsidR="00601608" w:rsidRPr="007F4CC8" w14:paraId="48F5EA99" w14:textId="77777777" w:rsidTr="00B2180A">
        <w:trPr>
          <w:trHeight w:val="557"/>
        </w:trPr>
        <w:tc>
          <w:tcPr>
            <w:tcW w:w="1384" w:type="dxa"/>
          </w:tcPr>
          <w:p w14:paraId="5D203C64" w14:textId="77777777" w:rsidR="00601608" w:rsidRPr="007F4CC8" w:rsidRDefault="00601608" w:rsidP="00601608">
            <w:pPr>
              <w:pStyle w:val="Applicationdirecte"/>
              <w:spacing w:before="60"/>
              <w:jc w:val="center"/>
            </w:pPr>
            <w:r>
              <w:t>27</w:t>
            </w:r>
          </w:p>
        </w:tc>
        <w:tc>
          <w:tcPr>
            <w:tcW w:w="7655" w:type="dxa"/>
          </w:tcPr>
          <w:p w14:paraId="38B9BF8A" w14:textId="68B53587"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Nije primjenjivo</w:t>
            </w:r>
          </w:p>
        </w:tc>
      </w:tr>
      <w:tr w:rsidR="00601608" w:rsidRPr="007F4CC8" w14:paraId="294AC974" w14:textId="77777777" w:rsidTr="00B2180A">
        <w:trPr>
          <w:trHeight w:val="557"/>
        </w:trPr>
        <w:tc>
          <w:tcPr>
            <w:tcW w:w="1384" w:type="dxa"/>
          </w:tcPr>
          <w:p w14:paraId="1D35C4C7" w14:textId="77777777" w:rsidR="00601608" w:rsidRPr="007F4CC8" w:rsidRDefault="00601608" w:rsidP="00601608">
            <w:pPr>
              <w:pStyle w:val="Applicationdirecte"/>
              <w:spacing w:before="60"/>
              <w:jc w:val="center"/>
            </w:pPr>
            <w:r>
              <w:t>28</w:t>
            </w:r>
          </w:p>
        </w:tc>
        <w:tc>
          <w:tcPr>
            <w:tcW w:w="7655" w:type="dxa"/>
          </w:tcPr>
          <w:p w14:paraId="32CACDED" w14:textId="7AA9EE6F"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Nije primjenjivo</w:t>
            </w:r>
          </w:p>
        </w:tc>
      </w:tr>
      <w:tr w:rsidR="00FA1376" w:rsidRPr="007F4CC8" w14:paraId="1FD0EA38" w14:textId="77777777" w:rsidTr="00B2180A">
        <w:trPr>
          <w:trHeight w:val="557"/>
        </w:trPr>
        <w:tc>
          <w:tcPr>
            <w:tcW w:w="1384" w:type="dxa"/>
            <w:vAlign w:val="center"/>
          </w:tcPr>
          <w:p w14:paraId="351F1E24" w14:textId="77777777" w:rsidR="00FA1376" w:rsidRPr="007F4CC8" w:rsidRDefault="00FA1376" w:rsidP="00FA1376">
            <w:pPr>
              <w:pStyle w:val="Applicationdirecte"/>
              <w:spacing w:before="60"/>
              <w:jc w:val="center"/>
            </w:pPr>
            <w:r>
              <w:rPr>
                <w:color w:val="000000"/>
              </w:rPr>
              <w:t>29</w:t>
            </w:r>
          </w:p>
        </w:tc>
        <w:tc>
          <w:tcPr>
            <w:tcW w:w="7655" w:type="dxa"/>
          </w:tcPr>
          <w:p w14:paraId="05D40AFF"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Ukupno</w:t>
            </w:r>
          </w:p>
          <w:p w14:paraId="32B689CA" w14:textId="3CB7C92E" w:rsidR="00FA1376" w:rsidRPr="007F4CC8" w:rsidRDefault="00FA1376" w:rsidP="00601608">
            <w:pPr>
              <w:spacing w:before="60" w:after="120"/>
              <w:jc w:val="both"/>
              <w:rPr>
                <w:rFonts w:ascii="Times New Roman" w:hAnsi="Times New Roman" w:cs="Times New Roman"/>
                <w:sz w:val="24"/>
              </w:rPr>
            </w:pPr>
            <w:r>
              <w:rPr>
                <w:rFonts w:ascii="Times New Roman" w:hAnsi="Times New Roman"/>
                <w:sz w:val="24"/>
              </w:rPr>
              <w:t>Ukupni iznos izloženosti rizicima koji se izračunava u skladu s člankom 92. stavkom 3. i člancima 95., 96. i 98. CRR-a</w:t>
            </w:r>
          </w:p>
        </w:tc>
      </w:tr>
    </w:tbl>
    <w:p w14:paraId="2CB62609" w14:textId="77777777" w:rsidR="00C41C25" w:rsidRPr="007F4CC8" w:rsidRDefault="00C41C25" w:rsidP="00501CEC">
      <w:pPr>
        <w:pStyle w:val="Titlelevel2"/>
        <w:spacing w:before="120" w:after="120"/>
        <w:rPr>
          <w:rFonts w:ascii="Times New Roman" w:hAnsi="Times New Roman"/>
          <w:b/>
          <w:color w:val="auto"/>
          <w:sz w:val="24"/>
          <w:lang w:val="en-GB"/>
        </w:rPr>
      </w:pPr>
    </w:p>
    <w:p w14:paraId="62DDE9E1" w14:textId="77777777" w:rsidR="00501CEC" w:rsidRPr="007F4CC8" w:rsidRDefault="00BD36EC" w:rsidP="00501CEC">
      <w:pPr>
        <w:pStyle w:val="Titlelevel2"/>
        <w:spacing w:before="120" w:after="120"/>
        <w:rPr>
          <w:rFonts w:ascii="Times New Roman" w:hAnsi="Times New Roman"/>
          <w:color w:val="auto"/>
          <w:sz w:val="24"/>
        </w:rPr>
      </w:pPr>
      <w:r>
        <w:rPr>
          <w:rFonts w:ascii="Times New Roman" w:hAnsi="Times New Roman"/>
          <w:b/>
          <w:color w:val="auto"/>
          <w:sz w:val="24"/>
        </w:rPr>
        <w:t xml:space="preserve">Obrazac EU KM1 – Obrazac za ključne pokazatelje. </w:t>
      </w:r>
      <w:r>
        <w:rPr>
          <w:rFonts w:ascii="Times New Roman" w:hAnsi="Times New Roman"/>
          <w:color w:val="auto"/>
          <w:sz w:val="24"/>
        </w:rPr>
        <w:t>Fiksan format</w:t>
      </w:r>
    </w:p>
    <w:p w14:paraId="3394DDC1" w14:textId="327C5A27" w:rsidR="00A919FB" w:rsidRPr="007F4CC8" w:rsidRDefault="00C41C25" w:rsidP="00CC3CE0">
      <w:pPr>
        <w:pStyle w:val="Titlelevel2"/>
        <w:numPr>
          <w:ilvl w:val="0"/>
          <w:numId w:val="13"/>
        </w:numPr>
        <w:spacing w:before="120" w:after="120"/>
        <w:rPr>
          <w:rFonts w:ascii="Times New Roman" w:hAnsi="Times New Roman"/>
          <w:b/>
          <w:color w:val="auto"/>
          <w:sz w:val="24"/>
        </w:rPr>
      </w:pPr>
      <w:r>
        <w:rPr>
          <w:rFonts w:ascii="Times New Roman" w:hAnsi="Times New Roman"/>
          <w:bCs w:val="0"/>
          <w:color w:val="000000"/>
          <w:sz w:val="24"/>
        </w:rPr>
        <w:t>Prateći upute u nastavku ovog Priloga institucije ispunjavaju obrazac EU KM1 iz Priloga I. ovoj Provedbenoj uredbi, u skladu s člankom 447. točkama od (a) do (g)</w:t>
      </w:r>
      <w:r>
        <w:rPr>
          <w:rFonts w:ascii="Times New Roman" w:hAnsi="Times New Roman"/>
          <w:sz w:val="24"/>
        </w:rPr>
        <w:t xml:space="preserve"> </w:t>
      </w:r>
      <w:r>
        <w:rPr>
          <w:rFonts w:ascii="Times New Roman" w:hAnsi="Times New Roman"/>
          <w:bCs w:val="0"/>
          <w:color w:val="000000"/>
          <w:sz w:val="24"/>
        </w:rPr>
        <w:t>i člankom 438. točko (b) CRR-a.</w:t>
      </w:r>
      <w:r>
        <w:rPr>
          <w:rFonts w:ascii="Times New Roman" w:hAnsi="Times New Roman"/>
          <w:b/>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919FB" w:rsidRPr="007F4CC8" w14:paraId="74C38E0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7F4CC8" w:rsidRDefault="00A919FB" w:rsidP="00B2180A">
            <w:pPr>
              <w:rPr>
                <w:rFonts w:ascii="Times New Roman" w:hAnsi="Times New Roman" w:cs="Times New Roman"/>
                <w:b/>
                <w:sz w:val="24"/>
              </w:rPr>
            </w:pPr>
            <w:r>
              <w:rPr>
                <w:rFonts w:ascii="Times New Roman" w:hAnsi="Times New Roman"/>
                <w:b/>
                <w:sz w:val="24"/>
              </w:rPr>
              <w:t>Pravna osnova i upute</w:t>
            </w:r>
          </w:p>
        </w:tc>
      </w:tr>
      <w:tr w:rsidR="00A919FB" w:rsidRPr="007F4CC8" w14:paraId="00B30D91" w14:textId="77777777" w:rsidTr="00B2180A">
        <w:trPr>
          <w:trHeight w:val="238"/>
        </w:trPr>
        <w:tc>
          <w:tcPr>
            <w:tcW w:w="1384" w:type="dxa"/>
            <w:shd w:val="clear" w:color="auto" w:fill="D9D9D9" w:themeFill="background1" w:themeFillShade="D9"/>
          </w:tcPr>
          <w:p w14:paraId="0D2CF0F9" w14:textId="77777777" w:rsidR="00A919FB" w:rsidRPr="007F4CC8" w:rsidRDefault="00A919FB" w:rsidP="00003BF5">
            <w:pPr>
              <w:autoSpaceDE w:val="0"/>
              <w:autoSpaceDN w:val="0"/>
              <w:adjustRightInd w:val="0"/>
              <w:rPr>
                <w:rFonts w:ascii="Times New Roman" w:hAnsi="Times New Roman" w:cs="Times New Roman"/>
                <w:b/>
                <w:sz w:val="24"/>
              </w:rPr>
            </w:pPr>
            <w:r>
              <w:rPr>
                <w:rFonts w:ascii="Times New Roman" w:hAnsi="Times New Roman"/>
                <w:b/>
                <w:sz w:val="24"/>
              </w:rPr>
              <w:t>Broj stupca</w:t>
            </w:r>
          </w:p>
        </w:tc>
        <w:tc>
          <w:tcPr>
            <w:tcW w:w="7655" w:type="dxa"/>
            <w:shd w:val="clear" w:color="auto" w:fill="D9D9D9" w:themeFill="background1" w:themeFillShade="D9"/>
          </w:tcPr>
          <w:p w14:paraId="1025441F" w14:textId="77777777" w:rsidR="00A919FB" w:rsidRPr="007F4CC8" w:rsidRDefault="00A919FB" w:rsidP="00B2180A">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A919FB" w:rsidRPr="007F4CC8" w14:paraId="3B18CFED" w14:textId="77777777" w:rsidTr="00B2180A">
        <w:trPr>
          <w:trHeight w:val="680"/>
        </w:trPr>
        <w:tc>
          <w:tcPr>
            <w:tcW w:w="1384" w:type="dxa"/>
          </w:tcPr>
          <w:p w14:paraId="701C1EE8" w14:textId="77777777" w:rsidR="00A919FB" w:rsidRPr="007F4CC8" w:rsidRDefault="00003BF5" w:rsidP="00B2180A">
            <w:pPr>
              <w:pStyle w:val="Applicationdirecte"/>
              <w:spacing w:before="60"/>
              <w:jc w:val="center"/>
            </w:pPr>
            <w:r>
              <w:t>a – e</w:t>
            </w:r>
          </w:p>
        </w:tc>
        <w:tc>
          <w:tcPr>
            <w:tcW w:w="7655" w:type="dxa"/>
            <w:vAlign w:val="center"/>
          </w:tcPr>
          <w:p w14:paraId="01DAA312" w14:textId="649F2267" w:rsidR="00A919FB" w:rsidRPr="007F4CC8" w:rsidRDefault="00187C4B" w:rsidP="00A919FB">
            <w:pPr>
              <w:spacing w:before="60" w:after="120"/>
              <w:jc w:val="both"/>
              <w:rPr>
                <w:rFonts w:ascii="Times New Roman" w:hAnsi="Times New Roman" w:cs="Times New Roman"/>
                <w:sz w:val="24"/>
              </w:rPr>
            </w:pPr>
            <w:r>
              <w:rPr>
                <w:rFonts w:ascii="Times New Roman" w:hAnsi="Times New Roman"/>
                <w:sz w:val="24"/>
              </w:rPr>
              <w:t>Razdoblja objave T, T-1, T-2, T-3 i T-4 definirana su kao tromjesečna razdoblja i popunjavaju se ovisno o učestalosti utvrđenoj u člancima 433.a, 433.b i 433.c CRR-a.</w:t>
            </w:r>
          </w:p>
          <w:p w14:paraId="3BAEA110" w14:textId="7DE115C7" w:rsidR="00A919FB" w:rsidRPr="007F4CC8" w:rsidRDefault="00A919FB" w:rsidP="00A919FB">
            <w:pPr>
              <w:spacing w:before="60" w:after="120"/>
              <w:jc w:val="both"/>
              <w:rPr>
                <w:rFonts w:ascii="Times New Roman" w:hAnsi="Times New Roman" w:cs="Times New Roman"/>
                <w:sz w:val="24"/>
              </w:rPr>
            </w:pPr>
            <w:r>
              <w:rPr>
                <w:rFonts w:ascii="Times New Roman" w:hAnsi="Times New Roman"/>
                <w:sz w:val="24"/>
              </w:rPr>
              <w:t>Institucije koje informacije sadržane u ovom obrascu objavljuju na tromjesečnoj osnovi iskazuju podatke za razdoblja T, T-1, T-2, T-3 i T-4; institucije koje te informacije objavljuju na polugodišnjoj osnovi iskazuju podatke za razdoblja T, T-2 i T-4, a institucije koje ih objavljuju na godišnjoj osnovi iskazuju podatke za razdoblja T i T-4.</w:t>
            </w:r>
          </w:p>
          <w:p w14:paraId="3565AD25" w14:textId="00DB4F0F" w:rsidR="00A919FB" w:rsidRPr="007F4CC8" w:rsidRDefault="00A919FB" w:rsidP="00A919FB">
            <w:pPr>
              <w:spacing w:before="60" w:after="120"/>
              <w:jc w:val="both"/>
              <w:rPr>
                <w:rFonts w:ascii="Times New Roman" w:hAnsi="Times New Roman" w:cs="Times New Roman"/>
                <w:sz w:val="24"/>
              </w:rPr>
            </w:pPr>
            <w:r>
              <w:rPr>
                <w:rFonts w:ascii="Times New Roman" w:hAnsi="Times New Roman"/>
                <w:sz w:val="24"/>
              </w:rPr>
              <w:t>Institucije objavljuju datume koji odgovaraju razdobljima objave.</w:t>
            </w:r>
          </w:p>
          <w:p w14:paraId="18B0361E" w14:textId="77777777" w:rsidR="00A919FB" w:rsidRPr="007F4CC8" w:rsidRDefault="00A919FB" w:rsidP="00C0296F">
            <w:pPr>
              <w:spacing w:before="60" w:after="120"/>
              <w:jc w:val="both"/>
              <w:rPr>
                <w:rFonts w:ascii="Times New Roman" w:hAnsi="Times New Roman" w:cs="Times New Roman"/>
                <w:sz w:val="24"/>
              </w:rPr>
            </w:pPr>
            <w:r>
              <w:rPr>
                <w:rFonts w:ascii="Times New Roman" w:hAnsi="Times New Roman"/>
                <w:sz w:val="24"/>
              </w:rPr>
              <w:t xml:space="preserve">Podaci za prethodna razdoblja ne objavljuju se pri prvoj objavi podataka. </w:t>
            </w:r>
          </w:p>
        </w:tc>
      </w:tr>
      <w:tr w:rsidR="00A919FB" w:rsidRPr="007F4CC8" w14:paraId="50208CE7"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7F4CC8" w:rsidRDefault="00A919FB" w:rsidP="00B2180A">
            <w:pPr>
              <w:rPr>
                <w:rFonts w:ascii="Times New Roman" w:hAnsi="Times New Roman" w:cs="Times New Roman"/>
                <w:b/>
                <w:sz w:val="24"/>
              </w:rPr>
            </w:pPr>
            <w:r>
              <w:rPr>
                <w:rFonts w:ascii="Times New Roman" w:hAnsi="Times New Roman"/>
                <w:b/>
                <w:sz w:val="24"/>
              </w:rPr>
              <w:t>Pravna osnova i upute</w:t>
            </w:r>
          </w:p>
        </w:tc>
      </w:tr>
      <w:tr w:rsidR="00A919FB" w:rsidRPr="007F4CC8" w14:paraId="1B35CC72" w14:textId="77777777" w:rsidTr="00B2180A">
        <w:trPr>
          <w:trHeight w:val="238"/>
        </w:trPr>
        <w:tc>
          <w:tcPr>
            <w:tcW w:w="1384" w:type="dxa"/>
            <w:shd w:val="clear" w:color="auto" w:fill="D9D9D9" w:themeFill="background1" w:themeFillShade="D9"/>
          </w:tcPr>
          <w:p w14:paraId="0BCA6C43" w14:textId="77777777" w:rsidR="00A919FB" w:rsidRPr="007F4CC8" w:rsidRDefault="00A919FB" w:rsidP="00B2180A">
            <w:pPr>
              <w:autoSpaceDE w:val="0"/>
              <w:autoSpaceDN w:val="0"/>
              <w:adjustRightInd w:val="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6FA800DB" w14:textId="77777777" w:rsidR="00A919FB" w:rsidRPr="007F4CC8" w:rsidRDefault="00A919FB" w:rsidP="00B2180A">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EC3DC7" w:rsidRPr="007F4CC8" w14:paraId="09F40871" w14:textId="77777777" w:rsidTr="00B2180A">
        <w:trPr>
          <w:trHeight w:val="680"/>
        </w:trPr>
        <w:tc>
          <w:tcPr>
            <w:tcW w:w="1384" w:type="dxa"/>
          </w:tcPr>
          <w:p w14:paraId="79F0E0B1" w14:textId="77777777" w:rsidR="00EC3DC7" w:rsidRPr="007F4CC8" w:rsidRDefault="00EC3DC7" w:rsidP="00EC3DC7">
            <w:pPr>
              <w:pStyle w:val="Applicationdirecte"/>
              <w:spacing w:before="60"/>
              <w:jc w:val="center"/>
            </w:pPr>
            <w:r>
              <w:t>1</w:t>
            </w:r>
          </w:p>
        </w:tc>
        <w:tc>
          <w:tcPr>
            <w:tcW w:w="7655" w:type="dxa"/>
          </w:tcPr>
          <w:p w14:paraId="28E8D7BE" w14:textId="77777777" w:rsidR="00EC3DC7" w:rsidRPr="0045539B" w:rsidRDefault="00EC3DC7" w:rsidP="00EC3DC7">
            <w:pPr>
              <w:spacing w:before="60" w:after="120"/>
              <w:jc w:val="both"/>
              <w:rPr>
                <w:rFonts w:ascii="Times New Roman" w:hAnsi="Times New Roman" w:cs="Times New Roman"/>
                <w:b/>
                <w:sz w:val="24"/>
              </w:rPr>
            </w:pPr>
            <w:r>
              <w:rPr>
                <w:rFonts w:ascii="Times New Roman" w:hAnsi="Times New Roman"/>
                <w:b/>
                <w:sz w:val="24"/>
              </w:rPr>
              <w:t>Redovni osnovni kapital (CET1)</w:t>
            </w:r>
          </w:p>
          <w:p w14:paraId="07A96E2A" w14:textId="5FACA753" w:rsidR="00EC3DC7" w:rsidRPr="007F4CC8" w:rsidRDefault="00EC3DC7" w:rsidP="002635C4">
            <w:pPr>
              <w:spacing w:before="60" w:after="120"/>
              <w:jc w:val="both"/>
              <w:rPr>
                <w:rFonts w:ascii="Times New Roman" w:hAnsi="Times New Roman" w:cs="Times New Roman"/>
                <w:sz w:val="24"/>
              </w:rPr>
            </w:pPr>
            <w:r>
              <w:rPr>
                <w:rFonts w:ascii="Times New Roman" w:hAnsi="Times New Roman"/>
                <w:sz w:val="24"/>
              </w:rPr>
              <w:t>Iznos redovnog osnovnog kapitala iznos je koji institucije objavljuju u Prilogu VII. ovoj Provedbenoj uredbi (redak 29 obrasca EU CC1 Sastav regulatornog kapitala)</w:t>
            </w:r>
          </w:p>
        </w:tc>
      </w:tr>
      <w:tr w:rsidR="00EC3DC7" w:rsidRPr="007F4CC8" w14:paraId="4CB4023A" w14:textId="77777777" w:rsidTr="00B2180A">
        <w:trPr>
          <w:trHeight w:val="436"/>
        </w:trPr>
        <w:tc>
          <w:tcPr>
            <w:tcW w:w="1384" w:type="dxa"/>
          </w:tcPr>
          <w:p w14:paraId="71F49FF4" w14:textId="77777777" w:rsidR="00EC3DC7" w:rsidRPr="007F4CC8" w:rsidRDefault="00EC3DC7" w:rsidP="00EC3DC7">
            <w:pPr>
              <w:pStyle w:val="Applicationdirecte"/>
              <w:spacing w:before="60"/>
              <w:jc w:val="center"/>
            </w:pPr>
            <w:r>
              <w:lastRenderedPageBreak/>
              <w:t>2</w:t>
            </w:r>
          </w:p>
        </w:tc>
        <w:tc>
          <w:tcPr>
            <w:tcW w:w="7655" w:type="dxa"/>
          </w:tcPr>
          <w:p w14:paraId="50A949BA" w14:textId="77777777" w:rsidR="00EC3DC7" w:rsidRPr="0045539B" w:rsidRDefault="00EC3DC7" w:rsidP="00EC3DC7">
            <w:pPr>
              <w:spacing w:before="60" w:after="120"/>
              <w:jc w:val="both"/>
              <w:rPr>
                <w:rFonts w:ascii="Times New Roman" w:hAnsi="Times New Roman" w:cs="Times New Roman"/>
                <w:b/>
                <w:sz w:val="24"/>
              </w:rPr>
            </w:pPr>
            <w:r>
              <w:rPr>
                <w:rFonts w:ascii="Times New Roman" w:hAnsi="Times New Roman"/>
                <w:b/>
                <w:sz w:val="24"/>
              </w:rPr>
              <w:t>Osnovni kapital</w:t>
            </w:r>
          </w:p>
          <w:p w14:paraId="097E489A" w14:textId="4E72A6FE" w:rsidR="00EC3DC7" w:rsidRPr="007F4CC8" w:rsidRDefault="00EC3DC7" w:rsidP="00605635">
            <w:pPr>
              <w:spacing w:before="60" w:after="120"/>
              <w:jc w:val="both"/>
              <w:rPr>
                <w:rFonts w:ascii="Times New Roman" w:eastAsia="Times New Roman" w:hAnsi="Times New Roman" w:cs="Times New Roman"/>
                <w:sz w:val="24"/>
              </w:rPr>
            </w:pPr>
            <w:r>
              <w:rPr>
                <w:rFonts w:ascii="Times New Roman" w:hAnsi="Times New Roman"/>
                <w:sz w:val="24"/>
              </w:rPr>
              <w:t>Iznos osnovnog kapitala iznos je koji institucije objavljuju u Prilogu VII. ovoj Provedbenoj uredbi (redak 45 obrasca EU CC1 Sastav regulatornog kapitala)</w:t>
            </w:r>
          </w:p>
        </w:tc>
      </w:tr>
      <w:tr w:rsidR="00EC3DC7" w:rsidRPr="007F4CC8" w14:paraId="67C2637C" w14:textId="77777777" w:rsidTr="00B2180A">
        <w:trPr>
          <w:trHeight w:val="557"/>
        </w:trPr>
        <w:tc>
          <w:tcPr>
            <w:tcW w:w="1384" w:type="dxa"/>
          </w:tcPr>
          <w:p w14:paraId="30C65372" w14:textId="77777777" w:rsidR="00EC3DC7" w:rsidRPr="007F4CC8" w:rsidRDefault="009D2A94" w:rsidP="00EC3DC7">
            <w:pPr>
              <w:pStyle w:val="Applicationdirecte"/>
              <w:spacing w:before="60"/>
              <w:jc w:val="center"/>
            </w:pPr>
            <w:r>
              <w:t>3</w:t>
            </w:r>
          </w:p>
        </w:tc>
        <w:tc>
          <w:tcPr>
            <w:tcW w:w="7655" w:type="dxa"/>
          </w:tcPr>
          <w:p w14:paraId="437C173A" w14:textId="77777777" w:rsidR="009D2A94" w:rsidRPr="00716CBE" w:rsidRDefault="009D2A94" w:rsidP="00EC3DC7">
            <w:pPr>
              <w:spacing w:before="60" w:after="120"/>
              <w:jc w:val="both"/>
              <w:rPr>
                <w:rFonts w:ascii="Times New Roman" w:hAnsi="Times New Roman" w:cs="Times New Roman"/>
                <w:b/>
                <w:sz w:val="24"/>
              </w:rPr>
            </w:pPr>
            <w:r>
              <w:rPr>
                <w:rFonts w:ascii="Times New Roman" w:hAnsi="Times New Roman"/>
                <w:b/>
                <w:sz w:val="24"/>
              </w:rPr>
              <w:t>Ukupni kapital</w:t>
            </w:r>
          </w:p>
          <w:p w14:paraId="0A93EB9C" w14:textId="62DE5559" w:rsidR="00EC3DC7" w:rsidRPr="007F4CC8" w:rsidRDefault="00EC3DC7" w:rsidP="00605635">
            <w:pPr>
              <w:spacing w:before="60" w:after="120"/>
              <w:jc w:val="both"/>
              <w:rPr>
                <w:rFonts w:ascii="Times New Roman" w:hAnsi="Times New Roman" w:cs="Times New Roman"/>
                <w:color w:val="000000"/>
                <w:sz w:val="24"/>
              </w:rPr>
            </w:pPr>
            <w:r>
              <w:rPr>
                <w:rFonts w:ascii="Times New Roman" w:hAnsi="Times New Roman"/>
                <w:sz w:val="24"/>
              </w:rPr>
              <w:t>Iznos ukupnog kapitala iznos je koji institucije objavljuju u Prilogu VII. ovoj Provedbenoj uredbi (redak 59 obrasca EU CC1 Sastav regulatornog kapitala)</w:t>
            </w:r>
          </w:p>
        </w:tc>
      </w:tr>
      <w:tr w:rsidR="00EC3DC7" w:rsidRPr="007F4CC8" w14:paraId="30D8C6AD" w14:textId="77777777" w:rsidTr="00B2180A">
        <w:trPr>
          <w:trHeight w:val="557"/>
        </w:trPr>
        <w:tc>
          <w:tcPr>
            <w:tcW w:w="1384" w:type="dxa"/>
          </w:tcPr>
          <w:p w14:paraId="276F8582" w14:textId="77777777" w:rsidR="00EC3DC7" w:rsidRPr="007F4CC8" w:rsidRDefault="009D2A94" w:rsidP="00EC3DC7">
            <w:pPr>
              <w:pStyle w:val="Applicationdirecte"/>
              <w:spacing w:before="60"/>
              <w:jc w:val="center"/>
            </w:pPr>
            <w:r>
              <w:t>4</w:t>
            </w:r>
          </w:p>
        </w:tc>
        <w:tc>
          <w:tcPr>
            <w:tcW w:w="7655" w:type="dxa"/>
          </w:tcPr>
          <w:p w14:paraId="7C61908F" w14:textId="1295D816" w:rsidR="009D2A94" w:rsidRPr="00716CBE" w:rsidRDefault="009D2A94" w:rsidP="009D2A94">
            <w:pPr>
              <w:spacing w:before="60" w:after="120"/>
              <w:jc w:val="both"/>
              <w:rPr>
                <w:rFonts w:ascii="Times New Roman" w:hAnsi="Times New Roman" w:cs="Times New Roman"/>
                <w:b/>
                <w:sz w:val="24"/>
              </w:rPr>
            </w:pPr>
            <w:r>
              <w:rPr>
                <w:rFonts w:ascii="Times New Roman" w:hAnsi="Times New Roman"/>
                <w:b/>
                <w:sz w:val="24"/>
              </w:rPr>
              <w:t>Ukupni iznos izloženosti riziku</w:t>
            </w:r>
          </w:p>
          <w:p w14:paraId="45F3B0F7" w14:textId="22E66998" w:rsidR="00EC3DC7" w:rsidRPr="007F4CC8" w:rsidRDefault="00EC3DC7" w:rsidP="00402F34">
            <w:pPr>
              <w:spacing w:before="60" w:after="120"/>
              <w:jc w:val="both"/>
              <w:rPr>
                <w:rFonts w:ascii="Times New Roman" w:hAnsi="Times New Roman" w:cs="Times New Roman"/>
                <w:sz w:val="24"/>
              </w:rPr>
            </w:pPr>
            <w:r>
              <w:rPr>
                <w:rFonts w:ascii="Times New Roman" w:hAnsi="Times New Roman"/>
                <w:sz w:val="24"/>
              </w:rPr>
              <w:t xml:space="preserve">Iznos ukupne izloženosti riziku (TREA) iznos je koji institucije objavljuju u Prilogu VII. ovoj Provedbenoj uredbi (redak 60 obrasca EU CC1 Sastav regulatornog kapitala) </w:t>
            </w:r>
          </w:p>
        </w:tc>
      </w:tr>
      <w:tr w:rsidR="00EC3DC7" w:rsidRPr="007F4CC8" w14:paraId="057C7AF3" w14:textId="77777777" w:rsidTr="00B2180A">
        <w:trPr>
          <w:trHeight w:val="557"/>
        </w:trPr>
        <w:tc>
          <w:tcPr>
            <w:tcW w:w="1384" w:type="dxa"/>
          </w:tcPr>
          <w:p w14:paraId="074AB79D" w14:textId="77777777" w:rsidR="00EC3DC7" w:rsidRPr="007F4CC8" w:rsidRDefault="00475381" w:rsidP="00EC3DC7">
            <w:pPr>
              <w:pStyle w:val="Applicationdirecte"/>
              <w:spacing w:before="60"/>
              <w:jc w:val="center"/>
            </w:pPr>
            <w:r>
              <w:t>5</w:t>
            </w:r>
          </w:p>
        </w:tc>
        <w:tc>
          <w:tcPr>
            <w:tcW w:w="7655" w:type="dxa"/>
          </w:tcPr>
          <w:p w14:paraId="5872B091"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Stopa redovnog osnovnog kapitala (%)</w:t>
            </w:r>
          </w:p>
          <w:p w14:paraId="42EC7CCC" w14:textId="45E38444"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Stopa redovnog osnovnog kapitala vrijednost je koju institucije objavljuju u Prilogu VII. ovoj Provedbenoj uredbi (redak 61 obrasca EU CC1 Sastav regulatornog kapitala)</w:t>
            </w:r>
          </w:p>
        </w:tc>
      </w:tr>
      <w:tr w:rsidR="00EC3DC7" w:rsidRPr="007F4CC8" w14:paraId="7836A7D8" w14:textId="77777777" w:rsidTr="00B2180A">
        <w:trPr>
          <w:trHeight w:val="557"/>
        </w:trPr>
        <w:tc>
          <w:tcPr>
            <w:tcW w:w="1384" w:type="dxa"/>
          </w:tcPr>
          <w:p w14:paraId="138571C7" w14:textId="77777777" w:rsidR="00EC3DC7" w:rsidRPr="007F4CC8" w:rsidRDefault="00475381" w:rsidP="00EC3DC7">
            <w:pPr>
              <w:pStyle w:val="Applicationdirecte"/>
              <w:spacing w:before="60"/>
              <w:jc w:val="center"/>
            </w:pPr>
            <w:r>
              <w:t>6</w:t>
            </w:r>
          </w:p>
        </w:tc>
        <w:tc>
          <w:tcPr>
            <w:tcW w:w="7655" w:type="dxa"/>
          </w:tcPr>
          <w:p w14:paraId="016AAD4C" w14:textId="77777777" w:rsidR="00475381" w:rsidRPr="00716CBE" w:rsidRDefault="00475381" w:rsidP="00EC3DC7">
            <w:pPr>
              <w:spacing w:before="60" w:after="120"/>
              <w:jc w:val="both"/>
              <w:rPr>
                <w:rFonts w:ascii="Times New Roman" w:hAnsi="Times New Roman" w:cs="Times New Roman"/>
                <w:b/>
                <w:sz w:val="24"/>
              </w:rPr>
            </w:pPr>
            <w:r>
              <w:rPr>
                <w:rFonts w:ascii="Times New Roman" w:hAnsi="Times New Roman"/>
                <w:b/>
                <w:sz w:val="24"/>
              </w:rPr>
              <w:t>Stopa osnovnog kapitala (%)</w:t>
            </w:r>
          </w:p>
          <w:p w14:paraId="7486F374" w14:textId="7F354782"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Stopa osnovnog kapitala vrijednost je koju institucije objavljuju u Prilogu VII. ovoj Provedbenoj uredbi (redak 62 obrasca EU CC1 Sastav regulatornog kapitala)</w:t>
            </w:r>
          </w:p>
        </w:tc>
      </w:tr>
      <w:tr w:rsidR="00EC3DC7" w:rsidRPr="007F4CC8" w14:paraId="43011D7B" w14:textId="77777777" w:rsidTr="00B2180A">
        <w:trPr>
          <w:trHeight w:val="557"/>
        </w:trPr>
        <w:tc>
          <w:tcPr>
            <w:tcW w:w="1384" w:type="dxa"/>
          </w:tcPr>
          <w:p w14:paraId="63D1F4D7" w14:textId="77777777" w:rsidR="00EC3DC7" w:rsidRPr="007F4CC8" w:rsidRDefault="00475381" w:rsidP="00475381">
            <w:pPr>
              <w:pStyle w:val="Applicationdirecte"/>
              <w:spacing w:before="60"/>
              <w:jc w:val="center"/>
            </w:pPr>
            <w:r>
              <w:t>7</w:t>
            </w:r>
          </w:p>
        </w:tc>
        <w:tc>
          <w:tcPr>
            <w:tcW w:w="7655" w:type="dxa"/>
          </w:tcPr>
          <w:p w14:paraId="08AAC130"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Stopa ukupnog kapitala (%)</w:t>
            </w:r>
          </w:p>
          <w:p w14:paraId="19C20331" w14:textId="19489A92"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Stopa ukupnog kapitala vrijednost je koju institucije objavljuju u Prilogu VII. ovoj Provedbenoj uredbi (redak 63 obrasca EU CC1 Sastav regulatornog kapitala)</w:t>
            </w:r>
          </w:p>
        </w:tc>
      </w:tr>
      <w:tr w:rsidR="002D5755" w:rsidRPr="007F4CC8" w14:paraId="3536040C" w14:textId="77777777" w:rsidTr="00B2180A">
        <w:trPr>
          <w:trHeight w:val="557"/>
        </w:trPr>
        <w:tc>
          <w:tcPr>
            <w:tcW w:w="1384" w:type="dxa"/>
          </w:tcPr>
          <w:p w14:paraId="1CD4D7BE" w14:textId="77777777" w:rsidR="002D5755" w:rsidRPr="007F4CC8" w:rsidRDefault="002F1302" w:rsidP="002D5755">
            <w:pPr>
              <w:pStyle w:val="Applicationdirecte"/>
              <w:spacing w:before="60"/>
              <w:jc w:val="center"/>
            </w:pPr>
            <w:r>
              <w:t>EU 7a</w:t>
            </w:r>
          </w:p>
        </w:tc>
        <w:tc>
          <w:tcPr>
            <w:tcW w:w="7655" w:type="dxa"/>
          </w:tcPr>
          <w:p w14:paraId="2C65689E" w14:textId="168A8882" w:rsidR="002D5755" w:rsidRPr="00716CBE" w:rsidRDefault="00974607" w:rsidP="002D5755">
            <w:pPr>
              <w:spacing w:before="60" w:after="120"/>
              <w:jc w:val="both"/>
              <w:rPr>
                <w:rFonts w:ascii="Times New Roman" w:hAnsi="Times New Roman" w:cs="Times New Roman"/>
                <w:b/>
                <w:sz w:val="24"/>
              </w:rPr>
            </w:pPr>
            <w:r>
              <w:rPr>
                <w:rFonts w:ascii="Times New Roman" w:hAnsi="Times New Roman"/>
                <w:b/>
                <w:sz w:val="24"/>
              </w:rPr>
              <w:t>Dodatni kapitalni zahtjevi za upravljanje rizicima koji nisu rizik prekomjerne financijske poluge (%)</w:t>
            </w:r>
          </w:p>
          <w:p w14:paraId="496B5202" w14:textId="0B6F7C73" w:rsidR="002D5755" w:rsidRPr="007F4CC8" w:rsidRDefault="005D6F4D" w:rsidP="00A96F56">
            <w:pPr>
              <w:spacing w:before="60" w:after="120"/>
              <w:jc w:val="both"/>
              <w:rPr>
                <w:rFonts w:ascii="Times New Roman" w:hAnsi="Times New Roman" w:cs="Times New Roman"/>
                <w:sz w:val="24"/>
              </w:rPr>
            </w:pPr>
            <w:r>
              <w:rPr>
                <w:rFonts w:ascii="Times New Roman" w:hAnsi="Times New Roman"/>
                <w:sz w:val="24"/>
              </w:rPr>
              <w:t>Dodatni kapitalni zahtjevi za upravljanje rizicima koji nisu rizik prekomjerne financijske poluge koje je nadležno tijelo odredilo u skladu s člankom 104. stavkom 1. točkom (a) CRD-a, izraženi kao postotak ukupnog iznosa izloženosti riziku.</w:t>
            </w:r>
          </w:p>
        </w:tc>
      </w:tr>
      <w:tr w:rsidR="002D5755" w:rsidRPr="007F4CC8" w14:paraId="7325A7E2" w14:textId="77777777" w:rsidTr="00B2180A">
        <w:trPr>
          <w:trHeight w:val="557"/>
        </w:trPr>
        <w:tc>
          <w:tcPr>
            <w:tcW w:w="1384" w:type="dxa"/>
          </w:tcPr>
          <w:p w14:paraId="74461AB8" w14:textId="77777777" w:rsidR="002D5755" w:rsidRPr="007F4CC8" w:rsidRDefault="002F1302" w:rsidP="002D5755">
            <w:pPr>
              <w:pStyle w:val="Applicationdirecte"/>
              <w:spacing w:before="60"/>
              <w:jc w:val="center"/>
            </w:pPr>
            <w:r>
              <w:t>EU 7b</w:t>
            </w:r>
          </w:p>
        </w:tc>
        <w:tc>
          <w:tcPr>
            <w:tcW w:w="7655" w:type="dxa"/>
          </w:tcPr>
          <w:p w14:paraId="407C074B" w14:textId="466990AF" w:rsidR="002D5755" w:rsidRPr="00716CBE"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Od čega: koji se sastoji od redovnog osnovnog kapitala (postotni bodovi)</w:t>
            </w:r>
          </w:p>
          <w:p w14:paraId="7130AB39" w14:textId="6C95311F" w:rsidR="003F72E2" w:rsidRPr="007F4CC8" w:rsidRDefault="00791891" w:rsidP="005D6F4D">
            <w:pPr>
              <w:spacing w:before="60" w:after="120"/>
              <w:jc w:val="both"/>
              <w:rPr>
                <w:rFonts w:ascii="Times New Roman" w:hAnsi="Times New Roman" w:cs="Times New Roman"/>
                <w:sz w:val="24"/>
              </w:rPr>
            </w:pPr>
            <w:r>
              <w:rPr>
                <w:rFonts w:ascii="Times New Roman" w:hAnsi="Times New Roman"/>
                <w:sz w:val="24"/>
              </w:rPr>
              <w:t>Dio dodatnih kapitalnih zahtjeva za upravljanje rizicima koji nisu rizik prekomjerne financijske poluge koje je nadležno tijelo odredilo u skladu s člankom 104. stavkom 1. točkom (a) CRD-a, koji mora biti ispunjen redovnim osnovnim kapitalom u skladu s člankom</w:t>
            </w:r>
            <w:bookmarkStart w:id="10" w:name="_GoBack"/>
            <w:bookmarkEnd w:id="10"/>
            <w:r>
              <w:rPr>
                <w:rFonts w:ascii="Times New Roman" w:hAnsi="Times New Roman"/>
                <w:sz w:val="24"/>
              </w:rPr>
              <w:t xml:space="preserve"> 104.a stavkom 4. prvim i trećim podstavkom.</w:t>
            </w:r>
          </w:p>
        </w:tc>
      </w:tr>
      <w:tr w:rsidR="002D5755" w:rsidRPr="007F4CC8" w14:paraId="0E6077DA" w14:textId="77777777" w:rsidTr="00B2180A">
        <w:trPr>
          <w:trHeight w:val="557"/>
        </w:trPr>
        <w:tc>
          <w:tcPr>
            <w:tcW w:w="1384" w:type="dxa"/>
          </w:tcPr>
          <w:p w14:paraId="06A684D0" w14:textId="77777777" w:rsidR="002D5755" w:rsidRPr="007F4CC8" w:rsidRDefault="002F1302" w:rsidP="002D5755">
            <w:pPr>
              <w:pStyle w:val="Applicationdirecte"/>
              <w:spacing w:before="60"/>
              <w:jc w:val="center"/>
            </w:pPr>
            <w:r>
              <w:t>EU 7c</w:t>
            </w:r>
          </w:p>
        </w:tc>
        <w:tc>
          <w:tcPr>
            <w:tcW w:w="7655" w:type="dxa"/>
          </w:tcPr>
          <w:p w14:paraId="3D41CED8" w14:textId="5A42D7CA" w:rsidR="002D5755" w:rsidRPr="00716CBE"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Od čega: koji se sastoji od osnovnog kapitala (postotni bodovi)</w:t>
            </w:r>
          </w:p>
          <w:p w14:paraId="20A8FF8D" w14:textId="5B5BA5D6" w:rsidR="003F72E2" w:rsidRPr="007F4CC8" w:rsidRDefault="005D6F4D" w:rsidP="005D6F4D">
            <w:pPr>
              <w:spacing w:before="60" w:after="120"/>
              <w:jc w:val="both"/>
              <w:rPr>
                <w:rFonts w:ascii="Times New Roman" w:hAnsi="Times New Roman" w:cs="Times New Roman"/>
                <w:sz w:val="24"/>
              </w:rPr>
            </w:pPr>
            <w:r>
              <w:rPr>
                <w:rFonts w:ascii="Times New Roman" w:hAnsi="Times New Roman"/>
                <w:sz w:val="24"/>
              </w:rPr>
              <w:t xml:space="preserve">Dio dodatnih kapitalnih zahtjeva za upravljanje rizicima koji nisu rizik prekomjerne financijske poluge koje je nadležno tijelo odredilo u skladu s </w:t>
            </w:r>
            <w:r>
              <w:rPr>
                <w:rFonts w:ascii="Times New Roman" w:hAnsi="Times New Roman"/>
                <w:sz w:val="24"/>
              </w:rPr>
              <w:lastRenderedPageBreak/>
              <w:t>člankom 104. stavkom 1. točkom (a) CRD-a, koji mora biti ispunjen osnovnim kapitalom u skladu s člankom 104.a stavkom 4. prvim i trećim podstavkom.</w:t>
            </w:r>
          </w:p>
        </w:tc>
      </w:tr>
      <w:tr w:rsidR="002D5755" w:rsidRPr="007F4CC8" w14:paraId="4D2E0DD8" w14:textId="77777777" w:rsidTr="00B2180A">
        <w:trPr>
          <w:trHeight w:val="557"/>
        </w:trPr>
        <w:tc>
          <w:tcPr>
            <w:tcW w:w="1384" w:type="dxa"/>
          </w:tcPr>
          <w:p w14:paraId="25E29F71" w14:textId="77777777" w:rsidR="002D5755" w:rsidRPr="007F4CC8" w:rsidRDefault="002F1302" w:rsidP="002D5755">
            <w:pPr>
              <w:pStyle w:val="Applicationdirecte"/>
              <w:spacing w:before="60"/>
              <w:jc w:val="center"/>
            </w:pPr>
            <w:r>
              <w:lastRenderedPageBreak/>
              <w:t>EU 7d</w:t>
            </w:r>
          </w:p>
        </w:tc>
        <w:tc>
          <w:tcPr>
            <w:tcW w:w="7655" w:type="dxa"/>
          </w:tcPr>
          <w:p w14:paraId="020B8334" w14:textId="77777777" w:rsidR="002D5755" w:rsidRPr="00716CBE" w:rsidRDefault="002D5755" w:rsidP="002D5755">
            <w:pPr>
              <w:spacing w:before="60" w:after="120"/>
              <w:jc w:val="both"/>
              <w:rPr>
                <w:rFonts w:ascii="Times New Roman" w:hAnsi="Times New Roman" w:cs="Times New Roman"/>
                <w:b/>
                <w:sz w:val="24"/>
              </w:rPr>
            </w:pPr>
            <w:r>
              <w:rPr>
                <w:rFonts w:ascii="Times New Roman" w:hAnsi="Times New Roman"/>
                <w:b/>
                <w:sz w:val="24"/>
              </w:rPr>
              <w:t>Ukupni kapitalni zahtjevi u okviru SREP-a (stopa ukupnog kapitalnog zahtjeva – TSCR) (%)</w:t>
            </w:r>
          </w:p>
          <w:p w14:paraId="0EB50A81" w14:textId="77CE0E9A" w:rsidR="003F72E2" w:rsidRPr="007F4CC8" w:rsidRDefault="003F72E2" w:rsidP="00702A38">
            <w:pPr>
              <w:pStyle w:val="InstructionsText"/>
            </w:pPr>
            <w:r>
              <w:t>Zbroj vrijednosti u točkama i. i ii. određuje se kako slijedi:</w:t>
            </w:r>
          </w:p>
          <w:p w14:paraId="5260BB93" w14:textId="4398EAAF" w:rsidR="003F72E2" w:rsidRPr="007F4CC8" w:rsidRDefault="003F72E2" w:rsidP="00702A38">
            <w:pPr>
              <w:pStyle w:val="InstructionsText"/>
              <w:numPr>
                <w:ilvl w:val="0"/>
                <w:numId w:val="11"/>
              </w:numPr>
            </w:pPr>
            <w:r>
              <w:t xml:space="preserve">stopa ukupnog kapitala (8 %) kako je određena u članku 92. stavku 1. točki (c) CRR-a; </w:t>
            </w:r>
          </w:p>
          <w:p w14:paraId="6408D689" w14:textId="0479FF8E" w:rsidR="003F72E2" w:rsidRPr="007F4CC8" w:rsidRDefault="003F72E2" w:rsidP="00702A38">
            <w:pPr>
              <w:pStyle w:val="InstructionsText"/>
              <w:numPr>
                <w:ilvl w:val="0"/>
                <w:numId w:val="11"/>
              </w:numPr>
            </w:pPr>
            <w:r>
              <w:t xml:space="preserve">dodatni kapitalni zahtjevi za upravljanje rizicima koji nisu rizik prekomjerne financijske poluge (zahtjevi iz stupa 2. – P2R) koje je nadležno tijelo odredilo u skladu s člankom 104. stavkom 1. točkom (a) CRD-a, a određuju se u skladu s kriterijima iz </w:t>
            </w:r>
            <w:r>
              <w:rPr>
                <w:i/>
              </w:rPr>
              <w:t>Smjernica EBA-e o zajedničkim postupcima i metodologijama za postupak nadzorne provjere i ocjene i nadzorno testiranje otpornosti na stres</w:t>
            </w:r>
            <w:r>
              <w:rPr>
                <w:rStyle w:val="FootnoteReference"/>
                <w:i/>
              </w:rPr>
              <w:footnoteReference w:id="3"/>
            </w:r>
            <w:r>
              <w:t xml:space="preserve"> („EBA SREP GL”), izraženi kao postotak od ukupnih iznosa RWEA.</w:t>
            </w:r>
          </w:p>
          <w:p w14:paraId="421B2155" w14:textId="77777777" w:rsidR="003F72E2" w:rsidRPr="007F4CC8" w:rsidRDefault="003F72E2" w:rsidP="00702A38">
            <w:pPr>
              <w:pStyle w:val="InstructionsText"/>
            </w:pPr>
            <w:r>
              <w:t>U ovoj se stavci navodi stopa ukupnog kapitalnog zahtjeva (TSCR) u okviru SREP-a o kojoj je nadležno tijelo izvijestilo instituciju. TSCR u okviru SREP-a definiran je u odjeljku 1.2. EBA-inih smjernica EBA SREP GL.</w:t>
            </w:r>
          </w:p>
          <w:p w14:paraId="25DA925F" w14:textId="0EFC8094" w:rsidR="003F72E2" w:rsidRPr="007F4CC8" w:rsidRDefault="00704085" w:rsidP="00A239F6">
            <w:pPr>
              <w:spacing w:before="60" w:after="120"/>
              <w:jc w:val="both"/>
              <w:rPr>
                <w:rFonts w:ascii="Times New Roman" w:hAnsi="Times New Roman" w:cs="Times New Roman"/>
                <w:sz w:val="24"/>
              </w:rPr>
            </w:pPr>
            <w:r>
              <w:rPr>
                <w:rFonts w:ascii="Times New Roman" w:hAnsi="Times New Roman"/>
                <w:sz w:val="24"/>
              </w:rPr>
              <w:t>Ako nadležno tijelo nije izvijestilo instituciju o dodatnim kapitalnim zahtjevima za upravljanje rizicima koji nisu rizik prekomjerne financijske poluge, objavljuje se samo točka i.</w:t>
            </w:r>
          </w:p>
        </w:tc>
      </w:tr>
      <w:tr w:rsidR="00475381" w:rsidRPr="007F4CC8" w14:paraId="7516E1D9" w14:textId="77777777" w:rsidTr="00B2180A">
        <w:trPr>
          <w:trHeight w:val="557"/>
        </w:trPr>
        <w:tc>
          <w:tcPr>
            <w:tcW w:w="1384" w:type="dxa"/>
          </w:tcPr>
          <w:p w14:paraId="7AD5EE4F" w14:textId="77777777" w:rsidR="00475381" w:rsidRPr="007F4CC8" w:rsidRDefault="00475381" w:rsidP="00475381">
            <w:pPr>
              <w:pStyle w:val="Applicationdirecte"/>
              <w:spacing w:before="60"/>
              <w:jc w:val="center"/>
            </w:pPr>
            <w:r>
              <w:t>8</w:t>
            </w:r>
          </w:p>
        </w:tc>
        <w:tc>
          <w:tcPr>
            <w:tcW w:w="7655" w:type="dxa"/>
          </w:tcPr>
          <w:p w14:paraId="7C243A8A" w14:textId="77777777" w:rsidR="009D0637"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Zaštitni sloj za očuvanje kapitala (%)</w:t>
            </w:r>
          </w:p>
          <w:p w14:paraId="14E6CB6D" w14:textId="36938F73" w:rsidR="009D0637" w:rsidRPr="007F4CC8" w:rsidRDefault="009D0637" w:rsidP="00702A38">
            <w:pPr>
              <w:spacing w:before="60" w:after="120"/>
              <w:jc w:val="both"/>
              <w:rPr>
                <w:rFonts w:ascii="Times New Roman" w:hAnsi="Times New Roman" w:cs="Times New Roman"/>
                <w:sz w:val="24"/>
              </w:rPr>
            </w:pPr>
            <w:r>
              <w:rPr>
                <w:rFonts w:ascii="Times New Roman" w:hAnsi="Times New Roman"/>
                <w:sz w:val="24"/>
              </w:rPr>
              <w:t>Iznos regulatornog kapitala koji su institucije dužne održavati u skladu s člankom 128. stavkom 1. i člankom 129. CRD-a, izraženo kao postotak od ukupnih iznosa RWEA.</w:t>
            </w:r>
          </w:p>
        </w:tc>
      </w:tr>
      <w:tr w:rsidR="00475381" w:rsidRPr="007F4CC8" w14:paraId="7AFB85EC" w14:textId="77777777" w:rsidTr="00B2180A">
        <w:trPr>
          <w:trHeight w:val="557"/>
        </w:trPr>
        <w:tc>
          <w:tcPr>
            <w:tcW w:w="1384" w:type="dxa"/>
          </w:tcPr>
          <w:p w14:paraId="09E32617" w14:textId="77777777" w:rsidR="00475381" w:rsidRPr="007F4CC8" w:rsidRDefault="002F1302" w:rsidP="00475381">
            <w:pPr>
              <w:pStyle w:val="Applicationdirecte"/>
              <w:spacing w:before="60"/>
              <w:jc w:val="center"/>
            </w:pPr>
            <w:r>
              <w:t>EU 8a</w:t>
            </w:r>
          </w:p>
        </w:tc>
        <w:tc>
          <w:tcPr>
            <w:tcW w:w="7655" w:type="dxa"/>
          </w:tcPr>
          <w:p w14:paraId="6A38F554"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 xml:space="preserve">Zaštitni sloj za očuvanje kapitala zbog </w:t>
            </w:r>
            <w:proofErr w:type="spellStart"/>
            <w:r>
              <w:rPr>
                <w:rFonts w:ascii="Times New Roman" w:hAnsi="Times New Roman"/>
                <w:b/>
                <w:sz w:val="24"/>
              </w:rPr>
              <w:t>makrobonitetnog</w:t>
            </w:r>
            <w:proofErr w:type="spellEnd"/>
            <w:r>
              <w:rPr>
                <w:rFonts w:ascii="Times New Roman" w:hAnsi="Times New Roman"/>
                <w:b/>
                <w:sz w:val="24"/>
              </w:rPr>
              <w:t xml:space="preserve"> ili sistemskog rizika utvrđenog na razini države članice (%)</w:t>
            </w:r>
          </w:p>
          <w:p w14:paraId="26288177" w14:textId="55F2EEFD" w:rsidR="009D0637" w:rsidRPr="007F4CC8" w:rsidRDefault="009D0637" w:rsidP="0097538A">
            <w:pPr>
              <w:spacing w:before="60" w:after="120"/>
              <w:jc w:val="both"/>
              <w:rPr>
                <w:rFonts w:ascii="Times New Roman" w:hAnsi="Times New Roman" w:cs="Times New Roman"/>
                <w:sz w:val="24"/>
              </w:rPr>
            </w:pPr>
            <w:r>
              <w:rPr>
                <w:rFonts w:ascii="Times New Roman" w:hAnsi="Times New Roman"/>
                <w:sz w:val="24"/>
              </w:rPr>
              <w:t xml:space="preserve">Iznos zaštitnog sloja za očuvanje kapitala zbog </w:t>
            </w:r>
            <w:proofErr w:type="spellStart"/>
            <w:r>
              <w:rPr>
                <w:rFonts w:ascii="Times New Roman" w:hAnsi="Times New Roman"/>
                <w:sz w:val="24"/>
              </w:rPr>
              <w:t>makrobonitetnog</w:t>
            </w:r>
            <w:proofErr w:type="spellEnd"/>
            <w:r>
              <w:rPr>
                <w:rFonts w:ascii="Times New Roman" w:hAnsi="Times New Roman"/>
                <w:sz w:val="24"/>
              </w:rPr>
              <w:t xml:space="preserve"> ili sistemskog rizika utvrđenog na razini države članice koji se može zatražiti u skladu s člankom 458. CRR-a uz zaštitni sloj za očuvanje kapitala, izraženo kao postotak od ukupnih iznosa RWEA.</w:t>
            </w:r>
          </w:p>
        </w:tc>
      </w:tr>
      <w:tr w:rsidR="00475381" w:rsidRPr="007F4CC8" w14:paraId="08946B6B" w14:textId="77777777" w:rsidTr="00B2180A">
        <w:trPr>
          <w:trHeight w:val="557"/>
        </w:trPr>
        <w:tc>
          <w:tcPr>
            <w:tcW w:w="1384" w:type="dxa"/>
          </w:tcPr>
          <w:p w14:paraId="1E4DAAD1" w14:textId="77777777" w:rsidR="00475381" w:rsidRPr="007F4CC8" w:rsidRDefault="00475381" w:rsidP="00475381">
            <w:pPr>
              <w:pStyle w:val="Applicationdirecte"/>
              <w:spacing w:before="60"/>
              <w:jc w:val="center"/>
            </w:pPr>
            <w:r>
              <w:t>9</w:t>
            </w:r>
          </w:p>
        </w:tc>
        <w:tc>
          <w:tcPr>
            <w:tcW w:w="7655" w:type="dxa"/>
          </w:tcPr>
          <w:p w14:paraId="249EE5F9" w14:textId="77777777" w:rsidR="00475381" w:rsidRPr="00716CBE" w:rsidRDefault="00475381" w:rsidP="00475381">
            <w:pPr>
              <w:spacing w:before="60" w:after="120"/>
              <w:jc w:val="both"/>
              <w:rPr>
                <w:rFonts w:ascii="Times New Roman" w:hAnsi="Times New Roman" w:cs="Times New Roman"/>
                <w:b/>
                <w:sz w:val="24"/>
              </w:rPr>
            </w:pPr>
            <w:proofErr w:type="spellStart"/>
            <w:r>
              <w:rPr>
                <w:rFonts w:ascii="Times New Roman" w:hAnsi="Times New Roman"/>
                <w:b/>
                <w:sz w:val="24"/>
              </w:rPr>
              <w:t>Protuciklički</w:t>
            </w:r>
            <w:proofErr w:type="spellEnd"/>
            <w:r>
              <w:rPr>
                <w:rFonts w:ascii="Times New Roman" w:hAnsi="Times New Roman"/>
                <w:b/>
                <w:sz w:val="24"/>
              </w:rPr>
              <w:t xml:space="preserve"> zaštitni sloj kapitala specifičan za instituciju (%)</w:t>
            </w:r>
          </w:p>
          <w:p w14:paraId="7EE95752" w14:textId="6C1631A4" w:rsidR="008C672C" w:rsidRPr="007F4CC8" w:rsidRDefault="008C672C" w:rsidP="00702A38">
            <w:pPr>
              <w:pStyle w:val="InstructionsText"/>
            </w:pPr>
            <w:r>
              <w:t>Iznos regulatornog kapitala koji su institucije dužne održavati u skladu s člankom 128. stavkom 2., člankom 130. i člancima od 135. do 140. CRD-a, izraženo kao postotak od ukupnih iznosa RWEA.</w:t>
            </w:r>
          </w:p>
          <w:p w14:paraId="58C7EB22" w14:textId="2947DC9F" w:rsidR="008C672C" w:rsidRPr="007F4CC8" w:rsidRDefault="008C672C" w:rsidP="002635C4">
            <w:pPr>
              <w:spacing w:before="60" w:after="120"/>
              <w:jc w:val="both"/>
              <w:rPr>
                <w:rFonts w:ascii="Times New Roman" w:hAnsi="Times New Roman" w:cs="Times New Roman"/>
                <w:sz w:val="24"/>
              </w:rPr>
            </w:pPr>
            <w:r>
              <w:rPr>
                <w:rFonts w:ascii="Times New Roman" w:hAnsi="Times New Roman"/>
                <w:sz w:val="24"/>
              </w:rPr>
              <w:t>Taj postotak odražava iznos regulatornog kapitala koji je potreban za ispunjenje odgovarajućih zahtjeva za zaštitni sloj kapitala na datum objave.</w:t>
            </w:r>
          </w:p>
        </w:tc>
      </w:tr>
      <w:tr w:rsidR="00475381" w:rsidRPr="007F4CC8" w14:paraId="5668949F" w14:textId="77777777" w:rsidTr="00B2180A">
        <w:trPr>
          <w:trHeight w:val="557"/>
        </w:trPr>
        <w:tc>
          <w:tcPr>
            <w:tcW w:w="1384" w:type="dxa"/>
          </w:tcPr>
          <w:p w14:paraId="40E9A935" w14:textId="77777777" w:rsidR="00475381" w:rsidRPr="007F4CC8" w:rsidRDefault="002F1302" w:rsidP="00475381">
            <w:pPr>
              <w:pStyle w:val="Applicationdirecte"/>
              <w:spacing w:before="60"/>
              <w:jc w:val="center"/>
            </w:pPr>
            <w:r>
              <w:t>EU 9a</w:t>
            </w:r>
          </w:p>
        </w:tc>
        <w:tc>
          <w:tcPr>
            <w:tcW w:w="7655" w:type="dxa"/>
          </w:tcPr>
          <w:p w14:paraId="5F0D3F14"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Zaštitni sloj za sistemski rizik (%)</w:t>
            </w:r>
          </w:p>
          <w:p w14:paraId="1A39C087" w14:textId="127435F7" w:rsidR="008C672C" w:rsidRPr="007F4CC8" w:rsidRDefault="008C672C" w:rsidP="00702A38">
            <w:pPr>
              <w:pStyle w:val="InstructionsText"/>
            </w:pPr>
            <w:r>
              <w:lastRenderedPageBreak/>
              <w:t>Iznos regulatornog kapitala koji su institucije dužne održavati u skladu s člankom 128. stavkom 5., člancima 133. i 134. CRD-a, izraženo kao postotak od ukupnih iznosa RWEA.</w:t>
            </w:r>
          </w:p>
          <w:p w14:paraId="349BC1DA" w14:textId="39EEC453" w:rsidR="008C672C" w:rsidRPr="007F4CC8" w:rsidRDefault="008C672C" w:rsidP="002635C4">
            <w:pPr>
              <w:spacing w:before="60" w:after="120"/>
              <w:jc w:val="both"/>
              <w:rPr>
                <w:rFonts w:ascii="Times New Roman" w:hAnsi="Times New Roman" w:cs="Times New Roman"/>
                <w:sz w:val="24"/>
              </w:rPr>
            </w:pPr>
            <w:r>
              <w:rPr>
                <w:rFonts w:ascii="Times New Roman" w:hAnsi="Times New Roman"/>
                <w:sz w:val="24"/>
              </w:rPr>
              <w:t>Taj postotak odražava iznos regulatornog kapitala koji je potreban za ispunjenje odgovarajućih zahtjeva za zaštitni sloj kapitala na datum objave.</w:t>
            </w:r>
          </w:p>
        </w:tc>
      </w:tr>
      <w:tr w:rsidR="00475381" w:rsidRPr="007F4CC8" w14:paraId="7ED5CB15" w14:textId="77777777" w:rsidTr="00B2180A">
        <w:trPr>
          <w:trHeight w:val="557"/>
        </w:trPr>
        <w:tc>
          <w:tcPr>
            <w:tcW w:w="1384" w:type="dxa"/>
          </w:tcPr>
          <w:p w14:paraId="051A7C18" w14:textId="77777777" w:rsidR="00475381" w:rsidRPr="007F4CC8" w:rsidRDefault="00475381" w:rsidP="00475381">
            <w:pPr>
              <w:pStyle w:val="Applicationdirecte"/>
              <w:spacing w:before="60"/>
              <w:jc w:val="center"/>
            </w:pPr>
            <w:r>
              <w:lastRenderedPageBreak/>
              <w:t>10</w:t>
            </w:r>
          </w:p>
        </w:tc>
        <w:tc>
          <w:tcPr>
            <w:tcW w:w="7655" w:type="dxa"/>
          </w:tcPr>
          <w:p w14:paraId="64176082"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Zaštitni sloj za globalnu sistemski važnu instituciju (%)</w:t>
            </w:r>
          </w:p>
          <w:p w14:paraId="6FDE597A" w14:textId="3100067E" w:rsidR="00F16314" w:rsidRPr="007F4CC8" w:rsidRDefault="00F16314" w:rsidP="00702A38">
            <w:pPr>
              <w:pStyle w:val="InstructionsText"/>
            </w:pPr>
            <w:r>
              <w:t>Iznos regulatornog kapitala koji su institucije dužne održavati u skladu s člankom 128. stavkom 3. i člankom 131. CRD-a, izraženo kao postotak od ukupnih iznosa RWEA.</w:t>
            </w:r>
          </w:p>
          <w:p w14:paraId="401B9FFF" w14:textId="0D3B7616" w:rsidR="00F16314" w:rsidRPr="007F4CC8" w:rsidRDefault="00F16314" w:rsidP="002635C4">
            <w:pPr>
              <w:spacing w:before="60" w:after="120"/>
              <w:jc w:val="both"/>
              <w:rPr>
                <w:rFonts w:ascii="Times New Roman" w:hAnsi="Times New Roman" w:cs="Times New Roman"/>
                <w:sz w:val="24"/>
              </w:rPr>
            </w:pPr>
            <w:r>
              <w:rPr>
                <w:rFonts w:ascii="Times New Roman" w:hAnsi="Times New Roman"/>
                <w:sz w:val="24"/>
              </w:rPr>
              <w:t>Taj postotak odražava iznos regulatornog kapitala koji je potreban za ispunjenje odgovarajućih zahtjeva za zaštitni sloj kapitala na datum objave.</w:t>
            </w:r>
          </w:p>
        </w:tc>
      </w:tr>
      <w:tr w:rsidR="00BB2F0A" w:rsidRPr="007F4CC8" w14:paraId="4FAC19E0" w14:textId="77777777" w:rsidTr="00B2180A">
        <w:trPr>
          <w:trHeight w:val="557"/>
        </w:trPr>
        <w:tc>
          <w:tcPr>
            <w:tcW w:w="1384" w:type="dxa"/>
          </w:tcPr>
          <w:p w14:paraId="6ADCCF79" w14:textId="77777777" w:rsidR="00BB2F0A" w:rsidRPr="007F4CC8" w:rsidRDefault="002F1302" w:rsidP="00BB2F0A">
            <w:pPr>
              <w:pStyle w:val="Applicationdirecte"/>
              <w:spacing w:before="60"/>
              <w:jc w:val="center"/>
            </w:pPr>
            <w:r>
              <w:t>EU 10a</w:t>
            </w:r>
          </w:p>
        </w:tc>
        <w:tc>
          <w:tcPr>
            <w:tcW w:w="7655" w:type="dxa"/>
          </w:tcPr>
          <w:p w14:paraId="3410560F"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Zaštitni sloj za ostale sistemski važne institucije (%)</w:t>
            </w:r>
          </w:p>
          <w:p w14:paraId="71C25616" w14:textId="18E98871" w:rsidR="00F16314" w:rsidRPr="007F4CC8" w:rsidRDefault="00F16314" w:rsidP="00F16314">
            <w:pPr>
              <w:spacing w:before="60" w:after="120"/>
              <w:jc w:val="both"/>
              <w:rPr>
                <w:rFonts w:ascii="Times New Roman" w:hAnsi="Times New Roman" w:cs="Times New Roman"/>
                <w:sz w:val="24"/>
              </w:rPr>
            </w:pPr>
            <w:r>
              <w:rPr>
                <w:rFonts w:ascii="Times New Roman" w:hAnsi="Times New Roman"/>
                <w:sz w:val="24"/>
              </w:rPr>
              <w:t>Iznos regulatornog kapitala koji su institucije dužne održavati u skladu s člankom 128. stavkom 4. i člankom 131. CRD-a, izraženo kao postotak od ukupnih iznosa RWEA.</w:t>
            </w:r>
          </w:p>
          <w:p w14:paraId="476D85A0" w14:textId="40C01166" w:rsidR="00F16314" w:rsidRPr="007F4CC8" w:rsidRDefault="00F16314" w:rsidP="002635C4">
            <w:pPr>
              <w:spacing w:before="60" w:after="120"/>
              <w:jc w:val="both"/>
              <w:rPr>
                <w:rFonts w:ascii="Times New Roman" w:hAnsi="Times New Roman" w:cs="Times New Roman"/>
                <w:sz w:val="24"/>
              </w:rPr>
            </w:pPr>
            <w:r>
              <w:rPr>
                <w:rFonts w:ascii="Times New Roman" w:hAnsi="Times New Roman"/>
                <w:sz w:val="24"/>
              </w:rPr>
              <w:t>Taj postotak odražava iznos regulatornog kapitala koji je potreban za ispunjenje odgovarajućih zahtjeva za zaštitni sloj kapitala na datum objave.</w:t>
            </w:r>
          </w:p>
        </w:tc>
      </w:tr>
      <w:tr w:rsidR="00BB2F0A" w:rsidRPr="007F4CC8" w14:paraId="5C215ABD" w14:textId="77777777" w:rsidTr="00B2180A">
        <w:trPr>
          <w:trHeight w:val="557"/>
        </w:trPr>
        <w:tc>
          <w:tcPr>
            <w:tcW w:w="1384" w:type="dxa"/>
          </w:tcPr>
          <w:p w14:paraId="18697C8C" w14:textId="77777777" w:rsidR="00BB2F0A" w:rsidRPr="007F4CC8" w:rsidRDefault="00BB2F0A" w:rsidP="00BB2F0A">
            <w:pPr>
              <w:pStyle w:val="Applicationdirecte"/>
              <w:spacing w:before="60"/>
              <w:jc w:val="center"/>
            </w:pPr>
            <w:r>
              <w:t>11</w:t>
            </w:r>
          </w:p>
        </w:tc>
        <w:tc>
          <w:tcPr>
            <w:tcW w:w="7655" w:type="dxa"/>
          </w:tcPr>
          <w:p w14:paraId="21DBB5FE"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Zahtjev za kombinirani zaštitni sloj (%)</w:t>
            </w:r>
          </w:p>
          <w:p w14:paraId="04E18E6B" w14:textId="0BAE37E2" w:rsidR="00F16314" w:rsidRPr="007F4CC8" w:rsidRDefault="009D10AD" w:rsidP="00A239F6">
            <w:pPr>
              <w:spacing w:before="60" w:after="120"/>
              <w:jc w:val="both"/>
              <w:rPr>
                <w:rFonts w:ascii="Times New Roman" w:hAnsi="Times New Roman" w:cs="Times New Roman"/>
                <w:sz w:val="24"/>
              </w:rPr>
            </w:pPr>
            <w:r>
              <w:rPr>
                <w:rFonts w:ascii="Times New Roman" w:hAnsi="Times New Roman"/>
                <w:sz w:val="24"/>
              </w:rPr>
              <w:t>U skladu s člankom 128. točkom (6) CRD-a, izraženo kao postotak od ukupnih iznosa RWEA.</w:t>
            </w:r>
          </w:p>
        </w:tc>
      </w:tr>
      <w:tr w:rsidR="00BB2F0A" w:rsidRPr="007F4CC8" w14:paraId="699D0388" w14:textId="77777777" w:rsidTr="00B2180A">
        <w:trPr>
          <w:trHeight w:val="557"/>
        </w:trPr>
        <w:tc>
          <w:tcPr>
            <w:tcW w:w="1384" w:type="dxa"/>
          </w:tcPr>
          <w:p w14:paraId="06A2E386" w14:textId="77777777" w:rsidR="00BB2F0A" w:rsidRPr="007F4CC8" w:rsidRDefault="002F1302" w:rsidP="00BB2F0A">
            <w:pPr>
              <w:pStyle w:val="Applicationdirecte"/>
              <w:spacing w:before="60"/>
              <w:jc w:val="center"/>
            </w:pPr>
            <w:r>
              <w:t>EU 11a</w:t>
            </w:r>
          </w:p>
        </w:tc>
        <w:tc>
          <w:tcPr>
            <w:tcW w:w="7655" w:type="dxa"/>
          </w:tcPr>
          <w:p w14:paraId="31FF3D82"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Sveukupni kapitalni zahtjevi (OCR) (%)</w:t>
            </w:r>
          </w:p>
          <w:p w14:paraId="27E7760D" w14:textId="77777777" w:rsidR="003F72E2" w:rsidRPr="007F4CC8" w:rsidRDefault="003F72E2" w:rsidP="00702A38">
            <w:pPr>
              <w:pStyle w:val="InstructionsText"/>
            </w:pPr>
            <w:r>
              <w:t>Zbroj i. i ii. određuje se kako slijedi:</w:t>
            </w:r>
          </w:p>
          <w:p w14:paraId="75A891AF" w14:textId="77777777" w:rsidR="003F72E2" w:rsidRPr="007F4CC8" w:rsidRDefault="003F72E2" w:rsidP="00702A38">
            <w:pPr>
              <w:pStyle w:val="InstructionsText"/>
              <w:numPr>
                <w:ilvl w:val="0"/>
                <w:numId w:val="12"/>
              </w:numPr>
            </w:pPr>
            <w:r>
              <w:t>stopa ukupnog kapitalnog zahtjeva u okviru SREP-a iz retka EU 7d;</w:t>
            </w:r>
          </w:p>
          <w:p w14:paraId="5EE9D2EB" w14:textId="3AB53BE2" w:rsidR="003F72E2" w:rsidRPr="007F4CC8" w:rsidRDefault="003F72E2" w:rsidP="00702A38">
            <w:pPr>
              <w:pStyle w:val="InstructionsText"/>
              <w:numPr>
                <w:ilvl w:val="0"/>
                <w:numId w:val="12"/>
              </w:numPr>
            </w:pPr>
            <w:r>
              <w:t>u mjeri u kojoj je to pravno primjenjivo, stopa zahtjeva za kombinirani zaštitni sloj iz članka 128. točke 6. CRD-a.</w:t>
            </w:r>
          </w:p>
          <w:p w14:paraId="4B4D7463" w14:textId="52E60BF7" w:rsidR="003F72E2" w:rsidRPr="007F4CC8" w:rsidRDefault="003F72E2" w:rsidP="00702A38">
            <w:pPr>
              <w:pStyle w:val="InstructionsText"/>
            </w:pPr>
            <w:r>
              <w:t>U ovoj se stavci navodi stopa sveukupnog kapitalnog zahtjeva kako je definirana u odjeljku 1.2. EBA-inih smjernica SREP GL.</w:t>
            </w:r>
          </w:p>
          <w:p w14:paraId="7576CCD5" w14:textId="5E65E58F" w:rsidR="003F72E2" w:rsidRPr="007F4CC8" w:rsidRDefault="00704085" w:rsidP="003F72E2">
            <w:pPr>
              <w:spacing w:before="60" w:after="120"/>
              <w:jc w:val="both"/>
              <w:rPr>
                <w:rFonts w:ascii="Times New Roman" w:hAnsi="Times New Roman" w:cs="Times New Roman"/>
                <w:sz w:val="24"/>
              </w:rPr>
            </w:pPr>
            <w:r>
              <w:rPr>
                <w:rFonts w:ascii="Times New Roman" w:hAnsi="Times New Roman"/>
                <w:sz w:val="24"/>
              </w:rPr>
              <w:t>Ako se ne primjenjuje zahtjev za zaštitni sloj, objavljuje se samo točka i.</w:t>
            </w:r>
          </w:p>
        </w:tc>
      </w:tr>
      <w:tr w:rsidR="00BB2F0A" w:rsidRPr="007F4CC8" w14:paraId="0C274874" w14:textId="77777777" w:rsidTr="00B2180A">
        <w:trPr>
          <w:trHeight w:val="557"/>
        </w:trPr>
        <w:tc>
          <w:tcPr>
            <w:tcW w:w="1384" w:type="dxa"/>
          </w:tcPr>
          <w:p w14:paraId="479D77DC" w14:textId="77777777" w:rsidR="00BB2F0A" w:rsidRPr="007F4CC8" w:rsidRDefault="00BB2F0A" w:rsidP="00BB2F0A">
            <w:pPr>
              <w:pStyle w:val="Applicationdirecte"/>
              <w:spacing w:before="60"/>
              <w:jc w:val="center"/>
            </w:pPr>
            <w:r>
              <w:t>12</w:t>
            </w:r>
          </w:p>
        </w:tc>
        <w:tc>
          <w:tcPr>
            <w:tcW w:w="7655" w:type="dxa"/>
          </w:tcPr>
          <w:p w14:paraId="7F0C0BA2" w14:textId="77777777" w:rsidR="009947D6"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Dostupni redovni osnovni kapital nakon ukupnih kapitalnih zahtjeva u okviru SREP-a (%)</w:t>
            </w:r>
          </w:p>
        </w:tc>
      </w:tr>
      <w:tr w:rsidR="00BB2F0A" w:rsidRPr="007F4CC8" w14:paraId="49BB5E23" w14:textId="77777777" w:rsidTr="00B2180A">
        <w:trPr>
          <w:trHeight w:val="557"/>
        </w:trPr>
        <w:tc>
          <w:tcPr>
            <w:tcW w:w="1384" w:type="dxa"/>
          </w:tcPr>
          <w:p w14:paraId="5A1354B1" w14:textId="77777777" w:rsidR="00BB2F0A" w:rsidRPr="007F4CC8" w:rsidRDefault="00BB2F0A" w:rsidP="00BB2F0A">
            <w:pPr>
              <w:pStyle w:val="Applicationdirecte"/>
              <w:spacing w:before="60"/>
              <w:jc w:val="center"/>
            </w:pPr>
            <w:r>
              <w:t>13</w:t>
            </w:r>
          </w:p>
        </w:tc>
        <w:tc>
          <w:tcPr>
            <w:tcW w:w="7655" w:type="dxa"/>
          </w:tcPr>
          <w:p w14:paraId="32A5003D" w14:textId="06248F32" w:rsidR="00BB2F0A" w:rsidRPr="00906A17" w:rsidRDefault="002E24A1" w:rsidP="00BB2F0A">
            <w:pPr>
              <w:spacing w:before="60" w:after="120"/>
              <w:jc w:val="both"/>
              <w:rPr>
                <w:rFonts w:ascii="Times New Roman" w:hAnsi="Times New Roman" w:cs="Times New Roman"/>
                <w:b/>
                <w:sz w:val="24"/>
              </w:rPr>
            </w:pPr>
            <w:r>
              <w:rPr>
                <w:rFonts w:ascii="Times New Roman" w:hAnsi="Times New Roman"/>
                <w:b/>
                <w:sz w:val="24"/>
              </w:rPr>
              <w:t>Mjera ukupne izloženosti</w:t>
            </w:r>
          </w:p>
          <w:p w14:paraId="7F06FA40" w14:textId="489324E9" w:rsidR="00BB2F0A" w:rsidRPr="007F4CC8" w:rsidRDefault="00A239F6" w:rsidP="00A239F6">
            <w:pPr>
              <w:spacing w:before="60" w:after="120"/>
              <w:jc w:val="both"/>
              <w:rPr>
                <w:rFonts w:ascii="Times New Roman" w:hAnsi="Times New Roman" w:cs="Times New Roman"/>
                <w:sz w:val="24"/>
              </w:rPr>
            </w:pPr>
            <w:r>
              <w:rPr>
                <w:rFonts w:ascii="Times New Roman" w:hAnsi="Times New Roman"/>
                <w:sz w:val="24"/>
              </w:rPr>
              <w:t xml:space="preserve">Mjera ukupne izloženosti u skladu s iznosom koji institucije objavljuju u Prilogu XI. ovoj Provedbenoj uredbi (redak 24 obrasca EU LR2 - </w:t>
            </w:r>
            <w:proofErr w:type="spellStart"/>
            <w:r>
              <w:rPr>
                <w:rFonts w:ascii="Times New Roman" w:hAnsi="Times New Roman"/>
                <w:sz w:val="24"/>
              </w:rPr>
              <w:t>LRCom</w:t>
            </w:r>
            <w:proofErr w:type="spellEnd"/>
            <w:r>
              <w:rPr>
                <w:rFonts w:ascii="Times New Roman" w:hAnsi="Times New Roman"/>
                <w:sz w:val="24"/>
              </w:rPr>
              <w:t>: Zajednička objava omjera financijske poluge)</w:t>
            </w:r>
          </w:p>
        </w:tc>
      </w:tr>
      <w:tr w:rsidR="00BB2F0A" w:rsidRPr="007F4CC8" w14:paraId="196409C3" w14:textId="77777777" w:rsidTr="00B2180A">
        <w:trPr>
          <w:trHeight w:val="557"/>
        </w:trPr>
        <w:tc>
          <w:tcPr>
            <w:tcW w:w="1384" w:type="dxa"/>
          </w:tcPr>
          <w:p w14:paraId="34174C57" w14:textId="77777777" w:rsidR="00BB2F0A" w:rsidRPr="007F4CC8" w:rsidRDefault="00BB2F0A" w:rsidP="00BB2F0A">
            <w:pPr>
              <w:pStyle w:val="Applicationdirecte"/>
              <w:spacing w:before="60"/>
              <w:jc w:val="center"/>
            </w:pPr>
            <w:r>
              <w:t>14</w:t>
            </w:r>
          </w:p>
        </w:tc>
        <w:tc>
          <w:tcPr>
            <w:tcW w:w="7655" w:type="dxa"/>
          </w:tcPr>
          <w:p w14:paraId="7CD88775"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Omjer financijske poluge (%)</w:t>
            </w:r>
          </w:p>
          <w:p w14:paraId="19D19C40" w14:textId="09D573EF" w:rsidR="00BB2F0A" w:rsidRPr="007F4CC8" w:rsidRDefault="00BB2F0A" w:rsidP="00416DAD">
            <w:pPr>
              <w:spacing w:before="60" w:after="120"/>
              <w:jc w:val="both"/>
              <w:rPr>
                <w:rFonts w:ascii="Times New Roman" w:hAnsi="Times New Roman" w:cs="Times New Roman"/>
                <w:color w:val="FF0000"/>
                <w:sz w:val="24"/>
              </w:rPr>
            </w:pPr>
            <w:r>
              <w:rPr>
                <w:rFonts w:ascii="Times New Roman" w:hAnsi="Times New Roman"/>
                <w:sz w:val="24"/>
              </w:rPr>
              <w:lastRenderedPageBreak/>
              <w:t xml:space="preserve">Omjer financijske poluge u skladu s vrijednošću koju institucije objavljuju u Prilogu XI. ovoj Provedbenoj uredbi (redak 25 obrasca EU LR2 - </w:t>
            </w:r>
            <w:proofErr w:type="spellStart"/>
            <w:r>
              <w:rPr>
                <w:rFonts w:ascii="Times New Roman" w:hAnsi="Times New Roman"/>
                <w:sz w:val="24"/>
              </w:rPr>
              <w:t>LRCom</w:t>
            </w:r>
            <w:proofErr w:type="spellEnd"/>
            <w:r>
              <w:rPr>
                <w:rFonts w:ascii="Times New Roman" w:hAnsi="Times New Roman"/>
                <w:sz w:val="24"/>
              </w:rPr>
              <w:t>: Zajednička objava omjera financijske poluge)</w:t>
            </w:r>
          </w:p>
        </w:tc>
      </w:tr>
      <w:tr w:rsidR="00505188" w:rsidRPr="007F4CC8" w14:paraId="4B0B4246" w14:textId="77777777" w:rsidTr="001C2D18">
        <w:trPr>
          <w:trHeight w:val="557"/>
        </w:trPr>
        <w:tc>
          <w:tcPr>
            <w:tcW w:w="1384" w:type="dxa"/>
          </w:tcPr>
          <w:p w14:paraId="2DD72E65" w14:textId="373D5569" w:rsidR="00505188" w:rsidRPr="007F4CC8" w:rsidRDefault="00505188" w:rsidP="00275B5E">
            <w:pPr>
              <w:pStyle w:val="Applicationdirecte"/>
              <w:spacing w:before="60"/>
              <w:jc w:val="center"/>
            </w:pPr>
            <w:r>
              <w:lastRenderedPageBreak/>
              <w:t>EU 14a</w:t>
            </w:r>
          </w:p>
        </w:tc>
        <w:tc>
          <w:tcPr>
            <w:tcW w:w="7655" w:type="dxa"/>
          </w:tcPr>
          <w:p w14:paraId="331BA724" w14:textId="344E5468"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 xml:space="preserve">Dodatni kapitalni zahtjevi za upravljanje rizikom prekomjerne financijske poluge (%) </w:t>
            </w:r>
          </w:p>
          <w:p w14:paraId="4884A9B8" w14:textId="77777777" w:rsidR="00597D20" w:rsidRPr="007F4CC8" w:rsidRDefault="00597D20" w:rsidP="00597D20">
            <w:pPr>
              <w:spacing w:before="60" w:after="120"/>
              <w:jc w:val="both"/>
              <w:rPr>
                <w:rFonts w:ascii="Times New Roman" w:eastAsia="Book Antiqua" w:hAnsi="Times New Roman" w:cs="Times New Roman"/>
                <w:bCs/>
                <w:color w:val="000000"/>
                <w:sz w:val="24"/>
                <w:shd w:val="clear" w:color="auto" w:fill="FFFFFF"/>
              </w:rPr>
            </w:pPr>
            <w:r>
              <w:rPr>
                <w:rFonts w:ascii="Times New Roman" w:hAnsi="Times New Roman"/>
                <w:sz w:val="24"/>
              </w:rPr>
              <w:t>Dodatni kapitalni zahtjevi za upravljanje rizikom prekomjerne financijske poluge koje je nadležno tijelo odredilo u skladu s člankom 104. stavkom 1. točkom (a) CRD-a, izraženi kao postotak mjere ukupne izloženosti.</w:t>
            </w:r>
            <w:r>
              <w:rPr>
                <w:rFonts w:ascii="Times New Roman" w:hAnsi="Times New Roman"/>
                <w:bCs/>
                <w:color w:val="000000"/>
                <w:sz w:val="24"/>
                <w:shd w:val="clear" w:color="auto" w:fill="FFFFFF"/>
              </w:rPr>
              <w:t xml:space="preserve"> </w:t>
            </w:r>
          </w:p>
          <w:p w14:paraId="46E7F0BC" w14:textId="5C42CBEC" w:rsidR="000C1BEC" w:rsidRPr="007F4CC8" w:rsidRDefault="00597D20" w:rsidP="00597D20">
            <w:pPr>
              <w:spacing w:before="60" w:after="120"/>
              <w:jc w:val="both"/>
              <w:rPr>
                <w:rFonts w:ascii="Times New Roman" w:hAnsi="Times New Roman" w:cs="Times New Roman"/>
                <w:sz w:val="24"/>
              </w:rPr>
            </w:pPr>
            <w:r>
              <w:rPr>
                <w:rFonts w:ascii="Times New Roman" w:hAnsi="Times New Roman"/>
                <w:sz w:val="24"/>
              </w:rPr>
              <w:t xml:space="preserve">Dodatni kapitalni zahtjevi u skladu s vrijednošću koju institucije objavljuju u Prilogu XI. ovoj Provedbenoj uredbi (redak EU-26a obrasca EU LR2 - </w:t>
            </w:r>
            <w:proofErr w:type="spellStart"/>
            <w:r>
              <w:rPr>
                <w:rFonts w:ascii="Times New Roman" w:hAnsi="Times New Roman"/>
                <w:sz w:val="24"/>
              </w:rPr>
              <w:t>LRCom</w:t>
            </w:r>
            <w:proofErr w:type="spellEnd"/>
            <w:r>
              <w:rPr>
                <w:rFonts w:ascii="Times New Roman" w:hAnsi="Times New Roman"/>
                <w:sz w:val="24"/>
              </w:rPr>
              <w:t>: Zajednička objava omjera financijske poluge).</w:t>
            </w:r>
          </w:p>
        </w:tc>
      </w:tr>
      <w:tr w:rsidR="00505188" w:rsidRPr="007F4CC8" w14:paraId="36EBE00D" w14:textId="77777777" w:rsidTr="001C2D18">
        <w:trPr>
          <w:trHeight w:val="557"/>
        </w:trPr>
        <w:tc>
          <w:tcPr>
            <w:tcW w:w="1384" w:type="dxa"/>
          </w:tcPr>
          <w:p w14:paraId="09FA5971" w14:textId="32273074" w:rsidR="00505188" w:rsidRPr="007F4CC8" w:rsidRDefault="00505188" w:rsidP="00597D20">
            <w:pPr>
              <w:pStyle w:val="Applicationdirecte"/>
              <w:spacing w:before="60"/>
              <w:jc w:val="center"/>
            </w:pPr>
            <w:r>
              <w:t>EU 14b</w:t>
            </w:r>
          </w:p>
        </w:tc>
        <w:tc>
          <w:tcPr>
            <w:tcW w:w="7655" w:type="dxa"/>
          </w:tcPr>
          <w:p w14:paraId="2B7D35CB" w14:textId="5C222559" w:rsidR="00381E59" w:rsidRPr="00906A17" w:rsidRDefault="002B7ED3" w:rsidP="00597D20">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Od čega: koji se sastoji od redovnog osnovnog kapitala (postotni bodovi)</w:t>
            </w:r>
          </w:p>
          <w:p w14:paraId="4E1932EC" w14:textId="56D45993" w:rsidR="00597D20" w:rsidRPr="007F4CC8" w:rsidRDefault="00597D20" w:rsidP="00597D20">
            <w:pPr>
              <w:spacing w:before="60" w:after="120"/>
              <w:jc w:val="both"/>
              <w:rPr>
                <w:rFonts w:ascii="Times New Roman" w:eastAsia="Book Antiqua" w:hAnsi="Times New Roman" w:cs="Times New Roman"/>
                <w:bCs/>
                <w:color w:val="000000"/>
                <w:sz w:val="24"/>
                <w:shd w:val="clear" w:color="auto" w:fill="FFFFFF"/>
              </w:rPr>
            </w:pPr>
            <w:r>
              <w:rPr>
                <w:rFonts w:ascii="Times New Roman" w:hAnsi="Times New Roman"/>
                <w:sz w:val="24"/>
              </w:rPr>
              <w:t>Dio dodatnih kapitalnih zahtjeva za upravljanje rizikom prekomjerne financijske poluge koje je nadležno tijelo odredilo u skladu s člankom 104. stavkom 1. točkom (a) CRD-a, koji mora biti ispunjen osnovnim kapitalom u skladu s člankom 104.a stavkom 4. trećim podstavkom.</w:t>
            </w:r>
            <w:r>
              <w:rPr>
                <w:rFonts w:ascii="Times New Roman" w:hAnsi="Times New Roman"/>
                <w:bCs/>
                <w:color w:val="000000"/>
                <w:sz w:val="24"/>
                <w:shd w:val="clear" w:color="auto" w:fill="FFFFFF"/>
              </w:rPr>
              <w:t xml:space="preserve"> </w:t>
            </w:r>
          </w:p>
          <w:p w14:paraId="68D46321" w14:textId="21D2D56E" w:rsidR="000C1BEC" w:rsidRPr="007F4CC8" w:rsidRDefault="00597D20" w:rsidP="000C1BEC">
            <w:pPr>
              <w:spacing w:before="60" w:after="120"/>
              <w:jc w:val="both"/>
              <w:rPr>
                <w:rFonts w:ascii="Times New Roman" w:hAnsi="Times New Roman" w:cs="Times New Roman"/>
                <w:sz w:val="24"/>
              </w:rPr>
            </w:pPr>
            <w:r>
              <w:rPr>
                <w:rFonts w:ascii="Times New Roman" w:hAnsi="Times New Roman"/>
                <w:sz w:val="24"/>
              </w:rPr>
              <w:t xml:space="preserve">Dodatni kapitalni zahtjevi u skladu s vrijednošću koju institucije objavljuju u Prilogu XI. ovoj Provedbenoj uredbi (redak EU-26b obrasca EU LR2 - </w:t>
            </w:r>
            <w:proofErr w:type="spellStart"/>
            <w:r>
              <w:rPr>
                <w:rFonts w:ascii="Times New Roman" w:hAnsi="Times New Roman"/>
                <w:sz w:val="24"/>
              </w:rPr>
              <w:t>LRCom</w:t>
            </w:r>
            <w:proofErr w:type="spellEnd"/>
            <w:r>
              <w:rPr>
                <w:rFonts w:ascii="Times New Roman" w:hAnsi="Times New Roman"/>
                <w:sz w:val="24"/>
              </w:rPr>
              <w:t>: Zajednička objava omjera financijske poluge).</w:t>
            </w:r>
          </w:p>
        </w:tc>
      </w:tr>
      <w:tr w:rsidR="00505188" w:rsidRPr="007F4CC8" w14:paraId="2D7EE809" w14:textId="77777777" w:rsidTr="001C2D18">
        <w:trPr>
          <w:trHeight w:val="557"/>
        </w:trPr>
        <w:tc>
          <w:tcPr>
            <w:tcW w:w="1384" w:type="dxa"/>
          </w:tcPr>
          <w:p w14:paraId="649507C9" w14:textId="0BF1E1F1" w:rsidR="00505188" w:rsidRPr="007F4CC8" w:rsidRDefault="00505188" w:rsidP="00597D20">
            <w:pPr>
              <w:pStyle w:val="Applicationdirecte"/>
              <w:spacing w:before="60"/>
              <w:jc w:val="center"/>
            </w:pPr>
            <w:r>
              <w:t>EU 14c</w:t>
            </w:r>
          </w:p>
        </w:tc>
        <w:tc>
          <w:tcPr>
            <w:tcW w:w="7655" w:type="dxa"/>
          </w:tcPr>
          <w:p w14:paraId="4458837C" w14:textId="180D2C07"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Ukupni zahtjevi za omjer financijske poluge u okviru SREP-a (%)</w:t>
            </w:r>
          </w:p>
          <w:p w14:paraId="12B9013E" w14:textId="77777777" w:rsidR="00505188" w:rsidRPr="007F4CC8" w:rsidRDefault="00505188" w:rsidP="00702A38">
            <w:pPr>
              <w:pStyle w:val="InstructionsText"/>
            </w:pPr>
            <w:r>
              <w:t>Zbroj i. i ii. određuje se kako slijedi:</w:t>
            </w:r>
          </w:p>
          <w:p w14:paraId="5E716F27" w14:textId="071E258A" w:rsidR="00505188" w:rsidRPr="007F4CC8" w:rsidRDefault="00505188" w:rsidP="00E70D84">
            <w:pPr>
              <w:pStyle w:val="InstructionsText"/>
              <w:numPr>
                <w:ilvl w:val="0"/>
                <w:numId w:val="14"/>
              </w:numPr>
            </w:pPr>
            <w:r>
              <w:t xml:space="preserve">zahtjev za minimalni omjer financijske poluge kako je utvrđen u članku 92. stavku 1. točki (d) CRR-a ili zahtjev za prilagođeni omjer financijske poluge koji se izračunava u skladu s člankom 429.a stavkom 7. CRR-a, ovisno o slučaju; </w:t>
            </w:r>
          </w:p>
          <w:p w14:paraId="40C21DE2" w14:textId="3B257965" w:rsidR="00505188" w:rsidRPr="007F4CC8" w:rsidRDefault="00505188" w:rsidP="00E70D84">
            <w:pPr>
              <w:pStyle w:val="InstructionsText"/>
              <w:numPr>
                <w:ilvl w:val="0"/>
                <w:numId w:val="14"/>
              </w:numPr>
            </w:pPr>
            <w:r>
              <w:t>dodatni kapitalni zahtjevi za upravljanje rizikom prekomjerne financijske poluge (zahtjevi iz stupa 2. – P2R) koje je nadležno tijelo odredilo u skladu s člankom 104. stavkom 1. točkom (a) CRD-a, izraženi kao postotak mjere ukupne izloženosti.</w:t>
            </w:r>
          </w:p>
          <w:p w14:paraId="72014476" w14:textId="72428B13" w:rsidR="00505188" w:rsidRPr="007F4CC8" w:rsidRDefault="00505188" w:rsidP="00702A38">
            <w:pPr>
              <w:pStyle w:val="InstructionsText"/>
            </w:pPr>
            <w:r>
              <w:t>U ovoj se stavci navodi stopa ukupnog zahtjeva za omjer financijske poluge u okviru SREP-a o kojoj je nadležno tijelo izvijestilo instituciju.</w:t>
            </w:r>
          </w:p>
          <w:p w14:paraId="35AC4925" w14:textId="264DA7C5" w:rsidR="00505188" w:rsidRPr="007F4CC8" w:rsidRDefault="00505188" w:rsidP="00A44A20">
            <w:pPr>
              <w:spacing w:before="60" w:after="120"/>
              <w:jc w:val="both"/>
              <w:rPr>
                <w:rFonts w:ascii="Times New Roman" w:hAnsi="Times New Roman" w:cs="Times New Roman"/>
                <w:sz w:val="24"/>
              </w:rPr>
            </w:pPr>
            <w:r>
              <w:rPr>
                <w:rFonts w:ascii="Times New Roman" w:hAnsi="Times New Roman"/>
                <w:sz w:val="24"/>
              </w:rPr>
              <w:t>Ako nadležno tijelo nije odredilo dodatne kapitalne zahtjeve za upravljanje rizikom prekomjerne financijske poluge, objavljuje se samo točka i.</w:t>
            </w:r>
          </w:p>
        </w:tc>
      </w:tr>
      <w:tr w:rsidR="00505188" w:rsidRPr="007F4CC8" w14:paraId="3B5E2E48" w14:textId="77777777" w:rsidTr="001C2D18">
        <w:trPr>
          <w:trHeight w:val="557"/>
        </w:trPr>
        <w:tc>
          <w:tcPr>
            <w:tcW w:w="1384" w:type="dxa"/>
          </w:tcPr>
          <w:p w14:paraId="789861B4" w14:textId="0838E1F8" w:rsidR="00505188" w:rsidRPr="007F4CC8" w:rsidRDefault="00505188" w:rsidP="00597D20">
            <w:pPr>
              <w:pStyle w:val="Applicationdirecte"/>
              <w:spacing w:before="60"/>
              <w:jc w:val="center"/>
            </w:pPr>
            <w:r>
              <w:t>EU 14d</w:t>
            </w:r>
          </w:p>
        </w:tc>
        <w:tc>
          <w:tcPr>
            <w:tcW w:w="7655" w:type="dxa"/>
          </w:tcPr>
          <w:p w14:paraId="08E93EB0" w14:textId="1CAE83B8" w:rsidR="00505188" w:rsidRPr="00906A17" w:rsidRDefault="00BB3630" w:rsidP="00702A38">
            <w:pPr>
              <w:pStyle w:val="InstructionsText"/>
              <w:rPr>
                <w:rFonts w:eastAsiaTheme="minorEastAsia"/>
                <w:b/>
              </w:rPr>
            </w:pPr>
            <w:r>
              <w:rPr>
                <w:b/>
              </w:rPr>
              <w:t>Zahtjev za zaštitni sloj omjera financijske poluge (%)</w:t>
            </w:r>
          </w:p>
          <w:p w14:paraId="0A30AE70" w14:textId="3A8C6267" w:rsidR="00641F64" w:rsidRPr="007F4CC8" w:rsidRDefault="00641F64" w:rsidP="004A2B2B">
            <w:pPr>
              <w:spacing w:before="60" w:after="120"/>
              <w:jc w:val="both"/>
              <w:rPr>
                <w:rFonts w:ascii="Times New Roman" w:hAnsi="Times New Roman" w:cs="Times New Roman"/>
                <w:sz w:val="24"/>
              </w:rPr>
            </w:pPr>
            <w:r>
              <w:rPr>
                <w:rFonts w:ascii="Times New Roman" w:hAnsi="Times New Roman"/>
                <w:sz w:val="24"/>
              </w:rPr>
              <w:t>Članak 92. stavak 1.a CRR-a</w:t>
            </w:r>
          </w:p>
          <w:p w14:paraId="7716A8FF" w14:textId="0FE25609" w:rsidR="00505188" w:rsidRPr="007F4CC8" w:rsidRDefault="00505188" w:rsidP="004A2B2B">
            <w:pPr>
              <w:spacing w:before="60" w:after="120"/>
              <w:jc w:val="both"/>
              <w:rPr>
                <w:rFonts w:ascii="Times New Roman" w:hAnsi="Times New Roman" w:cs="Times New Roman"/>
                <w:sz w:val="24"/>
              </w:rPr>
            </w:pPr>
            <w:r>
              <w:rPr>
                <w:rFonts w:ascii="Times New Roman" w:hAnsi="Times New Roman"/>
                <w:sz w:val="24"/>
              </w:rPr>
              <w:t xml:space="preserve">Primjenjivi zaštitni sloj omjera financijske poluge u skladu s vrijednošću koju institucije objavljuju u Prilogu XI. ovoj Provedbenoj uredbi (redak 27 obrasca EU LR2 - </w:t>
            </w:r>
            <w:proofErr w:type="spellStart"/>
            <w:r>
              <w:rPr>
                <w:rFonts w:ascii="Times New Roman" w:hAnsi="Times New Roman"/>
                <w:sz w:val="24"/>
              </w:rPr>
              <w:t>LRCom</w:t>
            </w:r>
            <w:proofErr w:type="spellEnd"/>
            <w:r>
              <w:rPr>
                <w:rFonts w:ascii="Times New Roman" w:hAnsi="Times New Roman"/>
                <w:sz w:val="24"/>
              </w:rPr>
              <w:t>: Zajednička objava omjera financijske poluge)</w:t>
            </w:r>
          </w:p>
        </w:tc>
      </w:tr>
      <w:tr w:rsidR="00505188" w:rsidRPr="007F4CC8" w14:paraId="3FACD115" w14:textId="77777777" w:rsidTr="001C2D18">
        <w:trPr>
          <w:trHeight w:val="557"/>
        </w:trPr>
        <w:tc>
          <w:tcPr>
            <w:tcW w:w="1384" w:type="dxa"/>
          </w:tcPr>
          <w:p w14:paraId="27224C83" w14:textId="4B369FBD" w:rsidR="00505188" w:rsidRPr="007F4CC8" w:rsidRDefault="00505188" w:rsidP="00597D20">
            <w:pPr>
              <w:pStyle w:val="Applicationdirecte"/>
              <w:spacing w:before="60"/>
              <w:jc w:val="center"/>
            </w:pPr>
            <w:r>
              <w:t>EU 14e</w:t>
            </w:r>
          </w:p>
        </w:tc>
        <w:tc>
          <w:tcPr>
            <w:tcW w:w="7655" w:type="dxa"/>
          </w:tcPr>
          <w:p w14:paraId="69DDF496" w14:textId="1D586C01"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Sveukupni zahtjev za omjer financijske poluge (%)</w:t>
            </w:r>
          </w:p>
          <w:p w14:paraId="02FD04C6" w14:textId="4701C281" w:rsidR="00505188" w:rsidRPr="007F4CC8" w:rsidRDefault="00505188" w:rsidP="00597D20">
            <w:pPr>
              <w:spacing w:before="60" w:after="120"/>
              <w:jc w:val="both"/>
              <w:rPr>
                <w:rFonts w:ascii="Times New Roman" w:hAnsi="Times New Roman"/>
                <w:sz w:val="24"/>
              </w:rPr>
            </w:pPr>
            <w:r>
              <w:rPr>
                <w:rFonts w:ascii="Times New Roman" w:hAnsi="Times New Roman"/>
                <w:sz w:val="24"/>
              </w:rPr>
              <w:lastRenderedPageBreak/>
              <w:t>Zbroj redaka EU 14c i EU 14d</w:t>
            </w:r>
          </w:p>
        </w:tc>
      </w:tr>
      <w:tr w:rsidR="00BB2F0A" w:rsidRPr="007F4CC8" w14:paraId="7772A699" w14:textId="77777777" w:rsidTr="00B2180A">
        <w:trPr>
          <w:trHeight w:val="557"/>
        </w:trPr>
        <w:tc>
          <w:tcPr>
            <w:tcW w:w="1384" w:type="dxa"/>
          </w:tcPr>
          <w:p w14:paraId="63DDF276" w14:textId="77777777" w:rsidR="00BB2F0A" w:rsidRPr="007F4CC8" w:rsidRDefault="00BB2F0A" w:rsidP="00BB2F0A">
            <w:pPr>
              <w:pStyle w:val="Applicationdirecte"/>
              <w:spacing w:before="60"/>
              <w:jc w:val="center"/>
            </w:pPr>
            <w:r>
              <w:lastRenderedPageBreak/>
              <w:t>15</w:t>
            </w:r>
          </w:p>
        </w:tc>
        <w:tc>
          <w:tcPr>
            <w:tcW w:w="7655" w:type="dxa"/>
          </w:tcPr>
          <w:p w14:paraId="54AB95EC" w14:textId="77777777" w:rsidR="00BB2F0A" w:rsidRPr="00906A17" w:rsidRDefault="00BB2F0A" w:rsidP="00BB2F0A">
            <w:pPr>
              <w:spacing w:before="60" w:after="120"/>
              <w:jc w:val="both"/>
              <w:rPr>
                <w:rFonts w:ascii="Times New Roman" w:hAnsi="Times New Roman" w:cs="Times New Roman"/>
                <w:b/>
                <w:sz w:val="24"/>
              </w:rPr>
            </w:pPr>
            <w:bookmarkStart w:id="11" w:name="OLE_LINK1"/>
            <w:r>
              <w:rPr>
                <w:rFonts w:ascii="Times New Roman" w:hAnsi="Times New Roman"/>
                <w:b/>
                <w:sz w:val="24"/>
              </w:rPr>
              <w:t>Ukupna likvidna imovina visoke kvalitete (HQLA) (ponderirana vrijednost – prosjek)</w:t>
            </w:r>
          </w:p>
          <w:bookmarkEnd w:id="11"/>
          <w:p w14:paraId="55A35EA4" w14:textId="793083C0" w:rsidR="00910181" w:rsidRPr="007F4CC8" w:rsidRDefault="00910181" w:rsidP="002635C4">
            <w:pPr>
              <w:spacing w:before="60" w:after="120"/>
              <w:jc w:val="both"/>
              <w:rPr>
                <w:rFonts w:ascii="Times New Roman" w:hAnsi="Times New Roman" w:cs="Times New Roman"/>
                <w:sz w:val="24"/>
              </w:rPr>
            </w:pPr>
            <w:r>
              <w:rPr>
                <w:rFonts w:ascii="Times New Roman" w:hAnsi="Times New Roman"/>
                <w:sz w:val="24"/>
              </w:rPr>
              <w:t>Institucije kao ponderiranu vrijednost objavljuju vrijednost likvidne imovine u skladu s člankom 9. Delegirane uredbe Komisije (EU) 2015/61</w:t>
            </w:r>
            <w:r>
              <w:rPr>
                <w:rStyle w:val="FootnoteReference"/>
                <w:rFonts w:cs="Times New Roman"/>
              </w:rPr>
              <w:footnoteReference w:id="4"/>
            </w:r>
            <w:r>
              <w:rPr>
                <w:rFonts w:ascii="Times New Roman" w:hAnsi="Times New Roman"/>
                <w:sz w:val="24"/>
              </w:rPr>
              <w:t xml:space="preserve"> prije prilagodbe iz članka 17. stavka 2. Delegirane uredbe (EU) 2015/61.</w:t>
            </w:r>
          </w:p>
        </w:tc>
      </w:tr>
      <w:tr w:rsidR="009008FD" w:rsidRPr="007F4CC8" w14:paraId="6672E84C" w14:textId="77777777" w:rsidTr="00634158">
        <w:trPr>
          <w:trHeight w:val="557"/>
        </w:trPr>
        <w:tc>
          <w:tcPr>
            <w:tcW w:w="1384" w:type="dxa"/>
          </w:tcPr>
          <w:p w14:paraId="046E2071" w14:textId="77777777" w:rsidR="009008FD" w:rsidRPr="007F4CC8" w:rsidRDefault="009008FD" w:rsidP="009008FD">
            <w:pPr>
              <w:pStyle w:val="Applicationdirecte"/>
              <w:spacing w:before="60"/>
              <w:jc w:val="center"/>
            </w:pPr>
            <w:r>
              <w:t>EU 16a</w:t>
            </w:r>
          </w:p>
        </w:tc>
        <w:tc>
          <w:tcPr>
            <w:tcW w:w="7655" w:type="dxa"/>
          </w:tcPr>
          <w:p w14:paraId="0FDF2F0C" w14:textId="77777777" w:rsidR="00F829DE" w:rsidRPr="00906A17"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Novčani odljev – Ukupna ponderirana vrijednost </w:t>
            </w:r>
          </w:p>
          <w:p w14:paraId="001CA858" w14:textId="412A239E" w:rsidR="009008FD" w:rsidRPr="007F4CC8" w:rsidRDefault="009008FD" w:rsidP="009008FD">
            <w:pPr>
              <w:spacing w:before="60" w:after="120"/>
              <w:jc w:val="both"/>
              <w:rPr>
                <w:rFonts w:ascii="Times New Roman" w:hAnsi="Times New Roman"/>
                <w:sz w:val="24"/>
              </w:rPr>
            </w:pPr>
            <w:r>
              <w:rPr>
                <w:rFonts w:ascii="Times New Roman" w:hAnsi="Times New Roman"/>
                <w:sz w:val="24"/>
              </w:rPr>
              <w:t>Institucije objavljuju zbroj ponderiranih vrijednosti svojih novčanih odljeva, kako je objavljen u Prilogu XIII. (redak 16 obrasca EU LIQ1 – Kvantitativne informacije o LCR-u).</w:t>
            </w:r>
          </w:p>
        </w:tc>
      </w:tr>
      <w:tr w:rsidR="009008FD" w:rsidRPr="007F4CC8" w14:paraId="768D7A46" w14:textId="77777777" w:rsidTr="00634158">
        <w:trPr>
          <w:trHeight w:val="557"/>
        </w:trPr>
        <w:tc>
          <w:tcPr>
            <w:tcW w:w="1384" w:type="dxa"/>
          </w:tcPr>
          <w:p w14:paraId="61468B84" w14:textId="77777777" w:rsidR="009008FD" w:rsidRPr="007F4CC8" w:rsidRDefault="009008FD" w:rsidP="009008FD">
            <w:pPr>
              <w:pStyle w:val="Applicationdirecte"/>
              <w:spacing w:before="60"/>
              <w:jc w:val="center"/>
            </w:pPr>
            <w:r>
              <w:t>EU 16b</w:t>
            </w:r>
          </w:p>
        </w:tc>
        <w:tc>
          <w:tcPr>
            <w:tcW w:w="7655" w:type="dxa"/>
          </w:tcPr>
          <w:p w14:paraId="6A63425C" w14:textId="77777777" w:rsidR="00F829DE" w:rsidRPr="00906A17"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Novčani priljev – Ukupna ponderirana vrijednost </w:t>
            </w:r>
          </w:p>
          <w:p w14:paraId="7CF5A37A" w14:textId="29FD5A91" w:rsidR="009008FD" w:rsidRPr="007F4CC8" w:rsidRDefault="009008FD" w:rsidP="009008FD">
            <w:pPr>
              <w:spacing w:before="60" w:after="120"/>
              <w:jc w:val="both"/>
              <w:rPr>
                <w:rFonts w:ascii="Times New Roman" w:hAnsi="Times New Roman" w:cs="Times New Roman"/>
                <w:sz w:val="24"/>
              </w:rPr>
            </w:pPr>
            <w:r>
              <w:rPr>
                <w:rFonts w:ascii="Times New Roman" w:hAnsi="Times New Roman"/>
                <w:sz w:val="24"/>
              </w:rPr>
              <w:t>Institucije objavljuju zbroj ponderiranih vrijednosti svojih novčanih priljeva, kako je objavljen u Prilogu XIII. (redak 20 obrasca EU LIQ1 – Kvantitativne informacije o LCR-u).</w:t>
            </w:r>
          </w:p>
        </w:tc>
      </w:tr>
      <w:tr w:rsidR="00BB2F0A" w:rsidRPr="007F4CC8" w14:paraId="3D802B5C" w14:textId="77777777" w:rsidTr="00B2180A">
        <w:trPr>
          <w:trHeight w:val="557"/>
        </w:trPr>
        <w:tc>
          <w:tcPr>
            <w:tcW w:w="1384" w:type="dxa"/>
          </w:tcPr>
          <w:p w14:paraId="2C98D27B" w14:textId="77777777" w:rsidR="00BB2F0A" w:rsidRPr="007F4CC8" w:rsidRDefault="00BB2F0A" w:rsidP="00BB2F0A">
            <w:pPr>
              <w:pStyle w:val="Applicationdirecte"/>
              <w:spacing w:before="60"/>
              <w:jc w:val="center"/>
            </w:pPr>
            <w:r>
              <w:t>16</w:t>
            </w:r>
          </w:p>
        </w:tc>
        <w:tc>
          <w:tcPr>
            <w:tcW w:w="7655" w:type="dxa"/>
          </w:tcPr>
          <w:p w14:paraId="7DCF86AE"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Ukupni neto novčani odljevi (usklađena vrijednost)</w:t>
            </w:r>
          </w:p>
          <w:p w14:paraId="1D6EC4CA" w14:textId="77777777" w:rsidR="00910181" w:rsidRPr="007F4CC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Institucije objavljuju usklađenu vrijednost neto </w:t>
            </w:r>
            <w:proofErr w:type="spellStart"/>
            <w:r>
              <w:rPr>
                <w:rFonts w:ascii="Times New Roman" w:hAnsi="Times New Roman"/>
                <w:sz w:val="24"/>
              </w:rPr>
              <w:t>likvidnosnog</w:t>
            </w:r>
            <w:proofErr w:type="spellEnd"/>
            <w:r>
              <w:rPr>
                <w:rFonts w:ascii="Times New Roman" w:hAnsi="Times New Roman"/>
                <w:sz w:val="24"/>
              </w:rPr>
              <w:t xml:space="preserve"> odljeva koja je jednaka ukupnim odljevima umanjenima za smanjenje za priljeve izuzete u cijelosti, smanjenje za priljeve na koje se primjenjuje gornja granica od 90 % i smanjenje za priljeve na koje se primjenjuje gornja granica od 75 %. </w:t>
            </w:r>
          </w:p>
        </w:tc>
      </w:tr>
      <w:tr w:rsidR="00BB2F0A" w:rsidRPr="007F4CC8" w14:paraId="55C376D8" w14:textId="77777777" w:rsidTr="00B2180A">
        <w:trPr>
          <w:trHeight w:val="557"/>
        </w:trPr>
        <w:tc>
          <w:tcPr>
            <w:tcW w:w="1384" w:type="dxa"/>
          </w:tcPr>
          <w:p w14:paraId="790C482D" w14:textId="77777777" w:rsidR="00BB2F0A" w:rsidRPr="007F4CC8" w:rsidRDefault="00BB2F0A" w:rsidP="00BB2F0A">
            <w:pPr>
              <w:pStyle w:val="Applicationdirecte"/>
              <w:spacing w:before="60"/>
              <w:jc w:val="center"/>
            </w:pPr>
            <w:r>
              <w:t>17</w:t>
            </w:r>
          </w:p>
        </w:tc>
        <w:tc>
          <w:tcPr>
            <w:tcW w:w="7655" w:type="dxa"/>
          </w:tcPr>
          <w:p w14:paraId="6739EBCB"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Koeficijent likvidnosne pokrivenosti (%)</w:t>
            </w:r>
          </w:p>
          <w:p w14:paraId="3417B7EB" w14:textId="553B669E" w:rsidR="00910181" w:rsidRPr="007F4CC8" w:rsidRDefault="00910181" w:rsidP="00910181">
            <w:pPr>
              <w:autoSpaceDE w:val="0"/>
              <w:autoSpaceDN w:val="0"/>
              <w:adjustRightInd w:val="0"/>
              <w:jc w:val="both"/>
              <w:rPr>
                <w:rFonts w:ascii="Times New Roman" w:hAnsi="Times New Roman" w:cs="Times New Roman"/>
                <w:sz w:val="24"/>
              </w:rPr>
            </w:pPr>
            <w:r>
              <w:rPr>
                <w:rFonts w:ascii="Times New Roman" w:hAnsi="Times New Roman"/>
                <w:sz w:val="24"/>
              </w:rPr>
              <w:t>Institucije kao usklađenu vrijednost objavljuju postotak stavke „Koeficijent likvidnosne pokrivenosti (%)” kako je definirana u članku 4. stavku 1. Delegirane uredbe (EU) 2015/61.</w:t>
            </w:r>
          </w:p>
          <w:p w14:paraId="0CF77ECD" w14:textId="77777777" w:rsidR="00910181" w:rsidRPr="007F4CC8"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7F4CC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Koeficijent likvidnosne pokrivenosti jednak je omjeru zaštitnog sloja likvidnosti kreditne institucije i njezinih neto likvidnosnih odljeva tijekom razdoblja stresa u trajanju od 30 kalendarskih dana i iskazuje se kao postotak. </w:t>
            </w:r>
          </w:p>
        </w:tc>
      </w:tr>
      <w:tr w:rsidR="00BB2F0A" w:rsidRPr="007F4CC8" w14:paraId="62773DDF" w14:textId="77777777" w:rsidTr="00B2180A">
        <w:trPr>
          <w:trHeight w:val="557"/>
        </w:trPr>
        <w:tc>
          <w:tcPr>
            <w:tcW w:w="1384" w:type="dxa"/>
          </w:tcPr>
          <w:p w14:paraId="46B3145C" w14:textId="77777777" w:rsidR="00BB2F0A" w:rsidRPr="007F4CC8" w:rsidRDefault="00BB2F0A" w:rsidP="00BB2F0A">
            <w:pPr>
              <w:pStyle w:val="Applicationdirecte"/>
              <w:spacing w:before="60"/>
              <w:jc w:val="center"/>
            </w:pPr>
            <w:r>
              <w:t>18</w:t>
            </w:r>
          </w:p>
        </w:tc>
        <w:tc>
          <w:tcPr>
            <w:tcW w:w="7655" w:type="dxa"/>
          </w:tcPr>
          <w:p w14:paraId="5F20E9BB" w14:textId="77777777" w:rsidR="00BB2F0A" w:rsidRPr="00906A17" w:rsidRDefault="009501D6" w:rsidP="00BB2F0A">
            <w:pPr>
              <w:spacing w:before="60" w:after="120"/>
              <w:jc w:val="both"/>
              <w:rPr>
                <w:rFonts w:ascii="Times New Roman" w:hAnsi="Times New Roman" w:cs="Times New Roman"/>
                <w:b/>
                <w:sz w:val="24"/>
              </w:rPr>
            </w:pPr>
            <w:r>
              <w:rPr>
                <w:rFonts w:ascii="Times New Roman" w:hAnsi="Times New Roman"/>
                <w:b/>
                <w:sz w:val="24"/>
              </w:rPr>
              <w:t>Ukupni dostupni stabilni izvori financiranja</w:t>
            </w:r>
          </w:p>
          <w:p w14:paraId="0CB3A2BF" w14:textId="62DC9DA1" w:rsidR="009501D6" w:rsidRPr="007F4CC8" w:rsidRDefault="009501D6" w:rsidP="00416DAD">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Institucije objavljuju iznos dostupnih stabilnih izvora financiranja koji se izračunava u skladu s dijelom šestim glavom IV. poglavljem 3. CRR-a, kako je objavljen u Prilogu XIII. (redak 14 obrasca EU LIQ2 – Omjer neto stabilnih izvora financiranja).</w:t>
            </w:r>
          </w:p>
        </w:tc>
      </w:tr>
      <w:tr w:rsidR="00BB2F0A" w:rsidRPr="007F4CC8" w14:paraId="196BD2E3" w14:textId="77777777" w:rsidTr="00B2180A">
        <w:trPr>
          <w:trHeight w:val="557"/>
        </w:trPr>
        <w:tc>
          <w:tcPr>
            <w:tcW w:w="1384" w:type="dxa"/>
          </w:tcPr>
          <w:p w14:paraId="138D6E9A" w14:textId="77777777" w:rsidR="00BB2F0A" w:rsidRPr="007F4CC8" w:rsidRDefault="00BB2F0A" w:rsidP="00BB2F0A">
            <w:pPr>
              <w:pStyle w:val="Applicationdirecte"/>
              <w:spacing w:before="60"/>
              <w:jc w:val="center"/>
            </w:pPr>
            <w:r>
              <w:t>19</w:t>
            </w:r>
          </w:p>
        </w:tc>
        <w:tc>
          <w:tcPr>
            <w:tcW w:w="7655" w:type="dxa"/>
          </w:tcPr>
          <w:p w14:paraId="33D8D493" w14:textId="77777777" w:rsidR="00EA38FE" w:rsidRPr="00906A17" w:rsidRDefault="009501D6" w:rsidP="00EA38FE">
            <w:pPr>
              <w:spacing w:before="60" w:after="120"/>
              <w:jc w:val="both"/>
              <w:rPr>
                <w:rFonts w:ascii="Times New Roman" w:hAnsi="Times New Roman" w:cs="Times New Roman"/>
                <w:b/>
                <w:sz w:val="24"/>
              </w:rPr>
            </w:pPr>
            <w:r>
              <w:rPr>
                <w:rFonts w:ascii="Times New Roman" w:hAnsi="Times New Roman"/>
                <w:b/>
                <w:sz w:val="24"/>
              </w:rPr>
              <w:t>Ukupni zahtijevani stabilni izvori financiranja</w:t>
            </w:r>
          </w:p>
          <w:p w14:paraId="205FE1F2" w14:textId="17851687" w:rsidR="009501D6" w:rsidRPr="007F4CC8" w:rsidRDefault="009501D6" w:rsidP="00605635">
            <w:pPr>
              <w:spacing w:before="60" w:after="120"/>
              <w:jc w:val="both"/>
              <w:rPr>
                <w:rFonts w:ascii="Times New Roman" w:hAnsi="Times New Roman" w:cs="Times New Roman"/>
                <w:sz w:val="24"/>
              </w:rPr>
            </w:pPr>
            <w:r>
              <w:rPr>
                <w:rFonts w:ascii="Times New Roman" w:hAnsi="Times New Roman"/>
                <w:sz w:val="24"/>
              </w:rPr>
              <w:t>Institucije objavljuju iznos zahtijevanih stabilnih izvora financiranja koji se izračunava u skladu s dijelom šestim glavom IV. poglavljem 4. CRR-a, kako je objavljen u Prilogu XIII. (redak 33 obrasca EU LIQ2 – Omjer neto stabilnih izvora financiranja).</w:t>
            </w:r>
          </w:p>
        </w:tc>
      </w:tr>
      <w:tr w:rsidR="00BB2F0A" w:rsidRPr="007F4CC8" w14:paraId="5F0D3785" w14:textId="77777777" w:rsidTr="00B2180A">
        <w:trPr>
          <w:trHeight w:val="557"/>
        </w:trPr>
        <w:tc>
          <w:tcPr>
            <w:tcW w:w="1384" w:type="dxa"/>
          </w:tcPr>
          <w:p w14:paraId="58861D5D" w14:textId="77777777" w:rsidR="00BB2F0A" w:rsidRPr="007F4CC8" w:rsidRDefault="00BB2F0A" w:rsidP="00BB2F0A">
            <w:pPr>
              <w:pStyle w:val="Applicationdirecte"/>
              <w:spacing w:before="60"/>
              <w:jc w:val="center"/>
            </w:pPr>
            <w:r>
              <w:lastRenderedPageBreak/>
              <w:t>20</w:t>
            </w:r>
          </w:p>
        </w:tc>
        <w:tc>
          <w:tcPr>
            <w:tcW w:w="7655" w:type="dxa"/>
          </w:tcPr>
          <w:p w14:paraId="2C215CE4" w14:textId="77777777" w:rsidR="00BB2F0A" w:rsidRPr="00906A17" w:rsidRDefault="00EA38FE" w:rsidP="00BB2F0A">
            <w:pPr>
              <w:spacing w:before="60" w:after="120"/>
              <w:jc w:val="both"/>
              <w:rPr>
                <w:rFonts w:ascii="Times New Roman" w:hAnsi="Times New Roman" w:cs="Times New Roman"/>
                <w:b/>
                <w:sz w:val="24"/>
              </w:rPr>
            </w:pPr>
            <w:r>
              <w:rPr>
                <w:rFonts w:ascii="Times New Roman" w:hAnsi="Times New Roman"/>
                <w:b/>
                <w:sz w:val="24"/>
              </w:rPr>
              <w:t>Omjer neto stabilnih izvora financiranja (%)</w:t>
            </w:r>
          </w:p>
          <w:p w14:paraId="16F56415" w14:textId="1EA34628" w:rsidR="00EA38FE" w:rsidRPr="007F4CC8" w:rsidRDefault="00EA38FE" w:rsidP="0097538A">
            <w:pPr>
              <w:spacing w:before="60" w:after="120"/>
              <w:jc w:val="both"/>
              <w:rPr>
                <w:rFonts w:ascii="Times New Roman" w:hAnsi="Times New Roman" w:cs="Times New Roman"/>
                <w:sz w:val="24"/>
              </w:rPr>
            </w:pPr>
            <w:r>
              <w:rPr>
                <w:rFonts w:ascii="Times New Roman" w:hAnsi="Times New Roman"/>
                <w:sz w:val="24"/>
              </w:rPr>
              <w:t>Omjer neto stabilnih izvora financiranja izračunava se u skladu s člankom 428.b CRR-a.</w:t>
            </w:r>
          </w:p>
        </w:tc>
      </w:tr>
    </w:tbl>
    <w:p w14:paraId="1917C482" w14:textId="77777777" w:rsidR="00251512" w:rsidRPr="006944D5" w:rsidRDefault="00251512" w:rsidP="00501CEC">
      <w:pPr>
        <w:pStyle w:val="Titlelevel2"/>
        <w:spacing w:before="120" w:after="120"/>
        <w:rPr>
          <w:rFonts w:ascii="Times New Roman" w:hAnsi="Times New Roman"/>
          <w:b/>
          <w:color w:val="auto"/>
          <w:sz w:val="24"/>
        </w:rPr>
      </w:pPr>
    </w:p>
    <w:p w14:paraId="3FDA64E0" w14:textId="77777777" w:rsidR="00BD36EC" w:rsidRPr="00DD0C4D" w:rsidRDefault="00BD36EC" w:rsidP="00D845D4">
      <w:pPr>
        <w:spacing w:after="120"/>
        <w:jc w:val="both"/>
        <w:rPr>
          <w:rFonts w:ascii="Times New Roman" w:hAnsi="Times New Roman"/>
          <w:sz w:val="24"/>
        </w:rPr>
      </w:pPr>
      <w:r>
        <w:rPr>
          <w:rFonts w:ascii="Times New Roman" w:hAnsi="Times New Roman"/>
          <w:b/>
          <w:sz w:val="24"/>
        </w:rPr>
        <w:t xml:space="preserve">Obrazac EU INS1 – Ulaganja u društva za osiguranje. </w:t>
      </w:r>
      <w:r>
        <w:rPr>
          <w:rFonts w:ascii="Times New Roman" w:hAnsi="Times New Roman"/>
          <w:sz w:val="24"/>
        </w:rPr>
        <w:t>Fiksan format</w:t>
      </w:r>
    </w:p>
    <w:p w14:paraId="385CC150" w14:textId="52DCEE5F" w:rsidR="00B10EE4" w:rsidRPr="007F4CC8" w:rsidRDefault="00BA25D7"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bCs w:val="0"/>
          <w:color w:val="000000"/>
          <w:sz w:val="24"/>
        </w:rPr>
        <w:t>Prateći upute</w:t>
      </w:r>
      <w:r>
        <w:rPr>
          <w:rFonts w:ascii="Times New Roman" w:hAnsi="Times New Roman"/>
          <w:color w:val="auto"/>
          <w:sz w:val="24"/>
        </w:rPr>
        <w:t xml:space="preserve"> u nastavku</w:t>
      </w:r>
      <w:r>
        <w:rPr>
          <w:rFonts w:ascii="Times New Roman" w:hAnsi="Times New Roman"/>
          <w:bCs w:val="0"/>
          <w:color w:val="000000"/>
          <w:sz w:val="24"/>
        </w:rPr>
        <w:t xml:space="preserve"> ovog Priloga institucije ispunjavaju obrazac EU INS1 iz Priloga I.,</w:t>
      </w:r>
      <w:r>
        <w:rPr>
          <w:rFonts w:ascii="Times New Roman" w:hAnsi="Times New Roman"/>
          <w:sz w:val="24"/>
        </w:rPr>
        <w:t xml:space="preserve"> </w:t>
      </w:r>
      <w:r>
        <w:rPr>
          <w:rFonts w:ascii="Times New Roman" w:hAnsi="Times New Roman"/>
          <w:color w:val="auto"/>
          <w:sz w:val="24"/>
        </w:rPr>
        <w:t xml:space="preserve">u skladu s člankom 438. točkom (f) </w:t>
      </w:r>
      <w:r>
        <w:rPr>
          <w:rFonts w:ascii="Times New Roman" w:hAnsi="Times New Roman"/>
          <w:bCs w:val="0"/>
          <w:color w:val="auto"/>
          <w:sz w:val="24"/>
        </w:rPr>
        <w:t>CRR-a</w:t>
      </w:r>
      <w:r>
        <w:rPr>
          <w:rFonts w:ascii="Times New Roman" w:hAnsi="Times New Roman"/>
          <w:color w:val="auto"/>
          <w:sz w:val="24"/>
        </w:rPr>
        <w:t xml:space="preserve"> </w:t>
      </w:r>
    </w:p>
    <w:p w14:paraId="5970EF08" w14:textId="77777777" w:rsidR="00295952" w:rsidRPr="006944D5" w:rsidRDefault="00295952" w:rsidP="00D845D4">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7F4CC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7F4CC8" w:rsidRDefault="00295952" w:rsidP="00B2180A">
            <w:pPr>
              <w:rPr>
                <w:rFonts w:ascii="Times New Roman" w:hAnsi="Times New Roman" w:cs="Times New Roman"/>
                <w:b/>
                <w:sz w:val="24"/>
              </w:rPr>
            </w:pPr>
            <w:r>
              <w:rPr>
                <w:rFonts w:ascii="Times New Roman" w:hAnsi="Times New Roman"/>
                <w:b/>
                <w:sz w:val="24"/>
              </w:rPr>
              <w:t>Pravna osnova i upute</w:t>
            </w:r>
          </w:p>
        </w:tc>
      </w:tr>
      <w:tr w:rsidR="00295952" w:rsidRPr="007F4CC8" w14:paraId="2A1948D0" w14:textId="77777777" w:rsidTr="00B2180A">
        <w:trPr>
          <w:trHeight w:val="238"/>
        </w:trPr>
        <w:tc>
          <w:tcPr>
            <w:tcW w:w="1384" w:type="dxa"/>
            <w:shd w:val="clear" w:color="auto" w:fill="D9D9D9" w:themeFill="background1" w:themeFillShade="D9"/>
          </w:tcPr>
          <w:p w14:paraId="58F319EE" w14:textId="77777777" w:rsidR="00295952" w:rsidRPr="007F4CC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Broj stupca</w:t>
            </w:r>
          </w:p>
        </w:tc>
        <w:tc>
          <w:tcPr>
            <w:tcW w:w="7655" w:type="dxa"/>
            <w:shd w:val="clear" w:color="auto" w:fill="D9D9D9" w:themeFill="background1" w:themeFillShade="D9"/>
          </w:tcPr>
          <w:p w14:paraId="0136B062" w14:textId="77777777" w:rsidR="00295952" w:rsidRPr="007F4CC8" w:rsidRDefault="00295952" w:rsidP="00B2180A">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295952" w:rsidRPr="007F4CC8" w14:paraId="0F136ACE" w14:textId="77777777" w:rsidTr="00B2180A">
        <w:trPr>
          <w:trHeight w:val="680"/>
        </w:trPr>
        <w:tc>
          <w:tcPr>
            <w:tcW w:w="1384" w:type="dxa"/>
          </w:tcPr>
          <w:p w14:paraId="270B29A8" w14:textId="77777777" w:rsidR="00295952" w:rsidRPr="007F4CC8" w:rsidRDefault="00295952" w:rsidP="00B2180A">
            <w:pPr>
              <w:pStyle w:val="Applicationdirecte"/>
              <w:spacing w:before="60"/>
              <w:jc w:val="center"/>
            </w:pPr>
            <w:r>
              <w:t>a</w:t>
            </w:r>
          </w:p>
        </w:tc>
        <w:tc>
          <w:tcPr>
            <w:tcW w:w="7655" w:type="dxa"/>
            <w:vAlign w:val="center"/>
          </w:tcPr>
          <w:p w14:paraId="7249EC0E" w14:textId="77777777"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Vrijednost izloženosti</w:t>
            </w:r>
          </w:p>
          <w:p w14:paraId="18F1CB5D" w14:textId="5153FD8C" w:rsidR="00295952" w:rsidRPr="007F4CC8" w:rsidRDefault="00295952" w:rsidP="0097538A">
            <w:pPr>
              <w:spacing w:before="60" w:after="120"/>
              <w:jc w:val="both"/>
              <w:rPr>
                <w:rFonts w:ascii="Times New Roman" w:hAnsi="Times New Roman" w:cs="Times New Roman"/>
                <w:sz w:val="24"/>
              </w:rPr>
            </w:pPr>
            <w:r>
              <w:rPr>
                <w:rFonts w:ascii="Times New Roman" w:hAnsi="Times New Roman"/>
                <w:sz w:val="24"/>
              </w:rPr>
              <w:t xml:space="preserve">Vrijednost izloženosti instrumenata regulatornog kapitala koji se drže u društvu za osiguranje, društvu za reosiguranje ili </w:t>
            </w:r>
            <w:proofErr w:type="spellStart"/>
            <w:r>
              <w:rPr>
                <w:rFonts w:ascii="Times New Roman" w:hAnsi="Times New Roman"/>
                <w:sz w:val="24"/>
              </w:rPr>
              <w:t>osigurateljnom</w:t>
            </w:r>
            <w:proofErr w:type="spellEnd"/>
            <w:r>
              <w:rPr>
                <w:rFonts w:ascii="Times New Roman" w:hAnsi="Times New Roman"/>
                <w:sz w:val="24"/>
              </w:rPr>
              <w:t xml:space="preserve"> holdingu koje institucije ne odbijaju od svojeg regulatornog kapitala pri izračunu kapitalnih zahtjeva na pojedinačnoj, potkonsolidiranoj i konsolidiranoj osnovi u skladu s člankom 49. CRR-a.</w:t>
            </w:r>
          </w:p>
        </w:tc>
      </w:tr>
      <w:tr w:rsidR="00295952" w:rsidRPr="007F4CC8" w14:paraId="61334455" w14:textId="77777777" w:rsidTr="00B2180A">
        <w:trPr>
          <w:trHeight w:val="680"/>
        </w:trPr>
        <w:tc>
          <w:tcPr>
            <w:tcW w:w="1384" w:type="dxa"/>
          </w:tcPr>
          <w:p w14:paraId="76F52744" w14:textId="77777777" w:rsidR="00295952" w:rsidRPr="007F4CC8" w:rsidRDefault="00295952" w:rsidP="00B2180A">
            <w:pPr>
              <w:pStyle w:val="Applicationdirecte"/>
              <w:spacing w:before="60"/>
              <w:jc w:val="center"/>
            </w:pPr>
            <w:r>
              <w:t>b</w:t>
            </w:r>
          </w:p>
        </w:tc>
        <w:tc>
          <w:tcPr>
            <w:tcW w:w="7655" w:type="dxa"/>
            <w:vAlign w:val="center"/>
          </w:tcPr>
          <w:p w14:paraId="35F05204" w14:textId="21F04E81"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Iznos izloženosti rizicima</w:t>
            </w:r>
          </w:p>
          <w:p w14:paraId="5F873619" w14:textId="514D0F83" w:rsidR="00295952" w:rsidRPr="007F4CC8" w:rsidRDefault="00295952" w:rsidP="00282104">
            <w:pPr>
              <w:spacing w:before="60" w:after="120"/>
              <w:jc w:val="both"/>
              <w:rPr>
                <w:rFonts w:ascii="Times New Roman" w:hAnsi="Times New Roman" w:cs="Times New Roman"/>
                <w:sz w:val="24"/>
              </w:rPr>
            </w:pPr>
            <w:r>
              <w:rPr>
                <w:rFonts w:ascii="Times New Roman" w:hAnsi="Times New Roman"/>
                <w:sz w:val="24"/>
              </w:rPr>
              <w:t xml:space="preserve">Iznos izloženosti rizicima instrumenata regulatornog kapitala koji se drže u društvu za osiguranje, društvu za reosiguranje ili </w:t>
            </w:r>
            <w:proofErr w:type="spellStart"/>
            <w:r>
              <w:rPr>
                <w:rFonts w:ascii="Times New Roman" w:hAnsi="Times New Roman"/>
                <w:sz w:val="24"/>
              </w:rPr>
              <w:t>osigurateljnom</w:t>
            </w:r>
            <w:proofErr w:type="spellEnd"/>
            <w:r>
              <w:rPr>
                <w:rFonts w:ascii="Times New Roman" w:hAnsi="Times New Roman"/>
                <w:sz w:val="24"/>
              </w:rPr>
              <w:t xml:space="preserve"> holdingu koje institucije ne odbijaju od svojeg regulatornog kapitala pri izračunu kapitalnih zahtjeva na pojedinačnoj, potkonsolidiranoj i konsolidiranoj osnovi u skladu s člankom 49. CRR-a.</w:t>
            </w:r>
          </w:p>
        </w:tc>
      </w:tr>
    </w:tbl>
    <w:p w14:paraId="06D15643" w14:textId="77777777" w:rsidR="00FE0C92" w:rsidRPr="007F4CC8" w:rsidRDefault="00FE0C92" w:rsidP="00E258D8">
      <w:pPr>
        <w:tabs>
          <w:tab w:val="left" w:pos="1430"/>
        </w:tabs>
        <w:rPr>
          <w:rFonts w:ascii="Times New Roman" w:hAnsi="Times New Roman" w:cs="Times New Roman"/>
          <w:sz w:val="24"/>
        </w:rPr>
      </w:pPr>
    </w:p>
    <w:p w14:paraId="27E6F29A" w14:textId="77777777" w:rsidR="00295952" w:rsidRPr="007F4CC8" w:rsidRDefault="00295952" w:rsidP="00295952">
      <w:pPr>
        <w:spacing w:after="120"/>
        <w:jc w:val="both"/>
        <w:rPr>
          <w:rFonts w:ascii="Times New Roman" w:hAnsi="Times New Roman" w:cs="Times New Roman"/>
          <w:sz w:val="24"/>
        </w:rPr>
      </w:pPr>
      <w:r>
        <w:rPr>
          <w:rFonts w:ascii="Times New Roman" w:hAnsi="Times New Roman"/>
          <w:b/>
          <w:sz w:val="24"/>
        </w:rPr>
        <w:t xml:space="preserve">Obrazac EU INS2 – Financijski konglomerati – Informacije o regulatornom kapitalu i stopi adekvatnosti kapitala. </w:t>
      </w:r>
      <w:r>
        <w:rPr>
          <w:rFonts w:ascii="Times New Roman" w:hAnsi="Times New Roman"/>
          <w:sz w:val="24"/>
        </w:rPr>
        <w:t>Fiksan format</w:t>
      </w:r>
    </w:p>
    <w:p w14:paraId="61F5C281" w14:textId="036EA471" w:rsidR="00295952" w:rsidRPr="007F4CC8" w:rsidRDefault="00295952"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bCs w:val="0"/>
          <w:color w:val="000000"/>
          <w:sz w:val="24"/>
        </w:rPr>
        <w:t>Prateći upute u nastavku ovog Priloga institucije ispunjavaju obrazac EU INS2 iz Priloga I. ovoj Provedbenoj uredbi,</w:t>
      </w:r>
      <w:r>
        <w:rPr>
          <w:rFonts w:ascii="Times New Roman" w:hAnsi="Times New Roman"/>
          <w:sz w:val="24"/>
        </w:rPr>
        <w:t xml:space="preserve"> </w:t>
      </w:r>
      <w:r>
        <w:rPr>
          <w:rFonts w:ascii="Times New Roman" w:hAnsi="Times New Roman"/>
          <w:color w:val="auto"/>
          <w:sz w:val="24"/>
        </w:rPr>
        <w:t xml:space="preserve">u skladu s člankom 438. točkom (g) </w:t>
      </w:r>
      <w:r>
        <w:rPr>
          <w:rFonts w:ascii="Times New Roman" w:hAnsi="Times New Roman"/>
          <w:bCs w:val="0"/>
          <w:color w:val="auto"/>
          <w:sz w:val="24"/>
        </w:rPr>
        <w:t>CRR-a</w:t>
      </w:r>
      <w:r>
        <w:rPr>
          <w:rFonts w:ascii="Times New Roman" w:hAnsi="Times New Roman"/>
          <w:color w:val="auto"/>
          <w:sz w:val="24"/>
        </w:rPr>
        <w:t>.</w:t>
      </w:r>
    </w:p>
    <w:p w14:paraId="2C33B06C" w14:textId="77777777" w:rsidR="00295952" w:rsidRPr="006944D5" w:rsidRDefault="00295952" w:rsidP="00295952">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7F4CC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7F4CC8" w:rsidRDefault="00295952" w:rsidP="00B2180A">
            <w:pPr>
              <w:rPr>
                <w:rFonts w:ascii="Times New Roman" w:hAnsi="Times New Roman" w:cs="Times New Roman"/>
                <w:b/>
                <w:sz w:val="24"/>
              </w:rPr>
            </w:pPr>
            <w:r>
              <w:rPr>
                <w:rFonts w:ascii="Times New Roman" w:hAnsi="Times New Roman"/>
                <w:b/>
                <w:sz w:val="24"/>
              </w:rPr>
              <w:t>Pravna osnova i upute</w:t>
            </w:r>
          </w:p>
        </w:tc>
      </w:tr>
      <w:tr w:rsidR="00295952" w:rsidRPr="007F4CC8" w14:paraId="38931EE1" w14:textId="77777777" w:rsidTr="00B2180A">
        <w:trPr>
          <w:trHeight w:val="238"/>
        </w:trPr>
        <w:tc>
          <w:tcPr>
            <w:tcW w:w="1384" w:type="dxa"/>
            <w:shd w:val="clear" w:color="auto" w:fill="D9D9D9" w:themeFill="background1" w:themeFillShade="D9"/>
          </w:tcPr>
          <w:p w14:paraId="5F0C6C00" w14:textId="77777777" w:rsidR="00295952" w:rsidRPr="007F4CC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7A981CBB" w14:textId="77777777" w:rsidR="00295952" w:rsidRPr="007F4CC8" w:rsidRDefault="00295952" w:rsidP="00B2180A">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295952" w:rsidRPr="007F4CC8" w14:paraId="06B27C97" w14:textId="77777777" w:rsidTr="00B2180A">
        <w:trPr>
          <w:trHeight w:val="680"/>
        </w:trPr>
        <w:tc>
          <w:tcPr>
            <w:tcW w:w="1384" w:type="dxa"/>
          </w:tcPr>
          <w:p w14:paraId="7F147BC5" w14:textId="77777777" w:rsidR="00295952" w:rsidRPr="007F4CC8" w:rsidRDefault="00295952" w:rsidP="00B2180A">
            <w:pPr>
              <w:pStyle w:val="Applicationdirecte"/>
              <w:spacing w:before="60"/>
              <w:jc w:val="center"/>
            </w:pPr>
            <w:r>
              <w:t>1</w:t>
            </w:r>
          </w:p>
        </w:tc>
        <w:tc>
          <w:tcPr>
            <w:tcW w:w="7655" w:type="dxa"/>
            <w:vAlign w:val="center"/>
          </w:tcPr>
          <w:p w14:paraId="4FDD3332" w14:textId="34430A5B"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 xml:space="preserve">Dodatni kapitalni zahtjevi financijskog konglomerata (iznos) </w:t>
            </w:r>
          </w:p>
          <w:p w14:paraId="7401DE1A" w14:textId="40167C3D" w:rsidR="00295952" w:rsidRPr="007F4CC8" w:rsidRDefault="000A3A4A" w:rsidP="00704085">
            <w:pPr>
              <w:spacing w:before="60" w:after="120"/>
              <w:jc w:val="both"/>
              <w:rPr>
                <w:rFonts w:ascii="Times New Roman" w:hAnsi="Times New Roman" w:cs="Times New Roman"/>
                <w:sz w:val="24"/>
              </w:rPr>
            </w:pPr>
            <w:r>
              <w:rPr>
                <w:rFonts w:ascii="Times New Roman" w:hAnsi="Times New Roman"/>
                <w:sz w:val="24"/>
              </w:rPr>
              <w:t>Iznos dodatnih kapitalnih zahtjeva financijskog konglomerata koji se izračunava u skladu s člankom 6. Direktive 2002/87/EZ Europskog parlamenta i Vijeća</w:t>
            </w:r>
            <w:r>
              <w:rPr>
                <w:rStyle w:val="FootnoteReference"/>
                <w:rFonts w:cs="Times New Roman"/>
              </w:rPr>
              <w:footnoteReference w:id="5"/>
            </w:r>
            <w:r>
              <w:rPr>
                <w:rFonts w:ascii="Times New Roman" w:hAnsi="Times New Roman"/>
                <w:sz w:val="24"/>
              </w:rPr>
              <w:t xml:space="preserve"> i Priloga I. toj direktivi ako se primjenjuje metoda 1 ili 2 iz Priloga I.</w:t>
            </w:r>
          </w:p>
        </w:tc>
      </w:tr>
      <w:tr w:rsidR="00295952" w:rsidRPr="007F4CC8" w14:paraId="1857A276" w14:textId="77777777" w:rsidTr="00B2180A">
        <w:trPr>
          <w:trHeight w:val="680"/>
        </w:trPr>
        <w:tc>
          <w:tcPr>
            <w:tcW w:w="1384" w:type="dxa"/>
          </w:tcPr>
          <w:p w14:paraId="08626B20" w14:textId="77777777" w:rsidR="00295952" w:rsidRPr="007F4CC8" w:rsidRDefault="00295952" w:rsidP="00B2180A">
            <w:pPr>
              <w:pStyle w:val="Applicationdirecte"/>
              <w:spacing w:before="60"/>
              <w:jc w:val="center"/>
            </w:pPr>
            <w:r>
              <w:lastRenderedPageBreak/>
              <w:t>2</w:t>
            </w:r>
          </w:p>
        </w:tc>
        <w:tc>
          <w:tcPr>
            <w:tcW w:w="7655" w:type="dxa"/>
            <w:vAlign w:val="center"/>
          </w:tcPr>
          <w:p w14:paraId="42B45BEE" w14:textId="77777777"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Stopa adekvatnosti kapitala financijskog konglomerata (%)</w:t>
            </w:r>
          </w:p>
          <w:p w14:paraId="1C3780DF" w14:textId="2B1ECEB3" w:rsidR="00295952" w:rsidRPr="007F4CC8" w:rsidRDefault="00295952" w:rsidP="00704085">
            <w:pPr>
              <w:spacing w:before="60" w:after="120"/>
              <w:jc w:val="both"/>
              <w:rPr>
                <w:rFonts w:ascii="Times New Roman" w:hAnsi="Times New Roman" w:cs="Times New Roman"/>
                <w:sz w:val="24"/>
              </w:rPr>
            </w:pPr>
            <w:r>
              <w:rPr>
                <w:rFonts w:ascii="Times New Roman" w:hAnsi="Times New Roman"/>
                <w:sz w:val="24"/>
              </w:rPr>
              <w:t>Stopa adekvatnosti kapitala financijskog konglomerata izračunava se u skladu s člankom 6. Direktive 2002/87/EZ Europskog parlamenta i Vijeća i Priloga I. toj direktivi ako se primjenjuje metoda 1 ili 2 iz Priloga I.</w:t>
            </w:r>
          </w:p>
        </w:tc>
      </w:tr>
    </w:tbl>
    <w:p w14:paraId="75004C3A" w14:textId="77777777" w:rsidR="00295952" w:rsidRPr="007F4CC8" w:rsidRDefault="00295952" w:rsidP="00E258D8">
      <w:pPr>
        <w:tabs>
          <w:tab w:val="left" w:pos="1430"/>
        </w:tabs>
        <w:rPr>
          <w:rFonts w:ascii="Times New Roman" w:hAnsi="Times New Roman" w:cs="Times New Roman"/>
          <w:b/>
          <w:sz w:val="24"/>
        </w:rPr>
      </w:pPr>
    </w:p>
    <w:p w14:paraId="2779323A" w14:textId="77777777" w:rsidR="00D15B1C" w:rsidRPr="007F4CC8" w:rsidRDefault="00D15B1C" w:rsidP="00E258D8">
      <w:pPr>
        <w:tabs>
          <w:tab w:val="left" w:pos="1430"/>
        </w:tabs>
        <w:rPr>
          <w:rFonts w:ascii="Times New Roman" w:hAnsi="Times New Roman" w:cs="Times New Roman"/>
          <w:b/>
          <w:sz w:val="24"/>
        </w:rPr>
      </w:pPr>
      <w:r>
        <w:rPr>
          <w:rFonts w:ascii="Times New Roman" w:hAnsi="Times New Roman"/>
          <w:b/>
          <w:sz w:val="24"/>
        </w:rPr>
        <w:t xml:space="preserve">Tablica EU OVC – Informacije o postupku procjene adekvatnosti internog kapitala. </w:t>
      </w:r>
      <w:r>
        <w:rPr>
          <w:rFonts w:ascii="Times New Roman" w:hAnsi="Times New Roman"/>
          <w:sz w:val="24"/>
        </w:rPr>
        <w:t>Fleksibilan format</w:t>
      </w:r>
    </w:p>
    <w:p w14:paraId="6F8896EF" w14:textId="77777777" w:rsidR="00D15B1C" w:rsidRPr="007F4CC8" w:rsidRDefault="00D15B1C" w:rsidP="00E258D8">
      <w:pPr>
        <w:tabs>
          <w:tab w:val="left" w:pos="1430"/>
        </w:tabs>
        <w:rPr>
          <w:rFonts w:ascii="Times New Roman" w:hAnsi="Times New Roman" w:cs="Times New Roman"/>
          <w:b/>
          <w:sz w:val="24"/>
        </w:rPr>
      </w:pPr>
    </w:p>
    <w:p w14:paraId="6613540B" w14:textId="775772DB" w:rsidR="00D15B1C" w:rsidRPr="007F4CC8" w:rsidRDefault="00D15B1C"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bCs w:val="0"/>
          <w:color w:val="000000"/>
          <w:sz w:val="24"/>
        </w:rPr>
        <w:t>Prateći upute u nastavku ovog Priloga institucije ispunjavaju obrazac EU OVC iz Priloga I.,</w:t>
      </w:r>
      <w:r>
        <w:rPr>
          <w:rFonts w:ascii="Times New Roman" w:hAnsi="Times New Roman"/>
          <w:sz w:val="24"/>
        </w:rPr>
        <w:t xml:space="preserve"> </w:t>
      </w:r>
      <w:r>
        <w:rPr>
          <w:rFonts w:ascii="Times New Roman" w:hAnsi="Times New Roman"/>
          <w:color w:val="auto"/>
          <w:sz w:val="24"/>
        </w:rPr>
        <w:t xml:space="preserve">u skladu s člankom 438. točkama (a) i (c) </w:t>
      </w:r>
      <w:r>
        <w:rPr>
          <w:rFonts w:ascii="Times New Roman" w:hAnsi="Times New Roman"/>
          <w:bCs w:val="0"/>
          <w:color w:val="auto"/>
          <w:sz w:val="24"/>
        </w:rPr>
        <w:t>CRR-a</w:t>
      </w:r>
      <w:r>
        <w:rPr>
          <w:rFonts w:ascii="Times New Roman" w:hAnsi="Times New Roman"/>
          <w:color w:val="auto"/>
          <w:sz w:val="24"/>
        </w:rPr>
        <w:t>.</w:t>
      </w:r>
    </w:p>
    <w:p w14:paraId="0E8C28B4" w14:textId="77777777" w:rsidR="00D15B1C" w:rsidRPr="007F4CC8" w:rsidRDefault="00D15B1C" w:rsidP="00E258D8">
      <w:pPr>
        <w:tabs>
          <w:tab w:val="left" w:pos="1430"/>
        </w:tabs>
        <w:rPr>
          <w:rFonts w:ascii="Times New Roman" w:hAnsi="Times New Roman" w:cs="Times New Roman"/>
          <w:b/>
          <w:sz w:val="24"/>
        </w:rPr>
      </w:pPr>
    </w:p>
    <w:p w14:paraId="32023AC9" w14:textId="77777777" w:rsidR="00D15B1C" w:rsidRPr="007F4CC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15B1C" w:rsidRPr="007F4CC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7F4CC8" w:rsidRDefault="00D15B1C" w:rsidP="00B2180A">
            <w:pPr>
              <w:rPr>
                <w:rFonts w:ascii="Times New Roman" w:hAnsi="Times New Roman" w:cs="Times New Roman"/>
                <w:b/>
                <w:sz w:val="24"/>
              </w:rPr>
            </w:pPr>
            <w:r>
              <w:rPr>
                <w:rFonts w:ascii="Times New Roman" w:hAnsi="Times New Roman"/>
                <w:b/>
                <w:sz w:val="24"/>
              </w:rPr>
              <w:t>Pravna osnova i upute</w:t>
            </w:r>
          </w:p>
        </w:tc>
      </w:tr>
      <w:tr w:rsidR="00D15B1C" w:rsidRPr="007F4CC8" w14:paraId="6CAC9422" w14:textId="77777777" w:rsidTr="00B2180A">
        <w:trPr>
          <w:trHeight w:val="238"/>
        </w:trPr>
        <w:tc>
          <w:tcPr>
            <w:tcW w:w="1384" w:type="dxa"/>
            <w:shd w:val="clear" w:color="auto" w:fill="D9D9D9" w:themeFill="background1" w:themeFillShade="D9"/>
          </w:tcPr>
          <w:p w14:paraId="090C73F5" w14:textId="77777777" w:rsidR="00D15B1C" w:rsidRPr="007F4CC8" w:rsidRDefault="00D15B1C" w:rsidP="00B2180A">
            <w:pPr>
              <w:autoSpaceDE w:val="0"/>
              <w:autoSpaceDN w:val="0"/>
              <w:adjustRightInd w:val="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3DC94017" w14:textId="77777777" w:rsidR="00D15B1C" w:rsidRPr="007F4CC8" w:rsidRDefault="00D15B1C" w:rsidP="00B2180A">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D15B1C" w:rsidRPr="007F4CC8" w14:paraId="53740EA1" w14:textId="77777777" w:rsidTr="00B2180A">
        <w:trPr>
          <w:trHeight w:val="680"/>
        </w:trPr>
        <w:tc>
          <w:tcPr>
            <w:tcW w:w="1384" w:type="dxa"/>
          </w:tcPr>
          <w:p w14:paraId="33BBDE21" w14:textId="2466B35E" w:rsidR="00D15B1C" w:rsidRPr="007F4CC8" w:rsidRDefault="00D85025" w:rsidP="00B2180A">
            <w:pPr>
              <w:pStyle w:val="Applicationdirecte"/>
              <w:spacing w:before="60"/>
              <w:jc w:val="center"/>
            </w:pPr>
            <w:r>
              <w:t>(a)</w:t>
            </w:r>
          </w:p>
        </w:tc>
        <w:tc>
          <w:tcPr>
            <w:tcW w:w="7655" w:type="dxa"/>
            <w:vAlign w:val="center"/>
          </w:tcPr>
          <w:p w14:paraId="4945628B" w14:textId="77777777" w:rsidR="00B05624" w:rsidRPr="007F4CC8" w:rsidRDefault="00B05624" w:rsidP="00B2180A">
            <w:pPr>
              <w:spacing w:before="60" w:after="120"/>
              <w:jc w:val="both"/>
              <w:rPr>
                <w:rFonts w:ascii="Times New Roman" w:hAnsi="Times New Roman" w:cs="Times New Roman"/>
                <w:sz w:val="24"/>
              </w:rPr>
            </w:pPr>
            <w:r>
              <w:rPr>
                <w:rFonts w:ascii="Times New Roman" w:hAnsi="Times New Roman"/>
                <w:sz w:val="24"/>
              </w:rPr>
              <w:t>Pristup procjeni adekvatnosti internog kapitala</w:t>
            </w:r>
          </w:p>
          <w:p w14:paraId="05E23E13" w14:textId="77777777" w:rsidR="00D15B1C" w:rsidRPr="007F4CC8" w:rsidRDefault="00B05624" w:rsidP="00B05624">
            <w:pPr>
              <w:spacing w:before="60" w:after="120"/>
              <w:jc w:val="both"/>
              <w:rPr>
                <w:rFonts w:ascii="Times New Roman" w:hAnsi="Times New Roman" w:cs="Times New Roman"/>
                <w:sz w:val="24"/>
              </w:rPr>
            </w:pPr>
            <w:r>
              <w:rPr>
                <w:rFonts w:ascii="Times New Roman" w:hAnsi="Times New Roman"/>
                <w:sz w:val="24"/>
              </w:rPr>
              <w:t>Institucije objavljuju sažetak svojeg pristupa procjeni adekvatnosti svojeg internog kapitala za potporu tekućim i budućim aktivnostima.</w:t>
            </w:r>
          </w:p>
        </w:tc>
      </w:tr>
      <w:tr w:rsidR="00D15B1C" w:rsidRPr="007F4CC8" w14:paraId="3EB24671" w14:textId="77777777" w:rsidTr="00B2180A">
        <w:trPr>
          <w:trHeight w:val="680"/>
        </w:trPr>
        <w:tc>
          <w:tcPr>
            <w:tcW w:w="1384" w:type="dxa"/>
          </w:tcPr>
          <w:p w14:paraId="26622B61" w14:textId="577E7939" w:rsidR="00D15B1C" w:rsidRPr="007F4CC8" w:rsidRDefault="00D85025" w:rsidP="00B2180A">
            <w:pPr>
              <w:pStyle w:val="Applicationdirecte"/>
              <w:spacing w:before="60"/>
              <w:jc w:val="center"/>
            </w:pPr>
            <w:r>
              <w:t>(b)</w:t>
            </w:r>
          </w:p>
        </w:tc>
        <w:tc>
          <w:tcPr>
            <w:tcW w:w="7655" w:type="dxa"/>
            <w:vAlign w:val="center"/>
          </w:tcPr>
          <w:p w14:paraId="1F26E981" w14:textId="77777777" w:rsidR="00B05624" w:rsidRPr="007F4CC8" w:rsidRDefault="00B05624" w:rsidP="00B2180A">
            <w:pPr>
              <w:spacing w:before="60" w:after="120"/>
              <w:jc w:val="both"/>
              <w:rPr>
                <w:rFonts w:ascii="Times New Roman" w:hAnsi="Times New Roman" w:cs="Times New Roman"/>
                <w:sz w:val="24"/>
              </w:rPr>
            </w:pPr>
            <w:r>
              <w:rPr>
                <w:rFonts w:ascii="Times New Roman" w:hAnsi="Times New Roman"/>
                <w:sz w:val="24"/>
              </w:rPr>
              <w:t>Na zahtjev relevantnog nadležnog tijela, rezultat postupka procjene adekvatnosti internoga kapitala institucije</w:t>
            </w:r>
          </w:p>
          <w:p w14:paraId="32D8B55C" w14:textId="77777777" w:rsidR="00D15B1C" w:rsidRPr="007F4CC8" w:rsidRDefault="00B05624" w:rsidP="00B2180A">
            <w:pPr>
              <w:spacing w:before="60" w:after="120"/>
              <w:jc w:val="both"/>
              <w:rPr>
                <w:rFonts w:ascii="Times New Roman" w:hAnsi="Times New Roman" w:cs="Times New Roman"/>
                <w:sz w:val="24"/>
              </w:rPr>
            </w:pPr>
            <w:r>
              <w:rPr>
                <w:rFonts w:ascii="Times New Roman" w:hAnsi="Times New Roman"/>
                <w:sz w:val="24"/>
              </w:rPr>
              <w:t>Institucije ove informacije objavljuju samo na zahtjev relevantnog nadležnog tijela.</w:t>
            </w:r>
          </w:p>
        </w:tc>
      </w:tr>
    </w:tbl>
    <w:p w14:paraId="5845237B" w14:textId="256996C7" w:rsidR="00600593" w:rsidRPr="007F4CC8" w:rsidRDefault="00600593" w:rsidP="00E258D8">
      <w:pPr>
        <w:tabs>
          <w:tab w:val="left" w:pos="1430"/>
        </w:tabs>
        <w:rPr>
          <w:rFonts w:ascii="Times New Roman" w:hAnsi="Times New Roman" w:cs="Times New Roman"/>
          <w:b/>
          <w:sz w:val="24"/>
        </w:rPr>
      </w:pPr>
    </w:p>
    <w:p w14:paraId="0828005B" w14:textId="77777777" w:rsidR="007A7DC0" w:rsidRPr="007F4CC8" w:rsidRDefault="007A7DC0">
      <w:pPr>
        <w:rPr>
          <w:rFonts w:ascii="Times New Roman" w:hAnsi="Times New Roman" w:cs="Times New Roman"/>
          <w:b/>
          <w:sz w:val="24"/>
        </w:rPr>
        <w:sectPr w:rsidR="007A7DC0" w:rsidRPr="007F4CC8" w:rsidSect="00155C96">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pgNumType w:start="1" w:chapStyle="1"/>
          <w:cols w:space="708"/>
          <w:docGrid w:linePitch="299"/>
        </w:sectPr>
      </w:pPr>
    </w:p>
    <w:p w14:paraId="3A51FABE" w14:textId="77777777" w:rsidR="00600593" w:rsidRPr="007F4CC8" w:rsidRDefault="00600593" w:rsidP="00600593">
      <w:pPr>
        <w:pStyle w:val="Annexetitre"/>
        <w:rPr>
          <w:b w:val="0"/>
        </w:rPr>
      </w:pPr>
      <w:r>
        <w:lastRenderedPageBreak/>
        <w:t>PRILOG IV. – Upute za objavu ciljeva i politika upravljanja rizicima</w:t>
      </w:r>
    </w:p>
    <w:p w14:paraId="760D0F94" w14:textId="77777777" w:rsidR="00600593" w:rsidRPr="007F4CC8" w:rsidRDefault="00600593" w:rsidP="00600593">
      <w:pPr>
        <w:rPr>
          <w:rFonts w:ascii="Times New Roman" w:hAnsi="Times New Roman" w:cs="Times New Roman"/>
          <w:sz w:val="24"/>
        </w:rPr>
      </w:pPr>
    </w:p>
    <w:p w14:paraId="6E1BA8AF" w14:textId="5AF7203A" w:rsidR="00600593" w:rsidRPr="007F4CC8" w:rsidRDefault="00D95507" w:rsidP="00600593">
      <w:pPr>
        <w:rPr>
          <w:rFonts w:ascii="Times New Roman" w:hAnsi="Times New Roman" w:cs="Times New Roman"/>
          <w:sz w:val="24"/>
        </w:rPr>
      </w:pPr>
      <w:r>
        <w:rPr>
          <w:rFonts w:ascii="Times New Roman" w:hAnsi="Times New Roman"/>
          <w:b/>
          <w:sz w:val="24"/>
        </w:rPr>
        <w:t>Tablica EU OVA – Pristup institucije upravljanju rizicima.</w:t>
      </w:r>
      <w:r>
        <w:rPr>
          <w:rFonts w:ascii="Times New Roman" w:hAnsi="Times New Roman"/>
          <w:sz w:val="24"/>
        </w:rPr>
        <w:t xml:space="preserve"> Polja za slobodan unos teksta za objavu kvalitativnih informacija</w:t>
      </w:r>
    </w:p>
    <w:p w14:paraId="36232E99" w14:textId="25375531" w:rsidR="00600593" w:rsidRPr="007F4CC8" w:rsidRDefault="00600593" w:rsidP="00E70D84">
      <w:pPr>
        <w:pStyle w:val="ListParagraph"/>
        <w:numPr>
          <w:ilvl w:val="0"/>
          <w:numId w:val="17"/>
        </w:numPr>
        <w:spacing w:before="120" w:after="120"/>
        <w:ind w:left="426"/>
        <w:jc w:val="both"/>
        <w:rPr>
          <w:rFonts w:ascii="Times New Roman" w:hAnsi="Times New Roman"/>
          <w:sz w:val="24"/>
        </w:rPr>
      </w:pPr>
      <w:r>
        <w:rPr>
          <w:rFonts w:ascii="Times New Roman" w:hAnsi="Times New Roman"/>
          <w:sz w:val="24"/>
        </w:rPr>
        <w:t>Institucije objavljuju informacije iz članka 435. stavka 1. Uredbe (EU) 575/2013</w:t>
      </w:r>
      <w:r>
        <w:rPr>
          <w:rStyle w:val="FootnoteReference"/>
        </w:rPr>
        <w:footnoteReference w:id="6"/>
      </w:r>
      <w:r>
        <w:rPr>
          <w:rFonts w:ascii="Times New Roman" w:hAnsi="Times New Roman"/>
          <w:sz w:val="24"/>
        </w:rPr>
        <w:t xml:space="preserve"> („CRR”) prateći upute u nastavku ovog Priloga za popunjavanje tablice EU OVA iz Priloga III. ovoj Provedbenoj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7F4CC8" w14:paraId="0F2518FC"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BF6225" w14:textId="77777777" w:rsidR="00600593" w:rsidRPr="007F4CC8" w:rsidRDefault="00600593" w:rsidP="00803BB4">
            <w:pPr>
              <w:rPr>
                <w:rFonts w:ascii="Times New Roman" w:hAnsi="Times New Roman" w:cs="Times New Roman"/>
                <w:b/>
                <w:sz w:val="24"/>
              </w:rPr>
            </w:pPr>
            <w:r>
              <w:rPr>
                <w:rFonts w:ascii="Times New Roman" w:hAnsi="Times New Roman"/>
                <w:b/>
                <w:sz w:val="24"/>
              </w:rPr>
              <w:t>Pravna osnova i upute</w:t>
            </w:r>
          </w:p>
        </w:tc>
      </w:tr>
      <w:tr w:rsidR="00600593" w:rsidRPr="007F4CC8" w14:paraId="197AC157" w14:textId="77777777" w:rsidTr="00803BB4">
        <w:trPr>
          <w:trHeight w:val="238"/>
        </w:trPr>
        <w:tc>
          <w:tcPr>
            <w:tcW w:w="1384" w:type="dxa"/>
            <w:shd w:val="clear" w:color="auto" w:fill="D9D9D9" w:themeFill="background1" w:themeFillShade="D9"/>
          </w:tcPr>
          <w:p w14:paraId="1D3C329F" w14:textId="77777777" w:rsidR="00600593" w:rsidRPr="007F4CC8" w:rsidRDefault="00600593" w:rsidP="00803BB4">
            <w:pPr>
              <w:autoSpaceDE w:val="0"/>
              <w:autoSpaceDN w:val="0"/>
              <w:adjustRightInd w:val="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296EC4A5"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600593" w:rsidRPr="007F4CC8" w14:paraId="36EA873F" w14:textId="77777777" w:rsidTr="00803BB4">
        <w:trPr>
          <w:trHeight w:val="1803"/>
        </w:trPr>
        <w:tc>
          <w:tcPr>
            <w:tcW w:w="1384" w:type="dxa"/>
          </w:tcPr>
          <w:p w14:paraId="1557E074" w14:textId="77777777" w:rsidR="00600593" w:rsidRPr="007F4CC8" w:rsidRDefault="00600593" w:rsidP="00803BB4">
            <w:pPr>
              <w:pStyle w:val="Applicationdirecte"/>
              <w:spacing w:before="120"/>
            </w:pPr>
            <w:r>
              <w:t>(a)</w:t>
            </w:r>
          </w:p>
        </w:tc>
        <w:tc>
          <w:tcPr>
            <w:tcW w:w="7655" w:type="dxa"/>
          </w:tcPr>
          <w:p w14:paraId="674A7E4E" w14:textId="119182B9" w:rsidR="00600593" w:rsidRPr="007F4CC8" w:rsidRDefault="00600593" w:rsidP="00803BB4">
            <w:pPr>
              <w:spacing w:before="120" w:after="120"/>
              <w:jc w:val="both"/>
              <w:rPr>
                <w:rFonts w:ascii="Times New Roman" w:hAnsi="Times New Roman" w:cs="Times New Roman"/>
                <w:sz w:val="24"/>
              </w:rPr>
            </w:pPr>
            <w:r>
              <w:rPr>
                <w:rFonts w:ascii="Times New Roman" w:hAnsi="Times New Roman"/>
                <w:sz w:val="24"/>
              </w:rPr>
              <w:t>Kratka izjava o rizicima koju je odobrilo upravljačko tijelo u skladu s člankom 435. stavkom 1. točkom (f) CRR-a u kojoj se opisuje odnos poslovnog modela i ukupnog profila rizičnosti: na primjer, ključni rizici koji se odnose na poslovni model te kako je svaki od tih rizika opisan u objavama o rizicima ili kako je profil rizičnosti institucije povezan s tolerancijom rizika koju je odobrilo upravljačko tijelo.</w:t>
            </w:r>
          </w:p>
          <w:p w14:paraId="2FDC7112" w14:textId="77777777" w:rsidR="00600593" w:rsidRPr="007F4CC8" w:rsidRDefault="00600593" w:rsidP="00803BB4">
            <w:pPr>
              <w:spacing w:before="120" w:after="120"/>
              <w:jc w:val="both"/>
              <w:rPr>
                <w:rFonts w:ascii="Times New Roman" w:hAnsi="Times New Roman" w:cs="Times New Roman"/>
                <w:sz w:val="24"/>
              </w:rPr>
            </w:pPr>
            <w:r>
              <w:rPr>
                <w:rFonts w:ascii="Times New Roman" w:hAnsi="Times New Roman"/>
                <w:sz w:val="24"/>
              </w:rPr>
              <w:t>U izjavi o rizicima u skladu s člankom 435. stavkom 1. točkom (f) CRR-a institucije objavljuju i informacije o prirodi, opsegu, svrsi i ekonomskoj biti najznačajnijih transakcija unutar grupe, ovisnih i povezanih društava. Objava je ograničena na transakcije koje značajno utječu na profil rizičnosti institucije (uključujući reputacijski rizik) ili na distribuciju rizika unutar grupe. Institucije iskazuju i najvažnije omjere i brojčane podatke koji pokazuju kako je profil rizičnosti institucije povezan s tolerancijom rizika koju odredi upravljačko tijelo.</w:t>
            </w:r>
          </w:p>
        </w:tc>
      </w:tr>
      <w:tr w:rsidR="00600593" w:rsidRPr="007F4CC8" w14:paraId="72E9B739" w14:textId="77777777" w:rsidTr="00803BB4">
        <w:trPr>
          <w:trHeight w:val="316"/>
        </w:trPr>
        <w:tc>
          <w:tcPr>
            <w:tcW w:w="1384" w:type="dxa"/>
          </w:tcPr>
          <w:p w14:paraId="5E534F35"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3D127D7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Informacije koje se objavljuju u skladu s člankom 435. stavkom 1. točkom (b) CRR-a uključuju strukturu upravljanja rizicima za svaku vrstu rizika: odgovornosti dodijeljene u instituciji (uključujući, ako je relevantno, nadzor i delegiranje nadležnosti te raščlambu odgovornosti između upravljačkog tijela, poslovnih linija i funkcije upravljanja rizicima po vrsti rizika, poslovnoj jedinici, te druge relevantne informacije); odnos između tijela i funkcija koji sudjeluju u procesima upravljanja rizicima (uključujući, ovisno o slučaju, upravljačko tijelo, odbor za rizike, funkciju upravljanja rizicima, funkciju ispunjenja zahtjeva i funkciju unutarnje revizije); te organizacijske postupke i postupke unutarnje kontrole. </w:t>
            </w:r>
          </w:p>
          <w:p w14:paraId="0965316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Pri objavi informacija o strukturi i organizaciji relevantne funkcije upravljanja rizicima institucije tu objavu dopunjuju sljedećim informacijama: </w:t>
            </w:r>
          </w:p>
          <w:p w14:paraId="0A25F699"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informacijama o ukupnom okviru unutarnje kontrole i organizaciji njezinih kontrolnih funkcija (nadležnost, resursi, statut, neovisnost), najvažnijim poslovima koje obavljaju te o svim stvarnim i planiranim značajnim promjenama tih funkcija, </w:t>
            </w:r>
          </w:p>
          <w:p w14:paraId="6D71F072"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odobrenim ograničenjima rizika kojima je institucija izložena, </w:t>
            </w:r>
          </w:p>
          <w:p w14:paraId="47222D57"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lastRenderedPageBreak/>
              <w:t>promjenama voditelja unutarnje kontrole, upravljanja rizicima, ispunjenja zahtjeva i unutarnje revizije,</w:t>
            </w:r>
          </w:p>
          <w:p w14:paraId="05323A0D"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kanalima za komunikaciju o kulturi rizika, njezinom padu i jačanju, unutar institucije (na primjer, postoje li etički kodeksi, priručnici koji sadržavaju operativna ograničenja ili postupke u slučaju kršenja ili povreda pragova rizika ili postupke za postavljanje i razmjenu pitanja o rizicima između poslovnih linija i funkcija upravljanja rizicima).</w:t>
            </w:r>
          </w:p>
        </w:tc>
      </w:tr>
      <w:tr w:rsidR="00600593" w:rsidRPr="007F4CC8" w14:paraId="37D179D5" w14:textId="77777777" w:rsidTr="00803BB4">
        <w:trPr>
          <w:trHeight w:val="316"/>
        </w:trPr>
        <w:tc>
          <w:tcPr>
            <w:tcW w:w="1384" w:type="dxa"/>
          </w:tcPr>
          <w:p w14:paraId="0B26EFE2"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(c)</w:t>
            </w:r>
          </w:p>
        </w:tc>
        <w:tc>
          <w:tcPr>
            <w:tcW w:w="7655" w:type="dxa"/>
          </w:tcPr>
          <w:p w14:paraId="6FCD7369" w14:textId="7FC73E53"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Izjavu koju institucija objavljuje u skladu s člankom 435. stavkom 1. točkom (e) CRR-a o adekvatnosti aranžmana upravljanja rizicima treba odobriti upravljačko tijelo i njome se jamči da je postojeći sustav upravljanja rizicima adekvatan s obzirom na profil rizičnosti institucije i njezinu strategiju.</w:t>
            </w:r>
          </w:p>
        </w:tc>
      </w:tr>
      <w:tr w:rsidR="00600593" w:rsidRPr="007F4CC8" w14:paraId="67618ABC" w14:textId="77777777" w:rsidTr="00803BB4">
        <w:trPr>
          <w:trHeight w:val="316"/>
        </w:trPr>
        <w:tc>
          <w:tcPr>
            <w:tcW w:w="1384" w:type="dxa"/>
          </w:tcPr>
          <w:p w14:paraId="7A3BAF6D"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655" w:type="dxa"/>
          </w:tcPr>
          <w:p w14:paraId="5EC5DAA3"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U okviru objava iz članka 435. stavka 1. točke (c) CRR-a institucije objavljuju i informacije o opsegu i prirodi objave o rizicima i/ili sustave mjerenja te opis toka informacija o rizicima do upravljačkog tijela i višeg rukovodstva. </w:t>
            </w:r>
          </w:p>
        </w:tc>
      </w:tr>
      <w:tr w:rsidR="00600593" w:rsidRPr="007F4CC8" w14:paraId="7A8B78B9" w14:textId="77777777" w:rsidTr="00803BB4">
        <w:trPr>
          <w:trHeight w:val="316"/>
        </w:trPr>
        <w:tc>
          <w:tcPr>
            <w:tcW w:w="1384" w:type="dxa"/>
          </w:tcPr>
          <w:p w14:paraId="2414413D"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38178D10"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Pri navođenju informacija o glavnim značajkama objave o rizicima i sustava mjerenja rizika u skladu s člankom 435. stavkom 1. točkom (c) CRR-a institucije objavljuju informacije o svojim politikama sustavnih i redovitih revizija strategija upravljanja rizicima te periodičnu procjenu njihove učinkovitosti. </w:t>
            </w:r>
          </w:p>
        </w:tc>
      </w:tr>
      <w:tr w:rsidR="00600593" w:rsidRPr="007F4CC8" w14:paraId="7A1D3EEF" w14:textId="77777777" w:rsidTr="00803BB4">
        <w:trPr>
          <w:trHeight w:val="316"/>
        </w:trPr>
        <w:tc>
          <w:tcPr>
            <w:tcW w:w="1384" w:type="dxa"/>
          </w:tcPr>
          <w:p w14:paraId="53A35036"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(f)</w:t>
            </w:r>
          </w:p>
        </w:tc>
        <w:tc>
          <w:tcPr>
            <w:tcW w:w="7655" w:type="dxa"/>
          </w:tcPr>
          <w:p w14:paraId="3B48FCF6"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Objave o strategijama i procesima upravljanja rizika u skladu s člankom 435. stavkom 1. točkom (a) CRR-a uključuju kvalitativne informacije o testiranju otpornosti na stres, npr. o portfeljima na koje se pri upravljanju rizicima primjenjuje testiranje otpornosti na stres. </w:t>
            </w:r>
          </w:p>
        </w:tc>
      </w:tr>
      <w:tr w:rsidR="00600593" w:rsidRPr="007F4CC8" w14:paraId="39F4F7F3" w14:textId="77777777" w:rsidTr="00803BB4">
        <w:trPr>
          <w:trHeight w:val="316"/>
        </w:trPr>
        <w:tc>
          <w:tcPr>
            <w:tcW w:w="1384" w:type="dxa"/>
          </w:tcPr>
          <w:p w14:paraId="4F04414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(g)</w:t>
            </w:r>
          </w:p>
        </w:tc>
        <w:tc>
          <w:tcPr>
            <w:tcW w:w="7655" w:type="dxa"/>
          </w:tcPr>
          <w:p w14:paraId="7149DECB"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Institucije dostavljaju informacije o strategijama i procesima upravljanja rizicima, zaštite od rizika i smanjenja rizika, te o praćenju učinkovitosti zaštite od rizika i smanjenja rizika u skladu s člankom 435. stavkom 1. točkama (a) i (d) CRR-a za rizike koji proizlaze iz poslovnog modela institucije. </w:t>
            </w:r>
          </w:p>
        </w:tc>
      </w:tr>
    </w:tbl>
    <w:p w14:paraId="05D8F5D4" w14:textId="77777777" w:rsidR="00600593" w:rsidRPr="007F4CC8" w:rsidRDefault="00600593" w:rsidP="00600593">
      <w:pPr>
        <w:rPr>
          <w:rFonts w:ascii="Times New Roman" w:hAnsi="Times New Roman" w:cs="Times New Roman"/>
          <w:b/>
          <w:sz w:val="24"/>
        </w:rPr>
      </w:pPr>
    </w:p>
    <w:p w14:paraId="6F5B839B" w14:textId="56762732" w:rsidR="00600593" w:rsidRPr="007F4CC8" w:rsidRDefault="00D95507" w:rsidP="00600593">
      <w:pPr>
        <w:rPr>
          <w:rFonts w:ascii="Times New Roman" w:hAnsi="Times New Roman" w:cs="Times New Roman"/>
          <w:sz w:val="24"/>
        </w:rPr>
      </w:pPr>
      <w:r>
        <w:rPr>
          <w:rFonts w:ascii="Times New Roman" w:hAnsi="Times New Roman"/>
          <w:b/>
          <w:sz w:val="24"/>
        </w:rPr>
        <w:t xml:space="preserve">Tablica EU OVB – Objava informacija o mehanizmima upravljanja. </w:t>
      </w:r>
      <w:r>
        <w:rPr>
          <w:rFonts w:ascii="Times New Roman" w:hAnsi="Times New Roman"/>
          <w:sz w:val="24"/>
        </w:rPr>
        <w:t>Polja za slobodan unos teksta za objavu kvalitativnih informacija.</w:t>
      </w:r>
    </w:p>
    <w:p w14:paraId="24D4B6FD" w14:textId="1BC06BBE" w:rsidR="00600593" w:rsidRPr="007F4CC8" w:rsidRDefault="00600593" w:rsidP="00E70D84">
      <w:pPr>
        <w:pStyle w:val="ListParagraph"/>
        <w:numPr>
          <w:ilvl w:val="0"/>
          <w:numId w:val="17"/>
        </w:numPr>
        <w:spacing w:before="120" w:after="120"/>
        <w:ind w:left="426"/>
        <w:jc w:val="both"/>
        <w:rPr>
          <w:rFonts w:ascii="Times New Roman" w:hAnsi="Times New Roman"/>
          <w:sz w:val="24"/>
        </w:rPr>
      </w:pPr>
      <w:r>
        <w:rPr>
          <w:rFonts w:ascii="Times New Roman" w:hAnsi="Times New Roman"/>
          <w:sz w:val="24"/>
        </w:rPr>
        <w:t>Institucije objavljuju informacije iz članka 435. stavka 2. CRR-a prateći upute u nastavku ovog Priloga za popunjavanje tablice EU OVB iz Priloga III. ovoj Provedbenoj uredbi.</w:t>
      </w:r>
    </w:p>
    <w:p w14:paraId="0F7CCE1F" w14:textId="77777777" w:rsidR="00600593" w:rsidRPr="007F4CC8" w:rsidRDefault="00600593" w:rsidP="00600593">
      <w:pPr>
        <w:rPr>
          <w:rFonts w:ascii="Times New Roman" w:hAnsi="Times New Roman" w:cs="Times New Roman"/>
          <w:sz w:val="24"/>
        </w:rPr>
      </w:pPr>
    </w:p>
    <w:p w14:paraId="41FC364E" w14:textId="77777777" w:rsidR="00600593" w:rsidRPr="007F4CC8" w:rsidRDefault="00600593" w:rsidP="00600593">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7F4CC8" w14:paraId="65218F3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C2D46" w14:textId="77777777" w:rsidR="00600593" w:rsidRPr="007F4CC8" w:rsidRDefault="00600593" w:rsidP="00803BB4">
            <w:pPr>
              <w:rPr>
                <w:rFonts w:ascii="Times New Roman" w:hAnsi="Times New Roman" w:cs="Times New Roman"/>
                <w:b/>
                <w:sz w:val="24"/>
              </w:rPr>
            </w:pPr>
            <w:r>
              <w:rPr>
                <w:rFonts w:ascii="Times New Roman" w:hAnsi="Times New Roman"/>
                <w:b/>
                <w:sz w:val="24"/>
              </w:rPr>
              <w:t>Pravna osnova i upute</w:t>
            </w:r>
          </w:p>
        </w:tc>
      </w:tr>
      <w:tr w:rsidR="00600593" w:rsidRPr="007F4CC8" w14:paraId="77F46B86" w14:textId="77777777" w:rsidTr="00803BB4">
        <w:trPr>
          <w:trHeight w:val="238"/>
        </w:trPr>
        <w:tc>
          <w:tcPr>
            <w:tcW w:w="1384" w:type="dxa"/>
            <w:shd w:val="clear" w:color="auto" w:fill="D9D9D9" w:themeFill="background1" w:themeFillShade="D9"/>
          </w:tcPr>
          <w:p w14:paraId="538071C5" w14:textId="77777777" w:rsidR="00600593" w:rsidRPr="007F4CC8" w:rsidRDefault="00600593" w:rsidP="00803BB4">
            <w:pPr>
              <w:autoSpaceDE w:val="0"/>
              <w:autoSpaceDN w:val="0"/>
              <w:adjustRightInd w:val="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01997A45"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600593" w:rsidRPr="007F4CC8" w14:paraId="6E61BF7A" w14:textId="77777777" w:rsidTr="00803BB4">
        <w:trPr>
          <w:trHeight w:val="316"/>
        </w:trPr>
        <w:tc>
          <w:tcPr>
            <w:tcW w:w="1384" w:type="dxa"/>
          </w:tcPr>
          <w:p w14:paraId="76CDF84D"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sz w:val="24"/>
              </w:rPr>
              <w:t>(a)</w:t>
            </w:r>
          </w:p>
        </w:tc>
        <w:tc>
          <w:tcPr>
            <w:tcW w:w="7655" w:type="dxa"/>
          </w:tcPr>
          <w:p w14:paraId="56BB9AA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Institucije objavljuju broj direktorskih mjesta na kojima se nalaze članovi upravljačkoga tijela u skladu s člankom 435. stavkom 2. CRR-a. Pri objavi informacija primjenjuju se sljedeće specifikacije:</w:t>
            </w:r>
          </w:p>
          <w:p w14:paraId="7629F706"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lastRenderedPageBreak/>
              <w:t>institucije u skladu s člankom 91. stavcima 3. i 4. Direktive 2013/36/EU</w:t>
            </w:r>
            <w:r>
              <w:rPr>
                <w:rStyle w:val="FootnoteReference"/>
                <w:rFonts w:eastAsia="Times New Roman"/>
              </w:rPr>
              <w:footnoteReference w:id="7"/>
            </w:r>
            <w:r>
              <w:rPr>
                <w:rFonts w:ascii="Times New Roman" w:hAnsi="Times New Roman"/>
                <w:sz w:val="24"/>
                <w:szCs w:val="24"/>
              </w:rPr>
              <w:t xml:space="preserve"> („CRD”) objavljuju broj direktorskih mjesta nabrojanih u tom članku,</w:t>
            </w:r>
          </w:p>
          <w:p w14:paraId="42F69E03"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institucije objavljuju broj direktorskih mjesta na kojima se zaista nalazi svaki član upravljačkoga tijela (društvo grupe, kvalificirani udjel ili institucija iz istog institucionalnog sustava zaštite i direktorsko mjesto jest/nije izvršno) neovisno o tome je li direktorsko mjesto u subjektu koji ima komercijalne ciljeve,</w:t>
            </w:r>
          </w:p>
          <w:p w14:paraId="0A18A43F"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ako nadležno tijelo odobri dodatno direktorsko mjesto, sve institucije u kojima taj član ima direktorsko mjesto objavljuju tu činjenicu zajedno s nazivom nadležnog tijela koje je odobrilo dodatno direktorsko mjesto.</w:t>
            </w:r>
          </w:p>
        </w:tc>
      </w:tr>
      <w:tr w:rsidR="00600593" w:rsidRPr="007F4CC8" w14:paraId="601A208C" w14:textId="77777777" w:rsidTr="00803BB4">
        <w:trPr>
          <w:trHeight w:val="316"/>
        </w:trPr>
        <w:tc>
          <w:tcPr>
            <w:tcW w:w="1384" w:type="dxa"/>
          </w:tcPr>
          <w:p w14:paraId="36FBAD2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(b)</w:t>
            </w:r>
          </w:p>
        </w:tc>
        <w:tc>
          <w:tcPr>
            <w:tcW w:w="7655" w:type="dxa"/>
          </w:tcPr>
          <w:p w14:paraId="702F4294"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Pri objavi informacija o politici zapošljavanja za odabir članova upravljačkog tijela u skladu s člankom 435. stavkom 2. točkom (b) CRR-a) institucije navode informacije o njihovom stvarnom znanju, sposobnostima i stručnosti. Institucije uključuju informacije o politici koja bi mogla proizaći iz planiranja sukcesije te o svim predviđenim promjenama ukupnog sastava upravljačkog tijela.</w:t>
            </w:r>
          </w:p>
        </w:tc>
      </w:tr>
      <w:tr w:rsidR="00600593" w:rsidRPr="007F4CC8" w14:paraId="19AC202D" w14:textId="77777777" w:rsidTr="00803BB4">
        <w:trPr>
          <w:trHeight w:val="316"/>
        </w:trPr>
        <w:tc>
          <w:tcPr>
            <w:tcW w:w="1384" w:type="dxa"/>
          </w:tcPr>
          <w:p w14:paraId="655F9391"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(c)</w:t>
            </w:r>
          </w:p>
        </w:tc>
        <w:tc>
          <w:tcPr>
            <w:tcW w:w="7655" w:type="dxa"/>
          </w:tcPr>
          <w:p w14:paraId="1EAD136B"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Pri objavi informacija o politici raznovrsnosti u skladu s člankom 435. stavkom 2. točkom (c) CRR-a institucije objavljuju informacije o svrsi i svim relevantnim ciljevima te politike te opsegu njihova ostvarenja. </w:t>
            </w:r>
          </w:p>
          <w:p w14:paraId="70CEBF5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Institucije osobito objavljuju informacije o politici rodne raznolikosti, uključujući: </w:t>
            </w:r>
          </w:p>
          <w:p w14:paraId="46906EA3"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ako je utvrđen cilj za manje zastupljeni spol i za politike raznolikosti u smislu dobi, obrazovanja, profesionalnog iskustva i geografskog podrijetla, utvrđeni cilj i opseg ostvarenja ciljeva, </w:t>
            </w:r>
          </w:p>
          <w:p w14:paraId="2DF135DD"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ako cilj nije ostvaren, institucije objavljuju razloge i, ako je relevantno, mjere koje su poduzete za ostvarenje određenog cilja u određenom roku.</w:t>
            </w:r>
          </w:p>
        </w:tc>
      </w:tr>
      <w:tr w:rsidR="00600593" w:rsidRPr="007F4CC8" w14:paraId="2E4705B5" w14:textId="77777777" w:rsidTr="00803BB4">
        <w:trPr>
          <w:trHeight w:val="316"/>
        </w:trPr>
        <w:tc>
          <w:tcPr>
            <w:tcW w:w="1384" w:type="dxa"/>
          </w:tcPr>
          <w:p w14:paraId="7B5B1D5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655" w:type="dxa"/>
          </w:tcPr>
          <w:p w14:paraId="71824968"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Institucije objavljuju jesu li osnovale zaseban odbor za rizike i broj održanih sastanaka odbora za rizike u skladu s člankom 435. stavkom 2. točkom (d) CRR-a.</w:t>
            </w:r>
          </w:p>
        </w:tc>
      </w:tr>
      <w:tr w:rsidR="00600593" w:rsidRPr="007F4CC8" w14:paraId="1DF712FB" w14:textId="77777777" w:rsidTr="00803BB4">
        <w:trPr>
          <w:trHeight w:val="316"/>
        </w:trPr>
        <w:tc>
          <w:tcPr>
            <w:tcW w:w="1384" w:type="dxa"/>
          </w:tcPr>
          <w:p w14:paraId="75B2AC05"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627E2FA7"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U okviru podataka o protoku informacija o rizicima do upravljačkog tijela u skladu s člankom 435. stavkom 2. točkom (e) CRR-a institucije opisuju proces dostave informacija o rizicima upravljačkom tijelu, osobito učestalost, opseg i najvažniji sadržaj izloženosti rizicima te način sudjelovanja upravljačkog tijela u definiranju sadržaja za objavu. </w:t>
            </w:r>
          </w:p>
        </w:tc>
      </w:tr>
    </w:tbl>
    <w:p w14:paraId="2A9FDD95" w14:textId="77777777" w:rsidR="00600593" w:rsidRPr="007F4CC8" w:rsidRDefault="00600593" w:rsidP="00600593">
      <w:pPr>
        <w:rPr>
          <w:rFonts w:ascii="Times New Roman" w:hAnsi="Times New Roman" w:cs="Times New Roman"/>
          <w:sz w:val="24"/>
        </w:rPr>
      </w:pPr>
    </w:p>
    <w:p w14:paraId="52047206" w14:textId="77777777" w:rsidR="00600593" w:rsidRPr="007F4CC8" w:rsidRDefault="00600593" w:rsidP="00600593">
      <w:pPr>
        <w:rPr>
          <w:rFonts w:ascii="Times New Roman" w:hAnsi="Times New Roman" w:cs="Times New Roman"/>
          <w:sz w:val="24"/>
        </w:rPr>
      </w:pPr>
    </w:p>
    <w:p w14:paraId="3FC28B5F" w14:textId="061C5D55" w:rsidR="00D15B1C" w:rsidRPr="007F4CC8" w:rsidRDefault="00D15B1C" w:rsidP="00E258D8">
      <w:pPr>
        <w:tabs>
          <w:tab w:val="left" w:pos="1430"/>
        </w:tabs>
        <w:rPr>
          <w:rFonts w:ascii="Times New Roman" w:hAnsi="Times New Roman" w:cs="Times New Roman"/>
          <w:b/>
          <w:sz w:val="24"/>
        </w:rPr>
      </w:pPr>
    </w:p>
    <w:p w14:paraId="0D652D3B" w14:textId="77777777" w:rsidR="007A7DC0" w:rsidRPr="007F4CC8" w:rsidRDefault="007A7DC0">
      <w:pPr>
        <w:rPr>
          <w:rFonts w:ascii="Times New Roman" w:hAnsi="Times New Roman" w:cs="Times New Roman"/>
          <w:b/>
          <w:sz w:val="24"/>
        </w:rPr>
        <w:sectPr w:rsidR="007A7DC0" w:rsidRPr="007F4CC8" w:rsidSect="00155C96">
          <w:pgSz w:w="11900" w:h="16840"/>
          <w:pgMar w:top="2268" w:right="1418" w:bottom="1134" w:left="1701" w:header="709" w:footer="709" w:gutter="0"/>
          <w:pgNumType w:start="1" w:chapStyle="1"/>
          <w:cols w:space="708"/>
          <w:docGrid w:linePitch="299"/>
        </w:sectPr>
      </w:pPr>
    </w:p>
    <w:p w14:paraId="08DA08DB" w14:textId="77777777" w:rsidR="007B082B" w:rsidRPr="007F4CC8" w:rsidRDefault="007B082B" w:rsidP="00E258D8">
      <w:pPr>
        <w:tabs>
          <w:tab w:val="left" w:pos="1430"/>
        </w:tabs>
        <w:rPr>
          <w:rFonts w:ascii="Times New Roman" w:hAnsi="Times New Roman" w:cs="Times New Roman"/>
          <w:b/>
          <w:sz w:val="24"/>
        </w:rPr>
      </w:pPr>
    </w:p>
    <w:p w14:paraId="0957C929" w14:textId="77777777" w:rsidR="007B082B" w:rsidRPr="007F4CC8" w:rsidRDefault="007B082B" w:rsidP="007B082B">
      <w:pPr>
        <w:pStyle w:val="Annexetitre"/>
      </w:pPr>
      <w:r>
        <w:t>PRILOG VI. – Upute za objavu informacija o opsegu primjene regulatornog okvira</w:t>
      </w:r>
    </w:p>
    <w:p w14:paraId="07CCE7F0" w14:textId="77777777" w:rsidR="007B082B" w:rsidRPr="007F4CC8" w:rsidRDefault="007B082B" w:rsidP="007B082B">
      <w:pPr>
        <w:rPr>
          <w:rFonts w:ascii="Times New Roman" w:hAnsi="Times New Roman" w:cs="Times New Roman"/>
          <w:b/>
          <w:sz w:val="24"/>
        </w:rPr>
      </w:pPr>
    </w:p>
    <w:p w14:paraId="5AEAA4F3" w14:textId="395796E6" w:rsidR="007B082B" w:rsidRPr="007F4CC8" w:rsidRDefault="007B082B" w:rsidP="007B082B">
      <w:pPr>
        <w:rPr>
          <w:rFonts w:ascii="Times New Roman" w:hAnsi="Times New Roman" w:cs="Times New Roman"/>
          <w:b/>
          <w:sz w:val="24"/>
        </w:rPr>
      </w:pPr>
      <w:r>
        <w:rPr>
          <w:rFonts w:ascii="Times New Roman" w:hAnsi="Times New Roman"/>
          <w:b/>
          <w:sz w:val="24"/>
        </w:rPr>
        <w:t>Obrazac EU LI1 – Razlike između opsega računovodstvene i bonitetne konsolidacije i raspoređivanje kategorija financijskih izvješća s regulatornim kategorijama rizika.</w:t>
      </w:r>
      <w:r>
        <w:rPr>
          <w:rFonts w:ascii="Times New Roman" w:hAnsi="Times New Roman"/>
          <w:sz w:val="24"/>
        </w:rPr>
        <w:t xml:space="preserve"> Fleksibilan format.</w:t>
      </w:r>
    </w:p>
    <w:p w14:paraId="76C6D20B" w14:textId="77777777" w:rsidR="007B082B" w:rsidRPr="007F4CC8" w:rsidRDefault="007B082B" w:rsidP="007B082B">
      <w:pPr>
        <w:rPr>
          <w:rFonts w:ascii="Times New Roman" w:hAnsi="Times New Roman" w:cs="Times New Roman"/>
          <w:b/>
          <w:sz w:val="24"/>
        </w:rPr>
      </w:pPr>
    </w:p>
    <w:p w14:paraId="4474F30C" w14:textId="26628C46" w:rsidR="007B082B" w:rsidRPr="007F4CC8" w:rsidRDefault="007B082B" w:rsidP="00E70D84">
      <w:pPr>
        <w:pStyle w:val="ListParagraph"/>
        <w:numPr>
          <w:ilvl w:val="0"/>
          <w:numId w:val="18"/>
        </w:numPr>
        <w:spacing w:before="120" w:after="120"/>
        <w:ind w:left="425" w:hanging="357"/>
        <w:jc w:val="both"/>
        <w:rPr>
          <w:rFonts w:ascii="Times New Roman" w:hAnsi="Times New Roman"/>
          <w:sz w:val="24"/>
        </w:rPr>
      </w:pPr>
      <w:r>
        <w:rPr>
          <w:rFonts w:ascii="Times New Roman" w:hAnsi="Times New Roman"/>
          <w:sz w:val="24"/>
        </w:rPr>
        <w:t>Institucije objavljuju informacije iz članka 436. točke (c) Uredbe (EU) 575/2013</w:t>
      </w:r>
      <w:r>
        <w:rPr>
          <w:rStyle w:val="FootnoteReference"/>
        </w:rPr>
        <w:footnoteReference w:id="8"/>
      </w:r>
      <w:r>
        <w:rPr>
          <w:rFonts w:ascii="Times New Roman" w:hAnsi="Times New Roman"/>
          <w:sz w:val="24"/>
        </w:rPr>
        <w:t xml:space="preserve"> („CRR”) ispunjavanjem obrasca EU LI1 iz Priloga V. ovoj Provedbenoj uredbi prema uputama u nastavku ovog Priloga.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E7E63A1"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CE15C" w14:textId="77777777" w:rsidR="007B082B" w:rsidRPr="007F4CC8" w:rsidRDefault="007B082B" w:rsidP="00803BB4">
            <w:pPr>
              <w:pStyle w:val="TableTitle"/>
              <w:spacing w:before="0" w:after="0"/>
              <w:jc w:val="left"/>
              <w:rPr>
                <w:rFonts w:ascii="Times New Roman" w:hAnsi="Times New Roman"/>
                <w:noProof w:val="0"/>
                <w:sz w:val="24"/>
                <w:szCs w:val="24"/>
              </w:rPr>
            </w:pPr>
            <w:r>
              <w:rPr>
                <w:rFonts w:ascii="Times New Roman" w:hAnsi="Times New Roman"/>
                <w:sz w:val="24"/>
                <w:szCs w:val="24"/>
              </w:rPr>
              <w:t>Pravna osnova i upute</w:t>
            </w:r>
          </w:p>
        </w:tc>
      </w:tr>
      <w:tr w:rsidR="007B082B" w:rsidRPr="007F4CC8" w14:paraId="197F6DE8" w14:textId="77777777" w:rsidTr="00803BB4">
        <w:trPr>
          <w:trHeight w:val="238"/>
        </w:trPr>
        <w:tc>
          <w:tcPr>
            <w:tcW w:w="1384" w:type="dxa"/>
            <w:tcBorders>
              <w:bottom w:val="single" w:sz="4" w:space="0" w:color="auto"/>
            </w:tcBorders>
            <w:shd w:val="clear" w:color="auto" w:fill="D9D9D9" w:themeFill="background1" w:themeFillShade="D9"/>
          </w:tcPr>
          <w:p w14:paraId="51C11631"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Broj retka</w:t>
            </w:r>
          </w:p>
        </w:tc>
        <w:tc>
          <w:tcPr>
            <w:tcW w:w="7655" w:type="dxa"/>
            <w:tcBorders>
              <w:bottom w:val="single" w:sz="4" w:space="0" w:color="auto"/>
            </w:tcBorders>
            <w:shd w:val="clear" w:color="auto" w:fill="D9D9D9" w:themeFill="background1" w:themeFillShade="D9"/>
          </w:tcPr>
          <w:p w14:paraId="777D35A2"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7B082B" w:rsidRPr="007F4CC8" w14:paraId="01B68A3B"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48A8200B" w14:textId="77777777" w:rsidR="007B082B" w:rsidRPr="007F4CC8" w:rsidRDefault="007B082B" w:rsidP="00803BB4">
            <w:pPr>
              <w:spacing w:before="60" w:after="120"/>
              <w:rPr>
                <w:rFonts w:ascii="Times New Roman" w:hAnsi="Times New Roman" w:cs="Times New Roman"/>
                <w:sz w:val="24"/>
              </w:rPr>
            </w:pPr>
            <w:r>
              <w:rPr>
                <w:rFonts w:ascii="Times New Roman" w:hAnsi="Times New Roman"/>
                <w:sz w:val="24"/>
              </w:rPr>
              <w:t>1 do XXX</w:t>
            </w:r>
          </w:p>
        </w:tc>
        <w:tc>
          <w:tcPr>
            <w:tcW w:w="7655" w:type="dxa"/>
            <w:tcBorders>
              <w:top w:val="single" w:sz="4" w:space="0" w:color="auto"/>
              <w:bottom w:val="single" w:sz="4" w:space="0" w:color="auto"/>
            </w:tcBorders>
            <w:shd w:val="clear" w:color="auto" w:fill="FFFFFF" w:themeFill="background1"/>
            <w:vAlign w:val="center"/>
          </w:tcPr>
          <w:p w14:paraId="74E219C3"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Ukupna imovina </w:t>
            </w:r>
          </w:p>
          <w:p w14:paraId="210350E4"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Struktura retka ista je kao struktura retka u bilanci u zadnjim dostupnim financijskim izvješćima institucije. </w:t>
            </w:r>
          </w:p>
          <w:p w14:paraId="174308D5"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„Financijska izvješća” odnosi se na godišnja pojedinačna ili konsolidirana financijska izvješća definirana u člancima 4. i 24. Direktive 2013/34/EU</w:t>
            </w:r>
            <w:r>
              <w:rPr>
                <w:rStyle w:val="FootnoteReference"/>
                <w:rFonts w:eastAsia="Times New Roman" w:cs="Times New Roman"/>
              </w:rPr>
              <w:footnoteReference w:id="9"/>
            </w:r>
            <w:r>
              <w:rPr>
                <w:rFonts w:ascii="Times New Roman" w:hAnsi="Times New Roman"/>
                <w:sz w:val="24"/>
              </w:rPr>
              <w:t>, kao i (ovisno o slučaju) na financijska izvješća u smislu međunarodnih računovodstvenih standarda kako su odobreni u EU-u u skladu s Uredbom (EZ) 1606/2002</w:t>
            </w:r>
            <w:r>
              <w:rPr>
                <w:rStyle w:val="FootnoteReference"/>
                <w:rFonts w:eastAsia="Times New Roman" w:cs="Times New Roman"/>
              </w:rPr>
              <w:footnoteReference w:id="10"/>
            </w:r>
            <w:r>
              <w:rPr>
                <w:rFonts w:ascii="Times New Roman" w:hAnsi="Times New Roman"/>
                <w:sz w:val="24"/>
              </w:rPr>
              <w:t>.</w:t>
            </w:r>
          </w:p>
        </w:tc>
      </w:tr>
      <w:tr w:rsidR="007B082B" w:rsidRPr="007F4CC8" w14:paraId="3AA4610D" w14:textId="77777777" w:rsidTr="00803BB4">
        <w:trPr>
          <w:trHeight w:val="818"/>
        </w:trPr>
        <w:tc>
          <w:tcPr>
            <w:tcW w:w="1384" w:type="dxa"/>
            <w:tcBorders>
              <w:top w:val="single" w:sz="4" w:space="0" w:color="auto"/>
              <w:bottom w:val="single" w:sz="4" w:space="0" w:color="auto"/>
            </w:tcBorders>
            <w:shd w:val="clear" w:color="auto" w:fill="FFFFFF" w:themeFill="background1"/>
            <w:vAlign w:val="center"/>
          </w:tcPr>
          <w:p w14:paraId="52E1AB69" w14:textId="77777777" w:rsidR="007B082B" w:rsidRPr="007F4CC8" w:rsidRDefault="007B082B" w:rsidP="00803BB4">
            <w:pPr>
              <w:spacing w:before="60" w:after="120"/>
              <w:rPr>
                <w:rFonts w:ascii="Times New Roman" w:hAnsi="Times New Roman" w:cs="Times New Roman"/>
                <w:sz w:val="24"/>
              </w:rPr>
            </w:pPr>
            <w:r>
              <w:rPr>
                <w:rFonts w:ascii="Times New Roman" w:hAnsi="Times New Roman"/>
                <w:sz w:val="24"/>
              </w:rPr>
              <w:t>1 do XXX</w:t>
            </w:r>
          </w:p>
        </w:tc>
        <w:tc>
          <w:tcPr>
            <w:tcW w:w="7655" w:type="dxa"/>
            <w:tcBorders>
              <w:top w:val="single" w:sz="4" w:space="0" w:color="auto"/>
              <w:bottom w:val="single" w:sz="4" w:space="0" w:color="auto"/>
            </w:tcBorders>
            <w:shd w:val="clear" w:color="auto" w:fill="FFFFFF" w:themeFill="background1"/>
            <w:vAlign w:val="center"/>
          </w:tcPr>
          <w:p w14:paraId="3679BAE8"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Ukupne obveze</w:t>
            </w:r>
          </w:p>
          <w:p w14:paraId="77042600"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Struktura retka ista je kao struktura retka u bilanci u zadnjim dostupnim financijskim izvješćima institucije. </w:t>
            </w:r>
          </w:p>
          <w:p w14:paraId="7532D864"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„Financijska izvješća” odnosi se na godišnja pojedinačna ili konsolidirana financijska izvješća definirana u člancima 4. i 24. Direktive 2013/34/EU, kao i (ovisno o slučaju) na financijska izvješća u smislu međunarodnih računovodstvenih standarda kako su odobreni u EU-u u skladu s Uredbom (EZ) 1606/2002.</w:t>
            </w:r>
          </w:p>
        </w:tc>
      </w:tr>
    </w:tbl>
    <w:p w14:paraId="4F2BF8C7" w14:textId="77777777" w:rsidR="007B082B" w:rsidRPr="007F4CC8" w:rsidRDefault="007B082B" w:rsidP="007B082B">
      <w:pPr>
        <w:rPr>
          <w:rFonts w:ascii="Times New Roman" w:hAnsi="Times New Roman" w:cs="Times New Roman"/>
          <w:sz w:val="24"/>
        </w:rPr>
      </w:pPr>
    </w:p>
    <w:p w14:paraId="64F3C7F4" w14:textId="77777777" w:rsidR="007B082B" w:rsidRPr="007F4CC8" w:rsidRDefault="007B082B" w:rsidP="007B082B">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086BBDFF"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4AB76D" w14:textId="77777777" w:rsidR="007B082B" w:rsidRPr="007F4CC8" w:rsidRDefault="007B082B" w:rsidP="00803BB4">
            <w:pPr>
              <w:pStyle w:val="TableTitle"/>
              <w:spacing w:before="0" w:after="0"/>
              <w:jc w:val="left"/>
              <w:rPr>
                <w:rFonts w:ascii="Times New Roman" w:hAnsi="Times New Roman"/>
                <w:noProof w:val="0"/>
                <w:sz w:val="24"/>
                <w:szCs w:val="24"/>
              </w:rPr>
            </w:pPr>
            <w:r>
              <w:rPr>
                <w:rFonts w:ascii="Times New Roman" w:hAnsi="Times New Roman"/>
                <w:sz w:val="24"/>
                <w:szCs w:val="24"/>
              </w:rPr>
              <w:t>Pravna osnova i upute</w:t>
            </w:r>
          </w:p>
        </w:tc>
      </w:tr>
      <w:tr w:rsidR="007B082B" w:rsidRPr="007F4CC8" w14:paraId="348CD4B6" w14:textId="77777777" w:rsidTr="00803BB4">
        <w:trPr>
          <w:trHeight w:val="238"/>
        </w:trPr>
        <w:tc>
          <w:tcPr>
            <w:tcW w:w="1384" w:type="dxa"/>
            <w:tcBorders>
              <w:bottom w:val="nil"/>
            </w:tcBorders>
            <w:shd w:val="clear" w:color="auto" w:fill="D9D9D9" w:themeFill="background1" w:themeFillShade="D9"/>
          </w:tcPr>
          <w:p w14:paraId="28649A9B"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Referenca stupca</w:t>
            </w:r>
          </w:p>
        </w:tc>
        <w:tc>
          <w:tcPr>
            <w:tcW w:w="7655" w:type="dxa"/>
            <w:tcBorders>
              <w:bottom w:val="nil"/>
            </w:tcBorders>
            <w:shd w:val="clear" w:color="auto" w:fill="D9D9D9" w:themeFill="background1" w:themeFillShade="D9"/>
          </w:tcPr>
          <w:p w14:paraId="368C0446"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7B082B" w:rsidRPr="007F4CC8" w14:paraId="73590585" w14:textId="77777777" w:rsidTr="00803BB4">
        <w:trPr>
          <w:trHeight w:val="238"/>
        </w:trPr>
        <w:tc>
          <w:tcPr>
            <w:tcW w:w="1384" w:type="dxa"/>
            <w:shd w:val="clear" w:color="auto" w:fill="FFFFFF" w:themeFill="background1"/>
          </w:tcPr>
          <w:p w14:paraId="19C91772" w14:textId="77777777" w:rsidR="007B082B" w:rsidRPr="007F4CC8" w:rsidRDefault="007B082B" w:rsidP="00803BB4">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lastRenderedPageBreak/>
              <w:t>a</w:t>
            </w:r>
          </w:p>
        </w:tc>
        <w:tc>
          <w:tcPr>
            <w:tcW w:w="7655" w:type="dxa"/>
            <w:shd w:val="clear" w:color="auto" w:fill="FFFFFF" w:themeFill="background1"/>
          </w:tcPr>
          <w:p w14:paraId="52953546"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Knjigovodstvene vrijednosti iskazane u objavljenim financijskim izvješćima</w:t>
            </w:r>
          </w:p>
          <w:p w14:paraId="4129957F" w14:textId="77777777" w:rsidR="007B082B" w:rsidRPr="007F4CC8" w:rsidRDefault="007B082B" w:rsidP="00803BB4">
            <w:pPr>
              <w:spacing w:before="60" w:after="120"/>
              <w:jc w:val="both"/>
              <w:rPr>
                <w:rFonts w:ascii="Times New Roman" w:hAnsi="Times New Roman" w:cs="Times New Roman"/>
                <w:sz w:val="24"/>
              </w:rPr>
            </w:pPr>
            <w:r>
              <w:rPr>
                <w:rFonts w:ascii="Times New Roman" w:hAnsi="Times New Roman"/>
                <w:sz w:val="24"/>
              </w:rPr>
              <w:t>Iznosi iskazani na strani imovine i na strani obveza u bilanci utvrđeni u skladu sa zahtjevima o konsolidaciji iz primjenjivog računovodstvenog okvira, uključujući okvire na temelju Direktive 2013/34/EU i Direktive 86/635/EEZ</w:t>
            </w:r>
            <w:r>
              <w:rPr>
                <w:rStyle w:val="FootnoteReference"/>
                <w:rFonts w:eastAsia="Times New Roman" w:cs="Times New Roman"/>
              </w:rPr>
              <w:footnoteReference w:id="11"/>
            </w:r>
            <w:r>
              <w:rPr>
                <w:rFonts w:ascii="Times New Roman" w:hAnsi="Times New Roman"/>
                <w:sz w:val="24"/>
              </w:rPr>
              <w:t xml:space="preserve">, ili međunarodnih računovodstvenih standarda kako su odobreni u EU-u </w:t>
            </w:r>
          </w:p>
        </w:tc>
      </w:tr>
      <w:tr w:rsidR="007B082B" w:rsidRPr="007F4CC8" w14:paraId="22743145" w14:textId="77777777" w:rsidTr="00803BB4">
        <w:trPr>
          <w:trHeight w:val="238"/>
        </w:trPr>
        <w:tc>
          <w:tcPr>
            <w:tcW w:w="1384" w:type="dxa"/>
            <w:shd w:val="clear" w:color="auto" w:fill="FFFFFF" w:themeFill="background1"/>
          </w:tcPr>
          <w:p w14:paraId="3935BE1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b</w:t>
            </w:r>
          </w:p>
        </w:tc>
        <w:tc>
          <w:tcPr>
            <w:tcW w:w="7655" w:type="dxa"/>
            <w:shd w:val="clear" w:color="auto" w:fill="FFFFFF" w:themeFill="background1"/>
          </w:tcPr>
          <w:p w14:paraId="5DCA8572" w14:textId="2ABA98DF"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Knjigovodstvene vrijednosti u skladu s opsegom bonitetne konsolidacije </w:t>
            </w:r>
          </w:p>
          <w:p w14:paraId="3D6E4161" w14:textId="77777777" w:rsidR="007B082B" w:rsidRPr="007F4CC8" w:rsidRDefault="007B082B" w:rsidP="00803BB4">
            <w:pPr>
              <w:jc w:val="both"/>
              <w:rPr>
                <w:rFonts w:ascii="Times New Roman" w:hAnsi="Times New Roman" w:cs="Times New Roman"/>
                <w:sz w:val="24"/>
              </w:rPr>
            </w:pPr>
            <w:r>
              <w:rPr>
                <w:rFonts w:ascii="Times New Roman" w:hAnsi="Times New Roman"/>
                <w:sz w:val="24"/>
              </w:rPr>
              <w:t>Iznosi iskazani na strani imovine i na strani obveza u bilanci utvrđeni u skladu sa zahtjevima o regulatornoj konsolidaciji iz dijela prvog glave II. odjeljaka 2. i 3. CRR-a</w:t>
            </w:r>
          </w:p>
          <w:p w14:paraId="49CEED58" w14:textId="538763E6"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Ako su opseg računovodstvene i opseg bonitetne konsolidacije potpuno jednaki, spajaju se stupci (a) i (b) ovog obrasca.</w:t>
            </w:r>
          </w:p>
        </w:tc>
      </w:tr>
      <w:tr w:rsidR="007B082B" w:rsidRPr="007F4CC8" w14:paraId="23C860EA" w14:textId="77777777" w:rsidTr="00803BB4">
        <w:trPr>
          <w:trHeight w:val="238"/>
        </w:trPr>
        <w:tc>
          <w:tcPr>
            <w:tcW w:w="1384" w:type="dxa"/>
            <w:shd w:val="clear" w:color="auto" w:fill="FFFFFF" w:themeFill="background1"/>
          </w:tcPr>
          <w:p w14:paraId="5E92F7E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c</w:t>
            </w:r>
          </w:p>
        </w:tc>
        <w:tc>
          <w:tcPr>
            <w:tcW w:w="7655" w:type="dxa"/>
            <w:shd w:val="clear" w:color="auto" w:fill="FFFFFF" w:themeFill="background1"/>
          </w:tcPr>
          <w:p w14:paraId="473D894D"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Knjigovodstvene vrijednosti stavki na koje se primjenjuje okvir za kreditni rizik</w:t>
            </w:r>
          </w:p>
          <w:p w14:paraId="1EC918C8" w14:textId="0C1053F0"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Knjigovodstvene vrijednosti u skladu s opsegom bonitetne konsolidacije stavki (osim izvanbilančnih stavki) na koje se primjenjuje dio treći glava II. poglavlja 2. i 3. CRR-a</w:t>
            </w:r>
          </w:p>
        </w:tc>
      </w:tr>
      <w:tr w:rsidR="007B082B" w:rsidRPr="007F4CC8" w14:paraId="1F738F97" w14:textId="77777777" w:rsidTr="00803BB4">
        <w:trPr>
          <w:trHeight w:val="238"/>
        </w:trPr>
        <w:tc>
          <w:tcPr>
            <w:tcW w:w="1384" w:type="dxa"/>
            <w:shd w:val="clear" w:color="auto" w:fill="FFFFFF" w:themeFill="background1"/>
          </w:tcPr>
          <w:p w14:paraId="593AA395" w14:textId="77777777" w:rsidR="007B082B" w:rsidRPr="007F4CC8" w:rsidRDefault="007B082B" w:rsidP="00803BB4">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d</w:t>
            </w:r>
          </w:p>
        </w:tc>
        <w:tc>
          <w:tcPr>
            <w:tcW w:w="7655" w:type="dxa"/>
            <w:shd w:val="clear" w:color="auto" w:fill="FFFFFF" w:themeFill="background1"/>
          </w:tcPr>
          <w:p w14:paraId="39A27C45" w14:textId="77777777" w:rsidR="007B082B" w:rsidRPr="007F4CC8" w:rsidRDefault="007B082B" w:rsidP="00803BB4">
            <w:pPr>
              <w:spacing w:before="60" w:after="120"/>
              <w:ind w:left="34"/>
              <w:jc w:val="both"/>
              <w:rPr>
                <w:rFonts w:ascii="Times New Roman" w:eastAsia="Times New Roman" w:hAnsi="Times New Roman" w:cs="Times New Roman"/>
                <w:b/>
                <w:sz w:val="24"/>
              </w:rPr>
            </w:pPr>
            <w:r>
              <w:rPr>
                <w:rFonts w:ascii="Times New Roman" w:hAnsi="Times New Roman"/>
                <w:b/>
                <w:sz w:val="24"/>
              </w:rPr>
              <w:t>Knjigovodstvene vrijednosti stavki na koje se primjenjuje okvir za kreditni rizik druge ugovorne strane</w:t>
            </w:r>
          </w:p>
          <w:p w14:paraId="2986478C" w14:textId="6970C872" w:rsidR="007B082B" w:rsidRPr="007F4CC8" w:rsidRDefault="007B082B" w:rsidP="00803BB4">
            <w:pPr>
              <w:spacing w:before="60" w:after="120"/>
              <w:ind w:left="34"/>
              <w:jc w:val="both"/>
              <w:rPr>
                <w:rFonts w:ascii="Times New Roman" w:hAnsi="Times New Roman" w:cs="Times New Roman"/>
                <w:b/>
                <w:sz w:val="24"/>
              </w:rPr>
            </w:pPr>
            <w:r>
              <w:rPr>
                <w:rFonts w:ascii="Times New Roman" w:hAnsi="Times New Roman"/>
                <w:sz w:val="24"/>
              </w:rPr>
              <w:t>Knjigovodstvene vrijednosti u skladu s opsegom bonitetne konsolidacije stavki (osim izvanbilančnih stavki) na koje se primjenjuje dio treći glava II. poglavlje 6. CRR-a</w:t>
            </w:r>
          </w:p>
        </w:tc>
      </w:tr>
      <w:tr w:rsidR="007B082B" w:rsidRPr="007F4CC8" w14:paraId="59C5D493" w14:textId="77777777" w:rsidTr="00803BB4">
        <w:trPr>
          <w:trHeight w:val="238"/>
        </w:trPr>
        <w:tc>
          <w:tcPr>
            <w:tcW w:w="1384" w:type="dxa"/>
            <w:shd w:val="clear" w:color="auto" w:fill="FFFFFF" w:themeFill="background1"/>
          </w:tcPr>
          <w:p w14:paraId="2F586381"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shd w:val="clear" w:color="auto" w:fill="FFFFFF" w:themeFill="background1"/>
          </w:tcPr>
          <w:p w14:paraId="6CEE28EC"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 xml:space="preserve">Knjigovodstvene vrijednosti stavki na koje se primjenjuje sekuritizacijski okvir </w:t>
            </w:r>
          </w:p>
          <w:p w14:paraId="07A4D681" w14:textId="26C6A85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Knjigovodstvene vrijednosti u skladu s opsegom bonitetne konsolidacije stavki (osim izvanbilančnih stavki) iz knjige pozicija kojima se ne trguje na koje se primjenjuje dio treći glava II. poglavlje 5. CRR-a</w:t>
            </w:r>
          </w:p>
        </w:tc>
      </w:tr>
      <w:tr w:rsidR="007B082B" w:rsidRPr="007F4CC8" w14:paraId="075814D7" w14:textId="77777777" w:rsidTr="00803BB4">
        <w:trPr>
          <w:trHeight w:val="238"/>
        </w:trPr>
        <w:tc>
          <w:tcPr>
            <w:tcW w:w="1384" w:type="dxa"/>
            <w:shd w:val="clear" w:color="auto" w:fill="FFFFFF" w:themeFill="background1"/>
          </w:tcPr>
          <w:p w14:paraId="1578F0B5"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f</w:t>
            </w:r>
          </w:p>
        </w:tc>
        <w:tc>
          <w:tcPr>
            <w:tcW w:w="7655" w:type="dxa"/>
            <w:shd w:val="clear" w:color="auto" w:fill="FFFFFF" w:themeFill="background1"/>
          </w:tcPr>
          <w:p w14:paraId="5BB71968"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Knjigovodstvene vrijednosti stavki na koje se primjenjuje okvir za tržišni rizik</w:t>
            </w:r>
          </w:p>
          <w:p w14:paraId="1A5699D4" w14:textId="2E34CCCD" w:rsidR="007B082B" w:rsidRPr="007F4CC8" w:rsidRDefault="007B082B" w:rsidP="00803BB4">
            <w:pPr>
              <w:spacing w:before="60" w:after="120"/>
              <w:ind w:left="34"/>
              <w:jc w:val="both"/>
              <w:rPr>
                <w:rFonts w:ascii="Times New Roman" w:hAnsi="Times New Roman" w:cs="Times New Roman"/>
                <w:b/>
                <w:sz w:val="24"/>
              </w:rPr>
            </w:pPr>
            <w:r>
              <w:rPr>
                <w:rFonts w:ascii="Times New Roman" w:hAnsi="Times New Roman"/>
                <w:sz w:val="24"/>
              </w:rPr>
              <w:t>Knjigovodstvene vrijednosti u skladu s opsegom bonitetne konsolidacije stavki (osim izvanbilančnih stavki) na koje se primjenjuje dio treći glava IV. CRR-a U ovom se stupcu iskazuju stavke koje odgovaraju sekuritizacijskim pozicijama u knjizi pozicija kojima se trguje na koje se primjenjuju zahtjevi iz dijela trećeg glave IV. CRR-a.</w:t>
            </w:r>
          </w:p>
        </w:tc>
      </w:tr>
      <w:tr w:rsidR="007B082B" w:rsidRPr="007F4CC8" w14:paraId="1E2B8902" w14:textId="77777777" w:rsidTr="00803BB4">
        <w:trPr>
          <w:trHeight w:val="238"/>
        </w:trPr>
        <w:tc>
          <w:tcPr>
            <w:tcW w:w="1384" w:type="dxa"/>
            <w:shd w:val="clear" w:color="auto" w:fill="FFFFFF" w:themeFill="background1"/>
          </w:tcPr>
          <w:p w14:paraId="59241FC5"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g</w:t>
            </w:r>
          </w:p>
        </w:tc>
        <w:tc>
          <w:tcPr>
            <w:tcW w:w="7655" w:type="dxa"/>
            <w:shd w:val="clear" w:color="auto" w:fill="FFFFFF" w:themeFill="background1"/>
          </w:tcPr>
          <w:p w14:paraId="59E3B416"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Knjigovodstvene vrijednosti stavki koje ne podliježu kapitalnim zahtjevima ili podliježu odbicima od regulatornog kapitala</w:t>
            </w:r>
          </w:p>
          <w:p w14:paraId="0F80A2EF" w14:textId="64C36619"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 xml:space="preserve">Knjigovodstvene vrijednosti u skladu s opsegom bonitetne konsolidacije stavki (osim izvanbilančnih stavki) koje ne podliježu kapitalnim zahtjevima u </w:t>
            </w:r>
            <w:r>
              <w:rPr>
                <w:rFonts w:ascii="Times New Roman" w:hAnsi="Times New Roman"/>
                <w:sz w:val="24"/>
              </w:rPr>
              <w:lastRenderedPageBreak/>
              <w:t>skladu s CRR-om; knjigovodstvene vrijednosti u skladu s opsegom bonitetne konsolidacije stavki (osim izvanbilančnih stavki) koje podliježu odbicima od regulatornog kapitala u skladu s dijelom drugim CRR-a</w:t>
            </w:r>
          </w:p>
          <w:p w14:paraId="54F776BA"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 xml:space="preserve">Odbijene stavke mogu uključivati, na primjer, stavke navedene u člancima 37., 38., 39. i 41. CRR-a. </w:t>
            </w:r>
          </w:p>
          <w:p w14:paraId="3492977C"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Iznosi imovine stvarno su odbijeni iznosi od regulatornog kapitala, uzimajući u obzir svako netiranje s obvezama koje je dopušteno odbitkom (i svaki prag za odbitak) koji se može primijeniti u skladu s relevantnim člancima iz dijela drugog CRR-a.</w:t>
            </w:r>
          </w:p>
          <w:p w14:paraId="76CA48AF" w14:textId="2E593F89"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Ako je na stavke iz članka 36. stavka 1. točke (k) i članka 48. CRR-a primijenjen ponder rizika 1 250 % umjesto da su odbijene, te stavke se ne iskazuju u stupcu (g) ovog obrasca nego u drugim odgovarajućim stupcima obrasca EU LI1. To vrijedi i za svaku drugu stavku na koju je primijenjen ponder rizika 1 250 % u skladu sa zahtjevima iz CRR-a.</w:t>
            </w:r>
          </w:p>
          <w:p w14:paraId="49535D35" w14:textId="3730C1E5" w:rsidR="007B082B" w:rsidRPr="007F4CC8" w:rsidRDefault="007B082B" w:rsidP="005752E4">
            <w:pPr>
              <w:spacing w:before="60" w:after="120"/>
              <w:jc w:val="both"/>
              <w:rPr>
                <w:rFonts w:ascii="Times New Roman" w:hAnsi="Times New Roman" w:cs="Times New Roman"/>
                <w:b/>
                <w:sz w:val="24"/>
              </w:rPr>
            </w:pPr>
            <w:r>
              <w:rPr>
                <w:rFonts w:ascii="Times New Roman" w:hAnsi="Times New Roman"/>
                <w:sz w:val="24"/>
              </w:rPr>
              <w:t>Iznosi obveza iznosi su koji se moraju uzeti u obzir pri određivanju iznosa imovine za odbitak od regulatornog kapitala u skladu s relevantnim člancima iz dijela drugog CRR-a. Osim toga, u ovom se stupcu objavljuju sve obveze osim onih koje su i. relevantne za primjenu zahtjeva iz dijela trećeg glave II. poglavlja 4. CRR-a ili onih koje su ii. relevantne za primjenu zahtjeva iz dijela trećeg glave II. poglavlja 6. i dijela trećeg glave IV. CRR-a.</w:t>
            </w:r>
          </w:p>
        </w:tc>
      </w:tr>
      <w:tr w:rsidR="007B082B" w:rsidRPr="007F4CC8" w14:paraId="4063820F" w14:textId="77777777" w:rsidTr="00803BB4">
        <w:trPr>
          <w:trHeight w:val="238"/>
        </w:trPr>
        <w:tc>
          <w:tcPr>
            <w:tcW w:w="1384" w:type="dxa"/>
            <w:shd w:val="clear" w:color="auto" w:fill="FFFFFF" w:themeFill="background1"/>
          </w:tcPr>
          <w:p w14:paraId="0733C18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sve</w:t>
            </w:r>
          </w:p>
        </w:tc>
        <w:tc>
          <w:tcPr>
            <w:tcW w:w="7655" w:type="dxa"/>
            <w:shd w:val="clear" w:color="auto" w:fill="FFFFFF" w:themeFill="background1"/>
          </w:tcPr>
          <w:p w14:paraId="679453E6" w14:textId="77777777" w:rsidR="007B082B" w:rsidRPr="007F4CC8" w:rsidRDefault="007B082B" w:rsidP="00803BB4">
            <w:pPr>
              <w:spacing w:before="60" w:after="120"/>
              <w:ind w:left="34"/>
              <w:jc w:val="both"/>
              <w:rPr>
                <w:rFonts w:ascii="Times New Roman" w:eastAsia="Times New Roman" w:hAnsi="Times New Roman" w:cs="Times New Roman"/>
                <w:b/>
                <w:color w:val="000000" w:themeColor="text1"/>
                <w:sz w:val="24"/>
              </w:rPr>
            </w:pPr>
            <w:r>
              <w:rPr>
                <w:rFonts w:ascii="Times New Roman" w:hAnsi="Times New Roman"/>
                <w:sz w:val="24"/>
              </w:rPr>
              <w:t>Ako se na jednu stavku primjenjuju kapitalni zahtjevi iz nekoliko okvira, u svim se stupcima objavljuju vrijednosti koje odgovaraju kapitalnim zahtjevima na koje se odnose. Zato zbroj iznosa u stupcima od (c) do (g) ovog obrasca može biti veći od iznosa u stupcu (b) ovog obrasca. Institucije navode kvalitativna objašnjenja imovine i obveza na koje se primjenjuju kapitalni zahtjevi iz nekoliko okvira za rizik navedenih u dijelu trećem CRR-a.</w:t>
            </w:r>
          </w:p>
        </w:tc>
      </w:tr>
    </w:tbl>
    <w:p w14:paraId="44815BAE" w14:textId="77777777" w:rsidR="007B082B" w:rsidRPr="007F4CC8" w:rsidRDefault="007B082B" w:rsidP="007B082B">
      <w:pPr>
        <w:spacing w:after="120"/>
        <w:jc w:val="both"/>
        <w:rPr>
          <w:rFonts w:ascii="Times New Roman" w:hAnsi="Times New Roman" w:cs="Times New Roman"/>
          <w:b/>
          <w:sz w:val="24"/>
        </w:rPr>
      </w:pPr>
    </w:p>
    <w:p w14:paraId="31A70112" w14:textId="5B467BAE" w:rsidR="007B082B" w:rsidRPr="007F4CC8" w:rsidRDefault="00D96A21" w:rsidP="007B082B">
      <w:pPr>
        <w:spacing w:after="120"/>
        <w:jc w:val="both"/>
        <w:rPr>
          <w:rFonts w:ascii="Times New Roman" w:hAnsi="Times New Roman" w:cs="Times New Roman"/>
          <w:b/>
          <w:sz w:val="24"/>
        </w:rPr>
      </w:pPr>
      <w:r>
        <w:rPr>
          <w:rFonts w:ascii="Times New Roman" w:hAnsi="Times New Roman"/>
          <w:b/>
          <w:sz w:val="24"/>
        </w:rPr>
        <w:t xml:space="preserve">Obrazac EU LI2 – Glavni izvori razlika između iznosâ regulatorne izloženosti i knjigovodstvenih vrijednosti u financijskim izvješćima. </w:t>
      </w:r>
      <w:r>
        <w:rPr>
          <w:rFonts w:ascii="Times New Roman" w:hAnsi="Times New Roman"/>
          <w:sz w:val="24"/>
        </w:rPr>
        <w:t>Fiksan format.</w:t>
      </w:r>
      <w:r>
        <w:rPr>
          <w:rFonts w:ascii="Times New Roman" w:hAnsi="Times New Roman"/>
          <w:b/>
          <w:sz w:val="24"/>
        </w:rPr>
        <w:t xml:space="preserve"> </w:t>
      </w:r>
    </w:p>
    <w:p w14:paraId="6EE0E7BA" w14:textId="53CC4D02" w:rsidR="007B082B" w:rsidRPr="007F4CC8"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Pr>
          <w:rFonts w:ascii="Times New Roman" w:hAnsi="Times New Roman"/>
          <w:color w:val="000000" w:themeColor="text1"/>
          <w:sz w:val="24"/>
        </w:rPr>
        <w:t>Institucije objavljuju informacije iz članka 436. točke (d) CRR-a ispunjavanjem obrasca EU LI2 iz Priloga V. ovoj Provedbenoj uredbi prema uputama u nastavku ovog Priloga.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B0A4D7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26C2C1"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Pravna osnova i upute</w:t>
            </w:r>
          </w:p>
        </w:tc>
      </w:tr>
      <w:tr w:rsidR="007B082B" w:rsidRPr="007F4CC8" w14:paraId="37213F9B" w14:textId="77777777" w:rsidTr="00803BB4">
        <w:trPr>
          <w:trHeight w:val="238"/>
        </w:trPr>
        <w:tc>
          <w:tcPr>
            <w:tcW w:w="1384" w:type="dxa"/>
            <w:shd w:val="clear" w:color="auto" w:fill="D9D9D9" w:themeFill="background1" w:themeFillShade="D9"/>
          </w:tcPr>
          <w:p w14:paraId="5549AE08"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06A65BED"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7B082B" w:rsidRPr="007F4CC8" w14:paraId="0155D466" w14:textId="77777777" w:rsidTr="00803BB4">
        <w:trPr>
          <w:trHeight w:val="238"/>
        </w:trPr>
        <w:tc>
          <w:tcPr>
            <w:tcW w:w="1384" w:type="dxa"/>
            <w:shd w:val="clear" w:color="auto" w:fill="FFFFFF" w:themeFill="background1"/>
          </w:tcPr>
          <w:p w14:paraId="1191F31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w:t>
            </w:r>
          </w:p>
        </w:tc>
        <w:tc>
          <w:tcPr>
            <w:tcW w:w="7655" w:type="dxa"/>
            <w:shd w:val="clear" w:color="auto" w:fill="FFFFFF" w:themeFill="background1"/>
          </w:tcPr>
          <w:p w14:paraId="27280576" w14:textId="648B4ED9"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Iznos knjigovodstvene vrijednosti imovine u skladu s opsegom bonitetne konsolidacije</w:t>
            </w:r>
          </w:p>
          <w:p w14:paraId="4566519D" w14:textId="15314EBF"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 xml:space="preserve">Iznosi u stupcima od (b) do (e) ovog obrasca isti su kao iznosi u stupcima od (c) do (f) obrasca EU LI1. </w:t>
            </w:r>
          </w:p>
        </w:tc>
      </w:tr>
      <w:tr w:rsidR="007B082B" w:rsidRPr="007F4CC8" w14:paraId="2B977FE4" w14:textId="77777777" w:rsidTr="00803BB4">
        <w:trPr>
          <w:trHeight w:val="238"/>
        </w:trPr>
        <w:tc>
          <w:tcPr>
            <w:tcW w:w="1384" w:type="dxa"/>
            <w:shd w:val="clear" w:color="auto" w:fill="FFFFFF" w:themeFill="background1"/>
          </w:tcPr>
          <w:p w14:paraId="54C1F0C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2</w:t>
            </w:r>
          </w:p>
        </w:tc>
        <w:tc>
          <w:tcPr>
            <w:tcW w:w="7655" w:type="dxa"/>
            <w:shd w:val="clear" w:color="auto" w:fill="FFFFFF" w:themeFill="background1"/>
          </w:tcPr>
          <w:p w14:paraId="2F3F8E3D" w14:textId="4F5CC0CF" w:rsidR="007B082B" w:rsidRPr="007F4CC8" w:rsidRDefault="007B082B" w:rsidP="00803BB4">
            <w:pPr>
              <w:autoSpaceDE w:val="0"/>
              <w:autoSpaceDN w:val="0"/>
              <w:adjustRightInd w:val="0"/>
              <w:spacing w:before="60" w:after="120"/>
              <w:rPr>
                <w:rFonts w:ascii="Times New Roman" w:hAnsi="Times New Roman" w:cs="Times New Roman"/>
                <w:b/>
                <w:sz w:val="24"/>
              </w:rPr>
            </w:pPr>
            <w:r>
              <w:rPr>
                <w:rFonts w:ascii="Times New Roman" w:hAnsi="Times New Roman"/>
                <w:b/>
                <w:sz w:val="24"/>
              </w:rPr>
              <w:t>Iznos knjigovodstvene vrijednosti obveza u skladu s opsegom bonitetne konsolidacije</w:t>
            </w:r>
          </w:p>
          <w:p w14:paraId="34408E15" w14:textId="798DF0FD"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Iznosi u stupcima od (b) do (e) ovog obrasca isti su kao iznosi u stupcima od (c) do (f) obrasca EU LI1.</w:t>
            </w:r>
          </w:p>
        </w:tc>
      </w:tr>
      <w:tr w:rsidR="007B082B" w:rsidRPr="007F4CC8" w14:paraId="154099F0" w14:textId="77777777" w:rsidTr="00803BB4">
        <w:trPr>
          <w:trHeight w:val="238"/>
        </w:trPr>
        <w:tc>
          <w:tcPr>
            <w:tcW w:w="1384" w:type="dxa"/>
            <w:shd w:val="clear" w:color="auto" w:fill="FFFFFF" w:themeFill="background1"/>
          </w:tcPr>
          <w:p w14:paraId="6E121382"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3</w:t>
            </w:r>
          </w:p>
        </w:tc>
        <w:tc>
          <w:tcPr>
            <w:tcW w:w="7655" w:type="dxa"/>
            <w:shd w:val="clear" w:color="auto" w:fill="FFFFFF" w:themeFill="background1"/>
          </w:tcPr>
          <w:p w14:paraId="46835F95" w14:textId="345DA735"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Ukupni neto iznos u skladu s opsegom bonitetne konsolidacije </w:t>
            </w:r>
          </w:p>
          <w:p w14:paraId="38F6AC9F" w14:textId="07E46636"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Iznos nakon bilančnog </w:t>
            </w:r>
            <w:proofErr w:type="spellStart"/>
            <w:r>
              <w:rPr>
                <w:rFonts w:ascii="Times New Roman" w:hAnsi="Times New Roman"/>
                <w:sz w:val="24"/>
              </w:rPr>
              <w:t>netiranja</w:t>
            </w:r>
            <w:proofErr w:type="spellEnd"/>
            <w:r>
              <w:rPr>
                <w:rFonts w:ascii="Times New Roman" w:hAnsi="Times New Roman"/>
                <w:sz w:val="24"/>
              </w:rPr>
              <w:t xml:space="preserve"> imovine i obveza u skladu s opsegom bonitetne konsolidacije, neovisno o prihvatljivosti te imovine i obveza za primjenu posebnih pravila </w:t>
            </w:r>
            <w:proofErr w:type="spellStart"/>
            <w:r>
              <w:rPr>
                <w:rFonts w:ascii="Times New Roman" w:hAnsi="Times New Roman"/>
                <w:sz w:val="24"/>
              </w:rPr>
              <w:t>netiranja</w:t>
            </w:r>
            <w:proofErr w:type="spellEnd"/>
            <w:r>
              <w:rPr>
                <w:rFonts w:ascii="Times New Roman" w:hAnsi="Times New Roman"/>
                <w:sz w:val="24"/>
              </w:rPr>
              <w:t xml:space="preserve"> u skladu s dijelom trećim glavom II. poglavljima 4. i 5. CRR-a i dijelom trećim glavom IV. CRR-a.</w:t>
            </w:r>
          </w:p>
          <w:p w14:paraId="6A493344" w14:textId="77777777" w:rsidR="007B082B" w:rsidRPr="007F4CC8" w:rsidRDefault="007B082B" w:rsidP="00803BB4">
            <w:pPr>
              <w:spacing w:before="60" w:after="120"/>
              <w:jc w:val="both"/>
              <w:rPr>
                <w:rFonts w:ascii="Times New Roman" w:eastAsia="Times New Roman" w:hAnsi="Times New Roman" w:cs="Times New Roman"/>
                <w:color w:val="3F8BD0" w:themeColor="accent6" w:themeTint="99"/>
                <w:sz w:val="24"/>
              </w:rPr>
            </w:pPr>
            <w:r>
              <w:rPr>
                <w:rFonts w:ascii="Times New Roman" w:hAnsi="Times New Roman"/>
                <w:sz w:val="24"/>
              </w:rPr>
              <w:t>Iznos u ovom retku jednak je vrijednosti u retku 1 umanjenoj za vrijednost u retku 2 ovog obrasca.</w:t>
            </w:r>
          </w:p>
        </w:tc>
      </w:tr>
      <w:tr w:rsidR="007B082B" w:rsidRPr="007F4CC8" w14:paraId="59D84781" w14:textId="77777777" w:rsidTr="00803BB4">
        <w:trPr>
          <w:trHeight w:val="238"/>
        </w:trPr>
        <w:tc>
          <w:tcPr>
            <w:tcW w:w="1384" w:type="dxa"/>
            <w:shd w:val="clear" w:color="auto" w:fill="FFFFFF" w:themeFill="background1"/>
          </w:tcPr>
          <w:p w14:paraId="6A5E44AE"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4</w:t>
            </w:r>
          </w:p>
        </w:tc>
        <w:tc>
          <w:tcPr>
            <w:tcW w:w="7655" w:type="dxa"/>
            <w:shd w:val="clear" w:color="auto" w:fill="FFFFFF" w:themeFill="background1"/>
          </w:tcPr>
          <w:p w14:paraId="3D7DC5C4" w14:textId="77777777" w:rsidR="007B082B" w:rsidRPr="007F4CC8" w:rsidRDefault="007B082B" w:rsidP="00803BB4">
            <w:pPr>
              <w:spacing w:before="60" w:after="120"/>
              <w:jc w:val="both"/>
              <w:rPr>
                <w:rFonts w:ascii="Times New Roman" w:eastAsia="Times New Roman" w:hAnsi="Times New Roman" w:cs="Times New Roman"/>
                <w:b/>
                <w:sz w:val="24"/>
              </w:rPr>
            </w:pPr>
            <w:proofErr w:type="spellStart"/>
            <w:r>
              <w:rPr>
                <w:rFonts w:ascii="Times New Roman" w:hAnsi="Times New Roman"/>
                <w:b/>
                <w:sz w:val="24"/>
              </w:rPr>
              <w:t>Izvanbilančni</w:t>
            </w:r>
            <w:proofErr w:type="spellEnd"/>
            <w:r>
              <w:rPr>
                <w:rFonts w:ascii="Times New Roman" w:hAnsi="Times New Roman"/>
                <w:b/>
                <w:sz w:val="24"/>
              </w:rPr>
              <w:t xml:space="preserve"> iznosi</w:t>
            </w:r>
          </w:p>
          <w:p w14:paraId="1D18C207" w14:textId="6031E3CE"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U stupcima od (a) do (d) ovog obrasca navode se izvanbilančne originalne izloženosti, prije primjene konverzijskog faktora, ovisno o slučaju, iz izvanbilančne evidencije, u skladu s opsegom bonitetne konsolidacije. </w:t>
            </w:r>
          </w:p>
        </w:tc>
      </w:tr>
      <w:tr w:rsidR="007B082B" w:rsidRPr="007F4CC8" w14:paraId="717262CA" w14:textId="77777777" w:rsidTr="00803BB4">
        <w:trPr>
          <w:trHeight w:val="238"/>
        </w:trPr>
        <w:tc>
          <w:tcPr>
            <w:tcW w:w="1384" w:type="dxa"/>
            <w:shd w:val="clear" w:color="auto" w:fill="FFFFFF" w:themeFill="background1"/>
          </w:tcPr>
          <w:p w14:paraId="593C0C35"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5</w:t>
            </w:r>
          </w:p>
        </w:tc>
        <w:tc>
          <w:tcPr>
            <w:tcW w:w="7655" w:type="dxa"/>
            <w:shd w:val="clear" w:color="auto" w:fill="FFFFFF" w:themeFill="background1"/>
          </w:tcPr>
          <w:p w14:paraId="6FAD401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Razlike u vrednovanju</w:t>
            </w:r>
          </w:p>
          <w:p w14:paraId="6481AA32" w14:textId="0EE5CA54"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Učinak knjigovodstvene vrijednosti vrijednosnih usklađenja u skladu s dijelom drugim glavom I. poglavljem 2 člankom 34. CRR-a i dijelom trećim glavom I. poglavljem 3. člankom 105. CRR-a za izloženosti iz knjige trgovanja i knjige pozicija kojima se ne trguje koje se mjere po fer vrijednosti u skladu s primjenjivim računovodstvenim okvirom.</w:t>
            </w:r>
          </w:p>
          <w:p w14:paraId="5D6B1E33" w14:textId="66354D5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Taj je iznos usklađen s iznosom u retku 7 obrasca EU CC1 i iznosom u retku 12 stupca (f) obrasca EU PV1.</w:t>
            </w:r>
          </w:p>
        </w:tc>
      </w:tr>
      <w:tr w:rsidR="007B082B" w:rsidRPr="007F4CC8" w14:paraId="32EED095" w14:textId="77777777" w:rsidTr="00803BB4">
        <w:trPr>
          <w:trHeight w:val="238"/>
        </w:trPr>
        <w:tc>
          <w:tcPr>
            <w:tcW w:w="1384" w:type="dxa"/>
            <w:shd w:val="clear" w:color="auto" w:fill="FFFFFF" w:themeFill="background1"/>
          </w:tcPr>
          <w:p w14:paraId="4C44DE89"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6</w:t>
            </w:r>
          </w:p>
        </w:tc>
        <w:tc>
          <w:tcPr>
            <w:tcW w:w="7655" w:type="dxa"/>
            <w:shd w:val="clear" w:color="auto" w:fill="FFFFFF" w:themeFill="background1"/>
          </w:tcPr>
          <w:p w14:paraId="091A110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 xml:space="preserve">Razlike zbog različitih pravila </w:t>
            </w:r>
            <w:proofErr w:type="spellStart"/>
            <w:r>
              <w:rPr>
                <w:rFonts w:ascii="Times New Roman" w:hAnsi="Times New Roman"/>
                <w:b/>
                <w:i/>
                <w:sz w:val="24"/>
              </w:rPr>
              <w:t>netiranja</w:t>
            </w:r>
            <w:proofErr w:type="spellEnd"/>
            <w:r>
              <w:rPr>
                <w:rFonts w:ascii="Times New Roman" w:hAnsi="Times New Roman"/>
                <w:b/>
                <w:i/>
                <w:sz w:val="24"/>
              </w:rPr>
              <w:t>, osim onih koje su već navedene u retku 2 ovog obrasca</w:t>
            </w:r>
          </w:p>
          <w:p w14:paraId="480CED0C" w14:textId="77777777" w:rsidR="007B082B" w:rsidRPr="007F4CC8" w:rsidRDefault="007B082B" w:rsidP="00803BB4">
            <w:pPr>
              <w:spacing w:before="60" w:after="120"/>
              <w:jc w:val="both"/>
              <w:rPr>
                <w:rFonts w:ascii="Times New Roman" w:eastAsia="Times New Roman" w:hAnsi="Times New Roman" w:cs="Times New Roman"/>
                <w:i/>
                <w:sz w:val="24"/>
              </w:rPr>
            </w:pPr>
            <w:r>
              <w:rPr>
                <w:rFonts w:ascii="Times New Roman" w:hAnsi="Times New Roman"/>
                <w:sz w:val="24"/>
              </w:rPr>
              <w:t xml:space="preserve">Ova se stavka odnosi na neto iznose bilančnih i izvanbilančnih izloženosti nakon primjene posebnih pravila </w:t>
            </w:r>
            <w:proofErr w:type="spellStart"/>
            <w:r>
              <w:rPr>
                <w:rFonts w:ascii="Times New Roman" w:hAnsi="Times New Roman"/>
                <w:sz w:val="24"/>
              </w:rPr>
              <w:t>netiranja</w:t>
            </w:r>
            <w:proofErr w:type="spellEnd"/>
            <w:r>
              <w:rPr>
                <w:rFonts w:ascii="Times New Roman" w:hAnsi="Times New Roman"/>
                <w:sz w:val="24"/>
              </w:rPr>
              <w:t xml:space="preserve"> iz dijela trećeg glave II. poglavlja 4. i 5. CRR-a i dijela trećeg glave IV. CRR-a. Učinak primjene pravila </w:t>
            </w:r>
            <w:proofErr w:type="spellStart"/>
            <w:r>
              <w:rPr>
                <w:rFonts w:ascii="Times New Roman" w:hAnsi="Times New Roman"/>
                <w:sz w:val="24"/>
              </w:rPr>
              <w:t>netiranja</w:t>
            </w:r>
            <w:proofErr w:type="spellEnd"/>
            <w:r>
              <w:rPr>
                <w:rFonts w:ascii="Times New Roman" w:hAnsi="Times New Roman"/>
                <w:sz w:val="24"/>
              </w:rPr>
              <w:t xml:space="preserve"> može biti negativan (ako se </w:t>
            </w:r>
            <w:proofErr w:type="spellStart"/>
            <w:r>
              <w:rPr>
                <w:rFonts w:ascii="Times New Roman" w:hAnsi="Times New Roman"/>
                <w:sz w:val="24"/>
              </w:rPr>
              <w:t>netira</w:t>
            </w:r>
            <w:proofErr w:type="spellEnd"/>
            <w:r>
              <w:rPr>
                <w:rFonts w:ascii="Times New Roman" w:hAnsi="Times New Roman"/>
                <w:sz w:val="24"/>
              </w:rPr>
              <w:t xml:space="preserve"> više izloženosti nego pri primjeni bilančnog </w:t>
            </w:r>
            <w:proofErr w:type="spellStart"/>
            <w:r>
              <w:rPr>
                <w:rFonts w:ascii="Times New Roman" w:hAnsi="Times New Roman"/>
                <w:sz w:val="24"/>
              </w:rPr>
              <w:t>netiranja</w:t>
            </w:r>
            <w:proofErr w:type="spellEnd"/>
            <w:r>
              <w:rPr>
                <w:rFonts w:ascii="Times New Roman" w:hAnsi="Times New Roman"/>
                <w:sz w:val="24"/>
              </w:rPr>
              <w:t xml:space="preserve"> u retku 2 ovog obrasca) ili pozitivan (ako se primjenjuju pravila </w:t>
            </w:r>
            <w:proofErr w:type="spellStart"/>
            <w:r>
              <w:rPr>
                <w:rFonts w:ascii="Times New Roman" w:hAnsi="Times New Roman"/>
                <w:sz w:val="24"/>
              </w:rPr>
              <w:t>netiranja</w:t>
            </w:r>
            <w:proofErr w:type="spellEnd"/>
            <w:r>
              <w:rPr>
                <w:rFonts w:ascii="Times New Roman" w:hAnsi="Times New Roman"/>
                <w:sz w:val="24"/>
              </w:rPr>
              <w:t xml:space="preserve"> iz CRR-a zbog čega se dobije niži iznos </w:t>
            </w:r>
            <w:proofErr w:type="spellStart"/>
            <w:r>
              <w:rPr>
                <w:rFonts w:ascii="Times New Roman" w:hAnsi="Times New Roman"/>
                <w:sz w:val="24"/>
              </w:rPr>
              <w:t>netiranja</w:t>
            </w:r>
            <w:proofErr w:type="spellEnd"/>
            <w:r>
              <w:rPr>
                <w:rFonts w:ascii="Times New Roman" w:hAnsi="Times New Roman"/>
                <w:sz w:val="24"/>
              </w:rPr>
              <w:t xml:space="preserve"> nego za bilančno netiranje u retku 2 ovog obrasca).</w:t>
            </w:r>
          </w:p>
        </w:tc>
      </w:tr>
      <w:tr w:rsidR="007B082B" w:rsidRPr="007F4CC8" w14:paraId="0DCF19F2" w14:textId="77777777" w:rsidTr="00803BB4">
        <w:trPr>
          <w:trHeight w:val="238"/>
        </w:trPr>
        <w:tc>
          <w:tcPr>
            <w:tcW w:w="1384" w:type="dxa"/>
            <w:shd w:val="clear" w:color="auto" w:fill="FFFFFF" w:themeFill="background1"/>
          </w:tcPr>
          <w:p w14:paraId="0EC4BB33"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7</w:t>
            </w:r>
          </w:p>
        </w:tc>
        <w:tc>
          <w:tcPr>
            <w:tcW w:w="7655" w:type="dxa"/>
            <w:shd w:val="clear" w:color="auto" w:fill="FFFFFF" w:themeFill="background1"/>
          </w:tcPr>
          <w:p w14:paraId="2C4E498D"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Razlike zbog uračunavanja rezervacija</w:t>
            </w:r>
          </w:p>
          <w:p w14:paraId="52687EA3" w14:textId="74FD4CE5"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Ponovno uvrštenje vrijednosti izloženosti specifičnih i općih ispravaka vrijednosti za kreditni rizik (kako je definirano u Delegiranoj uredbi Komisije (EU) br. 183/2014</w:t>
            </w:r>
            <w:r>
              <w:rPr>
                <w:rStyle w:val="FootnoteReference"/>
                <w:rFonts w:eastAsia="Times New Roman" w:cs="Times New Roman"/>
              </w:rPr>
              <w:footnoteReference w:id="12"/>
            </w:r>
            <w:r>
              <w:rPr>
                <w:rFonts w:ascii="Times New Roman" w:hAnsi="Times New Roman"/>
                <w:sz w:val="24"/>
              </w:rPr>
              <w:t xml:space="preserve">) koje su u skladu s primjenjivim računovodstvenim okvirom za potrebe </w:t>
            </w:r>
            <w:proofErr w:type="spellStart"/>
            <w:r>
              <w:rPr>
                <w:rFonts w:ascii="Times New Roman" w:hAnsi="Times New Roman"/>
                <w:sz w:val="24"/>
              </w:rPr>
              <w:t>ponderiranja</w:t>
            </w:r>
            <w:proofErr w:type="spellEnd"/>
            <w:r>
              <w:rPr>
                <w:rFonts w:ascii="Times New Roman" w:hAnsi="Times New Roman"/>
                <w:sz w:val="24"/>
              </w:rPr>
              <w:t xml:space="preserve"> rizika bile odbijene od knjigovodstvene vrijednosti izloženosti u skladu s dijelom trećim glavom II. poglavljem 3. CRR-a. Što se tiče izloženosti koje su ponderirane rizikom u skladu s dijelom trećim glavom II. poglavljem 2. CRR-a, ako je knjigovodstvena vrijednost u financijskim izvješćima u skladu s opsegom bonitetne konsolidacije umanjena za elemente koji u skladu s navedenom delegiranom uredbom ispunjavaju </w:t>
            </w:r>
            <w:r>
              <w:rPr>
                <w:rFonts w:ascii="Times New Roman" w:hAnsi="Times New Roman"/>
                <w:sz w:val="24"/>
              </w:rPr>
              <w:lastRenderedPageBreak/>
              <w:t xml:space="preserve">uvjete za opće ispravke vrijednosti, ti se elementi ponovno uvrštavaju u vrijednost izloženosti. </w:t>
            </w:r>
          </w:p>
        </w:tc>
      </w:tr>
      <w:tr w:rsidR="007B082B" w:rsidRPr="007F4CC8" w14:paraId="45DA46F3" w14:textId="77777777" w:rsidTr="00803BB4">
        <w:trPr>
          <w:trHeight w:val="238"/>
        </w:trPr>
        <w:tc>
          <w:tcPr>
            <w:tcW w:w="1384" w:type="dxa"/>
            <w:shd w:val="clear" w:color="auto" w:fill="FFFFFF" w:themeFill="background1"/>
          </w:tcPr>
          <w:p w14:paraId="5D230D83"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8</w:t>
            </w:r>
          </w:p>
        </w:tc>
        <w:tc>
          <w:tcPr>
            <w:tcW w:w="7655" w:type="dxa"/>
            <w:shd w:val="clear" w:color="auto" w:fill="FFFFFF" w:themeFill="background1"/>
          </w:tcPr>
          <w:p w14:paraId="24CA4810" w14:textId="77777777" w:rsidR="007B082B" w:rsidRPr="007F4CC8" w:rsidRDefault="007B082B" w:rsidP="00803BB4">
            <w:pPr>
              <w:jc w:val="both"/>
              <w:rPr>
                <w:rFonts w:ascii="Times New Roman" w:eastAsia="Times New Roman" w:hAnsi="Times New Roman" w:cs="Times New Roman"/>
                <w:b/>
                <w:i/>
                <w:sz w:val="24"/>
              </w:rPr>
            </w:pPr>
            <w:r>
              <w:rPr>
                <w:rFonts w:ascii="Times New Roman" w:hAnsi="Times New Roman"/>
                <w:b/>
                <w:i/>
                <w:sz w:val="24"/>
              </w:rPr>
              <w:t xml:space="preserve">Razlike zbog primjene tehnika smanjenja kreditnog rizika </w:t>
            </w:r>
          </w:p>
          <w:p w14:paraId="7F3B4FBF" w14:textId="77777777" w:rsidR="007B082B" w:rsidRPr="007F4CC8" w:rsidRDefault="007B082B" w:rsidP="00803BB4">
            <w:pPr>
              <w:jc w:val="both"/>
              <w:rPr>
                <w:rFonts w:ascii="Times New Roman" w:eastAsia="Times New Roman" w:hAnsi="Times New Roman" w:cs="Times New Roman"/>
                <w:b/>
                <w:i/>
                <w:sz w:val="24"/>
              </w:rPr>
            </w:pPr>
          </w:p>
          <w:p w14:paraId="216F4C99" w14:textId="0F2A0611"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 xml:space="preserve">Učinak primjene tehnika smanjenja rizika kako su definirane u CRR-u na vrijednost izloženosti u skladu s opsegom bonitetne konsolidacije. </w:t>
            </w:r>
          </w:p>
        </w:tc>
      </w:tr>
      <w:tr w:rsidR="007B082B" w:rsidRPr="007F4CC8" w14:paraId="76AFBB78" w14:textId="77777777" w:rsidTr="00803BB4">
        <w:trPr>
          <w:trHeight w:val="238"/>
        </w:trPr>
        <w:tc>
          <w:tcPr>
            <w:tcW w:w="1384" w:type="dxa"/>
            <w:shd w:val="clear" w:color="auto" w:fill="FFFFFF" w:themeFill="background1"/>
          </w:tcPr>
          <w:p w14:paraId="61E0A90C"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9</w:t>
            </w:r>
          </w:p>
        </w:tc>
        <w:tc>
          <w:tcPr>
            <w:tcW w:w="7655" w:type="dxa"/>
            <w:shd w:val="clear" w:color="auto" w:fill="FFFFFF" w:themeFill="background1"/>
          </w:tcPr>
          <w:p w14:paraId="02C22A39" w14:textId="77777777" w:rsidR="007B082B" w:rsidRPr="007F4CC8" w:rsidRDefault="007B082B" w:rsidP="00803BB4">
            <w:pPr>
              <w:jc w:val="both"/>
              <w:rPr>
                <w:rFonts w:ascii="Times New Roman" w:eastAsia="Times New Roman" w:hAnsi="Times New Roman" w:cs="Times New Roman"/>
                <w:b/>
                <w:i/>
                <w:sz w:val="24"/>
              </w:rPr>
            </w:pPr>
            <w:r>
              <w:rPr>
                <w:rFonts w:ascii="Times New Roman" w:hAnsi="Times New Roman"/>
                <w:b/>
                <w:i/>
                <w:sz w:val="24"/>
              </w:rPr>
              <w:t>Razlike zbog kreditnih konverzijskih faktora</w:t>
            </w:r>
          </w:p>
          <w:p w14:paraId="6DDA7FA8" w14:textId="77777777" w:rsidR="007B082B" w:rsidRPr="007F4CC8" w:rsidRDefault="007B082B" w:rsidP="00803BB4">
            <w:pPr>
              <w:jc w:val="both"/>
              <w:rPr>
                <w:rFonts w:ascii="Times New Roman" w:eastAsia="Times New Roman" w:hAnsi="Times New Roman" w:cs="Times New Roman"/>
                <w:b/>
                <w:i/>
                <w:sz w:val="24"/>
              </w:rPr>
            </w:pPr>
          </w:p>
          <w:p w14:paraId="72603DA7" w14:textId="1E5EEFD9"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Učinak primjene relevantnih konverzijskih faktora u skladu s CRR-om na vrijednost izvanbilančnih izloženosti u skladu s opsegom bonitetne konsolidacije.</w:t>
            </w:r>
          </w:p>
          <w:p w14:paraId="712A168B" w14:textId="77777777" w:rsidR="007B082B" w:rsidRPr="007F4CC8" w:rsidRDefault="007B082B" w:rsidP="00803BB4">
            <w:pPr>
              <w:spacing w:after="120"/>
              <w:jc w:val="both"/>
              <w:rPr>
                <w:rFonts w:ascii="Times New Roman" w:eastAsia="Times New Roman" w:hAnsi="Times New Roman" w:cs="Times New Roman"/>
                <w:b/>
                <w:sz w:val="24"/>
              </w:rPr>
            </w:pPr>
            <w:r>
              <w:rPr>
                <w:rFonts w:ascii="Times New Roman" w:hAnsi="Times New Roman"/>
                <w:sz w:val="24"/>
              </w:rPr>
              <w:t>Konverzijski faktor za izvanbilančne stavke koje treba ponderirati rizikom u skladu s dijelom trećim glavom II. CRR-a utvrđuje se u skladu s člancima 111., 166., 167. i 182. (kako se primjenjuju za kreditni rizik) i člankom 246. CRR-a (kako se primjenjuje za sekuritizacijski rizik).</w:t>
            </w:r>
          </w:p>
        </w:tc>
      </w:tr>
      <w:tr w:rsidR="007B082B" w:rsidRPr="007F4CC8" w14:paraId="2653458B" w14:textId="77777777" w:rsidTr="00803BB4">
        <w:trPr>
          <w:trHeight w:val="238"/>
        </w:trPr>
        <w:tc>
          <w:tcPr>
            <w:tcW w:w="1384" w:type="dxa"/>
            <w:shd w:val="clear" w:color="auto" w:fill="FFFFFF" w:themeFill="background1"/>
          </w:tcPr>
          <w:p w14:paraId="4EB7D6DD"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10</w:t>
            </w:r>
          </w:p>
        </w:tc>
        <w:tc>
          <w:tcPr>
            <w:tcW w:w="7655" w:type="dxa"/>
            <w:shd w:val="clear" w:color="auto" w:fill="FFFFFF" w:themeFill="background1"/>
          </w:tcPr>
          <w:p w14:paraId="7DBAC841" w14:textId="77777777" w:rsidR="007B082B" w:rsidRPr="007F4CC8" w:rsidRDefault="007B082B" w:rsidP="00803BB4">
            <w:pPr>
              <w:spacing w:after="240"/>
              <w:jc w:val="both"/>
              <w:rPr>
                <w:rFonts w:ascii="Times New Roman" w:eastAsia="Times New Roman" w:hAnsi="Times New Roman" w:cs="Times New Roman"/>
                <w:b/>
                <w:i/>
                <w:sz w:val="24"/>
              </w:rPr>
            </w:pPr>
            <w:r>
              <w:rPr>
                <w:rFonts w:ascii="Times New Roman" w:hAnsi="Times New Roman"/>
                <w:b/>
                <w:i/>
                <w:sz w:val="24"/>
              </w:rPr>
              <w:t>Razlike zbog sekuritizacije s prijenosom rizika</w:t>
            </w:r>
          </w:p>
          <w:p w14:paraId="01A15C01"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 xml:space="preserve">Učinak primjene </w:t>
            </w:r>
            <w:proofErr w:type="spellStart"/>
            <w:r>
              <w:rPr>
                <w:rFonts w:ascii="Times New Roman" w:hAnsi="Times New Roman"/>
                <w:sz w:val="24"/>
              </w:rPr>
              <w:t>sekuritiziranih</w:t>
            </w:r>
            <w:proofErr w:type="spellEnd"/>
            <w:r>
              <w:rPr>
                <w:rFonts w:ascii="Times New Roman" w:hAnsi="Times New Roman"/>
                <w:sz w:val="24"/>
              </w:rPr>
              <w:t xml:space="preserve"> transakcija za prijenos kreditnog rizika na treće strane u skladu s CRR-om na vrijednost </w:t>
            </w:r>
            <w:proofErr w:type="spellStart"/>
            <w:r>
              <w:rPr>
                <w:rFonts w:ascii="Times New Roman" w:hAnsi="Times New Roman"/>
                <w:sz w:val="24"/>
              </w:rPr>
              <w:t>sekuritiziranih</w:t>
            </w:r>
            <w:proofErr w:type="spellEnd"/>
            <w:r>
              <w:rPr>
                <w:rFonts w:ascii="Times New Roman" w:hAnsi="Times New Roman"/>
                <w:sz w:val="24"/>
              </w:rPr>
              <w:t xml:space="preserve"> izloženosti.</w:t>
            </w:r>
          </w:p>
        </w:tc>
      </w:tr>
      <w:tr w:rsidR="007B082B" w:rsidRPr="007F4CC8" w14:paraId="5EABC17E" w14:textId="77777777" w:rsidTr="00803BB4">
        <w:trPr>
          <w:trHeight w:val="238"/>
        </w:trPr>
        <w:tc>
          <w:tcPr>
            <w:tcW w:w="1384" w:type="dxa"/>
            <w:shd w:val="clear" w:color="auto" w:fill="FFFFFF" w:themeFill="background1"/>
          </w:tcPr>
          <w:p w14:paraId="639F9B4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11</w:t>
            </w:r>
          </w:p>
        </w:tc>
        <w:tc>
          <w:tcPr>
            <w:tcW w:w="7655" w:type="dxa"/>
            <w:shd w:val="clear" w:color="auto" w:fill="FFFFFF" w:themeFill="background1"/>
          </w:tcPr>
          <w:p w14:paraId="7D15819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Ostale razlike</w:t>
            </w:r>
            <w:r>
              <w:rPr>
                <w:rFonts w:ascii="Times New Roman" w:hAnsi="Times New Roman"/>
                <w:i/>
                <w:sz w:val="24"/>
              </w:rPr>
              <w:t xml:space="preserve"> (ako je relevantno)</w:t>
            </w:r>
          </w:p>
          <w:p w14:paraId="3D1A8C2D"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Drugi prihvatljivi razlozi za razlike između knjigovodstvenih vrijednosti u financijskim izvješćima u skladu s regulatornim opsegom primjene i iznosa izloženosti koji se uzimaju u obzir za regulatorne potrebe.</w:t>
            </w:r>
          </w:p>
          <w:p w14:paraId="3E8064E7" w14:textId="55F1E761"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sz w:val="24"/>
              </w:rPr>
              <w:t>Institucije kvantitativne objave u ovom retku dopunjuju kvalitativnim objašnjenjima glavnih razloga za te razlike u tablici EU LIA.</w:t>
            </w:r>
          </w:p>
        </w:tc>
      </w:tr>
      <w:tr w:rsidR="007B082B" w:rsidRPr="007F4CC8" w14:paraId="698537DA" w14:textId="77777777" w:rsidTr="00803BB4">
        <w:trPr>
          <w:trHeight w:val="238"/>
        </w:trPr>
        <w:tc>
          <w:tcPr>
            <w:tcW w:w="1384" w:type="dxa"/>
            <w:shd w:val="clear" w:color="auto" w:fill="FFFFFF" w:themeFill="background1"/>
          </w:tcPr>
          <w:p w14:paraId="7E2AD4DD"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12</w:t>
            </w:r>
          </w:p>
        </w:tc>
        <w:tc>
          <w:tcPr>
            <w:tcW w:w="7655" w:type="dxa"/>
            <w:shd w:val="clear" w:color="auto" w:fill="FFFFFF" w:themeFill="background1"/>
          </w:tcPr>
          <w:p w14:paraId="4C35172C"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Iznosi izloženosti koji se uzimaju u obzir za regulatorne potrebe</w:t>
            </w:r>
          </w:p>
          <w:p w14:paraId="2BC6DA9D" w14:textId="3DD9548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Ukupni iznos koji je primijenjen kao ishodište za izračun iznosa RWEA nakon primjene tehnika smanjenja kreditnog rizika osim </w:t>
            </w:r>
            <w:proofErr w:type="spellStart"/>
            <w:r>
              <w:rPr>
                <w:rFonts w:ascii="Times New Roman" w:hAnsi="Times New Roman"/>
                <w:sz w:val="24"/>
              </w:rPr>
              <w:t>netiranja</w:t>
            </w:r>
            <w:proofErr w:type="spellEnd"/>
            <w:r>
              <w:rPr>
                <w:rFonts w:ascii="Times New Roman" w:hAnsi="Times New Roman"/>
                <w:sz w:val="24"/>
              </w:rPr>
              <w:t xml:space="preserve"> iz dijela trećeg glave II. poglavlja 4. CRR-a i nakon primjene zahtjeva za netiranje iz dijela trećeg glave II. poglavlja 4. i 5. CRR-a te dijela trećeg glave IV. CRR-a za svaku kategoriju rizika</w:t>
            </w:r>
          </w:p>
          <w:p w14:paraId="06BD7488" w14:textId="24EABD10"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Ako se primjenjuje standardizirani pristup, to je vrijednost nakon specifičnih ispravaka vrijednosti za kreditni rizik, dodatna vrijednosna usklađenja u skladu s člancima 34. i 110. CRR-a i druga smanjenja regulatornog kapitala koja se odnose na stavku imovine. Za izvanbilančne stavke iz Priloga I. ovoj Provedbenoj uredbi, vrijednost izloženosti je nominalna vrijednost nakon umanjenja za specifične ispravke vrijednosti za kreditni rizik pomnožena s primjenjivim postotkom iz članka 111. stavka 1. točaka (a) i (d) CRR-a.</w:t>
            </w:r>
          </w:p>
          <w:p w14:paraId="2D2C416D"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Ako se primjenjuje IRB pristup, objavljuje se vrijednost izloženosti u smislu članaka 166., 167. i 168. CRR-a.</w:t>
            </w:r>
          </w:p>
          <w:p w14:paraId="15D6B908" w14:textId="79CCE99B" w:rsidR="007B082B" w:rsidRPr="007F4CC8" w:rsidRDefault="007B082B" w:rsidP="0038336D">
            <w:pPr>
              <w:spacing w:before="60" w:after="120"/>
              <w:jc w:val="both"/>
              <w:rPr>
                <w:rFonts w:ascii="Times New Roman" w:eastAsia="Times New Roman" w:hAnsi="Times New Roman" w:cs="Times New Roman"/>
                <w:sz w:val="24"/>
              </w:rPr>
            </w:pPr>
            <w:r>
              <w:rPr>
                <w:rFonts w:ascii="Times New Roman" w:hAnsi="Times New Roman"/>
                <w:sz w:val="24"/>
              </w:rPr>
              <w:t xml:space="preserve">Zato se u odgovarajućim redcima od 1 do 3 ovog obrasca objavljuju knjigovodstvene vrijednosti iskazane u financijskim izvješćima u skladu s </w:t>
            </w:r>
            <w:r>
              <w:rPr>
                <w:rFonts w:ascii="Times New Roman" w:hAnsi="Times New Roman"/>
                <w:sz w:val="24"/>
              </w:rPr>
              <w:lastRenderedPageBreak/>
              <w:t>opsegom bonitetne konsolidacije, dok se u retku 4 ovog obrasca objavljuju izvanbilančne originalne izloženosti. Svako specifično regulatorno povećanje ili smanjenje povezano s tim iznosima uključuje se u retke od 5 do 11 ovog obrasca kako bi se objasnilo kako se ti iznosi usklađuju s iznosom izloženosti za regulatorne potrebe kao ishodište za izračun iznosa RWEA u skladu sa svakim od okvira iz stupaca od (b) do (e) ovog obrasca. To znači da će osobito za kreditni rizik vrijednosti izloženosti koje se uzimaju u obzir za regulatorne potrebe i objavljuju u retku 12 ovog obrasca biti različite od knjigovodstvenih vrijednosti iskazanih u financijskim izvješćima u skladu s opsegom bonitetne konsolidacije, zbog posebnog regulatornog tretmana računovodstvenih odredaba za izračun iznosa RWEA.</w:t>
            </w:r>
          </w:p>
        </w:tc>
      </w:tr>
    </w:tbl>
    <w:p w14:paraId="36BC9F21" w14:textId="77777777" w:rsidR="007B082B" w:rsidRPr="007F4CC8" w:rsidRDefault="007B082B" w:rsidP="007B082B">
      <w:pPr>
        <w:jc w:val="both"/>
        <w:rPr>
          <w:rFonts w:ascii="Times New Roman" w:hAnsi="Times New Roman" w:cs="Times New Roman"/>
          <w:sz w:val="24"/>
        </w:rPr>
      </w:pPr>
    </w:p>
    <w:p w14:paraId="7D319545" w14:textId="77777777" w:rsidR="007B082B" w:rsidRPr="007F4CC8" w:rsidRDefault="007B082B" w:rsidP="007B082B">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803C7EC" w14:textId="77777777" w:rsidTr="00803BB4">
        <w:trPr>
          <w:trHeight w:val="238"/>
        </w:trPr>
        <w:tc>
          <w:tcPr>
            <w:tcW w:w="9039" w:type="dxa"/>
            <w:gridSpan w:val="2"/>
            <w:shd w:val="clear" w:color="auto" w:fill="D9D9D9" w:themeFill="background1" w:themeFillShade="D9"/>
          </w:tcPr>
          <w:p w14:paraId="72386190"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Pravna osnova i upute</w:t>
            </w:r>
          </w:p>
        </w:tc>
      </w:tr>
      <w:tr w:rsidR="007B082B" w:rsidRPr="007F4CC8" w14:paraId="51DCA2FC" w14:textId="77777777" w:rsidTr="00803BB4">
        <w:trPr>
          <w:trHeight w:val="238"/>
        </w:trPr>
        <w:tc>
          <w:tcPr>
            <w:tcW w:w="1384" w:type="dxa"/>
            <w:tcBorders>
              <w:bottom w:val="single" w:sz="4" w:space="0" w:color="auto"/>
            </w:tcBorders>
            <w:shd w:val="clear" w:color="auto" w:fill="D9D9D9" w:themeFill="background1" w:themeFillShade="D9"/>
          </w:tcPr>
          <w:p w14:paraId="44199741" w14:textId="77777777" w:rsidR="007B082B" w:rsidRPr="007F4CC8" w:rsidRDefault="007B082B" w:rsidP="00803BB4">
            <w:pPr>
              <w:autoSpaceDE w:val="0"/>
              <w:autoSpaceDN w:val="0"/>
              <w:adjustRightInd w:val="0"/>
              <w:spacing w:before="60" w:after="120"/>
              <w:rPr>
                <w:rFonts w:ascii="Times New Roman" w:hAnsi="Times New Roman" w:cs="Times New Roman"/>
                <w:b/>
                <w:sz w:val="24"/>
              </w:rPr>
            </w:pPr>
            <w:r>
              <w:rPr>
                <w:rFonts w:ascii="Times New Roman" w:hAnsi="Times New Roman"/>
                <w:b/>
                <w:sz w:val="24"/>
              </w:rPr>
              <w:t>Referenca stupca</w:t>
            </w:r>
          </w:p>
        </w:tc>
        <w:tc>
          <w:tcPr>
            <w:tcW w:w="7655" w:type="dxa"/>
            <w:tcBorders>
              <w:bottom w:val="single" w:sz="4" w:space="0" w:color="auto"/>
            </w:tcBorders>
            <w:shd w:val="clear" w:color="auto" w:fill="D9D9D9" w:themeFill="background1" w:themeFillShade="D9"/>
          </w:tcPr>
          <w:p w14:paraId="24CC6F75" w14:textId="77777777" w:rsidR="007B082B" w:rsidRPr="007F4CC8" w:rsidRDefault="007B082B" w:rsidP="00803BB4">
            <w:pPr>
              <w:autoSpaceDE w:val="0"/>
              <w:autoSpaceDN w:val="0"/>
              <w:adjustRightInd w:val="0"/>
              <w:spacing w:before="60" w:after="120"/>
              <w:rPr>
                <w:rFonts w:ascii="Times New Roman" w:hAnsi="Times New Roman" w:cs="Times New Roman"/>
                <w:color w:val="000000"/>
                <w:sz w:val="24"/>
              </w:rPr>
            </w:pPr>
            <w:r>
              <w:rPr>
                <w:rFonts w:ascii="Times New Roman" w:hAnsi="Times New Roman"/>
                <w:b/>
                <w:sz w:val="24"/>
              </w:rPr>
              <w:t>Objašnjenje</w:t>
            </w:r>
          </w:p>
        </w:tc>
      </w:tr>
      <w:tr w:rsidR="007B082B" w:rsidRPr="007F4CC8" w14:paraId="018CA624" w14:textId="77777777" w:rsidTr="00803BB4">
        <w:trPr>
          <w:trHeight w:val="238"/>
        </w:trPr>
        <w:tc>
          <w:tcPr>
            <w:tcW w:w="1384" w:type="dxa"/>
            <w:tcBorders>
              <w:bottom w:val="single" w:sz="4" w:space="0" w:color="auto"/>
            </w:tcBorders>
            <w:shd w:val="clear" w:color="auto" w:fill="FFFFFF" w:themeFill="background1"/>
          </w:tcPr>
          <w:p w14:paraId="18658254"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a</w:t>
            </w:r>
          </w:p>
        </w:tc>
        <w:tc>
          <w:tcPr>
            <w:tcW w:w="7655" w:type="dxa"/>
            <w:tcBorders>
              <w:bottom w:val="single" w:sz="4" w:space="0" w:color="auto"/>
            </w:tcBorders>
            <w:shd w:val="clear" w:color="auto" w:fill="FFFFFF" w:themeFill="background1"/>
          </w:tcPr>
          <w:p w14:paraId="09458FC2" w14:textId="77777777" w:rsidR="007B082B" w:rsidRPr="007F4CC8" w:rsidRDefault="007B082B" w:rsidP="00803BB4">
            <w:pPr>
              <w:spacing w:before="60" w:after="120"/>
              <w:jc w:val="both"/>
              <w:rPr>
                <w:rFonts w:ascii="Times New Roman" w:hAnsi="Times New Roman"/>
                <w:b/>
                <w:sz w:val="24"/>
              </w:rPr>
            </w:pPr>
            <w:r>
              <w:rPr>
                <w:rFonts w:ascii="Times New Roman" w:hAnsi="Times New Roman"/>
                <w:b/>
                <w:sz w:val="24"/>
              </w:rPr>
              <w:t>Ukupno</w:t>
            </w:r>
          </w:p>
          <w:p w14:paraId="4CA8C4A4" w14:textId="64339E12" w:rsidR="007B082B" w:rsidRPr="007F4CC8" w:rsidRDefault="007B082B" w:rsidP="00D96A21">
            <w:pPr>
              <w:spacing w:before="60" w:after="120"/>
              <w:jc w:val="both"/>
              <w:rPr>
                <w:rFonts w:ascii="Times New Roman" w:eastAsia="Times New Roman" w:hAnsi="Times New Roman" w:cs="Times New Roman"/>
                <w:sz w:val="24"/>
              </w:rPr>
            </w:pPr>
            <w:r>
              <w:rPr>
                <w:rFonts w:ascii="Times New Roman" w:hAnsi="Times New Roman"/>
                <w:sz w:val="24"/>
              </w:rPr>
              <w:t>Ukupni iznos u stupcu (a) obrasca EU LI2 = iznosi u stupcu (b) obrasca EU LI1 – iznosi u stupcu (g) obrasca EU LI1.</w:t>
            </w:r>
          </w:p>
        </w:tc>
      </w:tr>
      <w:tr w:rsidR="007B082B" w:rsidRPr="007F4CC8" w14:paraId="1B00C2F8" w14:textId="77777777" w:rsidTr="00803BB4">
        <w:trPr>
          <w:trHeight w:val="238"/>
        </w:trPr>
        <w:tc>
          <w:tcPr>
            <w:tcW w:w="1384" w:type="dxa"/>
            <w:tcBorders>
              <w:bottom w:val="single" w:sz="4" w:space="0" w:color="auto"/>
            </w:tcBorders>
            <w:shd w:val="clear" w:color="auto" w:fill="FFFFFF" w:themeFill="background1"/>
          </w:tcPr>
          <w:p w14:paraId="0BCE6F66"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09945801"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Raščlamba stupaca u regulatornim kategorijama rizika od (b) do (e) odgovara raščlambi iz dijela trećeg CRR-a. </w:t>
            </w:r>
          </w:p>
        </w:tc>
      </w:tr>
      <w:tr w:rsidR="007B082B" w:rsidRPr="007F4CC8" w14:paraId="0B0DCC30" w14:textId="77777777" w:rsidTr="00803BB4">
        <w:trPr>
          <w:trHeight w:val="238"/>
        </w:trPr>
        <w:tc>
          <w:tcPr>
            <w:tcW w:w="1384" w:type="dxa"/>
            <w:tcBorders>
              <w:top w:val="single" w:sz="4" w:space="0" w:color="auto"/>
              <w:bottom w:val="single" w:sz="4" w:space="0" w:color="auto"/>
            </w:tcBorders>
            <w:shd w:val="clear" w:color="auto" w:fill="FFFFFF" w:themeFill="background1"/>
          </w:tcPr>
          <w:p w14:paraId="07446074"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b</w:t>
            </w:r>
          </w:p>
        </w:tc>
        <w:tc>
          <w:tcPr>
            <w:tcW w:w="7655" w:type="dxa"/>
            <w:tcBorders>
              <w:top w:val="single" w:sz="4" w:space="0" w:color="auto"/>
              <w:bottom w:val="single" w:sz="4" w:space="0" w:color="auto"/>
            </w:tcBorders>
            <w:shd w:val="clear" w:color="auto" w:fill="FFFFFF" w:themeFill="background1"/>
          </w:tcPr>
          <w:p w14:paraId="6534EE62"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Okvir za kreditni rizik</w:t>
            </w:r>
          </w:p>
          <w:p w14:paraId="3AAA1C8D" w14:textId="77777777" w:rsidR="007B082B" w:rsidRPr="007F4CC8" w:rsidRDefault="007B082B" w:rsidP="00803BB4">
            <w:pPr>
              <w:spacing w:before="60" w:after="120"/>
              <w:jc w:val="both"/>
              <w:rPr>
                <w:rFonts w:ascii="Times New Roman" w:hAnsi="Times New Roman" w:cs="Times New Roman"/>
                <w:sz w:val="24"/>
              </w:rPr>
            </w:pPr>
            <w:r>
              <w:rPr>
                <w:rFonts w:ascii="Times New Roman" w:hAnsi="Times New Roman"/>
                <w:sz w:val="24"/>
              </w:rPr>
              <w:t>Izloženosti iz dijela trećeg glave II. CRR-a</w:t>
            </w:r>
          </w:p>
          <w:p w14:paraId="2B162172"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Izloženosti u skladu s okvirom za kreditni rizik odgovaraju iznosu izloženosti koji se primjenjuje u standardiziranom pristupu za kreditni rizik (vidjeti dio treći glavu II poglavlje 2. članak 111. CRR-a) ili izloženostima u statusu neispunjavanja obveza u IRB pristupu za kreditni rizik (vidjeti dio treći glavu II. poglavlje 3. članke 166., 167. i 168. CRR-a). </w:t>
            </w:r>
          </w:p>
        </w:tc>
      </w:tr>
      <w:tr w:rsidR="007B082B" w:rsidRPr="007F4CC8" w14:paraId="5CF58D39" w14:textId="77777777" w:rsidTr="00803BB4">
        <w:trPr>
          <w:trHeight w:val="238"/>
        </w:trPr>
        <w:tc>
          <w:tcPr>
            <w:tcW w:w="1384" w:type="dxa"/>
            <w:tcBorders>
              <w:top w:val="single" w:sz="4" w:space="0" w:color="auto"/>
              <w:bottom w:val="single" w:sz="4" w:space="0" w:color="auto"/>
            </w:tcBorders>
            <w:shd w:val="clear" w:color="auto" w:fill="FFFFFF" w:themeFill="background1"/>
          </w:tcPr>
          <w:p w14:paraId="2B5F02A3"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c</w:t>
            </w:r>
          </w:p>
        </w:tc>
        <w:tc>
          <w:tcPr>
            <w:tcW w:w="7655" w:type="dxa"/>
            <w:tcBorders>
              <w:top w:val="single" w:sz="4" w:space="0" w:color="auto"/>
              <w:bottom w:val="single" w:sz="4" w:space="0" w:color="auto"/>
            </w:tcBorders>
            <w:shd w:val="clear" w:color="auto" w:fill="FFFFFF" w:themeFill="background1"/>
          </w:tcPr>
          <w:p w14:paraId="76F4FFB4"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Sekuritizacijski okvir </w:t>
            </w:r>
          </w:p>
          <w:p w14:paraId="30028A16" w14:textId="77777777" w:rsidR="007B082B" w:rsidRPr="007F4CC8" w:rsidRDefault="007B082B" w:rsidP="00803BB4">
            <w:pPr>
              <w:spacing w:before="60" w:after="120"/>
              <w:jc w:val="both"/>
              <w:rPr>
                <w:rFonts w:ascii="Times New Roman" w:eastAsia="Times New Roman" w:hAnsi="Times New Roman" w:cs="Times New Roman"/>
                <w:color w:val="3F8BD0" w:themeColor="accent6" w:themeTint="99"/>
                <w:sz w:val="24"/>
              </w:rPr>
            </w:pPr>
            <w:r>
              <w:rPr>
                <w:rFonts w:ascii="Times New Roman" w:hAnsi="Times New Roman"/>
                <w:sz w:val="24"/>
              </w:rPr>
              <w:t>Izloženosti iz knjige pozicija kojima se ne trguje navedene u dijelu trećem glavi II. poglavlju 5. CRR-a</w:t>
            </w:r>
          </w:p>
          <w:p w14:paraId="6C7844D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Sekuritizacijske izloženosti određuju se u skladu s dijelom trećim glavom II. poglavljem 5. člankom 246. CRR-a.</w:t>
            </w:r>
          </w:p>
        </w:tc>
      </w:tr>
      <w:tr w:rsidR="007B082B" w:rsidRPr="007F4CC8" w14:paraId="3BDB0D58"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337A8A2"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d</w:t>
            </w:r>
          </w:p>
        </w:tc>
        <w:tc>
          <w:tcPr>
            <w:tcW w:w="7655" w:type="dxa"/>
            <w:tcBorders>
              <w:top w:val="single" w:sz="4" w:space="0" w:color="auto"/>
              <w:bottom w:val="single" w:sz="4" w:space="0" w:color="auto"/>
            </w:tcBorders>
            <w:shd w:val="clear" w:color="auto" w:fill="FFFFFF" w:themeFill="background1"/>
          </w:tcPr>
          <w:p w14:paraId="194D426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Okvir za kreditni rizik druge ugovorne strane (CCR)</w:t>
            </w:r>
          </w:p>
          <w:p w14:paraId="43F8D39D" w14:textId="77777777" w:rsidR="007B082B" w:rsidRPr="007F4CC8" w:rsidRDefault="007B082B" w:rsidP="00803BB4">
            <w:pPr>
              <w:spacing w:before="60" w:after="120"/>
              <w:jc w:val="both"/>
              <w:rPr>
                <w:rFonts w:ascii="Times New Roman" w:hAnsi="Times New Roman"/>
                <w:b/>
                <w:sz w:val="24"/>
              </w:rPr>
            </w:pPr>
            <w:r>
              <w:rPr>
                <w:rFonts w:ascii="Times New Roman" w:hAnsi="Times New Roman"/>
                <w:sz w:val="24"/>
              </w:rPr>
              <w:t>Izloženosti iz dijela trećeg glave II. poglavlja 6. CRR-a</w:t>
            </w:r>
          </w:p>
        </w:tc>
      </w:tr>
      <w:tr w:rsidR="007B082B" w:rsidRPr="007F4CC8" w14:paraId="0053D38E"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D9BC49B"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tcBorders>
              <w:top w:val="single" w:sz="4" w:space="0" w:color="auto"/>
              <w:bottom w:val="single" w:sz="4" w:space="0" w:color="auto"/>
            </w:tcBorders>
            <w:shd w:val="clear" w:color="auto" w:fill="FFFFFF" w:themeFill="background1"/>
          </w:tcPr>
          <w:p w14:paraId="3BD24DC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Okvir za tržišni rizik</w:t>
            </w:r>
          </w:p>
          <w:p w14:paraId="0DFE41C8" w14:textId="77777777" w:rsidR="007B082B" w:rsidRPr="007F4CC8" w:rsidRDefault="007B082B" w:rsidP="00803BB4">
            <w:pPr>
              <w:spacing w:before="60" w:after="120"/>
              <w:jc w:val="both"/>
              <w:rPr>
                <w:rFonts w:ascii="Times New Roman" w:hAnsi="Times New Roman"/>
                <w:sz w:val="24"/>
              </w:rPr>
            </w:pPr>
            <w:r>
              <w:rPr>
                <w:rFonts w:ascii="Times New Roman" w:hAnsi="Times New Roman"/>
                <w:sz w:val="24"/>
              </w:rPr>
              <w:t>Izloženosti tržišnom riziku koje odgovaraju pozicijama na koje se primjenjuje okvir za tržišni rizik iz dijela trećeg glave IV. CRR-a</w:t>
            </w:r>
          </w:p>
          <w:p w14:paraId="6E2E4682"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lastRenderedPageBreak/>
              <w:t>U ovom se stupcu objavljuju samo informacije u redcima od 1 do 3 i retku 12 ovog obrasca.</w:t>
            </w:r>
          </w:p>
        </w:tc>
      </w:tr>
      <w:tr w:rsidR="007B082B" w:rsidRPr="007F4CC8" w14:paraId="1F13B7D2" w14:textId="77777777" w:rsidTr="00803BB4">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2AE79879"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sve</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11D1220B"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Ako se na jednu stavku primjenjuju kapitalni zahtjevi u skladu s nekoliko okvira za rizik, to se objavljuje u svim relevantnim stupcima koji odgovaraju kapitalnim zahtjevima. Zato zbroj iznosa u stupcima od (b) do (e) ovog obrasca može biti veći od iznosa u stupcu (a) ovog obrasca. Institucije navode kvalitativna objašnjenja imovine i obveza na koje se primjenjuju kapitalni zahtjevi iz nekoliko okvira za rizik navedenih u dijelu trećem CRR-a.</w:t>
            </w:r>
          </w:p>
        </w:tc>
      </w:tr>
    </w:tbl>
    <w:p w14:paraId="527FB321" w14:textId="77777777" w:rsidR="007B082B" w:rsidRPr="007F4CC8" w:rsidRDefault="007B082B" w:rsidP="007B082B">
      <w:pPr>
        <w:jc w:val="both"/>
        <w:rPr>
          <w:rFonts w:ascii="Times New Roman" w:hAnsi="Times New Roman" w:cs="Times New Roman"/>
          <w:sz w:val="24"/>
        </w:rPr>
      </w:pPr>
    </w:p>
    <w:p w14:paraId="0807C98A" w14:textId="2699B9FC" w:rsidR="007B082B" w:rsidRPr="007F4CC8" w:rsidRDefault="007B082B" w:rsidP="007B082B">
      <w:pPr>
        <w:jc w:val="both"/>
        <w:rPr>
          <w:rFonts w:ascii="Times New Roman" w:hAnsi="Times New Roman" w:cs="Times New Roman"/>
          <w:b/>
          <w:sz w:val="24"/>
        </w:rPr>
      </w:pPr>
      <w:r>
        <w:rPr>
          <w:rFonts w:ascii="Times New Roman" w:hAnsi="Times New Roman"/>
          <w:b/>
          <w:sz w:val="24"/>
        </w:rPr>
        <w:t>Obrazac EU LI3 – Kratki opis razlika u opsegu konsolidacije (subjekt po subjekt)</w:t>
      </w:r>
    </w:p>
    <w:p w14:paraId="2DCB70BA" w14:textId="6D2E12B8" w:rsidR="007B082B" w:rsidRPr="007F4CC8" w:rsidRDefault="007B082B" w:rsidP="00E70D84">
      <w:pPr>
        <w:pStyle w:val="ListParagraph"/>
        <w:numPr>
          <w:ilvl w:val="0"/>
          <w:numId w:val="18"/>
        </w:numPr>
        <w:spacing w:before="120" w:after="120"/>
        <w:ind w:left="432"/>
        <w:jc w:val="both"/>
        <w:rPr>
          <w:rFonts w:ascii="Times New Roman" w:hAnsi="Times New Roman"/>
          <w:color w:val="000000" w:themeColor="text1"/>
          <w:sz w:val="24"/>
        </w:rPr>
      </w:pPr>
      <w:r>
        <w:rPr>
          <w:rFonts w:ascii="Times New Roman" w:hAnsi="Times New Roman"/>
          <w:color w:val="000000" w:themeColor="text1"/>
          <w:sz w:val="24"/>
        </w:rPr>
        <w:t>Institucije objavljuju informacije iz članka 436. točke (b) CRR-a ispunjavanjem obrasca EU LI3 iz Priloga V. ovoj Provedbenoj uredbi prema uputama u nastavku ovog Priloga.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36CF209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B04EE2"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Pravna osnova i upute</w:t>
            </w:r>
          </w:p>
        </w:tc>
      </w:tr>
      <w:tr w:rsidR="007B082B" w:rsidRPr="007F4CC8" w14:paraId="29F9CBCC" w14:textId="77777777" w:rsidTr="00803BB4">
        <w:trPr>
          <w:trHeight w:val="238"/>
        </w:trPr>
        <w:tc>
          <w:tcPr>
            <w:tcW w:w="1384" w:type="dxa"/>
            <w:shd w:val="clear" w:color="auto" w:fill="D9D9D9" w:themeFill="background1" w:themeFillShade="D9"/>
          </w:tcPr>
          <w:p w14:paraId="43226805"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19FD6AE0"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7B082B" w:rsidRPr="007F4CC8" w14:paraId="42C31B51" w14:textId="77777777" w:rsidTr="00803BB4">
        <w:trPr>
          <w:trHeight w:val="238"/>
        </w:trPr>
        <w:tc>
          <w:tcPr>
            <w:tcW w:w="1384" w:type="dxa"/>
            <w:shd w:val="clear" w:color="auto" w:fill="FFFFFF" w:themeFill="background1"/>
          </w:tcPr>
          <w:p w14:paraId="6F0C2254"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3F8DECD2"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Redci su fleksibilni. Objavljuju se informacije o subjektima koji su obuhvaćeni opsegom računovodstvene i bonitetne konsolidacije kako je definirano u skladu s primjenjivim računovodstvenim okvirom i dijelom prvim glavom II. odjeljcima 2. i 3. CRR-a, za koje se metoda računovodstvene konsolidacije razlikuje od metode bonitetne konsolidacije. Jedan redak po subjektu.</w:t>
            </w:r>
          </w:p>
        </w:tc>
      </w:tr>
    </w:tbl>
    <w:p w14:paraId="51FBC2E6" w14:textId="77777777" w:rsidR="007B082B" w:rsidRPr="007F4CC8" w:rsidRDefault="007B082B" w:rsidP="007B082B">
      <w:pPr>
        <w:rPr>
          <w:rFonts w:ascii="Times New Roman" w:hAnsi="Times New Roman" w:cs="Times New Roman"/>
          <w:sz w:val="24"/>
        </w:rPr>
      </w:pPr>
    </w:p>
    <w:p w14:paraId="4270CE8A" w14:textId="77777777" w:rsidR="007B082B" w:rsidRPr="007F4CC8" w:rsidRDefault="007B082B" w:rsidP="007B082B">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17762F96"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B06DEE"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Pravna osnova i upute</w:t>
            </w:r>
          </w:p>
        </w:tc>
      </w:tr>
      <w:tr w:rsidR="007B082B" w:rsidRPr="007F4CC8" w14:paraId="67D9D178" w14:textId="77777777" w:rsidTr="00803BB4">
        <w:trPr>
          <w:trHeight w:val="238"/>
        </w:trPr>
        <w:tc>
          <w:tcPr>
            <w:tcW w:w="1384" w:type="dxa"/>
            <w:shd w:val="clear" w:color="auto" w:fill="D9D9D9" w:themeFill="background1" w:themeFillShade="D9"/>
          </w:tcPr>
          <w:p w14:paraId="2C0C452A"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b/>
                <w:sz w:val="24"/>
              </w:rPr>
              <w:t>Referenca stupca</w:t>
            </w:r>
          </w:p>
        </w:tc>
        <w:tc>
          <w:tcPr>
            <w:tcW w:w="7655" w:type="dxa"/>
            <w:shd w:val="clear" w:color="auto" w:fill="D9D9D9" w:themeFill="background1" w:themeFillShade="D9"/>
          </w:tcPr>
          <w:p w14:paraId="6DC63485"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7B082B" w:rsidRPr="007F4CC8" w14:paraId="3E7D3951" w14:textId="77777777" w:rsidTr="00803BB4">
        <w:trPr>
          <w:trHeight w:val="238"/>
        </w:trPr>
        <w:tc>
          <w:tcPr>
            <w:tcW w:w="1384" w:type="dxa"/>
            <w:shd w:val="clear" w:color="auto" w:fill="auto"/>
          </w:tcPr>
          <w:p w14:paraId="2A45CBE0"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a</w:t>
            </w:r>
          </w:p>
        </w:tc>
        <w:tc>
          <w:tcPr>
            <w:tcW w:w="7655" w:type="dxa"/>
            <w:shd w:val="clear" w:color="auto" w:fill="auto"/>
          </w:tcPr>
          <w:p w14:paraId="52AB1DB3"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Naziv subjekta</w:t>
            </w:r>
          </w:p>
          <w:p w14:paraId="099F4741" w14:textId="7777777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Naziv svih subjekata koji su obuhvaćeni opsegom regulatorne i računovodstvene konsolidacije institucije ili su iz njih izuzeti.</w:t>
            </w:r>
          </w:p>
        </w:tc>
      </w:tr>
      <w:tr w:rsidR="007B082B" w:rsidRPr="007F4CC8" w14:paraId="48E07DD2" w14:textId="77777777" w:rsidTr="00803BB4">
        <w:trPr>
          <w:trHeight w:val="238"/>
        </w:trPr>
        <w:tc>
          <w:tcPr>
            <w:tcW w:w="1384" w:type="dxa"/>
            <w:shd w:val="clear" w:color="auto" w:fill="auto"/>
          </w:tcPr>
          <w:p w14:paraId="650CB4CF"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b</w:t>
            </w:r>
          </w:p>
        </w:tc>
        <w:tc>
          <w:tcPr>
            <w:tcW w:w="7655" w:type="dxa"/>
            <w:shd w:val="clear" w:color="auto" w:fill="auto"/>
          </w:tcPr>
          <w:p w14:paraId="338167FB"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Metoda računovodstvene konsolidacije</w:t>
            </w:r>
          </w:p>
          <w:p w14:paraId="067EC88D" w14:textId="7777777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Metoda konsolidacije primijenjena u skladu s primjenjivim računovodstvenim okvirom</w:t>
            </w:r>
          </w:p>
        </w:tc>
      </w:tr>
      <w:tr w:rsidR="007B082B" w:rsidRPr="007F4CC8" w14:paraId="5246F38B" w14:textId="77777777" w:rsidTr="00803BB4">
        <w:trPr>
          <w:trHeight w:val="238"/>
        </w:trPr>
        <w:tc>
          <w:tcPr>
            <w:tcW w:w="1384" w:type="dxa"/>
            <w:shd w:val="clear" w:color="auto" w:fill="auto"/>
          </w:tcPr>
          <w:p w14:paraId="6747CEC2"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od c do g</w:t>
            </w:r>
          </w:p>
        </w:tc>
        <w:tc>
          <w:tcPr>
            <w:tcW w:w="7655" w:type="dxa"/>
            <w:shd w:val="clear" w:color="auto" w:fill="auto"/>
          </w:tcPr>
          <w:p w14:paraId="48D3D0C7"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Metoda bonitetne konsolidacije</w:t>
            </w:r>
          </w:p>
          <w:p w14:paraId="00FD3624" w14:textId="77777777" w:rsidR="007B082B" w:rsidRPr="007F4CC8" w:rsidRDefault="007B082B" w:rsidP="00803BB4">
            <w:pPr>
              <w:keepNext/>
              <w:spacing w:before="60" w:after="120"/>
              <w:jc w:val="both"/>
              <w:rPr>
                <w:rFonts w:ascii="Times New Roman" w:eastAsia="Times New Roman" w:hAnsi="Times New Roman" w:cs="Times New Roman"/>
                <w:sz w:val="24"/>
              </w:rPr>
            </w:pPr>
            <w:r>
              <w:rPr>
                <w:rFonts w:ascii="Times New Roman" w:hAnsi="Times New Roman"/>
                <w:sz w:val="24"/>
              </w:rPr>
              <w:t>Metoda konsolidacije primijenjena za potrebe dijela prvog glave II poglavlja 2. CRR-a</w:t>
            </w:r>
          </w:p>
          <w:p w14:paraId="0D12C05F" w14:textId="77777777" w:rsidR="007B082B" w:rsidRPr="007F4CC8" w:rsidRDefault="007B082B" w:rsidP="00803BB4">
            <w:pPr>
              <w:keepNext/>
              <w:spacing w:before="60" w:after="120"/>
              <w:jc w:val="both"/>
              <w:rPr>
                <w:rFonts w:ascii="Times New Roman" w:eastAsia="Times New Roman" w:hAnsi="Times New Roman" w:cs="Times New Roman"/>
                <w:sz w:val="24"/>
              </w:rPr>
            </w:pPr>
            <w:r>
              <w:rPr>
                <w:rFonts w:ascii="Times New Roman" w:hAnsi="Times New Roman"/>
                <w:sz w:val="24"/>
              </w:rPr>
              <w:t>Minimalno se objavljuju metode iz članka 436. točke (b) CRR-a.</w:t>
            </w:r>
          </w:p>
          <w:p w14:paraId="236AC652" w14:textId="452ACD8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Institucije označavaju primjenjive stupce i tako navode metodu konsolidacije za svaki subjekt u skladu s računovodstvenim okvirom te je li, u skladu s opsegom bonitetne konsolidacije, svaki subjekt i. potpuno konsolidiran; ii. proporcionalno konsolidiran; iii. priznat u skladu s metodom udjela; iv. ni konsolidiran ni izuzet ili je v. izuzet.</w:t>
            </w:r>
          </w:p>
        </w:tc>
      </w:tr>
      <w:tr w:rsidR="007B082B" w:rsidRPr="007F4CC8" w14:paraId="52F2E86F" w14:textId="77777777" w:rsidTr="00803BB4">
        <w:trPr>
          <w:trHeight w:val="238"/>
        </w:trPr>
        <w:tc>
          <w:tcPr>
            <w:tcW w:w="1384" w:type="dxa"/>
            <w:shd w:val="clear" w:color="auto" w:fill="auto"/>
          </w:tcPr>
          <w:p w14:paraId="06FA0317"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h</w:t>
            </w:r>
          </w:p>
        </w:tc>
        <w:tc>
          <w:tcPr>
            <w:tcW w:w="7655" w:type="dxa"/>
            <w:shd w:val="clear" w:color="auto" w:fill="auto"/>
          </w:tcPr>
          <w:p w14:paraId="40552E38"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Opis subjekta</w:t>
            </w:r>
          </w:p>
          <w:p w14:paraId="1EDB0246"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Kratak opis subjekta, navodeći (najmanje) sektor u kojem posluje</w:t>
            </w:r>
          </w:p>
        </w:tc>
      </w:tr>
    </w:tbl>
    <w:p w14:paraId="4BCBBC38" w14:textId="77777777" w:rsidR="007B082B" w:rsidRPr="007F4CC8" w:rsidRDefault="007B082B" w:rsidP="007B082B">
      <w:pPr>
        <w:rPr>
          <w:rFonts w:ascii="Times New Roman" w:hAnsi="Times New Roman" w:cs="Times New Roman"/>
          <w:sz w:val="24"/>
        </w:rPr>
      </w:pPr>
    </w:p>
    <w:p w14:paraId="62009EA3" w14:textId="6CF4FDB2" w:rsidR="007B082B" w:rsidRPr="007F4CC8" w:rsidRDefault="00D96A21" w:rsidP="007B082B">
      <w:pPr>
        <w:jc w:val="both"/>
        <w:rPr>
          <w:rFonts w:ascii="Times New Roman" w:hAnsi="Times New Roman" w:cs="Times New Roman"/>
          <w:sz w:val="24"/>
        </w:rPr>
      </w:pPr>
      <w:r>
        <w:rPr>
          <w:rFonts w:ascii="Times New Roman" w:hAnsi="Times New Roman"/>
          <w:b/>
          <w:sz w:val="24"/>
        </w:rPr>
        <w:t xml:space="preserve">Tablica EU LIA – Objašnjenja razlika između iznosa računovodstvene i regulatorne izloženosti. </w:t>
      </w:r>
      <w:r>
        <w:rPr>
          <w:rFonts w:ascii="Times New Roman" w:hAnsi="Times New Roman"/>
          <w:sz w:val="24"/>
        </w:rPr>
        <w:t>Polja za slobodan unos teksta za objavu kvalitativnih informacija</w:t>
      </w:r>
    </w:p>
    <w:p w14:paraId="4CD2BB71" w14:textId="77777777" w:rsidR="007B082B" w:rsidRPr="007F4CC8" w:rsidRDefault="007B082B" w:rsidP="007B082B">
      <w:pPr>
        <w:jc w:val="both"/>
        <w:rPr>
          <w:rFonts w:ascii="Times New Roman" w:hAnsi="Times New Roman" w:cs="Times New Roman"/>
          <w:sz w:val="24"/>
        </w:rPr>
      </w:pPr>
    </w:p>
    <w:p w14:paraId="4B6DAAED" w14:textId="73119B13" w:rsidR="007B082B" w:rsidRPr="007F4CC8"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Pr>
          <w:rFonts w:ascii="Times New Roman" w:hAnsi="Times New Roman"/>
          <w:color w:val="000000" w:themeColor="text1"/>
          <w:sz w:val="24"/>
        </w:rPr>
        <w:t>Institucije objavljuju informacije iz članka 436. točaka (b) i (d) CRR-a ispunjavanjem obrasca EU LIA iz Priloga V. ovoj Provedbenoj uredbi prema uputama u nastavku ovog Priloga.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3143B3CE"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432DE0"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Pravna osnova i upute</w:t>
            </w:r>
          </w:p>
        </w:tc>
      </w:tr>
      <w:tr w:rsidR="007B082B" w:rsidRPr="007F4CC8" w14:paraId="38D76C45" w14:textId="77777777" w:rsidTr="00803BB4">
        <w:trPr>
          <w:trHeight w:val="238"/>
        </w:trPr>
        <w:tc>
          <w:tcPr>
            <w:tcW w:w="1384" w:type="dxa"/>
            <w:tcBorders>
              <w:bottom w:val="single" w:sz="4" w:space="0" w:color="auto"/>
            </w:tcBorders>
            <w:shd w:val="clear" w:color="auto" w:fill="D9D9D9" w:themeFill="background1" w:themeFillShade="D9"/>
          </w:tcPr>
          <w:p w14:paraId="0D55BFFA"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Broj retka</w:t>
            </w:r>
          </w:p>
        </w:tc>
        <w:tc>
          <w:tcPr>
            <w:tcW w:w="7655" w:type="dxa"/>
            <w:tcBorders>
              <w:bottom w:val="single" w:sz="4" w:space="0" w:color="auto"/>
            </w:tcBorders>
            <w:shd w:val="clear" w:color="auto" w:fill="D9D9D9" w:themeFill="background1" w:themeFillShade="D9"/>
          </w:tcPr>
          <w:p w14:paraId="2DB2A101"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7B082B" w:rsidRPr="007F4CC8" w14:paraId="04B07FCB" w14:textId="77777777" w:rsidTr="00803BB4">
        <w:trPr>
          <w:trHeight w:val="238"/>
        </w:trPr>
        <w:tc>
          <w:tcPr>
            <w:tcW w:w="1384" w:type="dxa"/>
            <w:tcBorders>
              <w:top w:val="nil"/>
              <w:bottom w:val="single" w:sz="4" w:space="0" w:color="auto"/>
            </w:tcBorders>
            <w:shd w:val="clear" w:color="auto" w:fill="FFFFFF" w:themeFill="background1"/>
            <w:vAlign w:val="center"/>
          </w:tcPr>
          <w:p w14:paraId="3B6162CA" w14:textId="77777777" w:rsidR="007B082B" w:rsidRPr="007F4CC8" w:rsidRDefault="007B082B" w:rsidP="00803BB4">
            <w:pPr>
              <w:spacing w:before="60" w:after="120"/>
              <w:jc w:val="center"/>
              <w:rPr>
                <w:rFonts w:ascii="Times New Roman" w:hAnsi="Times New Roman" w:cs="Times New Roman"/>
                <w:sz w:val="24"/>
              </w:rPr>
            </w:pPr>
            <w:r>
              <w:rPr>
                <w:rFonts w:ascii="Times New Roman" w:hAnsi="Times New Roman"/>
                <w:sz w:val="24"/>
              </w:rPr>
              <w:t>(a)</w:t>
            </w:r>
          </w:p>
        </w:tc>
        <w:tc>
          <w:tcPr>
            <w:tcW w:w="7655" w:type="dxa"/>
            <w:tcBorders>
              <w:top w:val="nil"/>
              <w:bottom w:val="single" w:sz="4" w:space="0" w:color="auto"/>
            </w:tcBorders>
            <w:shd w:val="clear" w:color="auto" w:fill="FFFFFF" w:themeFill="background1"/>
            <w:vAlign w:val="center"/>
          </w:tcPr>
          <w:p w14:paraId="2217C36A" w14:textId="61A4F137" w:rsidR="007B082B" w:rsidRPr="007F4CC8" w:rsidRDefault="007B082B" w:rsidP="00D96A21">
            <w:pPr>
              <w:spacing w:after="120"/>
              <w:jc w:val="both"/>
              <w:rPr>
                <w:rFonts w:ascii="Times New Roman" w:eastAsia="Times New Roman" w:hAnsi="Times New Roman" w:cs="Times New Roman"/>
                <w:sz w:val="24"/>
              </w:rPr>
            </w:pPr>
            <w:r>
              <w:rPr>
                <w:rFonts w:ascii="Times New Roman" w:hAnsi="Times New Roman"/>
                <w:sz w:val="24"/>
              </w:rPr>
              <w:t>Institucije su dužne objasniti i kvantificirati uzroke svih značajnih razlika između iznosa u stupcima (a) i (b) obrasca EU LI1, neovisno o tome proizlaze li razlike iz različitih pravila konsolidacije ili primjene različitih računovodstvenih standarda za računovodstvenu i bonitetnu konsolidaciju.</w:t>
            </w:r>
          </w:p>
        </w:tc>
      </w:tr>
      <w:tr w:rsidR="007B082B" w:rsidRPr="007F4CC8" w14:paraId="224ADF6C"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022350C3" w14:textId="77777777" w:rsidR="007B082B" w:rsidRPr="007F4CC8" w:rsidRDefault="007B082B" w:rsidP="00803BB4">
            <w:pPr>
              <w:spacing w:before="60" w:after="120"/>
              <w:jc w:val="center"/>
              <w:rPr>
                <w:rFonts w:ascii="Times New Roman" w:hAnsi="Times New Roman" w:cs="Times New Roman"/>
                <w:sz w:val="24"/>
              </w:rPr>
            </w:pPr>
            <w:r>
              <w:rPr>
                <w:rFonts w:ascii="Times New Roman" w:hAnsi="Times New Roman"/>
                <w:sz w:val="24"/>
              </w:rPr>
              <w:t>(b)</w:t>
            </w:r>
          </w:p>
        </w:tc>
        <w:tc>
          <w:tcPr>
            <w:tcW w:w="7655" w:type="dxa"/>
            <w:tcBorders>
              <w:top w:val="single" w:sz="4" w:space="0" w:color="auto"/>
              <w:bottom w:val="single" w:sz="4" w:space="0" w:color="auto"/>
            </w:tcBorders>
            <w:shd w:val="clear" w:color="auto" w:fill="FFFFFF" w:themeFill="background1"/>
            <w:vAlign w:val="center"/>
          </w:tcPr>
          <w:p w14:paraId="1FDDFD4B" w14:textId="482734EC" w:rsidR="007B082B" w:rsidRPr="007F4CC8" w:rsidRDefault="007B082B" w:rsidP="00D96A21">
            <w:pPr>
              <w:spacing w:after="120"/>
              <w:jc w:val="both"/>
              <w:rPr>
                <w:rFonts w:ascii="Times New Roman" w:eastAsia="Times New Roman" w:hAnsi="Times New Roman" w:cs="Times New Roman"/>
                <w:sz w:val="24"/>
              </w:rPr>
            </w:pPr>
            <w:r>
              <w:rPr>
                <w:rFonts w:ascii="Times New Roman" w:hAnsi="Times New Roman"/>
                <w:sz w:val="24"/>
              </w:rPr>
              <w:t>Institucije su dužne objasniti uzroke razlika između knjigovodstvenih vrijednosti u skladu s opsegom bonitetne konsolidacije i iznosa za regulatorne potrebe iskazanih u obrascu EU LI2.</w:t>
            </w:r>
          </w:p>
        </w:tc>
      </w:tr>
    </w:tbl>
    <w:p w14:paraId="2D69ED0E" w14:textId="77777777" w:rsidR="007B082B" w:rsidRPr="007F4CC8" w:rsidRDefault="007B082B" w:rsidP="007B082B">
      <w:pPr>
        <w:ind w:left="360"/>
        <w:jc w:val="both"/>
        <w:rPr>
          <w:rFonts w:ascii="Times New Roman" w:hAnsi="Times New Roman" w:cs="Times New Roman"/>
          <w:sz w:val="24"/>
        </w:rPr>
      </w:pPr>
      <w:r>
        <w:rPr>
          <w:rFonts w:ascii="Times New Roman" w:hAnsi="Times New Roman"/>
          <w:sz w:val="24"/>
        </w:rPr>
        <w:t xml:space="preserve"> </w:t>
      </w:r>
    </w:p>
    <w:p w14:paraId="53B7FC1D" w14:textId="58812FC8" w:rsidR="007B082B" w:rsidRPr="007F4CC8" w:rsidRDefault="007B082B" w:rsidP="007B082B">
      <w:pPr>
        <w:spacing w:after="120"/>
        <w:rPr>
          <w:rFonts w:ascii="Times New Roman" w:hAnsi="Times New Roman" w:cs="Times New Roman"/>
          <w:sz w:val="24"/>
        </w:rPr>
      </w:pPr>
      <w:r>
        <w:rPr>
          <w:rFonts w:ascii="Times New Roman" w:hAnsi="Times New Roman"/>
          <w:b/>
          <w:sz w:val="24"/>
        </w:rPr>
        <w:t>Tablica EU LIB – Druge kvalitativne informacije o području primjene.</w:t>
      </w:r>
      <w:r>
        <w:rPr>
          <w:rFonts w:ascii="Times New Roman" w:hAnsi="Times New Roman"/>
          <w:sz w:val="24"/>
        </w:rPr>
        <w:t xml:space="preserve"> Polja za slobodan unos teksta za objavu kvalitativnih informacija</w:t>
      </w:r>
    </w:p>
    <w:p w14:paraId="544FD00E" w14:textId="750741A2" w:rsidR="007B082B" w:rsidRPr="007F4CC8" w:rsidRDefault="007B082B" w:rsidP="00E70D84">
      <w:pPr>
        <w:pStyle w:val="ListParagraph"/>
        <w:numPr>
          <w:ilvl w:val="0"/>
          <w:numId w:val="18"/>
        </w:numPr>
        <w:spacing w:before="120" w:after="120"/>
        <w:ind w:left="425" w:hanging="357"/>
        <w:jc w:val="both"/>
        <w:rPr>
          <w:rFonts w:ascii="Times New Roman" w:hAnsi="Times New Roman"/>
          <w:sz w:val="24"/>
        </w:rPr>
      </w:pPr>
      <w:r>
        <w:rPr>
          <w:rFonts w:ascii="Times New Roman" w:hAnsi="Times New Roman"/>
          <w:sz w:val="24"/>
        </w:rPr>
        <w:t>Institucije objavljuju informacije iz članka 436. točaka (f), (g) i (h) ispunjavanjem obrasca EU LIB iz Priloga V. ovoj Provedbenoj uredbi prema uputama u nastavku ovog Priloga.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A878471"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ED9C07" w14:textId="77777777" w:rsidR="007B082B" w:rsidRPr="007F4CC8" w:rsidRDefault="007B082B" w:rsidP="00803BB4">
            <w:pPr>
              <w:rPr>
                <w:rFonts w:ascii="Times New Roman" w:hAnsi="Times New Roman" w:cs="Times New Roman"/>
                <w:b/>
                <w:sz w:val="24"/>
              </w:rPr>
            </w:pPr>
            <w:r>
              <w:rPr>
                <w:rFonts w:ascii="Times New Roman" w:hAnsi="Times New Roman"/>
                <w:b/>
                <w:sz w:val="24"/>
              </w:rPr>
              <w:t>Pravna osnova i upute</w:t>
            </w:r>
          </w:p>
        </w:tc>
      </w:tr>
      <w:tr w:rsidR="007B082B" w:rsidRPr="007F4CC8" w14:paraId="7E8361CC" w14:textId="77777777" w:rsidTr="00803BB4">
        <w:trPr>
          <w:trHeight w:val="238"/>
        </w:trPr>
        <w:tc>
          <w:tcPr>
            <w:tcW w:w="1384" w:type="dxa"/>
            <w:shd w:val="clear" w:color="auto" w:fill="D9D9D9" w:themeFill="background1" w:themeFillShade="D9"/>
          </w:tcPr>
          <w:p w14:paraId="3BF0E354"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234DE628"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7B082B" w:rsidRPr="007F4CC8" w14:paraId="01D936F6" w14:textId="77777777" w:rsidTr="00803BB4">
        <w:trPr>
          <w:trHeight w:val="238"/>
        </w:trPr>
        <w:tc>
          <w:tcPr>
            <w:tcW w:w="1384" w:type="dxa"/>
            <w:shd w:val="clear" w:color="auto" w:fill="auto"/>
          </w:tcPr>
          <w:p w14:paraId="114BC413"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(a)</w:t>
            </w:r>
          </w:p>
        </w:tc>
        <w:tc>
          <w:tcPr>
            <w:tcW w:w="7655" w:type="dxa"/>
            <w:shd w:val="clear" w:color="auto" w:fill="auto"/>
          </w:tcPr>
          <w:p w14:paraId="22ADD536"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Institucije objavljuju sve postojeće ili predviđene značajne praktične ili pravne prepreke u vezi s promptnim prijenosom regulatornog kapitala ili otplatom obveza između matičnog društva i njegovih društava kćeri.</w:t>
            </w:r>
          </w:p>
        </w:tc>
      </w:tr>
      <w:tr w:rsidR="007B082B" w:rsidRPr="007F4CC8" w14:paraId="5FDF5C76" w14:textId="77777777" w:rsidTr="00803BB4">
        <w:trPr>
          <w:trHeight w:val="238"/>
        </w:trPr>
        <w:tc>
          <w:tcPr>
            <w:tcW w:w="1384" w:type="dxa"/>
            <w:shd w:val="clear" w:color="auto" w:fill="auto"/>
          </w:tcPr>
          <w:p w14:paraId="051E33A4"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(b)</w:t>
            </w:r>
          </w:p>
        </w:tc>
        <w:tc>
          <w:tcPr>
            <w:tcW w:w="7655" w:type="dxa"/>
            <w:shd w:val="clear" w:color="auto" w:fill="auto"/>
          </w:tcPr>
          <w:p w14:paraId="72AFDDDD"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Institucije objavljuju, ako je primjenjivo, naziv ili nazive društava kćeri koja nisu uključena u konsolidaciju.</w:t>
            </w:r>
          </w:p>
        </w:tc>
      </w:tr>
      <w:tr w:rsidR="007B082B" w:rsidRPr="007F4CC8" w14:paraId="6461BD48" w14:textId="77777777" w:rsidTr="00803BB4">
        <w:trPr>
          <w:trHeight w:val="238"/>
        </w:trPr>
        <w:tc>
          <w:tcPr>
            <w:tcW w:w="1384" w:type="dxa"/>
            <w:shd w:val="clear" w:color="auto" w:fill="auto"/>
          </w:tcPr>
          <w:p w14:paraId="16EB0F3C"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(c)</w:t>
            </w:r>
          </w:p>
        </w:tc>
        <w:tc>
          <w:tcPr>
            <w:tcW w:w="7655" w:type="dxa"/>
            <w:shd w:val="clear" w:color="auto" w:fill="auto"/>
          </w:tcPr>
          <w:p w14:paraId="52B427A5"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Institucije objavljuju, ako je primjenjivo, okolnosti u kojima se primjenjuje odstupanje iz članka 7. CRR-a ili metoda pojedinačne konsolidacije iz članka 9. CRR-a.</w:t>
            </w:r>
          </w:p>
        </w:tc>
      </w:tr>
      <w:tr w:rsidR="007B082B" w:rsidRPr="007F4CC8" w14:paraId="0603F174" w14:textId="77777777" w:rsidTr="00803BB4">
        <w:trPr>
          <w:trHeight w:val="238"/>
        </w:trPr>
        <w:tc>
          <w:tcPr>
            <w:tcW w:w="1384" w:type="dxa"/>
            <w:tcBorders>
              <w:bottom w:val="single" w:sz="4" w:space="0" w:color="auto"/>
            </w:tcBorders>
            <w:shd w:val="clear" w:color="auto" w:fill="auto"/>
          </w:tcPr>
          <w:p w14:paraId="14A752EB"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(d)</w:t>
            </w:r>
          </w:p>
        </w:tc>
        <w:tc>
          <w:tcPr>
            <w:tcW w:w="7655" w:type="dxa"/>
            <w:tcBorders>
              <w:bottom w:val="single" w:sz="4" w:space="0" w:color="auto"/>
            </w:tcBorders>
            <w:shd w:val="clear" w:color="auto" w:fill="auto"/>
          </w:tcPr>
          <w:p w14:paraId="7224BA17"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Institucije objavljuju, ako je primjenjivo, ukupan iznos za koji je stvarni regulatorni kapital niži od zahtijevanog u svim društvima kćerima koja nisu uključena u konsolidaciju te naziv ili nazive tih društava kćeri.</w:t>
            </w:r>
          </w:p>
        </w:tc>
      </w:tr>
    </w:tbl>
    <w:p w14:paraId="6052B499" w14:textId="77777777" w:rsidR="007B082B" w:rsidRPr="007F4CC8" w:rsidRDefault="007B082B" w:rsidP="007B082B">
      <w:pPr>
        <w:rPr>
          <w:rFonts w:ascii="Times New Roman" w:hAnsi="Times New Roman" w:cs="Times New Roman"/>
          <w:sz w:val="24"/>
        </w:rPr>
      </w:pPr>
    </w:p>
    <w:p w14:paraId="5FE73A08" w14:textId="3A1DE32E" w:rsidR="007B082B" w:rsidRPr="00DD0C4D" w:rsidRDefault="00CD362D" w:rsidP="007B082B">
      <w:pPr>
        <w:spacing w:after="120"/>
        <w:jc w:val="both"/>
        <w:rPr>
          <w:rFonts w:ascii="Times New Roman" w:hAnsi="Times New Roman" w:cs="Times New Roman"/>
          <w:sz w:val="24"/>
        </w:rPr>
      </w:pPr>
      <w:r>
        <w:rPr>
          <w:rFonts w:ascii="Times New Roman" w:hAnsi="Times New Roman"/>
          <w:b/>
          <w:sz w:val="24"/>
        </w:rPr>
        <w:t xml:space="preserve">Obrazac EU-PV1 – Bonitetna vrijednosna usklađenja (PVA). </w:t>
      </w:r>
      <w:r>
        <w:rPr>
          <w:rFonts w:ascii="Times New Roman" w:hAnsi="Times New Roman"/>
          <w:sz w:val="24"/>
        </w:rPr>
        <w:t>Fiksan format.</w:t>
      </w:r>
    </w:p>
    <w:p w14:paraId="44AA26B0" w14:textId="382751B4" w:rsidR="007B082B" w:rsidRPr="007F4CC8" w:rsidRDefault="007B082B" w:rsidP="00E70D84">
      <w:pPr>
        <w:pStyle w:val="ListParagraph"/>
        <w:numPr>
          <w:ilvl w:val="0"/>
          <w:numId w:val="18"/>
        </w:numPr>
        <w:spacing w:before="60" w:after="120"/>
        <w:jc w:val="both"/>
        <w:rPr>
          <w:rFonts w:ascii="Times New Roman" w:hAnsi="Times New Roman"/>
          <w:sz w:val="24"/>
        </w:rPr>
      </w:pPr>
      <w:r>
        <w:rPr>
          <w:rFonts w:ascii="Times New Roman" w:hAnsi="Times New Roman"/>
          <w:sz w:val="24"/>
        </w:rPr>
        <w:t xml:space="preserve">Institucije koje za određivanje dodatnih vrijednosnih usklađenja za bonitetno vrijednosno usklađenje primjenjuju osnovni pristup u skladu s poglavljem III. </w:t>
      </w:r>
      <w:r>
        <w:rPr>
          <w:rFonts w:ascii="Times New Roman" w:hAnsi="Times New Roman"/>
          <w:sz w:val="24"/>
        </w:rPr>
        <w:lastRenderedPageBreak/>
        <w:t>Delegirane uredbe Komisije (EU) 2016/101</w:t>
      </w:r>
      <w:r>
        <w:rPr>
          <w:rStyle w:val="FootnoteReference"/>
          <w:rFonts w:ascii="Times New Roman" w:hAnsi="Times New Roman"/>
          <w:bCs/>
          <w:sz w:val="24"/>
          <w:szCs w:val="24"/>
        </w:rPr>
        <w:footnoteReference w:id="13"/>
      </w:r>
      <w:r>
        <w:rPr>
          <w:rFonts w:ascii="Times New Roman" w:hAnsi="Times New Roman"/>
          <w:sz w:val="24"/>
        </w:rPr>
        <w:t xml:space="preserve"> objavljuju informacije iz članka 436. točke (e) CRR-a ispunjavanjem obrasca EU PV1 iz Priloga V. ovoj Provedbenoj uredbi prema uputama u nastavku ovog Priloga.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2CC28C4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9B0959" w14:textId="77777777" w:rsidR="007B082B" w:rsidRPr="007F4CC8" w:rsidRDefault="007B082B" w:rsidP="00803BB4">
            <w:pPr>
              <w:rPr>
                <w:rFonts w:ascii="Times New Roman" w:hAnsi="Times New Roman" w:cs="Times New Roman"/>
                <w:b/>
                <w:sz w:val="24"/>
              </w:rPr>
            </w:pPr>
            <w:r>
              <w:rPr>
                <w:rFonts w:ascii="Times New Roman" w:hAnsi="Times New Roman"/>
                <w:b/>
                <w:sz w:val="24"/>
              </w:rPr>
              <w:t>Pravna osnova i upute</w:t>
            </w:r>
          </w:p>
        </w:tc>
      </w:tr>
      <w:tr w:rsidR="007B082B" w:rsidRPr="007F4CC8" w14:paraId="3C9863E9" w14:textId="77777777" w:rsidTr="00803BB4">
        <w:trPr>
          <w:trHeight w:val="238"/>
        </w:trPr>
        <w:tc>
          <w:tcPr>
            <w:tcW w:w="1384" w:type="dxa"/>
            <w:shd w:val="clear" w:color="auto" w:fill="D9D9D9" w:themeFill="background1" w:themeFillShade="D9"/>
          </w:tcPr>
          <w:p w14:paraId="3E8B42D3"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7F8F6EBE"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7B082B" w:rsidRPr="007F4CC8" w14:paraId="07440ED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3DC945" w14:textId="77777777" w:rsidR="007B082B" w:rsidRPr="007F4CC8" w:rsidRDefault="007B082B" w:rsidP="00803BB4">
            <w:pPr>
              <w:autoSpaceDE w:val="0"/>
              <w:autoSpaceDN w:val="0"/>
              <w:adjustRightInd w:val="0"/>
              <w:jc w:val="center"/>
              <w:rPr>
                <w:rFonts w:ascii="Times New Roman" w:hAnsi="Times New Roman" w:cs="Times New Roman"/>
                <w:sz w:val="24"/>
              </w:rPr>
            </w:pPr>
            <w:r>
              <w:rPr>
                <w:rFonts w:ascii="Times New Roman" w:hAnsi="Times New Roman"/>
                <w:sz w:val="24"/>
              </w:rPr>
              <w:t>Redci od 1 do 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65F3DED" w14:textId="77777777" w:rsidR="007B082B" w:rsidRPr="007F4CC8" w:rsidRDefault="007B082B" w:rsidP="00803BB4">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Dodatna vrijednosna usklađenja na razini kategorije</w:t>
            </w:r>
          </w:p>
          <w:p w14:paraId="0ED7691E"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Dodatne prilagodbe vrednovanja na razini kategorije za neizvjesnost tržišnih cijena, troškove zatvaranja pozicija, rizik modela, koncentrirane pozicije, buduće administrativne troškove, ranije zatvaranje pozicija i operativni rizik određuju se u skladu s člancima od 9. do 11. odnosno člancima od 14. do 17. Delegirane uredbe Komisije (EU) 2016/101.</w:t>
            </w:r>
          </w:p>
          <w:p w14:paraId="78E86A54"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Kad je riječ o kategorijama za neizvjesnost tržišnih cijena, troškove zatvaranja pozicija i rizik modela, koje podliježu koristi diversifikacije kako je određeno u članku 9. stavku 6., članku 10. stavku 7. odnosno članku 11. stavku 7. Delegirane uredbe (EU) 2016/101, dodatne prilagodbe vrednovanja na razini kategorije objavljuju u stupcima od a do EU-e2 ovog obrasca kao čisti zbroj pojedinačnih dodatnih prilagodbi vrednovanja prije primjene koristi diversifikacije. Koristi diversifikacije u skladu s člankom 9. stavkom 6., člankom 10. stavkom 7. i člankom 11. stavkom 7. Delegirane uredbe Komisije (EU) 2016/101 iskazuju se u stupcu (f) ovog obrasca.</w:t>
            </w:r>
          </w:p>
        </w:tc>
      </w:tr>
      <w:tr w:rsidR="007B082B" w:rsidRPr="007F4CC8" w14:paraId="50872E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F9ADA9" w14:textId="6AAE287C"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8813A4"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Neizvjesnost tržišnih cijena</w:t>
            </w:r>
          </w:p>
          <w:p w14:paraId="68668651"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Članak 105. stavak 10. CRR-a</w:t>
            </w:r>
          </w:p>
          <w:p w14:paraId="403BC87D" w14:textId="77777777" w:rsidR="007B082B" w:rsidRPr="007F4CC8" w:rsidRDefault="007B082B" w:rsidP="00803BB4">
            <w:pPr>
              <w:autoSpaceDE w:val="0"/>
              <w:autoSpaceDN w:val="0"/>
              <w:adjustRightInd w:val="0"/>
              <w:spacing w:after="120"/>
              <w:jc w:val="both"/>
              <w:rPr>
                <w:rFonts w:ascii="Times New Roman" w:hAnsi="Times New Roman" w:cs="Times New Roman"/>
                <w:sz w:val="24"/>
              </w:rPr>
            </w:pPr>
            <w:r>
              <w:rPr>
                <w:rFonts w:ascii="Times New Roman" w:hAnsi="Times New Roman"/>
                <w:sz w:val="24"/>
              </w:rPr>
              <w:t>Dodatne prilagodbe vrednovanja za neizvjesnost tržišnih cijena izračunavaju se u skladu s člankom 9. Delegirane uredbe Komisije (EU) 2016/101.</w:t>
            </w:r>
          </w:p>
        </w:tc>
      </w:tr>
      <w:tr w:rsidR="007B082B" w:rsidRPr="007F4CC8" w14:paraId="167B974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D208A9F" w14:textId="4ED99194"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72E303"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Style w:val="InstructionsTabelleberschrift"/>
                <w:rFonts w:ascii="Times New Roman" w:hAnsi="Times New Roman"/>
                <w:sz w:val="24"/>
              </w:rPr>
              <w:t>Nije primjenjivo</w:t>
            </w:r>
          </w:p>
        </w:tc>
      </w:tr>
      <w:tr w:rsidR="007B082B" w:rsidRPr="007F4CC8" w14:paraId="1D835C2E"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672037" w14:textId="3AA1FF60"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4B91E7"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Troškovi zatvaranja pozicija</w:t>
            </w:r>
          </w:p>
          <w:p w14:paraId="6F294666"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Članak 105. stavak 10. CRR-a</w:t>
            </w:r>
          </w:p>
          <w:p w14:paraId="1D7E9E15"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Dodatne prilagodbe vrednovanja za troškove zatvaranja pozicija izračunavaju se u skladu s člankom 10. Delegirane uredbe Komisije (EU) 2016/101.</w:t>
            </w:r>
          </w:p>
        </w:tc>
      </w:tr>
      <w:tr w:rsidR="007B082B" w:rsidRPr="007F4CC8" w14:paraId="0C8C9CB4"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740E4D" w14:textId="170FBBA2"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5585A7"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Koncentracija pozicija</w:t>
            </w:r>
          </w:p>
          <w:p w14:paraId="39F51DCD"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Članak 105. stavak 11. CRR-a</w:t>
            </w:r>
          </w:p>
          <w:p w14:paraId="0B851BEA"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Dodatne prilagodbe vrednovanja za koncentrirane pozicije izračunavaju se u skladu s člankom 14. Delegirane uredbe Komisije (EU) 2016/101.</w:t>
            </w:r>
          </w:p>
        </w:tc>
      </w:tr>
      <w:tr w:rsidR="007B082B" w:rsidRPr="007F4CC8" w14:paraId="3B39B44B"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645DD1" w14:textId="5A8A124B"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6FC5C8"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Ranije zatvaranje pozicija</w:t>
            </w:r>
          </w:p>
          <w:p w14:paraId="5D0385F6"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lastRenderedPageBreak/>
              <w:t>Članak 105. stavak 10. CRR-a</w:t>
            </w:r>
          </w:p>
          <w:p w14:paraId="6B371551" w14:textId="77777777" w:rsidR="007B082B" w:rsidRPr="007F4CC8" w:rsidRDefault="007B082B" w:rsidP="00803BB4">
            <w:pPr>
              <w:pStyle w:val="Default"/>
              <w:spacing w:before="60" w:after="120"/>
              <w:jc w:val="both"/>
              <w:rPr>
                <w:rFonts w:ascii="Times New Roman" w:hAnsi="Times New Roman" w:cs="Times New Roman"/>
              </w:rPr>
            </w:pPr>
            <w:r>
              <w:rPr>
                <w:rFonts w:ascii="Times New Roman" w:hAnsi="Times New Roman"/>
              </w:rPr>
              <w:t>Dodatne prilagodbe vrednovanja za ranije zatvaranje pozicija izračunavaju se u skladu s člankom 16. Delegirane uredbe Komisije (EU) 2016/101.</w:t>
            </w:r>
          </w:p>
        </w:tc>
      </w:tr>
      <w:tr w:rsidR="007B082B" w:rsidRPr="007F4CC8" w14:paraId="0439F7B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C6826E" w14:textId="4613D433"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lastRenderedPageBreak/>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867FFD"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Rizik modela</w:t>
            </w:r>
          </w:p>
          <w:p w14:paraId="5BE8F86E"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Članak 105. stavak 10. CRR-a</w:t>
            </w:r>
          </w:p>
          <w:p w14:paraId="138F86FB" w14:textId="77777777" w:rsidR="007B082B" w:rsidRPr="007F4CC8" w:rsidRDefault="007B082B" w:rsidP="00803BB4">
            <w:pPr>
              <w:pStyle w:val="Default"/>
              <w:spacing w:before="60" w:after="120"/>
              <w:jc w:val="both"/>
              <w:rPr>
                <w:rFonts w:ascii="Times New Roman" w:hAnsi="Times New Roman" w:cs="Times New Roman"/>
              </w:rPr>
            </w:pPr>
            <w:r>
              <w:rPr>
                <w:rFonts w:ascii="Times New Roman" w:hAnsi="Times New Roman"/>
              </w:rPr>
              <w:t xml:space="preserve">Dodatne prilagodbe vrednovanja za rizik modela izračunavaju se u skladu s člankom 11. Delegirane uredbe Komisije (EU) 2016/101. </w:t>
            </w:r>
          </w:p>
        </w:tc>
      </w:tr>
      <w:tr w:rsidR="007B082B" w:rsidRPr="007F4CC8" w14:paraId="10C8852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E01718" w14:textId="3A545D00"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5E2CCBC"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Operativni rizik</w:t>
            </w:r>
          </w:p>
          <w:p w14:paraId="58D51A0B"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Članak 105. stavak 10. CRR-a</w:t>
            </w:r>
          </w:p>
          <w:p w14:paraId="0254F85C" w14:textId="77777777" w:rsidR="007B082B" w:rsidRPr="007F4CC8" w:rsidRDefault="007B082B" w:rsidP="00803BB4">
            <w:pPr>
              <w:pStyle w:val="Default"/>
              <w:spacing w:before="60" w:after="120"/>
              <w:jc w:val="both"/>
              <w:rPr>
                <w:rFonts w:ascii="Times New Roman" w:hAnsi="Times New Roman" w:cs="Times New Roman"/>
                <w:i/>
              </w:rPr>
            </w:pPr>
            <w:r>
              <w:rPr>
                <w:rFonts w:ascii="Times New Roman" w:hAnsi="Times New Roman"/>
              </w:rPr>
              <w:t>Dodatne prilagodbe vrednovanja za operativni rizik izračunavaju se u skladu s člankom 17. Delegirane uredbe Komisije (EU) 2016/101.</w:t>
            </w:r>
          </w:p>
        </w:tc>
      </w:tr>
      <w:tr w:rsidR="007B082B" w:rsidRPr="007F4CC8" w14:paraId="2ED681F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A96862" w14:textId="7D22084D"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167D6D" w14:textId="77777777" w:rsidR="007B082B" w:rsidRPr="007F4CC8" w:rsidRDefault="007B082B" w:rsidP="00803BB4">
            <w:pPr>
              <w:pStyle w:val="Default"/>
              <w:spacing w:after="120"/>
              <w:jc w:val="both"/>
              <w:rPr>
                <w:rFonts w:ascii="Times New Roman" w:hAnsi="Times New Roman" w:cs="Times New Roman"/>
              </w:rPr>
            </w:pPr>
            <w:r>
              <w:rPr>
                <w:rStyle w:val="InstructionsTabelleberschrift"/>
                <w:rFonts w:ascii="Times New Roman" w:hAnsi="Times New Roman"/>
              </w:rPr>
              <w:t>Nije primjenjivo</w:t>
            </w:r>
          </w:p>
        </w:tc>
      </w:tr>
      <w:tr w:rsidR="007B082B" w:rsidRPr="007F4CC8" w14:paraId="6E57B908"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47927" w14:textId="4A64426E"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E8D59D" w14:textId="77777777" w:rsidR="007B082B" w:rsidRPr="007F4CC8" w:rsidRDefault="007B082B" w:rsidP="00803BB4">
            <w:pPr>
              <w:pStyle w:val="Default"/>
              <w:spacing w:after="120"/>
              <w:jc w:val="both"/>
              <w:rPr>
                <w:rFonts w:ascii="Times New Roman" w:hAnsi="Times New Roman" w:cs="Times New Roman"/>
              </w:rPr>
            </w:pPr>
            <w:r>
              <w:rPr>
                <w:rStyle w:val="InstructionsTabelleberschrift"/>
                <w:rFonts w:ascii="Times New Roman" w:hAnsi="Times New Roman"/>
              </w:rPr>
              <w:t>Nije primjenjivo</w:t>
            </w:r>
          </w:p>
        </w:tc>
      </w:tr>
      <w:tr w:rsidR="007B082B" w:rsidRPr="007F4CC8" w14:paraId="3E1DDA29"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624F4F" w14:textId="2F425ED3"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8956A6"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Budući administrativni troškovi</w:t>
            </w:r>
          </w:p>
          <w:p w14:paraId="53CE0D0C"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Članak 105. stavak 10. CRR-a</w:t>
            </w:r>
          </w:p>
          <w:p w14:paraId="22D7712F"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Dodatne prilagodbe vrednovanja za buduće administrativne troškove izračunavaju se u skladu s člankom 15. Delegirane uredbe Komisije (EU) 2016/101.</w:t>
            </w:r>
          </w:p>
        </w:tc>
      </w:tr>
      <w:tr w:rsidR="007B082B" w:rsidRPr="007F4CC8" w14:paraId="382074E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4738AE" w14:textId="69D38745"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562043"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Nije primjenjivo</w:t>
            </w:r>
          </w:p>
        </w:tc>
      </w:tr>
      <w:tr w:rsidR="007B082B" w:rsidRPr="007F4CC8" w14:paraId="51C2313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03144C4" w14:textId="4BD3B705"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D27E94D"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Ukupna dodatna vrijednosna usklađenja</w:t>
            </w:r>
          </w:p>
          <w:p w14:paraId="4F2DD722" w14:textId="0FD5147C" w:rsidR="007B082B" w:rsidRPr="007F4CC8" w:rsidRDefault="007B082B" w:rsidP="00803BB4">
            <w:pPr>
              <w:pStyle w:val="Default"/>
              <w:spacing w:after="120"/>
              <w:jc w:val="both"/>
              <w:rPr>
                <w:rFonts w:ascii="Times New Roman" w:hAnsi="Times New Roman" w:cs="Times New Roman"/>
                <w:color w:val="auto"/>
              </w:rPr>
            </w:pPr>
            <w:r>
              <w:rPr>
                <w:rFonts w:ascii="Times New Roman" w:hAnsi="Times New Roman"/>
                <w:color w:val="auto"/>
              </w:rPr>
              <w:t>Ukupna dodatna vrijednosna usklađenja koja se odbijaju od regulatornog kapitala u skladu s člancima 34. i 105. CRR-a objavljuju se u retku 12 stupcu (f) ovog obrasca</w:t>
            </w:r>
            <w:r>
              <w:rPr>
                <w:rFonts w:ascii="Times New Roman" w:hAnsi="Times New Roman"/>
              </w:rPr>
              <w:t>.</w:t>
            </w:r>
            <w:r>
              <w:rPr>
                <w:rFonts w:ascii="Times New Roman" w:hAnsi="Times New Roman"/>
                <w:color w:val="auto"/>
              </w:rPr>
              <w:t xml:space="preserve"> Taj je iznos usklađen s iznosom u retku 7 obrasca EU CC1 i iznosom u retku 5 stupca (a) obrasca EU LI2. </w:t>
            </w:r>
          </w:p>
          <w:p w14:paraId="2CA31AFB" w14:textId="77777777" w:rsidR="007B082B" w:rsidRPr="007F4CC8" w:rsidRDefault="007B082B" w:rsidP="00803BB4">
            <w:pPr>
              <w:pStyle w:val="Default"/>
              <w:spacing w:after="120"/>
              <w:jc w:val="both"/>
              <w:rPr>
                <w:rFonts w:ascii="Times New Roman" w:hAnsi="Times New Roman" w:cs="Times New Roman"/>
                <w:color w:val="auto"/>
              </w:rPr>
            </w:pPr>
            <w:r>
              <w:rPr>
                <w:rFonts w:ascii="Times New Roman" w:hAnsi="Times New Roman"/>
                <w:color w:val="auto"/>
              </w:rPr>
              <w:t xml:space="preserve">Za portfelje na koje se primjenjuje osnovni pristup iz poglavlja III. Delegirane uredbe (EU) 2016/101 o bonitetnom vrednovanju, ukupno dodatno vrijednosno usklađenje je zbroj iznosa iz redaka od 1 do 10 ovog obrasca, a za portfelje na koje se primjenjuje pristup, ako ih ima, zbroj iznosa koji se izračunavaju u skladu s člankom 7. stavkom 2. točke (b) </w:t>
            </w:r>
            <w:proofErr w:type="spellStart"/>
            <w:r>
              <w:rPr>
                <w:rFonts w:ascii="Times New Roman" w:hAnsi="Times New Roman"/>
                <w:color w:val="auto"/>
              </w:rPr>
              <w:t>podtočaka</w:t>
            </w:r>
            <w:proofErr w:type="spellEnd"/>
            <w:r>
              <w:rPr>
                <w:rFonts w:ascii="Times New Roman" w:hAnsi="Times New Roman"/>
                <w:color w:val="auto"/>
              </w:rPr>
              <w:t xml:space="preserve"> od i. do iii. Delegirane uredbe (EU) 2016/101. </w:t>
            </w:r>
          </w:p>
          <w:p w14:paraId="084ECAAE"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color w:val="auto"/>
              </w:rPr>
              <w:t>Za portfelje na koje se primjenjuje pojednostavnjeni pristup iz poglavlja II. Delegirane uredbe (EU) 2016/101 o bonitetnom vrednovanju, ukupno dodatno vrijednosno usklađenje u stupcu (f) ovog obrasca je iznos koji se izračunava u skladu s člankom 5. tog poglavlja.</w:t>
            </w:r>
          </w:p>
        </w:tc>
      </w:tr>
      <w:tr w:rsidR="007B082B" w:rsidRPr="007F4CC8" w14:paraId="5FCD3E27" w14:textId="77777777" w:rsidTr="00803BB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6ADE" w14:textId="77777777" w:rsidR="007B082B" w:rsidRPr="007F4CC8" w:rsidRDefault="007B082B" w:rsidP="00803BB4">
            <w:pPr>
              <w:pStyle w:val="Applicationdirecte"/>
              <w:spacing w:before="0"/>
              <w:rPr>
                <w:b/>
              </w:rPr>
            </w:pPr>
            <w:r>
              <w:rPr>
                <w:b/>
              </w:rPr>
              <w:t>Slovna oznaka stupca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FB9699" w14:textId="77777777" w:rsidR="007B082B" w:rsidRPr="007F4CC8" w:rsidRDefault="007B082B" w:rsidP="00803BB4">
            <w:pPr>
              <w:pStyle w:val="TableMainHeading"/>
              <w:spacing w:before="60"/>
              <w:jc w:val="both"/>
              <w:rPr>
                <w:rFonts w:ascii="Times New Roman" w:hAnsi="Times New Roman"/>
                <w:b/>
                <w:sz w:val="24"/>
                <w:szCs w:val="24"/>
              </w:rPr>
            </w:pPr>
            <w:r>
              <w:rPr>
                <w:rFonts w:ascii="Times New Roman" w:hAnsi="Times New Roman"/>
                <w:b/>
                <w:sz w:val="24"/>
                <w:szCs w:val="24"/>
              </w:rPr>
              <w:t>Objašnjenje</w:t>
            </w:r>
          </w:p>
        </w:tc>
      </w:tr>
      <w:tr w:rsidR="007B082B" w:rsidRPr="007F4CC8" w14:paraId="7A09301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D63E73" w14:textId="1838935B"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lastRenderedPageBreak/>
              <w:t>a-e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26AB47"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Raščlamba prema KATEGORIJI RIZIKA</w:t>
            </w:r>
          </w:p>
          <w:p w14:paraId="1B85930B" w14:textId="338C6A5A"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 xml:space="preserve">Institucije svoju imovinu i obveze po fer vrijednosti uključene u izračun praga u skladu s člankom 4. stavkom 1. Delegirane uredbe Komisije (EU) 2016/101 (knjiga trgovanja i knjiga pozicija kojima se ne trguje) raspoređuju prema sljedećim kategorijama rizika: kamatni, tečajni i valutni rizik, rizik vlasničkih instrumenata te robni rizik. </w:t>
            </w:r>
          </w:p>
          <w:p w14:paraId="6E66D513" w14:textId="32739460" w:rsidR="007B082B" w:rsidRPr="007F4CC8" w:rsidRDefault="007B082B" w:rsidP="00803BB4">
            <w:pPr>
              <w:spacing w:beforeLines="60" w:before="144" w:afterLines="60" w:after="144"/>
              <w:jc w:val="both"/>
              <w:rPr>
                <w:rFonts w:ascii="Times New Roman" w:hAnsi="Times New Roman" w:cs="Times New Roman"/>
                <w:b/>
                <w:sz w:val="24"/>
                <w:u w:val="single"/>
              </w:rPr>
            </w:pPr>
            <w:r>
              <w:rPr>
                <w:rFonts w:ascii="Times New Roman" w:hAnsi="Times New Roman"/>
                <w:sz w:val="24"/>
              </w:rPr>
              <w:t>Iz raščlambe u ovim stupcima isključena su dodatna vrijednosna usklađenja koja se izračunavaju u skladu s člancima 12. i 13. Delegirane uredbe Komisije (EU) 2016/101 koja se objavljuju u stupcima EU-e1 i EU-e2 ovog obrasca.</w:t>
            </w:r>
          </w:p>
        </w:tc>
      </w:tr>
      <w:tr w:rsidR="007B082B" w:rsidRPr="007F4CC8" w14:paraId="74C63B9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85C0E2" w14:textId="77777777" w:rsidR="007B082B" w:rsidRPr="007F4CC8" w:rsidRDefault="007B082B" w:rsidP="00803BB4">
            <w:pPr>
              <w:autoSpaceDE w:val="0"/>
              <w:autoSpaceDN w:val="0"/>
              <w:adjustRightInd w:val="0"/>
              <w:jc w:val="both"/>
              <w:rPr>
                <w:rFonts w:ascii="Times New Roman" w:hAnsi="Times New Roman" w:cs="Times New Roman"/>
                <w:sz w:val="24"/>
              </w:rPr>
            </w:pPr>
          </w:p>
          <w:p w14:paraId="1F458DAC" w14:textId="4D2469A1"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EU e1</w:t>
            </w:r>
          </w:p>
          <w:p w14:paraId="4A58C4B8"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7F9A63"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Dodatna vrijednosna usklađenja na razini kategorije – Nesigurnost vrednovanja: Dodatna vrijednosna usklađenja za nerealizirane kreditne raspone</w:t>
            </w:r>
          </w:p>
          <w:p w14:paraId="1C52B61D" w14:textId="77777777" w:rsidR="007B082B" w:rsidRPr="007F4CC8" w:rsidRDefault="007B082B" w:rsidP="00803BB4">
            <w:pPr>
              <w:spacing w:beforeLines="60" w:before="144" w:afterLines="60" w:after="144"/>
              <w:rPr>
                <w:rFonts w:ascii="Times New Roman" w:hAnsi="Times New Roman" w:cs="Times New Roman"/>
                <w:sz w:val="24"/>
              </w:rPr>
            </w:pPr>
            <w:r>
              <w:rPr>
                <w:rFonts w:ascii="Times New Roman" w:hAnsi="Times New Roman"/>
                <w:sz w:val="24"/>
              </w:rPr>
              <w:t xml:space="preserve">Članak 105. stavak 10. CRR-a, članak 12. Delegirane uredbe Komisije (EU) 2016/101. </w:t>
            </w:r>
          </w:p>
          <w:p w14:paraId="0F66C5FD" w14:textId="66CC6E95" w:rsidR="007B082B" w:rsidRPr="007F4CC8" w:rsidRDefault="007B082B" w:rsidP="00CA31E6">
            <w:pPr>
              <w:spacing w:beforeLines="60" w:before="144" w:afterLines="60" w:after="144"/>
              <w:jc w:val="both"/>
              <w:rPr>
                <w:rFonts w:ascii="Times New Roman" w:hAnsi="Times New Roman" w:cs="Times New Roman"/>
                <w:b/>
                <w:sz w:val="24"/>
                <w:u w:val="single"/>
              </w:rPr>
            </w:pPr>
            <w:r>
              <w:rPr>
                <w:rFonts w:ascii="Times New Roman" w:hAnsi="Times New Roman"/>
                <w:sz w:val="24"/>
              </w:rPr>
              <w:t>Ukupna dodatna vrijednosna usklađenja izračunana za nerealizirane kreditne raspone („dodatna vrijednosna usklađenja za rizik prilagodbe kreditnom vrednovanju”) i njezino raspoređivanje u dodatna vrijednosna usklađenja za neizvjesnost tržišnih cijena, za troškove zatvaranja pozicija ili za rizik modela u skladu s člankom 12. Delegirane uredbe Komisije (EU) 2016/101.</w:t>
            </w:r>
          </w:p>
        </w:tc>
      </w:tr>
      <w:tr w:rsidR="007B082B" w:rsidRPr="007F4CC8" w14:paraId="5536C82D"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E846DF" w14:textId="77777777" w:rsidR="007B082B" w:rsidRPr="007F4CC8" w:rsidRDefault="007B082B" w:rsidP="00803BB4">
            <w:pPr>
              <w:autoSpaceDE w:val="0"/>
              <w:autoSpaceDN w:val="0"/>
              <w:adjustRightInd w:val="0"/>
              <w:jc w:val="both"/>
              <w:rPr>
                <w:rFonts w:ascii="Times New Roman" w:hAnsi="Times New Roman" w:cs="Times New Roman"/>
                <w:sz w:val="24"/>
              </w:rPr>
            </w:pPr>
          </w:p>
          <w:p w14:paraId="30F3DC83" w14:textId="29C43EC8"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EU e2</w:t>
            </w:r>
          </w:p>
          <w:p w14:paraId="165F5F0A"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CDC71E"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Dodatna vrijednosna usklađenja na razini kategorije – Dodatna vrijednosna usklađenja troškova ulaganja i financiranja</w:t>
            </w:r>
          </w:p>
          <w:p w14:paraId="685CA47C" w14:textId="77777777" w:rsidR="007B082B" w:rsidRPr="007F4CC8" w:rsidRDefault="007B082B" w:rsidP="00803BB4">
            <w:pPr>
              <w:spacing w:beforeLines="60" w:before="144" w:afterLines="60" w:after="144"/>
              <w:rPr>
                <w:rFonts w:ascii="Times New Roman" w:hAnsi="Times New Roman" w:cs="Times New Roman"/>
                <w:caps/>
                <w:sz w:val="24"/>
                <w:u w:val="single"/>
              </w:rPr>
            </w:pPr>
            <w:r>
              <w:rPr>
                <w:rFonts w:ascii="Times New Roman" w:hAnsi="Times New Roman"/>
                <w:sz w:val="24"/>
              </w:rPr>
              <w:t>Članak 105. stavak 10. CRR-a, članak 13. Delegirane uredbe (EU) 2016/101.</w:t>
            </w:r>
          </w:p>
          <w:p w14:paraId="451F1A0A" w14:textId="77777777" w:rsidR="007B082B" w:rsidRPr="007F4CC8" w:rsidRDefault="007B082B" w:rsidP="00803BB4">
            <w:pPr>
              <w:spacing w:beforeLines="60" w:before="144" w:afterLines="60" w:after="144"/>
              <w:jc w:val="both"/>
              <w:rPr>
                <w:rFonts w:ascii="Times New Roman" w:hAnsi="Times New Roman" w:cs="Times New Roman"/>
                <w:b/>
                <w:sz w:val="24"/>
                <w:u w:val="single"/>
              </w:rPr>
            </w:pPr>
            <w:r>
              <w:rPr>
                <w:rFonts w:ascii="Times New Roman" w:hAnsi="Times New Roman"/>
                <w:sz w:val="24"/>
              </w:rPr>
              <w:t>Ukupna dodatna vrijednosna usklađenja za troškove investiranja i financiranja i njezino raspoređivanje u vrijednosna usklađenja za neizvjesnost tržišnih cijena, za troškove zatvaranja pozicija ili za rizik modela određuje se u skladu s člankom 13. Delegirane uredbe Komisije (EU) 2016/101.</w:t>
            </w:r>
          </w:p>
        </w:tc>
      </w:tr>
      <w:tr w:rsidR="007B082B" w:rsidRPr="007F4CC8" w14:paraId="77077CB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AA3852" w14:textId="3A88788F"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f</w:t>
            </w:r>
          </w:p>
          <w:p w14:paraId="6A3F70B0"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ED2F40B"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Ukupna dodatna vrijednosna usklađenja na razini kategorije nakon primjene diversifikacije</w:t>
            </w:r>
          </w:p>
          <w:p w14:paraId="1DE91740"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Za portfelje na koje se primjenjuje osnovni pristup iz poglavlja III. Delegirane uredbe Komisije (EU) 2016/101, ukupna dodatna vrijednosna usklađenja na razini kategorije nakon primjene diversifikacije uključuju ukupna dodatna vrijednosna usklađenja koja se izračunavaju u skladu s osnovnim pristupom za imovinu i obveze koje se vrednuju po fer vrijednosti uključene u prag za izračun u skladu s člankom 4. stavkom 1. Delegirane uredbe Komisije (EU) 2016/101. To uključuje koristi diversifikacije definirane u skladu s člankom 9. stavkom 6., člankom 10. stavkom 7. i člankom 11. stavkom 7. Delegirane uredbe Komisije (EU) 2016/101.</w:t>
            </w:r>
          </w:p>
          <w:p w14:paraId="122DB025"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Ukupno dodatno vrijednosno usklađenje u retku 12 stupcu (f) ovog obrasca uključuje iznose koji se izračunavaju u skladu s člankom 7. stavkom 2. točkom (b) </w:t>
            </w:r>
            <w:proofErr w:type="spellStart"/>
            <w:r>
              <w:rPr>
                <w:rFonts w:ascii="Times New Roman" w:hAnsi="Times New Roman"/>
                <w:sz w:val="24"/>
              </w:rPr>
              <w:t>podtočkama</w:t>
            </w:r>
            <w:proofErr w:type="spellEnd"/>
            <w:r>
              <w:rPr>
                <w:rFonts w:ascii="Times New Roman" w:hAnsi="Times New Roman"/>
                <w:sz w:val="24"/>
              </w:rPr>
              <w:t xml:space="preserve"> od i. do iii. Delegirane uredbe (EU) 2016/101, za portfelje na koje se primjenjuje zamjenski pristup, ako ih ima.</w:t>
            </w:r>
          </w:p>
          <w:p w14:paraId="7DCB3043" w14:textId="77777777" w:rsidR="007B082B" w:rsidRPr="00CA31E6" w:rsidRDefault="007B082B" w:rsidP="00803BB4">
            <w:pPr>
              <w:autoSpaceDE w:val="0"/>
              <w:autoSpaceDN w:val="0"/>
              <w:adjustRightInd w:val="0"/>
              <w:spacing w:before="60" w:after="120"/>
              <w:jc w:val="both"/>
              <w:rPr>
                <w:rFonts w:ascii="Times New Roman" w:hAnsi="Times New Roman" w:cs="Times New Roman"/>
                <w:i/>
                <w:sz w:val="24"/>
              </w:rPr>
            </w:pPr>
            <w:r>
              <w:rPr>
                <w:rFonts w:ascii="Times New Roman" w:hAnsi="Times New Roman"/>
                <w:sz w:val="24"/>
              </w:rPr>
              <w:lastRenderedPageBreak/>
              <w:t>Za portfelje na koje se primjenjuje pojednostavnjeni pristup iz poglavlja II. Delegirane uredbe (EU) 2016/101 o bonitetnom vrednovanju, ukupno dodatno vrijednosno usklađenje uključeno u redak 12 ovog obrasca iznos je koji se izračunava u skladu s člankom 5. tog poglavlja.</w:t>
            </w:r>
          </w:p>
        </w:tc>
      </w:tr>
      <w:tr w:rsidR="007B082B" w:rsidRPr="007F4CC8" w14:paraId="47EBA9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548546A" w14:textId="392C704E"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lastRenderedPageBreak/>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DB61E9"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Od čega: ukupna dodatna vrijednosna usklađenja u skladu s osnovnim pristupom u knjizi pozicija kojima se trguje</w:t>
            </w:r>
          </w:p>
          <w:p w14:paraId="65482E24"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Za svaku relevantnu kategoriju dodatnih vrijednosnih usklađenja, za portfelje na koje se primjenjuje osnovni pristup iz poglavlja III. Delegirane uredbe Komisije (EU) 2016/101, udio dodatnih vrijednosnih usklađenja koja proizlaze iz pozicija koje se drže u knjizi trgovanja: sve pozicije u financijskim instrumentima i robi koje institucija drži s namjerom trgovanja ili da bi zaštitila pozicije koje drži s namjerom trgovanja u skladu s člankom 104. CRR-a. </w:t>
            </w:r>
          </w:p>
          <w:p w14:paraId="1D1EF6B8"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sz w:val="24"/>
              </w:rPr>
              <w:t>Objavljena vrijednost uključuje koristi diversifikacije definirane u skladu s člankom 9. stavkom 6., člankom 10. stavkom 7. i člankom 11. stavkom 7. Delegirane uredbe Komisije (EU) 2016/101.</w:t>
            </w:r>
          </w:p>
        </w:tc>
      </w:tr>
      <w:tr w:rsidR="007B082B" w:rsidRPr="007F4CC8" w14:paraId="36E0E6E7"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E345C3" w14:textId="4C6968A4"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F8210E"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Od čega: ukupna dodatna vrijednosna usklađenja u skladu s osnovnim pristupom u knjizi pozicija kojima se ne trguje</w:t>
            </w:r>
          </w:p>
          <w:p w14:paraId="1519006A" w14:textId="6D830D75" w:rsidR="007B082B" w:rsidRPr="007F4CC8" w:rsidRDefault="007B082B" w:rsidP="00803BB4">
            <w:pPr>
              <w:autoSpaceDE w:val="0"/>
              <w:autoSpaceDN w:val="0"/>
              <w:adjustRightInd w:val="0"/>
              <w:spacing w:before="60" w:after="120"/>
              <w:jc w:val="both"/>
              <w:rPr>
                <w:rFonts w:ascii="Times New Roman" w:hAnsi="Times New Roman" w:cs="Times New Roman"/>
                <w:color w:val="000000"/>
                <w:sz w:val="24"/>
              </w:rPr>
            </w:pPr>
            <w:r>
              <w:rPr>
                <w:rFonts w:ascii="Times New Roman" w:hAnsi="Times New Roman"/>
                <w:sz w:val="24"/>
              </w:rPr>
              <w:t>Za svaku relevantnu kategoriju dodatnih vrijednosnih usklađenja, za portfelje na koje se primjenjuje osnovni pristup iz poglavlja III. Delegirane uredbe Komisije (EU) 2016/101, udio dodatnih vrijednosnih usklađenja koja proizlaze iz pozicija koje se vrednuju po fer vrijednosti u financijskim instrumentima i robi koje se ne drže u knjizi trgovanja</w:t>
            </w:r>
          </w:p>
          <w:p w14:paraId="7B318C51"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Objavljena vrijednost uključuje koristi diversifikacije određene u skladu s člankom 9. stavkom 6., člankom 10. stavkom 7. i člankom 11. stavkom 7. Delegirane uredbe Komisije (EU) 2016/101.</w:t>
            </w:r>
          </w:p>
        </w:tc>
      </w:tr>
    </w:tbl>
    <w:p w14:paraId="6D06FFE9" w14:textId="77777777" w:rsidR="007B082B" w:rsidRPr="007F4CC8" w:rsidRDefault="007B082B" w:rsidP="007B082B">
      <w:pPr>
        <w:rPr>
          <w:rFonts w:ascii="Times New Roman" w:hAnsi="Times New Roman" w:cs="Times New Roman"/>
          <w:sz w:val="24"/>
        </w:rPr>
      </w:pPr>
    </w:p>
    <w:p w14:paraId="23FA3133" w14:textId="77777777" w:rsidR="007A7DC0" w:rsidRPr="007F4CC8" w:rsidRDefault="00CE019E" w:rsidP="007B082B">
      <w:pPr>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r>
        <w:br w:type="page"/>
      </w:r>
    </w:p>
    <w:p w14:paraId="78ED1D07" w14:textId="3B6B71D1" w:rsidR="007B082B" w:rsidRPr="007F4CC8" w:rsidRDefault="007B082B" w:rsidP="007B082B">
      <w:pPr>
        <w:rPr>
          <w:rFonts w:ascii="Times New Roman" w:hAnsi="Times New Roman" w:cs="Times New Roman"/>
          <w:sz w:val="24"/>
        </w:rPr>
      </w:pPr>
    </w:p>
    <w:p w14:paraId="6289374B" w14:textId="77777777" w:rsidR="00CE019E" w:rsidRPr="007F4CC8" w:rsidRDefault="00CE019E" w:rsidP="00CE019E">
      <w:pPr>
        <w:pStyle w:val="Annexetitre"/>
      </w:pPr>
      <w:r>
        <w:t>PRILOG VIII. – Upute za obrasce o objavi regulatornog kapitala</w:t>
      </w:r>
    </w:p>
    <w:p w14:paraId="451B2A96" w14:textId="77777777" w:rsidR="00CE019E" w:rsidRPr="007F4CC8" w:rsidRDefault="00CE019E" w:rsidP="00CE019E">
      <w:pPr>
        <w:rPr>
          <w:rFonts w:ascii="Times New Roman" w:hAnsi="Times New Roman" w:cs="Times New Roman"/>
          <w:sz w:val="24"/>
        </w:rPr>
      </w:pPr>
    </w:p>
    <w:p w14:paraId="3E3D9D60" w14:textId="05E0F9FF" w:rsidR="00CE019E" w:rsidRPr="007F4CC8" w:rsidRDefault="00CE019E" w:rsidP="00CE019E">
      <w:pPr>
        <w:rPr>
          <w:rFonts w:ascii="Times New Roman" w:hAnsi="Times New Roman" w:cs="Times New Roman"/>
          <w:b/>
          <w:bCs/>
          <w:sz w:val="24"/>
        </w:rPr>
      </w:pPr>
      <w:r>
        <w:rPr>
          <w:rFonts w:ascii="Times New Roman" w:hAnsi="Times New Roman"/>
          <w:b/>
          <w:bCs/>
          <w:sz w:val="24"/>
        </w:rPr>
        <w:t>Obrazac EU CC1 – Sastav regulatornog kapitala</w:t>
      </w:r>
    </w:p>
    <w:p w14:paraId="5CCB4065" w14:textId="77777777" w:rsidR="00CE019E" w:rsidRPr="007F4CC8" w:rsidRDefault="00CE019E" w:rsidP="00CE019E">
      <w:pPr>
        <w:rPr>
          <w:rFonts w:ascii="Times New Roman" w:hAnsi="Times New Roman" w:cs="Times New Roman"/>
          <w:sz w:val="24"/>
        </w:rPr>
      </w:pPr>
    </w:p>
    <w:p w14:paraId="7C723855" w14:textId="3882FFF8"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Institucije objavljuju informacije iz članka 437. točaka (a), (d), (e) i (f) Uredbe (EU) 575/2013</w:t>
      </w:r>
      <w:r>
        <w:rPr>
          <w:rStyle w:val="FootnoteReference"/>
          <w:rFonts w:cs="Times New Roman"/>
          <w:color w:val="000000"/>
        </w:rPr>
        <w:footnoteReference w:id="14"/>
      </w:r>
      <w:r>
        <w:rPr>
          <w:rFonts w:ascii="Times New Roman" w:hAnsi="Times New Roman"/>
          <w:color w:val="000000"/>
          <w:sz w:val="24"/>
        </w:rPr>
        <w:t xml:space="preserve"> („CRR”)</w:t>
      </w:r>
      <w:r>
        <w:rPr>
          <w:rFonts w:ascii="Times New Roman" w:hAnsi="Times New Roman"/>
          <w:sz w:val="24"/>
        </w:rPr>
        <w:t xml:space="preserve"> </w:t>
      </w:r>
      <w:r>
        <w:rPr>
          <w:rFonts w:ascii="Times New Roman" w:hAnsi="Times New Roman"/>
          <w:bCs/>
          <w:sz w:val="24"/>
        </w:rPr>
        <w:t>ispunjavanjem obrasca EU CC1 iz Priloga VII. ovoj Provedbenoj uredbi prema uputama iz ovog Priloga.</w:t>
      </w:r>
    </w:p>
    <w:p w14:paraId="44E80652" w14:textId="11DA9D5B"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Za potrebe obrasca EU CC1, regulatorna usklađenja podrazumijevaju odbitke od regulatornog kapitala i bonitetne filtre.</w:t>
      </w:r>
    </w:p>
    <w:p w14:paraId="144751EE" w14:textId="1BCB708A"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Institucije su dužne ispuniti stupac (b) ovog obrasca i iskazati izvor svakog značajnog podatka, na koji će se upućivati u odgovarajućim redcima u obrascu EU CC2.</w:t>
      </w:r>
    </w:p>
    <w:p w14:paraId="0F1EDEA5" w14:textId="77777777" w:rsidR="00CE019E" w:rsidRPr="007F4CC8" w:rsidRDefault="00CE019E" w:rsidP="00E70D84">
      <w:pPr>
        <w:numPr>
          <w:ilvl w:val="0"/>
          <w:numId w:val="19"/>
        </w:numPr>
        <w:spacing w:before="120" w:after="120"/>
        <w:jc w:val="both"/>
        <w:rPr>
          <w:rFonts w:ascii="Times New Roman" w:hAnsi="Times New Roman" w:cs="Times New Roman"/>
          <w:bCs/>
          <w:sz w:val="24"/>
        </w:rPr>
      </w:pPr>
      <w:r>
        <w:rPr>
          <w:rFonts w:ascii="Times New Roman" w:hAnsi="Times New Roman"/>
          <w:bCs/>
          <w:sz w:val="24"/>
        </w:rPr>
        <w:t>Institucije uz obrazac prilažu opis svih ograničenja primijenjenih pri izračunu regulatornog kapitala u skladu s CRR-om i instrumente, bonitetne filtre i odbitke na koje se ta ograničenja odnose. Navode i detaljno objašnjenje osnove za izračun stopa kapitala ako se izračunavaju primjenom elemenata regulatornog kapitala koji se određuju na nekoj drugoj osnovi, a ne na onoj propisanoj u CRR-u.</w:t>
      </w:r>
    </w:p>
    <w:p w14:paraId="2E5028D9" w14:textId="77777777" w:rsidR="00CE019E" w:rsidRPr="007F4CC8" w:rsidRDefault="00CE019E" w:rsidP="00CE019E">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E019E" w:rsidRPr="007F4CC8" w14:paraId="1789179E" w14:textId="77777777" w:rsidTr="001E06A3">
        <w:trPr>
          <w:trHeight w:val="395"/>
        </w:trPr>
        <w:tc>
          <w:tcPr>
            <w:tcW w:w="8414" w:type="dxa"/>
            <w:gridSpan w:val="2"/>
            <w:shd w:val="clear" w:color="auto" w:fill="D9D9D9" w:themeFill="background1" w:themeFillShade="D9"/>
          </w:tcPr>
          <w:p w14:paraId="543BDC8E" w14:textId="77777777" w:rsidR="00CE019E" w:rsidRPr="007F4CC8" w:rsidRDefault="00CE019E" w:rsidP="001E06A3">
            <w:pPr>
              <w:pStyle w:val="TableTitle"/>
              <w:spacing w:before="0" w:after="0"/>
              <w:jc w:val="left"/>
              <w:rPr>
                <w:rFonts w:ascii="Times New Roman" w:hAnsi="Times New Roman"/>
                <w:noProof w:val="0"/>
                <w:sz w:val="24"/>
                <w:szCs w:val="24"/>
              </w:rPr>
            </w:pPr>
            <w:r>
              <w:rPr>
                <w:rFonts w:ascii="Times New Roman" w:hAnsi="Times New Roman"/>
                <w:sz w:val="24"/>
                <w:szCs w:val="24"/>
              </w:rPr>
              <w:t>Pravna osnova i upute</w:t>
            </w:r>
          </w:p>
        </w:tc>
      </w:tr>
      <w:tr w:rsidR="00CE019E" w:rsidRPr="007F4CC8" w14:paraId="4BB9424E" w14:textId="77777777" w:rsidTr="001E06A3">
        <w:tc>
          <w:tcPr>
            <w:tcW w:w="1172" w:type="dxa"/>
            <w:shd w:val="clear" w:color="auto" w:fill="D9D9D9" w:themeFill="background1" w:themeFillShade="D9"/>
          </w:tcPr>
          <w:p w14:paraId="015BCEAF" w14:textId="77777777" w:rsidR="00CE019E" w:rsidRPr="007F4CC8" w:rsidRDefault="00CE019E" w:rsidP="001E06A3">
            <w:pPr>
              <w:rPr>
                <w:rFonts w:ascii="Times New Roman" w:hAnsi="Times New Roman" w:cs="Times New Roman"/>
                <w:b/>
                <w:sz w:val="24"/>
              </w:rPr>
            </w:pPr>
            <w:r>
              <w:rPr>
                <w:rFonts w:ascii="Times New Roman" w:hAnsi="Times New Roman"/>
                <w:b/>
                <w:sz w:val="24"/>
              </w:rPr>
              <w:t>Broj retka</w:t>
            </w:r>
          </w:p>
        </w:tc>
        <w:tc>
          <w:tcPr>
            <w:tcW w:w="7242" w:type="dxa"/>
            <w:shd w:val="clear" w:color="auto" w:fill="D9D9D9" w:themeFill="background1" w:themeFillShade="D9"/>
          </w:tcPr>
          <w:p w14:paraId="3A14D196" w14:textId="77777777" w:rsidR="00CE019E" w:rsidRPr="007F4CC8" w:rsidRDefault="00CE019E" w:rsidP="001E06A3">
            <w:pPr>
              <w:rPr>
                <w:rFonts w:ascii="Times New Roman" w:hAnsi="Times New Roman" w:cs="Times New Roman"/>
                <w:b/>
                <w:sz w:val="24"/>
              </w:rPr>
            </w:pPr>
            <w:r>
              <w:rPr>
                <w:rFonts w:ascii="Times New Roman" w:hAnsi="Times New Roman"/>
                <w:b/>
                <w:sz w:val="24"/>
              </w:rPr>
              <w:t>Objašnjenje</w:t>
            </w:r>
          </w:p>
        </w:tc>
      </w:tr>
      <w:tr w:rsidR="00CE019E" w:rsidRPr="007F4CC8" w14:paraId="17C2B6EA" w14:textId="77777777" w:rsidTr="001E06A3">
        <w:tc>
          <w:tcPr>
            <w:tcW w:w="1172" w:type="dxa"/>
            <w:vAlign w:val="center"/>
          </w:tcPr>
          <w:p w14:paraId="1D31955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w:t>
            </w:r>
          </w:p>
        </w:tc>
        <w:tc>
          <w:tcPr>
            <w:tcW w:w="7242" w:type="dxa"/>
          </w:tcPr>
          <w:p w14:paraId="123AC66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Instrumenti kapitala i povezani računi premija na dionice</w:t>
            </w:r>
          </w:p>
          <w:p w14:paraId="73DA462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Instrumenti kapitala i povezani računi premija na dionice u skladu s člankom 26. stavkom 1. točkama (a) i (b) i člancima 27., 28. i 29. CRR-a te EBA-inim popisom iz članka 26. stavka 3. CRR-a, te njihova raščlamba po vrsti instrumenta.</w:t>
            </w:r>
          </w:p>
        </w:tc>
      </w:tr>
      <w:tr w:rsidR="00CE019E" w:rsidRPr="007F4CC8" w14:paraId="7A9BE7B0" w14:textId="77777777" w:rsidTr="001E06A3">
        <w:tc>
          <w:tcPr>
            <w:tcW w:w="1172" w:type="dxa"/>
            <w:vAlign w:val="center"/>
          </w:tcPr>
          <w:p w14:paraId="23EFFA0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w:t>
            </w:r>
          </w:p>
        </w:tc>
        <w:tc>
          <w:tcPr>
            <w:tcW w:w="7242" w:type="dxa"/>
            <w:vAlign w:val="center"/>
          </w:tcPr>
          <w:p w14:paraId="4857181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Zadržana dobit</w:t>
            </w:r>
          </w:p>
          <w:p w14:paraId="5044CDE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Zadržana dobit prije svih regulatornih usklađenja u skladu s člankom 26. stavkom 1. točkom (c) CRR-a (prije uvrštenja prijelazne neto dobiti ili gubitaka).</w:t>
            </w:r>
          </w:p>
        </w:tc>
      </w:tr>
      <w:tr w:rsidR="00CE019E" w:rsidRPr="007F4CC8" w14:paraId="6D028952" w14:textId="77777777" w:rsidTr="001E06A3">
        <w:trPr>
          <w:trHeight w:val="980"/>
        </w:trPr>
        <w:tc>
          <w:tcPr>
            <w:tcW w:w="1172" w:type="dxa"/>
            <w:vAlign w:val="center"/>
          </w:tcPr>
          <w:p w14:paraId="4A1443C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w:t>
            </w:r>
          </w:p>
        </w:tc>
        <w:tc>
          <w:tcPr>
            <w:tcW w:w="7242" w:type="dxa"/>
            <w:vAlign w:val="center"/>
          </w:tcPr>
          <w:p w14:paraId="0679C28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Akumulirana ostala sveobuhvatna dobit (i druge rezerve)</w:t>
            </w:r>
          </w:p>
          <w:p w14:paraId="082776B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Iznos akumulirane ostale sveobuhvatne dobiti i drugih rezervi u skladu s člankom 26. stavkom 1. točkama (d) i (e) CRR-a</w:t>
            </w:r>
          </w:p>
        </w:tc>
      </w:tr>
      <w:tr w:rsidR="00CE019E" w:rsidRPr="007F4CC8" w14:paraId="226BD4D5" w14:textId="77777777" w:rsidTr="001E06A3">
        <w:tc>
          <w:tcPr>
            <w:tcW w:w="1172" w:type="dxa"/>
            <w:vAlign w:val="center"/>
          </w:tcPr>
          <w:p w14:paraId="155B012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EU-3a</w:t>
            </w:r>
          </w:p>
        </w:tc>
        <w:tc>
          <w:tcPr>
            <w:tcW w:w="7242" w:type="dxa"/>
            <w:vAlign w:val="center"/>
          </w:tcPr>
          <w:p w14:paraId="5F47300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Rezerve za opće bankovne rizike</w:t>
            </w:r>
          </w:p>
          <w:p w14:paraId="490A124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Iznos rezervi za opće bankovne rizike u skladu s člankom 26. stavkom 1. točkom (f) CRR-a</w:t>
            </w:r>
          </w:p>
        </w:tc>
      </w:tr>
      <w:tr w:rsidR="00CE019E" w:rsidRPr="007F4CC8" w14:paraId="18DE53EE" w14:textId="77777777" w:rsidTr="001E06A3">
        <w:tc>
          <w:tcPr>
            <w:tcW w:w="1172" w:type="dxa"/>
            <w:vAlign w:val="center"/>
          </w:tcPr>
          <w:p w14:paraId="1DD0BB3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4</w:t>
            </w:r>
          </w:p>
        </w:tc>
        <w:tc>
          <w:tcPr>
            <w:tcW w:w="7242" w:type="dxa"/>
            <w:vAlign w:val="center"/>
          </w:tcPr>
          <w:p w14:paraId="6BAAB33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Iznos stavki koje ispunjavaju uvjete iz članka 484. stavka 3. CRR-a i povezani računi premija na dionice koji se postupno isključuju iz redovnog osnovnog kapitala</w:t>
            </w:r>
          </w:p>
          <w:p w14:paraId="0EA9884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Iznos stavki koje ispunjavaju uvjete iz članka 484. stavka 3. CRR-a i povezani računi premija na dionice koji se postupno isključuju iz dopunskog kapitala kako je opisano u članku 486. stavku 2. CRR-a</w:t>
            </w:r>
          </w:p>
        </w:tc>
      </w:tr>
      <w:tr w:rsidR="00CE019E" w:rsidRPr="007F4CC8" w14:paraId="06F7551F" w14:textId="77777777" w:rsidTr="001E06A3">
        <w:tc>
          <w:tcPr>
            <w:tcW w:w="1172" w:type="dxa"/>
            <w:vAlign w:val="center"/>
          </w:tcPr>
          <w:p w14:paraId="24468B2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w:t>
            </w:r>
          </w:p>
        </w:tc>
        <w:tc>
          <w:tcPr>
            <w:tcW w:w="7242" w:type="dxa"/>
            <w:vAlign w:val="center"/>
          </w:tcPr>
          <w:p w14:paraId="4155522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Manjinski udjeli (iznos dopušten u konsolidiranom redovnom osnovnom kapitalu)</w:t>
            </w:r>
          </w:p>
          <w:p w14:paraId="013C723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Manjinski udjeli (iznos dopušten u konsolidiranom redovnom osnovnom kapitalu) u skladu s člankom 84. CRR-a</w:t>
            </w:r>
          </w:p>
        </w:tc>
      </w:tr>
      <w:tr w:rsidR="00CE019E" w:rsidRPr="007F4CC8" w14:paraId="740E23DD" w14:textId="77777777" w:rsidTr="001E06A3">
        <w:tc>
          <w:tcPr>
            <w:tcW w:w="1172" w:type="dxa"/>
            <w:vAlign w:val="center"/>
          </w:tcPr>
          <w:p w14:paraId="59893A4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EU-5a</w:t>
            </w:r>
          </w:p>
        </w:tc>
        <w:tc>
          <w:tcPr>
            <w:tcW w:w="7242" w:type="dxa"/>
            <w:vAlign w:val="center"/>
          </w:tcPr>
          <w:p w14:paraId="008D03E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Neovisno provjerena dobit tekuće godine ostvarena tijekom poslovne godine umanjena za predvidive troškove ili dividende</w:t>
            </w:r>
          </w:p>
          <w:p w14:paraId="3CDC8CB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Neovisno provjerena dobit tekuće godine ostvarena tijekom poslovne godine umanjena za predvidive troškove ili dividende u skladu s člankom 26. stavkom 2 CRR-a</w:t>
            </w:r>
          </w:p>
        </w:tc>
      </w:tr>
      <w:tr w:rsidR="00CE019E" w:rsidRPr="007F4CC8" w14:paraId="13F7A99A" w14:textId="77777777" w:rsidTr="001E06A3">
        <w:tc>
          <w:tcPr>
            <w:tcW w:w="1172" w:type="dxa"/>
            <w:vAlign w:val="center"/>
          </w:tcPr>
          <w:p w14:paraId="5D82B81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w:t>
            </w:r>
          </w:p>
        </w:tc>
        <w:tc>
          <w:tcPr>
            <w:tcW w:w="7242" w:type="dxa"/>
            <w:vAlign w:val="center"/>
          </w:tcPr>
          <w:p w14:paraId="7ADE20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Redovni osnovni kapital (CET1) prije regulatornih usklađenja</w:t>
            </w:r>
          </w:p>
          <w:p w14:paraId="369F2FC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Zbroj iznosa iz redaka od 1 do EU-5a ovog obrasca</w:t>
            </w:r>
          </w:p>
        </w:tc>
      </w:tr>
      <w:tr w:rsidR="00CE019E" w:rsidRPr="007F4CC8" w14:paraId="4162E8B2" w14:textId="77777777" w:rsidTr="001E06A3">
        <w:tc>
          <w:tcPr>
            <w:tcW w:w="1172" w:type="dxa"/>
            <w:vAlign w:val="center"/>
          </w:tcPr>
          <w:p w14:paraId="1F322C0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w:t>
            </w:r>
          </w:p>
        </w:tc>
        <w:tc>
          <w:tcPr>
            <w:tcW w:w="7242" w:type="dxa"/>
            <w:vAlign w:val="center"/>
          </w:tcPr>
          <w:p w14:paraId="62D09D8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Dodatna vrijednosna usklađenja (negativan iznos)</w:t>
            </w:r>
          </w:p>
          <w:p w14:paraId="7839183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Dodatna vrijednosna usklađenja u skladu s člancima 34. i 105. CRR-a (negativan iznos)</w:t>
            </w:r>
          </w:p>
        </w:tc>
      </w:tr>
      <w:tr w:rsidR="00CE019E" w:rsidRPr="007F4CC8" w14:paraId="72C115DA" w14:textId="77777777" w:rsidTr="001E06A3">
        <w:tc>
          <w:tcPr>
            <w:tcW w:w="1172" w:type="dxa"/>
            <w:vAlign w:val="center"/>
          </w:tcPr>
          <w:p w14:paraId="0A85D21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w:t>
            </w:r>
          </w:p>
        </w:tc>
        <w:tc>
          <w:tcPr>
            <w:tcW w:w="7242" w:type="dxa"/>
            <w:vAlign w:val="center"/>
          </w:tcPr>
          <w:p w14:paraId="4AD9F65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Nematerijalna imovina (umanjena za povezanu poreznu obvezu) (negativan iznos)</w:t>
            </w:r>
          </w:p>
          <w:p w14:paraId="26CBC7E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Nematerijalna imovina (umanjena za povezanu poreznu obvezu) u skladu s člankom 36. stavkom 1. točkom (b) i člankom 37. CRR-a (negativan iznos)</w:t>
            </w:r>
          </w:p>
        </w:tc>
      </w:tr>
      <w:tr w:rsidR="00CE019E" w:rsidRPr="007F4CC8" w14:paraId="1398EA35" w14:textId="77777777" w:rsidTr="001E06A3">
        <w:tc>
          <w:tcPr>
            <w:tcW w:w="1172" w:type="dxa"/>
            <w:vAlign w:val="center"/>
          </w:tcPr>
          <w:p w14:paraId="74702EB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 xml:space="preserve">9 </w:t>
            </w:r>
          </w:p>
        </w:tc>
        <w:tc>
          <w:tcPr>
            <w:tcW w:w="7242" w:type="dxa"/>
            <w:vAlign w:val="center"/>
          </w:tcPr>
          <w:p w14:paraId="0EBD6A0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Nije primjenjivo</w:t>
            </w:r>
          </w:p>
        </w:tc>
      </w:tr>
      <w:tr w:rsidR="00CE019E" w:rsidRPr="007F4CC8" w14:paraId="2CCC1B30" w14:textId="77777777" w:rsidTr="001E06A3">
        <w:tc>
          <w:tcPr>
            <w:tcW w:w="1172" w:type="dxa"/>
            <w:vAlign w:val="center"/>
          </w:tcPr>
          <w:p w14:paraId="6C5DA30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10</w:t>
            </w:r>
          </w:p>
        </w:tc>
        <w:tc>
          <w:tcPr>
            <w:tcW w:w="7242" w:type="dxa"/>
            <w:vAlign w:val="center"/>
          </w:tcPr>
          <w:p w14:paraId="5F454BF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Odgođena porezna imovina koja ovisi o budućoj profitabilnosti, isključujući onu koja proizlazi iz privremenih razlika (umanjena za povezanu poreznu obvezu ako su ispunjeni uvjeti iz članka 38. stavka 3. CRR-a) (negativan iznos)</w:t>
            </w:r>
          </w:p>
          <w:p w14:paraId="007F4022" w14:textId="08B28D9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Odgođena porezna imovina koja ovisi o budućoj profitabilnosti, isključujući onu koja proizlazi iz privremenih razlika (umanjena za povezanu poreznu obvezu ako su ispunjeni uvjeti iz članka 38. stavka 3. </w:t>
            </w:r>
            <w:r>
              <w:rPr>
                <w:rFonts w:ascii="Times New Roman" w:hAnsi="Times New Roman"/>
                <w:sz w:val="24"/>
              </w:rPr>
              <w:lastRenderedPageBreak/>
              <w:t>CRR-a) u skladu s člankom 36. stavkom 1. točkom (c) i člankom 38. CRR-a (negativan iznos)</w:t>
            </w:r>
          </w:p>
        </w:tc>
      </w:tr>
      <w:tr w:rsidR="00CE019E" w:rsidRPr="007F4CC8" w14:paraId="7E3137BF" w14:textId="77777777" w:rsidTr="001E06A3">
        <w:tc>
          <w:tcPr>
            <w:tcW w:w="1172" w:type="dxa"/>
            <w:vAlign w:val="center"/>
          </w:tcPr>
          <w:p w14:paraId="2D3BDB2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11</w:t>
            </w:r>
          </w:p>
        </w:tc>
        <w:tc>
          <w:tcPr>
            <w:tcW w:w="7242" w:type="dxa"/>
            <w:vAlign w:val="center"/>
          </w:tcPr>
          <w:p w14:paraId="6C54316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Rezerve iz fer vrednovanja koje se odnose na dobitke ili gubitke na osnovi zaštite novčanog toka financijskih instrumenata koji se ne vrednuju po fer vrijednosti</w:t>
            </w:r>
          </w:p>
          <w:p w14:paraId="74F88C7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Rezerve iz fer vrednovanja koje se odnose na dobitke ili gubitke na osnovi zaštite novčanog toka financijskih instrumenata koji se ne vrednuju po fer vrijednosti u skladu s člankom 33. stavkom 1. točkom (a) CRR-a</w:t>
            </w:r>
          </w:p>
        </w:tc>
      </w:tr>
      <w:tr w:rsidR="00CE019E" w:rsidRPr="007F4CC8" w14:paraId="57E64E2A" w14:textId="77777777" w:rsidTr="001E06A3">
        <w:tc>
          <w:tcPr>
            <w:tcW w:w="1172" w:type="dxa"/>
            <w:vAlign w:val="center"/>
          </w:tcPr>
          <w:p w14:paraId="4134931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12</w:t>
            </w:r>
          </w:p>
        </w:tc>
        <w:tc>
          <w:tcPr>
            <w:tcW w:w="7242" w:type="dxa"/>
            <w:vAlign w:val="center"/>
          </w:tcPr>
          <w:p w14:paraId="18FBF18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Negativni iznosi koji proizlaze iz izračuna iznosa očekivanih gubitaka</w:t>
            </w:r>
          </w:p>
          <w:p w14:paraId="146DEB3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Negativni iznosi koji proizlaze iz izračuna iznosa očekivanih gubitaka u skladu s člankom 36. stavkom 1. točkom (d) i člankom 40. CRR-a</w:t>
            </w:r>
          </w:p>
        </w:tc>
      </w:tr>
      <w:tr w:rsidR="00CE019E" w:rsidRPr="007F4CC8" w14:paraId="126AA8A4" w14:textId="77777777" w:rsidTr="001E06A3">
        <w:tc>
          <w:tcPr>
            <w:tcW w:w="1172" w:type="dxa"/>
            <w:vAlign w:val="center"/>
          </w:tcPr>
          <w:p w14:paraId="3951744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13</w:t>
            </w:r>
          </w:p>
        </w:tc>
        <w:tc>
          <w:tcPr>
            <w:tcW w:w="7242" w:type="dxa"/>
            <w:vAlign w:val="center"/>
          </w:tcPr>
          <w:p w14:paraId="04E6AB8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Svako povećanje kapitala nastalo kao rezultat sekuritizirane imovine (negativan iznos)</w:t>
            </w:r>
          </w:p>
          <w:p w14:paraId="204F047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Svako povećanje kapitala nastalo kao rezultat sekuritizirane imovine u skladu s člankom 32. stavkom 1. CRR-a (negativan iznos)</w:t>
            </w:r>
          </w:p>
        </w:tc>
      </w:tr>
      <w:tr w:rsidR="00CE019E" w:rsidRPr="007F4CC8" w14:paraId="11898575" w14:textId="77777777" w:rsidTr="001E06A3">
        <w:tc>
          <w:tcPr>
            <w:tcW w:w="1172" w:type="dxa"/>
            <w:vAlign w:val="center"/>
          </w:tcPr>
          <w:p w14:paraId="20D44E8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14</w:t>
            </w:r>
          </w:p>
        </w:tc>
        <w:tc>
          <w:tcPr>
            <w:tcW w:w="7242" w:type="dxa"/>
            <w:vAlign w:val="center"/>
          </w:tcPr>
          <w:p w14:paraId="0BD57EA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Dobici ili gubici po obvezama vrednovanim po fer vrijednosti nastali kao rezultat promjena kreditne sposobnosti same institucije</w:t>
            </w:r>
          </w:p>
          <w:p w14:paraId="18690FA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Dobici ili gubici po obvezama vrednovanim po fer vrijednosti nastali kao rezultat promjena kreditne sposobnosti same institucije u skladu s člankom 33. stavkom 1. točkom (b) CRR-a</w:t>
            </w:r>
          </w:p>
        </w:tc>
      </w:tr>
      <w:tr w:rsidR="00CE019E" w:rsidRPr="007F4CC8" w14:paraId="4752413E" w14:textId="77777777" w:rsidTr="001E06A3">
        <w:tc>
          <w:tcPr>
            <w:tcW w:w="1172" w:type="dxa"/>
            <w:vAlign w:val="center"/>
          </w:tcPr>
          <w:p w14:paraId="63D1978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15</w:t>
            </w:r>
          </w:p>
        </w:tc>
        <w:tc>
          <w:tcPr>
            <w:tcW w:w="7242" w:type="dxa"/>
            <w:vAlign w:val="center"/>
          </w:tcPr>
          <w:p w14:paraId="7AAF989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Imovina mirovinskog fonda pod pokroviteljstvom poslodavca (negativan iznos)</w:t>
            </w:r>
          </w:p>
          <w:p w14:paraId="3D7EDF8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Imovina mirovinskog fonda pod pokroviteljstvom poslodavca u skladu s člankom 36. stavkom 1. točkom (e) i člankom 41. CRR-a (negativan iznos)</w:t>
            </w:r>
          </w:p>
        </w:tc>
      </w:tr>
      <w:tr w:rsidR="00CE019E" w:rsidRPr="007F4CC8" w14:paraId="4A061FE4" w14:textId="77777777" w:rsidTr="001E06A3">
        <w:tc>
          <w:tcPr>
            <w:tcW w:w="1172" w:type="dxa"/>
            <w:vAlign w:val="center"/>
          </w:tcPr>
          <w:p w14:paraId="399DC36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16</w:t>
            </w:r>
          </w:p>
        </w:tc>
        <w:tc>
          <w:tcPr>
            <w:tcW w:w="7242" w:type="dxa"/>
            <w:vAlign w:val="center"/>
          </w:tcPr>
          <w:p w14:paraId="745D7AF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Izravna, neizravna i sintetska ulaganja institucije u vlastite instrumente redovnog osnovnog kapitala (negativan iznos)</w:t>
            </w:r>
          </w:p>
          <w:p w14:paraId="414332F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Izravna, neizravna i sintetska ulaganja institucije u vlastite instrumente redovnog osnovnog kapitala kako je opisano u članku 36. stavku 1. točki (f) i članku 42. CRR-a (negativan iznos)</w:t>
            </w:r>
          </w:p>
        </w:tc>
      </w:tr>
      <w:tr w:rsidR="00CE019E" w:rsidRPr="007F4CC8" w14:paraId="40B3F9F5" w14:textId="77777777" w:rsidTr="001E06A3">
        <w:tc>
          <w:tcPr>
            <w:tcW w:w="1172" w:type="dxa"/>
            <w:vAlign w:val="center"/>
          </w:tcPr>
          <w:p w14:paraId="68024D9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17</w:t>
            </w:r>
          </w:p>
        </w:tc>
        <w:tc>
          <w:tcPr>
            <w:tcW w:w="7242" w:type="dxa"/>
            <w:vAlign w:val="center"/>
          </w:tcPr>
          <w:p w14:paraId="3B67529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Izravna, neizravna i sintetska ulaganja u instrumente redovnog osnovnog kapitala subjekata financijskog sektora ako ti subjekti imaju s institucijom recipročno međusobno ulaganje čiji je cilj umjetno povećati regulatorni kapital institucije (negativan iznos)</w:t>
            </w:r>
          </w:p>
          <w:p w14:paraId="05D7BE80" w14:textId="0A51D53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Izravna, neizravna i sintetska ulaganja u instrumente redovnog osnovnog kapitala subjekata financijskog sektora ako ti subjekti imaju s institucijom recipročno međusobno ulaganje čiji je cilj umjetno povećati regulatorni </w:t>
            </w:r>
            <w:r>
              <w:rPr>
                <w:rFonts w:ascii="Times New Roman" w:hAnsi="Times New Roman"/>
                <w:sz w:val="24"/>
              </w:rPr>
              <w:lastRenderedPageBreak/>
              <w:t>kapital institucije kako je opisano u članku 36. stavku 1. točki (g) i članku 44. CRR-a (negativan iznos)</w:t>
            </w:r>
          </w:p>
        </w:tc>
      </w:tr>
      <w:tr w:rsidR="00CE019E" w:rsidRPr="007F4CC8" w14:paraId="7894305B" w14:textId="77777777" w:rsidTr="001E06A3">
        <w:tc>
          <w:tcPr>
            <w:tcW w:w="1172" w:type="dxa"/>
            <w:vAlign w:val="center"/>
          </w:tcPr>
          <w:p w14:paraId="5389147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18</w:t>
            </w:r>
          </w:p>
        </w:tc>
        <w:tc>
          <w:tcPr>
            <w:tcW w:w="7242" w:type="dxa"/>
            <w:vAlign w:val="center"/>
          </w:tcPr>
          <w:p w14:paraId="4CE287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Izravna, neizravna i sintetska ulaganja institucije u instrumente redovnog osnovnog kapitala subjekata financijskog sektora ako institucija nema značajno ulaganje u te subjekte (iznos iznad praga od 10 % i umanjeno za prihvatljive kratke pozicije) (negativan iznos)</w:t>
            </w:r>
          </w:p>
          <w:p w14:paraId="2985442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Izravna, neizravna i sintetska ulaganja u instrumente redovnog osnovnog kapitala subjekata financijskog sektora ako institucija nema značajno ulaganje u te subjekte (iznos iznad praga od 10 % i umanjeno za prihvatljive kratke pozicije) kako je opisano u članku 36. stavku 1. točki (h), člancima 43., 45., 46., članku 49. stavcima 2. i 3. i članku 79. CRR-a (negativan iznos)</w:t>
            </w:r>
          </w:p>
        </w:tc>
      </w:tr>
      <w:tr w:rsidR="00CE019E" w:rsidRPr="007F4CC8" w14:paraId="0A78DBEA" w14:textId="77777777" w:rsidTr="001E06A3">
        <w:tc>
          <w:tcPr>
            <w:tcW w:w="1172" w:type="dxa"/>
            <w:vAlign w:val="center"/>
          </w:tcPr>
          <w:p w14:paraId="681008F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19</w:t>
            </w:r>
          </w:p>
        </w:tc>
        <w:tc>
          <w:tcPr>
            <w:tcW w:w="7242" w:type="dxa"/>
            <w:vAlign w:val="center"/>
          </w:tcPr>
          <w:p w14:paraId="4A35F4E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Izravna, neizravna i sintetska ulaganja institucije u instrumente redovnog osnovnog kapitala subjekata financijskog sektora ako institucija ima značajno ulaganje u te subjekte (iznos iznad praga od 10 % i umanjeno za prihvatljive kratke pozicije) (negativan iznos)</w:t>
            </w:r>
          </w:p>
          <w:p w14:paraId="1300383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Izravna, neizravna i sintetska ulaganja institucije u instrumente redovnog osnovnog kapitala subjekata financijskog sektora ako institucija ima značajno ulaganje u te subjekte (iznos iznad praga od 10 % i umanjeno za prihvatljive kratke pozicije) kako je opisano u članku 36. stavku 1. točki (i), člancima 43., 45., 47., članku 48. stavku 1. točki (b) i članku 49. stavcima od 1. do 3. CRR-a (negativan iznos)</w:t>
            </w:r>
          </w:p>
        </w:tc>
      </w:tr>
      <w:tr w:rsidR="00CE019E" w:rsidRPr="007F4CC8" w14:paraId="7D8C0A70" w14:textId="77777777" w:rsidTr="001E06A3">
        <w:tc>
          <w:tcPr>
            <w:tcW w:w="1172" w:type="dxa"/>
            <w:vAlign w:val="center"/>
          </w:tcPr>
          <w:p w14:paraId="59995C4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20</w:t>
            </w:r>
          </w:p>
        </w:tc>
        <w:tc>
          <w:tcPr>
            <w:tcW w:w="7242" w:type="dxa"/>
            <w:vAlign w:val="center"/>
          </w:tcPr>
          <w:p w14:paraId="6B74DE9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Nije primjenjivo</w:t>
            </w:r>
          </w:p>
        </w:tc>
      </w:tr>
      <w:tr w:rsidR="00CE019E" w:rsidRPr="007F4CC8" w14:paraId="6467D72F" w14:textId="77777777" w:rsidTr="001E06A3">
        <w:tc>
          <w:tcPr>
            <w:tcW w:w="1172" w:type="dxa"/>
            <w:vAlign w:val="center"/>
          </w:tcPr>
          <w:p w14:paraId="007964E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EU-20a</w:t>
            </w:r>
          </w:p>
        </w:tc>
        <w:tc>
          <w:tcPr>
            <w:tcW w:w="7242" w:type="dxa"/>
            <w:vAlign w:val="center"/>
          </w:tcPr>
          <w:p w14:paraId="4C2088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Iznos izloženosti sljedećih stavki kojima se dodjeljuje ponder rizika od 1 250 %, ako se institucija odluči za alternativu odbicima</w:t>
            </w:r>
          </w:p>
          <w:p w14:paraId="1731968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Iznos izloženosti kojima se dodjeljuje ponder rizika od 1 250 %, ako se institucija odluči za alternativu odbicima, kako je opisano u članku 36. stavku 1. točki (k) CRR-a</w:t>
            </w:r>
          </w:p>
        </w:tc>
      </w:tr>
      <w:tr w:rsidR="00CE019E" w:rsidRPr="007F4CC8" w14:paraId="4E31BBDF" w14:textId="77777777" w:rsidTr="001E06A3">
        <w:tc>
          <w:tcPr>
            <w:tcW w:w="1172" w:type="dxa"/>
            <w:vAlign w:val="center"/>
          </w:tcPr>
          <w:p w14:paraId="7EB71DB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EU-20b</w:t>
            </w:r>
          </w:p>
        </w:tc>
        <w:tc>
          <w:tcPr>
            <w:tcW w:w="7242" w:type="dxa"/>
            <w:vAlign w:val="center"/>
          </w:tcPr>
          <w:p w14:paraId="51FC923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 čega: kvalificirani udjeli izvan financijskog sektora (negativan iznos)</w:t>
            </w:r>
          </w:p>
          <w:p w14:paraId="6181DE1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 iznosa u retku EU-20a, iznos koji se odnosi na kvalificirane udjele zvan financijskog sektora u skladu s člankom 36. stavkom 1. točkom (i) i člancima od 89. do 91. CRR-a (negativan iznos)</w:t>
            </w:r>
          </w:p>
        </w:tc>
      </w:tr>
      <w:tr w:rsidR="00CE019E" w:rsidRPr="007F4CC8" w14:paraId="594B3912" w14:textId="77777777" w:rsidTr="001E06A3">
        <w:tc>
          <w:tcPr>
            <w:tcW w:w="1172" w:type="dxa"/>
            <w:vAlign w:val="center"/>
          </w:tcPr>
          <w:p w14:paraId="6501379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EU-20c</w:t>
            </w:r>
          </w:p>
        </w:tc>
        <w:tc>
          <w:tcPr>
            <w:tcW w:w="7242" w:type="dxa"/>
            <w:vAlign w:val="center"/>
          </w:tcPr>
          <w:p w14:paraId="7ABEBD6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Od čega: </w:t>
            </w:r>
            <w:proofErr w:type="spellStart"/>
            <w:r>
              <w:rPr>
                <w:rFonts w:ascii="Times New Roman" w:hAnsi="Times New Roman"/>
                <w:sz w:val="24"/>
              </w:rPr>
              <w:t>sekuritizacijske</w:t>
            </w:r>
            <w:proofErr w:type="spellEnd"/>
            <w:r>
              <w:rPr>
                <w:rFonts w:ascii="Times New Roman" w:hAnsi="Times New Roman"/>
                <w:sz w:val="24"/>
              </w:rPr>
              <w:t xml:space="preserve"> pozicije (negativan iznos)</w:t>
            </w:r>
          </w:p>
          <w:p w14:paraId="0274E39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Od iznosa u retku EU-20a ovog obrasca, iznos koji se odnosi na </w:t>
            </w:r>
            <w:proofErr w:type="spellStart"/>
            <w:r>
              <w:rPr>
                <w:rFonts w:ascii="Times New Roman" w:hAnsi="Times New Roman"/>
                <w:sz w:val="24"/>
              </w:rPr>
              <w:t>sekuritizacijske</w:t>
            </w:r>
            <w:proofErr w:type="spellEnd"/>
            <w:r>
              <w:rPr>
                <w:rFonts w:ascii="Times New Roman" w:hAnsi="Times New Roman"/>
                <w:sz w:val="24"/>
              </w:rPr>
              <w:t xml:space="preserve"> pozicije, u skladu s člankom 36. stavkom 1. točkom (k) </w:t>
            </w:r>
            <w:proofErr w:type="spellStart"/>
            <w:r>
              <w:rPr>
                <w:rFonts w:ascii="Times New Roman" w:hAnsi="Times New Roman"/>
                <w:sz w:val="24"/>
              </w:rPr>
              <w:t>podtočkom</w:t>
            </w:r>
            <w:proofErr w:type="spellEnd"/>
            <w:r>
              <w:rPr>
                <w:rFonts w:ascii="Times New Roman" w:hAnsi="Times New Roman"/>
                <w:sz w:val="24"/>
              </w:rPr>
              <w:t xml:space="preserve"> ii., člankom 243. stavkom 1. točkom (b), člankom 244. stavkom 1. tokom (b) i člankom 258. CRR-a (negativan iznos)</w:t>
            </w:r>
          </w:p>
        </w:tc>
      </w:tr>
      <w:tr w:rsidR="00CE019E" w:rsidRPr="007F4CC8" w14:paraId="472B4E52" w14:textId="77777777" w:rsidTr="001E06A3">
        <w:tc>
          <w:tcPr>
            <w:tcW w:w="1172" w:type="dxa"/>
            <w:vAlign w:val="center"/>
          </w:tcPr>
          <w:p w14:paraId="35D94A0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EU-20d</w:t>
            </w:r>
          </w:p>
        </w:tc>
        <w:tc>
          <w:tcPr>
            <w:tcW w:w="7242" w:type="dxa"/>
            <w:vAlign w:val="center"/>
          </w:tcPr>
          <w:p w14:paraId="6BF8A00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 čega: slobodne isporuke (negativan iznos)</w:t>
            </w:r>
          </w:p>
          <w:p w14:paraId="3C2088C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 xml:space="preserve">Od iznosa u retku EU-20a ovog obrasca, iznos koji se odnosi na slobodne isporuke u skladu s člankom 36. stavkom 1. točkom (k) </w:t>
            </w:r>
            <w:proofErr w:type="spellStart"/>
            <w:r>
              <w:rPr>
                <w:rFonts w:ascii="Times New Roman" w:hAnsi="Times New Roman"/>
                <w:sz w:val="24"/>
              </w:rPr>
              <w:t>podtočkom</w:t>
            </w:r>
            <w:proofErr w:type="spellEnd"/>
            <w:r>
              <w:rPr>
                <w:rFonts w:ascii="Times New Roman" w:hAnsi="Times New Roman"/>
                <w:sz w:val="24"/>
              </w:rPr>
              <w:t xml:space="preserve"> iii. i člankom 379. stavkom 3. CRR-a (negativan iznos)</w:t>
            </w:r>
          </w:p>
        </w:tc>
      </w:tr>
      <w:tr w:rsidR="00CE019E" w:rsidRPr="007F4CC8" w14:paraId="61FD6E4E" w14:textId="77777777" w:rsidTr="001E06A3">
        <w:tc>
          <w:tcPr>
            <w:tcW w:w="1172" w:type="dxa"/>
            <w:vAlign w:val="center"/>
          </w:tcPr>
          <w:p w14:paraId="6368837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21</w:t>
            </w:r>
          </w:p>
        </w:tc>
        <w:tc>
          <w:tcPr>
            <w:tcW w:w="7242" w:type="dxa"/>
            <w:vAlign w:val="center"/>
          </w:tcPr>
          <w:p w14:paraId="3B87763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Odgođena porezna imovina koja proizlazi iz privremenih razlika (iznos iznad praga od 10 %, umanjeno za povezanu poreznu obvezu ako su ispunjeni uvjeti iz članka 38. stavka 3. CRR-a) (negativan iznos)</w:t>
            </w:r>
          </w:p>
          <w:p w14:paraId="56CF18F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Odgođena porezna imovina koja proizlazi iz privremenih razlika (iznos iznad praga od 10 %, umanjeno za povezanu poreznu obvezu ako su ispunjeni uvjeti iz članka 38. stavka 3. CRR-a), kako je opisano u članku 36. stavku 1. točki (c), članku 38. i članku 48. stavku 1. točki (a) CRR-a (negativan iznos)</w:t>
            </w:r>
          </w:p>
        </w:tc>
      </w:tr>
      <w:tr w:rsidR="00CE019E" w:rsidRPr="007F4CC8" w14:paraId="4190538A" w14:textId="77777777" w:rsidTr="001E06A3">
        <w:tc>
          <w:tcPr>
            <w:tcW w:w="1172" w:type="dxa"/>
            <w:vAlign w:val="center"/>
          </w:tcPr>
          <w:p w14:paraId="527D977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22</w:t>
            </w:r>
          </w:p>
        </w:tc>
        <w:tc>
          <w:tcPr>
            <w:tcW w:w="7242" w:type="dxa"/>
            <w:vAlign w:val="center"/>
          </w:tcPr>
          <w:p w14:paraId="372907C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Iznos koji premašuje prag od 17,65 % (negativan iznos)</w:t>
            </w:r>
          </w:p>
          <w:p w14:paraId="3C1D0D3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Iznos koji premašuje prag od 17,65 % u skladu s člankom 48. stavkom 1. CRR-a (negativan iznos)</w:t>
            </w:r>
          </w:p>
        </w:tc>
      </w:tr>
      <w:tr w:rsidR="00CE019E" w:rsidRPr="007F4CC8" w14:paraId="5454A72E" w14:textId="77777777" w:rsidTr="001E06A3">
        <w:tc>
          <w:tcPr>
            <w:tcW w:w="1172" w:type="dxa"/>
            <w:vAlign w:val="center"/>
          </w:tcPr>
          <w:p w14:paraId="58E1B23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23</w:t>
            </w:r>
          </w:p>
        </w:tc>
        <w:tc>
          <w:tcPr>
            <w:tcW w:w="7242" w:type="dxa"/>
            <w:vAlign w:val="center"/>
          </w:tcPr>
          <w:p w14:paraId="657DF29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 čega: izravna, neizravna i sintetska ulaganja institucije u instrumente redovnog osnovnog kapitala subjekata financijskog sektora ako institucija u tim subjektima ima značajno ulaganje</w:t>
            </w:r>
          </w:p>
          <w:p w14:paraId="2BCF8CA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 iznosa u retku 22 ovog obrasca, iznos izravnih, neizravnih i sintetskih ulaganja institucije u instrumente redovnog osnovnog kapitala subjekata financijskog sektora ako institucija u tim subjektima ima značajno ulaganje, kako je opisano u članku 36. stavku 1. točki (i) i članku 48. stavku 1. točki (b) CRR-a</w:t>
            </w:r>
          </w:p>
        </w:tc>
      </w:tr>
      <w:tr w:rsidR="00CE019E" w:rsidRPr="007F4CC8" w14:paraId="37E0B534" w14:textId="77777777" w:rsidTr="001E06A3">
        <w:tc>
          <w:tcPr>
            <w:tcW w:w="1172" w:type="dxa"/>
            <w:vAlign w:val="center"/>
          </w:tcPr>
          <w:p w14:paraId="4E9E83D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24</w:t>
            </w:r>
          </w:p>
        </w:tc>
        <w:tc>
          <w:tcPr>
            <w:tcW w:w="7242" w:type="dxa"/>
            <w:vAlign w:val="center"/>
          </w:tcPr>
          <w:p w14:paraId="32350A8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Nije primjenjivo</w:t>
            </w:r>
          </w:p>
        </w:tc>
      </w:tr>
      <w:tr w:rsidR="00CE019E" w:rsidRPr="007F4CC8" w14:paraId="02C25D3C" w14:textId="77777777" w:rsidTr="001E06A3">
        <w:tc>
          <w:tcPr>
            <w:tcW w:w="1172" w:type="dxa"/>
            <w:vAlign w:val="center"/>
          </w:tcPr>
          <w:p w14:paraId="42946A8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25</w:t>
            </w:r>
          </w:p>
        </w:tc>
        <w:tc>
          <w:tcPr>
            <w:tcW w:w="7242" w:type="dxa"/>
            <w:vAlign w:val="center"/>
          </w:tcPr>
          <w:p w14:paraId="52C7805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 čega: odgođena porezna imovina koja proizlazi iz privremenih razlika</w:t>
            </w:r>
          </w:p>
          <w:p w14:paraId="4A92F4B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 iznosa u retku 22 ovog obrasca, iznos odgođene porezne imovine koja proizlazi iz privremenih razlika, kako je opisano u članku 36. stavku 1. točki (c), članku 38. i članku 48. stavku 1. točki (a) CRR-a</w:t>
            </w:r>
          </w:p>
        </w:tc>
      </w:tr>
      <w:tr w:rsidR="00CE019E" w:rsidRPr="007F4CC8" w14:paraId="3361CDFE" w14:textId="77777777" w:rsidTr="001E06A3">
        <w:tc>
          <w:tcPr>
            <w:tcW w:w="1172" w:type="dxa"/>
            <w:vAlign w:val="center"/>
          </w:tcPr>
          <w:p w14:paraId="757F70F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EU-25a</w:t>
            </w:r>
          </w:p>
        </w:tc>
        <w:tc>
          <w:tcPr>
            <w:tcW w:w="7242" w:type="dxa"/>
            <w:vAlign w:val="center"/>
          </w:tcPr>
          <w:p w14:paraId="351E312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Gubici tekuće financijske godine (negativan iznos)</w:t>
            </w:r>
          </w:p>
          <w:p w14:paraId="6250087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Gubici tekuće financijske godine u skladu s člankom 36. stavkom 1. točkom (a) CRR-a (negativan iznos)</w:t>
            </w:r>
          </w:p>
        </w:tc>
      </w:tr>
      <w:tr w:rsidR="00CE019E" w:rsidRPr="007F4CC8" w14:paraId="6C918BDD" w14:textId="77777777" w:rsidTr="001E06A3">
        <w:tc>
          <w:tcPr>
            <w:tcW w:w="1172" w:type="dxa"/>
            <w:vAlign w:val="center"/>
          </w:tcPr>
          <w:p w14:paraId="4A28606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EU-25b</w:t>
            </w:r>
          </w:p>
        </w:tc>
        <w:tc>
          <w:tcPr>
            <w:tcW w:w="7242" w:type="dxa"/>
            <w:vAlign w:val="center"/>
          </w:tcPr>
          <w:p w14:paraId="0A07A5D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Predvidivi porezni troškovi povezani sa stavkama dodatnog osnovnog kapitala ako institucija na odgovarajući način uskladi iznos stavki dodatnog osnovnog kapitala u onoj mjeri u kojoj takvi porezni troškovi umanjuju iznos do kojeg se te stavke mogu koristiti za pokrivanje rizika ili gubitaka (negativan iznos)</w:t>
            </w:r>
          </w:p>
          <w:p w14:paraId="6272E39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Iznos predvidivih poreznih troškova povezanih sa stavkama dodatnog osnovnog kapitala koji se može predvidjeti u trenutku njihova izračun, osim ako institucija na odgovarajući način uskladi iznos stavki dodatnog </w:t>
            </w:r>
            <w:r>
              <w:rPr>
                <w:rFonts w:ascii="Times New Roman" w:hAnsi="Times New Roman"/>
                <w:sz w:val="24"/>
              </w:rPr>
              <w:lastRenderedPageBreak/>
              <w:t>osnovnog kapitala u onoj mjeri u kojoj takvi porezni troškovi umanjuju iznos do kojeg se te stavke mogu koristiti za pokrivanje rizika ili gubitaka, u skladu s člankom 36. stavkom 1. točkom (l) CRR-a (negativan iznos)</w:t>
            </w:r>
          </w:p>
        </w:tc>
      </w:tr>
      <w:tr w:rsidR="00CE019E" w:rsidRPr="007F4CC8" w14:paraId="05752064" w14:textId="77777777" w:rsidTr="001E06A3">
        <w:tc>
          <w:tcPr>
            <w:tcW w:w="1172" w:type="dxa"/>
            <w:vAlign w:val="center"/>
          </w:tcPr>
          <w:p w14:paraId="26AF9B1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26</w:t>
            </w:r>
          </w:p>
        </w:tc>
        <w:tc>
          <w:tcPr>
            <w:tcW w:w="7242" w:type="dxa"/>
            <w:vAlign w:val="center"/>
          </w:tcPr>
          <w:p w14:paraId="39DD9A4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Nije primjenjivo</w:t>
            </w:r>
          </w:p>
        </w:tc>
      </w:tr>
      <w:tr w:rsidR="00CE019E" w:rsidRPr="007F4CC8" w14:paraId="76AE376A" w14:textId="77777777" w:rsidTr="001E06A3">
        <w:tc>
          <w:tcPr>
            <w:tcW w:w="1172" w:type="dxa"/>
            <w:vAlign w:val="center"/>
          </w:tcPr>
          <w:p w14:paraId="79685A7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27</w:t>
            </w:r>
          </w:p>
        </w:tc>
        <w:tc>
          <w:tcPr>
            <w:tcW w:w="7242" w:type="dxa"/>
            <w:vAlign w:val="center"/>
          </w:tcPr>
          <w:p w14:paraId="336291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Kvalificirani odbici od dodatnog osnovnog kapitala koji premašuju stavke dodatnog osnovnog kapitala institucije (negativan iznos)</w:t>
            </w:r>
          </w:p>
          <w:p w14:paraId="676708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Kvalificirani odbici od dodatnog osnovnog kapitala koji premašuju stavke dodatnog osnovnog kapitala institucije, kako je opisano u članku 36. stavku 1. točki (j) CRR-a (negativan iznos)</w:t>
            </w:r>
          </w:p>
        </w:tc>
      </w:tr>
      <w:tr w:rsidR="00CE019E" w:rsidRPr="007F4CC8" w14:paraId="7617A046" w14:textId="77777777" w:rsidTr="001E06A3">
        <w:tc>
          <w:tcPr>
            <w:tcW w:w="1172" w:type="dxa"/>
            <w:vAlign w:val="center"/>
          </w:tcPr>
          <w:p w14:paraId="1490CE4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EU-27a</w:t>
            </w:r>
          </w:p>
        </w:tc>
        <w:tc>
          <w:tcPr>
            <w:tcW w:w="7242" w:type="dxa"/>
            <w:vAlign w:val="center"/>
          </w:tcPr>
          <w:p w14:paraId="12463B8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Ostala regulatorna usklađenja</w:t>
            </w:r>
          </w:p>
          <w:p w14:paraId="2B65A92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Institucije u ovom retku objavljuju svako primjenjivo regulatorno usklađenje, koje je iskazano za potrebe nadzornog izvješćivanja, ali nije uključeno ni u jedan drugi redak ovog obrasca, uključujući iznos usklađenja zbog prelaska na primjenu MSFI-ja 9, ako je relevantno i do isteka prijelaznog razdoblja</w:t>
            </w:r>
          </w:p>
        </w:tc>
      </w:tr>
      <w:tr w:rsidR="00CE019E" w:rsidRPr="007F4CC8" w14:paraId="3041F543" w14:textId="77777777" w:rsidTr="001E06A3">
        <w:tc>
          <w:tcPr>
            <w:tcW w:w="1172" w:type="dxa"/>
            <w:vAlign w:val="center"/>
          </w:tcPr>
          <w:p w14:paraId="036C8C7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28</w:t>
            </w:r>
          </w:p>
        </w:tc>
        <w:tc>
          <w:tcPr>
            <w:tcW w:w="7242" w:type="dxa"/>
            <w:vAlign w:val="center"/>
          </w:tcPr>
          <w:p w14:paraId="7655DF4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Ukupna regulatorna usklađenja redovnog osnovnog kapitala</w:t>
            </w:r>
          </w:p>
          <w:p w14:paraId="5763F1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Izračunavaju se kao zbroj iznosa iz redaka od 7 do EU-20a, 21, 22 i od EU-25a do EU-27a ovog obrasca</w:t>
            </w:r>
          </w:p>
        </w:tc>
      </w:tr>
      <w:tr w:rsidR="00CE019E" w:rsidRPr="007F4CC8" w14:paraId="47E67939" w14:textId="77777777" w:rsidTr="001E06A3">
        <w:tc>
          <w:tcPr>
            <w:tcW w:w="1172" w:type="dxa"/>
            <w:vAlign w:val="center"/>
          </w:tcPr>
          <w:p w14:paraId="6D6AE69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29</w:t>
            </w:r>
          </w:p>
        </w:tc>
        <w:tc>
          <w:tcPr>
            <w:tcW w:w="7242" w:type="dxa"/>
            <w:vAlign w:val="center"/>
          </w:tcPr>
          <w:p w14:paraId="391D84E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Redovni osnovni kapital</w:t>
            </w:r>
          </w:p>
          <w:p w14:paraId="3C814FFD"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Izračunava se tako da se od retka 6 oduzme redak 28 ovog obrasca</w:t>
            </w:r>
          </w:p>
        </w:tc>
      </w:tr>
      <w:tr w:rsidR="00CE019E" w:rsidRPr="007F4CC8" w14:paraId="20040471" w14:textId="77777777" w:rsidTr="001E06A3">
        <w:tc>
          <w:tcPr>
            <w:tcW w:w="1172" w:type="dxa"/>
            <w:vAlign w:val="center"/>
          </w:tcPr>
          <w:p w14:paraId="6FC5512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30</w:t>
            </w:r>
          </w:p>
        </w:tc>
        <w:tc>
          <w:tcPr>
            <w:tcW w:w="7242" w:type="dxa"/>
            <w:vAlign w:val="center"/>
          </w:tcPr>
          <w:p w14:paraId="7FC7300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Instrumenti kapitala i povezani računi premija na dionice</w:t>
            </w:r>
          </w:p>
          <w:p w14:paraId="1789E43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Instrumenti kapitala i povezani računi premija na dionice u skladu s člancima 51 i 52. CRR-a</w:t>
            </w:r>
          </w:p>
        </w:tc>
      </w:tr>
      <w:tr w:rsidR="00CE019E" w:rsidRPr="007F4CC8" w14:paraId="5E546FAF" w14:textId="77777777" w:rsidTr="001E06A3">
        <w:tc>
          <w:tcPr>
            <w:tcW w:w="1172" w:type="dxa"/>
            <w:vAlign w:val="center"/>
          </w:tcPr>
          <w:p w14:paraId="552B385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31</w:t>
            </w:r>
          </w:p>
        </w:tc>
        <w:tc>
          <w:tcPr>
            <w:tcW w:w="7242" w:type="dxa"/>
            <w:vAlign w:val="center"/>
          </w:tcPr>
          <w:p w14:paraId="761C706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 čega: klasificirani kao kapital u skladu s primjenjivim računovodstvenim standardima</w:t>
            </w:r>
          </w:p>
          <w:p w14:paraId="3C10748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Iznos u retku 30 ovog obrasca klasificiran kao kapital u skladu s primjenjivim računovodstvenim standardima</w:t>
            </w:r>
          </w:p>
        </w:tc>
      </w:tr>
      <w:tr w:rsidR="00CE019E" w:rsidRPr="007F4CC8" w14:paraId="418A53CD" w14:textId="77777777" w:rsidTr="001E06A3">
        <w:tc>
          <w:tcPr>
            <w:tcW w:w="1172" w:type="dxa"/>
            <w:vAlign w:val="center"/>
          </w:tcPr>
          <w:p w14:paraId="684D6F5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32</w:t>
            </w:r>
          </w:p>
        </w:tc>
        <w:tc>
          <w:tcPr>
            <w:tcW w:w="7242" w:type="dxa"/>
            <w:vAlign w:val="center"/>
          </w:tcPr>
          <w:p w14:paraId="7DB4D2C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 čega: klasificirani kao obveze u skladu s primjenjivim računovodstvenim standardom</w:t>
            </w:r>
          </w:p>
          <w:p w14:paraId="1D0771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Iznos u retku 30 ovog obrasca klasificiran kao obveze u skladu s primjenjivim računovodstvenim standardima</w:t>
            </w:r>
          </w:p>
        </w:tc>
      </w:tr>
      <w:tr w:rsidR="00CE019E" w:rsidRPr="007F4CC8" w14:paraId="5E308BE5" w14:textId="77777777" w:rsidTr="001E06A3">
        <w:tc>
          <w:tcPr>
            <w:tcW w:w="1172" w:type="dxa"/>
            <w:vAlign w:val="center"/>
          </w:tcPr>
          <w:p w14:paraId="72BDAE2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33</w:t>
            </w:r>
          </w:p>
        </w:tc>
        <w:tc>
          <w:tcPr>
            <w:tcW w:w="7242" w:type="dxa"/>
            <w:vAlign w:val="center"/>
          </w:tcPr>
          <w:p w14:paraId="71CEB70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Iznos stavki koje ispunjavaju uvjete iz članka 484. stavka 4. CRR-a i povezani računi premija na dionice koji se postupno isključuju iz redovnog osnovnog kapitala</w:t>
            </w:r>
          </w:p>
          <w:p w14:paraId="224F7B0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Iznos stavki koje ispunjavaju uvjete iz članka 484. stavka 4. CRR-a i povezani računi premija na dionice koji se postupno isključuju iz dopunskog kapitala u skladu s člankom 486. stavkom 3. CRR-a</w:t>
            </w:r>
          </w:p>
        </w:tc>
      </w:tr>
      <w:tr w:rsidR="00CE019E" w:rsidRPr="007F4CC8" w14:paraId="7454719D" w14:textId="77777777" w:rsidTr="001E06A3">
        <w:tc>
          <w:tcPr>
            <w:tcW w:w="1172" w:type="dxa"/>
            <w:vAlign w:val="center"/>
          </w:tcPr>
          <w:p w14:paraId="0773B8C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EU-33a</w:t>
            </w:r>
          </w:p>
        </w:tc>
        <w:tc>
          <w:tcPr>
            <w:tcW w:w="7242" w:type="dxa"/>
            <w:vAlign w:val="center"/>
          </w:tcPr>
          <w:p w14:paraId="7D850D1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Iznos stavki koje ispunjavaju uvjete iz članka 494.a stavka 1. CRR-a koje se postupno isključuju iz redovnog osnovnog kapitala</w:t>
            </w:r>
          </w:p>
        </w:tc>
      </w:tr>
      <w:tr w:rsidR="00CE019E" w:rsidRPr="007F4CC8" w14:paraId="60FF6EA1" w14:textId="77777777" w:rsidTr="001E06A3">
        <w:tc>
          <w:tcPr>
            <w:tcW w:w="1172" w:type="dxa"/>
            <w:vAlign w:val="center"/>
          </w:tcPr>
          <w:p w14:paraId="669785D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EU-33b</w:t>
            </w:r>
          </w:p>
        </w:tc>
        <w:tc>
          <w:tcPr>
            <w:tcW w:w="7242" w:type="dxa"/>
            <w:vAlign w:val="center"/>
          </w:tcPr>
          <w:p w14:paraId="5DF6D2B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Iznos stavki koje ispunjavaju uvjete iz članka 494.b stavka 1. CRR-a koje se postupno isključuju iz redovnog osnovnog kapitala</w:t>
            </w:r>
          </w:p>
        </w:tc>
      </w:tr>
      <w:tr w:rsidR="00CE019E" w:rsidRPr="007F4CC8" w14:paraId="71993773" w14:textId="77777777" w:rsidTr="001E06A3">
        <w:tc>
          <w:tcPr>
            <w:tcW w:w="1172" w:type="dxa"/>
            <w:vAlign w:val="center"/>
          </w:tcPr>
          <w:p w14:paraId="42440BC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34</w:t>
            </w:r>
          </w:p>
        </w:tc>
        <w:tc>
          <w:tcPr>
            <w:tcW w:w="7242" w:type="dxa"/>
            <w:vAlign w:val="center"/>
          </w:tcPr>
          <w:p w14:paraId="4783A8D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Kvalificirani osnovni kapital uključen u konsolidirani dodatni osnovni kapital (uključujući manjinske udjele koji nisu navedeni u retku 5) u izdanju društava kćeri koji drže treće strane</w:t>
            </w:r>
          </w:p>
          <w:p w14:paraId="20F1A6D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Kvalificirani osnovni kapital uključen u konsolidirani dodatni osnovni kapital (uključujući manjinske udjele koji nisu navedeni u retku 5 ovog obrasca) u izdanju društava kćeri koji drže treće strane, kako je opisano u člancima 85. i 86. CRR-a</w:t>
            </w:r>
          </w:p>
        </w:tc>
      </w:tr>
      <w:tr w:rsidR="00CE019E" w:rsidRPr="007F4CC8" w14:paraId="1D5C740C" w14:textId="77777777" w:rsidTr="001E06A3">
        <w:tc>
          <w:tcPr>
            <w:tcW w:w="1172" w:type="dxa"/>
            <w:vAlign w:val="center"/>
          </w:tcPr>
          <w:p w14:paraId="1DF1385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35</w:t>
            </w:r>
          </w:p>
        </w:tc>
        <w:tc>
          <w:tcPr>
            <w:tcW w:w="7242" w:type="dxa"/>
            <w:vAlign w:val="center"/>
          </w:tcPr>
          <w:p w14:paraId="4A0ACA9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 čega: instrumenti u izdanju društava kćeri koji se postupno ukidaju</w:t>
            </w:r>
          </w:p>
          <w:p w14:paraId="1B0B58D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Iznos u retku 34 ovog obrasca koji se odnosi na instrumente u izdanju društava kćeri koji se postupno ukidaju, kako je opisano u članku 486. stavku 3. CRR-a</w:t>
            </w:r>
          </w:p>
        </w:tc>
      </w:tr>
      <w:tr w:rsidR="00CE019E" w:rsidRPr="007F4CC8" w14:paraId="3162EDB6" w14:textId="77777777" w:rsidTr="001E06A3">
        <w:tc>
          <w:tcPr>
            <w:tcW w:w="1172" w:type="dxa"/>
            <w:vAlign w:val="center"/>
          </w:tcPr>
          <w:p w14:paraId="7EDCA37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36</w:t>
            </w:r>
          </w:p>
        </w:tc>
        <w:tc>
          <w:tcPr>
            <w:tcW w:w="7242" w:type="dxa"/>
            <w:vAlign w:val="center"/>
          </w:tcPr>
          <w:p w14:paraId="7177BB0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Redovni osnovni kapital (AT1) prije regulatornih usklađenja</w:t>
            </w:r>
          </w:p>
          <w:p w14:paraId="19501C8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Zbroj iznosa iz redaka 30, 33, EU-33a, EU-33b i 34 ovog obrasca</w:t>
            </w:r>
          </w:p>
        </w:tc>
      </w:tr>
      <w:tr w:rsidR="00CE019E" w:rsidRPr="007F4CC8" w14:paraId="6151619E" w14:textId="77777777" w:rsidTr="001E06A3">
        <w:tc>
          <w:tcPr>
            <w:tcW w:w="1172" w:type="dxa"/>
            <w:vAlign w:val="center"/>
          </w:tcPr>
          <w:p w14:paraId="3B463F5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37</w:t>
            </w:r>
          </w:p>
        </w:tc>
        <w:tc>
          <w:tcPr>
            <w:tcW w:w="7242" w:type="dxa"/>
            <w:vAlign w:val="center"/>
          </w:tcPr>
          <w:p w14:paraId="10F835B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Izravna, neizravna i sintetska ulaganja institucije u vlastite instrumente dodatnog osnovnog kapitala (negativan iznos)</w:t>
            </w:r>
          </w:p>
          <w:p w14:paraId="1D304EF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Izravna, neizravna i sintetska ulaganja institucije u vlastite instrumente dodatnog osnovnog kapitala, kako je opisano u članku 52. stavku 1. točki (b), članku 56. točki (a) i članku 57. CRR-a (negativan iznos)</w:t>
            </w:r>
          </w:p>
        </w:tc>
      </w:tr>
      <w:tr w:rsidR="00CE019E" w:rsidRPr="007F4CC8" w14:paraId="05FADEF9" w14:textId="77777777" w:rsidTr="001E06A3">
        <w:tc>
          <w:tcPr>
            <w:tcW w:w="1172" w:type="dxa"/>
            <w:vAlign w:val="center"/>
          </w:tcPr>
          <w:p w14:paraId="0A1AE41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38</w:t>
            </w:r>
          </w:p>
        </w:tc>
        <w:tc>
          <w:tcPr>
            <w:tcW w:w="7242" w:type="dxa"/>
            <w:vAlign w:val="center"/>
          </w:tcPr>
          <w:p w14:paraId="44ACD2D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Izravna, neizravna i sintetska ulaganja u instrumente dodatnog osnovnog kapitala subjekata financijskog sektora ako ti subjekti imaju s institucijom recipročno međusobno ulaganje čiji je cilj umjetno povećati regulatorni kapital institucije (negativan iznos)</w:t>
            </w:r>
          </w:p>
          <w:p w14:paraId="3522754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Izravna, neizravna i sintetska ulaganja u instrumente dodatnog osnovnog kapitala subjekata financijskog sektora ako ti subjekti imaju s institucijom recipročno međusobno ulaganje čiji je cilj umjetno povećati regulatorni kapital institucije kako je opisano u članku 56. točki (b) i članku 58. CRR-a (negativan iznos)</w:t>
            </w:r>
          </w:p>
        </w:tc>
      </w:tr>
      <w:tr w:rsidR="00CE019E" w:rsidRPr="007F4CC8" w14:paraId="71372DE0" w14:textId="77777777" w:rsidTr="001E06A3">
        <w:tc>
          <w:tcPr>
            <w:tcW w:w="1172" w:type="dxa"/>
            <w:vAlign w:val="center"/>
          </w:tcPr>
          <w:p w14:paraId="04489B5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39</w:t>
            </w:r>
          </w:p>
        </w:tc>
        <w:tc>
          <w:tcPr>
            <w:tcW w:w="7242" w:type="dxa"/>
            <w:vAlign w:val="center"/>
          </w:tcPr>
          <w:p w14:paraId="707B80B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Izravna, neizravna i sintetska ulaganja u instrumente dodatnog osnovnog kapitala subjekata financijskog sektora ako institucija nema značajno ulaganje u te subjekte (iznos iznad praga od 10 % i umanjeno za prihvatljive kratke pozicije) (negativan iznos)</w:t>
            </w:r>
          </w:p>
          <w:p w14:paraId="4D05C3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Izravna, neizravna i sintetska ulaganja u instrumente dodatnog osnovnog kapitala subjekata financijskog sektora ako institucija nema značajno ulaganje u te subjekte (iznos iznad praga od 10 % i umanjeno za prihvatljive kratke pozicije), kako je opisano u članku 56. točki (c) i člancima 59., 60. i 79. CRR-a (negativan iznos)</w:t>
            </w:r>
          </w:p>
        </w:tc>
      </w:tr>
      <w:tr w:rsidR="00CE019E" w:rsidRPr="007F4CC8" w14:paraId="1BB78966" w14:textId="77777777" w:rsidTr="001E06A3">
        <w:tc>
          <w:tcPr>
            <w:tcW w:w="1172" w:type="dxa"/>
            <w:vAlign w:val="center"/>
          </w:tcPr>
          <w:p w14:paraId="6CE7E69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40</w:t>
            </w:r>
          </w:p>
        </w:tc>
        <w:tc>
          <w:tcPr>
            <w:tcW w:w="7242" w:type="dxa"/>
            <w:vAlign w:val="center"/>
          </w:tcPr>
          <w:p w14:paraId="1786A87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Izravna, neizravna i sintetska ulaganja institucije u instrumente dodatnog osnovnog kapitala subjekata financijskog sektora ako institucija ima značajno ulaganje u te subjekte (umanjeno za prihvatljive kratke pozicije) (negativan iznos)</w:t>
            </w:r>
          </w:p>
          <w:p w14:paraId="23F8D2B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Izravna, neizravna i sintetska ulaganja institucije u instrumente dodatnog osnovnog kapitala subjekata financijskog sektora ako institucija ima značajno ulaganje u te subjekte (umanjeno za prihvatljive kratke pozicije), kako je opisano u članku 56. točki (d) i člancima 59. i 79. CRR-a (negativan iznos)</w:t>
            </w:r>
          </w:p>
        </w:tc>
      </w:tr>
      <w:tr w:rsidR="00CE019E" w:rsidRPr="007F4CC8" w14:paraId="2816C5B2" w14:textId="77777777" w:rsidTr="001E06A3">
        <w:tc>
          <w:tcPr>
            <w:tcW w:w="1172" w:type="dxa"/>
            <w:vAlign w:val="center"/>
          </w:tcPr>
          <w:p w14:paraId="6B1ED14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41</w:t>
            </w:r>
          </w:p>
        </w:tc>
        <w:tc>
          <w:tcPr>
            <w:tcW w:w="7242" w:type="dxa"/>
            <w:vAlign w:val="center"/>
          </w:tcPr>
          <w:p w14:paraId="184EF4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Nije primjenjivo</w:t>
            </w:r>
          </w:p>
        </w:tc>
      </w:tr>
      <w:tr w:rsidR="00CE019E" w:rsidRPr="007F4CC8" w14:paraId="01C00EF8" w14:textId="77777777" w:rsidTr="001E06A3">
        <w:tc>
          <w:tcPr>
            <w:tcW w:w="1172" w:type="dxa"/>
            <w:vAlign w:val="center"/>
          </w:tcPr>
          <w:p w14:paraId="0CAB0DD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42</w:t>
            </w:r>
          </w:p>
        </w:tc>
        <w:tc>
          <w:tcPr>
            <w:tcW w:w="7242" w:type="dxa"/>
            <w:vAlign w:val="center"/>
          </w:tcPr>
          <w:p w14:paraId="193EB23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Kvalificirani odbici od dopunskog kapitala koji premašuju stavke dopunskog kapitala institucije (negativan iznos)</w:t>
            </w:r>
          </w:p>
          <w:p w14:paraId="1547E24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Kvalificirani odbici od dopunskog kapitala koji premašuju stavke dopunskog kapitala institucije, kako je opisano u članku 56. točki (e) CRR-a (negativan iznos)</w:t>
            </w:r>
          </w:p>
        </w:tc>
      </w:tr>
      <w:tr w:rsidR="00CE019E" w:rsidRPr="007F4CC8" w14:paraId="4A463F47" w14:textId="77777777" w:rsidTr="001E06A3">
        <w:tc>
          <w:tcPr>
            <w:tcW w:w="1172" w:type="dxa"/>
            <w:vAlign w:val="center"/>
          </w:tcPr>
          <w:p w14:paraId="400ADF6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EU-42a</w:t>
            </w:r>
          </w:p>
        </w:tc>
        <w:tc>
          <w:tcPr>
            <w:tcW w:w="7242" w:type="dxa"/>
            <w:vAlign w:val="center"/>
          </w:tcPr>
          <w:p w14:paraId="7C29BC8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Ostala regulatorna usklađenja dodatnog osnovnog kapitala</w:t>
            </w:r>
          </w:p>
          <w:p w14:paraId="683166E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Institucije u ovom retku objavljuju svako primjenjivo regulatorno usklađenje, koje je iskazano za potrebe nadzornog izvješćivanja, ali nije uključeno ni u jedan drugi redak ovog obrasca</w:t>
            </w:r>
          </w:p>
        </w:tc>
      </w:tr>
      <w:tr w:rsidR="00CE019E" w:rsidRPr="007F4CC8" w14:paraId="20CA95B7" w14:textId="77777777" w:rsidTr="001E06A3">
        <w:tc>
          <w:tcPr>
            <w:tcW w:w="1172" w:type="dxa"/>
            <w:vAlign w:val="center"/>
          </w:tcPr>
          <w:p w14:paraId="03F674F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43</w:t>
            </w:r>
          </w:p>
        </w:tc>
        <w:tc>
          <w:tcPr>
            <w:tcW w:w="7242" w:type="dxa"/>
            <w:vAlign w:val="center"/>
          </w:tcPr>
          <w:p w14:paraId="20F0F57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Ukupna regulatorna usklađenja dodatnog osnovnog kapitala (AT1)</w:t>
            </w:r>
          </w:p>
          <w:p w14:paraId="57061E7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Zbroj iznosa iz redaka od 37 do EU-42a ovog obrasca</w:t>
            </w:r>
          </w:p>
        </w:tc>
      </w:tr>
      <w:tr w:rsidR="00CE019E" w:rsidRPr="007F4CC8" w14:paraId="6D9026DA" w14:textId="77777777" w:rsidTr="001E06A3">
        <w:tc>
          <w:tcPr>
            <w:tcW w:w="1172" w:type="dxa"/>
            <w:vAlign w:val="center"/>
          </w:tcPr>
          <w:p w14:paraId="16DE5DF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44</w:t>
            </w:r>
          </w:p>
        </w:tc>
        <w:tc>
          <w:tcPr>
            <w:tcW w:w="7242" w:type="dxa"/>
            <w:vAlign w:val="center"/>
          </w:tcPr>
          <w:p w14:paraId="6BC736A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Dodatni osnovni kapital (AT1)</w:t>
            </w:r>
          </w:p>
          <w:p w14:paraId="548781EC"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Dodatni osnovni kapital izračunava se tako da se retka 36 oduzme redak 43 ovog obrasca</w:t>
            </w:r>
          </w:p>
        </w:tc>
      </w:tr>
      <w:tr w:rsidR="00CE019E" w:rsidRPr="007F4CC8" w14:paraId="5CF65986" w14:textId="77777777" w:rsidTr="001E06A3">
        <w:tc>
          <w:tcPr>
            <w:tcW w:w="1172" w:type="dxa"/>
            <w:vAlign w:val="center"/>
          </w:tcPr>
          <w:p w14:paraId="4E2F7D8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45</w:t>
            </w:r>
          </w:p>
        </w:tc>
        <w:tc>
          <w:tcPr>
            <w:tcW w:w="7242" w:type="dxa"/>
            <w:vAlign w:val="center"/>
          </w:tcPr>
          <w:p w14:paraId="0EEF28C4" w14:textId="77777777" w:rsidR="00CE019E" w:rsidRPr="00DD0C4D" w:rsidRDefault="00CE019E" w:rsidP="001E06A3">
            <w:pPr>
              <w:spacing w:after="200"/>
              <w:jc w:val="both"/>
              <w:rPr>
                <w:rFonts w:ascii="Times New Roman" w:hAnsi="Times New Roman" w:cs="Times New Roman"/>
                <w:sz w:val="24"/>
              </w:rPr>
            </w:pPr>
            <w:r>
              <w:rPr>
                <w:rFonts w:ascii="Times New Roman" w:hAnsi="Times New Roman"/>
                <w:sz w:val="24"/>
              </w:rPr>
              <w:t>Osnovni kapital (T1 = CET1 + AT1)</w:t>
            </w:r>
          </w:p>
          <w:p w14:paraId="07FBABB1"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Osnovni kapital, izračunava se tako da se zbroje redak 29 i redak 44 ovog obrasca</w:t>
            </w:r>
          </w:p>
        </w:tc>
      </w:tr>
      <w:tr w:rsidR="00CE019E" w:rsidRPr="007F4CC8" w14:paraId="09D623BA" w14:textId="77777777" w:rsidTr="001E06A3">
        <w:tc>
          <w:tcPr>
            <w:tcW w:w="1172" w:type="dxa"/>
            <w:vAlign w:val="center"/>
          </w:tcPr>
          <w:p w14:paraId="71D55AA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46</w:t>
            </w:r>
          </w:p>
        </w:tc>
        <w:tc>
          <w:tcPr>
            <w:tcW w:w="7242" w:type="dxa"/>
            <w:vAlign w:val="center"/>
          </w:tcPr>
          <w:p w14:paraId="21044F0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Instrumenti kapitala i povezani računi premija na dionice</w:t>
            </w:r>
          </w:p>
          <w:p w14:paraId="3D58919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Instrumenti kapitala i povezani računi premija na dionice, kako je opisano u člancima 62. i 63. CRR-a</w:t>
            </w:r>
          </w:p>
        </w:tc>
      </w:tr>
      <w:tr w:rsidR="00CE019E" w:rsidRPr="007F4CC8" w14:paraId="37487755" w14:textId="77777777" w:rsidTr="001E06A3">
        <w:tc>
          <w:tcPr>
            <w:tcW w:w="1172" w:type="dxa"/>
            <w:vAlign w:val="center"/>
          </w:tcPr>
          <w:p w14:paraId="7725503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47</w:t>
            </w:r>
          </w:p>
        </w:tc>
        <w:tc>
          <w:tcPr>
            <w:tcW w:w="7242" w:type="dxa"/>
            <w:vAlign w:val="center"/>
          </w:tcPr>
          <w:p w14:paraId="6D82356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Iznos stavki koje ispunjavaju uvjete iz članka 484. stavka 5. CRR-a i povezani računi premija na dionice koji se postupno isključuju iz dopunskog kapitala kako je opisano u članku 486. stavku 4. CRR-a</w:t>
            </w:r>
          </w:p>
        </w:tc>
      </w:tr>
      <w:tr w:rsidR="00CE019E" w:rsidRPr="007F4CC8" w14:paraId="0C722A7C" w14:textId="77777777" w:rsidTr="001E06A3">
        <w:tc>
          <w:tcPr>
            <w:tcW w:w="1172" w:type="dxa"/>
            <w:vAlign w:val="center"/>
          </w:tcPr>
          <w:p w14:paraId="7216BE8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EU-47a</w:t>
            </w:r>
          </w:p>
        </w:tc>
        <w:tc>
          <w:tcPr>
            <w:tcW w:w="7242" w:type="dxa"/>
            <w:vAlign w:val="center"/>
          </w:tcPr>
          <w:p w14:paraId="6D98729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Iznos stavki koje ispunjavaju uvjete iz članka 494.a stavka 2. CRR-a koje se postupno isključuju iz dopunskog kapitala</w:t>
            </w:r>
          </w:p>
        </w:tc>
      </w:tr>
      <w:tr w:rsidR="00CE019E" w:rsidRPr="007F4CC8" w14:paraId="102B5E99" w14:textId="77777777" w:rsidTr="001E06A3">
        <w:tc>
          <w:tcPr>
            <w:tcW w:w="1172" w:type="dxa"/>
            <w:vAlign w:val="center"/>
          </w:tcPr>
          <w:p w14:paraId="12D4A01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EU-47b</w:t>
            </w:r>
          </w:p>
        </w:tc>
        <w:tc>
          <w:tcPr>
            <w:tcW w:w="7242" w:type="dxa"/>
            <w:vAlign w:val="center"/>
          </w:tcPr>
          <w:p w14:paraId="020EE31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Iznos stavki koje ispunjavaju uvjete iz članka 494.b stavka 2. CRR-a koje se postupno isključuju iz dopunskog kapitala</w:t>
            </w:r>
          </w:p>
        </w:tc>
      </w:tr>
      <w:tr w:rsidR="00CE019E" w:rsidRPr="007F4CC8" w14:paraId="288E57FE" w14:textId="77777777" w:rsidTr="001E06A3">
        <w:tc>
          <w:tcPr>
            <w:tcW w:w="1172" w:type="dxa"/>
            <w:vAlign w:val="center"/>
          </w:tcPr>
          <w:p w14:paraId="6AD8DA9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48</w:t>
            </w:r>
          </w:p>
        </w:tc>
        <w:tc>
          <w:tcPr>
            <w:tcW w:w="7242" w:type="dxa"/>
            <w:vAlign w:val="center"/>
          </w:tcPr>
          <w:p w14:paraId="1C47B15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Kvalificirani instrumenti regulatornog kapitala uključeni u konsolidirani dopunski kapital (uključujući manjinske udjele i instrumente dodatnog osnovnog kapitala koji nisu navedeni u retku 5 ili retku 34) u izdanju društava kćeri koje drže treće strane</w:t>
            </w:r>
          </w:p>
          <w:p w14:paraId="056C589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Kvalificirani instrumenti regulatornog kapitala uključeni u konsolidirani dopunski kapital (uključujući manjinske udjele i instrumente dodatnog osnovnog kapitala koji nisu navedeni u retku 5 ili retku 34 ovog obrasca) u izdanju društava kćeri koje drže treće strane, kako je opisano u člancima 87. i 88. CRR-a</w:t>
            </w:r>
          </w:p>
        </w:tc>
      </w:tr>
      <w:tr w:rsidR="00CE019E" w:rsidRPr="007F4CC8" w14:paraId="235064CD" w14:textId="77777777" w:rsidTr="001E06A3">
        <w:tc>
          <w:tcPr>
            <w:tcW w:w="1172" w:type="dxa"/>
            <w:vAlign w:val="center"/>
          </w:tcPr>
          <w:p w14:paraId="77D2704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49</w:t>
            </w:r>
          </w:p>
        </w:tc>
        <w:tc>
          <w:tcPr>
            <w:tcW w:w="7242" w:type="dxa"/>
            <w:vAlign w:val="center"/>
          </w:tcPr>
          <w:p w14:paraId="5F2A5F2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 čega: instrumenti u izdanju društava kćeri koji se postupno ukidaju</w:t>
            </w:r>
          </w:p>
          <w:p w14:paraId="77917C0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 iznosa u retku 48 ovog obrasca, iznos koji se odnosi na instrumente u izdanju društava kćeri koji se postupno ukidaju, kako je opisano u članku 486. stavku 4. CRR-a</w:t>
            </w:r>
          </w:p>
        </w:tc>
      </w:tr>
      <w:tr w:rsidR="00CE019E" w:rsidRPr="007F4CC8" w14:paraId="5C5BE391" w14:textId="77777777" w:rsidTr="001E06A3">
        <w:tc>
          <w:tcPr>
            <w:tcW w:w="1172" w:type="dxa"/>
            <w:vAlign w:val="center"/>
          </w:tcPr>
          <w:p w14:paraId="5E37C5F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50</w:t>
            </w:r>
          </w:p>
        </w:tc>
        <w:tc>
          <w:tcPr>
            <w:tcW w:w="7242" w:type="dxa"/>
            <w:vAlign w:val="center"/>
          </w:tcPr>
          <w:p w14:paraId="1CB1949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Ispravci vrijednosti za kreditni rizik</w:t>
            </w:r>
          </w:p>
          <w:p w14:paraId="639EC0E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Ispravci vrijednosti za kreditni rizik u skladu s člankom 62. točkama (c) i (d) CRR-a</w:t>
            </w:r>
          </w:p>
        </w:tc>
      </w:tr>
      <w:tr w:rsidR="00CE019E" w:rsidRPr="007F4CC8" w14:paraId="2224F331" w14:textId="77777777" w:rsidTr="001E06A3">
        <w:tc>
          <w:tcPr>
            <w:tcW w:w="1172" w:type="dxa"/>
            <w:vAlign w:val="center"/>
          </w:tcPr>
          <w:p w14:paraId="4C36169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51</w:t>
            </w:r>
          </w:p>
        </w:tc>
        <w:tc>
          <w:tcPr>
            <w:tcW w:w="7242" w:type="dxa"/>
            <w:vAlign w:val="center"/>
          </w:tcPr>
          <w:p w14:paraId="520E05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Dopunski kapital (T2) prije regulatornih usklađenja</w:t>
            </w:r>
          </w:p>
          <w:p w14:paraId="7EF54354"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Zbroj iznosa iz redaka od 46 do 48 i retka 50 ovog obrasca</w:t>
            </w:r>
          </w:p>
        </w:tc>
      </w:tr>
      <w:tr w:rsidR="00CE019E" w:rsidRPr="007F4CC8" w14:paraId="13029399" w14:textId="77777777" w:rsidTr="001E06A3">
        <w:tc>
          <w:tcPr>
            <w:tcW w:w="1172" w:type="dxa"/>
            <w:vAlign w:val="center"/>
          </w:tcPr>
          <w:p w14:paraId="7E92541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52</w:t>
            </w:r>
          </w:p>
        </w:tc>
        <w:tc>
          <w:tcPr>
            <w:tcW w:w="7242" w:type="dxa"/>
            <w:vAlign w:val="center"/>
          </w:tcPr>
          <w:p w14:paraId="4EB03C5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Izravna, neizravna i sintetska ulaganja institucije u vlastite instrumente dopunskog kapitala i podređene kredite (negativan iznos)</w:t>
            </w:r>
          </w:p>
          <w:p w14:paraId="5A087F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Izravna, neizravna i sintetska ulaganja institucije u vlastite instrumente dopunskog kapitala i podređene kredite, kako je opisano u članku 63. točki (b) </w:t>
            </w:r>
            <w:proofErr w:type="spellStart"/>
            <w:r>
              <w:rPr>
                <w:rFonts w:ascii="Times New Roman" w:hAnsi="Times New Roman"/>
                <w:sz w:val="24"/>
              </w:rPr>
              <w:t>podtočki</w:t>
            </w:r>
            <w:proofErr w:type="spellEnd"/>
            <w:r>
              <w:rPr>
                <w:rFonts w:ascii="Times New Roman" w:hAnsi="Times New Roman"/>
                <w:sz w:val="24"/>
              </w:rPr>
              <w:t xml:space="preserve"> i., članku 66. točki (a) i članku 67. CRR-a (negativan iznos)</w:t>
            </w:r>
          </w:p>
        </w:tc>
      </w:tr>
      <w:tr w:rsidR="00CE019E" w:rsidRPr="007F4CC8" w14:paraId="00199234" w14:textId="77777777" w:rsidTr="001E06A3">
        <w:tc>
          <w:tcPr>
            <w:tcW w:w="1172" w:type="dxa"/>
            <w:vAlign w:val="center"/>
          </w:tcPr>
          <w:p w14:paraId="64E5104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53</w:t>
            </w:r>
          </w:p>
        </w:tc>
        <w:tc>
          <w:tcPr>
            <w:tcW w:w="7242" w:type="dxa"/>
            <w:vAlign w:val="center"/>
          </w:tcPr>
          <w:p w14:paraId="42AF2AE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Izravna, neizravna i sintetska ulaganja u instrumente dopunskog kapitala i podređene kredite subjekata financijskog sektora ako ti subjekti imaju s institucijom recipročno međusobno ulaganje čiji je cilj umjetno povećati regulatorni kapital institucije (negativan iznos)</w:t>
            </w:r>
          </w:p>
          <w:p w14:paraId="550D73A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Izravna, neizravna i sintetska ulaganja u instrumente dopunskog kapitala i podređene kredite subjekata financijskog sektora ako ti subjekti imaju s institucijom recipročno međusobno ulaganje čiji je cilj umjetno povećati </w:t>
            </w:r>
            <w:r>
              <w:rPr>
                <w:rFonts w:ascii="Times New Roman" w:hAnsi="Times New Roman"/>
                <w:sz w:val="24"/>
              </w:rPr>
              <w:lastRenderedPageBreak/>
              <w:t>regulatorni kapital institucije, kako je opisano u članku 66. točki (b) i članku 68. CRR-a (negativan iznos)</w:t>
            </w:r>
          </w:p>
        </w:tc>
      </w:tr>
      <w:tr w:rsidR="00CE019E" w:rsidRPr="007F4CC8" w14:paraId="7F83AD61" w14:textId="77777777" w:rsidTr="001E06A3">
        <w:tc>
          <w:tcPr>
            <w:tcW w:w="1172" w:type="dxa"/>
            <w:vAlign w:val="center"/>
          </w:tcPr>
          <w:p w14:paraId="700A768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54</w:t>
            </w:r>
          </w:p>
        </w:tc>
        <w:tc>
          <w:tcPr>
            <w:tcW w:w="7242" w:type="dxa"/>
            <w:vAlign w:val="center"/>
          </w:tcPr>
          <w:p w14:paraId="5C722E9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Izravna, neizravna i sintetska ulaganja u instrumente dopunskog kapitala i podređene kredite subjekata financijskog sektora ako institucija nema značajno ulaganje u te subjekte (iznos iznad praga od 10 % i umanjeno za prihvatljive kratke pozicije) (negativan iznos)</w:t>
            </w:r>
          </w:p>
          <w:p w14:paraId="2372A07D" w14:textId="7BD2769B"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Izravna, neizravna i sintetska ulaganja u instrumente dopunskog kapitala i podređene kredite subjekata financijskog sektora ako institucija nema značajno ulaganje u te subjekte (iznos iznad praga od 10 % i umanjeno za prihvatljive kratke pozicije), kako je opisano u članku 66. točki (c) i člancima 69., 70. i 79. CRR-a (negativan iznos)</w:t>
            </w:r>
          </w:p>
        </w:tc>
      </w:tr>
      <w:tr w:rsidR="00CE019E" w:rsidRPr="007F4CC8" w14:paraId="42CFC081" w14:textId="77777777" w:rsidTr="001E06A3">
        <w:tc>
          <w:tcPr>
            <w:tcW w:w="1172" w:type="dxa"/>
            <w:vAlign w:val="center"/>
          </w:tcPr>
          <w:p w14:paraId="799F577F"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54a</w:t>
            </w:r>
          </w:p>
        </w:tc>
        <w:tc>
          <w:tcPr>
            <w:tcW w:w="7242" w:type="dxa"/>
            <w:vAlign w:val="center"/>
          </w:tcPr>
          <w:p w14:paraId="70ECADA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Nije primjenjivo</w:t>
            </w:r>
          </w:p>
        </w:tc>
      </w:tr>
      <w:tr w:rsidR="00CE019E" w:rsidRPr="007F4CC8" w14:paraId="5D924935" w14:textId="77777777" w:rsidTr="001E06A3">
        <w:tc>
          <w:tcPr>
            <w:tcW w:w="1172" w:type="dxa"/>
            <w:vAlign w:val="center"/>
          </w:tcPr>
          <w:p w14:paraId="3718FC0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55</w:t>
            </w:r>
          </w:p>
        </w:tc>
        <w:tc>
          <w:tcPr>
            <w:tcW w:w="7242" w:type="dxa"/>
            <w:vAlign w:val="center"/>
          </w:tcPr>
          <w:p w14:paraId="5489EA0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Izravna, neizravna i sintetska ulaganja institucije u instrumente dopunskog kapitala i podređene kredite subjekata financijskog sektora ako institucija ima značajno ulaganje u te subjekte (umanjeno za prihvatljive kratke pozicije) (negativan iznos)</w:t>
            </w:r>
          </w:p>
          <w:p w14:paraId="49E47CBD" w14:textId="2151A0D5"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Izravna, neizravna i sintetska ulaganja institucije u instrumente dopunskog kapitala i podređene kredite subjekata financijskog sektora ako institucija ima značajno ulaganje u te subjekte (umanjeno za prihvatljive kratke pozicije) u skladu s člankom 66. točkom (d) i člancima 69. i 79. CRR-a (negativan iznos)</w:t>
            </w:r>
          </w:p>
        </w:tc>
      </w:tr>
      <w:tr w:rsidR="00CE019E" w:rsidRPr="007F4CC8" w14:paraId="57263351" w14:textId="77777777" w:rsidTr="001E06A3">
        <w:tc>
          <w:tcPr>
            <w:tcW w:w="1172" w:type="dxa"/>
            <w:vAlign w:val="center"/>
          </w:tcPr>
          <w:p w14:paraId="500F5B5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56</w:t>
            </w:r>
          </w:p>
        </w:tc>
        <w:tc>
          <w:tcPr>
            <w:tcW w:w="7242" w:type="dxa"/>
            <w:vAlign w:val="center"/>
          </w:tcPr>
          <w:p w14:paraId="782FA6F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Nije primjenjivo</w:t>
            </w:r>
          </w:p>
        </w:tc>
      </w:tr>
      <w:tr w:rsidR="00CE019E" w:rsidRPr="007F4CC8" w14:paraId="4C5801B4" w14:textId="77777777" w:rsidTr="001E06A3">
        <w:tc>
          <w:tcPr>
            <w:tcW w:w="1172" w:type="dxa"/>
            <w:vAlign w:val="center"/>
          </w:tcPr>
          <w:p w14:paraId="6F8B8A8E" w14:textId="77777777" w:rsidR="00CE019E" w:rsidRPr="007F4CC8" w:rsidRDefault="00CE019E" w:rsidP="001E06A3">
            <w:pPr>
              <w:spacing w:after="200"/>
              <w:rPr>
                <w:rFonts w:ascii="Times New Roman" w:hAnsi="Times New Roman" w:cs="Times New Roman"/>
                <w:color w:val="000000" w:themeColor="text1"/>
                <w:sz w:val="24"/>
              </w:rPr>
            </w:pPr>
            <w:r>
              <w:rPr>
                <w:rFonts w:ascii="Times New Roman" w:hAnsi="Times New Roman"/>
                <w:color w:val="000000" w:themeColor="text1"/>
                <w:sz w:val="24"/>
              </w:rPr>
              <w:t>EU-56a</w:t>
            </w:r>
          </w:p>
        </w:tc>
        <w:tc>
          <w:tcPr>
            <w:tcW w:w="7242" w:type="dxa"/>
            <w:vAlign w:val="center"/>
          </w:tcPr>
          <w:p w14:paraId="574F6B83" w14:textId="77777777" w:rsidR="00CE019E" w:rsidRPr="007F4CC8" w:rsidRDefault="00CE019E" w:rsidP="001E06A3">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Odbici kvalificiranih prihvatljivih obveza koji premašuju stavke prihvatljivih obveza institucije (negativan iznos)</w:t>
            </w:r>
          </w:p>
          <w:p w14:paraId="1CDC593C" w14:textId="77777777" w:rsidR="00CE019E" w:rsidRPr="007F4CC8" w:rsidRDefault="00CE019E" w:rsidP="001E06A3">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Kvalificirani prihvatljivi odbici obveza koji premašuju stavke prihvatljivih obveza institucije, u skladu s</w:t>
            </w:r>
            <w:r>
              <w:rPr>
                <w:rFonts w:ascii="Times New Roman" w:hAnsi="Times New Roman"/>
                <w:sz w:val="24"/>
              </w:rPr>
              <w:t xml:space="preserve"> člankom 66. točkom (e) CRR-a </w:t>
            </w:r>
            <w:r>
              <w:rPr>
                <w:rFonts w:ascii="Times New Roman" w:hAnsi="Times New Roman"/>
                <w:color w:val="000000" w:themeColor="text1"/>
                <w:sz w:val="24"/>
              </w:rPr>
              <w:t xml:space="preserve">(negativan iznos) </w:t>
            </w:r>
          </w:p>
        </w:tc>
      </w:tr>
      <w:tr w:rsidR="00CE019E" w:rsidRPr="007F4CC8" w14:paraId="46244656" w14:textId="77777777" w:rsidTr="001E06A3">
        <w:tc>
          <w:tcPr>
            <w:tcW w:w="1172" w:type="dxa"/>
            <w:vAlign w:val="center"/>
          </w:tcPr>
          <w:p w14:paraId="674624F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EU-56b</w:t>
            </w:r>
          </w:p>
        </w:tc>
        <w:tc>
          <w:tcPr>
            <w:tcW w:w="7242" w:type="dxa"/>
            <w:vAlign w:val="center"/>
          </w:tcPr>
          <w:p w14:paraId="0905EC8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Ostala regulatorna usklađenja dopunskog kapitala</w:t>
            </w:r>
          </w:p>
          <w:p w14:paraId="434EEE9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Institucije u ovom retku objavljuju svako primjenjivo regulatorno usklađenje, koje je iskazano za potrebe nadzornog izvješćivanja, ali nije uključeno ni u jedan drugi redak ovog obrasca</w:t>
            </w:r>
          </w:p>
        </w:tc>
      </w:tr>
      <w:tr w:rsidR="00CE019E" w:rsidRPr="007F4CC8" w14:paraId="10E504C9" w14:textId="77777777" w:rsidTr="001E06A3">
        <w:tc>
          <w:tcPr>
            <w:tcW w:w="1172" w:type="dxa"/>
            <w:vAlign w:val="center"/>
          </w:tcPr>
          <w:p w14:paraId="78AB3A8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57</w:t>
            </w:r>
          </w:p>
        </w:tc>
        <w:tc>
          <w:tcPr>
            <w:tcW w:w="7242" w:type="dxa"/>
            <w:vAlign w:val="center"/>
          </w:tcPr>
          <w:p w14:paraId="5BF0BBA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Ukupna regulatorna usklađenja dopunskog kapitala</w:t>
            </w:r>
          </w:p>
          <w:p w14:paraId="3D5C16D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Zbroj iznosa iz redaka od 52 do EU-56b ovog obrasca</w:t>
            </w:r>
          </w:p>
        </w:tc>
      </w:tr>
      <w:tr w:rsidR="00CE019E" w:rsidRPr="007F4CC8" w14:paraId="60635749" w14:textId="77777777" w:rsidTr="001E06A3">
        <w:tc>
          <w:tcPr>
            <w:tcW w:w="1172" w:type="dxa"/>
            <w:vAlign w:val="center"/>
          </w:tcPr>
          <w:p w14:paraId="3CF53BD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58</w:t>
            </w:r>
          </w:p>
        </w:tc>
        <w:tc>
          <w:tcPr>
            <w:tcW w:w="7242" w:type="dxa"/>
            <w:vAlign w:val="center"/>
          </w:tcPr>
          <w:p w14:paraId="27061A2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Dopunski kapital (T2)</w:t>
            </w:r>
          </w:p>
          <w:p w14:paraId="3026ED1E"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Dopunski kapital izračunava se tako da se retka 51 oduzme redak 57 ovog obrasca</w:t>
            </w:r>
          </w:p>
        </w:tc>
      </w:tr>
      <w:tr w:rsidR="00CE019E" w:rsidRPr="007F4CC8" w14:paraId="7E9E3BD1" w14:textId="77777777" w:rsidTr="001E06A3">
        <w:tc>
          <w:tcPr>
            <w:tcW w:w="1172" w:type="dxa"/>
            <w:vAlign w:val="center"/>
          </w:tcPr>
          <w:p w14:paraId="5E187EF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59</w:t>
            </w:r>
          </w:p>
        </w:tc>
        <w:tc>
          <w:tcPr>
            <w:tcW w:w="7242" w:type="dxa"/>
            <w:vAlign w:val="center"/>
          </w:tcPr>
          <w:p w14:paraId="6CCC5FDD" w14:textId="77777777" w:rsidR="00CE019E" w:rsidRPr="00DD0C4D" w:rsidRDefault="00CE019E" w:rsidP="001E06A3">
            <w:pPr>
              <w:spacing w:after="200"/>
              <w:jc w:val="both"/>
              <w:rPr>
                <w:rFonts w:ascii="Times New Roman" w:hAnsi="Times New Roman" w:cs="Times New Roman"/>
                <w:sz w:val="24"/>
              </w:rPr>
            </w:pPr>
            <w:r>
              <w:rPr>
                <w:rFonts w:ascii="Times New Roman" w:hAnsi="Times New Roman"/>
                <w:sz w:val="24"/>
              </w:rPr>
              <w:t>Ukupni kapital (TC = T1 + T2)</w:t>
            </w:r>
          </w:p>
          <w:p w14:paraId="778684B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Ukupni kapital izračunava se tako da se zbroje redak 45 i redak 58 ovog obrasca</w:t>
            </w:r>
          </w:p>
        </w:tc>
      </w:tr>
      <w:tr w:rsidR="00CE019E" w:rsidRPr="007F4CC8" w14:paraId="425C771E" w14:textId="77777777" w:rsidTr="001E06A3">
        <w:tc>
          <w:tcPr>
            <w:tcW w:w="1172" w:type="dxa"/>
            <w:vAlign w:val="center"/>
          </w:tcPr>
          <w:p w14:paraId="1769AAF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60</w:t>
            </w:r>
          </w:p>
        </w:tc>
        <w:tc>
          <w:tcPr>
            <w:tcW w:w="7242" w:type="dxa"/>
            <w:vAlign w:val="center"/>
          </w:tcPr>
          <w:p w14:paraId="4BD0070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Ukupni iznos izloženosti riziku</w:t>
            </w:r>
          </w:p>
          <w:p w14:paraId="06A9FD0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Ukupni iznos izloženosti riziku na razini grupe</w:t>
            </w:r>
          </w:p>
        </w:tc>
      </w:tr>
      <w:tr w:rsidR="00CE019E" w:rsidRPr="007F4CC8" w14:paraId="72ADE2E6" w14:textId="77777777" w:rsidTr="001E06A3">
        <w:tc>
          <w:tcPr>
            <w:tcW w:w="1172" w:type="dxa"/>
            <w:vAlign w:val="center"/>
          </w:tcPr>
          <w:p w14:paraId="70528C9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61</w:t>
            </w:r>
          </w:p>
        </w:tc>
        <w:tc>
          <w:tcPr>
            <w:tcW w:w="7242" w:type="dxa"/>
            <w:vAlign w:val="center"/>
          </w:tcPr>
          <w:p w14:paraId="29E9779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Redovni osnovni kapital</w:t>
            </w:r>
          </w:p>
          <w:p w14:paraId="7C9EC9B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Redovni osnovni kapital (kao postotak ukupnog iznosa izloženosti rizicima) izračunava se tako da se redak 29 podijeli s retkom 60 (izraženo kao postotak) ovog obrasca u skladu s člankom 92. stavkom 2. točkom (a) CRR-a</w:t>
            </w:r>
          </w:p>
        </w:tc>
      </w:tr>
      <w:tr w:rsidR="00CE019E" w:rsidRPr="007F4CC8" w14:paraId="1241C06C" w14:textId="77777777" w:rsidTr="001E06A3">
        <w:tc>
          <w:tcPr>
            <w:tcW w:w="1172" w:type="dxa"/>
            <w:vAlign w:val="center"/>
          </w:tcPr>
          <w:p w14:paraId="13E674F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62</w:t>
            </w:r>
          </w:p>
        </w:tc>
        <w:tc>
          <w:tcPr>
            <w:tcW w:w="7242" w:type="dxa"/>
            <w:vAlign w:val="center"/>
          </w:tcPr>
          <w:p w14:paraId="0B22C2E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Osnovni kapital</w:t>
            </w:r>
          </w:p>
          <w:p w14:paraId="4F9B420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Osnovni kapital (kao postotak ukupnog iznosa izloženosti rizicima) izračunava se tako da se redak 45 podijeli s retkom 60 (izraženo kao postotak) ovog obrasca u skladu s člankom 92. stavkom 2. točkom (b) CRR-a</w:t>
            </w:r>
          </w:p>
        </w:tc>
      </w:tr>
      <w:tr w:rsidR="00CE019E" w:rsidRPr="007F4CC8" w14:paraId="79693DDF" w14:textId="77777777" w:rsidTr="001E06A3">
        <w:tc>
          <w:tcPr>
            <w:tcW w:w="1172" w:type="dxa"/>
            <w:vAlign w:val="center"/>
          </w:tcPr>
          <w:p w14:paraId="7F7F9E9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63</w:t>
            </w:r>
          </w:p>
        </w:tc>
        <w:tc>
          <w:tcPr>
            <w:tcW w:w="7242" w:type="dxa"/>
            <w:vAlign w:val="center"/>
          </w:tcPr>
          <w:p w14:paraId="5DF3D8E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Ukupni kapital</w:t>
            </w:r>
          </w:p>
          <w:p w14:paraId="6ED4EBD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Ukupni kapital (kao postotak ukupnog iznosa izloženosti rizicima) izračunava se tako da se redak 59 podijeli s retkom 60 (izraženo kao postotak) ovog obrasca u skladu s člankom 92. stavkom 2. točkom (c) CRR-a</w:t>
            </w:r>
          </w:p>
        </w:tc>
      </w:tr>
      <w:tr w:rsidR="00CE019E" w:rsidRPr="007F4CC8" w14:paraId="72A2F37F" w14:textId="77777777" w:rsidTr="001E06A3">
        <w:tc>
          <w:tcPr>
            <w:tcW w:w="1172" w:type="dxa"/>
            <w:vAlign w:val="center"/>
          </w:tcPr>
          <w:p w14:paraId="5577840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64</w:t>
            </w:r>
          </w:p>
        </w:tc>
        <w:tc>
          <w:tcPr>
            <w:tcW w:w="7242" w:type="dxa"/>
            <w:vAlign w:val="center"/>
          </w:tcPr>
          <w:p w14:paraId="6510EFA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Sveukupni kapitalni zahtjevi institucije za redovni osnovni kapital (CET1) </w:t>
            </w:r>
          </w:p>
          <w:p w14:paraId="55C70E8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Sveukupni kapitalni zahtjevi institucije za redovni osnovni kapital izračunavaju se tako da se zbroje zahtjev za CET1 u skladu s člankom 92. stavkom 1. tokom (a) CRR-a, dodatni zahtjev za CET1 koji su institucije dužne držati u skladu s člankom 104. stavkom 1. točkom (a) Direktive 2013/36/EU</w:t>
            </w:r>
            <w:r>
              <w:rPr>
                <w:rStyle w:val="FootnoteReference"/>
                <w:rFonts w:cs="Times New Roman"/>
                <w:lang w:eastAsia="ja-JP"/>
              </w:rPr>
              <w:footnoteReference w:id="15"/>
            </w:r>
            <w:r>
              <w:rPr>
                <w:rFonts w:ascii="Times New Roman" w:hAnsi="Times New Roman"/>
                <w:sz w:val="24"/>
              </w:rPr>
              <w:t xml:space="preserve"> („CRD”) i zahtjev za kombinirani zaštitni sloj u skladu s člankom 128. stavkom 6. CRD-a, izraženo kao postotak iznosa izloženosti rizicima.</w:t>
            </w:r>
          </w:p>
          <w:p w14:paraId="5085D6C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Izračunava se tako da se 4,5 % uveća za zahtjeve iz stupa 2. za dodatni regulatorni kapital koji su institucije dužne držati u skladu s člankom 104. stavkom 1. točkom (a) CRD-a i zahtjev za kombinirani zaštitni sloj koji se izračunava u skladu s člancima 128., 129., 130., 131. i 133. CRD-a. </w:t>
            </w:r>
          </w:p>
          <w:p w14:paraId="398D091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U ovom se retku iskazuje stopa redovnog osnovnog kapitala relevantna za procjenu ograničenja distribucija. </w:t>
            </w:r>
          </w:p>
        </w:tc>
      </w:tr>
      <w:tr w:rsidR="00CE019E" w:rsidRPr="007F4CC8" w14:paraId="63976E4A" w14:textId="77777777" w:rsidTr="001E06A3">
        <w:tc>
          <w:tcPr>
            <w:tcW w:w="1172" w:type="dxa"/>
            <w:vAlign w:val="center"/>
          </w:tcPr>
          <w:p w14:paraId="7064532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65</w:t>
            </w:r>
          </w:p>
        </w:tc>
        <w:tc>
          <w:tcPr>
            <w:tcW w:w="7242" w:type="dxa"/>
            <w:vAlign w:val="center"/>
          </w:tcPr>
          <w:p w14:paraId="53D727D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 čega: zaštitni sloj za očuvanje kapitala</w:t>
            </w:r>
          </w:p>
          <w:p w14:paraId="001FEB6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Iznos u retku 64 (izražen kao postotni udio ukupnog iznosa izloženosti rizicima) ovog obrasca koji se odnosi na zahtjev za zaštitni sloj za očuvanje kapitala u skladu s člankom 129. CRD-a</w:t>
            </w:r>
          </w:p>
        </w:tc>
      </w:tr>
      <w:tr w:rsidR="00CE019E" w:rsidRPr="007F4CC8" w14:paraId="08A529D9" w14:textId="77777777" w:rsidTr="001E06A3">
        <w:tc>
          <w:tcPr>
            <w:tcW w:w="1172" w:type="dxa"/>
            <w:vAlign w:val="center"/>
          </w:tcPr>
          <w:p w14:paraId="436F07D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66</w:t>
            </w:r>
          </w:p>
        </w:tc>
        <w:tc>
          <w:tcPr>
            <w:tcW w:w="7242" w:type="dxa"/>
            <w:vAlign w:val="center"/>
          </w:tcPr>
          <w:p w14:paraId="158CAE1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Od čega: zahtjev za </w:t>
            </w:r>
            <w:proofErr w:type="spellStart"/>
            <w:r>
              <w:rPr>
                <w:rFonts w:ascii="Times New Roman" w:hAnsi="Times New Roman"/>
                <w:sz w:val="24"/>
              </w:rPr>
              <w:t>protuciklički</w:t>
            </w:r>
            <w:proofErr w:type="spellEnd"/>
            <w:r>
              <w:rPr>
                <w:rFonts w:ascii="Times New Roman" w:hAnsi="Times New Roman"/>
                <w:sz w:val="24"/>
              </w:rPr>
              <w:t xml:space="preserve"> zaštitni sloj kapitala</w:t>
            </w:r>
          </w:p>
          <w:p w14:paraId="510003F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Iznos u retku 64 (izražen kao postotni udio ukupnog iznosa izloženosti rizicima) ovog obrasca koji se odnosi na zahtjev za </w:t>
            </w:r>
            <w:proofErr w:type="spellStart"/>
            <w:r>
              <w:rPr>
                <w:rFonts w:ascii="Times New Roman" w:hAnsi="Times New Roman"/>
                <w:sz w:val="24"/>
              </w:rPr>
              <w:t>protuciklički</w:t>
            </w:r>
            <w:proofErr w:type="spellEnd"/>
            <w:r>
              <w:rPr>
                <w:rFonts w:ascii="Times New Roman" w:hAnsi="Times New Roman"/>
                <w:sz w:val="24"/>
              </w:rPr>
              <w:t xml:space="preserve"> zaštitni sloj kapitala u skladu s člankom 130. CRD-a </w:t>
            </w:r>
          </w:p>
        </w:tc>
      </w:tr>
      <w:tr w:rsidR="00CE019E" w:rsidRPr="007F4CC8" w14:paraId="015CDF41" w14:textId="77777777" w:rsidTr="001E06A3">
        <w:tc>
          <w:tcPr>
            <w:tcW w:w="1172" w:type="dxa"/>
            <w:vAlign w:val="center"/>
          </w:tcPr>
          <w:p w14:paraId="43431AC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67</w:t>
            </w:r>
          </w:p>
        </w:tc>
        <w:tc>
          <w:tcPr>
            <w:tcW w:w="7242" w:type="dxa"/>
            <w:vAlign w:val="center"/>
          </w:tcPr>
          <w:p w14:paraId="006675C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 čega: zahtjev za zaštitni sloj za sistemski rizik</w:t>
            </w:r>
          </w:p>
          <w:p w14:paraId="75C0D29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Iznos u retku 64 (izražen kao postotni udio ukupnog iznosa izloženosti rizicima) ovog obrasca koji se odnosi na zahtjev za zaštitni sloj za sistemski rizik u skladu s člankom 133. CRD-a</w:t>
            </w:r>
          </w:p>
        </w:tc>
      </w:tr>
      <w:tr w:rsidR="00CE019E" w:rsidRPr="007F4CC8" w14:paraId="65DBF1A5" w14:textId="77777777" w:rsidTr="001E06A3">
        <w:tc>
          <w:tcPr>
            <w:tcW w:w="1172" w:type="dxa"/>
            <w:vAlign w:val="center"/>
          </w:tcPr>
          <w:p w14:paraId="62ED790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EU-67a</w:t>
            </w:r>
          </w:p>
        </w:tc>
        <w:tc>
          <w:tcPr>
            <w:tcW w:w="7242" w:type="dxa"/>
            <w:vAlign w:val="center"/>
          </w:tcPr>
          <w:p w14:paraId="4B491F7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 čega: zahtjev za zaštitni sloj za globalnu sistemski važnu instituciju (GSV) ili drugu sistemski važnu instituciju (OSV institucija)</w:t>
            </w:r>
          </w:p>
          <w:p w14:paraId="4F4A062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Iznos u retku 64 (izražen kao postotni udio ukupnog iznosa izloženosti rizicima) ovog obrasca koji se odnosi na zahtjev za zaštitni sloj za GSV ili OSV institucije u skladu s člankom 131. CRD-a</w:t>
            </w:r>
          </w:p>
        </w:tc>
      </w:tr>
      <w:tr w:rsidR="00CE019E" w:rsidRPr="007F4CC8" w14:paraId="17E65DE8" w14:textId="77777777" w:rsidTr="001E06A3">
        <w:tc>
          <w:tcPr>
            <w:tcW w:w="1172" w:type="dxa"/>
            <w:vAlign w:val="center"/>
          </w:tcPr>
          <w:p w14:paraId="41D2261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EU-67b</w:t>
            </w:r>
          </w:p>
        </w:tc>
        <w:tc>
          <w:tcPr>
            <w:tcW w:w="7242" w:type="dxa"/>
            <w:vAlign w:val="center"/>
          </w:tcPr>
          <w:p w14:paraId="360C812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Od čega: Dodatni kapitalni zahtjevi za upravljanje rizicima koji nisu rizik prekomjerne financijske poluge </w:t>
            </w:r>
          </w:p>
          <w:p w14:paraId="18C350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Iznos u retku 64 (izražen kao postotni udio ukupnog iznosa izloženosti rizicima) ovog obrasca koji se odnosi na zahtjeve za dodatni regulatorni kapital koji proizlaze iz postupka nadzorne provjere, koji moraju biti ispunjeni redovnim osnovnim kapitalom, kako je navedeno u članku 104. stavku 1. točki (a) Direktive 2013/36/EU.</w:t>
            </w:r>
          </w:p>
        </w:tc>
      </w:tr>
      <w:tr w:rsidR="00CE019E" w:rsidRPr="007F4CC8" w14:paraId="55A66B39" w14:textId="77777777" w:rsidTr="001E06A3">
        <w:tc>
          <w:tcPr>
            <w:tcW w:w="1172" w:type="dxa"/>
            <w:vAlign w:val="center"/>
          </w:tcPr>
          <w:p w14:paraId="7BAD452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68</w:t>
            </w:r>
          </w:p>
        </w:tc>
        <w:tc>
          <w:tcPr>
            <w:tcW w:w="7242" w:type="dxa"/>
            <w:vAlign w:val="center"/>
          </w:tcPr>
          <w:p w14:paraId="4143BC8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Redovni osnovni kapital (kao postotak iznosa izloženosti rizicima) dostupan nakon ispunjenja minimalnih kapitalnih zahtjeva</w:t>
            </w:r>
          </w:p>
          <w:p w14:paraId="5EA406D1" w14:textId="798FBF82"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Izračunava se tako da se od retka 61 oduzme 4,5 (postotni bodovi), redak EU-67b i redovni osnovni kapital koji institucija koristi da ispuni zahtjeve za dodatni osnovni i dopunski kapital.</w:t>
            </w:r>
          </w:p>
        </w:tc>
      </w:tr>
      <w:tr w:rsidR="00CE019E" w:rsidRPr="007F4CC8" w14:paraId="258F1BD3" w14:textId="77777777" w:rsidTr="001E06A3">
        <w:tc>
          <w:tcPr>
            <w:tcW w:w="1172" w:type="dxa"/>
            <w:vAlign w:val="center"/>
          </w:tcPr>
          <w:p w14:paraId="6C6C47B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69</w:t>
            </w:r>
          </w:p>
        </w:tc>
        <w:tc>
          <w:tcPr>
            <w:tcW w:w="7242" w:type="dxa"/>
            <w:vAlign w:val="center"/>
          </w:tcPr>
          <w:p w14:paraId="11091C4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Nije primjenjivo</w:t>
            </w:r>
          </w:p>
        </w:tc>
      </w:tr>
      <w:tr w:rsidR="00CE019E" w:rsidRPr="007F4CC8" w14:paraId="115090DC" w14:textId="77777777" w:rsidTr="001E06A3">
        <w:tc>
          <w:tcPr>
            <w:tcW w:w="1172" w:type="dxa"/>
            <w:vAlign w:val="center"/>
          </w:tcPr>
          <w:p w14:paraId="7E2B386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70</w:t>
            </w:r>
          </w:p>
        </w:tc>
        <w:tc>
          <w:tcPr>
            <w:tcW w:w="7242" w:type="dxa"/>
            <w:vAlign w:val="center"/>
          </w:tcPr>
          <w:p w14:paraId="5B20B87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Nije primjenjivo</w:t>
            </w:r>
          </w:p>
        </w:tc>
      </w:tr>
      <w:tr w:rsidR="00CE019E" w:rsidRPr="007F4CC8" w14:paraId="349374AA" w14:textId="77777777" w:rsidTr="001E06A3">
        <w:tc>
          <w:tcPr>
            <w:tcW w:w="1172" w:type="dxa"/>
            <w:vAlign w:val="center"/>
          </w:tcPr>
          <w:p w14:paraId="5AD1F82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71</w:t>
            </w:r>
          </w:p>
        </w:tc>
        <w:tc>
          <w:tcPr>
            <w:tcW w:w="7242" w:type="dxa"/>
            <w:vAlign w:val="center"/>
          </w:tcPr>
          <w:p w14:paraId="442AAF4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Nije primjenjivo</w:t>
            </w:r>
          </w:p>
        </w:tc>
      </w:tr>
      <w:tr w:rsidR="00CE019E" w:rsidRPr="007F4CC8" w14:paraId="5E192E90" w14:textId="77777777" w:rsidTr="001E06A3">
        <w:tc>
          <w:tcPr>
            <w:tcW w:w="1172" w:type="dxa"/>
            <w:vAlign w:val="center"/>
          </w:tcPr>
          <w:p w14:paraId="17EF5BE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72</w:t>
            </w:r>
          </w:p>
        </w:tc>
        <w:tc>
          <w:tcPr>
            <w:tcW w:w="7242" w:type="dxa"/>
            <w:vAlign w:val="center"/>
          </w:tcPr>
          <w:p w14:paraId="54A46A1A" w14:textId="076FA8F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Izravna i neizravna ulaganja u regulatorni kapital i prihvatljive obveze subjekata financijskog sektora ako institucija nema značajno ulaganje u te subjekte (iznos ispod praga od 10 % i umanjeno za prihvatljive kratke pozicije)</w:t>
            </w:r>
          </w:p>
          <w:p w14:paraId="42875D7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 xml:space="preserve">Izravna i neizravna ulaganja u regulatorni kapital i prihvatljive obveze subjekata financijskog sektora ako institucija nema značajno ulaganje u te subjekte (iznos ispod praga od 10 % i umanjeno za prihvatljive kratke pozicije) u skladu s člankom 36. stavkom 1. točkom (h), člancima 45. i 46., člankom 56. točkom (c), člancima 59. i 60., člankom 66. točkom (c), člancima 69., 70. i 72.i CRR-a </w:t>
            </w:r>
          </w:p>
        </w:tc>
      </w:tr>
      <w:tr w:rsidR="00CE019E" w:rsidRPr="007F4CC8" w14:paraId="0755466A" w14:textId="77777777" w:rsidTr="001E06A3">
        <w:tc>
          <w:tcPr>
            <w:tcW w:w="1172" w:type="dxa"/>
            <w:vAlign w:val="center"/>
          </w:tcPr>
          <w:p w14:paraId="071C3B1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73</w:t>
            </w:r>
          </w:p>
        </w:tc>
        <w:tc>
          <w:tcPr>
            <w:tcW w:w="7242" w:type="dxa"/>
            <w:vAlign w:val="center"/>
          </w:tcPr>
          <w:p w14:paraId="6113564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Izravna i neizravna ulaganja institucije u instrumente redovnog osnovnog kapitala subjekata financijskog sektora ako institucija ima značajno ulaganje u te subjekte (iznos ispod praga od 17,65 % i umanjeno za prihvatljive kratke pozicije)</w:t>
            </w:r>
          </w:p>
          <w:p w14:paraId="3DE14D0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Izravna i neizravna ulaganja institucije u instrumente redovnog osnovnog kapitala subjekata financijskog sektora ako institucija ima značajno ulaganje u te subjekte (iznos ispod praga od 17,65 % i umanjeno za prihvatljive kratke pozicije) u skladu s člankom 36. stavkom 1. točkom (i), člancima 43., 45. i 47., člankom 48. stavkom 1. točkom (b) te člankom 49. stavcima od 1. do 3. CRR-a (ukupni iznos takvih ulaganja koja nisu objavljena u redcima 19 i 23 ovog obrasca)</w:t>
            </w:r>
          </w:p>
        </w:tc>
      </w:tr>
      <w:tr w:rsidR="00CE019E" w:rsidRPr="007F4CC8" w14:paraId="3602EF52" w14:textId="77777777" w:rsidTr="001E06A3">
        <w:tc>
          <w:tcPr>
            <w:tcW w:w="1172" w:type="dxa"/>
            <w:vAlign w:val="center"/>
          </w:tcPr>
          <w:p w14:paraId="6D7AF27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74</w:t>
            </w:r>
          </w:p>
        </w:tc>
        <w:tc>
          <w:tcPr>
            <w:tcW w:w="7242" w:type="dxa"/>
            <w:vAlign w:val="center"/>
          </w:tcPr>
          <w:p w14:paraId="20B40A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Nije primjenjivo</w:t>
            </w:r>
          </w:p>
        </w:tc>
      </w:tr>
      <w:tr w:rsidR="00CE019E" w:rsidRPr="007F4CC8" w14:paraId="310787B7" w14:textId="77777777" w:rsidTr="001E06A3">
        <w:tc>
          <w:tcPr>
            <w:tcW w:w="1172" w:type="dxa"/>
            <w:vAlign w:val="center"/>
          </w:tcPr>
          <w:p w14:paraId="29A3E01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75</w:t>
            </w:r>
          </w:p>
        </w:tc>
        <w:tc>
          <w:tcPr>
            <w:tcW w:w="7242" w:type="dxa"/>
            <w:vAlign w:val="center"/>
          </w:tcPr>
          <w:p w14:paraId="0ED817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Odgođena porezna imovina koja proizlazi iz privremenih razlika (iznos ispod praga od 17,65 %, umanjeno za povezanu poreznu obvezu ako su ispunjeni uvjeti iz članka 38. stavka 3. CRR-a)</w:t>
            </w:r>
          </w:p>
          <w:p w14:paraId="12FA8D3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Odgođena porezna imovina koja proizlazi iz privremenih razlika (iznos ispod praga od 17,65 % u skladu s člankom 48. stavkom 2. točkom (b) CRR-a, umanjeno za povezanu poreznu obvezu ako su ispunjeni uvjeti iz članka 38. stavka 3. CRR-a) u skladu s člankom 36. stavkom 1. točkom (c) te člancima 38. i 48. CRR-a (ukupni iznos takve odgođene porezne imovine koja nije objavljena u redcima 21 i 25 ovog obrasca)</w:t>
            </w:r>
          </w:p>
        </w:tc>
      </w:tr>
      <w:tr w:rsidR="00CE019E" w:rsidRPr="007F4CC8" w14:paraId="3590C5C2" w14:textId="77777777" w:rsidTr="001E06A3">
        <w:tc>
          <w:tcPr>
            <w:tcW w:w="1172" w:type="dxa"/>
            <w:vAlign w:val="center"/>
          </w:tcPr>
          <w:p w14:paraId="08EE351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76</w:t>
            </w:r>
          </w:p>
        </w:tc>
        <w:tc>
          <w:tcPr>
            <w:tcW w:w="7242" w:type="dxa"/>
            <w:vAlign w:val="center"/>
          </w:tcPr>
          <w:p w14:paraId="3576D93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Ispravci vrijednosti za kreditni rizik uključeni u dopunski kapital za izloženosti na koje se primjenjuje standardizirani pristup (prije primjene gornje granice)</w:t>
            </w:r>
          </w:p>
          <w:p w14:paraId="2B77FF7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Ispravci vrijednosti za kreditni rizik uključeni u dopunski kapital za izloženosti na koje se primjenjuje standardizirani pristup u skladu s člankom 62. točkom (c) CRR-a</w:t>
            </w:r>
          </w:p>
        </w:tc>
      </w:tr>
      <w:tr w:rsidR="00CE019E" w:rsidRPr="007F4CC8" w14:paraId="617F7F1F" w14:textId="77777777" w:rsidTr="001E06A3">
        <w:tc>
          <w:tcPr>
            <w:tcW w:w="1172" w:type="dxa"/>
            <w:vAlign w:val="center"/>
          </w:tcPr>
          <w:p w14:paraId="0DFF868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77</w:t>
            </w:r>
          </w:p>
        </w:tc>
        <w:tc>
          <w:tcPr>
            <w:tcW w:w="7242" w:type="dxa"/>
            <w:vAlign w:val="center"/>
          </w:tcPr>
          <w:p w14:paraId="1ED8EE3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Gornja granica za uključenje ispravaka vrijednosti za kreditni rizik u dopunski kapital u skladu sa standardiziranim pristupom</w:t>
            </w:r>
          </w:p>
          <w:p w14:paraId="03369F0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Gornja granica za uključenje ispravaka vrijednosti za kreditni rizik u dopunski kapital u skladu sa standardiziranim pristupom u skladu s člankom 62. točkom (c) CRR-a</w:t>
            </w:r>
          </w:p>
        </w:tc>
      </w:tr>
      <w:tr w:rsidR="00CE019E" w:rsidRPr="007F4CC8" w14:paraId="480A861A" w14:textId="77777777" w:rsidTr="001E06A3">
        <w:tc>
          <w:tcPr>
            <w:tcW w:w="1172" w:type="dxa"/>
            <w:vAlign w:val="center"/>
          </w:tcPr>
          <w:p w14:paraId="733CAF3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78</w:t>
            </w:r>
          </w:p>
        </w:tc>
        <w:tc>
          <w:tcPr>
            <w:tcW w:w="7242" w:type="dxa"/>
            <w:vAlign w:val="center"/>
          </w:tcPr>
          <w:p w14:paraId="7A1AB1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Ispravci vrijednosti za kreditni rizik uključeni u dopunski kapital za izloženosti na koje se primjenjuje pristup zasnovan na internim rejting-sustavima (prije primjene gornje granice)</w:t>
            </w:r>
          </w:p>
          <w:p w14:paraId="6D17E07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Ispravci vrijednosti za kreditni rizik uključeni u dopunski kapital za izloženosti na koje se primjenjuje pristup zasnovan na internim rejting-sustavima u skladu s člankom 62. točkom (d) CRR-a</w:t>
            </w:r>
          </w:p>
        </w:tc>
      </w:tr>
      <w:tr w:rsidR="00CE019E" w:rsidRPr="007F4CC8" w14:paraId="2E764C13" w14:textId="77777777" w:rsidTr="001E06A3">
        <w:tc>
          <w:tcPr>
            <w:tcW w:w="1172" w:type="dxa"/>
            <w:vAlign w:val="center"/>
          </w:tcPr>
          <w:p w14:paraId="56C763B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79</w:t>
            </w:r>
          </w:p>
        </w:tc>
        <w:tc>
          <w:tcPr>
            <w:tcW w:w="7242" w:type="dxa"/>
            <w:vAlign w:val="center"/>
          </w:tcPr>
          <w:p w14:paraId="3A486BB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Gornja granica za uključenje ispravaka vrijednosti za kreditni rizik u dopunski kapital u skladu s pristupom zasnovanim na internim rejting-sustavima</w:t>
            </w:r>
          </w:p>
          <w:p w14:paraId="075A4E3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Gornja granica za uključenje ispravaka vrijednosti za kreditni rizik u dopunski kapital u skladu s pristupom zasnovanim na internim rejting-sustavima u skladu s člankom 62. točkom (d) CRR-a</w:t>
            </w:r>
          </w:p>
        </w:tc>
      </w:tr>
      <w:tr w:rsidR="00CE019E" w:rsidRPr="007F4CC8" w14:paraId="50AF353C" w14:textId="77777777" w:rsidTr="001E06A3">
        <w:tc>
          <w:tcPr>
            <w:tcW w:w="1172" w:type="dxa"/>
            <w:vAlign w:val="center"/>
          </w:tcPr>
          <w:p w14:paraId="0B51371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80</w:t>
            </w:r>
          </w:p>
        </w:tc>
        <w:tc>
          <w:tcPr>
            <w:tcW w:w="7242" w:type="dxa"/>
            <w:vAlign w:val="center"/>
          </w:tcPr>
          <w:p w14:paraId="45BA499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Aktualna gornja granica za instrumente redovnog osnovnog kapitala koji se postupno isključuju</w:t>
            </w:r>
          </w:p>
          <w:p w14:paraId="16A4F09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Aktualna gornja granica za instrumente redovnog osnovnog kapitala koji se postupno isključuju u skladu s člankom 484. stavkom 3. i člankom 486. stavcima 2. i 5. CRR-a</w:t>
            </w:r>
          </w:p>
        </w:tc>
      </w:tr>
      <w:tr w:rsidR="00CE019E" w:rsidRPr="007F4CC8" w14:paraId="0494911D" w14:textId="77777777" w:rsidTr="001E06A3">
        <w:tc>
          <w:tcPr>
            <w:tcW w:w="1172" w:type="dxa"/>
            <w:vAlign w:val="center"/>
          </w:tcPr>
          <w:p w14:paraId="6C9A313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81</w:t>
            </w:r>
          </w:p>
        </w:tc>
        <w:tc>
          <w:tcPr>
            <w:tcW w:w="7242" w:type="dxa"/>
            <w:vAlign w:val="center"/>
          </w:tcPr>
          <w:p w14:paraId="725ECC7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Iznos isključen iz redovnog osnovnog kapitala zbog gornje granice (višak iznad gornje granice nakon otkupa i dospijeća)</w:t>
            </w:r>
          </w:p>
          <w:p w14:paraId="39D6E82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Iznos isključen iz redovnog osnovnog kapitala zbog gornje granice (višak iznad gornje granice nakon otkupa i dospijeća) u skladu s člankom 484. stavkom 3. i člankom 486. stavcima 2. i 5. CRR-a</w:t>
            </w:r>
          </w:p>
        </w:tc>
      </w:tr>
      <w:tr w:rsidR="00CE019E" w:rsidRPr="007F4CC8" w14:paraId="00316BBE" w14:textId="77777777" w:rsidTr="001E06A3">
        <w:tc>
          <w:tcPr>
            <w:tcW w:w="1172" w:type="dxa"/>
            <w:vAlign w:val="center"/>
          </w:tcPr>
          <w:p w14:paraId="528FA57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82</w:t>
            </w:r>
          </w:p>
        </w:tc>
        <w:tc>
          <w:tcPr>
            <w:tcW w:w="7242" w:type="dxa"/>
            <w:vAlign w:val="center"/>
          </w:tcPr>
          <w:p w14:paraId="6BCB3B8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Aktualna gornja granica za instrumente dodatnog osnovnog kapitala koji se postupno isključuju</w:t>
            </w:r>
          </w:p>
          <w:p w14:paraId="6EB711C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Aktualna gornja granica za instrumente dodatnog osnovnog kapitala koji se postupno isključuju u skladu s člankom 484. stavkom 4., člankom 486. stavcima 3. i 5. CRR-a</w:t>
            </w:r>
          </w:p>
        </w:tc>
      </w:tr>
      <w:tr w:rsidR="00CE019E" w:rsidRPr="007F4CC8" w14:paraId="74CABF1D" w14:textId="77777777" w:rsidTr="001E06A3">
        <w:tc>
          <w:tcPr>
            <w:tcW w:w="1172" w:type="dxa"/>
            <w:vAlign w:val="center"/>
          </w:tcPr>
          <w:p w14:paraId="02FEFBE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83</w:t>
            </w:r>
          </w:p>
        </w:tc>
        <w:tc>
          <w:tcPr>
            <w:tcW w:w="7242" w:type="dxa"/>
            <w:vAlign w:val="center"/>
          </w:tcPr>
          <w:p w14:paraId="0B131A1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Iznos isključen iz dodatnog osnovnog kapitala zbog gornje granice (višak iznad gornje granice nakon otkupa i dospijeća)</w:t>
            </w:r>
          </w:p>
          <w:p w14:paraId="76DC197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Iznos isključen iz dodatnog osnovnog kapitala zbog gornje granice (višak iznad gornje granice nakon otkupa i dospijeća) u skladu s člankom 484. stavkom 4. i člankom 486. stavcima 3. i 5. CRR-a</w:t>
            </w:r>
          </w:p>
        </w:tc>
      </w:tr>
      <w:tr w:rsidR="00CE019E" w:rsidRPr="007F4CC8" w14:paraId="522FEB34" w14:textId="77777777" w:rsidTr="001E06A3">
        <w:tc>
          <w:tcPr>
            <w:tcW w:w="1172" w:type="dxa"/>
            <w:vAlign w:val="center"/>
          </w:tcPr>
          <w:p w14:paraId="2112B6F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84</w:t>
            </w:r>
          </w:p>
        </w:tc>
        <w:tc>
          <w:tcPr>
            <w:tcW w:w="7242" w:type="dxa"/>
            <w:vAlign w:val="center"/>
          </w:tcPr>
          <w:p w14:paraId="66011BA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Aktualna gornja granica za instrumente dopunskog kapitala koji se postupno isključuju</w:t>
            </w:r>
          </w:p>
          <w:p w14:paraId="538FE42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Aktualna gornja granica za instrumente dopunskog kapitala koji se postupno isključuju u skladu s člankom 484. stavkom 5. i člankom 486. stavcima 4. i 5. CRR-a</w:t>
            </w:r>
          </w:p>
        </w:tc>
      </w:tr>
      <w:tr w:rsidR="00CE019E" w:rsidRPr="007F4CC8" w14:paraId="33126BFD" w14:textId="77777777" w:rsidTr="001E06A3">
        <w:tc>
          <w:tcPr>
            <w:tcW w:w="1172" w:type="dxa"/>
            <w:vAlign w:val="center"/>
          </w:tcPr>
          <w:p w14:paraId="135F179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85</w:t>
            </w:r>
          </w:p>
        </w:tc>
        <w:tc>
          <w:tcPr>
            <w:tcW w:w="7242" w:type="dxa"/>
            <w:vAlign w:val="center"/>
          </w:tcPr>
          <w:p w14:paraId="4218AC5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Iznos isključen iz dopunskog kapitala zbog gornje granice (višak iznad gornje granice nakon otkupa i dospijeća)</w:t>
            </w:r>
          </w:p>
          <w:p w14:paraId="479826B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Iznos isključen iz dopunskog kapitala zbog gornje granice (višak iznad gornje granice nakon otkupa i dospijeća) u skladu s člankom 484. stavkom 5. i člankom 486. stavcima 4. i 5. CRR-a</w:t>
            </w:r>
          </w:p>
        </w:tc>
      </w:tr>
    </w:tbl>
    <w:p w14:paraId="64C58826" w14:textId="77777777" w:rsidR="00CE019E" w:rsidRPr="007F4CC8" w:rsidRDefault="00CE019E" w:rsidP="00CE019E">
      <w:pPr>
        <w:jc w:val="both"/>
        <w:rPr>
          <w:rFonts w:ascii="Times New Roman" w:hAnsi="Times New Roman" w:cs="Times New Roman"/>
          <w:bCs/>
          <w:sz w:val="24"/>
        </w:rPr>
      </w:pPr>
    </w:p>
    <w:p w14:paraId="0904FF56" w14:textId="77777777" w:rsidR="00CE019E" w:rsidRPr="007F4CC8" w:rsidRDefault="00CE019E" w:rsidP="00CE019E">
      <w:pPr>
        <w:rPr>
          <w:rFonts w:ascii="Times New Roman" w:hAnsi="Times New Roman" w:cs="Times New Roman"/>
          <w:sz w:val="24"/>
        </w:rPr>
      </w:pPr>
    </w:p>
    <w:p w14:paraId="1FC43E71" w14:textId="77777777" w:rsidR="00CE019E" w:rsidRPr="007F4CC8" w:rsidRDefault="00CE019E" w:rsidP="00CE019E">
      <w:pPr>
        <w:rPr>
          <w:rFonts w:ascii="Times New Roman" w:hAnsi="Times New Roman" w:cs="Times New Roman"/>
          <w:sz w:val="24"/>
        </w:rPr>
      </w:pPr>
      <w:r>
        <w:br w:type="page"/>
      </w:r>
    </w:p>
    <w:p w14:paraId="469C315E" w14:textId="6488DC57" w:rsidR="00CE019E" w:rsidRPr="007F4CC8" w:rsidRDefault="00CD362D" w:rsidP="00CE019E">
      <w:pPr>
        <w:rPr>
          <w:rFonts w:ascii="Times New Roman" w:hAnsi="Times New Roman" w:cs="Times New Roman"/>
          <w:b/>
          <w:bCs/>
          <w:sz w:val="24"/>
        </w:rPr>
      </w:pPr>
      <w:r>
        <w:rPr>
          <w:rFonts w:ascii="Times New Roman" w:hAnsi="Times New Roman"/>
          <w:b/>
          <w:bCs/>
          <w:sz w:val="24"/>
        </w:rPr>
        <w:lastRenderedPageBreak/>
        <w:t>Obrazac EU CC2 – Usklađenje regulatornog kapitala i bilance u revidiranim financijskim izvješćima</w:t>
      </w:r>
    </w:p>
    <w:p w14:paraId="711EC574" w14:textId="77777777" w:rsidR="00CE019E" w:rsidRPr="007F4CC8" w:rsidRDefault="00CE019E" w:rsidP="00CE019E">
      <w:pPr>
        <w:rPr>
          <w:rFonts w:ascii="Times New Roman" w:hAnsi="Times New Roman" w:cs="Times New Roman"/>
          <w:b/>
          <w:sz w:val="24"/>
        </w:rPr>
      </w:pPr>
    </w:p>
    <w:p w14:paraId="4489D8F8" w14:textId="736639C4"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Institucije objavljuju informacije iz članka 437. točke (a) CRR-a ispunjavanjem obrasca EU CC2 iz Priloga VII. ovoj Provedbenoj uredbi prema uputama iz ovog Priloga.</w:t>
      </w:r>
    </w:p>
    <w:p w14:paraId="7755763C"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Institucije objavljuju bilancu iz svojih objavljenih financijskih izvješća. Financijska izvješća su revidirana financijska izvješća za objave na kraju godine.</w:t>
      </w:r>
    </w:p>
    <w:p w14:paraId="24A5DB54" w14:textId="383A6011"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Redci u ovom obrascu su fleksibilni i institucije ih popunjavaju u skladu sa svojim financijskim izvješćima. Stavke regulatornog kapitala u revidiranim financijskim izvješćima uključuju sve stavke koje su komponente regulatornog kapitala ili sve stavke koje su odbijene od regulatornog kapitala, uključujući kapital, obveze kao što su dugovanja, ili druge stavke bilance koje utječu na regulatorni kapital, kao što su nematerijalna imovina, </w:t>
      </w:r>
      <w:proofErr w:type="spellStart"/>
      <w:r>
        <w:rPr>
          <w:rFonts w:ascii="Times New Roman" w:hAnsi="Times New Roman"/>
          <w:bCs/>
          <w:sz w:val="24"/>
        </w:rPr>
        <w:t>goodwill</w:t>
      </w:r>
      <w:proofErr w:type="spellEnd"/>
      <w:r>
        <w:rPr>
          <w:rFonts w:ascii="Times New Roman" w:hAnsi="Times New Roman"/>
          <w:bCs/>
          <w:sz w:val="24"/>
        </w:rPr>
        <w:t>, odgođena porezna imovina. Institucije prema potrebi proširuju stavke regulatornog kapitala iz bilance kako bi osigurale da su sve komponente uključene u obrazac za objavu sastava regulatornog kapitala (obrazac EU CC1) iskazane zasebno. Institucije proširuju elemente bilance samo do razine detaljnosti potrebne za dobivanje komponenti koje se propisuju u obrascu EU CC1. Objave su proporcionalne složenosti bilance institucije.</w:t>
      </w:r>
    </w:p>
    <w:p w14:paraId="09DBDEFD"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Stupci su fiksni i informacije se objavljuju kako slijedi:</w:t>
      </w:r>
    </w:p>
    <w:p w14:paraId="53064F99" w14:textId="77777777"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stupac a: institucije iskazuju brojčane vrijednosti iskazane u bilanci iz svojih objavljenih financijskih izvješća u skladu s opsegom računovodstvene konsolidacije;</w:t>
      </w:r>
    </w:p>
    <w:p w14:paraId="3428898F" w14:textId="3B3E5BD7"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stupac b: institucije iskazuju brojčane vrijednosti u skladu s opsegom bonitetne konsolidacije;</w:t>
      </w:r>
    </w:p>
    <w:p w14:paraId="1231F8C9" w14:textId="3DBDE6EC"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stupac c: institucije iskazuju uzajamno upućivanje između stavke regulatornog kapitala u obrascu EU CC2 i relevantnih stavki u obrascu za objavu regulatornog kapitala EU CC1. Upućivanje u stupcu c obrasca EU CC2 treba povezati s upućivanjem u stupcu b obrasca EU CC1.</w:t>
      </w:r>
    </w:p>
    <w:p w14:paraId="2221F596" w14:textId="62562A62"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 Opseg računovodstvene konsolidacije institucija i opseg bonitetne konsolidacije u sljedećim su slučajevima potpuno jednaki te se stupci (a) i (b)</w:t>
      </w:r>
      <w:r>
        <w:rPr>
          <w:rFonts w:ascii="Times New Roman" w:hAnsi="Times New Roman"/>
          <w:sz w:val="24"/>
        </w:rPr>
        <w:t xml:space="preserve"> ovog obrasca </w:t>
      </w:r>
      <w:r>
        <w:rPr>
          <w:rFonts w:ascii="Times New Roman" w:hAnsi="Times New Roman"/>
          <w:bCs/>
          <w:sz w:val="24"/>
        </w:rPr>
        <w:t>spajaju i ta se činjenica jasno objavljuje:</w:t>
      </w:r>
    </w:p>
    <w:p w14:paraId="0BD748AC" w14:textId="77777777" w:rsidR="00CE019E" w:rsidRPr="007F4CC8" w:rsidRDefault="00CE019E" w:rsidP="00E70D84">
      <w:pPr>
        <w:pStyle w:val="numberedparagraph"/>
        <w:numPr>
          <w:ilvl w:val="1"/>
          <w:numId w:val="20"/>
        </w:numPr>
        <w:spacing w:line="240" w:lineRule="auto"/>
        <w:ind w:left="709"/>
        <w:rPr>
          <w:rFonts w:ascii="Times New Roman" w:hAnsi="Times New Roman" w:cs="Times New Roman"/>
          <w:bCs/>
          <w:sz w:val="24"/>
        </w:rPr>
      </w:pPr>
      <w:r>
        <w:rPr>
          <w:rFonts w:ascii="Times New Roman" w:hAnsi="Times New Roman"/>
          <w:sz w:val="24"/>
        </w:rPr>
        <w:t>kada institucije ispunjavaju svoje obveze iz dijela osmog CRR-a na konsolidiranoj ili potkonsolidiranoj osnovi, ali su opseg i metoda konsolidacije u skladu s kojima je sastavljena bilanca u financijskim izvješćima jednaki opsegu i metodi konsolidacije koji su definirani u skladu s dijelom prvim glavom II. poglavljem 2. CRR-a, a institucije su jasno navele da nema razlika između tih opsega i metoda konsolidacije;</w:t>
      </w:r>
    </w:p>
    <w:p w14:paraId="5D0BA568" w14:textId="77777777" w:rsidR="00CE019E" w:rsidRPr="007F4CC8" w:rsidRDefault="00CE019E" w:rsidP="00CE019E">
      <w:pPr>
        <w:ind w:left="426"/>
        <w:jc w:val="both"/>
        <w:rPr>
          <w:rFonts w:ascii="Times New Roman" w:hAnsi="Times New Roman" w:cs="Times New Roman"/>
          <w:bCs/>
          <w:sz w:val="24"/>
        </w:rPr>
      </w:pPr>
    </w:p>
    <w:p w14:paraId="22D56618" w14:textId="77777777" w:rsidR="00CE019E" w:rsidRPr="007F4CC8" w:rsidRDefault="00CE019E" w:rsidP="00E70D84">
      <w:pPr>
        <w:pStyle w:val="numberedparagraph"/>
        <w:numPr>
          <w:ilvl w:val="1"/>
          <w:numId w:val="20"/>
        </w:numPr>
        <w:spacing w:line="240" w:lineRule="auto"/>
        <w:ind w:left="709"/>
        <w:rPr>
          <w:rFonts w:ascii="Times New Roman" w:hAnsi="Times New Roman" w:cs="Times New Roman"/>
          <w:bCs/>
          <w:sz w:val="24"/>
        </w:rPr>
      </w:pPr>
      <w:r>
        <w:rPr>
          <w:rFonts w:ascii="Times New Roman" w:hAnsi="Times New Roman"/>
          <w:sz w:val="24"/>
        </w:rPr>
        <w:t>kada institucije ispunjavaju svoje obveze iz dijela osmog CRR-a na pojedinačnoj osnovi.</w:t>
      </w:r>
    </w:p>
    <w:p w14:paraId="6FBA5BFD" w14:textId="77777777" w:rsidR="00CE019E" w:rsidRPr="007F4CC8" w:rsidRDefault="00CE019E" w:rsidP="00CE019E">
      <w:pPr>
        <w:pStyle w:val="ListParagraph"/>
        <w:rPr>
          <w:rFonts w:ascii="Times New Roman" w:hAnsi="Times New Roman"/>
          <w:bCs/>
          <w:sz w:val="24"/>
          <w:szCs w:val="24"/>
        </w:rPr>
      </w:pPr>
    </w:p>
    <w:p w14:paraId="5B67FEBB" w14:textId="40EFC2E3" w:rsidR="00CE019E" w:rsidRPr="007F4CC8" w:rsidRDefault="00D95507" w:rsidP="00CE019E">
      <w:pPr>
        <w:rPr>
          <w:rFonts w:ascii="Times New Roman" w:hAnsi="Times New Roman" w:cs="Times New Roman"/>
          <w:b/>
          <w:bCs/>
          <w:sz w:val="24"/>
        </w:rPr>
      </w:pPr>
      <w:r>
        <w:rPr>
          <w:rFonts w:ascii="Times New Roman" w:hAnsi="Times New Roman"/>
          <w:b/>
          <w:bCs/>
          <w:sz w:val="24"/>
        </w:rPr>
        <w:t>Tablica EU CCA – Glavne značajke instrumenata regulatornog kapitala i instrumenata prihvatljivih obveza</w:t>
      </w:r>
    </w:p>
    <w:p w14:paraId="3FA435A8" w14:textId="77777777" w:rsidR="00CE019E" w:rsidRPr="007F4CC8" w:rsidRDefault="00CE019E" w:rsidP="00CE019E">
      <w:pPr>
        <w:rPr>
          <w:rFonts w:ascii="Times New Roman" w:hAnsi="Times New Roman" w:cs="Times New Roman"/>
          <w:b/>
          <w:bCs/>
          <w:sz w:val="24"/>
        </w:rPr>
      </w:pPr>
    </w:p>
    <w:p w14:paraId="19AB5330" w14:textId="2801B156"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Institucije objavljuju informacije iz članka 437. točaka (b) i (c) CRR-a ispunjavanjem obrasca EU CCA iz Priloga VII. ovoj Provedbenoj uredbi prema uputama iz ovog Priloga.</w:t>
      </w:r>
    </w:p>
    <w:p w14:paraId="5CA31427" w14:textId="48EC6264"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Institucije ispunjavaju tablicu EU CCA za sljedeće kategorije: instrumenti redovnog osnovnog kapitala, instrumenti dodatnog osnovnog kapitala te, u smislu članka 72.b CRR-a, instrumenti prihvatljivih obveza.</w:t>
      </w:r>
    </w:p>
    <w:p w14:paraId="77491373"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Tablica sadržava zasebne stupce sa značajkama svakog instrumenta redovnog osnovnog kapitala i instrumenta prihvatljivih obveza. Ako različiti instrumenti iz iste kategorije imaju jednake značajke, institucije mogu ispuniti samo jedan stupac i u njemu objaviti te jednake značajke te navesti izdanja na koja se jednake značajke odnose. Pri objavi informacija o tim instrumentima u stupcima, institucije su ih dužne grupirati u tri odjeljka (horizontalno duž tablice) i tako naznačiti ispunjavaju li se njima i. samo zahtjevi za regulatorni kapital (ali ne i za prihvatljive obveze); ii. zahtjevi za regulatorni kapital i zahtjevi za prihvatljive obveze ili iii. samo zahtjevi za prihvatljive obveze (ali ne i za regulatorni kapital).</w:t>
      </w:r>
      <w:r>
        <w:tab/>
      </w:r>
    </w:p>
    <w:p w14:paraId="497C2993"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Za instrumente prihvatljivih obveza koji nisu podređeni isključenim obvezama institucije objavljuju samo vrijednosne papire koji su zamjenjivi i prenosive financijske instrumente, pri čemu su isključeni krediti i depoziti.</w:t>
      </w:r>
    </w:p>
    <w:p w14:paraId="3B53BD8D" w14:textId="77777777" w:rsidR="00CE019E" w:rsidRPr="007F4CC8" w:rsidRDefault="00CE019E" w:rsidP="00CE019E">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CE019E" w:rsidRPr="007F4CC8" w14:paraId="6A50FE3C" w14:textId="77777777" w:rsidTr="001E06A3">
        <w:trPr>
          <w:trHeight w:val="259"/>
        </w:trPr>
        <w:tc>
          <w:tcPr>
            <w:tcW w:w="8691" w:type="dxa"/>
            <w:gridSpan w:val="2"/>
            <w:shd w:val="clear" w:color="auto" w:fill="D9D9D9" w:themeFill="background1" w:themeFillShade="D9"/>
          </w:tcPr>
          <w:p w14:paraId="169B9933"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Upute za ispunjavanje tablice o glavnim značajkama instrumenata regulatornog kapitala i instrumenata prihvatljivih obveza</w:t>
            </w:r>
          </w:p>
        </w:tc>
      </w:tr>
      <w:tr w:rsidR="00CE019E" w:rsidRPr="007F4CC8" w14:paraId="7D4DB341" w14:textId="77777777" w:rsidTr="001E06A3">
        <w:trPr>
          <w:trHeight w:val="259"/>
        </w:trPr>
        <w:tc>
          <w:tcPr>
            <w:tcW w:w="1030" w:type="dxa"/>
            <w:shd w:val="clear" w:color="auto" w:fill="D9D9D9" w:themeFill="background1" w:themeFillShade="D9"/>
            <w:vAlign w:val="center"/>
          </w:tcPr>
          <w:p w14:paraId="4036334A"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Broj retka</w:t>
            </w:r>
          </w:p>
        </w:tc>
        <w:tc>
          <w:tcPr>
            <w:tcW w:w="7661" w:type="dxa"/>
            <w:shd w:val="clear" w:color="auto" w:fill="D9D9D9" w:themeFill="background1" w:themeFillShade="D9"/>
            <w:noWrap/>
            <w:vAlign w:val="bottom"/>
          </w:tcPr>
          <w:p w14:paraId="7A5A8282"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Objašnjenje</w:t>
            </w:r>
          </w:p>
        </w:tc>
      </w:tr>
      <w:tr w:rsidR="00CE019E" w:rsidRPr="007F4CC8" w14:paraId="0B461E80" w14:textId="77777777" w:rsidTr="001E06A3">
        <w:trPr>
          <w:trHeight w:val="259"/>
        </w:trPr>
        <w:tc>
          <w:tcPr>
            <w:tcW w:w="1030" w:type="dxa"/>
            <w:vAlign w:val="center"/>
          </w:tcPr>
          <w:p w14:paraId="28E2B28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w:t>
            </w:r>
          </w:p>
        </w:tc>
        <w:tc>
          <w:tcPr>
            <w:tcW w:w="7661" w:type="dxa"/>
            <w:shd w:val="clear" w:color="auto" w:fill="auto"/>
            <w:noWrap/>
            <w:vAlign w:val="bottom"/>
          </w:tcPr>
          <w:p w14:paraId="1BE7F7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Izdavatelj</w:t>
            </w:r>
          </w:p>
          <w:p w14:paraId="2D045486" w14:textId="36FD331B"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iskazuju naziv pravne osobe izdavatelja.</w:t>
            </w:r>
          </w:p>
          <w:p w14:paraId="1A2B541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Slobodan unos teksta</w:t>
            </w:r>
          </w:p>
        </w:tc>
      </w:tr>
      <w:tr w:rsidR="00CE019E" w:rsidRPr="007F4CC8" w14:paraId="48E68A1E" w14:textId="77777777" w:rsidTr="001E06A3">
        <w:trPr>
          <w:trHeight w:val="259"/>
        </w:trPr>
        <w:tc>
          <w:tcPr>
            <w:tcW w:w="1030" w:type="dxa"/>
            <w:vAlign w:val="center"/>
          </w:tcPr>
          <w:p w14:paraId="1C0CB8B1"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w:t>
            </w:r>
          </w:p>
        </w:tc>
        <w:tc>
          <w:tcPr>
            <w:tcW w:w="7661" w:type="dxa"/>
            <w:shd w:val="clear" w:color="auto" w:fill="auto"/>
            <w:noWrap/>
            <w:vAlign w:val="bottom"/>
          </w:tcPr>
          <w:p w14:paraId="2F162DE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Jedinstvena oznaka (npr. CUSIP, ISIN ili oznaka </w:t>
            </w:r>
            <w:proofErr w:type="spellStart"/>
            <w:r>
              <w:rPr>
                <w:rFonts w:ascii="Times New Roman" w:hAnsi="Times New Roman"/>
                <w:sz w:val="24"/>
              </w:rPr>
              <w:t>Bloomberg</w:t>
            </w:r>
            <w:proofErr w:type="spellEnd"/>
            <w:r>
              <w:rPr>
                <w:rFonts w:ascii="Times New Roman" w:hAnsi="Times New Roman"/>
                <w:sz w:val="24"/>
              </w:rPr>
              <w:t xml:space="preserve"> za privatni plasman)</w:t>
            </w:r>
          </w:p>
          <w:p w14:paraId="00EAC07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Slobodan unos teksta</w:t>
            </w:r>
          </w:p>
        </w:tc>
      </w:tr>
      <w:tr w:rsidR="00CE019E" w:rsidRPr="007F4CC8" w14:paraId="355408A9" w14:textId="77777777" w:rsidTr="001E06A3">
        <w:trPr>
          <w:trHeight w:val="259"/>
        </w:trPr>
        <w:tc>
          <w:tcPr>
            <w:tcW w:w="1030" w:type="dxa"/>
            <w:vAlign w:val="center"/>
          </w:tcPr>
          <w:p w14:paraId="4F4D888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EU-2 a</w:t>
            </w:r>
          </w:p>
        </w:tc>
        <w:tc>
          <w:tcPr>
            <w:tcW w:w="7661" w:type="dxa"/>
            <w:shd w:val="clear" w:color="auto" w:fill="auto"/>
            <w:noWrap/>
            <w:vAlign w:val="bottom"/>
          </w:tcPr>
          <w:p w14:paraId="6C7B69FF" w14:textId="2A9E69E0" w:rsidR="00CE019E" w:rsidRPr="007F4CC8" w:rsidRDefault="001613AA"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Javni ili privatni plasman</w:t>
            </w:r>
          </w:p>
          <w:p w14:paraId="559E5C5D"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Institucije navode je li riječ o javnom ili privatnom plasmanu instrumenata.</w:t>
            </w:r>
          </w:p>
          <w:p w14:paraId="374A380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Odabrati iz izbornika: [Javni] [Privatni]</w:t>
            </w:r>
          </w:p>
        </w:tc>
      </w:tr>
      <w:tr w:rsidR="00CE019E" w:rsidRPr="007F4CC8" w14:paraId="1C5C555B" w14:textId="77777777" w:rsidTr="001E06A3">
        <w:trPr>
          <w:trHeight w:val="259"/>
        </w:trPr>
        <w:tc>
          <w:tcPr>
            <w:tcW w:w="1030" w:type="dxa"/>
            <w:vAlign w:val="center"/>
          </w:tcPr>
          <w:p w14:paraId="73DD03F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w:t>
            </w:r>
          </w:p>
        </w:tc>
        <w:tc>
          <w:tcPr>
            <w:tcW w:w="7661" w:type="dxa"/>
            <w:shd w:val="clear" w:color="auto" w:fill="auto"/>
            <w:noWrap/>
            <w:vAlign w:val="bottom"/>
          </w:tcPr>
          <w:p w14:paraId="00EF4E38"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Propisi kojima se uređuju instrumenti</w:t>
            </w:r>
          </w:p>
          <w:p w14:paraId="77986221"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Institucije navode pravo ili prava kojima su instrumenti uređeni. </w:t>
            </w:r>
          </w:p>
          <w:p w14:paraId="2BF97723"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Slobodan unos teksta </w:t>
            </w:r>
          </w:p>
        </w:tc>
      </w:tr>
      <w:tr w:rsidR="00CE019E" w:rsidRPr="007F4CC8" w14:paraId="6CF1B239" w14:textId="77777777" w:rsidTr="001E06A3">
        <w:trPr>
          <w:trHeight w:val="259"/>
        </w:trPr>
        <w:tc>
          <w:tcPr>
            <w:tcW w:w="1030" w:type="dxa"/>
            <w:vAlign w:val="center"/>
          </w:tcPr>
          <w:p w14:paraId="1D433D2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3a</w:t>
            </w:r>
          </w:p>
        </w:tc>
        <w:tc>
          <w:tcPr>
            <w:tcW w:w="7661" w:type="dxa"/>
            <w:shd w:val="clear" w:color="auto" w:fill="auto"/>
            <w:noWrap/>
            <w:vAlign w:val="bottom"/>
          </w:tcPr>
          <w:p w14:paraId="378DEABE"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Ugovorno priznavanje ovlasti sanacijskih tijela za otpis i konverziju</w:t>
            </w:r>
          </w:p>
          <w:p w14:paraId="5A73523D" w14:textId="2BE2AB92"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lastRenderedPageBreak/>
              <w:t>Institucije navode sadržava li instrument odredbu prema kojoj se, nakon odluke sanacijskog tijela ili relevantnog tijela treće zemlje, glavnica instrumenta trajno otpisuje ili se instrument konvertira u instrument redovnog osnovnog kapitala, u smislu, ako je primjenjivo, sljedećih odredaba:</w:t>
            </w:r>
          </w:p>
          <w:p w14:paraId="1526D87D" w14:textId="1D865822"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u vezi s instrumentima dodatnog osnovnog kapitala članak 52. stavak 1. točka (p) CRR-a,</w:t>
            </w:r>
          </w:p>
          <w:p w14:paraId="0E4BDD39" w14:textId="611C660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u vezi s instrumentima dopunskog kapitala članak 63. točka (n) ili točka (o) CRR-a,</w:t>
            </w:r>
          </w:p>
          <w:p w14:paraId="0F7294D3" w14:textId="53ACA96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u vezi s prihvatljivim obvezama članak 72.b stavak 2. točka (n) CRR-a,</w:t>
            </w:r>
          </w:p>
          <w:p w14:paraId="39C41036"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 u vezi sa svime navedenim i uređenim pravom treće zemlje članak 55. Direktive (EU) 2019/879 </w:t>
            </w:r>
            <w:r>
              <w:rPr>
                <w:rStyle w:val="FootnoteReference"/>
                <w:rFonts w:ascii="Times New Roman" w:eastAsia="Times New Roman" w:hAnsi="Times New Roman" w:cs="Times New Roman"/>
                <w:sz w:val="24"/>
                <w:szCs w:val="24"/>
                <w:lang w:eastAsia="en-GB"/>
              </w:rPr>
              <w:footnoteReference w:id="16"/>
            </w:r>
            <w:r>
              <w:rPr>
                <w:rFonts w:ascii="Times New Roman" w:hAnsi="Times New Roman"/>
                <w:sz w:val="24"/>
              </w:rPr>
              <w:t>(„BRRD”).</w:t>
            </w:r>
          </w:p>
          <w:p w14:paraId="31AEABE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Otpis i konverzija mogu biti u skladu s člankom 55. BRRD-a i bilo kojom od prve tri alineje.</w:t>
            </w:r>
          </w:p>
          <w:p w14:paraId="15049C6D"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Odabrati iz izbornika: [DA] [NE]</w:t>
            </w:r>
          </w:p>
        </w:tc>
      </w:tr>
      <w:tr w:rsidR="00CE019E" w:rsidRPr="007F4CC8" w14:paraId="00E754E3" w14:textId="77777777" w:rsidTr="001E06A3">
        <w:trPr>
          <w:trHeight w:val="259"/>
        </w:trPr>
        <w:tc>
          <w:tcPr>
            <w:tcW w:w="1030" w:type="dxa"/>
            <w:vAlign w:val="center"/>
          </w:tcPr>
          <w:p w14:paraId="0F4F307E"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4</w:t>
            </w:r>
          </w:p>
        </w:tc>
        <w:tc>
          <w:tcPr>
            <w:tcW w:w="7661" w:type="dxa"/>
            <w:shd w:val="clear" w:color="auto" w:fill="auto"/>
            <w:noWrap/>
            <w:vAlign w:val="bottom"/>
          </w:tcPr>
          <w:p w14:paraId="6C0407F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Aktualni tretman s obzirom na, ovisno o slučaju, prijelazna pravila CRR-a</w:t>
            </w:r>
          </w:p>
          <w:p w14:paraId="71B1B54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navode prijelazni tretman regulatornog kapitala sadržan u CRR-u. Izvorna klasifikacija instrumenta je referentna točka neovisno o mogućoj reklasifikaciji u druge razine regulatornog kapitala.</w:t>
            </w:r>
          </w:p>
          <w:p w14:paraId="4983D05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Odabrati iz izbornika: [Redovni osnovni kapital] [Dodatni osnovni kapital] [Dopunski kapital] [Neprihvatljivo] [Nije primjenjivo]</w:t>
            </w:r>
          </w:p>
          <w:p w14:paraId="60DC5CF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 xml:space="preserve">Slobodan unos teksta – navesti je li dio izdanja </w:t>
            </w:r>
            <w:proofErr w:type="spellStart"/>
            <w:r>
              <w:rPr>
                <w:rFonts w:ascii="Times New Roman" w:hAnsi="Times New Roman"/>
                <w:i/>
                <w:sz w:val="24"/>
              </w:rPr>
              <w:t>reklasificiran</w:t>
            </w:r>
            <w:proofErr w:type="spellEnd"/>
            <w:r>
              <w:rPr>
                <w:rFonts w:ascii="Times New Roman" w:hAnsi="Times New Roman"/>
                <w:i/>
                <w:sz w:val="24"/>
              </w:rPr>
              <w:t xml:space="preserve"> u niže razine kapitala</w:t>
            </w:r>
          </w:p>
        </w:tc>
      </w:tr>
      <w:tr w:rsidR="00CE019E" w:rsidRPr="007F4CC8" w14:paraId="3D250963" w14:textId="77777777" w:rsidTr="001E06A3">
        <w:trPr>
          <w:trHeight w:val="259"/>
        </w:trPr>
        <w:tc>
          <w:tcPr>
            <w:tcW w:w="1030" w:type="dxa"/>
            <w:vAlign w:val="center"/>
          </w:tcPr>
          <w:p w14:paraId="45B0442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5</w:t>
            </w:r>
          </w:p>
        </w:tc>
        <w:tc>
          <w:tcPr>
            <w:tcW w:w="7661" w:type="dxa"/>
            <w:shd w:val="clear" w:color="auto" w:fill="auto"/>
            <w:noWrap/>
            <w:vAlign w:val="bottom"/>
          </w:tcPr>
          <w:p w14:paraId="163490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Pravila CRR-a nakon prijelaznog razdoblja</w:t>
            </w:r>
          </w:p>
          <w:p w14:paraId="7985158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Institucije navode tretman regulatornog kapitala u skladu s CRR-om neovisno o prijelaznom tretmanu. </w:t>
            </w:r>
          </w:p>
          <w:p w14:paraId="0197F1D4" w14:textId="4A020CB6"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Odabrati iz izbornika: [Redovni osnovni kapital] [Dodatni osnovni kapital] [Dopunski kapital]</w:t>
            </w:r>
            <w:r>
              <w:t xml:space="preserve"> </w:t>
            </w:r>
            <w:r>
              <w:rPr>
                <w:rFonts w:ascii="Times New Roman" w:hAnsi="Times New Roman"/>
                <w:i/>
                <w:sz w:val="24"/>
              </w:rPr>
              <w:t>] [Prihvatljive obveze] [Neprihvatljivo]</w:t>
            </w:r>
          </w:p>
        </w:tc>
      </w:tr>
      <w:tr w:rsidR="00CE019E" w:rsidRPr="007F4CC8" w14:paraId="0FB018D1" w14:textId="77777777" w:rsidTr="001E06A3">
        <w:trPr>
          <w:trHeight w:val="259"/>
        </w:trPr>
        <w:tc>
          <w:tcPr>
            <w:tcW w:w="1030" w:type="dxa"/>
            <w:vAlign w:val="center"/>
          </w:tcPr>
          <w:p w14:paraId="50E5FDB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6</w:t>
            </w:r>
          </w:p>
        </w:tc>
        <w:tc>
          <w:tcPr>
            <w:tcW w:w="7661" w:type="dxa"/>
            <w:shd w:val="clear" w:color="auto" w:fill="auto"/>
            <w:noWrap/>
            <w:vAlign w:val="bottom"/>
          </w:tcPr>
          <w:p w14:paraId="2243709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Priznat na pojedinačnoj / (</w:t>
            </w:r>
            <w:proofErr w:type="spellStart"/>
            <w:r>
              <w:rPr>
                <w:rFonts w:ascii="Times New Roman" w:hAnsi="Times New Roman"/>
                <w:sz w:val="24"/>
              </w:rPr>
              <w:t>pot</w:t>
            </w:r>
            <w:proofErr w:type="spellEnd"/>
            <w:r>
              <w:rPr>
                <w:rFonts w:ascii="Times New Roman" w:hAnsi="Times New Roman"/>
                <w:sz w:val="24"/>
              </w:rPr>
              <w:t>)konsolidiranoj / pojedinačnoj i (</w:t>
            </w:r>
            <w:proofErr w:type="spellStart"/>
            <w:r>
              <w:rPr>
                <w:rFonts w:ascii="Times New Roman" w:hAnsi="Times New Roman"/>
                <w:sz w:val="24"/>
              </w:rPr>
              <w:t>pot</w:t>
            </w:r>
            <w:proofErr w:type="spellEnd"/>
            <w:r>
              <w:rPr>
                <w:rFonts w:ascii="Times New Roman" w:hAnsi="Times New Roman"/>
                <w:sz w:val="24"/>
              </w:rPr>
              <w:t>)konsolidiranoj osnovi</w:t>
            </w:r>
          </w:p>
          <w:p w14:paraId="1042DDD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navode razinu ili razine unutar grupe na kojima je instrument uvršten u regulatorni kapital ili prihvatljive obveze.</w:t>
            </w:r>
          </w:p>
          <w:p w14:paraId="7044850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Odabrati iz izbornika: [Pojedinačno] [(</w:t>
            </w:r>
            <w:proofErr w:type="spellStart"/>
            <w:r>
              <w:rPr>
                <w:rFonts w:ascii="Times New Roman" w:hAnsi="Times New Roman"/>
                <w:i/>
                <w:sz w:val="24"/>
              </w:rPr>
              <w:t>Pot</w:t>
            </w:r>
            <w:proofErr w:type="spellEnd"/>
            <w:r>
              <w:rPr>
                <w:rFonts w:ascii="Times New Roman" w:hAnsi="Times New Roman"/>
                <w:i/>
                <w:sz w:val="24"/>
              </w:rPr>
              <w:t>)konsolidirano] [Pojedinačno i (</w:t>
            </w:r>
            <w:proofErr w:type="spellStart"/>
            <w:r>
              <w:rPr>
                <w:rFonts w:ascii="Times New Roman" w:hAnsi="Times New Roman"/>
                <w:i/>
                <w:sz w:val="24"/>
              </w:rPr>
              <w:t>pot</w:t>
            </w:r>
            <w:proofErr w:type="spellEnd"/>
            <w:r>
              <w:rPr>
                <w:rFonts w:ascii="Times New Roman" w:hAnsi="Times New Roman"/>
                <w:i/>
                <w:sz w:val="24"/>
              </w:rPr>
              <w:t>)konsolidirano]</w:t>
            </w:r>
          </w:p>
        </w:tc>
      </w:tr>
      <w:tr w:rsidR="00CE019E" w:rsidRPr="007F4CC8" w14:paraId="64DEB51C" w14:textId="77777777" w:rsidTr="001E06A3">
        <w:trPr>
          <w:trHeight w:val="259"/>
        </w:trPr>
        <w:tc>
          <w:tcPr>
            <w:tcW w:w="1030" w:type="dxa"/>
            <w:vAlign w:val="center"/>
          </w:tcPr>
          <w:p w14:paraId="71B4B11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7</w:t>
            </w:r>
          </w:p>
        </w:tc>
        <w:tc>
          <w:tcPr>
            <w:tcW w:w="7661" w:type="dxa"/>
            <w:shd w:val="clear" w:color="auto" w:fill="auto"/>
            <w:noWrap/>
            <w:vAlign w:val="bottom"/>
          </w:tcPr>
          <w:p w14:paraId="3BFB7F4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Vrsta instrumenta (vrste utvrđuje svaka država)</w:t>
            </w:r>
          </w:p>
          <w:p w14:paraId="3A4F77D4" w14:textId="27F9A128"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Institucije navode vrstu instrumenta, ovisno o jurisdikciji. </w:t>
            </w:r>
          </w:p>
          <w:p w14:paraId="15B4C51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Za instrumente redovnog osnovnog kapitala odabrati naziv instrumenta s popisa redovnog osnovnog kapitala koji EBA objavljuje u skladu s člankom 26. stavkom 3. CRR-a.</w:t>
            </w:r>
          </w:p>
          <w:p w14:paraId="52FA3C0E"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Za ostale instrumente odabrati iz: opcija izbornika koje institucije dobiju od svake jurisdikcije – treba umetnuti pravna upućivanja na članke CRR-a za svaku vrstu instrumenta</w:t>
            </w:r>
          </w:p>
        </w:tc>
      </w:tr>
      <w:tr w:rsidR="00CE019E" w:rsidRPr="007F4CC8" w14:paraId="398A85AC" w14:textId="77777777" w:rsidTr="001E06A3">
        <w:trPr>
          <w:trHeight w:val="259"/>
        </w:trPr>
        <w:tc>
          <w:tcPr>
            <w:tcW w:w="1030" w:type="dxa"/>
            <w:vAlign w:val="center"/>
          </w:tcPr>
          <w:p w14:paraId="4ED6CCB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8</w:t>
            </w:r>
          </w:p>
        </w:tc>
        <w:tc>
          <w:tcPr>
            <w:tcW w:w="7661" w:type="dxa"/>
            <w:shd w:val="clear" w:color="auto" w:fill="auto"/>
            <w:noWrap/>
            <w:vAlign w:val="bottom"/>
          </w:tcPr>
          <w:p w14:paraId="21783E48" w14:textId="6520CEAB"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Iznos priznat u regulatornom kapitalu ili prihvatljivim obvezama (valuta u milijunima, na zadnji datum izvještavanja)</w:t>
            </w:r>
          </w:p>
          <w:p w14:paraId="1CFA13A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navode iznos koji je priznat u regulatornom kapitalu ili prihvatljivim obvezama.</w:t>
            </w:r>
          </w:p>
          <w:p w14:paraId="40D153D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Slobodan unos teksta – osobito naznačiti ako su neki dijelovi instrumenata u različitim razinama regulatornog kapitala i ako se iznos priznat u regulatornom kapitalu razlikuje od izdanog iznosa.</w:t>
            </w:r>
          </w:p>
        </w:tc>
      </w:tr>
      <w:tr w:rsidR="00CE019E" w:rsidRPr="007F4CC8" w14:paraId="63AC0550" w14:textId="77777777" w:rsidTr="001E06A3">
        <w:trPr>
          <w:trHeight w:val="259"/>
        </w:trPr>
        <w:tc>
          <w:tcPr>
            <w:tcW w:w="1030" w:type="dxa"/>
            <w:vAlign w:val="center"/>
          </w:tcPr>
          <w:p w14:paraId="1236E92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9</w:t>
            </w:r>
          </w:p>
        </w:tc>
        <w:tc>
          <w:tcPr>
            <w:tcW w:w="7661" w:type="dxa"/>
            <w:shd w:val="clear" w:color="auto" w:fill="auto"/>
            <w:noWrap/>
            <w:vAlign w:val="bottom"/>
          </w:tcPr>
          <w:p w14:paraId="5F9B7CE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Nominalni iznos instrumenta </w:t>
            </w:r>
          </w:p>
          <w:p w14:paraId="6B1437F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Nominalni iznos instrumenta u valuti izdanja i izvještajnoj valuti.</w:t>
            </w:r>
          </w:p>
          <w:p w14:paraId="01B3A420"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Slobodan unos teksta</w:t>
            </w:r>
          </w:p>
        </w:tc>
      </w:tr>
      <w:tr w:rsidR="00CE019E" w:rsidRPr="007F4CC8" w14:paraId="0260D38B" w14:textId="77777777" w:rsidTr="001E06A3">
        <w:trPr>
          <w:trHeight w:val="259"/>
        </w:trPr>
        <w:tc>
          <w:tcPr>
            <w:tcW w:w="1030" w:type="dxa"/>
            <w:vAlign w:val="center"/>
          </w:tcPr>
          <w:p w14:paraId="5954B5EA"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EU-9a</w:t>
            </w:r>
          </w:p>
        </w:tc>
        <w:tc>
          <w:tcPr>
            <w:tcW w:w="7661" w:type="dxa"/>
            <w:shd w:val="clear" w:color="auto" w:fill="auto"/>
            <w:noWrap/>
            <w:vAlign w:val="bottom"/>
          </w:tcPr>
          <w:p w14:paraId="21D3B96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Cijena izdanja</w:t>
            </w:r>
          </w:p>
          <w:p w14:paraId="527CBE1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Cijena izdanja instrumenta</w:t>
            </w:r>
          </w:p>
          <w:p w14:paraId="16958D77"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Slobodan unos teksta</w:t>
            </w:r>
          </w:p>
        </w:tc>
      </w:tr>
      <w:tr w:rsidR="00CE019E" w:rsidRPr="007F4CC8" w14:paraId="4AB965BD" w14:textId="77777777" w:rsidTr="001E06A3">
        <w:trPr>
          <w:trHeight w:val="259"/>
        </w:trPr>
        <w:tc>
          <w:tcPr>
            <w:tcW w:w="1030" w:type="dxa"/>
            <w:vAlign w:val="center"/>
          </w:tcPr>
          <w:p w14:paraId="57A02FA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EU-9b</w:t>
            </w:r>
          </w:p>
        </w:tc>
        <w:tc>
          <w:tcPr>
            <w:tcW w:w="7661" w:type="dxa"/>
            <w:shd w:val="clear" w:color="auto" w:fill="auto"/>
            <w:noWrap/>
            <w:vAlign w:val="bottom"/>
          </w:tcPr>
          <w:p w14:paraId="3750B6F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Otkupna cijena</w:t>
            </w:r>
          </w:p>
          <w:p w14:paraId="2E88136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Otkupna cijena instrumenta</w:t>
            </w:r>
          </w:p>
          <w:p w14:paraId="355CF89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Slobodan unos teksta</w:t>
            </w:r>
          </w:p>
        </w:tc>
      </w:tr>
      <w:tr w:rsidR="00CE019E" w:rsidRPr="007F4CC8" w14:paraId="0A32ABEF" w14:textId="77777777" w:rsidTr="001E06A3">
        <w:trPr>
          <w:trHeight w:val="259"/>
        </w:trPr>
        <w:tc>
          <w:tcPr>
            <w:tcW w:w="1030" w:type="dxa"/>
            <w:vAlign w:val="center"/>
          </w:tcPr>
          <w:p w14:paraId="4580D5EE"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10</w:t>
            </w:r>
          </w:p>
        </w:tc>
        <w:tc>
          <w:tcPr>
            <w:tcW w:w="7661" w:type="dxa"/>
            <w:shd w:val="clear" w:color="auto" w:fill="auto"/>
            <w:noWrap/>
            <w:vAlign w:val="bottom"/>
          </w:tcPr>
          <w:p w14:paraId="7A9BF6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Računovodstvena klasifikacija</w:t>
            </w:r>
          </w:p>
          <w:p w14:paraId="4C422F6B" w14:textId="50A90769"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navode računovodstvenu klasifikaciju.</w:t>
            </w:r>
          </w:p>
          <w:p w14:paraId="2221EA9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Odabrati iz izbornika: [Dionički kapital] [Obveza – amortizirani trošak] [Obveza – opcija fer vrijednosti] [Nekontrolirajući udio u konsolidiranom društvu kćeri]</w:t>
            </w:r>
          </w:p>
        </w:tc>
      </w:tr>
      <w:tr w:rsidR="00CE019E" w:rsidRPr="007F4CC8" w14:paraId="2056D050" w14:textId="77777777" w:rsidTr="001E06A3">
        <w:trPr>
          <w:trHeight w:val="259"/>
        </w:trPr>
        <w:tc>
          <w:tcPr>
            <w:tcW w:w="1030" w:type="dxa"/>
            <w:vAlign w:val="center"/>
          </w:tcPr>
          <w:p w14:paraId="54FA9EF4"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11</w:t>
            </w:r>
          </w:p>
        </w:tc>
        <w:tc>
          <w:tcPr>
            <w:tcW w:w="7661" w:type="dxa"/>
            <w:shd w:val="clear" w:color="auto" w:fill="auto"/>
            <w:noWrap/>
            <w:vAlign w:val="bottom"/>
          </w:tcPr>
          <w:p w14:paraId="2DB0DA2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Izvorni datum izdavanja</w:t>
            </w:r>
          </w:p>
          <w:p w14:paraId="74AD9FA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navode datum izdavanja.</w:t>
            </w:r>
          </w:p>
          <w:p w14:paraId="43D3685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Slobodan unos teksta</w:t>
            </w:r>
          </w:p>
        </w:tc>
      </w:tr>
      <w:tr w:rsidR="00CE019E" w:rsidRPr="007F4CC8" w14:paraId="1184FB84" w14:textId="77777777" w:rsidTr="001E06A3">
        <w:trPr>
          <w:trHeight w:val="259"/>
        </w:trPr>
        <w:tc>
          <w:tcPr>
            <w:tcW w:w="1030" w:type="dxa"/>
            <w:vAlign w:val="center"/>
          </w:tcPr>
          <w:p w14:paraId="3D82467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12</w:t>
            </w:r>
          </w:p>
        </w:tc>
        <w:tc>
          <w:tcPr>
            <w:tcW w:w="7661" w:type="dxa"/>
            <w:shd w:val="clear" w:color="auto" w:fill="auto"/>
            <w:noWrap/>
            <w:vAlign w:val="bottom"/>
          </w:tcPr>
          <w:p w14:paraId="49D5D59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Bez dospijeća ili s dospijećem </w:t>
            </w:r>
          </w:p>
          <w:p w14:paraId="2B6FC89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navode je li instrument s dospijećem ili bez dospijeća.</w:t>
            </w:r>
          </w:p>
          <w:p w14:paraId="7A6F0E50"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Odabrati iz izbornika: [Bez dospijeća] [S dospijećem]</w:t>
            </w:r>
          </w:p>
        </w:tc>
      </w:tr>
      <w:tr w:rsidR="00CE019E" w:rsidRPr="007F4CC8" w14:paraId="1290704E" w14:textId="77777777" w:rsidTr="001E06A3">
        <w:trPr>
          <w:trHeight w:val="259"/>
        </w:trPr>
        <w:tc>
          <w:tcPr>
            <w:tcW w:w="1030" w:type="dxa"/>
            <w:vAlign w:val="center"/>
          </w:tcPr>
          <w:p w14:paraId="35B1B28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13</w:t>
            </w:r>
          </w:p>
        </w:tc>
        <w:tc>
          <w:tcPr>
            <w:tcW w:w="7661" w:type="dxa"/>
            <w:shd w:val="clear" w:color="auto" w:fill="auto"/>
            <w:noWrap/>
            <w:vAlign w:val="bottom"/>
          </w:tcPr>
          <w:p w14:paraId="7D1A81A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Izvorni rok dospijeća</w:t>
            </w:r>
          </w:p>
          <w:p w14:paraId="7CED3F6E"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Za instrument s dospijećem institucije navode izvorni rok dospijeća (dan, mjesec i godina). Za instrumente bez dospijeća navodi se „Bez dospijeća”. </w:t>
            </w:r>
          </w:p>
          <w:p w14:paraId="34A755B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Slobodan unos teksta</w:t>
            </w:r>
          </w:p>
        </w:tc>
      </w:tr>
      <w:tr w:rsidR="00CE019E" w:rsidRPr="007F4CC8" w14:paraId="6A7F22CA" w14:textId="77777777" w:rsidTr="001E06A3">
        <w:trPr>
          <w:trHeight w:val="259"/>
        </w:trPr>
        <w:tc>
          <w:tcPr>
            <w:tcW w:w="1030" w:type="dxa"/>
            <w:vAlign w:val="center"/>
          </w:tcPr>
          <w:p w14:paraId="4A31087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14</w:t>
            </w:r>
          </w:p>
        </w:tc>
        <w:tc>
          <w:tcPr>
            <w:tcW w:w="7661" w:type="dxa"/>
            <w:shd w:val="clear" w:color="auto" w:fill="auto"/>
            <w:noWrap/>
            <w:vAlign w:val="bottom"/>
          </w:tcPr>
          <w:p w14:paraId="561FD7C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Opcija kupnje izdavatelja uz prethodno odobrenje nadzornog tijela </w:t>
            </w:r>
          </w:p>
          <w:p w14:paraId="1EA535B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navode postoji li opcija kupnje za izdavatelja (sve vrste opcija kupnje)</w:t>
            </w:r>
          </w:p>
          <w:p w14:paraId="4309D00C"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Odabrati iz izbornika: [Da] [Ne]</w:t>
            </w:r>
          </w:p>
        </w:tc>
      </w:tr>
      <w:tr w:rsidR="00CE019E" w:rsidRPr="007F4CC8" w14:paraId="6B22E573" w14:textId="77777777" w:rsidTr="001E06A3">
        <w:trPr>
          <w:trHeight w:val="259"/>
        </w:trPr>
        <w:tc>
          <w:tcPr>
            <w:tcW w:w="1030" w:type="dxa"/>
            <w:vAlign w:val="center"/>
          </w:tcPr>
          <w:p w14:paraId="2A6695B2"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15</w:t>
            </w:r>
          </w:p>
        </w:tc>
        <w:tc>
          <w:tcPr>
            <w:tcW w:w="7661" w:type="dxa"/>
            <w:shd w:val="clear" w:color="auto" w:fill="auto"/>
            <w:noWrap/>
            <w:vAlign w:val="bottom"/>
          </w:tcPr>
          <w:p w14:paraId="3C89A03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Neobvezni datum izvršenja opcije kupnje, uvjetni datumi izvršenja opcije kupnje i otkupna vrijednost</w:t>
            </w:r>
          </w:p>
          <w:p w14:paraId="06D4FE1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Za instrument s opcijom kupnje za izdavatelja institucije navode prvi datum izvršenja opcije kupnje ako instrument ima opciju kupnje na određeni datum (dan, mjesec i godina) te, dodatno, sadržava li instrument opciju kupnje u slučaju određenog poreznog i/ili regulatornog događaja. Institucije navode i otkupnu cijenu, što olakšava procjenu trajnosti.</w:t>
            </w:r>
          </w:p>
          <w:p w14:paraId="34242EC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Slobodan unos teksta</w:t>
            </w:r>
          </w:p>
        </w:tc>
      </w:tr>
      <w:tr w:rsidR="00CE019E" w:rsidRPr="007F4CC8" w14:paraId="4C308292" w14:textId="77777777" w:rsidTr="001E06A3">
        <w:trPr>
          <w:trHeight w:val="259"/>
        </w:trPr>
        <w:tc>
          <w:tcPr>
            <w:tcW w:w="1030" w:type="dxa"/>
            <w:vAlign w:val="center"/>
          </w:tcPr>
          <w:p w14:paraId="34C95B3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16</w:t>
            </w:r>
          </w:p>
        </w:tc>
        <w:tc>
          <w:tcPr>
            <w:tcW w:w="7661" w:type="dxa"/>
            <w:shd w:val="clear" w:color="auto" w:fill="auto"/>
            <w:noWrap/>
            <w:vAlign w:val="bottom"/>
          </w:tcPr>
          <w:p w14:paraId="2BBD69A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Naknadni datumi izvršenja opcije kupnje, prema potrebi</w:t>
            </w:r>
          </w:p>
          <w:p w14:paraId="1C8B249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navode ima li naknadnih datuma izvršenja opcija kupnje i njihovu učestalost, ako je primjenjivo, što olakšava procjenu trajnosti.</w:t>
            </w:r>
          </w:p>
          <w:p w14:paraId="210808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Slobodan unos teksta</w:t>
            </w:r>
          </w:p>
        </w:tc>
      </w:tr>
      <w:tr w:rsidR="00CE019E" w:rsidRPr="007F4CC8" w14:paraId="3600E5F1" w14:textId="77777777" w:rsidTr="001E06A3">
        <w:trPr>
          <w:trHeight w:val="259"/>
        </w:trPr>
        <w:tc>
          <w:tcPr>
            <w:tcW w:w="1030" w:type="dxa"/>
            <w:vAlign w:val="center"/>
          </w:tcPr>
          <w:p w14:paraId="7C0DEB4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17</w:t>
            </w:r>
          </w:p>
        </w:tc>
        <w:tc>
          <w:tcPr>
            <w:tcW w:w="7661" w:type="dxa"/>
            <w:shd w:val="clear" w:color="auto" w:fill="auto"/>
            <w:noWrap/>
            <w:vAlign w:val="bottom"/>
          </w:tcPr>
          <w:p w14:paraId="3D083DF7"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Fiksna ili promjenjiva dividenda/kupon</w:t>
            </w:r>
          </w:p>
          <w:p w14:paraId="003DFCAF"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Institucije navode jesu li kupon/dividenda s fiksnom ili promjenjivom kamatnom stopom tijekom trajanja instrumenta ili su trenutačno s fiksnom, a u budućnosti će biti s promjenjivom kamatnom stopom, ili su trenutačno s promjenjivom, a u budućnosti će biti s fiksnom kamatnom stopom. </w:t>
            </w:r>
          </w:p>
          <w:p w14:paraId="651371C8"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Odabrati iz izbornika: [Fiksna], [Promjenjiva] [Fiksna prema promjenjivoj], [Promjenjiva prema fiksnoj] </w:t>
            </w:r>
          </w:p>
        </w:tc>
      </w:tr>
      <w:tr w:rsidR="00CE019E" w:rsidRPr="007F4CC8" w14:paraId="729A2261" w14:textId="77777777" w:rsidTr="001E06A3">
        <w:trPr>
          <w:trHeight w:val="259"/>
        </w:trPr>
        <w:tc>
          <w:tcPr>
            <w:tcW w:w="1030" w:type="dxa"/>
            <w:vAlign w:val="center"/>
          </w:tcPr>
          <w:p w14:paraId="5B822012"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18</w:t>
            </w:r>
          </w:p>
        </w:tc>
        <w:tc>
          <w:tcPr>
            <w:tcW w:w="7661" w:type="dxa"/>
            <w:shd w:val="clear" w:color="auto" w:fill="auto"/>
            <w:noWrap/>
            <w:vAlign w:val="bottom"/>
          </w:tcPr>
          <w:p w14:paraId="2A15445B"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Kuponska stopa i povezani indeksi </w:t>
            </w:r>
          </w:p>
          <w:p w14:paraId="0CEC2D87"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Institucije navode kuponsku stopu instrumenta i sve povezane indekse koji su referentni za kupon/dividendu. </w:t>
            </w:r>
          </w:p>
          <w:p w14:paraId="5B9B5F0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lastRenderedPageBreak/>
              <w:t xml:space="preserve">Slobodan unos teksta </w:t>
            </w:r>
          </w:p>
        </w:tc>
      </w:tr>
      <w:tr w:rsidR="00CE019E" w:rsidRPr="007F4CC8" w14:paraId="66F214EF" w14:textId="77777777" w:rsidTr="001E06A3">
        <w:trPr>
          <w:trHeight w:val="259"/>
        </w:trPr>
        <w:tc>
          <w:tcPr>
            <w:tcW w:w="1030" w:type="dxa"/>
            <w:vAlign w:val="center"/>
          </w:tcPr>
          <w:p w14:paraId="1E25C6F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19</w:t>
            </w:r>
          </w:p>
        </w:tc>
        <w:tc>
          <w:tcPr>
            <w:tcW w:w="7661" w:type="dxa"/>
            <w:shd w:val="clear" w:color="auto" w:fill="auto"/>
            <w:noWrap/>
            <w:vAlign w:val="bottom"/>
          </w:tcPr>
          <w:p w14:paraId="2A4EE8F1"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Postojanje mehanizama obveznog otkazivanja dividende </w:t>
            </w:r>
          </w:p>
          <w:p w14:paraId="304B3F04"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Institucije navode sprečava li neisplata kupona ili dividende za instrument isplatu dividende na redovne dionice (tj. postoji li mehanizam obveznog otkazivanja dividende). </w:t>
            </w:r>
          </w:p>
          <w:p w14:paraId="51BD51A5"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Odabrati iz izbornika: [da], [ne] </w:t>
            </w:r>
          </w:p>
        </w:tc>
      </w:tr>
      <w:tr w:rsidR="00CE019E" w:rsidRPr="007F4CC8" w14:paraId="7D6625BA" w14:textId="77777777" w:rsidTr="001E06A3">
        <w:trPr>
          <w:trHeight w:val="259"/>
        </w:trPr>
        <w:tc>
          <w:tcPr>
            <w:tcW w:w="1030" w:type="dxa"/>
            <w:vAlign w:val="center"/>
          </w:tcPr>
          <w:p w14:paraId="701A078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EU-20a</w:t>
            </w:r>
          </w:p>
        </w:tc>
        <w:tc>
          <w:tcPr>
            <w:tcW w:w="7661" w:type="dxa"/>
            <w:shd w:val="clear" w:color="auto" w:fill="auto"/>
            <w:noWrap/>
            <w:vAlign w:val="bottom"/>
          </w:tcPr>
          <w:p w14:paraId="31A0167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Puno diskrecijsko pravo, djelomično diskrecijsko pravo ili obvezno (u vremenskom pogledu) </w:t>
            </w:r>
          </w:p>
          <w:p w14:paraId="658BC63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navode ima li izdavatelj puno diskrecijsko pravo, djelomično diskrecijsko pravo ili ne može odlučivati o isplati kupona/dividende. Ako ima puno diskrecijsko pravo otkazati isplate kupona/dividendi u svim okolnostima, institucija je dužna odabrati „puno diskrecijsko pravo” (i ako postoji mehanizam obveznog otkazivanja dividende koji ne može spriječiti instituciju da otkaže isplate po instrumentu). Ako postoje uvjeti koji moraju biti ispunjeni prije otkazivanja isplate (npr. regulatorni kapital ispod određenog praga), institucija je dužna odabrati „djelomično diskrecijsko pravo”. Ako ne može otkazati plaćanje izvan okvira nesolventnosti, institucija mora odabrati „obvezno”.</w:t>
            </w:r>
          </w:p>
          <w:p w14:paraId="3E3F77F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Odabrati iz izbornika: [Puno diskrecijsko pravo] [Djelomično diskrecijsko pravo] [Obvezno]</w:t>
            </w:r>
          </w:p>
          <w:p w14:paraId="23EAAFC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Slobodan unos teksta (navesti razloge za diskrecijsko pravo, postoje li mehanizmi obvezne isplate dividende, mehanizmi obveznog otkazivanja dividende, alternativni mehanizam kuponske isplate (ACSM))</w:t>
            </w:r>
          </w:p>
        </w:tc>
      </w:tr>
      <w:tr w:rsidR="00CE019E" w:rsidRPr="007F4CC8" w14:paraId="3A5F167A" w14:textId="77777777" w:rsidTr="001E06A3">
        <w:trPr>
          <w:trHeight w:val="259"/>
        </w:trPr>
        <w:tc>
          <w:tcPr>
            <w:tcW w:w="1030" w:type="dxa"/>
            <w:vAlign w:val="center"/>
          </w:tcPr>
          <w:p w14:paraId="52C258DD"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EU-20b</w:t>
            </w:r>
          </w:p>
        </w:tc>
        <w:tc>
          <w:tcPr>
            <w:tcW w:w="7661" w:type="dxa"/>
            <w:shd w:val="clear" w:color="auto" w:fill="auto"/>
            <w:noWrap/>
            <w:vAlign w:val="bottom"/>
          </w:tcPr>
          <w:p w14:paraId="04D7FFB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Puno diskrecijsko pravo, djelomično diskrecijsko pravo ili obvezno (u pogledu iznosa) </w:t>
            </w:r>
          </w:p>
          <w:p w14:paraId="6D79B26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navode ima li izdavatelj puno diskrecijsko pravo, djelomično diskrecijsko pravo ili ne može odlučivati o iznosu kupona/dividende.</w:t>
            </w:r>
          </w:p>
          <w:p w14:paraId="70BDBF4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Odabrati iz izbornika: [Puno diskrecijsko pravo] [Djelomično diskrecijsko pravo] [Obvezno]</w:t>
            </w:r>
          </w:p>
        </w:tc>
      </w:tr>
      <w:tr w:rsidR="00CE019E" w:rsidRPr="007F4CC8" w14:paraId="221598C6" w14:textId="77777777" w:rsidTr="001E06A3">
        <w:trPr>
          <w:trHeight w:val="259"/>
        </w:trPr>
        <w:tc>
          <w:tcPr>
            <w:tcW w:w="1030" w:type="dxa"/>
            <w:vAlign w:val="center"/>
          </w:tcPr>
          <w:p w14:paraId="6CEE1584"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21</w:t>
            </w:r>
          </w:p>
        </w:tc>
        <w:tc>
          <w:tcPr>
            <w:tcW w:w="7661" w:type="dxa"/>
            <w:shd w:val="clear" w:color="auto" w:fill="auto"/>
            <w:noWrap/>
            <w:vAlign w:val="bottom"/>
          </w:tcPr>
          <w:p w14:paraId="04BC68E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Postojanje ugovorne odredbe o povećanju prinosa ili drugih poticaja za otkup</w:t>
            </w:r>
          </w:p>
          <w:p w14:paraId="4B12559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navode postoje li ugovorne odredbe o povećanju prinosa ili drugi poticaji za otkup.</w:t>
            </w:r>
          </w:p>
          <w:p w14:paraId="196A679C"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Odabrati iz izbornika: [Da] [Ne]</w:t>
            </w:r>
          </w:p>
        </w:tc>
      </w:tr>
      <w:tr w:rsidR="00CE019E" w:rsidRPr="007F4CC8" w14:paraId="7F13F52F" w14:textId="77777777" w:rsidTr="001E06A3">
        <w:trPr>
          <w:trHeight w:val="259"/>
        </w:trPr>
        <w:tc>
          <w:tcPr>
            <w:tcW w:w="1030" w:type="dxa"/>
            <w:vAlign w:val="center"/>
          </w:tcPr>
          <w:p w14:paraId="3192BA4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22</w:t>
            </w:r>
          </w:p>
        </w:tc>
        <w:tc>
          <w:tcPr>
            <w:tcW w:w="7661" w:type="dxa"/>
            <w:shd w:val="clear" w:color="auto" w:fill="auto"/>
            <w:noWrap/>
            <w:vAlign w:val="bottom"/>
          </w:tcPr>
          <w:p w14:paraId="64FFE651" w14:textId="77777777" w:rsidR="00CE019E" w:rsidRPr="007F4CC8" w:rsidRDefault="00CE019E" w:rsidP="001E06A3">
            <w:pPr>
              <w:spacing w:after="200"/>
              <w:jc w:val="both"/>
              <w:rPr>
                <w:rFonts w:ascii="Times New Roman" w:eastAsia="Times New Roman" w:hAnsi="Times New Roman" w:cs="Times New Roman"/>
                <w:sz w:val="24"/>
              </w:rPr>
            </w:pPr>
            <w:proofErr w:type="spellStart"/>
            <w:r>
              <w:rPr>
                <w:rFonts w:ascii="Times New Roman" w:hAnsi="Times New Roman"/>
                <w:sz w:val="24"/>
              </w:rPr>
              <w:t>Nekumulativni</w:t>
            </w:r>
            <w:proofErr w:type="spellEnd"/>
            <w:r>
              <w:rPr>
                <w:rFonts w:ascii="Times New Roman" w:hAnsi="Times New Roman"/>
                <w:sz w:val="24"/>
              </w:rPr>
              <w:t xml:space="preserve"> ili kumulativni</w:t>
            </w:r>
          </w:p>
          <w:p w14:paraId="48338CB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Institucije navode jesu li dividende/kuponi kumulativni ili </w:t>
            </w:r>
            <w:proofErr w:type="spellStart"/>
            <w:r>
              <w:rPr>
                <w:rFonts w:ascii="Times New Roman" w:hAnsi="Times New Roman"/>
                <w:sz w:val="24"/>
              </w:rPr>
              <w:t>nekumulativni</w:t>
            </w:r>
            <w:proofErr w:type="spellEnd"/>
            <w:r>
              <w:rPr>
                <w:rFonts w:ascii="Times New Roman" w:hAnsi="Times New Roman"/>
                <w:sz w:val="24"/>
              </w:rPr>
              <w:t>.</w:t>
            </w:r>
          </w:p>
          <w:p w14:paraId="7CA91EE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Odabrati iz izbornika: [</w:t>
            </w:r>
            <w:proofErr w:type="spellStart"/>
            <w:r>
              <w:rPr>
                <w:rFonts w:ascii="Times New Roman" w:hAnsi="Times New Roman"/>
                <w:i/>
                <w:sz w:val="24"/>
              </w:rPr>
              <w:t>Nekumulativni</w:t>
            </w:r>
            <w:proofErr w:type="spellEnd"/>
            <w:r>
              <w:rPr>
                <w:rFonts w:ascii="Times New Roman" w:hAnsi="Times New Roman"/>
                <w:i/>
                <w:sz w:val="24"/>
              </w:rPr>
              <w:t>] [Kumulativni ] [ACSM]</w:t>
            </w:r>
          </w:p>
        </w:tc>
      </w:tr>
      <w:tr w:rsidR="00CE019E" w:rsidRPr="007F4CC8" w14:paraId="499ABBBA" w14:textId="77777777" w:rsidTr="001E06A3">
        <w:trPr>
          <w:trHeight w:val="259"/>
        </w:trPr>
        <w:tc>
          <w:tcPr>
            <w:tcW w:w="1030" w:type="dxa"/>
            <w:vAlign w:val="center"/>
          </w:tcPr>
          <w:p w14:paraId="3BB207C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23</w:t>
            </w:r>
          </w:p>
        </w:tc>
        <w:tc>
          <w:tcPr>
            <w:tcW w:w="7661" w:type="dxa"/>
            <w:shd w:val="clear" w:color="auto" w:fill="auto"/>
            <w:noWrap/>
            <w:vAlign w:val="bottom"/>
          </w:tcPr>
          <w:p w14:paraId="37E1594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Konvertibilni ili nekonvertibilni</w:t>
            </w:r>
          </w:p>
          <w:p w14:paraId="5B2BAA0D" w14:textId="72286366"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navode je li instrument konvertibilan.</w:t>
            </w:r>
          </w:p>
          <w:p w14:paraId="35278EB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Odabrati iz izbornika: [Konvertibilan] [Nekonvertibilan]</w:t>
            </w:r>
          </w:p>
        </w:tc>
      </w:tr>
      <w:tr w:rsidR="00CE019E" w:rsidRPr="007F4CC8" w14:paraId="477E749E" w14:textId="77777777" w:rsidTr="001E06A3">
        <w:trPr>
          <w:trHeight w:val="259"/>
        </w:trPr>
        <w:tc>
          <w:tcPr>
            <w:tcW w:w="1030" w:type="dxa"/>
            <w:vAlign w:val="center"/>
          </w:tcPr>
          <w:p w14:paraId="50209FB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24</w:t>
            </w:r>
          </w:p>
        </w:tc>
        <w:tc>
          <w:tcPr>
            <w:tcW w:w="7661" w:type="dxa"/>
            <w:shd w:val="clear" w:color="auto" w:fill="auto"/>
            <w:noWrap/>
            <w:vAlign w:val="bottom"/>
          </w:tcPr>
          <w:p w14:paraId="0E9C24D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Ako su konvertibilni, pokretač(i) konverzije</w:t>
            </w:r>
          </w:p>
          <w:p w14:paraId="173D51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navode uvjete za konverziju instrumenta, uključujući trenutak neodrživosti redovnog poslovanja. Ako jedno ili više tijela mogu pokrenuti konverziju, navodi se popis tih tijela. Za svako se tijelo navodi jesu li uvjeti ugovora o instrumentu pravna osnova na temelju koje tijelo pokreće konverziju (ugovorni pristup) ili je pravna osnova utvrđena zakonskim sredstvima (zakonski pristup).</w:t>
            </w:r>
          </w:p>
          <w:p w14:paraId="26593622"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Slobodan unos teksta</w:t>
            </w:r>
          </w:p>
        </w:tc>
      </w:tr>
      <w:tr w:rsidR="00CE019E" w:rsidRPr="007F4CC8" w14:paraId="5EB940CC" w14:textId="77777777" w:rsidTr="001E06A3">
        <w:trPr>
          <w:trHeight w:val="259"/>
        </w:trPr>
        <w:tc>
          <w:tcPr>
            <w:tcW w:w="1030" w:type="dxa"/>
            <w:vAlign w:val="center"/>
          </w:tcPr>
          <w:p w14:paraId="594CA91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25</w:t>
            </w:r>
          </w:p>
        </w:tc>
        <w:tc>
          <w:tcPr>
            <w:tcW w:w="7661" w:type="dxa"/>
            <w:shd w:val="clear" w:color="auto" w:fill="auto"/>
            <w:noWrap/>
            <w:vAlign w:val="bottom"/>
          </w:tcPr>
          <w:p w14:paraId="6CFEB89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Ako su konvertibilni, potpuno ili djelomično</w:t>
            </w:r>
          </w:p>
          <w:p w14:paraId="02FC09F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navode hoće li se instrument uvijek konvertirati u cijelosti, može li se konvertirati u cijelosti ili djelomično ili će se uvijek konvertirati djelomično.</w:t>
            </w:r>
          </w:p>
          <w:p w14:paraId="1A1625E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Odabrati iz izbornika: [Uvijek potpuno] [Potpuno i djelomično] [Uvijek djelomično]</w:t>
            </w:r>
          </w:p>
        </w:tc>
      </w:tr>
      <w:tr w:rsidR="00CE019E" w:rsidRPr="007F4CC8" w14:paraId="0F954609" w14:textId="77777777" w:rsidTr="001E06A3">
        <w:trPr>
          <w:trHeight w:val="259"/>
        </w:trPr>
        <w:tc>
          <w:tcPr>
            <w:tcW w:w="1030" w:type="dxa"/>
            <w:vAlign w:val="center"/>
          </w:tcPr>
          <w:p w14:paraId="03F7CB33"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26</w:t>
            </w:r>
          </w:p>
        </w:tc>
        <w:tc>
          <w:tcPr>
            <w:tcW w:w="7661" w:type="dxa"/>
            <w:shd w:val="clear" w:color="auto" w:fill="auto"/>
            <w:noWrap/>
            <w:vAlign w:val="bottom"/>
          </w:tcPr>
          <w:p w14:paraId="543B050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Ako su konvertibilni, stopa konverzije</w:t>
            </w:r>
          </w:p>
          <w:p w14:paraId="773C721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Institucije navode stopu konverzije u instrument većeg kapaciteta za apsorpciju gubitaka. </w:t>
            </w:r>
          </w:p>
          <w:p w14:paraId="64F113E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Slobodan unos teksta</w:t>
            </w:r>
          </w:p>
        </w:tc>
      </w:tr>
      <w:tr w:rsidR="00CE019E" w:rsidRPr="007F4CC8" w14:paraId="408B515F" w14:textId="77777777" w:rsidTr="001E06A3">
        <w:trPr>
          <w:trHeight w:val="259"/>
        </w:trPr>
        <w:tc>
          <w:tcPr>
            <w:tcW w:w="1030" w:type="dxa"/>
            <w:vAlign w:val="center"/>
          </w:tcPr>
          <w:p w14:paraId="6CAC74D3"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27</w:t>
            </w:r>
          </w:p>
        </w:tc>
        <w:tc>
          <w:tcPr>
            <w:tcW w:w="7661" w:type="dxa"/>
            <w:shd w:val="clear" w:color="auto" w:fill="auto"/>
            <w:noWrap/>
            <w:vAlign w:val="bottom"/>
          </w:tcPr>
          <w:p w14:paraId="2F0AAD4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Ako su konvertibilni, je li konverzija obvezna i li neobvezna</w:t>
            </w:r>
          </w:p>
          <w:p w14:paraId="47A6428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Za konvertibilne instrumente institucije navode je li konverzija obvezna ili neobvezna. </w:t>
            </w:r>
          </w:p>
          <w:p w14:paraId="5053F92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Odabrati iz izbornika: [Obvezna] [Neobvezna] [Nije primjenjivo] i [odabir imatelja] [odabir izdavatelja] [odabir imatelja i izdavatelja]</w:t>
            </w:r>
          </w:p>
        </w:tc>
      </w:tr>
      <w:tr w:rsidR="00CE019E" w:rsidRPr="007F4CC8" w14:paraId="3DEDFF0C" w14:textId="77777777" w:rsidTr="001E06A3">
        <w:trPr>
          <w:trHeight w:val="259"/>
        </w:trPr>
        <w:tc>
          <w:tcPr>
            <w:tcW w:w="1030" w:type="dxa"/>
            <w:vAlign w:val="center"/>
          </w:tcPr>
          <w:p w14:paraId="3BBD866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28</w:t>
            </w:r>
          </w:p>
        </w:tc>
        <w:tc>
          <w:tcPr>
            <w:tcW w:w="7661" w:type="dxa"/>
            <w:shd w:val="clear" w:color="auto" w:fill="auto"/>
            <w:noWrap/>
            <w:vAlign w:val="bottom"/>
          </w:tcPr>
          <w:p w14:paraId="70DAC01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Ako su konvertibilni, navesti vrstu instrumenta u koji se mogu konvertirati</w:t>
            </w:r>
          </w:p>
          <w:p w14:paraId="1307160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Za konvertibilne instrumente institucije navode instrument u koji se mogu konvertirati. To olakšava procjenu kapaciteta za apsorpciju gubitaka.</w:t>
            </w:r>
          </w:p>
          <w:p w14:paraId="11E5F4D3"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Odabrati iz izbornika: [Redovni osnovni kapital ] [Dodatni osnovni kapital ] [Dopunski kapital ] [Ostalo]</w:t>
            </w:r>
          </w:p>
        </w:tc>
      </w:tr>
      <w:tr w:rsidR="00CE019E" w:rsidRPr="007F4CC8" w14:paraId="6F05A38C" w14:textId="77777777" w:rsidTr="001E06A3">
        <w:trPr>
          <w:trHeight w:val="259"/>
        </w:trPr>
        <w:tc>
          <w:tcPr>
            <w:tcW w:w="1030" w:type="dxa"/>
            <w:vAlign w:val="center"/>
          </w:tcPr>
          <w:p w14:paraId="6E5E324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29</w:t>
            </w:r>
          </w:p>
        </w:tc>
        <w:tc>
          <w:tcPr>
            <w:tcW w:w="7661" w:type="dxa"/>
            <w:shd w:val="clear" w:color="auto" w:fill="auto"/>
            <w:noWrap/>
            <w:vAlign w:val="bottom"/>
          </w:tcPr>
          <w:p w14:paraId="2EBB62C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Ako su konvertibilni, navesti vrstu instrumenta u koji se mogu konvertirati</w:t>
            </w:r>
          </w:p>
          <w:p w14:paraId="65C91A5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Slobodan unos teksta</w:t>
            </w:r>
          </w:p>
        </w:tc>
      </w:tr>
      <w:tr w:rsidR="00CE019E" w:rsidRPr="007F4CC8" w14:paraId="69167790" w14:textId="77777777" w:rsidTr="001E06A3">
        <w:trPr>
          <w:trHeight w:val="259"/>
        </w:trPr>
        <w:tc>
          <w:tcPr>
            <w:tcW w:w="1030" w:type="dxa"/>
            <w:vAlign w:val="center"/>
          </w:tcPr>
          <w:p w14:paraId="4660276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30</w:t>
            </w:r>
          </w:p>
        </w:tc>
        <w:tc>
          <w:tcPr>
            <w:tcW w:w="7661" w:type="dxa"/>
            <w:shd w:val="clear" w:color="auto" w:fill="auto"/>
            <w:noWrap/>
            <w:vAlign w:val="bottom"/>
          </w:tcPr>
          <w:p w14:paraId="71D533E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Značajke smanjenja vrijednosti</w:t>
            </w:r>
          </w:p>
          <w:p w14:paraId="1B35CED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Institucije navode postoji li značajka smanjenja vrijednosti. </w:t>
            </w:r>
          </w:p>
          <w:p w14:paraId="7A4CA302"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Odabrati iz izbornika: [Da] [Ne]</w:t>
            </w:r>
          </w:p>
        </w:tc>
      </w:tr>
      <w:tr w:rsidR="00CE019E" w:rsidRPr="007F4CC8" w14:paraId="2D364F63" w14:textId="77777777" w:rsidTr="001E06A3">
        <w:trPr>
          <w:trHeight w:val="259"/>
        </w:trPr>
        <w:tc>
          <w:tcPr>
            <w:tcW w:w="1030" w:type="dxa"/>
            <w:vAlign w:val="center"/>
          </w:tcPr>
          <w:p w14:paraId="1DF5C8A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31</w:t>
            </w:r>
          </w:p>
        </w:tc>
        <w:tc>
          <w:tcPr>
            <w:tcW w:w="7661" w:type="dxa"/>
            <w:shd w:val="clear" w:color="auto" w:fill="auto"/>
            <w:noWrap/>
            <w:vAlign w:val="bottom"/>
          </w:tcPr>
          <w:p w14:paraId="791E5885"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U slučaju smanjenja vrijednosti, pokretač(i) smanjenja vrijednosti</w:t>
            </w:r>
          </w:p>
          <w:p w14:paraId="1C36E193"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Institucije navode pokretače smanjenja vrijednosti, uključujući trenutak neodrživosti redovnog poslovanja. Ako jedno ili više tijela mogu pokrenuti smanjenje vrijednosti, navodi se popis tih tijela. Za svako se tijelo navodi jesu li uvjeti ugovora o instrumentu pravna osnova na temelju koje tijelo pokreće smanjenje vrijednosti (ugovorni pristup) ili je pravna osnova utvrđena zakonskim sredstvima (zakonski pristup). </w:t>
            </w:r>
          </w:p>
          <w:p w14:paraId="0078969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Slobodan unos teksta</w:t>
            </w:r>
          </w:p>
        </w:tc>
      </w:tr>
      <w:tr w:rsidR="00CE019E" w:rsidRPr="007F4CC8" w14:paraId="066063AD" w14:textId="77777777" w:rsidTr="001E06A3">
        <w:trPr>
          <w:trHeight w:val="259"/>
        </w:trPr>
        <w:tc>
          <w:tcPr>
            <w:tcW w:w="1030" w:type="dxa"/>
            <w:vAlign w:val="center"/>
          </w:tcPr>
          <w:p w14:paraId="179060B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32</w:t>
            </w:r>
          </w:p>
        </w:tc>
        <w:tc>
          <w:tcPr>
            <w:tcW w:w="7661" w:type="dxa"/>
            <w:shd w:val="clear" w:color="auto" w:fill="auto"/>
            <w:noWrap/>
            <w:vAlign w:val="bottom"/>
          </w:tcPr>
          <w:p w14:paraId="18DAD9A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U slučaju smanjenja vrijednosti, potpuno ili djelomično</w:t>
            </w:r>
          </w:p>
          <w:p w14:paraId="1EDBDDD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navode može li instrumentu uvijek potpuno smanjiti vrijednost, može li mu se vrijednost smanjiti potpuno i djelomično ili uvijek djelomično. To olakšava procjenu kapaciteta za apsorpciju gubitaka pri smanjenju vrijednosti.</w:t>
            </w:r>
          </w:p>
          <w:p w14:paraId="73D9D22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Odabrati iz izbornika: [Uvijek potpuno] [Potpuno i djelomično] [Uvijek djelomično]</w:t>
            </w:r>
          </w:p>
        </w:tc>
      </w:tr>
      <w:tr w:rsidR="00CE019E" w:rsidRPr="007F4CC8" w14:paraId="5B3D931E" w14:textId="77777777" w:rsidTr="001E06A3">
        <w:trPr>
          <w:trHeight w:val="259"/>
        </w:trPr>
        <w:tc>
          <w:tcPr>
            <w:tcW w:w="1030" w:type="dxa"/>
            <w:vAlign w:val="center"/>
          </w:tcPr>
          <w:p w14:paraId="3ADC8797"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33</w:t>
            </w:r>
          </w:p>
        </w:tc>
        <w:tc>
          <w:tcPr>
            <w:tcW w:w="7661" w:type="dxa"/>
            <w:shd w:val="clear" w:color="auto" w:fill="auto"/>
            <w:noWrap/>
            <w:vAlign w:val="bottom"/>
          </w:tcPr>
          <w:p w14:paraId="394A77F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U slučaju smanjenja vrijednosti, trajno ili privremeno</w:t>
            </w:r>
          </w:p>
          <w:p w14:paraId="78E9C7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Za instrument smanjene vrijednosti institucije navode je li smanjenje vrijednosti trajno ili privremeno. </w:t>
            </w:r>
          </w:p>
          <w:p w14:paraId="3B843DA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Odabrati iz izbornika: [Trajno] [Privremeno] [Nije primjenjivo]</w:t>
            </w:r>
          </w:p>
        </w:tc>
      </w:tr>
      <w:tr w:rsidR="00CE019E" w:rsidRPr="007F4CC8" w14:paraId="05FD4A2F" w14:textId="77777777" w:rsidTr="001E06A3">
        <w:trPr>
          <w:trHeight w:val="259"/>
        </w:trPr>
        <w:tc>
          <w:tcPr>
            <w:tcW w:w="1030" w:type="dxa"/>
            <w:vAlign w:val="center"/>
          </w:tcPr>
          <w:p w14:paraId="6441DE3B"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34</w:t>
            </w:r>
          </w:p>
        </w:tc>
        <w:tc>
          <w:tcPr>
            <w:tcW w:w="7661" w:type="dxa"/>
            <w:shd w:val="clear" w:color="auto" w:fill="auto"/>
            <w:noWrap/>
            <w:vAlign w:val="bottom"/>
          </w:tcPr>
          <w:p w14:paraId="4DF772B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U slučaju privremenog smanjenja vrijednosti, opis mehanizama povećanja vrijednosti </w:t>
            </w:r>
          </w:p>
          <w:p w14:paraId="28F7FAC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opisuju mehanizam povećanja vrijednosti.</w:t>
            </w:r>
          </w:p>
          <w:p w14:paraId="4C5C24D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Slobodan unos teksta</w:t>
            </w:r>
          </w:p>
        </w:tc>
      </w:tr>
      <w:tr w:rsidR="00CE019E" w:rsidRPr="007F4CC8" w14:paraId="2566DD77" w14:textId="77777777" w:rsidTr="001E06A3">
        <w:trPr>
          <w:trHeight w:val="259"/>
        </w:trPr>
        <w:tc>
          <w:tcPr>
            <w:tcW w:w="1030" w:type="dxa"/>
            <w:vAlign w:val="center"/>
          </w:tcPr>
          <w:p w14:paraId="6113A1E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34a</w:t>
            </w:r>
          </w:p>
        </w:tc>
        <w:tc>
          <w:tcPr>
            <w:tcW w:w="7661" w:type="dxa"/>
            <w:shd w:val="clear" w:color="auto" w:fill="auto"/>
            <w:noWrap/>
            <w:vAlign w:val="bottom"/>
          </w:tcPr>
          <w:p w14:paraId="4936D09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Vrsta podređenosti (samo za prihvatljive obveze)</w:t>
            </w:r>
          </w:p>
          <w:p w14:paraId="56EC269D" w14:textId="6518B3FF"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Institucije navode ispunjava li instrument zahtjeve neke od vrsta podređenosti opisanih u članku 72.b stavku 2. točki (d) </w:t>
            </w:r>
            <w:proofErr w:type="spellStart"/>
            <w:r>
              <w:rPr>
                <w:rFonts w:ascii="Times New Roman" w:hAnsi="Times New Roman"/>
                <w:sz w:val="24"/>
              </w:rPr>
              <w:t>podtočkama</w:t>
            </w:r>
            <w:proofErr w:type="spellEnd"/>
            <w:r>
              <w:rPr>
                <w:rFonts w:ascii="Times New Roman" w:hAnsi="Times New Roman"/>
                <w:sz w:val="24"/>
              </w:rPr>
              <w:t xml:space="preserve"> i., ii. i iii. CRR-a. </w:t>
            </w:r>
          </w:p>
          <w:p w14:paraId="3C922A0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Odabrati iz izbornika:</w:t>
            </w:r>
          </w:p>
          <w:p w14:paraId="4E62417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 [Ugovorna] ako instrument ispunjava zahtjeve iz članka 72.b stavka 2. točke (d) podtočke i. CRR-a;</w:t>
            </w:r>
          </w:p>
          <w:p w14:paraId="2A75D7D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lastRenderedPageBreak/>
              <w:t xml:space="preserve"> [Zakonska] ako instrument ispunjava zahtjeve iz članka 72.b stavka 2. točke (d) podtočke ii. CRR-a;</w:t>
            </w:r>
          </w:p>
          <w:p w14:paraId="05E6C8CD" w14:textId="26AD7F29"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[Strukturna] ako instrument ispunjava zahtjeve iz članka 72.b stavka 2. točke (d) podtočke iii. CRR-a; </w:t>
            </w:r>
          </w:p>
          <w:p w14:paraId="01B2049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[Izuzeće od podređenosti] ako instrument ne ispunjava zahtjeve ni za jedan od navedenih oblika podređenosti i ako je instituciji dopušteno da u skladu s člankom 72.b stavkom 4. CRR-a da u stavke prihvatljivih obveza uključi nepodređene obveze.</w:t>
            </w:r>
          </w:p>
        </w:tc>
      </w:tr>
      <w:tr w:rsidR="00CE019E" w:rsidRPr="007F4CC8" w14:paraId="491E8D58" w14:textId="77777777" w:rsidTr="001E06A3">
        <w:trPr>
          <w:trHeight w:val="259"/>
        </w:trPr>
        <w:tc>
          <w:tcPr>
            <w:tcW w:w="1030" w:type="dxa"/>
            <w:vAlign w:val="center"/>
          </w:tcPr>
          <w:p w14:paraId="764AD21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EU-34b</w:t>
            </w:r>
          </w:p>
        </w:tc>
        <w:tc>
          <w:tcPr>
            <w:tcW w:w="7661" w:type="dxa"/>
            <w:shd w:val="clear" w:color="auto" w:fill="auto"/>
            <w:noWrap/>
            <w:vAlign w:val="bottom"/>
          </w:tcPr>
          <w:p w14:paraId="2F6A54C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Položaj instrumenta u redovnom postupku u slučaju insolventnosti</w:t>
            </w:r>
          </w:p>
          <w:p w14:paraId="1D435EE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navode položaj instrumenta u redovnom postupku u slučaju insolventnosti.</w:t>
            </w:r>
          </w:p>
          <w:p w14:paraId="3C9C095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Kako je definirano u [provedbenim tehničkim standardima izvješćivanja o minimalnom zahtjevu za regulatorni kapital i prihvatljive obveze (MREL)].</w:t>
            </w:r>
          </w:p>
        </w:tc>
      </w:tr>
      <w:tr w:rsidR="00CE019E" w:rsidRPr="007F4CC8" w14:paraId="7588DDF3" w14:textId="77777777" w:rsidTr="001E06A3">
        <w:trPr>
          <w:trHeight w:val="259"/>
        </w:trPr>
        <w:tc>
          <w:tcPr>
            <w:tcW w:w="1030" w:type="dxa"/>
            <w:vAlign w:val="center"/>
          </w:tcPr>
          <w:p w14:paraId="34213ACB"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35</w:t>
            </w:r>
          </w:p>
        </w:tc>
        <w:tc>
          <w:tcPr>
            <w:tcW w:w="7661" w:type="dxa"/>
            <w:shd w:val="clear" w:color="auto" w:fill="auto"/>
            <w:noWrap/>
            <w:vAlign w:val="bottom"/>
          </w:tcPr>
          <w:p w14:paraId="79D93EB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Mjesto u hijerarhiji u slučaju likvidacije (navesti vrstu instrumenta koja mu je neposredno nadređena)</w:t>
            </w:r>
          </w:p>
          <w:p w14:paraId="1E47921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navode instrument kojem je neposredno podređen. Ako je primjenjivo, banke navode brojeve stupaca za instrumente u popunjenoj tablici s glavnim značajkama kojima je određeni instrument najneposrednije podređen.</w:t>
            </w:r>
          </w:p>
          <w:p w14:paraId="3ABCBC1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Slobodan unos teksta</w:t>
            </w:r>
          </w:p>
        </w:tc>
      </w:tr>
      <w:tr w:rsidR="00CE019E" w:rsidRPr="007F4CC8" w14:paraId="6FC33564" w14:textId="77777777" w:rsidTr="001E06A3">
        <w:trPr>
          <w:trHeight w:val="259"/>
        </w:trPr>
        <w:tc>
          <w:tcPr>
            <w:tcW w:w="1030" w:type="dxa"/>
            <w:vAlign w:val="center"/>
          </w:tcPr>
          <w:p w14:paraId="1EB7AF7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36</w:t>
            </w:r>
          </w:p>
        </w:tc>
        <w:tc>
          <w:tcPr>
            <w:tcW w:w="7661" w:type="dxa"/>
            <w:shd w:val="clear" w:color="auto" w:fill="auto"/>
            <w:noWrap/>
            <w:vAlign w:val="bottom"/>
          </w:tcPr>
          <w:p w14:paraId="07D20E6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Nesukladne značajke konvertiranih instrumenata</w:t>
            </w:r>
          </w:p>
          <w:p w14:paraId="207FD13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navode postoje li nesukladne značajke.</w:t>
            </w:r>
          </w:p>
          <w:p w14:paraId="628A53F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Odabrati iz izbornika: [Da] [Ne]</w:t>
            </w:r>
          </w:p>
        </w:tc>
      </w:tr>
      <w:tr w:rsidR="00CE019E" w:rsidRPr="007F4CC8" w14:paraId="01372B12" w14:textId="77777777" w:rsidTr="001E06A3">
        <w:trPr>
          <w:trHeight w:val="259"/>
        </w:trPr>
        <w:tc>
          <w:tcPr>
            <w:tcW w:w="1030" w:type="dxa"/>
            <w:vAlign w:val="center"/>
          </w:tcPr>
          <w:p w14:paraId="2EE42C4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37</w:t>
            </w:r>
          </w:p>
        </w:tc>
        <w:tc>
          <w:tcPr>
            <w:tcW w:w="7661" w:type="dxa"/>
            <w:shd w:val="clear" w:color="auto" w:fill="auto"/>
            <w:noWrap/>
            <w:vAlign w:val="bottom"/>
          </w:tcPr>
          <w:p w14:paraId="028439E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Ako postoje, navesti nesukladne značajke</w:t>
            </w:r>
          </w:p>
          <w:p w14:paraId="25AE01A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Ako nesukladne značajke postoje, institucije ih navode. </w:t>
            </w:r>
          </w:p>
          <w:p w14:paraId="1F830A8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Slobodan unos teksta</w:t>
            </w:r>
          </w:p>
        </w:tc>
      </w:tr>
      <w:tr w:rsidR="00CE019E" w:rsidRPr="007F4CC8" w14:paraId="37FB80F3" w14:textId="77777777" w:rsidTr="001E06A3">
        <w:trPr>
          <w:trHeight w:val="259"/>
        </w:trPr>
        <w:tc>
          <w:tcPr>
            <w:tcW w:w="1030" w:type="dxa"/>
            <w:vAlign w:val="center"/>
          </w:tcPr>
          <w:p w14:paraId="3C7BFF1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EU-37a</w:t>
            </w:r>
          </w:p>
        </w:tc>
        <w:tc>
          <w:tcPr>
            <w:tcW w:w="7661" w:type="dxa"/>
            <w:shd w:val="clear" w:color="auto" w:fill="auto"/>
            <w:noWrap/>
            <w:vAlign w:val="bottom"/>
          </w:tcPr>
          <w:p w14:paraId="7BF6265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Poveznica na sve uvjete instrumenta (označivanje)</w:t>
            </w:r>
          </w:p>
          <w:p w14:paraId="2D29CF1E"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Institucije navode poveznicu na prospekt izdanja, uključujući sve uvjete instrumenta.</w:t>
            </w:r>
          </w:p>
        </w:tc>
      </w:tr>
    </w:tbl>
    <w:p w14:paraId="0B169D47" w14:textId="77777777" w:rsidR="007A7DC0" w:rsidRPr="007F4CC8" w:rsidRDefault="007A7DC0" w:rsidP="00CE019E">
      <w:pPr>
        <w:rPr>
          <w:rFonts w:ascii="Times New Roman" w:hAnsi="Times New Roman" w:cs="Times New Roman"/>
          <w:bCs/>
          <w:sz w:val="24"/>
        </w:rPr>
        <w:sectPr w:rsidR="007A7DC0" w:rsidRPr="007F4CC8" w:rsidSect="00155C96">
          <w:pgSz w:w="11900" w:h="16840"/>
          <w:pgMar w:top="2268" w:right="1418" w:bottom="1134" w:left="1701" w:header="709" w:footer="709" w:gutter="0"/>
          <w:pgNumType w:start="1" w:chapStyle="1"/>
          <w:cols w:space="708"/>
          <w:docGrid w:linePitch="299"/>
        </w:sectPr>
      </w:pPr>
    </w:p>
    <w:p w14:paraId="3D41CD64" w14:textId="4E3B3D90" w:rsidR="00CE019E" w:rsidRPr="007F4CC8" w:rsidRDefault="00CE019E" w:rsidP="00E258D8">
      <w:pPr>
        <w:tabs>
          <w:tab w:val="left" w:pos="1430"/>
        </w:tabs>
        <w:rPr>
          <w:rFonts w:ascii="Times New Roman" w:hAnsi="Times New Roman" w:cs="Times New Roman"/>
          <w:b/>
          <w:sz w:val="24"/>
        </w:rPr>
      </w:pPr>
    </w:p>
    <w:p w14:paraId="69D9CF70" w14:textId="77777777" w:rsidR="00CE019E" w:rsidRPr="007F4CC8" w:rsidRDefault="00CE019E" w:rsidP="00CE019E">
      <w:pPr>
        <w:pStyle w:val="Annexetitre"/>
        <w:rPr>
          <w:b w:val="0"/>
        </w:rPr>
      </w:pPr>
      <w:r>
        <w:t xml:space="preserve">PRILOG X. – Upute za objavu informacija o </w:t>
      </w:r>
      <w:proofErr w:type="spellStart"/>
      <w:r>
        <w:t>protucikličkim</w:t>
      </w:r>
      <w:proofErr w:type="spellEnd"/>
      <w:r>
        <w:t xml:space="preserve"> zaštitnim slojevima kapitala</w:t>
      </w:r>
    </w:p>
    <w:p w14:paraId="63F7E81B" w14:textId="77777777" w:rsidR="00CE019E" w:rsidRPr="007F4CC8" w:rsidRDefault="00CE019E" w:rsidP="00CE019E">
      <w:pPr>
        <w:autoSpaceDE w:val="0"/>
        <w:autoSpaceDN w:val="0"/>
        <w:adjustRightInd w:val="0"/>
        <w:jc w:val="both"/>
        <w:rPr>
          <w:rFonts w:ascii="Times New Roman" w:hAnsi="Times New Roman" w:cs="Times New Roman"/>
          <w:b/>
          <w:sz w:val="24"/>
        </w:rPr>
      </w:pPr>
    </w:p>
    <w:p w14:paraId="38904DA5" w14:textId="6E0F1148" w:rsidR="00CE019E" w:rsidRPr="007F4CC8" w:rsidRDefault="00CD362D" w:rsidP="00CE019E">
      <w:pPr>
        <w:autoSpaceDE w:val="0"/>
        <w:autoSpaceDN w:val="0"/>
        <w:adjustRightInd w:val="0"/>
        <w:jc w:val="both"/>
        <w:rPr>
          <w:rFonts w:ascii="Times New Roman" w:hAnsi="Times New Roman" w:cs="Times New Roman"/>
          <w:sz w:val="24"/>
        </w:rPr>
      </w:pPr>
      <w:r>
        <w:rPr>
          <w:rFonts w:ascii="Times New Roman" w:hAnsi="Times New Roman"/>
          <w:b/>
          <w:sz w:val="24"/>
        </w:rPr>
        <w:t xml:space="preserve">Obrazac EU CCyB1 – Geografska distribucija kreditnih izloženosti relevantnih za izračun protucikličkog zaštitnog sloja kapitala. </w:t>
      </w:r>
      <w:r>
        <w:rPr>
          <w:rFonts w:ascii="Times New Roman" w:hAnsi="Times New Roman"/>
          <w:sz w:val="24"/>
        </w:rPr>
        <w:t xml:space="preserve">Fiksan format za stupce, fleksibilan format za retke. </w:t>
      </w:r>
    </w:p>
    <w:p w14:paraId="12FF73C2" w14:textId="77777777" w:rsidR="00CE019E" w:rsidRPr="007F4CC8" w:rsidRDefault="00CE019E" w:rsidP="00CE019E">
      <w:pPr>
        <w:autoSpaceDE w:val="0"/>
        <w:autoSpaceDN w:val="0"/>
        <w:adjustRightInd w:val="0"/>
        <w:jc w:val="both"/>
        <w:rPr>
          <w:rFonts w:ascii="Times New Roman" w:hAnsi="Times New Roman" w:cs="Times New Roman"/>
          <w:b/>
          <w:sz w:val="24"/>
        </w:rPr>
      </w:pPr>
    </w:p>
    <w:p w14:paraId="6D089185" w14:textId="7741642C" w:rsidR="00CE019E" w:rsidRPr="007F4CC8" w:rsidRDefault="00CE019E" w:rsidP="00E70D84">
      <w:pPr>
        <w:pStyle w:val="ListParagraph"/>
        <w:numPr>
          <w:ilvl w:val="0"/>
          <w:numId w:val="22"/>
        </w:numPr>
        <w:spacing w:before="120" w:after="120"/>
        <w:ind w:left="425" w:hanging="357"/>
        <w:jc w:val="both"/>
        <w:rPr>
          <w:rFonts w:ascii="Times New Roman" w:hAnsi="Times New Roman"/>
          <w:sz w:val="24"/>
        </w:rPr>
      </w:pPr>
      <w:r>
        <w:rPr>
          <w:rFonts w:ascii="Times New Roman" w:hAnsi="Times New Roman"/>
          <w:sz w:val="24"/>
        </w:rPr>
        <w:t>Institucije objavljuju informacije iz članka 440. točke (a) Uredbe (EU) 575/2013</w:t>
      </w:r>
      <w:r>
        <w:rPr>
          <w:rStyle w:val="FootnoteReference"/>
        </w:rPr>
        <w:footnoteReference w:id="17"/>
      </w:r>
      <w:r>
        <w:rPr>
          <w:rFonts w:ascii="Times New Roman" w:hAnsi="Times New Roman"/>
          <w:sz w:val="24"/>
        </w:rPr>
        <w:t xml:space="preserve"> („CRR”) ispunjavanjem obrasca EU CCyB1 iz Priloga IX. ovoj Provedbenoj uredbi prema uputama u nastavku ovog Priloga. </w:t>
      </w:r>
    </w:p>
    <w:p w14:paraId="766E97DB" w14:textId="6A58F7A8" w:rsidR="00CE019E" w:rsidRPr="00266A53" w:rsidRDefault="00CE019E" w:rsidP="00076626">
      <w:pPr>
        <w:pStyle w:val="ListParagraph"/>
        <w:numPr>
          <w:ilvl w:val="0"/>
          <w:numId w:val="22"/>
        </w:numPr>
        <w:spacing w:before="120" w:after="120"/>
        <w:ind w:left="360" w:hanging="357"/>
        <w:contextualSpacing/>
        <w:jc w:val="both"/>
        <w:rPr>
          <w:rFonts w:ascii="Times New Roman" w:hAnsi="Times New Roman"/>
          <w:sz w:val="24"/>
          <w:szCs w:val="24"/>
        </w:rPr>
      </w:pPr>
      <w:r>
        <w:rPr>
          <w:rFonts w:ascii="Times New Roman" w:hAnsi="Times New Roman"/>
          <w:sz w:val="24"/>
        </w:rPr>
        <w:t>Opseg obrasca EU CCyB1 ograničen je na kreditne izloženosti relevantne za izračun protucikličkog zaštitnog sloja kapitala (</w:t>
      </w:r>
      <w:proofErr w:type="spellStart"/>
      <w:r>
        <w:rPr>
          <w:rFonts w:ascii="Times New Roman" w:hAnsi="Times New Roman"/>
          <w:sz w:val="24"/>
        </w:rPr>
        <w:t>CCyB</w:t>
      </w:r>
      <w:proofErr w:type="spellEnd"/>
      <w:r>
        <w:rPr>
          <w:rFonts w:ascii="Times New Roman" w:hAnsi="Times New Roman"/>
          <w:sz w:val="24"/>
        </w:rPr>
        <w:t>) u skladu s člankom 140. stavkom 4. Direktive 2013/36/EU</w:t>
      </w:r>
      <w:r>
        <w:rPr>
          <w:rStyle w:val="FootnoteReference"/>
          <w:rFonts w:eastAsia="Times New Roman"/>
        </w:rPr>
        <w:footnoteReference w:id="18"/>
      </w:r>
      <w:r>
        <w:rPr>
          <w:rFonts w:ascii="Times New Roman" w:hAnsi="Times New Roman"/>
          <w:sz w:val="24"/>
        </w:rPr>
        <w:t xml:space="preserve"> („CRD”).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1022294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C498AF" w14:textId="77777777" w:rsidR="00CE019E" w:rsidRPr="007F4CC8" w:rsidRDefault="00CE019E" w:rsidP="001E06A3">
            <w:pPr>
              <w:rPr>
                <w:rFonts w:ascii="Times New Roman" w:hAnsi="Times New Roman" w:cs="Times New Roman"/>
                <w:b/>
                <w:sz w:val="24"/>
              </w:rPr>
            </w:pPr>
            <w:r>
              <w:rPr>
                <w:rFonts w:ascii="Times New Roman" w:hAnsi="Times New Roman"/>
                <w:b/>
                <w:sz w:val="24"/>
              </w:rPr>
              <w:t>Pravna osnova i upute</w:t>
            </w:r>
          </w:p>
        </w:tc>
      </w:tr>
      <w:tr w:rsidR="00CE019E" w:rsidRPr="007F4CC8" w14:paraId="3232A836" w14:textId="77777777" w:rsidTr="001E06A3">
        <w:trPr>
          <w:trHeight w:val="238"/>
        </w:trPr>
        <w:tc>
          <w:tcPr>
            <w:tcW w:w="1384" w:type="dxa"/>
            <w:shd w:val="clear" w:color="auto" w:fill="D9D9D9" w:themeFill="background1" w:themeFillShade="D9"/>
          </w:tcPr>
          <w:p w14:paraId="09952E28"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3B1866F5" w14:textId="77777777" w:rsidR="00CE019E" w:rsidRPr="007F4CC8" w:rsidRDefault="00CE019E" w:rsidP="001E06A3">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CE019E" w:rsidRPr="007F4CC8" w14:paraId="732DDEA5" w14:textId="77777777" w:rsidTr="001E06A3">
        <w:trPr>
          <w:trHeight w:val="4381"/>
        </w:trPr>
        <w:tc>
          <w:tcPr>
            <w:tcW w:w="1384" w:type="dxa"/>
          </w:tcPr>
          <w:p w14:paraId="5C6BE5F9" w14:textId="77777777" w:rsidR="00CE019E" w:rsidRPr="007F4CC8" w:rsidRDefault="00CE019E" w:rsidP="001E06A3">
            <w:pPr>
              <w:pStyle w:val="Applicationdirecte"/>
              <w:spacing w:before="120"/>
            </w:pPr>
            <w:r>
              <w:t>010-01X</w:t>
            </w:r>
          </w:p>
        </w:tc>
        <w:tc>
          <w:tcPr>
            <w:tcW w:w="7655" w:type="dxa"/>
          </w:tcPr>
          <w:p w14:paraId="326270CD" w14:textId="77777777" w:rsidR="00CE019E" w:rsidRPr="007F4CC8" w:rsidRDefault="00CE019E" w:rsidP="001E06A3">
            <w:pPr>
              <w:pStyle w:val="Applicationdirecte"/>
              <w:spacing w:before="120"/>
              <w:rPr>
                <w:b/>
              </w:rPr>
            </w:pPr>
            <w:r>
              <w:rPr>
                <w:b/>
              </w:rPr>
              <w:t>Raščlamba prema zemlji</w:t>
            </w:r>
          </w:p>
          <w:p w14:paraId="058E3F2B" w14:textId="77777777" w:rsidR="00CE019E" w:rsidRPr="007F4CC8" w:rsidRDefault="00CE019E" w:rsidP="001E06A3">
            <w:pPr>
              <w:pStyle w:val="Applicationdirecte"/>
              <w:spacing w:before="120"/>
            </w:pPr>
            <w:r>
              <w:t>Popis zemalja u kojima institucija ima kreditne izloženosti relevantne za izračun protucikličkog zaštitnog sloja kapitala specifičnog za instituciju u skladu s Delegiranom uredbom Komisije (EU) 1152/2014</w:t>
            </w:r>
            <w:r>
              <w:rPr>
                <w:rStyle w:val="FootnoteReference"/>
              </w:rPr>
              <w:footnoteReference w:id="19"/>
            </w:r>
          </w:p>
          <w:p w14:paraId="3D1A0E2B" w14:textId="77777777" w:rsidR="00CE019E" w:rsidRPr="007F4CC8" w:rsidRDefault="00CE019E" w:rsidP="001E06A3">
            <w:pPr>
              <w:pStyle w:val="Fait"/>
              <w:spacing w:after="120"/>
            </w:pPr>
            <w:r>
              <w:t>Broj redaka može varirati ovisno o broju zemalja u kojima institucija ima kreditne izloženosti relevantne za izračun protucikličkog zaštitnog sloja kapitala. Institucije numeriraju retke za svaku zemlju uzastopno, počevši s 010.</w:t>
            </w:r>
          </w:p>
          <w:p w14:paraId="2B9E4E48" w14:textId="77777777" w:rsidR="00CE019E" w:rsidRPr="007F4CC8" w:rsidRDefault="00CE019E" w:rsidP="001E06A3">
            <w:pPr>
              <w:spacing w:after="120"/>
              <w:jc w:val="both"/>
              <w:rPr>
                <w:rFonts w:ascii="Times New Roman" w:hAnsi="Times New Roman" w:cs="Times New Roman"/>
                <w:sz w:val="24"/>
              </w:rPr>
            </w:pPr>
            <w:r>
              <w:rPr>
                <w:rFonts w:ascii="Times New Roman" w:hAnsi="Times New Roman"/>
                <w:sz w:val="24"/>
              </w:rPr>
              <w:t>U skladu s Delegiranom uredbom Komisije (EU) 1152/2014, institucija može izloženosti iz knjige trgovanja ili inozemne kreditne izloženosti koje predstavljaju manje od 2 % njezinih ukupnih rizikom ponderiranih izloženosti rasporediti na mjesto institucije (tj. na matičnu državu članicu institucije). Ako izloženosti za mjesto institucije uključuju izloženosti iz drugih zemalja, te se jasno navode u bilješci u obrascu za objavu.</w:t>
            </w:r>
          </w:p>
        </w:tc>
      </w:tr>
      <w:tr w:rsidR="00CE019E" w:rsidRPr="007F4CC8" w14:paraId="4AC65917" w14:textId="77777777" w:rsidTr="001E06A3">
        <w:trPr>
          <w:trHeight w:val="316"/>
        </w:trPr>
        <w:tc>
          <w:tcPr>
            <w:tcW w:w="1384" w:type="dxa"/>
          </w:tcPr>
          <w:p w14:paraId="41C34C83" w14:textId="77777777" w:rsidR="00CE019E" w:rsidRPr="007F4CC8" w:rsidRDefault="00CE019E" w:rsidP="001E06A3">
            <w:pPr>
              <w:autoSpaceDE w:val="0"/>
              <w:autoSpaceDN w:val="0"/>
              <w:adjustRightInd w:val="0"/>
              <w:rPr>
                <w:rFonts w:ascii="Times New Roman" w:hAnsi="Times New Roman" w:cs="Times New Roman"/>
                <w:color w:val="000000"/>
                <w:sz w:val="24"/>
              </w:rPr>
            </w:pPr>
            <w:r>
              <w:rPr>
                <w:rFonts w:ascii="Times New Roman" w:hAnsi="Times New Roman"/>
                <w:sz w:val="24"/>
              </w:rPr>
              <w:t>020</w:t>
            </w:r>
          </w:p>
        </w:tc>
        <w:tc>
          <w:tcPr>
            <w:tcW w:w="7655" w:type="dxa"/>
          </w:tcPr>
          <w:p w14:paraId="7C5B1F11"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 xml:space="preserve">Ukupno </w:t>
            </w:r>
          </w:p>
          <w:p w14:paraId="4EC3DB71" w14:textId="77777777" w:rsidR="00CE019E" w:rsidRPr="007F4CC8" w:rsidRDefault="00CE019E" w:rsidP="001E06A3">
            <w:pPr>
              <w:autoSpaceDE w:val="0"/>
              <w:autoSpaceDN w:val="0"/>
              <w:adjustRightInd w:val="0"/>
              <w:spacing w:before="120" w:after="120"/>
              <w:rPr>
                <w:rFonts w:ascii="Times New Roman" w:eastAsia="Times New Roman" w:hAnsi="Times New Roman" w:cs="Times New Roman"/>
                <w:sz w:val="24"/>
              </w:rPr>
            </w:pPr>
            <w:r>
              <w:rPr>
                <w:rFonts w:ascii="Times New Roman" w:hAnsi="Times New Roman"/>
                <w:sz w:val="24"/>
              </w:rPr>
              <w:t>Vrijednost opisana u skladu s objašnjenjem za stupce od a do m ovog obrasca.</w:t>
            </w:r>
          </w:p>
        </w:tc>
      </w:tr>
    </w:tbl>
    <w:p w14:paraId="3654956F" w14:textId="77777777" w:rsidR="00CE019E" w:rsidRPr="007F4CC8" w:rsidRDefault="00CE019E" w:rsidP="00CE019E">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1668164D" w14:textId="77777777" w:rsidTr="001E06A3">
        <w:trPr>
          <w:trHeight w:val="238"/>
        </w:trPr>
        <w:tc>
          <w:tcPr>
            <w:tcW w:w="9039" w:type="dxa"/>
            <w:gridSpan w:val="2"/>
            <w:shd w:val="clear" w:color="auto" w:fill="D9D9D9" w:themeFill="background1" w:themeFillShade="D9"/>
          </w:tcPr>
          <w:p w14:paraId="65F58123"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Pravna osnova i upute</w:t>
            </w:r>
          </w:p>
        </w:tc>
      </w:tr>
      <w:tr w:rsidR="00CE019E" w:rsidRPr="007F4CC8" w14:paraId="2B5ADFFC" w14:textId="77777777" w:rsidTr="001E06A3">
        <w:trPr>
          <w:trHeight w:val="238"/>
        </w:trPr>
        <w:tc>
          <w:tcPr>
            <w:tcW w:w="1384" w:type="dxa"/>
            <w:shd w:val="clear" w:color="auto" w:fill="D9D9D9" w:themeFill="background1" w:themeFillShade="D9"/>
          </w:tcPr>
          <w:p w14:paraId="322C41BE"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lastRenderedPageBreak/>
              <w:t>Broj stupca</w:t>
            </w:r>
          </w:p>
        </w:tc>
        <w:tc>
          <w:tcPr>
            <w:tcW w:w="7655" w:type="dxa"/>
            <w:shd w:val="clear" w:color="auto" w:fill="D9D9D9" w:themeFill="background1" w:themeFillShade="D9"/>
          </w:tcPr>
          <w:p w14:paraId="66E2F195"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Objašnjenje</w:t>
            </w:r>
          </w:p>
        </w:tc>
      </w:tr>
      <w:tr w:rsidR="00CE019E" w:rsidRPr="007F4CC8" w14:paraId="7AF21BE8" w14:textId="77777777" w:rsidTr="001E06A3">
        <w:trPr>
          <w:trHeight w:val="841"/>
        </w:trPr>
        <w:tc>
          <w:tcPr>
            <w:tcW w:w="1384" w:type="dxa"/>
          </w:tcPr>
          <w:p w14:paraId="584F8DE1" w14:textId="77777777" w:rsidR="00CE019E" w:rsidRPr="007F4CC8" w:rsidRDefault="00CE019E" w:rsidP="001E06A3">
            <w:pPr>
              <w:pStyle w:val="Applicationdirecte"/>
              <w:spacing w:before="120"/>
            </w:pPr>
            <w:r>
              <w:t>a</w:t>
            </w:r>
          </w:p>
        </w:tc>
        <w:tc>
          <w:tcPr>
            <w:tcW w:w="7655" w:type="dxa"/>
          </w:tcPr>
          <w:p w14:paraId="7F02C794" w14:textId="77777777" w:rsidR="00CE019E" w:rsidRPr="007F4CC8" w:rsidRDefault="00CE019E" w:rsidP="001E06A3">
            <w:pPr>
              <w:autoSpaceDE w:val="0"/>
              <w:autoSpaceDN w:val="0"/>
              <w:adjustRightInd w:val="0"/>
              <w:spacing w:before="120" w:after="120"/>
              <w:rPr>
                <w:rFonts w:ascii="Times New Roman" w:hAnsi="Times New Roman" w:cs="Times New Roman"/>
                <w:sz w:val="24"/>
              </w:rPr>
            </w:pPr>
            <w:r>
              <w:rPr>
                <w:rFonts w:ascii="Times New Roman" w:hAnsi="Times New Roman"/>
                <w:b/>
                <w:sz w:val="24"/>
              </w:rPr>
              <w:t>Vrijednost općih kreditnih izloženosti u skladu sa standardiziranim pristupom</w:t>
            </w:r>
          </w:p>
          <w:p w14:paraId="28AF669D" w14:textId="77777777" w:rsidR="00CE019E" w:rsidRPr="007F4CC8" w:rsidRDefault="00CE019E" w:rsidP="001E06A3">
            <w:pPr>
              <w:pStyle w:val="Fait"/>
              <w:spacing w:after="120"/>
            </w:pPr>
            <w:r>
              <w:t>Vrijednost relevantnih kreditnih izloženosti određena u skladu s člankom 140. stavkom 4. točkom (a) CRD-a i člankom 111. CRR-a.</w:t>
            </w:r>
          </w:p>
          <w:p w14:paraId="6C005399" w14:textId="77777777" w:rsidR="00CE019E" w:rsidRPr="007F4CC8" w:rsidRDefault="00CE019E" w:rsidP="001E06A3">
            <w:pPr>
              <w:pStyle w:val="Fait"/>
              <w:spacing w:after="120"/>
            </w:pPr>
            <w:r>
              <w:t>Vrijednost relevantnih kreditnih izloženosti određena u skladu s člankom 140. stavkom 4. točkom (c) CRD-a, pri čemu se članak 248. stavak 1. točke (a) i (c) CRR-a ne uključuju ovdje nego u stupac e ovog obrasca.</w:t>
            </w:r>
          </w:p>
          <w:p w14:paraId="6394081F" w14:textId="77777777" w:rsidR="00CE019E" w:rsidRPr="007F4CC8" w:rsidRDefault="00CE019E" w:rsidP="001E06A3">
            <w:pPr>
              <w:pStyle w:val="Fait"/>
              <w:spacing w:after="120"/>
            </w:pPr>
            <w:r>
              <w:t xml:space="preserve">Geografska raščlamba u skladu s Delegiranom uredbom Komisije (EU) br. 1152/2014. </w:t>
            </w:r>
          </w:p>
          <w:p w14:paraId="41086AB3" w14:textId="77777777" w:rsidR="00CE019E" w:rsidRPr="007F4CC8" w:rsidRDefault="00CE019E" w:rsidP="001E06A3">
            <w:pPr>
              <w:pStyle w:val="Fait"/>
              <w:spacing w:after="120"/>
            </w:pPr>
            <w:r>
              <w:t>Redak 020 (Ukupno): Zbroj svih relevantnih kreditnih izloženosti određuje se u skladu s člankom 140. stavkom 4. točkom (a) CRD-a i člankom 111. CRR-a.</w:t>
            </w:r>
          </w:p>
        </w:tc>
      </w:tr>
      <w:tr w:rsidR="00CE019E" w:rsidRPr="007F4CC8" w14:paraId="4332A4B8" w14:textId="77777777" w:rsidTr="001E06A3">
        <w:trPr>
          <w:trHeight w:val="841"/>
        </w:trPr>
        <w:tc>
          <w:tcPr>
            <w:tcW w:w="1384" w:type="dxa"/>
          </w:tcPr>
          <w:p w14:paraId="35258D0A" w14:textId="77777777" w:rsidR="00CE019E" w:rsidRPr="007F4CC8" w:rsidRDefault="00CE019E" w:rsidP="001E06A3">
            <w:pPr>
              <w:pStyle w:val="Applicationdirecte"/>
              <w:spacing w:before="120"/>
            </w:pPr>
            <w:r>
              <w:t>b</w:t>
            </w:r>
          </w:p>
        </w:tc>
        <w:tc>
          <w:tcPr>
            <w:tcW w:w="7655" w:type="dxa"/>
          </w:tcPr>
          <w:p w14:paraId="7CA098E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Vrijednost općih kreditnih izloženosti u skladu s IRB pristupom</w:t>
            </w:r>
          </w:p>
          <w:p w14:paraId="38173282"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Vrijednost relevantnih kreditnih izloženosti određena u skladu s člankom 140. stavkom 4. točkom (a) CRD-a i člancima 166., 167. i 168. CRR-a.</w:t>
            </w:r>
          </w:p>
          <w:p w14:paraId="6CF97579" w14:textId="77777777" w:rsidR="00CE019E" w:rsidRPr="007F4CC8" w:rsidRDefault="00CE019E" w:rsidP="001E06A3">
            <w:pPr>
              <w:pStyle w:val="Fait"/>
              <w:spacing w:after="120"/>
            </w:pPr>
            <w:r>
              <w:t>Vrijednost relevantnih kreditnih izloženosti određena u skladu s člankom 140. stavkom 4. točkom (c) CRD-a, pri čemu se članak 248. stavak 1. točke (a) i (c) CRR-a ne uključuju ovdje nego u stupac e ovog obrasca.</w:t>
            </w:r>
          </w:p>
          <w:p w14:paraId="391C9167"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Geografska raščlamba u skladu s Delegiranom uredbom Komisije (EU) br. 1152/2014.</w:t>
            </w:r>
          </w:p>
          <w:p w14:paraId="1802EC5F"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Redak 020 (Ukupno): Zbroj svih relevantnih kreditnih izloženosti određuje se u skladu s člankom 140. stavkom 4. točkom (a) CRD-a i člancima 166., 167. i 168. CRR-a.</w:t>
            </w:r>
          </w:p>
        </w:tc>
      </w:tr>
      <w:tr w:rsidR="00CE019E" w:rsidRPr="007F4CC8" w14:paraId="295DFEDD" w14:textId="77777777" w:rsidTr="001E06A3">
        <w:trPr>
          <w:trHeight w:val="316"/>
        </w:trPr>
        <w:tc>
          <w:tcPr>
            <w:tcW w:w="1384" w:type="dxa"/>
          </w:tcPr>
          <w:p w14:paraId="08E60721"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sz w:val="24"/>
              </w:rPr>
              <w:t xml:space="preserve">c </w:t>
            </w:r>
          </w:p>
        </w:tc>
        <w:tc>
          <w:tcPr>
            <w:tcW w:w="7655" w:type="dxa"/>
          </w:tcPr>
          <w:p w14:paraId="7BAC401F" w14:textId="794DECF2"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Zbroj dugih i kratkih pozicija u izloženostima iz knjige trgovanja za standardizirani pristup</w:t>
            </w:r>
          </w:p>
          <w:p w14:paraId="1A24DBE0"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Zbroj dugih i kratkih pozicija u relevantnim kreditnim izloženostima određenima u skladu s člankom 140. stavkom 4. točkom (b) CRD-a, izračunava se kao zbroj dugih i kratkih pozicija određenih u skladu s člankom 327. CRR-a</w:t>
            </w:r>
          </w:p>
          <w:p w14:paraId="1313E889"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Geografska raščlamba u skladu s Delegiranom uredbom Komisije (EU) br. 1152/2014.</w:t>
            </w:r>
          </w:p>
          <w:p w14:paraId="7DCC802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Redak 020 (Ukupno): Zbroj svih dugih i kratkih pozicija u relevantnim kreditnim izloženostima određuje se u skladu s člankom 140. stavkom 4. točkom (b) CRD-a i izračunava kao zbroj dugih i kratkih pozicija određenih u skladu s člankom 327. CRR-a.</w:t>
            </w:r>
          </w:p>
        </w:tc>
      </w:tr>
      <w:tr w:rsidR="00CE019E" w:rsidRPr="007F4CC8" w14:paraId="36516046" w14:textId="77777777" w:rsidTr="001E06A3">
        <w:trPr>
          <w:trHeight w:val="316"/>
        </w:trPr>
        <w:tc>
          <w:tcPr>
            <w:tcW w:w="1384" w:type="dxa"/>
          </w:tcPr>
          <w:p w14:paraId="160726E6"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d</w:t>
            </w:r>
          </w:p>
        </w:tc>
        <w:tc>
          <w:tcPr>
            <w:tcW w:w="7655" w:type="dxa"/>
          </w:tcPr>
          <w:p w14:paraId="2B6C0B64"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Vrijednost izloženosti iz knjige trgovanja za interne modele</w:t>
            </w:r>
          </w:p>
          <w:p w14:paraId="6AFDB9E4"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Zbroj sljedećeg:</w:t>
            </w:r>
          </w:p>
          <w:p w14:paraId="22D1535F" w14:textId="77777777" w:rsidR="00CE019E" w:rsidRPr="007F4CC8" w:rsidRDefault="00CE019E" w:rsidP="00E70D84">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szCs w:val="24"/>
              </w:rPr>
              <w:lastRenderedPageBreak/>
              <w:t>fer vrijednosti pozicija u gotovini koje predstavljaju relevantne kreditne izloženosti kako su određene u skladu s člankom 140. stavkom 4. točkom (b) CRD-a i člankom 104. CRR-a,</w:t>
            </w:r>
          </w:p>
          <w:p w14:paraId="53781A95" w14:textId="77777777" w:rsidR="00CE019E" w:rsidRPr="007F4CC8" w:rsidRDefault="00CE019E" w:rsidP="00E70D84">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szCs w:val="24"/>
              </w:rPr>
              <w:t>zamišljene vrijednosti izvedenica koje predstavljaju relevantne kreditne izloženosti kako su određene u skladu s člankom 140. stavkom 4. točkom (b) CRD-a.</w:t>
            </w:r>
          </w:p>
          <w:p w14:paraId="41A0B360"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Geografska raščlamba u skladu s Delegiranom uredbom Komisije (EU) br. 1152/2014.</w:t>
            </w:r>
          </w:p>
          <w:p w14:paraId="4D0E3D45" w14:textId="6EE63F2A"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Redak 020 (Ukupno): Zbroj fer vrijednosti svih pozicija u gotovini koje predstavljaju relevantne kreditne izloženosti određuje se u skladu s člankom 140. stavkom 4. točkom (b) CRD-a i člankom 104. CRR-a, a zbroj zamišljenih vrijednosti svih izvedenica koje predstavljaju relevantne kreditne izloženosti određuje se u skladu s člankom 140. stavkom 4. točkom (b) CRD-a.</w:t>
            </w:r>
          </w:p>
        </w:tc>
      </w:tr>
      <w:tr w:rsidR="00CE019E" w:rsidRPr="007F4CC8" w14:paraId="0CD5BD71" w14:textId="77777777" w:rsidTr="001E06A3">
        <w:trPr>
          <w:trHeight w:val="316"/>
        </w:trPr>
        <w:tc>
          <w:tcPr>
            <w:tcW w:w="1384" w:type="dxa"/>
          </w:tcPr>
          <w:p w14:paraId="6AE73FF5"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e</w:t>
            </w:r>
          </w:p>
        </w:tc>
        <w:tc>
          <w:tcPr>
            <w:tcW w:w="7655" w:type="dxa"/>
          </w:tcPr>
          <w:p w14:paraId="448D94BD" w14:textId="4310114F"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Sekuritizacijske izloženosti – Vrijednosti izloženosti za knjigu pozicija kojima se ne trguje</w:t>
            </w:r>
          </w:p>
          <w:p w14:paraId="068FDE85"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Vrijednost relevantnih kreditnih izloženosti određena u skladu s člankom 140. stavkom 4. točkom (c) CRD-a i člankom 248. točkama (a) i (c) CRR-a.</w:t>
            </w:r>
          </w:p>
          <w:p w14:paraId="58584F35"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Geografska raščlamba u skladu s Delegiranom uredbom Komisije (EU) br. 1152/2014.</w:t>
            </w:r>
          </w:p>
          <w:p w14:paraId="4EE39B9D"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Redak 020 (Ukupno): Zbroj svih relevantnih kreditnih izloženosti određuje se u skladu s člankom 140. stavkom 4. točkom (c) CRD-a i člankom 248. točkama (a) i (c) CRR-a.</w:t>
            </w:r>
          </w:p>
        </w:tc>
      </w:tr>
      <w:tr w:rsidR="00CE019E" w:rsidRPr="007F4CC8" w14:paraId="2372693B" w14:textId="77777777" w:rsidTr="001E06A3">
        <w:trPr>
          <w:trHeight w:val="695"/>
        </w:trPr>
        <w:tc>
          <w:tcPr>
            <w:tcW w:w="1384" w:type="dxa"/>
          </w:tcPr>
          <w:p w14:paraId="7ED13EA3"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f</w:t>
            </w:r>
          </w:p>
        </w:tc>
        <w:tc>
          <w:tcPr>
            <w:tcW w:w="7655" w:type="dxa"/>
          </w:tcPr>
          <w:p w14:paraId="3C5CE1F6"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Ukupna vrijednost izloženosti</w:t>
            </w:r>
          </w:p>
          <w:p w14:paraId="52555FD3" w14:textId="77777777" w:rsidR="00CE019E" w:rsidRPr="007F4CC8" w:rsidRDefault="00CE019E" w:rsidP="001E06A3">
            <w:pPr>
              <w:autoSpaceDE w:val="0"/>
              <w:autoSpaceDN w:val="0"/>
              <w:adjustRightInd w:val="0"/>
              <w:spacing w:before="120" w:after="120"/>
              <w:jc w:val="both"/>
              <w:rPr>
                <w:rFonts w:ascii="Times New Roman" w:hAnsi="Times New Roman"/>
                <w:sz w:val="24"/>
              </w:rPr>
            </w:pPr>
            <w:r>
              <w:rPr>
                <w:rFonts w:ascii="Times New Roman" w:hAnsi="Times New Roman"/>
                <w:sz w:val="24"/>
              </w:rPr>
              <w:t>Zbroj iznosa u stupcima a, b, c, d i e ovog obrasca.</w:t>
            </w:r>
          </w:p>
          <w:p w14:paraId="304A0A1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Redak 020 (Ukupno): Zbroj svih relevantnih kreditnih izloženosti određuje se u skladu s člankom 140. stavkom 4. CRD-a.</w:t>
            </w:r>
          </w:p>
        </w:tc>
      </w:tr>
      <w:tr w:rsidR="00CE019E" w:rsidRPr="007F4CC8" w14:paraId="3EEDBF8F" w14:textId="77777777" w:rsidTr="001E06A3">
        <w:trPr>
          <w:trHeight w:val="695"/>
        </w:trPr>
        <w:tc>
          <w:tcPr>
            <w:tcW w:w="1384" w:type="dxa"/>
          </w:tcPr>
          <w:p w14:paraId="773BB17B"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g</w:t>
            </w:r>
          </w:p>
        </w:tc>
        <w:tc>
          <w:tcPr>
            <w:tcW w:w="7655" w:type="dxa"/>
          </w:tcPr>
          <w:p w14:paraId="4814AC9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Kapitalni zahtjevi – Relevantne kreditne izloženosti – Kreditni rizik</w:t>
            </w:r>
          </w:p>
          <w:p w14:paraId="5C2E5F98"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Kapitalni zahtjevi za relevantne kreditne izloženosti u dotičnoj zemlji, utvrđeni u skladu s člankom 140. stavkom 4. točkom (a) CRD-a, dijelom trećim glavom II. CRR-a i uzimajući u obzir sve kapitalne zahtjeve povezane s usklađenjima pondera rizika specifičnih za zemlju utvrđenih u skladu s člankom 458. CRR-a.</w:t>
            </w:r>
          </w:p>
          <w:p w14:paraId="7A162747" w14:textId="40EEE021"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Redak 020 (Ukupno): Zbroj svih kapitalnih zahtjeva za relevantne kreditne izloženosti određuje se u skladu s člankom 140. stavkom 4. točkom (a) CRD-a i dijelom trećim glavom II. CRR-a.</w:t>
            </w:r>
          </w:p>
        </w:tc>
      </w:tr>
      <w:tr w:rsidR="00CE019E" w:rsidRPr="007F4CC8" w14:paraId="7833BB97" w14:textId="77777777" w:rsidTr="001E06A3">
        <w:trPr>
          <w:trHeight w:val="695"/>
        </w:trPr>
        <w:tc>
          <w:tcPr>
            <w:tcW w:w="1384" w:type="dxa"/>
          </w:tcPr>
          <w:p w14:paraId="41DAB906"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h</w:t>
            </w:r>
          </w:p>
        </w:tc>
        <w:tc>
          <w:tcPr>
            <w:tcW w:w="7655" w:type="dxa"/>
          </w:tcPr>
          <w:p w14:paraId="7EF9007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Kapitalni zahtjevi – Relevantne kreditne izloženosti – Tržišni rizik </w:t>
            </w:r>
          </w:p>
          <w:p w14:paraId="31945EB4" w14:textId="77777777" w:rsidR="00CE019E" w:rsidRPr="007F4CC8" w:rsidRDefault="00CE019E" w:rsidP="001E06A3">
            <w:pPr>
              <w:pStyle w:val="Fait"/>
              <w:spacing w:after="120"/>
            </w:pPr>
            <w:r>
              <w:t xml:space="preserve">Kapitalni zahtjevi za relevantne kreditne izloženosti u dotičnoj zemlji, utvrđeni u skladu s člankom 140. stavkom 4. točkom (b) CRD-a i dijelom trećim glavom IV. poglavljem 2. CRR-a za specifični rizik ili u skladu s </w:t>
            </w:r>
            <w:r>
              <w:lastRenderedPageBreak/>
              <w:t>dijelom trećim glavom IV. poglavljem 5. CRR-a za dodatni rizik nastanka statusa neispunjavanja obveza i migracijski rizik.</w:t>
            </w:r>
          </w:p>
          <w:p w14:paraId="2401E826" w14:textId="77777777" w:rsidR="00CE019E" w:rsidRPr="007F4CC8" w:rsidRDefault="00CE019E" w:rsidP="001E06A3">
            <w:pPr>
              <w:pStyle w:val="Fait"/>
              <w:spacing w:after="120"/>
            </w:pPr>
            <w:r>
              <w:t>Redak 020 (Ukupno): Zbroj svih kapitalnih zahtjeva za relevantne kreditne izloženosti određuje se u skladu s člankom 140. stavkom 4. točkom (b) CRD-a i dijelom trećim glavom IV. poglavljem 2. CRR-a za specifični rizik ili u skladu s dijelom trećim glavom IV. poglavljem 5. CRR-a za dodatni rizik nastanka statusa neispunjavanja obveza i migracijski rizik.</w:t>
            </w:r>
          </w:p>
        </w:tc>
      </w:tr>
      <w:tr w:rsidR="00CE019E" w:rsidRPr="007F4CC8" w14:paraId="1D42E5E3" w14:textId="77777777" w:rsidTr="001E06A3">
        <w:trPr>
          <w:trHeight w:val="695"/>
        </w:trPr>
        <w:tc>
          <w:tcPr>
            <w:tcW w:w="1384" w:type="dxa"/>
          </w:tcPr>
          <w:p w14:paraId="73B07C20"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i</w:t>
            </w:r>
          </w:p>
        </w:tc>
        <w:tc>
          <w:tcPr>
            <w:tcW w:w="7655" w:type="dxa"/>
          </w:tcPr>
          <w:p w14:paraId="5496C399"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Kapitalni zahtjevi – Relevantne kreditne izloženosti – Sekuritizacijske pozicije u knjizi pozicija kojima se ne trguje </w:t>
            </w:r>
          </w:p>
          <w:p w14:paraId="36DA94AE" w14:textId="5F6B1925"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Kapitalni zahtjevi za relevantne kreditne izloženosti u dotičnoj zemlji, utvrđeni u skladu s člankom 140. stavkom 4. točkom (c) CRD-a i dijelom trećim glavom II. poglavljem 5. CRR-a.</w:t>
            </w:r>
          </w:p>
          <w:p w14:paraId="7A86B7B7" w14:textId="10D441AD"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Redak 020 (Ukupno): Zbroj svih kapitalnih zahtjeva za relevantne kreditne izloženosti određuje se u skladu s člankom 140. stavkom 4. točkom (c) CRD-a i dijelom trećim glavom II. poglavljem 5. CRR-a.</w:t>
            </w:r>
          </w:p>
        </w:tc>
      </w:tr>
      <w:tr w:rsidR="00CE019E" w:rsidRPr="007F4CC8" w14:paraId="3B6D87A2" w14:textId="77777777" w:rsidTr="001E06A3">
        <w:trPr>
          <w:trHeight w:val="695"/>
        </w:trPr>
        <w:tc>
          <w:tcPr>
            <w:tcW w:w="1384" w:type="dxa"/>
          </w:tcPr>
          <w:p w14:paraId="2A79F96D"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j</w:t>
            </w:r>
          </w:p>
        </w:tc>
        <w:tc>
          <w:tcPr>
            <w:tcW w:w="7655" w:type="dxa"/>
          </w:tcPr>
          <w:p w14:paraId="24629AC6"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Kapitalni zahtjevi – Ukupno</w:t>
            </w:r>
          </w:p>
          <w:p w14:paraId="75D85F0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Zbroj iznosa u stupcima g, h i </w:t>
            </w:r>
            <w:proofErr w:type="spellStart"/>
            <w:r>
              <w:rPr>
                <w:rFonts w:ascii="Times New Roman" w:hAnsi="Times New Roman"/>
                <w:sz w:val="24"/>
              </w:rPr>
              <w:t>i</w:t>
            </w:r>
            <w:proofErr w:type="spellEnd"/>
            <w:r>
              <w:rPr>
                <w:rFonts w:ascii="Times New Roman" w:hAnsi="Times New Roman"/>
                <w:sz w:val="24"/>
              </w:rPr>
              <w:t xml:space="preserve"> ovog obrasca.</w:t>
            </w:r>
          </w:p>
          <w:p w14:paraId="08C2FCEB"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Redak 020 (Ukupno): Zbroj svih kapitalnih zahtjeva za relevantne kreditne izloženosti određuje se u skladu s člankom 140. stavkom 4. CRD-a.</w:t>
            </w:r>
          </w:p>
        </w:tc>
      </w:tr>
      <w:tr w:rsidR="00CE019E" w:rsidRPr="007F4CC8" w14:paraId="6D394CD5" w14:textId="77777777" w:rsidTr="001E06A3">
        <w:trPr>
          <w:trHeight w:val="695"/>
        </w:trPr>
        <w:tc>
          <w:tcPr>
            <w:tcW w:w="1384" w:type="dxa"/>
          </w:tcPr>
          <w:p w14:paraId="73F91788"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k</w:t>
            </w:r>
          </w:p>
        </w:tc>
        <w:tc>
          <w:tcPr>
            <w:tcW w:w="7655" w:type="dxa"/>
          </w:tcPr>
          <w:p w14:paraId="3608B9C3"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Iznosi izloženosti ponderirani rizikom</w:t>
            </w:r>
          </w:p>
          <w:p w14:paraId="07CB4356"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Iznosi izloženosti ponderirani rizikom za relevantne kreditne izloženosti, određeni u skladu s člankom 140. stavkom 4. CRD-a, raščlanjeni po zemljama i uzimajući u obzir sva usklađenja pondera rizika specifičnih za zemlju utvrđenih u skladu s člankom 458. CRR-a</w:t>
            </w:r>
          </w:p>
          <w:p w14:paraId="1BE2F763"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Redak 020 (Ukupno): Zbroj svih iznosa izloženosti ponderiranih rizikom za relevantne kreditne izloženosti određuje se u skladu s člankom 140. stavkom 4. CRD-a.</w:t>
            </w:r>
          </w:p>
        </w:tc>
      </w:tr>
      <w:tr w:rsidR="00CE019E" w:rsidRPr="007F4CC8" w14:paraId="72C7338B" w14:textId="77777777" w:rsidTr="001E06A3">
        <w:trPr>
          <w:trHeight w:val="695"/>
        </w:trPr>
        <w:tc>
          <w:tcPr>
            <w:tcW w:w="1384" w:type="dxa"/>
          </w:tcPr>
          <w:p w14:paraId="4A45663D"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l</w:t>
            </w:r>
          </w:p>
        </w:tc>
        <w:tc>
          <w:tcPr>
            <w:tcW w:w="7655" w:type="dxa"/>
          </w:tcPr>
          <w:p w14:paraId="63700A80"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Ponderi kapitalnih zahtjeva (%)</w:t>
            </w:r>
          </w:p>
          <w:p w14:paraId="5C4FB042"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Ponder koji se primjenjuje na stopu protucikličkog zaštitnog sloja u svakoj zemlji, koji se izračunava tako da se ukupni kapitalni zahtjevi koji se odnose na relevantne kreditne izloženosti u dotičnoj zemlji (redak 01X, stupac j ovog obrasca) podijele s ukupnim kapitalnim zahtjevima koji se odnose na sve kreditne izloženosti relevantne za izračun protucikličkog zaštitnog sloja u skladu s člankom 140. stavkom 4. CRD-a (redak 020, stupac j ovog obrasca).</w:t>
            </w:r>
          </w:p>
          <w:p w14:paraId="7829B30F"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Ta se vrijednost objavljuje kao postotak s dva decimalna mjesta.</w:t>
            </w:r>
          </w:p>
        </w:tc>
      </w:tr>
      <w:tr w:rsidR="00CE019E" w:rsidRPr="007F4CC8" w14:paraId="00690E8A" w14:textId="77777777" w:rsidTr="001E06A3">
        <w:trPr>
          <w:trHeight w:val="695"/>
        </w:trPr>
        <w:tc>
          <w:tcPr>
            <w:tcW w:w="1384" w:type="dxa"/>
          </w:tcPr>
          <w:p w14:paraId="5F114751"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m</w:t>
            </w:r>
          </w:p>
        </w:tc>
        <w:tc>
          <w:tcPr>
            <w:tcW w:w="7655" w:type="dxa"/>
          </w:tcPr>
          <w:p w14:paraId="34E9D6F4"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Stopa protucikličkog zaštitnog sloja kapitala (%)</w:t>
            </w:r>
          </w:p>
          <w:p w14:paraId="09E81108"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Stopa protucikličkog zaštitnog sloja kapitala koja se primjenjuje u dotičnoj zemlji, a utvrđuje u skladu s člancima 136., 137., 138. i 139. CRD-a.</w:t>
            </w:r>
          </w:p>
          <w:p w14:paraId="26E210D6"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lastRenderedPageBreak/>
              <w:t>U ovom se stupcu ne iskazuju stope protucikličkog zaštitnog sloja kapitala koje su utvrđene, ali se još nisu primjenjivale u vrijeme izračuna protucikličkog zaštitnog sloja kapitala specifičnog za instituciju na koji se objava odnosi.</w:t>
            </w:r>
          </w:p>
          <w:p w14:paraId="49ACACAC"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Ta se vrijednost objavljuje kao postotak s istim brojem decimalnih mjesta kako je utvrđeno u skladu s člancima 136., 137., 138. i 139. CRD-a.</w:t>
            </w:r>
          </w:p>
        </w:tc>
      </w:tr>
    </w:tbl>
    <w:p w14:paraId="595F859E" w14:textId="77777777" w:rsidR="00CE019E" w:rsidRPr="007F4CC8" w:rsidRDefault="00CE019E" w:rsidP="00CE019E">
      <w:pPr>
        <w:jc w:val="both"/>
        <w:rPr>
          <w:rFonts w:ascii="Times New Roman" w:hAnsi="Times New Roman" w:cs="Times New Roman"/>
          <w:sz w:val="24"/>
        </w:rPr>
      </w:pPr>
    </w:p>
    <w:p w14:paraId="4095F529" w14:textId="038B7A61" w:rsidR="00CE019E" w:rsidRPr="007F4CC8" w:rsidRDefault="00CD362D" w:rsidP="00CE019E">
      <w:pPr>
        <w:autoSpaceDE w:val="0"/>
        <w:autoSpaceDN w:val="0"/>
        <w:adjustRightInd w:val="0"/>
        <w:jc w:val="both"/>
        <w:rPr>
          <w:rFonts w:ascii="Times New Roman" w:hAnsi="Times New Roman" w:cs="Times New Roman"/>
          <w:b/>
          <w:sz w:val="24"/>
        </w:rPr>
      </w:pPr>
      <w:r>
        <w:rPr>
          <w:rFonts w:ascii="Times New Roman" w:hAnsi="Times New Roman"/>
          <w:b/>
          <w:sz w:val="24"/>
        </w:rPr>
        <w:t>Obrazac EU CCyB2 – Iznos protucikličkog zaštitnog sloja kapitala specifičan za instituciju</w:t>
      </w:r>
    </w:p>
    <w:p w14:paraId="53EB0A4C" w14:textId="0CD52072" w:rsidR="00CE019E" w:rsidRPr="007F4CC8" w:rsidRDefault="00CE019E" w:rsidP="00E70D84">
      <w:pPr>
        <w:pStyle w:val="ListParagraph"/>
        <w:numPr>
          <w:ilvl w:val="0"/>
          <w:numId w:val="22"/>
        </w:numPr>
        <w:spacing w:before="120" w:after="120"/>
        <w:ind w:left="425" w:hanging="357"/>
        <w:jc w:val="both"/>
        <w:rPr>
          <w:rFonts w:ascii="Times New Roman" w:hAnsi="Times New Roman"/>
          <w:sz w:val="24"/>
        </w:rPr>
      </w:pPr>
      <w:r>
        <w:rPr>
          <w:rFonts w:ascii="Times New Roman" w:hAnsi="Times New Roman"/>
          <w:sz w:val="24"/>
        </w:rPr>
        <w:t>Institucije objavljuju informacije iz članka 440. točke (b) CRR-a ispunjavanjem obrasca EU CCyB2 iz Priloga IX. ovoj Provedbenoj uredbi prema uputama u nastavku ovog Priloga.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6E31761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F6EEBB" w14:textId="77777777" w:rsidR="00CE019E" w:rsidRPr="007F4CC8" w:rsidRDefault="00CE019E" w:rsidP="001E06A3">
            <w:pPr>
              <w:jc w:val="both"/>
              <w:rPr>
                <w:rFonts w:ascii="Times New Roman" w:hAnsi="Times New Roman" w:cs="Times New Roman"/>
                <w:b/>
                <w:sz w:val="24"/>
              </w:rPr>
            </w:pPr>
            <w:r>
              <w:rPr>
                <w:rFonts w:ascii="Times New Roman" w:hAnsi="Times New Roman"/>
                <w:b/>
                <w:sz w:val="24"/>
              </w:rPr>
              <w:t>Pravna osnova i upute</w:t>
            </w:r>
          </w:p>
        </w:tc>
      </w:tr>
      <w:tr w:rsidR="00CE019E" w:rsidRPr="007F4CC8" w14:paraId="6C635396" w14:textId="77777777" w:rsidTr="001E06A3">
        <w:trPr>
          <w:trHeight w:val="238"/>
        </w:trPr>
        <w:tc>
          <w:tcPr>
            <w:tcW w:w="1384" w:type="dxa"/>
            <w:shd w:val="clear" w:color="auto" w:fill="D9D9D9" w:themeFill="background1" w:themeFillShade="D9"/>
          </w:tcPr>
          <w:p w14:paraId="7A8B4702"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4C301A07"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b/>
                <w:sz w:val="24"/>
              </w:rPr>
              <w:t>Objašnjenje</w:t>
            </w:r>
          </w:p>
        </w:tc>
      </w:tr>
      <w:tr w:rsidR="00CE019E" w:rsidRPr="007F4CC8" w14:paraId="3795E0DF" w14:textId="77777777" w:rsidTr="001E06A3">
        <w:trPr>
          <w:trHeight w:val="1055"/>
        </w:trPr>
        <w:tc>
          <w:tcPr>
            <w:tcW w:w="1384" w:type="dxa"/>
          </w:tcPr>
          <w:p w14:paraId="398A818D" w14:textId="77777777" w:rsidR="00CE019E" w:rsidRPr="007F4CC8" w:rsidRDefault="00CE019E" w:rsidP="001E06A3">
            <w:pPr>
              <w:pStyle w:val="Applicationdirecte"/>
              <w:spacing w:before="120"/>
            </w:pPr>
            <w:r>
              <w:t>1</w:t>
            </w:r>
          </w:p>
        </w:tc>
        <w:tc>
          <w:tcPr>
            <w:tcW w:w="7655" w:type="dxa"/>
          </w:tcPr>
          <w:p w14:paraId="1198D2F8" w14:textId="77777777" w:rsidR="00CE019E" w:rsidRPr="007F4CC8" w:rsidRDefault="00CE019E" w:rsidP="001E06A3">
            <w:pPr>
              <w:pStyle w:val="Applicationdirecte"/>
              <w:spacing w:before="120"/>
              <w:rPr>
                <w:b/>
              </w:rPr>
            </w:pPr>
            <w:r>
              <w:rPr>
                <w:b/>
              </w:rPr>
              <w:t>Ukupni iznos izloženosti riziku</w:t>
            </w:r>
          </w:p>
          <w:p w14:paraId="2EE23848" w14:textId="77777777" w:rsidR="00CE019E" w:rsidRPr="007F4CC8" w:rsidRDefault="00CE019E" w:rsidP="001E06A3">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Ukupni iznos izloženosti rizicima koji se izračunava u skladu s člankom 92. stavkom 3. CRR-a</w:t>
            </w:r>
          </w:p>
        </w:tc>
      </w:tr>
      <w:tr w:rsidR="00CE019E" w:rsidRPr="007F4CC8" w14:paraId="64570429" w14:textId="77777777" w:rsidTr="001E06A3">
        <w:trPr>
          <w:trHeight w:val="316"/>
        </w:trPr>
        <w:tc>
          <w:tcPr>
            <w:tcW w:w="1384" w:type="dxa"/>
          </w:tcPr>
          <w:p w14:paraId="0BE0A621"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2</w:t>
            </w:r>
          </w:p>
        </w:tc>
        <w:tc>
          <w:tcPr>
            <w:tcW w:w="7655" w:type="dxa"/>
          </w:tcPr>
          <w:p w14:paraId="4451EEAB"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Stopa protucikličkog zaštitnog sloja kapitala specifična za instituciju </w:t>
            </w:r>
          </w:p>
          <w:p w14:paraId="163DF62F"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Stopa protucikličkog zaštitnog sloja kapitala specifična za instituciju određena u skladu s člankom 140. stavkom 1. CRD-a. </w:t>
            </w:r>
          </w:p>
          <w:p w14:paraId="621A174E" w14:textId="776501FF"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Stopa protucikličkog zaštitnog sloja kapitala specifična za instituciju izračunava se kao ponderirani prosjek stopa protucikličkog zaštitnog sloja koje se primjenjuju u zemljama u kojima se relevantne kreditne izloženosti institucije nalaze u redcima od 010.1 do 010.X stupca m obrasca EU CCyB1.</w:t>
            </w:r>
          </w:p>
          <w:p w14:paraId="1DFCE7F3" w14:textId="7C667E63"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Ponder koji se primjenjuje na stopu protucikličkog zaštitnog sloja u svakoj zemlji jednak je udjelu kapitalnih zahtjeva u ukupnim kapitalnim zahtjevima i iskazuje se u stupcu 1 obrasca EU CCyB1. </w:t>
            </w:r>
          </w:p>
          <w:p w14:paraId="0A5B1C3D"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Ta se vrijednost objavljuje kao postotak s dva decimalna mjesta.</w:t>
            </w:r>
          </w:p>
        </w:tc>
      </w:tr>
      <w:tr w:rsidR="00CE019E" w:rsidRPr="007F4CC8" w14:paraId="4A1ABF5B" w14:textId="77777777" w:rsidTr="001E06A3">
        <w:trPr>
          <w:trHeight w:val="316"/>
        </w:trPr>
        <w:tc>
          <w:tcPr>
            <w:tcW w:w="1384" w:type="dxa"/>
          </w:tcPr>
          <w:p w14:paraId="794774FA"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3</w:t>
            </w:r>
          </w:p>
        </w:tc>
        <w:tc>
          <w:tcPr>
            <w:tcW w:w="7655" w:type="dxa"/>
          </w:tcPr>
          <w:p w14:paraId="455FA417"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Zahtjev za </w:t>
            </w:r>
            <w:proofErr w:type="spellStart"/>
            <w:r>
              <w:rPr>
                <w:rFonts w:ascii="Times New Roman" w:hAnsi="Times New Roman"/>
                <w:b/>
                <w:sz w:val="24"/>
              </w:rPr>
              <w:t>protuciklički</w:t>
            </w:r>
            <w:proofErr w:type="spellEnd"/>
            <w:r>
              <w:rPr>
                <w:rFonts w:ascii="Times New Roman" w:hAnsi="Times New Roman"/>
                <w:b/>
                <w:sz w:val="24"/>
              </w:rPr>
              <w:t xml:space="preserve"> zaštitni sloj kapitala specifičan za instituciju</w:t>
            </w:r>
          </w:p>
          <w:p w14:paraId="0126D735"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 xml:space="preserve">Zahtjev za </w:t>
            </w:r>
            <w:proofErr w:type="spellStart"/>
            <w:r>
              <w:rPr>
                <w:rFonts w:ascii="Times New Roman" w:hAnsi="Times New Roman"/>
                <w:sz w:val="24"/>
              </w:rPr>
              <w:t>protuciklički</w:t>
            </w:r>
            <w:proofErr w:type="spellEnd"/>
            <w:r>
              <w:rPr>
                <w:rFonts w:ascii="Times New Roman" w:hAnsi="Times New Roman"/>
                <w:sz w:val="24"/>
              </w:rPr>
              <w:t xml:space="preserve"> zaštitni sloj kapitala specifičan za instituciju, izračunava se kao stopa protucikličkog zaštitnog sloja kapitala specifična za instituciju, kako je objavljena u retku 2 ovog obrasca, primjenjuje se na ukupni iznos izloženosti riziku kako je objavljen u retku 1 ovog obrasca.</w:t>
            </w:r>
          </w:p>
        </w:tc>
      </w:tr>
    </w:tbl>
    <w:p w14:paraId="7F2BDB40" w14:textId="77777777" w:rsidR="00CE019E" w:rsidRPr="007F4CC8" w:rsidRDefault="00CE019E" w:rsidP="00CE019E">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6AD84D86"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71FB5" w14:textId="77777777" w:rsidR="00CE019E" w:rsidRPr="007F4CC8" w:rsidRDefault="00CE019E" w:rsidP="001E06A3">
            <w:pPr>
              <w:jc w:val="both"/>
              <w:rPr>
                <w:rFonts w:ascii="Times New Roman" w:hAnsi="Times New Roman" w:cs="Times New Roman"/>
                <w:b/>
                <w:sz w:val="24"/>
              </w:rPr>
            </w:pPr>
            <w:r>
              <w:rPr>
                <w:rFonts w:ascii="Times New Roman" w:hAnsi="Times New Roman"/>
                <w:b/>
                <w:sz w:val="24"/>
              </w:rPr>
              <w:t>Pravna osnova i upute</w:t>
            </w:r>
          </w:p>
        </w:tc>
      </w:tr>
      <w:tr w:rsidR="00CE019E" w:rsidRPr="007F4CC8" w14:paraId="5663F865" w14:textId="77777777" w:rsidTr="001E06A3">
        <w:trPr>
          <w:trHeight w:val="238"/>
        </w:trPr>
        <w:tc>
          <w:tcPr>
            <w:tcW w:w="1384" w:type="dxa"/>
            <w:shd w:val="clear" w:color="auto" w:fill="D9D9D9" w:themeFill="background1" w:themeFillShade="D9"/>
          </w:tcPr>
          <w:p w14:paraId="072307AB"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Broj stupca</w:t>
            </w:r>
          </w:p>
        </w:tc>
        <w:tc>
          <w:tcPr>
            <w:tcW w:w="7655" w:type="dxa"/>
            <w:shd w:val="clear" w:color="auto" w:fill="D9D9D9" w:themeFill="background1" w:themeFillShade="D9"/>
          </w:tcPr>
          <w:p w14:paraId="65E9D381"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b/>
                <w:sz w:val="24"/>
              </w:rPr>
              <w:t>Objašnjenje</w:t>
            </w:r>
          </w:p>
        </w:tc>
      </w:tr>
      <w:tr w:rsidR="00CE019E" w:rsidRPr="007F4CC8" w14:paraId="0F761600" w14:textId="77777777" w:rsidTr="001E06A3">
        <w:trPr>
          <w:trHeight w:val="703"/>
        </w:trPr>
        <w:tc>
          <w:tcPr>
            <w:tcW w:w="1384" w:type="dxa"/>
          </w:tcPr>
          <w:p w14:paraId="543D102F" w14:textId="77777777" w:rsidR="00CE019E" w:rsidRPr="007F4CC8" w:rsidRDefault="00CE019E" w:rsidP="001E06A3">
            <w:pPr>
              <w:pStyle w:val="Applicationdirecte"/>
              <w:spacing w:before="120"/>
            </w:pPr>
            <w:r>
              <w:t>a</w:t>
            </w:r>
          </w:p>
        </w:tc>
        <w:tc>
          <w:tcPr>
            <w:tcW w:w="7655" w:type="dxa"/>
          </w:tcPr>
          <w:p w14:paraId="45A2BE94" w14:textId="77777777" w:rsidR="00CE019E" w:rsidRPr="007F4CC8" w:rsidRDefault="00CE019E" w:rsidP="001E06A3">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Vrijednost kako je opisana u skladu s objašnjenjem za retke od 1 do 3 ovog obrasca.</w:t>
            </w:r>
          </w:p>
        </w:tc>
      </w:tr>
    </w:tbl>
    <w:p w14:paraId="35E71BA5" w14:textId="77777777" w:rsidR="007A7DC0" w:rsidRPr="007F4CC8" w:rsidRDefault="007A7DC0" w:rsidP="00CE019E">
      <w:pPr>
        <w:jc w:val="both"/>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p>
    <w:p w14:paraId="4036B67F" w14:textId="5172A314" w:rsidR="00CE019E" w:rsidRPr="007F4CC8" w:rsidRDefault="00CE019E" w:rsidP="00CE019E">
      <w:pPr>
        <w:jc w:val="both"/>
        <w:rPr>
          <w:rFonts w:ascii="Times New Roman" w:hAnsi="Times New Roman" w:cs="Times New Roman"/>
          <w:sz w:val="24"/>
        </w:rPr>
      </w:pPr>
    </w:p>
    <w:p w14:paraId="764CFA27" w14:textId="7A649F67" w:rsidR="00CE019E" w:rsidRPr="007F4CC8" w:rsidRDefault="00CE019E" w:rsidP="00E258D8">
      <w:pPr>
        <w:tabs>
          <w:tab w:val="left" w:pos="1430"/>
        </w:tabs>
        <w:rPr>
          <w:rFonts w:ascii="Times New Roman" w:hAnsi="Times New Roman" w:cs="Times New Roman"/>
          <w:b/>
          <w:sz w:val="24"/>
        </w:rPr>
      </w:pPr>
    </w:p>
    <w:p w14:paraId="71FDF3C1" w14:textId="77777777" w:rsidR="000A7015" w:rsidRPr="007F4CC8" w:rsidRDefault="000A7015" w:rsidP="000A7015">
      <w:pPr>
        <w:pStyle w:val="Annexetitre"/>
        <w:spacing w:before="0"/>
        <w:ind w:firstLine="708"/>
        <w:rPr>
          <w:b w:val="0"/>
        </w:rPr>
      </w:pPr>
      <w:r>
        <w:t xml:space="preserve">PRILOG XII. – Upute za objave omjera financijske poluge </w:t>
      </w:r>
    </w:p>
    <w:p w14:paraId="367D37E3" w14:textId="77777777" w:rsidR="000A7015" w:rsidRPr="007F4CC8" w:rsidRDefault="000A7015" w:rsidP="000A7015">
      <w:pPr>
        <w:pStyle w:val="Teksttreci20"/>
        <w:shd w:val="clear" w:color="auto" w:fill="auto"/>
        <w:spacing w:after="120" w:line="240" w:lineRule="auto"/>
        <w:jc w:val="both"/>
        <w:rPr>
          <w:rFonts w:ascii="Times New Roman" w:hAnsi="Times New Roman" w:cs="Times New Roman"/>
          <w:sz w:val="24"/>
          <w:szCs w:val="24"/>
        </w:rPr>
      </w:pPr>
      <w:bookmarkStart w:id="12" w:name="_DV_M1009"/>
      <w:bookmarkStart w:id="13" w:name="_DV_M1010"/>
      <w:bookmarkEnd w:id="12"/>
      <w:bookmarkEnd w:id="13"/>
    </w:p>
    <w:p w14:paraId="7CD5D435" w14:textId="77777777" w:rsidR="000A7015" w:rsidRPr="007F4CC8" w:rsidRDefault="000A7015" w:rsidP="000A701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Pr>
          <w:rFonts w:ascii="Times New Roman" w:hAnsi="Times New Roman"/>
          <w:color w:val="000000"/>
          <w:sz w:val="24"/>
          <w:szCs w:val="24"/>
        </w:rPr>
        <w:t xml:space="preserve">Obrazac EU LR1 – </w:t>
      </w:r>
      <w:proofErr w:type="spellStart"/>
      <w:r>
        <w:rPr>
          <w:rFonts w:ascii="Times New Roman" w:hAnsi="Times New Roman"/>
          <w:color w:val="000000"/>
          <w:sz w:val="24"/>
          <w:szCs w:val="24"/>
        </w:rPr>
        <w:t>LRSum</w:t>
      </w:r>
      <w:proofErr w:type="spellEnd"/>
      <w:r>
        <w:rPr>
          <w:rFonts w:ascii="Times New Roman" w:hAnsi="Times New Roman"/>
          <w:color w:val="000000"/>
          <w:sz w:val="24"/>
          <w:szCs w:val="24"/>
        </w:rPr>
        <w:t xml:space="preserve">: Sažetak usklađenosti izloženosti računovodstvene vrijednosti imovine i omjera financijske poluge. </w:t>
      </w:r>
      <w:r>
        <w:rPr>
          <w:rFonts w:ascii="Times New Roman" w:hAnsi="Times New Roman"/>
          <w:b w:val="0"/>
          <w:color w:val="000000"/>
          <w:sz w:val="24"/>
          <w:szCs w:val="24"/>
        </w:rPr>
        <w:t>Fiksan format obrasca.</w:t>
      </w:r>
    </w:p>
    <w:p w14:paraId="323ADFCE" w14:textId="18945C91"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sz w:val="24"/>
          <w:szCs w:val="24"/>
        </w:rPr>
        <w:t xml:space="preserve">Prateći upute u ovom odjeljku institucije ispunjavaju obrazac EU LR1 - </w:t>
      </w:r>
      <w:proofErr w:type="spellStart"/>
      <w:r>
        <w:rPr>
          <w:rFonts w:ascii="Times New Roman" w:hAnsi="Times New Roman"/>
          <w:sz w:val="24"/>
          <w:szCs w:val="24"/>
        </w:rPr>
        <w:t>LRSum</w:t>
      </w:r>
      <w:proofErr w:type="spellEnd"/>
      <w:r>
        <w:rPr>
          <w:rFonts w:ascii="Times New Roman" w:hAnsi="Times New Roman"/>
          <w:sz w:val="24"/>
          <w:szCs w:val="24"/>
        </w:rPr>
        <w:t xml:space="preserve"> u skladu s člankom 451. stavkom 1. točkom (b)</w:t>
      </w:r>
      <w:r>
        <w:rPr>
          <w:rFonts w:ascii="Times New Roman" w:hAnsi="Times New Roman"/>
          <w:sz w:val="24"/>
        </w:rPr>
        <w:t xml:space="preserve"> Uredbe (EU) br. 575/2013</w:t>
      </w:r>
      <w:r>
        <w:rPr>
          <w:rStyle w:val="FootnoteReference"/>
        </w:rPr>
        <w:footnoteReference w:id="20"/>
      </w:r>
      <w:r>
        <w:rPr>
          <w:rFonts w:ascii="Times New Roman" w:hAnsi="Times New Roman"/>
          <w:sz w:val="24"/>
        </w:rPr>
        <w:t xml:space="preserve">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3B29DC1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8A0B4"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Pravna osnova i upute</w:t>
            </w:r>
          </w:p>
        </w:tc>
      </w:tr>
      <w:tr w:rsidR="000A7015" w:rsidRPr="007F4CC8" w14:paraId="0689451A" w14:textId="77777777" w:rsidTr="001E06A3">
        <w:trPr>
          <w:trHeight w:val="238"/>
        </w:trPr>
        <w:tc>
          <w:tcPr>
            <w:tcW w:w="1384" w:type="dxa"/>
            <w:shd w:val="clear" w:color="auto" w:fill="D9D9D9" w:themeFill="background1" w:themeFillShade="D9"/>
          </w:tcPr>
          <w:p w14:paraId="4FECB811"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475E44FC"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0A7015" w:rsidRPr="007F4CC8" w14:paraId="1D049D02" w14:textId="77777777" w:rsidTr="001E06A3">
        <w:trPr>
          <w:trHeight w:val="1419"/>
        </w:trPr>
        <w:tc>
          <w:tcPr>
            <w:tcW w:w="1384" w:type="dxa"/>
            <w:vAlign w:val="center"/>
          </w:tcPr>
          <w:p w14:paraId="5B2CA9D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w:t>
            </w:r>
          </w:p>
        </w:tc>
        <w:tc>
          <w:tcPr>
            <w:tcW w:w="7655" w:type="dxa"/>
          </w:tcPr>
          <w:p w14:paraId="5B7CB48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Ukupna imovina u skladu s objavljenim financijskim izvješćima</w:t>
            </w:r>
          </w:p>
          <w:p w14:paraId="5A26C94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objavljuju ukupnu imovinu kako je objavljena u </w:t>
            </w:r>
            <w:proofErr w:type="spellStart"/>
            <w:r>
              <w:rPr>
                <w:rFonts w:ascii="Times New Roman" w:hAnsi="Times New Roman"/>
                <w:sz w:val="24"/>
                <w:szCs w:val="24"/>
              </w:rPr>
              <w:t>u</w:t>
            </w:r>
            <w:proofErr w:type="spellEnd"/>
            <w:r>
              <w:rPr>
                <w:rFonts w:ascii="Times New Roman" w:hAnsi="Times New Roman"/>
                <w:sz w:val="24"/>
                <w:szCs w:val="24"/>
              </w:rPr>
              <w:t xml:space="preserve"> financijskim izvješćima u skladu s primjenjivim računovodstvenim okvirom kako je definirano u članku 4. stavku 1. točki (77) CRR-a.</w:t>
            </w:r>
          </w:p>
        </w:tc>
      </w:tr>
      <w:tr w:rsidR="000A7015" w:rsidRPr="007F4CC8" w14:paraId="032FDC0D" w14:textId="77777777" w:rsidTr="001E06A3">
        <w:trPr>
          <w:trHeight w:val="2265"/>
        </w:trPr>
        <w:tc>
          <w:tcPr>
            <w:tcW w:w="1384" w:type="dxa"/>
            <w:vAlign w:val="center"/>
          </w:tcPr>
          <w:p w14:paraId="5508250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w:t>
            </w:r>
          </w:p>
        </w:tc>
        <w:tc>
          <w:tcPr>
            <w:tcW w:w="7655" w:type="dxa"/>
          </w:tcPr>
          <w:p w14:paraId="34805195" w14:textId="31DCC726"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Usklađenje za subjekte koji su konsolidirani za računovodstvene potrebe, ali su izvan opsega bonitetne konsolidacije</w:t>
            </w:r>
          </w:p>
          <w:p w14:paraId="39C6A024" w14:textId="4C3252DE"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objavljuju razliku između vrijednosti mjere ukupne izloženosti kako je objavljena u retku 13 obrasca EU LR1 - </w:t>
            </w:r>
            <w:proofErr w:type="spellStart"/>
            <w:r>
              <w:rPr>
                <w:rFonts w:ascii="Times New Roman" w:hAnsi="Times New Roman"/>
                <w:sz w:val="24"/>
                <w:szCs w:val="24"/>
              </w:rPr>
              <w:t>LRSum</w:t>
            </w:r>
            <w:proofErr w:type="spellEnd"/>
            <w:r>
              <w:rPr>
                <w:rFonts w:ascii="Times New Roman" w:hAnsi="Times New Roman"/>
                <w:sz w:val="24"/>
                <w:szCs w:val="24"/>
              </w:rPr>
              <w:t xml:space="preserve"> i ukupne računovodstvene imovine kako je objavljena u retku 1 obrasca EU LR1 - </w:t>
            </w:r>
            <w:proofErr w:type="spellStart"/>
            <w:r>
              <w:rPr>
                <w:rFonts w:ascii="Times New Roman" w:hAnsi="Times New Roman"/>
                <w:sz w:val="24"/>
                <w:szCs w:val="24"/>
              </w:rPr>
              <w:t>LRSum</w:t>
            </w:r>
            <w:proofErr w:type="spellEnd"/>
            <w:r>
              <w:rPr>
                <w:rFonts w:ascii="Times New Roman" w:hAnsi="Times New Roman"/>
                <w:sz w:val="24"/>
                <w:szCs w:val="24"/>
              </w:rPr>
              <w:t>, koja je rezultat razlika između opsega računovodstvene i opsega bonitetne konsolidacije.</w:t>
            </w:r>
          </w:p>
          <w:p w14:paraId="13FA44D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Ako to usklađenje dovodi do povećanja izloženosti, institucije to objavljuju kao pozitivan iznos. Ako ovo usklađenje dovodi do smanjenja izloženosti, institucije vrijednost u ovom retku stavljaju u zagrade (negativan iznos).</w:t>
            </w:r>
          </w:p>
        </w:tc>
      </w:tr>
      <w:tr w:rsidR="000A7015" w:rsidRPr="007F4CC8" w14:paraId="447998B2" w14:textId="77777777" w:rsidTr="001E06A3">
        <w:trPr>
          <w:trHeight w:val="567"/>
        </w:trPr>
        <w:tc>
          <w:tcPr>
            <w:tcW w:w="1384" w:type="dxa"/>
            <w:vAlign w:val="center"/>
          </w:tcPr>
          <w:p w14:paraId="5E19A06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w:t>
            </w:r>
          </w:p>
        </w:tc>
        <w:tc>
          <w:tcPr>
            <w:tcW w:w="7655" w:type="dxa"/>
          </w:tcPr>
          <w:p w14:paraId="182CA7A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(Usklađenje za sekuritizirane izloženosti koje ispunjavaju operativne zahtjeve za priznavanje prenosivosti rizika)</w:t>
            </w:r>
          </w:p>
          <w:p w14:paraId="0427AC26"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Članak 429.a stavak 1. točka (m) CRR-a</w:t>
            </w:r>
          </w:p>
          <w:p w14:paraId="0103ED6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objavljuju iznos </w:t>
            </w:r>
            <w:proofErr w:type="spellStart"/>
            <w:r>
              <w:rPr>
                <w:rFonts w:ascii="Times New Roman" w:hAnsi="Times New Roman"/>
                <w:sz w:val="24"/>
                <w:szCs w:val="24"/>
              </w:rPr>
              <w:t>sekuritiziranih</w:t>
            </w:r>
            <w:proofErr w:type="spellEnd"/>
            <w:r>
              <w:rPr>
                <w:rFonts w:ascii="Times New Roman" w:hAnsi="Times New Roman"/>
                <w:sz w:val="24"/>
                <w:szCs w:val="24"/>
              </w:rPr>
              <w:t xml:space="preserve"> izloženosti iz tradicionalne sekuritizacije koje ispunjavaju uvjete za prijenos značajnog rizika iz članka 244. stavka 2. CRR-a.</w:t>
            </w:r>
          </w:p>
          <w:p w14:paraId="0EB803E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Budući da ovo usklađenje dovodi do smanjenja mjere ukupne izloženosti, institucije vrijednost u ovom retku stavljaju u zagrade (negativan iznos).</w:t>
            </w:r>
          </w:p>
        </w:tc>
      </w:tr>
      <w:tr w:rsidR="000A7015" w:rsidRPr="007F4CC8" w14:paraId="32681027" w14:textId="77777777" w:rsidTr="001E06A3">
        <w:trPr>
          <w:trHeight w:val="850"/>
        </w:trPr>
        <w:tc>
          <w:tcPr>
            <w:tcW w:w="1384" w:type="dxa"/>
            <w:vAlign w:val="center"/>
          </w:tcPr>
          <w:p w14:paraId="07E3AE5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4</w:t>
            </w:r>
          </w:p>
        </w:tc>
        <w:tc>
          <w:tcPr>
            <w:tcW w:w="7655" w:type="dxa"/>
          </w:tcPr>
          <w:p w14:paraId="44A4B85E"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(Usklađenje za privremeno izuzeće izloženosti prema središnjim bankama (ako je primjenjivo))</w:t>
            </w:r>
          </w:p>
          <w:p w14:paraId="7E41C9C8"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Članak 429.a stavak 1. točka (n) CRR-a</w:t>
            </w:r>
          </w:p>
          <w:p w14:paraId="3CE7037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 xml:space="preserve">Ako je primjenjivo, institucije objavljuju iznos kovanica i novčanica koje predstavljaju zakonsku valutu u nadležnosti središnje banke i imovinu koja predstavlja potraživanja od središnje banke, uključujući rezerve </w:t>
            </w:r>
            <w:r>
              <w:rPr>
                <w:rStyle w:val="TeksttreciPogrubienie"/>
                <w:rFonts w:ascii="Times New Roman" w:hAnsi="Times New Roman"/>
                <w:sz w:val="24"/>
                <w:szCs w:val="24"/>
              </w:rPr>
              <w:lastRenderedPageBreak/>
              <w:t>koje se drže u središnjoj banci. Te izloženosti mogu biti privremeno izuzete pod uvjetima iz članka 429.a stavaka 5. i 6. CRR-a.</w:t>
            </w:r>
          </w:p>
          <w:p w14:paraId="057D490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Fonts w:ascii="Times New Roman" w:hAnsi="Times New Roman"/>
                <w:sz w:val="24"/>
                <w:szCs w:val="24"/>
              </w:rPr>
              <w:t>Budući da ovo usklađenje dovodi do smanjenja mjere ukupne izloženosti, institucije vrijednost u ovom retku stavljaju u zagrade (negativan iznos).</w:t>
            </w:r>
            <w:r>
              <w:rPr>
                <w:rStyle w:val="TeksttreciPogrubienie"/>
                <w:rFonts w:ascii="Times New Roman" w:hAnsi="Times New Roman"/>
                <w:sz w:val="24"/>
                <w:szCs w:val="24"/>
              </w:rPr>
              <w:t xml:space="preserve"> </w:t>
            </w:r>
          </w:p>
        </w:tc>
      </w:tr>
      <w:tr w:rsidR="000A7015" w:rsidRPr="007F4CC8" w14:paraId="3EFB0DFF" w14:textId="77777777" w:rsidTr="001E06A3">
        <w:trPr>
          <w:trHeight w:val="2265"/>
        </w:trPr>
        <w:tc>
          <w:tcPr>
            <w:tcW w:w="1384" w:type="dxa"/>
            <w:vAlign w:val="center"/>
          </w:tcPr>
          <w:p w14:paraId="5D4063E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5</w:t>
            </w:r>
          </w:p>
        </w:tc>
        <w:tc>
          <w:tcPr>
            <w:tcW w:w="7655" w:type="dxa"/>
          </w:tcPr>
          <w:p w14:paraId="0A44CC6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(Usklađenje za fiducijarnu imovinu koja je priznata u bilanci u skladu s primjenjivim računovodstvenim okvirom, ali je isključena iz mjere ukupne izloženosti u skladu s člankom 429.a stavkom 1. točkom (i) CRR-a)</w:t>
            </w:r>
          </w:p>
          <w:p w14:paraId="0C61D26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objavljuju iznos stavki fiducijarne imovine koje su se prestale priznavati u skladu s člankom 429.a stavkom 1. točkom (i) CRR-a.</w:t>
            </w:r>
          </w:p>
          <w:p w14:paraId="1FD1642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Budući da ovo usklađenje dovodi do smanjenja mjere ukupne izloženosti, institucije vrijednost u ovom retku stavljaju u zagrade (negativan iznos).</w:t>
            </w:r>
          </w:p>
        </w:tc>
      </w:tr>
      <w:tr w:rsidR="000A7015" w:rsidRPr="007F4CC8" w14:paraId="2466A60C" w14:textId="77777777" w:rsidTr="001E06A3">
        <w:trPr>
          <w:trHeight w:val="1559"/>
        </w:trPr>
        <w:tc>
          <w:tcPr>
            <w:tcW w:w="1384" w:type="dxa"/>
            <w:vAlign w:val="center"/>
          </w:tcPr>
          <w:p w14:paraId="4054B87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6</w:t>
            </w:r>
          </w:p>
        </w:tc>
        <w:tc>
          <w:tcPr>
            <w:tcW w:w="7655" w:type="dxa"/>
          </w:tcPr>
          <w:p w14:paraId="0D359C5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Usklađenje za redovne kupnje i prodaje financijske imovine koja se računovodstveno priznaje na datum trgovanja</w:t>
            </w:r>
          </w:p>
          <w:p w14:paraId="5CBBEA7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Članak 429.g stavci 1. i 2. CRR-a</w:t>
            </w:r>
          </w:p>
          <w:p w14:paraId="301F5CF5" w14:textId="3C4274C4" w:rsidR="000A7015" w:rsidRPr="007F4CC8" w:rsidRDefault="000A7015" w:rsidP="001E06A3">
            <w:pPr>
              <w:tabs>
                <w:tab w:val="left" w:pos="400"/>
              </w:tabs>
              <w:spacing w:after="120"/>
              <w:jc w:val="both"/>
              <w:rPr>
                <w:rFonts w:ascii="Times New Roman" w:hAnsi="Times New Roman" w:cs="Times New Roman"/>
                <w:sz w:val="24"/>
              </w:rPr>
            </w:pPr>
            <w:r>
              <w:rPr>
                <w:rFonts w:ascii="Times New Roman" w:hAnsi="Times New Roman"/>
                <w:sz w:val="24"/>
              </w:rPr>
              <w:t>Institucije objavljuju usklađenje računovodstvene vrijednosti koja se odnosi na redovne kupnje ili prodaje koje čekaju namiru koja se računovodstveno priznaje na datum trgovanja u skladu s člankom 429.g stavcima 1. i 2. CRR-a. Usklađenje je zbroj:</w:t>
            </w:r>
          </w:p>
          <w:p w14:paraId="3E3DE88A" w14:textId="77777777" w:rsidR="000A7015" w:rsidRPr="007F4CC8" w:rsidRDefault="000A7015" w:rsidP="00266A53">
            <w:pPr>
              <w:pStyle w:val="ListParagraph"/>
              <w:numPr>
                <w:ilvl w:val="0"/>
                <w:numId w:val="29"/>
              </w:numPr>
              <w:spacing w:after="120"/>
              <w:contextualSpacing/>
              <w:jc w:val="both"/>
              <w:rPr>
                <w:rFonts w:ascii="Times New Roman" w:hAnsi="Times New Roman"/>
                <w:sz w:val="24"/>
                <w:szCs w:val="24"/>
              </w:rPr>
            </w:pPr>
            <w:r>
              <w:rPr>
                <w:rFonts w:ascii="Times New Roman" w:hAnsi="Times New Roman"/>
                <w:sz w:val="24"/>
                <w:szCs w:val="24"/>
              </w:rPr>
              <w:t xml:space="preserve">iznosa prijeboja između gotovinskih potraživanja za redovne kupnje koje čekaju namiru i gotovinskih obveza za redovne kupnje koje čekaju namiru koji su dopušteni u skladu s računovodstvenim okvirom; to je pozitivan iznos, </w:t>
            </w:r>
          </w:p>
          <w:p w14:paraId="680EBF30" w14:textId="15E6CEE8" w:rsidR="000A7015" w:rsidRPr="007F4CC8" w:rsidRDefault="000A7015" w:rsidP="00266A53">
            <w:pPr>
              <w:pStyle w:val="ListParagraph"/>
              <w:numPr>
                <w:ilvl w:val="0"/>
                <w:numId w:val="29"/>
              </w:numPr>
              <w:spacing w:after="120"/>
              <w:contextualSpacing/>
              <w:jc w:val="both"/>
              <w:rPr>
                <w:rFonts w:ascii="Times New Roman" w:hAnsi="Times New Roman"/>
                <w:sz w:val="24"/>
                <w:szCs w:val="24"/>
              </w:rPr>
            </w:pPr>
            <w:r>
              <w:rPr>
                <w:rFonts w:ascii="Times New Roman" w:hAnsi="Times New Roman"/>
                <w:sz w:val="24"/>
                <w:szCs w:val="24"/>
              </w:rPr>
              <w:t xml:space="preserve">iznosa prijeboja između gotovinskih potraživanja i gotovinskih obveza ako se s time povezane redovne kupnje i prodaje namiruju na temelju isporuke po plaćanju u skladu s člankom 429.g stavkom 2. CRR-a. To je negativna vrijednost. </w:t>
            </w:r>
          </w:p>
          <w:p w14:paraId="18C9721A" w14:textId="77777777" w:rsidR="000A7015" w:rsidRPr="007F4CC8" w:rsidRDefault="000A7015" w:rsidP="00266A53">
            <w:pPr>
              <w:spacing w:after="120"/>
              <w:jc w:val="both"/>
              <w:rPr>
                <w:rFonts w:ascii="Times New Roman" w:hAnsi="Times New Roman" w:cs="Times New Roman"/>
                <w:sz w:val="24"/>
              </w:rPr>
            </w:pPr>
            <w:r>
              <w:rPr>
                <w:rFonts w:ascii="Times New Roman" w:hAnsi="Times New Roman"/>
                <w:sz w:val="24"/>
              </w:rPr>
              <w:t xml:space="preserve">Redovne kupnje ili prodaje koje čekaju namiru koje se računovodstveno priznaju na datum namire u skladu s člankom 429.g stavkom 3. CRR-a uključuju se u redak 10 obrasca EU LR1 - </w:t>
            </w:r>
            <w:proofErr w:type="spellStart"/>
            <w:r>
              <w:rPr>
                <w:rFonts w:ascii="Times New Roman" w:hAnsi="Times New Roman"/>
                <w:sz w:val="24"/>
              </w:rPr>
              <w:t>LRSum</w:t>
            </w:r>
            <w:proofErr w:type="spellEnd"/>
            <w:r>
              <w:rPr>
                <w:rFonts w:ascii="Times New Roman" w:hAnsi="Times New Roman"/>
                <w:sz w:val="24"/>
              </w:rPr>
              <w:t>.</w:t>
            </w:r>
          </w:p>
          <w:p w14:paraId="032B04E0" w14:textId="77777777" w:rsidR="000A7015" w:rsidRPr="007F4CC8" w:rsidRDefault="000A7015" w:rsidP="001E06A3">
            <w:pPr>
              <w:tabs>
                <w:tab w:val="left" w:pos="400"/>
              </w:tabs>
              <w:spacing w:after="120"/>
              <w:jc w:val="both"/>
              <w:rPr>
                <w:rStyle w:val="TeksttreciPogrubienie"/>
                <w:rFonts w:ascii="Times New Roman" w:hAnsi="Times New Roman" w:cs="Times New Roman"/>
                <w:sz w:val="24"/>
              </w:rPr>
            </w:pPr>
            <w:r>
              <w:rPr>
                <w:rFonts w:ascii="Times New Roman" w:hAnsi="Times New Roman"/>
                <w:sz w:val="24"/>
              </w:rPr>
              <w:t>Ako ovo usklađenje dovodi do povećanja izloženosti, institucije to objavljuju kao pozitivan iznos. Ako ovo usklađenje dovodi do smanjenja izloženosti, institucije vrijednost u ovom retku stavljaju u zagrade (negativan iznos).</w:t>
            </w:r>
          </w:p>
        </w:tc>
      </w:tr>
      <w:tr w:rsidR="000A7015" w:rsidRPr="007F4CC8" w14:paraId="36D8150C" w14:textId="77777777" w:rsidTr="001E06A3">
        <w:trPr>
          <w:trHeight w:val="708"/>
        </w:trPr>
        <w:tc>
          <w:tcPr>
            <w:tcW w:w="1384" w:type="dxa"/>
            <w:vAlign w:val="center"/>
          </w:tcPr>
          <w:p w14:paraId="10FCD55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7</w:t>
            </w:r>
          </w:p>
        </w:tc>
        <w:tc>
          <w:tcPr>
            <w:tcW w:w="7655" w:type="dxa"/>
          </w:tcPr>
          <w:p w14:paraId="4E90E67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Usklađenje za prihvatljive transakcije objedinjenog vođenja računa</w:t>
            </w:r>
          </w:p>
          <w:p w14:paraId="27E6FD4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Članak 429.b stavci 2. i 3. CRR-a</w:t>
            </w:r>
          </w:p>
          <w:p w14:paraId="638EC17D" w14:textId="55CD295F"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objavljuju razliku između računovodstvene vrijednosti i vrijednosti izloženosti omjera financijske poluge aranžmana objedinjenog vođenja računa u skladu s uvjetima iz članka 429.b stavaka 2. i 3. CRR-a.</w:t>
            </w:r>
          </w:p>
          <w:p w14:paraId="76A1C38E" w14:textId="6FE3FD9C"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 xml:space="preserve">Ako to usklađenje dovodi do povećanja izloženosti, zbog transakcija koje su u skladu s primjenjivim računovodstvenim okvirom iskazane na neto osnovi, ali ne ispunjavaju uvjete za iskazivanje na neto osnovi u skladu s člankom 429.b stavcima 2. i 3. CRR-a, institucije to objavljuju kao pozitivan iznos. Ako </w:t>
            </w:r>
            <w:r>
              <w:rPr>
                <w:rFonts w:ascii="Times New Roman" w:hAnsi="Times New Roman"/>
                <w:sz w:val="24"/>
                <w:szCs w:val="24"/>
              </w:rPr>
              <w:lastRenderedPageBreak/>
              <w:t>to usklađenje dovodi do smanjenja izloženosti, zbog transakcija koje u skladu s primjenjivim računovodstvenim okvirom nisu iskazane na neto osnovi, ali ispunjavaju uvjete za iskazivanje na neto osnovi u skladu s člankom 429.b stavcima 2. i 3. CRR-a, institucije vrijednost u ovom retku stavljaju u zagrade (negativan iznos).</w:t>
            </w:r>
          </w:p>
        </w:tc>
      </w:tr>
      <w:tr w:rsidR="000A7015" w:rsidRPr="007F4CC8" w14:paraId="540BAB8B" w14:textId="77777777" w:rsidTr="001E06A3">
        <w:trPr>
          <w:trHeight w:val="2265"/>
        </w:trPr>
        <w:tc>
          <w:tcPr>
            <w:tcW w:w="1384" w:type="dxa"/>
            <w:vAlign w:val="center"/>
          </w:tcPr>
          <w:p w14:paraId="1AAC4DF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8</w:t>
            </w:r>
          </w:p>
        </w:tc>
        <w:tc>
          <w:tcPr>
            <w:tcW w:w="7655" w:type="dxa"/>
          </w:tcPr>
          <w:p w14:paraId="5F36F58F"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Usklađenje za izvedene financijske instrumente</w:t>
            </w:r>
          </w:p>
          <w:p w14:paraId="5A77551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Za kreditne izvedenice navedene u Prilogu II. CRR-u institucije objavljuju razliku između računovodstvene vrijednosti izvedenica koje se priznaju kao imovina i vrijednosti izloženosti omjera financijske poluge kako se utvrđuje u skladu s člankom 429. stavkom 4. točkom (b), člankom 429.c, člankom 429.d, člankom 429.a stavkom 1. točkama (g) i (h) i člankom 429. stavkom 5. CRR-a.</w:t>
            </w:r>
          </w:p>
          <w:p w14:paraId="2F07A9D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Ako to usklađenje dovodi do povećanja izloženosti, institucije to objavljuju kao pozitivan iznos. Ako ovo usklađenje dovodi do smanjenja izloženosti, institucije vrijednost u ovom retku stavljaju u zagrade (negativan iznos).</w:t>
            </w:r>
          </w:p>
        </w:tc>
      </w:tr>
      <w:tr w:rsidR="000A7015" w:rsidRPr="007F4CC8" w14:paraId="6A3A435D" w14:textId="77777777" w:rsidTr="001E06A3">
        <w:trPr>
          <w:trHeight w:val="2265"/>
        </w:trPr>
        <w:tc>
          <w:tcPr>
            <w:tcW w:w="1384" w:type="dxa"/>
            <w:vAlign w:val="center"/>
          </w:tcPr>
          <w:p w14:paraId="5EC0D8C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9</w:t>
            </w:r>
          </w:p>
        </w:tc>
        <w:tc>
          <w:tcPr>
            <w:tcW w:w="7655" w:type="dxa"/>
          </w:tcPr>
          <w:p w14:paraId="2749FA2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Usklađenje za transakcije financiranja vrijednosnim papirima</w:t>
            </w:r>
          </w:p>
          <w:p w14:paraId="5C0D8CA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Za transakcije financiranja vrijednosnim papirima institucije objavljuju razliku između računovodstvene vrijednosti transakcija financiranja vrijednosnim papirima koje se priznaju kao imovina i vrijednosti izloženosti omjera financijske poluge kako se utvrđuje u skladu s člankom 429. stavkom 4. točkama (a) i (c) u vezi s člankom 429.e, člankom 429. stavkom 7. točkom (b) i člankom 429. stavkom 1. tokom (b), člankom 429.b stavkom 4. i člankom 429.a stavkom 1. točkama (g) i (h) CRR-a.</w:t>
            </w:r>
          </w:p>
          <w:p w14:paraId="0EDA5D4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Ako to usklađenje dovodi do povećanja izloženosti, institucije to objavljuju kao pozitivan iznos. Ako ovo usklađenje dovodi do smanjenja izloženosti, institucije vrijednost u ovom retku stavljaju u zagrade (negativan iznos).</w:t>
            </w:r>
          </w:p>
        </w:tc>
      </w:tr>
      <w:tr w:rsidR="000A7015" w:rsidRPr="007F4CC8" w14:paraId="0F60570E" w14:textId="77777777" w:rsidTr="00084D8B">
        <w:trPr>
          <w:trHeight w:val="132"/>
        </w:trPr>
        <w:tc>
          <w:tcPr>
            <w:tcW w:w="1384" w:type="dxa"/>
            <w:vAlign w:val="center"/>
          </w:tcPr>
          <w:p w14:paraId="5837324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10</w:t>
            </w:r>
          </w:p>
        </w:tc>
        <w:tc>
          <w:tcPr>
            <w:tcW w:w="7655" w:type="dxa"/>
          </w:tcPr>
          <w:p w14:paraId="5891CD46"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Usklađenje za izvanbilančne stavke (odnosno konverzija izvanbilančnih izloženosti u istovjetne iznose kredita)</w:t>
            </w:r>
          </w:p>
          <w:p w14:paraId="6C7CE8B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objavljuju razliku u vrijednosti između izloženosti omjera financijske poluge kako je objavljena u retku 13 obrasca EU LR1 - </w:t>
            </w:r>
            <w:proofErr w:type="spellStart"/>
            <w:r>
              <w:rPr>
                <w:rFonts w:ascii="Times New Roman" w:hAnsi="Times New Roman"/>
                <w:sz w:val="24"/>
                <w:szCs w:val="24"/>
              </w:rPr>
              <w:t>LRSum</w:t>
            </w:r>
            <w:proofErr w:type="spellEnd"/>
            <w:r>
              <w:rPr>
                <w:rFonts w:ascii="Times New Roman" w:hAnsi="Times New Roman"/>
                <w:sz w:val="24"/>
                <w:szCs w:val="24"/>
              </w:rPr>
              <w:t xml:space="preserve"> i ukupne računovodstvene imovine kako je objavljena u retku 1 obrasca EU LR1 - </w:t>
            </w:r>
            <w:proofErr w:type="spellStart"/>
            <w:r>
              <w:rPr>
                <w:rFonts w:ascii="Times New Roman" w:hAnsi="Times New Roman"/>
                <w:sz w:val="24"/>
                <w:szCs w:val="24"/>
              </w:rPr>
              <w:t>LRSum</w:t>
            </w:r>
            <w:proofErr w:type="spellEnd"/>
            <w:r>
              <w:rPr>
                <w:rFonts w:ascii="Times New Roman" w:hAnsi="Times New Roman"/>
                <w:sz w:val="24"/>
                <w:szCs w:val="24"/>
              </w:rPr>
              <w:t>, koja je rezultat uključenja izvanbilančnih stavki u mjeru ukupne izloženosti omjera financijske poluge.</w:t>
            </w:r>
          </w:p>
          <w:p w14:paraId="0EF7CE9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To uključuje obveze za plaćanje koje se odnose na redovne kupnje koje se računovodstveno priznaju na datum namire kako se izračunava u skladu s člankom 429.g stavkom 3. CRR-a.</w:t>
            </w:r>
          </w:p>
          <w:p w14:paraId="53BCDC6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Budući da ovo usklađenje dovodi do povećanja mjere ukupne izloženosti, objavljuje se kao pozitivan iznos.</w:t>
            </w:r>
          </w:p>
        </w:tc>
      </w:tr>
      <w:tr w:rsidR="000A7015" w:rsidRPr="007F4CC8" w14:paraId="418D99E9" w14:textId="77777777" w:rsidTr="001E06A3">
        <w:trPr>
          <w:trHeight w:val="983"/>
        </w:trPr>
        <w:tc>
          <w:tcPr>
            <w:tcW w:w="1384" w:type="dxa"/>
            <w:vAlign w:val="center"/>
          </w:tcPr>
          <w:p w14:paraId="7DF85C5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11</w:t>
            </w:r>
          </w:p>
        </w:tc>
        <w:tc>
          <w:tcPr>
            <w:tcW w:w="7655" w:type="dxa"/>
          </w:tcPr>
          <w:p w14:paraId="3BFAA46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(Usklađenje za bonitetna vrijednosna usklađenja i specifične i opće rezervacije kojima je umanjen osnovni kapital)</w:t>
            </w:r>
          </w:p>
          <w:p w14:paraId="19812157" w14:textId="77777777" w:rsidR="000A7015" w:rsidRPr="00266A53" w:rsidRDefault="000A7015" w:rsidP="001E06A3">
            <w:pPr>
              <w:pStyle w:val="Teksttreci0"/>
              <w:shd w:val="clear" w:color="auto" w:fill="auto"/>
              <w:spacing w:after="120" w:line="240" w:lineRule="auto"/>
              <w:ind w:firstLine="0"/>
              <w:rPr>
                <w:rFonts w:ascii="Times New Roman" w:hAnsi="Times New Roman" w:cs="Times New Roman"/>
                <w:bCs/>
                <w:color w:val="000000"/>
                <w:sz w:val="24"/>
                <w:szCs w:val="24"/>
                <w:shd w:val="clear" w:color="auto" w:fill="FFFFFF"/>
              </w:rPr>
            </w:pPr>
            <w:r>
              <w:rPr>
                <w:rStyle w:val="TeksttreciPogrubienie"/>
                <w:rFonts w:ascii="Times New Roman" w:hAnsi="Times New Roman"/>
                <w:b w:val="0"/>
                <w:sz w:val="24"/>
                <w:szCs w:val="24"/>
              </w:rPr>
              <w:t>Institucije objavljuju iznos bonitetnih vrijednosnih usklađenja u skladu s člankom 429.a stavkom 1. točkama (a) i (b) CRR-a i</w:t>
            </w:r>
            <w:r>
              <w:rPr>
                <w:rFonts w:ascii="Times New Roman" w:hAnsi="Times New Roman"/>
                <w:sz w:val="24"/>
                <w:szCs w:val="24"/>
              </w:rPr>
              <w:t xml:space="preserve"> iznos specifičnih (ako je relevantno) i općih ispravaka vrijednosti bilančnih i izvanbilančnih stavki u </w:t>
            </w:r>
            <w:r>
              <w:rPr>
                <w:rFonts w:ascii="Times New Roman" w:hAnsi="Times New Roman"/>
                <w:sz w:val="24"/>
                <w:szCs w:val="24"/>
              </w:rPr>
              <w:lastRenderedPageBreak/>
              <w:t xml:space="preserve">skladu s člankom 429. stavkom 4. zadnjom rečenicom i člankom 429.f stavkom 2. </w:t>
            </w:r>
            <w:r>
              <w:rPr>
                <w:rStyle w:val="TeksttreciPogrubienie"/>
                <w:rFonts w:ascii="Times New Roman" w:hAnsi="Times New Roman"/>
                <w:b w:val="0"/>
                <w:sz w:val="24"/>
                <w:szCs w:val="24"/>
              </w:rPr>
              <w:t>CRR-a kojima je umanjen osnovni kapital.</w:t>
            </w:r>
            <w:r>
              <w:rPr>
                <w:rFonts w:ascii="Times New Roman" w:hAnsi="Times New Roman"/>
                <w:sz w:val="24"/>
                <w:szCs w:val="24"/>
              </w:rPr>
              <w:t xml:space="preserve"> Specifični ispravci vrijednosti uključuju se samo ako, u skladu s primjenjivim računovodstvenim okvirom, nisu već odbijeni od bruto knjigovodstvenih vrijednosti. </w:t>
            </w:r>
            <w:bookmarkStart w:id="14" w:name="_DV_M411"/>
            <w:bookmarkEnd w:id="14"/>
          </w:p>
          <w:p w14:paraId="09E8C300"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Fonts w:ascii="Times New Roman" w:hAnsi="Times New Roman"/>
                <w:sz w:val="24"/>
                <w:szCs w:val="24"/>
              </w:rPr>
              <w:t>Budući da ovo usklađenje dovodi do smanjenja mjere ukupne izloženosti, institucije vrijednost u ovom retku stavljaju u zagrade (negativan iznos).</w:t>
            </w:r>
          </w:p>
        </w:tc>
      </w:tr>
      <w:tr w:rsidR="000A7015" w:rsidRPr="007F4CC8" w14:paraId="4A899E2E" w14:textId="77777777" w:rsidTr="001E06A3">
        <w:trPr>
          <w:trHeight w:val="2265"/>
        </w:trPr>
        <w:tc>
          <w:tcPr>
            <w:tcW w:w="1384" w:type="dxa"/>
            <w:vAlign w:val="center"/>
          </w:tcPr>
          <w:p w14:paraId="7056615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EU-11a</w:t>
            </w:r>
          </w:p>
        </w:tc>
        <w:tc>
          <w:tcPr>
            <w:tcW w:w="7655" w:type="dxa"/>
          </w:tcPr>
          <w:p w14:paraId="3CE18E2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(Usklađenje za izloženosti isključene iz mjere ukupne izloženosti u skladu s člankom 429.a stavkom 1. točkom (c) CRR-a)</w:t>
            </w:r>
          </w:p>
          <w:p w14:paraId="3416C9D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Članak 429.a stavak 1. točka (c) i članak 113. stavci 6. i 7. CRR-a</w:t>
            </w:r>
          </w:p>
          <w:p w14:paraId="6949A0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objavljuju dio bilančnih izloženosti isključenih iz mjere ukupne izloženosti u skladu s člankom 429.a stavkom 1. točkom (c) CRR-a.</w:t>
            </w:r>
          </w:p>
          <w:p w14:paraId="4893009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Budući da ovo usklađenje dovodi do smanjenja mjere ukupne izloženosti, institucije vrijednost u ovom retku stavljaju u zagrade (negativan iznos).</w:t>
            </w:r>
          </w:p>
        </w:tc>
      </w:tr>
      <w:tr w:rsidR="000A7015" w:rsidRPr="007F4CC8" w14:paraId="19F69D10" w14:textId="77777777" w:rsidTr="001E06A3">
        <w:trPr>
          <w:trHeight w:val="2265"/>
        </w:trPr>
        <w:tc>
          <w:tcPr>
            <w:tcW w:w="1384" w:type="dxa"/>
            <w:vAlign w:val="center"/>
          </w:tcPr>
          <w:p w14:paraId="1C862CF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EU-11b</w:t>
            </w:r>
          </w:p>
        </w:tc>
        <w:tc>
          <w:tcPr>
            <w:tcW w:w="7655" w:type="dxa"/>
          </w:tcPr>
          <w:p w14:paraId="6276F86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Usklađenje za izloženosti isključene iz mjere ukupne izloženosti u skladu s člankom 429.a stavkom 1. točkom (j) CRR-a</w:t>
            </w:r>
          </w:p>
          <w:p w14:paraId="0924AC5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Članak 429.a stavak 1. točka (j), članak 116. stavak 4. CRR-a</w:t>
            </w:r>
          </w:p>
          <w:p w14:paraId="5EF4311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objavljuju dio bilančnih izloženosti isključenih iz mjere ukupne izloženosti u skladu s člankom 429.a stavkom 1. točkom (j) CRR-a.</w:t>
            </w:r>
          </w:p>
          <w:p w14:paraId="590B1A2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Budući da ovo usklađenje dovodi do smanjenja mjere ukupne izloženosti, institucije vrijednost u ovom retku stavljaju u zagrade (negativan iznos).</w:t>
            </w:r>
          </w:p>
        </w:tc>
      </w:tr>
      <w:tr w:rsidR="000A7015" w:rsidRPr="007F4CC8" w14:paraId="09891083" w14:textId="77777777" w:rsidTr="001E06A3">
        <w:trPr>
          <w:trHeight w:val="2265"/>
        </w:trPr>
        <w:tc>
          <w:tcPr>
            <w:tcW w:w="1384" w:type="dxa"/>
            <w:vAlign w:val="center"/>
          </w:tcPr>
          <w:p w14:paraId="24F43B5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12</w:t>
            </w:r>
          </w:p>
        </w:tc>
        <w:tc>
          <w:tcPr>
            <w:tcW w:w="7655" w:type="dxa"/>
          </w:tcPr>
          <w:p w14:paraId="4894575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
                <w:bCs/>
                <w:color w:val="000000"/>
                <w:sz w:val="24"/>
                <w:szCs w:val="24"/>
                <w:shd w:val="clear" w:color="auto" w:fill="FFFFFF"/>
              </w:rPr>
            </w:pPr>
            <w:r>
              <w:rPr>
                <w:rStyle w:val="TeksttreciPogrubienie"/>
                <w:rFonts w:ascii="Times New Roman" w:hAnsi="Times New Roman"/>
                <w:sz w:val="24"/>
                <w:szCs w:val="24"/>
              </w:rPr>
              <w:t>Ostala usklađenja</w:t>
            </w:r>
          </w:p>
          <w:p w14:paraId="7DE84274" w14:textId="2D31568F"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uključuju sve preostale razlike u vrijednosti između mjere ukupne izloženosti i ukupne računovodstvene imovine. Institucije razmatraju usklađenja izloženosti </w:t>
            </w:r>
            <w:r>
              <w:rPr>
                <w:rStyle w:val="DeltaViewInsertion"/>
                <w:rFonts w:ascii="Times New Roman" w:hAnsi="Times New Roman"/>
                <w:b w:val="0"/>
                <w:i w:val="0"/>
                <w:color w:val="auto"/>
                <w:sz w:val="24"/>
                <w:szCs w:val="24"/>
              </w:rPr>
              <w:t>u skladu s člankom 429. stavkom 8. CRR-a i druge izloženosti iz članka 429. stavka 1. točaka (d), (e), (f), (h), (k), (l), (o), (p) CRR-a koje nisu objavljene nigdje u obrascu.</w:t>
            </w:r>
          </w:p>
          <w:p w14:paraId="524A5AC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Ako ta usklađenja dovode do povećanja izloženosti, institucije to objavljuju kao pozitivan iznos. Ako ta usklađenja dovode do smanjenja izloženosti, institucije vrijednost u ovom retku stavljaju u zagrade (negativan iznos).</w:t>
            </w:r>
          </w:p>
        </w:tc>
      </w:tr>
      <w:tr w:rsidR="000A7015" w:rsidRPr="007F4CC8" w14:paraId="60B2442D" w14:textId="77777777" w:rsidTr="001E06A3">
        <w:trPr>
          <w:trHeight w:val="1015"/>
        </w:trPr>
        <w:tc>
          <w:tcPr>
            <w:tcW w:w="1384" w:type="dxa"/>
            <w:vAlign w:val="center"/>
          </w:tcPr>
          <w:p w14:paraId="6A4B1601" w14:textId="77777777" w:rsidR="000A7015" w:rsidRPr="007F4CC8" w:rsidRDefault="000A7015" w:rsidP="001E06A3">
            <w:pPr>
              <w:pStyle w:val="Applicationdirecte"/>
              <w:spacing w:before="0"/>
              <w:jc w:val="center"/>
            </w:pPr>
            <w:r>
              <w:t>13</w:t>
            </w:r>
          </w:p>
        </w:tc>
        <w:tc>
          <w:tcPr>
            <w:tcW w:w="7655" w:type="dxa"/>
          </w:tcPr>
          <w:p w14:paraId="5D9808D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Mjera ukupne izloženosti</w:t>
            </w:r>
          </w:p>
          <w:p w14:paraId="2C981033" w14:textId="24BD1D9E"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Mjera ukupne izloženosti (objavljena i u retku 24 obrasca </w:t>
            </w:r>
            <w:r>
              <w:rPr>
                <w:rFonts w:ascii="Times New Roman" w:hAnsi="Times New Roman"/>
                <w:color w:val="000000"/>
                <w:sz w:val="24"/>
                <w:szCs w:val="24"/>
              </w:rPr>
              <w:t>EU LR2 -</w:t>
            </w:r>
            <w:r>
              <w:rPr>
                <w:rFonts w:ascii="Times New Roman" w:hAnsi="Times New Roman"/>
                <w:sz w:val="24"/>
                <w:szCs w:val="24"/>
              </w:rPr>
              <w:t xml:space="preserve"> </w:t>
            </w:r>
            <w:proofErr w:type="spellStart"/>
            <w:r>
              <w:rPr>
                <w:rFonts w:ascii="Times New Roman" w:hAnsi="Times New Roman"/>
                <w:sz w:val="24"/>
                <w:szCs w:val="24"/>
              </w:rPr>
              <w:t>LRCom</w:t>
            </w:r>
            <w:proofErr w:type="spellEnd"/>
            <w:r>
              <w:rPr>
                <w:rFonts w:ascii="Times New Roman" w:hAnsi="Times New Roman"/>
                <w:sz w:val="24"/>
                <w:szCs w:val="24"/>
              </w:rPr>
              <w:t>), koja je zbroj prethodnih stavki.</w:t>
            </w:r>
          </w:p>
        </w:tc>
      </w:tr>
    </w:tbl>
    <w:p w14:paraId="31EE4F69" w14:textId="77777777" w:rsidR="000A7015" w:rsidRPr="007F4CC8" w:rsidRDefault="000A7015" w:rsidP="000A7015">
      <w:pPr>
        <w:spacing w:after="120"/>
        <w:rPr>
          <w:rFonts w:ascii="Times New Roman" w:hAnsi="Times New Roman" w:cs="Times New Roman"/>
          <w:sz w:val="24"/>
        </w:rPr>
      </w:pPr>
    </w:p>
    <w:p w14:paraId="1E69398D" w14:textId="77777777" w:rsidR="000A7015" w:rsidRPr="007F4CC8" w:rsidRDefault="000A7015" w:rsidP="000A701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r>
        <w:rPr>
          <w:rFonts w:ascii="Times New Roman" w:hAnsi="Times New Roman"/>
          <w:color w:val="000000"/>
          <w:sz w:val="24"/>
          <w:szCs w:val="24"/>
        </w:rPr>
        <w:t xml:space="preserve">Obrazac EULR2 – </w:t>
      </w:r>
      <w:proofErr w:type="spellStart"/>
      <w:r>
        <w:rPr>
          <w:rFonts w:ascii="Times New Roman" w:hAnsi="Times New Roman"/>
          <w:color w:val="000000"/>
          <w:sz w:val="24"/>
          <w:szCs w:val="24"/>
        </w:rPr>
        <w:t>LRCom</w:t>
      </w:r>
      <w:proofErr w:type="spellEnd"/>
      <w:r>
        <w:rPr>
          <w:rFonts w:ascii="Times New Roman" w:hAnsi="Times New Roman"/>
          <w:color w:val="000000"/>
          <w:sz w:val="24"/>
          <w:szCs w:val="24"/>
        </w:rPr>
        <w:t xml:space="preserve">: </w:t>
      </w:r>
      <w:bookmarkStart w:id="15" w:name="bookmark12"/>
      <w:r>
        <w:rPr>
          <w:rFonts w:ascii="Times New Roman" w:hAnsi="Times New Roman"/>
          <w:color w:val="000000"/>
          <w:sz w:val="24"/>
          <w:szCs w:val="24"/>
        </w:rPr>
        <w:t>Zajednička objava omjera financijske poluge</w:t>
      </w:r>
      <w:bookmarkEnd w:id="15"/>
      <w:r>
        <w:rPr>
          <w:rFonts w:ascii="Times New Roman" w:hAnsi="Times New Roman"/>
          <w:color w:val="000000"/>
          <w:sz w:val="24"/>
          <w:szCs w:val="24"/>
        </w:rPr>
        <w:t xml:space="preserve">. </w:t>
      </w:r>
      <w:r>
        <w:rPr>
          <w:rFonts w:ascii="Times New Roman" w:hAnsi="Times New Roman"/>
          <w:b w:val="0"/>
          <w:color w:val="000000"/>
          <w:sz w:val="24"/>
          <w:szCs w:val="24"/>
        </w:rPr>
        <w:t>Fiksan format obrasca.</w:t>
      </w:r>
    </w:p>
    <w:p w14:paraId="45D197DC" w14:textId="0C67B567" w:rsidR="000A7015" w:rsidRPr="007F4CC8" w:rsidRDefault="000A7015" w:rsidP="00E70D84">
      <w:pPr>
        <w:pStyle w:val="ListParagraph"/>
        <w:numPr>
          <w:ilvl w:val="0"/>
          <w:numId w:val="28"/>
        </w:numPr>
        <w:spacing w:after="120"/>
        <w:ind w:left="426"/>
        <w:jc w:val="both"/>
        <w:rPr>
          <w:rFonts w:ascii="Times New Roman" w:hAnsi="Times New Roman"/>
          <w:color w:val="000000"/>
          <w:sz w:val="24"/>
          <w:szCs w:val="24"/>
        </w:rPr>
      </w:pPr>
      <w:r>
        <w:rPr>
          <w:rFonts w:ascii="Times New Roman" w:hAnsi="Times New Roman"/>
          <w:color w:val="000000"/>
          <w:sz w:val="24"/>
          <w:szCs w:val="24"/>
        </w:rPr>
        <w:t xml:space="preserve">Prateći upute u ovom odjeljku institucije ispunjavaju obrazac EU LR2 - </w:t>
      </w:r>
      <w:proofErr w:type="spellStart"/>
      <w:r>
        <w:rPr>
          <w:rFonts w:ascii="Times New Roman" w:hAnsi="Times New Roman"/>
          <w:color w:val="000000"/>
          <w:sz w:val="24"/>
          <w:szCs w:val="24"/>
        </w:rPr>
        <w:t>LRCom</w:t>
      </w:r>
      <w:proofErr w:type="spellEnd"/>
      <w:r>
        <w:rPr>
          <w:rFonts w:ascii="Times New Roman" w:hAnsi="Times New Roman"/>
          <w:color w:val="000000"/>
          <w:sz w:val="24"/>
          <w:szCs w:val="24"/>
        </w:rPr>
        <w:t xml:space="preserve"> u skladu s člankom 451. stavkom 1. točkama (a) i (b) CRR-a i člankom 451. stavkom 3. CRR-a, uzimajući u obzir, ovisno o slučaju. članak 451. stavak 1. točku (c) i članak 451. stavak 2. CRR-a.</w:t>
      </w:r>
    </w:p>
    <w:p w14:paraId="14BBB142" w14:textId="77777777" w:rsidR="000A7015" w:rsidRPr="007F4CC8" w:rsidRDefault="000A7015" w:rsidP="00E70D84">
      <w:pPr>
        <w:pStyle w:val="ListParagraph"/>
        <w:numPr>
          <w:ilvl w:val="0"/>
          <w:numId w:val="28"/>
        </w:numPr>
        <w:spacing w:after="120"/>
        <w:ind w:left="426"/>
        <w:jc w:val="both"/>
        <w:rPr>
          <w:rFonts w:ascii="Times New Roman" w:hAnsi="Times New Roman"/>
          <w:color w:val="000000"/>
          <w:sz w:val="24"/>
          <w:szCs w:val="24"/>
        </w:rPr>
      </w:pPr>
      <w:r>
        <w:rPr>
          <w:rFonts w:ascii="Times New Roman" w:hAnsi="Times New Roman"/>
          <w:color w:val="000000"/>
          <w:sz w:val="24"/>
          <w:szCs w:val="24"/>
        </w:rPr>
        <w:lastRenderedPageBreak/>
        <w:t>Institucije u stupcu ‚a’ objavljuju vrijednosti iz različitih redaka za razdoblje objave, a u stupcu ‚b’ vrijednosti iz redaka za prethodno razdoblje objave.</w:t>
      </w:r>
    </w:p>
    <w:p w14:paraId="38B8FA6B" w14:textId="1A96B05D" w:rsidR="000A7015" w:rsidRPr="00AD50A9" w:rsidRDefault="000A7015" w:rsidP="00076626">
      <w:pPr>
        <w:pStyle w:val="ListParagraph"/>
        <w:numPr>
          <w:ilvl w:val="0"/>
          <w:numId w:val="28"/>
        </w:numPr>
        <w:spacing w:after="120"/>
        <w:ind w:left="426"/>
        <w:jc w:val="both"/>
        <w:rPr>
          <w:rFonts w:ascii="Times New Roman" w:hAnsi="Times New Roman"/>
          <w:color w:val="000000"/>
          <w:sz w:val="24"/>
        </w:rPr>
      </w:pPr>
      <w:r>
        <w:rPr>
          <w:rFonts w:ascii="Times New Roman" w:hAnsi="Times New Roman"/>
          <w:color w:val="000000"/>
          <w:sz w:val="24"/>
          <w:szCs w:val="24"/>
        </w:rPr>
        <w:t>Institucije u opisu koji prilažu obrascu objašnjavaju sastav promotivnih kredita objavljenih u redcima EU-22d i EU-22e ovog obrasca, uključujući informacije po vrsti druge ugovorne strane.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5FA428E8"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6BBFA7"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Pravna osnova i upute</w:t>
            </w:r>
          </w:p>
        </w:tc>
      </w:tr>
      <w:tr w:rsidR="000A7015" w:rsidRPr="007F4CC8" w14:paraId="3272E529" w14:textId="77777777" w:rsidTr="001E06A3">
        <w:trPr>
          <w:trHeight w:val="238"/>
        </w:trPr>
        <w:tc>
          <w:tcPr>
            <w:tcW w:w="1384" w:type="dxa"/>
            <w:shd w:val="clear" w:color="auto" w:fill="D9D9D9" w:themeFill="background1" w:themeFillShade="D9"/>
          </w:tcPr>
          <w:p w14:paraId="37C231CF"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2FFDB0C3"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0A7015" w:rsidRPr="007F4CC8" w14:paraId="03257AD3" w14:textId="77777777" w:rsidTr="001E06A3">
        <w:trPr>
          <w:trHeight w:val="708"/>
        </w:trPr>
        <w:tc>
          <w:tcPr>
            <w:tcW w:w="1384" w:type="dxa"/>
            <w:vAlign w:val="center"/>
          </w:tcPr>
          <w:p w14:paraId="7CCE11D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w:t>
            </w:r>
          </w:p>
        </w:tc>
        <w:tc>
          <w:tcPr>
            <w:tcW w:w="7655" w:type="dxa"/>
          </w:tcPr>
          <w:p w14:paraId="088F249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Bilančne stavke (isključujući izvedenice i transakcije financiranja vrijednosnim papirima, ali uključujući kolaterale)</w:t>
            </w:r>
          </w:p>
          <w:p w14:paraId="767AC9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Članci 429. i 429.b CRR-a</w:t>
            </w:r>
          </w:p>
          <w:p w14:paraId="5F84E93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objavljuju svu imovinu, osim ugovora iz Priloga II. CRR-u, kreditnih izvedenica i transakcija financiranja vrijednosnim papirima. Institucije vrednovanje te imovine temelje na načelima iz članka 429. stavka 7. i članka 429.b stavka 1. CRR-a. </w:t>
            </w:r>
          </w:p>
          <w:p w14:paraId="08F4A8F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pri tom izračunu uzimaju u obzir, ako je primjenjivo, članak 429.a stavak 1. točke (i), (m) i (n), članak 429.g i članak 429. stavak 4. zadnju rečenicu. </w:t>
            </w:r>
          </w:p>
          <w:p w14:paraId="2D03FE5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u ovu rubriku uključuju primljenu gotovinu ili vrijednosni papir dan drugoj ugovornoj strani preko transakcija financiranja vrijednosnim papirima, a koji je zadržan u bilanci (tj. nisu ispunjeni kriteriji za prestanak priznavanja u skladu s primjenjivim računovodstvenim okvirom).</w:t>
            </w:r>
          </w:p>
          <w:p w14:paraId="0D409F2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pri tom izračunu ne uzimaju u obzir članak 429. stavak 8 i članak 429.a stavak 1. točke od (a) do (h), točke (j) i (k) CRR-a, tj. iznos koji se objavljuje u ovom retku ne smanjuju za ta izuzeća. </w:t>
            </w:r>
          </w:p>
        </w:tc>
      </w:tr>
      <w:tr w:rsidR="000A7015" w:rsidRPr="007F4CC8" w14:paraId="3890DFD4" w14:textId="77777777" w:rsidTr="001E06A3">
        <w:trPr>
          <w:trHeight w:val="708"/>
        </w:trPr>
        <w:tc>
          <w:tcPr>
            <w:tcW w:w="1384" w:type="dxa"/>
            <w:vAlign w:val="center"/>
          </w:tcPr>
          <w:p w14:paraId="4FE5AF3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w:t>
            </w:r>
          </w:p>
        </w:tc>
        <w:tc>
          <w:tcPr>
            <w:tcW w:w="7655" w:type="dxa"/>
          </w:tcPr>
          <w:p w14:paraId="397FC48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Uvećanje za dani </w:t>
            </w:r>
            <w:proofErr w:type="spellStart"/>
            <w:r>
              <w:rPr>
                <w:rStyle w:val="TeksttreciPogrubienie"/>
                <w:rFonts w:ascii="Times New Roman" w:hAnsi="Times New Roman"/>
                <w:sz w:val="24"/>
                <w:szCs w:val="24"/>
              </w:rPr>
              <w:t>koletaral</w:t>
            </w:r>
            <w:proofErr w:type="spellEnd"/>
            <w:r>
              <w:rPr>
                <w:rStyle w:val="TeksttreciPogrubienie"/>
                <w:rFonts w:ascii="Times New Roman" w:hAnsi="Times New Roman"/>
                <w:sz w:val="24"/>
                <w:szCs w:val="24"/>
              </w:rPr>
              <w:t xml:space="preserve"> u ugovorima o izvedenicama ako je odbijen od imovine iskazane u bilanci u skladu s primjenjivim računovodstvenim okvirom</w:t>
            </w:r>
          </w:p>
          <w:p w14:paraId="75A3169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Članak 429.c stavak 2. CRR-a</w:t>
            </w:r>
          </w:p>
          <w:p w14:paraId="0CA70E8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objavljuju iznos danog kolaterala u ugovorima o izvedenicama ako se tim kolateralom smanjuje iznos imovine u skladu s primjenjivim računovodstvenim okvirom, kako je utvrđeno u članku 429.c stavku 2. CRR-a.</w:t>
            </w:r>
          </w:p>
          <w:p w14:paraId="7FE613C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Institucije u tu rubriku ne uključuju inicijalni iznos nadoknade za transakcije poravnanja izvedenica za klijenta preko kvalificirane središnje druge ugovorne strane (QCCP) ili prihvatljivi gotovinski varijacijski iznos nadoknade, kako je definirano u članku 429.c stavku 3. CRR-a.</w:t>
            </w:r>
          </w:p>
        </w:tc>
      </w:tr>
      <w:tr w:rsidR="000A7015" w:rsidRPr="007F4CC8" w14:paraId="0E145AC4" w14:textId="77777777" w:rsidTr="001E06A3">
        <w:trPr>
          <w:trHeight w:val="708"/>
        </w:trPr>
        <w:tc>
          <w:tcPr>
            <w:tcW w:w="1384" w:type="dxa"/>
            <w:vAlign w:val="center"/>
          </w:tcPr>
          <w:p w14:paraId="28E7A6A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w:t>
            </w:r>
          </w:p>
        </w:tc>
        <w:tc>
          <w:tcPr>
            <w:tcW w:w="7655" w:type="dxa"/>
          </w:tcPr>
          <w:p w14:paraId="59F117F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(Odbici imovine koja se potražuje za gotovinski varijacijski iznos nadoknade plaćen u transakcijama izvedenicama)</w:t>
            </w:r>
          </w:p>
          <w:p w14:paraId="1130C9D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Članak 429.c stavak 3. CRR-a</w:t>
            </w:r>
          </w:p>
          <w:p w14:paraId="17BB89D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objavljuju potraživanja za varijacijski iznos nadoknade plaćen drugoj ugovornoj strani u transakcijama izvedenicama ako je institucija, u </w:t>
            </w:r>
            <w:r>
              <w:rPr>
                <w:rFonts w:ascii="Times New Roman" w:hAnsi="Times New Roman"/>
                <w:sz w:val="24"/>
                <w:szCs w:val="24"/>
              </w:rPr>
              <w:lastRenderedPageBreak/>
              <w:t>skladu s primjenjivim računovodstvenim okvirom, dužna ta potraživanja priznati kao imovinu, ako su ispunjeni uvjeti iz članka 429.c stavka 3. točaka od (a) do (e) CRR-a.</w:t>
            </w:r>
          </w:p>
          <w:p w14:paraId="10A4671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szCs w:val="24"/>
              </w:rPr>
              <w:t>Budući da ovo usklađenje dovodi do smanjenja mjere ukupne izloženosti, institucije vrijednost u ovom retku stavljaju u zagrade (negativan iznos).</w:t>
            </w:r>
          </w:p>
        </w:tc>
      </w:tr>
      <w:tr w:rsidR="000A7015" w:rsidRPr="007F4CC8" w14:paraId="7628AEFF" w14:textId="77777777" w:rsidTr="001E06A3">
        <w:trPr>
          <w:trHeight w:val="1417"/>
        </w:trPr>
        <w:tc>
          <w:tcPr>
            <w:tcW w:w="1384" w:type="dxa"/>
            <w:vAlign w:val="center"/>
          </w:tcPr>
          <w:p w14:paraId="3DEAD08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4</w:t>
            </w:r>
          </w:p>
        </w:tc>
        <w:tc>
          <w:tcPr>
            <w:tcW w:w="7655" w:type="dxa"/>
          </w:tcPr>
          <w:p w14:paraId="744E447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(Usklađenje za primljene vrijednosne papire u transakcijama financiranja vrijednosnim papirima koji su priznati kao imovina)</w:t>
            </w:r>
          </w:p>
          <w:p w14:paraId="79A4CA36" w14:textId="77777777" w:rsidR="000A7015" w:rsidRPr="000C3FD6"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Usklađenje za primljene vrijednosne papire u transakcijama financiranja vrijednosnim papirima ako je banka te vrijednosne papire u svojoj bilanci priznala kao imovinu. Ti se iznosi isključuju iz mjere ukupne izloženosti u skladu s člankom 429.e stavkom 6. CRR-a.</w:t>
            </w:r>
          </w:p>
          <w:p w14:paraId="41EE831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Budući da ta usklađenja dovode do smanjenja mjere ukupne izloženosti, institucije vrijednost u ovom retku stavljaju u zagrade (negativan iznos).</w:t>
            </w:r>
          </w:p>
        </w:tc>
      </w:tr>
      <w:tr w:rsidR="000A7015" w:rsidRPr="007F4CC8" w14:paraId="6E3D844A" w14:textId="77777777" w:rsidTr="001E06A3">
        <w:trPr>
          <w:trHeight w:val="1417"/>
        </w:trPr>
        <w:tc>
          <w:tcPr>
            <w:tcW w:w="1384" w:type="dxa"/>
            <w:vAlign w:val="center"/>
          </w:tcPr>
          <w:p w14:paraId="11CE671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5</w:t>
            </w:r>
          </w:p>
        </w:tc>
        <w:tc>
          <w:tcPr>
            <w:tcW w:w="7655" w:type="dxa"/>
          </w:tcPr>
          <w:p w14:paraId="3654EFE3"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(Opći ispravci vrijednosti za kreditni rizik bilančnih stavki)</w:t>
            </w:r>
          </w:p>
          <w:p w14:paraId="7383A2D7" w14:textId="2949207E" w:rsidR="000A7015" w:rsidRPr="000C3FD6"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Iznos općih ispravaka vrijednosti za kreditni rizik koji odgovaraju bilančnim stavkama iz članka 429. stavka 4. točke (a) CRR-a, koje institucije odbijaju u skladu s člankom 429. stavkom 4. zadnjom rečenicom CRR-a.</w:t>
            </w:r>
          </w:p>
          <w:p w14:paraId="1C0B07F8"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Budući da ta usklađenja dovode do smanjenja mjere ukupne izloženosti, institucije vrijednost u ovom retku stavljaju u zagrade (negativan iznos).</w:t>
            </w:r>
          </w:p>
        </w:tc>
      </w:tr>
      <w:tr w:rsidR="000A7015" w:rsidRPr="007F4CC8" w14:paraId="24A5ED6A" w14:textId="77777777" w:rsidTr="001E06A3">
        <w:trPr>
          <w:trHeight w:val="1417"/>
        </w:trPr>
        <w:tc>
          <w:tcPr>
            <w:tcW w:w="1384" w:type="dxa"/>
            <w:vAlign w:val="center"/>
          </w:tcPr>
          <w:p w14:paraId="49090AD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6</w:t>
            </w:r>
          </w:p>
        </w:tc>
        <w:tc>
          <w:tcPr>
            <w:tcW w:w="7655" w:type="dxa"/>
          </w:tcPr>
          <w:p w14:paraId="7AF27D0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(Iznosi imovine odbijeni pri utvrđivanju osnovnog kapitala)</w:t>
            </w:r>
          </w:p>
          <w:p w14:paraId="43B4417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Članak 429.a stavak 1. točke (a) i (b) i članak 499. stavak 2. CRR-a</w:t>
            </w:r>
          </w:p>
          <w:p w14:paraId="7540B29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objavljuju iznos regulatornih vrijednosnih usklađenja iznosa osnovnog kapitala ovisno o odluci u skladu s člankom 499. stavkom 2. CRR-a.</w:t>
            </w:r>
          </w:p>
          <w:p w14:paraId="4E0F6F4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Konkretno, institucije objavljuju vrijednost zbroja svih usklađenja vrijednosti imovine propisanih:</w:t>
            </w:r>
          </w:p>
          <w:p w14:paraId="412D6B95"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člancima od 32. do 35. CRR-a ili</w:t>
            </w:r>
          </w:p>
          <w:p w14:paraId="06851D15"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člancima od 36. do 47. CRR-a ili</w:t>
            </w:r>
          </w:p>
          <w:p w14:paraId="3BB95BF6"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člancima od 56. do 60. CRR-a, ovisno o slučaju.</w:t>
            </w:r>
          </w:p>
          <w:p w14:paraId="5109C21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u ovu rubriku uključuju iznos iz članka 429.a stavka 1. točke (a) CRR-a.</w:t>
            </w:r>
          </w:p>
          <w:p w14:paraId="7E67980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Ako je odluka o objavi osnovnog kapitala donesena u skladu s člankom 499. stavkom 1. točkom (a) CRR-a, institucije uzimaju u obzir izuzeća i alternativna rješenja takvim odbicima iz članaka 48., 49. i 79. CRR-a, ne uzimajući u obzir odstupanje iz dijela desetog glave I. poglavlja 1. i 2. CRR-a. S druge strane, ako je odluka o objavi osnovnog kapitala donesena u skladu s člankom 499. stavkom 1. točkom (b) CRR-a, institucije uzimaju u obzir izuzeća i alternativna rješenja takvim odbicima iz članaka 48., 49. i 79. CRR-a, kao i odstupanja iz dijela desetog glave I. poglavlja 1. i 2. CRR-a.</w:t>
            </w:r>
          </w:p>
          <w:p w14:paraId="67408D80"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Kako bi se izbjegao dvostruki obračun, institucije ne objavljuju ni usklađenja koja su u skladu s člankom 111. CRR-a već primijenile pri izračunu vrijednosti </w:t>
            </w:r>
            <w:r>
              <w:rPr>
                <w:rFonts w:ascii="Times New Roman" w:hAnsi="Times New Roman"/>
                <w:sz w:val="24"/>
                <w:szCs w:val="24"/>
              </w:rPr>
              <w:lastRenderedPageBreak/>
              <w:t>izloženosti, niti usklađenja kojima se ne odbija vrijednost određene imovine.</w:t>
            </w:r>
          </w:p>
          <w:p w14:paraId="328147A2"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b w:val="0"/>
                <w:sz w:val="24"/>
                <w:szCs w:val="24"/>
              </w:rPr>
              <w:t>Budući da se iznosom u ovom retku smanjuje mjera ukupne izloženosti,</w:t>
            </w:r>
            <w:r>
              <w:rPr>
                <w:rFonts w:ascii="Times New Roman" w:hAnsi="Times New Roman"/>
                <w:sz w:val="24"/>
                <w:szCs w:val="24"/>
              </w:rPr>
              <w:t xml:space="preserve"> institucije vrijednost u ovoj rubrici stavljaju u zagrade (negativan iznos).</w:t>
            </w:r>
          </w:p>
        </w:tc>
      </w:tr>
      <w:tr w:rsidR="000A7015" w:rsidRPr="007F4CC8" w14:paraId="4CB14AB0" w14:textId="77777777" w:rsidTr="001E06A3">
        <w:trPr>
          <w:trHeight w:val="694"/>
        </w:trPr>
        <w:tc>
          <w:tcPr>
            <w:tcW w:w="1384" w:type="dxa"/>
            <w:vAlign w:val="center"/>
          </w:tcPr>
          <w:p w14:paraId="0C91D40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7</w:t>
            </w:r>
          </w:p>
        </w:tc>
        <w:tc>
          <w:tcPr>
            <w:tcW w:w="7655" w:type="dxa"/>
          </w:tcPr>
          <w:p w14:paraId="517ECB5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Ukupne bilančne izloženosti (isključujući izvedenice i transakcije financiranja vrijednosnim papirima) </w:t>
            </w:r>
          </w:p>
          <w:p w14:paraId="084B52B9"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Zbroj redaka od 1 do 6</w:t>
            </w:r>
          </w:p>
        </w:tc>
      </w:tr>
      <w:tr w:rsidR="000A7015" w:rsidRPr="007F4CC8" w14:paraId="2062E1CD" w14:textId="77777777" w:rsidTr="001E06A3">
        <w:trPr>
          <w:trHeight w:val="1559"/>
        </w:trPr>
        <w:tc>
          <w:tcPr>
            <w:tcW w:w="1384" w:type="dxa"/>
            <w:vAlign w:val="center"/>
          </w:tcPr>
          <w:p w14:paraId="488B26B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8</w:t>
            </w:r>
          </w:p>
        </w:tc>
        <w:tc>
          <w:tcPr>
            <w:tcW w:w="7655" w:type="dxa"/>
          </w:tcPr>
          <w:p w14:paraId="1D59201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Trošak zamjene povezan s transakcijama izvedenicama na koje se primjenjuje SA-CCR pristup (tj. umanjen za prihvatljivi gotovinski varijacijski iznos nadoknade)</w:t>
            </w:r>
          </w:p>
          <w:p w14:paraId="7F30AB2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Članci 274., 275., 295., 296., 297., 298., 429.c i članak 429.c stavak 3. CRR-a</w:t>
            </w:r>
          </w:p>
          <w:p w14:paraId="0922FC1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objavljuju aktualni trošak zamjene, kako je utvrđeno u članku 275. stavku 1., za ugovore navedene u Prilogu II. CRR-u i kreditne izvedenice, uključujući izvanbilančne. Ti troškovi zamjene umanjuju se za prihvatljivi gotovinski varijacijski iznos nadoknade u skladu s člankom 429.c stavkom 3. CRR-a, a pritom se isključuje gotovinski varijacijski iznos nadoknade primljen za izuzetu stranu transakcije sa središnjom drugom ugovornom stranom u skladu s člankom 429.a stavkom 1. točkom (g) ili (h) CRR-a.</w:t>
            </w:r>
          </w:p>
          <w:p w14:paraId="1E2DE13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Kako je utvrđeno u članku 429.c stavku 1. CRR-a, institucije mogu uzeti u obzir učinke ugovora o obnovi i drugih sporazuma o </w:t>
            </w:r>
            <w:proofErr w:type="spellStart"/>
            <w:r>
              <w:rPr>
                <w:rFonts w:ascii="Times New Roman" w:hAnsi="Times New Roman"/>
                <w:sz w:val="24"/>
                <w:szCs w:val="24"/>
              </w:rPr>
              <w:t>netiranju</w:t>
            </w:r>
            <w:proofErr w:type="spellEnd"/>
            <w:r>
              <w:rPr>
                <w:rFonts w:ascii="Times New Roman" w:hAnsi="Times New Roman"/>
                <w:sz w:val="24"/>
                <w:szCs w:val="24"/>
              </w:rPr>
              <w:t xml:space="preserve"> u skladu s člankom 295. CRR-a. Ne primjenjuje se netiranje između različitih kategorija proizvoda. Međutim, institucije mogu </w:t>
            </w:r>
            <w:proofErr w:type="spellStart"/>
            <w:r>
              <w:rPr>
                <w:rFonts w:ascii="Times New Roman" w:hAnsi="Times New Roman"/>
                <w:sz w:val="24"/>
                <w:szCs w:val="24"/>
              </w:rPr>
              <w:t>netirati</w:t>
            </w:r>
            <w:proofErr w:type="spellEnd"/>
            <w:r>
              <w:rPr>
                <w:rFonts w:ascii="Times New Roman" w:hAnsi="Times New Roman"/>
                <w:sz w:val="24"/>
                <w:szCs w:val="24"/>
              </w:rPr>
              <w:t xml:space="preserve"> unutar kategorije proizvoda iz članka 272. stavka 25. točke (c) CRR-a i kreditnih izvedenica ako su one predmet sporazuma o </w:t>
            </w:r>
            <w:proofErr w:type="spellStart"/>
            <w:r>
              <w:rPr>
                <w:rFonts w:ascii="Times New Roman" w:hAnsi="Times New Roman"/>
                <w:sz w:val="24"/>
                <w:szCs w:val="24"/>
              </w:rPr>
              <w:t>netiranju</w:t>
            </w:r>
            <w:proofErr w:type="spellEnd"/>
            <w:r>
              <w:rPr>
                <w:rFonts w:ascii="Times New Roman" w:hAnsi="Times New Roman"/>
                <w:sz w:val="24"/>
                <w:szCs w:val="24"/>
              </w:rPr>
              <w:t xml:space="preserve"> između različitih kategorija proizvoda iz članka 295. točke (c) CRR-a.</w:t>
            </w:r>
          </w:p>
          <w:p w14:paraId="6124B85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u ovu rubriku ne uključuju ugovore koji se mjere primjenom pristupa u skladu s člankom 429.c stavkom 6., tj. pristupa iz dijela trećeg glave II. poglavlja 6. odjeljaka 4. ili 5. CRR-a (pojednostavnjeni SA-CCR pristup ili metoda originalne izloženosti).</w:t>
            </w:r>
          </w:p>
          <w:p w14:paraId="58BFD90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pri izračunu troškova zamjene uključuju, u skladu s člankom 429.c stavkom 4. CRR-a, učinak priznavanja kolaterala na NICA-u ugovorima o izvedenicama s klijentima ako te ugovore poravnava kvalificirana središnja druga ugovorna strana. </w:t>
            </w:r>
          </w:p>
          <w:p w14:paraId="52F51CE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Iznos se objavljuje s parametrom alfa 1,4, kako je navedeno u članku 274. stavku 2. CRR-a.</w:t>
            </w:r>
          </w:p>
        </w:tc>
      </w:tr>
      <w:tr w:rsidR="000A7015" w:rsidRPr="007F4CC8" w14:paraId="2C43C6A7" w14:textId="77777777" w:rsidTr="001E06A3">
        <w:trPr>
          <w:trHeight w:val="2265"/>
        </w:trPr>
        <w:tc>
          <w:tcPr>
            <w:tcW w:w="1384" w:type="dxa"/>
            <w:vAlign w:val="center"/>
          </w:tcPr>
          <w:p w14:paraId="0C7D301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EU-8a</w:t>
            </w:r>
          </w:p>
        </w:tc>
        <w:tc>
          <w:tcPr>
            <w:tcW w:w="7655" w:type="dxa"/>
          </w:tcPr>
          <w:p w14:paraId="39A9D7A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Odstupanje za izvedenice: doprinos za trošak zamjene u skladu s pojednostavnjenim standardiziranim pristupom</w:t>
            </w:r>
          </w:p>
          <w:p w14:paraId="43C36648"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Članak 429.c stavak 6. i članak 281. CRR-a</w:t>
            </w:r>
          </w:p>
          <w:p w14:paraId="3A37A39C" w14:textId="62E81118"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U ovoj se rubrici iskazuje mjera izloženosti ugovora iz točaka 1. i 2. Priloga II. CRR-u koja se izračunava u skladu s pojednostavnjenim standardiziranim pristupom iz članka 281. CRR-a bez učinka kolaterala na NICA-u. Iznos se objavljuje s primijenjenim parametrom alfa 1,4, kako je navedeno u članku 274. stavku 2. CRR-a.</w:t>
            </w:r>
          </w:p>
          <w:p w14:paraId="038C6E2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Institucije koje primjenjuju pojednostavnjeni standardizirani pristup ne umanjuju mjeru ukupne izloženosti za iznos primljene nadoknade u skladu s člankom 429.c stavkom 6. CRR-a.</w:t>
            </w:r>
            <w:r>
              <w:rPr>
                <w:rFonts w:ascii="Times New Roman" w:hAnsi="Times New Roman"/>
                <w:sz w:val="24"/>
                <w:szCs w:val="24"/>
              </w:rPr>
              <w:t xml:space="preserve"> </w:t>
            </w:r>
            <w:r>
              <w:rPr>
                <w:rFonts w:ascii="Times New Roman" w:hAnsi="Times New Roman"/>
                <w:bCs/>
                <w:sz w:val="24"/>
                <w:szCs w:val="24"/>
              </w:rPr>
              <w:t>Stoga se ne primjenjuje iznimka iz članka 429.c stavka 4. CRR-a za ugovore o izvedenicama s klijentima ako te ugovore poravnava kvalificirana središnja druga ugovorna strana.</w:t>
            </w:r>
          </w:p>
          <w:p w14:paraId="3D6A261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bCs/>
                <w:sz w:val="24"/>
                <w:szCs w:val="24"/>
              </w:rPr>
              <w:t>Institucije u ovoj rubrici ne uzimaju u obzir ugovore koji se mjere primjenom pristupa SA-CCR ili metode originalne izloženosti.</w:t>
            </w:r>
            <w:r>
              <w:rPr>
                <w:rFonts w:ascii="Times New Roman" w:hAnsi="Times New Roman"/>
                <w:sz w:val="24"/>
                <w:szCs w:val="24"/>
              </w:rPr>
              <w:t xml:space="preserve"> </w:t>
            </w:r>
          </w:p>
        </w:tc>
      </w:tr>
      <w:tr w:rsidR="000A7015" w:rsidRPr="007F4CC8" w14:paraId="2D559840" w14:textId="77777777" w:rsidTr="001E06A3">
        <w:trPr>
          <w:trHeight w:val="2265"/>
        </w:trPr>
        <w:tc>
          <w:tcPr>
            <w:tcW w:w="1384" w:type="dxa"/>
            <w:vAlign w:val="center"/>
          </w:tcPr>
          <w:p w14:paraId="3F28B20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9</w:t>
            </w:r>
          </w:p>
        </w:tc>
        <w:tc>
          <w:tcPr>
            <w:tcW w:w="7655" w:type="dxa"/>
          </w:tcPr>
          <w:p w14:paraId="1742D40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Iznosi faktora uvećanja za potencijalnu buduću izloženost povezanu s transakcijama izvedenicama na koje se primjenjuje SA-CCR pristup </w:t>
            </w:r>
          </w:p>
          <w:p w14:paraId="79CD7C7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Članci 274., 275., 295., 296., 297., 298., članak 299. stavak 2. i članak 429.c CRR-a</w:t>
            </w:r>
          </w:p>
          <w:p w14:paraId="5B2DC716" w14:textId="7CDC440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objavljuju uvećanje za potencijalnu buduću izloženost ugovora iz Priloga II. CRR-u i kreditnih izvedenica, uključujući izvanbilančne koje se izračunavaju u skladu s člankom 278. CRR-a za ugovore iz Priloga II. CRR-u i člankom 299. stavkom 2. CRR-a za kreditne izvedenice, i primjenom pravila o </w:t>
            </w:r>
            <w:proofErr w:type="spellStart"/>
            <w:r>
              <w:rPr>
                <w:rFonts w:ascii="Times New Roman" w:hAnsi="Times New Roman"/>
                <w:sz w:val="24"/>
                <w:szCs w:val="24"/>
              </w:rPr>
              <w:t>netiranju</w:t>
            </w:r>
            <w:proofErr w:type="spellEnd"/>
            <w:r>
              <w:rPr>
                <w:rFonts w:ascii="Times New Roman" w:hAnsi="Times New Roman"/>
                <w:sz w:val="24"/>
                <w:szCs w:val="24"/>
              </w:rPr>
              <w:t xml:space="preserve"> u skladu s člankom 429.c stavkom 1. CRR-a. Institucije pri određivanju vrijednosti izloženosti mogu uzeti u obzir učinke ugovora o obnovi i drugih sporazuma o </w:t>
            </w:r>
            <w:proofErr w:type="spellStart"/>
            <w:r>
              <w:rPr>
                <w:rFonts w:ascii="Times New Roman" w:hAnsi="Times New Roman"/>
                <w:sz w:val="24"/>
                <w:szCs w:val="24"/>
              </w:rPr>
              <w:t>netiranju</w:t>
            </w:r>
            <w:proofErr w:type="spellEnd"/>
            <w:r>
              <w:rPr>
                <w:rFonts w:ascii="Times New Roman" w:hAnsi="Times New Roman"/>
                <w:sz w:val="24"/>
                <w:szCs w:val="24"/>
              </w:rPr>
              <w:t xml:space="preserve"> u skladu s člankom 295. CRR-a. Ne primjenjuje se netiranje između različitih kategorija proizvoda. Međutim, institucije mogu </w:t>
            </w:r>
            <w:proofErr w:type="spellStart"/>
            <w:r>
              <w:rPr>
                <w:rFonts w:ascii="Times New Roman" w:hAnsi="Times New Roman"/>
                <w:sz w:val="24"/>
                <w:szCs w:val="24"/>
              </w:rPr>
              <w:t>netirati</w:t>
            </w:r>
            <w:proofErr w:type="spellEnd"/>
            <w:r>
              <w:rPr>
                <w:rFonts w:ascii="Times New Roman" w:hAnsi="Times New Roman"/>
                <w:sz w:val="24"/>
                <w:szCs w:val="24"/>
              </w:rPr>
              <w:t xml:space="preserve"> unutar kategorije proizvoda iz članka 272. stavka 25. točke (c) CRR-a i kreditnih izvedenica ako su one predmet sporazuma o </w:t>
            </w:r>
            <w:proofErr w:type="spellStart"/>
            <w:r>
              <w:rPr>
                <w:rFonts w:ascii="Times New Roman" w:hAnsi="Times New Roman"/>
                <w:sz w:val="24"/>
                <w:szCs w:val="24"/>
              </w:rPr>
              <w:t>netiranju</w:t>
            </w:r>
            <w:proofErr w:type="spellEnd"/>
            <w:r>
              <w:rPr>
                <w:rFonts w:ascii="Times New Roman" w:hAnsi="Times New Roman"/>
                <w:sz w:val="24"/>
                <w:szCs w:val="24"/>
              </w:rPr>
              <w:t xml:space="preserve"> između različitih kategorija proizvoda iz članka 295. točke (c) CRR-a.</w:t>
            </w:r>
          </w:p>
          <w:p w14:paraId="063B849E" w14:textId="77777777" w:rsidR="000A7015" w:rsidRPr="007F4CC8" w:rsidRDefault="000A7015" w:rsidP="001E06A3">
            <w:pPr>
              <w:tabs>
                <w:tab w:val="left" w:pos="400"/>
              </w:tabs>
              <w:spacing w:after="120"/>
              <w:jc w:val="both"/>
              <w:rPr>
                <w:rFonts w:ascii="Times New Roman" w:hAnsi="Times New Roman" w:cs="Times New Roman"/>
                <w:sz w:val="24"/>
              </w:rPr>
            </w:pPr>
            <w:r>
              <w:rPr>
                <w:rFonts w:ascii="Times New Roman" w:hAnsi="Times New Roman"/>
                <w:sz w:val="24"/>
              </w:rPr>
              <w:t>U skladu s člankom 429.c stavkom 5. CRR-a, institucije određuju vrijednost multiplikatora upotrijebljenog u izračunu potencijalne buduće izloženosti u skladu s člankom 278. stavkom 1. CRR-a na jedan, osim u slučaju ugovora o izvedenicama s klijentima ako te ugovore poravnava kvalificirana središnja druga ugovorna strana.</w:t>
            </w:r>
          </w:p>
          <w:p w14:paraId="345B4AE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u ovu rubriku ne uključuju ugovore koji se mjere primjenom pristupa u skladu s člankom 429.c stavkom 6., tj. pristupa iz dijela trećeg glave II. poglavlja 6. odjeljaka 4. ili 5. CRR-a (pojednostavnjeni SA-CCR pristup ili metoda originalne izloženosti).</w:t>
            </w:r>
          </w:p>
        </w:tc>
      </w:tr>
      <w:tr w:rsidR="000A7015" w:rsidRPr="007F4CC8" w14:paraId="6B4D6297" w14:textId="77777777" w:rsidTr="001E06A3">
        <w:trPr>
          <w:trHeight w:val="2265"/>
        </w:trPr>
        <w:tc>
          <w:tcPr>
            <w:tcW w:w="1384" w:type="dxa"/>
            <w:vAlign w:val="center"/>
          </w:tcPr>
          <w:p w14:paraId="47BE8D4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EU-9a</w:t>
            </w:r>
          </w:p>
        </w:tc>
        <w:tc>
          <w:tcPr>
            <w:tcW w:w="7655" w:type="dxa"/>
          </w:tcPr>
          <w:p w14:paraId="743F3901"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Odstupanje za izvedenice: Doprinos za potencijalnu buduću izloženost u skladu s pojednostavnjenim standardiziranim pristupom </w:t>
            </w:r>
          </w:p>
          <w:p w14:paraId="387AD57F"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Članak 429.c stavak 5. CRR-a</w:t>
            </w:r>
          </w:p>
          <w:p w14:paraId="5B5D45F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Potencijalna buduća izloženost u skladu s pojednostavnjenim standardiziranim pristupom iz članka 281. CRR-a, pod pretpostavkom da je multiplikator 1. Iznos se objavljuje s primijenjenim parametrom alfa 1,4, kako je navedeno u članku 274. stavku 2. CRR-a.</w:t>
            </w:r>
          </w:p>
          <w:p w14:paraId="24523D52"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Institucije koje primjenjuju pojednostavnjeni standardizirani pristup ne umanjuju mjeru ukupne izloženosti za iznos primljene nadoknade u skladu s člankom 429.c stavkom 6. CRR-a. Stoga se ne primjenjuje iznimka iz članka 429.c stavka 5. CRR-a za ugovore o izvedenicama s klijentima ako te ugovore poravnava kvalificirana središnja druga ugovorna strana.</w:t>
            </w:r>
          </w:p>
          <w:p w14:paraId="020740C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Institucije u ovoj rubrici ne uzimaju u obzir ugovore koji se mjere primjenom pristupa SA-CCR ili metode originalne izloženosti.</w:t>
            </w:r>
          </w:p>
        </w:tc>
      </w:tr>
      <w:tr w:rsidR="000A7015" w:rsidRPr="007F4CC8" w14:paraId="498F35E6" w14:textId="77777777" w:rsidTr="001E06A3">
        <w:trPr>
          <w:trHeight w:val="558"/>
        </w:trPr>
        <w:tc>
          <w:tcPr>
            <w:tcW w:w="1384" w:type="dxa"/>
            <w:vAlign w:val="center"/>
          </w:tcPr>
          <w:p w14:paraId="12CC399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EU-9b</w:t>
            </w:r>
          </w:p>
        </w:tc>
        <w:tc>
          <w:tcPr>
            <w:tcW w:w="7655" w:type="dxa"/>
          </w:tcPr>
          <w:p w14:paraId="3FC919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Izloženost koja se utvrđuje metodom originalne izloženosti</w:t>
            </w:r>
          </w:p>
          <w:p w14:paraId="20EC312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Članak 429.c stavak 6. i dio treći glava II. poglavlje 6. odjeljak 4. ili 5. CRR-a</w:t>
            </w:r>
          </w:p>
          <w:p w14:paraId="2025D34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objavljuju mjeru izloženosti ugovora iz točaka 1. i 2. Priloga II. CRR-u koja se izračunava primjenom metode originalne izloženosti iz dijela trećeg glave II. poglavlja 6. odjeljka 4. ili 5. CRR-a.</w:t>
            </w:r>
          </w:p>
          <w:p w14:paraId="6626E9D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koje primjenjuju metodu originalne izloženosti ne umanjuju mjeru ukupne izloženosti za iznos nadoknade koji su primile u skladu s člankom 429.c stavkom 6. CRR-a.</w:t>
            </w:r>
          </w:p>
          <w:p w14:paraId="7DE4B2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koje ne primjenjuju metodu originalne izloženosti ne objavljuju informacije u ovoj rubrici.</w:t>
            </w:r>
          </w:p>
        </w:tc>
      </w:tr>
      <w:tr w:rsidR="000A7015" w:rsidRPr="007F4CC8" w14:paraId="76736694" w14:textId="77777777" w:rsidTr="001E06A3">
        <w:trPr>
          <w:trHeight w:val="1408"/>
        </w:trPr>
        <w:tc>
          <w:tcPr>
            <w:tcW w:w="1384" w:type="dxa"/>
            <w:vAlign w:val="center"/>
          </w:tcPr>
          <w:p w14:paraId="1613939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10</w:t>
            </w:r>
          </w:p>
        </w:tc>
        <w:tc>
          <w:tcPr>
            <w:tcW w:w="7655" w:type="dxa"/>
          </w:tcPr>
          <w:p w14:paraId="0811FC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(Izuzeti dio izloženosti iz trgovanja prema središnjoj drugoj ugovornoj strani za transakcije koje su poravnane za klijenta) (SA-CCR pristup)</w:t>
            </w:r>
          </w:p>
          <w:p w14:paraId="3508AD6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Članak 429.a stavak 1. točke (g) i (h) CRR-a</w:t>
            </w:r>
          </w:p>
          <w:p w14:paraId="28F202D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objavljuju izuzete izloženosti iz trgovanja prema kvalificiranoj središnjoj drugoj ugovornoj strani za transakcije izvedenicama koje su poravnane za klijenta (SA-CCR), ako te stavke ispunjavaju uvjete iz članka 306. stavka 1. točke (c) CRR-a.</w:t>
            </w:r>
          </w:p>
          <w:p w14:paraId="6762EC0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Budući da se time umanjuje mjera ukupne izloženosti, institucije vrijednost u ovoj rubrici stavljaju u zagrade (negativan iznos).</w:t>
            </w:r>
          </w:p>
          <w:p w14:paraId="5906D70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Objavljeni iznos mora biti uključen u odgovarajuće gornje rubrike kao da se izuzeće ne primjenjuje.</w:t>
            </w:r>
          </w:p>
        </w:tc>
      </w:tr>
      <w:tr w:rsidR="000A7015" w:rsidRPr="007F4CC8" w14:paraId="5D46DF7D" w14:textId="77777777" w:rsidTr="00CE0D13">
        <w:trPr>
          <w:trHeight w:val="1266"/>
        </w:trPr>
        <w:tc>
          <w:tcPr>
            <w:tcW w:w="1384" w:type="dxa"/>
            <w:vAlign w:val="center"/>
          </w:tcPr>
          <w:p w14:paraId="4433297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EU-10a</w:t>
            </w:r>
          </w:p>
        </w:tc>
        <w:tc>
          <w:tcPr>
            <w:tcW w:w="7655" w:type="dxa"/>
          </w:tcPr>
          <w:p w14:paraId="79CA6AB5"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(Izuzeti dio izloženosti iz trgovanja prema središnjoj drugoj ugovornoj strani za transakcije koje su poravnane za klijenta) (pojednostavnjeni standardizirani pristup)</w:t>
            </w:r>
          </w:p>
          <w:p w14:paraId="656C8F9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Članak 429.a stavak 1. točke (g) i (h) CRR-a</w:t>
            </w:r>
          </w:p>
          <w:p w14:paraId="10CDC583" w14:textId="2BE80C4E"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lastRenderedPageBreak/>
              <w:t xml:space="preserve">Institucije objavljuju </w:t>
            </w:r>
            <w:r>
              <w:rPr>
                <w:rFonts w:ascii="Times New Roman" w:hAnsi="Times New Roman"/>
                <w:bCs/>
                <w:sz w:val="24"/>
                <w:szCs w:val="24"/>
              </w:rPr>
              <w:t>izuzete izloženosti iz trgovanja prema kvalificiranoj središnjoj drugoj ugovornoj strani za transakcije izvedenicama koje su poravnane za klijenta (pojednostavnjeni standardizirani pristup), ako te stavke ispunjavaju uvjete iz članka 306. stavka 1. točke (c) CRR-a. Iznos se objavljuje s primijenjenim parametrom alfa 1,4, kako je navedeno u članku 274. stavku 2. CRR-a (negativan iznos).</w:t>
            </w:r>
          </w:p>
          <w:p w14:paraId="411EFFC4" w14:textId="77777777" w:rsidR="000A7015" w:rsidRPr="007F4CC8" w:rsidRDefault="000A7015" w:rsidP="00CE0D13">
            <w:pPr>
              <w:pStyle w:val="BodyText1"/>
              <w:spacing w:line="240" w:lineRule="auto"/>
              <w:rPr>
                <w:rStyle w:val="TeksttreciPogrubienie"/>
                <w:rFonts w:ascii="Times New Roman" w:hAnsi="Times New Roman" w:cs="Times New Roman"/>
                <w:sz w:val="24"/>
                <w:szCs w:val="24"/>
              </w:rPr>
            </w:pPr>
            <w:r>
              <w:rPr>
                <w:rFonts w:ascii="Times New Roman" w:hAnsi="Times New Roman"/>
                <w:bCs/>
                <w:sz w:val="24"/>
                <w:szCs w:val="24"/>
              </w:rPr>
              <w:t>Objavljeni iznos mora biti uključen i u odgovarajuće gornje rubrike kao da se izuzeće ne primjenjuje.</w:t>
            </w:r>
          </w:p>
        </w:tc>
      </w:tr>
      <w:tr w:rsidR="000A7015" w:rsidRPr="007F4CC8" w14:paraId="187CE006" w14:textId="77777777" w:rsidTr="001E06A3">
        <w:trPr>
          <w:trHeight w:val="558"/>
        </w:trPr>
        <w:tc>
          <w:tcPr>
            <w:tcW w:w="1384" w:type="dxa"/>
            <w:vAlign w:val="center"/>
          </w:tcPr>
          <w:p w14:paraId="02F89DB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EU-10b</w:t>
            </w:r>
          </w:p>
        </w:tc>
        <w:tc>
          <w:tcPr>
            <w:tcW w:w="7655" w:type="dxa"/>
          </w:tcPr>
          <w:p w14:paraId="16C7777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(Izuzeti dio izloženosti iz trgovanja prema središnjoj drugoj ugovornoj strani za transakcije koje su poravnane za klijenta)</w:t>
            </w:r>
            <w:r>
              <w:rPr>
                <w:rFonts w:ascii="Times New Roman" w:hAnsi="Times New Roman"/>
                <w:sz w:val="24"/>
                <w:szCs w:val="24"/>
              </w:rPr>
              <w:t xml:space="preserve"> </w:t>
            </w:r>
            <w:r>
              <w:rPr>
                <w:rStyle w:val="TeksttreciPogrubienie"/>
                <w:rFonts w:ascii="Times New Roman" w:hAnsi="Times New Roman"/>
                <w:sz w:val="24"/>
                <w:szCs w:val="24"/>
              </w:rPr>
              <w:t>(metoda originalne izloženosti)</w:t>
            </w:r>
          </w:p>
          <w:p w14:paraId="7D3F892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Članak 429.a stavak 1. točke (g) i (h) CRR-a</w:t>
            </w:r>
          </w:p>
          <w:p w14:paraId="097D2AA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objavljuju izuzete izloženosti iz trgovanja prema kvalificiranoj središnjoj drugoj ugovornoj strani za transakcije izvedenicama koje su poravnane za klijenta (metoda originalne izloženosti), ako te stavke ispunjavaju uvjete iz članka 306. stavka 1. točke (c) CRR-a.</w:t>
            </w:r>
          </w:p>
          <w:p w14:paraId="21DA3D2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Budući da se time umanjuje mjera ukupne izloženosti, institucije vrijednost u ovoj rubrici stavljaju u zagrade (negativan iznos).</w:t>
            </w:r>
          </w:p>
          <w:p w14:paraId="4C69F8D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Objavljeni iznos mora biti uključen i u odgovarajuće gornje rubrike kao da se izuzeće ne primjenjuje.</w:t>
            </w:r>
          </w:p>
        </w:tc>
      </w:tr>
      <w:tr w:rsidR="000A7015" w:rsidRPr="007F4CC8" w14:paraId="6647A712" w14:textId="77777777" w:rsidTr="00CE0D13">
        <w:trPr>
          <w:trHeight w:val="1587"/>
        </w:trPr>
        <w:tc>
          <w:tcPr>
            <w:tcW w:w="1384" w:type="dxa"/>
            <w:vAlign w:val="center"/>
          </w:tcPr>
          <w:p w14:paraId="09AB00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11</w:t>
            </w:r>
          </w:p>
        </w:tc>
        <w:tc>
          <w:tcPr>
            <w:tcW w:w="7655" w:type="dxa"/>
          </w:tcPr>
          <w:p w14:paraId="0038483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Prilagođena efektivna zamišljena vrijednost prodanih kreditnih izvedenica</w:t>
            </w:r>
          </w:p>
          <w:p w14:paraId="0A366A0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Članak 429.d CRR-a</w:t>
            </w:r>
          </w:p>
          <w:p w14:paraId="648F3DE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objavljuju ograničenu zamišljenu vrijednost prodanih kreditnih izvedenica (tj. ako institucija drugoj ugovornoj strani pruža kreditnu zaštitu) kako je utvrđeno u članku 429.d CRR-a.</w:t>
            </w:r>
          </w:p>
        </w:tc>
      </w:tr>
      <w:tr w:rsidR="000A7015" w:rsidRPr="007F4CC8" w14:paraId="1A2D596F" w14:textId="77777777" w:rsidTr="001E06A3">
        <w:trPr>
          <w:trHeight w:val="850"/>
        </w:trPr>
        <w:tc>
          <w:tcPr>
            <w:tcW w:w="1384" w:type="dxa"/>
            <w:vAlign w:val="center"/>
          </w:tcPr>
          <w:p w14:paraId="65E1435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12</w:t>
            </w:r>
          </w:p>
        </w:tc>
        <w:tc>
          <w:tcPr>
            <w:tcW w:w="7655" w:type="dxa"/>
          </w:tcPr>
          <w:p w14:paraId="0DE2413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(Prilagođeni efektivni zamišljeni prijeboji i odbici faktora uvećanja za prodane kreditne izvedenice)</w:t>
            </w:r>
          </w:p>
          <w:p w14:paraId="3BECD38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Članak 429.d CRR-a</w:t>
            </w:r>
          </w:p>
          <w:p w14:paraId="077C38F1" w14:textId="7D037429"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objavljuju ograničenu zamišljenu vrijednost kupljenih kreditnih izvedenica (tj. ako institucija od druge ugovorne strane kupuje kreditnu zaštitu) za iste referentne subjekte za koje je institucija prodala kreditne izvedenice, ako je preostali rok dospijeća kupljene zaštite jednak ili dulji od preostalog roka do dospijeća prodane zaštite. Stoga vrijednost neće biti veća od vrijednosti unesene u redak 11 obrasca </w:t>
            </w:r>
            <w:r>
              <w:rPr>
                <w:rFonts w:ascii="Times New Roman" w:hAnsi="Times New Roman"/>
                <w:color w:val="000000"/>
                <w:sz w:val="24"/>
                <w:szCs w:val="24"/>
              </w:rPr>
              <w:t xml:space="preserve">EU LR2 - </w:t>
            </w:r>
            <w:proofErr w:type="spellStart"/>
            <w:r>
              <w:rPr>
                <w:rFonts w:ascii="Times New Roman" w:hAnsi="Times New Roman"/>
                <w:sz w:val="24"/>
                <w:szCs w:val="24"/>
              </w:rPr>
              <w:t>LRCom</w:t>
            </w:r>
            <w:proofErr w:type="spellEnd"/>
            <w:r>
              <w:rPr>
                <w:rFonts w:ascii="Times New Roman" w:hAnsi="Times New Roman"/>
                <w:sz w:val="24"/>
                <w:szCs w:val="24"/>
              </w:rPr>
              <w:t xml:space="preserve"> za svaki referentni subjekt.</w:t>
            </w:r>
          </w:p>
          <w:p w14:paraId="43A126E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Budući da se objavljenim iznosom umanjuje mjera ukupne izloženosti, institucije vrijednost u ovoj rubrici stavljaju u zagrade (negativan iznos).</w:t>
            </w:r>
          </w:p>
          <w:p w14:paraId="185F46D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Objavljeni iznos mora biti uključen i u prethodnu rubriku kao da se usklađenje ne primjenjuje.</w:t>
            </w:r>
          </w:p>
        </w:tc>
      </w:tr>
      <w:tr w:rsidR="000A7015" w:rsidRPr="007F4CC8" w14:paraId="2643B59B" w14:textId="77777777" w:rsidTr="001E06A3">
        <w:trPr>
          <w:trHeight w:val="949"/>
        </w:trPr>
        <w:tc>
          <w:tcPr>
            <w:tcW w:w="1384" w:type="dxa"/>
            <w:vAlign w:val="center"/>
          </w:tcPr>
          <w:p w14:paraId="58CCBB0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13</w:t>
            </w:r>
          </w:p>
        </w:tc>
        <w:tc>
          <w:tcPr>
            <w:tcW w:w="7655" w:type="dxa"/>
          </w:tcPr>
          <w:p w14:paraId="4131101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Ukupne izloženosti po izvedenicama </w:t>
            </w:r>
          </w:p>
          <w:p w14:paraId="1242C31C"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Zbroj redaka od 8 do 12</w:t>
            </w:r>
          </w:p>
        </w:tc>
      </w:tr>
      <w:tr w:rsidR="000A7015" w:rsidRPr="007F4CC8" w14:paraId="3DF46240" w14:textId="77777777" w:rsidTr="001E06A3">
        <w:trPr>
          <w:trHeight w:val="708"/>
        </w:trPr>
        <w:tc>
          <w:tcPr>
            <w:tcW w:w="1384" w:type="dxa"/>
            <w:vAlign w:val="center"/>
          </w:tcPr>
          <w:p w14:paraId="0E9ACA2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14</w:t>
            </w:r>
          </w:p>
        </w:tc>
        <w:tc>
          <w:tcPr>
            <w:tcW w:w="7655" w:type="dxa"/>
          </w:tcPr>
          <w:p w14:paraId="6349577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Bruto vrijednost imovine iz transakcije financiranja vrijednosnim papirima (bez priznavanja </w:t>
            </w:r>
            <w:proofErr w:type="spellStart"/>
            <w:r>
              <w:rPr>
                <w:rStyle w:val="TeksttreciPogrubienie"/>
                <w:rFonts w:ascii="Times New Roman" w:hAnsi="Times New Roman"/>
                <w:sz w:val="24"/>
                <w:szCs w:val="24"/>
              </w:rPr>
              <w:t>netiranja</w:t>
            </w:r>
            <w:proofErr w:type="spellEnd"/>
            <w:r>
              <w:rPr>
                <w:rStyle w:val="TeksttreciPogrubienie"/>
                <w:rFonts w:ascii="Times New Roman" w:hAnsi="Times New Roman"/>
                <w:sz w:val="24"/>
                <w:szCs w:val="24"/>
              </w:rPr>
              <w:t>), nakon usklađenja za transakcije koje se obračunavaju kao prodaja</w:t>
            </w:r>
          </w:p>
          <w:p w14:paraId="0FAE27C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Članak 4. stavak 1. točka 77., članak 206. i članak 429.e stavak 6. CRR-a</w:t>
            </w:r>
          </w:p>
          <w:p w14:paraId="2739078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objavljuju računovodstvenu bilančnu vrijednost, u skladu s primjenjivim računovodstvenim okvirom, transakcija financiranja vrijednosnim papirima koje su obuhvaćene i koje nisu obuhvaćene standardiziranim sporazumom o </w:t>
            </w:r>
            <w:proofErr w:type="spellStart"/>
            <w:r>
              <w:rPr>
                <w:rFonts w:ascii="Times New Roman" w:hAnsi="Times New Roman"/>
                <w:sz w:val="24"/>
                <w:szCs w:val="24"/>
              </w:rPr>
              <w:t>netiranju</w:t>
            </w:r>
            <w:proofErr w:type="spellEnd"/>
            <w:r>
              <w:rPr>
                <w:rFonts w:ascii="Times New Roman" w:hAnsi="Times New Roman"/>
                <w:sz w:val="24"/>
                <w:szCs w:val="24"/>
              </w:rPr>
              <w:t xml:space="preserve"> prihvatljivim u skladu s člankom 206. CRR-a, ako su ugovori priznati kao imovina u bilanci bez pretpostavke učinaka bonitetnog ili računovodstvenog </w:t>
            </w:r>
            <w:proofErr w:type="spellStart"/>
            <w:r>
              <w:rPr>
                <w:rFonts w:ascii="Times New Roman" w:hAnsi="Times New Roman"/>
                <w:sz w:val="24"/>
                <w:szCs w:val="24"/>
              </w:rPr>
              <w:t>netiranja</w:t>
            </w:r>
            <w:proofErr w:type="spellEnd"/>
            <w:r>
              <w:rPr>
                <w:rFonts w:ascii="Times New Roman" w:hAnsi="Times New Roman"/>
                <w:sz w:val="24"/>
                <w:szCs w:val="24"/>
              </w:rPr>
              <w:t xml:space="preserve"> ili smanjenja rizika (tj. računovodstvena bilančna vrijednost usklađena za učinke računovodstvenog </w:t>
            </w:r>
            <w:proofErr w:type="spellStart"/>
            <w:r>
              <w:rPr>
                <w:rFonts w:ascii="Times New Roman" w:hAnsi="Times New Roman"/>
                <w:sz w:val="24"/>
                <w:szCs w:val="24"/>
              </w:rPr>
              <w:t>netiranja</w:t>
            </w:r>
            <w:proofErr w:type="spellEnd"/>
            <w:r>
              <w:rPr>
                <w:rFonts w:ascii="Times New Roman" w:hAnsi="Times New Roman"/>
                <w:sz w:val="24"/>
                <w:szCs w:val="24"/>
              </w:rPr>
              <w:t xml:space="preserve"> ili smanjenje rizika).</w:t>
            </w:r>
          </w:p>
          <w:p w14:paraId="51E2F17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Osim toga, ako se u skladu s primjenjivim računovodstvenim okvirom transakcije financiranja vrijednosnim papirima obračunavaju kao prodaja, institucije poništavaju sve računovodstvene unose koji se odnose na prodaju u skladu s člankom 429.e stavkom 6. CRR-a.</w:t>
            </w:r>
          </w:p>
          <w:p w14:paraId="0A56C5F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u ovu rubriku ne uključuju primljenu gotovinu ili vrijednosni papir dan drugoj ugovornoj strani preko tih transakcija i koji je zadržan u bilanci (tj. nisu ispunjeni kriteriji za prestanak priznavanja).</w:t>
            </w:r>
          </w:p>
        </w:tc>
      </w:tr>
      <w:tr w:rsidR="000A7015" w:rsidRPr="007F4CC8" w14:paraId="297DF549" w14:textId="77777777" w:rsidTr="001E06A3">
        <w:trPr>
          <w:trHeight w:val="557"/>
        </w:trPr>
        <w:tc>
          <w:tcPr>
            <w:tcW w:w="1384" w:type="dxa"/>
            <w:vAlign w:val="center"/>
          </w:tcPr>
          <w:p w14:paraId="636A17D3" w14:textId="77777777" w:rsidR="000A7015" w:rsidRPr="007F4CC8" w:rsidRDefault="000A7015" w:rsidP="001E06A3">
            <w:pPr>
              <w:pStyle w:val="Applicationdirecte"/>
              <w:spacing w:before="0"/>
              <w:jc w:val="center"/>
            </w:pPr>
            <w:r>
              <w:t>15</w:t>
            </w:r>
          </w:p>
        </w:tc>
        <w:tc>
          <w:tcPr>
            <w:tcW w:w="7655" w:type="dxa"/>
          </w:tcPr>
          <w:p w14:paraId="7820ED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w:t>
            </w:r>
            <w:proofErr w:type="spellStart"/>
            <w:r>
              <w:rPr>
                <w:rStyle w:val="TeksttreciPogrubienie"/>
                <w:rFonts w:ascii="Times New Roman" w:hAnsi="Times New Roman"/>
                <w:sz w:val="24"/>
                <w:szCs w:val="24"/>
              </w:rPr>
              <w:t>Netirani</w:t>
            </w:r>
            <w:proofErr w:type="spellEnd"/>
            <w:r>
              <w:rPr>
                <w:rStyle w:val="TeksttreciPogrubienie"/>
                <w:rFonts w:ascii="Times New Roman" w:hAnsi="Times New Roman"/>
                <w:sz w:val="24"/>
                <w:szCs w:val="24"/>
              </w:rPr>
              <w:t xml:space="preserve"> iznosi gotovinskih obveza i potraživanja povezanih s bruto vrijednošću imovine uključene u transakciju financiranja vrijednosnim papirima)</w:t>
            </w:r>
          </w:p>
          <w:p w14:paraId="22328E5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Članak 4. stavak 1. točka 77., članak 206., članak 429.b stavak 1. točka (b), članak 429.b stavak 4. i članak 429.e stavak 6. CRR-a</w:t>
            </w:r>
          </w:p>
          <w:p w14:paraId="088BAD9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objavljuju iznos gotovinskih obveza povezanih s bruto vrijednošću imovine uključene u transakcije financiranja vrijednosnim papirima koje su </w:t>
            </w:r>
            <w:proofErr w:type="spellStart"/>
            <w:r>
              <w:rPr>
                <w:rFonts w:ascii="Times New Roman" w:hAnsi="Times New Roman"/>
                <w:sz w:val="24"/>
                <w:szCs w:val="24"/>
              </w:rPr>
              <w:t>netirane</w:t>
            </w:r>
            <w:proofErr w:type="spellEnd"/>
            <w:r>
              <w:rPr>
                <w:rFonts w:ascii="Times New Roman" w:hAnsi="Times New Roman"/>
                <w:sz w:val="24"/>
                <w:szCs w:val="24"/>
              </w:rPr>
              <w:t xml:space="preserve"> u skladu s člankom 429.b stavkom 4. CRR-a.</w:t>
            </w:r>
          </w:p>
          <w:p w14:paraId="718F821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Budući da ovo usklađenje dovodi do smanjenja mjere ukupne izloženosti, institucije vrijednost u ovom retku stavljaju u zagrade (negativan iznos).</w:t>
            </w:r>
          </w:p>
        </w:tc>
      </w:tr>
      <w:tr w:rsidR="000A7015" w:rsidRPr="007F4CC8" w14:paraId="2EEFD02A" w14:textId="77777777" w:rsidTr="001E06A3">
        <w:trPr>
          <w:trHeight w:val="2265"/>
        </w:trPr>
        <w:tc>
          <w:tcPr>
            <w:tcW w:w="1384" w:type="dxa"/>
            <w:vAlign w:val="center"/>
          </w:tcPr>
          <w:p w14:paraId="6037B80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16</w:t>
            </w:r>
          </w:p>
        </w:tc>
        <w:tc>
          <w:tcPr>
            <w:tcW w:w="7655" w:type="dxa"/>
          </w:tcPr>
          <w:p w14:paraId="549BBB7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Izloženost kreditnom riziku druge ugovorne strane za imovinu uključenu u transakciju financiranja vrijednosnim papirima</w:t>
            </w:r>
          </w:p>
          <w:p w14:paraId="75736C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Članak 429.e stavak 1. CRR-a</w:t>
            </w:r>
          </w:p>
          <w:p w14:paraId="680F401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objavljuju uvećanje za kreditni rizik druge ugovorne strane u transakcijama financiranja vrijednosnim papirima, uključujući izvanbilančne, koje se određuje u skladu s člankom 429.e stavkom 2. ili 3. CRR-a, ovisno o slučaju.</w:t>
            </w:r>
          </w:p>
          <w:p w14:paraId="2C1A4BC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u ovu rubriku uključuju transakcije u skladu s člankom 429.e stavkom 7. točkom (c) CRR-a.</w:t>
            </w:r>
          </w:p>
          <w:p w14:paraId="07D91B0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u ovu rubriku uključuju transakcije financiranja vrijednosnim </w:t>
            </w:r>
            <w:r>
              <w:rPr>
                <w:rFonts w:ascii="Times New Roman" w:hAnsi="Times New Roman"/>
                <w:sz w:val="24"/>
                <w:szCs w:val="24"/>
              </w:rPr>
              <w:lastRenderedPageBreak/>
              <w:t xml:space="preserve">papirima koje se obavljaju preko posrednika ako ta institucija klijentu ili drugoj ugovornoj strani pruža osiguranje ili jamstvo ograničeno na bilo koju razliku između vrijednosti vrijednosnog papira ili gotovine koju je klijent pozajmio i vrijednosti kolaterala koji je dužnik dao, u skladu s člankom 429.e stavkom 7. točkom (a) CRR-a. </w:t>
            </w:r>
          </w:p>
        </w:tc>
      </w:tr>
      <w:tr w:rsidR="000A7015" w:rsidRPr="007F4CC8" w14:paraId="3FDBFA21" w14:textId="77777777" w:rsidTr="00CE0D13">
        <w:trPr>
          <w:trHeight w:val="555"/>
        </w:trPr>
        <w:tc>
          <w:tcPr>
            <w:tcW w:w="1384" w:type="dxa"/>
            <w:vAlign w:val="center"/>
          </w:tcPr>
          <w:p w14:paraId="41119A3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EU-16a</w:t>
            </w:r>
          </w:p>
        </w:tc>
        <w:tc>
          <w:tcPr>
            <w:tcW w:w="7655" w:type="dxa"/>
          </w:tcPr>
          <w:p w14:paraId="5B5560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Odstupanje za transakcije financiranja vrijednosnim papirima: Izloženost kreditnom riziku druge ugovorne strane u skladu s člankom 429.e stavkom 5. i člankom 222. CRR-a</w:t>
            </w:r>
          </w:p>
          <w:p w14:paraId="7557B3C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Članak 429.e stavak 5. i članak 222. CRR-a</w:t>
            </w:r>
          </w:p>
          <w:p w14:paraId="4097D4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objavljuju uvećanje za transakcije financiranja vrijednosnim papirima, uključujući izvanbilančne, koje se izračunava u skladu s člankom 222. CRR-a, podložno donjoj granici od 20 % na primjenjivi ponder rizika.</w:t>
            </w:r>
          </w:p>
          <w:p w14:paraId="1BB831B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u ovu rubriku uključuju transakcije u skladu s člankom 429.e stavkom 7. točkom (c) CRR-a.</w:t>
            </w:r>
          </w:p>
          <w:p w14:paraId="0458059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u ovu rubriku ne uključuju transakcije za koje se dio uvećanja vrijednosti izloženosti omjeru financijske poluge određuje primjenom metode definirane u članku 429.e stavku 1. CRR-a.</w:t>
            </w:r>
          </w:p>
        </w:tc>
      </w:tr>
      <w:tr w:rsidR="000A7015" w:rsidRPr="007F4CC8" w14:paraId="0937C469" w14:textId="77777777" w:rsidTr="001E06A3">
        <w:trPr>
          <w:trHeight w:val="1134"/>
        </w:trPr>
        <w:tc>
          <w:tcPr>
            <w:tcW w:w="1384" w:type="dxa"/>
            <w:vAlign w:val="center"/>
          </w:tcPr>
          <w:p w14:paraId="7517904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17</w:t>
            </w:r>
          </w:p>
        </w:tc>
        <w:tc>
          <w:tcPr>
            <w:tcW w:w="7655" w:type="dxa"/>
          </w:tcPr>
          <w:p w14:paraId="2406571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Izloženosti transakcija koje se obavljaju preko posrednika</w:t>
            </w:r>
          </w:p>
          <w:p w14:paraId="22481E3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Članak 429.e stavci 2. i 3. i članak 429.e. stavak 7. točka (a) CRR-a</w:t>
            </w:r>
          </w:p>
          <w:p w14:paraId="43BB1BE9" w14:textId="4A58C8E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objavljuju vrijednost izloženosti transakcija financiranja vrijednosnim papirima koje se obavljaju preko posrednika ako institucija klijentu ili drugoj ugovornoj strani pruža osiguranje ili jamstvo ograničeno na bilo koju razliku između vrijednosti vrijednosnog papira ili gotovine koju je klijent pozajmio i vrijednosti kolaterala koji je dužnik dao, u skladu s člankom 429.e stavkom 7. točkom (a) CRR-a. Vrijednost izloženosti sastoji se samo od uvećanja koje se određuje u skladu s člankom 429.e stavkom 2. ili 3. CRR-a, ovisno o slučaju.</w:t>
            </w:r>
          </w:p>
          <w:p w14:paraId="7C2A98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u ovu rubriku ne uključuju transakcije u skladu s člankom 429.e stavkom 7. točkom (c) CRR-a.</w:t>
            </w:r>
          </w:p>
        </w:tc>
      </w:tr>
      <w:tr w:rsidR="000A7015" w:rsidRPr="007F4CC8" w14:paraId="51C4941D" w14:textId="77777777" w:rsidTr="001E06A3">
        <w:trPr>
          <w:trHeight w:val="978"/>
        </w:trPr>
        <w:tc>
          <w:tcPr>
            <w:tcW w:w="1384" w:type="dxa"/>
            <w:vAlign w:val="center"/>
          </w:tcPr>
          <w:p w14:paraId="3B76AD8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EU-17a</w:t>
            </w:r>
          </w:p>
        </w:tc>
        <w:tc>
          <w:tcPr>
            <w:tcW w:w="7655" w:type="dxa"/>
          </w:tcPr>
          <w:p w14:paraId="52EB4B5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(Izuzeti dio izloženosti prema središnjoj drugoj ugovornoj strani za transakcije financiranja vrijednosnim papirima koje su poravnane za klijenta)</w:t>
            </w:r>
          </w:p>
          <w:p w14:paraId="27B7014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Članak 429.a stavak 1. točke (g) i (h) i članak 306. stavak 1. točka (c) CRR-a </w:t>
            </w:r>
          </w:p>
          <w:p w14:paraId="32B9007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objavljuju izuzeti dio izloženosti prema središnjoj drugoj ugovornoj strani za transakcije financiranja vrijednosnim papirima koje su poravnane za klijenta, ako te stavke ispunjavaju uvjete iz članka 306. stavka 1. točke (c) CRR-a.</w:t>
            </w:r>
          </w:p>
          <w:p w14:paraId="7E53E93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Ako je izuzeti dio transakcije sa središnjom drugom ugovornom stranom vrijednosni papir, ne uključuje se u ovu rubriku, osim ako je riječ o ponovno založenom vrijednosnom papiru koji se u skladu s primjenjivim </w:t>
            </w:r>
            <w:r>
              <w:rPr>
                <w:rFonts w:ascii="Times New Roman" w:hAnsi="Times New Roman"/>
                <w:sz w:val="24"/>
                <w:szCs w:val="24"/>
              </w:rPr>
              <w:lastRenderedPageBreak/>
              <w:t>računovodstvenim okvirom (tj. u skladu s člankom 111. stavkom 1. prvom rečenicom CRR-a) iskazuje u punoj vrijednosti.</w:t>
            </w:r>
          </w:p>
          <w:p w14:paraId="7426B2D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Budući da ovo usklađenje dovodi do smanjenja mjere ukupne izloženosti, institucije vrijednost u ovom retku stavljaju u zagrade (negativan iznos).</w:t>
            </w:r>
          </w:p>
          <w:p w14:paraId="0BA8475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Objavljeni iznos mora biti uključen i u odgovarajuće gornje rubrike kao da se izuzeće ne primjenjuje.</w:t>
            </w:r>
          </w:p>
        </w:tc>
      </w:tr>
      <w:tr w:rsidR="000A7015" w:rsidRPr="007F4CC8" w14:paraId="13C88144" w14:textId="77777777" w:rsidTr="001E06A3">
        <w:trPr>
          <w:trHeight w:val="862"/>
        </w:trPr>
        <w:tc>
          <w:tcPr>
            <w:tcW w:w="1384" w:type="dxa"/>
            <w:vAlign w:val="center"/>
          </w:tcPr>
          <w:p w14:paraId="7D73046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18</w:t>
            </w:r>
          </w:p>
        </w:tc>
        <w:tc>
          <w:tcPr>
            <w:tcW w:w="7655" w:type="dxa"/>
          </w:tcPr>
          <w:p w14:paraId="407C1A5D"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Ukupne izloženosti transakcija financiranja vrijednosnim papirima</w:t>
            </w:r>
          </w:p>
          <w:p w14:paraId="740C37E0"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Zbroj redaka od 14 do EU-17a</w:t>
            </w:r>
          </w:p>
        </w:tc>
      </w:tr>
      <w:tr w:rsidR="000A7015" w:rsidRPr="007F4CC8" w14:paraId="61895325" w14:textId="77777777" w:rsidTr="001E06A3">
        <w:trPr>
          <w:trHeight w:val="1590"/>
        </w:trPr>
        <w:tc>
          <w:tcPr>
            <w:tcW w:w="1384" w:type="dxa"/>
            <w:vAlign w:val="center"/>
          </w:tcPr>
          <w:p w14:paraId="0E13CEF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19</w:t>
            </w:r>
          </w:p>
        </w:tc>
        <w:tc>
          <w:tcPr>
            <w:tcW w:w="7655" w:type="dxa"/>
          </w:tcPr>
          <w:p w14:paraId="28F7BB9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Izvanbilančne izloženosti u bruto zamišljenom iznosu</w:t>
            </w:r>
          </w:p>
          <w:p w14:paraId="42E44B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Članak 429.f CRR-a</w:t>
            </w:r>
          </w:p>
          <w:p w14:paraId="4B3F96C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objavljuju nominalnu vrijednost svih izvanbilančnih stavki kako je definirano u članku 429.f CRR-a, prije usklađenja za konverzijske faktore i specifičnih ispravaka vrijednosti za kreditni rizik.</w:t>
            </w:r>
          </w:p>
        </w:tc>
      </w:tr>
      <w:tr w:rsidR="000A7015" w:rsidRPr="007F4CC8" w14:paraId="6A325981" w14:textId="77777777" w:rsidTr="001E06A3">
        <w:trPr>
          <w:trHeight w:val="1530"/>
        </w:trPr>
        <w:tc>
          <w:tcPr>
            <w:tcW w:w="1384" w:type="dxa"/>
            <w:vAlign w:val="center"/>
          </w:tcPr>
          <w:p w14:paraId="6C47AB6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20</w:t>
            </w:r>
          </w:p>
        </w:tc>
        <w:tc>
          <w:tcPr>
            <w:tcW w:w="7655" w:type="dxa"/>
          </w:tcPr>
          <w:p w14:paraId="1486622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(Usklađenja za konverziju u iznose istovjetne kreditu)</w:t>
            </w:r>
          </w:p>
          <w:p w14:paraId="0270821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Članak 429.f CRR-a</w:t>
            </w:r>
          </w:p>
          <w:p w14:paraId="313C1D0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Smanjenje bruto iznosa izvanbilančnih izloženosti zbog primjene konverzijskih faktora. Budući da umanjuje mjeru ukupne izloženosti, vrijednost koja se objavljuje u ovom retku negativno utječe na izračun zbroja koji se objavljuje u retku 22 obrasca </w:t>
            </w:r>
            <w:r>
              <w:rPr>
                <w:rFonts w:ascii="Times New Roman" w:hAnsi="Times New Roman"/>
                <w:color w:val="000000"/>
                <w:sz w:val="24"/>
                <w:szCs w:val="24"/>
              </w:rPr>
              <w:t xml:space="preserve">EU LR2 - </w:t>
            </w:r>
            <w:proofErr w:type="spellStart"/>
            <w:r>
              <w:rPr>
                <w:rFonts w:ascii="Times New Roman" w:hAnsi="Times New Roman"/>
                <w:sz w:val="24"/>
                <w:szCs w:val="24"/>
              </w:rPr>
              <w:t>LRCom</w:t>
            </w:r>
            <w:proofErr w:type="spellEnd"/>
            <w:r>
              <w:rPr>
                <w:rFonts w:ascii="Times New Roman" w:hAnsi="Times New Roman"/>
                <w:sz w:val="24"/>
                <w:szCs w:val="24"/>
              </w:rPr>
              <w:t>.</w:t>
            </w:r>
          </w:p>
        </w:tc>
      </w:tr>
      <w:tr w:rsidR="000A7015" w:rsidRPr="007F4CC8" w14:paraId="704940CA" w14:textId="77777777" w:rsidTr="001E06A3">
        <w:trPr>
          <w:trHeight w:val="2265"/>
        </w:trPr>
        <w:tc>
          <w:tcPr>
            <w:tcW w:w="1384" w:type="dxa"/>
            <w:vAlign w:val="center"/>
          </w:tcPr>
          <w:p w14:paraId="28A0910B"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21</w:t>
            </w:r>
          </w:p>
        </w:tc>
        <w:tc>
          <w:tcPr>
            <w:tcW w:w="7655" w:type="dxa"/>
          </w:tcPr>
          <w:p w14:paraId="32E90B0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(Opće rezervacije odbijene pri utvrđivanju osnovnog kapitala i specifične rezervacije povezane s izvanbilančnim izloženostima)</w:t>
            </w:r>
          </w:p>
          <w:p w14:paraId="315979B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Članak 429. stavak 4. i članak 429.f stavci 1. i 2. CRR-a</w:t>
            </w:r>
          </w:p>
          <w:p w14:paraId="50A0323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mogu umanjiti ekvivalentni iznos kreditne izloženosti izvanbilančne stavke za odgovarajući iznos specifičnih ispravaka vrijednosti za kreditni rizik koji su odbijeni od osnovnog kapitala. Izračun podliježe donjem pragu koji iznosi nula. </w:t>
            </w:r>
          </w:p>
          <w:p w14:paraId="2CB3005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mogu umanjiti ekvivalentni iznos kreditne izloženosti izvanbilančne stavke za odgovarajući iznos specifičnih ispravaka vrijednosti za kreditni rizik. Izračun podliježe donjem pragu koji iznosi nula. </w:t>
            </w:r>
          </w:p>
          <w:p w14:paraId="6A2097F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Apsolutna vrijednost tih ispravaka vrijednosti za kreditni rizik nije veća od zbroja redaka 19 i 20. </w:t>
            </w:r>
          </w:p>
          <w:p w14:paraId="7F73C0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Budući da ova usklađenja dovode do smanjenja mjere ukupne izloženosti, institucije vrijednost u ovom retku stavljaju u zagrade (negativan iznos).</w:t>
            </w:r>
          </w:p>
          <w:p w14:paraId="16A5C37D"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Iskazani iznos uključuje se i u odgovarajuće gornje rubrike kao da se to smanjenje ne primjenjuje.</w:t>
            </w:r>
          </w:p>
        </w:tc>
      </w:tr>
      <w:tr w:rsidR="000A7015" w:rsidRPr="007F4CC8" w14:paraId="3A70EFA6" w14:textId="77777777" w:rsidTr="001E06A3">
        <w:trPr>
          <w:trHeight w:val="805"/>
        </w:trPr>
        <w:tc>
          <w:tcPr>
            <w:tcW w:w="1384" w:type="dxa"/>
            <w:vAlign w:val="center"/>
          </w:tcPr>
          <w:p w14:paraId="45476FE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22</w:t>
            </w:r>
          </w:p>
        </w:tc>
        <w:tc>
          <w:tcPr>
            <w:tcW w:w="7655" w:type="dxa"/>
          </w:tcPr>
          <w:p w14:paraId="609DE2B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Izvanbilančne izloženosti </w:t>
            </w:r>
          </w:p>
          <w:p w14:paraId="240E62F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Članak 429.f, članak 111. stavak 1. i članak 166. stavak 9. CRR-a; zbroj redaka od 19 do 21</w:t>
            </w:r>
          </w:p>
          <w:p w14:paraId="56F850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objavljuju vrijednosti izloženosti omjera financijske poluge za </w:t>
            </w:r>
            <w:r>
              <w:rPr>
                <w:rFonts w:ascii="Times New Roman" w:hAnsi="Times New Roman"/>
                <w:sz w:val="24"/>
                <w:szCs w:val="24"/>
              </w:rPr>
              <w:lastRenderedPageBreak/>
              <w:t>izvanbilančne stavke koje se određuju u skladu s člankom 429.f CRR-a, uzimajući u obzir relevantne konverzijske faktore.</w:t>
            </w:r>
          </w:p>
          <w:p w14:paraId="0F3D36E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uzimaju u obzir da redci 20 i 21 obrasca </w:t>
            </w:r>
            <w:r>
              <w:rPr>
                <w:rFonts w:ascii="Times New Roman" w:hAnsi="Times New Roman"/>
                <w:color w:val="000000"/>
                <w:sz w:val="24"/>
                <w:szCs w:val="24"/>
              </w:rPr>
              <w:t>EU LR2 -</w:t>
            </w:r>
            <w:r>
              <w:rPr>
                <w:rFonts w:ascii="Times New Roman" w:hAnsi="Times New Roman"/>
                <w:sz w:val="24"/>
                <w:szCs w:val="24"/>
              </w:rPr>
              <w:t xml:space="preserve"> </w:t>
            </w:r>
            <w:proofErr w:type="spellStart"/>
            <w:r>
              <w:rPr>
                <w:rFonts w:ascii="Times New Roman" w:hAnsi="Times New Roman"/>
                <w:sz w:val="24"/>
                <w:szCs w:val="24"/>
              </w:rPr>
              <w:t>LRCom</w:t>
            </w:r>
            <w:proofErr w:type="spellEnd"/>
            <w:r>
              <w:rPr>
                <w:rFonts w:ascii="Times New Roman" w:hAnsi="Times New Roman"/>
                <w:sz w:val="24"/>
                <w:szCs w:val="24"/>
              </w:rPr>
              <w:t xml:space="preserve"> negativno utječu na izračun tog zbroja.</w:t>
            </w:r>
          </w:p>
        </w:tc>
      </w:tr>
      <w:tr w:rsidR="000A7015" w:rsidRPr="007F4CC8" w14:paraId="54E937B5" w14:textId="77777777" w:rsidTr="001E06A3">
        <w:trPr>
          <w:trHeight w:val="274"/>
        </w:trPr>
        <w:tc>
          <w:tcPr>
            <w:tcW w:w="1384" w:type="dxa"/>
            <w:vAlign w:val="center"/>
          </w:tcPr>
          <w:p w14:paraId="19A68D1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EU-22a</w:t>
            </w:r>
          </w:p>
        </w:tc>
        <w:tc>
          <w:tcPr>
            <w:tcW w:w="7655" w:type="dxa"/>
          </w:tcPr>
          <w:p w14:paraId="257EB63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(Izloženosti isključene iz mjere ukupne izloženosti u skladu s člankom 429.a stavkom 1. točkom (c) CRR-a)</w:t>
            </w:r>
          </w:p>
          <w:p w14:paraId="092246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Članak 429.a stavak 1. točka (c) i članak 113. stavci 6. i 7. CRR-a</w:t>
            </w:r>
          </w:p>
          <w:p w14:paraId="02E5952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objavljuju izloženosti izuzete u skladu s člankom 429.a stavkom 1. točkom (c). </w:t>
            </w:r>
          </w:p>
          <w:p w14:paraId="3C96958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Iskazani iznos uključuje se i u odgovarajuće gornje rubrike kao da se izuzeće ne primjenjuje.</w:t>
            </w:r>
          </w:p>
          <w:p w14:paraId="77F3895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Budući da se ovim iznosom umanjuje mjera ukupne izloženosti, institucije vrijednost u ovom retku stavljaju u zagrade (negativan iznos).</w:t>
            </w:r>
          </w:p>
        </w:tc>
      </w:tr>
      <w:tr w:rsidR="000A7015" w:rsidRPr="007F4CC8" w14:paraId="31E2AE09" w14:textId="77777777" w:rsidTr="00CE0D13">
        <w:trPr>
          <w:trHeight w:val="129"/>
        </w:trPr>
        <w:tc>
          <w:tcPr>
            <w:tcW w:w="1384" w:type="dxa"/>
            <w:vAlign w:val="center"/>
          </w:tcPr>
          <w:p w14:paraId="120AF7E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EU-22b</w:t>
            </w:r>
          </w:p>
        </w:tc>
        <w:tc>
          <w:tcPr>
            <w:tcW w:w="7655" w:type="dxa"/>
          </w:tcPr>
          <w:p w14:paraId="49D4B73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(Izloženosti izuzete u skladu s člankom</w:t>
            </w:r>
            <w:r>
              <w:rPr>
                <w:rFonts w:ascii="Times New Roman" w:hAnsi="Times New Roman"/>
                <w:sz w:val="24"/>
                <w:szCs w:val="24"/>
              </w:rPr>
              <w:t xml:space="preserve"> </w:t>
            </w:r>
            <w:r>
              <w:rPr>
                <w:rFonts w:ascii="Times New Roman" w:hAnsi="Times New Roman"/>
                <w:b/>
                <w:sz w:val="24"/>
                <w:szCs w:val="24"/>
              </w:rPr>
              <w:t>429.a stavkom 1.</w:t>
            </w:r>
            <w:r>
              <w:rPr>
                <w:rFonts w:ascii="Times New Roman" w:hAnsi="Times New Roman"/>
                <w:sz w:val="24"/>
                <w:szCs w:val="24"/>
              </w:rPr>
              <w:t xml:space="preserve"> </w:t>
            </w:r>
            <w:r>
              <w:rPr>
                <w:rStyle w:val="TeksttreciPogrubienie"/>
                <w:rFonts w:ascii="Times New Roman" w:hAnsi="Times New Roman"/>
                <w:sz w:val="24"/>
                <w:szCs w:val="24"/>
              </w:rPr>
              <w:t>točkom (j) CRR-a (bilančne i izvanbilančne))</w:t>
            </w:r>
          </w:p>
          <w:p w14:paraId="0085036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Članak 429.a stavak 1. točka (j) CRR-a</w:t>
            </w:r>
          </w:p>
          <w:p w14:paraId="09E08B7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objavljuju izloženosti izuzete u skladu s člankom 429.a stavkom 1. točkom (j) CRR-a ako su ispunjeni uvjeti iz te točke. </w:t>
            </w:r>
          </w:p>
          <w:p w14:paraId="06542B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Iskazani iznos uključuje se i u odgovarajuće gornje rubrike kao da se izuzeće ne primjenjuje.</w:t>
            </w:r>
          </w:p>
          <w:p w14:paraId="6603911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Budući da se ovim iznosom umanjuje mjera ukupne izloženosti, institucije vrijednost u ovom retku stavljaju u zagrade (negativan iznos).</w:t>
            </w:r>
          </w:p>
        </w:tc>
      </w:tr>
      <w:tr w:rsidR="000A7015" w:rsidRPr="007F4CC8" w14:paraId="78ABB483" w14:textId="77777777" w:rsidTr="001E06A3">
        <w:trPr>
          <w:trHeight w:val="1535"/>
        </w:trPr>
        <w:tc>
          <w:tcPr>
            <w:tcW w:w="1384" w:type="dxa"/>
            <w:vAlign w:val="center"/>
          </w:tcPr>
          <w:p w14:paraId="603B5CB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EU-22c</w:t>
            </w:r>
          </w:p>
        </w:tc>
        <w:tc>
          <w:tcPr>
            <w:tcW w:w="7655" w:type="dxa"/>
          </w:tcPr>
          <w:p w14:paraId="6061DE2E"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(Isključene izloženosti javnih razvojnih banaka (ili jedinica) – Ulaganja javnog sektora)</w:t>
            </w:r>
          </w:p>
          <w:p w14:paraId="25957FE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Članak 429.a stavak 1. točka (d) i članak 429.a stavak 2. CRR-a</w:t>
            </w:r>
          </w:p>
          <w:p w14:paraId="735877B0" w14:textId="77777777" w:rsidR="000A7015" w:rsidRPr="007F4CC8" w:rsidRDefault="000A7015" w:rsidP="00CE0D1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Izloženosti koje proizlaze iz imovine koja čini potraživanja od središnjih država, jedinica područne (regionalne) samouprave, jedinica lokalne samouprave ili subjekata javnog sektora u odnosu na ulaganja javnog sektora, koje se mogu isključiti u skladu s člankom 429.a stavkom 1. točkom (d) CRR-a. To obuhvaća samo slučajeve u kojima je institucija javna razvojna kreditna institucija ili ako se izloženosti drže u jedinici koja se smatra javnom razvojnom jedinicom u skladu s člankom 429.a stavkom 2. zadnjim podstavkom CRR-a.</w:t>
            </w:r>
          </w:p>
          <w:p w14:paraId="23F492A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Budući da se ovim iznosom umanjuje mjera ukupne izloženosti, institucije vrijednost u ovoj rubrici stavljaju u zagrade (negativan iznos).</w:t>
            </w:r>
          </w:p>
        </w:tc>
      </w:tr>
      <w:tr w:rsidR="000A7015" w:rsidRPr="007F4CC8" w14:paraId="03AD2E4D" w14:textId="77777777" w:rsidTr="001E06A3">
        <w:trPr>
          <w:trHeight w:val="1535"/>
        </w:trPr>
        <w:tc>
          <w:tcPr>
            <w:tcW w:w="1384" w:type="dxa"/>
            <w:vAlign w:val="center"/>
          </w:tcPr>
          <w:p w14:paraId="6E38F23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EU-22d</w:t>
            </w:r>
          </w:p>
        </w:tc>
        <w:tc>
          <w:tcPr>
            <w:tcW w:w="7655" w:type="dxa"/>
          </w:tcPr>
          <w:p w14:paraId="19B1D05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(Isključene izloženosti javnih razvojnih banaka (ili jedinica) – Promotivni krediti) </w:t>
            </w:r>
          </w:p>
          <w:p w14:paraId="5591C29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Članak 429.a stavak 1. točka (d) i članak 429.a stavak 2. CRR-a</w:t>
            </w:r>
          </w:p>
          <w:p w14:paraId="53E3DF4B" w14:textId="77777777" w:rsidR="000A7015" w:rsidRPr="007F4CC8" w:rsidRDefault="000A7015" w:rsidP="00CE0D1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objavljuju isključene promotivne kredite u skladu s člankom 429.a stavkom 1. točkom (d) CRR-a. To obuhvaća samo slučajeve u kojima je </w:t>
            </w:r>
            <w:r>
              <w:rPr>
                <w:rFonts w:ascii="Times New Roman" w:hAnsi="Times New Roman"/>
                <w:sz w:val="24"/>
                <w:szCs w:val="24"/>
              </w:rPr>
              <w:lastRenderedPageBreak/>
              <w:t>institucija javna razvojna kreditna institucija ili ako se promotivni krediti drže u jedinici koja se smatra javnom razvojnom jedinicom u skladu s člankom 429.a stavkom 2. zadnjim podstavkom CRR-a.</w:t>
            </w:r>
          </w:p>
          <w:p w14:paraId="67FA2D6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Budući da se ovim iznosom umanjuje mjera ukupne izloženosti, institucije vrijednost u ovom retku stavljaju u zagrade (negativan iznos).</w:t>
            </w:r>
          </w:p>
        </w:tc>
      </w:tr>
      <w:tr w:rsidR="000A7015" w:rsidRPr="007F4CC8" w14:paraId="464D615F" w14:textId="77777777" w:rsidTr="001E06A3">
        <w:trPr>
          <w:trHeight w:val="1535"/>
        </w:trPr>
        <w:tc>
          <w:tcPr>
            <w:tcW w:w="1384" w:type="dxa"/>
            <w:vAlign w:val="center"/>
          </w:tcPr>
          <w:p w14:paraId="25D5FDF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EU-22e</w:t>
            </w:r>
          </w:p>
        </w:tc>
        <w:tc>
          <w:tcPr>
            <w:tcW w:w="7655" w:type="dxa"/>
          </w:tcPr>
          <w:p w14:paraId="1D7BC25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(Isključene izloženosti iz prolaznih promotivnih kredita razvojnih banaka (ili jedinica) koje nisu javne)</w:t>
            </w:r>
          </w:p>
          <w:p w14:paraId="2FDB81DC"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Članak 429.a stavak 1. točka (e) CRR-a</w:t>
            </w:r>
          </w:p>
          <w:p w14:paraId="1311B13D"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sz w:val="24"/>
                <w:szCs w:val="24"/>
              </w:rPr>
              <w:t>Institucije objavljuju isključene izloženosti u skladu s člankom 429.a stavkom 1. točkom (e) CRR-a koje se odnose na dijelove izloženosti koje proizlaze iz prolaznih promotivnih kredita drugim kreditnim institucijama.</w:t>
            </w:r>
            <w:r>
              <w:rPr>
                <w:rFonts w:ascii="Times New Roman" w:hAnsi="Times New Roman"/>
                <w:bCs/>
                <w:sz w:val="24"/>
                <w:szCs w:val="24"/>
              </w:rPr>
              <w:t xml:space="preserve"> To obuhvaća samo slučajeve u kojima institucija nije javna razvojna kreditna institucija i ta se aktivnost ne odvija s jedinicom koja se smatra javnom razvojnom jedinicom u skladu s člankom 429.a stavkom 2. zadnjim podstavkom CRR-a.</w:t>
            </w:r>
          </w:p>
          <w:p w14:paraId="28C91C3F"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Budući da se ovim iznosom umanjuje mjera ukupne izloženosti, institucije vrijednost u ovom retku stavljaju u zagrade (negativan iznos).</w:t>
            </w:r>
          </w:p>
        </w:tc>
      </w:tr>
      <w:tr w:rsidR="000A7015" w:rsidRPr="007F4CC8" w14:paraId="5A62D477" w14:textId="77777777" w:rsidTr="001E06A3">
        <w:trPr>
          <w:trHeight w:val="1535"/>
        </w:trPr>
        <w:tc>
          <w:tcPr>
            <w:tcW w:w="1384" w:type="dxa"/>
            <w:vAlign w:val="center"/>
          </w:tcPr>
          <w:p w14:paraId="219D541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EU-22f</w:t>
            </w:r>
          </w:p>
        </w:tc>
        <w:tc>
          <w:tcPr>
            <w:tcW w:w="7655" w:type="dxa"/>
          </w:tcPr>
          <w:p w14:paraId="2BB0341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(Isključeni zajamčeni dijelovi izloženosti koje proizlaze iz izvoznih kredita)</w:t>
            </w:r>
          </w:p>
          <w:p w14:paraId="21CA9372" w14:textId="77777777" w:rsidR="000A7015" w:rsidRPr="007F4CC8" w:rsidRDefault="000A7015" w:rsidP="001E06A3">
            <w:pPr>
              <w:pStyle w:val="BodyText1"/>
              <w:spacing w:after="120" w:line="240" w:lineRule="auto"/>
              <w:rPr>
                <w:rFonts w:ascii="Times New Roman" w:hAnsi="Times New Roman"/>
                <w:color w:val="auto"/>
                <w:sz w:val="24"/>
                <w:szCs w:val="24"/>
              </w:rPr>
            </w:pPr>
            <w:r>
              <w:rPr>
                <w:rFonts w:ascii="Times New Roman" w:hAnsi="Times New Roman"/>
                <w:bCs/>
                <w:sz w:val="24"/>
                <w:szCs w:val="24"/>
              </w:rPr>
              <w:t>Članak 429.a stavak 1. točka (f) CRR-a</w:t>
            </w:r>
          </w:p>
          <w:p w14:paraId="73874E62"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color w:val="auto"/>
                <w:sz w:val="24"/>
                <w:szCs w:val="24"/>
              </w:rPr>
              <w:t>Zajamčeni dijelovi izloženosti koje proizlaze iz izvoznih kredita i koje se mogu isključiti ako su ispunjeni uvjeti iz članka 429.a stavka 1. točke (f) CRR-a.</w:t>
            </w:r>
          </w:p>
          <w:p w14:paraId="28D6FADE"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Budući da se ovim iznosom umanjuje mjera ukupne izloženosti, institucije vrijednost u ovom retku stavljaju u zagrade (negativan iznos).</w:t>
            </w:r>
          </w:p>
        </w:tc>
      </w:tr>
      <w:tr w:rsidR="000A7015" w:rsidRPr="007F4CC8" w14:paraId="1F825AB0" w14:textId="77777777" w:rsidTr="001E06A3">
        <w:trPr>
          <w:trHeight w:val="1535"/>
        </w:trPr>
        <w:tc>
          <w:tcPr>
            <w:tcW w:w="1384" w:type="dxa"/>
            <w:vAlign w:val="center"/>
          </w:tcPr>
          <w:p w14:paraId="1C7DAD7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EU-22g</w:t>
            </w:r>
          </w:p>
        </w:tc>
        <w:tc>
          <w:tcPr>
            <w:tcW w:w="7655" w:type="dxa"/>
          </w:tcPr>
          <w:p w14:paraId="1C73F4E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(Isključeni višak kolaterala deponiran kod agenta treće strane) </w:t>
            </w:r>
          </w:p>
          <w:p w14:paraId="27876A3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Članak 429.a stavak 1. točka (k) CRR-a</w:t>
            </w:r>
          </w:p>
          <w:p w14:paraId="11024BBF"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Višak kolaterala deponiran kod agenta treće strane koji nije dan u zajam, koji se može isključiti u skladu s člankom 429.a stavkom 1. točkom (k) CRR-a.</w:t>
            </w:r>
          </w:p>
          <w:p w14:paraId="2020A5B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Budući da se ovim iznosom umanjuje mjera ukupne izloženosti, institucije vrijednost u ovom retku stavljaju u zagrade (negativan iznos).</w:t>
            </w:r>
          </w:p>
        </w:tc>
      </w:tr>
      <w:tr w:rsidR="000A7015" w:rsidRPr="007F4CC8" w14:paraId="10595829" w14:textId="77777777" w:rsidTr="001E06A3">
        <w:trPr>
          <w:trHeight w:val="1535"/>
        </w:trPr>
        <w:tc>
          <w:tcPr>
            <w:tcW w:w="1384" w:type="dxa"/>
            <w:vAlign w:val="center"/>
          </w:tcPr>
          <w:p w14:paraId="66DDD96B"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EU-22h</w:t>
            </w:r>
          </w:p>
        </w:tc>
        <w:tc>
          <w:tcPr>
            <w:tcW w:w="7655" w:type="dxa"/>
          </w:tcPr>
          <w:p w14:paraId="67EAC2A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(Isključene usluge središnjih </w:t>
            </w:r>
            <w:proofErr w:type="spellStart"/>
            <w:r>
              <w:rPr>
                <w:rFonts w:ascii="Times New Roman" w:hAnsi="Times New Roman"/>
                <w:b/>
                <w:sz w:val="24"/>
                <w:szCs w:val="24"/>
              </w:rPr>
              <w:t>depozitorija</w:t>
            </w:r>
            <w:proofErr w:type="spellEnd"/>
            <w:r>
              <w:rPr>
                <w:rFonts w:ascii="Times New Roman" w:hAnsi="Times New Roman"/>
                <w:b/>
                <w:sz w:val="24"/>
                <w:szCs w:val="24"/>
              </w:rPr>
              <w:t xml:space="preserve"> vrijednosnih papira ili institucija povezane sa središnjim </w:t>
            </w:r>
            <w:proofErr w:type="spellStart"/>
            <w:r>
              <w:rPr>
                <w:rFonts w:ascii="Times New Roman" w:hAnsi="Times New Roman"/>
                <w:b/>
                <w:sz w:val="24"/>
                <w:szCs w:val="24"/>
              </w:rPr>
              <w:t>depozitorijima</w:t>
            </w:r>
            <w:proofErr w:type="spellEnd"/>
            <w:r>
              <w:rPr>
                <w:rFonts w:ascii="Times New Roman" w:hAnsi="Times New Roman"/>
                <w:b/>
                <w:sz w:val="24"/>
                <w:szCs w:val="24"/>
              </w:rPr>
              <w:t xml:space="preserve"> vrijednosnih papira u skladu s člankom 429.a stavkom 1. točkom (o) CRR-a)</w:t>
            </w:r>
          </w:p>
          <w:p w14:paraId="343A3FE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Članak 429.a stavak 1. točka (o) CRR-a</w:t>
            </w:r>
          </w:p>
          <w:p w14:paraId="39B28CC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 xml:space="preserve">Usluge središnjih </w:t>
            </w:r>
            <w:proofErr w:type="spellStart"/>
            <w:r>
              <w:rPr>
                <w:rFonts w:ascii="Times New Roman" w:hAnsi="Times New Roman"/>
                <w:bCs/>
                <w:sz w:val="24"/>
                <w:szCs w:val="24"/>
              </w:rPr>
              <w:t>depozitorija</w:t>
            </w:r>
            <w:proofErr w:type="spellEnd"/>
            <w:r>
              <w:rPr>
                <w:rFonts w:ascii="Times New Roman" w:hAnsi="Times New Roman"/>
                <w:bCs/>
                <w:sz w:val="24"/>
                <w:szCs w:val="24"/>
              </w:rPr>
              <w:t xml:space="preserve"> vrijednosnih papira ili institucija povezane sa središnjim </w:t>
            </w:r>
            <w:proofErr w:type="spellStart"/>
            <w:r>
              <w:rPr>
                <w:rFonts w:ascii="Times New Roman" w:hAnsi="Times New Roman"/>
                <w:bCs/>
                <w:sz w:val="24"/>
                <w:szCs w:val="24"/>
              </w:rPr>
              <w:t>depozitorijima</w:t>
            </w:r>
            <w:proofErr w:type="spellEnd"/>
            <w:r>
              <w:rPr>
                <w:rFonts w:ascii="Times New Roman" w:hAnsi="Times New Roman"/>
                <w:bCs/>
                <w:sz w:val="24"/>
                <w:szCs w:val="24"/>
              </w:rPr>
              <w:t xml:space="preserve"> vrijednosnih papira koje se mogu isključiti u skladu s člankom 429.a stavkom 1. točkom (o) CRR-a.</w:t>
            </w:r>
          </w:p>
          <w:p w14:paraId="11D0BFC3" w14:textId="77777777" w:rsidR="000A7015" w:rsidRPr="007F4CC8" w:rsidRDefault="000A7015" w:rsidP="001E06A3">
            <w:pPr>
              <w:pStyle w:val="BodyText1"/>
              <w:spacing w:after="120" w:line="240" w:lineRule="auto"/>
              <w:rPr>
                <w:rFonts w:ascii="Times New Roman" w:eastAsia="Book Antiqua" w:hAnsi="Times New Roman"/>
                <w:sz w:val="24"/>
                <w:szCs w:val="24"/>
              </w:rPr>
            </w:pPr>
            <w:r>
              <w:rPr>
                <w:rFonts w:ascii="Times New Roman" w:hAnsi="Times New Roman"/>
                <w:sz w:val="24"/>
                <w:szCs w:val="24"/>
              </w:rPr>
              <w:t>Budući da se ovim iznosom umanjuje mjera ukupne izloženosti, institucije vrijednost u ovom retku stavljaju u zagrade (negativan iznos).</w:t>
            </w:r>
          </w:p>
        </w:tc>
      </w:tr>
      <w:tr w:rsidR="000A7015" w:rsidRPr="007F4CC8" w14:paraId="51A32962" w14:textId="77777777" w:rsidTr="001E06A3">
        <w:trPr>
          <w:trHeight w:val="895"/>
        </w:trPr>
        <w:tc>
          <w:tcPr>
            <w:tcW w:w="1384" w:type="dxa"/>
            <w:vAlign w:val="center"/>
          </w:tcPr>
          <w:p w14:paraId="4E97D8D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EU-22i</w:t>
            </w:r>
          </w:p>
        </w:tc>
        <w:tc>
          <w:tcPr>
            <w:tcW w:w="7655" w:type="dxa"/>
          </w:tcPr>
          <w:p w14:paraId="32666F9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(Isključene usluge imenovanih institucija povezane sa središnjim </w:t>
            </w:r>
            <w:proofErr w:type="spellStart"/>
            <w:r>
              <w:rPr>
                <w:rFonts w:ascii="Times New Roman" w:hAnsi="Times New Roman"/>
                <w:b/>
                <w:sz w:val="24"/>
                <w:szCs w:val="24"/>
              </w:rPr>
              <w:t>depozitorijima</w:t>
            </w:r>
            <w:proofErr w:type="spellEnd"/>
            <w:r>
              <w:rPr>
                <w:rFonts w:ascii="Times New Roman" w:hAnsi="Times New Roman"/>
                <w:b/>
                <w:sz w:val="24"/>
                <w:szCs w:val="24"/>
              </w:rPr>
              <w:t xml:space="preserve"> vrijednosnih papira u skladu s člankom 429.a stavkom 1. točkom (p) CRR-a)</w:t>
            </w:r>
          </w:p>
          <w:p w14:paraId="1ED3081C"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Članak 429.a stavak 1. točka (p) CRR-a</w:t>
            </w:r>
          </w:p>
          <w:p w14:paraId="20EAEC5F"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 xml:space="preserve">Usluge imenovanih institucija povezane sa središnjim </w:t>
            </w:r>
            <w:proofErr w:type="spellStart"/>
            <w:r>
              <w:rPr>
                <w:rFonts w:ascii="Times New Roman" w:hAnsi="Times New Roman"/>
                <w:sz w:val="24"/>
                <w:szCs w:val="24"/>
              </w:rPr>
              <w:t>depozitorijima</w:t>
            </w:r>
            <w:proofErr w:type="spellEnd"/>
            <w:r>
              <w:rPr>
                <w:rFonts w:ascii="Times New Roman" w:hAnsi="Times New Roman"/>
                <w:sz w:val="24"/>
                <w:szCs w:val="24"/>
              </w:rPr>
              <w:t xml:space="preserve"> vrijednosnih papira koje se mogu isključiti u skladu s člankom 429.a stavkom 1. točkom (p) CRR-a.</w:t>
            </w:r>
          </w:p>
          <w:p w14:paraId="6F7AB5F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Budući da se ovim iznosom umanjuje mjera ukupne izloženosti, institucije vrijednost u ovom retku stavljaju u zagrade (negativan iznos).</w:t>
            </w:r>
          </w:p>
        </w:tc>
      </w:tr>
      <w:tr w:rsidR="000A7015" w:rsidRPr="007F4CC8" w14:paraId="2BB71652" w14:textId="77777777" w:rsidTr="001E06A3">
        <w:trPr>
          <w:trHeight w:val="1535"/>
        </w:trPr>
        <w:tc>
          <w:tcPr>
            <w:tcW w:w="1384" w:type="dxa"/>
            <w:vAlign w:val="center"/>
          </w:tcPr>
          <w:p w14:paraId="7B77630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EU-22j</w:t>
            </w:r>
          </w:p>
        </w:tc>
        <w:tc>
          <w:tcPr>
            <w:tcW w:w="7655" w:type="dxa"/>
          </w:tcPr>
          <w:p w14:paraId="2E1FCA62" w14:textId="77777777" w:rsidR="000A7015" w:rsidRPr="007F4CC8" w:rsidRDefault="000A7015" w:rsidP="001E06A3">
            <w:pPr>
              <w:pStyle w:val="BodyText1"/>
              <w:spacing w:after="120" w:line="240" w:lineRule="auto"/>
              <w:rPr>
                <w:rFonts w:ascii="Times New Roman" w:hAnsi="Times New Roman"/>
                <w:b/>
                <w:bCs/>
                <w:sz w:val="24"/>
                <w:szCs w:val="24"/>
              </w:rPr>
            </w:pPr>
            <w:r>
              <w:rPr>
                <w:rFonts w:ascii="Times New Roman" w:hAnsi="Times New Roman"/>
                <w:b/>
                <w:bCs/>
                <w:sz w:val="24"/>
                <w:szCs w:val="24"/>
              </w:rPr>
              <w:t xml:space="preserve">(Umanjenje vrijednosti izloženosti kredita za </w:t>
            </w:r>
            <w:proofErr w:type="spellStart"/>
            <w:r>
              <w:rPr>
                <w:rFonts w:ascii="Times New Roman" w:hAnsi="Times New Roman"/>
                <w:b/>
                <w:bCs/>
                <w:sz w:val="24"/>
                <w:szCs w:val="24"/>
              </w:rPr>
              <w:t>pretfinanciranje</w:t>
            </w:r>
            <w:proofErr w:type="spellEnd"/>
            <w:r>
              <w:rPr>
                <w:rFonts w:ascii="Times New Roman" w:hAnsi="Times New Roman"/>
                <w:b/>
                <w:bCs/>
                <w:sz w:val="24"/>
                <w:szCs w:val="24"/>
              </w:rPr>
              <w:t xml:space="preserve"> ili </w:t>
            </w:r>
            <w:proofErr w:type="spellStart"/>
            <w:r>
              <w:rPr>
                <w:rFonts w:ascii="Times New Roman" w:hAnsi="Times New Roman"/>
                <w:b/>
                <w:bCs/>
                <w:sz w:val="24"/>
                <w:szCs w:val="24"/>
              </w:rPr>
              <w:t>međukredita</w:t>
            </w:r>
            <w:proofErr w:type="spellEnd"/>
            <w:r>
              <w:rPr>
                <w:rFonts w:ascii="Times New Roman" w:hAnsi="Times New Roman"/>
                <w:b/>
                <w:bCs/>
                <w:sz w:val="24"/>
                <w:szCs w:val="24"/>
              </w:rPr>
              <w:t xml:space="preserve">) </w:t>
            </w:r>
          </w:p>
          <w:p w14:paraId="14A3D15E"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Članak 429. stavak 8. CRR-a</w:t>
            </w:r>
          </w:p>
          <w:p w14:paraId="6BA3CCBA"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 xml:space="preserve">Iznos umanjenja vrijednosti izloženosti kredita za </w:t>
            </w:r>
            <w:proofErr w:type="spellStart"/>
            <w:r>
              <w:rPr>
                <w:rFonts w:ascii="Times New Roman" w:hAnsi="Times New Roman"/>
                <w:bCs/>
                <w:sz w:val="24"/>
                <w:szCs w:val="24"/>
              </w:rPr>
              <w:t>pretfinanciranje</w:t>
            </w:r>
            <w:proofErr w:type="spellEnd"/>
            <w:r>
              <w:rPr>
                <w:rFonts w:ascii="Times New Roman" w:hAnsi="Times New Roman"/>
                <w:bCs/>
                <w:sz w:val="24"/>
                <w:szCs w:val="24"/>
              </w:rPr>
              <w:t xml:space="preserve"> ili </w:t>
            </w:r>
            <w:proofErr w:type="spellStart"/>
            <w:r>
              <w:rPr>
                <w:rFonts w:ascii="Times New Roman" w:hAnsi="Times New Roman"/>
                <w:bCs/>
                <w:sz w:val="24"/>
                <w:szCs w:val="24"/>
              </w:rPr>
              <w:t>međukredita</w:t>
            </w:r>
            <w:proofErr w:type="spellEnd"/>
            <w:r>
              <w:rPr>
                <w:rFonts w:ascii="Times New Roman" w:hAnsi="Times New Roman"/>
                <w:bCs/>
                <w:sz w:val="24"/>
                <w:szCs w:val="24"/>
              </w:rPr>
              <w:t>, u skladu s člankom 429. stavkom 8. CRR-a.</w:t>
            </w:r>
          </w:p>
          <w:p w14:paraId="05F1E3A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Budući da se ovim iznosom umanjuje mjera ukupne izloženosti, institucije vrijednost u ovom retku stavljaju u zagrade (negativan iznos).</w:t>
            </w:r>
          </w:p>
        </w:tc>
      </w:tr>
      <w:tr w:rsidR="000A7015" w:rsidRPr="007F4CC8" w14:paraId="6B300FD3" w14:textId="77777777" w:rsidTr="001E06A3">
        <w:trPr>
          <w:trHeight w:val="1448"/>
        </w:trPr>
        <w:tc>
          <w:tcPr>
            <w:tcW w:w="1384" w:type="dxa"/>
            <w:vAlign w:val="center"/>
          </w:tcPr>
          <w:p w14:paraId="29E0186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EU-22k</w:t>
            </w:r>
          </w:p>
        </w:tc>
        <w:tc>
          <w:tcPr>
            <w:tcW w:w="7655" w:type="dxa"/>
          </w:tcPr>
          <w:p w14:paraId="15155F1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(Ukupne isključene izloženosti)</w:t>
            </w:r>
          </w:p>
          <w:p w14:paraId="6FECF0B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Zbroj redaka od EU-22a do EU-22j</w:t>
            </w:r>
          </w:p>
          <w:p w14:paraId="6FDC22C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Budući da se ovim iznosom umanjuje mjera ukupne izloženosti, institucije vrijednost u ovom retku stavljaju u zagrade (negativan iznos).</w:t>
            </w:r>
          </w:p>
        </w:tc>
      </w:tr>
      <w:tr w:rsidR="000A7015" w:rsidRPr="007F4CC8" w14:paraId="1392DA79" w14:textId="77777777" w:rsidTr="001E06A3">
        <w:trPr>
          <w:trHeight w:val="2265"/>
        </w:trPr>
        <w:tc>
          <w:tcPr>
            <w:tcW w:w="1384" w:type="dxa"/>
            <w:vAlign w:val="center"/>
          </w:tcPr>
          <w:p w14:paraId="2DDC0D8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23</w:t>
            </w:r>
          </w:p>
        </w:tc>
        <w:tc>
          <w:tcPr>
            <w:tcW w:w="7655" w:type="dxa"/>
          </w:tcPr>
          <w:p w14:paraId="6DFF17C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Osnovni kapital</w:t>
            </w:r>
          </w:p>
          <w:p w14:paraId="6E4123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Članak 429. stavak 3., članak 499. stavci 1. i 2. CRR-a</w:t>
            </w:r>
          </w:p>
          <w:p w14:paraId="53E9EB0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objavljuju iznos osnovnog kapitala koji se izračunava na temelju odluke koju je institucija donijela u skladu s člankom 499. stavkom 2. CRR-a, kako je objavljen u retku EU-27 obrasca EU </w:t>
            </w:r>
            <w:r>
              <w:rPr>
                <w:rFonts w:ascii="Times New Roman" w:hAnsi="Times New Roman"/>
                <w:color w:val="000000"/>
                <w:sz w:val="24"/>
                <w:szCs w:val="24"/>
              </w:rPr>
              <w:t xml:space="preserve">LR2 - </w:t>
            </w:r>
            <w:proofErr w:type="spellStart"/>
            <w:r>
              <w:rPr>
                <w:rFonts w:ascii="Times New Roman" w:hAnsi="Times New Roman"/>
                <w:sz w:val="24"/>
                <w:szCs w:val="24"/>
              </w:rPr>
              <w:t>LRCom</w:t>
            </w:r>
            <w:proofErr w:type="spellEnd"/>
            <w:r>
              <w:rPr>
                <w:rFonts w:ascii="Times New Roman" w:hAnsi="Times New Roman"/>
                <w:sz w:val="24"/>
                <w:szCs w:val="24"/>
              </w:rPr>
              <w:t>.</w:t>
            </w:r>
          </w:p>
          <w:p w14:paraId="4FE9845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Konkretno, ako odluči objaviti osnovni kapital u skladu s člankom 499. stavkom 1. točkom (a) CRR-a, institucija objavljuje iznos osnovnog kapitala kako se izračunava u skladu s člankom 25. CRR-a, ne uzimajući u obzir odstupanja iz dijela desetog glave I. poglavlja 1. i 2. CRR-a.</w:t>
            </w:r>
          </w:p>
          <w:p w14:paraId="4C87DF6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S druge strane, ako odluči objaviti osnovni kapital u skladu s člankom 499. stavkom 1. točkom (b) CRR-a, institucija objavljuje iznos osnovnog kapitala kako se izračunava u skladu s člankom 25. CRR-a nakon što uzme u obzir odstupanja iz dijela desetog glave I. poglavlja 1. i 2. CRR-a.</w:t>
            </w:r>
          </w:p>
        </w:tc>
      </w:tr>
      <w:tr w:rsidR="000A7015" w:rsidRPr="007F4CC8" w14:paraId="752FE115" w14:textId="77777777" w:rsidTr="001E06A3">
        <w:trPr>
          <w:trHeight w:val="685"/>
        </w:trPr>
        <w:tc>
          <w:tcPr>
            <w:tcW w:w="1384" w:type="dxa"/>
            <w:vAlign w:val="center"/>
          </w:tcPr>
          <w:p w14:paraId="03D41C3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24</w:t>
            </w:r>
          </w:p>
        </w:tc>
        <w:tc>
          <w:tcPr>
            <w:tcW w:w="7655" w:type="dxa"/>
          </w:tcPr>
          <w:p w14:paraId="7B4A3B2B"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Mjera ukupne izloženosti </w:t>
            </w:r>
          </w:p>
          <w:p w14:paraId="69CCE9BD"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Zbroj iznosa iz redaka 7, 13, 18, 22 i EU-22k obrasca</w:t>
            </w:r>
            <w:r>
              <w:rPr>
                <w:rStyle w:val="TeksttreciPogrubienie"/>
                <w:rFonts w:ascii="Times New Roman" w:hAnsi="Times New Roman"/>
                <w:sz w:val="24"/>
                <w:szCs w:val="24"/>
              </w:rPr>
              <w:t xml:space="preserve"> </w:t>
            </w:r>
            <w:r>
              <w:rPr>
                <w:rFonts w:ascii="Times New Roman" w:hAnsi="Times New Roman"/>
                <w:sz w:val="24"/>
                <w:szCs w:val="24"/>
              </w:rPr>
              <w:t xml:space="preserve">EU </w:t>
            </w:r>
            <w:r>
              <w:rPr>
                <w:rFonts w:ascii="Times New Roman" w:hAnsi="Times New Roman"/>
                <w:color w:val="000000"/>
                <w:sz w:val="24"/>
                <w:szCs w:val="24"/>
              </w:rPr>
              <w:t xml:space="preserve">LR2 - </w:t>
            </w:r>
            <w:proofErr w:type="spellStart"/>
            <w:r>
              <w:rPr>
                <w:rFonts w:ascii="Times New Roman" w:hAnsi="Times New Roman"/>
                <w:sz w:val="24"/>
                <w:szCs w:val="24"/>
              </w:rPr>
              <w:t>LRCom</w:t>
            </w:r>
            <w:proofErr w:type="spellEnd"/>
          </w:p>
        </w:tc>
      </w:tr>
      <w:tr w:rsidR="000A7015" w:rsidRPr="007F4CC8" w14:paraId="38E4A8BB" w14:textId="77777777" w:rsidTr="001E06A3">
        <w:trPr>
          <w:trHeight w:val="1164"/>
        </w:trPr>
        <w:tc>
          <w:tcPr>
            <w:tcW w:w="1384" w:type="dxa"/>
            <w:vAlign w:val="center"/>
          </w:tcPr>
          <w:p w14:paraId="48DAD24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25</w:t>
            </w:r>
          </w:p>
        </w:tc>
        <w:tc>
          <w:tcPr>
            <w:tcW w:w="7655" w:type="dxa"/>
          </w:tcPr>
          <w:p w14:paraId="0DC193C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Omjer financijske poluge (%)</w:t>
            </w:r>
          </w:p>
          <w:p w14:paraId="564F3D04"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 xml:space="preserve">Institucije objavljuju iznos iz retka 23 obrasca EU </w:t>
            </w:r>
            <w:r>
              <w:rPr>
                <w:rFonts w:ascii="Times New Roman" w:hAnsi="Times New Roman"/>
                <w:color w:val="000000"/>
                <w:sz w:val="24"/>
                <w:szCs w:val="24"/>
              </w:rPr>
              <w:t xml:space="preserve">LR2 - </w:t>
            </w:r>
            <w:proofErr w:type="spellStart"/>
            <w:r>
              <w:rPr>
                <w:rFonts w:ascii="Times New Roman" w:hAnsi="Times New Roman"/>
                <w:sz w:val="24"/>
                <w:szCs w:val="24"/>
              </w:rPr>
              <w:t>LRCom</w:t>
            </w:r>
            <w:proofErr w:type="spellEnd"/>
            <w:r>
              <w:rPr>
                <w:rFonts w:ascii="Times New Roman" w:hAnsi="Times New Roman"/>
                <w:sz w:val="24"/>
                <w:szCs w:val="24"/>
              </w:rPr>
              <w:t xml:space="preserve"> izražen kao postotak iznosa iz retka 24 obrasca EU </w:t>
            </w:r>
            <w:r>
              <w:rPr>
                <w:rFonts w:ascii="Times New Roman" w:hAnsi="Times New Roman"/>
                <w:color w:val="000000"/>
                <w:sz w:val="24"/>
                <w:szCs w:val="24"/>
              </w:rPr>
              <w:t xml:space="preserve">LR2 - </w:t>
            </w:r>
            <w:proofErr w:type="spellStart"/>
            <w:r>
              <w:rPr>
                <w:rFonts w:ascii="Times New Roman" w:hAnsi="Times New Roman"/>
                <w:sz w:val="24"/>
                <w:szCs w:val="24"/>
              </w:rPr>
              <w:t>LRCom</w:t>
            </w:r>
            <w:proofErr w:type="spellEnd"/>
            <w:r>
              <w:rPr>
                <w:rFonts w:ascii="Times New Roman" w:hAnsi="Times New Roman"/>
                <w:sz w:val="24"/>
                <w:szCs w:val="24"/>
              </w:rPr>
              <w:t>.</w:t>
            </w:r>
          </w:p>
        </w:tc>
      </w:tr>
      <w:tr w:rsidR="000A7015" w:rsidRPr="007F4CC8" w14:paraId="1105BC2F" w14:textId="77777777" w:rsidTr="001E06A3">
        <w:trPr>
          <w:trHeight w:val="1890"/>
        </w:trPr>
        <w:tc>
          <w:tcPr>
            <w:tcW w:w="1384" w:type="dxa"/>
            <w:vAlign w:val="center"/>
          </w:tcPr>
          <w:p w14:paraId="3729E57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EU-25</w:t>
            </w:r>
          </w:p>
        </w:tc>
        <w:tc>
          <w:tcPr>
            <w:tcW w:w="7655" w:type="dxa"/>
          </w:tcPr>
          <w:p w14:paraId="5D544C9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Omjer financijske poluge (isključujući učinak izuzeća ulaganja javnog sektora i promotivnih kredita) (%)</w:t>
            </w:r>
          </w:p>
          <w:p w14:paraId="060BE2B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U skladu s člankom 451. stavkom 2. CRR-a, javne razvojne kreditne institucije kako su definirane u članku 429.a stavku 2. CRR-a objavljuju omjer financijske poluge bez usklađenja mjere ukupne izloženosti utvrđene u skladu s člankom 429.a stavkom 1. točkom (d) CRR-a, tj. usklađenja koje je objavljeno u redcima EU-22c i EU-22d ovog obrasca.</w:t>
            </w:r>
          </w:p>
        </w:tc>
      </w:tr>
      <w:tr w:rsidR="000A7015" w:rsidRPr="007F4CC8" w14:paraId="158AC438" w14:textId="77777777" w:rsidTr="001E06A3">
        <w:trPr>
          <w:trHeight w:val="2265"/>
        </w:trPr>
        <w:tc>
          <w:tcPr>
            <w:tcW w:w="1384" w:type="dxa"/>
            <w:vAlign w:val="center"/>
          </w:tcPr>
          <w:p w14:paraId="24111CE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25a</w:t>
            </w:r>
          </w:p>
        </w:tc>
        <w:tc>
          <w:tcPr>
            <w:tcW w:w="7655" w:type="dxa"/>
            <w:vAlign w:val="center"/>
          </w:tcPr>
          <w:p w14:paraId="3F8ED53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Omjer financijske poluge (isključujući učinak svakog primjenjivog privremenog izuzeća rezervi središnje banke) (%)</w:t>
            </w:r>
          </w:p>
          <w:p w14:paraId="659645C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Ako mjera ukupne izloženosti institucije podliježe privremenom izuzeću rezervi središnje banke iz članka 429.a stavka 1. točke (n) CRR-a, taj je omjer definiran kao mjera osnovnog kapitala podijeljeno zbrojem mjere ukupne izloženosti i iznosa izuzeća rezervi središnje banke, pri čemu se taj omjer izražava kao postotak.</w:t>
            </w:r>
          </w:p>
          <w:p w14:paraId="51005A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Ako mjera ukupne izloženosti institucije ne podliježe privremenom izuzeću rezervi središnje banke, taj omjer će biti jednak omjeru objavljenom u retku 25.</w:t>
            </w:r>
          </w:p>
        </w:tc>
      </w:tr>
      <w:tr w:rsidR="000A7015" w:rsidRPr="007F4CC8" w14:paraId="7CDDE3FF" w14:textId="77777777" w:rsidTr="001E06A3">
        <w:trPr>
          <w:trHeight w:val="1152"/>
        </w:trPr>
        <w:tc>
          <w:tcPr>
            <w:tcW w:w="1384" w:type="dxa"/>
            <w:vAlign w:val="center"/>
          </w:tcPr>
          <w:p w14:paraId="07964D9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26</w:t>
            </w:r>
          </w:p>
        </w:tc>
        <w:tc>
          <w:tcPr>
            <w:tcW w:w="7655" w:type="dxa"/>
            <w:vAlign w:val="center"/>
          </w:tcPr>
          <w:p w14:paraId="2C2C85DC"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Regulatorni zahtjev za minimalni omjer financijske poluge (%)</w:t>
            </w:r>
          </w:p>
          <w:p w14:paraId="43180C22" w14:textId="77777777" w:rsidR="000A7015" w:rsidRPr="007F4CC8" w:rsidRDefault="000A7015" w:rsidP="001E06A3">
            <w:pPr>
              <w:widowControl w:val="0"/>
              <w:spacing w:after="120"/>
              <w:jc w:val="both"/>
              <w:rPr>
                <w:rFonts w:ascii="Times New Roman" w:eastAsia="Book Antiqua" w:hAnsi="Times New Roman" w:cs="Times New Roman"/>
                <w:bCs/>
                <w:color w:val="000000"/>
                <w:sz w:val="24"/>
                <w:shd w:val="clear" w:color="auto" w:fill="FFFFFF"/>
              </w:rPr>
            </w:pPr>
            <w:r>
              <w:rPr>
                <w:rFonts w:ascii="Times New Roman" w:hAnsi="Times New Roman"/>
                <w:sz w:val="24"/>
              </w:rPr>
              <w:t xml:space="preserve">Članak 92. stavak 1. točka (d), </w:t>
            </w:r>
            <w:r>
              <w:rPr>
                <w:rFonts w:ascii="Times New Roman" w:hAnsi="Times New Roman"/>
                <w:bCs/>
                <w:color w:val="000000"/>
                <w:sz w:val="24"/>
                <w:shd w:val="clear" w:color="auto" w:fill="FFFFFF"/>
              </w:rPr>
              <w:t>članak 429.a stavak 1. točka (n) i članak 429.a stavak 7. CRR-a</w:t>
            </w:r>
          </w:p>
          <w:p w14:paraId="0C964B92" w14:textId="501F5383" w:rsidR="000A7015" w:rsidRPr="007F4CC8" w:rsidRDefault="000A7015" w:rsidP="001E06A3">
            <w:pPr>
              <w:tabs>
                <w:tab w:val="left" w:pos="400"/>
              </w:tabs>
              <w:spacing w:after="120"/>
              <w:jc w:val="both"/>
              <w:rPr>
                <w:rFonts w:ascii="Times New Roman" w:hAnsi="Times New Roman" w:cs="Times New Roman"/>
                <w:sz w:val="24"/>
                <w:u w:val="single"/>
              </w:rPr>
            </w:pPr>
            <w:r>
              <w:rPr>
                <w:rFonts w:ascii="Times New Roman" w:hAnsi="Times New Roman"/>
                <w:bCs/>
                <w:color w:val="000000"/>
                <w:sz w:val="24"/>
                <w:shd w:val="clear" w:color="auto" w:fill="FFFFFF"/>
              </w:rPr>
              <w:t>Institucije objavljuju zahtjev za omjer financijske poluge kako je utvrđeno u članku 92. stavku 1. točki (d) CRR-a. Ako isključuje izloženosti iz članka 429. a stavka 1. točke (n) CRR-a, institucija objavljuje prilagođeni zahtjev za omjer financijske poluge koji se izračunava u skladu s člankom 429.a stavkom 7. CRR-a.</w:t>
            </w:r>
          </w:p>
        </w:tc>
      </w:tr>
      <w:tr w:rsidR="000A7015" w:rsidRPr="007F4CC8" w14:paraId="72CE026C" w14:textId="77777777" w:rsidTr="001E06A3">
        <w:trPr>
          <w:trHeight w:val="1792"/>
        </w:trPr>
        <w:tc>
          <w:tcPr>
            <w:tcW w:w="1384" w:type="dxa"/>
            <w:vAlign w:val="center"/>
          </w:tcPr>
          <w:p w14:paraId="6780A42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EU-26a</w:t>
            </w:r>
          </w:p>
        </w:tc>
        <w:tc>
          <w:tcPr>
            <w:tcW w:w="7655" w:type="dxa"/>
          </w:tcPr>
          <w:p w14:paraId="4D27139C" w14:textId="7BD36F6C" w:rsidR="000A7015" w:rsidRPr="007F4CC8"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b/>
                <w:sz w:val="24"/>
                <w:szCs w:val="24"/>
              </w:rPr>
              <w:t xml:space="preserve">Dodatni kapitalni zahtjevi za upravljanje rizikom prekomjerne financijske poluge (%) </w:t>
            </w:r>
          </w:p>
          <w:p w14:paraId="6F282987" w14:textId="2DE9F86C"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Dodatni kapitalni zahtjevi za upravljanje rizikom prekomjerne financijske poluge koje je nadležno tijelo odredilo u skladu s člankom 104. stavkom 1. točkom (a) Direktive 2013/36/EU („CRD”), izraženi kao postotak mjere ukupne izloženosti.</w:t>
            </w:r>
          </w:p>
        </w:tc>
      </w:tr>
      <w:tr w:rsidR="000A7015" w:rsidRPr="007F4CC8" w14:paraId="7C79E05D" w14:textId="77777777" w:rsidTr="001E06A3">
        <w:trPr>
          <w:trHeight w:val="1691"/>
        </w:trPr>
        <w:tc>
          <w:tcPr>
            <w:tcW w:w="1384" w:type="dxa"/>
            <w:vAlign w:val="center"/>
          </w:tcPr>
          <w:p w14:paraId="643FD61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EU-26b</w:t>
            </w:r>
          </w:p>
        </w:tc>
        <w:tc>
          <w:tcPr>
            <w:tcW w:w="7655" w:type="dxa"/>
          </w:tcPr>
          <w:p w14:paraId="0005A0CE" w14:textId="719FCF4C" w:rsidR="000A7015" w:rsidRPr="007F4CC8" w:rsidRDefault="00084D8B"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  </w:t>
            </w:r>
            <w:r>
              <w:rPr>
                <w:rFonts w:ascii="Times New Roman" w:hAnsi="Times New Roman"/>
                <w:b/>
                <w:sz w:val="24"/>
              </w:rPr>
              <w:t>Od čega: koji se sastoji od redovnog osnovnog kapitala (postotni bodovi)</w:t>
            </w:r>
          </w:p>
          <w:p w14:paraId="72F6ADE3" w14:textId="77777777" w:rsidR="000A7015" w:rsidRPr="007F4CC8" w:rsidRDefault="000A7015" w:rsidP="001E06A3">
            <w:pPr>
              <w:spacing w:after="120"/>
              <w:jc w:val="both"/>
              <w:rPr>
                <w:rFonts w:ascii="Times New Roman" w:hAnsi="Times New Roman" w:cs="Times New Roman"/>
                <w:b/>
                <w:sz w:val="24"/>
              </w:rPr>
            </w:pPr>
            <w:r>
              <w:rPr>
                <w:rFonts w:ascii="Times New Roman" w:hAnsi="Times New Roman"/>
                <w:sz w:val="24"/>
              </w:rPr>
              <w:t>Dio dodatnih kapitalnih zahtjeva za upravljanje rizikom prekomjerne financijske poluge koje je nadležno tijelo odredilo u skladu s člankom 104. stavkom 1. točkom (a) CRD-a, koji mora biti ispunjen redovnim osnovnim kapitalom u skladu s člankom 104.a stavkom 4. trećim podstavkom.</w:t>
            </w:r>
          </w:p>
        </w:tc>
      </w:tr>
      <w:tr w:rsidR="000A7015" w:rsidRPr="007F4CC8" w14:paraId="2A1B1C6A" w14:textId="77777777" w:rsidTr="001E06A3">
        <w:trPr>
          <w:trHeight w:val="1290"/>
        </w:trPr>
        <w:tc>
          <w:tcPr>
            <w:tcW w:w="1384" w:type="dxa"/>
            <w:vAlign w:val="center"/>
          </w:tcPr>
          <w:p w14:paraId="6AA143F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27</w:t>
            </w:r>
          </w:p>
        </w:tc>
        <w:tc>
          <w:tcPr>
            <w:tcW w:w="7655" w:type="dxa"/>
          </w:tcPr>
          <w:p w14:paraId="47BA835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Zahtjev za zaštitni sloj omjera financijske poluge (%)</w:t>
            </w:r>
          </w:p>
          <w:p w14:paraId="594DD4E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Članak 92. stavak 1.a CRR-a</w:t>
            </w:r>
          </w:p>
          <w:p w14:paraId="19ECBCF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u w:val="single"/>
              </w:rPr>
            </w:pPr>
            <w:r>
              <w:rPr>
                <w:rFonts w:ascii="Times New Roman" w:hAnsi="Times New Roman"/>
                <w:sz w:val="24"/>
                <w:szCs w:val="24"/>
              </w:rPr>
              <w:t>Institucije na koje se primjenjuje članak 92. stavak 1.a CRR-a objavljuju svoj primjenjivi zahtjev za zaštitni sloj omjera financijske poluge.</w:t>
            </w:r>
          </w:p>
        </w:tc>
      </w:tr>
      <w:tr w:rsidR="000A7015" w:rsidRPr="007F4CC8" w14:paraId="1BF6578D" w14:textId="77777777" w:rsidTr="001E06A3">
        <w:trPr>
          <w:trHeight w:val="816"/>
        </w:trPr>
        <w:tc>
          <w:tcPr>
            <w:tcW w:w="1384" w:type="dxa"/>
            <w:vAlign w:val="center"/>
          </w:tcPr>
          <w:p w14:paraId="6D1DD49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EU-27a</w:t>
            </w:r>
          </w:p>
        </w:tc>
        <w:tc>
          <w:tcPr>
            <w:tcW w:w="7655" w:type="dxa"/>
          </w:tcPr>
          <w:p w14:paraId="2C70922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Sveukupni zahtjev za omjer financijske poluge (%)</w:t>
            </w:r>
          </w:p>
          <w:p w14:paraId="75A37CC4" w14:textId="77777777" w:rsidR="000A7015" w:rsidRPr="007F4CC8" w:rsidDel="00C013A0"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Zbroj iznosa iz redaka 26, EU-26a i 27 ovog obrasca</w:t>
            </w:r>
          </w:p>
        </w:tc>
      </w:tr>
      <w:tr w:rsidR="000A7015" w:rsidRPr="007F4CC8" w14:paraId="4F3B949F" w14:textId="77777777" w:rsidTr="001E06A3">
        <w:trPr>
          <w:trHeight w:val="416"/>
        </w:trPr>
        <w:tc>
          <w:tcPr>
            <w:tcW w:w="1384" w:type="dxa"/>
            <w:vAlign w:val="center"/>
          </w:tcPr>
          <w:p w14:paraId="548988E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EU-27b</w:t>
            </w:r>
          </w:p>
        </w:tc>
        <w:tc>
          <w:tcPr>
            <w:tcW w:w="7655" w:type="dxa"/>
          </w:tcPr>
          <w:p w14:paraId="3B54CC3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Odabir prijelaznih aranžmana za definiciju mjere kapitala</w:t>
            </w:r>
          </w:p>
          <w:p w14:paraId="3F2C62A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Članak 499. stavak 2. CRR-a</w:t>
            </w:r>
          </w:p>
          <w:p w14:paraId="24D2863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Za potrebe zahtjeva za objavu institucije svoj odabir prijelaznih aranžmana za kapital navode objavom jedne od sljedećih oznaka:</w:t>
            </w:r>
          </w:p>
          <w:p w14:paraId="3B7430D1" w14:textId="77777777" w:rsidR="000A7015" w:rsidRPr="007F4CC8" w:rsidRDefault="000A7015" w:rsidP="00E70D84">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szCs w:val="24"/>
              </w:rPr>
              <w:t>„u potpunosti uvedeno” ako institucija odluči objaviti omjer financijske poluge u skladu s člankom 499. stavkom 1. točkom (a) CRR-a,</w:t>
            </w:r>
          </w:p>
          <w:p w14:paraId="7381A248" w14:textId="77777777" w:rsidR="000A7015" w:rsidRPr="007F4CC8" w:rsidRDefault="000A7015" w:rsidP="00E70D84">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szCs w:val="24"/>
              </w:rPr>
              <w:t>„prijelazna faza” ako institucija odluči objaviti omjer financijske poluge u skladu s člankom 499. stavkom 1. točkom (b) CRR-a.</w:t>
            </w:r>
          </w:p>
        </w:tc>
      </w:tr>
      <w:tr w:rsidR="000A7015" w:rsidRPr="007F4CC8" w14:paraId="3C022685" w14:textId="77777777" w:rsidTr="001E06A3">
        <w:trPr>
          <w:trHeight w:val="1461"/>
        </w:trPr>
        <w:tc>
          <w:tcPr>
            <w:tcW w:w="1384" w:type="dxa"/>
            <w:vAlign w:val="center"/>
          </w:tcPr>
          <w:p w14:paraId="3BC18A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 xml:space="preserve"> 28</w:t>
            </w:r>
          </w:p>
        </w:tc>
        <w:tc>
          <w:tcPr>
            <w:tcW w:w="7655" w:type="dxa"/>
            <w:vAlign w:val="center"/>
          </w:tcPr>
          <w:p w14:paraId="0AE487F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 xml:space="preserve">Srednje dnevne vrijednosti bruto imovine iz transakcija financiranja vrijednosnim papirima za transakcije koje se obračunavaju kao prodaja i </w:t>
            </w:r>
            <w:proofErr w:type="spellStart"/>
            <w:r>
              <w:rPr>
                <w:rStyle w:val="TeksttreciPogrubienie"/>
                <w:rFonts w:ascii="Times New Roman" w:hAnsi="Times New Roman"/>
                <w:sz w:val="24"/>
                <w:szCs w:val="24"/>
              </w:rPr>
              <w:t>netirani</w:t>
            </w:r>
            <w:proofErr w:type="spellEnd"/>
            <w:r>
              <w:rPr>
                <w:rStyle w:val="TeksttreciPogrubienie"/>
                <w:rFonts w:ascii="Times New Roman" w:hAnsi="Times New Roman"/>
                <w:sz w:val="24"/>
                <w:szCs w:val="24"/>
              </w:rPr>
              <w:t xml:space="preserve"> iznosi povezanih gotovinskih obveza i potraživanja</w:t>
            </w:r>
          </w:p>
          <w:p w14:paraId="7C3FF0B4"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Članak 451. stavak 3. CRR-a; srednja vrijednost zbrojeva redaka14 i 15, na temelju zbrojeva koji se izračunavaju svaki dan tromjesečja objave</w:t>
            </w:r>
          </w:p>
        </w:tc>
      </w:tr>
      <w:tr w:rsidR="000A7015" w:rsidRPr="007F4CC8" w14:paraId="54190E4C" w14:textId="77777777" w:rsidTr="001E06A3">
        <w:trPr>
          <w:trHeight w:val="2265"/>
        </w:trPr>
        <w:tc>
          <w:tcPr>
            <w:tcW w:w="1384" w:type="dxa"/>
            <w:vAlign w:val="center"/>
          </w:tcPr>
          <w:p w14:paraId="398CA35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29</w:t>
            </w:r>
          </w:p>
        </w:tc>
        <w:tc>
          <w:tcPr>
            <w:tcW w:w="7655" w:type="dxa"/>
            <w:vAlign w:val="center"/>
          </w:tcPr>
          <w:p w14:paraId="6363377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Vrijednost bruto imovine iz transakcija financiranja vrijednosnim papirima na kraju tromjesečja, nakon usklađenja za transakcije koje se obračunavaju kao prodaja i </w:t>
            </w:r>
            <w:proofErr w:type="spellStart"/>
            <w:r>
              <w:rPr>
                <w:rStyle w:val="TeksttreciPogrubienie"/>
                <w:rFonts w:ascii="Times New Roman" w:hAnsi="Times New Roman"/>
                <w:sz w:val="24"/>
                <w:szCs w:val="24"/>
              </w:rPr>
              <w:t>netiranih</w:t>
            </w:r>
            <w:proofErr w:type="spellEnd"/>
            <w:r>
              <w:rPr>
                <w:rStyle w:val="TeksttreciPogrubienie"/>
                <w:rFonts w:ascii="Times New Roman" w:hAnsi="Times New Roman"/>
                <w:sz w:val="24"/>
                <w:szCs w:val="24"/>
              </w:rPr>
              <w:t xml:space="preserve"> iznosa povezanih gotovinskih obveza i potraživanja</w:t>
            </w:r>
          </w:p>
          <w:p w14:paraId="7052C709"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Ako se redci 14 i 15 temelje na vrijednostima na kraju tromjesečja, taj je iznos zbroj redaka 14 i 15.</w:t>
            </w:r>
          </w:p>
          <w:p w14:paraId="32AA8E1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Ako se redci 14 i 15 temelje na prosječnim vrijednostima, taj je iznos zbroj vrijednosti na kraju tromjesečja koje odgovaraju sadržaju redaka 14 i 15.</w:t>
            </w:r>
          </w:p>
        </w:tc>
      </w:tr>
      <w:tr w:rsidR="000A7015" w:rsidRPr="007F4CC8" w14:paraId="61BFF9E1" w14:textId="77777777" w:rsidTr="001E06A3">
        <w:trPr>
          <w:trHeight w:val="2265"/>
        </w:trPr>
        <w:tc>
          <w:tcPr>
            <w:tcW w:w="1384" w:type="dxa"/>
            <w:vAlign w:val="center"/>
          </w:tcPr>
          <w:p w14:paraId="6046579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30</w:t>
            </w:r>
          </w:p>
        </w:tc>
        <w:tc>
          <w:tcPr>
            <w:tcW w:w="7655" w:type="dxa"/>
            <w:vAlign w:val="center"/>
          </w:tcPr>
          <w:p w14:paraId="059A4D57"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Mjera ukupne izloženosti (uključujući učinak svakog primjenjivog privremenog izuzeća rezervi središnje banke) koja obuhvaća srednje vrijednosti iz retka 28 bruto imovine iz transakcija financiranja vrijednosnim papirima (nakon usklađenja za transakcije koje se obračunavaju kao prodaja i </w:t>
            </w:r>
            <w:proofErr w:type="spellStart"/>
            <w:r>
              <w:rPr>
                <w:rStyle w:val="TeksttreciPogrubienie"/>
                <w:rFonts w:ascii="Times New Roman" w:hAnsi="Times New Roman"/>
                <w:sz w:val="24"/>
                <w:szCs w:val="24"/>
              </w:rPr>
              <w:t>netiranih</w:t>
            </w:r>
            <w:proofErr w:type="spellEnd"/>
            <w:r>
              <w:rPr>
                <w:rStyle w:val="TeksttreciPogrubienie"/>
                <w:rFonts w:ascii="Times New Roman" w:hAnsi="Times New Roman"/>
                <w:sz w:val="24"/>
                <w:szCs w:val="24"/>
              </w:rPr>
              <w:t xml:space="preserve"> iznosa povezanih gotovinskih obveza i potraživanja)</w:t>
            </w:r>
          </w:p>
          <w:p w14:paraId="0B95B928"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Članak 451. stavak 3. CRR-a</w:t>
            </w:r>
          </w:p>
          <w:p w14:paraId="09ECF00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 xml:space="preserve">Mjera ukupne izloženosti (uključujući učinak svakog primjenjivog privremenog izuzeća rezervi središnje banke), primjenom srednjih vrijednosti koje se izračunavaju za svaki dan tromjesečna objave za iznose mjere izloženosti povezane s bruto imovinom iz transakcija financiranja vrijednosnim papirima (nakon usklađenja za transakcije koje se obračunavaju kao prodaja i </w:t>
            </w:r>
            <w:proofErr w:type="spellStart"/>
            <w:r>
              <w:rPr>
                <w:rStyle w:val="TeksttreciPogrubienie"/>
                <w:rFonts w:ascii="Times New Roman" w:hAnsi="Times New Roman"/>
                <w:b w:val="0"/>
                <w:sz w:val="24"/>
                <w:szCs w:val="24"/>
              </w:rPr>
              <w:t>netiranih</w:t>
            </w:r>
            <w:proofErr w:type="spellEnd"/>
            <w:r>
              <w:rPr>
                <w:rStyle w:val="TeksttreciPogrubienie"/>
                <w:rFonts w:ascii="Times New Roman" w:hAnsi="Times New Roman"/>
                <w:b w:val="0"/>
                <w:sz w:val="24"/>
                <w:szCs w:val="24"/>
              </w:rPr>
              <w:t xml:space="preserve"> iznosa povezanih gotovinskih obveza i potraživanja).</w:t>
            </w:r>
          </w:p>
        </w:tc>
      </w:tr>
      <w:tr w:rsidR="000A7015" w:rsidRPr="007F4CC8" w14:paraId="4801CD6B" w14:textId="77777777" w:rsidTr="001E06A3">
        <w:trPr>
          <w:trHeight w:val="2265"/>
        </w:trPr>
        <w:tc>
          <w:tcPr>
            <w:tcW w:w="1384" w:type="dxa"/>
            <w:vAlign w:val="center"/>
          </w:tcPr>
          <w:p w14:paraId="1CE20A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30a</w:t>
            </w:r>
          </w:p>
        </w:tc>
        <w:tc>
          <w:tcPr>
            <w:tcW w:w="7655" w:type="dxa"/>
            <w:vAlign w:val="center"/>
          </w:tcPr>
          <w:p w14:paraId="26B2E6F9"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Mjera ukupne izloženosti (isključujući učinak svakog primjenjivog privremenog izuzeća rezervi središnje banke) koja obuhvaća srednje vrijednosti iz retka 28 bruto imovine iz transakcija financiranja vrijednosnim papirima (nakon usklađenja za transakcije koje se obračunavaju kao prodaja i </w:t>
            </w:r>
            <w:proofErr w:type="spellStart"/>
            <w:r>
              <w:rPr>
                <w:rStyle w:val="TeksttreciPogrubienie"/>
                <w:rFonts w:ascii="Times New Roman" w:hAnsi="Times New Roman"/>
                <w:sz w:val="24"/>
                <w:szCs w:val="24"/>
              </w:rPr>
              <w:t>netiranih</w:t>
            </w:r>
            <w:proofErr w:type="spellEnd"/>
            <w:r>
              <w:rPr>
                <w:rStyle w:val="TeksttreciPogrubienie"/>
                <w:rFonts w:ascii="Times New Roman" w:hAnsi="Times New Roman"/>
                <w:sz w:val="24"/>
                <w:szCs w:val="24"/>
              </w:rPr>
              <w:t xml:space="preserve"> iznosa povezanih gotovinskih obveza i potraživanja)</w:t>
            </w:r>
          </w:p>
          <w:p w14:paraId="3853A99C"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Članak 451. stavak 3. CRR-a</w:t>
            </w:r>
          </w:p>
          <w:p w14:paraId="7C9EA6A0"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 xml:space="preserve">Mjera ukupne izloženosti (isključujući učinak svakog primjenjivog privremenog izuzeća rezervi središnje banke) primjenom srednjih vrijednosti koje se izračunavaju za svaki dan tromjesečna objave za iznose mjere izloženosti povezane s bruto imovinom iz transakcija financiranja vrijednosnim papirima (nakon usklađenja za transakcije koje se obračunavaju kao prodaja i </w:t>
            </w:r>
            <w:proofErr w:type="spellStart"/>
            <w:r>
              <w:rPr>
                <w:rStyle w:val="TeksttreciPogrubienie"/>
                <w:rFonts w:ascii="Times New Roman" w:hAnsi="Times New Roman"/>
                <w:b w:val="0"/>
                <w:sz w:val="24"/>
                <w:szCs w:val="24"/>
              </w:rPr>
              <w:t>netiranih</w:t>
            </w:r>
            <w:proofErr w:type="spellEnd"/>
            <w:r>
              <w:rPr>
                <w:rStyle w:val="TeksttreciPogrubienie"/>
                <w:rFonts w:ascii="Times New Roman" w:hAnsi="Times New Roman"/>
                <w:b w:val="0"/>
                <w:sz w:val="24"/>
                <w:szCs w:val="24"/>
              </w:rPr>
              <w:t xml:space="preserve"> iznosa povezanih gotovinskih obveza i potraživanja).</w:t>
            </w:r>
          </w:p>
          <w:p w14:paraId="6D6B49F9"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Ako se na mjeru ukupne izloženosti institucije ne primjenjuje privremeno izuzeće rezervi središnje banke, ta će vrijednost biti jednaka vrijednosti objavljenoj u retku 30 ovog obrasca.</w:t>
            </w:r>
          </w:p>
        </w:tc>
      </w:tr>
      <w:tr w:rsidR="000A7015" w:rsidRPr="007F4CC8" w14:paraId="329A8249" w14:textId="77777777" w:rsidTr="001E06A3">
        <w:trPr>
          <w:trHeight w:val="836"/>
        </w:trPr>
        <w:tc>
          <w:tcPr>
            <w:tcW w:w="1384" w:type="dxa"/>
            <w:vAlign w:val="center"/>
          </w:tcPr>
          <w:p w14:paraId="0832545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31</w:t>
            </w:r>
          </w:p>
        </w:tc>
        <w:tc>
          <w:tcPr>
            <w:tcW w:w="7655" w:type="dxa"/>
            <w:vAlign w:val="center"/>
          </w:tcPr>
          <w:p w14:paraId="0DDB7377"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Omjer financijske poluge (uključujući učinak svakog primjenjivog privremenog izuzeća rezervi središnje banke) koja obuhvaća srednje vrijednosti iz retka 28 bruto imovine iz transakcija financiranja vrijednosnim papirima (nakon usklađenja za transakcije koje se obračunavaju kao prodaja i </w:t>
            </w:r>
            <w:proofErr w:type="spellStart"/>
            <w:r>
              <w:rPr>
                <w:rStyle w:val="TeksttreciPogrubienie"/>
                <w:rFonts w:ascii="Times New Roman" w:hAnsi="Times New Roman"/>
                <w:sz w:val="24"/>
                <w:szCs w:val="24"/>
              </w:rPr>
              <w:t>netiranih</w:t>
            </w:r>
            <w:proofErr w:type="spellEnd"/>
            <w:r>
              <w:rPr>
                <w:rStyle w:val="TeksttreciPogrubienie"/>
                <w:rFonts w:ascii="Times New Roman" w:hAnsi="Times New Roman"/>
                <w:sz w:val="24"/>
                <w:szCs w:val="24"/>
              </w:rPr>
              <w:t xml:space="preserve"> iznosa povezanih gotovinskih obveza i potraživanja)</w:t>
            </w:r>
          </w:p>
          <w:p w14:paraId="36E9637D"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Članak 451. stavak 3. CRR-a</w:t>
            </w:r>
          </w:p>
        </w:tc>
      </w:tr>
      <w:tr w:rsidR="000A7015" w:rsidRPr="007F4CC8" w14:paraId="555EAADF" w14:textId="77777777" w:rsidTr="001E06A3">
        <w:trPr>
          <w:trHeight w:val="915"/>
        </w:trPr>
        <w:tc>
          <w:tcPr>
            <w:tcW w:w="1384" w:type="dxa"/>
            <w:vAlign w:val="center"/>
          </w:tcPr>
          <w:p w14:paraId="6C84F61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31a</w:t>
            </w:r>
          </w:p>
        </w:tc>
        <w:tc>
          <w:tcPr>
            <w:tcW w:w="7655" w:type="dxa"/>
            <w:vAlign w:val="center"/>
          </w:tcPr>
          <w:p w14:paraId="43E2E7A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Omjer financijske poluge (isključujući učinak svakog primjenjivog privremenog izuzeća rezervi središnje banke) koja obuhvaća srednje vrijednosti iz retka 28 bruto imovine iz transakcija financiranja vrijednosnim papirima (nakon usklađenja za transakcije koje se obračunavaju kao prodaja i </w:t>
            </w:r>
            <w:proofErr w:type="spellStart"/>
            <w:r>
              <w:rPr>
                <w:rStyle w:val="TeksttreciPogrubienie"/>
                <w:rFonts w:ascii="Times New Roman" w:hAnsi="Times New Roman"/>
                <w:sz w:val="24"/>
                <w:szCs w:val="24"/>
              </w:rPr>
              <w:t>netiranih</w:t>
            </w:r>
            <w:proofErr w:type="spellEnd"/>
            <w:r>
              <w:rPr>
                <w:rStyle w:val="TeksttreciPogrubienie"/>
                <w:rFonts w:ascii="Times New Roman" w:hAnsi="Times New Roman"/>
                <w:sz w:val="24"/>
                <w:szCs w:val="24"/>
              </w:rPr>
              <w:t xml:space="preserve"> iznosa povezanih gotovinskih obveza i potraživanja)</w:t>
            </w:r>
          </w:p>
          <w:p w14:paraId="72DE4DE1"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Članak 451. stavak 3. CRR-a</w:t>
            </w:r>
          </w:p>
        </w:tc>
      </w:tr>
    </w:tbl>
    <w:p w14:paraId="2BCE09D9" w14:textId="77777777" w:rsidR="000A7015" w:rsidRPr="007F4CC8" w:rsidRDefault="000A7015" w:rsidP="000A701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lang w:val="en-GB"/>
        </w:rPr>
      </w:pPr>
    </w:p>
    <w:p w14:paraId="1A5CA5B2" w14:textId="54AB057E" w:rsidR="000A7015" w:rsidRPr="007F4CC8" w:rsidRDefault="000A7015" w:rsidP="000A7015">
      <w:pPr>
        <w:pStyle w:val="Teksttreci20"/>
        <w:shd w:val="clear" w:color="auto" w:fill="auto"/>
        <w:tabs>
          <w:tab w:val="left" w:pos="235"/>
        </w:tabs>
        <w:spacing w:after="120" w:line="240" w:lineRule="auto"/>
        <w:jc w:val="left"/>
        <w:rPr>
          <w:rFonts w:ascii="Times New Roman" w:hAnsi="Times New Roman" w:cs="Times New Roman"/>
          <w:sz w:val="24"/>
          <w:szCs w:val="24"/>
        </w:rPr>
      </w:pPr>
      <w:r>
        <w:rPr>
          <w:rFonts w:ascii="Times New Roman" w:hAnsi="Times New Roman"/>
          <w:color w:val="000000"/>
          <w:sz w:val="24"/>
          <w:szCs w:val="24"/>
        </w:rPr>
        <w:t xml:space="preserve">Obrazac EU LR3 – </w:t>
      </w:r>
      <w:proofErr w:type="spellStart"/>
      <w:r>
        <w:rPr>
          <w:rFonts w:ascii="Times New Roman" w:hAnsi="Times New Roman"/>
          <w:color w:val="000000"/>
          <w:sz w:val="24"/>
          <w:szCs w:val="24"/>
        </w:rPr>
        <w:t>LRSpl</w:t>
      </w:r>
      <w:proofErr w:type="spellEnd"/>
      <w:r>
        <w:rPr>
          <w:rFonts w:ascii="Times New Roman" w:hAnsi="Times New Roman"/>
          <w:color w:val="000000"/>
          <w:sz w:val="24"/>
          <w:szCs w:val="24"/>
        </w:rPr>
        <w:t xml:space="preserve">: Podjela bilančnih izloženosti (isključujući izvedenice, transakcije financiranja vrijednosnim papirima i izuzete izloženosti). </w:t>
      </w:r>
      <w:r>
        <w:rPr>
          <w:rFonts w:ascii="Times New Roman" w:hAnsi="Times New Roman"/>
          <w:b w:val="0"/>
          <w:color w:val="000000"/>
          <w:sz w:val="24"/>
          <w:szCs w:val="24"/>
        </w:rPr>
        <w:t>Fiksan format.</w:t>
      </w:r>
    </w:p>
    <w:p w14:paraId="6F4D6BA9" w14:textId="64BA4D32"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color w:val="000000"/>
          <w:sz w:val="24"/>
          <w:szCs w:val="24"/>
        </w:rPr>
        <w:t xml:space="preserve">Prateći upute u ovom odjeljku institucije ispunjavaju obrazac </w:t>
      </w:r>
      <w:proofErr w:type="spellStart"/>
      <w:r>
        <w:rPr>
          <w:rFonts w:ascii="Times New Roman" w:hAnsi="Times New Roman"/>
          <w:color w:val="000000"/>
          <w:sz w:val="24"/>
          <w:szCs w:val="24"/>
        </w:rPr>
        <w:t>LRSpl</w:t>
      </w:r>
      <w:proofErr w:type="spellEnd"/>
      <w:r>
        <w:rPr>
          <w:rFonts w:ascii="Times New Roman" w:hAnsi="Times New Roman"/>
          <w:color w:val="000000"/>
          <w:sz w:val="24"/>
          <w:szCs w:val="24"/>
        </w:rPr>
        <w:t xml:space="preserve"> u skladu s člankom 451. stavkom 1. točkom (b) CRR-a.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09AB437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2835F9"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Pravna osnova i upute</w:t>
            </w:r>
          </w:p>
        </w:tc>
      </w:tr>
      <w:tr w:rsidR="000A7015" w:rsidRPr="007F4CC8" w14:paraId="17670837" w14:textId="77777777" w:rsidTr="001E06A3">
        <w:trPr>
          <w:trHeight w:val="238"/>
        </w:trPr>
        <w:tc>
          <w:tcPr>
            <w:tcW w:w="1384" w:type="dxa"/>
            <w:shd w:val="clear" w:color="auto" w:fill="D9D9D9" w:themeFill="background1" w:themeFillShade="D9"/>
          </w:tcPr>
          <w:p w14:paraId="0A46D916"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5B02D9B6"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0A7015" w:rsidRPr="007F4CC8" w14:paraId="6089139F" w14:textId="77777777" w:rsidTr="001E06A3">
        <w:trPr>
          <w:trHeight w:val="1161"/>
        </w:trPr>
        <w:tc>
          <w:tcPr>
            <w:tcW w:w="1384" w:type="dxa"/>
            <w:vAlign w:val="center"/>
          </w:tcPr>
          <w:p w14:paraId="66B2EB7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w:t>
            </w:r>
          </w:p>
        </w:tc>
        <w:tc>
          <w:tcPr>
            <w:tcW w:w="7655" w:type="dxa"/>
          </w:tcPr>
          <w:p w14:paraId="78FF102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Ukupne bilančne izloženosti (isključujući izvedenice, transakcije financiranja vrijednosnim papirima i izuzete izloženosti), od čega:</w:t>
            </w:r>
          </w:p>
          <w:p w14:paraId="6C1AF07E" w14:textId="6AD5FE85"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objavljuju zbroj iznosa iz redaka EU-2 i EU-3 </w:t>
            </w:r>
            <w:r>
              <w:rPr>
                <w:rFonts w:ascii="Times New Roman" w:hAnsi="Times New Roman"/>
                <w:color w:val="000000"/>
                <w:sz w:val="24"/>
                <w:szCs w:val="24"/>
              </w:rPr>
              <w:t xml:space="preserve">obrasca EU LR3 – </w:t>
            </w:r>
            <w:proofErr w:type="spellStart"/>
            <w:r>
              <w:rPr>
                <w:rFonts w:ascii="Times New Roman" w:hAnsi="Times New Roman"/>
                <w:sz w:val="24"/>
                <w:szCs w:val="24"/>
              </w:rPr>
              <w:t>LRSpl</w:t>
            </w:r>
            <w:proofErr w:type="spellEnd"/>
            <w:r>
              <w:rPr>
                <w:rFonts w:ascii="Times New Roman" w:hAnsi="Times New Roman"/>
                <w:sz w:val="24"/>
                <w:szCs w:val="24"/>
              </w:rPr>
              <w:t>.</w:t>
            </w:r>
          </w:p>
        </w:tc>
      </w:tr>
      <w:tr w:rsidR="000A7015" w:rsidRPr="007F4CC8" w14:paraId="57D6641E" w14:textId="77777777" w:rsidTr="001E06A3">
        <w:trPr>
          <w:trHeight w:val="1438"/>
        </w:trPr>
        <w:tc>
          <w:tcPr>
            <w:tcW w:w="1384" w:type="dxa"/>
            <w:vAlign w:val="center"/>
          </w:tcPr>
          <w:p w14:paraId="05C2B2B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w:t>
            </w:r>
          </w:p>
        </w:tc>
        <w:tc>
          <w:tcPr>
            <w:tcW w:w="7655" w:type="dxa"/>
          </w:tcPr>
          <w:p w14:paraId="194F35A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Izloženosti iz knjige trgovanja</w:t>
            </w:r>
          </w:p>
          <w:p w14:paraId="0EC933D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Institucije objavljuju izloženosti koje su dio ukupne vrijednosti izloženosti imovine iz knjige trgovanja, isključujući izvedenice, transakcije financiranja vrijednosnim papirima i izuzete izloženosti.</w:t>
            </w:r>
          </w:p>
        </w:tc>
      </w:tr>
      <w:tr w:rsidR="000A7015" w:rsidRPr="007F4CC8" w14:paraId="345F6F21" w14:textId="77777777" w:rsidTr="001E06A3">
        <w:trPr>
          <w:trHeight w:val="438"/>
        </w:trPr>
        <w:tc>
          <w:tcPr>
            <w:tcW w:w="1384" w:type="dxa"/>
            <w:vAlign w:val="center"/>
          </w:tcPr>
          <w:p w14:paraId="56CBC8C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EU-3</w:t>
            </w:r>
          </w:p>
        </w:tc>
        <w:tc>
          <w:tcPr>
            <w:tcW w:w="7655" w:type="dxa"/>
          </w:tcPr>
          <w:p w14:paraId="62E1AFF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Izloženosti knjige pozicija kojima se ne trguje, od čega:</w:t>
            </w:r>
          </w:p>
          <w:p w14:paraId="07286961" w14:textId="3BFE6F5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objavljuju zbroj iznosa iz redaka od EU-4 do EU-12 </w:t>
            </w:r>
            <w:r>
              <w:rPr>
                <w:rFonts w:ascii="Times New Roman" w:hAnsi="Times New Roman"/>
                <w:color w:val="000000"/>
                <w:sz w:val="24"/>
                <w:szCs w:val="24"/>
              </w:rPr>
              <w:t xml:space="preserve">obrasca EU LR3 – </w:t>
            </w:r>
            <w:proofErr w:type="spellStart"/>
            <w:r>
              <w:rPr>
                <w:rFonts w:ascii="Times New Roman" w:hAnsi="Times New Roman"/>
                <w:sz w:val="24"/>
                <w:szCs w:val="24"/>
              </w:rPr>
              <w:t>LRSpl</w:t>
            </w:r>
            <w:proofErr w:type="spellEnd"/>
            <w:r>
              <w:rPr>
                <w:rFonts w:ascii="Times New Roman" w:hAnsi="Times New Roman"/>
                <w:sz w:val="24"/>
                <w:szCs w:val="24"/>
              </w:rPr>
              <w:t>.</w:t>
            </w:r>
          </w:p>
        </w:tc>
      </w:tr>
      <w:tr w:rsidR="000A7015" w:rsidRPr="007F4CC8" w14:paraId="6651778B" w14:textId="77777777" w:rsidTr="007E3CA8">
        <w:trPr>
          <w:trHeight w:val="1956"/>
        </w:trPr>
        <w:tc>
          <w:tcPr>
            <w:tcW w:w="1384" w:type="dxa"/>
            <w:vAlign w:val="center"/>
          </w:tcPr>
          <w:p w14:paraId="4C37040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EU-4</w:t>
            </w:r>
          </w:p>
        </w:tc>
        <w:tc>
          <w:tcPr>
            <w:tcW w:w="7655" w:type="dxa"/>
          </w:tcPr>
          <w:p w14:paraId="75A16AF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Pokrivene obveznice</w:t>
            </w:r>
          </w:p>
          <w:p w14:paraId="4C92307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objavljuju zbroj izloženosti, koji je vrijednost ukupne izloženosti imovine u obliku pokrivenih obveznica kako su definirane u </w:t>
            </w:r>
            <w:r>
              <w:rPr>
                <w:rFonts w:ascii="Times New Roman" w:hAnsi="Times New Roman"/>
                <w:bCs/>
                <w:sz w:val="24"/>
                <w:szCs w:val="24"/>
              </w:rPr>
              <w:t>članku 129. i članku 161. stavku 1. točki (d) CRR-a.</w:t>
            </w:r>
          </w:p>
          <w:p w14:paraId="1F5A4D3A"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Institucije objavljuju ukupnu izloženost pokrivenih obveznica umanjenu za izloženosti u statusu neispunjavanja obveza.</w:t>
            </w:r>
          </w:p>
        </w:tc>
      </w:tr>
      <w:tr w:rsidR="000A7015" w:rsidRPr="007F4CC8" w14:paraId="1B271027" w14:textId="77777777" w:rsidTr="001E06A3">
        <w:trPr>
          <w:trHeight w:val="2265"/>
        </w:trPr>
        <w:tc>
          <w:tcPr>
            <w:tcW w:w="1384" w:type="dxa"/>
            <w:vAlign w:val="center"/>
          </w:tcPr>
          <w:p w14:paraId="5E6408A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EU-5</w:t>
            </w:r>
          </w:p>
        </w:tc>
        <w:tc>
          <w:tcPr>
            <w:tcW w:w="7655" w:type="dxa"/>
          </w:tcPr>
          <w:p w14:paraId="3EACE3D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Izloženosti koje se tretiraju kao izloženosti prema državama</w:t>
            </w:r>
          </w:p>
          <w:p w14:paraId="09AE25B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sz w:val="24"/>
                <w:szCs w:val="24"/>
              </w:rPr>
              <w:t>Institucije objavljuju zbroj izloženosti, koji je vrijednost ukupne izloženosti prema subjektima koji se u skladu s CRR-om tretiraju kao države. (</w:t>
            </w:r>
            <w:r>
              <w:rPr>
                <w:rFonts w:ascii="Times New Roman" w:hAnsi="Times New Roman"/>
                <w:bCs/>
                <w:sz w:val="24"/>
                <w:szCs w:val="24"/>
              </w:rPr>
              <w:t>Središnje države i središnje banke (članak 114. i članak 147. stavak 2. točka (a) CRR-a), jedinice regionalne (područne) i lokalne samouprave koje se tretiraju kao države (članak 115. stavci 2. i 4. i članak 147. stavak 3. točka (a) CRR-a), multilateralne razvojne banke i međunarodne organizacije koje se tretiraju kao države (članaka 117. stavak 2., članak 118. i članak 147. stavak 3. točke (a) i (b) CRR-a), subjekti javnog sektora (članak 116. stavak 4. i članak 147. stavak 3. točka (a) CRR-a).</w:t>
            </w:r>
          </w:p>
          <w:p w14:paraId="78E8EF08"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Institucije objavljuju ukupnu izloženost prema državi umanjenu za izloženosti u statusu neispunjavanja obveza.</w:t>
            </w:r>
          </w:p>
        </w:tc>
      </w:tr>
      <w:tr w:rsidR="000A7015" w:rsidRPr="007F4CC8" w14:paraId="582909C2" w14:textId="77777777" w:rsidTr="007E3CA8">
        <w:trPr>
          <w:trHeight w:val="1121"/>
        </w:trPr>
        <w:tc>
          <w:tcPr>
            <w:tcW w:w="1384" w:type="dxa"/>
            <w:vAlign w:val="center"/>
          </w:tcPr>
          <w:p w14:paraId="44A3609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EU-6</w:t>
            </w:r>
          </w:p>
        </w:tc>
        <w:tc>
          <w:tcPr>
            <w:tcW w:w="7655" w:type="dxa"/>
          </w:tcPr>
          <w:p w14:paraId="4ABD521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Izloženosti prema jedinicama područne (regionalne) samouprave, multilateralnim razvojnim bankama, međunarodnim organizacijama i subjektima javnog sektora koji se ne tretiraju kao države</w:t>
            </w:r>
          </w:p>
          <w:p w14:paraId="5C029F35" w14:textId="77777777" w:rsidR="000A7015" w:rsidRPr="007F4CC8" w:rsidRDefault="000A7015" w:rsidP="001E06A3">
            <w:pPr>
              <w:pStyle w:val="BodyText1"/>
              <w:spacing w:after="120" w:line="240" w:lineRule="auto"/>
              <w:rPr>
                <w:rFonts w:ascii="Times New Roman" w:eastAsia="Book Antiqua" w:hAnsi="Times New Roman"/>
                <w:bCs/>
                <w:color w:val="auto"/>
                <w:sz w:val="24"/>
                <w:szCs w:val="24"/>
              </w:rPr>
            </w:pPr>
            <w:r>
              <w:rPr>
                <w:rFonts w:ascii="Times New Roman" w:hAnsi="Times New Roman"/>
                <w:bCs/>
                <w:color w:val="auto"/>
                <w:sz w:val="24"/>
                <w:szCs w:val="24"/>
              </w:rPr>
              <w:t>Institucije objavljuju zbroj izloženosti, koji je vrijednost ukupne izloženosti prema jedinicama područne (regionalne) i lokalne samouprave, kako je definirano u članku 115. stavcima 1., 3. i 5. CRR-a za izloženosti u skladu sa standardiziranim pristupom i članku 147. stavku 4. točki (a) CRR-a za izloženosti u skladu s IRB pristupom; multilateralnim razvojnim bankama, kako je definirano u članku 117. stavcima 1. i 3. CRR-a za izloženosti u skladu sa standardiziranim pristupom i članku 147. stavku 4. točki (c) CRR-a za izloženosti u skladu s IRB pristupom; međunarodnim organizacijama i subjektima javnog sektora, kako je definirano u članku 116. stavcima 1., 2., 3. i 5. CRR-a za izloženosti u skladu sa standardiziranim pristupom i članku 147. stavku 4. točki (b) CRR-a za izloženosti u skladu s IRB pristupom, koje se u skladu s CRR-om ne tretiraju kao države.</w:t>
            </w:r>
          </w:p>
          <w:p w14:paraId="6BA29B34"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color w:val="auto"/>
                <w:sz w:val="24"/>
                <w:szCs w:val="24"/>
              </w:rPr>
              <w:t>Institucije objavljuju navedene ukupne izloženosti umanjene za izloženosti u statusu neispunjavanja obveza.</w:t>
            </w:r>
          </w:p>
        </w:tc>
      </w:tr>
      <w:tr w:rsidR="000A7015" w:rsidRPr="007F4CC8" w14:paraId="5E717AEF" w14:textId="77777777" w:rsidTr="001E06A3">
        <w:trPr>
          <w:trHeight w:val="416"/>
        </w:trPr>
        <w:tc>
          <w:tcPr>
            <w:tcW w:w="1384" w:type="dxa"/>
            <w:vAlign w:val="center"/>
          </w:tcPr>
          <w:p w14:paraId="396838A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EU-7</w:t>
            </w:r>
          </w:p>
        </w:tc>
        <w:tc>
          <w:tcPr>
            <w:tcW w:w="7655" w:type="dxa"/>
          </w:tcPr>
          <w:p w14:paraId="6E52756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Institucije</w:t>
            </w:r>
          </w:p>
          <w:p w14:paraId="6C6F9BC1" w14:textId="77777777" w:rsidR="000A7015" w:rsidRPr="007F4CC8" w:rsidRDefault="000A7015" w:rsidP="001E06A3">
            <w:pPr>
              <w:pStyle w:val="Teksttreci0"/>
              <w:shd w:val="clear" w:color="auto" w:fill="auto"/>
              <w:spacing w:after="120" w:line="240" w:lineRule="auto"/>
              <w:ind w:firstLine="0"/>
              <w:rPr>
                <w:rFonts w:ascii="Times New Roman" w:eastAsia="Times New Roman" w:hAnsi="Times New Roman" w:cs="Times New Roman"/>
                <w:bCs/>
                <w:color w:val="000000"/>
                <w:sz w:val="24"/>
                <w:szCs w:val="24"/>
              </w:rPr>
            </w:pPr>
            <w:r>
              <w:rPr>
                <w:rFonts w:ascii="Times New Roman" w:hAnsi="Times New Roman"/>
                <w:sz w:val="24"/>
                <w:szCs w:val="24"/>
              </w:rPr>
              <w:t>Institucije objavljuju zbroj izloženosti, koji je vrijednost izloženosti prema institucijama</w:t>
            </w:r>
            <w:r>
              <w:rPr>
                <w:rFonts w:ascii="Times New Roman" w:hAnsi="Times New Roman"/>
                <w:bCs/>
                <w:sz w:val="24"/>
                <w:szCs w:val="24"/>
              </w:rPr>
              <w:t xml:space="preserve"> </w:t>
            </w:r>
            <w:r>
              <w:rPr>
                <w:rFonts w:ascii="Times New Roman" w:hAnsi="Times New Roman"/>
                <w:bCs/>
                <w:color w:val="000000"/>
                <w:sz w:val="24"/>
                <w:szCs w:val="24"/>
              </w:rPr>
              <w:t>koje su obuhvaćene člancima od 119. do 121. CRR-a za izloženosti u skladu sa standardiziranim pristupom i člankom 147. stavkom 2. točkom (b) CRR-a za izloženosti u skladu s IRB pristupom, i koje nisu izloženosti u obliku pokrivenih obveznica u skladu s člankom 161. stavkom 1. točkom (d) CRR-a i nisu obuhvaćene člankom 147. stavkom 4. točkama od (a) do (c) CRR-a.</w:t>
            </w:r>
          </w:p>
          <w:p w14:paraId="10B72E22"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Institucije objavljuju ukupnu izloženost umanjenu za izloženosti u statusu neispunjavanja obveza.</w:t>
            </w:r>
          </w:p>
        </w:tc>
      </w:tr>
      <w:tr w:rsidR="000A7015" w:rsidRPr="007F4CC8" w14:paraId="3520CAE1" w14:textId="77777777" w:rsidTr="001E06A3">
        <w:trPr>
          <w:trHeight w:val="2265"/>
        </w:trPr>
        <w:tc>
          <w:tcPr>
            <w:tcW w:w="1384" w:type="dxa"/>
            <w:vAlign w:val="center"/>
          </w:tcPr>
          <w:p w14:paraId="4285FF9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EU-8</w:t>
            </w:r>
          </w:p>
        </w:tc>
        <w:tc>
          <w:tcPr>
            <w:tcW w:w="7655" w:type="dxa"/>
          </w:tcPr>
          <w:p w14:paraId="29AAF26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Osigurane hipotekom na nekretninama</w:t>
            </w:r>
          </w:p>
          <w:p w14:paraId="1E219217"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 xml:space="preserve">Institucije objavljuju zbroj izloženosti, koji je vrijednost izloženosti imovine koja se odnosi na izloženosti osigurane hipotekom na nekretninama </w:t>
            </w:r>
            <w:r>
              <w:rPr>
                <w:rFonts w:ascii="Times New Roman" w:hAnsi="Times New Roman"/>
                <w:bCs/>
                <w:sz w:val="24"/>
                <w:szCs w:val="24"/>
              </w:rPr>
              <w:t xml:space="preserve">u skladu s člankom 124. CRR-a za izloženosti u skladu sa standardiziranim pristupom i na izloženosti prema trgovačkim društvima u skladu s člankom 147. stavkom 2. točkom (c) CRR-a ili izloženosti prema stanovništvu u skladu s člankom 147. stavkom 2. točkom (d) CRR-a ako su te izloženosti osigurane hipotekom na nekretninama u skladu s člankom 199. stavkom 1. točkom (a) CRR-a za izloženosti u skladu s IRB pristupom. </w:t>
            </w:r>
          </w:p>
          <w:p w14:paraId="08EE32D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Institucije objavljuju ukupnu izloženost umanjenu za izloženosti u statusu neispunjavanja obveza.</w:t>
            </w:r>
          </w:p>
        </w:tc>
      </w:tr>
      <w:tr w:rsidR="000A7015" w:rsidRPr="007F4CC8" w14:paraId="62D9CA39" w14:textId="77777777" w:rsidTr="001E06A3">
        <w:trPr>
          <w:trHeight w:val="2265"/>
        </w:trPr>
        <w:tc>
          <w:tcPr>
            <w:tcW w:w="1384" w:type="dxa"/>
            <w:vAlign w:val="center"/>
          </w:tcPr>
          <w:p w14:paraId="4613E7B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EU-9</w:t>
            </w:r>
          </w:p>
        </w:tc>
        <w:tc>
          <w:tcPr>
            <w:tcW w:w="7655" w:type="dxa"/>
          </w:tcPr>
          <w:p w14:paraId="04AE1A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Izloženosti prema stanovništvu</w:t>
            </w:r>
          </w:p>
          <w:p w14:paraId="2649B55B"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 xml:space="preserve">Institucije objavljuju zbroj izloženosti, koji je vrijednost ukupne izloženosti imovine koja se odnosi na izloženosti prema stanovništvu </w:t>
            </w:r>
            <w:r>
              <w:rPr>
                <w:rFonts w:ascii="Times New Roman" w:hAnsi="Times New Roman"/>
                <w:bCs/>
                <w:sz w:val="24"/>
                <w:szCs w:val="24"/>
              </w:rPr>
              <w:t xml:space="preserve">u skladu s člankom 123. CRR-a za izloženosti u skladu sa standardiziranim pristupom i na izloženosti u skladu s člankom 147. stavkom 2. točkom (d) CRR-a, ako te izloženosti </w:t>
            </w:r>
            <w:r>
              <w:rPr>
                <w:rFonts w:ascii="Times New Roman" w:hAnsi="Times New Roman"/>
                <w:b/>
                <w:bCs/>
                <w:sz w:val="24"/>
                <w:szCs w:val="24"/>
                <w:u w:val="single"/>
              </w:rPr>
              <w:t>nisu</w:t>
            </w:r>
            <w:r>
              <w:rPr>
                <w:rFonts w:ascii="Times New Roman" w:hAnsi="Times New Roman"/>
                <w:bCs/>
                <w:sz w:val="24"/>
                <w:szCs w:val="24"/>
              </w:rPr>
              <w:t xml:space="preserve"> osigurane hipotekom na nekretninama u skladu s člankom 199. stavkom 1. točkom (a) CRR-a – za izloženosti u skladu s IRB pristupom. </w:t>
            </w:r>
          </w:p>
          <w:p w14:paraId="74BF1D7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Institucije objavljuju ukupnu izloženost umanjenu za izloženosti u statusu neispunjavanja obveza.</w:t>
            </w:r>
          </w:p>
        </w:tc>
      </w:tr>
      <w:tr w:rsidR="000A7015" w:rsidRPr="007F4CC8" w14:paraId="5B74D3C4" w14:textId="77777777" w:rsidTr="001E06A3">
        <w:trPr>
          <w:trHeight w:val="625"/>
        </w:trPr>
        <w:tc>
          <w:tcPr>
            <w:tcW w:w="1384" w:type="dxa"/>
            <w:vAlign w:val="center"/>
          </w:tcPr>
          <w:p w14:paraId="582FD9E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EU-10</w:t>
            </w:r>
          </w:p>
        </w:tc>
        <w:tc>
          <w:tcPr>
            <w:tcW w:w="7655" w:type="dxa"/>
          </w:tcPr>
          <w:p w14:paraId="3EC6592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Trgovačka društva</w:t>
            </w:r>
          </w:p>
          <w:p w14:paraId="5A57849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sz w:val="24"/>
                <w:szCs w:val="24"/>
              </w:rPr>
              <w:t xml:space="preserve">Institucije objavljuju zbroj izloženosti, koji je vrijednost ukupne izloženosti imovine koja se odnosi na izloženosti prema trgovačkim društvima (financijskim i nefinancijskim). Za izloženosti u skladu sa standardiziranim pristupom, </w:t>
            </w:r>
            <w:r>
              <w:rPr>
                <w:rFonts w:ascii="Times New Roman" w:hAnsi="Times New Roman"/>
                <w:bCs/>
                <w:sz w:val="24"/>
                <w:szCs w:val="24"/>
              </w:rPr>
              <w:t xml:space="preserve">to su izloženosti prema trgovačkim društvima u skladu s člankom 122. CRR-a, a za izloženosti u skladu s IRB pristupom, to su izloženosti prema trgovačkim društvima u skladu s člankom 147. stavkom 2. točkom (c) CRR-a ako te izloženosti </w:t>
            </w:r>
            <w:r>
              <w:rPr>
                <w:rFonts w:ascii="Times New Roman" w:hAnsi="Times New Roman"/>
                <w:b/>
                <w:bCs/>
                <w:sz w:val="24"/>
                <w:szCs w:val="24"/>
                <w:u w:val="single"/>
              </w:rPr>
              <w:t>nisu</w:t>
            </w:r>
            <w:r>
              <w:rPr>
                <w:rFonts w:ascii="Times New Roman" w:hAnsi="Times New Roman"/>
                <w:bCs/>
                <w:sz w:val="24"/>
                <w:szCs w:val="24"/>
              </w:rPr>
              <w:t xml:space="preserve"> osigurane hipotekom na nekretninama u skladu s člankom 199. stavkom 1. točkom (a) CRR-a.</w:t>
            </w:r>
          </w:p>
          <w:p w14:paraId="6A8650A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bCs/>
                <w:sz w:val="24"/>
                <w:szCs w:val="24"/>
              </w:rPr>
              <w:t>Financijska društva znači regulirana i neregulirana društva osim institucija iz retka EU-7 ovog obrasca, čija je glavna djelatnost stjecanje udjela ili obavljanje jedne ili više djelatnosti iz Priloga I. CRD-u, kao i subjekti definirani u članku 4. stavku 1. točki (27) CRR-a, osim institucija iz retka EU-</w:t>
            </w:r>
            <w:r>
              <w:rPr>
                <w:rFonts w:ascii="Times New Roman" w:hAnsi="Times New Roman"/>
                <w:bCs/>
                <w:sz w:val="24"/>
                <w:szCs w:val="24"/>
              </w:rPr>
              <w:lastRenderedPageBreak/>
              <w:t>7 ovog obrasca.</w:t>
            </w:r>
          </w:p>
          <w:p w14:paraId="3DD0C832"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Za potrebe ove rubrike, pojam „malo i srednje poduzeće” definiran je u skladu s člankom 501. stavkom 2. točkom (b) CRR-a.</w:t>
            </w:r>
          </w:p>
          <w:p w14:paraId="0D9D027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Institucije objavljuju ukupnu izloženost umanjenu za izloženosti u statusu neispunjavanja obveza.</w:t>
            </w:r>
          </w:p>
        </w:tc>
      </w:tr>
      <w:tr w:rsidR="000A7015" w:rsidRPr="007F4CC8" w14:paraId="5A9251D7" w14:textId="77777777" w:rsidTr="001E06A3">
        <w:trPr>
          <w:trHeight w:val="1729"/>
        </w:trPr>
        <w:tc>
          <w:tcPr>
            <w:tcW w:w="1384" w:type="dxa"/>
            <w:vAlign w:val="center"/>
          </w:tcPr>
          <w:p w14:paraId="2BECF10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EU-11</w:t>
            </w:r>
          </w:p>
        </w:tc>
        <w:tc>
          <w:tcPr>
            <w:tcW w:w="7655" w:type="dxa"/>
          </w:tcPr>
          <w:p w14:paraId="3BE85A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Izloženosti sa statusom neispunjavanja obveza</w:t>
            </w:r>
          </w:p>
          <w:p w14:paraId="5BDD79B1" w14:textId="26D4BBB3"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sz w:val="24"/>
                <w:szCs w:val="24"/>
              </w:rPr>
              <w:t>Institucije objavljuju zbroj izloženosti, koji je vrijednost ukupne izloženosti imovine koje su u statusu neispunjavanja obveza i, za izloženosti u skladu sa standardiziranim pristupom, obuhvaćene su člankom 127. CRR-a ili su, u slučaju izloženosti u skladu s IRB pristupom, svrstane u kategorije izloženosti iz članka 147. stavka 2. CRR-a ako je nastao status neispunjavanja obveza u skladu s člankom 178. CRR-a.</w:t>
            </w:r>
          </w:p>
        </w:tc>
      </w:tr>
      <w:tr w:rsidR="000A7015" w:rsidRPr="007F4CC8" w14:paraId="64E848DA" w14:textId="77777777" w:rsidTr="001E06A3">
        <w:trPr>
          <w:trHeight w:val="992"/>
        </w:trPr>
        <w:tc>
          <w:tcPr>
            <w:tcW w:w="1384" w:type="dxa"/>
            <w:vAlign w:val="center"/>
          </w:tcPr>
          <w:p w14:paraId="3A5A9D7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EU-12</w:t>
            </w:r>
          </w:p>
        </w:tc>
        <w:tc>
          <w:tcPr>
            <w:tcW w:w="7655" w:type="dxa"/>
          </w:tcPr>
          <w:p w14:paraId="4156C6F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Ostale izloženosti (npr. vlasnička ulaganja, sekuritizacije i druga imovina bez kreditnih obveza)</w:t>
            </w:r>
          </w:p>
          <w:p w14:paraId="391B3C6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Institucije objavljuju zbroj izloženosti, koji je vrijednost ukupne izloženosti ostalih izloženosti iz knjige pozicija kojima se ne trguje u skladu s CRR-om (npr. vlasnička ulaganja, sekuritizacije i druga imovina bez kreditnih obveza; u slučaju izloženosti u skladu sa standardiziranim pristupom to je </w:t>
            </w:r>
            <w:r>
              <w:rPr>
                <w:rFonts w:ascii="Times New Roman" w:hAnsi="Times New Roman"/>
                <w:bCs/>
                <w:sz w:val="24"/>
                <w:szCs w:val="24"/>
              </w:rPr>
              <w:t>imovina svrstana u kategorije izloženosti iz članka 112. točaka (k), (m), (n), (o), (p) i (q) CRR-a, a u slučaju izloženosti u skladu s IRB pristupom, iz članka 147. stavka 2. točaka (e), (f) i (g) CRR-a</w:t>
            </w:r>
            <w:r>
              <w:rPr>
                <w:rFonts w:ascii="Times New Roman" w:hAnsi="Times New Roman"/>
                <w:sz w:val="24"/>
                <w:szCs w:val="24"/>
              </w:rPr>
              <w:t xml:space="preserve">). Institucije uključuju imovinu koja je odbijena pri određivanju osnovnog kapitala i stoga objavljena u retku 2 obrasca EU </w:t>
            </w:r>
            <w:r>
              <w:rPr>
                <w:rFonts w:ascii="Times New Roman" w:hAnsi="Times New Roman"/>
                <w:color w:val="000000"/>
                <w:sz w:val="24"/>
                <w:szCs w:val="24"/>
              </w:rPr>
              <w:t>LR2-</w:t>
            </w:r>
            <w:r>
              <w:rPr>
                <w:rFonts w:ascii="Times New Roman" w:hAnsi="Times New Roman"/>
                <w:sz w:val="24"/>
                <w:szCs w:val="24"/>
              </w:rPr>
              <w:t xml:space="preserve">LRCom, osim ako je ta imovina uključena u redak EU-2 i retke od EU-4 do EU-11 obrasca EU </w:t>
            </w:r>
            <w:r>
              <w:rPr>
                <w:rFonts w:ascii="Times New Roman" w:hAnsi="Times New Roman"/>
                <w:color w:val="000000"/>
                <w:sz w:val="24"/>
                <w:szCs w:val="24"/>
              </w:rPr>
              <w:t xml:space="preserve">LR3- </w:t>
            </w:r>
            <w:proofErr w:type="spellStart"/>
            <w:r>
              <w:rPr>
                <w:rFonts w:ascii="Times New Roman" w:hAnsi="Times New Roman"/>
                <w:sz w:val="24"/>
                <w:szCs w:val="24"/>
              </w:rPr>
              <w:t>LRSpl</w:t>
            </w:r>
            <w:proofErr w:type="spellEnd"/>
            <w:r>
              <w:rPr>
                <w:rFonts w:ascii="Times New Roman" w:hAnsi="Times New Roman"/>
                <w:sz w:val="24"/>
                <w:szCs w:val="24"/>
              </w:rPr>
              <w:t>.</w:t>
            </w:r>
          </w:p>
        </w:tc>
      </w:tr>
    </w:tbl>
    <w:p w14:paraId="3E3FB773" w14:textId="77777777" w:rsidR="000A7015" w:rsidRPr="007F4CC8" w:rsidRDefault="000A7015" w:rsidP="000A7015">
      <w:pPr>
        <w:spacing w:after="120"/>
        <w:rPr>
          <w:rFonts w:ascii="Times New Roman" w:hAnsi="Times New Roman" w:cs="Times New Roman"/>
          <w:sz w:val="24"/>
        </w:rPr>
      </w:pPr>
    </w:p>
    <w:p w14:paraId="2D6D91F7" w14:textId="77777777" w:rsidR="000A7015" w:rsidRPr="007F4CC8" w:rsidRDefault="000A7015" w:rsidP="000A7015">
      <w:pPr>
        <w:pStyle w:val="Teksttreci20"/>
        <w:shd w:val="clear" w:color="auto" w:fill="auto"/>
        <w:tabs>
          <w:tab w:val="left" w:pos="221"/>
        </w:tabs>
        <w:spacing w:after="120" w:line="240" w:lineRule="auto"/>
        <w:jc w:val="left"/>
        <w:rPr>
          <w:rFonts w:ascii="Times New Roman" w:hAnsi="Times New Roman" w:cs="Times New Roman"/>
          <w:color w:val="000000"/>
          <w:sz w:val="24"/>
          <w:szCs w:val="24"/>
        </w:rPr>
      </w:pPr>
      <w:r>
        <w:rPr>
          <w:rFonts w:ascii="Times New Roman" w:hAnsi="Times New Roman"/>
          <w:color w:val="000000"/>
          <w:sz w:val="24"/>
          <w:szCs w:val="24"/>
        </w:rPr>
        <w:t xml:space="preserve">Tablica EU LRA – Objava kvalitativnih informacija o omjeru financijske poluge. </w:t>
      </w:r>
      <w:r>
        <w:rPr>
          <w:rFonts w:ascii="Times New Roman" w:hAnsi="Times New Roman"/>
          <w:b w:val="0"/>
          <w:color w:val="000000"/>
          <w:sz w:val="24"/>
          <w:szCs w:val="24"/>
        </w:rPr>
        <w:t>Polja za slobodan unos teksta za objavu kvalitativnih informacija</w:t>
      </w:r>
    </w:p>
    <w:p w14:paraId="5F858CBE" w14:textId="77777777"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color w:val="000000"/>
          <w:sz w:val="24"/>
          <w:szCs w:val="24"/>
        </w:rPr>
        <w:t>Institucije ispunjavaju tablicu</w:t>
      </w:r>
      <w:r>
        <w:tab/>
      </w:r>
      <w:r>
        <w:rPr>
          <w:rFonts w:ascii="Times New Roman" w:hAnsi="Times New Roman"/>
          <w:color w:val="000000"/>
          <w:sz w:val="24"/>
          <w:szCs w:val="24"/>
        </w:rPr>
        <w:t xml:space="preserve"> EU LRA prateći sljedeće upute, u skladu s člankom 451. stavkom 1. točkama (d) i (e) CRR-a</w:t>
      </w:r>
    </w:p>
    <w:p w14:paraId="217530F6" w14:textId="77777777" w:rsidR="000A7015" w:rsidRPr="007F4CC8" w:rsidRDefault="000A7015" w:rsidP="000A701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7606165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2256"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Pravna osnova i upute</w:t>
            </w:r>
          </w:p>
        </w:tc>
      </w:tr>
      <w:tr w:rsidR="000A7015" w:rsidRPr="007F4CC8" w14:paraId="47A7F4FC" w14:textId="77777777" w:rsidTr="001E06A3">
        <w:trPr>
          <w:trHeight w:val="238"/>
        </w:trPr>
        <w:tc>
          <w:tcPr>
            <w:tcW w:w="1384" w:type="dxa"/>
            <w:shd w:val="clear" w:color="auto" w:fill="D9D9D9" w:themeFill="background1" w:themeFillShade="D9"/>
          </w:tcPr>
          <w:p w14:paraId="62939398"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52920A74"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0A7015" w:rsidRPr="007F4CC8" w14:paraId="408201A6" w14:textId="77777777" w:rsidTr="001E06A3">
        <w:trPr>
          <w:trHeight w:val="805"/>
        </w:trPr>
        <w:tc>
          <w:tcPr>
            <w:tcW w:w="1384" w:type="dxa"/>
          </w:tcPr>
          <w:p w14:paraId="116E302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(a)</w:t>
            </w:r>
          </w:p>
        </w:tc>
        <w:tc>
          <w:tcPr>
            <w:tcW w:w="7655" w:type="dxa"/>
          </w:tcPr>
          <w:p w14:paraId="4B3A226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Opis postupaka koji se primjenjuju za upravljanje rizikom prekomjerne financijske poluge</w:t>
            </w:r>
          </w:p>
          <w:p w14:paraId="1045D7C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Članak 451. stavak 1. točka (d) CRR-a</w:t>
            </w:r>
          </w:p>
          <w:p w14:paraId="6272CBE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„Opis postupaka koji se primjenjuju za upravljanje rizikom prekomjerne financijske poluge” uključuje sve relevantne informacije o:</w:t>
            </w:r>
          </w:p>
          <w:p w14:paraId="690506A7" w14:textId="77777777" w:rsidR="000A7015" w:rsidRPr="007F4CC8" w:rsidRDefault="000A7015" w:rsidP="00E70D84">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postupcima i resursima koji se koriste za procjenu rizika prekomjerne financijske poluge;</w:t>
            </w:r>
          </w:p>
          <w:p w14:paraId="00DD152E" w14:textId="77777777" w:rsidR="000A7015" w:rsidRPr="007F4CC8" w:rsidRDefault="000A7015" w:rsidP="00E70D84">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kvantitativnim alatima, ako postoje, koji se koriste za procjenu rizika prekomjerne financijske poluge, uključujući pojedinosti o potencijalnim </w:t>
            </w:r>
            <w:r>
              <w:rPr>
                <w:rFonts w:ascii="Times New Roman" w:hAnsi="Times New Roman"/>
                <w:sz w:val="24"/>
                <w:szCs w:val="24"/>
              </w:rPr>
              <w:lastRenderedPageBreak/>
              <w:t>internim ciljevima, te koriste li se drugi pokazatelji osim omjera financijske poluge iz CRR-a;</w:t>
            </w:r>
          </w:p>
          <w:p w14:paraId="3C823764" w14:textId="77777777" w:rsidR="000A7015" w:rsidRPr="007F4CC8" w:rsidRDefault="000A7015" w:rsidP="00E70D84">
            <w:pPr>
              <w:pStyle w:val="Teksttreci0"/>
              <w:numPr>
                <w:ilvl w:val="0"/>
                <w:numId w:val="25"/>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szCs w:val="24"/>
              </w:rPr>
              <w:t>(c) načinima razmatranja neusklađenosti i opterećenja imovine pri upravljanju rizikom prekomjerne financijske poluge;</w:t>
            </w:r>
          </w:p>
          <w:p w14:paraId="6A93BB36" w14:textId="77777777" w:rsidR="000A7015" w:rsidRPr="007F4CC8" w:rsidRDefault="000A7015" w:rsidP="001E06A3">
            <w:pPr>
              <w:pStyle w:val="Teksttreci0"/>
              <w:shd w:val="clear" w:color="auto" w:fill="auto"/>
              <w:tabs>
                <w:tab w:val="left" w:pos="-17"/>
              </w:tabs>
              <w:spacing w:after="120" w:line="240" w:lineRule="auto"/>
              <w:ind w:firstLine="0"/>
              <w:rPr>
                <w:rFonts w:ascii="Times New Roman" w:hAnsi="Times New Roman" w:cs="Times New Roman"/>
                <w:sz w:val="24"/>
                <w:szCs w:val="24"/>
              </w:rPr>
            </w:pPr>
            <w:r>
              <w:rPr>
                <w:rFonts w:ascii="Times New Roman" w:hAnsi="Times New Roman"/>
                <w:sz w:val="24"/>
                <w:szCs w:val="24"/>
              </w:rPr>
              <w:t>(d) procesima kojima se reagira na promjene omjera financijske poluge, uključujući procese i pravovremenost potencijalnog povećanja osnovnog kapitala radi upravljanja rizikom prekomjerne financijske poluge ili procese i pravovremenost za usklađenje nazivnika omjera financijske poluge (mjera ukupne izloženosti) radi upravljanja rizikom prekomjerne financijske poluge.</w:t>
            </w:r>
          </w:p>
        </w:tc>
      </w:tr>
      <w:tr w:rsidR="000A7015" w:rsidRPr="007F4CC8" w14:paraId="535F2FD9" w14:textId="77777777" w:rsidTr="001E06A3">
        <w:trPr>
          <w:trHeight w:val="2265"/>
        </w:trPr>
        <w:tc>
          <w:tcPr>
            <w:tcW w:w="1384" w:type="dxa"/>
          </w:tcPr>
          <w:p w14:paraId="568620E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(b)</w:t>
            </w:r>
          </w:p>
        </w:tc>
        <w:tc>
          <w:tcPr>
            <w:tcW w:w="7655" w:type="dxa"/>
          </w:tcPr>
          <w:p w14:paraId="72A867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Opis čimbenika koji su utjecali na omjer financijske poluge tijekom razdoblja na koje se odnosi objavljeni omjer financijske poluge</w:t>
            </w:r>
          </w:p>
          <w:p w14:paraId="418FCF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Članak 451. stavak 1. točka (e) CRR-a</w:t>
            </w:r>
          </w:p>
          <w:p w14:paraId="452051C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„Opis čimbenika koji su utjecali na omjer financijske poluge tijekom razdoblja na koje se odnosi objavljeni omjer financijske poluge” sadržava sve značajne informacije o:</w:t>
            </w:r>
          </w:p>
          <w:p w14:paraId="03ED54C0" w14:textId="77777777" w:rsidR="000A7015" w:rsidRPr="007F4CC8" w:rsidRDefault="000A7015" w:rsidP="00E70D84">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kvantifikaciji promjene omjer financijske poluge od prethodnog referentnog datuma objave;</w:t>
            </w:r>
          </w:p>
          <w:p w14:paraId="42D8F1FD" w14:textId="77777777" w:rsidR="000A7015" w:rsidRPr="007F4CC8" w:rsidRDefault="000A7015" w:rsidP="00E70D84">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glavnim razlozima omjera financijske poluge od prethodnog referentnog datuma objave s objašnjenjem:</w:t>
            </w:r>
          </w:p>
          <w:p w14:paraId="17C83F25" w14:textId="77777777" w:rsidR="000A7015" w:rsidRPr="007F4CC8" w:rsidRDefault="000A7015" w:rsidP="00E70D84">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szCs w:val="24"/>
              </w:rPr>
              <w:t>(1.) prirode promjene, navodeći je li promjena u brojniku ili nazivniku omjera ili i u jednom i u drugom;</w:t>
            </w:r>
          </w:p>
          <w:p w14:paraId="782B25CF" w14:textId="77777777" w:rsidR="000A7015" w:rsidRPr="007F4CC8" w:rsidRDefault="000A7015" w:rsidP="00E70D84">
            <w:pPr>
              <w:pStyle w:val="Teksttreci0"/>
              <w:numPr>
                <w:ilvl w:val="0"/>
                <w:numId w:val="27"/>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szCs w:val="24"/>
              </w:rPr>
              <w:t>(2.) je li rezultat interne strateške odluke i, ako jest, je li se ta strateška odluka odnosila izravno na omjer financijske poluge ili je na njega samo neizravno utjecala;</w:t>
            </w:r>
          </w:p>
          <w:p w14:paraId="2A567F52" w14:textId="77777777" w:rsidR="000A7015" w:rsidRPr="007F4CC8" w:rsidRDefault="000A7015" w:rsidP="00E70D84">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szCs w:val="24"/>
              </w:rPr>
              <w:t>(3.) najznačajnijih vanjskih faktora iz gospodarskog i financijskog okruženja koji su utjecali na omjer financijske poluge.</w:t>
            </w:r>
          </w:p>
        </w:tc>
      </w:tr>
    </w:tbl>
    <w:p w14:paraId="6D781076" w14:textId="77777777" w:rsidR="007A7DC0" w:rsidRPr="007F4CC8" w:rsidRDefault="007A7DC0" w:rsidP="000A7015">
      <w:pPr>
        <w:spacing w:after="120"/>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p>
    <w:bookmarkStart w:id="16" w:name="bookmark43"/>
    <w:p w14:paraId="0146CDDE" w14:textId="099E3C1A" w:rsidR="001E06A3" w:rsidRPr="007F4CC8" w:rsidRDefault="001E06A3" w:rsidP="001E06A3">
      <w:pPr>
        <w:pStyle w:val="Annexetitre"/>
      </w:pPr>
      <w:r>
        <w:lastRenderedPageBreak/>
        <w:fldChar w:fldCharType="begin"/>
      </w:r>
      <w:r>
        <w:fldChar w:fldCharType="separate"/>
      </w:r>
      <w:r>
        <w:rPr>
          <w:noProof/>
          <w:lang w:val="en-IE" w:eastAsia="en-IE"/>
        </w:rPr>
        <w:drawing>
          <wp:inline distT="0" distB="0" distL="0" distR="0" wp14:anchorId="1FA11246" wp14:editId="7E1869C2">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fldChar w:fldCharType="end"/>
      </w:r>
      <w:r>
        <w:t>PRILOG XIV. – Upute za obrasce o likvidnosnim zahtjevima</w:t>
      </w:r>
    </w:p>
    <w:p w14:paraId="1454673D" w14:textId="2200263B" w:rsidR="001E06A3" w:rsidRPr="007F4CC8" w:rsidRDefault="001E06A3" w:rsidP="001E06A3">
      <w:pPr>
        <w:spacing w:before="120" w:after="120"/>
        <w:jc w:val="both"/>
        <w:rPr>
          <w:rFonts w:ascii="Times New Roman" w:hAnsi="Times New Roman" w:cs="Times New Roman"/>
          <w:b/>
          <w:sz w:val="24"/>
        </w:rPr>
      </w:pPr>
      <w:r>
        <w:rPr>
          <w:rFonts w:ascii="Times New Roman" w:hAnsi="Times New Roman"/>
          <w:b/>
          <w:sz w:val="24"/>
        </w:rPr>
        <w:t xml:space="preserve">Upute o tablici EU LIQA o upravljanju likvidnosnim rizikom i o obrascu EU LIQ1 o LCR-u </w:t>
      </w:r>
    </w:p>
    <w:p w14:paraId="05093B5F" w14:textId="37612E12"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b/>
          <w:sz w:val="24"/>
        </w:rPr>
      </w:pPr>
      <w:r>
        <w:rPr>
          <w:rFonts w:ascii="Times New Roman" w:hAnsi="Times New Roman"/>
          <w:sz w:val="24"/>
        </w:rPr>
        <w:t>Institucije na koje se primjenjuje dio šesti Uredbe (EU) 575/2013</w:t>
      </w:r>
      <w:r>
        <w:rPr>
          <w:rStyle w:val="FootnoteReference"/>
          <w:rFonts w:ascii="Times New Roman" w:hAnsi="Times New Roman" w:cs="Times New Roman"/>
          <w:sz w:val="24"/>
        </w:rPr>
        <w:footnoteReference w:id="21"/>
      </w:r>
      <w:r>
        <w:rPr>
          <w:rFonts w:ascii="Times New Roman" w:hAnsi="Times New Roman"/>
          <w:sz w:val="24"/>
        </w:rPr>
        <w:t xml:space="preserve"> („CRR”) objavljuju informacije iz članka 451.a CRR-a ispunjavanjem tablice EU LIQA, obrasca EU LIQ1 i tablice EU LIQB.</w:t>
      </w:r>
      <w:bookmarkEnd w:id="16"/>
      <w:r>
        <w:rPr>
          <w:rFonts w:ascii="Times New Roman" w:hAnsi="Times New Roman"/>
          <w:b/>
          <w:sz w:val="24"/>
        </w:rPr>
        <w:t xml:space="preserve"> </w:t>
      </w:r>
    </w:p>
    <w:p w14:paraId="4E3770EF" w14:textId="085A87B6" w:rsidR="001E06A3" w:rsidRPr="00DD0C4D" w:rsidRDefault="001E06A3" w:rsidP="001E06A3">
      <w:pPr>
        <w:pStyle w:val="Titlelevel2"/>
        <w:spacing w:before="120" w:after="120"/>
        <w:rPr>
          <w:rFonts w:ascii="Times New Roman" w:hAnsi="Times New Roman"/>
          <w:b/>
          <w:color w:val="auto"/>
          <w:sz w:val="24"/>
        </w:rPr>
      </w:pPr>
      <w:bookmarkStart w:id="17" w:name="bookmark44"/>
      <w:r>
        <w:rPr>
          <w:rFonts w:ascii="Times New Roman" w:hAnsi="Times New Roman"/>
          <w:b/>
          <w:color w:val="auto"/>
          <w:sz w:val="24"/>
        </w:rPr>
        <w:t xml:space="preserve">Tablica EU LIQA – Upravljanju likvidnosnim rizikom </w:t>
      </w:r>
    </w:p>
    <w:p w14:paraId="3FF4529C" w14:textId="184E3E74"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Institucije na koje se primjenjuje dio šesti CRR-a objavljuju informacije iz članka 451.a stavka 4. CRR-a popunjavanjem tablice EU LIQA iz Priloga XIII. ovoj Provedbenoj uredbi prateći upute u nastavku ovog Priloga.</w:t>
      </w:r>
    </w:p>
    <w:p w14:paraId="1B11FB4C" w14:textId="10A1F7D6"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Za potrebe tablice EU LIQA, institucije na koje se primjenjuje dio šesti CRR-a polja za unos teksta u tablici smatraju poljima za slobodan unos teksta. Navode relevantne informacije, kvalitativne i kvantitativne, o ciljevima upravljanja rizicima i politikama za likvidnosni rizik, ovisno o svojim poslovnim modelima i profilima </w:t>
      </w:r>
      <w:proofErr w:type="spellStart"/>
      <w:r>
        <w:rPr>
          <w:rFonts w:ascii="Times New Roman" w:hAnsi="Times New Roman"/>
          <w:sz w:val="24"/>
        </w:rPr>
        <w:t>likvidnosnog</w:t>
      </w:r>
      <w:proofErr w:type="spellEnd"/>
      <w:r>
        <w:rPr>
          <w:rFonts w:ascii="Times New Roman" w:hAnsi="Times New Roman"/>
          <w:sz w:val="24"/>
        </w:rPr>
        <w:t xml:space="preserve"> rizika, organizaciji i funkcijama upravljanja likvidnosnim rizikom, u skladu s člankom 435. stavkom 1. CRR-a i Delegiranom uredbom Komisije (EU) 2015/61</w:t>
      </w:r>
      <w:r>
        <w:rPr>
          <w:rStyle w:val="FootnoteReference"/>
          <w:rFonts w:ascii="Times New Roman" w:hAnsi="Times New Roman" w:cs="Times New Roman"/>
          <w:sz w:val="24"/>
        </w:rPr>
        <w:footnoteReference w:id="22"/>
      </w:r>
      <w:r>
        <w:rPr>
          <w:rFonts w:ascii="Times New Roman" w:hAnsi="Times New Roman"/>
          <w:sz w:val="24"/>
        </w:rPr>
        <w:t xml:space="preserve"> u pogledu zahtjeva za likvidnosnu pokrivenost za kreditne institucije. </w:t>
      </w:r>
    </w:p>
    <w:p w14:paraId="1BE2572C" w14:textId="6EBE3A8A" w:rsidR="001E06A3" w:rsidRPr="00DD0C4D" w:rsidRDefault="001E06A3" w:rsidP="001E06A3">
      <w:pPr>
        <w:pStyle w:val="Titlelevel2"/>
        <w:spacing w:before="120" w:after="120"/>
        <w:rPr>
          <w:rFonts w:ascii="Times New Roman" w:hAnsi="Times New Roman"/>
          <w:b/>
          <w:color w:val="auto"/>
          <w:sz w:val="24"/>
        </w:rPr>
      </w:pPr>
      <w:r>
        <w:rPr>
          <w:rFonts w:ascii="Times New Roman" w:hAnsi="Times New Roman"/>
          <w:b/>
          <w:color w:val="auto"/>
          <w:sz w:val="24"/>
        </w:rPr>
        <w:t>Obrazac EU LIQ1 – Kvantitativne informacije o LCR-u</w:t>
      </w:r>
    </w:p>
    <w:bookmarkEnd w:id="17"/>
    <w:p w14:paraId="5536EE2D" w14:textId="487B589F"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Institucije na koje se primjenjuje dio šesti CRR-a objavljuju informacije iz članka 451.a stavka 2. CRR-a popunjavanjem obrasca EU LIQ1 iz Priloga XIII. ovoj Provedbenoj uredbi prateći upute u nastavku ovog Priloga.</w:t>
      </w:r>
    </w:p>
    <w:p w14:paraId="375C2138" w14:textId="77777777"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Pri objavi informacija u ovom obrascu, institucije na koje se primjenjuje dio šesti CRR-a uključuju vrijednosti i brojčane podatke potrebne za sva četiri kalendarska tromjesečja (siječanj-ožujak, travanj-lipanj, srpanj-rujan, listopad-prosinac) koja prethode datumu objave. Institucije te vrijednosti i brojčane podatke izračunavaju kao jednostavne prosjeke na temelju opažanja na kraju mjeseca tijekom prethodnih 12 mjeseci za svako tromjesečje.</w:t>
      </w:r>
    </w:p>
    <w:p w14:paraId="64733842" w14:textId="41E35131"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Informacije koje se objavljuju u obrascu EU LIQ1 uključuju sve stavke neovisno o valuti i objavljuju se u izvještajnoj valuti kako je definirana u članku 3. Delegirane uredbe Komisije (EU) 2015/61.</w:t>
      </w:r>
    </w:p>
    <w:p w14:paraId="334230CA" w14:textId="521E680F" w:rsidR="001E06A3" w:rsidRPr="007F4CC8" w:rsidRDefault="003414D7"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Za potrebe obrasca EU LIQ1, institucije neponderirane i ponderirane priljeve i odljeve te ponderiranu vrijednost likvidne imovine visoke kvalitete (HQLA) izračunavaju prema sljedećim uputama:</w:t>
      </w:r>
    </w:p>
    <w:p w14:paraId="0D56960B" w14:textId="77777777" w:rsidR="001E06A3" w:rsidRPr="007F4CC8" w:rsidRDefault="001E06A3" w:rsidP="004E71F4">
      <w:pPr>
        <w:widowControl w:val="0"/>
        <w:numPr>
          <w:ilvl w:val="0"/>
          <w:numId w:val="32"/>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Priljevi/odljevi: Neponderirana vrijednost priljeva i odljeva izračunava se kao nepodmireni iznosi raznih kategorija ili vrsta obveza, izvanbilančnih stavki ili ugovornih potraživanja. „Ponderirana” vrijednost priljeva i odljeva izračunava se kao vrijednost nakon primjene stopa priljeva i odljeva.</w:t>
      </w:r>
    </w:p>
    <w:p w14:paraId="4DC6E39C" w14:textId="77777777" w:rsidR="001E06A3" w:rsidRPr="007F4CC8" w:rsidRDefault="001E06A3" w:rsidP="004E71F4">
      <w:pPr>
        <w:widowControl w:val="0"/>
        <w:numPr>
          <w:ilvl w:val="0"/>
          <w:numId w:val="32"/>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 xml:space="preserve">HQLA: „ponderirana” vrijednost likvidne imovine visoke kvalitete (HQLA) </w:t>
      </w:r>
      <w:r>
        <w:rPr>
          <w:rFonts w:ascii="Times New Roman" w:hAnsi="Times New Roman"/>
          <w:sz w:val="24"/>
        </w:rPr>
        <w:lastRenderedPageBreak/>
        <w:t>izračunava se kao vrijednost nakon primjene korektivnih faktora.</w:t>
      </w:r>
    </w:p>
    <w:p w14:paraId="6216B9AD" w14:textId="22CB6220"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Usklađene vrijednosti zaštitnog sloja likvidnosti u stavci 21 i usklađene vrijednosti ukupnih neto novčanih odljeva u stavci 22 obrasca EU LIQ1 institucije izračunavaju prema svim sljedećim uputama:</w:t>
      </w:r>
    </w:p>
    <w:p w14:paraId="1CDE122B" w14:textId="77777777" w:rsidR="001E06A3" w:rsidRPr="007F4CC8" w:rsidRDefault="001E06A3" w:rsidP="004E71F4">
      <w:pPr>
        <w:widowControl w:val="0"/>
        <w:numPr>
          <w:ilvl w:val="0"/>
          <w:numId w:val="33"/>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usklađena vrijednost zaštitnog sloja likvidnosti vrijednost je ukupne likvidne imovine visoke kvalitete nakon primjene korektivnih faktora i svake primjenjive gornje granice;</w:t>
      </w:r>
    </w:p>
    <w:p w14:paraId="0E6BB9D1" w14:textId="77777777" w:rsidR="001E06A3" w:rsidRPr="007F4CC8" w:rsidRDefault="001E06A3" w:rsidP="004E71F4">
      <w:pPr>
        <w:widowControl w:val="0"/>
        <w:numPr>
          <w:ilvl w:val="0"/>
          <w:numId w:val="33"/>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usklađena vrijednost ukupnih neto novčanih odljeva izračunava se nakon primjene gornje granice za priljeve, ovisno o slučaju.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E06A3" w:rsidRPr="007F4CC8" w14:paraId="62A2A2DE"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43142" w14:textId="77777777" w:rsidR="001E06A3" w:rsidRPr="007F4CC8" w:rsidRDefault="001E06A3" w:rsidP="001E06A3">
            <w:pPr>
              <w:spacing w:after="120"/>
              <w:rPr>
                <w:rFonts w:ascii="Times New Roman" w:hAnsi="Times New Roman" w:cs="Times New Roman"/>
                <w:b/>
                <w:sz w:val="24"/>
              </w:rPr>
            </w:pPr>
            <w:r>
              <w:rPr>
                <w:rFonts w:ascii="Times New Roman" w:hAnsi="Times New Roman"/>
                <w:b/>
                <w:sz w:val="24"/>
              </w:rPr>
              <w:t>Pravna osnova i upute</w:t>
            </w:r>
          </w:p>
        </w:tc>
      </w:tr>
      <w:tr w:rsidR="001E06A3" w:rsidRPr="007F4CC8" w14:paraId="18C0CAC6" w14:textId="77777777" w:rsidTr="001E06A3">
        <w:trPr>
          <w:trHeight w:val="238"/>
        </w:trPr>
        <w:tc>
          <w:tcPr>
            <w:tcW w:w="1384" w:type="dxa"/>
            <w:shd w:val="clear" w:color="auto" w:fill="D9D9D9" w:themeFill="background1" w:themeFillShade="D9"/>
          </w:tcPr>
          <w:p w14:paraId="144EFC16" w14:textId="77777777" w:rsidR="001E06A3" w:rsidRPr="007F4CC8" w:rsidRDefault="001E06A3"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35299EE0" w14:textId="77777777" w:rsidR="001E06A3" w:rsidRPr="007F4CC8" w:rsidRDefault="001E06A3"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1E06A3" w:rsidRPr="007F4CC8" w14:paraId="1A43E3DF" w14:textId="77777777" w:rsidTr="001E06A3">
        <w:trPr>
          <w:trHeight w:val="1858"/>
        </w:trPr>
        <w:tc>
          <w:tcPr>
            <w:tcW w:w="1384" w:type="dxa"/>
          </w:tcPr>
          <w:p w14:paraId="372FC7C6" w14:textId="77777777" w:rsidR="001E06A3" w:rsidRPr="007F4CC8" w:rsidRDefault="001E06A3" w:rsidP="001E06A3">
            <w:pPr>
              <w:pStyle w:val="Applicationdirecte"/>
              <w:spacing w:before="120"/>
              <w:jc w:val="center"/>
            </w:pPr>
            <w:r>
              <w:t>1</w:t>
            </w:r>
          </w:p>
        </w:tc>
        <w:tc>
          <w:tcPr>
            <w:tcW w:w="7655" w:type="dxa"/>
          </w:tcPr>
          <w:p w14:paraId="3F0FD976" w14:textId="77777777" w:rsidR="001E06A3" w:rsidRPr="007F4CC8" w:rsidRDefault="001E06A3" w:rsidP="001E06A3">
            <w:pPr>
              <w:pStyle w:val="Applicationdirecte"/>
              <w:spacing w:before="120"/>
              <w:rPr>
                <w:b/>
              </w:rPr>
            </w:pPr>
            <w:r>
              <w:rPr>
                <w:b/>
              </w:rPr>
              <w:t>Ukupna likvidna imovina visoke kvalitete (HQLA)</w:t>
            </w:r>
          </w:p>
          <w:p w14:paraId="5E16583C" w14:textId="77777777" w:rsidR="001E06A3" w:rsidRPr="007F4CC8" w:rsidRDefault="001E06A3" w:rsidP="001E06A3">
            <w:pPr>
              <w:pStyle w:val="InstructionsText"/>
              <w:rPr>
                <w:rFonts w:eastAsiaTheme="minorEastAsia"/>
              </w:rPr>
            </w:pPr>
            <w:r>
              <w:t xml:space="preserve">Institucije kao ponderiranu vrijednost objavljuju iznos likvidne imovine u skladu s člankom 9. Delegirane uredbe Komisije (EU) 2015/61 prije primjene mehanizma usklađenja iz članka 17. stavka 2. Delegirane uredbe Komisije (EU) 2015/61. </w:t>
            </w:r>
          </w:p>
        </w:tc>
      </w:tr>
      <w:tr w:rsidR="001E06A3" w:rsidRPr="007F4CC8" w14:paraId="0C34846D" w14:textId="77777777" w:rsidTr="001E06A3">
        <w:trPr>
          <w:trHeight w:val="316"/>
        </w:trPr>
        <w:tc>
          <w:tcPr>
            <w:tcW w:w="1384" w:type="dxa"/>
          </w:tcPr>
          <w:p w14:paraId="39898EF8" w14:textId="77777777" w:rsidR="001E06A3" w:rsidRPr="007F4CC8" w:rsidRDefault="001E06A3" w:rsidP="001E06A3">
            <w:pPr>
              <w:autoSpaceDE w:val="0"/>
              <w:autoSpaceDN w:val="0"/>
              <w:adjustRightInd w:val="0"/>
              <w:spacing w:after="120"/>
              <w:jc w:val="center"/>
              <w:rPr>
                <w:rFonts w:ascii="Times New Roman" w:hAnsi="Times New Roman" w:cs="Times New Roman"/>
                <w:color w:val="000000"/>
                <w:sz w:val="24"/>
              </w:rPr>
            </w:pPr>
            <w:r>
              <w:rPr>
                <w:rFonts w:ascii="Times New Roman" w:hAnsi="Times New Roman"/>
                <w:sz w:val="24"/>
              </w:rPr>
              <w:t>2</w:t>
            </w:r>
          </w:p>
        </w:tc>
        <w:tc>
          <w:tcPr>
            <w:tcW w:w="7655" w:type="dxa"/>
          </w:tcPr>
          <w:p w14:paraId="6D3E9955" w14:textId="77777777" w:rsidR="001E06A3" w:rsidRPr="007F4CC8" w:rsidRDefault="001E06A3" w:rsidP="001E06A3">
            <w:pPr>
              <w:autoSpaceDE w:val="0"/>
              <w:autoSpaceDN w:val="0"/>
              <w:adjustRightInd w:val="0"/>
              <w:spacing w:before="120" w:after="120"/>
              <w:rPr>
                <w:rFonts w:ascii="Times New Roman" w:hAnsi="Times New Roman" w:cs="Times New Roman"/>
                <w:b/>
                <w:sz w:val="24"/>
              </w:rPr>
            </w:pPr>
            <w:r>
              <w:rPr>
                <w:rFonts w:ascii="Times New Roman" w:hAnsi="Times New Roman"/>
                <w:b/>
                <w:sz w:val="24"/>
              </w:rPr>
              <w:t>Depoziti stanovništva i depoziti malih poduzetnika, od čega:</w:t>
            </w:r>
          </w:p>
          <w:p w14:paraId="158D3889"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bCs/>
                <w:sz w:val="24"/>
              </w:rPr>
              <w:t xml:space="preserve">Institucije kao </w:t>
            </w:r>
            <w:proofErr w:type="spellStart"/>
            <w:r>
              <w:rPr>
                <w:rFonts w:ascii="Times New Roman" w:hAnsi="Times New Roman"/>
                <w:bCs/>
                <w:sz w:val="24"/>
              </w:rPr>
              <w:t>neponderiranu</w:t>
            </w:r>
            <w:proofErr w:type="spellEnd"/>
            <w:r>
              <w:rPr>
                <w:rFonts w:ascii="Times New Roman" w:hAnsi="Times New Roman"/>
                <w:bCs/>
                <w:sz w:val="24"/>
              </w:rPr>
              <w:t xml:space="preserve"> vrijednost objavljuju iznos depozita stanovništva</w:t>
            </w:r>
            <w:r>
              <w:rPr>
                <w:rFonts w:ascii="Times New Roman" w:hAnsi="Times New Roman"/>
                <w:sz w:val="24"/>
              </w:rPr>
              <w:t xml:space="preserve"> u skladu s </w:t>
            </w:r>
            <w:r>
              <w:rPr>
                <w:rFonts w:ascii="Times New Roman" w:hAnsi="Times New Roman"/>
                <w:bCs/>
                <w:sz w:val="24"/>
              </w:rPr>
              <w:t xml:space="preserve">člancima 24. i 25. Delegirane uredbe Komisije (EU) 2015/61. </w:t>
            </w:r>
          </w:p>
          <w:p w14:paraId="65BE8D8C"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sz w:val="24"/>
              </w:rPr>
              <w:t xml:space="preserve">Institucije kao ponderiranu vrijednost objavljuju odljev depozita stanovništva u skladu s </w:t>
            </w:r>
            <w:r>
              <w:rPr>
                <w:rFonts w:ascii="Times New Roman" w:hAnsi="Times New Roman"/>
                <w:bCs/>
                <w:sz w:val="24"/>
              </w:rPr>
              <w:t>člancima 24. i 25. Delegirane uredbe Komisije (EU) 2015/61.</w:t>
            </w:r>
          </w:p>
          <w:p w14:paraId="5A493363"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bCs/>
                <w:sz w:val="24"/>
              </w:rPr>
              <w:t>Institucije ovdje objavljuju depozite stanovništva u skladu s člankom 411. stavkom 2. CRR-a.</w:t>
            </w:r>
          </w:p>
          <w:p w14:paraId="45453CA6" w14:textId="77777777" w:rsidR="001E06A3" w:rsidRPr="007F4CC8" w:rsidRDefault="001E06A3" w:rsidP="001E06A3">
            <w:pPr>
              <w:tabs>
                <w:tab w:val="left" w:pos="3317"/>
              </w:tabs>
              <w:spacing w:after="120" w:line="278" w:lineRule="exact"/>
              <w:jc w:val="both"/>
              <w:rPr>
                <w:rFonts w:ascii="Times New Roman" w:hAnsi="Times New Roman" w:cs="Times New Roman"/>
                <w:sz w:val="24"/>
              </w:rPr>
            </w:pPr>
            <w:r>
              <w:rPr>
                <w:rFonts w:ascii="Times New Roman" w:hAnsi="Times New Roman"/>
                <w:bCs/>
                <w:sz w:val="24"/>
              </w:rPr>
              <w:t xml:space="preserve">U skladu s člankom 28. stavkom 6. Delegirane uredbe Komisije (EU) 2015/61, institucije u odgovarajućoj kategoriji depozita stanovništva objavljuju i iznos kreditnih zapisa, obveznica i drugih izdanih vrijednosnih papira koji su prodani isključivo na tržištu za stanovništvo i drže se na računu stanovništva. Institucije za ovu kategoriju obveze uzimaju u obzir primjenjive stope odljeva iz Delegirane uredbe Komisije (EU) 2015/61 za različite kategorije depozita stanovništva. </w:t>
            </w:r>
          </w:p>
        </w:tc>
      </w:tr>
      <w:tr w:rsidR="001E06A3" w:rsidRPr="007F4CC8" w14:paraId="480D1E3C" w14:textId="77777777" w:rsidTr="001E06A3">
        <w:trPr>
          <w:trHeight w:val="316"/>
        </w:trPr>
        <w:tc>
          <w:tcPr>
            <w:tcW w:w="1384" w:type="dxa"/>
          </w:tcPr>
          <w:p w14:paraId="55C8EE16"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3</w:t>
            </w:r>
          </w:p>
        </w:tc>
        <w:tc>
          <w:tcPr>
            <w:tcW w:w="7655" w:type="dxa"/>
          </w:tcPr>
          <w:p w14:paraId="1862AD71" w14:textId="77777777" w:rsidR="001E06A3" w:rsidRPr="007F4CC8" w:rsidRDefault="001E06A3" w:rsidP="001E06A3">
            <w:pPr>
              <w:autoSpaceDE w:val="0"/>
              <w:autoSpaceDN w:val="0"/>
              <w:adjustRightInd w:val="0"/>
              <w:spacing w:before="120" w:after="120"/>
              <w:rPr>
                <w:rFonts w:ascii="Times New Roman" w:hAnsi="Times New Roman"/>
                <w:b/>
                <w:sz w:val="24"/>
              </w:rPr>
            </w:pPr>
            <w:r>
              <w:rPr>
                <w:rFonts w:ascii="Times New Roman" w:hAnsi="Times New Roman"/>
                <w:b/>
                <w:sz w:val="24"/>
              </w:rPr>
              <w:t>Stabilni depoziti</w:t>
            </w:r>
          </w:p>
          <w:p w14:paraId="1CA48DA9"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Institucije kao </w:t>
            </w:r>
            <w:proofErr w:type="spellStart"/>
            <w:r>
              <w:rPr>
                <w:rFonts w:ascii="Times New Roman" w:hAnsi="Times New Roman"/>
                <w:sz w:val="24"/>
              </w:rPr>
              <w:t>neponderiranu</w:t>
            </w:r>
            <w:proofErr w:type="spellEnd"/>
            <w:r>
              <w:rPr>
                <w:rFonts w:ascii="Times New Roman" w:hAnsi="Times New Roman"/>
                <w:sz w:val="24"/>
              </w:rPr>
              <w:t xml:space="preserve"> vrijednost objavljuju zbroj iznosa stabilnih depozita u skladu s člankom 24. Delegirane uredbe Komisije (EU) 2015/61.</w:t>
            </w:r>
          </w:p>
          <w:p w14:paraId="6FDB5C6A"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Institucije kao ponderiranu vrijednost objavljuju zbroj odljeva stabilnih depozita u skladu s člankom 24. Delegirane uredbe Komisije (EU) 2015/61.</w:t>
            </w:r>
          </w:p>
          <w:p w14:paraId="4D754E69"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Institucije ovdje objavljuju dio iznosa depozita stanovništva koji je obuhvaćen sustavom osiguranja depozita u skladu s Direktivom 94/19/EZ</w:t>
            </w:r>
            <w:r>
              <w:rPr>
                <w:rStyle w:val="FootnoteReference"/>
                <w:rFonts w:ascii="Times New Roman" w:hAnsi="Times New Roman" w:cs="Times New Roman"/>
                <w:sz w:val="24"/>
              </w:rPr>
              <w:footnoteReference w:id="23"/>
            </w:r>
            <w:r>
              <w:rPr>
                <w:rFonts w:ascii="Times New Roman" w:hAnsi="Times New Roman"/>
                <w:sz w:val="24"/>
              </w:rPr>
              <w:t>, Direktivom 2014/49/EU</w:t>
            </w:r>
            <w:r>
              <w:rPr>
                <w:rStyle w:val="FootnoteReference"/>
                <w:rFonts w:ascii="Times New Roman" w:hAnsi="Times New Roman" w:cs="Times New Roman"/>
                <w:sz w:val="24"/>
              </w:rPr>
              <w:footnoteReference w:id="24"/>
            </w:r>
            <w:r>
              <w:rPr>
                <w:rFonts w:ascii="Times New Roman" w:hAnsi="Times New Roman"/>
                <w:sz w:val="24"/>
              </w:rPr>
              <w:t xml:space="preserve"> ili istovrijednim sustavom osiguranja depozita u trećoj zemlji i dio je postojanog odnosa koji umanjuje vjerojatnost povlačenja ili se drži na transakcijskom računu u skladu s člankom 24. stavcima 2. i 3. Delegirane uredbe Komisije (EU) 2015/61 i ako:</w:t>
            </w:r>
          </w:p>
          <w:p w14:paraId="284DEE62" w14:textId="712EF8D8"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ti depoziti ne ispunjavaju kriterije za višu stopu odljeva u skladu s člankom 25. stavcima 2., 3. ili 5. Delegirane uredbe Komisije (EU) 2015/61 i</w:t>
            </w:r>
          </w:p>
          <w:p w14:paraId="50BEF014" w14:textId="0394E096"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ti depoziti nisu uzeti u trećim zemljama za koje je primijenjena viša stopa odljeva u skladu s člankom 25. stavkom 5. Delegirane uredbe Komisije (EU) 2015/61. </w:t>
            </w:r>
          </w:p>
        </w:tc>
      </w:tr>
      <w:tr w:rsidR="001E06A3" w:rsidRPr="007F4CC8" w14:paraId="701CEA9D" w14:textId="77777777" w:rsidTr="001E06A3">
        <w:trPr>
          <w:trHeight w:val="316"/>
        </w:trPr>
        <w:tc>
          <w:tcPr>
            <w:tcW w:w="1384" w:type="dxa"/>
          </w:tcPr>
          <w:p w14:paraId="3A4DBE03" w14:textId="77777777" w:rsidR="001E06A3" w:rsidRPr="007F4CC8" w:rsidRDefault="001E06A3" w:rsidP="001E06A3">
            <w:pPr>
              <w:autoSpaceDE w:val="0"/>
              <w:autoSpaceDN w:val="0"/>
              <w:adjustRightInd w:val="0"/>
              <w:spacing w:after="120"/>
              <w:jc w:val="center"/>
              <w:rPr>
                <w:rFonts w:ascii="Times New Roman" w:hAnsi="Times New Roman" w:cs="Times New Roman"/>
                <w:sz w:val="24"/>
              </w:rPr>
            </w:pPr>
            <w:r>
              <w:rPr>
                <w:rFonts w:ascii="Times New Roman" w:hAnsi="Times New Roman"/>
                <w:sz w:val="24"/>
              </w:rPr>
              <w:lastRenderedPageBreak/>
              <w:t>4</w:t>
            </w:r>
          </w:p>
        </w:tc>
        <w:tc>
          <w:tcPr>
            <w:tcW w:w="7655" w:type="dxa"/>
          </w:tcPr>
          <w:p w14:paraId="537F473D"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Manje stabilni depoziti</w:t>
            </w:r>
          </w:p>
          <w:p w14:paraId="54DCDA4F" w14:textId="77777777"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 xml:space="preserve">Institucije kao </w:t>
            </w:r>
            <w:proofErr w:type="spellStart"/>
            <w:r>
              <w:rPr>
                <w:rFonts w:ascii="Times New Roman" w:hAnsi="Times New Roman"/>
                <w:sz w:val="24"/>
              </w:rPr>
              <w:t>neponderiranu</w:t>
            </w:r>
            <w:proofErr w:type="spellEnd"/>
            <w:r>
              <w:rPr>
                <w:rFonts w:ascii="Times New Roman" w:hAnsi="Times New Roman"/>
                <w:sz w:val="24"/>
              </w:rPr>
              <w:t xml:space="preserve"> vrijednost objavljuju zbroj iznosa depozita stanovništva u skladu s člankom 25. stavcima 1., 2. i 3. Delegirane uredbe Komisije (EU) 2015/61.</w:t>
            </w:r>
          </w:p>
          <w:p w14:paraId="37AFD8CC"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Institucije kao ponderiranu vrijednost objavljuju zbroj odljeva depozita stanovništva u skladu s člankom 25. stavcima 1., 2. i 3. Delegirane uredbe Komisije (EU) 2015/61.</w:t>
            </w:r>
          </w:p>
        </w:tc>
      </w:tr>
      <w:tr w:rsidR="001E06A3" w:rsidRPr="007F4CC8" w14:paraId="43B276D1" w14:textId="77777777" w:rsidTr="001E06A3">
        <w:trPr>
          <w:trHeight w:val="316"/>
        </w:trPr>
        <w:tc>
          <w:tcPr>
            <w:tcW w:w="1384" w:type="dxa"/>
          </w:tcPr>
          <w:p w14:paraId="2061877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5</w:t>
            </w:r>
          </w:p>
        </w:tc>
        <w:tc>
          <w:tcPr>
            <w:tcW w:w="7655" w:type="dxa"/>
          </w:tcPr>
          <w:p w14:paraId="5895BE0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Neosigurano financiranje velikih klijenata</w:t>
            </w:r>
          </w:p>
          <w:p w14:paraId="03A74944" w14:textId="4A2645F3" w:rsidR="001E06A3" w:rsidRPr="007F4CC8" w:rsidRDefault="001E06A3" w:rsidP="00811C0D">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Institucije objavljuju zbrojeve </w:t>
            </w:r>
            <w:proofErr w:type="spellStart"/>
            <w:r>
              <w:rPr>
                <w:rFonts w:ascii="Times New Roman" w:hAnsi="Times New Roman"/>
                <w:sz w:val="24"/>
              </w:rPr>
              <w:t>neponderiranih</w:t>
            </w:r>
            <w:proofErr w:type="spellEnd"/>
            <w:r>
              <w:rPr>
                <w:rFonts w:ascii="Times New Roman" w:hAnsi="Times New Roman"/>
                <w:sz w:val="24"/>
              </w:rPr>
              <w:t xml:space="preserve"> i ponderiranih iznosa koji se objavljuju u retku 6 „Operativni depoziti (sve druge ugovorne strane) i depoziti u mrežama kreditnih zadruga”, retku 7 „Neoperativni depoziti (sve druge ugovorne strane)” i retku 8 „Neosigurani dug” ovog obrasca.</w:t>
            </w:r>
          </w:p>
        </w:tc>
      </w:tr>
      <w:tr w:rsidR="001E06A3" w:rsidRPr="007F4CC8" w14:paraId="4ECB5055" w14:textId="77777777" w:rsidTr="001E06A3">
        <w:trPr>
          <w:trHeight w:val="316"/>
        </w:trPr>
        <w:tc>
          <w:tcPr>
            <w:tcW w:w="1384" w:type="dxa"/>
          </w:tcPr>
          <w:p w14:paraId="308503D9"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6</w:t>
            </w:r>
          </w:p>
        </w:tc>
        <w:tc>
          <w:tcPr>
            <w:tcW w:w="7655" w:type="dxa"/>
          </w:tcPr>
          <w:p w14:paraId="79F16017"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Operativni depoziti (sve druge ugovorne strane) i depoziti u mrežama kreditnih zadruga</w:t>
            </w:r>
          </w:p>
          <w:p w14:paraId="3C003E67"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 xml:space="preserve">Institucije kao </w:t>
            </w:r>
            <w:proofErr w:type="spellStart"/>
            <w:r>
              <w:rPr>
                <w:rFonts w:ascii="Times New Roman" w:hAnsi="Times New Roman"/>
                <w:sz w:val="24"/>
              </w:rPr>
              <w:t>neponderiranu</w:t>
            </w:r>
            <w:proofErr w:type="spellEnd"/>
            <w:r>
              <w:rPr>
                <w:rFonts w:ascii="Times New Roman" w:hAnsi="Times New Roman"/>
                <w:sz w:val="24"/>
              </w:rPr>
              <w:t xml:space="preserve"> vrijednost objavljuju iznos operativnih depozita u skladu s člankom 27. Delegirane uredbe Komisije (EU) 2015/61.</w:t>
            </w:r>
          </w:p>
          <w:p w14:paraId="7066CC8F"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Institucije kao ponderiranu vrijednost objavljuju odljeve operativnih depozita u skladu s člankom 27. Delegirane uredbe Komisije (EU) 2015/61.</w:t>
            </w:r>
          </w:p>
          <w:p w14:paraId="32C26D4E"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Institucije ovdje objavljuju dio operativnih depozita, u skladu s člankom 27. Delegirane uredbe Komisije (EU) 2015/61, koji je potreban za pružanje operativnih usluga. Depoziti koji proizlaze iz korespondentnog bankarstva ili pružanja usluga glavnog brokera smatraju se neoperativnim depozitima u skladu s člankom 27. stavkom 5. Delegirane uredbe Komisije (EU) 2015/61.</w:t>
            </w:r>
          </w:p>
          <w:p w14:paraId="67E81DC7"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Ovdje se ne objavljuje dio viška operativnih depozita u odnosu na iznos potreban za pružanje operativnih usluga.</w:t>
            </w:r>
          </w:p>
        </w:tc>
      </w:tr>
      <w:tr w:rsidR="001E06A3" w:rsidRPr="007F4CC8" w14:paraId="783B515B" w14:textId="77777777" w:rsidTr="001E06A3">
        <w:trPr>
          <w:trHeight w:val="316"/>
        </w:trPr>
        <w:tc>
          <w:tcPr>
            <w:tcW w:w="1384" w:type="dxa"/>
          </w:tcPr>
          <w:p w14:paraId="68D59C1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7</w:t>
            </w:r>
          </w:p>
        </w:tc>
        <w:tc>
          <w:tcPr>
            <w:tcW w:w="7655" w:type="dxa"/>
          </w:tcPr>
          <w:p w14:paraId="65D184E1" w14:textId="77777777" w:rsidR="001E06A3" w:rsidRPr="007F4CC8" w:rsidRDefault="001E06A3" w:rsidP="001E06A3">
            <w:pPr>
              <w:spacing w:before="120" w:after="120" w:line="190" w:lineRule="exact"/>
              <w:rPr>
                <w:rFonts w:ascii="Times New Roman" w:hAnsi="Times New Roman"/>
                <w:b/>
                <w:sz w:val="24"/>
              </w:rPr>
            </w:pPr>
            <w:r>
              <w:rPr>
                <w:rFonts w:ascii="Times New Roman" w:hAnsi="Times New Roman"/>
                <w:b/>
                <w:sz w:val="24"/>
              </w:rPr>
              <w:t>Neoperativni depoziti (sve druge ugovorne strane)</w:t>
            </w:r>
          </w:p>
          <w:p w14:paraId="31E38EDF"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 xml:space="preserve">Institucije kao </w:t>
            </w:r>
            <w:proofErr w:type="spellStart"/>
            <w:r>
              <w:rPr>
                <w:rFonts w:ascii="Times New Roman" w:hAnsi="Times New Roman"/>
                <w:sz w:val="24"/>
              </w:rPr>
              <w:t>neponderiranu</w:t>
            </w:r>
            <w:proofErr w:type="spellEnd"/>
            <w:r>
              <w:rPr>
                <w:rFonts w:ascii="Times New Roman" w:hAnsi="Times New Roman"/>
                <w:sz w:val="24"/>
              </w:rPr>
              <w:t xml:space="preserve"> vrijednost objavljuju iznos neoperativnih depozita u skladu s člankom 27. stavkom 5., člankom 28. stavkom 1. i člankom 31.a stavkom 1. Delegirane uredbe Komisije (EU) 2015/61.</w:t>
            </w:r>
          </w:p>
          <w:p w14:paraId="01ECC06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Institucije kao ponderiranu vrijednost objavljuju iznos neoperativnih depozita u skladu s člankom 27. stavkom 5., člankom 28. stavkom 1. i člankom 31.a stavkom 1. Delegirane uredbe Komisije (EU) 2015/61.</w:t>
            </w:r>
          </w:p>
          <w:p w14:paraId="729DFC84"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Institucije ovdje objavljuju informacije o depozitima koji proizlaze iz korespondentnog bankarstva ili pružanja usluga glavnog brokera u skladu s člankom 27. stavkom 5. Delegirane uredbe Komisije (EU) 2015/61.</w:t>
            </w:r>
          </w:p>
          <w:p w14:paraId="31ED50A3"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Ovdje je objavljuje dio viška operativnih depozita u skladu s člankom 27. stavkom 5. Delegirane uredbe Komisije (EU) 2015/61 u odnosu na iznos potreban za pružanje operativnih usluga.</w:t>
            </w:r>
          </w:p>
        </w:tc>
      </w:tr>
      <w:tr w:rsidR="001E06A3" w:rsidRPr="007F4CC8" w14:paraId="01FA9890" w14:textId="77777777" w:rsidTr="001E06A3">
        <w:trPr>
          <w:trHeight w:val="316"/>
        </w:trPr>
        <w:tc>
          <w:tcPr>
            <w:tcW w:w="1384" w:type="dxa"/>
          </w:tcPr>
          <w:p w14:paraId="16AD0F97"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8</w:t>
            </w:r>
          </w:p>
        </w:tc>
        <w:tc>
          <w:tcPr>
            <w:tcW w:w="7655" w:type="dxa"/>
          </w:tcPr>
          <w:p w14:paraId="083BCD54"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Neosigurani dug</w:t>
            </w:r>
          </w:p>
          <w:p w14:paraId="7940CF34"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 xml:space="preserve">Institucije kao </w:t>
            </w:r>
            <w:proofErr w:type="spellStart"/>
            <w:r>
              <w:rPr>
                <w:rFonts w:ascii="Times New Roman" w:hAnsi="Times New Roman"/>
                <w:sz w:val="24"/>
              </w:rPr>
              <w:t>neponderiranu</w:t>
            </w:r>
            <w:proofErr w:type="spellEnd"/>
            <w:r>
              <w:rPr>
                <w:rFonts w:ascii="Times New Roman" w:hAnsi="Times New Roman"/>
                <w:sz w:val="24"/>
              </w:rPr>
              <w:t xml:space="preserve"> vrijednost objavljuju iskorišteni iznos kreditnih zapisa, obveznica i drugih dužničkih vrijednosnih papira koje je institucija izdala, osim onih koji su objavljeni kao depoziti stanovništva kako je navedeno u članku 28. stavku 6. Delegirane uredbe Komisije (EU) 2015/61. Taj iznos uključuje i kupone koji dospijevaju u sljedećih 30 kalendarskih dana, kako je navedeno u svim tim vrijednosnim papirima.</w:t>
            </w:r>
          </w:p>
          <w:p w14:paraId="4659E6DD"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Institucije kao ponderiranu vrijednost objavljuju odljev tih kreditnih zapisa, obveznica i drugih dužničkih vrijednosnih papira iz prethodnog ulomka.</w:t>
            </w:r>
          </w:p>
        </w:tc>
      </w:tr>
      <w:tr w:rsidR="001E06A3" w:rsidRPr="007F4CC8" w14:paraId="3FD3BFE9" w14:textId="77777777" w:rsidTr="001E06A3">
        <w:trPr>
          <w:trHeight w:val="316"/>
        </w:trPr>
        <w:tc>
          <w:tcPr>
            <w:tcW w:w="1384" w:type="dxa"/>
          </w:tcPr>
          <w:p w14:paraId="05BB6B7D"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9</w:t>
            </w:r>
          </w:p>
        </w:tc>
        <w:tc>
          <w:tcPr>
            <w:tcW w:w="7655" w:type="dxa"/>
          </w:tcPr>
          <w:p w14:paraId="02173D1C"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Osigurano financiranje velikih klijenata</w:t>
            </w:r>
          </w:p>
          <w:p w14:paraId="50900319"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Institucije kao ponderiranu vrijednost objavljuju zbroj odljeva koji proizlaze iz transakcija osiguranih kolateralom ili transakcija ovisnih o kretanju na tržištu kapitala iz članka 28. stavka 3. Delegirane uredbe Komisije (EU) 2015/61 te iz transakcija razmjene kolaterala i drugih transakcija sličnog oblika u skladu s člankom 28. stavkom 4. Delegirane uredbe Komisije (EU) 2015/61.</w:t>
            </w:r>
          </w:p>
        </w:tc>
      </w:tr>
      <w:tr w:rsidR="001E06A3" w:rsidRPr="007F4CC8" w14:paraId="66AC1D00" w14:textId="77777777" w:rsidTr="001E06A3">
        <w:trPr>
          <w:trHeight w:val="316"/>
        </w:trPr>
        <w:tc>
          <w:tcPr>
            <w:tcW w:w="1384" w:type="dxa"/>
          </w:tcPr>
          <w:p w14:paraId="397631D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10</w:t>
            </w:r>
          </w:p>
        </w:tc>
        <w:tc>
          <w:tcPr>
            <w:tcW w:w="7655" w:type="dxa"/>
          </w:tcPr>
          <w:p w14:paraId="06623FE0" w14:textId="77777777" w:rsidR="001E06A3" w:rsidRPr="007F4CC8" w:rsidRDefault="001E06A3" w:rsidP="001E06A3">
            <w:pPr>
              <w:autoSpaceDE w:val="0"/>
              <w:autoSpaceDN w:val="0"/>
              <w:adjustRightInd w:val="0"/>
              <w:spacing w:before="120" w:after="120"/>
              <w:jc w:val="both"/>
              <w:rPr>
                <w:rFonts w:ascii="Times New Roman" w:hAnsi="Times New Roman"/>
                <w:b/>
                <w:sz w:val="24"/>
              </w:rPr>
            </w:pPr>
            <w:r>
              <w:rPr>
                <w:rFonts w:ascii="Times New Roman" w:hAnsi="Times New Roman"/>
                <w:b/>
                <w:sz w:val="24"/>
              </w:rPr>
              <w:t>Dodatni zahtjevi</w:t>
            </w:r>
          </w:p>
          <w:p w14:paraId="02392E26" w14:textId="572E481A"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Institucije objavljuju zbrojeve </w:t>
            </w:r>
            <w:proofErr w:type="spellStart"/>
            <w:r>
              <w:rPr>
                <w:rFonts w:ascii="Times New Roman" w:hAnsi="Times New Roman"/>
                <w:sz w:val="24"/>
              </w:rPr>
              <w:t>neponderiranih</w:t>
            </w:r>
            <w:proofErr w:type="spellEnd"/>
            <w:r>
              <w:rPr>
                <w:rFonts w:ascii="Times New Roman" w:hAnsi="Times New Roman"/>
                <w:sz w:val="24"/>
              </w:rPr>
              <w:t xml:space="preserve"> i ponderiranih iznosa koji se objavljuju u retku 11 „Odljevi za izloženosti po izvedenicama i drugi zahtjevi za kolateral”, retku 12 „Odljevi za gubitak financiranja za dužničke proizvode” i retku 13 „Kreditne i likvidnosne linije” ovog obrasca.</w:t>
            </w:r>
          </w:p>
        </w:tc>
      </w:tr>
      <w:tr w:rsidR="001E06A3" w:rsidRPr="007F4CC8" w14:paraId="677BEA7A" w14:textId="77777777" w:rsidTr="001E06A3">
        <w:trPr>
          <w:trHeight w:val="316"/>
        </w:trPr>
        <w:tc>
          <w:tcPr>
            <w:tcW w:w="1384" w:type="dxa"/>
          </w:tcPr>
          <w:p w14:paraId="73E187DA"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11</w:t>
            </w:r>
          </w:p>
        </w:tc>
        <w:tc>
          <w:tcPr>
            <w:tcW w:w="7655" w:type="dxa"/>
          </w:tcPr>
          <w:p w14:paraId="2E25BAE5"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Odljevi za izloženosti po izvedenicama i druge zahtjeve za kolateral</w:t>
            </w:r>
          </w:p>
          <w:p w14:paraId="787FB10A" w14:textId="3F7DC415"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Institucije kao </w:t>
            </w:r>
            <w:proofErr w:type="spellStart"/>
            <w:r>
              <w:rPr>
                <w:rFonts w:ascii="Times New Roman" w:hAnsi="Times New Roman"/>
                <w:sz w:val="24"/>
              </w:rPr>
              <w:t>neponderiranu</w:t>
            </w:r>
            <w:proofErr w:type="spellEnd"/>
            <w:r>
              <w:rPr>
                <w:rFonts w:ascii="Times New Roman" w:hAnsi="Times New Roman"/>
                <w:sz w:val="24"/>
              </w:rPr>
              <w:t xml:space="preserve"> i kao ponderiranu vrijednost objavljuju zbroj sljedećih iznosa odnosno odljeva:</w:t>
            </w:r>
          </w:p>
          <w:p w14:paraId="55B7C245"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tržišne vrijednosti i relevantnih odljeva kolaterala osim kolaterala prvog stupnja danog za ugovore navedene u Prilogu II. CRR-u i kreditnih izvedenica, u skladu s člankom 30. stavkom 1. Delegirane uredbe Komisije (EU) 2015/61,</w:t>
            </w:r>
          </w:p>
          <w:p w14:paraId="05A4B1CD"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lastRenderedPageBreak/>
              <w:t>tržišne vrijednosti i relevantnih odljeva kolaterala u imovini prvog stupnja iznimno visoke kvalitete u obliku pokrivenih obveznica danih za ugovore navedene u Prilogu II. CRR-u i kreditnih izvedenica, u skladu s člankom 30. stavkom 1. Delegirane uredbe Komisije (EU) 2015/61,</w:t>
            </w:r>
          </w:p>
          <w:p w14:paraId="1A45CC0F"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ukupnog iznosa dodatnih odljeva koji se izračunava i o kojem su obaviještena nadležna tijela u skladu s člankom 30. stavkom 2. Delegirane uredbe Komisije (EU) 2015/61 kao značajnih odljeva zbog pogoršanja vlastite kreditne kvalitete, </w:t>
            </w:r>
          </w:p>
          <w:p w14:paraId="02B212FA"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iznosa odljeva koji proizlaze iz utjecaja negativne situacije na tržištu na transakcije izvedenicama kako je predviđeno u članku 30. stavku 3. Delegirane uredbe Komisije (EU) 2015/61 i izračunavaju u skladu s Delegiranom uredbom Komisije (EU) 2017/208</w:t>
            </w:r>
            <w:r>
              <w:rPr>
                <w:rStyle w:val="FootnoteReference"/>
                <w:rFonts w:ascii="Times New Roman" w:hAnsi="Times New Roman"/>
                <w:sz w:val="24"/>
              </w:rPr>
              <w:footnoteReference w:id="25"/>
            </w:r>
            <w:r>
              <w:rPr>
                <w:rFonts w:ascii="Times New Roman" w:hAnsi="Times New Roman"/>
                <w:sz w:val="24"/>
              </w:rPr>
              <w:t>,</w:t>
            </w:r>
          </w:p>
          <w:p w14:paraId="048EA4CA"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iznosa odljeva koji se očekuju u roku od 30 kalendarskih dana iz ugovora navedenih u Prilogu II. CRR-u i kreditnih izvedenica kako je predviđeno u članku 30. stavku 4. Delegirane uredbe Komisije (EU) 2015/61 i izračunavaju u skladu s člankom 21. Delegirane uredbe Komisije (EU) 2015/61, </w:t>
            </w:r>
          </w:p>
          <w:p w14:paraId="6F54940D"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tržišne vrijednosti i relevantnih odljeva viška kolaterala koje institucija drži, a koje druga ugovorna strana može na temelju ugovora zatražiti u bilo kojem trenutku kako je predviđeno u članku 30. stavku 6. točki (a) Delegirane uredbe Komisije (EU) 2015/61, </w:t>
            </w:r>
          </w:p>
          <w:p w14:paraId="1AC0B02D"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tržišne vrijednosti i relevantnih odljeva kolaterala koje treba ponuditi drugoj ugovornoj strani u roku od 30 kalendarskih dana kako je predviđeno u članku 30. stavku 6. točki (b) Delegirane uredbe Komisije (EU) 2015/61, </w:t>
            </w:r>
          </w:p>
          <w:p w14:paraId="6D336378"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tržišne vrijednosti i relevantnih odljeva kolaterala koji se za potrebe glave II. Delegirane uredbe Komisije (EU) 2015/61 smatraju likvidnom imovinom koju može zamijeniti imovina koja odgovara imovini koja se bez suglasnosti institucije ne bi smatrala likvidnom imovinom za potrebe glave II. iste Uredbe, kako je predviđeno u članku 30. stavku 6. točki (c) Delegirane uredbe Komisije (EU) 2015/61.</w:t>
            </w:r>
          </w:p>
        </w:tc>
      </w:tr>
      <w:tr w:rsidR="001E06A3" w:rsidRPr="007F4CC8" w14:paraId="52302D19" w14:textId="77777777" w:rsidTr="001E06A3">
        <w:trPr>
          <w:trHeight w:val="316"/>
        </w:trPr>
        <w:tc>
          <w:tcPr>
            <w:tcW w:w="1384" w:type="dxa"/>
          </w:tcPr>
          <w:p w14:paraId="17DF3C24"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12</w:t>
            </w:r>
          </w:p>
        </w:tc>
        <w:tc>
          <w:tcPr>
            <w:tcW w:w="7655" w:type="dxa"/>
          </w:tcPr>
          <w:p w14:paraId="6A12E12E"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Odljevi za gubitak financiranja za dužničke proizvode</w:t>
            </w:r>
          </w:p>
          <w:p w14:paraId="71559313"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Institucije kao </w:t>
            </w:r>
            <w:proofErr w:type="spellStart"/>
            <w:r>
              <w:rPr>
                <w:rFonts w:ascii="Times New Roman" w:hAnsi="Times New Roman"/>
                <w:sz w:val="24"/>
              </w:rPr>
              <w:t>neponderiranu</w:t>
            </w:r>
            <w:proofErr w:type="spellEnd"/>
            <w:r>
              <w:rPr>
                <w:rFonts w:ascii="Times New Roman" w:hAnsi="Times New Roman"/>
                <w:sz w:val="24"/>
              </w:rPr>
              <w:t xml:space="preserve"> i kao ponderiranu vrijednost objavljuju iznos odnosno odljeve za gubitak financiranja iz strukturiranih financijskih aktivnosti, kako je predviđeno u članku 30. stavcima od 8. do 10. Delegirane uredbe Komisije (EU) 2015/61.</w:t>
            </w:r>
          </w:p>
          <w:p w14:paraId="7AF8394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Institucije pretpostavljaju odljev od 100 % za gubitak financiranja za vrijednosne papire osigurane imovinom, pokrivene obveznice i druge strukturirane financijske instrumente koji dospijevaju u roku od 30 </w:t>
            </w:r>
            <w:r>
              <w:rPr>
                <w:rFonts w:ascii="Times New Roman" w:hAnsi="Times New Roman"/>
                <w:sz w:val="24"/>
              </w:rPr>
              <w:lastRenderedPageBreak/>
              <w:t>kalendarskih dana, a koje izdaje kreditna institucija ili jedinice ili SPN-ovi koje sponzorira kreditna institucija.</w:t>
            </w:r>
          </w:p>
          <w:p w14:paraId="1FBA8940"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Institucije koje su pružatelji povezanih likvidnosnih linija ne trebaju dvostruko računati instrument financiranja koji dospijeva i likvidnosnu liniju za konsolidirane programe.</w:t>
            </w:r>
          </w:p>
        </w:tc>
      </w:tr>
      <w:tr w:rsidR="001E06A3" w:rsidRPr="007F4CC8" w14:paraId="06698F87" w14:textId="77777777" w:rsidTr="001E06A3">
        <w:trPr>
          <w:trHeight w:val="316"/>
        </w:trPr>
        <w:tc>
          <w:tcPr>
            <w:tcW w:w="1384" w:type="dxa"/>
          </w:tcPr>
          <w:p w14:paraId="1D3EF18D"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13</w:t>
            </w:r>
          </w:p>
        </w:tc>
        <w:tc>
          <w:tcPr>
            <w:tcW w:w="7655" w:type="dxa"/>
          </w:tcPr>
          <w:p w14:paraId="12C55D0E"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Kreditne i likvidnosne linije</w:t>
            </w:r>
          </w:p>
          <w:p w14:paraId="388FA9B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Institucije kao </w:t>
            </w:r>
            <w:proofErr w:type="spellStart"/>
            <w:r>
              <w:rPr>
                <w:rFonts w:ascii="Times New Roman" w:hAnsi="Times New Roman"/>
                <w:sz w:val="24"/>
              </w:rPr>
              <w:t>neponderiranu</w:t>
            </w:r>
            <w:proofErr w:type="spellEnd"/>
            <w:r>
              <w:rPr>
                <w:rFonts w:ascii="Times New Roman" w:hAnsi="Times New Roman"/>
                <w:sz w:val="24"/>
              </w:rPr>
              <w:t xml:space="preserve"> i kao ponderiranu vrijednost objavljuju iznos odnosno odljev iz kreditnih i likvidnosnih linija u skladu s člankom 31. Delegirane uredbe Komisije (EU) 2015/61.</w:t>
            </w:r>
          </w:p>
          <w:p w14:paraId="7A6EC431"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Institucije ovdje objavljuju i informacije o obvezujućim kreditnim linijama u skladu s člankom 29. Delegirane uredbe Komisije (EU) 2015/61.</w:t>
            </w:r>
          </w:p>
        </w:tc>
      </w:tr>
      <w:tr w:rsidR="001E06A3" w:rsidRPr="007F4CC8" w14:paraId="5F133365" w14:textId="77777777" w:rsidTr="001E06A3">
        <w:trPr>
          <w:trHeight w:val="316"/>
        </w:trPr>
        <w:tc>
          <w:tcPr>
            <w:tcW w:w="1384" w:type="dxa"/>
          </w:tcPr>
          <w:p w14:paraId="1AB3EE1C"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14</w:t>
            </w:r>
          </w:p>
        </w:tc>
        <w:tc>
          <w:tcPr>
            <w:tcW w:w="7655" w:type="dxa"/>
          </w:tcPr>
          <w:p w14:paraId="03C26744"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Ostale ugovorene obveze financiranja</w:t>
            </w:r>
          </w:p>
          <w:p w14:paraId="54004CEE" w14:textId="2FE1EEC5"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Institucije kao </w:t>
            </w:r>
            <w:proofErr w:type="spellStart"/>
            <w:r>
              <w:rPr>
                <w:rFonts w:ascii="Times New Roman" w:hAnsi="Times New Roman"/>
                <w:sz w:val="24"/>
              </w:rPr>
              <w:t>neponderiranu</w:t>
            </w:r>
            <w:proofErr w:type="spellEnd"/>
            <w:r>
              <w:rPr>
                <w:rFonts w:ascii="Times New Roman" w:hAnsi="Times New Roman"/>
                <w:sz w:val="24"/>
              </w:rPr>
              <w:t xml:space="preserve"> i kao ponderiranu vrijednost objavljuju zbroj iznosa odnosno odljeva sljedećih stavki:</w:t>
            </w:r>
          </w:p>
          <w:p w14:paraId="2A942D44"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imovine pozajmljene bez osiguranja koja dospijeva u roku od 30 kalendarskih dana kako je predviđeno u članku 28. stavku 7. Delegirane uredbe Komisije (EU) 2015/61. Pretpostavlja se da ta imovina istječe u cijelosti, što dovodi do 100-postotnog odljeva. Institucije objavljuju tržišnu vrijednost imovine pozajmljene bez osiguranja koja dospijeva u roku od 30 kalendarskih dana ako kreditna institucija nije vlasnik vrijednosnih papira i ako oni nisu dio zaštitnog sloja likvidnosti institucija,</w:t>
            </w:r>
          </w:p>
          <w:p w14:paraId="11994546"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kratkih pozicija pokrivenih neosiguranim pozajmljivanjem vrijednosnih papira. Kako je utvrđeno u članku 30. stavku 5. Delegirane uredbe Komisije (EU) 2015/61, institucije dodaju dodatni odljev koji odgovara 100 % tržišne vrijednosti vrijednosnih papira ili druge imovine koja je predmet kratke prodaje osim ako ih je kreditna institucija pozajmila pod uvjetima koji zahtijevaju njihovo vraćanje tek nakon roka od 30 kalendarskih dana. Ako je kratka pozicija pokrivena osiguranom transakcijom financiranja vrijednosnim papirima, kreditna institucija obvezna je pretpostaviti da će se kratka pozicija zadržati tijekom cijelog razdoblja od 30 kalendarskih dana i da će primiti 0 % odljeva, </w:t>
            </w:r>
          </w:p>
          <w:p w14:paraId="4003516A"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obveza koje proizlaze iz troškova poslovanja. Kako je utvrđeno u članku 28. stavku 2. Delegirane uredbe Komisije (EU) 2015/61, institucije objavljuju iznos preostalog stanja obveza koje proizlaze iz vlastitih troškova poslovanja institucije. Te obveze nisu pokretači odljeva, </w:t>
            </w:r>
          </w:p>
          <w:p w14:paraId="5A57382E" w14:textId="2CDB82F4"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ostalih neosiguranih transakcija koje dospijevaju u roku od 30 kalendarskih dana, a nisu uključene u članke od 24. do 31. Delegirane uredbe Komisije (EU) 2015/61, koje pokreću odljeve od 100 % kako je utvrđeno u članku 31.a stavku 1. Delegirane uredbe Komisije (EU) 2015/61.</w:t>
            </w:r>
          </w:p>
        </w:tc>
      </w:tr>
      <w:tr w:rsidR="001E06A3" w:rsidRPr="007F4CC8" w14:paraId="5917984E" w14:textId="77777777" w:rsidTr="001E06A3">
        <w:trPr>
          <w:trHeight w:val="316"/>
        </w:trPr>
        <w:tc>
          <w:tcPr>
            <w:tcW w:w="1384" w:type="dxa"/>
          </w:tcPr>
          <w:p w14:paraId="7EA79F1A"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15</w:t>
            </w:r>
          </w:p>
        </w:tc>
        <w:tc>
          <w:tcPr>
            <w:tcW w:w="7655" w:type="dxa"/>
          </w:tcPr>
          <w:p w14:paraId="7F8F9A7C" w14:textId="77777777" w:rsidR="001E06A3" w:rsidRPr="007F4CC8" w:rsidRDefault="001E06A3" w:rsidP="001E06A3">
            <w:pPr>
              <w:spacing w:before="120" w:after="120" w:line="190" w:lineRule="exact"/>
              <w:jc w:val="both"/>
              <w:rPr>
                <w:rFonts w:ascii="Times New Roman" w:hAnsi="Times New Roman" w:cs="Times New Roman"/>
                <w:b/>
                <w:sz w:val="24"/>
              </w:rPr>
            </w:pPr>
            <w:r>
              <w:rPr>
                <w:rFonts w:ascii="Times New Roman" w:hAnsi="Times New Roman"/>
                <w:b/>
                <w:sz w:val="24"/>
              </w:rPr>
              <w:t>Ostale potencijalne obveze financiranja</w:t>
            </w:r>
          </w:p>
          <w:p w14:paraId="43267292" w14:textId="53DE6473"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 xml:space="preserve">Institucije kao </w:t>
            </w:r>
            <w:proofErr w:type="spellStart"/>
            <w:r>
              <w:rPr>
                <w:rFonts w:ascii="Times New Roman" w:hAnsi="Times New Roman"/>
                <w:sz w:val="24"/>
              </w:rPr>
              <w:t>neponderiranu</w:t>
            </w:r>
            <w:proofErr w:type="spellEnd"/>
            <w:r>
              <w:rPr>
                <w:rFonts w:ascii="Times New Roman" w:hAnsi="Times New Roman"/>
                <w:sz w:val="24"/>
              </w:rPr>
              <w:t xml:space="preserve"> i kao ponderiranu vrijednost objavljuju zbroj iznosa odnosno odljeva sljedećih stavki:</w:t>
            </w:r>
          </w:p>
          <w:p w14:paraId="350617B1"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drugih proizvoda i usluga iz članka 23. Delegirane uredbe Komisije (EU) 2015/61. Institucije ovdje objavljuju informacije o tim proizvodima ili uslugama iz članka 23. stavka 1. Delegirane uredbe Komisije (EU) 2015/61. Objavljuje se maksimalni iznos koji se može povući iz tih proizvoda ili usluga iz članka 23. stavka 1. Delegirane uredbe Komisije (EU) 2015/61. </w:t>
            </w:r>
          </w:p>
          <w:p w14:paraId="45C7B42C"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viška iznosa ugovornih obveza u vezi s financiranjem nefinancijskih klijenata u roku od 30 kalendarskih dana kako je predviđeno u članku 31.a stavku 2. Delegirane uredbe Komisije (EU) 2015/61, </w:t>
            </w:r>
          </w:p>
          <w:p w14:paraId="1957D1C8"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szCs w:val="24"/>
              </w:rPr>
            </w:pPr>
            <w:r>
              <w:rPr>
                <w:rFonts w:ascii="Times New Roman" w:hAnsi="Times New Roman"/>
                <w:sz w:val="24"/>
              </w:rPr>
              <w:t xml:space="preserve">internog </w:t>
            </w:r>
            <w:proofErr w:type="spellStart"/>
            <w:r>
              <w:rPr>
                <w:rFonts w:ascii="Times New Roman" w:hAnsi="Times New Roman"/>
                <w:sz w:val="24"/>
              </w:rPr>
              <w:t>netiranja</w:t>
            </w:r>
            <w:proofErr w:type="spellEnd"/>
            <w:r>
              <w:rPr>
                <w:rFonts w:ascii="Times New Roman" w:hAnsi="Times New Roman"/>
                <w:sz w:val="24"/>
              </w:rPr>
              <w:t xml:space="preserve"> pozicija klijenata u skladu s člankom 30. stavkom 11. Delegirane uredbe Komisije (EU) 2015/61. Institucije ovdje objavljuju tržišnu vrijednost nelikvidne imovine klijenta koju, u vezi s pružanjem usluga glavnog brokera, kreditna institucija koristi za financiranje kratkih prodaja drugog klijenta njihovim internim usklađivanjem.</w:t>
            </w:r>
          </w:p>
        </w:tc>
      </w:tr>
      <w:tr w:rsidR="001E06A3" w:rsidRPr="007F4CC8" w14:paraId="7567BDED" w14:textId="77777777" w:rsidTr="001E06A3">
        <w:trPr>
          <w:trHeight w:val="316"/>
        </w:trPr>
        <w:tc>
          <w:tcPr>
            <w:tcW w:w="1384" w:type="dxa"/>
          </w:tcPr>
          <w:p w14:paraId="793AE07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16</w:t>
            </w:r>
          </w:p>
        </w:tc>
        <w:tc>
          <w:tcPr>
            <w:tcW w:w="7655" w:type="dxa"/>
          </w:tcPr>
          <w:p w14:paraId="62C155C5"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UKUPNI NOVČANI ODLJEVI</w:t>
            </w:r>
          </w:p>
          <w:p w14:paraId="2E04572F" w14:textId="77777777" w:rsidR="001E06A3" w:rsidRPr="007F4CC8" w:rsidRDefault="001E06A3" w:rsidP="001E06A3">
            <w:pPr>
              <w:spacing w:after="120" w:line="288" w:lineRule="exact"/>
              <w:rPr>
                <w:rFonts w:ascii="Times New Roman" w:hAnsi="Times New Roman" w:cs="Times New Roman"/>
                <w:sz w:val="24"/>
              </w:rPr>
            </w:pPr>
            <w:r>
              <w:rPr>
                <w:rFonts w:ascii="Times New Roman" w:hAnsi="Times New Roman"/>
                <w:sz w:val="24"/>
              </w:rPr>
              <w:t>Institucije objavljuju zbroj ponderirane vrijednosti sljedećih stavki prateći sljedeće upute iz ovog obrasca:</w:t>
            </w:r>
          </w:p>
          <w:p w14:paraId="77918023" w14:textId="453A00E2"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Redak 2: Depoziti stanovništva i depoziti malih poduzetnika</w:t>
            </w:r>
          </w:p>
          <w:p w14:paraId="23EDA54B" w14:textId="75BE73EA"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Redak 5: Neosigurano financiranje velikih klijenata</w:t>
            </w:r>
          </w:p>
          <w:p w14:paraId="6EEAFB58" w14:textId="5298F5D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Redak 9: Osigurano financiranje velikih klijenata</w:t>
            </w:r>
          </w:p>
          <w:p w14:paraId="47B95BA6" w14:textId="6D6B7904"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Redak 10: Dodatni zahtjevi</w:t>
            </w:r>
          </w:p>
          <w:p w14:paraId="2CFDD2BC" w14:textId="5642DECF"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Redak 14: Ostale ugovorene obveze financiranja</w:t>
            </w:r>
          </w:p>
          <w:p w14:paraId="208A5190" w14:textId="744C2B45"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Redak 15: Ostale nepredviđene obveze financiranja.</w:t>
            </w:r>
          </w:p>
        </w:tc>
      </w:tr>
      <w:tr w:rsidR="001E06A3" w:rsidRPr="007F4CC8" w14:paraId="12D38320" w14:textId="77777777" w:rsidTr="001E06A3">
        <w:trPr>
          <w:trHeight w:val="316"/>
        </w:trPr>
        <w:tc>
          <w:tcPr>
            <w:tcW w:w="1384" w:type="dxa"/>
          </w:tcPr>
          <w:p w14:paraId="27EE2B47"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17</w:t>
            </w:r>
          </w:p>
        </w:tc>
        <w:tc>
          <w:tcPr>
            <w:tcW w:w="7655" w:type="dxa"/>
          </w:tcPr>
          <w:p w14:paraId="76FF182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Transakcije osigurane kolateralom (npr. obratni repo ugovori)</w:t>
            </w:r>
          </w:p>
          <w:p w14:paraId="334DCC49" w14:textId="77777777" w:rsidR="001E06A3" w:rsidRPr="007F4CC8" w:rsidRDefault="001E06A3" w:rsidP="001E06A3">
            <w:pPr>
              <w:spacing w:after="120" w:line="288" w:lineRule="exact"/>
              <w:jc w:val="both"/>
              <w:rPr>
                <w:rFonts w:ascii="Times New Roman" w:hAnsi="Times New Roman" w:cs="Times New Roman"/>
                <w:sz w:val="24"/>
              </w:rPr>
            </w:pPr>
            <w:r>
              <w:rPr>
                <w:rFonts w:ascii="Times New Roman" w:hAnsi="Times New Roman"/>
                <w:sz w:val="24"/>
              </w:rPr>
              <w:t xml:space="preserve">Institucije kao </w:t>
            </w:r>
            <w:proofErr w:type="spellStart"/>
            <w:r>
              <w:rPr>
                <w:rFonts w:ascii="Times New Roman" w:hAnsi="Times New Roman"/>
                <w:sz w:val="24"/>
              </w:rPr>
              <w:t>neponderiranu</w:t>
            </w:r>
            <w:proofErr w:type="spellEnd"/>
            <w:r>
              <w:rPr>
                <w:rFonts w:ascii="Times New Roman" w:hAnsi="Times New Roman"/>
                <w:sz w:val="24"/>
              </w:rPr>
              <w:t xml:space="preserve"> vrijednost objavljuju zbroj:</w:t>
            </w:r>
          </w:p>
          <w:p w14:paraId="4AA2D0C7"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iznosa transakcija osiguranih kolateralom i transakcija ovisnih o kretanju na tržištu kapitala s preostalim rokom dospijeća od najviše 30 kalendarskih dana kako je predviđeno u članku 32. stavku 3. točkama (b), (c) i (f) Delegirane uredbe Komisije (EU) 2015/61,</w:t>
            </w:r>
          </w:p>
          <w:p w14:paraId="63304E56" w14:textId="77777777" w:rsidR="001E06A3" w:rsidRPr="007F4CC8" w:rsidRDefault="001E06A3" w:rsidP="00E70D84">
            <w:pPr>
              <w:pStyle w:val="ListParagraph"/>
              <w:numPr>
                <w:ilvl w:val="0"/>
                <w:numId w:val="34"/>
              </w:numPr>
              <w:autoSpaceDE w:val="0"/>
              <w:autoSpaceDN w:val="0"/>
              <w:adjustRightInd w:val="0"/>
              <w:spacing w:after="120" w:line="288" w:lineRule="exact"/>
              <w:contextualSpacing/>
              <w:jc w:val="both"/>
              <w:rPr>
                <w:rFonts w:ascii="Times New Roman" w:hAnsi="Times New Roman"/>
                <w:sz w:val="24"/>
              </w:rPr>
            </w:pPr>
            <w:r>
              <w:rPr>
                <w:rFonts w:ascii="Times New Roman" w:hAnsi="Times New Roman"/>
                <w:sz w:val="24"/>
              </w:rPr>
              <w:t>tržišne vrijednosti kolaterala danih u zajam u transakcijama razmjene kolaterala kako je predviđeno u članku 32. stavku 3. Delegirane uredbe Komisije (EU) 2015/61.</w:t>
            </w:r>
          </w:p>
          <w:p w14:paraId="4F3A3699" w14:textId="77777777" w:rsidR="001E06A3" w:rsidRPr="007F4CC8" w:rsidRDefault="001E06A3" w:rsidP="001E06A3">
            <w:pPr>
              <w:spacing w:after="120" w:line="288" w:lineRule="exact"/>
              <w:jc w:val="both"/>
              <w:rPr>
                <w:rFonts w:ascii="Times New Roman" w:hAnsi="Times New Roman" w:cs="Times New Roman"/>
                <w:sz w:val="24"/>
              </w:rPr>
            </w:pPr>
            <w:r>
              <w:rPr>
                <w:rFonts w:ascii="Times New Roman" w:hAnsi="Times New Roman"/>
                <w:sz w:val="24"/>
              </w:rPr>
              <w:t>Institucije kao ponderiranu vrijednost objavljuju zbroj:</w:t>
            </w:r>
          </w:p>
          <w:p w14:paraId="074D6101"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priljeva od transakcija osiguranih kolateralom i transakcija ovisnih o kretanju na tržištu kapitala s preostalim rokom dospijeća od najviše 30 kalendarskih dana kako je predviđeno u članku 32. stavku 3. točkama (b), (c) i (f) Delegirane uredbe Komisije (EU) 2015/61,</w:t>
            </w:r>
          </w:p>
          <w:p w14:paraId="3E8F1989"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lastRenderedPageBreak/>
              <w:t>priljeva iz transakcija razmjene kolaterala kako je predviđeno u članku 32. stavku 3. Delegirane uredbe Komisije (EU) 2015/61.</w:t>
            </w:r>
          </w:p>
        </w:tc>
      </w:tr>
      <w:tr w:rsidR="001E06A3" w:rsidRPr="007F4CC8" w14:paraId="35F1E4C6" w14:textId="77777777" w:rsidTr="001E06A3">
        <w:trPr>
          <w:trHeight w:val="316"/>
        </w:trPr>
        <w:tc>
          <w:tcPr>
            <w:tcW w:w="1384" w:type="dxa"/>
          </w:tcPr>
          <w:p w14:paraId="575A1ABF"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18</w:t>
            </w:r>
          </w:p>
        </w:tc>
        <w:tc>
          <w:tcPr>
            <w:tcW w:w="7655" w:type="dxa"/>
          </w:tcPr>
          <w:p w14:paraId="36C0ED1A" w14:textId="77777777" w:rsidR="001E06A3" w:rsidRPr="007F4CC8" w:rsidRDefault="001E06A3" w:rsidP="001E06A3">
            <w:pPr>
              <w:spacing w:before="120" w:after="120" w:line="190" w:lineRule="exact"/>
              <w:rPr>
                <w:rFonts w:ascii="Times New Roman" w:hAnsi="Times New Roman"/>
                <w:b/>
                <w:sz w:val="24"/>
              </w:rPr>
            </w:pPr>
            <w:r>
              <w:rPr>
                <w:rFonts w:ascii="Times New Roman" w:hAnsi="Times New Roman"/>
                <w:b/>
                <w:sz w:val="24"/>
              </w:rPr>
              <w:t>Priljevi od potpuno naplativih prihodonosnih izloženosti</w:t>
            </w:r>
          </w:p>
          <w:p w14:paraId="2254BE83" w14:textId="466B9006"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 xml:space="preserve">Institucije kao </w:t>
            </w:r>
            <w:proofErr w:type="spellStart"/>
            <w:r>
              <w:rPr>
                <w:rFonts w:ascii="Times New Roman" w:hAnsi="Times New Roman"/>
                <w:sz w:val="24"/>
              </w:rPr>
              <w:t>neponderiranu</w:t>
            </w:r>
            <w:proofErr w:type="spellEnd"/>
            <w:r>
              <w:rPr>
                <w:rFonts w:ascii="Times New Roman" w:hAnsi="Times New Roman"/>
                <w:sz w:val="24"/>
              </w:rPr>
              <w:t xml:space="preserve"> i kao ponderiranu vrijednost objavljuju zbroj ukupnih iznosa odnosno priljeva sljedećih stavki:</w:t>
            </w:r>
          </w:p>
          <w:p w14:paraId="281D66AE"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novčanih potraživanja od nefinancijskih klijenata (osim središnjih banaka) kako je predviđeno u članku 32. stavku 3. točki (a) Delegirane uredbe Komisije (EU) 2015/61, </w:t>
            </w:r>
          </w:p>
          <w:p w14:paraId="0AF8F8CE"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novčanih potraživanja od središnjih banaka i financijskih klijenata kako je predviđeno u članku 32. stavku 2. točki (a) Delegirane uredbe Komisije (EU) 2015/61, </w:t>
            </w:r>
          </w:p>
          <w:p w14:paraId="0C6DB747" w14:textId="0BF2E646"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novčanih potraživanja iz transakcija financiranja trgovine kako je predviđeno u članku 32. stavku 2. točki (b) Delegirane uredbe Komisije (EU) 2015/61 s preostalim rokom dospijeća od najviše 30 kalendarskih dana,</w:t>
            </w:r>
          </w:p>
          <w:p w14:paraId="681CDA5C"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priljeva koji odgovaraju odljevima u skladu s obvezama za promotivne kredite iz članka 31. stavka 9. Delegirane uredbe Komisije (EU) 2015/61.</w:t>
            </w:r>
          </w:p>
        </w:tc>
      </w:tr>
      <w:tr w:rsidR="001E06A3" w:rsidRPr="007F4CC8" w14:paraId="0F39C37E" w14:textId="77777777" w:rsidTr="001E06A3">
        <w:trPr>
          <w:trHeight w:val="316"/>
        </w:trPr>
        <w:tc>
          <w:tcPr>
            <w:tcW w:w="1384" w:type="dxa"/>
          </w:tcPr>
          <w:p w14:paraId="1BE2423E"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19</w:t>
            </w:r>
          </w:p>
        </w:tc>
        <w:tc>
          <w:tcPr>
            <w:tcW w:w="7655" w:type="dxa"/>
          </w:tcPr>
          <w:p w14:paraId="521414D9"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Ostali priljevi novca</w:t>
            </w:r>
          </w:p>
          <w:p w14:paraId="677097E1" w14:textId="3FC02B2B"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 xml:space="preserve">Institucije kao </w:t>
            </w:r>
            <w:proofErr w:type="spellStart"/>
            <w:r>
              <w:rPr>
                <w:rFonts w:ascii="Times New Roman" w:hAnsi="Times New Roman"/>
                <w:sz w:val="24"/>
              </w:rPr>
              <w:t>neponderiranu</w:t>
            </w:r>
            <w:proofErr w:type="spellEnd"/>
            <w:r>
              <w:rPr>
                <w:rFonts w:ascii="Times New Roman" w:hAnsi="Times New Roman"/>
                <w:sz w:val="24"/>
              </w:rPr>
              <w:t xml:space="preserve"> i kao ponderiranu vrijednost objavljuju zbroj ukupnih iznosa odnosno priljeva sljedećih stavki:</w:t>
            </w:r>
          </w:p>
          <w:p w14:paraId="657F84C7"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novčanih potraživanja iz naslova vrijednosnih papira koja dospijevaju u roku od 30 kalendarskih dana kako je predviđeno u članku 32. stavku 2. točki (c) Delegirane uredbe Komisije (EU) 2015/61, </w:t>
            </w:r>
          </w:p>
          <w:p w14:paraId="6815B1AA" w14:textId="497411B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kredita s nedefiniranim ugovornim datumom dospijeća kako je predviđeno u članku 32. stavku 3. točki (i) Delegirane uredbe Komisije (EU) 2015/61,</w:t>
            </w:r>
          </w:p>
          <w:p w14:paraId="234DABC3"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novčanih potraživanja iz naslova pozicija vlasničkih instrumenata koji su uključeni u glavne dioničke indekse, pod uvjetom da se likvidna imovina ne obračunava dvostruko, kako je predviđeno u članku 32. stavku 2. točki (d) Delegirane uredbe Komisije (EU) 2015/61. Pozicije uključuju novčana potraživanja s ugovorenim dospijećem u roku od 30 kalendarskih dana, kao što su dividende u novcu iz tih glavnih indeksa i novac iz tih vlasničkih instrumenata koji su prodani, ali još nisu namireni, ako nisu priznata kao likvidna imovina u skladu s glavom II. Delegirane uredbe Komisije (EU) 2015/61,</w:t>
            </w:r>
          </w:p>
          <w:p w14:paraId="75C32BFB"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priljeva od oslobađanja iznosa koji se drže na posebnim računima u skladu s regulatornim zahtjevima za zaštitu imovine klijenata kojom se trguje kako je predviđeno u članku 32. stavku 4. Delegirane uredbe Komisije (EU) 2015/61. Priljevi se uzimaju se u obzir samo ako da se ti iznosi zadrže u likvidnoj imovini kako je definirano u glavi II. Delegirane uredbe Komisije (EU) 2015/61, </w:t>
            </w:r>
          </w:p>
          <w:p w14:paraId="5B7B3BB6"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priljeva iz izvedenica kako je predviđeno u članku 32. stavku 5. u vezi s člankom 21. Delegirane uredbe Komisije (EU) 2015/61,</w:t>
            </w:r>
          </w:p>
          <w:p w14:paraId="21AE94F4"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lastRenderedPageBreak/>
              <w:t xml:space="preserve">priljeva iz neiskorištenih kreditnih ili likvidnosnih linija od članova grupe ili institucionalnog sustava zaštite ako su nadležna tijela odobrila primjenu više stope priljeva u skladu s člankom 34. Delegirane uredbe Komisije (EU) 2015/61, </w:t>
            </w:r>
          </w:p>
          <w:p w14:paraId="41951454"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ostalih priljeva u skladu s člankom 32. stavkom 2. Delegirane uredbe (EU) Komisije 2015/61. </w:t>
            </w:r>
          </w:p>
        </w:tc>
      </w:tr>
      <w:tr w:rsidR="001E06A3" w:rsidRPr="007F4CC8" w14:paraId="41CB1A87" w14:textId="77777777" w:rsidTr="001E06A3">
        <w:trPr>
          <w:trHeight w:val="316"/>
        </w:trPr>
        <w:tc>
          <w:tcPr>
            <w:tcW w:w="1384" w:type="dxa"/>
          </w:tcPr>
          <w:p w14:paraId="360D7E9C"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EU-19a</w:t>
            </w:r>
          </w:p>
        </w:tc>
        <w:tc>
          <w:tcPr>
            <w:tcW w:w="7655" w:type="dxa"/>
          </w:tcPr>
          <w:p w14:paraId="3EBEE53D" w14:textId="77777777" w:rsidR="001E06A3" w:rsidRPr="007F4CC8" w:rsidRDefault="001E06A3" w:rsidP="001E06A3">
            <w:pPr>
              <w:spacing w:before="120" w:after="120" w:line="278" w:lineRule="exact"/>
              <w:rPr>
                <w:rFonts w:ascii="Times New Roman" w:hAnsi="Times New Roman" w:cs="Times New Roman"/>
                <w:b/>
                <w:sz w:val="24"/>
              </w:rPr>
            </w:pPr>
            <w:r>
              <w:rPr>
                <w:rFonts w:ascii="Times New Roman" w:hAnsi="Times New Roman"/>
                <w:b/>
                <w:sz w:val="24"/>
              </w:rPr>
              <w:t>(Razlika Između ukupnih ponderiranih priljeva i ukupnih ponderiranih odljeva koja proizlazi iz transakcija u trećim zemljama u kojima su transferi ograničeni ili su denominirani u nekonvertibilnim valutama)</w:t>
            </w:r>
          </w:p>
          <w:p w14:paraId="3C6D2256" w14:textId="77777777"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Kako je predviđeno u članku 32. stavku 8. Delegirane uredbe Komisije (EU) 2015/61, institucije kao ponderiranu vrijednost objavljuju iznos viška tih ponderiranih priljeva u odnosu na te odljeve.</w:t>
            </w:r>
          </w:p>
        </w:tc>
      </w:tr>
      <w:tr w:rsidR="001E06A3" w:rsidRPr="007F4CC8" w14:paraId="23724CD1" w14:textId="77777777" w:rsidTr="001E06A3">
        <w:trPr>
          <w:trHeight w:val="316"/>
        </w:trPr>
        <w:tc>
          <w:tcPr>
            <w:tcW w:w="1384" w:type="dxa"/>
          </w:tcPr>
          <w:p w14:paraId="27C58C5B"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EU-19b</w:t>
            </w:r>
          </w:p>
        </w:tc>
        <w:tc>
          <w:tcPr>
            <w:tcW w:w="7655" w:type="dxa"/>
          </w:tcPr>
          <w:p w14:paraId="60A63455" w14:textId="77777777" w:rsidR="001E06A3" w:rsidRPr="007F4CC8" w:rsidRDefault="001E06A3" w:rsidP="001E06A3">
            <w:pPr>
              <w:spacing w:before="120" w:after="120" w:line="190" w:lineRule="exact"/>
              <w:jc w:val="both"/>
              <w:rPr>
                <w:rFonts w:ascii="Times New Roman" w:hAnsi="Times New Roman" w:cs="Times New Roman"/>
                <w:b/>
                <w:sz w:val="24"/>
              </w:rPr>
            </w:pPr>
            <w:r>
              <w:rPr>
                <w:rFonts w:ascii="Times New Roman" w:hAnsi="Times New Roman"/>
                <w:b/>
                <w:sz w:val="24"/>
              </w:rPr>
              <w:t>(Višak priljeva od povezane specijalizirane kreditne institucije)</w:t>
            </w:r>
          </w:p>
          <w:p w14:paraId="63328056"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Kako je predviđeno u članku 2. stavku 3. i članku 33. stavku 6. Delegirane uredbe Komisije (EU) 2015/61, kreditne institucije za potrebe objave informacija na konsolidiranoj osnovi kao ponderiranu vrijednost objavljuju iznos viška priljeva od povezanih specijaliziranih kreditnih institucija iz članka 33. stavaka 3. i 4. Delegirane uredbe Komisije (EU) 2015/61 u odnosu na iznos odljeva koji proizlaze iz istog društva.</w:t>
            </w:r>
          </w:p>
        </w:tc>
      </w:tr>
      <w:tr w:rsidR="001E06A3" w:rsidRPr="007F4CC8" w14:paraId="0C34B7D2" w14:textId="77777777" w:rsidTr="001E06A3">
        <w:trPr>
          <w:trHeight w:val="316"/>
        </w:trPr>
        <w:tc>
          <w:tcPr>
            <w:tcW w:w="1384" w:type="dxa"/>
          </w:tcPr>
          <w:p w14:paraId="72F9C524"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20</w:t>
            </w:r>
          </w:p>
        </w:tc>
        <w:tc>
          <w:tcPr>
            <w:tcW w:w="7655" w:type="dxa"/>
          </w:tcPr>
          <w:p w14:paraId="730CE066"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UKUPNI PRILJEVI NOVCA</w:t>
            </w:r>
          </w:p>
          <w:p w14:paraId="50099FAA" w14:textId="77777777" w:rsidR="001E06A3" w:rsidRPr="007F4CC8" w:rsidRDefault="001E06A3" w:rsidP="001E06A3">
            <w:pPr>
              <w:spacing w:after="120" w:line="288" w:lineRule="exact"/>
              <w:rPr>
                <w:rFonts w:ascii="Times New Roman" w:hAnsi="Times New Roman" w:cs="Times New Roman"/>
                <w:sz w:val="24"/>
              </w:rPr>
            </w:pPr>
            <w:r>
              <w:rPr>
                <w:rFonts w:ascii="Times New Roman" w:hAnsi="Times New Roman"/>
                <w:sz w:val="24"/>
              </w:rPr>
              <w:t>Institucije objavljuju zbroj neponderirane i ponderirane vrijednosti sljedećih stavki prateći sljedeće upute iz ovog obrasca:</w:t>
            </w:r>
          </w:p>
          <w:p w14:paraId="1C3F2B48" w14:textId="34F903B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Redak 17: Transakcije osigurane kolateralom (npr. obratni repo ugovori)</w:t>
            </w:r>
          </w:p>
          <w:p w14:paraId="3E6C198F" w14:textId="06F2D4B4"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Redak 18: Priljevi od potpuno naplativih prihodonosnih izloženosti</w:t>
            </w:r>
          </w:p>
          <w:p w14:paraId="541D69D3" w14:textId="6E34E00C"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Redak 19: Ostali priljevi novca</w:t>
            </w:r>
          </w:p>
          <w:p w14:paraId="0771AC8E"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umanjeni za:</w:t>
            </w:r>
          </w:p>
          <w:p w14:paraId="2EF58274" w14:textId="1AE53A03"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redak EU-19a: (Razlika Između ukupnih ponderiranih priljeva i ukupnih ponderiranih odljeva koja proizlazi iz transakcija u trećim zemljama u kojima su transferi ograničeni ili su denominirani u nekonvertibilnim valutama) ovog obrasca</w:t>
            </w:r>
          </w:p>
          <w:p w14:paraId="1B9A5ED4" w14:textId="23F32B88"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redak EU-19b: (Višak priljeva od povezane specijalizirane kreditne institucije) ovog obrasca</w:t>
            </w:r>
          </w:p>
        </w:tc>
      </w:tr>
      <w:tr w:rsidR="001E06A3" w:rsidRPr="007F4CC8" w14:paraId="622AC049" w14:textId="77777777" w:rsidTr="001E06A3">
        <w:trPr>
          <w:trHeight w:val="316"/>
        </w:trPr>
        <w:tc>
          <w:tcPr>
            <w:tcW w:w="1384" w:type="dxa"/>
          </w:tcPr>
          <w:p w14:paraId="5D7CADBB"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EU-20a</w:t>
            </w:r>
          </w:p>
        </w:tc>
        <w:tc>
          <w:tcPr>
            <w:tcW w:w="7655" w:type="dxa"/>
          </w:tcPr>
          <w:p w14:paraId="1321D2DA"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Priljevi izuzeti u cijelosti</w:t>
            </w:r>
          </w:p>
          <w:p w14:paraId="13A2A899" w14:textId="77777777" w:rsidR="001E06A3" w:rsidRPr="007F4CC8" w:rsidRDefault="001E06A3" w:rsidP="001E06A3">
            <w:pPr>
              <w:spacing w:after="120"/>
              <w:jc w:val="both"/>
              <w:rPr>
                <w:rFonts w:ascii="Times New Roman" w:hAnsi="Times New Roman" w:cs="Times New Roman"/>
                <w:b/>
                <w:sz w:val="24"/>
              </w:rPr>
            </w:pPr>
            <w:r>
              <w:rPr>
                <w:rFonts w:ascii="Times New Roman" w:hAnsi="Times New Roman"/>
                <w:sz w:val="24"/>
              </w:rPr>
              <w:t xml:space="preserve">Institucije kao </w:t>
            </w:r>
            <w:proofErr w:type="spellStart"/>
            <w:r>
              <w:rPr>
                <w:rFonts w:ascii="Times New Roman" w:hAnsi="Times New Roman"/>
                <w:sz w:val="24"/>
              </w:rPr>
              <w:t>neponderiranu</w:t>
            </w:r>
            <w:proofErr w:type="spellEnd"/>
            <w:r>
              <w:rPr>
                <w:rFonts w:ascii="Times New Roman" w:hAnsi="Times New Roman"/>
                <w:sz w:val="24"/>
              </w:rPr>
              <w:t xml:space="preserve"> i kao ponderiranu vrijednost objavljuju ukupni iznos imovine / dospjelih novčanih potraživanja / maksimalni iznos koji se može povući odnosno njihove relevantne ukupne priljeve, koji su izuzeti od gornje granice za priljeve u skladu s člancima 32., 33. i 34. Delegirane uredbe Komisije (EU) 2015/61.</w:t>
            </w:r>
          </w:p>
        </w:tc>
      </w:tr>
      <w:tr w:rsidR="001E06A3" w:rsidRPr="007F4CC8" w14:paraId="07522956" w14:textId="77777777" w:rsidTr="001E06A3">
        <w:trPr>
          <w:trHeight w:val="316"/>
        </w:trPr>
        <w:tc>
          <w:tcPr>
            <w:tcW w:w="1384" w:type="dxa"/>
          </w:tcPr>
          <w:p w14:paraId="1D1F8E08"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EU-20b</w:t>
            </w:r>
          </w:p>
        </w:tc>
        <w:tc>
          <w:tcPr>
            <w:tcW w:w="7655" w:type="dxa"/>
          </w:tcPr>
          <w:p w14:paraId="5E9896C1"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Priljevi koji podliježu gornjoj granici od 90 %</w:t>
            </w:r>
          </w:p>
          <w:p w14:paraId="1EDC5FC1" w14:textId="77777777" w:rsidR="001E06A3" w:rsidRPr="007F4CC8" w:rsidRDefault="001E06A3" w:rsidP="001E06A3">
            <w:pPr>
              <w:spacing w:after="120"/>
              <w:jc w:val="both"/>
              <w:rPr>
                <w:rFonts w:ascii="Times New Roman" w:hAnsi="Times New Roman" w:cs="Times New Roman"/>
                <w:b/>
                <w:sz w:val="24"/>
              </w:rPr>
            </w:pPr>
            <w:r>
              <w:rPr>
                <w:rFonts w:ascii="Times New Roman" w:hAnsi="Times New Roman"/>
                <w:sz w:val="24"/>
              </w:rPr>
              <w:t xml:space="preserve">Institucije kao </w:t>
            </w:r>
            <w:proofErr w:type="spellStart"/>
            <w:r>
              <w:rPr>
                <w:rFonts w:ascii="Times New Roman" w:hAnsi="Times New Roman"/>
                <w:sz w:val="24"/>
              </w:rPr>
              <w:t>neponderiranu</w:t>
            </w:r>
            <w:proofErr w:type="spellEnd"/>
            <w:r>
              <w:rPr>
                <w:rFonts w:ascii="Times New Roman" w:hAnsi="Times New Roman"/>
                <w:sz w:val="24"/>
              </w:rPr>
              <w:t xml:space="preserve"> i kao ponderiranu vrijednost objavljuju ukupni iznos imovine / dospjelih novčanih potraživanja / maksimalni iznos koji se </w:t>
            </w:r>
            <w:r>
              <w:rPr>
                <w:rFonts w:ascii="Times New Roman" w:hAnsi="Times New Roman"/>
                <w:sz w:val="24"/>
              </w:rPr>
              <w:lastRenderedPageBreak/>
              <w:t>može povući odnosno njihove relevantne ukupne priljeve, koji podliježu gornjoj granici od 90 % u skladu s člancima 32., 33. i 34. Delegirane uredbe Komisije (EU) 2015/61.</w:t>
            </w:r>
          </w:p>
        </w:tc>
      </w:tr>
      <w:tr w:rsidR="001E06A3" w:rsidRPr="007F4CC8" w14:paraId="413BE40E" w14:textId="77777777" w:rsidTr="001E06A3">
        <w:trPr>
          <w:trHeight w:val="316"/>
        </w:trPr>
        <w:tc>
          <w:tcPr>
            <w:tcW w:w="1384" w:type="dxa"/>
          </w:tcPr>
          <w:p w14:paraId="760880E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EU-20c</w:t>
            </w:r>
          </w:p>
        </w:tc>
        <w:tc>
          <w:tcPr>
            <w:tcW w:w="7655" w:type="dxa"/>
          </w:tcPr>
          <w:p w14:paraId="3F456A98"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Priljevi koji podliježu gornjoj granici od 75 %</w:t>
            </w:r>
          </w:p>
          <w:p w14:paraId="651712DF" w14:textId="77777777" w:rsidR="001E06A3" w:rsidRPr="007F4CC8" w:rsidRDefault="001E06A3" w:rsidP="001E06A3">
            <w:pPr>
              <w:spacing w:after="120" w:line="288" w:lineRule="exact"/>
              <w:jc w:val="both"/>
              <w:rPr>
                <w:rFonts w:ascii="Times New Roman" w:hAnsi="Times New Roman" w:cs="Times New Roman"/>
                <w:b/>
                <w:sz w:val="24"/>
              </w:rPr>
            </w:pPr>
            <w:r>
              <w:rPr>
                <w:rFonts w:ascii="Times New Roman" w:hAnsi="Times New Roman"/>
                <w:sz w:val="24"/>
              </w:rPr>
              <w:t xml:space="preserve">Institucije kao </w:t>
            </w:r>
            <w:proofErr w:type="spellStart"/>
            <w:r>
              <w:rPr>
                <w:rFonts w:ascii="Times New Roman" w:hAnsi="Times New Roman"/>
                <w:sz w:val="24"/>
              </w:rPr>
              <w:t>neponderiranu</w:t>
            </w:r>
            <w:proofErr w:type="spellEnd"/>
            <w:r>
              <w:rPr>
                <w:rFonts w:ascii="Times New Roman" w:hAnsi="Times New Roman"/>
                <w:sz w:val="24"/>
              </w:rPr>
              <w:t xml:space="preserve"> i kao ponderiranu vrijednost objavljuju ukupni iznos imovine / dospjelih novčanih potraživanja / maksimalni iznos koji se može povući odnosno njihove relevantne ukupne priljeve, koji podliježu gornjoj granici od 75 % u skladu s člancima 32., 33. i 34. Delegirane uredbe Komisije (EU) 2015/61.</w:t>
            </w:r>
          </w:p>
        </w:tc>
      </w:tr>
      <w:tr w:rsidR="001E06A3" w:rsidRPr="007F4CC8" w14:paraId="7E6FFA19" w14:textId="77777777" w:rsidTr="001E06A3">
        <w:trPr>
          <w:trHeight w:val="316"/>
        </w:trPr>
        <w:tc>
          <w:tcPr>
            <w:tcW w:w="1384" w:type="dxa"/>
          </w:tcPr>
          <w:p w14:paraId="31A8CE45"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EU-21</w:t>
            </w:r>
          </w:p>
        </w:tc>
        <w:tc>
          <w:tcPr>
            <w:tcW w:w="7655" w:type="dxa"/>
          </w:tcPr>
          <w:p w14:paraId="33FDF719"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ZAŠTITNI SLOJ LIKVIDNOSTI</w:t>
            </w:r>
          </w:p>
          <w:p w14:paraId="30FD3F3E"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Institucije kao usklađenu vrijednost objavljuju vrijednost zaštitnog sloja likvidnosti institucije u skladu s Prilogom I. Delegiranoj uredbi Komisije (EU) 2015/61 – Formule za određivanje sastava zaštitnog sloja likvidnosti.</w:t>
            </w:r>
          </w:p>
        </w:tc>
      </w:tr>
      <w:tr w:rsidR="001E06A3" w:rsidRPr="007F4CC8" w14:paraId="17F23E34" w14:textId="77777777" w:rsidTr="001E06A3">
        <w:trPr>
          <w:trHeight w:val="316"/>
        </w:trPr>
        <w:tc>
          <w:tcPr>
            <w:tcW w:w="1384" w:type="dxa"/>
          </w:tcPr>
          <w:p w14:paraId="28DA8359"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22</w:t>
            </w:r>
          </w:p>
        </w:tc>
        <w:tc>
          <w:tcPr>
            <w:tcW w:w="7655" w:type="dxa"/>
          </w:tcPr>
          <w:p w14:paraId="61EDC75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UKUPNI NETO NOVČANI ODLJEVI</w:t>
            </w:r>
          </w:p>
          <w:p w14:paraId="7A047465"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Institucije objavljuju usklađenu vrijednost neto </w:t>
            </w:r>
            <w:proofErr w:type="spellStart"/>
            <w:r>
              <w:rPr>
                <w:rFonts w:ascii="Times New Roman" w:hAnsi="Times New Roman"/>
                <w:sz w:val="24"/>
              </w:rPr>
              <w:t>likvidnosnog</w:t>
            </w:r>
            <w:proofErr w:type="spellEnd"/>
            <w:r>
              <w:rPr>
                <w:rFonts w:ascii="Times New Roman" w:hAnsi="Times New Roman"/>
                <w:sz w:val="24"/>
              </w:rPr>
              <w:t xml:space="preserve"> odljeva koja je jednaka ukupnim odljevima umanjenima za smanjenje za priljeve izuzete u cijelosti, smanjenje za priljeve na koje se primjenjuje gornja granica od 90 % i smanjenje za priljeve na koje se primjenjuje gornja granica od 75 %.</w:t>
            </w:r>
          </w:p>
        </w:tc>
      </w:tr>
      <w:tr w:rsidR="001E06A3" w:rsidRPr="007F4CC8" w14:paraId="01A8493C" w14:textId="77777777" w:rsidTr="001E06A3">
        <w:trPr>
          <w:trHeight w:val="316"/>
        </w:trPr>
        <w:tc>
          <w:tcPr>
            <w:tcW w:w="1384" w:type="dxa"/>
          </w:tcPr>
          <w:p w14:paraId="43491FF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23</w:t>
            </w:r>
          </w:p>
        </w:tc>
        <w:tc>
          <w:tcPr>
            <w:tcW w:w="7655" w:type="dxa"/>
          </w:tcPr>
          <w:p w14:paraId="675B2C3A"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OMJER LIKVIDNOSNE POKRIVENOSTI (%)</w:t>
            </w:r>
          </w:p>
          <w:p w14:paraId="2FBC9872"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Institucije kao usklađenu vrijednost objavljuju postotak stavke „Koeficijent likvidnosne pokrivenosti (%)” kako je definirana u članku 4. stavku 1. Delegirane uredbe Komisije (EU) 2015/61.</w:t>
            </w:r>
          </w:p>
          <w:p w14:paraId="71310C0D"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Koeficijent likvidnosne pokrivenosti jednak je omjeru zaštitnog sloja likvidnosti kreditne institucije i njezinih neto likvidnosnih odljeva tijekom razdoblja stresa u trajanju od 30 kalendarskih dana i iskazuje se kao postotak.</w:t>
            </w:r>
          </w:p>
        </w:tc>
      </w:tr>
    </w:tbl>
    <w:p w14:paraId="300E35AD" w14:textId="77777777" w:rsidR="001E06A3" w:rsidRPr="007F4CC8" w:rsidRDefault="001E06A3" w:rsidP="001E06A3">
      <w:pPr>
        <w:rPr>
          <w:rFonts w:ascii="Times New Roman" w:hAnsi="Times New Roman" w:cs="Times New Roman"/>
          <w:sz w:val="24"/>
        </w:rPr>
      </w:pPr>
    </w:p>
    <w:p w14:paraId="2C2DEE24" w14:textId="26B1DEB1" w:rsidR="001E06A3" w:rsidRPr="00DD0C4D" w:rsidRDefault="001E06A3" w:rsidP="001E06A3">
      <w:pPr>
        <w:pStyle w:val="Titlelevel2"/>
        <w:spacing w:before="120" w:after="120"/>
        <w:rPr>
          <w:rFonts w:ascii="Times New Roman" w:hAnsi="Times New Roman"/>
          <w:b/>
          <w:color w:val="auto"/>
          <w:sz w:val="24"/>
        </w:rPr>
      </w:pPr>
      <w:r>
        <w:rPr>
          <w:rFonts w:ascii="Times New Roman" w:hAnsi="Times New Roman"/>
          <w:b/>
          <w:color w:val="auto"/>
          <w:sz w:val="24"/>
        </w:rPr>
        <w:t xml:space="preserve">Tablica EU LIQB za kvalitativne informacije o LCR-u, dopuna obrascu EU LIQ1 </w:t>
      </w:r>
    </w:p>
    <w:p w14:paraId="79159435" w14:textId="51F0C83E"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Institucije na koje se primjenjuje dio šesti CRR-a objavljuju informacije iz članka 451.a stavka 2. CRR-a popunjavanjem tablice EU LIQB iz Priloga XIII. ovoj Provedbenoj uredbi prateći upute u nastavku ovog Priloga.</w:t>
      </w:r>
    </w:p>
    <w:p w14:paraId="4BE3B57E" w14:textId="6F908E62"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U tablici EU LIQB navode se kvalitativne informacije o stavkama iz obrasca EU LIQ1 za kvalitativne informacije o LCR-u.</w:t>
      </w:r>
    </w:p>
    <w:p w14:paraId="79B68B25"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Institucije na koje se primjenjuje dio šesti CRR-a polja za unos teksta u ovoj tablici smatraju poljima za slobodan unos teksta i ako je moguće informacije o stavkama koje se u tablici navode objavljuju u skladu s razmatranjem tih stavki u kontekstu definicije LCR-a iz Delegirane uredbe Komisije (EU) 2015/61 i dodatnih likvidnosnih nadzornih parametara utvrđenih u poglavlju 7.b Provedbene uredbe </w:t>
      </w:r>
      <w:r>
        <w:rPr>
          <w:rFonts w:ascii="Times New Roman" w:hAnsi="Times New Roman"/>
          <w:sz w:val="24"/>
        </w:rPr>
        <w:lastRenderedPageBreak/>
        <w:t>Komisije (EU) br. 680/2014</w:t>
      </w:r>
      <w:r>
        <w:rPr>
          <w:rStyle w:val="FootnoteReference"/>
          <w:rFonts w:ascii="Times New Roman" w:hAnsi="Times New Roman" w:cs="Times New Roman"/>
          <w:sz w:val="24"/>
        </w:rPr>
        <w:footnoteReference w:id="26"/>
      </w:r>
      <w:r>
        <w:rPr>
          <w:rFonts w:ascii="Times New Roman" w:hAnsi="Times New Roman"/>
          <w:sz w:val="24"/>
        </w:rPr>
        <w:t>.</w:t>
      </w:r>
    </w:p>
    <w:p w14:paraId="6B050B9E" w14:textId="60807A3B" w:rsidR="001E06A3" w:rsidRPr="007F4CC8" w:rsidRDefault="001E06A3" w:rsidP="001E06A3">
      <w:pPr>
        <w:pStyle w:val="ListNumber"/>
        <w:numPr>
          <w:ilvl w:val="0"/>
          <w:numId w:val="0"/>
        </w:numPr>
        <w:ind w:left="357" w:hanging="357"/>
        <w:jc w:val="both"/>
        <w:rPr>
          <w:rFonts w:ascii="Times New Roman" w:hAnsi="Times New Roman"/>
          <w:b/>
          <w:sz w:val="24"/>
        </w:rPr>
      </w:pPr>
      <w:r>
        <w:rPr>
          <w:rFonts w:ascii="Times New Roman" w:hAnsi="Times New Roman"/>
          <w:b/>
          <w:sz w:val="24"/>
        </w:rPr>
        <w:t>Upute za obrazac EU LIQ2 o objavljivanju informacija o omjeru neto stabilnih izvora financiranja (NSFR)</w:t>
      </w:r>
    </w:p>
    <w:p w14:paraId="3B9B8BEF" w14:textId="224E43E2"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Institucije na koje se primjenjuje dio šesti CRR-a objavljuju informacije iz članka 451.a stavka 3. CRR-a uključene u obrazac EU LIQ2 prateći upute iz ovog Priloga. Objavljuju se brojčani podaci na kraju svakog tromjesečja relevantnog razdoblja objave. To npr. za godišnju objavu uključuje četiri skupa podataka koji se odnose na zadnje i tri prethodna tromjesečja. </w:t>
      </w:r>
    </w:p>
    <w:p w14:paraId="59541A14" w14:textId="0C35D4D4"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Informacije koje se objavljuju u obrascu EU LIQ2 uključuju sve stavke imovine i obveza te izvanbilančne stavke neovisno o valuti i objavljuju se u izvještajnoj valuti kako je definirana u članku 411. stavku 15. CRR-a.</w:t>
      </w:r>
    </w:p>
    <w:p w14:paraId="0A794B55" w14:textId="5DB89BBB" w:rsidR="001E06A3" w:rsidRPr="007F4CC8" w:rsidRDefault="003414D7"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Kako bi se izbjegao dvostruki obračun, institucije ne objavljuju imovinu ili obveze povezane s kolateralom koji je dan ili primljen kao varijacijski iznos nadoknade u skladu s člankom 428.k stavkom 4. i člankom 428.ah stavkom 2. CRR-a, inicijalni iznos nadoknade i uplata u jamstveni fond središnje druge ugovorne strane u skladu s člankom428.ag točkama (a) i (b) CRR-a.</w:t>
      </w:r>
    </w:p>
    <w:p w14:paraId="6A4BBC17"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Depoziti u kontekstu institucionalnog sustava zaštite ili mreže kreditnih zadruga koji se smatraju likvidnom imovinom objavljuju se kao likvidna imovina. Druge stavke koje se odnose na grupu ili institucionalni sustav zaštite objavljuju se u relevantnim općim kategorijama u obrascu za zahtijevane ili dostupne stabilne izvore financiranja.</w:t>
      </w:r>
    </w:p>
    <w:p w14:paraId="767BB1BE"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Institucije uvijek u stupcima a, b, c i d obrasca kao „</w:t>
      </w:r>
      <w:proofErr w:type="spellStart"/>
      <w:r>
        <w:rPr>
          <w:rFonts w:ascii="Times New Roman" w:hAnsi="Times New Roman"/>
          <w:sz w:val="24"/>
        </w:rPr>
        <w:t>neponderiranu</w:t>
      </w:r>
      <w:proofErr w:type="spellEnd"/>
      <w:r>
        <w:rPr>
          <w:rFonts w:ascii="Times New Roman" w:hAnsi="Times New Roman"/>
          <w:sz w:val="24"/>
        </w:rPr>
        <w:t xml:space="preserve"> vrijednost prema preostalom roku do dospijeća” objavljuju računovodstvene vrijednosti, osim u slučaju ugovora o izvedenicama za koje institucije upućuju na fer vrijednosti kako su utvrđene u članku 428.d stavku 2. CRR-a.</w:t>
      </w:r>
    </w:p>
    <w:p w14:paraId="025EBBBD"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Institucije „ponderiranu vrijednost” objavljuju u stupcu e ovog obrasca. Ta vrijednost odražava vrijednost u skladu s člankom 428.c stavkom 2. CRR-a, koja se dobije množenjem neponderirane vrijednosti s faktorima stabilnih izvora financiranja.</w:t>
      </w:r>
    </w:p>
    <w:p w14:paraId="075502ED"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Iznos imovine i obveza koje proizlaze iz transakcija financiranja vrijednosnim papirima s istom drugom ugovornom stranom izračunava se na neto osnovi ako se primjenjuje članak 428.e CRR-a. U slučaju da se na pojedinačne </w:t>
      </w:r>
      <w:proofErr w:type="spellStart"/>
      <w:r>
        <w:rPr>
          <w:rFonts w:ascii="Times New Roman" w:hAnsi="Times New Roman"/>
          <w:sz w:val="24"/>
        </w:rPr>
        <w:t>netirane</w:t>
      </w:r>
      <w:proofErr w:type="spellEnd"/>
      <w:r>
        <w:rPr>
          <w:rFonts w:ascii="Times New Roman" w:hAnsi="Times New Roman"/>
          <w:sz w:val="24"/>
        </w:rPr>
        <w:t xml:space="preserve"> transakcije primjenjuju različiti faktori zahtijevanih stabilnih izvora financiranja ako su zasebno uzete u obzir, na </w:t>
      </w:r>
      <w:proofErr w:type="spellStart"/>
      <w:r>
        <w:rPr>
          <w:rFonts w:ascii="Times New Roman" w:hAnsi="Times New Roman"/>
          <w:sz w:val="24"/>
        </w:rPr>
        <w:t>netirani</w:t>
      </w:r>
      <w:proofErr w:type="spellEnd"/>
      <w:r>
        <w:rPr>
          <w:rFonts w:ascii="Times New Roman" w:hAnsi="Times New Roman"/>
          <w:sz w:val="24"/>
        </w:rPr>
        <w:t xml:space="preserve"> iznos koji se objavljuje, ako je riječ o imovini, primjenjuje se veći od tih faktora zahtijevanih stabilnih izvora financiranja.</w:t>
      </w:r>
    </w:p>
    <w:p w14:paraId="635DF997"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Institucije u opisu koji prilažu ovom obrascu navode sva objašnjenja potrebna za lakše razumijevanje rezultata popratnih podataka. Institucije su obvezne barem objasniti:</w:t>
      </w:r>
    </w:p>
    <w:p w14:paraId="273D0F3B"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pokretače svojih rezultata neto stabilnih izvora financiranja i razloge za promjene tijekom razdoblja, kao i promjene tijekom vremena (npr. promjene strategija, strukture financiranja, okolnosti) i</w:t>
      </w:r>
    </w:p>
    <w:p w14:paraId="6C7E1EE0" w14:textId="77777777" w:rsidR="001E06A3" w:rsidRPr="007F4CC8" w:rsidRDefault="001E06A3" w:rsidP="001E06A3">
      <w:pPr>
        <w:pStyle w:val="ListNumber"/>
        <w:numPr>
          <w:ilvl w:val="0"/>
          <w:numId w:val="0"/>
        </w:numPr>
        <w:ind w:left="1071"/>
        <w:jc w:val="both"/>
        <w:rPr>
          <w:rFonts w:ascii="Times New Roman" w:hAnsi="Times New Roman"/>
          <w:sz w:val="24"/>
        </w:rPr>
      </w:pPr>
    </w:p>
    <w:p w14:paraId="3D736C6A"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sastav međuovisne imovine i obveza institucije te stupanj uzajamne povezanosti tih transakcija.</w:t>
      </w:r>
    </w:p>
    <w:p w14:paraId="1012EDDC" w14:textId="77777777" w:rsidR="001E06A3" w:rsidRPr="007F4CC8" w:rsidRDefault="001E06A3" w:rsidP="001E06A3">
      <w:pPr>
        <w:rPr>
          <w:rFonts w:ascii="Times New Roman" w:hAnsi="Times New Roman"/>
          <w:b/>
          <w:sz w:val="24"/>
        </w:rPr>
      </w:pPr>
      <w:r>
        <w:rPr>
          <w:rFonts w:ascii="Times New Roman" w:hAnsi="Times New Roman"/>
          <w:b/>
          <w:sz w:val="24"/>
        </w:rPr>
        <w:t>Stavke dostupnih stabilnih izvora financiranja</w:t>
      </w:r>
    </w:p>
    <w:p w14:paraId="413BD21C"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U skladu s člankom 428.i CRR-a, osim ako je u dijelu šestom glavi IV. poglavlju 3. CRR-a određeno drukčije, iznos dostupnih izvora stabilnog financiranja izračunava se tako što se iznos obveza i regulatornog kapitala, kao neponderirana vrijednost, pomnoži s faktorima dostupnih stabilnih izvora financiranja. Ponderirana vrijednost u stupcu e ovog obrasca odražava iznos dostupnih stabilnih izvora financiranja.</w:t>
      </w:r>
    </w:p>
    <w:p w14:paraId="2EF85710"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Sve obveze i regulatorni kapital objavljuju se u stupcima a, b, c i d ovog obrasca raščlanjeni po njihovom preostalom roku do dospijeća, koji se izračunava u skladu s člancima 428.j, 428.o i 428.ak CRR-a, raščlanjeno prema sljedećim rokovima dospijeća:</w:t>
      </w:r>
    </w:p>
    <w:p w14:paraId="0830C0F4" w14:textId="77777777" w:rsidR="001E06A3" w:rsidRPr="007F4CC8" w:rsidRDefault="001E06A3" w:rsidP="001E06A3">
      <w:pPr>
        <w:pStyle w:val="ListNumber"/>
        <w:numPr>
          <w:ilvl w:val="0"/>
          <w:numId w:val="0"/>
        </w:numPr>
        <w:ind w:left="714"/>
        <w:jc w:val="both"/>
        <w:rPr>
          <w:rFonts w:ascii="Times New Roman" w:hAnsi="Times New Roman"/>
          <w:sz w:val="24"/>
        </w:rPr>
      </w:pPr>
    </w:p>
    <w:p w14:paraId="516716B3" w14:textId="77777777" w:rsidR="001E06A3" w:rsidRPr="007F4CC8" w:rsidRDefault="001E06A3" w:rsidP="00E70D84">
      <w:pPr>
        <w:pStyle w:val="ListNumber"/>
        <w:numPr>
          <w:ilvl w:val="1"/>
          <w:numId w:val="42"/>
        </w:numPr>
        <w:spacing w:after="150"/>
        <w:jc w:val="both"/>
        <w:rPr>
          <w:rFonts w:ascii="Times New Roman" w:hAnsi="Times New Roman"/>
          <w:sz w:val="24"/>
        </w:rPr>
      </w:pPr>
      <w:r>
        <w:rPr>
          <w:rFonts w:ascii="Times New Roman" w:hAnsi="Times New Roman"/>
          <w:sz w:val="24"/>
        </w:rPr>
        <w:t>bez roka dospijeća: za stavke koje se objavljuju „bez roka dospijeća” nema navedenog roka dospijeća ili su bez dospijeća;</w:t>
      </w:r>
    </w:p>
    <w:p w14:paraId="7ADEA47F" w14:textId="77777777" w:rsidR="001E06A3" w:rsidRPr="007F4CC8" w:rsidRDefault="001E06A3" w:rsidP="001E06A3">
      <w:pPr>
        <w:pStyle w:val="ListNumber"/>
        <w:numPr>
          <w:ilvl w:val="0"/>
          <w:numId w:val="0"/>
        </w:numPr>
        <w:ind w:left="1071"/>
        <w:jc w:val="both"/>
        <w:rPr>
          <w:rFonts w:ascii="Times New Roman" w:hAnsi="Times New Roman"/>
          <w:sz w:val="24"/>
        </w:rPr>
      </w:pPr>
    </w:p>
    <w:p w14:paraId="4A598350"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preostali rok do dospijeća do šest mjeseci;</w:t>
      </w:r>
    </w:p>
    <w:p w14:paraId="670F728C" w14:textId="77777777" w:rsidR="001E06A3" w:rsidRPr="007F4CC8" w:rsidRDefault="001E06A3" w:rsidP="001E06A3">
      <w:pPr>
        <w:pStyle w:val="ListNumber"/>
        <w:numPr>
          <w:ilvl w:val="0"/>
          <w:numId w:val="0"/>
        </w:numPr>
        <w:ind w:left="1071"/>
        <w:jc w:val="both"/>
        <w:rPr>
          <w:rFonts w:ascii="Times New Roman" w:hAnsi="Times New Roman"/>
          <w:sz w:val="24"/>
        </w:rPr>
      </w:pPr>
    </w:p>
    <w:p w14:paraId="56AA4092"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preostali rok do dospijeća od najmanje šest mjeseci, ali kraći od godinu dana; i</w:t>
      </w:r>
    </w:p>
    <w:p w14:paraId="5C7C0777" w14:textId="77777777" w:rsidR="001E06A3" w:rsidRPr="007F4CC8" w:rsidRDefault="001E06A3" w:rsidP="001E06A3">
      <w:pPr>
        <w:pStyle w:val="ListNumber"/>
        <w:numPr>
          <w:ilvl w:val="0"/>
          <w:numId w:val="0"/>
        </w:numPr>
        <w:ind w:left="1071"/>
        <w:jc w:val="both"/>
        <w:rPr>
          <w:rFonts w:ascii="Times New Roman" w:hAnsi="Times New Roman"/>
          <w:sz w:val="24"/>
        </w:rPr>
      </w:pPr>
    </w:p>
    <w:p w14:paraId="1D3745B0" w14:textId="77777777" w:rsidR="001E06A3" w:rsidRPr="007F4CC8" w:rsidRDefault="001E06A3" w:rsidP="00E70D84">
      <w:pPr>
        <w:pStyle w:val="ListNumber"/>
        <w:numPr>
          <w:ilvl w:val="1"/>
          <w:numId w:val="36"/>
        </w:numPr>
        <w:spacing w:after="150"/>
        <w:jc w:val="both"/>
        <w:rPr>
          <w:rFonts w:ascii="Times New Roman" w:hAnsi="Times New Roman"/>
          <w:sz w:val="24"/>
        </w:rPr>
      </w:pPr>
      <w:r>
        <w:tab/>
      </w:r>
      <w:r>
        <w:rPr>
          <w:rFonts w:ascii="Times New Roman" w:hAnsi="Times New Roman"/>
          <w:sz w:val="24"/>
        </w:rPr>
        <w:t>preostali rok do dospijeća od godinu dana ili više.</w:t>
      </w:r>
    </w:p>
    <w:p w14:paraId="6C79222A" w14:textId="77777777" w:rsidR="001E06A3" w:rsidRPr="007F4CC8" w:rsidRDefault="001E06A3" w:rsidP="001E06A3">
      <w:pPr>
        <w:pStyle w:val="ListNumber"/>
        <w:numPr>
          <w:ilvl w:val="0"/>
          <w:numId w:val="0"/>
        </w:numPr>
        <w:rPr>
          <w:rFonts w:ascii="Times New Roman" w:hAnsi="Times New Roman"/>
          <w:sz w:val="24"/>
        </w:rPr>
      </w:pPr>
    </w:p>
    <w:p w14:paraId="7E208C0E" w14:textId="77777777" w:rsidR="001E06A3" w:rsidRPr="007F4CC8" w:rsidRDefault="001E06A3" w:rsidP="001E06A3">
      <w:pPr>
        <w:pStyle w:val="ListNumber"/>
        <w:numPr>
          <w:ilvl w:val="0"/>
          <w:numId w:val="0"/>
        </w:numPr>
        <w:ind w:left="357" w:hanging="357"/>
        <w:jc w:val="both"/>
        <w:rPr>
          <w:rFonts w:ascii="Times New Roman" w:hAnsi="Times New Roman"/>
          <w:b/>
          <w:sz w:val="24"/>
        </w:rPr>
      </w:pPr>
      <w:r>
        <w:rPr>
          <w:rFonts w:ascii="Times New Roman" w:hAnsi="Times New Roman"/>
          <w:b/>
          <w:sz w:val="24"/>
        </w:rPr>
        <w:t>Zahtijevane stavke dostupnih stabilnih izvora financiranja</w:t>
      </w:r>
    </w:p>
    <w:p w14:paraId="41A9FD61"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Institucije u odgovarajućoj kategoriji objavljuju sve stavke imovine nad kojom zadržavaju pravo vlasništva, čak i ako one nisu navedene u njihovoj bilanci. Imovina nad kojom institucije ne zadržavaju pravo vlasništva ne objavljuje se čak i ako je navedena u njihovoj bilanci.</w:t>
      </w:r>
    </w:p>
    <w:p w14:paraId="316A5BAA"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U skladu s člankom 428.p CRR-a, osim ako je u dijelu šestom glavi IV. poglavlju 4. CRR-a određeno drukčije, iznos zahtijevanih izvora stabilnog financiranja izračunava se tako da se neponderirana vrijednost imovine i izvanbilančnih stavki pomnoži s faktorima zahtijevanih stabilnih izvora financiranja.</w:t>
      </w:r>
    </w:p>
    <w:p w14:paraId="584B5209"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Imovina koja je u skladu s Delegiranom uredbom Komisije (EU) 2015/61 prihvatljiva kao likvidna imovina visoke kvalitete objavljuje se kao takva u za to određenom retku neovisno o njezinom preostalom roku do dospijeća.</w:t>
      </w:r>
    </w:p>
    <w:p w14:paraId="5C9715D5"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Sve stavke likvidne imovine visoke kvalitete i izvanbilančne stavke objavljuju se raščlanjene po njihovom preostalom roku do dospijeća u skladu s člankom 428.q CRR-a. Rokovi dospijeća za iznose, standardne i primjenjive faktore su sljedeći:</w:t>
      </w:r>
    </w:p>
    <w:p w14:paraId="2B2D822B" w14:textId="77777777" w:rsidR="001E06A3" w:rsidRPr="007F4CC8" w:rsidRDefault="001E06A3" w:rsidP="001E06A3">
      <w:pPr>
        <w:pStyle w:val="ListNumber"/>
        <w:numPr>
          <w:ilvl w:val="0"/>
          <w:numId w:val="0"/>
        </w:numPr>
        <w:ind w:left="1071"/>
        <w:jc w:val="both"/>
        <w:rPr>
          <w:rFonts w:ascii="Times New Roman" w:hAnsi="Times New Roman"/>
          <w:sz w:val="24"/>
        </w:rPr>
      </w:pPr>
    </w:p>
    <w:p w14:paraId="0BE773C8" w14:textId="77777777" w:rsidR="001E06A3" w:rsidRPr="007F4CC8" w:rsidRDefault="001E06A3" w:rsidP="00E70D84">
      <w:pPr>
        <w:pStyle w:val="ListNumber"/>
        <w:numPr>
          <w:ilvl w:val="1"/>
          <w:numId w:val="43"/>
        </w:numPr>
        <w:spacing w:after="150"/>
        <w:jc w:val="both"/>
        <w:rPr>
          <w:rFonts w:ascii="Times New Roman" w:hAnsi="Times New Roman"/>
          <w:sz w:val="24"/>
        </w:rPr>
      </w:pPr>
      <w:r>
        <w:rPr>
          <w:rFonts w:ascii="Times New Roman" w:hAnsi="Times New Roman"/>
          <w:sz w:val="24"/>
        </w:rPr>
        <w:t>preostali rok do dospijeća kraći od šest mjeseci ili rok dospijeća nije naveden;</w:t>
      </w:r>
    </w:p>
    <w:p w14:paraId="4951700F" w14:textId="77777777" w:rsidR="001E06A3" w:rsidRPr="007F4CC8" w:rsidRDefault="001E06A3" w:rsidP="001E06A3">
      <w:pPr>
        <w:pStyle w:val="ListNumber"/>
        <w:numPr>
          <w:ilvl w:val="0"/>
          <w:numId w:val="0"/>
        </w:numPr>
        <w:ind w:left="1071"/>
        <w:jc w:val="both"/>
        <w:rPr>
          <w:rFonts w:ascii="Times New Roman" w:hAnsi="Times New Roman"/>
          <w:sz w:val="24"/>
        </w:rPr>
      </w:pPr>
    </w:p>
    <w:p w14:paraId="5444D653"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preostali rok do dospijeća od najmanje šest mjeseci do godinu dana; i</w:t>
      </w:r>
    </w:p>
    <w:p w14:paraId="6FDF170D" w14:textId="77777777" w:rsidR="001E06A3" w:rsidRPr="007F4CC8" w:rsidRDefault="001E06A3" w:rsidP="001E06A3">
      <w:pPr>
        <w:pStyle w:val="ListNumber"/>
        <w:numPr>
          <w:ilvl w:val="0"/>
          <w:numId w:val="0"/>
        </w:numPr>
        <w:ind w:left="1071"/>
        <w:jc w:val="both"/>
        <w:rPr>
          <w:rFonts w:ascii="Times New Roman" w:hAnsi="Times New Roman"/>
          <w:sz w:val="24"/>
        </w:rPr>
      </w:pPr>
    </w:p>
    <w:p w14:paraId="5C8432F3"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lastRenderedPageBreak/>
        <w:t>preostali rok do dospijeća od godinu dana ili više.</w:t>
      </w:r>
    </w:p>
    <w:p w14:paraId="56A37D67" w14:textId="77777777" w:rsidR="001E06A3" w:rsidRPr="007F4CC8" w:rsidRDefault="001E06A3" w:rsidP="001E06A3">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31"/>
        <w:gridCol w:w="7440"/>
      </w:tblGrid>
      <w:tr w:rsidR="001E06A3" w:rsidRPr="007F4CC8" w14:paraId="22F08A20" w14:textId="77777777" w:rsidTr="0066076D">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590EAC30" w14:textId="77777777" w:rsidR="001E06A3" w:rsidRPr="00CB5E7D" w:rsidRDefault="001E06A3" w:rsidP="001E06A3">
            <w:pPr>
              <w:rPr>
                <w:rFonts w:ascii="Times New Roman" w:hAnsi="Times New Roman"/>
                <w:sz w:val="24"/>
              </w:rPr>
            </w:pPr>
            <w:r>
              <w:rPr>
                <w:rFonts w:ascii="Times New Roman" w:hAnsi="Times New Roman"/>
                <w:b/>
                <w:sz w:val="24"/>
              </w:rPr>
              <w:t>Pravna osnova i upute</w:t>
            </w:r>
          </w:p>
        </w:tc>
      </w:tr>
      <w:tr w:rsidR="001E06A3" w:rsidRPr="007F4CC8" w14:paraId="3F683FB2" w14:textId="77777777" w:rsidTr="0066076D">
        <w:trPr>
          <w:trHeight w:val="567"/>
        </w:trPr>
        <w:tc>
          <w:tcPr>
            <w:tcW w:w="1355" w:type="dxa"/>
            <w:shd w:val="clear" w:color="auto" w:fill="D9D9D9" w:themeFill="background1" w:themeFillShade="D9"/>
          </w:tcPr>
          <w:p w14:paraId="00EFBB8E" w14:textId="77777777" w:rsidR="001E06A3" w:rsidRPr="00CB5E7D" w:rsidRDefault="001E06A3" w:rsidP="001E06A3">
            <w:pPr>
              <w:rPr>
                <w:rFonts w:ascii="Times New Roman" w:hAnsi="Times New Roman"/>
                <w:b/>
                <w:sz w:val="24"/>
              </w:rPr>
            </w:pPr>
            <w:r>
              <w:rPr>
                <w:rFonts w:ascii="Times New Roman" w:hAnsi="Times New Roman"/>
                <w:b/>
                <w:sz w:val="24"/>
              </w:rPr>
              <w:t>Redak</w:t>
            </w:r>
          </w:p>
        </w:tc>
        <w:tc>
          <w:tcPr>
            <w:tcW w:w="7705" w:type="dxa"/>
            <w:shd w:val="clear" w:color="auto" w:fill="D0CECE"/>
          </w:tcPr>
          <w:p w14:paraId="07FAE678" w14:textId="77777777" w:rsidR="001E06A3" w:rsidRPr="007F4CC8" w:rsidRDefault="001E06A3" w:rsidP="001E06A3">
            <w:pPr>
              <w:rPr>
                <w:rFonts w:ascii="Times New Roman" w:hAnsi="Times New Roman"/>
                <w:sz w:val="24"/>
              </w:rPr>
            </w:pPr>
            <w:r>
              <w:rPr>
                <w:rFonts w:ascii="Times New Roman" w:hAnsi="Times New Roman"/>
                <w:b/>
                <w:sz w:val="24"/>
              </w:rPr>
              <w:t>Objašnjenje</w:t>
            </w:r>
          </w:p>
        </w:tc>
      </w:tr>
      <w:tr w:rsidR="001E06A3" w:rsidRPr="007F4CC8" w14:paraId="436B6233" w14:textId="77777777" w:rsidTr="00CB5E7D">
        <w:trPr>
          <w:trHeight w:val="567"/>
        </w:trPr>
        <w:tc>
          <w:tcPr>
            <w:tcW w:w="1355" w:type="dxa"/>
            <w:shd w:val="clear" w:color="auto" w:fill="D0CECE"/>
          </w:tcPr>
          <w:p w14:paraId="1D605430" w14:textId="77777777" w:rsidR="001E06A3" w:rsidRPr="007F4CC8" w:rsidRDefault="001E06A3" w:rsidP="001E06A3">
            <w:pPr>
              <w:rPr>
                <w:rFonts w:ascii="Times New Roman" w:hAnsi="Times New Roman"/>
                <w:sz w:val="24"/>
              </w:rPr>
            </w:pPr>
          </w:p>
        </w:tc>
        <w:tc>
          <w:tcPr>
            <w:tcW w:w="7705" w:type="dxa"/>
            <w:shd w:val="clear" w:color="auto" w:fill="D0CECE"/>
          </w:tcPr>
          <w:p w14:paraId="138A805E" w14:textId="77777777" w:rsidR="001E06A3" w:rsidRPr="001D671B" w:rsidRDefault="001E06A3" w:rsidP="001E06A3">
            <w:pPr>
              <w:rPr>
                <w:rFonts w:ascii="Times New Roman" w:hAnsi="Times New Roman"/>
                <w:b/>
                <w:sz w:val="24"/>
                <w:lang w:val="fr-BE"/>
              </w:rPr>
            </w:pPr>
            <w:proofErr w:type="spellStart"/>
            <w:r w:rsidRPr="001D671B">
              <w:rPr>
                <w:rFonts w:ascii="Times New Roman" w:hAnsi="Times New Roman"/>
                <w:b/>
                <w:sz w:val="24"/>
                <w:lang w:val="fr-BE"/>
              </w:rPr>
              <w:t>Stavke</w:t>
            </w:r>
            <w:proofErr w:type="spellEnd"/>
            <w:r w:rsidRPr="001D671B">
              <w:rPr>
                <w:rFonts w:ascii="Times New Roman" w:hAnsi="Times New Roman"/>
                <w:b/>
                <w:sz w:val="24"/>
                <w:lang w:val="fr-BE"/>
              </w:rPr>
              <w:t xml:space="preserve"> </w:t>
            </w:r>
            <w:proofErr w:type="spellStart"/>
            <w:r w:rsidRPr="001D671B">
              <w:rPr>
                <w:rFonts w:ascii="Times New Roman" w:hAnsi="Times New Roman"/>
                <w:b/>
                <w:sz w:val="24"/>
                <w:lang w:val="fr-BE"/>
              </w:rPr>
              <w:t>dostupnih</w:t>
            </w:r>
            <w:proofErr w:type="spellEnd"/>
            <w:r w:rsidRPr="001D671B">
              <w:rPr>
                <w:rFonts w:ascii="Times New Roman" w:hAnsi="Times New Roman"/>
                <w:b/>
                <w:sz w:val="24"/>
                <w:lang w:val="fr-BE"/>
              </w:rPr>
              <w:t xml:space="preserve"> </w:t>
            </w:r>
            <w:proofErr w:type="spellStart"/>
            <w:r w:rsidRPr="001D671B">
              <w:rPr>
                <w:rFonts w:ascii="Times New Roman" w:hAnsi="Times New Roman"/>
                <w:b/>
                <w:sz w:val="24"/>
                <w:lang w:val="fr-BE"/>
              </w:rPr>
              <w:t>stabilnih</w:t>
            </w:r>
            <w:proofErr w:type="spellEnd"/>
            <w:r w:rsidRPr="001D671B">
              <w:rPr>
                <w:rFonts w:ascii="Times New Roman" w:hAnsi="Times New Roman"/>
                <w:b/>
                <w:sz w:val="24"/>
                <w:lang w:val="fr-BE"/>
              </w:rPr>
              <w:t xml:space="preserve"> </w:t>
            </w:r>
            <w:proofErr w:type="spellStart"/>
            <w:r w:rsidRPr="001D671B">
              <w:rPr>
                <w:rFonts w:ascii="Times New Roman" w:hAnsi="Times New Roman"/>
                <w:b/>
                <w:sz w:val="24"/>
                <w:lang w:val="fr-BE"/>
              </w:rPr>
              <w:t>izvora</w:t>
            </w:r>
            <w:proofErr w:type="spellEnd"/>
            <w:r w:rsidRPr="001D671B">
              <w:rPr>
                <w:rFonts w:ascii="Times New Roman" w:hAnsi="Times New Roman"/>
                <w:b/>
                <w:sz w:val="24"/>
                <w:lang w:val="fr-BE"/>
              </w:rPr>
              <w:t xml:space="preserve"> </w:t>
            </w:r>
            <w:proofErr w:type="spellStart"/>
            <w:r w:rsidRPr="001D671B">
              <w:rPr>
                <w:rFonts w:ascii="Times New Roman" w:hAnsi="Times New Roman"/>
                <w:b/>
                <w:sz w:val="24"/>
                <w:lang w:val="fr-BE"/>
              </w:rPr>
              <w:t>financiranja</w:t>
            </w:r>
            <w:proofErr w:type="spellEnd"/>
          </w:p>
        </w:tc>
      </w:tr>
      <w:tr w:rsidR="001E06A3" w:rsidRPr="007F4CC8" w14:paraId="579EBB5A" w14:textId="77777777" w:rsidTr="00CB5E7D">
        <w:tc>
          <w:tcPr>
            <w:tcW w:w="1355" w:type="dxa"/>
          </w:tcPr>
          <w:p w14:paraId="09A3266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w:t>
            </w:r>
          </w:p>
        </w:tc>
        <w:tc>
          <w:tcPr>
            <w:tcW w:w="7705" w:type="dxa"/>
          </w:tcPr>
          <w:p w14:paraId="530427A3"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Stavke i instrumenti kapitala</w:t>
            </w:r>
          </w:p>
          <w:p w14:paraId="61716E3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ovdje objavljuju zbroj iznosa iz redaka 2 i 3 ovog obrasca.</w:t>
            </w:r>
          </w:p>
        </w:tc>
      </w:tr>
      <w:tr w:rsidR="001E06A3" w:rsidRPr="007F4CC8" w14:paraId="15DE331F" w14:textId="77777777" w:rsidTr="00CB5E7D">
        <w:tc>
          <w:tcPr>
            <w:tcW w:w="1355" w:type="dxa"/>
          </w:tcPr>
          <w:p w14:paraId="7F86577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w:t>
            </w:r>
          </w:p>
        </w:tc>
        <w:tc>
          <w:tcPr>
            <w:tcW w:w="7705" w:type="dxa"/>
          </w:tcPr>
          <w:p w14:paraId="5FD56B88"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Regulatorni kapital</w:t>
            </w:r>
          </w:p>
          <w:p w14:paraId="198B2663"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Članak 428.o točke (a), (b) i (c) CRR-a</w:t>
            </w:r>
          </w:p>
          <w:p w14:paraId="0A4C5F9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ovdje uključuju zbroj sljedećih stavki:</w:t>
            </w:r>
          </w:p>
          <w:p w14:paraId="2EFCADA1" w14:textId="77777777" w:rsidR="001E06A3" w:rsidRPr="007F4CC8" w:rsidRDefault="001E06A3" w:rsidP="00E70D84">
            <w:pPr>
              <w:pStyle w:val="ListParagraph"/>
              <w:numPr>
                <w:ilvl w:val="0"/>
                <w:numId w:val="40"/>
              </w:numPr>
              <w:spacing w:after="240"/>
              <w:contextualSpacing/>
              <w:jc w:val="both"/>
              <w:rPr>
                <w:rFonts w:ascii="Times New Roman" w:hAnsi="Times New Roman"/>
                <w:sz w:val="24"/>
              </w:rPr>
            </w:pPr>
            <w:r>
              <w:rPr>
                <w:rFonts w:ascii="Times New Roman" w:hAnsi="Times New Roman"/>
                <w:sz w:val="24"/>
              </w:rPr>
              <w:t>stavki redovnog osnovnog kapitala prije primjene bonitetnih filtara, odbitaka te izuzeća ili alternativnih rješenja propisanih u člancima od 32. do 36., 48., 49. i 79. CRR-a,</w:t>
            </w:r>
          </w:p>
          <w:p w14:paraId="2E9DB7AE" w14:textId="77777777" w:rsidR="001E06A3" w:rsidRPr="007F4CC8" w:rsidRDefault="001E06A3" w:rsidP="00E70D84">
            <w:pPr>
              <w:pStyle w:val="ListParagraph"/>
              <w:numPr>
                <w:ilvl w:val="0"/>
                <w:numId w:val="40"/>
              </w:numPr>
              <w:spacing w:after="240"/>
              <w:contextualSpacing/>
              <w:jc w:val="both"/>
              <w:rPr>
                <w:rFonts w:ascii="Times New Roman" w:hAnsi="Times New Roman"/>
                <w:sz w:val="24"/>
              </w:rPr>
            </w:pPr>
            <w:r>
              <w:rPr>
                <w:rFonts w:ascii="Times New Roman" w:hAnsi="Times New Roman"/>
                <w:sz w:val="24"/>
              </w:rPr>
              <w:t>stavki dodatnog osnovnog kapitala prije primjene odbitaka i izuzeća propisanih u člancima 56. i 79. CRR-a i</w:t>
            </w:r>
          </w:p>
          <w:p w14:paraId="739C5EE8" w14:textId="77777777" w:rsidR="001E06A3" w:rsidRPr="007F4CC8" w:rsidRDefault="001E06A3" w:rsidP="00E70D84">
            <w:pPr>
              <w:pStyle w:val="ListParagraph"/>
              <w:numPr>
                <w:ilvl w:val="0"/>
                <w:numId w:val="40"/>
              </w:numPr>
              <w:spacing w:after="240"/>
              <w:contextualSpacing/>
              <w:jc w:val="both"/>
              <w:rPr>
                <w:rFonts w:ascii="Times New Roman" w:hAnsi="Times New Roman"/>
                <w:sz w:val="24"/>
              </w:rPr>
            </w:pPr>
            <w:r>
              <w:rPr>
                <w:rFonts w:ascii="Times New Roman" w:hAnsi="Times New Roman"/>
                <w:sz w:val="24"/>
              </w:rPr>
              <w:t>stavki dopunskog kapitala prije primjene odbitaka i izuzeća propisanih u člancima 66. i 79. CRR-a koje na referentni datum objave imaju preostali rok do dospijeća od godinu dana ili više.</w:t>
            </w:r>
          </w:p>
          <w:p w14:paraId="50F1DC2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Stavke redovnog osnovnog kapitala i dodatnog osnovnog kapitala instrumenti su bez dospijeća koji se objavljuju u razredu „bez roka dospijeća”. Stavke dodatnog osnovnog kapitala koje institucija može opozvati, samo ako je razdoblje do datuma opcija kupnje kraće od godinu dana, ne objavljuju se u razredu „bez roka dospijeća” nego u razredu s primjenjivim rokom (tj. preostali rok do dospijeća kraći od šest mjeseci ili najmanje šest mjeseci, ali kraći od godinu dana), neovisno o tome je li opcija izvršena.</w:t>
            </w:r>
          </w:p>
          <w:p w14:paraId="6998616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Što se tiče stavki dopunskog kapitala, rok dospijeća od godinu dana ili više odnosi se i na instrumente s istovjetnim preostalim rokom do dospijeća i u iznimnim slučajevima na instrumente dopunskog kapitala bez roka dospijeća. U slučaju stavki dopunskog kapitala koje institucija može opozvati, neovisno o tome je li institucija izvršila opciju kupnje, preostali rok do dospijeća instrumenta određuje se na temelju datuma opcije kupnje. U ovom slučaju, institucije te stavke objavljuju u relevantnim razdobljima i ne primjenjuju faktor dostupnih stabilnih izvora financiranja 100 % ako se opcija može iskoristiti u roku od godinu dana.</w:t>
            </w:r>
          </w:p>
        </w:tc>
      </w:tr>
      <w:tr w:rsidR="001E06A3" w:rsidRPr="007F4CC8" w14:paraId="4FD46919" w14:textId="77777777" w:rsidTr="00CB5E7D">
        <w:tc>
          <w:tcPr>
            <w:tcW w:w="1355" w:type="dxa"/>
          </w:tcPr>
          <w:p w14:paraId="085BD94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w:t>
            </w:r>
          </w:p>
        </w:tc>
        <w:tc>
          <w:tcPr>
            <w:tcW w:w="7705" w:type="dxa"/>
          </w:tcPr>
          <w:p w14:paraId="46ABF274"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Ostali instrumenti kapitala</w:t>
            </w:r>
          </w:p>
          <w:p w14:paraId="4D812EA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lastRenderedPageBreak/>
              <w:t>Članak 428.o točka (d) i članak 428.k stavak 3. točka (d) CRR-a</w:t>
            </w:r>
          </w:p>
          <w:p w14:paraId="6FE850DA"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Ostali instrumenti kapitala s preostalim rokom do dospijeća od godinu dana ili više na referentni datum objave.</w:t>
            </w:r>
          </w:p>
          <w:p w14:paraId="3E72A944"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Ako je institucija opozvala ostale instrumente kapitala, neovisno o tome je li izvršila opciju kupnje, preostali rok do dospijeća instrumenta određuje se na temelju datuma opcije kupnje. U ovom slučaju, institucije te stavke objavljuju u relevantnim razdobljima i ne primjenjuju faktor dostupnih stabilnih izvora financiranja 100 % ako se opcija može iskoristiti u roku od godinu dana.</w:t>
            </w:r>
          </w:p>
        </w:tc>
      </w:tr>
      <w:tr w:rsidR="001E06A3" w:rsidRPr="007F4CC8" w14:paraId="4A7BF272" w14:textId="77777777" w:rsidTr="00CB5E7D">
        <w:tc>
          <w:tcPr>
            <w:tcW w:w="1355" w:type="dxa"/>
          </w:tcPr>
          <w:p w14:paraId="22D0C44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4</w:t>
            </w:r>
          </w:p>
        </w:tc>
        <w:tc>
          <w:tcPr>
            <w:tcW w:w="7705" w:type="dxa"/>
          </w:tcPr>
          <w:p w14:paraId="3E072D6A"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Depoziti stanovništva</w:t>
            </w:r>
          </w:p>
          <w:p w14:paraId="34660FE1" w14:textId="77777777" w:rsidR="001E06A3" w:rsidRPr="007F4CC8" w:rsidRDefault="001E06A3" w:rsidP="001E06A3">
            <w:pPr>
              <w:spacing w:after="240"/>
              <w:jc w:val="both"/>
            </w:pPr>
            <w:r>
              <w:rPr>
                <w:rFonts w:ascii="Times New Roman" w:hAnsi="Times New Roman"/>
                <w:sz w:val="24"/>
              </w:rPr>
              <w:t>Institucije ovdje objavljuju zbroj iznosa iz redaka 5 i 6 ovog obrasca.</w:t>
            </w:r>
          </w:p>
        </w:tc>
      </w:tr>
      <w:tr w:rsidR="001E06A3" w:rsidRPr="007F4CC8" w14:paraId="4B4D6290" w14:textId="77777777" w:rsidTr="00CB5E7D">
        <w:tc>
          <w:tcPr>
            <w:tcW w:w="1355" w:type="dxa"/>
          </w:tcPr>
          <w:p w14:paraId="1010D2B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5</w:t>
            </w:r>
          </w:p>
        </w:tc>
        <w:tc>
          <w:tcPr>
            <w:tcW w:w="7705" w:type="dxa"/>
          </w:tcPr>
          <w:p w14:paraId="70714F89" w14:textId="77777777" w:rsidR="001E06A3" w:rsidRPr="001D671B" w:rsidRDefault="001E06A3" w:rsidP="001E06A3">
            <w:pPr>
              <w:spacing w:after="240"/>
              <w:jc w:val="both"/>
              <w:rPr>
                <w:rFonts w:ascii="Times New Roman" w:hAnsi="Times New Roman"/>
                <w:b/>
                <w:sz w:val="24"/>
                <w:lang w:val="fr-BE"/>
              </w:rPr>
            </w:pPr>
            <w:proofErr w:type="spellStart"/>
            <w:r w:rsidRPr="001D671B">
              <w:rPr>
                <w:rFonts w:ascii="Times New Roman" w:hAnsi="Times New Roman"/>
                <w:b/>
                <w:sz w:val="24"/>
                <w:lang w:val="fr-BE"/>
              </w:rPr>
              <w:t>Stabilni</w:t>
            </w:r>
            <w:proofErr w:type="spellEnd"/>
            <w:r w:rsidRPr="001D671B">
              <w:rPr>
                <w:rFonts w:ascii="Times New Roman" w:hAnsi="Times New Roman"/>
                <w:b/>
                <w:sz w:val="24"/>
                <w:lang w:val="fr-BE"/>
              </w:rPr>
              <w:t xml:space="preserve"> </w:t>
            </w:r>
            <w:proofErr w:type="spellStart"/>
            <w:r w:rsidRPr="001D671B">
              <w:rPr>
                <w:rFonts w:ascii="Times New Roman" w:hAnsi="Times New Roman"/>
                <w:b/>
                <w:sz w:val="24"/>
                <w:lang w:val="fr-BE"/>
              </w:rPr>
              <w:t>depoziti</w:t>
            </w:r>
            <w:proofErr w:type="spellEnd"/>
            <w:r w:rsidRPr="001D671B">
              <w:rPr>
                <w:rFonts w:ascii="Times New Roman" w:hAnsi="Times New Roman"/>
                <w:b/>
                <w:sz w:val="24"/>
                <w:lang w:val="fr-BE"/>
              </w:rPr>
              <w:t xml:space="preserve"> </w:t>
            </w:r>
            <w:proofErr w:type="spellStart"/>
            <w:r w:rsidRPr="001D671B">
              <w:rPr>
                <w:rFonts w:ascii="Times New Roman" w:hAnsi="Times New Roman"/>
                <w:b/>
                <w:sz w:val="24"/>
                <w:lang w:val="fr-BE"/>
              </w:rPr>
              <w:t>stanovništva</w:t>
            </w:r>
            <w:proofErr w:type="spellEnd"/>
          </w:p>
          <w:p w14:paraId="4605216C" w14:textId="77777777" w:rsidR="001E06A3" w:rsidRPr="001D671B" w:rsidRDefault="001E06A3" w:rsidP="001E06A3">
            <w:pPr>
              <w:pStyle w:val="TableParagraph"/>
              <w:spacing w:after="240"/>
              <w:jc w:val="both"/>
              <w:rPr>
                <w:rFonts w:ascii="Times New Roman" w:hAnsi="Times New Roman"/>
                <w:sz w:val="24"/>
                <w:lang w:val="fr-BE"/>
              </w:rPr>
            </w:pPr>
            <w:proofErr w:type="spellStart"/>
            <w:r w:rsidRPr="001D671B">
              <w:rPr>
                <w:rFonts w:ascii="Times New Roman" w:hAnsi="Times New Roman"/>
                <w:sz w:val="24"/>
                <w:lang w:val="fr-BE"/>
              </w:rPr>
              <w:t>Članak</w:t>
            </w:r>
            <w:proofErr w:type="spellEnd"/>
            <w:r w:rsidRPr="001D671B">
              <w:rPr>
                <w:rFonts w:ascii="Times New Roman" w:hAnsi="Times New Roman"/>
                <w:sz w:val="24"/>
                <w:lang w:val="fr-BE"/>
              </w:rPr>
              <w:t xml:space="preserve"> 428.n </w:t>
            </w:r>
            <w:proofErr w:type="spellStart"/>
            <w:r w:rsidRPr="001D671B">
              <w:rPr>
                <w:rFonts w:ascii="Times New Roman" w:hAnsi="Times New Roman"/>
                <w:sz w:val="24"/>
                <w:lang w:val="fr-BE"/>
              </w:rPr>
              <w:t>CRR-a</w:t>
            </w:r>
            <w:proofErr w:type="spellEnd"/>
          </w:p>
          <w:p w14:paraId="4DE00061" w14:textId="77777777" w:rsidR="001E06A3" w:rsidRPr="007F4CC8" w:rsidRDefault="001E06A3" w:rsidP="001E06A3">
            <w:pPr>
              <w:pStyle w:val="TableParagraph"/>
              <w:spacing w:after="240"/>
              <w:jc w:val="both"/>
              <w:rPr>
                <w:rFonts w:ascii="Times New Roman" w:hAnsi="Times New Roman"/>
                <w:sz w:val="24"/>
                <w:szCs w:val="24"/>
              </w:rPr>
            </w:pPr>
            <w:proofErr w:type="spellStart"/>
            <w:r w:rsidRPr="001D671B">
              <w:rPr>
                <w:rFonts w:ascii="Times New Roman" w:hAnsi="Times New Roman"/>
                <w:sz w:val="24"/>
                <w:szCs w:val="24"/>
                <w:lang w:val="fr-BE"/>
              </w:rPr>
              <w:t>Institucije</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uključuju</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dio</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iznosa</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depozita</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stanovništva</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koji</w:t>
            </w:r>
            <w:proofErr w:type="spellEnd"/>
            <w:r w:rsidRPr="001D671B">
              <w:rPr>
                <w:rFonts w:ascii="Times New Roman" w:hAnsi="Times New Roman"/>
                <w:sz w:val="24"/>
                <w:szCs w:val="24"/>
                <w:lang w:val="fr-BE"/>
              </w:rPr>
              <w:t xml:space="preserve"> je </w:t>
            </w:r>
            <w:proofErr w:type="spellStart"/>
            <w:r w:rsidRPr="001D671B">
              <w:rPr>
                <w:rFonts w:ascii="Times New Roman" w:hAnsi="Times New Roman"/>
                <w:sz w:val="24"/>
                <w:szCs w:val="24"/>
                <w:lang w:val="fr-BE"/>
              </w:rPr>
              <w:t>obuhvaćen</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sustavom</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osiguranja</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depozita</w:t>
            </w:r>
            <w:proofErr w:type="spellEnd"/>
            <w:r w:rsidRPr="001D671B">
              <w:rPr>
                <w:rFonts w:ascii="Times New Roman" w:hAnsi="Times New Roman"/>
                <w:sz w:val="24"/>
                <w:szCs w:val="24"/>
                <w:lang w:val="fr-BE"/>
              </w:rPr>
              <w:t xml:space="preserve"> u </w:t>
            </w:r>
            <w:proofErr w:type="spellStart"/>
            <w:r w:rsidRPr="001D671B">
              <w:rPr>
                <w:rFonts w:ascii="Times New Roman" w:hAnsi="Times New Roman"/>
                <w:sz w:val="24"/>
                <w:szCs w:val="24"/>
                <w:lang w:val="fr-BE"/>
              </w:rPr>
              <w:t>skladu</w:t>
            </w:r>
            <w:proofErr w:type="spellEnd"/>
            <w:r w:rsidRPr="001D671B">
              <w:rPr>
                <w:rFonts w:ascii="Times New Roman" w:hAnsi="Times New Roman"/>
                <w:sz w:val="24"/>
                <w:szCs w:val="24"/>
                <w:lang w:val="fr-BE"/>
              </w:rPr>
              <w:t xml:space="preserve"> s </w:t>
            </w:r>
            <w:proofErr w:type="spellStart"/>
            <w:r w:rsidRPr="001D671B">
              <w:rPr>
                <w:rFonts w:ascii="Times New Roman" w:hAnsi="Times New Roman"/>
                <w:sz w:val="24"/>
                <w:szCs w:val="24"/>
                <w:lang w:val="fr-BE"/>
              </w:rPr>
              <w:t>Direktivom</w:t>
            </w:r>
            <w:proofErr w:type="spellEnd"/>
            <w:r w:rsidRPr="001D671B">
              <w:rPr>
                <w:rFonts w:ascii="Times New Roman" w:hAnsi="Times New Roman"/>
                <w:sz w:val="24"/>
                <w:szCs w:val="24"/>
                <w:lang w:val="fr-BE"/>
              </w:rPr>
              <w:t xml:space="preserve"> 94/19/EZ, </w:t>
            </w:r>
            <w:proofErr w:type="spellStart"/>
            <w:r w:rsidRPr="001D671B">
              <w:rPr>
                <w:rFonts w:ascii="Times New Roman" w:hAnsi="Times New Roman"/>
                <w:sz w:val="24"/>
                <w:szCs w:val="24"/>
                <w:lang w:val="fr-BE"/>
              </w:rPr>
              <w:t>Direktivom</w:t>
            </w:r>
            <w:proofErr w:type="spellEnd"/>
            <w:r w:rsidRPr="001D671B">
              <w:rPr>
                <w:rFonts w:ascii="Times New Roman" w:hAnsi="Times New Roman"/>
                <w:sz w:val="24"/>
                <w:szCs w:val="24"/>
                <w:lang w:val="fr-BE"/>
              </w:rPr>
              <w:t xml:space="preserve"> 2014/49/EU </w:t>
            </w:r>
            <w:proofErr w:type="spellStart"/>
            <w:r w:rsidRPr="001D671B">
              <w:rPr>
                <w:rFonts w:ascii="Times New Roman" w:hAnsi="Times New Roman"/>
                <w:sz w:val="24"/>
                <w:szCs w:val="24"/>
                <w:lang w:val="fr-BE"/>
              </w:rPr>
              <w:t>ili</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istovrijednim</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sustavom</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osiguranja</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depozita</w:t>
            </w:r>
            <w:proofErr w:type="spellEnd"/>
            <w:r w:rsidRPr="001D671B">
              <w:rPr>
                <w:rFonts w:ascii="Times New Roman" w:hAnsi="Times New Roman"/>
                <w:sz w:val="24"/>
                <w:szCs w:val="24"/>
                <w:lang w:val="fr-BE"/>
              </w:rPr>
              <w:t xml:space="preserve"> u </w:t>
            </w:r>
            <w:proofErr w:type="spellStart"/>
            <w:r w:rsidRPr="001D671B">
              <w:rPr>
                <w:rFonts w:ascii="Times New Roman" w:hAnsi="Times New Roman"/>
                <w:sz w:val="24"/>
                <w:szCs w:val="24"/>
                <w:lang w:val="fr-BE"/>
              </w:rPr>
              <w:t>trećoj</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zemlji</w:t>
            </w:r>
            <w:proofErr w:type="spellEnd"/>
            <w:r w:rsidRPr="001D671B">
              <w:rPr>
                <w:rFonts w:ascii="Times New Roman" w:hAnsi="Times New Roman"/>
                <w:sz w:val="24"/>
                <w:szCs w:val="24"/>
                <w:lang w:val="fr-BE"/>
              </w:rPr>
              <w:t xml:space="preserve"> i </w:t>
            </w:r>
            <w:proofErr w:type="spellStart"/>
            <w:r w:rsidRPr="001D671B">
              <w:rPr>
                <w:rFonts w:ascii="Times New Roman" w:hAnsi="Times New Roman"/>
                <w:sz w:val="24"/>
                <w:szCs w:val="24"/>
                <w:lang w:val="fr-BE"/>
              </w:rPr>
              <w:t>dio</w:t>
            </w:r>
            <w:proofErr w:type="spellEnd"/>
            <w:r w:rsidRPr="001D671B">
              <w:rPr>
                <w:rFonts w:ascii="Times New Roman" w:hAnsi="Times New Roman"/>
                <w:sz w:val="24"/>
                <w:szCs w:val="24"/>
                <w:lang w:val="fr-BE"/>
              </w:rPr>
              <w:t xml:space="preserve"> je </w:t>
            </w:r>
            <w:proofErr w:type="spellStart"/>
            <w:r w:rsidRPr="001D671B">
              <w:rPr>
                <w:rFonts w:ascii="Times New Roman" w:hAnsi="Times New Roman"/>
                <w:sz w:val="24"/>
                <w:szCs w:val="24"/>
                <w:lang w:val="fr-BE"/>
              </w:rPr>
              <w:t>postojanog</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odnosa</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koji</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umanjuje</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vjerojatnost</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povlačenja</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ili</w:t>
            </w:r>
            <w:proofErr w:type="spellEnd"/>
            <w:r w:rsidRPr="001D671B">
              <w:rPr>
                <w:rFonts w:ascii="Times New Roman" w:hAnsi="Times New Roman"/>
                <w:sz w:val="24"/>
                <w:szCs w:val="24"/>
                <w:lang w:val="fr-BE"/>
              </w:rPr>
              <w:t xml:space="preserve"> se </w:t>
            </w:r>
            <w:proofErr w:type="spellStart"/>
            <w:r w:rsidRPr="001D671B">
              <w:rPr>
                <w:rFonts w:ascii="Times New Roman" w:hAnsi="Times New Roman"/>
                <w:sz w:val="24"/>
                <w:szCs w:val="24"/>
                <w:lang w:val="fr-BE"/>
              </w:rPr>
              <w:t>drži</w:t>
            </w:r>
            <w:proofErr w:type="spellEnd"/>
            <w:r w:rsidRPr="001D671B">
              <w:rPr>
                <w:rFonts w:ascii="Times New Roman" w:hAnsi="Times New Roman"/>
                <w:sz w:val="24"/>
                <w:szCs w:val="24"/>
                <w:lang w:val="fr-BE"/>
              </w:rPr>
              <w:t xml:space="preserve"> na </w:t>
            </w:r>
            <w:proofErr w:type="spellStart"/>
            <w:r w:rsidRPr="001D671B">
              <w:rPr>
                <w:rFonts w:ascii="Times New Roman" w:hAnsi="Times New Roman"/>
                <w:sz w:val="24"/>
                <w:szCs w:val="24"/>
                <w:lang w:val="fr-BE"/>
              </w:rPr>
              <w:t>transakcijskom</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računu</w:t>
            </w:r>
            <w:proofErr w:type="spellEnd"/>
            <w:r w:rsidRPr="001D671B">
              <w:rPr>
                <w:rFonts w:ascii="Times New Roman" w:hAnsi="Times New Roman"/>
                <w:sz w:val="24"/>
                <w:szCs w:val="24"/>
                <w:lang w:val="fr-BE"/>
              </w:rPr>
              <w:t xml:space="preserve"> u </w:t>
            </w:r>
            <w:proofErr w:type="spellStart"/>
            <w:r w:rsidRPr="001D671B">
              <w:rPr>
                <w:rFonts w:ascii="Times New Roman" w:hAnsi="Times New Roman"/>
                <w:sz w:val="24"/>
                <w:szCs w:val="24"/>
                <w:lang w:val="fr-BE"/>
              </w:rPr>
              <w:t>skladu</w:t>
            </w:r>
            <w:proofErr w:type="spellEnd"/>
            <w:r w:rsidRPr="001D671B">
              <w:rPr>
                <w:rFonts w:ascii="Times New Roman" w:hAnsi="Times New Roman"/>
                <w:sz w:val="24"/>
                <w:szCs w:val="24"/>
                <w:lang w:val="fr-BE"/>
              </w:rPr>
              <w:t xml:space="preserve"> s </w:t>
            </w:r>
            <w:proofErr w:type="spellStart"/>
            <w:r w:rsidRPr="001D671B">
              <w:rPr>
                <w:rFonts w:ascii="Times New Roman" w:hAnsi="Times New Roman"/>
                <w:sz w:val="24"/>
                <w:szCs w:val="24"/>
                <w:lang w:val="fr-BE"/>
              </w:rPr>
              <w:t>člankom</w:t>
            </w:r>
            <w:proofErr w:type="spellEnd"/>
            <w:r w:rsidRPr="001D671B">
              <w:rPr>
                <w:rFonts w:ascii="Times New Roman" w:hAnsi="Times New Roman"/>
                <w:sz w:val="24"/>
                <w:szCs w:val="24"/>
                <w:lang w:val="fr-BE"/>
              </w:rPr>
              <w:t xml:space="preserve"> 24. </w:t>
            </w:r>
            <w:proofErr w:type="spellStart"/>
            <w:r w:rsidRPr="001D671B">
              <w:rPr>
                <w:rFonts w:ascii="Times New Roman" w:hAnsi="Times New Roman"/>
                <w:sz w:val="24"/>
                <w:szCs w:val="24"/>
                <w:lang w:val="fr-BE"/>
              </w:rPr>
              <w:t>stavkom</w:t>
            </w:r>
            <w:proofErr w:type="spellEnd"/>
            <w:r w:rsidRPr="001D671B">
              <w:rPr>
                <w:rFonts w:ascii="Times New Roman" w:hAnsi="Times New Roman"/>
                <w:sz w:val="24"/>
                <w:szCs w:val="24"/>
                <w:lang w:val="fr-BE"/>
              </w:rPr>
              <w:t xml:space="preserve"> 2. </w:t>
            </w:r>
            <w:proofErr w:type="spellStart"/>
            <w:r w:rsidRPr="001D671B">
              <w:rPr>
                <w:rFonts w:ascii="Times New Roman" w:hAnsi="Times New Roman"/>
                <w:sz w:val="24"/>
                <w:szCs w:val="24"/>
                <w:lang w:val="fr-BE"/>
              </w:rPr>
              <w:t>odnosno</w:t>
            </w:r>
            <w:proofErr w:type="spellEnd"/>
            <w:r w:rsidRPr="001D671B">
              <w:rPr>
                <w:rFonts w:ascii="Times New Roman" w:hAnsi="Times New Roman"/>
                <w:sz w:val="24"/>
                <w:szCs w:val="24"/>
                <w:lang w:val="fr-BE"/>
              </w:rPr>
              <w:t xml:space="preserve"> 3. </w:t>
            </w:r>
            <w:proofErr w:type="spellStart"/>
            <w:r>
              <w:rPr>
                <w:rFonts w:ascii="Times New Roman" w:hAnsi="Times New Roman"/>
                <w:sz w:val="24"/>
                <w:szCs w:val="24"/>
              </w:rPr>
              <w:t>Delegirane</w:t>
            </w:r>
            <w:proofErr w:type="spellEnd"/>
            <w:r>
              <w:rPr>
                <w:rFonts w:ascii="Times New Roman" w:hAnsi="Times New Roman"/>
                <w:sz w:val="24"/>
                <w:szCs w:val="24"/>
              </w:rPr>
              <w:t xml:space="preserve"> </w:t>
            </w:r>
            <w:proofErr w:type="spellStart"/>
            <w:r>
              <w:rPr>
                <w:rFonts w:ascii="Times New Roman" w:hAnsi="Times New Roman"/>
                <w:sz w:val="24"/>
                <w:szCs w:val="24"/>
              </w:rPr>
              <w:t>uredbe</w:t>
            </w:r>
            <w:proofErr w:type="spellEnd"/>
            <w:r>
              <w:rPr>
                <w:rFonts w:ascii="Times New Roman" w:hAnsi="Times New Roman"/>
                <w:sz w:val="24"/>
                <w:szCs w:val="24"/>
              </w:rPr>
              <w:t xml:space="preserve"> </w:t>
            </w:r>
            <w:proofErr w:type="spellStart"/>
            <w:r>
              <w:rPr>
                <w:rFonts w:ascii="Times New Roman" w:hAnsi="Times New Roman"/>
                <w:sz w:val="24"/>
                <w:szCs w:val="24"/>
              </w:rPr>
              <w:t>Komisije</w:t>
            </w:r>
            <w:proofErr w:type="spellEnd"/>
            <w:r>
              <w:rPr>
                <w:rFonts w:ascii="Times New Roman" w:hAnsi="Times New Roman"/>
                <w:sz w:val="24"/>
                <w:szCs w:val="24"/>
              </w:rPr>
              <w:t xml:space="preserve"> (EU) 2015/61 i ako:</w:t>
            </w:r>
          </w:p>
          <w:p w14:paraId="257B6268" w14:textId="77777777" w:rsidR="001E06A3" w:rsidRPr="007F4CC8" w:rsidRDefault="001E06A3" w:rsidP="00E70D84">
            <w:pPr>
              <w:pStyle w:val="TableParagraph"/>
              <w:numPr>
                <w:ilvl w:val="0"/>
                <w:numId w:val="37"/>
              </w:numPr>
              <w:spacing w:after="240"/>
              <w:ind w:left="714" w:hanging="357"/>
              <w:jc w:val="both"/>
              <w:rPr>
                <w:rFonts w:ascii="Times New Roman" w:hAnsi="Times New Roman"/>
                <w:sz w:val="24"/>
                <w:szCs w:val="24"/>
              </w:rPr>
            </w:pPr>
            <w:r>
              <w:rPr>
                <w:rFonts w:ascii="Times New Roman" w:hAnsi="Times New Roman"/>
                <w:sz w:val="24"/>
                <w:szCs w:val="24"/>
              </w:rPr>
              <w:t>ti depoziti ne ispunjavaju kriterije za višu stopu odljeva u skladu s člankom 25. stavcima 2., 3. i 5. Delegirane uredbe Komisije (EU) 2015/61 i u tom će slučaju biti uključeni kao „manje stabilni depoziti” ili</w:t>
            </w:r>
          </w:p>
          <w:p w14:paraId="097AE91B" w14:textId="3229B93D" w:rsidR="001E06A3" w:rsidRPr="007F4CC8" w:rsidRDefault="001E06A3" w:rsidP="00E70D84">
            <w:pPr>
              <w:pStyle w:val="TableParagraph"/>
              <w:numPr>
                <w:ilvl w:val="0"/>
                <w:numId w:val="37"/>
              </w:numPr>
              <w:spacing w:after="240"/>
              <w:ind w:left="714" w:hanging="357"/>
              <w:jc w:val="both"/>
              <w:rPr>
                <w:rFonts w:ascii="Times New Roman" w:hAnsi="Times New Roman"/>
                <w:sz w:val="24"/>
                <w:szCs w:val="24"/>
              </w:rPr>
            </w:pPr>
            <w:r>
              <w:rPr>
                <w:rFonts w:ascii="Times New Roman" w:hAnsi="Times New Roman"/>
                <w:sz w:val="24"/>
                <w:szCs w:val="24"/>
              </w:rPr>
              <w:t>ti depoziti nisu uzeti u trećim zemljama za koje je primijenjena viša stopa odljeva u skladu s člankom 25. stavkom 5. Delegirane uredbe Komisije (EU) 2015/61 i u tom će slučaju biti uključeni kao „manje stabilni depoziti”.</w:t>
            </w:r>
          </w:p>
        </w:tc>
      </w:tr>
      <w:tr w:rsidR="001E06A3" w:rsidRPr="007F4CC8" w14:paraId="77A51963" w14:textId="77777777" w:rsidTr="00CB5E7D">
        <w:tc>
          <w:tcPr>
            <w:tcW w:w="1355" w:type="dxa"/>
          </w:tcPr>
          <w:p w14:paraId="72CAF92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6</w:t>
            </w:r>
          </w:p>
        </w:tc>
        <w:tc>
          <w:tcPr>
            <w:tcW w:w="7705" w:type="dxa"/>
          </w:tcPr>
          <w:p w14:paraId="6FC5ABB4" w14:textId="77777777" w:rsidR="001E06A3" w:rsidRPr="001D671B" w:rsidRDefault="001E06A3" w:rsidP="001E06A3">
            <w:pPr>
              <w:spacing w:after="240"/>
              <w:jc w:val="both"/>
              <w:rPr>
                <w:rFonts w:ascii="Times New Roman" w:hAnsi="Times New Roman"/>
                <w:b/>
                <w:sz w:val="24"/>
                <w:lang w:val="fr-BE"/>
              </w:rPr>
            </w:pPr>
            <w:proofErr w:type="spellStart"/>
            <w:r w:rsidRPr="001D671B">
              <w:rPr>
                <w:rFonts w:ascii="Times New Roman" w:hAnsi="Times New Roman"/>
                <w:b/>
                <w:sz w:val="24"/>
                <w:lang w:val="fr-BE"/>
              </w:rPr>
              <w:t>Manje</w:t>
            </w:r>
            <w:proofErr w:type="spellEnd"/>
            <w:r w:rsidRPr="001D671B">
              <w:rPr>
                <w:rFonts w:ascii="Times New Roman" w:hAnsi="Times New Roman"/>
                <w:b/>
                <w:sz w:val="24"/>
                <w:lang w:val="fr-BE"/>
              </w:rPr>
              <w:t xml:space="preserve"> </w:t>
            </w:r>
            <w:proofErr w:type="spellStart"/>
            <w:r w:rsidRPr="001D671B">
              <w:rPr>
                <w:rFonts w:ascii="Times New Roman" w:hAnsi="Times New Roman"/>
                <w:b/>
                <w:sz w:val="24"/>
                <w:lang w:val="fr-BE"/>
              </w:rPr>
              <w:t>stabilni</w:t>
            </w:r>
            <w:proofErr w:type="spellEnd"/>
            <w:r w:rsidRPr="001D671B">
              <w:rPr>
                <w:rFonts w:ascii="Times New Roman" w:hAnsi="Times New Roman"/>
                <w:b/>
                <w:sz w:val="24"/>
                <w:lang w:val="fr-BE"/>
              </w:rPr>
              <w:t xml:space="preserve"> </w:t>
            </w:r>
            <w:proofErr w:type="spellStart"/>
            <w:r w:rsidRPr="001D671B">
              <w:rPr>
                <w:rFonts w:ascii="Times New Roman" w:hAnsi="Times New Roman"/>
                <w:b/>
                <w:sz w:val="24"/>
                <w:lang w:val="fr-BE"/>
              </w:rPr>
              <w:t>depoziti</w:t>
            </w:r>
            <w:proofErr w:type="spellEnd"/>
            <w:r w:rsidRPr="001D671B">
              <w:rPr>
                <w:rFonts w:ascii="Times New Roman" w:hAnsi="Times New Roman"/>
                <w:b/>
                <w:sz w:val="24"/>
                <w:lang w:val="fr-BE"/>
              </w:rPr>
              <w:t xml:space="preserve"> </w:t>
            </w:r>
            <w:proofErr w:type="spellStart"/>
            <w:r w:rsidRPr="001D671B">
              <w:rPr>
                <w:rFonts w:ascii="Times New Roman" w:hAnsi="Times New Roman"/>
                <w:b/>
                <w:sz w:val="24"/>
                <w:lang w:val="fr-BE"/>
              </w:rPr>
              <w:t>stanovništva</w:t>
            </w:r>
            <w:proofErr w:type="spellEnd"/>
          </w:p>
          <w:p w14:paraId="0D590484" w14:textId="77777777" w:rsidR="001E06A3" w:rsidRPr="001D671B" w:rsidRDefault="001E06A3" w:rsidP="001E06A3">
            <w:pPr>
              <w:pStyle w:val="TableParagraph"/>
              <w:spacing w:after="240"/>
              <w:jc w:val="both"/>
              <w:rPr>
                <w:rFonts w:ascii="Times New Roman" w:hAnsi="Times New Roman"/>
                <w:sz w:val="24"/>
                <w:szCs w:val="24"/>
                <w:lang w:val="fr-BE"/>
              </w:rPr>
            </w:pPr>
            <w:proofErr w:type="spellStart"/>
            <w:r w:rsidRPr="001D671B">
              <w:rPr>
                <w:rFonts w:ascii="Times New Roman" w:hAnsi="Times New Roman"/>
                <w:sz w:val="24"/>
                <w:szCs w:val="24"/>
                <w:lang w:val="fr-BE"/>
              </w:rPr>
              <w:t>Članak</w:t>
            </w:r>
            <w:proofErr w:type="spellEnd"/>
            <w:r w:rsidRPr="001D671B">
              <w:rPr>
                <w:rFonts w:ascii="Times New Roman" w:hAnsi="Times New Roman"/>
                <w:sz w:val="24"/>
                <w:szCs w:val="24"/>
                <w:lang w:val="fr-BE"/>
              </w:rPr>
              <w:t xml:space="preserve"> 428.m </w:t>
            </w:r>
            <w:proofErr w:type="spellStart"/>
            <w:r w:rsidRPr="001D671B">
              <w:rPr>
                <w:rFonts w:ascii="Times New Roman" w:hAnsi="Times New Roman"/>
                <w:sz w:val="24"/>
                <w:szCs w:val="24"/>
                <w:lang w:val="fr-BE"/>
              </w:rPr>
              <w:t>CRR-a</w:t>
            </w:r>
            <w:proofErr w:type="spellEnd"/>
          </w:p>
          <w:p w14:paraId="2B0EF3A0" w14:textId="77777777" w:rsidR="001E06A3" w:rsidRPr="001D671B" w:rsidRDefault="001E06A3" w:rsidP="001E06A3">
            <w:pPr>
              <w:spacing w:after="240"/>
              <w:jc w:val="both"/>
              <w:rPr>
                <w:rFonts w:ascii="Times New Roman" w:hAnsi="Times New Roman"/>
                <w:sz w:val="24"/>
                <w:lang w:val="fr-BE"/>
              </w:rPr>
            </w:pPr>
            <w:proofErr w:type="spellStart"/>
            <w:r w:rsidRPr="001D671B">
              <w:rPr>
                <w:rFonts w:ascii="Times New Roman" w:hAnsi="Times New Roman"/>
                <w:sz w:val="24"/>
                <w:lang w:val="fr-BE"/>
              </w:rPr>
              <w:t>Institucije</w:t>
            </w:r>
            <w:proofErr w:type="spellEnd"/>
            <w:r w:rsidRPr="001D671B">
              <w:rPr>
                <w:rFonts w:ascii="Times New Roman" w:hAnsi="Times New Roman"/>
                <w:sz w:val="24"/>
                <w:lang w:val="fr-BE"/>
              </w:rPr>
              <w:t xml:space="preserve"> </w:t>
            </w:r>
            <w:proofErr w:type="spellStart"/>
            <w:r w:rsidRPr="001D671B">
              <w:rPr>
                <w:rFonts w:ascii="Times New Roman" w:hAnsi="Times New Roman"/>
                <w:sz w:val="24"/>
                <w:lang w:val="fr-BE"/>
              </w:rPr>
              <w:t>objavljuju</w:t>
            </w:r>
            <w:proofErr w:type="spellEnd"/>
            <w:r w:rsidRPr="001D671B">
              <w:rPr>
                <w:rFonts w:ascii="Times New Roman" w:hAnsi="Times New Roman"/>
                <w:sz w:val="24"/>
                <w:lang w:val="fr-BE"/>
              </w:rPr>
              <w:t xml:space="preserve"> </w:t>
            </w:r>
            <w:proofErr w:type="spellStart"/>
            <w:r w:rsidRPr="001D671B">
              <w:rPr>
                <w:rFonts w:ascii="Times New Roman" w:hAnsi="Times New Roman"/>
                <w:sz w:val="24"/>
                <w:lang w:val="fr-BE"/>
              </w:rPr>
              <w:t>iznos</w:t>
            </w:r>
            <w:proofErr w:type="spellEnd"/>
            <w:r w:rsidRPr="001D671B">
              <w:rPr>
                <w:rFonts w:ascii="Times New Roman" w:hAnsi="Times New Roman"/>
                <w:sz w:val="24"/>
                <w:lang w:val="fr-BE"/>
              </w:rPr>
              <w:t xml:space="preserve"> </w:t>
            </w:r>
            <w:proofErr w:type="spellStart"/>
            <w:r w:rsidRPr="001D671B">
              <w:rPr>
                <w:rFonts w:ascii="Times New Roman" w:hAnsi="Times New Roman"/>
                <w:sz w:val="24"/>
                <w:lang w:val="fr-BE"/>
              </w:rPr>
              <w:t>drugih</w:t>
            </w:r>
            <w:proofErr w:type="spellEnd"/>
            <w:r w:rsidRPr="001D671B">
              <w:rPr>
                <w:rFonts w:ascii="Times New Roman" w:hAnsi="Times New Roman"/>
                <w:sz w:val="24"/>
                <w:lang w:val="fr-BE"/>
              </w:rPr>
              <w:t xml:space="preserve"> </w:t>
            </w:r>
            <w:proofErr w:type="spellStart"/>
            <w:r w:rsidRPr="001D671B">
              <w:rPr>
                <w:rFonts w:ascii="Times New Roman" w:hAnsi="Times New Roman"/>
                <w:sz w:val="24"/>
                <w:lang w:val="fr-BE"/>
              </w:rPr>
              <w:t>depozita</w:t>
            </w:r>
            <w:proofErr w:type="spellEnd"/>
            <w:r w:rsidRPr="001D671B">
              <w:rPr>
                <w:rFonts w:ascii="Times New Roman" w:hAnsi="Times New Roman"/>
                <w:sz w:val="24"/>
                <w:lang w:val="fr-BE"/>
              </w:rPr>
              <w:t xml:space="preserve"> </w:t>
            </w:r>
            <w:proofErr w:type="spellStart"/>
            <w:r w:rsidRPr="001D671B">
              <w:rPr>
                <w:rFonts w:ascii="Times New Roman" w:hAnsi="Times New Roman"/>
                <w:sz w:val="24"/>
                <w:lang w:val="fr-BE"/>
              </w:rPr>
              <w:t>stanovništva</w:t>
            </w:r>
            <w:proofErr w:type="spellEnd"/>
            <w:r w:rsidRPr="001D671B">
              <w:rPr>
                <w:rFonts w:ascii="Times New Roman" w:hAnsi="Times New Roman"/>
                <w:sz w:val="24"/>
                <w:lang w:val="fr-BE"/>
              </w:rPr>
              <w:t xml:space="preserve">, </w:t>
            </w:r>
            <w:proofErr w:type="spellStart"/>
            <w:r w:rsidRPr="001D671B">
              <w:rPr>
                <w:rFonts w:ascii="Times New Roman" w:hAnsi="Times New Roman"/>
                <w:sz w:val="24"/>
                <w:lang w:val="fr-BE"/>
              </w:rPr>
              <w:t>osim</w:t>
            </w:r>
            <w:proofErr w:type="spellEnd"/>
            <w:r w:rsidRPr="001D671B">
              <w:rPr>
                <w:rFonts w:ascii="Times New Roman" w:hAnsi="Times New Roman"/>
                <w:sz w:val="24"/>
                <w:lang w:val="fr-BE"/>
              </w:rPr>
              <w:t xml:space="preserve"> </w:t>
            </w:r>
            <w:proofErr w:type="spellStart"/>
            <w:r w:rsidRPr="001D671B">
              <w:rPr>
                <w:rFonts w:ascii="Times New Roman" w:hAnsi="Times New Roman"/>
                <w:sz w:val="24"/>
                <w:lang w:val="fr-BE"/>
              </w:rPr>
              <w:t>onih</w:t>
            </w:r>
            <w:proofErr w:type="spellEnd"/>
            <w:r w:rsidRPr="001D671B">
              <w:rPr>
                <w:rFonts w:ascii="Times New Roman" w:hAnsi="Times New Roman"/>
                <w:sz w:val="24"/>
                <w:lang w:val="fr-BE"/>
              </w:rPr>
              <w:t xml:space="preserve"> </w:t>
            </w:r>
            <w:proofErr w:type="spellStart"/>
            <w:r w:rsidRPr="001D671B">
              <w:rPr>
                <w:rFonts w:ascii="Times New Roman" w:hAnsi="Times New Roman"/>
                <w:sz w:val="24"/>
                <w:lang w:val="fr-BE"/>
              </w:rPr>
              <w:t>koji</w:t>
            </w:r>
            <w:proofErr w:type="spellEnd"/>
            <w:r w:rsidRPr="001D671B">
              <w:rPr>
                <w:rFonts w:ascii="Times New Roman" w:hAnsi="Times New Roman"/>
                <w:sz w:val="24"/>
                <w:lang w:val="fr-BE"/>
              </w:rPr>
              <w:t xml:space="preserve"> su u </w:t>
            </w:r>
            <w:proofErr w:type="spellStart"/>
            <w:r w:rsidRPr="001D671B">
              <w:rPr>
                <w:rFonts w:ascii="Times New Roman" w:hAnsi="Times New Roman"/>
                <w:sz w:val="24"/>
                <w:lang w:val="fr-BE"/>
              </w:rPr>
              <w:t>retku</w:t>
            </w:r>
            <w:proofErr w:type="spellEnd"/>
            <w:r w:rsidRPr="001D671B">
              <w:rPr>
                <w:rFonts w:ascii="Times New Roman" w:hAnsi="Times New Roman"/>
                <w:sz w:val="24"/>
                <w:lang w:val="fr-BE"/>
              </w:rPr>
              <w:t xml:space="preserve"> 5 </w:t>
            </w:r>
            <w:proofErr w:type="spellStart"/>
            <w:r w:rsidRPr="001D671B">
              <w:rPr>
                <w:rFonts w:ascii="Times New Roman" w:hAnsi="Times New Roman"/>
                <w:sz w:val="24"/>
                <w:lang w:val="fr-BE"/>
              </w:rPr>
              <w:t>ovog</w:t>
            </w:r>
            <w:proofErr w:type="spellEnd"/>
            <w:r w:rsidRPr="001D671B">
              <w:rPr>
                <w:rFonts w:ascii="Times New Roman" w:hAnsi="Times New Roman"/>
                <w:sz w:val="24"/>
                <w:lang w:val="fr-BE"/>
              </w:rPr>
              <w:t xml:space="preserve"> </w:t>
            </w:r>
            <w:proofErr w:type="spellStart"/>
            <w:r w:rsidRPr="001D671B">
              <w:rPr>
                <w:rFonts w:ascii="Times New Roman" w:hAnsi="Times New Roman"/>
                <w:sz w:val="24"/>
                <w:lang w:val="fr-BE"/>
              </w:rPr>
              <w:t>obrasca</w:t>
            </w:r>
            <w:proofErr w:type="spellEnd"/>
            <w:r w:rsidRPr="001D671B">
              <w:rPr>
                <w:rFonts w:ascii="Times New Roman" w:hAnsi="Times New Roman"/>
                <w:sz w:val="24"/>
                <w:lang w:val="fr-BE"/>
              </w:rPr>
              <w:t xml:space="preserve"> </w:t>
            </w:r>
            <w:proofErr w:type="spellStart"/>
            <w:r w:rsidRPr="001D671B">
              <w:rPr>
                <w:rFonts w:ascii="Times New Roman" w:hAnsi="Times New Roman"/>
                <w:sz w:val="24"/>
                <w:lang w:val="fr-BE"/>
              </w:rPr>
              <w:t>iskazani</w:t>
            </w:r>
            <w:proofErr w:type="spellEnd"/>
            <w:r w:rsidRPr="001D671B">
              <w:rPr>
                <w:rFonts w:ascii="Times New Roman" w:hAnsi="Times New Roman"/>
                <w:sz w:val="24"/>
                <w:lang w:val="fr-BE"/>
              </w:rPr>
              <w:t xml:space="preserve"> </w:t>
            </w:r>
            <w:proofErr w:type="spellStart"/>
            <w:r w:rsidRPr="001D671B">
              <w:rPr>
                <w:rFonts w:ascii="Times New Roman" w:hAnsi="Times New Roman"/>
                <w:sz w:val="24"/>
                <w:lang w:val="fr-BE"/>
              </w:rPr>
              <w:t>kao</w:t>
            </w:r>
            <w:proofErr w:type="spellEnd"/>
            <w:r w:rsidRPr="001D671B">
              <w:rPr>
                <w:rFonts w:ascii="Times New Roman" w:hAnsi="Times New Roman"/>
                <w:sz w:val="24"/>
                <w:lang w:val="fr-BE"/>
              </w:rPr>
              <w:t xml:space="preserve"> „</w:t>
            </w:r>
            <w:proofErr w:type="spellStart"/>
            <w:r w:rsidRPr="001D671B">
              <w:rPr>
                <w:rFonts w:ascii="Times New Roman" w:hAnsi="Times New Roman"/>
                <w:sz w:val="24"/>
                <w:lang w:val="fr-BE"/>
              </w:rPr>
              <w:t>stabilni</w:t>
            </w:r>
            <w:proofErr w:type="spellEnd"/>
            <w:r w:rsidRPr="001D671B">
              <w:rPr>
                <w:rFonts w:ascii="Times New Roman" w:hAnsi="Times New Roman"/>
                <w:sz w:val="24"/>
                <w:lang w:val="fr-BE"/>
              </w:rPr>
              <w:t xml:space="preserve"> </w:t>
            </w:r>
            <w:proofErr w:type="spellStart"/>
            <w:r w:rsidRPr="001D671B">
              <w:rPr>
                <w:rFonts w:ascii="Times New Roman" w:hAnsi="Times New Roman"/>
                <w:sz w:val="24"/>
                <w:lang w:val="fr-BE"/>
              </w:rPr>
              <w:t>depoziti</w:t>
            </w:r>
            <w:proofErr w:type="spellEnd"/>
            <w:r w:rsidRPr="001D671B">
              <w:rPr>
                <w:rFonts w:ascii="Times New Roman" w:hAnsi="Times New Roman"/>
                <w:sz w:val="24"/>
                <w:lang w:val="fr-BE"/>
              </w:rPr>
              <w:t xml:space="preserve"> </w:t>
            </w:r>
            <w:proofErr w:type="spellStart"/>
            <w:r w:rsidRPr="001D671B">
              <w:rPr>
                <w:rFonts w:ascii="Times New Roman" w:hAnsi="Times New Roman"/>
                <w:sz w:val="24"/>
                <w:lang w:val="fr-BE"/>
              </w:rPr>
              <w:t>stanovništva</w:t>
            </w:r>
            <w:proofErr w:type="spellEnd"/>
            <w:r w:rsidRPr="001D671B">
              <w:rPr>
                <w:rFonts w:ascii="Times New Roman" w:hAnsi="Times New Roman"/>
                <w:sz w:val="24"/>
                <w:lang w:val="fr-BE"/>
              </w:rPr>
              <w:t>”.</w:t>
            </w:r>
          </w:p>
        </w:tc>
      </w:tr>
      <w:tr w:rsidR="001E06A3" w:rsidRPr="007F4CC8" w14:paraId="216D727E" w14:textId="77777777" w:rsidTr="00CB5E7D">
        <w:tc>
          <w:tcPr>
            <w:tcW w:w="1355" w:type="dxa"/>
          </w:tcPr>
          <w:p w14:paraId="13CBEA1F"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7</w:t>
            </w:r>
          </w:p>
        </w:tc>
        <w:tc>
          <w:tcPr>
            <w:tcW w:w="7705" w:type="dxa"/>
          </w:tcPr>
          <w:p w14:paraId="10E1642E"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Financiranje velikih klijenata:</w:t>
            </w:r>
          </w:p>
          <w:p w14:paraId="31CD060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ovdje objavljuju zbroj iznosa iz redaka 8 i 9 ovog obrasca.</w:t>
            </w:r>
          </w:p>
        </w:tc>
      </w:tr>
      <w:tr w:rsidR="001E06A3" w:rsidRPr="007F4CC8" w14:paraId="200EB805" w14:textId="77777777" w:rsidTr="00CB5E7D">
        <w:tc>
          <w:tcPr>
            <w:tcW w:w="1355" w:type="dxa"/>
          </w:tcPr>
          <w:p w14:paraId="7ECE22D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8</w:t>
            </w:r>
          </w:p>
        </w:tc>
        <w:tc>
          <w:tcPr>
            <w:tcW w:w="7705" w:type="dxa"/>
          </w:tcPr>
          <w:p w14:paraId="451B6E7E" w14:textId="77777777" w:rsidR="001E06A3" w:rsidRPr="007F4CC8" w:rsidRDefault="001E06A3" w:rsidP="001E06A3">
            <w:pPr>
              <w:spacing w:after="240"/>
              <w:jc w:val="both"/>
              <w:rPr>
                <w:rFonts w:ascii="Times New Roman" w:hAnsi="Times New Roman"/>
                <w:b/>
                <w:sz w:val="24"/>
                <w:u w:val="single"/>
              </w:rPr>
            </w:pPr>
            <w:r>
              <w:rPr>
                <w:rFonts w:ascii="Times New Roman" w:hAnsi="Times New Roman"/>
                <w:b/>
                <w:sz w:val="24"/>
              </w:rPr>
              <w:t>Operativni depoziti</w:t>
            </w:r>
          </w:p>
          <w:p w14:paraId="486AB043"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lastRenderedPageBreak/>
              <w:t>Članak 428.l točka (a) CRR-a</w:t>
            </w:r>
          </w:p>
          <w:p w14:paraId="3FF8E809"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Institucije ovdje objavljuju dio primljenih depozita (od financijskih i nefinancijskih klijenata) koji ispunjavaju kriterije za operativne depozite utvrđene u članku 27. Delegirane uredbe Komisije (EU) 2015/61 koji su potrebni za pružanje operativnih usluga. Višak operativnih depozita u odnosu na iznos potreban za pružanje operativnih usluga ne iskazuje se ovdje nego u retku 9 ovog obrasca „Ostalo financiranje velikih klijenata”.</w:t>
            </w:r>
          </w:p>
          <w:p w14:paraId="4AEA781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Depoziti koji proizlaze iz korespondentnog bankarstva ili pružanja usluga glavnog brokera smatraju se neoperativnim depozitima u skladu s člankom 27. stavkom 5. Delegirane uredbe Komisije (EU) 2015/61 i objavljuju se u retku 9 ovog obrasca „Ostalo financiranje velikih klijenata”.</w:t>
            </w:r>
          </w:p>
        </w:tc>
      </w:tr>
      <w:tr w:rsidR="001E06A3" w:rsidRPr="007F4CC8" w14:paraId="0B0DC7CE" w14:textId="77777777" w:rsidTr="00CB5E7D">
        <w:tc>
          <w:tcPr>
            <w:tcW w:w="1355" w:type="dxa"/>
          </w:tcPr>
          <w:p w14:paraId="6FB6563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9</w:t>
            </w:r>
          </w:p>
        </w:tc>
        <w:tc>
          <w:tcPr>
            <w:tcW w:w="7705" w:type="dxa"/>
          </w:tcPr>
          <w:p w14:paraId="4116FB09"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Ostalo financiranje velikih klijenata</w:t>
            </w:r>
          </w:p>
          <w:p w14:paraId="29A96DC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Članak 428.l točke od (b) do (d), članak 428.g i članak 428.k stavak 3. točke (c) i (d) CRR-a</w:t>
            </w:r>
          </w:p>
          <w:p w14:paraId="63E609A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ovdje objavljuju financiranje velikih klijenata osim iznosa operativnih depozita koji su potrebni za pružanje operativnih usluga. To uključuje obveze središnjih država, jedinica područne (regionalne) ili lokalne samouprave, subjekata javnog sektora, multilateralnih razvojnih banaka, međunarodnih organizacija, središnjih banaka i drugih nefinancijskih ili financijskih klijenata, kao i obveze za koje se ne može utvrditi druga ugovorna strana, uključujući izdane vrijednosne papire čiji se imatelj ne može utvrditi.</w:t>
            </w:r>
          </w:p>
        </w:tc>
      </w:tr>
      <w:tr w:rsidR="001E06A3" w:rsidRPr="007F4CC8" w14:paraId="51A93DB5" w14:textId="77777777" w:rsidTr="00CB5E7D">
        <w:tc>
          <w:tcPr>
            <w:tcW w:w="1355" w:type="dxa"/>
          </w:tcPr>
          <w:p w14:paraId="2AB6E5C8"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10</w:t>
            </w:r>
          </w:p>
        </w:tc>
        <w:tc>
          <w:tcPr>
            <w:tcW w:w="7705" w:type="dxa"/>
          </w:tcPr>
          <w:p w14:paraId="4599E91F"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Međuovisne obveze</w:t>
            </w:r>
            <w:r>
              <w:rPr>
                <w:rFonts w:ascii="Times New Roman" w:hAnsi="Times New Roman"/>
                <w:sz w:val="24"/>
              </w:rPr>
              <w:t xml:space="preserve"> </w:t>
            </w:r>
          </w:p>
          <w:p w14:paraId="3C911E55"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Članak 428.k stavak 3. točka (b) CRR-a</w:t>
            </w:r>
          </w:p>
          <w:p w14:paraId="26457514" w14:textId="77777777" w:rsidR="001E06A3" w:rsidRPr="007F4CC8" w:rsidRDefault="001E06A3" w:rsidP="001E06A3">
            <w:pPr>
              <w:pStyle w:val="TableParagraph"/>
              <w:spacing w:after="240"/>
              <w:jc w:val="both"/>
              <w:rPr>
                <w:rFonts w:ascii="Times New Roman" w:hAnsi="Times New Roman"/>
                <w:sz w:val="24"/>
              </w:rPr>
            </w:pPr>
            <w:r>
              <w:rPr>
                <w:rFonts w:ascii="Times New Roman" w:hAnsi="Times New Roman"/>
                <w:sz w:val="24"/>
                <w:szCs w:val="24"/>
              </w:rPr>
              <w:t>Institucije objavljuju obveze koje se nakon odobrenja relevantnog nadležnog tijela tretiraju kao međuovisne s imovinom u skladu s člankom 428.f CRR-a.</w:t>
            </w:r>
          </w:p>
        </w:tc>
      </w:tr>
      <w:tr w:rsidR="001E06A3" w:rsidRPr="007F4CC8" w14:paraId="7798E2F7" w14:textId="77777777" w:rsidTr="00CB5E7D">
        <w:tc>
          <w:tcPr>
            <w:tcW w:w="1355" w:type="dxa"/>
          </w:tcPr>
          <w:p w14:paraId="64B1207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11</w:t>
            </w:r>
          </w:p>
        </w:tc>
        <w:tc>
          <w:tcPr>
            <w:tcW w:w="7705" w:type="dxa"/>
          </w:tcPr>
          <w:p w14:paraId="7A387682"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 xml:space="preserve">Ostale obveze </w:t>
            </w:r>
          </w:p>
          <w:p w14:paraId="6327594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ovdje objavljuju zbroj iznosa iz redaka 12 i 13 ovog obrasca.</w:t>
            </w:r>
          </w:p>
        </w:tc>
      </w:tr>
      <w:tr w:rsidR="001E06A3" w:rsidRPr="007F4CC8" w14:paraId="43B6E696" w14:textId="77777777" w:rsidTr="00CB5E7D">
        <w:tc>
          <w:tcPr>
            <w:tcW w:w="1355" w:type="dxa"/>
          </w:tcPr>
          <w:p w14:paraId="3F480655"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12</w:t>
            </w:r>
          </w:p>
        </w:tc>
        <w:tc>
          <w:tcPr>
            <w:tcW w:w="7705" w:type="dxa"/>
          </w:tcPr>
          <w:p w14:paraId="4927B43C" w14:textId="77777777" w:rsidR="001E06A3" w:rsidRPr="007F4CC8" w:rsidRDefault="001E06A3" w:rsidP="001E06A3">
            <w:pPr>
              <w:spacing w:after="240"/>
              <w:jc w:val="both"/>
              <w:rPr>
                <w:rFonts w:ascii="Times New Roman" w:hAnsi="Times New Roman"/>
                <w:b/>
                <w:sz w:val="24"/>
                <w:u w:val="single"/>
              </w:rPr>
            </w:pPr>
            <w:r>
              <w:rPr>
                <w:rFonts w:ascii="Times New Roman" w:hAnsi="Times New Roman"/>
                <w:b/>
                <w:sz w:val="24"/>
              </w:rPr>
              <w:t>NSFR obveze po izvedenicama</w:t>
            </w:r>
          </w:p>
          <w:p w14:paraId="133A34F8"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Članak 428.k stavak 4. CRR-a</w:t>
            </w:r>
          </w:p>
          <w:p w14:paraId="3B0ED96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objavljuju apsolutni iznos negativne razlike između skupova za netiranje koji se izračunavaju u skladu s člankom 428.k stavkom 4. CRR-a.</w:t>
            </w:r>
          </w:p>
        </w:tc>
      </w:tr>
      <w:tr w:rsidR="001E06A3" w:rsidRPr="007F4CC8" w14:paraId="544A711E" w14:textId="77777777" w:rsidTr="00CB5E7D">
        <w:tc>
          <w:tcPr>
            <w:tcW w:w="1355" w:type="dxa"/>
          </w:tcPr>
          <w:p w14:paraId="5AB8DBB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13</w:t>
            </w:r>
          </w:p>
        </w:tc>
        <w:tc>
          <w:tcPr>
            <w:tcW w:w="7705" w:type="dxa"/>
          </w:tcPr>
          <w:p w14:paraId="00D2B3F0"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Sve druge obveze i instrumenti kapitala koji nisu uključeni u gore navedene kategorije</w:t>
            </w:r>
          </w:p>
          <w:p w14:paraId="2E4D9C3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Članak 428.k stavci 1. i 3 CRR-a</w:t>
            </w:r>
          </w:p>
          <w:p w14:paraId="726F7D6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ovdje objavljuju zbroj sljedećih stavki:</w:t>
            </w:r>
          </w:p>
          <w:p w14:paraId="3A2B4C1F" w14:textId="77777777" w:rsidR="001E06A3" w:rsidRPr="007F4CC8" w:rsidRDefault="001E06A3" w:rsidP="00E70D84">
            <w:pPr>
              <w:pStyle w:val="ListParagraph"/>
              <w:numPr>
                <w:ilvl w:val="0"/>
                <w:numId w:val="39"/>
              </w:numPr>
              <w:spacing w:after="240"/>
              <w:contextualSpacing/>
              <w:jc w:val="both"/>
              <w:rPr>
                <w:rFonts w:ascii="Times New Roman" w:hAnsi="Times New Roman"/>
                <w:sz w:val="24"/>
              </w:rPr>
            </w:pPr>
            <w:r>
              <w:rPr>
                <w:rFonts w:ascii="Times New Roman" w:hAnsi="Times New Roman"/>
                <w:sz w:val="24"/>
              </w:rPr>
              <w:t>obveza po datumu trgovanja koje proizlaze iz kupnje financijskih instrumenata, stranih valuta i robe za koje se očekuje da će biti namirene u okviru standardnog ciklusa namire ili u razdoblju koje je uobičajeno za relevantnu razmjenu ili vrstu transakcije ili koje nisu namirene, ali se ipak očekuje da će biti namirene, u skladu s člankom 428.k stavkom 3. točkom (a) CRR-a,</w:t>
            </w:r>
          </w:p>
          <w:p w14:paraId="2A142631" w14:textId="77777777" w:rsidR="001E06A3" w:rsidRPr="007F4CC8" w:rsidRDefault="001E06A3" w:rsidP="00E70D84">
            <w:pPr>
              <w:pStyle w:val="ListParagraph"/>
              <w:numPr>
                <w:ilvl w:val="0"/>
                <w:numId w:val="39"/>
              </w:numPr>
              <w:spacing w:after="240"/>
              <w:contextualSpacing/>
              <w:jc w:val="both"/>
              <w:rPr>
                <w:rFonts w:ascii="Times New Roman" w:hAnsi="Times New Roman"/>
                <w:sz w:val="24"/>
              </w:rPr>
            </w:pPr>
            <w:r>
              <w:rPr>
                <w:rFonts w:ascii="Times New Roman" w:hAnsi="Times New Roman"/>
                <w:sz w:val="24"/>
              </w:rPr>
              <w:t>odgođenih poreznih obveza, uzimajući u obzir kao preostali rok do dospijeća prvi mogući datum na koji se takve obveze mogu realizirati u skladu s člankom 428.k stavkom 2. točkom (a) CRR-a,</w:t>
            </w:r>
          </w:p>
          <w:p w14:paraId="6209F2FA" w14:textId="77777777" w:rsidR="001E06A3" w:rsidRPr="007F4CC8" w:rsidRDefault="001E06A3" w:rsidP="00E70D84">
            <w:pPr>
              <w:pStyle w:val="ListParagraph"/>
              <w:numPr>
                <w:ilvl w:val="0"/>
                <w:numId w:val="39"/>
              </w:numPr>
              <w:spacing w:after="240"/>
              <w:contextualSpacing/>
              <w:jc w:val="both"/>
              <w:rPr>
                <w:rFonts w:ascii="Times New Roman" w:hAnsi="Times New Roman"/>
                <w:sz w:val="24"/>
              </w:rPr>
            </w:pPr>
            <w:r>
              <w:rPr>
                <w:rFonts w:ascii="Times New Roman" w:hAnsi="Times New Roman"/>
                <w:sz w:val="24"/>
              </w:rPr>
              <w:t>manjinskih udjela, uzimajući u obzir kao preostali rok do dospijeća dospijeće instrumenta, u skladu s člankom 428.k stavkom 1. točkom (b) CRR-a i</w:t>
            </w:r>
          </w:p>
          <w:p w14:paraId="32BB3E1B" w14:textId="77777777" w:rsidR="001E06A3" w:rsidRPr="007F4CC8" w:rsidRDefault="001E06A3" w:rsidP="00E70D84">
            <w:pPr>
              <w:pStyle w:val="ListParagraph"/>
              <w:numPr>
                <w:ilvl w:val="0"/>
                <w:numId w:val="39"/>
              </w:numPr>
              <w:spacing w:after="240"/>
              <w:contextualSpacing/>
              <w:jc w:val="both"/>
              <w:rPr>
                <w:rFonts w:ascii="Times New Roman" w:hAnsi="Times New Roman"/>
                <w:sz w:val="24"/>
              </w:rPr>
            </w:pPr>
            <w:r>
              <w:rPr>
                <w:rFonts w:ascii="Times New Roman" w:hAnsi="Times New Roman"/>
                <w:sz w:val="24"/>
              </w:rPr>
              <w:t>ostalih obveza, na primjer kratkih pozicija i obveza bez utvrđenog roka dospijeća, u skladu s člankom 428.k stavcima 1. i 3. CRR-a.</w:t>
            </w:r>
          </w:p>
        </w:tc>
      </w:tr>
      <w:tr w:rsidR="001E06A3" w:rsidRPr="007F4CC8" w14:paraId="034F79BB" w14:textId="77777777" w:rsidTr="00CB5E7D">
        <w:tc>
          <w:tcPr>
            <w:tcW w:w="1355" w:type="dxa"/>
          </w:tcPr>
          <w:p w14:paraId="46E2678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14</w:t>
            </w:r>
          </w:p>
        </w:tc>
        <w:tc>
          <w:tcPr>
            <w:tcW w:w="7705" w:type="dxa"/>
          </w:tcPr>
          <w:p w14:paraId="76AAD23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Ukupni dostupni stabilni izvori financiranja</w:t>
            </w:r>
          </w:p>
          <w:p w14:paraId="124FE4A6" w14:textId="77777777" w:rsidR="001E06A3" w:rsidRPr="001D671B" w:rsidRDefault="001E06A3" w:rsidP="001E06A3">
            <w:pPr>
              <w:pStyle w:val="TableParagraph"/>
              <w:spacing w:after="240"/>
              <w:jc w:val="both"/>
              <w:rPr>
                <w:rFonts w:ascii="Times New Roman" w:eastAsia="Times New Roman" w:hAnsi="Times New Roman"/>
                <w:sz w:val="24"/>
                <w:szCs w:val="24"/>
                <w:lang w:val="fr-BE"/>
              </w:rPr>
            </w:pPr>
            <w:proofErr w:type="spellStart"/>
            <w:r w:rsidRPr="001D671B">
              <w:rPr>
                <w:rFonts w:ascii="Times New Roman" w:hAnsi="Times New Roman"/>
                <w:sz w:val="24"/>
                <w:szCs w:val="24"/>
                <w:lang w:val="fr-BE"/>
              </w:rPr>
              <w:t>Dio</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šesti</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glava</w:t>
            </w:r>
            <w:proofErr w:type="spellEnd"/>
            <w:r w:rsidRPr="001D671B">
              <w:rPr>
                <w:rFonts w:ascii="Times New Roman" w:hAnsi="Times New Roman"/>
                <w:sz w:val="24"/>
                <w:szCs w:val="24"/>
                <w:lang w:val="fr-BE"/>
              </w:rPr>
              <w:t xml:space="preserve"> IV. </w:t>
            </w:r>
            <w:proofErr w:type="spellStart"/>
            <w:r w:rsidRPr="001D671B">
              <w:rPr>
                <w:rFonts w:ascii="Times New Roman" w:hAnsi="Times New Roman"/>
                <w:sz w:val="24"/>
                <w:szCs w:val="24"/>
                <w:lang w:val="fr-BE"/>
              </w:rPr>
              <w:t>poglavlje</w:t>
            </w:r>
            <w:proofErr w:type="spellEnd"/>
            <w:r w:rsidRPr="001D671B">
              <w:rPr>
                <w:rFonts w:ascii="Times New Roman" w:hAnsi="Times New Roman"/>
                <w:sz w:val="24"/>
                <w:szCs w:val="24"/>
                <w:lang w:val="fr-BE"/>
              </w:rPr>
              <w:t xml:space="preserve"> 3. </w:t>
            </w:r>
            <w:proofErr w:type="spellStart"/>
            <w:r w:rsidRPr="001D671B">
              <w:rPr>
                <w:rFonts w:ascii="Times New Roman" w:hAnsi="Times New Roman"/>
                <w:sz w:val="24"/>
                <w:szCs w:val="24"/>
                <w:lang w:val="fr-BE"/>
              </w:rPr>
              <w:t>CRR-a</w:t>
            </w:r>
            <w:proofErr w:type="spellEnd"/>
          </w:p>
          <w:p w14:paraId="1E03653C" w14:textId="77777777" w:rsidR="001E06A3" w:rsidRPr="007F4CC8" w:rsidRDefault="001E06A3" w:rsidP="001E06A3">
            <w:pPr>
              <w:pStyle w:val="TableParagraph"/>
              <w:spacing w:after="240"/>
              <w:jc w:val="both"/>
              <w:rPr>
                <w:rFonts w:ascii="Times New Roman" w:hAnsi="Times New Roman"/>
                <w:sz w:val="24"/>
              </w:rPr>
            </w:pPr>
            <w:proofErr w:type="spellStart"/>
            <w:r w:rsidRPr="001D671B">
              <w:rPr>
                <w:rFonts w:ascii="Times New Roman" w:hAnsi="Times New Roman"/>
                <w:sz w:val="24"/>
                <w:szCs w:val="24"/>
                <w:lang w:val="fr-BE"/>
              </w:rPr>
              <w:t>Institucije</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ovdje</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objavljuju</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ukupan</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iznos</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stavki</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izvora</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stabilnog</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financiranja</w:t>
            </w:r>
            <w:proofErr w:type="spellEnd"/>
            <w:r w:rsidRPr="001D671B">
              <w:rPr>
                <w:rFonts w:ascii="Times New Roman" w:hAnsi="Times New Roman"/>
                <w:sz w:val="24"/>
                <w:szCs w:val="24"/>
                <w:lang w:val="fr-BE"/>
              </w:rPr>
              <w:t xml:space="preserve"> u </w:t>
            </w:r>
            <w:proofErr w:type="spellStart"/>
            <w:r w:rsidRPr="001D671B">
              <w:rPr>
                <w:rFonts w:ascii="Times New Roman" w:hAnsi="Times New Roman"/>
                <w:sz w:val="24"/>
                <w:szCs w:val="24"/>
                <w:lang w:val="fr-BE"/>
              </w:rPr>
              <w:t>skladu</w:t>
            </w:r>
            <w:proofErr w:type="spellEnd"/>
            <w:r w:rsidRPr="001D671B">
              <w:rPr>
                <w:rFonts w:ascii="Times New Roman" w:hAnsi="Times New Roman"/>
                <w:sz w:val="24"/>
                <w:szCs w:val="24"/>
                <w:lang w:val="fr-BE"/>
              </w:rPr>
              <w:t xml:space="preserve"> s </w:t>
            </w:r>
            <w:proofErr w:type="spellStart"/>
            <w:r w:rsidRPr="001D671B">
              <w:rPr>
                <w:rFonts w:ascii="Times New Roman" w:hAnsi="Times New Roman"/>
                <w:sz w:val="24"/>
                <w:szCs w:val="24"/>
                <w:lang w:val="fr-BE"/>
              </w:rPr>
              <w:t>dijelom</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šestim</w:t>
            </w:r>
            <w:proofErr w:type="spellEnd"/>
            <w:r w:rsidRPr="001D671B">
              <w:rPr>
                <w:rFonts w:ascii="Times New Roman" w:hAnsi="Times New Roman"/>
                <w:sz w:val="24"/>
                <w:szCs w:val="24"/>
                <w:lang w:val="fr-BE"/>
              </w:rPr>
              <w:t xml:space="preserve"> </w:t>
            </w:r>
            <w:proofErr w:type="spellStart"/>
            <w:r w:rsidRPr="001D671B">
              <w:rPr>
                <w:rFonts w:ascii="Times New Roman" w:hAnsi="Times New Roman"/>
                <w:sz w:val="24"/>
                <w:szCs w:val="24"/>
                <w:lang w:val="fr-BE"/>
              </w:rPr>
              <w:t>glavom</w:t>
            </w:r>
            <w:proofErr w:type="spellEnd"/>
            <w:r w:rsidRPr="001D671B">
              <w:rPr>
                <w:rFonts w:ascii="Times New Roman" w:hAnsi="Times New Roman"/>
                <w:sz w:val="24"/>
                <w:szCs w:val="24"/>
                <w:lang w:val="fr-BE"/>
              </w:rPr>
              <w:t xml:space="preserve"> IV. </w:t>
            </w:r>
            <w:proofErr w:type="spellStart"/>
            <w:r w:rsidRPr="001D671B">
              <w:rPr>
                <w:rFonts w:ascii="Times New Roman" w:hAnsi="Times New Roman"/>
                <w:sz w:val="24"/>
                <w:szCs w:val="24"/>
                <w:lang w:val="fr-BE"/>
              </w:rPr>
              <w:t>poglavljem</w:t>
            </w:r>
            <w:proofErr w:type="spellEnd"/>
            <w:r w:rsidRPr="001D671B">
              <w:rPr>
                <w:rFonts w:ascii="Times New Roman" w:hAnsi="Times New Roman"/>
                <w:sz w:val="24"/>
                <w:szCs w:val="24"/>
                <w:lang w:val="fr-BE"/>
              </w:rPr>
              <w:t xml:space="preserve"> 3. </w:t>
            </w:r>
            <w:r>
              <w:rPr>
                <w:rFonts w:ascii="Times New Roman" w:hAnsi="Times New Roman"/>
                <w:sz w:val="24"/>
                <w:szCs w:val="24"/>
              </w:rPr>
              <w:t>CRR-a (</w:t>
            </w:r>
            <w:proofErr w:type="spellStart"/>
            <w:r>
              <w:rPr>
                <w:rFonts w:ascii="Times New Roman" w:hAnsi="Times New Roman"/>
                <w:sz w:val="24"/>
                <w:szCs w:val="24"/>
              </w:rPr>
              <w:t>zbroj</w:t>
            </w:r>
            <w:proofErr w:type="spellEnd"/>
            <w:r>
              <w:rPr>
                <w:rFonts w:ascii="Times New Roman" w:hAnsi="Times New Roman"/>
                <w:sz w:val="24"/>
                <w:szCs w:val="24"/>
              </w:rPr>
              <w:t xml:space="preserve"> </w:t>
            </w:r>
            <w:proofErr w:type="spellStart"/>
            <w:r>
              <w:rPr>
                <w:rFonts w:ascii="Times New Roman" w:hAnsi="Times New Roman"/>
                <w:sz w:val="24"/>
                <w:szCs w:val="24"/>
              </w:rPr>
              <w:t>iznosa</w:t>
            </w:r>
            <w:proofErr w:type="spellEnd"/>
            <w:r>
              <w:rPr>
                <w:rFonts w:ascii="Times New Roman" w:hAnsi="Times New Roman"/>
                <w:sz w:val="24"/>
                <w:szCs w:val="24"/>
              </w:rPr>
              <w:t xml:space="preserve"> </w:t>
            </w:r>
            <w:proofErr w:type="spellStart"/>
            <w:r>
              <w:rPr>
                <w:rFonts w:ascii="Times New Roman" w:hAnsi="Times New Roman"/>
                <w:sz w:val="24"/>
                <w:szCs w:val="24"/>
              </w:rPr>
              <w:t>iz</w:t>
            </w:r>
            <w:proofErr w:type="spellEnd"/>
            <w:r>
              <w:rPr>
                <w:rFonts w:ascii="Times New Roman" w:hAnsi="Times New Roman"/>
                <w:sz w:val="24"/>
              </w:rPr>
              <w:t xml:space="preserve"> </w:t>
            </w:r>
            <w:proofErr w:type="spellStart"/>
            <w:r>
              <w:rPr>
                <w:rFonts w:ascii="Times New Roman" w:hAnsi="Times New Roman"/>
                <w:sz w:val="24"/>
                <w:szCs w:val="24"/>
              </w:rPr>
              <w:t>redaka</w:t>
            </w:r>
            <w:proofErr w:type="spellEnd"/>
            <w:r>
              <w:rPr>
                <w:rFonts w:ascii="Times New Roman" w:hAnsi="Times New Roman"/>
                <w:sz w:val="24"/>
                <w:szCs w:val="24"/>
              </w:rPr>
              <w:t xml:space="preserve"> 1, 4, 7, 10 i 11</w:t>
            </w:r>
            <w:r>
              <w:rPr>
                <w:rFonts w:ascii="Times New Roman" w:hAnsi="Times New Roman"/>
                <w:sz w:val="24"/>
              </w:rPr>
              <w:t xml:space="preserve"> ovog obrasca</w:t>
            </w:r>
            <w:r>
              <w:rPr>
                <w:rFonts w:ascii="Times New Roman" w:hAnsi="Times New Roman"/>
                <w:sz w:val="24"/>
                <w:szCs w:val="24"/>
              </w:rPr>
              <w:t>).</w:t>
            </w:r>
          </w:p>
        </w:tc>
      </w:tr>
      <w:tr w:rsidR="001E06A3" w:rsidRPr="007F4CC8" w14:paraId="3B80FD70" w14:textId="77777777" w:rsidTr="00CB5E7D">
        <w:trPr>
          <w:trHeight w:val="567"/>
        </w:trPr>
        <w:tc>
          <w:tcPr>
            <w:tcW w:w="1355" w:type="dxa"/>
            <w:shd w:val="clear" w:color="auto" w:fill="D0CECE"/>
          </w:tcPr>
          <w:p w14:paraId="1AFDA0A0" w14:textId="77777777" w:rsidR="001E06A3" w:rsidRPr="007F4CC8" w:rsidRDefault="001E06A3" w:rsidP="001E06A3">
            <w:pPr>
              <w:spacing w:after="240"/>
              <w:rPr>
                <w:rFonts w:ascii="Times New Roman" w:hAnsi="Times New Roman"/>
                <w:color w:val="000000" w:themeColor="text1"/>
                <w:sz w:val="24"/>
              </w:rPr>
            </w:pPr>
          </w:p>
        </w:tc>
        <w:tc>
          <w:tcPr>
            <w:tcW w:w="7705" w:type="dxa"/>
            <w:shd w:val="clear" w:color="auto" w:fill="D0CECE"/>
          </w:tcPr>
          <w:p w14:paraId="0F07DB9E" w14:textId="77777777" w:rsidR="001E06A3" w:rsidRPr="001D671B" w:rsidRDefault="001E06A3" w:rsidP="001E06A3">
            <w:pPr>
              <w:spacing w:after="240"/>
              <w:rPr>
                <w:rFonts w:ascii="Times New Roman" w:hAnsi="Times New Roman"/>
                <w:b/>
                <w:color w:val="000000" w:themeColor="text1"/>
                <w:sz w:val="24"/>
                <w:lang w:val="fr-BE"/>
              </w:rPr>
            </w:pPr>
            <w:proofErr w:type="spellStart"/>
            <w:r w:rsidRPr="001D671B">
              <w:rPr>
                <w:rFonts w:ascii="Times New Roman" w:hAnsi="Times New Roman"/>
                <w:b/>
                <w:color w:val="000000" w:themeColor="text1"/>
                <w:sz w:val="24"/>
                <w:lang w:val="fr-BE"/>
              </w:rPr>
              <w:t>Zahtijevane</w:t>
            </w:r>
            <w:proofErr w:type="spellEnd"/>
            <w:r w:rsidRPr="001D671B">
              <w:rPr>
                <w:rFonts w:ascii="Times New Roman" w:hAnsi="Times New Roman"/>
                <w:b/>
                <w:color w:val="000000" w:themeColor="text1"/>
                <w:sz w:val="24"/>
                <w:lang w:val="fr-BE"/>
              </w:rPr>
              <w:t xml:space="preserve"> </w:t>
            </w:r>
            <w:proofErr w:type="spellStart"/>
            <w:r w:rsidRPr="001D671B">
              <w:rPr>
                <w:rFonts w:ascii="Times New Roman" w:hAnsi="Times New Roman"/>
                <w:b/>
                <w:color w:val="000000" w:themeColor="text1"/>
                <w:sz w:val="24"/>
                <w:lang w:val="fr-BE"/>
              </w:rPr>
              <w:t>stavke</w:t>
            </w:r>
            <w:proofErr w:type="spellEnd"/>
            <w:r w:rsidRPr="001D671B">
              <w:rPr>
                <w:rFonts w:ascii="Times New Roman" w:hAnsi="Times New Roman"/>
                <w:b/>
                <w:color w:val="000000" w:themeColor="text1"/>
                <w:sz w:val="24"/>
                <w:lang w:val="fr-BE"/>
              </w:rPr>
              <w:t xml:space="preserve"> </w:t>
            </w:r>
            <w:proofErr w:type="spellStart"/>
            <w:r w:rsidRPr="001D671B">
              <w:rPr>
                <w:rFonts w:ascii="Times New Roman" w:hAnsi="Times New Roman"/>
                <w:b/>
                <w:color w:val="000000" w:themeColor="text1"/>
                <w:sz w:val="24"/>
                <w:lang w:val="fr-BE"/>
              </w:rPr>
              <w:t>dostupnih</w:t>
            </w:r>
            <w:proofErr w:type="spellEnd"/>
            <w:r w:rsidRPr="001D671B">
              <w:rPr>
                <w:rFonts w:ascii="Times New Roman" w:hAnsi="Times New Roman"/>
                <w:b/>
                <w:color w:val="000000" w:themeColor="text1"/>
                <w:sz w:val="24"/>
                <w:lang w:val="fr-BE"/>
              </w:rPr>
              <w:t xml:space="preserve"> </w:t>
            </w:r>
            <w:proofErr w:type="spellStart"/>
            <w:r w:rsidRPr="001D671B">
              <w:rPr>
                <w:rFonts w:ascii="Times New Roman" w:hAnsi="Times New Roman"/>
                <w:b/>
                <w:color w:val="000000" w:themeColor="text1"/>
                <w:sz w:val="24"/>
                <w:lang w:val="fr-BE"/>
              </w:rPr>
              <w:t>stabilnih</w:t>
            </w:r>
            <w:proofErr w:type="spellEnd"/>
            <w:r w:rsidRPr="001D671B">
              <w:rPr>
                <w:rFonts w:ascii="Times New Roman" w:hAnsi="Times New Roman"/>
                <w:b/>
                <w:color w:val="000000" w:themeColor="text1"/>
                <w:sz w:val="24"/>
                <w:lang w:val="fr-BE"/>
              </w:rPr>
              <w:t xml:space="preserve"> </w:t>
            </w:r>
            <w:proofErr w:type="spellStart"/>
            <w:r w:rsidRPr="001D671B">
              <w:rPr>
                <w:rFonts w:ascii="Times New Roman" w:hAnsi="Times New Roman"/>
                <w:b/>
                <w:color w:val="000000" w:themeColor="text1"/>
                <w:sz w:val="24"/>
                <w:lang w:val="fr-BE"/>
              </w:rPr>
              <w:t>izvora</w:t>
            </w:r>
            <w:proofErr w:type="spellEnd"/>
            <w:r w:rsidRPr="001D671B">
              <w:rPr>
                <w:rFonts w:ascii="Times New Roman" w:hAnsi="Times New Roman"/>
                <w:b/>
                <w:color w:val="000000" w:themeColor="text1"/>
                <w:sz w:val="24"/>
                <w:lang w:val="fr-BE"/>
              </w:rPr>
              <w:t xml:space="preserve"> </w:t>
            </w:r>
            <w:proofErr w:type="spellStart"/>
            <w:r w:rsidRPr="001D671B">
              <w:rPr>
                <w:rFonts w:ascii="Times New Roman" w:hAnsi="Times New Roman"/>
                <w:b/>
                <w:color w:val="000000" w:themeColor="text1"/>
                <w:sz w:val="24"/>
                <w:lang w:val="fr-BE"/>
              </w:rPr>
              <w:t>financiranja</w:t>
            </w:r>
            <w:proofErr w:type="spellEnd"/>
          </w:p>
        </w:tc>
      </w:tr>
      <w:tr w:rsidR="001E06A3" w:rsidRPr="007F4CC8" w14:paraId="30D38A5D" w14:textId="77777777" w:rsidTr="00CB5E7D">
        <w:tc>
          <w:tcPr>
            <w:tcW w:w="1355" w:type="dxa"/>
          </w:tcPr>
          <w:p w14:paraId="5E877EA3"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15</w:t>
            </w:r>
          </w:p>
        </w:tc>
        <w:tc>
          <w:tcPr>
            <w:tcW w:w="7705" w:type="dxa"/>
          </w:tcPr>
          <w:p w14:paraId="0F1221F6"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Ukupna likvidna imovina visoke kvalitete (HQLA)</w:t>
            </w:r>
          </w:p>
          <w:p w14:paraId="45AD9FA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ovdje uključuju opterećenu i neopterećenu likvidnu imovinu visoke kvalitete u skladu s Delegiranom uredbom Komisije (EU) 2015/61, neovisno o tome ispunjavaju li operativne zahtjeve iz članka 8. te uredbe, u skladu s člancima od 428.r do 428.ae CRR-a.</w:t>
            </w:r>
          </w:p>
        </w:tc>
      </w:tr>
      <w:tr w:rsidR="001E06A3" w:rsidRPr="007F4CC8" w14:paraId="3B88071A" w14:textId="77777777" w:rsidTr="00CB5E7D">
        <w:tc>
          <w:tcPr>
            <w:tcW w:w="1355" w:type="dxa"/>
          </w:tcPr>
          <w:p w14:paraId="3E6FD57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EU-15a</w:t>
            </w:r>
          </w:p>
        </w:tc>
        <w:tc>
          <w:tcPr>
            <w:tcW w:w="7705" w:type="dxa"/>
          </w:tcPr>
          <w:p w14:paraId="635C5113" w14:textId="0078B10C" w:rsidR="001E06A3" w:rsidRPr="007F4CC8" w:rsidRDefault="001E06A3" w:rsidP="001E06A3">
            <w:pPr>
              <w:spacing w:after="240"/>
              <w:jc w:val="both"/>
              <w:rPr>
                <w:rFonts w:ascii="Times New Roman" w:hAnsi="Times New Roman"/>
                <w:sz w:val="24"/>
              </w:rPr>
            </w:pPr>
            <w:r>
              <w:rPr>
                <w:rFonts w:ascii="Times New Roman" w:hAnsi="Times New Roman"/>
                <w:b/>
                <w:sz w:val="24"/>
              </w:rPr>
              <w:t>Imovina opterećena na preostali rok do dospijeća od godinu dana ili više u skupu za pokriće</w:t>
            </w:r>
          </w:p>
          <w:p w14:paraId="679F3DD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Članak 428.ag točka (h) CRR-a</w:t>
            </w:r>
          </w:p>
          <w:p w14:paraId="631519B4" w14:textId="715E4E57" w:rsidR="001E06A3" w:rsidRPr="007F4CC8" w:rsidRDefault="001E06A3" w:rsidP="001E06A3">
            <w:pPr>
              <w:pStyle w:val="TableParagraph"/>
              <w:spacing w:after="240"/>
              <w:jc w:val="both"/>
              <w:rPr>
                <w:rFonts w:ascii="Times New Roman" w:hAnsi="Times New Roman"/>
                <w:sz w:val="24"/>
              </w:rPr>
            </w:pPr>
            <w:r>
              <w:rPr>
                <w:rFonts w:ascii="Times New Roman" w:hAnsi="Times New Roman"/>
                <w:sz w:val="24"/>
                <w:szCs w:val="24"/>
              </w:rPr>
              <w:t>Institucije ovdje objavljuju iznos novčanih potraživanja s naslova kredita koji nisu u statutu neispunjavanja obveza u skladu s člankom 178. CRR-a i likvidne imovine opterećene na preostali rok do dospijeća od godinu dana ili više u skupu za pokriće koji se financira pokrivenim obveznicama iz članka 52. stavka 4. Direktive (EZ) 2009/65</w:t>
            </w:r>
            <w:r>
              <w:rPr>
                <w:rStyle w:val="FootnoteReference"/>
                <w:rFonts w:ascii="Times New Roman" w:eastAsia="Times New Roman" w:hAnsi="Times New Roman"/>
                <w:sz w:val="24"/>
                <w:szCs w:val="24"/>
                <w:lang w:eastAsia="sv-SE"/>
              </w:rPr>
              <w:footnoteReference w:id="27"/>
            </w:r>
            <w:r>
              <w:rPr>
                <w:rFonts w:ascii="Times New Roman" w:hAnsi="Times New Roman"/>
                <w:sz w:val="24"/>
                <w:szCs w:val="24"/>
              </w:rPr>
              <w:t xml:space="preserve"> ili pokrivenim obveznicama </w:t>
            </w:r>
            <w:r>
              <w:rPr>
                <w:rFonts w:ascii="Times New Roman" w:hAnsi="Times New Roman"/>
                <w:sz w:val="24"/>
                <w:szCs w:val="24"/>
              </w:rPr>
              <w:lastRenderedPageBreak/>
              <w:t>koje ispunjavaju kriterije prihvatljivosti za tretman iz članka 129. stavka 4. ili 5. CRR-a.</w:t>
            </w:r>
          </w:p>
        </w:tc>
      </w:tr>
      <w:tr w:rsidR="001E06A3" w:rsidRPr="007F4CC8" w14:paraId="0EAD5EF9" w14:textId="77777777" w:rsidTr="00CB5E7D">
        <w:tc>
          <w:tcPr>
            <w:tcW w:w="1355" w:type="dxa"/>
          </w:tcPr>
          <w:p w14:paraId="6C853BD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16</w:t>
            </w:r>
          </w:p>
        </w:tc>
        <w:tc>
          <w:tcPr>
            <w:tcW w:w="7705" w:type="dxa"/>
          </w:tcPr>
          <w:p w14:paraId="4E54DD27"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Depoziti koji se drže u drugim financijskim institucijama za operativne potrebe</w:t>
            </w:r>
          </w:p>
          <w:p w14:paraId="28B4F05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Članak 428.ad točka (b) CRR-a</w:t>
            </w:r>
          </w:p>
          <w:p w14:paraId="40761FC3"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ovdje objavljuju te iznose novčanih potraživanja s naslova kredita koji nisu u statutu neispunjavanja obveza u skladu s člankom 178. CRR-a, koji su operativni depoziti u skladu s Delegiranom uredbom Komisije (EU) 2015/61 i potrebni su za pružanje operativnih usluga.</w:t>
            </w:r>
          </w:p>
        </w:tc>
      </w:tr>
      <w:tr w:rsidR="001E06A3" w:rsidRPr="007F4CC8" w14:paraId="6BF89581" w14:textId="77777777" w:rsidTr="00CB5E7D">
        <w:tc>
          <w:tcPr>
            <w:tcW w:w="1355" w:type="dxa"/>
          </w:tcPr>
          <w:p w14:paraId="2C2135D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17</w:t>
            </w:r>
          </w:p>
        </w:tc>
        <w:tc>
          <w:tcPr>
            <w:tcW w:w="7705" w:type="dxa"/>
          </w:tcPr>
          <w:p w14:paraId="111B92F0"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Prihodonosni krediti i vrijednosni papiri:</w:t>
            </w:r>
          </w:p>
          <w:p w14:paraId="69E0B124"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ovdje objavljuju zbroj iznosa iz redaka 18, 19, 20, 22 i 24 ovog obrasca.</w:t>
            </w:r>
          </w:p>
        </w:tc>
      </w:tr>
      <w:tr w:rsidR="001E06A3" w:rsidRPr="007F4CC8" w14:paraId="57AA25FE" w14:textId="77777777" w:rsidTr="00CB5E7D">
        <w:tc>
          <w:tcPr>
            <w:tcW w:w="1355" w:type="dxa"/>
          </w:tcPr>
          <w:p w14:paraId="3A8C777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18</w:t>
            </w:r>
          </w:p>
        </w:tc>
        <w:tc>
          <w:tcPr>
            <w:tcW w:w="7705" w:type="dxa"/>
          </w:tcPr>
          <w:p w14:paraId="39D0D98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Prihodonosne transakcije financiranja vrijednosnim papirima s financijskim klijentima osigurane likvidnom imovinom visoke kvalitete prvog stupnja na koju se primjenjuje korektivni faktor od 0 %</w:t>
            </w:r>
          </w:p>
          <w:p w14:paraId="1C3668E3" w14:textId="77777777" w:rsidR="001E06A3" w:rsidRPr="007F4CC8" w:rsidRDefault="001E06A3" w:rsidP="001E06A3">
            <w:pPr>
              <w:spacing w:after="240"/>
              <w:jc w:val="both"/>
            </w:pPr>
            <w:r>
              <w:rPr>
                <w:rFonts w:ascii="Times New Roman" w:hAnsi="Times New Roman"/>
                <w:sz w:val="24"/>
              </w:rPr>
              <w:t>Članak 428.e, članak 428.r stavak 1. točka (e) i članak 428.s točka (b) CRR-a</w:t>
            </w:r>
          </w:p>
          <w:p w14:paraId="6E62999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ovdje objavljuju iznos novčanih potraživanja iz transakcija financiranja vrijednosnim papirima s financijskim klijentima koji u skladu s člankom 178. CRR-a nisu u statusu neispunjavanja obveza, koje su osigurane kolateralom u obliku imovine prvog stupnja prihvatljive za primjenu korektivnog faktora od 0 % u skladu s Delegiranom uredbom Komisije (EU) 2015/61.</w:t>
            </w:r>
          </w:p>
        </w:tc>
      </w:tr>
      <w:tr w:rsidR="001E06A3" w:rsidRPr="007F4CC8" w14:paraId="2BD49200" w14:textId="77777777" w:rsidTr="00CB5E7D">
        <w:tc>
          <w:tcPr>
            <w:tcW w:w="1355" w:type="dxa"/>
          </w:tcPr>
          <w:p w14:paraId="358064B4"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19</w:t>
            </w:r>
          </w:p>
        </w:tc>
        <w:tc>
          <w:tcPr>
            <w:tcW w:w="7705" w:type="dxa"/>
          </w:tcPr>
          <w:p w14:paraId="19A428A8" w14:textId="77777777" w:rsidR="001E06A3" w:rsidRPr="007F4CC8" w:rsidRDefault="001E06A3" w:rsidP="001E06A3">
            <w:pPr>
              <w:pStyle w:val="TableParagraph"/>
              <w:spacing w:after="240"/>
              <w:ind w:right="96"/>
              <w:jc w:val="both"/>
              <w:rPr>
                <w:rFonts w:ascii="Times New Roman" w:hAnsi="Times New Roman"/>
                <w:sz w:val="24"/>
                <w:szCs w:val="24"/>
              </w:rPr>
            </w:pPr>
            <w:r>
              <w:rPr>
                <w:rFonts w:ascii="Times New Roman" w:hAnsi="Times New Roman"/>
                <w:b/>
                <w:sz w:val="24"/>
                <w:szCs w:val="24"/>
              </w:rPr>
              <w:t>Prihodonosne transakcije financiranja vrijednosnim papirima s financijskim klijentima osigurane drugom imovinom i drugi krediti i predujmovi financijskim institucijama</w:t>
            </w:r>
          </w:p>
          <w:p w14:paraId="49B871A6" w14:textId="5DFC7DC8" w:rsidR="001E06A3" w:rsidRPr="007F4CC8" w:rsidRDefault="001E06A3" w:rsidP="001E06A3">
            <w:pPr>
              <w:pStyle w:val="TableParagraph"/>
              <w:spacing w:after="240"/>
              <w:ind w:right="96"/>
              <w:jc w:val="both"/>
              <w:rPr>
                <w:rFonts w:ascii="Times New Roman" w:hAnsi="Times New Roman"/>
                <w:sz w:val="24"/>
              </w:rPr>
            </w:pPr>
            <w:r>
              <w:rPr>
                <w:rFonts w:ascii="Times New Roman" w:hAnsi="Times New Roman"/>
                <w:sz w:val="24"/>
                <w:szCs w:val="24"/>
              </w:rPr>
              <w:t>Članak 428.s točka (b), članak 428.ad točka (d), članak 428.ah stavak 1. točka (b) i članak 428.v točka (a) CRR-a</w:t>
            </w:r>
          </w:p>
          <w:p w14:paraId="43ECC51F"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ovdje objavljuju zbroj sljedećih stavki:</w:t>
            </w:r>
          </w:p>
          <w:p w14:paraId="6D530B9A" w14:textId="77777777" w:rsidR="001E06A3" w:rsidRPr="007F4CC8" w:rsidRDefault="001E06A3" w:rsidP="00E70D84">
            <w:pPr>
              <w:pStyle w:val="ListParagraph"/>
              <w:numPr>
                <w:ilvl w:val="0"/>
                <w:numId w:val="38"/>
              </w:numPr>
              <w:spacing w:after="240"/>
              <w:contextualSpacing/>
              <w:jc w:val="both"/>
              <w:rPr>
                <w:rFonts w:ascii="Times New Roman" w:hAnsi="Times New Roman"/>
                <w:sz w:val="24"/>
              </w:rPr>
            </w:pPr>
            <w:r>
              <w:rPr>
                <w:rFonts w:ascii="Times New Roman" w:hAnsi="Times New Roman"/>
                <w:sz w:val="24"/>
              </w:rPr>
              <w:t>iznosa novčanih potraživanja iz transakcija financiranja vrijednosnim papirima s financijskim klijentima koji u skladu s člankom 178. CRR-a nisu u statusu neispunjavanja obveza, koje su osigurane kolateralom koji nije imovina prvog stupnja prihvatljiva za primjenu korektivnog faktora od 0 % u skladu s Delegiranom uredbom Komisije (EU) 2015/61 i</w:t>
            </w:r>
          </w:p>
          <w:p w14:paraId="25F10EE1" w14:textId="77777777" w:rsidR="001E06A3" w:rsidRPr="007F4CC8" w:rsidRDefault="001E06A3" w:rsidP="00E70D84">
            <w:pPr>
              <w:pStyle w:val="ListParagraph"/>
              <w:numPr>
                <w:ilvl w:val="0"/>
                <w:numId w:val="38"/>
              </w:numPr>
              <w:spacing w:after="240"/>
              <w:contextualSpacing/>
              <w:jc w:val="both"/>
              <w:rPr>
                <w:rFonts w:ascii="Times New Roman" w:hAnsi="Times New Roman"/>
                <w:sz w:val="24"/>
              </w:rPr>
            </w:pPr>
            <w:r>
              <w:rPr>
                <w:rFonts w:ascii="Times New Roman" w:hAnsi="Times New Roman"/>
                <w:sz w:val="24"/>
              </w:rPr>
              <w:t xml:space="preserve">iznosa novčanih potraživanja s naslova ostalih kredita i predujmova financijskim klijentima koji u skladu s člankom 178. CRR-a nisu u </w:t>
            </w:r>
            <w:r>
              <w:rPr>
                <w:rFonts w:ascii="Times New Roman" w:hAnsi="Times New Roman"/>
                <w:sz w:val="24"/>
              </w:rPr>
              <w:lastRenderedPageBreak/>
              <w:t xml:space="preserve">statusu neispunjavanja obveza, u skladu s člankom 428.v točkom (a) </w:t>
            </w:r>
            <w:proofErr w:type="spellStart"/>
            <w:r>
              <w:rPr>
                <w:rFonts w:ascii="Times New Roman" w:hAnsi="Times New Roman"/>
                <w:sz w:val="24"/>
              </w:rPr>
              <w:t>i</w:t>
            </w:r>
            <w:proofErr w:type="spellEnd"/>
            <w:r>
              <w:rPr>
                <w:rFonts w:ascii="Times New Roman" w:hAnsi="Times New Roman"/>
                <w:sz w:val="24"/>
              </w:rPr>
              <w:t xml:space="preserve"> </w:t>
            </w:r>
            <w:proofErr w:type="spellStart"/>
            <w:r>
              <w:rPr>
                <w:rFonts w:ascii="Times New Roman" w:hAnsi="Times New Roman"/>
                <w:sz w:val="24"/>
              </w:rPr>
              <w:t>člankom</w:t>
            </w:r>
            <w:proofErr w:type="spellEnd"/>
            <w:r>
              <w:rPr>
                <w:rFonts w:ascii="Times New Roman" w:hAnsi="Times New Roman"/>
                <w:sz w:val="24"/>
              </w:rPr>
              <w:t xml:space="preserve"> 428.ad </w:t>
            </w:r>
            <w:proofErr w:type="spellStart"/>
            <w:r>
              <w:rPr>
                <w:rFonts w:ascii="Times New Roman" w:hAnsi="Times New Roman"/>
                <w:sz w:val="24"/>
              </w:rPr>
              <w:t>točkom</w:t>
            </w:r>
            <w:proofErr w:type="spellEnd"/>
            <w:r>
              <w:rPr>
                <w:rFonts w:ascii="Times New Roman" w:hAnsi="Times New Roman"/>
                <w:sz w:val="24"/>
              </w:rPr>
              <w:t xml:space="preserve"> (d) </w:t>
            </w:r>
            <w:proofErr w:type="spellStart"/>
            <w:r>
              <w:rPr>
                <w:rFonts w:ascii="Times New Roman" w:hAnsi="Times New Roman"/>
                <w:sz w:val="24"/>
              </w:rPr>
              <w:t>podtočkom</w:t>
            </w:r>
            <w:proofErr w:type="spellEnd"/>
            <w:r>
              <w:rPr>
                <w:rFonts w:ascii="Times New Roman" w:hAnsi="Times New Roman"/>
                <w:sz w:val="24"/>
              </w:rPr>
              <w:t xml:space="preserve"> iii. CRR-a.</w:t>
            </w:r>
          </w:p>
        </w:tc>
      </w:tr>
      <w:tr w:rsidR="001E06A3" w:rsidRPr="007F4CC8" w14:paraId="23D883F8" w14:textId="77777777" w:rsidTr="00CB5E7D">
        <w:tc>
          <w:tcPr>
            <w:tcW w:w="1355" w:type="dxa"/>
          </w:tcPr>
          <w:p w14:paraId="14F1CFB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20</w:t>
            </w:r>
          </w:p>
        </w:tc>
        <w:tc>
          <w:tcPr>
            <w:tcW w:w="7705" w:type="dxa"/>
          </w:tcPr>
          <w:p w14:paraId="1BB94392"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Prihodonosni krediti nefinancijskim korporativnim klijentima, krediti stanovništvu i malim poduzetnicima, krediti državama i subjektima javnog sektora, od čega:</w:t>
            </w:r>
          </w:p>
          <w:p w14:paraId="2D61E718"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Članak 428.ad točka (c), članak 428.af i članak 428.ag točka (c) CRR-a</w:t>
            </w:r>
          </w:p>
          <w:p w14:paraId="1FEB604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ovdje objavljuju te iznose novčanih potraživanja s naslova kredita koji nisu u statutu neispunjavanja obveza u skladu s člankom 178. CRR-a, koji su stambeni krediti za koje u cijelosti jamči priznati pružatelj zaštite kako je navedeno u članku 129. stavku 1. točki (e) CRR-a ili kredita, isključujući kredite financijskim klijentima i kredite iz članaka od 428.r do 428.ad osim članka 428.ad točke (c) CRR-a, neovisno o ponderima rizika dodijeljenima tim kreditima. Taj iznos ne uključuje izloženosti osiguranje hipotekom na nekretninama.</w:t>
            </w:r>
          </w:p>
        </w:tc>
      </w:tr>
      <w:tr w:rsidR="001E06A3" w:rsidRPr="007F4CC8" w14:paraId="640960C5" w14:textId="77777777" w:rsidTr="00CB5E7D">
        <w:tc>
          <w:tcPr>
            <w:tcW w:w="1355" w:type="dxa"/>
          </w:tcPr>
          <w:p w14:paraId="444B793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21</w:t>
            </w:r>
          </w:p>
        </w:tc>
        <w:tc>
          <w:tcPr>
            <w:tcW w:w="7705" w:type="dxa"/>
          </w:tcPr>
          <w:p w14:paraId="1E760EB2"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 xml:space="preserve">S ponderom rizika manjim ili jednakim 35 % u skladu sa standardiziranim </w:t>
            </w:r>
            <w:proofErr w:type="spellStart"/>
            <w:r>
              <w:rPr>
                <w:rFonts w:ascii="Times New Roman" w:hAnsi="Times New Roman"/>
                <w:b/>
                <w:sz w:val="24"/>
              </w:rPr>
              <w:t>pristupom</w:t>
            </w:r>
            <w:proofErr w:type="spellEnd"/>
            <w:r>
              <w:rPr>
                <w:rFonts w:ascii="Times New Roman" w:hAnsi="Times New Roman"/>
                <w:b/>
                <w:sz w:val="24"/>
              </w:rPr>
              <w:t xml:space="preserve"> </w:t>
            </w:r>
            <w:proofErr w:type="spellStart"/>
            <w:r>
              <w:rPr>
                <w:rFonts w:ascii="Times New Roman" w:hAnsi="Times New Roman"/>
                <w:b/>
                <w:sz w:val="24"/>
              </w:rPr>
              <w:t>za</w:t>
            </w:r>
            <w:proofErr w:type="spellEnd"/>
            <w:r>
              <w:rPr>
                <w:rFonts w:ascii="Times New Roman" w:hAnsi="Times New Roman"/>
                <w:b/>
                <w:sz w:val="24"/>
              </w:rPr>
              <w:t xml:space="preserve"> </w:t>
            </w:r>
            <w:proofErr w:type="spellStart"/>
            <w:r>
              <w:rPr>
                <w:rFonts w:ascii="Times New Roman" w:hAnsi="Times New Roman"/>
                <w:b/>
                <w:sz w:val="24"/>
              </w:rPr>
              <w:t>kreditni</w:t>
            </w:r>
            <w:proofErr w:type="spellEnd"/>
            <w:r>
              <w:rPr>
                <w:rFonts w:ascii="Times New Roman" w:hAnsi="Times New Roman"/>
                <w:b/>
                <w:sz w:val="24"/>
              </w:rPr>
              <w:t xml:space="preserve"> </w:t>
            </w:r>
            <w:proofErr w:type="spellStart"/>
            <w:r>
              <w:rPr>
                <w:rFonts w:ascii="Times New Roman" w:hAnsi="Times New Roman"/>
                <w:b/>
                <w:sz w:val="24"/>
              </w:rPr>
              <w:t>rizik</w:t>
            </w:r>
            <w:proofErr w:type="spellEnd"/>
            <w:r>
              <w:rPr>
                <w:rFonts w:ascii="Times New Roman" w:hAnsi="Times New Roman"/>
                <w:b/>
                <w:sz w:val="24"/>
              </w:rPr>
              <w:t xml:space="preserve"> </w:t>
            </w:r>
            <w:proofErr w:type="spellStart"/>
            <w:r>
              <w:rPr>
                <w:rFonts w:ascii="Times New Roman" w:hAnsi="Times New Roman"/>
                <w:b/>
                <w:sz w:val="24"/>
              </w:rPr>
              <w:t>iz</w:t>
            </w:r>
            <w:proofErr w:type="spellEnd"/>
            <w:r>
              <w:rPr>
                <w:rFonts w:ascii="Times New Roman" w:hAnsi="Times New Roman"/>
                <w:b/>
                <w:sz w:val="24"/>
              </w:rPr>
              <w:t xml:space="preserve"> </w:t>
            </w:r>
            <w:proofErr w:type="spellStart"/>
            <w:r>
              <w:rPr>
                <w:rFonts w:ascii="Times New Roman" w:hAnsi="Times New Roman"/>
                <w:b/>
                <w:sz w:val="24"/>
              </w:rPr>
              <w:t>okvira</w:t>
            </w:r>
            <w:proofErr w:type="spellEnd"/>
            <w:r>
              <w:rPr>
                <w:rFonts w:ascii="Times New Roman" w:hAnsi="Times New Roman"/>
                <w:b/>
                <w:sz w:val="24"/>
              </w:rPr>
              <w:t xml:space="preserve"> Basel II</w:t>
            </w:r>
          </w:p>
          <w:p w14:paraId="321E82BB"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Članak 428.ad točka (c), članak 428.af CRR-a</w:t>
            </w:r>
          </w:p>
          <w:p w14:paraId="5789FF0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ovdje objavljuju iznose kredita iz retka 21 ovog obrasca kojima je dodijeljen ponder rizika manji ili jednak 35 % u skladu s dijelom trećim glavom II. poglavljem 2. CRR-a.</w:t>
            </w:r>
          </w:p>
        </w:tc>
      </w:tr>
      <w:tr w:rsidR="001E06A3" w:rsidRPr="007F4CC8" w14:paraId="752E7570" w14:textId="77777777" w:rsidTr="00CB5E7D">
        <w:tc>
          <w:tcPr>
            <w:tcW w:w="1355" w:type="dxa"/>
          </w:tcPr>
          <w:p w14:paraId="56D24C5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22</w:t>
            </w:r>
          </w:p>
        </w:tc>
        <w:tc>
          <w:tcPr>
            <w:tcW w:w="7705" w:type="dxa"/>
          </w:tcPr>
          <w:p w14:paraId="5CC89414" w14:textId="77777777" w:rsidR="001E06A3" w:rsidRPr="007F4CC8" w:rsidRDefault="001E06A3" w:rsidP="001E06A3">
            <w:pPr>
              <w:spacing w:after="240"/>
              <w:jc w:val="both"/>
              <w:rPr>
                <w:rFonts w:ascii="Times New Roman" w:hAnsi="Times New Roman" w:cs="Times New Roman"/>
                <w:b/>
                <w:sz w:val="24"/>
              </w:rPr>
            </w:pPr>
            <w:r>
              <w:rPr>
                <w:rFonts w:ascii="Times New Roman" w:hAnsi="Times New Roman"/>
                <w:b/>
                <w:sz w:val="24"/>
              </w:rPr>
              <w:t>Prihodonosne hipoteke na nekretninama, od čega:</w:t>
            </w:r>
          </w:p>
          <w:p w14:paraId="15E5AC9E" w14:textId="77777777" w:rsidR="001E06A3" w:rsidRPr="007F4CC8" w:rsidRDefault="001E06A3" w:rsidP="001E06A3">
            <w:pPr>
              <w:spacing w:after="240"/>
              <w:jc w:val="both"/>
              <w:rPr>
                <w:rFonts w:ascii="Times New Roman" w:hAnsi="Times New Roman"/>
                <w:b/>
                <w:sz w:val="24"/>
              </w:rPr>
            </w:pPr>
            <w:r>
              <w:rPr>
                <w:rFonts w:ascii="Times New Roman" w:hAnsi="Times New Roman"/>
                <w:sz w:val="24"/>
              </w:rPr>
              <w:t>Članak 428.ad točka (c), članak 428.af i članak 428.ag točka (c) CRR-a</w:t>
            </w:r>
          </w:p>
          <w:p w14:paraId="271BEBB6"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Institucije ovdje objavljuju iznose novčanih potraživanja s naslova kredita koji nisu u statutu neispunjavanja obveza u skladu s člankom 178. CRR-a, koji su stambeni krediti osigurani hipotekom na nekretninama, isključujući kredite financijskim klijentima i kredite iz članaka od 428.r do 428.ad CRR-a, osim članka 428.ad točke (c) CRR-a, neovisno o ponderima rizika dodijeljenima tim kreditima.</w:t>
            </w:r>
          </w:p>
        </w:tc>
      </w:tr>
      <w:tr w:rsidR="001E06A3" w:rsidRPr="007F4CC8" w14:paraId="16C048BA" w14:textId="77777777" w:rsidTr="00CB5E7D">
        <w:tc>
          <w:tcPr>
            <w:tcW w:w="1355" w:type="dxa"/>
          </w:tcPr>
          <w:p w14:paraId="125C3F1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23</w:t>
            </w:r>
          </w:p>
        </w:tc>
        <w:tc>
          <w:tcPr>
            <w:tcW w:w="7705" w:type="dxa"/>
          </w:tcPr>
          <w:p w14:paraId="77ED9432" w14:textId="5814089E" w:rsidR="001E06A3" w:rsidRPr="007F4CC8" w:rsidRDefault="00493F26" w:rsidP="001E06A3">
            <w:pPr>
              <w:spacing w:after="240"/>
              <w:jc w:val="both"/>
              <w:rPr>
                <w:rFonts w:ascii="Times New Roman" w:hAnsi="Times New Roman"/>
                <w:sz w:val="24"/>
              </w:rPr>
            </w:pPr>
            <w:r>
              <w:rPr>
                <w:rFonts w:ascii="Times New Roman" w:hAnsi="Times New Roman"/>
                <w:b/>
                <w:sz w:val="24"/>
              </w:rPr>
              <w:t>S</w:t>
            </w:r>
            <w:r w:rsidR="001E06A3">
              <w:rPr>
                <w:rFonts w:ascii="Times New Roman" w:hAnsi="Times New Roman"/>
                <w:b/>
                <w:sz w:val="24"/>
              </w:rPr>
              <w:t xml:space="preserve"> </w:t>
            </w:r>
            <w:proofErr w:type="spellStart"/>
            <w:r w:rsidR="001E06A3">
              <w:rPr>
                <w:rFonts w:ascii="Times New Roman" w:hAnsi="Times New Roman"/>
                <w:b/>
                <w:sz w:val="24"/>
              </w:rPr>
              <w:t>ponderom</w:t>
            </w:r>
            <w:proofErr w:type="spellEnd"/>
            <w:r w:rsidR="001E06A3">
              <w:rPr>
                <w:rFonts w:ascii="Times New Roman" w:hAnsi="Times New Roman"/>
                <w:b/>
                <w:sz w:val="24"/>
              </w:rPr>
              <w:t xml:space="preserve"> </w:t>
            </w:r>
            <w:proofErr w:type="spellStart"/>
            <w:r w:rsidR="001E06A3">
              <w:rPr>
                <w:rFonts w:ascii="Times New Roman" w:hAnsi="Times New Roman"/>
                <w:b/>
                <w:sz w:val="24"/>
              </w:rPr>
              <w:t>rizika</w:t>
            </w:r>
            <w:proofErr w:type="spellEnd"/>
            <w:r w:rsidR="001E06A3">
              <w:rPr>
                <w:rFonts w:ascii="Times New Roman" w:hAnsi="Times New Roman"/>
                <w:b/>
                <w:sz w:val="24"/>
              </w:rPr>
              <w:t xml:space="preserve"> </w:t>
            </w:r>
            <w:proofErr w:type="spellStart"/>
            <w:r w:rsidR="001E06A3">
              <w:rPr>
                <w:rFonts w:ascii="Times New Roman" w:hAnsi="Times New Roman"/>
                <w:b/>
                <w:sz w:val="24"/>
              </w:rPr>
              <w:t>manjim</w:t>
            </w:r>
            <w:proofErr w:type="spellEnd"/>
            <w:r w:rsidR="001E06A3">
              <w:rPr>
                <w:rFonts w:ascii="Times New Roman" w:hAnsi="Times New Roman"/>
                <w:b/>
                <w:sz w:val="24"/>
              </w:rPr>
              <w:t xml:space="preserve"> </w:t>
            </w:r>
            <w:proofErr w:type="spellStart"/>
            <w:r w:rsidR="001E06A3">
              <w:rPr>
                <w:rFonts w:ascii="Times New Roman" w:hAnsi="Times New Roman"/>
                <w:b/>
                <w:sz w:val="24"/>
              </w:rPr>
              <w:t>ili</w:t>
            </w:r>
            <w:proofErr w:type="spellEnd"/>
            <w:r w:rsidR="001E06A3">
              <w:rPr>
                <w:rFonts w:ascii="Times New Roman" w:hAnsi="Times New Roman"/>
                <w:b/>
                <w:sz w:val="24"/>
              </w:rPr>
              <w:t xml:space="preserve"> jednakim 35 % u skladu sa standardiziranim </w:t>
            </w:r>
            <w:proofErr w:type="spellStart"/>
            <w:r w:rsidR="001E06A3">
              <w:rPr>
                <w:rFonts w:ascii="Times New Roman" w:hAnsi="Times New Roman"/>
                <w:b/>
                <w:sz w:val="24"/>
              </w:rPr>
              <w:t>pristupom</w:t>
            </w:r>
            <w:proofErr w:type="spellEnd"/>
            <w:r w:rsidR="001E06A3">
              <w:rPr>
                <w:rFonts w:ascii="Times New Roman" w:hAnsi="Times New Roman"/>
                <w:b/>
                <w:sz w:val="24"/>
              </w:rPr>
              <w:t xml:space="preserve"> </w:t>
            </w:r>
            <w:proofErr w:type="spellStart"/>
            <w:r w:rsidR="001E06A3">
              <w:rPr>
                <w:rFonts w:ascii="Times New Roman" w:hAnsi="Times New Roman"/>
                <w:b/>
                <w:sz w:val="24"/>
              </w:rPr>
              <w:t>za</w:t>
            </w:r>
            <w:proofErr w:type="spellEnd"/>
            <w:r w:rsidR="001E06A3">
              <w:rPr>
                <w:rFonts w:ascii="Times New Roman" w:hAnsi="Times New Roman"/>
                <w:b/>
                <w:sz w:val="24"/>
              </w:rPr>
              <w:t xml:space="preserve"> </w:t>
            </w:r>
            <w:proofErr w:type="spellStart"/>
            <w:r w:rsidR="001E06A3">
              <w:rPr>
                <w:rFonts w:ascii="Times New Roman" w:hAnsi="Times New Roman"/>
                <w:b/>
                <w:sz w:val="24"/>
              </w:rPr>
              <w:t>kreditni</w:t>
            </w:r>
            <w:proofErr w:type="spellEnd"/>
            <w:r w:rsidR="001E06A3">
              <w:rPr>
                <w:rFonts w:ascii="Times New Roman" w:hAnsi="Times New Roman"/>
                <w:b/>
                <w:sz w:val="24"/>
              </w:rPr>
              <w:t xml:space="preserve"> </w:t>
            </w:r>
            <w:proofErr w:type="spellStart"/>
            <w:r w:rsidR="001E06A3">
              <w:rPr>
                <w:rFonts w:ascii="Times New Roman" w:hAnsi="Times New Roman"/>
                <w:b/>
                <w:sz w:val="24"/>
              </w:rPr>
              <w:t>rizik</w:t>
            </w:r>
            <w:proofErr w:type="spellEnd"/>
            <w:r w:rsidR="001E06A3">
              <w:rPr>
                <w:rFonts w:ascii="Times New Roman" w:hAnsi="Times New Roman"/>
                <w:b/>
                <w:sz w:val="24"/>
              </w:rPr>
              <w:t xml:space="preserve"> </w:t>
            </w:r>
            <w:proofErr w:type="spellStart"/>
            <w:r w:rsidR="001E06A3">
              <w:rPr>
                <w:rFonts w:ascii="Times New Roman" w:hAnsi="Times New Roman"/>
                <w:b/>
                <w:sz w:val="24"/>
              </w:rPr>
              <w:t>iz</w:t>
            </w:r>
            <w:proofErr w:type="spellEnd"/>
            <w:r w:rsidR="001E06A3">
              <w:rPr>
                <w:rFonts w:ascii="Times New Roman" w:hAnsi="Times New Roman"/>
                <w:b/>
                <w:sz w:val="24"/>
              </w:rPr>
              <w:t xml:space="preserve"> </w:t>
            </w:r>
            <w:proofErr w:type="spellStart"/>
            <w:r w:rsidR="001E06A3">
              <w:rPr>
                <w:rFonts w:ascii="Times New Roman" w:hAnsi="Times New Roman"/>
                <w:b/>
                <w:sz w:val="24"/>
              </w:rPr>
              <w:t>okvira</w:t>
            </w:r>
            <w:proofErr w:type="spellEnd"/>
            <w:r w:rsidR="001E06A3">
              <w:rPr>
                <w:rFonts w:ascii="Times New Roman" w:hAnsi="Times New Roman"/>
                <w:b/>
                <w:sz w:val="24"/>
              </w:rPr>
              <w:t xml:space="preserve"> Basel II.</w:t>
            </w:r>
          </w:p>
          <w:p w14:paraId="705B3481"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Članak 428.ad točka (c), članak 428.af točka (a) CRR-a</w:t>
            </w:r>
          </w:p>
          <w:p w14:paraId="75FA19E4"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ovdje uključuju iznose kredita iz retka 22 ovog obrasca kojima je dodijeljen ponder rizika manji ili jednak 35 % u skladu s dijelom trećim glavom II. poglavljem 2. CRR-a.</w:t>
            </w:r>
          </w:p>
        </w:tc>
      </w:tr>
      <w:tr w:rsidR="001E06A3" w:rsidRPr="007F4CC8" w14:paraId="4A951DDA" w14:textId="77777777" w:rsidTr="00CB5E7D">
        <w:tc>
          <w:tcPr>
            <w:tcW w:w="1355" w:type="dxa"/>
          </w:tcPr>
          <w:p w14:paraId="69B2B5A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24</w:t>
            </w:r>
          </w:p>
        </w:tc>
        <w:tc>
          <w:tcPr>
            <w:tcW w:w="7705" w:type="dxa"/>
          </w:tcPr>
          <w:p w14:paraId="07EF9659"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 xml:space="preserve">Ostali krediti i vrijednosni papiri koji nisu u statusu neispunjavanja obveza i ne kvalificiraju se kao likvidna imovina visoke kvalitete, </w:t>
            </w:r>
            <w:r>
              <w:rPr>
                <w:rFonts w:ascii="Times New Roman" w:hAnsi="Times New Roman"/>
                <w:b/>
                <w:sz w:val="24"/>
              </w:rPr>
              <w:lastRenderedPageBreak/>
              <w:t>uključujući vlasnička ulaganja u društva koja ne kotiraju na burzi i bilančne proizvode s osnove financiranja trgovine</w:t>
            </w:r>
          </w:p>
          <w:p w14:paraId="0D677D2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ovdje objavljuju zbroj sljedećih stavki:</w:t>
            </w:r>
          </w:p>
          <w:p w14:paraId="5639B43C" w14:textId="0DD33F64" w:rsidR="001E06A3" w:rsidRPr="007F4CC8" w:rsidRDefault="001E06A3" w:rsidP="00E70D84">
            <w:pPr>
              <w:pStyle w:val="ListParagraph"/>
              <w:numPr>
                <w:ilvl w:val="0"/>
                <w:numId w:val="38"/>
              </w:numPr>
              <w:spacing w:after="240"/>
              <w:contextualSpacing/>
              <w:jc w:val="both"/>
              <w:rPr>
                <w:rFonts w:ascii="Times New Roman" w:hAnsi="Times New Roman"/>
                <w:sz w:val="24"/>
              </w:rPr>
            </w:pPr>
            <w:r>
              <w:rPr>
                <w:rFonts w:ascii="Times New Roman" w:hAnsi="Times New Roman"/>
                <w:sz w:val="24"/>
              </w:rPr>
              <w:t>na temelju članka 428.ag točaka (e) i (f) CRR-a, vrijednosnih papira koji u skladu s člankom 178. CRR-a nisu u statusu neispunjavanja obveza, a na temelju Delegirane uredbe Komisije (EU) 2015/61 nisu likvidna imovina, neovisno o tome ispunjavaju li operativne zahtjeve propisane u toj uredbi i</w:t>
            </w:r>
          </w:p>
          <w:p w14:paraId="7EC444EC" w14:textId="77777777" w:rsidR="001E06A3" w:rsidRPr="007F4CC8" w:rsidRDefault="001E06A3" w:rsidP="00E70D84">
            <w:pPr>
              <w:pStyle w:val="ListParagraph"/>
              <w:numPr>
                <w:ilvl w:val="0"/>
                <w:numId w:val="38"/>
              </w:numPr>
              <w:spacing w:after="240"/>
              <w:contextualSpacing/>
              <w:jc w:val="both"/>
              <w:rPr>
                <w:rFonts w:ascii="Times New Roman" w:hAnsi="Times New Roman"/>
                <w:sz w:val="24"/>
              </w:rPr>
            </w:pPr>
            <w:r>
              <w:rPr>
                <w:rFonts w:ascii="Times New Roman" w:hAnsi="Times New Roman"/>
                <w:sz w:val="24"/>
              </w:rPr>
              <w:t>bilančnih povezanih proizvoda s osnove financiranja trgovine u skladu s člankom 428.v točkom (b), člankom 428.ad točkom (e) i člankom 428.ag točkom (d) CRR-a.</w:t>
            </w:r>
          </w:p>
        </w:tc>
      </w:tr>
      <w:tr w:rsidR="001E06A3" w:rsidRPr="007F4CC8" w14:paraId="086F2410" w14:textId="77777777" w:rsidTr="00CB5E7D">
        <w:tc>
          <w:tcPr>
            <w:tcW w:w="1355" w:type="dxa"/>
          </w:tcPr>
          <w:p w14:paraId="55A7017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25</w:t>
            </w:r>
          </w:p>
        </w:tc>
        <w:tc>
          <w:tcPr>
            <w:tcW w:w="7705" w:type="dxa"/>
          </w:tcPr>
          <w:p w14:paraId="02EF56AC"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Međuovisna imovina</w:t>
            </w:r>
          </w:p>
          <w:p w14:paraId="32DCB94F"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Članak 428.f i članak 428.r stavak 1. točka (f) CRR-a</w:t>
            </w:r>
          </w:p>
          <w:p w14:paraId="58BDE7B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ovdje objavljuju imovinu koja je nakon odobrenja nadležnih tijela međuovisna s obvezama u skladu s člankom 428.f CRR-a.</w:t>
            </w:r>
          </w:p>
        </w:tc>
      </w:tr>
      <w:tr w:rsidR="001E06A3" w:rsidRPr="007F4CC8" w14:paraId="2DFEA855" w14:textId="77777777" w:rsidTr="00CB5E7D">
        <w:tc>
          <w:tcPr>
            <w:tcW w:w="1355" w:type="dxa"/>
          </w:tcPr>
          <w:p w14:paraId="2AC71F5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26</w:t>
            </w:r>
          </w:p>
        </w:tc>
        <w:tc>
          <w:tcPr>
            <w:tcW w:w="7705" w:type="dxa"/>
          </w:tcPr>
          <w:p w14:paraId="340A999C"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Ostala imovina:</w:t>
            </w:r>
          </w:p>
          <w:p w14:paraId="15B3CE51"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ovdje objavljuju zbroj iznosa iz redaka 27, 28, 29, 30 i 31 ovog obrasca.</w:t>
            </w:r>
          </w:p>
        </w:tc>
      </w:tr>
      <w:tr w:rsidR="001E06A3" w:rsidRPr="007F4CC8" w14:paraId="64BFB991" w14:textId="77777777" w:rsidTr="00CB5E7D">
        <w:tc>
          <w:tcPr>
            <w:tcW w:w="1355" w:type="dxa"/>
          </w:tcPr>
          <w:p w14:paraId="1D8C937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27</w:t>
            </w:r>
          </w:p>
        </w:tc>
        <w:tc>
          <w:tcPr>
            <w:tcW w:w="7705" w:type="dxa"/>
          </w:tcPr>
          <w:p w14:paraId="35029DE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Roba koja se fizički razmjenjuje</w:t>
            </w:r>
          </w:p>
          <w:p w14:paraId="4070F7BE" w14:textId="77777777" w:rsidR="001E06A3" w:rsidRPr="007F4CC8" w:rsidRDefault="001E06A3" w:rsidP="001E06A3">
            <w:pPr>
              <w:pStyle w:val="TableParagraph"/>
              <w:spacing w:after="240"/>
              <w:ind w:right="99"/>
              <w:jc w:val="both"/>
              <w:rPr>
                <w:rFonts w:ascii="Times New Roman" w:hAnsi="Times New Roman"/>
                <w:sz w:val="24"/>
              </w:rPr>
            </w:pPr>
            <w:r>
              <w:rPr>
                <w:rFonts w:ascii="Times New Roman" w:hAnsi="Times New Roman"/>
                <w:sz w:val="24"/>
                <w:szCs w:val="24"/>
              </w:rPr>
              <w:t>Članak 428.ag točka (g) CRR-a</w:t>
            </w:r>
          </w:p>
          <w:p w14:paraId="48DD16C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ovdje objavljuju iznos robe koja se fizički razmjenjuje. Taj iznos ne uključuje robne izvedenice.</w:t>
            </w:r>
          </w:p>
        </w:tc>
      </w:tr>
      <w:tr w:rsidR="001E06A3" w:rsidRPr="007F4CC8" w14:paraId="4322E562" w14:textId="77777777" w:rsidTr="00CB5E7D">
        <w:tc>
          <w:tcPr>
            <w:tcW w:w="1355" w:type="dxa"/>
          </w:tcPr>
          <w:p w14:paraId="2A3ED16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28</w:t>
            </w:r>
          </w:p>
        </w:tc>
        <w:tc>
          <w:tcPr>
            <w:tcW w:w="7705" w:type="dxa"/>
          </w:tcPr>
          <w:p w14:paraId="46F3710C"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Imovina dana kao inicijalni iznos nadoknade za ugovore o izvedenicama i uplate u jamstvene fondove središnjih drugih ugovornih strana</w:t>
            </w:r>
          </w:p>
          <w:p w14:paraId="0444A80A"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Institucije ovdje objavljuju zbroj sljedećih iznosa:</w:t>
            </w:r>
          </w:p>
          <w:p w14:paraId="58EF3078" w14:textId="77777777" w:rsidR="001E06A3" w:rsidRPr="007F4CC8" w:rsidRDefault="001E06A3" w:rsidP="00E70D84">
            <w:pPr>
              <w:pStyle w:val="ListParagraph"/>
              <w:numPr>
                <w:ilvl w:val="0"/>
                <w:numId w:val="38"/>
              </w:numPr>
              <w:jc w:val="both"/>
              <w:rPr>
                <w:rFonts w:ascii="Times New Roman" w:hAnsi="Times New Roman"/>
                <w:sz w:val="24"/>
              </w:rPr>
            </w:pPr>
            <w:r>
              <w:rPr>
                <w:rFonts w:ascii="Times New Roman" w:hAnsi="Times New Roman"/>
                <w:sz w:val="24"/>
              </w:rPr>
              <w:t>iznosa zahtijevanih izvora stabilnog financiranja koji proizlaze iz izvedenica, u skladu s člankom 428.d, člankom 428.s stavkom 2., člankom 428.ag točkom (a) i članom 428.ah stavkom 2. CRR-a, koji se odnosi na inicijalni iznos nadoknade za ugovore o izvedenicama i</w:t>
            </w:r>
          </w:p>
          <w:p w14:paraId="6B234535" w14:textId="77777777" w:rsidR="001E06A3" w:rsidRPr="007F4CC8" w:rsidRDefault="001E06A3" w:rsidP="00E70D84">
            <w:pPr>
              <w:pStyle w:val="ListParagraph"/>
              <w:numPr>
                <w:ilvl w:val="0"/>
                <w:numId w:val="38"/>
              </w:numPr>
              <w:spacing w:after="240"/>
              <w:jc w:val="both"/>
              <w:rPr>
                <w:rFonts w:ascii="Times New Roman" w:hAnsi="Times New Roman"/>
                <w:sz w:val="24"/>
              </w:rPr>
            </w:pPr>
            <w:r>
              <w:rPr>
                <w:rFonts w:ascii="Times New Roman" w:hAnsi="Times New Roman"/>
                <w:sz w:val="24"/>
              </w:rPr>
              <w:t>iznosa koji se odnosi na stavke koje su dane kao uplata u jamstveni fond središnje druge ugovorne strane, u skladu s člankom 428.ag tokom (b) CRR-a.</w:t>
            </w:r>
          </w:p>
        </w:tc>
      </w:tr>
      <w:tr w:rsidR="001E06A3" w:rsidRPr="007F4CC8" w14:paraId="66BC96FD" w14:textId="77777777" w:rsidTr="00CB5E7D">
        <w:tc>
          <w:tcPr>
            <w:tcW w:w="1355" w:type="dxa"/>
          </w:tcPr>
          <w:p w14:paraId="2CC6C66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29</w:t>
            </w:r>
          </w:p>
        </w:tc>
        <w:tc>
          <w:tcPr>
            <w:tcW w:w="7705" w:type="dxa"/>
          </w:tcPr>
          <w:p w14:paraId="60B73E07"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NSFR imovina po izvedenicama</w:t>
            </w:r>
          </w:p>
          <w:p w14:paraId="70D38B1A"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lastRenderedPageBreak/>
              <w:t>Članak 428.d i članak 428.h stavak 2. CRR-a</w:t>
            </w:r>
          </w:p>
          <w:p w14:paraId="7E8C483F" w14:textId="41DB2EE4" w:rsidR="001E06A3" w:rsidRPr="007F4CC8" w:rsidRDefault="001E06A3" w:rsidP="001E06A3">
            <w:pPr>
              <w:pStyle w:val="TableParagraph"/>
              <w:spacing w:after="240"/>
              <w:ind w:right="99"/>
              <w:jc w:val="both"/>
              <w:rPr>
                <w:rFonts w:ascii="Times New Roman" w:hAnsi="Times New Roman"/>
                <w:sz w:val="24"/>
              </w:rPr>
            </w:pPr>
            <w:r>
              <w:rPr>
                <w:rFonts w:ascii="Times New Roman" w:hAnsi="Times New Roman"/>
                <w:sz w:val="24"/>
                <w:szCs w:val="24"/>
              </w:rPr>
              <w:t>Institucije ovdje uključuju iznos zahtijevanih izvora stabilnog financiranja koji proizlaze iz izvedenica, u skladu s člankom 428.d, člankom 428.s stavkom 2., člankom 428.ag točkom (a) i članom 428.ah stavkom 2. CRR-a, koji se izračunava kao apsolutni iznos pozitivne razlike između skupova za netiranje u skladu s člankom 428.ah stavkom 2. CRR-a.</w:t>
            </w:r>
          </w:p>
        </w:tc>
      </w:tr>
      <w:tr w:rsidR="001E06A3" w:rsidRPr="007F4CC8" w14:paraId="5702ED11" w14:textId="77777777" w:rsidTr="00CB5E7D">
        <w:tc>
          <w:tcPr>
            <w:tcW w:w="1355" w:type="dxa"/>
          </w:tcPr>
          <w:p w14:paraId="6BF95CB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30</w:t>
            </w:r>
          </w:p>
        </w:tc>
        <w:tc>
          <w:tcPr>
            <w:tcW w:w="7705" w:type="dxa"/>
          </w:tcPr>
          <w:p w14:paraId="586705DD"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NSFR obveza po izvedenicama prije odbitka danog varijacijskog iznosa nadoknade</w:t>
            </w:r>
          </w:p>
          <w:p w14:paraId="0358D56B"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Članak 428.s stavak 2. CRR-a</w:t>
            </w:r>
          </w:p>
          <w:p w14:paraId="02000D17" w14:textId="2753DB5D" w:rsidR="001E06A3" w:rsidRPr="007F4CC8" w:rsidRDefault="001E06A3" w:rsidP="001E06A3">
            <w:pPr>
              <w:spacing w:after="240"/>
              <w:jc w:val="both"/>
              <w:rPr>
                <w:rFonts w:ascii="Times New Roman" w:hAnsi="Times New Roman"/>
                <w:sz w:val="24"/>
              </w:rPr>
            </w:pPr>
            <w:r>
              <w:rPr>
                <w:rFonts w:ascii="Times New Roman" w:hAnsi="Times New Roman"/>
                <w:sz w:val="24"/>
              </w:rPr>
              <w:t>Institucije ovdje objavljuju iznos zahtijevanih izvora stabilnog financiranja koji se odnosi na obveze po izvedenicama, u skladu s člankom 428.d, člankom 428.s stavkom 2., člankom 428.ag točkom (a) i članom 428.ah stavkom 2. CRR-a, koji je apsolutna fer vrijednost skupova za netiranje koja se izračunava u skladu s člankom 428.s stavkom 2. CRR-a.</w:t>
            </w:r>
          </w:p>
        </w:tc>
      </w:tr>
      <w:tr w:rsidR="001E06A3" w:rsidRPr="007F4CC8" w14:paraId="04BE9D64" w14:textId="77777777" w:rsidTr="00CB5E7D">
        <w:tc>
          <w:tcPr>
            <w:tcW w:w="1355" w:type="dxa"/>
          </w:tcPr>
          <w:p w14:paraId="264D8A7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31</w:t>
            </w:r>
          </w:p>
        </w:tc>
        <w:tc>
          <w:tcPr>
            <w:tcW w:w="7705" w:type="dxa"/>
          </w:tcPr>
          <w:p w14:paraId="07C67158"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Sve druge obveze i instrumenti kapitala koji nisu uključeni u gore navedene kategorije</w:t>
            </w:r>
          </w:p>
          <w:p w14:paraId="62F6FC95" w14:textId="77777777" w:rsidR="001E06A3" w:rsidRPr="007F4CC8" w:rsidRDefault="001E06A3" w:rsidP="001E06A3">
            <w:pPr>
              <w:jc w:val="both"/>
              <w:rPr>
                <w:rFonts w:ascii="Times New Roman" w:hAnsi="Times New Roman"/>
                <w:sz w:val="24"/>
              </w:rPr>
            </w:pPr>
            <w:r>
              <w:rPr>
                <w:rFonts w:ascii="Times New Roman" w:hAnsi="Times New Roman"/>
                <w:sz w:val="24"/>
              </w:rPr>
              <w:t>Institucije ovdje uključuju zbroj sljedećih stavki:</w:t>
            </w:r>
          </w:p>
          <w:p w14:paraId="3844C223" w14:textId="03D068C5" w:rsidR="001E06A3" w:rsidRPr="007F4CC8" w:rsidRDefault="001E06A3" w:rsidP="00E70D84">
            <w:pPr>
              <w:pStyle w:val="ListParagraph"/>
              <w:numPr>
                <w:ilvl w:val="0"/>
                <w:numId w:val="41"/>
              </w:numPr>
              <w:jc w:val="both"/>
              <w:rPr>
                <w:rFonts w:ascii="Times New Roman" w:hAnsi="Times New Roman"/>
                <w:sz w:val="24"/>
              </w:rPr>
            </w:pPr>
            <w:r>
              <w:rPr>
                <w:rFonts w:ascii="Times New Roman" w:hAnsi="Times New Roman"/>
                <w:sz w:val="24"/>
              </w:rPr>
              <w:t>obveza po datumu trgovanja u skladu s člankom 428.r stavkom 1. točkom (e) CRR-a,</w:t>
            </w:r>
          </w:p>
          <w:p w14:paraId="40D882AB" w14:textId="0F85F8F9" w:rsidR="001E06A3" w:rsidRPr="007F4CC8" w:rsidRDefault="001E06A3" w:rsidP="00E70D84">
            <w:pPr>
              <w:pStyle w:val="ListParagraph"/>
              <w:numPr>
                <w:ilvl w:val="0"/>
                <w:numId w:val="41"/>
              </w:numPr>
              <w:jc w:val="both"/>
              <w:rPr>
                <w:rFonts w:ascii="Times New Roman" w:hAnsi="Times New Roman"/>
                <w:sz w:val="24"/>
              </w:rPr>
            </w:pPr>
            <w:r>
              <w:rPr>
                <w:rFonts w:ascii="Times New Roman" w:hAnsi="Times New Roman"/>
                <w:sz w:val="24"/>
              </w:rPr>
              <w:t>neprihodonosne imovine u skladu s člankom 428.ah stavkom 1. točkom (b) CRR-a,</w:t>
            </w:r>
          </w:p>
          <w:p w14:paraId="4D19BEAD" w14:textId="77777777" w:rsidR="001E06A3" w:rsidRPr="007F4CC8" w:rsidRDefault="001E06A3" w:rsidP="00E70D84">
            <w:pPr>
              <w:pStyle w:val="ListParagraph"/>
              <w:numPr>
                <w:ilvl w:val="0"/>
                <w:numId w:val="41"/>
              </w:numPr>
              <w:jc w:val="both"/>
              <w:rPr>
                <w:rFonts w:ascii="Times New Roman" w:hAnsi="Times New Roman"/>
                <w:sz w:val="24"/>
              </w:rPr>
            </w:pPr>
            <w:r>
              <w:rPr>
                <w:rFonts w:ascii="Times New Roman" w:hAnsi="Times New Roman"/>
                <w:sz w:val="24"/>
              </w:rPr>
              <w:t>rezervi u središnjim bankama koje se ne smatraju likvidnom imovinom visoke kvalitete i</w:t>
            </w:r>
          </w:p>
          <w:p w14:paraId="6FB4C38B" w14:textId="77777777" w:rsidR="001E06A3" w:rsidRPr="007F4CC8" w:rsidRDefault="001E06A3" w:rsidP="00E70D84">
            <w:pPr>
              <w:pStyle w:val="ListParagraph"/>
              <w:numPr>
                <w:ilvl w:val="0"/>
                <w:numId w:val="41"/>
              </w:numPr>
              <w:spacing w:after="240"/>
              <w:jc w:val="both"/>
              <w:rPr>
                <w:rFonts w:ascii="Times New Roman" w:hAnsi="Times New Roman"/>
                <w:sz w:val="24"/>
              </w:rPr>
            </w:pPr>
            <w:r>
              <w:rPr>
                <w:rFonts w:ascii="Times New Roman" w:hAnsi="Times New Roman"/>
                <w:sz w:val="24"/>
              </w:rPr>
              <w:t>druge imovine koja nije navedena u prethodnim stavkama.</w:t>
            </w:r>
          </w:p>
        </w:tc>
      </w:tr>
      <w:tr w:rsidR="001E06A3" w:rsidRPr="007F4CC8" w14:paraId="5CF2D15B" w14:textId="77777777" w:rsidTr="00CB5E7D">
        <w:tc>
          <w:tcPr>
            <w:tcW w:w="1355" w:type="dxa"/>
          </w:tcPr>
          <w:p w14:paraId="1FA8BC6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32</w:t>
            </w:r>
          </w:p>
        </w:tc>
        <w:tc>
          <w:tcPr>
            <w:tcW w:w="7705" w:type="dxa"/>
          </w:tcPr>
          <w:p w14:paraId="2750824D"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Izvanbilančne stavke</w:t>
            </w:r>
          </w:p>
          <w:p w14:paraId="56A3975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Institucije ovdje objavljuju iznos izvanbilančnih stavki koje podliježu uvjetima za zahtijevane izvore stabilnog financiranja.</w:t>
            </w:r>
          </w:p>
        </w:tc>
      </w:tr>
      <w:tr w:rsidR="001E06A3" w:rsidRPr="007F4CC8" w14:paraId="761DE446" w14:textId="77777777" w:rsidTr="00CB5E7D">
        <w:tc>
          <w:tcPr>
            <w:tcW w:w="1355" w:type="dxa"/>
          </w:tcPr>
          <w:p w14:paraId="6A56729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33</w:t>
            </w:r>
          </w:p>
        </w:tc>
        <w:tc>
          <w:tcPr>
            <w:tcW w:w="7705" w:type="dxa"/>
          </w:tcPr>
          <w:p w14:paraId="1176DF3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Ukupni zahtijevani stabilni izvori financiranja</w:t>
            </w:r>
          </w:p>
          <w:p w14:paraId="185E7BC8" w14:textId="77777777" w:rsidR="001E06A3" w:rsidRPr="007F4CC8" w:rsidRDefault="001E06A3" w:rsidP="001E06A3">
            <w:pPr>
              <w:pStyle w:val="TableParagraph"/>
              <w:spacing w:after="240"/>
              <w:jc w:val="both"/>
              <w:rPr>
                <w:rFonts w:ascii="Times New Roman" w:eastAsia="Times New Roman" w:hAnsi="Times New Roman"/>
                <w:sz w:val="24"/>
                <w:szCs w:val="24"/>
              </w:rPr>
            </w:pPr>
            <w:r>
              <w:rPr>
                <w:rFonts w:ascii="Times New Roman" w:hAnsi="Times New Roman"/>
                <w:sz w:val="24"/>
                <w:szCs w:val="24"/>
              </w:rPr>
              <w:t>Dio šesti glava IV. poglavlje 4. CRR-a</w:t>
            </w:r>
          </w:p>
          <w:p w14:paraId="7BBF549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Institucije ovdje uključuju</w:t>
            </w:r>
            <w:r>
              <w:t xml:space="preserve"> </w:t>
            </w:r>
            <w:r>
              <w:rPr>
                <w:rFonts w:ascii="Times New Roman" w:hAnsi="Times New Roman"/>
                <w:sz w:val="24"/>
                <w:szCs w:val="24"/>
              </w:rPr>
              <w:t>ukupni iznos stavki izvora stabilnog financiranja u skladu s dijelom šestim glavom IV. poglavljem 4. CRR-a (zbroj iznosa iz redaka 15, EU-15a, 16, 17, 25, 26 i 32 ovog obrasca).</w:t>
            </w:r>
          </w:p>
        </w:tc>
      </w:tr>
      <w:tr w:rsidR="001E06A3" w:rsidRPr="007F4CC8" w14:paraId="5E612895" w14:textId="77777777" w:rsidTr="00CB5E7D">
        <w:trPr>
          <w:trHeight w:val="274"/>
        </w:trPr>
        <w:tc>
          <w:tcPr>
            <w:tcW w:w="1355" w:type="dxa"/>
          </w:tcPr>
          <w:p w14:paraId="73CB382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34</w:t>
            </w:r>
          </w:p>
        </w:tc>
        <w:tc>
          <w:tcPr>
            <w:tcW w:w="7705" w:type="dxa"/>
          </w:tcPr>
          <w:p w14:paraId="56363191"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Omjer neto stabilnih izvora financiranja (%)</w:t>
            </w:r>
          </w:p>
          <w:p w14:paraId="78187C30"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Izloženosti u statusu neispunjavanja obveza u skladu s člankom 428.b stavkom 1. CRR-a.</w:t>
            </w:r>
          </w:p>
        </w:tc>
      </w:tr>
    </w:tbl>
    <w:p w14:paraId="7C272ABF" w14:textId="77777777" w:rsidR="0081579E" w:rsidRPr="007F4CC8" w:rsidRDefault="0081579E" w:rsidP="001E06A3">
      <w:pPr>
        <w:widowControl w:val="0"/>
        <w:tabs>
          <w:tab w:val="left" w:pos="983"/>
        </w:tabs>
        <w:spacing w:before="120" w:after="240" w:line="307" w:lineRule="exact"/>
        <w:jc w:val="both"/>
        <w:rPr>
          <w:rFonts w:ascii="Times New Roman" w:hAnsi="Times New Roman" w:cs="Times New Roman"/>
          <w:sz w:val="24"/>
        </w:rPr>
        <w:sectPr w:rsidR="0081579E" w:rsidRPr="007F4CC8" w:rsidSect="00155C96">
          <w:pgSz w:w="11900" w:h="16840"/>
          <w:pgMar w:top="2268" w:right="1418" w:bottom="1134" w:left="1701" w:header="709" w:footer="709" w:gutter="0"/>
          <w:pgNumType w:start="1" w:chapStyle="1"/>
          <w:cols w:space="708"/>
          <w:docGrid w:linePitch="299"/>
        </w:sectPr>
      </w:pPr>
    </w:p>
    <w:p w14:paraId="01443745" w14:textId="2A88225A" w:rsidR="000A7015" w:rsidRPr="007F4CC8" w:rsidRDefault="000A7015" w:rsidP="00E258D8">
      <w:pPr>
        <w:tabs>
          <w:tab w:val="left" w:pos="1430"/>
        </w:tabs>
        <w:rPr>
          <w:rFonts w:ascii="Times New Roman" w:hAnsi="Times New Roman" w:cs="Times New Roman"/>
          <w:b/>
          <w:sz w:val="24"/>
        </w:rPr>
      </w:pPr>
    </w:p>
    <w:p w14:paraId="2021E2BE" w14:textId="77777777" w:rsidR="004E71F4" w:rsidRPr="007F4CC8" w:rsidRDefault="004E71F4" w:rsidP="004E71F4">
      <w:pPr>
        <w:pStyle w:val="Annexetitre"/>
        <w:spacing w:before="0"/>
      </w:pPr>
      <w:r>
        <w:t xml:space="preserve">PRILOG XVI. – Upute za objavu ciljeva i politika upravljanja rizicima, izloženosti kreditnom riziku, </w:t>
      </w:r>
      <w:proofErr w:type="spellStart"/>
      <w:r>
        <w:t>razrjeđivačkom</w:t>
      </w:r>
      <w:proofErr w:type="spellEnd"/>
      <w:r>
        <w:t xml:space="preserve"> riziku i kreditne kvalitete</w:t>
      </w:r>
    </w:p>
    <w:p w14:paraId="4F04453A" w14:textId="1FC93343" w:rsidR="004E71F4" w:rsidRPr="007F4CC8" w:rsidRDefault="004E71F4" w:rsidP="00051895">
      <w:pPr>
        <w:pStyle w:val="ListParagraph"/>
        <w:numPr>
          <w:ilvl w:val="0"/>
          <w:numId w:val="46"/>
        </w:numPr>
        <w:spacing w:after="120"/>
        <w:jc w:val="both"/>
        <w:rPr>
          <w:rFonts w:ascii="Times New Roman" w:hAnsi="Times New Roman"/>
          <w:bCs/>
          <w:sz w:val="24"/>
        </w:rPr>
      </w:pPr>
      <w:r>
        <w:rPr>
          <w:rFonts w:ascii="Times New Roman" w:hAnsi="Times New Roman"/>
          <w:sz w:val="24"/>
        </w:rPr>
        <w:t>Prilog XV. ovoj Provedbenoj uredbi sadržava niz obrazaca koji se primjenjuju na sve institucije na koje se primjenjuje članak 442. CRR-a. Sadržava i neke dodatne obrasce propisane za velike institucije čiji je omjer bruto knjigovodstvene vrijednosti kredita i predujmova iz članka 47.a stavka 3. Uredbe (EU) br. 575/2013 i ukupne bruto knjigovodstvene vrijednosti kredita i predujmova iz članka 47.a stavka 1. Uredbe (EU) br. 575/2013 jednak ili veći od 5 %. Za potrebe tog omjera i obrazaca iz Priloga XV., krediti i predujmovi klasificirani kao namijenjeni za prodaju, sredstva u središnjim bankama i ostali depoziti po viđenju isključeni su iz nazivnika i brojnika omjerâ, te iz redaka u obrascima za kredite i predujmove. Informacije o sredstvima u središnjim bankama i ostalim depozitima po viđenju objavljuju se zasebno u nekim obrascima.</w:t>
      </w:r>
    </w:p>
    <w:p w14:paraId="71E0905E" w14:textId="3A5E9F1D" w:rsidR="004E71F4" w:rsidRPr="007F4CC8" w:rsidRDefault="004E71F4" w:rsidP="004E71F4">
      <w:pPr>
        <w:pStyle w:val="ListParagraph"/>
        <w:numPr>
          <w:ilvl w:val="0"/>
          <w:numId w:val="46"/>
        </w:numPr>
        <w:spacing w:after="120"/>
        <w:jc w:val="both"/>
        <w:rPr>
          <w:rFonts w:ascii="Times New Roman" w:hAnsi="Times New Roman"/>
          <w:bCs/>
          <w:sz w:val="24"/>
        </w:rPr>
      </w:pPr>
      <w:r>
        <w:rPr>
          <w:rFonts w:ascii="Times New Roman" w:hAnsi="Times New Roman"/>
          <w:sz w:val="24"/>
        </w:rPr>
        <w:t>Dodatni su obrasci propisani kako bi korisnici tih informacija dobili dovoljno detaljne i usporedive informacije za procjenu profila rizika institucija. Stoga bi institucije pri čitanju tih uputa trebale voditi računa o kriterijima proporcionalnosti iz članka 9. ove Provedbene uredbe.</w:t>
      </w:r>
    </w:p>
    <w:p w14:paraId="4F0F5F3B" w14:textId="4FF1B43B" w:rsidR="004E71F4" w:rsidRPr="007F4CC8" w:rsidRDefault="00D95507"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Tablica EU CRA: Opće kvalitativne informacije o kreditnom riziku</w:t>
      </w:r>
    </w:p>
    <w:p w14:paraId="1BC548A8" w14:textId="79B1C4EB" w:rsidR="004E71F4" w:rsidRPr="007F4CC8" w:rsidRDefault="004E71F4" w:rsidP="004E71F4">
      <w:pPr>
        <w:pStyle w:val="ListParagraph"/>
        <w:numPr>
          <w:ilvl w:val="0"/>
          <w:numId w:val="46"/>
        </w:numPr>
        <w:spacing w:after="120"/>
        <w:jc w:val="both"/>
        <w:rPr>
          <w:rFonts w:ascii="Times New Roman" w:hAnsi="Times New Roman"/>
          <w:bCs/>
          <w:sz w:val="24"/>
        </w:rPr>
      </w:pPr>
      <w:r>
        <w:rPr>
          <w:rFonts w:ascii="Times New Roman" w:hAnsi="Times New Roman"/>
          <w:bCs/>
          <w:sz w:val="24"/>
        </w:rPr>
        <w:t>Institucije objavljuju informacije iz članka 435. stavka 1. točaka (a), (b), (d) i (f) Uredbe (EU) 575/2013</w:t>
      </w:r>
      <w:r>
        <w:rPr>
          <w:rStyle w:val="FootnoteReference"/>
          <w:color w:val="000000"/>
        </w:rPr>
        <w:footnoteReference w:id="28"/>
      </w:r>
      <w:r>
        <w:rPr>
          <w:rFonts w:ascii="Times New Roman" w:hAnsi="Times New Roman"/>
          <w:color w:val="000000"/>
          <w:sz w:val="24"/>
        </w:rPr>
        <w:t xml:space="preserve"> („CRR”)</w:t>
      </w:r>
      <w:r>
        <w:rPr>
          <w:rFonts w:ascii="Times New Roman" w:hAnsi="Times New Roman"/>
          <w:sz w:val="24"/>
        </w:rPr>
        <w:t xml:space="preserve"> </w:t>
      </w:r>
      <w:r>
        <w:rPr>
          <w:rFonts w:ascii="Times New Roman" w:hAnsi="Times New Roman"/>
          <w:bCs/>
          <w:sz w:val="24"/>
        </w:rPr>
        <w:t>o svojim ciljevima i politikama upravljanja rizicima ispunjavanjem tablice EU CRA iz Priloga XV. ovoj Provedbenoj uredbi prema uputama iz ovog Priloga.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44CC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810FEC"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Pravna osnova i upute</w:t>
            </w:r>
          </w:p>
        </w:tc>
      </w:tr>
      <w:tr w:rsidR="004E71F4" w:rsidRPr="007F4CC8" w14:paraId="0DD24241" w14:textId="77777777" w:rsidTr="00155C96">
        <w:trPr>
          <w:trHeight w:val="238"/>
        </w:trPr>
        <w:tc>
          <w:tcPr>
            <w:tcW w:w="1384" w:type="dxa"/>
            <w:shd w:val="clear" w:color="auto" w:fill="D9D9D9" w:themeFill="background1" w:themeFillShade="D9"/>
          </w:tcPr>
          <w:p w14:paraId="50A5283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6B03DA1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4E71F4" w:rsidRPr="007F4CC8" w14:paraId="08E28A42" w14:textId="77777777" w:rsidTr="00155C96">
        <w:trPr>
          <w:trHeight w:val="935"/>
        </w:trPr>
        <w:tc>
          <w:tcPr>
            <w:tcW w:w="1384" w:type="dxa"/>
          </w:tcPr>
          <w:p w14:paraId="56447D5F" w14:textId="303A538F" w:rsidR="004E71F4" w:rsidRPr="007F4CC8" w:rsidRDefault="00555DE1" w:rsidP="00555DE1">
            <w:pPr>
              <w:pStyle w:val="Applicationdirecte"/>
              <w:spacing w:before="0"/>
              <w:jc w:val="center"/>
            </w:pPr>
            <w:r>
              <w:t>(a)</w:t>
            </w:r>
          </w:p>
        </w:tc>
        <w:tc>
          <w:tcPr>
            <w:tcW w:w="7655" w:type="dxa"/>
          </w:tcPr>
          <w:p w14:paraId="1C8A8379" w14:textId="77777777" w:rsidR="004E71F4" w:rsidRPr="007F4CC8" w:rsidRDefault="004E71F4" w:rsidP="00155C96">
            <w:pPr>
              <w:pStyle w:val="Applicationdirecte"/>
              <w:spacing w:before="0"/>
            </w:pPr>
            <w:r>
              <w:t>U kratkoj izjavi o rizicima u skladu s člankom 435. stavkom 1. točkom (f) CRR-a opisati kako poslovni model utječe na komponente profila kreditnog rizika institucije.</w:t>
            </w:r>
          </w:p>
        </w:tc>
      </w:tr>
      <w:tr w:rsidR="004E71F4" w:rsidRPr="007F4CC8" w14:paraId="1B71C28C" w14:textId="77777777" w:rsidTr="00155C96">
        <w:trPr>
          <w:trHeight w:val="1403"/>
        </w:trPr>
        <w:tc>
          <w:tcPr>
            <w:tcW w:w="1384" w:type="dxa"/>
          </w:tcPr>
          <w:p w14:paraId="75DEBC85" w14:textId="498C5810" w:rsidR="004E71F4" w:rsidRPr="007F4CC8" w:rsidRDefault="00555DE1" w:rsidP="00555DE1">
            <w:pPr>
              <w:pStyle w:val="Applicationdirecte"/>
              <w:spacing w:before="0"/>
              <w:jc w:val="center"/>
            </w:pPr>
            <w:r>
              <w:t>(b)</w:t>
            </w:r>
          </w:p>
        </w:tc>
        <w:tc>
          <w:tcPr>
            <w:tcW w:w="7655" w:type="dxa"/>
          </w:tcPr>
          <w:p w14:paraId="7CF34382" w14:textId="77777777" w:rsidR="004E71F4" w:rsidRPr="007F4CC8" w:rsidRDefault="004E71F4" w:rsidP="00155C96">
            <w:pPr>
              <w:pStyle w:val="Fait"/>
              <w:spacing w:before="0" w:after="120"/>
            </w:pPr>
            <w:r>
              <w:t>Kriteriji i pristup koji se u raspravi o strategijama i postupcima upravljanja kreditnim rizikom i politici zaštite od tog rizika i njegova smanjenja u skladu s člankom 435. stavkom 1. točkama (a) i (d) CRR-a primjenjuju za definiranje politike upravljanja kreditnim rizikom i određivanje ograničenja kreditnog rizika.</w:t>
            </w:r>
          </w:p>
        </w:tc>
      </w:tr>
      <w:tr w:rsidR="004E71F4" w:rsidRPr="007F4CC8" w14:paraId="178A46CE" w14:textId="77777777" w:rsidTr="00155C96">
        <w:trPr>
          <w:trHeight w:val="755"/>
        </w:trPr>
        <w:tc>
          <w:tcPr>
            <w:tcW w:w="1384" w:type="dxa"/>
          </w:tcPr>
          <w:p w14:paraId="7641331F" w14:textId="40CA5622" w:rsidR="004E71F4" w:rsidRPr="007F4CC8" w:rsidRDefault="00555DE1" w:rsidP="00555DE1">
            <w:pPr>
              <w:pStyle w:val="Applicationdirecte"/>
              <w:spacing w:before="0"/>
              <w:jc w:val="center"/>
            </w:pPr>
            <w:r>
              <w:t>(c)</w:t>
            </w:r>
          </w:p>
        </w:tc>
        <w:tc>
          <w:tcPr>
            <w:tcW w:w="7655" w:type="dxa"/>
          </w:tcPr>
          <w:p w14:paraId="3E532A4B" w14:textId="77777777" w:rsidR="004E71F4" w:rsidRPr="007F4CC8" w:rsidRDefault="004E71F4" w:rsidP="00155C96">
            <w:pPr>
              <w:pStyle w:val="Applicationdirecte"/>
              <w:spacing w:before="0"/>
            </w:pPr>
            <w:r>
              <w:t>U informacijama o strukturi i organizaciji funkcije upravljanja rizikom u skladu s člankom 435. stavkom 1. točkom (b) CRR-a opisati strukturu i organizaciju upravljanja kreditnim rizikom i funkciju kontrole.</w:t>
            </w:r>
          </w:p>
        </w:tc>
      </w:tr>
      <w:tr w:rsidR="004E71F4" w:rsidRPr="007F4CC8" w14:paraId="31DFB78E" w14:textId="77777777" w:rsidTr="00155C96">
        <w:trPr>
          <w:trHeight w:val="755"/>
        </w:trPr>
        <w:tc>
          <w:tcPr>
            <w:tcW w:w="1384" w:type="dxa"/>
          </w:tcPr>
          <w:p w14:paraId="2ECB1239" w14:textId="73A34545" w:rsidR="004E71F4" w:rsidRPr="007F4CC8" w:rsidRDefault="00555DE1" w:rsidP="00555DE1">
            <w:pPr>
              <w:pStyle w:val="Applicationdirecte"/>
              <w:spacing w:before="0"/>
              <w:jc w:val="center"/>
            </w:pPr>
            <w:r>
              <w:t>(d)</w:t>
            </w:r>
          </w:p>
        </w:tc>
        <w:tc>
          <w:tcPr>
            <w:tcW w:w="7655" w:type="dxa"/>
          </w:tcPr>
          <w:p w14:paraId="3F86CFD3" w14:textId="77777777" w:rsidR="004E71F4" w:rsidRPr="007F4CC8" w:rsidRDefault="004E71F4" w:rsidP="00155C96">
            <w:pPr>
              <w:pStyle w:val="Applicationdirecte"/>
              <w:spacing w:before="0"/>
            </w:pPr>
            <w:r>
              <w:t>U informacijama o nadležnosti, statusu i drugim aranžmanima za funkciju upravljanja rizikom u skladu s člankom 435. stavkom 1. točkom (b) CRR-a, opisati odnos između funkcija upravljanja rizikom, kontrole rizika, ispunjenja zahtjeva i unutarnje revizije.</w:t>
            </w:r>
          </w:p>
        </w:tc>
      </w:tr>
    </w:tbl>
    <w:p w14:paraId="6E919D9F" w14:textId="715B2898" w:rsidR="004E71F4" w:rsidRPr="007F4CC8" w:rsidRDefault="00D95507" w:rsidP="004E71F4">
      <w:pPr>
        <w:autoSpaceDE w:val="0"/>
        <w:autoSpaceDN w:val="0"/>
        <w:adjustRightInd w:val="0"/>
        <w:spacing w:before="240" w:after="120"/>
        <w:rPr>
          <w:rFonts w:ascii="Times New Roman" w:hAnsi="Times New Roman" w:cs="Times New Roman"/>
          <w:b/>
          <w:sz w:val="24"/>
        </w:rPr>
      </w:pPr>
      <w:r>
        <w:rPr>
          <w:rFonts w:ascii="Times New Roman" w:hAnsi="Times New Roman"/>
          <w:b/>
          <w:sz w:val="24"/>
        </w:rPr>
        <w:lastRenderedPageBreak/>
        <w:t>Tablica EU CRB: Dodatna objava informacija o kreditnoj kvaliteti imovine</w:t>
      </w:r>
    </w:p>
    <w:p w14:paraId="6358D133" w14:textId="0C640C25" w:rsidR="004E71F4" w:rsidRPr="007F4CC8" w:rsidRDefault="004E71F4" w:rsidP="004E71F4">
      <w:pPr>
        <w:pStyle w:val="ListParagraph"/>
        <w:numPr>
          <w:ilvl w:val="0"/>
          <w:numId w:val="46"/>
        </w:numPr>
        <w:autoSpaceDE w:val="0"/>
        <w:autoSpaceDN w:val="0"/>
        <w:adjustRightInd w:val="0"/>
        <w:spacing w:after="120"/>
        <w:jc w:val="both"/>
        <w:rPr>
          <w:rFonts w:ascii="Times New Roman" w:hAnsi="Times New Roman"/>
          <w:sz w:val="24"/>
        </w:rPr>
      </w:pPr>
      <w:r>
        <w:rPr>
          <w:rFonts w:ascii="Times New Roman" w:hAnsi="Times New Roman"/>
          <w:bCs/>
          <w:sz w:val="24"/>
        </w:rPr>
        <w:t>Institucije objavljuju informacije iz članka 442. točaka (a) i (b) CRR-a prema uputama u nastavku o ispunjavanju tablice EU CRB iz Priloga XV. ovoj Provedbenoj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FDC34B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5E75D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Pravna osnova i upute</w:t>
            </w:r>
          </w:p>
        </w:tc>
      </w:tr>
      <w:tr w:rsidR="004E71F4" w:rsidRPr="007F4CC8" w14:paraId="26556FF9" w14:textId="77777777" w:rsidTr="00155C96">
        <w:trPr>
          <w:trHeight w:val="238"/>
        </w:trPr>
        <w:tc>
          <w:tcPr>
            <w:tcW w:w="1384" w:type="dxa"/>
            <w:shd w:val="clear" w:color="auto" w:fill="D9D9D9" w:themeFill="background1" w:themeFillShade="D9"/>
          </w:tcPr>
          <w:p w14:paraId="3DDF285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351CA0E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6C4B59" w:rsidRPr="007F4CC8" w14:paraId="4A0466B8" w14:textId="77777777" w:rsidTr="00155C96">
        <w:trPr>
          <w:trHeight w:val="710"/>
        </w:trPr>
        <w:tc>
          <w:tcPr>
            <w:tcW w:w="1384" w:type="dxa"/>
          </w:tcPr>
          <w:p w14:paraId="36B563D2" w14:textId="64D5D3DD" w:rsidR="006C4B59" w:rsidRPr="007F4CC8" w:rsidRDefault="006C4B59" w:rsidP="006C4B59">
            <w:pPr>
              <w:pStyle w:val="Applicationdirecte"/>
              <w:spacing w:before="0"/>
              <w:jc w:val="center"/>
            </w:pPr>
            <w:r>
              <w:t>(a)</w:t>
            </w:r>
          </w:p>
        </w:tc>
        <w:tc>
          <w:tcPr>
            <w:tcW w:w="7655" w:type="dxa"/>
          </w:tcPr>
          <w:p w14:paraId="67C34A40" w14:textId="77777777" w:rsidR="006C4B59" w:rsidRPr="007F4CC8" w:rsidRDefault="006C4B59" w:rsidP="006C4B59">
            <w:pPr>
              <w:pStyle w:val="Applicationdirecte"/>
              <w:spacing w:before="0"/>
            </w:pPr>
            <w:r>
              <w:t>Područje primjene i definicije pojmova „dospjele” i „umanjene” izloženosti za računovodstvene potrebe te moguće razlike između definicija dospjelosti i statusa neispunjavanja obveza za računovodstvene i regulatorne potrebe u skladu s člankom 178. CRR-a.</w:t>
            </w:r>
          </w:p>
        </w:tc>
      </w:tr>
      <w:tr w:rsidR="006C4B59" w:rsidRPr="007F4CC8" w14:paraId="193BE82D" w14:textId="77777777" w:rsidTr="00155C96">
        <w:trPr>
          <w:trHeight w:val="800"/>
        </w:trPr>
        <w:tc>
          <w:tcPr>
            <w:tcW w:w="1384" w:type="dxa"/>
          </w:tcPr>
          <w:p w14:paraId="25E58925" w14:textId="458E85A8" w:rsidR="006C4B59" w:rsidRPr="007F4CC8" w:rsidRDefault="006C4B59" w:rsidP="006C4B59">
            <w:pPr>
              <w:pStyle w:val="Applicationdirecte"/>
              <w:spacing w:before="0"/>
              <w:jc w:val="center"/>
            </w:pPr>
            <w:r>
              <w:t>(b)</w:t>
            </w:r>
          </w:p>
        </w:tc>
        <w:tc>
          <w:tcPr>
            <w:tcW w:w="7655" w:type="dxa"/>
          </w:tcPr>
          <w:p w14:paraId="71CB2449" w14:textId="77777777" w:rsidR="006C4B59" w:rsidRPr="007F4CC8" w:rsidRDefault="006C4B59" w:rsidP="006C4B59">
            <w:pPr>
              <w:pStyle w:val="Fait"/>
              <w:spacing w:before="0" w:after="120"/>
            </w:pPr>
            <w:r>
              <w:t>Udio dospjelih izloženosti (više od 90 dana) koje se ne smatraju umanjenima i obrazloženje za to.</w:t>
            </w:r>
          </w:p>
        </w:tc>
      </w:tr>
      <w:tr w:rsidR="006C4B59" w:rsidRPr="007F4CC8" w14:paraId="3C7E51BE" w14:textId="77777777" w:rsidTr="00155C96">
        <w:trPr>
          <w:trHeight w:val="755"/>
        </w:trPr>
        <w:tc>
          <w:tcPr>
            <w:tcW w:w="1384" w:type="dxa"/>
          </w:tcPr>
          <w:p w14:paraId="2A46D04E" w14:textId="2C2AE0FF" w:rsidR="006C4B59" w:rsidRPr="007F4CC8" w:rsidRDefault="006C4B59" w:rsidP="006C4B59">
            <w:pPr>
              <w:pStyle w:val="Applicationdirecte"/>
              <w:spacing w:before="0"/>
              <w:jc w:val="center"/>
            </w:pPr>
            <w:r>
              <w:t>(c)</w:t>
            </w:r>
          </w:p>
        </w:tc>
        <w:tc>
          <w:tcPr>
            <w:tcW w:w="7655" w:type="dxa"/>
          </w:tcPr>
          <w:p w14:paraId="79B1FE86" w14:textId="77777777" w:rsidR="006C4B59" w:rsidRPr="007F4CC8" w:rsidRDefault="006C4B59" w:rsidP="006C4B59">
            <w:pPr>
              <w:pStyle w:val="Applicationdirecte"/>
              <w:spacing w:before="0"/>
            </w:pPr>
            <w:r>
              <w:t>Opis metoda za određivanje općih i specifičnih ispravaka vrijednosti za kreditni rizik.</w:t>
            </w:r>
          </w:p>
        </w:tc>
      </w:tr>
      <w:tr w:rsidR="006C4B59" w:rsidRPr="007F4CC8" w14:paraId="17D3C32C" w14:textId="77777777" w:rsidTr="00155C96">
        <w:trPr>
          <w:trHeight w:val="755"/>
        </w:trPr>
        <w:tc>
          <w:tcPr>
            <w:tcW w:w="1384" w:type="dxa"/>
          </w:tcPr>
          <w:p w14:paraId="5512B1A0" w14:textId="047D9C5C" w:rsidR="006C4B59" w:rsidRPr="007F4CC8" w:rsidRDefault="006C4B59" w:rsidP="006C4B59">
            <w:pPr>
              <w:pStyle w:val="Applicationdirecte"/>
              <w:spacing w:before="0"/>
              <w:jc w:val="center"/>
            </w:pPr>
            <w:r>
              <w:t>(d)</w:t>
            </w:r>
          </w:p>
        </w:tc>
        <w:tc>
          <w:tcPr>
            <w:tcW w:w="7655" w:type="dxa"/>
          </w:tcPr>
          <w:p w14:paraId="49352B87" w14:textId="77777777" w:rsidR="006C4B59" w:rsidRPr="007F4CC8" w:rsidRDefault="006C4B59" w:rsidP="006C4B59">
            <w:pPr>
              <w:pStyle w:val="Applicationdirecte"/>
              <w:spacing w:before="0"/>
            </w:pPr>
            <w:r>
              <w:t>Institucijina definicija restrukturirane izloženosti na temelju koje se provodi članak 178. stavak 3. točka (d) CRR-a u skladu s člankom 178. CRR-a ako se razlikuje od definicije izloženosti s mjerama restrukturiranja iz članka 47.b CRR-a.</w:t>
            </w:r>
          </w:p>
        </w:tc>
      </w:tr>
    </w:tbl>
    <w:p w14:paraId="31F31C64" w14:textId="77777777" w:rsidR="004E71F4" w:rsidRPr="007F4CC8" w:rsidRDefault="004E71F4" w:rsidP="004E71F4">
      <w:pPr>
        <w:autoSpaceDE w:val="0"/>
        <w:autoSpaceDN w:val="0"/>
        <w:adjustRightInd w:val="0"/>
        <w:spacing w:after="120"/>
        <w:jc w:val="both"/>
        <w:rPr>
          <w:rFonts w:ascii="Times New Roman" w:hAnsi="Times New Roman"/>
          <w:b/>
          <w:sz w:val="24"/>
        </w:rPr>
      </w:pPr>
    </w:p>
    <w:p w14:paraId="56950503" w14:textId="6EAD88FE"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Obrazac EU CR1: Prihodonosne i neprihodonosne izloženosti i povezane rezervacije</w:t>
      </w:r>
    </w:p>
    <w:p w14:paraId="2DEE3861" w14:textId="1FEADDAE" w:rsidR="004E71F4" w:rsidRPr="007F4CC8" w:rsidRDefault="004E71F4" w:rsidP="004E71F4">
      <w:pPr>
        <w:pStyle w:val="ListParagraph"/>
        <w:numPr>
          <w:ilvl w:val="0"/>
          <w:numId w:val="46"/>
        </w:numPr>
        <w:autoSpaceDE w:val="0"/>
        <w:autoSpaceDN w:val="0"/>
        <w:adjustRightInd w:val="0"/>
        <w:spacing w:after="120"/>
        <w:contextualSpacing/>
        <w:jc w:val="both"/>
        <w:rPr>
          <w:rFonts w:ascii="Times New Roman" w:hAnsi="Times New Roman"/>
          <w:sz w:val="24"/>
        </w:rPr>
      </w:pPr>
      <w:r>
        <w:rPr>
          <w:rFonts w:ascii="Times New Roman" w:hAnsi="Times New Roman"/>
          <w:bCs/>
          <w:sz w:val="24"/>
        </w:rPr>
        <w:t>Institucije objavljuju informacije iz članka 442. točaka (c) i (e) CRR-a ispunjavanjem obrasca EU CR1 iz Priloga XV. ovoj Provedbenoj uredbi prema uputama u nastavku ovog Priloga.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B8CC62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F5B77C"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Pravna osnova i upute</w:t>
            </w:r>
          </w:p>
        </w:tc>
      </w:tr>
      <w:tr w:rsidR="004E71F4" w:rsidRPr="007F4CC8" w14:paraId="5B8EB450" w14:textId="77777777" w:rsidTr="00155C96">
        <w:trPr>
          <w:trHeight w:val="238"/>
        </w:trPr>
        <w:tc>
          <w:tcPr>
            <w:tcW w:w="1384" w:type="dxa"/>
            <w:shd w:val="clear" w:color="auto" w:fill="D9D9D9" w:themeFill="background1" w:themeFillShade="D9"/>
          </w:tcPr>
          <w:p w14:paraId="229A58D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164E794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4E71F4" w:rsidRPr="007F4CC8" w14:paraId="28F735B5" w14:textId="77777777" w:rsidTr="00155C96">
        <w:trPr>
          <w:trHeight w:val="845"/>
        </w:trPr>
        <w:tc>
          <w:tcPr>
            <w:tcW w:w="1384" w:type="dxa"/>
          </w:tcPr>
          <w:p w14:paraId="0CA84B04" w14:textId="77777777" w:rsidR="004E71F4" w:rsidRPr="007F4CC8" w:rsidRDefault="004E71F4" w:rsidP="00155C96">
            <w:pPr>
              <w:pStyle w:val="Applicationdirecte"/>
              <w:spacing w:before="0"/>
            </w:pPr>
            <w:r>
              <w:t>005</w:t>
            </w:r>
          </w:p>
        </w:tc>
        <w:tc>
          <w:tcPr>
            <w:tcW w:w="7655" w:type="dxa"/>
          </w:tcPr>
          <w:p w14:paraId="2F5285C9" w14:textId="77777777" w:rsidR="004E71F4" w:rsidRPr="007F4CC8" w:rsidRDefault="004E71F4" w:rsidP="00155C96">
            <w:pPr>
              <w:pStyle w:val="Applicationdirecte"/>
              <w:spacing w:before="0"/>
              <w:rPr>
                <w:b/>
              </w:rPr>
            </w:pPr>
            <w:r>
              <w:rPr>
                <w:b/>
              </w:rPr>
              <w:t>Sredstva u središnjim bankama i ostali depoziti po viđenju</w:t>
            </w:r>
          </w:p>
          <w:p w14:paraId="0BE345BE" w14:textId="56945842" w:rsidR="004E71F4" w:rsidRPr="007F4CC8" w:rsidRDefault="004E71F4" w:rsidP="00155C96">
            <w:pPr>
              <w:pStyle w:val="Applicationdirecte"/>
              <w:spacing w:before="0"/>
            </w:pPr>
            <w:r>
              <w:t>Institucije te informacije objavljuju u skladu s informacijama iskazanima u prilozima III. i IV. Provedbenoj uredbi Komisije (EU) 680/2014</w:t>
            </w:r>
            <w:r>
              <w:rPr>
                <w:rStyle w:val="FootnoteReference"/>
              </w:rPr>
              <w:footnoteReference w:id="29"/>
            </w:r>
            <w:r>
              <w:t>.</w:t>
            </w:r>
          </w:p>
        </w:tc>
      </w:tr>
      <w:tr w:rsidR="004E71F4" w:rsidRPr="007F4CC8" w14:paraId="4A9485D2" w14:textId="77777777" w:rsidTr="00155C96">
        <w:trPr>
          <w:trHeight w:val="845"/>
        </w:trPr>
        <w:tc>
          <w:tcPr>
            <w:tcW w:w="1384" w:type="dxa"/>
          </w:tcPr>
          <w:p w14:paraId="2ED436A0" w14:textId="77777777" w:rsidR="004E71F4" w:rsidRPr="007F4CC8" w:rsidRDefault="004E71F4" w:rsidP="00155C96">
            <w:pPr>
              <w:pStyle w:val="Applicationdirecte"/>
              <w:spacing w:before="0"/>
            </w:pPr>
            <w:r>
              <w:t>010</w:t>
            </w:r>
          </w:p>
        </w:tc>
        <w:tc>
          <w:tcPr>
            <w:tcW w:w="7655" w:type="dxa"/>
          </w:tcPr>
          <w:p w14:paraId="1E4051BF" w14:textId="77777777" w:rsidR="004E71F4" w:rsidRPr="007F4CC8" w:rsidRDefault="004E71F4" w:rsidP="00155C96">
            <w:pPr>
              <w:pStyle w:val="Applicationdirecte"/>
              <w:spacing w:before="0"/>
              <w:rPr>
                <w:b/>
              </w:rPr>
            </w:pPr>
            <w:r>
              <w:rPr>
                <w:b/>
              </w:rPr>
              <w:t>Krediti i predujmovi</w:t>
            </w:r>
          </w:p>
          <w:p w14:paraId="248CDA04" w14:textId="67C83D7F" w:rsidR="004E71F4" w:rsidRPr="007F4CC8" w:rsidRDefault="004E71F4" w:rsidP="00155C96">
            <w:pPr>
              <w:pStyle w:val="Applicationdirecte"/>
              <w:spacing w:before="0"/>
            </w:pPr>
            <w:r>
              <w:t>Krediti i predujmovi dužnički su instrumenti koje drži institucija i koji nisu vrijednosni papiri; ta stavka uključuje „kredite” u skladu s Uredbom (EU) 1071/2013 („Uredba ECB-a o BSI-ju”)</w:t>
            </w:r>
            <w:r>
              <w:rPr>
                <w:rStyle w:val="FootnoteReference"/>
              </w:rPr>
              <w:footnoteReference w:id="30"/>
            </w:r>
            <w:r>
              <w:t xml:space="preserve">, kao i predujmove koji se ne mogu klasificirati kao „krediti” u skladu s Uredbom ECB-a o BSI-ju, kako je definirano u točki 32. dijela 1. Priloga V. Provedbenoj uredbi Komisije (EU) </w:t>
            </w:r>
            <w:r>
              <w:lastRenderedPageBreak/>
              <w:t>680/2014, ali isključujući kredite i predujmove klasificirane kao namijenjene za prodaju, sredstva u središnjim bankama i ostale depozite po viđenju</w:t>
            </w:r>
            <w:r>
              <w:rPr>
                <w:sz w:val="22"/>
                <w:szCs w:val="22"/>
              </w:rPr>
              <w:t>.</w:t>
            </w:r>
          </w:p>
        </w:tc>
      </w:tr>
      <w:tr w:rsidR="004E71F4" w:rsidRPr="007F4CC8" w14:paraId="2E905633" w14:textId="77777777" w:rsidTr="00155C96">
        <w:trPr>
          <w:trHeight w:val="3366"/>
        </w:trPr>
        <w:tc>
          <w:tcPr>
            <w:tcW w:w="1384" w:type="dxa"/>
          </w:tcPr>
          <w:p w14:paraId="3EDEB63C" w14:textId="77777777" w:rsidR="004E71F4" w:rsidRPr="007F4CC8" w:rsidRDefault="004E71F4" w:rsidP="00155C96">
            <w:pPr>
              <w:pStyle w:val="Applicationdirecte"/>
              <w:spacing w:before="0"/>
            </w:pPr>
            <w:r>
              <w:lastRenderedPageBreak/>
              <w:t>020 – 060, 080, 100 – 140, 160 –210</w:t>
            </w:r>
          </w:p>
        </w:tc>
        <w:tc>
          <w:tcPr>
            <w:tcW w:w="7655" w:type="dxa"/>
          </w:tcPr>
          <w:p w14:paraId="0101F9B0" w14:textId="77777777" w:rsidR="004E71F4" w:rsidRPr="007F4CC8" w:rsidRDefault="004E71F4" w:rsidP="00155C96">
            <w:pPr>
              <w:pStyle w:val="Applicationdirecte"/>
              <w:spacing w:before="0"/>
              <w:rPr>
                <w:b/>
              </w:rPr>
            </w:pPr>
            <w:r>
              <w:rPr>
                <w:b/>
              </w:rPr>
              <w:t>Raščlamba prema drugoj ugovornoj strani</w:t>
            </w:r>
          </w:p>
          <w:p w14:paraId="43D478E7" w14:textId="306962B2" w:rsidR="004E71F4" w:rsidRPr="007F4CC8" w:rsidRDefault="004E71F4" w:rsidP="00155C96">
            <w:pPr>
              <w:pStyle w:val="Applicationdirecte"/>
              <w:spacing w:before="0"/>
            </w:pPr>
            <w:r>
              <w:t>Institucije primjenjuju raščlambu prema drugoj ugovornoj strani kako je definirano u točki 42. dijela 1. Priloga V. Provedbenoj uredbi Komisije (EU) 680/2014.</w:t>
            </w:r>
          </w:p>
          <w:p w14:paraId="492F16F3" w14:textId="77777777" w:rsidR="004E71F4" w:rsidRPr="007F4CC8" w:rsidRDefault="004E71F4" w:rsidP="00155C96">
            <w:pPr>
              <w:pStyle w:val="Fait"/>
              <w:spacing w:before="0" w:after="120"/>
            </w:pPr>
            <w:r>
              <w:t>Raspodjela ugovornih strana po sektoru temelji se isključivo na naravi neposredne druge ugovorne strane. Klasifikacija zajedničkih izloženosti više dužnika obavlja se na temelju obilježja dužnika koji je bio relevantniji ili odlučujući za odluku institucije o odobravanju izloženosti. Među drugim vrstama klasifikacije, raspodjela zajedničkih izloženosti po sektoru druge ugovorne strane, država rezidentnosti i oznaka NACE temelje se na obilježjima relevantnijeg ili odlučujućeg dužnika.</w:t>
            </w:r>
          </w:p>
        </w:tc>
      </w:tr>
      <w:tr w:rsidR="004E71F4" w:rsidRPr="007F4CC8" w14:paraId="41D8B1F4" w14:textId="77777777" w:rsidTr="00155C96">
        <w:trPr>
          <w:trHeight w:val="316"/>
        </w:trPr>
        <w:tc>
          <w:tcPr>
            <w:tcW w:w="1384" w:type="dxa"/>
          </w:tcPr>
          <w:p w14:paraId="7247A7E8"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4201772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MSP-ovi</w:t>
            </w:r>
          </w:p>
          <w:p w14:paraId="4D43EC9A" w14:textId="3CD2EC1E"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Kako je definirano u točki 5. </w:t>
            </w:r>
            <w:proofErr w:type="spellStart"/>
            <w:r>
              <w:rPr>
                <w:rFonts w:ascii="Times New Roman" w:hAnsi="Times New Roman"/>
                <w:sz w:val="24"/>
              </w:rPr>
              <w:t>podtočki</w:t>
            </w:r>
            <w:proofErr w:type="spellEnd"/>
            <w:r>
              <w:rPr>
                <w:rFonts w:ascii="Times New Roman" w:hAnsi="Times New Roman"/>
                <w:sz w:val="24"/>
              </w:rPr>
              <w:t xml:space="preserve"> i. dijela 1. Priloga V. Provedbenoj uredbi Komisije (EU) 680/2014.</w:t>
            </w:r>
          </w:p>
        </w:tc>
      </w:tr>
      <w:tr w:rsidR="004E71F4" w:rsidRPr="007F4CC8" w14:paraId="56A27E04" w14:textId="77777777" w:rsidTr="00155C96">
        <w:trPr>
          <w:trHeight w:val="530"/>
        </w:trPr>
        <w:tc>
          <w:tcPr>
            <w:tcW w:w="1384" w:type="dxa"/>
          </w:tcPr>
          <w:p w14:paraId="312FA79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0C3D56C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Dužnički vrijednosni papiri</w:t>
            </w:r>
          </w:p>
          <w:p w14:paraId="2836BAA1" w14:textId="07A773F6" w:rsidR="004E71F4" w:rsidRPr="007F4CC8" w:rsidRDefault="004E71F4" w:rsidP="00155C96">
            <w:pPr>
              <w:pStyle w:val="Applicationdirecte"/>
              <w:spacing w:before="0"/>
            </w:pPr>
            <w:r>
              <w:t>Dužnički vrijednosni papiri dužnički su instrumenti koje institucija drži koji su izdani kao vrijednosni papiri koji nisu krediti u skladu s Uredbom ECB-a o BSI-ju, kako je definirano u točki 31. dijela 1. Priloga V. Provedbenoj uredbi Komisije (EU) 680/2014.</w:t>
            </w:r>
          </w:p>
        </w:tc>
      </w:tr>
      <w:tr w:rsidR="004E71F4" w:rsidRPr="007F4CC8" w14:paraId="63FDFBDF" w14:textId="77777777" w:rsidTr="00155C96">
        <w:trPr>
          <w:trHeight w:val="620"/>
        </w:trPr>
        <w:tc>
          <w:tcPr>
            <w:tcW w:w="1384" w:type="dxa"/>
          </w:tcPr>
          <w:p w14:paraId="32C93CE4"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6D31BDB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Izvanbilančne izloženosti</w:t>
            </w:r>
          </w:p>
          <w:p w14:paraId="2847C284" w14:textId="77777777" w:rsidR="004E71F4" w:rsidRPr="007F4CC8" w:rsidRDefault="004E71F4" w:rsidP="00155C96">
            <w:pPr>
              <w:pStyle w:val="Applicationdirecte"/>
              <w:spacing w:before="0"/>
            </w:pPr>
            <w:r>
              <w:t>Izvanbilančne izloženosti uključuju izvanbilančne stavke navedene u Prilogu I. CRR-u.</w:t>
            </w:r>
          </w:p>
        </w:tc>
      </w:tr>
      <w:tr w:rsidR="004E71F4" w:rsidRPr="007F4CC8" w14:paraId="3F2DE830" w14:textId="77777777" w:rsidTr="00155C96">
        <w:trPr>
          <w:trHeight w:val="144"/>
        </w:trPr>
        <w:tc>
          <w:tcPr>
            <w:tcW w:w="1384" w:type="dxa"/>
          </w:tcPr>
          <w:p w14:paraId="21B48383"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252608D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Ukupno</w:t>
            </w:r>
          </w:p>
        </w:tc>
      </w:tr>
    </w:tbl>
    <w:p w14:paraId="5F31493C"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A27ED45" w14:textId="77777777" w:rsidTr="00155C96">
        <w:trPr>
          <w:trHeight w:val="238"/>
        </w:trPr>
        <w:tc>
          <w:tcPr>
            <w:tcW w:w="9039" w:type="dxa"/>
            <w:gridSpan w:val="2"/>
            <w:shd w:val="clear" w:color="auto" w:fill="D9D9D9" w:themeFill="background1" w:themeFillShade="D9"/>
          </w:tcPr>
          <w:p w14:paraId="00D36DC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Pravna osnova i upute</w:t>
            </w:r>
          </w:p>
        </w:tc>
      </w:tr>
      <w:tr w:rsidR="004E71F4" w:rsidRPr="007F4CC8" w14:paraId="74A0F8A2" w14:textId="77777777" w:rsidTr="00155C96">
        <w:trPr>
          <w:trHeight w:val="238"/>
        </w:trPr>
        <w:tc>
          <w:tcPr>
            <w:tcW w:w="1384" w:type="dxa"/>
            <w:shd w:val="clear" w:color="auto" w:fill="D9D9D9" w:themeFill="background1" w:themeFillShade="D9"/>
          </w:tcPr>
          <w:p w14:paraId="78C658D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Broj stupca</w:t>
            </w:r>
          </w:p>
        </w:tc>
        <w:tc>
          <w:tcPr>
            <w:tcW w:w="7655" w:type="dxa"/>
            <w:shd w:val="clear" w:color="auto" w:fill="D9D9D9" w:themeFill="background1" w:themeFillShade="D9"/>
          </w:tcPr>
          <w:p w14:paraId="6C4A2CA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Objašnjenje</w:t>
            </w:r>
          </w:p>
        </w:tc>
      </w:tr>
      <w:tr w:rsidR="004E71F4" w:rsidRPr="007F4CC8" w14:paraId="49D8844E" w14:textId="77777777" w:rsidTr="00155C96">
        <w:trPr>
          <w:trHeight w:val="841"/>
        </w:trPr>
        <w:tc>
          <w:tcPr>
            <w:tcW w:w="1384" w:type="dxa"/>
          </w:tcPr>
          <w:p w14:paraId="5E6F4E91" w14:textId="77777777" w:rsidR="004E71F4" w:rsidRPr="007F4CC8" w:rsidRDefault="004E71F4" w:rsidP="00155C96">
            <w:pPr>
              <w:pStyle w:val="Applicationdirecte"/>
              <w:spacing w:before="0"/>
            </w:pPr>
            <w:r>
              <w:t>a</w:t>
            </w:r>
          </w:p>
        </w:tc>
        <w:tc>
          <w:tcPr>
            <w:tcW w:w="7655" w:type="dxa"/>
          </w:tcPr>
          <w:p w14:paraId="6F260A48" w14:textId="77777777" w:rsidR="004E71F4" w:rsidRPr="007F4CC8" w:rsidRDefault="004E71F4" w:rsidP="00155C96">
            <w:pPr>
              <w:pStyle w:val="Fait"/>
              <w:spacing w:before="0" w:after="120"/>
              <w:rPr>
                <w:rFonts w:eastAsiaTheme="minorEastAsia"/>
                <w:b/>
              </w:rPr>
            </w:pPr>
            <w:r>
              <w:rPr>
                <w:b/>
              </w:rPr>
              <w:t xml:space="preserve">Bruto knjigovodstvena vrijednost / nominalni iznos po </w:t>
            </w:r>
            <w:proofErr w:type="spellStart"/>
            <w:r>
              <w:rPr>
                <w:b/>
              </w:rPr>
              <w:t>prihodonosnim</w:t>
            </w:r>
            <w:proofErr w:type="spellEnd"/>
            <w:r>
              <w:rPr>
                <w:b/>
              </w:rPr>
              <w:t xml:space="preserve"> izloženostima</w:t>
            </w:r>
          </w:p>
          <w:p w14:paraId="216564CB" w14:textId="77777777" w:rsidR="004E71F4" w:rsidRPr="007F4CC8" w:rsidRDefault="004E71F4" w:rsidP="00155C96">
            <w:pPr>
              <w:pStyle w:val="Fait"/>
              <w:spacing w:before="0" w:after="120"/>
            </w:pPr>
            <w:r>
              <w:t xml:space="preserve">Bruto knjigovodstvena vrijednost kako je definirana u točki 34. dijela 1. Priloga V. Provedbenoj uredbi Komisije (EU) 680/2014.; nominalni </w:t>
            </w:r>
            <w:r>
              <w:rPr>
                <w:i/>
              </w:rPr>
              <w:t>iznos kako je definiran u točki 118. dijela 2. Priloga V. Provedbenoj uredbi Komisije (EU) 680/2014</w:t>
            </w:r>
          </w:p>
        </w:tc>
      </w:tr>
      <w:tr w:rsidR="004E71F4" w:rsidRPr="007F4CC8" w14:paraId="742E1384" w14:textId="77777777" w:rsidTr="00155C96">
        <w:trPr>
          <w:trHeight w:val="841"/>
        </w:trPr>
        <w:tc>
          <w:tcPr>
            <w:tcW w:w="1384" w:type="dxa"/>
          </w:tcPr>
          <w:p w14:paraId="125885E5" w14:textId="77777777" w:rsidR="004E71F4" w:rsidRPr="007F4CC8" w:rsidRDefault="004E71F4" w:rsidP="00155C96">
            <w:pPr>
              <w:pStyle w:val="Applicationdirecte"/>
              <w:spacing w:before="0"/>
            </w:pPr>
            <w:r>
              <w:rPr>
                <w:color w:val="000000"/>
              </w:rPr>
              <w:t>b, c, e, f, h, i, k i l</w:t>
            </w:r>
          </w:p>
        </w:tc>
        <w:tc>
          <w:tcPr>
            <w:tcW w:w="7655" w:type="dxa"/>
          </w:tcPr>
          <w:p w14:paraId="691568B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Od čega faza 1 / faza 2 / faza 3</w:t>
            </w:r>
          </w:p>
          <w:p w14:paraId="755E71F1" w14:textId="77777777" w:rsidR="004E71F4" w:rsidRPr="007F4CC8" w:rsidRDefault="004E71F4" w:rsidP="00155C96">
            <w:pPr>
              <w:pStyle w:val="Fait"/>
              <w:spacing w:before="0" w:after="120"/>
            </w:pPr>
            <w:r>
              <w:t>Za institucije koje primjenjuju MSFI-</w:t>
            </w:r>
            <w:proofErr w:type="spellStart"/>
            <w:r>
              <w:t>jeve</w:t>
            </w:r>
            <w:proofErr w:type="spellEnd"/>
            <w:r>
              <w:t>, kategorije umanjenja vrijednosti kako su definirane u MSFI-ju 9 točki 5.5. „Faza 1” odnosi se na umanjenje vrijednosti koje se mjeri u skladu s MSFI-</w:t>
            </w:r>
            <w:proofErr w:type="spellStart"/>
            <w:r>
              <w:t>jem</w:t>
            </w:r>
            <w:proofErr w:type="spellEnd"/>
            <w:r>
              <w:t xml:space="preserve"> 9 točkom 5.5.5. „Faza 2” odnosi se na umanjenje vrijednosti koje se mjeri u skladu s MSFI-</w:t>
            </w:r>
            <w:proofErr w:type="spellStart"/>
            <w:r>
              <w:t>jem</w:t>
            </w:r>
            <w:proofErr w:type="spellEnd"/>
            <w:r>
              <w:t xml:space="preserve"> 9 točkom 5.5.3. </w:t>
            </w:r>
            <w:r>
              <w:lastRenderedPageBreak/>
              <w:t>„Faza 3” odnosi se na umanjenje vrijednosti za imovinu kojoj je vrijednost umanjena za kreditne gubitke kako je definirano u Dodatku A MSFI-ju 9.</w:t>
            </w:r>
          </w:p>
          <w:p w14:paraId="43461F5D" w14:textId="4614E890" w:rsidR="004E71F4" w:rsidRPr="007F4CC8" w:rsidRDefault="004E71F4" w:rsidP="006127E4">
            <w:pPr>
              <w:pStyle w:val="Fait"/>
              <w:spacing w:before="0" w:after="120"/>
              <w:rPr>
                <w:rFonts w:eastAsiaTheme="minorEastAsia"/>
              </w:rPr>
            </w:pPr>
            <w:r>
              <w:t>Institucije koje na temelju Direktive Vijeća (EEZ) 86/635</w:t>
            </w:r>
            <w:r>
              <w:rPr>
                <w:rStyle w:val="FootnoteReference"/>
              </w:rPr>
              <w:footnoteReference w:id="31"/>
            </w:r>
            <w:r>
              <w:t xml:space="preserve"> o godišnjim financijskim izvještajima i konsolidiranim financijskim izvještajima banaka i drugih financijskih institucija primjenjuju nacionalna općeprihvaćena računovodstvena načela ne objavljuju informacije u stupcima „Od čega faza 1”, „Od čega faza 2” i „Od čega faza 3”.</w:t>
            </w:r>
          </w:p>
        </w:tc>
      </w:tr>
      <w:tr w:rsidR="004E71F4" w:rsidRPr="007F4CC8" w14:paraId="235B370E" w14:textId="77777777" w:rsidTr="00155C96">
        <w:trPr>
          <w:trHeight w:val="841"/>
        </w:trPr>
        <w:tc>
          <w:tcPr>
            <w:tcW w:w="1384" w:type="dxa"/>
          </w:tcPr>
          <w:p w14:paraId="26AF9BE7" w14:textId="77777777" w:rsidR="004E71F4" w:rsidRPr="007F4CC8" w:rsidRDefault="004E71F4" w:rsidP="00155C96">
            <w:pPr>
              <w:pStyle w:val="Applicationdirecte"/>
              <w:spacing w:before="0"/>
            </w:pPr>
            <w:r>
              <w:lastRenderedPageBreak/>
              <w:t>d</w:t>
            </w:r>
          </w:p>
        </w:tc>
        <w:tc>
          <w:tcPr>
            <w:tcW w:w="7655" w:type="dxa"/>
          </w:tcPr>
          <w:p w14:paraId="39FCA497" w14:textId="77777777" w:rsidR="004E71F4" w:rsidRPr="007F4CC8" w:rsidRDefault="004E71F4" w:rsidP="00155C96">
            <w:pPr>
              <w:pStyle w:val="Fait"/>
              <w:spacing w:before="0" w:after="120"/>
              <w:rPr>
                <w:rFonts w:eastAsiaTheme="minorEastAsia"/>
                <w:b/>
              </w:rPr>
            </w:pPr>
            <w:r>
              <w:rPr>
                <w:b/>
              </w:rPr>
              <w:t xml:space="preserve">Bruto knjigovodstvena vrijednost / nominalni iznos po </w:t>
            </w:r>
            <w:proofErr w:type="spellStart"/>
            <w:r>
              <w:rPr>
                <w:b/>
              </w:rPr>
              <w:t>prihodonosnim</w:t>
            </w:r>
            <w:proofErr w:type="spellEnd"/>
            <w:r>
              <w:rPr>
                <w:b/>
              </w:rPr>
              <w:t xml:space="preserve"> izloženostima</w:t>
            </w:r>
          </w:p>
          <w:p w14:paraId="2C430D1F" w14:textId="77777777" w:rsidR="004E71F4" w:rsidRPr="007F4CC8" w:rsidRDefault="004E71F4" w:rsidP="00155C96">
            <w:pPr>
              <w:pStyle w:val="Fait"/>
              <w:spacing w:before="0" w:after="120"/>
              <w:rPr>
                <w:b/>
              </w:rPr>
            </w:pPr>
            <w:r>
              <w:t xml:space="preserve">Bruto knjigovodstvena vrijednost kako je definirana u točki 34. dijela 1. Priloga V. Provedbenoj uredbi Komisije (EU) 680/2014.; nominalni </w:t>
            </w:r>
            <w:r>
              <w:rPr>
                <w:i/>
              </w:rPr>
              <w:t>iznos kako je definiran u točki 118. dijela 2. Priloga V. Provedbenoj uredbi Komisije (EU) 680/2014</w:t>
            </w:r>
            <w:r>
              <w:t>; neprihodonosne izloženosti kako su definirane u članku 47.a CRR-a.</w:t>
            </w:r>
          </w:p>
        </w:tc>
      </w:tr>
      <w:tr w:rsidR="004E71F4" w:rsidRPr="007F4CC8" w14:paraId="54D6AAA1" w14:textId="77777777" w:rsidTr="00155C96">
        <w:trPr>
          <w:trHeight w:val="316"/>
        </w:trPr>
        <w:tc>
          <w:tcPr>
            <w:tcW w:w="1384" w:type="dxa"/>
          </w:tcPr>
          <w:p w14:paraId="7D5BD0E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g</w:t>
            </w:r>
          </w:p>
        </w:tc>
        <w:tc>
          <w:tcPr>
            <w:tcW w:w="7655" w:type="dxa"/>
          </w:tcPr>
          <w:p w14:paraId="466B00D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Prihodonosne izloženosti – Akumulirana umanjenja vrijednosti i rezervacije</w:t>
            </w:r>
          </w:p>
          <w:p w14:paraId="120B4159" w14:textId="77777777" w:rsidR="004E71F4" w:rsidRPr="007F4CC8" w:rsidRDefault="004E71F4" w:rsidP="00155C96">
            <w:pPr>
              <w:pStyle w:val="Fait"/>
              <w:spacing w:before="0" w:after="120"/>
            </w:pPr>
            <w:r>
              <w:t>To uključuje iznose koji se određuju u skladu s točkom 11., točkama od 69. do 71., točkama 106. i 110. dijela 2. Priloga V. Provedbenoj uredbi Komisije (EU) 680/2014.</w:t>
            </w:r>
          </w:p>
        </w:tc>
      </w:tr>
      <w:tr w:rsidR="004E71F4" w:rsidRPr="007F4CC8" w14:paraId="66A5BADE" w14:textId="77777777" w:rsidTr="00155C96">
        <w:trPr>
          <w:trHeight w:val="316"/>
        </w:trPr>
        <w:tc>
          <w:tcPr>
            <w:tcW w:w="1384" w:type="dxa"/>
          </w:tcPr>
          <w:p w14:paraId="4A5CBE4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j</w:t>
            </w:r>
          </w:p>
        </w:tc>
        <w:tc>
          <w:tcPr>
            <w:tcW w:w="7655" w:type="dxa"/>
          </w:tcPr>
          <w:p w14:paraId="62FC70D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Neprihodonosne izloženosti – Akumulirana umanjenja vrijednosti, akumulirane negativne promjene fer vrijednosti zbog kreditnog rizika i rezervacija</w:t>
            </w:r>
          </w:p>
          <w:p w14:paraId="09812FFD" w14:textId="77777777" w:rsidR="004E71F4" w:rsidRPr="007F4CC8" w:rsidRDefault="004E71F4" w:rsidP="00155C96">
            <w:pPr>
              <w:pStyle w:val="Fait"/>
              <w:spacing w:before="0" w:after="120"/>
            </w:pPr>
            <w:r>
              <w:t>Neprihodonosne izloženosti kako su definirane u članku 47.a CRR-a</w:t>
            </w:r>
          </w:p>
          <w:p w14:paraId="3C1AAE83" w14:textId="77777777" w:rsidR="004E71F4" w:rsidRPr="007F4CC8" w:rsidRDefault="004E71F4" w:rsidP="00155C96">
            <w:pPr>
              <w:pStyle w:val="Fait"/>
              <w:spacing w:before="0" w:after="120"/>
              <w:rPr>
                <w:b/>
              </w:rPr>
            </w:pPr>
            <w:r>
              <w:t>To uključuje iznose koji se određuju u skladu s točkom 11., točkama od 69. do 71., točkama 106. i 110. dijela 2. Priloga V. Provedbenoj uredbi Komisije (EU) 680/2014.</w:t>
            </w:r>
          </w:p>
        </w:tc>
      </w:tr>
      <w:tr w:rsidR="004E71F4" w:rsidRPr="007F4CC8" w14:paraId="2A6D57F2" w14:textId="77777777" w:rsidTr="00155C96">
        <w:trPr>
          <w:trHeight w:val="316"/>
        </w:trPr>
        <w:tc>
          <w:tcPr>
            <w:tcW w:w="1384" w:type="dxa"/>
          </w:tcPr>
          <w:p w14:paraId="7EFECA56"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m</w:t>
            </w:r>
          </w:p>
        </w:tc>
        <w:tc>
          <w:tcPr>
            <w:tcW w:w="7655" w:type="dxa"/>
          </w:tcPr>
          <w:p w14:paraId="0FA5307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Akumulirani djelomični otpisi</w:t>
            </w:r>
          </w:p>
          <w:p w14:paraId="4F411C5F" w14:textId="77777777" w:rsidR="004E71F4" w:rsidRPr="007F4CC8" w:rsidRDefault="004E71F4"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To uključuje objavu akumuliranog djelomičnog iznosa na referentni datum glavnice i obračunatih dospjelih kamata i naknada za svaki dužnički instrument koji se do tog trenutka prestao priznavati primjenom jedne od metoda opisanih u točki 74. dijela 2. Priloga V. Provedbenoj uredbi Komisije (EU) 680/2014 jer institucija nema razumnih očekivanja u pogledu povrata ugovorenih novčanih tokova. Ti se iznosi iskazuju do potpunog prestanka svih prava institucije koja izvješćuje zbog isteka roka zastare, otpusta ili drugih uzroka ili do povrata. Stoga se otpisani iznosi koji se ne naplate iskazuju dok su predmet prisilne naplate.</w:t>
            </w:r>
          </w:p>
          <w:p w14:paraId="0FEA4BDF"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 xml:space="preserve">Otpis je događaj koji dovodi do prestanka priznavanja i odnosi se na financijsku imovinu u cijelosti ili (u slučaju djelomičnog otpisa) na njezin dio, među ostalim ako promjena imovine dovede do toga da se institucija </w:t>
            </w:r>
            <w:r>
              <w:rPr>
                <w:rFonts w:ascii="Times New Roman" w:hAnsi="Times New Roman"/>
                <w:sz w:val="24"/>
              </w:rPr>
              <w:lastRenderedPageBreak/>
              <w:t>odrekne svojeg prava da prikuplja novčane tokove od te imovine u cijelosti ili njezina dijela.</w:t>
            </w:r>
          </w:p>
        </w:tc>
      </w:tr>
      <w:tr w:rsidR="004E71F4" w:rsidRPr="007F4CC8" w14:paraId="7FDCAB70" w14:textId="77777777" w:rsidTr="00155C96">
        <w:trPr>
          <w:trHeight w:val="695"/>
        </w:trPr>
        <w:tc>
          <w:tcPr>
            <w:tcW w:w="1384" w:type="dxa"/>
          </w:tcPr>
          <w:p w14:paraId="3FD39FA7"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n</w:t>
            </w:r>
          </w:p>
        </w:tc>
        <w:tc>
          <w:tcPr>
            <w:tcW w:w="7655" w:type="dxa"/>
          </w:tcPr>
          <w:p w14:paraId="34A0A11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Primljeni kolaterali i primljena financijska jamstva na </w:t>
            </w:r>
            <w:proofErr w:type="spellStart"/>
            <w:r>
              <w:rPr>
                <w:rFonts w:ascii="Times New Roman" w:hAnsi="Times New Roman"/>
                <w:b/>
                <w:sz w:val="24"/>
              </w:rPr>
              <w:t>prihodonosnim</w:t>
            </w:r>
            <w:proofErr w:type="spellEnd"/>
            <w:r>
              <w:rPr>
                <w:rFonts w:ascii="Times New Roman" w:hAnsi="Times New Roman"/>
                <w:b/>
                <w:sz w:val="24"/>
              </w:rPr>
              <w:t xml:space="preserve"> izloženostima</w:t>
            </w:r>
          </w:p>
          <w:p w14:paraId="1151880A" w14:textId="77777777" w:rsidR="004E71F4" w:rsidRPr="007F4CC8" w:rsidRDefault="004E71F4" w:rsidP="00155C96">
            <w:pPr>
              <w:pStyle w:val="Fait"/>
              <w:spacing w:before="0" w:after="120"/>
            </w:pPr>
            <w:r>
              <w:t>Iznosi za primljene kolaterale i jamstva izračunavaju se u skladu s točkom 239. dijela 2. Priloga V. Provedbenoj uredbi Komisije (EU) 680/2014. Zbroj iznosa za kolaterale i jamstva ograničava se na knjigovodstvenu vrijednost povezane izloženosti.</w:t>
            </w:r>
          </w:p>
        </w:tc>
      </w:tr>
      <w:tr w:rsidR="004E71F4" w:rsidRPr="007F4CC8" w14:paraId="6E9D1787" w14:textId="77777777" w:rsidTr="00155C96">
        <w:trPr>
          <w:trHeight w:val="695"/>
        </w:trPr>
        <w:tc>
          <w:tcPr>
            <w:tcW w:w="1384" w:type="dxa"/>
          </w:tcPr>
          <w:p w14:paraId="4FA9F6A6"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o</w:t>
            </w:r>
          </w:p>
        </w:tc>
        <w:tc>
          <w:tcPr>
            <w:tcW w:w="7655" w:type="dxa"/>
          </w:tcPr>
          <w:p w14:paraId="46682E0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Primljeni kolaterali i primljena financijska jamstva na neprihodonosnim izloženostima </w:t>
            </w:r>
          </w:p>
          <w:p w14:paraId="25BA6F5A" w14:textId="77777777" w:rsidR="004E71F4" w:rsidRPr="007F4CC8" w:rsidRDefault="004E71F4" w:rsidP="00155C96">
            <w:pPr>
              <w:pStyle w:val="Fait"/>
              <w:spacing w:before="0" w:after="120"/>
            </w:pPr>
            <w:r>
              <w:t>Neprihodonosne izloženosti kako su definirane u članku 47.a CRR-a</w:t>
            </w:r>
          </w:p>
          <w:p w14:paraId="7C4E9AFF" w14:textId="77777777" w:rsidR="004E71F4" w:rsidRPr="007F4CC8" w:rsidRDefault="004E71F4" w:rsidP="00155C96">
            <w:pPr>
              <w:pStyle w:val="Fait"/>
              <w:spacing w:before="0" w:after="120"/>
              <w:rPr>
                <w:b/>
              </w:rPr>
            </w:pPr>
            <w:r>
              <w:t>Iznosi za primljene kolaterale i jamstva izračunavaju se u skladu s točkom 239. dijela 2. Priloga V. Provedbenoj uredbi Komisije (EU) 680/2014. Zbroj iznosa za kolaterale i jamstva ograničava se na knjigovodstvenu vrijednost povezane izloženosti.</w:t>
            </w:r>
          </w:p>
        </w:tc>
      </w:tr>
    </w:tbl>
    <w:p w14:paraId="1B9C8FA7" w14:textId="77777777" w:rsidR="004E71F4" w:rsidRPr="007F4CC8" w:rsidRDefault="004E71F4" w:rsidP="004E71F4">
      <w:pPr>
        <w:spacing w:after="120"/>
        <w:jc w:val="both"/>
        <w:rPr>
          <w:rFonts w:ascii="Times New Roman" w:hAnsi="Times New Roman" w:cs="Times New Roman"/>
          <w:bCs/>
          <w:sz w:val="24"/>
        </w:rPr>
      </w:pPr>
    </w:p>
    <w:p w14:paraId="603FCC03" w14:textId="27D08FEB"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Obrazac EU CR1-A: Dospijeće izloženosti</w:t>
      </w:r>
    </w:p>
    <w:p w14:paraId="0A8280D6" w14:textId="743B5026" w:rsidR="004E71F4" w:rsidRPr="007F4CC8" w:rsidRDefault="004E71F4" w:rsidP="004E71F4">
      <w:pPr>
        <w:pStyle w:val="ListParagraph"/>
        <w:numPr>
          <w:ilvl w:val="0"/>
          <w:numId w:val="46"/>
        </w:numPr>
        <w:autoSpaceDE w:val="0"/>
        <w:autoSpaceDN w:val="0"/>
        <w:adjustRightInd w:val="0"/>
        <w:spacing w:after="120"/>
        <w:jc w:val="both"/>
        <w:rPr>
          <w:rFonts w:ascii="Times New Roman" w:hAnsi="Times New Roman"/>
          <w:b/>
          <w:sz w:val="24"/>
        </w:rPr>
      </w:pPr>
      <w:r>
        <w:rPr>
          <w:rFonts w:ascii="Times New Roman" w:hAnsi="Times New Roman"/>
          <w:bCs/>
          <w:sz w:val="24"/>
        </w:rPr>
        <w:t>Institucije objavljuju informacije iz članka 442. točke (g) CRR-a ispunjavanjem obrasca EU CR1-A iz Priloga XV. ovoj Provedbenoj uredbi prema uputama u nastavku ovog Priloga.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70098DD"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953AE1"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Pravna osnova i upute</w:t>
            </w:r>
          </w:p>
        </w:tc>
      </w:tr>
      <w:tr w:rsidR="004E71F4" w:rsidRPr="007F4CC8" w14:paraId="5457407F" w14:textId="77777777" w:rsidTr="00155C96">
        <w:trPr>
          <w:trHeight w:val="238"/>
        </w:trPr>
        <w:tc>
          <w:tcPr>
            <w:tcW w:w="1384" w:type="dxa"/>
            <w:shd w:val="clear" w:color="auto" w:fill="D9D9D9" w:themeFill="background1" w:themeFillShade="D9"/>
          </w:tcPr>
          <w:p w14:paraId="2CF528E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543019B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4E71F4" w:rsidRPr="007F4CC8" w14:paraId="1FB6AC8C" w14:textId="77777777" w:rsidTr="00155C96">
        <w:trPr>
          <w:trHeight w:val="316"/>
        </w:trPr>
        <w:tc>
          <w:tcPr>
            <w:tcW w:w="1384" w:type="dxa"/>
          </w:tcPr>
          <w:p w14:paraId="325218C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010</w:t>
            </w:r>
          </w:p>
        </w:tc>
        <w:tc>
          <w:tcPr>
            <w:tcW w:w="7655" w:type="dxa"/>
          </w:tcPr>
          <w:p w14:paraId="128CB56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Krediti i predujmovi</w:t>
            </w:r>
          </w:p>
          <w:p w14:paraId="3B17EB9D" w14:textId="77777777" w:rsidR="004E71F4" w:rsidRPr="007F4CC8" w:rsidRDefault="004E71F4" w:rsidP="00155C96">
            <w:pPr>
              <w:pStyle w:val="Fait"/>
              <w:spacing w:before="0" w:after="120"/>
              <w:rPr>
                <w:b/>
              </w:rPr>
            </w:pPr>
            <w:r>
              <w:t>Krediti i predujmovi dužnički su instrumenti koje drži institucija i koji nisu vrijednosni papiri; ta stavka uključuje „kredite” u skladu s Uredbom ECB-a o BSI-ju, kao i predujmove koji se ne mogu klasificirati kao „krediti” u skladu s Uredbom ECB-a o BSI-ju, kako je definirano u točki 32. dijela 1. Priloga V. Provedbenoj uredbi Komisije (EU) 680/2014, ali isključujući kredite i predujmove klasificirane kao namijenjene za prodaju, sredstva u središnjim bankama i ostale depozite po viđenju.</w:t>
            </w:r>
          </w:p>
        </w:tc>
      </w:tr>
      <w:tr w:rsidR="004E71F4" w:rsidRPr="007F4CC8" w14:paraId="49A1075F" w14:textId="77777777" w:rsidTr="00155C96">
        <w:trPr>
          <w:trHeight w:val="316"/>
        </w:trPr>
        <w:tc>
          <w:tcPr>
            <w:tcW w:w="1384" w:type="dxa"/>
          </w:tcPr>
          <w:p w14:paraId="3E06276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0D22DBF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Dužnički vrijednosni papiri</w:t>
            </w:r>
          </w:p>
          <w:p w14:paraId="0D5D26AA" w14:textId="77777777" w:rsidR="004E71F4" w:rsidRPr="007F4CC8" w:rsidRDefault="004E71F4" w:rsidP="00155C96">
            <w:pPr>
              <w:pStyle w:val="Fait"/>
              <w:spacing w:before="0" w:after="120"/>
              <w:rPr>
                <w:b/>
              </w:rPr>
            </w:pPr>
            <w:r>
              <w:t>Dužnički vrijednosni papiri dužnički su instrumenti koje institucija drži koji su izdani kao vrijednosni papiri koji nisu krediti u skladu s Uredbom ECB-a o BSI-ju, kako je definirano u točki 31. dijela 1. Priloga V. Provedbenoj uredbi Komisije (EU) 680/2014.</w:t>
            </w:r>
          </w:p>
        </w:tc>
      </w:tr>
      <w:tr w:rsidR="004E71F4" w:rsidRPr="007F4CC8" w14:paraId="0357C4A0" w14:textId="77777777" w:rsidTr="00155C96">
        <w:trPr>
          <w:trHeight w:val="316"/>
        </w:trPr>
        <w:tc>
          <w:tcPr>
            <w:tcW w:w="1384" w:type="dxa"/>
          </w:tcPr>
          <w:p w14:paraId="41A4A98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65081D4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Ukupno </w:t>
            </w:r>
          </w:p>
        </w:tc>
      </w:tr>
    </w:tbl>
    <w:p w14:paraId="591ED875"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61F9EA20" w14:textId="77777777" w:rsidTr="00155C96">
        <w:trPr>
          <w:trHeight w:val="238"/>
        </w:trPr>
        <w:tc>
          <w:tcPr>
            <w:tcW w:w="9039" w:type="dxa"/>
            <w:gridSpan w:val="2"/>
            <w:shd w:val="clear" w:color="auto" w:fill="D9D9D9" w:themeFill="background1" w:themeFillShade="D9"/>
          </w:tcPr>
          <w:p w14:paraId="0F62F26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Pravna osnova i upute</w:t>
            </w:r>
          </w:p>
        </w:tc>
      </w:tr>
      <w:tr w:rsidR="004E71F4" w:rsidRPr="007F4CC8" w14:paraId="7C9005FC" w14:textId="77777777" w:rsidTr="00155C96">
        <w:trPr>
          <w:trHeight w:val="238"/>
        </w:trPr>
        <w:tc>
          <w:tcPr>
            <w:tcW w:w="1384" w:type="dxa"/>
            <w:shd w:val="clear" w:color="auto" w:fill="D9D9D9" w:themeFill="background1" w:themeFillShade="D9"/>
          </w:tcPr>
          <w:p w14:paraId="4B97BAD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Broj stupca</w:t>
            </w:r>
          </w:p>
        </w:tc>
        <w:tc>
          <w:tcPr>
            <w:tcW w:w="7655" w:type="dxa"/>
            <w:shd w:val="clear" w:color="auto" w:fill="D9D9D9" w:themeFill="background1" w:themeFillShade="D9"/>
          </w:tcPr>
          <w:p w14:paraId="16E8D06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Objašnjenje</w:t>
            </w:r>
          </w:p>
        </w:tc>
      </w:tr>
      <w:tr w:rsidR="004E71F4" w:rsidRPr="007F4CC8" w14:paraId="447C7898" w14:textId="77777777" w:rsidTr="00155C96">
        <w:trPr>
          <w:trHeight w:val="841"/>
        </w:trPr>
        <w:tc>
          <w:tcPr>
            <w:tcW w:w="1384" w:type="dxa"/>
          </w:tcPr>
          <w:p w14:paraId="3C429D71" w14:textId="77777777" w:rsidR="004E71F4" w:rsidRPr="007F4CC8" w:rsidRDefault="004E71F4" w:rsidP="00155C96">
            <w:pPr>
              <w:pStyle w:val="Applicationdirecte"/>
              <w:spacing w:before="0"/>
            </w:pPr>
            <w:r>
              <w:t>a do e</w:t>
            </w:r>
          </w:p>
        </w:tc>
        <w:tc>
          <w:tcPr>
            <w:tcW w:w="7655" w:type="dxa"/>
          </w:tcPr>
          <w:p w14:paraId="629ECC7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Neto vrijednosti izloženosti </w:t>
            </w:r>
          </w:p>
          <w:p w14:paraId="0117F2D1" w14:textId="77777777" w:rsidR="004E71F4" w:rsidRPr="007F4CC8" w:rsidRDefault="004E71F4" w:rsidP="00155C96">
            <w:pPr>
              <w:pStyle w:val="Fait"/>
              <w:spacing w:before="0" w:after="120"/>
            </w:pPr>
            <w:r>
              <w:t>Neto vrijednosti objavljuju se po preostalim ugovorenim rokovima do dospijeća.</w:t>
            </w:r>
          </w:p>
          <w:p w14:paraId="0ECAE4C4" w14:textId="77777777" w:rsidR="004E71F4" w:rsidRPr="007F4CC8" w:rsidRDefault="004E71F4" w:rsidP="00155C96">
            <w:pPr>
              <w:pStyle w:val="Fait"/>
              <w:spacing w:before="0" w:after="120"/>
            </w:pPr>
            <w:r>
              <w:t xml:space="preserve">Neto vrijednost izloženosti: za bilančne stavke, neto vrijednost je bruto knjigovodstvena vrijednost izloženosti umanjena za ispravke/umanjenja vrijednosti. Za izvanbilančne stavke, neto vrijednost je bruto knjigovodstvena vrijednost izloženosti umanjena za rezervacije. </w:t>
            </w:r>
          </w:p>
          <w:p w14:paraId="18B6E675" w14:textId="77777777" w:rsidR="004E71F4" w:rsidRPr="007F4CC8" w:rsidRDefault="004E71F4" w:rsidP="00155C96">
            <w:pPr>
              <w:pStyle w:val="Fait"/>
              <w:spacing w:before="0" w:after="120"/>
            </w:pPr>
            <w:r>
              <w:t xml:space="preserve">Izloženost: U skladu s člankom 5. CRR-a, izloženost se odnosi na stavku imovine ili </w:t>
            </w:r>
            <w:proofErr w:type="spellStart"/>
            <w:r>
              <w:t>izvanbilančnu</w:t>
            </w:r>
            <w:proofErr w:type="spellEnd"/>
            <w:r>
              <w:t xml:space="preserve"> stavku zbog koje nastaje izloženost kreditnom riziku u skladu s CRR-om.</w:t>
            </w:r>
          </w:p>
          <w:p w14:paraId="3BB3DEC6" w14:textId="77777777" w:rsidR="004E71F4" w:rsidRPr="007F4CC8" w:rsidRDefault="004E71F4" w:rsidP="00155C96">
            <w:pPr>
              <w:pStyle w:val="Fait"/>
              <w:spacing w:before="0" w:after="120"/>
            </w:pPr>
            <w:r>
              <w:t>Bruto knjigovodstvena vrijednost: računovodstvena vrijednost prije ispravka/umanjenja vrijednosti, ali nakon otpisa. Institucije pri primjeni dijela trećeg glave II. poglavlja 4. CRR-a ne uzimaju u obzir tehnike smanjenja kreditnog rizika. Izvanbilančne stavke objavljuju se u nominalnom iznosu koji se ne umanjuje za konverzijske faktore primjenjive u skladu s člancima 111. i 166. CRR-a ili tehnike smanjenja kreditnog rizika niti za rezervacije, osobito (a) dana jamstva (maksimalni iznos koji bi institucija morala platiti u slučaju aktivacije jamstva) i (b) obveze po kreditima i druge obveze (ukupni iznos koji se institucija obvezala pozajmiti).</w:t>
            </w:r>
          </w:p>
          <w:p w14:paraId="7E761FF7" w14:textId="77777777" w:rsidR="004E71F4" w:rsidRPr="007F4CC8" w:rsidRDefault="004E71F4" w:rsidP="00155C96">
            <w:pPr>
              <w:pStyle w:val="Fait"/>
              <w:spacing w:before="0" w:after="120"/>
            </w:pPr>
            <w:r>
              <w:t>U toj objavi:</w:t>
            </w:r>
          </w:p>
          <w:p w14:paraId="14B53A93" w14:textId="77777777" w:rsidR="004E71F4" w:rsidRPr="007F4CC8" w:rsidRDefault="004E71F4" w:rsidP="00155C96">
            <w:pPr>
              <w:pStyle w:val="Fait"/>
              <w:spacing w:before="0" w:after="120"/>
            </w:pPr>
            <w:r>
              <w:t xml:space="preserve"> – Ako druga ugovorna strana može odabrati rok otplate iznosa, taj se iznos iskazuje u stupcu „po viđenju”. Stupac uključuje salda potraživanja po viđenju (na zahtjev), s kratkim otkaznim rokom, tekuće račune i slična salda (koja mogu uključivati kredite koji su za dužnika </w:t>
            </w:r>
            <w:proofErr w:type="spellStart"/>
            <w:r>
              <w:t>prekonoćni</w:t>
            </w:r>
            <w:proofErr w:type="spellEnd"/>
            <w:r>
              <w:t xml:space="preserve"> depoziti, neovisno o njihovu pravnom obliku). Uključuje i „prekoračenja” koja su salda na teret tekućeg računa.</w:t>
            </w:r>
          </w:p>
          <w:p w14:paraId="0794C5FD" w14:textId="77777777" w:rsidR="004E71F4" w:rsidRPr="007F4CC8" w:rsidRDefault="004E71F4" w:rsidP="00155C96">
            <w:pPr>
              <w:pStyle w:val="Fait"/>
              <w:spacing w:before="0" w:after="120"/>
            </w:pPr>
            <w:r>
              <w:t xml:space="preserve"> – Ako izloženost nema utvrđen rok dospijeća zbog razloga koji nisu povezani s time da druga ugovorna strana može odabrati rok otplate iznosa, iznos te izloženosti objavljuje se u stupcu „bez roka dospijeća”.</w:t>
            </w:r>
          </w:p>
          <w:p w14:paraId="717C314E" w14:textId="77777777" w:rsidR="004E71F4" w:rsidRPr="007F4CC8" w:rsidRDefault="004E71F4" w:rsidP="00155C96">
            <w:pPr>
              <w:pStyle w:val="Fait"/>
              <w:spacing w:before="0" w:after="120"/>
              <w:rPr>
                <w:rFonts w:eastAsiaTheme="minorEastAsia"/>
                <w:i/>
              </w:rPr>
            </w:pPr>
            <w:r>
              <w:t xml:space="preserve"> – Ako se iznos otplaćuje u obrocima, izloženost se raspoređuje u razred dospijeća koji odgovara zadnjem obroku.</w:t>
            </w:r>
          </w:p>
        </w:tc>
      </w:tr>
      <w:tr w:rsidR="004E71F4" w:rsidRPr="007F4CC8" w14:paraId="74073BCD" w14:textId="77777777" w:rsidTr="00155C96">
        <w:trPr>
          <w:trHeight w:val="274"/>
        </w:trPr>
        <w:tc>
          <w:tcPr>
            <w:tcW w:w="1384" w:type="dxa"/>
          </w:tcPr>
          <w:p w14:paraId="762B3169" w14:textId="77777777" w:rsidR="004E71F4" w:rsidRPr="007F4CC8" w:rsidRDefault="004E71F4" w:rsidP="00155C96">
            <w:pPr>
              <w:pStyle w:val="Applicationdirecte"/>
              <w:spacing w:before="0"/>
            </w:pPr>
            <w:r>
              <w:t>f</w:t>
            </w:r>
          </w:p>
        </w:tc>
        <w:tc>
          <w:tcPr>
            <w:tcW w:w="7655" w:type="dxa"/>
          </w:tcPr>
          <w:p w14:paraId="7213934F" w14:textId="77777777" w:rsidR="004E71F4" w:rsidRPr="007F4CC8" w:rsidRDefault="004E71F4" w:rsidP="00155C96">
            <w:pPr>
              <w:autoSpaceDE w:val="0"/>
              <w:autoSpaceDN w:val="0"/>
              <w:adjustRightInd w:val="0"/>
              <w:spacing w:after="120"/>
            </w:pPr>
            <w:r>
              <w:rPr>
                <w:rFonts w:ascii="Times New Roman" w:hAnsi="Times New Roman"/>
                <w:b/>
                <w:sz w:val="24"/>
              </w:rPr>
              <w:t>Ukupno</w:t>
            </w:r>
          </w:p>
        </w:tc>
      </w:tr>
    </w:tbl>
    <w:p w14:paraId="548E1C49" w14:textId="77777777" w:rsidR="004E71F4" w:rsidRPr="007F4CC8" w:rsidRDefault="004E71F4" w:rsidP="004E71F4">
      <w:pPr>
        <w:spacing w:after="120"/>
        <w:jc w:val="both"/>
        <w:rPr>
          <w:rFonts w:ascii="Times New Roman" w:hAnsi="Times New Roman" w:cs="Times New Roman"/>
          <w:bCs/>
          <w:sz w:val="24"/>
        </w:rPr>
      </w:pPr>
    </w:p>
    <w:p w14:paraId="6ADFFD40" w14:textId="5505A68D"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Obrazac EU CR2: Promjene stanja neprihodonosnih kredita i predujmova</w:t>
      </w:r>
    </w:p>
    <w:p w14:paraId="2E036D32" w14:textId="6B9E3FD1" w:rsidR="004E71F4" w:rsidRPr="007F4CC8" w:rsidRDefault="004E71F4" w:rsidP="004E71F4">
      <w:pPr>
        <w:pStyle w:val="ListParagraph"/>
        <w:numPr>
          <w:ilvl w:val="0"/>
          <w:numId w:val="48"/>
        </w:numPr>
        <w:spacing w:after="120"/>
        <w:jc w:val="both"/>
        <w:rPr>
          <w:rFonts w:ascii="Times New Roman" w:hAnsi="Times New Roman"/>
          <w:sz w:val="24"/>
        </w:rPr>
      </w:pPr>
      <w:r>
        <w:rPr>
          <w:rFonts w:ascii="Times New Roman" w:hAnsi="Times New Roman"/>
          <w:bCs/>
          <w:sz w:val="24"/>
        </w:rPr>
        <w:t>Institucije objavljuju informacije iz članka 442. točke (f) CRR-a ispunjavanjem obrasca EU CR2 iz Priloga XV. ovoj Provedbenoj uredbi prema uputama u nastavku ovog Priloga. Institucije u opisu koji prilažu ovim obrascima objašnjavaju sve značajne razlike između neprihodonosnih vrijednosti objavljenih u svakom retku i vrijednosti kakve bi bile da je primijenjena definicija statusa neispunjavanja obveza u skladu s člankom 178. CRR-a.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24B7DC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0F533"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lastRenderedPageBreak/>
              <w:t>Pravna osnova i upute</w:t>
            </w:r>
          </w:p>
        </w:tc>
      </w:tr>
      <w:tr w:rsidR="004E71F4" w:rsidRPr="007F4CC8" w14:paraId="2A62740D" w14:textId="77777777" w:rsidTr="00155C96">
        <w:trPr>
          <w:trHeight w:val="238"/>
        </w:trPr>
        <w:tc>
          <w:tcPr>
            <w:tcW w:w="1384" w:type="dxa"/>
            <w:shd w:val="clear" w:color="auto" w:fill="D9D9D9" w:themeFill="background1" w:themeFillShade="D9"/>
          </w:tcPr>
          <w:p w14:paraId="5525AD8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217F440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4E71F4" w:rsidRPr="007F4CC8" w14:paraId="638CB5A3" w14:textId="77777777" w:rsidTr="00155C96">
        <w:trPr>
          <w:trHeight w:val="971"/>
        </w:trPr>
        <w:tc>
          <w:tcPr>
            <w:tcW w:w="1384" w:type="dxa"/>
          </w:tcPr>
          <w:p w14:paraId="1E0ADB96" w14:textId="77777777" w:rsidR="004E71F4" w:rsidRPr="007F4CC8" w:rsidRDefault="004E71F4" w:rsidP="00155C96">
            <w:pPr>
              <w:pStyle w:val="Applicationdirecte"/>
              <w:spacing w:before="0"/>
            </w:pPr>
            <w:r>
              <w:t>010</w:t>
            </w:r>
          </w:p>
        </w:tc>
        <w:tc>
          <w:tcPr>
            <w:tcW w:w="7655" w:type="dxa"/>
          </w:tcPr>
          <w:p w14:paraId="2196BA3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Početno stanje neprihodonosnih kredita i predujmova</w:t>
            </w:r>
          </w:p>
          <w:p w14:paraId="2E71EC8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Bruto knjigovodstvena vrijednost stanja neprihodonosnih kredita i predujmova na kraju zadnje financijske godine</w:t>
            </w:r>
          </w:p>
        </w:tc>
      </w:tr>
      <w:tr w:rsidR="004E71F4" w:rsidRPr="007F4CC8" w14:paraId="6FED36BF" w14:textId="77777777" w:rsidTr="00155C96">
        <w:trPr>
          <w:trHeight w:val="316"/>
        </w:trPr>
        <w:tc>
          <w:tcPr>
            <w:tcW w:w="1384" w:type="dxa"/>
          </w:tcPr>
          <w:p w14:paraId="282114F1"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020</w:t>
            </w:r>
          </w:p>
        </w:tc>
        <w:tc>
          <w:tcPr>
            <w:tcW w:w="7655" w:type="dxa"/>
          </w:tcPr>
          <w:p w14:paraId="182D3C8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Priljevi u neprihodonosne portfelje</w:t>
            </w:r>
          </w:p>
          <w:p w14:paraId="1A775B10"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Bruto knjigovodstvena vrijednost kredita i predujmova koji su tijekom razdoblja (nakon završetka zadnje financijske godine) postali neprihodonosni</w:t>
            </w:r>
          </w:p>
        </w:tc>
      </w:tr>
      <w:tr w:rsidR="004E71F4" w:rsidRPr="007F4CC8" w14:paraId="77F3A129" w14:textId="77777777" w:rsidTr="00155C96">
        <w:trPr>
          <w:trHeight w:val="316"/>
        </w:trPr>
        <w:tc>
          <w:tcPr>
            <w:tcW w:w="1384" w:type="dxa"/>
          </w:tcPr>
          <w:p w14:paraId="7A5A3797"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030</w:t>
            </w:r>
          </w:p>
        </w:tc>
        <w:tc>
          <w:tcPr>
            <w:tcW w:w="7655" w:type="dxa"/>
          </w:tcPr>
          <w:p w14:paraId="7213A5F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Odljevi iz neprihodonosnih portfelja</w:t>
            </w:r>
          </w:p>
          <w:p w14:paraId="76D22C1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Bruto knjigovodstvena vrijednost kredita i predujmova koji su prestali biti neprihodonosni</w:t>
            </w:r>
          </w:p>
        </w:tc>
      </w:tr>
      <w:tr w:rsidR="004E71F4" w:rsidRPr="007F4CC8" w14:paraId="32B7AFDC" w14:textId="77777777" w:rsidTr="00155C96">
        <w:trPr>
          <w:trHeight w:val="316"/>
        </w:trPr>
        <w:tc>
          <w:tcPr>
            <w:tcW w:w="1384" w:type="dxa"/>
          </w:tcPr>
          <w:p w14:paraId="587AA47E"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040</w:t>
            </w:r>
          </w:p>
        </w:tc>
        <w:tc>
          <w:tcPr>
            <w:tcW w:w="7655" w:type="dxa"/>
          </w:tcPr>
          <w:p w14:paraId="740566B0"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Odljev s osnove otpisa </w:t>
            </w:r>
          </w:p>
          <w:p w14:paraId="0E4163E1"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Potpuni ili djelomični otpisi ukupnih kredita i zajmova evidentirani u referentnom razdoblju</w:t>
            </w:r>
          </w:p>
          <w:p w14:paraId="7DA15E9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Otpis (potpuni ili djelomični) je događaj koji dovodi do prestanka priznavanja. Stoga se bruto knjigovodstvena vrijednost kredita i predujmova umanjuje za iznos otpisa. Osim toga, u ovu se kategoriju uključuje i oprost duga u kontekstu mjera restrukturiranja, tj. otpisi za koje se poništava iznos neotplaćenog duga dužnika (institucija se odriče od prava na zakonsku naplatu).</w:t>
            </w:r>
          </w:p>
        </w:tc>
      </w:tr>
      <w:tr w:rsidR="004E71F4" w:rsidRPr="007F4CC8" w14:paraId="6452F6F0" w14:textId="77777777" w:rsidTr="00155C96">
        <w:trPr>
          <w:trHeight w:val="316"/>
        </w:trPr>
        <w:tc>
          <w:tcPr>
            <w:tcW w:w="1384" w:type="dxa"/>
          </w:tcPr>
          <w:p w14:paraId="4BE26A74"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050</w:t>
            </w:r>
          </w:p>
        </w:tc>
        <w:tc>
          <w:tcPr>
            <w:tcW w:w="7655" w:type="dxa"/>
          </w:tcPr>
          <w:p w14:paraId="481AD4A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Odljev s druge osnove </w:t>
            </w:r>
          </w:p>
          <w:p w14:paraId="485E10AB"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U ovom se retku iskazuju sva druga smanjenja knjigovodstvene vrijednosti kredita i predujmova osim otpisa. Ta usklađenja mogu uključivati, na primjer, odljev s osnove: i. djelomične ili potpune otplate kredita; ii. unovčenja kolaterala; iii. dobivanja kolaterala u posjed; iv. prodaje instrumenata; v. prijenosa rizika; vi. promjene tečaja stranih valuta; vii. drugih mjera zaključenja; viii. reklasifikacije između kategorija imovine itd. Štoviše, usklađenja uključuju odljev s osnove reklasifikacije iz namijenjenih za prodaju </w:t>
            </w:r>
          </w:p>
          <w:p w14:paraId="5BB25AD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Ako je iznos za tu kategoriju značajan, institucije su dužne u opisu koji prilažu ovom obrascu dostaviti dodatne informacije.</w:t>
            </w:r>
          </w:p>
        </w:tc>
      </w:tr>
      <w:tr w:rsidR="004E71F4" w:rsidRPr="007F4CC8" w14:paraId="0CCFE3B3" w14:textId="77777777" w:rsidTr="00155C96">
        <w:trPr>
          <w:trHeight w:val="316"/>
        </w:trPr>
        <w:tc>
          <w:tcPr>
            <w:tcW w:w="1384" w:type="dxa"/>
          </w:tcPr>
          <w:p w14:paraId="5DD84E6C"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060</w:t>
            </w:r>
          </w:p>
        </w:tc>
        <w:tc>
          <w:tcPr>
            <w:tcW w:w="7655" w:type="dxa"/>
          </w:tcPr>
          <w:p w14:paraId="4E455B07"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Završno stanje neprihodonosnih kredita i predujmova</w:t>
            </w:r>
          </w:p>
          <w:p w14:paraId="55C1F48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Bruto knjigovodstvena vrijednost stanja neprihodonosnih kredita i predujmova na referentni datum objave.</w:t>
            </w:r>
          </w:p>
        </w:tc>
      </w:tr>
    </w:tbl>
    <w:p w14:paraId="1E5F0406" w14:textId="77777777" w:rsidR="004E71F4" w:rsidRPr="007F4CC8" w:rsidRDefault="004E71F4" w:rsidP="004E71F4">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1BED0A5" w14:textId="77777777" w:rsidTr="00155C96">
        <w:trPr>
          <w:trHeight w:val="238"/>
        </w:trPr>
        <w:tc>
          <w:tcPr>
            <w:tcW w:w="9039" w:type="dxa"/>
            <w:gridSpan w:val="2"/>
            <w:shd w:val="clear" w:color="auto" w:fill="D9D9D9" w:themeFill="background1" w:themeFillShade="D9"/>
          </w:tcPr>
          <w:p w14:paraId="3E2A244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Pravna osnova i upute</w:t>
            </w:r>
          </w:p>
        </w:tc>
      </w:tr>
      <w:tr w:rsidR="004E71F4" w:rsidRPr="007F4CC8" w14:paraId="66E8FE29" w14:textId="77777777" w:rsidTr="00155C96">
        <w:trPr>
          <w:trHeight w:val="238"/>
        </w:trPr>
        <w:tc>
          <w:tcPr>
            <w:tcW w:w="1384" w:type="dxa"/>
            <w:shd w:val="clear" w:color="auto" w:fill="D9D9D9" w:themeFill="background1" w:themeFillShade="D9"/>
          </w:tcPr>
          <w:p w14:paraId="405738C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Broj stupca</w:t>
            </w:r>
          </w:p>
        </w:tc>
        <w:tc>
          <w:tcPr>
            <w:tcW w:w="7655" w:type="dxa"/>
            <w:shd w:val="clear" w:color="auto" w:fill="D9D9D9" w:themeFill="background1" w:themeFillShade="D9"/>
          </w:tcPr>
          <w:p w14:paraId="6D295D30"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Objašnjenje</w:t>
            </w:r>
          </w:p>
        </w:tc>
      </w:tr>
      <w:tr w:rsidR="004E71F4" w:rsidRPr="007F4CC8" w14:paraId="26011557" w14:textId="77777777" w:rsidTr="00155C96">
        <w:trPr>
          <w:trHeight w:val="841"/>
        </w:trPr>
        <w:tc>
          <w:tcPr>
            <w:tcW w:w="1384" w:type="dxa"/>
          </w:tcPr>
          <w:p w14:paraId="136B5153" w14:textId="77777777" w:rsidR="004E71F4" w:rsidRPr="007F4CC8" w:rsidRDefault="004E71F4" w:rsidP="00155C96">
            <w:pPr>
              <w:pStyle w:val="Applicationdirecte"/>
              <w:spacing w:before="0"/>
            </w:pPr>
            <w:r>
              <w:lastRenderedPageBreak/>
              <w:t>a</w:t>
            </w:r>
          </w:p>
        </w:tc>
        <w:tc>
          <w:tcPr>
            <w:tcW w:w="7655" w:type="dxa"/>
          </w:tcPr>
          <w:p w14:paraId="171B9C3F" w14:textId="77777777" w:rsidR="004E71F4" w:rsidRPr="007F4CC8" w:rsidRDefault="004E71F4" w:rsidP="00155C96">
            <w:pPr>
              <w:pStyle w:val="Fait"/>
              <w:spacing w:before="0" w:after="120"/>
              <w:rPr>
                <w:rFonts w:eastAsiaTheme="minorEastAsia"/>
                <w:b/>
              </w:rPr>
            </w:pPr>
            <w:r>
              <w:rPr>
                <w:b/>
              </w:rPr>
              <w:t xml:space="preserve">Bruto knjigovodstvena vrijednost </w:t>
            </w:r>
          </w:p>
          <w:p w14:paraId="1945CE1E" w14:textId="77777777" w:rsidR="004E71F4" w:rsidRPr="007F4CC8" w:rsidRDefault="004E71F4" w:rsidP="00155C96">
            <w:pPr>
              <w:autoSpaceDE w:val="0"/>
              <w:autoSpaceDN w:val="0"/>
              <w:adjustRightInd w:val="0"/>
              <w:spacing w:after="120"/>
              <w:jc w:val="both"/>
            </w:pPr>
            <w:r>
              <w:rPr>
                <w:rFonts w:ascii="Times New Roman" w:hAnsi="Times New Roman"/>
                <w:sz w:val="24"/>
              </w:rPr>
              <w:t>Bruto knjigovodstvena vrijednost kako je definirana u točki 34. dijela 1. Priloga V. Provedbenoj uredbi Komisije (EU) 680/2014.</w:t>
            </w:r>
          </w:p>
        </w:tc>
      </w:tr>
    </w:tbl>
    <w:p w14:paraId="129C662D" w14:textId="77777777" w:rsidR="004E71F4" w:rsidRPr="007F4CC8" w:rsidRDefault="004E71F4" w:rsidP="004E71F4">
      <w:pPr>
        <w:spacing w:after="120"/>
        <w:jc w:val="both"/>
        <w:rPr>
          <w:rFonts w:ascii="Times New Roman" w:hAnsi="Times New Roman" w:cs="Times New Roman"/>
          <w:bCs/>
          <w:sz w:val="24"/>
        </w:rPr>
      </w:pPr>
    </w:p>
    <w:p w14:paraId="15088F56" w14:textId="1196F079"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Obrazac EU CR2a: Promjene stanja neprihodonosnih kredita i predujmova i povezani kumulativni povrati</w:t>
      </w:r>
    </w:p>
    <w:p w14:paraId="046F988F" w14:textId="3174170A"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bCs/>
          <w:sz w:val="24"/>
        </w:rPr>
        <w:t>Institucije objavljuju informacije iz članka 442. točaka (c) i (f) CRR-a ispunjavanjem obrasca EU CR2a iz Priloga XV. ovoj Provedbenoj uredbi prema uputama u nastavku ovog Priloga. Institucije u opisu koji prilažu ovim obrascima objašnjavaju sve značajne razlike između neprihodonosnih vrijednosti objavljenih u svakom retku i vrijednosti kakve bi bile da je primijenjena definicija statusa neispunjavanja obveza u skladu s člankom 178. CRR-a, osobito za retke 010, 030, 100 i 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CD26CB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3C4FE9"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Pravna osnova i upute</w:t>
            </w:r>
          </w:p>
        </w:tc>
      </w:tr>
      <w:tr w:rsidR="004E71F4" w:rsidRPr="007F4CC8" w14:paraId="33E953D3" w14:textId="77777777" w:rsidTr="00155C96">
        <w:trPr>
          <w:trHeight w:val="238"/>
        </w:trPr>
        <w:tc>
          <w:tcPr>
            <w:tcW w:w="1384" w:type="dxa"/>
            <w:shd w:val="clear" w:color="auto" w:fill="D9D9D9" w:themeFill="background1" w:themeFillShade="D9"/>
          </w:tcPr>
          <w:p w14:paraId="3FA0B45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133358F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4E71F4" w:rsidRPr="007F4CC8" w14:paraId="7B41F9A6" w14:textId="77777777" w:rsidTr="00155C96">
        <w:trPr>
          <w:trHeight w:val="971"/>
        </w:trPr>
        <w:tc>
          <w:tcPr>
            <w:tcW w:w="1384" w:type="dxa"/>
          </w:tcPr>
          <w:p w14:paraId="194199CD" w14:textId="77777777" w:rsidR="004E71F4" w:rsidRPr="007F4CC8" w:rsidRDefault="004E71F4" w:rsidP="00155C96">
            <w:pPr>
              <w:pStyle w:val="Applicationdirecte"/>
              <w:spacing w:before="0"/>
            </w:pPr>
            <w:r>
              <w:t>010</w:t>
            </w:r>
          </w:p>
        </w:tc>
        <w:tc>
          <w:tcPr>
            <w:tcW w:w="7655" w:type="dxa"/>
          </w:tcPr>
          <w:p w14:paraId="04B60047"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Početno stanje neprihodonosnih kredita i predujmova</w:t>
            </w:r>
          </w:p>
          <w:p w14:paraId="55355D1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Bruto knjigovodstvena vrijednost stanja neprihodonosnih kredita i predujmova na kraju zadnje financijske godine</w:t>
            </w:r>
          </w:p>
        </w:tc>
      </w:tr>
      <w:tr w:rsidR="004E71F4" w:rsidRPr="007F4CC8" w14:paraId="3F29387A" w14:textId="77777777" w:rsidTr="00155C96">
        <w:trPr>
          <w:trHeight w:val="316"/>
        </w:trPr>
        <w:tc>
          <w:tcPr>
            <w:tcW w:w="1384" w:type="dxa"/>
          </w:tcPr>
          <w:p w14:paraId="2D13468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578547D6"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Priljevi u neprihodonosne portfelje</w:t>
            </w:r>
          </w:p>
          <w:p w14:paraId="2F21CFAF"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Bruto knjigovodstvena vrijednost kredita i predujmova koji su tijekom razdoblja (nakon završetka zadnje financijske godine) postali neprihodonosni</w:t>
            </w:r>
          </w:p>
        </w:tc>
      </w:tr>
      <w:tr w:rsidR="004E71F4" w:rsidRPr="007F4CC8" w14:paraId="6DBEF69A" w14:textId="77777777" w:rsidTr="00155C96">
        <w:trPr>
          <w:trHeight w:val="316"/>
        </w:trPr>
        <w:tc>
          <w:tcPr>
            <w:tcW w:w="1384" w:type="dxa"/>
          </w:tcPr>
          <w:p w14:paraId="2B687A3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6226286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Odljevi iz neprihodonosnih portfelja</w:t>
            </w:r>
          </w:p>
          <w:p w14:paraId="6CEA25F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Bruto knjigovodstvena vrijednost kredita i predujmova koji su prestali biti neprihodonosni</w:t>
            </w:r>
          </w:p>
        </w:tc>
      </w:tr>
      <w:tr w:rsidR="004E71F4" w:rsidRPr="007F4CC8" w14:paraId="095740CA" w14:textId="77777777" w:rsidTr="00155C96">
        <w:trPr>
          <w:trHeight w:val="316"/>
        </w:trPr>
        <w:tc>
          <w:tcPr>
            <w:tcW w:w="1384" w:type="dxa"/>
          </w:tcPr>
          <w:p w14:paraId="5207609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040</w:t>
            </w:r>
          </w:p>
        </w:tc>
        <w:tc>
          <w:tcPr>
            <w:tcW w:w="7655" w:type="dxa"/>
          </w:tcPr>
          <w:p w14:paraId="00124BD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Odljevi u prihodonosne portfelje</w:t>
            </w:r>
          </w:p>
          <w:p w14:paraId="58F3502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Bruto knjigovodstvena vrijednost kredita i predujmova koji su tijekom razdoblja postali i prestali biti neprihodonosni (nakon završetka zadnje financijske godine)</w:t>
            </w:r>
          </w:p>
        </w:tc>
      </w:tr>
      <w:tr w:rsidR="004E71F4" w:rsidRPr="007F4CC8" w14:paraId="40CAD972" w14:textId="77777777" w:rsidTr="00155C96">
        <w:trPr>
          <w:trHeight w:val="316"/>
        </w:trPr>
        <w:tc>
          <w:tcPr>
            <w:tcW w:w="1384" w:type="dxa"/>
          </w:tcPr>
          <w:p w14:paraId="735D4B3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050</w:t>
            </w:r>
          </w:p>
        </w:tc>
        <w:tc>
          <w:tcPr>
            <w:tcW w:w="7655" w:type="dxa"/>
          </w:tcPr>
          <w:p w14:paraId="5D1B61E8"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Odljev s osnove djelomične ili potpune otplate kredita</w:t>
            </w:r>
          </w:p>
          <w:p w14:paraId="7E87F4E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Smanjenje bruto knjigovodstvene vrijednosti neprihodonosnih kredita i predujmova s osnove gotovinskih plaćanja odnosno redovitih plaćanja kapitala i </w:t>
            </w:r>
            <w:r>
              <w:rPr>
                <w:rFonts w:ascii="Times New Roman" w:hAnsi="Times New Roman"/>
                <w:i/>
                <w:sz w:val="24"/>
              </w:rPr>
              <w:t xml:space="preserve">ad </w:t>
            </w:r>
            <w:proofErr w:type="spellStart"/>
            <w:r>
              <w:rPr>
                <w:rFonts w:ascii="Times New Roman" w:hAnsi="Times New Roman"/>
                <w:i/>
                <w:sz w:val="24"/>
              </w:rPr>
              <w:t>hoc</w:t>
            </w:r>
            <w:proofErr w:type="spellEnd"/>
            <w:r>
              <w:rPr>
                <w:rFonts w:ascii="Times New Roman" w:hAnsi="Times New Roman"/>
                <w:sz w:val="24"/>
              </w:rPr>
              <w:t xml:space="preserve"> otplata tijekom razdoblja (nakon završetka zadnje financijske godine)</w:t>
            </w:r>
          </w:p>
        </w:tc>
      </w:tr>
      <w:tr w:rsidR="004E71F4" w:rsidRPr="007F4CC8" w14:paraId="64211CFF" w14:textId="77777777" w:rsidTr="00155C96">
        <w:trPr>
          <w:trHeight w:val="316"/>
        </w:trPr>
        <w:tc>
          <w:tcPr>
            <w:tcW w:w="1384" w:type="dxa"/>
          </w:tcPr>
          <w:p w14:paraId="4104C5C0"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w:t>
            </w:r>
          </w:p>
        </w:tc>
        <w:tc>
          <w:tcPr>
            <w:tcW w:w="7655" w:type="dxa"/>
          </w:tcPr>
          <w:p w14:paraId="6F2340B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Odljev s osnove unovčenja kolaterala </w:t>
            </w:r>
          </w:p>
          <w:p w14:paraId="3675E6B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Učinak unovčenja kolaterala bilo koje vrste na bruto knjigovodstvenu vrijednost instrumenta objavljuje se u ovom retku. U ovom se retku iskazuju i odljevi s osnove drugih unovčenja ili pravnih postupaka te dobrovoljne prodaje nekretnine. Da bi se izbjegla sumnja, treba napomenuti da se objavljuje bruto knjigovodstvena vrijednost instrumenta, uključujući mogući popratni djelomični otpis te da odljevi ne mogu biti jednaki iznosu neto kumuliranih povrata i djelomičnih otpisa.</w:t>
            </w:r>
          </w:p>
        </w:tc>
      </w:tr>
      <w:tr w:rsidR="004E71F4" w:rsidRPr="007F4CC8" w14:paraId="153EAF92" w14:textId="77777777" w:rsidTr="00155C96">
        <w:trPr>
          <w:trHeight w:val="316"/>
        </w:trPr>
        <w:tc>
          <w:tcPr>
            <w:tcW w:w="1384" w:type="dxa"/>
          </w:tcPr>
          <w:p w14:paraId="6562620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060 stupac b</w:t>
            </w:r>
          </w:p>
        </w:tc>
        <w:tc>
          <w:tcPr>
            <w:tcW w:w="7655" w:type="dxa"/>
          </w:tcPr>
          <w:p w14:paraId="0A57053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Povezani neto kumulativni povrati </w:t>
            </w:r>
          </w:p>
          <w:p w14:paraId="476F55E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U ovom se retku objavljuju povrati novca ili novčanih ekvivalenata naplaćeni s osnove unovčenja kolaterala (umanjeno za odnosne troškove unovčenja kolaterala).</w:t>
            </w:r>
          </w:p>
        </w:tc>
      </w:tr>
      <w:tr w:rsidR="004E71F4" w:rsidRPr="007F4CC8" w14:paraId="285633E4" w14:textId="77777777" w:rsidTr="00155C96">
        <w:trPr>
          <w:trHeight w:val="316"/>
        </w:trPr>
        <w:tc>
          <w:tcPr>
            <w:tcW w:w="1384" w:type="dxa"/>
          </w:tcPr>
          <w:p w14:paraId="20E2402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22C47A1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Odljev s osnove dobivanja kolaterala u posjed </w:t>
            </w:r>
          </w:p>
          <w:p w14:paraId="668C1D8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Učinak ovrhe kolaterala bilo koje vrste na bruto knjigovodstvenu vrijednost instrumenta objavljuje se u ovom retku. Dobivanje u posjed odnosi se na stjecanje negotovinskog kolaterala nad kojim je institucija ili društvo kći grupe steklo vlasništvo i koji još nije prodan trećoj strani. U ovu su kategoriju uključena i pretvaranja potraživanja u imovinu, dobrovoljne predaje imovine i zamjene duga za dionički udio. Da bi se izbjegla sumnja, treba napomenuti da se objavljuje bruto knjigovodstvena vrijednost instrumenta, uključujući mogući popratni djelomični otpis te da odljevi ne mogu biti jednaki iznosu neto kumuliranih povrata i djelomičnih otpisa.</w:t>
            </w:r>
          </w:p>
        </w:tc>
      </w:tr>
      <w:tr w:rsidR="004E71F4" w:rsidRPr="007F4CC8" w14:paraId="33D462F0" w14:textId="77777777" w:rsidTr="00155C96">
        <w:trPr>
          <w:trHeight w:val="316"/>
        </w:trPr>
        <w:tc>
          <w:tcPr>
            <w:tcW w:w="1384" w:type="dxa"/>
          </w:tcPr>
          <w:p w14:paraId="0E1175D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070 stupac b </w:t>
            </w:r>
          </w:p>
        </w:tc>
        <w:tc>
          <w:tcPr>
            <w:tcW w:w="7655" w:type="dxa"/>
          </w:tcPr>
          <w:p w14:paraId="4EE3766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Povezani neto kumulativni povrati </w:t>
            </w:r>
          </w:p>
          <w:p w14:paraId="074316F5"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U ovom se retku objavljuje početno priznavanje fer vrijednosti kolaterala u bilanci institucije u trenutku dobivanja u posjed. Povrati novca ili novčanih ekvivalenata naplaćeni u kontekstu dobivanja kolaterala u posjed umanjeni za troškove ne objavljuju se u ovom retku nego u retku Odljev s osnove djelomične ili potpune otplate kredita.</w:t>
            </w:r>
          </w:p>
        </w:tc>
      </w:tr>
      <w:tr w:rsidR="004E71F4" w:rsidRPr="007F4CC8" w14:paraId="150C15B1" w14:textId="77777777" w:rsidTr="00155C96">
        <w:trPr>
          <w:trHeight w:val="316"/>
        </w:trPr>
        <w:tc>
          <w:tcPr>
            <w:tcW w:w="1384" w:type="dxa"/>
          </w:tcPr>
          <w:p w14:paraId="75E451E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5327C88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Odljev s osnove prodaje instrumenata </w:t>
            </w:r>
          </w:p>
          <w:p w14:paraId="38452F13"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Ukupne promjene stanja kredita i predujmova prodanih drugim institucijama, isključujući unutargrupne transakcije</w:t>
            </w:r>
          </w:p>
          <w:p w14:paraId="512BB6A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Da bi se izbjegla sumnja, treba napomenuti da se objavljuje bruto knjigovodstvena vrijednost prodanih kredita i predujmova (uključujući moguće popratne djelomične otpise), a ne njezino vrednovanje ili cijena za vrijeme transakcije, te da odljevi ne mogu biti jednaki zbroju neto kumuliranih povrata i djelomičnih otpisa.</w:t>
            </w:r>
          </w:p>
        </w:tc>
      </w:tr>
      <w:tr w:rsidR="004E71F4" w:rsidRPr="007F4CC8" w14:paraId="74F305DB" w14:textId="77777777" w:rsidTr="00155C96">
        <w:trPr>
          <w:trHeight w:val="316"/>
        </w:trPr>
        <w:tc>
          <w:tcPr>
            <w:tcW w:w="1384" w:type="dxa"/>
          </w:tcPr>
          <w:p w14:paraId="0BA8F10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080 stupac b </w:t>
            </w:r>
          </w:p>
        </w:tc>
        <w:tc>
          <w:tcPr>
            <w:tcW w:w="7655" w:type="dxa"/>
          </w:tcPr>
          <w:p w14:paraId="6B338F8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Povezani neto kumulativni povrati </w:t>
            </w:r>
          </w:p>
          <w:p w14:paraId="341717A6"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U ovom se retku iskazuju povrati novca ili novčanih ekvivalenata naplaćeni u kontekstu prodaje kredita i predujmova, umanjeni za troškove prodaje.</w:t>
            </w:r>
          </w:p>
        </w:tc>
      </w:tr>
      <w:tr w:rsidR="004E71F4" w:rsidRPr="007F4CC8" w14:paraId="3F2F03C0" w14:textId="77777777" w:rsidTr="00155C96">
        <w:trPr>
          <w:trHeight w:val="316"/>
        </w:trPr>
        <w:tc>
          <w:tcPr>
            <w:tcW w:w="1384" w:type="dxa"/>
          </w:tcPr>
          <w:p w14:paraId="2A34987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3ECB166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Odljev s osnove prijenosa rizika </w:t>
            </w:r>
          </w:p>
          <w:p w14:paraId="102663B4"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Bruto smanjenje neprihodonosnih kredita i predujmova zbog sekuritizacije ili drugih prijenosa rizika koji ispunjavaju uvjete za prestanak priznavanja u bilanci.</w:t>
            </w:r>
          </w:p>
          <w:p w14:paraId="2BCBA96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Treba napomenuti da odljevi ne mogu biti jednaki zbroju neto kumuliranih povrata i djelomičnih otpisa.</w:t>
            </w:r>
          </w:p>
        </w:tc>
      </w:tr>
      <w:tr w:rsidR="004E71F4" w:rsidRPr="007F4CC8" w14:paraId="21AD089B" w14:textId="77777777" w:rsidTr="00155C96">
        <w:trPr>
          <w:trHeight w:val="316"/>
        </w:trPr>
        <w:tc>
          <w:tcPr>
            <w:tcW w:w="1384" w:type="dxa"/>
          </w:tcPr>
          <w:p w14:paraId="09AFB81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090 stupac b </w:t>
            </w:r>
          </w:p>
        </w:tc>
        <w:tc>
          <w:tcPr>
            <w:tcW w:w="7655" w:type="dxa"/>
          </w:tcPr>
          <w:p w14:paraId="35360DF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Povezani neto kumulativni povrati </w:t>
            </w:r>
          </w:p>
          <w:p w14:paraId="75C1AA3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U ovom se retku objavljuju povrati novca ili novčanih ekvivalenata s osnove prijenosa značajnih rizika.</w:t>
            </w:r>
          </w:p>
        </w:tc>
      </w:tr>
      <w:tr w:rsidR="004E71F4" w:rsidRPr="007F4CC8" w14:paraId="725FD537" w14:textId="77777777" w:rsidTr="00155C96">
        <w:trPr>
          <w:trHeight w:val="316"/>
        </w:trPr>
        <w:tc>
          <w:tcPr>
            <w:tcW w:w="1384" w:type="dxa"/>
          </w:tcPr>
          <w:p w14:paraId="062FF45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100</w:t>
            </w:r>
          </w:p>
        </w:tc>
        <w:tc>
          <w:tcPr>
            <w:tcW w:w="7655" w:type="dxa"/>
          </w:tcPr>
          <w:p w14:paraId="78BE1CEC"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Odljev s osnove otpisa </w:t>
            </w:r>
          </w:p>
          <w:p w14:paraId="30689015"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Potpuni ili djelomični otpisi ukupnih kredita i zajmova evidentirani u referentnom razdoblju</w:t>
            </w:r>
          </w:p>
          <w:p w14:paraId="366C4355"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Otpis (potpuni ili djelomični) je događaj koji dovodi do prestanka priznavanja. Stoga se bruto knjigovodstvena vrijednost kredita i predujmova umanjuje za iznos otpisa. Da bi se izbjegla sumnja, treba napomenuti da ovaj redak odražava promjene bruto knjigovodstvene vrijednosti kredita i predujmova te se u ovom retku ne iskazuju mogući djelomični otpisi koji su već objavljeni u prethodnim redcima (npr. pripadajuća prodaja kredita i predujmova, unovčenje kolaterala, dobivanje kolaterala u posjed ili prijenos značajnih rizika). Osim toga, u ovu se kategoriju uključuje i oprost duga u kontekstu mjera restrukturiranja, tj. otpisi za koje se poništava iznos neotplaćenog duga dužnika (institucija se odriče od prava na zakonsku naplatu).</w:t>
            </w:r>
          </w:p>
        </w:tc>
      </w:tr>
      <w:tr w:rsidR="004E71F4" w:rsidRPr="007F4CC8" w14:paraId="631DBA25" w14:textId="77777777" w:rsidTr="00155C96">
        <w:trPr>
          <w:trHeight w:val="316"/>
        </w:trPr>
        <w:tc>
          <w:tcPr>
            <w:tcW w:w="1384" w:type="dxa"/>
          </w:tcPr>
          <w:p w14:paraId="618387C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0DFDC82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Odljev s druge osnove </w:t>
            </w:r>
          </w:p>
          <w:p w14:paraId="5BF50DC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U ovom se retku iskazuju sva druga smanjenja knjigovodstvene vrijednosti kredita i predujmova koji nisu obuhvaćeni navedenim događajima. Ta usklađenja mogu uključivati, na primjer, tečajne promjene, druge mjere zatvaranja, reklasifikaciju između kategorija imovine itd. Ako je iznos za tu kategoriju značajan, institucije su dužne u opisu koji prilažu ovom obrascu dostaviti dodatne informacije.</w:t>
            </w:r>
          </w:p>
        </w:tc>
      </w:tr>
      <w:tr w:rsidR="004E71F4" w:rsidRPr="007F4CC8" w14:paraId="1655BD69" w14:textId="77777777" w:rsidTr="00155C96">
        <w:trPr>
          <w:trHeight w:val="316"/>
        </w:trPr>
        <w:tc>
          <w:tcPr>
            <w:tcW w:w="1384" w:type="dxa"/>
          </w:tcPr>
          <w:p w14:paraId="067B022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380E241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Odljev s osnove reklasifikacije iz namijenjenih za prodaju </w:t>
            </w:r>
          </w:p>
          <w:p w14:paraId="118AD68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Smanjenja knjigovodstvene vrijednosti neprihodonosnih kredita i predujmova zbog njihove reklasifikacije iz instrumenata namijenjenih za prodaju</w:t>
            </w:r>
          </w:p>
        </w:tc>
      </w:tr>
      <w:tr w:rsidR="004E71F4" w:rsidRPr="007F4CC8" w14:paraId="04398009" w14:textId="77777777" w:rsidTr="00155C96">
        <w:trPr>
          <w:trHeight w:val="316"/>
        </w:trPr>
        <w:tc>
          <w:tcPr>
            <w:tcW w:w="1384" w:type="dxa"/>
          </w:tcPr>
          <w:p w14:paraId="725024F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07A7A81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Završno stanje neprihodonosnih kredita i predujmova</w:t>
            </w:r>
          </w:p>
          <w:p w14:paraId="45E884B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Bruto knjigovodstvena vrijednost stanja neprihodonosnih kredita i predujmova na referentni datum objave</w:t>
            </w:r>
          </w:p>
        </w:tc>
      </w:tr>
    </w:tbl>
    <w:p w14:paraId="2CF19B48"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34250A1" w14:textId="77777777" w:rsidTr="00155C96">
        <w:trPr>
          <w:trHeight w:val="238"/>
        </w:trPr>
        <w:tc>
          <w:tcPr>
            <w:tcW w:w="9039" w:type="dxa"/>
            <w:gridSpan w:val="2"/>
            <w:shd w:val="clear" w:color="auto" w:fill="D9D9D9" w:themeFill="background1" w:themeFillShade="D9"/>
          </w:tcPr>
          <w:p w14:paraId="4BDEF3F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Pravna osnova i upute</w:t>
            </w:r>
          </w:p>
        </w:tc>
      </w:tr>
      <w:tr w:rsidR="004E71F4" w:rsidRPr="007F4CC8" w14:paraId="62A839AD" w14:textId="77777777" w:rsidTr="00155C96">
        <w:trPr>
          <w:trHeight w:val="238"/>
        </w:trPr>
        <w:tc>
          <w:tcPr>
            <w:tcW w:w="1384" w:type="dxa"/>
            <w:shd w:val="clear" w:color="auto" w:fill="D9D9D9" w:themeFill="background1" w:themeFillShade="D9"/>
          </w:tcPr>
          <w:p w14:paraId="621BFAA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Broj stupca</w:t>
            </w:r>
          </w:p>
        </w:tc>
        <w:tc>
          <w:tcPr>
            <w:tcW w:w="7655" w:type="dxa"/>
            <w:shd w:val="clear" w:color="auto" w:fill="D9D9D9" w:themeFill="background1" w:themeFillShade="D9"/>
          </w:tcPr>
          <w:p w14:paraId="666C453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Objašnjenje</w:t>
            </w:r>
          </w:p>
        </w:tc>
      </w:tr>
      <w:tr w:rsidR="004E71F4" w:rsidRPr="007F4CC8" w14:paraId="5AA76A3E" w14:textId="77777777" w:rsidTr="00155C96">
        <w:trPr>
          <w:trHeight w:val="841"/>
        </w:trPr>
        <w:tc>
          <w:tcPr>
            <w:tcW w:w="1384" w:type="dxa"/>
          </w:tcPr>
          <w:p w14:paraId="6AB994DC" w14:textId="77777777" w:rsidR="004E71F4" w:rsidRPr="007F4CC8" w:rsidRDefault="004E71F4" w:rsidP="00155C96">
            <w:pPr>
              <w:pStyle w:val="Applicationdirecte"/>
              <w:spacing w:before="0"/>
            </w:pPr>
            <w:r>
              <w:t>a</w:t>
            </w:r>
          </w:p>
        </w:tc>
        <w:tc>
          <w:tcPr>
            <w:tcW w:w="7655" w:type="dxa"/>
          </w:tcPr>
          <w:p w14:paraId="6C90B527" w14:textId="77777777" w:rsidR="004E71F4" w:rsidRPr="007F4CC8" w:rsidRDefault="004E71F4" w:rsidP="00155C96">
            <w:pPr>
              <w:pStyle w:val="Fait"/>
              <w:spacing w:before="0" w:after="120"/>
              <w:rPr>
                <w:rFonts w:eastAsiaTheme="minorEastAsia"/>
                <w:b/>
              </w:rPr>
            </w:pPr>
            <w:r>
              <w:rPr>
                <w:b/>
              </w:rPr>
              <w:t xml:space="preserve">Bruto knjigovodstvena vrijednost </w:t>
            </w:r>
          </w:p>
          <w:p w14:paraId="06829554" w14:textId="77777777" w:rsidR="004E71F4" w:rsidRPr="007F4CC8" w:rsidRDefault="004E71F4" w:rsidP="00155C96">
            <w:pPr>
              <w:autoSpaceDE w:val="0"/>
              <w:autoSpaceDN w:val="0"/>
              <w:adjustRightInd w:val="0"/>
              <w:spacing w:after="120"/>
            </w:pPr>
            <w:r>
              <w:rPr>
                <w:rFonts w:ascii="Times New Roman" w:hAnsi="Times New Roman"/>
                <w:sz w:val="24"/>
              </w:rPr>
              <w:t>Bruto knjigovodstvena vrijednost kako je definirana u točki 34. dijela 1. Priloga V. Provedbenoj uredbi Komisije (EU) 680/2014.</w:t>
            </w:r>
          </w:p>
        </w:tc>
      </w:tr>
      <w:tr w:rsidR="004E71F4" w:rsidRPr="007F4CC8" w14:paraId="6B86705F" w14:textId="77777777" w:rsidTr="00155C96">
        <w:trPr>
          <w:trHeight w:val="841"/>
        </w:trPr>
        <w:tc>
          <w:tcPr>
            <w:tcW w:w="1384" w:type="dxa"/>
          </w:tcPr>
          <w:p w14:paraId="63A3A53D" w14:textId="77777777" w:rsidR="004E71F4" w:rsidRPr="007F4CC8" w:rsidRDefault="004E71F4" w:rsidP="00155C96">
            <w:pPr>
              <w:pStyle w:val="Applicationdirecte"/>
              <w:spacing w:before="0"/>
            </w:pPr>
            <w:r>
              <w:t>b</w:t>
            </w:r>
          </w:p>
        </w:tc>
        <w:tc>
          <w:tcPr>
            <w:tcW w:w="7655" w:type="dxa"/>
          </w:tcPr>
          <w:p w14:paraId="1806F166" w14:textId="77777777" w:rsidR="004E71F4" w:rsidRPr="007F4CC8" w:rsidRDefault="004E71F4" w:rsidP="00155C96">
            <w:pPr>
              <w:pStyle w:val="Fait"/>
              <w:spacing w:before="0" w:after="120"/>
              <w:rPr>
                <w:rFonts w:eastAsiaTheme="minorEastAsia"/>
                <w:b/>
              </w:rPr>
            </w:pPr>
            <w:r>
              <w:rPr>
                <w:b/>
              </w:rPr>
              <w:t>Povezani neto kumulativni povrati</w:t>
            </w:r>
          </w:p>
          <w:p w14:paraId="5D67A088" w14:textId="77777777" w:rsidR="004E71F4" w:rsidRPr="007F4CC8" w:rsidRDefault="004E71F4" w:rsidP="00155C96">
            <w:pPr>
              <w:autoSpaceDE w:val="0"/>
              <w:autoSpaceDN w:val="0"/>
              <w:adjustRightInd w:val="0"/>
              <w:spacing w:after="120"/>
            </w:pPr>
            <w:r>
              <w:rPr>
                <w:rFonts w:ascii="Times New Roman" w:hAnsi="Times New Roman"/>
                <w:sz w:val="24"/>
              </w:rPr>
              <w:t>Treba provjeriti definicije za retke u ovom obrascu.</w:t>
            </w:r>
          </w:p>
        </w:tc>
      </w:tr>
    </w:tbl>
    <w:p w14:paraId="1F91ED17" w14:textId="77777777" w:rsidR="004E71F4" w:rsidRPr="007F4CC8" w:rsidRDefault="004E71F4" w:rsidP="004E71F4">
      <w:pPr>
        <w:autoSpaceDE w:val="0"/>
        <w:autoSpaceDN w:val="0"/>
        <w:adjustRightInd w:val="0"/>
        <w:spacing w:after="120"/>
        <w:rPr>
          <w:rFonts w:ascii="Times New Roman" w:hAnsi="Times New Roman" w:cs="Times New Roman"/>
          <w:b/>
          <w:sz w:val="24"/>
        </w:rPr>
      </w:pPr>
    </w:p>
    <w:p w14:paraId="3C415982" w14:textId="75D3A3CD"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Obrazac EU CQ1: Kreditna kvaliteta restrukturiranih izloženosti</w:t>
      </w:r>
    </w:p>
    <w:p w14:paraId="32139503" w14:textId="1CF8059F" w:rsidR="004E71F4" w:rsidRPr="007F4CC8" w:rsidRDefault="004E71F4" w:rsidP="004E71F4">
      <w:pPr>
        <w:pStyle w:val="ListParagraph"/>
        <w:numPr>
          <w:ilvl w:val="0"/>
          <w:numId w:val="48"/>
        </w:numPr>
        <w:spacing w:after="120"/>
        <w:contextualSpacing/>
        <w:jc w:val="both"/>
        <w:rPr>
          <w:rFonts w:ascii="Times New Roman" w:hAnsi="Times New Roman"/>
          <w:sz w:val="24"/>
        </w:rPr>
      </w:pPr>
      <w:r>
        <w:rPr>
          <w:rFonts w:ascii="Times New Roman" w:hAnsi="Times New Roman"/>
          <w:sz w:val="24"/>
        </w:rPr>
        <w:t>Institucije objavljuju informacije iz članka 442. točke (c) CRR-a ispunjavanjem obrasca EU CQ1 iz Priloga XV. ovoj Provedbenoj uredbi prema uputama u nastavku ovog Priloga.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583865F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486430"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lastRenderedPageBreak/>
              <w:t>Pravna osnova i upute</w:t>
            </w:r>
          </w:p>
        </w:tc>
      </w:tr>
      <w:tr w:rsidR="004E71F4" w:rsidRPr="007F4CC8" w14:paraId="1AC37209" w14:textId="77777777" w:rsidTr="00155C96">
        <w:trPr>
          <w:trHeight w:val="238"/>
        </w:trPr>
        <w:tc>
          <w:tcPr>
            <w:tcW w:w="1384" w:type="dxa"/>
            <w:shd w:val="clear" w:color="auto" w:fill="D9D9D9" w:themeFill="background1" w:themeFillShade="D9"/>
          </w:tcPr>
          <w:p w14:paraId="06ABCC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07E296E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4E71F4" w:rsidRPr="007F4CC8" w14:paraId="16EA0564" w14:textId="77777777" w:rsidTr="00155C96">
        <w:trPr>
          <w:trHeight w:val="935"/>
        </w:trPr>
        <w:tc>
          <w:tcPr>
            <w:tcW w:w="1384" w:type="dxa"/>
          </w:tcPr>
          <w:p w14:paraId="56FA8881" w14:textId="77777777" w:rsidR="004E71F4" w:rsidRPr="007F4CC8" w:rsidRDefault="004E71F4" w:rsidP="00155C96">
            <w:pPr>
              <w:pStyle w:val="Applicationdirecte"/>
              <w:spacing w:before="0"/>
            </w:pPr>
            <w:r>
              <w:t>005</w:t>
            </w:r>
          </w:p>
        </w:tc>
        <w:tc>
          <w:tcPr>
            <w:tcW w:w="7655" w:type="dxa"/>
          </w:tcPr>
          <w:p w14:paraId="64539068" w14:textId="77777777" w:rsidR="004E71F4" w:rsidRPr="007F4CC8" w:rsidRDefault="004E71F4" w:rsidP="00155C96">
            <w:pPr>
              <w:pStyle w:val="Applicationdirecte"/>
              <w:spacing w:before="0"/>
              <w:rPr>
                <w:b/>
              </w:rPr>
            </w:pPr>
            <w:r>
              <w:rPr>
                <w:b/>
              </w:rPr>
              <w:t>Sredstva u središnjim bankama i ostali depoziti po viđenju</w:t>
            </w:r>
          </w:p>
          <w:p w14:paraId="74D7D3EC" w14:textId="77777777" w:rsidR="004E71F4" w:rsidRPr="007F4CC8" w:rsidRDefault="004E71F4" w:rsidP="00155C96">
            <w:pPr>
              <w:pStyle w:val="Applicationdirecte"/>
              <w:spacing w:before="0"/>
            </w:pPr>
            <w:r>
              <w:t>Institucije te informacije objavljuju u skladu s informacijama iskazanima u prilozima III. i IV. Provedbenoj uredbi Komisije (EU) 680/2014.</w:t>
            </w:r>
          </w:p>
        </w:tc>
      </w:tr>
      <w:tr w:rsidR="004E71F4" w:rsidRPr="007F4CC8" w14:paraId="3E70430D" w14:textId="77777777" w:rsidTr="00155C96">
        <w:trPr>
          <w:trHeight w:val="935"/>
        </w:trPr>
        <w:tc>
          <w:tcPr>
            <w:tcW w:w="1384" w:type="dxa"/>
          </w:tcPr>
          <w:p w14:paraId="2ADD7C29" w14:textId="77777777" w:rsidR="004E71F4" w:rsidRPr="007F4CC8" w:rsidRDefault="004E71F4" w:rsidP="00155C96">
            <w:pPr>
              <w:pStyle w:val="Applicationdirecte"/>
              <w:spacing w:before="0"/>
            </w:pPr>
            <w:r>
              <w:t>010</w:t>
            </w:r>
          </w:p>
        </w:tc>
        <w:tc>
          <w:tcPr>
            <w:tcW w:w="7655" w:type="dxa"/>
          </w:tcPr>
          <w:p w14:paraId="0DF0F888" w14:textId="77777777" w:rsidR="004E71F4" w:rsidRPr="007F4CC8" w:rsidRDefault="004E71F4" w:rsidP="00155C96">
            <w:pPr>
              <w:pStyle w:val="Applicationdirecte"/>
              <w:spacing w:before="0"/>
              <w:rPr>
                <w:b/>
              </w:rPr>
            </w:pPr>
            <w:r>
              <w:rPr>
                <w:b/>
              </w:rPr>
              <w:t>Krediti i predujmovi</w:t>
            </w:r>
          </w:p>
          <w:p w14:paraId="707B1F64" w14:textId="77777777" w:rsidR="004E71F4" w:rsidRPr="007F4CC8" w:rsidRDefault="004E71F4" w:rsidP="00155C96">
            <w:pPr>
              <w:pStyle w:val="Applicationdirecte"/>
              <w:spacing w:before="0"/>
            </w:pPr>
            <w:r>
              <w:t>Vidjeti definiciju u EU-CR1: prihodonosne i neprihodonosne izloženosti i povezane rezervacije.</w:t>
            </w:r>
          </w:p>
        </w:tc>
      </w:tr>
      <w:tr w:rsidR="004E71F4" w:rsidRPr="007F4CC8" w14:paraId="04F37130" w14:textId="77777777" w:rsidTr="00155C96">
        <w:trPr>
          <w:trHeight w:val="3815"/>
        </w:trPr>
        <w:tc>
          <w:tcPr>
            <w:tcW w:w="1384" w:type="dxa"/>
          </w:tcPr>
          <w:p w14:paraId="73C93026" w14:textId="77777777" w:rsidR="004E71F4" w:rsidRPr="007F4CC8" w:rsidRDefault="004E71F4" w:rsidP="00155C96">
            <w:pPr>
              <w:pStyle w:val="Applicationdirecte"/>
              <w:spacing w:before="0"/>
            </w:pPr>
            <w:r>
              <w:t>020 – 070</w:t>
            </w:r>
          </w:p>
        </w:tc>
        <w:tc>
          <w:tcPr>
            <w:tcW w:w="7655" w:type="dxa"/>
          </w:tcPr>
          <w:p w14:paraId="08490743" w14:textId="77777777" w:rsidR="004E71F4" w:rsidRPr="007F4CC8" w:rsidRDefault="004E71F4" w:rsidP="00155C96">
            <w:pPr>
              <w:pStyle w:val="Applicationdirecte"/>
              <w:spacing w:before="0"/>
              <w:rPr>
                <w:b/>
              </w:rPr>
            </w:pPr>
            <w:r>
              <w:rPr>
                <w:b/>
              </w:rPr>
              <w:t>Raščlamba prema drugoj ugovornoj strani</w:t>
            </w:r>
          </w:p>
          <w:p w14:paraId="74A846B7" w14:textId="77777777" w:rsidR="004E71F4" w:rsidRPr="007F4CC8" w:rsidRDefault="004E71F4" w:rsidP="00155C96">
            <w:pPr>
              <w:pStyle w:val="Applicationdirecte"/>
              <w:spacing w:before="0"/>
            </w:pPr>
            <w:r>
              <w:t>Institucije primjenjuju raščlambu prema drugoj ugovornoj strani kako je definirano u točki 42. dijela 1. Priloga V. Provedbenoj uredbi Komisije (EU) 680/2014.</w:t>
            </w:r>
          </w:p>
          <w:p w14:paraId="76ADCF37" w14:textId="77777777" w:rsidR="004E71F4" w:rsidRPr="007F4CC8" w:rsidRDefault="004E71F4" w:rsidP="00155C96">
            <w:pPr>
              <w:pStyle w:val="Fait"/>
              <w:spacing w:before="0" w:after="120"/>
            </w:pPr>
            <w:r>
              <w:t>Raspodjela ugovornih strana po sektoru temelji se isključivo na naravi neposredne druge ugovorne strane. Klasifikacija zajedničkih izloženosti više dužnika obavlja se na temelju obilježja dužnika koji je bio relevantniji ili odlučujući za odluku institucije o odobravanju izloženosti. Među drugim vrstama klasifikacije, raspodjela zajedničkih izloženosti po sektoru druge ugovorne strane, država rezidentnosti i oznaka NACE temelje se na obilježjima relevantnijeg ili odlučujućeg dužnika.</w:t>
            </w:r>
          </w:p>
        </w:tc>
      </w:tr>
      <w:tr w:rsidR="004E71F4" w:rsidRPr="007F4CC8" w14:paraId="4649EF46" w14:textId="77777777" w:rsidTr="00155C96">
        <w:trPr>
          <w:trHeight w:val="755"/>
        </w:trPr>
        <w:tc>
          <w:tcPr>
            <w:tcW w:w="1384" w:type="dxa"/>
          </w:tcPr>
          <w:p w14:paraId="0A49E9D3" w14:textId="77777777" w:rsidR="004E71F4" w:rsidRPr="007F4CC8" w:rsidRDefault="004E71F4" w:rsidP="00155C96">
            <w:pPr>
              <w:pStyle w:val="Applicationdirecte"/>
              <w:spacing w:before="0"/>
            </w:pPr>
            <w:r>
              <w:t>080</w:t>
            </w:r>
          </w:p>
        </w:tc>
        <w:tc>
          <w:tcPr>
            <w:tcW w:w="7655" w:type="dxa"/>
          </w:tcPr>
          <w:p w14:paraId="509BFDA5" w14:textId="77777777" w:rsidR="004E71F4" w:rsidRPr="007F4CC8" w:rsidRDefault="004E71F4" w:rsidP="00155C96">
            <w:pPr>
              <w:pStyle w:val="Applicationdirecte"/>
              <w:spacing w:before="0"/>
              <w:rPr>
                <w:b/>
              </w:rPr>
            </w:pPr>
            <w:r>
              <w:rPr>
                <w:b/>
              </w:rPr>
              <w:t>Dužnički vrijednosni papiri</w:t>
            </w:r>
          </w:p>
          <w:p w14:paraId="0B5E936A" w14:textId="77777777" w:rsidR="004E71F4" w:rsidRPr="007F4CC8" w:rsidRDefault="004E71F4" w:rsidP="00155C96">
            <w:pPr>
              <w:pStyle w:val="Applicationdirecte"/>
              <w:spacing w:before="0"/>
            </w:pPr>
            <w:r>
              <w:t>Vidjeti definiciju u EU-CR1: prihodonosne i neprihodonosne izloženosti i povezane rezervacije.</w:t>
            </w:r>
          </w:p>
        </w:tc>
      </w:tr>
      <w:tr w:rsidR="004E71F4" w:rsidRPr="007F4CC8" w14:paraId="480B47FB" w14:textId="77777777" w:rsidTr="00155C96">
        <w:trPr>
          <w:trHeight w:val="890"/>
        </w:trPr>
        <w:tc>
          <w:tcPr>
            <w:tcW w:w="1384" w:type="dxa"/>
          </w:tcPr>
          <w:p w14:paraId="1D6D18E3" w14:textId="77777777" w:rsidR="004E71F4" w:rsidRPr="007F4CC8" w:rsidRDefault="004E71F4" w:rsidP="00155C96">
            <w:pPr>
              <w:pStyle w:val="Applicationdirecte"/>
              <w:spacing w:before="0"/>
            </w:pPr>
            <w:r>
              <w:t>090</w:t>
            </w:r>
          </w:p>
        </w:tc>
        <w:tc>
          <w:tcPr>
            <w:tcW w:w="7655" w:type="dxa"/>
          </w:tcPr>
          <w:p w14:paraId="7D6088BD" w14:textId="77777777" w:rsidR="004E71F4" w:rsidRPr="007F4CC8" w:rsidRDefault="004E71F4" w:rsidP="00155C96">
            <w:pPr>
              <w:pStyle w:val="Applicationdirecte"/>
              <w:spacing w:before="0"/>
              <w:rPr>
                <w:b/>
              </w:rPr>
            </w:pPr>
            <w:r>
              <w:rPr>
                <w:b/>
              </w:rPr>
              <w:t>Preuzete obveze po kreditima</w:t>
            </w:r>
          </w:p>
          <w:p w14:paraId="7B6AB76A" w14:textId="77777777" w:rsidR="004E71F4" w:rsidRPr="007F4CC8" w:rsidRDefault="004E71F4" w:rsidP="00155C96">
            <w:pPr>
              <w:pStyle w:val="Fait"/>
              <w:spacing w:before="0" w:after="120"/>
            </w:pPr>
            <w:r>
              <w:t>Za preuzete obveze po kreditima objavljuje se nominalni iznos kako je definirana u točki 118. dijela 2. Priloga V. Provedbenoj uredbi Komisije (EU) 680/2014.</w:t>
            </w:r>
          </w:p>
        </w:tc>
      </w:tr>
      <w:tr w:rsidR="004E71F4" w:rsidRPr="007F4CC8" w14:paraId="1671CF3F" w14:textId="77777777" w:rsidTr="00155C96">
        <w:trPr>
          <w:trHeight w:val="274"/>
        </w:trPr>
        <w:tc>
          <w:tcPr>
            <w:tcW w:w="1384" w:type="dxa"/>
          </w:tcPr>
          <w:p w14:paraId="73D5465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100</w:t>
            </w:r>
          </w:p>
        </w:tc>
        <w:tc>
          <w:tcPr>
            <w:tcW w:w="7655" w:type="dxa"/>
          </w:tcPr>
          <w:p w14:paraId="57F96A5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Ukupno</w:t>
            </w:r>
          </w:p>
        </w:tc>
      </w:tr>
    </w:tbl>
    <w:p w14:paraId="2728617B"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385A523" w14:textId="77777777" w:rsidTr="00155C96">
        <w:trPr>
          <w:trHeight w:val="238"/>
        </w:trPr>
        <w:tc>
          <w:tcPr>
            <w:tcW w:w="9039" w:type="dxa"/>
            <w:gridSpan w:val="2"/>
            <w:shd w:val="clear" w:color="auto" w:fill="D9D9D9" w:themeFill="background1" w:themeFillShade="D9"/>
          </w:tcPr>
          <w:p w14:paraId="53306AF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Pravna osnova i upute</w:t>
            </w:r>
          </w:p>
        </w:tc>
      </w:tr>
      <w:tr w:rsidR="004E71F4" w:rsidRPr="007F4CC8" w14:paraId="6A006A78" w14:textId="77777777" w:rsidTr="00155C96">
        <w:trPr>
          <w:trHeight w:val="238"/>
        </w:trPr>
        <w:tc>
          <w:tcPr>
            <w:tcW w:w="1384" w:type="dxa"/>
            <w:shd w:val="clear" w:color="auto" w:fill="D9D9D9" w:themeFill="background1" w:themeFillShade="D9"/>
          </w:tcPr>
          <w:p w14:paraId="391CE3C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Broj stupca</w:t>
            </w:r>
          </w:p>
        </w:tc>
        <w:tc>
          <w:tcPr>
            <w:tcW w:w="7655" w:type="dxa"/>
            <w:shd w:val="clear" w:color="auto" w:fill="D9D9D9" w:themeFill="background1" w:themeFillShade="D9"/>
          </w:tcPr>
          <w:p w14:paraId="245B9F7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Objašnjenje</w:t>
            </w:r>
          </w:p>
        </w:tc>
      </w:tr>
      <w:tr w:rsidR="004E71F4" w:rsidRPr="007F4CC8" w14:paraId="66D72C9F" w14:textId="77777777" w:rsidTr="00155C96">
        <w:trPr>
          <w:trHeight w:val="841"/>
        </w:trPr>
        <w:tc>
          <w:tcPr>
            <w:tcW w:w="1384" w:type="dxa"/>
          </w:tcPr>
          <w:p w14:paraId="2D01752E" w14:textId="77777777" w:rsidR="004E71F4" w:rsidRPr="007F4CC8" w:rsidRDefault="004E71F4" w:rsidP="00155C96">
            <w:pPr>
              <w:pStyle w:val="Applicationdirecte"/>
              <w:spacing w:before="0"/>
            </w:pPr>
            <w:r>
              <w:t>a</w:t>
            </w:r>
          </w:p>
        </w:tc>
        <w:tc>
          <w:tcPr>
            <w:tcW w:w="7655" w:type="dxa"/>
          </w:tcPr>
          <w:p w14:paraId="2BF93BA8" w14:textId="77777777" w:rsidR="004E71F4" w:rsidRPr="007F4CC8" w:rsidRDefault="004E71F4" w:rsidP="00155C96">
            <w:pPr>
              <w:pStyle w:val="Fait"/>
              <w:spacing w:before="0" w:after="120"/>
              <w:rPr>
                <w:rFonts w:eastAsiaTheme="minorEastAsia"/>
                <w:b/>
              </w:rPr>
            </w:pPr>
            <w:r>
              <w:rPr>
                <w:b/>
              </w:rPr>
              <w:t>Bruto knjigovodstvena vrijednost / nominalni iznos izloženosti s mjerama restrukturiranja – od čega prihodonosne restrukturirane</w:t>
            </w:r>
          </w:p>
          <w:p w14:paraId="13725C9F" w14:textId="77777777" w:rsidR="004E71F4" w:rsidRPr="007F4CC8" w:rsidRDefault="004E71F4" w:rsidP="00155C96">
            <w:pPr>
              <w:pStyle w:val="Institutionquisigne"/>
              <w:spacing w:before="0" w:after="120"/>
            </w:pPr>
            <w:r>
              <w:rPr>
                <w:i w:val="0"/>
              </w:rPr>
              <w:t xml:space="preserve">Bruto knjigovodstvena vrijednost kako je definirana u točki 34. dijela 1. Priloga V. Provedbenoj uredbi Komisije (EU) 680/2014.; nominalni iznos kako je definiran u točki 118. dijela 2. Priloga V. Provedbenoj uredbi Komisije </w:t>
            </w:r>
            <w:r>
              <w:rPr>
                <w:i w:val="0"/>
              </w:rPr>
              <w:lastRenderedPageBreak/>
              <w:t>(EU) 680/2014.; izloženosti s mjerama restrukturiranja kako su definirane u članku 47.b CRR-a.</w:t>
            </w:r>
          </w:p>
          <w:p w14:paraId="25580945" w14:textId="77777777" w:rsidR="004E71F4" w:rsidRPr="007F4CC8" w:rsidRDefault="004E71F4" w:rsidP="00155C96">
            <w:pPr>
              <w:pStyle w:val="Fait"/>
              <w:spacing w:before="0" w:after="120"/>
            </w:pPr>
            <w:r>
              <w:t>Bruto knjigovodstvena vrijednost koja se odnosi na izloženosti koje podliježu umanjenju vrijednosti umanjena je za akumulirani djelomični i potpuni otpis.</w:t>
            </w:r>
          </w:p>
          <w:p w14:paraId="3D6856D0" w14:textId="77777777" w:rsidR="004E71F4" w:rsidRPr="007F4CC8" w:rsidRDefault="004E71F4" w:rsidP="00155C96">
            <w:pPr>
              <w:pStyle w:val="Institutionquisigne"/>
              <w:spacing w:before="0" w:after="120"/>
              <w:rPr>
                <w:rFonts w:eastAsiaTheme="minorEastAsia"/>
                <w:i w:val="0"/>
              </w:rPr>
            </w:pPr>
            <w:r>
              <w:rPr>
                <w:i w:val="0"/>
              </w:rPr>
              <w:t>Ovisno o tome ispunjavaju li propisane uvjete iz članka 47.a CRR-a, restrukturirane se izloženosti mogu identificirati kao prihodonosne ili neprihodonosne.</w:t>
            </w:r>
          </w:p>
        </w:tc>
      </w:tr>
      <w:tr w:rsidR="004E71F4" w:rsidRPr="007F4CC8" w14:paraId="0D7DFE39" w14:textId="77777777" w:rsidTr="00155C96">
        <w:trPr>
          <w:trHeight w:val="841"/>
        </w:trPr>
        <w:tc>
          <w:tcPr>
            <w:tcW w:w="1384" w:type="dxa"/>
          </w:tcPr>
          <w:p w14:paraId="67D7BF67" w14:textId="77777777" w:rsidR="004E71F4" w:rsidRPr="007F4CC8" w:rsidRDefault="004E71F4" w:rsidP="00155C96">
            <w:pPr>
              <w:pStyle w:val="Applicationdirecte"/>
              <w:spacing w:before="0"/>
            </w:pPr>
            <w:r>
              <w:lastRenderedPageBreak/>
              <w:t>b</w:t>
            </w:r>
          </w:p>
        </w:tc>
        <w:tc>
          <w:tcPr>
            <w:tcW w:w="7655" w:type="dxa"/>
          </w:tcPr>
          <w:p w14:paraId="5AD6C4FB" w14:textId="77777777" w:rsidR="004E71F4" w:rsidRPr="007F4CC8" w:rsidRDefault="004E71F4" w:rsidP="00155C96">
            <w:pPr>
              <w:pStyle w:val="Fait"/>
              <w:spacing w:before="0" w:after="120"/>
              <w:rPr>
                <w:rFonts w:eastAsiaTheme="minorEastAsia"/>
                <w:b/>
              </w:rPr>
            </w:pPr>
            <w:r>
              <w:rPr>
                <w:b/>
              </w:rPr>
              <w:t>Bruto knjigovodstvena vrijednost / nominalni iznos izloženosti s mjerama restrukturiranja – od čega neprihodonosne restrukturirane</w:t>
            </w:r>
          </w:p>
          <w:p w14:paraId="7C4FC6F8" w14:textId="77777777" w:rsidR="004E71F4" w:rsidRPr="007F4CC8" w:rsidRDefault="004E71F4" w:rsidP="00155C96">
            <w:pPr>
              <w:pStyle w:val="Institutionquisigne"/>
              <w:spacing w:before="0" w:after="120"/>
              <w:rPr>
                <w:i w:val="0"/>
              </w:rPr>
            </w:pPr>
            <w:r>
              <w:rPr>
                <w:i w:val="0"/>
              </w:rPr>
              <w:t>Bruto knjigovodstvena vrijednost kako je definirana u točki 34. dijela 1. Priloga V. Provedbenoj uredbi Komisije (EU) 680/2014.; nominalni iznos kako je definiran u točki 118. dijela 2. Priloga V. Provedbenoj uredbi Komisije (EU) 680/2014.</w:t>
            </w:r>
          </w:p>
          <w:p w14:paraId="1B91069E" w14:textId="77777777" w:rsidR="004E71F4" w:rsidRPr="007F4CC8" w:rsidRDefault="004E71F4" w:rsidP="00155C96">
            <w:pPr>
              <w:pStyle w:val="Fait"/>
              <w:spacing w:before="0" w:after="120"/>
            </w:pPr>
            <w:r>
              <w:t>Bruto knjigovodstvena vrijednost koja se odnosi na izloženosti koje podliježu umanjenju vrijednosti umanjena je za akumulirani djelomični i potpuni otpis.</w:t>
            </w:r>
          </w:p>
          <w:p w14:paraId="25B78BE1" w14:textId="77777777" w:rsidR="004E71F4" w:rsidRPr="007F4CC8" w:rsidRDefault="004E71F4" w:rsidP="00155C96">
            <w:pPr>
              <w:pStyle w:val="Fait"/>
              <w:spacing w:before="0" w:after="120"/>
            </w:pPr>
            <w:r>
              <w:t xml:space="preserve">Neprihodonosne izloženosti s mjerama restrukturiranja (neprihodonosne restrukturirane izloženosti) sastoje se od restrukturiranih izloženosti koje ispunjavaju kriterije za neprihodonosne izloženosti i navode se u kategoriji neprihodonosnih izloženosti. Te neprihodonosne restrukturirane izloženosti uključuju sljedeće: (a) izloženosti koje su postale neprihodonosne zbog primjene mjera restrukturiranja; (b) izloženosti koje su bile neprihodonosne prije odobrenja mjera restrukturiranja; (c) restrukturirane izloženosti koje su </w:t>
            </w:r>
            <w:proofErr w:type="spellStart"/>
            <w:r>
              <w:t>reklasificirane</w:t>
            </w:r>
            <w:proofErr w:type="spellEnd"/>
            <w:r>
              <w:t xml:space="preserve"> iz kategorije </w:t>
            </w:r>
            <w:proofErr w:type="spellStart"/>
            <w:r>
              <w:t>prihodonosnih</w:t>
            </w:r>
            <w:proofErr w:type="spellEnd"/>
            <w:r>
              <w:t xml:space="preserve"> izloženosti, uključujući izloženosti </w:t>
            </w:r>
            <w:proofErr w:type="spellStart"/>
            <w:r>
              <w:t>reklasificirane</w:t>
            </w:r>
            <w:proofErr w:type="spellEnd"/>
            <w:r>
              <w:t xml:space="preserve"> na temelju članka 47.a CRR-a.</w:t>
            </w:r>
          </w:p>
        </w:tc>
      </w:tr>
      <w:tr w:rsidR="004E71F4" w:rsidRPr="007F4CC8" w14:paraId="417D461F" w14:textId="77777777" w:rsidTr="00155C96">
        <w:trPr>
          <w:trHeight w:val="841"/>
        </w:trPr>
        <w:tc>
          <w:tcPr>
            <w:tcW w:w="1384" w:type="dxa"/>
          </w:tcPr>
          <w:p w14:paraId="358E8F20" w14:textId="77777777" w:rsidR="004E71F4" w:rsidRPr="007F4CC8" w:rsidRDefault="004E71F4" w:rsidP="00155C96">
            <w:pPr>
              <w:pStyle w:val="Applicationdirecte"/>
              <w:spacing w:before="0"/>
            </w:pPr>
            <w:r>
              <w:t>c</w:t>
            </w:r>
          </w:p>
        </w:tc>
        <w:tc>
          <w:tcPr>
            <w:tcW w:w="7655" w:type="dxa"/>
          </w:tcPr>
          <w:p w14:paraId="39157DDD" w14:textId="77777777" w:rsidR="004E71F4" w:rsidRPr="007F4CC8" w:rsidRDefault="004E71F4" w:rsidP="00155C96">
            <w:pPr>
              <w:pStyle w:val="Fait"/>
              <w:spacing w:before="0" w:after="120"/>
              <w:ind w:left="720"/>
              <w:rPr>
                <w:rFonts w:eastAsiaTheme="minorEastAsia"/>
                <w:b/>
              </w:rPr>
            </w:pPr>
            <w:r>
              <w:rPr>
                <w:b/>
              </w:rPr>
              <w:t>Od čega u statusu neispunjavanja obveza</w:t>
            </w:r>
          </w:p>
          <w:p w14:paraId="088A6CD1" w14:textId="77777777" w:rsidR="004E71F4" w:rsidRPr="007F4CC8" w:rsidRDefault="004E71F4" w:rsidP="00155C96">
            <w:pPr>
              <w:pStyle w:val="Fait"/>
              <w:spacing w:before="0" w:after="120"/>
              <w:rPr>
                <w:rFonts w:eastAsiaTheme="minorEastAsia"/>
              </w:rPr>
            </w:pPr>
            <w:r>
              <w:t>Restrukturirane izloženosti klasificirane i u statusu neispunjavanja obveza u skladu s člankom 178. CRR-a.</w:t>
            </w:r>
          </w:p>
        </w:tc>
      </w:tr>
      <w:tr w:rsidR="004E71F4" w:rsidRPr="007F4CC8" w14:paraId="26DC2509" w14:textId="77777777" w:rsidTr="00155C96">
        <w:trPr>
          <w:trHeight w:val="841"/>
        </w:trPr>
        <w:tc>
          <w:tcPr>
            <w:tcW w:w="1384" w:type="dxa"/>
          </w:tcPr>
          <w:p w14:paraId="7DF7F5F0" w14:textId="77777777" w:rsidR="004E71F4" w:rsidRPr="007F4CC8" w:rsidRDefault="004E71F4" w:rsidP="00155C96">
            <w:pPr>
              <w:pStyle w:val="Applicationdirecte"/>
              <w:spacing w:before="0"/>
            </w:pPr>
            <w:r>
              <w:t>d</w:t>
            </w:r>
          </w:p>
        </w:tc>
        <w:tc>
          <w:tcPr>
            <w:tcW w:w="7655" w:type="dxa"/>
          </w:tcPr>
          <w:p w14:paraId="2CA300DC" w14:textId="77777777" w:rsidR="004E71F4" w:rsidRPr="007F4CC8" w:rsidRDefault="004E71F4" w:rsidP="00155C96">
            <w:pPr>
              <w:pStyle w:val="Fait"/>
              <w:spacing w:before="0" w:after="120"/>
              <w:ind w:left="720"/>
              <w:rPr>
                <w:rFonts w:eastAsiaTheme="minorEastAsia"/>
                <w:b/>
              </w:rPr>
            </w:pPr>
            <w:r>
              <w:rPr>
                <w:b/>
              </w:rPr>
              <w:t>Od čega umanjene vrijednosti</w:t>
            </w:r>
          </w:p>
          <w:p w14:paraId="0464B764" w14:textId="77777777" w:rsidR="004E71F4" w:rsidRPr="007F4CC8" w:rsidRDefault="004E71F4" w:rsidP="00155C96">
            <w:pPr>
              <w:pStyle w:val="Fait"/>
              <w:spacing w:before="0" w:after="120"/>
              <w:rPr>
                <w:rFonts w:eastAsiaTheme="minorEastAsia"/>
              </w:rPr>
            </w:pPr>
            <w:r>
              <w:t>Restrukturirane izloženosti kojima je i vrijednost umanjena u skladu s primjenjivim računovodstvenim okvirom u skladu s točkom 215. dijela 2. Priloga V. Provedbenoj uredbi Komisije (EU) 680/2014.</w:t>
            </w:r>
          </w:p>
        </w:tc>
      </w:tr>
      <w:tr w:rsidR="004E71F4" w:rsidRPr="007F4CC8" w14:paraId="39E2CA79" w14:textId="77777777" w:rsidTr="00155C96">
        <w:trPr>
          <w:trHeight w:val="841"/>
        </w:trPr>
        <w:tc>
          <w:tcPr>
            <w:tcW w:w="1384" w:type="dxa"/>
          </w:tcPr>
          <w:p w14:paraId="66859C77" w14:textId="77777777" w:rsidR="004E71F4" w:rsidRPr="007F4CC8" w:rsidRDefault="004E71F4" w:rsidP="00155C96">
            <w:pPr>
              <w:pStyle w:val="Applicationdirecte"/>
              <w:spacing w:before="0"/>
            </w:pPr>
            <w:r>
              <w:t>e</w:t>
            </w:r>
          </w:p>
        </w:tc>
        <w:tc>
          <w:tcPr>
            <w:tcW w:w="7655" w:type="dxa"/>
          </w:tcPr>
          <w:p w14:paraId="2ED0650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Akumulirana umanjenja vrijednosti, akumulirane negativne promjene fer vrijednosti zbog kreditnog rizika i rezervacija po </w:t>
            </w:r>
            <w:proofErr w:type="spellStart"/>
            <w:r>
              <w:rPr>
                <w:rFonts w:ascii="Times New Roman" w:hAnsi="Times New Roman"/>
                <w:b/>
                <w:sz w:val="24"/>
              </w:rPr>
              <w:t>prihodonosnim</w:t>
            </w:r>
            <w:proofErr w:type="spellEnd"/>
            <w:r>
              <w:rPr>
                <w:rFonts w:ascii="Times New Roman" w:hAnsi="Times New Roman"/>
                <w:b/>
                <w:sz w:val="24"/>
              </w:rPr>
              <w:t xml:space="preserve"> restrukturiranim izloženostima</w:t>
            </w:r>
          </w:p>
          <w:p w14:paraId="0BC0E204" w14:textId="77777777" w:rsidR="004E71F4" w:rsidRPr="007F4CC8" w:rsidRDefault="004E71F4" w:rsidP="00155C96">
            <w:pPr>
              <w:pStyle w:val="Fait"/>
              <w:spacing w:before="0" w:after="120"/>
            </w:pPr>
            <w:r>
              <w:lastRenderedPageBreak/>
              <w:t xml:space="preserve">Izloženosti s mjerama restrukturiranja kako su definirane u članku 47.b CRR-a. </w:t>
            </w:r>
          </w:p>
          <w:p w14:paraId="01AB5B78" w14:textId="77777777" w:rsidR="004E71F4" w:rsidRPr="007F4CC8" w:rsidRDefault="004E71F4" w:rsidP="00155C96">
            <w:pPr>
              <w:pStyle w:val="Fait"/>
              <w:spacing w:before="0" w:after="120"/>
            </w:pPr>
            <w:r>
              <w:t>Institucije uključuju iznose koji se određuju u skladu s točkom 11., točkama od 69. do 71., točkama 106. i 110. dijela 2. Priloga V. Provedbenoj uredbi Komisije (EU) 680/2014.</w:t>
            </w:r>
          </w:p>
          <w:p w14:paraId="25E0BDEC" w14:textId="77777777" w:rsidR="004E71F4" w:rsidRPr="007F4CC8" w:rsidRDefault="004E71F4" w:rsidP="00155C96">
            <w:pPr>
              <w:pStyle w:val="Fait"/>
              <w:spacing w:before="0" w:after="120"/>
              <w:rPr>
                <w:rFonts w:eastAsiaTheme="minorEastAsia"/>
              </w:rPr>
            </w:pPr>
            <w:r>
              <w:t>Ovisno o tome ispunjavaju li propisane uvjete iz članaka 47.a i 47.b CRR-a, restrukturirane se izloženosti mogu identificirati kao prihodonosne ili neprihodonosne.</w:t>
            </w:r>
          </w:p>
        </w:tc>
      </w:tr>
      <w:tr w:rsidR="004E71F4" w:rsidRPr="007F4CC8" w14:paraId="0D46FDFB" w14:textId="77777777" w:rsidTr="00155C96">
        <w:trPr>
          <w:trHeight w:val="841"/>
        </w:trPr>
        <w:tc>
          <w:tcPr>
            <w:tcW w:w="1384" w:type="dxa"/>
          </w:tcPr>
          <w:p w14:paraId="4C7E563A" w14:textId="77777777" w:rsidR="004E71F4" w:rsidRPr="007F4CC8" w:rsidRDefault="004E71F4" w:rsidP="00155C96">
            <w:pPr>
              <w:pStyle w:val="Applicationdirecte"/>
              <w:spacing w:before="0"/>
            </w:pPr>
            <w:r>
              <w:lastRenderedPageBreak/>
              <w:t>f</w:t>
            </w:r>
          </w:p>
        </w:tc>
        <w:tc>
          <w:tcPr>
            <w:tcW w:w="7655" w:type="dxa"/>
          </w:tcPr>
          <w:p w14:paraId="25BED9D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Akumulirana umanjenja vrijednosti, akumulirane negativne promjene fer vrijednosti zbog kreditnog rizika i rezervacija po neprihodonosnim restrukturiranim izloženostima</w:t>
            </w:r>
          </w:p>
          <w:p w14:paraId="25B80717" w14:textId="77777777" w:rsidR="004E71F4" w:rsidRPr="007F4CC8" w:rsidRDefault="004E71F4" w:rsidP="00155C96">
            <w:pPr>
              <w:pStyle w:val="Fait"/>
              <w:spacing w:before="0" w:after="120"/>
            </w:pPr>
            <w:r>
              <w:t>To uključuje iznose koji se određuju u skladu s točkom 11., točkama od 69. do 71., točkama 106. i 110. dijela 2. Priloga V. Provedbenoj uredbi Komisije (EU) 680/2014.</w:t>
            </w:r>
          </w:p>
          <w:p w14:paraId="1FF4CC1B" w14:textId="77777777" w:rsidR="004E71F4" w:rsidRPr="007F4CC8" w:rsidRDefault="004E71F4" w:rsidP="00155C96">
            <w:pPr>
              <w:pStyle w:val="Fait"/>
              <w:spacing w:before="0" w:after="120"/>
              <w:rPr>
                <w:rFonts w:eastAsiaTheme="minorEastAsia"/>
              </w:rPr>
            </w:pPr>
            <w:r>
              <w:t xml:space="preserve">Neprihodonosne izloženosti s mjerama restrukturiranja (neprihodonosne restrukturirane izloženosti) sastoje se od restrukturiranih izloženosti koje ispunjavaju kriterije za neprihodonosne izloženosti i navode se u kategoriji neprihodonosnih izloženosti. Te neprihodonosne restrukturirane izloženosti uključuju sljedeće: (a) izloženosti koje su postale neprihodonosne zbog primjene mjera restrukturiranja; (b) izloženosti koje su bile neprihodonosne prije odobrenja mjera restrukturiranja; (c) restrukturirane izloženosti koje su </w:t>
            </w:r>
            <w:proofErr w:type="spellStart"/>
            <w:r>
              <w:t>reklasificirane</w:t>
            </w:r>
            <w:proofErr w:type="spellEnd"/>
            <w:r>
              <w:t xml:space="preserve"> iz kategorije </w:t>
            </w:r>
            <w:proofErr w:type="spellStart"/>
            <w:r>
              <w:t>prihodonosnih</w:t>
            </w:r>
            <w:proofErr w:type="spellEnd"/>
            <w:r>
              <w:t xml:space="preserve"> izloženosti, uključujući izloženosti </w:t>
            </w:r>
            <w:proofErr w:type="spellStart"/>
            <w:r>
              <w:t>reklasificirane</w:t>
            </w:r>
            <w:proofErr w:type="spellEnd"/>
            <w:r>
              <w:t xml:space="preserve"> na temelju članka 47.a CRR-a.</w:t>
            </w:r>
          </w:p>
        </w:tc>
      </w:tr>
      <w:tr w:rsidR="004E71F4" w:rsidRPr="007F4CC8" w14:paraId="5BED3824" w14:textId="77777777" w:rsidTr="00155C96">
        <w:trPr>
          <w:trHeight w:val="841"/>
        </w:trPr>
        <w:tc>
          <w:tcPr>
            <w:tcW w:w="1384" w:type="dxa"/>
          </w:tcPr>
          <w:p w14:paraId="778A354F" w14:textId="77777777" w:rsidR="004E71F4" w:rsidRPr="007F4CC8" w:rsidRDefault="004E71F4" w:rsidP="00155C96">
            <w:pPr>
              <w:pStyle w:val="Applicationdirecte"/>
              <w:spacing w:before="0"/>
            </w:pPr>
            <w:r>
              <w:t>g</w:t>
            </w:r>
          </w:p>
        </w:tc>
        <w:tc>
          <w:tcPr>
            <w:tcW w:w="7655" w:type="dxa"/>
          </w:tcPr>
          <w:p w14:paraId="0C2C2192" w14:textId="77777777" w:rsidR="004E71F4" w:rsidRPr="007F4CC8" w:rsidRDefault="004E71F4" w:rsidP="00155C96">
            <w:pPr>
              <w:pStyle w:val="Fait"/>
              <w:spacing w:before="0" w:after="120"/>
              <w:rPr>
                <w:rFonts w:eastAsiaTheme="minorEastAsia"/>
                <w:b/>
              </w:rPr>
            </w:pPr>
            <w:r>
              <w:rPr>
                <w:b/>
              </w:rPr>
              <w:t>Primljeni kolaterali i primljena financijska jamstva na restrukturiranim izloženostima</w:t>
            </w:r>
          </w:p>
          <w:p w14:paraId="141099E9" w14:textId="77777777" w:rsidR="004E71F4" w:rsidRPr="007F4CC8" w:rsidRDefault="004E71F4" w:rsidP="00155C96">
            <w:pPr>
              <w:pStyle w:val="Fait"/>
              <w:spacing w:before="0" w:after="120"/>
              <w:rPr>
                <w:rFonts w:eastAsiaTheme="minorEastAsia"/>
              </w:rPr>
            </w:pPr>
            <w:r>
              <w:t>Objavljuju se za sve izloženosti s mjerama restrukturiranja, neovisno o tome jesu li prihodonosne ili neprihodonosne. Iznosi za primljene kolaterale i jamstva izračunavaju se u skladu s točkom 239. dijela 2. Priloga V. Provedbenoj uredbi Komisije (EU) 680/2014. Zbroj iznosa za kolaterale i jamstva ograničava se na knjigovodstvenu vrijednost povezane izloženosti.</w:t>
            </w:r>
          </w:p>
        </w:tc>
      </w:tr>
      <w:tr w:rsidR="004E71F4" w:rsidRPr="007F4CC8" w14:paraId="3A548F70" w14:textId="77777777" w:rsidTr="00155C96">
        <w:trPr>
          <w:trHeight w:val="841"/>
        </w:trPr>
        <w:tc>
          <w:tcPr>
            <w:tcW w:w="1384" w:type="dxa"/>
          </w:tcPr>
          <w:p w14:paraId="368F9545" w14:textId="77777777" w:rsidR="004E71F4" w:rsidRPr="007F4CC8" w:rsidRDefault="004E71F4" w:rsidP="00155C96">
            <w:pPr>
              <w:pStyle w:val="Applicationdirecte"/>
              <w:spacing w:before="0"/>
            </w:pPr>
            <w:r>
              <w:t>h</w:t>
            </w:r>
          </w:p>
        </w:tc>
        <w:tc>
          <w:tcPr>
            <w:tcW w:w="7655" w:type="dxa"/>
          </w:tcPr>
          <w:p w14:paraId="3D5E49E3" w14:textId="77777777" w:rsidR="004E71F4" w:rsidRPr="007F4CC8" w:rsidRDefault="004E71F4" w:rsidP="00155C96">
            <w:pPr>
              <w:pStyle w:val="Fait"/>
              <w:spacing w:before="0" w:after="120"/>
              <w:ind w:left="720"/>
              <w:rPr>
                <w:rFonts w:eastAsiaTheme="minorEastAsia"/>
                <w:b/>
              </w:rPr>
            </w:pPr>
            <w:r>
              <w:rPr>
                <w:b/>
              </w:rPr>
              <w:t>od čega primljeni kolaterali i primljena jamstva po neprihodonosnim izloženostima s mjerama restrukturiranja</w:t>
            </w:r>
          </w:p>
          <w:p w14:paraId="654570CA" w14:textId="77777777" w:rsidR="004E71F4" w:rsidRPr="007F4CC8" w:rsidRDefault="004E71F4" w:rsidP="00155C96">
            <w:pPr>
              <w:pStyle w:val="Fait"/>
              <w:spacing w:before="0" w:after="120"/>
            </w:pPr>
            <w:r>
              <w:t>Iznosi za primljene kolaterale i jamstva izračunavaju se u skladu s točkom 239. dijela 2. Priloga V. Provedbenoj uredbi Komisije (EU) 680/2014. Zbroj iznosa za kolaterale i jamstva ograničava se na knjigovodstvenu vrijednost povezane izloženosti.</w:t>
            </w:r>
          </w:p>
          <w:p w14:paraId="3404E1BB" w14:textId="77777777" w:rsidR="004E71F4" w:rsidRPr="007F4CC8" w:rsidRDefault="004E71F4" w:rsidP="00155C96">
            <w:pPr>
              <w:pStyle w:val="Fait"/>
              <w:spacing w:before="0" w:after="120"/>
              <w:rPr>
                <w:rFonts w:eastAsiaTheme="minorEastAsia"/>
              </w:rPr>
            </w:pPr>
            <w:r>
              <w:t xml:space="preserve">Neprihodonosne izloženosti s mjerama restrukturiranja (neprihodonosne restrukturirane izloženosti) sastoje se od restrukturiranih izloženosti koje ispunjavaju kriterije za neprihodonosne izloženosti i navode se u kategoriji neprihodonosnih izloženosti. Te neprihodonosne restrukturirane izloženosti uključuju sljedeće: (a) izloženosti koje su postale neprihodonosne zbog primjene mjera restrukturiranja; (b) izloženosti koje su bile neprihodonosne prije odobrenja mjera restrukturiranja; (c) restrukturirane izloženosti koje su </w:t>
            </w:r>
            <w:proofErr w:type="spellStart"/>
            <w:r>
              <w:lastRenderedPageBreak/>
              <w:t>reklasificirane</w:t>
            </w:r>
            <w:proofErr w:type="spellEnd"/>
            <w:r>
              <w:t xml:space="preserve"> iz kategorije </w:t>
            </w:r>
            <w:proofErr w:type="spellStart"/>
            <w:r>
              <w:t>prihodonosnih</w:t>
            </w:r>
            <w:proofErr w:type="spellEnd"/>
            <w:r>
              <w:t xml:space="preserve"> izloženosti, uključujući izloženosti </w:t>
            </w:r>
            <w:proofErr w:type="spellStart"/>
            <w:r>
              <w:t>reklasificirane</w:t>
            </w:r>
            <w:proofErr w:type="spellEnd"/>
            <w:r>
              <w:t xml:space="preserve"> na temelju članka 47.a CRR-a.</w:t>
            </w:r>
          </w:p>
        </w:tc>
      </w:tr>
    </w:tbl>
    <w:p w14:paraId="590F809F"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42C631CC" w14:textId="3A6E63C3"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Obrazac EU CQ2: Kvaliteta restrukturiranja</w:t>
      </w:r>
    </w:p>
    <w:p w14:paraId="48713760" w14:textId="4741F4AC" w:rsidR="004E71F4" w:rsidRPr="007F4CC8" w:rsidRDefault="004E71F4" w:rsidP="004E71F4">
      <w:pPr>
        <w:pStyle w:val="ListParagraph"/>
        <w:numPr>
          <w:ilvl w:val="0"/>
          <w:numId w:val="47"/>
        </w:numPr>
        <w:spacing w:after="120"/>
        <w:jc w:val="both"/>
        <w:rPr>
          <w:rFonts w:ascii="Times New Roman" w:hAnsi="Times New Roman"/>
          <w:bCs/>
          <w:sz w:val="24"/>
        </w:rPr>
      </w:pPr>
      <w:r>
        <w:rPr>
          <w:rFonts w:ascii="Times New Roman" w:hAnsi="Times New Roman"/>
          <w:bCs/>
          <w:sz w:val="24"/>
        </w:rPr>
        <w:t>Institucije objavljuju informacije iz članka 442. točke (c) CRR-a ispunjavanjem obrasca EU CQ2 iz Priloga XV. ovoj Provedbenoj uredbi prema uputama u nastavku ovog Priloga.</w:t>
      </w:r>
    </w:p>
    <w:p w14:paraId="3A6636AA"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3E79C1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BFAF6"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Pravna osnova i upute</w:t>
            </w:r>
          </w:p>
        </w:tc>
      </w:tr>
      <w:tr w:rsidR="004E71F4" w:rsidRPr="007F4CC8" w14:paraId="4CF8AE9F" w14:textId="77777777" w:rsidTr="00155C96">
        <w:trPr>
          <w:trHeight w:val="238"/>
        </w:trPr>
        <w:tc>
          <w:tcPr>
            <w:tcW w:w="1384" w:type="dxa"/>
            <w:shd w:val="clear" w:color="auto" w:fill="D9D9D9" w:themeFill="background1" w:themeFillShade="D9"/>
          </w:tcPr>
          <w:p w14:paraId="275BE76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0BC984C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4E71F4" w:rsidRPr="007F4CC8" w14:paraId="51A2129F" w14:textId="77777777" w:rsidTr="00155C96">
        <w:trPr>
          <w:trHeight w:val="2033"/>
        </w:trPr>
        <w:tc>
          <w:tcPr>
            <w:tcW w:w="1384" w:type="dxa"/>
          </w:tcPr>
          <w:p w14:paraId="7B4FF727" w14:textId="77777777" w:rsidR="004E71F4" w:rsidRPr="007F4CC8" w:rsidRDefault="004E71F4" w:rsidP="00155C96">
            <w:pPr>
              <w:pStyle w:val="Applicationdirecte"/>
              <w:spacing w:before="0"/>
            </w:pPr>
            <w:r>
              <w:t>010</w:t>
            </w:r>
          </w:p>
        </w:tc>
        <w:tc>
          <w:tcPr>
            <w:tcW w:w="7655" w:type="dxa"/>
          </w:tcPr>
          <w:p w14:paraId="45C99ADD" w14:textId="77777777" w:rsidR="004E71F4" w:rsidRPr="007F4CC8" w:rsidRDefault="004E71F4" w:rsidP="00155C96">
            <w:pPr>
              <w:pStyle w:val="Applicationdirecte"/>
              <w:spacing w:before="0"/>
              <w:rPr>
                <w:b/>
              </w:rPr>
            </w:pPr>
            <w:r>
              <w:rPr>
                <w:b/>
              </w:rPr>
              <w:t>Krediti i predujmovi restrukturirani više od dva puta</w:t>
            </w:r>
          </w:p>
          <w:p w14:paraId="6246E853" w14:textId="77777777" w:rsidR="004E71F4" w:rsidRPr="007F4CC8" w:rsidRDefault="004E71F4" w:rsidP="00155C96">
            <w:pPr>
              <w:pStyle w:val="Fait"/>
              <w:spacing w:before="0" w:after="120"/>
            </w:pPr>
            <w:r>
              <w:t>Bruto knjigovodstvena vrijednost kredita i predujmova za koje su u prošlosti više od dva puta odobrene mjere restrukturiranja</w:t>
            </w:r>
          </w:p>
          <w:p w14:paraId="554BA266" w14:textId="77777777" w:rsidR="004E71F4" w:rsidRPr="007F4CC8" w:rsidRDefault="004E71F4" w:rsidP="00155C96">
            <w:pPr>
              <w:pStyle w:val="Fait"/>
              <w:spacing w:before="0" w:after="120"/>
            </w:pPr>
            <w:r>
              <w:t>Ovdje se iskazuju i krediti i predujmovi za koje su odobrene mjere restrukturiranja koji više nemaju status restrukturiranih (tj. oporavljeni restrukturirani krediti i predujmovi) ako su za njih odobrene nove mjere restrukturiranja.</w:t>
            </w:r>
          </w:p>
        </w:tc>
      </w:tr>
      <w:tr w:rsidR="004E71F4" w:rsidRPr="007F4CC8" w14:paraId="7BA7E1A9" w14:textId="77777777" w:rsidTr="00155C96">
        <w:trPr>
          <w:trHeight w:val="316"/>
        </w:trPr>
        <w:tc>
          <w:tcPr>
            <w:tcW w:w="1384" w:type="dxa"/>
          </w:tcPr>
          <w:p w14:paraId="51B1495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020</w:t>
            </w:r>
          </w:p>
        </w:tc>
        <w:tc>
          <w:tcPr>
            <w:tcW w:w="7655" w:type="dxa"/>
          </w:tcPr>
          <w:p w14:paraId="195821F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Neprihodonosni restrukturirani krediti i predujmovi koji ne ispunjavaju uvjete za izlazak iz statusa neprihodonosnih</w:t>
            </w:r>
          </w:p>
          <w:p w14:paraId="651BEEE0" w14:textId="77777777" w:rsidR="004E71F4" w:rsidRPr="007F4CC8" w:rsidRDefault="004E71F4" w:rsidP="00155C96">
            <w:pPr>
              <w:pStyle w:val="Fait"/>
              <w:spacing w:before="0" w:after="120"/>
              <w:rPr>
                <w:b/>
              </w:rPr>
            </w:pPr>
            <w:r>
              <w:t>Bruto knjigovodstvena vrijednost neprihodonosnih restrukturiranih kredita i predujmova koji su u kategoriji neprihodonosnih restrukturiranih kredita i predujmova u razdoblju oporavka od godinu dana, a koji nakon tog razdoblja nisu ispunili mjere restrukturiranja i stoga nisu u kategoriji prihodonosnih restrukturiranih, nego su u razdoblju oporavka ostali u kategoriji neprihodonosnih restrukturiranih</w:t>
            </w:r>
          </w:p>
        </w:tc>
      </w:tr>
    </w:tbl>
    <w:p w14:paraId="72890BE0"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0867AF8" w14:textId="77777777" w:rsidTr="00155C96">
        <w:trPr>
          <w:trHeight w:val="238"/>
        </w:trPr>
        <w:tc>
          <w:tcPr>
            <w:tcW w:w="9039" w:type="dxa"/>
            <w:gridSpan w:val="2"/>
            <w:shd w:val="clear" w:color="auto" w:fill="D9D9D9" w:themeFill="background1" w:themeFillShade="D9"/>
          </w:tcPr>
          <w:p w14:paraId="0E99776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Pravna osnova i upute</w:t>
            </w:r>
          </w:p>
        </w:tc>
      </w:tr>
      <w:tr w:rsidR="004E71F4" w:rsidRPr="007F4CC8" w14:paraId="619087BF" w14:textId="77777777" w:rsidTr="00155C96">
        <w:trPr>
          <w:trHeight w:val="238"/>
        </w:trPr>
        <w:tc>
          <w:tcPr>
            <w:tcW w:w="1384" w:type="dxa"/>
            <w:shd w:val="clear" w:color="auto" w:fill="D9D9D9" w:themeFill="background1" w:themeFillShade="D9"/>
          </w:tcPr>
          <w:p w14:paraId="322839B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Broj stupca</w:t>
            </w:r>
          </w:p>
        </w:tc>
        <w:tc>
          <w:tcPr>
            <w:tcW w:w="7655" w:type="dxa"/>
            <w:shd w:val="clear" w:color="auto" w:fill="D9D9D9" w:themeFill="background1" w:themeFillShade="D9"/>
          </w:tcPr>
          <w:p w14:paraId="4C39D44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Objašnjenje</w:t>
            </w:r>
          </w:p>
        </w:tc>
      </w:tr>
      <w:tr w:rsidR="004E71F4" w:rsidRPr="007F4CC8" w14:paraId="1FE78F1D" w14:textId="77777777" w:rsidTr="00155C96">
        <w:trPr>
          <w:trHeight w:val="841"/>
        </w:trPr>
        <w:tc>
          <w:tcPr>
            <w:tcW w:w="1384" w:type="dxa"/>
          </w:tcPr>
          <w:p w14:paraId="00B484D4" w14:textId="77777777" w:rsidR="004E71F4" w:rsidRPr="007F4CC8" w:rsidRDefault="004E71F4" w:rsidP="00155C96">
            <w:pPr>
              <w:pStyle w:val="Applicationdirecte"/>
              <w:spacing w:before="0"/>
            </w:pPr>
            <w:r>
              <w:t>a</w:t>
            </w:r>
          </w:p>
        </w:tc>
        <w:tc>
          <w:tcPr>
            <w:tcW w:w="7655" w:type="dxa"/>
          </w:tcPr>
          <w:p w14:paraId="285875B6" w14:textId="77777777" w:rsidR="004E71F4" w:rsidRPr="007F4CC8" w:rsidRDefault="004E71F4" w:rsidP="00155C96">
            <w:pPr>
              <w:pStyle w:val="Fait"/>
              <w:spacing w:before="0" w:after="120"/>
              <w:rPr>
                <w:rFonts w:eastAsiaTheme="minorEastAsia"/>
                <w:b/>
              </w:rPr>
            </w:pPr>
            <w:r>
              <w:rPr>
                <w:b/>
              </w:rPr>
              <w:t>Bruto knjigovodstvena vrijednost restrukturiranih izloženosti</w:t>
            </w:r>
          </w:p>
          <w:p w14:paraId="64A87F8A" w14:textId="77777777" w:rsidR="004E71F4" w:rsidRPr="007F4CC8" w:rsidRDefault="004E71F4" w:rsidP="00155C96">
            <w:pPr>
              <w:pStyle w:val="Institutionquisigne"/>
              <w:spacing w:before="0" w:after="120"/>
              <w:rPr>
                <w:i w:val="0"/>
              </w:rPr>
            </w:pPr>
            <w:r>
              <w:rPr>
                <w:i w:val="0"/>
              </w:rPr>
              <w:t>Bruto knjigovodstvena vrijednost kako je definirana u točki 34. dijela 1. Priloga V. Provedbenoj uredbi Komisije (EU) 680/2014.; izloženosti s mjerama restrukturiranja kako su definirane u članku 47.b CRR-a.</w:t>
            </w:r>
          </w:p>
          <w:p w14:paraId="2F31ADDC" w14:textId="77777777" w:rsidR="004E71F4" w:rsidRPr="007F4CC8" w:rsidRDefault="004E71F4" w:rsidP="00155C96">
            <w:pPr>
              <w:pStyle w:val="Institutionquisigne"/>
              <w:spacing w:before="0" w:after="120"/>
            </w:pPr>
            <w:r>
              <w:rPr>
                <w:i w:val="0"/>
              </w:rPr>
              <w:t>Ovisno o tome ispunjavaju li propisane uvjete iz članaka 47.a ili 47.b CRR-a, restrukturirane se izloženosti mogu identificirati kao prihodonosne ili neprihodonosne.</w:t>
            </w:r>
          </w:p>
        </w:tc>
      </w:tr>
    </w:tbl>
    <w:p w14:paraId="116A1C3C"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2EC9F553"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14D54E97" w14:textId="0DDF2DC8"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lastRenderedPageBreak/>
        <w:t>Obrazac EU CQ3: Kreditna kvaliteta prihodonosnih i neprihodonosnih izloženosti prema danima dospjelosti</w:t>
      </w:r>
    </w:p>
    <w:p w14:paraId="5634BDBD" w14:textId="4C330CC5"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bCs/>
          <w:sz w:val="24"/>
        </w:rPr>
        <w:t>Institucije objavljuju informacije iz članka 442. točke (d) CRR-a ispunjavanjem obrasca EU CQ3 iz Priloga XV. ovoj Provedbenoj uredbi prema uputama u nastavku ovog Priloga.</w:t>
      </w:r>
    </w:p>
    <w:p w14:paraId="405FCF0E"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608B1BC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2C4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Pravna osnova i upute</w:t>
            </w:r>
          </w:p>
        </w:tc>
      </w:tr>
      <w:tr w:rsidR="004E71F4" w:rsidRPr="007F4CC8" w14:paraId="2184228E" w14:textId="77777777" w:rsidTr="00155C96">
        <w:trPr>
          <w:trHeight w:val="238"/>
        </w:trPr>
        <w:tc>
          <w:tcPr>
            <w:tcW w:w="1384" w:type="dxa"/>
            <w:shd w:val="clear" w:color="auto" w:fill="D9D9D9" w:themeFill="background1" w:themeFillShade="D9"/>
          </w:tcPr>
          <w:p w14:paraId="53B575A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736FC27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4E71F4" w:rsidRPr="007F4CC8" w14:paraId="4456E34A" w14:textId="77777777" w:rsidTr="00155C96">
        <w:trPr>
          <w:trHeight w:val="845"/>
        </w:trPr>
        <w:tc>
          <w:tcPr>
            <w:tcW w:w="1384" w:type="dxa"/>
          </w:tcPr>
          <w:p w14:paraId="652E5476" w14:textId="77777777" w:rsidR="004E71F4" w:rsidRPr="007F4CC8" w:rsidRDefault="004E71F4" w:rsidP="00155C96">
            <w:pPr>
              <w:pStyle w:val="Applicationdirecte"/>
              <w:spacing w:before="0"/>
            </w:pPr>
            <w:r>
              <w:t>005</w:t>
            </w:r>
          </w:p>
        </w:tc>
        <w:tc>
          <w:tcPr>
            <w:tcW w:w="7655" w:type="dxa"/>
          </w:tcPr>
          <w:p w14:paraId="3D6B1985" w14:textId="77777777" w:rsidR="004E71F4" w:rsidRPr="007F4CC8" w:rsidRDefault="004E71F4" w:rsidP="00155C96">
            <w:pPr>
              <w:pStyle w:val="Applicationdirecte"/>
              <w:spacing w:before="0"/>
              <w:rPr>
                <w:b/>
              </w:rPr>
            </w:pPr>
            <w:r>
              <w:rPr>
                <w:b/>
              </w:rPr>
              <w:t>Sredstva u središnjim bankama i ostali depoziti po viđenju</w:t>
            </w:r>
          </w:p>
          <w:p w14:paraId="50BED74F" w14:textId="77777777" w:rsidR="004E71F4" w:rsidRPr="007F4CC8" w:rsidRDefault="004E71F4" w:rsidP="00155C96">
            <w:pPr>
              <w:pStyle w:val="Applicationdirecte"/>
              <w:spacing w:before="0"/>
            </w:pPr>
            <w:r>
              <w:t>Institucije te informacije objavljuju u skladu s informacijama iskazanima u prilozima III. i IV. Provedbenoj uredbi Komisije (EU) 680/2014.</w:t>
            </w:r>
          </w:p>
        </w:tc>
      </w:tr>
      <w:tr w:rsidR="004E71F4" w:rsidRPr="007F4CC8" w14:paraId="327FB056" w14:textId="77777777" w:rsidTr="00155C96">
        <w:trPr>
          <w:trHeight w:val="845"/>
        </w:trPr>
        <w:tc>
          <w:tcPr>
            <w:tcW w:w="1384" w:type="dxa"/>
          </w:tcPr>
          <w:p w14:paraId="545A75CF" w14:textId="77777777" w:rsidR="004E71F4" w:rsidRPr="007F4CC8" w:rsidRDefault="004E71F4" w:rsidP="00155C96">
            <w:pPr>
              <w:pStyle w:val="Applicationdirecte"/>
              <w:spacing w:before="0"/>
            </w:pPr>
            <w:r>
              <w:t>010</w:t>
            </w:r>
          </w:p>
        </w:tc>
        <w:tc>
          <w:tcPr>
            <w:tcW w:w="7655" w:type="dxa"/>
          </w:tcPr>
          <w:p w14:paraId="2D665D91" w14:textId="77777777" w:rsidR="004E71F4" w:rsidRPr="007F4CC8" w:rsidRDefault="004E71F4" w:rsidP="00155C96">
            <w:pPr>
              <w:pStyle w:val="Applicationdirecte"/>
              <w:spacing w:before="0"/>
              <w:rPr>
                <w:b/>
              </w:rPr>
            </w:pPr>
            <w:r>
              <w:rPr>
                <w:b/>
              </w:rPr>
              <w:t>Krediti i predujmovi</w:t>
            </w:r>
          </w:p>
          <w:p w14:paraId="4B205592" w14:textId="77777777" w:rsidR="004E71F4" w:rsidRPr="007F4CC8" w:rsidRDefault="004E71F4" w:rsidP="00155C96">
            <w:pPr>
              <w:pStyle w:val="Applicationdirecte"/>
              <w:spacing w:before="0"/>
            </w:pPr>
            <w:r>
              <w:t>Vidjeti definiciju u EU-CR1: prihodonosne i neprihodonosne izloženosti i povezane rezervacije.</w:t>
            </w:r>
          </w:p>
        </w:tc>
      </w:tr>
      <w:tr w:rsidR="004E71F4" w:rsidRPr="007F4CC8" w14:paraId="1CF6B9A3" w14:textId="77777777" w:rsidTr="00155C96">
        <w:trPr>
          <w:trHeight w:val="3815"/>
        </w:trPr>
        <w:tc>
          <w:tcPr>
            <w:tcW w:w="1384" w:type="dxa"/>
          </w:tcPr>
          <w:p w14:paraId="679C951A" w14:textId="77777777" w:rsidR="004E71F4" w:rsidRPr="007F4CC8" w:rsidRDefault="004E71F4" w:rsidP="00155C96">
            <w:pPr>
              <w:pStyle w:val="Applicationdirecte"/>
              <w:spacing w:before="0"/>
            </w:pPr>
            <w:r>
              <w:t>020 – 060, 080, 100 – 140, 160 –210</w:t>
            </w:r>
          </w:p>
        </w:tc>
        <w:tc>
          <w:tcPr>
            <w:tcW w:w="7655" w:type="dxa"/>
          </w:tcPr>
          <w:p w14:paraId="7D10F9AE" w14:textId="77777777" w:rsidR="004E71F4" w:rsidRPr="007F4CC8" w:rsidRDefault="004E71F4" w:rsidP="00155C96">
            <w:pPr>
              <w:pStyle w:val="Applicationdirecte"/>
              <w:spacing w:before="0"/>
              <w:rPr>
                <w:b/>
              </w:rPr>
            </w:pPr>
            <w:r>
              <w:rPr>
                <w:b/>
              </w:rPr>
              <w:t>Raščlamba prema drugoj ugovornoj strani</w:t>
            </w:r>
          </w:p>
          <w:p w14:paraId="0F47965A" w14:textId="77777777" w:rsidR="004E71F4" w:rsidRPr="007F4CC8" w:rsidRDefault="004E71F4" w:rsidP="00155C96">
            <w:pPr>
              <w:pStyle w:val="Applicationdirecte"/>
              <w:spacing w:before="0"/>
            </w:pPr>
            <w:r>
              <w:t>Institucije primjenjuju raščlambu prema drugoj ugovornoj strani kako je definirano u točki 42. dijela 1. Priloga V. Provedbenoj uredbi Komisije (EU) 680/2014.</w:t>
            </w:r>
          </w:p>
          <w:p w14:paraId="485FC433" w14:textId="77777777" w:rsidR="004E71F4" w:rsidRPr="007F4CC8" w:rsidRDefault="004E71F4" w:rsidP="00155C96">
            <w:pPr>
              <w:pStyle w:val="Fait"/>
              <w:spacing w:before="0" w:after="120"/>
            </w:pPr>
            <w:r>
              <w:t>Raspodjela ugovornih strana po sektoru temelji se isključivo na naravi neposredne druge ugovorne strane. Klasifikacija zajedničkih izloženosti više dužnika obavlja se na temelju obilježja dužnika koji je bio relevantniji ili odlučujući za odluku institucije o odobravanju izloženosti. Među drugim vrstama klasifikacije, raspodjela zajedničkih izloženosti po sektoru druge ugovorne strane, država rezidentnosti i oznaka NACE temelje se na obilježjima relevantnijeg ili odlučujućeg dužnika.</w:t>
            </w:r>
          </w:p>
        </w:tc>
      </w:tr>
      <w:tr w:rsidR="004E71F4" w:rsidRPr="007F4CC8" w14:paraId="55315A3B" w14:textId="77777777" w:rsidTr="00155C96">
        <w:trPr>
          <w:trHeight w:val="316"/>
        </w:trPr>
        <w:tc>
          <w:tcPr>
            <w:tcW w:w="1384" w:type="dxa"/>
          </w:tcPr>
          <w:p w14:paraId="403C654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68061E1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MSP-ovi</w:t>
            </w:r>
          </w:p>
          <w:p w14:paraId="4DBC8B1B"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Kako je definirano u točki 5. </w:t>
            </w:r>
            <w:proofErr w:type="spellStart"/>
            <w:r>
              <w:rPr>
                <w:rFonts w:ascii="Times New Roman" w:hAnsi="Times New Roman"/>
                <w:sz w:val="24"/>
              </w:rPr>
              <w:t>podtočki</w:t>
            </w:r>
            <w:proofErr w:type="spellEnd"/>
            <w:r>
              <w:rPr>
                <w:rFonts w:ascii="Times New Roman" w:hAnsi="Times New Roman"/>
                <w:sz w:val="24"/>
              </w:rPr>
              <w:t xml:space="preserve"> i. dijela 1. Priloga V. Provedbenoj uredbi Komisije (EU) 680/2014.</w:t>
            </w:r>
          </w:p>
        </w:tc>
      </w:tr>
      <w:tr w:rsidR="004E71F4" w:rsidRPr="007F4CC8" w14:paraId="6B9153EE" w14:textId="77777777" w:rsidTr="00155C96">
        <w:trPr>
          <w:trHeight w:val="530"/>
        </w:trPr>
        <w:tc>
          <w:tcPr>
            <w:tcW w:w="1384" w:type="dxa"/>
          </w:tcPr>
          <w:p w14:paraId="615F77F3"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2689A26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Dužnički vrijednosni papiri</w:t>
            </w:r>
          </w:p>
          <w:p w14:paraId="092856A9" w14:textId="77777777" w:rsidR="004E71F4" w:rsidRPr="007F4CC8" w:rsidRDefault="004E71F4" w:rsidP="00155C96">
            <w:pPr>
              <w:pStyle w:val="Applicationdirecte"/>
              <w:spacing w:before="0"/>
            </w:pPr>
            <w:r>
              <w:t>Vidjeti definiciju u EU-CR1: prihodonosne i neprihodonosne izloženosti i povezane rezervacije.</w:t>
            </w:r>
          </w:p>
        </w:tc>
      </w:tr>
      <w:tr w:rsidR="004E71F4" w:rsidRPr="007F4CC8" w14:paraId="7A92C4D0" w14:textId="77777777" w:rsidTr="00155C96">
        <w:trPr>
          <w:trHeight w:val="620"/>
        </w:trPr>
        <w:tc>
          <w:tcPr>
            <w:tcW w:w="1384" w:type="dxa"/>
          </w:tcPr>
          <w:p w14:paraId="414DB6B0"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5D66670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Izvanbilančne izloženosti</w:t>
            </w:r>
          </w:p>
          <w:p w14:paraId="3C8CA495" w14:textId="77777777" w:rsidR="004E71F4" w:rsidRPr="007F4CC8" w:rsidRDefault="004E71F4" w:rsidP="00155C96">
            <w:pPr>
              <w:pStyle w:val="Applicationdirecte"/>
              <w:spacing w:before="0"/>
            </w:pPr>
            <w:r>
              <w:t>Vidjeti definiciju u EU-CR1: prihodonosne i neprihodonosne izloženosti i povezane rezervacije.</w:t>
            </w:r>
          </w:p>
        </w:tc>
      </w:tr>
      <w:tr w:rsidR="004E71F4" w:rsidRPr="007F4CC8" w14:paraId="5F50AD39" w14:textId="77777777" w:rsidTr="00155C96">
        <w:trPr>
          <w:trHeight w:val="273"/>
        </w:trPr>
        <w:tc>
          <w:tcPr>
            <w:tcW w:w="1384" w:type="dxa"/>
          </w:tcPr>
          <w:p w14:paraId="6B9553D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5ABEA87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Ukupno</w:t>
            </w:r>
          </w:p>
        </w:tc>
      </w:tr>
    </w:tbl>
    <w:p w14:paraId="35124A0F"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FFA4F8A" w14:textId="77777777" w:rsidTr="00155C96">
        <w:trPr>
          <w:trHeight w:val="238"/>
        </w:trPr>
        <w:tc>
          <w:tcPr>
            <w:tcW w:w="9039" w:type="dxa"/>
            <w:gridSpan w:val="2"/>
            <w:shd w:val="clear" w:color="auto" w:fill="D9D9D9" w:themeFill="background1" w:themeFillShade="D9"/>
          </w:tcPr>
          <w:p w14:paraId="19AFFFF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Pravna osnova i upute</w:t>
            </w:r>
          </w:p>
        </w:tc>
      </w:tr>
      <w:tr w:rsidR="004E71F4" w:rsidRPr="007F4CC8" w14:paraId="004F64FE" w14:textId="77777777" w:rsidTr="00155C96">
        <w:trPr>
          <w:trHeight w:val="238"/>
        </w:trPr>
        <w:tc>
          <w:tcPr>
            <w:tcW w:w="1384" w:type="dxa"/>
            <w:shd w:val="clear" w:color="auto" w:fill="D9D9D9" w:themeFill="background1" w:themeFillShade="D9"/>
          </w:tcPr>
          <w:p w14:paraId="10CA213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Broj stupca</w:t>
            </w:r>
          </w:p>
        </w:tc>
        <w:tc>
          <w:tcPr>
            <w:tcW w:w="7655" w:type="dxa"/>
            <w:shd w:val="clear" w:color="auto" w:fill="D9D9D9" w:themeFill="background1" w:themeFillShade="D9"/>
          </w:tcPr>
          <w:p w14:paraId="3568609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Objašnjenje</w:t>
            </w:r>
          </w:p>
        </w:tc>
      </w:tr>
      <w:tr w:rsidR="004E71F4" w:rsidRPr="007F4CC8" w14:paraId="4D1F4E45" w14:textId="77777777" w:rsidTr="00155C96">
        <w:trPr>
          <w:trHeight w:val="841"/>
        </w:trPr>
        <w:tc>
          <w:tcPr>
            <w:tcW w:w="1384" w:type="dxa"/>
          </w:tcPr>
          <w:p w14:paraId="00E224B7" w14:textId="77777777" w:rsidR="004E71F4" w:rsidRPr="007F4CC8" w:rsidRDefault="004E71F4" w:rsidP="00155C96">
            <w:pPr>
              <w:pStyle w:val="Applicationdirecte"/>
              <w:spacing w:before="0"/>
            </w:pPr>
            <w:r>
              <w:t>a</w:t>
            </w:r>
          </w:p>
        </w:tc>
        <w:tc>
          <w:tcPr>
            <w:tcW w:w="7655" w:type="dxa"/>
          </w:tcPr>
          <w:p w14:paraId="7EA73C0C" w14:textId="77777777" w:rsidR="004E71F4" w:rsidRPr="007F4CC8" w:rsidRDefault="004E71F4" w:rsidP="00155C96">
            <w:pPr>
              <w:pStyle w:val="Fait"/>
              <w:spacing w:before="0" w:after="120"/>
              <w:rPr>
                <w:rFonts w:eastAsiaTheme="minorEastAsia"/>
                <w:b/>
              </w:rPr>
            </w:pPr>
            <w:r>
              <w:rPr>
                <w:b/>
              </w:rPr>
              <w:t xml:space="preserve">Bruto knjigovodstvena vrijednost / nominalni iznos po </w:t>
            </w:r>
            <w:proofErr w:type="spellStart"/>
            <w:r>
              <w:rPr>
                <w:b/>
              </w:rPr>
              <w:t>prihodonosnim</w:t>
            </w:r>
            <w:proofErr w:type="spellEnd"/>
            <w:r>
              <w:rPr>
                <w:b/>
              </w:rPr>
              <w:t xml:space="preserve"> izloženostima </w:t>
            </w:r>
          </w:p>
          <w:p w14:paraId="70B79014" w14:textId="77777777" w:rsidR="004E71F4" w:rsidRPr="007F4CC8" w:rsidRDefault="004E71F4" w:rsidP="00155C96">
            <w:pPr>
              <w:pStyle w:val="Fait"/>
              <w:spacing w:before="0" w:after="120"/>
            </w:pPr>
            <w:r>
              <w:t>Bruto knjigovodstvena vrijednost kako je definirana u točki 34. dijela 1. Priloga V. Provedbenoj uredbi Komisije (EU) 680/2014.; nominalni iznos kako je definiran u točki 118. dijela 2. Priloga V. Provedbenoj uredbi Komisije (EU) 680/2014.</w:t>
            </w:r>
          </w:p>
        </w:tc>
      </w:tr>
      <w:tr w:rsidR="004E71F4" w:rsidRPr="007F4CC8" w14:paraId="341C51F7" w14:textId="77777777" w:rsidTr="00155C96">
        <w:trPr>
          <w:trHeight w:val="841"/>
        </w:trPr>
        <w:tc>
          <w:tcPr>
            <w:tcW w:w="1384" w:type="dxa"/>
          </w:tcPr>
          <w:p w14:paraId="450A8269" w14:textId="77777777" w:rsidR="004E71F4" w:rsidRPr="007F4CC8" w:rsidRDefault="004E71F4" w:rsidP="00155C96">
            <w:pPr>
              <w:pStyle w:val="Applicationdirecte"/>
              <w:spacing w:before="0"/>
            </w:pPr>
            <w:r>
              <w:t>b</w:t>
            </w:r>
          </w:p>
        </w:tc>
        <w:tc>
          <w:tcPr>
            <w:tcW w:w="7655" w:type="dxa"/>
          </w:tcPr>
          <w:p w14:paraId="3F39CBB7" w14:textId="77777777" w:rsidR="004E71F4" w:rsidRPr="007F4CC8" w:rsidRDefault="004E71F4" w:rsidP="00155C96">
            <w:pPr>
              <w:pStyle w:val="Fait"/>
              <w:spacing w:before="0" w:after="120"/>
              <w:ind w:left="720"/>
              <w:rPr>
                <w:rFonts w:eastAsiaTheme="minorEastAsia"/>
                <w:b/>
              </w:rPr>
            </w:pPr>
            <w:r>
              <w:rPr>
                <w:b/>
              </w:rPr>
              <w:t>Od čega: Nedospjele ili dospjele ≤ 30 dana</w:t>
            </w:r>
          </w:p>
          <w:p w14:paraId="2748EF98" w14:textId="77777777" w:rsidR="004E71F4" w:rsidRPr="007F4CC8" w:rsidRDefault="004E71F4" w:rsidP="00155C96">
            <w:pPr>
              <w:pStyle w:val="Fait"/>
              <w:spacing w:before="0" w:after="120"/>
              <w:rPr>
                <w:rFonts w:eastAsiaTheme="minorEastAsia"/>
              </w:rPr>
            </w:pPr>
            <w:r>
              <w:t>Potkategorija prihodonosnih izloženosti koje nisu dospjele ili su dospjele 1–30 dana</w:t>
            </w:r>
          </w:p>
        </w:tc>
      </w:tr>
      <w:tr w:rsidR="004E71F4" w:rsidRPr="007F4CC8" w14:paraId="045F8077" w14:textId="77777777" w:rsidTr="00155C96">
        <w:trPr>
          <w:trHeight w:val="841"/>
        </w:trPr>
        <w:tc>
          <w:tcPr>
            <w:tcW w:w="1384" w:type="dxa"/>
          </w:tcPr>
          <w:p w14:paraId="3D814FF7" w14:textId="77777777" w:rsidR="004E71F4" w:rsidRPr="007F4CC8" w:rsidRDefault="004E71F4" w:rsidP="00155C96">
            <w:pPr>
              <w:pStyle w:val="Applicationdirecte"/>
              <w:spacing w:before="0"/>
            </w:pPr>
            <w:r>
              <w:t>c</w:t>
            </w:r>
          </w:p>
        </w:tc>
        <w:tc>
          <w:tcPr>
            <w:tcW w:w="7655" w:type="dxa"/>
          </w:tcPr>
          <w:p w14:paraId="24E58B67" w14:textId="77777777" w:rsidR="004E71F4" w:rsidRPr="007F4CC8" w:rsidRDefault="004E71F4" w:rsidP="00155C96">
            <w:pPr>
              <w:pStyle w:val="Fait"/>
              <w:spacing w:before="0" w:after="120"/>
              <w:ind w:left="720"/>
              <w:rPr>
                <w:rFonts w:eastAsiaTheme="minorEastAsia"/>
                <w:b/>
              </w:rPr>
            </w:pPr>
            <w:r>
              <w:rPr>
                <w:b/>
              </w:rPr>
              <w:t>Od čega: Dospjele &gt; 30 dana ≤ 90 dana</w:t>
            </w:r>
          </w:p>
          <w:p w14:paraId="1521ABA3" w14:textId="77777777" w:rsidR="004E71F4" w:rsidRPr="007F4CC8" w:rsidRDefault="004E71F4" w:rsidP="00155C96">
            <w:pPr>
              <w:pStyle w:val="Fait"/>
              <w:spacing w:before="0" w:after="120"/>
            </w:pPr>
            <w:r>
              <w:t>Potkategorija prihodonosnih izloženosti koje su dospjele 31-90 dana</w:t>
            </w:r>
          </w:p>
          <w:p w14:paraId="47C24F0D" w14:textId="77777777" w:rsidR="004E71F4" w:rsidRPr="007F4CC8" w:rsidRDefault="004E71F4" w:rsidP="00155C96">
            <w:pPr>
              <w:pStyle w:val="Fait"/>
              <w:spacing w:before="0" w:after="120"/>
              <w:rPr>
                <w:rFonts w:eastAsiaTheme="minorEastAsia"/>
              </w:rPr>
            </w:pPr>
            <w:r>
              <w:t>Osim toga, u ovu su kategoriju uključene izloženosti dospjele dulje od 90 dana koje nisu značajne.</w:t>
            </w:r>
          </w:p>
        </w:tc>
      </w:tr>
      <w:tr w:rsidR="004E71F4" w:rsidRPr="007F4CC8" w14:paraId="28287BB1" w14:textId="77777777" w:rsidTr="00155C96">
        <w:trPr>
          <w:trHeight w:val="841"/>
        </w:trPr>
        <w:tc>
          <w:tcPr>
            <w:tcW w:w="1384" w:type="dxa"/>
          </w:tcPr>
          <w:p w14:paraId="5ED0076E" w14:textId="77777777" w:rsidR="004E71F4" w:rsidRPr="007F4CC8" w:rsidRDefault="004E71F4" w:rsidP="00155C96">
            <w:pPr>
              <w:pStyle w:val="Applicationdirecte"/>
              <w:spacing w:before="0"/>
            </w:pPr>
            <w:r>
              <w:t>d</w:t>
            </w:r>
          </w:p>
        </w:tc>
        <w:tc>
          <w:tcPr>
            <w:tcW w:w="7655" w:type="dxa"/>
          </w:tcPr>
          <w:p w14:paraId="6DB9FB9F" w14:textId="77777777" w:rsidR="004E71F4" w:rsidRPr="007F4CC8" w:rsidRDefault="004E71F4" w:rsidP="00155C96">
            <w:pPr>
              <w:pStyle w:val="Fait"/>
              <w:spacing w:before="0" w:after="120"/>
              <w:rPr>
                <w:rFonts w:eastAsiaTheme="minorEastAsia"/>
                <w:b/>
              </w:rPr>
            </w:pPr>
            <w:r>
              <w:rPr>
                <w:b/>
              </w:rPr>
              <w:t>Bruto knjigovodstvena vrijednost / nominalni iznos po neprihodonosnim izloženostima</w:t>
            </w:r>
          </w:p>
          <w:p w14:paraId="12F6FBD9" w14:textId="77777777" w:rsidR="004E71F4" w:rsidRPr="007F4CC8" w:rsidRDefault="004E71F4" w:rsidP="00155C96">
            <w:pPr>
              <w:pStyle w:val="Fait"/>
              <w:spacing w:before="0" w:after="120"/>
              <w:rPr>
                <w:b/>
              </w:rPr>
            </w:pPr>
            <w:r>
              <w:t xml:space="preserve">Bruto knjigovodstvena vrijednost kako je definirana u točki 34. dijela 1. Priloga V. Provedbenoj uredbi Komisije (EU) 680/2014.; nominalni </w:t>
            </w:r>
            <w:r>
              <w:rPr>
                <w:i/>
              </w:rPr>
              <w:t>iznos kako je definiran u točki 118. dijela 2. Priloga V. Provedbenoj uredbi Komisije (EU) 680/2014</w:t>
            </w:r>
            <w:r>
              <w:t>; neprihodonosne izloženosti kako su definirane u članku 47.a CRR-a.</w:t>
            </w:r>
          </w:p>
        </w:tc>
      </w:tr>
      <w:tr w:rsidR="004E71F4" w:rsidRPr="007F4CC8" w14:paraId="2F264390" w14:textId="77777777" w:rsidTr="00155C96">
        <w:trPr>
          <w:trHeight w:val="316"/>
        </w:trPr>
        <w:tc>
          <w:tcPr>
            <w:tcW w:w="1384" w:type="dxa"/>
          </w:tcPr>
          <w:p w14:paraId="341DF032" w14:textId="77777777" w:rsidR="004E71F4" w:rsidRPr="007F4CC8" w:rsidRDefault="004E71F4" w:rsidP="00155C96">
            <w:pPr>
              <w:pStyle w:val="Applicationdirecte"/>
              <w:spacing w:before="0"/>
            </w:pPr>
            <w:r>
              <w:t>e</w:t>
            </w:r>
          </w:p>
        </w:tc>
        <w:tc>
          <w:tcPr>
            <w:tcW w:w="7655" w:type="dxa"/>
          </w:tcPr>
          <w:p w14:paraId="7B947F2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Od čega: Mala vjerojatnost podmirenja koji nisu dospjeli ili koji su dospjeli ≤ 90 dana</w:t>
            </w:r>
          </w:p>
          <w:p w14:paraId="0ADF2F4D"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Potkategorija izloženosti koje nisu dospjele ili su dospjele najviše 90 dana, ali su ipak identificirane kao neprihodonosne, u skladu s člankom 47.a CRR-a</w:t>
            </w:r>
          </w:p>
        </w:tc>
      </w:tr>
      <w:tr w:rsidR="004E71F4" w:rsidRPr="007F4CC8" w14:paraId="24C98E1F" w14:textId="77777777" w:rsidTr="00155C96">
        <w:trPr>
          <w:trHeight w:val="316"/>
        </w:trPr>
        <w:tc>
          <w:tcPr>
            <w:tcW w:w="1384" w:type="dxa"/>
          </w:tcPr>
          <w:p w14:paraId="69FAB3B1"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51CC78F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Od čega: Dospjele &gt; 90 dana ≤ 180 dana</w:t>
            </w:r>
          </w:p>
          <w:p w14:paraId="2C49C2F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Potkategorija neprihodonosnih izloženosti koje su dospjele od 90 do 180 dana</w:t>
            </w:r>
          </w:p>
        </w:tc>
      </w:tr>
      <w:tr w:rsidR="004E71F4" w:rsidRPr="007F4CC8" w14:paraId="6F94FF85" w14:textId="77777777" w:rsidTr="00155C96">
        <w:trPr>
          <w:trHeight w:val="316"/>
        </w:trPr>
        <w:tc>
          <w:tcPr>
            <w:tcW w:w="1384" w:type="dxa"/>
          </w:tcPr>
          <w:p w14:paraId="635DEF8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25BC38E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Od čega: dospjele &gt; 180 dana ≤ 1 godina</w:t>
            </w:r>
          </w:p>
          <w:p w14:paraId="40E0151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Potkategorija neprihodonosnih izloženosti koje su dospjele od 180 dana do godinu dana</w:t>
            </w:r>
          </w:p>
        </w:tc>
      </w:tr>
      <w:tr w:rsidR="004E71F4" w:rsidRPr="007F4CC8" w14:paraId="370A57D9" w14:textId="77777777" w:rsidTr="00155C96">
        <w:trPr>
          <w:trHeight w:val="695"/>
        </w:trPr>
        <w:tc>
          <w:tcPr>
            <w:tcW w:w="1384" w:type="dxa"/>
          </w:tcPr>
          <w:p w14:paraId="421B830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347FA619" w14:textId="77777777" w:rsidR="004E71F4" w:rsidRPr="007F4CC8" w:rsidRDefault="004E71F4" w:rsidP="00155C96">
            <w:pPr>
              <w:autoSpaceDE w:val="0"/>
              <w:autoSpaceDN w:val="0"/>
              <w:adjustRightInd w:val="0"/>
              <w:spacing w:after="120"/>
              <w:ind w:left="720"/>
              <w:rPr>
                <w:rFonts w:ascii="Times New Roman" w:hAnsi="Times New Roman" w:cs="Times New Roman"/>
                <w:sz w:val="24"/>
              </w:rPr>
            </w:pPr>
            <w:r>
              <w:rPr>
                <w:rFonts w:ascii="Times New Roman" w:hAnsi="Times New Roman"/>
                <w:b/>
                <w:sz w:val="24"/>
              </w:rPr>
              <w:t>Od čega: dospjele &gt; 1 godine ≤ 2 godina</w:t>
            </w:r>
            <w:r>
              <w:rPr>
                <w:rFonts w:ascii="Times New Roman" w:hAnsi="Times New Roman"/>
                <w:sz w:val="24"/>
              </w:rPr>
              <w:t xml:space="preserve"> </w:t>
            </w:r>
          </w:p>
          <w:p w14:paraId="2013EA2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Potkategorija neprihodonosnih izloženosti koje su dospjele od godinu do dvije godine</w:t>
            </w:r>
          </w:p>
        </w:tc>
      </w:tr>
      <w:tr w:rsidR="004E71F4" w:rsidRPr="007F4CC8" w14:paraId="36F34A9E" w14:textId="77777777" w:rsidTr="00155C96">
        <w:trPr>
          <w:trHeight w:val="695"/>
        </w:trPr>
        <w:tc>
          <w:tcPr>
            <w:tcW w:w="1384" w:type="dxa"/>
          </w:tcPr>
          <w:p w14:paraId="22D8E17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754E96ED"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čega: dospjele &gt; 2 godine ≤ 5 godina</w:t>
            </w:r>
          </w:p>
          <w:p w14:paraId="6300F63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Potkategorija neprihodonosnih izloženosti koje su dospjele od dvije do pet godina</w:t>
            </w:r>
          </w:p>
        </w:tc>
      </w:tr>
      <w:tr w:rsidR="004E71F4" w:rsidRPr="007F4CC8" w14:paraId="65433D17" w14:textId="77777777" w:rsidTr="00155C96">
        <w:trPr>
          <w:trHeight w:val="695"/>
        </w:trPr>
        <w:tc>
          <w:tcPr>
            <w:tcW w:w="1384" w:type="dxa"/>
          </w:tcPr>
          <w:p w14:paraId="2E825BAD"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5A03D23D"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čega: dospjele &gt; 5 godina ≤ 7 godina</w:t>
            </w:r>
          </w:p>
          <w:p w14:paraId="5FA5588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lastRenderedPageBreak/>
              <w:t>Potkategorija neprihodonosnih izloženosti koje su dospjele od pet do sedam godina</w:t>
            </w:r>
          </w:p>
        </w:tc>
      </w:tr>
      <w:tr w:rsidR="004E71F4" w:rsidRPr="007F4CC8" w14:paraId="3A875F54" w14:textId="77777777" w:rsidTr="00155C96">
        <w:trPr>
          <w:trHeight w:val="695"/>
        </w:trPr>
        <w:tc>
          <w:tcPr>
            <w:tcW w:w="1384" w:type="dxa"/>
          </w:tcPr>
          <w:p w14:paraId="5F8B7EB5"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k</w:t>
            </w:r>
          </w:p>
        </w:tc>
        <w:tc>
          <w:tcPr>
            <w:tcW w:w="7655" w:type="dxa"/>
          </w:tcPr>
          <w:p w14:paraId="0588E06A"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čega: Dospjele &gt; 7 godina</w:t>
            </w:r>
          </w:p>
          <w:p w14:paraId="6F16033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Potkategorija neprihodonosnih izloženosti koje su dospjele dulje od sedam godina</w:t>
            </w:r>
          </w:p>
        </w:tc>
      </w:tr>
      <w:tr w:rsidR="004E71F4" w:rsidRPr="007F4CC8" w14:paraId="14A411B1" w14:textId="77777777" w:rsidTr="00155C96">
        <w:trPr>
          <w:trHeight w:val="695"/>
        </w:trPr>
        <w:tc>
          <w:tcPr>
            <w:tcW w:w="1384" w:type="dxa"/>
          </w:tcPr>
          <w:p w14:paraId="7660F274"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00423D4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čega u statusu neispunjavanja obveza</w:t>
            </w:r>
          </w:p>
          <w:p w14:paraId="0835D7CA"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Izloženosti u statusu neispunjavanja obveza u skladu s člankom 178. CRR-a.</w:t>
            </w:r>
          </w:p>
        </w:tc>
      </w:tr>
    </w:tbl>
    <w:p w14:paraId="754762B8" w14:textId="77777777" w:rsidR="004E71F4" w:rsidRPr="007F4CC8" w:rsidRDefault="004E71F4" w:rsidP="004E71F4">
      <w:pPr>
        <w:autoSpaceDE w:val="0"/>
        <w:autoSpaceDN w:val="0"/>
        <w:adjustRightInd w:val="0"/>
        <w:spacing w:after="120"/>
        <w:rPr>
          <w:rFonts w:ascii="Times New Roman" w:hAnsi="Times New Roman" w:cs="Times New Roman"/>
          <w:sz w:val="24"/>
        </w:rPr>
      </w:pPr>
    </w:p>
    <w:p w14:paraId="4EA31CF9" w14:textId="0DB04394"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Obrazac EU CQ4: Kvaliteta neprihodonosnih izloženosti po zemljama </w:t>
      </w:r>
    </w:p>
    <w:p w14:paraId="629B62E2" w14:textId="5BB1E8FF"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sz w:val="24"/>
        </w:rPr>
        <w:t>Ako su originalne izloženosti u svim inozemnim zemljama i svim kategorijama izloženosti jednake ili veće od 10 % ukupnih (domaćih i inozemnih) originalnih izloženosti, institucije objavljuju informacije iz članka 442. točaka (c) i (e) CRR-a ispunjavanjem obrasca EU CQ4 iz Priloga XV. ovoj Provedbenoj uredbi prema uputama u nastavku ovog Priloga.</w:t>
      </w:r>
    </w:p>
    <w:p w14:paraId="7E2D5D8D"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959ED3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6AE82E"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Pravna osnova i upute</w:t>
            </w:r>
          </w:p>
        </w:tc>
      </w:tr>
      <w:tr w:rsidR="004E71F4" w:rsidRPr="007F4CC8" w14:paraId="31829FD2" w14:textId="77777777" w:rsidTr="00155C96">
        <w:trPr>
          <w:trHeight w:val="238"/>
        </w:trPr>
        <w:tc>
          <w:tcPr>
            <w:tcW w:w="1384" w:type="dxa"/>
            <w:shd w:val="clear" w:color="auto" w:fill="D9D9D9" w:themeFill="background1" w:themeFillShade="D9"/>
          </w:tcPr>
          <w:p w14:paraId="09EE8C9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1F94FB8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4E71F4" w:rsidRPr="007F4CC8" w14:paraId="5725EA0A" w14:textId="77777777" w:rsidTr="00155C96">
        <w:trPr>
          <w:trHeight w:val="971"/>
        </w:trPr>
        <w:tc>
          <w:tcPr>
            <w:tcW w:w="1384" w:type="dxa"/>
          </w:tcPr>
          <w:p w14:paraId="7B3A0816" w14:textId="77777777" w:rsidR="004E71F4" w:rsidRPr="007F4CC8" w:rsidRDefault="004E71F4" w:rsidP="00155C96">
            <w:pPr>
              <w:pStyle w:val="Applicationdirecte"/>
              <w:spacing w:before="0"/>
            </w:pPr>
            <w:r>
              <w:t>010</w:t>
            </w:r>
          </w:p>
        </w:tc>
        <w:tc>
          <w:tcPr>
            <w:tcW w:w="7655" w:type="dxa"/>
          </w:tcPr>
          <w:p w14:paraId="7C553B29" w14:textId="77777777" w:rsidR="004E71F4" w:rsidRPr="007F4CC8" w:rsidRDefault="004E71F4" w:rsidP="00155C96">
            <w:pPr>
              <w:pStyle w:val="Applicationdirecte"/>
              <w:spacing w:before="0"/>
              <w:rPr>
                <w:b/>
              </w:rPr>
            </w:pPr>
            <w:r>
              <w:rPr>
                <w:b/>
              </w:rPr>
              <w:t>Bilančne izloženosti</w:t>
            </w:r>
          </w:p>
          <w:p w14:paraId="6CCB87CE" w14:textId="77777777" w:rsidR="004E71F4" w:rsidRPr="007F4CC8" w:rsidRDefault="004E71F4" w:rsidP="00155C96">
            <w:pPr>
              <w:pStyle w:val="Fait"/>
              <w:spacing w:before="0" w:after="120"/>
            </w:pPr>
            <w:r>
              <w:t>Ukupne bilančne izloženosti</w:t>
            </w:r>
          </w:p>
        </w:tc>
      </w:tr>
      <w:tr w:rsidR="004E71F4" w:rsidRPr="007F4CC8" w14:paraId="54474621" w14:textId="77777777" w:rsidTr="00155C96">
        <w:trPr>
          <w:trHeight w:val="3491"/>
        </w:trPr>
        <w:tc>
          <w:tcPr>
            <w:tcW w:w="1384" w:type="dxa"/>
          </w:tcPr>
          <w:p w14:paraId="64905361" w14:textId="77777777" w:rsidR="004E71F4" w:rsidRPr="007F4CC8" w:rsidRDefault="004E71F4" w:rsidP="00155C96">
            <w:pPr>
              <w:pStyle w:val="Applicationdirecte"/>
              <w:spacing w:before="0"/>
            </w:pPr>
            <w:r>
              <w:t>020 – 070 i 090 – 140</w:t>
            </w:r>
          </w:p>
        </w:tc>
        <w:tc>
          <w:tcPr>
            <w:tcW w:w="7655" w:type="dxa"/>
          </w:tcPr>
          <w:p w14:paraId="0FDB9099" w14:textId="77777777" w:rsidR="004E71F4" w:rsidRPr="007F4CC8" w:rsidRDefault="004E71F4" w:rsidP="00155C96">
            <w:pPr>
              <w:pStyle w:val="Applicationdirecte"/>
              <w:spacing w:before="0"/>
              <w:rPr>
                <w:b/>
              </w:rPr>
            </w:pPr>
            <w:r>
              <w:rPr>
                <w:b/>
              </w:rPr>
              <w:t>Zemlja</w:t>
            </w:r>
          </w:p>
          <w:p w14:paraId="754707AF" w14:textId="77777777" w:rsidR="004E71F4" w:rsidRPr="007F4CC8" w:rsidRDefault="004E71F4" w:rsidP="00155C96">
            <w:pPr>
              <w:pStyle w:val="Fait"/>
              <w:spacing w:before="0" w:after="120"/>
            </w:pPr>
            <w:r>
              <w:t>Zemlja u kojoj su izloženosti institucije značajne u skladu s člankom 432. CRR-a</w:t>
            </w:r>
          </w:p>
          <w:p w14:paraId="40FEB711"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Ako se značajnost zemalja određuje primjenom praga značajnosti, objavljuje se taj prag, kao i popis neznačajnih zemalja navedenih u retku „Ostale zemlje”.</w:t>
            </w:r>
          </w:p>
          <w:p w14:paraId="06C1CFA3" w14:textId="77777777" w:rsidR="004E71F4" w:rsidRPr="007F4CC8" w:rsidRDefault="004E71F4" w:rsidP="00155C96">
            <w:pPr>
              <w:autoSpaceDE w:val="0"/>
              <w:autoSpaceDN w:val="0"/>
              <w:adjustRightInd w:val="0"/>
              <w:spacing w:after="120"/>
              <w:jc w:val="both"/>
            </w:pPr>
            <w:r>
              <w:rPr>
                <w:rFonts w:ascii="Times New Roman" w:hAnsi="Times New Roman"/>
                <w:sz w:val="24"/>
              </w:rPr>
              <w:t>Institucije izloženosti raspoređuju na značajnu zemlju na temelju rezidentnosti neposredne druge ugovorne strane. Izloženosti prema nadnacionalnim organizacijama ne dodjeljuju se prema zemlji rezidentnosti institucije nego na „Ostale zemlje”.</w:t>
            </w:r>
          </w:p>
        </w:tc>
      </w:tr>
      <w:tr w:rsidR="004E71F4" w:rsidRPr="007F4CC8" w14:paraId="5823936A" w14:textId="77777777" w:rsidTr="00155C96">
        <w:trPr>
          <w:trHeight w:val="728"/>
        </w:trPr>
        <w:tc>
          <w:tcPr>
            <w:tcW w:w="1384" w:type="dxa"/>
          </w:tcPr>
          <w:p w14:paraId="4D5A3661" w14:textId="77777777" w:rsidR="004E71F4" w:rsidRPr="007F4CC8" w:rsidRDefault="004E71F4" w:rsidP="00155C96">
            <w:pPr>
              <w:pStyle w:val="Applicationdirecte"/>
              <w:spacing w:before="0"/>
            </w:pPr>
            <w:r>
              <w:t>080</w:t>
            </w:r>
          </w:p>
        </w:tc>
        <w:tc>
          <w:tcPr>
            <w:tcW w:w="7655" w:type="dxa"/>
          </w:tcPr>
          <w:p w14:paraId="18E511A4" w14:textId="77777777" w:rsidR="004E71F4" w:rsidRPr="007F4CC8" w:rsidRDefault="004E71F4" w:rsidP="00155C96">
            <w:pPr>
              <w:pStyle w:val="Applicationdirecte"/>
              <w:spacing w:before="0"/>
              <w:rPr>
                <w:b/>
              </w:rPr>
            </w:pPr>
            <w:r>
              <w:rPr>
                <w:b/>
              </w:rPr>
              <w:t>Izvanbilančne izloženosti</w:t>
            </w:r>
          </w:p>
          <w:p w14:paraId="26E2715C" w14:textId="77777777" w:rsidR="004E71F4" w:rsidRPr="007F4CC8" w:rsidRDefault="004E71F4" w:rsidP="00155C96">
            <w:pPr>
              <w:autoSpaceDE w:val="0"/>
              <w:autoSpaceDN w:val="0"/>
              <w:adjustRightInd w:val="0"/>
              <w:spacing w:after="120"/>
              <w:jc w:val="both"/>
            </w:pPr>
            <w:r>
              <w:rPr>
                <w:rFonts w:ascii="Times New Roman" w:hAnsi="Times New Roman"/>
                <w:sz w:val="24"/>
              </w:rPr>
              <w:t>Vidjeti definiciju u EU-CR1: prihodonosne i neprihodonosne izloženosti i povezane rezervacije.</w:t>
            </w:r>
          </w:p>
        </w:tc>
      </w:tr>
      <w:tr w:rsidR="004E71F4" w:rsidRPr="007F4CC8" w14:paraId="660866D7" w14:textId="77777777" w:rsidTr="00155C96">
        <w:trPr>
          <w:trHeight w:val="367"/>
        </w:trPr>
        <w:tc>
          <w:tcPr>
            <w:tcW w:w="1384" w:type="dxa"/>
          </w:tcPr>
          <w:p w14:paraId="67DB1DC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150</w:t>
            </w:r>
          </w:p>
        </w:tc>
        <w:tc>
          <w:tcPr>
            <w:tcW w:w="7655" w:type="dxa"/>
          </w:tcPr>
          <w:p w14:paraId="5C13289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Ukupno</w:t>
            </w:r>
          </w:p>
        </w:tc>
      </w:tr>
    </w:tbl>
    <w:p w14:paraId="6B5E4555"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31FB366" w14:textId="77777777" w:rsidTr="00155C96">
        <w:trPr>
          <w:trHeight w:val="238"/>
        </w:trPr>
        <w:tc>
          <w:tcPr>
            <w:tcW w:w="9039" w:type="dxa"/>
            <w:gridSpan w:val="2"/>
            <w:shd w:val="clear" w:color="auto" w:fill="D9D9D9" w:themeFill="background1" w:themeFillShade="D9"/>
          </w:tcPr>
          <w:p w14:paraId="1A96B80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Pravna osnova i upute</w:t>
            </w:r>
          </w:p>
        </w:tc>
      </w:tr>
      <w:tr w:rsidR="004E71F4" w:rsidRPr="007F4CC8" w14:paraId="2E11FA90" w14:textId="77777777" w:rsidTr="00155C96">
        <w:trPr>
          <w:trHeight w:val="238"/>
        </w:trPr>
        <w:tc>
          <w:tcPr>
            <w:tcW w:w="1384" w:type="dxa"/>
            <w:shd w:val="clear" w:color="auto" w:fill="D9D9D9" w:themeFill="background1" w:themeFillShade="D9"/>
          </w:tcPr>
          <w:p w14:paraId="1232206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Broj stupca</w:t>
            </w:r>
          </w:p>
        </w:tc>
        <w:tc>
          <w:tcPr>
            <w:tcW w:w="7655" w:type="dxa"/>
            <w:shd w:val="clear" w:color="auto" w:fill="D9D9D9" w:themeFill="background1" w:themeFillShade="D9"/>
          </w:tcPr>
          <w:p w14:paraId="2810F84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Objašnjenje</w:t>
            </w:r>
          </w:p>
        </w:tc>
      </w:tr>
      <w:tr w:rsidR="004E71F4" w:rsidRPr="007F4CC8" w14:paraId="39269B3E" w14:textId="77777777" w:rsidTr="00155C96">
        <w:trPr>
          <w:trHeight w:val="841"/>
        </w:trPr>
        <w:tc>
          <w:tcPr>
            <w:tcW w:w="1384" w:type="dxa"/>
          </w:tcPr>
          <w:p w14:paraId="02C62B53" w14:textId="77777777" w:rsidR="004E71F4" w:rsidRPr="007F4CC8" w:rsidRDefault="004E71F4" w:rsidP="00155C96">
            <w:pPr>
              <w:pStyle w:val="Applicationdirecte"/>
              <w:spacing w:before="0"/>
            </w:pPr>
            <w:r>
              <w:t>a</w:t>
            </w:r>
          </w:p>
        </w:tc>
        <w:tc>
          <w:tcPr>
            <w:tcW w:w="7655" w:type="dxa"/>
          </w:tcPr>
          <w:p w14:paraId="0778CDCC" w14:textId="77777777" w:rsidR="004E71F4" w:rsidRPr="007F4CC8" w:rsidRDefault="004E71F4" w:rsidP="00155C96">
            <w:pPr>
              <w:pStyle w:val="Fait"/>
              <w:spacing w:before="0" w:after="120"/>
              <w:rPr>
                <w:rFonts w:eastAsiaTheme="minorEastAsia"/>
                <w:b/>
              </w:rPr>
            </w:pPr>
            <w:r>
              <w:rPr>
                <w:b/>
              </w:rPr>
              <w:t xml:space="preserve">Bruto knjigovodstvena vrijednost / nominalni iznos </w:t>
            </w:r>
          </w:p>
          <w:p w14:paraId="407BB8E5" w14:textId="77777777" w:rsidR="004E71F4" w:rsidRPr="007F4CC8" w:rsidRDefault="004E71F4" w:rsidP="00155C96">
            <w:pPr>
              <w:pStyle w:val="Fait"/>
              <w:spacing w:before="0" w:after="120"/>
            </w:pPr>
            <w:r>
              <w:t>Bruto knjigovodstvena vrijednost kako je definirana u točki 34. dijela 1. Priloga V. Provedbenoj uredbi Komisije (EU) 680/2014.; nominalni iznos kako je definiran u točki 118. dijela 2. Priloga V. Provedbenoj uredbi Komisije (EU) 680/2014.</w:t>
            </w:r>
          </w:p>
          <w:p w14:paraId="6570F2FC" w14:textId="77777777" w:rsidR="004E71F4" w:rsidRPr="007F4CC8" w:rsidRDefault="004E71F4" w:rsidP="00155C96">
            <w:pPr>
              <w:pStyle w:val="Fait"/>
              <w:spacing w:before="0" w:after="120"/>
            </w:pPr>
            <w:r>
              <w:t>Bruto knjigovodstvena vrijednost koja se odnosi na izloženosti koje podliježu umanjenju vrijednosti umanjena je za akumulirani djelomični i potpuni otpis.</w:t>
            </w:r>
          </w:p>
        </w:tc>
      </w:tr>
      <w:tr w:rsidR="004E71F4" w:rsidRPr="007F4CC8" w14:paraId="0BA09C4F" w14:textId="77777777" w:rsidTr="00155C96">
        <w:trPr>
          <w:trHeight w:val="841"/>
        </w:trPr>
        <w:tc>
          <w:tcPr>
            <w:tcW w:w="1384" w:type="dxa"/>
          </w:tcPr>
          <w:p w14:paraId="191E705E" w14:textId="77777777" w:rsidR="004E71F4" w:rsidRPr="007F4CC8" w:rsidRDefault="004E71F4" w:rsidP="00155C96">
            <w:pPr>
              <w:pStyle w:val="Applicationdirecte"/>
              <w:spacing w:before="0"/>
            </w:pPr>
            <w:r>
              <w:t>b</w:t>
            </w:r>
          </w:p>
        </w:tc>
        <w:tc>
          <w:tcPr>
            <w:tcW w:w="7655" w:type="dxa"/>
          </w:tcPr>
          <w:p w14:paraId="3FC98DA1" w14:textId="77777777" w:rsidR="004E71F4" w:rsidRPr="007F4CC8" w:rsidRDefault="004E71F4" w:rsidP="00155C96">
            <w:pPr>
              <w:pStyle w:val="Fait"/>
              <w:spacing w:before="0" w:after="120"/>
              <w:rPr>
                <w:rFonts w:eastAsiaTheme="minorEastAsia"/>
                <w:b/>
              </w:rPr>
            </w:pPr>
            <w:r>
              <w:rPr>
                <w:b/>
              </w:rPr>
              <w:t>Bruto knjigovodstvena vrijednost / nominalni iznos – od čega neprihodonosne</w:t>
            </w:r>
          </w:p>
          <w:p w14:paraId="324B3E45" w14:textId="77777777" w:rsidR="004E71F4" w:rsidRPr="007F4CC8" w:rsidRDefault="004E71F4" w:rsidP="00155C96">
            <w:pPr>
              <w:pStyle w:val="Fait"/>
              <w:spacing w:before="0" w:after="120"/>
              <w:rPr>
                <w:b/>
              </w:rPr>
            </w:pPr>
            <w:r>
              <w:t>Bruto knjigovodstvena vrijednost kako je definirana u točki 34. dijela 1. Priloga V. Provedbenoj uredbi Komisije (EU) 680/2014.; nominalni iznos kako je definiran u točki 118. dijela 2. Priloga V. Provedbenoj uredbi Komisije (EU) 680/2014.; neprihodonosne izloženosti kako su definirane u članku 47.a CRR-a.</w:t>
            </w:r>
          </w:p>
        </w:tc>
      </w:tr>
      <w:tr w:rsidR="004E71F4" w:rsidRPr="007F4CC8" w14:paraId="2816521D" w14:textId="77777777" w:rsidTr="00155C96">
        <w:trPr>
          <w:trHeight w:val="316"/>
        </w:trPr>
        <w:tc>
          <w:tcPr>
            <w:tcW w:w="1384" w:type="dxa"/>
          </w:tcPr>
          <w:p w14:paraId="2B9941D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c</w:t>
            </w:r>
          </w:p>
        </w:tc>
        <w:tc>
          <w:tcPr>
            <w:tcW w:w="7655" w:type="dxa"/>
          </w:tcPr>
          <w:p w14:paraId="318099D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čega u statusu neispunjavanja obveza</w:t>
            </w:r>
          </w:p>
          <w:p w14:paraId="2D9AD627" w14:textId="77777777" w:rsidR="004E71F4" w:rsidRPr="007F4CC8" w:rsidRDefault="004E71F4" w:rsidP="00155C96">
            <w:pPr>
              <w:pStyle w:val="Fait"/>
              <w:spacing w:before="0" w:after="120"/>
            </w:pPr>
            <w:r>
              <w:t>Izloženosti u statusu neispunjavanja obveza u skladu s člankom 178. CRR-a.</w:t>
            </w:r>
          </w:p>
        </w:tc>
      </w:tr>
      <w:tr w:rsidR="004E71F4" w:rsidRPr="007F4CC8" w14:paraId="3E4CA1D8" w14:textId="77777777" w:rsidTr="00155C96">
        <w:trPr>
          <w:trHeight w:val="316"/>
        </w:trPr>
        <w:tc>
          <w:tcPr>
            <w:tcW w:w="1384" w:type="dxa"/>
          </w:tcPr>
          <w:p w14:paraId="7B58E1F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5" w:type="dxa"/>
          </w:tcPr>
          <w:p w14:paraId="1BE2EE1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Bruto knjigovodstvena vrijednost / nominalni iznos</w:t>
            </w:r>
            <w:r>
              <w:rPr>
                <w:b/>
              </w:rPr>
              <w:t xml:space="preserve"> – </w:t>
            </w:r>
            <w:r>
              <w:rPr>
                <w:rFonts w:ascii="Times New Roman" w:hAnsi="Times New Roman"/>
                <w:b/>
                <w:sz w:val="24"/>
              </w:rPr>
              <w:t>od čega podliježu umanjenju vrijednosti</w:t>
            </w:r>
          </w:p>
          <w:p w14:paraId="6BD3FAE2" w14:textId="77777777" w:rsidR="004E71F4" w:rsidRPr="007F4CC8" w:rsidRDefault="004E71F4" w:rsidP="00155C96">
            <w:pPr>
              <w:pStyle w:val="Fait"/>
              <w:spacing w:before="0" w:after="120"/>
            </w:pPr>
            <w:r>
              <w:t>Bruto knjigovodstvena vrijednost ili nominalni iznos koji se odnosi na izloženost na koju se primjenjuju zahtjevi o umanjenju vrijednosti iz primjenjivog računovodstvenog okvira.</w:t>
            </w:r>
          </w:p>
        </w:tc>
      </w:tr>
      <w:tr w:rsidR="004E71F4" w:rsidRPr="007F4CC8" w14:paraId="5FF5E291" w14:textId="77777777" w:rsidTr="00155C96">
        <w:trPr>
          <w:trHeight w:val="316"/>
        </w:trPr>
        <w:tc>
          <w:tcPr>
            <w:tcW w:w="1384" w:type="dxa"/>
          </w:tcPr>
          <w:p w14:paraId="1CE9AB1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5" w:type="dxa"/>
          </w:tcPr>
          <w:p w14:paraId="4B567AF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Akumulirana umanjenja vrijednosti</w:t>
            </w:r>
          </w:p>
          <w:p w14:paraId="4FB7F9C5" w14:textId="77777777" w:rsidR="004E71F4" w:rsidRPr="007F4CC8" w:rsidRDefault="004E71F4" w:rsidP="00155C96">
            <w:pPr>
              <w:pStyle w:val="Fait"/>
              <w:spacing w:before="0" w:after="120"/>
            </w:pPr>
            <w:r>
              <w:t>To uključuje iznose koji se određuju u skladu s točkom 11., točkama od 69. do 71., točkama 106. i 110. dijela 2. Priloga V. Provedbenoj uredbi Komisije (EU) 680/2014</w:t>
            </w:r>
          </w:p>
        </w:tc>
      </w:tr>
      <w:tr w:rsidR="004E71F4" w:rsidRPr="007F4CC8" w14:paraId="46415016" w14:textId="77777777" w:rsidTr="00155C96">
        <w:trPr>
          <w:trHeight w:val="695"/>
        </w:trPr>
        <w:tc>
          <w:tcPr>
            <w:tcW w:w="1384" w:type="dxa"/>
          </w:tcPr>
          <w:p w14:paraId="7701B30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173D47D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Rezervacije za izvanbilančne obveze i dana financijska jamstva</w:t>
            </w:r>
          </w:p>
          <w:p w14:paraId="24FAD81B"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Ovaj redak uključuje rezervacije za izvanbilančne obveze i dana financijska jamstva.</w:t>
            </w:r>
          </w:p>
        </w:tc>
      </w:tr>
      <w:tr w:rsidR="004E71F4" w:rsidRPr="007F4CC8" w14:paraId="3067476F" w14:textId="77777777" w:rsidTr="00155C96">
        <w:trPr>
          <w:trHeight w:val="695"/>
        </w:trPr>
        <w:tc>
          <w:tcPr>
            <w:tcW w:w="1384" w:type="dxa"/>
          </w:tcPr>
          <w:p w14:paraId="52AA326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665BC3F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Akumulirane negativne promjene fer vrijednosti zbog kreditnog rizika neprihodonosnih izloženosti</w:t>
            </w:r>
          </w:p>
          <w:p w14:paraId="697B0B24" w14:textId="77777777" w:rsidR="004E71F4" w:rsidRPr="007F4CC8" w:rsidRDefault="004E71F4" w:rsidP="00155C96">
            <w:pPr>
              <w:pStyle w:val="Fait"/>
              <w:spacing w:before="0" w:after="120"/>
            </w:pPr>
            <w:r>
              <w:t>To uključuje iznose koji se određuju u skladu s točkom 11., točkama od 69. do 71., točkama 106. i 110. dijela 2. Priloga V. Provedbenoj uredbi Komisije (EU) 680/2014.</w:t>
            </w:r>
          </w:p>
        </w:tc>
      </w:tr>
    </w:tbl>
    <w:p w14:paraId="052C419F" w14:textId="77777777" w:rsidR="004E71F4" w:rsidRPr="007F4CC8" w:rsidRDefault="004E71F4" w:rsidP="004E71F4">
      <w:pPr>
        <w:autoSpaceDE w:val="0"/>
        <w:autoSpaceDN w:val="0"/>
        <w:adjustRightInd w:val="0"/>
        <w:spacing w:after="120"/>
        <w:rPr>
          <w:rFonts w:ascii="Times New Roman" w:hAnsi="Times New Roman" w:cs="Times New Roman"/>
          <w:sz w:val="24"/>
        </w:rPr>
      </w:pPr>
    </w:p>
    <w:p w14:paraId="0DDE3181" w14:textId="23AC22F4"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Obrazac EU CQ5: Kreditna kvaliteta kredita i predujmova nefinancijskim društvima po djelatnostima</w:t>
      </w:r>
    </w:p>
    <w:p w14:paraId="201DD2F2" w14:textId="57D8ED8C"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bCs/>
          <w:sz w:val="24"/>
        </w:rPr>
        <w:lastRenderedPageBreak/>
        <w:t>Institucije objavljuju informacije iz članka 442. točaka (c) i (e) CRR-a ispunjavanjem obrasca EU CQ5 iz Priloga XV. ovoj Provedbenoj uredbi prema uputama u nastavku ovog Priloga.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9DE0CA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32406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Pravna osnova i upute</w:t>
            </w:r>
          </w:p>
        </w:tc>
      </w:tr>
      <w:tr w:rsidR="004E71F4" w:rsidRPr="007F4CC8" w14:paraId="0CFFFD8C" w14:textId="77777777" w:rsidTr="00155C96">
        <w:trPr>
          <w:trHeight w:val="238"/>
        </w:trPr>
        <w:tc>
          <w:tcPr>
            <w:tcW w:w="1384" w:type="dxa"/>
            <w:shd w:val="clear" w:color="auto" w:fill="D9D9D9" w:themeFill="background1" w:themeFillShade="D9"/>
          </w:tcPr>
          <w:p w14:paraId="469957D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03CA8FE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4E71F4" w:rsidRPr="007F4CC8" w14:paraId="621C4383" w14:textId="77777777" w:rsidTr="00155C96">
        <w:trPr>
          <w:trHeight w:val="971"/>
        </w:trPr>
        <w:tc>
          <w:tcPr>
            <w:tcW w:w="1384" w:type="dxa"/>
          </w:tcPr>
          <w:p w14:paraId="53AE88CC" w14:textId="77777777" w:rsidR="004E71F4" w:rsidRPr="007F4CC8" w:rsidRDefault="004E71F4" w:rsidP="00155C96">
            <w:pPr>
              <w:pStyle w:val="Applicationdirecte"/>
              <w:spacing w:before="0"/>
            </w:pPr>
            <w:r>
              <w:t>010 – 190</w:t>
            </w:r>
          </w:p>
        </w:tc>
        <w:tc>
          <w:tcPr>
            <w:tcW w:w="7655" w:type="dxa"/>
          </w:tcPr>
          <w:p w14:paraId="69C2E900" w14:textId="77777777" w:rsidR="004E71F4" w:rsidRPr="007F4CC8" w:rsidRDefault="004E71F4" w:rsidP="00155C96">
            <w:pPr>
              <w:pStyle w:val="Fait"/>
              <w:spacing w:before="0" w:after="120"/>
              <w:rPr>
                <w:b/>
              </w:rPr>
            </w:pPr>
            <w:r>
              <w:rPr>
                <w:b/>
              </w:rPr>
              <w:t>Raščlamba drugih ugovornih strana po djelatnostima</w:t>
            </w:r>
          </w:p>
          <w:p w14:paraId="75719E9B" w14:textId="77777777" w:rsidR="004E71F4" w:rsidRPr="007F4CC8" w:rsidRDefault="004E71F4" w:rsidP="00155C96">
            <w:pPr>
              <w:pStyle w:val="Fait"/>
              <w:spacing w:before="0" w:after="120"/>
            </w:pPr>
            <w:r>
              <w:t>Raspodjela ugovornih strana po sektoru uključuje samo sektore koji se odnose na drugu ugovornu stranu nefinancijsko društvo.</w:t>
            </w:r>
          </w:p>
          <w:p w14:paraId="22DE98F2" w14:textId="77777777" w:rsidR="004E71F4" w:rsidRPr="007F4CC8" w:rsidRDefault="004E71F4" w:rsidP="00155C96">
            <w:pPr>
              <w:pStyle w:val="Fait"/>
              <w:spacing w:before="0" w:after="120"/>
            </w:pPr>
            <w:r>
              <w:t>Raspodjela ugovornih strana po sektoru temelji se isključivo na naravi neposredne druge ugovorne strane. Klasifikacija zajedničkih izloženosti više dužnika obavlja se na temelju obilježja dužnika koji je bio relevantniji ili odlučujući za odluku institucije o odobravanju izloženosti.</w:t>
            </w:r>
          </w:p>
          <w:p w14:paraId="509E4079" w14:textId="77777777" w:rsidR="004E71F4" w:rsidRPr="007F4CC8" w:rsidRDefault="004E71F4" w:rsidP="00155C96">
            <w:pPr>
              <w:pStyle w:val="Fait"/>
              <w:spacing w:before="0" w:after="120"/>
            </w:pPr>
            <w:r>
              <w:t>Redci se koriste za objavu značajnih sektora djelatnosti ili vrsta drugih ugovornih strana prema kojima institucije imaju izloženosti. Značajnost se ocjenjuje u skladu s člankom 432. CRR-a, a značajnost sektora djelatnosti ili vrsta drugih ugovornih strana agregira se u retku „Ostale usluge”.</w:t>
            </w:r>
          </w:p>
        </w:tc>
      </w:tr>
      <w:tr w:rsidR="004E71F4" w:rsidRPr="007F4CC8" w14:paraId="7C4A0B77" w14:textId="77777777" w:rsidTr="00155C96">
        <w:trPr>
          <w:trHeight w:val="316"/>
        </w:trPr>
        <w:tc>
          <w:tcPr>
            <w:tcW w:w="1384" w:type="dxa"/>
          </w:tcPr>
          <w:p w14:paraId="7156E57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200</w:t>
            </w:r>
          </w:p>
        </w:tc>
        <w:tc>
          <w:tcPr>
            <w:tcW w:w="7655" w:type="dxa"/>
          </w:tcPr>
          <w:p w14:paraId="2DADB6C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Ukupno</w:t>
            </w:r>
          </w:p>
        </w:tc>
      </w:tr>
    </w:tbl>
    <w:p w14:paraId="3FA6DB40"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5785AED1" w14:textId="77777777" w:rsidTr="00155C96">
        <w:trPr>
          <w:trHeight w:val="238"/>
        </w:trPr>
        <w:tc>
          <w:tcPr>
            <w:tcW w:w="9039" w:type="dxa"/>
            <w:gridSpan w:val="2"/>
            <w:shd w:val="clear" w:color="auto" w:fill="D9D9D9" w:themeFill="background1" w:themeFillShade="D9"/>
          </w:tcPr>
          <w:p w14:paraId="7F360C6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Pravna osnova i upute</w:t>
            </w:r>
          </w:p>
        </w:tc>
      </w:tr>
      <w:tr w:rsidR="004E71F4" w:rsidRPr="007F4CC8" w14:paraId="076A6EC7" w14:textId="77777777" w:rsidTr="00155C96">
        <w:trPr>
          <w:trHeight w:val="238"/>
        </w:trPr>
        <w:tc>
          <w:tcPr>
            <w:tcW w:w="1384" w:type="dxa"/>
            <w:shd w:val="clear" w:color="auto" w:fill="D9D9D9" w:themeFill="background1" w:themeFillShade="D9"/>
          </w:tcPr>
          <w:p w14:paraId="3E90702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Broj stupca</w:t>
            </w:r>
          </w:p>
        </w:tc>
        <w:tc>
          <w:tcPr>
            <w:tcW w:w="7655" w:type="dxa"/>
            <w:shd w:val="clear" w:color="auto" w:fill="D9D9D9" w:themeFill="background1" w:themeFillShade="D9"/>
          </w:tcPr>
          <w:p w14:paraId="462B550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Objašnjenje</w:t>
            </w:r>
          </w:p>
        </w:tc>
      </w:tr>
      <w:tr w:rsidR="004E71F4" w:rsidRPr="007F4CC8" w14:paraId="1BB55FB9" w14:textId="77777777" w:rsidTr="00155C96">
        <w:trPr>
          <w:trHeight w:val="841"/>
        </w:trPr>
        <w:tc>
          <w:tcPr>
            <w:tcW w:w="1384" w:type="dxa"/>
          </w:tcPr>
          <w:p w14:paraId="19286B5D" w14:textId="77777777" w:rsidR="004E71F4" w:rsidRPr="007F4CC8" w:rsidRDefault="004E71F4" w:rsidP="00155C96">
            <w:pPr>
              <w:pStyle w:val="Applicationdirecte"/>
              <w:spacing w:before="0"/>
            </w:pPr>
            <w:r>
              <w:t>a</w:t>
            </w:r>
          </w:p>
        </w:tc>
        <w:tc>
          <w:tcPr>
            <w:tcW w:w="7655" w:type="dxa"/>
          </w:tcPr>
          <w:p w14:paraId="3EAB8290" w14:textId="77777777" w:rsidR="004E71F4" w:rsidRPr="007F4CC8" w:rsidRDefault="004E71F4" w:rsidP="00155C96">
            <w:pPr>
              <w:pStyle w:val="Fait"/>
              <w:spacing w:before="0" w:after="120"/>
              <w:rPr>
                <w:rFonts w:eastAsiaTheme="minorEastAsia"/>
                <w:b/>
              </w:rPr>
            </w:pPr>
            <w:r>
              <w:rPr>
                <w:b/>
              </w:rPr>
              <w:t xml:space="preserve">Bruto knjigovodstvena vrijednost </w:t>
            </w:r>
          </w:p>
          <w:p w14:paraId="54BC957E" w14:textId="77777777" w:rsidR="004E71F4" w:rsidRPr="007F4CC8" w:rsidRDefault="004E71F4" w:rsidP="00155C96">
            <w:pPr>
              <w:pStyle w:val="Fait"/>
              <w:spacing w:before="0" w:after="120"/>
            </w:pPr>
            <w:r>
              <w:t>Bruto knjigovodstvena vrijednost kako je definirana u točki 34. dijela 1. Priloga V. Provedbenoj uredbi Komisije (EU) 680/2014.;</w:t>
            </w:r>
          </w:p>
          <w:p w14:paraId="61BFF20A" w14:textId="77777777" w:rsidR="004E71F4" w:rsidRPr="007F4CC8" w:rsidRDefault="004E71F4" w:rsidP="00155C96">
            <w:pPr>
              <w:pStyle w:val="Fait"/>
              <w:spacing w:before="0" w:after="120"/>
            </w:pPr>
            <w:r>
              <w:t>Bruto knjigovodstvena vrijednost koja se odnosi na izloženosti koje podliježu umanjenju vrijednosti umanjena je za akumulirani djelomični i potpuni otpis.</w:t>
            </w:r>
          </w:p>
        </w:tc>
      </w:tr>
      <w:tr w:rsidR="004E71F4" w:rsidRPr="007F4CC8" w14:paraId="73F33D97" w14:textId="77777777" w:rsidTr="00155C96">
        <w:trPr>
          <w:trHeight w:val="841"/>
        </w:trPr>
        <w:tc>
          <w:tcPr>
            <w:tcW w:w="1384" w:type="dxa"/>
          </w:tcPr>
          <w:p w14:paraId="1825F9E0" w14:textId="77777777" w:rsidR="004E71F4" w:rsidRPr="007F4CC8" w:rsidRDefault="004E71F4" w:rsidP="00155C96">
            <w:pPr>
              <w:pStyle w:val="Applicationdirecte"/>
              <w:spacing w:before="0"/>
            </w:pPr>
            <w:r>
              <w:t>b</w:t>
            </w:r>
          </w:p>
        </w:tc>
        <w:tc>
          <w:tcPr>
            <w:tcW w:w="7655" w:type="dxa"/>
          </w:tcPr>
          <w:p w14:paraId="03EFCCA9" w14:textId="77777777" w:rsidR="004E71F4" w:rsidRPr="007F4CC8" w:rsidRDefault="004E71F4" w:rsidP="00155C96">
            <w:pPr>
              <w:pStyle w:val="Fait"/>
              <w:spacing w:before="0" w:after="120"/>
              <w:rPr>
                <w:b/>
              </w:rPr>
            </w:pPr>
            <w:r>
              <w:rPr>
                <w:b/>
              </w:rPr>
              <w:t xml:space="preserve">Bruto knjigovodstvena vrijednost – od čega neprihodonosne </w:t>
            </w:r>
          </w:p>
          <w:p w14:paraId="218B3169" w14:textId="77777777" w:rsidR="004E71F4" w:rsidRPr="007F4CC8" w:rsidRDefault="004E71F4" w:rsidP="00155C96">
            <w:pPr>
              <w:pStyle w:val="Fait"/>
              <w:spacing w:before="0" w:after="120"/>
              <w:rPr>
                <w:rFonts w:eastAsiaTheme="minorEastAsia"/>
              </w:rPr>
            </w:pPr>
            <w:r>
              <w:t>Bruto knjigovodstvena vrijednost kako je definirana u točki 34. dijela 1. Priloga V. Provedbenoj uredbi Komisije (EU) 680/2014.; neprihodonosne izloženosti kako su definirane u članku 47.a CRR-a</w:t>
            </w:r>
          </w:p>
        </w:tc>
      </w:tr>
      <w:tr w:rsidR="004E71F4" w:rsidRPr="007F4CC8" w14:paraId="371E1F32" w14:textId="77777777" w:rsidTr="00155C96">
        <w:trPr>
          <w:trHeight w:val="841"/>
        </w:trPr>
        <w:tc>
          <w:tcPr>
            <w:tcW w:w="1384" w:type="dxa"/>
          </w:tcPr>
          <w:p w14:paraId="558ECFC0" w14:textId="77777777" w:rsidR="004E71F4" w:rsidRPr="007F4CC8" w:rsidRDefault="004E71F4" w:rsidP="00155C96">
            <w:pPr>
              <w:pStyle w:val="Applicationdirecte"/>
              <w:spacing w:before="0"/>
            </w:pPr>
            <w:r>
              <w:t>c</w:t>
            </w:r>
          </w:p>
        </w:tc>
        <w:tc>
          <w:tcPr>
            <w:tcW w:w="7655" w:type="dxa"/>
          </w:tcPr>
          <w:p w14:paraId="62C4E95E" w14:textId="77777777" w:rsidR="004E71F4" w:rsidRPr="007F4CC8" w:rsidRDefault="004E71F4" w:rsidP="00155C96">
            <w:pPr>
              <w:pStyle w:val="Fait"/>
              <w:spacing w:before="0" w:after="120"/>
              <w:ind w:left="720"/>
              <w:rPr>
                <w:rFonts w:eastAsiaTheme="minorEastAsia"/>
                <w:b/>
              </w:rPr>
            </w:pPr>
            <w:r>
              <w:rPr>
                <w:b/>
              </w:rPr>
              <w:t>Od čega u statusu neispunjavanja obveza</w:t>
            </w:r>
          </w:p>
          <w:p w14:paraId="37399537" w14:textId="77777777" w:rsidR="004E71F4" w:rsidRPr="007F4CC8" w:rsidRDefault="004E71F4" w:rsidP="00155C96">
            <w:pPr>
              <w:pStyle w:val="Fait"/>
              <w:spacing w:before="0" w:after="120"/>
              <w:rPr>
                <w:rFonts w:eastAsiaTheme="minorEastAsia"/>
              </w:rPr>
            </w:pPr>
            <w:r>
              <w:t>Izloženosti u statusu neispunjavanja obveza u skladu s člankom 178. CRR-a.</w:t>
            </w:r>
          </w:p>
        </w:tc>
      </w:tr>
      <w:tr w:rsidR="004E71F4" w:rsidRPr="007F4CC8" w14:paraId="213D77F3" w14:textId="77777777" w:rsidTr="00155C96">
        <w:trPr>
          <w:trHeight w:val="841"/>
        </w:trPr>
        <w:tc>
          <w:tcPr>
            <w:tcW w:w="1384" w:type="dxa"/>
          </w:tcPr>
          <w:p w14:paraId="199F8E31" w14:textId="77777777" w:rsidR="004E71F4" w:rsidRPr="007F4CC8" w:rsidRDefault="004E71F4" w:rsidP="00155C96">
            <w:pPr>
              <w:pStyle w:val="Applicationdirecte"/>
              <w:spacing w:before="0"/>
            </w:pPr>
            <w:r>
              <w:t>d</w:t>
            </w:r>
          </w:p>
        </w:tc>
        <w:tc>
          <w:tcPr>
            <w:tcW w:w="7655" w:type="dxa"/>
          </w:tcPr>
          <w:p w14:paraId="191EBD27" w14:textId="77777777" w:rsidR="004E71F4" w:rsidRPr="007F4CC8" w:rsidRDefault="004E71F4" w:rsidP="00155C96">
            <w:pPr>
              <w:pStyle w:val="Fait"/>
              <w:spacing w:before="0" w:after="120"/>
              <w:rPr>
                <w:b/>
              </w:rPr>
            </w:pPr>
            <w:r>
              <w:rPr>
                <w:b/>
              </w:rPr>
              <w:t>Bruto knjigovodstvena vrijednost – od čega krediti i predujmovi koji podliježu umanjenju vrijednosti</w:t>
            </w:r>
          </w:p>
          <w:p w14:paraId="4B4B425B" w14:textId="77777777" w:rsidR="004E71F4" w:rsidRPr="007F4CC8" w:rsidRDefault="004E71F4" w:rsidP="00155C96">
            <w:pPr>
              <w:pStyle w:val="Fait"/>
              <w:spacing w:before="0" w:after="120"/>
            </w:pPr>
            <w:r>
              <w:t>Bruto knjigovodstvena vrijednost koja se odnosi na kredite i predujmove na koje se primjenjuju zahtjevi o umanjenju vrijednosti iz primjenjivog računovodstvenog okvira.</w:t>
            </w:r>
          </w:p>
        </w:tc>
      </w:tr>
      <w:tr w:rsidR="004E71F4" w:rsidRPr="007F4CC8" w14:paraId="3AE4B1A3" w14:textId="77777777" w:rsidTr="00155C96">
        <w:trPr>
          <w:trHeight w:val="316"/>
        </w:trPr>
        <w:tc>
          <w:tcPr>
            <w:tcW w:w="1384" w:type="dxa"/>
          </w:tcPr>
          <w:p w14:paraId="4E2F656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e</w:t>
            </w:r>
          </w:p>
        </w:tc>
        <w:tc>
          <w:tcPr>
            <w:tcW w:w="7655" w:type="dxa"/>
          </w:tcPr>
          <w:p w14:paraId="0B527FEF" w14:textId="77777777" w:rsidR="004E71F4" w:rsidRPr="007F4CC8" w:rsidRDefault="004E71F4" w:rsidP="00155C96">
            <w:pPr>
              <w:pStyle w:val="Fait"/>
              <w:spacing w:before="0" w:after="120"/>
              <w:rPr>
                <w:b/>
              </w:rPr>
            </w:pPr>
            <w:r>
              <w:rPr>
                <w:b/>
              </w:rPr>
              <w:t>Akumulirana umanjenja vrijednosti</w:t>
            </w:r>
          </w:p>
          <w:p w14:paraId="7702A0EE" w14:textId="77777777" w:rsidR="004E71F4" w:rsidRPr="007F4CC8" w:rsidRDefault="004E71F4" w:rsidP="00155C96">
            <w:pPr>
              <w:pStyle w:val="Fait"/>
              <w:spacing w:before="0" w:after="120"/>
            </w:pPr>
            <w:r>
              <w:t>To uključuje iznose koji se određuju u skladu s točkom 11., točkama od 69. do 71., točkama 106. i 110. dijela 2. Priloga V. Provedbenoj uredbi Komisije (EU) 680/2014.</w:t>
            </w:r>
          </w:p>
        </w:tc>
      </w:tr>
      <w:tr w:rsidR="004E71F4" w:rsidRPr="007F4CC8" w14:paraId="62C1F901" w14:textId="77777777" w:rsidTr="00155C96">
        <w:trPr>
          <w:trHeight w:val="316"/>
        </w:trPr>
        <w:tc>
          <w:tcPr>
            <w:tcW w:w="1384" w:type="dxa"/>
          </w:tcPr>
          <w:p w14:paraId="727F98B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2411E6BE" w14:textId="77777777" w:rsidR="004E71F4" w:rsidRPr="007F4CC8" w:rsidRDefault="004E71F4" w:rsidP="00155C96">
            <w:pPr>
              <w:pStyle w:val="Fait"/>
              <w:spacing w:before="0" w:after="120"/>
              <w:rPr>
                <w:b/>
              </w:rPr>
            </w:pPr>
            <w:r>
              <w:rPr>
                <w:b/>
              </w:rPr>
              <w:t>Akumulirane negativne promjene fer vrijednosti zbog kreditnog rizika neprihodonosnih izloženosti</w:t>
            </w:r>
          </w:p>
          <w:p w14:paraId="5DCDC716" w14:textId="77777777" w:rsidR="004E71F4" w:rsidRPr="007F4CC8" w:rsidRDefault="004E71F4" w:rsidP="00155C96">
            <w:pPr>
              <w:pStyle w:val="Fait"/>
              <w:spacing w:before="0" w:after="120"/>
            </w:pPr>
            <w:r>
              <w:t>Neprihodonosne izloženosti kako su definirane u članku 47.a CRR-a</w:t>
            </w:r>
          </w:p>
          <w:p w14:paraId="3A5B7C72" w14:textId="77777777" w:rsidR="004E71F4" w:rsidRPr="007F4CC8" w:rsidRDefault="004E71F4" w:rsidP="00155C96">
            <w:pPr>
              <w:pStyle w:val="Fait"/>
              <w:spacing w:before="0" w:after="120"/>
            </w:pPr>
            <w:r>
              <w:t>Institucije uključuju iznose koji se određuju u skladu s točkom 11., točkama od 69. do 71., točkama 106. i 110. dijela 2. Priloga V. Provedbenoj uredbi Komisije (EU) 680/2014.</w:t>
            </w:r>
          </w:p>
        </w:tc>
      </w:tr>
    </w:tbl>
    <w:p w14:paraId="467A822A"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64E06730" w14:textId="70CB613A"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Obrazac EU CQ6: Vrednovanje kolaterala – krediti i predujmovi</w:t>
      </w:r>
    </w:p>
    <w:p w14:paraId="0FE385CA" w14:textId="27674B83"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bCs/>
          <w:sz w:val="24"/>
        </w:rPr>
        <w:t>Institucije objavljuju informacije iz članka 442. točke (c) CRR-a ispunjavanjem obrasca EU CQ6 iz Priloga XV. ovoj Provedbenoj uredbi prema uputama u nastavku ovog Priloga.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AA774FE"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058B2"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Pravna osnova i upute</w:t>
            </w:r>
          </w:p>
        </w:tc>
      </w:tr>
      <w:tr w:rsidR="004E71F4" w:rsidRPr="007F4CC8" w14:paraId="13BEB25F" w14:textId="77777777" w:rsidTr="00155C96">
        <w:trPr>
          <w:trHeight w:val="238"/>
        </w:trPr>
        <w:tc>
          <w:tcPr>
            <w:tcW w:w="1384" w:type="dxa"/>
            <w:shd w:val="clear" w:color="auto" w:fill="D9D9D9" w:themeFill="background1" w:themeFillShade="D9"/>
          </w:tcPr>
          <w:p w14:paraId="553FDC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0E0C950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4E71F4" w:rsidRPr="007F4CC8" w14:paraId="167093C2" w14:textId="77777777" w:rsidTr="00155C96">
        <w:trPr>
          <w:trHeight w:val="971"/>
        </w:trPr>
        <w:tc>
          <w:tcPr>
            <w:tcW w:w="1384" w:type="dxa"/>
          </w:tcPr>
          <w:p w14:paraId="15CDA528" w14:textId="77777777" w:rsidR="004E71F4" w:rsidRPr="007F4CC8" w:rsidRDefault="004E71F4" w:rsidP="00155C96">
            <w:pPr>
              <w:pStyle w:val="Applicationdirecte"/>
              <w:spacing w:before="0"/>
            </w:pPr>
            <w:r>
              <w:t>010</w:t>
            </w:r>
          </w:p>
        </w:tc>
        <w:tc>
          <w:tcPr>
            <w:tcW w:w="7655" w:type="dxa"/>
          </w:tcPr>
          <w:p w14:paraId="0D459D51" w14:textId="77777777" w:rsidR="004E71F4" w:rsidRPr="007F4CC8" w:rsidRDefault="004E71F4" w:rsidP="00155C96">
            <w:pPr>
              <w:pStyle w:val="Fait"/>
              <w:spacing w:before="0" w:after="120"/>
              <w:rPr>
                <w:rFonts w:eastAsiaTheme="minorEastAsia"/>
                <w:b/>
              </w:rPr>
            </w:pPr>
            <w:r>
              <w:rPr>
                <w:b/>
              </w:rPr>
              <w:t xml:space="preserve">Bruto knjigovodstvena vrijednost </w:t>
            </w:r>
          </w:p>
          <w:p w14:paraId="42B0DF3A" w14:textId="77777777" w:rsidR="004E71F4" w:rsidRPr="007F4CC8" w:rsidRDefault="004E71F4" w:rsidP="00155C96">
            <w:pPr>
              <w:pStyle w:val="Fait"/>
              <w:spacing w:before="0" w:after="120"/>
            </w:pPr>
            <w:r>
              <w:t>Bruto knjigovodstvena vrijednost kako je definirana u točki 34. dijela 1. Priloga V. Provedbenoj uredbi Komisije (EU) 680/2014.;</w:t>
            </w:r>
          </w:p>
        </w:tc>
      </w:tr>
      <w:tr w:rsidR="004E71F4" w:rsidRPr="007F4CC8" w14:paraId="17DE3FE5" w14:textId="77777777" w:rsidTr="00155C96">
        <w:trPr>
          <w:trHeight w:val="971"/>
        </w:trPr>
        <w:tc>
          <w:tcPr>
            <w:tcW w:w="1384" w:type="dxa"/>
          </w:tcPr>
          <w:p w14:paraId="77E12B3A" w14:textId="77777777" w:rsidR="004E71F4" w:rsidRPr="007F4CC8" w:rsidRDefault="004E71F4" w:rsidP="00155C96">
            <w:pPr>
              <w:pStyle w:val="Applicationdirecte"/>
              <w:spacing w:before="0"/>
            </w:pPr>
            <w:r>
              <w:t>020</w:t>
            </w:r>
          </w:p>
        </w:tc>
        <w:tc>
          <w:tcPr>
            <w:tcW w:w="7655" w:type="dxa"/>
          </w:tcPr>
          <w:p w14:paraId="1444414A" w14:textId="77777777" w:rsidR="004E71F4" w:rsidRPr="007F4CC8" w:rsidRDefault="004E71F4" w:rsidP="00155C96">
            <w:pPr>
              <w:pStyle w:val="Fait"/>
              <w:spacing w:before="0" w:after="120"/>
              <w:ind w:left="720"/>
              <w:rPr>
                <w:rFonts w:eastAsiaTheme="minorEastAsia"/>
                <w:b/>
              </w:rPr>
            </w:pPr>
            <w:r>
              <w:rPr>
                <w:b/>
              </w:rPr>
              <w:t xml:space="preserve">Od čega osigurani </w:t>
            </w:r>
          </w:p>
          <w:p w14:paraId="1989790B" w14:textId="77777777" w:rsidR="004E71F4" w:rsidRPr="007F4CC8" w:rsidRDefault="004E71F4" w:rsidP="00155C96">
            <w:pPr>
              <w:pStyle w:val="Fait"/>
              <w:spacing w:before="0" w:after="120"/>
            </w:pPr>
            <w:r>
              <w:t>U ovom se retku objavljuje bruto knjigovodstvena vrijednost osiguranih i djelomično osiguranih kredita, kako je definirana u točki 34. dijela 1. Priloga V. Provedbenoj uredbi Komisije (EU) 680/2014.</w:t>
            </w:r>
          </w:p>
          <w:p w14:paraId="49F56793" w14:textId="77777777" w:rsidR="004E71F4" w:rsidRPr="007F4CC8" w:rsidRDefault="004E71F4" w:rsidP="00155C96">
            <w:pPr>
              <w:pStyle w:val="Fait"/>
              <w:spacing w:before="0" w:after="120"/>
            </w:pPr>
            <w:r>
              <w:t>Neosigurani krediti i predujmovi uključuju izloženosti koje nisu pokrivene ni kolateralom niti financijskim jamstvom; neosigurani dio izloženosti koja je djelomično osigurana ili djelomično pokrivena jamstvom uključuje se u ovaj redak, u skladu s točkom 323. dijela 2. Priloga V. Provedbenoj uredbi Komisije (EU) 680/2014.</w:t>
            </w:r>
          </w:p>
          <w:p w14:paraId="66933E4D" w14:textId="77777777" w:rsidR="004E71F4" w:rsidRPr="007F4CC8" w:rsidRDefault="004E71F4" w:rsidP="00155C96">
            <w:pPr>
              <w:pStyle w:val="Fait"/>
              <w:spacing w:before="0" w:after="120"/>
            </w:pPr>
            <w:r>
              <w:t>Stoga se osigurani krediti i predujmovi izračunavaju kao razlika između bruto knjigovodstvene vrijednosti svih kredita i predujmova i bruto knjigovodstvene vrijednosti neosiguranih kredita i predujmova, a uključuje osigurani i neosigurani dio kredita.</w:t>
            </w:r>
          </w:p>
          <w:p w14:paraId="39CA1040" w14:textId="77777777" w:rsidR="004E71F4" w:rsidRPr="007F4CC8" w:rsidRDefault="004E71F4" w:rsidP="00155C96">
            <w:pPr>
              <w:pStyle w:val="Institutionquisigne"/>
              <w:spacing w:before="0" w:after="120"/>
            </w:pPr>
            <w:r>
              <w:rPr>
                <w:i w:val="0"/>
              </w:rPr>
              <w:t>U slučaju prekomjernog osiguranja kolateralom objavljuje se bruto knjigovodstvena vrijednost kredita.</w:t>
            </w:r>
          </w:p>
        </w:tc>
      </w:tr>
      <w:tr w:rsidR="004E71F4" w:rsidRPr="007F4CC8" w14:paraId="754A3D91" w14:textId="77777777" w:rsidTr="00155C96">
        <w:trPr>
          <w:trHeight w:val="971"/>
        </w:trPr>
        <w:tc>
          <w:tcPr>
            <w:tcW w:w="1384" w:type="dxa"/>
          </w:tcPr>
          <w:p w14:paraId="4445E319" w14:textId="77777777" w:rsidR="004E71F4" w:rsidRPr="007F4CC8" w:rsidRDefault="004E71F4" w:rsidP="00155C96">
            <w:pPr>
              <w:pStyle w:val="Applicationdirecte"/>
              <w:spacing w:before="0"/>
            </w:pPr>
            <w:r>
              <w:t>030</w:t>
            </w:r>
          </w:p>
        </w:tc>
        <w:tc>
          <w:tcPr>
            <w:tcW w:w="7655" w:type="dxa"/>
          </w:tcPr>
          <w:p w14:paraId="482604AE" w14:textId="77777777" w:rsidR="004E71F4" w:rsidRPr="007F4CC8" w:rsidRDefault="004E71F4" w:rsidP="00155C96">
            <w:pPr>
              <w:pStyle w:val="Fait"/>
              <w:spacing w:before="0" w:after="120"/>
              <w:ind w:left="1440"/>
              <w:rPr>
                <w:rFonts w:eastAsiaTheme="minorEastAsia"/>
                <w:b/>
              </w:rPr>
            </w:pPr>
            <w:r>
              <w:rPr>
                <w:b/>
              </w:rPr>
              <w:t>Od čega osigurani nekretninama</w:t>
            </w:r>
          </w:p>
          <w:p w14:paraId="758E75CD" w14:textId="0705DBC9" w:rsidR="004E71F4" w:rsidRPr="007F4CC8" w:rsidRDefault="004E71F4" w:rsidP="00155C96">
            <w:pPr>
              <w:pStyle w:val="Fait"/>
              <w:spacing w:before="0" w:after="120"/>
            </w:pPr>
            <w:r>
              <w:t xml:space="preserve">Krediti s nekretninom kao kolateralom uključuju kredite i predujmove koji su formalno osigurani stambenim ili poslovnim nekretninama kao kolateralom bez obzira na njihov omjer kredita i kolaterala (obično se naziva „omjer kredita i vrijednosti nekretnine”) i pravni oblik kolaterala, kako je definirano </w:t>
            </w:r>
            <w:r>
              <w:lastRenderedPageBreak/>
              <w:t xml:space="preserve">u točki 86. </w:t>
            </w:r>
            <w:proofErr w:type="spellStart"/>
            <w:r>
              <w:t>podtočki</w:t>
            </w:r>
            <w:proofErr w:type="spellEnd"/>
            <w:r>
              <w:t xml:space="preserve"> (a) dijela 2. Priloga V. Provedbenoj uredbi Komisije (EU) 680/2014.</w:t>
            </w:r>
          </w:p>
        </w:tc>
      </w:tr>
      <w:tr w:rsidR="004E71F4" w:rsidRPr="007F4CC8" w14:paraId="4D807938" w14:textId="77777777" w:rsidTr="00155C96">
        <w:trPr>
          <w:trHeight w:val="971"/>
        </w:trPr>
        <w:tc>
          <w:tcPr>
            <w:tcW w:w="1384" w:type="dxa"/>
          </w:tcPr>
          <w:p w14:paraId="3C28ECDF" w14:textId="77777777" w:rsidR="004E71F4" w:rsidRPr="007F4CC8" w:rsidRDefault="004E71F4" w:rsidP="00155C96">
            <w:pPr>
              <w:pStyle w:val="Applicationdirecte"/>
              <w:spacing w:before="0"/>
            </w:pPr>
            <w:r>
              <w:lastRenderedPageBreak/>
              <w:t>040</w:t>
            </w:r>
          </w:p>
        </w:tc>
        <w:tc>
          <w:tcPr>
            <w:tcW w:w="7655" w:type="dxa"/>
          </w:tcPr>
          <w:p w14:paraId="0913F0F8" w14:textId="77777777" w:rsidR="004E71F4" w:rsidRPr="007F4CC8" w:rsidRDefault="004E71F4" w:rsidP="00155C96">
            <w:pPr>
              <w:pStyle w:val="Fait"/>
              <w:spacing w:before="0" w:after="120"/>
              <w:ind w:left="2160"/>
              <w:rPr>
                <w:rFonts w:eastAsiaTheme="minorEastAsia"/>
                <w:b/>
              </w:rPr>
            </w:pPr>
            <w:r>
              <w:rPr>
                <w:b/>
              </w:rPr>
              <w:t>Od čega instrumenti s omjerom kredita i vrijednosti nekretnine većim od 60 % i manjim ili jednakim 80 %</w:t>
            </w:r>
          </w:p>
          <w:p w14:paraId="5D101848" w14:textId="77777777" w:rsidR="004E71F4" w:rsidRPr="007F4CC8" w:rsidRDefault="004E71F4" w:rsidP="00155C96">
            <w:pPr>
              <w:pStyle w:val="Institutionquisigne"/>
              <w:spacing w:before="0" w:after="120"/>
              <w:rPr>
                <w:rFonts w:eastAsiaTheme="minorEastAsia"/>
              </w:rPr>
            </w:pPr>
            <w:r>
              <w:rPr>
                <w:i w:val="0"/>
              </w:rPr>
              <w:t>Omjer kredita i vrijednosti nekretnine (LTV) izračunava se primjenom metode izračuna „trenutnog omjera kredita i vrijednosti nekretnine” navedene u Preporuci Europskog odbora za sistemske rizike o zatvaranju praznina u podacima o nekretninama (ESRB/2016/14)</w:t>
            </w:r>
            <w:r>
              <w:rPr>
                <w:rStyle w:val="FootnoteReference"/>
                <w:i w:val="0"/>
              </w:rPr>
              <w:footnoteReference w:id="32"/>
            </w:r>
            <w:r>
              <w:rPr>
                <w:i w:val="0"/>
              </w:rPr>
              <w:t>. Institucije objavljuju bruto knjigovodstvenu vrijednost kredita i predujmova koji imaju omjer kolaterala i vrijednosti nekretnine veći od 60 % i manji ili jednak 80 %.</w:t>
            </w:r>
          </w:p>
        </w:tc>
      </w:tr>
      <w:tr w:rsidR="004E71F4" w:rsidRPr="007F4CC8" w14:paraId="0B8B1CCB" w14:textId="77777777" w:rsidTr="00155C96">
        <w:trPr>
          <w:trHeight w:val="971"/>
        </w:trPr>
        <w:tc>
          <w:tcPr>
            <w:tcW w:w="1384" w:type="dxa"/>
          </w:tcPr>
          <w:p w14:paraId="54B724DF" w14:textId="77777777" w:rsidR="004E71F4" w:rsidRPr="007F4CC8" w:rsidRDefault="004E71F4" w:rsidP="00155C96">
            <w:pPr>
              <w:pStyle w:val="Applicationdirecte"/>
              <w:spacing w:before="0"/>
            </w:pPr>
            <w:r>
              <w:t>050</w:t>
            </w:r>
          </w:p>
        </w:tc>
        <w:tc>
          <w:tcPr>
            <w:tcW w:w="7655" w:type="dxa"/>
          </w:tcPr>
          <w:p w14:paraId="110E5C73" w14:textId="77777777" w:rsidR="004E71F4" w:rsidRPr="007F4CC8" w:rsidRDefault="004E71F4" w:rsidP="00155C96">
            <w:pPr>
              <w:pStyle w:val="Fait"/>
              <w:spacing w:before="0" w:after="120"/>
              <w:ind w:left="2160"/>
              <w:rPr>
                <w:rFonts w:eastAsiaTheme="minorEastAsia"/>
                <w:b/>
              </w:rPr>
            </w:pPr>
            <w:r>
              <w:rPr>
                <w:b/>
              </w:rPr>
              <w:t>Od čega instrumenti s omjerom kredita i vrijednosti nekretnine većim od 80 % i manjim ili jednakim 100 %</w:t>
            </w:r>
          </w:p>
          <w:p w14:paraId="6EFD6EA8" w14:textId="77777777" w:rsidR="004E71F4" w:rsidRPr="007F4CC8" w:rsidRDefault="004E71F4" w:rsidP="00155C96">
            <w:pPr>
              <w:pStyle w:val="Institutionquisigne"/>
              <w:spacing w:before="0" w:after="120"/>
              <w:rPr>
                <w:rFonts w:eastAsiaTheme="minorEastAsia"/>
              </w:rPr>
            </w:pPr>
            <w:r>
              <w:rPr>
                <w:i w:val="0"/>
              </w:rPr>
              <w:t>Institucije objavljuju bruto knjigovodstvenu vrijednost kredita i predujmova koji imaju omjer kolaterala i vrijednosti nekretnine veći od 80 % i manji ili jednak 100 %.</w:t>
            </w:r>
          </w:p>
        </w:tc>
      </w:tr>
      <w:tr w:rsidR="004E71F4" w:rsidRPr="007F4CC8" w14:paraId="76DD2D26" w14:textId="77777777" w:rsidTr="00155C96">
        <w:trPr>
          <w:trHeight w:val="971"/>
        </w:trPr>
        <w:tc>
          <w:tcPr>
            <w:tcW w:w="1384" w:type="dxa"/>
          </w:tcPr>
          <w:p w14:paraId="72DC51AA" w14:textId="77777777" w:rsidR="004E71F4" w:rsidRPr="007F4CC8" w:rsidRDefault="004E71F4" w:rsidP="00155C96">
            <w:pPr>
              <w:pStyle w:val="Applicationdirecte"/>
              <w:spacing w:before="0"/>
            </w:pPr>
            <w:r>
              <w:t>060</w:t>
            </w:r>
          </w:p>
        </w:tc>
        <w:tc>
          <w:tcPr>
            <w:tcW w:w="7655" w:type="dxa"/>
          </w:tcPr>
          <w:p w14:paraId="0935D043" w14:textId="6EC94933" w:rsidR="004E71F4" w:rsidRPr="007F4CC8" w:rsidRDefault="004E71F4" w:rsidP="00155C96">
            <w:pPr>
              <w:pStyle w:val="Fait"/>
              <w:spacing w:before="0" w:after="120"/>
              <w:ind w:left="2160"/>
              <w:rPr>
                <w:rFonts w:eastAsiaTheme="minorEastAsia"/>
                <w:b/>
              </w:rPr>
            </w:pPr>
            <w:r>
              <w:rPr>
                <w:b/>
              </w:rPr>
              <w:t>Od čega instrumenti s omjerom kredita i vrijednosti nekretnine većim od 100 %</w:t>
            </w:r>
          </w:p>
          <w:p w14:paraId="70834439" w14:textId="77777777" w:rsidR="004E71F4" w:rsidRPr="007F4CC8" w:rsidRDefault="004E71F4" w:rsidP="00155C96">
            <w:pPr>
              <w:pStyle w:val="Institutionquisigne"/>
              <w:spacing w:before="0" w:after="120"/>
              <w:rPr>
                <w:rFonts w:eastAsiaTheme="minorEastAsia"/>
              </w:rPr>
            </w:pPr>
            <w:r>
              <w:rPr>
                <w:i w:val="0"/>
              </w:rPr>
              <w:t>Bruto knjigovodstvena vrijednost kredita i predujmova koji imaju omjer kolaterala i vrijednosti nekretnine veći od 100 %.</w:t>
            </w:r>
          </w:p>
        </w:tc>
      </w:tr>
      <w:tr w:rsidR="004E71F4" w:rsidRPr="007F4CC8" w14:paraId="57A25CD3" w14:textId="77777777" w:rsidTr="00155C96">
        <w:trPr>
          <w:trHeight w:val="316"/>
        </w:trPr>
        <w:tc>
          <w:tcPr>
            <w:tcW w:w="1384" w:type="dxa"/>
          </w:tcPr>
          <w:p w14:paraId="1E1A011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66A9AE8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Akumulirano umanjenje vrijednosti osigurane imovine</w:t>
            </w:r>
          </w:p>
          <w:p w14:paraId="1699F1C0" w14:textId="77777777" w:rsidR="004E71F4" w:rsidRPr="007F4CC8" w:rsidRDefault="004E71F4" w:rsidP="00155C96">
            <w:pPr>
              <w:pStyle w:val="Fait"/>
              <w:spacing w:before="0" w:after="120"/>
            </w:pPr>
            <w:r>
              <w:t>Za osigurane dužničke instrumente akumulirano umanjenje vrijednosti izračunava se kao kumulativni iznos gubitaka zbog umanjenja vrijednosti, ne uključujući primjenu i ukidanja koji su priznati, ovisno o slučaju za svaku fazu umanjenja vrijednosti (točka 70. dijela 2. Priloga V. Provedbenoj uredbi Komisije (EU) 680/2014).</w:t>
            </w:r>
          </w:p>
          <w:p w14:paraId="2ADC11C4" w14:textId="77777777" w:rsidR="004E71F4" w:rsidRPr="007F4CC8" w:rsidRDefault="004E71F4" w:rsidP="00155C96">
            <w:pPr>
              <w:pStyle w:val="Fait"/>
              <w:spacing w:before="0" w:after="120"/>
              <w:rPr>
                <w:b/>
              </w:rPr>
            </w:pPr>
            <w:r>
              <w:t>U ovom se retku iskazuje i akumulirano umanjenje vrijednosti koje se odnosi na neosigurani dio izloženosti koja je djelomično osigurana ili djelomično pokrivena jamstvom.</w:t>
            </w:r>
          </w:p>
        </w:tc>
      </w:tr>
      <w:tr w:rsidR="004E71F4" w:rsidRPr="007F4CC8" w14:paraId="2290904B" w14:textId="77777777" w:rsidTr="00155C96">
        <w:trPr>
          <w:trHeight w:val="316"/>
        </w:trPr>
        <w:tc>
          <w:tcPr>
            <w:tcW w:w="1384" w:type="dxa"/>
          </w:tcPr>
          <w:p w14:paraId="0ACFF594"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670CE9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Kolateral – od čega vrijednosti ograničene na vrijednost izloženosti</w:t>
            </w:r>
          </w:p>
          <w:p w14:paraId="757848DF" w14:textId="77777777" w:rsidR="004E71F4" w:rsidRPr="007F4CC8" w:rsidRDefault="004E71F4" w:rsidP="00155C96">
            <w:pPr>
              <w:pStyle w:val="Fait"/>
              <w:spacing w:before="0" w:after="120"/>
              <w:rPr>
                <w:b/>
              </w:rPr>
            </w:pPr>
            <w:r>
              <w:t>Iznosi za primljene kolaterale izračunavaju se u skladu s točkom 239. dijela 2. Priloga V. Provedbenoj uredbi Komisije (EU) 680/2014. Zbroj iznosa za kolaterale iskazanih u ovom retku ograničava na knjigovodstvenu vrijednost povezane izloženosti.</w:t>
            </w:r>
          </w:p>
        </w:tc>
      </w:tr>
      <w:tr w:rsidR="004E71F4" w:rsidRPr="007F4CC8" w14:paraId="081E7193" w14:textId="77777777" w:rsidTr="00155C96">
        <w:trPr>
          <w:trHeight w:val="316"/>
        </w:trPr>
        <w:tc>
          <w:tcPr>
            <w:tcW w:w="1384" w:type="dxa"/>
          </w:tcPr>
          <w:p w14:paraId="1EFC5BB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52569C52"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čega nekretnine</w:t>
            </w:r>
          </w:p>
          <w:p w14:paraId="5FB7DBC4" w14:textId="77777777" w:rsidR="004E71F4" w:rsidRPr="007F4CC8" w:rsidRDefault="004E71F4" w:rsidP="00155C96">
            <w:pPr>
              <w:pStyle w:val="Fait"/>
              <w:spacing w:before="0" w:after="120"/>
            </w:pPr>
            <w:r>
              <w:lastRenderedPageBreak/>
              <w:t xml:space="preserve">Dio kolaterala koji se sastoji od stambene ili poslovne nekretnine (točka 173. </w:t>
            </w:r>
            <w:proofErr w:type="spellStart"/>
            <w:r>
              <w:t>podtočka</w:t>
            </w:r>
            <w:proofErr w:type="spellEnd"/>
            <w:r>
              <w:t xml:space="preserve"> (a) dijela 2. Priloga V. Provedbenoj uredbi Komisije (EU) 680/2014)</w:t>
            </w:r>
          </w:p>
          <w:p w14:paraId="2B76D036" w14:textId="77777777" w:rsidR="004E71F4" w:rsidRPr="007F4CC8" w:rsidRDefault="004E71F4" w:rsidP="00155C96">
            <w:pPr>
              <w:pStyle w:val="Fait"/>
              <w:spacing w:before="0" w:after="120"/>
              <w:rPr>
                <w:b/>
              </w:rPr>
            </w:pPr>
            <w:r>
              <w:t>Zbroj iznosa za kolaterale iskazanih u ovom retku ograničava na knjigovodstvenu vrijednost povezane izloženosti.</w:t>
            </w:r>
          </w:p>
        </w:tc>
      </w:tr>
      <w:tr w:rsidR="004E71F4" w:rsidRPr="007F4CC8" w14:paraId="6B3FB7FD" w14:textId="77777777" w:rsidTr="00155C96">
        <w:trPr>
          <w:trHeight w:val="316"/>
        </w:trPr>
        <w:tc>
          <w:tcPr>
            <w:tcW w:w="1384" w:type="dxa"/>
          </w:tcPr>
          <w:p w14:paraId="12F7D29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110</w:t>
            </w:r>
          </w:p>
        </w:tc>
        <w:tc>
          <w:tcPr>
            <w:tcW w:w="7655" w:type="dxa"/>
          </w:tcPr>
          <w:p w14:paraId="4856E1E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Kolateral – od čega vrijednost iznad gornje granice</w:t>
            </w:r>
          </w:p>
          <w:p w14:paraId="4825BFE6" w14:textId="3F318490" w:rsidR="004E71F4" w:rsidRPr="007F4CC8" w:rsidRDefault="004E71F4" w:rsidP="00155C96">
            <w:pPr>
              <w:pStyle w:val="Fait"/>
              <w:spacing w:before="0" w:after="120"/>
              <w:rPr>
                <w:b/>
              </w:rPr>
            </w:pPr>
            <w:r>
              <w:t>Razlika između stvarne i ograničene vrijednosti kolaterala (knjigovodstvena vrijednost povezane izloženosti) objavljuje se u ovom se retku (institucije za izračun stvarne vrijednosti kolaterala ne primjenjuju točku 239. dijela 2. Priloga V. Provedbenoj uredbi Komisije (EU) 680/2014).</w:t>
            </w:r>
          </w:p>
        </w:tc>
      </w:tr>
      <w:tr w:rsidR="004E71F4" w:rsidRPr="007F4CC8" w14:paraId="22C06DA6" w14:textId="77777777" w:rsidTr="00155C96">
        <w:trPr>
          <w:trHeight w:val="316"/>
        </w:trPr>
        <w:tc>
          <w:tcPr>
            <w:tcW w:w="1384" w:type="dxa"/>
          </w:tcPr>
          <w:p w14:paraId="0682522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50969C13"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čega nekretnine</w:t>
            </w:r>
          </w:p>
          <w:p w14:paraId="3CEE730C" w14:textId="77777777" w:rsidR="004E71F4" w:rsidRPr="007F4CC8" w:rsidRDefault="004E71F4" w:rsidP="00155C96">
            <w:pPr>
              <w:pStyle w:val="Fait"/>
              <w:spacing w:before="0" w:after="120"/>
              <w:rPr>
                <w:b/>
              </w:rPr>
            </w:pPr>
            <w:r>
              <w:t xml:space="preserve">Razlika između stvarne i ograničene vrijednosti dijela kolaterala koji se sastoji od stambene ili poslovne nekretnine (točka 173. </w:t>
            </w:r>
            <w:proofErr w:type="spellStart"/>
            <w:r>
              <w:t>podtočka</w:t>
            </w:r>
            <w:proofErr w:type="spellEnd"/>
            <w:r>
              <w:t xml:space="preserve"> (a) dijela 2. Priloga V. Provedbenoj uredbi Komisije (EU) 680/2014)</w:t>
            </w:r>
          </w:p>
        </w:tc>
      </w:tr>
      <w:tr w:rsidR="004E71F4" w:rsidRPr="007F4CC8" w14:paraId="1B02068D" w14:textId="77777777" w:rsidTr="00155C96">
        <w:trPr>
          <w:trHeight w:val="316"/>
        </w:trPr>
        <w:tc>
          <w:tcPr>
            <w:tcW w:w="1384" w:type="dxa"/>
          </w:tcPr>
          <w:p w14:paraId="4B3B4E6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3D3C6C4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Primljena financijska jamstva</w:t>
            </w:r>
          </w:p>
          <w:p w14:paraId="521216D0" w14:textId="77777777" w:rsidR="004E71F4" w:rsidRPr="007F4CC8" w:rsidRDefault="004E71F4" w:rsidP="00155C96">
            <w:pPr>
              <w:pStyle w:val="Fait"/>
              <w:spacing w:before="0" w:after="120"/>
              <w:rPr>
                <w:b/>
              </w:rPr>
            </w:pPr>
            <w:r>
              <w:t>Kako je definirano u točki 114. dijela 2. Priloga V. Provedbenoj uredbi Komisije (EU) 680/2014</w:t>
            </w:r>
          </w:p>
        </w:tc>
      </w:tr>
      <w:tr w:rsidR="004E71F4" w:rsidRPr="007F4CC8" w14:paraId="3081B96F" w14:textId="77777777" w:rsidTr="00155C96">
        <w:trPr>
          <w:trHeight w:val="316"/>
        </w:trPr>
        <w:tc>
          <w:tcPr>
            <w:tcW w:w="1384" w:type="dxa"/>
          </w:tcPr>
          <w:p w14:paraId="37C212A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140</w:t>
            </w:r>
          </w:p>
        </w:tc>
        <w:tc>
          <w:tcPr>
            <w:tcW w:w="7655" w:type="dxa"/>
          </w:tcPr>
          <w:p w14:paraId="2B52A32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Akumulirani djelomični otpisi</w:t>
            </w:r>
          </w:p>
          <w:p w14:paraId="1C49ED21" w14:textId="77777777" w:rsidR="004E71F4" w:rsidRPr="007F4CC8" w:rsidRDefault="004E71F4" w:rsidP="00155C96">
            <w:pPr>
              <w:pStyle w:val="Fait"/>
              <w:spacing w:before="0" w:after="120"/>
            </w:pPr>
            <w:r>
              <w:t>To uključuje objavu akumuliranog djelomičnog iznosa na referentni datum glavnice i obračunatih dospjelih kamata i naknada za svaki dužnički instrument koji se do tog trenutka prestao priznavati primjenom jedne od metoda opisanih u točki 74. dijela 2. Priloga V. Provedbenoj uredbi Komisije (EU) 680/2014 jer institucija nema razumnih očekivanja u pogledu povrata ugovorenih novčanih tokova. Ti se iznosi iskazuju do potpunog prestanka svih prava institucije koja izvješćuje zbog isteka roka zastare, otpusta ili drugih uzroka ili do povrata. Stoga se otpisani iznosi koji se ne naplate iskazuju dok su predmet prisilne naplate.</w:t>
            </w:r>
          </w:p>
          <w:p w14:paraId="5B1ADC49" w14:textId="77777777" w:rsidR="004E71F4" w:rsidRPr="007F4CC8" w:rsidRDefault="004E71F4" w:rsidP="00155C96">
            <w:pPr>
              <w:pStyle w:val="Fait"/>
              <w:spacing w:before="0" w:after="120"/>
            </w:pPr>
            <w:r>
              <w:t>Otpis je događaj koji dovodi do prestanka priznavanja i odnosi se na financijsku imovinu u cijelosti ili (u slučaju djelomičnog otpisa) na njezin dio, među ostalim ako promjena imovine dovede do toga da se institucija odrekne svojeg prava da prikuplja novčane tokove od te imovine u cijelosti ili njezina dijela.</w:t>
            </w:r>
          </w:p>
        </w:tc>
      </w:tr>
    </w:tbl>
    <w:p w14:paraId="7BB393CA"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43A83DC" w14:textId="77777777" w:rsidTr="00155C96">
        <w:trPr>
          <w:trHeight w:val="238"/>
        </w:trPr>
        <w:tc>
          <w:tcPr>
            <w:tcW w:w="9039" w:type="dxa"/>
            <w:gridSpan w:val="2"/>
            <w:shd w:val="clear" w:color="auto" w:fill="D9D9D9" w:themeFill="background1" w:themeFillShade="D9"/>
          </w:tcPr>
          <w:p w14:paraId="33399CA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Pravna osnova i upute</w:t>
            </w:r>
          </w:p>
        </w:tc>
      </w:tr>
      <w:tr w:rsidR="004E71F4" w:rsidRPr="007F4CC8" w14:paraId="175FFDF9" w14:textId="77777777" w:rsidTr="00155C96">
        <w:trPr>
          <w:trHeight w:val="238"/>
        </w:trPr>
        <w:tc>
          <w:tcPr>
            <w:tcW w:w="1384" w:type="dxa"/>
            <w:shd w:val="clear" w:color="auto" w:fill="D9D9D9" w:themeFill="background1" w:themeFillShade="D9"/>
          </w:tcPr>
          <w:p w14:paraId="13E171A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Broj stupca</w:t>
            </w:r>
          </w:p>
        </w:tc>
        <w:tc>
          <w:tcPr>
            <w:tcW w:w="7655" w:type="dxa"/>
            <w:shd w:val="clear" w:color="auto" w:fill="D9D9D9" w:themeFill="background1" w:themeFillShade="D9"/>
          </w:tcPr>
          <w:p w14:paraId="4AD2E31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Objašnjenje</w:t>
            </w:r>
          </w:p>
        </w:tc>
      </w:tr>
      <w:tr w:rsidR="004E71F4" w:rsidRPr="007F4CC8" w14:paraId="49E905AB" w14:textId="77777777" w:rsidTr="00155C96">
        <w:trPr>
          <w:trHeight w:val="841"/>
        </w:trPr>
        <w:tc>
          <w:tcPr>
            <w:tcW w:w="1384" w:type="dxa"/>
          </w:tcPr>
          <w:p w14:paraId="589EE789" w14:textId="77777777" w:rsidR="004E71F4" w:rsidRPr="007F4CC8" w:rsidRDefault="004E71F4" w:rsidP="00155C96">
            <w:pPr>
              <w:pStyle w:val="Applicationdirecte"/>
              <w:spacing w:before="0"/>
            </w:pPr>
            <w:r>
              <w:t>a</w:t>
            </w:r>
          </w:p>
        </w:tc>
        <w:tc>
          <w:tcPr>
            <w:tcW w:w="7655" w:type="dxa"/>
          </w:tcPr>
          <w:p w14:paraId="632567CE" w14:textId="77777777" w:rsidR="004E71F4" w:rsidRPr="007F4CC8" w:rsidRDefault="004E71F4" w:rsidP="00155C96">
            <w:pPr>
              <w:pStyle w:val="Institutionquisigne"/>
              <w:spacing w:before="0" w:after="120"/>
              <w:rPr>
                <w:rFonts w:eastAsiaTheme="minorEastAsia"/>
                <w:b/>
                <w:i w:val="0"/>
              </w:rPr>
            </w:pPr>
            <w:r>
              <w:rPr>
                <w:b/>
                <w:i w:val="0"/>
              </w:rPr>
              <w:t>Krediti i predujmovi</w:t>
            </w:r>
          </w:p>
          <w:p w14:paraId="2D0C3F66" w14:textId="69F1DD63" w:rsidR="004E71F4" w:rsidRPr="007F4CC8" w:rsidRDefault="004E71F4" w:rsidP="00155C96">
            <w:pPr>
              <w:pStyle w:val="Fait"/>
              <w:spacing w:before="0" w:after="120"/>
              <w:rPr>
                <w:rFonts w:eastAsiaTheme="minorEastAsia"/>
              </w:rPr>
            </w:pPr>
            <w:r>
              <w:t>Vidjeti definiciju u obrascu EU CR1: prihodonosne i neprihodonosne izloženosti i povezane rezervacije.</w:t>
            </w:r>
          </w:p>
        </w:tc>
      </w:tr>
      <w:tr w:rsidR="004E71F4" w:rsidRPr="007F4CC8" w14:paraId="4C2EBB9F" w14:textId="77777777" w:rsidTr="00155C96">
        <w:trPr>
          <w:trHeight w:val="841"/>
        </w:trPr>
        <w:tc>
          <w:tcPr>
            <w:tcW w:w="1384" w:type="dxa"/>
          </w:tcPr>
          <w:p w14:paraId="0B8B5441" w14:textId="77777777" w:rsidR="004E71F4" w:rsidRPr="007F4CC8" w:rsidRDefault="004E71F4" w:rsidP="00155C96">
            <w:pPr>
              <w:pStyle w:val="Applicationdirecte"/>
              <w:spacing w:before="0"/>
            </w:pPr>
            <w:r>
              <w:lastRenderedPageBreak/>
              <w:t>b</w:t>
            </w:r>
          </w:p>
        </w:tc>
        <w:tc>
          <w:tcPr>
            <w:tcW w:w="7655" w:type="dxa"/>
          </w:tcPr>
          <w:p w14:paraId="7B2C0100" w14:textId="77777777" w:rsidR="004E71F4" w:rsidRPr="007F4CC8" w:rsidRDefault="004E71F4" w:rsidP="00155C96">
            <w:pPr>
              <w:pStyle w:val="Institutionquisigne"/>
              <w:spacing w:before="0" w:after="120"/>
              <w:rPr>
                <w:rFonts w:eastAsiaTheme="minorEastAsia"/>
                <w:b/>
                <w:i w:val="0"/>
              </w:rPr>
            </w:pPr>
            <w:r>
              <w:rPr>
                <w:b/>
                <w:i w:val="0"/>
              </w:rPr>
              <w:t xml:space="preserve">Krediti i predujmovi – od čega prihodonosni </w:t>
            </w:r>
          </w:p>
          <w:p w14:paraId="622F5076" w14:textId="42609F89" w:rsidR="004E71F4" w:rsidRPr="007F4CC8" w:rsidRDefault="004E71F4" w:rsidP="00155C96">
            <w:pPr>
              <w:pStyle w:val="Fait"/>
              <w:spacing w:before="0" w:after="120"/>
              <w:rPr>
                <w:rFonts w:eastAsiaTheme="minorEastAsia"/>
              </w:rPr>
            </w:pPr>
            <w:r>
              <w:t>Vidjeti definiciju u obrascu EU CR1: prihodonosne i neprihodonosne izloženosti i povezane rezervacije.</w:t>
            </w:r>
          </w:p>
        </w:tc>
      </w:tr>
      <w:tr w:rsidR="004E71F4" w:rsidRPr="007F4CC8" w14:paraId="0BB7D76C" w14:textId="77777777" w:rsidTr="00155C96">
        <w:trPr>
          <w:trHeight w:val="841"/>
        </w:trPr>
        <w:tc>
          <w:tcPr>
            <w:tcW w:w="1384" w:type="dxa"/>
          </w:tcPr>
          <w:p w14:paraId="37E0AD29" w14:textId="77777777" w:rsidR="004E71F4" w:rsidRPr="007F4CC8" w:rsidRDefault="004E71F4" w:rsidP="00155C96">
            <w:pPr>
              <w:pStyle w:val="Applicationdirecte"/>
              <w:spacing w:before="0"/>
            </w:pPr>
            <w:r>
              <w:t>c</w:t>
            </w:r>
          </w:p>
        </w:tc>
        <w:tc>
          <w:tcPr>
            <w:tcW w:w="7655" w:type="dxa"/>
          </w:tcPr>
          <w:p w14:paraId="415FD509" w14:textId="77777777" w:rsidR="004E71F4" w:rsidRPr="007F4CC8" w:rsidRDefault="004E71F4" w:rsidP="00155C96">
            <w:pPr>
              <w:pStyle w:val="Institutionquisigne"/>
              <w:spacing w:before="0" w:after="120"/>
              <w:ind w:left="720"/>
              <w:rPr>
                <w:rFonts w:eastAsiaTheme="minorEastAsia"/>
                <w:b/>
                <w:i w:val="0"/>
              </w:rPr>
            </w:pPr>
            <w:r>
              <w:rPr>
                <w:b/>
                <w:i w:val="0"/>
              </w:rPr>
              <w:t>Od čega dospjeli &gt; 30 dana ≤ 90 dana</w:t>
            </w:r>
          </w:p>
          <w:p w14:paraId="147C9DA1" w14:textId="77777777" w:rsidR="004E71F4" w:rsidRPr="007F4CC8" w:rsidRDefault="004E71F4" w:rsidP="00155C96">
            <w:pPr>
              <w:pStyle w:val="Fait"/>
              <w:spacing w:before="0" w:after="120"/>
              <w:rPr>
                <w:rFonts w:eastAsiaTheme="minorEastAsia"/>
              </w:rPr>
            </w:pPr>
            <w:r>
              <w:t>Potkategorija prihodonosnih kredita i predujmova koji su dospjeli 31-90 dana</w:t>
            </w:r>
          </w:p>
        </w:tc>
      </w:tr>
      <w:tr w:rsidR="004E71F4" w:rsidRPr="007F4CC8" w14:paraId="362B92AC" w14:textId="77777777" w:rsidTr="00155C96">
        <w:trPr>
          <w:trHeight w:val="841"/>
        </w:trPr>
        <w:tc>
          <w:tcPr>
            <w:tcW w:w="1384" w:type="dxa"/>
          </w:tcPr>
          <w:p w14:paraId="26D00AF9" w14:textId="77777777" w:rsidR="004E71F4" w:rsidRPr="007F4CC8" w:rsidRDefault="004E71F4" w:rsidP="00155C96">
            <w:pPr>
              <w:pStyle w:val="Applicationdirecte"/>
              <w:spacing w:before="0"/>
            </w:pPr>
            <w:r>
              <w:t>d</w:t>
            </w:r>
          </w:p>
        </w:tc>
        <w:tc>
          <w:tcPr>
            <w:tcW w:w="7655" w:type="dxa"/>
          </w:tcPr>
          <w:p w14:paraId="1641C9E7" w14:textId="77777777" w:rsidR="004E71F4" w:rsidRPr="007F4CC8" w:rsidRDefault="004E71F4" w:rsidP="00155C96">
            <w:pPr>
              <w:pStyle w:val="Fait"/>
              <w:spacing w:before="0" w:after="120"/>
              <w:rPr>
                <w:b/>
              </w:rPr>
            </w:pPr>
            <w:r>
              <w:rPr>
                <w:b/>
              </w:rPr>
              <w:t>Krediti i predujmovi – od čega neprihodonosne izloženosti</w:t>
            </w:r>
          </w:p>
          <w:p w14:paraId="74EB556B" w14:textId="77777777" w:rsidR="004E71F4" w:rsidRPr="007F4CC8" w:rsidRDefault="004E71F4" w:rsidP="00155C96">
            <w:pPr>
              <w:pStyle w:val="Fait"/>
              <w:spacing w:before="0" w:after="120"/>
            </w:pPr>
            <w:r>
              <w:t>Neprihodonosne izloženosti kako su definirane u članku 47.a CRR-a</w:t>
            </w:r>
          </w:p>
          <w:p w14:paraId="0338D40C" w14:textId="46BE2DDF" w:rsidR="004E71F4" w:rsidRPr="007F4CC8" w:rsidRDefault="004E71F4" w:rsidP="00155C96">
            <w:pPr>
              <w:pStyle w:val="Fait"/>
              <w:spacing w:before="0" w:after="120"/>
            </w:pPr>
            <w:r>
              <w:t>Vidjeti definiciju u obrascu EU CR1: prihodonosne i neprihodonosne izloženosti i povezane rezervacije.</w:t>
            </w:r>
          </w:p>
        </w:tc>
      </w:tr>
      <w:tr w:rsidR="004E71F4" w:rsidRPr="007F4CC8" w14:paraId="307D99E8" w14:textId="77777777" w:rsidTr="00155C96">
        <w:trPr>
          <w:trHeight w:val="316"/>
        </w:trPr>
        <w:tc>
          <w:tcPr>
            <w:tcW w:w="1384" w:type="dxa"/>
          </w:tcPr>
          <w:p w14:paraId="40A6A0C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53740B40" w14:textId="77777777" w:rsidR="004E71F4" w:rsidRPr="007F4CC8" w:rsidRDefault="004E71F4" w:rsidP="00155C96">
            <w:pPr>
              <w:pStyle w:val="Fait"/>
              <w:spacing w:before="0" w:after="120"/>
              <w:ind w:left="720"/>
              <w:rPr>
                <w:b/>
              </w:rPr>
            </w:pPr>
            <w:r>
              <w:rPr>
                <w:b/>
              </w:rPr>
              <w:t>Od čega male vjerojatnosti podmirenja koji nisu dospjeli ili koji su dospjeli ≤ 90 dana</w:t>
            </w:r>
          </w:p>
          <w:p w14:paraId="25E07F3A" w14:textId="77777777" w:rsidR="004E71F4" w:rsidRPr="007F4CC8" w:rsidRDefault="004E71F4" w:rsidP="00155C96">
            <w:pPr>
              <w:pStyle w:val="Fait"/>
              <w:spacing w:before="0" w:after="120"/>
            </w:pPr>
            <w:r>
              <w:t>Potkategorija kredita i predujmova koji nisu dospjeli ili su dospjeli najviše 90 dana, ali su ipak identificirani kao neprihodonosni zbog vjerojatnosti nepotpune otplate u skladu s člankom 47.a CRR-a</w:t>
            </w:r>
          </w:p>
        </w:tc>
      </w:tr>
      <w:tr w:rsidR="004E71F4" w:rsidRPr="007F4CC8" w14:paraId="67C76979" w14:textId="77777777" w:rsidTr="00155C96">
        <w:trPr>
          <w:trHeight w:val="316"/>
        </w:trPr>
        <w:tc>
          <w:tcPr>
            <w:tcW w:w="1384" w:type="dxa"/>
          </w:tcPr>
          <w:p w14:paraId="5D8617D8"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7C4DAD01"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Dospjeli &gt; 90 dana</w:t>
            </w:r>
          </w:p>
          <w:p w14:paraId="4AF30303" w14:textId="77777777" w:rsidR="004E71F4" w:rsidRPr="007F4CC8" w:rsidRDefault="004E71F4" w:rsidP="00155C96">
            <w:pPr>
              <w:pStyle w:val="Fait"/>
              <w:spacing w:before="0" w:after="120"/>
            </w:pPr>
            <w:r>
              <w:t>Potkategorija kredita i predujmova koji su dospjeli više od 90 dana</w:t>
            </w:r>
          </w:p>
        </w:tc>
      </w:tr>
      <w:tr w:rsidR="004E71F4" w:rsidRPr="007F4CC8" w14:paraId="428FE74F" w14:textId="77777777" w:rsidTr="00155C96">
        <w:trPr>
          <w:trHeight w:val="316"/>
        </w:trPr>
        <w:tc>
          <w:tcPr>
            <w:tcW w:w="1384" w:type="dxa"/>
          </w:tcPr>
          <w:p w14:paraId="6826298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1B1554A7"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čega dospjeli &gt; 90 dana ≤ 180 dana</w:t>
            </w:r>
          </w:p>
          <w:p w14:paraId="1C5D4E41"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Potkategorija kredita i predujmova koji su dospjeli 91-180 dana</w:t>
            </w:r>
          </w:p>
        </w:tc>
      </w:tr>
      <w:tr w:rsidR="004E71F4" w:rsidRPr="007F4CC8" w14:paraId="0959DA4C" w14:textId="77777777" w:rsidTr="00155C96">
        <w:trPr>
          <w:trHeight w:val="316"/>
        </w:trPr>
        <w:tc>
          <w:tcPr>
            <w:tcW w:w="1384" w:type="dxa"/>
          </w:tcPr>
          <w:p w14:paraId="25A9976B"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7622B5EA"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čega dospjeli &gt; 180 dana ≤ 1 godina</w:t>
            </w:r>
          </w:p>
          <w:p w14:paraId="2CA9CE3E"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Potkategorija kredita i predujmova koji su dospjeli od 181 dan do godinu dana</w:t>
            </w:r>
          </w:p>
        </w:tc>
      </w:tr>
      <w:tr w:rsidR="004E71F4" w:rsidRPr="007F4CC8" w14:paraId="13BD0DB2" w14:textId="77777777" w:rsidTr="00155C96">
        <w:trPr>
          <w:trHeight w:val="316"/>
        </w:trPr>
        <w:tc>
          <w:tcPr>
            <w:tcW w:w="1384" w:type="dxa"/>
          </w:tcPr>
          <w:p w14:paraId="57184AC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59FABFB0"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čega dospjeli &gt; 1 godina ≤ 2 godine</w:t>
            </w:r>
          </w:p>
          <w:p w14:paraId="0398B0A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Potkategorija kredita i predujmova koji su dospjeli godinu do dvije dana</w:t>
            </w:r>
          </w:p>
        </w:tc>
      </w:tr>
      <w:tr w:rsidR="004E71F4" w:rsidRPr="007F4CC8" w14:paraId="4CE47F71" w14:textId="77777777" w:rsidTr="00155C96">
        <w:trPr>
          <w:trHeight w:val="316"/>
        </w:trPr>
        <w:tc>
          <w:tcPr>
            <w:tcW w:w="1384" w:type="dxa"/>
          </w:tcPr>
          <w:p w14:paraId="56C32D25"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18A7C93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čega dospjeli &gt; 2 godine ≤ 5 godina</w:t>
            </w:r>
          </w:p>
          <w:p w14:paraId="77DF4EF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Potkategorija kredita i predujmova koji su dospjeli od dvije do pet godina</w:t>
            </w:r>
          </w:p>
        </w:tc>
      </w:tr>
      <w:tr w:rsidR="004E71F4" w:rsidRPr="007F4CC8" w14:paraId="4F5EC3C5" w14:textId="77777777" w:rsidTr="00155C96">
        <w:trPr>
          <w:trHeight w:val="316"/>
        </w:trPr>
        <w:tc>
          <w:tcPr>
            <w:tcW w:w="1384" w:type="dxa"/>
          </w:tcPr>
          <w:p w14:paraId="74F9F0A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3393533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čega dospjeli &gt; 5 godina ≤ 7 godina</w:t>
            </w:r>
          </w:p>
          <w:p w14:paraId="35EC900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Potkategorija kredita i predujmova koji su dospjeli od pet do sedam godina</w:t>
            </w:r>
          </w:p>
        </w:tc>
      </w:tr>
      <w:tr w:rsidR="004E71F4" w:rsidRPr="007F4CC8" w14:paraId="5CF3AF80" w14:textId="77777777" w:rsidTr="00155C96">
        <w:trPr>
          <w:trHeight w:val="316"/>
        </w:trPr>
        <w:tc>
          <w:tcPr>
            <w:tcW w:w="1384" w:type="dxa"/>
          </w:tcPr>
          <w:p w14:paraId="01894B3D"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0B182181"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čega dospjeli &gt; 7 godina</w:t>
            </w:r>
          </w:p>
          <w:p w14:paraId="37CA0A2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Potkategorija kredita i predujmova koji su dospjeli više od sedam godina</w:t>
            </w:r>
          </w:p>
        </w:tc>
      </w:tr>
    </w:tbl>
    <w:p w14:paraId="0BA0AE4D"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2E4B698F" w14:textId="0BECE5B2"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Obrazac EU CQ7: Kolaterali dobiveni u posjed i postupci izvršenja</w:t>
      </w:r>
    </w:p>
    <w:p w14:paraId="1E1D6586" w14:textId="787537FA"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bCs/>
          <w:sz w:val="24"/>
        </w:rPr>
        <w:t>Institucije objavljuju informacije iz članka 442. točke (c) CRR-a ispunjavanjem obrasca EU CQ7 iz Priloga XV. ovoj Provedbenoj uredbi prema uputama u nastavku ovog Priloga.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847FA1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CC7F99"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Pravna osnova i upute</w:t>
            </w:r>
          </w:p>
        </w:tc>
      </w:tr>
      <w:tr w:rsidR="004E71F4" w:rsidRPr="007F4CC8" w14:paraId="270AAA17" w14:textId="77777777" w:rsidTr="00155C96">
        <w:trPr>
          <w:trHeight w:val="238"/>
        </w:trPr>
        <w:tc>
          <w:tcPr>
            <w:tcW w:w="1384" w:type="dxa"/>
            <w:shd w:val="clear" w:color="auto" w:fill="D9D9D9" w:themeFill="background1" w:themeFillShade="D9"/>
          </w:tcPr>
          <w:p w14:paraId="4C51C7E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Broj retka</w:t>
            </w:r>
          </w:p>
        </w:tc>
        <w:tc>
          <w:tcPr>
            <w:tcW w:w="7655" w:type="dxa"/>
            <w:shd w:val="clear" w:color="auto" w:fill="D9D9D9" w:themeFill="background1" w:themeFillShade="D9"/>
          </w:tcPr>
          <w:p w14:paraId="786DCAD1"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4E71F4" w:rsidRPr="007F4CC8" w14:paraId="06463967" w14:textId="77777777" w:rsidTr="00155C96">
        <w:trPr>
          <w:trHeight w:val="1286"/>
        </w:trPr>
        <w:tc>
          <w:tcPr>
            <w:tcW w:w="1384" w:type="dxa"/>
          </w:tcPr>
          <w:p w14:paraId="5F2BF910" w14:textId="77777777" w:rsidR="004E71F4" w:rsidRPr="007F4CC8" w:rsidRDefault="004E71F4" w:rsidP="00155C96">
            <w:pPr>
              <w:spacing w:after="120"/>
            </w:pPr>
            <w:r>
              <w:t>010</w:t>
            </w:r>
          </w:p>
        </w:tc>
        <w:tc>
          <w:tcPr>
            <w:tcW w:w="7655" w:type="dxa"/>
          </w:tcPr>
          <w:p w14:paraId="34FECA4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Nekretnine, postrojenja i oprema</w:t>
            </w:r>
          </w:p>
          <w:p w14:paraId="2DA3F6F7" w14:textId="77777777" w:rsidR="004E71F4" w:rsidRPr="007F4CC8" w:rsidRDefault="004E71F4" w:rsidP="00155C96">
            <w:pPr>
              <w:pStyle w:val="Institutionquisigne"/>
              <w:spacing w:before="0" w:after="120"/>
              <w:rPr>
                <w:i w:val="0"/>
              </w:rPr>
            </w:pPr>
            <w:r>
              <w:rPr>
                <w:i w:val="0"/>
              </w:rPr>
              <w:t>Institucije objavljuju stanje kolaterala dobivenih u posjed koji na referentni izvještajni datum ostaju priznati u bilanci i klasificirani su kao nekretnine, postrojenja i oprema.</w:t>
            </w:r>
          </w:p>
        </w:tc>
      </w:tr>
      <w:tr w:rsidR="004E71F4" w:rsidRPr="007F4CC8" w14:paraId="2CAA4945" w14:textId="77777777" w:rsidTr="00155C96">
        <w:trPr>
          <w:trHeight w:val="620"/>
        </w:trPr>
        <w:tc>
          <w:tcPr>
            <w:tcW w:w="1384" w:type="dxa"/>
          </w:tcPr>
          <w:p w14:paraId="4F14C576" w14:textId="77777777" w:rsidR="004E71F4" w:rsidRPr="007F4CC8" w:rsidRDefault="004E71F4" w:rsidP="00155C96">
            <w:pPr>
              <w:spacing w:after="120"/>
            </w:pPr>
            <w:r>
              <w:t>020</w:t>
            </w:r>
          </w:p>
        </w:tc>
        <w:tc>
          <w:tcPr>
            <w:tcW w:w="7655" w:type="dxa"/>
          </w:tcPr>
          <w:p w14:paraId="6AE81DAD"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Drugo, osim nekretnina, postrojenja i opreme</w:t>
            </w:r>
          </w:p>
          <w:p w14:paraId="65C75F92" w14:textId="77777777" w:rsidR="004E71F4" w:rsidRPr="007F4CC8" w:rsidRDefault="004E71F4" w:rsidP="00155C96">
            <w:pPr>
              <w:pStyle w:val="Institutionquisigne"/>
              <w:spacing w:before="0" w:after="120"/>
              <w:rPr>
                <w:b/>
              </w:rPr>
            </w:pPr>
            <w:r>
              <w:rPr>
                <w:i w:val="0"/>
              </w:rPr>
              <w:t>U ovom se retku automatski objavljuje stanje kolaterala dobivenih u posjed koji na referentni izvještajni datum ostaju priznati u bilanci, a nisu klasificirani su kao nekretnine, postrojenja i oprema. Ukupno se stanje izračunava uzimajući u obzir početno stanje (nakon završetka zadnje financijske godine) te priljevi i odljevi u razdoblju objave (nakon završetka zadnje financijske godine). Kolaterali dobiveni u posjed (osim nekretnina, postrojenja i opreme) iskazuju se u redcima prema vrsti kolaterala.</w:t>
            </w:r>
          </w:p>
        </w:tc>
      </w:tr>
      <w:tr w:rsidR="004E71F4" w:rsidRPr="007F4CC8" w14:paraId="4A563A7A" w14:textId="77777777" w:rsidTr="00155C96">
        <w:trPr>
          <w:trHeight w:val="1286"/>
        </w:trPr>
        <w:tc>
          <w:tcPr>
            <w:tcW w:w="1384" w:type="dxa"/>
          </w:tcPr>
          <w:p w14:paraId="1BC99EC1" w14:textId="77777777" w:rsidR="004E71F4" w:rsidRPr="007F4CC8" w:rsidRDefault="004E71F4" w:rsidP="00155C96">
            <w:pPr>
              <w:spacing w:after="120"/>
            </w:pPr>
            <w:r>
              <w:t>030</w:t>
            </w:r>
          </w:p>
        </w:tc>
        <w:tc>
          <w:tcPr>
            <w:tcW w:w="7655" w:type="dxa"/>
          </w:tcPr>
          <w:p w14:paraId="20DC1EE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Stambene nekretnine</w:t>
            </w:r>
          </w:p>
          <w:p w14:paraId="379AD7D1" w14:textId="77777777" w:rsidR="004E71F4" w:rsidRPr="007F4CC8" w:rsidRDefault="004E71F4" w:rsidP="00155C96">
            <w:pPr>
              <w:pStyle w:val="Institutionquisigne"/>
              <w:spacing w:before="0" w:after="120"/>
              <w:rPr>
                <w:b/>
              </w:rPr>
            </w:pPr>
            <w:r>
              <w:rPr>
                <w:i w:val="0"/>
              </w:rPr>
              <w:t>Kolaterali stečeni dobivanjem u posjed stambene nekretnine (npr. kuće, stanovi itd.) ili nekretnine koja bi se ubuduće mogla iskoristiti kao takva (npr. nedovršena nekretnina itd.)</w:t>
            </w:r>
          </w:p>
        </w:tc>
      </w:tr>
      <w:tr w:rsidR="004E71F4" w:rsidRPr="007F4CC8" w14:paraId="06E88BCE" w14:textId="77777777" w:rsidTr="00155C96">
        <w:trPr>
          <w:trHeight w:val="1286"/>
        </w:trPr>
        <w:tc>
          <w:tcPr>
            <w:tcW w:w="1384" w:type="dxa"/>
          </w:tcPr>
          <w:p w14:paraId="690E3415" w14:textId="77777777" w:rsidR="004E71F4" w:rsidRPr="007F4CC8" w:rsidRDefault="004E71F4" w:rsidP="00155C96">
            <w:pPr>
              <w:spacing w:after="120"/>
            </w:pPr>
            <w:r>
              <w:t>040</w:t>
            </w:r>
          </w:p>
        </w:tc>
        <w:tc>
          <w:tcPr>
            <w:tcW w:w="7655" w:type="dxa"/>
            <w:shd w:val="clear" w:color="auto" w:fill="auto"/>
          </w:tcPr>
          <w:p w14:paraId="60F0FAB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Poslovne nekretnine</w:t>
            </w:r>
          </w:p>
          <w:p w14:paraId="17CE5C2D" w14:textId="77777777" w:rsidR="004E71F4" w:rsidRPr="007F4CC8" w:rsidRDefault="004E71F4" w:rsidP="00155C96">
            <w:pPr>
              <w:pStyle w:val="Institutionquisigne"/>
              <w:spacing w:before="0" w:after="120"/>
              <w:rPr>
                <w:i w:val="0"/>
              </w:rPr>
            </w:pPr>
            <w:r>
              <w:rPr>
                <w:i w:val="0"/>
              </w:rPr>
              <w:t>Kolaterali stečeni dobivanjem u posjed poslovne ili industrijske nekretnine koja bi se mogla iskoristiti za potrebe poslovanja i/ili ulaganja, ili nekretnine koja nije stambena, kako je prethodno opisano</w:t>
            </w:r>
          </w:p>
          <w:p w14:paraId="62B2F832" w14:textId="77777777" w:rsidR="004E71F4" w:rsidRPr="007F4CC8" w:rsidRDefault="004E71F4" w:rsidP="00155C96">
            <w:pPr>
              <w:pStyle w:val="Institutionquisigne"/>
              <w:spacing w:before="0" w:after="120"/>
              <w:rPr>
                <w:b/>
              </w:rPr>
            </w:pPr>
            <w:r>
              <w:rPr>
                <w:i w:val="0"/>
              </w:rPr>
              <w:t>U ovu se kategoriju uključuje i zemljište (nepoljoprivredno i poljoprivredno).</w:t>
            </w:r>
          </w:p>
        </w:tc>
      </w:tr>
      <w:tr w:rsidR="004E71F4" w:rsidRPr="007F4CC8" w14:paraId="7CE04469" w14:textId="77777777" w:rsidTr="00155C96">
        <w:trPr>
          <w:trHeight w:val="1286"/>
        </w:trPr>
        <w:tc>
          <w:tcPr>
            <w:tcW w:w="1384" w:type="dxa"/>
          </w:tcPr>
          <w:p w14:paraId="2248180F" w14:textId="77777777" w:rsidR="004E71F4" w:rsidRPr="007F4CC8" w:rsidRDefault="004E71F4" w:rsidP="00155C96">
            <w:pPr>
              <w:spacing w:after="120"/>
            </w:pPr>
            <w:r>
              <w:t>050</w:t>
            </w:r>
          </w:p>
        </w:tc>
        <w:tc>
          <w:tcPr>
            <w:tcW w:w="7655" w:type="dxa"/>
            <w:shd w:val="clear" w:color="auto" w:fill="auto"/>
          </w:tcPr>
          <w:p w14:paraId="42CFB01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Pokretna imovina (automobil, isporučena roba itd.)</w:t>
            </w:r>
          </w:p>
          <w:p w14:paraId="34A36ED9" w14:textId="77777777" w:rsidR="004E71F4" w:rsidRPr="007F4CC8" w:rsidRDefault="004E71F4" w:rsidP="00155C96">
            <w:pPr>
              <w:pStyle w:val="Institutionquisigne"/>
              <w:spacing w:before="0" w:after="120"/>
              <w:rPr>
                <w:b/>
              </w:rPr>
            </w:pPr>
            <w:r>
              <w:rPr>
                <w:i w:val="0"/>
              </w:rPr>
              <w:t>U ovom se retku objavljuju kolaterali stečeni dobivanjem u posjed imovine osim nekretnina.</w:t>
            </w:r>
          </w:p>
        </w:tc>
      </w:tr>
      <w:tr w:rsidR="004E71F4" w:rsidRPr="007F4CC8" w14:paraId="30FA7DF1" w14:textId="77777777" w:rsidTr="00155C96">
        <w:trPr>
          <w:trHeight w:val="1286"/>
        </w:trPr>
        <w:tc>
          <w:tcPr>
            <w:tcW w:w="1384" w:type="dxa"/>
          </w:tcPr>
          <w:p w14:paraId="42AD5838" w14:textId="77777777" w:rsidR="004E71F4" w:rsidRPr="007F4CC8" w:rsidRDefault="004E71F4" w:rsidP="00155C96">
            <w:pPr>
              <w:spacing w:after="120"/>
            </w:pPr>
            <w:r>
              <w:t>060</w:t>
            </w:r>
          </w:p>
        </w:tc>
        <w:tc>
          <w:tcPr>
            <w:tcW w:w="7655" w:type="dxa"/>
            <w:shd w:val="clear" w:color="auto" w:fill="auto"/>
          </w:tcPr>
          <w:p w14:paraId="0F1E41B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Vlasnički i dužnički instrumenti</w:t>
            </w:r>
          </w:p>
          <w:p w14:paraId="16CC26D5" w14:textId="77777777" w:rsidR="004E71F4" w:rsidRPr="007F4CC8" w:rsidRDefault="004E71F4" w:rsidP="00155C96">
            <w:pPr>
              <w:pStyle w:val="Institutionquisigne"/>
              <w:spacing w:before="0" w:after="120"/>
              <w:rPr>
                <w:b/>
              </w:rPr>
            </w:pPr>
            <w:r>
              <w:rPr>
                <w:i w:val="0"/>
              </w:rPr>
              <w:t>U ovom se retku objavljuju kolaterali stečeni dobivanjem u posjed vlasničkih i dužničkih instrumenata.</w:t>
            </w:r>
          </w:p>
        </w:tc>
      </w:tr>
      <w:tr w:rsidR="004E71F4" w:rsidRPr="007F4CC8" w14:paraId="3011266C" w14:textId="77777777" w:rsidTr="00155C96">
        <w:trPr>
          <w:trHeight w:val="1286"/>
        </w:trPr>
        <w:tc>
          <w:tcPr>
            <w:tcW w:w="1384" w:type="dxa"/>
          </w:tcPr>
          <w:p w14:paraId="14BE41BF" w14:textId="77777777" w:rsidR="004E71F4" w:rsidRPr="007F4CC8" w:rsidRDefault="004E71F4" w:rsidP="00155C96">
            <w:pPr>
              <w:spacing w:after="120"/>
            </w:pPr>
            <w:r>
              <w:t>070</w:t>
            </w:r>
          </w:p>
        </w:tc>
        <w:tc>
          <w:tcPr>
            <w:tcW w:w="7655" w:type="dxa"/>
          </w:tcPr>
          <w:p w14:paraId="61ED02E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Ostali kolaterali</w:t>
            </w:r>
          </w:p>
          <w:p w14:paraId="5C94E21B" w14:textId="77777777" w:rsidR="004E71F4" w:rsidRPr="007F4CC8" w:rsidRDefault="004E71F4" w:rsidP="00155C96">
            <w:pPr>
              <w:pStyle w:val="Institutionquisigne"/>
              <w:spacing w:before="0" w:after="120"/>
              <w:rPr>
                <w:i w:val="0"/>
              </w:rPr>
            </w:pPr>
            <w:r>
              <w:rPr>
                <w:i w:val="0"/>
              </w:rPr>
              <w:t>Kolaterali dobiveni u posjed koji ne pripadaju u kategorije u ostalim redcima</w:t>
            </w:r>
          </w:p>
          <w:p w14:paraId="56B31A9F" w14:textId="77777777" w:rsidR="004E71F4" w:rsidRPr="007F4CC8" w:rsidRDefault="004E71F4" w:rsidP="00155C96">
            <w:pPr>
              <w:pStyle w:val="Institutionquisigne"/>
              <w:spacing w:before="0" w:after="120"/>
              <w:rPr>
                <w:b/>
              </w:rPr>
            </w:pPr>
            <w:r>
              <w:rPr>
                <w:i w:val="0"/>
              </w:rPr>
              <w:t>Ako je iznos u ovom retku relativno značajan, institucije u opisu koji prilažu ovom obrascu dostavljaju dodatne informacije.</w:t>
            </w:r>
          </w:p>
        </w:tc>
      </w:tr>
      <w:tr w:rsidR="004E71F4" w:rsidRPr="007F4CC8" w14:paraId="1741AC10" w14:textId="77777777" w:rsidTr="00155C96">
        <w:trPr>
          <w:trHeight w:val="316"/>
        </w:trPr>
        <w:tc>
          <w:tcPr>
            <w:tcW w:w="1384" w:type="dxa"/>
          </w:tcPr>
          <w:p w14:paraId="1CFBBCD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0088B2D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Ukupno </w:t>
            </w:r>
          </w:p>
        </w:tc>
      </w:tr>
    </w:tbl>
    <w:p w14:paraId="4D72A001"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C47C887" w14:textId="77777777" w:rsidTr="00155C96">
        <w:trPr>
          <w:trHeight w:val="238"/>
        </w:trPr>
        <w:tc>
          <w:tcPr>
            <w:tcW w:w="9039" w:type="dxa"/>
            <w:gridSpan w:val="2"/>
            <w:shd w:val="clear" w:color="auto" w:fill="D9D9D9" w:themeFill="background1" w:themeFillShade="D9"/>
          </w:tcPr>
          <w:p w14:paraId="4171229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Pravna osnova i upute</w:t>
            </w:r>
          </w:p>
        </w:tc>
      </w:tr>
      <w:tr w:rsidR="004E71F4" w:rsidRPr="007F4CC8" w14:paraId="24952D61" w14:textId="77777777" w:rsidTr="00155C96">
        <w:trPr>
          <w:trHeight w:val="238"/>
        </w:trPr>
        <w:tc>
          <w:tcPr>
            <w:tcW w:w="1384" w:type="dxa"/>
            <w:shd w:val="clear" w:color="auto" w:fill="D9D9D9" w:themeFill="background1" w:themeFillShade="D9"/>
          </w:tcPr>
          <w:p w14:paraId="58E4B13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Broj stupca</w:t>
            </w:r>
          </w:p>
        </w:tc>
        <w:tc>
          <w:tcPr>
            <w:tcW w:w="7655" w:type="dxa"/>
            <w:shd w:val="clear" w:color="auto" w:fill="D9D9D9" w:themeFill="background1" w:themeFillShade="D9"/>
          </w:tcPr>
          <w:p w14:paraId="586E8FF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Objašnjenje</w:t>
            </w:r>
          </w:p>
        </w:tc>
      </w:tr>
      <w:tr w:rsidR="004E71F4" w:rsidRPr="007F4CC8" w14:paraId="6C66025E" w14:textId="77777777" w:rsidTr="00155C96">
        <w:trPr>
          <w:trHeight w:val="841"/>
        </w:trPr>
        <w:tc>
          <w:tcPr>
            <w:tcW w:w="1384" w:type="dxa"/>
          </w:tcPr>
          <w:p w14:paraId="09FA9C63" w14:textId="77777777" w:rsidR="004E71F4" w:rsidRPr="007F4CC8" w:rsidRDefault="004E71F4" w:rsidP="00155C96">
            <w:pPr>
              <w:pStyle w:val="Applicationdirecte"/>
              <w:spacing w:before="0"/>
            </w:pPr>
            <w:r>
              <w:lastRenderedPageBreak/>
              <w:t>a</w:t>
            </w:r>
          </w:p>
        </w:tc>
        <w:tc>
          <w:tcPr>
            <w:tcW w:w="7655" w:type="dxa"/>
          </w:tcPr>
          <w:p w14:paraId="6E4E33A4" w14:textId="77777777" w:rsidR="004E71F4" w:rsidRPr="007F4CC8" w:rsidRDefault="004E71F4" w:rsidP="00155C96">
            <w:pPr>
              <w:pStyle w:val="Institutionquisigne"/>
              <w:spacing w:before="0" w:after="120"/>
              <w:rPr>
                <w:rFonts w:eastAsiaTheme="minorEastAsia"/>
                <w:b/>
                <w:i w:val="0"/>
              </w:rPr>
            </w:pPr>
            <w:r>
              <w:rPr>
                <w:b/>
                <w:i w:val="0"/>
              </w:rPr>
              <w:t>Kolateral dobiven u posjed – Vrijednost pri početnom priznavanju</w:t>
            </w:r>
          </w:p>
          <w:p w14:paraId="492004D4" w14:textId="77777777" w:rsidR="004E71F4" w:rsidRPr="007F4CC8" w:rsidRDefault="004E71F4" w:rsidP="00155C96">
            <w:pPr>
              <w:pStyle w:val="Institutionquisigne"/>
              <w:spacing w:before="0" w:after="120"/>
            </w:pPr>
            <w:r>
              <w:rPr>
                <w:i w:val="0"/>
              </w:rPr>
              <w:t>Institucije u ovom stupcu objavljuju bruto knjigovodstvenu vrijednost kolaterala dobivenog u posjed pri početnom priznavanju u bilanci institucije.</w:t>
            </w:r>
          </w:p>
        </w:tc>
      </w:tr>
      <w:tr w:rsidR="004E71F4" w:rsidRPr="007F4CC8" w14:paraId="68455EBD" w14:textId="77777777" w:rsidTr="00155C96">
        <w:trPr>
          <w:trHeight w:val="841"/>
        </w:trPr>
        <w:tc>
          <w:tcPr>
            <w:tcW w:w="1384" w:type="dxa"/>
          </w:tcPr>
          <w:p w14:paraId="2075C9AF" w14:textId="77777777" w:rsidR="004E71F4" w:rsidRPr="007F4CC8" w:rsidRDefault="004E71F4" w:rsidP="00155C96">
            <w:pPr>
              <w:pStyle w:val="Applicationdirecte"/>
              <w:spacing w:before="0"/>
            </w:pPr>
            <w:r>
              <w:t>b</w:t>
            </w:r>
          </w:p>
        </w:tc>
        <w:tc>
          <w:tcPr>
            <w:tcW w:w="7655" w:type="dxa"/>
          </w:tcPr>
          <w:p w14:paraId="61C70A06" w14:textId="77777777" w:rsidR="004E71F4" w:rsidRPr="007F4CC8" w:rsidRDefault="004E71F4" w:rsidP="00155C96">
            <w:pPr>
              <w:pStyle w:val="Fait"/>
              <w:spacing w:before="0" w:after="120"/>
              <w:rPr>
                <w:b/>
              </w:rPr>
            </w:pPr>
            <w:r>
              <w:rPr>
                <w:b/>
              </w:rPr>
              <w:t>Kolateral dobiven u posjed – Akumulirane negativne promjene</w:t>
            </w:r>
          </w:p>
          <w:p w14:paraId="2BD88503" w14:textId="77777777" w:rsidR="004E71F4" w:rsidRPr="007F4CC8" w:rsidRDefault="004E71F4" w:rsidP="00155C96">
            <w:pPr>
              <w:pStyle w:val="Institutionquisigne"/>
              <w:spacing w:before="0" w:after="120"/>
              <w:rPr>
                <w:i w:val="0"/>
              </w:rPr>
            </w:pPr>
            <w:r>
              <w:rPr>
                <w:i w:val="0"/>
              </w:rPr>
              <w:t>Akumulirana umanjenja vrijednosti ili akumulirane negativne promjene vrijednosti pri početnom priznavanju kolaterala dobivenog u posjed, kako je prethodno opisano</w:t>
            </w:r>
          </w:p>
          <w:p w14:paraId="2C738F18" w14:textId="77777777" w:rsidR="004E71F4" w:rsidRPr="007F4CC8" w:rsidRDefault="004E71F4" w:rsidP="00155C96">
            <w:pPr>
              <w:pStyle w:val="Institutionquisigne"/>
              <w:spacing w:before="0" w:after="120"/>
            </w:pPr>
            <w:r>
              <w:rPr>
                <w:i w:val="0"/>
              </w:rPr>
              <w:t>Institucije uključuju i akumulirane negativne promjene zbog amortizacije u slučaju nekretnina, postrojenja i opreme te ulaganja u nekretnine, ovisno o slučaju.</w:t>
            </w:r>
          </w:p>
        </w:tc>
      </w:tr>
    </w:tbl>
    <w:p w14:paraId="48505C64"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4DF5391A" w14:textId="64AD8F1F"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Obrazac EU CQ8: Kolaterali dobiveni u posjed i postupci izvršenja – raščlamba prema datumu izdavanja</w:t>
      </w:r>
    </w:p>
    <w:p w14:paraId="539C6CF1" w14:textId="57323918"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bCs/>
          <w:sz w:val="24"/>
        </w:rPr>
        <w:t>Institucije objavljuju informacije iz članka 442. točke (c) CRR-a ispunjavanjem obrasca EU CQ8 iz Priloga XV. ovoj Provedbenoj uredbi prema uputama u nastavku ovog Priloga.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60835E7" w14:textId="77777777" w:rsidTr="00155C96">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0C32D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Pravna osnova i upute</w:t>
            </w:r>
          </w:p>
        </w:tc>
      </w:tr>
      <w:tr w:rsidR="004E71F4" w:rsidRPr="007F4CC8" w14:paraId="06175B80" w14:textId="77777777" w:rsidTr="00155C96">
        <w:trPr>
          <w:trHeight w:val="238"/>
        </w:trPr>
        <w:tc>
          <w:tcPr>
            <w:tcW w:w="1384" w:type="dxa"/>
            <w:shd w:val="clear" w:color="auto" w:fill="D9D9D9" w:themeFill="background1" w:themeFillShade="D9"/>
          </w:tcPr>
          <w:p w14:paraId="3408D52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51E62B48"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4E71F4" w:rsidRPr="007F4CC8" w14:paraId="3419B38B" w14:textId="77777777" w:rsidTr="00155C96">
        <w:trPr>
          <w:trHeight w:val="1286"/>
        </w:trPr>
        <w:tc>
          <w:tcPr>
            <w:tcW w:w="1384" w:type="dxa"/>
          </w:tcPr>
          <w:p w14:paraId="491DF805" w14:textId="77777777" w:rsidR="004E71F4" w:rsidRPr="007F4CC8" w:rsidRDefault="004E71F4" w:rsidP="00155C96">
            <w:pPr>
              <w:spacing w:after="120"/>
            </w:pPr>
            <w:r>
              <w:t>010</w:t>
            </w:r>
          </w:p>
        </w:tc>
        <w:tc>
          <w:tcPr>
            <w:tcW w:w="7655" w:type="dxa"/>
          </w:tcPr>
          <w:p w14:paraId="1DC0AC5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Nekretnine, postrojenja i oprema</w:t>
            </w:r>
          </w:p>
          <w:p w14:paraId="03A034E4" w14:textId="77777777" w:rsidR="004E71F4" w:rsidRPr="007F4CC8" w:rsidRDefault="004E71F4" w:rsidP="00155C96">
            <w:pPr>
              <w:pStyle w:val="Institutionquisigne"/>
              <w:spacing w:before="0" w:after="120"/>
              <w:rPr>
                <w:i w:val="0"/>
              </w:rPr>
            </w:pPr>
            <w:r>
              <w:rPr>
                <w:i w:val="0"/>
              </w:rPr>
              <w:t>Institucije objavljuju stanje kolaterala dobivenih u posjed koji na referentni izvještajni datum ostaju priznati u bilanci i klasificirani su kao nekretnine, postrojenja i oprema.</w:t>
            </w:r>
          </w:p>
        </w:tc>
      </w:tr>
      <w:tr w:rsidR="004E71F4" w:rsidRPr="007F4CC8" w14:paraId="2D8396B0" w14:textId="77777777" w:rsidTr="00155C96">
        <w:trPr>
          <w:trHeight w:val="620"/>
        </w:trPr>
        <w:tc>
          <w:tcPr>
            <w:tcW w:w="1384" w:type="dxa"/>
          </w:tcPr>
          <w:p w14:paraId="5909B57C" w14:textId="77777777" w:rsidR="004E71F4" w:rsidRPr="007F4CC8" w:rsidRDefault="004E71F4" w:rsidP="00155C96">
            <w:pPr>
              <w:spacing w:after="120"/>
            </w:pPr>
            <w:r>
              <w:t>020</w:t>
            </w:r>
          </w:p>
        </w:tc>
        <w:tc>
          <w:tcPr>
            <w:tcW w:w="7655" w:type="dxa"/>
          </w:tcPr>
          <w:p w14:paraId="648435A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Drugo, osim nekretnina, postrojenja i opreme</w:t>
            </w:r>
          </w:p>
          <w:p w14:paraId="3F0B3F2E" w14:textId="77777777" w:rsidR="004E71F4" w:rsidRPr="007F4CC8" w:rsidRDefault="004E71F4" w:rsidP="00155C96">
            <w:pPr>
              <w:pStyle w:val="Institutionquisigne"/>
              <w:spacing w:before="0" w:after="120"/>
              <w:rPr>
                <w:i w:val="0"/>
              </w:rPr>
            </w:pPr>
            <w:r>
              <w:rPr>
                <w:i w:val="0"/>
              </w:rPr>
              <w:t>U ovom se retku automatski objavljuje stanje kolaterala dobivenih u posjed koji na referentni izvještajni datum ostaju priznati u bilanci, a nisu klasificirani su kao nekretnine, postrojenja i oprema. Ukupno se stanje izračunava uzimajući u obzir početno stanje (nakon završetka zadnje financijske godine) te priljevi i odljevi u razdoblju objave (nakon završetka zadnje financijske godine). Kolaterali dobiveni u posjed (osim nekretnina, postrojenja i opreme) iskazuju se u redcima prema vrsti kolaterala.</w:t>
            </w:r>
          </w:p>
        </w:tc>
      </w:tr>
      <w:tr w:rsidR="004E71F4" w:rsidRPr="007F4CC8" w14:paraId="2DD0F14F" w14:textId="77777777" w:rsidTr="00155C96">
        <w:trPr>
          <w:trHeight w:val="1286"/>
        </w:trPr>
        <w:tc>
          <w:tcPr>
            <w:tcW w:w="1384" w:type="dxa"/>
          </w:tcPr>
          <w:p w14:paraId="2C38A2A6" w14:textId="77777777" w:rsidR="004E71F4" w:rsidRPr="007F4CC8" w:rsidRDefault="004E71F4" w:rsidP="00155C96">
            <w:pPr>
              <w:spacing w:after="120"/>
            </w:pPr>
            <w:r>
              <w:t>030</w:t>
            </w:r>
          </w:p>
        </w:tc>
        <w:tc>
          <w:tcPr>
            <w:tcW w:w="7655" w:type="dxa"/>
          </w:tcPr>
          <w:p w14:paraId="13C4837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Stambene nekretnine</w:t>
            </w:r>
          </w:p>
          <w:p w14:paraId="74F31DF3" w14:textId="77777777" w:rsidR="004E71F4" w:rsidRPr="007F4CC8" w:rsidRDefault="004E71F4" w:rsidP="00155C96">
            <w:pPr>
              <w:pStyle w:val="Institutionquisigne"/>
              <w:spacing w:before="0" w:after="120"/>
              <w:rPr>
                <w:b/>
              </w:rPr>
            </w:pPr>
            <w:r>
              <w:rPr>
                <w:i w:val="0"/>
              </w:rPr>
              <w:t>Kolaterali stečeni dobivanjem u posjed stambene nekretnine (npr. kuće, stanovi itd.) ili nekretnine koja bi se ubuduće mogla iskoristiti kao takva (npr. nedovršena nekretnina itd.)</w:t>
            </w:r>
          </w:p>
        </w:tc>
      </w:tr>
      <w:tr w:rsidR="004E71F4" w:rsidRPr="007F4CC8" w14:paraId="4CE1CC54" w14:textId="77777777" w:rsidTr="007C38AF">
        <w:trPr>
          <w:trHeight w:val="554"/>
        </w:trPr>
        <w:tc>
          <w:tcPr>
            <w:tcW w:w="1384" w:type="dxa"/>
          </w:tcPr>
          <w:p w14:paraId="43C62B41" w14:textId="77777777" w:rsidR="004E71F4" w:rsidRPr="007F4CC8" w:rsidRDefault="004E71F4" w:rsidP="00155C96">
            <w:pPr>
              <w:spacing w:after="120"/>
            </w:pPr>
            <w:r>
              <w:t>040</w:t>
            </w:r>
          </w:p>
        </w:tc>
        <w:tc>
          <w:tcPr>
            <w:tcW w:w="7655" w:type="dxa"/>
          </w:tcPr>
          <w:p w14:paraId="4D828500" w14:textId="77777777" w:rsidR="00BE57B5" w:rsidRDefault="004E71F4" w:rsidP="00BE57B5">
            <w:pPr>
              <w:autoSpaceDE w:val="0"/>
              <w:autoSpaceDN w:val="0"/>
              <w:adjustRightInd w:val="0"/>
              <w:spacing w:after="120"/>
              <w:rPr>
                <w:rFonts w:ascii="Times New Roman" w:hAnsi="Times New Roman" w:cs="Times New Roman"/>
                <w:b/>
                <w:sz w:val="24"/>
              </w:rPr>
            </w:pPr>
            <w:r>
              <w:rPr>
                <w:rFonts w:ascii="Times New Roman" w:hAnsi="Times New Roman"/>
                <w:b/>
                <w:sz w:val="24"/>
              </w:rPr>
              <w:t>Poslovne nekretnine</w:t>
            </w:r>
          </w:p>
          <w:p w14:paraId="68C2D2E7" w14:textId="78F44185" w:rsidR="004E71F4" w:rsidRPr="00BE57B5" w:rsidRDefault="004E71F4" w:rsidP="00BE57B5">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Kolaterali stečeni dobivanjem u posjed poslovne ili industrijske nekretnine koja bi se mogla iskoristiti za potrebe poslovanja i/ili ulaganja, ili nekretnine koja nije stambena, kako je prethodno opisano</w:t>
            </w:r>
          </w:p>
          <w:p w14:paraId="1521CDD3" w14:textId="77777777" w:rsidR="004E71F4" w:rsidRPr="007F4CC8" w:rsidRDefault="004E71F4" w:rsidP="00155C96">
            <w:pPr>
              <w:pStyle w:val="Institutionquisigne"/>
              <w:spacing w:before="0" w:after="120"/>
              <w:rPr>
                <w:b/>
              </w:rPr>
            </w:pPr>
            <w:r>
              <w:rPr>
                <w:i w:val="0"/>
              </w:rPr>
              <w:t>U ovu se kategoriju uključuje i zemljište (nepoljoprivredno i poljoprivredno).</w:t>
            </w:r>
          </w:p>
        </w:tc>
      </w:tr>
      <w:tr w:rsidR="004E71F4" w:rsidRPr="007F4CC8" w14:paraId="3412E18B" w14:textId="77777777" w:rsidTr="007C38AF">
        <w:trPr>
          <w:trHeight w:val="1003"/>
        </w:trPr>
        <w:tc>
          <w:tcPr>
            <w:tcW w:w="1384" w:type="dxa"/>
          </w:tcPr>
          <w:p w14:paraId="0D688098" w14:textId="77777777" w:rsidR="004E71F4" w:rsidRPr="007F4CC8" w:rsidRDefault="004E71F4" w:rsidP="00155C96">
            <w:pPr>
              <w:spacing w:after="120"/>
            </w:pPr>
            <w:r>
              <w:lastRenderedPageBreak/>
              <w:t>050</w:t>
            </w:r>
          </w:p>
        </w:tc>
        <w:tc>
          <w:tcPr>
            <w:tcW w:w="7655" w:type="dxa"/>
          </w:tcPr>
          <w:p w14:paraId="7D1A050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Pokretna imovina (automobil, isporučena roba itd.)</w:t>
            </w:r>
          </w:p>
          <w:p w14:paraId="6A3FFE7D" w14:textId="77777777" w:rsidR="004E71F4" w:rsidRPr="007F4CC8" w:rsidRDefault="004E71F4" w:rsidP="00155C96">
            <w:pPr>
              <w:pStyle w:val="Institutionquisigne"/>
              <w:spacing w:before="0" w:after="120"/>
              <w:rPr>
                <w:b/>
              </w:rPr>
            </w:pPr>
            <w:r>
              <w:rPr>
                <w:i w:val="0"/>
              </w:rPr>
              <w:t>U ovom se retku objavljuju kolaterali stečeni dobivanjem u posjed imovine osim nekretnina.</w:t>
            </w:r>
          </w:p>
        </w:tc>
      </w:tr>
      <w:tr w:rsidR="004E71F4" w:rsidRPr="007F4CC8" w14:paraId="6EB6B8F1" w14:textId="77777777" w:rsidTr="007C38AF">
        <w:trPr>
          <w:trHeight w:val="636"/>
        </w:trPr>
        <w:tc>
          <w:tcPr>
            <w:tcW w:w="1384" w:type="dxa"/>
          </w:tcPr>
          <w:p w14:paraId="53636D0F" w14:textId="77777777" w:rsidR="004E71F4" w:rsidRPr="007F4CC8" w:rsidRDefault="004E71F4" w:rsidP="00155C96">
            <w:pPr>
              <w:spacing w:after="120"/>
            </w:pPr>
            <w:r>
              <w:t>060</w:t>
            </w:r>
          </w:p>
        </w:tc>
        <w:tc>
          <w:tcPr>
            <w:tcW w:w="7655" w:type="dxa"/>
          </w:tcPr>
          <w:p w14:paraId="285BB0F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Vlasnički i dužnički instrumenti</w:t>
            </w:r>
          </w:p>
          <w:p w14:paraId="609FD4E1" w14:textId="77777777" w:rsidR="004E71F4" w:rsidRPr="007F4CC8" w:rsidRDefault="004E71F4" w:rsidP="00155C96">
            <w:pPr>
              <w:pStyle w:val="Institutionquisigne"/>
              <w:spacing w:before="0" w:after="120"/>
              <w:rPr>
                <w:b/>
              </w:rPr>
            </w:pPr>
            <w:r>
              <w:rPr>
                <w:i w:val="0"/>
              </w:rPr>
              <w:t>U ovom se retku objavljuju kolaterali stečeni dobivanjem u posjed vlasničkih i dužničkih instrumenata.</w:t>
            </w:r>
          </w:p>
        </w:tc>
      </w:tr>
      <w:tr w:rsidR="004E71F4" w:rsidRPr="007F4CC8" w14:paraId="223F854F" w14:textId="77777777" w:rsidTr="00155C96">
        <w:trPr>
          <w:trHeight w:val="1286"/>
        </w:trPr>
        <w:tc>
          <w:tcPr>
            <w:tcW w:w="1384" w:type="dxa"/>
          </w:tcPr>
          <w:p w14:paraId="72E1E365" w14:textId="77777777" w:rsidR="004E71F4" w:rsidRPr="007F4CC8" w:rsidRDefault="004E71F4" w:rsidP="00155C96">
            <w:pPr>
              <w:spacing w:after="120"/>
            </w:pPr>
            <w:r>
              <w:t>070</w:t>
            </w:r>
          </w:p>
        </w:tc>
        <w:tc>
          <w:tcPr>
            <w:tcW w:w="7655" w:type="dxa"/>
          </w:tcPr>
          <w:p w14:paraId="5EDD7E9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Ostali kolaterali</w:t>
            </w:r>
          </w:p>
          <w:p w14:paraId="724F6703" w14:textId="77777777" w:rsidR="004E71F4" w:rsidRPr="007F4CC8" w:rsidRDefault="004E71F4" w:rsidP="00155C96">
            <w:pPr>
              <w:pStyle w:val="Institutionquisigne"/>
              <w:spacing w:before="0" w:after="120"/>
              <w:rPr>
                <w:i w:val="0"/>
              </w:rPr>
            </w:pPr>
            <w:r>
              <w:rPr>
                <w:i w:val="0"/>
              </w:rPr>
              <w:t xml:space="preserve">Kolaterali dobiveni u posjed koji ne pripadaju u kategorije u ostalim redcima </w:t>
            </w:r>
          </w:p>
          <w:p w14:paraId="6B2FC257" w14:textId="77777777" w:rsidR="004E71F4" w:rsidRPr="007F4CC8" w:rsidRDefault="004E71F4" w:rsidP="00155C96">
            <w:pPr>
              <w:pStyle w:val="Institutionquisigne"/>
              <w:spacing w:before="0" w:after="120"/>
              <w:rPr>
                <w:b/>
              </w:rPr>
            </w:pPr>
            <w:r>
              <w:rPr>
                <w:i w:val="0"/>
              </w:rPr>
              <w:t>Ako je iznos u ovom retku relativno značajan, institucije u opisu koji prilažu ovom obrascu dostavljaju dodatne informacije.</w:t>
            </w:r>
          </w:p>
        </w:tc>
      </w:tr>
      <w:tr w:rsidR="004E71F4" w:rsidRPr="007F4CC8" w14:paraId="283E34BE" w14:textId="77777777" w:rsidTr="00155C96">
        <w:trPr>
          <w:trHeight w:val="316"/>
        </w:trPr>
        <w:tc>
          <w:tcPr>
            <w:tcW w:w="1384" w:type="dxa"/>
          </w:tcPr>
          <w:p w14:paraId="79E9EB5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1DF7031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Ukupno</w:t>
            </w:r>
          </w:p>
        </w:tc>
      </w:tr>
      <w:tr w:rsidR="004E71F4" w:rsidRPr="007F4CC8" w14:paraId="67D1E4EB" w14:textId="77777777" w:rsidTr="00155C96">
        <w:trPr>
          <w:trHeight w:val="238"/>
        </w:trPr>
        <w:tc>
          <w:tcPr>
            <w:tcW w:w="9039" w:type="dxa"/>
            <w:gridSpan w:val="2"/>
            <w:shd w:val="clear" w:color="auto" w:fill="D9D9D9" w:themeFill="background1" w:themeFillShade="D9"/>
          </w:tcPr>
          <w:p w14:paraId="757A170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Pravna osnova i upute</w:t>
            </w:r>
          </w:p>
        </w:tc>
      </w:tr>
      <w:tr w:rsidR="004E71F4" w:rsidRPr="007F4CC8" w14:paraId="248EE231" w14:textId="77777777" w:rsidTr="00155C96">
        <w:trPr>
          <w:trHeight w:val="238"/>
        </w:trPr>
        <w:tc>
          <w:tcPr>
            <w:tcW w:w="1384" w:type="dxa"/>
            <w:shd w:val="clear" w:color="auto" w:fill="D9D9D9" w:themeFill="background1" w:themeFillShade="D9"/>
          </w:tcPr>
          <w:p w14:paraId="7A47FDE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Broj stupca</w:t>
            </w:r>
          </w:p>
        </w:tc>
        <w:tc>
          <w:tcPr>
            <w:tcW w:w="7655" w:type="dxa"/>
            <w:shd w:val="clear" w:color="auto" w:fill="D9D9D9" w:themeFill="background1" w:themeFillShade="D9"/>
          </w:tcPr>
          <w:p w14:paraId="36E5AF9D"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Objašnjenje</w:t>
            </w:r>
          </w:p>
        </w:tc>
      </w:tr>
      <w:tr w:rsidR="004E71F4" w:rsidRPr="007F4CC8" w14:paraId="14C68D76" w14:textId="77777777" w:rsidTr="00155C96">
        <w:trPr>
          <w:trHeight w:val="841"/>
        </w:trPr>
        <w:tc>
          <w:tcPr>
            <w:tcW w:w="1384" w:type="dxa"/>
          </w:tcPr>
          <w:p w14:paraId="18884892" w14:textId="77777777" w:rsidR="004E71F4" w:rsidRPr="007F4CC8" w:rsidRDefault="004E71F4" w:rsidP="00155C96">
            <w:pPr>
              <w:pStyle w:val="Applicationdirecte"/>
              <w:spacing w:before="0"/>
            </w:pPr>
            <w:r>
              <w:t>a</w:t>
            </w:r>
          </w:p>
        </w:tc>
        <w:tc>
          <w:tcPr>
            <w:tcW w:w="7655" w:type="dxa"/>
          </w:tcPr>
          <w:p w14:paraId="3F54C98D" w14:textId="77777777" w:rsidR="004E71F4" w:rsidRPr="007F4CC8" w:rsidRDefault="004E71F4" w:rsidP="00155C96">
            <w:pPr>
              <w:pStyle w:val="Institutionquisigne"/>
              <w:spacing w:before="0" w:after="120"/>
              <w:rPr>
                <w:rFonts w:eastAsiaTheme="minorEastAsia"/>
                <w:b/>
                <w:i w:val="0"/>
              </w:rPr>
            </w:pPr>
            <w:r>
              <w:rPr>
                <w:b/>
                <w:i w:val="0"/>
              </w:rPr>
              <w:t>Smanjenje stanja duga – Bruto knjigovodstvena vrijednost</w:t>
            </w:r>
          </w:p>
          <w:p w14:paraId="32C50F20" w14:textId="77777777" w:rsidR="004E71F4" w:rsidRPr="007F4CC8" w:rsidRDefault="004E71F4" w:rsidP="00155C96">
            <w:pPr>
              <w:pStyle w:val="Institutionquisigne"/>
              <w:spacing w:before="0" w:after="120"/>
              <w:rPr>
                <w:i w:val="0"/>
              </w:rPr>
            </w:pPr>
            <w:r>
              <w:rPr>
                <w:i w:val="0"/>
              </w:rPr>
              <w:t>Bruto iznos duga koji je poništen u zamjenu za kolateral dobiven u posjed, u trenutku razmjene, u sudskom postupku ili bilateralnim sporazumom</w:t>
            </w:r>
          </w:p>
          <w:p w14:paraId="4CE1FD7D" w14:textId="77777777" w:rsidR="004E71F4" w:rsidRPr="007F4CC8" w:rsidRDefault="004E71F4" w:rsidP="00155C96">
            <w:pPr>
              <w:pStyle w:val="Institutionquisigne"/>
              <w:spacing w:before="0" w:after="120"/>
            </w:pPr>
            <w:r>
              <w:rPr>
                <w:i w:val="0"/>
              </w:rPr>
              <w:t>Taj bruto iznos izračunava se kao bruto smanjenje stanja instrumenta, ne uzimajući u obzir rezerve. Da bi se izbjegla sumnja, u ovom se stupcu ne iskazuje smanjenje stanja zbog drugih razloga (npr. gotovinske uplate).</w:t>
            </w:r>
          </w:p>
        </w:tc>
      </w:tr>
      <w:tr w:rsidR="004E71F4" w:rsidRPr="007F4CC8" w14:paraId="2A837B98" w14:textId="77777777" w:rsidTr="00155C96">
        <w:trPr>
          <w:trHeight w:val="841"/>
        </w:trPr>
        <w:tc>
          <w:tcPr>
            <w:tcW w:w="1384" w:type="dxa"/>
          </w:tcPr>
          <w:p w14:paraId="202DB4AC" w14:textId="77777777" w:rsidR="004E71F4" w:rsidRPr="007F4CC8" w:rsidRDefault="004E71F4" w:rsidP="00155C96">
            <w:pPr>
              <w:pStyle w:val="Applicationdirecte"/>
              <w:spacing w:before="0"/>
            </w:pPr>
            <w:r>
              <w:t>b</w:t>
            </w:r>
          </w:p>
        </w:tc>
        <w:tc>
          <w:tcPr>
            <w:tcW w:w="7655" w:type="dxa"/>
          </w:tcPr>
          <w:p w14:paraId="1478E4EE" w14:textId="77777777" w:rsidR="004E71F4" w:rsidRPr="007F4CC8" w:rsidRDefault="004E71F4" w:rsidP="00155C96">
            <w:pPr>
              <w:pStyle w:val="Institutionquisigne"/>
              <w:spacing w:before="0" w:after="120"/>
              <w:rPr>
                <w:b/>
                <w:i w:val="0"/>
              </w:rPr>
            </w:pPr>
            <w:r>
              <w:rPr>
                <w:b/>
                <w:i w:val="0"/>
              </w:rPr>
              <w:t>Smanjenje stanja duga – Akumulirane negativne promjene</w:t>
            </w:r>
          </w:p>
          <w:p w14:paraId="7CF34C02" w14:textId="77777777" w:rsidR="004E71F4" w:rsidRPr="007F4CC8" w:rsidRDefault="004E71F4" w:rsidP="00155C96">
            <w:pPr>
              <w:pStyle w:val="Institutionquisigne"/>
              <w:spacing w:before="0" w:after="120"/>
              <w:rPr>
                <w:i w:val="0"/>
              </w:rPr>
            </w:pPr>
            <w:r>
              <w:rPr>
                <w:i w:val="0"/>
              </w:rPr>
              <w:t>Akumulirana umanjenja vrijednosti ili akumulirane negativne promjene vrijednosti pri početnom priznavanju kolaterala dobivenog u posjed, kako je prethodno opisano</w:t>
            </w:r>
          </w:p>
          <w:p w14:paraId="1CB7E8DB" w14:textId="77777777" w:rsidR="004E71F4" w:rsidRPr="007F4CC8" w:rsidRDefault="004E71F4" w:rsidP="00155C96">
            <w:pPr>
              <w:pStyle w:val="Institutionquisigne"/>
              <w:spacing w:before="0" w:after="120"/>
              <w:rPr>
                <w:i w:val="0"/>
              </w:rPr>
            </w:pPr>
            <w:r>
              <w:rPr>
                <w:i w:val="0"/>
              </w:rPr>
              <w:t>Vidjeti definiciju u obrascu CQ7 „Kolaterali dobiveni u posjed i postupci izvršenja”.</w:t>
            </w:r>
          </w:p>
          <w:p w14:paraId="566CE469" w14:textId="77777777" w:rsidR="004E71F4" w:rsidRPr="007F4CC8" w:rsidRDefault="004E71F4" w:rsidP="00155C96">
            <w:pPr>
              <w:pStyle w:val="Institutionquisigne"/>
              <w:spacing w:before="0" w:after="120"/>
            </w:pPr>
            <w:r>
              <w:rPr>
                <w:i w:val="0"/>
              </w:rPr>
              <w:t>Institucije u slučaju nekretnina, postrojenja i opreme te ulaganja u nekretnine, ovisno o slučaju, uključuju akumulirane negativne promjene zbog amortizacije.</w:t>
            </w:r>
          </w:p>
        </w:tc>
      </w:tr>
      <w:tr w:rsidR="004E71F4" w:rsidRPr="007F4CC8" w14:paraId="2867ED39" w14:textId="77777777" w:rsidTr="00155C96">
        <w:trPr>
          <w:trHeight w:val="841"/>
        </w:trPr>
        <w:tc>
          <w:tcPr>
            <w:tcW w:w="1384" w:type="dxa"/>
          </w:tcPr>
          <w:p w14:paraId="11293BD5" w14:textId="77777777" w:rsidR="004E71F4" w:rsidRPr="007F4CC8" w:rsidRDefault="004E71F4" w:rsidP="00155C96">
            <w:pPr>
              <w:pStyle w:val="Applicationdirecte"/>
              <w:spacing w:before="0"/>
            </w:pPr>
            <w:r>
              <w:t>c</w:t>
            </w:r>
          </w:p>
        </w:tc>
        <w:tc>
          <w:tcPr>
            <w:tcW w:w="7655" w:type="dxa"/>
          </w:tcPr>
          <w:p w14:paraId="75E90409" w14:textId="77777777" w:rsidR="004E71F4" w:rsidRPr="007F4CC8" w:rsidRDefault="004E71F4" w:rsidP="00155C96">
            <w:pPr>
              <w:pStyle w:val="Institutionquisigne"/>
              <w:spacing w:before="0" w:after="120"/>
              <w:rPr>
                <w:b/>
                <w:i w:val="0"/>
              </w:rPr>
            </w:pPr>
            <w:r>
              <w:rPr>
                <w:b/>
                <w:i w:val="0"/>
              </w:rPr>
              <w:t>Ukupni kolaterali dobiveni u posjed – Vrijednost pri početnom priznavanju</w:t>
            </w:r>
          </w:p>
          <w:p w14:paraId="074CCD2D" w14:textId="77777777" w:rsidR="004E71F4" w:rsidRPr="007F4CC8" w:rsidRDefault="004E71F4" w:rsidP="00155C96">
            <w:pPr>
              <w:pStyle w:val="Institutionquisigne"/>
              <w:spacing w:before="0" w:after="120"/>
              <w:rPr>
                <w:b/>
                <w:i w:val="0"/>
              </w:rPr>
            </w:pPr>
            <w:r>
              <w:rPr>
                <w:i w:val="0"/>
              </w:rPr>
              <w:t>U ovom se stupcu objavljuje bruto knjigovodstvena vrijednost kolaterala dobivenih u posjed pri početnom priznavanju u bilanci institucije.</w:t>
            </w:r>
          </w:p>
        </w:tc>
      </w:tr>
      <w:tr w:rsidR="004E71F4" w:rsidRPr="007F4CC8" w14:paraId="5135AB5A" w14:textId="77777777" w:rsidTr="00155C96">
        <w:trPr>
          <w:trHeight w:val="841"/>
        </w:trPr>
        <w:tc>
          <w:tcPr>
            <w:tcW w:w="1384" w:type="dxa"/>
          </w:tcPr>
          <w:p w14:paraId="36046E30" w14:textId="77777777" w:rsidR="004E71F4" w:rsidRPr="007F4CC8" w:rsidRDefault="004E71F4" w:rsidP="00155C96">
            <w:pPr>
              <w:pStyle w:val="Applicationdirecte"/>
              <w:spacing w:before="0"/>
            </w:pPr>
            <w:r>
              <w:lastRenderedPageBreak/>
              <w:t>d</w:t>
            </w:r>
          </w:p>
        </w:tc>
        <w:tc>
          <w:tcPr>
            <w:tcW w:w="7655" w:type="dxa"/>
          </w:tcPr>
          <w:p w14:paraId="6303F00B" w14:textId="77777777" w:rsidR="004E71F4" w:rsidRPr="007F4CC8" w:rsidRDefault="004E71F4" w:rsidP="00155C96">
            <w:pPr>
              <w:pStyle w:val="Institutionquisigne"/>
              <w:spacing w:before="0" w:after="120"/>
              <w:rPr>
                <w:b/>
                <w:i w:val="0"/>
              </w:rPr>
            </w:pPr>
            <w:r>
              <w:rPr>
                <w:b/>
                <w:i w:val="0"/>
              </w:rPr>
              <w:t>Ukupni kolaterali dobiveni u posjed – Akumulirane negativne promjene</w:t>
            </w:r>
          </w:p>
          <w:p w14:paraId="291CB036" w14:textId="77777777" w:rsidR="004E71F4" w:rsidRPr="007F4CC8" w:rsidRDefault="004E71F4" w:rsidP="00155C96">
            <w:pPr>
              <w:pStyle w:val="Institutionquisigne"/>
              <w:spacing w:before="0" w:after="120"/>
              <w:rPr>
                <w:i w:val="0"/>
              </w:rPr>
            </w:pPr>
            <w:r>
              <w:rPr>
                <w:i w:val="0"/>
              </w:rPr>
              <w:t xml:space="preserve">Akumulirana umanjenja vrijednosti ili akumulirane negativne promjene vrijednosti pri početnom priznavanju kolaterala dobivenog u posjed, kako je prethodno opisano </w:t>
            </w:r>
          </w:p>
          <w:p w14:paraId="4CA0D5C4" w14:textId="77777777" w:rsidR="004E71F4" w:rsidRPr="007F4CC8" w:rsidRDefault="004E71F4" w:rsidP="00155C96">
            <w:pPr>
              <w:pStyle w:val="Institutionquisigne"/>
              <w:spacing w:before="0" w:after="120"/>
            </w:pPr>
            <w:r>
              <w:rPr>
                <w:i w:val="0"/>
              </w:rPr>
              <w:t>Institucije u slučaju nekretnina, postrojenja i opreme te ulaganja u nekretnine, ovisno o slučaju, uključuju akumulirane negativne promjene zbog amortizacije.</w:t>
            </w:r>
          </w:p>
        </w:tc>
      </w:tr>
      <w:tr w:rsidR="004E71F4" w:rsidRPr="007F4CC8" w14:paraId="4813D4EB" w14:textId="77777777" w:rsidTr="00155C96">
        <w:trPr>
          <w:trHeight w:val="841"/>
        </w:trPr>
        <w:tc>
          <w:tcPr>
            <w:tcW w:w="1384" w:type="dxa"/>
          </w:tcPr>
          <w:p w14:paraId="12FB6BCC" w14:textId="77777777" w:rsidR="004E71F4" w:rsidRPr="007F4CC8" w:rsidRDefault="004E71F4" w:rsidP="00155C96">
            <w:pPr>
              <w:pStyle w:val="Applicationdirecte"/>
              <w:spacing w:before="0"/>
            </w:pPr>
            <w:r>
              <w:t>e</w:t>
            </w:r>
          </w:p>
        </w:tc>
        <w:tc>
          <w:tcPr>
            <w:tcW w:w="7655" w:type="dxa"/>
          </w:tcPr>
          <w:p w14:paraId="52632B41" w14:textId="77777777" w:rsidR="004E71F4" w:rsidRPr="007F4CC8" w:rsidRDefault="004E71F4" w:rsidP="00155C96">
            <w:pPr>
              <w:pStyle w:val="Institutionquisigne"/>
              <w:spacing w:before="0" w:after="120"/>
              <w:rPr>
                <w:b/>
                <w:i w:val="0"/>
              </w:rPr>
            </w:pPr>
            <w:r>
              <w:rPr>
                <w:b/>
                <w:i w:val="0"/>
              </w:rPr>
              <w:t xml:space="preserve">Ukupni kolaterali dobiveni u posjed – Restrukturirani ≤ dvije godine – od čega vrijednost pri početnom priznavanju </w:t>
            </w:r>
          </w:p>
          <w:p w14:paraId="417F34A7" w14:textId="77777777" w:rsidR="004E71F4" w:rsidRPr="007F4CC8" w:rsidRDefault="004E71F4" w:rsidP="00155C96">
            <w:pPr>
              <w:pStyle w:val="Institutionquisigne"/>
              <w:spacing w:before="0" w:after="120"/>
              <w:rPr>
                <w:i w:val="0"/>
              </w:rPr>
            </w:pPr>
            <w:r>
              <w:rPr>
                <w:i w:val="0"/>
              </w:rPr>
              <w:t>Vrijednost pri početnom priznavanju kolaterala dobivenih u posjed i priznatih u bilanci za dvije godine ili manje na izvještajni referentni datum</w:t>
            </w:r>
          </w:p>
        </w:tc>
      </w:tr>
      <w:tr w:rsidR="004E71F4" w:rsidRPr="007F4CC8" w14:paraId="196048A5" w14:textId="77777777" w:rsidTr="00155C96">
        <w:trPr>
          <w:trHeight w:val="841"/>
        </w:trPr>
        <w:tc>
          <w:tcPr>
            <w:tcW w:w="1384" w:type="dxa"/>
          </w:tcPr>
          <w:p w14:paraId="3BDC0494" w14:textId="77777777" w:rsidR="004E71F4" w:rsidRPr="007F4CC8" w:rsidRDefault="004E71F4" w:rsidP="00155C96">
            <w:pPr>
              <w:pStyle w:val="Applicationdirecte"/>
              <w:spacing w:before="0"/>
            </w:pPr>
            <w:r>
              <w:t>f</w:t>
            </w:r>
          </w:p>
        </w:tc>
        <w:tc>
          <w:tcPr>
            <w:tcW w:w="7655" w:type="dxa"/>
          </w:tcPr>
          <w:p w14:paraId="02A86701" w14:textId="77777777" w:rsidR="004E71F4" w:rsidRPr="007F4CC8" w:rsidRDefault="004E71F4" w:rsidP="00155C96">
            <w:pPr>
              <w:pStyle w:val="Institutionquisigne"/>
              <w:spacing w:before="0" w:after="120"/>
              <w:rPr>
                <w:b/>
                <w:i w:val="0"/>
              </w:rPr>
            </w:pPr>
            <w:r>
              <w:rPr>
                <w:b/>
                <w:i w:val="0"/>
              </w:rPr>
              <w:t>Ukupni kolaterali dobiveni u posjed – Restrukturirani do dvije godine – od čega akumulirane negativne promjene</w:t>
            </w:r>
          </w:p>
          <w:p w14:paraId="11843E8C" w14:textId="77777777" w:rsidR="004E71F4" w:rsidRPr="007F4CC8" w:rsidRDefault="004E71F4" w:rsidP="00155C96">
            <w:pPr>
              <w:pStyle w:val="Institutionquisigne"/>
              <w:spacing w:before="0" w:after="120"/>
            </w:pPr>
            <w:r>
              <w:rPr>
                <w:i w:val="0"/>
              </w:rPr>
              <w:t>Akumulirane negativne promjene kolaterala dobivenih u posjed i priznatih u bilanci za dvije godine ili manje na izvještajni referentni datum</w:t>
            </w:r>
          </w:p>
        </w:tc>
      </w:tr>
      <w:tr w:rsidR="004E71F4" w:rsidRPr="007F4CC8" w14:paraId="4B75CE28" w14:textId="77777777" w:rsidTr="00155C96">
        <w:trPr>
          <w:trHeight w:val="841"/>
        </w:trPr>
        <w:tc>
          <w:tcPr>
            <w:tcW w:w="1384" w:type="dxa"/>
          </w:tcPr>
          <w:p w14:paraId="1DCFACDF" w14:textId="77777777" w:rsidR="004E71F4" w:rsidRPr="007F4CC8" w:rsidRDefault="004E71F4" w:rsidP="00155C96">
            <w:pPr>
              <w:pStyle w:val="Applicationdirecte"/>
              <w:spacing w:before="0"/>
            </w:pPr>
            <w:r>
              <w:t>g</w:t>
            </w:r>
          </w:p>
        </w:tc>
        <w:tc>
          <w:tcPr>
            <w:tcW w:w="7655" w:type="dxa"/>
          </w:tcPr>
          <w:p w14:paraId="4327B310" w14:textId="77777777" w:rsidR="004E71F4" w:rsidRPr="007F4CC8" w:rsidRDefault="004E71F4" w:rsidP="00155C96">
            <w:pPr>
              <w:pStyle w:val="Institutionquisigne"/>
              <w:spacing w:before="0" w:after="120"/>
              <w:rPr>
                <w:b/>
                <w:i w:val="0"/>
              </w:rPr>
            </w:pPr>
            <w:r>
              <w:rPr>
                <w:b/>
                <w:i w:val="0"/>
              </w:rPr>
              <w:t xml:space="preserve">Ukupni kolaterali dobiveni u posjed – Restrukturirani od dvije do pet godina – od čega vrijednost pri početnom priznavanju </w:t>
            </w:r>
          </w:p>
          <w:p w14:paraId="650D54A9" w14:textId="77777777" w:rsidR="004E71F4" w:rsidRPr="007F4CC8" w:rsidRDefault="004E71F4" w:rsidP="00155C96">
            <w:pPr>
              <w:pStyle w:val="Institutionquisigne"/>
              <w:spacing w:before="0" w:after="120"/>
              <w:rPr>
                <w:b/>
                <w:i w:val="0"/>
              </w:rPr>
            </w:pPr>
            <w:r>
              <w:rPr>
                <w:i w:val="0"/>
              </w:rPr>
              <w:t>Vrijednost pri početnom priznavanju kolaterala dobivenih u posjed i priznatih u bilanci od dvije do pet godina na izvještajni referentni datum</w:t>
            </w:r>
          </w:p>
        </w:tc>
      </w:tr>
      <w:tr w:rsidR="004E71F4" w:rsidRPr="007F4CC8" w14:paraId="79BDEC9D" w14:textId="77777777" w:rsidTr="00155C96">
        <w:trPr>
          <w:trHeight w:val="841"/>
        </w:trPr>
        <w:tc>
          <w:tcPr>
            <w:tcW w:w="1384" w:type="dxa"/>
          </w:tcPr>
          <w:p w14:paraId="0172AA8E" w14:textId="77777777" w:rsidR="004E71F4" w:rsidRPr="007F4CC8" w:rsidRDefault="004E71F4" w:rsidP="00155C96">
            <w:pPr>
              <w:pStyle w:val="Applicationdirecte"/>
              <w:spacing w:before="0"/>
            </w:pPr>
            <w:r>
              <w:t>h</w:t>
            </w:r>
          </w:p>
        </w:tc>
        <w:tc>
          <w:tcPr>
            <w:tcW w:w="7655" w:type="dxa"/>
          </w:tcPr>
          <w:p w14:paraId="2705AAC8" w14:textId="77777777" w:rsidR="004E71F4" w:rsidRPr="007F4CC8" w:rsidRDefault="004E71F4" w:rsidP="00155C96">
            <w:pPr>
              <w:pStyle w:val="Institutionquisigne"/>
              <w:spacing w:before="0" w:after="120"/>
              <w:rPr>
                <w:b/>
                <w:i w:val="0"/>
              </w:rPr>
            </w:pPr>
            <w:r>
              <w:rPr>
                <w:b/>
                <w:i w:val="0"/>
              </w:rPr>
              <w:t>Ukupni kolaterali dobiveni u posjed – Restrukturirani od dvije do pet godina – od čega akumulirane negativne promjene</w:t>
            </w:r>
          </w:p>
          <w:p w14:paraId="1F75800B" w14:textId="77777777" w:rsidR="004E71F4" w:rsidRPr="007F4CC8" w:rsidRDefault="004E71F4" w:rsidP="00155C96">
            <w:pPr>
              <w:pStyle w:val="Institutionquisigne"/>
              <w:spacing w:before="0" w:after="120"/>
            </w:pPr>
            <w:r>
              <w:rPr>
                <w:i w:val="0"/>
              </w:rPr>
              <w:t>Akumulirane negativne promjene kolaterala dobivenih u posjed i priznatih u bilanci od dvije do pet godina na izvještajni referentni datum</w:t>
            </w:r>
          </w:p>
        </w:tc>
      </w:tr>
      <w:tr w:rsidR="004E71F4" w:rsidRPr="007F4CC8" w14:paraId="7F1CB134" w14:textId="77777777" w:rsidTr="00155C96">
        <w:trPr>
          <w:trHeight w:val="841"/>
        </w:trPr>
        <w:tc>
          <w:tcPr>
            <w:tcW w:w="1384" w:type="dxa"/>
          </w:tcPr>
          <w:p w14:paraId="062B3797" w14:textId="77777777" w:rsidR="004E71F4" w:rsidRPr="007F4CC8" w:rsidRDefault="004E71F4" w:rsidP="00155C96">
            <w:pPr>
              <w:pStyle w:val="Applicationdirecte"/>
              <w:spacing w:before="0"/>
            </w:pPr>
            <w:r>
              <w:t>i</w:t>
            </w:r>
          </w:p>
        </w:tc>
        <w:tc>
          <w:tcPr>
            <w:tcW w:w="7655" w:type="dxa"/>
          </w:tcPr>
          <w:p w14:paraId="430050FB" w14:textId="77777777" w:rsidR="004E71F4" w:rsidRPr="007F4CC8" w:rsidRDefault="004E71F4" w:rsidP="00155C96">
            <w:pPr>
              <w:pStyle w:val="Institutionquisigne"/>
              <w:spacing w:before="0" w:after="120"/>
              <w:rPr>
                <w:b/>
                <w:i w:val="0"/>
              </w:rPr>
            </w:pPr>
            <w:r>
              <w:rPr>
                <w:b/>
                <w:i w:val="0"/>
              </w:rPr>
              <w:t>Ukupni kolaterali dobiveni u posjed – Restrukturirani dulje od pet godina – od čega vrijednost pri početnom priznavanju</w:t>
            </w:r>
          </w:p>
          <w:p w14:paraId="7E2F7EB4" w14:textId="77777777" w:rsidR="004E71F4" w:rsidRPr="007F4CC8" w:rsidRDefault="004E71F4" w:rsidP="00155C96">
            <w:pPr>
              <w:pStyle w:val="Institutionquisigne"/>
              <w:spacing w:before="0" w:after="120"/>
              <w:rPr>
                <w:b/>
                <w:i w:val="0"/>
              </w:rPr>
            </w:pPr>
            <w:r>
              <w:rPr>
                <w:i w:val="0"/>
              </w:rPr>
              <w:t>Vrijednost pri početnom priznavanju kolaterala dobivenih u posjed i priznatih u bilanci dulje od pet godina na izvještajni referentni datum</w:t>
            </w:r>
          </w:p>
        </w:tc>
      </w:tr>
      <w:tr w:rsidR="004E71F4" w:rsidRPr="007F4CC8" w14:paraId="6FD41509" w14:textId="77777777" w:rsidTr="00155C96">
        <w:trPr>
          <w:trHeight w:val="841"/>
        </w:trPr>
        <w:tc>
          <w:tcPr>
            <w:tcW w:w="1384" w:type="dxa"/>
          </w:tcPr>
          <w:p w14:paraId="0AC714CD" w14:textId="77777777" w:rsidR="004E71F4" w:rsidRPr="007F4CC8" w:rsidRDefault="004E71F4" w:rsidP="00155C96">
            <w:pPr>
              <w:pStyle w:val="Applicationdirecte"/>
              <w:spacing w:before="0"/>
            </w:pPr>
            <w:r>
              <w:t>j</w:t>
            </w:r>
          </w:p>
        </w:tc>
        <w:tc>
          <w:tcPr>
            <w:tcW w:w="7655" w:type="dxa"/>
          </w:tcPr>
          <w:p w14:paraId="1275A829" w14:textId="77777777" w:rsidR="004E71F4" w:rsidRPr="007F4CC8" w:rsidRDefault="004E71F4" w:rsidP="00155C96">
            <w:pPr>
              <w:pStyle w:val="Institutionquisigne"/>
              <w:spacing w:before="0" w:after="120"/>
              <w:rPr>
                <w:b/>
                <w:i w:val="0"/>
              </w:rPr>
            </w:pPr>
            <w:r>
              <w:rPr>
                <w:b/>
                <w:i w:val="0"/>
              </w:rPr>
              <w:t>Ukupni kolaterali dobiveni u posjed – Restrukturirani dulje od pet godina – od čega akumulirane negativne promjene</w:t>
            </w:r>
          </w:p>
          <w:p w14:paraId="46C0DC66" w14:textId="77777777" w:rsidR="004E71F4" w:rsidRPr="007F4CC8" w:rsidRDefault="004E71F4" w:rsidP="00155C96">
            <w:pPr>
              <w:pStyle w:val="Institutionquisigne"/>
              <w:spacing w:before="0" w:after="120"/>
            </w:pPr>
            <w:r>
              <w:rPr>
                <w:i w:val="0"/>
              </w:rPr>
              <w:t>Akumulirane negativne promjene kolaterala dobivenih u posjed i priznatih u bilanci dulje od pet godina na izvještajni referentni datum</w:t>
            </w:r>
          </w:p>
        </w:tc>
      </w:tr>
      <w:tr w:rsidR="004E71F4" w:rsidRPr="007F4CC8" w14:paraId="251796EA" w14:textId="77777777" w:rsidTr="00155C96">
        <w:trPr>
          <w:trHeight w:val="841"/>
        </w:trPr>
        <w:tc>
          <w:tcPr>
            <w:tcW w:w="1384" w:type="dxa"/>
          </w:tcPr>
          <w:p w14:paraId="3637EE42" w14:textId="77777777" w:rsidR="004E71F4" w:rsidRPr="007F4CC8" w:rsidRDefault="004E71F4" w:rsidP="00155C96">
            <w:pPr>
              <w:pStyle w:val="Applicationdirecte"/>
              <w:spacing w:before="0"/>
            </w:pPr>
            <w:r>
              <w:t>k</w:t>
            </w:r>
          </w:p>
        </w:tc>
        <w:tc>
          <w:tcPr>
            <w:tcW w:w="7655" w:type="dxa"/>
          </w:tcPr>
          <w:p w14:paraId="1ABC3AB6" w14:textId="77777777" w:rsidR="004E71F4" w:rsidRPr="007F4CC8" w:rsidRDefault="004E71F4" w:rsidP="00155C96">
            <w:pPr>
              <w:pStyle w:val="Institutionquisigne"/>
              <w:spacing w:before="0" w:after="120"/>
              <w:rPr>
                <w:b/>
                <w:i w:val="0"/>
              </w:rPr>
            </w:pPr>
            <w:r>
              <w:rPr>
                <w:b/>
                <w:i w:val="0"/>
              </w:rPr>
              <w:t>Ukupni kolaterali dobiveni u posjed – Od čega dugotrajna imovina namijenjena za prodaju – od čega vrijednost pri početnom priznavanju</w:t>
            </w:r>
          </w:p>
          <w:p w14:paraId="42251EB3" w14:textId="77777777" w:rsidR="004E71F4" w:rsidRPr="007F4CC8" w:rsidRDefault="004E71F4" w:rsidP="00155C96">
            <w:pPr>
              <w:pStyle w:val="Institutionquisigne"/>
              <w:spacing w:before="0" w:after="120"/>
              <w:rPr>
                <w:b/>
                <w:i w:val="0"/>
              </w:rPr>
            </w:pPr>
            <w:r>
              <w:rPr>
                <w:i w:val="0"/>
              </w:rPr>
              <w:t>Objavljuje se vrijednost pri početnom priznavanju kolaterala dobivenih u posjed koji su klasificirani kao dugotrajna imovina namijenjena za prodaju. Ako ta klasifikacija u skladu s primjenjivim računovodstvenim okvirom nije relevantna, ta se informacija ne objavljuje.</w:t>
            </w:r>
          </w:p>
        </w:tc>
      </w:tr>
      <w:tr w:rsidR="004E71F4" w:rsidRPr="007F4CC8" w14:paraId="6557F5DD" w14:textId="77777777" w:rsidTr="00155C96">
        <w:trPr>
          <w:trHeight w:val="841"/>
        </w:trPr>
        <w:tc>
          <w:tcPr>
            <w:tcW w:w="1384" w:type="dxa"/>
          </w:tcPr>
          <w:p w14:paraId="15055957" w14:textId="77777777" w:rsidR="004E71F4" w:rsidRPr="007F4CC8" w:rsidRDefault="004E71F4" w:rsidP="00155C96">
            <w:pPr>
              <w:pStyle w:val="Applicationdirecte"/>
              <w:spacing w:before="0"/>
            </w:pPr>
            <w:r>
              <w:lastRenderedPageBreak/>
              <w:t>l</w:t>
            </w:r>
          </w:p>
        </w:tc>
        <w:tc>
          <w:tcPr>
            <w:tcW w:w="7655" w:type="dxa"/>
          </w:tcPr>
          <w:p w14:paraId="09411947" w14:textId="77777777" w:rsidR="004E71F4" w:rsidRPr="007F4CC8" w:rsidRDefault="004E71F4" w:rsidP="00155C96">
            <w:pPr>
              <w:pStyle w:val="Institutionquisigne"/>
              <w:spacing w:before="0" w:after="120"/>
              <w:rPr>
                <w:b/>
                <w:i w:val="0"/>
              </w:rPr>
            </w:pPr>
            <w:r>
              <w:rPr>
                <w:b/>
                <w:i w:val="0"/>
              </w:rPr>
              <w:t>Ukupni kolaterali dobiveni u posjed – Od čega dugotrajna imovina namijenjena za prodaju – od čega akumulirane negativne promjene</w:t>
            </w:r>
          </w:p>
          <w:p w14:paraId="217374E3" w14:textId="77777777" w:rsidR="004E71F4" w:rsidRPr="007F4CC8" w:rsidRDefault="004E71F4" w:rsidP="00155C96">
            <w:pPr>
              <w:pStyle w:val="Personnequisigne"/>
              <w:spacing w:after="120"/>
              <w:jc w:val="both"/>
            </w:pPr>
            <w:r>
              <w:rPr>
                <w:i w:val="0"/>
              </w:rPr>
              <w:t>Objavljuju se akumulirane negativne promjene kolaterala dobivenih u posjed koji su klasificirani kao dugotrajna imovina namijenjena za prodaju. Ako ta klasifikacija u skladu s primjenjivim računovodstvenim okvirom nije relevantna, ta se informacija ne objavljuje.</w:t>
            </w:r>
          </w:p>
        </w:tc>
      </w:tr>
    </w:tbl>
    <w:p w14:paraId="7A801179"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615780F6" w14:textId="77777777" w:rsidR="0081579E" w:rsidRPr="007F4CC8" w:rsidRDefault="001C2E4C">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DD256D6" w14:textId="77777777" w:rsidR="001C2E4C" w:rsidRPr="007F4CC8" w:rsidRDefault="001C2E4C" w:rsidP="001C2E4C">
      <w:pPr>
        <w:pStyle w:val="Annexetitre"/>
        <w:spacing w:before="0"/>
      </w:pPr>
      <w:r>
        <w:lastRenderedPageBreak/>
        <w:t>PRILOG XVIII. – Objava informacija o primijenjenim tehnikama smanjenja kreditnog rizika</w:t>
      </w:r>
    </w:p>
    <w:p w14:paraId="695A387D" w14:textId="77777777" w:rsidR="001C2E4C" w:rsidRPr="007F4CC8" w:rsidRDefault="001C2E4C" w:rsidP="001C2E4C">
      <w:pPr>
        <w:spacing w:after="120"/>
        <w:rPr>
          <w:rFonts w:ascii="Times New Roman" w:hAnsi="Times New Roman" w:cs="Times New Roman"/>
          <w:sz w:val="24"/>
        </w:rPr>
      </w:pPr>
    </w:p>
    <w:p w14:paraId="45361111" w14:textId="741E2554" w:rsidR="001C2E4C" w:rsidRPr="007F4CC8" w:rsidRDefault="00D95507" w:rsidP="001C2E4C">
      <w:pPr>
        <w:spacing w:after="120"/>
        <w:rPr>
          <w:rFonts w:ascii="Times New Roman" w:hAnsi="Times New Roman"/>
          <w:sz w:val="24"/>
        </w:rPr>
      </w:pPr>
      <w:r>
        <w:rPr>
          <w:rFonts w:ascii="Times New Roman" w:hAnsi="Times New Roman"/>
          <w:b/>
          <w:sz w:val="24"/>
        </w:rPr>
        <w:t>Tablica EU CRC – Zahtjevi za objavu kvalitativnih informacija o tehnikama smanjenja kreditnog rizika. Fleksibilna tablica</w:t>
      </w:r>
    </w:p>
    <w:p w14:paraId="4639841B" w14:textId="214F6391" w:rsidR="001C2E4C" w:rsidRPr="007F4CC8" w:rsidRDefault="001C2E4C" w:rsidP="001C2E4C">
      <w:pPr>
        <w:spacing w:after="120"/>
        <w:jc w:val="both"/>
        <w:rPr>
          <w:rFonts w:ascii="Times New Roman" w:hAnsi="Times New Roman" w:cs="Times New Roman"/>
          <w:sz w:val="24"/>
        </w:rPr>
      </w:pPr>
      <w:r>
        <w:rPr>
          <w:rFonts w:ascii="Times New Roman" w:hAnsi="Times New Roman"/>
          <w:sz w:val="24"/>
        </w:rPr>
        <w:t xml:space="preserve">Institucije objavljuju informacije iz članka 453. točaka od (a) do (e) </w:t>
      </w:r>
      <w:r>
        <w:rPr>
          <w:rFonts w:ascii="Times New Roman" w:hAnsi="Times New Roman"/>
          <w:iCs/>
          <w:sz w:val="24"/>
        </w:rPr>
        <w:t>Uredbe (EU)</w:t>
      </w:r>
      <w:r>
        <w:rPr>
          <w:rFonts w:ascii="Times New Roman" w:hAnsi="Times New Roman"/>
          <w:sz w:val="24"/>
        </w:rPr>
        <w:t> 575/2013</w:t>
      </w:r>
      <w:r>
        <w:rPr>
          <w:rStyle w:val="FootnoteReference"/>
          <w:rFonts w:ascii="Times New Roman" w:hAnsi="Times New Roman" w:cs="Times New Roman"/>
          <w:sz w:val="24"/>
          <w:szCs w:val="24"/>
        </w:rPr>
        <w:footnoteReference w:id="33"/>
      </w:r>
      <w:r>
        <w:rPr>
          <w:rFonts w:ascii="Times New Roman" w:hAnsi="Times New Roman"/>
          <w:sz w:val="24"/>
        </w:rPr>
        <w:t xml:space="preserve"> („CRR”) prateći upute u nastavku ovog Priloga za popunjavanje tablice EU CRC iz Priloga XVII.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7F4CC8" w14:paraId="3AF48689"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78DCBDD"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Referentni</w:t>
            </w:r>
          </w:p>
          <w:p w14:paraId="05D29EC7"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redak</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C21E253" w14:textId="7BD038CE" w:rsidR="001C2E4C" w:rsidRPr="007F4CC8" w:rsidRDefault="001C2E4C" w:rsidP="00155C96">
            <w:pPr>
              <w:spacing w:after="120"/>
              <w:rPr>
                <w:rFonts w:ascii="Times New Roman" w:hAnsi="Times New Roman" w:cs="Times New Roman"/>
                <w:b/>
                <w:sz w:val="24"/>
              </w:rPr>
            </w:pPr>
            <w:r>
              <w:rPr>
                <w:rFonts w:ascii="Times New Roman" w:hAnsi="Times New Roman"/>
                <w:b/>
                <w:sz w:val="24"/>
              </w:rPr>
              <w:t>Pravna osnova i upute</w:t>
            </w:r>
          </w:p>
        </w:tc>
      </w:tr>
      <w:tr w:rsidR="001C2E4C" w:rsidRPr="007F4CC8" w14:paraId="2DD80D0A"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1D9FD53"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2D844E6"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Objašnjenje</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5"/>
        <w:gridCol w:w="896"/>
        <w:gridCol w:w="6771"/>
      </w:tblGrid>
      <w:tr w:rsidR="001C2E4C" w:rsidRPr="007F4CC8" w14:paraId="731228CA"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5478F82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FD58B06" w14:textId="7977153C" w:rsidR="001C2E4C" w:rsidRPr="007F4CC8" w:rsidRDefault="001C2E4C" w:rsidP="00155C96">
            <w:pPr>
              <w:spacing w:after="120"/>
              <w:jc w:val="both"/>
              <w:rPr>
                <w:rFonts w:ascii="Times New Roman" w:hAnsi="Times New Roman" w:cs="Times New Roman"/>
                <w:sz w:val="24"/>
              </w:rPr>
            </w:pPr>
            <w:r>
              <w:rPr>
                <w:rFonts w:ascii="Times New Roman" w:hAnsi="Times New Roman"/>
                <w:iCs/>
                <w:sz w:val="24"/>
              </w:rPr>
              <w:t>Članak 453. točka (a)</w:t>
            </w:r>
            <w:r>
              <w:rPr>
                <w:rFonts w:ascii="Times New Roman" w:hAnsi="Times New Roman"/>
                <w:sz w:val="24"/>
              </w:rPr>
              <w:t xml:space="preserve"> CRR-a</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E43334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Pri </w:t>
            </w:r>
            <w:proofErr w:type="spellStart"/>
            <w:r>
              <w:rPr>
                <w:rFonts w:ascii="Times New Roman" w:hAnsi="Times New Roman"/>
                <w:sz w:val="24"/>
              </w:rPr>
              <w:t>objavi</w:t>
            </w:r>
            <w:proofErr w:type="spellEnd"/>
            <w:r>
              <w:rPr>
                <w:rFonts w:ascii="Times New Roman" w:hAnsi="Times New Roman"/>
                <w:sz w:val="24"/>
              </w:rPr>
              <w:t xml:space="preserve"> </w:t>
            </w:r>
            <w:proofErr w:type="spellStart"/>
            <w:r>
              <w:rPr>
                <w:rFonts w:ascii="Times New Roman" w:hAnsi="Times New Roman"/>
                <w:sz w:val="24"/>
              </w:rPr>
              <w:t>informacija</w:t>
            </w:r>
            <w:proofErr w:type="spellEnd"/>
            <w:r>
              <w:rPr>
                <w:rFonts w:ascii="Times New Roman" w:hAnsi="Times New Roman"/>
                <w:sz w:val="24"/>
              </w:rPr>
              <w:t xml:space="preserve"> o </w:t>
            </w:r>
            <w:proofErr w:type="spellStart"/>
            <w:r>
              <w:rPr>
                <w:rFonts w:ascii="Times New Roman" w:hAnsi="Times New Roman"/>
                <w:sz w:val="24"/>
              </w:rPr>
              <w:t>svojim</w:t>
            </w:r>
            <w:proofErr w:type="spellEnd"/>
            <w:r>
              <w:rPr>
                <w:rFonts w:ascii="Times New Roman" w:hAnsi="Times New Roman"/>
                <w:sz w:val="24"/>
              </w:rPr>
              <w:t xml:space="preserve"> </w:t>
            </w:r>
            <w:proofErr w:type="spellStart"/>
            <w:r>
              <w:rPr>
                <w:rFonts w:ascii="Times New Roman" w:hAnsi="Times New Roman"/>
                <w:sz w:val="24"/>
              </w:rPr>
              <w:t>politikama</w:t>
            </w:r>
            <w:proofErr w:type="spellEnd"/>
            <w:r>
              <w:rPr>
                <w:rFonts w:ascii="Times New Roman" w:hAnsi="Times New Roman"/>
                <w:sz w:val="24"/>
              </w:rPr>
              <w:t xml:space="preserve"> </w:t>
            </w:r>
            <w:proofErr w:type="spellStart"/>
            <w:r>
              <w:rPr>
                <w:rFonts w:ascii="Times New Roman" w:hAnsi="Times New Roman"/>
                <w:sz w:val="24"/>
              </w:rPr>
              <w:t>netiranja</w:t>
            </w:r>
            <w:proofErr w:type="spellEnd"/>
            <w:r>
              <w:rPr>
                <w:rFonts w:ascii="Times New Roman" w:hAnsi="Times New Roman"/>
                <w:sz w:val="24"/>
              </w:rPr>
              <w:t xml:space="preserve"> </w:t>
            </w:r>
            <w:proofErr w:type="spellStart"/>
            <w:r>
              <w:rPr>
                <w:rFonts w:ascii="Times New Roman" w:hAnsi="Times New Roman"/>
                <w:sz w:val="24"/>
              </w:rPr>
              <w:t>i</w:t>
            </w:r>
            <w:proofErr w:type="spellEnd"/>
            <w:r>
              <w:rPr>
                <w:rFonts w:ascii="Times New Roman" w:hAnsi="Times New Roman"/>
                <w:sz w:val="24"/>
              </w:rPr>
              <w:t xml:space="preserve"> </w:t>
            </w:r>
            <w:proofErr w:type="spellStart"/>
            <w:r>
              <w:rPr>
                <w:rFonts w:ascii="Times New Roman" w:hAnsi="Times New Roman"/>
                <w:sz w:val="24"/>
              </w:rPr>
              <w:t>primjeni</w:t>
            </w:r>
            <w:proofErr w:type="spellEnd"/>
            <w:r>
              <w:rPr>
                <w:rFonts w:ascii="Times New Roman" w:hAnsi="Times New Roman"/>
                <w:sz w:val="24"/>
              </w:rPr>
              <w:t xml:space="preserve"> </w:t>
            </w:r>
            <w:proofErr w:type="spellStart"/>
            <w:r>
              <w:rPr>
                <w:rFonts w:ascii="Times New Roman" w:hAnsi="Times New Roman"/>
                <w:sz w:val="24"/>
              </w:rPr>
              <w:t>netiranja</w:t>
            </w:r>
            <w:proofErr w:type="spellEnd"/>
            <w:r>
              <w:rPr>
                <w:rFonts w:ascii="Times New Roman" w:hAnsi="Times New Roman"/>
                <w:sz w:val="24"/>
              </w:rPr>
              <w:t xml:space="preserve"> u </w:t>
            </w:r>
            <w:proofErr w:type="spellStart"/>
            <w:r>
              <w:rPr>
                <w:rFonts w:ascii="Times New Roman" w:hAnsi="Times New Roman"/>
                <w:sz w:val="24"/>
              </w:rPr>
              <w:t>skladu</w:t>
            </w:r>
            <w:proofErr w:type="spellEnd"/>
            <w:r>
              <w:rPr>
                <w:rFonts w:ascii="Times New Roman" w:hAnsi="Times New Roman"/>
                <w:sz w:val="24"/>
              </w:rPr>
              <w:t xml:space="preserve"> s člankom 453. točkom (a) CRR-a institucije navode jasan opis politika i postupaka smanjenja kreditnog rizika </w:t>
            </w:r>
            <w:proofErr w:type="spellStart"/>
            <w:r>
              <w:rPr>
                <w:rFonts w:ascii="Times New Roman" w:hAnsi="Times New Roman"/>
                <w:sz w:val="24"/>
              </w:rPr>
              <w:t>koji</w:t>
            </w:r>
            <w:proofErr w:type="spellEnd"/>
            <w:r>
              <w:rPr>
                <w:rFonts w:ascii="Times New Roman" w:hAnsi="Times New Roman"/>
                <w:sz w:val="24"/>
              </w:rPr>
              <w:t xml:space="preserve"> se </w:t>
            </w:r>
            <w:proofErr w:type="spellStart"/>
            <w:r>
              <w:rPr>
                <w:rFonts w:ascii="Times New Roman" w:hAnsi="Times New Roman"/>
                <w:sz w:val="24"/>
              </w:rPr>
              <w:t>odnose</w:t>
            </w:r>
            <w:proofErr w:type="spellEnd"/>
            <w:r>
              <w:rPr>
                <w:rFonts w:ascii="Times New Roman" w:hAnsi="Times New Roman"/>
                <w:sz w:val="24"/>
              </w:rPr>
              <w:t xml:space="preserve"> </w:t>
            </w:r>
            <w:proofErr w:type="spellStart"/>
            <w:r>
              <w:rPr>
                <w:rFonts w:ascii="Times New Roman" w:hAnsi="Times New Roman"/>
                <w:sz w:val="24"/>
              </w:rPr>
              <w:t>na</w:t>
            </w:r>
            <w:proofErr w:type="spellEnd"/>
            <w:r>
              <w:rPr>
                <w:rFonts w:ascii="Times New Roman" w:hAnsi="Times New Roman"/>
                <w:sz w:val="24"/>
              </w:rPr>
              <w:t xml:space="preserve"> </w:t>
            </w:r>
            <w:proofErr w:type="spellStart"/>
            <w:r>
              <w:rPr>
                <w:rFonts w:ascii="Times New Roman" w:hAnsi="Times New Roman"/>
                <w:sz w:val="24"/>
              </w:rPr>
              <w:t>bilančno</w:t>
            </w:r>
            <w:proofErr w:type="spellEnd"/>
            <w:r>
              <w:rPr>
                <w:rFonts w:ascii="Times New Roman" w:hAnsi="Times New Roman"/>
                <w:sz w:val="24"/>
              </w:rPr>
              <w:t xml:space="preserve"> </w:t>
            </w:r>
            <w:proofErr w:type="spellStart"/>
            <w:r>
              <w:rPr>
                <w:rFonts w:ascii="Times New Roman" w:hAnsi="Times New Roman"/>
                <w:sz w:val="24"/>
              </w:rPr>
              <w:t>i</w:t>
            </w:r>
            <w:proofErr w:type="spellEnd"/>
            <w:r>
              <w:rPr>
                <w:rFonts w:ascii="Times New Roman" w:hAnsi="Times New Roman"/>
                <w:sz w:val="24"/>
              </w:rPr>
              <w:t xml:space="preserve"> </w:t>
            </w:r>
            <w:proofErr w:type="spellStart"/>
            <w:r>
              <w:rPr>
                <w:rFonts w:ascii="Times New Roman" w:hAnsi="Times New Roman"/>
                <w:sz w:val="24"/>
              </w:rPr>
              <w:t>izvanbilančno</w:t>
            </w:r>
            <w:proofErr w:type="spellEnd"/>
            <w:r>
              <w:rPr>
                <w:rFonts w:ascii="Times New Roman" w:hAnsi="Times New Roman"/>
                <w:sz w:val="24"/>
              </w:rPr>
              <w:t xml:space="preserve"> </w:t>
            </w:r>
            <w:proofErr w:type="spellStart"/>
            <w:r>
              <w:rPr>
                <w:rFonts w:ascii="Times New Roman" w:hAnsi="Times New Roman"/>
                <w:sz w:val="24"/>
              </w:rPr>
              <w:t>netiranje</w:t>
            </w:r>
            <w:proofErr w:type="spellEnd"/>
            <w:r>
              <w:rPr>
                <w:rFonts w:ascii="Times New Roman" w:hAnsi="Times New Roman"/>
                <w:sz w:val="24"/>
              </w:rPr>
              <w:t xml:space="preserve"> </w:t>
            </w:r>
            <w:proofErr w:type="spellStart"/>
            <w:r>
              <w:rPr>
                <w:rFonts w:ascii="Times New Roman" w:hAnsi="Times New Roman"/>
                <w:sz w:val="24"/>
              </w:rPr>
              <w:t>i</w:t>
            </w:r>
            <w:proofErr w:type="spellEnd"/>
            <w:r>
              <w:rPr>
                <w:rFonts w:ascii="Times New Roman" w:hAnsi="Times New Roman"/>
                <w:sz w:val="24"/>
              </w:rPr>
              <w:t xml:space="preserve"> </w:t>
            </w:r>
            <w:proofErr w:type="spellStart"/>
            <w:r>
              <w:rPr>
                <w:rFonts w:ascii="Times New Roman" w:hAnsi="Times New Roman"/>
                <w:sz w:val="24"/>
              </w:rPr>
              <w:t>standardizirane</w:t>
            </w:r>
            <w:proofErr w:type="spellEnd"/>
            <w:r>
              <w:rPr>
                <w:rFonts w:ascii="Times New Roman" w:hAnsi="Times New Roman"/>
                <w:sz w:val="24"/>
              </w:rPr>
              <w:t xml:space="preserve"> </w:t>
            </w:r>
            <w:proofErr w:type="spellStart"/>
            <w:r>
              <w:rPr>
                <w:rFonts w:ascii="Times New Roman" w:hAnsi="Times New Roman"/>
                <w:sz w:val="24"/>
              </w:rPr>
              <w:t>sporazume</w:t>
            </w:r>
            <w:proofErr w:type="spellEnd"/>
            <w:r>
              <w:rPr>
                <w:rFonts w:ascii="Times New Roman" w:hAnsi="Times New Roman"/>
                <w:sz w:val="24"/>
              </w:rPr>
              <w:t xml:space="preserve"> o </w:t>
            </w:r>
            <w:proofErr w:type="spellStart"/>
            <w:r>
              <w:rPr>
                <w:rFonts w:ascii="Times New Roman" w:hAnsi="Times New Roman"/>
                <w:sz w:val="24"/>
              </w:rPr>
              <w:t>netiranju</w:t>
            </w:r>
            <w:proofErr w:type="spellEnd"/>
            <w:r>
              <w:rPr>
                <w:rFonts w:ascii="Times New Roman" w:hAnsi="Times New Roman"/>
                <w:sz w:val="24"/>
              </w:rPr>
              <w:t xml:space="preserve">. Navode i u </w:t>
            </w:r>
            <w:proofErr w:type="spellStart"/>
            <w:r>
              <w:rPr>
                <w:rFonts w:ascii="Times New Roman" w:hAnsi="Times New Roman"/>
                <w:sz w:val="24"/>
              </w:rPr>
              <w:t>kojoj</w:t>
            </w:r>
            <w:proofErr w:type="spellEnd"/>
            <w:r>
              <w:rPr>
                <w:rFonts w:ascii="Times New Roman" w:hAnsi="Times New Roman"/>
                <w:sz w:val="24"/>
              </w:rPr>
              <w:t xml:space="preserve"> </w:t>
            </w:r>
            <w:proofErr w:type="spellStart"/>
            <w:r>
              <w:rPr>
                <w:rFonts w:ascii="Times New Roman" w:hAnsi="Times New Roman"/>
                <w:sz w:val="24"/>
              </w:rPr>
              <w:t>su</w:t>
            </w:r>
            <w:proofErr w:type="spellEnd"/>
            <w:r>
              <w:rPr>
                <w:rFonts w:ascii="Times New Roman" w:hAnsi="Times New Roman"/>
                <w:sz w:val="24"/>
              </w:rPr>
              <w:t xml:space="preserve"> </w:t>
            </w:r>
            <w:proofErr w:type="spellStart"/>
            <w:r>
              <w:rPr>
                <w:rFonts w:ascii="Times New Roman" w:hAnsi="Times New Roman"/>
                <w:sz w:val="24"/>
              </w:rPr>
              <w:t>mjeri</w:t>
            </w:r>
            <w:proofErr w:type="spellEnd"/>
            <w:r>
              <w:rPr>
                <w:rFonts w:ascii="Times New Roman" w:hAnsi="Times New Roman"/>
                <w:sz w:val="24"/>
              </w:rPr>
              <w:t xml:space="preserve"> </w:t>
            </w:r>
            <w:proofErr w:type="spellStart"/>
            <w:r>
              <w:rPr>
                <w:rFonts w:ascii="Times New Roman" w:hAnsi="Times New Roman"/>
                <w:sz w:val="24"/>
              </w:rPr>
              <w:t>primijenjeni</w:t>
            </w:r>
            <w:proofErr w:type="spellEnd"/>
            <w:r>
              <w:rPr>
                <w:rFonts w:ascii="Times New Roman" w:hAnsi="Times New Roman"/>
                <w:sz w:val="24"/>
              </w:rPr>
              <w:t xml:space="preserve"> </w:t>
            </w:r>
            <w:proofErr w:type="spellStart"/>
            <w:r>
              <w:rPr>
                <w:rFonts w:ascii="Times New Roman" w:hAnsi="Times New Roman"/>
                <w:sz w:val="24"/>
              </w:rPr>
              <w:t>bilančno</w:t>
            </w:r>
            <w:proofErr w:type="spellEnd"/>
            <w:r>
              <w:rPr>
                <w:rFonts w:ascii="Times New Roman" w:hAnsi="Times New Roman"/>
                <w:sz w:val="24"/>
              </w:rPr>
              <w:t xml:space="preserve"> </w:t>
            </w:r>
            <w:proofErr w:type="spellStart"/>
            <w:r>
              <w:rPr>
                <w:rFonts w:ascii="Times New Roman" w:hAnsi="Times New Roman"/>
                <w:sz w:val="24"/>
              </w:rPr>
              <w:t>i</w:t>
            </w:r>
            <w:proofErr w:type="spellEnd"/>
            <w:r>
              <w:rPr>
                <w:rFonts w:ascii="Times New Roman" w:hAnsi="Times New Roman"/>
                <w:sz w:val="24"/>
              </w:rPr>
              <w:t xml:space="preserve"> </w:t>
            </w:r>
            <w:proofErr w:type="spellStart"/>
            <w:r>
              <w:rPr>
                <w:rFonts w:ascii="Times New Roman" w:hAnsi="Times New Roman"/>
                <w:sz w:val="24"/>
              </w:rPr>
              <w:t>izvanbilančno</w:t>
            </w:r>
            <w:proofErr w:type="spellEnd"/>
            <w:r>
              <w:rPr>
                <w:rFonts w:ascii="Times New Roman" w:hAnsi="Times New Roman"/>
                <w:sz w:val="24"/>
              </w:rPr>
              <w:t xml:space="preserve"> </w:t>
            </w:r>
            <w:proofErr w:type="spellStart"/>
            <w:r>
              <w:rPr>
                <w:rFonts w:ascii="Times New Roman" w:hAnsi="Times New Roman"/>
                <w:sz w:val="24"/>
              </w:rPr>
              <w:t>netiranje</w:t>
            </w:r>
            <w:proofErr w:type="spellEnd"/>
            <w:r>
              <w:rPr>
                <w:rFonts w:ascii="Times New Roman" w:hAnsi="Times New Roman"/>
                <w:sz w:val="24"/>
              </w:rPr>
              <w:t xml:space="preserve"> </w:t>
            </w:r>
            <w:proofErr w:type="spellStart"/>
            <w:r>
              <w:rPr>
                <w:rFonts w:ascii="Times New Roman" w:hAnsi="Times New Roman"/>
                <w:sz w:val="24"/>
              </w:rPr>
              <w:t>i</w:t>
            </w:r>
            <w:proofErr w:type="spellEnd"/>
            <w:r>
              <w:rPr>
                <w:rFonts w:ascii="Times New Roman" w:hAnsi="Times New Roman"/>
                <w:sz w:val="24"/>
              </w:rPr>
              <w:t xml:space="preserve"> </w:t>
            </w:r>
            <w:proofErr w:type="spellStart"/>
            <w:r>
              <w:rPr>
                <w:rFonts w:ascii="Times New Roman" w:hAnsi="Times New Roman"/>
                <w:sz w:val="24"/>
              </w:rPr>
              <w:t>standardizirani</w:t>
            </w:r>
            <w:proofErr w:type="spellEnd"/>
            <w:r>
              <w:rPr>
                <w:rFonts w:ascii="Times New Roman" w:hAnsi="Times New Roman"/>
                <w:sz w:val="24"/>
              </w:rPr>
              <w:t xml:space="preserve"> </w:t>
            </w:r>
            <w:proofErr w:type="spellStart"/>
            <w:r>
              <w:rPr>
                <w:rFonts w:ascii="Times New Roman" w:hAnsi="Times New Roman"/>
                <w:sz w:val="24"/>
              </w:rPr>
              <w:t>sporazumi</w:t>
            </w:r>
            <w:proofErr w:type="spellEnd"/>
            <w:r>
              <w:rPr>
                <w:rFonts w:ascii="Times New Roman" w:hAnsi="Times New Roman"/>
                <w:sz w:val="24"/>
              </w:rPr>
              <w:t xml:space="preserve"> o </w:t>
            </w:r>
            <w:proofErr w:type="spellStart"/>
            <w:r>
              <w:rPr>
                <w:rFonts w:ascii="Times New Roman" w:hAnsi="Times New Roman"/>
                <w:sz w:val="24"/>
              </w:rPr>
              <w:t>netiranju</w:t>
            </w:r>
            <w:proofErr w:type="spellEnd"/>
            <w:r>
              <w:rPr>
                <w:rFonts w:ascii="Times New Roman" w:hAnsi="Times New Roman"/>
                <w:sz w:val="24"/>
              </w:rPr>
              <w:t xml:space="preserve"> </w:t>
            </w:r>
            <w:proofErr w:type="spellStart"/>
            <w:r>
              <w:rPr>
                <w:rFonts w:ascii="Times New Roman" w:hAnsi="Times New Roman"/>
                <w:sz w:val="24"/>
              </w:rPr>
              <w:t>i</w:t>
            </w:r>
            <w:proofErr w:type="spellEnd"/>
            <w:r>
              <w:rPr>
                <w:rFonts w:ascii="Times New Roman" w:hAnsi="Times New Roman"/>
                <w:sz w:val="24"/>
              </w:rPr>
              <w:t xml:space="preserve"> </w:t>
            </w:r>
            <w:proofErr w:type="spellStart"/>
            <w:r>
              <w:rPr>
                <w:rFonts w:ascii="Times New Roman" w:hAnsi="Times New Roman"/>
                <w:sz w:val="24"/>
              </w:rPr>
              <w:t>njihovu</w:t>
            </w:r>
            <w:proofErr w:type="spellEnd"/>
            <w:r>
              <w:rPr>
                <w:rFonts w:ascii="Times New Roman" w:hAnsi="Times New Roman"/>
                <w:sz w:val="24"/>
              </w:rPr>
              <w:t xml:space="preserve"> </w:t>
            </w:r>
            <w:proofErr w:type="spellStart"/>
            <w:r>
              <w:rPr>
                <w:rFonts w:ascii="Times New Roman" w:hAnsi="Times New Roman"/>
                <w:sz w:val="24"/>
              </w:rPr>
              <w:t>važnost</w:t>
            </w:r>
            <w:proofErr w:type="spellEnd"/>
            <w:r>
              <w:rPr>
                <w:rFonts w:ascii="Times New Roman" w:hAnsi="Times New Roman"/>
                <w:sz w:val="24"/>
              </w:rPr>
              <w:t xml:space="preserve"> za upravljanje kreditnim rizikom. Institucije bi mogle posebno navesti pojedinosti o tehnikama koje se koriste </w:t>
            </w:r>
            <w:proofErr w:type="spellStart"/>
            <w:r>
              <w:rPr>
                <w:rFonts w:ascii="Times New Roman" w:hAnsi="Times New Roman"/>
                <w:sz w:val="24"/>
              </w:rPr>
              <w:t>i</w:t>
            </w:r>
            <w:proofErr w:type="spellEnd"/>
            <w:r>
              <w:rPr>
                <w:rFonts w:ascii="Times New Roman" w:hAnsi="Times New Roman"/>
                <w:sz w:val="24"/>
              </w:rPr>
              <w:t xml:space="preserve"> </w:t>
            </w:r>
            <w:proofErr w:type="spellStart"/>
            <w:r>
              <w:rPr>
                <w:rFonts w:ascii="Times New Roman" w:hAnsi="Times New Roman"/>
                <w:sz w:val="24"/>
              </w:rPr>
              <w:t>pozicije</w:t>
            </w:r>
            <w:proofErr w:type="spellEnd"/>
            <w:r>
              <w:rPr>
                <w:rFonts w:ascii="Times New Roman" w:hAnsi="Times New Roman"/>
                <w:sz w:val="24"/>
              </w:rPr>
              <w:t xml:space="preserve"> </w:t>
            </w:r>
            <w:proofErr w:type="spellStart"/>
            <w:r>
              <w:rPr>
                <w:rFonts w:ascii="Times New Roman" w:hAnsi="Times New Roman"/>
                <w:sz w:val="24"/>
              </w:rPr>
              <w:t>obuhvaćene</w:t>
            </w:r>
            <w:proofErr w:type="spellEnd"/>
            <w:r>
              <w:rPr>
                <w:rFonts w:ascii="Times New Roman" w:hAnsi="Times New Roman"/>
                <w:sz w:val="24"/>
              </w:rPr>
              <w:t xml:space="preserve"> </w:t>
            </w:r>
            <w:proofErr w:type="spellStart"/>
            <w:r>
              <w:rPr>
                <w:rFonts w:ascii="Times New Roman" w:hAnsi="Times New Roman"/>
                <w:sz w:val="24"/>
              </w:rPr>
              <w:t>sporazumima</w:t>
            </w:r>
            <w:proofErr w:type="spellEnd"/>
            <w:r>
              <w:rPr>
                <w:rFonts w:ascii="Times New Roman" w:hAnsi="Times New Roman"/>
                <w:sz w:val="24"/>
              </w:rPr>
              <w:t xml:space="preserve"> o </w:t>
            </w:r>
            <w:proofErr w:type="spellStart"/>
            <w:r>
              <w:rPr>
                <w:rFonts w:ascii="Times New Roman" w:hAnsi="Times New Roman"/>
                <w:sz w:val="24"/>
              </w:rPr>
              <w:t>bilančnom</w:t>
            </w:r>
            <w:proofErr w:type="spellEnd"/>
            <w:r>
              <w:rPr>
                <w:rFonts w:ascii="Times New Roman" w:hAnsi="Times New Roman"/>
                <w:sz w:val="24"/>
              </w:rPr>
              <w:t xml:space="preserve"> </w:t>
            </w:r>
            <w:proofErr w:type="spellStart"/>
            <w:r>
              <w:rPr>
                <w:rFonts w:ascii="Times New Roman" w:hAnsi="Times New Roman"/>
                <w:sz w:val="24"/>
              </w:rPr>
              <w:t>netiranju</w:t>
            </w:r>
            <w:proofErr w:type="spellEnd"/>
            <w:r>
              <w:rPr>
                <w:rFonts w:ascii="Times New Roman" w:hAnsi="Times New Roman"/>
                <w:sz w:val="24"/>
              </w:rPr>
              <w:t xml:space="preserve"> </w:t>
            </w:r>
            <w:proofErr w:type="spellStart"/>
            <w:r>
              <w:rPr>
                <w:rFonts w:ascii="Times New Roman" w:hAnsi="Times New Roman"/>
                <w:sz w:val="24"/>
              </w:rPr>
              <w:t>te</w:t>
            </w:r>
            <w:proofErr w:type="spellEnd"/>
            <w:r>
              <w:rPr>
                <w:rFonts w:ascii="Times New Roman" w:hAnsi="Times New Roman"/>
                <w:sz w:val="24"/>
              </w:rPr>
              <w:t xml:space="preserve"> </w:t>
            </w:r>
            <w:proofErr w:type="spellStart"/>
            <w:r>
              <w:rPr>
                <w:rFonts w:ascii="Times New Roman" w:hAnsi="Times New Roman"/>
                <w:sz w:val="24"/>
              </w:rPr>
              <w:t>financijske</w:t>
            </w:r>
            <w:proofErr w:type="spellEnd"/>
            <w:r>
              <w:rPr>
                <w:rFonts w:ascii="Times New Roman" w:hAnsi="Times New Roman"/>
                <w:sz w:val="24"/>
              </w:rPr>
              <w:t xml:space="preserve"> </w:t>
            </w:r>
            <w:proofErr w:type="spellStart"/>
            <w:r>
              <w:rPr>
                <w:rFonts w:ascii="Times New Roman" w:hAnsi="Times New Roman"/>
                <w:sz w:val="24"/>
              </w:rPr>
              <w:t>instrumente</w:t>
            </w:r>
            <w:proofErr w:type="spellEnd"/>
            <w:r>
              <w:rPr>
                <w:rFonts w:ascii="Times New Roman" w:hAnsi="Times New Roman"/>
                <w:sz w:val="24"/>
              </w:rPr>
              <w:t xml:space="preserve"> </w:t>
            </w:r>
            <w:proofErr w:type="spellStart"/>
            <w:r>
              <w:rPr>
                <w:rFonts w:ascii="Times New Roman" w:hAnsi="Times New Roman"/>
                <w:sz w:val="24"/>
              </w:rPr>
              <w:t>koji</w:t>
            </w:r>
            <w:proofErr w:type="spellEnd"/>
            <w:r>
              <w:rPr>
                <w:rFonts w:ascii="Times New Roman" w:hAnsi="Times New Roman"/>
                <w:sz w:val="24"/>
              </w:rPr>
              <w:t xml:space="preserve"> </w:t>
            </w:r>
            <w:proofErr w:type="spellStart"/>
            <w:r>
              <w:rPr>
                <w:rFonts w:ascii="Times New Roman" w:hAnsi="Times New Roman"/>
                <w:sz w:val="24"/>
              </w:rPr>
              <w:t>su</w:t>
            </w:r>
            <w:proofErr w:type="spellEnd"/>
            <w:r>
              <w:rPr>
                <w:rFonts w:ascii="Times New Roman" w:hAnsi="Times New Roman"/>
                <w:sz w:val="24"/>
              </w:rPr>
              <w:t xml:space="preserve"> </w:t>
            </w:r>
            <w:proofErr w:type="spellStart"/>
            <w:r>
              <w:rPr>
                <w:rFonts w:ascii="Times New Roman" w:hAnsi="Times New Roman"/>
                <w:sz w:val="24"/>
              </w:rPr>
              <w:t>uključeni</w:t>
            </w:r>
            <w:proofErr w:type="spellEnd"/>
            <w:r>
              <w:rPr>
                <w:rFonts w:ascii="Times New Roman" w:hAnsi="Times New Roman"/>
                <w:sz w:val="24"/>
              </w:rPr>
              <w:t xml:space="preserve"> u </w:t>
            </w:r>
            <w:proofErr w:type="spellStart"/>
            <w:r>
              <w:rPr>
                <w:rFonts w:ascii="Times New Roman" w:hAnsi="Times New Roman"/>
                <w:sz w:val="24"/>
              </w:rPr>
              <w:t>standardizirane</w:t>
            </w:r>
            <w:proofErr w:type="spellEnd"/>
            <w:r>
              <w:rPr>
                <w:rFonts w:ascii="Times New Roman" w:hAnsi="Times New Roman"/>
                <w:sz w:val="24"/>
              </w:rPr>
              <w:t xml:space="preserve"> </w:t>
            </w:r>
            <w:proofErr w:type="spellStart"/>
            <w:r>
              <w:rPr>
                <w:rFonts w:ascii="Times New Roman" w:hAnsi="Times New Roman"/>
                <w:sz w:val="24"/>
              </w:rPr>
              <w:t>sporazume</w:t>
            </w:r>
            <w:proofErr w:type="spellEnd"/>
            <w:r>
              <w:rPr>
                <w:rFonts w:ascii="Times New Roman" w:hAnsi="Times New Roman"/>
                <w:sz w:val="24"/>
              </w:rPr>
              <w:t xml:space="preserve"> o </w:t>
            </w:r>
            <w:proofErr w:type="spellStart"/>
            <w:r>
              <w:rPr>
                <w:rFonts w:ascii="Times New Roman" w:hAnsi="Times New Roman"/>
                <w:sz w:val="24"/>
              </w:rPr>
              <w:t>netiranju</w:t>
            </w:r>
            <w:proofErr w:type="spellEnd"/>
            <w:r>
              <w:rPr>
                <w:rFonts w:ascii="Times New Roman" w:hAnsi="Times New Roman"/>
                <w:sz w:val="24"/>
              </w:rPr>
              <w:t>. Osim toga, mogu opisati i uvjete potrebne da se osigura učinkovitost tih tehnika i uvedenih kontrola za pravni rizik.</w:t>
            </w:r>
          </w:p>
        </w:tc>
      </w:tr>
      <w:tr w:rsidR="001C2E4C" w:rsidRPr="007F4CC8" w14:paraId="6FBF74D8" w14:textId="77777777" w:rsidTr="00155C96">
        <w:trPr>
          <w:trHeight w:val="841"/>
        </w:trPr>
        <w:tc>
          <w:tcPr>
            <w:tcW w:w="1407" w:type="dxa"/>
          </w:tcPr>
          <w:p w14:paraId="1AB3C80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(b)</w:t>
            </w:r>
          </w:p>
        </w:tc>
        <w:tc>
          <w:tcPr>
            <w:tcW w:w="883" w:type="dxa"/>
          </w:tcPr>
          <w:p w14:paraId="7E0E0ECE" w14:textId="77777777" w:rsidR="001C2E4C" w:rsidRPr="007F4CC8" w:rsidRDefault="001C2E4C" w:rsidP="00155C96">
            <w:pPr>
              <w:spacing w:after="120"/>
              <w:jc w:val="both"/>
              <w:rPr>
                <w:rFonts w:ascii="Times New Roman" w:eastAsia="Times New Roman" w:hAnsi="Times New Roman" w:cs="Times New Roman"/>
                <w:iCs/>
                <w:sz w:val="24"/>
              </w:rPr>
            </w:pPr>
            <w:r>
              <w:rPr>
                <w:rFonts w:ascii="Times New Roman" w:hAnsi="Times New Roman"/>
                <w:iCs/>
                <w:sz w:val="24"/>
              </w:rPr>
              <w:t>Članak 453. točka (b)</w:t>
            </w:r>
          </w:p>
          <w:p w14:paraId="7C5AF99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CRR-a</w:t>
            </w:r>
          </w:p>
        </w:tc>
        <w:tc>
          <w:tcPr>
            <w:tcW w:w="6782" w:type="dxa"/>
          </w:tcPr>
          <w:p w14:paraId="4926AA6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U okviru objava o temeljnim značajkama politika i postupaka za vrednovanje prihvatljivih kolaterala i upravljanje tim kolateralima u skladu s člankom 453. točkom (b) CRR-a institucije objavljuju sljedeće:</w:t>
            </w:r>
          </w:p>
          <w:p w14:paraId="6B648F21"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osnovu za procjenu i vrednovanje danih kolaterala uključujući procjenu pravne sigurnosti tehnika smanjenja kreditnog rizika,</w:t>
            </w:r>
          </w:p>
          <w:p w14:paraId="0BD3D10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vrstu vrednovanja (tržišna vrijednost, hipotekarna vrijednost, druge vrste vrijednosti),</w:t>
            </w:r>
          </w:p>
          <w:p w14:paraId="58071D69"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u kojoj je mjeri izračunata vrijednost kolaterala umanjena korektivnim faktorom,</w:t>
            </w:r>
          </w:p>
          <w:p w14:paraId="2400288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postupak, učestalost i metode za praćenje vrijednosti hipotekarnih kolaterala i drugih fizičkih kolaterala.</w:t>
            </w:r>
          </w:p>
          <w:p w14:paraId="351E8AC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Osim toga, institucije mogu objaviti i imaju li uspostavljen sustav za ograničenje kreditne izloženosti i kakav je učinak prihvaćenog kolaterala u kvantifikaciji tih ograničenja.</w:t>
            </w:r>
          </w:p>
        </w:tc>
      </w:tr>
      <w:tr w:rsidR="001C2E4C" w:rsidRPr="007F4CC8" w:rsidDel="00915DC9" w14:paraId="2F808C5D" w14:textId="77777777" w:rsidTr="00155C96">
        <w:trPr>
          <w:trHeight w:val="973"/>
        </w:trPr>
        <w:tc>
          <w:tcPr>
            <w:tcW w:w="1407" w:type="dxa"/>
          </w:tcPr>
          <w:p w14:paraId="1EF28047"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lastRenderedPageBreak/>
              <w:t>(c)</w:t>
            </w:r>
          </w:p>
        </w:tc>
        <w:tc>
          <w:tcPr>
            <w:tcW w:w="883" w:type="dxa"/>
          </w:tcPr>
          <w:p w14:paraId="582FD65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iCs/>
                <w:sz w:val="24"/>
              </w:rPr>
              <w:t>Članak 453. točka (c)</w:t>
            </w:r>
            <w:r>
              <w:rPr>
                <w:rFonts w:ascii="Times New Roman" w:hAnsi="Times New Roman"/>
                <w:sz w:val="24"/>
              </w:rPr>
              <w:t xml:space="preserve"> CRR-a</w:t>
            </w:r>
          </w:p>
        </w:tc>
        <w:tc>
          <w:tcPr>
            <w:tcW w:w="6782" w:type="dxa"/>
          </w:tcPr>
          <w:p w14:paraId="3E3FC54A" w14:textId="77777777" w:rsidR="001C2E4C" w:rsidRPr="007F4CC8" w:rsidDel="00915DC9" w:rsidRDefault="001C2E4C" w:rsidP="00155C96">
            <w:pPr>
              <w:spacing w:after="120"/>
              <w:jc w:val="both"/>
              <w:rPr>
                <w:rFonts w:ascii="Times New Roman" w:hAnsi="Times New Roman" w:cs="Times New Roman"/>
                <w:sz w:val="24"/>
              </w:rPr>
            </w:pPr>
            <w:r>
              <w:rPr>
                <w:rFonts w:ascii="Times New Roman" w:hAnsi="Times New Roman"/>
                <w:sz w:val="24"/>
              </w:rPr>
              <w:t>Pri opisu primljenog kolaterala u skladu s člankom 453. točkom (c) CRR-a institucije navode detaljan opis glavnih vrsta kolaterala koji su primile radi smanjenja kreditnog rizika, prema vrsti izloženosti.</w:t>
            </w:r>
          </w:p>
        </w:tc>
      </w:tr>
      <w:tr w:rsidR="001C2E4C" w:rsidRPr="007F4CC8" w14:paraId="3549FC01" w14:textId="77777777" w:rsidTr="00155C96">
        <w:trPr>
          <w:trHeight w:val="1265"/>
        </w:trPr>
        <w:tc>
          <w:tcPr>
            <w:tcW w:w="1407" w:type="dxa"/>
          </w:tcPr>
          <w:p w14:paraId="71959583"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(d)</w:t>
            </w:r>
          </w:p>
        </w:tc>
        <w:tc>
          <w:tcPr>
            <w:tcW w:w="883" w:type="dxa"/>
          </w:tcPr>
          <w:p w14:paraId="1295B89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iCs/>
                <w:sz w:val="24"/>
              </w:rPr>
              <w:t>Članak 453. točka (d) CRR-a</w:t>
            </w:r>
          </w:p>
        </w:tc>
        <w:tc>
          <w:tcPr>
            <w:tcW w:w="6782" w:type="dxa"/>
          </w:tcPr>
          <w:p w14:paraId="14D7C916"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Opis glavnih vrsta davatelja jamstava i drugih ugovornih strana u kreditnim izvedenicama te njihove kreditne sposobnosti koji se objavljuje u skladu s člankom 453. točkom (d) CRR-a obuhvaća kreditne izvedenice koje se koriste za potrebe smanjenja kapitalnih zahtjeva, osim onih koje se koriste kao dio struktura sintetskih sekuritizacija. Institucije mogu uključiti i opis metoda koje se koriste za priznavanje učinaka jamstava ili danih kreditnih izvedenica prema glavnim vrstama davatelja jamstva i drugih ugovornih strana. </w:t>
            </w:r>
          </w:p>
        </w:tc>
      </w:tr>
      <w:tr w:rsidR="001C2E4C" w:rsidRPr="007F4CC8" w14:paraId="078F2BF9" w14:textId="77777777" w:rsidTr="00155C96">
        <w:trPr>
          <w:trHeight w:val="1405"/>
        </w:trPr>
        <w:tc>
          <w:tcPr>
            <w:tcW w:w="1407" w:type="dxa"/>
          </w:tcPr>
          <w:p w14:paraId="72556FE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(e)</w:t>
            </w:r>
          </w:p>
        </w:tc>
        <w:tc>
          <w:tcPr>
            <w:tcW w:w="883" w:type="dxa"/>
          </w:tcPr>
          <w:p w14:paraId="52B1E972" w14:textId="0771456E" w:rsidR="001C2E4C" w:rsidRPr="007F4CC8" w:rsidRDefault="001C2E4C" w:rsidP="00155C96">
            <w:pPr>
              <w:spacing w:after="120"/>
              <w:jc w:val="both"/>
              <w:rPr>
                <w:rFonts w:ascii="Times New Roman" w:hAnsi="Times New Roman" w:cs="Times New Roman"/>
                <w:sz w:val="24"/>
              </w:rPr>
            </w:pPr>
            <w:r>
              <w:rPr>
                <w:rFonts w:ascii="Times New Roman" w:hAnsi="Times New Roman"/>
                <w:iCs/>
                <w:sz w:val="24"/>
              </w:rPr>
              <w:t>Članak 453. točka (e) CRR-a</w:t>
            </w:r>
          </w:p>
        </w:tc>
        <w:tc>
          <w:tcPr>
            <w:tcW w:w="6782" w:type="dxa"/>
          </w:tcPr>
          <w:p w14:paraId="0E55AB09"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Pri objavi informacija o koncentracijama tržišnog ili kreditnog rizika u okviru primijenjenih tehnika smanjenja kreditnog rizika u skladu s člankom 453. točkom (e) CRR-a, institucije navode analizu koncentracija koje nastanu zbog mjera smanjenja kreditnog rizika i koje mogu spriječiti učinkovitost instrumenata smanjenja kreditnog rizika. Koncentracije u okviru tih objava mogu uključivati koncentracije prema vrsti instrumenta koji je korišten kao kolateral, subjektu (koncentracija prema vrsti davatelja jamstva i davatelja kreditne izvedenice), sektoru, geografskom području, valuti, rejtingu ili drugim faktorima koji potencijalno mogu utjecati na vrijednost zaštite i time smanjiti tu zaštitu.</w:t>
            </w:r>
          </w:p>
        </w:tc>
      </w:tr>
    </w:tbl>
    <w:p w14:paraId="1A96AFAC" w14:textId="77777777" w:rsidR="001C2E4C" w:rsidRPr="007F4CC8" w:rsidRDefault="001C2E4C" w:rsidP="001C2E4C">
      <w:pPr>
        <w:spacing w:after="120"/>
        <w:rPr>
          <w:rFonts w:ascii="Times New Roman" w:hAnsi="Times New Roman" w:cs="Times New Roman"/>
          <w:sz w:val="24"/>
        </w:rPr>
      </w:pPr>
    </w:p>
    <w:p w14:paraId="21DE2683" w14:textId="63C30C4D" w:rsidR="001C2E4C" w:rsidRPr="007F4CC8" w:rsidRDefault="00CD362D" w:rsidP="001C2E4C">
      <w:pPr>
        <w:spacing w:after="120"/>
        <w:rPr>
          <w:rFonts w:ascii="Times New Roman" w:hAnsi="Times New Roman" w:cs="Times New Roman"/>
          <w:b/>
          <w:sz w:val="24"/>
        </w:rPr>
      </w:pPr>
      <w:r>
        <w:rPr>
          <w:rFonts w:ascii="Times New Roman" w:hAnsi="Times New Roman"/>
          <w:b/>
          <w:sz w:val="24"/>
        </w:rPr>
        <w:t>Obrazac EU CR3 – Pregled tehnika smanjenja kreditnog rizika: Objava informacija o primijenjenim tehnikama smanjenja kreditnog rizika. Fiksni obrazac.</w:t>
      </w:r>
    </w:p>
    <w:p w14:paraId="62783EF0" w14:textId="1871BEAE" w:rsidR="001C2E4C" w:rsidRPr="007F4CC8" w:rsidRDefault="001C2E4C" w:rsidP="001C2E4C">
      <w:pPr>
        <w:spacing w:after="120"/>
        <w:jc w:val="both"/>
        <w:rPr>
          <w:rFonts w:ascii="Times New Roman" w:hAnsi="Times New Roman" w:cs="Times New Roman"/>
          <w:sz w:val="24"/>
        </w:rPr>
      </w:pPr>
      <w:r>
        <w:rPr>
          <w:rFonts w:ascii="Times New Roman" w:hAnsi="Times New Roman"/>
          <w:sz w:val="24"/>
        </w:rPr>
        <w:t xml:space="preserve">Institucije objavljuju informacije iz </w:t>
      </w:r>
      <w:r>
        <w:rPr>
          <w:rFonts w:ascii="Times New Roman" w:hAnsi="Times New Roman"/>
          <w:iCs/>
          <w:sz w:val="24"/>
        </w:rPr>
        <w:t>članka 453.</w:t>
      </w:r>
      <w:r>
        <w:rPr>
          <w:rFonts w:ascii="Times New Roman" w:hAnsi="Times New Roman"/>
          <w:sz w:val="24"/>
        </w:rPr>
        <w:t xml:space="preserve"> točke (f) CRR-a prema uputama u nastavku ovog Priloga kako bi ispunile tablicu EU CR3 koja je navedena u Prilogu XVII. ovoj Provedbenoj uredbi.</w:t>
      </w:r>
    </w:p>
    <w:p w14:paraId="3A1364BD" w14:textId="77777777" w:rsidR="001C2E4C" w:rsidRPr="007F4CC8" w:rsidRDefault="001C2E4C" w:rsidP="001C2E4C">
      <w:pPr>
        <w:spacing w:after="120"/>
        <w:jc w:val="both"/>
        <w:rPr>
          <w:rFonts w:ascii="Times New Roman" w:eastAsia="Times New Roman" w:hAnsi="Times New Roman" w:cs="Times New Roman"/>
          <w:b/>
          <w:iCs/>
          <w:sz w:val="24"/>
        </w:rPr>
      </w:pPr>
      <w:r>
        <w:rPr>
          <w:rFonts w:ascii="Times New Roman" w:hAnsi="Times New Roman"/>
          <w:sz w:val="24"/>
        </w:rPr>
        <w:t xml:space="preserve">Ovaj obrazac obuhvaća sve tehnike smanjenja kreditnog rizika u okviru primjenjivog računovodstvenog okvira, </w:t>
      </w:r>
      <w:r>
        <w:rPr>
          <w:rFonts w:ascii="Times New Roman" w:hAnsi="Times New Roman"/>
          <w:iCs/>
          <w:sz w:val="24"/>
        </w:rPr>
        <w:t>neovisno o tome jesu li te tehnike priznate u skladu s CRR-om</w:t>
      </w:r>
      <w:r>
        <w:rPr>
          <w:rFonts w:ascii="Times New Roman" w:hAnsi="Times New Roman"/>
          <w:sz w:val="24"/>
        </w:rPr>
        <w:t xml:space="preserve"> </w:t>
      </w:r>
      <w:r>
        <w:rPr>
          <w:rFonts w:ascii="Times New Roman" w:hAnsi="Times New Roman"/>
          <w:iCs/>
          <w:sz w:val="24"/>
        </w:rPr>
        <w:t>što uključuje, ali nije ograničeno na, sve vrste kolaterala, financijskih jamstava i kreditnih izvedenica koje se koriste za sve osigurane izloženosti, neovisno o tome je li za izračun iznosa izloženosti ponderiranih rizikom (RWEA) primijenjen standardizirani pristup ili IRB pristup. Institucije obrazac dopunjuju opisom kojim se objašnjavaju sve znatne promjene tijekom razdoblja objave i glavni razlozi za te promjene.</w:t>
      </w:r>
    </w:p>
    <w:p w14:paraId="150C818D" w14:textId="77777777" w:rsidR="001C2E4C" w:rsidRPr="007F4CC8" w:rsidRDefault="001C2E4C" w:rsidP="001C2E4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7F4CC8" w14:paraId="1B7C20F1"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D2BE5D"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Referentni stupac</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EDDBBD7"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Pravna osnova i upute</w:t>
            </w:r>
          </w:p>
        </w:tc>
      </w:tr>
      <w:tr w:rsidR="001C2E4C" w:rsidRPr="007F4CC8" w14:paraId="3CA2EAB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04087E85"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54EA53EF"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Objašnjenje</w:t>
            </w:r>
          </w:p>
        </w:tc>
      </w:tr>
      <w:tr w:rsidR="001C2E4C" w:rsidRPr="007F4CC8" w14:paraId="33083224" w14:textId="77777777" w:rsidTr="00155C96">
        <w:trPr>
          <w:trHeight w:val="316"/>
        </w:trPr>
        <w:tc>
          <w:tcPr>
            <w:tcW w:w="1413" w:type="dxa"/>
          </w:tcPr>
          <w:p w14:paraId="51124D3C"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4629D4D5"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Neosigurana bruto knjigovodstvena vrijednost: </w:t>
            </w:r>
          </w:p>
          <w:p w14:paraId="4DD6C7A5"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lastRenderedPageBreak/>
              <w:t xml:space="preserve">Knjigovodstvena vrijednost izloženosti (umanjena za ispravke/umanjenja) koje ne ostvaruju koristi od bilo kakve tehnike smanjenja kreditnog rizika, neovisno o tome je li ta tehnika priznata u skladu s CRR-om. </w:t>
            </w:r>
          </w:p>
          <w:p w14:paraId="43B5DDBB"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Naročito se odnosi na izloženosti koje nisu pokrivene kolateralom ni financijskim jamstvom. Neosigurani dio djelomično osigurane ili djelomično jamstvom pokrivene izloženosti ne iskazuje se.</w:t>
            </w:r>
          </w:p>
        </w:tc>
      </w:tr>
      <w:tr w:rsidR="001C2E4C" w:rsidRPr="007F4CC8" w14:paraId="58BFB6E3" w14:textId="77777777" w:rsidTr="00155C96">
        <w:trPr>
          <w:trHeight w:val="316"/>
        </w:trPr>
        <w:tc>
          <w:tcPr>
            <w:tcW w:w="1413" w:type="dxa"/>
          </w:tcPr>
          <w:p w14:paraId="5C78556F"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b</w:t>
            </w:r>
          </w:p>
        </w:tc>
        <w:tc>
          <w:tcPr>
            <w:tcW w:w="7654" w:type="dxa"/>
          </w:tcPr>
          <w:p w14:paraId="0F7272AC"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Osigurana bruto knjigovodstvena vrijednost: </w:t>
            </w:r>
          </w:p>
          <w:p w14:paraId="34A5E0D0"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Knjigovodstvena vrijednost izloženosti povezanih s najmanje jednom tehnikom smanjenja kreditnog rizika (kolateral, financijska jamstva, kreditne izvedenice).</w:t>
            </w:r>
          </w:p>
          <w:p w14:paraId="5AAE6B78"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U slučaju da vrijednost kolaterala, financijskih jamstava i kreditnih izvedenica kojima se osigurava izloženost premašuje knjigovodstvenu vrijednost te izloženosti, uključuju se samo vrijednosti do knjigovodstvene vrijednosti te izloženosti. U slučaju da knjigovodstvena vrijednost izloženosti premašuje vrijednost kolaterala, financijskih jamstava i kreditnih izvedenica kojima se osigurava ta izloženost, uključuje se ukupna knjigovodstvena vrijednost te izloženosti.</w:t>
            </w:r>
          </w:p>
          <w:p w14:paraId="705DC79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 xml:space="preserve">Za potrebe sljedećih stupaca c, d i e, raspodjela knjigovodstvene vrijednosti višestruko osiguranih izloženosti u različite tehnike smanjenja kreditnog rizika provodi se prema redoslijedu prioriteta, počevši od tehnike smanjenja kreditnog rizika za koju se očekuje da će se u slučaju neplaćanja aktivirati prva, i u okviru ograničenja knjigovodstvene vrijednosti osiguranih izloženosti. Bilo koji dio izloženosti uvrštava se u samo jedan od stupaca c, d ili e ovog obrasca. </w:t>
            </w:r>
          </w:p>
        </w:tc>
      </w:tr>
      <w:tr w:rsidR="001C2E4C" w:rsidRPr="007F4CC8" w14:paraId="73EB0C4B" w14:textId="77777777" w:rsidTr="00155C96">
        <w:trPr>
          <w:trHeight w:val="316"/>
        </w:trPr>
        <w:tc>
          <w:tcPr>
            <w:tcW w:w="1413" w:type="dxa"/>
          </w:tcPr>
          <w:p w14:paraId="4DD80F2F"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74CB6D6A"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Od čega osigurano kolateralom: </w:t>
            </w:r>
          </w:p>
          <w:p w14:paraId="3B317890"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Ovo je podskup stupca b ovog obrasca u kojem se iskazuje knjigovodstvena vrijednost izloženosti (umanjena za ispravke/umanjenja) ili dijelovi izloženosti osiguranih kolateralom. Ako je izloženost osigurana kolateralom i drugim tehnikama smanjenja kreditnog rizika za koje se očekuje da će se u slučaju neplaćanja prije aktivirati, knjigovodstvena vrijednost te izloženosti osigurane kolateralom je preostali dio izloženosti nakon uzimanja u obzir dijelova izloženosti koji su već osigurani drugim tehnikama smanjenja rizika, u iznosu do knjigovodstvene vrijednosti te izloženosti.</w:t>
            </w:r>
          </w:p>
        </w:tc>
      </w:tr>
      <w:tr w:rsidR="001C2E4C" w:rsidRPr="007F4CC8" w14:paraId="729301CB" w14:textId="77777777" w:rsidTr="00155C96">
        <w:trPr>
          <w:trHeight w:val="316"/>
        </w:trPr>
        <w:tc>
          <w:tcPr>
            <w:tcW w:w="1413" w:type="dxa"/>
          </w:tcPr>
          <w:p w14:paraId="1B438D3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098E1788"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Od čega osigurano financijskim jamstvima: </w:t>
            </w:r>
          </w:p>
          <w:p w14:paraId="2B2982FE"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Ovo je podskup stupca b ovog obrasca u kojem se iskazuje knjigovodstvena vrijednost izloženosti (umanjena za ispravke/umanjenja) ili dijelovi izloženosti osiguranih jamstvima. Ako je izloženost osigurana jamstvima i drugim tehnikama smanjenja kreditnog rizika za koje se očekuje da će se u slučaju neplaćanja prije aktivirati, knjigovodstvena vrijednost te izloženosti osigurane jamstvima je preostali dio izloženosti nakon uzimanja u obzir dijelova izloženosti koji su već osigurani drugim tehnikama smanjenja rizika, u iznosu do knjigovodstvene vrijednosti te izloženosti.</w:t>
            </w:r>
          </w:p>
        </w:tc>
      </w:tr>
      <w:tr w:rsidR="001C2E4C" w:rsidRPr="007F4CC8" w14:paraId="4C5B2660" w14:textId="77777777" w:rsidTr="00155C96">
        <w:trPr>
          <w:trHeight w:val="316"/>
        </w:trPr>
        <w:tc>
          <w:tcPr>
            <w:tcW w:w="1413" w:type="dxa"/>
          </w:tcPr>
          <w:p w14:paraId="0CB8B971"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25AEDEB9"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Od čega osigurano kreditnim izvedenicama: </w:t>
            </w:r>
          </w:p>
          <w:p w14:paraId="40A31B4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lastRenderedPageBreak/>
              <w:t xml:space="preserve">Ovo je podskup stupca d (financijska jamstva) ovog obrasca u kojem se iskazuje knjigovodstvena vrijednost izloženosti (umanjena za ispravke/umanjenja) ili dijelovi izloženosti osiguranih kreditnim izvedenicama. Ako je izloženost osigurana kreditnim izvedenicama i drugim tehnikama smanjenja kreditnog rizika za koje se očekuje da će se u slučaju neplaćanja prije aktivirati, knjigovodstvena vrijednost te izloženosti osigurane kreditnim izvedenicama je preostali dio izloženosti nakon uzimanja u obzir dijelova izloženosti koji su već osigurani drugim tehnikama smanjenja rizika, u iznosu do knjigovodstvene vrijednosti te izloženosti. </w:t>
            </w:r>
          </w:p>
        </w:tc>
      </w:tr>
    </w:tbl>
    <w:p w14:paraId="5FDBFCB3" w14:textId="77777777" w:rsidR="001C2E4C" w:rsidRPr="007F4CC8" w:rsidRDefault="001C2E4C" w:rsidP="001C2E4C">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C2E4C" w:rsidRPr="007F4CC8" w14:paraId="1DEED342"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157A5857"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Referentni redak</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19BB802" w14:textId="5DF95F34" w:rsidR="001C2E4C" w:rsidRPr="007F4CC8" w:rsidRDefault="001C2E4C" w:rsidP="00155C96">
            <w:pPr>
              <w:spacing w:after="120"/>
              <w:rPr>
                <w:rFonts w:ascii="Times New Roman" w:hAnsi="Times New Roman" w:cs="Times New Roman"/>
                <w:b/>
                <w:sz w:val="24"/>
              </w:rPr>
            </w:pPr>
            <w:r>
              <w:rPr>
                <w:rFonts w:ascii="Times New Roman" w:hAnsi="Times New Roman"/>
                <w:b/>
                <w:sz w:val="24"/>
              </w:rPr>
              <w:t>Pravna osnova i upute</w:t>
            </w:r>
          </w:p>
        </w:tc>
      </w:tr>
      <w:tr w:rsidR="001C2E4C" w:rsidRPr="007F4CC8" w14:paraId="4DEF674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6E2B5D18"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09F64EC"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Objašnjenje</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C2E4C" w:rsidRPr="007F4CC8" w14:paraId="1DD917FD"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45B16A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5817735"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Krediti i predujmovi</w:t>
            </w:r>
          </w:p>
          <w:p w14:paraId="32C72B69" w14:textId="47C2B73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„Krediti i predujmovi” su dužnički instrumenti koje drži institucija i koji nisu vrijednosni papiri; ova stavka uključuje „kredite” u skladu s Uredbom (EU) 1071/2013 („Uredba ESB-a o BSI-ju”)</w:t>
            </w:r>
            <w:r>
              <w:rPr>
                <w:rStyle w:val="FootnoteReference"/>
                <w:rFonts w:ascii="Times New Roman" w:hAnsi="Times New Roman" w:cs="Times New Roman"/>
                <w:sz w:val="24"/>
                <w:szCs w:val="24"/>
              </w:rPr>
              <w:footnoteReference w:id="34"/>
            </w:r>
            <w:r>
              <w:rPr>
                <w:rFonts w:ascii="Times New Roman" w:hAnsi="Times New Roman"/>
                <w:sz w:val="24"/>
              </w:rPr>
              <w:t xml:space="preserve"> kao i predujmove koji se ne mogu klasificirati kao „krediti” u skladu s Uredbom ESB-a o BSI-ju, kako su definirani u točki 32. dijela 1. Priloga V. Provedbenoj uredbi Komisije (EU) 680/2014</w:t>
            </w:r>
            <w:r>
              <w:rPr>
                <w:rStyle w:val="FootnoteReference"/>
                <w:rFonts w:ascii="Times New Roman" w:hAnsi="Times New Roman" w:cs="Times New Roman"/>
                <w:sz w:val="24"/>
                <w:szCs w:val="24"/>
              </w:rPr>
              <w:footnoteReference w:id="35"/>
            </w:r>
            <w:r>
              <w:rPr>
                <w:rFonts w:ascii="Times New Roman" w:hAnsi="Times New Roman"/>
                <w:sz w:val="24"/>
              </w:rPr>
              <w:t>.</w:t>
            </w:r>
          </w:p>
        </w:tc>
      </w:tr>
      <w:tr w:rsidR="001C2E4C" w:rsidRPr="007F4CC8" w14:paraId="1B5460A2" w14:textId="77777777" w:rsidTr="00155C96">
        <w:trPr>
          <w:trHeight w:val="843"/>
        </w:trPr>
        <w:tc>
          <w:tcPr>
            <w:tcW w:w="1363" w:type="dxa"/>
            <w:tcBorders>
              <w:top w:val="single" w:sz="4" w:space="0" w:color="auto"/>
              <w:left w:val="single" w:sz="4" w:space="0" w:color="auto"/>
              <w:right w:val="single" w:sz="4" w:space="0" w:color="auto"/>
            </w:tcBorders>
          </w:tcPr>
          <w:p w14:paraId="2C7A0B45"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2</w:t>
            </w:r>
          </w:p>
        </w:tc>
        <w:tc>
          <w:tcPr>
            <w:tcW w:w="8266" w:type="dxa"/>
            <w:tcBorders>
              <w:top w:val="single" w:sz="4" w:space="0" w:color="auto"/>
              <w:left w:val="single" w:sz="4" w:space="0" w:color="auto"/>
              <w:right w:val="single" w:sz="4" w:space="0" w:color="auto"/>
            </w:tcBorders>
          </w:tcPr>
          <w:p w14:paraId="610F1F0B"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Dužnički vrijednosni papiri</w:t>
            </w:r>
          </w:p>
          <w:p w14:paraId="1C26E60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Dužnički vrijednosni papiri dužnički su instrumenti koje institucija drži koji su izdani kao vrijednosni papiri koji nisu krediti u skladu s Uredbom ECB-a o BSI-ju, kako je definirano u točki 31. dijela 1. Priloga V. Provedbenoj uredbi Komisije (EU) 680/2014.</w:t>
            </w:r>
          </w:p>
        </w:tc>
      </w:tr>
      <w:tr w:rsidR="001C2E4C" w:rsidRPr="007F4CC8" w14:paraId="13865327" w14:textId="77777777" w:rsidTr="00155C96">
        <w:trPr>
          <w:trHeight w:val="843"/>
        </w:trPr>
        <w:tc>
          <w:tcPr>
            <w:tcW w:w="1363" w:type="dxa"/>
            <w:tcBorders>
              <w:top w:val="single" w:sz="4" w:space="0" w:color="auto"/>
              <w:left w:val="single" w:sz="4" w:space="0" w:color="auto"/>
              <w:right w:val="single" w:sz="4" w:space="0" w:color="auto"/>
            </w:tcBorders>
          </w:tcPr>
          <w:p w14:paraId="0F0BED83"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3</w:t>
            </w:r>
          </w:p>
        </w:tc>
        <w:tc>
          <w:tcPr>
            <w:tcW w:w="8266" w:type="dxa"/>
            <w:tcBorders>
              <w:top w:val="single" w:sz="4" w:space="0" w:color="auto"/>
              <w:left w:val="single" w:sz="4" w:space="0" w:color="auto"/>
              <w:right w:val="single" w:sz="4" w:space="0" w:color="auto"/>
            </w:tcBorders>
          </w:tcPr>
          <w:p w14:paraId="57A37914"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Ukupno</w:t>
            </w:r>
          </w:p>
          <w:p w14:paraId="3568E0D6"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Zbroj iznosa iz redaka 1 i 2 ovog obrasca</w:t>
            </w:r>
          </w:p>
        </w:tc>
      </w:tr>
      <w:tr w:rsidR="001C2E4C" w:rsidRPr="007F4CC8" w14:paraId="6BF5EE9C" w14:textId="77777777" w:rsidTr="00155C96">
        <w:trPr>
          <w:trHeight w:val="843"/>
        </w:trPr>
        <w:tc>
          <w:tcPr>
            <w:tcW w:w="1363" w:type="dxa"/>
            <w:tcBorders>
              <w:top w:val="single" w:sz="4" w:space="0" w:color="auto"/>
              <w:left w:val="single" w:sz="4" w:space="0" w:color="auto"/>
              <w:right w:val="single" w:sz="4" w:space="0" w:color="auto"/>
            </w:tcBorders>
          </w:tcPr>
          <w:p w14:paraId="2330B7B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4</w:t>
            </w:r>
          </w:p>
        </w:tc>
        <w:tc>
          <w:tcPr>
            <w:tcW w:w="8266" w:type="dxa"/>
            <w:tcBorders>
              <w:top w:val="single" w:sz="4" w:space="0" w:color="auto"/>
              <w:left w:val="single" w:sz="4" w:space="0" w:color="auto"/>
              <w:right w:val="single" w:sz="4" w:space="0" w:color="auto"/>
            </w:tcBorders>
          </w:tcPr>
          <w:p w14:paraId="1F05ACD2"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od čega neprihodonosne izloženosti</w:t>
            </w:r>
          </w:p>
          <w:p w14:paraId="37C3C1F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Neprihodonosne izloženosti u skladu s člankom 47.a CRR-a</w:t>
            </w:r>
          </w:p>
        </w:tc>
      </w:tr>
      <w:tr w:rsidR="001C2E4C" w:rsidRPr="007F4CC8" w14:paraId="6200189A" w14:textId="77777777" w:rsidTr="00155C96">
        <w:trPr>
          <w:trHeight w:val="843"/>
        </w:trPr>
        <w:tc>
          <w:tcPr>
            <w:tcW w:w="1363" w:type="dxa"/>
            <w:tcBorders>
              <w:top w:val="single" w:sz="4" w:space="0" w:color="auto"/>
              <w:left w:val="single" w:sz="4" w:space="0" w:color="auto"/>
              <w:right w:val="single" w:sz="4" w:space="0" w:color="auto"/>
            </w:tcBorders>
          </w:tcPr>
          <w:p w14:paraId="54CFBF7F"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EU-5</w:t>
            </w:r>
          </w:p>
        </w:tc>
        <w:tc>
          <w:tcPr>
            <w:tcW w:w="8266" w:type="dxa"/>
            <w:tcBorders>
              <w:top w:val="single" w:sz="4" w:space="0" w:color="auto"/>
              <w:left w:val="single" w:sz="4" w:space="0" w:color="auto"/>
              <w:right w:val="single" w:sz="4" w:space="0" w:color="auto"/>
            </w:tcBorders>
          </w:tcPr>
          <w:p w14:paraId="40F24979"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od čega u statusu neispunjavanja obveza</w:t>
            </w:r>
          </w:p>
          <w:p w14:paraId="29F974B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Izloženosti u statusu neispunjavanja obveza u skladu s člankom 178. CRR-a.</w:t>
            </w:r>
          </w:p>
        </w:tc>
      </w:tr>
    </w:tbl>
    <w:p w14:paraId="38BCB0A6" w14:textId="77777777" w:rsidR="001C2E4C" w:rsidRPr="007F4CC8" w:rsidRDefault="001C2E4C" w:rsidP="001C2E4C">
      <w:pPr>
        <w:spacing w:after="120"/>
        <w:rPr>
          <w:rFonts w:ascii="Times New Roman" w:hAnsi="Times New Roman" w:cs="Times New Roman"/>
          <w:sz w:val="24"/>
          <w:highlight w:val="yellow"/>
        </w:rPr>
      </w:pPr>
    </w:p>
    <w:p w14:paraId="39D1AEF1" w14:textId="77777777" w:rsidR="001C2E4C" w:rsidRPr="007F4CC8" w:rsidRDefault="001C2E4C" w:rsidP="001C2E4C">
      <w:pPr>
        <w:spacing w:after="120"/>
        <w:rPr>
          <w:rFonts w:ascii="Times New Roman" w:hAnsi="Times New Roman" w:cs="Times New Roman"/>
          <w:sz w:val="24"/>
          <w:highlight w:val="yellow"/>
        </w:rPr>
      </w:pPr>
    </w:p>
    <w:p w14:paraId="075BB84F" w14:textId="77777777" w:rsidR="0081579E" w:rsidRPr="007F4CC8" w:rsidRDefault="001C2E4C">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77DF1A2" w14:textId="77777777" w:rsidR="00563C4F" w:rsidRPr="007F4CC8" w:rsidRDefault="00563C4F" w:rsidP="00563C4F">
      <w:pPr>
        <w:pStyle w:val="Annexetitre"/>
        <w:spacing w:before="0"/>
      </w:pPr>
      <w:r>
        <w:lastRenderedPageBreak/>
        <w:t xml:space="preserve">PRILOG XX. – Upute o objavi primjene standardiziranog pristupa kreditnom riziku (ne uključujući kreditni rizik druge ugovorne strane i </w:t>
      </w:r>
      <w:proofErr w:type="spellStart"/>
      <w:r>
        <w:t>sekuritizacijske</w:t>
      </w:r>
      <w:proofErr w:type="spellEnd"/>
      <w:r>
        <w:t xml:space="preserve"> pozicije)</w:t>
      </w:r>
    </w:p>
    <w:p w14:paraId="15ABB962" w14:textId="77777777" w:rsidR="00563C4F" w:rsidRPr="007F4CC8" w:rsidRDefault="00563C4F" w:rsidP="00563C4F">
      <w:pPr>
        <w:spacing w:after="120"/>
        <w:rPr>
          <w:rFonts w:ascii="Times New Roman" w:hAnsi="Times New Roman" w:cs="Times New Roman"/>
          <w:sz w:val="24"/>
        </w:rPr>
      </w:pPr>
    </w:p>
    <w:p w14:paraId="77F39CCB" w14:textId="196853A0"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Instrumenti na koje se primjenjuje dio treći glava II poglavlje 6. CRR-a (izloženosti prema kreditnom riziku druge ugovornoj strani), kao i instrumenti na koje se primjenjuju zahtjevi iz dijela trećeg glave II poglavlja 5. CRR-a (</w:t>
      </w:r>
      <w:proofErr w:type="spellStart"/>
      <w:r>
        <w:rPr>
          <w:rFonts w:ascii="Times New Roman" w:hAnsi="Times New Roman"/>
          <w:sz w:val="24"/>
        </w:rPr>
        <w:t>sekuritizacijske</w:t>
      </w:r>
      <w:proofErr w:type="spellEnd"/>
      <w:r>
        <w:rPr>
          <w:rFonts w:ascii="Times New Roman" w:hAnsi="Times New Roman"/>
          <w:sz w:val="24"/>
        </w:rPr>
        <w:t xml:space="preserve"> izloženosti) nisu obuhvaćeni obrascima za koje su navedene upute u ovom Prilogu.</w:t>
      </w:r>
    </w:p>
    <w:p w14:paraId="57D320CA" w14:textId="46AF2B49" w:rsidR="00563C4F" w:rsidRPr="007F4CC8" w:rsidRDefault="00D95507" w:rsidP="00563C4F">
      <w:pPr>
        <w:spacing w:after="120"/>
        <w:rPr>
          <w:rFonts w:ascii="Times New Roman" w:hAnsi="Times New Roman" w:cs="Times New Roman"/>
          <w:b/>
          <w:sz w:val="24"/>
        </w:rPr>
      </w:pPr>
      <w:r>
        <w:rPr>
          <w:rFonts w:ascii="Times New Roman" w:hAnsi="Times New Roman"/>
          <w:b/>
          <w:sz w:val="24"/>
        </w:rPr>
        <w:t xml:space="preserve">Tablica EU CRD – Zahtjevi za objavu kvalitativnih informacija o standardiziranom pristupu. </w:t>
      </w:r>
      <w:r>
        <w:rPr>
          <w:rFonts w:ascii="Times New Roman" w:hAnsi="Times New Roman"/>
          <w:sz w:val="24"/>
        </w:rPr>
        <w:t>Fleksibilan format</w:t>
      </w:r>
    </w:p>
    <w:p w14:paraId="599DC7C3" w14:textId="06FE57D8"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 xml:space="preserve">Institucije objavljuju informacije iz članka 444. točaka od (a) do (d) Uredbe (EU) 575/2013 </w:t>
      </w:r>
      <w:r>
        <w:rPr>
          <w:rStyle w:val="FootnoteReference"/>
        </w:rPr>
        <w:footnoteReference w:id="36"/>
      </w:r>
      <w:r>
        <w:rPr>
          <w:rFonts w:ascii="Times New Roman" w:hAnsi="Times New Roman"/>
          <w:sz w:val="24"/>
        </w:rPr>
        <w:t>(„CRR”) prateći upute u nastavku ovog Priloga za popunjavanje tablice EU CRD iz Priloga XIX. ovoj Provedbenoj uredbi.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114D434D"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50570A3"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Referentni</w:t>
            </w:r>
          </w:p>
          <w:p w14:paraId="0CBEED2B"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redak</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9D36D5" w14:textId="04FD2446" w:rsidR="00563C4F" w:rsidRPr="007F4CC8" w:rsidRDefault="00563C4F" w:rsidP="00155C96">
            <w:pPr>
              <w:spacing w:after="120"/>
              <w:rPr>
                <w:rFonts w:ascii="Times New Roman" w:hAnsi="Times New Roman" w:cs="Times New Roman"/>
                <w:b/>
                <w:sz w:val="24"/>
              </w:rPr>
            </w:pPr>
            <w:r>
              <w:rPr>
                <w:rFonts w:ascii="Times New Roman" w:hAnsi="Times New Roman"/>
                <w:b/>
                <w:sz w:val="24"/>
              </w:rPr>
              <w:t>Pravna osnova i upute</w:t>
            </w:r>
          </w:p>
        </w:tc>
      </w:tr>
      <w:tr w:rsidR="00563C4F" w:rsidRPr="007F4CC8" w14:paraId="0C5E7552"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C1BA41B"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B73966C"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Objašnjenje</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4"/>
        <w:gridCol w:w="896"/>
        <w:gridCol w:w="6772"/>
      </w:tblGrid>
      <w:tr w:rsidR="00563C4F" w:rsidRPr="007F4CC8" w14:paraId="52D1D7C2" w14:textId="77777777" w:rsidTr="00155C96">
        <w:trPr>
          <w:cnfStyle w:val="100000000000" w:firstRow="1" w:lastRow="0" w:firstColumn="0" w:lastColumn="0" w:oddVBand="0" w:evenVBand="0" w:oddHBand="0" w:evenHBand="0" w:firstRowFirstColumn="0" w:firstRowLastColumn="0" w:lastRowFirstColumn="0" w:lastRowLastColumn="0"/>
          <w:trHeight w:val="1002"/>
        </w:trPr>
        <w:tc>
          <w:tcPr>
            <w:tcW w:w="140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1EC7743A" w14:textId="77777777" w:rsidR="00563C4F" w:rsidRPr="007F4CC8" w:rsidRDefault="00563C4F" w:rsidP="00155C96">
            <w:pPr>
              <w:spacing w:after="120"/>
              <w:jc w:val="center"/>
              <w:rPr>
                <w:rFonts w:ascii="Times New Roman" w:hAnsi="Times New Roman" w:cs="Times New Roman"/>
                <w:sz w:val="24"/>
              </w:rPr>
            </w:pPr>
            <w: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4C299B4"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iCs/>
                <w:sz w:val="24"/>
              </w:rPr>
              <w:t>Članak 444. točka (a)</w:t>
            </w:r>
            <w:r>
              <w:rPr>
                <w:rFonts w:ascii="Times New Roman" w:hAnsi="Times New Roman"/>
                <w:sz w:val="24"/>
              </w:rPr>
              <w:t xml:space="preserve"> CRR-a</w:t>
            </w:r>
          </w:p>
        </w:tc>
        <w:tc>
          <w:tcPr>
            <w:tcW w:w="67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88F76EB"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Institucije objavljuju nazive odabranih vanjskih institucija za procjenu kreditnog rizika (VIPKR) i agencija za kreditiranje izvoza (AKI) te razloge za bilo kakve promjene tih odabranih institucija tijekom razdoblja objave. </w:t>
            </w:r>
          </w:p>
        </w:tc>
      </w:tr>
      <w:tr w:rsidR="00563C4F" w:rsidRPr="007F4CC8" w14:paraId="2C10014A" w14:textId="77777777" w:rsidTr="00155C96">
        <w:trPr>
          <w:trHeight w:val="1492"/>
        </w:trPr>
        <w:tc>
          <w:tcPr>
            <w:tcW w:w="1406" w:type="dxa"/>
            <w:vAlign w:val="top"/>
          </w:tcPr>
          <w:p w14:paraId="574F04C4" w14:textId="77777777" w:rsidR="00563C4F" w:rsidRPr="007F4CC8" w:rsidRDefault="00563C4F" w:rsidP="00155C96">
            <w:pPr>
              <w:spacing w:after="120"/>
              <w:jc w:val="center"/>
              <w:rPr>
                <w:rFonts w:ascii="Times New Roman" w:hAnsi="Times New Roman" w:cs="Times New Roman"/>
                <w:sz w:val="24"/>
              </w:rPr>
            </w:pPr>
            <w:r>
              <w:t>(b)</w:t>
            </w:r>
          </w:p>
        </w:tc>
        <w:tc>
          <w:tcPr>
            <w:tcW w:w="883" w:type="dxa"/>
          </w:tcPr>
          <w:p w14:paraId="0D76C480" w14:textId="3D36EAB8" w:rsidR="00563C4F" w:rsidRPr="007F4CC8" w:rsidRDefault="00563C4F" w:rsidP="00155C96">
            <w:pPr>
              <w:spacing w:after="120"/>
              <w:jc w:val="both"/>
              <w:rPr>
                <w:rFonts w:ascii="Times New Roman" w:hAnsi="Times New Roman" w:cs="Times New Roman"/>
                <w:sz w:val="24"/>
              </w:rPr>
            </w:pPr>
            <w:r>
              <w:rPr>
                <w:rFonts w:ascii="Times New Roman" w:hAnsi="Times New Roman"/>
                <w:iCs/>
                <w:sz w:val="24"/>
              </w:rPr>
              <w:t xml:space="preserve">Članak 444. točka (b) </w:t>
            </w:r>
            <w:r>
              <w:rPr>
                <w:rFonts w:ascii="Times New Roman" w:hAnsi="Times New Roman"/>
                <w:sz w:val="24"/>
              </w:rPr>
              <w:t>CRR-a</w:t>
            </w:r>
          </w:p>
        </w:tc>
        <w:tc>
          <w:tcPr>
            <w:tcW w:w="6783" w:type="dxa"/>
          </w:tcPr>
          <w:p w14:paraId="205D0831"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Institucije iskazuju kategorije izloženosti, utvrđene u članku 112. CRR-a, za koje institucije izračunavaju iznose izloženosti ponderirane rizikom primjenom kreditne procjene odabranog VIPKR-a ili AKI-ja u skladu s dijelom trećim glavom II poglavljem 2. CRR-a. </w:t>
            </w:r>
          </w:p>
        </w:tc>
      </w:tr>
      <w:tr w:rsidR="00563C4F" w:rsidRPr="007F4CC8" w:rsidDel="00915DC9" w14:paraId="1018CEAB" w14:textId="77777777" w:rsidTr="00155C96">
        <w:trPr>
          <w:trHeight w:val="973"/>
        </w:trPr>
        <w:tc>
          <w:tcPr>
            <w:tcW w:w="1406" w:type="dxa"/>
            <w:vAlign w:val="top"/>
          </w:tcPr>
          <w:p w14:paraId="7D0E4447" w14:textId="77777777" w:rsidR="00563C4F" w:rsidRPr="007F4CC8" w:rsidRDefault="00563C4F" w:rsidP="00155C96">
            <w:pPr>
              <w:spacing w:after="120"/>
              <w:jc w:val="center"/>
              <w:rPr>
                <w:rFonts w:ascii="Times New Roman" w:hAnsi="Times New Roman" w:cs="Times New Roman"/>
                <w:sz w:val="24"/>
              </w:rPr>
            </w:pPr>
            <w:r>
              <w:t>(c)</w:t>
            </w:r>
          </w:p>
        </w:tc>
        <w:tc>
          <w:tcPr>
            <w:tcW w:w="883" w:type="dxa"/>
          </w:tcPr>
          <w:p w14:paraId="275E542D" w14:textId="2100047A" w:rsidR="00563C4F" w:rsidRPr="007F4CC8" w:rsidRDefault="00563C4F" w:rsidP="00155C96">
            <w:pPr>
              <w:spacing w:after="120"/>
              <w:jc w:val="both"/>
              <w:rPr>
                <w:rFonts w:ascii="Times New Roman" w:hAnsi="Times New Roman" w:cs="Times New Roman"/>
                <w:sz w:val="24"/>
              </w:rPr>
            </w:pPr>
            <w:r>
              <w:rPr>
                <w:rFonts w:ascii="Times New Roman" w:hAnsi="Times New Roman"/>
                <w:iCs/>
                <w:sz w:val="24"/>
              </w:rPr>
              <w:t xml:space="preserve">Članak 444. točka (c) </w:t>
            </w:r>
            <w:r>
              <w:rPr>
                <w:rFonts w:ascii="Times New Roman" w:hAnsi="Times New Roman"/>
                <w:sz w:val="24"/>
              </w:rPr>
              <w:t>CRR-a</w:t>
            </w:r>
          </w:p>
        </w:tc>
        <w:tc>
          <w:tcPr>
            <w:tcW w:w="6783" w:type="dxa"/>
          </w:tcPr>
          <w:p w14:paraId="68D009E7" w14:textId="77777777" w:rsidR="00563C4F" w:rsidRPr="007F4CC8" w:rsidDel="00915DC9" w:rsidRDefault="00563C4F" w:rsidP="00155C96">
            <w:pPr>
              <w:spacing w:after="120"/>
              <w:jc w:val="both"/>
              <w:rPr>
                <w:rFonts w:ascii="Times New Roman" w:hAnsi="Times New Roman" w:cs="Times New Roman"/>
                <w:sz w:val="24"/>
              </w:rPr>
            </w:pPr>
            <w:r>
              <w:rPr>
                <w:rFonts w:ascii="Times New Roman" w:hAnsi="Times New Roman"/>
                <w:sz w:val="24"/>
              </w:rPr>
              <w:t>Ako se za određivanje pondera rizika koji će se dodijeliti izloženosti koja nije uključena u knjigu za trgovanje koristi kreditna procjena izdavatelja i izdanja u skladu s dijelom trećim glavom II poglavljem 2. člankom 139. CRR-a, institucije opisuju postupak koji se primjenjuje.</w:t>
            </w:r>
          </w:p>
        </w:tc>
      </w:tr>
      <w:tr w:rsidR="00563C4F" w:rsidRPr="007F4CC8" w14:paraId="11E18846" w14:textId="77777777" w:rsidTr="00155C96">
        <w:trPr>
          <w:trHeight w:val="1265"/>
        </w:trPr>
        <w:tc>
          <w:tcPr>
            <w:tcW w:w="1406" w:type="dxa"/>
            <w:vAlign w:val="top"/>
          </w:tcPr>
          <w:p w14:paraId="22BD313E" w14:textId="77777777" w:rsidR="00563C4F" w:rsidRPr="007F4CC8" w:rsidRDefault="00563C4F" w:rsidP="00155C96">
            <w:pPr>
              <w:spacing w:after="120"/>
              <w:jc w:val="center"/>
              <w:rPr>
                <w:rFonts w:ascii="Times New Roman" w:hAnsi="Times New Roman" w:cs="Times New Roman"/>
                <w:sz w:val="24"/>
              </w:rPr>
            </w:pPr>
            <w:r>
              <w:t>(d)</w:t>
            </w:r>
          </w:p>
        </w:tc>
        <w:tc>
          <w:tcPr>
            <w:tcW w:w="883" w:type="dxa"/>
          </w:tcPr>
          <w:p w14:paraId="4F16D710" w14:textId="6583FF88" w:rsidR="00563C4F" w:rsidRPr="007F4CC8" w:rsidRDefault="00563C4F" w:rsidP="00155C96">
            <w:pPr>
              <w:spacing w:after="120"/>
              <w:jc w:val="both"/>
              <w:rPr>
                <w:rFonts w:ascii="Times New Roman" w:hAnsi="Times New Roman" w:cs="Times New Roman"/>
                <w:sz w:val="24"/>
              </w:rPr>
            </w:pPr>
            <w:r>
              <w:rPr>
                <w:rFonts w:ascii="Times New Roman" w:hAnsi="Times New Roman"/>
                <w:iCs/>
                <w:sz w:val="24"/>
              </w:rPr>
              <w:t>Članak 444. točka (d) CRR-a</w:t>
            </w:r>
          </w:p>
        </w:tc>
        <w:tc>
          <w:tcPr>
            <w:tcW w:w="6783" w:type="dxa"/>
          </w:tcPr>
          <w:p w14:paraId="3A455BDA" w14:textId="7A115CA8" w:rsidR="00563C4F" w:rsidRPr="001D671B" w:rsidRDefault="00563C4F" w:rsidP="00155C96">
            <w:pPr>
              <w:spacing w:after="120"/>
              <w:jc w:val="both"/>
              <w:rPr>
                <w:rFonts w:ascii="Times New Roman" w:hAnsi="Times New Roman" w:cs="Times New Roman"/>
                <w:sz w:val="24"/>
                <w:lang w:val="fr-BE"/>
              </w:rPr>
            </w:pPr>
            <w:r>
              <w:rPr>
                <w:rFonts w:ascii="Times New Roman" w:hAnsi="Times New Roman"/>
                <w:sz w:val="24"/>
              </w:rPr>
              <w:t xml:space="preserve">Institucije za svaku kategoriju izloženosti iz članka 112. CRR-a navode alfanumerički niz svakog odabranog VIPKR-a/AKI-ja (iz retka (a) ovog obrasca) s ponderima rizika koji odgovaraju stupnjevima kreditne kvalitete kako je utvrđeno u dijelu trećem glavi II poglavlju 2. </w:t>
            </w:r>
            <w:proofErr w:type="spellStart"/>
            <w:r w:rsidRPr="001D671B">
              <w:rPr>
                <w:rFonts w:ascii="Times New Roman" w:hAnsi="Times New Roman"/>
                <w:sz w:val="24"/>
                <w:lang w:val="fr-BE"/>
              </w:rPr>
              <w:t>CRR-a</w:t>
            </w:r>
            <w:proofErr w:type="spellEnd"/>
            <w:r w:rsidRPr="001D671B">
              <w:rPr>
                <w:rFonts w:ascii="Times New Roman" w:hAnsi="Times New Roman"/>
                <w:sz w:val="24"/>
                <w:lang w:val="fr-BE"/>
              </w:rPr>
              <w:t xml:space="preserve">, </w:t>
            </w:r>
            <w:proofErr w:type="spellStart"/>
            <w:r w:rsidRPr="001D671B">
              <w:rPr>
                <w:rFonts w:ascii="Times New Roman" w:hAnsi="Times New Roman"/>
                <w:sz w:val="24"/>
                <w:lang w:val="fr-BE"/>
              </w:rPr>
              <w:t>osim</w:t>
            </w:r>
            <w:proofErr w:type="spellEnd"/>
            <w:r w:rsidRPr="001D671B">
              <w:rPr>
                <w:rFonts w:ascii="Times New Roman" w:hAnsi="Times New Roman"/>
                <w:sz w:val="24"/>
                <w:lang w:val="fr-BE"/>
              </w:rPr>
              <w:t xml:space="preserve"> ako </w:t>
            </w:r>
            <w:proofErr w:type="spellStart"/>
            <w:r w:rsidRPr="001D671B">
              <w:rPr>
                <w:rFonts w:ascii="Times New Roman" w:hAnsi="Times New Roman"/>
                <w:sz w:val="24"/>
                <w:lang w:val="fr-BE"/>
              </w:rPr>
              <w:t>institucija</w:t>
            </w:r>
            <w:proofErr w:type="spellEnd"/>
            <w:r w:rsidRPr="001D671B">
              <w:rPr>
                <w:rFonts w:ascii="Times New Roman" w:hAnsi="Times New Roman"/>
                <w:sz w:val="24"/>
                <w:lang w:val="fr-BE"/>
              </w:rPr>
              <w:t xml:space="preserve"> </w:t>
            </w:r>
            <w:proofErr w:type="spellStart"/>
            <w:r w:rsidRPr="001D671B">
              <w:rPr>
                <w:rFonts w:ascii="Times New Roman" w:hAnsi="Times New Roman"/>
                <w:sz w:val="24"/>
                <w:lang w:val="fr-BE"/>
              </w:rPr>
              <w:t>poštuje</w:t>
            </w:r>
            <w:proofErr w:type="spellEnd"/>
            <w:r w:rsidRPr="001D671B">
              <w:rPr>
                <w:rFonts w:ascii="Times New Roman" w:hAnsi="Times New Roman"/>
                <w:sz w:val="24"/>
                <w:lang w:val="fr-BE"/>
              </w:rPr>
              <w:t xml:space="preserve"> standard </w:t>
            </w:r>
            <w:proofErr w:type="spellStart"/>
            <w:r w:rsidRPr="001D671B">
              <w:rPr>
                <w:rFonts w:ascii="Times New Roman" w:hAnsi="Times New Roman"/>
                <w:sz w:val="24"/>
                <w:lang w:val="fr-BE"/>
              </w:rPr>
              <w:t>povezivanja</w:t>
            </w:r>
            <w:proofErr w:type="spellEnd"/>
            <w:r w:rsidRPr="001D671B">
              <w:rPr>
                <w:rFonts w:ascii="Times New Roman" w:hAnsi="Times New Roman"/>
                <w:sz w:val="24"/>
                <w:lang w:val="fr-BE"/>
              </w:rPr>
              <w:t xml:space="preserve"> </w:t>
            </w:r>
            <w:proofErr w:type="spellStart"/>
            <w:r w:rsidRPr="001D671B">
              <w:rPr>
                <w:rFonts w:ascii="Times New Roman" w:hAnsi="Times New Roman"/>
                <w:sz w:val="24"/>
                <w:lang w:val="fr-BE"/>
              </w:rPr>
              <w:t>koji</w:t>
            </w:r>
            <w:proofErr w:type="spellEnd"/>
            <w:r w:rsidRPr="001D671B">
              <w:rPr>
                <w:rFonts w:ascii="Times New Roman" w:hAnsi="Times New Roman"/>
                <w:sz w:val="24"/>
                <w:lang w:val="fr-BE"/>
              </w:rPr>
              <w:t xml:space="preserve"> je </w:t>
            </w:r>
            <w:proofErr w:type="spellStart"/>
            <w:r w:rsidRPr="001D671B">
              <w:rPr>
                <w:rFonts w:ascii="Times New Roman" w:hAnsi="Times New Roman"/>
                <w:sz w:val="24"/>
                <w:lang w:val="fr-BE"/>
              </w:rPr>
              <w:t>objavila</w:t>
            </w:r>
            <w:proofErr w:type="spellEnd"/>
            <w:r w:rsidRPr="001D671B">
              <w:rPr>
                <w:rFonts w:ascii="Times New Roman" w:hAnsi="Times New Roman"/>
                <w:sz w:val="24"/>
                <w:lang w:val="fr-BE"/>
              </w:rPr>
              <w:t xml:space="preserve"> EBA. </w:t>
            </w:r>
          </w:p>
        </w:tc>
      </w:tr>
    </w:tbl>
    <w:p w14:paraId="1435A340" w14:textId="77777777" w:rsidR="00563C4F" w:rsidRPr="007F4CC8" w:rsidRDefault="00563C4F" w:rsidP="00563C4F">
      <w:pPr>
        <w:spacing w:after="120"/>
        <w:rPr>
          <w:rFonts w:ascii="Times New Roman" w:hAnsi="Times New Roman" w:cs="Times New Roman"/>
          <w:sz w:val="24"/>
        </w:rPr>
      </w:pPr>
    </w:p>
    <w:p w14:paraId="68C47C1B" w14:textId="77777777" w:rsidR="00563C4F" w:rsidRPr="007F4CC8" w:rsidRDefault="00563C4F" w:rsidP="00563C4F">
      <w:pPr>
        <w:spacing w:after="120"/>
        <w:rPr>
          <w:rFonts w:ascii="Times New Roman" w:hAnsi="Times New Roman" w:cs="Times New Roman"/>
          <w:sz w:val="24"/>
        </w:rPr>
      </w:pPr>
    </w:p>
    <w:p w14:paraId="54D9F7F1" w14:textId="2B210064" w:rsidR="00563C4F" w:rsidRPr="007F4CC8" w:rsidRDefault="00CD362D" w:rsidP="00563C4F">
      <w:pPr>
        <w:spacing w:after="120"/>
        <w:rPr>
          <w:rFonts w:ascii="Times New Roman" w:hAnsi="Times New Roman" w:cs="Times New Roman"/>
          <w:sz w:val="24"/>
        </w:rPr>
      </w:pPr>
      <w:r>
        <w:rPr>
          <w:rFonts w:ascii="Times New Roman" w:hAnsi="Times New Roman"/>
          <w:b/>
          <w:sz w:val="24"/>
        </w:rPr>
        <w:t>Obrazac EU CR4 – Izloženosti kreditnom riziku i učinci tehnika smanjenja kreditnog rizika.</w:t>
      </w:r>
      <w:r>
        <w:rPr>
          <w:rFonts w:ascii="Times New Roman" w:hAnsi="Times New Roman"/>
          <w:sz w:val="24"/>
        </w:rPr>
        <w:t xml:space="preserve"> Fiksan format</w:t>
      </w:r>
    </w:p>
    <w:p w14:paraId="4909B41D" w14:textId="414577E6"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lastRenderedPageBreak/>
        <w:t>Institucije koje izračunavaju iznose izloženosti ponderirane rizikom za kreditni rizik u skladu s dijelom trećim glavom II poglavljem 2. CRR-a objavljuju informacije iz članka 453. točaka (g), (h) i (i) i članka 444. točke (e) prema uputama navedenima u nastavku ovog Priloga kako bi ispunile obrazac EU CR4 koji je naveden u Prilogu XIX. ovoj Provedbenoj uredbi.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5B030C3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44F9507"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Referentni stupac</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C14F4E0"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Pravna osnova i upute</w:t>
            </w:r>
          </w:p>
        </w:tc>
      </w:tr>
      <w:tr w:rsidR="00563C4F" w:rsidRPr="007F4CC8" w14:paraId="1B87F79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1EF887D4"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F7F8E6E"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Objašnjenje</w:t>
            </w:r>
          </w:p>
        </w:tc>
      </w:tr>
      <w:tr w:rsidR="00563C4F" w:rsidRPr="007F4CC8" w14:paraId="72EF60FE" w14:textId="77777777" w:rsidTr="00155C96">
        <w:trPr>
          <w:trHeight w:val="316"/>
        </w:trPr>
        <w:tc>
          <w:tcPr>
            <w:tcW w:w="1413" w:type="dxa"/>
            <w:vAlign w:val="center"/>
          </w:tcPr>
          <w:p w14:paraId="4A3134D7"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54" w:type="dxa"/>
          </w:tcPr>
          <w:p w14:paraId="5CC4FAAA" w14:textId="77777777"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Izloženost prije konverzijskog faktora i prije smanjenja kreditnog rizika – Bilančne izloženosti: </w:t>
            </w:r>
          </w:p>
          <w:p w14:paraId="0BD12E71" w14:textId="60351AFD"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Institucije objavljuju vrijednost bilančne izloženosti u skladu s opsegom bonitetne konsolidacije u skladu s člankom 111. </w:t>
            </w:r>
            <w:r>
              <w:rPr>
                <w:rFonts w:ascii="Times New Roman" w:hAnsi="Times New Roman"/>
                <w:sz w:val="24"/>
              </w:rPr>
              <w:t>CRR-a</w:t>
            </w:r>
            <w:r>
              <w:rPr>
                <w:rFonts w:ascii="Times New Roman" w:hAnsi="Times New Roman"/>
                <w:iCs/>
                <w:sz w:val="24"/>
              </w:rPr>
              <w:t xml:space="preserve">, nakon primjene specifičnih ispravaka vrijednosti za kreditni rizik u skladu s člankom 110. CRR-a, dodatnih vrijednosnih usklađenja u skladu s člancima 34. i 105. CRR-a, iznosa odbijenih u skladu s člankom 36. stavkom 1. točkom (m), ostalih smanjenja regulatornog kapitala i otpisa (kako je definirano u primjenjivom računovodstvenom okviru), ali prije i. primjene kreditnih konverzijskih faktora kako je određeno u istom članku i ii. primjene tehnika smanjenja kreditnog rizika određenih u dijelu trećem glavi II poglavlju 4. </w:t>
            </w:r>
            <w:r>
              <w:rPr>
                <w:rFonts w:ascii="Times New Roman" w:hAnsi="Times New Roman"/>
                <w:sz w:val="24"/>
              </w:rPr>
              <w:t>CRR-a</w:t>
            </w:r>
            <w:r>
              <w:rPr>
                <w:rFonts w:ascii="Times New Roman" w:hAnsi="Times New Roman"/>
                <w:iCs/>
                <w:sz w:val="24"/>
              </w:rPr>
              <w:t>. Na vrijednosti izloženosti za najam primjenjuje se članak 134. stavak 7. CRR-a.</w:t>
            </w:r>
            <w:r>
              <w:rPr>
                <w:rFonts w:ascii="Times New Roman" w:hAnsi="Times New Roman"/>
                <w:sz w:val="24"/>
                <w:highlight w:val="yellow"/>
              </w:rPr>
              <w:t xml:space="preserve"> </w:t>
            </w:r>
          </w:p>
        </w:tc>
      </w:tr>
      <w:tr w:rsidR="00563C4F" w:rsidRPr="007F4CC8" w14:paraId="19FF6081" w14:textId="77777777" w:rsidTr="00155C96">
        <w:trPr>
          <w:trHeight w:val="316"/>
        </w:trPr>
        <w:tc>
          <w:tcPr>
            <w:tcW w:w="1413" w:type="dxa"/>
            <w:vAlign w:val="center"/>
          </w:tcPr>
          <w:p w14:paraId="6468D619"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4" w:type="dxa"/>
          </w:tcPr>
          <w:p w14:paraId="24EA7797" w14:textId="19924A74"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Izloženosti prije konverzijskog faktora i prije smanjenja kreditnog rizika – Izvanbilančne izloženosti:</w:t>
            </w:r>
          </w:p>
          <w:p w14:paraId="51FAB505" w14:textId="7059364F"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 xml:space="preserve">Institucije objavljuju vrijednost izvanbilančne izloženosti u skladu s opsegom bonitetne konsolidacije, nakon umanjenja za specifične ispravke vrijednosti za kreditni rizik i iznosa odbijenih u skladu s člankom 36. stavkom 1. točkom (m), ali prije primjene kreditnih konverzijskih faktora u skladu s člankom 111. </w:t>
            </w:r>
            <w:r>
              <w:rPr>
                <w:rFonts w:ascii="Times New Roman" w:hAnsi="Times New Roman"/>
                <w:sz w:val="24"/>
              </w:rPr>
              <w:t>CRR-a</w:t>
            </w:r>
            <w:r>
              <w:rPr>
                <w:rFonts w:ascii="Times New Roman" w:hAnsi="Times New Roman"/>
                <w:iCs/>
                <w:sz w:val="24"/>
              </w:rPr>
              <w:t xml:space="preserve"> i prije primjene tehnika smanjenja kreditnog rizika (u skladu s dijelom trećim glavom II poglavljem 4. CRR-a).</w:t>
            </w:r>
          </w:p>
        </w:tc>
      </w:tr>
      <w:tr w:rsidR="00563C4F" w:rsidRPr="007F4CC8" w14:paraId="054B6883" w14:textId="77777777" w:rsidTr="00155C96">
        <w:trPr>
          <w:trHeight w:val="316"/>
        </w:trPr>
        <w:tc>
          <w:tcPr>
            <w:tcW w:w="1413" w:type="dxa"/>
            <w:vAlign w:val="center"/>
          </w:tcPr>
          <w:p w14:paraId="7525E69D"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54" w:type="dxa"/>
          </w:tcPr>
          <w:p w14:paraId="4A0D0640" w14:textId="2985677E"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Izloženosti nakon konverzijskog faktora i nakon smanjenja kreditnog rizika – Bilančne izloženosti: </w:t>
            </w:r>
          </w:p>
          <w:p w14:paraId="70B5B0C5" w14:textId="7DE00ABC"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Institucije objavljuju iznos bilančnih izloženosti u skladu s opsegom bonitetne konsolidacije (u skladu s člankom 111. </w:t>
            </w:r>
            <w:r>
              <w:rPr>
                <w:rFonts w:ascii="Times New Roman" w:hAnsi="Times New Roman"/>
                <w:sz w:val="24"/>
              </w:rPr>
              <w:t>CRR-a</w:t>
            </w:r>
            <w:r>
              <w:rPr>
                <w:rFonts w:ascii="Times New Roman" w:hAnsi="Times New Roman"/>
                <w:iCs/>
                <w:sz w:val="24"/>
              </w:rPr>
              <w:t>), nakon primjene specifičnih ispravaka vrijednosti za kreditni rizik u skladu s člankom 110. CRR-a, dodatnih vrijednosnih usklađenja u skladu s člancima 34. i 105. CRR-a, iznosa odbijenih u skladu s člankom 36. stavkom 1. točkom (m), ostalih smanjenja regulatornog kapitala</w:t>
            </w:r>
            <w:r>
              <w:rPr>
                <w:rFonts w:ascii="Times New Roman" w:hAnsi="Times New Roman"/>
                <w:sz w:val="24"/>
              </w:rPr>
              <w:t xml:space="preserve"> </w:t>
            </w:r>
            <w:r>
              <w:rPr>
                <w:rFonts w:ascii="Times New Roman" w:hAnsi="Times New Roman"/>
                <w:iCs/>
                <w:sz w:val="24"/>
              </w:rPr>
              <w:t>i otpisa kako je definirano u primjenjivom računovodstvenom okviru, nakon primjene svih instrumenata smanjenja kreditnog rizika i kreditnih konverzijskih faktora. To je iznos na koji se primjenjuju ponderi rizika (u skladu s člankom 113. CRR-a i dijelom trećim glavom II poglavljem 2. odjeljkom 1. CRR-a). To je neto iznos istovjetan kreditu, nakon primjene tehnika smanjenja kreditnog rizika i kreditnih konverzijskih faktora.</w:t>
            </w:r>
          </w:p>
        </w:tc>
      </w:tr>
      <w:tr w:rsidR="00563C4F" w:rsidRPr="007F4CC8" w14:paraId="53D56F9F" w14:textId="77777777" w:rsidTr="00155C96">
        <w:trPr>
          <w:trHeight w:val="316"/>
        </w:trPr>
        <w:tc>
          <w:tcPr>
            <w:tcW w:w="1413" w:type="dxa"/>
            <w:vAlign w:val="center"/>
          </w:tcPr>
          <w:p w14:paraId="38F50F48"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4" w:type="dxa"/>
          </w:tcPr>
          <w:p w14:paraId="2C57FEA5" w14:textId="1708D6D2"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Izloženosti nakon konverzijskog faktora i nakon smanjenja kreditnog rizika – Izvanbilančne izloženosti: </w:t>
            </w:r>
          </w:p>
          <w:p w14:paraId="46D0D057" w14:textId="7FA8516E"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lastRenderedPageBreak/>
              <w:t>Institucije objavljuju iznos vrijednosti izvanbilančnih izloženosti nakon uzimanja u obzir specifičnih ispravaka vrijednosti za kreditni rizik kako je definirano u Delegiranoj uredbi Komisije (EU) 183/2014</w:t>
            </w:r>
            <w:r>
              <w:rPr>
                <w:rStyle w:val="FootnoteReference"/>
                <w:rFonts w:eastAsia="Times New Roman" w:cs="Times New Roman"/>
                <w:iCs/>
              </w:rPr>
              <w:footnoteReference w:id="37"/>
            </w:r>
            <w:r>
              <w:rPr>
                <w:rFonts w:ascii="Times New Roman" w:hAnsi="Times New Roman"/>
                <w:iCs/>
                <w:sz w:val="24"/>
              </w:rPr>
              <w:t>, dodatnih vrijednosnih usklađenja i ostalih smanjenja regulatornog kapitala, nakon primjene svih instrumenata smanjenja kreditnog rizika i kreditnih konverzijskih faktora. To je iznos na koji se primjenjuju ponderi rizika (u skladu s člankom 113. CRR-a i dijelom trećim glavom II poglavljem 2. odjeljkom 1. CRR-a). To je neto iznos istovjetan kreditu, nakon primjene tehnika smanjenja kreditnog rizika i kreditnih konverzijskih faktora.</w:t>
            </w:r>
          </w:p>
        </w:tc>
      </w:tr>
      <w:tr w:rsidR="00563C4F" w:rsidRPr="007F4CC8" w14:paraId="783F84F2" w14:textId="77777777" w:rsidTr="00155C96">
        <w:trPr>
          <w:trHeight w:val="316"/>
        </w:trPr>
        <w:tc>
          <w:tcPr>
            <w:tcW w:w="1413" w:type="dxa"/>
            <w:vAlign w:val="center"/>
          </w:tcPr>
          <w:p w14:paraId="3E2814AF"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22AE42F6" w14:textId="77777777" w:rsidR="00563C4F" w:rsidRPr="00644661"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Iznosi izloženosti ponderiranih rizikom (RWEA)</w:t>
            </w:r>
          </w:p>
          <w:p w14:paraId="124B927D"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Iznosi izloženosti ponderiranih rizikom (RWEA) koji se izračunavaju u skladu s dijelom trećim glavom II. poglavljem 2. odjeljkom 1. CRR-a.</w:t>
            </w:r>
          </w:p>
        </w:tc>
      </w:tr>
      <w:tr w:rsidR="00563C4F" w:rsidRPr="007F4CC8" w14:paraId="25CBF74C" w14:textId="77777777" w:rsidTr="00155C96">
        <w:trPr>
          <w:trHeight w:val="316"/>
        </w:trPr>
        <w:tc>
          <w:tcPr>
            <w:tcW w:w="1413" w:type="dxa"/>
            <w:vAlign w:val="center"/>
          </w:tcPr>
          <w:p w14:paraId="37DC3951"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4" w:type="dxa"/>
          </w:tcPr>
          <w:p w14:paraId="168FA694" w14:textId="2CAE5917" w:rsidR="00563C4F" w:rsidRPr="00644661" w:rsidRDefault="00644661"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Gustoća RWEA</w:t>
            </w:r>
          </w:p>
          <w:p w14:paraId="1FF6408D"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(Stupac e/Stupci (</w:t>
            </w:r>
            <w:proofErr w:type="spellStart"/>
            <w:r>
              <w:rPr>
                <w:rFonts w:ascii="Times New Roman" w:hAnsi="Times New Roman"/>
                <w:iCs/>
                <w:sz w:val="24"/>
              </w:rPr>
              <w:t>c+d</w:t>
            </w:r>
            <w:proofErr w:type="spellEnd"/>
            <w:r>
              <w:rPr>
                <w:rFonts w:ascii="Times New Roman" w:hAnsi="Times New Roman"/>
                <w:iCs/>
                <w:sz w:val="24"/>
              </w:rPr>
              <w:t>)</w:t>
            </w:r>
            <w:r>
              <w:rPr>
                <w:rFonts w:ascii="Times New Roman" w:hAnsi="Times New Roman"/>
                <w:sz w:val="24"/>
              </w:rPr>
              <w:t xml:space="preserve"> ovog obrasca</w:t>
            </w:r>
            <w:r>
              <w:rPr>
                <w:rFonts w:ascii="Times New Roman" w:hAnsi="Times New Roman"/>
                <w:iCs/>
                <w:sz w:val="24"/>
              </w:rPr>
              <w:t>)</w:t>
            </w:r>
          </w:p>
          <w:p w14:paraId="45173152"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Omjer se izračunava tako što se RWEA odgovarajuće kategorije izloženosti (stupac e</w:t>
            </w:r>
            <w:r>
              <w:rPr>
                <w:rFonts w:ascii="Times New Roman" w:hAnsi="Times New Roman"/>
                <w:sz w:val="24"/>
              </w:rPr>
              <w:t xml:space="preserve"> ovog obrasca</w:t>
            </w:r>
            <w:r>
              <w:rPr>
                <w:rFonts w:ascii="Times New Roman" w:hAnsi="Times New Roman"/>
                <w:iCs/>
                <w:sz w:val="24"/>
              </w:rPr>
              <w:t>) podijeli s iznosom odgovarajućih izloženosti nakon što se uzmu u obzir svi instrumenti smanjenja kreditnog rizika i kreditnih konverzijskih faktora (zbroj iznosa u stupcima c i d</w:t>
            </w:r>
            <w:r>
              <w:rPr>
                <w:rFonts w:ascii="Times New Roman" w:hAnsi="Times New Roman"/>
                <w:sz w:val="24"/>
              </w:rPr>
              <w:t xml:space="preserve"> ovog obrasca</w:t>
            </w:r>
            <w:r>
              <w:rPr>
                <w:rFonts w:ascii="Times New Roman" w:hAnsi="Times New Roman"/>
                <w:iCs/>
                <w:sz w:val="24"/>
              </w:rPr>
              <w:t>).</w:t>
            </w:r>
          </w:p>
        </w:tc>
      </w:tr>
    </w:tbl>
    <w:p w14:paraId="1CDAF6A7" w14:textId="77777777" w:rsidR="00563C4F" w:rsidRPr="007F4CC8"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542F68FB"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735288E"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6198CA"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Pravna osnova i upute</w:t>
            </w:r>
          </w:p>
        </w:tc>
      </w:tr>
      <w:tr w:rsidR="00563C4F" w:rsidRPr="007F4CC8" w14:paraId="14DFB7C6"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9DB38BB"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A1C25B7" w14:textId="77777777" w:rsidR="00563C4F" w:rsidRPr="007F4CC8" w:rsidRDefault="00563C4F"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563C4F" w:rsidRPr="007F4CC8" w14:paraId="18C002DC" w14:textId="77777777" w:rsidTr="00155C96">
        <w:trPr>
          <w:trHeight w:val="699"/>
        </w:trPr>
        <w:tc>
          <w:tcPr>
            <w:tcW w:w="1413" w:type="dxa"/>
            <w:shd w:val="clear" w:color="auto" w:fill="auto"/>
          </w:tcPr>
          <w:p w14:paraId="6599D5AF"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 – 16</w:t>
            </w:r>
          </w:p>
        </w:tc>
        <w:tc>
          <w:tcPr>
            <w:tcW w:w="7654" w:type="dxa"/>
            <w:shd w:val="clear" w:color="auto" w:fill="auto"/>
          </w:tcPr>
          <w:p w14:paraId="59A78199" w14:textId="77777777" w:rsidR="00563C4F" w:rsidRPr="00413EF0" w:rsidRDefault="00563C4F" w:rsidP="00155C96">
            <w:pPr>
              <w:spacing w:after="120"/>
              <w:jc w:val="both"/>
              <w:rPr>
                <w:rFonts w:ascii="Times New Roman" w:hAnsi="Times New Roman" w:cs="Times New Roman"/>
                <w:sz w:val="24"/>
              </w:rPr>
            </w:pPr>
            <w:r>
              <w:rPr>
                <w:rFonts w:ascii="Times New Roman" w:hAnsi="Times New Roman"/>
                <w:sz w:val="24"/>
              </w:rPr>
              <w:t>Kategorije izloženosti definirane u skladu s člankom 112. CRR-a</w:t>
            </w:r>
          </w:p>
          <w:p w14:paraId="0A23C16C" w14:textId="6D10287A" w:rsidR="00563C4F" w:rsidRPr="007F4CC8" w:rsidRDefault="00563C4F" w:rsidP="00631845">
            <w:pPr>
              <w:spacing w:after="120"/>
              <w:jc w:val="both"/>
              <w:rPr>
                <w:rFonts w:ascii="Times New Roman" w:eastAsia="Times New Roman" w:hAnsi="Times New Roman" w:cs="Times New Roman"/>
                <w:sz w:val="24"/>
              </w:rPr>
            </w:pPr>
            <w:r>
              <w:rPr>
                <w:rFonts w:ascii="Times New Roman" w:hAnsi="Times New Roman"/>
                <w:sz w:val="24"/>
              </w:rPr>
              <w:t xml:space="preserve">Izloženosti raspoređene u kategoriju izloženosti „stavke koje čine </w:t>
            </w:r>
            <w:proofErr w:type="spellStart"/>
            <w:r>
              <w:rPr>
                <w:rFonts w:ascii="Times New Roman" w:hAnsi="Times New Roman"/>
                <w:sz w:val="24"/>
              </w:rPr>
              <w:t>sekuritizacijske</w:t>
            </w:r>
            <w:proofErr w:type="spellEnd"/>
            <w:r>
              <w:rPr>
                <w:rFonts w:ascii="Times New Roman" w:hAnsi="Times New Roman"/>
                <w:sz w:val="24"/>
              </w:rPr>
              <w:t xml:space="preserve"> pozicije” koja je navedena u članku 112. točki (m) nisu uključene.</w:t>
            </w:r>
          </w:p>
        </w:tc>
      </w:tr>
      <w:tr w:rsidR="00563C4F" w:rsidRPr="007F4CC8" w14:paraId="2B66124F" w14:textId="77777777" w:rsidTr="00155C96">
        <w:trPr>
          <w:trHeight w:val="558"/>
        </w:trPr>
        <w:tc>
          <w:tcPr>
            <w:tcW w:w="1413" w:type="dxa"/>
          </w:tcPr>
          <w:p w14:paraId="193A755C"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16</w:t>
            </w:r>
          </w:p>
        </w:tc>
        <w:tc>
          <w:tcPr>
            <w:tcW w:w="7654" w:type="dxa"/>
          </w:tcPr>
          <w:p w14:paraId="72B5102D"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Kategorija izloženosti „ostale stavke” odnosi se na sljedeće:</w:t>
            </w:r>
          </w:p>
          <w:p w14:paraId="273A92AC"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 imovinu koja podliježe specifičnom ponderu rizika utvrđenom u članku 134. CRR-a;</w:t>
            </w:r>
          </w:p>
          <w:p w14:paraId="0D19A1EF"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 imovinu koja nije odbijena u skladu s člankom 39. CRR-a (preplata poreza, prijenos poreznoga gubitka i odgođena porezna imovina koja ne ovisi o budućoj profitabilnosti), člankom 41. CRR-a (imovina mirovinskog fonda pod pokroviteljstvom poslodavca), člankom 46. CRR-a (institucija nema značajna ulaganja u redovni osnovni kapital subjekata financijskog sektora), člankom 48. CRR-a (odgođena porezna imovina i izravna, neizravna i sintetska ulaganja u instrumente redovnog osnovnog kapitala subjekata financijskog sektora do određenog praga), člancima 49. i 471. CRR-a (ulaganja u društva za osiguranje neovisno o tome jesu li ta društva pod nadzorom u skladu s direktivom o konglomeratima), člancima60. i 475. CRR-a (značajna ulaganja </w:t>
            </w:r>
            <w:r>
              <w:rPr>
                <w:rFonts w:ascii="Times New Roman" w:hAnsi="Times New Roman"/>
                <w:sz w:val="24"/>
              </w:rPr>
              <w:lastRenderedPageBreak/>
              <w:t>i ulaganja koja nisu značajna, izravna, neizravna i sintetska ulaganja u instrumente redovnog osnovnog kapitala, dodatnog osnovnog kapitala i dopunskog kapitala koje izdaju subjekti financijskog sektora), člankom 70. CRR-a (značajna i neznačajna izravna, neizravna i sintetska ulaganja u instrumente dopunskog kapitala koje izdaje subjekt financijskog sektora) ako nije raspoređena u druge kategorije izloženosti i na kvalificirane udjele izvan financijskog sektora ako im nije dodijeljen ponder rizika od 1 250 % (u skladu s dijelom drugim, glavom I., poglavljem 1. člankom 36. točkom (k) CRR-a).</w:t>
            </w:r>
          </w:p>
        </w:tc>
      </w:tr>
    </w:tbl>
    <w:p w14:paraId="05D93B4B" w14:textId="77777777" w:rsidR="00563C4F" w:rsidRPr="007F4CC8" w:rsidRDefault="00563C4F" w:rsidP="00563C4F">
      <w:pPr>
        <w:spacing w:after="120"/>
        <w:rPr>
          <w:rFonts w:ascii="Times New Roman" w:hAnsi="Times New Roman" w:cs="Times New Roman"/>
          <w:sz w:val="24"/>
        </w:rPr>
      </w:pPr>
    </w:p>
    <w:p w14:paraId="79C45082" w14:textId="33F986C4" w:rsidR="00563C4F" w:rsidRPr="007F4CC8" w:rsidRDefault="00CD362D" w:rsidP="00563C4F">
      <w:pPr>
        <w:spacing w:after="120"/>
        <w:rPr>
          <w:rFonts w:ascii="Times New Roman" w:hAnsi="Times New Roman" w:cs="Times New Roman"/>
          <w:sz w:val="24"/>
        </w:rPr>
      </w:pPr>
      <w:r>
        <w:rPr>
          <w:rFonts w:ascii="Times New Roman" w:hAnsi="Times New Roman"/>
          <w:b/>
          <w:sz w:val="24"/>
        </w:rPr>
        <w:t>Obrazac EU CR5 – Standardizirani pristup</w:t>
      </w:r>
      <w:r>
        <w:rPr>
          <w:rFonts w:ascii="Times New Roman" w:hAnsi="Times New Roman"/>
          <w:sz w:val="24"/>
        </w:rPr>
        <w:t>. Fiksan format</w:t>
      </w:r>
    </w:p>
    <w:p w14:paraId="7B518821" w14:textId="2088E399"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Institucije objavljuju informacije iz članka 444. točke (e) CRR-a prateći upute u nastavku ovog Priloga za popunjavanje obrasca CR5 iz Priloga XIX. ovoj Provedbenoj uredbi.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6488659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1E05267"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Referentni stupac</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5C5E900"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Pravna osnova i upute</w:t>
            </w:r>
          </w:p>
        </w:tc>
      </w:tr>
      <w:tr w:rsidR="00563C4F" w:rsidRPr="007F4CC8" w14:paraId="762015E6"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FAE325D"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8CEF1D4"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Objašnjenje</w:t>
            </w:r>
          </w:p>
        </w:tc>
      </w:tr>
      <w:tr w:rsidR="00563C4F" w:rsidRPr="007F4CC8" w14:paraId="4B4D2444" w14:textId="77777777" w:rsidTr="00155C96">
        <w:trPr>
          <w:trHeight w:val="316"/>
        </w:trPr>
        <w:tc>
          <w:tcPr>
            <w:tcW w:w="1413" w:type="dxa"/>
            <w:vAlign w:val="center"/>
          </w:tcPr>
          <w:p w14:paraId="47F5081F"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 – o</w:t>
            </w:r>
          </w:p>
        </w:tc>
        <w:tc>
          <w:tcPr>
            <w:tcW w:w="7654" w:type="dxa"/>
          </w:tcPr>
          <w:p w14:paraId="1E4578F0"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Ponder rizika: </w:t>
            </w:r>
          </w:p>
          <w:p w14:paraId="6A3D4356"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Institucije objavljuju informacije o raspodjeli pondera rizika unutar odgovarajuće kategorije izloženosti u skladu s dijelom trećim glavom II. poglavljem 2. odjeljkom 2. CRR-a.</w:t>
            </w:r>
          </w:p>
        </w:tc>
      </w:tr>
      <w:tr w:rsidR="00563C4F" w:rsidRPr="007F4CC8" w14:paraId="0D2F3586" w14:textId="77777777" w:rsidTr="00155C96">
        <w:trPr>
          <w:trHeight w:val="316"/>
        </w:trPr>
        <w:tc>
          <w:tcPr>
            <w:tcW w:w="1413" w:type="dxa"/>
            <w:vAlign w:val="center"/>
          </w:tcPr>
          <w:p w14:paraId="69751F5D"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p</w:t>
            </w:r>
          </w:p>
        </w:tc>
        <w:tc>
          <w:tcPr>
            <w:tcW w:w="7654" w:type="dxa"/>
          </w:tcPr>
          <w:p w14:paraId="4D412ABF"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Ukupno: </w:t>
            </w:r>
          </w:p>
          <w:p w14:paraId="5811B3CF" w14:textId="28D0DE64"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Ukupan iznos bilančnih i izvanbilančnih izloženosti u skladu s opsegom bonitetne konsolidacije: </w:t>
            </w:r>
          </w:p>
          <w:p w14:paraId="3A2BDE8C" w14:textId="545FF1B1"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nakon specifičnih ispravaka vrijednosti za kreditni rizik u skladu s člankom 110. CRR-a, dodatnih vrijednosnih usklađenja u skladu s člancima 34. i 105. CRR-a, iznosa odbijenih u skladu s člankom 36. stavkom 1. točkom (m), ostalih umanjenja regulatornoga kapitala i otpisa (kako je definirano u primjenjivom računovodstvenom okviru) za bilančne izloženosti, u skladu s člankom 111. CRR-a;</w:t>
            </w:r>
          </w:p>
          <w:p w14:paraId="40056C3D" w14:textId="4AC309C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nakon umanjenja specifičnih ispravaka vrijednosti za kreditni rizik i iznosa odbijenih u skladu s člankom 36. stavkom 1. točkom (m) CRR-a za izvanbilančne izloženosti, u skladu s člankom 111. CRR-a;</w:t>
            </w:r>
          </w:p>
          <w:p w14:paraId="2B162FA9"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 nakon i. primjene konverzijskih faktora određenih u istom članku i ii. primjene tehnika smanjenja kreditnog rizika određenih u dijelu trećem glavi II poglavlju 4. </w:t>
            </w:r>
            <w:r>
              <w:rPr>
                <w:rFonts w:ascii="Times New Roman" w:hAnsi="Times New Roman"/>
                <w:sz w:val="24"/>
              </w:rPr>
              <w:t>CRR-a za bilančne i izvanbilančne izloženosti.</w:t>
            </w:r>
          </w:p>
        </w:tc>
      </w:tr>
      <w:tr w:rsidR="00563C4F" w:rsidRPr="007F4CC8" w14:paraId="786795EA" w14:textId="77777777" w:rsidTr="00155C96">
        <w:trPr>
          <w:trHeight w:val="316"/>
        </w:trPr>
        <w:tc>
          <w:tcPr>
            <w:tcW w:w="1413" w:type="dxa"/>
            <w:vAlign w:val="center"/>
          </w:tcPr>
          <w:p w14:paraId="672501F6"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q</w:t>
            </w:r>
          </w:p>
        </w:tc>
        <w:tc>
          <w:tcPr>
            <w:tcW w:w="7654" w:type="dxa"/>
          </w:tcPr>
          <w:p w14:paraId="11C9219F"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Od čega bez rejtinga:</w:t>
            </w:r>
          </w:p>
          <w:p w14:paraId="6C1B8FC6"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Izloženosti za koje nije dostupna procjena kreditnog rizika odabranog VIPKR-a ikoje su primijenile specifične pondere rizika ovisno o njihovoj kategoriji izloženosti, kako je određeno u člancima od 113. do 134. CRR-a.</w:t>
            </w:r>
          </w:p>
        </w:tc>
      </w:tr>
    </w:tbl>
    <w:p w14:paraId="38EF1CEE" w14:textId="77777777" w:rsidR="00563C4F" w:rsidRPr="007F4CC8"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0232D6F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835B818"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43E32"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Pravna osnova i upute</w:t>
            </w:r>
          </w:p>
        </w:tc>
      </w:tr>
      <w:tr w:rsidR="00563C4F" w:rsidRPr="007F4CC8" w14:paraId="6F69FD8F"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736D6A30"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78FB6F0" w14:textId="77777777" w:rsidR="00563C4F" w:rsidRPr="007F4CC8" w:rsidRDefault="00563C4F"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563C4F" w:rsidRPr="007F4CC8" w14:paraId="473F79FF" w14:textId="77777777" w:rsidTr="00155C96">
        <w:trPr>
          <w:trHeight w:val="507"/>
        </w:trPr>
        <w:tc>
          <w:tcPr>
            <w:tcW w:w="1413" w:type="dxa"/>
            <w:shd w:val="clear" w:color="auto" w:fill="auto"/>
          </w:tcPr>
          <w:p w14:paraId="50315820"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 – 16</w:t>
            </w:r>
          </w:p>
        </w:tc>
        <w:tc>
          <w:tcPr>
            <w:tcW w:w="7654" w:type="dxa"/>
            <w:shd w:val="clear" w:color="auto" w:fill="auto"/>
          </w:tcPr>
          <w:p w14:paraId="100EA329"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Kategorije izloženosti u skladu s člankom 112. CRR-a</w:t>
            </w:r>
          </w:p>
          <w:p w14:paraId="1C962613" w14:textId="35BBDAA4" w:rsidR="00563C4F" w:rsidRPr="007F4CC8" w:rsidRDefault="00563C4F" w:rsidP="00631845">
            <w:pPr>
              <w:spacing w:after="120"/>
              <w:jc w:val="both"/>
              <w:rPr>
                <w:rFonts w:ascii="Times New Roman" w:hAnsi="Times New Roman" w:cs="Times New Roman"/>
                <w:sz w:val="24"/>
              </w:rPr>
            </w:pPr>
            <w:r>
              <w:rPr>
                <w:rFonts w:ascii="Times New Roman" w:hAnsi="Times New Roman"/>
                <w:sz w:val="24"/>
              </w:rPr>
              <w:t xml:space="preserve">Izloženosti raspoređene u kategoriju izloženosti „stavke koje čine </w:t>
            </w:r>
            <w:proofErr w:type="spellStart"/>
            <w:r>
              <w:rPr>
                <w:rFonts w:ascii="Times New Roman" w:hAnsi="Times New Roman"/>
                <w:sz w:val="24"/>
              </w:rPr>
              <w:t>sekuritizacijske</w:t>
            </w:r>
            <w:proofErr w:type="spellEnd"/>
            <w:r>
              <w:rPr>
                <w:rFonts w:ascii="Times New Roman" w:hAnsi="Times New Roman"/>
                <w:sz w:val="24"/>
              </w:rPr>
              <w:t xml:space="preserve"> pozicije” koja je navedena u članku 112. točki (m) nisu uključene.</w:t>
            </w:r>
          </w:p>
        </w:tc>
      </w:tr>
      <w:tr w:rsidR="00563C4F" w:rsidRPr="007F4CC8" w14:paraId="40E22753" w14:textId="77777777" w:rsidTr="00155C96">
        <w:trPr>
          <w:trHeight w:val="4791"/>
        </w:trPr>
        <w:tc>
          <w:tcPr>
            <w:tcW w:w="1413" w:type="dxa"/>
          </w:tcPr>
          <w:p w14:paraId="69381655"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16</w:t>
            </w:r>
          </w:p>
        </w:tc>
        <w:tc>
          <w:tcPr>
            <w:tcW w:w="7654" w:type="dxa"/>
          </w:tcPr>
          <w:p w14:paraId="27BDADE5"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Kategorija izloženosti „ostale stavke” odnosi se na sljedeće:</w:t>
            </w:r>
          </w:p>
          <w:p w14:paraId="32C4FD10" w14:textId="49123806"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 imovinu koja podliježe specifičnom ponderu rizika utvrđenom u dijelu trećem glavi II. poglavlju 4. članku 134. CRR-a;</w:t>
            </w:r>
          </w:p>
          <w:p w14:paraId="4A2D249B" w14:textId="1B8BC45C"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imovinu koja nije odbijena u skladu s člankom 39. CRR-a (preplata poreza, prijenos poreznoga gubitka i odgođena porezna imovina koja ne ovisi o budućoj profitabilnosti), člankom 41. CRR-a (imovina mirovinskog fonda pod pokroviteljstvom poslodavca), člancima 46. i 469. CRR-a (ulaganja u redovni osnovni kapital subjekata financijskog sektora koja nisu značajna), člancima 49. i 471. CRR-a (ulaganja u društva za osiguranje neovisno o tome jesu li ta društva pod nadzorom u skladu s direktivom o konglomeratima), člancima 60. i 475. CRR-a (značajna ulaganja i ulaganja koja nisu značajna, izravna, neizravna i sintetska ulaganja u instrumente dodatnog osnovnog kapitala subjekta financijskog sektora), člancima 70. i 477. CRR-a (značajna i neznačajna izravna, neizravna i sintetska ulaganja u instrumente dopunskog kapitala subjekata financijskog sektora) ako nije raspoređena u druge kategorije izloženosti i na kvalificirane udjele izvan financijskog sektora ako im nije dodijeljen ponder rizika od 1 250 % (u skladu s dijelom drugim, glavom I., poglavljem 1. člankom 36. točkom (k) CRR-a).</w:t>
            </w:r>
          </w:p>
        </w:tc>
      </w:tr>
    </w:tbl>
    <w:p w14:paraId="3F0B6CE6" w14:textId="77777777" w:rsidR="00563C4F" w:rsidRPr="007F4CC8" w:rsidRDefault="00563C4F" w:rsidP="00563C4F">
      <w:pPr>
        <w:spacing w:after="120"/>
        <w:rPr>
          <w:rFonts w:ascii="Times New Roman" w:hAnsi="Times New Roman" w:cs="Times New Roman"/>
          <w:sz w:val="24"/>
        </w:rPr>
      </w:pPr>
    </w:p>
    <w:p w14:paraId="3A67C2F0" w14:textId="1A142E21"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7C07F769" w14:textId="77777777" w:rsidR="000646F8" w:rsidRPr="007F4CC8" w:rsidRDefault="000646F8" w:rsidP="000646F8">
      <w:pPr>
        <w:pStyle w:val="Annexetitre"/>
        <w:spacing w:before="0"/>
      </w:pPr>
      <w:r>
        <w:lastRenderedPageBreak/>
        <w:t>PRILOG XXII. – Objava primjene IRB pristupa na kreditni rizik (ne uključujući kreditni rizik druge ugovorne strane)</w:t>
      </w:r>
    </w:p>
    <w:p w14:paraId="58AB8056" w14:textId="77777777" w:rsidR="000646F8" w:rsidRPr="007F4CC8" w:rsidRDefault="000646F8" w:rsidP="000646F8">
      <w:pPr>
        <w:spacing w:after="120"/>
        <w:rPr>
          <w:rFonts w:ascii="Times New Roman" w:hAnsi="Times New Roman" w:cs="Times New Roman"/>
          <w:sz w:val="24"/>
        </w:rPr>
      </w:pPr>
    </w:p>
    <w:p w14:paraId="4667538F" w14:textId="74407A0B" w:rsidR="000646F8" w:rsidRPr="007F4CC8" w:rsidRDefault="00D95507" w:rsidP="000646F8">
      <w:pPr>
        <w:spacing w:after="120"/>
        <w:rPr>
          <w:rFonts w:ascii="Times New Roman" w:hAnsi="Times New Roman" w:cs="Times New Roman"/>
          <w:sz w:val="24"/>
        </w:rPr>
      </w:pPr>
      <w:r>
        <w:rPr>
          <w:rFonts w:ascii="Times New Roman" w:hAnsi="Times New Roman"/>
          <w:b/>
          <w:sz w:val="24"/>
        </w:rPr>
        <w:t>Tablica EU CRE – Zahtjevi za objavu kvalitativnih informacija o IRB pristupu. Fleksibilna tablica</w:t>
      </w:r>
      <w:r>
        <w:rPr>
          <w:rFonts w:ascii="Times New Roman" w:hAnsi="Times New Roman"/>
          <w:sz w:val="24"/>
        </w:rPr>
        <w:t>.</w:t>
      </w:r>
    </w:p>
    <w:p w14:paraId="04FD7982" w14:textId="187F508C"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Institucije objavljuju informacije iz članka 452. točaka od (a) do (f) Uredbe (EU) 575/2013</w:t>
      </w:r>
      <w:r>
        <w:rPr>
          <w:rStyle w:val="FootnoteReference"/>
        </w:rPr>
        <w:footnoteReference w:id="38"/>
      </w:r>
      <w:r>
        <w:rPr>
          <w:rFonts w:ascii="Times New Roman" w:hAnsi="Times New Roman"/>
          <w:sz w:val="24"/>
        </w:rPr>
        <w:t xml:space="preserve"> („CRR”) prateći upute u nastavku ovog Priloga za popunjavanje tablice EU CRE iz Priloga XXI. ovoj Provedbenoj uredbi.</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646F8" w:rsidRPr="007F4CC8" w14:paraId="0DCD028B"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0B2B1A91"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Referentni redak</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FA6D1D8" w14:textId="757CA43E" w:rsidR="000646F8" w:rsidRPr="007F4CC8" w:rsidRDefault="000646F8" w:rsidP="00155C96">
            <w:pPr>
              <w:spacing w:after="120"/>
              <w:rPr>
                <w:rFonts w:ascii="Times New Roman" w:hAnsi="Times New Roman" w:cs="Times New Roman"/>
                <w:b/>
                <w:sz w:val="24"/>
              </w:rPr>
            </w:pPr>
            <w:r>
              <w:rPr>
                <w:rFonts w:ascii="Times New Roman" w:hAnsi="Times New Roman"/>
                <w:b/>
                <w:sz w:val="24"/>
              </w:rPr>
              <w:t>Pravna osnova i upute</w:t>
            </w:r>
          </w:p>
        </w:tc>
      </w:tr>
      <w:tr w:rsidR="000646F8" w:rsidRPr="007F4CC8" w14:paraId="5A20500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0CE75562"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21C33DA3"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Objašnjenje</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1179"/>
        <w:gridCol w:w="7087"/>
      </w:tblGrid>
      <w:tr w:rsidR="000646F8" w:rsidRPr="007F4CC8" w14:paraId="0C5E31A5"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24AC31F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D063E8D" w14:textId="37B3108E"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Članak 452. točka (a) CRR-a</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39A954A"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Pri objavi informacija o opsegu dopuštenja nadležnog tijela za pristup ili odobrenja za postupno uvođenje pristupa u skladu s člankom 452. točkom (a) CRR-a, institucije opisuju glavne značajke rejting-sustava koje koriste u skladu s IRB pristupom za koje je nadležno tijelo dalo odobrenje i vrste izloženosti koje ti rejting-sustavi obuhvaćaju. Institucije opisuju i vrste izloženosti za koje im je dopušteno koristiti trajno izuzeće od primjene standardiziranog pristupa u skladu s člankom 150. CRR-a i koje su uključene u plan uvođenja IRB pristupa u skladu s člankom 148. CRR-a. Opis se navodi na razini grupe.</w:t>
            </w:r>
          </w:p>
        </w:tc>
      </w:tr>
      <w:tr w:rsidR="000646F8" w:rsidRPr="007F4CC8" w14:paraId="1564FC55" w14:textId="77777777" w:rsidTr="00155C96">
        <w:trPr>
          <w:trHeight w:val="557"/>
        </w:trPr>
        <w:tc>
          <w:tcPr>
            <w:tcW w:w="1363" w:type="dxa"/>
            <w:vAlign w:val="top"/>
          </w:tcPr>
          <w:p w14:paraId="14A340D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(b)</w:t>
            </w:r>
          </w:p>
        </w:tc>
        <w:tc>
          <w:tcPr>
            <w:tcW w:w="1179" w:type="dxa"/>
          </w:tcPr>
          <w:p w14:paraId="55FC216B" w14:textId="70D5E8F5"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Članak 452. točka (c) podtočke od i. do iv. CRR-a</w:t>
            </w:r>
          </w:p>
        </w:tc>
        <w:tc>
          <w:tcPr>
            <w:tcW w:w="7087" w:type="dxa"/>
          </w:tcPr>
          <w:p w14:paraId="449AFC7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Opis nadzornih mehanizama za rejting-sustave obuhvaća procjenu parametara rizika, uključujući razvoj i kalibraciju internog modela, kao i kontrola pri primjeni modela i promjenama u rejting-sustavima. </w:t>
            </w:r>
          </w:p>
          <w:p w14:paraId="08D4E922"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U skladu s člankom 452. </w:t>
            </w:r>
            <w:proofErr w:type="spellStart"/>
            <w:r>
              <w:rPr>
                <w:rFonts w:ascii="Times New Roman" w:hAnsi="Times New Roman"/>
                <w:sz w:val="24"/>
              </w:rPr>
              <w:t>točkom</w:t>
            </w:r>
            <w:proofErr w:type="spellEnd"/>
            <w:r>
              <w:rPr>
                <w:rFonts w:ascii="Times New Roman" w:hAnsi="Times New Roman"/>
                <w:sz w:val="24"/>
              </w:rPr>
              <w:t xml:space="preserve"> (c) </w:t>
            </w:r>
            <w:proofErr w:type="spellStart"/>
            <w:r>
              <w:rPr>
                <w:rFonts w:ascii="Times New Roman" w:hAnsi="Times New Roman"/>
                <w:sz w:val="24"/>
              </w:rPr>
              <w:t>podtočkama</w:t>
            </w:r>
            <w:proofErr w:type="spellEnd"/>
            <w:r>
              <w:rPr>
                <w:rFonts w:ascii="Times New Roman" w:hAnsi="Times New Roman"/>
                <w:sz w:val="24"/>
              </w:rPr>
              <w:t xml:space="preserve"> od </w:t>
            </w:r>
            <w:proofErr w:type="spellStart"/>
            <w:r>
              <w:rPr>
                <w:rFonts w:ascii="Times New Roman" w:hAnsi="Times New Roman"/>
                <w:sz w:val="24"/>
              </w:rPr>
              <w:t>i</w:t>
            </w:r>
            <w:proofErr w:type="spellEnd"/>
            <w:r>
              <w:rPr>
                <w:rFonts w:ascii="Times New Roman" w:hAnsi="Times New Roman"/>
                <w:sz w:val="24"/>
              </w:rPr>
              <w:t>. do iv. CRR-a opis uloga prethodno navedenih funkcija obuhvaća i sljedeće:</w:t>
            </w:r>
          </w:p>
          <w:p w14:paraId="6B0066C9" w14:textId="77777777" w:rsidR="000646F8" w:rsidRPr="007F4CC8" w:rsidRDefault="000646F8" w:rsidP="000646F8">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 xml:space="preserve">odnose između funkcije upravljanja rizicima i funkcije unutarnje revizije; </w:t>
            </w:r>
          </w:p>
          <w:p w14:paraId="09741805" w14:textId="77777777" w:rsidR="000646F8" w:rsidRPr="007F4CC8" w:rsidRDefault="000646F8" w:rsidP="000646F8">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 xml:space="preserve">postupke i metode za preispitivanje rejting-sustava, uključujući redovita preispitivanja procjena u skladu s člankom 179. stavkom 1. točkom (c) CRR-a i validacije; </w:t>
            </w:r>
          </w:p>
          <w:p w14:paraId="45CA39FA" w14:textId="5981DCC7" w:rsidR="000646F8" w:rsidRPr="007F4CC8" w:rsidRDefault="000646F8" w:rsidP="000646F8">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 xml:space="preserve">postupke i organizacijske aranžmane kojima se osigurava neovisnost funkcije zadužene za preispitivanje modela (validacijska funkcija) od funkcija odgovornih za razvoj modela i kalibraciju </w:t>
            </w:r>
          </w:p>
          <w:p w14:paraId="7A1F1491" w14:textId="77777777" w:rsidR="000646F8" w:rsidRPr="007F4CC8" w:rsidRDefault="000646F8" w:rsidP="000646F8">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i postupak kojim se osigurava odgovornost funkcija zaduženih za razvoj i preispitivanje modela.</w:t>
            </w:r>
          </w:p>
        </w:tc>
      </w:tr>
      <w:tr w:rsidR="000646F8" w:rsidRPr="007F4CC8" w:rsidDel="00915DC9" w14:paraId="40E4A10C" w14:textId="77777777" w:rsidTr="00155C96">
        <w:trPr>
          <w:trHeight w:val="973"/>
        </w:trPr>
        <w:tc>
          <w:tcPr>
            <w:tcW w:w="1363" w:type="dxa"/>
            <w:vAlign w:val="top"/>
          </w:tcPr>
          <w:p w14:paraId="5E3113E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(c)</w:t>
            </w:r>
          </w:p>
        </w:tc>
        <w:tc>
          <w:tcPr>
            <w:tcW w:w="1179" w:type="dxa"/>
          </w:tcPr>
          <w:p w14:paraId="1BD49820" w14:textId="0333EDD4"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Članak 452. točka (d) CRR-a</w:t>
            </w:r>
          </w:p>
        </w:tc>
        <w:tc>
          <w:tcPr>
            <w:tcW w:w="7087" w:type="dxa"/>
          </w:tcPr>
          <w:p w14:paraId="45DCC0FE" w14:textId="77777777" w:rsidR="000646F8" w:rsidRPr="007F4CC8" w:rsidDel="00915DC9" w:rsidRDefault="000646F8" w:rsidP="00155C96">
            <w:pPr>
              <w:spacing w:after="120"/>
              <w:jc w:val="both"/>
              <w:rPr>
                <w:rFonts w:ascii="Times New Roman" w:hAnsi="Times New Roman" w:cs="Times New Roman"/>
                <w:sz w:val="24"/>
              </w:rPr>
            </w:pPr>
            <w:r>
              <w:rPr>
                <w:rFonts w:ascii="Times New Roman" w:hAnsi="Times New Roman"/>
                <w:sz w:val="24"/>
              </w:rPr>
              <w:t>Institucije navode ulogu funkcija uključenih u izradu, kalibraciju, odobrenje i naknadne izmjene rejting-sustava.</w:t>
            </w:r>
          </w:p>
        </w:tc>
      </w:tr>
      <w:tr w:rsidR="000646F8" w:rsidRPr="007F4CC8" w14:paraId="038F0FCE" w14:textId="77777777" w:rsidTr="00155C96">
        <w:trPr>
          <w:trHeight w:val="1265"/>
        </w:trPr>
        <w:tc>
          <w:tcPr>
            <w:tcW w:w="1363" w:type="dxa"/>
            <w:vAlign w:val="top"/>
          </w:tcPr>
          <w:p w14:paraId="1E031BD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lastRenderedPageBreak/>
              <w:t>(d)</w:t>
            </w:r>
          </w:p>
        </w:tc>
        <w:tc>
          <w:tcPr>
            <w:tcW w:w="1179" w:type="dxa"/>
          </w:tcPr>
          <w:p w14:paraId="785079DF" w14:textId="083E5989"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Članak 452. točka (e) CRR-a</w:t>
            </w:r>
          </w:p>
        </w:tc>
        <w:tc>
          <w:tcPr>
            <w:tcW w:w="7087" w:type="dxa"/>
          </w:tcPr>
          <w:p w14:paraId="42604DA2"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Institucije objavljuju opseg i glavni sadržaj izvješćivanja rukovodstva u vezi s IRB modelima iz članka 189., kao i primatelje i učestalost takvog izvješćivanja. </w:t>
            </w:r>
          </w:p>
        </w:tc>
      </w:tr>
      <w:tr w:rsidR="000646F8" w:rsidRPr="007F4CC8" w14:paraId="394C27F8" w14:textId="77777777" w:rsidTr="00155C96">
        <w:trPr>
          <w:trHeight w:val="1405"/>
        </w:trPr>
        <w:tc>
          <w:tcPr>
            <w:tcW w:w="1363" w:type="dxa"/>
            <w:vAlign w:val="top"/>
          </w:tcPr>
          <w:p w14:paraId="225DFE0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(e)</w:t>
            </w:r>
          </w:p>
        </w:tc>
        <w:tc>
          <w:tcPr>
            <w:tcW w:w="1179" w:type="dxa"/>
          </w:tcPr>
          <w:p w14:paraId="0AE7CC48" w14:textId="1B213852"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Članak 452. točka (f) CRR-a</w:t>
            </w:r>
          </w:p>
        </w:tc>
        <w:tc>
          <w:tcPr>
            <w:tcW w:w="7087" w:type="dxa"/>
          </w:tcPr>
          <w:p w14:paraId="7994A94A" w14:textId="68EA823C"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Objava internih rejting-sustava prema kategorijama izloženosti uključuje broj ključnih modela korištenih za svaku kategoriju izloženosti s obzirom na različite vrste izloženosti i kratak opis glavnih razlika između modela unutar iste kategorije izloženosti. Uključuje i opis glavnih značajki odobrenih modela, posebno: </w:t>
            </w:r>
          </w:p>
          <w:p w14:paraId="572F727E" w14:textId="18B77DB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 definicije, metode i podatke za procjenu i validaciju PD-a, uključujući procjenu i validaciju PD-ova za portfelje s malim brojem statusa neispunjavanja obveza, sve primjenjive regulatorne donje granice i uzroke zabilježenih razlika između procjena PD-a i stvarnih stopa nastanka statusa neispunjavanja obveza za barem posljednje tri godine; </w:t>
            </w:r>
          </w:p>
          <w:p w14:paraId="52483A4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ii. definicije, metode i podatke, prema potrebi, za procjenu i validaciju LGD-a, uključujući procjenu i validaciju smanjenja LGD-a, informacije o načinu procjene LGD-ova za portfelje s malim brojem statusa neispunjavanja obveza te prosječno vrijeme između trenutka stupanja u status neispunjavanja obveza i zaključenja izloženosti; </w:t>
            </w:r>
          </w:p>
          <w:p w14:paraId="37F12604"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iii. definicije, metode i podatke za procjenu i validaciju konverzijskih faktora, uključujući pretpostavke na temelju kojih su izvedene te procjene.</w:t>
            </w:r>
          </w:p>
        </w:tc>
      </w:tr>
    </w:tbl>
    <w:p w14:paraId="39A617A1" w14:textId="77777777" w:rsidR="000646F8" w:rsidRPr="007F4CC8" w:rsidRDefault="000646F8" w:rsidP="000646F8">
      <w:pPr>
        <w:spacing w:after="120"/>
        <w:rPr>
          <w:rFonts w:ascii="Times New Roman" w:hAnsi="Times New Roman" w:cs="Times New Roman"/>
          <w:sz w:val="24"/>
        </w:rPr>
      </w:pPr>
    </w:p>
    <w:p w14:paraId="33E560B8" w14:textId="4EF6905B" w:rsidR="000646F8" w:rsidRPr="007F4CC8" w:rsidRDefault="00CD362D" w:rsidP="000646F8">
      <w:pPr>
        <w:spacing w:after="120"/>
        <w:rPr>
          <w:rFonts w:ascii="Times New Roman" w:hAnsi="Times New Roman"/>
          <w:sz w:val="24"/>
        </w:rPr>
      </w:pPr>
      <w:r>
        <w:rPr>
          <w:rFonts w:ascii="Times New Roman" w:hAnsi="Times New Roman"/>
          <w:b/>
          <w:sz w:val="24"/>
        </w:rPr>
        <w:t>Obrazac EU CR6 – IRB pristup – Izloženosti kreditnom riziku prema kategoriji izloženosti i rasponu PD-a. Fiksni obrazac.</w:t>
      </w:r>
    </w:p>
    <w:p w14:paraId="01BC3589" w14:textId="5D7BC9ED"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 xml:space="preserve">Institucije objavljuju informacije iz članka 452. točke (g) </w:t>
      </w:r>
      <w:proofErr w:type="spellStart"/>
      <w:r>
        <w:rPr>
          <w:rFonts w:ascii="Times New Roman" w:hAnsi="Times New Roman"/>
          <w:sz w:val="24"/>
        </w:rPr>
        <w:t>podtočaka</w:t>
      </w:r>
      <w:proofErr w:type="spellEnd"/>
      <w:r>
        <w:rPr>
          <w:rFonts w:ascii="Times New Roman" w:hAnsi="Times New Roman"/>
          <w:sz w:val="24"/>
        </w:rPr>
        <w:t xml:space="preserve"> od i. do v. CRR-a o glavnim parametrima koji se koriste za izračun kapitalnih zahtjeva za IRB pristup prateći upute u nastavku ovog Priloga za popunjavanje obrasca EU CR6 iz Priloga XXI. ovoj Provedbenoj uredbi. Informacije objavljene u ovom obrascu ne uključuju podatke o specijaliziranom financiranju iz članka 153. stavka 4. CRR-a. Ovaj obrazac ne uključuje izloženosti kreditnom riziku druge ugovorne strane (dio treći glava II. poglavlje 6. CRR-a), </w:t>
      </w:r>
      <w:proofErr w:type="spellStart"/>
      <w:r>
        <w:rPr>
          <w:rFonts w:ascii="Times New Roman" w:hAnsi="Times New Roman"/>
          <w:sz w:val="24"/>
        </w:rPr>
        <w:t>sekuritizacijske</w:t>
      </w:r>
      <w:proofErr w:type="spellEnd"/>
      <w:r>
        <w:rPr>
          <w:rFonts w:ascii="Times New Roman" w:hAnsi="Times New Roman"/>
          <w:sz w:val="24"/>
        </w:rPr>
        <w:t xml:space="preserve"> izloženosti i izloženosti na osnovi vlasničkih ulaganja.</w:t>
      </w:r>
    </w:p>
    <w:p w14:paraId="2C5E6F36" w14:textId="77777777" w:rsidR="000646F8" w:rsidRPr="007F4CC8" w:rsidRDefault="000646F8" w:rsidP="000646F8">
      <w:pPr>
        <w:spacing w:after="120"/>
        <w:rPr>
          <w:rFonts w:ascii="Times New Roman" w:hAnsi="Times New Roman" w:cs="Times New Roman"/>
          <w:sz w:val="24"/>
        </w:rPr>
      </w:pPr>
    </w:p>
    <w:p w14:paraId="3DDD2510" w14:textId="77777777" w:rsidR="000646F8" w:rsidRPr="007F4CC8" w:rsidRDefault="000646F8" w:rsidP="000646F8">
      <w:pPr>
        <w:spacing w:after="120"/>
        <w:rPr>
          <w:rFonts w:ascii="Times New Roman" w:hAnsi="Times New Roman" w:cs="Times New Roman"/>
          <w:sz w:val="24"/>
        </w:rPr>
      </w:pPr>
    </w:p>
    <w:p w14:paraId="67E3BB5D" w14:textId="77777777" w:rsidR="000646F8" w:rsidRPr="007F4CC8" w:rsidRDefault="000646F8" w:rsidP="000646F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646F8" w:rsidRPr="007F4CC8" w14:paraId="04E7F3DD" w14:textId="77777777" w:rsidTr="00155C96">
        <w:trPr>
          <w:trHeight w:val="238"/>
        </w:trPr>
        <w:tc>
          <w:tcPr>
            <w:tcW w:w="1555" w:type="dxa"/>
            <w:vMerge w:val="restart"/>
            <w:shd w:val="clear" w:color="auto" w:fill="D9D9D9" w:themeFill="background1" w:themeFillShade="D9"/>
          </w:tcPr>
          <w:p w14:paraId="2697D5D9"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Referentni stupac</w:t>
            </w:r>
          </w:p>
        </w:tc>
        <w:tc>
          <w:tcPr>
            <w:tcW w:w="7483" w:type="dxa"/>
            <w:shd w:val="clear" w:color="auto" w:fill="D9D9D9" w:themeFill="background1" w:themeFillShade="D9"/>
          </w:tcPr>
          <w:p w14:paraId="29F3B15D"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Pravna osnova i upute</w:t>
            </w:r>
          </w:p>
        </w:tc>
      </w:tr>
      <w:tr w:rsidR="000646F8" w:rsidRPr="007F4CC8" w14:paraId="6BF14EA4" w14:textId="77777777" w:rsidTr="00155C96">
        <w:trPr>
          <w:trHeight w:val="238"/>
        </w:trPr>
        <w:tc>
          <w:tcPr>
            <w:tcW w:w="1555" w:type="dxa"/>
            <w:vMerge/>
            <w:shd w:val="clear" w:color="auto" w:fill="D9D9D9" w:themeFill="background1" w:themeFillShade="D9"/>
          </w:tcPr>
          <w:p w14:paraId="518305CE"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2A82833C"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Objašnjenje</w:t>
            </w:r>
          </w:p>
        </w:tc>
      </w:tr>
      <w:tr w:rsidR="000646F8" w:rsidRPr="007F4CC8" w14:paraId="79FE9B93" w14:textId="77777777" w:rsidTr="00155C96">
        <w:trPr>
          <w:trHeight w:val="841"/>
        </w:trPr>
        <w:tc>
          <w:tcPr>
            <w:tcW w:w="1555" w:type="dxa"/>
          </w:tcPr>
          <w:p w14:paraId="2362CC1C" w14:textId="77777777" w:rsidR="000646F8" w:rsidRPr="007F4CC8" w:rsidRDefault="000646F8" w:rsidP="00155C96">
            <w:pPr>
              <w:pStyle w:val="Applicationdirecte"/>
              <w:spacing w:before="0"/>
              <w:rPr>
                <w:highlight w:val="yellow"/>
              </w:rPr>
            </w:pPr>
            <w:r>
              <w:t>a</w:t>
            </w:r>
          </w:p>
        </w:tc>
        <w:tc>
          <w:tcPr>
            <w:tcW w:w="7483" w:type="dxa"/>
          </w:tcPr>
          <w:p w14:paraId="203D229E" w14:textId="240581FA" w:rsidR="000646F8" w:rsidRPr="00DC58CE" w:rsidRDefault="000646F8" w:rsidP="00155C96">
            <w:pPr>
              <w:pStyle w:val="Applicationdirecte"/>
              <w:spacing w:before="0"/>
              <w:rPr>
                <w:b/>
              </w:rPr>
            </w:pPr>
            <w:r>
              <w:rPr>
                <w:b/>
              </w:rPr>
              <w:t>Raspon PD-a</w:t>
            </w:r>
          </w:p>
          <w:p w14:paraId="6465D61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Ovo je fiksni raspon PD-a koji se ne mijenja.</w:t>
            </w:r>
          </w:p>
          <w:p w14:paraId="31D2661A" w14:textId="77777777" w:rsidR="000646F8" w:rsidRPr="007F4CC8" w:rsidRDefault="000646F8" w:rsidP="00155C96">
            <w:pPr>
              <w:pStyle w:val="Fait"/>
              <w:spacing w:before="0" w:after="120"/>
            </w:pPr>
            <w:r>
              <w:lastRenderedPageBreak/>
              <w:t>U slučaju da su podaci o izloženostima u statusu neispunjavanja obveza u skladu s člankom 178. CRR-a dodatno raščlanjeni u skladu s mogućim definicijama kategorija izloženosti u statusu neispunjavanja obveza, definicije i iznosi za kategorije izloženosti u statusu neispunjavanja obveza objašnjavaju se u opisu koji se prilaže.</w:t>
            </w:r>
          </w:p>
          <w:p w14:paraId="6FA3CD0F" w14:textId="77777777" w:rsidR="000646F8" w:rsidRPr="007F4CC8" w:rsidRDefault="000646F8" w:rsidP="00155C96">
            <w:pPr>
              <w:pStyle w:val="Fait"/>
              <w:spacing w:before="0" w:after="120"/>
            </w:pPr>
            <w:r>
              <w:t>Izloženosti se raspoređuju u odgovarajući razred fiksnog raspona PD-a na temelju procijenjenog PD-a za svakog dužnika koji je raspoređen u tu kategoriju izloženosti (ne uzimajući u obzir učinke zamjene zbog smanjenja kreditnog rizika). Sve izloženosti u statusu neispunjavanja obveza uključuju se u razred koji predstavlja PD od 100 %.</w:t>
            </w:r>
          </w:p>
        </w:tc>
      </w:tr>
      <w:tr w:rsidR="000646F8" w:rsidRPr="007F4CC8" w14:paraId="15394B7C" w14:textId="77777777" w:rsidTr="00155C96">
        <w:trPr>
          <w:trHeight w:val="1320"/>
        </w:trPr>
        <w:tc>
          <w:tcPr>
            <w:tcW w:w="1555" w:type="dxa"/>
          </w:tcPr>
          <w:p w14:paraId="37A36298" w14:textId="77777777" w:rsidR="000646F8" w:rsidRPr="007F4CC8" w:rsidRDefault="000646F8" w:rsidP="00155C96">
            <w:pPr>
              <w:pStyle w:val="Applicationdirecte"/>
              <w:spacing w:before="0"/>
            </w:pPr>
            <w:r>
              <w:lastRenderedPageBreak/>
              <w:t>b</w:t>
            </w:r>
          </w:p>
          <w:p w14:paraId="120A355E" w14:textId="77777777" w:rsidR="000646F8" w:rsidRPr="007F4CC8" w:rsidRDefault="000646F8" w:rsidP="00155C96">
            <w:pPr>
              <w:pStyle w:val="Applicationdirecte"/>
              <w:spacing w:before="0"/>
              <w:rPr>
                <w:highlight w:val="yellow"/>
              </w:rPr>
            </w:pPr>
          </w:p>
        </w:tc>
        <w:tc>
          <w:tcPr>
            <w:tcW w:w="7483" w:type="dxa"/>
          </w:tcPr>
          <w:p w14:paraId="2CAE09F4" w14:textId="0915112F" w:rsidR="000646F8" w:rsidRPr="00DC58CE" w:rsidRDefault="000646F8" w:rsidP="00155C96">
            <w:pPr>
              <w:pStyle w:val="Fait"/>
              <w:spacing w:before="0" w:after="120"/>
              <w:rPr>
                <w:b/>
              </w:rPr>
            </w:pPr>
            <w:r>
              <w:rPr>
                <w:b/>
              </w:rPr>
              <w:t>Bilančne izloženosti</w:t>
            </w:r>
          </w:p>
          <w:p w14:paraId="2BC08EF6" w14:textId="77777777" w:rsidR="000646F8" w:rsidRPr="007F4CC8" w:rsidRDefault="000646F8" w:rsidP="00155C96">
            <w:pPr>
              <w:pStyle w:val="Fait"/>
              <w:spacing w:before="0" w:after="120"/>
            </w:pPr>
            <w:r>
              <w:t>Vrijednost izloženosti koja se izračunava u skladu s člankom 166. stavcima od 1. do 7. CRR-a ne uzimajući u obzir ispravke vrijednosti za kreditni rizik i konverzijske faktore.</w:t>
            </w:r>
          </w:p>
        </w:tc>
      </w:tr>
      <w:tr w:rsidR="000646F8" w:rsidRPr="007F4CC8" w14:paraId="05F1583A" w14:textId="77777777" w:rsidTr="00155C96">
        <w:trPr>
          <w:trHeight w:val="316"/>
        </w:trPr>
        <w:tc>
          <w:tcPr>
            <w:tcW w:w="1555" w:type="dxa"/>
          </w:tcPr>
          <w:p w14:paraId="52119EE6"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yellow"/>
              </w:rPr>
            </w:pPr>
            <w:r>
              <w:rPr>
                <w:rFonts w:ascii="Times New Roman" w:hAnsi="Times New Roman"/>
                <w:sz w:val="24"/>
              </w:rPr>
              <w:t>c</w:t>
            </w:r>
          </w:p>
        </w:tc>
        <w:tc>
          <w:tcPr>
            <w:tcW w:w="7483" w:type="dxa"/>
          </w:tcPr>
          <w:p w14:paraId="0909C901" w14:textId="13D3608F" w:rsidR="000646F8" w:rsidRPr="00DC58CE"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Izvanbilančne izloženosti prije konverzijskih faktora</w:t>
            </w:r>
          </w:p>
          <w:p w14:paraId="5770F0F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Vrijednost izloženosti u skladu s člankom 166. stavcima od 1. do 7. CRR-a, ne uzimajući u obzir ispravke vrijednosti za kreditni rizik i konverzijske faktore, ni vlastite procjene ni konverzijske faktore navedene u članku 166. stavku 8. CRR-a, ili postotke navedene u članku 166. stavku 10. CRR-a.</w:t>
            </w:r>
          </w:p>
          <w:p w14:paraId="22D9507C"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Izvanbilančne izloženosti sastoje se od svih odobrenih, a neiskorištenih iznosa i svih izvanbilančnih stavki, kako je navedeno u Prilogu I. CRR-a.</w:t>
            </w:r>
          </w:p>
        </w:tc>
      </w:tr>
      <w:tr w:rsidR="000646F8" w:rsidRPr="007F4CC8" w14:paraId="5E38209E" w14:textId="77777777" w:rsidTr="00155C96">
        <w:trPr>
          <w:trHeight w:val="316"/>
        </w:trPr>
        <w:tc>
          <w:tcPr>
            <w:tcW w:w="1555" w:type="dxa"/>
          </w:tcPr>
          <w:p w14:paraId="16D25ED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d</w:t>
            </w:r>
          </w:p>
        </w:tc>
        <w:tc>
          <w:tcPr>
            <w:tcW w:w="7483" w:type="dxa"/>
          </w:tcPr>
          <w:p w14:paraId="1F8E5486" w14:textId="42D232D4" w:rsidR="000646F8" w:rsidRPr="00DC58CE"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Prosječni konverzijski faktor ponderiran visinom izloženosti</w:t>
            </w:r>
          </w:p>
          <w:p w14:paraId="324D6568"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 xml:space="preserve">Za sve izloženosti uključene u svaki razred fiksnog raspona PD-a, prosječni konverzijski faktor koji institucije koriste u svojem izračunu iznosa izloženosti ponderiranih rizikom, ponderiran </w:t>
            </w:r>
            <w:proofErr w:type="spellStart"/>
            <w:r>
              <w:rPr>
                <w:rFonts w:ascii="Times New Roman" w:hAnsi="Times New Roman"/>
                <w:sz w:val="24"/>
              </w:rPr>
              <w:t>izvanbilančnom</w:t>
            </w:r>
            <w:proofErr w:type="spellEnd"/>
            <w:r>
              <w:rPr>
                <w:rFonts w:ascii="Times New Roman" w:hAnsi="Times New Roman"/>
                <w:sz w:val="24"/>
              </w:rPr>
              <w:t xml:space="preserve"> izloženosti prije konverzijskih faktora kao u stupcu c ovog obrasca.</w:t>
            </w:r>
          </w:p>
        </w:tc>
      </w:tr>
      <w:tr w:rsidR="000646F8" w:rsidRPr="007F4CC8" w14:paraId="5A58EC34" w14:textId="77777777" w:rsidTr="00155C96">
        <w:trPr>
          <w:trHeight w:val="316"/>
        </w:trPr>
        <w:tc>
          <w:tcPr>
            <w:tcW w:w="1555" w:type="dxa"/>
          </w:tcPr>
          <w:p w14:paraId="2A48456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e</w:t>
            </w:r>
          </w:p>
        </w:tc>
        <w:tc>
          <w:tcPr>
            <w:tcW w:w="7483" w:type="dxa"/>
          </w:tcPr>
          <w:p w14:paraId="319C8CB7" w14:textId="25418F7C" w:rsidR="000646F8" w:rsidRPr="004B15A9" w:rsidRDefault="000646F8"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Vrijednost izloženosti nakon konverzijskog faktora i nakon smanjenja kreditnog rizika</w:t>
            </w:r>
          </w:p>
          <w:p w14:paraId="5DCF16B4" w14:textId="77777777" w:rsidR="000646F8" w:rsidRPr="007F4CC8" w:rsidRDefault="000646F8" w:rsidP="00155C96">
            <w:pPr>
              <w:autoSpaceDE w:val="0"/>
              <w:autoSpaceDN w:val="0"/>
              <w:adjustRightInd w:val="0"/>
              <w:spacing w:after="120"/>
              <w:rPr>
                <w:rFonts w:ascii="Times New Roman" w:hAnsi="Times New Roman" w:cs="Times New Roman"/>
                <w:sz w:val="24"/>
              </w:rPr>
            </w:pPr>
            <w:r>
              <w:rPr>
                <w:rFonts w:ascii="Times New Roman" w:hAnsi="Times New Roman"/>
                <w:sz w:val="24"/>
              </w:rPr>
              <w:t xml:space="preserve">Vrijednost izloženosti u skladu s člankom 166. CRR-a. </w:t>
            </w:r>
          </w:p>
          <w:p w14:paraId="6CA6E981" w14:textId="77777777" w:rsidR="000646F8" w:rsidRPr="007F4CC8" w:rsidRDefault="000646F8" w:rsidP="00155C96">
            <w:pPr>
              <w:autoSpaceDE w:val="0"/>
              <w:autoSpaceDN w:val="0"/>
              <w:adjustRightInd w:val="0"/>
              <w:spacing w:after="120"/>
              <w:rPr>
                <w:rFonts w:ascii="Times New Roman" w:hAnsi="Times New Roman" w:cs="Times New Roman"/>
                <w:sz w:val="24"/>
                <w:highlight w:val="yellow"/>
              </w:rPr>
            </w:pPr>
            <w:r>
              <w:rPr>
                <w:rFonts w:ascii="Times New Roman" w:hAnsi="Times New Roman"/>
                <w:sz w:val="24"/>
              </w:rPr>
              <w:t>Ovaj stupac uključuje zbroj vrijednosti bilančnih i izvanbilančnih izloženosti nakon primjene konverzijskih faktora i postotaka u skladu s člankom 166. stavcima od 8. do 10. CRR-a.</w:t>
            </w:r>
          </w:p>
        </w:tc>
      </w:tr>
      <w:tr w:rsidR="000646F8" w:rsidRPr="007F4CC8" w14:paraId="4E924AB8" w14:textId="77777777" w:rsidTr="00155C96">
        <w:trPr>
          <w:trHeight w:val="695"/>
        </w:trPr>
        <w:tc>
          <w:tcPr>
            <w:tcW w:w="1555" w:type="dxa"/>
          </w:tcPr>
          <w:p w14:paraId="206A67ED"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f</w:t>
            </w:r>
          </w:p>
        </w:tc>
        <w:tc>
          <w:tcPr>
            <w:tcW w:w="7483" w:type="dxa"/>
          </w:tcPr>
          <w:p w14:paraId="2D21AB31" w14:textId="370CC9A2"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Prosječni PD ponderiran visinom izloženosti (%)</w:t>
            </w:r>
          </w:p>
          <w:p w14:paraId="7FB14433"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Za sve izloženosti uključene u svaki razred fiksnog raspona PD-a, procjena prosječnog PD-a za svakog dužnika, ponderirana vrijednošću izloženosti nakon primjene konverzijskih faktora i smanjenja kreditnog rizika kao u stupcu e ovog obrasca</w:t>
            </w:r>
          </w:p>
        </w:tc>
      </w:tr>
      <w:tr w:rsidR="000646F8" w:rsidRPr="007F4CC8" w14:paraId="7B688E9E" w14:textId="77777777" w:rsidTr="00155C96">
        <w:trPr>
          <w:trHeight w:val="316"/>
        </w:trPr>
        <w:tc>
          <w:tcPr>
            <w:tcW w:w="1555" w:type="dxa"/>
          </w:tcPr>
          <w:p w14:paraId="5D4947C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g</w:t>
            </w:r>
          </w:p>
        </w:tc>
        <w:tc>
          <w:tcPr>
            <w:tcW w:w="7483" w:type="dxa"/>
          </w:tcPr>
          <w:p w14:paraId="5F53ED24" w14:textId="2E8B0E64" w:rsidR="000646F8" w:rsidRPr="004B15A9" w:rsidRDefault="004B15A9"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Broj dužnika</w:t>
            </w:r>
          </w:p>
          <w:p w14:paraId="31BD795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Broj pravnih subjekata ili dužnika raspoređenih u svaki razred fiksnog raspona PD-a, kojima je dodijeljen zasebni rejting, bez obzira na broj različitih odobrenih kredita ili izloženosti</w:t>
            </w:r>
          </w:p>
          <w:p w14:paraId="4CE4AA5D" w14:textId="77777777" w:rsidR="000646F8" w:rsidRPr="007F4CC8" w:rsidRDefault="000646F8" w:rsidP="00155C96">
            <w:pPr>
              <w:spacing w:after="120"/>
              <w:jc w:val="both"/>
              <w:rPr>
                <w:rFonts w:ascii="Times New Roman" w:hAnsi="Times New Roman" w:cs="Times New Roman"/>
                <w:b/>
                <w:sz w:val="24"/>
                <w:highlight w:val="yellow"/>
              </w:rPr>
            </w:pPr>
            <w:r>
              <w:rPr>
                <w:rFonts w:ascii="Times New Roman" w:hAnsi="Times New Roman"/>
                <w:sz w:val="24"/>
              </w:rPr>
              <w:lastRenderedPageBreak/>
              <w:t>Zajednički dužnici tretiraju se jednako kao za potrebe kalibracije PD-a. Ako je različitim izloženostima prema istom dužniku dodijeljen zasebni rejting, one se računaju zasebno. Do takve situacije može doći u kategoriji izloženosti prema stanovništvu ako se definicija nastanka statusa neispunjavanja obveza primjenjuje na razini pojedinog kreditnog proizvoda u skladu s člankom 178. stavkom 1. CRR-a, ili ako su pojedinačne izloženosti prema istom dužniku raspoređene u različite rejting-kategorije dužnika u skladu s člankom 172. stavkom 1. točkom (e) drugom rečenicom CRR-a u ostalim kategorijama izloženosti.</w:t>
            </w:r>
          </w:p>
        </w:tc>
      </w:tr>
      <w:tr w:rsidR="000646F8" w:rsidRPr="007F4CC8" w14:paraId="01C6B3D8" w14:textId="77777777" w:rsidTr="00155C96">
        <w:trPr>
          <w:trHeight w:val="695"/>
        </w:trPr>
        <w:tc>
          <w:tcPr>
            <w:tcW w:w="1555" w:type="dxa"/>
          </w:tcPr>
          <w:p w14:paraId="7534459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lastRenderedPageBreak/>
              <w:t>h</w:t>
            </w:r>
          </w:p>
        </w:tc>
        <w:tc>
          <w:tcPr>
            <w:tcW w:w="7483" w:type="dxa"/>
          </w:tcPr>
          <w:p w14:paraId="715FD946" w14:textId="16C95439" w:rsidR="000646F8" w:rsidRPr="004B15A9" w:rsidRDefault="000646F8" w:rsidP="00155C96">
            <w:pPr>
              <w:pStyle w:val="Fait"/>
              <w:spacing w:before="0" w:after="120"/>
              <w:rPr>
                <w:b/>
              </w:rPr>
            </w:pPr>
            <w:r>
              <w:rPr>
                <w:b/>
              </w:rPr>
              <w:t>Prosječni LGD ponderiran visinom izloženosti (%)</w:t>
            </w:r>
          </w:p>
          <w:p w14:paraId="051F3DA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Za sve izloženosti uključene u svaki razred fiksnog raspona PD-a, prosječna procjena LGD-a svake izloženosti, ponderirana vrijednošću izloženosti nakon konverzijskih faktora i nakon smanjenja kreditnog rizika kao u stupcu e ovog obrasca</w:t>
            </w:r>
          </w:p>
          <w:p w14:paraId="1A8D06D0"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Objavljeni LGD odgovara završnoj procjeni LGD-a koja je korištena u izračunu iznosa ponderiranih rizikom dobivenih nakon uzimanja u obzir svih učinaka smanjenja kreditnog rizika i okolnosti recesije ako je relevantno. Za sve izloženosti prema stanovništvu osigurane nekretninama objavljeni LGD uzima u obzir donje granice navedene u članku 164. stavku 4. CRR-a.</w:t>
            </w:r>
          </w:p>
          <w:p w14:paraId="2F4B168E"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U slučaju izloženosti koje podliježu tretmanu dvostrukog statusa neispunjavanja obveza, LGD koji se objavljuje odgovara onom odabranom u skladu s člankom 161. stavkom 4. CRR-a.</w:t>
            </w:r>
          </w:p>
          <w:p w14:paraId="6EAD19E1" w14:textId="77777777" w:rsidR="000646F8" w:rsidRPr="007F4CC8" w:rsidRDefault="000646F8" w:rsidP="00155C96">
            <w:pPr>
              <w:spacing w:after="120"/>
              <w:jc w:val="both"/>
              <w:rPr>
                <w:rFonts w:ascii="Times New Roman" w:hAnsi="Times New Roman" w:cs="Times New Roman"/>
                <w:sz w:val="24"/>
                <w:highlight w:val="yellow"/>
              </w:rPr>
            </w:pPr>
            <w:r>
              <w:rPr>
                <w:rFonts w:ascii="Times New Roman" w:hAnsi="Times New Roman"/>
                <w:sz w:val="24"/>
              </w:rPr>
              <w:t>Za izloženosti koje su u statusu neispunjavanja obveza u skladu s A-IRB pristupom, uzimaju se u obzir odredbe članka 181. stavka 1. točke (h). Objavljeni LGD odgovara procjeni LGD-a u statusu neispunjavanja obveza u skladu s primjenjivim metodologijama procjene.</w:t>
            </w:r>
          </w:p>
        </w:tc>
      </w:tr>
      <w:tr w:rsidR="000646F8" w:rsidRPr="007F4CC8" w14:paraId="28DA65DE" w14:textId="77777777" w:rsidTr="00155C96">
        <w:trPr>
          <w:trHeight w:val="695"/>
        </w:trPr>
        <w:tc>
          <w:tcPr>
            <w:tcW w:w="1555" w:type="dxa"/>
          </w:tcPr>
          <w:p w14:paraId="3EEE168C"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p>
          <w:p w14:paraId="4EE3D1B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i</w:t>
            </w:r>
          </w:p>
        </w:tc>
        <w:tc>
          <w:tcPr>
            <w:tcW w:w="7483" w:type="dxa"/>
          </w:tcPr>
          <w:p w14:paraId="14F1A763" w14:textId="2F788C74"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Ponderirani prosjek dospijeća izloženosti (godine)</w:t>
            </w:r>
          </w:p>
          <w:p w14:paraId="15AF3A2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Za sve izloženosti uključene u svaki razred fiksnog raspona PD-a, prosječno dospijeće svake izloženosti, ponderirano vrijednošću izloženosti nakon konverzijskih faktora kao u stupcu e ovog obrasca</w:t>
            </w:r>
          </w:p>
          <w:p w14:paraId="7E561AE4"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 xml:space="preserve">Objavljena vrijednost dospijeća uzima u obzir članak 162. CRR-a. </w:t>
            </w:r>
          </w:p>
          <w:p w14:paraId="48529649"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Prosječno dospijeće objavljuje se u godinama.</w:t>
            </w:r>
          </w:p>
          <w:p w14:paraId="235C594B"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 xml:space="preserve">Navedeni se podaci ne objavljuju za vrijednosti izloženosti za koje dospijeće nije element izračuna </w:t>
            </w:r>
            <w:r>
              <w:rPr>
                <w:rStyle w:val="InstructionsTabelleText"/>
                <w:rFonts w:ascii="Times New Roman" w:hAnsi="Times New Roman"/>
                <w:sz w:val="24"/>
              </w:rPr>
              <w:t>iznosa izloženosti ponderiranih rizikom</w:t>
            </w:r>
            <w:r>
              <w:rPr>
                <w:rFonts w:ascii="Times New Roman" w:hAnsi="Times New Roman"/>
                <w:sz w:val="24"/>
              </w:rPr>
              <w:t xml:space="preserve"> u skladu s dijelom trećim glavom II. poglavljem 3. CRR-a. To znači da se ovaj stupac ne ispunjava za kategoriju izloženosti „stanovništvo”.</w:t>
            </w:r>
          </w:p>
        </w:tc>
      </w:tr>
      <w:tr w:rsidR="000646F8" w:rsidRPr="007F4CC8" w14:paraId="2AC15C02" w14:textId="77777777" w:rsidTr="00155C96">
        <w:trPr>
          <w:trHeight w:val="695"/>
        </w:trPr>
        <w:tc>
          <w:tcPr>
            <w:tcW w:w="1555" w:type="dxa"/>
          </w:tcPr>
          <w:p w14:paraId="5D82C466" w14:textId="77777777" w:rsidR="000646F8" w:rsidRPr="007F4CC8" w:rsidDel="00F079B2"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483" w:type="dxa"/>
          </w:tcPr>
          <w:p w14:paraId="7CB55338" w14:textId="501B7367"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Iznos izloženosti ponderiran rizikom nakon primjene pomoćnih faktora</w:t>
            </w:r>
          </w:p>
          <w:p w14:paraId="53468733"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Za izloženosti prema središnjim državama i središnjim bankama, institucijama i trgovačkim društvima, iznos izloženosti ponderiran rizikom koji se izračunava u skladu s člankom 153. stavcima od 1. do 4. CRR-a; za izloženosti prema stanovništvu, iznos izloženosti ponderiran rizikom koji se izračunava u skladu s člankom 154. CRR-a</w:t>
            </w:r>
          </w:p>
          <w:p w14:paraId="53BD931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 xml:space="preserve">Uzimaju se u obzir pomoćni faktori za MSP-ove i infrastrukturu u skladu s člankom 501. i člankom 501.a CRR-a. </w:t>
            </w:r>
          </w:p>
        </w:tc>
      </w:tr>
      <w:tr w:rsidR="000646F8" w:rsidRPr="007F4CC8" w14:paraId="148722DE" w14:textId="77777777" w:rsidTr="00155C96">
        <w:trPr>
          <w:trHeight w:val="695"/>
        </w:trPr>
        <w:tc>
          <w:tcPr>
            <w:tcW w:w="1555" w:type="dxa"/>
          </w:tcPr>
          <w:p w14:paraId="56F3937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lastRenderedPageBreak/>
              <w:t>k</w:t>
            </w:r>
          </w:p>
        </w:tc>
        <w:tc>
          <w:tcPr>
            <w:tcW w:w="7483" w:type="dxa"/>
          </w:tcPr>
          <w:p w14:paraId="596D14CB" w14:textId="38D0B3C8"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b/>
                <w:sz w:val="24"/>
              </w:rPr>
              <w:t>Gustoća iznosa izloženosti ponderiranih rizikom</w:t>
            </w:r>
          </w:p>
          <w:p w14:paraId="48C3A469" w14:textId="77777777" w:rsidR="000646F8" w:rsidRPr="007F4CC8" w:rsidRDefault="000646F8" w:rsidP="00155C96">
            <w:pPr>
              <w:autoSpaceDE w:val="0"/>
              <w:autoSpaceDN w:val="0"/>
              <w:adjustRightInd w:val="0"/>
              <w:spacing w:after="120"/>
              <w:jc w:val="both"/>
              <w:rPr>
                <w:rFonts w:ascii="Times New Roman" w:hAnsi="Times New Roman" w:cs="Times New Roman"/>
                <w:b/>
                <w:sz w:val="24"/>
                <w:highlight w:val="yellow"/>
              </w:rPr>
            </w:pPr>
            <w:r>
              <w:rPr>
                <w:rFonts w:ascii="Times New Roman" w:hAnsi="Times New Roman"/>
                <w:sz w:val="24"/>
              </w:rPr>
              <w:t>Omjer između zbroja iznosa izloženosti ponderiranih rizikom nakon primjene pomoćnih faktora kao u stupcu j ovog obrasca i vrijednosti izloženosti kao u stupcu e ovog obrasca</w:t>
            </w:r>
          </w:p>
        </w:tc>
      </w:tr>
      <w:tr w:rsidR="000646F8" w:rsidRPr="007F4CC8" w14:paraId="48A80F30" w14:textId="77777777" w:rsidTr="00155C96">
        <w:trPr>
          <w:trHeight w:val="695"/>
        </w:trPr>
        <w:tc>
          <w:tcPr>
            <w:tcW w:w="1555" w:type="dxa"/>
          </w:tcPr>
          <w:p w14:paraId="1F516682"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l</w:t>
            </w:r>
          </w:p>
        </w:tc>
        <w:tc>
          <w:tcPr>
            <w:tcW w:w="7483" w:type="dxa"/>
          </w:tcPr>
          <w:p w14:paraId="10D64420" w14:textId="77777777" w:rsidR="000646F8" w:rsidRPr="004B15A9"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Iznos očekivanog gubitka</w:t>
            </w:r>
          </w:p>
          <w:p w14:paraId="07002A43" w14:textId="77777777" w:rsidR="000646F8" w:rsidRPr="007F4CC8" w:rsidRDefault="000646F8" w:rsidP="00155C96">
            <w:pPr>
              <w:autoSpaceDE w:val="0"/>
              <w:autoSpaceDN w:val="0"/>
              <w:adjustRightInd w:val="0"/>
              <w:spacing w:after="120"/>
              <w:rPr>
                <w:rFonts w:ascii="Times New Roman" w:hAnsi="Times New Roman" w:cs="Times New Roman"/>
                <w:sz w:val="24"/>
              </w:rPr>
            </w:pPr>
            <w:r>
              <w:rPr>
                <w:rFonts w:ascii="Times New Roman" w:hAnsi="Times New Roman"/>
                <w:sz w:val="24"/>
              </w:rPr>
              <w:t>Iznos očekivanog gubitka koji se izračunava u skladu s člankom 158. CRR-a</w:t>
            </w:r>
          </w:p>
          <w:p w14:paraId="2C620D61" w14:textId="77777777" w:rsidR="000646F8" w:rsidRPr="007F4CC8" w:rsidRDefault="000646F8" w:rsidP="00155C96">
            <w:pPr>
              <w:autoSpaceDE w:val="0"/>
              <w:autoSpaceDN w:val="0"/>
              <w:adjustRightInd w:val="0"/>
              <w:spacing w:after="120"/>
              <w:rPr>
                <w:rFonts w:ascii="Times New Roman" w:hAnsi="Times New Roman" w:cs="Times New Roman"/>
                <w:b/>
                <w:sz w:val="24"/>
                <w:highlight w:val="yellow"/>
              </w:rPr>
            </w:pPr>
            <w:r>
              <w:rPr>
                <w:rFonts w:ascii="Times New Roman" w:hAnsi="Times New Roman"/>
                <w:sz w:val="24"/>
              </w:rPr>
              <w:t>Iznos očekivanog gubitka koji se objavljuje temelji se na stvarnim parametrima rizika koji su upotrijebljeni u internom rejting sustavu koji je odobrilo odgovarajuće nadležno tijelo.</w:t>
            </w:r>
          </w:p>
        </w:tc>
      </w:tr>
      <w:tr w:rsidR="000646F8" w:rsidRPr="007F4CC8" w14:paraId="32CD3BD6" w14:textId="77777777" w:rsidTr="00155C96">
        <w:trPr>
          <w:trHeight w:val="695"/>
        </w:trPr>
        <w:tc>
          <w:tcPr>
            <w:tcW w:w="1555" w:type="dxa"/>
          </w:tcPr>
          <w:p w14:paraId="725B932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m</w:t>
            </w:r>
          </w:p>
        </w:tc>
        <w:tc>
          <w:tcPr>
            <w:tcW w:w="7483" w:type="dxa"/>
          </w:tcPr>
          <w:p w14:paraId="3E2A3762" w14:textId="4FD64447" w:rsidR="000646F8" w:rsidRPr="004B15A9"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Vrijednosna usklađenja i rezervacije</w:t>
            </w:r>
          </w:p>
          <w:p w14:paraId="749B8530" w14:textId="6C875AC9"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Specifični i opći ispravci vrijednosti za kreditni rizik u skladu s Delegiranom uredbom Komisije (EU) 183/2014</w:t>
            </w:r>
            <w:r>
              <w:rPr>
                <w:rStyle w:val="FootnoteReference"/>
                <w:rFonts w:cs="Times New Roman"/>
              </w:rPr>
              <w:footnoteReference w:id="39"/>
            </w:r>
            <w:r>
              <w:rPr>
                <w:rFonts w:ascii="Times New Roman" w:hAnsi="Times New Roman"/>
                <w:sz w:val="24"/>
              </w:rPr>
              <w:t>, dodatna vrijednosna usklađenja u skladu s člancima 34. i 110. CRR-a te smanjenja regulatornog kapitala povezana s izloženostima raspoređenima u svaki razred fiksnog raspona PD-a</w:t>
            </w:r>
          </w:p>
          <w:p w14:paraId="0D51736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Ta vrijednosna usklađenja i rezervacije oni su koji se uzimaju u obzir u primjeni članka 159. CRR-a. </w:t>
            </w:r>
          </w:p>
          <w:p w14:paraId="08C61982" w14:textId="77777777" w:rsidR="000646F8" w:rsidRPr="007F4CC8"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Opće se rezervacije objavljuju raspoređivanjem iznosa na proporcionalnoj osnovi u skladu s očekivanim gubitkom različitih rejting-kategorija dužnika.</w:t>
            </w:r>
          </w:p>
        </w:tc>
      </w:tr>
    </w:tbl>
    <w:p w14:paraId="067D4FA5" w14:textId="77777777" w:rsidR="000646F8" w:rsidRPr="007F4CC8" w:rsidRDefault="000646F8" w:rsidP="000646F8">
      <w:pPr>
        <w:spacing w:after="120"/>
        <w:rPr>
          <w:rFonts w:ascii="Times New Roman" w:hAnsi="Times New Roman" w:cs="Times New Roman"/>
          <w:sz w:val="24"/>
        </w:rPr>
      </w:pPr>
    </w:p>
    <w:p w14:paraId="10652AB0" w14:textId="77777777" w:rsidR="000646F8" w:rsidRPr="007F4CC8" w:rsidRDefault="000646F8" w:rsidP="000646F8">
      <w:pPr>
        <w:spacing w:after="120"/>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646F8" w:rsidRPr="007F4CC8" w14:paraId="29826178" w14:textId="77777777" w:rsidTr="00155C96">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142348D4"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Referentni redak</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ADAAE8"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Pravna osnova i upute</w:t>
            </w:r>
          </w:p>
        </w:tc>
      </w:tr>
      <w:tr w:rsidR="000646F8" w:rsidRPr="007F4CC8" w14:paraId="69BBF7DA" w14:textId="77777777" w:rsidTr="00155C96">
        <w:trPr>
          <w:trHeight w:val="238"/>
        </w:trPr>
        <w:tc>
          <w:tcPr>
            <w:tcW w:w="1555" w:type="dxa"/>
            <w:vMerge/>
            <w:tcBorders>
              <w:left w:val="single" w:sz="4" w:space="0" w:color="auto"/>
              <w:right w:val="single" w:sz="4" w:space="0" w:color="auto"/>
            </w:tcBorders>
            <w:shd w:val="clear" w:color="auto" w:fill="D9D9D9" w:themeFill="background1" w:themeFillShade="D9"/>
          </w:tcPr>
          <w:p w14:paraId="09E2149C"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413D5A3F"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0646F8" w:rsidRPr="007F4CC8" w14:paraId="4AE5C990" w14:textId="77777777" w:rsidTr="00155C96">
        <w:trPr>
          <w:trHeight w:val="1601"/>
        </w:trPr>
        <w:tc>
          <w:tcPr>
            <w:tcW w:w="1555" w:type="dxa"/>
          </w:tcPr>
          <w:p w14:paraId="6B2065A5" w14:textId="77777777" w:rsidR="000646F8" w:rsidRPr="007F4CC8" w:rsidRDefault="000646F8" w:rsidP="00155C96">
            <w:pPr>
              <w:spacing w:after="120"/>
              <w:jc w:val="both"/>
              <w:rPr>
                <w:rFonts w:ascii="Times New Roman" w:hAnsi="Times New Roman" w:cs="Times New Roman"/>
                <w:b/>
                <w:sz w:val="24"/>
              </w:rPr>
            </w:pPr>
            <w:r>
              <w:rPr>
                <w:rFonts w:ascii="Times New Roman" w:hAnsi="Times New Roman"/>
                <w:b/>
                <w:sz w:val="24"/>
              </w:rPr>
              <w:t>Kategorija izloženosti X</w:t>
            </w:r>
          </w:p>
          <w:p w14:paraId="54E86A05"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p>
        </w:tc>
        <w:tc>
          <w:tcPr>
            <w:tcW w:w="7484" w:type="dxa"/>
          </w:tcPr>
          <w:p w14:paraId="73381E0D" w14:textId="3800EA1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Ako su dobile odobrenje za primjenu vlastitih LGD-a i konverzijskih faktora za izračun iznosa izloženosti ponderiranih rizikom, institucije zasebno objavljuju informacije iz ovog obrasca za svaku kategoriju izloženosti na koje se primjenjuje to odobrenje (A-IRB). Za kategorije izloženosti za koje institucija nema odobrenje za primjenu vlastitih LGD-a i konverzijskih faktora (F-IRB), institucija zasebno objavljuje informacije o relevantnim izloženostima koristeći obrazac F-IRB. </w:t>
            </w:r>
          </w:p>
        </w:tc>
      </w:tr>
      <w:tr w:rsidR="000646F8" w:rsidRPr="007F4CC8" w14:paraId="136A8E66" w14:textId="77777777" w:rsidTr="00155C96">
        <w:trPr>
          <w:trHeight w:val="1124"/>
        </w:trPr>
        <w:tc>
          <w:tcPr>
            <w:tcW w:w="1555" w:type="dxa"/>
          </w:tcPr>
          <w:p w14:paraId="6C72886E"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iCs/>
                <w:sz w:val="24"/>
              </w:rPr>
              <w:t>A-IRB</w:t>
            </w:r>
          </w:p>
        </w:tc>
        <w:tc>
          <w:tcPr>
            <w:tcW w:w="7484" w:type="dxa"/>
          </w:tcPr>
          <w:p w14:paraId="00E8CC1E" w14:textId="77777777" w:rsidR="000646F8" w:rsidRPr="007F4CC8" w:rsidRDefault="000646F8" w:rsidP="00155C96">
            <w:pPr>
              <w:spacing w:after="120"/>
              <w:jc w:val="both"/>
              <w:rPr>
                <w:rFonts w:ascii="Times New Roman" w:hAnsi="Times New Roman"/>
                <w:sz w:val="24"/>
              </w:rPr>
            </w:pPr>
            <w:r>
              <w:rPr>
                <w:rFonts w:ascii="Times New Roman" w:hAnsi="Times New Roman"/>
                <w:b/>
                <w:sz w:val="24"/>
              </w:rPr>
              <w:t>Kategorija izloženosti X</w:t>
            </w:r>
          </w:p>
          <w:p w14:paraId="7DEB3A97" w14:textId="530D83D8"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 xml:space="preserve">Institucije za svaku kategoriju izloženosti navedenu u članku 147. stavku 2. CRR-a, uz prethodno navedene iznimke, objavljuju zasebni obrazac, s dodatnom raščlambom za sljedeće kategorije izloženosti: </w:t>
            </w:r>
          </w:p>
          <w:p w14:paraId="4433ACB1" w14:textId="44FCB5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lastRenderedPageBreak/>
              <w:t>– u kategoriji izloženosti „izloženosti prema trgovačkim društvima” (članak 147. stavak 2. točka (c) CRR-a) raščlamba na sljedeće:</w:t>
            </w:r>
          </w:p>
          <w:p w14:paraId="0D74CEA8"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izloženosti prema trgovačkim društvima – MSP-ovi, u skladu s internim raspoređivanjem izloženosti prema trgovačkim društvima na temelju politika upravljanja rizikom;</w:t>
            </w:r>
          </w:p>
          <w:p w14:paraId="5528BA07"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 izloženosti prema trgovačkim društvima – u obliku specijaliziranog financiranja, u skladu s člankom 147. stavkom 8. CRR-a;</w:t>
            </w:r>
          </w:p>
          <w:p w14:paraId="167584D3"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izloženosti prema trgovačkim društvima – ostalo.</w:t>
            </w:r>
          </w:p>
          <w:p w14:paraId="357543CE" w14:textId="28AF4918"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u kategoriji izloženosti „izloženosti prema stanovništvu” (članak 147. stavak 2. točka (d) i članak 147. stavak 5. CRR-a) raščlamba na sljedeće:</w:t>
            </w:r>
          </w:p>
          <w:p w14:paraId="6EB715AB"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Izloženosti prema stanovništvu – MSP-ovi, osigurane nekretninama (članak 147. stavak 2. točka (d) CRR-a u vezi s člankom 154. stavcima 2. i 3. CRR-a);</w:t>
            </w:r>
          </w:p>
          <w:p w14:paraId="00C7272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 Izloženosti prema stanovništvu– MSP-ovi, ostalo;</w:t>
            </w:r>
          </w:p>
          <w:p w14:paraId="7336AC1B" w14:textId="20BA0EE9"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Izloženosti prema stanovništvu – subjekti koji nisu MSP-ovi, osigurane nekretninama (članak 147. stavak 2. točka (d) CRR-a u vezi s člankom 154. stavkom 3. CRR-a);</w:t>
            </w:r>
          </w:p>
          <w:p w14:paraId="137581F2" w14:textId="51F42881"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w:t>
            </w:r>
            <w:r>
              <w:tab/>
            </w:r>
            <w:r>
              <w:rPr>
                <w:rFonts w:ascii="Times New Roman" w:hAnsi="Times New Roman"/>
                <w:iCs/>
                <w:sz w:val="24"/>
              </w:rPr>
              <w:t>Izloženosti prema stanovništvu – kvalificirane obnovljive izloženosti (članak 147. stavak 2. točka (d) CRR-a u vezi s člankom 154. stavkom 4. CRR-a);</w:t>
            </w:r>
          </w:p>
          <w:p w14:paraId="1E06E2C7" w14:textId="6F5BDF9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e.       Izloženosti prema stanovništvu – subjekti koji nisu MSP-ovi, ostalo.</w:t>
            </w:r>
          </w:p>
          <w:p w14:paraId="0936B92C"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iCs/>
                <w:sz w:val="24"/>
              </w:rPr>
              <w:t>Na kraju svakog pojedinog obrasca za svaku kategoriju izloženosti uključuje se redak s ukupnom izloženosti.</w:t>
            </w:r>
          </w:p>
        </w:tc>
      </w:tr>
      <w:tr w:rsidR="000646F8" w:rsidRPr="007F4CC8" w14:paraId="52820316" w14:textId="77777777" w:rsidTr="00155C96">
        <w:trPr>
          <w:trHeight w:val="316"/>
        </w:trPr>
        <w:tc>
          <w:tcPr>
            <w:tcW w:w="1555" w:type="dxa"/>
          </w:tcPr>
          <w:p w14:paraId="79E5A87B"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yellow"/>
              </w:rPr>
            </w:pPr>
            <w:r>
              <w:rPr>
                <w:rFonts w:ascii="Times New Roman" w:hAnsi="Times New Roman"/>
                <w:color w:val="000000"/>
                <w:sz w:val="24"/>
              </w:rPr>
              <w:lastRenderedPageBreak/>
              <w:t>F-IRB</w:t>
            </w:r>
          </w:p>
        </w:tc>
        <w:tc>
          <w:tcPr>
            <w:tcW w:w="7484" w:type="dxa"/>
          </w:tcPr>
          <w:p w14:paraId="7A7D772F" w14:textId="77777777" w:rsidR="000646F8" w:rsidRPr="007F4CC8" w:rsidRDefault="000646F8" w:rsidP="00155C96">
            <w:pPr>
              <w:spacing w:after="120"/>
              <w:jc w:val="both"/>
              <w:rPr>
                <w:rFonts w:ascii="Times New Roman" w:hAnsi="Times New Roman"/>
                <w:b/>
                <w:sz w:val="24"/>
              </w:rPr>
            </w:pPr>
            <w:r>
              <w:rPr>
                <w:rFonts w:ascii="Times New Roman" w:hAnsi="Times New Roman"/>
                <w:b/>
                <w:sz w:val="24"/>
              </w:rPr>
              <w:t xml:space="preserve">Kategorija izloženosti X </w:t>
            </w:r>
          </w:p>
          <w:p w14:paraId="3A5233B2" w14:textId="375CB4EA" w:rsidR="000646F8" w:rsidRPr="007F4CC8" w:rsidRDefault="000646F8" w:rsidP="00155C96">
            <w:pPr>
              <w:spacing w:after="120"/>
              <w:jc w:val="both"/>
              <w:rPr>
                <w:rFonts w:ascii="Times New Roman" w:eastAsia="Times New Roman" w:hAnsi="Times New Roman" w:cs="Times New Roman"/>
                <w:iCs/>
                <w:sz w:val="24"/>
              </w:rPr>
            </w:pPr>
            <w:r>
              <w:rPr>
                <w:rFonts w:ascii="Times New Roman" w:hAnsi="Times New Roman"/>
                <w:iCs/>
                <w:sz w:val="24"/>
              </w:rPr>
              <w:t>Za svaku kategoriju izloženosti navedenu u članku 147. stavku 2. CRR-a, uz prethodno navedene iznimke, institucije objavljuju zasebni obrazac, s dodatnom raščlambom za sljedeće kategorije izloženosti:</w:t>
            </w:r>
          </w:p>
          <w:p w14:paraId="7E96039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u kategoriji izloženosti „izloženosti prema trgovačkim društvima” (članak 147. stavak 2. točka (c) CRR-a) raščlamba na sljedeće:</w:t>
            </w:r>
          </w:p>
          <w:p w14:paraId="5C15709B"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izloženosti prema trgovačkim društvima – MSP-ovi, u skladu s internim raspoređivanjem izloženosti prema trgovačkim društvima na temelju politika upravljanja rizikom;</w:t>
            </w:r>
          </w:p>
          <w:p w14:paraId="3D8DCAB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izloženosti prema trgovačkim društvima – u obliku specijaliziranog financiranja, u skladu s člankom 147. stavkom 8. CRR-a;</w:t>
            </w:r>
          </w:p>
          <w:p w14:paraId="03A7AC1A"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sz w:val="24"/>
                <w:highlight w:val="yellow"/>
              </w:rPr>
            </w:pPr>
            <w:r>
              <w:rPr>
                <w:rFonts w:ascii="Times New Roman" w:hAnsi="Times New Roman"/>
                <w:iCs/>
                <w:sz w:val="24"/>
              </w:rPr>
              <w:t>c.</w:t>
            </w:r>
            <w:r>
              <w:tab/>
            </w:r>
            <w:r>
              <w:rPr>
                <w:rFonts w:ascii="Times New Roman" w:hAnsi="Times New Roman"/>
                <w:iCs/>
                <w:sz w:val="24"/>
              </w:rPr>
              <w:t>izloženosti prema trgovačkim društvima – ostalo.</w:t>
            </w:r>
          </w:p>
        </w:tc>
      </w:tr>
    </w:tbl>
    <w:p w14:paraId="60BD522F" w14:textId="77777777" w:rsidR="000646F8" w:rsidRPr="007F4CC8" w:rsidRDefault="000646F8" w:rsidP="000646F8">
      <w:pPr>
        <w:spacing w:after="120"/>
        <w:rPr>
          <w:rFonts w:ascii="Times New Roman" w:hAnsi="Times New Roman" w:cs="Times New Roman"/>
          <w:sz w:val="24"/>
          <w:highlight w:val="yellow"/>
        </w:rPr>
      </w:pPr>
    </w:p>
    <w:p w14:paraId="5A06C431" w14:textId="77777777" w:rsidR="000646F8" w:rsidRPr="007F4CC8" w:rsidRDefault="000646F8" w:rsidP="000646F8">
      <w:pPr>
        <w:spacing w:after="120"/>
        <w:rPr>
          <w:rFonts w:ascii="Times New Roman" w:hAnsi="Times New Roman" w:cs="Times New Roman"/>
          <w:sz w:val="24"/>
          <w:highlight w:val="yellow"/>
        </w:rPr>
      </w:pPr>
    </w:p>
    <w:p w14:paraId="50A173F3" w14:textId="1CFE9F8D" w:rsidR="000646F8" w:rsidRPr="007F4CC8" w:rsidRDefault="00CD362D" w:rsidP="000646F8">
      <w:pPr>
        <w:spacing w:after="120"/>
        <w:rPr>
          <w:rFonts w:ascii="Times New Roman" w:hAnsi="Times New Roman" w:cs="Times New Roman"/>
          <w:b/>
          <w:sz w:val="24"/>
        </w:rPr>
      </w:pPr>
      <w:r>
        <w:rPr>
          <w:rFonts w:ascii="Times New Roman" w:hAnsi="Times New Roman"/>
          <w:b/>
          <w:sz w:val="24"/>
        </w:rPr>
        <w:t>Obrazac EU CR6-A – IRB pristup – Opseg primjene IRB pristupa i standardiziranog pristupa. Fiksni obrazac</w:t>
      </w:r>
    </w:p>
    <w:p w14:paraId="5CEA1D8C" w14:textId="77777777" w:rsidR="000646F8" w:rsidRPr="007F4CC8" w:rsidRDefault="000646F8" w:rsidP="000646F8">
      <w:pPr>
        <w:spacing w:after="120"/>
        <w:rPr>
          <w:rFonts w:ascii="Times New Roman" w:hAnsi="Times New Roman" w:cs="Times New Roman"/>
          <w:sz w:val="24"/>
        </w:rPr>
      </w:pPr>
    </w:p>
    <w:p w14:paraId="1C7C6FC2" w14:textId="07790607"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Institucije koje izračunavaju iznose izloženosti ponderirane rizikom u skladu s IRB pristupom kreditnom riziku objavljuju informacije iz članka 452. točke (b) CRR-a prateći upute u nastavku ovog Priloga za popunjavanje obrasca EU CR6-A iz Priloga XXI. ovoj Provedbenoj uredbi.</w:t>
      </w:r>
    </w:p>
    <w:p w14:paraId="6CD82E87" w14:textId="77777777"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 xml:space="preserve">Za potrebe ovog obrasca institucije raspoređuju svoje izloženosti u skladu sa standardiziranim pristupom iz dijela trećeg glave II poglavlja 2. ili IRB pristupom iz dijela trećeg glave II poglavlja 3. u kategorije izloženosti kako su definirane u skladu s IRB pristupom. Ovaj obrazac ne uključuje izloženosti kreditnom riziku druge ugovorne strane (dio treći glava II. poglavlje 6. CRR-a) i </w:t>
      </w:r>
      <w:proofErr w:type="spellStart"/>
      <w:r>
        <w:rPr>
          <w:rFonts w:ascii="Times New Roman" w:hAnsi="Times New Roman"/>
          <w:sz w:val="24"/>
        </w:rPr>
        <w:t>sekuritizacijske</w:t>
      </w:r>
      <w:proofErr w:type="spellEnd"/>
      <w:r>
        <w:rPr>
          <w:rFonts w:ascii="Times New Roman" w:hAnsi="Times New Roman"/>
          <w:sz w:val="24"/>
        </w:rPr>
        <w:t xml:space="preserve"> izloženosti.</w:t>
      </w:r>
    </w:p>
    <w:p w14:paraId="3C7DF511" w14:textId="1D73BBF9"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Institucije u opisu koji prilažu obrascu objašnjavaju sve značajne razlike između vrijednosti izloženosti kako je definirana u članku 166. za izloženosti na koje se primjenjuje IRB pristup kao u stupcu a ovog obrasca i vrijednosti izloženosti za iste izloženosti u skladu s člankom 429. stavkom 4. CRR-a kao u stupcima b i d ovog obrasca.</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646F8" w:rsidRPr="007F4CC8" w14:paraId="00E05282" w14:textId="77777777" w:rsidTr="00155C96">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2F691D" w14:textId="77777777" w:rsidR="000646F8" w:rsidRPr="007F4CC8" w:rsidRDefault="000646F8" w:rsidP="00155C96">
            <w:pPr>
              <w:spacing w:after="120"/>
              <w:rPr>
                <w:rFonts w:ascii="Times New Roman" w:hAnsi="Times New Roman" w:cs="Times New Roman"/>
                <w:b/>
                <w:sz w:val="24"/>
                <w:highlight w:val="yellow"/>
              </w:rPr>
            </w:pPr>
            <w:r>
              <w:rPr>
                <w:rFonts w:ascii="Times New Roman" w:hAnsi="Times New Roman"/>
                <w:b/>
                <w:sz w:val="24"/>
                <w:highlight w:val="lightGray"/>
              </w:rPr>
              <w:t>Pravna osnova i upute</w:t>
            </w:r>
          </w:p>
        </w:tc>
      </w:tr>
      <w:tr w:rsidR="000646F8" w:rsidRPr="007F4CC8" w14:paraId="4C919EC2" w14:textId="77777777" w:rsidTr="00155C96">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C9F7F4" w14:textId="77777777" w:rsidR="000646F8" w:rsidRPr="007F4CC8" w:rsidRDefault="000646F8" w:rsidP="00155C96">
            <w:pPr>
              <w:autoSpaceDE w:val="0"/>
              <w:autoSpaceDN w:val="0"/>
              <w:adjustRightInd w:val="0"/>
              <w:spacing w:after="120"/>
              <w:rPr>
                <w:rFonts w:ascii="Times New Roman" w:hAnsi="Times New Roman" w:cs="Times New Roman"/>
                <w:b/>
                <w:sz w:val="24"/>
                <w:highlight w:val="lightGray"/>
              </w:rPr>
            </w:pPr>
            <w:r>
              <w:rPr>
                <w:rFonts w:ascii="Times New Roman" w:hAnsi="Times New Roman"/>
                <w:b/>
                <w:sz w:val="24"/>
                <w:highlight w:val="lightGray"/>
              </w:rPr>
              <w:t>Referenca stupca</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3A245C"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lightGray"/>
              </w:rPr>
            </w:pPr>
            <w:r>
              <w:rPr>
                <w:rFonts w:ascii="Times New Roman" w:hAnsi="Times New Roman"/>
                <w:b/>
                <w:sz w:val="24"/>
                <w:highlight w:val="lightGray"/>
              </w:rPr>
              <w:t>Objašnjenje</w:t>
            </w:r>
          </w:p>
        </w:tc>
      </w:tr>
      <w:tr w:rsidR="000646F8" w:rsidRPr="007F4CC8" w14:paraId="1E73C7BD"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984614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3695A53C" w14:textId="77777777"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Vrijednost izloženosti kako je definirana u članku 166. CRR-a za izloženosti na koje se primjenjuje IRB pristup</w:t>
            </w:r>
          </w:p>
          <w:p w14:paraId="25F0B59B"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Institucije u ovom stupcu objavljuju vrijednost izloženosti kako je definirana u članku 166. CRR-a, samo za one izloženosti u skladu s IRB pristupom.</w:t>
            </w:r>
          </w:p>
        </w:tc>
      </w:tr>
      <w:tr w:rsidR="000646F8" w:rsidRPr="007F4CC8" w14:paraId="3CF105BF"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5AC25BA0"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6D41EB47" w14:textId="7D37F495" w:rsidR="000646F8" w:rsidRPr="009674E9" w:rsidRDefault="000646F8" w:rsidP="00155C96">
            <w:pPr>
              <w:autoSpaceDE w:val="0"/>
              <w:autoSpaceDN w:val="0"/>
              <w:adjustRightInd w:val="0"/>
              <w:spacing w:after="120"/>
              <w:jc w:val="both"/>
              <w:rPr>
                <w:rFonts w:ascii="Times New Roman" w:hAnsi="Times New Roman"/>
                <w:b/>
                <w:spacing w:val="-2"/>
                <w:sz w:val="24"/>
              </w:rPr>
            </w:pPr>
            <w:r>
              <w:rPr>
                <w:rFonts w:ascii="Times New Roman" w:hAnsi="Times New Roman"/>
                <w:b/>
                <w:sz w:val="24"/>
              </w:rPr>
              <w:t>Ukupna vrijednost izloženosti na koje se primjenjuju standardizirani pristup i IRB pristup</w:t>
            </w:r>
          </w:p>
          <w:p w14:paraId="14EC010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Institucije za objavljivanje ukupne vrijednosti izloženosti koriste vrijednost izloženosti u skladu s člankom 429. stavkom 4. CRR-a, uključujući izloženosti u skladu sa standardiziranim pristupom i izloženosti u skladu s IRB pristupom. </w:t>
            </w:r>
          </w:p>
        </w:tc>
      </w:tr>
      <w:tr w:rsidR="000646F8" w:rsidRPr="007F4CC8" w14:paraId="029E0AE2"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57648C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25D3C734" w14:textId="5863C7DB"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Postotak ukupne vrijednosti izloženosti na koju se primjenjuje trajno izuzeće od primjene standardiziranog pristupa (%)</w:t>
            </w:r>
          </w:p>
          <w:p w14:paraId="488DCA7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Dio izloženosti za svaku kategoriju izloženosti na koju se primjenjuje standardizirani pristup (izloženost na koju se primjenjuje standardizirani pristup iz dijela trećeg glave II poglavlja 2., u skladu s opsegom odobrenja za trajno izuzeće od primjene standardiziranog pristupa dobivenog od nadležnog tijela u skladu s člankom 150.), iznad ukupne izloženosti u toj kategoriji izloženosti kao u stupcu b ovog obrasca.</w:t>
            </w:r>
          </w:p>
        </w:tc>
      </w:tr>
      <w:tr w:rsidR="000646F8" w:rsidRPr="007F4CC8" w14:paraId="25D470F3"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414420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18364D7C" w14:textId="56BD9930" w:rsidR="000646F8" w:rsidRPr="009674E9" w:rsidRDefault="000646F8" w:rsidP="00155C96">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Postotak ukupne vrijednosti izloženosti na koju se primjenjuje IRB pristup (%)</w:t>
            </w:r>
          </w:p>
          <w:p w14:paraId="76473BF7"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lastRenderedPageBreak/>
              <w:t xml:space="preserve">Dio izloženosti za svaku kategoriju izloženosti na koju se primjenjuje IRB pristup (izloženost na koju se primjenjuje IRB pristup iz dijela trećeg glave II poglavlja 3. iznad ukupne izloženosti u toj kategoriji izloženosti), u skladu s opsegom odobrenja nadležnog tijela za primjenu IRB pristupa u skladu s člankom 143. CRR-a, iznad ukupne izloženosti u toj kategoriji izloženosti kao u stupcu b ovog obrasca. Uključuje izloženosti za koje institucije imaju odobrenje koristiti vlastite procjene LGD-a i konverzijske faktore ili ga nemaju (F-IRB i A-IRB), uključujući nadzorni pristup raspoređivanja za izloženosti u obliku specijaliziranog financiranja i izloženosti na osnovi vlasničkih ulaganja u skladu s jednostavnim pristupom </w:t>
            </w:r>
            <w:proofErr w:type="spellStart"/>
            <w:r>
              <w:rPr>
                <w:rFonts w:ascii="Times New Roman" w:hAnsi="Times New Roman"/>
                <w:sz w:val="24"/>
              </w:rPr>
              <w:t>ponderiranja</w:t>
            </w:r>
            <w:proofErr w:type="spellEnd"/>
            <w:r>
              <w:rPr>
                <w:rFonts w:ascii="Times New Roman" w:hAnsi="Times New Roman"/>
                <w:sz w:val="24"/>
              </w:rPr>
              <w:t>.</w:t>
            </w:r>
          </w:p>
        </w:tc>
      </w:tr>
      <w:tr w:rsidR="000646F8" w:rsidRPr="007F4CC8" w14:paraId="0AB16E7B"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61FDE009"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632" w:type="dxa"/>
            <w:tcBorders>
              <w:top w:val="single" w:sz="4" w:space="0" w:color="auto"/>
              <w:left w:val="single" w:sz="4" w:space="0" w:color="auto"/>
              <w:bottom w:val="single" w:sz="4" w:space="0" w:color="auto"/>
              <w:right w:val="single" w:sz="4" w:space="0" w:color="auto"/>
            </w:tcBorders>
          </w:tcPr>
          <w:p w14:paraId="6388973A" w14:textId="41BC7FCE"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Postotak ukupne vrijednosti izloženosti koji podliježe planu uvođenja (%)</w:t>
            </w:r>
          </w:p>
          <w:p w14:paraId="0A1E83BC"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Dio izloženosti za svaku kategoriju imovine na koju se primjenjuje postupno uvođenje IRB pristupa u skladu s člankom 148. CRR-a, preko ukupne izloženosti u toj kategoriji izloženosti kao u stupcu b. To uključuje:</w:t>
            </w:r>
          </w:p>
          <w:p w14:paraId="4FB079D8" w14:textId="162157A3"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t>izloženosti na koje institucije planiraju primijeniti IRB pristup sa ili bez korištenja vlastitih procjena LGD-a i konverzijskih faktora (F-IRB ili A-IRB).</w:t>
            </w:r>
          </w:p>
          <w:p w14:paraId="403F364D" w14:textId="77777777"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t>Izloženosti na osnovi vlasničkih ulaganja koje nisu značajne koje nisu uključene u stupce c i d ovog obrasca.</w:t>
            </w:r>
          </w:p>
          <w:p w14:paraId="5412F1DA" w14:textId="77777777"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t>Izloženosti na koje se već primjenjuje F-IRB pristup ako institucija u budućnosti planira primijeniti A-IRB pristup.</w:t>
            </w:r>
          </w:p>
          <w:p w14:paraId="75D515C7" w14:textId="77777777" w:rsidR="000646F8" w:rsidRPr="007F4CC8" w:rsidRDefault="000646F8" w:rsidP="000646F8">
            <w:pPr>
              <w:pStyle w:val="ListParagraph"/>
              <w:numPr>
                <w:ilvl w:val="0"/>
                <w:numId w:val="52"/>
              </w:numPr>
              <w:spacing w:after="120"/>
              <w:jc w:val="both"/>
              <w:rPr>
                <w:rFonts w:ascii="Times New Roman" w:hAnsi="Times New Roman"/>
                <w:sz w:val="24"/>
              </w:rPr>
            </w:pPr>
            <w:r>
              <w:rPr>
                <w:rFonts w:ascii="Times New Roman" w:hAnsi="Times New Roman"/>
                <w:sz w:val="24"/>
              </w:rPr>
              <w:t>Izloženosti u obliku specijaliziranog financiranja na koje se primjenjuje nadzorni pristup raspoređivanja koje nisu navedene u stupcu d ovog obrasca.</w:t>
            </w:r>
          </w:p>
        </w:tc>
      </w:tr>
    </w:tbl>
    <w:p w14:paraId="53E80979"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1BF354A9"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7C047EB"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93B77E"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Pravna osnova i upute</w:t>
            </w:r>
          </w:p>
        </w:tc>
      </w:tr>
      <w:tr w:rsidR="000646F8" w:rsidRPr="007F4CC8" w14:paraId="6E8895F9"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6103A2D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638B354C"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0646F8" w:rsidRPr="007F4CC8" w14:paraId="4A04EB84" w14:textId="77777777" w:rsidTr="00155C96">
        <w:trPr>
          <w:trHeight w:val="316"/>
        </w:trPr>
        <w:tc>
          <w:tcPr>
            <w:tcW w:w="1413" w:type="dxa"/>
          </w:tcPr>
          <w:p w14:paraId="08EE6AD8"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Kategorije izloženosti</w:t>
            </w:r>
          </w:p>
        </w:tc>
        <w:tc>
          <w:tcPr>
            <w:tcW w:w="7654" w:type="dxa"/>
          </w:tcPr>
          <w:p w14:paraId="3D859DD6" w14:textId="77777777" w:rsidR="000646F8" w:rsidRPr="007F4CC8" w:rsidRDefault="000646F8" w:rsidP="00155C96">
            <w:pPr>
              <w:spacing w:after="120"/>
              <w:jc w:val="both"/>
              <w:rPr>
                <w:rFonts w:ascii="Times New Roman" w:eastAsiaTheme="minorHAnsi" w:hAnsi="Times New Roman" w:cs="Times New Roman"/>
                <w:sz w:val="24"/>
              </w:rPr>
            </w:pPr>
            <w:r>
              <w:rPr>
                <w:rFonts w:ascii="Times New Roman" w:hAnsi="Times New Roman"/>
                <w:sz w:val="24"/>
              </w:rPr>
              <w:t>Institucije uključuju informacije iz obrasca CR 6-A po kategorijama izloženosti, u skladu s raščlambom kategorija izloženosti uključenom u redcima obrasca.</w:t>
            </w:r>
          </w:p>
        </w:tc>
      </w:tr>
    </w:tbl>
    <w:p w14:paraId="39CBF973" w14:textId="77777777" w:rsidR="000646F8" w:rsidRPr="007F4CC8" w:rsidRDefault="000646F8" w:rsidP="000646F8">
      <w:pPr>
        <w:spacing w:after="120"/>
        <w:rPr>
          <w:rFonts w:ascii="Times New Roman" w:hAnsi="Times New Roman" w:cs="Times New Roman"/>
          <w:sz w:val="24"/>
        </w:rPr>
      </w:pPr>
    </w:p>
    <w:p w14:paraId="612D8A17" w14:textId="6A49A647" w:rsidR="000646F8" w:rsidRPr="007F4CC8" w:rsidRDefault="00CD362D" w:rsidP="000646F8">
      <w:pPr>
        <w:spacing w:after="120"/>
        <w:rPr>
          <w:rFonts w:ascii="Times New Roman" w:hAnsi="Times New Roman" w:cs="Times New Roman"/>
          <w:b/>
          <w:sz w:val="24"/>
        </w:rPr>
      </w:pPr>
      <w:r>
        <w:rPr>
          <w:rFonts w:ascii="Times New Roman" w:hAnsi="Times New Roman"/>
          <w:b/>
          <w:sz w:val="24"/>
        </w:rPr>
        <w:t>Obrazac EU CR7 – IRB pristup – Učinak na iznose izloženosti ponderirane rizikom za kreditne izvedenice korištene kao tehnike smanjenja kreditnog rizika. Fiksni obrazac.</w:t>
      </w:r>
    </w:p>
    <w:p w14:paraId="2B1781FA" w14:textId="2C241CA2"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 xml:space="preserve">Institucije objavljuju informacije iz članka 453. točke (j) CRR-a prateći upute u nastavku ovog Priloga za popunjavanje obrasca EU CR7 iz Priloga XXI. ovoj Provedbenoj uredbi. Institucije obrazac dopunjuju opisom kojim se objašnjava učinak kreditnih izvedenica na iznose izloženosti ponderirane rizikom. Ovaj obrazac ne uključuje izloženosti kreditnom riziku druge ugovorne strane (dio treći glava II. poglavlje 6. CRR-a), </w:t>
      </w:r>
      <w:proofErr w:type="spellStart"/>
      <w:r>
        <w:rPr>
          <w:rFonts w:ascii="Times New Roman" w:hAnsi="Times New Roman"/>
          <w:sz w:val="24"/>
        </w:rPr>
        <w:t>sekuritizacijske</w:t>
      </w:r>
      <w:proofErr w:type="spellEnd"/>
      <w:r>
        <w:rPr>
          <w:rFonts w:ascii="Times New Roman" w:hAnsi="Times New Roman"/>
          <w:sz w:val="24"/>
        </w:rPr>
        <w:t xml:space="preserve"> izloženosti, drugu imovinu bez kreditnih obveza i izloženosti na osnovi vlasničkih ulaganja.</w:t>
      </w:r>
    </w:p>
    <w:p w14:paraId="3FE223B2" w14:textId="77777777" w:rsidR="000646F8" w:rsidRPr="007F4CC8" w:rsidRDefault="000646F8" w:rsidP="000646F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20E97CEF"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1802F44"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Referentni stupac</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2281C"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Pravna osnova i upute</w:t>
            </w:r>
          </w:p>
        </w:tc>
      </w:tr>
      <w:tr w:rsidR="000646F8" w:rsidRPr="007F4CC8" w14:paraId="2107F935"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386AB09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00593E7"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0646F8" w:rsidRPr="007F4CC8" w14:paraId="4F6A3256" w14:textId="77777777" w:rsidTr="00155C96">
        <w:trPr>
          <w:trHeight w:val="316"/>
        </w:trPr>
        <w:tc>
          <w:tcPr>
            <w:tcW w:w="1413" w:type="dxa"/>
          </w:tcPr>
          <w:p w14:paraId="49F03C7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204DB09A" w14:textId="51A52C8E" w:rsidR="000646F8" w:rsidRPr="009674E9" w:rsidRDefault="000646F8" w:rsidP="00155C96">
            <w:pPr>
              <w:pStyle w:val="Default"/>
              <w:spacing w:after="120"/>
              <w:rPr>
                <w:rFonts w:ascii="Times New Roman" w:hAnsi="Times New Roman" w:cs="Times New Roman"/>
                <w:b/>
                <w:color w:val="auto"/>
              </w:rPr>
            </w:pPr>
            <w:r>
              <w:rPr>
                <w:rFonts w:ascii="Times New Roman" w:hAnsi="Times New Roman"/>
                <w:b/>
                <w:color w:val="auto"/>
              </w:rPr>
              <w:t>Iznos izloženosti ponderiran rizikom prije primjene kreditnih izvedenica</w:t>
            </w:r>
          </w:p>
          <w:p w14:paraId="5F7CBCF7" w14:textId="77777777" w:rsidR="000646F8" w:rsidRPr="007F4CC8" w:rsidRDefault="000646F8" w:rsidP="00155C96">
            <w:pPr>
              <w:pStyle w:val="Default"/>
              <w:spacing w:after="120"/>
              <w:rPr>
                <w:rFonts w:ascii="Times New Roman" w:hAnsi="Times New Roman" w:cs="Times New Roman"/>
              </w:rPr>
            </w:pPr>
            <w:r>
              <w:rPr>
                <w:rFonts w:ascii="Times New Roman" w:hAnsi="Times New Roman"/>
                <w:color w:val="auto"/>
              </w:rPr>
              <w:t>Hipotetski iznos izloženosti ponderiranih rizikom koji se izračunava kao stvarni RWEA uz pretpostavku izostanka priznavanja kreditne izvedenice kao tehnike smanjenja kreditnog rizika kako je propisano u članku 204. CRR-a. Iznosi se iskazuju u kategoriji izloženosti koja je relevantna za izloženosti originalnog dužnika.</w:t>
            </w:r>
          </w:p>
        </w:tc>
      </w:tr>
      <w:tr w:rsidR="000646F8" w:rsidRPr="007F4CC8" w14:paraId="5F7C6B10" w14:textId="77777777" w:rsidTr="00155C96">
        <w:trPr>
          <w:trHeight w:val="316"/>
        </w:trPr>
        <w:tc>
          <w:tcPr>
            <w:tcW w:w="1413" w:type="dxa"/>
          </w:tcPr>
          <w:p w14:paraId="3819E895"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54FC5FB7" w14:textId="257AA22A" w:rsidR="000646F8" w:rsidRPr="009674E9" w:rsidRDefault="000646F8" w:rsidP="00155C96">
            <w:pPr>
              <w:spacing w:after="120"/>
              <w:jc w:val="both"/>
              <w:rPr>
                <w:rFonts w:ascii="Times New Roman" w:hAnsi="Times New Roman" w:cs="Times New Roman"/>
                <w:b/>
                <w:sz w:val="24"/>
              </w:rPr>
            </w:pPr>
            <w:r>
              <w:rPr>
                <w:rFonts w:ascii="Times New Roman" w:hAnsi="Times New Roman"/>
                <w:b/>
                <w:sz w:val="24"/>
              </w:rPr>
              <w:t>Stvarni iznos izloženosti ponderiran rizikom</w:t>
            </w:r>
          </w:p>
          <w:p w14:paraId="70F0C32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Iznos izloženosti ponderiran rizikom koji se izračunava uzimajući u obzir učinak kreditnih izvedenica. Ako institucije zamjenjuju ponder rizika ili parametre rizika dužnika s ponderom rizika ili parametrima rizika pružatelja zaštite, iznosi izloženosti ponderirani rizikom iskazuju se u kategoriji izloženosti relevantnoj za izravne izloženosti prema pružatelju zaštite.</w:t>
            </w:r>
          </w:p>
        </w:tc>
      </w:tr>
    </w:tbl>
    <w:p w14:paraId="43243D39"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37191F9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04D8993"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Referentni redak</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A3AC63"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Pravna osnova i upute</w:t>
            </w:r>
          </w:p>
        </w:tc>
      </w:tr>
      <w:tr w:rsidR="000646F8" w:rsidRPr="007F4CC8" w14:paraId="3D16F593"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59DDC496"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BCB9B71"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0646F8" w:rsidRPr="007F4CC8" w14:paraId="7B016DBA" w14:textId="77777777" w:rsidTr="00155C96">
        <w:trPr>
          <w:trHeight w:val="316"/>
        </w:trPr>
        <w:tc>
          <w:tcPr>
            <w:tcW w:w="1413" w:type="dxa"/>
          </w:tcPr>
          <w:p w14:paraId="34D7D2B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od 1 do 9</w:t>
            </w:r>
          </w:p>
        </w:tc>
        <w:tc>
          <w:tcPr>
            <w:tcW w:w="7654" w:type="dxa"/>
          </w:tcPr>
          <w:p w14:paraId="56BC30F7" w14:textId="6F667B11" w:rsidR="000646F8" w:rsidRPr="007F4CC8" w:rsidRDefault="000646F8" w:rsidP="00155C96">
            <w:pPr>
              <w:pStyle w:val="Default"/>
              <w:spacing w:after="120"/>
              <w:jc w:val="both"/>
              <w:rPr>
                <w:rFonts w:ascii="Times New Roman" w:hAnsi="Times New Roman" w:cs="Times New Roman"/>
                <w:color w:val="auto"/>
              </w:rPr>
            </w:pPr>
            <w:r>
              <w:rPr>
                <w:rFonts w:ascii="Times New Roman" w:hAnsi="Times New Roman"/>
                <w:iCs/>
              </w:rPr>
              <w:t>Institucije uključuju raščlambu iznosa izloženosti ponderiranog rizikom prije primjene kreditnih izvedenica i aktualnog iznosa izloženosti ponderiranog rizikom po kategoriji izloženosti, u skladu s kategorijama izloženosti navedenima u članku 147. CRR-a s dodatnom raščlambom kako je uključena u ovom obrascu, i zasebno za izloženosti na koje se primjenjuje pristupi F-IRB i A-IRB</w:t>
            </w:r>
            <w:r>
              <w:rPr>
                <w:rFonts w:ascii="Times New Roman" w:hAnsi="Times New Roman"/>
                <w:color w:val="auto"/>
              </w:rPr>
              <w:t xml:space="preserve">. </w:t>
            </w:r>
            <w:r w:rsidR="00AD6545">
              <w:rPr>
                <w:rFonts w:ascii="Times New Roman" w:hAnsi="Times New Roman"/>
                <w:color w:val="auto"/>
              </w:rPr>
              <w:t>Institucije u redcima od 1 do 6</w:t>
            </w:r>
            <w:r>
              <w:rPr>
                <w:rFonts w:ascii="Times New Roman" w:hAnsi="Times New Roman"/>
              </w:rPr>
              <w:t xml:space="preserve"> ovog obrasca </w:t>
            </w:r>
            <w:r>
              <w:rPr>
                <w:rFonts w:ascii="Times New Roman" w:hAnsi="Times New Roman"/>
                <w:color w:val="auto"/>
              </w:rPr>
              <w:t>objavljuju podzbrojeve za izloženosti na koje se primjenjuju pristupi F-IRB i A-IRB.</w:t>
            </w:r>
          </w:p>
          <w:p w14:paraId="0CAF563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Institucije objavljuju dodatnu raščlambu za kategoriju izloženosti „izloženosti prema trgovačkim društvima” (članak 147. stavak 2. točka (c)) u skladu sa sljedećim:</w:t>
            </w:r>
          </w:p>
          <w:p w14:paraId="3D8A3CD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izloženosti prema trgovačkim društvima – MSP-ovi, u skladu s internim raspoređivanjem izloženosti prema trgovačkim društvima na temelju politika upravljanja rizikom;</w:t>
            </w:r>
          </w:p>
          <w:p w14:paraId="7B4CCFE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izloženosti prema trgovačkim društvima – u obliku specijaliziranog financiranja, u skladu s člankom 147. stavkom 8. CRR-a, ne uključujući izloženosti u obliku specijaliziranog financiranja u skladu s pristupom raspoređivanja;</w:t>
            </w:r>
          </w:p>
          <w:p w14:paraId="4CD1D6C5"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izloženosti prema trgovačkim društvima – ostalo.</w:t>
            </w:r>
          </w:p>
          <w:p w14:paraId="29292067"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lastRenderedPageBreak/>
              <w:t>Institucije objavljuju dodatnu raščlambu za kategoriju izloženosti „izloženosti prema stanovništvu” (članak 147. stavak 2. točka (d) i članak 147. stavak 5. CRR-a). Institucije objavljuju dodatnu raščlambu za:</w:t>
            </w:r>
          </w:p>
          <w:p w14:paraId="29CCEB4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Izloženosti prema stanovništvu – MSP-ovi, osigurane nekretninama (u vezi s člankom 154. stavcima 2. i 3. CRR-a);</w:t>
            </w:r>
          </w:p>
          <w:p w14:paraId="356AF72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Izloženosti prema stanovništvu – subjekti koji nisu MSP-ovi, osigurane nekretninama (u vezi s člankom 154. stavkom 3. CRR-a);</w:t>
            </w:r>
          </w:p>
          <w:p w14:paraId="639896B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Izloženosti prema stanovništvu – kvalificirane obnovljive izloženosti (u vezi s člankom 154. stavkom 4. CRR-a);</w:t>
            </w:r>
          </w:p>
          <w:p w14:paraId="6FDBCF5C"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 Izloženosti prema stanovništvu– MSP-ovi, ostalo;</w:t>
            </w:r>
          </w:p>
          <w:p w14:paraId="5EAF028B"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rPr>
            </w:pPr>
            <w:r>
              <w:rPr>
                <w:rFonts w:ascii="Times New Roman" w:hAnsi="Times New Roman"/>
                <w:iCs/>
                <w:sz w:val="24"/>
              </w:rPr>
              <w:t>e.       Izloženosti prema stanovništvu – subjekti koji nisu MSP-ovi, ostalo.</w:t>
            </w:r>
          </w:p>
        </w:tc>
      </w:tr>
      <w:tr w:rsidR="000646F8" w:rsidRPr="007F4CC8" w14:paraId="1CFE88CD" w14:textId="77777777" w:rsidTr="00155C96">
        <w:trPr>
          <w:trHeight w:val="316"/>
        </w:trPr>
        <w:tc>
          <w:tcPr>
            <w:tcW w:w="1413" w:type="dxa"/>
          </w:tcPr>
          <w:p w14:paraId="00DB739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10</w:t>
            </w:r>
          </w:p>
        </w:tc>
        <w:tc>
          <w:tcPr>
            <w:tcW w:w="7654" w:type="dxa"/>
          </w:tcPr>
          <w:p w14:paraId="7DEEBEAC" w14:textId="355DBEDB"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IZLOŽENOSTI UKUPNO (uključujući izloženosti na koje se primjenjuju pristupi F-IRB i A-IRB)</w:t>
            </w:r>
          </w:p>
          <w:p w14:paraId="4B15C39F" w14:textId="20557A45"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Ukupan iznos izloženosti ponderiran rizikom prije primjene kreditnih izvedenica i ukupan aktualni iznos izloženosti ponderiran rizikom za sve izloženosti u skladu s IRB pristupom (uključujući F-IRB i A-IRB).</w:t>
            </w:r>
          </w:p>
        </w:tc>
      </w:tr>
    </w:tbl>
    <w:p w14:paraId="6BD2D25F" w14:textId="77777777" w:rsidR="000646F8" w:rsidRPr="007F4CC8" w:rsidRDefault="000646F8" w:rsidP="000646F8">
      <w:pPr>
        <w:spacing w:after="120"/>
        <w:rPr>
          <w:rFonts w:ascii="Times New Roman" w:hAnsi="Times New Roman" w:cs="Times New Roman"/>
          <w:sz w:val="24"/>
        </w:rPr>
      </w:pPr>
    </w:p>
    <w:p w14:paraId="11DD85AB" w14:textId="2CF6BC6B" w:rsidR="000646F8" w:rsidRPr="007F4CC8" w:rsidRDefault="00CD362D" w:rsidP="000646F8">
      <w:pPr>
        <w:spacing w:after="120"/>
        <w:rPr>
          <w:rFonts w:ascii="Times New Roman" w:hAnsi="Times New Roman" w:cs="Times New Roman"/>
          <w:b/>
          <w:sz w:val="24"/>
        </w:rPr>
      </w:pPr>
      <w:r>
        <w:rPr>
          <w:rFonts w:ascii="Times New Roman" w:hAnsi="Times New Roman"/>
          <w:b/>
          <w:sz w:val="24"/>
        </w:rPr>
        <w:t xml:space="preserve">Obrazac EU CR7-A – IRB pristup – Objavljivanje informacija o opsegu primjene tehnika smanjenja kreditnog rizika </w:t>
      </w:r>
    </w:p>
    <w:p w14:paraId="7A5DAE09" w14:textId="5D46E8EB"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Institucije objavljuju informacije iz članka 453. točke (g) CRR-a zasebno za izloženosti na koje se primjenjuju A-IRB i F-IRB prateći upute u nastavku ovog Priloga za popunjavanje obrasca EU CR7-A iz Priloga XXI. ovoj Provedbenoj uredbi. Ako se stavka materijalne kreditne zaštite primjenjuje na više od jedne izloženosti, zbroj izloženosti koje se smatraju osiguranima tom stavkom ne može biti veći od vrijednosti stavke kreditne zaštite.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5843743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6EA82F5"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Referentni stupac</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EDC3B"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Pravna osnova i upute</w:t>
            </w:r>
          </w:p>
        </w:tc>
      </w:tr>
      <w:tr w:rsidR="000646F8" w:rsidRPr="007F4CC8" w14:paraId="3BB44EDA" w14:textId="77777777" w:rsidTr="00155C96">
        <w:trPr>
          <w:trHeight w:val="238"/>
        </w:trPr>
        <w:tc>
          <w:tcPr>
            <w:tcW w:w="1413" w:type="dxa"/>
            <w:vMerge/>
            <w:tcBorders>
              <w:left w:val="single" w:sz="4" w:space="0" w:color="auto"/>
              <w:right w:val="single" w:sz="4" w:space="0" w:color="auto"/>
            </w:tcBorders>
            <w:shd w:val="clear" w:color="auto" w:fill="D9D9D9" w:themeFill="background1" w:themeFillShade="D9"/>
          </w:tcPr>
          <w:p w14:paraId="2ECE1EF9"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4870AC1"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0646F8" w:rsidRPr="007F4CC8" w14:paraId="64CA6538" w14:textId="77777777" w:rsidTr="00155C96">
        <w:trPr>
          <w:trHeight w:val="2388"/>
        </w:trPr>
        <w:tc>
          <w:tcPr>
            <w:tcW w:w="1413" w:type="dxa"/>
          </w:tcPr>
          <w:p w14:paraId="0F41D8A4"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w:t>
            </w:r>
          </w:p>
        </w:tc>
        <w:tc>
          <w:tcPr>
            <w:tcW w:w="7654" w:type="dxa"/>
          </w:tcPr>
          <w:p w14:paraId="6C20BE14" w14:textId="4AA60E28" w:rsidR="000646F8" w:rsidRPr="009674E9" w:rsidRDefault="009674E9" w:rsidP="00155C96">
            <w:pPr>
              <w:spacing w:after="120"/>
              <w:jc w:val="both"/>
              <w:rPr>
                <w:rFonts w:ascii="Times New Roman" w:hAnsi="Times New Roman" w:cs="Times New Roman"/>
                <w:b/>
                <w:sz w:val="24"/>
              </w:rPr>
            </w:pPr>
            <w:r>
              <w:rPr>
                <w:rFonts w:ascii="Times New Roman" w:hAnsi="Times New Roman"/>
                <w:b/>
                <w:sz w:val="24"/>
              </w:rPr>
              <w:t>Ukupne izloženosti</w:t>
            </w:r>
          </w:p>
          <w:p w14:paraId="3F28EF70"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Vrijednost izloženosti (nakon primjene konverzijskih faktora) u skladu s člancima 166. i 167. CRR-a.</w:t>
            </w:r>
          </w:p>
          <w:p w14:paraId="2076845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Izloženosti se objavljuju u skladu s kategorijom izloženosti koja je primjenjiva na dužnika, ne uzimajući u obzir učinke zamjene zbog postojanja jamstva.</w:t>
            </w:r>
          </w:p>
          <w:p w14:paraId="7DC0B41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Institucije koje primjenjuju jednostavni pristup </w:t>
            </w:r>
            <w:proofErr w:type="spellStart"/>
            <w:r>
              <w:rPr>
                <w:rFonts w:ascii="Times New Roman" w:hAnsi="Times New Roman"/>
                <w:sz w:val="24"/>
              </w:rPr>
              <w:t>ponderiranja</w:t>
            </w:r>
            <w:proofErr w:type="spellEnd"/>
            <w:r>
              <w:rPr>
                <w:rFonts w:ascii="Times New Roman" w:hAnsi="Times New Roman"/>
                <w:sz w:val="24"/>
              </w:rPr>
              <w:t xml:space="preserve"> uzimaju u obzir i odredbe o prijeboju iz članka 155. stavka 2. CRR-a.</w:t>
            </w:r>
          </w:p>
        </w:tc>
      </w:tr>
      <w:tr w:rsidR="000646F8" w:rsidRPr="007F4CC8" w14:paraId="20E39548" w14:textId="77777777" w:rsidTr="00155C96">
        <w:trPr>
          <w:trHeight w:val="316"/>
        </w:trPr>
        <w:tc>
          <w:tcPr>
            <w:tcW w:w="1413" w:type="dxa"/>
          </w:tcPr>
          <w:p w14:paraId="439A077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071D05D9" w14:textId="3C8375D6"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Dio izloženosti pokriven financijskim kolateralima (%)</w:t>
            </w:r>
          </w:p>
          <w:p w14:paraId="7F76105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Postotak izloženosti osiguran financijskim kolateralima iznad ukupnih izloženosti kao u stupcu a ovog obrasca.</w:t>
            </w:r>
          </w:p>
          <w:p w14:paraId="6F5E213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Financijski kolateral, uključujući gotovinski kolateral, dužničke vrijednosne papire i zlato, kako su navedeni u člancima 197. i 198. CRR-a uključuje se u </w:t>
            </w:r>
            <w:r>
              <w:rPr>
                <w:rFonts w:ascii="Times New Roman" w:hAnsi="Times New Roman"/>
                <w:sz w:val="24"/>
              </w:rPr>
              <w:lastRenderedPageBreak/>
              <w:t>brojnik ako su ispunjeni svi zahtjevi iz članka 207. stavaka od 2. do 4. CRR-a. Vrijednost objavljenog kolaterala ograničava se na vrijednost izloženosti na razini pojedinačne izloženosti.</w:t>
            </w:r>
          </w:p>
          <w:p w14:paraId="092D10A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Ako se primjenjuju vlastite procjene LGD-a: u procjenama LGD-a uzima se u obzir kolateral u skladu s člankom 181. stavkom 1. točkama (e) i (f) CRR-a. Iznos koji se objavljuje procijenjena je tržišna vrijednost kolaterala. </w:t>
            </w:r>
          </w:p>
        </w:tc>
      </w:tr>
      <w:tr w:rsidR="000646F8" w:rsidRPr="007F4CC8" w14:paraId="5EB574BD" w14:textId="77777777" w:rsidTr="00155C96">
        <w:trPr>
          <w:trHeight w:val="316"/>
        </w:trPr>
        <w:tc>
          <w:tcPr>
            <w:tcW w:w="1413" w:type="dxa"/>
          </w:tcPr>
          <w:p w14:paraId="55E2A5C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c</w:t>
            </w:r>
          </w:p>
        </w:tc>
        <w:tc>
          <w:tcPr>
            <w:tcW w:w="7654" w:type="dxa"/>
          </w:tcPr>
          <w:p w14:paraId="72FD923C"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Dio izloženosti pokriven drugim prihvatljivim kolateralima (%)</w:t>
            </w:r>
          </w:p>
          <w:p w14:paraId="04DFFFB0"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Postotak izloženosti osiguran drugim prihvatljivim kolateralima iznad ukupnih izloženosti kao u stupcu a ovog obrasca</w:t>
            </w:r>
          </w:p>
          <w:p w14:paraId="2060A807"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Vrijednosti objavljene u ovom stupcu zbroj su vrijednosti u stupcima od d do f ovog obrasca.</w:t>
            </w:r>
          </w:p>
          <w:p w14:paraId="371AEB03" w14:textId="77777777" w:rsidR="000646F8" w:rsidRPr="007F4CC8" w:rsidRDefault="000646F8" w:rsidP="00155C96">
            <w:pPr>
              <w:spacing w:after="120"/>
              <w:rPr>
                <w:rFonts w:ascii="Times New Roman" w:hAnsi="Times New Roman"/>
                <w:sz w:val="24"/>
              </w:rPr>
            </w:pPr>
            <w:r>
              <w:rPr>
                <w:rFonts w:ascii="Times New Roman" w:hAnsi="Times New Roman"/>
                <w:sz w:val="24"/>
              </w:rPr>
              <w:t>Ako se ne primjenjuju vlastite procjene LGD-a: Članak 199. stavci od 1. do 8. CRR-a i članak 229. CRR-a.</w:t>
            </w:r>
          </w:p>
          <w:p w14:paraId="1EB69D1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Ako se primjenjuju vlastite procjene LGD-a: u procjenama LGD-a uzima se u obzir drugi kolateral u skladu s člankom 181. stavkom 1. točkama (e) i (f) CRR-a.</w:t>
            </w:r>
          </w:p>
        </w:tc>
      </w:tr>
      <w:tr w:rsidR="000646F8" w:rsidRPr="007F4CC8" w14:paraId="39BA0574" w14:textId="77777777" w:rsidTr="00155C96">
        <w:trPr>
          <w:trHeight w:val="316"/>
        </w:trPr>
        <w:tc>
          <w:tcPr>
            <w:tcW w:w="1413" w:type="dxa"/>
          </w:tcPr>
          <w:p w14:paraId="724C5A6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76347F19" w14:textId="655FCE6B"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Dio izloženosti pokriven nekretninama (%)</w:t>
            </w:r>
          </w:p>
          <w:p w14:paraId="56FCDB17"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Postotak izloženosti osiguran nekretninama uključujući najam u skladu s člankom 199. stavkom 7. iznad ukupnih izloženosti kao u stupcu a ovog obrasca</w:t>
            </w:r>
          </w:p>
          <w:p w14:paraId="3D6DE8AF"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 xml:space="preserve">Nekretnine se uključuju u brojnik ako ispunjavaju sve uvjete prihvatljivosti iz članka 208. stavaka od 2. do 5. CRR-a. </w:t>
            </w:r>
          </w:p>
          <w:p w14:paraId="3C84478F" w14:textId="77777777" w:rsidR="000646F8" w:rsidRPr="007F4CC8" w:rsidRDefault="000646F8" w:rsidP="00155C96">
            <w:pPr>
              <w:autoSpaceDE w:val="0"/>
              <w:autoSpaceDN w:val="0"/>
              <w:adjustRightInd w:val="0"/>
              <w:spacing w:after="120"/>
              <w:jc w:val="both"/>
            </w:pPr>
            <w:r>
              <w:rPr>
                <w:rFonts w:ascii="Times New Roman" w:hAnsi="Times New Roman"/>
                <w:sz w:val="24"/>
              </w:rPr>
              <w:t>Najam nekretnina uključuje se u brojnik ako ispunjava sve uvjete prihvatljivosti iz članka 211. CRR-a. Vrijednost objavljenog kolaterala ograničava se na vrijednost izloženosti na razini pojedinačne izloženosti.</w:t>
            </w:r>
          </w:p>
        </w:tc>
      </w:tr>
      <w:tr w:rsidR="000646F8" w:rsidRPr="007F4CC8" w14:paraId="2C9D2CBE" w14:textId="77777777" w:rsidTr="00155C96">
        <w:trPr>
          <w:trHeight w:val="316"/>
        </w:trPr>
        <w:tc>
          <w:tcPr>
            <w:tcW w:w="1413" w:type="dxa"/>
          </w:tcPr>
          <w:p w14:paraId="306FF81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528CCEF0"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Dio izloženosti pokriven potraživanjima (%)</w:t>
            </w:r>
          </w:p>
          <w:p w14:paraId="7EEBA57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Postotak izloženosti osiguran potraživanjima u skladu s člankom 199. stavkom 5. iznad ukupnih izloženosti kao u stupcu a ovog obrasca</w:t>
            </w:r>
          </w:p>
          <w:p w14:paraId="31372BE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Potraživanja se uključuje u brojnik ako ispunjavaju sve uvjete prihvatljivosti iz članka 209. CRR-a. Vrijednost objavljenog kolaterala ograničava se na vrijednost izloženosti na razini pojedinačne izloženosti.</w:t>
            </w:r>
          </w:p>
        </w:tc>
      </w:tr>
      <w:tr w:rsidR="000646F8" w:rsidRPr="007F4CC8" w14:paraId="3E72DD3E" w14:textId="77777777" w:rsidTr="00155C96">
        <w:trPr>
          <w:trHeight w:val="316"/>
        </w:trPr>
        <w:tc>
          <w:tcPr>
            <w:tcW w:w="1413" w:type="dxa"/>
          </w:tcPr>
          <w:p w14:paraId="24CA425A"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w:t>
            </w:r>
          </w:p>
        </w:tc>
        <w:tc>
          <w:tcPr>
            <w:tcW w:w="7654" w:type="dxa"/>
          </w:tcPr>
          <w:p w14:paraId="7E603B8D"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Dio izloženosti pokriven drugim fizičkim kolateralima (%)</w:t>
            </w:r>
          </w:p>
          <w:p w14:paraId="4CD98DA7"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Postotak izloženosti osiguran drugim fizičkim kolateralima uključujući najam tih kolaterala u skladu s člankom 199. stavcima od 6. do 8. CRR-a iznad ukupnih izloženosti kao u stupcu a ovog obrasca</w:t>
            </w:r>
          </w:p>
          <w:p w14:paraId="511C1C34" w14:textId="77777777" w:rsidR="000646F8" w:rsidRPr="007F4CC8" w:rsidRDefault="000646F8" w:rsidP="00155C96">
            <w:pPr>
              <w:spacing w:after="120"/>
              <w:rPr>
                <w:rFonts w:ascii="Times New Roman" w:eastAsia="Times New Roman" w:hAnsi="Times New Roman" w:cs="Times New Roman"/>
                <w:sz w:val="24"/>
              </w:rPr>
            </w:pPr>
            <w:r>
              <w:rPr>
                <w:rFonts w:ascii="Times New Roman" w:hAnsi="Times New Roman"/>
                <w:sz w:val="24"/>
              </w:rPr>
              <w:t>Drugi fizički kolaterali uključuju se u brojnik ako ispunjavaju sve uvjete prihvatljivosti iz članka 210. CRR-a. Vrijednost objavljenog kolaterala ograničava se na vrijednost izloženosti na razini pojedinačne izloženosti.</w:t>
            </w:r>
          </w:p>
        </w:tc>
      </w:tr>
      <w:tr w:rsidR="000646F8" w:rsidRPr="007F4CC8" w14:paraId="13C30B60" w14:textId="77777777" w:rsidTr="00155C96">
        <w:trPr>
          <w:trHeight w:val="316"/>
        </w:trPr>
        <w:tc>
          <w:tcPr>
            <w:tcW w:w="1413" w:type="dxa"/>
          </w:tcPr>
          <w:p w14:paraId="579E720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g</w:t>
            </w:r>
          </w:p>
        </w:tc>
        <w:tc>
          <w:tcPr>
            <w:tcW w:w="7654" w:type="dxa"/>
          </w:tcPr>
          <w:p w14:paraId="74889270"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Dio izloženosti pokriven drugom materijalnom kreditnom zaštitom (%)</w:t>
            </w:r>
          </w:p>
          <w:p w14:paraId="3666B91E"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Postotak izloženosti osiguran drugom materijalnom kreditnom zaštitom iznad ukupnih izloženosti kao u stupcu a.</w:t>
            </w:r>
          </w:p>
          <w:p w14:paraId="1DD8731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Vrijednosti u ovom stupcu zbroj su vrijednosti u stupcima h, i </w:t>
            </w:r>
            <w:proofErr w:type="spellStart"/>
            <w:r>
              <w:rPr>
                <w:rFonts w:ascii="Times New Roman" w:hAnsi="Times New Roman"/>
                <w:sz w:val="24"/>
              </w:rPr>
              <w:t>i</w:t>
            </w:r>
            <w:proofErr w:type="spellEnd"/>
            <w:r>
              <w:rPr>
                <w:rFonts w:ascii="Times New Roman" w:hAnsi="Times New Roman"/>
                <w:sz w:val="24"/>
              </w:rPr>
              <w:t xml:space="preserve"> j ovog obrasca.</w:t>
            </w:r>
          </w:p>
        </w:tc>
      </w:tr>
      <w:tr w:rsidR="000646F8" w:rsidRPr="007F4CC8" w14:paraId="6224A848" w14:textId="77777777" w:rsidTr="00155C96">
        <w:trPr>
          <w:trHeight w:val="316"/>
        </w:trPr>
        <w:tc>
          <w:tcPr>
            <w:tcW w:w="1413" w:type="dxa"/>
          </w:tcPr>
          <w:p w14:paraId="3C981E3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h</w:t>
            </w:r>
          </w:p>
          <w:p w14:paraId="32CB201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tc>
        <w:tc>
          <w:tcPr>
            <w:tcW w:w="7654" w:type="dxa"/>
          </w:tcPr>
          <w:p w14:paraId="359B91A3" w14:textId="5EBFF05C"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Dio izloženosti pokriven gotovinskim depozitima (%)</w:t>
            </w:r>
          </w:p>
          <w:p w14:paraId="2C2EEE49" w14:textId="12731F4D"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Postotak izloženosti osiguran gotovinom ili instrumentima koji se mogu smatrati gotovinom koje drži treća institucija iznad ukupnih izloženosti kao u stupcu a ovog obrasca; u skladu s člankom 200. točkom (a) CRR-a, ostala materijalna kreditna zaštita obuhvaća gotovinske </w:t>
            </w:r>
            <w:proofErr w:type="spellStart"/>
            <w:r>
              <w:rPr>
                <w:rFonts w:ascii="Times New Roman" w:hAnsi="Times New Roman"/>
                <w:sz w:val="24"/>
              </w:rPr>
              <w:t>pologe</w:t>
            </w:r>
            <w:proofErr w:type="spellEnd"/>
            <w:r>
              <w:rPr>
                <w:rFonts w:ascii="Times New Roman" w:hAnsi="Times New Roman"/>
                <w:sz w:val="24"/>
              </w:rPr>
              <w:t xml:space="preserve"> položene kod treće institucije ili instrumente koji se mogu smatrati gotovinom i koje drži treća institucija u </w:t>
            </w:r>
            <w:proofErr w:type="spellStart"/>
            <w:r>
              <w:rPr>
                <w:rFonts w:ascii="Times New Roman" w:hAnsi="Times New Roman"/>
                <w:sz w:val="24"/>
              </w:rPr>
              <w:t>neskrbničkom</w:t>
            </w:r>
            <w:proofErr w:type="spellEnd"/>
            <w:r>
              <w:rPr>
                <w:rFonts w:ascii="Times New Roman" w:hAnsi="Times New Roman"/>
                <w:sz w:val="24"/>
              </w:rPr>
              <w:t xml:space="preserve"> odnosu, a koji su dani u zalog instituciji kreditoru. </w:t>
            </w:r>
          </w:p>
          <w:p w14:paraId="1F7838B8"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Vrijednost objavljenog kolaterala ograničava se na vrijednost izloženosti na razini pojedinačne izloženosti.</w:t>
            </w:r>
          </w:p>
        </w:tc>
      </w:tr>
      <w:tr w:rsidR="000646F8" w:rsidRPr="007F4CC8" w14:paraId="28666159" w14:textId="77777777" w:rsidTr="00155C96">
        <w:trPr>
          <w:trHeight w:val="316"/>
        </w:trPr>
        <w:tc>
          <w:tcPr>
            <w:tcW w:w="1413" w:type="dxa"/>
          </w:tcPr>
          <w:p w14:paraId="3358D04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w:t>
            </w:r>
          </w:p>
        </w:tc>
        <w:tc>
          <w:tcPr>
            <w:tcW w:w="7654" w:type="dxa"/>
          </w:tcPr>
          <w:p w14:paraId="713A68B6" w14:textId="10944047"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Dio izloženosti pokriven policama životnog osiguranja (%)</w:t>
            </w:r>
          </w:p>
          <w:p w14:paraId="68D00E2B"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Postotak izloženosti osiguran policama životnog osiguranja iznad ukupnih izloženosti kao u stupcu a ovog obrasca.</w:t>
            </w:r>
          </w:p>
          <w:p w14:paraId="10BC71C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U skladu s člankom 200. točkom (b) CRR-a, ostala kreditna zaštita obuhvaća police životnog osiguranja založene u korist institucije kreditora. Vrijednost objavljenog kolaterala ograničava se na vrijednost izloženosti na razini pojedinačne izloženosti.</w:t>
            </w:r>
          </w:p>
        </w:tc>
      </w:tr>
      <w:tr w:rsidR="000646F8" w:rsidRPr="007F4CC8" w14:paraId="33EEEDB9" w14:textId="77777777" w:rsidTr="00155C96">
        <w:trPr>
          <w:trHeight w:val="316"/>
        </w:trPr>
        <w:tc>
          <w:tcPr>
            <w:tcW w:w="1413" w:type="dxa"/>
          </w:tcPr>
          <w:p w14:paraId="7AB15CA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j</w:t>
            </w:r>
          </w:p>
        </w:tc>
        <w:tc>
          <w:tcPr>
            <w:tcW w:w="7654" w:type="dxa"/>
          </w:tcPr>
          <w:p w14:paraId="013D9F1D" w14:textId="0FCD22B1"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Dio izloženosti pokriven instrumentima koje drži treća strana (%)</w:t>
            </w:r>
          </w:p>
          <w:p w14:paraId="340DC0A0"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Postotak izloženosti osiguran kolateralom u obliku instrumenata koje drži treća strana iznad ukupnih izloženosti kao u stupcu a ovog obrasca; Dio izloženosti pokriven instrumentima koje je izdala treća strana iznad ukupnih izloženosti.</w:t>
            </w:r>
          </w:p>
          <w:p w14:paraId="0EA3909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U skladu s člankom 200. točkom (c) CRR-a, objavljena vrijednost uključuje instrumente koje je izdala treća institucija koje će ta institucija ponovno otkupiti na zahtjev. Vrijednost kolaterala ograničava se na vrijednost izloženosti na razini pojedinačne izloženosti. Postotak ne uključuje one izloženosti pokrivene instrumentima koje drži treća strana ako, u skladu s člankom 232. stavkom 4. CRR-a, institucije tretiraju instrumente koji će na zahtjev biti otkupljeni, a koji se mogu priznati na temelju članka 200. točke (c) CRR-a, kao jamstvo institucije koja ih je izdala. </w:t>
            </w:r>
          </w:p>
        </w:tc>
      </w:tr>
      <w:tr w:rsidR="000646F8" w:rsidRPr="007F4CC8" w14:paraId="21700143" w14:textId="77777777" w:rsidTr="00155C96">
        <w:trPr>
          <w:trHeight w:val="316"/>
        </w:trPr>
        <w:tc>
          <w:tcPr>
            <w:tcW w:w="1413" w:type="dxa"/>
          </w:tcPr>
          <w:p w14:paraId="7022B3E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w:t>
            </w:r>
          </w:p>
        </w:tc>
        <w:tc>
          <w:tcPr>
            <w:tcW w:w="7654" w:type="dxa"/>
          </w:tcPr>
          <w:p w14:paraId="7E5B7C83" w14:textId="704B6B34" w:rsidR="000646F8" w:rsidRPr="00E4274A" w:rsidRDefault="000646F8" w:rsidP="00155C96">
            <w:pPr>
              <w:spacing w:after="120"/>
              <w:rPr>
                <w:rFonts w:ascii="Times New Roman" w:hAnsi="Times New Roman" w:cs="Times New Roman"/>
                <w:b/>
                <w:sz w:val="24"/>
              </w:rPr>
            </w:pPr>
            <w:r>
              <w:rPr>
                <w:rFonts w:ascii="Times New Roman" w:hAnsi="Times New Roman"/>
                <w:b/>
                <w:sz w:val="24"/>
              </w:rPr>
              <w:t>UFCP – Dio izloženosti pokriven jamstvima (%)</w:t>
            </w:r>
          </w:p>
          <w:p w14:paraId="16C4B7F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Postotak izloženosti osiguran jamstvima iznad ukupnih izloženosti kao u stupcu a ovog obrasca. </w:t>
            </w:r>
          </w:p>
          <w:p w14:paraId="13D304E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Jamstva ispunjavaju zahtjeve iz članaka 213., 214., 215. i, prema potrebi, članka 217. i članka 232. stavka 4. CRR-a. Vrijednost jamstava ograničava se na vrijednost izloženosti na razini pojedinačne izloženosti.</w:t>
            </w:r>
          </w:p>
        </w:tc>
      </w:tr>
      <w:tr w:rsidR="000646F8" w:rsidRPr="007F4CC8" w14:paraId="514C2F0C" w14:textId="77777777" w:rsidTr="00155C96">
        <w:trPr>
          <w:trHeight w:val="316"/>
        </w:trPr>
        <w:tc>
          <w:tcPr>
            <w:tcW w:w="1413" w:type="dxa"/>
          </w:tcPr>
          <w:p w14:paraId="60ED3E08"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w:t>
            </w:r>
          </w:p>
        </w:tc>
        <w:tc>
          <w:tcPr>
            <w:tcW w:w="7654" w:type="dxa"/>
          </w:tcPr>
          <w:p w14:paraId="087198D1" w14:textId="266E86AC" w:rsidR="000646F8" w:rsidRPr="00E4274A" w:rsidRDefault="000646F8" w:rsidP="00155C96">
            <w:pPr>
              <w:spacing w:after="120"/>
              <w:rPr>
                <w:rFonts w:ascii="Times New Roman" w:hAnsi="Times New Roman" w:cs="Times New Roman"/>
                <w:b/>
                <w:sz w:val="24"/>
              </w:rPr>
            </w:pPr>
            <w:r>
              <w:rPr>
                <w:rFonts w:ascii="Times New Roman" w:hAnsi="Times New Roman"/>
                <w:b/>
                <w:sz w:val="24"/>
              </w:rPr>
              <w:t xml:space="preserve">UFCP - Dio izloženosti pokriven kreditnim izvedenicama(%) </w:t>
            </w:r>
          </w:p>
          <w:p w14:paraId="0900509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Postotak izloženosti osiguran kreditnim izvedenicama iznad ukupnih izloženosti kao u stupcu a ovog obrasca.</w:t>
            </w:r>
          </w:p>
          <w:p w14:paraId="6C2048FB" w14:textId="3CEB8B43"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Kreditne izvedenice obuhvaćaju sljedeće:</w:t>
            </w:r>
          </w:p>
          <w:p w14:paraId="2D9CB1C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ugovore o razmjeni na osnovi nastanka statusa neispunjavanja obveza </w:t>
            </w:r>
          </w:p>
          <w:p w14:paraId="6F5C1A9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ugovore o razmjeni ukupnog prinosa</w:t>
            </w:r>
          </w:p>
          <w:p w14:paraId="3B751F1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kreditne zapise do iznosa gotovine uplaćene po tim instrumentima.</w:t>
            </w:r>
          </w:p>
          <w:p w14:paraId="1737C34D" w14:textId="46AFC4AC"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Ti instrumenti ispunjavaju uvjete iz članka 204. stavaka 1. i 2., članaka 213. i 216., i prema potrebi članka 217. CRR-a. Vrijednost kreditnih izvedenica ograničava se na vrijednost izloženosti na razini pojedinačne izloženosti.</w:t>
            </w:r>
          </w:p>
        </w:tc>
      </w:tr>
      <w:tr w:rsidR="000646F8" w:rsidRPr="007F4CC8" w14:paraId="5C95ED94" w14:textId="77777777" w:rsidTr="00155C96">
        <w:trPr>
          <w:trHeight w:val="316"/>
        </w:trPr>
        <w:tc>
          <w:tcPr>
            <w:tcW w:w="1413" w:type="dxa"/>
          </w:tcPr>
          <w:p w14:paraId="72B5C389"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m</w:t>
            </w:r>
          </w:p>
        </w:tc>
        <w:tc>
          <w:tcPr>
            <w:tcW w:w="7654" w:type="dxa"/>
          </w:tcPr>
          <w:p w14:paraId="421B595A" w14:textId="525B35D8" w:rsidR="000646F8" w:rsidRPr="00E4274A"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RWEA bez učinaka zamjene (samo učinci smanjenja)</w:t>
            </w:r>
          </w:p>
          <w:p w14:paraId="2E3FB1D4" w14:textId="26CABDA5"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Iznosi izloženosti ponderirani rizikom koji se izračunavaju u skladu s člankom 92. stavkom 3. točkama (a) i (f), uključujući svako smanjenje RWEA zbog postojanja materijalne ili nematerijalne kreditne zaštite, uključujući ako su PD i LGD ili ponder rizika zamijenjeni zbog postojanja nematerijalne kreditne zaštite. Ipak, u svim slučajevima, uključujući kada se koristi pristup zamjene, izloženosti se objavljuju u kategorijama izvorne izloženosti koja je primjenjiva na dužnika.</w:t>
            </w:r>
          </w:p>
        </w:tc>
      </w:tr>
      <w:tr w:rsidR="000646F8" w:rsidRPr="007F4CC8" w14:paraId="11F252FB" w14:textId="77777777" w:rsidTr="00155C96">
        <w:trPr>
          <w:trHeight w:val="316"/>
        </w:trPr>
        <w:tc>
          <w:tcPr>
            <w:tcW w:w="1413" w:type="dxa"/>
          </w:tcPr>
          <w:p w14:paraId="7EC81F4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w:t>
            </w:r>
          </w:p>
        </w:tc>
        <w:tc>
          <w:tcPr>
            <w:tcW w:w="7654" w:type="dxa"/>
          </w:tcPr>
          <w:p w14:paraId="5E63EE4F" w14:textId="2091D7EB"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RWEA s učincima zamjene (učinci smanjenja i zamjene)</w:t>
            </w:r>
          </w:p>
          <w:p w14:paraId="3ABA238B"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Iznosi izloženosti ponderirani rizikom koji se izračunavaju u skladu s člancima od 153. do 157. CRR-a uključujući svako smanjenje iznosa RWEA zbog postojanja materijalne ili nematerijalne kreditne zaštite. Ako su PD i LGD ili ponder rizika zamijenjeni zbog postojanja nematerijalne kreditne zaštite, izloženosti se objavljuju u kategoriji izloženosti koja je primjenjiva na pružatelja zaštite.</w:t>
            </w:r>
          </w:p>
        </w:tc>
      </w:tr>
    </w:tbl>
    <w:p w14:paraId="1866259A"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5BD0868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1BD4430"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Referentni redak</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EDA499"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Pravna osnova i upute</w:t>
            </w:r>
          </w:p>
        </w:tc>
      </w:tr>
      <w:tr w:rsidR="000646F8" w:rsidRPr="007F4CC8" w14:paraId="17A45D16" w14:textId="77777777" w:rsidTr="00155C96">
        <w:trPr>
          <w:trHeight w:val="237"/>
        </w:trPr>
        <w:tc>
          <w:tcPr>
            <w:tcW w:w="1413" w:type="dxa"/>
            <w:vMerge/>
            <w:tcBorders>
              <w:left w:val="single" w:sz="4" w:space="0" w:color="auto"/>
              <w:right w:val="single" w:sz="4" w:space="0" w:color="auto"/>
            </w:tcBorders>
            <w:shd w:val="clear" w:color="auto" w:fill="D9D9D9" w:themeFill="background1" w:themeFillShade="D9"/>
          </w:tcPr>
          <w:p w14:paraId="69C4E5B1"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1ACA78B"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0646F8" w:rsidRPr="007F4CC8" w14:paraId="00F7D46C" w14:textId="77777777" w:rsidTr="00155C96">
        <w:trPr>
          <w:trHeight w:val="316"/>
        </w:trPr>
        <w:tc>
          <w:tcPr>
            <w:tcW w:w="1413" w:type="dxa"/>
          </w:tcPr>
          <w:p w14:paraId="1793C37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14:paraId="1ABDDDEF" w14:textId="77777777" w:rsidR="000646F8" w:rsidRPr="007F4CC8" w:rsidRDefault="000646F8" w:rsidP="00155C96">
            <w:pPr>
              <w:pStyle w:val="Default"/>
              <w:spacing w:after="120"/>
              <w:jc w:val="both"/>
              <w:rPr>
                <w:rFonts w:ascii="Times New Roman" w:hAnsi="Times New Roman" w:cs="Times New Roman"/>
              </w:rPr>
            </w:pPr>
            <w:r>
              <w:rPr>
                <w:rFonts w:ascii="Times New Roman" w:hAnsi="Times New Roman"/>
                <w:iCs/>
              </w:rPr>
              <w:t>Informacije se objavljuju zasebno za izloženosti na koje se primjenjuje pristup A-IRB i pristup F-IRB, kao i za izloženosti u obliku specijaliziranog financiranja u skladu s pristupom raspoređivanja i izloženosti na osnovi vlasničkih ulaganja.</w:t>
            </w:r>
            <w:r>
              <w:tab/>
            </w:r>
          </w:p>
        </w:tc>
      </w:tr>
      <w:tr w:rsidR="000646F8" w:rsidRPr="007F4CC8" w14:paraId="70E1B28D" w14:textId="77777777" w:rsidTr="00155C96">
        <w:trPr>
          <w:trHeight w:val="316"/>
        </w:trPr>
        <w:tc>
          <w:tcPr>
            <w:tcW w:w="1413" w:type="dxa"/>
          </w:tcPr>
          <w:p w14:paraId="3E9CE85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p w14:paraId="248AE2F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A-IRB</w:t>
            </w:r>
          </w:p>
        </w:tc>
        <w:tc>
          <w:tcPr>
            <w:tcW w:w="7654" w:type="dxa"/>
          </w:tcPr>
          <w:p w14:paraId="7F3134D4" w14:textId="09DAF42E"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Institucije uključuju informacije o tehnikama smanjenja kreditnog rizika koje su navedene u ovom obrascu prema kategoriji izloženosti, u skladu s kategorijama izloženosti navedenima u članku 147. CRR-a, s dodatnom raščlambom za kategoriju izloženosti „trgovačka društva” (članak 147. stavak 2. točka (c) CRR-a) u skladu sa sljedećim:</w:t>
            </w:r>
          </w:p>
          <w:p w14:paraId="1DC49DD5"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izloženosti prema trgovačkim društvima – MSP-ovi, u skladu s internim raspoređivanjem izloženosti prema trgovačkim društvima na temelju politika upravljanja rizikom;</w:t>
            </w:r>
          </w:p>
          <w:p w14:paraId="1AE7AEC0"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izloženosti prema trgovačkim društvima – u obliku specijaliziranog financiranja, u skladu s člankom 147. stavkom 8. CRR-a, ne uključujući izloženosti u obliku specijaliziranog financiranja u skladu s pristupom raspoređivanja;</w:t>
            </w:r>
          </w:p>
          <w:p w14:paraId="4527C255" w14:textId="31C23D9C"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lastRenderedPageBreak/>
              <w:t>c.</w:t>
            </w:r>
            <w:r>
              <w:tab/>
            </w:r>
            <w:r>
              <w:rPr>
                <w:rFonts w:ascii="Times New Roman" w:hAnsi="Times New Roman"/>
                <w:iCs/>
                <w:sz w:val="24"/>
              </w:rPr>
              <w:t>izloženosti prema trgovačkim društvima – ostalo.</w:t>
            </w:r>
          </w:p>
          <w:p w14:paraId="215714C4"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Institucije objavljuju dodatnu raščlambu za kategoriju izloženosti „izloženosti prema stanovništvu” (članak 147. stavak 2. točka (d) i članak 147. stavak 5. CRR-a). Institucije objavljuju dodatnu raščlambu za:</w:t>
            </w:r>
          </w:p>
          <w:p w14:paraId="24C46D89"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Izloženosti prema stanovništvu – MSP-ovi, osigurane nekretninama (u vezi s člankom 154. stavcima 2. i 3. CRR-a);</w:t>
            </w:r>
          </w:p>
          <w:p w14:paraId="1EAADB71"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Izloženosti prema stanovništvu – subjekti koji nisu MSP-ovi, osigurane nekretninama (u vezi s člankom 154. stavkom 3. CRR-a);</w:t>
            </w:r>
          </w:p>
          <w:p w14:paraId="1BB13A25" w14:textId="279063B8"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Izloženosti prema stanovništvu – kvalificirane obnovljive izloženosti (u vezi s člankom 154. stavkom 4. CRR-a);</w:t>
            </w:r>
          </w:p>
          <w:p w14:paraId="79106AD7" w14:textId="593D1E06"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 xml:space="preserve">d. </w:t>
            </w:r>
            <w:r w:rsidR="005F633B">
              <w:rPr>
                <w:rFonts w:ascii="Times New Roman" w:hAnsi="Times New Roman"/>
                <w:iCs/>
                <w:sz w:val="24"/>
              </w:rPr>
              <w:t xml:space="preserve">        </w:t>
            </w:r>
            <w:r>
              <w:rPr>
                <w:rFonts w:ascii="Times New Roman" w:hAnsi="Times New Roman"/>
                <w:iCs/>
                <w:sz w:val="24"/>
              </w:rPr>
              <w:t>Izloženosti prema stanovništvu– MSP-ovi, ostalo;</w:t>
            </w:r>
          </w:p>
          <w:p w14:paraId="05DFAC4D"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rPr>
            </w:pPr>
            <w:r>
              <w:rPr>
                <w:rFonts w:ascii="Times New Roman" w:hAnsi="Times New Roman"/>
                <w:iCs/>
                <w:sz w:val="24"/>
              </w:rPr>
              <w:t>e.       Izloženosti prema stanovništvu – subjekti koji nisu MSP-ovi, ostalo.</w:t>
            </w:r>
          </w:p>
        </w:tc>
      </w:tr>
      <w:tr w:rsidR="000646F8" w:rsidRPr="007F4CC8" w14:paraId="7E87A8DB" w14:textId="77777777" w:rsidTr="00155C96">
        <w:trPr>
          <w:trHeight w:val="316"/>
        </w:trPr>
        <w:tc>
          <w:tcPr>
            <w:tcW w:w="1413" w:type="dxa"/>
          </w:tcPr>
          <w:p w14:paraId="1D8BCE59"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p w14:paraId="1778016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F-IRB</w:t>
            </w:r>
          </w:p>
        </w:tc>
        <w:tc>
          <w:tcPr>
            <w:tcW w:w="7654" w:type="dxa"/>
          </w:tcPr>
          <w:p w14:paraId="71D99FEE" w14:textId="315138BB"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 xml:space="preserve">Institucije uključuju informacije o tehnikama smanjenja kreditnog rizika uključenima u ovaj obrazac prema kategoriji izloženosti, u skladu s kategorijama izloženosti navedenima u članku 147. CRR-a, bez daljnje raščlambe za kategorije izloženosti. </w:t>
            </w:r>
          </w:p>
          <w:p w14:paraId="44D9686B" w14:textId="77777777"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„Trgovačka društva” (članak 147. stavak 2. točka (c) CRR-a) u skladu s navedenim u nastavku:</w:t>
            </w:r>
          </w:p>
          <w:p w14:paraId="6387AD8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izloženosti prema trgovačkim društvima – MSP-ovi, u skladu s internim raspoređivanjem izloženosti prema trgovačkim društvima na temelju politika upravljanja rizikom;</w:t>
            </w:r>
          </w:p>
          <w:p w14:paraId="671A14DF"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izloženosti prema trgovačkim društvima – u obliku specijaliziranog financiranja, u skladu s člankom 147. stavkom 8. CRR-a, ne uključujući izloženosti u obliku specijaliziranog financiranja u skladu s pristupom raspoređivanja;</w:t>
            </w:r>
          </w:p>
          <w:p w14:paraId="6E9FAB9D" w14:textId="24F374B6"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izloženosti prema trgovačkim društvima – ostalo.</w:t>
            </w:r>
          </w:p>
        </w:tc>
      </w:tr>
    </w:tbl>
    <w:p w14:paraId="3565DF75" w14:textId="3F0F13DD" w:rsidR="000646F8" w:rsidRPr="007F4CC8" w:rsidRDefault="00CD362D" w:rsidP="000646F8">
      <w:pPr>
        <w:spacing w:before="240" w:after="120"/>
        <w:rPr>
          <w:rFonts w:ascii="Times New Roman" w:hAnsi="Times New Roman" w:cs="Times New Roman"/>
          <w:b/>
          <w:sz w:val="24"/>
        </w:rPr>
      </w:pPr>
      <w:r>
        <w:rPr>
          <w:rFonts w:ascii="Times New Roman" w:hAnsi="Times New Roman"/>
          <w:b/>
          <w:sz w:val="24"/>
        </w:rPr>
        <w:t xml:space="preserve">Obrazac EU CR8 – Izvješća o tokovima iznosa izloženosti ponderiranih rizikom za izloženosti kreditnom riziku u skladu s IRB pristupom. Fiksni obrazac. </w:t>
      </w:r>
    </w:p>
    <w:p w14:paraId="203A55C3" w14:textId="2020E75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Institucije objavljuju informacije iz članka 438. točke (h) CRR-a prateći upute u nastavku ovog Priloga za popunjavanje obrasca EU CR8 iz Priloga XXI. ovoj Provedbenoj uredbi. Informacije u ovom obrascu ne uključuju izloženosti kreditnom riziku druge ugovorne strane (dio treći glava II. poglavlje 6. CRR-a).</w:t>
      </w:r>
    </w:p>
    <w:p w14:paraId="78F8CD8A" w14:textId="23E0167D" w:rsidR="000646F8" w:rsidRPr="007F4CC8" w:rsidRDefault="000646F8" w:rsidP="000646F8">
      <w:pPr>
        <w:pStyle w:val="ListParagraph"/>
        <w:numPr>
          <w:ilvl w:val="0"/>
          <w:numId w:val="51"/>
        </w:numPr>
        <w:spacing w:after="120"/>
        <w:jc w:val="both"/>
        <w:rPr>
          <w:rFonts w:ascii="Times New Roman" w:hAnsi="Times New Roman"/>
          <w:sz w:val="24"/>
          <w:szCs w:val="24"/>
        </w:rPr>
      </w:pPr>
      <w:r>
        <w:rPr>
          <w:rFonts w:ascii="Times New Roman" w:hAnsi="Times New Roman"/>
          <w:sz w:val="24"/>
        </w:rPr>
        <w:t>Institucije objavljuju tokove RWEA kao promjene između iznosa izloženosti ponderiranih rizikom na kraju referentnog razdoblja objave (kako je navedeno u retku 9 ovog obrasca) i ponderiranih iznosa izloženosti na kraju prethodnog referentnog razdoblja objave (kako je navedeno u nastavku u retku 1 ovog obrasca;</w:t>
      </w:r>
      <w:r>
        <w:rPr>
          <w:rFonts w:ascii="Times New Roman" w:hAnsi="Times New Roman"/>
          <w:bCs/>
          <w:color w:val="000000"/>
          <w:sz w:val="24"/>
          <w:szCs w:val="24"/>
        </w:rPr>
        <w:t xml:space="preserve"> u slučaju tromjesečnog izvješćivanja, na kraju </w:t>
      </w:r>
      <w:r>
        <w:rPr>
          <w:rFonts w:ascii="Times New Roman" w:hAnsi="Times New Roman"/>
          <w:color w:val="000000"/>
          <w:sz w:val="24"/>
          <w:szCs w:val="24"/>
        </w:rPr>
        <w:t xml:space="preserve">tromjesečja prije tromjesečja referentnog razdoblja objave). Institucije mogu dopuniti svoje objave iz stupa 3. </w:t>
      </w:r>
      <w:r>
        <w:rPr>
          <w:rFonts w:ascii="Times New Roman" w:hAnsi="Times New Roman"/>
          <w:bCs/>
          <w:color w:val="000000"/>
          <w:sz w:val="24"/>
          <w:szCs w:val="24"/>
        </w:rPr>
        <w:t>objavom istih informacija za</w:t>
      </w:r>
      <w:r>
        <w:rPr>
          <w:rFonts w:ascii="Times New Roman" w:hAnsi="Times New Roman"/>
          <w:color w:val="000000"/>
          <w:sz w:val="24"/>
          <w:szCs w:val="24"/>
        </w:rPr>
        <w:t xml:space="preserve"> </w:t>
      </w:r>
      <w:r>
        <w:rPr>
          <w:rFonts w:ascii="Times New Roman" w:hAnsi="Times New Roman"/>
          <w:bCs/>
          <w:color w:val="000000"/>
          <w:sz w:val="24"/>
          <w:szCs w:val="24"/>
        </w:rPr>
        <w:t>tri</w:t>
      </w:r>
      <w:r>
        <w:rPr>
          <w:rFonts w:ascii="Times New Roman" w:hAnsi="Times New Roman"/>
          <w:color w:val="000000"/>
          <w:sz w:val="24"/>
          <w:szCs w:val="24"/>
        </w:rPr>
        <w:t xml:space="preserve"> prethodna tromjesečja</w:t>
      </w:r>
      <w:r>
        <w:rPr>
          <w:rFonts w:ascii="Times New Roman" w:hAnsi="Times New Roman"/>
          <w:bCs/>
          <w:color w:val="000000"/>
          <w:sz w:val="24"/>
          <w:szCs w:val="24"/>
        </w:rPr>
        <w:t>.</w:t>
      </w:r>
    </w:p>
    <w:p w14:paraId="7BF20DB5"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lastRenderedPageBreak/>
        <w:t xml:space="preserve">Institucije obrazac dopunjuju opisom kojim se objašnjavaju brojke u retku 8 ovog obrasca tj. sve druge razloge koji znatno pridonose razlikama u iznosima RWEA.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6ADB54B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004CC39"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Referentni stupac</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1B56BD"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Pravna osnova i upute</w:t>
            </w:r>
          </w:p>
        </w:tc>
      </w:tr>
      <w:tr w:rsidR="000646F8" w:rsidRPr="007F4CC8" w14:paraId="5F6E050A" w14:textId="77777777" w:rsidTr="00155C96">
        <w:trPr>
          <w:trHeight w:val="420"/>
        </w:trPr>
        <w:tc>
          <w:tcPr>
            <w:tcW w:w="1413" w:type="dxa"/>
            <w:vMerge/>
            <w:tcBorders>
              <w:left w:val="single" w:sz="4" w:space="0" w:color="auto"/>
              <w:right w:val="single" w:sz="4" w:space="0" w:color="auto"/>
            </w:tcBorders>
            <w:shd w:val="clear" w:color="auto" w:fill="D9D9D9" w:themeFill="background1" w:themeFillShade="D9"/>
          </w:tcPr>
          <w:p w14:paraId="7B4D07CD"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5314D44"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0646F8" w:rsidRPr="007F4CC8" w14:paraId="579F295F" w14:textId="77777777" w:rsidTr="00155C96">
        <w:trPr>
          <w:trHeight w:val="741"/>
        </w:trPr>
        <w:tc>
          <w:tcPr>
            <w:tcW w:w="1413" w:type="dxa"/>
            <w:shd w:val="clear" w:color="auto" w:fill="auto"/>
          </w:tcPr>
          <w:p w14:paraId="1AC43A9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2E02EE38" w14:textId="7520E353" w:rsidR="00D74376" w:rsidRPr="00D74376" w:rsidRDefault="00D74376"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Iznos izloženosti ponderiran rizikom</w:t>
            </w:r>
          </w:p>
          <w:p w14:paraId="750839D2" w14:textId="3FFED374"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Ukupni iznos izloženosti ponderiran rizikom za kreditni rizik koji se izračunava u skladu s IRB pristupom, uzimajući u obzir pomoćne faktore u skladu s člancima 501. i 501.a CRR-a.</w:t>
            </w:r>
          </w:p>
        </w:tc>
      </w:tr>
    </w:tbl>
    <w:p w14:paraId="1002F390"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06C7DF4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C468AD1"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4853E9"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Pravna osnova i upute</w:t>
            </w:r>
          </w:p>
        </w:tc>
      </w:tr>
      <w:tr w:rsidR="000646F8" w:rsidRPr="007F4CC8" w14:paraId="75AAA3F8"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CCD3ACD"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855910F"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0646F8" w:rsidRPr="007F4CC8" w14:paraId="0DE36E2F" w14:textId="77777777" w:rsidTr="00155C96">
        <w:trPr>
          <w:trHeight w:val="741"/>
        </w:trPr>
        <w:tc>
          <w:tcPr>
            <w:tcW w:w="1413" w:type="dxa"/>
            <w:shd w:val="clear" w:color="auto" w:fill="auto"/>
          </w:tcPr>
          <w:p w14:paraId="2E6151CA"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668B6D0D" w14:textId="77777777" w:rsidR="000646F8" w:rsidRPr="00D74376"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Iznos izloženosti ponderiran rizikom na kraju prethodnog razdoblja objave</w:t>
            </w:r>
          </w:p>
        </w:tc>
      </w:tr>
      <w:tr w:rsidR="000646F8" w:rsidRPr="007F4CC8" w14:paraId="5546C98F" w14:textId="77777777" w:rsidTr="00155C96">
        <w:trPr>
          <w:trHeight w:val="316"/>
        </w:trPr>
        <w:tc>
          <w:tcPr>
            <w:tcW w:w="1413" w:type="dxa"/>
          </w:tcPr>
          <w:p w14:paraId="6906A81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tcPr>
          <w:p w14:paraId="3F6C2C5D" w14:textId="14FB8FB9" w:rsidR="000646F8" w:rsidRPr="00D74376" w:rsidRDefault="00D74376" w:rsidP="00155C96">
            <w:pPr>
              <w:spacing w:after="120"/>
              <w:jc w:val="both"/>
              <w:rPr>
                <w:rFonts w:ascii="Times New Roman" w:eastAsiaTheme="minorHAnsi" w:hAnsi="Times New Roman" w:cs="Times New Roman"/>
                <w:b/>
                <w:sz w:val="24"/>
              </w:rPr>
            </w:pPr>
            <w:r>
              <w:rPr>
                <w:rFonts w:ascii="Times New Roman" w:hAnsi="Times New Roman"/>
                <w:b/>
                <w:sz w:val="24"/>
              </w:rPr>
              <w:t>Visina imovine (+/-)</w:t>
            </w:r>
          </w:p>
          <w:p w14:paraId="33EEBEBB" w14:textId="77777777" w:rsidR="000646F8" w:rsidRPr="007F4CC8" w:rsidRDefault="000646F8" w:rsidP="00155C96">
            <w:pPr>
              <w:spacing w:after="120"/>
              <w:jc w:val="both"/>
              <w:rPr>
                <w:rFonts w:ascii="Times New Roman" w:eastAsiaTheme="minorHAnsi" w:hAnsi="Times New Roman" w:cs="Times New Roman"/>
                <w:sz w:val="24"/>
              </w:rPr>
            </w:pPr>
            <w:r>
              <w:rPr>
                <w:rFonts w:ascii="Times New Roman" w:hAnsi="Times New Roman"/>
                <w:sz w:val="24"/>
              </w:rPr>
              <w:t>Promjena iznosa izloženosti ponderiranog rizikom u razdoblju od kraja prethodnog razdoblja objave do kraja tekućeg razdoblja objave, zbog visine imovine, tj. organske promjene veličine i sastava knjige (uključujući podrijetlo novih poslova i dospjelih kredita), ali ne uključujući promjene veličine knjige trgovanja uzrokovane preuzimanjem i prodajom subjekata.</w:t>
            </w:r>
          </w:p>
          <w:p w14:paraId="6917E8B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Povećanja iznosa izloženosti ponderiranih rizikom objavljuju se kao pozitivan iznos, a smanjenja iznosa izloženosti ponderiranih rizikom kao negativan iznos.</w:t>
            </w:r>
          </w:p>
        </w:tc>
      </w:tr>
      <w:tr w:rsidR="000646F8" w:rsidRPr="007F4CC8" w14:paraId="41E09E9B" w14:textId="77777777" w:rsidTr="00155C96">
        <w:trPr>
          <w:trHeight w:val="316"/>
        </w:trPr>
        <w:tc>
          <w:tcPr>
            <w:tcW w:w="1413" w:type="dxa"/>
          </w:tcPr>
          <w:p w14:paraId="17AF451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3</w:t>
            </w:r>
          </w:p>
        </w:tc>
        <w:tc>
          <w:tcPr>
            <w:tcW w:w="7654" w:type="dxa"/>
          </w:tcPr>
          <w:p w14:paraId="39F9A060" w14:textId="437E97BA"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Kvaliteta imovine (+/-)</w:t>
            </w:r>
          </w:p>
          <w:p w14:paraId="388A5EB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Promjena iznosa izloženosti ponderiranog rizikom u razdoblju od kraja prethodnog razdoblja objave do kraja tekućeg razdoblja objave, zbog kvalitete imovine, tj. promjene procijenjene kvalitete imovine institucije zbog promjena u riziku dužnika, kao što su migracije rejting kategorija ili slični učinci.</w:t>
            </w:r>
          </w:p>
          <w:p w14:paraId="2F6146A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Povećanja iznosa izloženosti ponderiranih rizikom objavljuju se kao pozitivan iznos, a smanjenja iznosa izloženosti ponderiranih rizikom kao negativan iznos.</w:t>
            </w:r>
          </w:p>
        </w:tc>
      </w:tr>
      <w:tr w:rsidR="000646F8" w:rsidRPr="007F4CC8" w14:paraId="450D7E57" w14:textId="77777777" w:rsidTr="00155C96">
        <w:trPr>
          <w:trHeight w:val="316"/>
        </w:trPr>
        <w:tc>
          <w:tcPr>
            <w:tcW w:w="1413" w:type="dxa"/>
          </w:tcPr>
          <w:p w14:paraId="613178A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4</w:t>
            </w:r>
          </w:p>
        </w:tc>
        <w:tc>
          <w:tcPr>
            <w:tcW w:w="7654" w:type="dxa"/>
          </w:tcPr>
          <w:p w14:paraId="41EE5810" w14:textId="05783F36"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Ažuriranja modela (+/-)</w:t>
            </w:r>
          </w:p>
          <w:p w14:paraId="6FB53CE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Promjena iznosa izloženosti ponderiranog rizikom u razdoblju od kraja prethodnog razdoblja objave do kraja tekućeg razdoblja objave, zbog ažuriranja modela, tj. promjene uzrokovane primjenom novih modela, promjene u modelima, promjene u području primjene modela ili druge promjene namijenjene uklanjanju slabosti modela.</w:t>
            </w:r>
          </w:p>
          <w:p w14:paraId="16EE0A4A"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Povećanja iznosa izloženosti ponderiranih rizikom objavljuju se kao pozitivan iznos, a smanjenja iznosa izloženosti ponderiranih rizikom kao negativan iznos.</w:t>
            </w:r>
          </w:p>
        </w:tc>
      </w:tr>
      <w:tr w:rsidR="000646F8" w:rsidRPr="007F4CC8" w14:paraId="08C38FBA" w14:textId="77777777" w:rsidTr="00155C96">
        <w:trPr>
          <w:trHeight w:val="316"/>
        </w:trPr>
        <w:tc>
          <w:tcPr>
            <w:tcW w:w="1413" w:type="dxa"/>
          </w:tcPr>
          <w:p w14:paraId="31B4B80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5</w:t>
            </w:r>
          </w:p>
        </w:tc>
        <w:tc>
          <w:tcPr>
            <w:tcW w:w="7654" w:type="dxa"/>
          </w:tcPr>
          <w:p w14:paraId="7D05D2DD" w14:textId="2252CEAA"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Metodologija i politika (+/-)</w:t>
            </w:r>
          </w:p>
          <w:p w14:paraId="63776A0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Promjena iznosa izloženosti ponderiranog rizikom u razdoblju od kraja prethodnog razdoblja objave do kraja tekućeg razdoblja objave, zbog metodologije i politike, tj. promjene uzrokovane metodološkim promjenama u izračunima koje proizlaze iz promjena regulatorne politike, uključujući revizije postojećih i novih uredbi, ne uključujući promjene u modelima koje su navedene u retku 4 ovog obrasca. </w:t>
            </w:r>
          </w:p>
          <w:p w14:paraId="772CB25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Povećanja iznosa izloženosti ponderiranih rizikom objavljuju se kao pozitivan iznos, a smanjenja iznosa izloženosti ponderiranih rizikom kao negativan iznos.</w:t>
            </w:r>
          </w:p>
        </w:tc>
      </w:tr>
      <w:tr w:rsidR="000646F8" w:rsidRPr="007F4CC8" w14:paraId="550810A7" w14:textId="77777777" w:rsidTr="00155C96">
        <w:trPr>
          <w:trHeight w:val="316"/>
        </w:trPr>
        <w:tc>
          <w:tcPr>
            <w:tcW w:w="1413" w:type="dxa"/>
          </w:tcPr>
          <w:p w14:paraId="516D827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7132523C" w14:textId="5DE819E2" w:rsidR="000646F8" w:rsidRPr="00D74376" w:rsidRDefault="000646F8"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Preuzimanja i prodaje (+/-)</w:t>
            </w:r>
          </w:p>
          <w:p w14:paraId="3289CD8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Promjena iznosa izloženosti ponderiranog rizikom u razdoblju od kraja prethodnog razdoblja objave do kraja tekućeg razdoblja objave, zbog preuzimanja i otuđivanja, tj. promjene veličine knjige uzrokovane preuzimanjima i/ili prodajama.</w:t>
            </w:r>
          </w:p>
          <w:p w14:paraId="6B9F302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Povećanja iznosa izloženosti ponderiranih rizikom objavljuju se kao pozitivan iznos, a smanjenja iznosa izloženosti ponderiranih rizikom kao negativan iznos.</w:t>
            </w:r>
          </w:p>
        </w:tc>
      </w:tr>
      <w:tr w:rsidR="000646F8" w:rsidRPr="007F4CC8" w14:paraId="319251DF" w14:textId="77777777" w:rsidTr="00155C96">
        <w:trPr>
          <w:trHeight w:val="316"/>
        </w:trPr>
        <w:tc>
          <w:tcPr>
            <w:tcW w:w="1413" w:type="dxa"/>
          </w:tcPr>
          <w:p w14:paraId="3173BC7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tcPr>
          <w:p w14:paraId="40132835" w14:textId="2D13FE88" w:rsidR="000646F8" w:rsidRPr="00D74376" w:rsidRDefault="000646F8"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Kretanja strane valute (+/-)</w:t>
            </w:r>
          </w:p>
          <w:p w14:paraId="39FA4B7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Promjena iznosa izloženosti ponderiranog rizikom u razdoblju od kraja prethodnog razdoblja objave do kraja tekućeg razdoblja objave, zbog kretanja strane valute, tj. promjene koje nastaju zbog kretanja strane valute.</w:t>
            </w:r>
          </w:p>
          <w:p w14:paraId="522D5E9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Povećanja iznosa izloženosti ponderiranih rizikom objavljuju se kao pozitivan iznos, a smanjenja iznosa izloženosti ponderiranih rizikom kao negativan iznos.</w:t>
            </w:r>
          </w:p>
        </w:tc>
      </w:tr>
      <w:tr w:rsidR="000646F8" w:rsidRPr="007F4CC8" w14:paraId="30E9B74A" w14:textId="77777777" w:rsidTr="00155C96">
        <w:trPr>
          <w:trHeight w:val="316"/>
        </w:trPr>
        <w:tc>
          <w:tcPr>
            <w:tcW w:w="1413" w:type="dxa"/>
          </w:tcPr>
          <w:p w14:paraId="555BA66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8</w:t>
            </w:r>
          </w:p>
        </w:tc>
        <w:tc>
          <w:tcPr>
            <w:tcW w:w="7654" w:type="dxa"/>
          </w:tcPr>
          <w:p w14:paraId="380AFDA8" w14:textId="04DDABC8"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Ostalo (+/-)</w:t>
            </w:r>
          </w:p>
          <w:p w14:paraId="18B1D9C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Promjena iznosa izloženosti ponderiranog rizikom u razdoblju od kraja prethodnog razdoblja objave do kraja tekućeg razdoblja objave zbog drugih razloga.</w:t>
            </w:r>
          </w:p>
          <w:p w14:paraId="79FC15D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Ova se kategorija koristi za bilježenje promjena koje se ne mogu pripisati nijednoj drugoj kategoriji. Institucije u opisu koji prilažu uz ovaj obrazac dodatno opisuju sve druge značajne razloge za promjene iznosa ponderiranih rizikom tijekom razdoblja objave koji su uključeni u ovaj redak.</w:t>
            </w:r>
          </w:p>
          <w:p w14:paraId="56DE803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Povećanja iznosa izloženosti ponderiranih rizikom objavljuju se kao pozitivan iznos, a smanjenja iznosa izloženosti ponderiranih rizikom kao negativan iznos.</w:t>
            </w:r>
          </w:p>
        </w:tc>
      </w:tr>
      <w:tr w:rsidR="000646F8" w:rsidRPr="007F4CC8" w14:paraId="2CA2D7DD" w14:textId="77777777" w:rsidTr="00155C96">
        <w:trPr>
          <w:trHeight w:val="316"/>
        </w:trPr>
        <w:tc>
          <w:tcPr>
            <w:tcW w:w="1413" w:type="dxa"/>
          </w:tcPr>
          <w:p w14:paraId="11296EA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tcPr>
          <w:p w14:paraId="7D8684D5" w14:textId="77777777" w:rsidR="000646F8" w:rsidRPr="00D74376"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Iznos izloženosti ponderiran rizikom na kraju razdoblja objave</w:t>
            </w:r>
          </w:p>
        </w:tc>
      </w:tr>
    </w:tbl>
    <w:p w14:paraId="7E40161E" w14:textId="77777777" w:rsidR="000646F8" w:rsidRPr="007F4CC8" w:rsidRDefault="000646F8" w:rsidP="000646F8">
      <w:pPr>
        <w:spacing w:after="120"/>
        <w:rPr>
          <w:rFonts w:ascii="Times New Roman" w:hAnsi="Times New Roman" w:cs="Times New Roman"/>
          <w:sz w:val="24"/>
        </w:rPr>
      </w:pPr>
    </w:p>
    <w:p w14:paraId="7B9D7F1F" w14:textId="25FE4D27" w:rsidR="000646F8" w:rsidRPr="007F4CC8" w:rsidRDefault="00CD362D" w:rsidP="000646F8">
      <w:pPr>
        <w:spacing w:after="120"/>
        <w:rPr>
          <w:rFonts w:ascii="Times New Roman" w:hAnsi="Times New Roman"/>
          <w:sz w:val="24"/>
        </w:rPr>
      </w:pPr>
      <w:r>
        <w:rPr>
          <w:rFonts w:ascii="Times New Roman" w:hAnsi="Times New Roman"/>
          <w:b/>
          <w:sz w:val="24"/>
        </w:rPr>
        <w:t xml:space="preserve">Obrazac EU CR9 </w:t>
      </w:r>
      <w:r>
        <w:tab/>
      </w:r>
      <w:r>
        <w:rPr>
          <w:rFonts w:ascii="Times New Roman" w:hAnsi="Times New Roman"/>
          <w:b/>
          <w:sz w:val="24"/>
        </w:rPr>
        <w:t xml:space="preserve"> – IRB pristup – Retroaktivno ispitivanje PD-a prema kategoriji izloženosti Fiksni obrazac.</w:t>
      </w:r>
    </w:p>
    <w:p w14:paraId="6422BCC6" w14:textId="4F9E2C40"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lastRenderedPageBreak/>
        <w:t xml:space="preserve">Institucije objavljuju informacije iz članka 452. točke (h) CRR-a prateći upute u nastavku ovog Priloga za popunjavanje obrasca EU CR9 iz Priloga XXI. ovoj Provedbenoj uredbi. Ako institucija primjenjuje pristupe F-IRB i A-IRB, objavljuje dva zasebna skupa obrazaca, jedan za F-IRB i jedan za A-IRB, s jednim obrascem po kategoriji izloženosti u svakom skupu. </w:t>
      </w:r>
    </w:p>
    <w:p w14:paraId="23B0E327"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Institucije uzimaju u obzir modele koji se koriste za svaku kategoriju izloženosti i objašnjavaju postotak iznosa izloženosti ponderiranog rizikom relevantne kategorije izloženosti koju pokrivaju modeli za koje se ovdje objavljuju rezultati retroaktivnog testiranja.</w:t>
      </w:r>
    </w:p>
    <w:p w14:paraId="5407263C"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Institucije u opisu koji prilažu objašnjavaju ukupni broj dužnika s kratkoročnim ugovorima na datum objave, navodeći koje kategorije izloženosti imaju velik broj dužnika s kratkoročnim ugovorima. Kratkoročni ugovori su ugovori kojima je preostali rok do dospijeća kraći od 12 mjeseci. Institucije objašnjavaju i ima li preklapanja razdoblja u izračunu višegodišnjeg prosjeka stopa PD-a.</w:t>
      </w:r>
    </w:p>
    <w:p w14:paraId="3152A82F" w14:textId="1A634E5C"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 xml:space="preserve">Ovaj obrazac ne uključuje izloženosti kreditnom riziku druge ugovorne strane (dio treći glava II. poglavlje 6. CRR-a), </w:t>
      </w:r>
      <w:proofErr w:type="spellStart"/>
      <w:r>
        <w:rPr>
          <w:rFonts w:ascii="Times New Roman" w:hAnsi="Times New Roman"/>
          <w:sz w:val="24"/>
        </w:rPr>
        <w:t>sekuritizacijske</w:t>
      </w:r>
      <w:proofErr w:type="spellEnd"/>
      <w:r>
        <w:rPr>
          <w:rFonts w:ascii="Times New Roman" w:hAnsi="Times New Roman"/>
          <w:sz w:val="24"/>
        </w:rPr>
        <w:t xml:space="preserve"> pozicije, drugu imovinu bez kreditnih obveza i izloženosti na osnovi vlasničkih ulaganja.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26"/>
        <w:gridCol w:w="28"/>
      </w:tblGrid>
      <w:tr w:rsidR="000646F8" w:rsidRPr="007F4CC8" w14:paraId="77AD76AD"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0AEB7D"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Referentni stupac</w:t>
            </w:r>
          </w:p>
        </w:tc>
        <w:tc>
          <w:tcPr>
            <w:tcW w:w="76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F90122"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Pravna osnova i upute</w:t>
            </w:r>
          </w:p>
        </w:tc>
      </w:tr>
      <w:tr w:rsidR="000646F8" w:rsidRPr="007F4CC8" w14:paraId="4A79DE11" w14:textId="77777777" w:rsidTr="00155C96">
        <w:trPr>
          <w:trHeight w:val="351"/>
        </w:trPr>
        <w:tc>
          <w:tcPr>
            <w:tcW w:w="1413" w:type="dxa"/>
            <w:vMerge/>
            <w:tcBorders>
              <w:left w:val="single" w:sz="4" w:space="0" w:color="auto"/>
              <w:right w:val="single" w:sz="4" w:space="0" w:color="auto"/>
            </w:tcBorders>
            <w:shd w:val="clear" w:color="auto" w:fill="D9D9D9" w:themeFill="background1" w:themeFillShade="D9"/>
          </w:tcPr>
          <w:p w14:paraId="54AEB87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gridSpan w:val="2"/>
            <w:tcBorders>
              <w:left w:val="single" w:sz="4" w:space="0" w:color="auto"/>
            </w:tcBorders>
            <w:shd w:val="clear" w:color="auto" w:fill="D9D9D9" w:themeFill="background1" w:themeFillShade="D9"/>
          </w:tcPr>
          <w:p w14:paraId="4DE7A38B"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0646F8" w:rsidRPr="007F4CC8" w14:paraId="72280A41" w14:textId="77777777" w:rsidTr="00155C96">
        <w:trPr>
          <w:gridAfter w:val="1"/>
          <w:wAfter w:w="28" w:type="dxa"/>
          <w:trHeight w:val="841"/>
        </w:trPr>
        <w:tc>
          <w:tcPr>
            <w:tcW w:w="1413" w:type="dxa"/>
          </w:tcPr>
          <w:p w14:paraId="40491275" w14:textId="77777777" w:rsidR="000646F8" w:rsidRPr="007F4CC8" w:rsidRDefault="000646F8" w:rsidP="00155C96">
            <w:pPr>
              <w:pStyle w:val="Applicationdirecte"/>
              <w:spacing w:before="0"/>
              <w:rPr>
                <w:highlight w:val="yellow"/>
              </w:rPr>
            </w:pPr>
            <w:r>
              <w:t>a (A-IRB)</w:t>
            </w:r>
          </w:p>
        </w:tc>
        <w:tc>
          <w:tcPr>
            <w:tcW w:w="7626" w:type="dxa"/>
          </w:tcPr>
          <w:p w14:paraId="4E55FC01" w14:textId="5901D489" w:rsidR="000646F8" w:rsidRPr="00D74376" w:rsidRDefault="00D74376" w:rsidP="00155C96">
            <w:pPr>
              <w:spacing w:after="120"/>
              <w:jc w:val="both"/>
              <w:rPr>
                <w:rFonts w:ascii="Times New Roman" w:hAnsi="Times New Roman" w:cs="Times New Roman"/>
                <w:b/>
                <w:sz w:val="24"/>
              </w:rPr>
            </w:pPr>
            <w:r>
              <w:rPr>
                <w:rFonts w:ascii="Times New Roman" w:hAnsi="Times New Roman"/>
                <w:b/>
                <w:sz w:val="24"/>
              </w:rPr>
              <w:t>Kategorije izloženosti</w:t>
            </w:r>
          </w:p>
          <w:p w14:paraId="53B1829C" w14:textId="77777777" w:rsidR="000646F8" w:rsidRPr="007F4CC8" w:rsidRDefault="000646F8" w:rsidP="00155C96">
            <w:pPr>
              <w:spacing w:after="120"/>
              <w:rPr>
                <w:rFonts w:ascii="Times New Roman" w:hAnsi="Times New Roman" w:cs="Times New Roman"/>
                <w:sz w:val="24"/>
              </w:rPr>
            </w:pPr>
            <w:r>
              <w:rPr>
                <w:rFonts w:ascii="Times New Roman" w:hAnsi="Times New Roman"/>
                <w:iCs/>
                <w:sz w:val="24"/>
              </w:rPr>
              <w:t xml:space="preserve">Za svaku kategoriju izloženosti navedenu u članku 147. stavku 2. CRR-a institucije objavljuju zasebni obrazac, s dodatnom raščlambom za sljedeće kategorije izloženosti: </w:t>
            </w:r>
          </w:p>
          <w:p w14:paraId="5BEC891D"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u kategoriji izloženosti „izloženosti prema trgovačkim društvima” (članak 147. stavak 2. točka (c) CRR-a) raščlamba na sljedeće:</w:t>
            </w:r>
          </w:p>
          <w:p w14:paraId="1C5513B3"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izloženosti prema trgovačkim društvima – MSP-ovi, u skladu s internim raspoređivanjem izloženosti prema trgovačkim društvima na temelju politika upravljanja rizikom;</w:t>
            </w:r>
          </w:p>
          <w:p w14:paraId="06E17EAA"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izloženosti prema trgovačkim društvima – u obliku specijaliziranog financiranja, u skladu s člankom 147. stavkom 8. CRR-a;</w:t>
            </w:r>
          </w:p>
          <w:p w14:paraId="13C501EC"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izloženosti prema trgovačkim društvima – ostalo.</w:t>
            </w:r>
          </w:p>
          <w:p w14:paraId="07E77D2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u kategoriji izloženosti „izloženosti prema stanovništvu” (članak 147. stavak 2. točka (d) i članak 147. stavak 5. CRR-a) raščlamba na sljedeće:</w:t>
            </w:r>
          </w:p>
          <w:p w14:paraId="56B7E58D" w14:textId="7D0BAB15"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Izloženosti prema stanovništvu – MSP-ovi, osigurane nekretninama (članak 147. stavak 2. točka (d) CRR-a u vezi s člankom 154. stavcima 2. i 3. CRR-a);</w:t>
            </w:r>
          </w:p>
          <w:p w14:paraId="67EE4383"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Izloženosti prema stanovništvu – subjekti koji nisu MSP-ovi, osigurane nekretninama (članak 147. stavak 2. točka (d) CRR-a u vezi s člankom 154. stavkom 3. CRR-a);</w:t>
            </w:r>
          </w:p>
          <w:p w14:paraId="3AA0EB02" w14:textId="5EBD4878"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lastRenderedPageBreak/>
              <w:t>c.</w:t>
            </w:r>
            <w:r>
              <w:tab/>
            </w:r>
            <w:r>
              <w:rPr>
                <w:rFonts w:ascii="Times New Roman" w:hAnsi="Times New Roman"/>
                <w:iCs/>
                <w:sz w:val="24"/>
              </w:rPr>
              <w:t>Izloženosti prema stanovništvu – kvalificirane obnovljive izloženosti (članak 147. stavak 2. točka (d) CRR-a u vezi s člankom 154. stavkom 4. CRR-a);</w:t>
            </w:r>
          </w:p>
          <w:p w14:paraId="4A646D3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       Izloženosti prema stanovništvu– MSP-ovi, ostalo;</w:t>
            </w:r>
          </w:p>
          <w:p w14:paraId="09BEA762"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highlight w:val="yellow"/>
              </w:rPr>
            </w:pPr>
            <w:r>
              <w:rPr>
                <w:rFonts w:ascii="Times New Roman" w:hAnsi="Times New Roman"/>
                <w:iCs/>
                <w:sz w:val="24"/>
              </w:rPr>
              <w:t>e.       Izloženosti prema stanovništvu – subjekti koji nisu MSP-ovi, ostalo.</w:t>
            </w:r>
          </w:p>
        </w:tc>
      </w:tr>
      <w:tr w:rsidR="000646F8" w:rsidRPr="007F4CC8" w14:paraId="03E52636" w14:textId="77777777" w:rsidTr="00155C96">
        <w:trPr>
          <w:gridAfter w:val="1"/>
          <w:wAfter w:w="28" w:type="dxa"/>
          <w:trHeight w:val="841"/>
        </w:trPr>
        <w:tc>
          <w:tcPr>
            <w:tcW w:w="1413" w:type="dxa"/>
          </w:tcPr>
          <w:p w14:paraId="051E4D89" w14:textId="77777777" w:rsidR="000646F8" w:rsidRPr="007F4CC8" w:rsidRDefault="000646F8" w:rsidP="00155C96">
            <w:pPr>
              <w:pStyle w:val="Applicationdirecte"/>
              <w:spacing w:before="0"/>
            </w:pPr>
            <w:r>
              <w:lastRenderedPageBreak/>
              <w:t>a (F-IRB)</w:t>
            </w:r>
          </w:p>
        </w:tc>
        <w:tc>
          <w:tcPr>
            <w:tcW w:w="7626" w:type="dxa"/>
          </w:tcPr>
          <w:p w14:paraId="7691463A" w14:textId="77777777" w:rsidR="000646F8" w:rsidRPr="008E292A" w:rsidRDefault="000646F8" w:rsidP="008E292A">
            <w:pPr>
              <w:spacing w:after="120"/>
              <w:jc w:val="both"/>
              <w:rPr>
                <w:rFonts w:ascii="Times New Roman" w:hAnsi="Times New Roman" w:cs="Times New Roman"/>
                <w:b/>
                <w:sz w:val="24"/>
              </w:rPr>
            </w:pPr>
            <w:r>
              <w:rPr>
                <w:rFonts w:ascii="Times New Roman" w:hAnsi="Times New Roman"/>
                <w:b/>
                <w:sz w:val="24"/>
              </w:rPr>
              <w:t>Kategorije izloženosti</w:t>
            </w:r>
          </w:p>
          <w:p w14:paraId="3E400785"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Za svaku kategoriju izloženosti navedenu u članku 147. stavku 2. CRR-a institucije objavljuju zasebni obrazac, s dodatnom raščlambom za sljedeće kategorije izloženosti:</w:t>
            </w:r>
          </w:p>
          <w:p w14:paraId="396D5B4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u kategoriji izloženosti „izloženosti prema trgovačkim društvima” (članak 147. stavak 2. točka (c) CRR-a) raščlamba na sljedeće:</w:t>
            </w:r>
          </w:p>
          <w:p w14:paraId="3352693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izloženosti prema trgovačkim društvima – MSP-ovi, u skladu s internim raspoređivanjem izloženosti prema trgovačkim društvima na temelju politika upravljanja rizikom;</w:t>
            </w:r>
          </w:p>
          <w:p w14:paraId="7B9C0B7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izloženosti prema trgovačkim društvima – u obliku specijaliziranog financiranja, u skladu s člankom 147. stavkom 8. CRR-a;</w:t>
            </w:r>
          </w:p>
          <w:p w14:paraId="2C70F148"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highlight w:val="yellow"/>
              </w:rPr>
            </w:pPr>
            <w:r>
              <w:rPr>
                <w:rFonts w:ascii="Times New Roman" w:hAnsi="Times New Roman"/>
                <w:iCs/>
                <w:sz w:val="24"/>
              </w:rPr>
              <w:t>c.</w:t>
            </w:r>
            <w:r>
              <w:tab/>
            </w:r>
            <w:r>
              <w:rPr>
                <w:rFonts w:ascii="Times New Roman" w:hAnsi="Times New Roman"/>
                <w:iCs/>
                <w:sz w:val="24"/>
              </w:rPr>
              <w:t>izloženosti prema trgovačkim društvima – ostalo.</w:t>
            </w:r>
          </w:p>
        </w:tc>
      </w:tr>
      <w:tr w:rsidR="000646F8" w:rsidRPr="007F4CC8" w14:paraId="1B51F2A1" w14:textId="77777777" w:rsidTr="00155C96">
        <w:trPr>
          <w:gridAfter w:val="1"/>
          <w:wAfter w:w="28" w:type="dxa"/>
          <w:trHeight w:val="841"/>
        </w:trPr>
        <w:tc>
          <w:tcPr>
            <w:tcW w:w="1413" w:type="dxa"/>
          </w:tcPr>
          <w:p w14:paraId="08F78AEF" w14:textId="77777777" w:rsidR="000646F8" w:rsidRPr="007F4CC8" w:rsidRDefault="000646F8" w:rsidP="00155C96">
            <w:pPr>
              <w:pStyle w:val="Applicationdirecte"/>
              <w:spacing w:before="0"/>
            </w:pPr>
            <w:r>
              <w:t xml:space="preserve"> b</w:t>
            </w:r>
          </w:p>
        </w:tc>
        <w:tc>
          <w:tcPr>
            <w:tcW w:w="7626" w:type="dxa"/>
          </w:tcPr>
          <w:p w14:paraId="1B99B7D6" w14:textId="3632C72B" w:rsidR="000646F8" w:rsidRPr="008E292A" w:rsidRDefault="000646F8" w:rsidP="00155C96">
            <w:pPr>
              <w:pStyle w:val="Applicationdirecte"/>
              <w:spacing w:before="0"/>
              <w:rPr>
                <w:b/>
              </w:rPr>
            </w:pPr>
            <w:r>
              <w:rPr>
                <w:b/>
              </w:rPr>
              <w:t>Raspon PD-a</w:t>
            </w:r>
          </w:p>
          <w:p w14:paraId="732E4B6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Ovo je fiksni raspon PD-a koji se ne mijenja.</w:t>
            </w:r>
          </w:p>
          <w:p w14:paraId="520EC2BF" w14:textId="1AE3407B"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Izloženosti se raspoređuju u odgovarajući razred fiksnog raspona PD-a na temelju procijenjenog PD-a na početku razdoblja objave za svakog dužnika koji je raspoređen u tu kategoriju izloženosti (ne uzimajući u obzir učinke zamjene zb</w:t>
            </w:r>
            <w:r w:rsidR="00AD6545">
              <w:rPr>
                <w:rFonts w:ascii="Times New Roman" w:hAnsi="Times New Roman"/>
                <w:sz w:val="24"/>
              </w:rPr>
              <w:t>og smanjenja kreditnog rizika).</w:t>
            </w:r>
            <w:r>
              <w:rPr>
                <w:rFonts w:ascii="Times New Roman" w:hAnsi="Times New Roman"/>
                <w:sz w:val="24"/>
              </w:rPr>
              <w:t xml:space="preserve"> Sve izloženosti u statusu neispunjavanja obveza uključuju se u razred koji predstavlja PD od 100 %.</w:t>
            </w:r>
          </w:p>
        </w:tc>
      </w:tr>
      <w:tr w:rsidR="000646F8" w:rsidRPr="007F4CC8" w14:paraId="36A8DE5A" w14:textId="77777777" w:rsidTr="00155C96">
        <w:trPr>
          <w:gridAfter w:val="1"/>
          <w:wAfter w:w="28" w:type="dxa"/>
          <w:trHeight w:val="554"/>
        </w:trPr>
        <w:tc>
          <w:tcPr>
            <w:tcW w:w="1413" w:type="dxa"/>
          </w:tcPr>
          <w:p w14:paraId="31D5CAC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 d</w:t>
            </w:r>
          </w:p>
        </w:tc>
        <w:tc>
          <w:tcPr>
            <w:tcW w:w="7626" w:type="dxa"/>
          </w:tcPr>
          <w:p w14:paraId="71D10849" w14:textId="7AC60C3F" w:rsidR="000646F8" w:rsidRPr="008E292A"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Broj dužnika na kraju prethodne godine</w:t>
            </w:r>
          </w:p>
          <w:p w14:paraId="7B37CA1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Institucije objavljuju sljedeća dva skupa informacija: </w:t>
            </w:r>
          </w:p>
          <w:p w14:paraId="26517C19" w14:textId="77777777" w:rsidR="000646F8" w:rsidRPr="007F4CC8" w:rsidRDefault="000646F8" w:rsidP="000646F8">
            <w:pPr>
              <w:pStyle w:val="ListParagraph"/>
              <w:numPr>
                <w:ilvl w:val="0"/>
                <w:numId w:val="53"/>
              </w:numPr>
              <w:autoSpaceDE w:val="0"/>
              <w:autoSpaceDN w:val="0"/>
              <w:adjustRightInd w:val="0"/>
              <w:spacing w:after="120"/>
              <w:jc w:val="both"/>
              <w:rPr>
                <w:rFonts w:ascii="Times New Roman" w:hAnsi="Times New Roman"/>
                <w:sz w:val="24"/>
              </w:rPr>
            </w:pPr>
            <w:r>
              <w:rPr>
                <w:rFonts w:ascii="Times New Roman" w:hAnsi="Times New Roman"/>
                <w:sz w:val="24"/>
                <w:szCs w:val="24"/>
              </w:rPr>
              <w:t xml:space="preserve">broj dužnika na kraju prethodne godine (stupac C </w:t>
            </w:r>
            <w:r>
              <w:rPr>
                <w:rFonts w:ascii="Times New Roman" w:hAnsi="Times New Roman"/>
                <w:sz w:val="24"/>
              </w:rPr>
              <w:t>ovog obrasca</w:t>
            </w:r>
            <w:r>
              <w:rPr>
                <w:rFonts w:ascii="Times New Roman" w:hAnsi="Times New Roman"/>
                <w:sz w:val="24"/>
                <w:szCs w:val="24"/>
              </w:rPr>
              <w:t>);</w:t>
            </w:r>
          </w:p>
          <w:p w14:paraId="1F12A287" w14:textId="77777777" w:rsidR="000646F8" w:rsidRPr="007F4CC8" w:rsidRDefault="000646F8" w:rsidP="00155C96">
            <w:pPr>
              <w:pStyle w:val="ListParagraph"/>
              <w:autoSpaceDE w:val="0"/>
              <w:autoSpaceDN w:val="0"/>
              <w:adjustRightInd w:val="0"/>
              <w:spacing w:after="120"/>
              <w:ind w:left="1080"/>
              <w:jc w:val="both"/>
              <w:rPr>
                <w:rFonts w:ascii="Times New Roman" w:eastAsiaTheme="minorEastAsia" w:hAnsi="Times New Roman"/>
                <w:sz w:val="24"/>
                <w:szCs w:val="24"/>
              </w:rPr>
            </w:pPr>
            <w:r>
              <w:rPr>
                <w:rFonts w:ascii="Times New Roman" w:hAnsi="Times New Roman"/>
                <w:sz w:val="24"/>
                <w:szCs w:val="24"/>
              </w:rPr>
              <w:t xml:space="preserve">Broj dužnika na kraju godine koja podliježe objavi. </w:t>
            </w:r>
          </w:p>
          <w:p w14:paraId="28F1C78C" w14:textId="77777777" w:rsidR="000646F8" w:rsidRPr="007F4CC8" w:rsidRDefault="000646F8" w:rsidP="00155C96">
            <w:pPr>
              <w:pStyle w:val="ListParagraph"/>
              <w:autoSpaceDE w:val="0"/>
              <w:autoSpaceDN w:val="0"/>
              <w:adjustRightInd w:val="0"/>
              <w:spacing w:after="120"/>
              <w:ind w:left="1080"/>
              <w:jc w:val="both"/>
              <w:rPr>
                <w:rFonts w:ascii="Times New Roman" w:eastAsiaTheme="minorEastAsia" w:hAnsi="Times New Roman"/>
                <w:sz w:val="24"/>
                <w:szCs w:val="24"/>
              </w:rPr>
            </w:pPr>
            <w:r>
              <w:rPr>
                <w:rFonts w:ascii="Times New Roman" w:hAnsi="Times New Roman"/>
                <w:sz w:val="24"/>
                <w:szCs w:val="24"/>
              </w:rPr>
              <w:t>U oba slučaja uključuju se svi dužnici koji imaju kreditnu obvezu u relevantnom razdoblju.</w:t>
            </w:r>
          </w:p>
          <w:p w14:paraId="5E8109AB" w14:textId="77777777" w:rsidR="000646F8" w:rsidRPr="007F4CC8" w:rsidRDefault="000646F8" w:rsidP="00155C96">
            <w:pPr>
              <w:pStyle w:val="ListParagraph"/>
              <w:autoSpaceDE w:val="0"/>
              <w:autoSpaceDN w:val="0"/>
              <w:adjustRightInd w:val="0"/>
              <w:spacing w:after="120"/>
              <w:ind w:left="1080"/>
              <w:jc w:val="both"/>
              <w:rPr>
                <w:rFonts w:ascii="Times New Roman" w:hAnsi="Times New Roman"/>
                <w:sz w:val="24"/>
              </w:rPr>
            </w:pPr>
            <w:r>
              <w:rPr>
                <w:rFonts w:ascii="Times New Roman" w:hAnsi="Times New Roman"/>
                <w:sz w:val="24"/>
                <w:szCs w:val="24"/>
              </w:rPr>
              <w:t xml:space="preserve">Institucije objavljuju broj pravnih subjekata ili dužnika raspoređenih u svaki razred fiksnog raspona PD-a na kraju prethodne godine kojima je dodijeljen zasebni rejting, bez obzira na broj različitih odobrenih kredita ili izloženosti. </w:t>
            </w:r>
          </w:p>
          <w:p w14:paraId="175CCDB9" w14:textId="77777777" w:rsidR="000646F8" w:rsidRPr="007F4CC8" w:rsidRDefault="000646F8" w:rsidP="00155C96">
            <w:pPr>
              <w:pStyle w:val="ListParagraph"/>
              <w:autoSpaceDE w:val="0"/>
              <w:autoSpaceDN w:val="0"/>
              <w:adjustRightInd w:val="0"/>
              <w:spacing w:after="120"/>
              <w:ind w:left="1080"/>
              <w:jc w:val="both"/>
              <w:rPr>
                <w:rFonts w:ascii="Times New Roman" w:hAnsi="Times New Roman"/>
                <w:sz w:val="24"/>
              </w:rPr>
            </w:pPr>
            <w:r>
              <w:rPr>
                <w:rFonts w:ascii="Times New Roman" w:hAnsi="Times New Roman"/>
                <w:sz w:val="24"/>
              </w:rPr>
              <w:t>Zajednički dužnici tretiraju se jednako kao za potrebe kalibracije PD-a.</w:t>
            </w:r>
            <w:r>
              <w:rPr>
                <w:rFonts w:ascii="Times New Roman" w:hAnsi="Times New Roman"/>
                <w:sz w:val="24"/>
                <w:szCs w:val="24"/>
              </w:rPr>
              <w:t xml:space="preserve"> Ako se različite izloženosti prema istom dužniku zasebno ocjenjuju, računaju se zasebno. Do takve situacije može doći u kategoriji izloženosti prema stanovništvu ako se definicija </w:t>
            </w:r>
            <w:r>
              <w:rPr>
                <w:rFonts w:ascii="Times New Roman" w:hAnsi="Times New Roman"/>
                <w:sz w:val="24"/>
                <w:szCs w:val="24"/>
              </w:rPr>
              <w:lastRenderedPageBreak/>
              <w:t xml:space="preserve">nastanka statusa neispunjavanja obveza primjenjuje na razini pojedinog kreditnog proizvoda u skladu s člankom 178. stavkom 1. zadnjom rečenicom CRR-a. Do takve situacije može doći i </w:t>
            </w:r>
            <w:proofErr w:type="spellStart"/>
            <w:r>
              <w:rPr>
                <w:rFonts w:ascii="Times New Roman" w:hAnsi="Times New Roman"/>
                <w:sz w:val="24"/>
                <w:szCs w:val="24"/>
              </w:rPr>
              <w:t>i</w:t>
            </w:r>
            <w:proofErr w:type="spellEnd"/>
            <w:r>
              <w:rPr>
                <w:rFonts w:ascii="Times New Roman" w:hAnsi="Times New Roman"/>
                <w:sz w:val="24"/>
                <w:szCs w:val="24"/>
              </w:rPr>
              <w:t xml:space="preserve"> ako su zasebne izloženosti prema istom dužniku raspoređene u rejting-kategorije različitih dužnika u skladu s člankom 172. stavkom 1. točkom (e) drugom rečenicom CRR-a u drugim kategorijama izloženosti.</w:t>
            </w:r>
          </w:p>
          <w:p w14:paraId="5E4CFB8F" w14:textId="77777777" w:rsidR="000646F8" w:rsidRPr="007F4CC8" w:rsidRDefault="000646F8" w:rsidP="000646F8">
            <w:pPr>
              <w:pStyle w:val="ListParagraph"/>
              <w:numPr>
                <w:ilvl w:val="0"/>
                <w:numId w:val="53"/>
              </w:numPr>
              <w:spacing w:after="120"/>
              <w:jc w:val="both"/>
              <w:rPr>
                <w:rFonts w:ascii="Times New Roman" w:hAnsi="Times New Roman"/>
                <w:sz w:val="24"/>
              </w:rPr>
            </w:pPr>
            <w:r>
              <w:rPr>
                <w:rFonts w:ascii="Times New Roman" w:hAnsi="Times New Roman"/>
                <w:sz w:val="24"/>
              </w:rPr>
              <w:t xml:space="preserve">od čega broj dužnika koji su bili u statusu neispunjavanja obveza tijekom godine koja je prethodila datumu objave (stupac d ovog obrasca) </w:t>
            </w:r>
          </w:p>
          <w:p w14:paraId="4A5B967C" w14:textId="77777777" w:rsidR="000646F8" w:rsidRPr="007F4CC8" w:rsidRDefault="000646F8" w:rsidP="00155C96">
            <w:pPr>
              <w:pStyle w:val="ListParagraph"/>
              <w:spacing w:after="120"/>
              <w:ind w:left="1080"/>
              <w:jc w:val="both"/>
              <w:rPr>
                <w:rFonts w:ascii="Times New Roman" w:hAnsi="Times New Roman"/>
                <w:sz w:val="24"/>
              </w:rPr>
            </w:pPr>
            <w:r>
              <w:rPr>
                <w:rFonts w:ascii="Times New Roman" w:hAnsi="Times New Roman"/>
                <w:sz w:val="24"/>
              </w:rPr>
              <w:t>To je podskup stupca C ovog obrasca i prikazuje broj dužnika koji su bili u statusu neispunjavanja obveza tijekom godine. Statusi neispunjavanja obveza utvrđuju se u skladu s člankom 178. CRR-a. Svaki dužnik u statusu neispunjavanja obveza broji se samo jednom u brojniku i nazivniku izračuna jednogodišnje stope neispunjavanja obveza, čak i ako je dužnik tijekom relevantnog jednogodišnjeg razdoblja više puta bio u statusu neispunjavanja obveza.</w:t>
            </w:r>
          </w:p>
        </w:tc>
      </w:tr>
      <w:tr w:rsidR="000646F8" w:rsidRPr="007F4CC8" w14:paraId="37AC228F" w14:textId="77777777" w:rsidTr="00155C96">
        <w:trPr>
          <w:gridAfter w:val="1"/>
          <w:wAfter w:w="28" w:type="dxa"/>
          <w:trHeight w:val="316"/>
        </w:trPr>
        <w:tc>
          <w:tcPr>
            <w:tcW w:w="1413" w:type="dxa"/>
          </w:tcPr>
          <w:p w14:paraId="0766EB3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626" w:type="dxa"/>
          </w:tcPr>
          <w:p w14:paraId="125AE352" w14:textId="5BE5FDFC" w:rsidR="000646F8" w:rsidRPr="00B42FCC"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Zabilježena prosječna stopa nastanka statusa neispunjavanja obveza</w:t>
            </w:r>
          </w:p>
          <w:p w14:paraId="43CF6CB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Aritmetički prosjek jednogodišnjih stopa neispunjavanja obveza kako je definirano u članku 4. stavku 1. točki 78. CRR-a, zabilježeno u okviru dostupnog skupa podataka.</w:t>
            </w:r>
          </w:p>
          <w:p w14:paraId="0789D371"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Pri izračunu jednogodišnjih stopa neispunjavanja obveza institucije osiguravaju da su ispunjena oba uvjeta navedena u nastavku:</w:t>
            </w:r>
          </w:p>
          <w:p w14:paraId="4D81434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 da nazivnik sadržava broj dužnika koji su na početku jednogodišnjeg razdoblja (tj. početku prethodnog razdoblja objave tj. početka godine prije referentnog datuma referentne) imali kreditnu obvezu i nisu bili u statusu neispunjavanja obveza; u tom kontekstu kreditna obveza odnosi se na sljedeće: i. bilo kakve bilančne stavke, uključujući sve iznose glavnice, kamata i provizija; ii. bilo kakve izvanbilančne stavke, uključujući jamstva koja je institucija izdala kao davatelj jamstva.</w:t>
            </w:r>
          </w:p>
          <w:p w14:paraId="72FFFC7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(b) da brojnik uključuje sve one dužnike iz nazivnika koji su u jednogodišnjem razdoblju razmatranja (godina prije referentnog datuma objave) najmanje jednom bili u statusu neispunjavanja obveza.</w:t>
            </w:r>
          </w:p>
          <w:p w14:paraId="61849DF1" w14:textId="03697922"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Za izračun zabilježene prosječne stope nastanka statusa neispunjavanja obveza institucije odabiru primjereni pristup između pristupa koji se temelji na preklapanju jednogodišnjih razdoblja i pristupa koji se temelji na jednogodišnjim razdobljima koja se ne preklapaju.</w:t>
            </w:r>
          </w:p>
        </w:tc>
      </w:tr>
      <w:tr w:rsidR="000646F8" w:rsidRPr="007F4CC8" w14:paraId="34E87C9A" w14:textId="77777777" w:rsidTr="00155C96">
        <w:trPr>
          <w:gridAfter w:val="1"/>
          <w:wAfter w:w="28" w:type="dxa"/>
          <w:trHeight w:val="316"/>
        </w:trPr>
        <w:tc>
          <w:tcPr>
            <w:tcW w:w="1413" w:type="dxa"/>
          </w:tcPr>
          <w:p w14:paraId="61B6930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26" w:type="dxa"/>
          </w:tcPr>
          <w:p w14:paraId="34334D88" w14:textId="7C9B9B00" w:rsidR="000646F8" w:rsidRPr="00B42FCC"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Prosječni PD ponderiran visinom izloženosti (%)</w:t>
            </w:r>
          </w:p>
          <w:p w14:paraId="2F323A04" w14:textId="7E84214C"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Prosječni PD ponderiran visinom izloženosti (%) kao u stupcu f obrasca EU CR6; za sve izloženosti uključene u svaki razred fiksnog raspona PD-a, prosječna procjena PD-a svakog dužnika, ponderirana vrijednošću izloženosti </w:t>
            </w:r>
            <w:r>
              <w:rPr>
                <w:rFonts w:ascii="Times New Roman" w:hAnsi="Times New Roman"/>
                <w:sz w:val="24"/>
              </w:rPr>
              <w:lastRenderedPageBreak/>
              <w:t xml:space="preserve">nakon konverzijskih faktora i smanjenja kreditnog rizika kao u </w:t>
            </w:r>
            <w:proofErr w:type="spellStart"/>
            <w:r>
              <w:rPr>
                <w:rFonts w:ascii="Times New Roman" w:hAnsi="Times New Roman"/>
                <w:sz w:val="24"/>
              </w:rPr>
              <w:t>u</w:t>
            </w:r>
            <w:proofErr w:type="spellEnd"/>
            <w:r>
              <w:rPr>
                <w:rFonts w:ascii="Times New Roman" w:hAnsi="Times New Roman"/>
                <w:sz w:val="24"/>
              </w:rPr>
              <w:t xml:space="preserve"> stupcu e obrasca EU CR6.</w:t>
            </w:r>
          </w:p>
        </w:tc>
      </w:tr>
      <w:tr w:rsidR="000646F8" w:rsidRPr="007F4CC8" w14:paraId="35C8B720" w14:textId="77777777" w:rsidTr="00155C96">
        <w:trPr>
          <w:gridAfter w:val="1"/>
          <w:wAfter w:w="28" w:type="dxa"/>
          <w:trHeight w:val="316"/>
        </w:trPr>
        <w:tc>
          <w:tcPr>
            <w:tcW w:w="1413" w:type="dxa"/>
          </w:tcPr>
          <w:p w14:paraId="5600EEE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g</w:t>
            </w:r>
          </w:p>
        </w:tc>
        <w:tc>
          <w:tcPr>
            <w:tcW w:w="7626" w:type="dxa"/>
          </w:tcPr>
          <w:p w14:paraId="7CDA9871" w14:textId="55837706" w:rsidR="000646F8" w:rsidRPr="00B42FCC" w:rsidRDefault="000646F8"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Prosječni PD na datum objave (%)</w:t>
            </w:r>
          </w:p>
          <w:p w14:paraId="6917168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Aritmetički prosječni PD na početku razdoblja objave dužnika koji se raspoređuju u razred fiksnog raspona PD-a i izračunava u stupcu d (ponderiran prosjekom broja dužnika)</w:t>
            </w:r>
          </w:p>
        </w:tc>
      </w:tr>
      <w:tr w:rsidR="000646F8" w:rsidRPr="007F4CC8" w14:paraId="26F2C08B" w14:textId="77777777" w:rsidTr="00155C96">
        <w:trPr>
          <w:gridAfter w:val="1"/>
          <w:wAfter w:w="28" w:type="dxa"/>
          <w:trHeight w:val="316"/>
        </w:trPr>
        <w:tc>
          <w:tcPr>
            <w:tcW w:w="1413" w:type="dxa"/>
          </w:tcPr>
          <w:p w14:paraId="70261E4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26" w:type="dxa"/>
          </w:tcPr>
          <w:p w14:paraId="0164EAA8" w14:textId="19B3621F" w:rsidR="000646F8" w:rsidRPr="00B42FCC" w:rsidRDefault="000646F8" w:rsidP="00155C96">
            <w:pPr>
              <w:spacing w:after="120"/>
              <w:rPr>
                <w:rFonts w:ascii="Times New Roman" w:eastAsia="Times New Roman" w:hAnsi="Times New Roman" w:cs="Times New Roman"/>
                <w:b/>
                <w:sz w:val="24"/>
              </w:rPr>
            </w:pPr>
            <w:r>
              <w:rPr>
                <w:rFonts w:ascii="Times New Roman" w:hAnsi="Times New Roman"/>
                <w:b/>
                <w:sz w:val="24"/>
              </w:rPr>
              <w:t>Prosječna povijesna godišnja stopa nastanka statusa neispunjavanja obveza (%)</w:t>
            </w:r>
          </w:p>
          <w:p w14:paraId="178AE68E" w14:textId="77777777" w:rsidR="000646F8" w:rsidRPr="007F4CC8" w:rsidRDefault="000646F8" w:rsidP="00155C96">
            <w:pPr>
              <w:spacing w:after="120"/>
              <w:jc w:val="both"/>
              <w:rPr>
                <w:rFonts w:ascii="Times New Roman" w:eastAsia="Times New Roman" w:hAnsi="Times New Roman" w:cs="Times New Roman"/>
                <w:sz w:val="24"/>
              </w:rPr>
            </w:pPr>
            <w:r>
              <w:rPr>
                <w:rFonts w:ascii="Times New Roman" w:hAnsi="Times New Roman"/>
                <w:sz w:val="24"/>
              </w:rPr>
              <w:t>Jednostavan prosjek godišnje stope nastanka statusa neispunjavanja obveza najmanje pet posljednjih godina (dužnici na početku godine koji su bili u statusu neispunjavanja obveza tijekom te godine/ukupni broj dužnika na početku godine).</w:t>
            </w:r>
          </w:p>
          <w:p w14:paraId="46BB9FEA"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Institucije mogu upotrebljavati dulje povijesno razdoblje koje je dosljedno sa stvarnom praksom upravljanja rizikom institucije. Ako institucija upotrebljava dulje povijesno razdoblje, to objašnjava i pojašnjava u opisu koji prilaže uz obrazac.</w:t>
            </w:r>
          </w:p>
        </w:tc>
      </w:tr>
    </w:tbl>
    <w:p w14:paraId="49D15F46" w14:textId="77777777" w:rsidR="000646F8" w:rsidRPr="007F4CC8" w:rsidRDefault="000646F8" w:rsidP="000646F8">
      <w:pPr>
        <w:spacing w:after="120"/>
        <w:rPr>
          <w:rFonts w:ascii="Times New Roman" w:hAnsi="Times New Roman" w:cs="Times New Roman"/>
          <w:sz w:val="24"/>
        </w:rPr>
      </w:pPr>
    </w:p>
    <w:p w14:paraId="0040E4EA" w14:textId="77777777" w:rsidR="000646F8" w:rsidRPr="007F4CC8" w:rsidRDefault="000646F8" w:rsidP="000646F8">
      <w:pPr>
        <w:spacing w:after="120"/>
        <w:rPr>
          <w:rFonts w:ascii="Times New Roman" w:hAnsi="Times New Roman" w:cs="Times New Roman"/>
          <w:sz w:val="24"/>
        </w:rPr>
      </w:pPr>
    </w:p>
    <w:p w14:paraId="549A885F" w14:textId="2B925FE4" w:rsidR="000646F8" w:rsidRPr="007F4CC8" w:rsidRDefault="00CD362D" w:rsidP="000646F8">
      <w:pPr>
        <w:spacing w:after="120"/>
        <w:rPr>
          <w:rFonts w:ascii="Times New Roman" w:hAnsi="Times New Roman" w:cs="Times New Roman"/>
          <w:b/>
          <w:sz w:val="24"/>
        </w:rPr>
      </w:pPr>
      <w:r>
        <w:rPr>
          <w:rFonts w:ascii="Times New Roman" w:hAnsi="Times New Roman"/>
          <w:b/>
          <w:sz w:val="24"/>
        </w:rPr>
        <w:t>Obrazac EU CR9.1 – IRB pristup – Retroaktivno testiranje PD-a prema kategoriji izloženosti (samo za procjene PD-a u skladu s člankom 180. stavkom 1. točkom (f) CRR-a</w:t>
      </w:r>
    </w:p>
    <w:p w14:paraId="476E9A86" w14:textId="77777777" w:rsidR="000646F8" w:rsidRPr="007F4CC8" w:rsidRDefault="000646F8" w:rsidP="000646F8">
      <w:pPr>
        <w:spacing w:after="120"/>
        <w:rPr>
          <w:rFonts w:ascii="Times New Roman" w:hAnsi="Times New Roman" w:cs="Times New Roman"/>
          <w:sz w:val="24"/>
        </w:rPr>
      </w:pPr>
    </w:p>
    <w:p w14:paraId="792AF220" w14:textId="1355932B"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Uz obrazac EU CR9 institucije objavljuju informacije u obrascu EU-CR9.1 ako primjenjuju članak 180. stavak 1. točku (f) za procjenu PD-a i samo za procjene PD-a u skladu s istim člankom. Upute su jednake kao za obrazac EU CR9, uz sljedeće iznimke:</w:t>
      </w:r>
    </w:p>
    <w:p w14:paraId="7F97A198" w14:textId="77777777" w:rsidR="000646F8" w:rsidRPr="007F4CC8" w:rsidRDefault="000646F8" w:rsidP="000646F8">
      <w:pPr>
        <w:pStyle w:val="ListParagraph"/>
        <w:numPr>
          <w:ilvl w:val="1"/>
          <w:numId w:val="51"/>
        </w:numPr>
        <w:spacing w:after="120"/>
        <w:rPr>
          <w:rFonts w:ascii="Times New Roman" w:hAnsi="Times New Roman"/>
          <w:sz w:val="24"/>
        </w:rPr>
      </w:pPr>
      <w:r>
        <w:rPr>
          <w:rFonts w:ascii="Times New Roman" w:hAnsi="Times New Roman"/>
          <w:sz w:val="24"/>
        </w:rPr>
        <w:t>U stupcu b ovog obrasca institucije objavljuju raspone PD-a u skladu sa svojim internim rejting kategorijama koje raspoređuju na rejting-skalu koju koristi vanjska institucija za procjenu kreditnog rizika (VIPKR), umjesto fiksnog vanjskog raspona PD-a;</w:t>
      </w:r>
    </w:p>
    <w:p w14:paraId="771F3AAD" w14:textId="77777777" w:rsidR="000646F8" w:rsidRPr="007F4CC8" w:rsidRDefault="000646F8" w:rsidP="000646F8">
      <w:pPr>
        <w:pStyle w:val="ListParagraph"/>
        <w:numPr>
          <w:ilvl w:val="1"/>
          <w:numId w:val="51"/>
        </w:numPr>
        <w:spacing w:after="120"/>
        <w:rPr>
          <w:rFonts w:ascii="Times New Roman" w:hAnsi="Times New Roman"/>
          <w:sz w:val="24"/>
        </w:rPr>
      </w:pPr>
      <w:r>
        <w:rPr>
          <w:rFonts w:ascii="Times New Roman" w:hAnsi="Times New Roman"/>
          <w:sz w:val="24"/>
        </w:rPr>
        <w:t>Institucije objavljuju jedan stupac za svaki VIPKR koji se uzima u obzir u skladu s člankom 180. stavkom 1. točkom (f) CRR-a. Institucije u ovim stupcima uključuju vanjski rejting u koji su raspoređeni njihovi interni rasponi PD-a.</w:t>
      </w:r>
      <w:r>
        <w:tab/>
      </w:r>
    </w:p>
    <w:p w14:paraId="041B05CC" w14:textId="77777777" w:rsidR="000646F8" w:rsidRPr="007F4CC8" w:rsidRDefault="000646F8" w:rsidP="000646F8">
      <w:pPr>
        <w:spacing w:after="120"/>
        <w:rPr>
          <w:rFonts w:ascii="Times New Roman" w:hAnsi="Times New Roman" w:cs="Times New Roman"/>
          <w:sz w:val="24"/>
        </w:rPr>
      </w:pPr>
    </w:p>
    <w:p w14:paraId="4014185A" w14:textId="77777777"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61BA9C7E" w14:textId="77777777" w:rsidR="00F75FFC" w:rsidRPr="007F4CC8" w:rsidRDefault="00F75FFC" w:rsidP="00F75FFC">
      <w:pPr>
        <w:pStyle w:val="Annexetitre"/>
        <w:spacing w:before="0"/>
      </w:pPr>
      <w:r>
        <w:lastRenderedPageBreak/>
        <w:t xml:space="preserve">PRILOG XXIV. – Objava izloženosti u obliku specijaliziranog financiranja i izloženosti na osnovi vlasničkih ulaganja na temelju jednostavnog pristupa </w:t>
      </w:r>
      <w:proofErr w:type="spellStart"/>
      <w:r>
        <w:t>ponderiranja</w:t>
      </w:r>
      <w:proofErr w:type="spellEnd"/>
    </w:p>
    <w:p w14:paraId="4F127519" w14:textId="77777777" w:rsidR="00F75FFC" w:rsidRPr="007F4CC8" w:rsidRDefault="00F75FFC" w:rsidP="00F75FFC">
      <w:pPr>
        <w:spacing w:after="120"/>
        <w:rPr>
          <w:rFonts w:ascii="Times New Roman" w:hAnsi="Times New Roman" w:cs="Times New Roman"/>
          <w:sz w:val="24"/>
        </w:rPr>
      </w:pPr>
    </w:p>
    <w:p w14:paraId="12232C6E" w14:textId="552A356A" w:rsidR="00F75FFC" w:rsidRPr="007F4CC8" w:rsidRDefault="00CD362D" w:rsidP="00F75FFC">
      <w:pPr>
        <w:spacing w:after="120"/>
        <w:ind w:left="3"/>
        <w:rPr>
          <w:rFonts w:ascii="Times New Roman" w:hAnsi="Times New Roman"/>
          <w:sz w:val="24"/>
        </w:rPr>
      </w:pPr>
      <w:r>
        <w:rPr>
          <w:rFonts w:ascii="Times New Roman" w:hAnsi="Times New Roman"/>
          <w:b/>
          <w:sz w:val="24"/>
        </w:rPr>
        <w:t xml:space="preserve">Obrazac EU CR10 – Izloženosti u obliku specijaliziranog financiranja i izloženosti na osnovi vlasničkih ulaganja na temelju jednostavnog pristupa </w:t>
      </w:r>
      <w:proofErr w:type="spellStart"/>
      <w:r>
        <w:rPr>
          <w:rFonts w:ascii="Times New Roman" w:hAnsi="Times New Roman"/>
          <w:b/>
          <w:sz w:val="24"/>
        </w:rPr>
        <w:t>ponderiranja</w:t>
      </w:r>
      <w:proofErr w:type="spellEnd"/>
      <w:r>
        <w:rPr>
          <w:rFonts w:ascii="Times New Roman" w:hAnsi="Times New Roman"/>
          <w:b/>
          <w:sz w:val="24"/>
        </w:rPr>
        <w:t>.</w:t>
      </w:r>
      <w:r>
        <w:rPr>
          <w:rFonts w:ascii="Times New Roman" w:hAnsi="Times New Roman"/>
          <w:sz w:val="24"/>
        </w:rPr>
        <w:t xml:space="preserve"> Fiksni obrazac.</w:t>
      </w:r>
    </w:p>
    <w:p w14:paraId="6A6C4476" w14:textId="722AE61A" w:rsidR="00F75FFC" w:rsidRPr="007F4CC8" w:rsidRDefault="00F75FFC" w:rsidP="00F75FFC">
      <w:pPr>
        <w:pStyle w:val="ListParagraph"/>
        <w:numPr>
          <w:ilvl w:val="0"/>
          <w:numId w:val="55"/>
        </w:numPr>
        <w:spacing w:after="120"/>
        <w:ind w:hanging="357"/>
        <w:jc w:val="both"/>
        <w:rPr>
          <w:rFonts w:ascii="Times New Roman" w:hAnsi="Times New Roman"/>
          <w:sz w:val="24"/>
        </w:rPr>
      </w:pPr>
      <w:r>
        <w:rPr>
          <w:rFonts w:ascii="Times New Roman" w:hAnsi="Times New Roman"/>
          <w:sz w:val="24"/>
        </w:rPr>
        <w:t>Institucije objavljuju informacije iz članka 438. točke (e) Uredbe (EU) 575/2013</w:t>
      </w:r>
      <w:r>
        <w:rPr>
          <w:rStyle w:val="FootnoteReference"/>
        </w:rPr>
        <w:footnoteReference w:id="40"/>
      </w:r>
      <w:r>
        <w:rPr>
          <w:rFonts w:ascii="Times New Roman" w:hAnsi="Times New Roman"/>
          <w:sz w:val="24"/>
        </w:rPr>
        <w:t xml:space="preserve"> („CRR”) prateći upute u nastavku ovog Priloga za popunjavanje obrasca EU CR10 iz Priloga XXIII. ovoj Provedbenoj uredbi. Institucije objavljuju sljedeće:</w:t>
      </w:r>
    </w:p>
    <w:p w14:paraId="568B4E2A" w14:textId="77777777" w:rsidR="00F75FFC" w:rsidRPr="007F4CC8" w:rsidRDefault="00F75FFC" w:rsidP="00F75FFC">
      <w:pPr>
        <w:pStyle w:val="ListParagraph"/>
        <w:numPr>
          <w:ilvl w:val="1"/>
          <w:numId w:val="55"/>
        </w:numPr>
        <w:spacing w:after="120"/>
        <w:rPr>
          <w:rFonts w:ascii="Times New Roman" w:hAnsi="Times New Roman"/>
          <w:sz w:val="24"/>
          <w:szCs w:val="24"/>
        </w:rPr>
      </w:pPr>
      <w:r>
        <w:rPr>
          <w:rFonts w:ascii="Times New Roman" w:hAnsi="Times New Roman"/>
          <w:sz w:val="24"/>
        </w:rPr>
        <w:t>informacije o sljedećim vrstama izloženosti u obliku specijaliziranog financiranja iz članka 153. stavka 5. tablice 1.:</w:t>
      </w:r>
    </w:p>
    <w:p w14:paraId="39427F4B" w14:textId="2A247EF6"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„Financiranje projekata” u obrascu EU CR10.1;</w:t>
      </w:r>
    </w:p>
    <w:p w14:paraId="471A3883" w14:textId="4F232836"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 xml:space="preserve">„Nekretnine koje donose prihod i poslovne nekretnine visoke </w:t>
      </w:r>
      <w:proofErr w:type="spellStart"/>
      <w:r>
        <w:rPr>
          <w:rFonts w:ascii="Times New Roman" w:hAnsi="Times New Roman"/>
          <w:sz w:val="24"/>
          <w:szCs w:val="24"/>
        </w:rPr>
        <w:t>volatilnosti</w:t>
      </w:r>
      <w:proofErr w:type="spellEnd"/>
      <w:r>
        <w:rPr>
          <w:rFonts w:ascii="Times New Roman" w:hAnsi="Times New Roman"/>
          <w:sz w:val="24"/>
          <w:szCs w:val="24"/>
        </w:rPr>
        <w:t>” u obrascu EU CR10.2;</w:t>
      </w:r>
    </w:p>
    <w:p w14:paraId="53F6D261" w14:textId="5CDA9991"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„Financiranje objekata” u obrascu EU CR10.3;</w:t>
      </w:r>
    </w:p>
    <w:p w14:paraId="3EF1B672" w14:textId="444E838E"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„Financiranje robe” u obrascu EU CR10.4;</w:t>
      </w:r>
    </w:p>
    <w:p w14:paraId="59F0F9C5" w14:textId="3B87F847" w:rsidR="00F75FFC" w:rsidRPr="007F4CC8" w:rsidRDefault="00F75FFC" w:rsidP="00F75FFC">
      <w:pPr>
        <w:pStyle w:val="ListParagraph"/>
        <w:numPr>
          <w:ilvl w:val="1"/>
          <w:numId w:val="55"/>
        </w:numPr>
        <w:spacing w:after="120"/>
        <w:ind w:hanging="357"/>
        <w:rPr>
          <w:rFonts w:ascii="Times New Roman" w:hAnsi="Times New Roman"/>
          <w:sz w:val="24"/>
          <w:szCs w:val="24"/>
        </w:rPr>
      </w:pPr>
      <w:r>
        <w:rPr>
          <w:rFonts w:ascii="Times New Roman" w:hAnsi="Times New Roman"/>
          <w:sz w:val="24"/>
          <w:szCs w:val="24"/>
        </w:rPr>
        <w:t xml:space="preserve">informacije o izloženostima na osnovi vlasničkih ulaganja u skladu s jednostavnim pristupom </w:t>
      </w:r>
      <w:proofErr w:type="spellStart"/>
      <w:r>
        <w:rPr>
          <w:rFonts w:ascii="Times New Roman" w:hAnsi="Times New Roman"/>
          <w:sz w:val="24"/>
          <w:szCs w:val="24"/>
        </w:rPr>
        <w:t>ponderiranja</w:t>
      </w:r>
      <w:proofErr w:type="spellEnd"/>
      <w:r>
        <w:rPr>
          <w:rFonts w:ascii="Times New Roman" w:hAnsi="Times New Roman"/>
          <w:sz w:val="24"/>
          <w:szCs w:val="24"/>
        </w:rPr>
        <w:t xml:space="preserve"> rizika u obrascu EU CR10.5.</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7F4CC8" w14:paraId="094ED12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CAAE9EA" w14:textId="77777777" w:rsidR="00F75FFC" w:rsidRPr="007F4CC8" w:rsidRDefault="00F75FF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Referentni stupac</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DC6657" w14:textId="77777777" w:rsidR="00F75FFC" w:rsidRPr="007F4CC8" w:rsidRDefault="00F75FFC" w:rsidP="00155C96">
            <w:pPr>
              <w:spacing w:after="120"/>
              <w:rPr>
                <w:rFonts w:ascii="Times New Roman" w:hAnsi="Times New Roman" w:cs="Times New Roman"/>
                <w:b/>
                <w:sz w:val="24"/>
              </w:rPr>
            </w:pPr>
            <w:r>
              <w:rPr>
                <w:rFonts w:ascii="Times New Roman" w:hAnsi="Times New Roman"/>
                <w:b/>
                <w:sz w:val="24"/>
              </w:rPr>
              <w:t>Pravna osnova i upute</w:t>
            </w:r>
          </w:p>
        </w:tc>
      </w:tr>
      <w:tr w:rsidR="00F75FFC" w:rsidRPr="007F4CC8" w14:paraId="7CD3FB6E" w14:textId="77777777" w:rsidTr="00155C96">
        <w:trPr>
          <w:trHeight w:val="359"/>
        </w:trPr>
        <w:tc>
          <w:tcPr>
            <w:tcW w:w="1413" w:type="dxa"/>
            <w:vMerge/>
            <w:tcBorders>
              <w:left w:val="single" w:sz="4" w:space="0" w:color="auto"/>
              <w:right w:val="single" w:sz="4" w:space="0" w:color="auto"/>
            </w:tcBorders>
            <w:shd w:val="clear" w:color="auto" w:fill="D9D9D9" w:themeFill="background1" w:themeFillShade="D9"/>
          </w:tcPr>
          <w:p w14:paraId="2FBA8BD4" w14:textId="77777777" w:rsidR="00F75FFC" w:rsidRPr="007F4CC8"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2930282" w14:textId="77777777" w:rsidR="00F75FFC" w:rsidRPr="007F4CC8" w:rsidRDefault="00F75FF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F75FFC" w:rsidRPr="007F4CC8" w14:paraId="158AE7C6" w14:textId="77777777" w:rsidTr="00155C96">
        <w:trPr>
          <w:trHeight w:val="316"/>
        </w:trPr>
        <w:tc>
          <w:tcPr>
            <w:tcW w:w="1413" w:type="dxa"/>
          </w:tcPr>
          <w:p w14:paraId="6B61B2BB"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1E128EDF" w14:textId="041BD017" w:rsidR="00F75FFC" w:rsidRPr="00B42FCC" w:rsidRDefault="00F75FFC" w:rsidP="00155C96">
            <w:pPr>
              <w:spacing w:after="120"/>
              <w:jc w:val="both"/>
              <w:rPr>
                <w:rFonts w:ascii="Times New Roman" w:eastAsiaTheme="minorHAnsi" w:hAnsi="Times New Roman" w:cs="Times New Roman"/>
                <w:b/>
                <w:sz w:val="24"/>
              </w:rPr>
            </w:pPr>
            <w:r>
              <w:rPr>
                <w:rFonts w:ascii="Times New Roman" w:hAnsi="Times New Roman"/>
                <w:b/>
                <w:sz w:val="24"/>
              </w:rPr>
              <w:t>Bilančne izloženosti</w:t>
            </w:r>
          </w:p>
          <w:p w14:paraId="48FFB9E2"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Institucije objavljuju vrijednost izloženosti bilančnih izloženosti u skladu s člankom 166. stavcima od 1. do 7. i člankom 167. stavkom 1. CRR-a.</w:t>
            </w:r>
          </w:p>
        </w:tc>
      </w:tr>
      <w:tr w:rsidR="00F75FFC" w:rsidRPr="007F4CC8" w14:paraId="0E3843BA" w14:textId="77777777" w:rsidTr="00155C96">
        <w:trPr>
          <w:trHeight w:val="316"/>
        </w:trPr>
        <w:tc>
          <w:tcPr>
            <w:tcW w:w="1413" w:type="dxa"/>
          </w:tcPr>
          <w:p w14:paraId="0CEA5426"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14AAF8A5" w14:textId="29C8E1C6"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Izvanbilančne izloženosti</w:t>
            </w:r>
          </w:p>
          <w:p w14:paraId="7E118650" w14:textId="64F1160A"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Institucije objavljuju vrijednost izloženosti izvanbilančnih izloženosti u skladu s člankom 166. i člankom 167. stavkom 2. CRR-a, ne uzimajući u obzir konverzijske faktore navedene u članku 166. stavcima 8. ili 9. CRR-a, ili postotke navedene u članku 166. stavku 10. CRR-a.</w:t>
            </w:r>
          </w:p>
          <w:p w14:paraId="015AA9FF"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Izvanbilančne izloženosti sastoje se od svih obvezujućih iznosa koji nisu iskorišteni i svih izvanbilančnih stavki, kako je navedeno u Prilogu I. CRR-a.</w:t>
            </w:r>
          </w:p>
        </w:tc>
      </w:tr>
      <w:tr w:rsidR="00F75FFC" w:rsidRPr="007F4CC8" w14:paraId="41D6DC3C" w14:textId="77777777" w:rsidTr="00155C96">
        <w:trPr>
          <w:trHeight w:val="316"/>
        </w:trPr>
        <w:tc>
          <w:tcPr>
            <w:tcW w:w="1413" w:type="dxa"/>
          </w:tcPr>
          <w:p w14:paraId="1F8AF0DE"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30473FC4" w14:textId="27B6D291"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Ponder rizika</w:t>
            </w:r>
          </w:p>
          <w:p w14:paraId="38660C7F"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To je fiksni stupac. Ne smije se mijenjati. </w:t>
            </w:r>
          </w:p>
          <w:p w14:paraId="3DFA2E81" w14:textId="7426A588"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Ovaj je stupac utvrđen u skladu s člankom 153. stavkom 5. CRR-a za obrasce od EU CR10.1 do EU CR10.4 i u skladu s člankom 155. stavkom 2. CRR-a za obrazac EU CR10.5.</w:t>
            </w:r>
          </w:p>
        </w:tc>
      </w:tr>
      <w:tr w:rsidR="00F75FFC" w:rsidRPr="007F4CC8" w14:paraId="5276575E" w14:textId="77777777" w:rsidTr="00155C96">
        <w:trPr>
          <w:trHeight w:val="316"/>
        </w:trPr>
        <w:tc>
          <w:tcPr>
            <w:tcW w:w="1413" w:type="dxa"/>
          </w:tcPr>
          <w:p w14:paraId="6ACBCDAD"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d</w:t>
            </w:r>
          </w:p>
        </w:tc>
        <w:tc>
          <w:tcPr>
            <w:tcW w:w="7654" w:type="dxa"/>
          </w:tcPr>
          <w:p w14:paraId="279E448F" w14:textId="5A8F6B30"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Vrijednost izloženosti</w:t>
            </w:r>
          </w:p>
          <w:p w14:paraId="7DB8EC33" w14:textId="77777777" w:rsidR="00F75FFC" w:rsidRPr="007F4CC8" w:rsidRDefault="00F75FFC" w:rsidP="00155C96">
            <w:pPr>
              <w:autoSpaceDE w:val="0"/>
              <w:autoSpaceDN w:val="0"/>
              <w:adjustRightInd w:val="0"/>
              <w:spacing w:after="120"/>
              <w:rPr>
                <w:rFonts w:ascii="Times New Roman" w:hAnsi="Times New Roman" w:cs="Times New Roman"/>
                <w:sz w:val="24"/>
              </w:rPr>
            </w:pPr>
            <w:r>
              <w:rPr>
                <w:rFonts w:ascii="Times New Roman" w:hAnsi="Times New Roman"/>
                <w:sz w:val="24"/>
              </w:rPr>
              <w:t>Vrijednost izloženosti u skladu s člankom 166. ili člankom 167. CRR-a.</w:t>
            </w:r>
          </w:p>
          <w:p w14:paraId="3A4A60F5"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 xml:space="preserve">Ovaj stupac uključuje zbroj vrijednosti bilančnih izloženosti i izvanbilančnih izloženosti nakon primjene konverzijskih faktora i postotaka u skladu s člankom 166. stavcima od 8. do 10. CRR-a. </w:t>
            </w:r>
          </w:p>
        </w:tc>
      </w:tr>
      <w:tr w:rsidR="00F75FFC" w:rsidRPr="007F4CC8" w14:paraId="13CF4D96" w14:textId="77777777" w:rsidTr="00155C96">
        <w:trPr>
          <w:trHeight w:val="316"/>
        </w:trPr>
        <w:tc>
          <w:tcPr>
            <w:tcW w:w="1413" w:type="dxa"/>
            <w:tcBorders>
              <w:bottom w:val="single" w:sz="4" w:space="0" w:color="auto"/>
            </w:tcBorders>
          </w:tcPr>
          <w:p w14:paraId="21028C1D" w14:textId="6F9A8F50" w:rsidR="00F75FFC" w:rsidRPr="00DD0C4D" w:rsidRDefault="00F75FFC" w:rsidP="00D95507">
            <w:pPr>
              <w:autoSpaceDE w:val="0"/>
              <w:autoSpaceDN w:val="0"/>
              <w:adjustRightInd w:val="0"/>
              <w:spacing w:after="120"/>
              <w:jc w:val="both"/>
              <w:rPr>
                <w:rFonts w:ascii="Times New Roman" w:hAnsi="Times New Roman"/>
                <w:sz w:val="24"/>
              </w:rPr>
            </w:pPr>
            <w:r>
              <w:rPr>
                <w:rFonts w:ascii="Times New Roman" w:hAnsi="Times New Roman"/>
                <w:sz w:val="24"/>
              </w:rPr>
              <w:t>e (obrasci od EU CR10.1 do EU CR10.4)</w:t>
            </w:r>
          </w:p>
        </w:tc>
        <w:tc>
          <w:tcPr>
            <w:tcW w:w="7654" w:type="dxa"/>
          </w:tcPr>
          <w:p w14:paraId="79C5FBA4" w14:textId="7FC6C028"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Iznos izloženosti ponderiran rizikom (izloženosti u obliku specijaliziranog financiranja u skladu s pristupom raspoređivanja)</w:t>
            </w:r>
          </w:p>
          <w:p w14:paraId="3B53AAE1"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Iznos izloženosti ponderiran rizikom koji se izračunava u skladu s člankom 153. stavkom 5. CRR-a, nakon primjene pomoćnih faktora u skladu s člancima 501. i 501.a CRR-a, prema potrebi.</w:t>
            </w:r>
          </w:p>
        </w:tc>
      </w:tr>
      <w:tr w:rsidR="00F75FFC" w:rsidRPr="007F4CC8" w14:paraId="4174C902" w14:textId="77777777" w:rsidTr="00155C96">
        <w:trPr>
          <w:trHeight w:val="316"/>
        </w:trPr>
        <w:tc>
          <w:tcPr>
            <w:tcW w:w="1413" w:type="dxa"/>
            <w:tcBorders>
              <w:bottom w:val="single" w:sz="4" w:space="0" w:color="auto"/>
            </w:tcBorders>
          </w:tcPr>
          <w:p w14:paraId="12E030C9" w14:textId="02CCA531"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 (obrazac EU CR10.5)</w:t>
            </w:r>
          </w:p>
        </w:tc>
        <w:tc>
          <w:tcPr>
            <w:tcW w:w="7654" w:type="dxa"/>
          </w:tcPr>
          <w:p w14:paraId="3DBC58D3" w14:textId="014B7274"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Iznos izloženosti ponderiran rizikom (izloženosti na osnovi vlasničkih ulaganja u skladu s jednostavnim pristupom </w:t>
            </w:r>
            <w:proofErr w:type="spellStart"/>
            <w:r>
              <w:rPr>
                <w:rFonts w:ascii="Times New Roman" w:hAnsi="Times New Roman"/>
                <w:b/>
                <w:sz w:val="24"/>
              </w:rPr>
              <w:t>ponderiranja</w:t>
            </w:r>
            <w:proofErr w:type="spellEnd"/>
            <w:r>
              <w:rPr>
                <w:rFonts w:ascii="Times New Roman" w:hAnsi="Times New Roman"/>
                <w:b/>
                <w:sz w:val="24"/>
              </w:rPr>
              <w:t>)</w:t>
            </w:r>
          </w:p>
          <w:p w14:paraId="7DA86D44"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Iznos izloženosti ponderiran rizikom koji se izračunava u skladu s člankom 155. stavkom 2. CRR-a</w:t>
            </w:r>
          </w:p>
        </w:tc>
      </w:tr>
      <w:tr w:rsidR="00F75FFC" w:rsidRPr="007F4CC8" w14:paraId="32ABB4F4" w14:textId="77777777" w:rsidTr="00155C96">
        <w:trPr>
          <w:trHeight w:val="316"/>
        </w:trPr>
        <w:tc>
          <w:tcPr>
            <w:tcW w:w="1413" w:type="dxa"/>
            <w:tcBorders>
              <w:bottom w:val="nil"/>
            </w:tcBorders>
          </w:tcPr>
          <w:p w14:paraId="38501C95" w14:textId="50678C40" w:rsidR="00F75FFC" w:rsidRPr="00DD0C4D" w:rsidRDefault="00F75FFC" w:rsidP="00D95507">
            <w:pPr>
              <w:autoSpaceDE w:val="0"/>
              <w:autoSpaceDN w:val="0"/>
              <w:adjustRightInd w:val="0"/>
              <w:spacing w:after="120"/>
              <w:jc w:val="both"/>
              <w:rPr>
                <w:rFonts w:ascii="Times New Roman" w:hAnsi="Times New Roman"/>
                <w:sz w:val="24"/>
              </w:rPr>
            </w:pPr>
            <w:r>
              <w:rPr>
                <w:rFonts w:ascii="Times New Roman" w:hAnsi="Times New Roman"/>
                <w:sz w:val="24"/>
              </w:rPr>
              <w:t>f (obrasci od EU CR10.1 do EU CR10.4)</w:t>
            </w:r>
          </w:p>
        </w:tc>
        <w:tc>
          <w:tcPr>
            <w:tcW w:w="7654" w:type="dxa"/>
          </w:tcPr>
          <w:p w14:paraId="74654536" w14:textId="343224D0" w:rsidR="00F75FFC" w:rsidRPr="00D647C0"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Iznos očekivanog gubitka (izloženosti u obliku specijaliziranog financiranja u skladu s pristupom raspoređivanja)</w:t>
            </w:r>
          </w:p>
          <w:p w14:paraId="6C1D1496"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Iznos očekivanog gubitka koji se izračunava u skladu s člankom 158. stavkom 6. CRR-a</w:t>
            </w:r>
          </w:p>
        </w:tc>
      </w:tr>
      <w:tr w:rsidR="00F75FFC" w:rsidRPr="007F4CC8" w14:paraId="1D239CA4" w14:textId="77777777" w:rsidTr="00155C96">
        <w:trPr>
          <w:trHeight w:val="316"/>
        </w:trPr>
        <w:tc>
          <w:tcPr>
            <w:tcW w:w="1413" w:type="dxa"/>
            <w:tcBorders>
              <w:top w:val="nil"/>
            </w:tcBorders>
          </w:tcPr>
          <w:p w14:paraId="0049D53A" w14:textId="0B537F48"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 (obrazac EU CR10.5)</w:t>
            </w:r>
          </w:p>
        </w:tc>
        <w:tc>
          <w:tcPr>
            <w:tcW w:w="7654" w:type="dxa"/>
          </w:tcPr>
          <w:p w14:paraId="2B85CAB8" w14:textId="1283F79A" w:rsidR="00F75FFC" w:rsidRPr="00D647C0"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Iznos očekivanog gubitka (izloženosti na osnovi vlasničkih ulaganja u skladu s jednostavnim pristupom </w:t>
            </w:r>
            <w:proofErr w:type="spellStart"/>
            <w:r>
              <w:rPr>
                <w:rFonts w:ascii="Times New Roman" w:hAnsi="Times New Roman"/>
                <w:b/>
                <w:sz w:val="24"/>
              </w:rPr>
              <w:t>ponderiranja</w:t>
            </w:r>
            <w:proofErr w:type="spellEnd"/>
            <w:r>
              <w:rPr>
                <w:rFonts w:ascii="Times New Roman" w:hAnsi="Times New Roman"/>
                <w:b/>
                <w:sz w:val="24"/>
              </w:rPr>
              <w:t>)</w:t>
            </w:r>
          </w:p>
          <w:p w14:paraId="46BEB49C"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Iznos očekivanog gubitka koji se izračunava u skladu s člankom 158. stavkom 7. CRR-a</w:t>
            </w:r>
          </w:p>
        </w:tc>
      </w:tr>
    </w:tbl>
    <w:p w14:paraId="7A3CFC7E" w14:textId="77777777" w:rsidR="00F75FFC" w:rsidRPr="007F4CC8" w:rsidRDefault="00F75FFC" w:rsidP="00F75FFC">
      <w:pPr>
        <w:spacing w:after="120"/>
        <w:rPr>
          <w:rFonts w:ascii="Times New Roman" w:hAnsi="Times New Roman" w:cs="Times New Roman"/>
          <w:sz w:val="24"/>
        </w:rPr>
      </w:pPr>
    </w:p>
    <w:p w14:paraId="10AF6177" w14:textId="77777777" w:rsidR="00F75FFC" w:rsidRPr="007F4CC8" w:rsidRDefault="00F75FFC" w:rsidP="00F75FF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7F4CC8" w14:paraId="6DCB5F9E"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3AD717" w14:textId="77777777" w:rsidR="00F75FFC" w:rsidRPr="007F4CC8" w:rsidRDefault="00F75FF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5A646B" w14:textId="77777777" w:rsidR="00F75FFC" w:rsidRPr="007F4CC8" w:rsidRDefault="00F75FFC" w:rsidP="00155C96">
            <w:pPr>
              <w:spacing w:after="120"/>
              <w:rPr>
                <w:rFonts w:ascii="Times New Roman" w:hAnsi="Times New Roman" w:cs="Times New Roman"/>
                <w:b/>
                <w:sz w:val="24"/>
              </w:rPr>
            </w:pPr>
            <w:r>
              <w:rPr>
                <w:rFonts w:ascii="Times New Roman" w:hAnsi="Times New Roman"/>
                <w:b/>
                <w:sz w:val="24"/>
              </w:rPr>
              <w:t>Pravna osnova i upute</w:t>
            </w:r>
          </w:p>
        </w:tc>
      </w:tr>
      <w:tr w:rsidR="00F75FFC" w:rsidRPr="007F4CC8" w14:paraId="54F1D5A0"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2E202F41" w14:textId="77777777" w:rsidR="00F75FFC" w:rsidRPr="007F4CC8"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3C19806" w14:textId="77777777" w:rsidR="00F75FFC" w:rsidRPr="007F4CC8" w:rsidRDefault="00F75FF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F75FFC" w:rsidRPr="007F4CC8" w14:paraId="6D67A769" w14:textId="77777777" w:rsidTr="00155C96">
        <w:trPr>
          <w:trHeight w:val="316"/>
        </w:trPr>
        <w:tc>
          <w:tcPr>
            <w:tcW w:w="1413" w:type="dxa"/>
          </w:tcPr>
          <w:p w14:paraId="5C9D44D9"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Regulatorna kategorija</w:t>
            </w:r>
          </w:p>
        </w:tc>
        <w:tc>
          <w:tcPr>
            <w:tcW w:w="7654" w:type="dxa"/>
          </w:tcPr>
          <w:p w14:paraId="18671DFD" w14:textId="1BE8AC3A" w:rsidR="00F75FFC" w:rsidRPr="00DD0C4D" w:rsidRDefault="00D95507" w:rsidP="00155C96">
            <w:pPr>
              <w:spacing w:after="120"/>
              <w:jc w:val="both"/>
              <w:rPr>
                <w:rFonts w:ascii="Times New Roman" w:eastAsiaTheme="minorHAnsi" w:hAnsi="Times New Roman" w:cs="Times New Roman"/>
                <w:b/>
                <w:sz w:val="24"/>
              </w:rPr>
            </w:pPr>
            <w:r>
              <w:rPr>
                <w:rFonts w:ascii="Times New Roman" w:hAnsi="Times New Roman"/>
                <w:b/>
                <w:sz w:val="24"/>
              </w:rPr>
              <w:t>Obrasci EU CR10.1 – EU CR10.4</w:t>
            </w:r>
          </w:p>
          <w:p w14:paraId="46F62EA1"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 xml:space="preserve">Regulatorne kategorije koje se primjenjuju na specijalizirano financiranje u skladu s pristupom raspoređivanja za </w:t>
            </w:r>
            <w:r>
              <w:rPr>
                <w:rFonts w:ascii="Times New Roman" w:hAnsi="Times New Roman"/>
                <w:iCs/>
                <w:sz w:val="24"/>
              </w:rPr>
              <w:t xml:space="preserve">svaku kategoriju izloženosti u obliku specijaliziranog financiranja; </w:t>
            </w:r>
            <w:r>
              <w:rPr>
                <w:rFonts w:ascii="Times New Roman" w:hAnsi="Times New Roman"/>
                <w:sz w:val="24"/>
              </w:rPr>
              <w:t>kako je utvrđeno u članku 153. stavku 5. CRR-a i u konačnom nacrtu RTS-a o pristupu raspoređivanja</w:t>
            </w:r>
          </w:p>
        </w:tc>
      </w:tr>
      <w:tr w:rsidR="00F75FFC" w:rsidRPr="007F4CC8" w14:paraId="17EF5C42" w14:textId="77777777" w:rsidTr="00155C96">
        <w:trPr>
          <w:trHeight w:val="316"/>
        </w:trPr>
        <w:tc>
          <w:tcPr>
            <w:tcW w:w="1413" w:type="dxa"/>
          </w:tcPr>
          <w:p w14:paraId="3C8E4794"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Kategorije</w:t>
            </w:r>
          </w:p>
        </w:tc>
        <w:tc>
          <w:tcPr>
            <w:tcW w:w="7654" w:type="dxa"/>
          </w:tcPr>
          <w:p w14:paraId="395CC9EA" w14:textId="2B31B271" w:rsidR="00F75FFC" w:rsidRPr="00360C8C" w:rsidRDefault="00CD362D" w:rsidP="00155C96">
            <w:pPr>
              <w:spacing w:after="120"/>
              <w:jc w:val="both"/>
              <w:rPr>
                <w:rFonts w:ascii="Times New Roman" w:eastAsiaTheme="minorHAnsi" w:hAnsi="Times New Roman" w:cs="Times New Roman"/>
                <w:b/>
                <w:sz w:val="24"/>
              </w:rPr>
            </w:pPr>
            <w:r>
              <w:rPr>
                <w:rFonts w:ascii="Times New Roman" w:hAnsi="Times New Roman"/>
                <w:b/>
                <w:sz w:val="24"/>
              </w:rPr>
              <w:t>Obrazac EU CR10.5</w:t>
            </w:r>
          </w:p>
          <w:p w14:paraId="37BAE4FC" w14:textId="77777777" w:rsidR="00F75FFC" w:rsidRPr="007F4CC8" w:rsidRDefault="00F75FFC" w:rsidP="00155C96">
            <w:pPr>
              <w:spacing w:after="120"/>
              <w:jc w:val="both"/>
              <w:rPr>
                <w:rFonts w:ascii="Times New Roman" w:eastAsiaTheme="minorHAnsi" w:hAnsi="Times New Roman" w:cs="Times New Roman"/>
                <w:sz w:val="24"/>
              </w:rPr>
            </w:pPr>
            <w:r>
              <w:rPr>
                <w:rFonts w:ascii="Times New Roman" w:hAnsi="Times New Roman"/>
                <w:sz w:val="24"/>
              </w:rPr>
              <w:t xml:space="preserve">Regulatorne kategorije koje se primjenjuju na vlasnička ulaganja u skladu s jednostavnim pristupom </w:t>
            </w:r>
            <w:proofErr w:type="spellStart"/>
            <w:r>
              <w:rPr>
                <w:rFonts w:ascii="Times New Roman" w:hAnsi="Times New Roman"/>
                <w:sz w:val="24"/>
              </w:rPr>
              <w:t>ponderiranja</w:t>
            </w:r>
            <w:proofErr w:type="spellEnd"/>
            <w:r>
              <w:rPr>
                <w:rFonts w:ascii="Times New Roman" w:hAnsi="Times New Roman"/>
                <w:sz w:val="24"/>
              </w:rPr>
              <w:t xml:space="preserve"> u skladu s člankom 155. stavkom 2. CRR-a.</w:t>
            </w:r>
          </w:p>
        </w:tc>
      </w:tr>
    </w:tbl>
    <w:p w14:paraId="27F8CEE0" w14:textId="4AC3B6D6" w:rsidR="005710A4" w:rsidRPr="007F4CC8" w:rsidRDefault="005710A4" w:rsidP="00E258D8">
      <w:pPr>
        <w:tabs>
          <w:tab w:val="left" w:pos="1430"/>
        </w:tabs>
        <w:rPr>
          <w:rFonts w:ascii="Times New Roman" w:hAnsi="Times New Roman" w:cs="Times New Roman"/>
          <w:sz w:val="24"/>
        </w:rPr>
      </w:pPr>
    </w:p>
    <w:p w14:paraId="5ECE1EAB" w14:textId="77777777" w:rsidR="0081579E" w:rsidRPr="007F4CC8" w:rsidRDefault="005710A4">
      <w:pPr>
        <w:rPr>
          <w:rFonts w:ascii="Times New Roman" w:hAnsi="Times New Roman" w:cs="Times New Roman"/>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4A04FC2" w14:textId="77777777" w:rsidR="005710A4" w:rsidRPr="007F4CC8" w:rsidRDefault="005710A4" w:rsidP="005710A4">
      <w:pPr>
        <w:pStyle w:val="Titlelevel2"/>
        <w:spacing w:before="0"/>
        <w:jc w:val="center"/>
        <w:rPr>
          <w:rFonts w:ascii="Times New Roman" w:hAnsi="Times New Roman" w:cs="Times New Roman"/>
          <w:b/>
          <w:color w:val="auto"/>
          <w:sz w:val="24"/>
          <w:u w:val="single"/>
        </w:rPr>
      </w:pPr>
      <w:r>
        <w:rPr>
          <w:rFonts w:ascii="Times New Roman" w:hAnsi="Times New Roman"/>
          <w:b/>
          <w:color w:val="auto"/>
          <w:sz w:val="24"/>
          <w:u w:val="single"/>
        </w:rPr>
        <w:lastRenderedPageBreak/>
        <w:t>PRILOG XXVI. – Tablice i obrasci za objavu kreditnog rizika druge ugovorne strane: Upute</w:t>
      </w:r>
    </w:p>
    <w:p w14:paraId="25209BB9" w14:textId="77777777" w:rsidR="005710A4" w:rsidRPr="007F4CC8" w:rsidRDefault="005710A4" w:rsidP="005710A4">
      <w:pPr>
        <w:pStyle w:val="Titlelevel2"/>
        <w:numPr>
          <w:ilvl w:val="0"/>
          <w:numId w:val="56"/>
        </w:numPr>
        <w:spacing w:before="0"/>
        <w:jc w:val="both"/>
        <w:rPr>
          <w:rFonts w:ascii="Times New Roman" w:hAnsi="Times New Roman" w:cs="Times New Roman"/>
          <w:color w:val="auto"/>
          <w:sz w:val="24"/>
        </w:rPr>
      </w:pPr>
      <w:r>
        <w:rPr>
          <w:rFonts w:ascii="Times New Roman" w:hAnsi="Times New Roman"/>
          <w:color w:val="auto"/>
          <w:sz w:val="24"/>
        </w:rPr>
        <w:t>Institucije objavljuju informacije iz članka 439. CRR-a o svojim izloženostima kreditnom riziku druge ugovorne strane kako je navedeno u dijelu trećem glavi II poglavlju 6. Uredbe (EU) 575/2013</w:t>
      </w:r>
      <w:r>
        <w:rPr>
          <w:rStyle w:val="FootnoteReference"/>
          <w:color w:val="auto"/>
          <w:lang w:val="en-GB"/>
        </w:rPr>
        <w:footnoteReference w:id="41"/>
      </w:r>
      <w:r>
        <w:rPr>
          <w:rFonts w:ascii="Times New Roman" w:hAnsi="Times New Roman"/>
          <w:color w:val="auto"/>
          <w:sz w:val="24"/>
        </w:rPr>
        <w:t xml:space="preserve"> („CRR”) prateći upute u nastavku ovog Priloga kako bi ispunile tablice i obrasce koji su navedeni u Prilogu XXV. ovoj Provedbenoj uredbi. </w:t>
      </w:r>
    </w:p>
    <w:p w14:paraId="6F02BE4D" w14:textId="086DE4C4" w:rsidR="005710A4" w:rsidRPr="007F4CC8" w:rsidRDefault="00D95507" w:rsidP="005710A4">
      <w:pPr>
        <w:pStyle w:val="Titlelevel2"/>
        <w:spacing w:before="0"/>
        <w:rPr>
          <w:rFonts w:ascii="Times New Roman" w:eastAsiaTheme="minorEastAsia" w:hAnsi="Times New Roman" w:cs="Times New Roman"/>
          <w:bCs w:val="0"/>
          <w:color w:val="000000"/>
          <w:sz w:val="24"/>
        </w:rPr>
      </w:pPr>
      <w:r>
        <w:rPr>
          <w:rFonts w:ascii="Times New Roman" w:hAnsi="Times New Roman"/>
          <w:b/>
          <w:color w:val="auto"/>
          <w:sz w:val="24"/>
        </w:rPr>
        <w:t>Tablica EU CCRA – Objava kvalitativnih informacija o kreditnom riziku druge ugovorne strane (CCR):</w:t>
      </w:r>
      <w:r>
        <w:rPr>
          <w:rFonts w:ascii="Times New Roman" w:hAnsi="Times New Roman"/>
          <w:sz w:val="24"/>
        </w:rPr>
        <w:t xml:space="preserve"> </w:t>
      </w:r>
      <w:r>
        <w:rPr>
          <w:rFonts w:ascii="Times New Roman" w:hAnsi="Times New Roman"/>
          <w:bCs w:val="0"/>
          <w:color w:val="000000"/>
          <w:sz w:val="24"/>
        </w:rPr>
        <w:t xml:space="preserve">Polja za slobodni unos teksta </w:t>
      </w:r>
    </w:p>
    <w:p w14:paraId="574B95B8" w14:textId="3ECD312A" w:rsidR="005710A4" w:rsidRPr="007F4CC8" w:rsidRDefault="005710A4" w:rsidP="005710A4">
      <w:pPr>
        <w:pStyle w:val="Titlelevel2"/>
        <w:numPr>
          <w:ilvl w:val="0"/>
          <w:numId w:val="56"/>
        </w:numPr>
        <w:spacing w:before="0"/>
        <w:jc w:val="both"/>
        <w:rPr>
          <w:rFonts w:ascii="Times New Roman" w:hAnsi="Times New Roman" w:cs="Times New Roman"/>
          <w:sz w:val="24"/>
        </w:rPr>
      </w:pPr>
      <w:r>
        <w:rPr>
          <w:rFonts w:ascii="Times New Roman" w:hAnsi="Times New Roman"/>
          <w:bCs w:val="0"/>
          <w:color w:val="auto"/>
          <w:sz w:val="24"/>
        </w:rPr>
        <w:t>Institucije objavljuju informacije iz</w:t>
      </w:r>
      <w:r>
        <w:rPr>
          <w:rFonts w:ascii="Times New Roman" w:hAnsi="Times New Roman"/>
          <w:bCs w:val="0"/>
          <w:color w:val="000000"/>
          <w:sz w:val="24"/>
        </w:rPr>
        <w:t xml:space="preserve"> članka 439. točaka od (a) do (d) CRR-a</w:t>
      </w:r>
      <w:r>
        <w:rPr>
          <w:rFonts w:ascii="Times New Roman" w:hAnsi="Times New Roman"/>
          <w:bCs w:val="0"/>
          <w:color w:val="auto"/>
          <w:sz w:val="24"/>
        </w:rPr>
        <w:t xml:space="preserve"> prateći upute u nastavku ovog Priloga za popunjavanje</w:t>
      </w:r>
      <w:r>
        <w:rPr>
          <w:rFonts w:ascii="Times New Roman" w:hAnsi="Times New Roman"/>
          <w:bCs w:val="0"/>
          <w:color w:val="000000"/>
          <w:sz w:val="24"/>
        </w:rPr>
        <w:t xml:space="preserve"> tablice EU CCRA iz Priloga XXV. ovoj Provedbenoj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7C8A74FB"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BB9687"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Pravna osnova i upute</w:t>
            </w:r>
          </w:p>
        </w:tc>
      </w:tr>
      <w:tr w:rsidR="005710A4" w:rsidRPr="007F4CC8" w14:paraId="0BFA88FC" w14:textId="77777777" w:rsidTr="00155C96">
        <w:trPr>
          <w:trHeight w:val="238"/>
        </w:trPr>
        <w:tc>
          <w:tcPr>
            <w:tcW w:w="1384" w:type="dxa"/>
            <w:shd w:val="clear" w:color="auto" w:fill="D9D9D9" w:themeFill="background1" w:themeFillShade="D9"/>
          </w:tcPr>
          <w:p w14:paraId="66B6CD5F"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0DF1B006"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Objašnjenje</w:t>
            </w:r>
          </w:p>
        </w:tc>
      </w:tr>
      <w:tr w:rsidR="005710A4" w:rsidRPr="007F4CC8" w14:paraId="05665A0F" w14:textId="77777777" w:rsidTr="00155C96">
        <w:trPr>
          <w:trHeight w:val="680"/>
        </w:trPr>
        <w:tc>
          <w:tcPr>
            <w:tcW w:w="1384" w:type="dxa"/>
          </w:tcPr>
          <w:p w14:paraId="2565E4DE" w14:textId="37B41AD5" w:rsidR="005710A4" w:rsidRPr="007F4CC8" w:rsidRDefault="00CB5CCE" w:rsidP="00155C96">
            <w:pPr>
              <w:pStyle w:val="Applicationdirecte"/>
              <w:spacing w:before="0" w:after="240"/>
              <w:jc w:val="center"/>
            </w:pPr>
            <w:r>
              <w:t>(a)</w:t>
            </w:r>
          </w:p>
        </w:tc>
        <w:tc>
          <w:tcPr>
            <w:tcW w:w="7655" w:type="dxa"/>
            <w:vAlign w:val="center"/>
          </w:tcPr>
          <w:p w14:paraId="5109F0C3"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Pri objavi informacija propisanih u članku 439. točke (a) CRR-a institucije navode opis metodologije raspoređivanja internog kapitala i dodjele kreditnih limita za izloženosti riziku druge ugovorne strane, uključujući metode dodjele tih limita izloženostima prema središnjim drugim ugovornim stranama.</w:t>
            </w:r>
          </w:p>
        </w:tc>
      </w:tr>
      <w:tr w:rsidR="005710A4" w:rsidRPr="007F4CC8" w14:paraId="77B03842" w14:textId="77777777" w:rsidTr="00155C96">
        <w:trPr>
          <w:trHeight w:val="680"/>
        </w:trPr>
        <w:tc>
          <w:tcPr>
            <w:tcW w:w="1384" w:type="dxa"/>
          </w:tcPr>
          <w:p w14:paraId="4299B689" w14:textId="2744A6CA" w:rsidR="005710A4" w:rsidRPr="007F4CC8" w:rsidRDefault="00CB5CCE" w:rsidP="00155C96">
            <w:pPr>
              <w:pStyle w:val="Applicationdirecte"/>
              <w:spacing w:before="0" w:after="240"/>
              <w:jc w:val="center"/>
            </w:pPr>
            <w:r>
              <w:t>(b)</w:t>
            </w:r>
          </w:p>
        </w:tc>
        <w:tc>
          <w:tcPr>
            <w:tcW w:w="7655" w:type="dxa"/>
          </w:tcPr>
          <w:p w14:paraId="1DFC6B61" w14:textId="5B3E295C"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Pri objavi informacija propisanih u članku 439. točki (b) CRR-a institucije navode </w:t>
            </w:r>
            <w:r>
              <w:rPr>
                <w:rFonts w:ascii="Times New Roman" w:hAnsi="Times New Roman"/>
                <w:color w:val="000000"/>
                <w:sz w:val="24"/>
              </w:rPr>
              <w:t>opis politika jamstava i drugih instrumenata za smanjenje kreditnog rizika, kao što su politike osiguranja kolateralom i uspostava kreditnih rezervi.</w:t>
            </w:r>
          </w:p>
        </w:tc>
      </w:tr>
      <w:tr w:rsidR="005710A4" w:rsidRPr="007F4CC8" w14:paraId="16AFFB4D" w14:textId="77777777" w:rsidTr="00155C96">
        <w:trPr>
          <w:trHeight w:val="436"/>
        </w:trPr>
        <w:tc>
          <w:tcPr>
            <w:tcW w:w="1384" w:type="dxa"/>
          </w:tcPr>
          <w:p w14:paraId="3E6B3BE1" w14:textId="30FE8EAD" w:rsidR="005710A4" w:rsidRPr="007F4CC8" w:rsidRDefault="00CB5CCE" w:rsidP="00155C96">
            <w:pPr>
              <w:pStyle w:val="Applicationdirecte"/>
              <w:spacing w:before="0" w:after="240"/>
              <w:jc w:val="center"/>
            </w:pPr>
            <w:r>
              <w:t>(c)</w:t>
            </w:r>
          </w:p>
        </w:tc>
        <w:tc>
          <w:tcPr>
            <w:tcW w:w="7655" w:type="dxa"/>
          </w:tcPr>
          <w:p w14:paraId="32E502FA" w14:textId="235B1693"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Pri objavi informacija propisanih u članku 439. točki (c) CRR-a institucije navode </w:t>
            </w:r>
            <w:r>
              <w:rPr>
                <w:rFonts w:ascii="Times New Roman" w:hAnsi="Times New Roman"/>
                <w:color w:val="000000"/>
                <w:sz w:val="24"/>
              </w:rPr>
              <w:t>o</w:t>
            </w:r>
            <w:r>
              <w:rPr>
                <w:rFonts w:ascii="Times New Roman" w:hAnsi="Times New Roman"/>
                <w:sz w:val="24"/>
              </w:rPr>
              <w:t>pis politika povezanih s povratnim rizikom kako je definiran u članku 291. CRR-a.</w:t>
            </w:r>
          </w:p>
        </w:tc>
      </w:tr>
      <w:tr w:rsidR="005710A4" w:rsidRPr="007F4CC8" w14:paraId="61203F55" w14:textId="77777777" w:rsidTr="00155C96">
        <w:trPr>
          <w:trHeight w:val="557"/>
        </w:trPr>
        <w:tc>
          <w:tcPr>
            <w:tcW w:w="1384" w:type="dxa"/>
          </w:tcPr>
          <w:p w14:paraId="78488193" w14:textId="7B1F25E0" w:rsidR="005710A4" w:rsidRPr="007F4CC8" w:rsidRDefault="00CB5CCE" w:rsidP="00155C96">
            <w:pPr>
              <w:pStyle w:val="Applicationdirecte"/>
              <w:spacing w:before="0" w:after="240"/>
              <w:jc w:val="center"/>
            </w:pPr>
            <w:r>
              <w:t>(d)</w:t>
            </w:r>
          </w:p>
        </w:tc>
        <w:tc>
          <w:tcPr>
            <w:tcW w:w="7655" w:type="dxa"/>
          </w:tcPr>
          <w:p w14:paraId="109FE4FC" w14:textId="5091E40E" w:rsidR="005710A4" w:rsidRPr="007F4CC8" w:rsidRDefault="005710A4" w:rsidP="00155C96">
            <w:pPr>
              <w:spacing w:after="240"/>
              <w:jc w:val="both"/>
              <w:rPr>
                <w:rFonts w:ascii="Times New Roman" w:hAnsi="Times New Roman" w:cs="Times New Roman"/>
                <w:color w:val="000000"/>
                <w:sz w:val="24"/>
              </w:rPr>
            </w:pPr>
            <w:r>
              <w:rPr>
                <w:rFonts w:ascii="Times New Roman" w:hAnsi="Times New Roman"/>
                <w:color w:val="000000"/>
                <w:sz w:val="24"/>
              </w:rPr>
              <w:t>U skladu s člankom 431. stavcima 3. i 4. CRR-a institucije prethodno navedene informacije dopunjuju drugim ciljevima upravljanja rizikom i relevantnim politikama koje se odnose na kreditni rizik druge ugovorne strane.</w:t>
            </w:r>
          </w:p>
        </w:tc>
      </w:tr>
      <w:tr w:rsidR="005710A4" w:rsidRPr="007F4CC8" w14:paraId="539DBB08" w14:textId="77777777" w:rsidTr="00155C96">
        <w:trPr>
          <w:trHeight w:val="557"/>
        </w:trPr>
        <w:tc>
          <w:tcPr>
            <w:tcW w:w="1384" w:type="dxa"/>
          </w:tcPr>
          <w:p w14:paraId="2D2A8B07" w14:textId="76794BB1" w:rsidR="005710A4" w:rsidRPr="007F4CC8" w:rsidRDefault="00CB5CCE" w:rsidP="000561D1">
            <w:pPr>
              <w:pStyle w:val="Applicationdirecte"/>
              <w:spacing w:before="0" w:after="240"/>
              <w:jc w:val="center"/>
            </w:pPr>
            <w:r>
              <w:t>(e)</w:t>
            </w:r>
          </w:p>
        </w:tc>
        <w:tc>
          <w:tcPr>
            <w:tcW w:w="7655" w:type="dxa"/>
          </w:tcPr>
          <w:p w14:paraId="54245BA4" w14:textId="0EA812D5" w:rsidR="005710A4" w:rsidRPr="007F4CC8" w:rsidRDefault="005710A4" w:rsidP="00155C96">
            <w:pPr>
              <w:spacing w:after="240"/>
              <w:jc w:val="both"/>
              <w:rPr>
                <w:rFonts w:ascii="Times New Roman" w:hAnsi="Times New Roman" w:cs="Times New Roman"/>
                <w:color w:val="000000"/>
                <w:sz w:val="24"/>
              </w:rPr>
            </w:pPr>
            <w:r>
              <w:rPr>
                <w:rFonts w:ascii="Times New Roman" w:hAnsi="Times New Roman"/>
                <w:color w:val="000000"/>
                <w:sz w:val="24"/>
              </w:rPr>
              <w:t xml:space="preserve">Pri objavi informacija propisanih u članku 439. točki (d) CRR-a institucije navode iznos kolaterala koje bi institucije trebale osigurati u slučaju smanjenja njihova kreditnog rejtinga. </w:t>
            </w:r>
          </w:p>
          <w:p w14:paraId="11DC831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color w:val="000000"/>
                <w:sz w:val="24"/>
              </w:rPr>
              <w:t xml:space="preserve">Ako središnja banka države članice pruži likvidnosnu pomoć u obliku transakcija razmjene kolaterala, nadležno tijelo može izuzeti institucije od dostavljanja tih informacija ako to nadležno tijelo smatra da bi se objavom tih informacija moglo otkriti da je pružena </w:t>
            </w:r>
            <w:proofErr w:type="spellStart"/>
            <w:r>
              <w:rPr>
                <w:rFonts w:ascii="Times New Roman" w:hAnsi="Times New Roman"/>
                <w:color w:val="000000"/>
                <w:sz w:val="24"/>
              </w:rPr>
              <w:t>likvidnosna</w:t>
            </w:r>
            <w:proofErr w:type="spellEnd"/>
            <w:r>
              <w:rPr>
                <w:rFonts w:ascii="Times New Roman" w:hAnsi="Times New Roman"/>
                <w:color w:val="000000"/>
                <w:sz w:val="24"/>
              </w:rPr>
              <w:t xml:space="preserve"> pomoć u izvanrednim </w:t>
            </w:r>
            <w:r>
              <w:rPr>
                <w:rFonts w:ascii="Times New Roman" w:hAnsi="Times New Roman"/>
                <w:color w:val="000000"/>
                <w:sz w:val="24"/>
              </w:rPr>
              <w:lastRenderedPageBreak/>
              <w:t>situacijama. Nadležno tijelo u te svrhe utvrđuje primjerene pragove i objektivne kriterije.</w:t>
            </w:r>
          </w:p>
        </w:tc>
      </w:tr>
    </w:tbl>
    <w:p w14:paraId="651D0C27" w14:textId="77777777" w:rsidR="005710A4" w:rsidRPr="006944D5" w:rsidRDefault="005710A4" w:rsidP="005710A4">
      <w:pPr>
        <w:pStyle w:val="Titlelevel2"/>
        <w:spacing w:before="0"/>
        <w:rPr>
          <w:rFonts w:ascii="Times New Roman" w:hAnsi="Times New Roman" w:cs="Times New Roman"/>
          <w:b/>
          <w:color w:val="auto"/>
          <w:sz w:val="24"/>
        </w:rPr>
      </w:pPr>
    </w:p>
    <w:p w14:paraId="266823BD" w14:textId="4A597791" w:rsidR="005710A4" w:rsidRPr="007F4CC8" w:rsidRDefault="00CD362D" w:rsidP="005710A4">
      <w:pPr>
        <w:pStyle w:val="Titlelevel2"/>
        <w:spacing w:before="0"/>
        <w:rPr>
          <w:rFonts w:ascii="Times New Roman" w:hAnsi="Times New Roman" w:cs="Times New Roman"/>
          <w:color w:val="auto"/>
          <w:sz w:val="24"/>
        </w:rPr>
      </w:pPr>
      <w:r>
        <w:rPr>
          <w:rFonts w:ascii="Times New Roman" w:hAnsi="Times New Roman"/>
          <w:b/>
          <w:color w:val="auto"/>
          <w:sz w:val="24"/>
        </w:rPr>
        <w:t xml:space="preserve">Obrazac EU CCR1 – Analiza izloženosti kreditnom riziku druge ugovorne strane prema pristupu: </w:t>
      </w:r>
      <w:r>
        <w:rPr>
          <w:rFonts w:ascii="Times New Roman" w:hAnsi="Times New Roman"/>
          <w:color w:val="auto"/>
          <w:sz w:val="24"/>
        </w:rPr>
        <w:t>Fiksan format</w:t>
      </w:r>
    </w:p>
    <w:p w14:paraId="042FCEE6" w14:textId="057C1FF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Institucije objavljuju informacije iz članka 439. točaka (f), (g) i (k) CRR-a prateći upute u nastavku ovog Priloga za popunjavanje obrasca EU CCR1 iz Priloga XXV. ovoj Provedbenoj uredbi.</w:t>
      </w:r>
    </w:p>
    <w:p w14:paraId="3920FABD" w14:textId="14A7B163" w:rsidR="005710A4" w:rsidRPr="007F4CC8" w:rsidRDefault="005710A4" w:rsidP="005710A4">
      <w:pPr>
        <w:pStyle w:val="Titlelevel2"/>
        <w:numPr>
          <w:ilvl w:val="0"/>
          <w:numId w:val="56"/>
        </w:numPr>
        <w:spacing w:before="0"/>
        <w:jc w:val="both"/>
        <w:rPr>
          <w:rFonts w:ascii="Times New Roman" w:hAnsi="Times New Roman" w:cs="Times New Roman"/>
          <w:color w:val="auto"/>
          <w:sz w:val="24"/>
        </w:rPr>
      </w:pPr>
      <w:r>
        <w:rPr>
          <w:rFonts w:ascii="Times New Roman" w:hAnsi="Times New Roman"/>
          <w:bCs w:val="0"/>
          <w:color w:val="000000"/>
          <w:sz w:val="24"/>
        </w:rPr>
        <w:t>Ovaj obrazac ne uključuje kapitalne zahtjeve za CVA rizik (dio treći glava VI CRR-a) i izloženosti prema središnjoj drugoj ugovornoj strani (dio treći glava II. poglavlje 6. odjeljak 9. CRR-a) kako su definirani za potrebe obrasca EU CCR8.</w:t>
      </w:r>
      <w:r>
        <w:t xml:space="preserve"> </w:t>
      </w:r>
      <w:r>
        <w:rPr>
          <w:rFonts w:ascii="Times New Roman" w:hAnsi="Times New Roman"/>
          <w:bCs w:val="0"/>
          <w:color w:val="000000"/>
          <w:sz w:val="24"/>
        </w:rPr>
        <w:t>Za transakcije financiranja vrijednosnim papirima, uključuje vrijednosti izloženosti prije i poslije učinka smanjenja kreditnog rizika kako je određeno na temelju metoda iz dijela trećeg glave II. poglavlja 4. i 6., neovisno o tome koja je metoda primijenjena, u skladu s člankom 439. točkom (g) CRR-a, i povezane iznose izloženosti riziku razvrstane prema primjenjivim metodama.</w:t>
      </w:r>
    </w:p>
    <w:p w14:paraId="413FEC71" w14:textId="67D2F15F" w:rsidR="005710A4" w:rsidRPr="007F4CC8" w:rsidRDefault="005710A4" w:rsidP="005710A4">
      <w:pPr>
        <w:pStyle w:val="Titlelevel2"/>
        <w:numPr>
          <w:ilvl w:val="0"/>
          <w:numId w:val="56"/>
        </w:numPr>
        <w:spacing w:before="0"/>
        <w:jc w:val="both"/>
        <w:rPr>
          <w:rFonts w:ascii="Times New Roman" w:hAnsi="Times New Roman" w:cs="Times New Roman"/>
          <w:color w:val="auto"/>
          <w:sz w:val="24"/>
        </w:rPr>
      </w:pPr>
      <w:r>
        <w:rPr>
          <w:rFonts w:ascii="Times New Roman" w:hAnsi="Times New Roman"/>
          <w:color w:val="auto"/>
          <w:sz w:val="24"/>
        </w:rPr>
        <w:t>Institucije koje primjenjuju metode iz dijela trećeg glave II. poglavlja 6. odjeljaka od 4. do 5. CRR-a, u opisu koji prilažu uz obrazac navode obujam svojih bilančnih i izvanbilančnih poslova s izvedenicama kako se izračunavaju u skladu s člankom 273.a stavkom 1. ili 2. CRR-a, prema potrebi, u skladu s člankom 439. točkom (m) CRR-a.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612E2F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5E8557"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Pravna osnova i upute</w:t>
            </w:r>
          </w:p>
        </w:tc>
      </w:tr>
      <w:tr w:rsidR="005710A4" w:rsidRPr="007F4CC8" w14:paraId="173B950E" w14:textId="77777777" w:rsidTr="00155C96">
        <w:trPr>
          <w:trHeight w:val="238"/>
        </w:trPr>
        <w:tc>
          <w:tcPr>
            <w:tcW w:w="1384" w:type="dxa"/>
            <w:shd w:val="clear" w:color="auto" w:fill="D9D9D9" w:themeFill="background1" w:themeFillShade="D9"/>
          </w:tcPr>
          <w:p w14:paraId="43E9B33C" w14:textId="77777777" w:rsidR="005710A4" w:rsidRPr="007F4CC8" w:rsidRDefault="005710A4" w:rsidP="00155C96">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778DD544"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Objašnjenje</w:t>
            </w:r>
          </w:p>
        </w:tc>
      </w:tr>
      <w:tr w:rsidR="005710A4" w:rsidRPr="007F4CC8" w14:paraId="19C03A61" w14:textId="77777777" w:rsidTr="00155C96">
        <w:trPr>
          <w:trHeight w:val="680"/>
        </w:trPr>
        <w:tc>
          <w:tcPr>
            <w:tcW w:w="1384" w:type="dxa"/>
          </w:tcPr>
          <w:p w14:paraId="63D1FD98" w14:textId="472B2F5C" w:rsidR="005710A4" w:rsidRPr="007F4CC8" w:rsidRDefault="005710A4" w:rsidP="00155C96">
            <w:pPr>
              <w:pStyle w:val="Applicationdirecte"/>
              <w:spacing w:before="0" w:after="240"/>
              <w:jc w:val="center"/>
            </w:pPr>
            <w:r>
              <w:t>EU-1</w:t>
            </w:r>
          </w:p>
        </w:tc>
        <w:tc>
          <w:tcPr>
            <w:tcW w:w="7655" w:type="dxa"/>
          </w:tcPr>
          <w:p w14:paraId="09FAA350" w14:textId="77777777" w:rsidR="005710A4" w:rsidRPr="00360C8C"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Metoda originalne izloženosti (za izvedenice)</w:t>
            </w:r>
          </w:p>
          <w:p w14:paraId="6F57E789"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Izvedenice</w:t>
            </w:r>
            <w:r>
              <w:rPr>
                <w:rFonts w:ascii="Times New Roman" w:hAnsi="Times New Roman"/>
                <w:sz w:val="24"/>
              </w:rPr>
              <w:t xml:space="preserve"> i transakcije s dugim rokom namire </w:t>
            </w:r>
            <w:r>
              <w:rPr>
                <w:rFonts w:ascii="Times New Roman" w:hAnsi="Times New Roman"/>
                <w:sz w:val="24"/>
                <w:szCs w:val="24"/>
              </w:rPr>
              <w:t xml:space="preserve">za koje su institucije odabrale izračunati vrijednost izloženosti kao </w:t>
            </w:r>
            <w:r>
              <w:rPr>
                <w:rFonts w:ascii="Times New Roman" w:hAnsi="Times New Roman"/>
                <w:color w:val="000000"/>
                <w:sz w:val="24"/>
                <w:szCs w:val="24"/>
              </w:rPr>
              <w:t>alfa</w:t>
            </w:r>
            <w:r>
              <w:rPr>
                <w:rFonts w:ascii="Times New Roman" w:hAnsi="Times New Roman"/>
                <w:sz w:val="24"/>
                <w:szCs w:val="24"/>
              </w:rPr>
              <w:t>*</w:t>
            </w:r>
            <w:r>
              <w:rPr>
                <w:rFonts w:ascii="Times New Roman" w:hAnsi="Times New Roman"/>
                <w:color w:val="000000"/>
                <w:sz w:val="24"/>
                <w:szCs w:val="24"/>
              </w:rPr>
              <w:t>(</w:t>
            </w:r>
            <w:r>
              <w:rPr>
                <w:rFonts w:ascii="Times New Roman" w:hAnsi="Times New Roman"/>
                <w:sz w:val="24"/>
                <w:szCs w:val="24"/>
              </w:rPr>
              <w:t xml:space="preserve">RC+PFE) </w:t>
            </w:r>
            <w:r>
              <w:rPr>
                <w:rFonts w:ascii="Times New Roman" w:hAnsi="Times New Roman"/>
                <w:color w:val="000000"/>
                <w:sz w:val="24"/>
                <w:szCs w:val="24"/>
              </w:rPr>
              <w:t>pri čemu je α=1,4,</w:t>
            </w:r>
            <w:r>
              <w:rPr>
                <w:rFonts w:ascii="Times New Roman" w:hAnsi="Times New Roman"/>
                <w:sz w:val="24"/>
                <w:szCs w:val="24"/>
              </w:rPr>
              <w:t xml:space="preserve"> RC i PFE izračunavaju se u skladu s dijelom trećim glavom II. poglavljem 6. odjeljkom 5. člankom 282. CRR-a.</w:t>
            </w:r>
          </w:p>
          <w:p w14:paraId="1A5A6ACF" w14:textId="3A728AC2"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Tu pojednostavnjenu metodu za izračun vrijednosti izloženosti pozicija u izvedenicama mogu koristiti samo institucije koje ispunjavaju</w:t>
            </w:r>
            <w:r>
              <w:rPr>
                <w:rFonts w:ascii="Times New Roman" w:hAnsi="Times New Roman"/>
                <w:i/>
                <w:sz w:val="24"/>
                <w:szCs w:val="24"/>
              </w:rPr>
              <w:t xml:space="preserve"> </w:t>
            </w:r>
            <w:r>
              <w:rPr>
                <w:rFonts w:ascii="Times New Roman" w:hAnsi="Times New Roman"/>
                <w:sz w:val="24"/>
                <w:szCs w:val="24"/>
              </w:rPr>
              <w:t>uvjete iz dijela trećeg glave II. poglavlja 6. članka 273.a stavaka 2. ili 4. CRR-a.</w:t>
            </w:r>
          </w:p>
        </w:tc>
      </w:tr>
      <w:tr w:rsidR="005710A4" w:rsidRPr="007F4CC8" w14:paraId="7AACB16D" w14:textId="77777777" w:rsidTr="00155C96">
        <w:trPr>
          <w:trHeight w:val="680"/>
        </w:trPr>
        <w:tc>
          <w:tcPr>
            <w:tcW w:w="1384" w:type="dxa"/>
          </w:tcPr>
          <w:p w14:paraId="7E8C5109" w14:textId="3C38B04C" w:rsidR="005710A4" w:rsidRPr="007F4CC8" w:rsidRDefault="005710A4" w:rsidP="00155C96">
            <w:pPr>
              <w:pStyle w:val="Applicationdirecte"/>
              <w:spacing w:before="0" w:after="240"/>
              <w:jc w:val="center"/>
            </w:pPr>
            <w:r>
              <w:t>EU-2</w:t>
            </w:r>
          </w:p>
        </w:tc>
        <w:tc>
          <w:tcPr>
            <w:tcW w:w="7655" w:type="dxa"/>
          </w:tcPr>
          <w:p w14:paraId="680DB024" w14:textId="77777777" w:rsidR="005710A4" w:rsidRPr="00360C8C"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Pojednostavnjeni standardizirani pristup za kreditni rizik druge ugovorne strane (pojednostavnjeni SA-CCR za izvedenice)</w:t>
            </w:r>
          </w:p>
          <w:p w14:paraId="702B483E" w14:textId="569024D2"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rPr>
              <w:t xml:space="preserve">Izvedenice i transakcije s dugim rokom namire za koje su institucije odabrale izračunati vrijednost izloženosti kao </w:t>
            </w:r>
            <w:r>
              <w:rPr>
                <w:rFonts w:ascii="Times New Roman" w:hAnsi="Times New Roman"/>
                <w:color w:val="000000"/>
                <w:sz w:val="24"/>
              </w:rPr>
              <w:t>alfa</w:t>
            </w:r>
            <w:r>
              <w:rPr>
                <w:rFonts w:ascii="Times New Roman" w:hAnsi="Times New Roman"/>
                <w:sz w:val="24"/>
              </w:rPr>
              <w:t>*</w:t>
            </w:r>
            <w:r>
              <w:rPr>
                <w:rFonts w:ascii="Times New Roman" w:hAnsi="Times New Roman"/>
                <w:color w:val="000000"/>
                <w:sz w:val="24"/>
              </w:rPr>
              <w:t>(</w:t>
            </w:r>
            <w:r>
              <w:rPr>
                <w:rFonts w:ascii="Times New Roman" w:hAnsi="Times New Roman"/>
                <w:sz w:val="24"/>
              </w:rPr>
              <w:t xml:space="preserve">RC+PFE) </w:t>
            </w:r>
            <w:r>
              <w:rPr>
                <w:rFonts w:ascii="Times New Roman" w:hAnsi="Times New Roman"/>
                <w:color w:val="000000"/>
                <w:sz w:val="24"/>
              </w:rPr>
              <w:t>pri čemu je α=1,4,</w:t>
            </w:r>
            <w:r>
              <w:rPr>
                <w:rFonts w:ascii="Times New Roman" w:hAnsi="Times New Roman"/>
                <w:sz w:val="24"/>
              </w:rPr>
              <w:t xml:space="preserve"> RC i PFE izračunavaju se u skladu s dijelom trećim glavom II. poglavljem 6. odjeljkom 4. člankom 281. CRR-a.</w:t>
            </w:r>
          </w:p>
          <w:p w14:paraId="477F5355" w14:textId="777777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szCs w:val="24"/>
              </w:rPr>
              <w:lastRenderedPageBreak/>
              <w:t xml:space="preserve">Ovaj pojednostavnjeni standardizirani pristup za izračun vrijednosti izloženosti pozicija u izvedenicama mogu koristiti samo institucije koje ispunjavaju uvjete iz dijela trećeg glave II. poglavlja 6. članka 273.a stavaka 1. ili 4. CRR-a. </w:t>
            </w:r>
          </w:p>
        </w:tc>
      </w:tr>
      <w:tr w:rsidR="005710A4" w:rsidRPr="007F4CC8" w14:paraId="3833152F" w14:textId="77777777" w:rsidTr="00155C96">
        <w:trPr>
          <w:trHeight w:val="680"/>
        </w:trPr>
        <w:tc>
          <w:tcPr>
            <w:tcW w:w="1384" w:type="dxa"/>
          </w:tcPr>
          <w:p w14:paraId="4E1FA2B9" w14:textId="3B523E47" w:rsidR="005710A4" w:rsidRPr="007F4CC8" w:rsidRDefault="00A03D37" w:rsidP="00155C96">
            <w:pPr>
              <w:pStyle w:val="Applicationdirecte"/>
              <w:spacing w:before="0" w:after="240"/>
              <w:jc w:val="center"/>
            </w:pPr>
            <w:r>
              <w:lastRenderedPageBreak/>
              <w:t>1</w:t>
            </w:r>
          </w:p>
        </w:tc>
        <w:tc>
          <w:tcPr>
            <w:tcW w:w="7655" w:type="dxa"/>
          </w:tcPr>
          <w:p w14:paraId="2EB2846D" w14:textId="77777777" w:rsidR="005710A4" w:rsidRPr="00360C8C" w:rsidRDefault="005710A4" w:rsidP="00155C96">
            <w:pPr>
              <w:pStyle w:val="Default"/>
              <w:spacing w:after="240"/>
              <w:jc w:val="both"/>
              <w:rPr>
                <w:rFonts w:ascii="Times New Roman" w:hAnsi="Times New Roman" w:cs="Times New Roman"/>
                <w:b/>
              </w:rPr>
            </w:pPr>
            <w:r>
              <w:rPr>
                <w:rFonts w:ascii="Times New Roman" w:hAnsi="Times New Roman"/>
                <w:b/>
              </w:rPr>
              <w:t>Standardizirani pristup za kreditni rizik druge ugovorne strane (SA-CCR za izvedenice)</w:t>
            </w:r>
          </w:p>
          <w:p w14:paraId="118F0EAF"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Izvedenice i transakcije s dugim rokom namire za koje su institucije odabrale izračunati vrijednost izloženosti kao alfa*(RC+PFE) pri čemu je vrijednost α=1,4, a RC i PFE izračunavaju se u skladu s dijelom trećim glavom II. poglavljem 6. odjeljkom 3. CRR-a.</w:t>
            </w:r>
          </w:p>
        </w:tc>
      </w:tr>
      <w:tr w:rsidR="005710A4" w:rsidRPr="007F4CC8" w14:paraId="6C5F9E9B" w14:textId="77777777" w:rsidTr="00155C96">
        <w:trPr>
          <w:trHeight w:val="680"/>
        </w:trPr>
        <w:tc>
          <w:tcPr>
            <w:tcW w:w="1384" w:type="dxa"/>
          </w:tcPr>
          <w:p w14:paraId="1AC07C1A" w14:textId="3194BA3B" w:rsidR="005710A4" w:rsidRPr="007F4CC8" w:rsidRDefault="00A03D37" w:rsidP="00155C96">
            <w:pPr>
              <w:pStyle w:val="Applicationdirecte"/>
              <w:spacing w:before="0" w:after="240"/>
              <w:jc w:val="center"/>
              <w:rPr>
                <w:highlight w:val="yellow"/>
              </w:rPr>
            </w:pPr>
            <w:r>
              <w:t>2</w:t>
            </w:r>
          </w:p>
        </w:tc>
        <w:tc>
          <w:tcPr>
            <w:tcW w:w="7655" w:type="dxa"/>
          </w:tcPr>
          <w:p w14:paraId="6565A49F" w14:textId="77777777" w:rsidR="005710A4" w:rsidRPr="00360C8C" w:rsidRDefault="005710A4" w:rsidP="00155C96">
            <w:pPr>
              <w:pStyle w:val="Default"/>
              <w:spacing w:after="240"/>
              <w:jc w:val="both"/>
              <w:rPr>
                <w:rFonts w:ascii="Times New Roman" w:hAnsi="Times New Roman" w:cs="Times New Roman"/>
                <w:b/>
              </w:rPr>
            </w:pPr>
            <w:r>
              <w:rPr>
                <w:rFonts w:ascii="Times New Roman" w:hAnsi="Times New Roman"/>
                <w:b/>
              </w:rPr>
              <w:t>Metoda internog modela (za izvedenice i transakcije financiranja vrijednosnim papirima)</w:t>
            </w:r>
          </w:p>
          <w:p w14:paraId="076943ED" w14:textId="77777777" w:rsidR="005710A4" w:rsidRPr="007F4CC8" w:rsidRDefault="005710A4" w:rsidP="00155C96">
            <w:pPr>
              <w:autoSpaceDE w:val="0"/>
              <w:autoSpaceDN w:val="0"/>
              <w:adjustRightInd w:val="0"/>
              <w:spacing w:after="240"/>
              <w:jc w:val="both"/>
              <w:rPr>
                <w:rFonts w:ascii="Times New Roman" w:hAnsi="Times New Roman" w:cs="Times New Roman"/>
                <w:i/>
                <w:sz w:val="24"/>
              </w:rPr>
            </w:pPr>
            <w:r>
              <w:rPr>
                <w:rFonts w:ascii="Times New Roman" w:hAnsi="Times New Roman"/>
                <w:sz w:val="24"/>
              </w:rPr>
              <w:t>Izvedenice, transakcije s dugim rokom namire i transakcije financiranja vrijednosnim papirima za koje je institucijama dopušteno izračunati vrijednost izloženosti primjenom metode internog modela (IMM) u skladu s dijelom trećim glavom II. poglavljem 6. odjeljkom 6. CRR-a.</w:t>
            </w:r>
          </w:p>
        </w:tc>
      </w:tr>
      <w:tr w:rsidR="005710A4" w:rsidRPr="007F4CC8" w14:paraId="7B08E2AC" w14:textId="77777777" w:rsidTr="00155C96">
        <w:trPr>
          <w:trHeight w:val="680"/>
        </w:trPr>
        <w:tc>
          <w:tcPr>
            <w:tcW w:w="1384" w:type="dxa"/>
          </w:tcPr>
          <w:p w14:paraId="2B549366" w14:textId="77777777" w:rsidR="005710A4" w:rsidRPr="007F4CC8" w:rsidRDefault="005710A4" w:rsidP="00155C96">
            <w:pPr>
              <w:pStyle w:val="Applicationdirecte"/>
              <w:spacing w:before="0" w:after="240"/>
              <w:jc w:val="center"/>
            </w:pPr>
            <w:r>
              <w:t>EU-2a</w:t>
            </w:r>
          </w:p>
        </w:tc>
        <w:tc>
          <w:tcPr>
            <w:tcW w:w="7655" w:type="dxa"/>
          </w:tcPr>
          <w:p w14:paraId="66A789E4"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od čega skupovi za netiranje transakcija financiranja vrijednosnim papirima</w:t>
            </w:r>
          </w:p>
          <w:p w14:paraId="4461E7DD" w14:textId="6B13AA3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Skupovi za netiranje koji sadržavaju samo transakcije financiranja vrijednosnim papirima kako su definirane u članku 4. stavku 1. točki 139. CRR-a za koje je instituciji dopušteno utvrditi izloženost vrijednosti primjenom IMM-a.</w:t>
            </w:r>
          </w:p>
        </w:tc>
      </w:tr>
      <w:tr w:rsidR="005710A4" w:rsidRPr="007F4CC8" w14:paraId="72328FC2" w14:textId="77777777" w:rsidTr="00155C96">
        <w:trPr>
          <w:trHeight w:val="680"/>
        </w:trPr>
        <w:tc>
          <w:tcPr>
            <w:tcW w:w="1384" w:type="dxa"/>
          </w:tcPr>
          <w:p w14:paraId="1EECD513" w14:textId="77777777" w:rsidR="005710A4" w:rsidRPr="007F4CC8" w:rsidRDefault="005710A4" w:rsidP="00155C96">
            <w:pPr>
              <w:pStyle w:val="Applicationdirecte"/>
              <w:spacing w:before="0" w:after="240"/>
              <w:jc w:val="center"/>
            </w:pPr>
            <w:r>
              <w:t>EU-2b</w:t>
            </w:r>
          </w:p>
        </w:tc>
        <w:tc>
          <w:tcPr>
            <w:tcW w:w="7655" w:type="dxa"/>
          </w:tcPr>
          <w:p w14:paraId="7EB705A7"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od čega skupovi za netiranje izvedenica i transakcija s dugim rokom namire</w:t>
            </w:r>
          </w:p>
          <w:p w14:paraId="4E60CA02"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Skupovi za netiranje koji sadržavaju samo izvedene instrumente navedene u Prilogu II. CRR-u i transakcije s dugim rokom namire kako su definirane u članku 272. točki 2. CRR-a za koje je institucijama dopušteno utvrditi izloženost vrijednosti primjenom IMM-a.</w:t>
            </w:r>
          </w:p>
        </w:tc>
      </w:tr>
      <w:tr w:rsidR="005710A4" w:rsidRPr="007F4CC8" w14:paraId="7C05BB47" w14:textId="77777777" w:rsidTr="00155C96">
        <w:trPr>
          <w:trHeight w:val="680"/>
        </w:trPr>
        <w:tc>
          <w:tcPr>
            <w:tcW w:w="1384" w:type="dxa"/>
          </w:tcPr>
          <w:p w14:paraId="18C1E7EF" w14:textId="77777777" w:rsidR="005710A4" w:rsidRPr="007F4CC8" w:rsidRDefault="005710A4" w:rsidP="00155C96">
            <w:pPr>
              <w:pStyle w:val="Applicationdirecte"/>
              <w:spacing w:before="0" w:after="240"/>
              <w:jc w:val="center"/>
            </w:pPr>
            <w:r>
              <w:t>EU-2c</w:t>
            </w:r>
          </w:p>
        </w:tc>
        <w:tc>
          <w:tcPr>
            <w:tcW w:w="7655" w:type="dxa"/>
          </w:tcPr>
          <w:p w14:paraId="61EB8960"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od čega iz skupova za netiranje različitih kategorija proizvoda</w:t>
            </w:r>
          </w:p>
          <w:p w14:paraId="240201A4"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 xml:space="preserve">Skupovi za netiranje koji sadržavaju transakcije različitih kategorija proizvoda (članak 272. točka 11. CRR-a), tj. izvedenice i transakcije financiranja vrijednosnim papirima za koje postoji sporazum o </w:t>
            </w:r>
            <w:proofErr w:type="spellStart"/>
            <w:r>
              <w:rPr>
                <w:rFonts w:ascii="Times New Roman" w:hAnsi="Times New Roman"/>
              </w:rPr>
              <w:t>netiranju</w:t>
            </w:r>
            <w:proofErr w:type="spellEnd"/>
            <w:r>
              <w:rPr>
                <w:rFonts w:ascii="Times New Roman" w:hAnsi="Times New Roman"/>
              </w:rPr>
              <w:t xml:space="preserve"> između različitih kategorija proizvoda definiran u članku 272. točki 25. CRR-a i za koje je institucijama dopušteno utvrditi vrijednost izloženosti primjenom IMM-a.</w:t>
            </w:r>
          </w:p>
        </w:tc>
      </w:tr>
      <w:tr w:rsidR="005710A4" w:rsidRPr="007F4CC8" w14:paraId="0575C386" w14:textId="77777777" w:rsidTr="00155C96">
        <w:trPr>
          <w:trHeight w:val="680"/>
        </w:trPr>
        <w:tc>
          <w:tcPr>
            <w:tcW w:w="1384" w:type="dxa"/>
          </w:tcPr>
          <w:p w14:paraId="02EE96AC" w14:textId="411FD751" w:rsidR="005710A4" w:rsidRPr="00A03D37" w:rsidRDefault="00A03D37" w:rsidP="00A03D37">
            <w:pPr>
              <w:pStyle w:val="Applicationdirecte"/>
              <w:spacing w:before="0" w:after="240"/>
              <w:jc w:val="center"/>
            </w:pPr>
            <w:r>
              <w:t>3, 4</w:t>
            </w:r>
          </w:p>
        </w:tc>
        <w:tc>
          <w:tcPr>
            <w:tcW w:w="7655" w:type="dxa"/>
          </w:tcPr>
          <w:p w14:paraId="1616EBF9" w14:textId="77777777" w:rsidR="005710A4" w:rsidRPr="00A03D37"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Jednostavna metoda financijskog kolaterala (za transakcije financiranja vrijednosnim papirima) i složena metoda financijskog kolaterala (za transakcije financiranja vrijednosnim papirima)</w:t>
            </w:r>
          </w:p>
          <w:p w14:paraId="08677EBD" w14:textId="777777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szCs w:val="24"/>
              </w:rPr>
              <w:lastRenderedPageBreak/>
              <w:t xml:space="preserve">Repo transakcije, transakcije pozajmljivanja vrijednosnih papira ili robe drugoj ugovornoj strani ili od druge ugovorne strane i </w:t>
            </w:r>
            <w:proofErr w:type="spellStart"/>
            <w:r>
              <w:rPr>
                <w:rFonts w:ascii="Times New Roman" w:hAnsi="Times New Roman"/>
                <w:sz w:val="24"/>
                <w:szCs w:val="24"/>
              </w:rPr>
              <w:t>maržni</w:t>
            </w:r>
            <w:proofErr w:type="spellEnd"/>
            <w:r>
              <w:rPr>
                <w:rFonts w:ascii="Times New Roman" w:hAnsi="Times New Roman"/>
                <w:sz w:val="24"/>
                <w:szCs w:val="24"/>
              </w:rPr>
              <w:t xml:space="preserve"> krediti za koje su institucije odabrale utvrditi vrijednost izloženosti u skladu s dijelom trećim glavom II. poglavljem 4. člancima 222. i 223. CRR-a umjesto s dijelom trećim glavom II. poglavljem 6. člankom 271. stavkom 2. CRR-a.</w:t>
            </w:r>
          </w:p>
        </w:tc>
      </w:tr>
      <w:tr w:rsidR="005710A4" w:rsidRPr="007F4CC8" w14:paraId="5E414CD6" w14:textId="77777777" w:rsidTr="00155C96">
        <w:trPr>
          <w:trHeight w:val="680"/>
        </w:trPr>
        <w:tc>
          <w:tcPr>
            <w:tcW w:w="1384" w:type="dxa"/>
          </w:tcPr>
          <w:p w14:paraId="11DA9B43" w14:textId="315F2872" w:rsidR="005710A4" w:rsidRPr="007F4CC8" w:rsidRDefault="005F3D92" w:rsidP="00155C96">
            <w:pPr>
              <w:pStyle w:val="Applicationdirecte"/>
              <w:spacing w:before="0" w:after="240"/>
              <w:jc w:val="center"/>
              <w:rPr>
                <w:highlight w:val="yellow"/>
              </w:rPr>
            </w:pPr>
            <w:r>
              <w:lastRenderedPageBreak/>
              <w:t>5</w:t>
            </w:r>
          </w:p>
        </w:tc>
        <w:tc>
          <w:tcPr>
            <w:tcW w:w="7655" w:type="dxa"/>
          </w:tcPr>
          <w:p w14:paraId="0A8319EE" w14:textId="77777777" w:rsidR="005710A4" w:rsidRPr="005F3D92" w:rsidRDefault="005710A4" w:rsidP="00155C96">
            <w:pPr>
              <w:pStyle w:val="TableMainHeading"/>
              <w:spacing w:before="0" w:after="240"/>
              <w:jc w:val="both"/>
              <w:rPr>
                <w:rFonts w:ascii="Times New Roman" w:hAnsi="Times New Roman"/>
                <w:b/>
                <w:sz w:val="24"/>
                <w:szCs w:val="24"/>
              </w:rPr>
            </w:pPr>
            <w:proofErr w:type="spellStart"/>
            <w:r>
              <w:rPr>
                <w:rFonts w:ascii="Times New Roman" w:hAnsi="Times New Roman"/>
                <w:b/>
                <w:sz w:val="24"/>
                <w:szCs w:val="24"/>
              </w:rPr>
              <w:t>VaR</w:t>
            </w:r>
            <w:proofErr w:type="spellEnd"/>
            <w:r>
              <w:rPr>
                <w:rFonts w:ascii="Times New Roman" w:hAnsi="Times New Roman"/>
                <w:b/>
                <w:sz w:val="24"/>
                <w:szCs w:val="24"/>
              </w:rPr>
              <w:t xml:space="preserve"> za transakcije financiranja vrijednosnim papirima</w:t>
            </w:r>
          </w:p>
          <w:p w14:paraId="628688F7" w14:textId="777777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szCs w:val="24"/>
              </w:rPr>
              <w:t xml:space="preserve">Repo transakcije, transakcije pozajmljivanja vrijednosnih papira ili robe drugoj ugovornoj strani ili od druge ugovorne strane, </w:t>
            </w:r>
            <w:proofErr w:type="spellStart"/>
            <w:r>
              <w:rPr>
                <w:rFonts w:ascii="Times New Roman" w:hAnsi="Times New Roman"/>
                <w:sz w:val="24"/>
                <w:szCs w:val="24"/>
              </w:rPr>
              <w:t>maržni</w:t>
            </w:r>
            <w:proofErr w:type="spellEnd"/>
            <w:r>
              <w:rPr>
                <w:rFonts w:ascii="Times New Roman" w:hAnsi="Times New Roman"/>
                <w:sz w:val="24"/>
                <w:szCs w:val="24"/>
              </w:rPr>
              <w:t xml:space="preserve"> krediti ili ostale transakcije ovisne o kretanju na tržištu kapitala za koje se (u skladu s člankom 221. CRR-a) vrijednost izloženosti izračunava primjenom pristupa internih modela (IMA) koji uzima u obzir učinke korelacije između pozicija u vrijednosnim papirima koje su predmet standardiziranog sporazuma o </w:t>
            </w:r>
            <w:proofErr w:type="spellStart"/>
            <w:r>
              <w:rPr>
                <w:rFonts w:ascii="Times New Roman" w:hAnsi="Times New Roman"/>
                <w:sz w:val="24"/>
                <w:szCs w:val="24"/>
              </w:rPr>
              <w:t>netiranju</w:t>
            </w:r>
            <w:proofErr w:type="spellEnd"/>
            <w:r>
              <w:rPr>
                <w:rFonts w:ascii="Times New Roman" w:hAnsi="Times New Roman"/>
                <w:sz w:val="24"/>
                <w:szCs w:val="24"/>
              </w:rPr>
              <w:t>, kao i likvidnost takvih instrumenata.</w:t>
            </w:r>
          </w:p>
        </w:tc>
      </w:tr>
      <w:tr w:rsidR="005710A4" w:rsidRPr="007F4CC8" w14:paraId="1B0E0B1F" w14:textId="77777777" w:rsidTr="00155C96">
        <w:trPr>
          <w:trHeight w:val="680"/>
        </w:trPr>
        <w:tc>
          <w:tcPr>
            <w:tcW w:w="1384" w:type="dxa"/>
          </w:tcPr>
          <w:p w14:paraId="0A2D972B" w14:textId="6094552B" w:rsidR="005710A4" w:rsidRPr="007F4CC8" w:rsidRDefault="005F3D92" w:rsidP="00155C96">
            <w:pPr>
              <w:pStyle w:val="Applicationdirecte"/>
              <w:spacing w:before="0" w:after="240"/>
              <w:jc w:val="center"/>
            </w:pPr>
            <w:r>
              <w:t>6</w:t>
            </w:r>
          </w:p>
        </w:tc>
        <w:tc>
          <w:tcPr>
            <w:tcW w:w="7655" w:type="dxa"/>
          </w:tcPr>
          <w:p w14:paraId="120D15E7"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Ukupno</w:t>
            </w:r>
          </w:p>
        </w:tc>
      </w:tr>
      <w:tr w:rsidR="005710A4" w:rsidRPr="007F4CC8" w14:paraId="0870427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CD73B1" w14:textId="77777777" w:rsidR="005710A4" w:rsidRPr="007F4CC8" w:rsidRDefault="005710A4" w:rsidP="00155C96">
            <w:pPr>
              <w:pStyle w:val="Applicationdirecte"/>
              <w:spacing w:before="0" w:after="240"/>
              <w:jc w:val="center"/>
              <w:rPr>
                <w:b/>
              </w:rPr>
            </w:pPr>
            <w:r>
              <w:rPr>
                <w:b/>
              </w:rPr>
              <w:t>Slovna oznaka stupca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DBEF18"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Objašnjenje</w:t>
            </w:r>
          </w:p>
        </w:tc>
      </w:tr>
      <w:tr w:rsidR="005710A4" w:rsidRPr="007F4CC8" w14:paraId="11E699C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B375EC" w14:textId="20286BD6" w:rsidR="005710A4" w:rsidRPr="007F4CC8" w:rsidRDefault="005F3D92" w:rsidP="00155C96">
            <w:pPr>
              <w:pStyle w:val="Applicationdirecte"/>
              <w:spacing w:before="0" w:after="240"/>
              <w:jc w:val="center"/>
            </w:pPr>
            <w:r>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0BFC7A2"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 xml:space="preserve">Trošak zamjene (RC) i Potencijalna buduća izloženost (PFE) </w:t>
            </w:r>
          </w:p>
          <w:p w14:paraId="385A7715"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RC i PFE izračunavaju se kako slijedi:</w:t>
            </w:r>
          </w:p>
          <w:p w14:paraId="01972352"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 u skladu s dijelom trećim glavom II. poglavljem 6. odjeljkom 5. člankom 282. stavcima 3. i 4. CRR-a za metodu originalne izloženosti (redak EU-1 ovog obrasca), </w:t>
            </w:r>
          </w:p>
          <w:p w14:paraId="1E32A73B" w14:textId="0BD6EC6B"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u skladu s dijelom trećim glavom II. poglavljem 6. odjeljkom 5. člankom 281. CRR-a za pojednostavnjeni SA-CCR (redak EU-2 ovog obrasca),</w:t>
            </w:r>
          </w:p>
          <w:p w14:paraId="18463CE2" w14:textId="08FBA516"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u skladu s dijelom trećim glavom II. poglavljem 6. odjeljcima 4. i 5. člancima 275. i 278. CRR-a za SA-CCR (redak 1 ovog obrasca).</w:t>
            </w:r>
          </w:p>
          <w:p w14:paraId="599A5CCA" w14:textId="77777777" w:rsidR="005710A4" w:rsidRPr="007F4CC8" w:rsidRDefault="005710A4" w:rsidP="00155C96">
            <w:pPr>
              <w:spacing w:after="240"/>
            </w:pPr>
            <w:r>
              <w:rPr>
                <w:rFonts w:ascii="Times New Roman" w:hAnsi="Times New Roman"/>
                <w:sz w:val="24"/>
              </w:rPr>
              <w:t>Institucije objavljuju zbroj troškova zamjene svih skupova za netiranje u odgovarajućim redcima.</w:t>
            </w:r>
          </w:p>
        </w:tc>
      </w:tr>
      <w:tr w:rsidR="005710A4" w:rsidRPr="007F4CC8" w14:paraId="5C22CD6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6A6F230" w14:textId="1D8056D1" w:rsidR="005710A4" w:rsidRPr="007F4CC8" w:rsidRDefault="005710A4" w:rsidP="005F3D92">
            <w:pPr>
              <w:pStyle w:val="Applicationdirecte"/>
              <w:spacing w:before="0" w:after="24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DA5F56D" w14:textId="77777777" w:rsidR="005710A4" w:rsidRPr="005F3D92" w:rsidRDefault="005710A4" w:rsidP="00155C96">
            <w:pPr>
              <w:pStyle w:val="Default"/>
              <w:spacing w:after="240"/>
              <w:jc w:val="both"/>
              <w:rPr>
                <w:rFonts w:ascii="Times New Roman" w:hAnsi="Times New Roman" w:cs="Times New Roman"/>
                <w:b/>
              </w:rPr>
            </w:pPr>
            <w:r>
              <w:rPr>
                <w:rFonts w:ascii="Times New Roman" w:hAnsi="Times New Roman"/>
                <w:b/>
              </w:rPr>
              <w:t>Efektivna očekivana pozitivna izloženost (EEPE)</w:t>
            </w:r>
          </w:p>
          <w:p w14:paraId="42C53635"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Efektivna očekivana pozitivna izloženost po skupu za netiranje definirana je u članku 272. točki 22. CRR-a i izračunava se u skladu s člankom 284. stavkom 6. CRR-a.</w:t>
            </w:r>
          </w:p>
          <w:p w14:paraId="22BD6067"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 xml:space="preserve">Institucije ovdje objavljuju EEPE koji je primijenjen za utvrđivanje kapitalnih zahtjeva u skladu s člankom 284. stavkom 3. CRR-a, tj. ili EEPE koji se izračunava primjenom sadašnjih tržišnih podataka ili EEPE koji se izračunava </w:t>
            </w:r>
            <w:r>
              <w:rPr>
                <w:rFonts w:ascii="Times New Roman" w:hAnsi="Times New Roman"/>
              </w:rPr>
              <w:lastRenderedPageBreak/>
              <w:t>primjenom kalibracije stresa, ovisno o tome koji za posljedicu ima veći kapitalni zahtjev.</w:t>
            </w:r>
          </w:p>
          <w:p w14:paraId="56281E64" w14:textId="77777777" w:rsidR="005710A4" w:rsidRPr="007F4CC8" w:rsidRDefault="005710A4" w:rsidP="00155C96">
            <w:pPr>
              <w:pStyle w:val="Default"/>
              <w:spacing w:after="240"/>
              <w:jc w:val="both"/>
              <w:rPr>
                <w:rFonts w:ascii="Times New Roman" w:hAnsi="Times New Roman" w:cs="Times New Roman"/>
                <w:b/>
              </w:rPr>
            </w:pPr>
            <w:r>
              <w:rPr>
                <w:rFonts w:ascii="Times New Roman" w:hAnsi="Times New Roman"/>
              </w:rPr>
              <w:t xml:space="preserve">Institucije u opisu koji prilažu uz ovaj obrazac navode koji je EEPE objavljen. </w:t>
            </w:r>
          </w:p>
        </w:tc>
      </w:tr>
      <w:tr w:rsidR="005710A4" w:rsidRPr="007F4CC8" w14:paraId="07CDD94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2EB18C" w14:textId="04704F49" w:rsidR="005710A4" w:rsidRPr="007F4CC8" w:rsidRDefault="005710A4" w:rsidP="005F3D92">
            <w:pPr>
              <w:pStyle w:val="Applicationdirecte"/>
              <w:spacing w:before="0" w:after="240"/>
              <w:jc w:val="center"/>
            </w:pPr>
            <w:r>
              <w:lastRenderedPageBreak/>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5E2C7E" w14:textId="77777777" w:rsidR="005710A4" w:rsidRPr="005F3D92" w:rsidRDefault="005710A4" w:rsidP="00155C96">
            <w:pPr>
              <w:pStyle w:val="Default"/>
              <w:spacing w:after="240"/>
              <w:jc w:val="both"/>
              <w:rPr>
                <w:rFonts w:ascii="Times New Roman" w:hAnsi="Times New Roman" w:cs="Times New Roman"/>
                <w:b/>
              </w:rPr>
            </w:pPr>
            <w:r>
              <w:rPr>
                <w:rFonts w:ascii="Times New Roman" w:hAnsi="Times New Roman"/>
                <w:b/>
              </w:rPr>
              <w:t>Alfa upotrijebljena za izračun regulatorne vrijednosti izloženosti</w:t>
            </w:r>
          </w:p>
          <w:p w14:paraId="57DD8F13"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 xml:space="preserve">Vrijednost parametra α je fiksna i iznosi 1,4 u </w:t>
            </w:r>
            <w:proofErr w:type="spellStart"/>
            <w:r>
              <w:rPr>
                <w:rFonts w:ascii="Times New Roman" w:hAnsi="Times New Roman"/>
              </w:rPr>
              <w:t>retcima</w:t>
            </w:r>
            <w:proofErr w:type="spellEnd"/>
            <w:r>
              <w:rPr>
                <w:rFonts w:ascii="Times New Roman" w:hAnsi="Times New Roman"/>
              </w:rPr>
              <w:t xml:space="preserve"> EU-1, EU-2 i 1 u skladu s člankom 282. stavkom 2., člankom 281. stavkom 1. i člankom 274. stavkom 2. CRR-a.</w:t>
            </w:r>
          </w:p>
          <w:p w14:paraId="69C6B9AC" w14:textId="77777777" w:rsidR="005710A4" w:rsidRPr="007F4CC8" w:rsidRDefault="005710A4" w:rsidP="00155C96">
            <w:pPr>
              <w:pStyle w:val="Default"/>
              <w:spacing w:after="240"/>
              <w:jc w:val="both"/>
              <w:rPr>
                <w:rFonts w:ascii="Times New Roman" w:hAnsi="Times New Roman" w:cs="Times New Roman"/>
                <w:b/>
              </w:rPr>
            </w:pPr>
            <w:r>
              <w:rPr>
                <w:rFonts w:ascii="Times New Roman" w:hAnsi="Times New Roman"/>
              </w:rPr>
              <w:t>Za potrebe metode internog modela (IMM) vrijednost parametra α može biti ili unaprijed određena i iznositi 1,4 ili različita ako nadležna tijela zahtijevaju veći parametar α u skladu s člankom 284. stavkom 4. CRR-a ili institucijama dopuštaju da upotrebljavaju vlastite procjene u skladu s dijelom trećim glavom II. poglavljem 6. odjeljkom 6. člankom 284. stavkom 9. CRR-a.</w:t>
            </w:r>
          </w:p>
        </w:tc>
      </w:tr>
      <w:tr w:rsidR="005710A4" w:rsidRPr="007F4CC8" w14:paraId="3AC49B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F15FBF7" w14:textId="57D8F7C5" w:rsidR="005710A4" w:rsidRPr="007F4CC8" w:rsidRDefault="005F3D92" w:rsidP="00155C96">
            <w:pPr>
              <w:pStyle w:val="Applicationdirecte"/>
              <w:spacing w:before="0" w:after="24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703E40"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Vrijednost izloženosti prije smanjenja kreditnog rizika</w:t>
            </w:r>
          </w:p>
          <w:p w14:paraId="3210D91E" w14:textId="772934D9"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Vrijednosti izloženosti prije smanjenja kreditnog rizika za izloženosti koje podliježu kreditnom riziku druge ugovorne strane izračunavaju se u skladu s metodama utvrđenima u dijelu trećem glavi II. poglavljima 4. i 6. CRR-a uzimajući u obzir učinak </w:t>
            </w:r>
            <w:proofErr w:type="spellStart"/>
            <w:r>
              <w:rPr>
                <w:rFonts w:ascii="Times New Roman" w:hAnsi="Times New Roman"/>
                <w:sz w:val="24"/>
                <w:szCs w:val="24"/>
              </w:rPr>
              <w:t>netiranja</w:t>
            </w:r>
            <w:proofErr w:type="spellEnd"/>
            <w:r>
              <w:rPr>
                <w:rFonts w:ascii="Times New Roman" w:hAnsi="Times New Roman"/>
                <w:sz w:val="24"/>
                <w:szCs w:val="24"/>
              </w:rPr>
              <w:t>, ali ne uzimajući u obzir druge tehnike smanjenja kreditnog rizika (npr. maržu).</w:t>
            </w:r>
          </w:p>
          <w:p w14:paraId="4B6632C2"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U slučaju transakcija financiranja vrijednosnim papirima strana vrijednosnog papira ne uzima se u obzir u utvrđivanju vrijednosti izloženosti prije smanjenja kreditnog rizika ako je kolateral primljen i stoga ne smanjuje vrijednost izloženosti. Suprotno tome, strana vrijednosnog papira u transakcijama financiranja vrijednosnim papirima redovito se uzima u obzir pri utvrđivanju vrijednosti izloženosti prije smanjenja kreditnog rizika ako je kolateral dan. </w:t>
            </w:r>
          </w:p>
          <w:p w14:paraId="2AB614AB" w14:textId="6B40A89F"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Osim toga, osigurane transakcije tretiraju se kao neosigurane, tj. ne primjenjuju se </w:t>
            </w:r>
            <w:proofErr w:type="spellStart"/>
            <w:r>
              <w:rPr>
                <w:rFonts w:ascii="Times New Roman" w:hAnsi="Times New Roman"/>
                <w:sz w:val="24"/>
                <w:szCs w:val="24"/>
              </w:rPr>
              <w:t>maržni</w:t>
            </w:r>
            <w:proofErr w:type="spellEnd"/>
            <w:r>
              <w:rPr>
                <w:rFonts w:ascii="Times New Roman" w:hAnsi="Times New Roman"/>
                <w:sz w:val="24"/>
                <w:szCs w:val="24"/>
              </w:rPr>
              <w:t xml:space="preserve"> učinci.</w:t>
            </w:r>
          </w:p>
          <w:p w14:paraId="2643B5F2"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Za transakcije u kojima je identificiran specifični povratni rizik vrijednost izloženosti prije smanjenja kreditnog rizika mora se utvrditi u skladu s člankom 291. CRR-a.</w:t>
            </w:r>
          </w:p>
          <w:p w14:paraId="0EA7C5E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Vrijednost izloženosti prije smanjenja kreditnog rizika ne uzima u obzir odbitak gubitka koji proizlazi iz prilagodbe kreditnom vrednovanju u skladu s člankom 273. stavkom 6. CRR-a.</w:t>
            </w:r>
          </w:p>
          <w:p w14:paraId="555F0EB8"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Institucija objavljuje zbroj svih vrijednosti izloženosti prije smanjenja kreditnog rizika u odgovarajućem retku.</w:t>
            </w:r>
          </w:p>
        </w:tc>
      </w:tr>
      <w:tr w:rsidR="005710A4" w:rsidRPr="007F4CC8" w14:paraId="1D56831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965A0E" w14:textId="654091E6" w:rsidR="005710A4" w:rsidRPr="007F4CC8" w:rsidRDefault="005710A4" w:rsidP="005F3D92">
            <w:pPr>
              <w:pStyle w:val="Applicationdirecte"/>
              <w:spacing w:before="0" w:after="240"/>
              <w:jc w:val="center"/>
            </w:pPr>
            <w:r>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0982C2"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Vrijednost izloženosti (nakon smanjenja kreditnog rizika)</w:t>
            </w:r>
          </w:p>
          <w:p w14:paraId="39EA24BE"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Vrijednost izloženosti nakon smanjenja kreditnog rizika za izloženosti koje podliježu kreditnom riziku druge ugovorne strane izračunava se u skladu s </w:t>
            </w:r>
            <w:r>
              <w:rPr>
                <w:rFonts w:ascii="Times New Roman" w:hAnsi="Times New Roman"/>
                <w:sz w:val="24"/>
                <w:szCs w:val="24"/>
              </w:rPr>
              <w:lastRenderedPageBreak/>
              <w:t>metodama utvrđenima u dijelu trećem glavi II. poglavljima 4. i 6. CRR-a, nakon primjene tehnika smanjenja kreditnog rizika kako je primjenjivo u skladu s dijelom trećim glavom II. poglavljima 4. i 6. CRR-a.</w:t>
            </w:r>
          </w:p>
          <w:p w14:paraId="669065D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Za transakcije u kojima je identificiran specifični povratni rizik vrijednost izloženosti utvrđuje se u skladu s člankom 291. CRR-a.</w:t>
            </w:r>
          </w:p>
          <w:p w14:paraId="4C9EBFC4"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U skladu s člankom 273. stavkom 6. CRR-a, gubitak koji proizlazi iz prilagodbe kreditnom vrednovanju ne odbija se od vrijednosti izloženosti nakon smanjenja kreditnog rizika.</w:t>
            </w:r>
          </w:p>
          <w:p w14:paraId="012FAEEE"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Institucija objavljuje zbroj svih vrijednosti izloženosti nakon smanjenja kreditnog rizika u odgovarajućem retku.</w:t>
            </w:r>
          </w:p>
        </w:tc>
      </w:tr>
      <w:tr w:rsidR="005710A4" w:rsidRPr="007F4CC8" w14:paraId="172DFAD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EF6CF6" w14:textId="4889C742" w:rsidR="005710A4" w:rsidRPr="007F4CC8" w:rsidRDefault="005710A4" w:rsidP="005F3D92">
            <w:pPr>
              <w:pStyle w:val="Applicationdirecte"/>
              <w:spacing w:before="0" w:after="240"/>
              <w:jc w:val="center"/>
            </w:pPr>
            <w:r>
              <w:lastRenderedPageBreak/>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33DE69"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Vrijednost izloženosti</w:t>
            </w:r>
          </w:p>
          <w:p w14:paraId="56E85DD0"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Vrijednost izloženosti za izloženosti koje podliježu kreditnom riziku druge ugovorne strane koja se izračunava u skladu s metodama utvrđenima u dijelu trećem glavi II. poglavljima 4. i 6. CRR-a, koja je relevantan iznos za izračun kapitalnih zahtjeva, tj. nakon primjene tehnika smanjenja kreditnog rizika koje su primjenjive u skladu s dijelom trećim glavom II. poglavljima 4. i 6. i uzimajući u obzir odbitak gubitka koji proizlazi iz prilagodbe kreditnom vrednovanju iz članka 273. stavka 6. CRR-a.</w:t>
            </w:r>
          </w:p>
          <w:p w14:paraId="2B63D9F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Vrijednost izloženosti za transakcije u kojima je identificiran specifični povratni rizik utvrđuje se u skladu s člankom 291. CRR-a.</w:t>
            </w:r>
          </w:p>
          <w:p w14:paraId="30ACC32D"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U slučajevima u kojima se za jednu drugu ugovornu stranu koristi više od jednog pristupa kreditnom riziku druge ugovorne strane, gubitak koji proizlazi iz prilagodbe kreditnom vrednovanju, koji se odbija na razini druge ugovorne strane, dodjeljuje se vrijednosti izloženosti različitih skupova za netiranje u svakom pristupu kreditnom riziku druge ugovorne strane čime se odražava udio vrijednosti izloženosti nakon smanjenja kreditnog rizika odnosnih skupova za netiranje u ukupnoj vrijednosti izloženosti nakon smanjenja kreditnog rizika druge ugovorne strane.</w:t>
            </w:r>
          </w:p>
          <w:p w14:paraId="6EC859E8"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Institucija objavljuje zbroj svih vrijednosti izloženosti nakon smanjenja kreditnog rizika u odgovarajućem retku.</w:t>
            </w:r>
          </w:p>
        </w:tc>
      </w:tr>
      <w:tr w:rsidR="005710A4" w:rsidRPr="007F4CC8" w14:paraId="16588B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CD0C3" w14:textId="12F1583D" w:rsidR="005710A4" w:rsidRPr="007F4CC8" w:rsidRDefault="005F3D92" w:rsidP="00155C96">
            <w:pPr>
              <w:pStyle w:val="Applicationdirecte"/>
              <w:spacing w:before="0" w:after="240"/>
              <w:jc w:val="center"/>
            </w:pPr>
            <w: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E1ADB1"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RWEA</w:t>
            </w:r>
          </w:p>
          <w:p w14:paraId="36D14BDF" w14:textId="14AB249D"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Iznosi izloženosti ponderirani rizikom, kako su definirani u članku 92. stavcima 3. i 4. CRR-a i koji se izračunavaju u skladu s člankom 107. CRR-a, za elemente za koje se ponderi rizika procjenjuju na temelju zahtjeva utvrđenih u dijelu trećem glavi II. poglavljima 2. i 3. i za koje se vrijednost izloženosti za izloženosti koje podliježu kreditnom riziku druge ugovorne strane izračunava u skladu s dijelom trećim glavom II. poglavljima 4. i 6. CRR-a.</w:t>
            </w:r>
          </w:p>
        </w:tc>
      </w:tr>
    </w:tbl>
    <w:p w14:paraId="5DE966CE" w14:textId="77777777" w:rsidR="005710A4" w:rsidRPr="007F4CC8" w:rsidRDefault="005710A4" w:rsidP="005710A4">
      <w:pPr>
        <w:pStyle w:val="Titlelevel2"/>
        <w:spacing w:before="0"/>
        <w:rPr>
          <w:rFonts w:ascii="Times New Roman" w:hAnsi="Times New Roman" w:cs="Times New Roman"/>
          <w:b/>
          <w:color w:val="auto"/>
          <w:sz w:val="24"/>
        </w:rPr>
      </w:pPr>
      <w:r>
        <w:rPr>
          <w:rFonts w:ascii="Times New Roman" w:hAnsi="Times New Roman"/>
          <w:b/>
          <w:color w:val="auto"/>
          <w:sz w:val="24"/>
        </w:rPr>
        <w:t xml:space="preserve"> </w:t>
      </w:r>
    </w:p>
    <w:p w14:paraId="5E19CBFE" w14:textId="632C5883" w:rsidR="005710A4" w:rsidRPr="007F4CC8" w:rsidRDefault="00CD362D" w:rsidP="005710A4">
      <w:pPr>
        <w:spacing w:after="240"/>
        <w:jc w:val="both"/>
        <w:rPr>
          <w:rFonts w:ascii="Times New Roman" w:hAnsi="Times New Roman" w:cs="Times New Roman"/>
          <w:sz w:val="24"/>
        </w:rPr>
      </w:pPr>
      <w:r>
        <w:rPr>
          <w:rFonts w:ascii="Times New Roman" w:hAnsi="Times New Roman"/>
          <w:b/>
          <w:sz w:val="24"/>
        </w:rPr>
        <w:lastRenderedPageBreak/>
        <w:t xml:space="preserve">Obrazac EU CCR2 – Transakcije koje podliježu kapitalnim zahtjevima za CVA rizik: </w:t>
      </w:r>
      <w:r>
        <w:rPr>
          <w:rFonts w:ascii="Times New Roman" w:hAnsi="Times New Roman"/>
          <w:sz w:val="24"/>
        </w:rPr>
        <w:t>Fiksan format</w:t>
      </w:r>
    </w:p>
    <w:p w14:paraId="1EB3C357" w14:textId="0E5371DA"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bCs w:val="0"/>
          <w:color w:val="000000"/>
          <w:sz w:val="24"/>
        </w:rPr>
        <w:t>Institucije</w:t>
      </w:r>
      <w:r>
        <w:rPr>
          <w:rFonts w:ascii="Times New Roman" w:hAnsi="Times New Roman"/>
          <w:bCs w:val="0"/>
          <w:color w:val="auto"/>
          <w:sz w:val="24"/>
        </w:rPr>
        <w:t xml:space="preserve"> objavljuju informacije iz članka 439. točke (h) CRR-a</w:t>
      </w:r>
      <w:r>
        <w:rPr>
          <w:rFonts w:ascii="Times New Roman" w:hAnsi="Times New Roman"/>
          <w:bCs w:val="0"/>
          <w:color w:val="000000"/>
          <w:sz w:val="24"/>
        </w:rPr>
        <w:t xml:space="preserve"> prateći upute u nastavku ovog Priloga za popunjavanje obrasca EU CCR2 iz Priloga XXV. ovoj Provedbenoj uredbi</w:t>
      </w:r>
      <w:r>
        <w:rPr>
          <w:rFonts w:ascii="Times New Roman" w:hAnsi="Times New Roman"/>
          <w:bCs w:val="0"/>
          <w:color w:val="auto"/>
          <w:sz w:val="24"/>
        </w:rPr>
        <w:t>.</w:t>
      </w:r>
    </w:p>
    <w:p w14:paraId="7159A1F1" w14:textId="77777777" w:rsidR="005710A4" w:rsidRPr="007F4CC8" w:rsidRDefault="005710A4" w:rsidP="005710A4">
      <w:pPr>
        <w:pStyle w:val="Titlelevel2"/>
        <w:numPr>
          <w:ilvl w:val="0"/>
          <w:numId w:val="56"/>
        </w:numPr>
        <w:spacing w:before="0"/>
        <w:jc w:val="both"/>
        <w:rPr>
          <w:rFonts w:ascii="Times New Roman" w:hAnsi="Times New Roman" w:cs="Times New Roman"/>
          <w:b/>
          <w:color w:val="auto"/>
          <w:sz w:val="24"/>
        </w:rPr>
      </w:pPr>
      <w:r>
        <w:rPr>
          <w:rFonts w:ascii="Times New Roman" w:hAnsi="Times New Roman"/>
          <w:bCs w:val="0"/>
          <w:color w:val="auto"/>
          <w:sz w:val="24"/>
        </w:rPr>
        <w:t>Ovaj</w:t>
      </w:r>
      <w:r>
        <w:rPr>
          <w:rFonts w:ascii="Times New Roman" w:hAnsi="Times New Roman"/>
          <w:color w:val="auto"/>
          <w:sz w:val="24"/>
        </w:rPr>
        <w:t xml:space="preserve"> se obrazac popunjava informacijama o regulatornom CVA za sve transakcije koje podliježu kapitalnim zahtjevima za CVA rizik (dio treći glava VI. CRR-a).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0D0AD83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A68361"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Pravna osnova i upute</w:t>
            </w:r>
          </w:p>
        </w:tc>
      </w:tr>
      <w:tr w:rsidR="005710A4" w:rsidRPr="007F4CC8" w14:paraId="6682226A" w14:textId="77777777" w:rsidTr="00155C96">
        <w:trPr>
          <w:trHeight w:val="238"/>
        </w:trPr>
        <w:tc>
          <w:tcPr>
            <w:tcW w:w="1384" w:type="dxa"/>
            <w:shd w:val="clear" w:color="auto" w:fill="D9D9D9" w:themeFill="background1" w:themeFillShade="D9"/>
          </w:tcPr>
          <w:p w14:paraId="74155D64"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72ACB3FF"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Objašnjenje</w:t>
            </w:r>
          </w:p>
        </w:tc>
      </w:tr>
      <w:tr w:rsidR="005710A4" w:rsidRPr="007F4CC8" w14:paraId="0F42B361" w14:textId="77777777" w:rsidTr="00155C96">
        <w:trPr>
          <w:trHeight w:val="680"/>
        </w:trPr>
        <w:tc>
          <w:tcPr>
            <w:tcW w:w="1384" w:type="dxa"/>
          </w:tcPr>
          <w:p w14:paraId="296F2230" w14:textId="4EFDDC0D" w:rsidR="005710A4" w:rsidRPr="007F4CC8" w:rsidRDefault="005F3D92" w:rsidP="00155C96">
            <w:pPr>
              <w:pStyle w:val="Applicationdirecte"/>
              <w:spacing w:before="0" w:after="240"/>
              <w:jc w:val="center"/>
            </w:pPr>
            <w:r>
              <w:t>1</w:t>
            </w:r>
          </w:p>
        </w:tc>
        <w:tc>
          <w:tcPr>
            <w:tcW w:w="7655" w:type="dxa"/>
            <w:vAlign w:val="center"/>
          </w:tcPr>
          <w:p w14:paraId="277F5192" w14:textId="62C28F77"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Ukupne transakcije na koje se primjenjuje napredna metoda</w:t>
            </w:r>
          </w:p>
          <w:p w14:paraId="5A69287A"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Transakcije na koje se primjenjuje napredna metoda za izračun kapitalnih zahtjeva za CVA rizik u skladu s člankom 383. CRR-a.</w:t>
            </w:r>
          </w:p>
        </w:tc>
      </w:tr>
      <w:tr w:rsidR="005710A4" w:rsidRPr="007F4CC8" w14:paraId="4D09BE9A" w14:textId="77777777" w:rsidTr="00155C96">
        <w:trPr>
          <w:trHeight w:val="680"/>
        </w:trPr>
        <w:tc>
          <w:tcPr>
            <w:tcW w:w="1384" w:type="dxa"/>
          </w:tcPr>
          <w:p w14:paraId="0CE848AA" w14:textId="108606B7" w:rsidR="005710A4" w:rsidRPr="007F4CC8" w:rsidRDefault="005F3D92" w:rsidP="00155C96">
            <w:pPr>
              <w:pStyle w:val="Applicationdirecte"/>
              <w:spacing w:before="0" w:after="240"/>
              <w:jc w:val="center"/>
            </w:pPr>
            <w:r>
              <w:t>2</w:t>
            </w:r>
          </w:p>
        </w:tc>
        <w:tc>
          <w:tcPr>
            <w:tcW w:w="7655" w:type="dxa"/>
            <w:vAlign w:val="center"/>
          </w:tcPr>
          <w:p w14:paraId="46384C9E" w14:textId="27436D83"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 xml:space="preserve">Komponenta </w:t>
            </w:r>
            <w:proofErr w:type="spellStart"/>
            <w:r>
              <w:rPr>
                <w:rFonts w:ascii="Times New Roman" w:hAnsi="Times New Roman"/>
                <w:b/>
                <w:sz w:val="24"/>
                <w:szCs w:val="24"/>
              </w:rPr>
              <w:t>VaR</w:t>
            </w:r>
            <w:proofErr w:type="spellEnd"/>
            <w:r>
              <w:rPr>
                <w:rFonts w:ascii="Times New Roman" w:hAnsi="Times New Roman"/>
                <w:b/>
                <w:sz w:val="24"/>
                <w:szCs w:val="24"/>
              </w:rPr>
              <w:t>-a (uključujući multiplikator 3×)</w:t>
            </w:r>
          </w:p>
          <w:p w14:paraId="78E01F57" w14:textId="77777777"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 xml:space="preserve">Transakcije koje podliježu kapitalnim zahtjevima za CVA rizik za koje se iznosi izloženosti ponderirani rizikom izračunavaju primjenom formule iz članka 383. CRR-a, koristeći izračun </w:t>
            </w:r>
            <w:proofErr w:type="spellStart"/>
            <w:r>
              <w:rPr>
                <w:rFonts w:ascii="Times New Roman" w:hAnsi="Times New Roman"/>
                <w:sz w:val="24"/>
                <w:szCs w:val="24"/>
              </w:rPr>
              <w:t>VaR</w:t>
            </w:r>
            <w:proofErr w:type="spellEnd"/>
            <w:r>
              <w:rPr>
                <w:rFonts w:ascii="Times New Roman" w:hAnsi="Times New Roman"/>
                <w:sz w:val="24"/>
                <w:szCs w:val="24"/>
              </w:rPr>
              <w:t xml:space="preserve">-a na temelju internih modela za tržišni rizik (s trenutačnim kalibracijama parametara za očekivanu izloženost kako je navedeno u članku 292. stavku 2. prvom podstavku CRR-a). </w:t>
            </w:r>
          </w:p>
          <w:p w14:paraId="491F338F"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 xml:space="preserve">Izračun uključuje upotrebu multiplikatora koji je podešen barem na 3 (utvrđuje nadzorno tijelo). </w:t>
            </w:r>
          </w:p>
        </w:tc>
      </w:tr>
      <w:tr w:rsidR="005710A4" w:rsidRPr="007F4CC8" w14:paraId="24504A39" w14:textId="77777777" w:rsidTr="00155C96">
        <w:trPr>
          <w:trHeight w:val="680"/>
        </w:trPr>
        <w:tc>
          <w:tcPr>
            <w:tcW w:w="1384" w:type="dxa"/>
          </w:tcPr>
          <w:p w14:paraId="09E208FE" w14:textId="6660F7AA" w:rsidR="005710A4" w:rsidRPr="007F4CC8" w:rsidRDefault="005F3D92" w:rsidP="005F3D92">
            <w:pPr>
              <w:pStyle w:val="Applicationdirecte"/>
              <w:spacing w:before="0" w:after="240"/>
              <w:jc w:val="center"/>
            </w:pPr>
            <w:r>
              <w:t>3</w:t>
            </w:r>
          </w:p>
        </w:tc>
        <w:tc>
          <w:tcPr>
            <w:tcW w:w="7655" w:type="dxa"/>
            <w:vAlign w:val="center"/>
          </w:tcPr>
          <w:p w14:paraId="3F7FB318" w14:textId="52BC9F40"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 xml:space="preserve">Komponenta </w:t>
            </w:r>
            <w:proofErr w:type="spellStart"/>
            <w:r>
              <w:rPr>
                <w:rFonts w:ascii="Times New Roman" w:hAnsi="Times New Roman"/>
                <w:b/>
                <w:sz w:val="24"/>
                <w:szCs w:val="24"/>
              </w:rPr>
              <w:t>VaR</w:t>
            </w:r>
            <w:proofErr w:type="spellEnd"/>
            <w:r>
              <w:rPr>
                <w:rFonts w:ascii="Times New Roman" w:hAnsi="Times New Roman"/>
                <w:b/>
                <w:sz w:val="24"/>
                <w:szCs w:val="24"/>
              </w:rPr>
              <w:t>-a u stresnim uvjetima (uključujući multiplikator 3×)</w:t>
            </w:r>
          </w:p>
          <w:p w14:paraId="210669C0" w14:textId="77777777"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 xml:space="preserve">Transakcije koje podliježu kapitalnim zahtjevima za CVA rizik za koje se iznosi izloženosti ponderirani rizikom izračunavaju primjenom formule iz članka 383. CRR-a, koristeći izračun </w:t>
            </w:r>
            <w:proofErr w:type="spellStart"/>
            <w:r>
              <w:rPr>
                <w:rFonts w:ascii="Times New Roman" w:hAnsi="Times New Roman"/>
                <w:sz w:val="24"/>
                <w:szCs w:val="24"/>
              </w:rPr>
              <w:t>VaR</w:t>
            </w:r>
            <w:proofErr w:type="spellEnd"/>
            <w:r>
              <w:rPr>
                <w:rFonts w:ascii="Times New Roman" w:hAnsi="Times New Roman"/>
                <w:sz w:val="24"/>
                <w:szCs w:val="24"/>
              </w:rPr>
              <w:t xml:space="preserve">-a u stresnim uvjetima na temelju internih modela za tržišni rizik (s parametrima u stresnim uvjetima za kalibraciju formule kako je utvrđeno u članku 292. stavku 2. prvom podstavku CRR-a). </w:t>
            </w:r>
          </w:p>
          <w:p w14:paraId="0E13AFEA"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 xml:space="preserve">Izračun uključuje upotrebu multiplikatora koji je podešen barem na 3 (utvrđuje nadzorno tijelo). </w:t>
            </w:r>
          </w:p>
        </w:tc>
      </w:tr>
      <w:tr w:rsidR="005710A4" w:rsidRPr="007F4CC8" w14:paraId="5169B69F" w14:textId="77777777" w:rsidTr="00155C96">
        <w:trPr>
          <w:trHeight w:val="680"/>
        </w:trPr>
        <w:tc>
          <w:tcPr>
            <w:tcW w:w="1384" w:type="dxa"/>
          </w:tcPr>
          <w:p w14:paraId="373C389C" w14:textId="0EDF2B53" w:rsidR="005710A4" w:rsidRPr="007F4CC8" w:rsidRDefault="005710A4" w:rsidP="005F3D92">
            <w:pPr>
              <w:pStyle w:val="Applicationdirecte"/>
              <w:spacing w:before="0" w:after="240"/>
              <w:jc w:val="center"/>
            </w:pPr>
            <w:r>
              <w:t>4</w:t>
            </w:r>
          </w:p>
        </w:tc>
        <w:tc>
          <w:tcPr>
            <w:tcW w:w="7655" w:type="dxa"/>
            <w:vAlign w:val="center"/>
          </w:tcPr>
          <w:p w14:paraId="1C549297" w14:textId="3E781B28"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Transakcije na koje se primjenjuje standardizirana metoda</w:t>
            </w:r>
          </w:p>
          <w:p w14:paraId="73885D21"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Transakcije na koje se primjenjuje standardizirana metoda za izračun kapitalnih zahtjeva za CVA rizik u skladu s člankom 384. CRR-a.</w:t>
            </w:r>
          </w:p>
        </w:tc>
      </w:tr>
      <w:tr w:rsidR="005710A4" w:rsidRPr="007F4CC8" w14:paraId="2ADC279A" w14:textId="77777777" w:rsidTr="00155C96">
        <w:trPr>
          <w:trHeight w:val="680"/>
        </w:trPr>
        <w:tc>
          <w:tcPr>
            <w:tcW w:w="1384" w:type="dxa"/>
          </w:tcPr>
          <w:p w14:paraId="5F8FC082" w14:textId="65EC5F52" w:rsidR="005710A4" w:rsidRPr="007F4CC8" w:rsidRDefault="005710A4" w:rsidP="00155C96">
            <w:pPr>
              <w:pStyle w:val="Applicationdirecte"/>
              <w:spacing w:before="0" w:after="240"/>
              <w:jc w:val="center"/>
            </w:pPr>
            <w:r>
              <w:t>EU-4</w:t>
            </w:r>
          </w:p>
        </w:tc>
        <w:tc>
          <w:tcPr>
            <w:tcW w:w="7655" w:type="dxa"/>
            <w:vAlign w:val="center"/>
          </w:tcPr>
          <w:p w14:paraId="28D937C2" w14:textId="7A3E57E2" w:rsidR="005710A4" w:rsidRPr="005F3D92" w:rsidRDefault="005710A4" w:rsidP="00155C96">
            <w:pPr>
              <w:spacing w:after="240"/>
              <w:rPr>
                <w:rFonts w:ascii="Times New Roman" w:hAnsi="Times New Roman" w:cs="Times New Roman"/>
                <w:b/>
                <w:sz w:val="24"/>
              </w:rPr>
            </w:pPr>
            <w:r>
              <w:rPr>
                <w:rFonts w:ascii="Times New Roman" w:hAnsi="Times New Roman"/>
                <w:b/>
                <w:sz w:val="24"/>
              </w:rPr>
              <w:t>Transakcije na koje se primjenjuje alternativni pristup (na temelju metode originalne izloženosti)</w:t>
            </w:r>
          </w:p>
          <w:p w14:paraId="303CE2F9" w14:textId="77777777" w:rsidR="005710A4" w:rsidRPr="007F4CC8" w:rsidRDefault="005710A4" w:rsidP="00155C96">
            <w:pPr>
              <w:spacing w:after="240"/>
              <w:jc w:val="both"/>
              <w:rPr>
                <w:rFonts w:ascii="Times New Roman" w:hAnsi="Times New Roman" w:cs="Times New Roman"/>
                <w:i/>
                <w:sz w:val="24"/>
              </w:rPr>
            </w:pPr>
            <w:r>
              <w:rPr>
                <w:rFonts w:ascii="Times New Roman" w:hAnsi="Times New Roman"/>
                <w:sz w:val="24"/>
              </w:rPr>
              <w:lastRenderedPageBreak/>
              <w:t>Transakcije na koje se primjenjuje alternativni pristup za izračun kapitalnih zahtjeva za CVA rizik u skladu s člankom 385. CRR-a.</w:t>
            </w:r>
          </w:p>
        </w:tc>
      </w:tr>
      <w:tr w:rsidR="005710A4" w:rsidRPr="007F4CC8" w14:paraId="2D4DF36D" w14:textId="77777777" w:rsidTr="00155C96">
        <w:trPr>
          <w:trHeight w:val="680"/>
        </w:trPr>
        <w:tc>
          <w:tcPr>
            <w:tcW w:w="1384" w:type="dxa"/>
          </w:tcPr>
          <w:p w14:paraId="5AE7FAD0" w14:textId="1F4F3595" w:rsidR="005710A4" w:rsidRPr="007F4CC8" w:rsidRDefault="005710A4" w:rsidP="005F3D92">
            <w:pPr>
              <w:pStyle w:val="Applicationdirecte"/>
              <w:spacing w:before="0" w:after="240"/>
              <w:jc w:val="center"/>
            </w:pPr>
            <w:r>
              <w:lastRenderedPageBreak/>
              <w:t>5</w:t>
            </w:r>
          </w:p>
        </w:tc>
        <w:tc>
          <w:tcPr>
            <w:tcW w:w="7655" w:type="dxa"/>
          </w:tcPr>
          <w:p w14:paraId="108DDC6D" w14:textId="77777777" w:rsidR="005710A4" w:rsidRPr="005F3D92" w:rsidRDefault="005710A4" w:rsidP="00155C96">
            <w:pPr>
              <w:spacing w:after="240"/>
              <w:rPr>
                <w:rFonts w:ascii="Times New Roman" w:hAnsi="Times New Roman" w:cs="Times New Roman"/>
                <w:b/>
                <w:sz w:val="24"/>
              </w:rPr>
            </w:pPr>
            <w:r>
              <w:rPr>
                <w:rFonts w:ascii="Times New Roman" w:hAnsi="Times New Roman"/>
                <w:b/>
                <w:sz w:val="24"/>
              </w:rPr>
              <w:t>Ukupne transakcije koje podliježu kapitalnim zahtjevima za CVA rizik</w:t>
            </w:r>
          </w:p>
        </w:tc>
      </w:tr>
      <w:tr w:rsidR="005710A4" w:rsidRPr="007F4CC8" w14:paraId="3A43F88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806E6C" w14:textId="77777777" w:rsidR="005710A4" w:rsidRPr="007F4CC8" w:rsidRDefault="005710A4" w:rsidP="00155C96">
            <w:pPr>
              <w:pStyle w:val="Applicationdirecte"/>
              <w:spacing w:before="0" w:after="240"/>
              <w:jc w:val="center"/>
              <w:rPr>
                <w:b/>
              </w:rPr>
            </w:pPr>
            <w:r>
              <w:rPr>
                <w:b/>
              </w:rPr>
              <w:t>Slovna oznaka stupca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18E633"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Objašnjenje</w:t>
            </w:r>
          </w:p>
        </w:tc>
      </w:tr>
      <w:tr w:rsidR="005710A4" w:rsidRPr="007F4CC8" w14:paraId="1B792DD3" w14:textId="77777777" w:rsidTr="00155C96">
        <w:trPr>
          <w:trHeight w:val="680"/>
        </w:trPr>
        <w:tc>
          <w:tcPr>
            <w:tcW w:w="1384" w:type="dxa"/>
          </w:tcPr>
          <w:p w14:paraId="5CA18617" w14:textId="4222C7A3" w:rsidR="005710A4" w:rsidRPr="007F4CC8" w:rsidRDefault="005F3D92" w:rsidP="00155C96">
            <w:pPr>
              <w:pStyle w:val="Applicationdirecte"/>
              <w:spacing w:before="0" w:after="240"/>
              <w:jc w:val="center"/>
            </w:pPr>
            <w:r>
              <w:t>a</w:t>
            </w:r>
          </w:p>
        </w:tc>
        <w:tc>
          <w:tcPr>
            <w:tcW w:w="7655" w:type="dxa"/>
            <w:vAlign w:val="center"/>
          </w:tcPr>
          <w:p w14:paraId="3BA20BA7" w14:textId="28BABF0D"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Vrijednost izloženosti</w:t>
            </w:r>
          </w:p>
          <w:p w14:paraId="52A5E3B4" w14:textId="0058AF13"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Vrijednost izloženosti utvrđena u skladu s dijelom trećim glavom II. poglavljem 6. CRR-a (ili u slučaju transakcija u području primjene članka 271. stavka 2. CRR-a u skladu s dijelom trećim glavom II. poglavljem 4.) za transakcije u području primjene dijela trećeg glave VI. CRR-a.</w:t>
            </w:r>
          </w:p>
          <w:p w14:paraId="411D48A8"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Vrijednost izloženosti je vrijednost upotrijebljena u izračunu kapitalnih zahtjeva za CVA rizik s obzirom na učinke smanjenja u skladu s dijelom trećim glavom VI. CRR-a. Za transakcije na koje se primjenjuje metoda originalne izloženosti (alternativni pristup), vrijednost izloženosti je vrijednost upotrijebljena za izračun iznosa izloženosti ponderiranih rizikom.</w:t>
            </w:r>
          </w:p>
        </w:tc>
      </w:tr>
      <w:tr w:rsidR="005710A4" w:rsidRPr="007F4CC8" w14:paraId="26B38498" w14:textId="77777777" w:rsidTr="00155C96">
        <w:trPr>
          <w:trHeight w:val="412"/>
        </w:trPr>
        <w:tc>
          <w:tcPr>
            <w:tcW w:w="1384" w:type="dxa"/>
          </w:tcPr>
          <w:p w14:paraId="12DFB47F" w14:textId="601D650C" w:rsidR="005710A4" w:rsidRPr="007F4CC8" w:rsidRDefault="005F3D92" w:rsidP="00155C96">
            <w:pPr>
              <w:pStyle w:val="Applicationdirecte"/>
              <w:spacing w:before="0" w:after="240"/>
              <w:jc w:val="center"/>
            </w:pPr>
            <w:r>
              <w:t>b</w:t>
            </w:r>
          </w:p>
        </w:tc>
        <w:tc>
          <w:tcPr>
            <w:tcW w:w="7655" w:type="dxa"/>
            <w:vAlign w:val="center"/>
          </w:tcPr>
          <w:p w14:paraId="2B1C327F" w14:textId="39DDED32"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RWEA</w:t>
            </w:r>
          </w:p>
          <w:p w14:paraId="73C9FB1D" w14:textId="30676AB3"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Iznosi izloženosti ponderirani rizikom u skladu s člankom 438. točkom (d) i člankom 92. stavkom 3. točkom (d) tj. kapitalni zahtjevi za CVA rizik koji se izračunavaju u skladu s odabranom metodom pomnoženi s 12,5 u skladu s člankom 92. stavkom 4. točkom (b) CRR-a.</w:t>
            </w:r>
          </w:p>
        </w:tc>
      </w:tr>
    </w:tbl>
    <w:p w14:paraId="4FF274D7" w14:textId="237B531B" w:rsidR="005710A4" w:rsidRPr="007F4CC8" w:rsidRDefault="00CD362D" w:rsidP="005710A4">
      <w:pPr>
        <w:pStyle w:val="Titlelevel2"/>
        <w:jc w:val="both"/>
        <w:rPr>
          <w:rFonts w:ascii="Times New Roman" w:hAnsi="Times New Roman" w:cs="Times New Roman"/>
          <w:color w:val="auto"/>
          <w:sz w:val="24"/>
        </w:rPr>
      </w:pPr>
      <w:r>
        <w:rPr>
          <w:rFonts w:ascii="Times New Roman" w:hAnsi="Times New Roman"/>
          <w:b/>
          <w:color w:val="auto"/>
          <w:sz w:val="24"/>
        </w:rPr>
        <w:t xml:space="preserve">Obrazac EU CCR3 – Standardizirani pristup – Izloženosti kreditnom riziku druge ugovorne strane prema regulatornoj kategoriji izloženosti i ponderima rizika: </w:t>
      </w:r>
      <w:r>
        <w:rPr>
          <w:rFonts w:ascii="Times New Roman" w:hAnsi="Times New Roman"/>
          <w:color w:val="auto"/>
          <w:sz w:val="24"/>
        </w:rPr>
        <w:t>Fiksan format</w:t>
      </w:r>
    </w:p>
    <w:p w14:paraId="237929BC" w14:textId="7C15E723"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Institucije objavljuju informacije iz članka 444. točke (e) CRR-a prateći upute u nastavku ovog Priloga za popunjavanje obrasca EU CCR3 iz Priloga XXV. ovoj Provedbenoj uredbi.</w:t>
      </w:r>
    </w:p>
    <w:p w14:paraId="7A42CBAA"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Institucije koje primjenjuju standardizirani pristup za izračun iznosa izloženosti ponderiranih rizikom (ne uključujući one koji proizlaze iz kapitalnih zahtjeva za CVA rizik i izloženosti poravnane preko središnje druge ugovorne strane) za sve ili dio svojih izloženosti kreditnom riziku druge ugovorne strane u skladu s člankom 107. CRR-a, neovisno o pristupu kreditnom riziku druge ugovorne strane koji se koristi za utvrđivanje</w:t>
      </w:r>
      <w:r>
        <w:rPr>
          <w:rFonts w:ascii="Times New Roman" w:hAnsi="Times New Roman"/>
          <w:bCs w:val="0"/>
          <w:color w:val="auto"/>
          <w:sz w:val="24"/>
        </w:rPr>
        <w:t xml:space="preserve"> vrijednosti izloženosti u skladu s </w:t>
      </w:r>
      <w:r>
        <w:rPr>
          <w:rFonts w:ascii="Times New Roman" w:hAnsi="Times New Roman"/>
          <w:color w:val="auto"/>
          <w:sz w:val="24"/>
        </w:rPr>
        <w:t>dijelom trećim glavom II. poglavljima 4. i 6. CRR-a</w:t>
      </w:r>
      <w:r>
        <w:rPr>
          <w:rFonts w:ascii="Times New Roman" w:hAnsi="Times New Roman"/>
          <w:bCs w:val="0"/>
          <w:color w:val="auto"/>
          <w:sz w:val="24"/>
        </w:rPr>
        <w:t xml:space="preserve">, objavljuju sljedeće informacije. </w:t>
      </w:r>
    </w:p>
    <w:p w14:paraId="6F8C25B3"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Ako institucija smatra da informacije zatražene u ovom obrascu nisu svrsishodne jer izloženost i iznosi izloženosti ponderirani rizikom nisu značajni, institucija može </w:t>
      </w:r>
      <w:r>
        <w:rPr>
          <w:rFonts w:ascii="Times New Roman" w:hAnsi="Times New Roman"/>
          <w:bCs w:val="0"/>
          <w:color w:val="000000"/>
          <w:sz w:val="24"/>
        </w:rPr>
        <w:lastRenderedPageBreak/>
        <w:t>odlučiti da neće objaviti obrazac. Institucija, međutim, mora u opisu objasniti zašto smatra da te informacije nisu svrsishodne, uključujući opis izloženosti u dotičnom portfelju i ukupni iznos izloženosti ponderiranih rizikom iz takvih izloženosti.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09DA55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8F486C"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Pravna osnova i upute</w:t>
            </w:r>
          </w:p>
        </w:tc>
      </w:tr>
      <w:tr w:rsidR="005710A4" w:rsidRPr="007F4CC8" w14:paraId="196096A0" w14:textId="77777777" w:rsidTr="00155C96">
        <w:trPr>
          <w:trHeight w:val="238"/>
        </w:trPr>
        <w:tc>
          <w:tcPr>
            <w:tcW w:w="1384" w:type="dxa"/>
            <w:shd w:val="clear" w:color="auto" w:fill="D9D9D9" w:themeFill="background1" w:themeFillShade="D9"/>
          </w:tcPr>
          <w:p w14:paraId="181FB806"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13E37DDF"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Objašnjenje</w:t>
            </w:r>
          </w:p>
        </w:tc>
      </w:tr>
      <w:tr w:rsidR="005710A4" w:rsidRPr="007F4CC8" w14:paraId="4FB02749" w14:textId="77777777" w:rsidTr="00155C96">
        <w:trPr>
          <w:trHeight w:val="680"/>
        </w:trPr>
        <w:tc>
          <w:tcPr>
            <w:tcW w:w="1384" w:type="dxa"/>
          </w:tcPr>
          <w:p w14:paraId="297F3DF6" w14:textId="7358EF6E" w:rsidR="005710A4" w:rsidRPr="007F4CC8" w:rsidRDefault="005F3D92" w:rsidP="00880BCD">
            <w:pPr>
              <w:pStyle w:val="Applicationdirecte"/>
              <w:spacing w:before="0" w:after="240"/>
              <w:jc w:val="center"/>
            </w:pPr>
            <w:r>
              <w:t>1 – 9</w:t>
            </w:r>
          </w:p>
        </w:tc>
        <w:tc>
          <w:tcPr>
            <w:tcW w:w="7655" w:type="dxa"/>
            <w:vAlign w:val="center"/>
          </w:tcPr>
          <w:p w14:paraId="1178C4EF" w14:textId="5B8432F1"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Kategorije izloženosti</w:t>
            </w:r>
          </w:p>
          <w:p w14:paraId="6127D200" w14:textId="154D00DC"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Ovi redci odnose se na regulatorne kategorije izloženosti kako su definirane u dijelu trećem glavi II. poglavlju 4. člancima od 112. do 134. CRR-a. U svakom retku objavljuju se odgovarajuće vrijednosti izloženosti (vidjeti definiciju iz stupca g obrasca EU CCR1). </w:t>
            </w:r>
          </w:p>
        </w:tc>
      </w:tr>
      <w:tr w:rsidR="005710A4" w:rsidRPr="007F4CC8" w14:paraId="4CD3C533" w14:textId="77777777" w:rsidTr="00155C96">
        <w:trPr>
          <w:trHeight w:val="680"/>
        </w:trPr>
        <w:tc>
          <w:tcPr>
            <w:tcW w:w="1384" w:type="dxa"/>
          </w:tcPr>
          <w:p w14:paraId="33DFFAD4" w14:textId="4C7D7DD9" w:rsidR="005710A4" w:rsidRPr="007F4CC8" w:rsidRDefault="005F3D92" w:rsidP="00880BCD">
            <w:pPr>
              <w:pStyle w:val="Applicationdirecte"/>
              <w:spacing w:before="0" w:after="240"/>
              <w:jc w:val="center"/>
            </w:pPr>
            <w:r>
              <w:t>10</w:t>
            </w:r>
          </w:p>
        </w:tc>
        <w:tc>
          <w:tcPr>
            <w:tcW w:w="7655" w:type="dxa"/>
            <w:vAlign w:val="center"/>
          </w:tcPr>
          <w:p w14:paraId="32A672A7" w14:textId="143FF4FE"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Ostale stavke</w:t>
            </w:r>
          </w:p>
          <w:p w14:paraId="36895021"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Odnosi se na imovinu na koju se primjenjuje specifični ponder rizika utvrđen u dijelu trećem glavi II. poglavlju 4. članku 134. CRR-a ili bilo koje druge stavke koje nisu obuhvaćene u redcima od 1 do 9 ovog obrasca. Odnosi se i na imovinu koja nije odbijena pri primjeni članka 39. CRR-a (preplata poreza, prijenos poreznoga gubitka i odgođena porezna imovina koja ne ovisi o budućoj profitabilnosti), članka 41. CRR-a (imovina mirovinskog fonda pod pokroviteljstvom poslodavca), članka 46. i 469. CRR-a (ulaganja u redovni osnovni kapital subjekata financijskog sektora koja nisu značajna), članka 49. i članka 471. CRR-a (sudjelovanja u osiguravajućim tijelima bez obzira na to jesu li osiguravajuća tijela pod nadzorom u skladu s direktivom o konglomeratima), članka 60. i članka 475. CRR-a (ulaganja koja nisu značajna i značajna izravna ulaganja i ulaganja u redovni osnovni kapital tijela financijskog sektora), članka 70. i članka 477. CRR-a (značajni i neznačajni neizravni i sintetski udjeli dopunskog kapitala tijela financijskog sektora) ako nije raspoređena u druge kategorije izloženosti i kvalificiranim udjelima izvan financijskog sektora ako nisu ponderirani rizikom u iznosu od 1 250 % (pri primjeni dijela drugog, glave I., poglavlja 1. članka 36. točke (k) CRR-a).</w:t>
            </w:r>
          </w:p>
        </w:tc>
      </w:tr>
      <w:tr w:rsidR="005710A4" w:rsidRPr="007F4CC8" w14:paraId="15C38995" w14:textId="77777777" w:rsidTr="00155C96">
        <w:trPr>
          <w:trHeight w:val="680"/>
        </w:trPr>
        <w:tc>
          <w:tcPr>
            <w:tcW w:w="1384" w:type="dxa"/>
          </w:tcPr>
          <w:p w14:paraId="73410CBE" w14:textId="3B9F431A" w:rsidR="005710A4" w:rsidRPr="007F4CC8" w:rsidRDefault="005F3D92" w:rsidP="00880BCD">
            <w:pPr>
              <w:pStyle w:val="Applicationdirecte"/>
              <w:spacing w:before="0" w:after="240"/>
              <w:jc w:val="center"/>
            </w:pPr>
            <w:r>
              <w:t>11</w:t>
            </w:r>
          </w:p>
        </w:tc>
        <w:tc>
          <w:tcPr>
            <w:tcW w:w="7655" w:type="dxa"/>
            <w:vAlign w:val="center"/>
          </w:tcPr>
          <w:p w14:paraId="2192BF59" w14:textId="77777777"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Ukupna vrijednost izloženosti</w:t>
            </w:r>
          </w:p>
        </w:tc>
      </w:tr>
      <w:tr w:rsidR="005710A4" w:rsidRPr="007F4CC8" w14:paraId="451561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81E137" w14:textId="77777777" w:rsidR="005710A4" w:rsidRPr="007F4CC8" w:rsidRDefault="005710A4" w:rsidP="00880BCD">
            <w:pPr>
              <w:pStyle w:val="Applicationdirecte"/>
              <w:spacing w:before="0" w:after="240"/>
              <w:jc w:val="center"/>
              <w:rPr>
                <w:b/>
              </w:rPr>
            </w:pPr>
            <w:r>
              <w:rPr>
                <w:b/>
              </w:rPr>
              <w:t>Slovna oznaka stupca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A9A46A"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Objašnjenje</w:t>
            </w:r>
          </w:p>
        </w:tc>
      </w:tr>
      <w:tr w:rsidR="005710A4" w:rsidRPr="007F4CC8" w14:paraId="178F5DDC" w14:textId="77777777" w:rsidTr="00155C96">
        <w:trPr>
          <w:trHeight w:val="680"/>
        </w:trPr>
        <w:tc>
          <w:tcPr>
            <w:tcW w:w="1384" w:type="dxa"/>
          </w:tcPr>
          <w:p w14:paraId="604A7A63" w14:textId="01D6F08B" w:rsidR="005710A4" w:rsidRPr="007F4CC8" w:rsidRDefault="005F3D92" w:rsidP="00880BCD">
            <w:pPr>
              <w:pStyle w:val="Applicationdirecte"/>
              <w:spacing w:before="0" w:after="240"/>
              <w:jc w:val="center"/>
            </w:pPr>
            <w:r>
              <w:t>a-k</w:t>
            </w:r>
          </w:p>
          <w:p w14:paraId="244610B7" w14:textId="77777777" w:rsidR="005710A4" w:rsidRPr="007F4CC8" w:rsidRDefault="005710A4" w:rsidP="00880BCD">
            <w:pPr>
              <w:spacing w:after="240"/>
              <w:jc w:val="center"/>
              <w:rPr>
                <w:rFonts w:ascii="Times New Roman" w:hAnsi="Times New Roman" w:cs="Times New Roman"/>
                <w:sz w:val="24"/>
              </w:rPr>
            </w:pPr>
          </w:p>
        </w:tc>
        <w:tc>
          <w:tcPr>
            <w:tcW w:w="7655" w:type="dxa"/>
            <w:vAlign w:val="center"/>
          </w:tcPr>
          <w:p w14:paraId="2EFC13C6" w14:textId="55AD08B4" w:rsidR="005710A4" w:rsidRPr="007F4CC8" w:rsidRDefault="005710A4" w:rsidP="00155C96">
            <w:pPr>
              <w:spacing w:after="240"/>
              <w:jc w:val="both"/>
              <w:rPr>
                <w:rFonts w:ascii="Times New Roman" w:eastAsia="Times New Roman" w:hAnsi="Times New Roman" w:cs="Times New Roman"/>
                <w:i/>
                <w:sz w:val="24"/>
              </w:rPr>
            </w:pPr>
            <w:r>
              <w:rPr>
                <w:rFonts w:ascii="Times New Roman" w:hAnsi="Times New Roman"/>
                <w:sz w:val="24"/>
              </w:rPr>
              <w:t xml:space="preserve">Stupci se odnose na stupnjeve kreditne kvalitete/pondere rizika kako su utvrđeni u dijelu trećem glavi II. poglavlju 2. CRR-a za koje se objavljuju odgovarajuće vrijednosti izloženosti (vidjeti definiciju iz stupca g obrasca EU CCR1). </w:t>
            </w:r>
          </w:p>
        </w:tc>
      </w:tr>
      <w:tr w:rsidR="005710A4" w:rsidRPr="007F4CC8" w14:paraId="2B00EB40" w14:textId="77777777" w:rsidTr="00155C96">
        <w:trPr>
          <w:trHeight w:val="680"/>
        </w:trPr>
        <w:tc>
          <w:tcPr>
            <w:tcW w:w="1384" w:type="dxa"/>
          </w:tcPr>
          <w:p w14:paraId="72108CF9" w14:textId="0B5A0E37" w:rsidR="005710A4" w:rsidRPr="007F4CC8" w:rsidRDefault="005710A4" w:rsidP="00880BCD">
            <w:pPr>
              <w:pStyle w:val="Applicationdirecte"/>
              <w:spacing w:before="0" w:after="240"/>
              <w:jc w:val="center"/>
            </w:pPr>
            <w:r>
              <w:t>l</w:t>
            </w:r>
          </w:p>
        </w:tc>
        <w:tc>
          <w:tcPr>
            <w:tcW w:w="7655" w:type="dxa"/>
            <w:vAlign w:val="center"/>
          </w:tcPr>
          <w:p w14:paraId="7FFD144E" w14:textId="77777777"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 xml:space="preserve">Ukupna vrijednost izloženosti </w:t>
            </w:r>
          </w:p>
        </w:tc>
      </w:tr>
    </w:tbl>
    <w:p w14:paraId="5D4DB3EA" w14:textId="77777777" w:rsidR="005710A4" w:rsidRPr="007F4CC8" w:rsidRDefault="005710A4" w:rsidP="005710A4">
      <w:pPr>
        <w:pStyle w:val="Titlelevel2"/>
        <w:spacing w:before="0"/>
        <w:rPr>
          <w:rFonts w:ascii="Times New Roman" w:hAnsi="Times New Roman" w:cs="Times New Roman"/>
          <w:color w:val="auto"/>
          <w:sz w:val="24"/>
          <w:lang w:val="en-GB"/>
        </w:rPr>
      </w:pPr>
    </w:p>
    <w:p w14:paraId="08FC04A8" w14:textId="1F883A58" w:rsidR="005710A4" w:rsidRPr="007F4CC8" w:rsidRDefault="00CD362D" w:rsidP="005710A4">
      <w:pPr>
        <w:pStyle w:val="Titlelevel2"/>
        <w:spacing w:before="0"/>
        <w:jc w:val="both"/>
        <w:rPr>
          <w:rFonts w:ascii="Times New Roman" w:hAnsi="Times New Roman" w:cs="Times New Roman"/>
          <w:b/>
          <w:color w:val="auto"/>
          <w:sz w:val="24"/>
        </w:rPr>
      </w:pPr>
      <w:r>
        <w:rPr>
          <w:rFonts w:ascii="Times New Roman" w:hAnsi="Times New Roman"/>
          <w:b/>
          <w:color w:val="auto"/>
          <w:sz w:val="24"/>
        </w:rPr>
        <w:t xml:space="preserve">Obrazac EU CCR4 – IRB pristup – Izloženosti kreditnom riziku druge ugovorne strane prema kategoriji izloženosti i vjerojatnosti nastanka statusa neispunjavanja obveza (PD) </w:t>
      </w:r>
      <w:r>
        <w:rPr>
          <w:rFonts w:ascii="Times New Roman" w:hAnsi="Times New Roman"/>
          <w:color w:val="auto"/>
          <w:sz w:val="24"/>
        </w:rPr>
        <w:t>Fiksan format</w:t>
      </w:r>
    </w:p>
    <w:p w14:paraId="474B630B" w14:textId="254305D6"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Institucije objavljuju informacije iz članka 452. točke (g) CRR-a prateći upute u nastavku ovog Priloga za popunjavanje obrasca EU CCR4 iz Priloga XXV. ovoj Provedbenoj uredbi. </w:t>
      </w:r>
    </w:p>
    <w:p w14:paraId="322377CF"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Institucije koje primjenjuju napredni ili osnovni IRB pristup za izračun iznosa izloženosti ponderiranih rizikom (ne uključujući one koji proizlaze iz kapitalnih zahtjeva za CVA rizik i izloženosti poravnane preko središnje druge ugovorne strane) za sve ili dio svojih izloženosti kreditnom riziku druge ugovorne strane u skladu s člankom 107. CRR-a, neovisno o pristupu kreditnom riziku druge ugovorne strane koji se koristi za utvrđivanje</w:t>
      </w:r>
      <w:r>
        <w:rPr>
          <w:rFonts w:ascii="Times New Roman" w:hAnsi="Times New Roman"/>
          <w:bCs w:val="0"/>
          <w:color w:val="auto"/>
          <w:sz w:val="24"/>
        </w:rPr>
        <w:t xml:space="preserve"> vrijednosti izloženosti u skladu s </w:t>
      </w:r>
      <w:r>
        <w:rPr>
          <w:rFonts w:ascii="Times New Roman" w:hAnsi="Times New Roman"/>
          <w:color w:val="auto"/>
          <w:sz w:val="24"/>
        </w:rPr>
        <w:t>dijelom trećim glavom II. poglavljima 4. i 6. CRR-a</w:t>
      </w:r>
      <w:r>
        <w:rPr>
          <w:rFonts w:ascii="Times New Roman" w:hAnsi="Times New Roman"/>
          <w:bCs w:val="0"/>
          <w:color w:val="auto"/>
          <w:sz w:val="24"/>
        </w:rPr>
        <w:t xml:space="preserve">, objavljuju sljedeće informacije.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53A6397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B81FBC"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Pravna osnova i upute</w:t>
            </w:r>
          </w:p>
        </w:tc>
      </w:tr>
      <w:tr w:rsidR="005710A4" w:rsidRPr="007F4CC8" w14:paraId="1C1B86E8" w14:textId="77777777" w:rsidTr="00155C96">
        <w:trPr>
          <w:trHeight w:val="238"/>
        </w:trPr>
        <w:tc>
          <w:tcPr>
            <w:tcW w:w="1384" w:type="dxa"/>
            <w:shd w:val="clear" w:color="auto" w:fill="D9D9D9" w:themeFill="background1" w:themeFillShade="D9"/>
          </w:tcPr>
          <w:p w14:paraId="2AF7D06B"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00035D36"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Objašnjenje</w:t>
            </w:r>
          </w:p>
        </w:tc>
      </w:tr>
      <w:tr w:rsidR="005710A4" w:rsidRPr="007F4CC8" w14:paraId="6597AE3D" w14:textId="77777777" w:rsidTr="00155C96">
        <w:trPr>
          <w:trHeight w:val="680"/>
        </w:trPr>
        <w:tc>
          <w:tcPr>
            <w:tcW w:w="1384" w:type="dxa"/>
          </w:tcPr>
          <w:p w14:paraId="67134527" w14:textId="1D505557" w:rsidR="005710A4" w:rsidRPr="007F4CC8" w:rsidRDefault="005F3D92" w:rsidP="00155C96">
            <w:pPr>
              <w:pStyle w:val="Applicationdirecte"/>
              <w:spacing w:before="0" w:after="240"/>
              <w:jc w:val="center"/>
            </w:pPr>
            <w:r>
              <w:t>od 1 do 8</w:t>
            </w:r>
          </w:p>
        </w:tc>
        <w:tc>
          <w:tcPr>
            <w:tcW w:w="7655" w:type="dxa"/>
            <w:vAlign w:val="center"/>
          </w:tcPr>
          <w:p w14:paraId="6950CCC8" w14:textId="1F4E348B"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Raspon PD-a</w:t>
            </w:r>
          </w:p>
          <w:p w14:paraId="5BCD147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Izloženosti kreditnom riziku druge ugovorne strane raspoređuju se u odgovarajući razred fiksnog raspona PD-a na temelju procijenjenog PD-a za svakog dužnika koji je raspoređen u tu kategoriju izloženosti (ne uzimajući u obzir zamjenu zbog postojanja jamstva ili kreditne izvedenice). Institucije raspoređuju izloženost po izloženost u raspon PD-a naveden u obrascu, uzimajući u obzir i kontinuirane raspone. Sve izloženosti u statusu neispunjavanja obveza navode se u razredu koji predstavlja PD od 100 %.</w:t>
            </w:r>
          </w:p>
        </w:tc>
      </w:tr>
      <w:tr w:rsidR="005710A4" w:rsidRPr="007F4CC8" w14:paraId="15128626" w14:textId="77777777" w:rsidTr="00155C96">
        <w:trPr>
          <w:trHeight w:val="680"/>
        </w:trPr>
        <w:tc>
          <w:tcPr>
            <w:tcW w:w="1384" w:type="dxa"/>
          </w:tcPr>
          <w:p w14:paraId="07044829" w14:textId="387085FA" w:rsidR="005710A4" w:rsidRPr="007F4CC8" w:rsidRDefault="005F3D92" w:rsidP="00155C96">
            <w:pPr>
              <w:pStyle w:val="Applicationdirecte"/>
              <w:spacing w:before="0" w:after="240"/>
              <w:jc w:val="center"/>
            </w:pPr>
            <w:r>
              <w:t>1 do x</w:t>
            </w:r>
          </w:p>
        </w:tc>
        <w:tc>
          <w:tcPr>
            <w:tcW w:w="7655" w:type="dxa"/>
            <w:vAlign w:val="center"/>
          </w:tcPr>
          <w:p w14:paraId="4A50F2E2" w14:textId="631D17B4"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Kategorija izloženosti X</w:t>
            </w:r>
          </w:p>
          <w:p w14:paraId="1E82A57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Odnosi se na različite kategorije izloženosti navedene u dijelu trećem glavi II. poglavlju 3. članku 147. CRR-a.</w:t>
            </w:r>
          </w:p>
        </w:tc>
      </w:tr>
      <w:tr w:rsidR="005710A4" w:rsidRPr="007F4CC8" w14:paraId="18CD3CBA" w14:textId="77777777" w:rsidTr="00155C96">
        <w:trPr>
          <w:trHeight w:val="680"/>
        </w:trPr>
        <w:tc>
          <w:tcPr>
            <w:tcW w:w="1384" w:type="dxa"/>
          </w:tcPr>
          <w:p w14:paraId="02B110F6" w14:textId="77777777" w:rsidR="005710A4" w:rsidRPr="007F4CC8" w:rsidRDefault="005710A4" w:rsidP="00155C96">
            <w:pPr>
              <w:pStyle w:val="Applicationdirecte"/>
              <w:spacing w:before="0" w:after="240"/>
              <w:jc w:val="center"/>
            </w:pPr>
            <w:r>
              <w:t>x i y</w:t>
            </w:r>
          </w:p>
        </w:tc>
        <w:tc>
          <w:tcPr>
            <w:tcW w:w="7655" w:type="dxa"/>
            <w:vAlign w:val="center"/>
          </w:tcPr>
          <w:p w14:paraId="5DE466D6" w14:textId="77777777"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Međuzbroj (kategorija izloženosti X)/Ukupno (sve kategorije izloženosti relevantne za kreditni rizik druge ugovorne strane)</w:t>
            </w:r>
          </w:p>
          <w:p w14:paraId="1E4A05CD"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Međuzbroj/ukupan zbroj vrijednosti izloženosti, iznosi izloženosti ponderirani rizikom i broj dužnika samo su zbroj odgovarajućih stupaca. Kad je riječ o različitim parametrima prosječnog PD-a, prosječnog LGD-a, prosječnog dospijeća i gustoće RWEA definicije u nastavku primjenjuju se s obzirom na uzorak kategorije izloženosti X ili na sve kategorije izloženosti relevantne za kreditni rizik druge ugovorne strane.</w:t>
            </w:r>
          </w:p>
        </w:tc>
      </w:tr>
      <w:tr w:rsidR="005710A4" w:rsidRPr="007F4CC8" w14:paraId="403153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9F6857" w14:textId="77777777" w:rsidR="005710A4" w:rsidRPr="007F4CC8" w:rsidRDefault="005710A4" w:rsidP="00155C96">
            <w:pPr>
              <w:pStyle w:val="Applicationdirecte"/>
              <w:spacing w:before="0" w:after="240"/>
              <w:jc w:val="center"/>
              <w:rPr>
                <w:b/>
              </w:rPr>
            </w:pPr>
            <w:r>
              <w:rPr>
                <w:b/>
              </w:rPr>
              <w:lastRenderedPageBreak/>
              <w:t>Slovna oznaka stupca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290FF"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Objašnjenje</w:t>
            </w:r>
          </w:p>
        </w:tc>
      </w:tr>
      <w:tr w:rsidR="005710A4" w:rsidRPr="007F4CC8" w14:paraId="3BE62392" w14:textId="77777777" w:rsidTr="00155C96">
        <w:trPr>
          <w:trHeight w:val="680"/>
        </w:trPr>
        <w:tc>
          <w:tcPr>
            <w:tcW w:w="1384" w:type="dxa"/>
          </w:tcPr>
          <w:p w14:paraId="3F664FFA" w14:textId="5E7016CE" w:rsidR="005710A4" w:rsidRPr="007F4CC8" w:rsidRDefault="00880BCD" w:rsidP="00155C96">
            <w:pPr>
              <w:pStyle w:val="Applicationdirecte"/>
              <w:spacing w:before="0" w:after="240"/>
              <w:jc w:val="center"/>
            </w:pPr>
            <w:r>
              <w:t>a</w:t>
            </w:r>
          </w:p>
        </w:tc>
        <w:tc>
          <w:tcPr>
            <w:tcW w:w="7655" w:type="dxa"/>
            <w:vAlign w:val="center"/>
          </w:tcPr>
          <w:p w14:paraId="53170D40" w14:textId="63CB1E33" w:rsidR="005710A4" w:rsidRPr="00880BCD" w:rsidRDefault="005F3D92" w:rsidP="00155C96">
            <w:pPr>
              <w:spacing w:after="240"/>
              <w:jc w:val="both"/>
              <w:rPr>
                <w:rFonts w:ascii="Times New Roman" w:hAnsi="Times New Roman" w:cs="Times New Roman"/>
                <w:b/>
                <w:sz w:val="24"/>
              </w:rPr>
            </w:pPr>
            <w:r>
              <w:rPr>
                <w:rFonts w:ascii="Times New Roman" w:hAnsi="Times New Roman"/>
                <w:b/>
                <w:sz w:val="24"/>
              </w:rPr>
              <w:t>Vrijednost izloženosti</w:t>
            </w:r>
          </w:p>
          <w:p w14:paraId="36642B83" w14:textId="0F2A0712"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Vrijednost izloženosti (vidjeti definiciju iz stupca g obrasca EU CCR1)</w:t>
            </w:r>
            <w:r>
              <w:rPr>
                <w:rFonts w:ascii="Times New Roman" w:hAnsi="Times New Roman"/>
                <w:i/>
                <w:sz w:val="24"/>
              </w:rPr>
              <w:t>,</w:t>
            </w:r>
            <w:r>
              <w:rPr>
                <w:rFonts w:ascii="Times New Roman" w:hAnsi="Times New Roman"/>
                <w:sz w:val="24"/>
              </w:rPr>
              <w:t xml:space="preserve"> raščlanjena prema kategorijama izloženosti i navedenom rasponu PD-a kako je utvrđeno u dijelu trećem glavi II. poglavlju 3. CRR-a.</w:t>
            </w:r>
          </w:p>
        </w:tc>
      </w:tr>
      <w:tr w:rsidR="005710A4" w:rsidRPr="007F4CC8" w14:paraId="1938C786" w14:textId="77777777" w:rsidTr="00155C96">
        <w:trPr>
          <w:trHeight w:val="680"/>
        </w:trPr>
        <w:tc>
          <w:tcPr>
            <w:tcW w:w="1384" w:type="dxa"/>
          </w:tcPr>
          <w:p w14:paraId="06EF6FDC" w14:textId="53550B7C" w:rsidR="005710A4" w:rsidRPr="007F4CC8" w:rsidRDefault="00880BCD" w:rsidP="00155C96">
            <w:pPr>
              <w:pStyle w:val="Applicationdirecte"/>
              <w:spacing w:before="0" w:after="240"/>
              <w:jc w:val="center"/>
            </w:pPr>
            <w:r>
              <w:t>b</w:t>
            </w:r>
          </w:p>
        </w:tc>
        <w:tc>
          <w:tcPr>
            <w:tcW w:w="7655" w:type="dxa"/>
            <w:vAlign w:val="center"/>
          </w:tcPr>
          <w:p w14:paraId="2AA2F9E7" w14:textId="0211E49C"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Prosječni PD ponderiran visinom izloženosti (%)</w:t>
            </w:r>
          </w:p>
          <w:p w14:paraId="4959E87C" w14:textId="499CC732" w:rsidR="005710A4" w:rsidRPr="007F4CC8" w:rsidRDefault="005710A4" w:rsidP="00155C96">
            <w:pPr>
              <w:spacing w:after="240"/>
              <w:rPr>
                <w:rFonts w:ascii="Times New Roman" w:eastAsia="Times New Roman" w:hAnsi="Times New Roman" w:cs="Times New Roman"/>
                <w:sz w:val="24"/>
              </w:rPr>
            </w:pPr>
            <w:r>
              <w:rPr>
                <w:rFonts w:ascii="Times New Roman" w:hAnsi="Times New Roman"/>
                <w:sz w:val="24"/>
              </w:rPr>
              <w:t>Prosječni PD rejting kategorija pojedinih dužnika ponderiran njihovom odgovarajućom vrijednosti izloženosti iz stupca a</w:t>
            </w:r>
            <w:r>
              <w:t xml:space="preserve"> </w:t>
            </w:r>
            <w:r>
              <w:rPr>
                <w:rFonts w:ascii="Times New Roman" w:hAnsi="Times New Roman"/>
                <w:sz w:val="24"/>
              </w:rPr>
              <w:t>ovog obrasca.</w:t>
            </w:r>
          </w:p>
        </w:tc>
      </w:tr>
      <w:tr w:rsidR="005710A4" w:rsidRPr="007F4CC8" w14:paraId="1723FE64" w14:textId="77777777" w:rsidTr="00155C96">
        <w:trPr>
          <w:trHeight w:val="680"/>
        </w:trPr>
        <w:tc>
          <w:tcPr>
            <w:tcW w:w="1384" w:type="dxa"/>
          </w:tcPr>
          <w:p w14:paraId="324B176D" w14:textId="74955344" w:rsidR="005710A4" w:rsidRPr="007F4CC8" w:rsidRDefault="00880BCD" w:rsidP="00155C96">
            <w:pPr>
              <w:pStyle w:val="Applicationdirecte"/>
              <w:spacing w:before="0" w:after="240"/>
              <w:jc w:val="center"/>
            </w:pPr>
            <w:r>
              <w:t>c</w:t>
            </w:r>
          </w:p>
        </w:tc>
        <w:tc>
          <w:tcPr>
            <w:tcW w:w="7655" w:type="dxa"/>
            <w:vAlign w:val="center"/>
          </w:tcPr>
          <w:p w14:paraId="05CE8FD6" w14:textId="1C071BC0"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Broj dužnika</w:t>
            </w:r>
          </w:p>
          <w:p w14:paraId="6070B30C"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Broj pravnih subjekata ili dužnika raspoređenih u svaki razred fiksnog raspona PD-a, kojima je dodijeljen zasebni rejting, bez obzira na broj različitih odobrenih kredita ili izloženosti.</w:t>
            </w:r>
          </w:p>
          <w:p w14:paraId="5E91B6F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Ako se različite izloženosti prema istom dužniku zasebno ocjenjuju, računaju se zasebno. Do takve situacije može doći ako su pojedinačne izloženosti prema istom dužniku raspoređene u različite rejting kategorije u skladu s člankom 172. stavkom 1. točkom (e) drugom rečenicom CRR-a.</w:t>
            </w:r>
          </w:p>
        </w:tc>
      </w:tr>
      <w:tr w:rsidR="005710A4" w:rsidRPr="007F4CC8" w14:paraId="14B36B38" w14:textId="77777777" w:rsidTr="00155C96">
        <w:trPr>
          <w:trHeight w:val="680"/>
        </w:trPr>
        <w:tc>
          <w:tcPr>
            <w:tcW w:w="1384" w:type="dxa"/>
          </w:tcPr>
          <w:p w14:paraId="5AE2F6B4" w14:textId="11276E8C" w:rsidR="005710A4" w:rsidRPr="007F4CC8" w:rsidRDefault="00880BCD" w:rsidP="00155C96">
            <w:pPr>
              <w:pStyle w:val="Applicationdirecte"/>
              <w:spacing w:before="0" w:after="240"/>
              <w:jc w:val="center"/>
            </w:pPr>
            <w:r>
              <w:t>d</w:t>
            </w:r>
          </w:p>
        </w:tc>
        <w:tc>
          <w:tcPr>
            <w:tcW w:w="7655" w:type="dxa"/>
            <w:vAlign w:val="center"/>
          </w:tcPr>
          <w:p w14:paraId="501F2FF5" w14:textId="36D97957"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Prosječni LGD ponderiran visinom izloženosti (%)</w:t>
            </w:r>
          </w:p>
          <w:p w14:paraId="577F984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Prosječni LGD rejting kategorije dužnika ponderiran njihovom odgovarajućom vrijednosti izloženosti.</w:t>
            </w:r>
          </w:p>
          <w:p w14:paraId="5502BB0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Objavljeni LGD odgovara završnoj procjeni LGD-a koja je korištena u izračunu kapitalnih zahtjeva dobivenoj nakon uzimanja u obzir svih učinaka smanjenja kreditnog rizika i okolnosti recesije ako je relevantno. </w:t>
            </w:r>
          </w:p>
          <w:p w14:paraId="64CEF64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U slučaju izloženosti koje podliježu tretmanu dvostrukog statusa neispunjavanja obveza, LGD koji se objavljuje odgovara onom odabranom u skladu s člankom 161. stavkom 4. CRR-a.</w:t>
            </w:r>
          </w:p>
          <w:p w14:paraId="72CBEF9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Za izloženosti koje su u statusu neispunjavanja obveza u skladu s A-IRB pristupom, uzimaju se u obzir odredbe članka 181. stavka 1. točke (h). Objavljeni LGD odgovara procjeni LGD-a u statusu neispunjavanja obveza.</w:t>
            </w:r>
          </w:p>
        </w:tc>
      </w:tr>
      <w:tr w:rsidR="005710A4" w:rsidRPr="007F4CC8" w14:paraId="29696B4D" w14:textId="77777777" w:rsidTr="00155C96">
        <w:trPr>
          <w:trHeight w:val="680"/>
        </w:trPr>
        <w:tc>
          <w:tcPr>
            <w:tcW w:w="1384" w:type="dxa"/>
          </w:tcPr>
          <w:p w14:paraId="42250475" w14:textId="63062378" w:rsidR="005710A4" w:rsidRPr="007F4CC8" w:rsidRDefault="00880BCD" w:rsidP="00155C96">
            <w:pPr>
              <w:pStyle w:val="Applicationdirecte"/>
              <w:spacing w:before="0" w:after="240"/>
              <w:jc w:val="center"/>
            </w:pPr>
            <w:r>
              <w:t>e</w:t>
            </w:r>
          </w:p>
        </w:tc>
        <w:tc>
          <w:tcPr>
            <w:tcW w:w="7655" w:type="dxa"/>
            <w:vAlign w:val="center"/>
          </w:tcPr>
          <w:p w14:paraId="2128D06D" w14:textId="678AB02E"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Ponderirani prosjek dospijeća izloženosti (godine)</w:t>
            </w:r>
          </w:p>
          <w:p w14:paraId="35D0A9DC" w14:textId="452EAF0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Prosjek dužnikovih dospijeća u godinama ponderiran odgovarajućom vrijednosti izloženosti u stupcu a ovog obrasca.</w:t>
            </w:r>
          </w:p>
          <w:p w14:paraId="2111229B"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Objavljena vrijednost dospijeća utvrđuje se u skladu s člankom 162. CRR-a.</w:t>
            </w:r>
          </w:p>
        </w:tc>
      </w:tr>
      <w:tr w:rsidR="005710A4" w:rsidRPr="007F4CC8" w14:paraId="46988DB3" w14:textId="77777777" w:rsidTr="00155C96">
        <w:trPr>
          <w:trHeight w:val="680"/>
        </w:trPr>
        <w:tc>
          <w:tcPr>
            <w:tcW w:w="1384" w:type="dxa"/>
          </w:tcPr>
          <w:p w14:paraId="4C463E64" w14:textId="17AD2872" w:rsidR="005710A4" w:rsidRPr="007F4CC8" w:rsidRDefault="00880BCD" w:rsidP="00155C96">
            <w:pPr>
              <w:pStyle w:val="Applicationdirecte"/>
              <w:spacing w:before="0" w:after="240"/>
              <w:jc w:val="center"/>
            </w:pPr>
            <w:r>
              <w:lastRenderedPageBreak/>
              <w:t>f</w:t>
            </w:r>
          </w:p>
        </w:tc>
        <w:tc>
          <w:tcPr>
            <w:tcW w:w="7655" w:type="dxa"/>
            <w:vAlign w:val="center"/>
          </w:tcPr>
          <w:p w14:paraId="3DD45EDD" w14:textId="77777777"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RWEA</w:t>
            </w:r>
          </w:p>
          <w:p w14:paraId="17482AA4" w14:textId="77777777" w:rsidR="005710A4" w:rsidRPr="007F4CC8" w:rsidRDefault="005710A4" w:rsidP="00155C96">
            <w:pPr>
              <w:spacing w:after="240"/>
              <w:jc w:val="both"/>
              <w:rPr>
                <w:rFonts w:ascii="Times New Roman" w:eastAsia="Times New Roman" w:hAnsi="Times New Roman" w:cs="Times New Roman"/>
                <w:i/>
                <w:sz w:val="24"/>
              </w:rPr>
            </w:pPr>
            <w:r>
              <w:rPr>
                <w:rFonts w:ascii="Times New Roman" w:hAnsi="Times New Roman"/>
                <w:sz w:val="24"/>
              </w:rPr>
              <w:t>Iznosi izloženosti ponderirani rizikom koji se izračunavaju u skladu sa zahtjevima iz dijela trećeg glave II. poglavlja 3. CRR-a; za izloženosti prema središnjim državama i središnjim bankama, institucijama i trgovačkim društvima, iznos izloženosti ponderiran rizikom koji se izračunava u skladu s člankom 153. stavcima od 1. do 4. CRR-a; uzimaju se u obzir pomoćni faktori za MSP-ove i infrastrukturu utvrđeni u skladu s člankom 501. CRR-a i člankom 501.a CRR-a; za izloženosti na osnovi vlasničkih ulaganja u skladu s PD/LGD pristupom, iznos izloženosti ponderiran rizikom koji se izračunava u skladu s člankom 155. stavkom 3. CRR-a.</w:t>
            </w:r>
          </w:p>
        </w:tc>
      </w:tr>
      <w:tr w:rsidR="005710A4" w:rsidRPr="007F4CC8" w14:paraId="35B4FE02" w14:textId="77777777" w:rsidTr="00155C96">
        <w:trPr>
          <w:trHeight w:val="680"/>
        </w:trPr>
        <w:tc>
          <w:tcPr>
            <w:tcW w:w="1384" w:type="dxa"/>
          </w:tcPr>
          <w:p w14:paraId="6580E7BD" w14:textId="48ADB11C" w:rsidR="005710A4" w:rsidRPr="007F4CC8" w:rsidRDefault="00880BCD" w:rsidP="00155C96">
            <w:pPr>
              <w:pStyle w:val="Applicationdirecte"/>
              <w:spacing w:before="0" w:after="240"/>
              <w:jc w:val="center"/>
            </w:pPr>
            <w:r>
              <w:t>g</w:t>
            </w:r>
          </w:p>
        </w:tc>
        <w:tc>
          <w:tcPr>
            <w:tcW w:w="7655" w:type="dxa"/>
            <w:vAlign w:val="center"/>
          </w:tcPr>
          <w:p w14:paraId="1D472417" w14:textId="62FF1C48"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Gustoća iznosa izloženosti ponderiranih rizikom</w:t>
            </w:r>
          </w:p>
          <w:p w14:paraId="4D404572" w14:textId="63224EFC"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Omjer ukupnih iznosa izloženosti ponderiranih rizikom (u stupcu f ovog obrasca) i vrijednosti izloženosti (u stupcu a ovog obrasca).</w:t>
            </w:r>
          </w:p>
        </w:tc>
      </w:tr>
    </w:tbl>
    <w:p w14:paraId="7B815329" w14:textId="77777777" w:rsidR="005710A4" w:rsidRPr="006944D5" w:rsidRDefault="005710A4" w:rsidP="005710A4">
      <w:pPr>
        <w:pStyle w:val="Titlelevel2"/>
        <w:spacing w:before="0"/>
        <w:rPr>
          <w:rFonts w:ascii="Times New Roman" w:hAnsi="Times New Roman" w:cs="Times New Roman"/>
          <w:color w:val="auto"/>
          <w:sz w:val="24"/>
        </w:rPr>
      </w:pPr>
    </w:p>
    <w:p w14:paraId="2B605431" w14:textId="1351DAFA" w:rsidR="005710A4" w:rsidRPr="007F4CC8" w:rsidRDefault="00CD362D" w:rsidP="005710A4">
      <w:pPr>
        <w:pStyle w:val="Titlelevel2"/>
        <w:spacing w:before="0"/>
        <w:rPr>
          <w:rFonts w:ascii="Times New Roman" w:hAnsi="Times New Roman" w:cs="Times New Roman"/>
          <w:color w:val="auto"/>
          <w:sz w:val="24"/>
        </w:rPr>
      </w:pPr>
      <w:r>
        <w:rPr>
          <w:rFonts w:ascii="Times New Roman" w:hAnsi="Times New Roman"/>
          <w:b/>
          <w:color w:val="auto"/>
          <w:sz w:val="24"/>
        </w:rPr>
        <w:t xml:space="preserve">Obrazac EU CCR5 – Sastav kolaterala za izloženosti kreditnom riziku druge ugovorne strane </w:t>
      </w:r>
      <w:r>
        <w:rPr>
          <w:rFonts w:ascii="Times New Roman" w:hAnsi="Times New Roman"/>
          <w:color w:val="auto"/>
          <w:sz w:val="24"/>
        </w:rPr>
        <w:t>Fiksni stupci</w:t>
      </w:r>
    </w:p>
    <w:p w14:paraId="298A9EDD" w14:textId="71C3C36C"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Institucije objavljuju informacije iz članka 439. točke (e) CRR-a prateći upute u nastavku ovog Priloga za popunjavanje obrasca EU CCR5 iz Priloga XXV. ovoj Provedbenoj uredbi.</w:t>
      </w:r>
    </w:p>
    <w:p w14:paraId="45FD4D91"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U ovom se obrascu ispunjavaju fer vrijednosti kolaterala (danog ili primljenog) koji se koristi u izloženostima kreditnom riziku drugih ugovornih strana povezanih s transakcijama izvedenicama ili transakcijama financiranja vrijednosnim papirima, neovisno o tome jesu li transakcije poravnane preko središnje druge ugovorne strane i je li kolateral dan središnjoj drugoj ugovornoj strani. </w:t>
      </w:r>
    </w:p>
    <w:p w14:paraId="21957FE1"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Ako središnja banka države članice pruži likvidnosnu pomoć u obliku transakcija razmjene kolaterala, nadležno tijelo može izuzeti institucije od dostavljanja informacija iz ovog obrasca ako smatra da bi se objavom tih informacija moglo otkriti da je pružena </w:t>
      </w:r>
      <w:proofErr w:type="spellStart"/>
      <w:r>
        <w:rPr>
          <w:rFonts w:ascii="Times New Roman" w:hAnsi="Times New Roman"/>
          <w:bCs w:val="0"/>
          <w:color w:val="000000"/>
          <w:sz w:val="24"/>
        </w:rPr>
        <w:t>likvidnosna</w:t>
      </w:r>
      <w:proofErr w:type="spellEnd"/>
      <w:r>
        <w:rPr>
          <w:rFonts w:ascii="Times New Roman" w:hAnsi="Times New Roman"/>
          <w:bCs w:val="0"/>
          <w:color w:val="000000"/>
          <w:sz w:val="24"/>
        </w:rPr>
        <w:t xml:space="preserve"> pomoć u izvanrednim situacijama. Nadležno tijelo u te svrhe utvrđuje primjerene pragove i objektivne kriterije.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6127D56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7AA29"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Pravna osnova i upute</w:t>
            </w:r>
          </w:p>
        </w:tc>
      </w:tr>
      <w:tr w:rsidR="005710A4" w:rsidRPr="007F4CC8" w14:paraId="7207C120" w14:textId="77777777" w:rsidTr="00155C96">
        <w:trPr>
          <w:trHeight w:val="238"/>
        </w:trPr>
        <w:tc>
          <w:tcPr>
            <w:tcW w:w="1384" w:type="dxa"/>
            <w:shd w:val="clear" w:color="auto" w:fill="D9D9D9" w:themeFill="background1" w:themeFillShade="D9"/>
          </w:tcPr>
          <w:p w14:paraId="50331A59"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5386B62D"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Objašnjenje</w:t>
            </w:r>
          </w:p>
        </w:tc>
      </w:tr>
      <w:tr w:rsidR="005710A4" w:rsidRPr="007F4CC8" w14:paraId="78A82FC1" w14:textId="77777777" w:rsidTr="00155C96">
        <w:trPr>
          <w:trHeight w:val="680"/>
        </w:trPr>
        <w:tc>
          <w:tcPr>
            <w:tcW w:w="1384" w:type="dxa"/>
          </w:tcPr>
          <w:p w14:paraId="2E88CE3B" w14:textId="7340DC46" w:rsidR="005710A4" w:rsidRPr="007F4CC8" w:rsidRDefault="00F40A8B" w:rsidP="00F40A8B">
            <w:pPr>
              <w:pStyle w:val="Applicationdirecte"/>
              <w:spacing w:before="0" w:after="240"/>
              <w:jc w:val="center"/>
            </w:pPr>
            <w:r>
              <w:t>1 – 8</w:t>
            </w:r>
          </w:p>
        </w:tc>
        <w:tc>
          <w:tcPr>
            <w:tcW w:w="7655" w:type="dxa"/>
            <w:vAlign w:val="center"/>
          </w:tcPr>
          <w:p w14:paraId="515C6C99" w14:textId="77777777" w:rsidR="005710A4" w:rsidRPr="00BC5D5C"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Vrsta kolaterala</w:t>
            </w:r>
          </w:p>
          <w:p w14:paraId="61BF0824"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Raščlamba prema vrsti kolaterala</w:t>
            </w:r>
          </w:p>
        </w:tc>
      </w:tr>
      <w:tr w:rsidR="005710A4" w:rsidRPr="007F4CC8" w14:paraId="2CBB8E1E" w14:textId="77777777" w:rsidTr="00155C96">
        <w:trPr>
          <w:trHeight w:val="680"/>
        </w:trPr>
        <w:tc>
          <w:tcPr>
            <w:tcW w:w="1384" w:type="dxa"/>
          </w:tcPr>
          <w:p w14:paraId="673D07C8" w14:textId="65FFDC33" w:rsidR="005710A4" w:rsidRPr="007F4CC8" w:rsidRDefault="00F40A8B" w:rsidP="00F40A8B">
            <w:pPr>
              <w:pStyle w:val="Applicationdirecte"/>
              <w:spacing w:before="0" w:after="240"/>
              <w:jc w:val="center"/>
            </w:pPr>
            <w:r>
              <w:t>9</w:t>
            </w:r>
          </w:p>
        </w:tc>
        <w:tc>
          <w:tcPr>
            <w:tcW w:w="7655" w:type="dxa"/>
          </w:tcPr>
          <w:p w14:paraId="2B60697C" w14:textId="77777777" w:rsidR="005710A4" w:rsidRPr="00BC5D5C" w:rsidRDefault="005710A4" w:rsidP="00155C96">
            <w:pPr>
              <w:spacing w:after="240"/>
              <w:rPr>
                <w:rFonts w:ascii="Times New Roman" w:eastAsia="Times New Roman" w:hAnsi="Times New Roman" w:cs="Times New Roman"/>
                <w:b/>
                <w:sz w:val="24"/>
              </w:rPr>
            </w:pPr>
            <w:r>
              <w:rPr>
                <w:rFonts w:ascii="Times New Roman" w:hAnsi="Times New Roman"/>
                <w:b/>
                <w:sz w:val="24"/>
              </w:rPr>
              <w:t>Ukupno</w:t>
            </w:r>
          </w:p>
        </w:tc>
      </w:tr>
      <w:tr w:rsidR="005710A4" w:rsidRPr="007F4CC8" w14:paraId="4B8557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7E719" w14:textId="77777777" w:rsidR="005710A4" w:rsidRPr="007F4CC8" w:rsidRDefault="005710A4" w:rsidP="00F40A8B">
            <w:pPr>
              <w:pStyle w:val="Applicationdirecte"/>
              <w:spacing w:before="0" w:after="240"/>
              <w:jc w:val="center"/>
              <w:rPr>
                <w:b/>
              </w:rPr>
            </w:pPr>
            <w:r>
              <w:rPr>
                <w:b/>
              </w:rPr>
              <w:lastRenderedPageBreak/>
              <w:t>Slovna oznaka stupca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796787"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Objašnjenje</w:t>
            </w:r>
          </w:p>
        </w:tc>
      </w:tr>
      <w:tr w:rsidR="005710A4" w:rsidRPr="007F4CC8" w14:paraId="20BF58F3" w14:textId="77777777" w:rsidTr="00155C96">
        <w:trPr>
          <w:trHeight w:val="416"/>
        </w:trPr>
        <w:tc>
          <w:tcPr>
            <w:tcW w:w="1384" w:type="dxa"/>
          </w:tcPr>
          <w:p w14:paraId="5577989C" w14:textId="6099689D" w:rsidR="005710A4" w:rsidRPr="007F4CC8" w:rsidRDefault="00F40A8B" w:rsidP="00F40A8B">
            <w:pPr>
              <w:pStyle w:val="Applicationdirecte"/>
              <w:spacing w:before="0" w:after="240"/>
              <w:jc w:val="center"/>
            </w:pPr>
            <w:r>
              <w:t>a, c, e i g</w:t>
            </w:r>
          </w:p>
        </w:tc>
        <w:tc>
          <w:tcPr>
            <w:tcW w:w="7655" w:type="dxa"/>
            <w:vAlign w:val="center"/>
          </w:tcPr>
          <w:p w14:paraId="6826725C" w14:textId="31B3CC1A" w:rsidR="005710A4" w:rsidRPr="00BC5D5C" w:rsidRDefault="005710A4" w:rsidP="00155C96">
            <w:pPr>
              <w:spacing w:after="240"/>
              <w:jc w:val="both"/>
              <w:rPr>
                <w:rFonts w:ascii="Times New Roman" w:eastAsia="Calibri" w:hAnsi="Times New Roman" w:cs="Times New Roman"/>
                <w:b/>
                <w:sz w:val="24"/>
              </w:rPr>
            </w:pPr>
            <w:r>
              <w:rPr>
                <w:rFonts w:ascii="Times New Roman" w:hAnsi="Times New Roman"/>
                <w:b/>
                <w:sz w:val="24"/>
              </w:rPr>
              <w:t>Odvojen</w:t>
            </w:r>
          </w:p>
          <w:p w14:paraId="25FE1D86"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Kolateral koji ne ulazi u stečajnu masu kako je definirano u članku 300. stavku 1. CRR-a.</w:t>
            </w:r>
          </w:p>
        </w:tc>
      </w:tr>
      <w:tr w:rsidR="005710A4" w:rsidRPr="007F4CC8" w14:paraId="008426BC" w14:textId="77777777" w:rsidTr="00155C96">
        <w:trPr>
          <w:trHeight w:val="680"/>
        </w:trPr>
        <w:tc>
          <w:tcPr>
            <w:tcW w:w="1384" w:type="dxa"/>
          </w:tcPr>
          <w:p w14:paraId="67C42FC0" w14:textId="12FEBC10" w:rsidR="005710A4" w:rsidRPr="007F4CC8" w:rsidRDefault="00F40A8B" w:rsidP="00F40A8B">
            <w:pPr>
              <w:pStyle w:val="Applicationdirecte"/>
              <w:spacing w:before="0" w:after="240"/>
              <w:jc w:val="center"/>
            </w:pPr>
            <w:r>
              <w:t>b, d, f i h</w:t>
            </w:r>
          </w:p>
        </w:tc>
        <w:tc>
          <w:tcPr>
            <w:tcW w:w="7655" w:type="dxa"/>
            <w:vAlign w:val="center"/>
          </w:tcPr>
          <w:p w14:paraId="6C68D1E8" w14:textId="11FA546F" w:rsidR="005710A4" w:rsidRPr="00BC5D5C" w:rsidRDefault="005710A4" w:rsidP="00155C96">
            <w:pPr>
              <w:spacing w:after="240"/>
              <w:jc w:val="both"/>
              <w:rPr>
                <w:rFonts w:ascii="Times New Roman" w:eastAsia="Calibri" w:hAnsi="Times New Roman" w:cs="Times New Roman"/>
                <w:b/>
                <w:sz w:val="24"/>
              </w:rPr>
            </w:pPr>
            <w:r>
              <w:rPr>
                <w:rFonts w:ascii="Times New Roman" w:hAnsi="Times New Roman"/>
                <w:b/>
                <w:sz w:val="24"/>
              </w:rPr>
              <w:t>Neodvojen</w:t>
            </w:r>
          </w:p>
          <w:p w14:paraId="0C49A67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Kolateral koji ulazi u stečajnu masu kako je definirano u članku 300. stavku 1. CRR-a.</w:t>
            </w:r>
          </w:p>
        </w:tc>
      </w:tr>
      <w:tr w:rsidR="005710A4" w:rsidRPr="007F4CC8" w14:paraId="6933B5C4" w14:textId="77777777" w:rsidTr="00155C96">
        <w:trPr>
          <w:trHeight w:val="680"/>
        </w:trPr>
        <w:tc>
          <w:tcPr>
            <w:tcW w:w="1384" w:type="dxa"/>
          </w:tcPr>
          <w:p w14:paraId="68CEA54E" w14:textId="3DBFC655" w:rsidR="005710A4" w:rsidRPr="007F4CC8" w:rsidRDefault="00F40A8B" w:rsidP="00F40A8B">
            <w:pPr>
              <w:pStyle w:val="Applicationdirecte"/>
              <w:spacing w:before="0" w:after="240"/>
              <w:jc w:val="center"/>
            </w:pPr>
            <w:r>
              <w:t>a do d</w:t>
            </w:r>
          </w:p>
        </w:tc>
        <w:tc>
          <w:tcPr>
            <w:tcW w:w="7655" w:type="dxa"/>
            <w:vAlign w:val="center"/>
          </w:tcPr>
          <w:p w14:paraId="5AA88537" w14:textId="1DC2B88E" w:rsidR="005710A4" w:rsidRPr="00BC5D5C" w:rsidRDefault="005710A4" w:rsidP="00155C96">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Kolateral korišten u transakcijama izvedenicama</w:t>
            </w:r>
          </w:p>
          <w:p w14:paraId="0E0B7928" w14:textId="77777777" w:rsidR="005710A4" w:rsidRPr="007F4CC8" w:rsidRDefault="005710A4" w:rsidP="00155C96">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Kolateral (uključujući inicijalni iznos nadoknade i varijacijski iznos nadoknade) korišten u izloženostima kreditnom riziku druge ugovorne strane u vezi s bilo kojim izvedenim instrumentom iz Priloga II. CRR-a ili transakcijom s dugim rokom namire iz članka 271. točke 2. CRR-a koja se ne smatra transakcijom financiranja vrijednosnim papirima.</w:t>
            </w:r>
          </w:p>
        </w:tc>
      </w:tr>
      <w:tr w:rsidR="005710A4" w:rsidRPr="007F4CC8" w14:paraId="76BCF0C3" w14:textId="77777777" w:rsidTr="00155C96">
        <w:trPr>
          <w:trHeight w:val="680"/>
        </w:trPr>
        <w:tc>
          <w:tcPr>
            <w:tcW w:w="1384" w:type="dxa"/>
          </w:tcPr>
          <w:p w14:paraId="7FD10FEB" w14:textId="031E578F" w:rsidR="005710A4" w:rsidRPr="007F4CC8" w:rsidRDefault="00F40A8B" w:rsidP="00F40A8B">
            <w:pPr>
              <w:pStyle w:val="Applicationdirecte"/>
              <w:spacing w:before="0" w:after="240"/>
              <w:jc w:val="center"/>
            </w:pPr>
            <w:r>
              <w:t>e do h</w:t>
            </w:r>
          </w:p>
        </w:tc>
        <w:tc>
          <w:tcPr>
            <w:tcW w:w="7655" w:type="dxa"/>
            <w:vAlign w:val="center"/>
          </w:tcPr>
          <w:p w14:paraId="125CA3E8" w14:textId="13B92637" w:rsidR="005710A4" w:rsidRPr="00BC5D5C" w:rsidRDefault="005710A4" w:rsidP="00155C96">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Kolateral korišten u transakcijama financiranja vrijednosnim papirima</w:t>
            </w:r>
          </w:p>
          <w:p w14:paraId="0708C6BD" w14:textId="77777777" w:rsidR="005710A4" w:rsidRPr="007F4CC8" w:rsidRDefault="005710A4" w:rsidP="00155C96">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Kolateral (uključujući kolateral s inicijalnim iznosom nadoknade i varijacijskim iznosom nadoknade kao i kolateral koji se pojavljuje kao vrijednosni papir u transakciji financiranja vrijednosnim papirima) korišten u izloženostima kreditnom riziku druge ugovorne strane u vezi s bilo kojom transakcijom financiranja vrijednosnim papirima ili transakcijom s dugim rokom namire koja se ne smatra izvedenicom.</w:t>
            </w:r>
          </w:p>
        </w:tc>
      </w:tr>
    </w:tbl>
    <w:p w14:paraId="496D5A35" w14:textId="77777777" w:rsidR="005710A4" w:rsidRPr="006944D5" w:rsidRDefault="005710A4" w:rsidP="005710A4">
      <w:pPr>
        <w:pStyle w:val="Titlelevel2"/>
        <w:spacing w:before="0"/>
        <w:rPr>
          <w:rFonts w:ascii="Times New Roman" w:hAnsi="Times New Roman" w:cs="Times New Roman"/>
          <w:color w:val="auto"/>
          <w:sz w:val="24"/>
        </w:rPr>
      </w:pPr>
    </w:p>
    <w:p w14:paraId="032A765A" w14:textId="4B79948B" w:rsidR="005710A4" w:rsidRPr="00DD0C4D" w:rsidRDefault="00CD362D" w:rsidP="005710A4">
      <w:pPr>
        <w:pStyle w:val="Titlelevel2"/>
        <w:spacing w:before="0"/>
        <w:rPr>
          <w:rFonts w:ascii="Times New Roman" w:hAnsi="Times New Roman" w:cs="Times New Roman"/>
          <w:color w:val="auto"/>
          <w:sz w:val="24"/>
        </w:rPr>
      </w:pPr>
      <w:r>
        <w:rPr>
          <w:rFonts w:ascii="Times New Roman" w:hAnsi="Times New Roman"/>
          <w:b/>
          <w:color w:val="auto"/>
          <w:sz w:val="24"/>
        </w:rPr>
        <w:t xml:space="preserve">Obrazac EU CCR6 – Izloženosti kreditnih izvedenica: </w:t>
      </w:r>
      <w:r>
        <w:rPr>
          <w:rFonts w:ascii="Times New Roman" w:hAnsi="Times New Roman"/>
          <w:color w:val="auto"/>
          <w:sz w:val="24"/>
        </w:rPr>
        <w:t>Fiksan format</w:t>
      </w:r>
    </w:p>
    <w:p w14:paraId="0F0B1F09" w14:textId="27D41708"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Institucije objavljuju informacije iz članka 439. točke (j) CRR-a prateći upute u nastavku ovog Priloga za popunjavanje obrasca EU CCR6 iz Priloga XXV. ovoj Provedbenoj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29B051D3"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24290"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Pravna osnova i upute</w:t>
            </w:r>
          </w:p>
        </w:tc>
      </w:tr>
      <w:tr w:rsidR="005710A4" w:rsidRPr="007F4CC8" w14:paraId="4D4D6003" w14:textId="77777777" w:rsidTr="00155C96">
        <w:trPr>
          <w:trHeight w:val="238"/>
        </w:trPr>
        <w:tc>
          <w:tcPr>
            <w:tcW w:w="1384" w:type="dxa"/>
            <w:shd w:val="clear" w:color="auto" w:fill="D9D9D9" w:themeFill="background1" w:themeFillShade="D9"/>
          </w:tcPr>
          <w:p w14:paraId="6C3FD860"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685CDB13"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Objašnjenje</w:t>
            </w:r>
          </w:p>
        </w:tc>
      </w:tr>
      <w:tr w:rsidR="005710A4" w:rsidRPr="007F4CC8" w14:paraId="2E6E4DE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3373" w14:textId="57BAC874"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1 – 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E78CE1" w14:textId="77777777" w:rsidR="005710A4" w:rsidRPr="00BC5D5C"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 xml:space="preserve">Zamišljeni iznosi </w:t>
            </w:r>
          </w:p>
          <w:p w14:paraId="0014863C" w14:textId="77777777" w:rsidR="005710A4" w:rsidRPr="007F4CC8" w:rsidRDefault="005710A4" w:rsidP="00155C96">
            <w:pPr>
              <w:autoSpaceDE w:val="0"/>
              <w:autoSpaceDN w:val="0"/>
              <w:adjustRightInd w:val="0"/>
              <w:spacing w:after="240"/>
              <w:rPr>
                <w:rFonts w:ascii="Times New Roman" w:hAnsi="Times New Roman" w:cs="Times New Roman"/>
                <w:sz w:val="24"/>
              </w:rPr>
            </w:pPr>
            <w:r>
              <w:rPr>
                <w:rFonts w:ascii="Times New Roman" w:hAnsi="Times New Roman"/>
                <w:sz w:val="24"/>
              </w:rPr>
              <w:t xml:space="preserve">Zbroj apsolutnih zamišljenih iznosa izvedenica prije </w:t>
            </w:r>
            <w:proofErr w:type="spellStart"/>
            <w:r>
              <w:rPr>
                <w:rFonts w:ascii="Times New Roman" w:hAnsi="Times New Roman"/>
                <w:sz w:val="24"/>
              </w:rPr>
              <w:t>netiranja</w:t>
            </w:r>
            <w:proofErr w:type="spellEnd"/>
            <w:r>
              <w:rPr>
                <w:rFonts w:ascii="Times New Roman" w:hAnsi="Times New Roman"/>
                <w:sz w:val="24"/>
              </w:rPr>
              <w:t>, raščlanjen po vrsti proizvoda</w:t>
            </w:r>
          </w:p>
        </w:tc>
      </w:tr>
      <w:tr w:rsidR="005710A4" w:rsidRPr="007F4CC8" w14:paraId="70D15B5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AEF01B" w14:textId="510DA849"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7 – 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3E1FD6" w14:textId="77777777" w:rsidR="005710A4" w:rsidRPr="00BC5D5C"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Fer vrijednosti</w:t>
            </w:r>
          </w:p>
          <w:p w14:paraId="4C584163" w14:textId="77777777" w:rsidR="005710A4" w:rsidRPr="007F4CC8" w:rsidRDefault="005710A4" w:rsidP="00155C96">
            <w:pPr>
              <w:autoSpaceDE w:val="0"/>
              <w:autoSpaceDN w:val="0"/>
              <w:adjustRightInd w:val="0"/>
              <w:spacing w:after="240"/>
              <w:rPr>
                <w:rFonts w:ascii="Times New Roman" w:hAnsi="Times New Roman" w:cs="Times New Roman"/>
                <w:i/>
                <w:sz w:val="24"/>
              </w:rPr>
            </w:pPr>
            <w:r>
              <w:rPr>
                <w:rFonts w:ascii="Times New Roman" w:hAnsi="Times New Roman"/>
                <w:sz w:val="24"/>
              </w:rPr>
              <w:lastRenderedPageBreak/>
              <w:t>Fer vrijednosti raščlanjene po imovini (pozitivne fer vrijednosti) i obvezama (negativne fer vrijednosti)</w:t>
            </w:r>
          </w:p>
        </w:tc>
      </w:tr>
      <w:tr w:rsidR="005710A4" w:rsidRPr="007F4CC8" w14:paraId="03E372F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9F36C" w14:textId="77777777" w:rsidR="005710A4" w:rsidRPr="007F4CC8" w:rsidRDefault="005710A4" w:rsidP="00F40A8B">
            <w:pPr>
              <w:pStyle w:val="Applicationdirecte"/>
              <w:spacing w:before="0" w:after="240"/>
              <w:jc w:val="center"/>
              <w:rPr>
                <w:b/>
              </w:rPr>
            </w:pPr>
            <w:r>
              <w:rPr>
                <w:b/>
              </w:rPr>
              <w:lastRenderedPageBreak/>
              <w:t>Slovna oznaka stupca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EC2F67"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Objašnjenje</w:t>
            </w:r>
          </w:p>
        </w:tc>
      </w:tr>
      <w:tr w:rsidR="005710A4" w:rsidRPr="007F4CC8" w14:paraId="78B017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BE1A76" w14:textId="2D466C3C"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a –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A0B90" w14:textId="77777777" w:rsidR="005710A4" w:rsidRPr="00BC5D5C" w:rsidRDefault="005710A4" w:rsidP="00155C96">
            <w:pPr>
              <w:autoSpaceDE w:val="0"/>
              <w:autoSpaceDN w:val="0"/>
              <w:adjustRightInd w:val="0"/>
              <w:spacing w:after="240"/>
              <w:rPr>
                <w:rFonts w:ascii="Times New Roman" w:hAnsi="Times New Roman" w:cs="Times New Roman"/>
                <w:b/>
                <w:color w:val="000000"/>
                <w:sz w:val="24"/>
              </w:rPr>
            </w:pPr>
            <w:r>
              <w:rPr>
                <w:rFonts w:ascii="Times New Roman" w:hAnsi="Times New Roman"/>
                <w:b/>
                <w:color w:val="000000"/>
                <w:sz w:val="24"/>
              </w:rPr>
              <w:t>Zaštita kreditnim izvedenicama</w:t>
            </w:r>
          </w:p>
          <w:p w14:paraId="136A8655" w14:textId="77777777" w:rsidR="005710A4" w:rsidRPr="007F4CC8" w:rsidRDefault="005710A4" w:rsidP="00155C96">
            <w:pPr>
              <w:autoSpaceDE w:val="0"/>
              <w:autoSpaceDN w:val="0"/>
              <w:adjustRightInd w:val="0"/>
              <w:spacing w:after="240"/>
              <w:jc w:val="both"/>
              <w:rPr>
                <w:rFonts w:ascii="Times New Roman" w:hAnsi="Times New Roman" w:cs="Times New Roman"/>
                <w:b/>
                <w:sz w:val="24"/>
              </w:rPr>
            </w:pPr>
            <w:r>
              <w:rPr>
                <w:rFonts w:ascii="Times New Roman" w:hAnsi="Times New Roman"/>
                <w:color w:val="000000"/>
                <w:sz w:val="24"/>
              </w:rPr>
              <w:t>Kupljena ili prodana zaštita kreditnim izvedenicama</w:t>
            </w:r>
            <w:r>
              <w:rPr>
                <w:rFonts w:ascii="Times New Roman" w:hAnsi="Times New Roman"/>
                <w:sz w:val="24"/>
              </w:rPr>
              <w:t xml:space="preserve"> u skladu s dijelom trećim glavom II. poglavljem 6. CRR-a.</w:t>
            </w:r>
          </w:p>
        </w:tc>
      </w:tr>
    </w:tbl>
    <w:p w14:paraId="167E06C3" w14:textId="77777777" w:rsidR="005710A4" w:rsidRPr="007F4CC8" w:rsidRDefault="005710A4" w:rsidP="005710A4">
      <w:pPr>
        <w:pStyle w:val="Titlelevel2"/>
        <w:spacing w:before="0"/>
        <w:rPr>
          <w:rFonts w:ascii="Times New Roman" w:hAnsi="Times New Roman" w:cs="Times New Roman"/>
          <w:color w:val="auto"/>
          <w:sz w:val="24"/>
          <w:lang w:val="en-GB"/>
        </w:rPr>
      </w:pPr>
    </w:p>
    <w:p w14:paraId="7BD61990" w14:textId="28A11EAD" w:rsidR="005710A4" w:rsidRPr="007F4CC8" w:rsidRDefault="00CD362D" w:rsidP="005710A4">
      <w:pPr>
        <w:pStyle w:val="Titlelevel2"/>
        <w:spacing w:before="0"/>
        <w:rPr>
          <w:rFonts w:ascii="Times New Roman" w:hAnsi="Times New Roman" w:cs="Times New Roman"/>
          <w:b/>
          <w:color w:val="auto"/>
          <w:sz w:val="24"/>
        </w:rPr>
      </w:pPr>
      <w:r>
        <w:rPr>
          <w:rFonts w:ascii="Times New Roman" w:hAnsi="Times New Roman"/>
          <w:b/>
          <w:color w:val="auto"/>
          <w:sz w:val="24"/>
        </w:rPr>
        <w:t>Obrazac EU CCR7 – Izvješća o tokovima iznosa izloženosti ponderiranih rizikom za izloženosti kreditnom riziku druge ugovorne strane u skladu s metodom internog modela</w:t>
      </w:r>
      <w:r w:rsidR="00214F5B">
        <w:rPr>
          <w:rFonts w:ascii="Times New Roman" w:hAnsi="Times New Roman"/>
          <w:b/>
          <w:color w:val="auto"/>
          <w:sz w:val="24"/>
        </w:rPr>
        <w:t>:</w:t>
      </w:r>
      <w:r>
        <w:rPr>
          <w:rFonts w:ascii="Times New Roman" w:hAnsi="Times New Roman"/>
          <w:b/>
          <w:color w:val="auto"/>
          <w:sz w:val="24"/>
        </w:rPr>
        <w:t xml:space="preserve"> </w:t>
      </w:r>
      <w:r>
        <w:rPr>
          <w:rFonts w:ascii="Times New Roman" w:hAnsi="Times New Roman"/>
          <w:color w:val="auto"/>
          <w:sz w:val="24"/>
        </w:rPr>
        <w:t>Fiksan format.</w:t>
      </w:r>
    </w:p>
    <w:p w14:paraId="5F9FA864" w14:textId="08490FE8"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Institucije objavljuju informacije iz članka 438. točke (h) CRR-a prateći upute u nastavku ovog Priloga za popunjavanje obrasca EU CCR7 iz Priloga XXV. ovoj Provedbenoj uredbi.</w:t>
      </w:r>
    </w:p>
    <w:p w14:paraId="0B0BE092"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Institucije koje primjenjuju metodu internog modela za izračun iznosa izloženosti ponderiranih rizikom za sve ili dio svojih izloženosti kreditnom riziku druge ugovorne strane u skladu s dijelom trećim glavom II. poglavljem 6. CRR-a, neovisno o pristupu kreditnom riziku druge ugovorne strane koji je se koristi za utvrđivanje odgovarajućih pondera rizika objavljuju izvješće o tokovima u kojem objašnjavaju iznose izloženosti ponderirane rizikom izvedenica i transakcija financiranja vrijednosnim papirima u skladu s metodom internog modela koji se razlikuju po glavnim razlozima i temelje na razumnim procjenama.</w:t>
      </w:r>
    </w:p>
    <w:p w14:paraId="61B2E527" w14:textId="6F44CC1A"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bCs w:val="0"/>
          <w:color w:val="auto"/>
          <w:sz w:val="24"/>
        </w:rPr>
        <w:t>Ovaj obrazac ne uključuje iznose izloženosti ponderirane rizikom za CVA rizik (dio treći glava VI.) i izloženosti prema središnjoj drugoj ugovornoj strani (dio treći glava II. poglavlje 6. odjeljak 9. CRR-a).</w:t>
      </w:r>
    </w:p>
    <w:p w14:paraId="270DF823" w14:textId="73188413"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Institucije objavljuju tokove RWEA kao promjene između iznosa izloženosti ponderiranih rizikom na kraju referentnog razdoblja objave (kako je navedeno u retku 9 ovog obrasca) i iznosa izloženosti ponderiranih rizikom na kraju prethodnog referentnog razdoblja objave (kako je navedeno u nastavku u retku 1 ovog obrasca;</w:t>
      </w:r>
      <w:r>
        <w:rPr>
          <w:rFonts w:ascii="Times New Roman" w:hAnsi="Times New Roman"/>
          <w:bCs w:val="0"/>
          <w:color w:val="auto"/>
          <w:sz w:val="24"/>
        </w:rPr>
        <w:t xml:space="preserve"> u slučaju tromjesečnog izvješćivanja, na kraju tromjesečja prije tromjesečja referentnog razdoblja objave). Institucije mogu dopuniti svoje objave iz stupa 3. objavom istih informacija za tri prethodna tromjesečja.</w:t>
      </w:r>
    </w:p>
    <w:p w14:paraId="5DF530ED" w14:textId="2FCC1B8B" w:rsidR="005710A4" w:rsidRPr="007F4CC8" w:rsidRDefault="005710A4" w:rsidP="005710A4">
      <w:pPr>
        <w:pStyle w:val="Titlelevel2"/>
        <w:numPr>
          <w:ilvl w:val="0"/>
          <w:numId w:val="56"/>
        </w:numPr>
        <w:spacing w:before="0"/>
        <w:jc w:val="both"/>
        <w:rPr>
          <w:rFonts w:ascii="Times New Roman" w:hAnsi="Times New Roman"/>
          <w:color w:val="auto"/>
          <w:sz w:val="24"/>
        </w:rPr>
      </w:pPr>
      <w:r>
        <w:rPr>
          <w:rFonts w:ascii="Times New Roman" w:hAnsi="Times New Roman"/>
          <w:color w:val="auto"/>
          <w:sz w:val="24"/>
        </w:rPr>
        <w:t>Institucije u opisu koji prilažu uz obrazac objašnjavaju brojke u retku 8 ovog obrasca tj. sve druge razloge koji znatno pridonose razlikama RWEA.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478293D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62E89D"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Pravna osnova i upute</w:t>
            </w:r>
          </w:p>
        </w:tc>
      </w:tr>
      <w:tr w:rsidR="005710A4" w:rsidRPr="007F4CC8" w14:paraId="61857EFF" w14:textId="77777777" w:rsidTr="00155C96">
        <w:trPr>
          <w:trHeight w:val="238"/>
        </w:trPr>
        <w:tc>
          <w:tcPr>
            <w:tcW w:w="1384" w:type="dxa"/>
            <w:shd w:val="clear" w:color="auto" w:fill="D9D9D9" w:themeFill="background1" w:themeFillShade="D9"/>
          </w:tcPr>
          <w:p w14:paraId="776DAF62"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45EE4979"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Objašnjenje</w:t>
            </w:r>
          </w:p>
        </w:tc>
      </w:tr>
      <w:tr w:rsidR="005710A4" w:rsidRPr="007F4CC8" w14:paraId="7590586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65E6E2" w14:textId="55F664A3" w:rsidR="005710A4" w:rsidRPr="007F4CC8" w:rsidRDefault="00F40A8B" w:rsidP="00F40A8B">
            <w:pPr>
              <w:pStyle w:val="Applicationdirecte"/>
              <w:spacing w:before="0" w:after="240"/>
              <w:jc w:val="center"/>
            </w:pPr>
            <w:r>
              <w:lastRenderedPageBreak/>
              <w:t>1</w:t>
            </w:r>
          </w:p>
        </w:tc>
        <w:tc>
          <w:tcPr>
            <w:tcW w:w="7655" w:type="dxa"/>
            <w:tcBorders>
              <w:top w:val="single" w:sz="4" w:space="0" w:color="auto"/>
              <w:left w:val="single" w:sz="4" w:space="0" w:color="auto"/>
              <w:bottom w:val="single" w:sz="4" w:space="0" w:color="auto"/>
              <w:right w:val="single" w:sz="4" w:space="0" w:color="auto"/>
            </w:tcBorders>
            <w:vAlign w:val="center"/>
          </w:tcPr>
          <w:p w14:paraId="35575BAC"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RWEA na kraju prethodnog razdoblja objave</w:t>
            </w:r>
          </w:p>
          <w:p w14:paraId="73649AB7"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Iznosi izloženosti ponderirani rizikom za izloženosti kreditnom riziku druge ugovorne strane u skladu s metodom internog modela na kraju prethodnog razdoblja objave</w:t>
            </w:r>
          </w:p>
        </w:tc>
      </w:tr>
      <w:tr w:rsidR="005710A4" w:rsidRPr="007F4CC8" w14:paraId="0B7613A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D9BBC2F" w14:textId="15B8D170" w:rsidR="005710A4" w:rsidRPr="007F4CC8" w:rsidRDefault="00F40A8B" w:rsidP="00F40A8B">
            <w:pPr>
              <w:pStyle w:val="Applicationdirecte"/>
              <w:spacing w:before="0" w:after="24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1A8F3869" w14:textId="12D1B56D"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Vrijednost imovine</w:t>
            </w:r>
          </w:p>
          <w:p w14:paraId="0373C5C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Promjene iznosa RWEA (pozitivne ili negativne) zbog organskih promjena veličine i sastava knjige (uključujući podrijetlo novih poslova i izloženosti koje dospijevaju), ali ne uključujući promjene veličine knjige uzrokovane preuzimanjima i prodaje subjekata.</w:t>
            </w:r>
          </w:p>
        </w:tc>
      </w:tr>
      <w:tr w:rsidR="005710A4" w:rsidRPr="007F4CC8" w14:paraId="78E6F2E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BDD5472" w14:textId="32AC036A" w:rsidR="005710A4" w:rsidRPr="007F4CC8" w:rsidRDefault="00F40A8B" w:rsidP="00F40A8B">
            <w:pPr>
              <w:pStyle w:val="Applicationdirecte"/>
              <w:spacing w:before="0" w:after="24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04FD84A4" w14:textId="6036125B"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Kreditna kvaliteta drugih ugovornih strana</w:t>
            </w:r>
          </w:p>
          <w:p w14:paraId="0CD6384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Promjene iznosa RWEA (pozitivne ili negativne) zbog promjena procijenjene kvalitete drugih ugovornih strana kako je mjerena na temelju okvira kreditnog rizika, bez obzira na pristup koji institucija primjenjuje.</w:t>
            </w:r>
          </w:p>
          <w:p w14:paraId="1139FE8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Ovaj redak uključuje i potencijalne promjene iznosa RWEA zbog modela IRB ako institucija primjenjuje IRB pristup.</w:t>
            </w:r>
          </w:p>
        </w:tc>
      </w:tr>
      <w:tr w:rsidR="005710A4" w:rsidRPr="007F4CC8" w14:paraId="72C4A99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01BB5F" w14:textId="4DDA5323" w:rsidR="005710A4" w:rsidRPr="007F4CC8" w:rsidRDefault="00F40A8B" w:rsidP="00F40A8B">
            <w:pPr>
              <w:pStyle w:val="Applicationdirecte"/>
              <w:spacing w:before="0" w:after="240"/>
              <w:jc w:val="center"/>
            </w:pPr>
            <w:r>
              <w:t>4</w:t>
            </w:r>
          </w:p>
        </w:tc>
        <w:tc>
          <w:tcPr>
            <w:tcW w:w="7655" w:type="dxa"/>
            <w:tcBorders>
              <w:top w:val="single" w:sz="4" w:space="0" w:color="auto"/>
              <w:left w:val="single" w:sz="4" w:space="0" w:color="auto"/>
              <w:bottom w:val="single" w:sz="4" w:space="0" w:color="auto"/>
              <w:right w:val="single" w:sz="4" w:space="0" w:color="auto"/>
            </w:tcBorders>
            <w:vAlign w:val="center"/>
          </w:tcPr>
          <w:p w14:paraId="107E068E" w14:textId="52C96687"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Ažuriranja modela (samo metoda internog modela)</w:t>
            </w:r>
          </w:p>
          <w:p w14:paraId="4DCE1D4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Promjene iznosa RWEA (pozitivne ili negativne) zbog primjene modela, promjena u području primjene modela ili bilo kakvih promjena namijenjenih uklanjanju slabosti modela.</w:t>
            </w:r>
          </w:p>
          <w:p w14:paraId="7746D0C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U ovom se retku navode samo promjene u metodi internog modela.</w:t>
            </w:r>
          </w:p>
        </w:tc>
      </w:tr>
      <w:tr w:rsidR="005710A4" w:rsidRPr="007F4CC8" w14:paraId="4E317C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B5913" w14:textId="5B06A5DB" w:rsidR="005710A4" w:rsidRPr="007F4CC8" w:rsidRDefault="00F40A8B" w:rsidP="00F40A8B">
            <w:pPr>
              <w:pStyle w:val="Applicationdirecte"/>
              <w:spacing w:before="0" w:after="24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31852FE7" w14:textId="16C08761"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Metodologija i politika (samo metoda internog modela)</w:t>
            </w:r>
          </w:p>
          <w:p w14:paraId="5D8B9073"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Promjene iznosa RWEA (pozitivne ili negativne) zbog metodoloških promjena u izračunima prouzrokovanima izmjenama regulatorne politike, kao što su novi propisi (samo u metodi internog modela).</w:t>
            </w:r>
          </w:p>
        </w:tc>
      </w:tr>
      <w:tr w:rsidR="005710A4" w:rsidRPr="007F4CC8" w14:paraId="01A9BF8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B7B28E2" w14:textId="594ECC39" w:rsidR="005710A4" w:rsidRPr="007F4CC8" w:rsidRDefault="00F40A8B" w:rsidP="00F40A8B">
            <w:pPr>
              <w:pStyle w:val="Applicationdirecte"/>
              <w:spacing w:before="0" w:after="240"/>
              <w:jc w:val="center"/>
            </w:pPr>
            <w:r>
              <w:t>6</w:t>
            </w:r>
          </w:p>
        </w:tc>
        <w:tc>
          <w:tcPr>
            <w:tcW w:w="7655" w:type="dxa"/>
            <w:tcBorders>
              <w:top w:val="single" w:sz="4" w:space="0" w:color="auto"/>
              <w:left w:val="single" w:sz="4" w:space="0" w:color="auto"/>
              <w:bottom w:val="single" w:sz="4" w:space="0" w:color="auto"/>
              <w:right w:val="single" w:sz="4" w:space="0" w:color="auto"/>
            </w:tcBorders>
            <w:vAlign w:val="center"/>
          </w:tcPr>
          <w:p w14:paraId="1EDC50CD" w14:textId="004FBFC3"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Preuzimanja i prodaje</w:t>
            </w:r>
          </w:p>
          <w:p w14:paraId="0514952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Promjene iznosa RWEA (pozitivne ili negativne) zbog promjena u veličini knjige zbog preuzimanja i prodaje subjekata.</w:t>
            </w:r>
          </w:p>
        </w:tc>
      </w:tr>
      <w:tr w:rsidR="005710A4" w:rsidRPr="007F4CC8" w14:paraId="1672C5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82440ED" w14:textId="0152F79D" w:rsidR="005710A4" w:rsidRPr="007F4CC8" w:rsidRDefault="00F40A8B" w:rsidP="00F40A8B">
            <w:pPr>
              <w:pStyle w:val="Applicationdirecte"/>
              <w:spacing w:before="0" w:after="24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51DBC37A" w14:textId="3978CB9D"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Kretanja valuta</w:t>
            </w:r>
          </w:p>
          <w:p w14:paraId="76E6FC87"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Promjene iznosa RWEA (pozitivne ili negativne) zbog promjena koje proizlaze iz kretanja strane valute.</w:t>
            </w:r>
          </w:p>
        </w:tc>
      </w:tr>
      <w:tr w:rsidR="005710A4" w:rsidRPr="007F4CC8" w14:paraId="104ECF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C191038" w14:textId="65003C98" w:rsidR="005710A4" w:rsidRPr="007F4CC8" w:rsidRDefault="00F40A8B" w:rsidP="00F40A8B">
            <w:pPr>
              <w:pStyle w:val="Applicationdirecte"/>
              <w:spacing w:before="0" w:after="24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78901A65" w14:textId="04DE0EE1"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Ostalo</w:t>
            </w:r>
          </w:p>
          <w:p w14:paraId="4B517DAA" w14:textId="4F76824F"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 xml:space="preserve">Ova se kategorija koristi za bilježenje promjena iznosa RWEA (pozitivnih ili negativnih) koje se ne mogu pripisati prethodno navedenim kategorijama. </w:t>
            </w:r>
            <w:r>
              <w:rPr>
                <w:rFonts w:ascii="Times New Roman" w:hAnsi="Times New Roman"/>
                <w:sz w:val="24"/>
              </w:rPr>
              <w:lastRenderedPageBreak/>
              <w:t>Institucije u ovom retku uključuju zbroj tih promjena iznosa RWEA. Institucije u opisu koji prilažu uz ovaj obrazac dodatno opisuju sve druge značajne razloge za promjene iznosa ponderiranih rizikom tijekom razdoblja objave.</w:t>
            </w:r>
          </w:p>
        </w:tc>
      </w:tr>
      <w:tr w:rsidR="005710A4" w:rsidRPr="007F4CC8" w14:paraId="34ACCB8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A692B71" w14:textId="2B8D846A" w:rsidR="005710A4" w:rsidRPr="007F4CC8" w:rsidRDefault="00F40A8B" w:rsidP="00F40A8B">
            <w:pPr>
              <w:pStyle w:val="Applicationdirecte"/>
              <w:spacing w:before="0" w:after="240"/>
              <w:jc w:val="center"/>
            </w:pPr>
            <w:r>
              <w:lastRenderedPageBreak/>
              <w:t>9</w:t>
            </w:r>
          </w:p>
        </w:tc>
        <w:tc>
          <w:tcPr>
            <w:tcW w:w="7655" w:type="dxa"/>
            <w:tcBorders>
              <w:top w:val="single" w:sz="4" w:space="0" w:color="auto"/>
              <w:left w:val="single" w:sz="4" w:space="0" w:color="auto"/>
              <w:bottom w:val="single" w:sz="4" w:space="0" w:color="auto"/>
              <w:right w:val="single" w:sz="4" w:space="0" w:color="auto"/>
            </w:tcBorders>
            <w:vAlign w:val="center"/>
          </w:tcPr>
          <w:p w14:paraId="6FB4571A"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RWEA na kraju tekućeg razdoblja objave</w:t>
            </w:r>
          </w:p>
          <w:p w14:paraId="747E8477" w14:textId="77777777" w:rsidR="005710A4" w:rsidRPr="007F4CC8" w:rsidRDefault="005710A4" w:rsidP="00155C96">
            <w:pPr>
              <w:spacing w:after="240"/>
              <w:jc w:val="both"/>
              <w:rPr>
                <w:rFonts w:ascii="Times New Roman" w:hAnsi="Times New Roman" w:cs="Times New Roman"/>
                <w:i/>
                <w:sz w:val="24"/>
              </w:rPr>
            </w:pPr>
            <w:r>
              <w:rPr>
                <w:rFonts w:ascii="Times New Roman" w:hAnsi="Times New Roman"/>
                <w:sz w:val="24"/>
              </w:rPr>
              <w:t>Iznosi izloženosti ponderirani rizikom za izloženosti kreditnom riziku središnje druge ugovorne strane u skladu s metodom internog modela na kraju sadašnjeg razdoblja objave.</w:t>
            </w:r>
          </w:p>
        </w:tc>
      </w:tr>
      <w:tr w:rsidR="005710A4" w:rsidRPr="007F4CC8" w14:paraId="6008125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08F573" w14:textId="77777777" w:rsidR="005710A4" w:rsidRPr="005947B9" w:rsidRDefault="005710A4" w:rsidP="00F40A8B">
            <w:pPr>
              <w:pStyle w:val="Applicationdirecte"/>
              <w:spacing w:before="0" w:after="240"/>
              <w:jc w:val="center"/>
              <w:rPr>
                <w:b/>
              </w:rPr>
            </w:pPr>
            <w:r>
              <w:rPr>
                <w:b/>
              </w:rPr>
              <w:t>Slovna oznaka stupca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BD1CD6"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Objašnjenje</w:t>
            </w:r>
          </w:p>
        </w:tc>
      </w:tr>
      <w:tr w:rsidR="005710A4" w:rsidRPr="007F4CC8" w14:paraId="0DB32B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B449DB" w14:textId="0075CD0E" w:rsidR="005710A4" w:rsidRPr="007F4CC8" w:rsidRDefault="00F40A8B" w:rsidP="00F40A8B">
            <w:pPr>
              <w:pStyle w:val="Applicationdirecte"/>
              <w:spacing w:before="0" w:after="24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F821D85"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RWEA</w:t>
            </w:r>
          </w:p>
        </w:tc>
      </w:tr>
    </w:tbl>
    <w:p w14:paraId="2D919E84" w14:textId="77777777" w:rsidR="005710A4" w:rsidRPr="007F4CC8" w:rsidRDefault="005710A4" w:rsidP="005710A4">
      <w:pPr>
        <w:pStyle w:val="Titlelevel2"/>
        <w:spacing w:before="0"/>
        <w:rPr>
          <w:rFonts w:ascii="Times New Roman" w:hAnsi="Times New Roman" w:cs="Times New Roman"/>
          <w:b/>
          <w:color w:val="auto"/>
          <w:sz w:val="24"/>
          <w:lang w:val="en-GB"/>
        </w:rPr>
      </w:pPr>
    </w:p>
    <w:p w14:paraId="467AEA7F" w14:textId="07A70FF1" w:rsidR="005710A4" w:rsidRPr="007F4CC8" w:rsidRDefault="00CD362D" w:rsidP="005710A4">
      <w:pPr>
        <w:pStyle w:val="Titlelevel2"/>
        <w:spacing w:before="0"/>
        <w:rPr>
          <w:rFonts w:ascii="Times New Roman" w:hAnsi="Times New Roman" w:cs="Times New Roman"/>
          <w:b/>
          <w:color w:val="auto"/>
          <w:sz w:val="24"/>
        </w:rPr>
      </w:pPr>
      <w:r>
        <w:rPr>
          <w:rFonts w:ascii="Times New Roman" w:hAnsi="Times New Roman"/>
          <w:b/>
          <w:color w:val="auto"/>
          <w:sz w:val="24"/>
        </w:rPr>
        <w:t xml:space="preserve">Obrazac EU CCR8 – Izloženosti prema središnjim drugim ugovornim stranama: </w:t>
      </w:r>
      <w:r>
        <w:rPr>
          <w:rFonts w:ascii="Times New Roman" w:hAnsi="Times New Roman"/>
          <w:color w:val="auto"/>
          <w:sz w:val="24"/>
        </w:rPr>
        <w:t>Fiksan format</w:t>
      </w:r>
      <w:r>
        <w:rPr>
          <w:rFonts w:ascii="Times New Roman" w:hAnsi="Times New Roman"/>
          <w:b/>
          <w:color w:val="auto"/>
          <w:sz w:val="24"/>
        </w:rPr>
        <w:t xml:space="preserve"> </w:t>
      </w:r>
    </w:p>
    <w:p w14:paraId="7482DAFB" w14:textId="5F793791"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Institucije objavljuju informacije iz članka 439. točke (i) CRR-a prateći upute u nastavku ovog Priloga za popunjavanje obrasca EU CCR8 iz Priloga XXV. ovoj Provedbenoj uredbi.</w:t>
      </w:r>
    </w:p>
    <w:p w14:paraId="5B17CF03" w14:textId="77777777" w:rsidR="005710A4" w:rsidRPr="007F4CC8" w:rsidRDefault="005710A4" w:rsidP="005710A4">
      <w:pPr>
        <w:pStyle w:val="Titlelevel2"/>
        <w:numPr>
          <w:ilvl w:val="0"/>
          <w:numId w:val="56"/>
        </w:numPr>
        <w:spacing w:before="0"/>
        <w:jc w:val="both"/>
        <w:rPr>
          <w:rFonts w:ascii="Times New Roman" w:hAnsi="Times New Roman"/>
          <w:b/>
          <w:color w:val="auto"/>
          <w:sz w:val="24"/>
        </w:rPr>
      </w:pPr>
      <w:r>
        <w:rPr>
          <w:rFonts w:ascii="Times New Roman" w:hAnsi="Times New Roman"/>
          <w:bCs w:val="0"/>
          <w:color w:val="000000"/>
          <w:sz w:val="24"/>
        </w:rPr>
        <w:t xml:space="preserve">Izloženosti prema središnjim drugim ugovornim stranama: Ugovori i transakcije navedene u članku 301. stavku 1. CRR-a, dok su nepodmirene u odnosu na središnju drugu ugovornu stranu i izloženostima iz transakcija povezanih sa središnjom drugom ugovornom stranom, u skladu s člankom 300. stavkom 2. CRR-a, za koje se kapitalni zahtjevi izračunavaju u skladu s dijelom trećim glavom II. poglavljem 6. odjeljkom 9. CRR-a.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722526E4"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6D7B6F"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Pravna osnova i upute</w:t>
            </w:r>
          </w:p>
        </w:tc>
      </w:tr>
      <w:tr w:rsidR="005710A4" w:rsidRPr="007F4CC8" w14:paraId="6A42E7BB" w14:textId="77777777" w:rsidTr="00155C96">
        <w:trPr>
          <w:trHeight w:val="238"/>
        </w:trPr>
        <w:tc>
          <w:tcPr>
            <w:tcW w:w="1384" w:type="dxa"/>
            <w:shd w:val="clear" w:color="auto" w:fill="D9D9D9" w:themeFill="background1" w:themeFillShade="D9"/>
          </w:tcPr>
          <w:p w14:paraId="1651E34E"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5E89DF28"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Objašnjenje</w:t>
            </w:r>
          </w:p>
        </w:tc>
      </w:tr>
      <w:tr w:rsidR="005710A4" w:rsidRPr="007F4CC8" w14:paraId="10377025" w14:textId="77777777" w:rsidTr="00155C96">
        <w:trPr>
          <w:trHeight w:val="680"/>
        </w:trPr>
        <w:tc>
          <w:tcPr>
            <w:tcW w:w="1384" w:type="dxa"/>
          </w:tcPr>
          <w:p w14:paraId="23C0E7D9" w14:textId="0F786C5D" w:rsidR="005710A4" w:rsidRPr="007F4CC8" w:rsidRDefault="00F40A8B" w:rsidP="00BC5D5C">
            <w:pPr>
              <w:pStyle w:val="Applicationdirecte"/>
              <w:spacing w:before="0" w:after="240"/>
              <w:jc w:val="center"/>
            </w:pPr>
            <w:r>
              <w:t>1 – 10</w:t>
            </w:r>
          </w:p>
        </w:tc>
        <w:tc>
          <w:tcPr>
            <w:tcW w:w="7655" w:type="dxa"/>
            <w:vAlign w:val="center"/>
          </w:tcPr>
          <w:p w14:paraId="3A8B2D6C" w14:textId="6B1DE91F"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bCs/>
                <w:sz w:val="24"/>
              </w:rPr>
              <w:t>Kvalificirana središnja druga ugovorna strana</w:t>
            </w:r>
            <w:r>
              <w:rPr>
                <w:rFonts w:ascii="Times New Roman" w:hAnsi="Times New Roman"/>
                <w:b/>
                <w:sz w:val="24"/>
              </w:rPr>
              <w:t xml:space="preserve"> (QCCP)</w:t>
            </w:r>
          </w:p>
          <w:p w14:paraId="085A6DEA"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Kvalificirana središnja druga ugovorna strana kako je definirana u članku 4. stavku 1. točki 88. CRR-a.</w:t>
            </w:r>
          </w:p>
        </w:tc>
      </w:tr>
      <w:tr w:rsidR="005710A4" w:rsidRPr="007F4CC8" w14:paraId="55CACFD0" w14:textId="77777777" w:rsidTr="00155C96">
        <w:trPr>
          <w:trHeight w:val="680"/>
        </w:trPr>
        <w:tc>
          <w:tcPr>
            <w:tcW w:w="1384" w:type="dxa"/>
          </w:tcPr>
          <w:p w14:paraId="39D5EF84" w14:textId="3B633F3A" w:rsidR="005710A4" w:rsidRPr="007F4CC8" w:rsidRDefault="00F40A8B" w:rsidP="00BC5D5C">
            <w:pPr>
              <w:pStyle w:val="Applicationdirecte"/>
              <w:spacing w:before="0" w:after="240"/>
              <w:jc w:val="center"/>
            </w:pPr>
            <w:r>
              <w:t>7 i 8</w:t>
            </w:r>
          </w:p>
          <w:p w14:paraId="5F527E02" w14:textId="4FC16A22" w:rsidR="005710A4" w:rsidRPr="007F4CC8" w:rsidRDefault="00F40A8B" w:rsidP="00BC5D5C">
            <w:pPr>
              <w:pStyle w:val="Fait"/>
              <w:spacing w:before="0" w:after="240"/>
              <w:jc w:val="center"/>
            </w:pPr>
            <w:r>
              <w:t>17 i 18</w:t>
            </w:r>
          </w:p>
        </w:tc>
        <w:tc>
          <w:tcPr>
            <w:tcW w:w="7655" w:type="dxa"/>
            <w:vAlign w:val="center"/>
          </w:tcPr>
          <w:p w14:paraId="7AB8F182" w14:textId="457543FF" w:rsidR="005710A4" w:rsidRPr="005947B9" w:rsidRDefault="005710A4" w:rsidP="00155C96">
            <w:pPr>
              <w:keepNext/>
              <w:spacing w:after="240"/>
              <w:jc w:val="both"/>
              <w:rPr>
                <w:rFonts w:ascii="Times New Roman" w:eastAsia="Times New Roman" w:hAnsi="Times New Roman" w:cs="Times New Roman"/>
                <w:b/>
                <w:bCs/>
                <w:sz w:val="24"/>
              </w:rPr>
            </w:pPr>
            <w:r>
              <w:rPr>
                <w:rFonts w:ascii="Times New Roman" w:hAnsi="Times New Roman"/>
                <w:b/>
                <w:bCs/>
                <w:sz w:val="24"/>
              </w:rPr>
              <w:t>Inicijalni iznos nadoknade</w:t>
            </w:r>
          </w:p>
          <w:p w14:paraId="2415FFD0"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Institucije objavljuju fer vrijednosti kolaterala koji je primljen ili dan kao inicijalni iznos nadoknade definiran u članku 4. stavku 1. točki 140. CRR-a.</w:t>
            </w:r>
          </w:p>
          <w:p w14:paraId="7B03A481" w14:textId="77777777" w:rsidR="005710A4" w:rsidRPr="007F4CC8" w:rsidRDefault="005710A4" w:rsidP="00155C96">
            <w:pPr>
              <w:keepNext/>
              <w:spacing w:after="240"/>
              <w:jc w:val="both"/>
              <w:rPr>
                <w:rFonts w:ascii="Times New Roman" w:eastAsia="Times New Roman" w:hAnsi="Times New Roman" w:cs="Times New Roman"/>
                <w:i/>
                <w:sz w:val="24"/>
              </w:rPr>
            </w:pPr>
            <w:r>
              <w:rPr>
                <w:rFonts w:ascii="Times New Roman" w:hAnsi="Times New Roman"/>
                <w:sz w:val="24"/>
              </w:rPr>
              <w:t xml:space="preserve">Za potrebe ovog obrasca, inicijalni iznos nadoknade ne uključuje uplate središnjoj drugoj ugovornoj strani za uzajamne aranžmane o podjeli gubitka </w:t>
            </w:r>
            <w:r>
              <w:rPr>
                <w:rFonts w:ascii="Times New Roman" w:hAnsi="Times New Roman"/>
                <w:sz w:val="24"/>
              </w:rPr>
              <w:lastRenderedPageBreak/>
              <w:t xml:space="preserve">(tj. u slučajevima kada središnja druga ugovorna strana upotrebljava inicijalni iznos nadoknade radi podjele gubitaka među klirinškim članovima, iznos će se tretirati se kao izloženost jamstvenog fonda). </w:t>
            </w:r>
          </w:p>
        </w:tc>
      </w:tr>
      <w:tr w:rsidR="005710A4" w:rsidRPr="007F4CC8" w14:paraId="468FD103" w14:textId="77777777" w:rsidTr="00155C96">
        <w:trPr>
          <w:trHeight w:val="680"/>
        </w:trPr>
        <w:tc>
          <w:tcPr>
            <w:tcW w:w="1384" w:type="dxa"/>
          </w:tcPr>
          <w:p w14:paraId="60934E94" w14:textId="01BC4E13" w:rsidR="005710A4" w:rsidRPr="007F4CC8" w:rsidRDefault="00F40A8B" w:rsidP="00BC5D5C">
            <w:pPr>
              <w:pStyle w:val="Applicationdirecte"/>
              <w:spacing w:before="0" w:after="240"/>
              <w:jc w:val="center"/>
            </w:pPr>
            <w:r>
              <w:lastRenderedPageBreak/>
              <w:t>9 i 19</w:t>
            </w:r>
          </w:p>
        </w:tc>
        <w:tc>
          <w:tcPr>
            <w:tcW w:w="7655" w:type="dxa"/>
            <w:vAlign w:val="center"/>
          </w:tcPr>
          <w:p w14:paraId="0E3A72D0" w14:textId="24F715D9" w:rsidR="005710A4" w:rsidRPr="005947B9" w:rsidRDefault="005710A4" w:rsidP="00155C96">
            <w:pPr>
              <w:keepNext/>
              <w:spacing w:after="240"/>
              <w:jc w:val="both"/>
              <w:rPr>
                <w:rFonts w:ascii="Times New Roman" w:eastAsia="Times New Roman" w:hAnsi="Times New Roman" w:cs="Times New Roman"/>
                <w:b/>
                <w:sz w:val="24"/>
              </w:rPr>
            </w:pPr>
            <w:proofErr w:type="spellStart"/>
            <w:r>
              <w:rPr>
                <w:rFonts w:ascii="Times New Roman" w:hAnsi="Times New Roman"/>
                <w:b/>
                <w:sz w:val="24"/>
              </w:rPr>
              <w:t>Preduplate</w:t>
            </w:r>
            <w:proofErr w:type="spellEnd"/>
            <w:r>
              <w:rPr>
                <w:rFonts w:ascii="Times New Roman" w:hAnsi="Times New Roman"/>
                <w:b/>
                <w:sz w:val="24"/>
              </w:rPr>
              <w:t xml:space="preserve"> u jamstveni fond</w:t>
            </w:r>
          </w:p>
          <w:p w14:paraId="7353506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Uplata u jamstveni fond središnje druge ugovorne strane koju uplaćuju institucije.</w:t>
            </w:r>
          </w:p>
          <w:p w14:paraId="5E3F89A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„Jamstveni fond” kako je definiran u članku 4. stavku 1. točki 89. CRR-a.</w:t>
            </w:r>
          </w:p>
        </w:tc>
      </w:tr>
      <w:tr w:rsidR="005710A4" w:rsidRPr="007F4CC8" w14:paraId="2270D95C" w14:textId="77777777" w:rsidTr="00155C96">
        <w:trPr>
          <w:trHeight w:val="680"/>
        </w:trPr>
        <w:tc>
          <w:tcPr>
            <w:tcW w:w="1384" w:type="dxa"/>
          </w:tcPr>
          <w:p w14:paraId="16522CAB" w14:textId="76E2E973" w:rsidR="005710A4" w:rsidRPr="007F4CC8" w:rsidRDefault="00F40A8B" w:rsidP="00BC5D5C">
            <w:pPr>
              <w:pStyle w:val="Applicationdirecte"/>
              <w:spacing w:before="0" w:after="240"/>
              <w:jc w:val="center"/>
            </w:pPr>
            <w:r>
              <w:t>20</w:t>
            </w:r>
          </w:p>
        </w:tc>
        <w:tc>
          <w:tcPr>
            <w:tcW w:w="7655" w:type="dxa"/>
            <w:vAlign w:val="center"/>
          </w:tcPr>
          <w:p w14:paraId="69886805" w14:textId="6AE9204F"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Naknadne uplate u jamstveni fond</w:t>
            </w:r>
          </w:p>
          <w:p w14:paraId="310B8818"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Uplate koje se institucija koja djeluje kao klirinški član ugovorno obvezala izvršiti središnjoj drugoj ugovornoj strani nakon što je središnja druga ugovorna strana iscrpila svoj jamstveni fond kako bi pokrila gubitke koje je snosila nakon nastanka statusa neispunjavanja obveza jednog ili više svojih klirinških članova. „Jamstveni fond” kako je definiran u članku 4. stavku 1. točki 89. CRR-a.</w:t>
            </w:r>
          </w:p>
        </w:tc>
      </w:tr>
      <w:tr w:rsidR="005710A4" w:rsidRPr="007F4CC8" w14:paraId="3DB8D08A" w14:textId="77777777" w:rsidTr="00155C96">
        <w:trPr>
          <w:trHeight w:val="680"/>
        </w:trPr>
        <w:tc>
          <w:tcPr>
            <w:tcW w:w="1384" w:type="dxa"/>
          </w:tcPr>
          <w:p w14:paraId="5E4F73B0" w14:textId="5F816B5E" w:rsidR="005710A4" w:rsidRPr="007F4CC8" w:rsidRDefault="00F40A8B" w:rsidP="00BC5D5C">
            <w:pPr>
              <w:pStyle w:val="Applicationdirecte"/>
              <w:spacing w:before="0" w:after="240"/>
              <w:jc w:val="center"/>
            </w:pPr>
            <w:r>
              <w:t>7 i 17</w:t>
            </w:r>
          </w:p>
        </w:tc>
        <w:tc>
          <w:tcPr>
            <w:tcW w:w="7655" w:type="dxa"/>
            <w:vAlign w:val="center"/>
          </w:tcPr>
          <w:p w14:paraId="29161BE7" w14:textId="09DE421A" w:rsidR="005710A4" w:rsidRPr="005947B9" w:rsidRDefault="005710A4" w:rsidP="00155C96">
            <w:pPr>
              <w:spacing w:after="240"/>
              <w:jc w:val="both"/>
              <w:rPr>
                <w:rFonts w:ascii="Times New Roman" w:eastAsia="Calibri" w:hAnsi="Times New Roman" w:cs="Times New Roman"/>
                <w:b/>
                <w:sz w:val="24"/>
              </w:rPr>
            </w:pPr>
            <w:r>
              <w:rPr>
                <w:rFonts w:ascii="Times New Roman" w:hAnsi="Times New Roman"/>
                <w:b/>
                <w:sz w:val="24"/>
              </w:rPr>
              <w:t>Odvojen</w:t>
            </w:r>
          </w:p>
          <w:p w14:paraId="50393526" w14:textId="672204C8" w:rsidR="005710A4" w:rsidRPr="007F4CC8" w:rsidRDefault="005710A4" w:rsidP="00155C96">
            <w:pPr>
              <w:spacing w:after="240"/>
              <w:jc w:val="both"/>
              <w:rPr>
                <w:rFonts w:ascii="Times New Roman" w:eastAsia="Calibri" w:hAnsi="Times New Roman" w:cs="Times New Roman"/>
                <w:sz w:val="24"/>
              </w:rPr>
            </w:pPr>
            <w:r>
              <w:rPr>
                <w:rFonts w:ascii="Times New Roman" w:hAnsi="Times New Roman"/>
                <w:sz w:val="24"/>
              </w:rPr>
              <w:t>Vidjeti definiciju iz obrasca EU CCR5.</w:t>
            </w:r>
          </w:p>
        </w:tc>
      </w:tr>
      <w:tr w:rsidR="005710A4" w:rsidRPr="007F4CC8" w14:paraId="16586377" w14:textId="77777777" w:rsidTr="00155C96">
        <w:trPr>
          <w:trHeight w:val="680"/>
        </w:trPr>
        <w:tc>
          <w:tcPr>
            <w:tcW w:w="1384" w:type="dxa"/>
          </w:tcPr>
          <w:p w14:paraId="762520E3" w14:textId="258CFC7F" w:rsidR="005710A4" w:rsidRPr="007F4CC8" w:rsidRDefault="00F40A8B" w:rsidP="00BC5D5C">
            <w:pPr>
              <w:pStyle w:val="Applicationdirecte"/>
              <w:spacing w:before="0" w:after="240"/>
              <w:jc w:val="center"/>
            </w:pPr>
            <w:r>
              <w:t>8 i 18</w:t>
            </w:r>
          </w:p>
        </w:tc>
        <w:tc>
          <w:tcPr>
            <w:tcW w:w="7655" w:type="dxa"/>
            <w:vAlign w:val="center"/>
          </w:tcPr>
          <w:p w14:paraId="096B8DBE" w14:textId="26151CFC" w:rsidR="005710A4" w:rsidRPr="005947B9" w:rsidRDefault="005710A4" w:rsidP="00155C96">
            <w:pPr>
              <w:spacing w:after="240"/>
              <w:jc w:val="both"/>
              <w:rPr>
                <w:rFonts w:ascii="Times New Roman" w:eastAsia="Calibri" w:hAnsi="Times New Roman" w:cs="Times New Roman"/>
                <w:b/>
                <w:sz w:val="24"/>
              </w:rPr>
            </w:pPr>
            <w:r>
              <w:rPr>
                <w:rFonts w:ascii="Times New Roman" w:hAnsi="Times New Roman"/>
                <w:b/>
                <w:sz w:val="24"/>
              </w:rPr>
              <w:t>Neodvojen</w:t>
            </w:r>
          </w:p>
          <w:p w14:paraId="7E296D70" w14:textId="5CF5909D" w:rsidR="005710A4" w:rsidRPr="007F4CC8" w:rsidRDefault="005710A4" w:rsidP="00155C96">
            <w:pPr>
              <w:spacing w:after="240"/>
              <w:jc w:val="both"/>
              <w:rPr>
                <w:rFonts w:ascii="Times New Roman" w:eastAsia="Calibri" w:hAnsi="Times New Roman" w:cs="Times New Roman"/>
                <w:sz w:val="24"/>
              </w:rPr>
            </w:pPr>
            <w:r>
              <w:rPr>
                <w:rFonts w:ascii="Times New Roman" w:hAnsi="Times New Roman"/>
                <w:sz w:val="24"/>
              </w:rPr>
              <w:t>Vidjeti definiciju iz obrasca EU CCR5.</w:t>
            </w:r>
          </w:p>
        </w:tc>
      </w:tr>
      <w:tr w:rsidR="005710A4" w:rsidRPr="007F4CC8" w14:paraId="768FD94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EC96C8" w14:textId="77777777" w:rsidR="005710A4" w:rsidRPr="007F4CC8" w:rsidRDefault="005710A4" w:rsidP="00BC5D5C">
            <w:pPr>
              <w:pStyle w:val="Applicationdirecte"/>
              <w:spacing w:before="0" w:after="240"/>
              <w:jc w:val="center"/>
              <w:rPr>
                <w:b/>
              </w:rPr>
            </w:pPr>
            <w:r>
              <w:rPr>
                <w:b/>
              </w:rPr>
              <w:t>Slovna oznaka stupca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616C98"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Objašnjenje</w:t>
            </w:r>
          </w:p>
        </w:tc>
      </w:tr>
      <w:tr w:rsidR="005710A4" w:rsidRPr="007F4CC8" w14:paraId="321B8E92" w14:textId="77777777" w:rsidTr="00155C96">
        <w:trPr>
          <w:trHeight w:val="680"/>
        </w:trPr>
        <w:tc>
          <w:tcPr>
            <w:tcW w:w="1384" w:type="dxa"/>
          </w:tcPr>
          <w:p w14:paraId="0790A097" w14:textId="5CB523B9" w:rsidR="005710A4" w:rsidRPr="007F4CC8" w:rsidRDefault="00F40A8B" w:rsidP="00BC5D5C">
            <w:pPr>
              <w:pStyle w:val="Applicationdirecte"/>
              <w:spacing w:before="0" w:after="240"/>
              <w:jc w:val="center"/>
            </w:pPr>
            <w:r>
              <w:t>a</w:t>
            </w:r>
          </w:p>
        </w:tc>
        <w:tc>
          <w:tcPr>
            <w:tcW w:w="7655" w:type="dxa"/>
            <w:vAlign w:val="center"/>
          </w:tcPr>
          <w:p w14:paraId="526D821E" w14:textId="5F6E4255"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Vrijednost izloženosti</w:t>
            </w:r>
          </w:p>
          <w:p w14:paraId="4E259AC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 xml:space="preserve">Vrijednost izloženosti koja se izračunava u skladu s metodama iz dijela trećeg glave II. poglavlja 4. i 6. CRR-a za transakcije u području primjene dijela trećeg glave II. poglavlja 6. odjeljka 9. CRR-a, nakon primjene relevantnih prilagodbi propisanih člancima 304., 306. i 308. tog odjeljka. </w:t>
            </w:r>
          </w:p>
          <w:p w14:paraId="13AEC07F" w14:textId="77777777" w:rsidR="005710A4" w:rsidRPr="007F4CC8" w:rsidRDefault="005710A4" w:rsidP="00155C96">
            <w:pPr>
              <w:keepNext/>
              <w:spacing w:after="240"/>
              <w:jc w:val="both"/>
              <w:rPr>
                <w:rFonts w:ascii="Times New Roman" w:eastAsia="Times New Roman" w:hAnsi="Times New Roman" w:cs="Times New Roman"/>
                <w:i/>
                <w:sz w:val="24"/>
              </w:rPr>
            </w:pPr>
            <w:r>
              <w:rPr>
                <w:rFonts w:ascii="Times New Roman" w:hAnsi="Times New Roman"/>
                <w:sz w:val="24"/>
              </w:rPr>
              <w:t>Izloženost može biti izloženost iz trgovanja kako je definirana u članku 4. stavku 1. točki 91. CRR-a. Objavljena vrijednost izloženosti je iznos relevantan za izračun kapitalnih zahtjeva u skladu s dijelom trećim glavom II. poglavljem 6. odjeljkom 9. CRR-a, uzimajući u obzir zahtjeve iz članka 497. CRR-a tijekom prijelaznog razdoblja iz tog članka.</w:t>
            </w:r>
          </w:p>
        </w:tc>
      </w:tr>
      <w:tr w:rsidR="005710A4" w:rsidRPr="007F4CC8" w14:paraId="1E953D3B" w14:textId="77777777" w:rsidTr="00155C96">
        <w:trPr>
          <w:trHeight w:val="680"/>
        </w:trPr>
        <w:tc>
          <w:tcPr>
            <w:tcW w:w="1384" w:type="dxa"/>
          </w:tcPr>
          <w:p w14:paraId="663946FC" w14:textId="6141820A" w:rsidR="005710A4" w:rsidRPr="007F4CC8" w:rsidRDefault="00F40A8B" w:rsidP="00BC5D5C">
            <w:pPr>
              <w:pStyle w:val="Applicationdirecte"/>
              <w:spacing w:before="0" w:after="240"/>
              <w:jc w:val="center"/>
            </w:pPr>
            <w:r>
              <w:lastRenderedPageBreak/>
              <w:t>b</w:t>
            </w:r>
          </w:p>
        </w:tc>
        <w:tc>
          <w:tcPr>
            <w:tcW w:w="7655" w:type="dxa"/>
            <w:vAlign w:val="center"/>
          </w:tcPr>
          <w:p w14:paraId="3E652A7B" w14:textId="77777777"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RWEA</w:t>
            </w:r>
          </w:p>
          <w:p w14:paraId="4A1B90F7"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Iznosi izloženosti ponderirani rizikom iz članka 92. stavka 3. točke (a) koji se izračunavaju u skladu s dijelom trećim glavom II. poglavljem 6. odjeljkom 9. člankom 107. CRR-a.</w:t>
            </w:r>
          </w:p>
        </w:tc>
      </w:tr>
    </w:tbl>
    <w:p w14:paraId="5E5AD0AE" w14:textId="77777777" w:rsidR="005710A4" w:rsidRPr="007F4CC8" w:rsidRDefault="005710A4" w:rsidP="005710A4">
      <w:pPr>
        <w:pStyle w:val="Titlelevel2"/>
        <w:spacing w:before="0"/>
        <w:rPr>
          <w:rFonts w:ascii="Times New Roman" w:hAnsi="Times New Roman" w:cs="Times New Roman"/>
          <w:color w:val="auto"/>
          <w:sz w:val="24"/>
          <w:lang w:val="en-GB"/>
        </w:rPr>
      </w:pPr>
    </w:p>
    <w:p w14:paraId="5D0491A7" w14:textId="77777777" w:rsidR="005710A4" w:rsidRPr="007F4CC8" w:rsidRDefault="005710A4" w:rsidP="005710A4">
      <w:pPr>
        <w:spacing w:after="240"/>
        <w:rPr>
          <w:rFonts w:ascii="Times New Roman" w:hAnsi="Times New Roman" w:cs="Times New Roman"/>
          <w:sz w:val="24"/>
        </w:rPr>
      </w:pPr>
    </w:p>
    <w:p w14:paraId="090C84CE" w14:textId="77777777" w:rsidR="0081579E" w:rsidRPr="007F4CC8" w:rsidRDefault="00FD656A">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292D1743" w14:textId="77777777" w:rsidR="00FD656A" w:rsidRPr="007F4CC8" w:rsidRDefault="00FD656A" w:rsidP="00FD656A">
      <w:pPr>
        <w:pStyle w:val="Annexetitre"/>
        <w:spacing w:after="240"/>
      </w:pPr>
      <w:r>
        <w:lastRenderedPageBreak/>
        <w:t>PRILOG XXVIII – Upute za objavu o izloženostima prema sekuritizacijskim pozicijama</w:t>
      </w:r>
    </w:p>
    <w:p w14:paraId="41E22AA6" w14:textId="186D4B3E" w:rsidR="00FD656A" w:rsidRPr="007F4CC8" w:rsidRDefault="00D95507" w:rsidP="00FD656A">
      <w:pPr>
        <w:rPr>
          <w:rFonts w:ascii="Times New Roman" w:hAnsi="Times New Roman" w:cs="Times New Roman"/>
          <w:b/>
          <w:sz w:val="24"/>
        </w:rPr>
      </w:pPr>
      <w:r>
        <w:rPr>
          <w:rFonts w:ascii="Times New Roman" w:hAnsi="Times New Roman"/>
          <w:b/>
          <w:sz w:val="24"/>
        </w:rPr>
        <w:t xml:space="preserve">Tablica EU SECA – Zahtjevi za objavu kvalitativnih informacija o sekuritizacijskim izloženostima. </w:t>
      </w:r>
      <w:r>
        <w:rPr>
          <w:rFonts w:ascii="Times New Roman" w:hAnsi="Times New Roman"/>
          <w:sz w:val="24"/>
        </w:rPr>
        <w:t>Polja za slobodni unos teksta za objavu kvalitativnih informacija</w:t>
      </w:r>
    </w:p>
    <w:p w14:paraId="1C8AFCD2" w14:textId="5D8C2CC0"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Institucije objavljuju informacije iz članka 449. točaka od (a) do (i) Uredbe (EU) 575/2013</w:t>
      </w:r>
      <w:r>
        <w:rPr>
          <w:rStyle w:val="FootnoteReference"/>
          <w:bCs/>
        </w:rPr>
        <w:footnoteReference w:id="42"/>
      </w:r>
      <w:r>
        <w:rPr>
          <w:rFonts w:ascii="Times New Roman" w:hAnsi="Times New Roman"/>
          <w:bCs/>
          <w:sz w:val="24"/>
        </w:rPr>
        <w:t xml:space="preserve"> („CRR”) prateći upute u nastavku ovog Priloga za popunjavanje tablice EU SECA iz Priloga XXVII. ovoj Provedbenoj uredbi.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14308FF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11C7F4" w14:textId="77777777" w:rsidR="00FD656A" w:rsidRPr="007F4CC8" w:rsidRDefault="00FD656A" w:rsidP="00155C96">
            <w:pPr>
              <w:rPr>
                <w:rFonts w:ascii="Times New Roman" w:hAnsi="Times New Roman" w:cs="Times New Roman"/>
                <w:b/>
                <w:sz w:val="24"/>
              </w:rPr>
            </w:pPr>
            <w:r>
              <w:rPr>
                <w:rFonts w:ascii="Times New Roman" w:hAnsi="Times New Roman"/>
                <w:b/>
                <w:sz w:val="24"/>
              </w:rPr>
              <w:t>Pravna osnova i upute</w:t>
            </w:r>
          </w:p>
        </w:tc>
      </w:tr>
      <w:tr w:rsidR="00FD656A" w:rsidRPr="007F4CC8" w14:paraId="2CF0E96B" w14:textId="77777777" w:rsidTr="00155C96">
        <w:trPr>
          <w:trHeight w:val="238"/>
        </w:trPr>
        <w:tc>
          <w:tcPr>
            <w:tcW w:w="1413" w:type="dxa"/>
            <w:shd w:val="clear" w:color="auto" w:fill="D9D9D9" w:themeFill="background1" w:themeFillShade="D9"/>
          </w:tcPr>
          <w:p w14:paraId="260EE226"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Referentni redak</w:t>
            </w:r>
          </w:p>
        </w:tc>
        <w:tc>
          <w:tcPr>
            <w:tcW w:w="7654" w:type="dxa"/>
            <w:shd w:val="clear" w:color="auto" w:fill="D9D9D9" w:themeFill="background1" w:themeFillShade="D9"/>
          </w:tcPr>
          <w:p w14:paraId="24069E3A"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FD656A" w:rsidRPr="007F4CC8" w14:paraId="2553A3E0" w14:textId="77777777" w:rsidTr="00155C96">
        <w:trPr>
          <w:trHeight w:val="316"/>
        </w:trPr>
        <w:tc>
          <w:tcPr>
            <w:tcW w:w="1413" w:type="dxa"/>
          </w:tcPr>
          <w:p w14:paraId="31377940" w14:textId="1605A211"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tcPr>
          <w:p w14:paraId="38335BC0" w14:textId="65411556" w:rsidR="00FD656A" w:rsidRPr="007F4CC8" w:rsidRDefault="00FD656A" w:rsidP="00850101">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Opis </w:t>
            </w:r>
            <w:proofErr w:type="spellStart"/>
            <w:r>
              <w:rPr>
                <w:rFonts w:ascii="Times New Roman" w:hAnsi="Times New Roman"/>
                <w:sz w:val="24"/>
              </w:rPr>
              <w:t>sekuritizacijskih</w:t>
            </w:r>
            <w:proofErr w:type="spellEnd"/>
            <w:r>
              <w:rPr>
                <w:rFonts w:ascii="Times New Roman" w:hAnsi="Times New Roman"/>
                <w:sz w:val="24"/>
              </w:rPr>
              <w:t xml:space="preserve"> i </w:t>
            </w:r>
            <w:proofErr w:type="spellStart"/>
            <w:r>
              <w:rPr>
                <w:rFonts w:ascii="Times New Roman" w:hAnsi="Times New Roman"/>
                <w:sz w:val="24"/>
              </w:rPr>
              <w:t>resekuritizacijskih</w:t>
            </w:r>
            <w:proofErr w:type="spellEnd"/>
            <w:r>
              <w:rPr>
                <w:rFonts w:ascii="Times New Roman" w:hAnsi="Times New Roman"/>
                <w:sz w:val="24"/>
              </w:rPr>
              <w:t xml:space="preserve"> aktivnosti; uključujući ciljeve upravljanja rizicima i ulaganja u vezi s tim aktivnostima, njihovu ulogu u </w:t>
            </w:r>
            <w:proofErr w:type="spellStart"/>
            <w:r>
              <w:rPr>
                <w:rFonts w:ascii="Times New Roman" w:hAnsi="Times New Roman"/>
                <w:sz w:val="24"/>
              </w:rPr>
              <w:t>sekuritizacijskim</w:t>
            </w:r>
            <w:proofErr w:type="spellEnd"/>
            <w:r>
              <w:rPr>
                <w:rFonts w:ascii="Times New Roman" w:hAnsi="Times New Roman"/>
                <w:sz w:val="24"/>
              </w:rPr>
              <w:t xml:space="preserve"> i </w:t>
            </w:r>
            <w:proofErr w:type="spellStart"/>
            <w:r>
              <w:rPr>
                <w:rFonts w:ascii="Times New Roman" w:hAnsi="Times New Roman"/>
                <w:sz w:val="24"/>
              </w:rPr>
              <w:t>resekuritizacijskim</w:t>
            </w:r>
            <w:proofErr w:type="spellEnd"/>
            <w:r>
              <w:rPr>
                <w:rFonts w:ascii="Times New Roman" w:hAnsi="Times New Roman"/>
                <w:sz w:val="24"/>
              </w:rPr>
              <w:t xml:space="preserve"> transakcijama, primjenjuju li okvir za jednostavnu, transparentnu i standardiziranu sekuritizaciju (STS) te u kojoj mjeri koriste </w:t>
            </w:r>
            <w:proofErr w:type="spellStart"/>
            <w:r>
              <w:rPr>
                <w:rFonts w:ascii="Times New Roman" w:hAnsi="Times New Roman"/>
                <w:sz w:val="24"/>
              </w:rPr>
              <w:t>sekuritizacijske</w:t>
            </w:r>
            <w:proofErr w:type="spellEnd"/>
            <w:r>
              <w:rPr>
                <w:rFonts w:ascii="Times New Roman" w:hAnsi="Times New Roman"/>
                <w:sz w:val="24"/>
              </w:rPr>
              <w:t xml:space="preserve"> transakcije za prijenos kreditnog rizika </w:t>
            </w:r>
            <w:proofErr w:type="spellStart"/>
            <w:r>
              <w:rPr>
                <w:rFonts w:ascii="Times New Roman" w:hAnsi="Times New Roman"/>
                <w:sz w:val="24"/>
              </w:rPr>
              <w:t>sekuritiziranih</w:t>
            </w:r>
            <w:proofErr w:type="spellEnd"/>
            <w:r>
              <w:rPr>
                <w:rFonts w:ascii="Times New Roman" w:hAnsi="Times New Roman"/>
                <w:sz w:val="24"/>
              </w:rPr>
              <w:t xml:space="preserve"> izloženosti na treće strane s, prema potrebi, zasebnim opisom politike prijenosa rizika sintetskih sekuritizacija, u skladu s člankom 449. točkom (a) CRR-a;</w:t>
            </w:r>
          </w:p>
        </w:tc>
      </w:tr>
      <w:tr w:rsidR="00FD656A" w:rsidRPr="007F4CC8" w14:paraId="16B56EE8" w14:textId="77777777" w:rsidTr="00155C96">
        <w:trPr>
          <w:trHeight w:val="316"/>
        </w:trPr>
        <w:tc>
          <w:tcPr>
            <w:tcW w:w="1413" w:type="dxa"/>
          </w:tcPr>
          <w:p w14:paraId="14C29B06" w14:textId="183C86F9"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tcPr>
          <w:p w14:paraId="08C1F61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Vrste rizika kojima su institucije izložene u svojim </w:t>
            </w:r>
            <w:proofErr w:type="spellStart"/>
            <w:r>
              <w:rPr>
                <w:rFonts w:ascii="Times New Roman" w:hAnsi="Times New Roman"/>
                <w:sz w:val="24"/>
              </w:rPr>
              <w:t>sekuritizacijskim</w:t>
            </w:r>
            <w:proofErr w:type="spellEnd"/>
            <w:r>
              <w:rPr>
                <w:rFonts w:ascii="Times New Roman" w:hAnsi="Times New Roman"/>
                <w:sz w:val="24"/>
              </w:rPr>
              <w:t xml:space="preserve"> i </w:t>
            </w:r>
            <w:proofErr w:type="spellStart"/>
            <w:r>
              <w:rPr>
                <w:rFonts w:ascii="Times New Roman" w:hAnsi="Times New Roman"/>
                <w:sz w:val="24"/>
              </w:rPr>
              <w:t>resekuritizacijskim</w:t>
            </w:r>
            <w:proofErr w:type="spellEnd"/>
            <w:r>
              <w:rPr>
                <w:rFonts w:ascii="Times New Roman" w:hAnsi="Times New Roman"/>
                <w:sz w:val="24"/>
              </w:rPr>
              <w:t xml:space="preserve"> aktivnostima prema razini nadređenosti relevantnih sekuritizacijskih pozicija, uz navođenje razlike između STS pozicija i pozicija koje nisu STS te:</w:t>
            </w:r>
          </w:p>
          <w:p w14:paraId="1409CF8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 rizik koji je sadržan u transakcijama u kojima je inicijator sama institucija;</w:t>
            </w:r>
          </w:p>
          <w:p w14:paraId="576C4B3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ii. rizik koji nastaje u vezi sa transakcijama u kojima je inicijator treća strana,</w:t>
            </w:r>
          </w:p>
          <w:p w14:paraId="708E1B2D"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u skladu s člankom 449. točkom (b) CRR-a</w:t>
            </w:r>
          </w:p>
        </w:tc>
      </w:tr>
      <w:tr w:rsidR="00FD656A" w:rsidRPr="007F4CC8" w14:paraId="7D26D833" w14:textId="77777777" w:rsidTr="00155C96">
        <w:trPr>
          <w:trHeight w:val="316"/>
        </w:trPr>
        <w:tc>
          <w:tcPr>
            <w:tcW w:w="1413" w:type="dxa"/>
          </w:tcPr>
          <w:p w14:paraId="496C80F0" w14:textId="692EB3EE"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tcPr>
          <w:p w14:paraId="629B5C0A" w14:textId="6BB3AD7A"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Pristupi institucija izračunu iznosa izloženosti ponderiranih rizikom koje primjenjuju za svoje </w:t>
            </w:r>
            <w:proofErr w:type="spellStart"/>
            <w:r>
              <w:rPr>
                <w:rFonts w:ascii="Times New Roman" w:hAnsi="Times New Roman"/>
                <w:iCs/>
                <w:sz w:val="24"/>
              </w:rPr>
              <w:t>sekuritizacijske</w:t>
            </w:r>
            <w:proofErr w:type="spellEnd"/>
            <w:r>
              <w:rPr>
                <w:rFonts w:ascii="Times New Roman" w:hAnsi="Times New Roman"/>
                <w:iCs/>
                <w:sz w:val="24"/>
              </w:rPr>
              <w:t xml:space="preserve"> aktivnosti, uključujući vrste sekuritizacijskih pozicija na koje se svaki pristup primjenjuje, s time da se razlikuju između STS pozicija i pozicija koje nisu STS, u skladu s člankom 449. točkom (c) CRR-a</w:t>
            </w:r>
          </w:p>
        </w:tc>
      </w:tr>
      <w:tr w:rsidR="00FD656A" w:rsidRPr="007F4CC8" w14:paraId="72D476FA" w14:textId="77777777" w:rsidTr="00155C96">
        <w:trPr>
          <w:trHeight w:val="316"/>
        </w:trPr>
        <w:tc>
          <w:tcPr>
            <w:tcW w:w="1413" w:type="dxa"/>
          </w:tcPr>
          <w:p w14:paraId="5641244C" w14:textId="5EFA72AF"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(d)</w:t>
            </w:r>
          </w:p>
        </w:tc>
        <w:tc>
          <w:tcPr>
            <w:tcW w:w="7654" w:type="dxa"/>
          </w:tcPr>
          <w:p w14:paraId="1C1A568C" w14:textId="0CDC6F3F"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Popis SSPN-ova koji pripadaju bilo kojoj od sljedećih kategorija, s opisom vrsta izloženosti institucije tim SSPN-ovima, uključujući ugovore o izvedenicama:</w:t>
            </w:r>
          </w:p>
          <w:p w14:paraId="3976F1A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i. SSPN-ovi koji preuzimaju izloženosti koje su inicirale institucije;</w:t>
            </w:r>
          </w:p>
          <w:p w14:paraId="232187B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ii. SSPN-ovi koje sponzoriraju institucije; </w:t>
            </w:r>
          </w:p>
          <w:p w14:paraId="5860F8A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lastRenderedPageBreak/>
              <w:t xml:space="preserve">iii. SSPN-ovi i drugi pravni subjekti kojima institucije pružaju usluge povezane sa sekuritizacijom, primjerice usluge savjetovanja, servisiranja imovine ili upravljanja imovinom; </w:t>
            </w:r>
          </w:p>
          <w:p w14:paraId="1B2F47AE" w14:textId="7FA46E11"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iv. SSPN-ovi uključeni u opseg bonitetne konsolidacije institucije,</w:t>
            </w:r>
          </w:p>
          <w:p w14:paraId="7FDD961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 u skladu s člankom 449. točkom (d) CRR-a</w:t>
            </w:r>
          </w:p>
        </w:tc>
      </w:tr>
      <w:tr w:rsidR="00FD656A" w:rsidRPr="007F4CC8" w14:paraId="2D30FBEB" w14:textId="77777777" w:rsidTr="00155C96">
        <w:trPr>
          <w:trHeight w:val="316"/>
        </w:trPr>
        <w:tc>
          <w:tcPr>
            <w:tcW w:w="1413" w:type="dxa"/>
          </w:tcPr>
          <w:p w14:paraId="5BE547AF" w14:textId="2B72CF4F"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05FBEFF3" w14:textId="34D7B59B"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Popis svih pravnih subjekata u vezi s kojima su institucije objavile da su pružile potporu u skladu s dijelom trećim glavom II. poglavljem 5. člankom 449. točkom (e) CRR-a</w:t>
            </w:r>
          </w:p>
        </w:tc>
      </w:tr>
      <w:tr w:rsidR="00FD656A" w:rsidRPr="007F4CC8" w14:paraId="5AB66595" w14:textId="77777777" w:rsidTr="00155C96">
        <w:trPr>
          <w:trHeight w:val="316"/>
        </w:trPr>
        <w:tc>
          <w:tcPr>
            <w:tcW w:w="1413" w:type="dxa"/>
          </w:tcPr>
          <w:p w14:paraId="4B3D3A84" w14:textId="09EA4C33"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w:t>
            </w:r>
          </w:p>
        </w:tc>
        <w:tc>
          <w:tcPr>
            <w:tcW w:w="7654" w:type="dxa"/>
          </w:tcPr>
          <w:p w14:paraId="06FAB31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Popis pravnih subjekata povezanih s institucijama koji ulažu u sekuritizacije u kojima su institucije inicijator ili u </w:t>
            </w:r>
            <w:proofErr w:type="spellStart"/>
            <w:r>
              <w:rPr>
                <w:rFonts w:ascii="Times New Roman" w:hAnsi="Times New Roman"/>
                <w:iCs/>
                <w:sz w:val="24"/>
              </w:rPr>
              <w:t>sekuritizacijske</w:t>
            </w:r>
            <w:proofErr w:type="spellEnd"/>
            <w:r>
              <w:rPr>
                <w:rFonts w:ascii="Times New Roman" w:hAnsi="Times New Roman"/>
                <w:iCs/>
                <w:sz w:val="24"/>
              </w:rPr>
              <w:t xml:space="preserve"> pozicije koje izdaju SSPN-ovi koje sponzoriraju institucije, u skladu s člankom 449. točkom (f) CRR-a</w:t>
            </w:r>
          </w:p>
        </w:tc>
      </w:tr>
      <w:tr w:rsidR="00FD656A" w:rsidRPr="007F4CC8" w14:paraId="5C90321B" w14:textId="77777777" w:rsidTr="00155C96">
        <w:trPr>
          <w:trHeight w:val="316"/>
        </w:trPr>
        <w:tc>
          <w:tcPr>
            <w:tcW w:w="1413" w:type="dxa"/>
          </w:tcPr>
          <w:p w14:paraId="2263DD3F" w14:textId="26FCF79D"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(g)</w:t>
            </w:r>
          </w:p>
        </w:tc>
        <w:tc>
          <w:tcPr>
            <w:tcW w:w="7654" w:type="dxa"/>
          </w:tcPr>
          <w:p w14:paraId="6C2B84BD"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Sažetak računovodstvenih politika za </w:t>
            </w:r>
            <w:proofErr w:type="spellStart"/>
            <w:r>
              <w:rPr>
                <w:rFonts w:ascii="Times New Roman" w:hAnsi="Times New Roman"/>
                <w:iCs/>
                <w:sz w:val="24"/>
              </w:rPr>
              <w:t>sekuritizacijske</w:t>
            </w:r>
            <w:proofErr w:type="spellEnd"/>
            <w:r>
              <w:rPr>
                <w:rFonts w:ascii="Times New Roman" w:hAnsi="Times New Roman"/>
                <w:iCs/>
                <w:sz w:val="24"/>
              </w:rPr>
              <w:t xml:space="preserve"> aktivnosti, uključujući prema potrebi razlikovanje </w:t>
            </w:r>
            <w:proofErr w:type="spellStart"/>
            <w:r>
              <w:rPr>
                <w:rFonts w:ascii="Times New Roman" w:hAnsi="Times New Roman"/>
                <w:iCs/>
                <w:sz w:val="24"/>
              </w:rPr>
              <w:t>sekuritizacijskih</w:t>
            </w:r>
            <w:proofErr w:type="spellEnd"/>
            <w:r>
              <w:rPr>
                <w:rFonts w:ascii="Times New Roman" w:hAnsi="Times New Roman"/>
                <w:iCs/>
                <w:sz w:val="24"/>
              </w:rPr>
              <w:t xml:space="preserve"> i </w:t>
            </w:r>
            <w:proofErr w:type="spellStart"/>
            <w:r>
              <w:rPr>
                <w:rFonts w:ascii="Times New Roman" w:hAnsi="Times New Roman"/>
                <w:iCs/>
                <w:sz w:val="24"/>
              </w:rPr>
              <w:t>resekuritizacijskih</w:t>
            </w:r>
            <w:proofErr w:type="spellEnd"/>
            <w:r>
              <w:rPr>
                <w:rFonts w:ascii="Times New Roman" w:hAnsi="Times New Roman"/>
                <w:iCs/>
                <w:sz w:val="24"/>
              </w:rPr>
              <w:t xml:space="preserve"> pozicija, u skladu s člankom 449. točkom (g) CRR-a</w:t>
            </w:r>
          </w:p>
        </w:tc>
      </w:tr>
      <w:tr w:rsidR="00FD656A" w:rsidRPr="007F4CC8" w14:paraId="6B7C5187" w14:textId="77777777" w:rsidTr="00155C96">
        <w:trPr>
          <w:trHeight w:val="316"/>
        </w:trPr>
        <w:tc>
          <w:tcPr>
            <w:tcW w:w="1413" w:type="dxa"/>
          </w:tcPr>
          <w:p w14:paraId="22DF21EF" w14:textId="02A8CF17"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w:t>
            </w:r>
          </w:p>
        </w:tc>
        <w:tc>
          <w:tcPr>
            <w:tcW w:w="7654" w:type="dxa"/>
          </w:tcPr>
          <w:p w14:paraId="6525856B" w14:textId="33D5976C"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Nazivi VIPKR-ova koji se koriste za sekuritizacije i vrste izloženosti za koje se koristi svaka pojedinačna agencija, u skladu s člankom 449. točkom (h) CRR-a</w:t>
            </w:r>
          </w:p>
        </w:tc>
      </w:tr>
      <w:tr w:rsidR="00FD656A" w:rsidRPr="007F4CC8" w14:paraId="3FA71EDB" w14:textId="77777777" w:rsidTr="00155C96">
        <w:trPr>
          <w:trHeight w:val="316"/>
        </w:trPr>
        <w:tc>
          <w:tcPr>
            <w:tcW w:w="1413" w:type="dxa"/>
          </w:tcPr>
          <w:p w14:paraId="1B50AB52" w14:textId="62CEB549"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(i)</w:t>
            </w:r>
          </w:p>
        </w:tc>
        <w:tc>
          <w:tcPr>
            <w:tcW w:w="7654" w:type="dxa"/>
          </w:tcPr>
          <w:p w14:paraId="00C92543" w14:textId="621F8C7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Ako je primjenjivo, opis pristupa interne procjene iz dijela trećeg glave II. poglavlja 5. CRR-a, uključujući strukturu postupka interne procjene te odnos između interne procjene i vanjskog rejtinga relevantnog VIPKR-a objavljenog u skladu s točkom (h), nadzorne mehanizme za postupak interne procjene, uključujući opis neovisnosti, odgovornosti i provjeru postupka interne procjene, vrste izloženosti na koje se primjenjuje postupak interne procjene te faktore stresa koji se koriste za određivanje razina kreditnog poboljšanja, u skladu s člankom 449. točkom (i) CRR-a.</w:t>
            </w:r>
          </w:p>
        </w:tc>
      </w:tr>
    </w:tbl>
    <w:p w14:paraId="09579526" w14:textId="77777777" w:rsidR="00FD656A" w:rsidRPr="007F4CC8" w:rsidRDefault="00FD656A" w:rsidP="00FD656A">
      <w:pPr>
        <w:rPr>
          <w:rFonts w:ascii="Times New Roman" w:hAnsi="Times New Roman" w:cs="Times New Roman"/>
          <w:sz w:val="24"/>
        </w:rPr>
      </w:pPr>
    </w:p>
    <w:p w14:paraId="00018CBA" w14:textId="77777777" w:rsidR="00FD656A" w:rsidRPr="007F4CC8" w:rsidRDefault="00FD656A" w:rsidP="00FD656A">
      <w:pPr>
        <w:rPr>
          <w:rFonts w:ascii="Times New Roman" w:hAnsi="Times New Roman" w:cs="Times New Roman"/>
          <w:b/>
          <w:sz w:val="24"/>
        </w:rPr>
      </w:pPr>
      <w:r>
        <w:rPr>
          <w:rFonts w:ascii="Times New Roman" w:hAnsi="Times New Roman"/>
          <w:b/>
          <w:sz w:val="24"/>
        </w:rPr>
        <w:t xml:space="preserve">EU-SEC1 – Sekuritizacijske izloženosti u knjizi pozicija kojima se ne trguje </w:t>
      </w:r>
      <w:r>
        <w:rPr>
          <w:rFonts w:ascii="Times New Roman" w:hAnsi="Times New Roman"/>
          <w:sz w:val="24"/>
        </w:rPr>
        <w:t>Fiksan format.</w:t>
      </w:r>
    </w:p>
    <w:p w14:paraId="56807EB4" w14:textId="6BB24A10"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Institucije objavljuju informacije iz članka 449. točke (j) CRR-a prateći upute u nastavku ovog Priloga za popunjavanje obrasca EU SEC1 iz Priloga XXVII. ovoj Provedbenoj uredbi. U opisu koji prilažu uz obrazac institucije objašnjavaju imaju li u okviru svojih tradicionalnih sekuritizacija programe ABCP i, ako imaju, obujam transakcija ABCP.</w:t>
      </w:r>
    </w:p>
    <w:p w14:paraId="1A89B602"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27B6094A"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181A4F" w14:textId="77777777" w:rsidR="00FD656A" w:rsidRPr="007F4CC8" w:rsidRDefault="00FD656A" w:rsidP="00155C96">
            <w:pPr>
              <w:rPr>
                <w:rFonts w:ascii="Times New Roman" w:hAnsi="Times New Roman" w:cs="Times New Roman"/>
                <w:b/>
                <w:sz w:val="24"/>
              </w:rPr>
            </w:pPr>
            <w:r>
              <w:rPr>
                <w:rFonts w:ascii="Times New Roman" w:hAnsi="Times New Roman"/>
                <w:b/>
                <w:sz w:val="24"/>
              </w:rPr>
              <w:t>Pravna osnova i upute</w:t>
            </w:r>
          </w:p>
        </w:tc>
      </w:tr>
      <w:tr w:rsidR="00FD656A" w:rsidRPr="007F4CC8" w14:paraId="000023F8" w14:textId="77777777" w:rsidTr="00155C96">
        <w:trPr>
          <w:trHeight w:val="238"/>
        </w:trPr>
        <w:tc>
          <w:tcPr>
            <w:tcW w:w="1413" w:type="dxa"/>
            <w:shd w:val="clear" w:color="auto" w:fill="D9D9D9" w:themeFill="background1" w:themeFillShade="D9"/>
          </w:tcPr>
          <w:p w14:paraId="0D8F2564"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Referenca stupca</w:t>
            </w:r>
          </w:p>
        </w:tc>
        <w:tc>
          <w:tcPr>
            <w:tcW w:w="7654" w:type="dxa"/>
            <w:shd w:val="clear" w:color="auto" w:fill="D9D9D9" w:themeFill="background1" w:themeFillShade="D9"/>
          </w:tcPr>
          <w:p w14:paraId="479A2812"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FD656A" w:rsidRPr="007F4CC8" w14:paraId="7D06874C" w14:textId="77777777" w:rsidTr="00155C96">
        <w:trPr>
          <w:trHeight w:val="316"/>
        </w:trPr>
        <w:tc>
          <w:tcPr>
            <w:tcW w:w="1413" w:type="dxa"/>
          </w:tcPr>
          <w:p w14:paraId="2070840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 g</w:t>
            </w:r>
          </w:p>
        </w:tc>
        <w:tc>
          <w:tcPr>
            <w:tcW w:w="7654" w:type="dxa"/>
          </w:tcPr>
          <w:p w14:paraId="1785334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Institucija djeluje kao inicijator </w:t>
            </w:r>
          </w:p>
          <w:p w14:paraId="6C0DA174" w14:textId="0F68CD30"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lastRenderedPageBreak/>
              <w:t xml:space="preserve">Ako „institucija djeluje kao </w:t>
            </w:r>
            <w:proofErr w:type="spellStart"/>
            <w:r>
              <w:rPr>
                <w:rFonts w:ascii="Times New Roman" w:hAnsi="Times New Roman"/>
                <w:iCs/>
                <w:sz w:val="24"/>
              </w:rPr>
              <w:t>incijator</w:t>
            </w:r>
            <w:proofErr w:type="spellEnd"/>
            <w:r>
              <w:rPr>
                <w:rFonts w:ascii="Times New Roman" w:hAnsi="Times New Roman"/>
                <w:iCs/>
                <w:sz w:val="24"/>
              </w:rPr>
              <w:t xml:space="preserve">”, kako je definirano u članku 4. stavku 1. točki 13. CRR-a, </w:t>
            </w:r>
            <w:proofErr w:type="spellStart"/>
            <w:r>
              <w:rPr>
                <w:rFonts w:ascii="Times New Roman" w:hAnsi="Times New Roman"/>
                <w:iCs/>
                <w:sz w:val="24"/>
              </w:rPr>
              <w:t>sekuritizacijske</w:t>
            </w:r>
            <w:proofErr w:type="spellEnd"/>
            <w:r>
              <w:rPr>
                <w:rFonts w:ascii="Times New Roman" w:hAnsi="Times New Roman"/>
                <w:iCs/>
                <w:sz w:val="24"/>
              </w:rPr>
              <w:t xml:space="preserve"> izloženosti su zadržane pozicije, čak i ako nisu prihvatljive za sekuritizacijski okvir zbog nedostatka prijenosa značajnog rizika. Sekuritizacijske izloženosti u transakcijama koje su ostvarile prijenos značajnog rizika prikazuju se zasebno.</w:t>
            </w:r>
          </w:p>
          <w:p w14:paraId="61F7DDD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Institucije inicijatori objavljuju knjigovodstvenu vrijednost na datum objave svih trenutačnih </w:t>
            </w:r>
            <w:proofErr w:type="spellStart"/>
            <w:r>
              <w:rPr>
                <w:rFonts w:ascii="Times New Roman" w:hAnsi="Times New Roman"/>
                <w:sz w:val="24"/>
              </w:rPr>
              <w:t>sekuritiziranih</w:t>
            </w:r>
            <w:proofErr w:type="spellEnd"/>
            <w:r>
              <w:rPr>
                <w:rFonts w:ascii="Times New Roman" w:hAnsi="Times New Roman"/>
                <w:sz w:val="24"/>
              </w:rPr>
              <w:t xml:space="preserve"> izloženosti koje drže u sekuritizacijskim transakcijama koje su inicirali. Kao takve, objavljuju se bilančne </w:t>
            </w:r>
            <w:proofErr w:type="spellStart"/>
            <w:r>
              <w:rPr>
                <w:rFonts w:ascii="Times New Roman" w:hAnsi="Times New Roman"/>
                <w:sz w:val="24"/>
              </w:rPr>
              <w:t>sekuritizacijske</w:t>
            </w:r>
            <w:proofErr w:type="spellEnd"/>
            <w:r>
              <w:rPr>
                <w:rFonts w:ascii="Times New Roman" w:hAnsi="Times New Roman"/>
                <w:sz w:val="24"/>
              </w:rPr>
              <w:t xml:space="preserve"> izloženosti (npr. obveznice, podređeni krediti) te </w:t>
            </w:r>
            <w:proofErr w:type="spellStart"/>
            <w:r>
              <w:rPr>
                <w:rFonts w:ascii="Times New Roman" w:hAnsi="Times New Roman"/>
                <w:sz w:val="24"/>
              </w:rPr>
              <w:t>izvanbilančne</w:t>
            </w:r>
            <w:proofErr w:type="spellEnd"/>
            <w:r>
              <w:rPr>
                <w:rFonts w:ascii="Times New Roman" w:hAnsi="Times New Roman"/>
                <w:sz w:val="24"/>
              </w:rPr>
              <w:t xml:space="preserve"> </w:t>
            </w:r>
            <w:proofErr w:type="spellStart"/>
            <w:r>
              <w:rPr>
                <w:rFonts w:ascii="Times New Roman" w:hAnsi="Times New Roman"/>
                <w:sz w:val="24"/>
              </w:rPr>
              <w:t>sekuritizacijske</w:t>
            </w:r>
            <w:proofErr w:type="spellEnd"/>
            <w:r>
              <w:rPr>
                <w:rFonts w:ascii="Times New Roman" w:hAnsi="Times New Roman"/>
                <w:sz w:val="24"/>
              </w:rPr>
              <w:t xml:space="preserve"> izloženosti i izvedenice (npr. podređene kreditne linije, likvidnosne linije, kamatni ugovori o razmjeni, ugovori o razmjeni na osnovi nastanka statusa neispunjavanja obveza itd.) u tim sekuritizacijama.</w:t>
            </w:r>
          </w:p>
        </w:tc>
      </w:tr>
      <w:tr w:rsidR="00FD656A" w:rsidRPr="007F4CC8" w14:paraId="78DDAA5D" w14:textId="77777777" w:rsidTr="00155C96">
        <w:trPr>
          <w:trHeight w:val="316"/>
        </w:trPr>
        <w:tc>
          <w:tcPr>
            <w:tcW w:w="1413" w:type="dxa"/>
          </w:tcPr>
          <w:p w14:paraId="7E817B0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h – k</w:t>
            </w:r>
          </w:p>
        </w:tc>
        <w:tc>
          <w:tcPr>
            <w:tcW w:w="7654" w:type="dxa"/>
          </w:tcPr>
          <w:p w14:paraId="48597E4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Institucija djeluje kao sponzor </w:t>
            </w:r>
          </w:p>
          <w:p w14:paraId="2C4F4A2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iCs/>
                <w:sz w:val="24"/>
              </w:rPr>
              <w:t xml:space="preserve">Ako „institucija djeluje kao sponzor” (kako je definirano u članku 4. stavku 1. točki 14. CRR-a) </w:t>
            </w:r>
            <w:proofErr w:type="spellStart"/>
            <w:r>
              <w:rPr>
                <w:rFonts w:ascii="Times New Roman" w:hAnsi="Times New Roman"/>
                <w:iCs/>
                <w:sz w:val="24"/>
              </w:rPr>
              <w:t>sekuritizacijske</w:t>
            </w:r>
            <w:proofErr w:type="spellEnd"/>
            <w:r>
              <w:rPr>
                <w:rFonts w:ascii="Times New Roman" w:hAnsi="Times New Roman"/>
                <w:iCs/>
                <w:sz w:val="24"/>
              </w:rPr>
              <w:t xml:space="preserve"> izloženosti uključuju izloženosti prema jedinicama iz programa ABCP kojima institucija na razini programa pruža kreditna poboljšanja, likvidnosne i druge linije. Ako institucija djeluje kao inicijator i kao sponzor, izbjegava dvostruko obračunavanje. S tim u vezi institucije mogu spojiti dva stupca „institucija djeluje kao inicijator” i „institucija djeluje kao sponzor” i koristiti stupce „institucija djeluje kao inicijator/sponzor”.</w:t>
            </w:r>
          </w:p>
        </w:tc>
      </w:tr>
      <w:tr w:rsidR="00FD656A" w:rsidRPr="007F4CC8" w14:paraId="56B6C1D2" w14:textId="77777777" w:rsidTr="00155C96">
        <w:trPr>
          <w:trHeight w:val="316"/>
        </w:trPr>
        <w:tc>
          <w:tcPr>
            <w:tcW w:w="1413" w:type="dxa"/>
          </w:tcPr>
          <w:p w14:paraId="6ADDA1F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l – o</w:t>
            </w:r>
          </w:p>
        </w:tc>
        <w:tc>
          <w:tcPr>
            <w:tcW w:w="7654" w:type="dxa"/>
          </w:tcPr>
          <w:p w14:paraId="539AE45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Institucija djeluje kao </w:t>
            </w:r>
            <w:proofErr w:type="spellStart"/>
            <w:r>
              <w:rPr>
                <w:rFonts w:ascii="Times New Roman" w:hAnsi="Times New Roman"/>
                <w:b/>
                <w:iCs/>
                <w:sz w:val="24"/>
              </w:rPr>
              <w:t>ulagatelj</w:t>
            </w:r>
            <w:proofErr w:type="spellEnd"/>
            <w:r>
              <w:rPr>
                <w:rFonts w:ascii="Times New Roman" w:hAnsi="Times New Roman"/>
                <w:b/>
                <w:iCs/>
                <w:sz w:val="24"/>
              </w:rPr>
              <w:t xml:space="preserve"> </w:t>
            </w:r>
          </w:p>
          <w:p w14:paraId="783670D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Ako „institucija djeluje kao </w:t>
            </w:r>
            <w:proofErr w:type="spellStart"/>
            <w:r>
              <w:rPr>
                <w:rFonts w:ascii="Times New Roman" w:hAnsi="Times New Roman"/>
                <w:iCs/>
                <w:sz w:val="24"/>
              </w:rPr>
              <w:t>ulagatelj</w:t>
            </w:r>
            <w:proofErr w:type="spellEnd"/>
            <w:r>
              <w:rPr>
                <w:rFonts w:ascii="Times New Roman" w:hAnsi="Times New Roman"/>
                <w:iCs/>
                <w:sz w:val="24"/>
              </w:rPr>
              <w:t xml:space="preserve">” </w:t>
            </w:r>
            <w:proofErr w:type="spellStart"/>
            <w:r>
              <w:rPr>
                <w:rFonts w:ascii="Times New Roman" w:hAnsi="Times New Roman"/>
                <w:iCs/>
                <w:sz w:val="24"/>
              </w:rPr>
              <w:t>sekuritizacijske</w:t>
            </w:r>
            <w:proofErr w:type="spellEnd"/>
            <w:r>
              <w:rPr>
                <w:rFonts w:ascii="Times New Roman" w:hAnsi="Times New Roman"/>
                <w:iCs/>
                <w:sz w:val="24"/>
              </w:rPr>
              <w:t xml:space="preserve"> izloženosti </w:t>
            </w:r>
            <w:proofErr w:type="spellStart"/>
            <w:r>
              <w:rPr>
                <w:rFonts w:ascii="Times New Roman" w:hAnsi="Times New Roman"/>
                <w:iCs/>
                <w:sz w:val="24"/>
              </w:rPr>
              <w:t>ulagateljske</w:t>
            </w:r>
            <w:proofErr w:type="spellEnd"/>
            <w:r>
              <w:rPr>
                <w:rFonts w:ascii="Times New Roman" w:hAnsi="Times New Roman"/>
                <w:iCs/>
                <w:sz w:val="24"/>
              </w:rPr>
              <w:t xml:space="preserve"> su pozicije kupljene u poslovima s trećim osobama.</w:t>
            </w:r>
          </w:p>
          <w:p w14:paraId="5B949BE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CRR-om nije predviđena izričita definicija ulagatelja. Stoga se u ovom kontekstu podrazumijeva institucijom koja drži </w:t>
            </w:r>
            <w:proofErr w:type="spellStart"/>
            <w:r>
              <w:rPr>
                <w:rFonts w:ascii="Times New Roman" w:hAnsi="Times New Roman"/>
                <w:iCs/>
                <w:sz w:val="24"/>
              </w:rPr>
              <w:t>sekuritizacijsku</w:t>
            </w:r>
            <w:proofErr w:type="spellEnd"/>
            <w:r>
              <w:rPr>
                <w:rFonts w:ascii="Times New Roman" w:hAnsi="Times New Roman"/>
                <w:iCs/>
                <w:sz w:val="24"/>
              </w:rPr>
              <w:t xml:space="preserve"> poziciju u </w:t>
            </w:r>
            <w:proofErr w:type="spellStart"/>
            <w:r>
              <w:rPr>
                <w:rFonts w:ascii="Times New Roman" w:hAnsi="Times New Roman"/>
                <w:iCs/>
                <w:sz w:val="24"/>
              </w:rPr>
              <w:t>sekuritizacijskoj</w:t>
            </w:r>
            <w:proofErr w:type="spellEnd"/>
            <w:r>
              <w:rPr>
                <w:rFonts w:ascii="Times New Roman" w:hAnsi="Times New Roman"/>
                <w:iCs/>
                <w:sz w:val="24"/>
              </w:rPr>
              <w:t xml:space="preserve"> transakciji u kojoj nije ni inicijator ni sponzor. </w:t>
            </w:r>
          </w:p>
          <w:p w14:paraId="6F2E1A6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Ako je skup </w:t>
            </w:r>
            <w:proofErr w:type="spellStart"/>
            <w:r>
              <w:rPr>
                <w:rFonts w:ascii="Times New Roman" w:hAnsi="Times New Roman"/>
                <w:iCs/>
                <w:sz w:val="24"/>
              </w:rPr>
              <w:t>sekuritiziranih</w:t>
            </w:r>
            <w:proofErr w:type="spellEnd"/>
            <w:r>
              <w:rPr>
                <w:rFonts w:ascii="Times New Roman" w:hAnsi="Times New Roman"/>
                <w:iCs/>
                <w:sz w:val="24"/>
              </w:rPr>
              <w:t xml:space="preserve"> izloženosti kombinacija vrsta sekuritizacijskih pozicija, institucija navodi najvažniju vrstu.</w:t>
            </w:r>
          </w:p>
        </w:tc>
      </w:tr>
      <w:tr w:rsidR="00FD656A" w:rsidRPr="007F4CC8" w14:paraId="2F4A6C4E" w14:textId="77777777" w:rsidTr="00155C96">
        <w:trPr>
          <w:trHeight w:val="316"/>
        </w:trPr>
        <w:tc>
          <w:tcPr>
            <w:tcW w:w="1413" w:type="dxa"/>
          </w:tcPr>
          <w:p w14:paraId="3C36735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 d; h, i, l, m</w:t>
            </w:r>
          </w:p>
        </w:tc>
        <w:tc>
          <w:tcPr>
            <w:tcW w:w="7654" w:type="dxa"/>
          </w:tcPr>
          <w:p w14:paraId="0FF30F6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Tradicionalne transakcije </w:t>
            </w:r>
          </w:p>
          <w:p w14:paraId="7AA354A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U skladu s člankom 242. točkom 13. CRR-a, u vezi s člankom 2. točkom 9. Uredbe (EU) 2017/2402</w:t>
            </w:r>
            <w:r>
              <w:rPr>
                <w:rStyle w:val="FootnoteReference"/>
                <w:rFonts w:eastAsia="Times New Roman" w:cs="Times New Roman"/>
                <w:iCs/>
              </w:rPr>
              <w:footnoteReference w:id="43"/>
            </w:r>
            <w:r>
              <w:rPr>
                <w:rFonts w:ascii="Times New Roman" w:hAnsi="Times New Roman"/>
                <w:iCs/>
                <w:sz w:val="24"/>
              </w:rPr>
              <w:t xml:space="preserve">, „tradicionalna sekuritizacija” znači sekuritizacija kojom se obuhvaća prijenos ekonomskih udjela u izloženosti koje se </w:t>
            </w:r>
            <w:proofErr w:type="spellStart"/>
            <w:r>
              <w:rPr>
                <w:rFonts w:ascii="Times New Roman" w:hAnsi="Times New Roman"/>
                <w:iCs/>
                <w:sz w:val="24"/>
              </w:rPr>
              <w:t>sekuritiziraju</w:t>
            </w:r>
            <w:proofErr w:type="spellEnd"/>
            <w:r>
              <w:rPr>
                <w:rFonts w:ascii="Times New Roman" w:hAnsi="Times New Roman"/>
                <w:iCs/>
                <w:sz w:val="24"/>
              </w:rPr>
              <w:t xml:space="preserve">. To se postiže prijenosom vlasništva nad </w:t>
            </w:r>
            <w:proofErr w:type="spellStart"/>
            <w:r>
              <w:rPr>
                <w:rFonts w:ascii="Times New Roman" w:hAnsi="Times New Roman"/>
                <w:iCs/>
                <w:sz w:val="24"/>
              </w:rPr>
              <w:t>sekuritiziranim</w:t>
            </w:r>
            <w:proofErr w:type="spellEnd"/>
            <w:r>
              <w:rPr>
                <w:rFonts w:ascii="Times New Roman" w:hAnsi="Times New Roman"/>
                <w:iCs/>
                <w:sz w:val="24"/>
              </w:rPr>
              <w:t xml:space="preserve"> izloženostima s institucije inicijatora na SSPN ili </w:t>
            </w:r>
            <w:proofErr w:type="spellStart"/>
            <w:r>
              <w:rPr>
                <w:rFonts w:ascii="Times New Roman" w:hAnsi="Times New Roman"/>
                <w:iCs/>
                <w:sz w:val="24"/>
              </w:rPr>
              <w:t>podsudjelovanjem</w:t>
            </w:r>
            <w:proofErr w:type="spellEnd"/>
            <w:r>
              <w:rPr>
                <w:rFonts w:ascii="Times New Roman" w:hAnsi="Times New Roman"/>
                <w:iCs/>
                <w:sz w:val="24"/>
              </w:rPr>
              <w:t xml:space="preserve"> SSPN-a. Izdani vrijednosni papiri ne predstavljaju obvezu plaćanja institucije inicijatora.</w:t>
            </w:r>
          </w:p>
          <w:p w14:paraId="66F3BA9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lastRenderedPageBreak/>
              <w:t xml:space="preserve">U slučaju tradicionalnih sekuritizacija kada inicijator ne drži nijednu poziciju, inicijator ne uzima u obzir tu sekuritizaciju u objavi iz ovog obrasca. </w:t>
            </w:r>
          </w:p>
        </w:tc>
      </w:tr>
      <w:tr w:rsidR="00FD656A" w:rsidRPr="007F4CC8" w14:paraId="36EDEA6A" w14:textId="77777777" w:rsidTr="00155C96">
        <w:trPr>
          <w:trHeight w:val="316"/>
        </w:trPr>
        <w:tc>
          <w:tcPr>
            <w:tcW w:w="1413" w:type="dxa"/>
          </w:tcPr>
          <w:p w14:paraId="5529B551"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 f, j, n</w:t>
            </w:r>
          </w:p>
        </w:tc>
        <w:tc>
          <w:tcPr>
            <w:tcW w:w="7654" w:type="dxa"/>
          </w:tcPr>
          <w:p w14:paraId="3C1DBB1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Sintetske transakcije </w:t>
            </w:r>
          </w:p>
          <w:p w14:paraId="5BA04DC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U skladu s člankom 242. točkom 14. CRR-a, u vezi s člankom 2. točkom 10. Uredbe (EU) 2017/2402, „sintetska sekuritizacija” znači sekuritizacija u kojoj se prijenos rizika postiže uporabom kreditnih izvedenica ili jamstava, a izloženosti koje se </w:t>
            </w:r>
            <w:proofErr w:type="spellStart"/>
            <w:r>
              <w:rPr>
                <w:rFonts w:ascii="Times New Roman" w:hAnsi="Times New Roman"/>
                <w:iCs/>
                <w:sz w:val="24"/>
              </w:rPr>
              <w:t>sekuritiziraju</w:t>
            </w:r>
            <w:proofErr w:type="spellEnd"/>
            <w:r>
              <w:rPr>
                <w:rFonts w:ascii="Times New Roman" w:hAnsi="Times New Roman"/>
                <w:iCs/>
                <w:sz w:val="24"/>
              </w:rPr>
              <w:t xml:space="preserve"> ostaju izloženosti institucije inicijatora.</w:t>
            </w:r>
          </w:p>
          <w:p w14:paraId="2FD5C4D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Ako je institucija kupila zaštitu, iznose neto izloženosti kojima je izložena i na koje se ne primjenjuje kupljena zaštita (tj. iznos koji nije osiguran) objavljuje u stupcima inicijator/sponzor iz ovog obrasca. Ako je institucija prodala zaštitu, iznos izloženosti kreditne zaštite objavljuje se u stupcu „</w:t>
            </w:r>
            <w:proofErr w:type="spellStart"/>
            <w:r>
              <w:rPr>
                <w:rFonts w:ascii="Times New Roman" w:hAnsi="Times New Roman"/>
                <w:iCs/>
                <w:sz w:val="24"/>
              </w:rPr>
              <w:t>ulagatelj</w:t>
            </w:r>
            <w:proofErr w:type="spellEnd"/>
            <w:r>
              <w:rPr>
                <w:rFonts w:ascii="Times New Roman" w:hAnsi="Times New Roman"/>
                <w:iCs/>
                <w:sz w:val="24"/>
              </w:rPr>
              <w:t xml:space="preserve">” iz ovog obrasca. </w:t>
            </w:r>
          </w:p>
        </w:tc>
      </w:tr>
      <w:tr w:rsidR="00FD656A" w:rsidRPr="007F4CC8" w14:paraId="2B856637" w14:textId="77777777" w:rsidTr="00155C96">
        <w:trPr>
          <w:trHeight w:val="316"/>
        </w:trPr>
        <w:tc>
          <w:tcPr>
            <w:tcW w:w="1413" w:type="dxa"/>
          </w:tcPr>
          <w:p w14:paraId="6046AAB7" w14:textId="7ED2C6C3"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b, h, l,</w:t>
            </w:r>
          </w:p>
        </w:tc>
        <w:tc>
          <w:tcPr>
            <w:tcW w:w="7654" w:type="dxa"/>
          </w:tcPr>
          <w:p w14:paraId="12100FE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STS izloženost </w:t>
            </w:r>
          </w:p>
          <w:p w14:paraId="0D3E5667" w14:textId="77777777" w:rsidR="00FD656A" w:rsidRPr="007F4CC8" w:rsidRDefault="00FD656A" w:rsidP="00155C96">
            <w:pPr>
              <w:autoSpaceDE w:val="0"/>
              <w:autoSpaceDN w:val="0"/>
              <w:adjustRightInd w:val="0"/>
              <w:spacing w:before="120" w:after="120"/>
              <w:jc w:val="both"/>
              <w:rPr>
                <w:rFonts w:ascii="Times New Roman" w:hAnsi="Times New Roman"/>
                <w:sz w:val="24"/>
              </w:rPr>
            </w:pPr>
            <w:r>
              <w:rPr>
                <w:rFonts w:ascii="Times New Roman" w:hAnsi="Times New Roman"/>
                <w:iCs/>
                <w:sz w:val="24"/>
              </w:rPr>
              <w:t xml:space="preserve">Ukupni iznos STS sekuritizacijskih pozicija u skladu s kriterijima iz članaka od 18. do 26. </w:t>
            </w:r>
            <w:r>
              <w:rPr>
                <w:rFonts w:ascii="Times New Roman" w:hAnsi="Times New Roman"/>
                <w:sz w:val="24"/>
              </w:rPr>
              <w:t>Uredbe (EU) 2017/2402.</w:t>
            </w:r>
          </w:p>
        </w:tc>
      </w:tr>
      <w:tr w:rsidR="00FD656A" w:rsidRPr="007F4CC8" w14:paraId="2FF047DB" w14:textId="77777777" w:rsidTr="00155C96">
        <w:trPr>
          <w:trHeight w:val="316"/>
        </w:trPr>
        <w:tc>
          <w:tcPr>
            <w:tcW w:w="1413" w:type="dxa"/>
          </w:tcPr>
          <w:p w14:paraId="37AF19AF"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 d, f</w:t>
            </w:r>
          </w:p>
        </w:tc>
        <w:tc>
          <w:tcPr>
            <w:tcW w:w="7654" w:type="dxa"/>
          </w:tcPr>
          <w:p w14:paraId="53790FE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SRT izloženost </w:t>
            </w:r>
          </w:p>
          <w:p w14:paraId="66644678" w14:textId="4913620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Ukupni iznos sekuritizacijskih izloženosti za koje je institucija inicijator ostvarila prijenos značajnog rizika (SRT) u skladu s člankom 244. (tradicionalna sekuritizacija) i članka 245. (sintetska sekuritizacija) CRR-a.</w:t>
            </w:r>
          </w:p>
        </w:tc>
      </w:tr>
    </w:tbl>
    <w:p w14:paraId="3001635E" w14:textId="77777777" w:rsidR="00FD656A" w:rsidRPr="007F4CC8" w:rsidRDefault="00FD656A" w:rsidP="00FD656A">
      <w:pPr>
        <w:rPr>
          <w:rFonts w:ascii="Times New Roman" w:hAnsi="Times New Roman" w:cs="Times New Roman"/>
          <w:sz w:val="24"/>
        </w:rPr>
      </w:pPr>
    </w:p>
    <w:p w14:paraId="404DD993" w14:textId="77777777" w:rsidR="00FD656A" w:rsidRPr="007F4CC8" w:rsidRDefault="00FD656A" w:rsidP="00FD656A">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D656A" w:rsidRPr="007F4CC8" w14:paraId="030EA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C0BC" w14:textId="77777777" w:rsidR="00FD656A" w:rsidRPr="007F4CC8" w:rsidRDefault="00FD656A" w:rsidP="00155C96">
            <w:pPr>
              <w:rPr>
                <w:rFonts w:ascii="Times New Roman" w:hAnsi="Times New Roman" w:cs="Times New Roman"/>
                <w:b/>
                <w:sz w:val="24"/>
              </w:rPr>
            </w:pPr>
            <w:r>
              <w:rPr>
                <w:rFonts w:ascii="Times New Roman" w:hAnsi="Times New Roman"/>
                <w:b/>
                <w:sz w:val="24"/>
              </w:rPr>
              <w:t>Pravna osnova i upute</w:t>
            </w:r>
          </w:p>
        </w:tc>
      </w:tr>
      <w:tr w:rsidR="00FD656A" w:rsidRPr="007F4CC8" w14:paraId="3891E7FA" w14:textId="77777777" w:rsidTr="00155C96">
        <w:trPr>
          <w:trHeight w:val="238"/>
        </w:trPr>
        <w:tc>
          <w:tcPr>
            <w:tcW w:w="1384" w:type="dxa"/>
            <w:shd w:val="clear" w:color="auto" w:fill="D9D9D9" w:themeFill="background1" w:themeFillShade="D9"/>
          </w:tcPr>
          <w:p w14:paraId="6453523F"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6B871733"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FD656A" w:rsidRPr="007F4CC8" w14:paraId="2710BE65" w14:textId="77777777" w:rsidTr="00155C96">
        <w:trPr>
          <w:trHeight w:val="2195"/>
        </w:trPr>
        <w:tc>
          <w:tcPr>
            <w:tcW w:w="1384" w:type="dxa"/>
          </w:tcPr>
          <w:p w14:paraId="507D43C0" w14:textId="77777777" w:rsidR="00FD656A" w:rsidRPr="007F4CC8" w:rsidRDefault="00FD656A" w:rsidP="00764687">
            <w:pPr>
              <w:pStyle w:val="Applicationdirecte"/>
              <w:spacing w:before="120"/>
              <w:jc w:val="center"/>
              <w:rPr>
                <w:highlight w:val="yellow"/>
              </w:rPr>
            </w:pPr>
            <w:r>
              <w:t>06, 12</w:t>
            </w:r>
          </w:p>
        </w:tc>
        <w:tc>
          <w:tcPr>
            <w:tcW w:w="7655" w:type="dxa"/>
          </w:tcPr>
          <w:p w14:paraId="709D0619" w14:textId="77777777" w:rsidR="00FD656A" w:rsidRPr="007F4CC8" w:rsidRDefault="00FD656A" w:rsidP="00155C96">
            <w:pPr>
              <w:jc w:val="both"/>
              <w:rPr>
                <w:rFonts w:ascii="Times New Roman" w:hAnsi="Times New Roman" w:cs="Times New Roman"/>
                <w:b/>
                <w:sz w:val="24"/>
              </w:rPr>
            </w:pPr>
            <w:proofErr w:type="spellStart"/>
            <w:r>
              <w:rPr>
                <w:rFonts w:ascii="Times New Roman" w:hAnsi="Times New Roman"/>
                <w:b/>
                <w:sz w:val="24"/>
              </w:rPr>
              <w:t>Resekuritizacije</w:t>
            </w:r>
            <w:proofErr w:type="spellEnd"/>
          </w:p>
          <w:p w14:paraId="52FFD5C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Ukupni iznos preostalih </w:t>
            </w:r>
            <w:proofErr w:type="spellStart"/>
            <w:r>
              <w:rPr>
                <w:rFonts w:ascii="Times New Roman" w:hAnsi="Times New Roman"/>
                <w:iCs/>
                <w:sz w:val="24"/>
              </w:rPr>
              <w:t>resekuritizacijskih</w:t>
            </w:r>
            <w:proofErr w:type="spellEnd"/>
            <w:r>
              <w:rPr>
                <w:rFonts w:ascii="Times New Roman" w:hAnsi="Times New Roman"/>
                <w:iCs/>
                <w:sz w:val="24"/>
              </w:rPr>
              <w:t xml:space="preserve"> pozicija kako su definirane u članku 4. stavku 1. točkama 63. i 64. CRR-a.</w:t>
            </w:r>
          </w:p>
          <w:p w14:paraId="3BB843E0" w14:textId="77777777" w:rsidR="00FD656A" w:rsidRPr="007F4CC8" w:rsidRDefault="00FD656A" w:rsidP="00155C96">
            <w:pPr>
              <w:jc w:val="both"/>
              <w:rPr>
                <w:rFonts w:ascii="Times New Roman" w:hAnsi="Times New Roman" w:cs="Times New Roman"/>
                <w:sz w:val="24"/>
                <w:highlight w:val="yellow"/>
              </w:rPr>
            </w:pPr>
            <w:r>
              <w:rPr>
                <w:rFonts w:ascii="Times New Roman" w:hAnsi="Times New Roman"/>
                <w:iCs/>
                <w:sz w:val="24"/>
              </w:rPr>
              <w:t xml:space="preserve">Sve </w:t>
            </w:r>
            <w:proofErr w:type="spellStart"/>
            <w:r>
              <w:rPr>
                <w:rFonts w:ascii="Times New Roman" w:hAnsi="Times New Roman"/>
                <w:iCs/>
                <w:sz w:val="24"/>
              </w:rPr>
              <w:t>sekuritizacijske</w:t>
            </w:r>
            <w:proofErr w:type="spellEnd"/>
            <w:r>
              <w:rPr>
                <w:rFonts w:ascii="Times New Roman" w:hAnsi="Times New Roman"/>
                <w:iCs/>
                <w:sz w:val="24"/>
              </w:rPr>
              <w:t xml:space="preserve"> izloženosti povezane s </w:t>
            </w:r>
            <w:proofErr w:type="spellStart"/>
            <w:r>
              <w:rPr>
                <w:rFonts w:ascii="Times New Roman" w:hAnsi="Times New Roman"/>
                <w:iCs/>
                <w:sz w:val="24"/>
              </w:rPr>
              <w:t>resekuritizacijom</w:t>
            </w:r>
            <w:proofErr w:type="spellEnd"/>
            <w:r>
              <w:rPr>
                <w:rFonts w:ascii="Times New Roman" w:hAnsi="Times New Roman"/>
                <w:iCs/>
                <w:sz w:val="24"/>
              </w:rPr>
              <w:t xml:space="preserve"> popunjavaju se u redcima „</w:t>
            </w:r>
            <w:proofErr w:type="spellStart"/>
            <w:r>
              <w:rPr>
                <w:rFonts w:ascii="Times New Roman" w:hAnsi="Times New Roman"/>
                <w:iCs/>
                <w:sz w:val="24"/>
              </w:rPr>
              <w:t>resekuritizacija</w:t>
            </w:r>
            <w:proofErr w:type="spellEnd"/>
            <w:r>
              <w:rPr>
                <w:rFonts w:ascii="Times New Roman" w:hAnsi="Times New Roman"/>
                <w:iCs/>
                <w:sz w:val="24"/>
              </w:rPr>
              <w:t xml:space="preserve">”, a ne u prethodnim redcima (po vrsti odnosne imovine) koji sadržavaju samo </w:t>
            </w:r>
            <w:proofErr w:type="spellStart"/>
            <w:r>
              <w:rPr>
                <w:rFonts w:ascii="Times New Roman" w:hAnsi="Times New Roman"/>
                <w:iCs/>
                <w:sz w:val="24"/>
              </w:rPr>
              <w:t>sekuritizacijske</w:t>
            </w:r>
            <w:proofErr w:type="spellEnd"/>
            <w:r>
              <w:rPr>
                <w:rFonts w:ascii="Times New Roman" w:hAnsi="Times New Roman"/>
                <w:iCs/>
                <w:sz w:val="24"/>
              </w:rPr>
              <w:t xml:space="preserve"> izloženosti koje nisu </w:t>
            </w:r>
            <w:proofErr w:type="spellStart"/>
            <w:r>
              <w:rPr>
                <w:rFonts w:ascii="Times New Roman" w:hAnsi="Times New Roman"/>
                <w:iCs/>
                <w:sz w:val="24"/>
              </w:rPr>
              <w:t>resekuritizacije</w:t>
            </w:r>
            <w:proofErr w:type="spellEnd"/>
            <w:r>
              <w:rPr>
                <w:rFonts w:ascii="Times New Roman" w:hAnsi="Times New Roman"/>
                <w:iCs/>
                <w:sz w:val="24"/>
              </w:rPr>
              <w:t>.</w:t>
            </w:r>
          </w:p>
        </w:tc>
      </w:tr>
    </w:tbl>
    <w:p w14:paraId="4864F03F" w14:textId="77777777" w:rsidR="00FD656A" w:rsidRPr="007F4CC8" w:rsidRDefault="00FD656A" w:rsidP="00FD656A">
      <w:pPr>
        <w:rPr>
          <w:rFonts w:ascii="Times New Roman" w:hAnsi="Times New Roman" w:cs="Times New Roman"/>
          <w:sz w:val="24"/>
        </w:rPr>
      </w:pPr>
    </w:p>
    <w:p w14:paraId="63618CA2" w14:textId="77777777" w:rsidR="00FD656A" w:rsidRPr="007F4CC8" w:rsidRDefault="00FD656A" w:rsidP="00FD656A">
      <w:pPr>
        <w:rPr>
          <w:rFonts w:ascii="Times New Roman" w:hAnsi="Times New Roman" w:cs="Times New Roman"/>
          <w:sz w:val="24"/>
        </w:rPr>
      </w:pPr>
    </w:p>
    <w:p w14:paraId="305D0456" w14:textId="1922DC25" w:rsidR="00FD656A" w:rsidRPr="007F4CC8" w:rsidRDefault="00D95507" w:rsidP="00FD656A">
      <w:pPr>
        <w:rPr>
          <w:rFonts w:ascii="Times New Roman" w:hAnsi="Times New Roman" w:cs="Times New Roman"/>
          <w:sz w:val="24"/>
        </w:rPr>
      </w:pPr>
      <w:r>
        <w:rPr>
          <w:rFonts w:ascii="Times New Roman" w:hAnsi="Times New Roman"/>
          <w:b/>
          <w:sz w:val="24"/>
        </w:rPr>
        <w:t xml:space="preserve">Obrazac EU SEC2 – Sekuritizacijske izloženosti u knjizi trgovanja </w:t>
      </w:r>
      <w:r>
        <w:rPr>
          <w:rFonts w:ascii="Times New Roman" w:hAnsi="Times New Roman"/>
          <w:sz w:val="24"/>
        </w:rPr>
        <w:t>Fiksan format.</w:t>
      </w:r>
    </w:p>
    <w:p w14:paraId="7B7C16C7" w14:textId="516403FF"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Institucije objavljuju informacije iz članka 449. točke (j) CRR-a prateći upute u nastavku ovog Priloga za popunjavanje obrasca EU SEC2 iz Priloga XXVII. ovoj Provedbenoj uredbi.</w:t>
      </w:r>
    </w:p>
    <w:p w14:paraId="6282D1B1" w14:textId="300CAA2E"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Institucije se upućuju na upute za obrazac EU SEC1 – Sekuritizacijske izloženosti u knjizi kojom se ne trguje.</w:t>
      </w:r>
    </w:p>
    <w:p w14:paraId="4FB367D0" w14:textId="77777777" w:rsidR="00FD656A" w:rsidRPr="007F4CC8" w:rsidRDefault="00FD656A" w:rsidP="00FD656A">
      <w:pPr>
        <w:rPr>
          <w:rFonts w:ascii="Times New Roman" w:hAnsi="Times New Roman" w:cs="Times New Roman"/>
          <w:sz w:val="24"/>
        </w:rPr>
      </w:pPr>
    </w:p>
    <w:p w14:paraId="30A281B6" w14:textId="6AF91BD3" w:rsidR="00FD656A" w:rsidRPr="007F4CC8" w:rsidRDefault="00D95507" w:rsidP="00FD656A">
      <w:pPr>
        <w:rPr>
          <w:rFonts w:ascii="Times New Roman" w:hAnsi="Times New Roman" w:cs="Times New Roman"/>
          <w:sz w:val="24"/>
        </w:rPr>
      </w:pPr>
      <w:r>
        <w:rPr>
          <w:rFonts w:ascii="Times New Roman" w:hAnsi="Times New Roman"/>
          <w:b/>
          <w:sz w:val="24"/>
        </w:rPr>
        <w:lastRenderedPageBreak/>
        <w:t>Obrazac EU SEC3 – Sekuritizacijske izloženosti u knjizi pozicija kojima se ne trguje i povezani regulatorni kapitalni zahtjevi – institucija djeluje kao inicijator ili sponzor</w:t>
      </w:r>
      <w:r w:rsidR="00214F5B">
        <w:rPr>
          <w:rFonts w:ascii="Times New Roman" w:hAnsi="Times New Roman"/>
          <w:b/>
          <w:sz w:val="24"/>
        </w:rPr>
        <w:t>.</w:t>
      </w:r>
      <w:r>
        <w:rPr>
          <w:rFonts w:ascii="Times New Roman" w:hAnsi="Times New Roman"/>
          <w:b/>
          <w:sz w:val="24"/>
        </w:rPr>
        <w:t xml:space="preserve"> </w:t>
      </w:r>
      <w:r>
        <w:rPr>
          <w:rFonts w:ascii="Times New Roman" w:hAnsi="Times New Roman"/>
          <w:sz w:val="24"/>
        </w:rPr>
        <w:t>Fiksan format.</w:t>
      </w:r>
    </w:p>
    <w:p w14:paraId="6556F337" w14:textId="6FFCFDA6"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 xml:space="preserve">Institucije objavljuju informacije iz članka 449. točke (k) podtočke i. CRR-a prateći upute u nastavku ovog Priloga za popunjavanje obrasca EU SEC3 iz Priloga XXVII. ovoj Provedbenoj uredbi. </w:t>
      </w:r>
    </w:p>
    <w:p w14:paraId="53BD657D"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13ADDA07"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EB4474" w14:textId="77777777" w:rsidR="00FD656A" w:rsidRPr="007F4CC8" w:rsidRDefault="00FD656A" w:rsidP="00155C96">
            <w:pPr>
              <w:rPr>
                <w:rFonts w:ascii="Times New Roman" w:hAnsi="Times New Roman" w:cs="Times New Roman"/>
                <w:b/>
                <w:sz w:val="24"/>
              </w:rPr>
            </w:pPr>
            <w:r>
              <w:rPr>
                <w:rFonts w:ascii="Times New Roman" w:hAnsi="Times New Roman"/>
                <w:b/>
                <w:sz w:val="24"/>
              </w:rPr>
              <w:t>Pravna osnova i upute</w:t>
            </w:r>
          </w:p>
        </w:tc>
      </w:tr>
      <w:tr w:rsidR="00FD656A" w:rsidRPr="007F4CC8" w14:paraId="65983817" w14:textId="77777777" w:rsidTr="00155C96">
        <w:trPr>
          <w:trHeight w:val="741"/>
        </w:trPr>
        <w:tc>
          <w:tcPr>
            <w:tcW w:w="1413" w:type="dxa"/>
            <w:shd w:val="clear" w:color="auto" w:fill="D9D9D9" w:themeFill="background1" w:themeFillShade="D9"/>
          </w:tcPr>
          <w:p w14:paraId="0F9207C0"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Referenca stupca</w:t>
            </w:r>
          </w:p>
        </w:tc>
        <w:tc>
          <w:tcPr>
            <w:tcW w:w="7654" w:type="dxa"/>
            <w:shd w:val="clear" w:color="auto" w:fill="D9D9D9" w:themeFill="background1" w:themeFillShade="D9"/>
          </w:tcPr>
          <w:p w14:paraId="704015FB"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FD656A" w:rsidRPr="007F4CC8" w14:paraId="6F1EB7BA" w14:textId="77777777" w:rsidTr="00155C96">
        <w:trPr>
          <w:trHeight w:val="741"/>
        </w:trPr>
        <w:tc>
          <w:tcPr>
            <w:tcW w:w="1413" w:type="dxa"/>
            <w:shd w:val="clear" w:color="auto" w:fill="auto"/>
          </w:tcPr>
          <w:p w14:paraId="1BACB89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do d</w:t>
            </w:r>
          </w:p>
        </w:tc>
        <w:tc>
          <w:tcPr>
            <w:tcW w:w="7654" w:type="dxa"/>
            <w:shd w:val="clear" w:color="auto" w:fill="auto"/>
          </w:tcPr>
          <w:p w14:paraId="4C31C0A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Vrijednosti izloženosti (prema rasponima pondera rizika/odbicima)</w:t>
            </w:r>
          </w:p>
          <w:p w14:paraId="2BB8E46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Vrijednosti koje se objavljuju u stupcima od (a) do (d) ovog obrasca u vezi s regulatornim ponderima utvrđuju se u skladu s dijelom trećim glavom II. poglavljem 5. CRR-a.</w:t>
            </w:r>
          </w:p>
        </w:tc>
      </w:tr>
      <w:tr w:rsidR="00FD656A" w:rsidRPr="007F4CC8" w14:paraId="2FB338A2" w14:textId="77777777" w:rsidTr="00155C96">
        <w:trPr>
          <w:trHeight w:val="741"/>
        </w:trPr>
        <w:tc>
          <w:tcPr>
            <w:tcW w:w="1413" w:type="dxa"/>
            <w:shd w:val="clear" w:color="auto" w:fill="auto"/>
          </w:tcPr>
          <w:p w14:paraId="087B4DE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 do h</w:t>
            </w:r>
          </w:p>
        </w:tc>
        <w:tc>
          <w:tcPr>
            <w:tcW w:w="7654" w:type="dxa"/>
            <w:shd w:val="clear" w:color="auto" w:fill="auto"/>
          </w:tcPr>
          <w:p w14:paraId="7D67C5E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Vrijednosti izloženosti (prema regulatornom pristupu)</w:t>
            </w:r>
          </w:p>
          <w:p w14:paraId="1120BB0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Stupci od (f) do (h) ovog obrasca odgovaraju regulatornom pristupu koji se koristi u skladu s hijerarhijom pristupa iz članka 254. CRR-a.</w:t>
            </w:r>
          </w:p>
        </w:tc>
      </w:tr>
      <w:tr w:rsidR="00FD656A" w:rsidRPr="007F4CC8" w14:paraId="4FDFF9C4" w14:textId="77777777" w:rsidTr="00155C96">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099070D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j, k, l</w:t>
            </w:r>
          </w:p>
        </w:tc>
        <w:tc>
          <w:tcPr>
            <w:tcW w:w="7654" w:type="dxa"/>
            <w:tcBorders>
              <w:top w:val="single" w:sz="4" w:space="0" w:color="auto"/>
              <w:left w:val="single" w:sz="4" w:space="0" w:color="auto"/>
              <w:bottom w:val="single" w:sz="4" w:space="0" w:color="auto"/>
              <w:right w:val="single" w:sz="4" w:space="0" w:color="auto"/>
            </w:tcBorders>
            <w:hideMark/>
          </w:tcPr>
          <w:p w14:paraId="05451D8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RWEA (prema regulatornom pristupu)</w:t>
            </w:r>
          </w:p>
          <w:p w14:paraId="478B8E5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Iznos izloženosti ponderiran rizikom (RWEA) prema regulatornom pristupu u skladu s dijelom trećim glavom II. poglavljem 5. CRR-a prije primjene gornje granice.</w:t>
            </w:r>
          </w:p>
        </w:tc>
      </w:tr>
      <w:tr w:rsidR="00FD656A" w:rsidRPr="007F4CC8" w14:paraId="201AC600" w14:textId="77777777" w:rsidTr="00155C96">
        <w:trPr>
          <w:trHeight w:val="741"/>
        </w:trPr>
        <w:tc>
          <w:tcPr>
            <w:tcW w:w="1413" w:type="dxa"/>
            <w:shd w:val="clear" w:color="auto" w:fill="auto"/>
          </w:tcPr>
          <w:p w14:paraId="5E7DB875" w14:textId="02688B19"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n do EU-p</w:t>
            </w:r>
          </w:p>
        </w:tc>
        <w:tc>
          <w:tcPr>
            <w:tcW w:w="7654" w:type="dxa"/>
            <w:shd w:val="clear" w:color="auto" w:fill="auto"/>
          </w:tcPr>
          <w:p w14:paraId="181A3BB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Kapitalni zahtjev nakon primjene gornje granice</w:t>
            </w:r>
          </w:p>
          <w:p w14:paraId="4170D15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Ovi stupci odnose se na kapitalni zahtjev nakon primjene gornje granice u skladu s člancima 267. i 268. CRR-a.</w:t>
            </w:r>
          </w:p>
        </w:tc>
      </w:tr>
      <w:tr w:rsidR="00FD656A" w:rsidRPr="007F4CC8" w14:paraId="4F32B6B1" w14:textId="77777777" w:rsidTr="00155C96">
        <w:trPr>
          <w:trHeight w:val="741"/>
        </w:trPr>
        <w:tc>
          <w:tcPr>
            <w:tcW w:w="1413" w:type="dxa"/>
            <w:shd w:val="clear" w:color="auto" w:fill="auto"/>
          </w:tcPr>
          <w:p w14:paraId="3E2AC2F8" w14:textId="7FAD00FD"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e, i, m, EU-q</w:t>
            </w:r>
          </w:p>
        </w:tc>
        <w:tc>
          <w:tcPr>
            <w:tcW w:w="7654" w:type="dxa"/>
            <w:shd w:val="clear" w:color="auto" w:fill="auto"/>
          </w:tcPr>
          <w:p w14:paraId="09867D30" w14:textId="6105823B"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Ponder rizika 1 250 % / odbici</w:t>
            </w:r>
          </w:p>
          <w:p w14:paraId="077D4CC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Stupci se odnose na stavke:</w:t>
            </w:r>
          </w:p>
          <w:p w14:paraId="6CF7BD9E"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Primjenjuje se ponder rizika od 1 250 % ili se odbija u skladu s</w:t>
            </w:r>
            <w:r>
              <w:rPr>
                <w:rFonts w:ascii="Times New Roman" w:hAnsi="Times New Roman"/>
                <w:sz w:val="24"/>
              </w:rPr>
              <w:t xml:space="preserve"> dijelom trećim glavom II. poglavljem 5. CRR-a;</w:t>
            </w:r>
          </w:p>
          <w:p w14:paraId="7732473D"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primjenjuje se ponder rizika od 1 250 % ili se odbija u skladu s člankom 244. stavkom 1. točkom (b) i člankom 245. stavkom 1. točkom (b) CRR-a;</w:t>
            </w:r>
          </w:p>
          <w:p w14:paraId="5EE3DE47"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primjenjuje se ponder rizika od 1 250 % u skladu s člankom 254. stavkom 7. CRR-a;</w:t>
            </w:r>
          </w:p>
          <w:p w14:paraId="66D33204"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ili se odbija u skladu s člankom 253. CRR-a. </w:t>
            </w:r>
          </w:p>
        </w:tc>
      </w:tr>
    </w:tbl>
    <w:p w14:paraId="67978C13" w14:textId="77777777" w:rsidR="00FD656A" w:rsidRPr="007F4CC8" w:rsidRDefault="00FD656A" w:rsidP="00FD656A">
      <w:pPr>
        <w:rPr>
          <w:rFonts w:ascii="Times New Roman" w:hAnsi="Times New Roman" w:cs="Times New Roman"/>
          <w:sz w:val="24"/>
        </w:rPr>
      </w:pPr>
    </w:p>
    <w:p w14:paraId="3BE5A4B2"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43CD1805"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EC1ACD" w14:textId="77777777" w:rsidR="00FD656A" w:rsidRPr="007F4CC8" w:rsidRDefault="00FD656A" w:rsidP="00155C96">
            <w:pPr>
              <w:rPr>
                <w:rFonts w:ascii="Times New Roman" w:hAnsi="Times New Roman" w:cs="Times New Roman"/>
                <w:b/>
                <w:sz w:val="24"/>
              </w:rPr>
            </w:pPr>
            <w:r>
              <w:rPr>
                <w:rFonts w:ascii="Times New Roman" w:hAnsi="Times New Roman"/>
                <w:b/>
                <w:sz w:val="24"/>
              </w:rPr>
              <w:t>Pravna osnova i upute</w:t>
            </w:r>
          </w:p>
        </w:tc>
      </w:tr>
      <w:tr w:rsidR="00FD656A" w:rsidRPr="007F4CC8" w14:paraId="62700A45" w14:textId="77777777" w:rsidTr="00155C96">
        <w:trPr>
          <w:trHeight w:val="741"/>
        </w:trPr>
        <w:tc>
          <w:tcPr>
            <w:tcW w:w="1413" w:type="dxa"/>
            <w:shd w:val="clear" w:color="auto" w:fill="D9D9D9" w:themeFill="background1" w:themeFillShade="D9"/>
          </w:tcPr>
          <w:p w14:paraId="2E1F40DF"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lastRenderedPageBreak/>
              <w:t>Broj retka</w:t>
            </w:r>
          </w:p>
        </w:tc>
        <w:tc>
          <w:tcPr>
            <w:tcW w:w="7654" w:type="dxa"/>
            <w:shd w:val="clear" w:color="auto" w:fill="D9D9D9" w:themeFill="background1" w:themeFillShade="D9"/>
          </w:tcPr>
          <w:p w14:paraId="000888AD"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FD656A" w:rsidRPr="007F4CC8" w14:paraId="1F6C8707" w14:textId="77777777" w:rsidTr="00155C96">
        <w:trPr>
          <w:trHeight w:val="741"/>
        </w:trPr>
        <w:tc>
          <w:tcPr>
            <w:tcW w:w="1413" w:type="dxa"/>
            <w:shd w:val="clear" w:color="auto" w:fill="auto"/>
          </w:tcPr>
          <w:p w14:paraId="7F46E67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5E042BD6"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Ukupne izloženosti </w:t>
            </w:r>
          </w:p>
          <w:p w14:paraId="61128B07"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Ukupne izloženosti odnose se na ukupni iznos </w:t>
            </w:r>
            <w:proofErr w:type="spellStart"/>
            <w:r>
              <w:rPr>
                <w:rFonts w:ascii="Times New Roman" w:hAnsi="Times New Roman"/>
                <w:sz w:val="24"/>
              </w:rPr>
              <w:t>sekuritizacijskih</w:t>
            </w:r>
            <w:proofErr w:type="spellEnd"/>
            <w:r>
              <w:rPr>
                <w:rFonts w:ascii="Times New Roman" w:hAnsi="Times New Roman"/>
                <w:sz w:val="24"/>
              </w:rPr>
              <w:t xml:space="preserve"> i </w:t>
            </w:r>
            <w:proofErr w:type="spellStart"/>
            <w:r>
              <w:rPr>
                <w:rFonts w:ascii="Times New Roman" w:hAnsi="Times New Roman"/>
                <w:sz w:val="24"/>
              </w:rPr>
              <w:t>resekuritizacijskih</w:t>
            </w:r>
            <w:proofErr w:type="spellEnd"/>
            <w:r>
              <w:rPr>
                <w:rFonts w:ascii="Times New Roman" w:hAnsi="Times New Roman"/>
                <w:sz w:val="24"/>
              </w:rPr>
              <w:t xml:space="preserve"> pozicija koje drži institucija koja djeluje kao inicijator ili sponzor. U ovom retku sažimaju se informacije o tradicionalnoj i sintetskoj sekuritizaciji koje inicijatori i sponzori objavljuju u sljedećim redcima.</w:t>
            </w:r>
          </w:p>
        </w:tc>
      </w:tr>
      <w:tr w:rsidR="00FD656A" w:rsidRPr="007F4CC8" w14:paraId="11F73E64" w14:textId="77777777" w:rsidTr="00155C96">
        <w:trPr>
          <w:trHeight w:val="741"/>
        </w:trPr>
        <w:tc>
          <w:tcPr>
            <w:tcW w:w="1413" w:type="dxa"/>
            <w:shd w:val="clear" w:color="auto" w:fill="auto"/>
          </w:tcPr>
          <w:p w14:paraId="2184D835"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006739B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Tradicionalne transakcije </w:t>
            </w:r>
          </w:p>
          <w:p w14:paraId="131E718F" w14:textId="56B5B5F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Vidjeti objašnjenje za obrazac EU SEC1.</w:t>
            </w:r>
          </w:p>
        </w:tc>
      </w:tr>
      <w:tr w:rsidR="00FD656A" w:rsidRPr="007F4CC8" w14:paraId="572C0D34" w14:textId="77777777" w:rsidTr="00155C96">
        <w:trPr>
          <w:trHeight w:val="316"/>
        </w:trPr>
        <w:tc>
          <w:tcPr>
            <w:tcW w:w="1413" w:type="dxa"/>
          </w:tcPr>
          <w:p w14:paraId="55213017"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3, 10</w:t>
            </w:r>
          </w:p>
        </w:tc>
        <w:tc>
          <w:tcPr>
            <w:tcW w:w="7654" w:type="dxa"/>
          </w:tcPr>
          <w:p w14:paraId="753EC35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Sekuritizacija </w:t>
            </w:r>
          </w:p>
          <w:p w14:paraId="03D9D77A" w14:textId="77777777" w:rsidR="00FD656A" w:rsidRPr="007F4CC8" w:rsidRDefault="00FD656A" w:rsidP="00155C96">
            <w:pPr>
              <w:jc w:val="both"/>
              <w:rPr>
                <w:rFonts w:ascii="Times New Roman" w:hAnsi="Times New Roman" w:cs="Times New Roman"/>
                <w:sz w:val="24"/>
              </w:rPr>
            </w:pPr>
            <w:r>
              <w:rPr>
                <w:rFonts w:ascii="Times New Roman" w:hAnsi="Times New Roman"/>
                <w:sz w:val="24"/>
              </w:rPr>
              <w:t xml:space="preserve">Ukupni iznos preostalih sekuritizacijskih pozicija, kako su definirane u članku 4. stavku 1. točki 62. CRR-a, koje nisu </w:t>
            </w:r>
            <w:proofErr w:type="spellStart"/>
            <w:r>
              <w:rPr>
                <w:rFonts w:ascii="Times New Roman" w:hAnsi="Times New Roman"/>
                <w:sz w:val="24"/>
              </w:rPr>
              <w:t>resekuritizacijske</w:t>
            </w:r>
            <w:proofErr w:type="spellEnd"/>
            <w:r>
              <w:rPr>
                <w:rFonts w:ascii="Times New Roman" w:hAnsi="Times New Roman"/>
                <w:sz w:val="24"/>
              </w:rPr>
              <w:t xml:space="preserve"> pozicije kako su definirane u članku 4. stavku 1. točki 64. CRR-a.</w:t>
            </w:r>
          </w:p>
        </w:tc>
      </w:tr>
      <w:tr w:rsidR="00FD656A" w:rsidRPr="007F4CC8" w14:paraId="17935004" w14:textId="77777777" w:rsidTr="00155C96">
        <w:trPr>
          <w:trHeight w:val="316"/>
        </w:trPr>
        <w:tc>
          <w:tcPr>
            <w:tcW w:w="1413" w:type="dxa"/>
          </w:tcPr>
          <w:p w14:paraId="5003725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5, 7</w:t>
            </w:r>
          </w:p>
        </w:tc>
        <w:tc>
          <w:tcPr>
            <w:tcW w:w="7654" w:type="dxa"/>
          </w:tcPr>
          <w:p w14:paraId="2F461D0B"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STS pozicije </w:t>
            </w:r>
          </w:p>
          <w:p w14:paraId="2FD4F3A2" w14:textId="1898222F"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Vidjeti objašnjenje za obrazac EU SEC1.</w:t>
            </w:r>
          </w:p>
        </w:tc>
      </w:tr>
      <w:tr w:rsidR="00FD656A" w:rsidRPr="007F4CC8" w14:paraId="667A5499" w14:textId="77777777" w:rsidTr="00155C96">
        <w:trPr>
          <w:trHeight w:val="316"/>
        </w:trPr>
        <w:tc>
          <w:tcPr>
            <w:tcW w:w="1413" w:type="dxa"/>
          </w:tcPr>
          <w:p w14:paraId="09716BD8"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8, 13</w:t>
            </w:r>
          </w:p>
        </w:tc>
        <w:tc>
          <w:tcPr>
            <w:tcW w:w="7654" w:type="dxa"/>
          </w:tcPr>
          <w:p w14:paraId="5F42EE65"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proofErr w:type="spellStart"/>
            <w:r>
              <w:rPr>
                <w:rFonts w:ascii="Times New Roman" w:hAnsi="Times New Roman"/>
                <w:b/>
                <w:sz w:val="24"/>
              </w:rPr>
              <w:t>Resekuritizacije</w:t>
            </w:r>
            <w:proofErr w:type="spellEnd"/>
          </w:p>
          <w:p w14:paraId="25C089FC" w14:textId="516B4101"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Vidjeti objašnjenje za obrazac EU SEC1.</w:t>
            </w:r>
          </w:p>
        </w:tc>
      </w:tr>
      <w:tr w:rsidR="00FD656A" w:rsidRPr="007F4CC8" w14:paraId="0A1C8A80" w14:textId="77777777" w:rsidTr="00155C96">
        <w:trPr>
          <w:trHeight w:val="316"/>
        </w:trPr>
        <w:tc>
          <w:tcPr>
            <w:tcW w:w="1413" w:type="dxa"/>
          </w:tcPr>
          <w:p w14:paraId="7E0C596E"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9</w:t>
            </w:r>
          </w:p>
        </w:tc>
        <w:tc>
          <w:tcPr>
            <w:tcW w:w="7654" w:type="dxa"/>
          </w:tcPr>
          <w:p w14:paraId="3ACFC7B9"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Sintetske transakcije</w:t>
            </w:r>
          </w:p>
          <w:p w14:paraId="502DDA4D" w14:textId="44D02D0E"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Vidjeti objašnjenje za obrazac EU SEC1.</w:t>
            </w:r>
          </w:p>
        </w:tc>
      </w:tr>
    </w:tbl>
    <w:p w14:paraId="03FA11C4" w14:textId="77777777" w:rsidR="00FD656A" w:rsidRPr="007F4CC8" w:rsidRDefault="00FD656A" w:rsidP="00FD656A">
      <w:pPr>
        <w:rPr>
          <w:rFonts w:ascii="Times New Roman" w:hAnsi="Times New Roman" w:cs="Times New Roman"/>
          <w:sz w:val="24"/>
        </w:rPr>
      </w:pPr>
    </w:p>
    <w:p w14:paraId="2B8847B3" w14:textId="77777777" w:rsidR="00FD656A" w:rsidRPr="007F4CC8" w:rsidRDefault="00FD656A" w:rsidP="00FD656A">
      <w:pPr>
        <w:rPr>
          <w:rFonts w:ascii="Times New Roman" w:hAnsi="Times New Roman" w:cs="Times New Roman"/>
          <w:sz w:val="24"/>
        </w:rPr>
      </w:pPr>
    </w:p>
    <w:p w14:paraId="26335A0C" w14:textId="75C8BEA9" w:rsidR="00FD656A" w:rsidRPr="007F4CC8" w:rsidRDefault="00D95507" w:rsidP="00FD656A">
      <w:pPr>
        <w:rPr>
          <w:rFonts w:ascii="Times New Roman" w:hAnsi="Times New Roman" w:cs="Times New Roman"/>
          <w:sz w:val="24"/>
        </w:rPr>
      </w:pPr>
      <w:r>
        <w:rPr>
          <w:rFonts w:ascii="Times New Roman" w:hAnsi="Times New Roman"/>
          <w:b/>
          <w:sz w:val="24"/>
        </w:rPr>
        <w:t xml:space="preserve">Obrazac EU SEC4 – Sekuritizacijske izloženosti u knjizi pozicija kojima se ne trguje i povezani regulatorni kapitalni zahtjevi – institucija djeluje kao </w:t>
      </w:r>
      <w:proofErr w:type="spellStart"/>
      <w:r>
        <w:rPr>
          <w:rFonts w:ascii="Times New Roman" w:hAnsi="Times New Roman"/>
          <w:b/>
          <w:sz w:val="24"/>
        </w:rPr>
        <w:t>ulagatelj</w:t>
      </w:r>
      <w:proofErr w:type="spellEnd"/>
      <w:r>
        <w:rPr>
          <w:rFonts w:ascii="Times New Roman" w:hAnsi="Times New Roman"/>
          <w:b/>
          <w:sz w:val="24"/>
        </w:rPr>
        <w:t xml:space="preserve">. </w:t>
      </w:r>
      <w:r>
        <w:rPr>
          <w:rFonts w:ascii="Times New Roman" w:hAnsi="Times New Roman"/>
          <w:sz w:val="24"/>
        </w:rPr>
        <w:t>Fiksan format.</w:t>
      </w:r>
    </w:p>
    <w:p w14:paraId="1B1244CB" w14:textId="4ADAD25C"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Institucije objavljuju informacije iz članka 449. točke (k) podtočke ii. CRR-a prateći upute u nastavku ovog Priloga za popunjavanje obrasca EU SEC4 iz Priloga XXVII. ovoj Provedbenoj uredbi.</w:t>
      </w:r>
    </w:p>
    <w:p w14:paraId="26E5EFB2" w14:textId="032861EA"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Institucije se upućuju na upute za</w:t>
      </w:r>
      <w:r>
        <w:rPr>
          <w:rFonts w:ascii="Times New Roman" w:hAnsi="Times New Roman"/>
          <w:sz w:val="24"/>
        </w:rPr>
        <w:t xml:space="preserve"> obrazac EU </w:t>
      </w:r>
      <w:r>
        <w:rPr>
          <w:rFonts w:ascii="Times New Roman" w:hAnsi="Times New Roman"/>
          <w:bCs/>
          <w:sz w:val="24"/>
        </w:rPr>
        <w:t>SEC3 – Sekuritizacijske izloženosti u knjizi pozicija kojima se ne trguje i povezani regulatorni kapitalni zahtjevi – institucija djeluje kao inicijator ili sponzor.</w:t>
      </w:r>
    </w:p>
    <w:p w14:paraId="5E29523C" w14:textId="77777777" w:rsidR="00FD656A" w:rsidRPr="007F4CC8" w:rsidRDefault="00FD656A" w:rsidP="00FD656A">
      <w:pPr>
        <w:rPr>
          <w:rFonts w:ascii="Times New Roman" w:hAnsi="Times New Roman" w:cs="Times New Roman"/>
          <w:sz w:val="24"/>
        </w:rPr>
      </w:pPr>
    </w:p>
    <w:p w14:paraId="7244A814" w14:textId="5E9F1FA7" w:rsidR="00FD656A" w:rsidRPr="007F4CC8" w:rsidRDefault="00D95507" w:rsidP="00FD656A">
      <w:pPr>
        <w:rPr>
          <w:rFonts w:ascii="Times New Roman" w:hAnsi="Times New Roman" w:cs="Times New Roman"/>
          <w:b/>
          <w:sz w:val="24"/>
        </w:rPr>
      </w:pPr>
      <w:r>
        <w:rPr>
          <w:rFonts w:ascii="Times New Roman" w:hAnsi="Times New Roman"/>
          <w:b/>
          <w:sz w:val="24"/>
        </w:rPr>
        <w:t>Obrazac EU SEC5 – Izloženosti koje je sekuritizirala institucija – Izloženosti sa statusom neispunjavanja obveza i specifični ispravci vrijednosti za kreditni rizik</w:t>
      </w:r>
      <w:r w:rsidR="00214F5B">
        <w:rPr>
          <w:rFonts w:ascii="Times New Roman" w:hAnsi="Times New Roman"/>
          <w:b/>
          <w:sz w:val="24"/>
        </w:rPr>
        <w:t>.</w:t>
      </w:r>
      <w:r>
        <w:rPr>
          <w:rFonts w:ascii="Times New Roman" w:hAnsi="Times New Roman"/>
          <w:b/>
          <w:sz w:val="24"/>
        </w:rPr>
        <w:t xml:space="preserve"> </w:t>
      </w:r>
      <w:r>
        <w:rPr>
          <w:rFonts w:ascii="Times New Roman" w:hAnsi="Times New Roman"/>
          <w:sz w:val="24"/>
        </w:rPr>
        <w:t>Fiksan format.</w:t>
      </w:r>
    </w:p>
    <w:p w14:paraId="4EF0F0C4" w14:textId="25C276BB"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 xml:space="preserve">Institucije objavljuju informacije iz članka 449. stavka 1. CRR-a po vrsti </w:t>
      </w:r>
      <w:proofErr w:type="spellStart"/>
      <w:r>
        <w:rPr>
          <w:rFonts w:ascii="Times New Roman" w:hAnsi="Times New Roman"/>
          <w:bCs/>
          <w:sz w:val="24"/>
        </w:rPr>
        <w:t>sekuritizacijske</w:t>
      </w:r>
      <w:proofErr w:type="spellEnd"/>
      <w:r>
        <w:rPr>
          <w:rFonts w:ascii="Times New Roman" w:hAnsi="Times New Roman"/>
          <w:bCs/>
          <w:sz w:val="24"/>
        </w:rPr>
        <w:t xml:space="preserve"> izloženosti, prateći upute u nastavku ovog Priloga za popunjavanje obrasca EU SEC5 iz Priloga XXVII. ovoj Provedbenoj uredbi.</w:t>
      </w:r>
    </w:p>
    <w:p w14:paraId="0C515F74"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0F4D338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C7AD39" w14:textId="77777777" w:rsidR="00FD656A" w:rsidRPr="007F4CC8" w:rsidRDefault="00FD656A" w:rsidP="00155C96">
            <w:pPr>
              <w:rPr>
                <w:rFonts w:ascii="Times New Roman" w:hAnsi="Times New Roman" w:cs="Times New Roman"/>
                <w:b/>
                <w:sz w:val="24"/>
              </w:rPr>
            </w:pPr>
            <w:r>
              <w:rPr>
                <w:rFonts w:ascii="Times New Roman" w:hAnsi="Times New Roman"/>
                <w:b/>
                <w:sz w:val="24"/>
              </w:rPr>
              <w:lastRenderedPageBreak/>
              <w:t>Pravna osnova i upute</w:t>
            </w:r>
          </w:p>
        </w:tc>
      </w:tr>
      <w:tr w:rsidR="00FD656A" w:rsidRPr="007F4CC8" w14:paraId="0B36D42B" w14:textId="77777777" w:rsidTr="00155C96">
        <w:trPr>
          <w:trHeight w:val="741"/>
        </w:trPr>
        <w:tc>
          <w:tcPr>
            <w:tcW w:w="1413" w:type="dxa"/>
            <w:shd w:val="clear" w:color="auto" w:fill="D9D9D9" w:themeFill="background1" w:themeFillShade="D9"/>
          </w:tcPr>
          <w:p w14:paraId="1FBDC6DD"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Referenca stupca</w:t>
            </w:r>
          </w:p>
        </w:tc>
        <w:tc>
          <w:tcPr>
            <w:tcW w:w="7654" w:type="dxa"/>
            <w:shd w:val="clear" w:color="auto" w:fill="D9D9D9" w:themeFill="background1" w:themeFillShade="D9"/>
          </w:tcPr>
          <w:p w14:paraId="4E82CE72"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FD656A" w:rsidRPr="007F4CC8" w14:paraId="590FEA31" w14:textId="77777777" w:rsidTr="00155C96">
        <w:trPr>
          <w:trHeight w:val="741"/>
        </w:trPr>
        <w:tc>
          <w:tcPr>
            <w:tcW w:w="1413" w:type="dxa"/>
            <w:shd w:val="clear" w:color="auto" w:fill="auto"/>
          </w:tcPr>
          <w:p w14:paraId="5176268C"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3CB1BA27"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Ukupni nepodmireni nominalni iznos</w:t>
            </w:r>
          </w:p>
          <w:p w14:paraId="093F363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Ukupni nepodmireni nominalni iznos izloženosti koje je sekuritizirala institucija (institucija djeluje kao inicijator ili sponzor), raščlanjen po vrsti </w:t>
            </w:r>
            <w:proofErr w:type="spellStart"/>
            <w:r>
              <w:rPr>
                <w:rFonts w:ascii="Times New Roman" w:hAnsi="Times New Roman"/>
                <w:sz w:val="24"/>
              </w:rPr>
              <w:t>sekurizitacijske</w:t>
            </w:r>
            <w:proofErr w:type="spellEnd"/>
            <w:r>
              <w:rPr>
                <w:rFonts w:ascii="Times New Roman" w:hAnsi="Times New Roman"/>
                <w:sz w:val="24"/>
              </w:rPr>
              <w:t xml:space="preserve"> izloženosti.</w:t>
            </w:r>
          </w:p>
        </w:tc>
      </w:tr>
      <w:tr w:rsidR="00FD656A" w:rsidRPr="007F4CC8" w14:paraId="14BB4C13" w14:textId="77777777" w:rsidTr="00155C96">
        <w:trPr>
          <w:trHeight w:val="741"/>
        </w:trPr>
        <w:tc>
          <w:tcPr>
            <w:tcW w:w="1413" w:type="dxa"/>
            <w:shd w:val="clear" w:color="auto" w:fill="auto"/>
          </w:tcPr>
          <w:p w14:paraId="52985090"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shd w:val="clear" w:color="auto" w:fill="auto"/>
          </w:tcPr>
          <w:p w14:paraId="38577A5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Ukupni nepodmireni nominalni iznos – od čega izloženosti sa statusom neispunjavanja obveza</w:t>
            </w:r>
          </w:p>
          <w:p w14:paraId="0EFCD67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Style w:val="InstructionsTabelleText"/>
                <w:rFonts w:ascii="Times New Roman" w:hAnsi="Times New Roman"/>
                <w:sz w:val="24"/>
              </w:rPr>
              <w:t xml:space="preserve">Ukupni nepodmireni nominalni iznos </w:t>
            </w:r>
            <w:r>
              <w:rPr>
                <w:rFonts w:ascii="Times New Roman" w:hAnsi="Times New Roman"/>
                <w:sz w:val="24"/>
              </w:rPr>
              <w:t>izloženosti koje je sekuritizirala institucija (institucija djeluje kao inicijator ili sponzor)</w:t>
            </w:r>
            <w:r>
              <w:rPr>
                <w:rStyle w:val="InstructionsTabelleText"/>
                <w:rFonts w:ascii="Times New Roman" w:hAnsi="Times New Roman"/>
                <w:sz w:val="24"/>
              </w:rPr>
              <w:t xml:space="preserve">, razvrstan kao „izloženosti u statusu neispunjavanja obveza” u skladu s člankom 178. CRR-a, </w:t>
            </w:r>
            <w:r>
              <w:rPr>
                <w:rFonts w:ascii="Times New Roman" w:hAnsi="Times New Roman"/>
                <w:sz w:val="24"/>
              </w:rPr>
              <w:t xml:space="preserve">raščlanjen po vrsti </w:t>
            </w:r>
            <w:proofErr w:type="spellStart"/>
            <w:r>
              <w:rPr>
                <w:rFonts w:ascii="Times New Roman" w:hAnsi="Times New Roman"/>
                <w:sz w:val="24"/>
              </w:rPr>
              <w:t>sekuritizacijske</w:t>
            </w:r>
            <w:proofErr w:type="spellEnd"/>
            <w:r>
              <w:rPr>
                <w:rFonts w:ascii="Times New Roman" w:hAnsi="Times New Roman"/>
                <w:sz w:val="24"/>
              </w:rPr>
              <w:t xml:space="preserve"> izloženosti.</w:t>
            </w:r>
          </w:p>
        </w:tc>
      </w:tr>
      <w:tr w:rsidR="00FD656A" w:rsidRPr="007F4CC8" w14:paraId="5BFEC22E" w14:textId="77777777" w:rsidTr="00155C96">
        <w:trPr>
          <w:trHeight w:val="741"/>
        </w:trPr>
        <w:tc>
          <w:tcPr>
            <w:tcW w:w="1413" w:type="dxa"/>
            <w:shd w:val="clear" w:color="auto" w:fill="auto"/>
          </w:tcPr>
          <w:p w14:paraId="70623005"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shd w:val="clear" w:color="auto" w:fill="auto"/>
          </w:tcPr>
          <w:p w14:paraId="01D915B9" w14:textId="77777777" w:rsidR="00FD656A" w:rsidRPr="007F4CC8" w:rsidRDefault="00FD656A" w:rsidP="00155C96">
            <w:pPr>
              <w:rPr>
                <w:rFonts w:ascii="Times New Roman" w:eastAsia="Times New Roman" w:hAnsi="Times New Roman" w:cs="Times New Roman"/>
                <w:b/>
                <w:sz w:val="24"/>
              </w:rPr>
            </w:pPr>
            <w:r>
              <w:rPr>
                <w:rFonts w:ascii="Times New Roman" w:hAnsi="Times New Roman"/>
                <w:b/>
                <w:sz w:val="24"/>
              </w:rPr>
              <w:t>Specifični ispravci vrijednosti za kreditni rizik provedeni u razdoblju</w:t>
            </w:r>
          </w:p>
          <w:p w14:paraId="00230EE3"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Iznos specifičnih ispravaka vrijednosti za kreditni rizik provedenih u razdoblju u skladu s člankom 110. CRR-a, za izloženosti koje je sekuritizirala institucija (institucija djeluje kao inicijator ili sponzor), raščlanjen po vrsti </w:t>
            </w:r>
            <w:proofErr w:type="spellStart"/>
            <w:r>
              <w:rPr>
                <w:rFonts w:ascii="Times New Roman" w:hAnsi="Times New Roman"/>
                <w:sz w:val="24"/>
              </w:rPr>
              <w:t>sekuritizacijske</w:t>
            </w:r>
            <w:proofErr w:type="spellEnd"/>
            <w:r>
              <w:rPr>
                <w:rFonts w:ascii="Times New Roman" w:hAnsi="Times New Roman"/>
                <w:sz w:val="24"/>
              </w:rPr>
              <w:t xml:space="preserve"> izloženosti.</w:t>
            </w:r>
          </w:p>
        </w:tc>
      </w:tr>
    </w:tbl>
    <w:p w14:paraId="576C3386" w14:textId="77777777" w:rsidR="00FD656A" w:rsidRPr="007F4CC8" w:rsidRDefault="00FD656A" w:rsidP="00FD656A">
      <w:pPr>
        <w:rPr>
          <w:rFonts w:ascii="Times New Roman" w:hAnsi="Times New Roman" w:cs="Times New Roman"/>
          <w:sz w:val="24"/>
        </w:rPr>
      </w:pPr>
    </w:p>
    <w:p w14:paraId="3D9E91DC" w14:textId="27D5E86D"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10DD1F8C" w14:textId="46797C33" w:rsidR="00203C1C" w:rsidRPr="007F4CC8" w:rsidRDefault="00203C1C">
      <w:pPr>
        <w:rPr>
          <w:rFonts w:ascii="Times New Roman" w:hAnsi="Times New Roman" w:cs="Times New Roman"/>
          <w:b/>
          <w:sz w:val="24"/>
        </w:rPr>
      </w:pPr>
    </w:p>
    <w:p w14:paraId="5F68E1BB" w14:textId="77777777" w:rsidR="00203C1C" w:rsidRPr="007F4CC8" w:rsidRDefault="00203C1C" w:rsidP="00203C1C">
      <w:pPr>
        <w:pStyle w:val="Titlelevel2"/>
        <w:spacing w:before="0"/>
        <w:rPr>
          <w:rFonts w:ascii="Times New Roman" w:hAnsi="Times New Roman" w:cs="Times New Roman"/>
          <w:b/>
          <w:color w:val="auto"/>
          <w:sz w:val="24"/>
        </w:rPr>
      </w:pPr>
      <w:r>
        <w:rPr>
          <w:rFonts w:ascii="Times New Roman" w:hAnsi="Times New Roman"/>
          <w:b/>
          <w:color w:val="auto"/>
          <w:sz w:val="24"/>
        </w:rPr>
        <w:t xml:space="preserve">PRILOG XXX – Tablice i obrasci za objavu standardiziranog i internog pristupa tržišnom riziku: Upute </w:t>
      </w:r>
    </w:p>
    <w:p w14:paraId="55A8B293" w14:textId="77777777" w:rsidR="00203C1C" w:rsidRPr="007F4CC8" w:rsidRDefault="00203C1C" w:rsidP="00203C1C">
      <w:pPr>
        <w:pStyle w:val="Titlelevel2"/>
        <w:numPr>
          <w:ilvl w:val="0"/>
          <w:numId w:val="60"/>
        </w:numPr>
        <w:spacing w:before="0"/>
        <w:jc w:val="both"/>
        <w:rPr>
          <w:rFonts w:ascii="Times New Roman" w:hAnsi="Times New Roman" w:cs="Times New Roman"/>
          <w:color w:val="auto"/>
          <w:sz w:val="24"/>
        </w:rPr>
      </w:pPr>
      <w:r>
        <w:rPr>
          <w:rFonts w:ascii="Times New Roman" w:hAnsi="Times New Roman"/>
          <w:color w:val="auto"/>
          <w:sz w:val="24"/>
        </w:rPr>
        <w:t>Ovaj prilog obuhvaća upute kojih se institucije moraju pridržavati pri objavi informacija iz članaka 435., 445. i 455. Uredbe (EU) 575/2013</w:t>
      </w:r>
      <w:r>
        <w:rPr>
          <w:rStyle w:val="FootnoteReference"/>
          <w:rFonts w:cs="Times New Roman"/>
          <w:color w:val="auto"/>
          <w:lang w:val="en-GB"/>
        </w:rPr>
        <w:footnoteReference w:id="44"/>
      </w:r>
      <w:r>
        <w:rPr>
          <w:rFonts w:ascii="Times New Roman" w:hAnsi="Times New Roman"/>
          <w:color w:val="auto"/>
          <w:sz w:val="24"/>
        </w:rPr>
        <w:t xml:space="preserve"> („CRR”) za popunjavanje tablica i obrazaca za objavu tržišnog rizika koji su navedeni u Prilogu XXIX. ovoj Provedbenoj uredbi. </w:t>
      </w:r>
    </w:p>
    <w:p w14:paraId="43D7A3F8" w14:textId="7A64AECC" w:rsidR="00203C1C" w:rsidRPr="007F4CC8" w:rsidRDefault="00203C1C" w:rsidP="00203C1C">
      <w:pPr>
        <w:spacing w:after="240"/>
        <w:jc w:val="both"/>
        <w:rPr>
          <w:rFonts w:ascii="Times New Roman" w:hAnsi="Times New Roman" w:cs="Times New Roman"/>
          <w:sz w:val="24"/>
        </w:rPr>
      </w:pPr>
      <w:r>
        <w:rPr>
          <w:rFonts w:ascii="Times New Roman" w:hAnsi="Times New Roman"/>
          <w:b/>
          <w:sz w:val="24"/>
        </w:rPr>
        <w:t>Tablica EU MRA</w:t>
      </w:r>
      <w:r>
        <w:rPr>
          <w:rFonts w:ascii="Times New Roman" w:hAnsi="Times New Roman"/>
          <w:sz w:val="24"/>
        </w:rPr>
        <w:t xml:space="preserve"> </w:t>
      </w:r>
      <w:r>
        <w:rPr>
          <w:rFonts w:ascii="Times New Roman" w:hAnsi="Times New Roman"/>
          <w:b/>
          <w:sz w:val="24"/>
        </w:rPr>
        <w:t>– Zahtjevi za objavu kvalitativnih informacija o tržišnom riziku:</w:t>
      </w:r>
      <w:r>
        <w:rPr>
          <w:rFonts w:ascii="Times New Roman" w:hAnsi="Times New Roman"/>
          <w:sz w:val="24"/>
        </w:rPr>
        <w:t xml:space="preserve"> Polja za slobodni unos teksta</w:t>
      </w:r>
    </w:p>
    <w:p w14:paraId="42BA3085" w14:textId="0392B9EE" w:rsidR="00203C1C" w:rsidRPr="007F4CC8" w:rsidRDefault="00203C1C" w:rsidP="00203C1C">
      <w:pPr>
        <w:pStyle w:val="Titlelevel2"/>
        <w:numPr>
          <w:ilvl w:val="0"/>
          <w:numId w:val="60"/>
        </w:numPr>
        <w:spacing w:before="0"/>
        <w:jc w:val="both"/>
        <w:rPr>
          <w:rFonts w:ascii="Times New Roman" w:hAnsi="Times New Roman" w:cs="Times New Roman"/>
          <w:sz w:val="24"/>
        </w:rPr>
      </w:pPr>
      <w:r>
        <w:rPr>
          <w:rFonts w:ascii="Times New Roman" w:hAnsi="Times New Roman"/>
          <w:bCs w:val="0"/>
          <w:color w:val="000000"/>
          <w:sz w:val="24"/>
        </w:rPr>
        <w:t>Institucije objavljuju informacije iz članka 435. stavka 1. točaka od (a) do (d) CRR-a u pogledu tržišnog rizika prateći upute u nastavku ovog Priloga za popunjavanje tablice EU MRA iz Priloga XXIX. ovoj Provedbenoj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03C1C" w:rsidRPr="007F4CC8" w14:paraId="7AA4C6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E4267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Pravna osnova i upute</w:t>
            </w:r>
          </w:p>
        </w:tc>
      </w:tr>
      <w:tr w:rsidR="00203C1C" w:rsidRPr="007F4CC8" w14:paraId="318767ED" w14:textId="77777777" w:rsidTr="00155C96">
        <w:trPr>
          <w:trHeight w:val="238"/>
        </w:trPr>
        <w:tc>
          <w:tcPr>
            <w:tcW w:w="1384" w:type="dxa"/>
            <w:shd w:val="clear" w:color="auto" w:fill="D9D9D9" w:themeFill="background1" w:themeFillShade="D9"/>
          </w:tcPr>
          <w:p w14:paraId="1E688E3C" w14:textId="77777777" w:rsidR="00203C1C" w:rsidRPr="007F4CC8" w:rsidRDefault="00203C1C"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2C256459" w14:textId="77777777" w:rsidR="00203C1C" w:rsidRPr="007F4CC8" w:rsidRDefault="00203C1C"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Objašnjenje</w:t>
            </w:r>
          </w:p>
        </w:tc>
      </w:tr>
      <w:tr w:rsidR="00203C1C" w:rsidRPr="007F4CC8" w14:paraId="53C1F101" w14:textId="77777777" w:rsidTr="00155C96">
        <w:trPr>
          <w:trHeight w:val="680"/>
        </w:trPr>
        <w:tc>
          <w:tcPr>
            <w:tcW w:w="1384" w:type="dxa"/>
          </w:tcPr>
          <w:p w14:paraId="32AAAE6A" w14:textId="25546F83" w:rsidR="00203C1C" w:rsidRPr="007F4CC8" w:rsidRDefault="006E02CE" w:rsidP="00155C96">
            <w:pPr>
              <w:pStyle w:val="Applicationdirecte"/>
              <w:spacing w:before="0" w:after="240"/>
              <w:jc w:val="center"/>
            </w:pPr>
            <w:r>
              <w:t>(a)</w:t>
            </w:r>
          </w:p>
        </w:tc>
        <w:tc>
          <w:tcPr>
            <w:tcW w:w="7655" w:type="dxa"/>
            <w:vAlign w:val="center"/>
          </w:tcPr>
          <w:p w14:paraId="58F1DEA4"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Pri objavi informacija iz članka 435. stavka 1. točaka (a) i (d) CRR-a o ciljevima i politikama upravljanja rizikom za upravljanje tržišnim rizikom, institucije uključuju:</w:t>
            </w:r>
          </w:p>
          <w:p w14:paraId="51F71404"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 xml:space="preserve">objašnjenje strateških ciljeva uprave pri poduzimanju aktivnosti trgovanja; </w:t>
            </w:r>
          </w:p>
          <w:p w14:paraId="0EC7C083"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postupke koji se primjenjuju za identifikaciju, mjerenje, praćenje i kontrolu tržišnih rizika institucije;</w:t>
            </w:r>
          </w:p>
          <w:p w14:paraId="20311A03"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politika zaštite od rizika i smanjenja rizika;</w:t>
            </w:r>
          </w:p>
          <w:p w14:paraId="16BFB651"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strategije i postupke za praćenje stalne učinkovitosti zaštite od rizika.</w:t>
            </w:r>
          </w:p>
        </w:tc>
      </w:tr>
      <w:tr w:rsidR="00203C1C" w:rsidRPr="007F4CC8" w14:paraId="3F01BBBA" w14:textId="77777777" w:rsidTr="00155C96">
        <w:trPr>
          <w:trHeight w:val="680"/>
        </w:trPr>
        <w:tc>
          <w:tcPr>
            <w:tcW w:w="1384" w:type="dxa"/>
          </w:tcPr>
          <w:p w14:paraId="52479A50" w14:textId="6847904F" w:rsidR="00203C1C" w:rsidRPr="007F4CC8" w:rsidRDefault="006E02CE" w:rsidP="00155C96">
            <w:pPr>
              <w:pStyle w:val="Applicationdirecte"/>
              <w:spacing w:before="0" w:after="240"/>
              <w:jc w:val="center"/>
            </w:pPr>
            <w:r>
              <w:t>(b)</w:t>
            </w:r>
          </w:p>
        </w:tc>
        <w:tc>
          <w:tcPr>
            <w:tcW w:w="7655" w:type="dxa"/>
          </w:tcPr>
          <w:p w14:paraId="1FF7DEEF"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Pri objavi informacija iz članka 435. stavka 1. točke (b) CRR-a o strukturi i ustroju funkcije upravljanja tržišnim rizikom, institucije uključuju:</w:t>
            </w:r>
          </w:p>
          <w:p w14:paraId="03303192"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 xml:space="preserve">opis strukture upravljanja tržišnim rizikom uspostavljene radi provedbe strategija i postupaka institucije iz prethodnog retka (a), </w:t>
            </w:r>
          </w:p>
          <w:p w14:paraId="6AEA7119"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 xml:space="preserve">opis odnosa i mehanizama komunikacije između različitih strana uključenih u upravljanje tržišnim rizikom. </w:t>
            </w:r>
          </w:p>
        </w:tc>
      </w:tr>
      <w:tr w:rsidR="00203C1C" w:rsidRPr="007F4CC8" w14:paraId="0E940734" w14:textId="77777777" w:rsidTr="00155C96">
        <w:trPr>
          <w:trHeight w:val="436"/>
        </w:trPr>
        <w:tc>
          <w:tcPr>
            <w:tcW w:w="1384" w:type="dxa"/>
          </w:tcPr>
          <w:p w14:paraId="408BB1DA" w14:textId="1DB814BE" w:rsidR="00203C1C" w:rsidRPr="007F4CC8" w:rsidRDefault="006E02CE" w:rsidP="00155C96">
            <w:pPr>
              <w:pStyle w:val="Applicationdirecte"/>
              <w:spacing w:before="0" w:after="240"/>
              <w:jc w:val="center"/>
            </w:pPr>
            <w:r>
              <w:t>(c)</w:t>
            </w:r>
          </w:p>
          <w:p w14:paraId="4A32C585" w14:textId="77777777" w:rsidR="00203C1C" w:rsidRPr="007F4CC8" w:rsidRDefault="00203C1C" w:rsidP="00155C96">
            <w:pPr>
              <w:pStyle w:val="Fait"/>
              <w:spacing w:before="0" w:after="240"/>
            </w:pPr>
          </w:p>
        </w:tc>
        <w:tc>
          <w:tcPr>
            <w:tcW w:w="7655" w:type="dxa"/>
          </w:tcPr>
          <w:p w14:paraId="18D06A8B" w14:textId="21947BE8"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 xml:space="preserve">Pri objavi informacija iz članka 435. stavka 1. točke (c) CRR-a opsegu i vrsti sustava izvješćivanja o rizicima i mjerenja rizika, institucije navode opis opsega i vrste sustava izvješćivanja i mjerenja tržišnog rizika. </w:t>
            </w:r>
          </w:p>
        </w:tc>
      </w:tr>
    </w:tbl>
    <w:p w14:paraId="5FE50BEA" w14:textId="77777777" w:rsidR="00203C1C" w:rsidRPr="006944D5" w:rsidRDefault="00203C1C" w:rsidP="00203C1C">
      <w:pPr>
        <w:pStyle w:val="Titlelevel2"/>
        <w:spacing w:before="0"/>
        <w:rPr>
          <w:rFonts w:ascii="Times New Roman" w:hAnsi="Times New Roman"/>
          <w:b/>
          <w:sz w:val="24"/>
        </w:rPr>
      </w:pPr>
    </w:p>
    <w:p w14:paraId="7106E86C" w14:textId="2EF38FA4"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Obrazac EU MR1 – Tržišni rizik u skladu sa standardiziranim pristupom</w:t>
      </w:r>
      <w:r>
        <w:rPr>
          <w:rFonts w:ascii="Times New Roman" w:hAnsi="Times New Roman"/>
          <w:color w:val="auto"/>
          <w:sz w:val="24"/>
        </w:rPr>
        <w:t>: fiksan format</w:t>
      </w:r>
    </w:p>
    <w:p w14:paraId="310F5DF6" w14:textId="50DA588D" w:rsidR="00203C1C" w:rsidRPr="007F4CC8" w:rsidRDefault="00203C1C" w:rsidP="00203C1C">
      <w:pPr>
        <w:pStyle w:val="Titlelevel2"/>
        <w:numPr>
          <w:ilvl w:val="0"/>
          <w:numId w:val="60"/>
        </w:numPr>
        <w:spacing w:before="0"/>
        <w:jc w:val="both"/>
        <w:rPr>
          <w:rFonts w:ascii="Times New Roman" w:hAnsi="Times New Roman"/>
          <w:b/>
          <w:color w:val="auto"/>
          <w:sz w:val="24"/>
        </w:rPr>
      </w:pPr>
      <w:r>
        <w:rPr>
          <w:rFonts w:ascii="Times New Roman" w:hAnsi="Times New Roman"/>
          <w:bCs w:val="0"/>
          <w:color w:val="000000"/>
          <w:sz w:val="24"/>
        </w:rPr>
        <w:t>Institucije objavljuju informacije iz članka 445. CRR-a prateći upute u nastavku ovog Priloga za popunjavanje obrasca EU MR1 iz Priloga XXIX. ovoj Provedbenoj uredbi.</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D3540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94816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Pravna osnova i upute</w:t>
            </w:r>
          </w:p>
        </w:tc>
      </w:tr>
      <w:tr w:rsidR="00203C1C" w:rsidRPr="007F4CC8" w14:paraId="2153C2E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05F5B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Broj retka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2B127E1"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Objašnjenje</w:t>
            </w:r>
          </w:p>
        </w:tc>
      </w:tr>
      <w:tr w:rsidR="00203C1C" w:rsidRPr="007F4CC8" w14:paraId="5B29DB86"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567C093"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18539FE5" w14:textId="77777777" w:rsidR="00203C1C" w:rsidRPr="007F4CC8" w:rsidRDefault="00203C1C" w:rsidP="00155C96">
            <w:pPr>
              <w:spacing w:after="240"/>
              <w:rPr>
                <w:rFonts w:ascii="Times New Roman" w:hAnsi="Times New Roman" w:cs="Times New Roman"/>
                <w:b/>
                <w:i/>
                <w:sz w:val="24"/>
              </w:rPr>
            </w:pPr>
            <w:r>
              <w:rPr>
                <w:rFonts w:ascii="Times New Roman" w:hAnsi="Times New Roman"/>
                <w:b/>
                <w:i/>
                <w:sz w:val="24"/>
              </w:rPr>
              <w:t>Izravni proizvodi</w:t>
            </w:r>
          </w:p>
        </w:tc>
      </w:tr>
      <w:tr w:rsidR="00203C1C" w:rsidRPr="007F4CC8" w14:paraId="0C2ACED5" w14:textId="77777777" w:rsidTr="00155C96">
        <w:tc>
          <w:tcPr>
            <w:tcW w:w="1172" w:type="dxa"/>
            <w:tcBorders>
              <w:top w:val="single" w:sz="4" w:space="0" w:color="auto"/>
              <w:left w:val="single" w:sz="4" w:space="0" w:color="auto"/>
              <w:bottom w:val="single" w:sz="4" w:space="0" w:color="auto"/>
              <w:right w:val="single" w:sz="4" w:space="0" w:color="auto"/>
            </w:tcBorders>
          </w:tcPr>
          <w:p w14:paraId="6FD77A85" w14:textId="18506521"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1</w:t>
            </w:r>
          </w:p>
        </w:tc>
        <w:tc>
          <w:tcPr>
            <w:tcW w:w="7242" w:type="dxa"/>
            <w:tcBorders>
              <w:top w:val="single" w:sz="4" w:space="0" w:color="auto"/>
              <w:left w:val="single" w:sz="4" w:space="0" w:color="auto"/>
              <w:bottom w:val="single" w:sz="4" w:space="0" w:color="auto"/>
              <w:right w:val="single" w:sz="4" w:space="0" w:color="auto"/>
            </w:tcBorders>
          </w:tcPr>
          <w:p w14:paraId="38842E29"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 xml:space="preserve">Rizik kamatne stope (opći i specifični) </w:t>
            </w:r>
          </w:p>
          <w:p w14:paraId="41EBBFD3" w14:textId="6383E81F"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Opći i specifični rizik pozicija u dužničkim instrumentima kojima se trguje u knjizi trgovanja, u skladu s dijelom trećim glavom IV. poglavljem 2. CRR-a, ne uključujući specifični rizik povezan sa sekuritizacijom, i koje nisu neobvezne.</w:t>
            </w:r>
          </w:p>
        </w:tc>
      </w:tr>
      <w:tr w:rsidR="00203C1C" w:rsidRPr="007F4CC8" w14:paraId="6C330547" w14:textId="77777777" w:rsidTr="00155C96">
        <w:tc>
          <w:tcPr>
            <w:tcW w:w="1172" w:type="dxa"/>
            <w:tcBorders>
              <w:top w:val="single" w:sz="4" w:space="0" w:color="auto"/>
              <w:left w:val="single" w:sz="4" w:space="0" w:color="auto"/>
              <w:bottom w:val="single" w:sz="4" w:space="0" w:color="auto"/>
              <w:right w:val="single" w:sz="4" w:space="0" w:color="auto"/>
            </w:tcBorders>
          </w:tcPr>
          <w:p w14:paraId="614D784D" w14:textId="1407527C"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740D0147"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Rizik kapitala (opći i specifični)</w:t>
            </w:r>
          </w:p>
          <w:p w14:paraId="31F702CB"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Opći i specifični rizik pozicija u vlasničkim instrumentima u knjizi trgovanja, u skladu s dijelom trećim glavom IV. poglavljem 2. CRR-a, ne uključujući neobvezne instrumente.</w:t>
            </w:r>
          </w:p>
        </w:tc>
      </w:tr>
      <w:tr w:rsidR="00203C1C" w:rsidRPr="007F4CC8" w14:paraId="1CDBF5DB" w14:textId="77777777" w:rsidTr="00155C96">
        <w:tc>
          <w:tcPr>
            <w:tcW w:w="1172" w:type="dxa"/>
            <w:tcBorders>
              <w:top w:val="single" w:sz="4" w:space="0" w:color="auto"/>
              <w:left w:val="single" w:sz="4" w:space="0" w:color="auto"/>
              <w:bottom w:val="single" w:sz="4" w:space="0" w:color="auto"/>
              <w:right w:val="single" w:sz="4" w:space="0" w:color="auto"/>
            </w:tcBorders>
          </w:tcPr>
          <w:p w14:paraId="7C5E6555" w14:textId="558DE0F4"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4C62677D"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Valutni rizik</w:t>
            </w:r>
          </w:p>
          <w:p w14:paraId="7628F8C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Rizik pozicija u stranoj valuti u skladu s dijelom trećim glavom IV. poglavljem 3. CRR-a, ne uključujući neobvezne instrumente.</w:t>
            </w:r>
          </w:p>
        </w:tc>
      </w:tr>
      <w:tr w:rsidR="00203C1C" w:rsidRPr="007F4CC8" w14:paraId="07A6AE05" w14:textId="77777777" w:rsidTr="00155C96">
        <w:tc>
          <w:tcPr>
            <w:tcW w:w="1172" w:type="dxa"/>
            <w:tcBorders>
              <w:top w:val="single" w:sz="4" w:space="0" w:color="auto"/>
              <w:left w:val="single" w:sz="4" w:space="0" w:color="auto"/>
              <w:bottom w:val="single" w:sz="4" w:space="0" w:color="auto"/>
              <w:right w:val="single" w:sz="4" w:space="0" w:color="auto"/>
            </w:tcBorders>
          </w:tcPr>
          <w:p w14:paraId="3D73A235" w14:textId="4C655845"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1822A851"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Robni rizik</w:t>
            </w:r>
          </w:p>
          <w:p w14:paraId="049FF5D5"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Rizik pozicija u robi u skladu s dijelom trećim glavom IV. poglavljem 4. CRR-a, ne uključujući neobvezne instrumente.</w:t>
            </w:r>
          </w:p>
        </w:tc>
      </w:tr>
      <w:tr w:rsidR="00203C1C" w:rsidRPr="007F4CC8" w14:paraId="1E29A9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06EADCA"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10DEC28" w14:textId="77777777" w:rsidR="00203C1C" w:rsidRPr="009E7E40" w:rsidRDefault="00203C1C" w:rsidP="00155C96">
            <w:pPr>
              <w:spacing w:after="240"/>
              <w:rPr>
                <w:rFonts w:ascii="Times New Roman" w:hAnsi="Times New Roman" w:cs="Times New Roman"/>
                <w:b/>
                <w:sz w:val="24"/>
              </w:rPr>
            </w:pPr>
            <w:r>
              <w:rPr>
                <w:rFonts w:ascii="Times New Roman" w:hAnsi="Times New Roman"/>
                <w:b/>
                <w:sz w:val="24"/>
              </w:rPr>
              <w:t>Opcije</w:t>
            </w:r>
          </w:p>
        </w:tc>
      </w:tr>
      <w:tr w:rsidR="00203C1C" w:rsidRPr="007F4CC8" w14:paraId="510289D6" w14:textId="77777777" w:rsidTr="00155C96">
        <w:tc>
          <w:tcPr>
            <w:tcW w:w="1172" w:type="dxa"/>
            <w:tcBorders>
              <w:top w:val="single" w:sz="4" w:space="0" w:color="auto"/>
              <w:left w:val="single" w:sz="4" w:space="0" w:color="auto"/>
              <w:bottom w:val="single" w:sz="4" w:space="0" w:color="auto"/>
              <w:right w:val="single" w:sz="4" w:space="0" w:color="auto"/>
            </w:tcBorders>
          </w:tcPr>
          <w:p w14:paraId="3F4CEE3B" w14:textId="00D27EB3"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055C2C12"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Pojednostavnjeni pristup</w:t>
            </w:r>
          </w:p>
          <w:p w14:paraId="3C1371D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Opcije ili </w:t>
            </w:r>
            <w:proofErr w:type="spellStart"/>
            <w:r>
              <w:rPr>
                <w:rFonts w:ascii="Times New Roman" w:hAnsi="Times New Roman"/>
                <w:sz w:val="24"/>
              </w:rPr>
              <w:t>varanti</w:t>
            </w:r>
            <w:proofErr w:type="spellEnd"/>
            <w:r>
              <w:rPr>
                <w:rFonts w:ascii="Times New Roman" w:hAnsi="Times New Roman"/>
                <w:sz w:val="24"/>
              </w:rPr>
              <w:t xml:space="preserve"> kako su definirani u dijelu trećem glavi IV. poglavlju 2. članku 329. stavku 3. CRR-a za koje institucije izračunavaju kapitalne zahtjeve za rizike osim delta-rizika koristeći pojednostavnjeni pristup.</w:t>
            </w:r>
            <w:r>
              <w:rPr>
                <w:rStyle w:val="FootnoteReference"/>
                <w:rFonts w:eastAsia="Times New Roman" w:cs="Times New Roman"/>
              </w:rPr>
              <w:footnoteReference w:id="45"/>
            </w:r>
          </w:p>
        </w:tc>
      </w:tr>
      <w:tr w:rsidR="00203C1C" w:rsidRPr="007F4CC8" w14:paraId="0649C7F8" w14:textId="77777777" w:rsidTr="00155C96">
        <w:tc>
          <w:tcPr>
            <w:tcW w:w="1172" w:type="dxa"/>
            <w:tcBorders>
              <w:top w:val="single" w:sz="4" w:space="0" w:color="auto"/>
              <w:left w:val="single" w:sz="4" w:space="0" w:color="auto"/>
              <w:bottom w:val="single" w:sz="4" w:space="0" w:color="auto"/>
              <w:right w:val="single" w:sz="4" w:space="0" w:color="auto"/>
            </w:tcBorders>
          </w:tcPr>
          <w:p w14:paraId="696EBCF1" w14:textId="7E91376C"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lastRenderedPageBreak/>
              <w:t>6</w:t>
            </w:r>
          </w:p>
        </w:tc>
        <w:tc>
          <w:tcPr>
            <w:tcW w:w="7242" w:type="dxa"/>
            <w:tcBorders>
              <w:top w:val="single" w:sz="4" w:space="0" w:color="auto"/>
              <w:left w:val="single" w:sz="4" w:space="0" w:color="auto"/>
              <w:bottom w:val="single" w:sz="4" w:space="0" w:color="auto"/>
              <w:right w:val="single" w:sz="4" w:space="0" w:color="auto"/>
            </w:tcBorders>
          </w:tcPr>
          <w:p w14:paraId="58536076"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Delta-plus pristup</w:t>
            </w:r>
          </w:p>
          <w:p w14:paraId="11A872D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Opcije ili </w:t>
            </w:r>
            <w:proofErr w:type="spellStart"/>
            <w:r>
              <w:rPr>
                <w:rFonts w:ascii="Times New Roman" w:hAnsi="Times New Roman"/>
                <w:sz w:val="24"/>
              </w:rPr>
              <w:t>varanti</w:t>
            </w:r>
            <w:proofErr w:type="spellEnd"/>
            <w:r>
              <w:rPr>
                <w:rFonts w:ascii="Times New Roman" w:hAnsi="Times New Roman"/>
                <w:sz w:val="24"/>
              </w:rPr>
              <w:t xml:space="preserve"> u knjizi trgovanja kako su definirani u dijelu trećem glavi IV. poglavlju 2. članku 329. stavku 3. CRR-a za koje institucije izračunavaju kapitalne zahtjeve za rizike osim delta-rizika koristeći delta-plus pristup</w:t>
            </w:r>
            <w:r>
              <w:rPr>
                <w:rStyle w:val="FootnoteReference"/>
                <w:rFonts w:eastAsia="Times New Roman" w:cs="Times New Roman"/>
              </w:rPr>
              <w:footnoteReference w:id="46"/>
            </w:r>
            <w:r>
              <w:rPr>
                <w:rFonts w:ascii="Times New Roman" w:hAnsi="Times New Roman"/>
                <w:sz w:val="24"/>
              </w:rPr>
              <w:t>.</w:t>
            </w:r>
          </w:p>
        </w:tc>
      </w:tr>
      <w:tr w:rsidR="00203C1C" w:rsidRPr="007F4CC8" w14:paraId="311D18F1" w14:textId="77777777" w:rsidTr="00155C96">
        <w:tc>
          <w:tcPr>
            <w:tcW w:w="1172" w:type="dxa"/>
            <w:tcBorders>
              <w:top w:val="single" w:sz="4" w:space="0" w:color="auto"/>
              <w:left w:val="single" w:sz="4" w:space="0" w:color="auto"/>
              <w:bottom w:val="single" w:sz="4" w:space="0" w:color="auto"/>
              <w:right w:val="single" w:sz="4" w:space="0" w:color="auto"/>
            </w:tcBorders>
          </w:tcPr>
          <w:p w14:paraId="57893B3A" w14:textId="536EEE26"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46B1FA82"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Pristup scenarija</w:t>
            </w:r>
          </w:p>
          <w:p w14:paraId="34E43048"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Opcije ili </w:t>
            </w:r>
            <w:proofErr w:type="spellStart"/>
            <w:r>
              <w:rPr>
                <w:rFonts w:ascii="Times New Roman" w:hAnsi="Times New Roman"/>
                <w:sz w:val="24"/>
              </w:rPr>
              <w:t>varanti</w:t>
            </w:r>
            <w:proofErr w:type="spellEnd"/>
            <w:r>
              <w:rPr>
                <w:rFonts w:ascii="Times New Roman" w:hAnsi="Times New Roman"/>
                <w:sz w:val="24"/>
              </w:rPr>
              <w:t xml:space="preserve"> u knjizi trgovanja kako su definirani u dijelu trećem glavi IV. poglavlju 2. članku 329. stavku 3. CRR-a za koje institucije izračunavaju kapitalne zahtjeve za rizike osim delta-rizika koristeći pristup scenarija</w:t>
            </w:r>
            <w:r>
              <w:rPr>
                <w:rStyle w:val="FootnoteReference"/>
                <w:rFonts w:eastAsia="Times New Roman" w:cs="Times New Roman"/>
              </w:rPr>
              <w:footnoteReference w:id="47"/>
            </w:r>
            <w:r>
              <w:rPr>
                <w:rFonts w:ascii="Times New Roman" w:hAnsi="Times New Roman"/>
                <w:sz w:val="24"/>
              </w:rPr>
              <w:t>.</w:t>
            </w:r>
          </w:p>
        </w:tc>
      </w:tr>
      <w:tr w:rsidR="00203C1C" w:rsidRPr="007F4CC8" w14:paraId="08F4C13D" w14:textId="77777777" w:rsidTr="00155C96">
        <w:tc>
          <w:tcPr>
            <w:tcW w:w="1172" w:type="dxa"/>
            <w:tcBorders>
              <w:top w:val="single" w:sz="4" w:space="0" w:color="auto"/>
              <w:left w:val="single" w:sz="4" w:space="0" w:color="auto"/>
              <w:bottom w:val="single" w:sz="4" w:space="0" w:color="auto"/>
              <w:right w:val="single" w:sz="4" w:space="0" w:color="auto"/>
            </w:tcBorders>
          </w:tcPr>
          <w:p w14:paraId="4452A6C6" w14:textId="168808E3"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8</w:t>
            </w:r>
          </w:p>
        </w:tc>
        <w:tc>
          <w:tcPr>
            <w:tcW w:w="7242" w:type="dxa"/>
            <w:tcBorders>
              <w:top w:val="single" w:sz="4" w:space="0" w:color="auto"/>
              <w:left w:val="single" w:sz="4" w:space="0" w:color="auto"/>
              <w:bottom w:val="single" w:sz="4" w:space="0" w:color="auto"/>
              <w:right w:val="single" w:sz="4" w:space="0" w:color="auto"/>
            </w:tcBorders>
          </w:tcPr>
          <w:p w14:paraId="31D4CFE0"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Sekuritizacija (specifični rizik)</w:t>
            </w:r>
          </w:p>
          <w:p w14:paraId="4C3784F6" w14:textId="124FBD50" w:rsidR="00203C1C" w:rsidRPr="007F4CC8" w:rsidRDefault="00203C1C" w:rsidP="006C27A8">
            <w:pPr>
              <w:spacing w:after="240"/>
              <w:jc w:val="both"/>
              <w:rPr>
                <w:rFonts w:ascii="Times New Roman" w:hAnsi="Times New Roman" w:cs="Times New Roman"/>
                <w:sz w:val="24"/>
              </w:rPr>
            </w:pPr>
            <w:r>
              <w:rPr>
                <w:rFonts w:ascii="Times New Roman" w:hAnsi="Times New Roman"/>
                <w:sz w:val="24"/>
              </w:rPr>
              <w:t>Specifični rizik sekuritizacijskih pozicija u knjizi trgovanja u skladu s dijelom trećim glavom IV. poglavljem 2. člancima 337. i 338. CRR-a.</w:t>
            </w:r>
          </w:p>
        </w:tc>
      </w:tr>
      <w:tr w:rsidR="00203C1C" w:rsidRPr="007F4CC8" w14:paraId="76CDBE73" w14:textId="77777777" w:rsidTr="00155C96">
        <w:tc>
          <w:tcPr>
            <w:tcW w:w="1172" w:type="dxa"/>
            <w:tcBorders>
              <w:top w:val="single" w:sz="4" w:space="0" w:color="auto"/>
              <w:left w:val="single" w:sz="4" w:space="0" w:color="auto"/>
              <w:bottom w:val="single" w:sz="4" w:space="0" w:color="auto"/>
              <w:right w:val="single" w:sz="4" w:space="0" w:color="auto"/>
            </w:tcBorders>
          </w:tcPr>
          <w:p w14:paraId="30A5FBE8" w14:textId="155A5711"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9</w:t>
            </w:r>
          </w:p>
        </w:tc>
        <w:tc>
          <w:tcPr>
            <w:tcW w:w="7242" w:type="dxa"/>
            <w:tcBorders>
              <w:top w:val="single" w:sz="4" w:space="0" w:color="auto"/>
              <w:left w:val="single" w:sz="4" w:space="0" w:color="auto"/>
              <w:bottom w:val="single" w:sz="4" w:space="0" w:color="auto"/>
              <w:right w:val="single" w:sz="4" w:space="0" w:color="auto"/>
            </w:tcBorders>
          </w:tcPr>
          <w:p w14:paraId="6ABDB65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Ukupno</w:t>
            </w:r>
          </w:p>
          <w:p w14:paraId="0B091741" w14:textId="77777777" w:rsidR="00203C1C" w:rsidRPr="007F4CC8" w:rsidRDefault="00203C1C" w:rsidP="00155C96">
            <w:pPr>
              <w:spacing w:after="240"/>
              <w:rPr>
                <w:rFonts w:ascii="Times New Roman" w:hAnsi="Times New Roman" w:cs="Times New Roman"/>
                <w:sz w:val="24"/>
              </w:rPr>
            </w:pPr>
            <w:r>
              <w:rPr>
                <w:rFonts w:ascii="Times New Roman" w:hAnsi="Times New Roman"/>
                <w:sz w:val="24"/>
              </w:rPr>
              <w:t>Zbroj iznosa iz redaka od 1 do 8 ovog obrasca.</w:t>
            </w:r>
          </w:p>
        </w:tc>
      </w:tr>
      <w:tr w:rsidR="00203C1C" w:rsidRPr="007F4CC8" w14:paraId="62582B2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E10379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Slovna oznaka stupca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07DD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Objašnjenje</w:t>
            </w:r>
          </w:p>
        </w:tc>
      </w:tr>
      <w:tr w:rsidR="00203C1C" w:rsidRPr="007F4CC8" w14:paraId="78281449" w14:textId="77777777" w:rsidTr="00155C96">
        <w:tc>
          <w:tcPr>
            <w:tcW w:w="1172" w:type="dxa"/>
            <w:tcBorders>
              <w:top w:val="single" w:sz="4" w:space="0" w:color="auto"/>
              <w:left w:val="single" w:sz="4" w:space="0" w:color="auto"/>
              <w:bottom w:val="single" w:sz="4" w:space="0" w:color="auto"/>
              <w:right w:val="single" w:sz="4" w:space="0" w:color="auto"/>
            </w:tcBorders>
          </w:tcPr>
          <w:p w14:paraId="6B7C1151" w14:textId="4C049963" w:rsidR="00203C1C" w:rsidRPr="007F4CC8" w:rsidRDefault="009E7E40" w:rsidP="00155C96">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11B13954"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Iznosi izloženosti ponderiranih rizikom (RWEA)</w:t>
            </w:r>
          </w:p>
          <w:p w14:paraId="56F10A61" w14:textId="5392539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Objava izloženosti ponderiranih rizikom iz članka 438. točke (d) CRR-a koje se izračunavaju kao vrijednost u stupcu b pomnožena s 12,5 u skladu s člankom 92. stavkom 4. točkom (b) CRR-a.</w:t>
            </w:r>
          </w:p>
        </w:tc>
      </w:tr>
    </w:tbl>
    <w:p w14:paraId="349F27AF" w14:textId="77777777" w:rsidR="00203C1C" w:rsidRPr="006944D5" w:rsidRDefault="00203C1C" w:rsidP="00203C1C">
      <w:pPr>
        <w:pStyle w:val="Titlelevel2"/>
        <w:spacing w:before="0"/>
        <w:rPr>
          <w:rFonts w:ascii="Times New Roman" w:hAnsi="Times New Roman" w:cs="Times New Roman"/>
          <w:b/>
          <w:color w:val="auto"/>
          <w:sz w:val="24"/>
        </w:rPr>
      </w:pPr>
    </w:p>
    <w:p w14:paraId="58C24575" w14:textId="77777777" w:rsidR="00203C1C" w:rsidRPr="007F4CC8" w:rsidRDefault="00203C1C" w:rsidP="00203C1C">
      <w:pPr>
        <w:spacing w:after="240"/>
        <w:rPr>
          <w:rFonts w:ascii="Times New Roman" w:hAnsi="Times New Roman" w:cs="Times New Roman"/>
          <w:b/>
          <w:sz w:val="24"/>
        </w:rPr>
      </w:pPr>
    </w:p>
    <w:p w14:paraId="2FEF6E06" w14:textId="77777777" w:rsidR="00203C1C" w:rsidRPr="007F4CC8" w:rsidRDefault="00203C1C" w:rsidP="00203C1C">
      <w:pPr>
        <w:spacing w:after="240"/>
        <w:rPr>
          <w:rFonts w:ascii="Times New Roman" w:hAnsi="Times New Roman" w:cs="Times New Roman"/>
          <w:b/>
          <w:sz w:val="24"/>
        </w:rPr>
      </w:pPr>
    </w:p>
    <w:p w14:paraId="0F5CB1D3" w14:textId="181E5AE4" w:rsidR="00203C1C" w:rsidRPr="007F4CC8" w:rsidRDefault="00203C1C" w:rsidP="00203C1C">
      <w:pPr>
        <w:spacing w:after="240"/>
        <w:rPr>
          <w:rFonts w:ascii="Times New Roman" w:hAnsi="Times New Roman" w:cs="Times New Roman"/>
          <w:b/>
          <w:sz w:val="24"/>
        </w:rPr>
      </w:pPr>
      <w:r>
        <w:rPr>
          <w:rFonts w:ascii="Times New Roman" w:hAnsi="Times New Roman"/>
          <w:b/>
          <w:sz w:val="24"/>
        </w:rPr>
        <w:t>Tablica EU MRB: Zahtjevi za objavu kvalitativnih informacija za institucije koje primjenjuju interne modele za tržišni rizik</w:t>
      </w:r>
      <w:r>
        <w:rPr>
          <w:rFonts w:ascii="Times New Roman" w:hAnsi="Times New Roman"/>
          <w:sz w:val="24"/>
        </w:rPr>
        <w:t>: slobodni unos teksta</w:t>
      </w:r>
    </w:p>
    <w:p w14:paraId="721EB6BA" w14:textId="5F91927A" w:rsidR="00203C1C" w:rsidRPr="007F4CC8" w:rsidRDefault="00203C1C" w:rsidP="00203C1C">
      <w:pPr>
        <w:pStyle w:val="Titlelevel2"/>
        <w:numPr>
          <w:ilvl w:val="0"/>
          <w:numId w:val="60"/>
        </w:numPr>
        <w:spacing w:before="0"/>
        <w:jc w:val="both"/>
        <w:rPr>
          <w:rFonts w:ascii="Times New Roman" w:hAnsi="Times New Roman" w:cs="Times New Roman"/>
          <w:b/>
          <w:sz w:val="24"/>
        </w:rPr>
      </w:pPr>
      <w:r>
        <w:rPr>
          <w:rFonts w:ascii="Times New Roman" w:hAnsi="Times New Roman"/>
          <w:bCs w:val="0"/>
          <w:color w:val="000000"/>
          <w:sz w:val="24"/>
        </w:rPr>
        <w:lastRenderedPageBreak/>
        <w:t>Institucije objavljuju informacije iz članka 455. točaka (a), (b), (c) i (f) CRR-a prateći upute u nastavku ovog Priloga za popunjavanje obrasca EU MRB iz Priloga XXIX. ovoj Provedbenoj uredbi.</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A9E266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F54FDE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Pravna osnova i upute</w:t>
            </w:r>
          </w:p>
        </w:tc>
      </w:tr>
      <w:tr w:rsidR="00203C1C" w:rsidRPr="007F4CC8" w14:paraId="2320264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34AEFD" w14:textId="7652E8EC" w:rsidR="00203C1C" w:rsidRPr="007F4CC8" w:rsidRDefault="00203C1C" w:rsidP="00155C96">
            <w:pPr>
              <w:spacing w:after="240"/>
              <w:rPr>
                <w:rFonts w:ascii="Times New Roman" w:hAnsi="Times New Roman" w:cs="Times New Roman"/>
                <w:b/>
                <w:sz w:val="24"/>
              </w:rPr>
            </w:pPr>
            <w:r>
              <w:rPr>
                <w:rFonts w:ascii="Times New Roman" w:hAnsi="Times New Roman"/>
                <w:b/>
                <w:sz w:val="24"/>
              </w:rPr>
              <w:t>Broj retka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29EAC4"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Objašnjenje</w:t>
            </w:r>
          </w:p>
        </w:tc>
      </w:tr>
      <w:tr w:rsidR="00203C1C" w:rsidRPr="007F4CC8" w14:paraId="23624D1B" w14:textId="77777777" w:rsidTr="00155C96">
        <w:tc>
          <w:tcPr>
            <w:tcW w:w="1172" w:type="dxa"/>
            <w:tcBorders>
              <w:top w:val="single" w:sz="4" w:space="0" w:color="auto"/>
              <w:left w:val="single" w:sz="4" w:space="0" w:color="auto"/>
              <w:bottom w:val="single" w:sz="4" w:space="0" w:color="auto"/>
              <w:right w:val="single" w:sz="4" w:space="0" w:color="auto"/>
            </w:tcBorders>
          </w:tcPr>
          <w:p w14:paraId="2369AA7E" w14:textId="49F5A6D2" w:rsidR="00203C1C" w:rsidRPr="007F4CC8" w:rsidRDefault="00B77F75" w:rsidP="00B77F75">
            <w:pPr>
              <w:spacing w:after="240"/>
              <w:jc w:val="center"/>
              <w:rPr>
                <w:rFonts w:ascii="Times New Roman" w:hAnsi="Times New Roman" w:cs="Times New Roman"/>
                <w:b/>
                <w:sz w:val="24"/>
              </w:rPr>
            </w:pPr>
            <w:r>
              <w:rPr>
                <w:rFonts w:ascii="Times New Roman" w:hAnsi="Times New Roman"/>
                <w:sz w:val="24"/>
              </w:rPr>
              <w:t>EU (a)</w:t>
            </w:r>
          </w:p>
        </w:tc>
        <w:tc>
          <w:tcPr>
            <w:tcW w:w="7242" w:type="dxa"/>
            <w:tcBorders>
              <w:top w:val="single" w:sz="4" w:space="0" w:color="auto"/>
              <w:left w:val="single" w:sz="4" w:space="0" w:color="auto"/>
              <w:bottom w:val="single" w:sz="4" w:space="0" w:color="auto"/>
              <w:right w:val="single" w:sz="4" w:space="0" w:color="auto"/>
            </w:tcBorders>
          </w:tcPr>
          <w:p w14:paraId="27BE73CC"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Pri objavi informacija iz članka 455. točke (c) CRR-a o opsegu i metodologijama za usklađivanje sa zahtjevima članka 104. CRR-a, institucije uključuju:</w:t>
            </w:r>
          </w:p>
          <w:p w14:paraId="506D32A6" w14:textId="03B57F2E" w:rsidR="00203C1C" w:rsidRPr="007F4CC8" w:rsidRDefault="00203C1C" w:rsidP="00203C1C">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opis postupaka i sustava uvedenih da se zajamči utrživost pozicija uvrštenih u knjigu trgovanja radi usklađenosti sa zahtjevima iz članka 104. CRR-a;</w:t>
            </w:r>
          </w:p>
          <w:p w14:paraId="083CE678" w14:textId="77777777" w:rsidR="00203C1C" w:rsidRPr="007F4CC8" w:rsidRDefault="00203C1C" w:rsidP="00203C1C">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opis primijenjene metodologije kojom je osigurana prikladnost politika i postupaka uvedenih radi ukupnog upravljanja knjigom trgovanja.</w:t>
            </w:r>
          </w:p>
        </w:tc>
      </w:tr>
      <w:tr w:rsidR="00203C1C" w:rsidRPr="007F4CC8" w14:paraId="67BC400E" w14:textId="77777777" w:rsidTr="00155C96">
        <w:tc>
          <w:tcPr>
            <w:tcW w:w="1172" w:type="dxa"/>
            <w:tcBorders>
              <w:top w:val="single" w:sz="4" w:space="0" w:color="auto"/>
              <w:left w:val="single" w:sz="4" w:space="0" w:color="auto"/>
              <w:bottom w:val="single" w:sz="4" w:space="0" w:color="auto"/>
              <w:right w:val="single" w:sz="4" w:space="0" w:color="auto"/>
            </w:tcBorders>
          </w:tcPr>
          <w:p w14:paraId="0D34D18A" w14:textId="02B92999" w:rsidR="00203C1C" w:rsidRPr="007F4CC8" w:rsidRDefault="00B77F75" w:rsidP="00B77F75">
            <w:pPr>
              <w:spacing w:after="240"/>
              <w:jc w:val="center"/>
              <w:rPr>
                <w:rFonts w:ascii="Times New Roman" w:hAnsi="Times New Roman" w:cs="Times New Roman"/>
                <w:b/>
                <w:sz w:val="24"/>
              </w:rPr>
            </w:pPr>
            <w:r>
              <w:rPr>
                <w:rFonts w:ascii="Times New Roman" w:hAnsi="Times New Roman"/>
                <w:sz w:val="24"/>
              </w:rPr>
              <w:t>EU (b)</w:t>
            </w:r>
          </w:p>
        </w:tc>
        <w:tc>
          <w:tcPr>
            <w:tcW w:w="7242" w:type="dxa"/>
            <w:tcBorders>
              <w:top w:val="single" w:sz="4" w:space="0" w:color="auto"/>
              <w:left w:val="single" w:sz="4" w:space="0" w:color="auto"/>
              <w:bottom w:val="single" w:sz="4" w:space="0" w:color="auto"/>
              <w:right w:val="single" w:sz="4" w:space="0" w:color="auto"/>
            </w:tcBorders>
          </w:tcPr>
          <w:p w14:paraId="3E574E9C" w14:textId="5D86B56F"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Pri objavi informacija iz članka 455. točke (c) CRR-a o opsegu i metodologijama za usklađivanje sa zahtjevima članka 105. CRR-a, institucije uključuju:</w:t>
            </w:r>
          </w:p>
          <w:p w14:paraId="366F8858"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opis metodologija vrednovanja, uključujući objašnjenje u kojoj su se mjeri koristile metodologije vrednovanja po tržišnoj vrijednosti i vrednovanja po modelu;</w:t>
            </w:r>
          </w:p>
          <w:p w14:paraId="6FCE715B"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opis procesa verifikacije neovisne cijene;</w:t>
            </w:r>
          </w:p>
          <w:p w14:paraId="5DDFA4A5" w14:textId="77777777" w:rsidR="00203C1C" w:rsidRPr="007F4CC8" w:rsidRDefault="00203C1C" w:rsidP="00203C1C">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postupke za ispravke vrijednosti ili rezerve (uključujući opis procesa i metodologiju za vrednovanje položaja trgovanja po vrsti instrumenta).</w:t>
            </w:r>
          </w:p>
        </w:tc>
      </w:tr>
      <w:tr w:rsidR="00203C1C" w:rsidRPr="007F4CC8" w14:paraId="325BC4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BF24B6D" w14:textId="4AB5C248"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(A)</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944757B"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 xml:space="preserve">Institucije koje primjenjuju modele za </w:t>
            </w:r>
            <w:proofErr w:type="spellStart"/>
            <w:r>
              <w:rPr>
                <w:rFonts w:ascii="Times New Roman" w:hAnsi="Times New Roman"/>
                <w:b/>
                <w:sz w:val="24"/>
              </w:rPr>
              <w:t>VaR</w:t>
            </w:r>
            <w:proofErr w:type="spellEnd"/>
            <w:r>
              <w:rPr>
                <w:rFonts w:ascii="Times New Roman" w:hAnsi="Times New Roman"/>
                <w:b/>
                <w:sz w:val="24"/>
              </w:rPr>
              <w:t xml:space="preserve"> i </w:t>
            </w:r>
            <w:proofErr w:type="spellStart"/>
            <w:r>
              <w:rPr>
                <w:rFonts w:ascii="Times New Roman" w:hAnsi="Times New Roman"/>
                <w:b/>
                <w:sz w:val="24"/>
              </w:rPr>
              <w:t>SVaR</w:t>
            </w:r>
            <w:proofErr w:type="spellEnd"/>
            <w:r>
              <w:rPr>
                <w:rFonts w:ascii="Times New Roman" w:hAnsi="Times New Roman"/>
                <w:b/>
                <w:sz w:val="24"/>
              </w:rPr>
              <w:t>, kako je definirano u članku 365. CRR-a</w:t>
            </w:r>
          </w:p>
        </w:tc>
      </w:tr>
      <w:tr w:rsidR="00203C1C" w:rsidRPr="007F4CC8" w14:paraId="7EB09CD1" w14:textId="77777777" w:rsidTr="00155C96">
        <w:tc>
          <w:tcPr>
            <w:tcW w:w="1172" w:type="dxa"/>
            <w:tcBorders>
              <w:top w:val="single" w:sz="4" w:space="0" w:color="auto"/>
              <w:left w:val="single" w:sz="4" w:space="0" w:color="auto"/>
              <w:bottom w:val="single" w:sz="4" w:space="0" w:color="auto"/>
              <w:right w:val="single" w:sz="4" w:space="0" w:color="auto"/>
            </w:tcBorders>
          </w:tcPr>
          <w:p w14:paraId="0582D48A" w14:textId="1D520937"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072056DA"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Pri objavi informacija iz članka 455. točke (a) podtočke i. i članka 455. točke (b) CRR-a, institucije uključuju opis aktivnosti i rizika obuhvaćenih modelima za </w:t>
            </w:r>
            <w:proofErr w:type="spellStart"/>
            <w:r>
              <w:rPr>
                <w:rFonts w:ascii="Times New Roman" w:hAnsi="Times New Roman"/>
                <w:sz w:val="24"/>
              </w:rPr>
              <w:t>VaR</w:t>
            </w:r>
            <w:proofErr w:type="spellEnd"/>
            <w:r>
              <w:rPr>
                <w:rFonts w:ascii="Times New Roman" w:hAnsi="Times New Roman"/>
                <w:sz w:val="24"/>
              </w:rPr>
              <w:t xml:space="preserve"> i </w:t>
            </w:r>
            <w:proofErr w:type="spellStart"/>
            <w:r>
              <w:rPr>
                <w:rFonts w:ascii="Times New Roman" w:hAnsi="Times New Roman"/>
                <w:sz w:val="24"/>
              </w:rPr>
              <w:t>SVaR</w:t>
            </w:r>
            <w:proofErr w:type="spellEnd"/>
            <w:r>
              <w:rPr>
                <w:rFonts w:ascii="Times New Roman" w:hAnsi="Times New Roman"/>
                <w:sz w:val="24"/>
              </w:rPr>
              <w:t xml:space="preserve"> koje je nadležno tijelo odobrilo, uz navođenje njihove distribucije na portfelje/</w:t>
            </w:r>
            <w:proofErr w:type="spellStart"/>
            <w:r>
              <w:rPr>
                <w:rFonts w:ascii="Times New Roman" w:hAnsi="Times New Roman"/>
                <w:sz w:val="24"/>
              </w:rPr>
              <w:t>potportfelje</w:t>
            </w:r>
            <w:proofErr w:type="spellEnd"/>
            <w:r>
              <w:rPr>
                <w:rFonts w:ascii="Times New Roman" w:hAnsi="Times New Roman"/>
                <w:sz w:val="24"/>
              </w:rPr>
              <w:t>.</w:t>
            </w:r>
          </w:p>
        </w:tc>
      </w:tr>
      <w:tr w:rsidR="00203C1C" w:rsidRPr="007F4CC8" w14:paraId="139FD60F" w14:textId="77777777" w:rsidTr="00155C96">
        <w:tc>
          <w:tcPr>
            <w:tcW w:w="1172" w:type="dxa"/>
            <w:tcBorders>
              <w:top w:val="single" w:sz="4" w:space="0" w:color="auto"/>
              <w:left w:val="single" w:sz="4" w:space="0" w:color="auto"/>
              <w:bottom w:val="single" w:sz="4" w:space="0" w:color="auto"/>
              <w:right w:val="single" w:sz="4" w:space="0" w:color="auto"/>
            </w:tcBorders>
          </w:tcPr>
          <w:p w14:paraId="587D03E5" w14:textId="30195905"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4F0B5FB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Pri objavi iz članka 455. točke (b) CRR-a, institucije uključuju:</w:t>
            </w:r>
          </w:p>
          <w:p w14:paraId="02634B5E"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 xml:space="preserve">opis opsega primjene modela za </w:t>
            </w:r>
            <w:proofErr w:type="spellStart"/>
            <w:r>
              <w:rPr>
                <w:rFonts w:ascii="Times New Roman" w:hAnsi="Times New Roman"/>
                <w:sz w:val="24"/>
                <w:szCs w:val="24"/>
              </w:rPr>
              <w:t>VaR</w:t>
            </w:r>
            <w:proofErr w:type="spellEnd"/>
            <w:r>
              <w:rPr>
                <w:rFonts w:ascii="Times New Roman" w:hAnsi="Times New Roman"/>
                <w:sz w:val="24"/>
                <w:szCs w:val="24"/>
              </w:rPr>
              <w:t xml:space="preserve"> i </w:t>
            </w:r>
            <w:proofErr w:type="spellStart"/>
            <w:r>
              <w:rPr>
                <w:rFonts w:ascii="Times New Roman" w:hAnsi="Times New Roman"/>
                <w:sz w:val="24"/>
                <w:szCs w:val="24"/>
              </w:rPr>
              <w:t>SVaR</w:t>
            </w:r>
            <w:proofErr w:type="spellEnd"/>
            <w:r>
              <w:rPr>
                <w:rFonts w:ascii="Times New Roman" w:hAnsi="Times New Roman"/>
                <w:sz w:val="24"/>
                <w:szCs w:val="24"/>
              </w:rPr>
              <w:t xml:space="preserve"> koje je nadležno tijelo odobrilo; </w:t>
            </w:r>
          </w:p>
          <w:p w14:paraId="364F19DC"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 xml:space="preserve">prema potrebi, informacije o tome koji subjekti u grupi te modele primjenjuju te kako ti modeli predstavljaju sve modele koji se </w:t>
            </w:r>
            <w:r>
              <w:rPr>
                <w:rFonts w:ascii="Times New Roman" w:hAnsi="Times New Roman"/>
                <w:sz w:val="24"/>
                <w:szCs w:val="24"/>
              </w:rPr>
              <w:lastRenderedPageBreak/>
              <w:t xml:space="preserve">primjenjuju na razini grupe, kao i postotak kapitalnih zahtjeva obuhvaćenih modelima, odnosno primjenjuju li iste modele za </w:t>
            </w:r>
            <w:proofErr w:type="spellStart"/>
            <w:r>
              <w:rPr>
                <w:rFonts w:ascii="Times New Roman" w:hAnsi="Times New Roman"/>
                <w:sz w:val="24"/>
                <w:szCs w:val="24"/>
              </w:rPr>
              <w:t>VaR</w:t>
            </w:r>
            <w:proofErr w:type="spellEnd"/>
            <w:r>
              <w:rPr>
                <w:rFonts w:ascii="Times New Roman" w:hAnsi="Times New Roman"/>
                <w:sz w:val="24"/>
                <w:szCs w:val="24"/>
              </w:rPr>
              <w:t>/</w:t>
            </w:r>
            <w:proofErr w:type="spellStart"/>
            <w:r>
              <w:rPr>
                <w:rFonts w:ascii="Times New Roman" w:hAnsi="Times New Roman"/>
                <w:sz w:val="24"/>
                <w:szCs w:val="24"/>
              </w:rPr>
              <w:t>SVaR</w:t>
            </w:r>
            <w:proofErr w:type="spellEnd"/>
            <w:r>
              <w:rPr>
                <w:rFonts w:ascii="Times New Roman" w:hAnsi="Times New Roman"/>
                <w:sz w:val="24"/>
                <w:szCs w:val="24"/>
              </w:rPr>
              <w:t xml:space="preserve"> svi subjekti s izloženosti tržišnom riziku.</w:t>
            </w:r>
          </w:p>
        </w:tc>
      </w:tr>
      <w:tr w:rsidR="00203C1C" w:rsidRPr="007F4CC8" w14:paraId="5A4534B3" w14:textId="77777777" w:rsidTr="00155C96">
        <w:tc>
          <w:tcPr>
            <w:tcW w:w="1172" w:type="dxa"/>
            <w:tcBorders>
              <w:top w:val="single" w:sz="4" w:space="0" w:color="auto"/>
              <w:left w:val="single" w:sz="4" w:space="0" w:color="auto"/>
              <w:bottom w:val="single" w:sz="4" w:space="0" w:color="auto"/>
              <w:right w:val="nil"/>
            </w:tcBorders>
          </w:tcPr>
          <w:p w14:paraId="75E3AC5A" w14:textId="77777777" w:rsidR="00203C1C" w:rsidRPr="007F4CC8"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3A57EDA9"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Objave informacija iz članka 455. točke (a) podtočke i. o značajkama primijenjenih modela uključuju:</w:t>
            </w:r>
          </w:p>
        </w:tc>
      </w:tr>
      <w:tr w:rsidR="00203C1C" w:rsidRPr="007F4CC8" w14:paraId="68192B53" w14:textId="77777777" w:rsidTr="00155C96">
        <w:tc>
          <w:tcPr>
            <w:tcW w:w="1172" w:type="dxa"/>
            <w:tcBorders>
              <w:top w:val="single" w:sz="4" w:space="0" w:color="auto"/>
              <w:left w:val="single" w:sz="4" w:space="0" w:color="auto"/>
              <w:bottom w:val="single" w:sz="4" w:space="0" w:color="auto"/>
              <w:right w:val="single" w:sz="4" w:space="0" w:color="auto"/>
            </w:tcBorders>
          </w:tcPr>
          <w:p w14:paraId="2C039BBC" w14:textId="2935BDCC"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217A3392" w14:textId="3109B24F"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Opći opis regulatornih modela za </w:t>
            </w:r>
            <w:proofErr w:type="spellStart"/>
            <w:r>
              <w:rPr>
                <w:rFonts w:ascii="Times New Roman" w:hAnsi="Times New Roman"/>
                <w:sz w:val="24"/>
              </w:rPr>
              <w:t>VaR</w:t>
            </w:r>
            <w:proofErr w:type="spellEnd"/>
            <w:r>
              <w:rPr>
                <w:rFonts w:ascii="Times New Roman" w:hAnsi="Times New Roman"/>
                <w:sz w:val="24"/>
              </w:rPr>
              <w:t xml:space="preserve"> i </w:t>
            </w:r>
            <w:proofErr w:type="spellStart"/>
            <w:r>
              <w:rPr>
                <w:rFonts w:ascii="Times New Roman" w:hAnsi="Times New Roman"/>
                <w:sz w:val="24"/>
              </w:rPr>
              <w:t>SVaR</w:t>
            </w:r>
            <w:proofErr w:type="spellEnd"/>
            <w:r>
              <w:rPr>
                <w:rFonts w:ascii="Times New Roman" w:hAnsi="Times New Roman"/>
                <w:sz w:val="24"/>
              </w:rPr>
              <w:t xml:space="preserve"> </w:t>
            </w:r>
          </w:p>
        </w:tc>
      </w:tr>
      <w:tr w:rsidR="00203C1C" w:rsidRPr="007F4CC8" w14:paraId="11DBFFF7" w14:textId="77777777" w:rsidTr="00155C96">
        <w:tc>
          <w:tcPr>
            <w:tcW w:w="1172" w:type="dxa"/>
            <w:tcBorders>
              <w:top w:val="single" w:sz="4" w:space="0" w:color="auto"/>
              <w:left w:val="single" w:sz="4" w:space="0" w:color="auto"/>
              <w:bottom w:val="single" w:sz="4" w:space="0" w:color="auto"/>
              <w:right w:val="single" w:sz="4" w:space="0" w:color="auto"/>
            </w:tcBorders>
          </w:tcPr>
          <w:p w14:paraId="289FED57" w14:textId="12DABC82"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1A60E27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Raspravu o glavnim razlikama, ako ih ima, između modela primijenjenih u svrhe upravljanja i modela primijenjenog u regulatorne svrhe (10 dana 99 %) za modele za </w:t>
            </w:r>
            <w:proofErr w:type="spellStart"/>
            <w:r>
              <w:rPr>
                <w:rFonts w:ascii="Times New Roman" w:hAnsi="Times New Roman"/>
                <w:sz w:val="24"/>
              </w:rPr>
              <w:t>VaR</w:t>
            </w:r>
            <w:proofErr w:type="spellEnd"/>
            <w:r>
              <w:rPr>
                <w:rFonts w:ascii="Times New Roman" w:hAnsi="Times New Roman"/>
                <w:sz w:val="24"/>
              </w:rPr>
              <w:t xml:space="preserve"> i </w:t>
            </w:r>
            <w:proofErr w:type="spellStart"/>
            <w:r>
              <w:rPr>
                <w:rFonts w:ascii="Times New Roman" w:hAnsi="Times New Roman"/>
                <w:sz w:val="24"/>
              </w:rPr>
              <w:t>SVaR</w:t>
            </w:r>
            <w:proofErr w:type="spellEnd"/>
            <w:r>
              <w:rPr>
                <w:rFonts w:ascii="Times New Roman" w:hAnsi="Times New Roman"/>
                <w:sz w:val="24"/>
              </w:rPr>
              <w:t>.</w:t>
            </w:r>
          </w:p>
        </w:tc>
      </w:tr>
      <w:tr w:rsidR="00203C1C" w:rsidRPr="007F4CC8" w14:paraId="2A5058BA" w14:textId="77777777" w:rsidTr="00155C96">
        <w:tc>
          <w:tcPr>
            <w:tcW w:w="1172" w:type="dxa"/>
            <w:tcBorders>
              <w:top w:val="single" w:sz="4" w:space="0" w:color="auto"/>
              <w:left w:val="single" w:sz="4" w:space="0" w:color="auto"/>
              <w:bottom w:val="nil"/>
              <w:right w:val="single" w:sz="4" w:space="0" w:color="auto"/>
            </w:tcBorders>
          </w:tcPr>
          <w:p w14:paraId="3FF76452" w14:textId="5508DFE0"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(e)</w:t>
            </w:r>
          </w:p>
        </w:tc>
        <w:tc>
          <w:tcPr>
            <w:tcW w:w="7242" w:type="dxa"/>
            <w:tcBorders>
              <w:top w:val="single" w:sz="4" w:space="0" w:color="auto"/>
              <w:left w:val="single" w:sz="4" w:space="0" w:color="auto"/>
              <w:bottom w:val="nil"/>
              <w:right w:val="single" w:sz="4" w:space="0" w:color="auto"/>
            </w:tcBorders>
          </w:tcPr>
          <w:p w14:paraId="10D0837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Za modele za </w:t>
            </w:r>
            <w:proofErr w:type="spellStart"/>
            <w:r>
              <w:rPr>
                <w:rFonts w:ascii="Times New Roman" w:hAnsi="Times New Roman"/>
                <w:sz w:val="24"/>
              </w:rPr>
              <w:t>VaR</w:t>
            </w:r>
            <w:proofErr w:type="spellEnd"/>
            <w:r>
              <w:rPr>
                <w:rFonts w:ascii="Times New Roman" w:hAnsi="Times New Roman"/>
                <w:sz w:val="24"/>
              </w:rPr>
              <w:t>:</w:t>
            </w:r>
          </w:p>
        </w:tc>
      </w:tr>
      <w:tr w:rsidR="00203C1C" w:rsidRPr="007F4CC8" w14:paraId="2E8CAC71" w14:textId="77777777" w:rsidTr="00155C96">
        <w:tc>
          <w:tcPr>
            <w:tcW w:w="1172" w:type="dxa"/>
            <w:tcBorders>
              <w:top w:val="nil"/>
              <w:left w:val="single" w:sz="4" w:space="0" w:color="auto"/>
              <w:bottom w:val="nil"/>
              <w:right w:val="single" w:sz="4" w:space="0" w:color="auto"/>
            </w:tcBorders>
          </w:tcPr>
          <w:p w14:paraId="6768B202" w14:textId="0C93E463"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w:t>
            </w:r>
          </w:p>
        </w:tc>
        <w:tc>
          <w:tcPr>
            <w:tcW w:w="7242" w:type="dxa"/>
            <w:tcBorders>
              <w:top w:val="nil"/>
              <w:left w:val="single" w:sz="4" w:space="0" w:color="auto"/>
              <w:bottom w:val="nil"/>
              <w:right w:val="single" w:sz="4" w:space="0" w:color="auto"/>
            </w:tcBorders>
          </w:tcPr>
          <w:p w14:paraId="3681D9C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učestalost ažuriranja podataka;</w:t>
            </w:r>
          </w:p>
        </w:tc>
      </w:tr>
      <w:tr w:rsidR="00203C1C" w:rsidRPr="007F4CC8" w14:paraId="7D216676" w14:textId="77777777" w:rsidTr="00155C96">
        <w:tc>
          <w:tcPr>
            <w:tcW w:w="1172" w:type="dxa"/>
            <w:tcBorders>
              <w:top w:val="nil"/>
              <w:left w:val="single" w:sz="4" w:space="0" w:color="auto"/>
              <w:bottom w:val="nil"/>
              <w:right w:val="single" w:sz="4" w:space="0" w:color="auto"/>
            </w:tcBorders>
          </w:tcPr>
          <w:p w14:paraId="65C03C45" w14:textId="1CB49785"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w:t>
            </w:r>
          </w:p>
        </w:tc>
        <w:tc>
          <w:tcPr>
            <w:tcW w:w="7242" w:type="dxa"/>
            <w:tcBorders>
              <w:top w:val="nil"/>
              <w:left w:val="single" w:sz="4" w:space="0" w:color="auto"/>
              <w:bottom w:val="nil"/>
              <w:right w:val="single" w:sz="4" w:space="0" w:color="auto"/>
            </w:tcBorders>
          </w:tcPr>
          <w:p w14:paraId="1AD51F60"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 xml:space="preserve">trajanje vremenskog niza podataka iskorištenog za kalibriranje modela. opis korištene sheme </w:t>
            </w:r>
            <w:proofErr w:type="spellStart"/>
            <w:r>
              <w:rPr>
                <w:rFonts w:ascii="Times New Roman" w:hAnsi="Times New Roman"/>
                <w:sz w:val="24"/>
              </w:rPr>
              <w:t>ponderiranja</w:t>
            </w:r>
            <w:proofErr w:type="spellEnd"/>
            <w:r>
              <w:rPr>
                <w:rFonts w:ascii="Times New Roman" w:hAnsi="Times New Roman"/>
                <w:sz w:val="24"/>
              </w:rPr>
              <w:t xml:space="preserve"> (ako postoji);</w:t>
            </w:r>
          </w:p>
        </w:tc>
      </w:tr>
      <w:tr w:rsidR="00203C1C" w:rsidRPr="007F4CC8" w14:paraId="73FDFDB6" w14:textId="77777777" w:rsidTr="00155C96">
        <w:tc>
          <w:tcPr>
            <w:tcW w:w="1172" w:type="dxa"/>
            <w:tcBorders>
              <w:top w:val="nil"/>
              <w:left w:val="single" w:sz="4" w:space="0" w:color="auto"/>
              <w:bottom w:val="nil"/>
              <w:right w:val="single" w:sz="4" w:space="0" w:color="auto"/>
            </w:tcBorders>
          </w:tcPr>
          <w:p w14:paraId="0564ACBD" w14:textId="026B665C"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iii.</w:t>
            </w:r>
          </w:p>
        </w:tc>
        <w:tc>
          <w:tcPr>
            <w:tcW w:w="7242" w:type="dxa"/>
            <w:tcBorders>
              <w:top w:val="nil"/>
              <w:left w:val="single" w:sz="4" w:space="0" w:color="auto"/>
              <w:bottom w:val="nil"/>
              <w:right w:val="single" w:sz="4" w:space="0" w:color="auto"/>
            </w:tcBorders>
          </w:tcPr>
          <w:p w14:paraId="0243897C"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 xml:space="preserve">opis kako institucija određuje 10-dnevno razdoblje držanja (na primjer, povećava li jednodnevnu vrijednost </w:t>
            </w:r>
            <w:proofErr w:type="spellStart"/>
            <w:r>
              <w:rPr>
                <w:rFonts w:ascii="Times New Roman" w:hAnsi="Times New Roman"/>
                <w:sz w:val="24"/>
              </w:rPr>
              <w:t>VaR</w:t>
            </w:r>
            <w:proofErr w:type="spellEnd"/>
            <w:r>
              <w:rPr>
                <w:rFonts w:ascii="Times New Roman" w:hAnsi="Times New Roman"/>
                <w:sz w:val="24"/>
              </w:rPr>
              <w:t xml:space="preserve">-a za kvadratni korijen broja 10 ili izravno modelira 10-dnevni </w:t>
            </w:r>
            <w:proofErr w:type="spellStart"/>
            <w:r>
              <w:rPr>
                <w:rFonts w:ascii="Times New Roman" w:hAnsi="Times New Roman"/>
                <w:sz w:val="24"/>
              </w:rPr>
              <w:t>VaR</w:t>
            </w:r>
            <w:proofErr w:type="spellEnd"/>
            <w:r>
              <w:rPr>
                <w:rFonts w:ascii="Times New Roman" w:hAnsi="Times New Roman"/>
                <w:sz w:val="24"/>
              </w:rPr>
              <w:t>?);</w:t>
            </w:r>
          </w:p>
        </w:tc>
      </w:tr>
      <w:tr w:rsidR="00203C1C" w:rsidRPr="007F4CC8" w14:paraId="4DB28CCE" w14:textId="77777777" w:rsidTr="00155C96">
        <w:tc>
          <w:tcPr>
            <w:tcW w:w="1172" w:type="dxa"/>
            <w:tcBorders>
              <w:top w:val="nil"/>
              <w:left w:val="single" w:sz="4" w:space="0" w:color="auto"/>
              <w:bottom w:val="nil"/>
              <w:right w:val="single" w:sz="4" w:space="0" w:color="auto"/>
            </w:tcBorders>
          </w:tcPr>
          <w:p w14:paraId="71FB1AA4" w14:textId="6FE26ACC"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iv.</w:t>
            </w:r>
          </w:p>
        </w:tc>
        <w:tc>
          <w:tcPr>
            <w:tcW w:w="7242" w:type="dxa"/>
            <w:tcBorders>
              <w:top w:val="nil"/>
              <w:left w:val="single" w:sz="4" w:space="0" w:color="auto"/>
              <w:bottom w:val="nil"/>
              <w:right w:val="single" w:sz="4" w:space="0" w:color="auto"/>
            </w:tcBorders>
          </w:tcPr>
          <w:p w14:paraId="4939E92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opis pristupa agregiranja odnosno metode agregiranja specifičnog i općeg rizika (npr. izračunavaju li institucije zahtjev za specifični rizik kao samostalan zahtjev metodom koja se razlikuje od metode koju primjenjuju za izračun općeg rizika ili koriste jedan model koji razlikuje opći rizik od specifičnog?);</w:t>
            </w:r>
          </w:p>
        </w:tc>
      </w:tr>
      <w:tr w:rsidR="00203C1C" w:rsidRPr="007F4CC8" w14:paraId="3D51703A" w14:textId="77777777" w:rsidTr="00155C96">
        <w:tc>
          <w:tcPr>
            <w:tcW w:w="1172" w:type="dxa"/>
            <w:tcBorders>
              <w:top w:val="nil"/>
              <w:left w:val="single" w:sz="4" w:space="0" w:color="auto"/>
              <w:bottom w:val="nil"/>
              <w:right w:val="single" w:sz="4" w:space="0" w:color="auto"/>
            </w:tcBorders>
          </w:tcPr>
          <w:p w14:paraId="55D09C8B" w14:textId="2E33D3BF"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v.</w:t>
            </w:r>
          </w:p>
        </w:tc>
        <w:tc>
          <w:tcPr>
            <w:tcW w:w="7242" w:type="dxa"/>
            <w:tcBorders>
              <w:top w:val="nil"/>
              <w:left w:val="single" w:sz="4" w:space="0" w:color="auto"/>
              <w:bottom w:val="nil"/>
              <w:right w:val="single" w:sz="4" w:space="0" w:color="auto"/>
            </w:tcBorders>
          </w:tcPr>
          <w:p w14:paraId="3F1254F1"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pristup vrednovanju (puna revalorizacija ili primjena približnih vrijednosti);</w:t>
            </w:r>
          </w:p>
        </w:tc>
      </w:tr>
      <w:tr w:rsidR="00203C1C" w:rsidRPr="007F4CC8" w14:paraId="292C1658" w14:textId="77777777" w:rsidTr="00155C96">
        <w:tc>
          <w:tcPr>
            <w:tcW w:w="1172" w:type="dxa"/>
            <w:tcBorders>
              <w:top w:val="nil"/>
              <w:left w:val="single" w:sz="4" w:space="0" w:color="auto"/>
              <w:bottom w:val="single" w:sz="4" w:space="0" w:color="auto"/>
              <w:right w:val="single" w:sz="4" w:space="0" w:color="auto"/>
            </w:tcBorders>
          </w:tcPr>
          <w:p w14:paraId="784B3044" w14:textId="645B5EA3"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vi.</w:t>
            </w:r>
          </w:p>
        </w:tc>
        <w:tc>
          <w:tcPr>
            <w:tcW w:w="7242" w:type="dxa"/>
            <w:tcBorders>
              <w:top w:val="nil"/>
              <w:left w:val="single" w:sz="4" w:space="0" w:color="auto"/>
              <w:bottom w:val="single" w:sz="4" w:space="0" w:color="auto"/>
              <w:right w:val="single" w:sz="4" w:space="0" w:color="auto"/>
            </w:tcBorders>
          </w:tcPr>
          <w:p w14:paraId="7787A0AD"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primjenjuju li se pri simulaciji potencijalnih kretanja faktora rizika apsolutni ili relativni povrati (ili kombinirani pristup) (npr. proporcionalna ili apsolutna promjena cijena ili stopa).</w:t>
            </w:r>
          </w:p>
        </w:tc>
      </w:tr>
      <w:tr w:rsidR="00203C1C" w:rsidRPr="007F4CC8" w14:paraId="732FE7E3" w14:textId="77777777" w:rsidTr="00155C96">
        <w:tc>
          <w:tcPr>
            <w:tcW w:w="1172" w:type="dxa"/>
            <w:tcBorders>
              <w:top w:val="single" w:sz="4" w:space="0" w:color="auto"/>
              <w:left w:val="single" w:sz="4" w:space="0" w:color="auto"/>
              <w:bottom w:val="nil"/>
              <w:right w:val="single" w:sz="4" w:space="0" w:color="auto"/>
            </w:tcBorders>
          </w:tcPr>
          <w:p w14:paraId="1B61ED70" w14:textId="7ADAE4C8"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(f)</w:t>
            </w:r>
          </w:p>
        </w:tc>
        <w:tc>
          <w:tcPr>
            <w:tcW w:w="7242" w:type="dxa"/>
            <w:tcBorders>
              <w:top w:val="single" w:sz="4" w:space="0" w:color="auto"/>
              <w:left w:val="single" w:sz="4" w:space="0" w:color="auto"/>
              <w:bottom w:val="nil"/>
              <w:right w:val="single" w:sz="4" w:space="0" w:color="auto"/>
            </w:tcBorders>
          </w:tcPr>
          <w:p w14:paraId="16DE8F66"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Za modele za </w:t>
            </w:r>
            <w:proofErr w:type="spellStart"/>
            <w:r>
              <w:rPr>
                <w:rFonts w:ascii="Times New Roman" w:hAnsi="Times New Roman"/>
                <w:sz w:val="24"/>
              </w:rPr>
              <w:t>SVaR</w:t>
            </w:r>
            <w:proofErr w:type="spellEnd"/>
            <w:r>
              <w:rPr>
                <w:rFonts w:ascii="Times New Roman" w:hAnsi="Times New Roman"/>
                <w:sz w:val="24"/>
              </w:rPr>
              <w:t>:</w:t>
            </w:r>
          </w:p>
        </w:tc>
      </w:tr>
      <w:tr w:rsidR="00203C1C" w:rsidRPr="007F4CC8" w14:paraId="05EF3494" w14:textId="77777777" w:rsidTr="00155C96">
        <w:tc>
          <w:tcPr>
            <w:tcW w:w="1172" w:type="dxa"/>
            <w:tcBorders>
              <w:top w:val="nil"/>
              <w:left w:val="single" w:sz="4" w:space="0" w:color="auto"/>
              <w:bottom w:val="nil"/>
              <w:right w:val="single" w:sz="4" w:space="0" w:color="auto"/>
            </w:tcBorders>
          </w:tcPr>
          <w:p w14:paraId="0FDFD346" w14:textId="524A0D18"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w:t>
            </w:r>
          </w:p>
        </w:tc>
        <w:tc>
          <w:tcPr>
            <w:tcW w:w="7242" w:type="dxa"/>
            <w:tcBorders>
              <w:top w:val="nil"/>
              <w:left w:val="single" w:sz="4" w:space="0" w:color="auto"/>
              <w:bottom w:val="nil"/>
              <w:right w:val="single" w:sz="4" w:space="0" w:color="auto"/>
            </w:tcBorders>
          </w:tcPr>
          <w:p w14:paraId="18B8D5CF"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 xml:space="preserve">opis kako se utvrđuje 10-dnevno razdoblje držanja. Na primjer, povećava li jednodnevnu vrijednost </w:t>
            </w:r>
            <w:proofErr w:type="spellStart"/>
            <w:r>
              <w:rPr>
                <w:rFonts w:ascii="Times New Roman" w:hAnsi="Times New Roman"/>
                <w:sz w:val="24"/>
              </w:rPr>
              <w:t>VaR</w:t>
            </w:r>
            <w:proofErr w:type="spellEnd"/>
            <w:r>
              <w:rPr>
                <w:rFonts w:ascii="Times New Roman" w:hAnsi="Times New Roman"/>
                <w:sz w:val="24"/>
              </w:rPr>
              <w:t xml:space="preserve">-a za kvadratni korijen broja 10 ili izravno modelira 10-dnevni </w:t>
            </w:r>
            <w:proofErr w:type="spellStart"/>
            <w:r>
              <w:rPr>
                <w:rFonts w:ascii="Times New Roman" w:hAnsi="Times New Roman"/>
                <w:sz w:val="24"/>
              </w:rPr>
              <w:t>VaR</w:t>
            </w:r>
            <w:proofErr w:type="spellEnd"/>
            <w:r>
              <w:rPr>
                <w:rFonts w:ascii="Times New Roman" w:hAnsi="Times New Roman"/>
                <w:sz w:val="24"/>
              </w:rPr>
              <w:t xml:space="preserve">? Ako se primjenjuje isti pristup kao za modele za </w:t>
            </w:r>
            <w:proofErr w:type="spellStart"/>
            <w:r>
              <w:rPr>
                <w:rFonts w:ascii="Times New Roman" w:hAnsi="Times New Roman"/>
                <w:sz w:val="24"/>
              </w:rPr>
              <w:t>VaR</w:t>
            </w:r>
            <w:proofErr w:type="spellEnd"/>
            <w:r>
              <w:rPr>
                <w:rFonts w:ascii="Times New Roman" w:hAnsi="Times New Roman"/>
                <w:sz w:val="24"/>
              </w:rPr>
              <w:t xml:space="preserve">, institucije to mogu potvrditi i navesti upućivanje na informacije navedene pod točkom (e) </w:t>
            </w:r>
            <w:proofErr w:type="spellStart"/>
            <w:r>
              <w:rPr>
                <w:rFonts w:ascii="Times New Roman" w:hAnsi="Times New Roman"/>
                <w:sz w:val="24"/>
              </w:rPr>
              <w:t>podtočkom</w:t>
            </w:r>
            <w:proofErr w:type="spellEnd"/>
            <w:r>
              <w:rPr>
                <w:rFonts w:ascii="Times New Roman" w:hAnsi="Times New Roman"/>
                <w:sz w:val="24"/>
              </w:rPr>
              <w:t xml:space="preserve"> iii.;</w:t>
            </w:r>
          </w:p>
        </w:tc>
      </w:tr>
      <w:tr w:rsidR="00203C1C" w:rsidRPr="007F4CC8" w14:paraId="25835CC6" w14:textId="77777777" w:rsidTr="00155C96">
        <w:tc>
          <w:tcPr>
            <w:tcW w:w="1172" w:type="dxa"/>
            <w:tcBorders>
              <w:top w:val="nil"/>
              <w:left w:val="single" w:sz="4" w:space="0" w:color="auto"/>
              <w:bottom w:val="nil"/>
              <w:right w:val="single" w:sz="4" w:space="0" w:color="auto"/>
            </w:tcBorders>
          </w:tcPr>
          <w:p w14:paraId="44C0C517" w14:textId="3314AD11"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w:t>
            </w:r>
          </w:p>
        </w:tc>
        <w:tc>
          <w:tcPr>
            <w:tcW w:w="7242" w:type="dxa"/>
            <w:tcBorders>
              <w:top w:val="nil"/>
              <w:left w:val="single" w:sz="4" w:space="0" w:color="auto"/>
              <w:bottom w:val="nil"/>
              <w:right w:val="single" w:sz="4" w:space="0" w:color="auto"/>
            </w:tcBorders>
          </w:tcPr>
          <w:p w14:paraId="3255ED75"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opis razdoblja stresa koje je institucija odabrala i obrazloženje tog odabira;</w:t>
            </w:r>
          </w:p>
        </w:tc>
      </w:tr>
      <w:tr w:rsidR="00203C1C" w:rsidRPr="007F4CC8" w14:paraId="52039197" w14:textId="77777777" w:rsidTr="00155C96">
        <w:tc>
          <w:tcPr>
            <w:tcW w:w="1172" w:type="dxa"/>
            <w:tcBorders>
              <w:top w:val="nil"/>
              <w:left w:val="single" w:sz="4" w:space="0" w:color="auto"/>
              <w:bottom w:val="single" w:sz="4" w:space="0" w:color="auto"/>
              <w:right w:val="single" w:sz="4" w:space="0" w:color="auto"/>
            </w:tcBorders>
          </w:tcPr>
          <w:p w14:paraId="3B8AE568" w14:textId="01188C58"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lastRenderedPageBreak/>
              <w:t>iii.</w:t>
            </w:r>
          </w:p>
        </w:tc>
        <w:tc>
          <w:tcPr>
            <w:tcW w:w="7242" w:type="dxa"/>
            <w:tcBorders>
              <w:top w:val="nil"/>
              <w:left w:val="single" w:sz="4" w:space="0" w:color="auto"/>
              <w:bottom w:val="single" w:sz="4" w:space="0" w:color="auto"/>
              <w:right w:val="single" w:sz="4" w:space="0" w:color="auto"/>
            </w:tcBorders>
          </w:tcPr>
          <w:p w14:paraId="5A8F9993"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opis pristupa vrednovanju (puna revalorizacija ili primjena približnih vrijednosti).</w:t>
            </w:r>
          </w:p>
        </w:tc>
      </w:tr>
      <w:tr w:rsidR="00203C1C" w:rsidRPr="007F4CC8" w14:paraId="358754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DF52AFD" w14:textId="6D8F4C29"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17F23A5" w14:textId="5D743874"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Pri objavi informacija iz članka 455. točke (a) podtočke iii. CRR-a, institucije uključuju opis testiranja otpornosti na stres primijenjenih na parametre modeliranja u skladu s informacijama prethodno objavljenima u točki (A) (a) (glavni scenariji koji odražavaju karakteristike portfelja na koje se na razini grupe primjenjuju modeli za </w:t>
            </w:r>
            <w:proofErr w:type="spellStart"/>
            <w:r>
              <w:rPr>
                <w:rFonts w:ascii="Times New Roman" w:hAnsi="Times New Roman"/>
                <w:sz w:val="24"/>
              </w:rPr>
              <w:t>VaR</w:t>
            </w:r>
            <w:proofErr w:type="spellEnd"/>
            <w:r>
              <w:rPr>
                <w:rFonts w:ascii="Times New Roman" w:hAnsi="Times New Roman"/>
                <w:sz w:val="24"/>
              </w:rPr>
              <w:t xml:space="preserve"> i </w:t>
            </w:r>
            <w:proofErr w:type="spellStart"/>
            <w:r>
              <w:rPr>
                <w:rFonts w:ascii="Times New Roman" w:hAnsi="Times New Roman"/>
                <w:sz w:val="24"/>
              </w:rPr>
              <w:t>SVaR</w:t>
            </w:r>
            <w:proofErr w:type="spellEnd"/>
            <w:r>
              <w:rPr>
                <w:rFonts w:ascii="Times New Roman" w:hAnsi="Times New Roman"/>
                <w:sz w:val="24"/>
              </w:rPr>
              <w:t>).</w:t>
            </w:r>
          </w:p>
        </w:tc>
      </w:tr>
      <w:tr w:rsidR="00203C1C" w:rsidRPr="007F4CC8" w14:paraId="45E6F6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23D39AD1" w14:textId="27397147"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07E70CE9"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Pri objavi informacija iz članka 455. točke (a) podtočke iv. CRR-a, institucije objavljuju opis pristupa retroaktivnom testiranju i provjeri točnosti i unutarnje dosljednosti podataka i parametara korištenih za interne modele i postupke modeliranja.</w:t>
            </w:r>
          </w:p>
        </w:tc>
      </w:tr>
      <w:tr w:rsidR="00203C1C" w:rsidRPr="007F4CC8" w14:paraId="38202DB1"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9D8E5D" w14:textId="66CB37F8"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6B72CE"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Institucije koje za mjerenje kapitalnih zahtjeva za dodatni rizik nastanka statusa neispunjavanja obveza i migracijski rizik (IRC) koriste interne modele u skladu s dijelom trećim glavom IV. poglavljem 5. odjeljcima 3. i 4. CRR-a</w:t>
            </w:r>
          </w:p>
        </w:tc>
      </w:tr>
      <w:tr w:rsidR="00203C1C" w:rsidRPr="007F4CC8" w14:paraId="1F4E1ECA" w14:textId="77777777" w:rsidTr="00155C96">
        <w:tc>
          <w:tcPr>
            <w:tcW w:w="1172" w:type="dxa"/>
            <w:tcBorders>
              <w:top w:val="single" w:sz="4" w:space="0" w:color="auto"/>
              <w:left w:val="single" w:sz="4" w:space="0" w:color="auto"/>
              <w:bottom w:val="single" w:sz="4" w:space="0" w:color="auto"/>
              <w:right w:val="single" w:sz="4" w:space="0" w:color="auto"/>
            </w:tcBorders>
          </w:tcPr>
          <w:p w14:paraId="4585A582" w14:textId="5703436C"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332B4DA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Pri objavi informacija iz članka 455. točke (a) podtočke i. i članka 455. točke (b) CRR-a institucije uključuju opis rizika obuhvaćenih modelima za IRC koje je nadležno tijelo odobrilo, uz navođenje njihove distribucije na portfelje/</w:t>
            </w:r>
            <w:proofErr w:type="spellStart"/>
            <w:r>
              <w:rPr>
                <w:rFonts w:ascii="Times New Roman" w:hAnsi="Times New Roman"/>
                <w:sz w:val="24"/>
              </w:rPr>
              <w:t>potportfelje</w:t>
            </w:r>
            <w:proofErr w:type="spellEnd"/>
            <w:r>
              <w:rPr>
                <w:rFonts w:ascii="Times New Roman" w:hAnsi="Times New Roman"/>
                <w:sz w:val="24"/>
              </w:rPr>
              <w:t>.</w:t>
            </w:r>
          </w:p>
        </w:tc>
      </w:tr>
      <w:tr w:rsidR="00203C1C" w:rsidRPr="007F4CC8" w14:paraId="4FEE51D8" w14:textId="77777777" w:rsidTr="00155C96">
        <w:tc>
          <w:tcPr>
            <w:tcW w:w="1172" w:type="dxa"/>
            <w:tcBorders>
              <w:top w:val="single" w:sz="4" w:space="0" w:color="auto"/>
              <w:left w:val="single" w:sz="4" w:space="0" w:color="auto"/>
              <w:bottom w:val="single" w:sz="4" w:space="0" w:color="auto"/>
              <w:right w:val="single" w:sz="4" w:space="0" w:color="auto"/>
            </w:tcBorders>
          </w:tcPr>
          <w:p w14:paraId="12FFE42E" w14:textId="5447E45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7DE1866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Informacije iz članka 455. točke (b) CRR-a uključuju opis opsega primjene modela za IRC koji je nadležno tijelo odobrilo i dopunjuju se informacijama o tome koji subjekti u grupi te modele primjenjuju te kako ti modeli predstavljaju sve modele koji se primjenjuju na razini grupe, postotak kapitalnih zahtjeva obuhvaćenih modelima, odnosno primjenjuju li iste modele za IRC svi subjekti s izloženosti tržišnom riziku.</w:t>
            </w:r>
          </w:p>
        </w:tc>
      </w:tr>
      <w:tr w:rsidR="00203C1C" w:rsidRPr="007F4CC8" w14:paraId="45CB6509" w14:textId="77777777" w:rsidTr="00155C96">
        <w:tc>
          <w:tcPr>
            <w:tcW w:w="1172" w:type="dxa"/>
            <w:tcBorders>
              <w:top w:val="single" w:sz="4" w:space="0" w:color="auto"/>
              <w:left w:val="single" w:sz="4" w:space="0" w:color="auto"/>
              <w:bottom w:val="single" w:sz="4" w:space="0" w:color="auto"/>
              <w:right w:val="nil"/>
            </w:tcBorders>
          </w:tcPr>
          <w:p w14:paraId="04C6B44C" w14:textId="77777777" w:rsidR="00203C1C" w:rsidRPr="007F4CC8"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55FF7F8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Informacije iz članka 455. točke (a) podtočke ii. o značajkama modela za IRC uključuju:</w:t>
            </w:r>
          </w:p>
        </w:tc>
      </w:tr>
      <w:tr w:rsidR="00203C1C" w:rsidRPr="007F4CC8" w14:paraId="253F486E" w14:textId="77777777" w:rsidTr="00155C96">
        <w:tc>
          <w:tcPr>
            <w:tcW w:w="1172" w:type="dxa"/>
            <w:tcBorders>
              <w:top w:val="single" w:sz="4" w:space="0" w:color="auto"/>
              <w:left w:val="single" w:sz="4" w:space="0" w:color="auto"/>
              <w:bottom w:val="single" w:sz="4" w:space="0" w:color="auto"/>
              <w:right w:val="single" w:sz="4" w:space="0" w:color="auto"/>
            </w:tcBorders>
          </w:tcPr>
          <w:p w14:paraId="26EFD6B3" w14:textId="37DA629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5A0C4EF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Opći opis metodologije primijenjene za interne modele za dodatni rizik nastanka statusa neispunjavanja obveza i migracijski rizik, uključujući:</w:t>
            </w:r>
          </w:p>
        </w:tc>
      </w:tr>
      <w:tr w:rsidR="00203C1C" w:rsidRPr="007F4CC8" w14:paraId="1C7DEAAD" w14:textId="77777777" w:rsidTr="00155C96">
        <w:tc>
          <w:tcPr>
            <w:tcW w:w="1172" w:type="dxa"/>
            <w:tcBorders>
              <w:top w:val="single" w:sz="4" w:space="0" w:color="auto"/>
              <w:left w:val="single" w:sz="4" w:space="0" w:color="auto"/>
              <w:bottom w:val="single" w:sz="4" w:space="0" w:color="auto"/>
              <w:right w:val="single" w:sz="4" w:space="0" w:color="auto"/>
            </w:tcBorders>
          </w:tcPr>
          <w:p w14:paraId="07CA7BDB" w14:textId="6BD6E4D4"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7DFE3681"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informacije o ukupnom pristupu modeliranju (osobito o primjeni modela na temelju kreditne marže ili modela na temelju tranzicijske matrice);</w:t>
            </w:r>
          </w:p>
        </w:tc>
      </w:tr>
      <w:tr w:rsidR="00203C1C" w:rsidRPr="007F4CC8" w14:paraId="6A6E961C" w14:textId="77777777" w:rsidTr="00155C96">
        <w:tc>
          <w:tcPr>
            <w:tcW w:w="1172" w:type="dxa"/>
            <w:tcBorders>
              <w:top w:val="single" w:sz="4" w:space="0" w:color="auto"/>
              <w:left w:val="single" w:sz="4" w:space="0" w:color="auto"/>
              <w:bottom w:val="single" w:sz="4" w:space="0" w:color="auto"/>
              <w:right w:val="single" w:sz="4" w:space="0" w:color="auto"/>
            </w:tcBorders>
          </w:tcPr>
          <w:p w14:paraId="25A0B369" w14:textId="12F5F81F"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w:t>
            </w:r>
          </w:p>
        </w:tc>
        <w:tc>
          <w:tcPr>
            <w:tcW w:w="7242" w:type="dxa"/>
            <w:tcBorders>
              <w:top w:val="single" w:sz="4" w:space="0" w:color="auto"/>
              <w:left w:val="single" w:sz="4" w:space="0" w:color="auto"/>
              <w:bottom w:val="single" w:sz="4" w:space="0" w:color="auto"/>
              <w:right w:val="single" w:sz="4" w:space="0" w:color="auto"/>
            </w:tcBorders>
          </w:tcPr>
          <w:p w14:paraId="210F7E57"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informacije o kalibriranju tranzicijske matrice;</w:t>
            </w:r>
          </w:p>
        </w:tc>
      </w:tr>
      <w:tr w:rsidR="00203C1C" w:rsidRPr="007F4CC8" w14:paraId="0CC4C684" w14:textId="77777777" w:rsidTr="00155C96">
        <w:tc>
          <w:tcPr>
            <w:tcW w:w="1172" w:type="dxa"/>
            <w:tcBorders>
              <w:top w:val="single" w:sz="4" w:space="0" w:color="auto"/>
              <w:left w:val="single" w:sz="4" w:space="0" w:color="auto"/>
              <w:bottom w:val="single" w:sz="4" w:space="0" w:color="auto"/>
              <w:right w:val="single" w:sz="4" w:space="0" w:color="auto"/>
            </w:tcBorders>
          </w:tcPr>
          <w:p w14:paraId="2F81AD74" w14:textId="5A1B1242"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1CE8099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informacije o pretpostavkama o korelaciji.</w:t>
            </w:r>
          </w:p>
        </w:tc>
      </w:tr>
      <w:tr w:rsidR="00203C1C" w:rsidRPr="007F4CC8" w14:paraId="4F9E8C87" w14:textId="77777777" w:rsidTr="00155C96">
        <w:tc>
          <w:tcPr>
            <w:tcW w:w="1172" w:type="dxa"/>
            <w:tcBorders>
              <w:top w:val="single" w:sz="4" w:space="0" w:color="auto"/>
              <w:left w:val="single" w:sz="4" w:space="0" w:color="auto"/>
              <w:bottom w:val="single" w:sz="4" w:space="0" w:color="auto"/>
              <w:right w:val="single" w:sz="4" w:space="0" w:color="auto"/>
            </w:tcBorders>
          </w:tcPr>
          <w:p w14:paraId="74007590" w14:textId="65764E29"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50AB1DA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Institucije uključuju opis pristupa koji se primjenjuje za određivanje razdoblja likvidnosti;</w:t>
            </w:r>
          </w:p>
        </w:tc>
      </w:tr>
      <w:tr w:rsidR="00203C1C" w:rsidRPr="007F4CC8" w14:paraId="76A4AEAE" w14:textId="77777777" w:rsidTr="00155C96">
        <w:tc>
          <w:tcPr>
            <w:tcW w:w="1172" w:type="dxa"/>
            <w:tcBorders>
              <w:top w:val="single" w:sz="4" w:space="0" w:color="auto"/>
              <w:left w:val="single" w:sz="4" w:space="0" w:color="auto"/>
              <w:bottom w:val="single" w:sz="4" w:space="0" w:color="auto"/>
              <w:right w:val="single" w:sz="4" w:space="0" w:color="auto"/>
            </w:tcBorders>
          </w:tcPr>
          <w:p w14:paraId="1081FB9A" w14:textId="614B2888"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lastRenderedPageBreak/>
              <w:t>(e)</w:t>
            </w:r>
          </w:p>
        </w:tc>
        <w:tc>
          <w:tcPr>
            <w:tcW w:w="7242" w:type="dxa"/>
            <w:tcBorders>
              <w:top w:val="single" w:sz="4" w:space="0" w:color="auto"/>
              <w:left w:val="single" w:sz="4" w:space="0" w:color="auto"/>
              <w:bottom w:val="single" w:sz="4" w:space="0" w:color="auto"/>
              <w:right w:val="single" w:sz="4" w:space="0" w:color="auto"/>
            </w:tcBorders>
          </w:tcPr>
          <w:p w14:paraId="659DED47"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Institucije uključuju opis metodologije koja se primjenjuje za procjenu kapitala koja je dosljedna zatraženom standardu stabilnosti;</w:t>
            </w:r>
          </w:p>
        </w:tc>
      </w:tr>
      <w:tr w:rsidR="00203C1C" w:rsidRPr="007F4CC8" w14:paraId="1F4C2DBA" w14:textId="77777777" w:rsidTr="00155C96">
        <w:tc>
          <w:tcPr>
            <w:tcW w:w="1172" w:type="dxa"/>
            <w:tcBorders>
              <w:top w:val="single" w:sz="4" w:space="0" w:color="auto"/>
              <w:left w:val="single" w:sz="4" w:space="0" w:color="auto"/>
              <w:bottom w:val="single" w:sz="4" w:space="0" w:color="auto"/>
              <w:right w:val="single" w:sz="4" w:space="0" w:color="auto"/>
            </w:tcBorders>
          </w:tcPr>
          <w:p w14:paraId="26CE4D03" w14:textId="44EBB61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536D330C"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Institucije uključuju opis pristupa primijenjenog pri validaciji modela.</w:t>
            </w:r>
          </w:p>
        </w:tc>
      </w:tr>
      <w:tr w:rsidR="00203C1C" w:rsidRPr="007F4CC8" w14:paraId="32192704" w14:textId="77777777" w:rsidTr="00155C96">
        <w:tc>
          <w:tcPr>
            <w:tcW w:w="1172" w:type="dxa"/>
            <w:tcBorders>
              <w:top w:val="single" w:sz="4" w:space="0" w:color="auto"/>
              <w:left w:val="single" w:sz="4" w:space="0" w:color="auto"/>
              <w:bottom w:val="single" w:sz="4" w:space="0" w:color="auto"/>
              <w:right w:val="single" w:sz="4" w:space="0" w:color="auto"/>
            </w:tcBorders>
          </w:tcPr>
          <w:p w14:paraId="4882EE4B" w14:textId="78A4361D" w:rsidR="00203C1C" w:rsidRPr="007F4CC8" w:rsidRDefault="00B77F75" w:rsidP="00B77F75">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61FC9626" w14:textId="24786A9B"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Informacije iz članka 455. točke (a) podtočke iii. CRR-a uključuju opis testiranja otpornosti na stres primijenjenih na parametre modeliranja u skladu s informacijama objavljenim u prethodno navedenoj točki (B) (a)(glavni scenariji koji odražavaju karakteristike portfelja na koje se na razini grupe primjenjuju modeli za IRC).</w:t>
            </w:r>
          </w:p>
        </w:tc>
      </w:tr>
      <w:tr w:rsidR="00203C1C" w:rsidRPr="007F4CC8" w14:paraId="1C0D234F" w14:textId="77777777" w:rsidTr="00155C96">
        <w:tc>
          <w:tcPr>
            <w:tcW w:w="1172" w:type="dxa"/>
            <w:tcBorders>
              <w:top w:val="single" w:sz="4" w:space="0" w:color="auto"/>
              <w:left w:val="single" w:sz="4" w:space="0" w:color="auto"/>
              <w:bottom w:val="single" w:sz="4" w:space="0" w:color="auto"/>
              <w:right w:val="single" w:sz="4" w:space="0" w:color="auto"/>
            </w:tcBorders>
          </w:tcPr>
          <w:p w14:paraId="09FA9DEC" w14:textId="3FD2180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tcPr>
          <w:p w14:paraId="6E8915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Informacije iz članka 455. točke (a) podtočke iv. CRR-a uključuju opis pristupa retroaktivnom testiranju i provjeri točnosti i unutarnje dosljednosti podataka i parametara korištenih za interne modele za IRC i postupke modeliranja.</w:t>
            </w:r>
          </w:p>
        </w:tc>
      </w:tr>
      <w:tr w:rsidR="00203C1C" w:rsidRPr="007F4CC8" w14:paraId="5E9A45E8"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F105A0D" w14:textId="679A272A"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(C)</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715B8215"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Institucije koje za mjerenje kapitalnih zahtjeva za korelacijski portfelj namijenjen trgovanju koriste interne modele (sveobuhvatna mjera rizika) u skladu s dijelom trećim glavom IV. poglavljem 5. odjeljkom 5. CRR-a</w:t>
            </w:r>
          </w:p>
        </w:tc>
      </w:tr>
      <w:tr w:rsidR="00203C1C" w:rsidRPr="007F4CC8" w14:paraId="3BC0867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5F78ACDF" w14:textId="3090265D"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38CCDD0" w14:textId="12322C5F"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Pri objavi informacija iz članka 455. točke (a) podtočke ii. i članka 455. točke (b) CRR-a institucije uključuju opis rizika obuhvaćenih modelima za sveobuhvatnu mjeru rizika koje je nadležno tijelo odobrilo, uz navođenje njihove distribucije na portfelje/</w:t>
            </w:r>
            <w:proofErr w:type="spellStart"/>
            <w:r>
              <w:rPr>
                <w:rFonts w:ascii="Times New Roman" w:hAnsi="Times New Roman"/>
                <w:sz w:val="24"/>
              </w:rPr>
              <w:t>potportfelje</w:t>
            </w:r>
            <w:proofErr w:type="spellEnd"/>
            <w:r>
              <w:rPr>
                <w:rFonts w:ascii="Times New Roman" w:hAnsi="Times New Roman"/>
                <w:sz w:val="24"/>
              </w:rPr>
              <w:t>.</w:t>
            </w:r>
          </w:p>
        </w:tc>
      </w:tr>
      <w:tr w:rsidR="00203C1C" w:rsidRPr="007F4CC8" w14:paraId="4AC70183"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3F4791F" w14:textId="31600D18"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4D782F0" w14:textId="4DF317C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Informacije iz članka 455. točke (b) CRR-a uključuju opis opsega primjene modela za sveobuhvatnu mjeru rizika koje je nadležno tijelo odobrilo. Dopunjuju se informacijama o tome koji subjekti u grupi te modele primjenjuju te kako ti modeli predstavljaju sve modele koji se primjenjuju na razini grupe, uključujući postotak kapitalnih zahtjeva obuhvaćenih modelima, odnosno primjenjuju li iste modele za IRC svi subjekti s izloženosti tržišnom riziku.</w:t>
            </w:r>
          </w:p>
        </w:tc>
      </w:tr>
      <w:tr w:rsidR="00203C1C" w:rsidRPr="007F4CC8" w14:paraId="149720FD" w14:textId="77777777" w:rsidTr="00155C96">
        <w:tc>
          <w:tcPr>
            <w:tcW w:w="1172" w:type="dxa"/>
            <w:tcBorders>
              <w:top w:val="single" w:sz="4" w:space="0" w:color="auto"/>
              <w:left w:val="single" w:sz="4" w:space="0" w:color="auto"/>
              <w:bottom w:val="single" w:sz="4" w:space="0" w:color="auto"/>
              <w:right w:val="nil"/>
            </w:tcBorders>
            <w:shd w:val="clear" w:color="auto" w:fill="FFFFFF" w:themeFill="background1"/>
          </w:tcPr>
          <w:p w14:paraId="4F91CDA3"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FFFFF" w:themeFill="background1"/>
          </w:tcPr>
          <w:p w14:paraId="278AD842" w14:textId="1D2D784B"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Informacije iz članka 455. točke (a) podtočke ii. o značajkama modela za sveobuhvatnu mjeru rizika uključuju:</w:t>
            </w:r>
          </w:p>
        </w:tc>
      </w:tr>
      <w:tr w:rsidR="00203C1C" w:rsidRPr="007F4CC8" w14:paraId="7190784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04D9488E" w14:textId="3EB5125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1EC11D5F"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Opći opis metodologije trgovanja korelacijama, uključujući:</w:t>
            </w:r>
          </w:p>
        </w:tc>
      </w:tr>
      <w:tr w:rsidR="00203C1C" w:rsidRPr="007F4CC8" w14:paraId="63604E96"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4E6474BF" w14:textId="1F95D627"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EDF9B93"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informacije o ukupnom pristupu modeliranju (odabir modela korelacije statusa neispunjavanja obveza/migracija i kreditne marže: i. odvojeni, ali korelirani stohastički procesi koji potiču kretanje migracije/nastanka statusa neispunjavanja obveza i kreditne marže; ii. promjene kreditne marže koje potiču migraciju/status neispunjavanja obveza ili iii. status neispunjavanja obveza/migracije koji potiču promjene kreditne marže);</w:t>
            </w:r>
          </w:p>
        </w:tc>
      </w:tr>
      <w:tr w:rsidR="00203C1C" w:rsidRPr="007F4CC8" w14:paraId="4F937EEF" w14:textId="77777777" w:rsidTr="00155C96">
        <w:tc>
          <w:tcPr>
            <w:tcW w:w="1172" w:type="dxa"/>
            <w:tcBorders>
              <w:top w:val="single" w:sz="4" w:space="0" w:color="auto"/>
              <w:left w:val="single" w:sz="4" w:space="0" w:color="auto"/>
              <w:bottom w:val="single" w:sz="4" w:space="0" w:color="auto"/>
              <w:right w:val="single" w:sz="4" w:space="0" w:color="auto"/>
            </w:tcBorders>
          </w:tcPr>
          <w:p w14:paraId="00B3B7D3" w14:textId="79D51C1D"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lastRenderedPageBreak/>
              <w:t>ii.</w:t>
            </w:r>
          </w:p>
        </w:tc>
        <w:tc>
          <w:tcPr>
            <w:tcW w:w="7242" w:type="dxa"/>
            <w:tcBorders>
              <w:top w:val="single" w:sz="4" w:space="0" w:color="auto"/>
              <w:left w:val="single" w:sz="4" w:space="0" w:color="auto"/>
              <w:bottom w:val="single" w:sz="4" w:space="0" w:color="auto"/>
              <w:right w:val="single" w:sz="4" w:space="0" w:color="auto"/>
            </w:tcBorders>
          </w:tcPr>
          <w:p w14:paraId="099FB947"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Informacije korištene za kalibriranje parametara osnovne korelacije: određivanje cijene tranši LGD-a (konstantno ili stohastičko)</w:t>
            </w:r>
          </w:p>
        </w:tc>
      </w:tr>
      <w:tr w:rsidR="00203C1C" w:rsidRPr="007F4CC8" w14:paraId="56AB2B23" w14:textId="77777777" w:rsidTr="00155C96">
        <w:tc>
          <w:tcPr>
            <w:tcW w:w="1172" w:type="dxa"/>
            <w:tcBorders>
              <w:top w:val="single" w:sz="4" w:space="0" w:color="auto"/>
              <w:left w:val="single" w:sz="4" w:space="0" w:color="auto"/>
              <w:bottom w:val="single" w:sz="4" w:space="0" w:color="auto"/>
              <w:right w:val="single" w:sz="4" w:space="0" w:color="auto"/>
            </w:tcBorders>
          </w:tcPr>
          <w:p w14:paraId="68796742" w14:textId="5975CBD0"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147B3BA0"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Informacije o odluci o tome hoće li se produljiti vrijeme do isteka pozicija (dobitaka i gubitaka na temelju simuliranih kretanja na tržištu u modelu koji se izračunava na temelju vremena do isteka svake pozicije na kraju vremenskog horizonta od godinu dana za planiranje kapitala ili će se njihovo vrijeme do isteka iskoristiti na datum izračuna);</w:t>
            </w:r>
          </w:p>
        </w:tc>
      </w:tr>
      <w:tr w:rsidR="00203C1C" w:rsidRPr="007F4CC8" w14:paraId="009FE206" w14:textId="77777777" w:rsidTr="00155C96">
        <w:tc>
          <w:tcPr>
            <w:tcW w:w="1172" w:type="dxa"/>
            <w:tcBorders>
              <w:top w:val="single" w:sz="4" w:space="0" w:color="auto"/>
              <w:left w:val="single" w:sz="4" w:space="0" w:color="auto"/>
              <w:bottom w:val="single" w:sz="4" w:space="0" w:color="auto"/>
              <w:right w:val="single" w:sz="4" w:space="0" w:color="auto"/>
            </w:tcBorders>
          </w:tcPr>
          <w:p w14:paraId="7FA2B886" w14:textId="4461DE01"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208DF29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Institucije uključuju opis pristupa koji se primjenjuje za određivanje razdoblja likvidnosti.</w:t>
            </w:r>
          </w:p>
        </w:tc>
      </w:tr>
      <w:tr w:rsidR="00203C1C" w:rsidRPr="007F4CC8" w14:paraId="06CDECF5" w14:textId="77777777" w:rsidTr="00155C96">
        <w:tc>
          <w:tcPr>
            <w:tcW w:w="1172" w:type="dxa"/>
            <w:tcBorders>
              <w:top w:val="single" w:sz="4" w:space="0" w:color="auto"/>
              <w:left w:val="single" w:sz="4" w:space="0" w:color="auto"/>
              <w:bottom w:val="single" w:sz="4" w:space="0" w:color="auto"/>
              <w:right w:val="single" w:sz="4" w:space="0" w:color="auto"/>
            </w:tcBorders>
          </w:tcPr>
          <w:p w14:paraId="10AEB3E2" w14:textId="4B9F9FE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1937A55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Institucije uključuju opis metodologije koja se primjenjuje za procjenu kapitala koja je dosljedna zatraženom standardu stabilnosti.</w:t>
            </w:r>
          </w:p>
        </w:tc>
      </w:tr>
      <w:tr w:rsidR="00203C1C" w:rsidRPr="007F4CC8" w14:paraId="72AC8761" w14:textId="77777777" w:rsidTr="00155C96">
        <w:tc>
          <w:tcPr>
            <w:tcW w:w="1172" w:type="dxa"/>
            <w:tcBorders>
              <w:top w:val="single" w:sz="4" w:space="0" w:color="auto"/>
              <w:left w:val="single" w:sz="4" w:space="0" w:color="auto"/>
              <w:bottom w:val="single" w:sz="4" w:space="0" w:color="auto"/>
              <w:right w:val="single" w:sz="4" w:space="0" w:color="auto"/>
            </w:tcBorders>
          </w:tcPr>
          <w:p w14:paraId="25082AA4" w14:textId="75E80D7F"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4558972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Institucije uključuju opis pristupa primijenjenog pri validaciji modela.</w:t>
            </w:r>
          </w:p>
        </w:tc>
      </w:tr>
      <w:tr w:rsidR="00203C1C" w:rsidRPr="007F4CC8" w14:paraId="6E185EDE" w14:textId="77777777" w:rsidTr="00155C96">
        <w:tc>
          <w:tcPr>
            <w:tcW w:w="1172" w:type="dxa"/>
            <w:tcBorders>
              <w:top w:val="single" w:sz="4" w:space="0" w:color="auto"/>
              <w:left w:val="single" w:sz="4" w:space="0" w:color="auto"/>
              <w:bottom w:val="single" w:sz="4" w:space="0" w:color="auto"/>
              <w:right w:val="single" w:sz="4" w:space="0" w:color="auto"/>
            </w:tcBorders>
          </w:tcPr>
          <w:p w14:paraId="5FD2774B" w14:textId="7316A6E9" w:rsidR="00203C1C" w:rsidRPr="007F4CC8" w:rsidRDefault="00B77F75" w:rsidP="00B77F75">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2837572F"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Informacije iz članka 455. točke (a) podtočke iii. CRR-a uključuju opis testiranja otpornosti na stres primijenjenih na parametre modeliranja (glavni scenariji koji odražavaju karakteristike portfelja na koje se na razini grupe primjenjuju modeli za sveobuhvatnu mjeru rizika).</w:t>
            </w:r>
          </w:p>
        </w:tc>
      </w:tr>
      <w:tr w:rsidR="00203C1C" w:rsidRPr="007F4CC8" w14:paraId="5801419F" w14:textId="77777777" w:rsidTr="00155C96">
        <w:tc>
          <w:tcPr>
            <w:tcW w:w="1172" w:type="dxa"/>
            <w:tcBorders>
              <w:top w:val="single" w:sz="4" w:space="0" w:color="auto"/>
              <w:left w:val="single" w:sz="4" w:space="0" w:color="auto"/>
              <w:bottom w:val="single" w:sz="4" w:space="0" w:color="auto"/>
              <w:right w:val="single" w:sz="4" w:space="0" w:color="auto"/>
            </w:tcBorders>
          </w:tcPr>
          <w:p w14:paraId="37FC5EB7" w14:textId="6BBFFAAC"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tcPr>
          <w:p w14:paraId="67CA53E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Informacije iz članka 455. točke (a) podtočke iv. CRR-a uključuju opis pristupa retroaktivnom testiranju ili provjeri točnosti i unutarnje dosljednosti podataka i parametara korištenih za interne modele za sveobuhvatnu mjeru rizika i postupke modeliranja.</w:t>
            </w:r>
          </w:p>
        </w:tc>
      </w:tr>
      <w:tr w:rsidR="00203C1C" w:rsidRPr="007F4CC8" w14:paraId="4099795A" w14:textId="77777777" w:rsidTr="00155C96">
        <w:tc>
          <w:tcPr>
            <w:tcW w:w="1172" w:type="dxa"/>
            <w:tcBorders>
              <w:top w:val="single" w:sz="4" w:space="0" w:color="auto"/>
              <w:left w:val="single" w:sz="4" w:space="0" w:color="auto"/>
              <w:bottom w:val="single" w:sz="4" w:space="0" w:color="auto"/>
              <w:right w:val="single" w:sz="4" w:space="0" w:color="auto"/>
            </w:tcBorders>
          </w:tcPr>
          <w:p w14:paraId="433F4AE7" w14:textId="03316297"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6E294719" w14:textId="6EAD2E41" w:rsidR="00203C1C" w:rsidRPr="007F4CC8" w:rsidRDefault="00203C1C" w:rsidP="00B66069">
            <w:pPr>
              <w:spacing w:after="240"/>
              <w:jc w:val="both"/>
              <w:rPr>
                <w:rFonts w:ascii="Times New Roman" w:hAnsi="Times New Roman" w:cs="Times New Roman"/>
                <w:sz w:val="24"/>
              </w:rPr>
            </w:pPr>
            <w:r>
              <w:rPr>
                <w:rFonts w:ascii="Times New Roman" w:hAnsi="Times New Roman"/>
                <w:sz w:val="24"/>
              </w:rPr>
              <w:t xml:space="preserve">Institucije dopunjuju objavljene informacije o internim modelima za dodatni rizik nastanka statusa neispunjavanja obveza i migracijski rizik i za korelacijski portfelj namijenjen trgovanju informacijama iz članka 455. točke (f) o ponderiranom prosječnom razdoblju likvidnosti za </w:t>
            </w:r>
            <w:proofErr w:type="spellStart"/>
            <w:r>
              <w:rPr>
                <w:rFonts w:ascii="Times New Roman" w:hAnsi="Times New Roman"/>
                <w:sz w:val="24"/>
              </w:rPr>
              <w:t>potportfelje</w:t>
            </w:r>
            <w:proofErr w:type="spellEnd"/>
            <w:r>
              <w:rPr>
                <w:rFonts w:ascii="Times New Roman" w:hAnsi="Times New Roman"/>
                <w:sz w:val="24"/>
              </w:rPr>
              <w:t>, u skladu s opisom iz redaka (B) (a) i (d) i (C) (a) i (d) iz tablice EU MRB.</w:t>
            </w:r>
          </w:p>
        </w:tc>
      </w:tr>
    </w:tbl>
    <w:p w14:paraId="5AD1417E" w14:textId="04D46EF3"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Obrazac EU MR2-A – Tržišni rizik u skladu s pristupom internih modela</w:t>
      </w:r>
      <w:r>
        <w:rPr>
          <w:rFonts w:ascii="Times New Roman" w:hAnsi="Times New Roman"/>
          <w:color w:val="auto"/>
          <w:sz w:val="24"/>
        </w:rPr>
        <w:t xml:space="preserve"> fiksan format</w:t>
      </w:r>
    </w:p>
    <w:p w14:paraId="28CA69C6" w14:textId="64B11327" w:rsidR="00203C1C" w:rsidRPr="007F4CC8" w:rsidRDefault="00203C1C" w:rsidP="00203C1C">
      <w:pPr>
        <w:pStyle w:val="Titlelevel2"/>
        <w:numPr>
          <w:ilvl w:val="0"/>
          <w:numId w:val="60"/>
        </w:numPr>
        <w:spacing w:before="0"/>
        <w:jc w:val="both"/>
        <w:rPr>
          <w:rFonts w:ascii="Times New Roman" w:hAnsi="Times New Roman" w:cs="Times New Roman"/>
          <w:b/>
          <w:color w:val="auto"/>
          <w:sz w:val="24"/>
        </w:rPr>
      </w:pPr>
      <w:r>
        <w:rPr>
          <w:rFonts w:ascii="Times New Roman" w:hAnsi="Times New Roman"/>
          <w:bCs w:val="0"/>
          <w:color w:val="000000"/>
          <w:sz w:val="24"/>
        </w:rPr>
        <w:t>Institucije objavljuju informacije iz članka 455. točke (e) CRR-a prateći upute u nastavku ovog Priloga za popunjavanje obrasca EU MR2-A iz Priloga XXIX. ovoj Provedbenoj uredbi.</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33FC21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848931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Pravna osnova i upute</w:t>
            </w:r>
          </w:p>
        </w:tc>
      </w:tr>
      <w:tr w:rsidR="00203C1C" w:rsidRPr="007F4CC8" w14:paraId="717FF7B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0065D41"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Broj retka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4391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Objašnjenje</w:t>
            </w:r>
          </w:p>
        </w:tc>
      </w:tr>
      <w:tr w:rsidR="00203C1C" w:rsidRPr="007F4CC8" w14:paraId="7D8C0CAD" w14:textId="77777777" w:rsidTr="00155C96">
        <w:tc>
          <w:tcPr>
            <w:tcW w:w="1172" w:type="dxa"/>
            <w:tcBorders>
              <w:top w:val="single" w:sz="4" w:space="0" w:color="auto"/>
              <w:left w:val="single" w:sz="4" w:space="0" w:color="auto"/>
              <w:bottom w:val="single" w:sz="4" w:space="0" w:color="auto"/>
              <w:right w:val="single" w:sz="4" w:space="0" w:color="auto"/>
            </w:tcBorders>
          </w:tcPr>
          <w:p w14:paraId="554EC35A" w14:textId="18A93674"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49A9436A" w14:textId="77777777" w:rsidR="00203C1C" w:rsidRPr="007F4CC8" w:rsidRDefault="00203C1C" w:rsidP="00155C96">
            <w:pPr>
              <w:spacing w:after="240"/>
              <w:rPr>
                <w:rFonts w:ascii="Times New Roman" w:hAnsi="Times New Roman" w:cs="Times New Roman"/>
                <w:b/>
                <w:sz w:val="24"/>
              </w:rPr>
            </w:pPr>
            <w:proofErr w:type="spellStart"/>
            <w:r>
              <w:rPr>
                <w:rFonts w:ascii="Times New Roman" w:hAnsi="Times New Roman"/>
                <w:b/>
                <w:sz w:val="24"/>
              </w:rPr>
              <w:t>VaR</w:t>
            </w:r>
            <w:proofErr w:type="spellEnd"/>
            <w:r>
              <w:rPr>
                <w:rFonts w:ascii="Times New Roman" w:hAnsi="Times New Roman"/>
                <w:sz w:val="24"/>
              </w:rPr>
              <w:t xml:space="preserve"> (veće od vrijednosti a i b)</w:t>
            </w:r>
          </w:p>
        </w:tc>
      </w:tr>
      <w:tr w:rsidR="00203C1C" w:rsidRPr="007F4CC8" w14:paraId="31DD222A" w14:textId="77777777" w:rsidTr="00155C96">
        <w:tc>
          <w:tcPr>
            <w:tcW w:w="1172" w:type="dxa"/>
            <w:tcBorders>
              <w:top w:val="single" w:sz="4" w:space="0" w:color="auto"/>
              <w:left w:val="single" w:sz="4" w:space="0" w:color="auto"/>
              <w:bottom w:val="single" w:sz="4" w:space="0" w:color="auto"/>
              <w:right w:val="single" w:sz="4" w:space="0" w:color="auto"/>
            </w:tcBorders>
          </w:tcPr>
          <w:p w14:paraId="00CF3A85" w14:textId="012D398B"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lastRenderedPageBreak/>
              <w:t>a</w:t>
            </w:r>
          </w:p>
        </w:tc>
        <w:tc>
          <w:tcPr>
            <w:tcW w:w="7242" w:type="dxa"/>
            <w:tcBorders>
              <w:top w:val="single" w:sz="4" w:space="0" w:color="auto"/>
              <w:left w:val="single" w:sz="4" w:space="0" w:color="auto"/>
              <w:bottom w:val="single" w:sz="4" w:space="0" w:color="auto"/>
              <w:right w:val="single" w:sz="4" w:space="0" w:color="auto"/>
            </w:tcBorders>
          </w:tcPr>
          <w:p w14:paraId="68AB70C4" w14:textId="69DC6BE1" w:rsidR="008D4828" w:rsidRPr="006C27A8" w:rsidRDefault="008D4828" w:rsidP="00EE0AA4">
            <w:pPr>
              <w:autoSpaceDE w:val="0"/>
              <w:autoSpaceDN w:val="0"/>
              <w:adjustRightInd w:val="0"/>
              <w:spacing w:after="240"/>
              <w:jc w:val="both"/>
              <w:rPr>
                <w:rFonts w:ascii="Times New Roman" w:hAnsi="Times New Roman" w:cs="Times New Roman"/>
                <w:i/>
                <w:sz w:val="24"/>
              </w:rPr>
            </w:pPr>
            <w:r>
              <w:rPr>
                <w:rFonts w:ascii="Times New Roman" w:hAnsi="Times New Roman"/>
                <w:i/>
                <w:sz w:val="24"/>
              </w:rPr>
              <w:t xml:space="preserve">Vrijednost </w:t>
            </w:r>
            <w:proofErr w:type="spellStart"/>
            <w:r>
              <w:rPr>
                <w:rFonts w:ascii="Times New Roman" w:hAnsi="Times New Roman"/>
                <w:i/>
                <w:sz w:val="24"/>
              </w:rPr>
              <w:t>VaR</w:t>
            </w:r>
            <w:proofErr w:type="spellEnd"/>
            <w:r>
              <w:rPr>
                <w:rFonts w:ascii="Times New Roman" w:hAnsi="Times New Roman"/>
                <w:i/>
                <w:sz w:val="24"/>
              </w:rPr>
              <w:t>-a za prethodni dan (VaRt-1)</w:t>
            </w:r>
          </w:p>
          <w:p w14:paraId="2904A28F" w14:textId="303E3D49" w:rsidR="00203C1C" w:rsidRPr="007F4CC8" w:rsidRDefault="00203C1C" w:rsidP="00EE0AA4">
            <w:pPr>
              <w:autoSpaceDE w:val="0"/>
              <w:autoSpaceDN w:val="0"/>
              <w:adjustRightInd w:val="0"/>
              <w:spacing w:after="240"/>
              <w:jc w:val="both"/>
              <w:rPr>
                <w:rFonts w:ascii="Times New Roman" w:hAnsi="Times New Roman" w:cs="Times New Roman"/>
                <w:sz w:val="24"/>
              </w:rPr>
            </w:pPr>
            <w:r>
              <w:rPr>
                <w:rFonts w:ascii="Times New Roman" w:hAnsi="Times New Roman"/>
                <w:sz w:val="24"/>
              </w:rPr>
              <w:t>Iznos vrijednosti adherentne riziku za prethodni dan (VaR</w:t>
            </w:r>
            <w:r>
              <w:rPr>
                <w:rFonts w:ascii="Times New Roman" w:hAnsi="Times New Roman"/>
                <w:sz w:val="24"/>
                <w:vertAlign w:val="subscript"/>
              </w:rPr>
              <w:t>t-1</w:t>
            </w:r>
            <w:r>
              <w:rPr>
                <w:rFonts w:ascii="Times New Roman" w:hAnsi="Times New Roman"/>
                <w:sz w:val="24"/>
              </w:rPr>
              <w:t>), koji se izračunava u skladu s člankom 365. stavkom 1. CRR-a.</w:t>
            </w:r>
          </w:p>
        </w:tc>
      </w:tr>
      <w:tr w:rsidR="00203C1C" w:rsidRPr="007F4CC8" w14:paraId="1318C3C7" w14:textId="77777777" w:rsidTr="00155C96">
        <w:tc>
          <w:tcPr>
            <w:tcW w:w="1172" w:type="dxa"/>
            <w:tcBorders>
              <w:top w:val="single" w:sz="4" w:space="0" w:color="auto"/>
              <w:left w:val="single" w:sz="4" w:space="0" w:color="auto"/>
              <w:bottom w:val="single" w:sz="4" w:space="0" w:color="auto"/>
              <w:right w:val="single" w:sz="4" w:space="0" w:color="auto"/>
            </w:tcBorders>
          </w:tcPr>
          <w:p w14:paraId="0B747EEA" w14:textId="766AB651"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3947D49D" w14:textId="2B72910F" w:rsidR="008D4828" w:rsidRPr="006C27A8" w:rsidRDefault="008D4828" w:rsidP="00155C96">
            <w:pPr>
              <w:spacing w:after="240"/>
              <w:jc w:val="both"/>
              <w:rPr>
                <w:rFonts w:ascii="Times New Roman" w:hAnsi="Times New Roman" w:cs="Times New Roman"/>
                <w:i/>
                <w:sz w:val="24"/>
              </w:rPr>
            </w:pPr>
            <w:r>
              <w:rPr>
                <w:rFonts w:ascii="Times New Roman" w:hAnsi="Times New Roman"/>
                <w:i/>
                <w:sz w:val="24"/>
              </w:rPr>
              <w:t>Multiplikacijski faktor (mc) pomnožen prosječnom vrijednosti za proteklih 60 radnih dana (</w:t>
            </w:r>
            <w:proofErr w:type="spellStart"/>
            <w:r>
              <w:rPr>
                <w:rFonts w:ascii="Times New Roman" w:hAnsi="Times New Roman"/>
                <w:i/>
                <w:sz w:val="24"/>
              </w:rPr>
              <w:t>VaRavg</w:t>
            </w:r>
            <w:proofErr w:type="spellEnd"/>
            <w:r>
              <w:rPr>
                <w:rFonts w:ascii="Times New Roman" w:hAnsi="Times New Roman"/>
                <w:i/>
                <w:sz w:val="24"/>
              </w:rPr>
              <w:t>)</w:t>
            </w:r>
          </w:p>
          <w:p w14:paraId="0F358415" w14:textId="2E421C63"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Prosjek dnevnih iznosa vrijednosti adherentnih riziku koji se izračunavaju u skladu s člankom 365. stavkom 1. CRR-a za proteklih 60 radnih dana (</w:t>
            </w:r>
            <w:proofErr w:type="spellStart"/>
            <w:r>
              <w:rPr>
                <w:rFonts w:ascii="Times New Roman" w:hAnsi="Times New Roman"/>
                <w:sz w:val="24"/>
              </w:rPr>
              <w:t>VaR</w:t>
            </w:r>
            <w:r>
              <w:rPr>
                <w:rFonts w:ascii="Times New Roman" w:hAnsi="Times New Roman"/>
                <w:sz w:val="24"/>
                <w:vertAlign w:val="subscript"/>
              </w:rPr>
              <w:t>avg</w:t>
            </w:r>
            <w:proofErr w:type="spellEnd"/>
            <w:r>
              <w:rPr>
                <w:rFonts w:ascii="Times New Roman" w:hAnsi="Times New Roman"/>
                <w:sz w:val="24"/>
              </w:rPr>
              <w:t>), x pomnožen s multiplikacijskim faktorom (mc) u skladu s člankom 366. CRR-a;</w:t>
            </w:r>
          </w:p>
        </w:tc>
      </w:tr>
      <w:tr w:rsidR="00203C1C" w:rsidRPr="007F4CC8" w14:paraId="0C8A53ED" w14:textId="77777777" w:rsidTr="00155C96">
        <w:tc>
          <w:tcPr>
            <w:tcW w:w="1172" w:type="dxa"/>
            <w:tcBorders>
              <w:top w:val="single" w:sz="4" w:space="0" w:color="auto"/>
              <w:left w:val="single" w:sz="4" w:space="0" w:color="auto"/>
              <w:bottom w:val="single" w:sz="4" w:space="0" w:color="auto"/>
              <w:right w:val="single" w:sz="4" w:space="0" w:color="auto"/>
            </w:tcBorders>
          </w:tcPr>
          <w:p w14:paraId="381B7695" w14:textId="447B1CD1"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2</w:t>
            </w:r>
          </w:p>
        </w:tc>
        <w:tc>
          <w:tcPr>
            <w:tcW w:w="7242" w:type="dxa"/>
            <w:tcBorders>
              <w:top w:val="single" w:sz="4" w:space="0" w:color="auto"/>
              <w:left w:val="single" w:sz="4" w:space="0" w:color="auto"/>
              <w:bottom w:val="single" w:sz="4" w:space="0" w:color="auto"/>
              <w:right w:val="single" w:sz="4" w:space="0" w:color="auto"/>
            </w:tcBorders>
          </w:tcPr>
          <w:p w14:paraId="10A106B0" w14:textId="77777777" w:rsidR="00203C1C" w:rsidRPr="007F4CC8" w:rsidRDefault="00203C1C" w:rsidP="00155C96">
            <w:pPr>
              <w:spacing w:after="240"/>
              <w:rPr>
                <w:rFonts w:ascii="Times New Roman" w:hAnsi="Times New Roman" w:cs="Times New Roman"/>
                <w:b/>
                <w:sz w:val="24"/>
              </w:rPr>
            </w:pPr>
            <w:proofErr w:type="spellStart"/>
            <w:r>
              <w:rPr>
                <w:rFonts w:ascii="Times New Roman" w:hAnsi="Times New Roman"/>
                <w:b/>
                <w:sz w:val="24"/>
              </w:rPr>
              <w:t>SVaR</w:t>
            </w:r>
            <w:proofErr w:type="spellEnd"/>
            <w:r>
              <w:rPr>
                <w:rFonts w:ascii="Times New Roman" w:hAnsi="Times New Roman"/>
                <w:sz w:val="24"/>
              </w:rPr>
              <w:t xml:space="preserve"> (veće od vrijednosti a i b)</w:t>
            </w:r>
          </w:p>
        </w:tc>
      </w:tr>
      <w:tr w:rsidR="00203C1C" w:rsidRPr="007F4CC8" w14:paraId="28FAB4C1" w14:textId="77777777" w:rsidTr="00155C96">
        <w:tc>
          <w:tcPr>
            <w:tcW w:w="1172" w:type="dxa"/>
            <w:tcBorders>
              <w:top w:val="single" w:sz="4" w:space="0" w:color="auto"/>
              <w:left w:val="single" w:sz="4" w:space="0" w:color="auto"/>
              <w:bottom w:val="single" w:sz="4" w:space="0" w:color="auto"/>
              <w:right w:val="single" w:sz="4" w:space="0" w:color="auto"/>
            </w:tcBorders>
          </w:tcPr>
          <w:p w14:paraId="31C2513D" w14:textId="651813DD"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74216442" w14:textId="78A17C14"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 xml:space="preserve">Najnoviji raspoloživi iznos </w:t>
            </w:r>
            <w:proofErr w:type="spellStart"/>
            <w:r>
              <w:rPr>
                <w:rFonts w:ascii="Times New Roman" w:hAnsi="Times New Roman"/>
                <w:i/>
                <w:sz w:val="24"/>
              </w:rPr>
              <w:t>SVaR</w:t>
            </w:r>
            <w:proofErr w:type="spellEnd"/>
            <w:r>
              <w:rPr>
                <w:rFonts w:ascii="Times New Roman" w:hAnsi="Times New Roman"/>
                <w:i/>
                <w:sz w:val="24"/>
              </w:rPr>
              <w:t>-a (SVaRt-1)</w:t>
            </w:r>
          </w:p>
          <w:p w14:paraId="06B35619" w14:textId="09FAC342"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Posljednji dostupni iznos vrijednosti adherentne riziku (VaR</w:t>
            </w:r>
            <w:r>
              <w:rPr>
                <w:rFonts w:ascii="Times New Roman" w:hAnsi="Times New Roman"/>
                <w:sz w:val="24"/>
                <w:vertAlign w:val="subscript"/>
              </w:rPr>
              <w:t>t-1</w:t>
            </w:r>
            <w:r>
              <w:rPr>
                <w:rFonts w:ascii="Times New Roman" w:hAnsi="Times New Roman"/>
                <w:sz w:val="24"/>
              </w:rPr>
              <w:t>), koji se izračunava u skladu s člankom 365. stavkom 2. CRR-a</w:t>
            </w:r>
          </w:p>
        </w:tc>
      </w:tr>
      <w:tr w:rsidR="00203C1C" w:rsidRPr="007F4CC8" w14:paraId="6F90F1BF" w14:textId="77777777" w:rsidTr="00155C96">
        <w:tc>
          <w:tcPr>
            <w:tcW w:w="1172" w:type="dxa"/>
            <w:tcBorders>
              <w:top w:val="single" w:sz="4" w:space="0" w:color="auto"/>
              <w:left w:val="single" w:sz="4" w:space="0" w:color="auto"/>
              <w:bottom w:val="single" w:sz="4" w:space="0" w:color="auto"/>
              <w:right w:val="single" w:sz="4" w:space="0" w:color="auto"/>
            </w:tcBorders>
          </w:tcPr>
          <w:p w14:paraId="34F52861" w14:textId="33F87EDE"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6E08B9F8" w14:textId="58BE1703"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Multiplikacijski faktor (</w:t>
            </w:r>
            <w:proofErr w:type="spellStart"/>
            <w:r>
              <w:rPr>
                <w:rFonts w:ascii="Times New Roman" w:hAnsi="Times New Roman"/>
                <w:i/>
                <w:sz w:val="24"/>
              </w:rPr>
              <w:t>ms</w:t>
            </w:r>
            <w:proofErr w:type="spellEnd"/>
            <w:r>
              <w:rPr>
                <w:rFonts w:ascii="Times New Roman" w:hAnsi="Times New Roman"/>
                <w:i/>
                <w:sz w:val="24"/>
              </w:rPr>
              <w:t>) pomnožen prosječnom vrijednosti za proteklih 60 radnih dana (</w:t>
            </w:r>
            <w:proofErr w:type="spellStart"/>
            <w:r>
              <w:rPr>
                <w:rFonts w:ascii="Times New Roman" w:hAnsi="Times New Roman"/>
                <w:i/>
                <w:sz w:val="24"/>
              </w:rPr>
              <w:t>sVaRavg</w:t>
            </w:r>
            <w:proofErr w:type="spellEnd"/>
            <w:r>
              <w:rPr>
                <w:rFonts w:ascii="Times New Roman" w:hAnsi="Times New Roman"/>
                <w:i/>
                <w:sz w:val="24"/>
              </w:rPr>
              <w:t>)</w:t>
            </w:r>
          </w:p>
          <w:p w14:paraId="3C1AEA07" w14:textId="74AB632D"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Prosjek iznosa vrijednosti adherentnih riziku u stresnim uvjetima koji se izračunava na način i s učestalošću koji su određeni u članku 365. stavku 2. CRR-a za proteklih šezdeset radnih dana (</w:t>
            </w:r>
            <w:proofErr w:type="spellStart"/>
            <w:r>
              <w:rPr>
                <w:rFonts w:ascii="Times New Roman" w:hAnsi="Times New Roman"/>
                <w:sz w:val="24"/>
              </w:rPr>
              <w:t>sVaR</w:t>
            </w:r>
            <w:r>
              <w:rPr>
                <w:rFonts w:ascii="Times New Roman" w:hAnsi="Times New Roman"/>
                <w:sz w:val="24"/>
                <w:vertAlign w:val="subscript"/>
              </w:rPr>
              <w:t>avg</w:t>
            </w:r>
            <w:proofErr w:type="spellEnd"/>
            <w:r>
              <w:rPr>
                <w:rFonts w:ascii="Times New Roman" w:hAnsi="Times New Roman"/>
                <w:sz w:val="24"/>
              </w:rPr>
              <w:t>), pomnoženo s multiplikacijskim faktorom (</w:t>
            </w:r>
            <w:proofErr w:type="spellStart"/>
            <w:r>
              <w:rPr>
                <w:rFonts w:ascii="Times New Roman" w:hAnsi="Times New Roman"/>
                <w:sz w:val="24"/>
              </w:rPr>
              <w:t>ms</w:t>
            </w:r>
            <w:proofErr w:type="spellEnd"/>
            <w:r>
              <w:rPr>
                <w:rFonts w:ascii="Times New Roman" w:hAnsi="Times New Roman"/>
                <w:sz w:val="24"/>
              </w:rPr>
              <w:t>) u skladu s člankom 366. CRR-a</w:t>
            </w:r>
          </w:p>
        </w:tc>
      </w:tr>
      <w:tr w:rsidR="00203C1C" w:rsidRPr="007F4CC8" w14:paraId="769A5EBA" w14:textId="77777777" w:rsidTr="00155C96">
        <w:tc>
          <w:tcPr>
            <w:tcW w:w="1172" w:type="dxa"/>
            <w:tcBorders>
              <w:top w:val="single" w:sz="4" w:space="0" w:color="auto"/>
              <w:left w:val="single" w:sz="4" w:space="0" w:color="auto"/>
              <w:bottom w:val="single" w:sz="4" w:space="0" w:color="auto"/>
              <w:right w:val="single" w:sz="4" w:space="0" w:color="auto"/>
            </w:tcBorders>
          </w:tcPr>
          <w:p w14:paraId="2697191C" w14:textId="627E0729"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3</w:t>
            </w:r>
          </w:p>
        </w:tc>
        <w:tc>
          <w:tcPr>
            <w:tcW w:w="7242" w:type="dxa"/>
            <w:tcBorders>
              <w:top w:val="single" w:sz="4" w:space="0" w:color="auto"/>
              <w:left w:val="single" w:sz="4" w:space="0" w:color="auto"/>
              <w:bottom w:val="single" w:sz="4" w:space="0" w:color="auto"/>
              <w:right w:val="single" w:sz="4" w:space="0" w:color="auto"/>
            </w:tcBorders>
          </w:tcPr>
          <w:p w14:paraId="0DAB103B"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IRC</w:t>
            </w:r>
            <w:r>
              <w:rPr>
                <w:rFonts w:ascii="Times New Roman" w:hAnsi="Times New Roman"/>
                <w:sz w:val="24"/>
              </w:rPr>
              <w:t xml:space="preserve"> (veće od vrijednosti a i b)</w:t>
            </w:r>
          </w:p>
        </w:tc>
      </w:tr>
      <w:tr w:rsidR="00203C1C" w:rsidRPr="007F4CC8" w14:paraId="4078E45D" w14:textId="77777777" w:rsidTr="00155C96">
        <w:tc>
          <w:tcPr>
            <w:tcW w:w="1172" w:type="dxa"/>
            <w:tcBorders>
              <w:top w:val="single" w:sz="4" w:space="0" w:color="auto"/>
              <w:left w:val="single" w:sz="4" w:space="0" w:color="auto"/>
              <w:bottom w:val="single" w:sz="4" w:space="0" w:color="auto"/>
              <w:right w:val="single" w:sz="4" w:space="0" w:color="auto"/>
            </w:tcBorders>
          </w:tcPr>
          <w:p w14:paraId="1B3107B9" w14:textId="479E3A0A"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281D9D58" w14:textId="74DB6676"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Najnovije mjere za IRC</w:t>
            </w:r>
          </w:p>
          <w:p w14:paraId="43020B50" w14:textId="56CD96C3"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Najnovije vrijednosti rizika dodatnog rizika statusa neispunjavanja obveza i migracijskog rizika koje se izračunavaju u skladu s dijelom trećim glavom IV. poglavljem 5. odjeljkom 3. CRR-a</w:t>
            </w:r>
          </w:p>
        </w:tc>
      </w:tr>
      <w:tr w:rsidR="00203C1C" w:rsidRPr="007F4CC8" w14:paraId="1D935866" w14:textId="77777777" w:rsidTr="00155C96">
        <w:tc>
          <w:tcPr>
            <w:tcW w:w="1172" w:type="dxa"/>
            <w:tcBorders>
              <w:top w:val="single" w:sz="4" w:space="0" w:color="auto"/>
              <w:left w:val="single" w:sz="4" w:space="0" w:color="auto"/>
              <w:bottom w:val="single" w:sz="4" w:space="0" w:color="auto"/>
              <w:right w:val="single" w:sz="4" w:space="0" w:color="auto"/>
            </w:tcBorders>
          </w:tcPr>
          <w:p w14:paraId="78DD97A0" w14:textId="1E95E461"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20F4B99D" w14:textId="3B87DD21"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Prosjek mjera za IRC za 12 tjedana</w:t>
            </w:r>
          </w:p>
          <w:p w14:paraId="680EDF24" w14:textId="7E51BE0B"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Najnovije vrijednosti rizika dodatnog rizika statusa neispunjavanja obveza i migracijskog rizika koje se izračunavaju u skladu s dijelom trećim glavom IV. poglavljem 5. odjeljkom 3. CRR-a tijekom prethodnih 12 tjedana</w:t>
            </w:r>
          </w:p>
        </w:tc>
      </w:tr>
      <w:tr w:rsidR="00203C1C" w:rsidRPr="007F4CC8" w14:paraId="2BAC1A05" w14:textId="77777777" w:rsidTr="00155C96">
        <w:tc>
          <w:tcPr>
            <w:tcW w:w="1172" w:type="dxa"/>
            <w:tcBorders>
              <w:top w:val="single" w:sz="4" w:space="0" w:color="auto"/>
              <w:left w:val="single" w:sz="4" w:space="0" w:color="auto"/>
              <w:bottom w:val="single" w:sz="4" w:space="0" w:color="auto"/>
              <w:right w:val="single" w:sz="4" w:space="0" w:color="auto"/>
            </w:tcBorders>
          </w:tcPr>
          <w:p w14:paraId="38B2FF3F" w14:textId="72B0A958"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4</w:t>
            </w:r>
          </w:p>
        </w:tc>
        <w:tc>
          <w:tcPr>
            <w:tcW w:w="7242" w:type="dxa"/>
            <w:tcBorders>
              <w:top w:val="single" w:sz="4" w:space="0" w:color="auto"/>
              <w:left w:val="single" w:sz="4" w:space="0" w:color="auto"/>
              <w:bottom w:val="single" w:sz="4" w:space="0" w:color="auto"/>
              <w:right w:val="single" w:sz="4" w:space="0" w:color="auto"/>
            </w:tcBorders>
          </w:tcPr>
          <w:p w14:paraId="45F6E496"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Sveobuhvatna mjera rizika</w:t>
            </w:r>
            <w:r>
              <w:rPr>
                <w:rFonts w:ascii="Times New Roman" w:hAnsi="Times New Roman"/>
                <w:sz w:val="24"/>
              </w:rPr>
              <w:t xml:space="preserve"> (veće od vrijednosti a, b i c)</w:t>
            </w:r>
          </w:p>
        </w:tc>
      </w:tr>
      <w:tr w:rsidR="00203C1C" w:rsidRPr="007F4CC8" w14:paraId="742B9687" w14:textId="77777777" w:rsidTr="00155C96">
        <w:tc>
          <w:tcPr>
            <w:tcW w:w="1172" w:type="dxa"/>
            <w:tcBorders>
              <w:top w:val="single" w:sz="4" w:space="0" w:color="auto"/>
              <w:left w:val="single" w:sz="4" w:space="0" w:color="auto"/>
              <w:bottom w:val="single" w:sz="4" w:space="0" w:color="auto"/>
              <w:right w:val="single" w:sz="4" w:space="0" w:color="auto"/>
            </w:tcBorders>
          </w:tcPr>
          <w:p w14:paraId="046F0F42" w14:textId="248121FE"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0CE327A9" w14:textId="1F24A2AB" w:rsidR="00D51CB3" w:rsidRPr="006C27A8" w:rsidRDefault="00D51CB3"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Najnovija sveobuhvatna mjera rizika</w:t>
            </w:r>
          </w:p>
          <w:p w14:paraId="33A8F77F" w14:textId="3C97213E"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lastRenderedPageBreak/>
              <w:t>Najnovija vrijednost rizika korelacijskog portfelja namijenjenog trgovanju koja se izračunava u skladu s dijelom trećim glavom IV. poglavljem 5. odjeljkom 5. CRR-a</w:t>
            </w:r>
          </w:p>
        </w:tc>
      </w:tr>
      <w:tr w:rsidR="00203C1C" w:rsidRPr="007F4CC8" w14:paraId="2C15AB0C" w14:textId="77777777" w:rsidTr="00155C96">
        <w:tc>
          <w:tcPr>
            <w:tcW w:w="1172" w:type="dxa"/>
            <w:tcBorders>
              <w:top w:val="single" w:sz="4" w:space="0" w:color="auto"/>
              <w:left w:val="single" w:sz="4" w:space="0" w:color="auto"/>
              <w:bottom w:val="single" w:sz="4" w:space="0" w:color="auto"/>
              <w:right w:val="single" w:sz="4" w:space="0" w:color="auto"/>
            </w:tcBorders>
          </w:tcPr>
          <w:p w14:paraId="473ABF9D" w14:textId="66B18147"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lastRenderedPageBreak/>
              <w:t>b</w:t>
            </w:r>
          </w:p>
        </w:tc>
        <w:tc>
          <w:tcPr>
            <w:tcW w:w="7242" w:type="dxa"/>
            <w:tcBorders>
              <w:top w:val="single" w:sz="4" w:space="0" w:color="auto"/>
              <w:left w:val="single" w:sz="4" w:space="0" w:color="auto"/>
              <w:bottom w:val="single" w:sz="4" w:space="0" w:color="auto"/>
              <w:right w:val="single" w:sz="4" w:space="0" w:color="auto"/>
            </w:tcBorders>
          </w:tcPr>
          <w:p w14:paraId="5B9B90CA" w14:textId="56518C3D" w:rsidR="00D51CB3" w:rsidRPr="006C27A8" w:rsidRDefault="00D51CB3" w:rsidP="00155C96">
            <w:pPr>
              <w:spacing w:after="240"/>
              <w:jc w:val="both"/>
              <w:rPr>
                <w:rFonts w:ascii="Times New Roman" w:hAnsi="Times New Roman" w:cs="Times New Roman"/>
                <w:i/>
                <w:sz w:val="24"/>
              </w:rPr>
            </w:pPr>
            <w:r>
              <w:rPr>
                <w:rFonts w:ascii="Times New Roman" w:hAnsi="Times New Roman"/>
                <w:i/>
                <w:sz w:val="24"/>
              </w:rPr>
              <w:t>Prosjek sveobuhvatne mjere rizika za 12 tjedana</w:t>
            </w:r>
          </w:p>
          <w:p w14:paraId="33D5CC91" w14:textId="7A7E554E"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Prosjek vrijednosti rizika korelacijskog portfelja namijenjenog trgovanju koja se izračunava u skladu s dijelom trećim glavom IV. poglavljem 5. odjeljkom 5. CRR-a tijekom prethodnih 12 tjedana</w:t>
            </w:r>
          </w:p>
        </w:tc>
      </w:tr>
      <w:tr w:rsidR="00203C1C" w:rsidRPr="007F4CC8" w14:paraId="6089EF60" w14:textId="77777777" w:rsidTr="00155C96">
        <w:tc>
          <w:tcPr>
            <w:tcW w:w="1172" w:type="dxa"/>
            <w:tcBorders>
              <w:top w:val="single" w:sz="4" w:space="0" w:color="auto"/>
              <w:left w:val="single" w:sz="4" w:space="0" w:color="auto"/>
              <w:bottom w:val="single" w:sz="4" w:space="0" w:color="auto"/>
              <w:right w:val="single" w:sz="4" w:space="0" w:color="auto"/>
            </w:tcBorders>
          </w:tcPr>
          <w:p w14:paraId="564FB311" w14:textId="2015118F"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2436286B" w14:textId="6052B0CB" w:rsidR="00D51CB3" w:rsidRPr="006C27A8" w:rsidRDefault="00D51CB3"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Sveobuhvatna mjera rizika, donja granica</w:t>
            </w:r>
          </w:p>
          <w:p w14:paraId="4A95667F" w14:textId="1F97F8F2"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8 % kapitalnog zahtjeva koji bi se, u trenutku izračuna najnovije vrijednosti rizika iz retka (a) ovog obrasca, izračunao u skladu s člankom 338. stavkom 4. CRR-a za sve one pozicije koje su uključene u interni model za korelacijski portfelj namijenjen trgovanju</w:t>
            </w:r>
          </w:p>
        </w:tc>
      </w:tr>
      <w:tr w:rsidR="00203C1C" w:rsidRPr="007F4CC8" w14:paraId="27B814D9" w14:textId="77777777" w:rsidTr="00155C96">
        <w:tc>
          <w:tcPr>
            <w:tcW w:w="1172" w:type="dxa"/>
            <w:tcBorders>
              <w:top w:val="single" w:sz="4" w:space="0" w:color="auto"/>
              <w:left w:val="single" w:sz="4" w:space="0" w:color="auto"/>
              <w:bottom w:val="single" w:sz="4" w:space="0" w:color="auto"/>
              <w:right w:val="single" w:sz="4" w:space="0" w:color="auto"/>
            </w:tcBorders>
          </w:tcPr>
          <w:p w14:paraId="26B11C87" w14:textId="63C99E6D"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5</w:t>
            </w:r>
          </w:p>
        </w:tc>
        <w:tc>
          <w:tcPr>
            <w:tcW w:w="7242" w:type="dxa"/>
            <w:tcBorders>
              <w:top w:val="single" w:sz="4" w:space="0" w:color="auto"/>
              <w:left w:val="single" w:sz="4" w:space="0" w:color="auto"/>
              <w:bottom w:val="single" w:sz="4" w:space="0" w:color="auto"/>
              <w:right w:val="single" w:sz="4" w:space="0" w:color="auto"/>
            </w:tcBorders>
          </w:tcPr>
          <w:p w14:paraId="73A03B09" w14:textId="77777777" w:rsidR="00203C1C" w:rsidRPr="00305345"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b/>
                <w:sz w:val="24"/>
              </w:rPr>
              <w:t>Ostalo</w:t>
            </w:r>
          </w:p>
          <w:p w14:paraId="6505B9DC" w14:textId="7777777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Ostalo se odnosi na dodatne kapitalne zahtjeve koje nadzorna tijela propisuju institucijama koje koriste pristup internih modela za tržišni rizik (npr. dodatni kapital u skladu s člankom 101. Direktive 2013/36/EU).</w:t>
            </w:r>
          </w:p>
        </w:tc>
      </w:tr>
      <w:tr w:rsidR="00203C1C" w:rsidRPr="007F4CC8" w14:paraId="04D19B88" w14:textId="77777777" w:rsidTr="00155C96">
        <w:tc>
          <w:tcPr>
            <w:tcW w:w="1172" w:type="dxa"/>
            <w:tcBorders>
              <w:top w:val="single" w:sz="4" w:space="0" w:color="auto"/>
              <w:left w:val="single" w:sz="4" w:space="0" w:color="auto"/>
              <w:bottom w:val="single" w:sz="4" w:space="0" w:color="auto"/>
              <w:right w:val="single" w:sz="4" w:space="0" w:color="auto"/>
            </w:tcBorders>
          </w:tcPr>
          <w:p w14:paraId="5C04A032" w14:textId="2F05E53D"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6</w:t>
            </w:r>
          </w:p>
        </w:tc>
        <w:tc>
          <w:tcPr>
            <w:tcW w:w="7242" w:type="dxa"/>
            <w:tcBorders>
              <w:top w:val="single" w:sz="4" w:space="0" w:color="auto"/>
              <w:left w:val="single" w:sz="4" w:space="0" w:color="auto"/>
              <w:bottom w:val="single" w:sz="4" w:space="0" w:color="auto"/>
              <w:right w:val="single" w:sz="4" w:space="0" w:color="auto"/>
            </w:tcBorders>
          </w:tcPr>
          <w:p w14:paraId="3882966D" w14:textId="7777777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b/>
                <w:sz w:val="24"/>
              </w:rPr>
              <w:t>Ukupno</w:t>
            </w:r>
            <w:r>
              <w:rPr>
                <w:rFonts w:ascii="Times New Roman" w:hAnsi="Times New Roman"/>
                <w:sz w:val="24"/>
              </w:rPr>
              <w:t xml:space="preserve"> (1+2+3+ 4+5)</w:t>
            </w:r>
          </w:p>
        </w:tc>
      </w:tr>
      <w:tr w:rsidR="00203C1C" w:rsidRPr="007F4CC8" w14:paraId="5CD63E7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8487244"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Slovna oznaka stupca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E548DF2"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Objašnjenje</w:t>
            </w:r>
          </w:p>
        </w:tc>
      </w:tr>
      <w:tr w:rsidR="00203C1C" w:rsidRPr="007F4CC8" w14:paraId="154835B6" w14:textId="77777777" w:rsidTr="00155C96">
        <w:tc>
          <w:tcPr>
            <w:tcW w:w="1172" w:type="dxa"/>
            <w:tcBorders>
              <w:top w:val="single" w:sz="4" w:space="0" w:color="auto"/>
              <w:left w:val="single" w:sz="4" w:space="0" w:color="auto"/>
              <w:bottom w:val="single" w:sz="4" w:space="0" w:color="auto"/>
              <w:right w:val="single" w:sz="4" w:space="0" w:color="auto"/>
            </w:tcBorders>
          </w:tcPr>
          <w:p w14:paraId="2227A5B0" w14:textId="0979126B" w:rsidR="00203C1C" w:rsidRPr="007F4CC8" w:rsidRDefault="00203C1C" w:rsidP="00155C96">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660C22D5" w14:textId="77777777" w:rsidR="00203C1C" w:rsidRPr="005F06BF" w:rsidRDefault="00203C1C" w:rsidP="00155C96">
            <w:pPr>
              <w:spacing w:after="240"/>
              <w:rPr>
                <w:rFonts w:ascii="Times New Roman" w:hAnsi="Times New Roman" w:cs="Times New Roman"/>
                <w:b/>
                <w:sz w:val="24"/>
              </w:rPr>
            </w:pPr>
            <w:r>
              <w:rPr>
                <w:rFonts w:ascii="Times New Roman" w:hAnsi="Times New Roman"/>
                <w:b/>
                <w:sz w:val="24"/>
              </w:rPr>
              <w:t>Iznosi izloženosti ponderirani rizikom (RWEA)</w:t>
            </w:r>
          </w:p>
          <w:p w14:paraId="7AA133AC" w14:textId="0219C223"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Objava izloženosti ponderiranih rizikom iz članka 438. točke (d) CRR-a koje se izračunavaju kao vrijednost u stupcu b pomnožena s 12,5 u skladu s člankom 92. stavkom 4. točkom (b) CRR-a.</w:t>
            </w:r>
          </w:p>
        </w:tc>
      </w:tr>
      <w:tr w:rsidR="00203C1C" w:rsidRPr="007F4CC8" w14:paraId="543A690B" w14:textId="77777777" w:rsidTr="00155C96">
        <w:tc>
          <w:tcPr>
            <w:tcW w:w="1172" w:type="dxa"/>
            <w:tcBorders>
              <w:top w:val="single" w:sz="4" w:space="0" w:color="auto"/>
              <w:left w:val="single" w:sz="4" w:space="0" w:color="auto"/>
              <w:bottom w:val="single" w:sz="4" w:space="0" w:color="auto"/>
              <w:right w:val="single" w:sz="4" w:space="0" w:color="auto"/>
            </w:tcBorders>
          </w:tcPr>
          <w:p w14:paraId="0E415412" w14:textId="6F6D1206" w:rsidR="00203C1C" w:rsidRPr="007F4CC8" w:rsidRDefault="00203C1C" w:rsidP="00155C96">
            <w:pPr>
              <w:spacing w:after="240"/>
              <w:jc w:val="center"/>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68009806" w14:textId="695F4AAF" w:rsidR="00596AB8" w:rsidRPr="00596AB8" w:rsidRDefault="00596AB8" w:rsidP="00155C96">
            <w:pPr>
              <w:spacing w:after="240"/>
              <w:jc w:val="both"/>
              <w:rPr>
                <w:rFonts w:ascii="Times New Roman" w:eastAsia="Times New Roman" w:hAnsi="Times New Roman" w:cs="Times New Roman"/>
                <w:b/>
                <w:sz w:val="24"/>
              </w:rPr>
            </w:pPr>
            <w:r>
              <w:rPr>
                <w:rFonts w:ascii="Times New Roman" w:hAnsi="Times New Roman"/>
                <w:b/>
                <w:sz w:val="24"/>
              </w:rPr>
              <w:t>Kapitalni zahtjevi</w:t>
            </w:r>
          </w:p>
          <w:p w14:paraId="7B42FEEB" w14:textId="69010A9A"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Kapitalni zahtjevi za tržišni rizik kako su utvrđeni u dijelu trećem glavi IV. poglavlju 5. CRR-a u skladu s uputama iz prethodnih redaka od 1 do 4.</w:t>
            </w:r>
          </w:p>
        </w:tc>
      </w:tr>
    </w:tbl>
    <w:p w14:paraId="5FDCA595" w14:textId="77777777" w:rsidR="00203C1C" w:rsidRPr="007F4CC8" w:rsidRDefault="00203C1C" w:rsidP="00203C1C">
      <w:pPr>
        <w:pStyle w:val="Titlelevel2"/>
        <w:spacing w:before="0"/>
        <w:rPr>
          <w:rFonts w:ascii="Times New Roman" w:hAnsi="Times New Roman" w:cs="Times New Roman"/>
          <w:b/>
          <w:color w:val="auto"/>
          <w:sz w:val="24"/>
          <w:lang w:val="en-GB"/>
        </w:rPr>
      </w:pPr>
    </w:p>
    <w:p w14:paraId="2EC9361F" w14:textId="03043812"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Obrazac EU MR2-B – Izvješća o tokovima rizikom ponderirane imovine za izloženosti tržišnom riziku u skladu s pristupom internih modela</w:t>
      </w:r>
      <w:r w:rsidR="00214F5B">
        <w:rPr>
          <w:rFonts w:ascii="Times New Roman" w:hAnsi="Times New Roman"/>
          <w:b/>
          <w:color w:val="auto"/>
          <w:sz w:val="24"/>
        </w:rPr>
        <w:t>:</w:t>
      </w:r>
      <w:r>
        <w:rPr>
          <w:rFonts w:ascii="Times New Roman" w:hAnsi="Times New Roman"/>
          <w:color w:val="auto"/>
          <w:sz w:val="24"/>
        </w:rPr>
        <w:t xml:space="preserve"> fiksan format</w:t>
      </w:r>
    </w:p>
    <w:p w14:paraId="782E19CD" w14:textId="4F743B2F" w:rsidR="00203C1C" w:rsidRPr="007F4CC8" w:rsidRDefault="00203C1C" w:rsidP="00203C1C">
      <w:pPr>
        <w:pStyle w:val="Titlelevel2"/>
        <w:numPr>
          <w:ilvl w:val="0"/>
          <w:numId w:val="60"/>
        </w:numPr>
        <w:spacing w:before="0"/>
        <w:ind w:left="1066" w:hanging="357"/>
        <w:jc w:val="both"/>
        <w:rPr>
          <w:rFonts w:ascii="Times New Roman" w:hAnsi="Times New Roman" w:cs="Times New Roman"/>
          <w:b/>
          <w:color w:val="auto"/>
          <w:sz w:val="24"/>
        </w:rPr>
      </w:pPr>
      <w:r>
        <w:rPr>
          <w:rFonts w:ascii="Times New Roman" w:hAnsi="Times New Roman"/>
          <w:bCs w:val="0"/>
          <w:color w:val="000000"/>
          <w:sz w:val="24"/>
        </w:rPr>
        <w:t xml:space="preserve">Institucije objavljuju informacije iz članka 438. točke (h) CRR-a prateći upute u nastavku ovog Priloga za popunjavanje obrasca MR2-B iz Priloga XXIX. ovoj Provedbenoj uredbi. </w:t>
      </w:r>
    </w:p>
    <w:p w14:paraId="1BA0C5CF" w14:textId="2C70136C"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auto"/>
          <w:sz w:val="24"/>
        </w:rPr>
      </w:pPr>
      <w:r>
        <w:rPr>
          <w:rFonts w:ascii="Times New Roman" w:hAnsi="Times New Roman"/>
          <w:bCs w:val="0"/>
          <w:color w:val="auto"/>
          <w:sz w:val="24"/>
        </w:rPr>
        <w:lastRenderedPageBreak/>
        <w:t xml:space="preserve">Institucije objavljuju tokove RWEA kao promjene između iznosa </w:t>
      </w:r>
      <w:r>
        <w:rPr>
          <w:rFonts w:ascii="Times New Roman" w:hAnsi="Times New Roman"/>
          <w:color w:val="auto"/>
          <w:sz w:val="24"/>
        </w:rPr>
        <w:t xml:space="preserve">izloženosti ponderiranih rizikom na kraju </w:t>
      </w:r>
      <w:r>
        <w:rPr>
          <w:rFonts w:ascii="Times New Roman" w:hAnsi="Times New Roman"/>
          <w:bCs w:val="0"/>
          <w:color w:val="auto"/>
          <w:sz w:val="24"/>
        </w:rPr>
        <w:t xml:space="preserve">referentnog </w:t>
      </w:r>
      <w:proofErr w:type="spellStart"/>
      <w:r>
        <w:rPr>
          <w:rFonts w:ascii="Times New Roman" w:hAnsi="Times New Roman"/>
          <w:bCs w:val="0"/>
          <w:color w:val="auto"/>
          <w:sz w:val="24"/>
        </w:rPr>
        <w:t>radzoblja</w:t>
      </w:r>
      <w:proofErr w:type="spellEnd"/>
      <w:r>
        <w:rPr>
          <w:rFonts w:ascii="Times New Roman" w:hAnsi="Times New Roman"/>
          <w:bCs w:val="0"/>
          <w:color w:val="auto"/>
          <w:sz w:val="24"/>
        </w:rPr>
        <w:t xml:space="preserve"> objave (kako je navedeno u retku 8 u nastavku) i </w:t>
      </w:r>
      <w:r>
        <w:rPr>
          <w:rFonts w:ascii="Times New Roman" w:hAnsi="Times New Roman"/>
          <w:color w:val="auto"/>
          <w:sz w:val="24"/>
        </w:rPr>
        <w:t xml:space="preserve">iznosa izloženosti ponderiranih rizikom na </w:t>
      </w:r>
      <w:r>
        <w:rPr>
          <w:rFonts w:ascii="Times New Roman" w:hAnsi="Times New Roman"/>
          <w:bCs w:val="0"/>
          <w:color w:val="auto"/>
          <w:sz w:val="24"/>
        </w:rPr>
        <w:t>kraju prethodnog referentnog razdoblja objave (kako je navedeno u retku 1 u nastavku; u slučaju tromjesečnog izvješćivanja, na kraju tromjesečja prije tromjesečja referentnog razdoblja objave). Institucije mogu dopuniti svoje objave iz stupa 3. objavom istih informacija za tri prethodna tromjesečja.</w:t>
      </w:r>
    </w:p>
    <w:p w14:paraId="01D16541" w14:textId="721C42FC"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Institucije u opisu koji prilažu uz obrazac objašnjavaju brojke u retku 8 ovog obrasca tj. sve druge razloge koji znatno pridonose razlikama RWEA.</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24D75679"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2613E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Pravna osnova i upute</w:t>
            </w:r>
          </w:p>
        </w:tc>
      </w:tr>
      <w:tr w:rsidR="00203C1C" w:rsidRPr="007F4CC8" w14:paraId="103F6052"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41D3599"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Broj retka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9E200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Objašnjenje</w:t>
            </w:r>
          </w:p>
        </w:tc>
      </w:tr>
      <w:tr w:rsidR="00203C1C" w:rsidRPr="007F4CC8" w14:paraId="79571341" w14:textId="77777777" w:rsidTr="00155C96">
        <w:tc>
          <w:tcPr>
            <w:tcW w:w="1172" w:type="dxa"/>
            <w:tcBorders>
              <w:top w:val="single" w:sz="4" w:space="0" w:color="auto"/>
              <w:left w:val="single" w:sz="4" w:space="0" w:color="auto"/>
              <w:bottom w:val="single" w:sz="4" w:space="0" w:color="auto"/>
              <w:right w:val="single" w:sz="4" w:space="0" w:color="auto"/>
            </w:tcBorders>
          </w:tcPr>
          <w:p w14:paraId="6A5EF0F8" w14:textId="78B2EBCA" w:rsidR="00203C1C" w:rsidRPr="007F4CC8" w:rsidRDefault="00203C1C" w:rsidP="00350FB6">
            <w:pPr>
              <w:spacing w:after="240"/>
              <w:jc w:val="center"/>
              <w:rPr>
                <w:rFonts w:ascii="Times New Roman" w:hAnsi="Times New Roman" w:cs="Times New Roman"/>
                <w:b/>
                <w:sz w:val="24"/>
              </w:rPr>
            </w:pPr>
            <w:r>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574F495C" w14:textId="30888710" w:rsidR="00203C1C" w:rsidRPr="007F4CC8" w:rsidRDefault="00203C1C" w:rsidP="00155C96">
            <w:pPr>
              <w:spacing w:after="240"/>
              <w:rPr>
                <w:rFonts w:ascii="Times New Roman" w:hAnsi="Times New Roman" w:cs="Times New Roman"/>
                <w:b/>
                <w:sz w:val="24"/>
              </w:rPr>
            </w:pPr>
            <w:r>
              <w:rPr>
                <w:rFonts w:ascii="Times New Roman" w:hAnsi="Times New Roman"/>
                <w:b/>
                <w:sz w:val="24"/>
              </w:rPr>
              <w:t>RWEA na kraju prethodnog razdoblja</w:t>
            </w:r>
          </w:p>
          <w:p w14:paraId="17BE448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Iznosi izloženosti ponderirani rizikom na kraju prethodnog razdoblja dobiveni iz zbroja kapitalnih zahtjeva u skladu s člankom 364 CRR-a s iznimkom članka 364. stavka 2. točke (a) CRR-a i svih dodatnih kapitalnih zahtjeva koje propisuju nadzorna tijela za institucije koje koriste pristup internih modela za tržišni rizik pomnoženi s 12,5 u skladu s člankom 92. stavkom 4. točkom (b) CRR-a.</w:t>
            </w:r>
          </w:p>
        </w:tc>
      </w:tr>
      <w:tr w:rsidR="00203C1C" w:rsidRPr="007F4CC8" w14:paraId="59A7CA8A" w14:textId="77777777" w:rsidTr="00155C96">
        <w:tc>
          <w:tcPr>
            <w:tcW w:w="1172" w:type="dxa"/>
            <w:tcBorders>
              <w:top w:val="single" w:sz="4" w:space="0" w:color="auto"/>
              <w:left w:val="single" w:sz="4" w:space="0" w:color="auto"/>
              <w:bottom w:val="single" w:sz="4" w:space="0" w:color="auto"/>
              <w:right w:val="single" w:sz="4" w:space="0" w:color="auto"/>
            </w:tcBorders>
          </w:tcPr>
          <w:p w14:paraId="1C8A9143" w14:textId="0A59FD45"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0AF37981" w14:textId="77777777" w:rsidR="00203C1C" w:rsidRPr="007F4CC8" w:rsidRDefault="00203C1C" w:rsidP="00155C96">
            <w:pPr>
              <w:autoSpaceDE w:val="0"/>
              <w:autoSpaceDN w:val="0"/>
              <w:adjustRightInd w:val="0"/>
              <w:spacing w:after="240"/>
              <w:jc w:val="both"/>
              <w:rPr>
                <w:rFonts w:ascii="Times New Roman" w:hAnsi="Times New Roman" w:cs="Times New Roman"/>
                <w:color w:val="000000"/>
                <w:sz w:val="24"/>
              </w:rPr>
            </w:pPr>
            <w:r>
              <w:rPr>
                <w:rFonts w:ascii="Times New Roman" w:hAnsi="Times New Roman"/>
                <w:i/>
                <w:iCs/>
                <w:color w:val="000000"/>
                <w:sz w:val="24"/>
              </w:rPr>
              <w:t>Kretanje razina rizika</w:t>
            </w:r>
          </w:p>
          <w:p w14:paraId="39890C40" w14:textId="77777777"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color w:val="000000"/>
                <w:sz w:val="24"/>
              </w:rPr>
              <w:t>Promjene zbog promjena pozicija, osim onih uzrokovanih izmjenama regulatorne politike.</w:t>
            </w:r>
          </w:p>
        </w:tc>
      </w:tr>
      <w:tr w:rsidR="00203C1C" w:rsidRPr="007F4CC8" w14:paraId="4ADA6514" w14:textId="77777777" w:rsidTr="00155C96">
        <w:tc>
          <w:tcPr>
            <w:tcW w:w="1172" w:type="dxa"/>
            <w:tcBorders>
              <w:top w:val="single" w:sz="4" w:space="0" w:color="auto"/>
              <w:left w:val="single" w:sz="4" w:space="0" w:color="auto"/>
              <w:bottom w:val="single" w:sz="4" w:space="0" w:color="auto"/>
              <w:right w:val="single" w:sz="4" w:space="0" w:color="auto"/>
            </w:tcBorders>
          </w:tcPr>
          <w:p w14:paraId="1512016D" w14:textId="7E1E3088"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6ECD7EA6" w14:textId="77777777" w:rsidR="00203C1C" w:rsidRPr="007F4CC8" w:rsidRDefault="00203C1C" w:rsidP="00155C96">
            <w:pPr>
              <w:spacing w:after="240"/>
              <w:rPr>
                <w:rFonts w:ascii="Times New Roman" w:hAnsi="Times New Roman" w:cs="Times New Roman"/>
                <w:i/>
                <w:iCs/>
                <w:color w:val="000000"/>
                <w:sz w:val="24"/>
              </w:rPr>
            </w:pPr>
            <w:r>
              <w:rPr>
                <w:rFonts w:ascii="Times New Roman" w:hAnsi="Times New Roman"/>
                <w:i/>
                <w:iCs/>
                <w:color w:val="000000"/>
                <w:sz w:val="24"/>
              </w:rPr>
              <w:t>Promjene modela</w:t>
            </w:r>
          </w:p>
          <w:p w14:paraId="5C808E27"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color w:val="000000"/>
                <w:sz w:val="24"/>
              </w:rPr>
              <w:t xml:space="preserve">Važna ažuriranja modela kojima se odražava nedavno iskustvo (npr. </w:t>
            </w:r>
            <w:proofErr w:type="spellStart"/>
            <w:r>
              <w:rPr>
                <w:rFonts w:ascii="Times New Roman" w:hAnsi="Times New Roman"/>
                <w:color w:val="000000"/>
                <w:sz w:val="24"/>
              </w:rPr>
              <w:t>rekalibracija</w:t>
            </w:r>
            <w:proofErr w:type="spellEnd"/>
            <w:r>
              <w:rPr>
                <w:rFonts w:ascii="Times New Roman" w:hAnsi="Times New Roman"/>
                <w:color w:val="000000"/>
                <w:sz w:val="24"/>
              </w:rPr>
              <w:t xml:space="preserve">), kao i značajne promjene u području primjene modela. Ako postoji više od jednog ažuriranja modela, može biti potrebno umetnuti dodatne </w:t>
            </w:r>
            <w:proofErr w:type="spellStart"/>
            <w:r>
              <w:rPr>
                <w:rFonts w:ascii="Times New Roman" w:hAnsi="Times New Roman"/>
                <w:color w:val="000000"/>
                <w:sz w:val="24"/>
              </w:rPr>
              <w:t>redke</w:t>
            </w:r>
            <w:proofErr w:type="spellEnd"/>
            <w:r>
              <w:rPr>
                <w:rFonts w:ascii="Times New Roman" w:hAnsi="Times New Roman"/>
                <w:color w:val="000000"/>
                <w:sz w:val="24"/>
              </w:rPr>
              <w:t>.</w:t>
            </w:r>
          </w:p>
        </w:tc>
      </w:tr>
      <w:tr w:rsidR="00203C1C" w:rsidRPr="007F4CC8" w14:paraId="4C885180" w14:textId="77777777" w:rsidTr="00155C96">
        <w:tc>
          <w:tcPr>
            <w:tcW w:w="1172" w:type="dxa"/>
            <w:tcBorders>
              <w:top w:val="single" w:sz="4" w:space="0" w:color="auto"/>
              <w:left w:val="single" w:sz="4" w:space="0" w:color="auto"/>
              <w:bottom w:val="single" w:sz="4" w:space="0" w:color="auto"/>
              <w:right w:val="single" w:sz="4" w:space="0" w:color="auto"/>
            </w:tcBorders>
          </w:tcPr>
          <w:p w14:paraId="37649439" w14:textId="7A2BFBE1"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28970E06"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Metodologija i politika</w:t>
            </w:r>
          </w:p>
          <w:p w14:paraId="4601C250" w14:textId="77777777" w:rsidR="00203C1C" w:rsidRPr="007F4CC8" w:rsidRDefault="00203C1C" w:rsidP="00155C96">
            <w:pPr>
              <w:pStyle w:val="Default"/>
              <w:spacing w:after="240"/>
              <w:jc w:val="both"/>
              <w:rPr>
                <w:rFonts w:ascii="Times New Roman" w:hAnsi="Times New Roman" w:cs="Times New Roman"/>
                <w:b/>
              </w:rPr>
            </w:pPr>
            <w:r>
              <w:rPr>
                <w:rFonts w:ascii="Times New Roman" w:hAnsi="Times New Roman"/>
              </w:rPr>
              <w:t>Promjene metodologije izračuna proizašlih iz regulatornih promjena pravila.</w:t>
            </w:r>
          </w:p>
        </w:tc>
      </w:tr>
      <w:tr w:rsidR="00203C1C" w:rsidRPr="007F4CC8" w14:paraId="6192073D" w14:textId="77777777" w:rsidTr="00155C96">
        <w:tc>
          <w:tcPr>
            <w:tcW w:w="1172" w:type="dxa"/>
            <w:tcBorders>
              <w:top w:val="single" w:sz="4" w:space="0" w:color="auto"/>
              <w:left w:val="single" w:sz="4" w:space="0" w:color="auto"/>
              <w:bottom w:val="single" w:sz="4" w:space="0" w:color="auto"/>
              <w:right w:val="single" w:sz="4" w:space="0" w:color="auto"/>
            </w:tcBorders>
          </w:tcPr>
          <w:p w14:paraId="24AB7E8F" w14:textId="22E2465D"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6222EC5E"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Preuzimanja i prodaje</w:t>
            </w:r>
          </w:p>
          <w:p w14:paraId="70D2C9BB"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Modifikacije uzrokovane preuzimanjem ili prodajom poslovanja/proizvodnih linija ili subjekata.</w:t>
            </w:r>
          </w:p>
        </w:tc>
      </w:tr>
      <w:tr w:rsidR="00203C1C" w:rsidRPr="007F4CC8" w14:paraId="738B0C49" w14:textId="77777777" w:rsidTr="00155C96">
        <w:tc>
          <w:tcPr>
            <w:tcW w:w="1172" w:type="dxa"/>
            <w:tcBorders>
              <w:top w:val="single" w:sz="4" w:space="0" w:color="auto"/>
              <w:left w:val="single" w:sz="4" w:space="0" w:color="auto"/>
              <w:bottom w:val="single" w:sz="4" w:space="0" w:color="auto"/>
              <w:right w:val="single" w:sz="4" w:space="0" w:color="auto"/>
            </w:tcBorders>
          </w:tcPr>
          <w:p w14:paraId="3A2C9630" w14:textId="748BB047"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5B8A7FE9"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Kretanja valuta</w:t>
            </w:r>
          </w:p>
          <w:p w14:paraId="6B59EAA1"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lastRenderedPageBreak/>
              <w:t>Promjene koje nastaju zbog kretanja strane valute.</w:t>
            </w:r>
          </w:p>
        </w:tc>
      </w:tr>
      <w:tr w:rsidR="00203C1C" w:rsidRPr="007F4CC8" w14:paraId="66EBB6C3" w14:textId="77777777" w:rsidTr="00155C96">
        <w:tc>
          <w:tcPr>
            <w:tcW w:w="1172" w:type="dxa"/>
            <w:tcBorders>
              <w:top w:val="single" w:sz="4" w:space="0" w:color="auto"/>
              <w:left w:val="single" w:sz="4" w:space="0" w:color="auto"/>
              <w:bottom w:val="single" w:sz="4" w:space="0" w:color="auto"/>
              <w:right w:val="single" w:sz="4" w:space="0" w:color="auto"/>
            </w:tcBorders>
          </w:tcPr>
          <w:p w14:paraId="386338A4" w14:textId="1392678D"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lastRenderedPageBreak/>
              <w:t>7</w:t>
            </w:r>
          </w:p>
        </w:tc>
        <w:tc>
          <w:tcPr>
            <w:tcW w:w="7242" w:type="dxa"/>
            <w:tcBorders>
              <w:top w:val="single" w:sz="4" w:space="0" w:color="auto"/>
              <w:left w:val="single" w:sz="4" w:space="0" w:color="auto"/>
              <w:bottom w:val="single" w:sz="4" w:space="0" w:color="auto"/>
              <w:right w:val="single" w:sz="4" w:space="0" w:color="auto"/>
            </w:tcBorders>
          </w:tcPr>
          <w:p w14:paraId="5180C99D"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i/>
                <w:iCs/>
                <w:sz w:val="24"/>
              </w:rPr>
              <w:t>Ostalo</w:t>
            </w:r>
          </w:p>
          <w:p w14:paraId="54C3644D"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Ova se kategorija koristi za bilježenje promjena koje se ne mogu pripisati nekoj od kategorija razloga iz redaka od 2 do 6 ovog obrasca, a objašnjenja o razlozima tih promjena moraju se navesti u opisu koji prilažu. </w:t>
            </w:r>
          </w:p>
        </w:tc>
      </w:tr>
      <w:tr w:rsidR="00203C1C" w:rsidRPr="007F4CC8" w14:paraId="02F12838" w14:textId="77777777" w:rsidTr="00155C96">
        <w:tc>
          <w:tcPr>
            <w:tcW w:w="1172" w:type="dxa"/>
            <w:tcBorders>
              <w:top w:val="single" w:sz="4" w:space="0" w:color="auto"/>
              <w:left w:val="single" w:sz="4" w:space="0" w:color="auto"/>
              <w:bottom w:val="single" w:sz="4" w:space="0" w:color="auto"/>
              <w:right w:val="single" w:sz="4" w:space="0" w:color="auto"/>
            </w:tcBorders>
          </w:tcPr>
          <w:p w14:paraId="7BCF3A0B" w14:textId="78414A74" w:rsidR="00203C1C" w:rsidRPr="007F4CC8" w:rsidRDefault="00203C1C" w:rsidP="00350FB6">
            <w:pPr>
              <w:spacing w:after="240"/>
              <w:jc w:val="center"/>
              <w:rPr>
                <w:rFonts w:ascii="Times New Roman" w:hAnsi="Times New Roman" w:cs="Times New Roman"/>
                <w:b/>
                <w:i/>
                <w:sz w:val="24"/>
              </w:rPr>
            </w:pPr>
            <w:r>
              <w:rPr>
                <w:rFonts w:ascii="Times New Roman" w:hAnsi="Times New Roman"/>
                <w:b/>
                <w:sz w:val="24"/>
              </w:rPr>
              <w:t>8</w:t>
            </w:r>
          </w:p>
        </w:tc>
        <w:tc>
          <w:tcPr>
            <w:tcW w:w="7242" w:type="dxa"/>
            <w:tcBorders>
              <w:top w:val="single" w:sz="4" w:space="0" w:color="auto"/>
              <w:left w:val="single" w:sz="4" w:space="0" w:color="auto"/>
              <w:bottom w:val="single" w:sz="4" w:space="0" w:color="auto"/>
              <w:right w:val="single" w:sz="4" w:space="0" w:color="auto"/>
            </w:tcBorders>
          </w:tcPr>
          <w:p w14:paraId="57F2A4B7" w14:textId="5482986B" w:rsidR="00203C1C" w:rsidRPr="007F4CC8" w:rsidRDefault="00203C1C" w:rsidP="00155C96">
            <w:pPr>
              <w:spacing w:after="240"/>
              <w:rPr>
                <w:rFonts w:ascii="Times New Roman" w:hAnsi="Times New Roman" w:cs="Times New Roman"/>
                <w:b/>
                <w:sz w:val="24"/>
              </w:rPr>
            </w:pPr>
            <w:r>
              <w:rPr>
                <w:rFonts w:ascii="Times New Roman" w:hAnsi="Times New Roman"/>
                <w:b/>
                <w:sz w:val="24"/>
              </w:rPr>
              <w:t>RWEA na kraju razdoblja objave</w:t>
            </w:r>
          </w:p>
          <w:p w14:paraId="12A5EFE7"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Iznosi izloženosti ponderirani rizikom na kraju razdoblja dobiveni iz zbroja kapitalnih zahtjeva u skladu s člankom 364 CRR-a s iznimkom članka 364. stavka 2. točke (a) CRR-a i svih dodatnih kapitalnih zahtjeva koje propisuju nadzorna tijela za institucije koje koriste pristup internih modela za tržišni rizik pomnoženi s 12,5 u skladu s člankom 92. stavkom 4. točkom (b) CRR-a.</w:t>
            </w:r>
          </w:p>
        </w:tc>
      </w:tr>
      <w:tr w:rsidR="00203C1C" w:rsidRPr="007F4CC8" w14:paraId="2CC4EAFE" w14:textId="77777777" w:rsidTr="00155C96">
        <w:tc>
          <w:tcPr>
            <w:tcW w:w="1172" w:type="dxa"/>
            <w:tcBorders>
              <w:top w:val="single" w:sz="4" w:space="0" w:color="auto"/>
              <w:left w:val="single" w:sz="4" w:space="0" w:color="auto"/>
              <w:bottom w:val="single" w:sz="4" w:space="0" w:color="auto"/>
              <w:right w:val="single" w:sz="4" w:space="0" w:color="auto"/>
            </w:tcBorders>
          </w:tcPr>
          <w:p w14:paraId="78A0A1C4" w14:textId="0CBD3802" w:rsidR="00203C1C" w:rsidRPr="007F4CC8" w:rsidRDefault="00203C1C" w:rsidP="00350FB6">
            <w:pPr>
              <w:spacing w:after="240"/>
              <w:jc w:val="center"/>
              <w:rPr>
                <w:rFonts w:ascii="Times New Roman" w:hAnsi="Times New Roman" w:cs="Times New Roman"/>
                <w:sz w:val="24"/>
              </w:rPr>
            </w:pPr>
            <w:r>
              <w:rPr>
                <w:rFonts w:ascii="Times New Roman" w:hAnsi="Times New Roman"/>
                <w:sz w:val="24"/>
              </w:rPr>
              <w:t>1a/1b/ 8a/8b</w:t>
            </w:r>
          </w:p>
        </w:tc>
        <w:tc>
          <w:tcPr>
            <w:tcW w:w="7242" w:type="dxa"/>
            <w:tcBorders>
              <w:top w:val="single" w:sz="4" w:space="0" w:color="auto"/>
              <w:left w:val="single" w:sz="4" w:space="0" w:color="auto"/>
              <w:bottom w:val="single" w:sz="4" w:space="0" w:color="auto"/>
              <w:right w:val="single" w:sz="4" w:space="0" w:color="auto"/>
            </w:tcBorders>
          </w:tcPr>
          <w:p w14:paraId="456AC99A" w14:textId="70EC93D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Redci 1a/1b i 8a/8b ovog obrasca koriste se kad je RWEA/kapitalni zahtjev za bilo koji od stupaca od a do d ovog obrasca 60-dnevni prosjek(za </w:t>
            </w:r>
            <w:proofErr w:type="spellStart"/>
            <w:r>
              <w:rPr>
                <w:rFonts w:ascii="Times New Roman" w:hAnsi="Times New Roman"/>
                <w:sz w:val="24"/>
              </w:rPr>
              <w:t>VaR</w:t>
            </w:r>
            <w:proofErr w:type="spellEnd"/>
            <w:r>
              <w:rPr>
                <w:rFonts w:ascii="Times New Roman" w:hAnsi="Times New Roman"/>
                <w:sz w:val="24"/>
              </w:rPr>
              <w:t xml:space="preserve"> i </w:t>
            </w:r>
            <w:proofErr w:type="spellStart"/>
            <w:r>
              <w:rPr>
                <w:rFonts w:ascii="Times New Roman" w:hAnsi="Times New Roman"/>
                <w:sz w:val="24"/>
              </w:rPr>
              <w:t>SVaR</w:t>
            </w:r>
            <w:proofErr w:type="spellEnd"/>
            <w:r>
              <w:rPr>
                <w:rFonts w:ascii="Times New Roman" w:hAnsi="Times New Roman"/>
                <w:sz w:val="24"/>
              </w:rPr>
              <w:t xml:space="preserve">) ili 12-tjedni prosjek mjere ili mjera praga (za IRC i sveobuhvatnu mjeru rizika), a ne RWEA/kapitalni zahtjev na kraju razdoblja (prethodnog razdoblja ili razdoblja objave) u skladu s člankom 364. stavkom 1. točkom (a) </w:t>
            </w:r>
            <w:proofErr w:type="spellStart"/>
            <w:r>
              <w:rPr>
                <w:rFonts w:ascii="Times New Roman" w:hAnsi="Times New Roman"/>
                <w:sz w:val="24"/>
              </w:rPr>
              <w:t>podtočkom</w:t>
            </w:r>
            <w:proofErr w:type="spellEnd"/>
            <w:r>
              <w:rPr>
                <w:rFonts w:ascii="Times New Roman" w:hAnsi="Times New Roman"/>
                <w:sz w:val="24"/>
              </w:rPr>
              <w:t xml:space="preserve"> i. i točkom (b) </w:t>
            </w:r>
            <w:proofErr w:type="spellStart"/>
            <w:r>
              <w:rPr>
                <w:rFonts w:ascii="Times New Roman" w:hAnsi="Times New Roman"/>
                <w:sz w:val="24"/>
              </w:rPr>
              <w:t>podtočkom</w:t>
            </w:r>
            <w:proofErr w:type="spellEnd"/>
            <w:r>
              <w:rPr>
                <w:rFonts w:ascii="Times New Roman" w:hAnsi="Times New Roman"/>
                <w:sz w:val="24"/>
              </w:rPr>
              <w:t xml:space="preserve"> i., s člankom 364. stavkom 2. točkom (b) </w:t>
            </w:r>
            <w:proofErr w:type="spellStart"/>
            <w:r>
              <w:rPr>
                <w:rFonts w:ascii="Times New Roman" w:hAnsi="Times New Roman"/>
                <w:sz w:val="24"/>
              </w:rPr>
              <w:t>podtočkom</w:t>
            </w:r>
            <w:proofErr w:type="spellEnd"/>
            <w:r>
              <w:rPr>
                <w:rFonts w:ascii="Times New Roman" w:hAnsi="Times New Roman"/>
                <w:sz w:val="24"/>
              </w:rPr>
              <w:t xml:space="preserve"> i. i člankom 364. stavkom 3. točkom (a) CRR-a. Iznos u dodatnim redcima 1.a i 8.b razlika je između konačno dobivenih RWEA za prosječne mjere, kako je objavljeno u redcima 1 ili 8 ovog obrasca, i mjera dobivenih izravno od modela u redcima 1b/8a ovog obrasca. U tim slučajevima, dodatni redci za regulatornu prilagodbu (1a i 8b ovog obrasca) osiguravaju da institucija može navesti izvor promjena u RWEA/kapitalnom zahtjevu na temelju posljednje mjere RWEA/kapitalnog zahtjeva na kraju razdoblja (prethodnog razdoblja ili razdoblja objave) u redcima 1b i 8a ovog obrasca. U tom slučaju, redci 2., 3., 4., 5., 6., 7. ovog obrasca usklađuju vrijednost u redcima 1b i 8a</w:t>
            </w:r>
            <w:r>
              <w:rPr>
                <w:rStyle w:val="FootnoteReference"/>
                <w:rFonts w:ascii="Times New Roman" w:hAnsi="Times New Roman" w:cs="Times New Roman"/>
                <w:sz w:val="24"/>
                <w:szCs w:val="24"/>
              </w:rPr>
              <w:footnoteReference w:id="48"/>
            </w:r>
            <w:r>
              <w:rPr>
                <w:rFonts w:ascii="Times New Roman" w:hAnsi="Times New Roman"/>
                <w:sz w:val="24"/>
              </w:rPr>
              <w:t xml:space="preserve"> ovog obrasca. </w:t>
            </w:r>
          </w:p>
        </w:tc>
      </w:tr>
      <w:tr w:rsidR="00203C1C" w:rsidRPr="007F4CC8" w14:paraId="445D6C7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977E82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Slovna oznaka stupca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8118D1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Objašnjenje</w:t>
            </w:r>
          </w:p>
        </w:tc>
      </w:tr>
      <w:tr w:rsidR="00203C1C" w:rsidRPr="007F4CC8" w14:paraId="5E50FDCF" w14:textId="77777777" w:rsidTr="00155C96">
        <w:tc>
          <w:tcPr>
            <w:tcW w:w="1172" w:type="dxa"/>
            <w:tcBorders>
              <w:top w:val="single" w:sz="4" w:space="0" w:color="auto"/>
              <w:left w:val="single" w:sz="4" w:space="0" w:color="auto"/>
              <w:bottom w:val="single" w:sz="4" w:space="0" w:color="auto"/>
              <w:right w:val="single" w:sz="4" w:space="0" w:color="auto"/>
            </w:tcBorders>
          </w:tcPr>
          <w:p w14:paraId="4F15E56B" w14:textId="42490786" w:rsidR="00203C1C" w:rsidRPr="007F4CC8" w:rsidRDefault="00203C1C" w:rsidP="00940268">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160F26D2" w14:textId="61E00B14" w:rsidR="00203C1C" w:rsidRPr="007F4CC8" w:rsidRDefault="00203C1C" w:rsidP="00155C96">
            <w:pPr>
              <w:spacing w:after="240"/>
              <w:jc w:val="both"/>
              <w:rPr>
                <w:rFonts w:ascii="Times New Roman" w:hAnsi="Times New Roman" w:cs="Times New Roman"/>
                <w:b/>
                <w:sz w:val="24"/>
              </w:rPr>
            </w:pPr>
            <w:proofErr w:type="spellStart"/>
            <w:r>
              <w:rPr>
                <w:rFonts w:ascii="Times New Roman" w:hAnsi="Times New Roman"/>
                <w:i/>
                <w:sz w:val="24"/>
              </w:rPr>
              <w:t>VaR</w:t>
            </w:r>
            <w:proofErr w:type="spellEnd"/>
            <w:r>
              <w:rPr>
                <w:rFonts w:ascii="Times New Roman" w:hAnsi="Times New Roman"/>
                <w:i/>
                <w:sz w:val="24"/>
              </w:rPr>
              <w:t xml:space="preserve"> </w:t>
            </w:r>
            <w:r>
              <w:rPr>
                <w:rFonts w:ascii="Times New Roman" w:hAnsi="Times New Roman"/>
                <w:sz w:val="24"/>
              </w:rPr>
              <w:t xml:space="preserve">Glavni razlozi za promjene tijekom razdoblja u skladu s redcima od 2. do 7 ovog obrasca (na temelju razumne procjene) iznosa izloženosti ponderiranih rizikom vrijednosti adherentne riziku dobivenih iz kapitalnih zahtjeva u skladu s člankom 364. stavkom 1. točkom (a) CRR-a. </w:t>
            </w:r>
          </w:p>
        </w:tc>
      </w:tr>
      <w:tr w:rsidR="00203C1C" w:rsidRPr="007F4CC8" w14:paraId="155B81A4" w14:textId="77777777" w:rsidTr="00155C96">
        <w:tc>
          <w:tcPr>
            <w:tcW w:w="1172" w:type="dxa"/>
            <w:tcBorders>
              <w:top w:val="single" w:sz="4" w:space="0" w:color="auto"/>
              <w:left w:val="single" w:sz="4" w:space="0" w:color="auto"/>
              <w:bottom w:val="single" w:sz="4" w:space="0" w:color="auto"/>
              <w:right w:val="single" w:sz="4" w:space="0" w:color="auto"/>
            </w:tcBorders>
          </w:tcPr>
          <w:p w14:paraId="6425DEE4" w14:textId="67265257" w:rsidR="00203C1C" w:rsidRPr="007F4CC8" w:rsidRDefault="00203C1C" w:rsidP="00940268">
            <w:pPr>
              <w:spacing w:after="240"/>
              <w:jc w:val="center"/>
              <w:rPr>
                <w:rFonts w:ascii="Times New Roman" w:hAnsi="Times New Roman" w:cs="Times New Roman"/>
                <w:b/>
                <w:sz w:val="24"/>
              </w:rPr>
            </w:pPr>
            <w:r>
              <w:rPr>
                <w:rFonts w:ascii="Times New Roman" w:hAnsi="Times New Roman"/>
                <w:sz w:val="24"/>
              </w:rPr>
              <w:lastRenderedPageBreak/>
              <w:t>b</w:t>
            </w:r>
          </w:p>
        </w:tc>
        <w:tc>
          <w:tcPr>
            <w:tcW w:w="7242" w:type="dxa"/>
            <w:tcBorders>
              <w:top w:val="single" w:sz="4" w:space="0" w:color="auto"/>
              <w:left w:val="single" w:sz="4" w:space="0" w:color="auto"/>
              <w:bottom w:val="single" w:sz="4" w:space="0" w:color="auto"/>
              <w:right w:val="single" w:sz="4" w:space="0" w:color="auto"/>
            </w:tcBorders>
          </w:tcPr>
          <w:p w14:paraId="1BE4B1DD" w14:textId="77777777" w:rsidR="00203C1C" w:rsidRPr="007F4CC8" w:rsidRDefault="00203C1C" w:rsidP="00155C96">
            <w:pPr>
              <w:spacing w:after="240"/>
              <w:rPr>
                <w:rFonts w:ascii="Times New Roman" w:hAnsi="Times New Roman" w:cs="Times New Roman"/>
                <w:i/>
                <w:sz w:val="24"/>
              </w:rPr>
            </w:pPr>
            <w:proofErr w:type="spellStart"/>
            <w:r>
              <w:rPr>
                <w:rFonts w:ascii="Times New Roman" w:hAnsi="Times New Roman"/>
                <w:i/>
                <w:sz w:val="24"/>
              </w:rPr>
              <w:t>SVaR</w:t>
            </w:r>
            <w:proofErr w:type="spellEnd"/>
          </w:p>
          <w:p w14:paraId="2F882761" w14:textId="44440B80"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Glavni razlozi za promjene tijekom razdoblja u skladu s redcima od 2. do 7. ovog obrasca (na temelju razumne procjene) iznosa izloženosti ponderiranih rizikom vrijednosti adherentne riziku u stresnim uvjetima dobivenih iz kapitalnih zahtjeva u skladu s člankom 364. stavkom 1. točkom (b) CRR-a, i svih dodatnih kapitalnih zahtjeva koje propisuju nadzorna tijela.</w:t>
            </w:r>
          </w:p>
        </w:tc>
      </w:tr>
      <w:tr w:rsidR="00203C1C" w:rsidRPr="007F4CC8" w14:paraId="467491A5" w14:textId="77777777" w:rsidTr="00155C96">
        <w:tc>
          <w:tcPr>
            <w:tcW w:w="1172" w:type="dxa"/>
            <w:tcBorders>
              <w:top w:val="single" w:sz="4" w:space="0" w:color="auto"/>
              <w:left w:val="single" w:sz="4" w:space="0" w:color="auto"/>
              <w:bottom w:val="single" w:sz="4" w:space="0" w:color="auto"/>
              <w:right w:val="single" w:sz="4" w:space="0" w:color="auto"/>
            </w:tcBorders>
          </w:tcPr>
          <w:p w14:paraId="72893C67" w14:textId="4E8B5A46"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15DF34BB"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IRC</w:t>
            </w:r>
          </w:p>
          <w:p w14:paraId="2EF6A068" w14:textId="1521FA2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Glavni razlozi za promjene tijekom razdoblja u skladu s redcima od 2. do 7. ovog obrasca (na temelju razumne procjene) iznosa izloženosti ponderiranih rizikom dodatnog rizika nastanka statusa neispunjavanja obveza i migracijskog rizika dobivenih iz kapitalnih zahtjeva u skladu s člankom 364. stavkom 2. točkom (b) CRR-a, i svih dodatnih kapitalnih zahtjeva koje propisuju nadzorna tijela.</w:t>
            </w:r>
          </w:p>
        </w:tc>
      </w:tr>
      <w:tr w:rsidR="00203C1C" w:rsidRPr="007F4CC8" w14:paraId="699D4AF8" w14:textId="77777777" w:rsidTr="00155C96">
        <w:tc>
          <w:tcPr>
            <w:tcW w:w="1172" w:type="dxa"/>
            <w:tcBorders>
              <w:top w:val="single" w:sz="4" w:space="0" w:color="auto"/>
              <w:left w:val="single" w:sz="4" w:space="0" w:color="auto"/>
              <w:bottom w:val="single" w:sz="4" w:space="0" w:color="auto"/>
              <w:right w:val="single" w:sz="4" w:space="0" w:color="auto"/>
            </w:tcBorders>
          </w:tcPr>
          <w:p w14:paraId="010434F2" w14:textId="39E2E71D"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196FDEC4" w14:textId="77777777" w:rsidR="00203C1C" w:rsidRPr="007F4CC8" w:rsidRDefault="00203C1C" w:rsidP="00155C96">
            <w:pPr>
              <w:spacing w:after="240"/>
              <w:jc w:val="both"/>
              <w:rPr>
                <w:rFonts w:ascii="Times New Roman" w:hAnsi="Times New Roman" w:cs="Times New Roman"/>
                <w:i/>
                <w:sz w:val="24"/>
              </w:rPr>
            </w:pPr>
            <w:r>
              <w:rPr>
                <w:rFonts w:ascii="Times New Roman" w:hAnsi="Times New Roman"/>
                <w:i/>
                <w:sz w:val="24"/>
              </w:rPr>
              <w:t>Sveobuhvatna mjera rizika</w:t>
            </w:r>
          </w:p>
          <w:p w14:paraId="73C1B72E" w14:textId="5AA217A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Glavni razlozi za promjene tijekom razdoblja u skladu s redcima od 2. do 7. ovog obrasca (na temelju razumne procjene) iznosa izloženosti ponderiranih rizikom korelacijskog portfelja namijenjenog trgovanju dobivenih iz kapitalnih zahtjeva u skladu s člankom 364. stavkom 3. CRR-a, i svih dodatnih kapitalnih zahtjeva koje propisuju nadzorna tijela.</w:t>
            </w:r>
          </w:p>
        </w:tc>
      </w:tr>
      <w:tr w:rsidR="00203C1C" w:rsidRPr="007F4CC8" w14:paraId="12B1C735" w14:textId="77777777" w:rsidTr="00155C96">
        <w:tc>
          <w:tcPr>
            <w:tcW w:w="1172" w:type="dxa"/>
            <w:tcBorders>
              <w:top w:val="single" w:sz="4" w:space="0" w:color="auto"/>
              <w:left w:val="single" w:sz="4" w:space="0" w:color="auto"/>
              <w:bottom w:val="single" w:sz="4" w:space="0" w:color="auto"/>
              <w:right w:val="single" w:sz="4" w:space="0" w:color="auto"/>
            </w:tcBorders>
          </w:tcPr>
          <w:p w14:paraId="5251F9DD" w14:textId="0D83D49B"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2DEB7119"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Ostalo</w:t>
            </w:r>
          </w:p>
          <w:p w14:paraId="3C5E8F71" w14:textId="4E92AD64"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Glavni razlozi za promjene tijekom razdoblja u skladu s redcima od 2. do 7 ovog obrasca iznosa izloženosti ponderiranih rizikom na temelju pristupa modela koji nije iskazan u stupcima od (a) do (d).</w:t>
            </w:r>
          </w:p>
        </w:tc>
      </w:tr>
      <w:tr w:rsidR="00203C1C" w:rsidRPr="00222AAB" w14:paraId="0D5F55AD" w14:textId="77777777" w:rsidTr="00155C96">
        <w:tc>
          <w:tcPr>
            <w:tcW w:w="1172" w:type="dxa"/>
            <w:tcBorders>
              <w:top w:val="single" w:sz="4" w:space="0" w:color="auto"/>
              <w:left w:val="single" w:sz="4" w:space="0" w:color="auto"/>
              <w:bottom w:val="single" w:sz="4" w:space="0" w:color="auto"/>
              <w:right w:val="single" w:sz="4" w:space="0" w:color="auto"/>
            </w:tcBorders>
          </w:tcPr>
          <w:p w14:paraId="4933F7F9" w14:textId="3FC6B74F"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69BCDC61" w14:textId="70582A99" w:rsidR="00203C1C" w:rsidRPr="00346640" w:rsidRDefault="00203C1C" w:rsidP="00155C96">
            <w:pPr>
              <w:spacing w:after="240"/>
              <w:rPr>
                <w:rFonts w:ascii="Times New Roman" w:hAnsi="Times New Roman" w:cs="Times New Roman"/>
                <w:sz w:val="24"/>
              </w:rPr>
            </w:pPr>
            <w:r>
              <w:rPr>
                <w:rFonts w:ascii="Times New Roman" w:hAnsi="Times New Roman"/>
                <w:sz w:val="24"/>
              </w:rPr>
              <w:t>Ukupni iznosi izloženosti ponderirani rizikom (a + b + c + d + e)</w:t>
            </w:r>
          </w:p>
        </w:tc>
      </w:tr>
      <w:tr w:rsidR="00203C1C" w:rsidRPr="007F4CC8" w14:paraId="4E88F8D5" w14:textId="77777777" w:rsidTr="00155C96">
        <w:tc>
          <w:tcPr>
            <w:tcW w:w="1172" w:type="dxa"/>
            <w:tcBorders>
              <w:top w:val="single" w:sz="4" w:space="0" w:color="auto"/>
              <w:left w:val="single" w:sz="4" w:space="0" w:color="auto"/>
              <w:bottom w:val="single" w:sz="4" w:space="0" w:color="auto"/>
              <w:right w:val="single" w:sz="4" w:space="0" w:color="auto"/>
            </w:tcBorders>
          </w:tcPr>
          <w:p w14:paraId="1D66788F" w14:textId="4895FD30"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7F2BCDF4" w14:textId="77777777" w:rsidR="00203C1C" w:rsidRPr="007F4CC8" w:rsidRDefault="00203C1C" w:rsidP="00155C96">
            <w:pPr>
              <w:spacing w:after="240"/>
              <w:rPr>
                <w:rFonts w:ascii="Times New Roman" w:hAnsi="Times New Roman" w:cs="Times New Roman"/>
                <w:b/>
                <w:sz w:val="24"/>
              </w:rPr>
            </w:pPr>
            <w:r>
              <w:rPr>
                <w:rFonts w:ascii="Times New Roman" w:hAnsi="Times New Roman"/>
                <w:sz w:val="24"/>
              </w:rPr>
              <w:t>Ukupni kapitalni zahtjevi (f x 8 %)</w:t>
            </w:r>
          </w:p>
        </w:tc>
      </w:tr>
    </w:tbl>
    <w:p w14:paraId="77BEF27F" w14:textId="77777777" w:rsidR="00203C1C" w:rsidRPr="006944D5" w:rsidRDefault="00203C1C" w:rsidP="00203C1C">
      <w:pPr>
        <w:pStyle w:val="Titlelevel2"/>
        <w:spacing w:before="0"/>
        <w:rPr>
          <w:rFonts w:ascii="Times New Roman" w:hAnsi="Times New Roman" w:cs="Times New Roman"/>
          <w:b/>
          <w:color w:val="auto"/>
          <w:sz w:val="24"/>
        </w:rPr>
      </w:pPr>
    </w:p>
    <w:p w14:paraId="7369DA49" w14:textId="390F4D52"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Obrazac EU MR3 – Vrijednosti portfelja kojima se trguje u skladu s pristupom internih modela:</w:t>
      </w:r>
      <w:r>
        <w:rPr>
          <w:rFonts w:ascii="Times New Roman" w:hAnsi="Times New Roman"/>
          <w:color w:val="auto"/>
          <w:sz w:val="24"/>
        </w:rPr>
        <w:t xml:space="preserve"> fiksan format</w:t>
      </w:r>
    </w:p>
    <w:p w14:paraId="3EE80EF1" w14:textId="1B161510"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Institucije objavljuju informacije iz članka 455. točke (d) CRR-a prateći upute u nastavku ovog Priloga za popunjavanje obrasca EU MR3 iz Priloga XXIX. ovoj Provedbenoj uredbi.</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7070"/>
      </w:tblGrid>
      <w:tr w:rsidR="00203C1C" w:rsidRPr="007F4CC8" w14:paraId="682711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92071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Pravna osnova i upute</w:t>
            </w:r>
          </w:p>
        </w:tc>
      </w:tr>
      <w:tr w:rsidR="00203C1C" w:rsidRPr="007F4CC8" w14:paraId="03ADCE59"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E52593"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Broj retka</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ADF4D86"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Objašnjenje</w:t>
            </w:r>
          </w:p>
        </w:tc>
      </w:tr>
      <w:tr w:rsidR="00203C1C" w:rsidRPr="007F4CC8" w14:paraId="168F26A6"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3DD1D671"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61C8A0A" w14:textId="77777777" w:rsidR="00203C1C" w:rsidRPr="007F4CC8" w:rsidRDefault="00203C1C" w:rsidP="00155C96">
            <w:pPr>
              <w:spacing w:after="240"/>
              <w:jc w:val="both"/>
              <w:rPr>
                <w:rFonts w:ascii="Times New Roman" w:hAnsi="Times New Roman" w:cs="Times New Roman"/>
                <w:b/>
                <w:i/>
                <w:sz w:val="24"/>
              </w:rPr>
            </w:pPr>
            <w:proofErr w:type="spellStart"/>
            <w:r>
              <w:rPr>
                <w:rFonts w:ascii="Times New Roman" w:hAnsi="Times New Roman"/>
                <w:b/>
                <w:i/>
                <w:sz w:val="24"/>
              </w:rPr>
              <w:t>VaR</w:t>
            </w:r>
            <w:proofErr w:type="spellEnd"/>
            <w:r>
              <w:rPr>
                <w:rFonts w:ascii="Times New Roman" w:hAnsi="Times New Roman"/>
                <w:b/>
                <w:i/>
                <w:sz w:val="24"/>
              </w:rPr>
              <w:t xml:space="preserve"> (10 dana 99 %)</w:t>
            </w:r>
          </w:p>
          <w:p w14:paraId="7FE8651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Vrijednost adherentna riziku u skladu s člankom 365. stavkom 1. CRR-a.</w:t>
            </w:r>
          </w:p>
          <w:p w14:paraId="117A294D"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Iznosi ne uključuju dodatne kapitalne zahtjeve prema procjeni nadzornog tijela (povezane primjerice s multiplikatorom).</w:t>
            </w:r>
          </w:p>
        </w:tc>
      </w:tr>
      <w:tr w:rsidR="00203C1C" w:rsidRPr="007F4CC8" w14:paraId="1B5D4B34" w14:textId="77777777" w:rsidTr="00155C96">
        <w:tc>
          <w:tcPr>
            <w:tcW w:w="1344" w:type="dxa"/>
            <w:tcBorders>
              <w:top w:val="single" w:sz="4" w:space="0" w:color="auto"/>
              <w:left w:val="single" w:sz="4" w:space="0" w:color="auto"/>
              <w:bottom w:val="single" w:sz="4" w:space="0" w:color="auto"/>
              <w:right w:val="single" w:sz="4" w:space="0" w:color="auto"/>
            </w:tcBorders>
          </w:tcPr>
          <w:p w14:paraId="0CCA6036" w14:textId="1A5EEDF5"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od 1 do 4</w:t>
            </w:r>
          </w:p>
        </w:tc>
        <w:tc>
          <w:tcPr>
            <w:tcW w:w="7070" w:type="dxa"/>
            <w:tcBorders>
              <w:top w:val="single" w:sz="4" w:space="0" w:color="auto"/>
              <w:left w:val="single" w:sz="4" w:space="0" w:color="auto"/>
              <w:bottom w:val="single" w:sz="4" w:space="0" w:color="auto"/>
              <w:right w:val="single" w:sz="4" w:space="0" w:color="auto"/>
            </w:tcBorders>
          </w:tcPr>
          <w:p w14:paraId="4AD9AA0B"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Najviša/najniža/srednja dnevna mjera vrijednosti adherentnih riziku tijekom razdoblja i dnevna mjera vrijednosti adherentnih riziku na kraju razdoblja.</w:t>
            </w:r>
          </w:p>
        </w:tc>
      </w:tr>
      <w:tr w:rsidR="00203C1C" w:rsidRPr="007F4CC8" w14:paraId="1E6DB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651AD03F"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50B3F03B" w14:textId="77777777" w:rsidR="00203C1C" w:rsidRPr="007F4CC8" w:rsidRDefault="00203C1C" w:rsidP="00155C96">
            <w:pPr>
              <w:spacing w:after="240"/>
              <w:jc w:val="both"/>
              <w:rPr>
                <w:rFonts w:ascii="Times New Roman" w:hAnsi="Times New Roman" w:cs="Times New Roman"/>
                <w:b/>
                <w:i/>
                <w:sz w:val="24"/>
              </w:rPr>
            </w:pPr>
            <w:proofErr w:type="spellStart"/>
            <w:r>
              <w:rPr>
                <w:rFonts w:ascii="Times New Roman" w:hAnsi="Times New Roman"/>
                <w:b/>
                <w:i/>
                <w:sz w:val="24"/>
              </w:rPr>
              <w:t>SVaR</w:t>
            </w:r>
            <w:proofErr w:type="spellEnd"/>
            <w:r>
              <w:rPr>
                <w:rFonts w:ascii="Times New Roman" w:hAnsi="Times New Roman"/>
                <w:b/>
                <w:i/>
                <w:sz w:val="24"/>
              </w:rPr>
              <w:t xml:space="preserve"> (10 dana 99 %)</w:t>
            </w:r>
          </w:p>
          <w:p w14:paraId="2213DE21"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Vrijednost adherentna riziku u stresnim uvjetima u skladu s člankom 365. stavkom 2. CRR-a.</w:t>
            </w:r>
          </w:p>
          <w:p w14:paraId="6F3D518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Iznosi ne uključuju dodatne kapitalne zahtjeve prema procjeni nadzornog tijela (multiplikator).</w:t>
            </w:r>
          </w:p>
        </w:tc>
      </w:tr>
      <w:tr w:rsidR="00203C1C" w:rsidRPr="007F4CC8" w14:paraId="74465AC7" w14:textId="77777777" w:rsidTr="00155C96">
        <w:tc>
          <w:tcPr>
            <w:tcW w:w="1344" w:type="dxa"/>
            <w:tcBorders>
              <w:top w:val="single" w:sz="4" w:space="0" w:color="auto"/>
              <w:left w:val="single" w:sz="4" w:space="0" w:color="auto"/>
              <w:bottom w:val="single" w:sz="4" w:space="0" w:color="auto"/>
              <w:right w:val="single" w:sz="4" w:space="0" w:color="auto"/>
            </w:tcBorders>
          </w:tcPr>
          <w:p w14:paraId="72BC2986" w14:textId="0075801C"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od 5 do 8</w:t>
            </w:r>
          </w:p>
        </w:tc>
        <w:tc>
          <w:tcPr>
            <w:tcW w:w="7070" w:type="dxa"/>
            <w:tcBorders>
              <w:top w:val="single" w:sz="4" w:space="0" w:color="auto"/>
              <w:left w:val="single" w:sz="4" w:space="0" w:color="auto"/>
              <w:bottom w:val="single" w:sz="4" w:space="0" w:color="auto"/>
              <w:right w:val="single" w:sz="4" w:space="0" w:color="auto"/>
            </w:tcBorders>
          </w:tcPr>
          <w:p w14:paraId="3791ED3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Najviša/najniža/srednja dnevna mjera vrijednosti adherentnih riziku u stresnim uvjetima tijekom razdoblja i dnevna mjera vrijednosti adherentnih riziku na kraju razdoblja.</w:t>
            </w:r>
          </w:p>
        </w:tc>
      </w:tr>
      <w:tr w:rsidR="00203C1C" w:rsidRPr="007F4CC8" w14:paraId="75385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4A15718A"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3B18EAE"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IRC (99,9 %)</w:t>
            </w:r>
          </w:p>
          <w:p w14:paraId="3DBB70FE"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Vrijednost dodatnog rizika statusa neispunjavanja obveza i migracijskog rizika u skladu s dijelom trećim glavom IV. poglavljem 5. odjeljkom 3. CRR-a.</w:t>
            </w:r>
          </w:p>
          <w:p w14:paraId="5AEA9A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Iznosi ne uključuju dodatne kapitalne zahtjeve prema procjeni nadzornog tijela (multiplikator).</w:t>
            </w:r>
          </w:p>
        </w:tc>
      </w:tr>
      <w:tr w:rsidR="00203C1C" w:rsidRPr="007F4CC8" w14:paraId="6FC5B775" w14:textId="77777777" w:rsidTr="00155C96">
        <w:tc>
          <w:tcPr>
            <w:tcW w:w="1344" w:type="dxa"/>
            <w:tcBorders>
              <w:top w:val="single" w:sz="4" w:space="0" w:color="auto"/>
              <w:left w:val="single" w:sz="4" w:space="0" w:color="auto"/>
              <w:bottom w:val="single" w:sz="4" w:space="0" w:color="auto"/>
              <w:right w:val="single" w:sz="4" w:space="0" w:color="auto"/>
            </w:tcBorders>
          </w:tcPr>
          <w:p w14:paraId="0E1871FE" w14:textId="0A1C9EBF"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od 9 do 12</w:t>
            </w:r>
          </w:p>
        </w:tc>
        <w:tc>
          <w:tcPr>
            <w:tcW w:w="7070" w:type="dxa"/>
            <w:tcBorders>
              <w:top w:val="single" w:sz="4" w:space="0" w:color="auto"/>
              <w:left w:val="single" w:sz="4" w:space="0" w:color="auto"/>
              <w:bottom w:val="single" w:sz="4" w:space="0" w:color="auto"/>
              <w:right w:val="single" w:sz="4" w:space="0" w:color="auto"/>
            </w:tcBorders>
          </w:tcPr>
          <w:p w14:paraId="5AD9C775"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Najviša/najniža/srednja vrijednost mjera IRC-a tijekom razdoblja i dnevnih mjera vrijednosti adherentnih riziku na kraju razdoblja.</w:t>
            </w:r>
          </w:p>
        </w:tc>
      </w:tr>
      <w:tr w:rsidR="00203C1C" w:rsidRPr="007F4CC8" w14:paraId="6D8D383F"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0F1BE92F"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CCD7648"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Sveobuhvatna mjera rizika (99,9 %)</w:t>
            </w:r>
          </w:p>
          <w:p w14:paraId="313F89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Vrijednost korelacijskog portfelja namijenjenog trgovanju koja se izračunava u skladu s dijelom trećim glavom IV. poglavljem 5. odjeljkom 5. CRR-a.</w:t>
            </w:r>
          </w:p>
        </w:tc>
      </w:tr>
      <w:tr w:rsidR="00203C1C" w:rsidRPr="007F4CC8" w14:paraId="2755C0E5" w14:textId="77777777" w:rsidTr="00155C96">
        <w:tc>
          <w:tcPr>
            <w:tcW w:w="1344" w:type="dxa"/>
            <w:tcBorders>
              <w:top w:val="single" w:sz="4" w:space="0" w:color="auto"/>
              <w:left w:val="single" w:sz="4" w:space="0" w:color="auto"/>
              <w:bottom w:val="single" w:sz="4" w:space="0" w:color="auto"/>
              <w:right w:val="single" w:sz="4" w:space="0" w:color="auto"/>
            </w:tcBorders>
          </w:tcPr>
          <w:p w14:paraId="5DB3A80B" w14:textId="2DC4E928"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od 13 do 16</w:t>
            </w:r>
          </w:p>
        </w:tc>
        <w:tc>
          <w:tcPr>
            <w:tcW w:w="7070" w:type="dxa"/>
            <w:tcBorders>
              <w:top w:val="single" w:sz="4" w:space="0" w:color="auto"/>
              <w:left w:val="single" w:sz="4" w:space="0" w:color="auto"/>
              <w:bottom w:val="single" w:sz="4" w:space="0" w:color="auto"/>
              <w:right w:val="single" w:sz="4" w:space="0" w:color="auto"/>
            </w:tcBorders>
          </w:tcPr>
          <w:p w14:paraId="5042A236"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Najviša/najniža/srednja vrijednost mjera korelacijskih portfelja namijenjenih trgovanju tijekom razdoblja i dnevnih mjera vrijednosti adherentnih riziku na kraju razdoblja.</w:t>
            </w:r>
          </w:p>
        </w:tc>
      </w:tr>
      <w:tr w:rsidR="00203C1C" w:rsidRPr="007F4CC8" w14:paraId="7E34704B"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D5CB6A"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Slovna oznaka stupca</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7E95A2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Objašnjenje</w:t>
            </w:r>
          </w:p>
        </w:tc>
      </w:tr>
      <w:tr w:rsidR="00203C1C" w:rsidRPr="007F4CC8" w14:paraId="5DE3E0A2" w14:textId="77777777" w:rsidTr="00155C96">
        <w:tc>
          <w:tcPr>
            <w:tcW w:w="1344" w:type="dxa"/>
            <w:tcBorders>
              <w:top w:val="single" w:sz="4" w:space="0" w:color="auto"/>
              <w:left w:val="single" w:sz="4" w:space="0" w:color="auto"/>
              <w:bottom w:val="single" w:sz="4" w:space="0" w:color="auto"/>
              <w:right w:val="single" w:sz="4" w:space="0" w:color="auto"/>
            </w:tcBorders>
          </w:tcPr>
          <w:p w14:paraId="3CC4DD31" w14:textId="18A0427D" w:rsidR="00203C1C" w:rsidRPr="007F4CC8" w:rsidRDefault="00203C1C" w:rsidP="00DB1F94">
            <w:pPr>
              <w:spacing w:after="240"/>
              <w:jc w:val="center"/>
              <w:rPr>
                <w:rFonts w:ascii="Times New Roman" w:hAnsi="Times New Roman" w:cs="Times New Roman"/>
                <w:b/>
                <w:sz w:val="24"/>
              </w:rPr>
            </w:pPr>
            <w:r>
              <w:rPr>
                <w:rFonts w:ascii="Times New Roman" w:hAnsi="Times New Roman"/>
                <w:sz w:val="24"/>
              </w:rPr>
              <w:lastRenderedPageBreak/>
              <w:t>a</w:t>
            </w:r>
          </w:p>
        </w:tc>
        <w:tc>
          <w:tcPr>
            <w:tcW w:w="7070" w:type="dxa"/>
            <w:tcBorders>
              <w:top w:val="single" w:sz="4" w:space="0" w:color="auto"/>
              <w:left w:val="single" w:sz="4" w:space="0" w:color="auto"/>
              <w:bottom w:val="single" w:sz="4" w:space="0" w:color="auto"/>
              <w:right w:val="single" w:sz="4" w:space="0" w:color="auto"/>
            </w:tcBorders>
          </w:tcPr>
          <w:p w14:paraId="676662A9" w14:textId="465461B4" w:rsidR="00203C1C" w:rsidRPr="007F4CC8" w:rsidRDefault="00203C1C" w:rsidP="00155C96">
            <w:pPr>
              <w:spacing w:after="240"/>
              <w:rPr>
                <w:rFonts w:ascii="Times New Roman" w:hAnsi="Times New Roman" w:cs="Times New Roman"/>
                <w:sz w:val="24"/>
              </w:rPr>
            </w:pPr>
            <w:r>
              <w:rPr>
                <w:rFonts w:ascii="Times New Roman" w:hAnsi="Times New Roman"/>
                <w:sz w:val="24"/>
              </w:rPr>
              <w:t>Najviše/najniže/srednje vrijednosti tijekom razdoblja objave podataka i na kraju razdoblja koje odgovaraju redcima od 1. do 16. ovog obrasca.</w:t>
            </w:r>
          </w:p>
        </w:tc>
      </w:tr>
    </w:tbl>
    <w:p w14:paraId="0A2D8EA1" w14:textId="77777777" w:rsidR="00203C1C" w:rsidRPr="006944D5" w:rsidRDefault="00203C1C" w:rsidP="00203C1C">
      <w:pPr>
        <w:pStyle w:val="Titlelevel2"/>
        <w:spacing w:before="0"/>
        <w:rPr>
          <w:rFonts w:ascii="Times New Roman" w:hAnsi="Times New Roman" w:cs="Times New Roman"/>
          <w:b/>
          <w:color w:val="auto"/>
          <w:sz w:val="24"/>
        </w:rPr>
      </w:pPr>
    </w:p>
    <w:p w14:paraId="10C57FEC" w14:textId="3932CB39" w:rsidR="00203C1C" w:rsidRPr="007F4CC8" w:rsidRDefault="00203C1C" w:rsidP="00203C1C">
      <w:pPr>
        <w:pStyle w:val="Titlelevel2"/>
        <w:spacing w:before="0"/>
        <w:rPr>
          <w:rFonts w:ascii="Times New Roman" w:hAnsi="Times New Roman" w:cs="Times New Roman"/>
          <w:b/>
          <w:color w:val="auto"/>
          <w:sz w:val="24"/>
        </w:rPr>
      </w:pPr>
      <w:r>
        <w:rPr>
          <w:rFonts w:ascii="Times New Roman" w:hAnsi="Times New Roman"/>
          <w:b/>
          <w:color w:val="auto"/>
          <w:sz w:val="24"/>
        </w:rPr>
        <w:t>Obrazac EU MR4 – Usporedba procjena vrijednosti adherentnih riziku (</w:t>
      </w:r>
      <w:proofErr w:type="spellStart"/>
      <w:r>
        <w:rPr>
          <w:rFonts w:ascii="Times New Roman" w:hAnsi="Times New Roman"/>
          <w:b/>
          <w:color w:val="auto"/>
          <w:sz w:val="24"/>
        </w:rPr>
        <w:t>VaR</w:t>
      </w:r>
      <w:proofErr w:type="spellEnd"/>
      <w:r>
        <w:rPr>
          <w:rFonts w:ascii="Times New Roman" w:hAnsi="Times New Roman"/>
          <w:b/>
          <w:color w:val="auto"/>
          <w:sz w:val="24"/>
        </w:rPr>
        <w:t xml:space="preserve">) s dobicima/gubicima Fleksibilan obrazac </w:t>
      </w:r>
    </w:p>
    <w:p w14:paraId="03C93484" w14:textId="77777777" w:rsidR="00203C1C" w:rsidRPr="007F4CC8" w:rsidRDefault="00203C1C" w:rsidP="00203C1C">
      <w:pPr>
        <w:pStyle w:val="Titlelevel2"/>
        <w:numPr>
          <w:ilvl w:val="0"/>
          <w:numId w:val="60"/>
        </w:numPr>
        <w:spacing w:before="0"/>
        <w:jc w:val="both"/>
        <w:rPr>
          <w:rFonts w:ascii="Times New Roman" w:hAnsi="Times New Roman" w:cs="Times New Roman"/>
          <w:color w:val="auto"/>
          <w:sz w:val="24"/>
        </w:rPr>
      </w:pPr>
      <w:r>
        <w:rPr>
          <w:rFonts w:ascii="Times New Roman" w:hAnsi="Times New Roman"/>
          <w:color w:val="auto"/>
          <w:sz w:val="24"/>
        </w:rPr>
        <w:t>U pogledu informacija iz članka 455. točke (g) CRR-a institucije objavljuju tablicu koja se nalazi u Prilogu XXIX ovoj Provedbenoj uredbi, uključujući informacije navedene u ovoj tablici.</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5BE10D6"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8F04CC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Pravna osnova i upute</w:t>
            </w:r>
          </w:p>
        </w:tc>
      </w:tr>
      <w:tr w:rsidR="00203C1C" w:rsidRPr="007F4CC8" w14:paraId="7545FE9F" w14:textId="77777777" w:rsidTr="00155C96">
        <w:tc>
          <w:tcPr>
            <w:tcW w:w="1172" w:type="dxa"/>
            <w:tcBorders>
              <w:top w:val="single" w:sz="4" w:space="0" w:color="auto"/>
              <w:left w:val="single" w:sz="4" w:space="0" w:color="auto"/>
              <w:bottom w:val="single" w:sz="4" w:space="0" w:color="auto"/>
              <w:right w:val="nil"/>
            </w:tcBorders>
            <w:shd w:val="clear" w:color="auto" w:fill="BFBFBF" w:themeFill="background1" w:themeFillShade="BF"/>
          </w:tcPr>
          <w:p w14:paraId="3798B177"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shd w:val="clear" w:color="auto" w:fill="BFBFBF" w:themeFill="background1" w:themeFillShade="BF"/>
            <w:hideMark/>
          </w:tcPr>
          <w:p w14:paraId="77DD0642"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Objašnjenje</w:t>
            </w:r>
          </w:p>
        </w:tc>
      </w:tr>
      <w:tr w:rsidR="00203C1C" w:rsidRPr="007F4CC8" w14:paraId="026B753C" w14:textId="77777777" w:rsidTr="00155C96">
        <w:tc>
          <w:tcPr>
            <w:tcW w:w="1172" w:type="dxa"/>
            <w:tcBorders>
              <w:top w:val="single" w:sz="4" w:space="0" w:color="auto"/>
              <w:left w:val="single" w:sz="4" w:space="0" w:color="auto"/>
              <w:bottom w:val="single" w:sz="4" w:space="0" w:color="auto"/>
              <w:right w:val="single" w:sz="4" w:space="0" w:color="auto"/>
            </w:tcBorders>
          </w:tcPr>
          <w:p w14:paraId="1946024A"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DD29358" w14:textId="6CAB1D53" w:rsidR="00203C1C" w:rsidRPr="007F4CC8" w:rsidRDefault="00203C1C" w:rsidP="00A9116C">
            <w:pPr>
              <w:spacing w:after="240"/>
              <w:jc w:val="both"/>
              <w:rPr>
                <w:rFonts w:ascii="Times New Roman" w:hAnsi="Times New Roman" w:cs="Times New Roman"/>
                <w:sz w:val="24"/>
              </w:rPr>
            </w:pPr>
            <w:r>
              <w:rPr>
                <w:rFonts w:ascii="Times New Roman" w:hAnsi="Times New Roman"/>
                <w:sz w:val="24"/>
              </w:rPr>
              <w:t>Informacije iz članka 455. točke (g) CRR-a uključuju vrijednost mjere rizika upotrijebljene u regulatorne svrhe u skladu s člankom 365. stavkom 1. CRR-a, kalibrirane na razdoblje jednodnevnog držanja radi usporedbe s razinom povjerenja od 99 % s ishodima trgovanja institucije.</w:t>
            </w:r>
          </w:p>
        </w:tc>
      </w:tr>
      <w:tr w:rsidR="00203C1C" w:rsidRPr="007F4CC8" w14:paraId="19A63A73" w14:textId="77777777" w:rsidTr="00155C96">
        <w:tc>
          <w:tcPr>
            <w:tcW w:w="1172" w:type="dxa"/>
            <w:tcBorders>
              <w:top w:val="single" w:sz="4" w:space="0" w:color="auto"/>
              <w:left w:val="single" w:sz="4" w:space="0" w:color="auto"/>
              <w:bottom w:val="single" w:sz="4" w:space="0" w:color="auto"/>
              <w:right w:val="single" w:sz="4" w:space="0" w:color="auto"/>
            </w:tcBorders>
          </w:tcPr>
          <w:p w14:paraId="6F7D1F3D"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E2459F4"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Institucije navode analizu iznimaka (iznimaka od retroaktivnog ispitivanja u skladu s člankom 366. CRR-a) u rezultatima retroaktivnog ispitivanja, uz navođenje datuma i odgovarajućeg viška (</w:t>
            </w:r>
            <w:proofErr w:type="spellStart"/>
            <w:r>
              <w:rPr>
                <w:rFonts w:ascii="Times New Roman" w:hAnsi="Times New Roman"/>
              </w:rPr>
              <w:t>VaR</w:t>
            </w:r>
            <w:proofErr w:type="spellEnd"/>
            <w:r>
              <w:rPr>
                <w:rFonts w:ascii="Times New Roman" w:hAnsi="Times New Roman"/>
              </w:rPr>
              <w:t xml:space="preserve">-dobit i gubici). U analizama treba barem odrediti glavne razloge iznimki. </w:t>
            </w:r>
          </w:p>
          <w:p w14:paraId="439BBAAF"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 xml:space="preserve">Institucije objavljuju slične usporedbe stvarne i hipotetske dobiti i gubitaka (tj. na temelju hipotetskih promjena u vrijednostima portfelja koje bi nastale da su pozicije na kraju dana ostale nepromijenjene) u skladu s člankom 366. CRR-a. </w:t>
            </w:r>
          </w:p>
          <w:p w14:paraId="4855ABA2" w14:textId="7B90EE43" w:rsidR="00203C1C" w:rsidRPr="007F4CC8" w:rsidRDefault="00203C1C" w:rsidP="00830C7A">
            <w:pPr>
              <w:spacing w:after="240"/>
              <w:jc w:val="both"/>
              <w:rPr>
                <w:rFonts w:ascii="Times New Roman" w:hAnsi="Times New Roman" w:cs="Times New Roman"/>
                <w:b/>
                <w:sz w:val="24"/>
              </w:rPr>
            </w:pPr>
            <w:r>
              <w:rPr>
                <w:rFonts w:ascii="Times New Roman" w:hAnsi="Times New Roman"/>
                <w:sz w:val="24"/>
              </w:rPr>
              <w:t xml:space="preserve">Institucije te informacije dopunjuju informacijama o stvarnim dobicima/gubicima, a osobito objašnjenjem uključuju li rezerve te, ako ne uključuju, kako su rezerve integrirane u postupak retroaktivnog testiranja. </w:t>
            </w:r>
          </w:p>
        </w:tc>
      </w:tr>
    </w:tbl>
    <w:p w14:paraId="191D0407" w14:textId="77777777" w:rsidR="00203C1C" w:rsidRPr="006944D5" w:rsidRDefault="00203C1C" w:rsidP="00203C1C">
      <w:pPr>
        <w:pStyle w:val="Titlelevel2"/>
        <w:spacing w:before="0"/>
        <w:rPr>
          <w:rFonts w:ascii="Times New Roman" w:hAnsi="Times New Roman" w:cs="Times New Roman"/>
          <w:b/>
          <w:color w:val="auto"/>
          <w:sz w:val="22"/>
          <w:szCs w:val="22"/>
        </w:rPr>
      </w:pPr>
    </w:p>
    <w:p w14:paraId="09304781" w14:textId="77777777" w:rsidR="00203C1C" w:rsidRPr="007F4CC8" w:rsidRDefault="00203C1C" w:rsidP="00203C1C">
      <w:pPr>
        <w:spacing w:after="240"/>
      </w:pPr>
    </w:p>
    <w:p w14:paraId="05B93B34" w14:textId="77777777" w:rsidR="003D6F47" w:rsidRPr="007F4CC8" w:rsidRDefault="00FA02BC">
      <w:pPr>
        <w:rPr>
          <w:rFonts w:ascii="Times New Roman" w:hAnsi="Times New Roman" w:cs="Times New Roman"/>
          <w:b/>
          <w:sz w:val="24"/>
        </w:rPr>
        <w:sectPr w:rsidR="003D6F47" w:rsidRPr="007F4CC8" w:rsidSect="00155C96">
          <w:pgSz w:w="11900" w:h="16840"/>
          <w:pgMar w:top="2268" w:right="1418" w:bottom="1134" w:left="1701" w:header="709" w:footer="709" w:gutter="0"/>
          <w:pgNumType w:start="1" w:chapStyle="1"/>
          <w:cols w:space="708"/>
          <w:docGrid w:linePitch="299"/>
        </w:sectPr>
      </w:pPr>
      <w:r>
        <w:br w:type="page"/>
      </w:r>
    </w:p>
    <w:p w14:paraId="04365699" w14:textId="77777777" w:rsidR="00FA02BC" w:rsidRPr="007F4CC8" w:rsidRDefault="00FA02BC" w:rsidP="00FA02BC">
      <w:pPr>
        <w:pStyle w:val="Annexetitre"/>
        <w:spacing w:before="0"/>
      </w:pPr>
      <w:r>
        <w:lastRenderedPageBreak/>
        <w:t>PRILOG XXXII. – Upute za obrasce o objavi operativnog rizika</w:t>
      </w:r>
    </w:p>
    <w:p w14:paraId="33A4E9C6" w14:textId="77777777" w:rsidR="00FA02BC" w:rsidRPr="007F4CC8" w:rsidRDefault="00FA02BC" w:rsidP="00FA02BC">
      <w:pPr>
        <w:spacing w:after="120"/>
        <w:jc w:val="both"/>
        <w:rPr>
          <w:rFonts w:ascii="Times New Roman" w:hAnsi="Times New Roman"/>
          <w:b/>
          <w:bCs/>
          <w:sz w:val="24"/>
        </w:rPr>
      </w:pPr>
    </w:p>
    <w:p w14:paraId="58A921A0" w14:textId="619D6D75" w:rsidR="00FA02BC" w:rsidRPr="007F4CC8" w:rsidRDefault="00D95507" w:rsidP="00FA02BC">
      <w:pPr>
        <w:spacing w:after="120"/>
        <w:rPr>
          <w:rFonts w:ascii="Times New Roman" w:hAnsi="Times New Roman"/>
          <w:bCs/>
          <w:sz w:val="24"/>
        </w:rPr>
      </w:pPr>
      <w:r>
        <w:rPr>
          <w:rFonts w:ascii="Times New Roman" w:hAnsi="Times New Roman"/>
          <w:b/>
          <w:bCs/>
          <w:sz w:val="24"/>
        </w:rPr>
        <w:t xml:space="preserve">Tablica EU ORA – Kvalitativne informacije o operativnom riziku. </w:t>
      </w:r>
      <w:r>
        <w:rPr>
          <w:rFonts w:ascii="Times New Roman" w:hAnsi="Times New Roman"/>
          <w:bCs/>
          <w:sz w:val="24"/>
        </w:rPr>
        <w:t>Fleksibilna tablica.</w:t>
      </w:r>
    </w:p>
    <w:p w14:paraId="6B7BE904" w14:textId="77777777" w:rsidR="00FA02BC" w:rsidRPr="007F4CC8" w:rsidRDefault="00FA02BC" w:rsidP="00FA02BC">
      <w:pPr>
        <w:numPr>
          <w:ilvl w:val="0"/>
          <w:numId w:val="19"/>
        </w:numPr>
        <w:spacing w:after="120"/>
        <w:jc w:val="both"/>
        <w:rPr>
          <w:rFonts w:ascii="Calibri" w:eastAsia="Times New Roman" w:hAnsi="Calibri" w:cs="Times New Roman"/>
          <w:color w:val="000000"/>
          <w:szCs w:val="22"/>
        </w:rPr>
      </w:pPr>
      <w:r>
        <w:rPr>
          <w:rFonts w:ascii="Times New Roman" w:hAnsi="Times New Roman"/>
          <w:bCs/>
          <w:sz w:val="24"/>
        </w:rPr>
        <w:t>Institucije objavljuju informacije iz ove tablice u skladu s člankom 435. stavkom 1., člancima 446. i 454. Uredbe (EU) br. 575/2013</w:t>
      </w:r>
      <w:r>
        <w:rPr>
          <w:rStyle w:val="FootnoteReference"/>
          <w:rFonts w:ascii="Times New Roman" w:hAnsi="Times New Roman"/>
          <w:bCs/>
          <w:sz w:val="24"/>
        </w:rPr>
        <w:footnoteReference w:id="49"/>
      </w:r>
      <w:r>
        <w:rPr>
          <w:rFonts w:ascii="Times New Roman" w:hAnsi="Times New Roman"/>
          <w:bCs/>
          <w:sz w:val="24"/>
        </w:rPr>
        <w:t xml:space="preserve"> („CRR”).</w:t>
      </w:r>
    </w:p>
    <w:p w14:paraId="0BA71BE4" w14:textId="417CCF22" w:rsidR="00FA02BC" w:rsidRPr="007F4CC8" w:rsidRDefault="00FA02BC" w:rsidP="00FA02BC">
      <w:pPr>
        <w:numPr>
          <w:ilvl w:val="0"/>
          <w:numId w:val="19"/>
        </w:numPr>
        <w:spacing w:after="120"/>
        <w:jc w:val="both"/>
        <w:rPr>
          <w:rFonts w:ascii="Times New Roman" w:hAnsi="Times New Roman"/>
          <w:bCs/>
          <w:sz w:val="24"/>
        </w:rPr>
      </w:pPr>
      <w:r>
        <w:rPr>
          <w:rFonts w:ascii="Times New Roman" w:hAnsi="Times New Roman"/>
          <w:bCs/>
          <w:sz w:val="24"/>
        </w:rPr>
        <w:t>Institucije prate upute u nastavku ovog Priloga za popunjavanje tablice o objavi operativnog rizika EU ORA iz Priloga XXXI. ovoj Provedbenoj uredbi.</w:t>
      </w:r>
    </w:p>
    <w:tbl>
      <w:tblPr>
        <w:tblW w:w="8926" w:type="dxa"/>
        <w:tblLook w:val="04A0" w:firstRow="1" w:lastRow="0" w:firstColumn="1" w:lastColumn="0" w:noHBand="0" w:noVBand="1"/>
      </w:tblPr>
      <w:tblGrid>
        <w:gridCol w:w="1555"/>
        <w:gridCol w:w="7371"/>
      </w:tblGrid>
      <w:tr w:rsidR="00FA02BC" w:rsidRPr="007F4CC8" w14:paraId="1D21B963" w14:textId="77777777" w:rsidTr="00155C96">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24E5C0CA"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Pravna osnova i upute</w:t>
            </w:r>
          </w:p>
        </w:tc>
      </w:tr>
      <w:tr w:rsidR="00FA02BC" w:rsidRPr="007F4CC8" w14:paraId="04ABE952" w14:textId="77777777" w:rsidTr="00155C96">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31D1C0B1"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Broj retka</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56DA02D7"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Objašnjenje</w:t>
            </w:r>
          </w:p>
        </w:tc>
      </w:tr>
      <w:tr w:rsidR="00FA02BC" w:rsidRPr="007F4CC8" w14:paraId="473FEF5E" w14:textId="77777777" w:rsidTr="00155C96">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2A1E4"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5A97D06"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Objava ciljeva i politika upravljanja rizicima</w:t>
            </w:r>
          </w:p>
          <w:p w14:paraId="222E16D0"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U skladu s člankom 435. stavkom 1. CRR-a, institucije objavljuju svoje ciljeve i politike upravljanja rizikom za operativni rizik, uključujući:</w:t>
            </w:r>
          </w:p>
          <w:p w14:paraId="5D2DF5EA" w14:textId="77777777" w:rsidR="00FA02BC" w:rsidRPr="007F4CC8" w:rsidRDefault="00FA02BC" w:rsidP="00155C96">
            <w:pPr>
              <w:spacing w:after="120"/>
              <w:rPr>
                <w:rFonts w:ascii="Times New Roman" w:eastAsia="Times New Roman" w:hAnsi="Times New Roman" w:cs="Times New Roman"/>
                <w:color w:val="000000"/>
                <w:sz w:val="24"/>
              </w:rPr>
            </w:pPr>
            <w:r>
              <w:rPr>
                <w:rFonts w:ascii="Times New Roman" w:hAnsi="Times New Roman"/>
                <w:color w:val="000000"/>
                <w:sz w:val="24"/>
              </w:rPr>
              <w:t>– strategije i postupke;</w:t>
            </w:r>
            <w:r>
              <w:t xml:space="preserve"> </w:t>
            </w:r>
            <w:r>
              <w:br/>
            </w:r>
            <w:r>
              <w:rPr>
                <w:rFonts w:ascii="Times New Roman" w:hAnsi="Times New Roman"/>
                <w:color w:val="000000"/>
                <w:sz w:val="24"/>
              </w:rPr>
              <w:t>– strukturu i ustroj funkcije upravljanja rizikom za operativni rizik;</w:t>
            </w:r>
            <w:r>
              <w:t xml:space="preserve"> </w:t>
            </w:r>
            <w:r>
              <w:br/>
            </w:r>
            <w:r>
              <w:rPr>
                <w:rFonts w:ascii="Times New Roman" w:hAnsi="Times New Roman"/>
                <w:color w:val="000000"/>
                <w:sz w:val="24"/>
              </w:rPr>
              <w:t>– mjerenja i kontrolu rizika;</w:t>
            </w:r>
            <w:r>
              <w:t xml:space="preserve"> </w:t>
            </w:r>
            <w:r>
              <w:br/>
            </w:r>
            <w:r>
              <w:rPr>
                <w:rFonts w:ascii="Times New Roman" w:hAnsi="Times New Roman"/>
                <w:color w:val="000000"/>
                <w:sz w:val="24"/>
              </w:rPr>
              <w:t>– izvješćivanje o operativnom riziku;</w:t>
            </w:r>
            <w:r>
              <w:t xml:space="preserve"> </w:t>
            </w:r>
            <w:r>
              <w:br/>
            </w:r>
            <w:r>
              <w:rPr>
                <w:rFonts w:ascii="Times New Roman" w:hAnsi="Times New Roman"/>
                <w:color w:val="000000"/>
                <w:sz w:val="24"/>
              </w:rPr>
              <w:t>– politike zaštite od i smanjenja operativnog rizika;</w:t>
            </w:r>
          </w:p>
        </w:tc>
      </w:tr>
      <w:tr w:rsidR="00FA02BC" w:rsidRPr="007F4CC8" w14:paraId="7603D15F" w14:textId="77777777" w:rsidTr="00155C96">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ACECF6C"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(b)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AF8601D"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Objava informacija o pristupima procjeni minimalnih kapitalnih zahtjeva</w:t>
            </w:r>
          </w:p>
          <w:p w14:paraId="558C185E"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Institucije navode opis metoda koje se primjenjuju za izračun kapitalnih zahtjeva za operativni rizik i metoda za utvrđivanje, procjenu i upravljanje operativnim rizikom.</w:t>
            </w:r>
          </w:p>
          <w:p w14:paraId="7A8FB446"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U slučaju djelomične primjene metodologija, institucije objavljuju opseg i obuhvat različitih primijenjenih metodologija.</w:t>
            </w:r>
          </w:p>
        </w:tc>
      </w:tr>
      <w:tr w:rsidR="00FA02BC" w:rsidRPr="007F4CC8" w14:paraId="15102D2F" w14:textId="77777777" w:rsidTr="00155C96">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B8411BE"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(c)</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4A94C9C"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Opis primijenjenog naprednog pristupa</w:t>
            </w:r>
            <w:r>
              <w:rPr>
                <w:rFonts w:ascii="Times New Roman" w:hAnsi="Times New Roman"/>
                <w:color w:val="000000"/>
                <w:sz w:val="24"/>
              </w:rPr>
              <w:t xml:space="preserve"> (ako je primjenjivo)</w:t>
            </w:r>
          </w:p>
          <w:p w14:paraId="4DECEB6A"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Institucije koje objavljuju informacije o operativnom riziku u skladu s člankom 312. stavkom 2. CRR-a objavljuju opis primijenjene metodologije, uključujući opis standarda o eksternim i internim podacima iz članka 322. stavaka 3. i 4. CRR-a.</w:t>
            </w:r>
          </w:p>
        </w:tc>
      </w:tr>
      <w:tr w:rsidR="00FA02BC" w:rsidRPr="007F4CC8" w14:paraId="66A3AB54" w14:textId="77777777" w:rsidTr="00155C96">
        <w:trPr>
          <w:trHeight w:val="1565"/>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8A2183A"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(d)</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D882CBA"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b/>
                <w:color w:val="000000"/>
                <w:sz w:val="24"/>
              </w:rPr>
              <w:t>Opis korištenja polica osiguranja u svrhu smanjenja rizika pri primjeni naprednog pristupa</w:t>
            </w:r>
            <w:r>
              <w:rPr>
                <w:rFonts w:ascii="Times New Roman" w:hAnsi="Times New Roman"/>
                <w:color w:val="000000"/>
                <w:sz w:val="24"/>
              </w:rPr>
              <w:t xml:space="preserve"> (ako je primjenjivo)</w:t>
            </w:r>
          </w:p>
          <w:p w14:paraId="1C28DC99"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Ako primjenjuju napredne pristupe u skladu s člankom 454. CRR-a institucije trebaju dostaviti informacije o korištenju polica osiguranja i drugih mehanizama za prijenos rizika za smanjenje operativnog rizika.</w:t>
            </w:r>
          </w:p>
        </w:tc>
      </w:tr>
    </w:tbl>
    <w:p w14:paraId="2FF095E0" w14:textId="77777777" w:rsidR="00FA02BC" w:rsidRPr="007F4CC8" w:rsidRDefault="00FA02BC" w:rsidP="00FA02BC">
      <w:pPr>
        <w:spacing w:after="120"/>
        <w:jc w:val="both"/>
        <w:rPr>
          <w:rFonts w:ascii="Times New Roman" w:hAnsi="Times New Roman" w:cs="Times New Roman"/>
          <w:b/>
          <w:bCs/>
          <w:sz w:val="24"/>
        </w:rPr>
      </w:pPr>
    </w:p>
    <w:p w14:paraId="3BB27C7B" w14:textId="6C47AB6D" w:rsidR="00FA02BC" w:rsidRPr="007F4CC8" w:rsidRDefault="00D95507" w:rsidP="00FA02BC">
      <w:pPr>
        <w:spacing w:after="120"/>
        <w:jc w:val="both"/>
        <w:rPr>
          <w:rFonts w:ascii="Times New Roman" w:hAnsi="Times New Roman" w:cs="Times New Roman"/>
          <w:bCs/>
          <w:sz w:val="24"/>
        </w:rPr>
      </w:pPr>
      <w:r>
        <w:rPr>
          <w:rFonts w:ascii="Times New Roman" w:hAnsi="Times New Roman"/>
          <w:b/>
          <w:bCs/>
          <w:sz w:val="24"/>
        </w:rPr>
        <w:lastRenderedPageBreak/>
        <w:t xml:space="preserve">Obrazac EU OR1 – Kapitalni zahtjevi za operativni rizik i iznosi izloženosti ponderirani rizikom. </w:t>
      </w:r>
      <w:r>
        <w:rPr>
          <w:rFonts w:ascii="Times New Roman" w:hAnsi="Times New Roman"/>
          <w:bCs/>
          <w:sz w:val="24"/>
        </w:rPr>
        <w:t>Fiksni obrazac</w:t>
      </w:r>
    </w:p>
    <w:p w14:paraId="495E46CF" w14:textId="77777777" w:rsidR="00FA02BC" w:rsidRPr="007F4CC8" w:rsidRDefault="00FA02BC" w:rsidP="00FA02BC">
      <w:pPr>
        <w:spacing w:after="120"/>
        <w:ind w:left="360"/>
        <w:jc w:val="both"/>
        <w:rPr>
          <w:rFonts w:ascii="Times New Roman" w:hAnsi="Times New Roman" w:cs="Times New Roman"/>
          <w:bCs/>
          <w:sz w:val="24"/>
        </w:rPr>
      </w:pPr>
    </w:p>
    <w:p w14:paraId="40CF6205" w14:textId="13368EE0" w:rsidR="00FA02BC" w:rsidRPr="007F4CC8" w:rsidRDefault="00FA02BC" w:rsidP="00FA02BC">
      <w:pPr>
        <w:numPr>
          <w:ilvl w:val="0"/>
          <w:numId w:val="19"/>
        </w:numPr>
        <w:spacing w:after="120"/>
        <w:jc w:val="both"/>
        <w:rPr>
          <w:rFonts w:ascii="Times New Roman" w:hAnsi="Times New Roman" w:cs="Times New Roman"/>
          <w:bCs/>
          <w:sz w:val="24"/>
        </w:rPr>
      </w:pPr>
      <w:r>
        <w:rPr>
          <w:rFonts w:ascii="Times New Roman" w:hAnsi="Times New Roman"/>
          <w:bCs/>
          <w:sz w:val="24"/>
        </w:rPr>
        <w:t xml:space="preserve">Institucije objavljuju informacije iz članaka 446. i 454. CRR-a prateći upute u nastavku ovog Priloga za popunjavanje obrasca o objavi operativnog rizika EU OR1 iz Priloga XXXI. ovoj Provedbenoj uredbi. U ovom se obrascu navode informacije o izračunu kapitalnih zahtjeva u skladu s dijelom trećim glavom III. člancima od 312. do 324. CRR-a (za operativni rizik u skladu s jednostavnim pristupom, standardiziranim pristupom, alternativnim standardiziranim pristupom i naprednim pristupima). </w:t>
      </w:r>
    </w:p>
    <w:p w14:paraId="6EF02617" w14:textId="77777777" w:rsidR="00FA02BC" w:rsidRPr="007F4CC8" w:rsidRDefault="00FA02BC" w:rsidP="00FA02BC">
      <w:pPr>
        <w:pStyle w:val="InstructionsText2"/>
        <w:numPr>
          <w:ilvl w:val="0"/>
          <w:numId w:val="19"/>
        </w:numPr>
        <w:spacing w:after="120"/>
      </w:pPr>
      <w:r>
        <w:t>Institucije koje primjenjuju jednostavni pristup, standardizirani pristup i/ili alternativni standardizirani pristup u opisu koji prilažu uz ovaj obrazac navode jesu li informacije na kraju financijske godine koje koriste za izračun kapitalnih zahtjeva: a) utemeljene na revidiranim podacima, ili: b) ako oni nisu dostupni, utemeljene na poslovnim procjenama. U tom drugom slučaju institucije navode sve iznimne okolnosti koje su dovele do promjene tih iznosa (npr. nedavna preuzimanja ili prodaje subjekata ili aktivnosti).</w:t>
      </w:r>
    </w:p>
    <w:p w14:paraId="0DF23D1D" w14:textId="77777777" w:rsidR="00FA02BC" w:rsidRPr="007F4CC8" w:rsidRDefault="00FA02BC" w:rsidP="00FA02BC">
      <w:pPr>
        <w:pStyle w:val="InstructionsText2"/>
        <w:numPr>
          <w:ilvl w:val="0"/>
          <w:numId w:val="0"/>
        </w:numPr>
        <w:spacing w:after="12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FA02BC" w:rsidRPr="007F4CC8" w14:paraId="47BFA90D" w14:textId="77777777" w:rsidTr="00155C96">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1F45A6" w14:textId="4114BEEC" w:rsidR="00FA02BC" w:rsidRPr="007F4CC8" w:rsidRDefault="00FA02BC" w:rsidP="00155C96">
            <w:pPr>
              <w:pStyle w:val="TableTitle"/>
              <w:spacing w:before="0" w:after="120"/>
              <w:jc w:val="left"/>
              <w:rPr>
                <w:rFonts w:ascii="Times New Roman" w:hAnsi="Times New Roman"/>
                <w:noProof w:val="0"/>
                <w:sz w:val="24"/>
                <w:szCs w:val="24"/>
              </w:rPr>
            </w:pPr>
            <w:r>
              <w:rPr>
                <w:rFonts w:ascii="Times New Roman" w:hAnsi="Times New Roman"/>
                <w:sz w:val="24"/>
                <w:szCs w:val="24"/>
              </w:rPr>
              <w:t>Upute za popunjavanje obrasca za objavu EU OR1</w:t>
            </w:r>
          </w:p>
        </w:tc>
      </w:tr>
      <w:tr w:rsidR="00FA02BC" w:rsidRPr="007F4CC8" w14:paraId="627D8F10" w14:textId="77777777" w:rsidTr="00155C96">
        <w:trPr>
          <w:trHeight w:val="238"/>
        </w:trPr>
        <w:tc>
          <w:tcPr>
            <w:tcW w:w="1271" w:type="dxa"/>
            <w:tcBorders>
              <w:bottom w:val="nil"/>
            </w:tcBorders>
            <w:shd w:val="clear" w:color="auto" w:fill="D9D9D9" w:themeFill="background1" w:themeFillShade="D9"/>
          </w:tcPr>
          <w:p w14:paraId="1EC536F5" w14:textId="77777777" w:rsidR="00FA02BC" w:rsidRPr="007F4CC8" w:rsidRDefault="00FA02B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Stupac</w:t>
            </w:r>
          </w:p>
        </w:tc>
        <w:tc>
          <w:tcPr>
            <w:tcW w:w="7768" w:type="dxa"/>
            <w:tcBorders>
              <w:bottom w:val="nil"/>
            </w:tcBorders>
            <w:shd w:val="clear" w:color="auto" w:fill="D9D9D9" w:themeFill="background1" w:themeFillShade="D9"/>
          </w:tcPr>
          <w:p w14:paraId="0EDA29AD" w14:textId="77777777" w:rsidR="00FA02BC" w:rsidRPr="007F4CC8" w:rsidRDefault="00FA02B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FA02BC" w:rsidRPr="007F4CC8" w14:paraId="436F41A0" w14:textId="77777777" w:rsidTr="00155C96">
        <w:trPr>
          <w:trHeight w:val="238"/>
        </w:trPr>
        <w:tc>
          <w:tcPr>
            <w:tcW w:w="1271" w:type="dxa"/>
            <w:shd w:val="clear" w:color="auto" w:fill="FFFFFF" w:themeFill="background1"/>
          </w:tcPr>
          <w:p w14:paraId="05E64204"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a, b, c</w:t>
            </w:r>
          </w:p>
        </w:tc>
        <w:tc>
          <w:tcPr>
            <w:tcW w:w="7768" w:type="dxa"/>
            <w:shd w:val="clear" w:color="auto" w:fill="FFFFFF" w:themeFill="background1"/>
          </w:tcPr>
          <w:p w14:paraId="6D7F47D3"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Relevantni pokazatelj</w:t>
            </w:r>
          </w:p>
          <w:p w14:paraId="46F36895"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 xml:space="preserve">Izraz „relevantni pokazatelj” odnosi se na „zbroj elemenata” na kraju financijske godine kako je definirano u tablici 1. (za institucije koje primjenjuju jednostavni pristup) iz članka 316. stavka 1. CRR-a. Za institucije koje primjenjuju standardizirani pristup ili alternativni standardizirani pristup „relevantni pokazatelj” na kraju financijske godine kako je definirano u člancima od 317. do 319. CRR-a. </w:t>
            </w:r>
          </w:p>
          <w:p w14:paraId="02FFEA95"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Institucije koje koriste relevantni pokazatelj za izračun kapitalnih zahtjeva za operativni rizik (jednostavni, standardizirani i alternativni standardizirani pristup) objavljuju relevantni pokazatelj za odgovarajuće godine u stupcima od a od c ovog obrasca. Osim toga, u slučaju kombinirane primjene različitih pristupa iz članka 314. CRR-a institucije objavljuju i relevantni pokazatelj za aktivnosti na koje se primjenjuju napredni pristupi. Banke koje primjenjuju napredne pristupe objavljuju i relevantni pokazatelj za aktivnosti na koje se primjenjuju napredni pristupi.</w:t>
            </w:r>
          </w:p>
          <w:p w14:paraId="2ED7106D"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Ako institucija ima podatke o dostupnom „relevantnom pokazatelju” za manje od 3 godine, dostupni povijesni podaci (revidirani podaci) raspoređuju se prema prioritetu u odgovarajuće stupce u obrascu. Ako su, na primjer, povijesni podaci dostupni samo za jednu godinu, objavljuju se u stupcu c ovog obrasca. Ako se čini razumnim, procjene budućeg poslovanja zatim se uključuju u stupac b (procjena sljedeće godine) i stupac a (procjena godine +2) ovog obrasca.</w:t>
            </w:r>
          </w:p>
          <w:p w14:paraId="0B9DE538"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Nadalje, ako povijesni podaci o „relevantnom pokazatelju” nisu dostupni, institucija se može koristiti procjenama budućeg poslovanja koje koristi za izračun kapitalnih zahtjeva.</w:t>
            </w:r>
          </w:p>
        </w:tc>
      </w:tr>
      <w:tr w:rsidR="00FA02BC" w:rsidRPr="007F4CC8" w14:paraId="2B6A7CB9" w14:textId="77777777" w:rsidTr="00155C96">
        <w:trPr>
          <w:trHeight w:val="238"/>
        </w:trPr>
        <w:tc>
          <w:tcPr>
            <w:tcW w:w="1271" w:type="dxa"/>
            <w:shd w:val="clear" w:color="auto" w:fill="FFFFFF" w:themeFill="background1"/>
          </w:tcPr>
          <w:p w14:paraId="1E357E61"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lastRenderedPageBreak/>
              <w:t>d</w:t>
            </w:r>
          </w:p>
        </w:tc>
        <w:tc>
          <w:tcPr>
            <w:tcW w:w="7768" w:type="dxa"/>
            <w:shd w:val="clear" w:color="auto" w:fill="FFFFFF" w:themeFill="background1"/>
          </w:tcPr>
          <w:p w14:paraId="053E0E42"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Kapitalni zahtjevi</w:t>
            </w:r>
          </w:p>
          <w:p w14:paraId="38B5A43D"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 xml:space="preserve">Kapitalni zahtjevi izračunavaju se u skladu s primijenjenim pristupom u skladu s člancima od 312. do 324. CRR-a. Dobiveni </w:t>
            </w:r>
            <w:proofErr w:type="spellStart"/>
            <w:r>
              <w:rPr>
                <w:rFonts w:ascii="Times New Roman" w:hAnsi="Times New Roman"/>
                <w:sz w:val="24"/>
              </w:rPr>
              <w:t>izbos</w:t>
            </w:r>
            <w:proofErr w:type="spellEnd"/>
            <w:r>
              <w:rPr>
                <w:rFonts w:ascii="Times New Roman" w:hAnsi="Times New Roman"/>
                <w:sz w:val="24"/>
              </w:rPr>
              <w:t xml:space="preserve"> objavljuje se u stupcu d ovog obrasca.</w:t>
            </w:r>
          </w:p>
        </w:tc>
      </w:tr>
      <w:tr w:rsidR="00FA02BC" w:rsidRPr="007F4CC8" w14:paraId="58A493E7" w14:textId="77777777" w:rsidTr="00155C96">
        <w:trPr>
          <w:trHeight w:val="238"/>
        </w:trPr>
        <w:tc>
          <w:tcPr>
            <w:tcW w:w="1271" w:type="dxa"/>
            <w:shd w:val="clear" w:color="auto" w:fill="FFFFFF" w:themeFill="background1"/>
          </w:tcPr>
          <w:p w14:paraId="2F3F8067"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e</w:t>
            </w:r>
          </w:p>
        </w:tc>
        <w:tc>
          <w:tcPr>
            <w:tcW w:w="7768" w:type="dxa"/>
            <w:shd w:val="clear" w:color="auto" w:fill="FFFFFF" w:themeFill="background1"/>
          </w:tcPr>
          <w:p w14:paraId="322DB5ED"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Iznos izloženosti rizicima</w:t>
            </w:r>
          </w:p>
          <w:p w14:paraId="1EA91C04" w14:textId="77777777" w:rsidR="00FA02BC" w:rsidRPr="007F4CC8" w:rsidRDefault="00FA02BC" w:rsidP="00155C96">
            <w:pPr>
              <w:spacing w:after="120"/>
              <w:jc w:val="both"/>
              <w:rPr>
                <w:rFonts w:ascii="Times New Roman" w:hAnsi="Times New Roman" w:cs="Times New Roman"/>
                <w:b/>
                <w:sz w:val="24"/>
              </w:rPr>
            </w:pPr>
            <w:r>
              <w:rPr>
                <w:rFonts w:ascii="Times New Roman" w:hAnsi="Times New Roman"/>
                <w:sz w:val="24"/>
              </w:rPr>
              <w:t>Članak 92. stavak 3. točka (e) i članak 92. stavak 4. CRR-a Kapitalni zahtjevi u stupcu d ovog obrasca pomnoženi s 12,5.</w:t>
            </w:r>
          </w:p>
        </w:tc>
      </w:tr>
      <w:tr w:rsidR="00FA02BC" w:rsidRPr="007F4CC8" w14:paraId="075851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AE593" w14:textId="77777777" w:rsidR="00FA02BC" w:rsidRPr="007F4CC8" w:rsidRDefault="00FA02B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Redak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D61E61" w14:textId="77777777" w:rsidR="00FA02BC" w:rsidRPr="007F4CC8" w:rsidRDefault="00FA02BC" w:rsidP="00155C96">
            <w:pPr>
              <w:spacing w:after="120"/>
              <w:rPr>
                <w:rFonts w:ascii="Times New Roman" w:hAnsi="Times New Roman" w:cs="Times New Roman"/>
                <w:b/>
                <w:sz w:val="24"/>
              </w:rPr>
            </w:pPr>
            <w:r>
              <w:rPr>
                <w:rFonts w:ascii="Times New Roman" w:hAnsi="Times New Roman"/>
                <w:b/>
                <w:sz w:val="24"/>
              </w:rPr>
              <w:t>Objašnjenje</w:t>
            </w:r>
          </w:p>
        </w:tc>
      </w:tr>
      <w:tr w:rsidR="00FA02BC" w:rsidRPr="007F4CC8" w14:paraId="03CAB7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231A7D7"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600C7A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Bankarske aktivnosti na koje se primjenjuje jednostavni pristup</w:t>
            </w:r>
          </w:p>
          <w:p w14:paraId="06F86F19"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U ovom se retku iskazuju iznosi koji odgovaraju aktivnostima na koje se primjenjuje jednostavni pristup za izračun kapitalnih zahtjeva za operativni rizik (članci 315. i 316. CRR-a).</w:t>
            </w:r>
          </w:p>
        </w:tc>
      </w:tr>
      <w:tr w:rsidR="00FA02BC" w:rsidRPr="007F4CC8" w14:paraId="3DBB720B"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2E4C953"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E0C3C08"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Bankarske aktivnosti na koje se primjenjuje standardizirani / alternativni standardizirani pristup</w:t>
            </w:r>
          </w:p>
          <w:p w14:paraId="6667F8AA"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U ovom retku navode se kapitalni zahtjevi koji se izračunavaju u skladu sa standardiziranim pristupom i alternativnim standardiziranim pristupom (članci od 317. do 320. CRR-a).</w:t>
            </w:r>
          </w:p>
        </w:tc>
      </w:tr>
      <w:tr w:rsidR="00FA02BC" w:rsidRPr="007F4CC8" w14:paraId="404A0F7E"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B12D321"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C3A8F99" w14:textId="77777777" w:rsidR="00FA02BC" w:rsidRPr="007F4CC8" w:rsidRDefault="00FA02BC" w:rsidP="00155C96">
            <w:pPr>
              <w:spacing w:after="120"/>
              <w:jc w:val="both"/>
              <w:rPr>
                <w:rStyle w:val="InstructionsTabelleberschrift"/>
                <w:rFonts w:ascii="Times New Roman" w:eastAsia="Times New Roman" w:hAnsi="Times New Roman"/>
                <w:bCs w:val="0"/>
                <w:sz w:val="24"/>
              </w:rPr>
            </w:pPr>
            <w:r>
              <w:rPr>
                <w:rStyle w:val="InstructionsTabelleberschrift"/>
                <w:rFonts w:ascii="Times New Roman" w:hAnsi="Times New Roman"/>
                <w:sz w:val="24"/>
              </w:rPr>
              <w:t>Predmet standardiziranog pristupa</w:t>
            </w:r>
          </w:p>
          <w:p w14:paraId="6DA3CF06"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U slučaju primjene standardiziranog pristupa, relevantni pokazatelj za svaku odnosnu godinu uključuje sve poslovne linije kako su definirane u tablici 2. koja je uvrštena u članak 317. CRR-a. </w:t>
            </w:r>
          </w:p>
        </w:tc>
      </w:tr>
      <w:tr w:rsidR="00FA02BC" w:rsidRPr="007F4CC8" w14:paraId="12AC78F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441276B"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2921B20" w14:textId="77777777" w:rsidR="00FA02BC" w:rsidRPr="007F4CC8" w:rsidRDefault="00FA02BC" w:rsidP="00155C96">
            <w:pPr>
              <w:spacing w:after="120"/>
              <w:jc w:val="both"/>
              <w:rPr>
                <w:rStyle w:val="InstructionsTabelleberschrift"/>
                <w:rFonts w:ascii="Times New Roman" w:eastAsia="Times New Roman" w:hAnsi="Times New Roman"/>
                <w:bCs w:val="0"/>
                <w:sz w:val="24"/>
              </w:rPr>
            </w:pPr>
            <w:r>
              <w:rPr>
                <w:rStyle w:val="InstructionsTabelleberschrift"/>
                <w:rFonts w:ascii="Times New Roman" w:hAnsi="Times New Roman"/>
                <w:sz w:val="24"/>
              </w:rPr>
              <w:t>Predmet alternativnog standardiziranog pristupa</w:t>
            </w:r>
          </w:p>
          <w:p w14:paraId="3A2759CA"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Institucije koje primjenjuju alternativni standardizirani pristup (članak 319. CRR-a) objavljuju relevantni pokazatelj za odnosne godine. </w:t>
            </w:r>
          </w:p>
        </w:tc>
      </w:tr>
      <w:tr w:rsidR="00FA02BC" w:rsidRPr="007F4CC8" w14:paraId="766E913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DA8AF3B"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B576A0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Bankarske aktivnosti na koje se primjenjuju napredni pristupi</w:t>
            </w:r>
          </w:p>
          <w:p w14:paraId="738BC1FE"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Objavljuju se relevantni podaci za institucije koje primjenjuju napredne pristupe (članak 312. stavak 2. i članci od 321. do 323. CRR-a). </w:t>
            </w:r>
          </w:p>
          <w:p w14:paraId="539E2E9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sz w:val="24"/>
              </w:rPr>
              <w:t>U slučaju kombinirane primjene različitih pristupa u skladu s člankom 314. CRR-a, objavljuje se i relevantni pokazatelj za aktivnosti na koje se primjenjuju napredni pristupi. Banke koje primjenjuju napredni pristup objavljuju i relevantni pokazatelj za aktivnosti na koje se primjenjuju napredni pristupi</w:t>
            </w:r>
            <w:r>
              <w:rPr>
                <w:rFonts w:ascii="Times New Roman" w:hAnsi="Times New Roman"/>
                <w:b/>
                <w:sz w:val="24"/>
              </w:rPr>
              <w:t>.</w:t>
            </w:r>
          </w:p>
        </w:tc>
      </w:tr>
    </w:tbl>
    <w:p w14:paraId="0AC547C5" w14:textId="77777777" w:rsidR="00FA02BC" w:rsidRPr="007F4CC8" w:rsidRDefault="00FA02BC" w:rsidP="00FA02BC">
      <w:pPr>
        <w:spacing w:after="120"/>
        <w:rPr>
          <w:rFonts w:ascii="Times New Roman" w:eastAsia="Times New Roman" w:hAnsi="Times New Roman" w:cs="Times New Roman"/>
          <w:b/>
          <w:color w:val="000000"/>
          <w:sz w:val="24"/>
          <w:lang w:eastAsia="en-GB"/>
        </w:rPr>
      </w:pPr>
    </w:p>
    <w:p w14:paraId="4D5EF5F5" w14:textId="77777777" w:rsidR="00FA02BC" w:rsidRPr="007F4CC8" w:rsidRDefault="00FA02BC" w:rsidP="00FA02BC">
      <w:pPr>
        <w:spacing w:after="120"/>
        <w:rPr>
          <w:rFonts w:ascii="Times New Roman" w:eastAsia="Times New Roman" w:hAnsi="Times New Roman" w:cs="Times New Roman"/>
          <w:b/>
          <w:color w:val="000000"/>
          <w:sz w:val="24"/>
          <w:lang w:eastAsia="en-GB"/>
        </w:rPr>
      </w:pPr>
    </w:p>
    <w:p w14:paraId="0046A23E" w14:textId="77777777" w:rsidR="003D6F47" w:rsidRPr="007F4CC8" w:rsidRDefault="003D6F47" w:rsidP="00FA02BC">
      <w:pPr>
        <w:spacing w:after="120"/>
        <w:jc w:val="both"/>
        <w:rPr>
          <w:rFonts w:ascii="Times New Roman" w:eastAsia="Times New Roman" w:hAnsi="Times New Roman" w:cs="Times New Roman"/>
          <w:color w:val="000000"/>
          <w:sz w:val="24"/>
          <w:lang w:eastAsia="en-GB"/>
        </w:rPr>
        <w:sectPr w:rsidR="003D6F47" w:rsidRPr="007F4CC8" w:rsidSect="00155C96">
          <w:pgSz w:w="11900" w:h="16840"/>
          <w:pgMar w:top="2268" w:right="1418" w:bottom="1134" w:left="1701" w:header="709" w:footer="709" w:gutter="0"/>
          <w:pgNumType w:start="1" w:chapStyle="1"/>
          <w:cols w:space="708"/>
          <w:docGrid w:linePitch="299"/>
        </w:sectPr>
      </w:pPr>
    </w:p>
    <w:p w14:paraId="7F17C8F9" w14:textId="5E01C06B" w:rsidR="009360C9" w:rsidRPr="007F4CC8" w:rsidRDefault="009360C9" w:rsidP="009360C9">
      <w:pPr>
        <w:pStyle w:val="Annexetitre"/>
        <w:spacing w:after="240"/>
        <w:rPr>
          <w:u w:val="none"/>
        </w:rPr>
      </w:pPr>
      <w:r>
        <w:rPr>
          <w:u w:val="none"/>
        </w:rPr>
        <w:lastRenderedPageBreak/>
        <w:t>PRILOG XXXIV. – Upute za objavu obrazaca za politiku primitaka</w:t>
      </w:r>
    </w:p>
    <w:p w14:paraId="4E85F73C" w14:textId="77777777" w:rsidR="009360C9" w:rsidRPr="006944D5" w:rsidRDefault="009360C9" w:rsidP="009360C9">
      <w:pPr>
        <w:pStyle w:val="Titlelevel2"/>
        <w:spacing w:before="120" w:after="120"/>
        <w:rPr>
          <w:rFonts w:ascii="Times New Roman" w:hAnsi="Times New Roman"/>
          <w:b/>
          <w:color w:val="auto"/>
          <w:sz w:val="22"/>
        </w:rPr>
      </w:pPr>
    </w:p>
    <w:p w14:paraId="046A9F87" w14:textId="0EE10F08" w:rsidR="009360C9" w:rsidRPr="00DD0C4D" w:rsidRDefault="00D95507"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Tablica EU REMA – Politika primitaka: </w:t>
      </w:r>
      <w:r>
        <w:rPr>
          <w:rFonts w:ascii="Times New Roman" w:hAnsi="Times New Roman"/>
          <w:color w:val="auto"/>
          <w:sz w:val="24"/>
        </w:rPr>
        <w:t>Fleksibilan format</w:t>
      </w:r>
    </w:p>
    <w:p w14:paraId="0976B2A5" w14:textId="20B83266"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Institucije objavljuju informacije iz članka 450. stavka 1. točaka (a), (b), (c), (d), (e), (f), (j) i (k) i članka 450. stavka 2. CRR-a</w:t>
      </w:r>
      <w:r>
        <w:rPr>
          <w:rStyle w:val="FootnoteReference"/>
          <w:rFonts w:ascii="Times New Roman" w:eastAsiaTheme="minorEastAsia" w:hAnsi="Times New Roman" w:cs="Times New Roman"/>
          <w:bCs w:val="0"/>
          <w:color w:val="auto"/>
          <w:sz w:val="24"/>
          <w:szCs w:val="24"/>
          <w:lang w:val="en-GB"/>
        </w:rPr>
        <w:footnoteReference w:id="50"/>
      </w:r>
      <w:r>
        <w:rPr>
          <w:rFonts w:ascii="Times New Roman" w:hAnsi="Times New Roman"/>
          <w:bCs w:val="0"/>
          <w:color w:val="auto"/>
          <w:sz w:val="24"/>
        </w:rPr>
        <w:t xml:space="preserve"> prateći upute u nastavku ovog Priloga za popunjavanje obrasca EU REMA iz Priloga XXXIII. ovoj Provedbenoj uredbi.</w:t>
      </w:r>
    </w:p>
    <w:p w14:paraId="29B02B0D"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Ova tablica ima fleksibilan format. Ako institucije primjenjuju različit format, dostavljaju informacije koje su usporedive s informacijama koje se traže u ovoj tablici, sa sličnom razinom detaljnosti i uključujući sve potrebne sadržajne informacije.</w:t>
      </w:r>
    </w:p>
    <w:p w14:paraId="667053A8"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Za potrebe ove tablice i obrazaca iz ovog Priloga, dodjela znači odobravanje varijabilnih primitaka za posebno razdoblje obračuna, neovisno od stvarnog trenutka isplate dodijeljenog iznosa.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6A345DD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64E3C" w14:textId="77777777" w:rsidR="009360C9" w:rsidRPr="007F4CC8" w:rsidRDefault="009360C9" w:rsidP="00155C96">
            <w:pPr>
              <w:rPr>
                <w:rFonts w:ascii="Times New Roman" w:hAnsi="Times New Roman" w:cs="Times New Roman"/>
                <w:b/>
                <w:sz w:val="24"/>
              </w:rPr>
            </w:pPr>
            <w:r>
              <w:rPr>
                <w:rFonts w:ascii="Times New Roman" w:hAnsi="Times New Roman"/>
                <w:b/>
                <w:sz w:val="24"/>
              </w:rPr>
              <w:t>Pravna osnova i upute</w:t>
            </w:r>
          </w:p>
        </w:tc>
      </w:tr>
      <w:tr w:rsidR="009360C9" w:rsidRPr="007F4CC8" w14:paraId="136CBE19" w14:textId="77777777" w:rsidTr="00155C96">
        <w:trPr>
          <w:trHeight w:val="238"/>
        </w:trPr>
        <w:tc>
          <w:tcPr>
            <w:tcW w:w="1384" w:type="dxa"/>
            <w:shd w:val="clear" w:color="auto" w:fill="D9D9D9" w:themeFill="background1" w:themeFillShade="D9"/>
          </w:tcPr>
          <w:p w14:paraId="75FFE4E1"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74FC704A"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9360C9" w:rsidRPr="007F4CC8" w14:paraId="6007FD9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DC57842" w14:textId="18FFB94C" w:rsidR="009360C9" w:rsidRPr="007F4CC8" w:rsidRDefault="00933038"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vAlign w:val="center"/>
          </w:tcPr>
          <w:p w14:paraId="2BA35824"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Informacije o tijelima koja nadziru primitke. Objave uključuju:</w:t>
            </w:r>
          </w:p>
          <w:p w14:paraId="34792097" w14:textId="77777777" w:rsidR="009360C9" w:rsidRPr="007F4CC8" w:rsidRDefault="009360C9"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naziv, sastav i mandat glavnog tijela (upravljačko tijelo i odbor za primitke ako je osnovan) koje nadzire politiku primitaka i broj sastanaka koje je to glavno tijelo održalo tijekom financijske godine;</w:t>
            </w:r>
          </w:p>
          <w:p w14:paraId="25E40D95" w14:textId="77777777" w:rsidR="009360C9" w:rsidRPr="007F4CC8" w:rsidRDefault="009360C9"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vanjske konzultante čiji su savjeti zatraženi, tijelo koje ih je angažiralo i u kojim područjima politike primitaka;</w:t>
            </w:r>
          </w:p>
          <w:p w14:paraId="38E9E6F8" w14:textId="77777777" w:rsidR="009360C9" w:rsidRPr="007F4CC8" w:rsidRDefault="009360C9"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opis opsega institucijine politike primitaka (npr. prema regijama, poslovnim linijama), uključujući opseg u kojem je primjenjiva na društva kćeri i podružnice u trećim zemljama;</w:t>
            </w:r>
          </w:p>
          <w:p w14:paraId="004E89C5" w14:textId="77777777" w:rsidR="009360C9" w:rsidRPr="007F4CC8" w:rsidRDefault="009360C9" w:rsidP="009360C9">
            <w:pPr>
              <w:pStyle w:val="ListParagraph"/>
              <w:numPr>
                <w:ilvl w:val="0"/>
                <w:numId w:val="63"/>
              </w:numPr>
              <w:spacing w:before="60" w:after="120"/>
              <w:jc w:val="both"/>
              <w:rPr>
                <w:rFonts w:ascii="Times New Roman" w:hAnsi="Times New Roman"/>
                <w:sz w:val="24"/>
              </w:rPr>
            </w:pPr>
            <w:r>
              <w:rPr>
                <w:rFonts w:ascii="Times New Roman" w:hAnsi="Times New Roman"/>
                <w:sz w:val="24"/>
                <w:szCs w:val="24"/>
              </w:rPr>
              <w:t>opis zaposlenika ili kategorija zaposlenika čije profesionalne aktivnosti imaju značajan utjecaj na profil rizičnosti institucija (identificirani zaposlenici).</w:t>
            </w:r>
          </w:p>
        </w:tc>
      </w:tr>
      <w:tr w:rsidR="009360C9" w:rsidRPr="007F4CC8" w14:paraId="75A08C3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D987E72" w14:textId="0B8E5939" w:rsidR="009360C9" w:rsidRPr="007F4CC8" w:rsidRDefault="00933038"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vAlign w:val="center"/>
          </w:tcPr>
          <w:p w14:paraId="4E37B58D"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Informacije o obliku i strukturi sustava primitaka za identificirane zaposlenike. Objave uključuju:</w:t>
            </w:r>
          </w:p>
          <w:p w14:paraId="4A3CCFC4"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pregled ključnih značajki i ciljeva politike primitaka, informacije o postupku odlučivanja koji se primjenjuje pri određivanju politike primitaka te ulozi relevantnih dionika (npr. sastanak dioničara);</w:t>
            </w:r>
          </w:p>
          <w:p w14:paraId="19FB8179"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 xml:space="preserve">informacije o kriterijima koji se primjenjuju za mjerenje uspješnosti te </w:t>
            </w:r>
            <w:r>
              <w:rPr>
                <w:rFonts w:ascii="Times New Roman" w:hAnsi="Times New Roman"/>
                <w:i/>
                <w:sz w:val="24"/>
                <w:szCs w:val="24"/>
              </w:rPr>
              <w:t xml:space="preserve">ex </w:t>
            </w:r>
            <w:proofErr w:type="spellStart"/>
            <w:r>
              <w:rPr>
                <w:rFonts w:ascii="Times New Roman" w:hAnsi="Times New Roman"/>
                <w:i/>
                <w:sz w:val="24"/>
                <w:szCs w:val="24"/>
              </w:rPr>
              <w:t>ante</w:t>
            </w:r>
            <w:proofErr w:type="spellEnd"/>
            <w:r>
              <w:rPr>
                <w:rFonts w:ascii="Times New Roman" w:hAnsi="Times New Roman"/>
                <w:sz w:val="24"/>
                <w:szCs w:val="24"/>
              </w:rPr>
              <w:t xml:space="preserve"> i </w:t>
            </w:r>
            <w:r>
              <w:rPr>
                <w:rFonts w:ascii="Times New Roman" w:hAnsi="Times New Roman"/>
                <w:i/>
                <w:sz w:val="24"/>
                <w:szCs w:val="24"/>
              </w:rPr>
              <w:t>ex post</w:t>
            </w:r>
            <w:r>
              <w:rPr>
                <w:rFonts w:ascii="Times New Roman" w:hAnsi="Times New Roman"/>
                <w:sz w:val="24"/>
                <w:szCs w:val="24"/>
              </w:rPr>
              <w:t xml:space="preserve"> prilagodbu rizicima;</w:t>
            </w:r>
          </w:p>
          <w:p w14:paraId="60A2CEAE"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 xml:space="preserve">informacije o tome je li upravljačko tijelo, ili odbor za primitke ako je osnovan, preispitalo politiku primitaka institucije tijekom protekle </w:t>
            </w:r>
            <w:r>
              <w:rPr>
                <w:rFonts w:ascii="Times New Roman" w:hAnsi="Times New Roman"/>
                <w:sz w:val="24"/>
                <w:szCs w:val="24"/>
              </w:rPr>
              <w:lastRenderedPageBreak/>
              <w:t>godine te, ako jest, pregled svih unesenih promjena, obrazloženje tih promjena i njihov utjecaj na primitke;</w:t>
            </w:r>
          </w:p>
          <w:p w14:paraId="60DFCD3D"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informacije o tome kako institucija osigurava isplatu primitaka zaposlenicima unutarnje kontrole neovisno o društvima koja nadziru;</w:t>
            </w:r>
          </w:p>
          <w:p w14:paraId="04D189CF"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politike i kriteriji primijenjeni na dodjelu zajamčenih varijabilnih primitaka i otpremnina.</w:t>
            </w:r>
          </w:p>
        </w:tc>
      </w:tr>
      <w:tr w:rsidR="009360C9" w:rsidRPr="007F4CC8" w14:paraId="04EEB98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B2FCE6F" w14:textId="319F4969" w:rsidR="009360C9" w:rsidRPr="007F4CC8" w:rsidRDefault="00933038" w:rsidP="006D005E">
            <w:pPr>
              <w:pStyle w:val="Applicationdirecte"/>
              <w:spacing w:before="0" w:after="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vAlign w:val="center"/>
          </w:tcPr>
          <w:p w14:paraId="640F317E"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 xml:space="preserve">Opis načina na koji se u postupcima primitaka vodi računa o postojećim i budućim rizicima. </w:t>
            </w:r>
          </w:p>
          <w:p w14:paraId="35EA9F5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Objave uključuju pregled ključnih rizika, njihovo mjerenje te kako te mjere utječu na primitke.</w:t>
            </w:r>
          </w:p>
        </w:tc>
      </w:tr>
      <w:tr w:rsidR="009360C9" w:rsidRPr="007F4CC8" w14:paraId="7443EAA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5500E03" w14:textId="535816AC" w:rsidR="009360C9" w:rsidRPr="007F4CC8" w:rsidRDefault="00933038"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vAlign w:val="center"/>
          </w:tcPr>
          <w:p w14:paraId="7B367C1A"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Omjere između fiksnih i varijabilnih primitaka određene u skladu s člankom 94. stavkom 1. točkom (g) Direktive (EU) 2013/36(„CRD”)</w:t>
            </w:r>
            <w:r>
              <w:rPr>
                <w:rStyle w:val="FootnoteReference"/>
                <w:rFonts w:ascii="Times New Roman" w:hAnsi="Times New Roman"/>
                <w:sz w:val="24"/>
              </w:rPr>
              <w:footnoteReference w:id="51"/>
            </w:r>
            <w:r>
              <w:rPr>
                <w:rFonts w:ascii="Times New Roman" w:hAnsi="Times New Roman"/>
                <w:sz w:val="24"/>
              </w:rPr>
              <w:t>.</w:t>
            </w:r>
          </w:p>
        </w:tc>
      </w:tr>
      <w:tr w:rsidR="009360C9" w:rsidRPr="007F4CC8" w14:paraId="7D3AAF9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C8EEB27" w14:textId="1ACA2A3D" w:rsidR="009360C9" w:rsidRPr="007F4CC8" w:rsidRDefault="00933038" w:rsidP="006D005E">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vAlign w:val="center"/>
          </w:tcPr>
          <w:p w14:paraId="41E01E32"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Opis načina na koji institucija nastoji povezati uspješnost u razdoblju njezina mjerenja s razinama primitaka.</w:t>
            </w:r>
          </w:p>
          <w:p w14:paraId="4DF334B6"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Objave uključuju:</w:t>
            </w:r>
          </w:p>
          <w:p w14:paraId="063A0E13"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pregled glavnih kriterija i pokazatelja uspješnosti za instituciju, poslovne linije i pojedince.</w:t>
            </w:r>
          </w:p>
          <w:p w14:paraId="7C3AAE37"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Pregled načina na koji su iznosi pojedinačnih varijabilnih primitaka povezani s uspješnošću institucije i pojedinaca.</w:t>
            </w:r>
          </w:p>
          <w:p w14:paraId="723A6079"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Informacije o kriterijima na temelju kojih se određuje ravnoteža između različitih vrsta dodijeljenih instrumenata, uključujući dionice, istovrijedne vlasničke udjele, opcije i druge instrumente.</w:t>
            </w:r>
          </w:p>
          <w:p w14:paraId="449402C2" w14:textId="77777777" w:rsidR="009360C9" w:rsidRPr="007F4CC8" w:rsidRDefault="009360C9" w:rsidP="009360C9">
            <w:pPr>
              <w:pStyle w:val="ListParagraph"/>
              <w:numPr>
                <w:ilvl w:val="0"/>
                <w:numId w:val="64"/>
              </w:numPr>
              <w:spacing w:before="60" w:after="120"/>
              <w:jc w:val="both"/>
              <w:rPr>
                <w:rFonts w:ascii="Times New Roman" w:hAnsi="Times New Roman"/>
                <w:sz w:val="24"/>
              </w:rPr>
            </w:pPr>
            <w:r>
              <w:rPr>
                <w:rFonts w:ascii="Times New Roman" w:hAnsi="Times New Roman"/>
                <w:sz w:val="24"/>
                <w:szCs w:val="24"/>
              </w:rPr>
              <w:t>Informacije o mjerama koje će institucija poduzeti radi usklađenja varijabilnog primitka ako su pokazatelji uspješnosti slabi, uključujući kriterije institucije za određivanje pokazatelja uspješnosti kad se pokazatelji uspješnosti smatraju „slabima”. U skladu s člankom 94. stavkom 1. točkom (n) CRD-a, da bi se varijabilni primici isplatili ili stekli moraju biti opravdani s obzirom na uspješnost institucije, poslovne jedinice i pojedinca. Institucije objašnjavaju kriterije/pragove kojima se utvrđuje da je uspješnost slaba i da to ne opravdava isplatu ili stjecanje varijabilnih primitaka.</w:t>
            </w:r>
          </w:p>
        </w:tc>
      </w:tr>
      <w:tr w:rsidR="009360C9" w:rsidRPr="007F4CC8" w14:paraId="46F7195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6FB310" w14:textId="5FB3284E" w:rsidR="009360C9" w:rsidRPr="007F4CC8" w:rsidRDefault="00933038" w:rsidP="006D005E">
            <w:pPr>
              <w:pStyle w:val="Applicationdirecte"/>
              <w:spacing w:before="0" w:after="0"/>
              <w:jc w:val="center"/>
            </w:pPr>
            <w:r>
              <w:t>(f)</w:t>
            </w:r>
          </w:p>
        </w:tc>
        <w:tc>
          <w:tcPr>
            <w:tcW w:w="7655" w:type="dxa"/>
            <w:tcBorders>
              <w:top w:val="single" w:sz="4" w:space="0" w:color="auto"/>
              <w:left w:val="single" w:sz="4" w:space="0" w:color="auto"/>
              <w:bottom w:val="single" w:sz="4" w:space="0" w:color="auto"/>
              <w:right w:val="single" w:sz="4" w:space="0" w:color="auto"/>
            </w:tcBorders>
            <w:vAlign w:val="center"/>
          </w:tcPr>
          <w:p w14:paraId="0B353A1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Opis načina na koji institucija nastoji uskladiti primitke i dugoročnu uspješnost.</w:t>
            </w:r>
          </w:p>
          <w:p w14:paraId="14015C12"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Objave uključuju:</w:t>
            </w:r>
          </w:p>
          <w:p w14:paraId="1335D35E"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 xml:space="preserve">pregled politike institucije o odgodi, isplati u instrumentima, razdobljima zadržavanja i prijenosu prava iz varijabilnih primitaka, </w:t>
            </w:r>
            <w:r>
              <w:rPr>
                <w:rFonts w:ascii="Times New Roman" w:hAnsi="Times New Roman"/>
                <w:sz w:val="24"/>
                <w:szCs w:val="24"/>
              </w:rPr>
              <w:lastRenderedPageBreak/>
              <w:t>među ostalim i kada se ono razlikuje među zaposlenicima ili kategorijama zaposlenika.</w:t>
            </w:r>
          </w:p>
          <w:p w14:paraId="12FA72CD"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 xml:space="preserve">Informacije o kriterijima institucije za </w:t>
            </w:r>
            <w:r>
              <w:rPr>
                <w:rFonts w:ascii="Times New Roman" w:hAnsi="Times New Roman"/>
                <w:i/>
                <w:sz w:val="24"/>
                <w:szCs w:val="24"/>
              </w:rPr>
              <w:t>ex post</w:t>
            </w:r>
            <w:r>
              <w:rPr>
                <w:rFonts w:ascii="Times New Roman" w:hAnsi="Times New Roman"/>
                <w:sz w:val="24"/>
                <w:szCs w:val="24"/>
              </w:rPr>
              <w:t xml:space="preserve"> usklađenja (malus za vrijeme odgode i povrat preplaćenih sredstava nakon prijenosa prava iz primitaka, ako je dopušteno nacionalnim pravom).</w:t>
            </w:r>
          </w:p>
          <w:p w14:paraId="2D12D80C" w14:textId="77777777" w:rsidR="009360C9" w:rsidRPr="007F4CC8" w:rsidRDefault="009360C9" w:rsidP="009360C9">
            <w:pPr>
              <w:pStyle w:val="ListParagraph"/>
              <w:numPr>
                <w:ilvl w:val="0"/>
                <w:numId w:val="64"/>
              </w:numPr>
              <w:spacing w:before="60" w:after="120"/>
              <w:jc w:val="both"/>
              <w:rPr>
                <w:rFonts w:ascii="Times New Roman" w:hAnsi="Times New Roman"/>
                <w:b/>
                <w:sz w:val="24"/>
                <w:szCs w:val="24"/>
              </w:rPr>
            </w:pPr>
            <w:r>
              <w:rPr>
                <w:rFonts w:ascii="Times New Roman" w:hAnsi="Times New Roman"/>
                <w:sz w:val="24"/>
                <w:szCs w:val="24"/>
              </w:rPr>
              <w:t>Ovisno o slučaju, zahtjevi o stjecanju dionica koji se mogu primijeniti na identificirane zaposlenike.</w:t>
            </w:r>
          </w:p>
        </w:tc>
      </w:tr>
      <w:tr w:rsidR="009360C9" w:rsidRPr="007F4CC8" w14:paraId="7643CC5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93849C" w14:textId="60E26E4D" w:rsidR="009360C9" w:rsidRPr="007F4CC8" w:rsidRDefault="00933038" w:rsidP="006D005E">
            <w:pPr>
              <w:pStyle w:val="Applicationdirecte"/>
              <w:spacing w:before="0" w:after="0"/>
              <w:jc w:val="center"/>
            </w:pPr>
            <w:r>
              <w:lastRenderedPageBreak/>
              <w:t>(g)</w:t>
            </w:r>
          </w:p>
        </w:tc>
        <w:tc>
          <w:tcPr>
            <w:tcW w:w="7655" w:type="dxa"/>
            <w:tcBorders>
              <w:top w:val="single" w:sz="4" w:space="0" w:color="auto"/>
              <w:left w:val="single" w:sz="4" w:space="0" w:color="auto"/>
              <w:bottom w:val="single" w:sz="4" w:space="0" w:color="auto"/>
              <w:right w:val="single" w:sz="4" w:space="0" w:color="auto"/>
            </w:tcBorders>
            <w:vAlign w:val="center"/>
          </w:tcPr>
          <w:p w14:paraId="06530707"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Opis glavnih parametara i obrazloženje svih shema varijabilnih komponenti primitaka te drugih negotovinskih primanja, kako je navedeno u članku 450. stavku 1. točki (f) CRR-a. Objave uključuju:</w:t>
            </w:r>
          </w:p>
          <w:p w14:paraId="3A414D6B"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Informacije o specifičnim pokazateljima rizika/uspješnosti na temelju kojih se određuju varijabilne komponente primitka te kriterijima na temelju kojih se određuje ravnoteža između različitih vrsta dodijeljenih instrumenata, uključujući dionice, istovrijedne vlasničke udjele, instrumente povezane s dionicama, istovrijedne nenovčane instrumente, opcije i druge instrumente.</w:t>
            </w:r>
          </w:p>
        </w:tc>
      </w:tr>
      <w:tr w:rsidR="009360C9" w:rsidRPr="007F4CC8" w14:paraId="240F5C7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03614E" w14:textId="63E7E2E7" w:rsidR="009360C9" w:rsidRPr="007F4CC8" w:rsidRDefault="00EA6540" w:rsidP="006D005E">
            <w:pPr>
              <w:pStyle w:val="Applicationdirecte"/>
              <w:spacing w:before="0" w:after="0"/>
              <w:jc w:val="center"/>
            </w:pPr>
            <w:r>
              <w:t>(h)</w:t>
            </w:r>
          </w:p>
        </w:tc>
        <w:tc>
          <w:tcPr>
            <w:tcW w:w="7655" w:type="dxa"/>
            <w:tcBorders>
              <w:top w:val="single" w:sz="4" w:space="0" w:color="auto"/>
              <w:left w:val="single" w:sz="4" w:space="0" w:color="auto"/>
              <w:bottom w:val="single" w:sz="4" w:space="0" w:color="auto"/>
              <w:right w:val="single" w:sz="4" w:space="0" w:color="auto"/>
            </w:tcBorders>
            <w:vAlign w:val="center"/>
          </w:tcPr>
          <w:p w14:paraId="76B8A142"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Na zahtjev relevantne države članice ili nadležnog tijela, ukupne primitke svakog člana upravljačkog tijela ili višeg rukovodstva, kako je navedeno u članku 450. stavku 1. točki (j) CRR-a.</w:t>
            </w:r>
          </w:p>
        </w:tc>
      </w:tr>
      <w:tr w:rsidR="009360C9" w:rsidRPr="007F4CC8" w14:paraId="2C2CE6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C5ADB87" w14:textId="02033458" w:rsidR="009360C9" w:rsidRPr="007F4CC8" w:rsidRDefault="00214F5B" w:rsidP="006D005E">
            <w:pPr>
              <w:pStyle w:val="Applicationdirecte"/>
              <w:spacing w:before="0" w:after="0"/>
              <w:jc w:val="center"/>
            </w:pPr>
            <w:r>
              <w:t>(i)</w:t>
            </w:r>
          </w:p>
        </w:tc>
        <w:tc>
          <w:tcPr>
            <w:tcW w:w="7655" w:type="dxa"/>
            <w:tcBorders>
              <w:top w:val="single" w:sz="4" w:space="0" w:color="auto"/>
              <w:left w:val="single" w:sz="4" w:space="0" w:color="auto"/>
              <w:bottom w:val="single" w:sz="4" w:space="0" w:color="auto"/>
              <w:right w:val="single" w:sz="4" w:space="0" w:color="auto"/>
            </w:tcBorders>
            <w:vAlign w:val="center"/>
          </w:tcPr>
          <w:p w14:paraId="44A4C0E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Informacije o tome može li institucija imati koristi od odstupanja utvrđenog u članku 94. stavku 3. CRD-a kako je navedeno u članku 450. stavku 1. točki (k) CRR-a.</w:t>
            </w:r>
          </w:p>
          <w:p w14:paraId="7F8854DF"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Za potrebe ove točke, institucije koje imaju koristi od tog odstupanja navode je li osnova za to točka (a) i/ili točka (b) članka 94. stavka 3. CRD-a. Navode i na koje zahtjeve u pogledu primitaka primjenjuju odstupanja, (tj. članak 94. stavak 1. točku (l) i/ili (m) i/ili (o) CRD-a), broj zaposlenika koji imaju koristi od odstupanja i njihove ukupne primitke, podijeljeno na fiksne i varijabilne primitke.</w:t>
            </w:r>
          </w:p>
        </w:tc>
      </w:tr>
      <w:tr w:rsidR="009360C9" w:rsidRPr="007F4CC8" w14:paraId="74234C8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19D116A" w14:textId="4C08444D" w:rsidR="009360C9" w:rsidRPr="007F4CC8" w:rsidRDefault="00EA6540" w:rsidP="006D005E">
            <w:pPr>
              <w:pStyle w:val="Applicationdirecte"/>
              <w:spacing w:before="0" w:after="0"/>
              <w:jc w:val="center"/>
            </w:pPr>
            <w:r>
              <w:t>(j)</w:t>
            </w:r>
          </w:p>
        </w:tc>
        <w:tc>
          <w:tcPr>
            <w:tcW w:w="7655" w:type="dxa"/>
            <w:tcBorders>
              <w:top w:val="single" w:sz="4" w:space="0" w:color="auto"/>
              <w:left w:val="single" w:sz="4" w:space="0" w:color="auto"/>
              <w:bottom w:val="single" w:sz="4" w:space="0" w:color="auto"/>
              <w:right w:val="single" w:sz="4" w:space="0" w:color="auto"/>
            </w:tcBorders>
            <w:vAlign w:val="center"/>
          </w:tcPr>
          <w:p w14:paraId="11B1FC28"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Velike institucije objavljuju kvantitativne informacije o primicima njihova kolektivnog upravljačkog tijela, pri čemu se razlikuju članovi s izvršnim i neizvršnim funkcijama, kako je navedeno u članku 450. stavku 2. CRR-a.</w:t>
            </w:r>
          </w:p>
        </w:tc>
      </w:tr>
    </w:tbl>
    <w:p w14:paraId="093C4B50" w14:textId="77777777" w:rsidR="009360C9" w:rsidRPr="007F4CC8" w:rsidRDefault="009360C9" w:rsidP="009360C9">
      <w:pPr>
        <w:pStyle w:val="Titlelevel2"/>
        <w:spacing w:before="120" w:after="120"/>
        <w:rPr>
          <w:rFonts w:ascii="Times New Roman" w:hAnsi="Times New Roman" w:cs="Times New Roman"/>
          <w:b/>
          <w:color w:val="auto"/>
          <w:sz w:val="24"/>
          <w:lang w:val="en-GB"/>
        </w:rPr>
      </w:pPr>
    </w:p>
    <w:p w14:paraId="6921F53B" w14:textId="77777777" w:rsidR="009360C9" w:rsidRPr="007F4CC8" w:rsidRDefault="009360C9" w:rsidP="009360C9">
      <w:pPr>
        <w:pStyle w:val="Titlelevel2"/>
        <w:spacing w:before="120" w:after="120"/>
        <w:rPr>
          <w:rFonts w:ascii="Times New Roman" w:hAnsi="Times New Roman" w:cs="Times New Roman"/>
          <w:b/>
          <w:color w:val="auto"/>
          <w:sz w:val="24"/>
          <w:lang w:val="en-GB"/>
        </w:rPr>
      </w:pPr>
    </w:p>
    <w:p w14:paraId="56C9C8FA" w14:textId="77777777" w:rsidR="009360C9" w:rsidRPr="007F4CC8" w:rsidRDefault="009360C9" w:rsidP="009360C9">
      <w:pPr>
        <w:pStyle w:val="Titlelevel2"/>
        <w:spacing w:before="120" w:after="120"/>
        <w:rPr>
          <w:rFonts w:ascii="Times New Roman" w:hAnsi="Times New Roman" w:cs="Times New Roman"/>
          <w:b/>
          <w:color w:val="auto"/>
          <w:sz w:val="24"/>
          <w:lang w:val="en-GB"/>
        </w:rPr>
      </w:pPr>
    </w:p>
    <w:p w14:paraId="162FF1EB" w14:textId="77777777" w:rsidR="009360C9" w:rsidRPr="007F4CC8" w:rsidRDefault="009360C9" w:rsidP="009360C9">
      <w:pPr>
        <w:pStyle w:val="Titlelevel2"/>
        <w:spacing w:before="120" w:after="120"/>
        <w:rPr>
          <w:rFonts w:ascii="Times New Roman" w:hAnsi="Times New Roman" w:cs="Times New Roman"/>
          <w:b/>
          <w:color w:val="auto"/>
          <w:sz w:val="24"/>
          <w:lang w:val="en-GB"/>
        </w:rPr>
      </w:pPr>
    </w:p>
    <w:p w14:paraId="486088B5" w14:textId="56742717" w:rsidR="009360C9" w:rsidRPr="007F4CC8" w:rsidRDefault="00D95507"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Obrazac EU REM1 – Primici dodijeljeni za financijsku godinu: </w:t>
      </w:r>
      <w:r>
        <w:rPr>
          <w:rFonts w:ascii="Times New Roman" w:hAnsi="Times New Roman"/>
          <w:color w:val="auto"/>
          <w:sz w:val="24"/>
        </w:rPr>
        <w:t>Fiksan format</w:t>
      </w:r>
    </w:p>
    <w:p w14:paraId="3A695468" w14:textId="2AA3699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 xml:space="preserve">Institucije primjenjuju upute u nastavku ovog Priloga za popunjavanje obrasca EU REM1 iz Priloga XXXIII. ovoj Provedbenoj uredbi, u skladu s člankom 450. stavkom 1. točkom (h) </w:t>
      </w:r>
      <w:proofErr w:type="spellStart"/>
      <w:r>
        <w:rPr>
          <w:rFonts w:ascii="Times New Roman" w:hAnsi="Times New Roman"/>
          <w:bCs w:val="0"/>
          <w:color w:val="auto"/>
          <w:sz w:val="24"/>
        </w:rPr>
        <w:t>podtočkama</w:t>
      </w:r>
      <w:proofErr w:type="spellEnd"/>
      <w:r>
        <w:rPr>
          <w:rFonts w:ascii="Times New Roman" w:hAnsi="Times New Roman"/>
          <w:bCs w:val="0"/>
          <w:color w:val="auto"/>
          <w:sz w:val="24"/>
        </w:rPr>
        <w:t xml:space="preserve"> i.–ii. CRR-a.</w:t>
      </w:r>
    </w:p>
    <w:p w14:paraId="75D7ECA6" w14:textId="77777777" w:rsidR="009360C9" w:rsidRPr="007F4CC8" w:rsidRDefault="009360C9" w:rsidP="009360C9">
      <w:pPr>
        <w:pStyle w:val="Titlelevel2"/>
        <w:spacing w:before="120" w:after="120"/>
        <w:ind w:left="720"/>
        <w:jc w:val="both"/>
        <w:rPr>
          <w:rFonts w:ascii="Times New Roman" w:eastAsiaTheme="minorEastAsia" w:hAnsi="Times New Roman" w:cs="Times New Roman"/>
          <w:bCs w:val="0"/>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1A4BBFF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9E9875" w14:textId="77777777" w:rsidR="009360C9" w:rsidRPr="007F4CC8" w:rsidRDefault="009360C9" w:rsidP="00155C96">
            <w:pPr>
              <w:rPr>
                <w:rFonts w:ascii="Times New Roman" w:hAnsi="Times New Roman" w:cs="Times New Roman"/>
                <w:b/>
                <w:sz w:val="24"/>
              </w:rPr>
            </w:pPr>
            <w:r>
              <w:rPr>
                <w:rFonts w:ascii="Times New Roman" w:hAnsi="Times New Roman"/>
                <w:b/>
                <w:sz w:val="24"/>
              </w:rPr>
              <w:lastRenderedPageBreak/>
              <w:t>Pravna osnova i upute</w:t>
            </w:r>
          </w:p>
        </w:tc>
      </w:tr>
      <w:tr w:rsidR="009360C9" w:rsidRPr="007F4CC8" w14:paraId="26AFAF00" w14:textId="77777777" w:rsidTr="00155C96">
        <w:trPr>
          <w:trHeight w:val="238"/>
        </w:trPr>
        <w:tc>
          <w:tcPr>
            <w:tcW w:w="1384" w:type="dxa"/>
            <w:shd w:val="clear" w:color="auto" w:fill="D9D9D9" w:themeFill="background1" w:themeFillShade="D9"/>
          </w:tcPr>
          <w:p w14:paraId="670FF2CB"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69E238F3"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9360C9" w:rsidRPr="007F4CC8" w14:paraId="4696D62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CD95BFB"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 i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AA82DF"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Broj identificiranih zaposlenika</w:t>
            </w:r>
          </w:p>
          <w:p w14:paraId="1D6BAB49"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Broj zaposlenika čije profesionalne aktivnosti imaju značajan utjecaj na profil rizičnosti institucija u skladu s člankom 92. CRD-a i Delegiranom uredbom Komisije o identificiranim zaposlenicima</w:t>
            </w:r>
            <w:r>
              <w:rPr>
                <w:rStyle w:val="FootnoteReference"/>
                <w:rFonts w:ascii="Times New Roman" w:hAnsi="Times New Roman" w:cs="Times New Roman"/>
                <w:sz w:val="24"/>
                <w:szCs w:val="24"/>
              </w:rPr>
              <w:footnoteReference w:id="52"/>
            </w:r>
            <w:r>
              <w:rPr>
                <w:rFonts w:ascii="Times New Roman" w:hAnsi="Times New Roman"/>
                <w:sz w:val="24"/>
              </w:rPr>
              <w:t xml:space="preserve"> o primjeni članka 94. stavka 2. CRD-a (identificirani zaposlenici) i koji su korisnici komponenata primitaka navedenih u ovom obrascu. Izračunava se primjenom pristupa EPRV (ekvivalent punog radnog vremena) za identificirane zaposlenike osim članova upravljačkog tijela pri čemu se brojevi objavljuju kao broj zaposlenika.</w:t>
            </w:r>
          </w:p>
        </w:tc>
      </w:tr>
      <w:tr w:rsidR="009360C9" w:rsidRPr="007F4CC8" w14:paraId="5215785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A3613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D4CE19"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Ukupni fiksni primici</w:t>
            </w:r>
          </w:p>
          <w:p w14:paraId="77F3767C"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Zbroj iznosa iz redaka 3 i 7 ovog obrasca.</w:t>
            </w:r>
          </w:p>
        </w:tc>
      </w:tr>
      <w:tr w:rsidR="009360C9" w:rsidRPr="007F4CC8" w14:paraId="133BAB3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B6A735"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394A90"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Od čega: novčani</w:t>
            </w:r>
          </w:p>
          <w:p w14:paraId="7EEE3387"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Iznos novčanih primitaka u okviru fiksnih primitaka.</w:t>
            </w:r>
          </w:p>
        </w:tc>
      </w:tr>
      <w:tr w:rsidR="009360C9" w:rsidRPr="007F4CC8" w14:paraId="3BC8B6A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25444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EU-4 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7B896E7"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od čega: dionice ili istovrijedni vlasnički udjeli</w:t>
            </w:r>
          </w:p>
          <w:p w14:paraId="7F8210BA"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Zbroj iznosa dionica ili istovrijednih vlasničkih udjela, ovisno o pravnoj strukturi dotične institucije iz članka 94. stavka 1. točke (l) podtočke i. CRD-a, u okviru fiksnih primitaka.</w:t>
            </w:r>
          </w:p>
        </w:tc>
      </w:tr>
      <w:tr w:rsidR="009360C9" w:rsidRPr="007F4CC8" w14:paraId="7EBE2F7E"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1484C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36AB2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 xml:space="preserve">Od čega: instrumenti povezani s dionicama ili istovrijedni nenovčani instrumenti </w:t>
            </w:r>
          </w:p>
          <w:p w14:paraId="10509704"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Zbroj iznosa instrumenata povezanih s dionicama ili istovrijednih nenovčanih instrumenata iz članka 94. stavka 1. točke (l) podtočke i. CRD-a, u okviru fiksnih primitaka.</w:t>
            </w:r>
          </w:p>
        </w:tc>
      </w:tr>
      <w:tr w:rsidR="009360C9" w:rsidRPr="007F4CC8" w14:paraId="6C1F0C2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30FA1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F663C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od čega: ostali instrumenti</w:t>
            </w:r>
          </w:p>
          <w:p w14:paraId="3D5E7799"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Iznos ostalih instrumenata iz članka 94. stavka 1. točke (l) podtočke ii. CRD-a, u okviru fiksnih primitaka.</w:t>
            </w:r>
          </w:p>
        </w:tc>
      </w:tr>
      <w:tr w:rsidR="009360C9" w:rsidRPr="007F4CC8" w14:paraId="7F74E6B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226A17"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4CF57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Od čega: ostali oblici</w:t>
            </w:r>
          </w:p>
          <w:p w14:paraId="68716224"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Iznosi fiksnih primitaka dodijeljeni za financijsku godinu koji nisu objavljeni u drugim redcima pod naslovom ukupni fiksni primici.</w:t>
            </w:r>
          </w:p>
          <w:p w14:paraId="60CEFAB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To može uključivati proporcionalne redovite mirovinske doprinose ili pogodnosti (ako te pogodnosti ne uzimaju u obzir kriterije uspješnosti) iz uvodne izjave 64. CRD-a ili druge oblike primitaka kao što su naknade za korištenje automobila.</w:t>
            </w:r>
          </w:p>
        </w:tc>
      </w:tr>
      <w:tr w:rsidR="009360C9" w:rsidRPr="007F4CC8" w14:paraId="7BF06C9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C3E913"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0D15BA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Ukupni varijabilni primici</w:t>
            </w:r>
          </w:p>
          <w:p w14:paraId="2AB55EF9"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Zbroj iznosa iz redaka 11, EU-13a, EU-13b, EU-14x i 15 ovog obrasca.</w:t>
            </w:r>
          </w:p>
          <w:p w14:paraId="0B09398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Zbroj svih komponenata primitaka koji nisu fiksni primici objavljeni u retku 2 ovog obrasca, uključujući zajamčene varijabilne primitke i otpremnine dodijeljene tijekom te godine.</w:t>
            </w:r>
          </w:p>
        </w:tc>
      </w:tr>
      <w:tr w:rsidR="009360C9" w:rsidRPr="007F4CC8" w14:paraId="407211B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182F5C9"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lastRenderedPageBreak/>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81BEF85"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Od čega: novčanih</w:t>
            </w:r>
          </w:p>
          <w:p w14:paraId="52C09071"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Iznos novčanih primitaka u okviru varijabilnih primitaka.</w:t>
            </w:r>
          </w:p>
        </w:tc>
      </w:tr>
      <w:tr w:rsidR="009360C9" w:rsidRPr="007F4CC8" w14:paraId="17B079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1DC0EA" w14:textId="77777777" w:rsidR="009360C9" w:rsidRPr="00346640"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12, EU-14a, EU-14b, EU-14y i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7EB662"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Od čega: odgođeni</w:t>
            </w:r>
          </w:p>
          <w:p w14:paraId="3327C4AA"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Iznosi varijabilnih primitaka prema različitim komponentama koji su odgođeni, utvrđeni u skladu s člankom 94. CRD-a.</w:t>
            </w:r>
          </w:p>
        </w:tc>
      </w:tr>
      <w:tr w:rsidR="009360C9" w:rsidRPr="007F4CC8" w14:paraId="23A0E22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829C2F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28F7E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od čega: dionice ili istovrijedni vlasnički udjeli</w:t>
            </w:r>
          </w:p>
          <w:p w14:paraId="2FBA92DD"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Zbroj iznosa dionica ili istovjetnih vlasničkih udjela, ovisno o pravnoj strukturi dotične institucije iz članka 94. stavka 1. točke (l) podtočke i. CRD-a, u okviru varijabilnih primitaka.</w:t>
            </w:r>
          </w:p>
        </w:tc>
      </w:tr>
      <w:tr w:rsidR="009360C9" w:rsidRPr="007F4CC8" w14:paraId="4460701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0FEE8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3E38AF"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 xml:space="preserve">od čega: instrumenti povezani s dionicama ili istovrijedni nenovčani instrumenti </w:t>
            </w:r>
          </w:p>
          <w:p w14:paraId="12117FCC"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Zbroj iznosa instrumenata povezanih s dionicama ili istovrijednih nenovčanih instrumenata iz članka 94. stavka 1. točke (l) podtočke i. CRD-a, u okviru varijabilnih primitaka.</w:t>
            </w:r>
          </w:p>
        </w:tc>
      </w:tr>
      <w:tr w:rsidR="009360C9" w:rsidRPr="007F4CC8" w14:paraId="41B22C0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B8873B"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28C5B7"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od čega: ostali instrumenti</w:t>
            </w:r>
          </w:p>
          <w:p w14:paraId="0335CACF" w14:textId="77777777" w:rsidR="009360C9" w:rsidRPr="007F4CC8" w:rsidRDefault="009360C9" w:rsidP="00155C96">
            <w:pPr>
              <w:autoSpaceDE w:val="0"/>
              <w:autoSpaceDN w:val="0"/>
              <w:adjustRightInd w:val="0"/>
              <w:spacing w:after="120"/>
              <w:jc w:val="both"/>
              <w:rPr>
                <w:rFonts w:ascii="Times New Roman" w:hAnsi="Times New Roman"/>
                <w:b/>
                <w:sz w:val="24"/>
              </w:rPr>
            </w:pPr>
            <w:r>
              <w:rPr>
                <w:rFonts w:ascii="Times New Roman" w:hAnsi="Times New Roman"/>
                <w:sz w:val="24"/>
              </w:rPr>
              <w:t>Iznos ostalih instrumenata iz članka 94. stavka 1. točke (l) podtočke ii. CRD-a, u okviru varijabilnih primitaka.</w:t>
            </w:r>
          </w:p>
        </w:tc>
      </w:tr>
      <w:tr w:rsidR="009360C9" w:rsidRPr="007F4CC8" w14:paraId="0FCBDAF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51128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404558"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Od čega: ostali oblici</w:t>
            </w:r>
          </w:p>
          <w:p w14:paraId="5CB11051"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Iznosi varijabilnih primitaka dodijeljeni za financijsku godinu koji nisu objavljeni u drugim redcima pod naslovom varijabilni primici.</w:t>
            </w:r>
          </w:p>
        </w:tc>
      </w:tr>
      <w:tr w:rsidR="009360C9" w:rsidRPr="007F4CC8" w14:paraId="6CC733B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9C83B6"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759D4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Ukupni primici</w:t>
            </w:r>
          </w:p>
          <w:p w14:paraId="181EB30A"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Zbroj iznosa iz redaka 2 i 10 ovog obrasca.</w:t>
            </w:r>
          </w:p>
        </w:tc>
      </w:tr>
      <w:tr w:rsidR="009360C9" w:rsidRPr="007F4CC8" w14:paraId="57716AE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18CC57" w14:textId="77777777" w:rsidR="009360C9" w:rsidRPr="007F4CC8" w:rsidRDefault="009360C9" w:rsidP="006D005E">
            <w:pPr>
              <w:pStyle w:val="Applicationdirecte"/>
              <w:spacing w:before="0"/>
              <w:jc w:val="center"/>
              <w:rPr>
                <w:b/>
              </w:rPr>
            </w:pPr>
            <w:r>
              <w:rPr>
                <w:b/>
              </w:rPr>
              <w:t>Slovna oznaka stupca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63EC6A"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Objašnjenje</w:t>
            </w:r>
          </w:p>
        </w:tc>
      </w:tr>
      <w:tr w:rsidR="009360C9" w:rsidRPr="007F4CC8" w14:paraId="4A6ABD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203727"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F0B553"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Upravljačko tijelo, nadzorna funkcija</w:t>
            </w:r>
          </w:p>
          <w:p w14:paraId="4069090B"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Upravljačko tijelo u nadzornoj funkciji, kao upravljačko tijelo u ulozi nadziranja i praćenja odlučivanja u vezi s upravljanjem, kako je definirano u članku 3. stavku 1. točki 8. CRD-a. </w:t>
            </w:r>
          </w:p>
          <w:p w14:paraId="188CC74F"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Institucije objavljuju informacije na temelju broja zaposlenika. </w:t>
            </w:r>
          </w:p>
          <w:p w14:paraId="6BC6F325"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U skladu s člankom 13. CRR-a matična institucija iz EU-a objavljuje te informacije na osnovi svojeg konsolidiranog stanja, a velika društva kćeri matičnih institucija iz EU-a objavljuju te informacije na pojedinačnoj osnovi ili, ako je primjenjivo u skladu s ovom Uredbom i CRD-om, na potkonsolidiranoj osnovi. Subjekt koji objavljuje podatke u ovoj rubrici navodi informacije o svojem upravljačkom tijelu. Ako je u skladu s člancima </w:t>
            </w:r>
            <w:r>
              <w:rPr>
                <w:rFonts w:ascii="Times New Roman" w:hAnsi="Times New Roman"/>
                <w:sz w:val="24"/>
              </w:rPr>
              <w:lastRenderedPageBreak/>
              <w:t>6. i 13. CRR-a objava na konsolidiranoj ili potkonsolidiranoj razini, informacije o identificiranim zaposlenicima upravljačkih tijela društava kćeri objavljuje se u okviru relevantnog dijela poslovanja.</w:t>
            </w:r>
          </w:p>
        </w:tc>
      </w:tr>
      <w:tr w:rsidR="009360C9" w:rsidRPr="007F4CC8" w14:paraId="386BE48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C9A9E"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lastRenderedPageBreak/>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EF49E54"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 xml:space="preserve">Upravljačko tijelo, upravljačka funkcija </w:t>
            </w:r>
          </w:p>
          <w:p w14:paraId="496ACAF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Članovi upravljačkog tijela koji su odgovorni za upravljačke funkcije.</w:t>
            </w:r>
          </w:p>
          <w:p w14:paraId="20F94664"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Institucije objavljuju informacije na temelju broja zaposlenika.</w:t>
            </w:r>
          </w:p>
          <w:p w14:paraId="160E29F2"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Institucije objavljuju informacije na temelju broja zaposlenika. U skladu s člankom 13. CRR-a. Matične institucije iz EU-a objavljuju te informacije na osnovi svojeg konsolidiranog stanja, a velika društva kćeri matičnih institucija iz EU-a objavljuju te informacije na pojedinačnoj osnovi ili, ako je primjenjivo u skladu s ovom Uredbom i CRD-om, na potkonsolidiranoj osnovi. Subjekt koji objavljuje podatke u ovom stupcu navodi informacije o svojem upravljačkom tijelu. Ako je u skladu s člancima 6. i 13. CRR-a objava na konsolidiranoj ili potkonsolidiranoj razini, informacije o identificiranim zaposlenicima upravljačkih tijela društava kćeri objavljuje se u okviru relevantnog dijela poslovanja.</w:t>
            </w:r>
          </w:p>
        </w:tc>
      </w:tr>
      <w:tr w:rsidR="009360C9" w:rsidRPr="007F4CC8" w14:paraId="5292EA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2C0BE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D18179"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Ostalo više rukovodstvo</w:t>
            </w:r>
          </w:p>
          <w:p w14:paraId="7260CFA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Više rukovodstvo kako je definirano u članku 3. stavku 1. točki 9. CRD-a.</w:t>
            </w:r>
          </w:p>
          <w:p w14:paraId="070B2B90"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Institucije objavljuju broj članova višeg rukovodstva koji nije objavljen u okviru naslova Upravljačko tijelo u upravljačkoj funkciji i Ostali identificirani zaposlenici. Institucije objavljuju informacije na temelju ekvivalenta punog radnog vremena.</w:t>
            </w:r>
          </w:p>
        </w:tc>
      </w:tr>
      <w:tr w:rsidR="009360C9" w:rsidRPr="007F4CC8" w14:paraId="6B508185"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9369ED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F78BE3A"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Ostali identificirani zaposlenici</w:t>
            </w:r>
          </w:p>
          <w:p w14:paraId="06269748"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Ostali zaposlenici, osim članova upravljačkog tijela u nadzornoj ili upravljačkoj funkciji i osim višeg rukovodstva, čije profesionalne aktivnosti imaju značajan utjecaj na profil rizičnosti institucije u skladu s kriterijima utvrđenima u Delegiranoj uredbi Komisije o identificiranim zaposlenicima, u skladu s člankom 94. stavkom 2. CRD-a, i prema potrebi dodatno na temelju kriterija institucije. </w:t>
            </w:r>
          </w:p>
          <w:p w14:paraId="11866154"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Institucije u ovaj obrazac mogu uključiti raščlambu prema dijelovima poslovanja koja je predložena u obrascu EU REM5. Institucije objavljuju informacije na temelju ekvivalenta punog radnog vremena.</w:t>
            </w:r>
          </w:p>
        </w:tc>
      </w:tr>
    </w:tbl>
    <w:p w14:paraId="0A85B964" w14:textId="77777777" w:rsidR="009360C9" w:rsidRPr="007F4CC8" w:rsidRDefault="009360C9" w:rsidP="009360C9">
      <w:pPr>
        <w:pStyle w:val="Titlelevel2"/>
        <w:spacing w:before="120" w:after="120"/>
        <w:rPr>
          <w:rFonts w:ascii="Times New Roman" w:hAnsi="Times New Roman" w:cs="Times New Roman"/>
          <w:color w:val="auto"/>
          <w:sz w:val="24"/>
          <w:lang w:val="en-GB"/>
        </w:rPr>
      </w:pPr>
    </w:p>
    <w:p w14:paraId="4725DE5C" w14:textId="08FB92B3" w:rsidR="009360C9" w:rsidRPr="007F4CC8" w:rsidRDefault="00D95507"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Obrazac EU REM2 – Posebne isplate zaposlenicima čije profesionalne aktivnosti imaju značajan utjecaj na profil rizičnosti institucija (identificirani zaposlenici): </w:t>
      </w:r>
      <w:r>
        <w:rPr>
          <w:rFonts w:ascii="Times New Roman" w:hAnsi="Times New Roman"/>
          <w:color w:val="auto"/>
          <w:sz w:val="24"/>
        </w:rPr>
        <w:t>Fiksan format</w:t>
      </w:r>
    </w:p>
    <w:p w14:paraId="12D04FA2" w14:textId="7664C926"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 xml:space="preserve">Institucije objavljuju informacije iz članka 450. stavka 1. točke (h) </w:t>
      </w:r>
      <w:proofErr w:type="spellStart"/>
      <w:r>
        <w:rPr>
          <w:rFonts w:ascii="Times New Roman" w:hAnsi="Times New Roman"/>
          <w:bCs w:val="0"/>
          <w:color w:val="auto"/>
          <w:sz w:val="24"/>
        </w:rPr>
        <w:t>podtočaka</w:t>
      </w:r>
      <w:proofErr w:type="spellEnd"/>
      <w:r>
        <w:rPr>
          <w:rFonts w:ascii="Times New Roman" w:hAnsi="Times New Roman"/>
          <w:bCs w:val="0"/>
          <w:color w:val="auto"/>
          <w:sz w:val="24"/>
        </w:rPr>
        <w:t xml:space="preserve"> od v. do vii. CRR-a prateći upute u nastavku ovog Priloga za popunjavanje obrasca EU REM2 iz Priloga XXXIII. ovoj Provedbenoj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76D2B22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8BB604" w14:textId="77777777" w:rsidR="009360C9" w:rsidRPr="007F4CC8" w:rsidRDefault="009360C9" w:rsidP="00155C96">
            <w:pPr>
              <w:rPr>
                <w:rFonts w:ascii="Times New Roman" w:hAnsi="Times New Roman" w:cs="Times New Roman"/>
                <w:b/>
                <w:sz w:val="24"/>
              </w:rPr>
            </w:pPr>
            <w:r>
              <w:rPr>
                <w:rFonts w:ascii="Times New Roman" w:hAnsi="Times New Roman"/>
                <w:b/>
                <w:sz w:val="24"/>
              </w:rPr>
              <w:t>Pravna osnova i upute</w:t>
            </w:r>
          </w:p>
        </w:tc>
      </w:tr>
      <w:tr w:rsidR="009360C9" w:rsidRPr="007F4CC8" w14:paraId="167E12F4" w14:textId="77777777" w:rsidTr="00155C96">
        <w:trPr>
          <w:trHeight w:val="238"/>
        </w:trPr>
        <w:tc>
          <w:tcPr>
            <w:tcW w:w="1384" w:type="dxa"/>
            <w:shd w:val="clear" w:color="auto" w:fill="D9D9D9" w:themeFill="background1" w:themeFillShade="D9"/>
          </w:tcPr>
          <w:p w14:paraId="0C0AA326"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0F2195D7"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9360C9" w:rsidRPr="007F4CC8" w14:paraId="60872A3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9D6CE" w14:textId="77777777" w:rsidR="009360C9" w:rsidRPr="007F4CC8" w:rsidRDefault="009360C9" w:rsidP="006D005E">
            <w:pPr>
              <w:pStyle w:val="Applicationdirecte"/>
              <w:spacing w:before="0" w:after="0"/>
              <w:jc w:val="center"/>
            </w:pPr>
            <w:r>
              <w:lastRenderedPageBreak/>
              <w:t>1, 4 i 6</w:t>
            </w:r>
          </w:p>
        </w:tc>
        <w:tc>
          <w:tcPr>
            <w:tcW w:w="7655" w:type="dxa"/>
            <w:tcBorders>
              <w:top w:val="single" w:sz="4" w:space="0" w:color="auto"/>
              <w:left w:val="single" w:sz="4" w:space="0" w:color="auto"/>
              <w:bottom w:val="single" w:sz="4" w:space="0" w:color="auto"/>
              <w:right w:val="single" w:sz="4" w:space="0" w:color="auto"/>
            </w:tcBorders>
            <w:vAlign w:val="center"/>
          </w:tcPr>
          <w:p w14:paraId="77A29791" w14:textId="195A10C1" w:rsidR="009360C9" w:rsidRPr="009D2F9B" w:rsidRDefault="009360C9" w:rsidP="00FD7616">
            <w:pPr>
              <w:spacing w:before="60" w:after="120"/>
              <w:jc w:val="both"/>
              <w:rPr>
                <w:rFonts w:ascii="Times New Roman" w:hAnsi="Times New Roman"/>
                <w:b/>
                <w:sz w:val="24"/>
              </w:rPr>
            </w:pPr>
            <w:r>
              <w:rPr>
                <w:rFonts w:ascii="Times New Roman" w:hAnsi="Times New Roman"/>
                <w:b/>
                <w:sz w:val="24"/>
              </w:rPr>
              <w:t>Broj identificiranih zaposlenika</w:t>
            </w:r>
          </w:p>
          <w:p w14:paraId="339D83E5" w14:textId="2973D6F5"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Broj identificiranih zaposlenika čije profesionalne aktivnosti imaju značajan utjecaj na profil rizičnosti institucija u skladu s člankom 92. CRD-a i Delegiranom uredbom Komisije o identificiranim zaposlenicima o primjeni članka 94. stavka 2. CRD-a za svaku posebnu komponentu primitaka.</w:t>
            </w:r>
          </w:p>
          <w:p w14:paraId="3CD9C986" w14:textId="5C0A30B8"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Za stupce a i b (Upravljačko tijelo) ovog obrasca vrijednost se temelji na broju zaposlenika. Za stupce c i d ovog obrasca vrijednost se izračunava korištenjem metode EPRV (ekvivalent punog radnog vremena).</w:t>
            </w:r>
          </w:p>
          <w:p w14:paraId="0A14F1A6"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Redak 4 ovog obrasca odnosi se na otpremnine dodijeljene u prethodnim razdobljima, a koje su isplaćene tijekom financijske godine (tekuća godina), a redak 6 ovog obrasca na one dodijeljene tijekom financijske godine (tekuća godina).</w:t>
            </w:r>
          </w:p>
        </w:tc>
      </w:tr>
      <w:tr w:rsidR="009360C9" w:rsidRPr="007F4CC8" w14:paraId="4D008A7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C6B9A09" w14:textId="77777777" w:rsidR="009360C9" w:rsidRPr="007F4CC8" w:rsidRDefault="009360C9" w:rsidP="006D005E">
            <w:pPr>
              <w:pStyle w:val="Applicationdirecte"/>
              <w:spacing w:before="0" w:after="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07011022"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Dodijeljeni zajamčeni varijabilni primici – Ukupan iznos</w:t>
            </w:r>
          </w:p>
          <w:p w14:paraId="4ED4990E"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Iznos dodijeljenih zajamčenih varijabilnih primitaka, kako je navedeno u članku 94. stavku 1. točki (e) CRD-a.</w:t>
            </w:r>
          </w:p>
        </w:tc>
      </w:tr>
      <w:tr w:rsidR="009360C9" w:rsidRPr="007F4CC8" w14:paraId="3856BA3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8CD1C60" w14:textId="77777777" w:rsidR="009360C9" w:rsidRPr="007F4CC8" w:rsidRDefault="009360C9" w:rsidP="006D005E">
            <w:pPr>
              <w:pStyle w:val="Applicationdirecte"/>
              <w:spacing w:before="0" w:after="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5FC64F3D"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Od čega dodijeljeni zajamčeni varijabilni primici isplaćeni tijekom financijske godine koji nisu uzeti u obzir pri ograničavanju bonusa.</w:t>
            </w:r>
          </w:p>
          <w:p w14:paraId="55DAB21F" w14:textId="73F32C73"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Iznosi dodijeljenih zajamčenih varijabilnih primitaka kako je navedeno u članku 94. stavku 1. točki (e) CRD-a isplaćeni tijekom financijske godine (tekuća godina), koji nisu uzeti u obzir pri ograničavanju bonusa.</w:t>
            </w:r>
          </w:p>
          <w:p w14:paraId="41F03CBB"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 xml:space="preserve">U pogledu objavljenih informacija iz članka 450. stavka 1. točke (g) i točke (h) </w:t>
            </w:r>
            <w:proofErr w:type="spellStart"/>
            <w:r>
              <w:rPr>
                <w:rFonts w:ascii="Times New Roman" w:hAnsi="Times New Roman"/>
                <w:sz w:val="24"/>
              </w:rPr>
              <w:t>podtočaka</w:t>
            </w:r>
            <w:proofErr w:type="spellEnd"/>
            <w:r>
              <w:rPr>
                <w:rFonts w:ascii="Times New Roman" w:hAnsi="Times New Roman"/>
                <w:sz w:val="24"/>
              </w:rPr>
              <w:t xml:space="preserve"> v. i vi. CRR-a, institucije jasno navode odražavaju li ukupne kvantitativne informacije o primicima, podijeljene prema području poslovanja, ograničenja bonusa kad su uključene isplate pri zapošljavanju novih radnika i otpremnine.</w:t>
            </w:r>
          </w:p>
        </w:tc>
      </w:tr>
      <w:tr w:rsidR="009360C9" w:rsidRPr="007F4CC8" w14:paraId="693B534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23363A4" w14:textId="77777777" w:rsidR="009360C9" w:rsidRPr="007F4CC8" w:rsidRDefault="009360C9" w:rsidP="006D005E">
            <w:pPr>
              <w:pStyle w:val="Applicationdirecte"/>
              <w:spacing w:before="0" w:after="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38826E3C"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Otpremnine dodijeljene u prethodnim razdobljima koje su isplaćene tijekom financijske godine – ukupan iznos</w:t>
            </w:r>
          </w:p>
          <w:p w14:paraId="7ECBBDBF"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Iznos otpremnina kako su navedene u članku 94. stavku 1. točki (h) CRD-a dodijeljenih u prethodnim razdobljima i isplaćenih tijekom financijske godine (tekuća godina).</w:t>
            </w:r>
          </w:p>
        </w:tc>
      </w:tr>
      <w:tr w:rsidR="009360C9" w:rsidRPr="007F4CC8" w14:paraId="24C0413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3F7A830" w14:textId="77777777" w:rsidR="009360C9" w:rsidRPr="007F4CC8" w:rsidRDefault="009360C9" w:rsidP="006D005E">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6EFBEC89"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Otpremnine dodijeljene tijekom financijske godine – ukupan iznos</w:t>
            </w:r>
          </w:p>
          <w:p w14:paraId="51AE3F53"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Iznos otpremnina kako su navedene u članku 94. stavku 1. točki (h) CRD-a dodijeljenih tijekom financijske godine (tekuća godina).</w:t>
            </w:r>
          </w:p>
        </w:tc>
      </w:tr>
      <w:tr w:rsidR="009360C9" w:rsidRPr="007F4CC8" w14:paraId="5FB9419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E92FB06" w14:textId="77777777" w:rsidR="009360C9" w:rsidRPr="007F4CC8" w:rsidRDefault="009360C9" w:rsidP="006D005E">
            <w:pPr>
              <w:pStyle w:val="Applicationdirecte"/>
              <w:spacing w:before="0" w:after="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67B514C8"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Od čega, otpremnine dodijeljene tijekom financijske godine – isplaćene tijekom financijske godine</w:t>
            </w:r>
          </w:p>
          <w:p w14:paraId="28EB2362"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Iznos otpremnina kako su navedene u članku 94. stavku 1. točki (h) CRD-a dodijeljenih tijekom financijske godine koje su isplaćene tijekom financijske godine.</w:t>
            </w:r>
          </w:p>
        </w:tc>
      </w:tr>
      <w:tr w:rsidR="009360C9" w:rsidRPr="007F4CC8" w14:paraId="118C007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1151EC8" w14:textId="77777777" w:rsidR="009360C9" w:rsidRPr="007F4CC8" w:rsidRDefault="009360C9" w:rsidP="006D005E">
            <w:pPr>
              <w:pStyle w:val="Applicationdirecte"/>
              <w:spacing w:before="0" w:after="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024AC6F6"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Od čega, otpremnine dodijeljene tijekom financijske godine – odgođene</w:t>
            </w:r>
          </w:p>
          <w:p w14:paraId="09BF78DA"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lastRenderedPageBreak/>
              <w:t>Iznosi otpremnina kako su navedene u članku 94. stavku 1. točki (h) CRD-a dodijeljenih tijekom financijske godine koje su odgođene, utvrđeni u skladu s člankom 94. CRD-a.</w:t>
            </w:r>
          </w:p>
        </w:tc>
      </w:tr>
      <w:tr w:rsidR="009360C9" w:rsidRPr="007F4CC8" w14:paraId="71A65F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FB9C35" w14:textId="77777777" w:rsidR="009360C9" w:rsidRPr="007F4CC8" w:rsidRDefault="009360C9" w:rsidP="006D005E">
            <w:pPr>
              <w:pStyle w:val="Applicationdirecte"/>
              <w:spacing w:before="0" w:after="0"/>
              <w:jc w:val="center"/>
            </w:pPr>
            <w:r>
              <w:lastRenderedPageBreak/>
              <w:t>10</w:t>
            </w:r>
          </w:p>
        </w:tc>
        <w:tc>
          <w:tcPr>
            <w:tcW w:w="7655" w:type="dxa"/>
            <w:tcBorders>
              <w:top w:val="single" w:sz="4" w:space="0" w:color="auto"/>
              <w:left w:val="single" w:sz="4" w:space="0" w:color="auto"/>
              <w:bottom w:val="single" w:sz="4" w:space="0" w:color="auto"/>
              <w:right w:val="single" w:sz="4" w:space="0" w:color="auto"/>
            </w:tcBorders>
            <w:vAlign w:val="center"/>
          </w:tcPr>
          <w:p w14:paraId="49A481EB"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Od čega otpremnine isplaćene tijekom financijske godine koje nisu uzete u obzir pri ograničenju bonusa</w:t>
            </w:r>
          </w:p>
          <w:p w14:paraId="471902AA" w14:textId="5379CD8D"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Iznosi otpremnina kako su navedene u članku 94. stavku 1. točki (h) CRD-a isplaćenih tijekom financijske godine, koje nisu uzete u obzir pri ograničenju bonusa.</w:t>
            </w:r>
          </w:p>
          <w:p w14:paraId="25881BFC" w14:textId="0DFBFA22" w:rsidR="009360C9" w:rsidRPr="007F4CC8" w:rsidRDefault="009360C9" w:rsidP="00FD7616">
            <w:pPr>
              <w:spacing w:before="60" w:after="120"/>
              <w:jc w:val="both"/>
              <w:rPr>
                <w:rFonts w:ascii="Times New Roman" w:hAnsi="Times New Roman"/>
                <w:sz w:val="24"/>
              </w:rPr>
            </w:pPr>
            <w:r>
              <w:rPr>
                <w:rFonts w:ascii="Times New Roman" w:hAnsi="Times New Roman"/>
                <w:sz w:val="24"/>
              </w:rPr>
              <w:t xml:space="preserve">U pogledu objavljenih informacija iz članka 450. stavka 1. točke (g) i točke (h) </w:t>
            </w:r>
            <w:proofErr w:type="spellStart"/>
            <w:r>
              <w:rPr>
                <w:rFonts w:ascii="Times New Roman" w:hAnsi="Times New Roman"/>
                <w:sz w:val="24"/>
              </w:rPr>
              <w:t>podtočaka</w:t>
            </w:r>
            <w:proofErr w:type="spellEnd"/>
            <w:r>
              <w:rPr>
                <w:rFonts w:ascii="Times New Roman" w:hAnsi="Times New Roman"/>
                <w:sz w:val="24"/>
              </w:rPr>
              <w:t xml:space="preserve"> v. i vi. CRR-a, institucije jasno navode odražavaju li ukupne kvantitativne informacije o primicima, podijeljene prema području poslovanja, ograničenja bonusa kad su uključene isplate pri zapošljavanju novih radnika i otpremnine.</w:t>
            </w:r>
          </w:p>
        </w:tc>
      </w:tr>
      <w:tr w:rsidR="009360C9" w:rsidRPr="007F4CC8" w14:paraId="58437F9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6A79A03" w14:textId="77777777" w:rsidR="009360C9" w:rsidRPr="007F4CC8" w:rsidRDefault="009360C9" w:rsidP="006D005E">
            <w:pPr>
              <w:pStyle w:val="Applicationdirecte"/>
              <w:spacing w:before="0" w:after="0"/>
              <w:jc w:val="center"/>
            </w:pPr>
            <w:r>
              <w:t>11</w:t>
            </w:r>
          </w:p>
        </w:tc>
        <w:tc>
          <w:tcPr>
            <w:tcW w:w="7655" w:type="dxa"/>
            <w:tcBorders>
              <w:top w:val="single" w:sz="4" w:space="0" w:color="auto"/>
              <w:left w:val="single" w:sz="4" w:space="0" w:color="auto"/>
              <w:bottom w:val="single" w:sz="4" w:space="0" w:color="auto"/>
              <w:right w:val="single" w:sz="4" w:space="0" w:color="auto"/>
            </w:tcBorders>
            <w:vAlign w:val="center"/>
          </w:tcPr>
          <w:p w14:paraId="36CC2E98"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Od čega, otpremnine dodijeljene tijekom financijske godine – najveća isplata koja je dodijeljena jednoj osobi</w:t>
            </w:r>
          </w:p>
          <w:p w14:paraId="52245E53"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Iznos najviše otpremnine, kako je navedena u članku 94. stavku 1. točki (h) CRD-a, dodijeljene jednoj osobi tijekom financijske godine.</w:t>
            </w:r>
          </w:p>
        </w:tc>
      </w:tr>
      <w:tr w:rsidR="009360C9" w:rsidRPr="007F4CC8" w14:paraId="235805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821A0C" w14:textId="77777777" w:rsidR="009360C9" w:rsidRPr="007F4CC8" w:rsidRDefault="009360C9" w:rsidP="006D005E">
            <w:pPr>
              <w:pStyle w:val="TableMainHeading"/>
              <w:spacing w:before="60"/>
              <w:jc w:val="center"/>
              <w:rPr>
                <w:rFonts w:ascii="Times New Roman" w:hAnsi="Times New Roman"/>
                <w:b/>
                <w:sz w:val="24"/>
                <w:szCs w:val="24"/>
              </w:rPr>
            </w:pPr>
            <w:r>
              <w:rPr>
                <w:rFonts w:ascii="Times New Roman" w:hAnsi="Times New Roman"/>
                <w:b/>
                <w:sz w:val="24"/>
                <w:szCs w:val="24"/>
              </w:rPr>
              <w:t>Slovna oznaka stupca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2E0A91" w14:textId="77777777" w:rsidR="009360C9" w:rsidRPr="007F4CC8" w:rsidRDefault="009360C9" w:rsidP="00FD7616">
            <w:pPr>
              <w:pStyle w:val="TableMainHeading"/>
              <w:spacing w:before="60"/>
              <w:jc w:val="both"/>
              <w:rPr>
                <w:rFonts w:ascii="Times New Roman" w:hAnsi="Times New Roman"/>
                <w:b/>
                <w:sz w:val="24"/>
                <w:szCs w:val="24"/>
              </w:rPr>
            </w:pPr>
            <w:r>
              <w:rPr>
                <w:rFonts w:ascii="Times New Roman" w:hAnsi="Times New Roman"/>
                <w:b/>
                <w:sz w:val="24"/>
                <w:szCs w:val="24"/>
              </w:rPr>
              <w:t>Objašnjenje</w:t>
            </w:r>
          </w:p>
        </w:tc>
      </w:tr>
      <w:tr w:rsidR="009360C9" w:rsidRPr="007F4CC8" w14:paraId="10C4563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E0EBD2" w14:textId="77777777" w:rsidR="009360C9" w:rsidRPr="007F4CC8" w:rsidRDefault="009360C9"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9C387B2" w14:textId="77777777"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Upravljačko tijelo, nadzorna funkcija</w:t>
            </w:r>
          </w:p>
          <w:p w14:paraId="2D39782E"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Upravljačko tijelo u nadzornoj funkciji, kao upravljačko tijelo u ulozi nadziranja i praćenja odlučivanja u vezi s upravljanjem, kako je definirano u članku 3. stavku 1. točki 8. CRD-a (broj zaposlenika).</w:t>
            </w:r>
          </w:p>
        </w:tc>
      </w:tr>
      <w:tr w:rsidR="009360C9" w:rsidRPr="007F4CC8" w14:paraId="74A254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72D5570" w14:textId="77777777" w:rsidR="009360C9" w:rsidRPr="007F4CC8" w:rsidRDefault="009360C9"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13381C5" w14:textId="16B7A46D"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Upravljačko tijelo, upravljačka funkcija</w:t>
            </w:r>
          </w:p>
          <w:p w14:paraId="300616B8"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Članovi upravljačkog tijela koji su odgovorni za upravljačke funkcije (broj zaposlenika).</w:t>
            </w:r>
          </w:p>
        </w:tc>
      </w:tr>
      <w:tr w:rsidR="009360C9" w:rsidRPr="007F4CC8" w14:paraId="14DD2C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90BF08" w14:textId="77777777" w:rsidR="009360C9" w:rsidRPr="007F4CC8" w:rsidRDefault="009360C9" w:rsidP="006D005E">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5FD4FD3" w14:textId="77777777"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Ostalo više rukovodstvo</w:t>
            </w:r>
          </w:p>
          <w:p w14:paraId="71EC3B26" w14:textId="77777777" w:rsidR="009360C9" w:rsidRPr="007F4CC8" w:rsidRDefault="009360C9" w:rsidP="00FD761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Više rukovodstvo kako je definirano u članku 3. stavku 1. točki 9. CRD-a.</w:t>
            </w:r>
          </w:p>
          <w:p w14:paraId="0EA6176B" w14:textId="77777777" w:rsidR="009360C9" w:rsidRPr="007F4CC8" w:rsidRDefault="009360C9" w:rsidP="00FD7616">
            <w:pPr>
              <w:autoSpaceDE w:val="0"/>
              <w:autoSpaceDN w:val="0"/>
              <w:adjustRightInd w:val="0"/>
              <w:spacing w:before="60" w:after="120"/>
              <w:jc w:val="both"/>
              <w:rPr>
                <w:rFonts w:ascii="Times New Roman" w:hAnsi="Times New Roman"/>
                <w:sz w:val="24"/>
              </w:rPr>
            </w:pPr>
            <w:r>
              <w:rPr>
                <w:rFonts w:ascii="Times New Roman" w:hAnsi="Times New Roman"/>
                <w:sz w:val="24"/>
              </w:rPr>
              <w:t>Institucije objavljuju broj članova višeg rukovodstva koji nije objavljen u okviru naslova Upravljačko tijelo u upravljačkoj funkciji i Ostali identificirani zaposlenici (EPRV).</w:t>
            </w:r>
          </w:p>
        </w:tc>
      </w:tr>
      <w:tr w:rsidR="009360C9" w:rsidRPr="007F4CC8" w14:paraId="10EE10A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EDF50" w14:textId="77777777" w:rsidR="009360C9" w:rsidRPr="007F4CC8" w:rsidRDefault="009360C9"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DF9C093"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Ostali identificirani zaposlenici</w:t>
            </w:r>
          </w:p>
          <w:p w14:paraId="715DB04D" w14:textId="1E2B944F" w:rsidR="009360C9" w:rsidRPr="007F4CC8" w:rsidRDefault="009360C9" w:rsidP="00FD7616">
            <w:pPr>
              <w:spacing w:after="120"/>
              <w:jc w:val="both"/>
              <w:rPr>
                <w:rFonts w:ascii="Times New Roman" w:hAnsi="Times New Roman" w:cs="Times New Roman"/>
                <w:sz w:val="24"/>
              </w:rPr>
            </w:pPr>
            <w:r>
              <w:rPr>
                <w:rFonts w:ascii="Times New Roman" w:hAnsi="Times New Roman"/>
                <w:sz w:val="24"/>
              </w:rPr>
              <w:t>Ostali zaposlenici, osim članova upravljačkog tijela u nadzornoj ili upravljačkoj funkciji i osim višeg rukovodstva, čije profesionalne aktivnosti imaju značajan utjecaj na profil rizičnosti institucije, u skladu s kriterijima utvrđenima u Delegiranoj uredbi Komisije o identificiranim zaposlenicima, u skladu s člankom 94. stavkom 2. CRD-a, i prema potrebi dodatno na temelju kriterija institucije.</w:t>
            </w:r>
          </w:p>
          <w:p w14:paraId="32415F34"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lastRenderedPageBreak/>
              <w:t>Institucije u ovaj obrazac mogu uključiti raščlambu prema dijelovima poslovanja predloženu u obrascu EU REM5 (EPRV).</w:t>
            </w:r>
          </w:p>
        </w:tc>
      </w:tr>
    </w:tbl>
    <w:p w14:paraId="1801AA71" w14:textId="77777777" w:rsidR="009360C9" w:rsidRPr="007F4CC8" w:rsidRDefault="009360C9" w:rsidP="009360C9">
      <w:pPr>
        <w:rPr>
          <w:rFonts w:ascii="Times New Roman" w:eastAsia="Times New Roman" w:hAnsi="Times New Roman" w:cs="Times New Roman"/>
          <w:sz w:val="24"/>
          <w:highlight w:val="yellow"/>
        </w:rPr>
      </w:pPr>
    </w:p>
    <w:p w14:paraId="12F46760" w14:textId="74D94FB8" w:rsidR="009360C9" w:rsidRPr="007F4CC8" w:rsidRDefault="00D95507"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Obrazac EU REM3 – Odgođeni primici: </w:t>
      </w:r>
      <w:r>
        <w:rPr>
          <w:rFonts w:ascii="Times New Roman" w:hAnsi="Times New Roman"/>
          <w:color w:val="auto"/>
          <w:sz w:val="24"/>
        </w:rPr>
        <w:t>Fiksan format</w:t>
      </w:r>
    </w:p>
    <w:p w14:paraId="452E9BCD" w14:textId="2FB1DD7F"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 xml:space="preserve">Institucije objavljuju informacije iz članka 450. stavka 1. točke (h) </w:t>
      </w:r>
      <w:proofErr w:type="spellStart"/>
      <w:r>
        <w:rPr>
          <w:rFonts w:ascii="Times New Roman" w:hAnsi="Times New Roman"/>
          <w:bCs w:val="0"/>
          <w:color w:val="auto"/>
          <w:sz w:val="24"/>
        </w:rPr>
        <w:t>podtočaka</w:t>
      </w:r>
      <w:proofErr w:type="spellEnd"/>
      <w:r>
        <w:rPr>
          <w:rFonts w:ascii="Times New Roman" w:hAnsi="Times New Roman"/>
          <w:bCs w:val="0"/>
          <w:color w:val="auto"/>
          <w:sz w:val="24"/>
        </w:rPr>
        <w:t xml:space="preserve"> od iii. do iv. CRR-a prateći upute u nastavku ovog Priloga za popunjavanje obrasca EU REM3 iz Priloga XXXIII. ovoj Provedbenoj uredbi.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501591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BDDB8" w14:textId="77777777" w:rsidR="009360C9" w:rsidRPr="007F4CC8" w:rsidRDefault="009360C9" w:rsidP="00155C96">
            <w:pPr>
              <w:rPr>
                <w:rFonts w:ascii="Times New Roman" w:hAnsi="Times New Roman" w:cs="Times New Roman"/>
                <w:b/>
                <w:sz w:val="24"/>
              </w:rPr>
            </w:pPr>
            <w:r>
              <w:rPr>
                <w:rFonts w:ascii="Times New Roman" w:hAnsi="Times New Roman"/>
                <w:b/>
                <w:sz w:val="24"/>
              </w:rPr>
              <w:t>Pravna osnova i upute</w:t>
            </w:r>
          </w:p>
        </w:tc>
      </w:tr>
      <w:tr w:rsidR="009360C9" w:rsidRPr="007F4CC8" w14:paraId="2A960F4D" w14:textId="77777777" w:rsidTr="00155C96">
        <w:trPr>
          <w:trHeight w:val="238"/>
        </w:trPr>
        <w:tc>
          <w:tcPr>
            <w:tcW w:w="1384" w:type="dxa"/>
            <w:shd w:val="clear" w:color="auto" w:fill="D9D9D9" w:themeFill="background1" w:themeFillShade="D9"/>
          </w:tcPr>
          <w:p w14:paraId="668CA9EF"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3D60186E"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9360C9" w:rsidRPr="007F4CC8" w14:paraId="12BC81E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D5C08F" w14:textId="77777777" w:rsidR="009360C9" w:rsidRPr="007F4CC8" w:rsidRDefault="009360C9" w:rsidP="006D005E">
            <w:pPr>
              <w:pStyle w:val="Applicationdirecte"/>
              <w:spacing w:before="0" w:after="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784901A4" w14:textId="77777777" w:rsidR="009360C9" w:rsidRPr="009D2F9B"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Upravljačko tijelo, nadzorna funkcija</w:t>
            </w:r>
          </w:p>
          <w:p w14:paraId="23D0ECA9"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Upravljačko tijelo u nadzornoj funkciji, kao upravljačko tijelo u ulozi nadziranja i praćenja odlučivanja u vezi s upravljanjem, kako je definirano u članku 3. stavku 1. točki 8. CRD-a.</w:t>
            </w:r>
          </w:p>
          <w:p w14:paraId="2113E17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Zbroj iznosa iz redaka 2, 3, 4, 5 i 6 ovog obrasca.</w:t>
            </w:r>
          </w:p>
        </w:tc>
      </w:tr>
      <w:tr w:rsidR="009360C9" w:rsidRPr="007F4CC8" w14:paraId="754FC34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4D0F45A" w14:textId="77777777" w:rsidR="009360C9" w:rsidRPr="007F4CC8" w:rsidRDefault="009360C9" w:rsidP="006D005E">
            <w:pPr>
              <w:pStyle w:val="Applicationdirecte"/>
              <w:spacing w:before="0" w:after="0"/>
              <w:jc w:val="center"/>
            </w:pPr>
            <w:r>
              <w:t>2, 8, 14 i 20</w:t>
            </w:r>
          </w:p>
        </w:tc>
        <w:tc>
          <w:tcPr>
            <w:tcW w:w="7655" w:type="dxa"/>
            <w:tcBorders>
              <w:top w:val="single" w:sz="4" w:space="0" w:color="auto"/>
              <w:left w:val="single" w:sz="4" w:space="0" w:color="auto"/>
              <w:bottom w:val="single" w:sz="4" w:space="0" w:color="auto"/>
              <w:right w:val="single" w:sz="4" w:space="0" w:color="auto"/>
            </w:tcBorders>
            <w:vAlign w:val="center"/>
          </w:tcPr>
          <w:p w14:paraId="3F3B14AF" w14:textId="77777777" w:rsidR="009360C9" w:rsidRPr="009D2F9B" w:rsidRDefault="009360C9" w:rsidP="00155C96">
            <w:pPr>
              <w:spacing w:before="60" w:after="120"/>
              <w:jc w:val="both"/>
              <w:rPr>
                <w:rFonts w:ascii="Times New Roman" w:hAnsi="Times New Roman"/>
                <w:b/>
                <w:sz w:val="24"/>
              </w:rPr>
            </w:pPr>
            <w:r>
              <w:rPr>
                <w:rFonts w:ascii="Times New Roman" w:hAnsi="Times New Roman"/>
                <w:b/>
                <w:sz w:val="24"/>
              </w:rPr>
              <w:t>Novčani</w:t>
            </w:r>
          </w:p>
          <w:p w14:paraId="58955E4E"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Iznos novčanih primitaka u okviru varijabilnih primitaka.</w:t>
            </w:r>
          </w:p>
        </w:tc>
      </w:tr>
      <w:tr w:rsidR="009360C9" w:rsidRPr="007F4CC8" w14:paraId="52E22F6B"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037F0B" w14:textId="77777777" w:rsidR="009360C9" w:rsidRPr="007F4CC8" w:rsidRDefault="009360C9" w:rsidP="006D005E">
            <w:pPr>
              <w:pStyle w:val="Applicationdirecte"/>
              <w:spacing w:before="0" w:after="0"/>
              <w:jc w:val="center"/>
            </w:pPr>
            <w:r>
              <w:t>3, 9, 15 i 21</w:t>
            </w:r>
          </w:p>
        </w:tc>
        <w:tc>
          <w:tcPr>
            <w:tcW w:w="7655" w:type="dxa"/>
            <w:tcBorders>
              <w:top w:val="single" w:sz="4" w:space="0" w:color="auto"/>
              <w:left w:val="single" w:sz="4" w:space="0" w:color="auto"/>
              <w:bottom w:val="single" w:sz="4" w:space="0" w:color="auto"/>
              <w:right w:val="single" w:sz="4" w:space="0" w:color="auto"/>
            </w:tcBorders>
            <w:vAlign w:val="center"/>
          </w:tcPr>
          <w:p w14:paraId="712D9366" w14:textId="77777777" w:rsidR="009360C9" w:rsidRPr="009D2F9B"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 xml:space="preserve">Dionice ili istovrijedni vlasnički udjeli </w:t>
            </w:r>
          </w:p>
          <w:p w14:paraId="7C7C980D" w14:textId="77777777" w:rsidR="009360C9" w:rsidRPr="007F4CC8" w:rsidRDefault="009360C9" w:rsidP="00155C96">
            <w:pPr>
              <w:spacing w:before="60" w:after="120"/>
              <w:jc w:val="both"/>
              <w:rPr>
                <w:rFonts w:ascii="Times New Roman" w:hAnsi="Times New Roman"/>
                <w:b/>
                <w:sz w:val="24"/>
              </w:rPr>
            </w:pPr>
            <w:r>
              <w:rPr>
                <w:rFonts w:ascii="Times New Roman" w:hAnsi="Times New Roman"/>
                <w:sz w:val="24"/>
              </w:rPr>
              <w:t>Zbroj iznosa dionica ili istovjetnih vlasničkih udjela, ovisno o pravnoj strukturi dotične institucije iz članka 94. stavka 1. točke (l) podtočke i. CRD-a, u okviru varijabilnih primitaka.</w:t>
            </w:r>
          </w:p>
        </w:tc>
      </w:tr>
      <w:tr w:rsidR="009360C9" w:rsidRPr="007F4CC8" w14:paraId="675D7F8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A421016" w14:textId="77777777" w:rsidR="009360C9" w:rsidRPr="007F4CC8" w:rsidRDefault="009360C9" w:rsidP="006D005E">
            <w:pPr>
              <w:pStyle w:val="Applicationdirecte"/>
              <w:spacing w:before="0" w:after="0"/>
              <w:jc w:val="center"/>
            </w:pPr>
            <w:r>
              <w:t>4, 10, 16 i 22</w:t>
            </w:r>
          </w:p>
        </w:tc>
        <w:tc>
          <w:tcPr>
            <w:tcW w:w="7655" w:type="dxa"/>
            <w:tcBorders>
              <w:top w:val="single" w:sz="4" w:space="0" w:color="auto"/>
              <w:left w:val="single" w:sz="4" w:space="0" w:color="auto"/>
              <w:bottom w:val="single" w:sz="4" w:space="0" w:color="auto"/>
              <w:right w:val="single" w:sz="4" w:space="0" w:color="auto"/>
            </w:tcBorders>
            <w:vAlign w:val="center"/>
          </w:tcPr>
          <w:p w14:paraId="636FEB44" w14:textId="77777777" w:rsidR="009360C9" w:rsidRPr="00E94B0F"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 xml:space="preserve">Instrumenti povezani s dionicama ili istovrijedni nenovčani instrumenti </w:t>
            </w:r>
          </w:p>
          <w:p w14:paraId="57A17049"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Zbroj iznosa instrumenata povezanih s dionicama ili istovrijednih nenovčanih instrumenata iz članka 94. stavka 1. točke (l) podtočke i. CRD-a, u okviru varijabilnih primitaka.</w:t>
            </w:r>
          </w:p>
        </w:tc>
      </w:tr>
      <w:tr w:rsidR="009360C9" w:rsidRPr="007F4CC8" w14:paraId="02BA444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08F2442D" w14:textId="77777777" w:rsidR="009360C9" w:rsidRPr="007F4CC8" w:rsidRDefault="009360C9" w:rsidP="006D005E">
            <w:pPr>
              <w:pStyle w:val="Applicationdirecte"/>
              <w:spacing w:before="0" w:after="0"/>
              <w:jc w:val="center"/>
            </w:pPr>
            <w:r>
              <w:t>5, 11, 17 i 23</w:t>
            </w:r>
          </w:p>
        </w:tc>
        <w:tc>
          <w:tcPr>
            <w:tcW w:w="7655" w:type="dxa"/>
            <w:tcBorders>
              <w:top w:val="single" w:sz="4" w:space="0" w:color="auto"/>
              <w:left w:val="single" w:sz="4" w:space="0" w:color="auto"/>
              <w:bottom w:val="single" w:sz="4" w:space="0" w:color="auto"/>
              <w:right w:val="single" w:sz="4" w:space="0" w:color="auto"/>
            </w:tcBorders>
            <w:vAlign w:val="center"/>
          </w:tcPr>
          <w:p w14:paraId="512E1590" w14:textId="77777777" w:rsidR="009360C9" w:rsidRPr="00E94B0F" w:rsidRDefault="009360C9" w:rsidP="00155C96">
            <w:pPr>
              <w:spacing w:before="60" w:after="120"/>
              <w:jc w:val="both"/>
              <w:rPr>
                <w:rFonts w:ascii="Times New Roman" w:hAnsi="Times New Roman"/>
                <w:b/>
                <w:sz w:val="24"/>
              </w:rPr>
            </w:pPr>
            <w:r>
              <w:rPr>
                <w:rFonts w:ascii="Times New Roman" w:hAnsi="Times New Roman"/>
                <w:b/>
                <w:sz w:val="24"/>
              </w:rPr>
              <w:t>Ostali instrumenti</w:t>
            </w:r>
          </w:p>
          <w:p w14:paraId="6FFE1D63"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Iznos ostalih instrumenata iz članka 94. stavka 1. točke (l) podtočke ii. CRD-a, u okviru varijabilnih primitaka.</w:t>
            </w:r>
          </w:p>
        </w:tc>
      </w:tr>
      <w:tr w:rsidR="009360C9" w:rsidRPr="007F4CC8" w14:paraId="130CCCD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ED9D4B9" w14:textId="77777777" w:rsidR="009360C9" w:rsidRPr="007F4CC8" w:rsidRDefault="009360C9" w:rsidP="006D005E">
            <w:pPr>
              <w:pStyle w:val="Applicationdirecte"/>
              <w:spacing w:before="0" w:after="0"/>
              <w:jc w:val="center"/>
            </w:pPr>
            <w:r>
              <w:t>6, 12, 18 i 24</w:t>
            </w:r>
          </w:p>
        </w:tc>
        <w:tc>
          <w:tcPr>
            <w:tcW w:w="7655" w:type="dxa"/>
            <w:tcBorders>
              <w:top w:val="single" w:sz="4" w:space="0" w:color="auto"/>
              <w:left w:val="single" w:sz="4" w:space="0" w:color="auto"/>
              <w:bottom w:val="single" w:sz="4" w:space="0" w:color="auto"/>
              <w:right w:val="single" w:sz="4" w:space="0" w:color="auto"/>
            </w:tcBorders>
            <w:vAlign w:val="center"/>
          </w:tcPr>
          <w:p w14:paraId="45C285E4" w14:textId="77777777" w:rsidR="009360C9" w:rsidRPr="00E94B0F"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Ostali oblici</w:t>
            </w:r>
          </w:p>
          <w:p w14:paraId="52974DA6"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Iznosi varijabilnih primitaka, osim onih objavljenih u redcima „novčani”, „dionice ili istovjetni vlasnički udjeli, ovisno o pravnoj strukturi dotične institucije ili instrumenti povezani s dionicama ili istovrijedni nenovčani instrumenti” ili „ostali instrumenti”.</w:t>
            </w:r>
          </w:p>
          <w:p w14:paraId="118AC0A2"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To može uključivati proporcionalne redovite mirovinske doprinose ili pogodnosti (ako se za te pogodnosti ne uzimaju u obzir kriteriji uspješnosti) iz uvodne izjave 64. CRD-a ili druge oblike primitaka kao što su naknade za korištenje automobila.</w:t>
            </w:r>
          </w:p>
        </w:tc>
      </w:tr>
      <w:tr w:rsidR="009360C9" w:rsidRPr="007F4CC8" w14:paraId="066005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D1AFA3E" w14:textId="77777777" w:rsidR="009360C9" w:rsidRPr="007F4CC8" w:rsidRDefault="009360C9" w:rsidP="006D005E">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3EFF07D2" w14:textId="77777777" w:rsidR="009360C9" w:rsidRPr="00E94B0F"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 xml:space="preserve">Upravljačko tijelo, upravljačka funkcija </w:t>
            </w:r>
          </w:p>
          <w:p w14:paraId="58DBE153"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Članovi upravljačkog tijela koji su odgovorni za upravljačke funkcije; zbroj iznosa iz redaka 8, 9, 10, 11 i 12 ovog obrasca.</w:t>
            </w:r>
          </w:p>
        </w:tc>
      </w:tr>
      <w:tr w:rsidR="009360C9" w:rsidRPr="007F4CC8" w14:paraId="17A5791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CBCB2AA" w14:textId="77777777" w:rsidR="009360C9" w:rsidRPr="007F4CC8" w:rsidRDefault="009360C9" w:rsidP="006D005E">
            <w:pPr>
              <w:pStyle w:val="Applicationdirecte"/>
              <w:spacing w:before="0" w:after="0"/>
              <w:jc w:val="center"/>
            </w:pPr>
            <w:r>
              <w:lastRenderedPageBreak/>
              <w:t>13</w:t>
            </w:r>
          </w:p>
        </w:tc>
        <w:tc>
          <w:tcPr>
            <w:tcW w:w="7655" w:type="dxa"/>
            <w:tcBorders>
              <w:top w:val="single" w:sz="4" w:space="0" w:color="auto"/>
              <w:left w:val="single" w:sz="4" w:space="0" w:color="auto"/>
              <w:bottom w:val="single" w:sz="4" w:space="0" w:color="auto"/>
              <w:right w:val="single" w:sz="4" w:space="0" w:color="auto"/>
            </w:tcBorders>
            <w:vAlign w:val="center"/>
          </w:tcPr>
          <w:p w14:paraId="5E1EE099" w14:textId="77777777" w:rsidR="009360C9" w:rsidRPr="00E94B0F"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Ostalo više rukovodstvo</w:t>
            </w:r>
          </w:p>
          <w:p w14:paraId="619B3A4D"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Više rukovodstvo kako je definirano u članku 3. stavku 1. točki 9. CRD-a; zbroj iznosa iz redaka 14, 15, 16, 17 i 18 ovog obrasca.</w:t>
            </w:r>
          </w:p>
          <w:p w14:paraId="1B188B52"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Institucije objavljuju broj članova višeg rukovodstva koji nije objavljen u okviru naslova Upravljačko tijelo u upravljačkoj funkciji i Ostali identificirani zaposlenici.</w:t>
            </w:r>
          </w:p>
        </w:tc>
      </w:tr>
      <w:tr w:rsidR="009360C9" w:rsidRPr="007F4CC8" w14:paraId="778AC8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2453CF" w14:textId="77777777" w:rsidR="009360C9" w:rsidRPr="007F4CC8" w:rsidRDefault="009360C9" w:rsidP="006D005E">
            <w:pPr>
              <w:pStyle w:val="Applicationdirecte"/>
              <w:spacing w:before="0" w:after="0"/>
              <w:jc w:val="center"/>
            </w:pPr>
            <w:r>
              <w:t>19</w:t>
            </w:r>
          </w:p>
        </w:tc>
        <w:tc>
          <w:tcPr>
            <w:tcW w:w="7655" w:type="dxa"/>
            <w:tcBorders>
              <w:top w:val="single" w:sz="4" w:space="0" w:color="auto"/>
              <w:left w:val="single" w:sz="4" w:space="0" w:color="auto"/>
              <w:bottom w:val="single" w:sz="4" w:space="0" w:color="auto"/>
              <w:right w:val="single" w:sz="4" w:space="0" w:color="auto"/>
            </w:tcBorders>
            <w:vAlign w:val="center"/>
          </w:tcPr>
          <w:p w14:paraId="06AFF2DC" w14:textId="77777777" w:rsidR="009360C9" w:rsidRPr="00E94B0F" w:rsidRDefault="009360C9" w:rsidP="00155C96">
            <w:pPr>
              <w:spacing w:before="60" w:after="120"/>
              <w:jc w:val="both"/>
              <w:rPr>
                <w:rFonts w:ascii="Times New Roman" w:hAnsi="Times New Roman"/>
                <w:b/>
                <w:sz w:val="24"/>
              </w:rPr>
            </w:pPr>
            <w:r>
              <w:rPr>
                <w:rFonts w:ascii="Times New Roman" w:hAnsi="Times New Roman"/>
                <w:b/>
                <w:sz w:val="24"/>
              </w:rPr>
              <w:t>Ostali identificirani zaposlenici</w:t>
            </w:r>
          </w:p>
          <w:p w14:paraId="2704A06A"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Ostali zaposlenici, osim članova upravljačkog tijela u nadzornoj ili upravljačkoj funkciji i osim višeg rukovodstva, čije profesionalne aktivnosti imaju značajan utjecaj na profil rizičnosti institucije, u skladu s kriterijima utvrđenima u Delegiranoj uredbi Komisije o identificiranim zaposlenicima, u skladu s člankom 94. stavkom 2. CRD-a, i prema potrebi dodatno na temelju kriterija institucije. zbroj iznosa iz redaka 20, 21, 22, 23 i 24 ovog obrasca.</w:t>
            </w:r>
          </w:p>
        </w:tc>
      </w:tr>
      <w:tr w:rsidR="009360C9" w:rsidRPr="007F4CC8" w14:paraId="5E5D97D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42F5E4" w14:textId="77777777" w:rsidR="009360C9" w:rsidRPr="007F4CC8" w:rsidRDefault="009360C9" w:rsidP="006D005E">
            <w:pPr>
              <w:pStyle w:val="Applicationdirecte"/>
              <w:spacing w:before="0" w:after="0"/>
              <w:jc w:val="center"/>
            </w:pPr>
            <w:r>
              <w:t>25</w:t>
            </w:r>
          </w:p>
        </w:tc>
        <w:tc>
          <w:tcPr>
            <w:tcW w:w="7655" w:type="dxa"/>
            <w:tcBorders>
              <w:top w:val="single" w:sz="4" w:space="0" w:color="auto"/>
              <w:left w:val="single" w:sz="4" w:space="0" w:color="auto"/>
              <w:bottom w:val="single" w:sz="4" w:space="0" w:color="auto"/>
              <w:right w:val="single" w:sz="4" w:space="0" w:color="auto"/>
            </w:tcBorders>
            <w:vAlign w:val="center"/>
          </w:tcPr>
          <w:p w14:paraId="7DDFE465" w14:textId="25CFD443" w:rsidR="009360C9" w:rsidRPr="00E94B0F" w:rsidRDefault="002B7ED3" w:rsidP="00155C96">
            <w:pPr>
              <w:spacing w:before="60" w:after="120"/>
              <w:jc w:val="both"/>
              <w:rPr>
                <w:rFonts w:ascii="Times New Roman" w:hAnsi="Times New Roman"/>
                <w:b/>
                <w:sz w:val="24"/>
              </w:rPr>
            </w:pPr>
            <w:r>
              <w:rPr>
                <w:rFonts w:ascii="Times New Roman" w:hAnsi="Times New Roman"/>
                <w:b/>
                <w:sz w:val="24"/>
              </w:rPr>
              <w:t>Ukupan iznos</w:t>
            </w:r>
          </w:p>
          <w:p w14:paraId="1149FC38"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Zbroj iznosa iz redaka 1, 7, 13 i 19 ovog obrasca.</w:t>
            </w:r>
          </w:p>
        </w:tc>
      </w:tr>
      <w:tr w:rsidR="009360C9" w:rsidRPr="007F4CC8" w14:paraId="24615E4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9695A7" w14:textId="77777777" w:rsidR="009360C9" w:rsidRPr="007F4CC8" w:rsidRDefault="009360C9" w:rsidP="006D005E">
            <w:pPr>
              <w:pStyle w:val="TableMainHeading"/>
              <w:spacing w:before="60"/>
              <w:jc w:val="center"/>
              <w:rPr>
                <w:rFonts w:ascii="Times New Roman" w:hAnsi="Times New Roman"/>
                <w:b/>
                <w:sz w:val="24"/>
                <w:szCs w:val="24"/>
              </w:rPr>
            </w:pPr>
            <w:r>
              <w:rPr>
                <w:rFonts w:ascii="Times New Roman" w:hAnsi="Times New Roman"/>
                <w:b/>
                <w:sz w:val="24"/>
                <w:szCs w:val="24"/>
              </w:rPr>
              <w:t>Slovna oznaka stupca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F8083F"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Objašnjenje</w:t>
            </w:r>
          </w:p>
        </w:tc>
      </w:tr>
      <w:tr w:rsidR="009360C9" w:rsidRPr="007F4CC8" w14:paraId="1E6057F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669F01B" w14:textId="77777777" w:rsidR="009360C9" w:rsidRPr="007F4CC8" w:rsidRDefault="009360C9"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92D0563" w14:textId="77777777" w:rsidR="009360C9" w:rsidRPr="00E94B0F" w:rsidRDefault="009360C9" w:rsidP="00155C96">
            <w:pPr>
              <w:spacing w:after="120"/>
              <w:jc w:val="both"/>
              <w:rPr>
                <w:rFonts w:ascii="Times New Roman" w:hAnsi="Times New Roman"/>
                <w:b/>
                <w:color w:val="000000"/>
                <w:sz w:val="24"/>
              </w:rPr>
            </w:pPr>
            <w:r>
              <w:rPr>
                <w:rFonts w:ascii="Times New Roman" w:hAnsi="Times New Roman"/>
                <w:b/>
                <w:color w:val="000000"/>
                <w:sz w:val="24"/>
              </w:rPr>
              <w:t xml:space="preserve">Ukupan </w:t>
            </w:r>
            <w:r>
              <w:rPr>
                <w:rFonts w:ascii="Times New Roman" w:hAnsi="Times New Roman"/>
                <w:b/>
                <w:sz w:val="24"/>
              </w:rPr>
              <w:t>iznos odgođenih primitaka dodijeljenih za prethodna razdoblja uspješnosti</w:t>
            </w:r>
          </w:p>
          <w:p w14:paraId="7F348F09"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Iznos odgođenih primitaka, kako su utvrđeni u skladu s člankom 94. CRD-a, dodijeljenih za prethodna razdoblja uspješnosti (zbroj iznosa u stupcima b i c ovog obrasca).</w:t>
            </w:r>
          </w:p>
        </w:tc>
      </w:tr>
      <w:tr w:rsidR="009360C9" w:rsidRPr="007F4CC8" w14:paraId="457DE3A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1A5BD7" w14:textId="77777777" w:rsidR="009360C9" w:rsidRPr="007F4CC8" w:rsidRDefault="009360C9"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B423627"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od čega iznos za koji se pravo iz primitaka prenosi u financijskoj godini</w:t>
            </w:r>
          </w:p>
          <w:p w14:paraId="56243123" w14:textId="77777777" w:rsidR="009360C9" w:rsidRPr="007F4CC8" w:rsidRDefault="009360C9" w:rsidP="00155C96">
            <w:pPr>
              <w:spacing w:after="120"/>
              <w:jc w:val="both"/>
              <w:rPr>
                <w:rFonts w:ascii="Times New Roman" w:hAnsi="Times New Roman"/>
                <w:color w:val="000000"/>
                <w:sz w:val="24"/>
              </w:rPr>
            </w:pPr>
            <w:r>
              <w:rPr>
                <w:rFonts w:ascii="Times New Roman" w:hAnsi="Times New Roman"/>
                <w:sz w:val="24"/>
              </w:rPr>
              <w:t>Iznos odgođenih primitaka dodijeljenih za prethodna razdoblja uspješnosti, kako su utvrđeni u skladu s člankom 94. CRD-a, za koji se pravo iz primitaka prenosi u financijskoj godini.</w:t>
            </w:r>
          </w:p>
        </w:tc>
      </w:tr>
      <w:tr w:rsidR="009360C9" w:rsidRPr="007F4CC8" w14:paraId="2683D16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946D7F" w14:textId="77777777" w:rsidR="009360C9" w:rsidRPr="007F4CC8" w:rsidRDefault="009360C9" w:rsidP="006D005E">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E39481A"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od čega iznos za koji se pravo iz primitaka prenosi u narednim financijskim godinama</w:t>
            </w:r>
          </w:p>
          <w:p w14:paraId="168FD24F" w14:textId="77777777" w:rsidR="009360C9" w:rsidRPr="007F4CC8" w:rsidRDefault="009360C9" w:rsidP="00155C96">
            <w:pPr>
              <w:spacing w:after="120"/>
              <w:jc w:val="both"/>
              <w:rPr>
                <w:rFonts w:ascii="Times New Roman" w:hAnsi="Times New Roman"/>
                <w:color w:val="000000"/>
                <w:sz w:val="24"/>
              </w:rPr>
            </w:pPr>
            <w:r>
              <w:rPr>
                <w:rFonts w:ascii="Times New Roman" w:hAnsi="Times New Roman"/>
                <w:sz w:val="24"/>
              </w:rPr>
              <w:t>Iznos odgođenih primitaka dodijeljenih za prethodna razdoblja uspješnosti, kako su utvrđeni u skladu s člankom 94. CRD-a, za koji se pravo iz primitaka prenosi u narednim financijskim godinama.</w:t>
            </w:r>
          </w:p>
        </w:tc>
      </w:tr>
      <w:tr w:rsidR="009360C9" w:rsidRPr="007F4CC8" w14:paraId="7B3381C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0538CE" w14:textId="77777777" w:rsidR="009360C9" w:rsidRPr="007F4CC8" w:rsidRDefault="009360C9"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25610F41"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Iznos usklađenja s uspješnošću izvršenog u financijskoj godini za odgođene primitke za koje se pravo iz primitaka prenosi u financijskoj godini</w:t>
            </w:r>
          </w:p>
          <w:p w14:paraId="1792F0FB"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Iznos usklađenja s uspješnošću za odgođene primitke, kako je utvrđeno u skladu s člankom 94. CRD-a, za koje se pravo iz primitaka prenosi u financijskoj godini.</w:t>
            </w:r>
          </w:p>
        </w:tc>
      </w:tr>
      <w:tr w:rsidR="009360C9" w:rsidRPr="007F4CC8" w14:paraId="0177771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06C321" w14:textId="77777777" w:rsidR="009360C9" w:rsidRPr="007F4CC8" w:rsidRDefault="009360C9" w:rsidP="006D005E">
            <w:pPr>
              <w:pStyle w:val="Applicationdirecte"/>
              <w:spacing w:before="0" w:after="0"/>
              <w:jc w:val="center"/>
            </w:pPr>
            <w:r>
              <w:lastRenderedPageBreak/>
              <w:t>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8788B00"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Iznos usklađenja s uspješnošću izvršenog u financijskoj godini za odgođene primitke za koje se pravo iz primitaka prenosi u narednim financijskim godinama</w:t>
            </w:r>
          </w:p>
          <w:p w14:paraId="237959D1"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Iznos usklađenja s uspješnošću za odgođene primitke, kako je utvrđeno u skladu s člankom 94. CRD-a, za koje se pravo iz primitaka prenosi u narednim financijskim godinama.</w:t>
            </w:r>
          </w:p>
        </w:tc>
      </w:tr>
      <w:tr w:rsidR="009360C9" w:rsidRPr="007F4CC8" w14:paraId="6CDE905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20E18E" w14:textId="77777777" w:rsidR="009360C9" w:rsidRPr="007F4CC8" w:rsidRDefault="009360C9" w:rsidP="006D005E">
            <w:pPr>
              <w:pStyle w:val="Applicationdirecte"/>
              <w:spacing w:before="0" w:after="0"/>
              <w:jc w:val="center"/>
            </w:pPr>
            <w:r>
              <w:t>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B79FEE0"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Ukupan iznos</w:t>
            </w:r>
            <w:r>
              <w:rPr>
                <w:b/>
              </w:rPr>
              <w:t xml:space="preserve"> </w:t>
            </w:r>
            <w:r>
              <w:rPr>
                <w:rFonts w:ascii="Times New Roman" w:hAnsi="Times New Roman"/>
                <w:b/>
                <w:sz w:val="24"/>
              </w:rPr>
              <w:t xml:space="preserve">usklađenja tijekom financijske godine zbog implicitnih </w:t>
            </w:r>
            <w:r>
              <w:rPr>
                <w:rFonts w:ascii="Times New Roman" w:hAnsi="Times New Roman"/>
                <w:b/>
                <w:i/>
                <w:sz w:val="24"/>
              </w:rPr>
              <w:t>ex post</w:t>
            </w:r>
            <w:r>
              <w:rPr>
                <w:rFonts w:ascii="Times New Roman" w:hAnsi="Times New Roman"/>
                <w:b/>
                <w:sz w:val="24"/>
              </w:rPr>
              <w:t xml:space="preserve"> usklađenja tijekom financijske godine (tj. promjene vrijednosti odgođenih primitaka zbog promjena cijena instrumenata)</w:t>
            </w:r>
          </w:p>
          <w:p w14:paraId="623380BC"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 xml:space="preserve">Ako je relevantno iznos promjena vrijednosti tijekom financijske godine zbog implicitnih </w:t>
            </w:r>
            <w:r>
              <w:rPr>
                <w:rFonts w:ascii="Times New Roman" w:hAnsi="Times New Roman"/>
                <w:i/>
                <w:sz w:val="24"/>
              </w:rPr>
              <w:t>ex post</w:t>
            </w:r>
            <w:r>
              <w:rPr>
                <w:rFonts w:ascii="Times New Roman" w:hAnsi="Times New Roman"/>
                <w:sz w:val="24"/>
              </w:rPr>
              <w:t xml:space="preserve"> usklađenja, kao što su promjene vrijednosti odgođenih primitaka zbog promjena cijena instrumenata, procijenjene u okviru mogućnosti. </w:t>
            </w:r>
          </w:p>
        </w:tc>
      </w:tr>
      <w:tr w:rsidR="009360C9" w:rsidRPr="007F4CC8" w14:paraId="1D9BC2D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53ACCD" w14:textId="77777777" w:rsidR="009360C9" w:rsidRPr="007F4CC8" w:rsidRDefault="009360C9" w:rsidP="006D005E">
            <w:pPr>
              <w:pStyle w:val="Applicationdirecte"/>
              <w:spacing w:before="0" w:after="0"/>
              <w:jc w:val="center"/>
            </w:pPr>
            <w:r>
              <w:t>EU – 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218F6A2"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Ukupan iznos odgođenih primitaka dodijeljenih prije financijske godine stvarno isplaćenih tijekom financijske godine</w:t>
            </w:r>
          </w:p>
          <w:p w14:paraId="42BA8D9A"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Iznos odgođenih primitaka, kako su utvrđeni u skladu s člankom 94. CRD-a, koji je isplaćen tijekom financijske godine.</w:t>
            </w:r>
          </w:p>
          <w:p w14:paraId="09D72464"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Čim su odgođeni primici stečeni smatra se da su isplaćeni.</w:t>
            </w:r>
          </w:p>
        </w:tc>
      </w:tr>
      <w:tr w:rsidR="009360C9" w:rsidRPr="007F4CC8" w14:paraId="52DC1C1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8E2930" w14:textId="77777777" w:rsidR="009360C9" w:rsidRPr="007F4CC8" w:rsidRDefault="009360C9" w:rsidP="006D005E">
            <w:pPr>
              <w:pStyle w:val="Applicationdirecte"/>
              <w:spacing w:before="0" w:after="0"/>
              <w:jc w:val="center"/>
            </w:pPr>
            <w:r>
              <w:t>EU – 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7CEFF0A" w14:textId="4697F3DD" w:rsidR="009360C9" w:rsidRPr="007479E6" w:rsidRDefault="009360C9" w:rsidP="00155C96">
            <w:pPr>
              <w:spacing w:after="120"/>
              <w:jc w:val="both"/>
              <w:rPr>
                <w:rFonts w:ascii="Times New Roman" w:hAnsi="Times New Roman"/>
                <w:b/>
                <w:sz w:val="24"/>
              </w:rPr>
            </w:pPr>
            <w:r>
              <w:rPr>
                <w:rFonts w:ascii="Times New Roman" w:hAnsi="Times New Roman"/>
                <w:b/>
                <w:sz w:val="24"/>
              </w:rPr>
              <w:t>Ukupan iznos odgođenih primitaka dodijeljenih za prethodno razdoblje uspješnosti za koji je pravo iz primitaka bilo preneseno, ali je predmet razdoblja zadržavanja</w:t>
            </w:r>
          </w:p>
          <w:p w14:paraId="7B1AEBFC"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Ukupan iznos odgođenih primitaka dodijeljenih za prethodno razdoblje uspješnosti za koji je pravo iz primitaka bilo preneseno, ali je predmet razdoblja zadržavanja, kako je utvrđeno u skladu s člankom 94. CRD-a.</w:t>
            </w:r>
          </w:p>
        </w:tc>
      </w:tr>
    </w:tbl>
    <w:p w14:paraId="612E1D14" w14:textId="77777777" w:rsidR="009360C9" w:rsidRPr="007F4CC8" w:rsidRDefault="009360C9" w:rsidP="009360C9">
      <w:pPr>
        <w:rPr>
          <w:rFonts w:ascii="Times New Roman" w:hAnsi="Times New Roman" w:cs="Times New Roman"/>
          <w:sz w:val="24"/>
        </w:rPr>
      </w:pPr>
    </w:p>
    <w:p w14:paraId="411E8519" w14:textId="2E68567C" w:rsidR="009360C9" w:rsidRPr="007F4CC8" w:rsidRDefault="00D95507"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Obrazac EU REM4 – Primici od milijun EUR ili više po godini: </w:t>
      </w:r>
      <w:r>
        <w:rPr>
          <w:rFonts w:ascii="Times New Roman" w:hAnsi="Times New Roman"/>
          <w:color w:val="auto"/>
          <w:sz w:val="24"/>
        </w:rPr>
        <w:t>Fiksan format</w:t>
      </w:r>
    </w:p>
    <w:p w14:paraId="4AE4DB16" w14:textId="41D6A730"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Institucije objavljuju informacije iz članka450. stavka 1. točke (i) CRR-a prateći upute u nastavku ovog Priloga za popunjavanje obrasca EU REM4 iz Priloga XXXIII. ovoj Provedbenoj uredbi.</w:t>
      </w:r>
    </w:p>
    <w:p w14:paraId="48B5AE03"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Podaci se dostavljaju s iznosima u EUR na kraju računovodstvene godine. Svi iznosi objavljuju se kao cijeli iznosi, tj. nezaokruženi iznosi, u eurima (npr. EUR 1 234 567 umjesto 1,2 milijuna EUR). Ako su primici u valuti koja nije EUR, za konverziju konsolidiranih iznosa koji se objavljuju koristi se tečaj koji Komisija koristi za financijsko programiranje i proračun za prosinac izvještajne godine.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73E4250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E18CD1" w14:textId="77777777" w:rsidR="009360C9" w:rsidRPr="007F4CC8" w:rsidRDefault="009360C9" w:rsidP="00155C96">
            <w:pPr>
              <w:rPr>
                <w:rFonts w:ascii="Times New Roman" w:hAnsi="Times New Roman" w:cs="Times New Roman"/>
                <w:b/>
                <w:sz w:val="24"/>
              </w:rPr>
            </w:pPr>
            <w:r>
              <w:rPr>
                <w:rFonts w:ascii="Times New Roman" w:hAnsi="Times New Roman"/>
                <w:b/>
                <w:sz w:val="24"/>
              </w:rPr>
              <w:t>Pravna osnova i upute</w:t>
            </w:r>
          </w:p>
        </w:tc>
      </w:tr>
      <w:tr w:rsidR="009360C9" w:rsidRPr="007F4CC8" w14:paraId="3C5CB55D" w14:textId="77777777" w:rsidTr="00155C96">
        <w:trPr>
          <w:trHeight w:val="238"/>
        </w:trPr>
        <w:tc>
          <w:tcPr>
            <w:tcW w:w="1384" w:type="dxa"/>
            <w:shd w:val="clear" w:color="auto" w:fill="D9D9D9" w:themeFill="background1" w:themeFillShade="D9"/>
          </w:tcPr>
          <w:p w14:paraId="126EA976"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3A67D4D5"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9360C9" w:rsidRPr="007F4CC8" w14:paraId="1059E3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A67D49"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od 1 do 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2144D1"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Primici između milijun i 5 milijuna EUR po financijskoj godini, raščlanjeni po razredima od 500 000 EUR</w:t>
            </w:r>
          </w:p>
        </w:tc>
      </w:tr>
      <w:tr w:rsidR="009360C9" w:rsidRPr="007F4CC8" w14:paraId="35FD45C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8B2CA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od 9 do 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3C1BA4"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Primici od više od 5 milijuna EUR po financijskoj godini, raščlanjeni po razredima od milijun EUR</w:t>
            </w:r>
          </w:p>
        </w:tc>
      </w:tr>
      <w:tr w:rsidR="009360C9" w:rsidRPr="007F4CC8" w14:paraId="27C72B0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6AF660" w14:textId="77777777" w:rsidR="009360C9" w:rsidRPr="007F4CC8" w:rsidRDefault="009360C9" w:rsidP="006D005E">
            <w:pPr>
              <w:pStyle w:val="Applicationdirecte"/>
              <w:spacing w:before="0"/>
              <w:jc w:val="center"/>
              <w:rPr>
                <w:b/>
              </w:rPr>
            </w:pPr>
            <w:r>
              <w:rPr>
                <w:b/>
              </w:rPr>
              <w:lastRenderedPageBreak/>
              <w:t>Slovna oznaka stupca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7AB038"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Objašnjenje</w:t>
            </w:r>
          </w:p>
        </w:tc>
      </w:tr>
      <w:tr w:rsidR="009360C9" w:rsidRPr="007F4CC8" w14:paraId="6C82969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CAD82E"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D4235E"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Broj identificiranih zaposlenika čiji primici iznose milijun EUR ili više po financijskoj godini.</w:t>
            </w:r>
          </w:p>
          <w:p w14:paraId="735DB200"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Institucije objavljuju informacije na temelju ekvivalenta punog radnog vremena.</w:t>
            </w:r>
          </w:p>
        </w:tc>
      </w:tr>
    </w:tbl>
    <w:p w14:paraId="68D74085" w14:textId="77777777" w:rsidR="009360C9" w:rsidRPr="007F4CC8" w:rsidRDefault="009360C9" w:rsidP="009360C9">
      <w:pPr>
        <w:rPr>
          <w:rFonts w:ascii="Times New Roman" w:hAnsi="Times New Roman" w:cs="Times New Roman"/>
          <w:sz w:val="24"/>
        </w:rPr>
      </w:pPr>
    </w:p>
    <w:p w14:paraId="24D3144C" w14:textId="1A74D45D" w:rsidR="009360C9" w:rsidRPr="007F4CC8" w:rsidRDefault="00D95507"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Obrazac EU REM5 – Informacije o zaposlenicima čije profesionalne aktivnosti imaju značajan utjecaj na profil rizičnosti institucija (identificirani zaposlenici): </w:t>
      </w:r>
      <w:r>
        <w:rPr>
          <w:rFonts w:ascii="Times New Roman" w:hAnsi="Times New Roman"/>
          <w:color w:val="auto"/>
          <w:sz w:val="24"/>
        </w:rPr>
        <w:t>Fiksan format</w:t>
      </w:r>
    </w:p>
    <w:p w14:paraId="50BE6340" w14:textId="7F3CA046"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Institucije objavljuju informacije iz članka 450. stavka 1. točke (g) CRR-a prateći upute u nastavku ovog Priloga za popunjavanje obrasca EU REM5 iz Priloga XXXIII. ovoj Provedbenoj uredbi.</w:t>
      </w:r>
    </w:p>
    <w:p w14:paraId="32F27E92"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Kad je riječ o stupcima u kojima su raščlanjeni dijelovi poslovanja, svo financiranje, uključujući financiranje velikih klijenata, uključuje se u financiranje stanovništva. Za investicijsko bankarstvo uključuje korporativno financiranje te trgovanje i prodaju. Dodatne smjernice o aktivnostima koje su obuhvaćene u tim poslovnim linijama nalaze se u članku 317. CRR-a u tablici u kojoj su definirane poslovne linije u skladu sa standardiziranim pristupom za operativni rizik.</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23AE592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EE653B" w14:textId="77777777" w:rsidR="009360C9" w:rsidRPr="007F4CC8" w:rsidRDefault="009360C9" w:rsidP="00155C96">
            <w:pPr>
              <w:rPr>
                <w:rFonts w:ascii="Times New Roman" w:hAnsi="Times New Roman" w:cs="Times New Roman"/>
                <w:b/>
                <w:sz w:val="24"/>
              </w:rPr>
            </w:pPr>
            <w:r>
              <w:rPr>
                <w:rFonts w:ascii="Times New Roman" w:hAnsi="Times New Roman"/>
                <w:b/>
                <w:sz w:val="24"/>
              </w:rPr>
              <w:t>Pravna osnova i upute</w:t>
            </w:r>
          </w:p>
        </w:tc>
      </w:tr>
      <w:tr w:rsidR="009360C9" w:rsidRPr="007F4CC8" w14:paraId="7AAF9E4D" w14:textId="77777777" w:rsidTr="00155C96">
        <w:trPr>
          <w:trHeight w:val="687"/>
        </w:trPr>
        <w:tc>
          <w:tcPr>
            <w:tcW w:w="1384" w:type="dxa"/>
            <w:shd w:val="clear" w:color="auto" w:fill="D9D9D9" w:themeFill="background1" w:themeFillShade="D9"/>
          </w:tcPr>
          <w:p w14:paraId="729E38E0"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3AF8ED2D"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Objašnjenje</w:t>
            </w:r>
          </w:p>
        </w:tc>
      </w:tr>
      <w:tr w:rsidR="009360C9" w:rsidRPr="007F4CC8" w14:paraId="58B6C22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58F0B3"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16DF43" w14:textId="238C3AA0" w:rsidR="009360C9" w:rsidRPr="007479E6" w:rsidRDefault="009360C9"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Ukupan broj identificiranih zaposlenika</w:t>
            </w:r>
          </w:p>
          <w:p w14:paraId="097FFE2F"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Broj zaposlenika čije profesionalne aktivnosti imaju značajan utjecaj na profil rizičnosti institucija (identificirani zaposlenici) u instituciji i njezinim društvima kćerima, uključujući društva kćeri na koje se ne primjenjuje CRD i sve članove njihovih upravljačkih tijela.</w:t>
            </w:r>
          </w:p>
          <w:p w14:paraId="0E4719D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Vrijednost se objavljuje na temelju ekvivalenta punog radnog vremena.</w:t>
            </w:r>
          </w:p>
        </w:tc>
      </w:tr>
      <w:tr w:rsidR="009360C9" w:rsidRPr="007F4CC8" w14:paraId="72BAF0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3B187"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DFE73F1"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Od čega: članovi upravljačkog tijela</w:t>
            </w:r>
          </w:p>
          <w:p w14:paraId="45B2AD9B"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Broj članova u upravljačkom tijelu u njegovoj nadzornoj funkciji i upravljačkoj funkciji te u cijelom upravljačkom tijelu.</w:t>
            </w:r>
          </w:p>
        </w:tc>
      </w:tr>
      <w:tr w:rsidR="009360C9" w:rsidRPr="007F4CC8" w14:paraId="086B866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BB35E2"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0EE636"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Od čega: ostalo više rukovodstvo</w:t>
            </w:r>
          </w:p>
          <w:p w14:paraId="03A2678F"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Ostali zaposlenici, osim članova upravljačkog tijela, koji su više rukovodstvo kako je definirano u članku 3. stavku 1. točki 9. CRD-a.</w:t>
            </w:r>
          </w:p>
        </w:tc>
      </w:tr>
      <w:tr w:rsidR="009360C9" w:rsidRPr="007F4CC8" w14:paraId="2F7E812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110D9E"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443034"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Od čega: ostali identificirani zaposlenici</w:t>
            </w:r>
          </w:p>
          <w:p w14:paraId="57FA1182" w14:textId="77777777" w:rsidR="009360C9" w:rsidRPr="007F4CC8" w:rsidRDefault="009360C9" w:rsidP="00155C96">
            <w:pPr>
              <w:autoSpaceDE w:val="0"/>
              <w:autoSpaceDN w:val="0"/>
              <w:adjustRightInd w:val="0"/>
              <w:spacing w:before="60" w:after="120"/>
              <w:jc w:val="both"/>
              <w:rPr>
                <w:rFonts w:ascii="Times New Roman" w:hAnsi="Times New Roman"/>
                <w:sz w:val="24"/>
                <w:highlight w:val="yellow"/>
              </w:rPr>
            </w:pPr>
            <w:r>
              <w:rPr>
                <w:rFonts w:ascii="Times New Roman" w:hAnsi="Times New Roman"/>
                <w:sz w:val="24"/>
              </w:rPr>
              <w:t xml:space="preserve">Ostali zaposlenici, osim članova upravljačkog tijela i osim višeg rukovodstva, čije profesionalne aktivnosti imaju značajan utjecaj na profil rizičnosti institucije u skladu s kriterijima utvrđenima u Delegiranoj uredbi Komisije o </w:t>
            </w:r>
            <w:r>
              <w:rPr>
                <w:rFonts w:ascii="Times New Roman" w:hAnsi="Times New Roman"/>
                <w:sz w:val="24"/>
              </w:rPr>
              <w:lastRenderedPageBreak/>
              <w:t>identificiranim zaposlenicima u skladu s primjenom članka 94. stavka 2. CRD-a i prema potrebi dodatno na temelju kriterija institucije.</w:t>
            </w:r>
          </w:p>
        </w:tc>
      </w:tr>
      <w:tr w:rsidR="009360C9" w:rsidRPr="007F4CC8" w14:paraId="60073D2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2E1967"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lastRenderedPageBreak/>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914289"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Ukupni primici identificiranih zaposlenika</w:t>
            </w:r>
          </w:p>
          <w:p w14:paraId="71B24B7F" w14:textId="02CF73D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Ukupni iznos primitaka znači svi oblici fiksnih i varijabilnih primitaka uključuje plaćanja i naknade, novčane i nenovčane, koji se dodjeljuju izravno zaposlenicima ili u ime institucija u zamjenu za profesionalne usluge koje obavljaju zaposlenici, plaćanja naknade koja ovisi o prinosu u smislu članka 4. stavka 1. točke (d) Direktive 2011/61/EU</w:t>
            </w:r>
            <w:r>
              <w:rPr>
                <w:rStyle w:val="FootnoteReference"/>
                <w:rFonts w:cs="Times New Roman"/>
              </w:rPr>
              <w:footnoteReference w:id="53"/>
            </w:r>
            <w:r>
              <w:rPr>
                <w:rFonts w:ascii="Times New Roman" w:hAnsi="Times New Roman"/>
                <w:sz w:val="24"/>
              </w:rPr>
              <w:t xml:space="preserve"> i druga plaćanja metodama i načinima koji bi, da nisu smatrani primicima, doveli do zaobilaženja zahtjeva u pogledu primitaka iz CRD-a.</w:t>
            </w:r>
          </w:p>
        </w:tc>
      </w:tr>
      <w:tr w:rsidR="009360C9" w:rsidRPr="007F4CC8" w14:paraId="303373D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C1B7F2"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BA69EC"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Od čega: varijabilni primici</w:t>
            </w:r>
          </w:p>
          <w:p w14:paraId="747E669C"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Zbroj svih komponenata primitaka koji nisu fiksni primici iz retka 7 ovog obrasca.</w:t>
            </w:r>
          </w:p>
        </w:tc>
      </w:tr>
      <w:tr w:rsidR="009360C9" w:rsidRPr="007F4CC8" w14:paraId="739C21F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0EF1096"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C2768"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Od čega: fiksni primici</w:t>
            </w:r>
          </w:p>
          <w:p w14:paraId="20607D40"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Institucije primitke smatraju fiksnima ako se uvjeti za njihovu dodjelu i njihov iznos: </w:t>
            </w:r>
          </w:p>
          <w:p w14:paraId="30B1CA21"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temelje na unaprijed utvrđenim kriterijima;</w:t>
            </w:r>
          </w:p>
          <w:p w14:paraId="2FA43193"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 xml:space="preserve">temelje na </w:t>
            </w:r>
            <w:proofErr w:type="spellStart"/>
            <w:r>
              <w:rPr>
                <w:rFonts w:ascii="Times New Roman" w:hAnsi="Times New Roman"/>
                <w:sz w:val="24"/>
                <w:szCs w:val="24"/>
              </w:rPr>
              <w:t>nediskrecijskoj</w:t>
            </w:r>
            <w:proofErr w:type="spellEnd"/>
            <w:r>
              <w:rPr>
                <w:rFonts w:ascii="Times New Roman" w:hAnsi="Times New Roman"/>
                <w:sz w:val="24"/>
                <w:szCs w:val="24"/>
              </w:rPr>
              <w:t xml:space="preserve"> odluci i odražavaju razinu profesionalnog iskustva i radnog staža osoblja;</w:t>
            </w:r>
          </w:p>
          <w:p w14:paraId="490EA939"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transparentni u pogledu pojedinačnog iznosa koji se dodjeljuje pojedinačnom članu osoblja;</w:t>
            </w:r>
          </w:p>
          <w:p w14:paraId="527EBADC"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stalni odnosno isplaćuju se na kontinuiranoj osnovi tijekom određenog razdoblja povezanog s posebnom ulogom i organizacijskim odgovornostima;</w:t>
            </w:r>
          </w:p>
          <w:p w14:paraId="62D36AE1" w14:textId="6B9BBBDF"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neopozivi; ako do izmjene stalnog iznosa dolazi tek ponovnim kolektivnim pregovaranjem u skladu s nacionalnim kriterijima o određivanju plaća;</w:t>
            </w:r>
          </w:p>
          <w:p w14:paraId="63B81539"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ne mogu umanjiti, privremeno oduzeti niti otkazati od strane institucije;</w:t>
            </w:r>
          </w:p>
          <w:p w14:paraId="28132398"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 xml:space="preserve">ne daju poticaje za preuzimanje rizika; i </w:t>
            </w:r>
          </w:p>
          <w:p w14:paraId="014949AD"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 xml:space="preserve">ne ovise o uspješnosti. </w:t>
            </w:r>
          </w:p>
        </w:tc>
      </w:tr>
      <w:tr w:rsidR="009360C9" w:rsidRPr="007F4CC8" w14:paraId="2A1F410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CF58A5" w14:textId="77777777" w:rsidR="009360C9" w:rsidRPr="007F4CC8" w:rsidRDefault="009360C9" w:rsidP="00155C96">
            <w:pPr>
              <w:pStyle w:val="Applicationdirecte"/>
              <w:spacing w:before="0"/>
              <w:jc w:val="left"/>
              <w:rPr>
                <w:b/>
              </w:rPr>
            </w:pPr>
            <w:r>
              <w:rPr>
                <w:b/>
              </w:rPr>
              <w:t>Slovna oznaka stupca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889093" w14:textId="77777777" w:rsidR="009360C9" w:rsidRPr="007F4CC8" w:rsidRDefault="009360C9" w:rsidP="00155C96">
            <w:pPr>
              <w:pStyle w:val="TableMainHeading"/>
              <w:spacing w:before="60"/>
              <w:jc w:val="both"/>
              <w:rPr>
                <w:rFonts w:ascii="Times New Roman" w:hAnsi="Times New Roman"/>
                <w:b/>
                <w:sz w:val="24"/>
                <w:szCs w:val="24"/>
              </w:rPr>
            </w:pPr>
            <w:r>
              <w:rPr>
                <w:rFonts w:ascii="Times New Roman" w:hAnsi="Times New Roman"/>
                <w:b/>
                <w:sz w:val="24"/>
                <w:szCs w:val="24"/>
              </w:rPr>
              <w:t>Objašnjenje</w:t>
            </w:r>
          </w:p>
        </w:tc>
      </w:tr>
      <w:tr w:rsidR="009360C9" w:rsidRPr="007F4CC8" w14:paraId="3414E76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C0F6E10"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a, b i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FE033A"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Upravljačko tijelo</w:t>
            </w:r>
          </w:p>
          <w:p w14:paraId="19CE9061"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Upravljačko tijelo institucije, raščlanjeno na nadzornu funkciju i upravljačku funkciju.</w:t>
            </w:r>
          </w:p>
          <w:p w14:paraId="24859795"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lastRenderedPageBreak/>
              <w:t>Institucije objavljuju informacije na temelju broja zaposlenika.</w:t>
            </w:r>
          </w:p>
        </w:tc>
      </w:tr>
      <w:tr w:rsidR="009360C9" w:rsidRPr="007F4CC8" w14:paraId="65064C8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FE1DB5"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lastRenderedPageBreak/>
              <w:t>od d do 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C66093"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Dijelovi poslovanja</w:t>
            </w:r>
          </w:p>
          <w:p w14:paraId="0873CD9C"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Glavni dijelovi poslovanja institucije, kao što su investicijsko bankarstvo, poslovanje sa stanovništvom, upravljanje imovinom, poslovne funkcije, funkcije neovisne unutarnje kontrole. </w:t>
            </w:r>
          </w:p>
          <w:p w14:paraId="5DA383DB"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Informacije se objavljuju na temelju ekvivalenta punog radnog vremena.</w:t>
            </w:r>
          </w:p>
        </w:tc>
      </w:tr>
      <w:tr w:rsidR="009360C9" w:rsidRPr="007F4CC8" w14:paraId="322E7DC0"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B22345"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FFD432"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Sve ostalo</w:t>
            </w:r>
          </w:p>
          <w:p w14:paraId="727C82F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Svi drugi dijelovi poslovanja koji nisu posebno obuhvaćeni u prethodnim stupcima. </w:t>
            </w:r>
          </w:p>
          <w:p w14:paraId="2DB920DD"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Informacije se objavljuju na temelju ekvivalenta punog radnog vremena.</w:t>
            </w:r>
          </w:p>
        </w:tc>
      </w:tr>
    </w:tbl>
    <w:p w14:paraId="3C9B02D2" w14:textId="77777777" w:rsidR="009360C9" w:rsidRPr="007F4CC8" w:rsidRDefault="009360C9" w:rsidP="009360C9">
      <w:pPr>
        <w:rPr>
          <w:rFonts w:ascii="Times New Roman" w:hAnsi="Times New Roman" w:cs="Times New Roman"/>
          <w:sz w:val="24"/>
        </w:rPr>
      </w:pPr>
    </w:p>
    <w:p w14:paraId="4D5BA7B7" w14:textId="77777777" w:rsidR="003D6F47" w:rsidRPr="007F4CC8" w:rsidRDefault="00D312C4">
      <w:pPr>
        <w:rPr>
          <w:rFonts w:ascii="Times New Roman" w:hAnsi="Times New Roman" w:cs="Times New Roman"/>
          <w:b/>
          <w:sz w:val="24"/>
        </w:rPr>
        <w:sectPr w:rsidR="003D6F47" w:rsidRPr="007F4CC8" w:rsidSect="00155C96">
          <w:pgSz w:w="11900" w:h="16840"/>
          <w:pgMar w:top="2268" w:right="1418" w:bottom="1134" w:left="1701" w:header="709" w:footer="709" w:gutter="0"/>
          <w:pgNumType w:start="1" w:chapStyle="1"/>
          <w:cols w:space="708"/>
          <w:docGrid w:linePitch="299"/>
        </w:sectPr>
      </w:pPr>
      <w:r>
        <w:br w:type="page"/>
      </w:r>
    </w:p>
    <w:p w14:paraId="3D74F0CC" w14:textId="3DF380D0" w:rsidR="00D312C4" w:rsidRPr="007F4CC8" w:rsidRDefault="00D312C4" w:rsidP="00D312C4">
      <w:pPr>
        <w:pStyle w:val="Annexetitre"/>
        <w:spacing w:before="0"/>
        <w:rPr>
          <w:u w:val="none"/>
        </w:rPr>
      </w:pPr>
      <w:r>
        <w:rPr>
          <w:u w:val="none"/>
        </w:rPr>
        <w:lastRenderedPageBreak/>
        <w:t>PRILOG XXXVI. – Upute za obrasce o objavi informacija o opterećenju imovine</w:t>
      </w:r>
    </w:p>
    <w:p w14:paraId="4A468F96" w14:textId="56322662" w:rsidR="00D312C4" w:rsidRPr="002C116A"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sz w:val="24"/>
          <w:szCs w:val="24"/>
        </w:rPr>
      </w:pPr>
      <w:bookmarkStart w:id="18" w:name="bookmark48"/>
      <w:r w:rsidRPr="002C116A">
        <w:rPr>
          <w:sz w:val="24"/>
          <w:szCs w:val="24"/>
        </w:rPr>
        <w:t>Institucije objavljuju informacije iz članka 443. Uredbe (EU) 575/2013</w:t>
      </w:r>
      <w:r w:rsidRPr="002C116A">
        <w:rPr>
          <w:rStyle w:val="FootnoteReference"/>
          <w:sz w:val="24"/>
          <w:szCs w:val="24"/>
          <w:lang w:val="en-GB"/>
        </w:rPr>
        <w:footnoteReference w:id="54"/>
      </w:r>
      <w:r w:rsidRPr="002C116A">
        <w:rPr>
          <w:sz w:val="24"/>
          <w:szCs w:val="24"/>
        </w:rPr>
        <w:t xml:space="preserve"> („CRR”) prateći upute u nastavku ovog Priloga za popunjavanje obrazaca od EU AE1 do EU AE4 iz Priloga XXXV. ovoj Provedbenoj uredbi.</w:t>
      </w:r>
    </w:p>
    <w:bookmarkEnd w:id="18"/>
    <w:p w14:paraId="0FFF404B" w14:textId="69255D59"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Za potrebe obrazaca o objavi informacija o opterećenju imovine primjenjuje se definicija opterećenja imov</w:t>
      </w:r>
      <w:r w:rsidR="00AD6545">
        <w:rPr>
          <w:sz w:val="24"/>
          <w:szCs w:val="24"/>
        </w:rPr>
        <w:t>ine iz točke 1.7. Priloga XVII.</w:t>
      </w:r>
      <w:r>
        <w:rPr>
          <w:rStyle w:val="TeksttreciTimesNewRoman105ptOdstpy0pt"/>
          <w:sz w:val="24"/>
          <w:szCs w:val="24"/>
        </w:rPr>
        <w:t xml:space="preserve"> (upute za obrasce za izvješćivanje o opterećenju imovine) Provedbenoj uredbi Komisije (EU) 680/2014</w:t>
      </w:r>
      <w:r>
        <w:rPr>
          <w:rStyle w:val="FootnoteReference"/>
          <w:rFonts w:eastAsia="Calibri"/>
          <w:color w:val="000000"/>
          <w:shd w:val="clear" w:color="auto" w:fill="FFFFFF"/>
          <w:lang w:val="en-GB"/>
        </w:rPr>
        <w:footnoteReference w:id="55"/>
      </w:r>
      <w:r>
        <w:t>.</w:t>
      </w:r>
    </w:p>
    <w:p w14:paraId="4E5225B5" w14:textId="50172C5E"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Institucije objavljuju stavke iz obrazaca EU AE1, EU AE2 i EU AE3 na isti način kako je iskazano u skladu s Prilogom XVI. (obrasci za izvješćivanje o opterećenju imovine) Provedbenoj uredbi Komisije (EU) 680/2014, osim ako je u tim tablicama posebno predviđeno drukčije.</w:t>
      </w:r>
    </w:p>
    <w:p w14:paraId="407D6DE4"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Stavke iz stavka 3. objavljuju se primjenom srednje vrijednosti. Srednje vrijednosti su uzastopne tromjesečne srednje vrijednosti tijekom prethodnih dvanaest mjeseci i utvrđuju se interpolacijom.</w:t>
      </w:r>
    </w:p>
    <w:p w14:paraId="26ED9534"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Ako se objavljuje na konsolidiranoj osnovi, primjenjivi opseg konsolidacije opseg je bonitetne konsolidacije kako je definirano u dijelu prvom glavi II. poglavlju 2. odjeljku 2. CRR-a.</w:t>
      </w:r>
    </w:p>
    <w:p w14:paraId="0381A969" w14:textId="45B2D41E"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pPr>
      <w:r>
        <w:rPr>
          <w:sz w:val="24"/>
          <w:szCs w:val="24"/>
        </w:rPr>
        <w:t>Pokazatelji kvalitete imovine prema vrsti imovine u stupcima C030, C050, C080 i C100 obrasca EU AE1 i prema vrsti primljenog kolaterala i izdanih dužničkih vrijednosnih papira, uključujući pokrivene obveznice i sekuritizacije, u stupcima C030 i C060 kako je utvrđeno u obrascu EU AE2, primjenjuju se samo na kreditne institucije koje ispunjavaju jedan od sljedećih uvjeta:</w:t>
      </w:r>
    </w:p>
    <w:tbl>
      <w:tblPr>
        <w:tblW w:w="5000" w:type="pct"/>
        <w:tblCellSpacing w:w="0" w:type="dxa"/>
        <w:tblCellMar>
          <w:left w:w="0" w:type="dxa"/>
          <w:right w:w="0" w:type="dxa"/>
        </w:tblCellMar>
        <w:tblLook w:val="04A0" w:firstRow="1" w:lastRow="0" w:firstColumn="1" w:lastColumn="0" w:noHBand="0" w:noVBand="1"/>
      </w:tblPr>
      <w:tblGrid>
        <w:gridCol w:w="267"/>
        <w:gridCol w:w="8514"/>
      </w:tblGrid>
      <w:tr w:rsidR="00D312C4" w:rsidRPr="007F4CC8" w14:paraId="28A2C39C" w14:textId="77777777" w:rsidTr="00155C96">
        <w:trPr>
          <w:tblCellSpacing w:w="0" w:type="dxa"/>
        </w:trPr>
        <w:tc>
          <w:tcPr>
            <w:tcW w:w="0" w:type="auto"/>
            <w:hideMark/>
          </w:tcPr>
          <w:p w14:paraId="204CD97E" w14:textId="77777777"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(a)</w:t>
            </w:r>
          </w:p>
        </w:tc>
        <w:tc>
          <w:tcPr>
            <w:tcW w:w="0" w:type="auto"/>
            <w:hideMark/>
          </w:tcPr>
          <w:p w14:paraId="3F408107" w14:textId="589C3770"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 xml:space="preserve"> njihova ukupna imovina, koja se izračunava u skladu s odjeljkom 1.6. točkom 10. Priloga XVII. Provedbenoj uredbi Komisije (EU) 680/2014, iznosi više od 30 milijardi EUR;</w:t>
            </w:r>
          </w:p>
        </w:tc>
      </w:tr>
    </w:tbl>
    <w:p w14:paraId="0736F7E4" w14:textId="77777777" w:rsidR="00D312C4" w:rsidRPr="007F4CC8" w:rsidRDefault="00D312C4" w:rsidP="00D312C4">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80"/>
        <w:gridCol w:w="8501"/>
      </w:tblGrid>
      <w:tr w:rsidR="00D312C4" w:rsidRPr="007F4CC8" w14:paraId="2AF4C5D0" w14:textId="77777777" w:rsidTr="00155C96">
        <w:trPr>
          <w:tblCellSpacing w:w="0" w:type="dxa"/>
        </w:trPr>
        <w:tc>
          <w:tcPr>
            <w:tcW w:w="0" w:type="auto"/>
            <w:hideMark/>
          </w:tcPr>
          <w:p w14:paraId="62D08C7D" w14:textId="77777777"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(b)</w:t>
            </w:r>
          </w:p>
        </w:tc>
        <w:tc>
          <w:tcPr>
            <w:tcW w:w="0" w:type="auto"/>
            <w:hideMark/>
          </w:tcPr>
          <w:p w14:paraId="75AA8D1F" w14:textId="7ED242E0"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 xml:space="preserve"> njihova je razina opterećenja imovine, koja se izračunava u skladu s odjeljkom 1.6. točkom 9. Priloga XVII. Provedbenoj uredbi Komisije (EU) 680/2014, veća od 15 %.</w:t>
            </w:r>
          </w:p>
        </w:tc>
      </w:tr>
    </w:tbl>
    <w:p w14:paraId="0B55979B" w14:textId="77777777" w:rsidR="00D312C4" w:rsidRPr="007F4CC8" w:rsidRDefault="00D312C4" w:rsidP="00D312C4">
      <w:pPr>
        <w:spacing w:after="120"/>
        <w:rPr>
          <w:rFonts w:ascii="Times New Roman" w:hAnsi="Times New Roman" w:cs="Times New Roman"/>
        </w:rPr>
      </w:pPr>
    </w:p>
    <w:p w14:paraId="6DA5BD05" w14:textId="78804E0C" w:rsidR="00D312C4" w:rsidRPr="007F4CC8" w:rsidRDefault="00D312C4" w:rsidP="00D312C4">
      <w:pPr>
        <w:spacing w:after="120"/>
        <w:rPr>
          <w:rFonts w:ascii="Times New Roman" w:hAnsi="Times New Roman" w:cs="Times New Roman"/>
          <w:b/>
        </w:rPr>
      </w:pPr>
      <w:r>
        <w:rPr>
          <w:rFonts w:ascii="Times New Roman" w:hAnsi="Times New Roman"/>
          <w:b/>
        </w:rPr>
        <w:t>Obrazac EU AE1 – Opterećena i neopterećena imovina</w:t>
      </w:r>
    </w:p>
    <w:p w14:paraId="0A514D00" w14:textId="484E9294" w:rsidR="00D312C4" w:rsidRPr="007F4CC8" w:rsidRDefault="00D312C4" w:rsidP="00D312C4">
      <w:pPr>
        <w:pStyle w:val="Teksttreci50"/>
        <w:numPr>
          <w:ilvl w:val="0"/>
          <w:numId w:val="67"/>
        </w:numPr>
        <w:shd w:val="clear" w:color="auto" w:fill="auto"/>
        <w:tabs>
          <w:tab w:val="left" w:pos="815"/>
        </w:tabs>
        <w:spacing w:before="0" w:after="120" w:line="240" w:lineRule="auto"/>
        <w:ind w:right="20" w:firstLine="0"/>
        <w:jc w:val="both"/>
        <w:rPr>
          <w:rFonts w:eastAsiaTheme="minorEastAsia"/>
          <w:spacing w:val="0"/>
        </w:rPr>
      </w:pPr>
      <w:r>
        <w:rPr>
          <w:sz w:val="24"/>
          <w:szCs w:val="24"/>
        </w:rPr>
        <w:t>Institucije dopunjuju obrazac EU AE1 iz Priloga XXXV. ovoj Provedbenoj uredbi prateći upute u nastavku.</w:t>
      </w:r>
    </w:p>
    <w:p w14:paraId="6C03A6EE" w14:textId="77777777" w:rsidR="00D312C4" w:rsidRPr="007F4CC8" w:rsidRDefault="00D312C4" w:rsidP="00D312C4">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BB86EC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27DF8F"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Pravna osnova i upute</w:t>
            </w:r>
          </w:p>
        </w:tc>
      </w:tr>
      <w:tr w:rsidR="00D312C4" w:rsidRPr="007F4CC8" w14:paraId="56C8E2DF" w14:textId="77777777" w:rsidTr="00155C96">
        <w:trPr>
          <w:trHeight w:val="238"/>
        </w:trPr>
        <w:tc>
          <w:tcPr>
            <w:tcW w:w="1384" w:type="dxa"/>
            <w:shd w:val="clear" w:color="auto" w:fill="D9D9D9" w:themeFill="background1" w:themeFillShade="D9"/>
          </w:tcPr>
          <w:p w14:paraId="3D7DBAFB"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1B7AF2FF"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Objašnjenje</w:t>
            </w:r>
          </w:p>
        </w:tc>
      </w:tr>
      <w:tr w:rsidR="00D312C4" w:rsidRPr="007F4CC8" w14:paraId="4D04D013" w14:textId="77777777" w:rsidTr="00155C96">
        <w:trPr>
          <w:trHeight w:val="2031"/>
        </w:trPr>
        <w:tc>
          <w:tcPr>
            <w:tcW w:w="1384" w:type="dxa"/>
          </w:tcPr>
          <w:p w14:paraId="73B474BA" w14:textId="77777777" w:rsidR="00D312C4" w:rsidRPr="007F4CC8" w:rsidRDefault="00D312C4" w:rsidP="00155C96">
            <w:pPr>
              <w:pStyle w:val="Applicationdirecte"/>
              <w:spacing w:before="0"/>
            </w:pPr>
            <w:r>
              <w:lastRenderedPageBreak/>
              <w:t>010</w:t>
            </w:r>
          </w:p>
        </w:tc>
        <w:tc>
          <w:tcPr>
            <w:tcW w:w="7655" w:type="dxa"/>
          </w:tcPr>
          <w:p w14:paraId="1EE37226" w14:textId="77777777" w:rsidR="0010160A"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 xml:space="preserve">Imovina institucije koja objavljuje podatke </w:t>
            </w:r>
          </w:p>
          <w:p w14:paraId="6CEEFD1A" w14:textId="5BE021A5" w:rsidR="00D312C4" w:rsidRPr="0010160A" w:rsidRDefault="00D312C4" w:rsidP="00155C96">
            <w:pPr>
              <w:pStyle w:val="Teksttreci0"/>
              <w:shd w:val="clear" w:color="auto" w:fill="auto"/>
              <w:spacing w:after="120" w:line="240" w:lineRule="auto"/>
              <w:ind w:firstLine="0"/>
              <w:rPr>
                <w:b/>
                <w:sz w:val="24"/>
                <w:szCs w:val="24"/>
              </w:rPr>
            </w:pPr>
            <w:r>
              <w:rPr>
                <w:rStyle w:val="PogrubienieTeksttreciTimesNewRoman105ptOdstpy0pt"/>
                <w:rFonts w:eastAsia="Book Antiqua"/>
                <w:b w:val="0"/>
                <w:sz w:val="24"/>
                <w:szCs w:val="24"/>
              </w:rPr>
              <w:t>Međunarodni računovodstveni standardi (MRS) 1.9. (a), Smjernice za provedbu 6, u slučaju institucija koje primjenjuju MSFI-je.</w:t>
            </w:r>
          </w:p>
          <w:p w14:paraId="2770C043" w14:textId="77777777" w:rsidR="00D312C4" w:rsidRPr="007F4CC8" w:rsidRDefault="00D312C4" w:rsidP="00155C96">
            <w:pPr>
              <w:spacing w:after="120"/>
              <w:jc w:val="both"/>
              <w:rPr>
                <w:rStyle w:val="TeksttreciTimesNewRoman105ptOdstpy0pt"/>
                <w:rFonts w:eastAsia="Calibri"/>
                <w:sz w:val="24"/>
              </w:rPr>
            </w:pPr>
            <w:r>
              <w:rPr>
                <w:rStyle w:val="TeksttreciTimesNewRoman105ptOdstpy0pt"/>
                <w:rFonts w:eastAsiaTheme="minorEastAsia"/>
                <w:sz w:val="24"/>
              </w:rPr>
              <w:t>Ukupna imovina koju je institucija iskazala u svojoj bilanci, uz iznimku vlastitih dužničkih vrijednosnih papira i vlastitih vlasničkih instrumenata ako se primjenjivim računovodstvenim standardima dopušta njihovo priznavanje u bilanci.</w:t>
            </w:r>
          </w:p>
          <w:p w14:paraId="2B8CA0E2" w14:textId="77777777" w:rsidR="00D312C4" w:rsidRPr="007F4CC8" w:rsidRDefault="00D312C4" w:rsidP="00155C96">
            <w:pPr>
              <w:spacing w:after="120"/>
              <w:jc w:val="both"/>
              <w:rPr>
                <w:rFonts w:ascii="Times New Roman" w:hAnsi="Times New Roman" w:cs="Times New Roman"/>
                <w:sz w:val="24"/>
              </w:rPr>
            </w:pPr>
            <w:r>
              <w:rPr>
                <w:rStyle w:val="TeksttreciTimesNewRoman105ptOdstpy0pt"/>
                <w:rFonts w:eastAsiaTheme="minorEastAsia"/>
                <w:sz w:val="24"/>
              </w:rPr>
              <w:t>Vrijednost iskazana u ovom retku srednja je vrijednost zbroja četiriju tromjesečnih vrijednosti na kraju razdoblja tijekom prethodnih dvanaest mjeseci za retke 030, 040 i 120.</w:t>
            </w:r>
          </w:p>
        </w:tc>
      </w:tr>
      <w:tr w:rsidR="00D312C4" w:rsidRPr="007F4CC8" w14:paraId="4AD23BC8" w14:textId="77777777" w:rsidTr="00155C96">
        <w:trPr>
          <w:trHeight w:val="316"/>
        </w:trPr>
        <w:tc>
          <w:tcPr>
            <w:tcW w:w="1384" w:type="dxa"/>
          </w:tcPr>
          <w:p w14:paraId="4CAF37CD"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030</w:t>
            </w:r>
          </w:p>
        </w:tc>
        <w:tc>
          <w:tcPr>
            <w:tcW w:w="7655" w:type="dxa"/>
          </w:tcPr>
          <w:p w14:paraId="78FC9793"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Vlasnički instrumenti</w:t>
            </w:r>
          </w:p>
          <w:p w14:paraId="0D4FD605" w14:textId="77777777" w:rsidR="00D312C4" w:rsidRPr="007F4CC8" w:rsidRDefault="00D312C4" w:rsidP="00155C96">
            <w:pPr>
              <w:spacing w:after="120"/>
              <w:jc w:val="both"/>
              <w:rPr>
                <w:rFonts w:ascii="Times New Roman" w:hAnsi="Times New Roman" w:cs="Times New Roman"/>
                <w:bCs/>
                <w:sz w:val="24"/>
              </w:rPr>
            </w:pPr>
            <w:r>
              <w:rPr>
                <w:rStyle w:val="TeksttreciTimesNewRoman105ptOdstpy0pt"/>
                <w:rFonts w:eastAsiaTheme="minorEastAsia"/>
                <w:sz w:val="24"/>
              </w:rPr>
              <w:t>Srednje vrijednosti</w:t>
            </w:r>
            <w:r>
              <w:rPr>
                <w:rStyle w:val="TeksttreciTimesNewRoman105ptOdstpy0pt"/>
                <w:rFonts w:eastAsiaTheme="minorEastAsia"/>
                <w:b/>
                <w:sz w:val="24"/>
              </w:rPr>
              <w:t xml:space="preserve"> </w:t>
            </w:r>
            <w:r>
              <w:rPr>
                <w:rStyle w:val="InstructionsTabelleberschrift"/>
                <w:rFonts w:ascii="Times New Roman" w:hAnsi="Times New Roman"/>
                <w:b w:val="0"/>
                <w:sz w:val="24"/>
                <w:u w:val="none"/>
              </w:rPr>
              <w:t>vlasničkih instrumenata kako je definirano u primjenjivim računovodstvenim načelima (MRS 32.1 u slučaju institucija koje primjenjuju MSFI-je)</w:t>
            </w:r>
            <w:r>
              <w:rPr>
                <w:rStyle w:val="TeksttreciTimesNewRoman105ptOdstpy0pt"/>
                <w:rFonts w:eastAsiaTheme="minorEastAsia"/>
                <w:b/>
                <w:sz w:val="24"/>
              </w:rPr>
              <w:t>,</w:t>
            </w:r>
            <w:r>
              <w:rPr>
                <w:rStyle w:val="TeksttreciTimesNewRoman105ptOdstpy0pt"/>
                <w:rFonts w:eastAsiaTheme="minorEastAsia"/>
                <w:sz w:val="24"/>
              </w:rPr>
              <w:t xml:space="preserve"> s iznimkom vlastitih vlasničkih instrumenata ako se primjenjivim računovodstvenim standardima dopušta njihovo priznavanje u bilanci.</w:t>
            </w:r>
          </w:p>
        </w:tc>
      </w:tr>
      <w:tr w:rsidR="00D312C4" w:rsidRPr="007F4CC8" w14:paraId="3E9C6175" w14:textId="77777777" w:rsidTr="00155C96">
        <w:trPr>
          <w:trHeight w:val="316"/>
        </w:trPr>
        <w:tc>
          <w:tcPr>
            <w:tcW w:w="1384" w:type="dxa"/>
          </w:tcPr>
          <w:p w14:paraId="7E4C49CF"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040</w:t>
            </w:r>
          </w:p>
        </w:tc>
        <w:tc>
          <w:tcPr>
            <w:tcW w:w="7655" w:type="dxa"/>
          </w:tcPr>
          <w:p w14:paraId="4FB88874"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Dužnički vrijednosni papiri</w:t>
            </w:r>
          </w:p>
          <w:p w14:paraId="7557A686"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Srednje vrijednosti dužničkih instrumenata koje drži institucija izdanih kao vrijednosni papiri koji nisu krediti u skladu s Uredbom (EU) 1071/2013 Europske središnje banke („Uredba ESB-a o BSI-ju”)</w:t>
            </w:r>
            <w:r>
              <w:rPr>
                <w:rStyle w:val="FootnoteReference"/>
                <w:rFonts w:eastAsia="Calibri" w:cs="Times New Roman"/>
                <w:color w:val="000000"/>
                <w:spacing w:val="4"/>
                <w:shd w:val="clear" w:color="auto" w:fill="FFFFFF"/>
              </w:rPr>
              <w:footnoteReference w:id="56"/>
            </w:r>
            <w:r>
              <w:rPr>
                <w:rStyle w:val="TeksttreciTimesNewRoman105ptOdstpy0pt"/>
                <w:rFonts w:eastAsiaTheme="minorEastAsia"/>
                <w:sz w:val="24"/>
              </w:rPr>
              <w:t>, s iznimkom vlastitih dužničkih vrijednosnih papira ako se primjenjivim računovodstvenim standardima dopušta njihovo priznavanje u bilanci.</w:t>
            </w:r>
          </w:p>
        </w:tc>
      </w:tr>
      <w:tr w:rsidR="00D312C4" w:rsidRPr="007F4CC8" w14:paraId="2919FB45" w14:textId="77777777" w:rsidTr="00155C96">
        <w:trPr>
          <w:trHeight w:val="316"/>
        </w:trPr>
        <w:tc>
          <w:tcPr>
            <w:tcW w:w="1384" w:type="dxa"/>
          </w:tcPr>
          <w:p w14:paraId="1053AC3C"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75032E6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od čega: pokrivene obveznice</w:t>
            </w:r>
          </w:p>
          <w:p w14:paraId="1617C62A" w14:textId="0F2A6406"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Srednje vrijednosti</w:t>
            </w:r>
            <w:r>
              <w:rPr>
                <w:rStyle w:val="Heading1Char"/>
                <w:rFonts w:ascii="Times New Roman" w:hAnsi="Times New Roman"/>
                <w:b w:val="0"/>
                <w:sz w:val="24"/>
              </w:rPr>
              <w:t xml:space="preserve"> </w:t>
            </w:r>
            <w:r>
              <w:rPr>
                <w:rStyle w:val="InstructionsTabelleberschrift"/>
                <w:rFonts w:ascii="Times New Roman" w:hAnsi="Times New Roman"/>
                <w:b w:val="0"/>
                <w:sz w:val="24"/>
                <w:u w:val="none"/>
              </w:rPr>
              <w:t>dužničkih vrijednosn</w:t>
            </w:r>
            <w:r w:rsidR="00AD6545">
              <w:rPr>
                <w:rStyle w:val="InstructionsTabelleberschrift"/>
                <w:rFonts w:ascii="Times New Roman" w:hAnsi="Times New Roman"/>
                <w:b w:val="0"/>
                <w:sz w:val="24"/>
                <w:u w:val="none"/>
              </w:rPr>
              <w:t>ih papira koje drži institucija</w:t>
            </w:r>
            <w:r>
              <w:rPr>
                <w:rStyle w:val="TeksttreciTimesNewRoman105ptOdstpy0pt"/>
                <w:rFonts w:eastAsiaTheme="minorEastAsia"/>
                <w:b/>
                <w:sz w:val="24"/>
              </w:rPr>
              <w:t xml:space="preserve"> </w:t>
            </w:r>
            <w:r>
              <w:rPr>
                <w:rStyle w:val="TeksttreciTimesNewRoman105ptOdstpy0pt"/>
                <w:rFonts w:eastAsiaTheme="minorEastAsia"/>
                <w:sz w:val="24"/>
              </w:rPr>
              <w:t>koji su obveznice iz članka 52. stavka 4. prvog podstavka Direktive (EZ) 2009/65</w:t>
            </w:r>
            <w:r>
              <w:rPr>
                <w:rStyle w:val="FootnoteReference"/>
                <w:rFonts w:eastAsia="Calibri" w:cs="Times New Roman"/>
                <w:color w:val="000000"/>
                <w:spacing w:val="4"/>
                <w:shd w:val="clear" w:color="auto" w:fill="FFFFFF"/>
              </w:rPr>
              <w:footnoteReference w:id="57"/>
            </w:r>
            <w:r>
              <w:rPr>
                <w:rStyle w:val="TeksttreciTimesNewRoman105ptOdstpy0pt"/>
                <w:rFonts w:eastAsiaTheme="minorEastAsia"/>
                <w:sz w:val="24"/>
              </w:rPr>
              <w:t>, neovisno o tome imaju li ti instrumenti pravni oblik vrijednosnog papira ili ne.</w:t>
            </w:r>
          </w:p>
        </w:tc>
      </w:tr>
      <w:tr w:rsidR="00D312C4" w:rsidRPr="007F4CC8" w14:paraId="38216DC5" w14:textId="77777777" w:rsidTr="00155C96">
        <w:trPr>
          <w:trHeight w:val="316"/>
        </w:trPr>
        <w:tc>
          <w:tcPr>
            <w:tcW w:w="1384" w:type="dxa"/>
          </w:tcPr>
          <w:p w14:paraId="64C960E1"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C96774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od čega: sekuritizacije </w:t>
            </w:r>
          </w:p>
          <w:p w14:paraId="536A829C"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Srednje vrijednosti dužničkih vrijednosnih papira koje drže institucije koji su </w:t>
            </w:r>
            <w:proofErr w:type="spellStart"/>
            <w:r>
              <w:rPr>
                <w:rStyle w:val="TeksttreciTimesNewRoman105ptOdstpy0pt"/>
                <w:rFonts w:eastAsiaTheme="minorEastAsia"/>
                <w:sz w:val="24"/>
              </w:rPr>
              <w:t>sekuritizacijske</w:t>
            </w:r>
            <w:proofErr w:type="spellEnd"/>
            <w:r>
              <w:rPr>
                <w:rStyle w:val="TeksttreciTimesNewRoman105ptOdstpy0pt"/>
                <w:rFonts w:eastAsiaTheme="minorEastAsia"/>
                <w:sz w:val="24"/>
              </w:rPr>
              <w:t xml:space="preserve"> pozicije kako su definirane u članku 4. stavku 1. točki 62. CRR-a.</w:t>
            </w:r>
          </w:p>
        </w:tc>
      </w:tr>
      <w:tr w:rsidR="00D312C4" w:rsidRPr="007F4CC8" w14:paraId="2EDC4B4F" w14:textId="77777777" w:rsidTr="00155C96">
        <w:trPr>
          <w:trHeight w:val="316"/>
        </w:trPr>
        <w:tc>
          <w:tcPr>
            <w:tcW w:w="1384" w:type="dxa"/>
          </w:tcPr>
          <w:p w14:paraId="757CE2E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070</w:t>
            </w:r>
          </w:p>
        </w:tc>
        <w:tc>
          <w:tcPr>
            <w:tcW w:w="7655" w:type="dxa"/>
          </w:tcPr>
          <w:p w14:paraId="5319849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od čega: izdanje općih država</w:t>
            </w:r>
          </w:p>
          <w:p w14:paraId="14FFA7FD"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Srednje vrijednosti</w:t>
            </w:r>
            <w:r>
              <w:rPr>
                <w:rStyle w:val="TeksttreciTimesNewRoman105ptOdstpy0pt"/>
                <w:rFonts w:eastAsiaTheme="minorEastAsia"/>
                <w:b/>
                <w:sz w:val="24"/>
              </w:rPr>
              <w:t xml:space="preserve"> </w:t>
            </w:r>
            <w:r>
              <w:rPr>
                <w:rStyle w:val="InstructionsTabelleberschrift"/>
                <w:rFonts w:ascii="Times New Roman" w:hAnsi="Times New Roman"/>
                <w:b w:val="0"/>
                <w:sz w:val="24"/>
                <w:u w:val="none"/>
              </w:rPr>
              <w:t>dužničkih vrijednosnih papira koje drže institucije koje su izdale opće države.</w:t>
            </w:r>
          </w:p>
        </w:tc>
      </w:tr>
      <w:tr w:rsidR="00D312C4" w:rsidRPr="007F4CC8" w14:paraId="6254BDE1" w14:textId="77777777" w:rsidTr="00155C96">
        <w:trPr>
          <w:trHeight w:val="316"/>
        </w:trPr>
        <w:tc>
          <w:tcPr>
            <w:tcW w:w="1384" w:type="dxa"/>
          </w:tcPr>
          <w:p w14:paraId="5441EA98"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7FD19B5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od čega: izdanje financijskih društava</w:t>
            </w:r>
          </w:p>
          <w:p w14:paraId="27413572" w14:textId="77777777" w:rsidR="00D312C4" w:rsidRPr="00C83CCD" w:rsidRDefault="00D312C4" w:rsidP="00155C96">
            <w:pPr>
              <w:autoSpaceDE w:val="0"/>
              <w:autoSpaceDN w:val="0"/>
              <w:adjustRightInd w:val="0"/>
              <w:spacing w:after="120"/>
              <w:jc w:val="both"/>
              <w:rPr>
                <w:rStyle w:val="InstructionsTabelleberschrift"/>
                <w:rFonts w:ascii="Times New Roman" w:hAnsi="Times New Roman"/>
                <w:b w:val="0"/>
                <w:sz w:val="24"/>
                <w:u w:val="none"/>
              </w:rPr>
            </w:pPr>
            <w:r>
              <w:rPr>
                <w:rStyle w:val="TeksttreciTimesNewRoman105ptOdstpy0pt"/>
                <w:rFonts w:eastAsiaTheme="minorEastAsia"/>
                <w:sz w:val="24"/>
              </w:rPr>
              <w:lastRenderedPageBreak/>
              <w:t>Srednje vrijednosti</w:t>
            </w:r>
            <w:r>
              <w:rPr>
                <w:rStyle w:val="InstructionsTabelleberschrift"/>
                <w:rFonts w:ascii="Times New Roman" w:hAnsi="Times New Roman"/>
                <w:b w:val="0"/>
                <w:sz w:val="24"/>
                <w:u w:val="none"/>
              </w:rPr>
              <w:t xml:space="preserve"> dužničkih vrijednosnih papira koje drže institucije koje su izdale kreditne institucije kako su definirane u članku 4. stavku 1. točki 1. CRR-a i druga financijska društva. </w:t>
            </w:r>
          </w:p>
          <w:p w14:paraId="0BAC0BFE"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u w:val="none"/>
              </w:rPr>
              <w:t xml:space="preserve">Ostala financijska društva uključuje sva financijska društva i </w:t>
            </w:r>
            <w:proofErr w:type="spellStart"/>
            <w:r>
              <w:rPr>
                <w:rStyle w:val="InstructionsTabelleberschrift"/>
                <w:rFonts w:ascii="Times New Roman" w:hAnsi="Times New Roman"/>
                <w:b w:val="0"/>
                <w:sz w:val="24"/>
                <w:u w:val="none"/>
              </w:rPr>
              <w:t>kvazi</w:t>
            </w:r>
            <w:proofErr w:type="spellEnd"/>
            <w:r>
              <w:rPr>
                <w:rStyle w:val="InstructionsTabelleberschrift"/>
                <w:rFonts w:ascii="Times New Roman" w:hAnsi="Times New Roman"/>
                <w:b w:val="0"/>
                <w:sz w:val="24"/>
                <w:u w:val="none"/>
              </w:rPr>
              <w:t xml:space="preserve">-društva osim kreditnih institucija, npr. investicijska društva, investicijske fondove, </w:t>
            </w:r>
            <w:proofErr w:type="spellStart"/>
            <w:r>
              <w:rPr>
                <w:rStyle w:val="InstructionsTabelleberschrift"/>
                <w:rFonts w:ascii="Times New Roman" w:hAnsi="Times New Roman"/>
                <w:b w:val="0"/>
                <w:sz w:val="24"/>
                <w:u w:val="none"/>
              </w:rPr>
              <w:t>osiguravateljna</w:t>
            </w:r>
            <w:proofErr w:type="spellEnd"/>
            <w:r>
              <w:rPr>
                <w:rStyle w:val="InstructionsTabelleberschrift"/>
                <w:rFonts w:ascii="Times New Roman" w:hAnsi="Times New Roman"/>
                <w:b w:val="0"/>
                <w:sz w:val="24"/>
                <w:u w:val="none"/>
              </w:rPr>
              <w:t xml:space="preserve"> društva, mirovinske fondove, subjekte za zajednička ulaganja i klirinške kuće, kao i preostale financijske posrednike, pomoćne financijske institucije i vlastite financijske institucije i zajmodavce.</w:t>
            </w:r>
          </w:p>
        </w:tc>
      </w:tr>
      <w:tr w:rsidR="00D312C4" w:rsidRPr="007F4CC8" w14:paraId="0B0BDE77" w14:textId="77777777" w:rsidTr="00155C96">
        <w:trPr>
          <w:trHeight w:val="316"/>
        </w:trPr>
        <w:tc>
          <w:tcPr>
            <w:tcW w:w="1384" w:type="dxa"/>
          </w:tcPr>
          <w:p w14:paraId="680539D3"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090</w:t>
            </w:r>
          </w:p>
        </w:tc>
        <w:tc>
          <w:tcPr>
            <w:tcW w:w="7655" w:type="dxa"/>
          </w:tcPr>
          <w:p w14:paraId="2B8852BB"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od čega: izdanje nefinancijskih društava</w:t>
            </w:r>
          </w:p>
          <w:p w14:paraId="27DAAC2C" w14:textId="41E10DD8" w:rsidR="00D312C4" w:rsidRPr="00C83CCD" w:rsidRDefault="00AD6545" w:rsidP="00155C96">
            <w:pPr>
              <w:autoSpaceDE w:val="0"/>
              <w:autoSpaceDN w:val="0"/>
              <w:adjustRightInd w:val="0"/>
              <w:spacing w:after="120"/>
              <w:jc w:val="both"/>
              <w:rPr>
                <w:rFonts w:ascii="Times New Roman" w:hAnsi="Times New Roman"/>
                <w:sz w:val="24"/>
              </w:rPr>
            </w:pPr>
            <w:r>
              <w:rPr>
                <w:rStyle w:val="TeksttreciTimesNewRoman105ptOdstpy0pt"/>
                <w:rFonts w:eastAsiaTheme="minorEastAsia"/>
                <w:sz w:val="24"/>
              </w:rPr>
              <w:t>Srednje vrijednosti</w:t>
            </w:r>
            <w:r w:rsidR="00D312C4">
              <w:rPr>
                <w:rStyle w:val="InstructionsTabelleberschrift"/>
                <w:rFonts w:ascii="Times New Roman" w:hAnsi="Times New Roman"/>
                <w:b w:val="0"/>
                <w:sz w:val="24"/>
                <w:u w:val="none"/>
              </w:rPr>
              <w:t xml:space="preserve"> dužničkih vrijednosnih papira koje drže institucije koje su izdala</w:t>
            </w:r>
            <w:r w:rsidR="00D312C4">
              <w:rPr>
                <w:rStyle w:val="InstructionsTabelleberschrift"/>
                <w:rFonts w:ascii="Times New Roman" w:hAnsi="Times New Roman"/>
                <w:sz w:val="24"/>
                <w:u w:val="none"/>
              </w:rPr>
              <w:t xml:space="preserve"> </w:t>
            </w:r>
            <w:r w:rsidR="00D312C4">
              <w:rPr>
                <w:rFonts w:ascii="Times New Roman" w:hAnsi="Times New Roman"/>
                <w:sz w:val="24"/>
              </w:rPr>
              <w:t xml:space="preserve">društva i </w:t>
            </w:r>
            <w:proofErr w:type="spellStart"/>
            <w:r w:rsidR="00D312C4">
              <w:rPr>
                <w:rFonts w:ascii="Times New Roman" w:hAnsi="Times New Roman"/>
                <w:sz w:val="24"/>
              </w:rPr>
              <w:t>kvazi</w:t>
            </w:r>
            <w:proofErr w:type="spellEnd"/>
            <w:r w:rsidR="00D312C4">
              <w:rPr>
                <w:rFonts w:ascii="Times New Roman" w:hAnsi="Times New Roman"/>
                <w:sz w:val="24"/>
              </w:rPr>
              <w:t>-društva koja se ne bave financijskim posredovanjem, nego u pravilu proizvodnjom tržišne robe i pružanjem nefinancijskih usluga u skladu s Uredbom ESB-a o BSI-ju</w:t>
            </w:r>
          </w:p>
        </w:tc>
      </w:tr>
      <w:tr w:rsidR="00D312C4" w:rsidRPr="007F4CC8" w14:paraId="0941537B" w14:textId="77777777" w:rsidTr="00155C96">
        <w:trPr>
          <w:trHeight w:val="316"/>
        </w:trPr>
        <w:tc>
          <w:tcPr>
            <w:tcW w:w="1384" w:type="dxa"/>
          </w:tcPr>
          <w:p w14:paraId="616243D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120</w:t>
            </w:r>
          </w:p>
        </w:tc>
        <w:tc>
          <w:tcPr>
            <w:tcW w:w="7655" w:type="dxa"/>
          </w:tcPr>
          <w:p w14:paraId="11D142F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Ostala imovina</w:t>
            </w:r>
          </w:p>
          <w:p w14:paraId="24027F28"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rPr>
            </w:pPr>
            <w:r>
              <w:rPr>
                <w:rStyle w:val="TeksttreciTimesNewRoman105ptOdstpy0pt"/>
                <w:rFonts w:eastAsia="Book Antiqua"/>
                <w:sz w:val="24"/>
                <w:szCs w:val="24"/>
              </w:rPr>
              <w:t>Srednja vrijednost ostale imovine institucije upisane u bilanci, osim one objavljene u prethodnim redcima i različite od vlastitih dužničkih vrijednosnih papira i vlastitih vlasničkih instrumenata koje institucija koja nije obveznik primjene međunarodnih standarda financijskog izvješćivanja ne može prestati priznavati u bilanci.</w:t>
            </w:r>
          </w:p>
          <w:p w14:paraId="0ED4E652" w14:textId="2B2ED3DA"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U tom se slučaju vlastiti dužnički instrumenti uključuju u redak 240 obrasca EU AE2, a vlastiti vlasnički instrumenti isključuju se iz objave informacija o opterećenju imovine.</w:t>
            </w:r>
          </w:p>
          <w:p w14:paraId="18948187" w14:textId="04315047" w:rsidR="00D312C4" w:rsidRPr="007F4CC8" w:rsidRDefault="00D312C4" w:rsidP="00155C96">
            <w:pPr>
              <w:pStyle w:val="Teksttreci0"/>
              <w:shd w:val="clear" w:color="auto" w:fill="auto"/>
              <w:spacing w:after="120" w:line="240" w:lineRule="auto"/>
              <w:ind w:firstLine="0"/>
              <w:rPr>
                <w:rFonts w:ascii="Times New Roman" w:hAnsi="Times New Roman" w:cs="Times New Roman"/>
                <w:bCs/>
                <w:sz w:val="24"/>
                <w:szCs w:val="24"/>
              </w:rPr>
            </w:pPr>
            <w:r>
              <w:rPr>
                <w:rStyle w:val="TeksttreciTimesNewRoman105ptOdstpy0pt"/>
                <w:rFonts w:eastAsia="Book Antiqua"/>
                <w:sz w:val="24"/>
                <w:szCs w:val="24"/>
              </w:rPr>
              <w:t xml:space="preserve">Ostala imovina uključuje novac u blagajni (nacionalne i strane novčanice i kovanice u optjecaju koje se uobičajeno koriste za plaćanja), okvirne kredite (MRS 1.54. točke i. za institucije koje primjenjuju MSFI-je) uključujući potraživanja na zahtjev središnjih banaka i drugih institucija. Ostala imovina uključuje i kredite i predujmove osim okvirnih kredita, odnosno dužničke instrumente koje drže institucije koji nisu vrijednosni papiri, osim salda potraživanja po viđenju, uključujući kredite s nekretninom kao kolateralom kako je definirano u dijelu drugom točki 86. </w:t>
            </w:r>
            <w:proofErr w:type="spellStart"/>
            <w:r>
              <w:rPr>
                <w:rStyle w:val="TeksttreciTimesNewRoman105ptOdstpy0pt"/>
                <w:rFonts w:eastAsia="Book Antiqua"/>
                <w:sz w:val="24"/>
                <w:szCs w:val="24"/>
              </w:rPr>
              <w:t>podtočki</w:t>
            </w:r>
            <w:proofErr w:type="spellEnd"/>
            <w:r>
              <w:rPr>
                <w:rStyle w:val="TeksttreciTimesNewRoman105ptOdstpy0pt"/>
                <w:rFonts w:eastAsia="Book Antiqua"/>
                <w:sz w:val="24"/>
                <w:szCs w:val="24"/>
              </w:rPr>
              <w:t xml:space="preserve"> (a)</w:t>
            </w:r>
            <w:r>
              <w:rPr>
                <w:sz w:val="24"/>
              </w:rPr>
              <w:t xml:space="preserve"> </w:t>
            </w:r>
            <w:r>
              <w:rPr>
                <w:rStyle w:val="InstructionsTabelleberschrift"/>
                <w:rFonts w:ascii="Times New Roman" w:hAnsi="Times New Roman"/>
                <w:b w:val="0"/>
                <w:sz w:val="24"/>
                <w:u w:val="none"/>
              </w:rPr>
              <w:t>Priloga V.</w:t>
            </w:r>
            <w:r>
              <w:rPr>
                <w:rStyle w:val="TeksttreciTimesNewRoman105ptOdstpy0pt"/>
                <w:rFonts w:eastAsia="Book Antiqua"/>
                <w:b/>
                <w:sz w:val="24"/>
                <w:szCs w:val="24"/>
              </w:rPr>
              <w:t xml:space="preserve"> </w:t>
            </w:r>
            <w:r>
              <w:rPr>
                <w:rStyle w:val="TeksttreciTimesNewRoman105ptOdstpy0pt"/>
                <w:rFonts w:eastAsia="Book Antiqua"/>
                <w:sz w:val="24"/>
                <w:szCs w:val="24"/>
              </w:rPr>
              <w:t xml:space="preserve">Provedbenoj uredbi Komisije (EU) 680/2014. Ostala imovina može obuhvaćati i nematerijalnu imovinu, uključujući </w:t>
            </w:r>
            <w:proofErr w:type="spellStart"/>
            <w:r>
              <w:rPr>
                <w:rStyle w:val="TeksttreciTimesNewRoman105ptOdstpy0pt"/>
                <w:rFonts w:eastAsia="Book Antiqua"/>
                <w:i/>
                <w:sz w:val="24"/>
                <w:szCs w:val="24"/>
              </w:rPr>
              <w:t>goodwill</w:t>
            </w:r>
            <w:proofErr w:type="spellEnd"/>
            <w:r>
              <w:rPr>
                <w:rStyle w:val="TeksttreciTimesNewRoman105ptOdstpy0pt"/>
                <w:rFonts w:eastAsia="Book Antiqua"/>
                <w:sz w:val="24"/>
                <w:szCs w:val="24"/>
              </w:rPr>
              <w:t>, odgođenu poreznu imovinu, nekretnine, postrojenja i drugu dugotrajnu imovinu, derivativnu imovinu, obratne repo ugovore i potraživanja od pozajmljivanja dionica.</w:t>
            </w:r>
          </w:p>
          <w:p w14:paraId="1439D231" w14:textId="04BE1D52"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Ako su odnosna imovina i imovina u skupu za pokriće zadržanih sekuritizacija i zadržanih pokrivenih obveznica okvirni krediti ili krediti i predujmovi osim okvirnih kredita, također se uključuju u ovaj redak.</w:t>
            </w:r>
          </w:p>
        </w:tc>
      </w:tr>
    </w:tbl>
    <w:p w14:paraId="2A2C5992"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5D70D91E" w14:textId="77777777" w:rsidTr="00155C96">
        <w:trPr>
          <w:trHeight w:val="238"/>
        </w:trPr>
        <w:tc>
          <w:tcPr>
            <w:tcW w:w="9039" w:type="dxa"/>
            <w:gridSpan w:val="2"/>
            <w:shd w:val="clear" w:color="auto" w:fill="D9D9D9" w:themeFill="background1" w:themeFillShade="D9"/>
          </w:tcPr>
          <w:p w14:paraId="0274FF40"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Pravna osnova i upute</w:t>
            </w:r>
          </w:p>
        </w:tc>
      </w:tr>
      <w:tr w:rsidR="00D312C4" w:rsidRPr="007F4CC8" w14:paraId="03E180C6" w14:textId="77777777" w:rsidTr="00155C96">
        <w:trPr>
          <w:trHeight w:val="238"/>
        </w:trPr>
        <w:tc>
          <w:tcPr>
            <w:tcW w:w="1384" w:type="dxa"/>
            <w:shd w:val="clear" w:color="auto" w:fill="D9D9D9" w:themeFill="background1" w:themeFillShade="D9"/>
          </w:tcPr>
          <w:p w14:paraId="4D464DCF"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Broj stupca</w:t>
            </w:r>
          </w:p>
        </w:tc>
        <w:tc>
          <w:tcPr>
            <w:tcW w:w="7655" w:type="dxa"/>
            <w:shd w:val="clear" w:color="auto" w:fill="D9D9D9" w:themeFill="background1" w:themeFillShade="D9"/>
          </w:tcPr>
          <w:p w14:paraId="1D23DCFC"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Objašnjenje</w:t>
            </w:r>
          </w:p>
        </w:tc>
      </w:tr>
      <w:tr w:rsidR="00D312C4" w:rsidRPr="007F4CC8" w14:paraId="4D2F488F" w14:textId="77777777" w:rsidTr="00155C96">
        <w:trPr>
          <w:trHeight w:val="841"/>
        </w:trPr>
        <w:tc>
          <w:tcPr>
            <w:tcW w:w="1384" w:type="dxa"/>
          </w:tcPr>
          <w:p w14:paraId="7D15DB81" w14:textId="77777777" w:rsidR="00D312C4" w:rsidRPr="007F4CC8" w:rsidRDefault="00D312C4" w:rsidP="00155C96">
            <w:pPr>
              <w:pStyle w:val="Applicationdirecte"/>
              <w:spacing w:before="0"/>
            </w:pPr>
            <w:r>
              <w:lastRenderedPageBreak/>
              <w:t>010</w:t>
            </w:r>
          </w:p>
        </w:tc>
        <w:tc>
          <w:tcPr>
            <w:tcW w:w="7655" w:type="dxa"/>
          </w:tcPr>
          <w:p w14:paraId="4A92F12D"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Knjigovodstvena vrijednost opterećene imovine</w:t>
            </w:r>
          </w:p>
          <w:p w14:paraId="023B3B5F" w14:textId="77777777" w:rsidR="00D312C4" w:rsidRPr="007F4CC8" w:rsidRDefault="00D312C4" w:rsidP="00155C96">
            <w:pPr>
              <w:pStyle w:val="Fait"/>
              <w:spacing w:before="0" w:after="120"/>
              <w:rPr>
                <w:rStyle w:val="TeksttreciTimesNewRoman105ptOdstpy0pt"/>
                <w:rFonts w:eastAsia="Calibri"/>
              </w:rPr>
            </w:pPr>
            <w:r>
              <w:rPr>
                <w:rStyle w:val="TeksttreciTimesNewRoman105ptOdstpy0pt"/>
              </w:rPr>
              <w:t xml:space="preserve">Srednja vrijednost knjigovodstvene vrijednosti imovine koju drži institucija koja je opterećena. </w:t>
            </w:r>
          </w:p>
          <w:p w14:paraId="35614DD4" w14:textId="77777777" w:rsidR="00D312C4" w:rsidRPr="007F4CC8" w:rsidRDefault="00D312C4" w:rsidP="00155C96">
            <w:pPr>
              <w:pStyle w:val="Fait"/>
              <w:spacing w:before="0" w:after="120"/>
              <w:rPr>
                <w:rStyle w:val="TeksttreciTimesNewRoman105ptOdstpy0pt"/>
                <w:rFonts w:eastAsia="Calibri"/>
              </w:rPr>
            </w:pPr>
            <w:r>
              <w:rPr>
                <w:rStyle w:val="TeksttreciTimesNewRoman105ptOdstpy0pt"/>
              </w:rPr>
              <w:t>Knjigovodstvena vrijednost znači iznos u bilanci na strani imovine.</w:t>
            </w:r>
          </w:p>
          <w:p w14:paraId="70F39F33" w14:textId="77777777" w:rsidR="00D312C4" w:rsidRPr="007F4CC8" w:rsidRDefault="00D312C4" w:rsidP="00155C96">
            <w:pPr>
              <w:pStyle w:val="Fait"/>
              <w:spacing w:before="0" w:after="120"/>
            </w:pPr>
            <w:r>
              <w:rPr>
                <w:rStyle w:val="TeksttreciTimesNewRoman105ptOdstpy0pt"/>
              </w:rPr>
              <w:t>Za svaku kategoriju imovine objavljena knjigovodstvena vrijednost srednja je vrijednost različitih objavljenih knjigovodstvenih vrijednosti na kraju svakog razdoblja objave koje se uzima u obzir za izračun srednje vrijednosti.</w:t>
            </w:r>
          </w:p>
        </w:tc>
      </w:tr>
      <w:tr w:rsidR="00D312C4" w:rsidRPr="007F4CC8" w14:paraId="68911C28" w14:textId="77777777" w:rsidTr="00155C96">
        <w:trPr>
          <w:trHeight w:val="841"/>
        </w:trPr>
        <w:tc>
          <w:tcPr>
            <w:tcW w:w="1384" w:type="dxa"/>
          </w:tcPr>
          <w:p w14:paraId="29FF787B" w14:textId="77777777" w:rsidR="00D312C4" w:rsidRPr="007F4CC8" w:rsidRDefault="00D312C4" w:rsidP="00155C96">
            <w:pPr>
              <w:pStyle w:val="Applicationdirecte"/>
              <w:spacing w:before="0"/>
            </w:pPr>
            <w:r>
              <w:t>030</w:t>
            </w:r>
          </w:p>
        </w:tc>
        <w:tc>
          <w:tcPr>
            <w:tcW w:w="7655" w:type="dxa"/>
          </w:tcPr>
          <w:p w14:paraId="48BDDB0D" w14:textId="5F9ACD94" w:rsidR="00D312C4" w:rsidRPr="007F4CC8" w:rsidRDefault="002C116A"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w:t>
            </w:r>
            <w:r w:rsidR="00D312C4">
              <w:rPr>
                <w:rStyle w:val="PogrubienieTeksttreciTimesNewRoman105ptOdstpy0pt"/>
                <w:rFonts w:eastAsia="Book Antiqua"/>
                <w:sz w:val="24"/>
                <w:szCs w:val="24"/>
              </w:rPr>
              <w:t>d čega: teoretski prihvatljiva EHQLA i HQLA</w:t>
            </w:r>
          </w:p>
          <w:p w14:paraId="36896FCB"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Srednja vrijednost knjigovodstvene vrijednosti opterećene imovine koja je teoretski prihvatljiva za kvalifikaciju kao imovina iznimno visoke likvidnosti i kreditne kvalitete (EHQLA) i imovina visoke likvidnosti i kreditne kvalitete (HQLA).</w:t>
            </w:r>
          </w:p>
          <w:p w14:paraId="51929211"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Za potrebe ove Uredbe teoretski prihvatljiva opterećena EHQLA i teoretski prihvatljiva opterećena HQLA imovina je navedena u člancima 10., 11., 12., 13., 15. i 16. Delegirane uredbe Komisije (EU) 2015/61</w:t>
            </w:r>
            <w:r>
              <w:rPr>
                <w:rStyle w:val="FootnoteReference"/>
                <w:rFonts w:eastAsia="Calibri" w:cs="Times New Roman"/>
                <w:color w:val="000000"/>
                <w:spacing w:val="4"/>
                <w:shd w:val="clear" w:color="auto" w:fill="FFFFFF"/>
              </w:rPr>
              <w:footnoteReference w:id="58"/>
            </w:r>
            <w:r>
              <w:rPr>
                <w:rStyle w:val="TeksttreciTimesNewRoman105ptOdstpy0pt"/>
                <w:rFonts w:eastAsiaTheme="minorEastAsia"/>
                <w:sz w:val="24"/>
              </w:rPr>
              <w:t xml:space="preserve"> koja bi ispunjavala opće i operativne zahtjeve navedene u člancima 7. i 8. te Delegirane uredbe da njezin status nije status opterećene imovine u skladu s Prilogom XVII. Provedbenoj uredbi Komisije (EU) br. 680/2014. Teoretski prihvatljiva opterećena EHQLA i teoretski prihvatljiva opterećena HQLA moraju biti u skladu i sa zahtjevima za izloženost specifičnima za kategoriju utvrđenima u člancima od 10. do 16. i od 35. do 37. Delegirane uredbe (EU) 2015/61. Knjigovodstvena vrijednost teoretski prihvatljive opterećene EHQLA-e i teoretski prihvatljive opterećene HQLA-e je knjigovodstvena vrijednost prije primjene korektivnih faktora utvrđenih u člancima od 10. do 16. Delegirane uredbe (EU) 2015/61.</w:t>
            </w:r>
          </w:p>
          <w:p w14:paraId="7EFA6F69"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Za svaku kategoriju imovine objavljena knjigovodstvena vrijednost srednja je vrijednost različitih objavljenih knjigovodstvenih vrijednosti na kraju svakog razdoblja objave koje se uzima u obzir za izračun srednje vrijednosti.</w:t>
            </w:r>
          </w:p>
        </w:tc>
      </w:tr>
      <w:tr w:rsidR="00D312C4" w:rsidRPr="007F4CC8" w14:paraId="6B5BB829" w14:textId="77777777" w:rsidTr="00155C96">
        <w:trPr>
          <w:trHeight w:val="316"/>
        </w:trPr>
        <w:tc>
          <w:tcPr>
            <w:tcW w:w="1384" w:type="dxa"/>
          </w:tcPr>
          <w:p w14:paraId="21F2250B"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6183C9CC" w14:textId="77777777" w:rsidR="00D312C4" w:rsidRPr="00C83CCD"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Fer vrijednost opterećene imovine</w:t>
            </w:r>
          </w:p>
          <w:p w14:paraId="17E176CC" w14:textId="77777777" w:rsidR="00D312C4" w:rsidRPr="00C83CCD" w:rsidRDefault="00D312C4" w:rsidP="00155C96">
            <w:pPr>
              <w:spacing w:after="120"/>
              <w:jc w:val="both"/>
              <w:rPr>
                <w:rStyle w:val="InstructionsTabelleberschrift"/>
                <w:rFonts w:ascii="Times New Roman" w:hAnsi="Times New Roman"/>
                <w:b w:val="0"/>
                <w:sz w:val="24"/>
                <w:u w:val="none"/>
              </w:rPr>
            </w:pPr>
            <w:r>
              <w:rPr>
                <w:rStyle w:val="TeksttreciTimesNewRoman105ptOdstpy0pt"/>
                <w:rFonts w:eastAsiaTheme="minorEastAsia"/>
                <w:sz w:val="24"/>
              </w:rPr>
              <w:t>Srednja vrijednost f</w:t>
            </w:r>
            <w:r>
              <w:rPr>
                <w:rStyle w:val="InstructionsTabelleberschrift"/>
                <w:rFonts w:ascii="Times New Roman" w:hAnsi="Times New Roman"/>
                <w:b w:val="0"/>
                <w:sz w:val="24"/>
                <w:u w:val="none"/>
              </w:rPr>
              <w:t>er vrijednosti dužničkih vrijednosnih papira koje drži institucija koja objavljuje podatke koji su opterećeni u skladu s definicijom opterećenja imovine.</w:t>
            </w:r>
          </w:p>
          <w:p w14:paraId="3F9721DD" w14:textId="209F87B5" w:rsidR="00D312C4" w:rsidRPr="00C83CCD" w:rsidRDefault="00D312C4" w:rsidP="00155C96">
            <w:pPr>
              <w:spacing w:after="120"/>
              <w:jc w:val="both"/>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Fer vrijednost financijskog instrumenta jest cijena koja bi bila postignuta pri prodaji imovine ili plaćena pri prijenosu obveze u uobičajenoj transakciji između tržišnih sudionika na datum mjerenja (vidjeti MSFI 13 Mjerenje fer vrijednosti i MSFI 13 i članak 8. Direktive 2013/34/EU</w:t>
            </w:r>
            <w:r>
              <w:rPr>
                <w:rStyle w:val="FootnoteReference"/>
                <w:rFonts w:ascii="Times New Roman" w:hAnsi="Times New Roman"/>
                <w:sz w:val="24"/>
                <w:lang w:eastAsia="de-DE"/>
              </w:rPr>
              <w:footnoteReference w:id="59"/>
            </w:r>
            <w:r>
              <w:rPr>
                <w:rStyle w:val="InstructionsTabelleberschrift"/>
                <w:rFonts w:ascii="Times New Roman" w:hAnsi="Times New Roman"/>
                <w:b w:val="0"/>
                <w:sz w:val="24"/>
                <w:u w:val="none"/>
              </w:rPr>
              <w:t xml:space="preserve"> za institucije koje ne primjenjuju MSFI-je). </w:t>
            </w:r>
          </w:p>
          <w:p w14:paraId="23FAE624"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lastRenderedPageBreak/>
              <w:t>Za svaku kategoriju imovine objavljena fer vrijednost srednja je vrijednost različitih fer vrijednosti na kraju svakog razdoblja objave koje se uzima u obzir za izračun srednje vrijednosti.</w:t>
            </w:r>
          </w:p>
        </w:tc>
      </w:tr>
      <w:tr w:rsidR="00D312C4" w:rsidRPr="007F4CC8" w14:paraId="4B3529C2" w14:textId="77777777" w:rsidTr="00155C96">
        <w:trPr>
          <w:trHeight w:val="316"/>
        </w:trPr>
        <w:tc>
          <w:tcPr>
            <w:tcW w:w="1384" w:type="dxa"/>
          </w:tcPr>
          <w:p w14:paraId="38B4E8D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050</w:t>
            </w:r>
          </w:p>
        </w:tc>
        <w:tc>
          <w:tcPr>
            <w:tcW w:w="7655" w:type="dxa"/>
          </w:tcPr>
          <w:p w14:paraId="0F565CC0"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od čega: teoretski prihvatljiva EHQLA i HQLA</w:t>
            </w:r>
          </w:p>
          <w:p w14:paraId="7F30EBE4"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Srednja vrijednost fer vrijednosti opterećene imovine koja je teoretski prihvatljiva za kvalifikaciju kao EHQLA i HQLA. Za potrebe ove Uredbe teoretski prihvatljiva opterećena EHQLA i teoretski prihvatljiva opterećena HQLA su ona imovina navedena u člancima 10., 11., 12., 13., 15. i 16. Delegirane uredbe (EU) 2015/61 koja bi ispunjavala opće i operativne zahtjeve navedene u člancima 7. i 8. te Delegirane uredbe Komisije (EU) 2015/61 da njezin status nije status opterećene imovine u skladu s Prilogom XVII. Provedbenoj uredbi Komisije (EU) br. 680/2014. Teoretski prihvatljiva opterećena EHQLA i teoretski prihvatljiva opterećena HQLA moraju biti u skladu i sa zahtjevima za izloženost specifičnima za kategoriju utvrđenima u člancima od 10. do 16. i od 35. do 37. Delegirane uredbe Komisije (EU) 2015/61. Fer vrijednost teoretski prihvatljive opterećene EHQLA-e i teoretski prihvatljive opterećene HQLA-e fer je vrijednost prije primjene korektivnih faktora utvrđenih u člancima od 10. do 16. Delegirane uredbe Komisije (EU) 2015/61.</w:t>
            </w:r>
          </w:p>
          <w:p w14:paraId="12D6883C"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Za svaku kategoriju imovine objavljena fer vrijednost srednja je vrijednost različitih fer vrijednosti na kraju svakog razdoblja objave koje se uzima u obzir za izračun srednje vrijednosti.</w:t>
            </w:r>
          </w:p>
        </w:tc>
      </w:tr>
      <w:tr w:rsidR="00D312C4" w:rsidRPr="007F4CC8" w14:paraId="2789423A" w14:textId="77777777" w:rsidTr="00155C96">
        <w:trPr>
          <w:trHeight w:val="316"/>
        </w:trPr>
        <w:tc>
          <w:tcPr>
            <w:tcW w:w="1384" w:type="dxa"/>
          </w:tcPr>
          <w:p w14:paraId="518FC7A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3EB12C9" w14:textId="77777777" w:rsidR="00D312C4" w:rsidRPr="00C83CCD"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Knjigovodstvena vrijednost neopterećene imovine</w:t>
            </w:r>
          </w:p>
          <w:p w14:paraId="3C3C5694" w14:textId="77777777" w:rsidR="00D312C4" w:rsidRPr="00C83CCD" w:rsidRDefault="00D312C4" w:rsidP="00C83CCD">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Srednja vrijednost </w:t>
            </w:r>
            <w:r>
              <w:rPr>
                <w:rStyle w:val="InstructionsTabelleberschrift"/>
                <w:rFonts w:ascii="Times New Roman" w:hAnsi="Times New Roman"/>
                <w:b w:val="0"/>
                <w:sz w:val="24"/>
                <w:u w:val="none"/>
              </w:rPr>
              <w:t>knjigovodstvene vrijednosti imovine koju drži institucija koja je opterećena u skladu s definicijom opterećenja imovine. Knjigovodstvena vrijednost znači iznos objavljen na strani imovine u bilanci.</w:t>
            </w:r>
          </w:p>
          <w:p w14:paraId="71D23006" w14:textId="77777777" w:rsidR="00D312C4" w:rsidRPr="00C83CCD" w:rsidRDefault="00D312C4" w:rsidP="00C83CCD">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Za svaku kategoriju imovine objavljena knjigovodstvena vrijednost srednja je vrijednost različitih objavljenih knjigovodstvenih vrijednosti na kraju svakog razdoblja objave koje se uzima u obzir za izračun srednje vrijednosti.</w:t>
            </w:r>
          </w:p>
        </w:tc>
      </w:tr>
      <w:tr w:rsidR="00D312C4" w:rsidRPr="007F4CC8" w14:paraId="655A46A2" w14:textId="77777777" w:rsidTr="00155C96">
        <w:trPr>
          <w:trHeight w:val="316"/>
        </w:trPr>
        <w:tc>
          <w:tcPr>
            <w:tcW w:w="1384" w:type="dxa"/>
          </w:tcPr>
          <w:p w14:paraId="57BE823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429634F9"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od čega: EHQLA i HQLA</w:t>
            </w:r>
          </w:p>
          <w:p w14:paraId="177B08C1" w14:textId="77777777" w:rsidR="00D312C4" w:rsidRPr="007F4CC8" w:rsidRDefault="00D312C4" w:rsidP="00C83CCD">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Srednja vrijednost knjigovodstvene vrijednosti neopterećene EHQLA-e i HQLA-e kako je navedeno u člancima 10., 11., 12., 13., 15. i 16. Delegirane uredbe Komisije (EU) 2015/61 i koje ispunjavaju opće i operativne zahtjeve utvrđene u člancima 7. i 8. Delegirane uredbe Komisije (EU) 2015/61 te zahtjeve za izloženost specifične za kategoriju utvrđene u člancima od 10. do 16. i od 35. do 37. Delegirane uredbe Komisije (EU) 2015/61. Knjigovodstvena vrijednost EHQLA-e i HQLA-e knjigovodstvena je vrijednost prije primjene korektivnih faktora utvrđenih u člancima od 10. do 16. Delegirane uredbe Komisije (EU) 2015/61.</w:t>
            </w:r>
          </w:p>
          <w:p w14:paraId="660B94D9"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Za svaku kategoriju imovine objavljena knjigovodstvena vrijednost srednja je vrijednost različitih objavljenih knjigovodstvenih vrijednosti na kraju svakog razdoblja objave koje se uzima u obzir za izračun srednje vrijednosti.</w:t>
            </w:r>
          </w:p>
        </w:tc>
      </w:tr>
      <w:tr w:rsidR="00D312C4" w:rsidRPr="007F4CC8" w14:paraId="5FE9D154" w14:textId="77777777" w:rsidTr="00155C96">
        <w:trPr>
          <w:trHeight w:val="695"/>
        </w:trPr>
        <w:tc>
          <w:tcPr>
            <w:tcW w:w="1384" w:type="dxa"/>
          </w:tcPr>
          <w:p w14:paraId="5354B414"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090</w:t>
            </w:r>
          </w:p>
        </w:tc>
        <w:tc>
          <w:tcPr>
            <w:tcW w:w="7655" w:type="dxa"/>
          </w:tcPr>
          <w:p w14:paraId="738D4D70" w14:textId="77777777" w:rsidR="00D312C4" w:rsidRPr="00C83CCD"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Fer vrijednost neopterećene imovine</w:t>
            </w:r>
          </w:p>
          <w:p w14:paraId="0EE0AA4A" w14:textId="51A08165" w:rsidR="00D312C4" w:rsidRPr="00C83CCD" w:rsidRDefault="00D312C4" w:rsidP="00155C96">
            <w:pPr>
              <w:spacing w:after="120"/>
              <w:rPr>
                <w:rFonts w:ascii="Times New Roman" w:hAnsi="Times New Roman" w:cs="Times New Roman"/>
                <w:sz w:val="24"/>
              </w:rPr>
            </w:pPr>
            <w:r>
              <w:rPr>
                <w:rStyle w:val="TeksttreciTimesNewRoman105ptOdstpy0pt"/>
                <w:rFonts w:eastAsiaTheme="minorEastAsia"/>
                <w:sz w:val="24"/>
              </w:rPr>
              <w:t>Srednja vrijednost</w:t>
            </w:r>
            <w:r>
              <w:rPr>
                <w:rStyle w:val="InstructionsTabelleberschrift"/>
                <w:rFonts w:ascii="Times New Roman" w:hAnsi="Times New Roman"/>
                <w:b w:val="0"/>
                <w:sz w:val="24"/>
                <w:u w:val="none"/>
              </w:rPr>
              <w:t xml:space="preserve"> fer vrijednosti dužničkih vrijednosnih papira koje drži institucija koji su opterećeni. Fer vrijednost financijskog instrumenta cijena je koja bi bila postignuta pri prodaji imovine ili plaćena pri prijenosu obveze u uobičajenoj transakciji između tržišnih sudionika na datum mjerenja. (vidjeti MSFI 13 Mjerenje fer vrijednosti i MSFI 13 i članak 8. Direktive 2013/34/EU). </w:t>
            </w:r>
          </w:p>
          <w:p w14:paraId="5BF1A23C"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Za svaku kategoriju imovine objavljena fer vrijednost srednja je vrijednost različitih fer vrijednosti na kraju svakog razdoblja objave koje se uzima u obzir za izračun srednje vrijednosti.</w:t>
            </w:r>
          </w:p>
        </w:tc>
      </w:tr>
      <w:tr w:rsidR="00D312C4" w:rsidRPr="007F4CC8" w14:paraId="07EBAA56" w14:textId="77777777" w:rsidTr="00155C96">
        <w:trPr>
          <w:trHeight w:val="695"/>
        </w:trPr>
        <w:tc>
          <w:tcPr>
            <w:tcW w:w="1384" w:type="dxa"/>
          </w:tcPr>
          <w:p w14:paraId="2810752F"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100</w:t>
            </w:r>
          </w:p>
        </w:tc>
        <w:tc>
          <w:tcPr>
            <w:tcW w:w="7655" w:type="dxa"/>
          </w:tcPr>
          <w:p w14:paraId="1A6C549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od čega: EHQLA i HQLA</w:t>
            </w:r>
          </w:p>
          <w:p w14:paraId="48F6918E" w14:textId="77777777" w:rsidR="00D312C4" w:rsidRPr="007F4CC8" w:rsidRDefault="00D312C4" w:rsidP="00155C96">
            <w:pPr>
              <w:pStyle w:val="Fait"/>
              <w:spacing w:before="0" w:after="120"/>
              <w:rPr>
                <w:rStyle w:val="TeksttreciTimesNewRoman105ptOdstpy0pt"/>
                <w:rFonts w:eastAsia="Calibri"/>
              </w:rPr>
            </w:pPr>
            <w:r>
              <w:rPr>
                <w:rStyle w:val="TeksttreciTimesNewRoman105ptOdstpy0pt"/>
              </w:rPr>
              <w:t>Srednja vrijednost fer vrijednosti neopterećene EHQLA-e i HQLA-e kako je navedeno u člancima 10., 11., 12., 13., 15. i 16. Delegirane uredbe Komisije (EU) 2015/61 i koje ispunjavaju opće i operativne zahtjeve utvrđene u člancima 7. i 8. Delegirane uredbe Komisije (EU) 2015/61 te zahtjeve za izloženost specifične za kategoriju utvrđene u člancima od 10. do 16. i od 35. do 37. Delegirane uredbe Komisije (EU) 2015/61. Fer vrijednost EHQLA-e i HQLA-e fer je vrijednost prije primjene korektivnih faktora utvrđenih u člancima od 10. do 16. Delegirane uredbe Komisije (EU) 2015/61.</w:t>
            </w:r>
          </w:p>
          <w:p w14:paraId="363AC6DC" w14:textId="77777777" w:rsidR="00D312C4" w:rsidRPr="007F4CC8" w:rsidRDefault="00D312C4" w:rsidP="00155C96">
            <w:pPr>
              <w:pStyle w:val="Fait"/>
              <w:spacing w:before="0" w:after="120"/>
            </w:pPr>
            <w:r>
              <w:rPr>
                <w:rStyle w:val="TeksttreciTimesNewRoman105ptOdstpy0pt"/>
              </w:rPr>
              <w:t>Za svaku kategoriju imovine objavljena fer vrijednost srednja je vrijednost različitih fer vrijednosti na kraju svakog razdoblja objave koje se uzima u obzir za izračun srednje vrijednosti.</w:t>
            </w:r>
          </w:p>
        </w:tc>
      </w:tr>
    </w:tbl>
    <w:p w14:paraId="76F2527F" w14:textId="77777777" w:rsidR="00D312C4" w:rsidRPr="007F4CC8" w:rsidRDefault="00D312C4" w:rsidP="00D312C4">
      <w:pPr>
        <w:spacing w:after="120"/>
        <w:rPr>
          <w:rFonts w:ascii="Times New Roman" w:hAnsi="Times New Roman"/>
          <w:b/>
        </w:rPr>
      </w:pPr>
    </w:p>
    <w:p w14:paraId="4953C740" w14:textId="3E820B5E" w:rsidR="00D312C4" w:rsidRPr="007F4CC8" w:rsidRDefault="00D312C4" w:rsidP="00D312C4">
      <w:pPr>
        <w:spacing w:after="120"/>
        <w:rPr>
          <w:rFonts w:ascii="Times New Roman" w:hAnsi="Times New Roman" w:cs="Times New Roman"/>
        </w:rPr>
      </w:pPr>
      <w:r>
        <w:rPr>
          <w:rFonts w:ascii="Times New Roman" w:hAnsi="Times New Roman"/>
          <w:b/>
        </w:rPr>
        <w:t>Obrazac EU AE2 – Primljeni kolaterali i izdani vlastiti dužnički vrijednosni papiri</w:t>
      </w:r>
    </w:p>
    <w:p w14:paraId="2E0FB87E" w14:textId="3A7DDD5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szCs w:val="24"/>
        </w:rPr>
        <w:t>Institucije dopunjuju obrazac EU AE2 iz Priloga XXXV. ovoj Provedbenoj uredbi prateći upute u nastavku.</w:t>
      </w:r>
    </w:p>
    <w:p w14:paraId="2C25963D"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413D65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015B2E"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Pravna osnova i upute</w:t>
            </w:r>
          </w:p>
        </w:tc>
      </w:tr>
      <w:tr w:rsidR="00D312C4" w:rsidRPr="007F4CC8" w14:paraId="6C3E0F13" w14:textId="77777777" w:rsidTr="00155C96">
        <w:trPr>
          <w:trHeight w:val="704"/>
        </w:trPr>
        <w:tc>
          <w:tcPr>
            <w:tcW w:w="1384" w:type="dxa"/>
            <w:shd w:val="clear" w:color="auto" w:fill="D9D9D9" w:themeFill="background1" w:themeFillShade="D9"/>
          </w:tcPr>
          <w:p w14:paraId="0811BCC4"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2B836ECA"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Objašnjenje</w:t>
            </w:r>
          </w:p>
        </w:tc>
      </w:tr>
      <w:tr w:rsidR="00D312C4" w:rsidRPr="007F4CC8" w14:paraId="75A894F9" w14:textId="77777777" w:rsidTr="00155C96">
        <w:trPr>
          <w:trHeight w:val="2031"/>
        </w:trPr>
        <w:tc>
          <w:tcPr>
            <w:tcW w:w="1384" w:type="dxa"/>
          </w:tcPr>
          <w:p w14:paraId="23D547FC" w14:textId="77777777" w:rsidR="00D312C4" w:rsidRPr="007F4CC8" w:rsidRDefault="00D312C4" w:rsidP="00155C96">
            <w:pPr>
              <w:pStyle w:val="Applicationdirecte"/>
              <w:spacing w:before="0"/>
            </w:pPr>
            <w:r>
              <w:t>130</w:t>
            </w:r>
          </w:p>
        </w:tc>
        <w:tc>
          <w:tcPr>
            <w:tcW w:w="7655" w:type="dxa"/>
          </w:tcPr>
          <w:p w14:paraId="48376098"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Kolaterali koji je primila institucija koja objavljuje podatke</w:t>
            </w:r>
          </w:p>
          <w:p w14:paraId="0F817D17" w14:textId="77777777" w:rsidR="00D312C4" w:rsidRPr="007F4CC8" w:rsidRDefault="00D312C4" w:rsidP="00155C96">
            <w:pPr>
              <w:spacing w:after="120"/>
              <w:jc w:val="both"/>
              <w:rPr>
                <w:rFonts w:ascii="Times New Roman" w:hAnsi="Times New Roman" w:cs="Times New Roman"/>
                <w:sz w:val="24"/>
              </w:rPr>
            </w:pPr>
            <w:r>
              <w:rPr>
                <w:rStyle w:val="TeksttreciTimesNewRoman105ptOdstpy0pt"/>
                <w:rFonts w:eastAsiaTheme="minorEastAsia"/>
                <w:sz w:val="24"/>
              </w:rPr>
              <w:t>Sve kategorije kolaterala koje je institucija primila. Svi vrijednosni papiri koje je institucija zajmoprimac primila tijekom transakcije pozajmljivanja vrijednosnih papira objavljuju se u ovom retku. Ukupni kolateral koji je institucija primila srednja je vrijednost zbroja četiriju tromjesečnih vrijednosti na kraju razdoblja tijekom prethodnih dvanaest mjeseci za retke od 140 do 160, 220 i 230.</w:t>
            </w:r>
          </w:p>
        </w:tc>
      </w:tr>
      <w:tr w:rsidR="00D312C4" w:rsidRPr="007F4CC8" w14:paraId="5D0D99D9" w14:textId="77777777" w:rsidTr="00155C96">
        <w:trPr>
          <w:trHeight w:val="316"/>
        </w:trPr>
        <w:tc>
          <w:tcPr>
            <w:tcW w:w="1384" w:type="dxa"/>
          </w:tcPr>
          <w:p w14:paraId="5F680872"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140</w:t>
            </w:r>
          </w:p>
        </w:tc>
        <w:tc>
          <w:tcPr>
            <w:tcW w:w="7655" w:type="dxa"/>
          </w:tcPr>
          <w:p w14:paraId="3518DE2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Okvirni krediti</w:t>
            </w:r>
          </w:p>
          <w:p w14:paraId="160F1E64" w14:textId="3C566C9D" w:rsidR="00D312C4" w:rsidRPr="007F4CC8" w:rsidRDefault="00D312C4" w:rsidP="00155C96">
            <w:pPr>
              <w:autoSpaceDE w:val="0"/>
              <w:autoSpaceDN w:val="0"/>
              <w:adjustRightInd w:val="0"/>
              <w:spacing w:after="120"/>
              <w:jc w:val="both"/>
              <w:rPr>
                <w:rFonts w:ascii="Times New Roman" w:eastAsia="Times New Roman" w:hAnsi="Times New Roman" w:cs="Times New Roman"/>
                <w:sz w:val="24"/>
              </w:rPr>
            </w:pPr>
            <w:r>
              <w:rPr>
                <w:rStyle w:val="TeksttreciTimesNewRoman105ptOdstpy0pt"/>
                <w:rFonts w:eastAsiaTheme="minorEastAsia"/>
                <w:sz w:val="24"/>
              </w:rPr>
              <w:t xml:space="preserve">Srednja vrijednost kolaterala koji je primila institucija i koji obuhvaća okvirne kredite objavljuje se u ovom retku (vidjeti pravnu osnovu i upute za redak 120 obrasca EU AE1). Ona uključuje sve vrijednosne papire koje </w:t>
            </w:r>
            <w:r>
              <w:rPr>
                <w:rStyle w:val="TeksttreciTimesNewRoman105ptOdstpy0pt"/>
                <w:rFonts w:eastAsiaTheme="minorEastAsia"/>
                <w:sz w:val="24"/>
              </w:rPr>
              <w:lastRenderedPageBreak/>
              <w:t>je primila institucija zajmoprimac tijekom transakcije pozajmljivanja vrijednosnih papira.</w:t>
            </w:r>
          </w:p>
        </w:tc>
      </w:tr>
      <w:tr w:rsidR="00D312C4" w:rsidRPr="007F4CC8" w14:paraId="6661CBBF" w14:textId="77777777" w:rsidTr="00155C96">
        <w:trPr>
          <w:trHeight w:val="316"/>
        </w:trPr>
        <w:tc>
          <w:tcPr>
            <w:tcW w:w="1384" w:type="dxa"/>
          </w:tcPr>
          <w:p w14:paraId="6DD40A8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150</w:t>
            </w:r>
          </w:p>
        </w:tc>
        <w:tc>
          <w:tcPr>
            <w:tcW w:w="7655" w:type="dxa"/>
          </w:tcPr>
          <w:p w14:paraId="7AA497B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Vlasnički instrumenti</w:t>
            </w:r>
          </w:p>
          <w:p w14:paraId="175D03A7" w14:textId="5A91875E"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Srednja vrijednost kolaterala koji je primila institucija i koji obuhvaća vlasničke instrumente (vidjeti pravnu osnovu i upute za redak 030 obrasca EU AE1). Ona uključuje sve vrijednosne papire koje je primila institucija zajmoprimac tijekom transakcije pozajmljivanja vrijednosnih papira.</w:t>
            </w:r>
          </w:p>
        </w:tc>
      </w:tr>
      <w:tr w:rsidR="00D312C4" w:rsidRPr="007F4CC8" w14:paraId="63395E56" w14:textId="77777777" w:rsidTr="00155C96">
        <w:trPr>
          <w:trHeight w:val="316"/>
        </w:trPr>
        <w:tc>
          <w:tcPr>
            <w:tcW w:w="1384" w:type="dxa"/>
          </w:tcPr>
          <w:p w14:paraId="50D2536D"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160</w:t>
            </w:r>
          </w:p>
        </w:tc>
        <w:tc>
          <w:tcPr>
            <w:tcW w:w="7655" w:type="dxa"/>
          </w:tcPr>
          <w:p w14:paraId="2FD74BC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Dužnički vrijednosni papiri</w:t>
            </w:r>
          </w:p>
          <w:p w14:paraId="7183AAB9" w14:textId="1C03142A"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Srednja vrijednost kolaterala koji je primila institucija i koji obuhvaća dužničke vrijednosne papire (vidjeti pravnu osnovu i upute za redak 040 obrasca EU AE1). Ona uključuje sve vrijednosne papire koje je primila institucija zajmoprimac tijekom transakcije pozajmljivanja vrijednosnih papira.</w:t>
            </w:r>
          </w:p>
        </w:tc>
      </w:tr>
      <w:tr w:rsidR="00D312C4" w:rsidRPr="007F4CC8" w14:paraId="340F3374" w14:textId="77777777" w:rsidTr="00155C96">
        <w:trPr>
          <w:trHeight w:val="316"/>
        </w:trPr>
        <w:tc>
          <w:tcPr>
            <w:tcW w:w="1384" w:type="dxa"/>
          </w:tcPr>
          <w:p w14:paraId="2AE4EF12"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170</w:t>
            </w:r>
          </w:p>
        </w:tc>
        <w:tc>
          <w:tcPr>
            <w:tcW w:w="7655" w:type="dxa"/>
          </w:tcPr>
          <w:p w14:paraId="2BB4599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od čega: pokrivene obveznice</w:t>
            </w:r>
          </w:p>
          <w:p w14:paraId="40DE87DE" w14:textId="3D296221"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Srednja vrijednost kolaterala koji je primila institucija i koji obuhvaća pokrivene obveznice (vidjeti pravnu osnovu i upute za redak 050 obrasca EU AE1). Ona uključuje sve vrijednosne papire koje je primila institucija zajmoprimac tijekom transakcije pozajmljivanja vrijednosnih papira.</w:t>
            </w:r>
          </w:p>
        </w:tc>
      </w:tr>
      <w:tr w:rsidR="00D312C4" w:rsidRPr="007F4CC8" w14:paraId="52165CD3" w14:textId="77777777" w:rsidTr="00155C96">
        <w:trPr>
          <w:trHeight w:val="316"/>
        </w:trPr>
        <w:tc>
          <w:tcPr>
            <w:tcW w:w="1384" w:type="dxa"/>
          </w:tcPr>
          <w:p w14:paraId="4635C0E2"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180</w:t>
            </w:r>
          </w:p>
        </w:tc>
        <w:tc>
          <w:tcPr>
            <w:tcW w:w="7655" w:type="dxa"/>
          </w:tcPr>
          <w:p w14:paraId="17356C7B"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od čega: sekuritizacije</w:t>
            </w:r>
          </w:p>
          <w:p w14:paraId="778F5E02" w14:textId="77A661C7"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Srednja vrijednost kolaterala koji je primila institucija i koji obuhvaća vrijednosne papire osigurane imovinom (vidjeti pravnu osnovu i upute za redak 060 obrasca EU AE1). Ona uključuje sve vrijednosne papire koje je primila institucija zajmoprimac tijekom transakcije pozajmljivanja vrijednosnih papira.</w:t>
            </w:r>
          </w:p>
        </w:tc>
      </w:tr>
      <w:tr w:rsidR="00D312C4" w:rsidRPr="007F4CC8" w14:paraId="2E4DB726" w14:textId="77777777" w:rsidTr="00155C96">
        <w:trPr>
          <w:trHeight w:val="316"/>
        </w:trPr>
        <w:tc>
          <w:tcPr>
            <w:tcW w:w="1384" w:type="dxa"/>
          </w:tcPr>
          <w:p w14:paraId="3EF3EC49"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190</w:t>
            </w:r>
          </w:p>
        </w:tc>
        <w:tc>
          <w:tcPr>
            <w:tcW w:w="7655" w:type="dxa"/>
          </w:tcPr>
          <w:p w14:paraId="2EBC79F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od čega: izdanje općih država</w:t>
            </w:r>
          </w:p>
          <w:p w14:paraId="0FA0FE70" w14:textId="45020EAC"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Srednja vrijednost kolaterala koji je primila institucija i koji obuhvaća dužničke</w:t>
            </w:r>
            <w:r>
              <w:rPr>
                <w:rFonts w:ascii="Times New Roman" w:hAnsi="Times New Roman"/>
                <w:b/>
                <w:sz w:val="24"/>
              </w:rPr>
              <w:t xml:space="preserve"> </w:t>
            </w:r>
            <w:r>
              <w:rPr>
                <w:rStyle w:val="TeksttreciTimesNewRoman105ptOdstpy0pt"/>
                <w:rFonts w:eastAsiaTheme="minorEastAsia"/>
                <w:sz w:val="24"/>
              </w:rPr>
              <w:t>vrijednosne papire koje su izdale opće države (vidjeti pravnu osnovu i upute za redak 070 obrasca EU AE1). Ona uključuje sve vrijednosne papire koje je primila institucija zajmoprimac tijekom transakcije pozajmljivanja vrijednosnih papira.</w:t>
            </w:r>
          </w:p>
        </w:tc>
      </w:tr>
      <w:tr w:rsidR="00D312C4" w:rsidRPr="007F4CC8" w14:paraId="32D8CD90" w14:textId="77777777" w:rsidTr="00155C96">
        <w:trPr>
          <w:trHeight w:val="316"/>
        </w:trPr>
        <w:tc>
          <w:tcPr>
            <w:tcW w:w="1384" w:type="dxa"/>
          </w:tcPr>
          <w:p w14:paraId="767809F0"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200</w:t>
            </w:r>
          </w:p>
        </w:tc>
        <w:tc>
          <w:tcPr>
            <w:tcW w:w="7655" w:type="dxa"/>
          </w:tcPr>
          <w:p w14:paraId="762233E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od čega: izdanje financijskih društava</w:t>
            </w:r>
          </w:p>
          <w:p w14:paraId="192EC8C4" w14:textId="7AF9AE3A"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Srednja vrijednost kolaterala koji je primila institucija i koji obuhvaća dužničke vrijednosne papire koje su izdala financijska društva (vidjeti pravnu osnovu i upute za redak 080 obrasca EU AE1). Ona uključuje sve vrijednosne papire koje je primila institucija zajmoprimac tijekom transakcije pozajmljivanja vrijednosnih papira.</w:t>
            </w:r>
          </w:p>
        </w:tc>
      </w:tr>
      <w:tr w:rsidR="00D312C4" w:rsidRPr="007F4CC8" w14:paraId="5974B9BD" w14:textId="77777777" w:rsidTr="00155C96">
        <w:trPr>
          <w:trHeight w:val="316"/>
        </w:trPr>
        <w:tc>
          <w:tcPr>
            <w:tcW w:w="1384" w:type="dxa"/>
          </w:tcPr>
          <w:p w14:paraId="4252D64B"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7EF3D1E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od čega: izdanje nefinancijskih društava</w:t>
            </w:r>
          </w:p>
          <w:p w14:paraId="6AC9C418" w14:textId="579DEDCA" w:rsidR="00D312C4" w:rsidRPr="007F4CC8" w:rsidRDefault="00D312C4" w:rsidP="001023C0">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Srednja vrijednost kolaterala koji je primila institucija i koji obuhvaća dužničke vrijednosne papire koje su izdala nefinancijska društva (vidjeti pravnu osnovu i upute za redak 090 obrasca EU AE1). Ona uključuje sve </w:t>
            </w:r>
            <w:r>
              <w:rPr>
                <w:rStyle w:val="TeksttreciTimesNewRoman105ptOdstpy0pt"/>
                <w:rFonts w:eastAsiaTheme="minorEastAsia"/>
                <w:sz w:val="24"/>
              </w:rPr>
              <w:lastRenderedPageBreak/>
              <w:t>vrijednosne papire koje je primila institucija zajmoprimac tijekom transakcije pozajmljivanja vrijednosnih papira.</w:t>
            </w:r>
          </w:p>
        </w:tc>
      </w:tr>
      <w:tr w:rsidR="00D312C4" w:rsidRPr="007F4CC8" w14:paraId="3D1D40DA" w14:textId="77777777" w:rsidTr="00155C96">
        <w:trPr>
          <w:trHeight w:val="316"/>
        </w:trPr>
        <w:tc>
          <w:tcPr>
            <w:tcW w:w="1384" w:type="dxa"/>
          </w:tcPr>
          <w:p w14:paraId="6E066C9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220</w:t>
            </w:r>
          </w:p>
        </w:tc>
        <w:tc>
          <w:tcPr>
            <w:tcW w:w="7655" w:type="dxa"/>
          </w:tcPr>
          <w:p w14:paraId="0780AA09"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Krediti i predujmovi osim okvirnih kredita</w:t>
            </w:r>
          </w:p>
          <w:p w14:paraId="6E07D257" w14:textId="60B84F00" w:rsidR="00D312C4" w:rsidRPr="007F4CC8" w:rsidRDefault="00D312C4" w:rsidP="00155C96">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Srednja vrijednost kolaterala koji je primila institucija i koji obuhvaća kredite i predujmove osim okvirnih kredita (vidjeti pravnu osnovu i upute za redak 120 obrasca EU AE1). Ona uključuje sve vrijednosne papire koje je primila institucija zajmoprimac tijekom transakcije pozajmljivanja vrijednosnih papira.</w:t>
            </w:r>
          </w:p>
        </w:tc>
      </w:tr>
      <w:tr w:rsidR="00D312C4" w:rsidRPr="007F4CC8" w14:paraId="1501CBBF" w14:textId="77777777" w:rsidTr="00155C96">
        <w:trPr>
          <w:trHeight w:val="316"/>
        </w:trPr>
        <w:tc>
          <w:tcPr>
            <w:tcW w:w="1384" w:type="dxa"/>
          </w:tcPr>
          <w:p w14:paraId="264DBEB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230</w:t>
            </w:r>
          </w:p>
        </w:tc>
        <w:tc>
          <w:tcPr>
            <w:tcW w:w="7655" w:type="dxa"/>
          </w:tcPr>
          <w:p w14:paraId="0F9B46C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Ostali primljeni kolaterali</w:t>
            </w:r>
          </w:p>
          <w:p w14:paraId="52F82720" w14:textId="19BB8D11" w:rsidR="00D312C4" w:rsidRPr="007F4CC8" w:rsidRDefault="00D312C4" w:rsidP="001023C0">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Srednja vrijednost kolaterala koji je primila institucija i koji obuhvaća ostalu imovinu (vidjeti pravnu osnovu i upute za redak 120 obrasca EU AE1). Ona uključuje sve vrijednosne papire koje je primila institucija zajmoprimac tijekom transakcije pozajmljivanja vrijednosnih papira.</w:t>
            </w:r>
          </w:p>
        </w:tc>
      </w:tr>
      <w:tr w:rsidR="00D312C4" w:rsidRPr="007F4CC8" w14:paraId="527A6C11" w14:textId="77777777" w:rsidTr="00155C96">
        <w:trPr>
          <w:trHeight w:val="316"/>
        </w:trPr>
        <w:tc>
          <w:tcPr>
            <w:tcW w:w="1384" w:type="dxa"/>
          </w:tcPr>
          <w:p w14:paraId="00F21F0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240</w:t>
            </w:r>
          </w:p>
        </w:tc>
        <w:tc>
          <w:tcPr>
            <w:tcW w:w="7655" w:type="dxa"/>
          </w:tcPr>
          <w:p w14:paraId="639E063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Izdani vlastiti dužnički vrijednosni papiri osim vlastitih pokrivenih obveznica ili sekuritizacija</w:t>
            </w:r>
          </w:p>
          <w:p w14:paraId="40608927" w14:textId="77777777" w:rsidR="00D312C4" w:rsidRPr="007F4CC8"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Srednja vrijednost izdanih vlastitih dužničkih vrijednosnih papira osim vlastitih pokrivenih obveznica ili sekuritizacija. S obzirom na to da zadržani ili otkupljeni izdani vlastiti dužnički vrijednosni papiri, u skladu s MRS-om 39.42. za institucije koje primjenjuju MSFI-je, umanjuju povezane financijske obveze, ti vrijednosni papiri nisu uključeni u kategoriju imovine institucije koja objavljuje podatke. U ovom se retku navode vlastiti dužnički vrijednosni papiri koje institucije koje nisu obveznici primjene MSFI-ja ne mogu prestati priznavati u bilanci.</w:t>
            </w:r>
          </w:p>
        </w:tc>
      </w:tr>
      <w:tr w:rsidR="00D312C4" w:rsidRPr="007F4CC8" w14:paraId="513E648B" w14:textId="77777777" w:rsidTr="00155C96">
        <w:trPr>
          <w:trHeight w:val="316"/>
        </w:trPr>
        <w:tc>
          <w:tcPr>
            <w:tcW w:w="1384" w:type="dxa"/>
          </w:tcPr>
          <w:p w14:paraId="3D90AC48"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241</w:t>
            </w:r>
          </w:p>
        </w:tc>
        <w:tc>
          <w:tcPr>
            <w:tcW w:w="7655" w:type="dxa"/>
          </w:tcPr>
          <w:p w14:paraId="722E1368"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Vlastite pokrivene obveznice i izdane nezaložene sekuritizacije</w:t>
            </w:r>
          </w:p>
          <w:p w14:paraId="6CAB6108" w14:textId="7D8E5F3D" w:rsidR="00D312C4" w:rsidRPr="00253301" w:rsidRDefault="00D312C4" w:rsidP="00155C96">
            <w:pPr>
              <w:spacing w:after="120"/>
              <w:rPr>
                <w:rStyle w:val="TeksttreciTimesNewRoman105ptOdstpy0pt"/>
                <w:rFonts w:eastAsia="Calibri"/>
                <w:sz w:val="24"/>
              </w:rPr>
            </w:pPr>
            <w:r>
              <w:rPr>
                <w:rStyle w:val="TeksttreciTimesNewRoman105ptOdstpy0pt"/>
                <w:rFonts w:eastAsiaTheme="minorEastAsia"/>
                <w:sz w:val="24"/>
              </w:rPr>
              <w:t>Srednja vrijednost</w:t>
            </w:r>
            <w:r>
              <w:rPr>
                <w:rStyle w:val="InstructionsTabelleberschrift"/>
                <w:rFonts w:ascii="Times New Roman" w:hAnsi="Times New Roman"/>
                <w:b w:val="0"/>
                <w:sz w:val="24"/>
                <w:u w:val="none"/>
              </w:rPr>
              <w:t xml:space="preserve"> vlastitih pokrivenih obveznica i izdanih sekuritizacija koje je institucija koja objavljuje podatke zadržala i koji nisu opterećeni.</w:t>
            </w:r>
            <w:r>
              <w:rPr>
                <w:rStyle w:val="TeksttreciTimesNewRoman105ptOdstpy0pt"/>
                <w:rFonts w:eastAsiaTheme="minorEastAsia"/>
                <w:sz w:val="24"/>
              </w:rPr>
              <w:t xml:space="preserve"> Kako bi se izbjeglo dvostruko obračunavanje, na vlastite pokrivene obveznice i sekuritizacije koje je izdala i zadržala institucija koja objavljuje podatke primjenjuje se sljedeće pravilo:</w:t>
            </w:r>
          </w:p>
          <w:p w14:paraId="05B6719C" w14:textId="4B1F8564" w:rsidR="00D312C4" w:rsidRPr="007F4CC8" w:rsidRDefault="00D312C4" w:rsidP="00D312C4">
            <w:pPr>
              <w:pStyle w:val="Teksttreci0"/>
              <w:numPr>
                <w:ilvl w:val="0"/>
                <w:numId w:val="66"/>
              </w:numPr>
              <w:shd w:val="clear" w:color="auto" w:fill="auto"/>
              <w:tabs>
                <w:tab w:val="left" w:pos="-81"/>
              </w:tabs>
              <w:spacing w:after="120" w:line="240" w:lineRule="auto"/>
              <w:ind w:hanging="460"/>
              <w:rPr>
                <w:sz w:val="24"/>
                <w:szCs w:val="24"/>
              </w:rPr>
            </w:pPr>
            <w:r>
              <w:rPr>
                <w:rStyle w:val="TeksttreciTimesNewRoman105ptOdstpy0pt"/>
                <w:rFonts w:eastAsia="Book Antiqua"/>
                <w:sz w:val="24"/>
                <w:szCs w:val="24"/>
              </w:rPr>
              <w:t>(a) ako su ti vrijednosni papiri založeni, iznos skupa za pokriće/odnosne imovine kojima su osigurani objavljuje se u obrascu EU AE1 kao opterećena imovina. Izvor financiranja u slučaju davanja u zalog vlastitih pokrivenih obveznica i sekuritizacija nova je transakcija u kojoj se vrijednosni papiri daju kao zalog (financiranje središnje banke ili druga vrsta osiguranog financiranja) i nije izvorno izdavanje pokrivenih obveznica ili sekuritizacija.</w:t>
            </w:r>
          </w:p>
          <w:p w14:paraId="43313155" w14:textId="134D1A5C" w:rsidR="00D312C4" w:rsidRPr="007F4CC8" w:rsidRDefault="00D312C4" w:rsidP="001023C0">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(b) ako ti vrijednosni papiri još nisu založeni, iznos skupa za pokriće/odnosne imovine kojima su ti vrijednosni papiri osigurani objavljuje se u obrascu EU AE1 kao neopterećena imovina.</w:t>
            </w:r>
          </w:p>
        </w:tc>
      </w:tr>
      <w:tr w:rsidR="00D312C4" w:rsidRPr="007F4CC8" w14:paraId="00CE4653" w14:textId="77777777" w:rsidTr="00155C96">
        <w:trPr>
          <w:trHeight w:val="316"/>
        </w:trPr>
        <w:tc>
          <w:tcPr>
            <w:tcW w:w="1384" w:type="dxa"/>
          </w:tcPr>
          <w:p w14:paraId="61A3FA17"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250</w:t>
            </w:r>
          </w:p>
        </w:tc>
        <w:tc>
          <w:tcPr>
            <w:tcW w:w="7655" w:type="dxa"/>
          </w:tcPr>
          <w:p w14:paraId="6ABE3D23"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Ukupni primljeni kolaterali i izdani vlastiti dužnički vrijednosni papiri</w:t>
            </w:r>
          </w:p>
          <w:p w14:paraId="1F3C606D"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 xml:space="preserve">Sve kategorije kolaterala koje je institucija primila i izdani vlastiti dužnički vrijednosni papiri koje je institucija zadržala, a koji nisu u obliku izdanih </w:t>
            </w:r>
            <w:r>
              <w:rPr>
                <w:rStyle w:val="TeksttreciTimesNewRoman105ptOdstpy0pt"/>
                <w:rFonts w:eastAsia="Book Antiqua"/>
                <w:sz w:val="24"/>
                <w:szCs w:val="24"/>
              </w:rPr>
              <w:lastRenderedPageBreak/>
              <w:t>vlastitih pokrivenih obveznica ili izdanih vlastitih sekuritizacija.</w:t>
            </w:r>
          </w:p>
          <w:p w14:paraId="6A4C00F9" w14:textId="13623E17" w:rsidR="00D312C4" w:rsidRPr="007F4CC8" w:rsidRDefault="00D312C4" w:rsidP="001613AA">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Ovaj je redak zbroj srednjih vrijednosti retka 010 iz obrasca EU AE1 i redaka 130 i 240 iz obrasca EU AE2.</w:t>
            </w:r>
          </w:p>
        </w:tc>
      </w:tr>
    </w:tbl>
    <w:p w14:paraId="046C86EB" w14:textId="77777777" w:rsidR="00D312C4" w:rsidRPr="007F4CC8" w:rsidRDefault="00D312C4" w:rsidP="00D312C4">
      <w:pPr>
        <w:spacing w:after="120"/>
        <w:rPr>
          <w:rFonts w:ascii="Times New Roman" w:hAnsi="Times New Roman" w:cs="Times New Roman"/>
        </w:rPr>
      </w:pPr>
    </w:p>
    <w:p w14:paraId="528091A7"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7BDD1CED" w14:textId="77777777" w:rsidTr="00155C96">
        <w:trPr>
          <w:trHeight w:val="238"/>
        </w:trPr>
        <w:tc>
          <w:tcPr>
            <w:tcW w:w="9039" w:type="dxa"/>
            <w:gridSpan w:val="2"/>
            <w:shd w:val="clear" w:color="auto" w:fill="D9D9D9" w:themeFill="background1" w:themeFillShade="D9"/>
          </w:tcPr>
          <w:p w14:paraId="2960A66B"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Pravna osnova i upute</w:t>
            </w:r>
          </w:p>
        </w:tc>
      </w:tr>
      <w:tr w:rsidR="00D312C4" w:rsidRPr="007F4CC8" w14:paraId="56E26971" w14:textId="77777777" w:rsidTr="00155C96">
        <w:trPr>
          <w:trHeight w:val="238"/>
        </w:trPr>
        <w:tc>
          <w:tcPr>
            <w:tcW w:w="1384" w:type="dxa"/>
            <w:shd w:val="clear" w:color="auto" w:fill="D9D9D9" w:themeFill="background1" w:themeFillShade="D9"/>
          </w:tcPr>
          <w:p w14:paraId="6CABA9EE"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Broj stupca</w:t>
            </w:r>
          </w:p>
        </w:tc>
        <w:tc>
          <w:tcPr>
            <w:tcW w:w="7655" w:type="dxa"/>
            <w:shd w:val="clear" w:color="auto" w:fill="D9D9D9" w:themeFill="background1" w:themeFillShade="D9"/>
          </w:tcPr>
          <w:p w14:paraId="10A2F6CA"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Objašnjenje</w:t>
            </w:r>
          </w:p>
        </w:tc>
      </w:tr>
      <w:tr w:rsidR="00D312C4" w:rsidRPr="007F4CC8" w14:paraId="0D48BF8D" w14:textId="77777777" w:rsidTr="00155C96">
        <w:trPr>
          <w:trHeight w:val="841"/>
        </w:trPr>
        <w:tc>
          <w:tcPr>
            <w:tcW w:w="1384" w:type="dxa"/>
          </w:tcPr>
          <w:p w14:paraId="46F3E785" w14:textId="77777777" w:rsidR="00D312C4" w:rsidRPr="007F4CC8" w:rsidRDefault="00D312C4" w:rsidP="00155C96">
            <w:pPr>
              <w:pStyle w:val="Applicationdirecte"/>
              <w:spacing w:before="0"/>
            </w:pPr>
            <w:r>
              <w:t>010</w:t>
            </w:r>
          </w:p>
        </w:tc>
        <w:tc>
          <w:tcPr>
            <w:tcW w:w="7655" w:type="dxa"/>
          </w:tcPr>
          <w:p w14:paraId="1605C07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Fer vrijednost primljenog opterećenog kolaterala ili izdanih vlastitih dužničkih vrijednosnih papira</w:t>
            </w:r>
          </w:p>
          <w:p w14:paraId="75B6802E"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Srednja vrijednost fer vrijednosti primljenog kolaterala, uključujući u transakcijama pozajmljivanja vrijednosnih papira, ili izdanih vlastitih dužničkih vrijednosnih papira koje drži/koje je zadržala institucija i koji su opterećeni u skladu s člankom 100. CRR-a.</w:t>
            </w:r>
          </w:p>
          <w:p w14:paraId="75605FD1" w14:textId="77777777" w:rsidR="00D312C4" w:rsidRPr="00253301" w:rsidRDefault="00D312C4" w:rsidP="00155C96">
            <w:pPr>
              <w:pStyle w:val="Fait"/>
              <w:spacing w:before="0" w:after="120"/>
            </w:pPr>
            <w:r>
              <w:rPr>
                <w:rStyle w:val="TeksttreciTimesNewRoman105ptOdstpy0pt"/>
                <w:sz w:val="24"/>
                <w:szCs w:val="24"/>
              </w:rPr>
              <w:t>Fer vrijednost financijskog instrumenta cijena je koja bi bila postignuta pri prodaji imovine ili plaćena pri prijenosu obveze u uobičajenoj transakciji među tržišnim sudionicima na datum mjerenja (</w:t>
            </w:r>
            <w:r>
              <w:t>kao u MSFI 13 Mjerenje fer vrijednosti za institucije koje primjenjuju MSFI-je).</w:t>
            </w:r>
            <w:r>
              <w:rPr>
                <w:rStyle w:val="TeksttreciTimesNewRoman105ptOdstpy0pt"/>
                <w:sz w:val="24"/>
                <w:szCs w:val="24"/>
              </w:rPr>
              <w:t xml:space="preserve"> Za svaku stavku kolaterala objavljena fer vrijednost srednja je vrijednost različitih fer vrijednosti na kraju svakog razdoblja objave koje se uzima u obzir za izračun srednje vrijednosti.</w:t>
            </w:r>
          </w:p>
        </w:tc>
      </w:tr>
      <w:tr w:rsidR="00D312C4" w:rsidRPr="007F4CC8" w14:paraId="775112DE" w14:textId="77777777" w:rsidTr="00155C96">
        <w:trPr>
          <w:trHeight w:val="841"/>
        </w:trPr>
        <w:tc>
          <w:tcPr>
            <w:tcW w:w="1384" w:type="dxa"/>
          </w:tcPr>
          <w:p w14:paraId="3AE949FB" w14:textId="77777777" w:rsidR="00D312C4" w:rsidRPr="007F4CC8" w:rsidRDefault="00D312C4" w:rsidP="00155C96">
            <w:pPr>
              <w:pStyle w:val="Applicationdirecte"/>
              <w:spacing w:before="0"/>
            </w:pPr>
            <w:r>
              <w:t>030</w:t>
            </w:r>
          </w:p>
        </w:tc>
        <w:tc>
          <w:tcPr>
            <w:tcW w:w="7655" w:type="dxa"/>
          </w:tcPr>
          <w:p w14:paraId="22C8002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od čega: teoretski prihvatljiva EHQLA i HQLA</w:t>
            </w:r>
          </w:p>
          <w:p w14:paraId="6DBA5CBC" w14:textId="661AFDDC"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Srednja vrijednost fer vrijednosti opterećenog primljenog kolaterala, uključujući u transakcijama pozajmljivanja vrijednosnih papira, ili izdanih vlastitih dužničkih vrijednosnih papira koje drži/koje je zadržala institucija i koji su teoretski prihvatljivi za kvalifikaciju kao EHQLA i HQLA. Za potrebe ove Uredbe teoretski prihvatljiva opterećena EHQLA i teoretski prihvatljiva opterećena HQLA stavke su primljenog kolaterala ili izdanih vlastitih dužničkih vrijednosnih papira koje drži/koje je zadržala institucija, koji su navedeni u člancima 10., 11., 12., 13., 15. i 16. Delegirane uredbe Komisije (EU) 2015/61 i koje bi ispunjavale opće i operativne zahtjeve utvrđene u člancima 7. i 8. te Delegirane uredbe Komisije (EU) 2015/61 da njihov status nije status opterećene imovine u skladu s Prilogom XVII. Provedbenoj Uredbi Komisije (EU) 680/2014. Teoretski prihvatljiva opterećena EHQLA i teoretski prihvatljiva opterećena HQLA moraju biti u skladu i sa zahtjevima za izloženost specifičnima za kategoriju utvrđenima u člancima od 10. do 16. i od 35. do 37. Delegirane uredbe Komisije (EU) 2015/61. Fer vrijednost teoretski prihvatljive opterećene EHQLA-e i teoretski prihvatljive opterećene HQLA-e je fer vrijednost prije primjene korektivnih faktora utvrđenih u člancima od 10. do 16. Delegirane uredbe Komisije (EU) 2015/61.</w:t>
            </w:r>
          </w:p>
          <w:p w14:paraId="21849B93"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lastRenderedPageBreak/>
              <w:t>Za svaku stavku kolaterala objavljena fer vrijednost srednja je vrijednost različitih fer vrijednosti na kraju svakog razdoblja objave koje se uzima u obzir za izračun srednje vrijednosti.</w:t>
            </w:r>
          </w:p>
        </w:tc>
      </w:tr>
      <w:tr w:rsidR="00D312C4" w:rsidRPr="007F4CC8" w14:paraId="610B8E52" w14:textId="77777777" w:rsidTr="00155C96">
        <w:trPr>
          <w:trHeight w:val="316"/>
        </w:trPr>
        <w:tc>
          <w:tcPr>
            <w:tcW w:w="1384" w:type="dxa"/>
          </w:tcPr>
          <w:p w14:paraId="7C4DBEE3"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lastRenderedPageBreak/>
              <w:t xml:space="preserve">040 </w:t>
            </w:r>
          </w:p>
        </w:tc>
        <w:tc>
          <w:tcPr>
            <w:tcW w:w="7655" w:type="dxa"/>
          </w:tcPr>
          <w:p w14:paraId="4DA10E90"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Fer vrijednost primljenih kolaterala ili izdanih vlastitih dužničkih vrijednosnih papira koji mogu biti opterećeni</w:t>
            </w:r>
          </w:p>
          <w:p w14:paraId="36B88D25"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Srednja vrijednost fer vrijednosti kolaterala koji je primila institucija, uključujući u transakcijama pozajmljivanja vrijednosnih papira, koji je neopterećen, ali se može opteretiti jer je instituciji dopušteno prodati ga ili ponovno založiti u nedostatku neispunjavanja obveza vlasnika kolaterala. Uključuje i fer vrijednost izdanih vlastitih dužničkih vrijednosnih papira, osim vlastitih pokrivenih obveznica ili sekuritizacijskih pozicija koje su neopterećene, ali se mogu opteretiti. Za svaku stavku kolaterala objavljena fer vrijednost srednja je vrijednost različitih fer vrijednosti na kraju svakog razdoblja objave koje se uzima u obzir za izračun srednje vrijednosti.</w:t>
            </w:r>
          </w:p>
        </w:tc>
      </w:tr>
      <w:tr w:rsidR="00D312C4" w:rsidRPr="007F4CC8" w14:paraId="30AC4DE2" w14:textId="77777777" w:rsidTr="00155C96">
        <w:trPr>
          <w:trHeight w:val="316"/>
        </w:trPr>
        <w:tc>
          <w:tcPr>
            <w:tcW w:w="1384" w:type="dxa"/>
          </w:tcPr>
          <w:p w14:paraId="135FBD61"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5AF0E0B1"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od čega: EHQLA i HQLA</w:t>
            </w:r>
          </w:p>
          <w:p w14:paraId="65E8D7D1"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Srednja vrijednost fer vrijednosti neopterećenog primljenog kolaterala ili izdanih vlastitih dužničkih vrijednosnih papira koje drži/koje je zadržala institucija osim vlastitih pokrivenih obveznica ili sekuritizacijskih pozicija koje se mogu opteretiti i koje se kvalificiraju kao EHQLA i HQLA kako je navedeno u člancima 10., 11., 12., 13., 15. i 16. Delegirane uredbe Komisije (EU) 2015/61 te koje ispunjavaju opće i operativne zahtjeve utvrđene u člancima 7. i 8. Delegirane uredbe Komisije (EU) 2015/61 te zahtjeve za izloženost specifične za kategoriju utvrđene u člancima od 10. do 16. i od 35. do 37. Delegirane uredbe Komisije (EU) 2015/61. Fer vrijednost EHQLA-e i HQLA-e je fer vrijednost prije primjene korektivnih faktora utvrđenih u člancima od 10. do 16. Delegirane uredbe Komisije (EU) 2015/61. </w:t>
            </w:r>
          </w:p>
        </w:tc>
      </w:tr>
    </w:tbl>
    <w:p w14:paraId="5D34B296" w14:textId="77777777" w:rsidR="00D312C4" w:rsidRPr="007F4CC8" w:rsidRDefault="00D312C4" w:rsidP="00D312C4">
      <w:pPr>
        <w:spacing w:after="120"/>
        <w:rPr>
          <w:rFonts w:ascii="Times New Roman" w:hAnsi="Times New Roman" w:cs="Times New Roman"/>
          <w:b/>
        </w:rPr>
      </w:pPr>
    </w:p>
    <w:p w14:paraId="49B41C61" w14:textId="3AF4A756" w:rsidR="00D312C4" w:rsidRPr="00253301" w:rsidRDefault="00D312C4" w:rsidP="00D312C4">
      <w:pPr>
        <w:spacing w:after="120"/>
        <w:rPr>
          <w:rFonts w:ascii="Times New Roman" w:hAnsi="Times New Roman" w:cs="Times New Roman"/>
          <w:sz w:val="24"/>
        </w:rPr>
      </w:pPr>
      <w:r>
        <w:rPr>
          <w:rFonts w:ascii="Times New Roman" w:hAnsi="Times New Roman"/>
          <w:b/>
          <w:sz w:val="24"/>
        </w:rPr>
        <w:t>Obrazac EU AE3 – Izvori opterećenja</w:t>
      </w:r>
    </w:p>
    <w:p w14:paraId="1DB180B2" w14:textId="5ECEF234"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szCs w:val="24"/>
        </w:rPr>
        <w:t>Institucije dopunjuju obrazac EU AE3 iz Priloga XXXV. ovoj Provedbenoj uredbi prateći upute u nastavku.</w:t>
      </w:r>
    </w:p>
    <w:p w14:paraId="3DA2DCC5"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6AC801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C3C92"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Pravna osnova i upute</w:t>
            </w:r>
          </w:p>
        </w:tc>
      </w:tr>
      <w:tr w:rsidR="00D312C4" w:rsidRPr="007F4CC8" w14:paraId="4C3E238B" w14:textId="77777777" w:rsidTr="00155C96">
        <w:trPr>
          <w:trHeight w:val="704"/>
        </w:trPr>
        <w:tc>
          <w:tcPr>
            <w:tcW w:w="1384" w:type="dxa"/>
            <w:shd w:val="clear" w:color="auto" w:fill="D9D9D9" w:themeFill="background1" w:themeFillShade="D9"/>
          </w:tcPr>
          <w:p w14:paraId="22B9A32E"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46B5EC7C"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Objašnjenje</w:t>
            </w:r>
          </w:p>
        </w:tc>
      </w:tr>
      <w:tr w:rsidR="00D312C4" w:rsidRPr="007F4CC8" w14:paraId="6EA434DC" w14:textId="77777777" w:rsidTr="00253301">
        <w:trPr>
          <w:trHeight w:val="1226"/>
        </w:trPr>
        <w:tc>
          <w:tcPr>
            <w:tcW w:w="1384" w:type="dxa"/>
          </w:tcPr>
          <w:p w14:paraId="06E664D0" w14:textId="77777777" w:rsidR="00D312C4" w:rsidRPr="007F4CC8" w:rsidRDefault="00D312C4" w:rsidP="00155C96">
            <w:pPr>
              <w:pStyle w:val="Applicationdirecte"/>
              <w:spacing w:before="0"/>
            </w:pPr>
            <w:r>
              <w:t>010</w:t>
            </w:r>
          </w:p>
        </w:tc>
        <w:tc>
          <w:tcPr>
            <w:tcW w:w="7655" w:type="dxa"/>
          </w:tcPr>
          <w:p w14:paraId="4FB646D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Knjigovodstvena vrijednost odabranih financijskih obveza</w:t>
            </w:r>
          </w:p>
          <w:p w14:paraId="1EC7B62A" w14:textId="77777777" w:rsidR="00D312C4" w:rsidRPr="00253301" w:rsidRDefault="00D312C4" w:rsidP="00155C96">
            <w:pPr>
              <w:spacing w:after="120"/>
              <w:jc w:val="both"/>
              <w:rPr>
                <w:rFonts w:ascii="Times New Roman" w:hAnsi="Times New Roman" w:cs="Times New Roman"/>
                <w:b/>
                <w:sz w:val="24"/>
              </w:rPr>
            </w:pPr>
            <w:r>
              <w:rPr>
                <w:rStyle w:val="InstructionsTabelleberschrift"/>
                <w:rFonts w:ascii="Times New Roman" w:hAnsi="Times New Roman"/>
                <w:b w:val="0"/>
                <w:sz w:val="24"/>
                <w:u w:val="none"/>
              </w:rPr>
              <w:t xml:space="preserve">Srednja vrijednost stavke „Knjigovodstvena vrijednost odabranih financijskih obveza” institucije, ako te obveze podrazumijevaju opterećenje imovine za tu instituciju. </w:t>
            </w:r>
          </w:p>
        </w:tc>
      </w:tr>
    </w:tbl>
    <w:p w14:paraId="2C8CC054"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5AC58C90" w14:textId="77777777" w:rsidTr="00155C96">
        <w:trPr>
          <w:trHeight w:val="238"/>
        </w:trPr>
        <w:tc>
          <w:tcPr>
            <w:tcW w:w="9039" w:type="dxa"/>
            <w:gridSpan w:val="2"/>
            <w:shd w:val="clear" w:color="auto" w:fill="D9D9D9" w:themeFill="background1" w:themeFillShade="D9"/>
          </w:tcPr>
          <w:p w14:paraId="2EBB1947"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Pravna osnova i upute</w:t>
            </w:r>
          </w:p>
        </w:tc>
      </w:tr>
      <w:tr w:rsidR="00D312C4" w:rsidRPr="007F4CC8" w14:paraId="5EF84857" w14:textId="77777777" w:rsidTr="00155C96">
        <w:trPr>
          <w:trHeight w:val="238"/>
        </w:trPr>
        <w:tc>
          <w:tcPr>
            <w:tcW w:w="1384" w:type="dxa"/>
            <w:shd w:val="clear" w:color="auto" w:fill="D9D9D9" w:themeFill="background1" w:themeFillShade="D9"/>
          </w:tcPr>
          <w:p w14:paraId="67AE4CFF"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Broj stupca</w:t>
            </w:r>
          </w:p>
        </w:tc>
        <w:tc>
          <w:tcPr>
            <w:tcW w:w="7655" w:type="dxa"/>
            <w:shd w:val="clear" w:color="auto" w:fill="D9D9D9" w:themeFill="background1" w:themeFillShade="D9"/>
          </w:tcPr>
          <w:p w14:paraId="24CCC6ED"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Objašnjenje</w:t>
            </w:r>
          </w:p>
        </w:tc>
      </w:tr>
      <w:tr w:rsidR="00D312C4" w:rsidRPr="007F4CC8" w14:paraId="1F6DE328" w14:textId="77777777" w:rsidTr="00155C96">
        <w:trPr>
          <w:trHeight w:val="841"/>
        </w:trPr>
        <w:tc>
          <w:tcPr>
            <w:tcW w:w="1384" w:type="dxa"/>
          </w:tcPr>
          <w:p w14:paraId="75FC0E10" w14:textId="77777777" w:rsidR="00D312C4" w:rsidRPr="007F4CC8" w:rsidRDefault="00D312C4" w:rsidP="00155C96">
            <w:pPr>
              <w:pStyle w:val="Applicationdirecte"/>
              <w:spacing w:before="0"/>
            </w:pPr>
            <w:r>
              <w:t>010</w:t>
            </w:r>
          </w:p>
        </w:tc>
        <w:tc>
          <w:tcPr>
            <w:tcW w:w="7655" w:type="dxa"/>
          </w:tcPr>
          <w:p w14:paraId="61B4818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Usklađene obveze, potencijalne obveze ili vrijednosni papiri dani u zajam</w:t>
            </w:r>
          </w:p>
          <w:p w14:paraId="64DB2DA1"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szCs w:val="24"/>
              </w:rPr>
              <w:t xml:space="preserve">Srednje vrijednosti usklađenih obveza, potencijalnih obveza (primljene preuzete obveze po kreditima i primljena financijska jamstva) ili vrijednosnih papira danih u zajam s bezgotovinskim kolateralom, ako te transakcije proizvode opterećenje imovine za tu instituciju. </w:t>
            </w:r>
          </w:p>
          <w:p w14:paraId="47725BCB"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szCs w:val="24"/>
              </w:rPr>
              <w:t xml:space="preserve">Financijske obveze objavljuju se po knjigovodstvenoj vrijednosti; potencijalne obveze objavljuju se po nominalnoj vrijednosti; a vrijednosni papiri dani u zajam s bezgotovinskim kolateralom objavljuju se po fer vrijednosti. </w:t>
            </w:r>
          </w:p>
          <w:p w14:paraId="09386094"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Objavljena fer vrijednost srednja je vrijednost različitih fer vrijednosti na kraju svakog razdoblja objave koje se uzima u obzir za izračun srednje vrijednosti.</w:t>
            </w:r>
          </w:p>
          <w:p w14:paraId="52DDBB79" w14:textId="77777777" w:rsidR="00D312C4" w:rsidRPr="002D5589" w:rsidRDefault="00D312C4" w:rsidP="00155C96">
            <w:pPr>
              <w:pStyle w:val="Fait"/>
              <w:spacing w:before="0" w:after="120"/>
            </w:pPr>
            <w:r w:rsidRPr="002D5589">
              <w:rPr>
                <w:rStyle w:val="TeksttreciTimesNewRoman105ptOdstpy0pt"/>
                <w:sz w:val="24"/>
                <w:szCs w:val="24"/>
              </w:rPr>
              <w:t>Uključuju se obveze bez povezanog financiranja, kao što su izvedenice.</w:t>
            </w:r>
          </w:p>
        </w:tc>
      </w:tr>
      <w:tr w:rsidR="00D312C4" w:rsidRPr="007F4CC8" w14:paraId="0E0C266B" w14:textId="77777777" w:rsidTr="00155C96">
        <w:trPr>
          <w:trHeight w:val="841"/>
        </w:trPr>
        <w:tc>
          <w:tcPr>
            <w:tcW w:w="1384" w:type="dxa"/>
          </w:tcPr>
          <w:p w14:paraId="55B032F9" w14:textId="77777777" w:rsidR="00D312C4" w:rsidRPr="007F4CC8" w:rsidRDefault="00D312C4" w:rsidP="00155C96">
            <w:pPr>
              <w:pStyle w:val="Applicationdirecte"/>
              <w:spacing w:before="0"/>
            </w:pPr>
            <w:r>
              <w:t>030</w:t>
            </w:r>
          </w:p>
        </w:tc>
        <w:tc>
          <w:tcPr>
            <w:tcW w:w="7655" w:type="dxa"/>
          </w:tcPr>
          <w:p w14:paraId="63A0523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Imovina, primljeni kolaterali i izdani vlastiti dužnički vrijednosni papiri osim opterećenih pokrivenih obveznica i sekuritizacija</w:t>
            </w:r>
          </w:p>
          <w:p w14:paraId="187E3CE8"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Iznos imovine, primljenih kolaterala i izdanih vlastitih vrijednosnih papira, osim pokrivenih obveznica i sekuritizacija, koji su opterećeni zbog različitih vrsta transakcija koje se ovdje objavljuju.</w:t>
            </w:r>
          </w:p>
          <w:p w14:paraId="3DF3439C" w14:textId="79DF329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Kako bi se osigurala dosljednost s kriterijima u obrascima EU AE1 i EU AE2, imovina institucije upisana u bilanci objavljuje se po srednjoj vrijednosti njezine knjigovodstvene vrijednosti, dok se ponovno upotrijebljeni primljeni kolateral i opterećeni izdani vlastiti vrijednosni papiri, osim pokrivenih obveznica i sekuritizacija, objavljuju po srednjoj vrijednosti njihove fer vrijednosti. Objavljena fer vrijednost srednja je vrijednost različitih fer vrijednosti na kraju svakog razdoblja objave koje se uzima u obzir za izračun srednje vrijednosti.</w:t>
            </w:r>
          </w:p>
          <w:p w14:paraId="38757B68"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Uključuje se i imovina opterećena bez usklađenih obveza.</w:t>
            </w:r>
          </w:p>
        </w:tc>
      </w:tr>
    </w:tbl>
    <w:p w14:paraId="032A7DFD" w14:textId="77777777" w:rsidR="00D312C4" w:rsidRPr="000F7313" w:rsidRDefault="00D312C4" w:rsidP="00D312C4">
      <w:pPr>
        <w:spacing w:after="120"/>
        <w:rPr>
          <w:rFonts w:ascii="Times New Roman" w:hAnsi="Times New Roman" w:cs="Times New Roman"/>
          <w:sz w:val="24"/>
        </w:rPr>
      </w:pPr>
    </w:p>
    <w:p w14:paraId="102FFF59" w14:textId="77777777" w:rsidR="00D312C4" w:rsidRPr="000F7313" w:rsidRDefault="00D312C4" w:rsidP="00D312C4">
      <w:pPr>
        <w:pStyle w:val="Teksttreci50"/>
        <w:shd w:val="clear" w:color="auto" w:fill="auto"/>
        <w:tabs>
          <w:tab w:val="left" w:pos="815"/>
        </w:tabs>
        <w:spacing w:before="0" w:after="120" w:line="240" w:lineRule="auto"/>
        <w:ind w:right="20" w:firstLine="0"/>
        <w:jc w:val="both"/>
        <w:rPr>
          <w:sz w:val="24"/>
          <w:szCs w:val="24"/>
        </w:rPr>
      </w:pPr>
      <w:r>
        <w:rPr>
          <w:b/>
          <w:sz w:val="24"/>
          <w:szCs w:val="24"/>
        </w:rPr>
        <w:t>Tablica EU AE4 – Popratne opisne informacije</w:t>
      </w:r>
    </w:p>
    <w:p w14:paraId="1C63A1CC" w14:textId="08C528FB"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szCs w:val="24"/>
        </w:rPr>
        <w:t>Institucije dopunjuju tablicu EU AE4 iz Priloga XXXV. ovoj Provedbenoj uredbi prateći upute u nastavku.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6120B8C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2DCE3"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Pravna osnova i upute</w:t>
            </w:r>
          </w:p>
        </w:tc>
      </w:tr>
      <w:tr w:rsidR="00D312C4" w:rsidRPr="007F4CC8" w14:paraId="3C66CFAD" w14:textId="77777777" w:rsidTr="00155C96">
        <w:trPr>
          <w:trHeight w:val="238"/>
        </w:trPr>
        <w:tc>
          <w:tcPr>
            <w:tcW w:w="1384" w:type="dxa"/>
            <w:shd w:val="clear" w:color="auto" w:fill="D9D9D9" w:themeFill="background1" w:themeFillShade="D9"/>
          </w:tcPr>
          <w:p w14:paraId="3F5D4245"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77C42FB3"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D312C4" w:rsidRPr="007F4CC8" w14:paraId="57F4C3E7" w14:textId="77777777" w:rsidTr="00155C96">
        <w:trPr>
          <w:trHeight w:val="1803"/>
        </w:trPr>
        <w:tc>
          <w:tcPr>
            <w:tcW w:w="1384" w:type="dxa"/>
          </w:tcPr>
          <w:p w14:paraId="4F39FE2F" w14:textId="77777777" w:rsidR="00D312C4" w:rsidRPr="007F4CC8" w:rsidRDefault="00D312C4" w:rsidP="00155C96">
            <w:pPr>
              <w:pStyle w:val="Applicationdirecte"/>
              <w:spacing w:before="0"/>
            </w:pPr>
            <w:r>
              <w:lastRenderedPageBreak/>
              <w:t>a</w:t>
            </w:r>
          </w:p>
        </w:tc>
        <w:tc>
          <w:tcPr>
            <w:tcW w:w="7655" w:type="dxa"/>
          </w:tcPr>
          <w:p w14:paraId="7ED91ED9" w14:textId="77777777" w:rsidR="00D312C4" w:rsidRPr="007F4CC8" w:rsidRDefault="00D312C4" w:rsidP="00155C96">
            <w:pPr>
              <w:pStyle w:val="Teksttreci50"/>
              <w:shd w:val="clear" w:color="auto" w:fill="auto"/>
              <w:tabs>
                <w:tab w:val="left" w:pos="343"/>
              </w:tabs>
              <w:spacing w:before="0" w:after="120" w:line="240" w:lineRule="auto"/>
              <w:ind w:firstLine="0"/>
              <w:jc w:val="both"/>
              <w:rPr>
                <w:sz w:val="24"/>
                <w:szCs w:val="24"/>
              </w:rPr>
            </w:pPr>
            <w:r>
              <w:rPr>
                <w:sz w:val="24"/>
                <w:szCs w:val="24"/>
              </w:rPr>
              <w:t>Opće opisne informacije o opterećenju imovine, uključujući:</w:t>
            </w:r>
          </w:p>
          <w:p w14:paraId="6A815980"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objašnjenje razlike između regulatornog opsega konsolidacije koji se upotrebljava za potrebe objavljivanja informacija o opterećenju imovine i opsega zadržanog za primjenu likvidnosnih zahtjeva na konsolidiranoj osnovi kako je definirano u dijelu drugom glavi I. poglavlju 2. CRR-a, koja se upotrebljava za utvrđivanje prihvatljivosti (E)HQLA-e;</w:t>
            </w:r>
          </w:p>
          <w:p w14:paraId="7F536846"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objašnjenje razlike između, s jedne strane, založene i prenesene imovine u skladu s primjenjivim računovodstvenim okvirima i načinom primjene institucije i, s druge strane, opterećene imovine te navođenje svih razlika u tretmanu transakcija, kao što je slučaj kada se za neku transakciju smatra da dovodi do zaloga ili prijenosa imovine, ali ne i do opterećenja imovine, ili obratno;</w:t>
            </w:r>
          </w:p>
          <w:p w14:paraId="3DD45165"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vrijednost izloženosti koja se koristi za potrebe objave i kako se izvode srednje vrijednosti izloženosti.</w:t>
            </w:r>
          </w:p>
          <w:p w14:paraId="15437539" w14:textId="77777777" w:rsidR="00D312C4" w:rsidRPr="007F4CC8" w:rsidRDefault="00D312C4" w:rsidP="00155C96">
            <w:pPr>
              <w:spacing w:after="120"/>
              <w:jc w:val="both"/>
              <w:rPr>
                <w:rFonts w:ascii="Times New Roman" w:hAnsi="Times New Roman" w:cs="Times New Roman"/>
                <w:sz w:val="24"/>
              </w:rPr>
            </w:pPr>
          </w:p>
        </w:tc>
      </w:tr>
      <w:tr w:rsidR="00D312C4" w:rsidRPr="007F4CC8" w14:paraId="7FE07D9A" w14:textId="77777777" w:rsidTr="00155C96">
        <w:trPr>
          <w:trHeight w:val="316"/>
        </w:trPr>
        <w:tc>
          <w:tcPr>
            <w:tcW w:w="1384" w:type="dxa"/>
          </w:tcPr>
          <w:p w14:paraId="640C5799"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5" w:type="dxa"/>
          </w:tcPr>
          <w:p w14:paraId="48896AE3" w14:textId="77777777" w:rsidR="00D312C4" w:rsidRPr="007F4CC8" w:rsidRDefault="00D312C4" w:rsidP="00155C96">
            <w:pPr>
              <w:pStyle w:val="Teksttreci50"/>
              <w:shd w:val="clear" w:color="auto" w:fill="auto"/>
              <w:tabs>
                <w:tab w:val="left" w:pos="343"/>
              </w:tabs>
              <w:spacing w:before="0" w:after="120" w:line="240" w:lineRule="auto"/>
              <w:ind w:right="40" w:firstLine="0"/>
              <w:jc w:val="both"/>
              <w:rPr>
                <w:sz w:val="24"/>
                <w:szCs w:val="24"/>
              </w:rPr>
            </w:pPr>
            <w:r>
              <w:rPr>
                <w:sz w:val="24"/>
                <w:szCs w:val="24"/>
              </w:rPr>
              <w:t>Informacije koje se odnose na utjecaj poslovnog modela institucije na njezinu razinu opterećenja i važnost opterećenja za model financiranja institucije, uključujući sljedeće:</w:t>
            </w:r>
          </w:p>
          <w:p w14:paraId="5AD66C4B"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glavne izvore i vrste opterećenja, navodeći, prema potrebi, opterećenje zbog važnih poslovanja s izvedenicama, pozajmljivanje vrijednosnih papira, repo transakcije, izdavanje pokrivenih obveznica i sekuritizaciju;</w:t>
            </w:r>
          </w:p>
          <w:p w14:paraId="6F054D50"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strukturu opterećenja među subjektima unutar grupe, a posebno proizlazi li razina opterećenja konsolidirane grupe iz određenih subjekata i postoji li bitno </w:t>
            </w:r>
            <w:proofErr w:type="spellStart"/>
            <w:r>
              <w:rPr>
                <w:sz w:val="24"/>
                <w:szCs w:val="24"/>
              </w:rPr>
              <w:t>unutargrupno</w:t>
            </w:r>
            <w:proofErr w:type="spellEnd"/>
            <w:r>
              <w:rPr>
                <w:sz w:val="24"/>
                <w:szCs w:val="24"/>
              </w:rPr>
              <w:t xml:space="preserve"> opterećenje;</w:t>
            </w:r>
          </w:p>
          <w:p w14:paraId="3973EE9F"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informacije o visokoj </w:t>
            </w:r>
            <w:proofErr w:type="spellStart"/>
            <w:r>
              <w:rPr>
                <w:sz w:val="24"/>
                <w:szCs w:val="24"/>
              </w:rPr>
              <w:t>kolateraliziranosti</w:t>
            </w:r>
            <w:proofErr w:type="spellEnd"/>
            <w:r>
              <w:rPr>
                <w:sz w:val="24"/>
                <w:szCs w:val="24"/>
              </w:rPr>
              <w:t xml:space="preserve">, posebno u pogledu pokrivenih obveznica i sekuritizacija te pojavi visoke </w:t>
            </w:r>
            <w:proofErr w:type="spellStart"/>
            <w:r>
              <w:rPr>
                <w:sz w:val="24"/>
                <w:szCs w:val="24"/>
              </w:rPr>
              <w:t>kolateraliziranosti</w:t>
            </w:r>
            <w:proofErr w:type="spellEnd"/>
            <w:r>
              <w:rPr>
                <w:sz w:val="24"/>
                <w:szCs w:val="24"/>
              </w:rPr>
              <w:t xml:space="preserve"> na razinama opterećenja;</w:t>
            </w:r>
          </w:p>
          <w:p w14:paraId="2F962DA4"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dodatne informacije o opterećenju imovine, kolateralu i izvanbilančnim stavkama te izvorima opterećenja prema drugim značajnim valutama osim izvještajne valute kako je navedeno u članku 415. stavku 2. CRR-a;</w:t>
            </w:r>
          </w:p>
          <w:p w14:paraId="2F61CB4A" w14:textId="02A4D075"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opći opis udjela stavki uključenih u stupac 060 „Knjigovodstvena vrijednost neopterećene imovine” u obrascu EU AE1 za koje institucija ne bi smatrala da se mogu opteretiti u normalnom tijeku poslovanja (npr. nematerijalna imovina, uključujući </w:t>
            </w:r>
            <w:proofErr w:type="spellStart"/>
            <w:r>
              <w:rPr>
                <w:sz w:val="24"/>
                <w:szCs w:val="24"/>
              </w:rPr>
              <w:t>goodwill</w:t>
            </w:r>
            <w:proofErr w:type="spellEnd"/>
            <w:r>
              <w:rPr>
                <w:sz w:val="24"/>
                <w:szCs w:val="24"/>
              </w:rPr>
              <w:t xml:space="preserve">, odgođena porezna imovina, nekretnine, postrojenja i druga dugotrajna imovina, izvedena imovina, obratni repo ugovori i </w:t>
            </w:r>
            <w:r>
              <w:rPr>
                <w:sz w:val="24"/>
                <w:szCs w:val="24"/>
              </w:rPr>
              <w:lastRenderedPageBreak/>
              <w:t>potraživanja od pozajmljivanja dionica);</w:t>
            </w:r>
          </w:p>
          <w:p w14:paraId="55C0A023"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iznos odnosne imovine i imovine u skupu za pokriće zadržanih sekuritizacija i zadržanih pokrivenih obveznica te je li ta odnosna imovina i imovina u skupu za pokriće opterećena ili neopterećena, zajedno s iznosom pripadajućih zadržanih sekuritizacija i zadržanih pokrivenih obveznica;</w:t>
            </w:r>
          </w:p>
          <w:p w14:paraId="59CC38C7"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ako je relevantno za objašnjenje utjecaja njihova poslovnog modela na njihovu razinu opterećenja, pojedinosti (uključujući kvantitativne podatke ako je primjenjivo) o sljedećem:</w:t>
            </w:r>
          </w:p>
          <w:p w14:paraId="0AAB10E0" w14:textId="07DDC6E3" w:rsidR="00D312C4" w:rsidRPr="007F4CC8" w:rsidRDefault="00D312C4" w:rsidP="00D312C4">
            <w:pPr>
              <w:pStyle w:val="Teksttreci50"/>
              <w:numPr>
                <w:ilvl w:val="0"/>
                <w:numId w:val="70"/>
              </w:numPr>
              <w:shd w:val="clear" w:color="auto" w:fill="auto"/>
              <w:tabs>
                <w:tab w:val="left" w:pos="1430"/>
              </w:tabs>
              <w:spacing w:before="0" w:after="120" w:line="240" w:lineRule="auto"/>
              <w:ind w:left="1471" w:right="20" w:firstLine="0"/>
              <w:jc w:val="both"/>
              <w:rPr>
                <w:sz w:val="24"/>
                <w:szCs w:val="24"/>
              </w:rPr>
            </w:pPr>
            <w:r>
              <w:rPr>
                <w:sz w:val="24"/>
                <w:szCs w:val="24"/>
              </w:rPr>
              <w:t>vrste i iznose opterećene i neopterećene imovine uključene u stupac 120 obrasca EU AE1;</w:t>
            </w:r>
          </w:p>
          <w:p w14:paraId="5FB30809" w14:textId="6223B6A6" w:rsidR="00D312C4" w:rsidRPr="007F4CC8" w:rsidRDefault="00D312C4" w:rsidP="00D312C4">
            <w:pPr>
              <w:pStyle w:val="Teksttreci50"/>
              <w:numPr>
                <w:ilvl w:val="0"/>
                <w:numId w:val="70"/>
              </w:numPr>
              <w:shd w:val="clear" w:color="auto" w:fill="auto"/>
              <w:tabs>
                <w:tab w:val="left" w:pos="1430"/>
              </w:tabs>
              <w:spacing w:before="0" w:after="120" w:line="240" w:lineRule="auto"/>
              <w:ind w:left="1471" w:right="20" w:firstLine="0"/>
              <w:jc w:val="both"/>
              <w:rPr>
                <w:sz w:val="24"/>
                <w:szCs w:val="24"/>
              </w:rPr>
            </w:pPr>
            <w:r>
              <w:rPr>
                <w:sz w:val="24"/>
                <w:szCs w:val="24"/>
              </w:rPr>
              <w:t>iznose i vrste opterećene imovine i izvanbilančnih stavki uključenih u redak 010 obrasca EU AE3 koji nisu povezani s obvezama;</w:t>
            </w:r>
          </w:p>
          <w:p w14:paraId="724836FB" w14:textId="3C47B9C5" w:rsidR="00D312C4" w:rsidRPr="007F4CC8" w:rsidRDefault="00D312C4" w:rsidP="00D312C4">
            <w:pPr>
              <w:pStyle w:val="Teksttreci50"/>
              <w:numPr>
                <w:ilvl w:val="0"/>
                <w:numId w:val="69"/>
              </w:numPr>
              <w:shd w:val="clear" w:color="auto" w:fill="auto"/>
              <w:tabs>
                <w:tab w:val="left" w:pos="1430"/>
              </w:tabs>
              <w:spacing w:before="0" w:after="120" w:line="240" w:lineRule="auto"/>
              <w:ind w:left="1440" w:right="40" w:hanging="560"/>
              <w:jc w:val="both"/>
              <w:rPr>
                <w:rStyle w:val="TeksttreciTimesNewRoman105ptOdstpy0pt"/>
                <w:sz w:val="24"/>
                <w:szCs w:val="24"/>
              </w:rPr>
            </w:pPr>
            <w:r>
              <w:rPr>
                <w:sz w:val="24"/>
                <w:szCs w:val="24"/>
              </w:rPr>
              <w:t xml:space="preserve"> </w:t>
            </w:r>
            <w:r>
              <w:rPr>
                <w:rStyle w:val="TeksttreciTimesNewRoman105ptOdstpy0pt"/>
                <w:sz w:val="24"/>
                <w:szCs w:val="24"/>
              </w:rPr>
              <w:t xml:space="preserve">ako je relevantno u kontekstu upotrebe opterećenja u vezi s njihovim poslovnim modelom, dodatne informacije o raščlambi sljedećih redaka u obrascima EU AE1, EU AE2 i EU AE3: </w:t>
            </w:r>
          </w:p>
          <w:p w14:paraId="577222BC" w14:textId="6EC5195A" w:rsidR="00D312C4" w:rsidRPr="007F4CC8" w:rsidRDefault="00D312C4" w:rsidP="00D312C4">
            <w:pPr>
              <w:pStyle w:val="Teksttreci50"/>
              <w:numPr>
                <w:ilvl w:val="0"/>
                <w:numId w:val="69"/>
              </w:numPr>
              <w:shd w:val="clear" w:color="auto" w:fill="auto"/>
              <w:tabs>
                <w:tab w:val="left" w:pos="1430"/>
              </w:tabs>
              <w:spacing w:before="0" w:after="120" w:line="240" w:lineRule="auto"/>
              <w:ind w:left="1440" w:right="40" w:firstLine="31"/>
              <w:jc w:val="both"/>
              <w:rPr>
                <w:rStyle w:val="TeksttreciTimesNewRoman105ptOdstpy0pt"/>
                <w:sz w:val="24"/>
                <w:szCs w:val="24"/>
              </w:rPr>
            </w:pPr>
            <w:r>
              <w:rPr>
                <w:rStyle w:val="TeksttreciTimesNewRoman105ptOdstpy0pt"/>
                <w:sz w:val="24"/>
                <w:szCs w:val="24"/>
              </w:rPr>
              <w:t>Redak 120 ob</w:t>
            </w:r>
            <w:r w:rsidR="006944D5">
              <w:rPr>
                <w:rStyle w:val="TeksttreciTimesNewRoman105ptOdstpy0pt"/>
                <w:sz w:val="24"/>
                <w:szCs w:val="24"/>
              </w:rPr>
              <w:t>rasca EU AE1 – „Ostala imovina”;</w:t>
            </w:r>
            <w:r>
              <w:rPr>
                <w:rStyle w:val="TeksttreciTimesNewRoman105ptOdstpy0pt"/>
                <w:sz w:val="24"/>
                <w:szCs w:val="24"/>
              </w:rPr>
              <w:t xml:space="preserve"> </w:t>
            </w:r>
          </w:p>
          <w:p w14:paraId="50AB6156" w14:textId="670EE0F2" w:rsidR="00D312C4" w:rsidRPr="007F4CC8" w:rsidRDefault="00D312C4" w:rsidP="00D312C4">
            <w:pPr>
              <w:pStyle w:val="Teksttreci50"/>
              <w:numPr>
                <w:ilvl w:val="0"/>
                <w:numId w:val="71"/>
              </w:numPr>
              <w:shd w:val="clear" w:color="auto" w:fill="auto"/>
              <w:tabs>
                <w:tab w:val="left" w:pos="1430"/>
              </w:tabs>
              <w:spacing w:before="0" w:after="120" w:line="240" w:lineRule="auto"/>
              <w:ind w:left="1471" w:right="40"/>
              <w:jc w:val="both"/>
              <w:rPr>
                <w:rStyle w:val="TeksttreciTimesNewRoman105ptOdstpy0pt"/>
                <w:sz w:val="24"/>
                <w:szCs w:val="24"/>
              </w:rPr>
            </w:pPr>
            <w:r>
              <w:rPr>
                <w:rStyle w:val="TeksttreciTimesNewRoman105ptOdstpy0pt"/>
                <w:sz w:val="24"/>
                <w:szCs w:val="24"/>
              </w:rPr>
              <w:t xml:space="preserve">Redak 230 obrasca EU AE2 </w:t>
            </w:r>
            <w:r w:rsidR="006944D5">
              <w:rPr>
                <w:rStyle w:val="TeksttreciTimesNewRoman105ptOdstpy0pt"/>
                <w:sz w:val="24"/>
                <w:szCs w:val="24"/>
              </w:rPr>
              <w:t>– „Ostali primljeni kolaterali”;</w:t>
            </w:r>
          </w:p>
          <w:p w14:paraId="59C1EE51" w14:textId="38839260" w:rsidR="00D312C4" w:rsidRPr="007F4CC8" w:rsidRDefault="00D312C4" w:rsidP="00D312C4">
            <w:pPr>
              <w:pStyle w:val="Teksttreci50"/>
              <w:numPr>
                <w:ilvl w:val="0"/>
                <w:numId w:val="72"/>
              </w:numPr>
              <w:shd w:val="clear" w:color="auto" w:fill="auto"/>
              <w:tabs>
                <w:tab w:val="left" w:pos="1430"/>
              </w:tabs>
              <w:spacing w:before="0" w:after="120" w:line="240" w:lineRule="auto"/>
              <w:ind w:left="1471" w:right="40"/>
              <w:jc w:val="both"/>
              <w:rPr>
                <w:sz w:val="24"/>
              </w:rPr>
            </w:pPr>
            <w:r>
              <w:rPr>
                <w:rStyle w:val="TeksttreciTimesNewRoman105ptOdstpy0pt"/>
                <w:sz w:val="24"/>
                <w:szCs w:val="24"/>
              </w:rPr>
              <w:t>Redak 010 obrasca AE3 – „Knjigovodstvena vrijednost odabranih financijskih obveza” (posebno ako je dio opterećenja imovine povezan s obvezama, a drugi dio nije).</w:t>
            </w:r>
          </w:p>
        </w:tc>
      </w:tr>
    </w:tbl>
    <w:p w14:paraId="623F7787" w14:textId="77777777" w:rsidR="00D312C4" w:rsidRPr="007F4CC8" w:rsidRDefault="00D312C4" w:rsidP="00D312C4">
      <w:pPr>
        <w:autoSpaceDE w:val="0"/>
        <w:autoSpaceDN w:val="0"/>
        <w:adjustRightInd w:val="0"/>
        <w:spacing w:after="120"/>
        <w:jc w:val="both"/>
        <w:rPr>
          <w:rFonts w:ascii="Times New Roman" w:hAnsi="Times New Roman" w:cs="Times New Roman"/>
          <w:sz w:val="24"/>
        </w:rPr>
      </w:pPr>
    </w:p>
    <w:p w14:paraId="21CA05FC" w14:textId="77777777" w:rsidR="005710A4" w:rsidRPr="007F4CC8" w:rsidRDefault="005710A4" w:rsidP="00E258D8">
      <w:pPr>
        <w:tabs>
          <w:tab w:val="left" w:pos="1430"/>
        </w:tabs>
        <w:rPr>
          <w:rFonts w:ascii="Times New Roman" w:hAnsi="Times New Roman" w:cs="Times New Roman"/>
          <w:b/>
          <w:sz w:val="24"/>
        </w:rPr>
      </w:pPr>
    </w:p>
    <w:sectPr w:rsidR="005710A4" w:rsidRPr="007F4CC8" w:rsidSect="00155C96">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22382" w14:textId="77777777" w:rsidR="006F0504" w:rsidRDefault="006F0504" w:rsidP="00A00E34">
      <w:r>
        <w:separator/>
      </w:r>
    </w:p>
    <w:p w14:paraId="09D91489" w14:textId="77777777" w:rsidR="006F0504" w:rsidRDefault="006F0504"/>
  </w:endnote>
  <w:endnote w:type="continuationSeparator" w:id="0">
    <w:p w14:paraId="51EB50DE" w14:textId="77777777" w:rsidR="006F0504" w:rsidRDefault="006F0504" w:rsidP="00A00E34">
      <w:r>
        <w:continuationSeparator/>
      </w:r>
    </w:p>
    <w:p w14:paraId="4B8A26D8" w14:textId="77777777" w:rsidR="006F0504" w:rsidRDefault="006F0504"/>
  </w:endnote>
  <w:endnote w:type="continuationNotice" w:id="1">
    <w:p w14:paraId="59DA252B" w14:textId="77777777" w:rsidR="006F0504" w:rsidRDefault="006F05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8488C" w14:textId="77777777" w:rsidR="006F0504" w:rsidRDefault="006F0504"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6F0504" w:rsidRDefault="006F0504"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DB03D" w14:textId="27C04489" w:rsidR="006F0504" w:rsidRDefault="006F0504"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D6545">
      <w:rPr>
        <w:rStyle w:val="PageNumber"/>
        <w:noProof/>
      </w:rPr>
      <w:t>6</w:t>
    </w:r>
    <w:r>
      <w:rPr>
        <w:rStyle w:val="PageNumber"/>
      </w:rPr>
      <w:fldChar w:fldCharType="end"/>
    </w:r>
  </w:p>
  <w:p w14:paraId="1ADEF20C" w14:textId="2F6876BD" w:rsidR="006F0504" w:rsidRDefault="006F0504" w:rsidP="00155C96">
    <w:pPr>
      <w:pStyle w:val="Footer"/>
      <w:tabs>
        <w:tab w:val="clear" w:pos="4320"/>
        <w:tab w:val="clear" w:pos="8640"/>
        <w:tab w:val="left" w:pos="1093"/>
      </w:tabs>
      <w:ind w:right="360"/>
    </w:pPr>
    <w:r>
      <w:rPr>
        <w:noProof/>
        <w:lang w:val="en-IE" w:eastAsia="en-IE"/>
      </w:rPr>
      <mc:AlternateContent>
        <mc:Choice Requires="wps">
          <w:drawing>
            <wp:anchor distT="4294967295" distB="4294967295" distL="114300" distR="114300" simplePos="0" relativeHeight="251657216"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12D480"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74F33" w14:textId="77777777" w:rsidR="006F0504" w:rsidRDefault="006F05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E2279" w14:textId="77777777" w:rsidR="006F0504" w:rsidRPr="00DB5E8F" w:rsidRDefault="006F0504">
      <w:pPr>
        <w:rPr>
          <w:sz w:val="12"/>
          <w:szCs w:val="12"/>
        </w:rPr>
      </w:pPr>
      <w:r>
        <w:rPr>
          <w:sz w:val="12"/>
          <w:szCs w:val="12"/>
        </w:rPr>
        <w:separator/>
      </w:r>
    </w:p>
  </w:footnote>
  <w:footnote w:type="continuationSeparator" w:id="0">
    <w:p w14:paraId="7486523A" w14:textId="77777777" w:rsidR="006F0504" w:rsidRDefault="006F0504" w:rsidP="00A00E34">
      <w:r>
        <w:continuationSeparator/>
      </w:r>
    </w:p>
    <w:p w14:paraId="600D8191" w14:textId="77777777" w:rsidR="006F0504" w:rsidRDefault="006F0504"/>
  </w:footnote>
  <w:footnote w:type="continuationNotice" w:id="1">
    <w:p w14:paraId="3AC4A386" w14:textId="77777777" w:rsidR="006F0504" w:rsidRDefault="006F0504"/>
  </w:footnote>
  <w:footnote w:id="2">
    <w:p w14:paraId="262BD994" w14:textId="124858B9" w:rsidR="006F0504" w:rsidRPr="00346640" w:rsidRDefault="006F0504" w:rsidP="00BB5993">
      <w:pPr>
        <w:pStyle w:val="FootnoteText"/>
        <w:rPr>
          <w:rFonts w:eastAsia="Calibri" w:cstheme="minorHAnsi"/>
        </w:rPr>
      </w:pPr>
      <w:r>
        <w:rPr>
          <w:rStyle w:val="FootnoteReference"/>
          <w:rFonts w:cstheme="minorHAnsi"/>
          <w:sz w:val="18"/>
        </w:rPr>
        <w:footnoteRef/>
      </w:r>
      <w:r>
        <w:t xml:space="preserve"> </w:t>
      </w:r>
      <w:r>
        <w:tab/>
        <w:t xml:space="preserve">Uredba (EU) br. 575/2013 Europskog parlamenta i Vijeća od </w:t>
      </w:r>
      <w:r>
        <w:rPr>
          <w:color w:val="444444"/>
        </w:rPr>
        <w:t>26. lipnja 2013.</w:t>
      </w:r>
      <w:r>
        <w:t xml:space="preserve"> o bonitetnim zahtjevima za kreditne institucije i investicijska društva i o izmjeni Uredbe (EU) br. 648/2012 </w:t>
      </w:r>
      <w:r>
        <w:rPr>
          <w:color w:val="444444"/>
        </w:rPr>
        <w:t>(</w:t>
      </w:r>
      <w:hyperlink r:id="rId1" w:history="1">
        <w:r>
          <w:rPr>
            <w:color w:val="800080"/>
            <w:u w:val="single"/>
          </w:rPr>
          <w:t>SL L 176, 27.6.2013., str. 1.</w:t>
        </w:r>
      </w:hyperlink>
      <w:r>
        <w:rPr>
          <w:color w:val="444444"/>
        </w:rPr>
        <w:t>)</w:t>
      </w:r>
    </w:p>
  </w:footnote>
  <w:footnote w:id="3">
    <w:p w14:paraId="65DAF6E3" w14:textId="5241BF60" w:rsidR="006F0504" w:rsidRPr="00222AAB" w:rsidRDefault="006F0504" w:rsidP="00BB5993">
      <w:pPr>
        <w:pStyle w:val="FootnoteText"/>
        <w:rPr>
          <w:rFonts w:cstheme="minorHAnsi"/>
        </w:rPr>
      </w:pPr>
      <w:r>
        <w:rPr>
          <w:rStyle w:val="FootnoteReference"/>
          <w:rFonts w:cstheme="minorHAnsi"/>
          <w:sz w:val="18"/>
        </w:rPr>
        <w:footnoteRef/>
      </w:r>
      <w:r>
        <w:t>Revidirane smjernice EBA/GL/2018/03 Europskog nadzornog tijela za bankarstvo od 19. srpnja 2018. o zajedničkim postupcima i metodologijama za postupak nadzorne provjere i ocjene (SREP) i nadzorno testiranje otpornosti na stres.</w:t>
      </w:r>
    </w:p>
  </w:footnote>
  <w:footnote w:id="4">
    <w:p w14:paraId="6EEE1EF0" w14:textId="468CF1D3" w:rsidR="006F0504" w:rsidRPr="00222AAB" w:rsidRDefault="006F0504" w:rsidP="00BB5993">
      <w:pPr>
        <w:pStyle w:val="FootnoteText"/>
        <w:rPr>
          <w:rFonts w:cstheme="minorHAnsi"/>
        </w:rPr>
      </w:pPr>
      <w:r>
        <w:rPr>
          <w:rStyle w:val="FootnoteReference"/>
          <w:rFonts w:cstheme="minorHAnsi"/>
          <w:sz w:val="18"/>
        </w:rPr>
        <w:footnoteRef/>
      </w:r>
      <w:r>
        <w:t xml:space="preserve"> Delegirana uredba Komisije (EU) 2015/61 </w:t>
      </w:r>
      <w:proofErr w:type="spellStart"/>
      <w:r>
        <w:t>оd</w:t>
      </w:r>
      <w:proofErr w:type="spellEnd"/>
      <w:r>
        <w:t xml:space="preserve"> 10. listopada 2014. o dopuni Uredbe (EU) br. 575/2013 Europskog parlamenta i Vijeća u pogledu zahtjeva za likvidnosnu pokrivenost kreditnih institucija (SL L 11, 17.1.2015., str. 1.).</w:t>
      </w:r>
    </w:p>
  </w:footnote>
  <w:footnote w:id="5">
    <w:p w14:paraId="2A17ED68" w14:textId="5745B56A" w:rsidR="006F0504" w:rsidRPr="00222AAB" w:rsidRDefault="006F0504" w:rsidP="00BB5993">
      <w:pPr>
        <w:pStyle w:val="FootnoteText"/>
        <w:rPr>
          <w:rFonts w:cstheme="minorHAnsi"/>
        </w:rPr>
      </w:pPr>
      <w:r>
        <w:rPr>
          <w:rStyle w:val="FootnoteReference"/>
          <w:rFonts w:cstheme="minorHAnsi"/>
          <w:sz w:val="18"/>
        </w:rPr>
        <w:footnoteRef/>
      </w:r>
      <w:r>
        <w:t xml:space="preserve"> Direktiva 2002/87/EZ Europskog parlamenta i Vijeća od 16. prosinca 2002. o dodatnom nadzoru kreditnih institucija, društava za osiguranje i investicijskih društava u financijskom konglomeratu i o izmjeni direktiva Vijeća 73/239/EEZ, 79/267/EEZ, 92/49/EEZ, 92/96/EEZ, 93/6/EEZ i 93/22/EEZ i direktiva 98/78/EZ i 2000/12/EZ Europskog parlamenta i Vijeća (SL L 35, 11.2.2003., str. 1.).</w:t>
      </w:r>
    </w:p>
  </w:footnote>
  <w:footnote w:id="6">
    <w:p w14:paraId="0F97224E" w14:textId="729DACC0" w:rsidR="006F0504" w:rsidRPr="00346640" w:rsidRDefault="006F0504" w:rsidP="00BB5993">
      <w:pPr>
        <w:pStyle w:val="FootnoteText"/>
        <w:rPr>
          <w:rFonts w:eastAsia="Calibri" w:cstheme="minorHAnsi"/>
        </w:rPr>
      </w:pPr>
      <w:r>
        <w:rPr>
          <w:rStyle w:val="FootnoteReference"/>
          <w:rFonts w:cstheme="minorHAnsi"/>
          <w:sz w:val="18"/>
        </w:rPr>
        <w:footnoteRef/>
      </w:r>
      <w:r>
        <w:t xml:space="preserve"> </w:t>
      </w:r>
      <w:r>
        <w:tab/>
      </w:r>
      <w:r>
        <w:rPr>
          <w:color w:val="444444"/>
        </w:rPr>
        <w:t>Uredba (EU) br. 575/2013 Europskog parlamenta i Vijeća od 26. lipnja 2013. o bonitetnim zahtjevima za kreditne institucije i investicijska društva i o izmjeni Uredbe (EU) br. 648/2012 (</w:t>
      </w:r>
      <w:hyperlink r:id="rId2" w:history="1">
        <w:r>
          <w:rPr>
            <w:color w:val="800080"/>
            <w:u w:val="single"/>
          </w:rPr>
          <w:t>SL L 176, 27.6.2013., str. 1.</w:t>
        </w:r>
      </w:hyperlink>
      <w:r>
        <w:rPr>
          <w:color w:val="444444"/>
        </w:rPr>
        <w:t>).</w:t>
      </w:r>
    </w:p>
  </w:footnote>
  <w:footnote w:id="7">
    <w:p w14:paraId="340BC0CF" w14:textId="64A6735B" w:rsidR="006F0504" w:rsidRPr="00222AAB" w:rsidRDefault="006F0504" w:rsidP="00BB5993">
      <w:pPr>
        <w:pStyle w:val="FootnoteText"/>
        <w:rPr>
          <w:rFonts w:cstheme="minorHAnsi"/>
        </w:rPr>
      </w:pPr>
      <w:r>
        <w:rPr>
          <w:rStyle w:val="FootnoteReference"/>
          <w:rFonts w:cstheme="minorHAnsi"/>
          <w:sz w:val="18"/>
        </w:rPr>
        <w:footnoteRef/>
      </w:r>
      <w:r>
        <w:t xml:space="preserve"> </w:t>
      </w:r>
      <w:r>
        <w:tab/>
        <w:t>DIREKTIVA 2013/36/EU EUROPSKOG PARLAMENTA I VIJEĆA od 26. lipnja 2013. o pristupanju djelatnosti kreditnih institucija i bonitetnom nadzoru nad kreditnim institucijama i investicijskim društvima, izmjeni Direktive 2002/87/EZ te stavljanju izvan snage direktiva 2006/48/EZ i 2006/49/EZ (SL L 176, 27.6.2013., str. 338.).</w:t>
      </w:r>
    </w:p>
  </w:footnote>
  <w:footnote w:id="8">
    <w:p w14:paraId="1BE208BA" w14:textId="7F79ECB4" w:rsidR="006F0504" w:rsidRPr="00346640" w:rsidRDefault="006F0504" w:rsidP="00BB5993">
      <w:pPr>
        <w:pStyle w:val="FootnoteText"/>
        <w:rPr>
          <w:rFonts w:eastAsia="Calibri" w:cstheme="minorHAnsi"/>
        </w:rPr>
      </w:pPr>
      <w:r>
        <w:rPr>
          <w:rStyle w:val="FootnoteReference"/>
          <w:rFonts w:cstheme="minorHAnsi"/>
          <w:sz w:val="18"/>
          <w:lang w:val="en-GB"/>
        </w:rPr>
        <w:footnoteRef/>
      </w:r>
      <w:r>
        <w:t xml:space="preserve"> </w:t>
      </w:r>
      <w:r>
        <w:tab/>
        <w:t>Uredba (EU) br. 575/2013 Europskog parlamenta i Vijeća od 26. lipnja 2013. o bonitetnim zahtjevima za kreditne institucije i investicijska društva i o izmjeni Uredbe (EU) br. 648/2012 (</w:t>
      </w:r>
      <w:hyperlink r:id="rId3" w:history="1">
        <w:r>
          <w:rPr>
            <w:color w:val="800080"/>
            <w:u w:val="single"/>
          </w:rPr>
          <w:t>SL L 176, 27.6.2013., str. 1.</w:t>
        </w:r>
      </w:hyperlink>
      <w:r>
        <w:t>).</w:t>
      </w:r>
    </w:p>
  </w:footnote>
  <w:footnote w:id="9">
    <w:p w14:paraId="49757893" w14:textId="037AB167" w:rsidR="006F0504" w:rsidRPr="00BB5993" w:rsidRDefault="006F0504" w:rsidP="00BB5993">
      <w:pPr>
        <w:pStyle w:val="FootnoteText"/>
        <w:rPr>
          <w:rFonts w:cstheme="minorHAnsi"/>
        </w:rPr>
      </w:pPr>
      <w:r>
        <w:rPr>
          <w:rStyle w:val="FootnoteReference"/>
          <w:rFonts w:cstheme="minorHAnsi"/>
          <w:sz w:val="18"/>
        </w:rPr>
        <w:footnoteRef/>
      </w:r>
      <w:r>
        <w:t xml:space="preserve"> </w:t>
      </w:r>
      <w:r>
        <w:tab/>
        <w:t>Direktiva 2013/34/EU Europskog parlamenta i Vijeća od 26. lipnja 2013. o godišnjim financijskim izvještajima, konsolidiranim financijskim izvještajima i povezanim izvješćima za određene vrste poduzeća, o izmjeni Direktive 2006/43/EZ Europskog parlamenta i Vijeća i o stavljanju izvan snage direktiva Vijeća 78/660/EEZ i 83/349/EEZ (SL L 182, 29.6.2013., str. 19.).</w:t>
      </w:r>
    </w:p>
  </w:footnote>
  <w:footnote w:id="10">
    <w:p w14:paraId="3A9F714D" w14:textId="14F46136" w:rsidR="006F0504" w:rsidRPr="00222AAB" w:rsidRDefault="006F0504">
      <w:pPr>
        <w:pStyle w:val="FootnoteText"/>
        <w:rPr>
          <w:rFonts w:cstheme="minorHAnsi"/>
        </w:rPr>
      </w:pPr>
      <w:r>
        <w:rPr>
          <w:rStyle w:val="FootnoteReference"/>
          <w:rFonts w:cstheme="minorHAnsi"/>
          <w:sz w:val="18"/>
        </w:rPr>
        <w:footnoteRef/>
      </w:r>
      <w:r>
        <w:t xml:space="preserve"> </w:t>
      </w:r>
      <w:r>
        <w:tab/>
        <w:t>Uredba (EZ) br. 1606/2002 Europskog parlamenta i Vijeća od 19. srpnja 2002. o primjeni međunarodnih računovodstvenih standarda (SL L 243, 11.9.2002., str. 1.).</w:t>
      </w:r>
    </w:p>
  </w:footnote>
  <w:footnote w:id="11">
    <w:p w14:paraId="11CA5EE8" w14:textId="7E420F35" w:rsidR="006F0504" w:rsidRPr="00222AAB" w:rsidRDefault="006F0504">
      <w:pPr>
        <w:pStyle w:val="FootnoteText"/>
        <w:rPr>
          <w:rFonts w:cstheme="minorHAnsi"/>
        </w:rPr>
      </w:pPr>
      <w:r>
        <w:rPr>
          <w:rStyle w:val="FootnoteReference"/>
          <w:rFonts w:cstheme="minorHAnsi"/>
          <w:sz w:val="18"/>
        </w:rPr>
        <w:footnoteRef/>
      </w:r>
      <w:r>
        <w:t xml:space="preserve"> </w:t>
      </w:r>
      <w:r>
        <w:tab/>
        <w:t>Direktiva Vijeća 86/635/EEZ od 8. prosinca 1986. o godišnjim financijskim izvještajima i konsolidiranim financijskim izvještajima banaka i drugih financijskih institucija (SL L 372, 31.12.1986., str. 1.).</w:t>
      </w:r>
    </w:p>
  </w:footnote>
  <w:footnote w:id="12">
    <w:p w14:paraId="1BA7AC25" w14:textId="474E661B" w:rsidR="006F0504" w:rsidRPr="00222AAB" w:rsidRDefault="006F0504">
      <w:pPr>
        <w:pStyle w:val="FootnoteText"/>
        <w:rPr>
          <w:rFonts w:cstheme="minorHAnsi"/>
        </w:rPr>
      </w:pPr>
      <w:r>
        <w:rPr>
          <w:rStyle w:val="FootnoteReference"/>
          <w:rFonts w:cstheme="minorHAnsi"/>
          <w:sz w:val="18"/>
        </w:rPr>
        <w:footnoteRef/>
      </w:r>
      <w:r>
        <w:t xml:space="preserve"> </w:t>
      </w:r>
      <w:r>
        <w:tab/>
        <w:t xml:space="preserve">DELEGIRANA UREDBA KOMISIJE (EU) br. 183/2014 </w:t>
      </w:r>
      <w:proofErr w:type="spellStart"/>
      <w:r>
        <w:t>оd</w:t>
      </w:r>
      <w:proofErr w:type="spellEnd"/>
      <w:r>
        <w:t xml:space="preserve"> 20. prosinca 2013. o dopuni Uredbe (EU) br. 575/2013 Europskog parlamenta i Vijeća o bonitetnim zahtjevima za kreditne institucije i investicijska društva u vezi s regulatornim tehničkim standardima kojima se pobliže određuje način izračuna specifičnih i općih ispravaka vrijednosti za kreditni rizik (SL L 57, 27.2.2014., str. 3.).</w:t>
      </w:r>
    </w:p>
  </w:footnote>
  <w:footnote w:id="13">
    <w:p w14:paraId="0A83D452" w14:textId="18709C0E" w:rsidR="006F0504" w:rsidRPr="00222AAB" w:rsidRDefault="006F0504">
      <w:pPr>
        <w:pStyle w:val="FootnoteText"/>
        <w:rPr>
          <w:rFonts w:cstheme="minorHAnsi"/>
        </w:rPr>
      </w:pPr>
      <w:r>
        <w:rPr>
          <w:rStyle w:val="FootnoteReference"/>
          <w:rFonts w:cstheme="minorHAnsi"/>
          <w:sz w:val="18"/>
        </w:rPr>
        <w:footnoteRef/>
      </w:r>
      <w:r>
        <w:t xml:space="preserve"> </w:t>
      </w:r>
      <w:r w:rsidR="001D671B">
        <w:tab/>
      </w:r>
      <w:r>
        <w:t xml:space="preserve">DELEGIRANA UREDBA KOMISIJE (EU) 2016/101 </w:t>
      </w:r>
      <w:proofErr w:type="spellStart"/>
      <w:r>
        <w:t>оd</w:t>
      </w:r>
      <w:proofErr w:type="spellEnd"/>
      <w:r>
        <w:t xml:space="preserve"> 26. listopada 2015. o dopuni Uredbe (EU) br. 575/2013 Europskog parlamenta i Vijeća u pogledu regulatornih tehničkih standarda za bonitetno vrednovanje u skladu s člankom 105. stavkom 14. (SL L 21, 28.1.2016., str. 54.).</w:t>
      </w:r>
    </w:p>
  </w:footnote>
  <w:footnote w:id="14">
    <w:p w14:paraId="334F3E32" w14:textId="1517F5D4" w:rsidR="006F0504" w:rsidRPr="00222AAB" w:rsidRDefault="006F0504">
      <w:pPr>
        <w:pStyle w:val="FootnoteText"/>
        <w:rPr>
          <w:rFonts w:cstheme="minorHAnsi"/>
        </w:rPr>
      </w:pPr>
      <w:r>
        <w:rPr>
          <w:rStyle w:val="FootnoteReference"/>
          <w:rFonts w:cstheme="minorHAnsi"/>
          <w:sz w:val="18"/>
        </w:rPr>
        <w:footnoteRef/>
      </w:r>
      <w:r>
        <w:t xml:space="preserve"> </w:t>
      </w:r>
      <w:r>
        <w:tab/>
        <w:t>Uredba (EU) br. 575/2013 Europskog parlamenta i Vijeća od 26. lipnja 2013. o bonitetnim zahtjevima za kreditne institucije i investicijska društva i o izmjeni Uredbe (EU) br. 648/2012 (</w:t>
      </w:r>
      <w:hyperlink r:id="rId4" w:history="1">
        <w:r>
          <w:rPr>
            <w:rStyle w:val="Hyperlink"/>
          </w:rPr>
          <w:t>SL L 176, 27.6.2013., str. 1.</w:t>
        </w:r>
      </w:hyperlink>
      <w:r>
        <w:t>).</w:t>
      </w:r>
    </w:p>
    <w:p w14:paraId="6BE73D03" w14:textId="37FE378A" w:rsidR="006F0504" w:rsidRPr="00222AAB" w:rsidRDefault="006F0504">
      <w:pPr>
        <w:pStyle w:val="FootnoteText"/>
        <w:rPr>
          <w:rFonts w:cstheme="minorHAnsi"/>
        </w:rPr>
      </w:pPr>
    </w:p>
  </w:footnote>
  <w:footnote w:id="15">
    <w:p w14:paraId="24515CC3" w14:textId="77777777" w:rsidR="006F0504" w:rsidRPr="00222AAB" w:rsidRDefault="006F0504" w:rsidP="00346640">
      <w:pPr>
        <w:pStyle w:val="FootnoteText"/>
        <w:rPr>
          <w:rFonts w:cstheme="minorHAnsi"/>
        </w:rPr>
      </w:pPr>
    </w:p>
    <w:p w14:paraId="211C8118" w14:textId="77777777" w:rsidR="006F0504" w:rsidRPr="00222AAB" w:rsidRDefault="006F0504" w:rsidP="00346640">
      <w:pPr>
        <w:pStyle w:val="FootnoteText"/>
        <w:rPr>
          <w:rFonts w:cstheme="minorHAnsi"/>
        </w:rPr>
      </w:pPr>
    </w:p>
  </w:footnote>
  <w:footnote w:id="16">
    <w:p w14:paraId="5D9149DD" w14:textId="1D176DB8" w:rsidR="006F0504" w:rsidRPr="00222AAB" w:rsidRDefault="006F0504">
      <w:pPr>
        <w:pStyle w:val="FootnoteText"/>
        <w:rPr>
          <w:rFonts w:cstheme="minorHAnsi"/>
        </w:rPr>
      </w:pPr>
      <w:r>
        <w:rPr>
          <w:rStyle w:val="FootnoteReference"/>
          <w:rFonts w:cstheme="minorHAnsi"/>
          <w:sz w:val="18"/>
        </w:rPr>
        <w:footnoteRef/>
      </w:r>
      <w:r>
        <w:t xml:space="preserve"> </w:t>
      </w:r>
      <w:r>
        <w:tab/>
        <w:t>DIREKTIVA (EU) 2019/879 EUROPSKOG PARLAMENTA I VIJEĆA od 20. svibnja 2019. o izmjeni Direktive 2014/59/EU u pogledu kapaciteta pokrivanja gubitaka i dokapitalizacije kreditnih institucija i investicijskih društava te Direktive 98/26/EZ (SL L 150, 7.6.2019., str. 296.).</w:t>
      </w:r>
    </w:p>
  </w:footnote>
  <w:footnote w:id="17">
    <w:p w14:paraId="0E03FE55" w14:textId="7B5400CC" w:rsidR="006F0504" w:rsidRPr="00222AAB" w:rsidRDefault="006F0504">
      <w:pPr>
        <w:pStyle w:val="FootnoteText"/>
        <w:rPr>
          <w:rFonts w:cstheme="minorHAnsi"/>
        </w:rPr>
      </w:pPr>
      <w:r>
        <w:rPr>
          <w:rStyle w:val="FootnoteReference"/>
          <w:rFonts w:cstheme="minorHAnsi"/>
          <w:sz w:val="18"/>
        </w:rPr>
        <w:footnoteRef/>
      </w:r>
      <w:r>
        <w:t xml:space="preserve"> </w:t>
      </w:r>
      <w:r>
        <w:tab/>
        <w:t>Uredba (EU) br. 575/2013 Europskog parlamenta i Vijeća od 26. lipnja 2013. o bonitetnim zahtjevima za kreditne institucije i investicijska društva i o izmjeni Uredbe (EU) br. 648/2012 (</w:t>
      </w:r>
      <w:hyperlink r:id="rId5" w:history="1">
        <w:r>
          <w:rPr>
            <w:rStyle w:val="Hyperlink"/>
          </w:rPr>
          <w:t>SL L 176, 27.6.2013., str. 1.</w:t>
        </w:r>
      </w:hyperlink>
      <w:r>
        <w:t>).</w:t>
      </w:r>
    </w:p>
  </w:footnote>
  <w:footnote w:id="18">
    <w:p w14:paraId="4A40AE56" w14:textId="48C0ED80" w:rsidR="006F0504" w:rsidRPr="00222AAB" w:rsidRDefault="006F0504">
      <w:pPr>
        <w:pStyle w:val="FootnoteText"/>
        <w:rPr>
          <w:rFonts w:cstheme="minorHAnsi"/>
        </w:rPr>
      </w:pPr>
      <w:r>
        <w:rPr>
          <w:rStyle w:val="FootnoteReference"/>
          <w:rFonts w:cstheme="minorHAnsi"/>
          <w:sz w:val="18"/>
        </w:rPr>
        <w:footnoteRef/>
      </w:r>
      <w:r>
        <w:t xml:space="preserve"> </w:t>
      </w:r>
      <w:r>
        <w:tab/>
        <w:t>DIREKTIVA 2013/36/EU EUROPSKOG PARLAMENTA I VIJEĆA od 26. lipnja 2013. o pristupanju djelatnosti kreditnih institucija i bonitetnom nadzoru nad kreditnim institucijama i investicijskim društvima, izmjeni Direktive 2002/87/EZ te stavljanju izvan snage direktiva 2006/48/EZ i 2006/49/EZ (SL L 176, 27.6.2013., str. 338.).</w:t>
      </w:r>
    </w:p>
  </w:footnote>
  <w:footnote w:id="19">
    <w:p w14:paraId="2E6D0092" w14:textId="2C642F0D" w:rsidR="006F0504" w:rsidRPr="00222AAB" w:rsidRDefault="006F0504">
      <w:pPr>
        <w:pStyle w:val="FootnoteText"/>
        <w:rPr>
          <w:rFonts w:cstheme="minorHAnsi"/>
        </w:rPr>
      </w:pPr>
      <w:r>
        <w:rPr>
          <w:rStyle w:val="FootnoteReference"/>
          <w:rFonts w:cstheme="minorHAnsi"/>
          <w:sz w:val="18"/>
        </w:rPr>
        <w:footnoteRef/>
      </w:r>
      <w:r>
        <w:tab/>
        <w:t xml:space="preserve">DELEGIRANA UREDBA KOMISIJE (EU) br. 1152/2014 </w:t>
      </w:r>
      <w:proofErr w:type="spellStart"/>
      <w:r>
        <w:t>оd</w:t>
      </w:r>
      <w:proofErr w:type="spellEnd"/>
      <w:r>
        <w:t xml:space="preserve"> 4. lipnja 2014. o dopuni Direktive 2013/36/EU Europskog parlamenta i Vijeća u pogledu regulatornih tehničkih standarda za utvrđivanje geografskog položaja relevantnih kreditnih izloženosti za izračun stopa protucikličkog zaštitnog sloja kapitala specifičnih za instituciju (SL L 309, 30.10.2014., str. 5).</w:t>
      </w:r>
    </w:p>
  </w:footnote>
  <w:footnote w:id="20">
    <w:p w14:paraId="06491F87" w14:textId="58702F68" w:rsidR="006F0504" w:rsidRPr="00222AAB" w:rsidRDefault="006F0504">
      <w:pPr>
        <w:pStyle w:val="FootnoteText"/>
        <w:rPr>
          <w:rFonts w:cstheme="minorHAnsi"/>
        </w:rPr>
      </w:pPr>
      <w:r>
        <w:rPr>
          <w:rStyle w:val="FootnoteReference"/>
          <w:rFonts w:cstheme="minorHAnsi"/>
          <w:sz w:val="18"/>
        </w:rPr>
        <w:footnoteRef/>
      </w:r>
      <w:r>
        <w:t xml:space="preserve"> </w:t>
      </w:r>
      <w:r>
        <w:tab/>
        <w:t>Uredba (EU) br. 575/2013 Europskog parlamenta i Vijeća od 26. lipnja 2013. o bonitetnim zahtjevima za kreditne institucije i investicijska društva i o izmjeni Uredbe (EU) br. 648/2012 (</w:t>
      </w:r>
      <w:hyperlink r:id="rId6" w:history="1">
        <w:r>
          <w:rPr>
            <w:rStyle w:val="Hyperlink"/>
          </w:rPr>
          <w:t>SL L 176, 27.6.2013., str. 1.</w:t>
        </w:r>
      </w:hyperlink>
      <w:r>
        <w:t>).</w:t>
      </w:r>
    </w:p>
  </w:footnote>
  <w:footnote w:id="21">
    <w:p w14:paraId="60C78B1A" w14:textId="7EB95601" w:rsidR="006F0504" w:rsidRPr="00222AAB" w:rsidRDefault="006F0504">
      <w:pPr>
        <w:pStyle w:val="FootnoteText"/>
        <w:rPr>
          <w:rFonts w:cstheme="minorHAnsi"/>
        </w:rPr>
      </w:pPr>
      <w:r>
        <w:rPr>
          <w:rStyle w:val="FootnoteReference"/>
          <w:rFonts w:cstheme="minorHAnsi"/>
          <w:sz w:val="18"/>
        </w:rPr>
        <w:footnoteRef/>
      </w:r>
      <w:r>
        <w:t xml:space="preserve"> </w:t>
      </w:r>
      <w:r>
        <w:tab/>
        <w:t>Uredba (EU) br. 575/2013 Europskog parlamenta i Vijeća od 26. lipnja 2013. o bonitetnim zahtjevima za kreditne institucije i investicijska društva i o izmjeni Uredbe (EU) br. 648/2012 (</w:t>
      </w:r>
      <w:hyperlink r:id="rId7" w:history="1">
        <w:r>
          <w:rPr>
            <w:rStyle w:val="Hyperlink"/>
          </w:rPr>
          <w:t>SL L 176, 27.6.2013., str. 1.</w:t>
        </w:r>
      </w:hyperlink>
      <w:r>
        <w:t>).</w:t>
      </w:r>
    </w:p>
  </w:footnote>
  <w:footnote w:id="22">
    <w:p w14:paraId="62305A9B" w14:textId="27255F79" w:rsidR="006F0504" w:rsidRPr="00222AAB" w:rsidRDefault="006F0504">
      <w:pPr>
        <w:pStyle w:val="FootnoteText"/>
        <w:rPr>
          <w:rFonts w:cstheme="minorHAnsi"/>
        </w:rPr>
      </w:pPr>
      <w:r>
        <w:rPr>
          <w:rStyle w:val="FootnoteReference"/>
          <w:rFonts w:cstheme="minorHAnsi"/>
          <w:sz w:val="18"/>
        </w:rPr>
        <w:footnoteRef/>
      </w:r>
      <w:r>
        <w:t xml:space="preserve"> </w:t>
      </w:r>
      <w:r>
        <w:tab/>
        <w:t xml:space="preserve">DELEGIRANA UREDBA KOMISIJE (EU) 2015/61 </w:t>
      </w:r>
      <w:proofErr w:type="spellStart"/>
      <w:r>
        <w:t>оd</w:t>
      </w:r>
      <w:proofErr w:type="spellEnd"/>
      <w:r>
        <w:t xml:space="preserve"> 10. listopada 2014. o dopuni Uredbe (EU) br. 575/2013 Europskog parlamenta i Vijeća u pogledu zahtjeva za likvidnosnu pokrivenost kreditnih institucija (SL L 11, 17.1.2015., str. 1.). </w:t>
      </w:r>
    </w:p>
  </w:footnote>
  <w:footnote w:id="23">
    <w:p w14:paraId="7410D74E" w14:textId="5FCC6937" w:rsidR="006F0504" w:rsidRPr="00222AAB" w:rsidRDefault="006F0504">
      <w:pPr>
        <w:pStyle w:val="FootnoteText"/>
        <w:rPr>
          <w:rFonts w:cstheme="minorHAnsi"/>
        </w:rPr>
      </w:pPr>
      <w:r>
        <w:rPr>
          <w:rStyle w:val="FootnoteReference"/>
          <w:rFonts w:cstheme="minorHAnsi"/>
          <w:sz w:val="18"/>
        </w:rPr>
        <w:footnoteRef/>
      </w:r>
      <w:r>
        <w:t xml:space="preserve"> </w:t>
      </w:r>
      <w:r>
        <w:tab/>
        <w:t>DIREKTIVA 94/19/EZ EUROPSKOG PARLAMENTA I VIJEĆA od 30. svibnja 1994. o sustavima osiguranja depozita (SL L 135, 31.5.1994., str. 5.).</w:t>
      </w:r>
    </w:p>
  </w:footnote>
  <w:footnote w:id="24">
    <w:p w14:paraId="4520B3DC" w14:textId="3FED4F07" w:rsidR="006F0504" w:rsidRPr="00222AAB" w:rsidRDefault="006F0504">
      <w:pPr>
        <w:pStyle w:val="FootnoteText"/>
        <w:rPr>
          <w:rFonts w:cstheme="minorHAnsi"/>
        </w:rPr>
      </w:pPr>
      <w:r>
        <w:rPr>
          <w:rStyle w:val="FootnoteReference"/>
          <w:rFonts w:cstheme="minorHAnsi"/>
          <w:sz w:val="18"/>
        </w:rPr>
        <w:footnoteRef/>
      </w:r>
      <w:r>
        <w:t xml:space="preserve"> </w:t>
      </w:r>
      <w:r>
        <w:tab/>
        <w:t>DIREKTIVA 2014/49/EU EUROPSKOG PARLAMENTA I VIJEĆA od 16. travnja 2014. o sustavima osiguranja depozita (SL L 173, 12.6.2014., str.149.).</w:t>
      </w:r>
    </w:p>
  </w:footnote>
  <w:footnote w:id="25">
    <w:p w14:paraId="12A0E7C0" w14:textId="5484DB30" w:rsidR="006F0504" w:rsidRPr="00222AAB" w:rsidRDefault="006F0504">
      <w:pPr>
        <w:pStyle w:val="FootnoteText"/>
        <w:rPr>
          <w:rFonts w:cstheme="minorHAnsi"/>
        </w:rPr>
      </w:pPr>
      <w:r>
        <w:rPr>
          <w:rStyle w:val="FootnoteReference"/>
          <w:rFonts w:cstheme="minorHAnsi"/>
          <w:sz w:val="18"/>
        </w:rPr>
        <w:footnoteRef/>
      </w:r>
      <w:r>
        <w:tab/>
        <w:t>DELEGIRANA UREDBA KOMISIJE (EU) 2017/208 od 31. listopada 2016. o dopuni Uredbe (EU) br. 575/2013 Europskog parlamenta i Vijeća u pogledu regulatornih tehničkih standarda u pogledu regulatornih tehničkih standarda za dodatne odljeve likvidnosti koji odgovaraju potrebama za kolateralom koje nastaju zbog utjecaja negativne situacije na tržištu na transakcije institucija s izvedenicama (SL L 33, 8.2.2017., str. 14.).</w:t>
      </w:r>
    </w:p>
  </w:footnote>
  <w:footnote w:id="26">
    <w:p w14:paraId="41E768A6" w14:textId="07D99CFA" w:rsidR="006F0504" w:rsidRPr="00222AAB" w:rsidRDefault="006F0504">
      <w:pPr>
        <w:pStyle w:val="FootnoteText"/>
        <w:rPr>
          <w:rFonts w:cstheme="minorHAnsi"/>
        </w:rPr>
      </w:pPr>
      <w:r>
        <w:rPr>
          <w:rStyle w:val="FootnoteReference"/>
          <w:rFonts w:cstheme="minorHAnsi"/>
          <w:sz w:val="18"/>
        </w:rPr>
        <w:footnoteRef/>
      </w:r>
      <w:r>
        <w:t xml:space="preserve"> </w:t>
      </w:r>
      <w:r>
        <w:tab/>
        <w:t xml:space="preserve">PROVEDBENA UREDBA KOMISIJE (EU) br. 680/2014 </w:t>
      </w:r>
      <w:proofErr w:type="spellStart"/>
      <w:r>
        <w:t>оd</w:t>
      </w:r>
      <w:proofErr w:type="spellEnd"/>
      <w:r>
        <w:t xml:space="preserve"> 16. travnja 2014. o utvrđivanju provedbenih tehničkih standarda o nadzornom izvješćivanju institucija u skladu s Uredbom (EU) br. 575/2013 Europskog parlamenta i Vijeća (SL L 191, 28.6.2014., str. 1.).</w:t>
      </w:r>
    </w:p>
  </w:footnote>
  <w:footnote w:id="27">
    <w:p w14:paraId="65A66F1C" w14:textId="4267E2CF" w:rsidR="006F0504" w:rsidRPr="00222AAB" w:rsidRDefault="006F0504">
      <w:pPr>
        <w:pStyle w:val="FootnoteText"/>
        <w:rPr>
          <w:rFonts w:cstheme="minorHAnsi"/>
        </w:rPr>
      </w:pPr>
      <w:r>
        <w:rPr>
          <w:rStyle w:val="FootnoteReference"/>
          <w:rFonts w:cstheme="minorHAnsi"/>
          <w:sz w:val="18"/>
        </w:rPr>
        <w:footnoteRef/>
      </w:r>
      <w:r>
        <w:t xml:space="preserve"> </w:t>
      </w:r>
      <w:r>
        <w:tab/>
        <w:t>DIREKTIVA 2009/65/EZ EUROPSKOG PARLAMENTA I VIJEĆA od 13. srpnja 2009. o usklađivanju zakona i drugih propisa u odnosu na subjekte za zajednička ulaganja u prenosive vrijednosne papire (UCITS) (SL L 302, 17.11.2009. str. 32.).</w:t>
      </w:r>
    </w:p>
  </w:footnote>
  <w:footnote w:id="28">
    <w:p w14:paraId="1E2B4845" w14:textId="190C1CF3" w:rsidR="006F0504" w:rsidRPr="00222AAB" w:rsidRDefault="006F0504">
      <w:pPr>
        <w:pStyle w:val="FootnoteText"/>
        <w:rPr>
          <w:rFonts w:cstheme="minorHAnsi"/>
        </w:rPr>
      </w:pPr>
      <w:r>
        <w:rPr>
          <w:rStyle w:val="FootnoteReference"/>
          <w:rFonts w:cstheme="minorHAnsi"/>
          <w:sz w:val="18"/>
        </w:rPr>
        <w:footnoteRef/>
      </w:r>
      <w:r>
        <w:t xml:space="preserve"> </w:t>
      </w:r>
      <w:r>
        <w:tab/>
        <w:t>Uredba (EU) br. 575/2013 Europskog parlamenta i Vijeća od 26. lipnja 2013. o bonitetnim zahtjevima za kreditne institucije i investicijska društva i o izmjeni Uredbe (EU) br. 648/2012 (</w:t>
      </w:r>
      <w:hyperlink r:id="rId8" w:history="1">
        <w:r>
          <w:rPr>
            <w:rStyle w:val="Hyperlink"/>
          </w:rPr>
          <w:t>SL L 176, 27.6.2013., str. 1.</w:t>
        </w:r>
      </w:hyperlink>
      <w:r>
        <w:t>).</w:t>
      </w:r>
    </w:p>
  </w:footnote>
  <w:footnote w:id="29">
    <w:p w14:paraId="7D803589" w14:textId="00BF5572" w:rsidR="006F0504" w:rsidRPr="00222AAB" w:rsidRDefault="006F0504">
      <w:pPr>
        <w:pStyle w:val="FootnoteText"/>
        <w:rPr>
          <w:rFonts w:cstheme="minorHAnsi"/>
        </w:rPr>
      </w:pPr>
      <w:r>
        <w:rPr>
          <w:rStyle w:val="FootnoteReference"/>
          <w:rFonts w:cstheme="minorHAnsi"/>
          <w:sz w:val="18"/>
        </w:rPr>
        <w:footnoteRef/>
      </w:r>
      <w:r>
        <w:t xml:space="preserve"> </w:t>
      </w:r>
      <w:r>
        <w:tab/>
        <w:t xml:space="preserve">PROVEDBENA UREDBA KOMISIJE (EU) br. 680/2014 </w:t>
      </w:r>
      <w:proofErr w:type="spellStart"/>
      <w:r>
        <w:t>оd</w:t>
      </w:r>
      <w:proofErr w:type="spellEnd"/>
      <w:r>
        <w:t xml:space="preserve"> 16. travnja 2014. o utvrđivanju provedbenih tehničkih standarda o nadzornom izvješćivanju institucija u skladu s Uredbom (EU) br. 575/2013 Europskog parlamenta i Vijeća (SL L 191, 28.6.2014., str. 1.).</w:t>
      </w:r>
    </w:p>
  </w:footnote>
  <w:footnote w:id="30">
    <w:p w14:paraId="3A92CAFF" w14:textId="2460795B" w:rsidR="006F0504" w:rsidRPr="00222AAB" w:rsidRDefault="006F0504">
      <w:pPr>
        <w:pStyle w:val="FootnoteText"/>
        <w:rPr>
          <w:rFonts w:cstheme="minorHAnsi"/>
        </w:rPr>
      </w:pPr>
      <w:r>
        <w:rPr>
          <w:rStyle w:val="FootnoteReference"/>
          <w:rFonts w:cstheme="minorHAnsi"/>
          <w:sz w:val="18"/>
        </w:rPr>
        <w:footnoteRef/>
      </w:r>
      <w:r>
        <w:t xml:space="preserve"> </w:t>
      </w:r>
      <w:r>
        <w:tab/>
        <w:t>UREDBA (EU) BR. 1071/2013 EUROPSKE SREDIŠNJE BANKE od 24. rujna 2013. o bilanci sektora monetarnih financijskih institucija (ESB/2013/33) (SL L 297, 7.11.2013., str. 1.).</w:t>
      </w:r>
    </w:p>
  </w:footnote>
  <w:footnote w:id="31">
    <w:p w14:paraId="2C8266CA" w14:textId="241C5F78" w:rsidR="006F0504" w:rsidRPr="00BB5993" w:rsidRDefault="006F0504">
      <w:pPr>
        <w:pStyle w:val="FootnoteText"/>
        <w:rPr>
          <w:rFonts w:cstheme="minorHAnsi"/>
        </w:rPr>
      </w:pPr>
      <w:r>
        <w:rPr>
          <w:rStyle w:val="FootnoteReference"/>
          <w:rFonts w:cstheme="minorHAnsi"/>
          <w:sz w:val="18"/>
        </w:rPr>
        <w:footnoteRef/>
      </w:r>
      <w:r>
        <w:t xml:space="preserve"> </w:t>
      </w:r>
      <w:r>
        <w:tab/>
        <w:t>DIREKTIVA VIJEĆA 86/635/EEZ od 8. prosinca 1986. o godišnjim financijskim izvještajima i konsolidiranim financijskim izvještajima banaka i drugih financijskih institucija (SL L 372, 31.12.1986., str. 1.).</w:t>
      </w:r>
    </w:p>
  </w:footnote>
  <w:footnote w:id="32">
    <w:p w14:paraId="21AE182B" w14:textId="6F87360A" w:rsidR="006F0504" w:rsidRPr="00222AAB" w:rsidRDefault="006F0504">
      <w:pPr>
        <w:pStyle w:val="FootnoteText"/>
        <w:rPr>
          <w:rFonts w:cstheme="minorHAnsi"/>
        </w:rPr>
      </w:pPr>
      <w:r>
        <w:rPr>
          <w:rStyle w:val="FootnoteReference"/>
          <w:rFonts w:cstheme="minorHAnsi"/>
          <w:sz w:val="18"/>
        </w:rPr>
        <w:footnoteRef/>
      </w:r>
      <w:r>
        <w:tab/>
        <w:t>PREPORUKA EUROPSKOG ODBORA ZA SISTEMSKE RIZIKE od 31. listopada 2016. o zatvaranju praznina u podacima o nekretninama (ESRB/2016/14) (SL C 31, 31.1.2017., str. 1.).</w:t>
      </w:r>
    </w:p>
  </w:footnote>
  <w:footnote w:id="33">
    <w:p w14:paraId="3C3116D6" w14:textId="6E94C091" w:rsidR="006F0504" w:rsidRPr="00222AAB" w:rsidRDefault="006F0504">
      <w:pPr>
        <w:pStyle w:val="FootnoteText"/>
        <w:rPr>
          <w:rFonts w:cstheme="minorHAnsi"/>
        </w:rPr>
      </w:pPr>
      <w:r>
        <w:rPr>
          <w:rStyle w:val="FootnoteReference"/>
          <w:rFonts w:cstheme="minorHAnsi"/>
          <w:sz w:val="18"/>
        </w:rPr>
        <w:footnoteRef/>
      </w:r>
      <w:r>
        <w:t xml:space="preserve"> </w:t>
      </w:r>
      <w:r>
        <w:tab/>
        <w:t>Uredba (EU) br. 575/2013 Europskog parlamenta i Vijeća od 26. lipnja 2013. o bonitetnim zahtjevima za kreditne institucije i investicijska društva i o izmjeni Uredbe (EU) br. 648/2012 (</w:t>
      </w:r>
      <w:hyperlink r:id="rId9" w:history="1">
        <w:r>
          <w:rPr>
            <w:rStyle w:val="Hyperlink"/>
          </w:rPr>
          <w:t>SL L 176, 27.6.2013., str. 1.</w:t>
        </w:r>
      </w:hyperlink>
      <w:r>
        <w:t>).</w:t>
      </w:r>
    </w:p>
  </w:footnote>
  <w:footnote w:id="34">
    <w:p w14:paraId="0FC5834E" w14:textId="45FF0B6E" w:rsidR="006F0504" w:rsidRPr="00222AAB" w:rsidRDefault="006F0504">
      <w:pPr>
        <w:pStyle w:val="FootnoteText"/>
        <w:rPr>
          <w:rFonts w:cstheme="minorHAnsi"/>
        </w:rPr>
      </w:pPr>
      <w:r>
        <w:rPr>
          <w:rStyle w:val="FootnoteReference"/>
          <w:rFonts w:cstheme="minorHAnsi"/>
          <w:sz w:val="18"/>
        </w:rPr>
        <w:footnoteRef/>
      </w:r>
      <w:r>
        <w:t xml:space="preserve"> </w:t>
      </w:r>
      <w:r>
        <w:tab/>
        <w:t>UREDBA (EU) BR. 1071/2013 EUROPSKE SREDIŠNJE BANKE od 24. rujna 2013. o bilanci sektora monetarnih financijskih institucija (ESB/2013/33) (SL L 297, 7.11.2013., str. 1.).</w:t>
      </w:r>
    </w:p>
  </w:footnote>
  <w:footnote w:id="35">
    <w:p w14:paraId="274AF186" w14:textId="6466509A" w:rsidR="006F0504" w:rsidRPr="00222AAB" w:rsidRDefault="006F0504">
      <w:pPr>
        <w:pStyle w:val="FootnoteText"/>
        <w:rPr>
          <w:rFonts w:cstheme="minorHAnsi"/>
        </w:rPr>
      </w:pPr>
      <w:r>
        <w:rPr>
          <w:rStyle w:val="FootnoteReference"/>
          <w:rFonts w:cstheme="minorHAnsi"/>
          <w:sz w:val="18"/>
        </w:rPr>
        <w:footnoteRef/>
      </w:r>
      <w:r>
        <w:t xml:space="preserve"> </w:t>
      </w:r>
      <w:r>
        <w:tab/>
        <w:t xml:space="preserve">PROVEDBENA UREDBA KOMISIJE (EU) br. 680/2014 </w:t>
      </w:r>
      <w:proofErr w:type="spellStart"/>
      <w:r>
        <w:t>оd</w:t>
      </w:r>
      <w:proofErr w:type="spellEnd"/>
      <w:r>
        <w:t xml:space="preserve"> 16. travnja 2014. o utvrđivanju provedbenih tehničkih standarda o nadzornom izvješćivanju institucija u skladu s Uredbom (EU) br. 575/2013 Europskog parlamenta i Vijeća (SL L 191, 28.6.2014., str. 1.).</w:t>
      </w:r>
    </w:p>
  </w:footnote>
  <w:footnote w:id="36">
    <w:p w14:paraId="345D93EA" w14:textId="6EC7C985" w:rsidR="006F0504" w:rsidRPr="00222AAB" w:rsidRDefault="006F0504">
      <w:pPr>
        <w:pStyle w:val="FootnoteText"/>
        <w:rPr>
          <w:rFonts w:cstheme="minorHAnsi"/>
        </w:rPr>
      </w:pPr>
      <w:r>
        <w:rPr>
          <w:rStyle w:val="FootnoteReference"/>
          <w:rFonts w:cstheme="minorHAnsi"/>
          <w:sz w:val="18"/>
        </w:rPr>
        <w:footnoteRef/>
      </w:r>
      <w:r>
        <w:t xml:space="preserve"> </w:t>
      </w:r>
      <w:r>
        <w:tab/>
        <w:t>Uredba (EU) br. 575/2013 Europskog parlamenta i Vijeća od 26. lipnja 2013. o bonitetnim zahtjevima za kreditne institucije i investicijska društva i o izmjeni Uredbe (EU) br. 648/2012 (</w:t>
      </w:r>
      <w:hyperlink r:id="rId10" w:history="1">
        <w:r>
          <w:rPr>
            <w:rStyle w:val="Hyperlink"/>
          </w:rPr>
          <w:t>SL L 176, 27.6.2013., str. 1.</w:t>
        </w:r>
      </w:hyperlink>
      <w:r>
        <w:t>).</w:t>
      </w:r>
    </w:p>
  </w:footnote>
  <w:footnote w:id="37">
    <w:p w14:paraId="0500421E" w14:textId="018AD76D" w:rsidR="006F0504" w:rsidRPr="00222AAB" w:rsidRDefault="006F0504">
      <w:pPr>
        <w:pStyle w:val="FootnoteText"/>
        <w:rPr>
          <w:rFonts w:cstheme="minorHAnsi"/>
        </w:rPr>
      </w:pPr>
      <w:r>
        <w:rPr>
          <w:rStyle w:val="FootnoteReference"/>
          <w:rFonts w:cstheme="minorHAnsi"/>
          <w:sz w:val="18"/>
        </w:rPr>
        <w:footnoteRef/>
      </w:r>
      <w:r>
        <w:t xml:space="preserve"> </w:t>
      </w:r>
      <w:r>
        <w:tab/>
        <w:t xml:space="preserve">DELEGIRANA UREDBA KOMISIJE (EU) br. 183/2014 </w:t>
      </w:r>
      <w:proofErr w:type="spellStart"/>
      <w:r>
        <w:t>оd</w:t>
      </w:r>
      <w:proofErr w:type="spellEnd"/>
      <w:r>
        <w:t xml:space="preserve"> 20. prosinca 2013. o dopuni Uredbe (EU) br. 575/2013 Europskog parlamenta i Vijeća o bonitetnim zahtjevima za kreditne institucije i investicijska društva u vezi s regulatornim tehničkim standardima kojima se pobliže određuje način izračuna specifičnih i općih ispravaka vrijednosti za kreditni rizik (SL L 57, 27.2.2014., str. 3.).</w:t>
      </w:r>
    </w:p>
  </w:footnote>
  <w:footnote w:id="38">
    <w:p w14:paraId="1BBA1BD5" w14:textId="61CCD44D" w:rsidR="006F0504" w:rsidRPr="00222AAB" w:rsidRDefault="006F0504">
      <w:pPr>
        <w:pStyle w:val="FootnoteText"/>
        <w:rPr>
          <w:rFonts w:cstheme="minorHAnsi"/>
        </w:rPr>
      </w:pPr>
      <w:r>
        <w:rPr>
          <w:rStyle w:val="FootnoteReference"/>
          <w:rFonts w:cstheme="minorHAnsi"/>
          <w:sz w:val="18"/>
        </w:rPr>
        <w:footnoteRef/>
      </w:r>
      <w:r>
        <w:t xml:space="preserve"> </w:t>
      </w:r>
      <w:r>
        <w:tab/>
        <w:t>Uredba (EU) br. 575/2013 Europskog parlamenta i Vijeća od 26. lipnja 2013. o bonitetnim zahtjevima za kreditne institucije i investicijska društva i o izmjeni Uredbe (EU) br. 648/2012 (</w:t>
      </w:r>
      <w:hyperlink r:id="rId11" w:history="1">
        <w:r>
          <w:rPr>
            <w:rStyle w:val="Hyperlink"/>
          </w:rPr>
          <w:t>SL L 176, 27.6.2013., str. 1.</w:t>
        </w:r>
      </w:hyperlink>
      <w:r>
        <w:t>).</w:t>
      </w:r>
    </w:p>
  </w:footnote>
  <w:footnote w:id="39">
    <w:p w14:paraId="4DCA811C" w14:textId="09F974A1" w:rsidR="006F0504" w:rsidRPr="00222AAB" w:rsidRDefault="006F0504">
      <w:pPr>
        <w:pStyle w:val="FootnoteText"/>
        <w:rPr>
          <w:rFonts w:cstheme="minorHAnsi"/>
        </w:rPr>
      </w:pPr>
      <w:r>
        <w:rPr>
          <w:rStyle w:val="FootnoteReference"/>
          <w:rFonts w:cstheme="minorHAnsi"/>
          <w:sz w:val="18"/>
        </w:rPr>
        <w:footnoteRef/>
      </w:r>
      <w:r>
        <w:t xml:space="preserve"> </w:t>
      </w:r>
      <w:r>
        <w:tab/>
        <w:t xml:space="preserve">DELEGIRANA UREDBA KOMISIJE (EU) br. 183/2014 </w:t>
      </w:r>
      <w:proofErr w:type="spellStart"/>
      <w:r>
        <w:t>оd</w:t>
      </w:r>
      <w:proofErr w:type="spellEnd"/>
      <w:r>
        <w:t xml:space="preserve"> 20. prosinca 2013. o dopuni Uredbe (EU) br. 575/2013 Europskog parlamenta i Vijeća o bonitetnim zahtjevima za kreditne institucije i investicijska društva u vezi s regulatornim tehničkim standardima kojima se pobliže određuje način izračuna specifičnih i općih ispravaka vrijednosti za kreditni rizik (SL L 57, 27.2.2014., str. 3.).</w:t>
      </w:r>
    </w:p>
  </w:footnote>
  <w:footnote w:id="40">
    <w:p w14:paraId="40EFF385" w14:textId="723BF643" w:rsidR="006F0504" w:rsidRPr="00222AAB" w:rsidRDefault="006F0504">
      <w:pPr>
        <w:pStyle w:val="FootnoteText"/>
        <w:rPr>
          <w:rFonts w:cstheme="minorHAnsi"/>
        </w:rPr>
      </w:pPr>
      <w:r>
        <w:rPr>
          <w:rStyle w:val="FootnoteReference"/>
          <w:rFonts w:cstheme="minorHAnsi"/>
          <w:sz w:val="18"/>
        </w:rPr>
        <w:footnoteRef/>
      </w:r>
      <w:r>
        <w:t xml:space="preserve"> </w:t>
      </w:r>
      <w:r>
        <w:tab/>
        <w:t>Uredba (EU) br. 575/2013 Europskog parlamenta i Vijeća od 26. lipnja 2013. o bonitetnim zahtjevima za kreditne institucije i investicijska društva i o izmjeni Uredbe (EU) br. 648/2012 (</w:t>
      </w:r>
      <w:hyperlink r:id="rId12" w:history="1">
        <w:r>
          <w:rPr>
            <w:rStyle w:val="Hyperlink"/>
          </w:rPr>
          <w:t>SL L 176, 27.6.2013., str. 1.</w:t>
        </w:r>
      </w:hyperlink>
      <w:r>
        <w:t>).</w:t>
      </w:r>
    </w:p>
    <w:p w14:paraId="5A21779D" w14:textId="65905555" w:rsidR="006F0504" w:rsidRPr="00222AAB" w:rsidRDefault="006F0504">
      <w:pPr>
        <w:pStyle w:val="FootnoteText"/>
        <w:rPr>
          <w:rFonts w:cstheme="minorHAnsi"/>
        </w:rPr>
      </w:pPr>
    </w:p>
  </w:footnote>
  <w:footnote w:id="41">
    <w:p w14:paraId="50C71071" w14:textId="759AFC82" w:rsidR="006F0504" w:rsidRPr="00222AAB" w:rsidRDefault="006F0504">
      <w:pPr>
        <w:pStyle w:val="FootnoteText"/>
        <w:rPr>
          <w:rFonts w:cstheme="minorHAnsi"/>
        </w:rPr>
      </w:pPr>
      <w:r>
        <w:rPr>
          <w:rStyle w:val="FootnoteReference"/>
          <w:rFonts w:cstheme="minorHAnsi"/>
          <w:sz w:val="18"/>
        </w:rPr>
        <w:footnoteRef/>
      </w:r>
      <w:r>
        <w:t xml:space="preserve"> </w:t>
      </w:r>
      <w:r>
        <w:tab/>
        <w:t>Uredba (EU) br. 575/2013 Europskog parlamenta i Vijeća od 26. lipnja 2013. o bonitetnim zahtjevima za kreditne institucije i investicijska društva i o izmjeni Uredbe (EU) br. 648/2012 (</w:t>
      </w:r>
      <w:hyperlink r:id="rId13" w:history="1">
        <w:r>
          <w:rPr>
            <w:rStyle w:val="Hyperlink"/>
          </w:rPr>
          <w:t>SL L 176, 27.6.2013., str. 1.</w:t>
        </w:r>
      </w:hyperlink>
      <w:r>
        <w:t>).</w:t>
      </w:r>
    </w:p>
    <w:p w14:paraId="1354A9D5" w14:textId="1DB9F003" w:rsidR="006F0504" w:rsidRPr="00222AAB" w:rsidRDefault="006F0504">
      <w:pPr>
        <w:pStyle w:val="FootnoteText"/>
        <w:rPr>
          <w:rFonts w:cstheme="minorHAnsi"/>
        </w:rPr>
      </w:pPr>
    </w:p>
  </w:footnote>
  <w:footnote w:id="42">
    <w:p w14:paraId="5E5D6FE4" w14:textId="7C2BFDD9" w:rsidR="006F0504" w:rsidRPr="00222AAB" w:rsidRDefault="006F0504">
      <w:pPr>
        <w:pStyle w:val="FootnoteText"/>
        <w:rPr>
          <w:rFonts w:cstheme="minorHAnsi"/>
        </w:rPr>
      </w:pPr>
      <w:r>
        <w:rPr>
          <w:rStyle w:val="FootnoteReference"/>
          <w:rFonts w:cstheme="minorHAnsi"/>
          <w:sz w:val="18"/>
        </w:rPr>
        <w:footnoteRef/>
      </w:r>
      <w:r>
        <w:t xml:space="preserve"> </w:t>
      </w:r>
      <w:r>
        <w:tab/>
        <w:t>Uredba (EU) br. 575/2013 Europskog parlamenta i Vijeća od 26. lipnja 2013. o bonitetnim zahtjevima za kreditne institucije i investicijska društva i o izmjeni Uredbe (EU) br. 648/2012 (</w:t>
      </w:r>
      <w:hyperlink r:id="rId14" w:history="1">
        <w:r>
          <w:rPr>
            <w:rStyle w:val="Hyperlink"/>
          </w:rPr>
          <w:t>SL L 176, 27.6.2013., str. 1.</w:t>
        </w:r>
      </w:hyperlink>
      <w:r>
        <w:t>).</w:t>
      </w:r>
    </w:p>
    <w:p w14:paraId="6D017CEF" w14:textId="140A98B1" w:rsidR="006F0504" w:rsidRPr="00222AAB" w:rsidRDefault="006F0504">
      <w:pPr>
        <w:pStyle w:val="FootnoteText"/>
        <w:rPr>
          <w:rFonts w:cstheme="minorHAnsi"/>
        </w:rPr>
      </w:pPr>
    </w:p>
  </w:footnote>
  <w:footnote w:id="43">
    <w:p w14:paraId="6D22D42F" w14:textId="3FE88DCC" w:rsidR="006F0504" w:rsidRPr="00222AAB" w:rsidRDefault="006F0504">
      <w:pPr>
        <w:pStyle w:val="FootnoteText"/>
        <w:rPr>
          <w:rFonts w:cstheme="minorHAnsi"/>
        </w:rPr>
      </w:pPr>
      <w:r>
        <w:rPr>
          <w:rStyle w:val="FootnoteReference"/>
          <w:rFonts w:cstheme="minorHAnsi"/>
          <w:sz w:val="18"/>
        </w:rPr>
        <w:footnoteRef/>
      </w:r>
      <w:r>
        <w:t xml:space="preserve"> </w:t>
      </w:r>
      <w:r>
        <w:tab/>
        <w:t>UREDBA (EU) 2017/2402 EUROPSKOG PARLAMENTA I VIJEĆA od 12. prosinca 2017. o utvrđivanju općeg okvira za sekuritizaciju i o uspostavi specifičnog okvira za jednostavnu, transparentnu i standardiziranu sekuritizaciju te o izmjeni direktiva 2009/65/EZ, 2009/138/EZ i 2011/61/EU te uredaba (EZ) br. 1060/2009 i (EU) br. 648/2012 (SL L 347, 28.12.2017., str. 35.).</w:t>
      </w:r>
    </w:p>
  </w:footnote>
  <w:footnote w:id="44">
    <w:p w14:paraId="1C33D3DE" w14:textId="769CD3C9" w:rsidR="006F0504" w:rsidRPr="00222AAB" w:rsidRDefault="006F0504">
      <w:pPr>
        <w:pStyle w:val="FootnoteText"/>
        <w:rPr>
          <w:rFonts w:cstheme="minorHAnsi"/>
        </w:rPr>
      </w:pPr>
      <w:r>
        <w:rPr>
          <w:rStyle w:val="FootnoteReference"/>
          <w:rFonts w:cstheme="minorHAnsi"/>
          <w:sz w:val="18"/>
        </w:rPr>
        <w:footnoteRef/>
      </w:r>
      <w:r>
        <w:t xml:space="preserve"> </w:t>
      </w:r>
      <w:r>
        <w:tab/>
        <w:t>Uredba (EU) br. 575/2013 Europskog parlamenta i Vijeća od 26. lipnja 2013. o bonitetnim zahtjevima za kreditne institucije i investicijska društva i o izmjeni Uredbe (EU) br. 648/2012 (</w:t>
      </w:r>
      <w:hyperlink r:id="rId15" w:history="1">
        <w:r>
          <w:rPr>
            <w:rStyle w:val="Hyperlink"/>
          </w:rPr>
          <w:t>SL L 176, 27.6.2013., str. 1.</w:t>
        </w:r>
      </w:hyperlink>
      <w:r>
        <w:t>).</w:t>
      </w:r>
    </w:p>
    <w:p w14:paraId="0B53A160" w14:textId="77777777" w:rsidR="006F0504" w:rsidRPr="00222AAB" w:rsidRDefault="006F0504">
      <w:pPr>
        <w:pStyle w:val="FootnoteText"/>
        <w:rPr>
          <w:rFonts w:cstheme="minorHAnsi"/>
        </w:rPr>
      </w:pPr>
    </w:p>
  </w:footnote>
  <w:footnote w:id="45">
    <w:p w14:paraId="22629C6B" w14:textId="699F0B08" w:rsidR="006F0504" w:rsidRPr="00222AAB" w:rsidRDefault="006F0504">
      <w:pPr>
        <w:pStyle w:val="FootnoteText"/>
        <w:rPr>
          <w:rFonts w:cstheme="minorHAnsi"/>
        </w:rPr>
      </w:pPr>
      <w:r>
        <w:rPr>
          <w:rStyle w:val="FootnoteReference"/>
          <w:rFonts w:cstheme="minorHAnsi"/>
          <w:sz w:val="18"/>
        </w:rPr>
        <w:footnoteRef/>
      </w:r>
      <w:r>
        <w:t xml:space="preserve"> </w:t>
      </w:r>
      <w:r>
        <w:tab/>
        <w:t xml:space="preserve">Kako je definirano u DELEGIRANOJ UREDBI KOMISIJE (EU) br. 528/2014 </w:t>
      </w:r>
      <w:proofErr w:type="spellStart"/>
      <w:r>
        <w:t>оd</w:t>
      </w:r>
      <w:proofErr w:type="spellEnd"/>
      <w:r>
        <w:t xml:space="preserve"> 12. ožujka 2014. o dopuni Uredbe (EU) br. 575/2013 Europskog parlamenta i Vijeća u pogledu regulatornih tehničkih standarda za rizike osim delta-rizika za opcije u standardiziranom pristupu tržišnom riziku (SL L 148, 20.5.2014., str. 29.).</w:t>
      </w:r>
    </w:p>
  </w:footnote>
  <w:footnote w:id="46">
    <w:p w14:paraId="3C1785B8" w14:textId="19F63BFD" w:rsidR="006F0504" w:rsidRPr="00222AAB" w:rsidRDefault="006F0504">
      <w:pPr>
        <w:pStyle w:val="FootnoteText"/>
        <w:rPr>
          <w:rFonts w:cstheme="minorHAnsi"/>
        </w:rPr>
      </w:pPr>
      <w:r>
        <w:rPr>
          <w:rStyle w:val="FootnoteReference"/>
          <w:rFonts w:cstheme="minorHAnsi"/>
          <w:sz w:val="18"/>
        </w:rPr>
        <w:footnoteRef/>
      </w:r>
      <w:r>
        <w:t xml:space="preserve"> </w:t>
      </w:r>
      <w:r>
        <w:tab/>
        <w:t xml:space="preserve">Kako je definirano u DELEGIRANOJ UREDBI KOMISIJE (EU) br. 528/2014 </w:t>
      </w:r>
      <w:proofErr w:type="spellStart"/>
      <w:r>
        <w:t>оd</w:t>
      </w:r>
      <w:proofErr w:type="spellEnd"/>
      <w:r>
        <w:t xml:space="preserve"> 12. ožujka 2014. o dopuni Uredbe (EU) br. 575/2013 Europskog parlamenta i Vijeća u pogledu regulatornih tehničkih standarda za rizike osim delta-rizika za opcije u standardiziranom pristupu tržišnom riziku (SL L 148, 20.5.2014., str. 29.).</w:t>
      </w:r>
    </w:p>
  </w:footnote>
  <w:footnote w:id="47">
    <w:p w14:paraId="6D71BD4E" w14:textId="3F80B846" w:rsidR="006F0504" w:rsidRPr="00222AAB" w:rsidRDefault="006F0504">
      <w:pPr>
        <w:pStyle w:val="FootnoteText"/>
        <w:rPr>
          <w:rFonts w:cstheme="minorHAnsi"/>
        </w:rPr>
      </w:pPr>
      <w:r>
        <w:rPr>
          <w:rStyle w:val="FootnoteReference"/>
          <w:rFonts w:cstheme="minorHAnsi"/>
          <w:sz w:val="18"/>
        </w:rPr>
        <w:footnoteRef/>
      </w:r>
      <w:r>
        <w:t xml:space="preserve"> </w:t>
      </w:r>
      <w:r>
        <w:tab/>
        <w:t xml:space="preserve">Kako je definirano u DELEGIRANOJ UREDBI KOMISIJE (EU) br. 528/2014 </w:t>
      </w:r>
      <w:proofErr w:type="spellStart"/>
      <w:r>
        <w:t>оd</w:t>
      </w:r>
      <w:proofErr w:type="spellEnd"/>
      <w:r>
        <w:t xml:space="preserve"> 12. ožujka 2014. o dopuni Uredbe (EU) br. 575/2013 Europskog parlamenta i Vijeća u pogledu regulatornih tehničkih standarda za rizike osim delta-rizika za opcije u standardiziranom pristupu tržišnom riziku (SL L 148, 20.5.2014., str. 29.).</w:t>
      </w:r>
    </w:p>
  </w:footnote>
  <w:footnote w:id="48">
    <w:p w14:paraId="1D6CBC8D" w14:textId="38F56683" w:rsidR="006F0504" w:rsidRPr="00222AAB" w:rsidRDefault="006F0504">
      <w:pPr>
        <w:pStyle w:val="FootnoteText"/>
        <w:rPr>
          <w:rFonts w:cstheme="minorHAnsi"/>
        </w:rPr>
      </w:pPr>
      <w:r>
        <w:rPr>
          <w:rStyle w:val="FootnoteReference"/>
          <w:rFonts w:cstheme="minorHAnsi"/>
          <w:sz w:val="18"/>
        </w:rPr>
        <w:footnoteRef/>
      </w:r>
      <w:r>
        <w:t xml:space="preserve"> </w:t>
      </w:r>
      <w:r>
        <w:tab/>
        <w:t>Vidjeti prikaz Bazelskog odbora za nadzor banaka Banke za međunarodn</w:t>
      </w:r>
      <w:r w:rsidR="00AD6545">
        <w:t>e namire u zahtjevima za objavu</w:t>
      </w:r>
      <w:r>
        <w:rPr>
          <w:i/>
        </w:rPr>
        <w:t xml:space="preserve"> DIS 99 </w:t>
      </w:r>
      <w:proofErr w:type="spellStart"/>
      <w:r>
        <w:rPr>
          <w:i/>
        </w:rPr>
        <w:t>Worked</w:t>
      </w:r>
      <w:proofErr w:type="spellEnd"/>
      <w:r>
        <w:rPr>
          <w:i/>
        </w:rPr>
        <w:t xml:space="preserve"> </w:t>
      </w:r>
      <w:proofErr w:type="spellStart"/>
      <w:r>
        <w:rPr>
          <w:i/>
        </w:rPr>
        <w:t>examples</w:t>
      </w:r>
      <w:proofErr w:type="spellEnd"/>
      <w:r>
        <w:t xml:space="preserve"> iz prosinca 2019.</w:t>
      </w:r>
    </w:p>
    <w:p w14:paraId="065D9CE7" w14:textId="17A04201" w:rsidR="006F0504" w:rsidRPr="00222AAB" w:rsidRDefault="006F0504">
      <w:pPr>
        <w:pStyle w:val="FootnoteText"/>
        <w:rPr>
          <w:rFonts w:cstheme="minorHAnsi"/>
        </w:rPr>
      </w:pPr>
    </w:p>
  </w:footnote>
  <w:footnote w:id="49">
    <w:p w14:paraId="7B9D7DCE" w14:textId="11FC0C0C" w:rsidR="006F0504" w:rsidRPr="00222AAB" w:rsidRDefault="006F0504">
      <w:pPr>
        <w:pStyle w:val="FootnoteText"/>
        <w:rPr>
          <w:rFonts w:cstheme="minorHAnsi"/>
        </w:rPr>
      </w:pPr>
      <w:r>
        <w:rPr>
          <w:rStyle w:val="FootnoteReference"/>
          <w:rFonts w:cstheme="minorHAnsi"/>
          <w:sz w:val="18"/>
        </w:rPr>
        <w:footnoteRef/>
      </w:r>
      <w:r>
        <w:t xml:space="preserve"> </w:t>
      </w:r>
      <w:r>
        <w:tab/>
        <w:t>Uredba (EU) br. 575/2013 Europskog parlamenta i Vijeća od 26. lipnja 2013. o bonitetnim zahtjevima za kreditne institucije i investicijska društva i o izmjeni Uredbe (EU) br. 648/2012 (</w:t>
      </w:r>
      <w:hyperlink r:id="rId16" w:history="1">
        <w:r>
          <w:rPr>
            <w:rStyle w:val="Hyperlink"/>
          </w:rPr>
          <w:t>SL L 176, 27.6.2013., str. 1.</w:t>
        </w:r>
      </w:hyperlink>
      <w:r>
        <w:t>).</w:t>
      </w:r>
    </w:p>
    <w:p w14:paraId="013701B3" w14:textId="2DF11389" w:rsidR="006F0504" w:rsidRPr="00222AAB" w:rsidRDefault="006F0504">
      <w:pPr>
        <w:pStyle w:val="FootnoteText"/>
        <w:rPr>
          <w:rFonts w:cstheme="minorHAnsi"/>
        </w:rPr>
      </w:pPr>
    </w:p>
  </w:footnote>
  <w:footnote w:id="50">
    <w:p w14:paraId="11FA91EC" w14:textId="0E0C9483" w:rsidR="006F0504" w:rsidRPr="00222AAB" w:rsidRDefault="006F0504">
      <w:pPr>
        <w:pStyle w:val="FootnoteText"/>
        <w:rPr>
          <w:rFonts w:cstheme="minorHAnsi"/>
        </w:rPr>
      </w:pPr>
      <w:r>
        <w:rPr>
          <w:rStyle w:val="FootnoteReference"/>
          <w:rFonts w:cstheme="minorHAnsi"/>
          <w:sz w:val="18"/>
        </w:rPr>
        <w:footnoteRef/>
      </w:r>
      <w:r>
        <w:t xml:space="preserve"> </w:t>
      </w:r>
      <w:r>
        <w:tab/>
        <w:t>Uredba (EU) br. 575/2013 Europskog parlamenta i Vijeća od 26. lipnja 2013. o bonitetnim zahtjevima za kreditne institucije i investicijska društva i o izmjeni Uredbe (EU) br. 648/2012 (</w:t>
      </w:r>
      <w:hyperlink r:id="rId17" w:history="1">
        <w:r>
          <w:rPr>
            <w:rStyle w:val="Hyperlink"/>
          </w:rPr>
          <w:t>SL L 176, 27.6.2013., str. 1.</w:t>
        </w:r>
      </w:hyperlink>
      <w:r>
        <w:t>).</w:t>
      </w:r>
    </w:p>
    <w:p w14:paraId="21C8047D" w14:textId="443E7EDB" w:rsidR="006F0504" w:rsidRPr="00222AAB" w:rsidRDefault="006F0504">
      <w:pPr>
        <w:pStyle w:val="FootnoteText"/>
        <w:rPr>
          <w:rFonts w:cstheme="minorHAnsi"/>
        </w:rPr>
      </w:pPr>
    </w:p>
  </w:footnote>
  <w:footnote w:id="51">
    <w:p w14:paraId="1160ECDB" w14:textId="7E626E3F" w:rsidR="006F0504" w:rsidRPr="00222AAB" w:rsidRDefault="006F0504">
      <w:pPr>
        <w:pStyle w:val="FootnoteText"/>
        <w:rPr>
          <w:rFonts w:cstheme="minorHAnsi"/>
        </w:rPr>
      </w:pPr>
      <w:r>
        <w:rPr>
          <w:rStyle w:val="FootnoteReference"/>
          <w:rFonts w:cstheme="minorHAnsi"/>
          <w:sz w:val="18"/>
        </w:rPr>
        <w:footnoteRef/>
      </w:r>
      <w:r>
        <w:t xml:space="preserve"> </w:t>
      </w:r>
      <w:r>
        <w:tab/>
        <w:t>DIREKTIVA 2013/36/EU EUROPSKOG PARLAMENTA I VIJEĆA od 26. lipnja 2013. o pristupanju djelatnosti kreditnih institucija i bonitetnom nadzoru nad kreditnim institucijama i investicijskim društvima, izmjeni Direktive 2002/87/EZ te stavljanju izvan snage direktiva 2006/48/EZ i 2006/49/EZ (SL L 176, 27.6.2013., str. 338.).</w:t>
      </w:r>
    </w:p>
  </w:footnote>
  <w:footnote w:id="52">
    <w:p w14:paraId="4E6B3EF0" w14:textId="30816868" w:rsidR="006F0504" w:rsidRPr="00346640" w:rsidRDefault="006F0504" w:rsidP="00346640">
      <w:pPr>
        <w:pStyle w:val="FootnoteText"/>
        <w:rPr>
          <w:rFonts w:cstheme="minorHAnsi"/>
        </w:rPr>
      </w:pPr>
      <w:r>
        <w:rPr>
          <w:rStyle w:val="FootnoteReference"/>
          <w:rFonts w:cstheme="minorHAnsi"/>
          <w:sz w:val="18"/>
        </w:rPr>
        <w:footnoteRef/>
      </w:r>
      <w:r>
        <w:t xml:space="preserve"> </w:t>
      </w:r>
      <w:r>
        <w:tab/>
        <w:t xml:space="preserve">DELEGIRANA UREDBA KOMISIJE (EU) br. 604/2014 </w:t>
      </w:r>
      <w:proofErr w:type="spellStart"/>
      <w:r>
        <w:t>оd</w:t>
      </w:r>
      <w:proofErr w:type="spellEnd"/>
      <w:r>
        <w:t xml:space="preserve"> 4. ožujka 2014. o dopuni Direktive 2013/36/EU Europskog parlamenta i Vijeća u vezi s regulatornim tehničkim standardima u odnosu na kvalitativne i odgovarajuće kvantitativne kriterije za utvrđivanje kategorija zaposlenika čije profesionalne aktivnosti imaju značajan utjecaj na profil rizičnosti institucije (SL L 167, 6.6.2014., str. 30.).</w:t>
      </w:r>
    </w:p>
  </w:footnote>
  <w:footnote w:id="53">
    <w:p w14:paraId="1CD04175" w14:textId="723CAEBC" w:rsidR="006F0504" w:rsidRDefault="006F0504">
      <w:pPr>
        <w:pStyle w:val="FootnoteText"/>
      </w:pPr>
      <w:r>
        <w:rPr>
          <w:rStyle w:val="FootnoteReference"/>
        </w:rPr>
        <w:footnoteRef/>
      </w:r>
      <w:r>
        <w:t xml:space="preserve"> Direktiva 2011/61/EU Europskog parlamenta i Vijeća od 8. lipnja 2011. o upraviteljima alternativnih investicijskih fondova i izmjeni direktiva 2003/41/EZ i 2009/65/EZ te uredbi (EZ) br. 1060/2009 i (EU) br. 1095/2010 (SL L 174, 1.7.2011., str. 1.).</w:t>
      </w:r>
    </w:p>
  </w:footnote>
  <w:footnote w:id="54">
    <w:p w14:paraId="37D9562D" w14:textId="7982B55C" w:rsidR="006F0504" w:rsidRPr="00222AAB" w:rsidRDefault="006F0504">
      <w:pPr>
        <w:pStyle w:val="FootnoteText"/>
        <w:rPr>
          <w:rFonts w:cstheme="minorHAnsi"/>
        </w:rPr>
      </w:pPr>
      <w:r>
        <w:rPr>
          <w:rStyle w:val="FootnoteReference"/>
          <w:rFonts w:cstheme="minorHAnsi"/>
          <w:sz w:val="18"/>
        </w:rPr>
        <w:footnoteRef/>
      </w:r>
      <w:r>
        <w:t xml:space="preserve"> </w:t>
      </w:r>
      <w:r>
        <w:tab/>
        <w:t>Uredba (EU) br. 575/2013 Europskog parlamenta i Vijeća od 26. lipnja 2013. o bonitetnim zahtjevima za kreditne institucije i investicijska društva i o izmjeni Uredbe (EU) br. 648/2012 (</w:t>
      </w:r>
      <w:hyperlink r:id="rId18" w:history="1">
        <w:r>
          <w:rPr>
            <w:rStyle w:val="Hyperlink"/>
          </w:rPr>
          <w:t>SL L 176, 27.6.2013., str. 1.</w:t>
        </w:r>
      </w:hyperlink>
      <w:r>
        <w:t>).</w:t>
      </w:r>
    </w:p>
  </w:footnote>
  <w:footnote w:id="55">
    <w:p w14:paraId="27CBD7E9" w14:textId="2674818F" w:rsidR="006F0504" w:rsidRPr="00222AAB" w:rsidRDefault="006F0504">
      <w:pPr>
        <w:pStyle w:val="FootnoteText"/>
        <w:rPr>
          <w:rFonts w:cstheme="minorHAnsi"/>
        </w:rPr>
      </w:pPr>
      <w:r>
        <w:rPr>
          <w:rStyle w:val="FootnoteReference"/>
          <w:rFonts w:cstheme="minorHAnsi"/>
          <w:sz w:val="18"/>
        </w:rPr>
        <w:footnoteRef/>
      </w:r>
      <w:r>
        <w:t xml:space="preserve"> </w:t>
      </w:r>
      <w:r>
        <w:tab/>
        <w:t xml:space="preserve">PROVEDBENA UREDBA KOMISIJE (EU) br. 680/2014 </w:t>
      </w:r>
      <w:proofErr w:type="spellStart"/>
      <w:r>
        <w:t>оd</w:t>
      </w:r>
      <w:proofErr w:type="spellEnd"/>
      <w:r>
        <w:t xml:space="preserve"> 16. travnja 2014. o utvrđivanju provedbenih tehničkih standarda o nadzornom izvješćivanju institucija u skladu s Uredbom (EU) br. 575/2013 Europskog parlamenta i Vijeća (SL L 191, 28.6.2014., str. 1.).</w:t>
      </w:r>
    </w:p>
  </w:footnote>
  <w:footnote w:id="56">
    <w:p w14:paraId="5226DE22" w14:textId="5E9B1D98" w:rsidR="006F0504" w:rsidRPr="00222AAB" w:rsidRDefault="006F0504">
      <w:pPr>
        <w:pStyle w:val="FootnoteText"/>
        <w:rPr>
          <w:rFonts w:cstheme="minorHAnsi"/>
        </w:rPr>
      </w:pPr>
      <w:r>
        <w:rPr>
          <w:rStyle w:val="FootnoteReference"/>
          <w:rFonts w:cstheme="minorHAnsi"/>
          <w:sz w:val="18"/>
        </w:rPr>
        <w:footnoteRef/>
      </w:r>
      <w:r>
        <w:t xml:space="preserve"> </w:t>
      </w:r>
      <w:r>
        <w:tab/>
        <w:t>UREDBA (EU) BR. 1071/2013 EUROPSKE SREDIŠNJE BANKE od 24. rujna 2013. o bilanci sektora monetarnih financijskih institucija (ESB/2013/33) (SL L 297, 7.11.2013., str. 1.).</w:t>
      </w:r>
    </w:p>
  </w:footnote>
  <w:footnote w:id="57">
    <w:p w14:paraId="3824AC0C" w14:textId="460A8FCE" w:rsidR="006F0504" w:rsidRPr="00222AAB" w:rsidRDefault="006F0504">
      <w:pPr>
        <w:pStyle w:val="FootnoteText"/>
        <w:rPr>
          <w:rFonts w:cstheme="minorHAnsi"/>
        </w:rPr>
      </w:pPr>
      <w:r>
        <w:rPr>
          <w:rStyle w:val="FootnoteReference"/>
          <w:rFonts w:cstheme="minorHAnsi"/>
          <w:sz w:val="18"/>
        </w:rPr>
        <w:footnoteRef/>
      </w:r>
      <w:r>
        <w:t xml:space="preserve"> </w:t>
      </w:r>
      <w:r>
        <w:tab/>
        <w:t>DIREKTIVA 2009/65/EZ EUROPSKOG PARLAMENTA I VIJEĆA od 13. srpnja 2009. o usklađivanju zakona i drugih propisa u odnosu na subjekte za zajednička ulaganja u prenosive vrijednosne papire (UCITS) (SL L 302, 17.11.2009. str. 32.).</w:t>
      </w:r>
    </w:p>
  </w:footnote>
  <w:footnote w:id="58">
    <w:p w14:paraId="71E91F33" w14:textId="321BDBF9" w:rsidR="006F0504" w:rsidRPr="00222AAB" w:rsidRDefault="006F0504">
      <w:pPr>
        <w:pStyle w:val="FootnoteText"/>
        <w:rPr>
          <w:rFonts w:cstheme="minorHAnsi"/>
        </w:rPr>
      </w:pPr>
      <w:r>
        <w:rPr>
          <w:rStyle w:val="FootnoteReference"/>
          <w:rFonts w:cstheme="minorHAnsi"/>
          <w:sz w:val="18"/>
        </w:rPr>
        <w:footnoteRef/>
      </w:r>
      <w:r>
        <w:t xml:space="preserve"> </w:t>
      </w:r>
      <w:r>
        <w:tab/>
        <w:t xml:space="preserve">DELEGIRANA UREDBA KOMISIJE (EU) 2015/61 </w:t>
      </w:r>
      <w:proofErr w:type="spellStart"/>
      <w:r>
        <w:t>оd</w:t>
      </w:r>
      <w:proofErr w:type="spellEnd"/>
      <w:r>
        <w:t xml:space="preserve"> 10. listopada 2014. o dopuni Uredbe (EU) br. 575/2013 Europskog parlamenta i Vijeća u pogledu zahtjeva za likvidnosnu pokrivenost kreditnih institucija (SL L 11, 17.1.2015., str. 1.).</w:t>
      </w:r>
    </w:p>
  </w:footnote>
  <w:footnote w:id="59">
    <w:p w14:paraId="175ED560" w14:textId="6C343BA9" w:rsidR="006F0504" w:rsidRPr="00346640" w:rsidRDefault="006F0504">
      <w:pPr>
        <w:pStyle w:val="FootnoteText"/>
        <w:rPr>
          <w:rFonts w:cstheme="minorHAnsi"/>
        </w:rPr>
      </w:pPr>
      <w:r>
        <w:rPr>
          <w:rStyle w:val="FootnoteReference"/>
          <w:rFonts w:cstheme="minorHAnsi"/>
          <w:sz w:val="18"/>
        </w:rPr>
        <w:footnoteRef/>
      </w:r>
      <w:r>
        <w:t xml:space="preserve"> </w:t>
      </w:r>
      <w:r>
        <w:tab/>
        <w:t>Direktiva 2013/34/EU Europskog parlamenta i Vijeća od 26. lipnja 2013. o godišnjim financijskim izvještajima, konsolidiranim financijskim izvještajima i povezanim izvješćima za određene vrste poduzeća, o izmjeni Direktive 2006/43/EZ Europskog parlamenta i Vijeća i o stavljanju izvan snage direktiva Vijeća 78/660/EEZ i 83/349/EEZ (SL L 182, 29.6.2013., str.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91064" w14:textId="77777777" w:rsidR="006F0504" w:rsidRDefault="00AD6545">
    <w:sdt>
      <w:sdtPr>
        <w:id w:val="-1905980668"/>
        <w:temporary/>
        <w:showingPlcHdr/>
      </w:sdtPr>
      <w:sdtEndPr/>
      <w:sdtContent>
        <w:r w:rsidR="006F0504">
          <w:t>[Type text]</w:t>
        </w:r>
      </w:sdtContent>
    </w:sdt>
    <w:r w:rsidR="006F0504">
      <w:ptab w:relativeTo="margin" w:alignment="center" w:leader="none"/>
    </w:r>
    <w:sdt>
      <w:sdtPr>
        <w:id w:val="-476227318"/>
        <w:temporary/>
        <w:showingPlcHdr/>
      </w:sdtPr>
      <w:sdtEndPr/>
      <w:sdtContent>
        <w:r w:rsidR="006F0504">
          <w:t>[Type text]</w:t>
        </w:r>
      </w:sdtContent>
    </w:sdt>
    <w:r w:rsidR="006F0504">
      <w:ptab w:relativeTo="margin" w:alignment="right" w:leader="none"/>
    </w:r>
    <w:sdt>
      <w:sdtPr>
        <w:id w:val="807362839"/>
        <w:temporary/>
        <w:showingPlcHdr/>
      </w:sdtPr>
      <w:sdtEndPr/>
      <w:sdtContent>
        <w:r w:rsidR="006F0504">
          <w:t>[Type text]</w:t>
        </w:r>
      </w:sdtContent>
    </w:sdt>
  </w:p>
  <w:p w14:paraId="3846A006" w14:textId="77777777" w:rsidR="006F0504" w:rsidRDefault="006F050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7A80E" w14:textId="77777777" w:rsidR="006F0504" w:rsidRDefault="006F05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DC0F8" w14:textId="5FEBDE63" w:rsidR="006F0504" w:rsidRDefault="006F0504" w:rsidP="00E677EF">
    <w:pPr>
      <w:pStyle w:val="Runningtitle"/>
    </w:pPr>
    <w:r>
      <w:t>running title comes here in running title style</w:t>
    </w:r>
    <w:r>
      <w:rPr>
        <w:noProof/>
        <w:lang w:val="en-IE" w:eastAsia="en-IE"/>
      </w:rPr>
      <w:drawing>
        <wp:anchor distT="0" distB="0" distL="114300" distR="114300" simplePos="0" relativeHeight="251655168"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5C2AE56"/>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3"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6"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19"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0"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7C3122A"/>
    <w:multiLevelType w:val="hybridMultilevel"/>
    <w:tmpl w:val="1FBA9C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5"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8"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1"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1" w15:restartNumberingAfterBreak="0">
    <w:nsid w:val="445521B9"/>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6"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56"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8"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2"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4"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7"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3"/>
  </w:num>
  <w:num w:numId="2">
    <w:abstractNumId w:val="6"/>
  </w:num>
  <w:num w:numId="3">
    <w:abstractNumId w:val="27"/>
  </w:num>
  <w:num w:numId="4">
    <w:abstractNumId w:val="33"/>
  </w:num>
  <w:num w:numId="5">
    <w:abstractNumId w:val="65"/>
  </w:num>
  <w:num w:numId="6">
    <w:abstractNumId w:val="2"/>
  </w:num>
  <w:num w:numId="7">
    <w:abstractNumId w:val="63"/>
  </w:num>
  <w:num w:numId="8">
    <w:abstractNumId w:val="48"/>
  </w:num>
  <w:num w:numId="9">
    <w:abstractNumId w:val="1"/>
  </w:num>
  <w:num w:numId="10">
    <w:abstractNumId w:val="24"/>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41"/>
  </w:num>
  <w:num w:numId="15">
    <w:abstractNumId w:val="10"/>
  </w:num>
  <w:num w:numId="16">
    <w:abstractNumId w:val="69"/>
  </w:num>
  <w:num w:numId="17">
    <w:abstractNumId w:val="52"/>
  </w:num>
  <w:num w:numId="18">
    <w:abstractNumId w:val="14"/>
  </w:num>
  <w:num w:numId="19">
    <w:abstractNumId w:val="61"/>
  </w:num>
  <w:num w:numId="20">
    <w:abstractNumId w:val="15"/>
  </w:num>
  <w:num w:numId="21">
    <w:abstractNumId w:val="17"/>
  </w:num>
  <w:num w:numId="22">
    <w:abstractNumId w:val="47"/>
  </w:num>
  <w:num w:numId="23">
    <w:abstractNumId w:val="62"/>
  </w:num>
  <w:num w:numId="24">
    <w:abstractNumId w:val="4"/>
  </w:num>
  <w:num w:numId="25">
    <w:abstractNumId w:val="26"/>
  </w:num>
  <w:num w:numId="26">
    <w:abstractNumId w:val="46"/>
  </w:num>
  <w:num w:numId="27">
    <w:abstractNumId w:val="23"/>
  </w:num>
  <w:num w:numId="28">
    <w:abstractNumId w:val="57"/>
  </w:num>
  <w:num w:numId="29">
    <w:abstractNumId w:val="13"/>
  </w:num>
  <w:num w:numId="30">
    <w:abstractNumId w:val="0"/>
  </w:num>
  <w:num w:numId="31">
    <w:abstractNumId w:val="7"/>
  </w:num>
  <w:num w:numId="32">
    <w:abstractNumId w:val="50"/>
  </w:num>
  <w:num w:numId="33">
    <w:abstractNumId w:val="8"/>
  </w:num>
  <w:num w:numId="34">
    <w:abstractNumId w:val="36"/>
  </w:num>
  <w:num w:numId="35">
    <w:abstractNumId w:val="19"/>
  </w:num>
  <w:num w:numId="36">
    <w:abstractNumId w:val="66"/>
  </w:num>
  <w:num w:numId="37">
    <w:abstractNumId w:val="40"/>
  </w:num>
  <w:num w:numId="38">
    <w:abstractNumId w:val="39"/>
  </w:num>
  <w:num w:numId="39">
    <w:abstractNumId w:val="31"/>
  </w:num>
  <w:num w:numId="40">
    <w:abstractNumId w:val="49"/>
  </w:num>
  <w:num w:numId="41">
    <w:abstractNumId w:val="58"/>
  </w:num>
  <w:num w:numId="4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num>
  <w:num w:numId="45">
    <w:abstractNumId w:val="12"/>
  </w:num>
  <w:num w:numId="46">
    <w:abstractNumId w:val="35"/>
  </w:num>
  <w:num w:numId="47">
    <w:abstractNumId w:val="37"/>
  </w:num>
  <w:num w:numId="48">
    <w:abstractNumId w:val="42"/>
  </w:num>
  <w:num w:numId="49">
    <w:abstractNumId w:val="28"/>
  </w:num>
  <w:num w:numId="50">
    <w:abstractNumId w:val="54"/>
  </w:num>
  <w:num w:numId="51">
    <w:abstractNumId w:val="16"/>
  </w:num>
  <w:num w:numId="52">
    <w:abstractNumId w:val="68"/>
  </w:num>
  <w:num w:numId="53">
    <w:abstractNumId w:val="60"/>
  </w:num>
  <w:num w:numId="54">
    <w:abstractNumId w:val="45"/>
  </w:num>
  <w:num w:numId="55">
    <w:abstractNumId w:val="59"/>
  </w:num>
  <w:num w:numId="56">
    <w:abstractNumId w:val="67"/>
  </w:num>
  <w:num w:numId="57">
    <w:abstractNumId w:val="5"/>
  </w:num>
  <w:num w:numId="58">
    <w:abstractNumId w:val="44"/>
  </w:num>
  <w:num w:numId="59">
    <w:abstractNumId w:val="29"/>
  </w:num>
  <w:num w:numId="60">
    <w:abstractNumId w:val="21"/>
  </w:num>
  <w:num w:numId="61">
    <w:abstractNumId w:val="30"/>
  </w:num>
  <w:num w:numId="62">
    <w:abstractNumId w:val="3"/>
  </w:num>
  <w:num w:numId="63">
    <w:abstractNumId w:val="20"/>
  </w:num>
  <w:num w:numId="64">
    <w:abstractNumId w:val="25"/>
  </w:num>
  <w:num w:numId="65">
    <w:abstractNumId w:val="9"/>
  </w:num>
  <w:num w:numId="66">
    <w:abstractNumId w:val="53"/>
  </w:num>
  <w:num w:numId="67">
    <w:abstractNumId w:val="64"/>
  </w:num>
  <w:num w:numId="68">
    <w:abstractNumId w:val="56"/>
  </w:num>
  <w:num w:numId="69">
    <w:abstractNumId w:val="32"/>
  </w:num>
  <w:num w:numId="70">
    <w:abstractNumId w:val="38"/>
  </w:num>
  <w:num w:numId="71">
    <w:abstractNumId w:val="34"/>
  </w:num>
  <w:num w:numId="72">
    <w:abstractNumId w:val="1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removePersonalInformation/>
  <w:removeDateAndTime/>
  <w:embedSystemFonts/>
  <w:hideGrammaticalError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es-ES" w:vendorID="64" w:dllVersion="131078" w:nlCheck="1" w:checkStyle="0"/>
  <w:proofState w:spelling="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399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BF5"/>
    <w:rsid w:val="00003F50"/>
    <w:rsid w:val="00004C00"/>
    <w:rsid w:val="000056A3"/>
    <w:rsid w:val="00013281"/>
    <w:rsid w:val="00015DE4"/>
    <w:rsid w:val="000231B7"/>
    <w:rsid w:val="0002717D"/>
    <w:rsid w:val="00027CA0"/>
    <w:rsid w:val="00030D65"/>
    <w:rsid w:val="00032609"/>
    <w:rsid w:val="00040129"/>
    <w:rsid w:val="000405FC"/>
    <w:rsid w:val="00045BB0"/>
    <w:rsid w:val="000506BF"/>
    <w:rsid w:val="000506DE"/>
    <w:rsid w:val="00051895"/>
    <w:rsid w:val="00052C7E"/>
    <w:rsid w:val="000540E0"/>
    <w:rsid w:val="000561D1"/>
    <w:rsid w:val="00060F40"/>
    <w:rsid w:val="00062830"/>
    <w:rsid w:val="00062937"/>
    <w:rsid w:val="000638BD"/>
    <w:rsid w:val="000646F8"/>
    <w:rsid w:val="00064A87"/>
    <w:rsid w:val="00066A9A"/>
    <w:rsid w:val="00075A38"/>
    <w:rsid w:val="000762E4"/>
    <w:rsid w:val="00076626"/>
    <w:rsid w:val="000774B3"/>
    <w:rsid w:val="00080665"/>
    <w:rsid w:val="00082163"/>
    <w:rsid w:val="00083C33"/>
    <w:rsid w:val="000843CD"/>
    <w:rsid w:val="00084D8B"/>
    <w:rsid w:val="00084EED"/>
    <w:rsid w:val="0008757E"/>
    <w:rsid w:val="000935C4"/>
    <w:rsid w:val="000A1AF7"/>
    <w:rsid w:val="000A1C81"/>
    <w:rsid w:val="000A2565"/>
    <w:rsid w:val="000A3851"/>
    <w:rsid w:val="000A3A4A"/>
    <w:rsid w:val="000A5FC4"/>
    <w:rsid w:val="000A6D95"/>
    <w:rsid w:val="000A7015"/>
    <w:rsid w:val="000B0073"/>
    <w:rsid w:val="000B04C4"/>
    <w:rsid w:val="000B1645"/>
    <w:rsid w:val="000B2958"/>
    <w:rsid w:val="000B3C05"/>
    <w:rsid w:val="000B6D18"/>
    <w:rsid w:val="000C1BEC"/>
    <w:rsid w:val="000C288C"/>
    <w:rsid w:val="000C3CA2"/>
    <w:rsid w:val="000C3FD6"/>
    <w:rsid w:val="000C5A8A"/>
    <w:rsid w:val="000C7FD8"/>
    <w:rsid w:val="000D1FC3"/>
    <w:rsid w:val="000D3626"/>
    <w:rsid w:val="000D68DC"/>
    <w:rsid w:val="000D7A44"/>
    <w:rsid w:val="000E0C27"/>
    <w:rsid w:val="000E31D8"/>
    <w:rsid w:val="000E6D15"/>
    <w:rsid w:val="000E6E57"/>
    <w:rsid w:val="000F2F6E"/>
    <w:rsid w:val="000F33D3"/>
    <w:rsid w:val="000F3E72"/>
    <w:rsid w:val="000F607B"/>
    <w:rsid w:val="000F6495"/>
    <w:rsid w:val="000F6FD8"/>
    <w:rsid w:val="000F7313"/>
    <w:rsid w:val="000F7E65"/>
    <w:rsid w:val="0010160A"/>
    <w:rsid w:val="001023C0"/>
    <w:rsid w:val="00105DF4"/>
    <w:rsid w:val="00106155"/>
    <w:rsid w:val="001061FA"/>
    <w:rsid w:val="00106D1E"/>
    <w:rsid w:val="0011148D"/>
    <w:rsid w:val="0011517F"/>
    <w:rsid w:val="00115E0F"/>
    <w:rsid w:val="00120BFF"/>
    <w:rsid w:val="00121BB0"/>
    <w:rsid w:val="00121E46"/>
    <w:rsid w:val="0012686C"/>
    <w:rsid w:val="0013090C"/>
    <w:rsid w:val="00131C5D"/>
    <w:rsid w:val="001359DC"/>
    <w:rsid w:val="00141684"/>
    <w:rsid w:val="001418CA"/>
    <w:rsid w:val="00142ACD"/>
    <w:rsid w:val="00142DF6"/>
    <w:rsid w:val="00145D24"/>
    <w:rsid w:val="00150734"/>
    <w:rsid w:val="00151991"/>
    <w:rsid w:val="00152832"/>
    <w:rsid w:val="00154596"/>
    <w:rsid w:val="00155C96"/>
    <w:rsid w:val="00155EF6"/>
    <w:rsid w:val="001600FC"/>
    <w:rsid w:val="001613AA"/>
    <w:rsid w:val="0016228C"/>
    <w:rsid w:val="00162769"/>
    <w:rsid w:val="001639AB"/>
    <w:rsid w:val="0016737A"/>
    <w:rsid w:val="00172007"/>
    <w:rsid w:val="0017446F"/>
    <w:rsid w:val="00177CB9"/>
    <w:rsid w:val="001828B1"/>
    <w:rsid w:val="001834D4"/>
    <w:rsid w:val="00184DBF"/>
    <w:rsid w:val="00185341"/>
    <w:rsid w:val="00186588"/>
    <w:rsid w:val="00187C4B"/>
    <w:rsid w:val="00192287"/>
    <w:rsid w:val="00194611"/>
    <w:rsid w:val="001A016C"/>
    <w:rsid w:val="001A0C8D"/>
    <w:rsid w:val="001A2A81"/>
    <w:rsid w:val="001A32A3"/>
    <w:rsid w:val="001A5BD4"/>
    <w:rsid w:val="001A70A8"/>
    <w:rsid w:val="001A79EB"/>
    <w:rsid w:val="001B05D2"/>
    <w:rsid w:val="001B0CBA"/>
    <w:rsid w:val="001B2C0D"/>
    <w:rsid w:val="001B6017"/>
    <w:rsid w:val="001B7A0B"/>
    <w:rsid w:val="001B7EB3"/>
    <w:rsid w:val="001C05E6"/>
    <w:rsid w:val="001C1FD9"/>
    <w:rsid w:val="001C2D18"/>
    <w:rsid w:val="001C2E4C"/>
    <w:rsid w:val="001C5BC2"/>
    <w:rsid w:val="001C76ED"/>
    <w:rsid w:val="001D0179"/>
    <w:rsid w:val="001D1E81"/>
    <w:rsid w:val="001D5526"/>
    <w:rsid w:val="001D671B"/>
    <w:rsid w:val="001D6D9D"/>
    <w:rsid w:val="001D6E22"/>
    <w:rsid w:val="001D723A"/>
    <w:rsid w:val="001E0565"/>
    <w:rsid w:val="001E06A3"/>
    <w:rsid w:val="001E08AC"/>
    <w:rsid w:val="001E1188"/>
    <w:rsid w:val="001E2AB8"/>
    <w:rsid w:val="001E3599"/>
    <w:rsid w:val="001E4698"/>
    <w:rsid w:val="001E7B53"/>
    <w:rsid w:val="001F0720"/>
    <w:rsid w:val="001F13DC"/>
    <w:rsid w:val="001F16BB"/>
    <w:rsid w:val="001F18AA"/>
    <w:rsid w:val="001F1CB9"/>
    <w:rsid w:val="001F3BDC"/>
    <w:rsid w:val="001F7501"/>
    <w:rsid w:val="002003D9"/>
    <w:rsid w:val="00200A65"/>
    <w:rsid w:val="00201A16"/>
    <w:rsid w:val="00203C1C"/>
    <w:rsid w:val="00205139"/>
    <w:rsid w:val="00205878"/>
    <w:rsid w:val="00206BB0"/>
    <w:rsid w:val="002110ED"/>
    <w:rsid w:val="00213D7B"/>
    <w:rsid w:val="00214DEC"/>
    <w:rsid w:val="00214F5B"/>
    <w:rsid w:val="00222AAB"/>
    <w:rsid w:val="00223D0E"/>
    <w:rsid w:val="00224293"/>
    <w:rsid w:val="00224761"/>
    <w:rsid w:val="00224A3F"/>
    <w:rsid w:val="00224D96"/>
    <w:rsid w:val="00226B9B"/>
    <w:rsid w:val="002306C7"/>
    <w:rsid w:val="00232DF5"/>
    <w:rsid w:val="0023633E"/>
    <w:rsid w:val="0023741B"/>
    <w:rsid w:val="00241BD8"/>
    <w:rsid w:val="002434B0"/>
    <w:rsid w:val="00251280"/>
    <w:rsid w:val="00251512"/>
    <w:rsid w:val="00251DE4"/>
    <w:rsid w:val="00253301"/>
    <w:rsid w:val="00254CA9"/>
    <w:rsid w:val="00254E82"/>
    <w:rsid w:val="00257472"/>
    <w:rsid w:val="00260404"/>
    <w:rsid w:val="00261F94"/>
    <w:rsid w:val="0026213C"/>
    <w:rsid w:val="002635C4"/>
    <w:rsid w:val="00265F47"/>
    <w:rsid w:val="00266A53"/>
    <w:rsid w:val="00266F94"/>
    <w:rsid w:val="0027418E"/>
    <w:rsid w:val="00275B5E"/>
    <w:rsid w:val="0027618C"/>
    <w:rsid w:val="002767AA"/>
    <w:rsid w:val="00277DFA"/>
    <w:rsid w:val="002804A6"/>
    <w:rsid w:val="00282104"/>
    <w:rsid w:val="0028290C"/>
    <w:rsid w:val="00290DA3"/>
    <w:rsid w:val="002921F0"/>
    <w:rsid w:val="00295952"/>
    <w:rsid w:val="002965CB"/>
    <w:rsid w:val="00296C53"/>
    <w:rsid w:val="00297196"/>
    <w:rsid w:val="00297D03"/>
    <w:rsid w:val="00297DC1"/>
    <w:rsid w:val="002A0424"/>
    <w:rsid w:val="002A0FF0"/>
    <w:rsid w:val="002A1EA1"/>
    <w:rsid w:val="002A3A19"/>
    <w:rsid w:val="002A5A3D"/>
    <w:rsid w:val="002A6C48"/>
    <w:rsid w:val="002B03F9"/>
    <w:rsid w:val="002B2D10"/>
    <w:rsid w:val="002B7ED3"/>
    <w:rsid w:val="002C0DCF"/>
    <w:rsid w:val="002C116A"/>
    <w:rsid w:val="002C2DE0"/>
    <w:rsid w:val="002C308A"/>
    <w:rsid w:val="002C33D2"/>
    <w:rsid w:val="002D0A46"/>
    <w:rsid w:val="002D1867"/>
    <w:rsid w:val="002D2E68"/>
    <w:rsid w:val="002D30B6"/>
    <w:rsid w:val="002D5589"/>
    <w:rsid w:val="002D56B7"/>
    <w:rsid w:val="002D5755"/>
    <w:rsid w:val="002D6BCB"/>
    <w:rsid w:val="002D7A65"/>
    <w:rsid w:val="002E24A1"/>
    <w:rsid w:val="002E327A"/>
    <w:rsid w:val="002F08A4"/>
    <w:rsid w:val="002F110A"/>
    <w:rsid w:val="002F1302"/>
    <w:rsid w:val="002F2009"/>
    <w:rsid w:val="002F610D"/>
    <w:rsid w:val="002F6FCE"/>
    <w:rsid w:val="002F7090"/>
    <w:rsid w:val="00300859"/>
    <w:rsid w:val="00300924"/>
    <w:rsid w:val="0030153F"/>
    <w:rsid w:val="003023DA"/>
    <w:rsid w:val="003025A8"/>
    <w:rsid w:val="00305345"/>
    <w:rsid w:val="00306353"/>
    <w:rsid w:val="00311D86"/>
    <w:rsid w:val="003120EC"/>
    <w:rsid w:val="003129B6"/>
    <w:rsid w:val="00313821"/>
    <w:rsid w:val="00314D6E"/>
    <w:rsid w:val="00320E57"/>
    <w:rsid w:val="003221EF"/>
    <w:rsid w:val="00322C23"/>
    <w:rsid w:val="00323781"/>
    <w:rsid w:val="003248A2"/>
    <w:rsid w:val="00327D35"/>
    <w:rsid w:val="003305D3"/>
    <w:rsid w:val="003333C5"/>
    <w:rsid w:val="00333C28"/>
    <w:rsid w:val="00334EB8"/>
    <w:rsid w:val="00340244"/>
    <w:rsid w:val="003414D7"/>
    <w:rsid w:val="00342320"/>
    <w:rsid w:val="00342529"/>
    <w:rsid w:val="00345633"/>
    <w:rsid w:val="00346640"/>
    <w:rsid w:val="003467E6"/>
    <w:rsid w:val="00350D0D"/>
    <w:rsid w:val="00350FB6"/>
    <w:rsid w:val="00352450"/>
    <w:rsid w:val="0035477B"/>
    <w:rsid w:val="00355D90"/>
    <w:rsid w:val="003604AA"/>
    <w:rsid w:val="003604F4"/>
    <w:rsid w:val="00360C8C"/>
    <w:rsid w:val="00360E38"/>
    <w:rsid w:val="003627BA"/>
    <w:rsid w:val="003631A5"/>
    <w:rsid w:val="00365757"/>
    <w:rsid w:val="00371795"/>
    <w:rsid w:val="00371F68"/>
    <w:rsid w:val="00372BEC"/>
    <w:rsid w:val="00373E86"/>
    <w:rsid w:val="00374FD3"/>
    <w:rsid w:val="00375DDC"/>
    <w:rsid w:val="0038076A"/>
    <w:rsid w:val="00381E59"/>
    <w:rsid w:val="0038336D"/>
    <w:rsid w:val="00392385"/>
    <w:rsid w:val="00395966"/>
    <w:rsid w:val="003A1224"/>
    <w:rsid w:val="003A2616"/>
    <w:rsid w:val="003A4578"/>
    <w:rsid w:val="003A6482"/>
    <w:rsid w:val="003B4C84"/>
    <w:rsid w:val="003B6056"/>
    <w:rsid w:val="003B6A5A"/>
    <w:rsid w:val="003B7D75"/>
    <w:rsid w:val="003C0305"/>
    <w:rsid w:val="003C095D"/>
    <w:rsid w:val="003C2B40"/>
    <w:rsid w:val="003C6475"/>
    <w:rsid w:val="003D01F8"/>
    <w:rsid w:val="003D04AB"/>
    <w:rsid w:val="003D1ACD"/>
    <w:rsid w:val="003D450D"/>
    <w:rsid w:val="003D6DC8"/>
    <w:rsid w:val="003D6F47"/>
    <w:rsid w:val="003D7A72"/>
    <w:rsid w:val="003D7CC4"/>
    <w:rsid w:val="003E23AF"/>
    <w:rsid w:val="003E318D"/>
    <w:rsid w:val="003E5177"/>
    <w:rsid w:val="003F72E2"/>
    <w:rsid w:val="003F7A89"/>
    <w:rsid w:val="00402F34"/>
    <w:rsid w:val="004060AB"/>
    <w:rsid w:val="004077B1"/>
    <w:rsid w:val="00407991"/>
    <w:rsid w:val="00412567"/>
    <w:rsid w:val="004131BA"/>
    <w:rsid w:val="00413EF0"/>
    <w:rsid w:val="004143EE"/>
    <w:rsid w:val="00416DAD"/>
    <w:rsid w:val="004172D1"/>
    <w:rsid w:val="00424530"/>
    <w:rsid w:val="0042486A"/>
    <w:rsid w:val="00430599"/>
    <w:rsid w:val="00434252"/>
    <w:rsid w:val="0043432B"/>
    <w:rsid w:val="0043577F"/>
    <w:rsid w:val="0043675A"/>
    <w:rsid w:val="004418CC"/>
    <w:rsid w:val="00441F85"/>
    <w:rsid w:val="004477A6"/>
    <w:rsid w:val="00451E45"/>
    <w:rsid w:val="00452468"/>
    <w:rsid w:val="0045301B"/>
    <w:rsid w:val="004541F3"/>
    <w:rsid w:val="0045539B"/>
    <w:rsid w:val="00455E0E"/>
    <w:rsid w:val="00456147"/>
    <w:rsid w:val="00457AB7"/>
    <w:rsid w:val="004600F5"/>
    <w:rsid w:val="004606A7"/>
    <w:rsid w:val="00460FF6"/>
    <w:rsid w:val="00461836"/>
    <w:rsid w:val="00464BF3"/>
    <w:rsid w:val="00466839"/>
    <w:rsid w:val="00466A4A"/>
    <w:rsid w:val="00471888"/>
    <w:rsid w:val="004719B4"/>
    <w:rsid w:val="00471CA1"/>
    <w:rsid w:val="00471CCE"/>
    <w:rsid w:val="0047368B"/>
    <w:rsid w:val="00474D9D"/>
    <w:rsid w:val="0047512D"/>
    <w:rsid w:val="00475381"/>
    <w:rsid w:val="00476A9A"/>
    <w:rsid w:val="00476E72"/>
    <w:rsid w:val="00481AC4"/>
    <w:rsid w:val="00482FB6"/>
    <w:rsid w:val="004919C9"/>
    <w:rsid w:val="004920DA"/>
    <w:rsid w:val="0049216F"/>
    <w:rsid w:val="00493F26"/>
    <w:rsid w:val="004955E7"/>
    <w:rsid w:val="0049781D"/>
    <w:rsid w:val="004A0B20"/>
    <w:rsid w:val="004A2B2B"/>
    <w:rsid w:val="004A2F42"/>
    <w:rsid w:val="004A48EF"/>
    <w:rsid w:val="004A5BCD"/>
    <w:rsid w:val="004A5D8B"/>
    <w:rsid w:val="004A63D7"/>
    <w:rsid w:val="004A7965"/>
    <w:rsid w:val="004B15A9"/>
    <w:rsid w:val="004B15C1"/>
    <w:rsid w:val="004B2FC0"/>
    <w:rsid w:val="004B3092"/>
    <w:rsid w:val="004B62E8"/>
    <w:rsid w:val="004B6869"/>
    <w:rsid w:val="004B7517"/>
    <w:rsid w:val="004B7784"/>
    <w:rsid w:val="004C098A"/>
    <w:rsid w:val="004C1B19"/>
    <w:rsid w:val="004C2561"/>
    <w:rsid w:val="004C320A"/>
    <w:rsid w:val="004C6392"/>
    <w:rsid w:val="004D3523"/>
    <w:rsid w:val="004D4296"/>
    <w:rsid w:val="004D588F"/>
    <w:rsid w:val="004D58B3"/>
    <w:rsid w:val="004D7668"/>
    <w:rsid w:val="004E405B"/>
    <w:rsid w:val="004E6FA8"/>
    <w:rsid w:val="004E71F4"/>
    <w:rsid w:val="004F09DC"/>
    <w:rsid w:val="004F0AB6"/>
    <w:rsid w:val="004F5AB7"/>
    <w:rsid w:val="004F63DB"/>
    <w:rsid w:val="004F6EB1"/>
    <w:rsid w:val="004F7817"/>
    <w:rsid w:val="00501BEB"/>
    <w:rsid w:val="00501CEC"/>
    <w:rsid w:val="00505066"/>
    <w:rsid w:val="00505188"/>
    <w:rsid w:val="00505C64"/>
    <w:rsid w:val="005105EF"/>
    <w:rsid w:val="00511500"/>
    <w:rsid w:val="005125AD"/>
    <w:rsid w:val="005126F5"/>
    <w:rsid w:val="00512C0B"/>
    <w:rsid w:val="00515161"/>
    <w:rsid w:val="00515E20"/>
    <w:rsid w:val="005171B3"/>
    <w:rsid w:val="00517BBF"/>
    <w:rsid w:val="00520233"/>
    <w:rsid w:val="00523895"/>
    <w:rsid w:val="0052494B"/>
    <w:rsid w:val="00527FB3"/>
    <w:rsid w:val="005371E5"/>
    <w:rsid w:val="005410AB"/>
    <w:rsid w:val="0054260F"/>
    <w:rsid w:val="005439FD"/>
    <w:rsid w:val="00543A44"/>
    <w:rsid w:val="00544FF5"/>
    <w:rsid w:val="005475A5"/>
    <w:rsid w:val="00553275"/>
    <w:rsid w:val="00553DB4"/>
    <w:rsid w:val="00555DE1"/>
    <w:rsid w:val="00557482"/>
    <w:rsid w:val="00557747"/>
    <w:rsid w:val="00563C4F"/>
    <w:rsid w:val="00563DEC"/>
    <w:rsid w:val="00564584"/>
    <w:rsid w:val="00565691"/>
    <w:rsid w:val="005672ED"/>
    <w:rsid w:val="005673AC"/>
    <w:rsid w:val="005710A4"/>
    <w:rsid w:val="00571BB6"/>
    <w:rsid w:val="0057356B"/>
    <w:rsid w:val="00574FB1"/>
    <w:rsid w:val="005752E4"/>
    <w:rsid w:val="00575BA7"/>
    <w:rsid w:val="00576BDE"/>
    <w:rsid w:val="00582827"/>
    <w:rsid w:val="00582AA7"/>
    <w:rsid w:val="0058477C"/>
    <w:rsid w:val="0058568F"/>
    <w:rsid w:val="00591A53"/>
    <w:rsid w:val="00591C4C"/>
    <w:rsid w:val="00592DF9"/>
    <w:rsid w:val="00593D83"/>
    <w:rsid w:val="005947B9"/>
    <w:rsid w:val="00594B24"/>
    <w:rsid w:val="00596AA4"/>
    <w:rsid w:val="00596AB8"/>
    <w:rsid w:val="00597D20"/>
    <w:rsid w:val="005A079D"/>
    <w:rsid w:val="005A6911"/>
    <w:rsid w:val="005A6F1E"/>
    <w:rsid w:val="005A7CA0"/>
    <w:rsid w:val="005B1430"/>
    <w:rsid w:val="005B335E"/>
    <w:rsid w:val="005B4448"/>
    <w:rsid w:val="005B5C09"/>
    <w:rsid w:val="005B7D63"/>
    <w:rsid w:val="005C1518"/>
    <w:rsid w:val="005C2774"/>
    <w:rsid w:val="005C326D"/>
    <w:rsid w:val="005C3DFF"/>
    <w:rsid w:val="005C498B"/>
    <w:rsid w:val="005C56D3"/>
    <w:rsid w:val="005C590A"/>
    <w:rsid w:val="005D19A9"/>
    <w:rsid w:val="005D4005"/>
    <w:rsid w:val="005D40D1"/>
    <w:rsid w:val="005D6F4D"/>
    <w:rsid w:val="005D7532"/>
    <w:rsid w:val="005D775D"/>
    <w:rsid w:val="005E6D2B"/>
    <w:rsid w:val="005E73F3"/>
    <w:rsid w:val="005F0534"/>
    <w:rsid w:val="005F06BF"/>
    <w:rsid w:val="005F1675"/>
    <w:rsid w:val="005F3A66"/>
    <w:rsid w:val="005F3D24"/>
    <w:rsid w:val="005F3D92"/>
    <w:rsid w:val="005F41FE"/>
    <w:rsid w:val="005F633B"/>
    <w:rsid w:val="005F6F2A"/>
    <w:rsid w:val="00600593"/>
    <w:rsid w:val="0060160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23C9"/>
    <w:rsid w:val="006224C1"/>
    <w:rsid w:val="00622726"/>
    <w:rsid w:val="00623545"/>
    <w:rsid w:val="00623C5B"/>
    <w:rsid w:val="00625C96"/>
    <w:rsid w:val="006269B7"/>
    <w:rsid w:val="00626A11"/>
    <w:rsid w:val="00626EF8"/>
    <w:rsid w:val="00627DCB"/>
    <w:rsid w:val="00627FC1"/>
    <w:rsid w:val="006307A5"/>
    <w:rsid w:val="00631845"/>
    <w:rsid w:val="00633DC7"/>
    <w:rsid w:val="00634158"/>
    <w:rsid w:val="00636E1D"/>
    <w:rsid w:val="0063793A"/>
    <w:rsid w:val="006400F5"/>
    <w:rsid w:val="00641F64"/>
    <w:rsid w:val="006420A5"/>
    <w:rsid w:val="00644661"/>
    <w:rsid w:val="00645F2E"/>
    <w:rsid w:val="00653220"/>
    <w:rsid w:val="00653B0D"/>
    <w:rsid w:val="00655112"/>
    <w:rsid w:val="0066076D"/>
    <w:rsid w:val="0066145B"/>
    <w:rsid w:val="00662487"/>
    <w:rsid w:val="00663B0A"/>
    <w:rsid w:val="006641F8"/>
    <w:rsid w:val="00664317"/>
    <w:rsid w:val="006671A5"/>
    <w:rsid w:val="00670254"/>
    <w:rsid w:val="00676D73"/>
    <w:rsid w:val="00677CC7"/>
    <w:rsid w:val="00680674"/>
    <w:rsid w:val="00680D1E"/>
    <w:rsid w:val="00680E3F"/>
    <w:rsid w:val="00692E67"/>
    <w:rsid w:val="006944D5"/>
    <w:rsid w:val="006973AC"/>
    <w:rsid w:val="006A0C31"/>
    <w:rsid w:val="006A0D6A"/>
    <w:rsid w:val="006A1213"/>
    <w:rsid w:val="006A12E0"/>
    <w:rsid w:val="006B10D4"/>
    <w:rsid w:val="006B5580"/>
    <w:rsid w:val="006C0184"/>
    <w:rsid w:val="006C186D"/>
    <w:rsid w:val="006C27A8"/>
    <w:rsid w:val="006C4B59"/>
    <w:rsid w:val="006D005E"/>
    <w:rsid w:val="006D2245"/>
    <w:rsid w:val="006D42F8"/>
    <w:rsid w:val="006D48B6"/>
    <w:rsid w:val="006D7393"/>
    <w:rsid w:val="006E02CE"/>
    <w:rsid w:val="006E206F"/>
    <w:rsid w:val="006E3324"/>
    <w:rsid w:val="006E418C"/>
    <w:rsid w:val="006E48FA"/>
    <w:rsid w:val="006E55E1"/>
    <w:rsid w:val="006E5B84"/>
    <w:rsid w:val="006F0504"/>
    <w:rsid w:val="006F0B70"/>
    <w:rsid w:val="006F2E13"/>
    <w:rsid w:val="006F445D"/>
    <w:rsid w:val="006F4922"/>
    <w:rsid w:val="006F72C6"/>
    <w:rsid w:val="007018D2"/>
    <w:rsid w:val="0070213E"/>
    <w:rsid w:val="00702A38"/>
    <w:rsid w:val="00703E4E"/>
    <w:rsid w:val="00704085"/>
    <w:rsid w:val="0070442B"/>
    <w:rsid w:val="007071C6"/>
    <w:rsid w:val="00711E1C"/>
    <w:rsid w:val="00712D2C"/>
    <w:rsid w:val="00714810"/>
    <w:rsid w:val="007169EF"/>
    <w:rsid w:val="00716AB8"/>
    <w:rsid w:val="00716CBE"/>
    <w:rsid w:val="00717607"/>
    <w:rsid w:val="00720050"/>
    <w:rsid w:val="00721FBA"/>
    <w:rsid w:val="00723270"/>
    <w:rsid w:val="00730352"/>
    <w:rsid w:val="00731F9A"/>
    <w:rsid w:val="00733C3F"/>
    <w:rsid w:val="00742839"/>
    <w:rsid w:val="00743240"/>
    <w:rsid w:val="00743C39"/>
    <w:rsid w:val="0074740A"/>
    <w:rsid w:val="007479E6"/>
    <w:rsid w:val="00750449"/>
    <w:rsid w:val="00752710"/>
    <w:rsid w:val="0075400D"/>
    <w:rsid w:val="007541A4"/>
    <w:rsid w:val="00755505"/>
    <w:rsid w:val="00757F6D"/>
    <w:rsid w:val="0076078D"/>
    <w:rsid w:val="007614BF"/>
    <w:rsid w:val="0076316D"/>
    <w:rsid w:val="00764687"/>
    <w:rsid w:val="00765ADE"/>
    <w:rsid w:val="00766737"/>
    <w:rsid w:val="00772993"/>
    <w:rsid w:val="0077689B"/>
    <w:rsid w:val="007815FB"/>
    <w:rsid w:val="00781D80"/>
    <w:rsid w:val="00782DFF"/>
    <w:rsid w:val="00785478"/>
    <w:rsid w:val="00786B1B"/>
    <w:rsid w:val="00787592"/>
    <w:rsid w:val="00791891"/>
    <w:rsid w:val="00791DE5"/>
    <w:rsid w:val="007934A8"/>
    <w:rsid w:val="00794978"/>
    <w:rsid w:val="007A0054"/>
    <w:rsid w:val="007A2A87"/>
    <w:rsid w:val="007A3415"/>
    <w:rsid w:val="007A38F2"/>
    <w:rsid w:val="007A3CAA"/>
    <w:rsid w:val="007A44A6"/>
    <w:rsid w:val="007A5353"/>
    <w:rsid w:val="007A57D6"/>
    <w:rsid w:val="007A588E"/>
    <w:rsid w:val="007A7DC0"/>
    <w:rsid w:val="007B082B"/>
    <w:rsid w:val="007B0F28"/>
    <w:rsid w:val="007B1A6B"/>
    <w:rsid w:val="007B3D63"/>
    <w:rsid w:val="007B50BA"/>
    <w:rsid w:val="007B69D6"/>
    <w:rsid w:val="007B72C6"/>
    <w:rsid w:val="007B780E"/>
    <w:rsid w:val="007C38AF"/>
    <w:rsid w:val="007C3CD2"/>
    <w:rsid w:val="007C3D93"/>
    <w:rsid w:val="007C458A"/>
    <w:rsid w:val="007C55D0"/>
    <w:rsid w:val="007C6089"/>
    <w:rsid w:val="007C7C7B"/>
    <w:rsid w:val="007D0398"/>
    <w:rsid w:val="007D2991"/>
    <w:rsid w:val="007D2FDE"/>
    <w:rsid w:val="007D56C6"/>
    <w:rsid w:val="007D5D17"/>
    <w:rsid w:val="007E14C6"/>
    <w:rsid w:val="007E17FF"/>
    <w:rsid w:val="007E39E1"/>
    <w:rsid w:val="007E3CA8"/>
    <w:rsid w:val="007E57CE"/>
    <w:rsid w:val="007E682F"/>
    <w:rsid w:val="007E6BF0"/>
    <w:rsid w:val="007E702D"/>
    <w:rsid w:val="007E7246"/>
    <w:rsid w:val="007F3334"/>
    <w:rsid w:val="007F4CC8"/>
    <w:rsid w:val="007F5865"/>
    <w:rsid w:val="00801891"/>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21B9D"/>
    <w:rsid w:val="008229B8"/>
    <w:rsid w:val="00823AC0"/>
    <w:rsid w:val="00823FF9"/>
    <w:rsid w:val="00825D7E"/>
    <w:rsid w:val="008274B6"/>
    <w:rsid w:val="00830C7A"/>
    <w:rsid w:val="00843373"/>
    <w:rsid w:val="0084468C"/>
    <w:rsid w:val="00844EE2"/>
    <w:rsid w:val="008461B5"/>
    <w:rsid w:val="00846679"/>
    <w:rsid w:val="0084689D"/>
    <w:rsid w:val="00846C63"/>
    <w:rsid w:val="00850101"/>
    <w:rsid w:val="0085041F"/>
    <w:rsid w:val="00850CDC"/>
    <w:rsid w:val="00851DC4"/>
    <w:rsid w:val="00852142"/>
    <w:rsid w:val="008539BB"/>
    <w:rsid w:val="00854452"/>
    <w:rsid w:val="008552A0"/>
    <w:rsid w:val="0085591A"/>
    <w:rsid w:val="008559E8"/>
    <w:rsid w:val="00855AC9"/>
    <w:rsid w:val="00856198"/>
    <w:rsid w:val="0085648F"/>
    <w:rsid w:val="008564DC"/>
    <w:rsid w:val="00856927"/>
    <w:rsid w:val="0086003C"/>
    <w:rsid w:val="00862D23"/>
    <w:rsid w:val="00865492"/>
    <w:rsid w:val="00867CB4"/>
    <w:rsid w:val="008708AB"/>
    <w:rsid w:val="00874ED5"/>
    <w:rsid w:val="00880BCD"/>
    <w:rsid w:val="008810BC"/>
    <w:rsid w:val="00884510"/>
    <w:rsid w:val="00884DC4"/>
    <w:rsid w:val="00884EF0"/>
    <w:rsid w:val="008903CA"/>
    <w:rsid w:val="00896D04"/>
    <w:rsid w:val="00897CC1"/>
    <w:rsid w:val="008A13D3"/>
    <w:rsid w:val="008A3B4F"/>
    <w:rsid w:val="008A40BC"/>
    <w:rsid w:val="008A5DA7"/>
    <w:rsid w:val="008B0845"/>
    <w:rsid w:val="008B248A"/>
    <w:rsid w:val="008B269B"/>
    <w:rsid w:val="008B2816"/>
    <w:rsid w:val="008C1A94"/>
    <w:rsid w:val="008C27E6"/>
    <w:rsid w:val="008C5B82"/>
    <w:rsid w:val="008C672C"/>
    <w:rsid w:val="008C6A4E"/>
    <w:rsid w:val="008D4828"/>
    <w:rsid w:val="008D7CD4"/>
    <w:rsid w:val="008E292A"/>
    <w:rsid w:val="008E3D64"/>
    <w:rsid w:val="008E60F6"/>
    <w:rsid w:val="008E6407"/>
    <w:rsid w:val="008F0F53"/>
    <w:rsid w:val="008F1BEA"/>
    <w:rsid w:val="008F1F77"/>
    <w:rsid w:val="008F27B9"/>
    <w:rsid w:val="008F3908"/>
    <w:rsid w:val="008F44EB"/>
    <w:rsid w:val="009008FD"/>
    <w:rsid w:val="009014B6"/>
    <w:rsid w:val="00905D8E"/>
    <w:rsid w:val="00906A17"/>
    <w:rsid w:val="00906BC5"/>
    <w:rsid w:val="00910181"/>
    <w:rsid w:val="00912882"/>
    <w:rsid w:val="00912895"/>
    <w:rsid w:val="00916645"/>
    <w:rsid w:val="009210DE"/>
    <w:rsid w:val="0092311E"/>
    <w:rsid w:val="00923509"/>
    <w:rsid w:val="009247C0"/>
    <w:rsid w:val="009251B5"/>
    <w:rsid w:val="009251C2"/>
    <w:rsid w:val="009273BC"/>
    <w:rsid w:val="00930C30"/>
    <w:rsid w:val="00933038"/>
    <w:rsid w:val="00933AEE"/>
    <w:rsid w:val="00935472"/>
    <w:rsid w:val="009360C9"/>
    <w:rsid w:val="00937718"/>
    <w:rsid w:val="00937854"/>
    <w:rsid w:val="00940268"/>
    <w:rsid w:val="0094125D"/>
    <w:rsid w:val="00943B87"/>
    <w:rsid w:val="00943C57"/>
    <w:rsid w:val="009448BC"/>
    <w:rsid w:val="009501D6"/>
    <w:rsid w:val="00950374"/>
    <w:rsid w:val="009531CB"/>
    <w:rsid w:val="009559E1"/>
    <w:rsid w:val="0096160F"/>
    <w:rsid w:val="00962BEA"/>
    <w:rsid w:val="00964393"/>
    <w:rsid w:val="00965B6B"/>
    <w:rsid w:val="00965B80"/>
    <w:rsid w:val="00967458"/>
    <w:rsid w:val="009674E9"/>
    <w:rsid w:val="00971B4D"/>
    <w:rsid w:val="00972012"/>
    <w:rsid w:val="00973859"/>
    <w:rsid w:val="00974607"/>
    <w:rsid w:val="0097538A"/>
    <w:rsid w:val="00977676"/>
    <w:rsid w:val="00982373"/>
    <w:rsid w:val="00984D23"/>
    <w:rsid w:val="00987078"/>
    <w:rsid w:val="00990A8A"/>
    <w:rsid w:val="00991278"/>
    <w:rsid w:val="00993B1E"/>
    <w:rsid w:val="009947D6"/>
    <w:rsid w:val="009953F9"/>
    <w:rsid w:val="00997406"/>
    <w:rsid w:val="00997826"/>
    <w:rsid w:val="009A4635"/>
    <w:rsid w:val="009A5D7A"/>
    <w:rsid w:val="009B033C"/>
    <w:rsid w:val="009B71C6"/>
    <w:rsid w:val="009B747C"/>
    <w:rsid w:val="009B7766"/>
    <w:rsid w:val="009C12C9"/>
    <w:rsid w:val="009C1931"/>
    <w:rsid w:val="009C1CE7"/>
    <w:rsid w:val="009C39EE"/>
    <w:rsid w:val="009C3A8F"/>
    <w:rsid w:val="009C741F"/>
    <w:rsid w:val="009D0637"/>
    <w:rsid w:val="009D10AD"/>
    <w:rsid w:val="009D2A94"/>
    <w:rsid w:val="009D2F9B"/>
    <w:rsid w:val="009D55F7"/>
    <w:rsid w:val="009D7D01"/>
    <w:rsid w:val="009D7FCB"/>
    <w:rsid w:val="009E0794"/>
    <w:rsid w:val="009E38A2"/>
    <w:rsid w:val="009E4107"/>
    <w:rsid w:val="009E5245"/>
    <w:rsid w:val="009E70EF"/>
    <w:rsid w:val="009E76BE"/>
    <w:rsid w:val="009E79BF"/>
    <w:rsid w:val="009E7BA6"/>
    <w:rsid w:val="009E7E40"/>
    <w:rsid w:val="009F12DA"/>
    <w:rsid w:val="009F3FE6"/>
    <w:rsid w:val="009F4E0E"/>
    <w:rsid w:val="009F53AF"/>
    <w:rsid w:val="009F6FF4"/>
    <w:rsid w:val="00A00793"/>
    <w:rsid w:val="00A00E34"/>
    <w:rsid w:val="00A03D37"/>
    <w:rsid w:val="00A0415A"/>
    <w:rsid w:val="00A04FB4"/>
    <w:rsid w:val="00A060B7"/>
    <w:rsid w:val="00A062C7"/>
    <w:rsid w:val="00A10257"/>
    <w:rsid w:val="00A10DC8"/>
    <w:rsid w:val="00A11903"/>
    <w:rsid w:val="00A14332"/>
    <w:rsid w:val="00A146D1"/>
    <w:rsid w:val="00A1502F"/>
    <w:rsid w:val="00A17AD1"/>
    <w:rsid w:val="00A21493"/>
    <w:rsid w:val="00A23608"/>
    <w:rsid w:val="00A239F6"/>
    <w:rsid w:val="00A25707"/>
    <w:rsid w:val="00A25A56"/>
    <w:rsid w:val="00A27B9D"/>
    <w:rsid w:val="00A27D88"/>
    <w:rsid w:val="00A304D0"/>
    <w:rsid w:val="00A30AB0"/>
    <w:rsid w:val="00A31F22"/>
    <w:rsid w:val="00A3253E"/>
    <w:rsid w:val="00A342E8"/>
    <w:rsid w:val="00A36FE2"/>
    <w:rsid w:val="00A37FED"/>
    <w:rsid w:val="00A4409F"/>
    <w:rsid w:val="00A44A20"/>
    <w:rsid w:val="00A4547A"/>
    <w:rsid w:val="00A4607D"/>
    <w:rsid w:val="00A53163"/>
    <w:rsid w:val="00A53EC9"/>
    <w:rsid w:val="00A65365"/>
    <w:rsid w:val="00A725D6"/>
    <w:rsid w:val="00A72C70"/>
    <w:rsid w:val="00A72C7D"/>
    <w:rsid w:val="00A81586"/>
    <w:rsid w:val="00A81B96"/>
    <w:rsid w:val="00A83523"/>
    <w:rsid w:val="00A84F93"/>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604"/>
    <w:rsid w:val="00AB104D"/>
    <w:rsid w:val="00AB2476"/>
    <w:rsid w:val="00AB2B10"/>
    <w:rsid w:val="00AB3DDB"/>
    <w:rsid w:val="00AB6E04"/>
    <w:rsid w:val="00AD0C73"/>
    <w:rsid w:val="00AD264A"/>
    <w:rsid w:val="00AD2FD9"/>
    <w:rsid w:val="00AD4A4D"/>
    <w:rsid w:val="00AD50A9"/>
    <w:rsid w:val="00AD6545"/>
    <w:rsid w:val="00AE1A2D"/>
    <w:rsid w:val="00AE46E2"/>
    <w:rsid w:val="00AE5347"/>
    <w:rsid w:val="00AE55F6"/>
    <w:rsid w:val="00AE56DB"/>
    <w:rsid w:val="00AE5E5A"/>
    <w:rsid w:val="00AE5F3C"/>
    <w:rsid w:val="00AE7702"/>
    <w:rsid w:val="00AE79FD"/>
    <w:rsid w:val="00AF09D9"/>
    <w:rsid w:val="00AF5FB0"/>
    <w:rsid w:val="00AF7442"/>
    <w:rsid w:val="00AF7F7B"/>
    <w:rsid w:val="00B02FAA"/>
    <w:rsid w:val="00B04D5C"/>
    <w:rsid w:val="00B05624"/>
    <w:rsid w:val="00B05A34"/>
    <w:rsid w:val="00B10EE4"/>
    <w:rsid w:val="00B115D7"/>
    <w:rsid w:val="00B13C87"/>
    <w:rsid w:val="00B14BF5"/>
    <w:rsid w:val="00B14F07"/>
    <w:rsid w:val="00B1710D"/>
    <w:rsid w:val="00B2180A"/>
    <w:rsid w:val="00B21D0B"/>
    <w:rsid w:val="00B25B60"/>
    <w:rsid w:val="00B30607"/>
    <w:rsid w:val="00B32510"/>
    <w:rsid w:val="00B35302"/>
    <w:rsid w:val="00B3595C"/>
    <w:rsid w:val="00B36D5E"/>
    <w:rsid w:val="00B37911"/>
    <w:rsid w:val="00B41F41"/>
    <w:rsid w:val="00B424AE"/>
    <w:rsid w:val="00B42808"/>
    <w:rsid w:val="00B42FCC"/>
    <w:rsid w:val="00B43E07"/>
    <w:rsid w:val="00B45EC6"/>
    <w:rsid w:val="00B46138"/>
    <w:rsid w:val="00B47342"/>
    <w:rsid w:val="00B526A8"/>
    <w:rsid w:val="00B55FAB"/>
    <w:rsid w:val="00B61210"/>
    <w:rsid w:val="00B66069"/>
    <w:rsid w:val="00B6734E"/>
    <w:rsid w:val="00B702CB"/>
    <w:rsid w:val="00B73040"/>
    <w:rsid w:val="00B74E92"/>
    <w:rsid w:val="00B75B00"/>
    <w:rsid w:val="00B76198"/>
    <w:rsid w:val="00B77F75"/>
    <w:rsid w:val="00B80ACA"/>
    <w:rsid w:val="00B813A4"/>
    <w:rsid w:val="00B819E3"/>
    <w:rsid w:val="00B83D9D"/>
    <w:rsid w:val="00B84529"/>
    <w:rsid w:val="00B84C30"/>
    <w:rsid w:val="00B878E1"/>
    <w:rsid w:val="00B955D7"/>
    <w:rsid w:val="00B96F7F"/>
    <w:rsid w:val="00BA25D7"/>
    <w:rsid w:val="00BA3D4A"/>
    <w:rsid w:val="00BA414B"/>
    <w:rsid w:val="00BB0828"/>
    <w:rsid w:val="00BB2111"/>
    <w:rsid w:val="00BB2F0A"/>
    <w:rsid w:val="00BB3630"/>
    <w:rsid w:val="00BB5993"/>
    <w:rsid w:val="00BB61BA"/>
    <w:rsid w:val="00BC17BA"/>
    <w:rsid w:val="00BC1BBB"/>
    <w:rsid w:val="00BC266E"/>
    <w:rsid w:val="00BC3279"/>
    <w:rsid w:val="00BC59E3"/>
    <w:rsid w:val="00BC5D5C"/>
    <w:rsid w:val="00BC7FD2"/>
    <w:rsid w:val="00BD36EC"/>
    <w:rsid w:val="00BD47F0"/>
    <w:rsid w:val="00BD6316"/>
    <w:rsid w:val="00BD6CEB"/>
    <w:rsid w:val="00BE1E3D"/>
    <w:rsid w:val="00BE57B5"/>
    <w:rsid w:val="00BE5B8B"/>
    <w:rsid w:val="00BF4B43"/>
    <w:rsid w:val="00BF5A15"/>
    <w:rsid w:val="00C0296F"/>
    <w:rsid w:val="00C03AE7"/>
    <w:rsid w:val="00C05D9D"/>
    <w:rsid w:val="00C06107"/>
    <w:rsid w:val="00C06196"/>
    <w:rsid w:val="00C06BF3"/>
    <w:rsid w:val="00C07AC6"/>
    <w:rsid w:val="00C12FA8"/>
    <w:rsid w:val="00C21218"/>
    <w:rsid w:val="00C21F2D"/>
    <w:rsid w:val="00C261D1"/>
    <w:rsid w:val="00C27083"/>
    <w:rsid w:val="00C31378"/>
    <w:rsid w:val="00C34FA6"/>
    <w:rsid w:val="00C35592"/>
    <w:rsid w:val="00C356AF"/>
    <w:rsid w:val="00C35ADE"/>
    <w:rsid w:val="00C41927"/>
    <w:rsid w:val="00C41C25"/>
    <w:rsid w:val="00C423C6"/>
    <w:rsid w:val="00C439D6"/>
    <w:rsid w:val="00C43FD9"/>
    <w:rsid w:val="00C44EB2"/>
    <w:rsid w:val="00C47E8F"/>
    <w:rsid w:val="00C51ABA"/>
    <w:rsid w:val="00C521A7"/>
    <w:rsid w:val="00C54CC8"/>
    <w:rsid w:val="00C57BC4"/>
    <w:rsid w:val="00C57EDE"/>
    <w:rsid w:val="00C60915"/>
    <w:rsid w:val="00C60DC3"/>
    <w:rsid w:val="00C61ECA"/>
    <w:rsid w:val="00C647B4"/>
    <w:rsid w:val="00C67DA4"/>
    <w:rsid w:val="00C7005A"/>
    <w:rsid w:val="00C764D4"/>
    <w:rsid w:val="00C83CCD"/>
    <w:rsid w:val="00C87617"/>
    <w:rsid w:val="00C91A79"/>
    <w:rsid w:val="00C964B8"/>
    <w:rsid w:val="00CA2627"/>
    <w:rsid w:val="00CA31E6"/>
    <w:rsid w:val="00CB0067"/>
    <w:rsid w:val="00CB18B6"/>
    <w:rsid w:val="00CB380B"/>
    <w:rsid w:val="00CB467F"/>
    <w:rsid w:val="00CB5CCE"/>
    <w:rsid w:val="00CB5E7D"/>
    <w:rsid w:val="00CB7909"/>
    <w:rsid w:val="00CC3CE0"/>
    <w:rsid w:val="00CC67A6"/>
    <w:rsid w:val="00CC7137"/>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3517"/>
    <w:rsid w:val="00CE6407"/>
    <w:rsid w:val="00CE6D3F"/>
    <w:rsid w:val="00CF1A52"/>
    <w:rsid w:val="00CF720A"/>
    <w:rsid w:val="00D00E7F"/>
    <w:rsid w:val="00D01670"/>
    <w:rsid w:val="00D023D9"/>
    <w:rsid w:val="00D02B9D"/>
    <w:rsid w:val="00D05C26"/>
    <w:rsid w:val="00D062AC"/>
    <w:rsid w:val="00D07969"/>
    <w:rsid w:val="00D120EF"/>
    <w:rsid w:val="00D152E7"/>
    <w:rsid w:val="00D15B1C"/>
    <w:rsid w:val="00D15B3E"/>
    <w:rsid w:val="00D17A3D"/>
    <w:rsid w:val="00D17AA8"/>
    <w:rsid w:val="00D21F91"/>
    <w:rsid w:val="00D261F9"/>
    <w:rsid w:val="00D26269"/>
    <w:rsid w:val="00D26F4C"/>
    <w:rsid w:val="00D277F2"/>
    <w:rsid w:val="00D312C4"/>
    <w:rsid w:val="00D33027"/>
    <w:rsid w:val="00D35D87"/>
    <w:rsid w:val="00D3796C"/>
    <w:rsid w:val="00D41963"/>
    <w:rsid w:val="00D44171"/>
    <w:rsid w:val="00D44360"/>
    <w:rsid w:val="00D44595"/>
    <w:rsid w:val="00D45B2B"/>
    <w:rsid w:val="00D50D2F"/>
    <w:rsid w:val="00D51CB3"/>
    <w:rsid w:val="00D53948"/>
    <w:rsid w:val="00D549B9"/>
    <w:rsid w:val="00D557EE"/>
    <w:rsid w:val="00D56058"/>
    <w:rsid w:val="00D57C2B"/>
    <w:rsid w:val="00D57D71"/>
    <w:rsid w:val="00D57F4B"/>
    <w:rsid w:val="00D6287E"/>
    <w:rsid w:val="00D6395D"/>
    <w:rsid w:val="00D647C0"/>
    <w:rsid w:val="00D656AD"/>
    <w:rsid w:val="00D66E5F"/>
    <w:rsid w:val="00D73660"/>
    <w:rsid w:val="00D74376"/>
    <w:rsid w:val="00D76E91"/>
    <w:rsid w:val="00D80B84"/>
    <w:rsid w:val="00D82B0B"/>
    <w:rsid w:val="00D834F3"/>
    <w:rsid w:val="00D845D4"/>
    <w:rsid w:val="00D84643"/>
    <w:rsid w:val="00D849AA"/>
    <w:rsid w:val="00D84CC9"/>
    <w:rsid w:val="00D85025"/>
    <w:rsid w:val="00D872D1"/>
    <w:rsid w:val="00D90463"/>
    <w:rsid w:val="00D93652"/>
    <w:rsid w:val="00D93DDB"/>
    <w:rsid w:val="00D95507"/>
    <w:rsid w:val="00D961EB"/>
    <w:rsid w:val="00D96A21"/>
    <w:rsid w:val="00D97BBA"/>
    <w:rsid w:val="00DA02D6"/>
    <w:rsid w:val="00DA1988"/>
    <w:rsid w:val="00DA2298"/>
    <w:rsid w:val="00DA2E87"/>
    <w:rsid w:val="00DA4228"/>
    <w:rsid w:val="00DA44B7"/>
    <w:rsid w:val="00DA58AA"/>
    <w:rsid w:val="00DA590B"/>
    <w:rsid w:val="00DA6122"/>
    <w:rsid w:val="00DA75DF"/>
    <w:rsid w:val="00DB0727"/>
    <w:rsid w:val="00DB0F14"/>
    <w:rsid w:val="00DB1F94"/>
    <w:rsid w:val="00DB2478"/>
    <w:rsid w:val="00DB40F8"/>
    <w:rsid w:val="00DB4809"/>
    <w:rsid w:val="00DB5E8F"/>
    <w:rsid w:val="00DB70BC"/>
    <w:rsid w:val="00DC0972"/>
    <w:rsid w:val="00DC31E2"/>
    <w:rsid w:val="00DC3E99"/>
    <w:rsid w:val="00DC58CE"/>
    <w:rsid w:val="00DC7C3E"/>
    <w:rsid w:val="00DD0C4D"/>
    <w:rsid w:val="00DD1BAA"/>
    <w:rsid w:val="00DE30E0"/>
    <w:rsid w:val="00DE69D4"/>
    <w:rsid w:val="00DE70B4"/>
    <w:rsid w:val="00DF2151"/>
    <w:rsid w:val="00DF3029"/>
    <w:rsid w:val="00DF4356"/>
    <w:rsid w:val="00DF6040"/>
    <w:rsid w:val="00DF7007"/>
    <w:rsid w:val="00E00FB2"/>
    <w:rsid w:val="00E027E0"/>
    <w:rsid w:val="00E07A8C"/>
    <w:rsid w:val="00E10D35"/>
    <w:rsid w:val="00E14AA0"/>
    <w:rsid w:val="00E157D6"/>
    <w:rsid w:val="00E17906"/>
    <w:rsid w:val="00E202F8"/>
    <w:rsid w:val="00E20398"/>
    <w:rsid w:val="00E2251B"/>
    <w:rsid w:val="00E22BCE"/>
    <w:rsid w:val="00E258D8"/>
    <w:rsid w:val="00E326FF"/>
    <w:rsid w:val="00E34B8E"/>
    <w:rsid w:val="00E3582F"/>
    <w:rsid w:val="00E361B0"/>
    <w:rsid w:val="00E361D1"/>
    <w:rsid w:val="00E374D9"/>
    <w:rsid w:val="00E41563"/>
    <w:rsid w:val="00E4274A"/>
    <w:rsid w:val="00E42943"/>
    <w:rsid w:val="00E432CC"/>
    <w:rsid w:val="00E43903"/>
    <w:rsid w:val="00E44FA7"/>
    <w:rsid w:val="00E4695A"/>
    <w:rsid w:val="00E52D11"/>
    <w:rsid w:val="00E53A75"/>
    <w:rsid w:val="00E53AA8"/>
    <w:rsid w:val="00E53BA2"/>
    <w:rsid w:val="00E54081"/>
    <w:rsid w:val="00E55AB5"/>
    <w:rsid w:val="00E572D1"/>
    <w:rsid w:val="00E574A1"/>
    <w:rsid w:val="00E61F96"/>
    <w:rsid w:val="00E62DB8"/>
    <w:rsid w:val="00E63010"/>
    <w:rsid w:val="00E63804"/>
    <w:rsid w:val="00E653BD"/>
    <w:rsid w:val="00E65948"/>
    <w:rsid w:val="00E677EF"/>
    <w:rsid w:val="00E70D84"/>
    <w:rsid w:val="00E7159B"/>
    <w:rsid w:val="00E72D02"/>
    <w:rsid w:val="00E7380A"/>
    <w:rsid w:val="00E74C1B"/>
    <w:rsid w:val="00E84451"/>
    <w:rsid w:val="00E84CFD"/>
    <w:rsid w:val="00E859DF"/>
    <w:rsid w:val="00E866CC"/>
    <w:rsid w:val="00E86C84"/>
    <w:rsid w:val="00E87041"/>
    <w:rsid w:val="00E91192"/>
    <w:rsid w:val="00E93B05"/>
    <w:rsid w:val="00E94AED"/>
    <w:rsid w:val="00E94B0F"/>
    <w:rsid w:val="00E95201"/>
    <w:rsid w:val="00E9631E"/>
    <w:rsid w:val="00EA10E7"/>
    <w:rsid w:val="00EA1574"/>
    <w:rsid w:val="00EA1807"/>
    <w:rsid w:val="00EA38FE"/>
    <w:rsid w:val="00EA4947"/>
    <w:rsid w:val="00EA6540"/>
    <w:rsid w:val="00EB0731"/>
    <w:rsid w:val="00EC0C41"/>
    <w:rsid w:val="00EC11F0"/>
    <w:rsid w:val="00EC14FA"/>
    <w:rsid w:val="00EC1594"/>
    <w:rsid w:val="00EC1C8C"/>
    <w:rsid w:val="00EC3DC7"/>
    <w:rsid w:val="00EC5FD5"/>
    <w:rsid w:val="00ED12E1"/>
    <w:rsid w:val="00ED2521"/>
    <w:rsid w:val="00ED2FB9"/>
    <w:rsid w:val="00ED6873"/>
    <w:rsid w:val="00ED6F18"/>
    <w:rsid w:val="00ED73EF"/>
    <w:rsid w:val="00EE0AA4"/>
    <w:rsid w:val="00EE0C7D"/>
    <w:rsid w:val="00EE1F54"/>
    <w:rsid w:val="00EE456B"/>
    <w:rsid w:val="00EE508D"/>
    <w:rsid w:val="00EE7CB2"/>
    <w:rsid w:val="00EF01B0"/>
    <w:rsid w:val="00EF20A6"/>
    <w:rsid w:val="00EF284B"/>
    <w:rsid w:val="00EF35BF"/>
    <w:rsid w:val="00EF381C"/>
    <w:rsid w:val="00EF5780"/>
    <w:rsid w:val="00EF7C61"/>
    <w:rsid w:val="00F00C37"/>
    <w:rsid w:val="00F011EF"/>
    <w:rsid w:val="00F034AC"/>
    <w:rsid w:val="00F03879"/>
    <w:rsid w:val="00F0439B"/>
    <w:rsid w:val="00F06745"/>
    <w:rsid w:val="00F1066F"/>
    <w:rsid w:val="00F10D0F"/>
    <w:rsid w:val="00F11167"/>
    <w:rsid w:val="00F12979"/>
    <w:rsid w:val="00F160D2"/>
    <w:rsid w:val="00F16314"/>
    <w:rsid w:val="00F2068C"/>
    <w:rsid w:val="00F20817"/>
    <w:rsid w:val="00F27A76"/>
    <w:rsid w:val="00F31F68"/>
    <w:rsid w:val="00F327C9"/>
    <w:rsid w:val="00F33E3A"/>
    <w:rsid w:val="00F3523C"/>
    <w:rsid w:val="00F40A8B"/>
    <w:rsid w:val="00F4748D"/>
    <w:rsid w:val="00F51143"/>
    <w:rsid w:val="00F515D4"/>
    <w:rsid w:val="00F53497"/>
    <w:rsid w:val="00F53841"/>
    <w:rsid w:val="00F53B21"/>
    <w:rsid w:val="00F555D1"/>
    <w:rsid w:val="00F57D0B"/>
    <w:rsid w:val="00F612B3"/>
    <w:rsid w:val="00F653FF"/>
    <w:rsid w:val="00F657C0"/>
    <w:rsid w:val="00F676C1"/>
    <w:rsid w:val="00F7064A"/>
    <w:rsid w:val="00F747AD"/>
    <w:rsid w:val="00F75FFC"/>
    <w:rsid w:val="00F829DE"/>
    <w:rsid w:val="00F83D74"/>
    <w:rsid w:val="00F84674"/>
    <w:rsid w:val="00F87C1E"/>
    <w:rsid w:val="00F87F11"/>
    <w:rsid w:val="00F91DF5"/>
    <w:rsid w:val="00F93819"/>
    <w:rsid w:val="00F942CA"/>
    <w:rsid w:val="00F9452C"/>
    <w:rsid w:val="00FA02BC"/>
    <w:rsid w:val="00FA0964"/>
    <w:rsid w:val="00FA1376"/>
    <w:rsid w:val="00FA157C"/>
    <w:rsid w:val="00FA53CB"/>
    <w:rsid w:val="00FB11A6"/>
    <w:rsid w:val="00FB46C5"/>
    <w:rsid w:val="00FB7206"/>
    <w:rsid w:val="00FC0E1A"/>
    <w:rsid w:val="00FC1D72"/>
    <w:rsid w:val="00FC2827"/>
    <w:rsid w:val="00FC40CE"/>
    <w:rsid w:val="00FD061B"/>
    <w:rsid w:val="00FD5310"/>
    <w:rsid w:val="00FD656A"/>
    <w:rsid w:val="00FD7616"/>
    <w:rsid w:val="00FE0384"/>
    <w:rsid w:val="00FE0C92"/>
    <w:rsid w:val="00FE51ED"/>
    <w:rsid w:val="00FE5577"/>
    <w:rsid w:val="00FE5B17"/>
    <w:rsid w:val="00FF34CA"/>
    <w:rsid w:val="00FF734C"/>
    <w:rsid w:val="00FF741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9937"/>
    <o:shapelayout v:ext="edit">
      <o:idmap v:ext="edit" data="1"/>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hr-HR"/>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hr-HR"/>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hr-HR"/>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hr-HR"/>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hr-HR"/>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0B3C05"/>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0B3C05"/>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hr-HR"/>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702A38"/>
    <w:rPr>
      <w:rFonts w:ascii="Times New Roman" w:eastAsia="Times New Roman" w:hAnsi="Times New Roman" w:cs="Times New Roman"/>
      <w:lang w:val="hr-HR" w:eastAsia="de-DE"/>
    </w:rPr>
  </w:style>
  <w:style w:type="paragraph" w:customStyle="1" w:styleId="InstructionsText">
    <w:name w:val="Instructions Text"/>
    <w:basedOn w:val="Normal"/>
    <w:link w:val="InstructionsTextChar"/>
    <w:autoRedefine/>
    <w:rsid w:val="00702A38"/>
    <w:pPr>
      <w:spacing w:after="120"/>
      <w:jc w:val="both"/>
    </w:pPr>
    <w:rPr>
      <w:rFonts w:ascii="Times New Roman" w:eastAsia="Times New Roman" w:hAnsi="Times New Roman" w:cs="Times New Roman"/>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hr-HR"/>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hr-HR"/>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hr-HR"/>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0"/>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hr-HR"/>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5"/>
      </w:numPr>
    </w:pPr>
  </w:style>
  <w:style w:type="paragraph" w:customStyle="1" w:styleId="Baseparagraphnumbered">
    <w:name w:val="Base paragraph numbered"/>
    <w:basedOn w:val="Normal"/>
    <w:link w:val="BaseparagraphnumberedChar"/>
    <w:qFormat/>
    <w:rsid w:val="004E71F4"/>
    <w:pPr>
      <w:numPr>
        <w:numId w:val="45"/>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hr-HR" w:eastAsia="en-GB"/>
    </w:rPr>
  </w:style>
  <w:style w:type="numbering" w:customStyle="1" w:styleId="Style3">
    <w:name w:val="Style3"/>
    <w:rsid w:val="004E71F4"/>
    <w:pPr>
      <w:numPr>
        <w:numId w:val="44"/>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1"/>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hr-HR"/>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hr-HR"/>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N/AUTO/?uri=OJ:L:2013:176:TOC" TargetMode="External"/><Relationship Id="rId13" Type="http://schemas.openxmlformats.org/officeDocument/2006/relationships/hyperlink" Target="https://eur-lex.europa.eu/legal-content/EN/AUTO/?uri=OJ:L:2013:176:TOC" TargetMode="External"/><Relationship Id="rId18" Type="http://schemas.openxmlformats.org/officeDocument/2006/relationships/hyperlink" Target="https://eur-lex.europa.eu/legal-content/EN/AUTO/?uri=OJ:L:2013:176:TOC" TargetMode="External"/><Relationship Id="rId3" Type="http://schemas.openxmlformats.org/officeDocument/2006/relationships/hyperlink" Target="https://eur-lex.europa.eu/legal-content/EN/AUTO/?uri=OJ:L:2013:176:TOC" TargetMode="External"/><Relationship Id="rId7" Type="http://schemas.openxmlformats.org/officeDocument/2006/relationships/hyperlink" Target="https://eur-lex.europa.eu/legal-content/EN/AUTO/?uri=OJ:L:2013:176:TOC" TargetMode="External"/><Relationship Id="rId12" Type="http://schemas.openxmlformats.org/officeDocument/2006/relationships/hyperlink" Target="https://eur-lex.europa.eu/legal-content/EN/AUTO/?uri=OJ:L:2013:176:TOC" TargetMode="External"/><Relationship Id="rId17" Type="http://schemas.openxmlformats.org/officeDocument/2006/relationships/hyperlink" Target="https://eur-lex.europa.eu/legal-content/EN/AUTO/?uri=OJ:L:2013:176:TOC" TargetMode="External"/><Relationship Id="rId2" Type="http://schemas.openxmlformats.org/officeDocument/2006/relationships/hyperlink" Target="https://eur-lex.europa.eu/legal-content/EN/AUTO/?uri=OJ:L:2013:176:TOC" TargetMode="External"/><Relationship Id="rId16" Type="http://schemas.openxmlformats.org/officeDocument/2006/relationships/hyperlink" Target="https://eur-lex.europa.eu/legal-content/EN/AUTO/?uri=OJ:L:2013:176:TOC" TargetMode="External"/><Relationship Id="rId1" Type="http://schemas.openxmlformats.org/officeDocument/2006/relationships/hyperlink" Target="https://eur-lex.europa.eu/legal-content/EN/AUTO/?uri=OJ:L:2013:176:TOC" TargetMode="External"/><Relationship Id="rId6" Type="http://schemas.openxmlformats.org/officeDocument/2006/relationships/hyperlink" Target="https://eur-lex.europa.eu/legal-content/EN/AUTO/?uri=OJ:L:2013:176:TOC" TargetMode="External"/><Relationship Id="rId11" Type="http://schemas.openxmlformats.org/officeDocument/2006/relationships/hyperlink" Target="https://eur-lex.europa.eu/legal-content/EN/AUTO/?uri=OJ:L:2013:176:TOC" TargetMode="External"/><Relationship Id="rId5" Type="http://schemas.openxmlformats.org/officeDocument/2006/relationships/hyperlink" Target="https://eur-lex.europa.eu/legal-content/EN/AUTO/?uri=OJ:L:2013:176:TOC" TargetMode="External"/><Relationship Id="rId15" Type="http://schemas.openxmlformats.org/officeDocument/2006/relationships/hyperlink" Target="https://eur-lex.europa.eu/legal-content/EN/AUTO/?uri=OJ:L:2013:176:TOC" TargetMode="External"/><Relationship Id="rId10" Type="http://schemas.openxmlformats.org/officeDocument/2006/relationships/hyperlink" Target="https://eur-lex.europa.eu/legal-content/EN/AUTO/?uri=OJ:L:2013:176:TOC" TargetMode="External"/><Relationship Id="rId4" Type="http://schemas.openxmlformats.org/officeDocument/2006/relationships/hyperlink" Target="https://eur-lex.europa.eu/legal-content/EN/AUTO/?uri=OJ:L:2013:176:TOC" TargetMode="External"/><Relationship Id="rId9" Type="http://schemas.openxmlformats.org/officeDocument/2006/relationships/hyperlink" Target="https://eur-lex.europa.eu/legal-content/HR/AUTO/?uri=OJ:L:2013:176:TOC" TargetMode="External"/><Relationship Id="rId14" Type="http://schemas.openxmlformats.org/officeDocument/2006/relationships/hyperlink" Target="https://eur-lex.europa.eu/legal-content/EN/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50630-B921-40C4-8C42-7FC7DB719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229</Pages>
  <Words>68874</Words>
  <Characters>414625</Characters>
  <Application>Microsoft Office Word</Application>
  <DocSecurity>0</DocSecurity>
  <Lines>9872</Lines>
  <Paragraphs>5255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2021-02-19T10:56:00Z</dcterms:created>
  <dcterms:modified xsi:type="dcterms:W3CDTF">2021-02-26T15:17:00Z</dcterms:modified>
</cp:coreProperties>
</file>