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5C1E9DE2" w:rsidR="00C36E0D" w:rsidRPr="00FF2C68" w:rsidRDefault="00A57161" w:rsidP="00FF2C68">
      <w:pPr>
        <w:pStyle w:val="Pagedecouverture"/>
      </w:pPr>
      <w:bookmarkStart w:id="0" w:name="_GoBack"/>
      <w:bookmarkEnd w:id="0"/>
      <w:r>
        <w:pict w14:anchorId="44CE3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2C60B49-C3E2-41B5-81FA-A31FAD2D7D98" style="width:450.3pt;height:463.45pt">
            <v:imagedata r:id="rId8" o:title=""/>
          </v:shape>
        </w:pict>
      </w:r>
    </w:p>
    <w:p w14:paraId="46614711" w14:textId="77777777" w:rsidR="0004170D" w:rsidRPr="00FF2C68" w:rsidRDefault="0004170D">
      <w:pPr>
        <w:sectPr w:rsidR="0004170D" w:rsidRPr="00FF2C68" w:rsidSect="00E22683">
          <w:footerReference w:type="default" r:id="rId9"/>
          <w:pgSz w:w="11907" w:h="16839"/>
          <w:pgMar w:top="1134" w:right="1417" w:bottom="1134" w:left="1417" w:header="709" w:footer="709" w:gutter="0"/>
          <w:pgNumType w:start="0"/>
          <w:cols w:space="720"/>
          <w:docGrid w:linePitch="360"/>
        </w:sectPr>
      </w:pPr>
    </w:p>
    <w:p w14:paraId="1CF04386" w14:textId="53A6EF71" w:rsidR="0004170D" w:rsidRPr="00FF2C68" w:rsidRDefault="00FF2C68" w:rsidP="00FF2C68">
      <w:pPr>
        <w:pStyle w:val="Typedudocument"/>
      </w:pPr>
      <w:r w:rsidRPr="00FF2C68">
        <w:lastRenderedPageBreak/>
        <w:t>KOMISIJOS ĮGYVENDINIMO REGLAMENTAS (ES) …/...</w:t>
      </w:r>
    </w:p>
    <w:p w14:paraId="485B382E" w14:textId="2051B330" w:rsidR="0004170D" w:rsidRPr="00FF2C68" w:rsidRDefault="00FF2C68" w:rsidP="00FF2C68">
      <w:pPr>
        <w:pStyle w:val="Datedadoption"/>
      </w:pPr>
      <w:r w:rsidRPr="00FF2C68">
        <w:rPr>
          <w:rStyle w:val="Marker2"/>
        </w:rPr>
        <w:t>XXX</w:t>
      </w:r>
    </w:p>
    <w:p w14:paraId="6E872801" w14:textId="668750A6" w:rsidR="0004170D" w:rsidRPr="00FF2C68" w:rsidRDefault="00FF2C68" w:rsidP="00FF2C68">
      <w:pPr>
        <w:pStyle w:val="Titreobjet"/>
      </w:pPr>
      <w:r w:rsidRPr="00FF2C68">
        <w:t xml:space="preserve">kuriuo nustatomi įstaigų informacijos, nurodytos Europos Parlamento ir Tarybos reglamento (ES) Nr. 575/2013 aštuntos dalies II ir III antraštinėse dalyse, viešo atskleidimo techniniai įgyvendinimo standartai ir panaikinamas Komisijos įgyvendinimo reglamentas (ES) Nr. 1423/2013, Komisijos deleguotasis reglamentas (ES) 2015/1555, Komisijos įgyvendinimo reglamentas (ES) 2016/200 ir Komisijos deleguotasis reglamentas (ES) 2017/2295 </w:t>
      </w:r>
      <w:r w:rsidRPr="00FF2C68">
        <w:br/>
        <w:t xml:space="preserve"> </w:t>
      </w:r>
      <w:r w:rsidRPr="00FF2C68">
        <w:br/>
      </w:r>
    </w:p>
    <w:p w14:paraId="5216B2C3" w14:textId="2D7BFC62" w:rsidR="0004170D" w:rsidRPr="00FF2C68" w:rsidRDefault="00FF2C68" w:rsidP="00FF2C68">
      <w:pPr>
        <w:pStyle w:val="IntrtEEE"/>
      </w:pPr>
      <w:r w:rsidRPr="00FF2C68">
        <w:t>(Tekstas svarbus EEE)</w:t>
      </w:r>
    </w:p>
    <w:p w14:paraId="4BD4BB2E" w14:textId="77777777" w:rsidR="0004170D" w:rsidRPr="00FF2C68" w:rsidRDefault="0004170D" w:rsidP="009675DD">
      <w:pPr>
        <w:pStyle w:val="Institutionquiagit"/>
      </w:pPr>
      <w:r w:rsidRPr="00FF2C68">
        <w:t>EUROPOS KOMISIJA,</w:t>
      </w:r>
    </w:p>
    <w:p w14:paraId="3B1DB378" w14:textId="77777777" w:rsidR="0004170D" w:rsidRPr="00FF2C68" w:rsidRDefault="0004170D" w:rsidP="009675DD">
      <w:r w:rsidRPr="00FF2C68">
        <w:rPr>
          <w:color w:val="000000"/>
        </w:rPr>
        <w:t>atsižvelgdama į Sutartį dėl Europos Sąjungos veikimo</w:t>
      </w:r>
      <w:r w:rsidRPr="00FF2C68">
        <w:t>,</w:t>
      </w:r>
    </w:p>
    <w:p w14:paraId="7D7AE1AD" w14:textId="77777777" w:rsidR="0004170D" w:rsidRPr="00FF2C68" w:rsidRDefault="007E66A7" w:rsidP="009675DD">
      <w:r w:rsidRPr="00FF2C68">
        <w:t>atsižvelgdama į 2013 m. birželio 26 d. Europos Parlamento ir Tarybos reglamentą (ES) 575/2013 dėl prudencinių reikalavimų kredito įstaigoms ir investicinėms įmonėms ir kuriuo iš dalies keičiamas Reglamentas (ES) Nr. 648/2012</w:t>
      </w:r>
      <w:r w:rsidRPr="00FF2C68">
        <w:rPr>
          <w:rStyle w:val="FootnoteReference"/>
        </w:rPr>
        <w:footnoteReference w:id="2"/>
      </w:r>
      <w:r w:rsidRPr="00FF2C68">
        <w:t>, ypač į jo 434a straipsnį,</w:t>
      </w:r>
    </w:p>
    <w:p w14:paraId="6E3096F1" w14:textId="77777777" w:rsidR="0004170D" w:rsidRPr="00FF2C68" w:rsidRDefault="0004170D" w:rsidP="009675DD">
      <w:r w:rsidRPr="00FF2C68">
        <w:t>kadangi:</w:t>
      </w:r>
    </w:p>
    <w:p w14:paraId="1025300A" w14:textId="34C35C6C" w:rsidR="0094247F" w:rsidRPr="00FF2C68" w:rsidRDefault="0094247F" w:rsidP="00AD58EF">
      <w:pPr>
        <w:pStyle w:val="Considrant"/>
        <w:numPr>
          <w:ilvl w:val="0"/>
          <w:numId w:val="13"/>
        </w:numPr>
      </w:pPr>
      <w:r w:rsidRPr="00FF2C68">
        <w:t>2019 m. gruodžio mėn. Bazelio bankų priežiūros komitetas (BBPK) paskelbė konsoliduotą Bazelio sistemą, įskaitant atnaujintus 3 ramsčio informacijos atskleidimo reikalavimus</w:t>
      </w:r>
      <w:r w:rsidRPr="00FF2C68">
        <w:rPr>
          <w:rStyle w:val="FootnoteReference"/>
          <w:szCs w:val="24"/>
        </w:rPr>
        <w:footnoteReference w:id="3"/>
      </w:r>
      <w:r w:rsidRPr="00FF2C68">
        <w:t>, dauguma kurių buvo įtraukti į Reglamentą (ES) Nr. 575/2013 Europos Parlamento ir Tarybos reglamentu (ES) 2019/876</w:t>
      </w:r>
      <w:r w:rsidRPr="00FF2C68">
        <w:rPr>
          <w:rStyle w:val="FootnoteReference"/>
          <w:szCs w:val="24"/>
        </w:rPr>
        <w:footnoteReference w:id="4"/>
      </w:r>
      <w:r w:rsidRPr="00FF2C68">
        <w:t>. Siekiant įgyvendinti tuos pakeitimus, reikėtų nustatyti nuoseklią ir išsamią 3 ramsčio informacijos atskleidimo sistemą;</w:t>
      </w:r>
    </w:p>
    <w:p w14:paraId="7DB0B204" w14:textId="2AD37D2A" w:rsidR="007E66A7" w:rsidRPr="00FF2C68" w:rsidRDefault="00442C93" w:rsidP="00F5043B">
      <w:pPr>
        <w:pStyle w:val="Considrant"/>
        <w:rPr>
          <w:sz w:val="22"/>
        </w:rPr>
      </w:pPr>
      <w:r w:rsidRPr="00FF2C68">
        <w:t>Komisijos įgyvendinimo reglamentu (ES) Nr. 1423/2013</w:t>
      </w:r>
      <w:r w:rsidRPr="00FF2C68">
        <w:rPr>
          <w:rStyle w:val="FootnoteReference"/>
        </w:rPr>
        <w:footnoteReference w:id="5"/>
      </w:r>
      <w:r w:rsidRPr="00FF2C68">
        <w:t>, Komisijos deleguotuoju reglamentu (ES) 2015/1555</w:t>
      </w:r>
      <w:r w:rsidRPr="00FF2C68">
        <w:rPr>
          <w:rStyle w:val="FootnoteReference"/>
        </w:rPr>
        <w:footnoteReference w:id="6"/>
      </w:r>
      <w:r w:rsidRPr="00FF2C68">
        <w:t>, Komisijos įgyvendinimo reglamentu (ES) 2016/200</w:t>
      </w:r>
      <w:r w:rsidRPr="00FF2C68">
        <w:rPr>
          <w:rStyle w:val="FootnoteReference"/>
        </w:rPr>
        <w:footnoteReference w:id="7"/>
      </w:r>
      <w:r w:rsidRPr="00FF2C68">
        <w:t xml:space="preserve"> ir </w:t>
      </w:r>
      <w:r w:rsidRPr="00FF2C68">
        <w:lastRenderedPageBreak/>
        <w:t>Komisijos deleguotuoju reglamentu (ES) 2017/2295</w:t>
      </w:r>
      <w:r w:rsidRPr="00FF2C68">
        <w:rPr>
          <w:rStyle w:val="FootnoteReference"/>
        </w:rPr>
        <w:footnoteReference w:id="8"/>
      </w:r>
      <w:r w:rsidRPr="00FF2C68">
        <w:t xml:space="preserve"> atitinkamai nustatomas vienodas informacijos apie nuosavas lėšas, anticiklinio kapitalo rezervus, sverto koeficientą ir turto suvaržymą formatas, formos ir lentelės. Todėl vienodas formatas, formos ir lentelės turėtų būti pradėti taikyti ir atskleidžiant informaciją apie kitus prudencinius aspektus, kuriuos reikalaujama atskleisti pagal Reglamentą (ES) 2019/876. Konkrečiau, reikėtų nustatyti pagrindinių parametrų atskleidimo formą, nes tai palengvintų rinkos dalyvių galimybę susipažinti su pagrindine įstaigų informacija apie nuosavas lėšas ir likvidumą;</w:t>
      </w:r>
    </w:p>
    <w:p w14:paraId="64909A2C" w14:textId="2EE1C111" w:rsidR="007E66A7" w:rsidRPr="00FF2C68" w:rsidRDefault="00F5043B" w:rsidP="007E66A7">
      <w:pPr>
        <w:pStyle w:val="Considrant"/>
      </w:pPr>
      <w:r w:rsidRPr="00FF2C68">
        <w:t xml:space="preserve">atskleidžiant informaciją naudojamose formose ir lentelėse turėtų būti pateikiama pakankamai išsami ir palyginama informacija, kad tos informacijos naudotojai galėtų įvertinti įstaigų rizikos pobūdį ir jų atitiktį Reglamentui (ES) Nr. 575/2013. Tačiau, siekiant atsižvelgti į proporcingumo principą, nustatant informacijos atskleidimo formatą, formas ir lenteles reikėtų atsižvelgti į įstaigų dydžio ir sudėtingumo skirtumus, dėl kurių skiriasi rizikos lygiai ir rūšys, ir nustatyti papildomas ribas, kurias pasiekus turi būti atskleidžiama išsamesnė informacija; </w:t>
      </w:r>
    </w:p>
    <w:p w14:paraId="1A778372" w14:textId="13A517C4" w:rsidR="007E66A7" w:rsidRPr="00FF2C68" w:rsidRDefault="00C91C95" w:rsidP="007E66A7">
      <w:pPr>
        <w:pStyle w:val="Considrant"/>
      </w:pPr>
      <w:r w:rsidRPr="00FF2C68">
        <w:t>Reglamentu (ES) 2019/876 į Reglamentą (ES) Nr. 575/2013 įtrauktas naujas kalibruotas sverto koeficientas ir G-SII sverto koeficiento rezervas. Norint įgyvendinti tą pakeitimą ir atlikti reikiamus pozicijos apskaičiavimo koregavimus, būtina nustatyti formas ir lenteles;</w:t>
      </w:r>
    </w:p>
    <w:p w14:paraId="75FA70BF" w14:textId="1A6556E0" w:rsidR="007E66A7" w:rsidRPr="00FF2C68" w:rsidRDefault="00C91C95" w:rsidP="007E66A7">
      <w:pPr>
        <w:pStyle w:val="Considrant"/>
      </w:pPr>
      <w:r w:rsidRPr="00FF2C68">
        <w:t>Reglamentu (ES) 2019/876 į Reglamentą (ES) Nr. 575/2013 buvo įtraukti nauji informacijos apie grynąjį pastovaus finansavimo rodiklį atskleidimo reikalavimai. Norint įgyvendinti tą pakeitimą, būtina nustatyti tiems naujiems informacijos atskleidimo reikalavimams skirtą formą;</w:t>
      </w:r>
    </w:p>
    <w:p w14:paraId="23C44267" w14:textId="591E02B6" w:rsidR="007E66A7" w:rsidRPr="00FF2C68" w:rsidRDefault="00387DA9" w:rsidP="007E66A7">
      <w:pPr>
        <w:pStyle w:val="Considrant"/>
        <w:rPr>
          <w:sz w:val="22"/>
        </w:rPr>
      </w:pPr>
      <w:r w:rsidRPr="00FF2C68">
        <w:t>Reglamentu (ES) 2019/876 standartizuoti sandorio šalies kredito rizikos vertinimo metodai (SA-CCR), nustatyti Reglamente (ES) Nr. 575/2013, pakeisti labiau rizikai jautriu SA-CCR ir supaprastintu SA-CCR, taikomu iš anksto nustatytus tinkamumo kriterijus atitinkančioms įstaigoms. Be to, Reglamentu (ES) 2019/876 buvo persvarstytas pradinės pozicijos metodas. Norint įgyvendinti tuos pakeitimus, būtina nustatyti išsamų informacijos atskleidimo lentelių ir formų rinkinį;</w:t>
      </w:r>
    </w:p>
    <w:p w14:paraId="3B343C5D" w14:textId="1EC51995" w:rsidR="007E66A7" w:rsidRPr="00FF2C68" w:rsidRDefault="00B90336" w:rsidP="007E66A7">
      <w:pPr>
        <w:pStyle w:val="Considrant"/>
        <w:rPr>
          <w:sz w:val="22"/>
        </w:rPr>
      </w:pPr>
      <w:r w:rsidRPr="00FF2C68">
        <w:t>Reglamentu (ES) 2019/876 į Reglamentą (ES) Nr. 575/2013 įtrauktas naujas informacijos atskleidimo reikalavimas, taikomas veiksnioms, neveiksnioms ir restruktūrizuotoms pozicijoms, įskaitant informacijos apie gautas užtikrinimo priemones ir finansines garantijas atskleidimą. Norint įgyvendinti tą pakeitimą ir tuos naujus informacijos atskleidimo reikalavimus, būtina nustatyti išsamų formų ir lentelių rinkinį. Siekiant paprastumo ir nuoseklumo, tos formos ir lentelės turėtų būti grindžiamos informacijos atskleidimo formomis ir lentelėmis, kurias EBI jau yra parengusi savo gairėse dėl informacijos apie neveiksnias ir restruktūrizuotas pozicijas atskleidimo</w:t>
      </w:r>
      <w:r w:rsidRPr="00FF2C68">
        <w:rPr>
          <w:rStyle w:val="FootnoteReference"/>
        </w:rPr>
        <w:footnoteReference w:id="9"/>
      </w:r>
      <w:r w:rsidRPr="00FF2C68">
        <w:t>;</w:t>
      </w:r>
    </w:p>
    <w:p w14:paraId="5DFC988B" w14:textId="237020CB" w:rsidR="007E66A7" w:rsidRPr="00FF2C68" w:rsidRDefault="003E3102" w:rsidP="00B90336">
      <w:pPr>
        <w:pStyle w:val="Considrant"/>
      </w:pPr>
      <w:r w:rsidRPr="00FF2C68">
        <w:t>Europos Parlamento ir Tarybos reglamentu (ES) 2017/2401</w:t>
      </w:r>
      <w:r w:rsidRPr="00FF2C68">
        <w:rPr>
          <w:rStyle w:val="FootnoteReference"/>
        </w:rPr>
        <w:footnoteReference w:id="10"/>
      </w:r>
      <w:r w:rsidRPr="00FF2C68">
        <w:t xml:space="preserve"> Reglamentas (ES) Nr. 575/2013 buvo iš dalies pakeistas, kad jame nustatytuose kapitalo reikalavimuose būtų atsižvelgta į </w:t>
      </w:r>
      <w:r w:rsidRPr="00FF2C68">
        <w:rPr>
          <w:shd w:val="clear" w:color="auto" w:fill="FFFFFF"/>
        </w:rPr>
        <w:t>specialias PSS pakeitimo vertybiniais popieriais savybes, kaip nustatyta Europos Parlamento ir Tarybos reglamente (ES) 2017/2402</w:t>
      </w:r>
      <w:r w:rsidRPr="00FF2C68">
        <w:rPr>
          <w:rStyle w:val="FootnoteReference"/>
        </w:rPr>
        <w:footnoteReference w:id="11"/>
      </w:r>
      <w:r w:rsidRPr="00FF2C68">
        <w:rPr>
          <w:shd w:val="clear" w:color="auto" w:fill="FFFFFF"/>
        </w:rPr>
        <w:t xml:space="preserve">. </w:t>
      </w:r>
      <w:r w:rsidRPr="00FF2C68">
        <w:t xml:space="preserve">Kad būtų atsižvelgta į tą pakeitimą, </w:t>
      </w:r>
      <w:r w:rsidRPr="00FF2C68">
        <w:rPr>
          <w:shd w:val="clear" w:color="auto" w:fill="FFFFFF"/>
        </w:rPr>
        <w:t>būtina nustatyti</w:t>
      </w:r>
      <w:r w:rsidRPr="00FF2C68">
        <w:t xml:space="preserve"> naujas informacijos atskleidimo formas ir lenteles kiekybinei ir kokybinei informacijai apie pakeitimą vertybiniais popieriais teikti;</w:t>
      </w:r>
    </w:p>
    <w:p w14:paraId="3E7507C1" w14:textId="41231A67" w:rsidR="007E66A7" w:rsidRPr="00FF2C68" w:rsidRDefault="00387DA9" w:rsidP="007E66A7">
      <w:pPr>
        <w:pStyle w:val="Considrant"/>
        <w:rPr>
          <w:sz w:val="22"/>
        </w:rPr>
      </w:pPr>
      <w:r w:rsidRPr="00FF2C68">
        <w:t xml:space="preserve">Reglamentu (ES) 2019/876 iš dalies pakeisti tam tikri Reglamente (ES) Nr. 575/2013 nustatyti informacijos apie atlygį atskleidimo reikalavimai, siekiant užtikrinti, kad </w:t>
      </w:r>
      <w:r w:rsidRPr="00FF2C68">
        <w:rPr>
          <w:shd w:val="clear" w:color="auto" w:fill="FFFFFF"/>
        </w:rPr>
        <w:t>tam tikrų kategorijų darbuotojams, kurių profesinė veikla turi reikšmingą poveikį įstaigos rizikos pobūdžiui, taikoma atlygio politika ir praktika derėtų su veiksmingu rizikos valdymu.</w:t>
      </w:r>
      <w:r w:rsidRPr="00FF2C68">
        <w:t xml:space="preserve"> Šiems informacijos atskleidimo reikalavimams įgyvendinti reikėtų nustatyti informacijos atskleidimo formų ir lentelių rinkinį;</w:t>
      </w:r>
    </w:p>
    <w:p w14:paraId="023EA5B8" w14:textId="6CA470C7" w:rsidR="004427A5" w:rsidRPr="00FF2C68" w:rsidRDefault="004A1CDB" w:rsidP="007E66A7">
      <w:pPr>
        <w:pStyle w:val="Considrant"/>
        <w:rPr>
          <w:sz w:val="22"/>
        </w:rPr>
      </w:pPr>
      <w:r w:rsidRPr="00FF2C68">
        <w:t>siekiant įstaigoms pateikti išsamų ir integruotą vienodo informacijos atskleidimo formato, formų ir lentelių rinkinį ir užtikrinti aukštą atskleidžiamos informacijos kokybę, būtina nustatyti vieną bendrą informacijos atskleidimo techninių standartų rinkinį. Todėl būtina panaikinti Įgyvendinimo reglamentą (ES) Nr. 1423/2013, Deleguotąjį reglamentą (ES) 2015/1555, Įgyvendinimo reglamentą (ES) 2016/200 ir Deleguotąjį reglamentą (ES) 2017/2295;</w:t>
      </w:r>
    </w:p>
    <w:p w14:paraId="38682B7B" w14:textId="19020FBF" w:rsidR="004427A5" w:rsidRPr="00FF2C68" w:rsidRDefault="0094247F" w:rsidP="007E66A7">
      <w:pPr>
        <w:pStyle w:val="Considrant"/>
        <w:rPr>
          <w:sz w:val="22"/>
        </w:rPr>
      </w:pPr>
      <w:r w:rsidRPr="00FF2C68">
        <w:t>siekiant užtikrinti, kad įstaigos laiku atskleistų informaciją ir kad ji būtų kokybiška, joms turėtų būti suteikta pakankamai laiko pritaikyti savo vidaus sistemas informacijos atskleidimui;</w:t>
      </w:r>
    </w:p>
    <w:p w14:paraId="0F58EAE6" w14:textId="77777777" w:rsidR="007E66A7" w:rsidRPr="00FF2C68" w:rsidRDefault="007E66A7" w:rsidP="007E66A7">
      <w:pPr>
        <w:pStyle w:val="Considrant"/>
        <w:rPr>
          <w:noProof/>
        </w:rPr>
      </w:pPr>
      <w:r w:rsidRPr="00FF2C68">
        <w:t>šis reglamentas grindžiamas Europos bankininkystės institucijos (EBI) Komisijai pateiktais techninių įgyvendinimo standartų projektais;</w:t>
      </w:r>
    </w:p>
    <w:p w14:paraId="61384288" w14:textId="77777777" w:rsidR="0004170D" w:rsidRPr="00FF2C68" w:rsidRDefault="00587191" w:rsidP="00453D69">
      <w:pPr>
        <w:pStyle w:val="Considrant"/>
        <w:rPr>
          <w:noProof/>
        </w:rPr>
      </w:pPr>
      <w:r w:rsidRPr="00FF2C68">
        <w:t>EBI surengė atviras viešas konsultacijas dėl techninių įgyvendinimo standartų projektų, kuriais grindžiamas šis reglamentas, išanalizavo galimas susijusias sąnaudas ir naudą bei paprašė Bankininkystės suinteresuotųjų subjektų grupės, įsteigtos pagal Europos Parlamento ir Tarybos reglamento (ES) Nr. 1093/2010</w:t>
      </w:r>
      <w:r w:rsidRPr="00FF2C68">
        <w:rPr>
          <w:rStyle w:val="FootnoteReference"/>
          <w:noProof/>
        </w:rPr>
        <w:footnoteReference w:id="12"/>
      </w:r>
      <w:r w:rsidRPr="00FF2C68">
        <w:t xml:space="preserve"> 37 straipsnį, pateikti rekomendacijų, </w:t>
      </w:r>
    </w:p>
    <w:p w14:paraId="465D5876" w14:textId="77777777" w:rsidR="0004170D" w:rsidRPr="00FF2C68" w:rsidRDefault="0004170D" w:rsidP="009675DD">
      <w:pPr>
        <w:pStyle w:val="Formuledadoption"/>
      </w:pPr>
      <w:r w:rsidRPr="00FF2C68">
        <w:t>PRIĖMĖ ŠĮ REGLAMENTĄ:</w:t>
      </w:r>
    </w:p>
    <w:p w14:paraId="6CA0BD21" w14:textId="643FC984" w:rsidR="00FF364B" w:rsidRPr="00FF2C68" w:rsidRDefault="00FF364B" w:rsidP="00FF364B">
      <w:pPr>
        <w:pStyle w:val="Titrearticle"/>
      </w:pPr>
      <w:r w:rsidRPr="00FF2C68">
        <w:t>1 straipsnis</w:t>
      </w:r>
    </w:p>
    <w:p w14:paraId="6D84878F" w14:textId="77777777" w:rsidR="007E66A7" w:rsidRPr="00FF2C68" w:rsidRDefault="007E66A7" w:rsidP="007E66A7">
      <w:pPr>
        <w:pStyle w:val="Titrearticle"/>
        <w:spacing w:before="120"/>
        <w:rPr>
          <w:b/>
          <w:i w:val="0"/>
        </w:rPr>
      </w:pPr>
      <w:r w:rsidRPr="00FF2C68">
        <w:rPr>
          <w:b/>
          <w:i w:val="0"/>
        </w:rPr>
        <w:t>Pagrindinių parametrų atskleidimas ir pagal riziką įvertintų pozicijų sumų apžvalga</w:t>
      </w:r>
    </w:p>
    <w:p w14:paraId="10515A6F" w14:textId="15D523D9" w:rsidR="007E66A7" w:rsidRPr="00FF2C68" w:rsidRDefault="007E66A7" w:rsidP="00F5043B">
      <w:pPr>
        <w:pStyle w:val="NumPar1"/>
        <w:numPr>
          <w:ilvl w:val="0"/>
          <w:numId w:val="14"/>
        </w:numPr>
        <w:tabs>
          <w:tab w:val="clear" w:pos="850"/>
          <w:tab w:val="left" w:pos="567"/>
        </w:tabs>
        <w:ind w:left="0" w:firstLine="0"/>
      </w:pPr>
      <w:r w:rsidRPr="00FF2C68">
        <w:t>Įstaigos Reglamento (ES) Nr. 575/2013 447 straipsnio a–g punktuose ir 438 straipsnio b punkte nurodytą informaciją atskleidžia naudodamos šio reglamento I priede pateiktą EU KM1 formą ir vadovaudamosi šio reglamento II priede pateiktais nurodymais.</w:t>
      </w:r>
    </w:p>
    <w:p w14:paraId="1C0713F1" w14:textId="2AC5B746" w:rsidR="007E66A7" w:rsidRPr="00FF2C68" w:rsidRDefault="007E66A7" w:rsidP="00F5043B">
      <w:pPr>
        <w:pStyle w:val="NumPar1"/>
        <w:tabs>
          <w:tab w:val="clear" w:pos="850"/>
          <w:tab w:val="left" w:pos="567"/>
        </w:tabs>
        <w:ind w:left="0" w:firstLine="0"/>
      </w:pPr>
      <w:r w:rsidRPr="00FF2C68">
        <w:t>Įstaigos Reglamento (ES) Nr. 575/2013 438 straipsnio d punkte nurodytą informaciją atskleidžia naudodamos šio reglamento I priede pateiktą EU OV1 formą ir vadovaudamosi šio reglamento II priede pateiktais nurodymais.</w:t>
      </w:r>
    </w:p>
    <w:p w14:paraId="5694C031" w14:textId="6F8BAA89" w:rsidR="007E66A7" w:rsidRPr="00FF2C68" w:rsidRDefault="007E66A7" w:rsidP="00F5043B">
      <w:pPr>
        <w:pStyle w:val="NumPar1"/>
        <w:tabs>
          <w:tab w:val="clear" w:pos="850"/>
          <w:tab w:val="left" w:pos="567"/>
        </w:tabs>
        <w:ind w:left="0" w:firstLine="0"/>
      </w:pPr>
      <w:r w:rsidRPr="00FF2C68">
        <w:t>Įstaigos Reglamento (ES) Nr. 575/2013 438 straipsnio a ir c punktuose nurodytą informaciją atskleidžia naudodamos šio reglamento I priede pateiktą EU OVC lentelę ir vadovaudamosi šio reglamento II priede pateiktais nurodymais.</w:t>
      </w:r>
    </w:p>
    <w:p w14:paraId="239E081F" w14:textId="1C4A0E84" w:rsidR="007E66A7" w:rsidRPr="00FF2C68" w:rsidRDefault="007E66A7" w:rsidP="00F5043B">
      <w:pPr>
        <w:pStyle w:val="NumPar1"/>
        <w:tabs>
          <w:tab w:val="clear" w:pos="850"/>
          <w:tab w:val="left" w:pos="567"/>
        </w:tabs>
        <w:ind w:left="0" w:firstLine="0"/>
      </w:pPr>
      <w:r w:rsidRPr="00FF2C68">
        <w:t>Įstaigos Reglamento (ES) Nr. 575/2013 438 straipsnio f ir g punktuose nurodytą informaciją atskleidžia naudodamos šio reglamento I priede pateiktas EU INS1 ir EU INS2 formas ir vadovaudamosi šio reglamento II priede pateiktais nurodymais.</w:t>
      </w:r>
    </w:p>
    <w:p w14:paraId="00AA4B75" w14:textId="77777777" w:rsidR="00725875" w:rsidRPr="00FF2C68" w:rsidRDefault="00725875" w:rsidP="00725875">
      <w:pPr>
        <w:pStyle w:val="Titrearticle"/>
      </w:pPr>
      <w:r w:rsidRPr="00FF2C68">
        <w:t>2 straipsnis</w:t>
      </w:r>
    </w:p>
    <w:p w14:paraId="201D71D7" w14:textId="77777777" w:rsidR="007E66A7" w:rsidRPr="00FF2C68" w:rsidRDefault="007E66A7" w:rsidP="007E66A7">
      <w:pPr>
        <w:pStyle w:val="Titrearticle"/>
        <w:spacing w:before="120"/>
        <w:rPr>
          <w:b/>
          <w:i w:val="0"/>
        </w:rPr>
      </w:pPr>
      <w:r w:rsidRPr="00FF2C68">
        <w:rPr>
          <w:b/>
          <w:i w:val="0"/>
        </w:rPr>
        <w:t>Rizikos valdymo tikslų ir politikos atskleidimas</w:t>
      </w:r>
    </w:p>
    <w:p w14:paraId="24A510A3" w14:textId="6F22E094" w:rsidR="007E66A7" w:rsidRPr="00FF2C68" w:rsidRDefault="007E66A7" w:rsidP="007E66A7">
      <w:pPr>
        <w:rPr>
          <w:i/>
        </w:rPr>
      </w:pPr>
      <w:r w:rsidRPr="00FF2C68">
        <w:t>Įstaigos Reglamento (ES) Nr. 575/2013 435 straipsnyje nurodytą informaciją atskleidžia naudodamos šio reglamento III priede pateiktas EU OVA ir EU OVB lenteles ir vadovaudamosi šio reglamento IV priede pateiktais nurodymais.</w:t>
      </w:r>
    </w:p>
    <w:p w14:paraId="6B7BFFC9" w14:textId="1A03E595" w:rsidR="00725875" w:rsidRPr="00FF2C68" w:rsidRDefault="00725875" w:rsidP="00725875">
      <w:pPr>
        <w:pStyle w:val="Titrearticle"/>
      </w:pPr>
      <w:r w:rsidRPr="00FF2C68">
        <w:t>3 straipsnis</w:t>
      </w:r>
    </w:p>
    <w:p w14:paraId="0F10BDEB" w14:textId="77777777" w:rsidR="009F40BE" w:rsidRPr="00FF2C68" w:rsidRDefault="009F40BE" w:rsidP="00F5043B">
      <w:pPr>
        <w:pStyle w:val="Titrearticle"/>
        <w:tabs>
          <w:tab w:val="left" w:pos="567"/>
        </w:tabs>
        <w:spacing w:before="120"/>
        <w:rPr>
          <w:b/>
          <w:i w:val="0"/>
        </w:rPr>
      </w:pPr>
      <w:r w:rsidRPr="00FF2C68">
        <w:rPr>
          <w:b/>
          <w:i w:val="0"/>
        </w:rPr>
        <w:t xml:space="preserve">Taikymo srities atskleidimas </w:t>
      </w:r>
    </w:p>
    <w:p w14:paraId="10528DDB" w14:textId="1D023DA6" w:rsidR="009F40BE" w:rsidRPr="00FF2C68" w:rsidRDefault="009F40BE" w:rsidP="00F5043B">
      <w:pPr>
        <w:pStyle w:val="NumPar1"/>
        <w:numPr>
          <w:ilvl w:val="0"/>
          <w:numId w:val="10"/>
        </w:numPr>
        <w:tabs>
          <w:tab w:val="clear" w:pos="850"/>
          <w:tab w:val="left" w:pos="567"/>
        </w:tabs>
        <w:ind w:left="0" w:firstLine="0"/>
      </w:pPr>
      <w:r w:rsidRPr="00FF2C68">
        <w:t>Įstaigos Reglamento (ES) Nr. 575/2013 436 straipsnio b ir c punktuose nurodytą informaciją atskleidžia naudodamos šio reglamento V priede pateiktas EU LI1 ir EU LI3 formas ir vadovaudamosi šio reglamento VI priede pateiktais nurodymais.</w:t>
      </w:r>
    </w:p>
    <w:p w14:paraId="4A18C7DA" w14:textId="677610A6" w:rsidR="009F40BE" w:rsidRPr="00FF2C68" w:rsidRDefault="009F40BE" w:rsidP="00F5043B">
      <w:pPr>
        <w:pStyle w:val="NumPar1"/>
        <w:tabs>
          <w:tab w:val="clear" w:pos="850"/>
          <w:tab w:val="left" w:pos="567"/>
        </w:tabs>
        <w:ind w:left="0" w:firstLine="0"/>
      </w:pPr>
      <w:r w:rsidRPr="00FF2C68">
        <w:t>Įstaigos Reglamento (ES) Nr. 575/2013 436 straipsnio b ir d punktuose nurodytą informaciją atskleidžia naudodamos šio reglamento V priede pateiktą EU LI2 formą ir EU LIA lentelę ir vadovaudamosi šio reglamento VI priede pateiktais nurodymais.</w:t>
      </w:r>
    </w:p>
    <w:p w14:paraId="33B7C000" w14:textId="77777777" w:rsidR="009F40BE" w:rsidRPr="00FF2C68" w:rsidRDefault="009F40BE" w:rsidP="00F5043B">
      <w:pPr>
        <w:pStyle w:val="NumPar1"/>
        <w:tabs>
          <w:tab w:val="clear" w:pos="850"/>
          <w:tab w:val="left" w:pos="567"/>
        </w:tabs>
        <w:ind w:left="0" w:firstLine="0"/>
      </w:pPr>
      <w:r w:rsidRPr="00FF2C68">
        <w:t>Įstaigos Reglamento (ES) Nr. 575/2013 436 straipsnio e punkte nurodytą informaciją atskleidžia naudodamos šio reglamento V priede pateiktą EU PV1 formą ir vadovaudamosi šio reglamento VI priede pateiktais nurodymais.</w:t>
      </w:r>
    </w:p>
    <w:p w14:paraId="2B4D969E" w14:textId="77777777" w:rsidR="009F40BE" w:rsidRPr="00FF2C68" w:rsidRDefault="009F40BE" w:rsidP="00F5043B">
      <w:pPr>
        <w:pStyle w:val="NumPar1"/>
        <w:tabs>
          <w:tab w:val="clear" w:pos="850"/>
          <w:tab w:val="left" w:pos="567"/>
        </w:tabs>
        <w:ind w:left="0" w:firstLine="0"/>
      </w:pPr>
      <w:r w:rsidRPr="00FF2C68">
        <w:t>Įstaigos Reglamento (ES) Nr. 575/2013 436 straipsnio f, g ir h punktuose nurodytą informaciją atskleidžia naudodamos šio reglamento V priede pateiktą EU LIB lentelę ir vadovaudamosi šio reglamento VI priede pateiktais nurodymais.</w:t>
      </w:r>
    </w:p>
    <w:p w14:paraId="5A980456" w14:textId="7A03DA4D" w:rsidR="00725875" w:rsidRPr="00FF2C68" w:rsidRDefault="00725875" w:rsidP="00725875">
      <w:pPr>
        <w:pStyle w:val="Titrearticle"/>
      </w:pPr>
      <w:r w:rsidRPr="00FF2C68">
        <w:t>4 straipsnis</w:t>
      </w:r>
    </w:p>
    <w:p w14:paraId="14EB4863" w14:textId="4CD9C9AF" w:rsidR="009F40BE" w:rsidRPr="00FF2C68" w:rsidRDefault="00FF2C68" w:rsidP="009F40BE">
      <w:pPr>
        <w:pStyle w:val="Titrearticle"/>
        <w:spacing w:before="120"/>
        <w:rPr>
          <w:b/>
          <w:i w:val="0"/>
        </w:rPr>
      </w:pPr>
      <w:r w:rsidRPr="00FF2C68">
        <w:rPr>
          <w:b/>
          <w:i w:val="0"/>
        </w:rPr>
        <w:t>Informacijos apie nuosavas lėšas atskleidimas</w:t>
      </w:r>
    </w:p>
    <w:p w14:paraId="2144BC15" w14:textId="00DAA361" w:rsidR="009F40BE" w:rsidRPr="00FF2C68" w:rsidRDefault="009F40BE" w:rsidP="009F40BE">
      <w:pPr>
        <w:rPr>
          <w:i/>
        </w:rPr>
      </w:pPr>
      <w:r w:rsidRPr="00FF2C68">
        <w:t>Įstaigos Reglamento (ES) Nr. 575/2013 437 straipsnyje nurodytą informaciją atskleidžia taip:</w:t>
      </w:r>
    </w:p>
    <w:p w14:paraId="64F03B5B" w14:textId="77777777" w:rsidR="009F40BE" w:rsidRPr="00FF2C68" w:rsidRDefault="005F490A" w:rsidP="00F5043B">
      <w:pPr>
        <w:pStyle w:val="Point1letter"/>
        <w:numPr>
          <w:ilvl w:val="3"/>
          <w:numId w:val="15"/>
        </w:numPr>
        <w:tabs>
          <w:tab w:val="clear" w:pos="1417"/>
        </w:tabs>
        <w:ind w:left="567"/>
      </w:pPr>
      <w:r w:rsidRPr="00FF2C68">
        <w:t>Reglamento (ES) Nr. 575/2013 437 straipsnio a, d, e ir f punktuose nurodytą informaciją – naudodamos šio reglamento VII priede pateiktas EU CC1 ir EU CC2 formas ir vadovaudamosi šio reglamento VIII priede pateiktais nurodymais;</w:t>
      </w:r>
    </w:p>
    <w:p w14:paraId="6F220811" w14:textId="77777777" w:rsidR="009F40BE" w:rsidRPr="00FF2C68" w:rsidRDefault="005F490A" w:rsidP="00F5043B">
      <w:pPr>
        <w:pStyle w:val="Point1letter"/>
        <w:tabs>
          <w:tab w:val="clear" w:pos="1417"/>
        </w:tabs>
        <w:ind w:left="567"/>
      </w:pPr>
      <w:r w:rsidRPr="00FF2C68">
        <w:t>Reglamento (ES) Nr. 575/2013 437 straipsnio b ir c punktuose nurodytą informaciją – naudodamos šio reglamento VII priede pateiktą EU CCA lentelę ir vadovaudamosi šio reglamento VIII priede pateiktais nurodymais.</w:t>
      </w:r>
    </w:p>
    <w:p w14:paraId="079C779B" w14:textId="5EBA66D3" w:rsidR="00A10245" w:rsidRPr="00FF2C68" w:rsidRDefault="00A10245" w:rsidP="00A10245">
      <w:pPr>
        <w:pStyle w:val="Titrearticle"/>
      </w:pPr>
      <w:r w:rsidRPr="00FF2C68">
        <w:t xml:space="preserve">5 straipsnis </w:t>
      </w:r>
    </w:p>
    <w:p w14:paraId="18A51980" w14:textId="77777777" w:rsidR="009F40BE" w:rsidRPr="00FF2C68" w:rsidRDefault="009F40BE" w:rsidP="009F40BE">
      <w:pPr>
        <w:pStyle w:val="Titrearticle"/>
        <w:spacing w:before="120"/>
        <w:rPr>
          <w:b/>
          <w:i w:val="0"/>
        </w:rPr>
      </w:pPr>
      <w:r w:rsidRPr="00FF2C68">
        <w:rPr>
          <w:b/>
          <w:i w:val="0"/>
        </w:rPr>
        <w:t>Anticiklinių kapitalo rezervų atskleidimas</w:t>
      </w:r>
    </w:p>
    <w:p w14:paraId="10D01314" w14:textId="30079B66" w:rsidR="009F40BE" w:rsidRPr="00FF2C68" w:rsidRDefault="009F40BE" w:rsidP="009F40BE">
      <w:r w:rsidRPr="00FF2C68">
        <w:t>Įstaigos Reglamento (ES) Nr. 575/2013 440 straipsnyje nurodytą informaciją atskleidžia taip:</w:t>
      </w:r>
    </w:p>
    <w:p w14:paraId="197895FF" w14:textId="77777777" w:rsidR="009F40BE" w:rsidRPr="00FF2C68" w:rsidRDefault="005F490A" w:rsidP="00F5043B">
      <w:pPr>
        <w:pStyle w:val="Point1letter"/>
        <w:numPr>
          <w:ilvl w:val="3"/>
          <w:numId w:val="11"/>
        </w:numPr>
        <w:tabs>
          <w:tab w:val="clear" w:pos="1417"/>
        </w:tabs>
        <w:ind w:left="567"/>
      </w:pPr>
      <w:r w:rsidRPr="00FF2C68">
        <w:t>Reglamento (ES) Nr. 575/2013 440 straipsnio a punkte nurodytą informaciją – naudodamos šio reglamento IX priede pateiktą EU CCYB1 formą ir vadovaudamosi šio reglamento X priede pateiktais nurodymais;</w:t>
      </w:r>
    </w:p>
    <w:p w14:paraId="421F2629" w14:textId="77777777" w:rsidR="009F40BE" w:rsidRPr="00FF2C68" w:rsidRDefault="00E42EC8" w:rsidP="00F5043B">
      <w:pPr>
        <w:pStyle w:val="Point1letter"/>
        <w:tabs>
          <w:tab w:val="clear" w:pos="1417"/>
        </w:tabs>
        <w:ind w:left="567"/>
      </w:pPr>
      <w:r w:rsidRPr="00FF2C68">
        <w:t>Reglamento (ES) Nr. 575/2013 440 straipsnio b punkte nurodytą informaciją – naudodamos šio reglamento IX priede pateiktą EU CCYB2 formą ir vadovaudamosi šio reglamento X priede pateiktais nurodymais.</w:t>
      </w:r>
    </w:p>
    <w:p w14:paraId="4007DA85" w14:textId="2EE168D4" w:rsidR="00496B08" w:rsidRPr="00FF2C68" w:rsidRDefault="00496B08" w:rsidP="00496B08">
      <w:pPr>
        <w:pStyle w:val="Titrearticle"/>
      </w:pPr>
      <w:r w:rsidRPr="00FF2C68">
        <w:t>6 straipsnis</w:t>
      </w:r>
    </w:p>
    <w:p w14:paraId="0857022D" w14:textId="77777777" w:rsidR="009F40BE" w:rsidRPr="00FF2C68" w:rsidRDefault="009F40BE" w:rsidP="009F40BE">
      <w:pPr>
        <w:pStyle w:val="Titrearticle"/>
        <w:spacing w:before="120"/>
        <w:rPr>
          <w:b/>
          <w:i w:val="0"/>
        </w:rPr>
      </w:pPr>
      <w:r w:rsidRPr="00FF2C68">
        <w:rPr>
          <w:b/>
          <w:i w:val="0"/>
        </w:rPr>
        <w:t>Sverto koeficiento atskleidimas</w:t>
      </w:r>
    </w:p>
    <w:p w14:paraId="0CFB345E" w14:textId="204FA202" w:rsidR="009F40BE" w:rsidRPr="00FF2C68" w:rsidRDefault="009F40BE" w:rsidP="009F40BE">
      <w:r w:rsidRPr="00FF2C68">
        <w:t>Įstaigos Reglamento (ES) Nr. 575/2013 451 straipsnyje nurodytą informaciją atskleidžia taip:</w:t>
      </w:r>
    </w:p>
    <w:p w14:paraId="1C14C095" w14:textId="77777777" w:rsidR="009F40BE" w:rsidRPr="00FF2C68" w:rsidRDefault="00786078" w:rsidP="00F5043B">
      <w:pPr>
        <w:pStyle w:val="Point1letter"/>
        <w:numPr>
          <w:ilvl w:val="3"/>
          <w:numId w:val="12"/>
        </w:numPr>
        <w:tabs>
          <w:tab w:val="clear" w:pos="1417"/>
        </w:tabs>
        <w:ind w:left="567"/>
      </w:pPr>
      <w:r w:rsidRPr="00FF2C68">
        <w:t>Reglamento (ES) Nr. 575/2013 451 straipsnio 1 dalies a, b ir c punktuose, 2 ir 3 dalyse nurodytą informaciją – naudodamos šio reglamento XI priede pateiktas EU LR1, EU LR2 ir EU LR3 formas ir vadovaudamosi šio reglamento XII priede pateiktais nurodymais;</w:t>
      </w:r>
    </w:p>
    <w:p w14:paraId="632CE413" w14:textId="77777777" w:rsidR="009F40BE" w:rsidRPr="00FF2C68" w:rsidRDefault="00786078" w:rsidP="00F5043B">
      <w:pPr>
        <w:pStyle w:val="Point1letter"/>
        <w:tabs>
          <w:tab w:val="clear" w:pos="1417"/>
        </w:tabs>
        <w:ind w:left="567"/>
      </w:pPr>
      <w:r w:rsidRPr="00FF2C68">
        <w:t>Reglamento (ES) Nr. 575/2013 451 straipsnio 1 dalies d ir e punktuose nurodytą informaciją – naudodamos šio reglamento XI priede pateiktą EU LRA lentelę ir vadovaudamosi šio reglamento XII priede pateiktais nurodymais.</w:t>
      </w:r>
    </w:p>
    <w:p w14:paraId="4C36A5D6" w14:textId="2A06F27B" w:rsidR="00496B08" w:rsidRPr="00FF2C68" w:rsidRDefault="00496B08" w:rsidP="00496B08">
      <w:pPr>
        <w:pStyle w:val="Titrearticle"/>
      </w:pPr>
      <w:r w:rsidRPr="00FF2C68">
        <w:t>7 straipsnis</w:t>
      </w:r>
    </w:p>
    <w:p w14:paraId="6784E306" w14:textId="77777777" w:rsidR="00A858BC" w:rsidRPr="00FF2C68" w:rsidRDefault="00A858BC" w:rsidP="00A858BC">
      <w:pPr>
        <w:pStyle w:val="Titrearticle"/>
        <w:spacing w:before="120"/>
        <w:rPr>
          <w:b/>
          <w:i w:val="0"/>
        </w:rPr>
      </w:pPr>
      <w:r w:rsidRPr="00FF2C68">
        <w:rPr>
          <w:b/>
          <w:i w:val="0"/>
        </w:rPr>
        <w:t>Likvidumo reikalavimų atskleidimas</w:t>
      </w:r>
    </w:p>
    <w:p w14:paraId="700646AD" w14:textId="45F364CC" w:rsidR="000715FC" w:rsidRPr="00FF2C68" w:rsidRDefault="000715FC" w:rsidP="003D44B9">
      <w:pPr>
        <w:rPr>
          <w:i/>
        </w:rPr>
      </w:pPr>
      <w:r w:rsidRPr="00FF2C68">
        <w:t>Įstaigos Reglamento (ES) Nr. 575/2013 435 straipsnio 1 dalyje ir 451a straipsnyje nurodytą informaciją atskleidžia taip:</w:t>
      </w:r>
    </w:p>
    <w:p w14:paraId="3BD25176" w14:textId="77777777" w:rsidR="00A858BC" w:rsidRPr="00FF2C68" w:rsidRDefault="00D001B4" w:rsidP="00F5043B">
      <w:pPr>
        <w:pStyle w:val="Point1letter"/>
        <w:numPr>
          <w:ilvl w:val="3"/>
          <w:numId w:val="16"/>
        </w:numPr>
        <w:tabs>
          <w:tab w:val="clear" w:pos="1417"/>
        </w:tabs>
        <w:ind w:left="567"/>
      </w:pPr>
      <w:r w:rsidRPr="00FF2C68">
        <w:t>Reglamento (ES) Nr. 575/2013 435 straipsnio 1 dalyje ir 451a straipsnio 4 dalyje nurodytą informaciją – naudodamos šio reglamento XIII priede pateiktą EU LIQA lentelę ir vadovaudamosi šio reglamento XIV priede pateiktais nurodymais;</w:t>
      </w:r>
    </w:p>
    <w:p w14:paraId="0E8BE407" w14:textId="77777777" w:rsidR="00A858BC" w:rsidRPr="00FF2C68" w:rsidRDefault="00D001B4" w:rsidP="00F5043B">
      <w:pPr>
        <w:pStyle w:val="Point1letter"/>
        <w:numPr>
          <w:ilvl w:val="3"/>
          <w:numId w:val="16"/>
        </w:numPr>
        <w:tabs>
          <w:tab w:val="clear" w:pos="1417"/>
        </w:tabs>
        <w:ind w:left="567"/>
      </w:pPr>
      <w:r w:rsidRPr="00FF2C68">
        <w:t>Reglamento (ES) Nr. 575/2013 451a straipsnio 2 dalyje nurodytą informaciją – naudodamos šio reglamento XIII priede pateiktą EU LIQ1 formą ir EU LIQB lentelę ir vadovaudamosi šio reglamento XIV priede pateiktais nurodymais;</w:t>
      </w:r>
    </w:p>
    <w:p w14:paraId="27B790F3" w14:textId="77777777" w:rsidR="00A858BC" w:rsidRPr="00FF2C68" w:rsidRDefault="00D001B4" w:rsidP="00F5043B">
      <w:pPr>
        <w:pStyle w:val="Point1letter"/>
        <w:numPr>
          <w:ilvl w:val="3"/>
          <w:numId w:val="16"/>
        </w:numPr>
        <w:tabs>
          <w:tab w:val="clear" w:pos="1417"/>
        </w:tabs>
        <w:ind w:left="567"/>
      </w:pPr>
      <w:r w:rsidRPr="00FF2C68">
        <w:t>Reglamento (ES) Nr. 575/2013 451a straipsnio 3 dalyje nurodytą informaciją – naudodamos šio reglamento XIII priede pateiktą EU LIQ2 formą ir vadovaudamosi šio reglamento XIV priede pateiktais nurodymais.</w:t>
      </w:r>
    </w:p>
    <w:p w14:paraId="48407ACA" w14:textId="256EC5A5" w:rsidR="00496B08" w:rsidRPr="00FF2C68" w:rsidRDefault="00496B08" w:rsidP="00496B08">
      <w:pPr>
        <w:pStyle w:val="Titrearticle"/>
      </w:pPr>
      <w:r w:rsidRPr="00FF2C68">
        <w:t>8 straipsnis</w:t>
      </w:r>
    </w:p>
    <w:p w14:paraId="6CB38048" w14:textId="77777777" w:rsidR="00A858BC" w:rsidRPr="00FF2C68" w:rsidRDefault="00A858BC" w:rsidP="00A858BC">
      <w:pPr>
        <w:pStyle w:val="Titrearticle"/>
        <w:spacing w:before="120"/>
        <w:rPr>
          <w:b/>
          <w:i w:val="0"/>
        </w:rPr>
      </w:pPr>
      <w:r w:rsidRPr="00FF2C68">
        <w:rPr>
          <w:b/>
          <w:i w:val="0"/>
        </w:rPr>
        <w:t>Kredito rizikos ir gautinų sumų sumažėjimo rizikos pozicijų ir kredito kokybės atskleidimas</w:t>
      </w:r>
    </w:p>
    <w:p w14:paraId="3D4D2F63" w14:textId="25A1151F" w:rsidR="00A858BC" w:rsidRPr="00FF2C68" w:rsidRDefault="00A858BC" w:rsidP="000747E8">
      <w:pPr>
        <w:pStyle w:val="NumPar1"/>
        <w:numPr>
          <w:ilvl w:val="0"/>
          <w:numId w:val="29"/>
        </w:numPr>
        <w:tabs>
          <w:tab w:val="clear" w:pos="850"/>
          <w:tab w:val="left" w:pos="567"/>
        </w:tabs>
        <w:ind w:left="0" w:firstLine="0"/>
      </w:pPr>
      <w:r w:rsidRPr="00FF2C68">
        <w:t>Įstaigos Reglamento (ES) Nr. 575/2013 435 ir 442 straipsniuose nurodytą informaciją atskleidžia taip:</w:t>
      </w:r>
    </w:p>
    <w:p w14:paraId="551FABBA" w14:textId="025FF9DD" w:rsidR="00A858BC" w:rsidRPr="00FF2C68" w:rsidRDefault="00D001B4" w:rsidP="00F5043B">
      <w:pPr>
        <w:pStyle w:val="Point1letter"/>
        <w:numPr>
          <w:ilvl w:val="3"/>
          <w:numId w:val="17"/>
        </w:numPr>
        <w:tabs>
          <w:tab w:val="clear" w:pos="1417"/>
        </w:tabs>
        <w:ind w:left="567"/>
      </w:pPr>
      <w:r w:rsidRPr="00FF2C68">
        <w:t>Reglamento (ES) Nr. 575/2013 435 straipsnio 1 dalies a, b, d ir f punktuose nurodytą informaciją – naudodamos šio reglamento XV priede pateiktą EU CRA lentelę ir vadovaudamosi šio reglamento XVI priede pateiktais nurodymais;</w:t>
      </w:r>
    </w:p>
    <w:p w14:paraId="3B0BD257" w14:textId="77777777" w:rsidR="00A858BC" w:rsidRPr="00FF2C68" w:rsidRDefault="00D001B4" w:rsidP="00F5043B">
      <w:pPr>
        <w:pStyle w:val="Point1letter"/>
        <w:numPr>
          <w:ilvl w:val="3"/>
          <w:numId w:val="16"/>
        </w:numPr>
        <w:tabs>
          <w:tab w:val="clear" w:pos="1417"/>
        </w:tabs>
        <w:ind w:left="567"/>
      </w:pPr>
      <w:r w:rsidRPr="00FF2C68">
        <w:t>Reglamento (ES) Nr. 575/2013 442 straipsnio a ir b punktuose nurodytą informaciją – naudodamos šio reglamento XV priede pateiktą EU CRB lentelę ir vadovaudamosi šio reglamento XVI priede pateiktais nurodymais;</w:t>
      </w:r>
    </w:p>
    <w:p w14:paraId="4F91304B" w14:textId="2B42A7AB" w:rsidR="00A858BC" w:rsidRPr="00FF2C68" w:rsidRDefault="00D001B4" w:rsidP="00F5043B">
      <w:pPr>
        <w:pStyle w:val="Point1letter"/>
        <w:numPr>
          <w:ilvl w:val="3"/>
          <w:numId w:val="16"/>
        </w:numPr>
        <w:tabs>
          <w:tab w:val="clear" w:pos="1417"/>
        </w:tabs>
        <w:ind w:left="567"/>
      </w:pPr>
      <w:r w:rsidRPr="00FF2C68">
        <w:t>Reglamento (ES) Nr. 575/2013 442 straipsnio d punkte nurodytą informaciją – naudodamos šio reglamento XV priede pateiktą EU CQ3 formą ir vadovaudamosi šio reglamento XVI priede pateiktais nurodymais;</w:t>
      </w:r>
    </w:p>
    <w:p w14:paraId="0FF67B2D" w14:textId="77777777" w:rsidR="00A858BC" w:rsidRPr="00FF2C68" w:rsidRDefault="00D001B4" w:rsidP="00F5043B">
      <w:pPr>
        <w:pStyle w:val="Point1letter"/>
        <w:numPr>
          <w:ilvl w:val="3"/>
          <w:numId w:val="16"/>
        </w:numPr>
        <w:tabs>
          <w:tab w:val="clear" w:pos="1417"/>
        </w:tabs>
        <w:ind w:left="567"/>
      </w:pPr>
      <w:r w:rsidRPr="00FF2C68">
        <w:t>Reglamento (ES) Nr. 575/2013 442 straipsnio g punkte nurodytą informaciją – naudodamos šio reglamento XV priede pateiktą EU CR1-A formą ir vadovaudamosi šio reglamento XVI priede pateiktais nurodymais;</w:t>
      </w:r>
    </w:p>
    <w:p w14:paraId="7DE01D39" w14:textId="737CC624" w:rsidR="00A858BC" w:rsidRPr="00FF2C68" w:rsidRDefault="00D001B4" w:rsidP="00F5043B">
      <w:pPr>
        <w:pStyle w:val="Point1letter"/>
        <w:numPr>
          <w:ilvl w:val="3"/>
          <w:numId w:val="16"/>
        </w:numPr>
        <w:tabs>
          <w:tab w:val="clear" w:pos="1417"/>
        </w:tabs>
        <w:ind w:left="567"/>
      </w:pPr>
      <w:r w:rsidRPr="00FF2C68">
        <w:t>Reglamento (ES) Nr. 575/2013 442 straipsnio f punkte nurodytą informaciją – naudodamos šio reglamento XV priede pateiktą EU CR2 formą ir vadovaudamosi šio reglamento XVI priede pateiktais nurodymais;</w:t>
      </w:r>
    </w:p>
    <w:p w14:paraId="27C265A9" w14:textId="77777777" w:rsidR="00DF14E1" w:rsidRPr="00FF2C68" w:rsidRDefault="00A858BC" w:rsidP="00DF14E1">
      <w:pPr>
        <w:pStyle w:val="NumPar1"/>
        <w:tabs>
          <w:tab w:val="clear" w:pos="850"/>
          <w:tab w:val="left" w:pos="567"/>
        </w:tabs>
        <w:ind w:left="0" w:firstLine="0"/>
      </w:pPr>
      <w:r w:rsidRPr="00FF2C68">
        <w:t>Įstaigos Reglamento (ES) Nr. 575/2013 442 straipsnio c, e ir f punktuose nurodytą informaciją atskleidžia naudodamos šio reglamento XV priede pateiktas EU CR1, EU CQ1 ir EU CQ7 formas, EU CQ4 formos a, c, e, f ir g skiltis ir EU CQ5 formos a, c, e ir f skiltis ir vadovaudamosi šio reglamento XVI priede pateiktais nurodymais.</w:t>
      </w:r>
    </w:p>
    <w:p w14:paraId="12433EF1" w14:textId="245C024E" w:rsidR="00A858BC" w:rsidRPr="00FF2C68" w:rsidRDefault="00956448" w:rsidP="00DF14E1">
      <w:pPr>
        <w:pStyle w:val="NumPar1"/>
        <w:tabs>
          <w:tab w:val="clear" w:pos="850"/>
          <w:tab w:val="left" w:pos="567"/>
        </w:tabs>
        <w:ind w:left="0" w:firstLine="0"/>
      </w:pPr>
      <w:r w:rsidRPr="00FF2C68">
        <w:t xml:space="preserve">Didelės įstaigos, kurių paskolų ir kitų išankstinių mokėjimų, patenkančių į Reglamento (ES) Nr. 575/2013 47a straipsnio 3 dalies taikymo sritį, bendros balansinės vertės ir paskolų bei kitų išankstinių mokėjimų, patenkančių į to reglamento 47a straipsnio 1 dalies taikymo sritį, visos bendros balansinės vertės santykis yra lygus 5 % arba didesnis, naudoja ne tik 2 dalyje nurodytas formas ir skiltis, bet Reglamento (ES) Nr. 575/2013 442 straipsnio c ir f punktuose nurodytą informaciją atskleidžia naudodamos ir šio reglamento XV priede pateiktas EU CR2a, EU CQ2, EU CQ6 ir EU CQ8 formas, EU CQ4 ir EU CQ5 formų b ir d skiltis ir vadovaudamosi XVI priede pateiktais nurodymais. Tą informaciją jos atskleidžia kasmet. </w:t>
      </w:r>
    </w:p>
    <w:p w14:paraId="38D26DBB" w14:textId="2FAF3A75" w:rsidR="00A858BC" w:rsidRPr="00FF2C68" w:rsidRDefault="00A858BC" w:rsidP="00F5043B">
      <w:pPr>
        <w:pStyle w:val="NumPar1"/>
        <w:tabs>
          <w:tab w:val="clear" w:pos="850"/>
          <w:tab w:val="left" w:pos="567"/>
        </w:tabs>
        <w:ind w:left="0" w:firstLine="0"/>
      </w:pPr>
      <w:r w:rsidRPr="00FF2C68">
        <w:t>Taikant 3 dalį, vertės santykio vardiklyje ir skaitiklyje neapima paskolų ir kitų išankstinių mokėjimų, priskiriamų prie laikomų parduoti, lėšų centriniuose bankuose ir kitų indėlių iki pareikalavimo.</w:t>
      </w:r>
    </w:p>
    <w:p w14:paraId="7BC87207" w14:textId="124F936C" w:rsidR="00A858BC" w:rsidRPr="00FF2C68" w:rsidRDefault="00A858BC" w:rsidP="00F5043B">
      <w:pPr>
        <w:pStyle w:val="NumPar1"/>
        <w:tabs>
          <w:tab w:val="clear" w:pos="850"/>
          <w:tab w:val="left" w:pos="567"/>
        </w:tabs>
        <w:ind w:left="0" w:firstLine="0"/>
      </w:pPr>
      <w:r w:rsidRPr="00FF2C68">
        <w:t>Įstaigos informaciją pagal 3 dalį pradeda atskleisti tada, kai du ketvirčius iš eilės per keturis ketvirčius iki ataskaitinės datos jos pasiekė arba viršijo toje dalyje nurodytą 5 % ribą. Pirmojo informacijos atskleidimo ataskaitinę datą įstaigos atskleidžia atitinkamą informaciją naudodamos toje dalyje nurodytas formas, jei tą ataskaitinę datą jos viršija 5 % ribą.</w:t>
      </w:r>
    </w:p>
    <w:p w14:paraId="53CB613D" w14:textId="11D744EC" w:rsidR="00A858BC" w:rsidRPr="00FF2C68" w:rsidRDefault="00A858BC" w:rsidP="00F5043B">
      <w:pPr>
        <w:pStyle w:val="NumPar1"/>
        <w:tabs>
          <w:tab w:val="clear" w:pos="850"/>
          <w:tab w:val="left" w:pos="567"/>
        </w:tabs>
        <w:ind w:left="0" w:firstLine="0"/>
      </w:pPr>
      <w:r w:rsidRPr="00FF2C68">
        <w:t>Įstaigos nebeprivalo atskleisti informacijos pagal 3 dalį, jei tris ketvirčius iš eilės per keturis ketvirčius iki ataskaitinės datos jos nebesiekė 5 % ribos.</w:t>
      </w:r>
    </w:p>
    <w:p w14:paraId="3C5E542D" w14:textId="01D8911B" w:rsidR="00496B08" w:rsidRPr="00FF2C68" w:rsidRDefault="00496B08" w:rsidP="00496B08">
      <w:pPr>
        <w:pStyle w:val="Titrearticle"/>
      </w:pPr>
      <w:r w:rsidRPr="00FF2C68">
        <w:t>9 straipsnis</w:t>
      </w:r>
    </w:p>
    <w:p w14:paraId="09D01539" w14:textId="77777777" w:rsidR="00A858BC" w:rsidRPr="00FF2C68" w:rsidRDefault="00A858BC" w:rsidP="00A858BC">
      <w:pPr>
        <w:pStyle w:val="Titrearticle"/>
        <w:spacing w:before="120"/>
        <w:rPr>
          <w:b/>
          <w:i w:val="0"/>
        </w:rPr>
      </w:pPr>
      <w:r w:rsidRPr="00FF2C68">
        <w:rPr>
          <w:b/>
          <w:i w:val="0"/>
        </w:rPr>
        <w:t xml:space="preserve">Informacijos apie kredito rizikos mažinimo priemonių taikymą atskleidimas </w:t>
      </w:r>
    </w:p>
    <w:p w14:paraId="0ECADB24" w14:textId="707BAB41" w:rsidR="00A858BC" w:rsidRPr="00FF2C68" w:rsidRDefault="00A858BC" w:rsidP="00A858BC">
      <w:pPr>
        <w:rPr>
          <w:i/>
        </w:rPr>
      </w:pPr>
      <w:r w:rsidRPr="00FF2C68">
        <w:t>Įstaigos Reglamento (ES) Nr. 575/2013 453 straipsnio a–f punktuose nurodytą informaciją atskleidžia taip:</w:t>
      </w:r>
    </w:p>
    <w:p w14:paraId="1745A6BC" w14:textId="77777777" w:rsidR="00A858BC" w:rsidRPr="00FF2C68" w:rsidRDefault="00F53E64" w:rsidP="00F5043B">
      <w:pPr>
        <w:pStyle w:val="Point1letter"/>
        <w:numPr>
          <w:ilvl w:val="3"/>
          <w:numId w:val="18"/>
        </w:numPr>
        <w:tabs>
          <w:tab w:val="clear" w:pos="1417"/>
        </w:tabs>
        <w:ind w:left="567"/>
      </w:pPr>
      <w:r w:rsidRPr="00FF2C68">
        <w:t>Reglamento (ES) Nr. 575/2013 453 straipsnio a–e punktuose nurodytą informaciją – naudodamos šio reglamento XVII priede pateiktą EU CRC lentelę ir vadovaudamosi šio reglamento XVIII priede pateiktais nurodymais;</w:t>
      </w:r>
    </w:p>
    <w:p w14:paraId="661A25AE" w14:textId="77777777" w:rsidR="00A858BC" w:rsidRPr="00FF2C68" w:rsidRDefault="00F53E64" w:rsidP="00F5043B">
      <w:pPr>
        <w:pStyle w:val="Point1letter"/>
        <w:numPr>
          <w:ilvl w:val="3"/>
          <w:numId w:val="16"/>
        </w:numPr>
        <w:tabs>
          <w:tab w:val="clear" w:pos="1417"/>
        </w:tabs>
        <w:ind w:left="567"/>
      </w:pPr>
      <w:r w:rsidRPr="00FF2C68">
        <w:t>Reglamento (ES) Nr. 575/2013 453 straipsnio f punkte nurodytą informaciją – naudodamos šio reglamento XVII priede pateiktą EU CR3 formą ir vadovaudamosi šio reglamento XVIII priede pateiktais nurodymais.</w:t>
      </w:r>
    </w:p>
    <w:p w14:paraId="14246492" w14:textId="5365C73C" w:rsidR="000B18AB" w:rsidRPr="00FF2C68" w:rsidRDefault="000B18AB" w:rsidP="000B18AB">
      <w:pPr>
        <w:pStyle w:val="Titrearticle"/>
      </w:pPr>
      <w:r w:rsidRPr="00FF2C68">
        <w:t xml:space="preserve">10 straipsnis </w:t>
      </w:r>
    </w:p>
    <w:p w14:paraId="5332FF24" w14:textId="77777777" w:rsidR="00A858BC" w:rsidRPr="00FF2C68" w:rsidRDefault="00A858BC" w:rsidP="00A858BC">
      <w:pPr>
        <w:pStyle w:val="Titrearticle"/>
        <w:spacing w:before="120"/>
        <w:rPr>
          <w:b/>
          <w:i w:val="0"/>
        </w:rPr>
      </w:pPr>
      <w:r w:rsidRPr="00FF2C68">
        <w:rPr>
          <w:b/>
          <w:i w:val="0"/>
        </w:rPr>
        <w:t>Informacijos apie standartizuoto metodo taikymą atskleidimas</w:t>
      </w:r>
    </w:p>
    <w:p w14:paraId="6672FA91" w14:textId="105D032F" w:rsidR="00A858BC" w:rsidRPr="00FF2C68" w:rsidRDefault="00A858BC" w:rsidP="00A858BC">
      <w:r w:rsidRPr="00FF2C68">
        <w:t>Įstaigos, apskaičiuojančios pagal riziką įvertintų pozicijų sumas pagal standartizuotą metodą, Reglamento (ES) Nr. 575/2013 444 straipsnyje ir 453 straipsnio g, h ir i punktuose nurodytą informaciją atskleidžia taip:</w:t>
      </w:r>
    </w:p>
    <w:p w14:paraId="64037B7E" w14:textId="77777777" w:rsidR="00A858BC" w:rsidRPr="00FF2C68" w:rsidRDefault="00F53E64" w:rsidP="00F5043B">
      <w:pPr>
        <w:pStyle w:val="Point1letter"/>
        <w:numPr>
          <w:ilvl w:val="3"/>
          <w:numId w:val="19"/>
        </w:numPr>
        <w:tabs>
          <w:tab w:val="clear" w:pos="1417"/>
        </w:tabs>
        <w:ind w:left="567"/>
      </w:pPr>
      <w:r w:rsidRPr="00FF2C68">
        <w:t>Reglamento (ES) Nr. 575/2013 444 straipsnio a–d punktuose nurodytą informaciją – naudodamos šio reglamento XIX priede pateiktą EU CRD lentelę ir vadovaudamosi šio reglamento XX priede pateiktais nurodymais;</w:t>
      </w:r>
    </w:p>
    <w:p w14:paraId="74A58369" w14:textId="77777777" w:rsidR="00A858BC" w:rsidRPr="00FF2C68" w:rsidRDefault="00F53E64" w:rsidP="00F5043B">
      <w:pPr>
        <w:pStyle w:val="Point1letter"/>
        <w:numPr>
          <w:ilvl w:val="3"/>
          <w:numId w:val="19"/>
        </w:numPr>
        <w:tabs>
          <w:tab w:val="clear" w:pos="1417"/>
        </w:tabs>
        <w:ind w:left="567"/>
      </w:pPr>
      <w:r w:rsidRPr="00FF2C68">
        <w:t>Reglamento (ES) Nr. 575/2013 453 straipsnio g, h ir i punktuose ir 444 straipsnio e punkte nurodytą informaciją – naudodamos šio reglamento XIX priede pateiktą EU CR4 formą ir vadovaudamosi šio reglamento XX priede pateiktais nurodymais;</w:t>
      </w:r>
    </w:p>
    <w:p w14:paraId="0CAF4FE7" w14:textId="1EE8E91B" w:rsidR="00A858BC" w:rsidRPr="00FF2C68" w:rsidRDefault="00F53E64" w:rsidP="00F5043B">
      <w:pPr>
        <w:pStyle w:val="Point1letter"/>
        <w:numPr>
          <w:ilvl w:val="3"/>
          <w:numId w:val="19"/>
        </w:numPr>
        <w:tabs>
          <w:tab w:val="clear" w:pos="1417"/>
        </w:tabs>
        <w:ind w:left="567"/>
      </w:pPr>
      <w:r w:rsidRPr="00FF2C68">
        <w:t>Reglamento (ES) Nr. 575/2013 444 straipsnio e punkte nurodytą informaciją – naudodamos šio reglamento XIX priede pateiktą EU CR5 formą ir vadovaudamosi šio reglamento XX priede pateiktais nurodymais, o tame pačiame straipsnyje nurodytą informaciją apie pozicijų vertes, atskaitytas iš nuosavų lėšų – naudodamos šio reglamento VII priede pateiktą EU CC1 formą ir vadovaudamosi šio reglamento VIII priede pateiktais nurodymais.</w:t>
      </w:r>
    </w:p>
    <w:p w14:paraId="3C991507" w14:textId="68437B83" w:rsidR="00173862" w:rsidRPr="00FF2C68" w:rsidRDefault="00173862" w:rsidP="00173862">
      <w:pPr>
        <w:pStyle w:val="Titrearticle"/>
      </w:pPr>
      <w:r w:rsidRPr="00FF2C68">
        <w:t>11 straipsnis</w:t>
      </w:r>
    </w:p>
    <w:p w14:paraId="57C88BA7" w14:textId="77777777" w:rsidR="00A858BC" w:rsidRPr="00FF2C68" w:rsidRDefault="00A858BC" w:rsidP="00A858BC">
      <w:pPr>
        <w:pStyle w:val="Titrearticle"/>
        <w:spacing w:before="120"/>
        <w:rPr>
          <w:b/>
          <w:i w:val="0"/>
        </w:rPr>
      </w:pPr>
      <w:r w:rsidRPr="00FF2C68">
        <w:rPr>
          <w:b/>
          <w:i w:val="0"/>
        </w:rPr>
        <w:t>Informacijos apie IRB metodo taikymą kredito rizikai atskleidimas</w:t>
      </w:r>
    </w:p>
    <w:p w14:paraId="43A264E7" w14:textId="691A398D" w:rsidR="00A858BC" w:rsidRPr="00FF2C68" w:rsidRDefault="00A858BC" w:rsidP="00A858BC">
      <w:r w:rsidRPr="00FF2C68">
        <w:t>Įstaigos, apskaičiuojančios pagal riziką įvertintų pozicijų sumas pagal IRB metodą, Reglamento (ES) Nr. 575/2013 438 ir 452 straipsniuose ir 453 straipsnio g ir j punktuose nurodytą informaciją atskleidžia taip:</w:t>
      </w:r>
    </w:p>
    <w:p w14:paraId="4805C696" w14:textId="77777777" w:rsidR="00A858BC" w:rsidRPr="00FF2C68" w:rsidRDefault="00926007" w:rsidP="00F5043B">
      <w:pPr>
        <w:pStyle w:val="Point1letter"/>
        <w:numPr>
          <w:ilvl w:val="3"/>
          <w:numId w:val="20"/>
        </w:numPr>
        <w:tabs>
          <w:tab w:val="clear" w:pos="1417"/>
        </w:tabs>
        <w:ind w:left="567"/>
      </w:pPr>
      <w:r w:rsidRPr="00FF2C68">
        <w:t>Reglamento (ES) Nr. 575/2013 452 straipsnio a–f punktuose nurodytą informaciją – naudodamos šio reglamento XXI priede pateiktą EU CRE lentelę ir EU CR6-A formą ir vadovaudamosi šio reglamento XXII priede pateiktais nurodymais;</w:t>
      </w:r>
    </w:p>
    <w:p w14:paraId="20A04C13" w14:textId="703D2375" w:rsidR="00A858BC" w:rsidRPr="00FF2C68" w:rsidRDefault="00926007" w:rsidP="00F5043B">
      <w:pPr>
        <w:pStyle w:val="Point1letter"/>
        <w:numPr>
          <w:ilvl w:val="3"/>
          <w:numId w:val="19"/>
        </w:numPr>
        <w:tabs>
          <w:tab w:val="clear" w:pos="1417"/>
        </w:tabs>
        <w:ind w:left="567"/>
      </w:pPr>
      <w:r w:rsidRPr="00FF2C68">
        <w:t>Reglamento (ES) Nr. 575/2013 452 straipsnio g punkte nurodytą informaciją – naudodamos šio reglamento XXI priede pateiktą EU CR6 formą ir vadovaudamosi šio reglamento XXII priede pateiktais nurodymais;</w:t>
      </w:r>
    </w:p>
    <w:p w14:paraId="409337BD" w14:textId="76DD51C9" w:rsidR="00A858BC" w:rsidRPr="00FF2C68" w:rsidRDefault="00926007" w:rsidP="00F5043B">
      <w:pPr>
        <w:pStyle w:val="Point1letter"/>
        <w:numPr>
          <w:ilvl w:val="3"/>
          <w:numId w:val="19"/>
        </w:numPr>
        <w:tabs>
          <w:tab w:val="clear" w:pos="1417"/>
        </w:tabs>
        <w:ind w:left="567"/>
      </w:pPr>
      <w:r w:rsidRPr="00FF2C68">
        <w:t>Reglamento (ES) Nr. 575/2013 453 straipsnio g ir j punktuose nurodytą informaciją – naudodamos šio reglamento XXI priede pateiktas EU CR7-A ir EU CR7 formas ir vadovaudamosi šio reglamento XXII priede pateiktais nurodymais;</w:t>
      </w:r>
    </w:p>
    <w:p w14:paraId="6ACE2865" w14:textId="096CF1B2" w:rsidR="00A858BC" w:rsidRPr="00FF2C68" w:rsidRDefault="00926007" w:rsidP="00F5043B">
      <w:pPr>
        <w:pStyle w:val="Point1letter"/>
        <w:numPr>
          <w:ilvl w:val="3"/>
          <w:numId w:val="19"/>
        </w:numPr>
        <w:tabs>
          <w:tab w:val="clear" w:pos="1417"/>
        </w:tabs>
        <w:ind w:left="567"/>
      </w:pPr>
      <w:r w:rsidRPr="00FF2C68">
        <w:t>Reglamento (ES) Nr. 575/2013 438 straipsnio h punkte nurodytą informaciją – naudodamos šio reglamento XXI priede pateiktą EU CR8 formą ir vadovaudamosi šio reglamento XXII priede pateiktais nurodymais;</w:t>
      </w:r>
    </w:p>
    <w:p w14:paraId="01F0A9A0" w14:textId="2D583FA2" w:rsidR="00A858BC" w:rsidRPr="00FF2C68" w:rsidRDefault="00926007" w:rsidP="00F5043B">
      <w:pPr>
        <w:pStyle w:val="Point1letter"/>
        <w:numPr>
          <w:ilvl w:val="3"/>
          <w:numId w:val="19"/>
        </w:numPr>
        <w:tabs>
          <w:tab w:val="clear" w:pos="1417"/>
        </w:tabs>
        <w:ind w:left="567"/>
      </w:pPr>
      <w:r w:rsidRPr="00FF2C68">
        <w:t>Reglamento (ES) Nr. 575/2013 452 straipsnio h punkte nurodytą informaciją – naudodamos šio reglamento XXI priede pateiktas EU CR9 ir EU CR9.1 formas ir vadovaudamosi šio reglamento XXII priede pateiktais nurodymais.</w:t>
      </w:r>
    </w:p>
    <w:p w14:paraId="08A80737" w14:textId="3380DF94" w:rsidR="009675DD" w:rsidRPr="00FF2C68" w:rsidRDefault="009675DD" w:rsidP="009675DD">
      <w:pPr>
        <w:pStyle w:val="Titrearticle"/>
      </w:pPr>
      <w:r w:rsidRPr="00FF2C68">
        <w:t>12 straipsnis</w:t>
      </w:r>
    </w:p>
    <w:p w14:paraId="31298347" w14:textId="77777777" w:rsidR="00A858BC" w:rsidRPr="00FF2C68" w:rsidRDefault="00A858BC" w:rsidP="00A858BC">
      <w:pPr>
        <w:pStyle w:val="Titrearticle"/>
        <w:spacing w:before="120"/>
        <w:rPr>
          <w:b/>
          <w:i w:val="0"/>
        </w:rPr>
      </w:pPr>
      <w:r w:rsidRPr="00FF2C68">
        <w:rPr>
          <w:b/>
          <w:i w:val="0"/>
        </w:rPr>
        <w:t>Specializuoto skolinimo ir nuosavybės vertybinių popierių pozicijų, kurioms taikomas paprastasis rizikos koeficientų metodas, informacijos atskleidimas</w:t>
      </w:r>
    </w:p>
    <w:p w14:paraId="209E1167" w14:textId="1F3573EF" w:rsidR="00A858BC" w:rsidRPr="00FF2C68" w:rsidRDefault="00A858BC" w:rsidP="00A858BC">
      <w:r w:rsidRPr="00FF2C68">
        <w:t>Įstaigos Reglamento (ES) Nr. 575/2013 438 straipsnio e punkte nurodytą informaciją atskleidžia naudodamos šio reglamento XXIII priede pateiktą EU CR10 formą ir vadovaudamosi šio reglamento XXIV priede pateiktais nurodymais.</w:t>
      </w:r>
    </w:p>
    <w:p w14:paraId="6B0E661C" w14:textId="77777777" w:rsidR="00BF182F" w:rsidRPr="00FF2C68" w:rsidRDefault="00BF182F" w:rsidP="00BF182F">
      <w:pPr>
        <w:pStyle w:val="Titrearticle"/>
      </w:pPr>
      <w:r w:rsidRPr="00FF2C68">
        <w:t>13 straipsnis</w:t>
      </w:r>
    </w:p>
    <w:p w14:paraId="4275FD5E" w14:textId="77777777" w:rsidR="00A858BC" w:rsidRPr="00FF2C68" w:rsidRDefault="00A858BC" w:rsidP="00A858BC">
      <w:pPr>
        <w:pStyle w:val="Titrearticle"/>
        <w:spacing w:before="120"/>
        <w:rPr>
          <w:b/>
          <w:i w:val="0"/>
        </w:rPr>
      </w:pPr>
      <w:r w:rsidRPr="00FF2C68">
        <w:rPr>
          <w:b/>
          <w:i w:val="0"/>
        </w:rPr>
        <w:t>Sandorio šalies kredito rizikos pozicijų atskleidimas</w:t>
      </w:r>
    </w:p>
    <w:p w14:paraId="4385E700" w14:textId="4D6F85B9" w:rsidR="00A858BC" w:rsidRPr="00FF2C68" w:rsidRDefault="00A858BC" w:rsidP="00A858BC">
      <w:r w:rsidRPr="00FF2C68">
        <w:t>Įstaigos Reglamento (ES) Nr. 575/2013 438 straipsnio h punkte ir 439 straipsnyje nurodytą informaciją atskleidžia taip:</w:t>
      </w:r>
    </w:p>
    <w:p w14:paraId="02FBBB67" w14:textId="5EEAC92A" w:rsidR="00A858BC" w:rsidRPr="00FF2C68" w:rsidRDefault="00336F4D" w:rsidP="00F5043B">
      <w:pPr>
        <w:pStyle w:val="Point1letter"/>
        <w:numPr>
          <w:ilvl w:val="3"/>
          <w:numId w:val="21"/>
        </w:numPr>
        <w:tabs>
          <w:tab w:val="clear" w:pos="1417"/>
        </w:tabs>
        <w:ind w:left="567"/>
      </w:pPr>
      <w:r w:rsidRPr="00FF2C68">
        <w:t>Reglamento (ES) Nr. 575/2013 439 straipsnio a, b, c ir d punktuose nurodytą informaciją – naudodamos šio reglamento XXV priede pateiktą EU CCRA lentelę ir vadovaudamosi šio reglamento XXVI priede pateiktais nurodymais;</w:t>
      </w:r>
    </w:p>
    <w:p w14:paraId="0E510E13" w14:textId="77777777" w:rsidR="00A858BC" w:rsidRPr="00FF2C68" w:rsidRDefault="00336F4D" w:rsidP="00F5043B">
      <w:pPr>
        <w:pStyle w:val="Point1letter"/>
        <w:numPr>
          <w:ilvl w:val="3"/>
          <w:numId w:val="19"/>
        </w:numPr>
        <w:tabs>
          <w:tab w:val="clear" w:pos="1417"/>
        </w:tabs>
        <w:ind w:left="567"/>
      </w:pPr>
      <w:r w:rsidRPr="00FF2C68">
        <w:t>Reglamento (ES) Nr. 575/2013 439 straipsnio f, g, k ir m punktuose nurodytą informaciją – naudodamos šio reglamento XXV priede pateiktą EU CCR1 formą ir vadovaudamosi šio reglamento XXVI priede pateiktais nurodymais;</w:t>
      </w:r>
    </w:p>
    <w:p w14:paraId="5695B676" w14:textId="77777777" w:rsidR="00A858BC" w:rsidRPr="00FF2C68" w:rsidRDefault="00336F4D" w:rsidP="00F5043B">
      <w:pPr>
        <w:pStyle w:val="Point1letter"/>
        <w:numPr>
          <w:ilvl w:val="3"/>
          <w:numId w:val="19"/>
        </w:numPr>
        <w:tabs>
          <w:tab w:val="clear" w:pos="1417"/>
        </w:tabs>
        <w:ind w:left="567"/>
      </w:pPr>
      <w:r w:rsidRPr="00FF2C68">
        <w:t>Reglamento (ES) Nr. 575/2013 439 straipsnio h punkte nurodytą informaciją – naudodamos šio reglamento XXV priede pateiktą EU CCR2 formą ir vadovaudamosi šio reglamento XXVI priede pateiktais nurodymais;</w:t>
      </w:r>
    </w:p>
    <w:p w14:paraId="4885A941" w14:textId="1C7F0FE9" w:rsidR="00F31307" w:rsidRPr="00FF2C68" w:rsidRDefault="00F31307" w:rsidP="00F31307">
      <w:pPr>
        <w:pStyle w:val="Point1letter"/>
        <w:numPr>
          <w:ilvl w:val="3"/>
          <w:numId w:val="19"/>
        </w:numPr>
        <w:tabs>
          <w:tab w:val="clear" w:pos="1417"/>
        </w:tabs>
        <w:ind w:left="567"/>
      </w:pPr>
      <w:r w:rsidRPr="00FF2C68">
        <w:t>Reglamento (ES) Nr. 575/2013 439 straipsnio l punkte nurodytą informaciją – naudodamos šio reglamento XXV priede pateiktas EU CCR3 ir EU CCR4 formas ir vadovaudamosi šio reglamento XXVI priede pateiktais nurodymais;</w:t>
      </w:r>
    </w:p>
    <w:p w14:paraId="4ABAFB07" w14:textId="6F3F7A8C" w:rsidR="00F31307" w:rsidRPr="00FF2C68" w:rsidRDefault="00F31307" w:rsidP="00F31307">
      <w:pPr>
        <w:pStyle w:val="Point1letter"/>
        <w:numPr>
          <w:ilvl w:val="3"/>
          <w:numId w:val="19"/>
        </w:numPr>
        <w:tabs>
          <w:tab w:val="clear" w:pos="1417"/>
        </w:tabs>
        <w:ind w:left="567"/>
      </w:pPr>
      <w:r w:rsidRPr="00FF2C68">
        <w:t>Reglamento (ES) Nr. 575/2013 439 straipsnio e punkte nurodytą informaciją – naudodamos šio reglamento XXV priede pateiktą EU CCR5 formą ir vadovaudamosi šio reglamento XXVI priede pateiktais nurodymais;</w:t>
      </w:r>
    </w:p>
    <w:p w14:paraId="023D2246" w14:textId="77777777" w:rsidR="00F31307" w:rsidRPr="00FF2C68" w:rsidRDefault="00F31307" w:rsidP="007F676F">
      <w:pPr>
        <w:pStyle w:val="Point1letter"/>
        <w:numPr>
          <w:ilvl w:val="3"/>
          <w:numId w:val="19"/>
        </w:numPr>
        <w:tabs>
          <w:tab w:val="clear" w:pos="1417"/>
        </w:tabs>
        <w:ind w:left="567"/>
      </w:pPr>
      <w:r w:rsidRPr="00FF2C68">
        <w:t>Reglamento (ES) Nr. 575/2013 439 straipsnio j punkte nurodytą informaciją – naudodamos šio reglamento XXV priede pateiktą EU CCR6 formą ir vadovaudamosi šio reglamento XXVI priede pateiktais nurodymais;</w:t>
      </w:r>
    </w:p>
    <w:p w14:paraId="7E588C07" w14:textId="0DEB1D66" w:rsidR="00262584" w:rsidRPr="00FF2C68" w:rsidRDefault="00262584" w:rsidP="00262584">
      <w:pPr>
        <w:pStyle w:val="Point1letter"/>
        <w:numPr>
          <w:ilvl w:val="3"/>
          <w:numId w:val="19"/>
        </w:numPr>
        <w:tabs>
          <w:tab w:val="clear" w:pos="1417"/>
        </w:tabs>
        <w:ind w:left="567"/>
      </w:pPr>
      <w:r w:rsidRPr="00FF2C68">
        <w:t>Reglamento (ES) Nr. 575/2013 438 straipsnio h punkte nurodytą informaciją – naudodamos šio reglamento XXV priede pateiktą EU CCR7 formą ir vadovaudamosi šio reglamento XXVI priede pateiktais nurodymais;</w:t>
      </w:r>
    </w:p>
    <w:p w14:paraId="2600D604" w14:textId="77777777" w:rsidR="00262584" w:rsidRPr="00FF2C68" w:rsidRDefault="00262584" w:rsidP="00262584">
      <w:pPr>
        <w:pStyle w:val="Point1letter"/>
        <w:numPr>
          <w:ilvl w:val="3"/>
          <w:numId w:val="19"/>
        </w:numPr>
        <w:tabs>
          <w:tab w:val="clear" w:pos="1417"/>
        </w:tabs>
        <w:ind w:left="567"/>
      </w:pPr>
      <w:r w:rsidRPr="00FF2C68">
        <w:t xml:space="preserve">Reglamento (ES) Nr. 575/2013 439 straipsnio i punkte nurodytą informaciją – naudodamos šio reglamento XXV priede pateiktą EU CCR8 formą ir vadovaudamosi šio reglamento XXVI priede pateiktais nurodymais. </w:t>
      </w:r>
    </w:p>
    <w:p w14:paraId="0C905D79" w14:textId="77777777" w:rsidR="00F91209" w:rsidRPr="00FF2C68" w:rsidRDefault="00F91209" w:rsidP="00F91209">
      <w:pPr>
        <w:pStyle w:val="Titrearticle"/>
      </w:pPr>
      <w:r w:rsidRPr="00FF2C68">
        <w:t>14 straipsnis</w:t>
      </w:r>
    </w:p>
    <w:p w14:paraId="195EA913" w14:textId="77777777" w:rsidR="00A858BC" w:rsidRPr="00FF2C68" w:rsidRDefault="00A858BC" w:rsidP="00A858BC">
      <w:pPr>
        <w:pStyle w:val="Titrearticle"/>
        <w:spacing w:before="120"/>
        <w:rPr>
          <w:b/>
          <w:i w:val="0"/>
        </w:rPr>
      </w:pPr>
      <w:r w:rsidRPr="00FF2C68">
        <w:rPr>
          <w:b/>
          <w:i w:val="0"/>
        </w:rPr>
        <w:t xml:space="preserve">Pakeitimo vertybiniais popieriais pozicijų atskleidimas </w:t>
      </w:r>
    </w:p>
    <w:p w14:paraId="5F8907A1" w14:textId="610CD7BF" w:rsidR="00A858BC" w:rsidRPr="00FF2C68" w:rsidRDefault="00A858BC" w:rsidP="009777B7">
      <w:r w:rsidRPr="00FF2C68">
        <w:t>Įstaigos Reglamento (ES) Nr. 575/2013 449 straipsnyje nurodytą informaciją atskleidžia taip:</w:t>
      </w:r>
    </w:p>
    <w:p w14:paraId="26F6A181" w14:textId="77777777" w:rsidR="009777B7" w:rsidRPr="00FF2C68" w:rsidRDefault="00CE62E1" w:rsidP="00F5043B">
      <w:pPr>
        <w:pStyle w:val="Point1letter"/>
        <w:numPr>
          <w:ilvl w:val="3"/>
          <w:numId w:val="22"/>
        </w:numPr>
        <w:tabs>
          <w:tab w:val="clear" w:pos="1417"/>
        </w:tabs>
        <w:ind w:left="567"/>
      </w:pPr>
      <w:r w:rsidRPr="00FF2C68">
        <w:t>Reglamento (ES) Nr. 575/2013 449 straipsnio a–i punktuose nurodytą informaciją – naudodamos šio reglamento XXVII priede pateiktą EU SECA lentelę ir vadovaudamosi šio reglamento XXVIII priede pateiktais nurodymais;</w:t>
      </w:r>
    </w:p>
    <w:p w14:paraId="5E9E888F" w14:textId="77777777" w:rsidR="009777B7" w:rsidRPr="00FF2C68" w:rsidRDefault="00CE62E1" w:rsidP="00F5043B">
      <w:pPr>
        <w:pStyle w:val="Point1letter"/>
        <w:numPr>
          <w:ilvl w:val="3"/>
          <w:numId w:val="22"/>
        </w:numPr>
        <w:tabs>
          <w:tab w:val="clear" w:pos="1417"/>
        </w:tabs>
        <w:ind w:left="567"/>
      </w:pPr>
      <w:r w:rsidRPr="00FF2C68">
        <w:t>Reglamento (ES) Nr. 575/2013 449 straipsnio j punkte nurodytą informaciją – naudodamos šio reglamento XXVII priede pateiktas EU SEC1 ir EU SEC2 formas ir vadovaudamosi šio reglamento XXVIII priede pateiktais nurodymais;</w:t>
      </w:r>
    </w:p>
    <w:p w14:paraId="02E9C6B8" w14:textId="77777777" w:rsidR="009777B7" w:rsidRPr="00FF2C68" w:rsidRDefault="00336F4D" w:rsidP="00F5043B">
      <w:pPr>
        <w:pStyle w:val="Point1letter"/>
        <w:numPr>
          <w:ilvl w:val="3"/>
          <w:numId w:val="22"/>
        </w:numPr>
        <w:tabs>
          <w:tab w:val="clear" w:pos="1417"/>
        </w:tabs>
        <w:ind w:left="567"/>
      </w:pPr>
      <w:r w:rsidRPr="00FF2C68">
        <w:t>Reglamento (ES) Nr. 575/2013 449 straipsnio k punkte nurodytą informaciją – naudodamos šio reglamento XXVII priede pateiktas EU SEC3 ir EU SEC4 formas ir vadovaudamosi šio reglamento XXVIII priede pateiktais nurodymais;</w:t>
      </w:r>
    </w:p>
    <w:p w14:paraId="5D79427B" w14:textId="0A7BBC13" w:rsidR="009777B7" w:rsidRPr="00FF2C68" w:rsidRDefault="00336F4D" w:rsidP="00F5043B">
      <w:pPr>
        <w:pStyle w:val="Point1letter"/>
        <w:numPr>
          <w:ilvl w:val="3"/>
          <w:numId w:val="22"/>
        </w:numPr>
        <w:tabs>
          <w:tab w:val="clear" w:pos="1417"/>
        </w:tabs>
        <w:ind w:left="567"/>
      </w:pPr>
      <w:r w:rsidRPr="00FF2C68">
        <w:t>Reglamento (ES) Nr. 575/2013 449 straipsnio l punkte nurodytą informaciją – naudodamos šio reglamento XXVII priede pateiktą EU SEC5 formą ir vadovaudamosi šio reglamento XXVIII priede pateiktais nurodymais.</w:t>
      </w:r>
    </w:p>
    <w:p w14:paraId="0FF84706" w14:textId="3A4DAB53" w:rsidR="00F91209" w:rsidRPr="00FF2C68" w:rsidRDefault="00F91209" w:rsidP="00F91209">
      <w:pPr>
        <w:pStyle w:val="Titrearticle"/>
      </w:pPr>
      <w:r w:rsidRPr="00FF2C68">
        <w:t>15 straipsnis</w:t>
      </w:r>
    </w:p>
    <w:p w14:paraId="42C96F98" w14:textId="2C104302" w:rsidR="009777B7" w:rsidRPr="00FF2C68" w:rsidRDefault="009777B7" w:rsidP="009777B7">
      <w:pPr>
        <w:pStyle w:val="Titrearticle"/>
        <w:spacing w:before="120"/>
        <w:rPr>
          <w:b/>
          <w:i w:val="0"/>
        </w:rPr>
      </w:pPr>
      <w:r w:rsidRPr="00FF2C68">
        <w:rPr>
          <w:b/>
          <w:i w:val="0"/>
        </w:rPr>
        <w:t>Informacijos apie standartizuoto metodo taikymą ir rinkos rizikos vidaus modelių naudojimą atskleidimas</w:t>
      </w:r>
    </w:p>
    <w:p w14:paraId="44CAFFD2" w14:textId="1216C2A8" w:rsidR="009777B7" w:rsidRPr="00FF2C68" w:rsidRDefault="009777B7" w:rsidP="00F5043B">
      <w:pPr>
        <w:pStyle w:val="NumPar1"/>
        <w:numPr>
          <w:ilvl w:val="0"/>
          <w:numId w:val="23"/>
        </w:numPr>
        <w:tabs>
          <w:tab w:val="clear" w:pos="850"/>
          <w:tab w:val="left" w:pos="567"/>
        </w:tabs>
        <w:ind w:left="0" w:firstLine="0"/>
      </w:pPr>
      <w:r w:rsidRPr="00FF2C68">
        <w:t>Įstaigos Reglamento (ES) Nr. 575/2013 445 straipsnyje nurodytą informaciją atskleidžia naudodamos šio reglamento XXIX priede pateiktą EU MR1 formą ir vadovaudamosi šio reglamento XXX priede pateiktais nurodymais.</w:t>
      </w:r>
    </w:p>
    <w:p w14:paraId="3AC500D1" w14:textId="77777777" w:rsidR="009777B7" w:rsidRPr="00FF2C68" w:rsidRDefault="009777B7" w:rsidP="00F5043B">
      <w:pPr>
        <w:pStyle w:val="NumPar1"/>
        <w:numPr>
          <w:ilvl w:val="0"/>
          <w:numId w:val="23"/>
        </w:numPr>
        <w:tabs>
          <w:tab w:val="clear" w:pos="850"/>
          <w:tab w:val="left" w:pos="567"/>
        </w:tabs>
        <w:ind w:left="0" w:firstLine="0"/>
      </w:pPr>
      <w:r w:rsidRPr="00FF2C68">
        <w:t>Įstaigos Reglamento (ES) Nr. 575/2013 435, 438 ir 455 straipsniuose nurodytą informaciją atskleidžia taip:</w:t>
      </w:r>
    </w:p>
    <w:p w14:paraId="32BD307D" w14:textId="0E366FDD" w:rsidR="009777B7" w:rsidRPr="00FF2C68" w:rsidRDefault="00CE62E1" w:rsidP="00F5043B">
      <w:pPr>
        <w:pStyle w:val="Point1letter"/>
        <w:numPr>
          <w:ilvl w:val="3"/>
          <w:numId w:val="24"/>
        </w:numPr>
        <w:tabs>
          <w:tab w:val="clear" w:pos="1417"/>
        </w:tabs>
        <w:ind w:left="567"/>
      </w:pPr>
      <w:r w:rsidRPr="00FF2C68">
        <w:t>Reglamento (ES) Nr. 575/2013 435 straipsnio 1 dalies a–d punktuose nurodytą informaciją apie rinkos riziką – naudodamos šio reglamento XXIX priede pateiktą EU MRA lentelę ir vadovaudamosi šio reglamento XXX priede pateiktais nurodymais;</w:t>
      </w:r>
    </w:p>
    <w:p w14:paraId="1EF9E7BB" w14:textId="77777777" w:rsidR="009777B7" w:rsidRPr="00FF2C68" w:rsidRDefault="00CE62E1" w:rsidP="00F5043B">
      <w:pPr>
        <w:pStyle w:val="Point1letter"/>
        <w:numPr>
          <w:ilvl w:val="3"/>
          <w:numId w:val="24"/>
        </w:numPr>
        <w:tabs>
          <w:tab w:val="clear" w:pos="1417"/>
        </w:tabs>
        <w:ind w:left="567"/>
      </w:pPr>
      <w:r w:rsidRPr="00FF2C68">
        <w:t>Reglamento (ES) Nr. 575/2013 455 straipsnio a, b, c ir f punktuose nurodytą informaciją – naudodamos šio reglamento XXIX priede pateiktą EU MRB lentelę ir vadovaudamosi šio reglamento XXX priede pateiktais nurodymais;</w:t>
      </w:r>
    </w:p>
    <w:p w14:paraId="743BACE0" w14:textId="596E3A0A" w:rsidR="009777B7" w:rsidRPr="00FF2C68" w:rsidRDefault="00CE62E1" w:rsidP="00F5043B">
      <w:pPr>
        <w:pStyle w:val="Point1letter"/>
        <w:numPr>
          <w:ilvl w:val="3"/>
          <w:numId w:val="24"/>
        </w:numPr>
        <w:tabs>
          <w:tab w:val="clear" w:pos="1417"/>
        </w:tabs>
        <w:ind w:left="567"/>
      </w:pPr>
      <w:r w:rsidRPr="00FF2C68">
        <w:t>Reglamento (ES) Nr. 575/2013 455 straipsnio e punkte nurodytą informaciją – naudodamos šio reglamento XXIX priede pateiktą EU MR2-A formą ir vadovaudamosi šio reglamento XXX priede pateiktais nurodymais;</w:t>
      </w:r>
    </w:p>
    <w:p w14:paraId="3063F334" w14:textId="710DD9ED" w:rsidR="009777B7" w:rsidRPr="00FF2C68" w:rsidRDefault="00CE62E1" w:rsidP="00F5043B">
      <w:pPr>
        <w:pStyle w:val="Point1letter"/>
        <w:numPr>
          <w:ilvl w:val="3"/>
          <w:numId w:val="24"/>
        </w:numPr>
        <w:tabs>
          <w:tab w:val="clear" w:pos="1417"/>
        </w:tabs>
        <w:ind w:left="567"/>
      </w:pPr>
      <w:r w:rsidRPr="00FF2C68">
        <w:t>Reglamento (ES) Nr. 575/2013 438 straipsnio h punkte nurodytą informaciją apie vidaus rinkos rizikos modelius – naudodamos šio reglamento XXIX priede pateiktą EU MR2-B formą ir vadovaudamosi šio reglamento XXX priede pateiktais nurodymais;</w:t>
      </w:r>
    </w:p>
    <w:p w14:paraId="0575E60A" w14:textId="77777777" w:rsidR="009777B7" w:rsidRPr="00FF2C68" w:rsidRDefault="00CE62E1" w:rsidP="00F5043B">
      <w:pPr>
        <w:pStyle w:val="Point1letter"/>
        <w:numPr>
          <w:ilvl w:val="3"/>
          <w:numId w:val="24"/>
        </w:numPr>
        <w:tabs>
          <w:tab w:val="clear" w:pos="1417"/>
        </w:tabs>
        <w:ind w:left="567"/>
      </w:pPr>
      <w:r w:rsidRPr="00FF2C68">
        <w:t>Reglamento (ES) Nr. 575/2013 455 straipsnio d punkte nurodytą informaciją – naudodamos šio reglamento XXIX priede pateiktą EU MR3 formą ir vadovaudamosi šio reglamento XXX priede pateiktais nurodymais;</w:t>
      </w:r>
    </w:p>
    <w:p w14:paraId="1706C070" w14:textId="77777777" w:rsidR="009777B7" w:rsidRPr="00FF2C68" w:rsidRDefault="00CE62E1" w:rsidP="00F5043B">
      <w:pPr>
        <w:pStyle w:val="Point1letter"/>
        <w:numPr>
          <w:ilvl w:val="3"/>
          <w:numId w:val="24"/>
        </w:numPr>
        <w:tabs>
          <w:tab w:val="clear" w:pos="1417"/>
        </w:tabs>
        <w:ind w:left="567"/>
      </w:pPr>
      <w:r w:rsidRPr="00FF2C68">
        <w:t>Reglamento (ES) Nr. 575/2013 455 straipsnio g punkte nurodytą informaciją – naudodamos šio reglamento XXIX priede pateiktą EU MR4 formą ir vadovaudamosi šio reglamento XXX priede pateiktais nurodymais.</w:t>
      </w:r>
    </w:p>
    <w:p w14:paraId="79114201" w14:textId="28128507" w:rsidR="00F91209" w:rsidRPr="00FF2C68" w:rsidRDefault="00F91209" w:rsidP="00F91209">
      <w:pPr>
        <w:pStyle w:val="Titrearticle"/>
      </w:pPr>
      <w:r w:rsidRPr="00FF2C68">
        <w:t>16 straipsnis</w:t>
      </w:r>
      <w:r w:rsidRPr="00FF2C68">
        <w:fldChar w:fldCharType="begin"/>
      </w:r>
      <w:r w:rsidRPr="00FF2C68">
        <w:instrText xml:space="preserve"> seq article </w:instrText>
      </w:r>
      <w:r w:rsidRPr="00FF2C68">
        <w:fldChar w:fldCharType="end"/>
      </w:r>
    </w:p>
    <w:p w14:paraId="261E1ED8" w14:textId="77777777" w:rsidR="009777B7" w:rsidRPr="00FF2C68" w:rsidRDefault="009777B7" w:rsidP="009777B7">
      <w:pPr>
        <w:pStyle w:val="Titrearticle"/>
        <w:spacing w:before="120"/>
        <w:rPr>
          <w:b/>
          <w:i w:val="0"/>
        </w:rPr>
      </w:pPr>
      <w:r w:rsidRPr="00FF2C68">
        <w:rPr>
          <w:b/>
          <w:i w:val="0"/>
        </w:rPr>
        <w:t xml:space="preserve">Operacinės rizikos atskleidimas </w:t>
      </w:r>
    </w:p>
    <w:p w14:paraId="6C920F52" w14:textId="563573EB" w:rsidR="009777B7" w:rsidRPr="00FF2C68" w:rsidRDefault="009777B7" w:rsidP="009777B7">
      <w:r w:rsidRPr="00FF2C68">
        <w:t>Įstaigos Reglamento (ES) Nr. 575/2013 435 straipsnyje, 438 straipsnio d punkte, 446 bei 454 straipsniuose nurodytą informaciją atskleidžia naudodamos šio reglamento XXXI priede pateiktą EU ORA lentelę ir EU OR1 formą ir vadovaudamosi šio reglamento XXXII priede pateiktais nurodymais.</w:t>
      </w:r>
    </w:p>
    <w:p w14:paraId="3A62A83D" w14:textId="5BACE9F7" w:rsidR="000C60D7" w:rsidRPr="00FF2C68" w:rsidRDefault="000C60D7" w:rsidP="000C60D7">
      <w:pPr>
        <w:pStyle w:val="Titrearticle"/>
      </w:pPr>
      <w:r w:rsidRPr="00FF2C68">
        <w:t>17 straipsnis</w:t>
      </w:r>
    </w:p>
    <w:p w14:paraId="75DCF1EA" w14:textId="77777777" w:rsidR="009777B7" w:rsidRPr="00FF2C68" w:rsidRDefault="009777B7" w:rsidP="009777B7">
      <w:pPr>
        <w:pStyle w:val="Titrearticle"/>
        <w:spacing w:before="120"/>
        <w:rPr>
          <w:b/>
          <w:i w:val="0"/>
        </w:rPr>
      </w:pPr>
      <w:r w:rsidRPr="00FF2C68">
        <w:rPr>
          <w:b/>
          <w:i w:val="0"/>
        </w:rPr>
        <w:t>Atlygio politikos atskleidimas</w:t>
      </w:r>
    </w:p>
    <w:p w14:paraId="3839A255" w14:textId="7459AA9C" w:rsidR="009777B7" w:rsidRPr="00FF2C68" w:rsidRDefault="009777B7" w:rsidP="009777B7">
      <w:pPr>
        <w:pStyle w:val="Titrearticle"/>
        <w:keepNext w:val="0"/>
        <w:tabs>
          <w:tab w:val="center" w:pos="4390"/>
        </w:tabs>
        <w:jc w:val="both"/>
        <w:rPr>
          <w:i w:val="0"/>
        </w:rPr>
      </w:pPr>
      <w:r w:rsidRPr="00FF2C68">
        <w:rPr>
          <w:i w:val="0"/>
        </w:rPr>
        <w:t>Įstaigos Reglamento (ES) Nr. 575/2013 450 straipsnyje nurodytą informaciją atskleidžia taip:</w:t>
      </w:r>
    </w:p>
    <w:p w14:paraId="16156854" w14:textId="4C5CA171" w:rsidR="009777B7" w:rsidRPr="00FF2C68" w:rsidRDefault="00922950" w:rsidP="006A7F00">
      <w:pPr>
        <w:pStyle w:val="Point1letter"/>
        <w:numPr>
          <w:ilvl w:val="3"/>
          <w:numId w:val="25"/>
        </w:numPr>
        <w:tabs>
          <w:tab w:val="clear" w:pos="1417"/>
        </w:tabs>
        <w:ind w:left="567"/>
      </w:pPr>
      <w:r w:rsidRPr="00FF2C68">
        <w:t>to reglamento 450 straipsnio 1 dalies a–f, j bei k punktuose ir 450 straipsnio 2 dalyje nurodytą informaciją – naudodamos šio reglamento XXXIII priede pateiktą EU REMA lentelę ir vadovaudamosi šio reglamento XXXIV priede pateiktais nurodymais;</w:t>
      </w:r>
    </w:p>
    <w:p w14:paraId="4E502300" w14:textId="605631C5" w:rsidR="009777B7" w:rsidRPr="00FF2C68" w:rsidRDefault="00922950" w:rsidP="006A7F00">
      <w:pPr>
        <w:pStyle w:val="Point1letter"/>
        <w:numPr>
          <w:ilvl w:val="3"/>
          <w:numId w:val="25"/>
        </w:numPr>
        <w:tabs>
          <w:tab w:val="clear" w:pos="1417"/>
        </w:tabs>
        <w:ind w:left="567"/>
      </w:pPr>
      <w:r w:rsidRPr="00FF2C68">
        <w:t>Reglamento (ES) Nr. 575/2013 450 straipsnio 1 dalies h punkto i ir ii papunkčiuose nurodytą informaciją – naudodamos šio reglamento XXXIII priede pateiktą EU REM1 formą ir vadovaudamosi šio reglamento XXXIV priede pateiktais nurodymais;</w:t>
      </w:r>
    </w:p>
    <w:p w14:paraId="735B9196" w14:textId="2AFEC3DD" w:rsidR="009777B7" w:rsidRPr="00FF2C68" w:rsidRDefault="00922950" w:rsidP="006A7F00">
      <w:pPr>
        <w:pStyle w:val="Point1letter"/>
        <w:numPr>
          <w:ilvl w:val="3"/>
          <w:numId w:val="25"/>
        </w:numPr>
        <w:tabs>
          <w:tab w:val="clear" w:pos="1417"/>
        </w:tabs>
        <w:ind w:left="567"/>
      </w:pPr>
      <w:r w:rsidRPr="00FF2C68">
        <w:t>Reglamento (ES) Nr. 575/2013 450 straipsnio 1 dalies h punkto v, vi ir vii papunkčiuose nurodytą informaciją – naudodamos šio reglamento XXXIII priede pateiktą EU REM2 formą ir vadovaudamosi šio reglamento XXXIV priede pateiktais nurodymais;</w:t>
      </w:r>
    </w:p>
    <w:p w14:paraId="1AED187D" w14:textId="47EACA11" w:rsidR="009777B7" w:rsidRPr="00FF2C68" w:rsidRDefault="00922950" w:rsidP="006A7F00">
      <w:pPr>
        <w:pStyle w:val="Point1letter"/>
        <w:numPr>
          <w:ilvl w:val="3"/>
          <w:numId w:val="25"/>
        </w:numPr>
        <w:tabs>
          <w:tab w:val="clear" w:pos="1417"/>
        </w:tabs>
        <w:ind w:left="567"/>
      </w:pPr>
      <w:r w:rsidRPr="00FF2C68">
        <w:t>Reglamento (ES) Nr. 575/2013 450 straipsnio 1 dalies h punkto iii ir iv papunkčiuose nurodytą informaciją – naudodamos šio reglamento XXXIII priede pateiktą EU REM3 formą ir vadovaudamosi šio reglamento XXXIV priede pateiktais nurodymais;</w:t>
      </w:r>
    </w:p>
    <w:p w14:paraId="14D12398" w14:textId="1556CB9D" w:rsidR="009777B7" w:rsidRPr="00FF2C68" w:rsidRDefault="009B4728" w:rsidP="006A7F00">
      <w:pPr>
        <w:pStyle w:val="Point1letter"/>
        <w:numPr>
          <w:ilvl w:val="3"/>
          <w:numId w:val="25"/>
        </w:numPr>
        <w:tabs>
          <w:tab w:val="clear" w:pos="1417"/>
        </w:tabs>
        <w:ind w:left="567"/>
      </w:pPr>
      <w:r w:rsidRPr="00FF2C68">
        <w:t>Reglamento (ES) Nr. 575/2013 450 straipsnio 1 dalies g ir i punktuose nurodytą informaciją – naudodamos šio reglamento XXXIII priede pateiktas EU REM4 ir EU REM5 formas ir vadovaudamosi šio reglamento XXXIV priede pateiktais nurodymais.</w:t>
      </w:r>
    </w:p>
    <w:p w14:paraId="364F29D4" w14:textId="57B2B161" w:rsidR="000C60D7" w:rsidRPr="00FF2C68" w:rsidRDefault="000C60D7" w:rsidP="006A7F00">
      <w:pPr>
        <w:pStyle w:val="Titrearticle"/>
        <w:ind w:left="567" w:hanging="567"/>
      </w:pPr>
      <w:r w:rsidRPr="00FF2C68">
        <w:t>18 straipsnis</w:t>
      </w:r>
    </w:p>
    <w:p w14:paraId="160478EB" w14:textId="0E1191D0" w:rsidR="00701631" w:rsidRPr="00FF2C68" w:rsidRDefault="00FF2C68" w:rsidP="00701631">
      <w:pPr>
        <w:pStyle w:val="Titrearticle"/>
        <w:spacing w:before="120"/>
        <w:rPr>
          <w:b/>
          <w:i w:val="0"/>
        </w:rPr>
      </w:pPr>
      <w:r w:rsidRPr="00FF2C68">
        <w:rPr>
          <w:b/>
          <w:i w:val="0"/>
        </w:rPr>
        <w:t>Informacijos apie suvaržytą ir nesuvaržytą turtą atskleidimas</w:t>
      </w:r>
      <w:r w:rsidR="00701631" w:rsidRPr="00FF2C68">
        <w:rPr>
          <w:b/>
          <w:i w:val="0"/>
        </w:rPr>
        <w:t xml:space="preserve"> </w:t>
      </w:r>
    </w:p>
    <w:p w14:paraId="449F8D1D" w14:textId="124DE705" w:rsidR="00701631" w:rsidRPr="00FF2C68" w:rsidRDefault="00701631" w:rsidP="006A7F00">
      <w:pPr>
        <w:spacing w:after="360"/>
      </w:pPr>
      <w:r w:rsidRPr="00FF2C68">
        <w:t>Įstaigos Reglamento (ES) Nr. 575/2013 443 straipsnyje nurodytą informaciją atskleidžia naudodamos šio reglamento XXXV priede pateiktas EU AE1, EU AE2 ir EU AE3 formas ir EU AE4 lentelę ir vadovaudamosi šio reglamento XXXVI priede pateiktais nurodymais.</w:t>
      </w:r>
    </w:p>
    <w:p w14:paraId="14363D9F" w14:textId="77777777" w:rsidR="00701631" w:rsidRPr="00FF2C68" w:rsidRDefault="00701631" w:rsidP="00701631">
      <w:pPr>
        <w:pStyle w:val="ChapterTitle"/>
      </w:pPr>
    </w:p>
    <w:p w14:paraId="7FE6B268" w14:textId="77777777" w:rsidR="000C60D7" w:rsidRPr="00FF2C68" w:rsidRDefault="000C60D7" w:rsidP="000C60D7">
      <w:pPr>
        <w:pStyle w:val="Titrearticle"/>
      </w:pPr>
      <w:r w:rsidRPr="00FF2C68">
        <w:t>19 straipsnis</w:t>
      </w:r>
    </w:p>
    <w:p w14:paraId="3E8EF4AC" w14:textId="77777777" w:rsidR="00701631" w:rsidRPr="00FF2C68" w:rsidRDefault="00701631" w:rsidP="00701631">
      <w:pPr>
        <w:pStyle w:val="Titrearticle"/>
        <w:spacing w:before="120"/>
        <w:rPr>
          <w:b/>
          <w:i w:val="0"/>
        </w:rPr>
      </w:pPr>
      <w:r w:rsidRPr="00FF2C68">
        <w:rPr>
          <w:b/>
          <w:i w:val="0"/>
        </w:rPr>
        <w:t>Bendrosios nuostatos</w:t>
      </w:r>
    </w:p>
    <w:p w14:paraId="0D4D4A8C" w14:textId="665CD0FC" w:rsidR="00701631" w:rsidRPr="00FF2C68" w:rsidRDefault="008A6A1E" w:rsidP="006A7F00">
      <w:pPr>
        <w:pStyle w:val="NumPar1"/>
        <w:numPr>
          <w:ilvl w:val="0"/>
          <w:numId w:val="26"/>
        </w:numPr>
        <w:tabs>
          <w:tab w:val="clear" w:pos="850"/>
          <w:tab w:val="left" w:pos="567"/>
        </w:tabs>
        <w:ind w:left="0" w:firstLine="0"/>
      </w:pPr>
      <w:r w:rsidRPr="00FF2C68">
        <w:t>Eilučių ar skilčių numeracijos keisti negalima, kai įstaiga pagal Reglamento (ES) Nr. 575/2013 432 straipsnį neatskleidžia vienos ar kelių rūšių informacijos.</w:t>
      </w:r>
    </w:p>
    <w:p w14:paraId="69318B17" w14:textId="6616639A" w:rsidR="00701631" w:rsidRPr="00FF2C68" w:rsidRDefault="00701631" w:rsidP="0015237E">
      <w:pPr>
        <w:pStyle w:val="NumPar1"/>
        <w:numPr>
          <w:ilvl w:val="0"/>
          <w:numId w:val="26"/>
        </w:numPr>
        <w:tabs>
          <w:tab w:val="clear" w:pos="850"/>
          <w:tab w:val="left" w:pos="567"/>
        </w:tabs>
        <w:ind w:left="0" w:firstLine="0"/>
      </w:pPr>
      <w:r w:rsidRPr="00FF2C68">
        <w:t>Prie atitinkamos formos arba lentelės pridedamose aiškinamosiose pastabose įstaigos aiškiai nurodo, kurių eilučių ar skilčių neužpildė, ir pateikia priežastį, dėl kurios informacija nebuvo atskleista.</w:t>
      </w:r>
    </w:p>
    <w:p w14:paraId="2CB1CDF8" w14:textId="03F7F293" w:rsidR="00701631" w:rsidRPr="00FF2C68" w:rsidRDefault="00701631" w:rsidP="006A7F00">
      <w:pPr>
        <w:pStyle w:val="NumPar1"/>
        <w:numPr>
          <w:ilvl w:val="0"/>
          <w:numId w:val="26"/>
        </w:numPr>
        <w:tabs>
          <w:tab w:val="clear" w:pos="850"/>
          <w:tab w:val="left" w:pos="567"/>
        </w:tabs>
        <w:ind w:left="0" w:firstLine="0"/>
      </w:pPr>
      <w:r w:rsidRPr="00FF2C68">
        <w:t>Informacija, kurios reikalaujama pagal Reglamento (ES) Nr. 575/2013 431 straipsnį, turi būti aiški ir išsami, kad tos informacijos naudotojai galėtų suprasti atskleidžiamą kiekybinę informaciją, ir turi būti pateikiama šalia formų, su kuriomis ta informacija yra susijusi.</w:t>
      </w:r>
    </w:p>
    <w:p w14:paraId="3C376A0D" w14:textId="77777777" w:rsidR="00701631" w:rsidRPr="00FF2C68" w:rsidRDefault="008A6A1E" w:rsidP="006A7F00">
      <w:pPr>
        <w:pStyle w:val="NumPar1"/>
        <w:numPr>
          <w:ilvl w:val="0"/>
          <w:numId w:val="26"/>
        </w:numPr>
        <w:tabs>
          <w:tab w:val="clear" w:pos="850"/>
          <w:tab w:val="left" w:pos="567"/>
        </w:tabs>
        <w:ind w:left="0" w:firstLine="0"/>
      </w:pPr>
      <w:r w:rsidRPr="00FF2C68">
        <w:t>Skaitinės reikšmės pateikiamos taip:</w:t>
      </w:r>
    </w:p>
    <w:p w14:paraId="34EC4F16" w14:textId="77777777" w:rsidR="00701631" w:rsidRPr="00FF2C68" w:rsidRDefault="006A7F00" w:rsidP="006A7F00">
      <w:pPr>
        <w:pStyle w:val="Point1letter"/>
        <w:numPr>
          <w:ilvl w:val="3"/>
          <w:numId w:val="27"/>
        </w:numPr>
        <w:tabs>
          <w:tab w:val="clear" w:pos="1417"/>
        </w:tabs>
        <w:ind w:left="567"/>
      </w:pPr>
      <w:r w:rsidRPr="00FF2C68">
        <w:t>kiekybiniai pinigų duomenys nurodomi mažiausiai milijonų vienetų tikslumu;</w:t>
      </w:r>
    </w:p>
    <w:p w14:paraId="68A2DB14" w14:textId="77777777" w:rsidR="00701631" w:rsidRPr="00FF2C68" w:rsidRDefault="006A7F00" w:rsidP="006A7F00">
      <w:pPr>
        <w:pStyle w:val="Point1letter"/>
        <w:numPr>
          <w:ilvl w:val="3"/>
          <w:numId w:val="25"/>
        </w:numPr>
        <w:tabs>
          <w:tab w:val="clear" w:pos="1417"/>
        </w:tabs>
        <w:ind w:left="567"/>
      </w:pPr>
      <w:r w:rsidRPr="00FF2C68">
        <w:t>kiekybiniai duomenys, atskleidžiami kaip procentinė dalis, nurodomi vienetais mažiausiai dešimttūkstantųjų tikslumu.</w:t>
      </w:r>
    </w:p>
    <w:p w14:paraId="4ABB712C" w14:textId="23EAACA3" w:rsidR="00701631" w:rsidRPr="00FF2C68" w:rsidRDefault="007C003F" w:rsidP="006A7F00">
      <w:pPr>
        <w:pStyle w:val="NumPar1"/>
        <w:numPr>
          <w:ilvl w:val="0"/>
          <w:numId w:val="26"/>
        </w:numPr>
        <w:tabs>
          <w:tab w:val="clear" w:pos="850"/>
          <w:tab w:val="left" w:pos="567"/>
        </w:tabs>
        <w:ind w:left="0" w:firstLine="0"/>
      </w:pPr>
      <w:r w:rsidRPr="00FF2C68">
        <w:t>Be informacijos, atskleidžiamos pagal šį reglamentą, įstaigos taip pat pateikia šią informaciją:</w:t>
      </w:r>
    </w:p>
    <w:p w14:paraId="13F175D6" w14:textId="77777777" w:rsidR="00701631" w:rsidRPr="00FF2C68" w:rsidRDefault="00701631" w:rsidP="006A7F00">
      <w:pPr>
        <w:pStyle w:val="Point1letter"/>
        <w:numPr>
          <w:ilvl w:val="3"/>
          <w:numId w:val="28"/>
        </w:numPr>
        <w:tabs>
          <w:tab w:val="clear" w:pos="1417"/>
        </w:tabs>
        <w:ind w:left="567"/>
      </w:pPr>
      <w:r w:rsidRPr="00FF2C68">
        <w:t xml:space="preserve">ataskaitinę datą ir ataskaitinį laikotarpį; </w:t>
      </w:r>
    </w:p>
    <w:p w14:paraId="314245D8" w14:textId="77777777" w:rsidR="00701631" w:rsidRPr="00FF2C68" w:rsidRDefault="00701631" w:rsidP="006A7F00">
      <w:pPr>
        <w:pStyle w:val="Point1letter"/>
        <w:numPr>
          <w:ilvl w:val="3"/>
          <w:numId w:val="25"/>
        </w:numPr>
        <w:tabs>
          <w:tab w:val="clear" w:pos="1417"/>
        </w:tabs>
        <w:ind w:left="567"/>
      </w:pPr>
      <w:r w:rsidRPr="00FF2C68">
        <w:t xml:space="preserve">ataskaitose nurodomą valiutą; </w:t>
      </w:r>
    </w:p>
    <w:p w14:paraId="567E44A9" w14:textId="77777777" w:rsidR="00701631" w:rsidRPr="00FF2C68" w:rsidRDefault="00701631" w:rsidP="006A7F00">
      <w:pPr>
        <w:pStyle w:val="Point1letter"/>
        <w:numPr>
          <w:ilvl w:val="3"/>
          <w:numId w:val="25"/>
        </w:numPr>
        <w:tabs>
          <w:tab w:val="clear" w:pos="1417"/>
        </w:tabs>
        <w:ind w:left="567"/>
      </w:pPr>
      <w:r w:rsidRPr="00FF2C68">
        <w:t>informaciją atskleidžiančios įstaigos pavadinimą ir, jei yra, juridinio asmens identifikatorių (LEI);</w:t>
      </w:r>
    </w:p>
    <w:p w14:paraId="451CF564" w14:textId="77777777" w:rsidR="00701631" w:rsidRPr="00FF2C68" w:rsidRDefault="00701631" w:rsidP="006A7F00">
      <w:pPr>
        <w:pStyle w:val="Point1letter"/>
        <w:numPr>
          <w:ilvl w:val="3"/>
          <w:numId w:val="25"/>
        </w:numPr>
        <w:tabs>
          <w:tab w:val="clear" w:pos="1417"/>
        </w:tabs>
        <w:ind w:left="567"/>
      </w:pPr>
      <w:r w:rsidRPr="00FF2C68">
        <w:t>jei taikytina, taikytą apskaitos standartą;</w:t>
      </w:r>
    </w:p>
    <w:p w14:paraId="02FEC9AF" w14:textId="77777777" w:rsidR="00701631" w:rsidRPr="00FF2C68" w:rsidRDefault="00701631" w:rsidP="006A7F00">
      <w:pPr>
        <w:pStyle w:val="Point1letter"/>
        <w:numPr>
          <w:ilvl w:val="3"/>
          <w:numId w:val="25"/>
        </w:numPr>
        <w:tabs>
          <w:tab w:val="clear" w:pos="1417"/>
        </w:tabs>
        <w:ind w:left="567"/>
      </w:pPr>
      <w:r w:rsidRPr="00FF2C68">
        <w:t>jei taikytina, konsolidavimo apimtį.</w:t>
      </w:r>
    </w:p>
    <w:p w14:paraId="2B58C852" w14:textId="35679235" w:rsidR="00701631" w:rsidRPr="00FF2C68" w:rsidRDefault="00701631" w:rsidP="00701631">
      <w:pPr>
        <w:pStyle w:val="ChapterTitle"/>
      </w:pPr>
    </w:p>
    <w:p w14:paraId="0809B9F0" w14:textId="77777777" w:rsidR="00480310" w:rsidRPr="00FF2C68" w:rsidRDefault="00480310" w:rsidP="00480310">
      <w:pPr>
        <w:pStyle w:val="Titrearticle"/>
      </w:pPr>
      <w:r w:rsidRPr="00FF2C68">
        <w:t>20 straipsnis</w:t>
      </w:r>
    </w:p>
    <w:p w14:paraId="3C483BD6" w14:textId="77777777" w:rsidR="00701631" w:rsidRPr="00FF2C68" w:rsidRDefault="00701631" w:rsidP="00701631">
      <w:pPr>
        <w:pStyle w:val="Titrearticle"/>
        <w:spacing w:before="120"/>
        <w:rPr>
          <w:b/>
          <w:i w:val="0"/>
        </w:rPr>
      </w:pPr>
      <w:r w:rsidRPr="00FF2C68">
        <w:rPr>
          <w:b/>
          <w:i w:val="0"/>
        </w:rPr>
        <w:t>Panaikinimas</w:t>
      </w:r>
    </w:p>
    <w:p w14:paraId="3A2C5124" w14:textId="5C677A63" w:rsidR="00701631" w:rsidRPr="00FF2C68" w:rsidRDefault="00701631" w:rsidP="00CE5120">
      <w:r w:rsidRPr="00FF2C68">
        <w:t>Įgyvendinimo reglamentas (ES) Nr. 1423/2013, Deleguotasis reglamentas (ES) 2015/1555, Įgyvendinimo reglamentas (ES) 2016/200 ir Deleguotasis reglamentas (ES) 2017/2295 panaikinami.</w:t>
      </w:r>
    </w:p>
    <w:p w14:paraId="5131A818" w14:textId="1E314DFE" w:rsidR="00701631" w:rsidRPr="00FF2C68" w:rsidRDefault="00701631" w:rsidP="00CE5120"/>
    <w:p w14:paraId="790A8EA3" w14:textId="08CF0E19" w:rsidR="00480310" w:rsidRPr="00FF2C68" w:rsidRDefault="00480310" w:rsidP="00480310">
      <w:pPr>
        <w:pStyle w:val="Titrearticle"/>
        <w:spacing w:before="120"/>
      </w:pPr>
      <w:r w:rsidRPr="00FF2C68">
        <w:t>21 straipsnis</w:t>
      </w:r>
    </w:p>
    <w:p w14:paraId="250EEEF7" w14:textId="77777777" w:rsidR="003A35E9" w:rsidRPr="00FF2C68" w:rsidRDefault="003A35E9" w:rsidP="003A35E9">
      <w:pPr>
        <w:pStyle w:val="Titrearticle"/>
        <w:spacing w:before="120"/>
        <w:rPr>
          <w:b/>
          <w:i w:val="0"/>
        </w:rPr>
      </w:pPr>
      <w:r w:rsidRPr="00FF2C68">
        <w:rPr>
          <w:b/>
          <w:i w:val="0"/>
        </w:rPr>
        <w:t>Įsigaliojimas</w:t>
      </w:r>
    </w:p>
    <w:p w14:paraId="48F23500" w14:textId="77777777" w:rsidR="0004170D" w:rsidRPr="00FF2C68" w:rsidRDefault="0004170D" w:rsidP="009675DD">
      <w:r w:rsidRPr="00FF2C68">
        <w:t xml:space="preserve">Šis reglamentas įsigalioja dvidešimtą dieną po jo paskelbimo </w:t>
      </w:r>
      <w:r w:rsidRPr="00FF2C68">
        <w:rPr>
          <w:i/>
        </w:rPr>
        <w:t>Europos Sąjungos oficialiajame leidinyje</w:t>
      </w:r>
      <w:r w:rsidRPr="00FF2C68">
        <w:t>.</w:t>
      </w:r>
    </w:p>
    <w:p w14:paraId="0EE80E7B" w14:textId="77777777" w:rsidR="00FF364B" w:rsidRPr="00FF2C68" w:rsidRDefault="00FF364B" w:rsidP="00FF364B">
      <w:r w:rsidRPr="00FF2C68">
        <w:t>Jis taikomas nuo 2021 m. birželio 28 d.</w:t>
      </w:r>
    </w:p>
    <w:p w14:paraId="7780311D" w14:textId="77777777" w:rsidR="0004170D" w:rsidRPr="00FF2C68" w:rsidRDefault="0004170D" w:rsidP="009675DD">
      <w:pPr>
        <w:pStyle w:val="Applicationdirecte"/>
      </w:pPr>
      <w:r w:rsidRPr="00FF2C68">
        <w:t>Šis reglamentas privalomas visas ir tiesiogiai taikomas visose valstybėse narėse.</w:t>
      </w:r>
    </w:p>
    <w:p w14:paraId="0BE91ABA" w14:textId="08205A83" w:rsidR="0004170D" w:rsidRPr="00FF2C68" w:rsidRDefault="00FF2C68" w:rsidP="00FF2C68">
      <w:pPr>
        <w:pStyle w:val="Fait"/>
      </w:pPr>
      <w:r w:rsidRPr="00FF2C68">
        <w:t>Priimta Briuselyje</w:t>
      </w:r>
    </w:p>
    <w:p w14:paraId="08B30859" w14:textId="77777777" w:rsidR="0004170D" w:rsidRPr="00FF2C68" w:rsidRDefault="0004170D" w:rsidP="0004170D">
      <w:pPr>
        <w:pStyle w:val="Institutionquisigne"/>
      </w:pPr>
      <w:r w:rsidRPr="00FF2C68">
        <w:tab/>
        <w:t>Komisijos vardu</w:t>
      </w:r>
    </w:p>
    <w:p w14:paraId="53FCF827" w14:textId="77777777" w:rsidR="00553957" w:rsidRPr="00FF2C68" w:rsidRDefault="0004170D" w:rsidP="0004170D">
      <w:pPr>
        <w:pStyle w:val="Personnequisigne"/>
      </w:pPr>
      <w:r w:rsidRPr="00FF2C68">
        <w:tab/>
        <w:t>Pirmininkė</w:t>
      </w:r>
    </w:p>
    <w:p w14:paraId="5753E957" w14:textId="4CF92A3E" w:rsidR="0004170D" w:rsidRPr="00FF2C68" w:rsidRDefault="00553957" w:rsidP="0004170D">
      <w:pPr>
        <w:pStyle w:val="Personnequisigne"/>
      </w:pPr>
      <w:r w:rsidRPr="00FF2C68">
        <w:tab/>
        <w:t xml:space="preserve">Ursula von der Leyen </w:t>
      </w:r>
      <w:r w:rsidRPr="00FF2C68">
        <w:br/>
      </w:r>
      <w:r w:rsidRPr="00FF2C68">
        <w:tab/>
        <w:t xml:space="preserve"> </w:t>
      </w:r>
      <w:r w:rsidRPr="00FF2C68">
        <w:br/>
      </w:r>
      <w:r w:rsidRPr="00FF2C68">
        <w:tab/>
        <w:t xml:space="preserve"> </w:t>
      </w:r>
      <w:r w:rsidRPr="00FF2C68">
        <w:br/>
        <w:t xml:space="preserve"> </w:t>
      </w:r>
      <w:r w:rsidRPr="00FF2C68">
        <w:br/>
      </w:r>
      <w:r w:rsidRPr="00FF2C68">
        <w:tab/>
      </w:r>
    </w:p>
    <w:sectPr w:rsidR="0004170D" w:rsidRPr="00FF2C68" w:rsidSect="00E2268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31CC1" w14:textId="77777777" w:rsidR="00C4600F" w:rsidRDefault="00C4600F" w:rsidP="0004170D">
      <w:pPr>
        <w:spacing w:before="0" w:after="0"/>
      </w:pPr>
      <w:r>
        <w:separator/>
      </w:r>
    </w:p>
  </w:endnote>
  <w:endnote w:type="continuationSeparator" w:id="0">
    <w:p w14:paraId="536EBF9B" w14:textId="77777777" w:rsidR="00C4600F" w:rsidRDefault="00C4600F" w:rsidP="0004170D">
      <w:pPr>
        <w:spacing w:before="0" w:after="0"/>
      </w:pPr>
      <w:r>
        <w:continuationSeparator/>
      </w:r>
    </w:p>
  </w:endnote>
  <w:endnote w:type="continuationNotice" w:id="1">
    <w:p w14:paraId="1B1F1BD2" w14:textId="77777777" w:rsidR="00C4600F" w:rsidRDefault="00C4600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51C9193C" w:rsidR="00D642C6" w:rsidRPr="00E22683" w:rsidRDefault="00E22683" w:rsidP="00E22683">
    <w:pPr>
      <w:pStyle w:val="Footer"/>
      <w:rPr>
        <w:rFonts w:ascii="Arial" w:hAnsi="Arial" w:cs="Arial"/>
        <w:b/>
        <w:sz w:val="48"/>
      </w:rPr>
    </w:pPr>
    <w:r w:rsidRPr="00E22683">
      <w:rPr>
        <w:rFonts w:ascii="Arial" w:hAnsi="Arial" w:cs="Arial"/>
        <w:b/>
        <w:sz w:val="48"/>
      </w:rPr>
      <w:t>LT</w:t>
    </w:r>
    <w:r w:rsidRPr="00E22683">
      <w:rPr>
        <w:rFonts w:ascii="Arial" w:hAnsi="Arial" w:cs="Arial"/>
        <w:b/>
        <w:sz w:val="48"/>
      </w:rPr>
      <w:tab/>
    </w:r>
    <w:r w:rsidRPr="00E22683">
      <w:rPr>
        <w:rFonts w:ascii="Arial" w:hAnsi="Arial" w:cs="Arial"/>
        <w:b/>
        <w:sz w:val="48"/>
      </w:rPr>
      <w:tab/>
    </w:r>
    <w:r w:rsidRPr="00E22683">
      <w:tab/>
    </w:r>
    <w:r w:rsidRPr="00E22683">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1BFE" w14:textId="33180926" w:rsidR="00E22683" w:rsidRPr="00E22683" w:rsidRDefault="00E22683" w:rsidP="00E22683">
    <w:pPr>
      <w:pStyle w:val="Footer"/>
      <w:rPr>
        <w:rFonts w:ascii="Arial" w:hAnsi="Arial" w:cs="Arial"/>
        <w:b/>
        <w:sz w:val="48"/>
      </w:rPr>
    </w:pPr>
    <w:r w:rsidRPr="00E22683">
      <w:rPr>
        <w:rFonts w:ascii="Arial" w:hAnsi="Arial" w:cs="Arial"/>
        <w:b/>
        <w:sz w:val="48"/>
      </w:rPr>
      <w:t>LT</w:t>
    </w:r>
    <w:r w:rsidRPr="00E22683">
      <w:rPr>
        <w:rFonts w:ascii="Arial" w:hAnsi="Arial" w:cs="Arial"/>
        <w:b/>
        <w:sz w:val="48"/>
      </w:rPr>
      <w:tab/>
    </w:r>
    <w:r>
      <w:fldChar w:fldCharType="begin"/>
    </w:r>
    <w:r>
      <w:instrText xml:space="preserve"> PAGE  \* MERGEFORMAT </w:instrText>
    </w:r>
    <w:r>
      <w:fldChar w:fldCharType="separate"/>
    </w:r>
    <w:r w:rsidR="00A57161">
      <w:rPr>
        <w:noProof/>
      </w:rPr>
      <w:t>1</w:t>
    </w:r>
    <w:r>
      <w:fldChar w:fldCharType="end"/>
    </w:r>
    <w:r>
      <w:tab/>
    </w:r>
    <w:r w:rsidRPr="00E22683">
      <w:tab/>
    </w:r>
    <w:r w:rsidRPr="00E22683">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0976" w14:textId="77777777" w:rsidR="00E22683" w:rsidRPr="00E22683" w:rsidRDefault="00E22683" w:rsidP="00E22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2921A" w14:textId="77777777" w:rsidR="00C4600F" w:rsidRDefault="00C4600F" w:rsidP="0004170D">
      <w:pPr>
        <w:spacing w:before="0" w:after="0"/>
      </w:pPr>
      <w:r>
        <w:separator/>
      </w:r>
    </w:p>
  </w:footnote>
  <w:footnote w:type="continuationSeparator" w:id="0">
    <w:p w14:paraId="6C2C3312" w14:textId="77777777" w:rsidR="00C4600F" w:rsidRDefault="00C4600F" w:rsidP="0004170D">
      <w:pPr>
        <w:spacing w:before="0" w:after="0"/>
      </w:pPr>
      <w:r>
        <w:continuationSeparator/>
      </w:r>
    </w:p>
  </w:footnote>
  <w:footnote w:type="continuationNotice" w:id="1">
    <w:p w14:paraId="5FE673BD" w14:textId="77777777" w:rsidR="00C4600F" w:rsidRDefault="00C4600F">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OL L 176, 2013 6 27, p.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Tarptautinių atsiskaitymų banko Bazelio bankų priežiūros komitetas, Informacijos atskleidimo reikalavimai, 2019 m. gruodžio mėn.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2013 m. birželio 26 d. Europos Parlamento ir Tarybos reglamentas (ES) 575/2013 dėl prudencinių reikalavimų kredito įstaigoms ir investicinėms įmonėms ir kuriuo iš dalies keičiamas Reglamentas (ES) Nr. 648/2012 (</w:t>
      </w:r>
      <w:hyperlink r:id="rId1" w:history="1">
        <w:r>
          <w:rPr>
            <w:rStyle w:val="Hyperlink"/>
          </w:rPr>
          <w:t>OL L 176, 2013 6 27, p.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2013 m. gruodžio 20 d. Komisijos įgyvendinimo reglamentas (ES) Nr. 1423/2013, kuriuo nustatomi informacijos apie įstaigų nuosavų lėšų reikalavimus atskleidimo pagal Europos Parlamento ir Tarybos reglamentą (ES) Nr. 575/2013 techniniai įgyvendinimo standartai (OL L 355, 2013 12 31, p. 60).</w:t>
      </w:r>
    </w:p>
  </w:footnote>
  <w:footnote w:id="6">
    <w:p w14:paraId="6C1C6468" w14:textId="77777777" w:rsidR="00D642C6" w:rsidRPr="005823FE" w:rsidRDefault="00D642C6" w:rsidP="00A72EF0">
      <w:pPr>
        <w:pStyle w:val="FootnoteText"/>
        <w:ind w:left="567" w:hanging="567"/>
      </w:pPr>
      <w:r>
        <w:rPr>
          <w:rStyle w:val="FootnoteReference"/>
        </w:rPr>
        <w:footnoteRef/>
      </w:r>
      <w:r>
        <w:tab/>
        <w:t>2015 m. gegužės 28 d. Komisijos deleguotasis reglamentas (ES) 2015/1555, kuriuo dėl informacijos, susijusios su tuo, kaip įstaigos laikosi reikalavimo turėti anticiklinį kapitalo rezervą, atskleidimo pagal 440 straipsnį techninių reguliavimo standartų papildomas Europos Parlamento ir Tarybos reglamentas (ES) Nr. 575/2013 (OL L 244, 2015 9 19, p. 1).</w:t>
      </w:r>
    </w:p>
  </w:footnote>
  <w:footnote w:id="7">
    <w:p w14:paraId="1844C7BE" w14:textId="77777777" w:rsidR="00D642C6" w:rsidRPr="005823FE" w:rsidRDefault="00D642C6" w:rsidP="00A72EF0">
      <w:pPr>
        <w:pStyle w:val="FootnoteText"/>
        <w:ind w:left="567" w:hanging="567"/>
      </w:pPr>
      <w:r>
        <w:rPr>
          <w:rStyle w:val="FootnoteReference"/>
        </w:rPr>
        <w:footnoteRef/>
      </w:r>
      <w:r>
        <w:tab/>
        <w:t>2016 m. vasario 15 d. Komisijos įgyvendinimo reglamentas (ES) 2016/200, kuriuo nustatomi informacijos apie įstaigų sverto koeficientą atskleidimo pagal Europos Parlamento ir Tarybos reglamentą (ES) Nr. 575/2013 techniniai įgyvendinimo standartai (OL L 39, 2016 2 16, p. 5).</w:t>
      </w:r>
    </w:p>
  </w:footnote>
  <w:footnote w:id="8">
    <w:p w14:paraId="21AF9579" w14:textId="77777777" w:rsidR="00D642C6" w:rsidRPr="005823FE" w:rsidRDefault="00D642C6" w:rsidP="00A72EF0">
      <w:pPr>
        <w:pStyle w:val="FootnoteText"/>
        <w:ind w:left="567" w:hanging="567"/>
      </w:pPr>
      <w:r>
        <w:rPr>
          <w:rStyle w:val="FootnoteReference"/>
        </w:rPr>
        <w:footnoteRef/>
      </w:r>
      <w:r>
        <w:tab/>
        <w:t>2017 m. rugsėjo 4 d. Komisijos deleguotasis reglamentas (ES) 2017/2295, kuriuo Europos Parlamento ir Tarybos reglamentas (ES) Nr. 575/2013 papildomas informacijos apie suvaržytą ir nesuvaržytą turtą atskleidimo techniniais reguliavimo standartais (OL L 329, 2017 12 13, p. 6).</w:t>
      </w:r>
    </w:p>
  </w:footnote>
  <w:footnote w:id="9">
    <w:p w14:paraId="68060770" w14:textId="1ABE36E0" w:rsidR="00D642C6" w:rsidRPr="00A72EF0" w:rsidRDefault="00D642C6" w:rsidP="00967C75">
      <w:pPr>
        <w:pStyle w:val="FootnoteText"/>
        <w:ind w:left="567" w:hanging="567"/>
      </w:pPr>
      <w:r>
        <w:rPr>
          <w:rStyle w:val="FootnoteReference"/>
        </w:rPr>
        <w:footnoteRef/>
      </w:r>
      <w:r>
        <w:tab/>
        <w:t>2018 m. gruodžio 17 d. Europos bankininkystės institucijos gairės EBA/GL/2018/10 dėl informacijos apie neveiksnias ir restruktūrizuotas pozicijas atskleidimo.</w:t>
      </w:r>
    </w:p>
  </w:footnote>
  <w:footnote w:id="10">
    <w:p w14:paraId="4A5854A4" w14:textId="5C50A76E" w:rsidR="00D642C6" w:rsidRPr="00587191" w:rsidRDefault="00D642C6" w:rsidP="00195285">
      <w:pPr>
        <w:pStyle w:val="FootnoteText"/>
        <w:ind w:left="567" w:hanging="567"/>
      </w:pPr>
      <w:r>
        <w:rPr>
          <w:rStyle w:val="FootnoteReference"/>
        </w:rPr>
        <w:footnoteRef/>
      </w:r>
      <w:r>
        <w:tab/>
        <w:t>2017 m. gruodžio 12 d. Europos Parlamento ir Tarybos reglamentas (ES) 2017/2401, kuriuo iš dalies keičiamas Reglamentas (ES) Nr. 575/2013 dėl prudencinių reikalavimų kredito įstaigoms ir investicinėms įmonėms (OL L 347, 2017 12 28, p. 1).</w:t>
      </w:r>
    </w:p>
  </w:footnote>
  <w:footnote w:id="11">
    <w:p w14:paraId="39B3E235" w14:textId="2597E55D" w:rsidR="00D642C6" w:rsidRPr="00587191" w:rsidRDefault="00D642C6" w:rsidP="00195285">
      <w:pPr>
        <w:pStyle w:val="FootnoteText"/>
        <w:ind w:left="567" w:hanging="567"/>
      </w:pPr>
      <w:r>
        <w:rPr>
          <w:rStyle w:val="FootnoteReference"/>
        </w:rPr>
        <w:footnoteRef/>
      </w:r>
      <w:r>
        <w:tab/>
      </w:r>
      <w:r>
        <w:rPr>
          <w:shd w:val="clear" w:color="auto" w:fill="FFFFFF"/>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w:t>
      </w:r>
      <w:r>
        <w:t>OL L 347, 2017 12 28, p. 35</w:t>
      </w:r>
      <w:r>
        <w:rPr>
          <w:shd w:val="clear" w:color="auto" w:fill="FFFFFF"/>
        </w:rPr>
        <w:t>).</w:t>
      </w:r>
    </w:p>
  </w:footnote>
  <w:footnote w:id="12">
    <w:p w14:paraId="44F9E1CC" w14:textId="0E4BE9E6" w:rsidR="00D642C6" w:rsidRPr="00587191" w:rsidRDefault="00D642C6" w:rsidP="00195285">
      <w:pPr>
        <w:pStyle w:val="FootnoteText"/>
        <w:ind w:left="567" w:hanging="567"/>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removePersonalInformation/>
  <w:removeDateAndTime/>
  <w:attachedTemplate r:id="rId1"/>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2-26 14:28:5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2C60B49-C3E2-41B5-81FA-A31FAD2D7D98"/>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lt;EMPTY&gt;"/>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u303?staig\u371? informacijos, nurodytos Europos Parlamento ir Tarybos reglamento (ES) Nr. 575/2013 a\u353?tuntos dalies II ir III antra\u353?tin\u279?se dalyse, vie\u353?o atskleidimo techniniai \u303?gyvendinimo standartai ir panaikinamas Komisijos \u303?gyvendinimo reglamentas (ES) Nr. 1423/2013, Komisijos deleguotasis reglamentas (ES) 2015/1555, Komisijos \u303?gyvendinimo reglamentas (ES) 2016/200 ir Komisijos deleguotasis reglamentas (ES) 2017/2295 _x000b_ _x000b_"/>
    <w:docVar w:name="LW_TYPE.DOC.CP" w:val="KOMISIJOS \u302?GYVENDINIMO REGLAMENTAS (ES) \u8230?/..."/>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51336"/>
    <w:rsid w:val="0015237E"/>
    <w:rsid w:val="001612FE"/>
    <w:rsid w:val="00164D08"/>
    <w:rsid w:val="00167DBD"/>
    <w:rsid w:val="00173862"/>
    <w:rsid w:val="00175820"/>
    <w:rsid w:val="00183568"/>
    <w:rsid w:val="00184CD1"/>
    <w:rsid w:val="00190EC6"/>
    <w:rsid w:val="00194CD4"/>
    <w:rsid w:val="00195285"/>
    <w:rsid w:val="001D579B"/>
    <w:rsid w:val="001D5E4E"/>
    <w:rsid w:val="0020373E"/>
    <w:rsid w:val="00204CA9"/>
    <w:rsid w:val="00223E6D"/>
    <w:rsid w:val="00254B69"/>
    <w:rsid w:val="002554D0"/>
    <w:rsid w:val="00257DE9"/>
    <w:rsid w:val="00262584"/>
    <w:rsid w:val="00292A0A"/>
    <w:rsid w:val="002933BD"/>
    <w:rsid w:val="00296DB6"/>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25AFA"/>
    <w:rsid w:val="0063239A"/>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475DB"/>
    <w:rsid w:val="00755F0F"/>
    <w:rsid w:val="00755F6F"/>
    <w:rsid w:val="00756C6D"/>
    <w:rsid w:val="007654ED"/>
    <w:rsid w:val="00786078"/>
    <w:rsid w:val="00792BDA"/>
    <w:rsid w:val="0079582A"/>
    <w:rsid w:val="007A004B"/>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3263C"/>
    <w:rsid w:val="00A518E0"/>
    <w:rsid w:val="00A5494A"/>
    <w:rsid w:val="00A57161"/>
    <w:rsid w:val="00A70AF9"/>
    <w:rsid w:val="00A72EF0"/>
    <w:rsid w:val="00A762FD"/>
    <w:rsid w:val="00A84A3E"/>
    <w:rsid w:val="00A858BC"/>
    <w:rsid w:val="00A91F18"/>
    <w:rsid w:val="00AB786E"/>
    <w:rsid w:val="00AD027A"/>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600F"/>
    <w:rsid w:val="00C47BED"/>
    <w:rsid w:val="00C5099A"/>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2683"/>
    <w:rsid w:val="00E23611"/>
    <w:rsid w:val="00E42EC8"/>
    <w:rsid w:val="00E5338C"/>
    <w:rsid w:val="00E5388C"/>
    <w:rsid w:val="00E62304"/>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2C68"/>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lt-LT"/>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lt-LT"/>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lt-LT"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lt-LT"/>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lt-LT"/>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T/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C1F4C-4A28-4E92-8FC5-73B035808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3526</Words>
  <Characters>22967</Characters>
  <Application>Microsoft Office Word</Application>
  <DocSecurity>0</DocSecurity>
  <Lines>407</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2021-02-26T13:28:00Z</dcterms:created>
  <dcterms:modified xsi:type="dcterms:W3CDTF">2021-02-26T13:28:00Z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