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4A6D7" w14:textId="0D5B3BE6" w:rsidR="00C36E0D" w:rsidRPr="002035D9" w:rsidRDefault="00641461" w:rsidP="00FD3377">
      <w:pPr>
        <w:pStyle w:val="Pagedecouverture"/>
      </w:pPr>
      <w:bookmarkStart w:id="0" w:name="_GoBack"/>
      <w:bookmarkEnd w:id="0"/>
      <w:r>
        <w:pict w14:anchorId="45ECD4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8B5D8031-BBB4-4CC7-BFA7-FC54444F1682" style="width:450.35pt;height:477.55pt">
            <v:imagedata r:id="rId8" o:title=""/>
          </v:shape>
        </w:pict>
      </w:r>
    </w:p>
    <w:p w14:paraId="46614711" w14:textId="77777777" w:rsidR="0004170D" w:rsidRPr="002035D9" w:rsidRDefault="0004170D">
      <w:pPr>
        <w:sectPr w:rsidR="0004170D" w:rsidRPr="002035D9" w:rsidSect="005978D0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F04386" w14:textId="38ED5B33" w:rsidR="0004170D" w:rsidRPr="002035D9" w:rsidRDefault="00FD3377" w:rsidP="00FD3377">
      <w:pPr>
        <w:pStyle w:val="Typedudocument"/>
      </w:pPr>
      <w:r w:rsidRPr="00FD3377">
        <w:lastRenderedPageBreak/>
        <w:t>REGOLAMENT TA’ IMPLIMENTAZZJONI TAL-KUMMISSJONI (UE) .../...</w:t>
      </w:r>
    </w:p>
    <w:p w14:paraId="485B382E" w14:textId="7E9660C1" w:rsidR="0004170D" w:rsidRPr="002035D9" w:rsidRDefault="00FD3377" w:rsidP="00FD3377">
      <w:pPr>
        <w:pStyle w:val="Datedadoption"/>
      </w:pPr>
      <w:r w:rsidRPr="00FD3377">
        <w:t xml:space="preserve">ta’ </w:t>
      </w:r>
      <w:r w:rsidRPr="00FD3377">
        <w:rPr>
          <w:rStyle w:val="Marker2"/>
        </w:rPr>
        <w:t>XXX</w:t>
      </w:r>
    </w:p>
    <w:p w14:paraId="6E872801" w14:textId="13EA4D14" w:rsidR="0004170D" w:rsidRPr="002035D9" w:rsidRDefault="00FD3377" w:rsidP="00FD3377">
      <w:pPr>
        <w:pStyle w:val="Titreobjet"/>
      </w:pPr>
      <w:r w:rsidRPr="00FD3377">
        <w:t xml:space="preserve">li jistabbilixxi l-istandards tekniċi ta’ implimentazzjoni fir-rigward tad-divulgazzjonijiet pubbliċi mill-istituzzjonijiet tal-informazzjoni msemmija fit-Titoli II u III tal-Parti Tmienja tar-Regolament (UE) Nru 575/2013 tal-Parlament Ewropew u tal-Kunsill u li jħassar ir-Regolament ta’ Implimentazzjoni tal-Kummissjoni (UE) Nru 1423/2013, ir-Regolament ta’ Delega tal-Kummissjoni (UE) 2015/1555, ir-Regolament ta’ Implimentazzjoni tal-Kummissjoni (UE) 2016/200 u r-Regolament Delegat tal-Kummissjoni (UE) 2017/2295 </w:t>
      </w:r>
      <w:r w:rsidRPr="00FD3377">
        <w:br/>
        <w:t xml:space="preserve"> </w:t>
      </w:r>
      <w:r w:rsidRPr="00FD3377">
        <w:br/>
      </w:r>
    </w:p>
    <w:p w14:paraId="5216B2C3" w14:textId="18EEE358" w:rsidR="0004170D" w:rsidRPr="002035D9" w:rsidRDefault="00FD3377" w:rsidP="00FD3377">
      <w:pPr>
        <w:pStyle w:val="IntrtEEE"/>
      </w:pPr>
      <w:r w:rsidRPr="00FD3377">
        <w:t>(Test b’rilevanza għaż-ŻEE)</w:t>
      </w:r>
    </w:p>
    <w:p w14:paraId="4BD4BB2E" w14:textId="77777777" w:rsidR="0004170D" w:rsidRPr="002035D9" w:rsidRDefault="0004170D" w:rsidP="009675DD">
      <w:pPr>
        <w:pStyle w:val="Institutionquiagit"/>
      </w:pPr>
      <w:r w:rsidRPr="002035D9">
        <w:t>IL-KUMMISSJONI EWROPEA,</w:t>
      </w:r>
    </w:p>
    <w:p w14:paraId="3B1DB378" w14:textId="77777777" w:rsidR="0004170D" w:rsidRPr="002035D9" w:rsidRDefault="0004170D" w:rsidP="009675DD">
      <w:r w:rsidRPr="002035D9">
        <w:rPr>
          <w:color w:val="000000"/>
        </w:rPr>
        <w:t>Wara li kkunsidrat it-Trattat dwar il-Funzjonament tal-Unjoni Ewropea</w:t>
      </w:r>
      <w:r w:rsidRPr="002035D9">
        <w:t>,</w:t>
      </w:r>
    </w:p>
    <w:p w14:paraId="7D7AE1AD" w14:textId="77777777" w:rsidR="0004170D" w:rsidRPr="002035D9" w:rsidRDefault="007E66A7" w:rsidP="009675DD">
      <w:r w:rsidRPr="002035D9">
        <w:t>Wara li kkunsidrat ir-Regolament (UE) Nru 575/2013 tal-Parlament Ewropew u tal-Kunsill tas-26 ta’ Ġunju 2013 dwar ir-rekwiżiti prudenzjali għall-istituzzjonijiet ta’ kreditu u d-ditti tal-investiment u li jemenda r-Regolament (UE) Nru 648/2012</w:t>
      </w:r>
      <w:r w:rsidRPr="002035D9">
        <w:rPr>
          <w:rStyle w:val="FootnoteReference"/>
        </w:rPr>
        <w:footnoteReference w:id="2"/>
      </w:r>
      <w:r w:rsidRPr="002035D9">
        <w:t>u b’mod partikolari l-Artikolu 434a tiegħu,</w:t>
      </w:r>
    </w:p>
    <w:p w14:paraId="6E3096F1" w14:textId="77777777" w:rsidR="0004170D" w:rsidRPr="002035D9" w:rsidRDefault="0004170D" w:rsidP="009675DD">
      <w:r w:rsidRPr="002035D9">
        <w:t>Billi:</w:t>
      </w:r>
    </w:p>
    <w:p w14:paraId="1025300A" w14:textId="34C35C6C" w:rsidR="0094247F" w:rsidRPr="002035D9" w:rsidRDefault="0094247F" w:rsidP="00AD58EF">
      <w:pPr>
        <w:pStyle w:val="Considrant"/>
        <w:numPr>
          <w:ilvl w:val="0"/>
          <w:numId w:val="13"/>
        </w:numPr>
      </w:pPr>
      <w:r w:rsidRPr="002035D9">
        <w:t>F’Diċembru 2019, il-Kumitat ta’ Basel dwar is-Superviżjoni Bankarja (BCBS) ippubblika l-Qafas ta’ Basel konsolidat, inklużi r-rekwiżiti aġġornati ta’ divulgazzjoni tal-Pilastru 3</w:t>
      </w:r>
      <w:r w:rsidRPr="002035D9">
        <w:rPr>
          <w:rStyle w:val="FootnoteReference"/>
          <w:szCs w:val="24"/>
        </w:rPr>
        <w:footnoteReference w:id="3"/>
      </w:r>
      <w:r w:rsidRPr="002035D9">
        <w:t>, li ġew introdotti l-aktar fir-Regolament (UE) 575/2013 bir-Regolament (UE) 2019/876 tal-Parlament Ewropew u tal-Kunsill</w:t>
      </w:r>
      <w:r w:rsidRPr="002035D9">
        <w:rPr>
          <w:rStyle w:val="FootnoteReference"/>
          <w:szCs w:val="24"/>
        </w:rPr>
        <w:footnoteReference w:id="4"/>
      </w:r>
      <w:r w:rsidRPr="002035D9">
        <w:t>. Sabiex jiġu implimentati dawk l-emendi, jenħtieġ li jiġi stabbilit qafas ta’ divulgazzjoni konsistenti u komplet tal-Pilastru 3.</w:t>
      </w:r>
    </w:p>
    <w:p w14:paraId="7DB0B204" w14:textId="55541F19" w:rsidR="007E66A7" w:rsidRPr="002035D9" w:rsidRDefault="00442C93" w:rsidP="00F5043B">
      <w:pPr>
        <w:pStyle w:val="Considrant"/>
        <w:rPr>
          <w:sz w:val="22"/>
        </w:rPr>
      </w:pPr>
      <w:r w:rsidRPr="002035D9">
        <w:t>Ir-Regolament ta’ Implimentazzjoni tal-Kummissjoni (UE) Nru 1423/2013</w:t>
      </w:r>
      <w:r w:rsidRPr="002035D9">
        <w:rPr>
          <w:rStyle w:val="FootnoteReference"/>
        </w:rPr>
        <w:footnoteReference w:id="5"/>
      </w:r>
      <w:r w:rsidRPr="002035D9">
        <w:t>, ir-Regolament ta’ Delega tal-Kummissjoni (UE) 2015/1555</w:t>
      </w:r>
      <w:r w:rsidRPr="002035D9">
        <w:rPr>
          <w:rStyle w:val="FootnoteReference"/>
        </w:rPr>
        <w:footnoteReference w:id="6"/>
      </w:r>
      <w:r w:rsidRPr="002035D9">
        <w:t xml:space="preserve">, ir-Regolament ta’ </w:t>
      </w:r>
      <w:r w:rsidRPr="002035D9">
        <w:lastRenderedPageBreak/>
        <w:t>Implimentazzjoni tal-Kummissjoni (UE) 2016/200</w:t>
      </w:r>
      <w:r w:rsidRPr="002035D9">
        <w:rPr>
          <w:rStyle w:val="FootnoteReference"/>
        </w:rPr>
        <w:footnoteReference w:id="7"/>
      </w:r>
      <w:r w:rsidRPr="002035D9">
        <w:t>u r-Regolament Delegat tal-Kummissjoni (UE) 2017/2295</w:t>
      </w:r>
      <w:r w:rsidRPr="002035D9">
        <w:rPr>
          <w:rStyle w:val="FootnoteReference"/>
        </w:rPr>
        <w:footnoteReference w:id="8"/>
      </w:r>
      <w:r w:rsidRPr="002035D9">
        <w:t xml:space="preserve"> jistabbilixxu formati, mudelli u tabelli uniformi tal-fondi proprji, il-proporzjon ta’ ingranaġġ, ir-riżervi ta’ kapital kontroċ</w:t>
      </w:r>
      <w:r w:rsidR="007F2E07">
        <w:t>ikliċi u l-aggravar ta’ assi</w:t>
      </w:r>
      <w:r w:rsidRPr="002035D9">
        <w:t>, rispettivament. Għalhekk jenħtieġ li l-formati, il-mudelli u t-tabelli uniformi jiġu estiżi biex ikopru d-divulgazzjonijiet ta’ aspetti prudenzjali oħra li huma meħtieġa li jiġu ddivulgati bir-Regolament (UE) 2019/876. B’mod aktar speċifiku, jenħtieġ li jiġi introdott mudell ta’ divulgazzjoni tal-metriċi ewlenin, li jiffaċilita l-aċċess mill-parteċipanti fis-suq għall-informazzjoni ewlenija tal-istituzzjonijiet dwar il-fondi proprji u l-likwidità.</w:t>
      </w:r>
    </w:p>
    <w:p w14:paraId="64909A2C" w14:textId="2EE1C111" w:rsidR="007E66A7" w:rsidRPr="002035D9" w:rsidRDefault="00F5043B" w:rsidP="007E66A7">
      <w:pPr>
        <w:pStyle w:val="Considrant"/>
      </w:pPr>
      <w:r w:rsidRPr="002035D9">
        <w:t xml:space="preserve">Il-mudelli u t-tabelli użati għad-divulgazzjoni jenħtieġ li jwasslu informazzjoni komprensiva u komparabbli biżżejjed, u b’hekk jippermettu lill-utenti ta’ dik l-informazzjoni jivvalutaw il-profili tar-riskju tal-istituzzjonijiet u l-grad ta’ konformità tagħhom mar-Regolament (UE) Nru 575/2013. Madankollu, sabiex jitqies il-prinċipju tal-proporzjonalità, il-formati, il-mudelli u t-tabelli ta’ divulgazzjoni jenħtieġ li jqisu d-differenzi fid-daqs u l-kumplessità bejn l-istituzzjonijiet, li jwasslu għal livelli u tipi differenti ta’ riskji, billi jinkludu livelli limiti addizzjonali għal divulgazzjonijiet estiżi. </w:t>
      </w:r>
    </w:p>
    <w:p w14:paraId="1A778372" w14:textId="13A517C4" w:rsidR="007E66A7" w:rsidRPr="002035D9" w:rsidRDefault="00C91C95" w:rsidP="007E66A7">
      <w:pPr>
        <w:pStyle w:val="Considrant"/>
      </w:pPr>
      <w:r w:rsidRPr="002035D9">
        <w:t>Ir-Regolament (UE) Nru 2019/876 introduċa fir-Regolament (UE) Nru 575/2013 proporzjon ġdid ta’ ingranaġġ kalibrat u bafer għall-proporzjon ta’ ingranaġġ tal-GSIIs. Sabiex tiġi implimentata dik l-emenda u l-aġġustamenti meħtieġa fil-kalkolu tal-iskopertura, huwa meħtieġ li jiġu stabbiliti mudelli u tabelli.</w:t>
      </w:r>
    </w:p>
    <w:p w14:paraId="75FA70BF" w14:textId="1A6556E0" w:rsidR="007E66A7" w:rsidRPr="002035D9" w:rsidRDefault="00C91C95" w:rsidP="007E66A7">
      <w:pPr>
        <w:pStyle w:val="Considrant"/>
      </w:pPr>
      <w:r w:rsidRPr="002035D9">
        <w:t>Ir-Regolament (UE) Nru 2019/876 introduċa fir-Regolament (UE) Nru 575/2013 rekwiżiti ġodda ta’ divulgazzjoni għall-proporzjon ta’ finanzjament stabbli nett. Sabiex tiġi implimentata din l-emenda, huwa meħtieġ li jiġi stabbilit mudell għal dawn ir-rekwiżiti l-ġodda ta’ divulgazzjoni.</w:t>
      </w:r>
    </w:p>
    <w:p w14:paraId="23C44267" w14:textId="591E02B6" w:rsidR="007E66A7" w:rsidRPr="002035D9" w:rsidRDefault="00387DA9" w:rsidP="007E66A7">
      <w:pPr>
        <w:pStyle w:val="Considrant"/>
        <w:rPr>
          <w:sz w:val="22"/>
        </w:rPr>
      </w:pPr>
      <w:r w:rsidRPr="002035D9">
        <w:t>Ir-Regolament (UE) 2019/876 issostitwixxa fir-Regolament (UE) Nru 575/2013 l-approċċi standardizzati għar-riskju ta’ kreditu tal-kontroparti b’Approċċ Standardizzat għar-Riskju ta’ Kreditu tal-Kontroparti (SA-CCR), li huwa aktar sensittiv għar-riskju, u permezz ta’ SA-CCR Issimplifikat għall-istituzzjonijiet li jissodisfaw kriterji ta’ eliġibbiltà predefiniti. Barra minn hekk, ir-Regolament (UE) Nru 2019/876 irreveda l-Metodu ta’ Skopertura Oriġinali. Sabiex jiġu implimentati dawn l-emendi, huwa meħtieġ li jiġi introdott sett komprensiv ta’ tabelli u mudelli ta’ divulgazzjoni.</w:t>
      </w:r>
    </w:p>
    <w:p w14:paraId="3B343C5D" w14:textId="1EC51995" w:rsidR="007E66A7" w:rsidRPr="002035D9" w:rsidRDefault="00B90336" w:rsidP="007E66A7">
      <w:pPr>
        <w:pStyle w:val="Considrant"/>
        <w:rPr>
          <w:sz w:val="22"/>
        </w:rPr>
      </w:pPr>
      <w:r w:rsidRPr="002035D9">
        <w:t xml:space="preserve">Ir-Regolament (UE) Nru 2019/876 introduċa fir-Regolament (UE) Nru 575/2013 rekwiżit ġdid ta’ divulgazzjoni għal skoperturi produttivi, improduttivi u mrażżna, inkluża d-divulgazzjoni ta’ informazzjoni dwar kollaterali u garanziji finanzjarji riċevuti. Sabiex tiġi implimentata din l-emenda u dawn ir-rekwiżiti l-ġodda ta’ divulgazzjoni, huwa meħtieġ li jiġi introdott sett komprensiv ta’ mudelli u tabelli. Għal raġunijiet ta’ sempliċità u konsistenza, dawn il-mudelli u t-tabelli jenħtieġ li jkunu </w:t>
      </w:r>
      <w:r w:rsidRPr="002035D9">
        <w:lastRenderedPageBreak/>
        <w:t>bbażati fuq il-mudelli u t-tabelli ta’ divulgazzjoni li diġà ġew żviluppati mill-EBA fil-linji gwida tagħha dwar id-divulgazzjoni ta’ skoperturi improduttivi u mrażżna</w:t>
      </w:r>
      <w:r w:rsidRPr="002035D9">
        <w:rPr>
          <w:rStyle w:val="FootnoteReference"/>
        </w:rPr>
        <w:footnoteReference w:id="9"/>
      </w:r>
      <w:r w:rsidRPr="002035D9">
        <w:t>.</w:t>
      </w:r>
    </w:p>
    <w:p w14:paraId="5DFC988B" w14:textId="237020CB" w:rsidR="007E66A7" w:rsidRPr="002035D9" w:rsidRDefault="003E3102" w:rsidP="00B90336">
      <w:pPr>
        <w:pStyle w:val="Considrant"/>
      </w:pPr>
      <w:r w:rsidRPr="002035D9">
        <w:t>Ir-Regolament (UE) Nru 2017/2401 tal-Parlament Ewropew u tal-Kunsill</w:t>
      </w:r>
      <w:r w:rsidRPr="002035D9">
        <w:rPr>
          <w:rStyle w:val="FootnoteReference"/>
        </w:rPr>
        <w:footnoteReference w:id="10"/>
      </w:r>
      <w:r w:rsidRPr="002035D9">
        <w:t xml:space="preserve"> emenda r-Regolament (UE) Nru 575/2013 biex jirrifletti fir-rekwiżiti kapitali stabbiliti f’dan ir-Regolament </w:t>
      </w:r>
      <w:r w:rsidRPr="002035D9">
        <w:rPr>
          <w:shd w:val="clear" w:color="auto" w:fill="FFFFFF"/>
        </w:rPr>
        <w:t>il-karatteristiċi speċifiċi tat-titolizzazzjonijiet STS kif stabbiliti fir-Regolament (UE) 2017/2402 tal-Parlament Ewropew u tal-Kunsill</w:t>
      </w:r>
      <w:r w:rsidRPr="002035D9">
        <w:rPr>
          <w:rStyle w:val="FootnoteReference"/>
        </w:rPr>
        <w:footnoteReference w:id="11"/>
      </w:r>
      <w:r w:rsidRPr="002035D9">
        <w:rPr>
          <w:shd w:val="clear" w:color="auto" w:fill="FFFFFF"/>
        </w:rPr>
        <w:t xml:space="preserve">. Huwa meħtieġ li jiġu introdotti </w:t>
      </w:r>
      <w:r w:rsidRPr="002035D9">
        <w:t>mudelli u tabelli ġodda ta’ divulgazzjoni b’informazzjoni kwantitattiva u kwalitattiva dwar it-titolizzazzjoni biex jirriflettu din l-emenda.</w:t>
      </w:r>
    </w:p>
    <w:p w14:paraId="3E7507C1" w14:textId="41231A67" w:rsidR="007E66A7" w:rsidRPr="002035D9" w:rsidRDefault="00387DA9" w:rsidP="007E66A7">
      <w:pPr>
        <w:pStyle w:val="Considrant"/>
        <w:rPr>
          <w:sz w:val="22"/>
        </w:rPr>
      </w:pPr>
      <w:r w:rsidRPr="002035D9">
        <w:t xml:space="preserve">Ir-Regolament (UE) Nru 2019/876 emenda ċerti rekwiżiti ta’ divulgazzjoni dwar ir-remunerazzjoni stabbiliti fir-Regolament (UE) Nru 575/2013 biex jiżgura li </w:t>
      </w:r>
      <w:r w:rsidRPr="002035D9">
        <w:rPr>
          <w:shd w:val="clear" w:color="auto" w:fill="FFFFFF"/>
        </w:rPr>
        <w:t>l-politiki u l-prattiki ta’ remunerazzjoni għal kategoriji ta’ persunal li l-attivitajiet professjonali tagħhom għandhom impatt materjali fuq il-profil tar-riskju tal-istituzzjoni jkunu konsistenti ma’ ġestjoni tar-riskju effettiva.</w:t>
      </w:r>
      <w:r w:rsidRPr="002035D9">
        <w:t xml:space="preserve"> Jenħtieġ li jiġi stabbilit sett ta’ mudelli u tabelli ta’ divulgazzjoni li jimplimentaw dawn ir-rekwiżiti ta’ divulgazzjoni.</w:t>
      </w:r>
    </w:p>
    <w:p w14:paraId="023EA5B8" w14:textId="6CA470C7" w:rsidR="004427A5" w:rsidRPr="002035D9" w:rsidRDefault="004A1CDB" w:rsidP="007E66A7">
      <w:pPr>
        <w:pStyle w:val="Considrant"/>
        <w:rPr>
          <w:sz w:val="22"/>
        </w:rPr>
      </w:pPr>
      <w:r w:rsidRPr="002035D9">
        <w:t>Sabiex l-istituzzjonijiet jiġu pprovduti bis-sett integrat komprensiv ta’ formati, mudelli u tabelli uniformi ta’ divulgazzjoni u sabiex jiġu żgurati divulgazzjonijiet ta’ kwalità għolja, huwa meħtieġ li jiġi introdott sett wieħed ta’ standards tekniċi dwar id-divulgazzjonijiet. Għalhekk huwa meħtieġ li jitħassru r-Regolament ta’ Implimentazzjoni (UE) Nru 1423/2013, ir-Regolament ta’ Delega (UE) 2015/1555, ir-Regolament ta’ Implimentazzjoni (UE) 2016/200 u r-Regolament Delegat (UE) 2017/2295.</w:t>
      </w:r>
    </w:p>
    <w:p w14:paraId="38682B7B" w14:textId="19020FBF" w:rsidR="004427A5" w:rsidRPr="002035D9" w:rsidRDefault="0094247F" w:rsidP="007E66A7">
      <w:pPr>
        <w:pStyle w:val="Considrant"/>
        <w:rPr>
          <w:sz w:val="22"/>
        </w:rPr>
      </w:pPr>
      <w:r w:rsidRPr="002035D9">
        <w:t>Sabiex jiġu żgurati divulgazzjonijiet fil-ħin u ta’ kwalità mill-istituzzjonijiet, jenħtieġ li dawn jingħataw biżżejjed żmien biex jadattaw is-sistemi interni tagħhom għad-divulgazzjonijiet.</w:t>
      </w:r>
    </w:p>
    <w:p w14:paraId="0F58EAE6" w14:textId="77777777" w:rsidR="007E66A7" w:rsidRPr="002035D9" w:rsidRDefault="007E66A7" w:rsidP="007E66A7">
      <w:pPr>
        <w:pStyle w:val="Considrant"/>
        <w:rPr>
          <w:noProof/>
        </w:rPr>
      </w:pPr>
      <w:r w:rsidRPr="002035D9">
        <w:t>Dan ir-Regolament huwa bbażat fuq l-abbozz tal-istandards tekniċi ta’ implimentazzjoni ppreżentati mill-Awtorità Bankarja Ewropea (European Banking Authority, EBA) lill-Kummissjoni.</w:t>
      </w:r>
    </w:p>
    <w:p w14:paraId="61384288" w14:textId="77777777" w:rsidR="0004170D" w:rsidRPr="002035D9" w:rsidRDefault="00587191" w:rsidP="00453D69">
      <w:pPr>
        <w:pStyle w:val="Considrant"/>
        <w:rPr>
          <w:noProof/>
        </w:rPr>
      </w:pPr>
      <w:r w:rsidRPr="002035D9">
        <w:t>L-EBA wettqet konsultazzjonijiet pubbliċi miftuħa dwar l-abbozz tal-istandards tekniċi ta’ implimentazzjoni li fuqhom huwa bbażat dan ir-Regolament, analizzat il-kostijiet u l-benefiċċji potenzjali relatati u talbet l-opinjoni tal-Grupp tal-Partijiet Bankarji Interessati stabbilit f’konformità mal-Artikolu 37 tar-Regolament (UE) Nru 1093/2010 tal-Parlament Ewropew u tal-Kunsill</w:t>
      </w:r>
      <w:r w:rsidRPr="002035D9">
        <w:rPr>
          <w:rStyle w:val="FootnoteReference"/>
          <w:noProof/>
        </w:rPr>
        <w:footnoteReference w:id="12"/>
      </w:r>
      <w:r w:rsidRPr="002035D9">
        <w:t xml:space="preserve">, </w:t>
      </w:r>
    </w:p>
    <w:p w14:paraId="465D5876" w14:textId="77777777" w:rsidR="0004170D" w:rsidRPr="002035D9" w:rsidRDefault="0004170D" w:rsidP="009675DD">
      <w:pPr>
        <w:pStyle w:val="Formuledadoption"/>
      </w:pPr>
      <w:r w:rsidRPr="002035D9">
        <w:lastRenderedPageBreak/>
        <w:t>ADOTTAT DAN IR-REGOLAMENT:</w:t>
      </w:r>
    </w:p>
    <w:p w14:paraId="6CA0BD21" w14:textId="643FC984" w:rsidR="00FF364B" w:rsidRPr="002035D9" w:rsidRDefault="00FF364B" w:rsidP="00FF364B">
      <w:pPr>
        <w:pStyle w:val="Titrearticle"/>
      </w:pPr>
      <w:r w:rsidRPr="002035D9">
        <w:t>Artikolu 1</w:t>
      </w:r>
    </w:p>
    <w:p w14:paraId="6D84878F" w14:textId="77777777" w:rsidR="007E66A7" w:rsidRPr="002035D9" w:rsidRDefault="007E66A7" w:rsidP="007E66A7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tal-metriċi ewlenin u ħarsa ġenerali lejn l-ammonti tal-iskopertura ponderati għar-riskju</w:t>
      </w:r>
    </w:p>
    <w:p w14:paraId="10515A6F" w14:textId="15D523D9" w:rsidR="007E66A7" w:rsidRPr="002035D9" w:rsidRDefault="007E66A7" w:rsidP="00F5043B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447 minn (a) sa (g), u fl-Artikolu 438(b), tar-Regolament (UE) Nru 575/2013 billi jużaw il-mudell EU KM1 tal-Anness I ta’ dan ir-Regolament u billi jsegwu l-istruzzjonijiet stipulati fl-Anness II ta’ dan ir-Regolament.</w:t>
      </w:r>
    </w:p>
    <w:p w14:paraId="1C0713F1" w14:textId="2AC5B746" w:rsidR="007E66A7" w:rsidRPr="002035D9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438(d), tar-Regolament (UE) Nru 575/2013 billi jużaw il-mudell EU OV1 tal-Anness I ta’ dan ir-Regolament u billi jsegwu l-istruzzjonijiet stipulati fl-Anness II ta’ dan ir-Regolament.</w:t>
      </w:r>
    </w:p>
    <w:p w14:paraId="5694C031" w14:textId="6F8BAA89" w:rsidR="007E66A7" w:rsidRPr="002035D9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438(a) u (c), tar-Regolament (UE) Nru 575/2013 billi jużaw it-tabella EU OVC stipulata fl-Anness I ta’ dan ir-Regolament u billi jsegwu l-istruzzjonijiet stipulati fl-Anness II ta’ dan ir-Regolament.</w:t>
      </w:r>
    </w:p>
    <w:p w14:paraId="239E081F" w14:textId="1C4A0E84" w:rsidR="007E66A7" w:rsidRPr="002035D9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438(f) u (g), tar-Regolament (UE) Nru 575/2013 billi jużaw il-mudelli EU INS1 u EU INS2 stipulati fl-Anness I ta’ dan ir-Regolament u billi jsegwu l-istruzzjonijiet stipulati fl-Anness II ta’ dan ir-Regolament.</w:t>
      </w:r>
    </w:p>
    <w:p w14:paraId="00AA4B75" w14:textId="77777777" w:rsidR="00725875" w:rsidRPr="002035D9" w:rsidRDefault="00725875" w:rsidP="00725875">
      <w:pPr>
        <w:pStyle w:val="Titrearticle"/>
      </w:pPr>
      <w:r w:rsidRPr="002035D9">
        <w:t>Artikolu 2</w:t>
      </w:r>
    </w:p>
    <w:p w14:paraId="201D71D7" w14:textId="5A256495" w:rsidR="007E66A7" w:rsidRPr="002035D9" w:rsidRDefault="007E66A7" w:rsidP="007E66A7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tal-objettiv</w:t>
      </w:r>
      <w:r w:rsidR="007F2E07">
        <w:rPr>
          <w:b/>
          <w:i w:val="0"/>
        </w:rPr>
        <w:t>i u l-politiki għall-ġestjoni</w:t>
      </w:r>
      <w:r w:rsidRPr="002035D9">
        <w:rPr>
          <w:b/>
          <w:i w:val="0"/>
        </w:rPr>
        <w:t xml:space="preserve"> tar-riskju</w:t>
      </w:r>
    </w:p>
    <w:p w14:paraId="24A510A3" w14:textId="6F22E094" w:rsidR="007E66A7" w:rsidRPr="002035D9" w:rsidRDefault="007E66A7" w:rsidP="007E66A7">
      <w:pPr>
        <w:rPr>
          <w:i/>
        </w:rPr>
      </w:pPr>
      <w:r w:rsidRPr="002035D9">
        <w:t>L-istituzzjonijiet għandhom jiddivulgaw l-informazzjoni msemmija fl-Artikolu 435 tar-Regolament (UE) Nru 575/2013 billi jużaw it-tabelli EU OVA u EU OVB stipulati fl-Anness III ta’ dan ir-Regolament u billi jsegwu l-istruzzjonijiet stipulati fl-Anness IV ta’ dan ir-Regolament.</w:t>
      </w:r>
    </w:p>
    <w:p w14:paraId="6B7BFFC9" w14:textId="1A03E595" w:rsidR="00725875" w:rsidRPr="002035D9" w:rsidRDefault="00725875" w:rsidP="00725875">
      <w:pPr>
        <w:pStyle w:val="Titrearticle"/>
      </w:pPr>
      <w:r w:rsidRPr="002035D9">
        <w:t>Artikolu 3</w:t>
      </w:r>
    </w:p>
    <w:p w14:paraId="0F10BDEB" w14:textId="77777777" w:rsidR="009F40BE" w:rsidRPr="002035D9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2035D9">
        <w:rPr>
          <w:b/>
          <w:i w:val="0"/>
        </w:rPr>
        <w:t xml:space="preserve">Divulgazzjoni tal-kamp ta’ applikazzjoni </w:t>
      </w:r>
    </w:p>
    <w:p w14:paraId="10528DDB" w14:textId="1D023DA6" w:rsidR="009F40BE" w:rsidRPr="002035D9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436(b) u (c), tar-Regolament (UE) Nru 575/2013 billi jużaw il-mudelli EU LI1 u EU LI3 tal-Anness V ta’ dan ir-Regolament u billi jsegwu l-istruzzjonijiet stipulati fl-Anness VI ta’ dan ir-Regolament.</w:t>
      </w:r>
    </w:p>
    <w:p w14:paraId="4A18C7DA" w14:textId="677610A6" w:rsidR="009F40BE" w:rsidRPr="002035D9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436(b) u (d), tar-Regolament (UE) Nru 575/2013 billi jużaw il-mudell EU LI2 u t-tabella EU LIA tal-Anness V ta’ dan ir-Regolament u billi jsegwu l-istruzzjonijiet stipulati fl-Anness VI ta’ dan ir-Regolament.</w:t>
      </w:r>
    </w:p>
    <w:p w14:paraId="33B7C000" w14:textId="77777777" w:rsidR="009F40BE" w:rsidRPr="002035D9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436(e) tar-Regolament (UE) Nru 575/2013 billi jużaw il-mudell EU PV1 tal-Anness V ta’ dan ir-Regolament u billi jsegwu l-istruzzjonijiet stipulati fl-Anness VI ta’ dan ir-Regolament.</w:t>
      </w:r>
    </w:p>
    <w:p w14:paraId="2B4D969E" w14:textId="77777777" w:rsidR="009F40BE" w:rsidRPr="002035D9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436(f), (g) u (h), tar-Regolament (UE) Nru 575/2013, billi jużaw it-tabella EU LIB tal-Anness V ta’ dan ir-Regolament u billi jsegwu l-istruzzjonijiet stipulati fl-Anness VI ta’ dan ir-Regolament.</w:t>
      </w:r>
    </w:p>
    <w:p w14:paraId="5A980456" w14:textId="7A03DA4D" w:rsidR="00725875" w:rsidRPr="002035D9" w:rsidRDefault="00725875" w:rsidP="00725875">
      <w:pPr>
        <w:pStyle w:val="Titrearticle"/>
      </w:pPr>
      <w:r w:rsidRPr="002035D9">
        <w:lastRenderedPageBreak/>
        <w:t>Artikolu 4</w:t>
      </w:r>
    </w:p>
    <w:p w14:paraId="14EB4863" w14:textId="77777777" w:rsidR="009F40BE" w:rsidRPr="002035D9" w:rsidRDefault="009F40BE" w:rsidP="009F40BE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tal-fondi proprji</w:t>
      </w:r>
    </w:p>
    <w:p w14:paraId="2144BC15" w14:textId="00DAA361" w:rsidR="009F40BE" w:rsidRPr="002035D9" w:rsidRDefault="009F40BE" w:rsidP="009F40BE">
      <w:pPr>
        <w:rPr>
          <w:i/>
        </w:rPr>
      </w:pPr>
      <w:r w:rsidRPr="002035D9">
        <w:t>L-istituzzjonijiet għandhom jiddivulgaw l-informazzjoni msemmija fl-Artikolu 437 tar-Regolament (UE) Nru 575/2013, kif ġej:</w:t>
      </w:r>
    </w:p>
    <w:p w14:paraId="64F03B5B" w14:textId="77777777" w:rsidR="009F40BE" w:rsidRPr="002035D9" w:rsidRDefault="005F490A" w:rsidP="00F5043B">
      <w:pPr>
        <w:pStyle w:val="Point1letter"/>
        <w:numPr>
          <w:ilvl w:val="3"/>
          <w:numId w:val="15"/>
        </w:numPr>
        <w:tabs>
          <w:tab w:val="clear" w:pos="1417"/>
        </w:tabs>
        <w:ind w:left="567"/>
      </w:pPr>
      <w:r w:rsidRPr="002035D9">
        <w:t>l-informazzjoni msemmija fl-Artikolu 437(a), (d), (e) u (f), tar-Regolament (UE) Nru 575/2013 billi jużaw il-mudelli EU CC1 u EU CC2 tal-Anness VII ta’ dan ir-Regolament u billi jsegwu l-istruzzjonijiet stipulati fl-Anness VIII ta’ dan ir-Regolament;</w:t>
      </w:r>
    </w:p>
    <w:p w14:paraId="6F220811" w14:textId="77777777" w:rsidR="009F40BE" w:rsidRPr="002035D9" w:rsidRDefault="005F490A" w:rsidP="00F5043B">
      <w:pPr>
        <w:pStyle w:val="Point1letter"/>
        <w:tabs>
          <w:tab w:val="clear" w:pos="1417"/>
        </w:tabs>
        <w:ind w:left="567"/>
      </w:pPr>
      <w:r w:rsidRPr="002035D9">
        <w:t>l-informazzjoni msemmija fl-Artikolu 437(b) u (c), tar-Regolament (UE) Nru 575/2013 billi jużaw it-tabella EU CCA tal-Anness VII ta’ dan ir-Regolament u billi jsegwu l-istruzzjonijiet stipulati fl-Anness VIII ta’ dan ir-Regolament.</w:t>
      </w:r>
    </w:p>
    <w:p w14:paraId="079C779B" w14:textId="5EBA66D3" w:rsidR="00A10245" w:rsidRPr="002035D9" w:rsidRDefault="00A10245" w:rsidP="00A10245">
      <w:pPr>
        <w:pStyle w:val="Titrearticle"/>
      </w:pPr>
      <w:r w:rsidRPr="002035D9">
        <w:t xml:space="preserve">Artikolu 5 </w:t>
      </w:r>
    </w:p>
    <w:p w14:paraId="18A51980" w14:textId="77777777" w:rsidR="009F40BE" w:rsidRPr="002035D9" w:rsidRDefault="009F40BE" w:rsidP="009F40BE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ta’ riżervi ta’ kapital kontroċikliċi</w:t>
      </w:r>
    </w:p>
    <w:p w14:paraId="10D01314" w14:textId="30079B66" w:rsidR="009F40BE" w:rsidRPr="002035D9" w:rsidRDefault="009F40BE" w:rsidP="009F40BE">
      <w:r w:rsidRPr="002035D9">
        <w:t>L-istituzzjonijiet għandhom jiddivulgaw l-informazzjoni msemmija fl-Artikolu 440 tar-Regolament (UE) Nru 575/2013 kif ġej:</w:t>
      </w:r>
    </w:p>
    <w:p w14:paraId="197895FF" w14:textId="77777777" w:rsidR="009F40BE" w:rsidRPr="002035D9" w:rsidRDefault="005F490A" w:rsidP="00F5043B">
      <w:pPr>
        <w:pStyle w:val="Point1letter"/>
        <w:numPr>
          <w:ilvl w:val="3"/>
          <w:numId w:val="11"/>
        </w:numPr>
        <w:tabs>
          <w:tab w:val="clear" w:pos="1417"/>
        </w:tabs>
        <w:ind w:left="567"/>
      </w:pPr>
      <w:r w:rsidRPr="002035D9">
        <w:t>l-informazzjoni msemmija fl-Artikolu 440(a), tar-Regolament (UE) Nru 575/2013 billi jużaw il-mudell EU CCYB1 tal-Anness IX ta’ dan ir-Regolament u billi jsegwu l-istruzzjonijiet stipulati fl-Anness X ta’ dan ir-Regolament;</w:t>
      </w:r>
    </w:p>
    <w:p w14:paraId="421F2629" w14:textId="77777777" w:rsidR="009F40BE" w:rsidRPr="002035D9" w:rsidRDefault="00E42EC8" w:rsidP="00F5043B">
      <w:pPr>
        <w:pStyle w:val="Point1letter"/>
        <w:tabs>
          <w:tab w:val="clear" w:pos="1417"/>
        </w:tabs>
        <w:ind w:left="567"/>
      </w:pPr>
      <w:r w:rsidRPr="002035D9">
        <w:t>l-informazzjoni msemmija fl-Artikolu 440(b) tar-Regolament (UE) Nru 575/2013 billi jużaw il-mudell EU CCYB2 tal-Anness IX ta’ dan ir-Regolament u billi jsegwu l-istruzzjonijiet stipulati fl-Anness X ta’ dan ir-Regolament.</w:t>
      </w:r>
    </w:p>
    <w:p w14:paraId="4007DA85" w14:textId="2EE168D4" w:rsidR="00496B08" w:rsidRPr="002035D9" w:rsidRDefault="00496B08" w:rsidP="00496B08">
      <w:pPr>
        <w:pStyle w:val="Titrearticle"/>
      </w:pPr>
      <w:r w:rsidRPr="002035D9">
        <w:t>Artikolu 6</w:t>
      </w:r>
    </w:p>
    <w:p w14:paraId="0857022D" w14:textId="77777777" w:rsidR="009F40BE" w:rsidRPr="002035D9" w:rsidRDefault="009F40BE" w:rsidP="009F40BE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tal-proporzjon ta’ ingranaġġ</w:t>
      </w:r>
    </w:p>
    <w:p w14:paraId="0CFB345E" w14:textId="204FA202" w:rsidR="009F40BE" w:rsidRPr="002035D9" w:rsidRDefault="009F40BE" w:rsidP="009F40BE">
      <w:r w:rsidRPr="002035D9">
        <w:t>L-istituzzjonijiet għandhom jiddivulgaw l-informazzjoni msemmija fl-Artikolu 451 tar-Regolament (UE) Nru 575/2013 kif ġej:</w:t>
      </w:r>
    </w:p>
    <w:p w14:paraId="1C14C095" w14:textId="77777777" w:rsidR="009F40BE" w:rsidRPr="002035D9" w:rsidRDefault="00786078" w:rsidP="00F5043B">
      <w:pPr>
        <w:pStyle w:val="Point1letter"/>
        <w:numPr>
          <w:ilvl w:val="3"/>
          <w:numId w:val="12"/>
        </w:numPr>
        <w:tabs>
          <w:tab w:val="clear" w:pos="1417"/>
        </w:tabs>
        <w:ind w:left="567"/>
      </w:pPr>
      <w:r w:rsidRPr="002035D9">
        <w:t>l-informazzjoni msemmija fl-Artikolu 451(1)(a), (b), u (c), u fl-Artikolu 451(2) u (3), tar-Regolament (UE) Nru 575/2013 billi jużaw il-mudelli EU LR1, EU LR2 u EU LR3 tal-Anness XI ta’ dan ir-Regolament u billi jsegwu l-istruzzjonijiet stipulati fl-Anness XII ta’ dan ir-Regolament;</w:t>
      </w:r>
    </w:p>
    <w:p w14:paraId="632CE413" w14:textId="77777777" w:rsidR="009F40BE" w:rsidRPr="002035D9" w:rsidRDefault="00786078" w:rsidP="00F5043B">
      <w:pPr>
        <w:pStyle w:val="Point1letter"/>
        <w:tabs>
          <w:tab w:val="clear" w:pos="1417"/>
        </w:tabs>
        <w:ind w:left="567"/>
      </w:pPr>
      <w:r w:rsidRPr="002035D9">
        <w:t>l-informazzjoni msemmija fl-Artikolu 451(1)(d) u (e), tar-Regolament (UE) Nru 575/2013 billi jużaw it-tabella EU LRA tal-Anness XI ta’ dan ir-Regolament u billi jsegwu l-istruzzjonijiet stipulati fl-Anness XII ta’ dan ir-Regolament.</w:t>
      </w:r>
    </w:p>
    <w:p w14:paraId="4C36A5D6" w14:textId="2A06F27B" w:rsidR="00496B08" w:rsidRPr="002035D9" w:rsidRDefault="00496B08" w:rsidP="00496B08">
      <w:pPr>
        <w:pStyle w:val="Titrearticle"/>
      </w:pPr>
      <w:r w:rsidRPr="002035D9">
        <w:t>Artikolu 7</w:t>
      </w:r>
    </w:p>
    <w:p w14:paraId="6784E306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tar-rekwiżiti tal-likwidità</w:t>
      </w:r>
    </w:p>
    <w:p w14:paraId="700646AD" w14:textId="45F364CC" w:rsidR="000715FC" w:rsidRPr="002035D9" w:rsidRDefault="000715FC" w:rsidP="003D44B9">
      <w:pPr>
        <w:rPr>
          <w:i/>
        </w:rPr>
      </w:pPr>
      <w:r w:rsidRPr="002035D9">
        <w:t>L-istituzzjonijiet għandhom jiddivulgaw l-informazzjoni msemmija fl-Artikolu 435(1) u fl-Artikolu 451a tar-Regolament (UE) Nru 575/2013 kif ġej:</w:t>
      </w:r>
    </w:p>
    <w:p w14:paraId="3BD25176" w14:textId="77777777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435(1) u fl-Artikolu 451a(4) tar-Regolament (UE) Nru 575/2013 billi jużaw it-tabella EU LIQA tal-Anness XIII ta’ dan ir-Regolament u billi jsegwu l-istruzzjonijiet stipulati fl-Anness XIV ta’ dan ir-Regolament;</w:t>
      </w:r>
    </w:p>
    <w:p w14:paraId="0E8BE407" w14:textId="77777777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451a(2) tar-Regolament (UE) Nru 575/2013 billi jużaw il-mudell EU LIQ1 u t-tabella EU LIQB tal-Anness XIII ta’ dan ir-Regolament u billi jsegwu l-istruzzjonijiet stabbiliti fl-Anness XIV ta’ dan ir-Regolament;</w:t>
      </w:r>
    </w:p>
    <w:p w14:paraId="27B790F3" w14:textId="77777777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451a(3) tar-Regolament (UE) Nru 575/2013 billi jużaw il-mudell EU LIQ2 tal-Anness XIII ta’ dan ir-Regolament u billi jsegwu l-istruzzjonijiet stipulati fl-Anness XIV ta’ dan ir-Regolament.</w:t>
      </w:r>
    </w:p>
    <w:p w14:paraId="48407ACA" w14:textId="256EC5A5" w:rsidR="00496B08" w:rsidRPr="002035D9" w:rsidRDefault="00496B08" w:rsidP="00496B08">
      <w:pPr>
        <w:pStyle w:val="Titrearticle"/>
      </w:pPr>
      <w:r w:rsidRPr="002035D9">
        <w:t>Artikolu 8</w:t>
      </w:r>
    </w:p>
    <w:p w14:paraId="6CB38048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ta’ skoperturi għar-riskju ta’ kreditu, ir-riskju ta’ dilwizzjoni u l-kwalità tal-kreditu</w:t>
      </w:r>
    </w:p>
    <w:p w14:paraId="3D4D2F63" w14:textId="25A1151F" w:rsidR="00A858BC" w:rsidRPr="002035D9" w:rsidRDefault="00A858BC" w:rsidP="000747E8">
      <w:pPr>
        <w:pStyle w:val="NumPar1"/>
        <w:numPr>
          <w:ilvl w:val="0"/>
          <w:numId w:val="29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fl-Artikoli 435 u 442 tar-Regolament (UE) Nru 575/2013 kif ġej:</w:t>
      </w:r>
    </w:p>
    <w:p w14:paraId="551FABBA" w14:textId="025FF9DD" w:rsidR="00A858BC" w:rsidRPr="002035D9" w:rsidRDefault="00D001B4" w:rsidP="00F5043B">
      <w:pPr>
        <w:pStyle w:val="Point1letter"/>
        <w:numPr>
          <w:ilvl w:val="3"/>
          <w:numId w:val="17"/>
        </w:numPr>
        <w:tabs>
          <w:tab w:val="clear" w:pos="1417"/>
        </w:tabs>
        <w:ind w:left="567"/>
      </w:pPr>
      <w:r w:rsidRPr="002035D9">
        <w:t>l-informazzjoni msemmija fl-Artikolu 435(1)(a), (b), (d) u (f), tar-Regolament (UE) Nru 575/2013 billi jużaw it-tabella EU CRA tal-Anness XV ta’ dan ir-Regolament u billi jsegwu l-istruzzjonijiet stipulati fl-Anness XVI ta’ dan ir-Regolament;</w:t>
      </w:r>
    </w:p>
    <w:p w14:paraId="3B0BD257" w14:textId="77777777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442(a) u (b), tar-Regolament (UE) Nru 575/2013 billi jużaw it-tabella EU CRB tal-Anness XV ta’ dan ir-Regolament u billi jsegwu l-istruzzjonijiet stipulati fl-Anness XVI ta’ dan ir-Regolament;</w:t>
      </w:r>
    </w:p>
    <w:p w14:paraId="4F91304B" w14:textId="2B42A7AB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442(d), tar-Regolament (UE) Nru 575/2013 billi jużaw il-mudell EU CQ3 tal-Anness XV ta’ dan ir-Regolament u billi jsegwu l-istruzzjonijiet stipulati fl-Anness XVI ta’ dan ir-Regolament;</w:t>
      </w:r>
    </w:p>
    <w:p w14:paraId="0FF67B2D" w14:textId="77777777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442(g), tar-Regolament (UE) Nru 575/2013 billi jużaw il-mudell EU CR1-A tal-Anness XV ta’ dan ir-Regolament u billi jsegwu l-istruzzjonijiet stipulati fl-Anness XVI ta’ dan ir-Regolament;</w:t>
      </w:r>
    </w:p>
    <w:p w14:paraId="7DE01D39" w14:textId="737CC624" w:rsidR="00A858BC" w:rsidRPr="002035D9" w:rsidRDefault="00D001B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442(f), tar-Regolament (UE) Nru 575/2013 billi jużaw il-mudell EU CR2 tal-Anness XV ta’ dan ir-Regolament u billi jsegwu l-istruzzjonijiet stipulati fl-Anness XVI ta’ dan ir-Regolament.</w:t>
      </w:r>
    </w:p>
    <w:p w14:paraId="27C265A9" w14:textId="77777777" w:rsidR="00DF14E1" w:rsidRPr="002035D9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442(c), (e) u (f), tar-Regolament (UE) Nru 575/2013 billi jużaw il-formoli EU CR1, EU CQ1, u EU CQ7, il-kolonni a, c, e, f u g tal-mudell EU CQ4, u l-kolonni a, c, e u f tal-mudell EU CQ5, stipulati fl-Anness XV ta’ dan ir-Regolament u billi jsegwu l-istruzzjonijiet stipulati fl-Anness XVI ta’ dan ir-Regolament.</w:t>
      </w:r>
    </w:p>
    <w:p w14:paraId="12433EF1" w14:textId="245C024E" w:rsidR="00A858BC" w:rsidRPr="002035D9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 xml:space="preserve">Istituzzjonijiet kbar li għandhom proporzjon bejn il-valur riportat gross ta’ self u avvanzi li jaqgħu taħt l-Artikolu 47a(3) tar-Regolament (UE) Nru 575/2013 u l-valur riportat gross totali ta’ self u avvanzi li jaqgħu taħt l-Artikolu 47a(1) tar-Regolament (UE) Nru 575/2013 daqs jew ogħla minn 5 % għandhom, minbarra l-mudelli u l-kolonni msemmija fil-paragrafu 2, jiddivulgaw l-informazzjoni msemmija fl-Artikolu 442(c) u (f), tar-Regolament (UE) Nru 575/2013 billi jużaw il-mudelli EU CR2a, EU CQ2, CQ6 u EU CQ8, u l-kolonni b u d tal-mudelli EU CQ4 u EU CQ5 stipulati fl-Anness XV ta’ dan ir-Regolament billi jsegwu l-istruzzjonijiet stipulati fl-Anness XVI. Huma għandhom jiddivulgaw din l-informazzjoni fuq bażi annwali. </w:t>
      </w:r>
    </w:p>
    <w:p w14:paraId="38D26DBB" w14:textId="2FAF3A75" w:rsidR="00A858BC" w:rsidRPr="002035D9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Għall-finijiet tal-paragrafu 3, self u avvanzi klassifikati bħala miżmuma għall-bejgħ, bilanċi ta’ flus f’banek ċentrali u depożiti ta’ domanda oħrajn għandhom ikunu esklużi kemm mid-denominatur kif ukoll min-numeratur tal-proporzjon.</w:t>
      </w:r>
    </w:p>
    <w:p w14:paraId="7BC87207" w14:textId="124F936C" w:rsidR="00A858BC" w:rsidRPr="002035D9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għandhom jibdew id-divulgazzjoni skont il-paragrafu 3 meta jkunu laħqu jew qabżu l-livell limitu ta’ 5 % imsemmi f’dak il-paragrafu f’żewġ trimestri konsekuttivi matul l-erba’ trimestri qabel id-data ta’ referenza tad-divulgazzjoni. Għad-data ta’ referenza tal-ewwel divulgazzjoni, l-istituzzjonijiet għandhom jiddivulgaw l-informazzjoni konċernata billi jużaw il-mudelli msemmija f’dan il-paragrafu meta jaqbżu l-livell limitu ta’ 5 % f’dik id-data ta’ referenza tad-divulgazzjoni.</w:t>
      </w:r>
    </w:p>
    <w:p w14:paraId="53CB613D" w14:textId="11D744EC" w:rsidR="00A858BC" w:rsidRPr="002035D9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2035D9">
        <w:t>L-istituzzjonijiet ma għandhomx ikunu aktar obbligati jiddivulgaw skont il-paragrafu 3 meta jkunu waqgħu taħt il-livell limitu ta’ 5 % għal tliet trimestri konsekuttivi matul l-erba’ trimestri qabel id-data ta’ referenza tad-divulgazzjoni.</w:t>
      </w:r>
    </w:p>
    <w:p w14:paraId="3C5E542D" w14:textId="01D8911B" w:rsidR="00496B08" w:rsidRPr="002035D9" w:rsidRDefault="00496B08" w:rsidP="00496B08">
      <w:pPr>
        <w:pStyle w:val="Titrearticle"/>
      </w:pPr>
      <w:r w:rsidRPr="002035D9">
        <w:t>Artikolu 9</w:t>
      </w:r>
    </w:p>
    <w:p w14:paraId="09D01539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 xml:space="preserve">Divulgazzjoni tal-użu tat-tekniki ta’ mitigazzjoni tar-riskju tal-kreditu </w:t>
      </w:r>
    </w:p>
    <w:p w14:paraId="0ECADB24" w14:textId="707BAB41" w:rsidR="00A858BC" w:rsidRPr="002035D9" w:rsidRDefault="00A858BC" w:rsidP="00A858BC">
      <w:pPr>
        <w:rPr>
          <w:i/>
        </w:rPr>
      </w:pPr>
      <w:r w:rsidRPr="002035D9">
        <w:t>L-istituzzjonijiet għandhom jiddivulgaw l-informazzjoni msemmija fl-Artikolu 453 minn (a) sa (f), tar-Regolament (UE) Nru 575/2013 kif ġej:</w:t>
      </w:r>
    </w:p>
    <w:p w14:paraId="1745A6BC" w14:textId="77777777" w:rsidR="00A858BC" w:rsidRPr="002035D9" w:rsidRDefault="00F53E64" w:rsidP="00F5043B">
      <w:pPr>
        <w:pStyle w:val="Point1letter"/>
        <w:numPr>
          <w:ilvl w:val="3"/>
          <w:numId w:val="18"/>
        </w:numPr>
        <w:tabs>
          <w:tab w:val="clear" w:pos="1417"/>
        </w:tabs>
        <w:ind w:left="567"/>
      </w:pPr>
      <w:r w:rsidRPr="002035D9">
        <w:t>l-informazzjoni msemmija fl-Artikolu 453 minn (a) sa (e), tar-Regolament (UE) Nru 575/2013 billi jużaw it-tabella EU CRC tal-Anness XVII ta’ dan ir-Regolament u billi jsegwu l-istruzzjonijiet stipulati fl-Anness XVIII ta’ dan ir-Regolament;</w:t>
      </w:r>
    </w:p>
    <w:p w14:paraId="661A25AE" w14:textId="77777777" w:rsidR="00A858BC" w:rsidRPr="002035D9" w:rsidRDefault="00F53E64" w:rsidP="00F5043B">
      <w:pPr>
        <w:pStyle w:val="Point1letter"/>
        <w:numPr>
          <w:ilvl w:val="3"/>
          <w:numId w:val="16"/>
        </w:numPr>
        <w:tabs>
          <w:tab w:val="clear" w:pos="1417"/>
        </w:tabs>
        <w:ind w:left="567"/>
      </w:pPr>
      <w:r w:rsidRPr="002035D9">
        <w:t>l-informazzjoni msemmija fl-Artikolu 453(f), tar-Regolament (UE) Nru 575/2013 billi jużaw il-mudell EU CR3 tal-Anness XVII ta’ dan ir-Regolament u billi jsegwu l-istruzzjonijiet stipulati fl-Anness XVIII ta’ dan ir-Regolament.</w:t>
      </w:r>
    </w:p>
    <w:p w14:paraId="14246492" w14:textId="5365C73C" w:rsidR="000B18AB" w:rsidRPr="002035D9" w:rsidRDefault="000B18AB" w:rsidP="000B18AB">
      <w:pPr>
        <w:pStyle w:val="Titrearticle"/>
      </w:pPr>
      <w:r w:rsidRPr="002035D9">
        <w:t xml:space="preserve">Artikolu 10 </w:t>
      </w:r>
    </w:p>
    <w:p w14:paraId="5332FF24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tal-użu tal-approċċ standardizzat</w:t>
      </w:r>
    </w:p>
    <w:p w14:paraId="6672FA91" w14:textId="105D032F" w:rsidR="00A858BC" w:rsidRPr="002035D9" w:rsidRDefault="00A858BC" w:rsidP="00A858BC">
      <w:r w:rsidRPr="002035D9">
        <w:t>L-istituzzjonijiet li jikkalkulaw l-ammonti tal-iskopertura ponderati għar-riskju skont l-Approċċ Standardizzat għandhom jiddivulgaw l-informazzjoni msemmija fl-Artikolu 444 u fl-Artikolu 453(g), (h) u (i), tar-Regolament (UE) Nru 575/2013 kif ġej:</w:t>
      </w:r>
    </w:p>
    <w:p w14:paraId="64037B7E" w14:textId="77777777" w:rsidR="00A858BC" w:rsidRPr="002035D9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444 minn (a) sa (d), tar-Regolament (UE) Nru 575/2013 billi jużaw it-tabella EU CRD tal-Anness XIX ta’ dan ir-Regolament u billi jsegwu l-istruzzjonijiet stipulati fl-Anness XX ta’ dan ir-Regolament;</w:t>
      </w:r>
    </w:p>
    <w:p w14:paraId="74A58369" w14:textId="77777777" w:rsidR="00A858BC" w:rsidRPr="002035D9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453(g), (h) u (i), u l-Artikolu 444(e), tar-Regolament (UE) Nru 575/2013 billi jużaw il-mudell EU CR4 tal-Anness XIX ta’ dan ir-Regolament u billi jsegwu l-istruzzjonijiet stipulati fl-Anness XX ta’ dan ir-Regolament;</w:t>
      </w:r>
    </w:p>
    <w:p w14:paraId="0CAF4FE7" w14:textId="1EE8E91B" w:rsidR="00A858BC" w:rsidRPr="002035D9" w:rsidRDefault="00F53E64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444(e), tar-Regolament (UE) Nru 575/2013 billi jużaw il-mudell EU CR5 tal-Anness XIX ta’ dan ir-Regolament u billi jsegwu l-istruzzjonijiet stipulati fl-Anness XX ta’ dan ir-Regolament u, għall-informazzjoni dwar il-valuri tal-iskopertura mnaqqsin minn fondi proprji msemmija f’dan l-istess Artikolu, billi jużaw il-mudell EU CC1 tal-Anness VII ta’ dan ir-Regolament u billi jsegwu l-istruzzjonijiet stipulati fl-Anness VIII ta’ dan ir-Regolament.</w:t>
      </w:r>
    </w:p>
    <w:p w14:paraId="3C991507" w14:textId="68437B83" w:rsidR="00173862" w:rsidRPr="002035D9" w:rsidRDefault="00173862" w:rsidP="00173862">
      <w:pPr>
        <w:pStyle w:val="Titrearticle"/>
      </w:pPr>
      <w:r w:rsidRPr="002035D9">
        <w:t>Artikolu 11</w:t>
      </w:r>
    </w:p>
    <w:p w14:paraId="57C88BA7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tal-użu tal-approċċ IRB għar-riskju tal-kreditu</w:t>
      </w:r>
    </w:p>
    <w:p w14:paraId="43A264E7" w14:textId="691A398D" w:rsidR="00A858BC" w:rsidRPr="002035D9" w:rsidRDefault="00A858BC" w:rsidP="00A858BC">
      <w:r w:rsidRPr="002035D9">
        <w:t>L-istituzzjonijiet li jikkalkulaw l-ammonti tal-iskopertura ponderati għar-riskju skont l-Approċċ IRB għandhom jiddivulgaw l-informazzjoni msemmija fl-Artikoli 438 u 452 u fl-Artikolu 453(g) u (j), tar-Regolament (UE) Nru 575/2013 kif ġej:</w:t>
      </w:r>
    </w:p>
    <w:p w14:paraId="4805C696" w14:textId="77777777" w:rsidR="00A858BC" w:rsidRPr="002035D9" w:rsidRDefault="00926007" w:rsidP="00F5043B">
      <w:pPr>
        <w:pStyle w:val="Point1letter"/>
        <w:numPr>
          <w:ilvl w:val="3"/>
          <w:numId w:val="20"/>
        </w:numPr>
        <w:tabs>
          <w:tab w:val="clear" w:pos="1417"/>
        </w:tabs>
        <w:ind w:left="567"/>
      </w:pPr>
      <w:r w:rsidRPr="002035D9">
        <w:t>l-informazzjoni msemmija fl-Artikolu 452 minn (a) sa (f), tar-Regolament (UE) Nru 575/2013 billi jużaw it-tabella EU CRE u l-mudell EU CR6-A tal-Anness XXI ta’ dan ir-Regolament u billi jsegwu l-istruzzjonijiet stipulati fl-Anness XXII ta’ dan ir-Regolament;</w:t>
      </w:r>
    </w:p>
    <w:p w14:paraId="20A04C13" w14:textId="703D2375" w:rsidR="00A858BC" w:rsidRPr="002035D9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452(g), tar-Regolament (UE) Nru 575/2013 billi jużaw il-mudell EU CR6 tal-Anness XXI ta’ dan ir-Regolament u billi jsegwu l-istruzzjonijiet stipulati fl-Anness XXII ta’ dan ir-Regolament;</w:t>
      </w:r>
    </w:p>
    <w:p w14:paraId="409337BD" w14:textId="76DD51C9" w:rsidR="00A858BC" w:rsidRPr="002035D9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453(g) u (j), tar-Regolament (UE) Nru 575/2013 billi jużaw il-mudelli EU CR7-A u EU CR7 tal-Anness XXI ta’ dan ir-Regolament u billi jsegwu l-istruzzjonijiet stipulati fl-Anness XXII ta’ dan ir-Regolament;</w:t>
      </w:r>
    </w:p>
    <w:p w14:paraId="6ACE2865" w14:textId="096CF1B2" w:rsidR="00A858BC" w:rsidRPr="002035D9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438(h), tar-Regolament (UE) Nru 575/2013 billi jużaw il-mudell EU CR8 tal-Anness XXI ta’ dan ir-Regolament u billi jsegwu l-istruzzjonijiet stipulati fl-Anness XXII ta’ dan ir-Regolament;</w:t>
      </w:r>
    </w:p>
    <w:p w14:paraId="01F0A9A0" w14:textId="2D583FA2" w:rsidR="00A858BC" w:rsidRPr="002035D9" w:rsidRDefault="00926007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452(h), tar-Regolament (UE) Nru 575/2013 billi jużaw il-mudelli EU CR9 u EU CR9.1 tal-Anness XXI ta’ dan ir-Regolament u billi jsegwu l-istruzzjonijiet stipulati fl-Anness XXII ta’ dan ir-Regolament.</w:t>
      </w:r>
    </w:p>
    <w:p w14:paraId="08A80737" w14:textId="3380DF94" w:rsidR="009675DD" w:rsidRPr="002035D9" w:rsidRDefault="009675DD" w:rsidP="009675DD">
      <w:pPr>
        <w:pStyle w:val="Titrearticle"/>
      </w:pPr>
      <w:r w:rsidRPr="002035D9">
        <w:t>Artikolu 12</w:t>
      </w:r>
    </w:p>
    <w:p w14:paraId="31298347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ta’ self speċjalizzat u skopertura tal-ekwità skont l-approċċ sempliċi ta’ ponderazzjoni tar-riskji</w:t>
      </w:r>
    </w:p>
    <w:p w14:paraId="209E1167" w14:textId="1F3573EF" w:rsidR="00A858BC" w:rsidRPr="002035D9" w:rsidRDefault="00A858BC" w:rsidP="00A858BC">
      <w:r w:rsidRPr="002035D9">
        <w:t>L-istituzzjonijiet għandhom jiddivulgaw l-informazzjoni msemmija fl-Artikolu 438(e) tar-Regolament (UE) Nru 575/2013 billi jużaw il-mudell EU CR10 tal-Anness XXIII ta’ dan ir-Regolament u billi jsegwu l-istruzzjonijiet stipulati fl-Anness XXIV ta’ dan ir-Regolament.</w:t>
      </w:r>
    </w:p>
    <w:p w14:paraId="6B0E661C" w14:textId="77777777" w:rsidR="00BF182F" w:rsidRPr="002035D9" w:rsidRDefault="00BF182F" w:rsidP="00BF182F">
      <w:pPr>
        <w:pStyle w:val="Titrearticle"/>
      </w:pPr>
      <w:r w:rsidRPr="002035D9">
        <w:t>Artikolu 13</w:t>
      </w:r>
    </w:p>
    <w:p w14:paraId="4275FD5E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ta’ skoperturi għal riskju ta’ kreditu tal-kontroparti</w:t>
      </w:r>
    </w:p>
    <w:p w14:paraId="4385E700" w14:textId="4D6F85B9" w:rsidR="00A858BC" w:rsidRPr="002035D9" w:rsidRDefault="00A858BC" w:rsidP="00A858BC">
      <w:r w:rsidRPr="002035D9">
        <w:t>L-istituzzjonijiet għandhom jiddivulgaw l-informazzjoni msemmija fl-Artikolu 438(h), u fl-Artikolu 439 tar-Regolament (UE) Nru 575/2013 kif ġej:</w:t>
      </w:r>
    </w:p>
    <w:p w14:paraId="02FBBB67" w14:textId="5EEAC92A" w:rsidR="00A858BC" w:rsidRPr="002035D9" w:rsidRDefault="00336F4D" w:rsidP="00F5043B">
      <w:pPr>
        <w:pStyle w:val="Point1letter"/>
        <w:numPr>
          <w:ilvl w:val="3"/>
          <w:numId w:val="21"/>
        </w:numPr>
        <w:tabs>
          <w:tab w:val="clear" w:pos="1417"/>
        </w:tabs>
        <w:ind w:left="567"/>
      </w:pPr>
      <w:r w:rsidRPr="002035D9">
        <w:t>l-informazzjoni msemmija fl-Artikolu 439(a), (b), (c) u (d), tar-Regolament (UE) Nru 575/2013, billi jużaw it-tabella EU CCRA tal-Anness XXV ta’ dan ir-Regolament u billi jsegwu l-istruzzjonijiet stipulati fl-Anness XXVI ta’ dan ir-Regolament;</w:t>
      </w:r>
    </w:p>
    <w:p w14:paraId="0E510E13" w14:textId="77777777" w:rsidR="00A858BC" w:rsidRPr="002035D9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439(f), (g), (k) u (m), tar-Regolament (UE) Nru 575/2013 billi jużaw il-mudell EU CCR1 tal-Anness XXV ta’ dan ir-Regolament u billi jsegwu l-istruzzjonijiet stipulati fl-Anness XXVI ta’ dan ir-Regolament;</w:t>
      </w:r>
    </w:p>
    <w:p w14:paraId="5695B676" w14:textId="77777777" w:rsidR="00A858BC" w:rsidRPr="002035D9" w:rsidRDefault="00336F4D" w:rsidP="00F5043B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439(h), tar-Regolament (UE) Nru 575/2013 billi jużaw il-mudell EU CCR2 tal-Anness XXV ta’ dan ir-Regolament u billi jsegwu l-istruzzjonijiet stipulati fl-Anness XXVI ta’ dan ir-Regolament;</w:t>
      </w:r>
    </w:p>
    <w:p w14:paraId="4885A941" w14:textId="1C7F0FE9" w:rsidR="00F31307" w:rsidRPr="002035D9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439(l) tar-Regolament (UE) Nru 575/2013 billi jużaw il-mudelli EU CCR3 u EU CCR4 tal-Anness XXV ta’ dan ir-Regolament u billi jsegwu l-istruzzjonijiet stipulati fl-Anness XXVI ta’ dan ir-Regolament;</w:t>
      </w:r>
    </w:p>
    <w:p w14:paraId="4ABAFB07" w14:textId="6F3F7A8C" w:rsidR="00F31307" w:rsidRPr="002035D9" w:rsidRDefault="00F31307" w:rsidP="00F31307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439(e), tar-Regolament (UE) Nru 575/2013 billi jużaw il-mudell EU CCR5 tal-Anness XXV ta’ dan ir-Regolament u billi jsegwu l-istruzzjonijiet stipulati fl-Anness XXVI ta’ dan ir-Regolament;</w:t>
      </w:r>
    </w:p>
    <w:p w14:paraId="023D2246" w14:textId="77777777" w:rsidR="00F31307" w:rsidRPr="002035D9" w:rsidRDefault="00F31307" w:rsidP="007F676F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439(j), tar-Regolament (UE) Nru 575/2013 billi jużaw il-mudell EU CCR6 tal-Anness XXV ta’ dan ir-Regolament u billi jsegwu l-istruzzjonijiet stipulati fl-Anness XXVI ta’ dan ir-Regolament;</w:t>
      </w:r>
    </w:p>
    <w:p w14:paraId="7E588C07" w14:textId="217FCF35" w:rsidR="00262584" w:rsidRPr="002035D9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>l-informazzjoni msemmija fl-Artikolu 438(h), tar-Regolament (UE) Nru 575/2013 billi jużaw il-mudell EU CCR7 tal-Anness XX</w:t>
      </w:r>
      <w:r w:rsidR="00007211">
        <w:t>V</w:t>
      </w:r>
      <w:r w:rsidRPr="002035D9">
        <w:t xml:space="preserve"> ta’ dan ir-Regolament u billi jsegwu l-istruzzjonijiet stipulati fl-Anness XXVI ta’ dan ir-Regolament;</w:t>
      </w:r>
    </w:p>
    <w:p w14:paraId="2600D604" w14:textId="77777777" w:rsidR="00262584" w:rsidRPr="002035D9" w:rsidRDefault="00262584" w:rsidP="00262584">
      <w:pPr>
        <w:pStyle w:val="Point1letter"/>
        <w:numPr>
          <w:ilvl w:val="3"/>
          <w:numId w:val="19"/>
        </w:numPr>
        <w:tabs>
          <w:tab w:val="clear" w:pos="1417"/>
        </w:tabs>
        <w:ind w:left="567"/>
      </w:pPr>
      <w:r w:rsidRPr="002035D9">
        <w:t xml:space="preserve">l-informazzjoni msemmija fl-Artikolu 439(i) tar-Regolament (UE) Nru 575/2013 billi jużaw il-mudell EU CCR8 tal-Anness XXV ta’ dan ir-Regolament u billi jsegwu l-istruzzjonijiet stipulati fl-Anness XXVI ta’ dan ir-Regolament. </w:t>
      </w:r>
    </w:p>
    <w:p w14:paraId="0C905D79" w14:textId="77777777" w:rsidR="00F91209" w:rsidRPr="002035D9" w:rsidRDefault="00F91209" w:rsidP="00F91209">
      <w:pPr>
        <w:pStyle w:val="Titrearticle"/>
      </w:pPr>
      <w:r w:rsidRPr="002035D9">
        <w:t>Artikolu 14</w:t>
      </w:r>
    </w:p>
    <w:p w14:paraId="195EA913" w14:textId="77777777" w:rsidR="00A858BC" w:rsidRPr="002035D9" w:rsidRDefault="00A858BC" w:rsidP="00A858BC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 xml:space="preserve">Divulgazzjoni ta’ skoperturi għal pożizzjonijiet ta’ titolizzazzjoni </w:t>
      </w:r>
    </w:p>
    <w:p w14:paraId="5F8907A1" w14:textId="610CD7BF" w:rsidR="00A858BC" w:rsidRPr="002035D9" w:rsidRDefault="00A858BC" w:rsidP="009777B7">
      <w:r w:rsidRPr="002035D9">
        <w:t>L-istituzzjonijiet għandhom jiddivulgaw l-informazzjoni msemmija fl-Artikolu 449 tar-Regolament (UE) Nru 575/2013 kif ġej:</w:t>
      </w:r>
    </w:p>
    <w:p w14:paraId="26F6A181" w14:textId="77777777" w:rsidR="009777B7" w:rsidRPr="002035D9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2035D9">
        <w:t>l-informazzjoni msemmija fl-Artikolu 449 minn (a) sa (i), tar-Regolament (UE) Nru 575/2013 billi jużaw it-tabella EU SECA tal-Anness XXVII ta’ dan ir-Regolament u billi jsegwu l-istruzzjonijiet stipulati fl-Anness XXVIII ta’ dan ir-Regolament;</w:t>
      </w:r>
    </w:p>
    <w:p w14:paraId="5E9E888F" w14:textId="77777777" w:rsidR="009777B7" w:rsidRPr="002035D9" w:rsidRDefault="00CE62E1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2035D9">
        <w:t>l-informazzjoni msemmija fl-Artikolu 449(j) tar-Regolament (UE) Nru 575/2013 billi jużaw il-mudelli EU SEC1 u EU SEC2 tal-Anness XXVII ta’ dan ir-Regolament u billi jsegwu l-istruzzjonijiet stipulati fl-Anness XXVIII ta’ dan ir-Regolament;</w:t>
      </w:r>
    </w:p>
    <w:p w14:paraId="02E9C6B8" w14:textId="77777777" w:rsidR="009777B7" w:rsidRPr="002035D9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2035D9">
        <w:t>l-informazzjoni msemmija fl-Artikolu 449(k) tar-Regolament (UE) Nru 575/2013 billi jużaw il-mudelli EU SEC3 u EU SEC4 tal-Anness XXVII ta’ dan ir-Regolament u billi jsegwu l-istruzzjonijiet stipulati fl-Anness XXVIII ta’ dan ir-Regolament;</w:t>
      </w:r>
    </w:p>
    <w:p w14:paraId="5D79427B" w14:textId="0A7BBC13" w:rsidR="009777B7" w:rsidRPr="002035D9" w:rsidRDefault="00336F4D" w:rsidP="00F5043B">
      <w:pPr>
        <w:pStyle w:val="Point1letter"/>
        <w:numPr>
          <w:ilvl w:val="3"/>
          <w:numId w:val="22"/>
        </w:numPr>
        <w:tabs>
          <w:tab w:val="clear" w:pos="1417"/>
        </w:tabs>
        <w:ind w:left="567"/>
      </w:pPr>
      <w:r w:rsidRPr="002035D9">
        <w:t>l-informazzjoni msemmija fl-Artikolu 449(l) tar-Regolament (UE) Nru 575/2013 billi jużaw il-mudell EU SEC5 tal-Anness XXVII ta’ dan ir-Regolament u billi jsegwu l-istruzzjonijiet stipulati fl-Anness XXVIII ta’ dan ir-Regolament.</w:t>
      </w:r>
    </w:p>
    <w:p w14:paraId="0FF84706" w14:textId="3A4DAB53" w:rsidR="00F91209" w:rsidRPr="002035D9" w:rsidRDefault="00F91209" w:rsidP="00F91209">
      <w:pPr>
        <w:pStyle w:val="Titrearticle"/>
      </w:pPr>
      <w:r w:rsidRPr="002035D9">
        <w:t>Artikolu 15</w:t>
      </w:r>
    </w:p>
    <w:p w14:paraId="42C96F98" w14:textId="2C104302" w:rsidR="009777B7" w:rsidRPr="002035D9" w:rsidRDefault="009777B7" w:rsidP="009777B7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tal-użu tal-approċċ standardizzat u tal-mudelli interni għar-riskju tas-suq</w:t>
      </w:r>
    </w:p>
    <w:p w14:paraId="44CAFFD2" w14:textId="1216C2A8" w:rsidR="009777B7" w:rsidRPr="002035D9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fl-Artikolu 445 tar-Regolament (UE) Nru 575/2013 billi jużaw il-mudell EU MR1 tal-Anness XXIX ta’ dan ir-Regolament u billi jsegwu l-istruzzjonijiet stipulati fl-Anness XXX ta’ dan ir-Regolament.</w:t>
      </w:r>
    </w:p>
    <w:p w14:paraId="3AC500D1" w14:textId="77777777" w:rsidR="009777B7" w:rsidRPr="002035D9" w:rsidRDefault="009777B7" w:rsidP="00F5043B">
      <w:pPr>
        <w:pStyle w:val="NumPar1"/>
        <w:numPr>
          <w:ilvl w:val="0"/>
          <w:numId w:val="23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jiddivulgaw l-informazzjoni msemmija fl-Artikoli 435, 438 u 455 tar-Regolament (UE) Nru 575/2013 kif ġej:</w:t>
      </w:r>
    </w:p>
    <w:p w14:paraId="32BD307D" w14:textId="0E366FDD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dwar ir-riskju tas-suq imsemmija fl-Artikolu 435(1) minn (a) sa (d), tar-Regolament (UE) Nru 575/2013 billi jużaw it-tabella EU MRA tal-Anness XXIX ta’ dan ir-Regolament u billi jsegwu l-istruzzjonijiet stipulati fl-Anness XXX ta’ dan ir-Regolament;</w:t>
      </w:r>
    </w:p>
    <w:p w14:paraId="1EF9E7BB" w14:textId="77777777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msemmija fl-Artikolu 455(a), (b), (c) u (f), tar-Regolament (UE) Nru 575/2013 billi jużaw it-tabella EU MRB tal-Anness XXIX ta’ dan ir-Regolament u billi jsegwu l-istruzzjonijiet stipulati fl-Anness XXX ta’ dan ir-Regolament;</w:t>
      </w:r>
    </w:p>
    <w:p w14:paraId="743BACE0" w14:textId="596E3A0A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msemmija fl-Artikolu 455(e) tar-Regolament (UE) Nru 575/2013 billi jużaw il-mudell EU MR2-A tal-Anness XXIX ta’ dan ir-Regolament u billi jsegwu l-istruzzjonijiet stipulati fl-Anness XXX ta’ dan ir-Regolament;</w:t>
      </w:r>
    </w:p>
    <w:p w14:paraId="3063F334" w14:textId="710DD9ED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dwar il-mudelli interni għar-riskju tas-suq imsemmija fl-Artikolu 438(h), tar-Regolament (UE) Nru 575/2013 billi jużaw il-mudell EU MR2-B tal-Anness XXIX ta’ dan ir-Regolament u billi jsegwu l-istruzzjonijiet stipulati fl-Anness XXX ta’ dan ir-Regolament;</w:t>
      </w:r>
    </w:p>
    <w:p w14:paraId="0575E60A" w14:textId="77777777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msemmija fl-Artikolu 455(d), tar-Regolament (UE) Nru 575/2013 billi jużaw il-mudell EU MR3 tal-Anness XXIX ta’ dan ir-Regolament u billi jsegwu l-istruzzjonijiet stipulati fl-Anness XXX ta’ dan ir-Regolament;</w:t>
      </w:r>
    </w:p>
    <w:p w14:paraId="1706C070" w14:textId="77777777" w:rsidR="009777B7" w:rsidRPr="002035D9" w:rsidRDefault="00CE62E1" w:rsidP="00F5043B">
      <w:pPr>
        <w:pStyle w:val="Point1letter"/>
        <w:numPr>
          <w:ilvl w:val="3"/>
          <w:numId w:val="24"/>
        </w:numPr>
        <w:tabs>
          <w:tab w:val="clear" w:pos="1417"/>
        </w:tabs>
        <w:ind w:left="567"/>
      </w:pPr>
      <w:r w:rsidRPr="002035D9">
        <w:t>l-informazzjoni msemmija fl-Artikolu 455(g) tar-Regolament (UE) Nru 575/2013 billi jużaw il-mudell EU MR4 tal-Anness XXIX ta’ dan ir-Regolament u billi jsegwu l-istruzzjonijiet stipulati fl-Anness XXX ta’ dan ir-Regolament.</w:t>
      </w:r>
    </w:p>
    <w:p w14:paraId="79114201" w14:textId="28128507" w:rsidR="00F91209" w:rsidRPr="002035D9" w:rsidRDefault="00F91209" w:rsidP="00F91209">
      <w:pPr>
        <w:pStyle w:val="Titrearticle"/>
      </w:pPr>
      <w:r w:rsidRPr="002035D9">
        <w:t>Artikolu 16</w:t>
      </w:r>
      <w:r w:rsidRPr="002035D9">
        <w:fldChar w:fldCharType="begin"/>
      </w:r>
      <w:r w:rsidRPr="002035D9">
        <w:instrText xml:space="preserve"> seq article </w:instrText>
      </w:r>
      <w:r w:rsidRPr="002035D9">
        <w:fldChar w:fldCharType="end"/>
      </w:r>
    </w:p>
    <w:p w14:paraId="261E1ED8" w14:textId="77777777" w:rsidR="009777B7" w:rsidRPr="002035D9" w:rsidRDefault="009777B7" w:rsidP="009777B7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 xml:space="preserve">Divulgazzjoni tar-riskju operazzjonali </w:t>
      </w:r>
    </w:p>
    <w:p w14:paraId="6C920F52" w14:textId="563573EB" w:rsidR="009777B7" w:rsidRPr="002035D9" w:rsidRDefault="009777B7" w:rsidP="009777B7">
      <w:r w:rsidRPr="002035D9">
        <w:t>L-istituzzjonijiet għandhom jiddivulgaw l-informazzjoni msemmija fl-Artikolu 435, fl-Artikolu 438(d), u fl-Artikoli 446 u 454 tar-Regolament (UE) Nru 575/2013 billi jużaw it-tabella EU ORA u l-mudell EU OR1 tal-Anness XXXI ta’ dan ir-Regolament u billi jsegwu l-istruzzjonijiet stipulati fl-Anness XXXII ta’ dan ir-Regolament.</w:t>
      </w:r>
    </w:p>
    <w:p w14:paraId="3A62A83D" w14:textId="5BACE9F7" w:rsidR="000C60D7" w:rsidRPr="002035D9" w:rsidRDefault="000C60D7" w:rsidP="000C60D7">
      <w:pPr>
        <w:pStyle w:val="Titrearticle"/>
      </w:pPr>
      <w:r w:rsidRPr="002035D9">
        <w:t>Artikolu 17</w:t>
      </w:r>
    </w:p>
    <w:p w14:paraId="75DCF1EA" w14:textId="77777777" w:rsidR="009777B7" w:rsidRPr="002035D9" w:rsidRDefault="009777B7" w:rsidP="009777B7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Divulgazzjoni tal-politika ta’ remunerazzjoni</w:t>
      </w:r>
    </w:p>
    <w:p w14:paraId="3839A255" w14:textId="7459AA9C" w:rsidR="009777B7" w:rsidRPr="002035D9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2035D9">
        <w:rPr>
          <w:i w:val="0"/>
        </w:rPr>
        <w:t>L-istituzzjonijiet għandhom jiddivulgaw l-informazzjoni msemmija fl-Artikolu 450 tar-Regolament (UE) Nru 575/2013, kif ġej:</w:t>
      </w:r>
    </w:p>
    <w:p w14:paraId="16156854" w14:textId="4C5CA171" w:rsidR="009777B7" w:rsidRPr="002035D9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l-informazzjoni msemmija fl-Artikolu 450(1) minn (a) sa (f), u (j) u (k), u l-informazzjoni msemmija fl-Artikolu 450(2) ta’ dan ir-Regolament, billi jużaw it-tabella EU REMA tal-Anness XXXIII ta’ dan ir-Regolament u billi jsegwu l-istruzzjonijiet stipulati fl-Anness XXXIV ta’ dan ir-Regolament;</w:t>
      </w:r>
    </w:p>
    <w:p w14:paraId="4E502300" w14:textId="605631C5" w:rsidR="009777B7" w:rsidRPr="002035D9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l-informazzjoni msemmija fl-Artikolu 450(1)(h)(i) u (h)(ii), tar-Regolament (UE) Nru 575/2013 billi jużaw il-mudell EU REM1 tal-Anness XXXIII ta’ dan ir-Regolament u billi jsegwu l-istruzzjonijiet stipulati fl-Anness XXXIV ta’ dan ir-Regolament;</w:t>
      </w:r>
    </w:p>
    <w:p w14:paraId="735B9196" w14:textId="2AFEC3DD" w:rsidR="009777B7" w:rsidRPr="002035D9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l-informazzjoni msemmija fl-Artikolu 450(1)(h)(v), (h)(vi) u (h)(vii), tar-Regolament (UE) Nru 575/2013 billi jużaw il-mudell EU REM2 tal-Anness XXXIII ta’ dan ir-Regolament u billi jsegwu l-istruzzjonijiet stipulati fl-Anness XXXIV ta’ dan ir-Regolament;</w:t>
      </w:r>
    </w:p>
    <w:p w14:paraId="1AED187D" w14:textId="47EACA11" w:rsidR="009777B7" w:rsidRPr="002035D9" w:rsidRDefault="0092295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l-informazzjoni msemmija fl-Artikolu 450(1)(h)(iii) u (h)(iv), tar-Regolament (UE) Nru 575/2013 billi jużaw il-mudell EU REM3 tal-Anness XXXIII ta’ dan ir-Regolament u billi jsegwu l-istruzzjonijiet stipulati fl-Anness XXXIV ta’ dan ir-Regolament;</w:t>
      </w:r>
    </w:p>
    <w:p w14:paraId="14D12398" w14:textId="1556CB9D" w:rsidR="009777B7" w:rsidRPr="002035D9" w:rsidRDefault="009B4728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l-informazzjoni msemmija fil-punti (g) u (i) tal-Artikolu 450(1), tar-Regolament (UE) Nru 575/2013 billi jużaw il-mudelli EU REM4 u EU REM5 tal-Anness XXXIII ta’ dan ir-Regolament u billi jsegwu l-istruzzjonijiet stipulati fl-Anness XXXIV ta’ dan ir-Regolament.</w:t>
      </w:r>
    </w:p>
    <w:p w14:paraId="5CB4C7E8" w14:textId="04C76E20" w:rsidR="00D104B6" w:rsidRDefault="00D104B6" w:rsidP="00D104B6">
      <w:pPr>
        <w:pStyle w:val="Titrearticle"/>
        <w:ind w:left="567" w:hanging="567"/>
      </w:pPr>
      <w:r>
        <w:t>Artikolu 1</w:t>
      </w:r>
      <w:r w:rsidR="00603643">
        <w:t>8</w:t>
      </w:r>
    </w:p>
    <w:p w14:paraId="160478EB" w14:textId="20E06796" w:rsidR="00701631" w:rsidRPr="00D104B6" w:rsidRDefault="007F2E07" w:rsidP="00D104B6">
      <w:pPr>
        <w:pStyle w:val="Titrearticle"/>
        <w:ind w:left="567" w:hanging="567"/>
      </w:pPr>
      <w:r>
        <w:rPr>
          <w:b/>
          <w:i w:val="0"/>
        </w:rPr>
        <w:t xml:space="preserve">Divulgazzjoni ta’ assi </w:t>
      </w:r>
      <w:r w:rsidR="00D16AA1">
        <w:rPr>
          <w:b/>
          <w:i w:val="0"/>
        </w:rPr>
        <w:t>mirhuna u assi mhux mirhuna</w:t>
      </w:r>
      <w:r w:rsidR="00701631" w:rsidRPr="002035D9">
        <w:rPr>
          <w:b/>
          <w:i w:val="0"/>
        </w:rPr>
        <w:t xml:space="preserve"> </w:t>
      </w:r>
    </w:p>
    <w:p w14:paraId="449F8D1D" w14:textId="124DE705" w:rsidR="00701631" w:rsidRPr="002035D9" w:rsidRDefault="00701631" w:rsidP="006A7F00">
      <w:pPr>
        <w:spacing w:after="360"/>
      </w:pPr>
      <w:r w:rsidRPr="002035D9">
        <w:t>L-istituzzjonijiet għandhom jiddivulgaw l-informazzjoni msemmija fl-Artikolu 443 tar-Regolament (UE) Nru 575/2013 billi jużaw il-mudelli EU AE1, EU AE2 u EU AE3 u t-tabella EU AE4 tal-Anness XXXV ta’ dan ir-Regolament u billi jsegwu l-istruzzjonijiet stipulati fl-Anness XXXVI ta’ dan ir-Regolament.</w:t>
      </w:r>
    </w:p>
    <w:p w14:paraId="14363D9F" w14:textId="77777777" w:rsidR="00701631" w:rsidRPr="002035D9" w:rsidRDefault="00701631" w:rsidP="00701631">
      <w:pPr>
        <w:pStyle w:val="ChapterTitle"/>
      </w:pPr>
    </w:p>
    <w:p w14:paraId="7FE6B268" w14:textId="77777777" w:rsidR="000C60D7" w:rsidRPr="002035D9" w:rsidRDefault="000C60D7" w:rsidP="000C60D7">
      <w:pPr>
        <w:pStyle w:val="Titrearticle"/>
      </w:pPr>
      <w:r w:rsidRPr="002035D9">
        <w:t>Artikolu 19</w:t>
      </w:r>
    </w:p>
    <w:p w14:paraId="3E8EF4AC" w14:textId="77777777" w:rsidR="00701631" w:rsidRPr="002035D9" w:rsidRDefault="00701631" w:rsidP="00701631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Dispożizzjonijiet ġenerali</w:t>
      </w:r>
    </w:p>
    <w:p w14:paraId="0D4D4A8C" w14:textId="665CD0FC" w:rsidR="00701631" w:rsidRPr="002035D9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2035D9">
        <w:t>In-numerazzjoni tar-ringieli jew il-kolonni ma għandhomx jinbidlu meta istituzzjoni tħalli barra divulgazzjoni waħda jew aktar skont l-Artikolu 432 tar-Regolament (UE) Nru 575/2013.</w:t>
      </w:r>
    </w:p>
    <w:p w14:paraId="69318B17" w14:textId="6616639A" w:rsidR="00701631" w:rsidRPr="002035D9" w:rsidRDefault="00701631" w:rsidP="0015237E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 jagħmlu nota ċara fin-narrattiva li takkumpanja l-mudell jew it-tabella kkonċernata billi jindikaw liema ringieli jew kolonni huma vojta u billi jagħtu raġuni għall-ommissjoni tad-divulgazzjoni.</w:t>
      </w:r>
    </w:p>
    <w:p w14:paraId="2CB1CDF8" w14:textId="03F7F293" w:rsidR="00701631" w:rsidRPr="002035D9" w:rsidRDefault="00701631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2035D9">
        <w:t>L-informazzjoni meħtieġa mill-Artikolu 431 tar-Regolament (UE) Nru 575/2013 għandha tkun ċara u komprensiva, filwaqt li tippermetti lill-utenti ta’ dik l-informazzjoni jifhmu d-divulgazzjonijiet kwantitattivi, u għandha titqiegħed mal-mudelli li magħhom tkun relatata dik l-informazzjoni.</w:t>
      </w:r>
    </w:p>
    <w:p w14:paraId="3C376A0D" w14:textId="77777777" w:rsidR="00701631" w:rsidRPr="002035D9" w:rsidRDefault="008A6A1E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2035D9">
        <w:t>Il-valuri numeriċi għandhom jiġu ppreżentati kif ġej:</w:t>
      </w:r>
    </w:p>
    <w:p w14:paraId="34EC4F16" w14:textId="77777777" w:rsidR="00701631" w:rsidRPr="002035D9" w:rsidRDefault="006A7F00" w:rsidP="006A7F00">
      <w:pPr>
        <w:pStyle w:val="Point1letter"/>
        <w:numPr>
          <w:ilvl w:val="3"/>
          <w:numId w:val="27"/>
        </w:numPr>
        <w:tabs>
          <w:tab w:val="clear" w:pos="1417"/>
        </w:tabs>
        <w:ind w:left="567"/>
      </w:pPr>
      <w:r w:rsidRPr="002035D9">
        <w:rPr>
          <w:i/>
        </w:rPr>
        <w:t>data</w:t>
      </w:r>
      <w:r w:rsidRPr="002035D9">
        <w:t xml:space="preserve"> monetarja kwantitattiva għandha tiġi ddivulgata permezz ta’ minimu ta’ preċiżjoni ekwivalenti għal miljuni ta’ unitajiet;</w:t>
      </w:r>
    </w:p>
    <w:p w14:paraId="68A2DB14" w14:textId="77777777" w:rsidR="00701631" w:rsidRPr="002035D9" w:rsidRDefault="006A7F00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rPr>
          <w:i/>
        </w:rPr>
        <w:t>data</w:t>
      </w:r>
      <w:r w:rsidRPr="002035D9">
        <w:t xml:space="preserve"> kwantitattiva mniżżla bħala “Perċentwal” għandha tintwera bħala unità b’minimu ta’ preċiżjoni ekwivalenti għal erba’ deċimali.</w:t>
      </w:r>
    </w:p>
    <w:p w14:paraId="4ABB712C" w14:textId="23EAACA3" w:rsidR="00701631" w:rsidRPr="002035D9" w:rsidRDefault="007C003F" w:rsidP="006A7F00">
      <w:pPr>
        <w:pStyle w:val="NumPar1"/>
        <w:numPr>
          <w:ilvl w:val="0"/>
          <w:numId w:val="26"/>
        </w:numPr>
        <w:tabs>
          <w:tab w:val="clear" w:pos="850"/>
          <w:tab w:val="left" w:pos="567"/>
        </w:tabs>
        <w:ind w:left="0" w:firstLine="0"/>
      </w:pPr>
      <w:r w:rsidRPr="002035D9">
        <w:t>L-istituzzjonijiet għandhom, minbarra l-informazzjoni divulgata f'konformità ma’ dan ir-Regolament, jipprovdu wkoll l-informazzjoni li ġejja:</w:t>
      </w:r>
    </w:p>
    <w:p w14:paraId="13F175D6" w14:textId="77777777" w:rsidR="00701631" w:rsidRPr="002035D9" w:rsidRDefault="00701631" w:rsidP="006A7F00">
      <w:pPr>
        <w:pStyle w:val="Point1letter"/>
        <w:numPr>
          <w:ilvl w:val="3"/>
          <w:numId w:val="28"/>
        </w:numPr>
        <w:tabs>
          <w:tab w:val="clear" w:pos="1417"/>
        </w:tabs>
        <w:ind w:left="567"/>
      </w:pPr>
      <w:r w:rsidRPr="002035D9">
        <w:t xml:space="preserve">id-data ta’ referenza tad-divulgazzjoni u l-perjodu ta’ referenza; </w:t>
      </w:r>
    </w:p>
    <w:p w14:paraId="314245D8" w14:textId="77777777" w:rsidR="00701631" w:rsidRPr="002035D9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 xml:space="preserve">il-munita tar-rapportar; </w:t>
      </w:r>
    </w:p>
    <w:p w14:paraId="567E44A9" w14:textId="77777777" w:rsidR="00701631" w:rsidRPr="002035D9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l-isem u, fejn rilevanti, l-identifikatur ta’ entità ġuridika (legal entity identifier, LEI) tal-istituzzjoni li twettaq id-divulgazzjoni;</w:t>
      </w:r>
    </w:p>
    <w:p w14:paraId="451CF564" w14:textId="77777777" w:rsidR="00701631" w:rsidRPr="002035D9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fejn ikun rilevanti, l-istandard kontabilistiku użat;</w:t>
      </w:r>
    </w:p>
    <w:p w14:paraId="02FEC9AF" w14:textId="77777777" w:rsidR="00701631" w:rsidRPr="002035D9" w:rsidRDefault="00701631" w:rsidP="006A7F00">
      <w:pPr>
        <w:pStyle w:val="Point1letter"/>
        <w:numPr>
          <w:ilvl w:val="3"/>
          <w:numId w:val="25"/>
        </w:numPr>
        <w:tabs>
          <w:tab w:val="clear" w:pos="1417"/>
        </w:tabs>
        <w:ind w:left="567"/>
      </w:pPr>
      <w:r w:rsidRPr="002035D9">
        <w:t>fejn ikun rilevanti, il-kamp ta’ applikazzjoni tal-konsolidazzjoni.</w:t>
      </w:r>
    </w:p>
    <w:p w14:paraId="2B58C852" w14:textId="35679235" w:rsidR="00701631" w:rsidRPr="002035D9" w:rsidRDefault="00701631" w:rsidP="00701631">
      <w:pPr>
        <w:pStyle w:val="ChapterTitle"/>
      </w:pPr>
    </w:p>
    <w:p w14:paraId="0809B9F0" w14:textId="77777777" w:rsidR="00480310" w:rsidRPr="002035D9" w:rsidRDefault="00480310" w:rsidP="00480310">
      <w:pPr>
        <w:pStyle w:val="Titrearticle"/>
      </w:pPr>
      <w:r w:rsidRPr="002035D9">
        <w:t>Artikolu 20</w:t>
      </w:r>
    </w:p>
    <w:p w14:paraId="3C483BD6" w14:textId="77777777" w:rsidR="00701631" w:rsidRPr="002035D9" w:rsidRDefault="00701631" w:rsidP="00701631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Tħassir</w:t>
      </w:r>
    </w:p>
    <w:p w14:paraId="3A2C5124" w14:textId="5C677A63" w:rsidR="00701631" w:rsidRPr="002035D9" w:rsidRDefault="00701631" w:rsidP="00CE5120">
      <w:r w:rsidRPr="002035D9">
        <w:t>Ir-Regolament ta’ Implimentazzjoni (UE) Nru 1423/2013, ir-Regolament ta’ Delega (UE) 2015/1555, ir-Regolament ta’ Implimentazzjoni (UE) 2016/200 u r-Regolament Delegat (UE) 2017/2295 huma mħassra.</w:t>
      </w:r>
    </w:p>
    <w:p w14:paraId="5131A818" w14:textId="1E314DFE" w:rsidR="00701631" w:rsidRPr="002035D9" w:rsidRDefault="00701631" w:rsidP="00CE5120"/>
    <w:p w14:paraId="790A8EA3" w14:textId="08CF0E19" w:rsidR="00480310" w:rsidRPr="002035D9" w:rsidRDefault="00480310" w:rsidP="00480310">
      <w:pPr>
        <w:pStyle w:val="Titrearticle"/>
        <w:spacing w:before="120"/>
      </w:pPr>
      <w:r w:rsidRPr="002035D9">
        <w:t>Artikolu 21</w:t>
      </w:r>
    </w:p>
    <w:p w14:paraId="250EEEF7" w14:textId="77777777" w:rsidR="003A35E9" w:rsidRPr="002035D9" w:rsidRDefault="003A35E9" w:rsidP="003A35E9">
      <w:pPr>
        <w:pStyle w:val="Titrearticle"/>
        <w:spacing w:before="120"/>
        <w:rPr>
          <w:b/>
          <w:i w:val="0"/>
        </w:rPr>
      </w:pPr>
      <w:r w:rsidRPr="002035D9">
        <w:rPr>
          <w:b/>
          <w:i w:val="0"/>
        </w:rPr>
        <w:t>Dħul fis-seħħ</w:t>
      </w:r>
    </w:p>
    <w:p w14:paraId="48F23500" w14:textId="77777777" w:rsidR="0004170D" w:rsidRPr="002035D9" w:rsidRDefault="0004170D" w:rsidP="009675DD">
      <w:r w:rsidRPr="002035D9">
        <w:t>Dan ir-Regolament għandu jidħol fis-seħħ fl-għoxrin jum wara dak tal-pubblikazzjoni tiegħu f’</w:t>
      </w:r>
      <w:r w:rsidRPr="002035D9">
        <w:rPr>
          <w:i/>
        </w:rPr>
        <w:t>Il-Ġurnal Uffiċjali tal-Unjoni Ewropea</w:t>
      </w:r>
      <w:r w:rsidRPr="002035D9">
        <w:t>.</w:t>
      </w:r>
    </w:p>
    <w:p w14:paraId="0EE80E7B" w14:textId="77777777" w:rsidR="00FF364B" w:rsidRPr="002035D9" w:rsidRDefault="00FF364B" w:rsidP="00FF364B">
      <w:r w:rsidRPr="002035D9">
        <w:t>Għandu japplika mit-28 ta’ Ġunju 2021.</w:t>
      </w:r>
    </w:p>
    <w:p w14:paraId="7780311D" w14:textId="77777777" w:rsidR="0004170D" w:rsidRPr="002035D9" w:rsidRDefault="0004170D" w:rsidP="009675DD">
      <w:pPr>
        <w:pStyle w:val="Applicationdirecte"/>
      </w:pPr>
      <w:r w:rsidRPr="002035D9">
        <w:t>Dan ir-Regolament għandu jorbot fl-intier tiegħu u japplika direttament fl-Istati Membri kollha.</w:t>
      </w:r>
    </w:p>
    <w:p w14:paraId="0BE91ABA" w14:textId="1F9FE96E" w:rsidR="0004170D" w:rsidRPr="002035D9" w:rsidRDefault="00FD3377" w:rsidP="00FD3377">
      <w:pPr>
        <w:pStyle w:val="Fait"/>
      </w:pPr>
      <w:r w:rsidRPr="00FD3377">
        <w:t>Magħmul fi Brussell,</w:t>
      </w:r>
    </w:p>
    <w:p w14:paraId="08B30859" w14:textId="77777777" w:rsidR="0004170D" w:rsidRPr="002035D9" w:rsidRDefault="0004170D" w:rsidP="0004170D">
      <w:pPr>
        <w:pStyle w:val="Institutionquisigne"/>
      </w:pPr>
      <w:r w:rsidRPr="002035D9">
        <w:tab/>
        <w:t>Għall-Kummissjoni</w:t>
      </w:r>
    </w:p>
    <w:p w14:paraId="53FCF827" w14:textId="77777777" w:rsidR="00553957" w:rsidRPr="002035D9" w:rsidRDefault="0004170D" w:rsidP="0004170D">
      <w:pPr>
        <w:pStyle w:val="Personnequisigne"/>
      </w:pPr>
      <w:r w:rsidRPr="002035D9">
        <w:tab/>
        <w:t>Il-President</w:t>
      </w:r>
    </w:p>
    <w:p w14:paraId="5753E957" w14:textId="4CF92A3E" w:rsidR="0004170D" w:rsidRPr="002035D9" w:rsidRDefault="00553957" w:rsidP="0004170D">
      <w:pPr>
        <w:pStyle w:val="Personnequisigne"/>
      </w:pPr>
      <w:r w:rsidRPr="002035D9">
        <w:tab/>
        <w:t xml:space="preserve">Ursula von der Leyen </w:t>
      </w:r>
      <w:r w:rsidRPr="002035D9">
        <w:br/>
      </w:r>
      <w:r w:rsidRPr="002035D9">
        <w:tab/>
        <w:t xml:space="preserve"> </w:t>
      </w:r>
      <w:r w:rsidRPr="002035D9">
        <w:br/>
      </w:r>
      <w:r w:rsidRPr="002035D9">
        <w:tab/>
        <w:t xml:space="preserve"> </w:t>
      </w:r>
      <w:r w:rsidRPr="002035D9">
        <w:br/>
        <w:t xml:space="preserve"> </w:t>
      </w:r>
      <w:r w:rsidRPr="002035D9">
        <w:br/>
      </w:r>
      <w:r w:rsidRPr="002035D9">
        <w:tab/>
      </w:r>
    </w:p>
    <w:sectPr w:rsidR="0004170D" w:rsidRPr="002035D9" w:rsidSect="005978D0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439D9" w14:textId="77777777" w:rsidR="00D642C6" w:rsidRDefault="00D642C6" w:rsidP="0004170D">
      <w:pPr>
        <w:spacing w:before="0" w:after="0"/>
      </w:pPr>
      <w:r>
        <w:separator/>
      </w:r>
    </w:p>
  </w:endnote>
  <w:endnote w:type="continuationSeparator" w:id="0">
    <w:p w14:paraId="134D70AD" w14:textId="77777777" w:rsidR="00D642C6" w:rsidRDefault="00D642C6" w:rsidP="0004170D">
      <w:pPr>
        <w:spacing w:before="0" w:after="0"/>
      </w:pPr>
      <w:r>
        <w:continuationSeparator/>
      </w:r>
    </w:p>
  </w:endnote>
  <w:endnote w:type="continuationNotice" w:id="1">
    <w:p w14:paraId="1724D46A" w14:textId="77777777" w:rsidR="00D642C6" w:rsidRDefault="00D642C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0D5A7" w14:textId="0C668618" w:rsidR="00FD3377" w:rsidRPr="005978D0" w:rsidRDefault="005978D0" w:rsidP="005978D0">
    <w:pPr>
      <w:pStyle w:val="Footer"/>
      <w:rPr>
        <w:rFonts w:ascii="Arial" w:hAnsi="Arial" w:cs="Arial"/>
        <w:b/>
        <w:sz w:val="48"/>
      </w:rPr>
    </w:pPr>
    <w:r w:rsidRPr="005978D0">
      <w:rPr>
        <w:rFonts w:ascii="Arial" w:hAnsi="Arial" w:cs="Arial"/>
        <w:b/>
        <w:sz w:val="48"/>
      </w:rPr>
      <w:t>MT</w:t>
    </w:r>
    <w:r w:rsidRPr="005978D0">
      <w:rPr>
        <w:rFonts w:ascii="Arial" w:hAnsi="Arial" w:cs="Arial"/>
        <w:b/>
        <w:sz w:val="48"/>
      </w:rPr>
      <w:tab/>
    </w:r>
    <w:r w:rsidRPr="005978D0">
      <w:rPr>
        <w:rFonts w:ascii="Arial" w:hAnsi="Arial" w:cs="Arial"/>
        <w:b/>
        <w:sz w:val="48"/>
      </w:rPr>
      <w:tab/>
    </w:r>
    <w:r w:rsidRPr="005978D0">
      <w:tab/>
    </w:r>
    <w:r w:rsidRPr="005978D0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F0C7" w14:textId="27392C9D" w:rsidR="005978D0" w:rsidRPr="005978D0" w:rsidRDefault="005978D0" w:rsidP="005978D0">
    <w:pPr>
      <w:pStyle w:val="Footer"/>
      <w:rPr>
        <w:rFonts w:ascii="Arial" w:hAnsi="Arial" w:cs="Arial"/>
        <w:b/>
        <w:sz w:val="48"/>
      </w:rPr>
    </w:pPr>
    <w:r w:rsidRPr="005978D0">
      <w:rPr>
        <w:rFonts w:ascii="Arial" w:hAnsi="Arial" w:cs="Arial"/>
        <w:b/>
        <w:sz w:val="48"/>
      </w:rPr>
      <w:t>MT</w:t>
    </w:r>
    <w:r w:rsidRPr="005978D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41461">
      <w:rPr>
        <w:noProof/>
      </w:rPr>
      <w:t>1</w:t>
    </w:r>
    <w:r>
      <w:fldChar w:fldCharType="end"/>
    </w:r>
    <w:r>
      <w:tab/>
    </w:r>
    <w:r w:rsidRPr="005978D0">
      <w:tab/>
    </w:r>
    <w:r w:rsidRPr="005978D0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6EDAD" w14:textId="77777777" w:rsidR="005978D0" w:rsidRPr="005978D0" w:rsidRDefault="005978D0" w:rsidP="005978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2F737" w14:textId="77777777" w:rsidR="00D642C6" w:rsidRDefault="00D642C6" w:rsidP="0004170D">
      <w:pPr>
        <w:spacing w:before="0" w:after="0"/>
      </w:pPr>
      <w:r>
        <w:separator/>
      </w:r>
    </w:p>
  </w:footnote>
  <w:footnote w:type="continuationSeparator" w:id="0">
    <w:p w14:paraId="749DF679" w14:textId="77777777" w:rsidR="00D642C6" w:rsidRDefault="00D642C6" w:rsidP="0004170D">
      <w:pPr>
        <w:spacing w:before="0" w:after="0"/>
      </w:pPr>
      <w:r>
        <w:continuationSeparator/>
      </w:r>
    </w:p>
  </w:footnote>
  <w:footnote w:type="continuationNotice" w:id="1">
    <w:p w14:paraId="4A2CD802" w14:textId="77777777" w:rsidR="00D642C6" w:rsidRDefault="00D642C6">
      <w:pPr>
        <w:spacing w:before="0" w:after="0"/>
      </w:pPr>
    </w:p>
  </w:footnote>
  <w:footnote w:id="2">
    <w:p w14:paraId="342936E7" w14:textId="77777777" w:rsidR="00D642C6" w:rsidRPr="005823FE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ĠU L 176, 27.6.2013, p. 1.</w:t>
      </w:r>
    </w:p>
  </w:footnote>
  <w:footnote w:id="3">
    <w:p w14:paraId="0882B9E0" w14:textId="0727DECC" w:rsidR="00D642C6" w:rsidRPr="003460F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 xml:space="preserve">Il-Kumitat ta’ Basel dwar is-Superviżjoni Bankarja tal-Bank għall-Ħlasijiet Internazzjonali, “DIS Disclosure requirements”, Diċembru 2019. </w:t>
      </w:r>
    </w:p>
  </w:footnote>
  <w:footnote w:id="4">
    <w:p w14:paraId="13EE838B" w14:textId="394F43A6" w:rsidR="00D642C6" w:rsidRPr="00A72EF0" w:rsidRDefault="004328FB" w:rsidP="00A72EF0">
      <w:pPr>
        <w:pStyle w:val="FootnoteText"/>
        <w:ind w:left="567" w:hanging="567"/>
        <w:rPr>
          <w:rStyle w:val="FootnoteReference"/>
          <w:vertAlign w:val="baseline"/>
        </w:rPr>
      </w:pPr>
      <w:r>
        <w:rPr>
          <w:rStyle w:val="FootnoteReference"/>
        </w:rPr>
        <w:footnoteRef/>
      </w:r>
      <w:r>
        <w:tab/>
        <w:t>Ir-Regolament (UE) Nru 575/2013 tal-Parlament Ewropew u tal-Kunsill tas-26 ta’ Ġunju 2013 dwar ir-rekwiżiti prudenzjali għall-istituzzjonijiet ta’ kreditu u d-ditti tal-investiment u li jemenda r-Regolament (UE) Nru 648/2012 (</w:t>
      </w:r>
      <w:hyperlink r:id="rId1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5">
    <w:p w14:paraId="40392A66" w14:textId="77777777" w:rsidR="00D642C6" w:rsidRPr="00587191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ta’ Implimentazzjoni tal-Kummissjoni (UE) Nru 1423/2013 tal-20 ta’ Diċembru 2013 li jistipula l-istandards tekniċi ta’ implimentazzjoni fir-rigward tad-divulgazzjoni ta’ rekwiżiti ta’ fondi proprji għall-istituzzjonijiet skont ir-Regolament (UE) Nru 575/2013 tal-Parlament Ewropew u tal-Kunsill (ĠU L 355, 31.12.2013, p. 60).</w:t>
      </w:r>
    </w:p>
  </w:footnote>
  <w:footnote w:id="6">
    <w:p w14:paraId="6C1C6468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ta’ Delega tal-Kummissjoni (UE) 2015/1555 tat-28 ta’ Mejju 2015 li jissupplimenta r-Regolament (UE) Nru 575/2013 tal-Parlament Ewropew u tal-Kunsill fir-rigward tal-istandards tekniċi regolatorji għad-divulgazzjoni tal-informazzjoni fir-rigward tal-konformità tal-istituzzjonijiet mar-rekwiżit tal-bafer kapitali kontroċikliku skont l-Artikolu 440 (ĠU L 244, 19.9.2015, p. 1).</w:t>
      </w:r>
    </w:p>
  </w:footnote>
  <w:footnote w:id="7">
    <w:p w14:paraId="1844C7BE" w14:textId="77777777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ta’ Implimentazzjoni tal-Kummissjoni (UE) Nru 2016/200 tal-15 ta’ Frar 2016 li jistipula standards tekniċi ta’ implimentazzjoni fir-rigward tad-divulgazzjoni tal-proporzjon ta’ ingranaġġ għall-istituzzjonijiet, skont ir-Regolament (UE) Nru 575/2013 tal-Parlament Ewropew u tal-Kunsill (ĠU L 39, 16.2.2016, p. 5).</w:t>
      </w:r>
    </w:p>
  </w:footnote>
  <w:footnote w:id="8">
    <w:p w14:paraId="21AF9579" w14:textId="7D75D465" w:rsidR="00D642C6" w:rsidRPr="005823FE" w:rsidRDefault="00D642C6" w:rsidP="00A72EF0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</w:t>
      </w:r>
      <w:r w:rsidR="002035D9" w:rsidRPr="002035D9">
        <w:t>Regolament Delegat tal-Kummissjoni (UE) 2017/2295 tal-4 ta’ Settembru 2017 li jissupplimenta r-Regolament (UE) Nru 575/2013 tal-Parlament Ewropew u tal-Kunsill fir-rigward ta’ standards tekniċi regolatorji għad-</w:t>
      </w:r>
      <w:r w:rsidR="00D104B6">
        <w:t>divulgazzjoni ta’ assi aggravati u assi mhux aggravati</w:t>
      </w:r>
      <w:r w:rsidRPr="002035D9">
        <w:t xml:space="preserve"> </w:t>
      </w:r>
      <w:r>
        <w:t>(ĠU L 329, 13.12.2017, p. 6).</w:t>
      </w:r>
    </w:p>
  </w:footnote>
  <w:footnote w:id="9">
    <w:p w14:paraId="68060770" w14:textId="1ABE36E0" w:rsidR="00D642C6" w:rsidRPr="00A72EF0" w:rsidRDefault="00D642C6" w:rsidP="00967C7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Il-Linji Gwida EBA/GL/2018/10 tal-Awtorità Bankarja Ewropea tas-17 ta’ Diċembru 2018 dwar id-divulgazzjoni ta’ skoperturi improduttivi u mrażżna.</w:t>
      </w:r>
    </w:p>
  </w:footnote>
  <w:footnote w:id="10">
    <w:p w14:paraId="4A5854A4" w14:textId="5C50A76E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(UE) 2017/2401 tal-Parlament Ewropew u tal-Kunsill tat-12 ta’ Diċembru 2017 li jemenda r-Regolament (UE) Nru 575/2013 dwar ir-rekwiżiti prudenzjali għall-istituzzjonijiet ta’ kreditu u għad-ditti ta’ investiment (ĠU L 347, 28.12.2017, p. 1).</w:t>
      </w:r>
    </w:p>
  </w:footnote>
  <w:footnote w:id="11">
    <w:p w14:paraId="39B3E235" w14:textId="2597E55D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</w:r>
      <w:r>
        <w:rPr>
          <w:shd w:val="clear" w:color="auto" w:fill="FFFFFF"/>
        </w:rPr>
        <w:t>Ir-Regolament (UE) 2017/2402 tal-Parlament Ewropew u tal-Kunsill tat-12 ta’ Diċembru 2017 li jistabbilixxi qafas ġenerali għat-titolizzazzjoni u li joħloq qafas speċifiku għal titolizzazzjoni sempliċi, trasparenti u standardizzata, u li jemenda d-Direttivi 2009/65/KE, 2009/138/KE u 2011/61/UE u r-Regolamenti (KE) Nru 1060/2009 u (UE) Nru 648/2012 (</w:t>
      </w:r>
      <w:r>
        <w:t>ĠU L 347, 28.12.2017, p. 35</w:t>
      </w:r>
      <w:r>
        <w:rPr>
          <w:shd w:val="clear" w:color="auto" w:fill="FFFFFF"/>
        </w:rPr>
        <w:t>).</w:t>
      </w:r>
    </w:p>
  </w:footnote>
  <w:footnote w:id="12">
    <w:p w14:paraId="44F9E1CC" w14:textId="0E4BE9E6" w:rsidR="00D642C6" w:rsidRPr="00587191" w:rsidRDefault="00D642C6" w:rsidP="00195285">
      <w:pPr>
        <w:pStyle w:val="FootnoteText"/>
        <w:ind w:left="567" w:hanging="567"/>
      </w:pPr>
      <w:r>
        <w:rPr>
          <w:rStyle w:val="FootnoteReference"/>
        </w:rPr>
        <w:footnoteRef/>
      </w:r>
      <w:r>
        <w:tab/>
        <w:t>Ir-Regolament (UE) Nru 1093/2010 tal-Parlament Ewropew u tal-Kunsill tal-24 ta’ Novembru 2010 li jistabbilixxi Awtorità Superviżorja Ewropea (Awtorità Bankarja Ewropea) u li jemenda d-Deċiżjoni Nru 716/2009/KE u jħassar id-Deċiżjoni tal-Kummissjoni 2009/78/KE (ĠU L 331,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2"/>
  </w:num>
  <w:num w:numId="32">
    <w:abstractNumId w:val="21"/>
  </w:num>
  <w:num w:numId="33">
    <w:abstractNumId w:val="11"/>
  </w:num>
  <w:num w:numId="34">
    <w:abstractNumId w:val="13"/>
  </w:num>
  <w:num w:numId="35">
    <w:abstractNumId w:val="9"/>
  </w:num>
  <w:num w:numId="36">
    <w:abstractNumId w:val="20"/>
  </w:num>
  <w:num w:numId="37">
    <w:abstractNumId w:val="8"/>
  </w:num>
  <w:num w:numId="38">
    <w:abstractNumId w:val="14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5 19:10:3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88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8B5D8031-BBB4-4CC7-BFA7-FC54444F1682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istabbilixxi l-istandards tekni\u267?i ta\u8217? implimentazzjoni fir-rigward tad-divulgazzjonijiet pubbli\u267?i mill-istituzzjonijiet tal-informazzjoni msemmija fit-Titoli II u III tal-Parti Tmienja tar-Regolament (UE) Nru 575/2013 tal-Parlament Ewropew u tal-Kunsill u li j\u295?assar ir-Regolament ta\u8217? Implimentazzjoni tal-Kummissjoni (UE) Nru 1423/2013, ir-Regolament ta\u8217? Delega tal-Kummissjoni (UE) 2015/1555, ir-Regolament ta\u8217? Implimentazzjoni tal-Kummissjoni (UE) 2016/200 u r-Regolament Delegat tal-Kummissjoni (UE) 2017/2295 _x000b_ _x000b_"/>
    <w:docVar w:name="LW_TYPE.DOC.CP" w:val="REGOLAMENT TA\u8217? IMPLIMENTAZZJONI TAL-KUMMISSJONI (UE) .../..."/>
  </w:docVars>
  <w:rsids>
    <w:rsidRoot w:val="0004170D"/>
    <w:rsid w:val="0000233F"/>
    <w:rsid w:val="00004376"/>
    <w:rsid w:val="00007211"/>
    <w:rsid w:val="00010CC7"/>
    <w:rsid w:val="0002231C"/>
    <w:rsid w:val="00023622"/>
    <w:rsid w:val="000302BA"/>
    <w:rsid w:val="00036497"/>
    <w:rsid w:val="0004170D"/>
    <w:rsid w:val="000513BE"/>
    <w:rsid w:val="000530A8"/>
    <w:rsid w:val="000715FC"/>
    <w:rsid w:val="000747E8"/>
    <w:rsid w:val="00075194"/>
    <w:rsid w:val="0008268D"/>
    <w:rsid w:val="000965A4"/>
    <w:rsid w:val="000A7C56"/>
    <w:rsid w:val="000B18AB"/>
    <w:rsid w:val="000B31D0"/>
    <w:rsid w:val="000B4D68"/>
    <w:rsid w:val="000B5ADE"/>
    <w:rsid w:val="000B75F5"/>
    <w:rsid w:val="000C0000"/>
    <w:rsid w:val="000C2A47"/>
    <w:rsid w:val="000C4EBE"/>
    <w:rsid w:val="000C60D7"/>
    <w:rsid w:val="000D57AD"/>
    <w:rsid w:val="000F1AE0"/>
    <w:rsid w:val="00105D7C"/>
    <w:rsid w:val="00124000"/>
    <w:rsid w:val="00124B31"/>
    <w:rsid w:val="0012658B"/>
    <w:rsid w:val="00130336"/>
    <w:rsid w:val="00133A68"/>
    <w:rsid w:val="0014569E"/>
    <w:rsid w:val="00151336"/>
    <w:rsid w:val="0015237E"/>
    <w:rsid w:val="001612FE"/>
    <w:rsid w:val="00164D08"/>
    <w:rsid w:val="00167DBD"/>
    <w:rsid w:val="00173862"/>
    <w:rsid w:val="00175820"/>
    <w:rsid w:val="00183568"/>
    <w:rsid w:val="00184CD1"/>
    <w:rsid w:val="00190EC6"/>
    <w:rsid w:val="00194CD4"/>
    <w:rsid w:val="00195285"/>
    <w:rsid w:val="001D579B"/>
    <w:rsid w:val="001D5E4E"/>
    <w:rsid w:val="002035D9"/>
    <w:rsid w:val="0020373E"/>
    <w:rsid w:val="00204CA9"/>
    <w:rsid w:val="00223E6D"/>
    <w:rsid w:val="00254B69"/>
    <w:rsid w:val="002554D0"/>
    <w:rsid w:val="00257DE9"/>
    <w:rsid w:val="00262584"/>
    <w:rsid w:val="00292A0A"/>
    <w:rsid w:val="002933BD"/>
    <w:rsid w:val="00296DB6"/>
    <w:rsid w:val="002A6E84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62906"/>
    <w:rsid w:val="00362E56"/>
    <w:rsid w:val="0036351A"/>
    <w:rsid w:val="00387DA9"/>
    <w:rsid w:val="003A1165"/>
    <w:rsid w:val="003A35E9"/>
    <w:rsid w:val="003B2A70"/>
    <w:rsid w:val="003B73C9"/>
    <w:rsid w:val="003C1E7F"/>
    <w:rsid w:val="003C4F11"/>
    <w:rsid w:val="003D2479"/>
    <w:rsid w:val="003D2C2D"/>
    <w:rsid w:val="003D44B9"/>
    <w:rsid w:val="003D6311"/>
    <w:rsid w:val="003E3102"/>
    <w:rsid w:val="003E38FD"/>
    <w:rsid w:val="00401969"/>
    <w:rsid w:val="00403378"/>
    <w:rsid w:val="00414EB3"/>
    <w:rsid w:val="004166C6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3D69"/>
    <w:rsid w:val="00461468"/>
    <w:rsid w:val="0047525C"/>
    <w:rsid w:val="00476884"/>
    <w:rsid w:val="00480310"/>
    <w:rsid w:val="00486017"/>
    <w:rsid w:val="004939A4"/>
    <w:rsid w:val="00496B08"/>
    <w:rsid w:val="00497414"/>
    <w:rsid w:val="004A1CDB"/>
    <w:rsid w:val="004A255E"/>
    <w:rsid w:val="004B6788"/>
    <w:rsid w:val="004B7AEA"/>
    <w:rsid w:val="004C4F9A"/>
    <w:rsid w:val="004E05C8"/>
    <w:rsid w:val="00501B9B"/>
    <w:rsid w:val="0053062E"/>
    <w:rsid w:val="00535526"/>
    <w:rsid w:val="00552202"/>
    <w:rsid w:val="00553957"/>
    <w:rsid w:val="00563765"/>
    <w:rsid w:val="005715DB"/>
    <w:rsid w:val="00580B2A"/>
    <w:rsid w:val="00581093"/>
    <w:rsid w:val="005823FE"/>
    <w:rsid w:val="00587191"/>
    <w:rsid w:val="005917F2"/>
    <w:rsid w:val="005978D0"/>
    <w:rsid w:val="005A7F5C"/>
    <w:rsid w:val="005B07FD"/>
    <w:rsid w:val="005C3834"/>
    <w:rsid w:val="005C4422"/>
    <w:rsid w:val="005E2A3F"/>
    <w:rsid w:val="005F2549"/>
    <w:rsid w:val="005F490A"/>
    <w:rsid w:val="005F7F66"/>
    <w:rsid w:val="00603643"/>
    <w:rsid w:val="00625AFA"/>
    <w:rsid w:val="0063239A"/>
    <w:rsid w:val="00641461"/>
    <w:rsid w:val="006430F5"/>
    <w:rsid w:val="00646429"/>
    <w:rsid w:val="00646DA2"/>
    <w:rsid w:val="006518A1"/>
    <w:rsid w:val="00656F3B"/>
    <w:rsid w:val="00670714"/>
    <w:rsid w:val="00693D08"/>
    <w:rsid w:val="00693F0A"/>
    <w:rsid w:val="006947FE"/>
    <w:rsid w:val="006A32A4"/>
    <w:rsid w:val="006A7F00"/>
    <w:rsid w:val="006D20F7"/>
    <w:rsid w:val="006E0911"/>
    <w:rsid w:val="006E3B08"/>
    <w:rsid w:val="006F2F67"/>
    <w:rsid w:val="006F4232"/>
    <w:rsid w:val="006F792A"/>
    <w:rsid w:val="00701631"/>
    <w:rsid w:val="00704A57"/>
    <w:rsid w:val="00704B41"/>
    <w:rsid w:val="00717B5E"/>
    <w:rsid w:val="007241CC"/>
    <w:rsid w:val="00725875"/>
    <w:rsid w:val="007328EB"/>
    <w:rsid w:val="00732B32"/>
    <w:rsid w:val="007475DB"/>
    <w:rsid w:val="00755F0F"/>
    <w:rsid w:val="00755F6F"/>
    <w:rsid w:val="00756C6D"/>
    <w:rsid w:val="0078111A"/>
    <w:rsid w:val="00782B11"/>
    <w:rsid w:val="00786078"/>
    <w:rsid w:val="00792BDA"/>
    <w:rsid w:val="0079582A"/>
    <w:rsid w:val="007A1D1D"/>
    <w:rsid w:val="007A231C"/>
    <w:rsid w:val="007A76EC"/>
    <w:rsid w:val="007B1860"/>
    <w:rsid w:val="007C003F"/>
    <w:rsid w:val="007D178B"/>
    <w:rsid w:val="007E5F66"/>
    <w:rsid w:val="007E66A7"/>
    <w:rsid w:val="007F2E07"/>
    <w:rsid w:val="007F579D"/>
    <w:rsid w:val="007F676F"/>
    <w:rsid w:val="0080055A"/>
    <w:rsid w:val="00800894"/>
    <w:rsid w:val="00802909"/>
    <w:rsid w:val="008161C2"/>
    <w:rsid w:val="008326B8"/>
    <w:rsid w:val="008452E4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B6784"/>
    <w:rsid w:val="008B78EA"/>
    <w:rsid w:val="008C19A5"/>
    <w:rsid w:val="008C51D0"/>
    <w:rsid w:val="008D42B0"/>
    <w:rsid w:val="008D6EA6"/>
    <w:rsid w:val="00905357"/>
    <w:rsid w:val="00921F21"/>
    <w:rsid w:val="00922950"/>
    <w:rsid w:val="00923CC6"/>
    <w:rsid w:val="00926007"/>
    <w:rsid w:val="009310C9"/>
    <w:rsid w:val="00931C56"/>
    <w:rsid w:val="00941988"/>
    <w:rsid w:val="0094247F"/>
    <w:rsid w:val="009458BD"/>
    <w:rsid w:val="00951C31"/>
    <w:rsid w:val="00956448"/>
    <w:rsid w:val="00963178"/>
    <w:rsid w:val="00965673"/>
    <w:rsid w:val="00965716"/>
    <w:rsid w:val="00966B3C"/>
    <w:rsid w:val="009675DD"/>
    <w:rsid w:val="00967C75"/>
    <w:rsid w:val="0097765D"/>
    <w:rsid w:val="009777B7"/>
    <w:rsid w:val="00993FAE"/>
    <w:rsid w:val="00995CF9"/>
    <w:rsid w:val="00997228"/>
    <w:rsid w:val="009A0FCB"/>
    <w:rsid w:val="009A5529"/>
    <w:rsid w:val="009A56F4"/>
    <w:rsid w:val="009B4728"/>
    <w:rsid w:val="009C3C52"/>
    <w:rsid w:val="009C5CB4"/>
    <w:rsid w:val="009F40BE"/>
    <w:rsid w:val="00A10153"/>
    <w:rsid w:val="00A10245"/>
    <w:rsid w:val="00A228D5"/>
    <w:rsid w:val="00A260ED"/>
    <w:rsid w:val="00A26E4D"/>
    <w:rsid w:val="00A3263C"/>
    <w:rsid w:val="00A35489"/>
    <w:rsid w:val="00A518E0"/>
    <w:rsid w:val="00A52A9D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61EE"/>
    <w:rsid w:val="00B90336"/>
    <w:rsid w:val="00BA0CA9"/>
    <w:rsid w:val="00BA6C63"/>
    <w:rsid w:val="00BA7AD9"/>
    <w:rsid w:val="00BB093D"/>
    <w:rsid w:val="00BB60B6"/>
    <w:rsid w:val="00BC75BD"/>
    <w:rsid w:val="00BD158D"/>
    <w:rsid w:val="00BE1C5E"/>
    <w:rsid w:val="00BF182F"/>
    <w:rsid w:val="00C02ED9"/>
    <w:rsid w:val="00C05465"/>
    <w:rsid w:val="00C13ACA"/>
    <w:rsid w:val="00C14839"/>
    <w:rsid w:val="00C16675"/>
    <w:rsid w:val="00C24911"/>
    <w:rsid w:val="00C25E54"/>
    <w:rsid w:val="00C278CC"/>
    <w:rsid w:val="00C36E0D"/>
    <w:rsid w:val="00C40BF9"/>
    <w:rsid w:val="00C41BFF"/>
    <w:rsid w:val="00C47BED"/>
    <w:rsid w:val="00C5099A"/>
    <w:rsid w:val="00C81C3A"/>
    <w:rsid w:val="00C84B15"/>
    <w:rsid w:val="00C91C95"/>
    <w:rsid w:val="00C94DC0"/>
    <w:rsid w:val="00CA348C"/>
    <w:rsid w:val="00CA57C3"/>
    <w:rsid w:val="00CA5835"/>
    <w:rsid w:val="00CB377F"/>
    <w:rsid w:val="00CC3294"/>
    <w:rsid w:val="00CC620B"/>
    <w:rsid w:val="00CC62AE"/>
    <w:rsid w:val="00CD689A"/>
    <w:rsid w:val="00CE5120"/>
    <w:rsid w:val="00CE62E1"/>
    <w:rsid w:val="00CF0948"/>
    <w:rsid w:val="00CF6BC4"/>
    <w:rsid w:val="00D001B4"/>
    <w:rsid w:val="00D104B6"/>
    <w:rsid w:val="00D16AA1"/>
    <w:rsid w:val="00D2760A"/>
    <w:rsid w:val="00D34C25"/>
    <w:rsid w:val="00D602DE"/>
    <w:rsid w:val="00D642C6"/>
    <w:rsid w:val="00D76B54"/>
    <w:rsid w:val="00D9176D"/>
    <w:rsid w:val="00DB6B6D"/>
    <w:rsid w:val="00DC2475"/>
    <w:rsid w:val="00DC49B3"/>
    <w:rsid w:val="00DD2BA0"/>
    <w:rsid w:val="00DF14E1"/>
    <w:rsid w:val="00E0170F"/>
    <w:rsid w:val="00E10715"/>
    <w:rsid w:val="00E14194"/>
    <w:rsid w:val="00E174B5"/>
    <w:rsid w:val="00E206C9"/>
    <w:rsid w:val="00E23611"/>
    <w:rsid w:val="00E42EC8"/>
    <w:rsid w:val="00E5338C"/>
    <w:rsid w:val="00E5388C"/>
    <w:rsid w:val="00E62304"/>
    <w:rsid w:val="00E76705"/>
    <w:rsid w:val="00E76D3F"/>
    <w:rsid w:val="00E77838"/>
    <w:rsid w:val="00E8665C"/>
    <w:rsid w:val="00EA0958"/>
    <w:rsid w:val="00EA3E25"/>
    <w:rsid w:val="00EA6449"/>
    <w:rsid w:val="00EB4A85"/>
    <w:rsid w:val="00EC422C"/>
    <w:rsid w:val="00ED3421"/>
    <w:rsid w:val="00EF3146"/>
    <w:rsid w:val="00EF6392"/>
    <w:rsid w:val="00F04CDC"/>
    <w:rsid w:val="00F15C9D"/>
    <w:rsid w:val="00F31307"/>
    <w:rsid w:val="00F335A5"/>
    <w:rsid w:val="00F37426"/>
    <w:rsid w:val="00F5043B"/>
    <w:rsid w:val="00F53E64"/>
    <w:rsid w:val="00F6330E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C34FC"/>
    <w:rsid w:val="00FD3377"/>
    <w:rsid w:val="00FD6645"/>
    <w:rsid w:val="00FE6940"/>
    <w:rsid w:val="00FF2606"/>
    <w:rsid w:val="00FF364B"/>
    <w:rsid w:val="00FF4B8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9E33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mt-MT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mt-MT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mt-MT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mt-MT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mt-MT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0"/>
      </w:numPr>
    </w:pPr>
  </w:style>
  <w:style w:type="paragraph" w:customStyle="1" w:styleId="Tiret1">
    <w:name w:val="Tiret 1"/>
    <w:basedOn w:val="Point1"/>
    <w:rsid w:val="009B7138"/>
    <w:pPr>
      <w:numPr>
        <w:numId w:val="31"/>
      </w:numPr>
    </w:pPr>
  </w:style>
  <w:style w:type="paragraph" w:customStyle="1" w:styleId="Tiret2">
    <w:name w:val="Tiret 2"/>
    <w:basedOn w:val="Point2"/>
    <w:rsid w:val="009B7138"/>
    <w:pPr>
      <w:numPr>
        <w:numId w:val="32"/>
      </w:numPr>
    </w:pPr>
  </w:style>
  <w:style w:type="paragraph" w:customStyle="1" w:styleId="Tiret3">
    <w:name w:val="Tiret 3"/>
    <w:basedOn w:val="Point3"/>
    <w:rsid w:val="009B7138"/>
    <w:pPr>
      <w:numPr>
        <w:numId w:val="33"/>
      </w:numPr>
    </w:pPr>
  </w:style>
  <w:style w:type="paragraph" w:customStyle="1" w:styleId="Tiret4">
    <w:name w:val="Tiret 4"/>
    <w:basedOn w:val="Point4"/>
    <w:rsid w:val="009B7138"/>
    <w:pPr>
      <w:numPr>
        <w:numId w:val="3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7"/>
      </w:numPr>
    </w:pPr>
  </w:style>
  <w:style w:type="paragraph" w:customStyle="1" w:styleId="Bullet0">
    <w:name w:val="Bullet 0"/>
    <w:basedOn w:val="Normal"/>
    <w:rsid w:val="009B7138"/>
    <w:pPr>
      <w:numPr>
        <w:numId w:val="38"/>
      </w:numPr>
    </w:pPr>
  </w:style>
  <w:style w:type="paragraph" w:customStyle="1" w:styleId="Bullet1">
    <w:name w:val="Bullet 1"/>
    <w:basedOn w:val="Normal"/>
    <w:rsid w:val="009B7138"/>
    <w:pPr>
      <w:numPr>
        <w:numId w:val="39"/>
      </w:numPr>
    </w:pPr>
  </w:style>
  <w:style w:type="paragraph" w:customStyle="1" w:styleId="Bullet2">
    <w:name w:val="Bullet 2"/>
    <w:basedOn w:val="Normal"/>
    <w:rsid w:val="009B7138"/>
    <w:pPr>
      <w:numPr>
        <w:numId w:val="40"/>
      </w:numPr>
    </w:pPr>
  </w:style>
  <w:style w:type="paragraph" w:customStyle="1" w:styleId="Bullet3">
    <w:name w:val="Bullet 3"/>
    <w:basedOn w:val="Normal"/>
    <w:rsid w:val="009B7138"/>
    <w:pPr>
      <w:numPr>
        <w:numId w:val="41"/>
      </w:numPr>
    </w:pPr>
  </w:style>
  <w:style w:type="paragraph" w:customStyle="1" w:styleId="Bullet4">
    <w:name w:val="Bullet 4"/>
    <w:basedOn w:val="Normal"/>
    <w:rsid w:val="009B7138"/>
    <w:pPr>
      <w:numPr>
        <w:numId w:val="4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MT/AUTO/?uri=OJ:L:2013:176: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FB414-DC4B-40D1-BB30-DD616B78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3742</Words>
  <Characters>26188</Characters>
  <Application>Microsoft Office Word</Application>
  <DocSecurity>0</DocSecurity>
  <Lines>441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2021-03-05T18:10:00Z</dcterms:created>
  <dcterms:modified xsi:type="dcterms:W3CDTF">2021-03-05T18:10:00Z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