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64A6D7" w14:textId="75134839" w:rsidR="00C36E0D" w:rsidRPr="00A3452E" w:rsidRDefault="008B42BB" w:rsidP="00A3452E">
      <w:pPr>
        <w:pStyle w:val="Pagedecouverture"/>
      </w:pPr>
      <w:bookmarkStart w:id="0" w:name="_GoBack"/>
      <w:bookmarkEnd w:id="0"/>
      <w:r>
        <w:pict w14:anchorId="4ACE6A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5542FCA9-E044-430A-B8DF-1FE1980955B9" style="width:450.85pt;height:464.35pt">
            <v:imagedata r:id="rId8" o:title=""/>
          </v:shape>
        </w:pict>
      </w:r>
    </w:p>
    <w:p w14:paraId="46614711" w14:textId="77777777" w:rsidR="0004170D" w:rsidRPr="00A3452E" w:rsidRDefault="0004170D">
      <w:pPr>
        <w:sectPr w:rsidR="0004170D" w:rsidRPr="00A3452E" w:rsidSect="00ED78DE"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1CF04386" w14:textId="6CC73145" w:rsidR="0004170D" w:rsidRPr="00A3452E" w:rsidRDefault="00A3452E" w:rsidP="00A3452E">
      <w:pPr>
        <w:pStyle w:val="Typedudocument"/>
      </w:pPr>
      <w:r w:rsidRPr="00A3452E">
        <w:lastRenderedPageBreak/>
        <w:t>РЕГЛАМЕНТ ЗА ИЗПЪЛНЕНИЕ (ЕС) .../… НА КОМИСИЯТА</w:t>
      </w:r>
    </w:p>
    <w:p w14:paraId="485B382E" w14:textId="0C4B1291" w:rsidR="0004170D" w:rsidRPr="00A3452E" w:rsidRDefault="00A3452E" w:rsidP="00A3452E">
      <w:pPr>
        <w:pStyle w:val="Datedadoption"/>
      </w:pPr>
      <w:r w:rsidRPr="00A3452E">
        <w:t xml:space="preserve">от </w:t>
      </w:r>
      <w:r w:rsidRPr="00A3452E">
        <w:rPr>
          <w:rStyle w:val="Marker2"/>
        </w:rPr>
        <w:t>XXX</w:t>
      </w:r>
      <w:r w:rsidRPr="00A3452E">
        <w:t xml:space="preserve"> година</w:t>
      </w:r>
    </w:p>
    <w:p w14:paraId="6E872801" w14:textId="0A90C71A" w:rsidR="0004170D" w:rsidRPr="00A3452E" w:rsidRDefault="00A3452E" w:rsidP="00A3452E">
      <w:pPr>
        <w:pStyle w:val="Titreobjet"/>
      </w:pPr>
      <w:r w:rsidRPr="00A3452E">
        <w:t xml:space="preserve">за определяне на техническите стандарти за изпълнение за публичното оповестяване от страна на институциите на информацията, посочена в осма част, дялове II и III от Регламент (ЕС) № 575/2013 на Европейския парламент и на Съвета, и за отмяна на Регламент за изпълнение (ЕС) № 1423/2013 на Комисията, Делегиран регламент (ЕС) 2015/1555 на Комисията, Регламент за изпълнение (ЕС) 2016/200 на Комисията и Делегиран регламент (ЕС) 2017/2295 на Комисията </w:t>
      </w:r>
      <w:r w:rsidRPr="00A3452E">
        <w:br/>
        <w:t xml:space="preserve"> </w:t>
      </w:r>
      <w:r w:rsidRPr="00A3452E">
        <w:br/>
      </w:r>
    </w:p>
    <w:p w14:paraId="5216B2C3" w14:textId="602EC502" w:rsidR="0004170D" w:rsidRPr="00A3452E" w:rsidRDefault="00A3452E" w:rsidP="00A3452E">
      <w:pPr>
        <w:pStyle w:val="IntrtEEE"/>
      </w:pPr>
      <w:r w:rsidRPr="00A3452E">
        <w:t>(текст от значение за ЕИП)</w:t>
      </w:r>
    </w:p>
    <w:p w14:paraId="4BD4BB2E" w14:textId="77777777" w:rsidR="0004170D" w:rsidRPr="00A3452E" w:rsidRDefault="0004170D" w:rsidP="009675DD">
      <w:pPr>
        <w:pStyle w:val="Institutionquiagit"/>
      </w:pPr>
      <w:r w:rsidRPr="00A3452E">
        <w:t>ЕВРОПЕЙСКАТА КОМИСИЯ,</w:t>
      </w:r>
    </w:p>
    <w:p w14:paraId="3B1DB378" w14:textId="77777777" w:rsidR="0004170D" w:rsidRPr="00A3452E" w:rsidRDefault="0004170D" w:rsidP="009675DD">
      <w:r w:rsidRPr="00A3452E">
        <w:t>като взе предвид Договора за функционирането на Европейския съюз,</w:t>
      </w:r>
    </w:p>
    <w:p w14:paraId="7D7AE1AD" w14:textId="77777777" w:rsidR="0004170D" w:rsidRPr="00A3452E" w:rsidRDefault="007E66A7" w:rsidP="009675DD">
      <w:r w:rsidRPr="00A3452E">
        <w:t>като взе предвид Регламент (ЕС) № 575/2013 на Европейския парламент и на Съвета от 26 юни 2013 г. относно пруденциалните изисквания за кредитните институции и инвестиционните посредници и за изменение на Регламент (ЕС) № 648/2012</w:t>
      </w:r>
      <w:r w:rsidRPr="00A3452E">
        <w:rPr>
          <w:rStyle w:val="FootnoteReference"/>
        </w:rPr>
        <w:footnoteReference w:id="2"/>
      </w:r>
      <w:r w:rsidRPr="00A3452E">
        <w:t>, и по-специално член 434а от него,</w:t>
      </w:r>
    </w:p>
    <w:p w14:paraId="6E3096F1" w14:textId="77777777" w:rsidR="0004170D" w:rsidRPr="00A3452E" w:rsidRDefault="0004170D" w:rsidP="009675DD">
      <w:r w:rsidRPr="00A3452E">
        <w:t>като има предвид, че:</w:t>
      </w:r>
    </w:p>
    <w:p w14:paraId="1025300A" w14:textId="34C35C6C" w:rsidR="0094247F" w:rsidRPr="00A3452E" w:rsidRDefault="0094247F" w:rsidP="0046010F">
      <w:pPr>
        <w:pStyle w:val="Considrant"/>
        <w:numPr>
          <w:ilvl w:val="0"/>
          <w:numId w:val="11"/>
        </w:numPr>
      </w:pPr>
      <w:r w:rsidRPr="00A3452E">
        <w:t>През декември 2019 г. Базелският комитет по банков надзор (БКБН) публикува консолидираната Базелска рамка, в т.ч. актуализираните изисквания за оповестяване по стълб 3</w:t>
      </w:r>
      <w:r w:rsidRPr="00A3452E">
        <w:rPr>
          <w:rStyle w:val="FootnoteReference"/>
          <w:szCs w:val="24"/>
        </w:rPr>
        <w:footnoteReference w:id="3"/>
      </w:r>
      <w:r w:rsidRPr="00A3452E">
        <w:t>, повечето от които бяха въведени в Регламент (ЕС) № 575/2013 с Регламент (ЕС) 2019/876 на Европейския парламент и на Съвета</w:t>
      </w:r>
      <w:r w:rsidRPr="00A3452E">
        <w:rPr>
          <w:rStyle w:val="FootnoteReference"/>
          <w:szCs w:val="24"/>
        </w:rPr>
        <w:footnoteReference w:id="4"/>
      </w:r>
      <w:r w:rsidRPr="00A3452E">
        <w:t>. С оглед на прилагането на тези изменения следва да се създаде обстойна и хомогенна рамка за оповестяването по стълб 3.</w:t>
      </w:r>
    </w:p>
    <w:p w14:paraId="7DB0B204" w14:textId="2AD37D2A" w:rsidR="007E66A7" w:rsidRPr="00A3452E" w:rsidRDefault="00442C93" w:rsidP="00F5043B">
      <w:pPr>
        <w:pStyle w:val="Considrant"/>
        <w:rPr>
          <w:sz w:val="22"/>
        </w:rPr>
      </w:pPr>
      <w:r w:rsidRPr="00A3452E">
        <w:t>С Регламент за изпълнение (ЕС) № 1423/2013 на Комисията</w:t>
      </w:r>
      <w:r w:rsidRPr="00A3452E">
        <w:rPr>
          <w:rStyle w:val="FootnoteReference"/>
        </w:rPr>
        <w:footnoteReference w:id="5"/>
      </w:r>
      <w:r w:rsidRPr="00A3452E">
        <w:t>, Делегиран регламент (ЕС) 2015/1555 на Комисията</w:t>
      </w:r>
      <w:r w:rsidRPr="00A3452E">
        <w:rPr>
          <w:rStyle w:val="FootnoteReference"/>
        </w:rPr>
        <w:footnoteReference w:id="6"/>
      </w:r>
      <w:r w:rsidRPr="00A3452E">
        <w:t xml:space="preserve">, Регламент за изпълнение (ЕС) </w:t>
      </w:r>
      <w:r w:rsidRPr="00A3452E">
        <w:lastRenderedPageBreak/>
        <w:t>2016/200 на Комисията</w:t>
      </w:r>
      <w:r w:rsidRPr="00A3452E">
        <w:rPr>
          <w:rStyle w:val="FootnoteReference"/>
        </w:rPr>
        <w:footnoteReference w:id="7"/>
      </w:r>
      <w:r w:rsidRPr="00A3452E">
        <w:t xml:space="preserve"> и Делегиран регламент (ЕС) 2017/2295 на Комисията</w:t>
      </w:r>
      <w:r w:rsidRPr="00A3452E">
        <w:rPr>
          <w:rStyle w:val="FootnoteReference"/>
        </w:rPr>
        <w:footnoteReference w:id="8"/>
      </w:r>
      <w:r w:rsidRPr="00A3452E">
        <w:t xml:space="preserve"> бяха въведени единни формати, образци и таблици за, съответно, собствените средства, антицикличните капиталови буфери, отношението на ливъридж и тежестите върху активи. В тази връзка въпросните единни формати, образци и таблици следва да обхванат и останалите пруденциални аспекти, които подлежат на оповестяване по силата на Регламент (ЕС) 2019/876. По-специално следва да се въведе образец за оповестяване на основните показатели, така че да се улесни достъпът на пазарните участници до основната предоставяна от институциите информация за собствените средства и ликвидността.</w:t>
      </w:r>
    </w:p>
    <w:p w14:paraId="64909A2C" w14:textId="2EE1C111" w:rsidR="007E66A7" w:rsidRPr="00A3452E" w:rsidRDefault="00F5043B" w:rsidP="007E66A7">
      <w:pPr>
        <w:pStyle w:val="Considrant"/>
      </w:pPr>
      <w:r w:rsidRPr="00A3452E">
        <w:t xml:space="preserve">Образците и таблиците, използвани за оповестяванията, следва да предоставят достатъчно изчерпателна и съпоставима информация, с помощта на която нейните ползватели да могат да оценяват рисковия профил на институциите и степента им на съблюдаване на Регламент (ЕС) № 575/2013. От друга страна, с цел да се избегне прекомерно нормативно бреме, във форматите, образците и таблиците за оповестяване следва да се въведат допълнителни прагове за разширени оповестявания, за да се вземат предвид разликите в размера и сложността на институциите, които пораждат различни по вид и степен рискове. </w:t>
      </w:r>
    </w:p>
    <w:p w14:paraId="1A778372" w14:textId="77777777" w:rsidR="007E66A7" w:rsidRPr="00A3452E" w:rsidRDefault="00C91C95" w:rsidP="007E66A7">
      <w:pPr>
        <w:pStyle w:val="Considrant"/>
      </w:pPr>
      <w:r w:rsidRPr="00A3452E">
        <w:t>С Регламент (ЕС) 2019/876 в Регламент (ЕС) № 575/2013 се въведе ново калибрирано отношение на ливъридж и буфер на отношението на ливъридж за Г-СЗИ. С оглед на прилагането на това изменение и на необходимите корекции при изчисляването на експозицията е необходимо да се въведат съответните образци и таблици.</w:t>
      </w:r>
    </w:p>
    <w:p w14:paraId="75FA70BF" w14:textId="0E7583C3" w:rsidR="007E66A7" w:rsidRPr="00A3452E" w:rsidRDefault="00C91C95" w:rsidP="007E66A7">
      <w:pPr>
        <w:pStyle w:val="Considrant"/>
      </w:pPr>
      <w:r w:rsidRPr="00A3452E">
        <w:t>С Регламент (ЕС) 2019/876 в Регламент (ЕС) № 575/2013 се въведоха нови изисквания за оповестяване на отношението на нетно стабилно финансиране. С оглед на прилагането на това изменение е необходимо да се въведе образец за тези нови изисквания за оповестяване.</w:t>
      </w:r>
    </w:p>
    <w:p w14:paraId="23C44267" w14:textId="4568D363" w:rsidR="007E66A7" w:rsidRPr="00A3452E" w:rsidRDefault="00C91C95" w:rsidP="007E66A7">
      <w:pPr>
        <w:pStyle w:val="Considrant"/>
        <w:rPr>
          <w:sz w:val="22"/>
        </w:rPr>
      </w:pPr>
      <w:r w:rsidRPr="00A3452E">
        <w:t>С Регламент (ЕС) 2019/876 съдържащите се в Регламент (ЕС) № 575/2013 стандартизирани подходи за кредитен риск от контрагента бяха заменени със стандартизиран подход за кредитен риск от контрагента (СПКРК), който отчита риска в по-голяма степен, и с негова опростена версия (опростен СПКРК) за институциите, които удовлетворяват предварително определени критерии за допустимост. Освен това с Регламент (ЕС) 2019/876 бе изменен и методът на първоначалната експозиция. С оглед на прилагането на тези изменения е необходимо да се въведе изчерпателен набор от таблици и образци за оповестяване.</w:t>
      </w:r>
    </w:p>
    <w:p w14:paraId="3B343C5D" w14:textId="77777777" w:rsidR="007E66A7" w:rsidRPr="00A3452E" w:rsidRDefault="00B90336" w:rsidP="007E66A7">
      <w:pPr>
        <w:pStyle w:val="Considrant"/>
        <w:rPr>
          <w:sz w:val="22"/>
        </w:rPr>
      </w:pPr>
      <w:r w:rsidRPr="00A3452E">
        <w:t xml:space="preserve">С Регламент (ЕС) 2019/876 в Регламент (ЕС) № 575/2013 се въведе ново изискване за оповестяване на обслужваните, необслужваните и преструктурираните експозиции, в т.ч. на получените обезпечения и финансови гаранции. С оглед на прилагането на това изменение и на тези нови изисквания за оповестяване е необходимо да се въведе изчерпателен набор от образци и </w:t>
      </w:r>
      <w:r w:rsidRPr="00A3452E">
        <w:lastRenderedPageBreak/>
        <w:t>таблици. От съображения за опростяване и последователност тези образци и таблици следва да се основават на разработените от ЕБО образци и таблици за оповестяване, представени в неговите насоки за оповестяване на необслужваните и преструктурираните експозиции</w:t>
      </w:r>
      <w:r w:rsidRPr="00A3452E">
        <w:rPr>
          <w:rStyle w:val="FootnoteReference"/>
        </w:rPr>
        <w:footnoteReference w:id="9"/>
      </w:r>
      <w:r w:rsidRPr="00A3452E">
        <w:t>.</w:t>
      </w:r>
    </w:p>
    <w:p w14:paraId="5DFC988B" w14:textId="77777777" w:rsidR="007E66A7" w:rsidRPr="00A3452E" w:rsidRDefault="007E66A7" w:rsidP="00B90336">
      <w:pPr>
        <w:pStyle w:val="Considrant"/>
      </w:pPr>
      <w:r w:rsidRPr="00A3452E">
        <w:t>С Регламент (ЕС) 2017/2401 на Европейския парламент и на Съвета</w:t>
      </w:r>
      <w:r w:rsidRPr="00A3452E">
        <w:rPr>
          <w:rStyle w:val="FootnoteReference"/>
        </w:rPr>
        <w:footnoteReference w:id="10"/>
      </w:r>
      <w:r w:rsidRPr="00A3452E">
        <w:t xml:space="preserve"> бе изменен Регламент (ЕС) № 575/2013, така че в заложените в него капиталови изисквания да бъдат отразени </w:t>
      </w:r>
      <w:r w:rsidRPr="00A3452E">
        <w:rPr>
          <w:shd w:val="clear" w:color="auto" w:fill="FFFFFF"/>
        </w:rPr>
        <w:t>специфичните характеристики на ОПС секюритизации, предвидени в Регламент (ЕС) 2017/2402 на Европейския парламент и на Съвета</w:t>
      </w:r>
      <w:r w:rsidRPr="00A3452E">
        <w:rPr>
          <w:rStyle w:val="FootnoteReference"/>
        </w:rPr>
        <w:footnoteReference w:id="11"/>
      </w:r>
      <w:r w:rsidRPr="00A3452E">
        <w:rPr>
          <w:shd w:val="clear" w:color="auto" w:fill="FFFFFF"/>
        </w:rPr>
        <w:t>. С цел да се отрази това изменение</w:t>
      </w:r>
      <w:r w:rsidRPr="00A3452E">
        <w:t xml:space="preserve"> е необходимо да се въведат нови образци за оповестяване и таблици с количествена и качествена информация за секюритизациите.</w:t>
      </w:r>
    </w:p>
    <w:p w14:paraId="3E7507C1" w14:textId="77777777" w:rsidR="007E66A7" w:rsidRPr="00A3452E" w:rsidRDefault="008D42B0" w:rsidP="007E66A7">
      <w:pPr>
        <w:pStyle w:val="Considrant"/>
        <w:rPr>
          <w:sz w:val="22"/>
        </w:rPr>
      </w:pPr>
      <w:r w:rsidRPr="00A3452E">
        <w:t xml:space="preserve">С Регламент (ЕС) 2019/876 бяха изменени някои заложени в Регламент (ЕС) № 575/2013 изисквания за оповестяване на информация за възнагражденията </w:t>
      </w:r>
      <w:r w:rsidRPr="00A3452E">
        <w:rPr>
          <w:shd w:val="clear" w:color="auto" w:fill="FFFFFF"/>
        </w:rPr>
        <w:t>с цел политиката и практиката на възнаграждаване на категориите служители, чиято професионална дейност има съществено въздействие върху рисковия профил на дадената институция, да са в духа на ефективното управление на риска.</w:t>
      </w:r>
      <w:r w:rsidRPr="00A3452E">
        <w:t xml:space="preserve"> С оглед на прилагането на тези изисквания за оповестяване е необходимо да се въведе набор от образци и таблици.</w:t>
      </w:r>
    </w:p>
    <w:p w14:paraId="023EA5B8" w14:textId="6CA470C7" w:rsidR="004427A5" w:rsidRPr="00A3452E" w:rsidRDefault="004A1CDB" w:rsidP="007E66A7">
      <w:pPr>
        <w:pStyle w:val="Considrant"/>
        <w:rPr>
          <w:sz w:val="22"/>
        </w:rPr>
      </w:pPr>
      <w:r w:rsidRPr="00A3452E">
        <w:t>Необходимо е да се въведе единен набор от технически стандарти за оповестяване, така че институциите да разполагат с цялостен интегриран набор от единни формати, образци и таблици за оповестяване и да се гарантира високо качество на оповестяванията. Поради това Регламент за изпълнение (ЕС) № 1423/2013, Делегиран регламент (ЕС) 2015/1555, Регламент за изпълнение (ЕС) 2016/200 и Делегиран регламент (ЕС) 2017/2295 е необходимо да се отменят.</w:t>
      </w:r>
    </w:p>
    <w:p w14:paraId="38682B7B" w14:textId="19020FBF" w:rsidR="004427A5" w:rsidRPr="00A3452E" w:rsidRDefault="0094247F" w:rsidP="007E66A7">
      <w:pPr>
        <w:pStyle w:val="Considrant"/>
        <w:rPr>
          <w:sz w:val="22"/>
        </w:rPr>
      </w:pPr>
      <w:r w:rsidRPr="00A3452E">
        <w:t>С цел да се осигури своевременно и качествено оповестяване от страна на институциите следва да им се предостави достатъчно време, за да приспособят вътрешните си системи за оповестяване.</w:t>
      </w:r>
    </w:p>
    <w:p w14:paraId="0F58EAE6" w14:textId="77777777" w:rsidR="007E66A7" w:rsidRPr="00A3452E" w:rsidRDefault="007E66A7" w:rsidP="007E66A7">
      <w:pPr>
        <w:pStyle w:val="Considrant"/>
        <w:rPr>
          <w:noProof/>
        </w:rPr>
      </w:pPr>
      <w:r w:rsidRPr="00A3452E">
        <w:t>Настоящият регламент се основава на проектите на технически стандарти за изпълнение, предоставени на Комисията от Европейския банков орган (ЕБО).</w:t>
      </w:r>
    </w:p>
    <w:p w14:paraId="61384288" w14:textId="77777777" w:rsidR="0004170D" w:rsidRPr="00A3452E" w:rsidRDefault="00587191" w:rsidP="00453D69">
      <w:pPr>
        <w:pStyle w:val="Considrant"/>
        <w:rPr>
          <w:noProof/>
        </w:rPr>
      </w:pPr>
      <w:r w:rsidRPr="00A3452E">
        <w:t>ЕБО проведе открити обществени консултации по проектите на технически стандарти за изпълнение, въз основа на които е изготвен настоящият регламент, анализира свързаните с тях потенциални разходи и ползи и поиска становище от Групата на участниците в банковия сектор, създадена по силата на член 37 от Регламент (ЕС) № 1093/2010 на Европейския парламент и на Съвета</w:t>
      </w:r>
      <w:r w:rsidRPr="00A3452E">
        <w:rPr>
          <w:rStyle w:val="FootnoteReference"/>
          <w:noProof/>
        </w:rPr>
        <w:footnoteReference w:id="12"/>
      </w:r>
      <w:r w:rsidRPr="00A3452E">
        <w:t xml:space="preserve">, </w:t>
      </w:r>
    </w:p>
    <w:p w14:paraId="465D5876" w14:textId="77777777" w:rsidR="0004170D" w:rsidRPr="00A3452E" w:rsidRDefault="0004170D" w:rsidP="009675DD">
      <w:pPr>
        <w:pStyle w:val="Formuledadoption"/>
      </w:pPr>
      <w:r w:rsidRPr="00A3452E">
        <w:lastRenderedPageBreak/>
        <w:t>ПРИЕ НАСТОЯЩИЯ РЕГЛАМЕНТ:</w:t>
      </w:r>
    </w:p>
    <w:p w14:paraId="6CA0BD21" w14:textId="643FC984" w:rsidR="00FF364B" w:rsidRPr="00A3452E" w:rsidRDefault="00FF364B" w:rsidP="00FF364B">
      <w:pPr>
        <w:pStyle w:val="Titrearticle"/>
      </w:pPr>
      <w:r w:rsidRPr="00A3452E">
        <w:t>Член 1</w:t>
      </w:r>
    </w:p>
    <w:p w14:paraId="6D84878F" w14:textId="77777777" w:rsidR="007E66A7" w:rsidRPr="00A3452E" w:rsidRDefault="007E66A7" w:rsidP="007E66A7">
      <w:pPr>
        <w:pStyle w:val="Titrearticle"/>
        <w:spacing w:before="120"/>
        <w:rPr>
          <w:b/>
          <w:i w:val="0"/>
        </w:rPr>
      </w:pPr>
      <w:r w:rsidRPr="00A3452E">
        <w:rPr>
          <w:b/>
          <w:i w:val="0"/>
        </w:rPr>
        <w:t>Оповестяване на основните показатели и обзор на рисково претеглената стойност на експозициите</w:t>
      </w:r>
    </w:p>
    <w:p w14:paraId="10515A6F" w14:textId="15D523D9" w:rsidR="007E66A7" w:rsidRPr="00A3452E" w:rsidRDefault="007E66A7" w:rsidP="0046010F">
      <w:pPr>
        <w:pStyle w:val="NumPar1"/>
        <w:numPr>
          <w:ilvl w:val="0"/>
          <w:numId w:val="12"/>
        </w:numPr>
        <w:tabs>
          <w:tab w:val="clear" w:pos="850"/>
          <w:tab w:val="left" w:pos="567"/>
        </w:tabs>
        <w:ind w:left="0" w:firstLine="0"/>
      </w:pPr>
      <w:r w:rsidRPr="00A3452E">
        <w:t>Институциите оповестяват информацията, посочена в член 447, букви а) — ж) и член 438, буква б) от Регламент (ЕС) № 575/2013, като използват образец EU KM1 от приложение I към настоящия регламент и следват указанията в приложение II към настоящия регламент.</w:t>
      </w:r>
    </w:p>
    <w:p w14:paraId="1C0713F1" w14:textId="2AC5B746" w:rsidR="007E66A7" w:rsidRPr="00A3452E" w:rsidRDefault="007E66A7" w:rsidP="00F5043B">
      <w:pPr>
        <w:pStyle w:val="NumPar1"/>
        <w:tabs>
          <w:tab w:val="clear" w:pos="850"/>
          <w:tab w:val="left" w:pos="567"/>
        </w:tabs>
        <w:ind w:left="0" w:firstLine="0"/>
      </w:pPr>
      <w:r w:rsidRPr="00A3452E">
        <w:t>Институциите оповестяват информацията, посочена в член 438, буква г) от Регламент (ЕС) № 575/2013, като използват образец EU OV1 от приложение I към настоящия регламент и следват указанията в приложение II към настоящия регламент.</w:t>
      </w:r>
    </w:p>
    <w:p w14:paraId="5694C031" w14:textId="6F8BAA89" w:rsidR="007E66A7" w:rsidRPr="00A3452E" w:rsidRDefault="007E66A7" w:rsidP="00F5043B">
      <w:pPr>
        <w:pStyle w:val="NumPar1"/>
        <w:tabs>
          <w:tab w:val="clear" w:pos="850"/>
          <w:tab w:val="left" w:pos="567"/>
        </w:tabs>
        <w:ind w:left="0" w:firstLine="0"/>
      </w:pPr>
      <w:r w:rsidRPr="00A3452E">
        <w:t>Институциите оповестяват информацията, посочена в член 438, букви а) и в) от Регламент (ЕС) № 575/2013, като използват таблица EU OVC от приложение I към настоящия регламент и следват указанията в приложение II към настоящия регламент.</w:t>
      </w:r>
    </w:p>
    <w:p w14:paraId="239E081F" w14:textId="1C4A0E84" w:rsidR="007E66A7" w:rsidRPr="00A3452E" w:rsidRDefault="007E66A7" w:rsidP="00F5043B">
      <w:pPr>
        <w:pStyle w:val="NumPar1"/>
        <w:tabs>
          <w:tab w:val="clear" w:pos="850"/>
          <w:tab w:val="left" w:pos="567"/>
        </w:tabs>
        <w:ind w:left="0" w:firstLine="0"/>
      </w:pPr>
      <w:r w:rsidRPr="00A3452E">
        <w:t>Институциите оповестяват информацията, посочена в член 438, букви е) и ж) от Регламент (ЕС) № 575/2013, като използват образци EU INS1 и EU INS2 от приложение I към настоящия регламент и следват указанията в приложение II към настоящия регламент.</w:t>
      </w:r>
    </w:p>
    <w:p w14:paraId="00AA4B75" w14:textId="77777777" w:rsidR="00725875" w:rsidRPr="00A3452E" w:rsidRDefault="00725875" w:rsidP="00725875">
      <w:pPr>
        <w:pStyle w:val="Titrearticle"/>
      </w:pPr>
      <w:r w:rsidRPr="00A3452E">
        <w:t>Член 2</w:t>
      </w:r>
    </w:p>
    <w:p w14:paraId="201D71D7" w14:textId="77777777" w:rsidR="007E66A7" w:rsidRPr="00A3452E" w:rsidRDefault="007E66A7" w:rsidP="007E66A7">
      <w:pPr>
        <w:pStyle w:val="Titrearticle"/>
        <w:spacing w:before="120"/>
        <w:rPr>
          <w:b/>
          <w:i w:val="0"/>
        </w:rPr>
      </w:pPr>
      <w:r w:rsidRPr="00A3452E">
        <w:rPr>
          <w:b/>
          <w:i w:val="0"/>
        </w:rPr>
        <w:t>Оповестяване на начина, по който се управлява рискът, и на преследваните с това управление цели</w:t>
      </w:r>
    </w:p>
    <w:p w14:paraId="24A510A3" w14:textId="6F22E094" w:rsidR="007E66A7" w:rsidRPr="00A3452E" w:rsidRDefault="007E66A7" w:rsidP="007E66A7">
      <w:pPr>
        <w:rPr>
          <w:i/>
        </w:rPr>
      </w:pPr>
      <w:r w:rsidRPr="00A3452E">
        <w:t>Институциите оповестяват информацията, посочена в член 435 от Регламент (ЕС) № 575/2013, като използват таблици EU OVA и EU OVB от приложение III към настоящия регламент и следват указанията в приложение IV към настоящия регламент.</w:t>
      </w:r>
    </w:p>
    <w:p w14:paraId="6B7BFFC9" w14:textId="1A03E595" w:rsidR="00725875" w:rsidRPr="00A3452E" w:rsidRDefault="00725875" w:rsidP="00725875">
      <w:pPr>
        <w:pStyle w:val="Titrearticle"/>
      </w:pPr>
      <w:r w:rsidRPr="00A3452E">
        <w:t>Член 3</w:t>
      </w:r>
    </w:p>
    <w:p w14:paraId="0F10BDEB" w14:textId="77777777" w:rsidR="009F40BE" w:rsidRPr="00A3452E" w:rsidRDefault="009F40BE" w:rsidP="00F5043B">
      <w:pPr>
        <w:pStyle w:val="Titrearticle"/>
        <w:tabs>
          <w:tab w:val="left" w:pos="567"/>
        </w:tabs>
        <w:spacing w:before="120"/>
        <w:rPr>
          <w:b/>
          <w:i w:val="0"/>
        </w:rPr>
      </w:pPr>
      <w:r w:rsidRPr="00A3452E">
        <w:rPr>
          <w:b/>
          <w:i w:val="0"/>
        </w:rPr>
        <w:t xml:space="preserve">Оповестяване на обхвата на прилагане </w:t>
      </w:r>
    </w:p>
    <w:p w14:paraId="10528DDB" w14:textId="1D023DA6" w:rsidR="009F40BE" w:rsidRPr="00A3452E" w:rsidRDefault="009F40BE" w:rsidP="00F5043B">
      <w:pPr>
        <w:pStyle w:val="NumPar1"/>
        <w:numPr>
          <w:ilvl w:val="0"/>
          <w:numId w:val="10"/>
        </w:numPr>
        <w:tabs>
          <w:tab w:val="clear" w:pos="850"/>
          <w:tab w:val="left" w:pos="567"/>
        </w:tabs>
        <w:ind w:left="0" w:firstLine="0"/>
      </w:pPr>
      <w:r w:rsidRPr="00A3452E">
        <w:t>Институциите оповестяват информацията, посочена в член 436, букви б) и в) от Регламент (ЕС) № 575/2013, като използват образци EU LI1 и EU LI3 от приложение V към настоящия регламент и следват указанията в приложение VI към настоящия регламент.</w:t>
      </w:r>
    </w:p>
    <w:p w14:paraId="4A18C7DA" w14:textId="102B98F8" w:rsidR="009F40BE" w:rsidRPr="00A3452E" w:rsidRDefault="009F40BE" w:rsidP="00F5043B">
      <w:pPr>
        <w:pStyle w:val="NumPar1"/>
        <w:tabs>
          <w:tab w:val="clear" w:pos="850"/>
          <w:tab w:val="left" w:pos="567"/>
        </w:tabs>
        <w:ind w:left="0" w:firstLine="0"/>
      </w:pPr>
      <w:r w:rsidRPr="00A3452E">
        <w:t xml:space="preserve">Институциите оповестяват информацията, посочена в член 436, букви б) и г) от Регламент (ЕС) № 575/2013, като използват образец EU LI2 и таблица </w:t>
      </w:r>
      <w:r w:rsidR="000E3DF4" w:rsidRPr="00A3452E">
        <w:t xml:space="preserve">EU </w:t>
      </w:r>
      <w:r w:rsidRPr="00A3452E">
        <w:t>LIA от приложение V към настоящия регламент и следват указанията в приложение VI към настоящия регламент.</w:t>
      </w:r>
    </w:p>
    <w:p w14:paraId="33B7C000" w14:textId="77777777" w:rsidR="009F40BE" w:rsidRPr="00A3452E" w:rsidRDefault="009F40BE" w:rsidP="00F5043B">
      <w:pPr>
        <w:pStyle w:val="NumPar1"/>
        <w:tabs>
          <w:tab w:val="clear" w:pos="850"/>
          <w:tab w:val="left" w:pos="567"/>
        </w:tabs>
        <w:ind w:left="0" w:firstLine="0"/>
      </w:pPr>
      <w:r w:rsidRPr="00A3452E">
        <w:t>Институциите оповестяват информацията, посочена в член 436, буква д) от Регламент (ЕС) № 575/2013, като използват образец EU PV1 от приложение V към настоящия регламент и следват указанията в приложение VI към настоящия регламент.</w:t>
      </w:r>
    </w:p>
    <w:p w14:paraId="2B4D969E" w14:textId="77777777" w:rsidR="009F40BE" w:rsidRPr="00A3452E" w:rsidRDefault="009F40BE" w:rsidP="00F5043B">
      <w:pPr>
        <w:pStyle w:val="NumPar1"/>
        <w:tabs>
          <w:tab w:val="clear" w:pos="850"/>
          <w:tab w:val="left" w:pos="567"/>
        </w:tabs>
        <w:ind w:left="0" w:firstLine="0"/>
      </w:pPr>
      <w:r w:rsidRPr="00A3452E">
        <w:lastRenderedPageBreak/>
        <w:t>Институциите оповестяват информацията, посочена в член 436, букви е), ж) и з) от Регламент (ЕС) № 575/2013, като използват таблица EU LIB от приложение V към настоящия регламент и следват указанията в приложение VI към настоящия регламент.</w:t>
      </w:r>
    </w:p>
    <w:p w14:paraId="5A980456" w14:textId="7A03DA4D" w:rsidR="00725875" w:rsidRPr="00A3452E" w:rsidRDefault="00725875" w:rsidP="00725875">
      <w:pPr>
        <w:pStyle w:val="Titrearticle"/>
      </w:pPr>
      <w:r w:rsidRPr="00A3452E">
        <w:t>Член 4</w:t>
      </w:r>
    </w:p>
    <w:p w14:paraId="14EB4863" w14:textId="77777777" w:rsidR="009F40BE" w:rsidRPr="00A3452E" w:rsidRDefault="009F40BE" w:rsidP="009F40BE">
      <w:pPr>
        <w:pStyle w:val="Titrearticle"/>
        <w:spacing w:before="120"/>
        <w:rPr>
          <w:b/>
          <w:i w:val="0"/>
        </w:rPr>
      </w:pPr>
      <w:r w:rsidRPr="00A3452E">
        <w:rPr>
          <w:b/>
          <w:i w:val="0"/>
        </w:rPr>
        <w:t>Оповестяване на собствените средства</w:t>
      </w:r>
    </w:p>
    <w:p w14:paraId="2144BC15" w14:textId="00DAA361" w:rsidR="009F40BE" w:rsidRPr="00A3452E" w:rsidRDefault="009F40BE" w:rsidP="009F40BE">
      <w:pPr>
        <w:rPr>
          <w:i/>
        </w:rPr>
      </w:pPr>
      <w:r w:rsidRPr="00A3452E">
        <w:t>Институциите оповестяват информацията, посочена в член 437 от Регламент (ЕС) № 575/2013, както следва:</w:t>
      </w:r>
    </w:p>
    <w:p w14:paraId="64F03B5B" w14:textId="0B27BC84" w:rsidR="009F40BE" w:rsidRPr="00A3452E" w:rsidRDefault="001279E5" w:rsidP="001279E5">
      <w:pPr>
        <w:pStyle w:val="Point1"/>
      </w:pPr>
      <w:r>
        <w:t>а)</w:t>
      </w:r>
      <w:r w:rsidRPr="00A3452E">
        <w:tab/>
      </w:r>
      <w:r w:rsidR="005F490A" w:rsidRPr="00A3452E">
        <w:t>информацията, посочена в член 437, букви а, г), д) и е) от Регламент (ЕС) № 575/2013, като използват образци EU CC1 и EU CC2 от приложение VII към настоящия регламент и следват указанията в приложение VIII към настоящия регламент;</w:t>
      </w:r>
    </w:p>
    <w:p w14:paraId="6F220811" w14:textId="2372A0E9" w:rsidR="009F40BE" w:rsidRPr="00A3452E" w:rsidRDefault="001279E5" w:rsidP="001279E5">
      <w:pPr>
        <w:pStyle w:val="Point1"/>
      </w:pPr>
      <w:r>
        <w:t>б)</w:t>
      </w:r>
      <w:r w:rsidRPr="001279E5">
        <w:tab/>
      </w:r>
      <w:r w:rsidR="005F490A" w:rsidRPr="00A3452E">
        <w:t>информацията, посочена в член 437, букви б) и в) от Регламент (ЕС) № 575/2013, като използват таблица EU CCA от приложение VII към настоящия регламент и следват указанията в приложение VIII към настоящия регламент.</w:t>
      </w:r>
    </w:p>
    <w:p w14:paraId="079C779B" w14:textId="5EBA66D3" w:rsidR="00A10245" w:rsidRPr="00A3452E" w:rsidRDefault="00A10245" w:rsidP="00A10245">
      <w:pPr>
        <w:pStyle w:val="Titrearticle"/>
      </w:pPr>
      <w:r w:rsidRPr="00A3452E">
        <w:t xml:space="preserve">Член 5 </w:t>
      </w:r>
    </w:p>
    <w:p w14:paraId="18A51980" w14:textId="77777777" w:rsidR="009F40BE" w:rsidRPr="00A3452E" w:rsidRDefault="009F40BE" w:rsidP="009F40BE">
      <w:pPr>
        <w:pStyle w:val="Titrearticle"/>
        <w:spacing w:before="120"/>
        <w:rPr>
          <w:b/>
          <w:i w:val="0"/>
        </w:rPr>
      </w:pPr>
      <w:r w:rsidRPr="00A3452E">
        <w:rPr>
          <w:b/>
          <w:i w:val="0"/>
        </w:rPr>
        <w:t>Оповестяване на антицикличните капиталови буфери</w:t>
      </w:r>
    </w:p>
    <w:p w14:paraId="10D01314" w14:textId="30079B66" w:rsidR="009F40BE" w:rsidRPr="00A3452E" w:rsidRDefault="009F40BE" w:rsidP="009F40BE">
      <w:r w:rsidRPr="00A3452E">
        <w:t>Институциите оповестяват информацията, посочена в член 440 от Регламент (ЕС) № 575/2013, както следва:</w:t>
      </w:r>
    </w:p>
    <w:p w14:paraId="197895FF" w14:textId="4677C473" w:rsidR="009F40BE" w:rsidRPr="00A3452E" w:rsidRDefault="001279E5" w:rsidP="001279E5">
      <w:pPr>
        <w:pStyle w:val="Point1"/>
      </w:pPr>
      <w:r>
        <w:t>а)</w:t>
      </w:r>
      <w:r w:rsidRPr="001279E5">
        <w:tab/>
      </w:r>
      <w:r w:rsidR="005F490A" w:rsidRPr="00A3452E">
        <w:t>информацията, посочена в член 440, буква а) от Регламент (ЕС) № 575/2013, като използват образец EU CCYB1 от приложение IX към настоящия регламент и следват указанията в приложение X към настоящия регламент;</w:t>
      </w:r>
    </w:p>
    <w:p w14:paraId="421F2629" w14:textId="68519F8B" w:rsidR="009F40BE" w:rsidRPr="00A3452E" w:rsidRDefault="001279E5" w:rsidP="001279E5">
      <w:pPr>
        <w:pStyle w:val="Point1"/>
      </w:pPr>
      <w:r>
        <w:t>б)</w:t>
      </w:r>
      <w:r w:rsidRPr="001279E5">
        <w:tab/>
      </w:r>
      <w:r w:rsidR="00E42EC8" w:rsidRPr="00A3452E">
        <w:t>информацията, посочена в член 440, буква б) от Регламент (ЕС) № 575/2013, като използват образец EU CCYB2 от приложение IX към настоящия регламент и следват указанията в приложение X към настоящия регламент.</w:t>
      </w:r>
    </w:p>
    <w:p w14:paraId="4007DA85" w14:textId="2EE168D4" w:rsidR="00496B08" w:rsidRPr="00A3452E" w:rsidRDefault="00496B08" w:rsidP="00496B08">
      <w:pPr>
        <w:pStyle w:val="Titrearticle"/>
      </w:pPr>
      <w:r w:rsidRPr="00A3452E">
        <w:t>Член 6</w:t>
      </w:r>
    </w:p>
    <w:p w14:paraId="0857022D" w14:textId="77777777" w:rsidR="009F40BE" w:rsidRPr="00A3452E" w:rsidRDefault="009F40BE" w:rsidP="009F40BE">
      <w:pPr>
        <w:pStyle w:val="Titrearticle"/>
        <w:spacing w:before="120"/>
        <w:rPr>
          <w:b/>
          <w:i w:val="0"/>
        </w:rPr>
      </w:pPr>
      <w:r w:rsidRPr="00A3452E">
        <w:rPr>
          <w:b/>
          <w:i w:val="0"/>
        </w:rPr>
        <w:t>Оповестяване на отношението на ливъридж</w:t>
      </w:r>
    </w:p>
    <w:p w14:paraId="0CFB345E" w14:textId="204FA202" w:rsidR="009F40BE" w:rsidRPr="00A3452E" w:rsidRDefault="009F40BE" w:rsidP="009F40BE">
      <w:r w:rsidRPr="00A3452E">
        <w:t>Институциите оповестяват информацията, посочена в член 451 от Регламент (ЕС) № 575/2013, както следва:</w:t>
      </w:r>
    </w:p>
    <w:p w14:paraId="1C14C095" w14:textId="31033450" w:rsidR="009F40BE" w:rsidRPr="00A3452E" w:rsidRDefault="001279E5" w:rsidP="001279E5">
      <w:pPr>
        <w:pStyle w:val="Point1"/>
      </w:pPr>
      <w:r>
        <w:t>а)</w:t>
      </w:r>
      <w:r w:rsidRPr="001279E5">
        <w:tab/>
      </w:r>
      <w:r w:rsidR="00786078" w:rsidRPr="00A3452E">
        <w:t>информацията, посочена в член 451, параграф 1, букви а), б) и в) и в член 451, параграфи 2 и 3 от Регламент (ЕС) № 575/2013, като използват образци EU LR1, EU LR2 и EU LR3 от приложение XI към настоящия регламент и следват указанията в приложение XII към настоящия регламент;</w:t>
      </w:r>
    </w:p>
    <w:p w14:paraId="632CE413" w14:textId="47A7842D" w:rsidR="009F40BE" w:rsidRPr="00A3452E" w:rsidRDefault="001279E5" w:rsidP="001279E5">
      <w:pPr>
        <w:pStyle w:val="Point1"/>
      </w:pPr>
      <w:r>
        <w:t>б)</w:t>
      </w:r>
      <w:r w:rsidRPr="001279E5">
        <w:tab/>
      </w:r>
      <w:r w:rsidR="00786078" w:rsidRPr="00A3452E">
        <w:t>информацията, посочена в член 451, параграф 1, букви г) и д) от Регламент (ЕС) № 575/2013, като използват таблица EU LRA от приложение XI към настоящия регламент и следват указанията в приложение XII към настоящия регламент.</w:t>
      </w:r>
    </w:p>
    <w:p w14:paraId="4C36A5D6" w14:textId="2A06F27B" w:rsidR="00496B08" w:rsidRPr="00A3452E" w:rsidRDefault="00496B08" w:rsidP="00496B08">
      <w:pPr>
        <w:pStyle w:val="Titrearticle"/>
      </w:pPr>
      <w:r w:rsidRPr="00A3452E">
        <w:lastRenderedPageBreak/>
        <w:t>Член 7</w:t>
      </w:r>
    </w:p>
    <w:p w14:paraId="6784E306" w14:textId="77777777" w:rsidR="00A858BC" w:rsidRPr="00A3452E" w:rsidRDefault="00A858BC" w:rsidP="00A858BC">
      <w:pPr>
        <w:pStyle w:val="Titrearticle"/>
        <w:spacing w:before="120"/>
        <w:rPr>
          <w:b/>
          <w:i w:val="0"/>
        </w:rPr>
      </w:pPr>
      <w:r w:rsidRPr="00A3452E">
        <w:rPr>
          <w:b/>
          <w:i w:val="0"/>
        </w:rPr>
        <w:t>Оповестяване на изискванията за ликвидност</w:t>
      </w:r>
    </w:p>
    <w:p w14:paraId="700646AD" w14:textId="45F364CC" w:rsidR="000715FC" w:rsidRPr="00A3452E" w:rsidRDefault="000715FC" w:rsidP="003D44B9">
      <w:pPr>
        <w:rPr>
          <w:i/>
        </w:rPr>
      </w:pPr>
      <w:r w:rsidRPr="00A3452E">
        <w:t>Институциите оповестяват информацията, посочена в член 435, параграф 1 и в член 451а от Регламент (ЕС) № 575/2013, както следва:</w:t>
      </w:r>
    </w:p>
    <w:p w14:paraId="3BD25176" w14:textId="26107393" w:rsidR="00A858BC" w:rsidRPr="00A3452E" w:rsidRDefault="001279E5" w:rsidP="001279E5">
      <w:pPr>
        <w:pStyle w:val="Point1"/>
      </w:pPr>
      <w:r>
        <w:t>а)</w:t>
      </w:r>
      <w:r w:rsidRPr="001279E5">
        <w:tab/>
      </w:r>
      <w:r w:rsidR="00D001B4" w:rsidRPr="00A3452E">
        <w:t>информацията, посочена в член 435, параграф 1 и в член 451а, параграф 4 от Регламент (ЕС) № 575/2013, като използват таблица EU LIQA от приложение XIII към настоящия регламент и следват указанията в приложение XIV към настоящия регламент;</w:t>
      </w:r>
    </w:p>
    <w:p w14:paraId="0E8BE407" w14:textId="75362F84" w:rsidR="00A858BC" w:rsidRPr="00A3452E" w:rsidRDefault="001279E5" w:rsidP="001279E5">
      <w:pPr>
        <w:pStyle w:val="Point1"/>
      </w:pPr>
      <w:r>
        <w:t>б)</w:t>
      </w:r>
      <w:r w:rsidRPr="001279E5">
        <w:tab/>
      </w:r>
      <w:r w:rsidR="00D001B4" w:rsidRPr="00A3452E">
        <w:t>информацията, посочена в член 451а, параграф 2 от Регламент (ЕС) № 575/2013, като използват образец EU LIQ1 и таблица EU LIQB от приложение XIII към настоящия регламент и следват указанията в приложение XIV към настоящия регламент;</w:t>
      </w:r>
    </w:p>
    <w:p w14:paraId="27B790F3" w14:textId="6CC40108" w:rsidR="00A858BC" w:rsidRPr="00A3452E" w:rsidRDefault="001279E5" w:rsidP="001279E5">
      <w:pPr>
        <w:pStyle w:val="Point1"/>
      </w:pPr>
      <w:r>
        <w:t>в)</w:t>
      </w:r>
      <w:r w:rsidRPr="001279E5">
        <w:tab/>
      </w:r>
      <w:r w:rsidR="00D001B4" w:rsidRPr="00A3452E">
        <w:t>информацията, посочена в член 451а, параграф 3 от Регламент (ЕС) № 575/2013, като използват образец EU LIQ2 от приложение XIII към настоящия регламент и следват указанията в приложение XIV към настоящия регламент.</w:t>
      </w:r>
    </w:p>
    <w:p w14:paraId="48407ACA" w14:textId="256EC5A5" w:rsidR="00496B08" w:rsidRPr="00A3452E" w:rsidRDefault="00496B08" w:rsidP="00496B08">
      <w:pPr>
        <w:pStyle w:val="Titrearticle"/>
      </w:pPr>
      <w:r w:rsidRPr="00A3452E">
        <w:t>Член 8</w:t>
      </w:r>
    </w:p>
    <w:p w14:paraId="6CB38048" w14:textId="77777777" w:rsidR="00A858BC" w:rsidRPr="00A3452E" w:rsidRDefault="00A858BC" w:rsidP="00A858BC">
      <w:pPr>
        <w:pStyle w:val="Titrearticle"/>
        <w:spacing w:before="120"/>
        <w:rPr>
          <w:b/>
          <w:i w:val="0"/>
        </w:rPr>
      </w:pPr>
      <w:r w:rsidRPr="00A3452E">
        <w:rPr>
          <w:b/>
          <w:i w:val="0"/>
        </w:rPr>
        <w:t>Оповестяване на експозициите към кредитен риск и към риск от разсейване, както и на кредитното качество</w:t>
      </w:r>
    </w:p>
    <w:p w14:paraId="3D4D2F63" w14:textId="25A1151F" w:rsidR="00A858BC" w:rsidRPr="00A3452E" w:rsidRDefault="00A858BC" w:rsidP="0046010F">
      <w:pPr>
        <w:pStyle w:val="NumPar1"/>
        <w:numPr>
          <w:ilvl w:val="0"/>
          <w:numId w:val="15"/>
        </w:numPr>
        <w:tabs>
          <w:tab w:val="clear" w:pos="850"/>
          <w:tab w:val="left" w:pos="567"/>
        </w:tabs>
        <w:ind w:left="0" w:firstLine="0"/>
      </w:pPr>
      <w:r w:rsidRPr="00A3452E">
        <w:t>Институциите оповестяват информацията, посочена в членове 435 и 442 от Регламент (ЕС) № 575/2013, както следва:</w:t>
      </w:r>
    </w:p>
    <w:p w14:paraId="551FABBA" w14:textId="46C0B8DF" w:rsidR="00A858BC" w:rsidRPr="00A3452E" w:rsidRDefault="001279E5" w:rsidP="001279E5">
      <w:pPr>
        <w:pStyle w:val="Point1"/>
      </w:pPr>
      <w:r>
        <w:t>а)</w:t>
      </w:r>
      <w:r w:rsidRPr="001279E5">
        <w:tab/>
      </w:r>
      <w:r w:rsidR="00D001B4" w:rsidRPr="00A3452E">
        <w:t>информацията, посочена в член 435, параграф 1, букви а), б), г) и е) от Регламент (ЕС) № 575/2013, като използват таблица EU CRA от приложение XV към настоящия регламент и следват указанията в приложение XVI към настоящия регламент;</w:t>
      </w:r>
    </w:p>
    <w:p w14:paraId="3B0BD257" w14:textId="7428E0CA" w:rsidR="00A858BC" w:rsidRPr="00A3452E" w:rsidRDefault="001279E5" w:rsidP="001279E5">
      <w:pPr>
        <w:pStyle w:val="Point1"/>
      </w:pPr>
      <w:r>
        <w:t>б)</w:t>
      </w:r>
      <w:r w:rsidRPr="001279E5">
        <w:tab/>
      </w:r>
      <w:r w:rsidR="00D001B4" w:rsidRPr="00A3452E">
        <w:t>информацията, посочена в член 442, букви а) и б) от Регламент (ЕС) № 575/2013, като използват таблица EU CRB от приложение XV към настоящия регламент и следват указанията в приложение XVI към настоящия регламент;</w:t>
      </w:r>
    </w:p>
    <w:p w14:paraId="4F91304B" w14:textId="66C52658" w:rsidR="00A858BC" w:rsidRPr="00A3452E" w:rsidRDefault="001279E5" w:rsidP="001279E5">
      <w:pPr>
        <w:pStyle w:val="Point1"/>
      </w:pPr>
      <w:r>
        <w:t>в)</w:t>
      </w:r>
      <w:r w:rsidRPr="001279E5">
        <w:tab/>
      </w:r>
      <w:r w:rsidR="00D001B4" w:rsidRPr="00A3452E">
        <w:t>информацията, посочена в член 442, буква г) от Регламент (ЕС) № 575/2013, като използват образец EU CQ3 от приложение XV към настоящия регламент и следват указанията в приложение XVI към настоящия регламент;</w:t>
      </w:r>
    </w:p>
    <w:p w14:paraId="0FF67B2D" w14:textId="6C596922" w:rsidR="00A858BC" w:rsidRPr="00A3452E" w:rsidRDefault="001279E5" w:rsidP="001279E5">
      <w:pPr>
        <w:pStyle w:val="Point1"/>
      </w:pPr>
      <w:r>
        <w:t>г)</w:t>
      </w:r>
      <w:r w:rsidRPr="001279E5">
        <w:tab/>
      </w:r>
      <w:r w:rsidR="00D001B4" w:rsidRPr="00A3452E">
        <w:t>информацията, посочена в член 442, буква ж) от Регламент (ЕС) № 575/2013, като използват образец EU CR1-A от приложение XV към настоящия регламент и следват указанията в приложение XVI към настоящия регламент;</w:t>
      </w:r>
    </w:p>
    <w:p w14:paraId="7DE01D39" w14:textId="071ADA85" w:rsidR="00A858BC" w:rsidRPr="00A3452E" w:rsidRDefault="001279E5" w:rsidP="001279E5">
      <w:pPr>
        <w:pStyle w:val="Point1"/>
      </w:pPr>
      <w:r>
        <w:t>д)</w:t>
      </w:r>
      <w:r w:rsidRPr="001279E5">
        <w:tab/>
      </w:r>
      <w:r w:rsidR="00D001B4" w:rsidRPr="00A3452E">
        <w:t>информацията, посочена в член 442, буква е) от Регламент (ЕС) № 575/2013, като използват образец EU CR2 от приложение XV към настоящия регламент и следват указанията в приложение XVI към настоящия регламент.</w:t>
      </w:r>
    </w:p>
    <w:p w14:paraId="27C265A9" w14:textId="77777777" w:rsidR="00DF14E1" w:rsidRPr="00A3452E" w:rsidRDefault="00A858BC" w:rsidP="00DF14E1">
      <w:pPr>
        <w:pStyle w:val="NumPar1"/>
        <w:tabs>
          <w:tab w:val="clear" w:pos="850"/>
          <w:tab w:val="left" w:pos="567"/>
        </w:tabs>
        <w:ind w:left="0" w:firstLine="0"/>
      </w:pPr>
      <w:r w:rsidRPr="00A3452E">
        <w:t xml:space="preserve">Институциите оповестяват информацията, посочена в член 442, букви в), д) и е) от Регламент (ЕС) № 575/2013, като използват образци EU CR1, EU CQ1 и EU CQ7, колони „а“, „в“, „д“, „е“ и „ж“ от образец EU CQ4 и колони „а“, „в“, „д“ и „е“ от </w:t>
      </w:r>
      <w:r w:rsidRPr="00A3452E">
        <w:lastRenderedPageBreak/>
        <w:t>образец EU CQ5 от приложение XV към настоящия регламент и следват указанията в приложение XVI към настоящия регламент.</w:t>
      </w:r>
    </w:p>
    <w:p w14:paraId="12433EF1" w14:textId="245C024E" w:rsidR="00A858BC" w:rsidRPr="00A3452E" w:rsidRDefault="00956448" w:rsidP="00DF14E1">
      <w:pPr>
        <w:pStyle w:val="NumPar1"/>
        <w:tabs>
          <w:tab w:val="clear" w:pos="850"/>
          <w:tab w:val="left" w:pos="567"/>
        </w:tabs>
        <w:ind w:left="0" w:firstLine="0"/>
      </w:pPr>
      <w:r w:rsidRPr="00A3452E">
        <w:t xml:space="preserve">Големите институции, чието отношение между брутната балансова стойност на кредитите и авансите, попадащи в обхвата на член 47а, параграф 3 от Регламент (ЕС) № 575/2013, и общата брутна балансова стойност на кредитите и авансите, попадащи в обхвата на член 47а, параграф 1 от Регламент (ЕС) № 575/2013, е не по-малко от 5 %, оповестяват в допълнение към посочените в параграф 2 образци и колони информацията, посочена в член 442, букви в) и е) от Регламент (ЕС) № 575/2013, като използват образци EU CR2a, EU CQ2, EU CQ6 и EU CQ8, както и колони „б“ и „г“ от образци EU CQ4 и EU CQ5 от приложение XV към настоящия регламент, следвайки указанията в приложение XVI. Те оповестяват тази информация ежегодно. </w:t>
      </w:r>
    </w:p>
    <w:p w14:paraId="38D26DBB" w14:textId="2FAF3A75" w:rsidR="00A858BC" w:rsidRPr="00A3452E" w:rsidRDefault="00A858BC" w:rsidP="00F5043B">
      <w:pPr>
        <w:pStyle w:val="NumPar1"/>
        <w:tabs>
          <w:tab w:val="clear" w:pos="850"/>
          <w:tab w:val="left" w:pos="567"/>
        </w:tabs>
        <w:ind w:left="0" w:firstLine="0"/>
      </w:pPr>
      <w:r w:rsidRPr="00A3452E">
        <w:t>За целите на параграф 3 заемите и авансите, класифицирани като държани за продажба, паричните салда в централни банки и другите депозити на виждане се изключват и от знаменателя, и от числителя на отношението.</w:t>
      </w:r>
    </w:p>
    <w:p w14:paraId="7BC87207" w14:textId="124F936C" w:rsidR="00A858BC" w:rsidRPr="00A3452E" w:rsidRDefault="00A858BC" w:rsidP="00F5043B">
      <w:pPr>
        <w:pStyle w:val="NumPar1"/>
        <w:tabs>
          <w:tab w:val="clear" w:pos="850"/>
          <w:tab w:val="left" w:pos="567"/>
        </w:tabs>
        <w:ind w:left="0" w:firstLine="0"/>
      </w:pPr>
      <w:r w:rsidRPr="00A3452E">
        <w:t>Институциите започват оповестяванията, изисквани по параграф 3, когато през две последователни тримесечия от четирите тримесечия, предхождащи референтната дата на оповестяване, достигнат или надхвърлят посочения в същия параграф праг от 5 %. За референтната дата на първото оповестяване институциите оповестяват съответната информация, като използват образците, посочени в същия параграф, ако към тази референтна дата на оповестяване са надхвърлили прага от 5 %.</w:t>
      </w:r>
    </w:p>
    <w:p w14:paraId="53CB613D" w14:textId="11D744EC" w:rsidR="00A858BC" w:rsidRPr="00A3452E" w:rsidRDefault="00A858BC" w:rsidP="00F5043B">
      <w:pPr>
        <w:pStyle w:val="NumPar1"/>
        <w:tabs>
          <w:tab w:val="clear" w:pos="850"/>
          <w:tab w:val="left" w:pos="567"/>
        </w:tabs>
        <w:ind w:left="0" w:firstLine="0"/>
      </w:pPr>
      <w:r w:rsidRPr="00A3452E">
        <w:t>Когато през три последователни тримесечия от четирите тримесечия, предхождащи референтната дата на оповестяване, институциите са били под прага от 5 %, тяхното задължение за оповестяване по силата на параграф 3 отпада.</w:t>
      </w:r>
    </w:p>
    <w:p w14:paraId="3C5E542D" w14:textId="01D8911B" w:rsidR="00496B08" w:rsidRPr="00A3452E" w:rsidRDefault="00496B08" w:rsidP="00496B08">
      <w:pPr>
        <w:pStyle w:val="Titrearticle"/>
      </w:pPr>
      <w:r w:rsidRPr="00A3452E">
        <w:t>Член 9</w:t>
      </w:r>
    </w:p>
    <w:p w14:paraId="09D01539" w14:textId="77777777" w:rsidR="00A858BC" w:rsidRPr="00A3452E" w:rsidRDefault="00A858BC" w:rsidP="00A858BC">
      <w:pPr>
        <w:pStyle w:val="Titrearticle"/>
        <w:spacing w:before="120"/>
        <w:rPr>
          <w:b/>
          <w:i w:val="0"/>
        </w:rPr>
      </w:pPr>
      <w:r w:rsidRPr="00A3452E">
        <w:rPr>
          <w:b/>
          <w:i w:val="0"/>
        </w:rPr>
        <w:t xml:space="preserve">Оповестяване на използването на техники за редуциране на кредитния риск </w:t>
      </w:r>
    </w:p>
    <w:p w14:paraId="0ECADB24" w14:textId="707BAB41" w:rsidR="00A858BC" w:rsidRPr="00A3452E" w:rsidRDefault="00A858BC" w:rsidP="00A858BC">
      <w:pPr>
        <w:rPr>
          <w:i/>
        </w:rPr>
      </w:pPr>
      <w:r w:rsidRPr="00A3452E">
        <w:t>Институциите оповестяват информацията, посочена в член 453, букви а) — е) от Регламент (ЕС) № 575/2013, както следва:</w:t>
      </w:r>
    </w:p>
    <w:p w14:paraId="1745A6BC" w14:textId="18210DCB" w:rsidR="00A858BC" w:rsidRPr="00A3452E" w:rsidRDefault="001279E5" w:rsidP="001279E5">
      <w:pPr>
        <w:pStyle w:val="Point1"/>
      </w:pPr>
      <w:r>
        <w:t>а)</w:t>
      </w:r>
      <w:r w:rsidRPr="001279E5">
        <w:tab/>
      </w:r>
      <w:r w:rsidR="00F53E64" w:rsidRPr="00A3452E">
        <w:t>информацията, посочена в член 453, букви а) — д) от Регламент (ЕС) № 575/2013, като използват таблица EU CRC от приложение XVII към настоящия регламент и следват указанията в приложение XVIII към настоящия регламент;</w:t>
      </w:r>
    </w:p>
    <w:p w14:paraId="661A25AE" w14:textId="6F9C919A" w:rsidR="00A858BC" w:rsidRPr="00A3452E" w:rsidRDefault="001279E5" w:rsidP="001279E5">
      <w:pPr>
        <w:pStyle w:val="Point1"/>
      </w:pPr>
      <w:r>
        <w:t>б)</w:t>
      </w:r>
      <w:r w:rsidRPr="001279E5">
        <w:tab/>
      </w:r>
      <w:r w:rsidR="00F53E64" w:rsidRPr="00A3452E">
        <w:t>информацията, посочена в член 453, буква е) от Регламент (ЕС) № 575/2013, като използват образец EU CR3 от приложение XVII към настоящия регламент и следват указанията в приложение XVIII към настоящия регламент.</w:t>
      </w:r>
    </w:p>
    <w:p w14:paraId="14246492" w14:textId="5365C73C" w:rsidR="000B18AB" w:rsidRPr="00A3452E" w:rsidRDefault="000B18AB" w:rsidP="000B18AB">
      <w:pPr>
        <w:pStyle w:val="Titrearticle"/>
      </w:pPr>
      <w:r w:rsidRPr="00A3452E">
        <w:t xml:space="preserve">Член 10 </w:t>
      </w:r>
    </w:p>
    <w:p w14:paraId="5332FF24" w14:textId="77777777" w:rsidR="00A858BC" w:rsidRPr="00A3452E" w:rsidRDefault="00A858BC" w:rsidP="00A858BC">
      <w:pPr>
        <w:pStyle w:val="Titrearticle"/>
        <w:spacing w:before="120"/>
        <w:rPr>
          <w:b/>
          <w:i w:val="0"/>
        </w:rPr>
      </w:pPr>
      <w:r w:rsidRPr="00A3452E">
        <w:rPr>
          <w:b/>
          <w:i w:val="0"/>
        </w:rPr>
        <w:t>Оповестяване на използването на стандартизирания подход</w:t>
      </w:r>
    </w:p>
    <w:p w14:paraId="6672FA91" w14:textId="105D032F" w:rsidR="00A858BC" w:rsidRPr="00A3452E" w:rsidRDefault="00A858BC" w:rsidP="00A858BC">
      <w:r w:rsidRPr="00A3452E">
        <w:t>Институциите, които изчисляват рисково претеглената стойност на експозициите по стандартизирания подход, оповестяват информацията, посочена в член 444 и член 453, букви ж), з) и и) от Регламент (ЕС) № 575/2013, както следва:</w:t>
      </w:r>
    </w:p>
    <w:p w14:paraId="64037B7E" w14:textId="15409914" w:rsidR="00A858BC" w:rsidRPr="00A3452E" w:rsidRDefault="001279E5" w:rsidP="001279E5">
      <w:pPr>
        <w:pStyle w:val="Point1"/>
      </w:pPr>
      <w:r>
        <w:t>а)</w:t>
      </w:r>
      <w:r w:rsidRPr="001279E5">
        <w:tab/>
      </w:r>
      <w:r w:rsidR="00F53E64" w:rsidRPr="00A3452E">
        <w:t xml:space="preserve">информацията, посочена в член 444, букви а) — г) от Регламент (ЕС) № 575/2013, като използват таблица EU CRD от приложение XIX към </w:t>
      </w:r>
      <w:r w:rsidR="00F53E64" w:rsidRPr="00A3452E">
        <w:lastRenderedPageBreak/>
        <w:t>настоящия регламент и следват указанията в приложение XX към настоящия регламент;</w:t>
      </w:r>
    </w:p>
    <w:p w14:paraId="74A58369" w14:textId="4F712D9B" w:rsidR="00A858BC" w:rsidRPr="00A3452E" w:rsidRDefault="001279E5" w:rsidP="001279E5">
      <w:pPr>
        <w:pStyle w:val="Point1"/>
      </w:pPr>
      <w:r>
        <w:t>б)</w:t>
      </w:r>
      <w:r w:rsidRPr="001279E5">
        <w:tab/>
      </w:r>
      <w:r w:rsidR="00F53E64" w:rsidRPr="00A3452E">
        <w:t>информацията, посочена в член 453, букви ж), з) и и) и в член 444, буква д) от Регламент (ЕС) № 575/2013, като използват образец EU CR4 от приложение XIX към настоящия регламент и следват указанията в приложение XX към настоящия регламент;</w:t>
      </w:r>
    </w:p>
    <w:p w14:paraId="0CAF4FE7" w14:textId="516F312B" w:rsidR="00A858BC" w:rsidRPr="00A3452E" w:rsidRDefault="001279E5" w:rsidP="001279E5">
      <w:pPr>
        <w:pStyle w:val="Point1"/>
      </w:pPr>
      <w:r>
        <w:t>в)</w:t>
      </w:r>
      <w:r w:rsidRPr="001279E5">
        <w:tab/>
      </w:r>
      <w:r w:rsidR="00F53E64" w:rsidRPr="00A3452E">
        <w:t>информацията, посочена в член 444, буква д) от Регламент (ЕС) № 575/2013, като използват образец EU CR5 от приложение XIX към настоящия регламент и следват указанията в приложение XX към настоящия регламент; а що се отнася до информацията за посочените в същия член стойности на експозициите, приспаднати от собствените средства — като използват образец EU CC1 от приложение VII към настоящия регламент и следват указанията в приложение VIII към настоящия регламент.</w:t>
      </w:r>
    </w:p>
    <w:p w14:paraId="3C991507" w14:textId="68437B83" w:rsidR="00173862" w:rsidRPr="00A3452E" w:rsidRDefault="00173862" w:rsidP="00173862">
      <w:pPr>
        <w:pStyle w:val="Titrearticle"/>
      </w:pPr>
      <w:r w:rsidRPr="00A3452E">
        <w:t>Член 11</w:t>
      </w:r>
    </w:p>
    <w:p w14:paraId="57C88BA7" w14:textId="77777777" w:rsidR="00A858BC" w:rsidRPr="00A3452E" w:rsidRDefault="00A858BC" w:rsidP="00A858BC">
      <w:pPr>
        <w:pStyle w:val="Titrearticle"/>
        <w:spacing w:before="120"/>
        <w:rPr>
          <w:b/>
          <w:i w:val="0"/>
        </w:rPr>
      </w:pPr>
      <w:r w:rsidRPr="00A3452E">
        <w:rPr>
          <w:b/>
          <w:i w:val="0"/>
        </w:rPr>
        <w:t>Оповестяване на използването на вътрешнорейтинговия подход към кредитния риск</w:t>
      </w:r>
    </w:p>
    <w:p w14:paraId="43A264E7" w14:textId="691A398D" w:rsidR="00A858BC" w:rsidRPr="00A3452E" w:rsidRDefault="00A858BC" w:rsidP="00A858BC">
      <w:r w:rsidRPr="00A3452E">
        <w:t>Институциите, които изчисляват рисково претеглената стойност на експозициите по вътрешнорейтинговия подход, оповестяват информацията, посочена в член 438, член 452 и член 453, букви ж) и й) от Регламент (ЕС) № 575/2013, както следва:</w:t>
      </w:r>
    </w:p>
    <w:p w14:paraId="4805C696" w14:textId="3C7D8FE4" w:rsidR="00A858BC" w:rsidRPr="00A3452E" w:rsidRDefault="001279E5" w:rsidP="001279E5">
      <w:pPr>
        <w:pStyle w:val="Point1"/>
      </w:pPr>
      <w:r>
        <w:t>а)</w:t>
      </w:r>
      <w:r w:rsidRPr="001279E5">
        <w:tab/>
      </w:r>
      <w:r w:rsidR="00926007" w:rsidRPr="00A3452E">
        <w:t>информацията, посочена в член 452, букви а) — е) от Регламент (ЕС) № 575/2013, като използват таблица EU CRE и образец EU CR6-A от приложение XXI към настоящия регламент и следват указанията в приложение XXII към настоящия регламент;</w:t>
      </w:r>
    </w:p>
    <w:p w14:paraId="20A04C13" w14:textId="55F2E433" w:rsidR="00A858BC" w:rsidRPr="00A3452E" w:rsidRDefault="001279E5" w:rsidP="001279E5">
      <w:pPr>
        <w:pStyle w:val="Point1"/>
      </w:pPr>
      <w:r>
        <w:t>б)</w:t>
      </w:r>
      <w:r w:rsidRPr="001279E5">
        <w:tab/>
      </w:r>
      <w:r w:rsidR="00926007" w:rsidRPr="00A3452E">
        <w:t>информацията, посочена в член 452, буква ж) от Регламент (ЕС) № 575/2013, като използват образец EU CR6 от приложение XXI към настоящия регламент и следват указанията в приложение XXII към настоящия регламент;</w:t>
      </w:r>
    </w:p>
    <w:p w14:paraId="409337BD" w14:textId="68C4F53D" w:rsidR="00A858BC" w:rsidRPr="00A3452E" w:rsidRDefault="001279E5" w:rsidP="001279E5">
      <w:pPr>
        <w:pStyle w:val="Point1"/>
      </w:pPr>
      <w:r>
        <w:t>в)</w:t>
      </w:r>
      <w:r w:rsidRPr="001279E5">
        <w:tab/>
      </w:r>
      <w:r w:rsidR="00926007" w:rsidRPr="00A3452E">
        <w:t>информацията, посочена в член 453, букви ж) и й) от Регламент (ЕС) № 575/2013, като използват образци EU CR7-A и EU CR7 от приложение XXI към настоящия регламент и следват указанията в приложение XXII към настоящия регламент;</w:t>
      </w:r>
    </w:p>
    <w:p w14:paraId="6ACE2865" w14:textId="2DB08440" w:rsidR="00A858BC" w:rsidRPr="00A3452E" w:rsidRDefault="001279E5" w:rsidP="001279E5">
      <w:pPr>
        <w:pStyle w:val="Point1"/>
      </w:pPr>
      <w:r>
        <w:t>г)</w:t>
      </w:r>
      <w:r w:rsidRPr="001279E5">
        <w:tab/>
      </w:r>
      <w:r w:rsidR="00926007" w:rsidRPr="00A3452E">
        <w:t>информацията, посочена в член 438, буква з) от Регламент (ЕС) № 575/2013, като използват образец EU CR8 от приложение XXI към настоящия регламент и следват указанията в приложение XXII към настоящия регламент;</w:t>
      </w:r>
    </w:p>
    <w:p w14:paraId="01F0A9A0" w14:textId="70460059" w:rsidR="00A858BC" w:rsidRPr="00A3452E" w:rsidRDefault="001279E5" w:rsidP="001279E5">
      <w:pPr>
        <w:pStyle w:val="Point1"/>
      </w:pPr>
      <w:r>
        <w:t>д)</w:t>
      </w:r>
      <w:r w:rsidRPr="001279E5">
        <w:tab/>
      </w:r>
      <w:r w:rsidR="00926007" w:rsidRPr="00A3452E">
        <w:t>информацията, посочена в член 452, буква з) от Регламент (ЕС) № 575/2013, като използват образци EU CR9 и EU CR9.1 от приложение XXI към настоящия регламент и следват указанията в приложение XXII към настоящия регламент.</w:t>
      </w:r>
    </w:p>
    <w:p w14:paraId="08A80737" w14:textId="3380DF94" w:rsidR="009675DD" w:rsidRPr="00A3452E" w:rsidRDefault="009675DD" w:rsidP="009675DD">
      <w:pPr>
        <w:pStyle w:val="Titrearticle"/>
      </w:pPr>
      <w:r w:rsidRPr="00A3452E">
        <w:lastRenderedPageBreak/>
        <w:t>Член 12</w:t>
      </w:r>
    </w:p>
    <w:p w14:paraId="31298347" w14:textId="77777777" w:rsidR="00A858BC" w:rsidRPr="00A3452E" w:rsidRDefault="00A858BC" w:rsidP="00A858BC">
      <w:pPr>
        <w:pStyle w:val="Titrearticle"/>
        <w:spacing w:before="120"/>
        <w:rPr>
          <w:b/>
          <w:i w:val="0"/>
        </w:rPr>
      </w:pPr>
      <w:r w:rsidRPr="00A3452E">
        <w:rPr>
          <w:b/>
          <w:i w:val="0"/>
        </w:rPr>
        <w:t>Оповестяване на експозициите към специализирано кредитиране и към капиталови инструменти, изчислени по подхода на опростено определяне на рисковите тегла</w:t>
      </w:r>
    </w:p>
    <w:p w14:paraId="209E1167" w14:textId="1F3573EF" w:rsidR="00A858BC" w:rsidRPr="00A3452E" w:rsidRDefault="00A858BC" w:rsidP="00A858BC">
      <w:r w:rsidRPr="00A3452E">
        <w:t>Институциите оповестяват информацията, посочена в член 438, буква д) от Регламент (ЕС) № 575/2013, като използват образец EU CR10 от приложение XXIII към настоящия регламент и следват указанията в приложение XXIV към настоящия регламент.</w:t>
      </w:r>
    </w:p>
    <w:p w14:paraId="6B0E661C" w14:textId="77777777" w:rsidR="00BF182F" w:rsidRPr="00A3452E" w:rsidRDefault="00BF182F" w:rsidP="00BF182F">
      <w:pPr>
        <w:pStyle w:val="Titrearticle"/>
      </w:pPr>
      <w:r w:rsidRPr="00A3452E">
        <w:t>Член 13</w:t>
      </w:r>
    </w:p>
    <w:p w14:paraId="4275FD5E" w14:textId="77777777" w:rsidR="00A858BC" w:rsidRPr="00A3452E" w:rsidRDefault="00A858BC" w:rsidP="00A858BC">
      <w:pPr>
        <w:pStyle w:val="Titrearticle"/>
        <w:spacing w:before="120"/>
        <w:rPr>
          <w:b/>
          <w:i w:val="0"/>
        </w:rPr>
      </w:pPr>
      <w:r w:rsidRPr="00A3452E">
        <w:rPr>
          <w:b/>
          <w:i w:val="0"/>
        </w:rPr>
        <w:t>Оповестяване на експозициите към кредитен риск от контрагента</w:t>
      </w:r>
    </w:p>
    <w:p w14:paraId="4385E700" w14:textId="4D6F85B9" w:rsidR="00A858BC" w:rsidRPr="00A3452E" w:rsidRDefault="00A858BC" w:rsidP="00A858BC">
      <w:r w:rsidRPr="00A3452E">
        <w:t>Институциите оповестяват информацията, посочена в член 438, буква з) и член 439 от Регламент (ЕС) № 575/2013, както следва:</w:t>
      </w:r>
    </w:p>
    <w:p w14:paraId="02FBBB67" w14:textId="52EC121F" w:rsidR="00A858BC" w:rsidRPr="00A3452E" w:rsidRDefault="001279E5" w:rsidP="001279E5">
      <w:pPr>
        <w:pStyle w:val="Point1"/>
      </w:pPr>
      <w:r>
        <w:t>а)</w:t>
      </w:r>
      <w:r w:rsidRPr="001279E5">
        <w:tab/>
      </w:r>
      <w:r w:rsidR="00336F4D" w:rsidRPr="00A3452E">
        <w:t>информацията, посочена в член 439, букви а) — г) от Регламент (ЕС) № 575/2013, като използват таблица EU CCRA от приложение XXV към настоящия регламент и следват указанията в приложение XXVI към настоящия регламент;</w:t>
      </w:r>
    </w:p>
    <w:p w14:paraId="0E510E13" w14:textId="5F9E9170" w:rsidR="00A858BC" w:rsidRPr="00A3452E" w:rsidRDefault="001279E5" w:rsidP="001279E5">
      <w:pPr>
        <w:pStyle w:val="Point1"/>
      </w:pPr>
      <w:r>
        <w:t>б)</w:t>
      </w:r>
      <w:r w:rsidRPr="001279E5">
        <w:tab/>
      </w:r>
      <w:r w:rsidR="00336F4D" w:rsidRPr="00A3452E">
        <w:t>информацията, посочена в член 439, букви е), ж), к) и м) от Регламент (ЕС) № 575/2013, като използват образец EU CCR1 от приложение XXV към настоящия регламент и следват указанията в приложение XXVI към настоящия регламент;</w:t>
      </w:r>
    </w:p>
    <w:p w14:paraId="5695B676" w14:textId="31971C06" w:rsidR="00A858BC" w:rsidRPr="00A3452E" w:rsidRDefault="001279E5" w:rsidP="001279E5">
      <w:pPr>
        <w:pStyle w:val="Point1"/>
      </w:pPr>
      <w:r>
        <w:t>в)</w:t>
      </w:r>
      <w:r w:rsidRPr="001279E5">
        <w:tab/>
      </w:r>
      <w:r w:rsidR="00336F4D" w:rsidRPr="00A3452E">
        <w:t>информацията, посочена в член 439, буква з) от Регламент (ЕС) № 575/2013, като използват образец EU CCR2 от приложение XXV към настоящия регламент и следват указанията в приложение XXVI към настоящия регламент;</w:t>
      </w:r>
    </w:p>
    <w:p w14:paraId="4885A941" w14:textId="5911B933" w:rsidR="00F31307" w:rsidRPr="00A3452E" w:rsidRDefault="001279E5" w:rsidP="001279E5">
      <w:pPr>
        <w:pStyle w:val="Point1"/>
      </w:pPr>
      <w:r>
        <w:t>г)</w:t>
      </w:r>
      <w:r w:rsidRPr="001279E5">
        <w:tab/>
      </w:r>
      <w:r w:rsidR="00F31307" w:rsidRPr="00A3452E">
        <w:t>информацията, посочена в член 439, буква л) от Регламент (ЕС) № 575/2013, като използват образци EU CCR3 и EU CCR4 от приложение XXV към настоящия регламент и следват указанията в приложение XXVI към настоящия регламент;</w:t>
      </w:r>
    </w:p>
    <w:p w14:paraId="4ABAFB07" w14:textId="0974DB2B" w:rsidR="00F31307" w:rsidRPr="00A3452E" w:rsidRDefault="001279E5" w:rsidP="001279E5">
      <w:pPr>
        <w:pStyle w:val="Point1"/>
      </w:pPr>
      <w:r>
        <w:t>д)</w:t>
      </w:r>
      <w:r w:rsidRPr="001279E5">
        <w:tab/>
      </w:r>
      <w:r w:rsidR="00F31307" w:rsidRPr="00A3452E">
        <w:t>информацията, посочена в член 439, буква д) от Регламент (ЕС) № 575/2013, като използват образец EU CCR5 от приложение XXV към настоящия регламент и следват указанията в приложение XXVI към настоящия регламент;</w:t>
      </w:r>
    </w:p>
    <w:p w14:paraId="023D2246" w14:textId="5DFDCB41" w:rsidR="00F31307" w:rsidRPr="00A3452E" w:rsidRDefault="001279E5" w:rsidP="001279E5">
      <w:pPr>
        <w:pStyle w:val="Point1"/>
      </w:pPr>
      <w:r>
        <w:t>е)</w:t>
      </w:r>
      <w:r w:rsidRPr="001279E5">
        <w:tab/>
      </w:r>
      <w:r w:rsidR="00F31307" w:rsidRPr="00A3452E">
        <w:t>информацията, посочена в член 439, буква й) от Регламент (ЕС) № 575/2013, като използват образец EU CCR6 от приложение XXV към настоящия регламент и следват указанията в приложение XXVI към настоящия регламент;</w:t>
      </w:r>
    </w:p>
    <w:p w14:paraId="7E588C07" w14:textId="70C8C4CE" w:rsidR="00262584" w:rsidRPr="00A3452E" w:rsidRDefault="001279E5" w:rsidP="001279E5">
      <w:pPr>
        <w:pStyle w:val="Point1"/>
      </w:pPr>
      <w:r>
        <w:t>ж)</w:t>
      </w:r>
      <w:r w:rsidRPr="001279E5">
        <w:tab/>
      </w:r>
      <w:r w:rsidR="00262584" w:rsidRPr="00A3452E">
        <w:t>информацията, посочена в член 438, буква з) от Регламент (ЕС) № 575/2013, като използват образец EU CCR7 от приложение XXV към настоящия регламент и следват указанията в приложение XXVI към настоящия регламент;</w:t>
      </w:r>
    </w:p>
    <w:p w14:paraId="2600D604" w14:textId="7D2F523E" w:rsidR="00262584" w:rsidRPr="00A3452E" w:rsidRDefault="001279E5" w:rsidP="001279E5">
      <w:pPr>
        <w:pStyle w:val="Point1"/>
      </w:pPr>
      <w:r>
        <w:t>з)</w:t>
      </w:r>
      <w:r w:rsidRPr="001279E5">
        <w:tab/>
      </w:r>
      <w:r w:rsidR="00262584" w:rsidRPr="00A3452E">
        <w:t xml:space="preserve">информацията, посочена в член 439, буква и) от Регламент (ЕС) № 575/2013, като използват образец EU CCR8 от приложение XXV към настоящия регламент и следват указанията в приложение XXVI към настоящия регламент. </w:t>
      </w:r>
    </w:p>
    <w:p w14:paraId="0C905D79" w14:textId="77777777" w:rsidR="00F91209" w:rsidRPr="00A3452E" w:rsidRDefault="00F91209" w:rsidP="00F91209">
      <w:pPr>
        <w:pStyle w:val="Titrearticle"/>
      </w:pPr>
      <w:r w:rsidRPr="00A3452E">
        <w:lastRenderedPageBreak/>
        <w:t>Член 14</w:t>
      </w:r>
    </w:p>
    <w:p w14:paraId="195EA913" w14:textId="77777777" w:rsidR="00A858BC" w:rsidRPr="00A3452E" w:rsidRDefault="00A858BC" w:rsidP="00A858BC">
      <w:pPr>
        <w:pStyle w:val="Titrearticle"/>
        <w:spacing w:before="120"/>
        <w:rPr>
          <w:b/>
          <w:i w:val="0"/>
        </w:rPr>
      </w:pPr>
      <w:r w:rsidRPr="00A3452E">
        <w:rPr>
          <w:b/>
          <w:i w:val="0"/>
        </w:rPr>
        <w:t xml:space="preserve">Оповестяване на експозициите към секюритизиращи позиции </w:t>
      </w:r>
    </w:p>
    <w:p w14:paraId="5F8907A1" w14:textId="610CD7BF" w:rsidR="00A858BC" w:rsidRPr="00A3452E" w:rsidRDefault="00A858BC" w:rsidP="009777B7">
      <w:r w:rsidRPr="00A3452E">
        <w:t>Институциите оповестяват информацията, посочена в член 449 от Регламент (ЕС) № 575/2013, както следва:</w:t>
      </w:r>
    </w:p>
    <w:p w14:paraId="26F6A181" w14:textId="2B28ED8C" w:rsidR="009777B7" w:rsidRPr="00A3452E" w:rsidRDefault="001279E5" w:rsidP="001279E5">
      <w:pPr>
        <w:pStyle w:val="Point1"/>
      </w:pPr>
      <w:r>
        <w:t>а)</w:t>
      </w:r>
      <w:r w:rsidRPr="001279E5">
        <w:tab/>
      </w:r>
      <w:r w:rsidR="00CE62E1" w:rsidRPr="00A3452E">
        <w:t>информацията, посочена в член 449, букви а) — и) от Регламент (ЕС) № 575/2013, като използват таблица EU SECA от приложение XXVII към настоящия регламент и следват указанията в приложение XXVIII към настоящия регламент;</w:t>
      </w:r>
    </w:p>
    <w:p w14:paraId="5E9E888F" w14:textId="64AF2F9E" w:rsidR="009777B7" w:rsidRPr="00A3452E" w:rsidRDefault="001279E5" w:rsidP="001279E5">
      <w:pPr>
        <w:pStyle w:val="Point1"/>
      </w:pPr>
      <w:r>
        <w:t>б)</w:t>
      </w:r>
      <w:r w:rsidRPr="001279E5">
        <w:tab/>
      </w:r>
      <w:r w:rsidR="00CE62E1" w:rsidRPr="00A3452E">
        <w:t>информацията, посочена в член 449, буква й) от Регламент (ЕС) № 575/2013, като използват образци EU SEC1 и EU SEC2 от приложение XXVII към настоящия регламент и следват указанията в приложение XXVIII към настоящия регламент;</w:t>
      </w:r>
    </w:p>
    <w:p w14:paraId="02E9C6B8" w14:textId="5A3EC9D4" w:rsidR="009777B7" w:rsidRPr="00A3452E" w:rsidRDefault="001279E5" w:rsidP="001279E5">
      <w:pPr>
        <w:pStyle w:val="Point1"/>
      </w:pPr>
      <w:r>
        <w:t>в)</w:t>
      </w:r>
      <w:r w:rsidRPr="001279E5">
        <w:tab/>
      </w:r>
      <w:r w:rsidR="00336F4D" w:rsidRPr="00A3452E">
        <w:t>информацията, посочена в член 449, буква к) от Регламент (ЕС) № 575/2013, като използват образци EU SEC3 и EU SEC4 от приложение XXVII към настоящия регламент и следват указанията в приложение XXVIII към настоящия регламент;</w:t>
      </w:r>
    </w:p>
    <w:p w14:paraId="5D79427B" w14:textId="46E995D5" w:rsidR="009777B7" w:rsidRPr="00A3452E" w:rsidRDefault="001279E5" w:rsidP="001279E5">
      <w:pPr>
        <w:pStyle w:val="Point1"/>
      </w:pPr>
      <w:r>
        <w:t>г)</w:t>
      </w:r>
      <w:r w:rsidRPr="001279E5">
        <w:tab/>
      </w:r>
      <w:r w:rsidR="00336F4D" w:rsidRPr="00A3452E">
        <w:t>информацията, посочена в член 449, буква л) от Регламент (ЕС) № 575/2013, като използват образец EU SEC5 от приложение XXVII към настоящия регламент и следват указанията в приложение XXVIII към настоящия регламент.</w:t>
      </w:r>
    </w:p>
    <w:p w14:paraId="0FF84706" w14:textId="3A4DAB53" w:rsidR="00F91209" w:rsidRPr="00A3452E" w:rsidRDefault="00F91209" w:rsidP="00F91209">
      <w:pPr>
        <w:pStyle w:val="Titrearticle"/>
      </w:pPr>
      <w:r w:rsidRPr="00A3452E">
        <w:t>Член 15</w:t>
      </w:r>
    </w:p>
    <w:p w14:paraId="42C96F98" w14:textId="2C104302" w:rsidR="009777B7" w:rsidRPr="00A3452E" w:rsidRDefault="009777B7" w:rsidP="009777B7">
      <w:pPr>
        <w:pStyle w:val="Titrearticle"/>
        <w:spacing w:before="120"/>
        <w:rPr>
          <w:b/>
          <w:i w:val="0"/>
        </w:rPr>
      </w:pPr>
      <w:r w:rsidRPr="00A3452E">
        <w:rPr>
          <w:b/>
          <w:i w:val="0"/>
        </w:rPr>
        <w:t>Оповестяване на използването на стандартизирания подход и на вътрешни модели за пазарния риск</w:t>
      </w:r>
    </w:p>
    <w:p w14:paraId="44CAFFD2" w14:textId="1216C2A8" w:rsidR="009777B7" w:rsidRPr="00A3452E" w:rsidRDefault="009777B7" w:rsidP="0046010F">
      <w:pPr>
        <w:pStyle w:val="NumPar1"/>
        <w:numPr>
          <w:ilvl w:val="0"/>
          <w:numId w:val="13"/>
        </w:numPr>
        <w:tabs>
          <w:tab w:val="clear" w:pos="850"/>
          <w:tab w:val="left" w:pos="567"/>
        </w:tabs>
        <w:ind w:left="0" w:firstLine="0"/>
      </w:pPr>
      <w:r w:rsidRPr="00A3452E">
        <w:t>Институциите оповестяват информацията, посочена в член 445 от Регламент (ЕС) № 575/2013, като използват образец EU MR1 от приложение XXIX към настоящия регламент и следват указанията в приложение XXX към настоящия регламент.</w:t>
      </w:r>
    </w:p>
    <w:p w14:paraId="3AC500D1" w14:textId="77777777" w:rsidR="009777B7" w:rsidRPr="00A3452E" w:rsidRDefault="009777B7" w:rsidP="0046010F">
      <w:pPr>
        <w:pStyle w:val="NumPar1"/>
        <w:numPr>
          <w:ilvl w:val="0"/>
          <w:numId w:val="13"/>
        </w:numPr>
        <w:tabs>
          <w:tab w:val="clear" w:pos="850"/>
          <w:tab w:val="left" w:pos="567"/>
        </w:tabs>
        <w:ind w:left="0" w:firstLine="0"/>
      </w:pPr>
      <w:r w:rsidRPr="00A3452E">
        <w:t>Институциите оповестяват информацията, посочена в членове 435, 438 и 455 от Регламент (ЕС) № 575/2013, както следва:</w:t>
      </w:r>
    </w:p>
    <w:p w14:paraId="32BD307D" w14:textId="67DE43BD" w:rsidR="009777B7" w:rsidRPr="00A3452E" w:rsidRDefault="001279E5" w:rsidP="001279E5">
      <w:pPr>
        <w:pStyle w:val="Point1"/>
      </w:pPr>
      <w:r>
        <w:t>а)</w:t>
      </w:r>
      <w:r w:rsidRPr="001279E5">
        <w:tab/>
      </w:r>
      <w:r w:rsidR="00CE62E1" w:rsidRPr="00A3452E">
        <w:t>информацията, посочена в член 435, параграф 1, букви а) — г) от Регламент (ЕС) № 575/2013, като използват таблица EU MRA от приложение XXIX към настоящия регламент и следват указанията в приложение XXX към настоящия регламент;</w:t>
      </w:r>
    </w:p>
    <w:p w14:paraId="1EF9E7BB" w14:textId="3D212763" w:rsidR="009777B7" w:rsidRPr="00A3452E" w:rsidRDefault="001279E5" w:rsidP="001279E5">
      <w:pPr>
        <w:pStyle w:val="Point1"/>
      </w:pPr>
      <w:r>
        <w:t>б)</w:t>
      </w:r>
      <w:r w:rsidRPr="001279E5">
        <w:tab/>
      </w:r>
      <w:r w:rsidR="00CE62E1" w:rsidRPr="00A3452E">
        <w:t>информацията, посочена в член 455, букви а), б), в) и е) от Регламент (ЕС) № 575/2013, като използват таблица EU MRB от приложение XXIX към настоящия регламент и следват указанията в приложение XXX към настоящия регламент;</w:t>
      </w:r>
    </w:p>
    <w:p w14:paraId="743BACE0" w14:textId="22689E1D" w:rsidR="009777B7" w:rsidRPr="00A3452E" w:rsidRDefault="001279E5" w:rsidP="001279E5">
      <w:pPr>
        <w:pStyle w:val="Point1"/>
      </w:pPr>
      <w:r>
        <w:t>в)</w:t>
      </w:r>
      <w:r w:rsidRPr="001279E5">
        <w:tab/>
      </w:r>
      <w:r w:rsidR="00CE62E1" w:rsidRPr="00A3452E">
        <w:t>информацията, посочена в член 455, буква д) от Регламент (ЕС) № 575/2013, като използват образец EU MR2-A от приложение XXIX към настоящия регламент и следват указанията в приложение XXX към настоящия регламент;</w:t>
      </w:r>
    </w:p>
    <w:p w14:paraId="3063F334" w14:textId="1CBF1885" w:rsidR="009777B7" w:rsidRPr="00A3452E" w:rsidRDefault="001279E5" w:rsidP="001279E5">
      <w:pPr>
        <w:pStyle w:val="Point1"/>
      </w:pPr>
      <w:r>
        <w:t>г)</w:t>
      </w:r>
      <w:r w:rsidRPr="001279E5">
        <w:tab/>
      </w:r>
      <w:r w:rsidR="00CE62E1" w:rsidRPr="00A3452E">
        <w:t>информацията за вътрешните модели за пазарен риск, посочена в член 438, буква з) от Регламент (ЕС) № 575/2013, като използват образец EU MR2-B от приложение XXIX към настоящия регламент и следват указанията в приложение XXX към настоящия регламент;</w:t>
      </w:r>
    </w:p>
    <w:p w14:paraId="0575E60A" w14:textId="5F9EB088" w:rsidR="009777B7" w:rsidRPr="00A3452E" w:rsidRDefault="001279E5" w:rsidP="001279E5">
      <w:pPr>
        <w:pStyle w:val="Point1"/>
      </w:pPr>
      <w:r>
        <w:lastRenderedPageBreak/>
        <w:t>д)</w:t>
      </w:r>
      <w:r w:rsidRPr="001279E5">
        <w:tab/>
      </w:r>
      <w:r w:rsidR="00CE62E1" w:rsidRPr="00A3452E">
        <w:t>информацията, посочена в член 455, буква г) от Регламент (ЕС) № 575/2013, като използват образец EU MR3 от приложение XXIX към настоящия регламент и следват указанията в приложение XXX към настоящия регламент;</w:t>
      </w:r>
    </w:p>
    <w:p w14:paraId="1706C070" w14:textId="754CA9B0" w:rsidR="009777B7" w:rsidRPr="00A3452E" w:rsidRDefault="001279E5" w:rsidP="001279E5">
      <w:pPr>
        <w:pStyle w:val="Point1"/>
      </w:pPr>
      <w:r>
        <w:t>е)</w:t>
      </w:r>
      <w:r w:rsidRPr="001279E5">
        <w:tab/>
      </w:r>
      <w:r w:rsidR="00CE62E1" w:rsidRPr="00A3452E">
        <w:t>информацията, посочена в член 455, буква ж) от Регламент (ЕС) № 575/2013, като използват образец EU MR4 от приложение XXIX към настоящия регламент и следват указанията в приложение XXX към настоящия регламент.</w:t>
      </w:r>
    </w:p>
    <w:p w14:paraId="79114201" w14:textId="28128507" w:rsidR="00F91209" w:rsidRPr="00A3452E" w:rsidRDefault="00F91209" w:rsidP="00F91209">
      <w:pPr>
        <w:pStyle w:val="Titrearticle"/>
      </w:pPr>
      <w:r w:rsidRPr="00A3452E">
        <w:t>Член 16</w:t>
      </w:r>
      <w:r w:rsidRPr="00A3452E">
        <w:fldChar w:fldCharType="begin"/>
      </w:r>
      <w:r w:rsidRPr="00A3452E">
        <w:instrText xml:space="preserve"> seq article </w:instrText>
      </w:r>
      <w:r w:rsidRPr="00A3452E">
        <w:fldChar w:fldCharType="end"/>
      </w:r>
    </w:p>
    <w:p w14:paraId="261E1ED8" w14:textId="77777777" w:rsidR="009777B7" w:rsidRPr="00A3452E" w:rsidRDefault="009777B7" w:rsidP="009777B7">
      <w:pPr>
        <w:pStyle w:val="Titrearticle"/>
        <w:spacing w:before="120"/>
        <w:rPr>
          <w:b/>
          <w:i w:val="0"/>
        </w:rPr>
      </w:pPr>
      <w:r w:rsidRPr="00A3452E">
        <w:rPr>
          <w:b/>
          <w:i w:val="0"/>
        </w:rPr>
        <w:t xml:space="preserve">Оповестяване на операционния риск </w:t>
      </w:r>
    </w:p>
    <w:p w14:paraId="6C920F52" w14:textId="563573EB" w:rsidR="009777B7" w:rsidRPr="00A3452E" w:rsidRDefault="009777B7" w:rsidP="009777B7">
      <w:r w:rsidRPr="00A3452E">
        <w:t>Институциите оповестяват информацията, посочена в член 435, член 438, буква г), член 446 и член 454 от Регламент (ЕС) № 575/2013, като използват таблица EU ORA и образец EU OR1 от приложение XXXI към настоящия регламент и следват указанията в приложение XXXII към настоящия регламент.</w:t>
      </w:r>
    </w:p>
    <w:p w14:paraId="3A62A83D" w14:textId="5BACE9F7" w:rsidR="000C60D7" w:rsidRPr="00A3452E" w:rsidRDefault="000C60D7" w:rsidP="000C60D7">
      <w:pPr>
        <w:pStyle w:val="Titrearticle"/>
      </w:pPr>
      <w:r w:rsidRPr="00A3452E">
        <w:t>Член 17</w:t>
      </w:r>
    </w:p>
    <w:p w14:paraId="75DCF1EA" w14:textId="77777777" w:rsidR="009777B7" w:rsidRPr="00A3452E" w:rsidRDefault="009777B7" w:rsidP="009777B7">
      <w:pPr>
        <w:pStyle w:val="Titrearticle"/>
        <w:spacing w:before="120"/>
        <w:rPr>
          <w:b/>
          <w:i w:val="0"/>
        </w:rPr>
      </w:pPr>
      <w:r w:rsidRPr="00A3452E">
        <w:rPr>
          <w:b/>
          <w:i w:val="0"/>
        </w:rPr>
        <w:t>Оповестяване на политиката за възнагражденията</w:t>
      </w:r>
    </w:p>
    <w:p w14:paraId="3839A255" w14:textId="7459AA9C" w:rsidR="009777B7" w:rsidRPr="00A3452E" w:rsidRDefault="009777B7" w:rsidP="009777B7">
      <w:pPr>
        <w:pStyle w:val="Titrearticle"/>
        <w:keepNext w:val="0"/>
        <w:tabs>
          <w:tab w:val="center" w:pos="4390"/>
        </w:tabs>
        <w:jc w:val="both"/>
        <w:rPr>
          <w:i w:val="0"/>
        </w:rPr>
      </w:pPr>
      <w:r w:rsidRPr="00A3452E">
        <w:rPr>
          <w:i w:val="0"/>
        </w:rPr>
        <w:t>Институциите оповестяват информацията, посочена в член 450 от Регламент (ЕС) № 575/2013, както следва:</w:t>
      </w:r>
    </w:p>
    <w:p w14:paraId="16156854" w14:textId="02D54925" w:rsidR="009777B7" w:rsidRPr="00A3452E" w:rsidRDefault="001279E5" w:rsidP="001279E5">
      <w:pPr>
        <w:pStyle w:val="Point1"/>
      </w:pPr>
      <w:r>
        <w:t>а)</w:t>
      </w:r>
      <w:r w:rsidRPr="001279E5">
        <w:tab/>
      </w:r>
      <w:r w:rsidR="00922950" w:rsidRPr="00A3452E">
        <w:t>информацията, посочена в член 450, параграф 1, букви а) — е), й) и к) и в член 450, параграф 2 от Регламент (ЕС) № 575/2013, като използват таблица EU REMA от приложение XXXIII към настоящия регламент и следват указанията в приложение XXXIV към настоящия регламент;</w:t>
      </w:r>
    </w:p>
    <w:p w14:paraId="4E502300" w14:textId="4AD91D25" w:rsidR="009777B7" w:rsidRPr="00A3452E" w:rsidRDefault="001279E5" w:rsidP="001279E5">
      <w:pPr>
        <w:pStyle w:val="Point1"/>
      </w:pPr>
      <w:r>
        <w:t>б)</w:t>
      </w:r>
      <w:r w:rsidRPr="001279E5">
        <w:tab/>
      </w:r>
      <w:r w:rsidR="00922950" w:rsidRPr="00A3452E">
        <w:t>информацията, посочена в член 450, параграф 1, буква з), подточки i) и ii) от Регламент (ЕС) № 575/2013, като използват образец EU REM1 от приложение XXXIII към настоящия регламент и следват указанията в приложение XXXIV към настоящия регламент;</w:t>
      </w:r>
    </w:p>
    <w:p w14:paraId="735B9196" w14:textId="5C40A1DD" w:rsidR="009777B7" w:rsidRPr="00A3452E" w:rsidRDefault="001279E5" w:rsidP="001279E5">
      <w:pPr>
        <w:pStyle w:val="Point1"/>
      </w:pPr>
      <w:r>
        <w:t>в)</w:t>
      </w:r>
      <w:r w:rsidRPr="001279E5">
        <w:tab/>
      </w:r>
      <w:r w:rsidR="00922950" w:rsidRPr="00A3452E">
        <w:t>информацията, посочена в член 450, параграф 1, буква з), подточки v), vi) и vii) от Регламент (ЕС) № 575/2013, като използват образец EU REM2 от приложение XXXIII към настоящия регламент и следват указанията в приложение XXXIV към настоящия регламент;</w:t>
      </w:r>
    </w:p>
    <w:p w14:paraId="1AED187D" w14:textId="13F649DE" w:rsidR="009777B7" w:rsidRPr="00A3452E" w:rsidRDefault="001279E5" w:rsidP="001279E5">
      <w:pPr>
        <w:pStyle w:val="Point1"/>
      </w:pPr>
      <w:r>
        <w:t>г)</w:t>
      </w:r>
      <w:r w:rsidRPr="001279E5">
        <w:tab/>
      </w:r>
      <w:r w:rsidR="00922950" w:rsidRPr="00A3452E">
        <w:t>информацията, посочена в член 450, параграф 1, буква з), подточки iii) и iv) от Регламент (ЕС) № 575/2013, като използват образец EU REM3 от приложение XXXIII към настоящия регламент и следват указанията в приложение XXXIV към настоящия регламент;</w:t>
      </w:r>
    </w:p>
    <w:p w14:paraId="14D12398" w14:textId="44F00543" w:rsidR="009777B7" w:rsidRPr="00A3452E" w:rsidRDefault="001279E5" w:rsidP="001279E5">
      <w:pPr>
        <w:pStyle w:val="Point1"/>
      </w:pPr>
      <w:r>
        <w:t>д)</w:t>
      </w:r>
      <w:r w:rsidRPr="001279E5">
        <w:tab/>
      </w:r>
      <w:r w:rsidR="009B4728" w:rsidRPr="00A3452E">
        <w:t>информацията, посочена в член 450, параграф 1, букви ж) и и) от Регламент (ЕС) № 575/2013, като използват образци EU REM4 и EU REM5 от приложение XXXIII към настоящия регламент и следват указанията в приложение XXXIV към настоящия регламент.</w:t>
      </w:r>
    </w:p>
    <w:p w14:paraId="364F29D4" w14:textId="57B2B161" w:rsidR="000C60D7" w:rsidRPr="00A3452E" w:rsidRDefault="000C60D7" w:rsidP="006A7F00">
      <w:pPr>
        <w:pStyle w:val="Titrearticle"/>
        <w:ind w:left="567" w:hanging="567"/>
      </w:pPr>
      <w:r w:rsidRPr="00A3452E">
        <w:lastRenderedPageBreak/>
        <w:t>Член 18</w:t>
      </w:r>
    </w:p>
    <w:p w14:paraId="160478EB" w14:textId="77777777" w:rsidR="00701631" w:rsidRPr="00A3452E" w:rsidRDefault="00701631" w:rsidP="00701631">
      <w:pPr>
        <w:pStyle w:val="Titrearticle"/>
        <w:spacing w:before="120"/>
        <w:rPr>
          <w:b/>
          <w:i w:val="0"/>
        </w:rPr>
      </w:pPr>
      <w:r w:rsidRPr="00A3452E">
        <w:rPr>
          <w:b/>
          <w:i w:val="0"/>
        </w:rPr>
        <w:t xml:space="preserve">Оповестяване на обременените с тежести и свободните от тежести активи </w:t>
      </w:r>
    </w:p>
    <w:p w14:paraId="449F8D1D" w14:textId="124DE705" w:rsidR="00701631" w:rsidRPr="00A3452E" w:rsidRDefault="00701631" w:rsidP="006A7F00">
      <w:pPr>
        <w:spacing w:after="360"/>
      </w:pPr>
      <w:r w:rsidRPr="00A3452E">
        <w:t>Институциите оповестяват информацията, посочена в член 443 от Регламент (ЕС) № 575/2013, като използват образци EU AE1, EU AE2 и EU AE3, както и таблица EU AE4 от приложение XXXV към настоящия регламент, следвайки указанията в приложение XXXVI към настоящия регламент.</w:t>
      </w:r>
    </w:p>
    <w:p w14:paraId="14363D9F" w14:textId="77777777" w:rsidR="00701631" w:rsidRPr="00A3452E" w:rsidRDefault="00701631" w:rsidP="00701631">
      <w:pPr>
        <w:pStyle w:val="ChapterTitle"/>
      </w:pPr>
    </w:p>
    <w:p w14:paraId="7FE6B268" w14:textId="77777777" w:rsidR="000C60D7" w:rsidRPr="00A3452E" w:rsidRDefault="000C60D7" w:rsidP="000C60D7">
      <w:pPr>
        <w:pStyle w:val="Titrearticle"/>
      </w:pPr>
      <w:r w:rsidRPr="00A3452E">
        <w:t>Член 19</w:t>
      </w:r>
    </w:p>
    <w:p w14:paraId="3E8EF4AC" w14:textId="77777777" w:rsidR="00701631" w:rsidRPr="00A3452E" w:rsidRDefault="00701631" w:rsidP="00701631">
      <w:pPr>
        <w:pStyle w:val="Titrearticle"/>
        <w:spacing w:before="120"/>
        <w:rPr>
          <w:b/>
          <w:i w:val="0"/>
        </w:rPr>
      </w:pPr>
      <w:r w:rsidRPr="00A3452E">
        <w:rPr>
          <w:b/>
          <w:i w:val="0"/>
        </w:rPr>
        <w:t>Общи разпоредби</w:t>
      </w:r>
    </w:p>
    <w:p w14:paraId="0D4D4A8C" w14:textId="665CD0FC" w:rsidR="00701631" w:rsidRPr="00A3452E" w:rsidRDefault="008A6A1E" w:rsidP="0046010F">
      <w:pPr>
        <w:pStyle w:val="NumPar1"/>
        <w:numPr>
          <w:ilvl w:val="0"/>
          <w:numId w:val="14"/>
        </w:numPr>
        <w:tabs>
          <w:tab w:val="clear" w:pos="850"/>
          <w:tab w:val="left" w:pos="567"/>
        </w:tabs>
        <w:ind w:left="0" w:firstLine="0"/>
      </w:pPr>
      <w:r w:rsidRPr="00A3452E">
        <w:t>Подредбата на редовете или колоните не се променя, когато по силата на член 432 от Регламент (ЕС) № 575/2013 институцията пропуска едно или повече оповестявания.</w:t>
      </w:r>
    </w:p>
    <w:p w14:paraId="69318B17" w14:textId="6616639A" w:rsidR="00701631" w:rsidRPr="00A3452E" w:rsidRDefault="00701631" w:rsidP="0046010F">
      <w:pPr>
        <w:pStyle w:val="NumPar1"/>
        <w:numPr>
          <w:ilvl w:val="0"/>
          <w:numId w:val="14"/>
        </w:numPr>
        <w:tabs>
          <w:tab w:val="clear" w:pos="850"/>
          <w:tab w:val="left" w:pos="567"/>
        </w:tabs>
        <w:ind w:left="0" w:firstLine="0"/>
      </w:pPr>
      <w:r w:rsidRPr="00A3452E">
        <w:t>В поясненията към съответния образец или таблица институциите ясно посочват кои редове или колони не са попълнени и излагат причината за това неоповестяване.</w:t>
      </w:r>
    </w:p>
    <w:p w14:paraId="2CB1CDF8" w14:textId="03F7F293" w:rsidR="00701631" w:rsidRPr="00A3452E" w:rsidRDefault="00701631" w:rsidP="0046010F">
      <w:pPr>
        <w:pStyle w:val="NumPar1"/>
        <w:numPr>
          <w:ilvl w:val="0"/>
          <w:numId w:val="14"/>
        </w:numPr>
        <w:tabs>
          <w:tab w:val="clear" w:pos="850"/>
          <w:tab w:val="left" w:pos="567"/>
        </w:tabs>
        <w:ind w:left="0" w:firstLine="0"/>
      </w:pPr>
      <w:r w:rsidRPr="00A3452E">
        <w:t>Информацията, изисквана по силата на член 431 от Регламент (ЕС) № 575/2013, трябва да е ясна и изчерпателна и да позволява на нейните ползватели да разбират количествените оповестявания; тя се поставя до образците, за които се отнася.</w:t>
      </w:r>
    </w:p>
    <w:p w14:paraId="3C376A0D" w14:textId="77777777" w:rsidR="00701631" w:rsidRPr="00A3452E" w:rsidRDefault="008A6A1E" w:rsidP="0046010F">
      <w:pPr>
        <w:pStyle w:val="NumPar1"/>
        <w:numPr>
          <w:ilvl w:val="0"/>
          <w:numId w:val="14"/>
        </w:numPr>
        <w:tabs>
          <w:tab w:val="clear" w:pos="850"/>
          <w:tab w:val="left" w:pos="567"/>
        </w:tabs>
        <w:ind w:left="0" w:firstLine="0"/>
      </w:pPr>
      <w:r w:rsidRPr="00A3452E">
        <w:t>Числовите стойности се представят, както следва:</w:t>
      </w:r>
    </w:p>
    <w:p w14:paraId="34EC4F16" w14:textId="31D7A987" w:rsidR="00701631" w:rsidRPr="00A3452E" w:rsidRDefault="001279E5" w:rsidP="001279E5">
      <w:pPr>
        <w:pStyle w:val="Point1"/>
      </w:pPr>
      <w:r>
        <w:t>а)</w:t>
      </w:r>
      <w:r w:rsidRPr="001279E5">
        <w:tab/>
      </w:r>
      <w:r w:rsidR="006A7F00" w:rsidRPr="00A3452E">
        <w:t>количествените парични данни се оповестяват с минимална точност до милиони единици;</w:t>
      </w:r>
    </w:p>
    <w:p w14:paraId="68A2DB14" w14:textId="4DD3E0D6" w:rsidR="00701631" w:rsidRPr="00A3452E" w:rsidRDefault="001279E5" w:rsidP="001279E5">
      <w:pPr>
        <w:pStyle w:val="Point1"/>
      </w:pPr>
      <w:r>
        <w:t>б)</w:t>
      </w:r>
      <w:r w:rsidRPr="001279E5">
        <w:tab/>
      </w:r>
      <w:r w:rsidR="006A7F00" w:rsidRPr="00A3452E">
        <w:t>количествените данни от тип „процент“ се оповестяват за единица с минимална точност до четири десетични знака.</w:t>
      </w:r>
    </w:p>
    <w:p w14:paraId="4ABB712C" w14:textId="23EAACA3" w:rsidR="00701631" w:rsidRPr="00A3452E" w:rsidRDefault="007C003F" w:rsidP="0046010F">
      <w:pPr>
        <w:pStyle w:val="NumPar1"/>
        <w:numPr>
          <w:ilvl w:val="0"/>
          <w:numId w:val="14"/>
        </w:numPr>
        <w:tabs>
          <w:tab w:val="clear" w:pos="850"/>
          <w:tab w:val="left" w:pos="567"/>
        </w:tabs>
        <w:ind w:left="0" w:firstLine="0"/>
      </w:pPr>
      <w:r w:rsidRPr="00A3452E">
        <w:t>В допълнение към информацията, оповестявана по силата на настоящия регламент, институциите предоставят и следната информация:</w:t>
      </w:r>
    </w:p>
    <w:p w14:paraId="13F175D6" w14:textId="185D3F6C" w:rsidR="00701631" w:rsidRPr="00A3452E" w:rsidRDefault="001279E5" w:rsidP="001279E5">
      <w:pPr>
        <w:pStyle w:val="Point1"/>
      </w:pPr>
      <w:r>
        <w:t>а)</w:t>
      </w:r>
      <w:r w:rsidRPr="001279E5">
        <w:tab/>
      </w:r>
      <w:r w:rsidR="00701631" w:rsidRPr="00A3452E">
        <w:t xml:space="preserve">референтната дата на оповестяване и съответния референтен период; </w:t>
      </w:r>
    </w:p>
    <w:p w14:paraId="314245D8" w14:textId="378FACEE" w:rsidR="00701631" w:rsidRPr="00A3452E" w:rsidRDefault="001279E5" w:rsidP="001279E5">
      <w:pPr>
        <w:pStyle w:val="Point1"/>
      </w:pPr>
      <w:r>
        <w:t>б)</w:t>
      </w:r>
      <w:r w:rsidRPr="001279E5">
        <w:tab/>
      </w:r>
      <w:r w:rsidR="00701631" w:rsidRPr="00A3452E">
        <w:t xml:space="preserve">валутата, в която се оповестяват данните; </w:t>
      </w:r>
    </w:p>
    <w:p w14:paraId="567E44A9" w14:textId="31CD41AB" w:rsidR="00701631" w:rsidRPr="00A3452E" w:rsidRDefault="001279E5" w:rsidP="001279E5">
      <w:pPr>
        <w:pStyle w:val="Point1"/>
      </w:pPr>
      <w:r>
        <w:t>в)</w:t>
      </w:r>
      <w:r w:rsidRPr="001279E5">
        <w:tab/>
      </w:r>
      <w:r w:rsidR="00701631" w:rsidRPr="00A3452E">
        <w:t>наименованието на оповестяващата институция, а когато е приложимо — и нейния идентификационен код на правен субект (ИКПС);</w:t>
      </w:r>
    </w:p>
    <w:p w14:paraId="451CF564" w14:textId="4DCE497D" w:rsidR="00701631" w:rsidRPr="00A3452E" w:rsidRDefault="001279E5" w:rsidP="001279E5">
      <w:pPr>
        <w:pStyle w:val="Point1"/>
      </w:pPr>
      <w:r>
        <w:t>г)</w:t>
      </w:r>
      <w:r w:rsidRPr="001279E5">
        <w:tab/>
      </w:r>
      <w:r w:rsidR="00701631" w:rsidRPr="00A3452E">
        <w:t>когато е приложимо — използвания счетоводен стандарт;</w:t>
      </w:r>
    </w:p>
    <w:p w14:paraId="02FEC9AF" w14:textId="031BF1CD" w:rsidR="00701631" w:rsidRPr="00A3452E" w:rsidRDefault="001279E5" w:rsidP="001279E5">
      <w:pPr>
        <w:pStyle w:val="Point1"/>
      </w:pPr>
      <w:r>
        <w:t>д)</w:t>
      </w:r>
      <w:r w:rsidRPr="001279E5">
        <w:tab/>
      </w:r>
      <w:r w:rsidR="00701631" w:rsidRPr="00A3452E">
        <w:t>когато е приложимо — обхвата на консолидация.</w:t>
      </w:r>
    </w:p>
    <w:p w14:paraId="2B58C852" w14:textId="35679235" w:rsidR="00701631" w:rsidRPr="00A3452E" w:rsidRDefault="00701631" w:rsidP="00701631">
      <w:pPr>
        <w:pStyle w:val="ChapterTitle"/>
      </w:pPr>
    </w:p>
    <w:p w14:paraId="0809B9F0" w14:textId="77777777" w:rsidR="00480310" w:rsidRPr="00A3452E" w:rsidRDefault="00480310" w:rsidP="00480310">
      <w:pPr>
        <w:pStyle w:val="Titrearticle"/>
      </w:pPr>
      <w:r w:rsidRPr="00A3452E">
        <w:t>Член 20</w:t>
      </w:r>
    </w:p>
    <w:p w14:paraId="3C483BD6" w14:textId="77777777" w:rsidR="00701631" w:rsidRPr="00A3452E" w:rsidRDefault="00701631" w:rsidP="00701631">
      <w:pPr>
        <w:pStyle w:val="Titrearticle"/>
        <w:spacing w:before="120"/>
        <w:rPr>
          <w:b/>
          <w:i w:val="0"/>
        </w:rPr>
      </w:pPr>
      <w:r w:rsidRPr="00A3452E">
        <w:rPr>
          <w:b/>
          <w:i w:val="0"/>
        </w:rPr>
        <w:t>Отмяна</w:t>
      </w:r>
    </w:p>
    <w:p w14:paraId="3A2C5124" w14:textId="5C677A63" w:rsidR="00701631" w:rsidRPr="00A3452E" w:rsidRDefault="00701631" w:rsidP="00CE5120">
      <w:r w:rsidRPr="00A3452E">
        <w:t>Регламент за изпълнение (ЕС) № 1423/2013, Делегиран регламент (ЕС) 2015/1555, Регламент за изпълнение (ЕС) 2016/200 и Делегиран регламент (ЕС) 2017/2295 се отменят.</w:t>
      </w:r>
    </w:p>
    <w:p w14:paraId="5131A818" w14:textId="1E314DFE" w:rsidR="00701631" w:rsidRPr="00A3452E" w:rsidRDefault="00701631" w:rsidP="00CE5120"/>
    <w:p w14:paraId="790A8EA3" w14:textId="08CF0E19" w:rsidR="00480310" w:rsidRPr="00A3452E" w:rsidRDefault="00480310" w:rsidP="00480310">
      <w:pPr>
        <w:pStyle w:val="Titrearticle"/>
        <w:spacing w:before="120"/>
      </w:pPr>
      <w:r w:rsidRPr="00A3452E">
        <w:lastRenderedPageBreak/>
        <w:t>Член 21</w:t>
      </w:r>
    </w:p>
    <w:p w14:paraId="250EEEF7" w14:textId="77777777" w:rsidR="003A35E9" w:rsidRPr="00A3452E" w:rsidRDefault="003A35E9" w:rsidP="003A35E9">
      <w:pPr>
        <w:pStyle w:val="Titrearticle"/>
        <w:spacing w:before="120"/>
        <w:rPr>
          <w:b/>
          <w:i w:val="0"/>
        </w:rPr>
      </w:pPr>
      <w:r w:rsidRPr="00A3452E">
        <w:rPr>
          <w:b/>
          <w:i w:val="0"/>
        </w:rPr>
        <w:t>Влизане в сила</w:t>
      </w:r>
    </w:p>
    <w:p w14:paraId="48F23500" w14:textId="77777777" w:rsidR="0004170D" w:rsidRPr="00A3452E" w:rsidRDefault="0004170D" w:rsidP="009675DD">
      <w:r w:rsidRPr="00A3452E">
        <w:t xml:space="preserve">Настоящият регламент влиза в сила на двадесетия ден след деня на публикуването му в </w:t>
      </w:r>
      <w:r w:rsidRPr="00A3452E">
        <w:rPr>
          <w:i/>
        </w:rPr>
        <w:t>Официален вестник на Европейския съюз</w:t>
      </w:r>
      <w:r w:rsidRPr="00A3452E">
        <w:t>.</w:t>
      </w:r>
    </w:p>
    <w:p w14:paraId="0EE80E7B" w14:textId="77777777" w:rsidR="00FF364B" w:rsidRPr="00A3452E" w:rsidRDefault="00FF364B" w:rsidP="00FF364B">
      <w:r w:rsidRPr="00A3452E">
        <w:t>Той се прилага от 28 юни 2021 г.</w:t>
      </w:r>
    </w:p>
    <w:p w14:paraId="7780311D" w14:textId="77777777" w:rsidR="0004170D" w:rsidRPr="00A3452E" w:rsidRDefault="0004170D" w:rsidP="009675DD">
      <w:pPr>
        <w:pStyle w:val="Applicationdirecte"/>
      </w:pPr>
      <w:r w:rsidRPr="00A3452E">
        <w:t>Настоящият регламент е задължителен в своята цялост и се прилага пряко във всички държави членки.</w:t>
      </w:r>
    </w:p>
    <w:p w14:paraId="0BE91ABA" w14:textId="39128D50" w:rsidR="0004170D" w:rsidRPr="00A3452E" w:rsidRDefault="00A3452E" w:rsidP="00A3452E">
      <w:pPr>
        <w:pStyle w:val="Fait"/>
      </w:pPr>
      <w:r w:rsidRPr="00A3452E">
        <w:t xml:space="preserve">Съставено в Брюксел на </w:t>
      </w:r>
      <w:r w:rsidRPr="00A3452E">
        <w:rPr>
          <w:rStyle w:val="Marker"/>
        </w:rPr>
        <w:t>[…]</w:t>
      </w:r>
      <w:r w:rsidRPr="00A3452E">
        <w:t xml:space="preserve"> година.</w:t>
      </w:r>
    </w:p>
    <w:p w14:paraId="08B30859" w14:textId="77777777" w:rsidR="0004170D" w:rsidRPr="00A3452E" w:rsidRDefault="0004170D" w:rsidP="0004170D">
      <w:pPr>
        <w:pStyle w:val="Institutionquisigne"/>
      </w:pPr>
      <w:r w:rsidRPr="00A3452E">
        <w:tab/>
        <w:t>За Комисията</w:t>
      </w:r>
    </w:p>
    <w:p w14:paraId="53FCF827" w14:textId="77777777" w:rsidR="00553957" w:rsidRPr="00A3452E" w:rsidRDefault="0004170D" w:rsidP="0004170D">
      <w:pPr>
        <w:pStyle w:val="Personnequisigne"/>
      </w:pPr>
      <w:r w:rsidRPr="00A3452E">
        <w:tab/>
        <w:t>Председател</w:t>
      </w:r>
    </w:p>
    <w:p w14:paraId="5753E957" w14:textId="4CF92A3E" w:rsidR="0004170D" w:rsidRPr="00A3452E" w:rsidRDefault="00553957" w:rsidP="0004170D">
      <w:pPr>
        <w:pStyle w:val="Personnequisigne"/>
      </w:pPr>
      <w:r w:rsidRPr="00A3452E">
        <w:tab/>
        <w:t xml:space="preserve">Ursula von der Leyen </w:t>
      </w:r>
      <w:r w:rsidRPr="00A3452E">
        <w:br/>
      </w:r>
      <w:r w:rsidRPr="00A3452E">
        <w:tab/>
        <w:t xml:space="preserve"> </w:t>
      </w:r>
      <w:r w:rsidRPr="00A3452E">
        <w:br/>
      </w:r>
      <w:r w:rsidRPr="00A3452E">
        <w:tab/>
        <w:t xml:space="preserve"> </w:t>
      </w:r>
      <w:r w:rsidRPr="00A3452E">
        <w:br/>
        <w:t xml:space="preserve"> </w:t>
      </w:r>
      <w:r w:rsidRPr="00A3452E">
        <w:br/>
      </w:r>
      <w:r w:rsidRPr="00A3452E">
        <w:tab/>
      </w:r>
    </w:p>
    <w:sectPr w:rsidR="0004170D" w:rsidRPr="00A3452E" w:rsidSect="00ED78DE">
      <w:footerReference w:type="default" r:id="rId10"/>
      <w:footerReference w:type="first" r:id="rId11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439D9" w14:textId="77777777" w:rsidR="00D642C6" w:rsidRDefault="00D642C6" w:rsidP="0004170D">
      <w:pPr>
        <w:spacing w:before="0" w:after="0"/>
      </w:pPr>
      <w:r>
        <w:separator/>
      </w:r>
    </w:p>
  </w:endnote>
  <w:endnote w:type="continuationSeparator" w:id="0">
    <w:p w14:paraId="134D70AD" w14:textId="77777777" w:rsidR="00D642C6" w:rsidRDefault="00D642C6" w:rsidP="0004170D">
      <w:pPr>
        <w:spacing w:before="0" w:after="0"/>
      </w:pPr>
      <w:r>
        <w:continuationSeparator/>
      </w:r>
    </w:p>
  </w:endnote>
  <w:endnote w:type="continuationNotice" w:id="1">
    <w:p w14:paraId="1724D46A" w14:textId="77777777" w:rsidR="00D642C6" w:rsidRDefault="00D642C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8E890" w14:textId="48BC7C00" w:rsidR="00A3452E" w:rsidRPr="00ED78DE" w:rsidRDefault="00ED78DE" w:rsidP="00ED78DE">
    <w:pPr>
      <w:pStyle w:val="Footer"/>
      <w:rPr>
        <w:rFonts w:ascii="Arial" w:hAnsi="Arial" w:cs="Arial"/>
        <w:b/>
        <w:sz w:val="48"/>
      </w:rPr>
    </w:pPr>
    <w:r w:rsidRPr="00ED78DE">
      <w:rPr>
        <w:rFonts w:ascii="Arial" w:hAnsi="Arial" w:cs="Arial"/>
        <w:b/>
        <w:sz w:val="48"/>
      </w:rPr>
      <w:t>BG</w:t>
    </w:r>
    <w:r w:rsidRPr="00ED78DE">
      <w:rPr>
        <w:rFonts w:ascii="Arial" w:hAnsi="Arial" w:cs="Arial"/>
        <w:b/>
        <w:sz w:val="48"/>
      </w:rPr>
      <w:tab/>
    </w:r>
    <w:r w:rsidRPr="00ED78DE">
      <w:rPr>
        <w:rFonts w:ascii="Arial" w:hAnsi="Arial" w:cs="Arial"/>
        <w:b/>
        <w:sz w:val="48"/>
      </w:rPr>
      <w:tab/>
    </w:r>
    <w:r w:rsidRPr="00ED78DE">
      <w:tab/>
    </w:r>
    <w:r w:rsidRPr="00ED78DE">
      <w:rPr>
        <w:rFonts w:ascii="Arial" w:hAnsi="Arial" w:cs="Arial"/>
        <w:b/>
        <w:sz w:val="48"/>
      </w:rPr>
      <w:t>BG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77D05" w14:textId="5D1CA498" w:rsidR="00ED78DE" w:rsidRPr="00ED78DE" w:rsidRDefault="00ED78DE" w:rsidP="00ED78DE">
    <w:pPr>
      <w:pStyle w:val="Footer"/>
      <w:rPr>
        <w:rFonts w:ascii="Arial" w:hAnsi="Arial" w:cs="Arial"/>
        <w:b/>
        <w:sz w:val="48"/>
      </w:rPr>
    </w:pPr>
    <w:r w:rsidRPr="00ED78DE">
      <w:rPr>
        <w:rFonts w:ascii="Arial" w:hAnsi="Arial" w:cs="Arial"/>
        <w:b/>
        <w:sz w:val="48"/>
      </w:rPr>
      <w:t>BG</w:t>
    </w:r>
    <w:r w:rsidRPr="00ED78DE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8B42BB">
      <w:rPr>
        <w:noProof/>
      </w:rPr>
      <w:t>1</w:t>
    </w:r>
    <w:r>
      <w:fldChar w:fldCharType="end"/>
    </w:r>
    <w:r>
      <w:tab/>
    </w:r>
    <w:r w:rsidRPr="00ED78DE">
      <w:tab/>
    </w:r>
    <w:r w:rsidRPr="00ED78DE">
      <w:rPr>
        <w:rFonts w:ascii="Arial" w:hAnsi="Arial" w:cs="Arial"/>
        <w:b/>
        <w:sz w:val="48"/>
      </w:rPr>
      <w:t>BG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29554" w14:textId="77777777" w:rsidR="00ED78DE" w:rsidRPr="00ED78DE" w:rsidRDefault="00ED78DE" w:rsidP="00ED78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2F737" w14:textId="77777777" w:rsidR="00D642C6" w:rsidRDefault="00D642C6" w:rsidP="0004170D">
      <w:pPr>
        <w:spacing w:before="0" w:after="0"/>
      </w:pPr>
      <w:r>
        <w:separator/>
      </w:r>
    </w:p>
  </w:footnote>
  <w:footnote w:type="continuationSeparator" w:id="0">
    <w:p w14:paraId="749DF679" w14:textId="77777777" w:rsidR="00D642C6" w:rsidRDefault="00D642C6" w:rsidP="0004170D">
      <w:pPr>
        <w:spacing w:before="0" w:after="0"/>
      </w:pPr>
      <w:r>
        <w:continuationSeparator/>
      </w:r>
    </w:p>
  </w:footnote>
  <w:footnote w:type="continuationNotice" w:id="1">
    <w:p w14:paraId="4A2CD802" w14:textId="77777777" w:rsidR="00D642C6" w:rsidRDefault="00D642C6">
      <w:pPr>
        <w:spacing w:before="0" w:after="0"/>
      </w:pPr>
    </w:p>
  </w:footnote>
  <w:footnote w:id="2">
    <w:p w14:paraId="342936E7" w14:textId="77777777" w:rsidR="00D642C6" w:rsidRPr="005823FE" w:rsidRDefault="00D642C6" w:rsidP="00195285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OB L 176, 27.6.2013 г., стр. 1.</w:t>
      </w:r>
    </w:p>
  </w:footnote>
  <w:footnote w:id="3">
    <w:p w14:paraId="0882B9E0" w14:textId="0727DECC" w:rsidR="00D642C6" w:rsidRPr="003460F1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 xml:space="preserve">Базелски комитет по банков надзор на Банката за международни разплащания, Изисквания за оповестяване (DIS), декември 2019 г. </w:t>
      </w:r>
    </w:p>
  </w:footnote>
  <w:footnote w:id="4">
    <w:p w14:paraId="13EE838B" w14:textId="394F43A6" w:rsidR="00D642C6" w:rsidRPr="00A72EF0" w:rsidRDefault="004328FB" w:rsidP="00A72EF0">
      <w:pPr>
        <w:pStyle w:val="FootnoteText"/>
        <w:ind w:left="567" w:hanging="567"/>
        <w:rPr>
          <w:rStyle w:val="FootnoteReference"/>
          <w:vertAlign w:val="baseline"/>
        </w:rPr>
      </w:pPr>
      <w:r>
        <w:rPr>
          <w:rStyle w:val="FootnoteReference"/>
        </w:rPr>
        <w:footnoteRef/>
      </w:r>
      <w:r>
        <w:tab/>
        <w:t>Регламент (ЕС) № 575/2013 на Европейския парламент и на Съвета от 26 юни 2013 г. относно пруденциалните изисквания за кредитните институции и инвестиционните посредници и за изменение на Регламент (ЕС) № 648/2012 (</w:t>
      </w:r>
      <w:hyperlink r:id="rId1" w:history="1">
        <w:r>
          <w:rPr>
            <w:rStyle w:val="Hyperlink"/>
          </w:rPr>
          <w:t>ОВ L 176, 27.6.2013 г., стр. 1</w:t>
        </w:r>
      </w:hyperlink>
      <w:r>
        <w:t>).</w:t>
      </w:r>
    </w:p>
  </w:footnote>
  <w:footnote w:id="5">
    <w:p w14:paraId="40392A66" w14:textId="77777777" w:rsidR="00D642C6" w:rsidRPr="00587191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Регламент за изпълнение (ЕС) № 1423/2013 на Комисията от 20 декември 2013 г. за определяне, в съответствие с Регламент (ЕС) № 575/2013 на Европейския парламент и на Съвета, на техническите стандарти за изпълнение по отношение на изискванията към институциите във връзка с оповестяването на собствените средства (ОВ L 355, 31.12.2013 г., стр. 60).</w:t>
      </w:r>
    </w:p>
  </w:footnote>
  <w:footnote w:id="6">
    <w:p w14:paraId="6C1C6468" w14:textId="77777777" w:rsidR="00D642C6" w:rsidRPr="005823FE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Делегиран регламент (ЕС) 2015/1555 на Комисията от 28 май 2015 г. за допълване на Регламент (ЕС) № 575/2013 на Европейския парламент и на Съвета по отношение на регулаторните технически стандарти за оповестяването на информация, свързана със спазването от страна на институциите на изискването за поддържане на антицикличен капиталов буфер в съответствие с член 440 (ОВ L 244, 19.9.2015 г., стр. 1).</w:t>
      </w:r>
    </w:p>
  </w:footnote>
  <w:footnote w:id="7">
    <w:p w14:paraId="1844C7BE" w14:textId="77777777" w:rsidR="00D642C6" w:rsidRPr="005823FE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Регламент за изпълнение (ЕС) 2016/200 на Комисията от 15 февруари 2016 г. за определяне, в съответствие с Регламент (ЕС) № 575/2013 на Европейския парламент и на Съвета, на техническите стандарти за изпълнение по отношение на изискванията към институциите във връзка с оповестяването на отношението на ливъридж (ОВ L 39, 16.2.2016 г., стр. 5).</w:t>
      </w:r>
    </w:p>
  </w:footnote>
  <w:footnote w:id="8">
    <w:p w14:paraId="21AF9579" w14:textId="77777777" w:rsidR="00D642C6" w:rsidRPr="005823FE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Делегиран регламент (ЕС) 2017/2295 на Комисията от 4 септември 2017 г. за допълване на Регламент (ЕС) № 575/2013 на Европейския парламент и на Съвета по отношение на регулаторните технически стандарти за оповестяването на обременени с тежести и свободни от тежести активи (OB L 329, 13.12.2017 г., стр. 6).</w:t>
      </w:r>
    </w:p>
  </w:footnote>
  <w:footnote w:id="9">
    <w:p w14:paraId="68060770" w14:textId="1ABE36E0" w:rsidR="00D642C6" w:rsidRPr="00A72EF0" w:rsidRDefault="00D642C6" w:rsidP="00967C75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Насоки на Европейския банков орган от 17 декември 2018 г. за оповестяването на необслужваните и преструктурираните експозиции (EBA/GL/2018/10).</w:t>
      </w:r>
    </w:p>
  </w:footnote>
  <w:footnote w:id="10">
    <w:p w14:paraId="4A5854A4" w14:textId="5C50A76E" w:rsidR="00D642C6" w:rsidRPr="00587191" w:rsidRDefault="00D642C6" w:rsidP="00195285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Регламент (ЕС) 2017/2401 на Европейския парламент и на Съвета от 12 декември 2017 г. за изменение на Регламент (ЕС) № 575/2013 относно пруденциалните изисквания за кредитните институции и инвестиционните посредници (ОВ L 347, 28.12.2017 г., стр. 1)</w:t>
      </w:r>
    </w:p>
  </w:footnote>
  <w:footnote w:id="11">
    <w:p w14:paraId="39B3E235" w14:textId="2597E55D" w:rsidR="00D642C6" w:rsidRPr="00587191" w:rsidRDefault="00D642C6" w:rsidP="00195285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</w:r>
      <w:r>
        <w:rPr>
          <w:shd w:val="clear" w:color="auto" w:fill="FFFFFF"/>
        </w:rPr>
        <w:t>Регламент (ЕС) 2017/2402 на Европейския парламент и на Съвета от 12 декември 2017 г. за определяне на обща рамка за секюритизациите и за създаване на специфична рамка за опростени, прозрачни и стандартизирани секюритизации, и за изменение на директиви 2009/65/ЕО, 2009/138/ЕО и 2011/61/ЕС, и регламенти (ЕО) № 1060/2009 и (ЕС) № 648/2012 (</w:t>
      </w:r>
      <w:r>
        <w:t>ОВ L 347, 28.12. 2017 г., стр. 35</w:t>
      </w:r>
      <w:r>
        <w:rPr>
          <w:shd w:val="clear" w:color="auto" w:fill="FFFFFF"/>
        </w:rPr>
        <w:t>).</w:t>
      </w:r>
    </w:p>
  </w:footnote>
  <w:footnote w:id="12">
    <w:p w14:paraId="44F9E1CC" w14:textId="0E4BE9E6" w:rsidR="00D642C6" w:rsidRPr="00587191" w:rsidRDefault="00D642C6" w:rsidP="00195285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Регламент (ЕС) № 1093/2010 на Европейския парламент и на Съвета от 24 ноември 2010 г. за създаване на Европейски надзорен орган (Европейски банков орган), за изменение на Решение № 716/2009/ЕО и за отмяна на Решение 2009/78/ЕО на Комисията (ОВ L 331, 15.12.2010 г., стр. 12).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DB98189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A81A8D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8878EBD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61AF8D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B5823E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A118AF1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A06CD6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63FAD0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0227369"/>
    <w:multiLevelType w:val="hybridMultilevel"/>
    <w:tmpl w:val="2026DC68"/>
    <w:lvl w:ilvl="0" w:tplc="1890AE56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359" w:hanging="360"/>
      </w:pPr>
    </w:lvl>
    <w:lvl w:ilvl="2" w:tplc="0409001B" w:tentative="1">
      <w:start w:val="1"/>
      <w:numFmt w:val="lowerRoman"/>
      <w:lvlText w:val="%3."/>
      <w:lvlJc w:val="right"/>
      <w:pPr>
        <w:ind w:left="1167" w:hanging="180"/>
      </w:pPr>
    </w:lvl>
    <w:lvl w:ilvl="3" w:tplc="0409000F" w:tentative="1">
      <w:start w:val="1"/>
      <w:numFmt w:val="decimal"/>
      <w:lvlText w:val="%4."/>
      <w:lvlJc w:val="left"/>
      <w:pPr>
        <w:ind w:left="1887" w:hanging="360"/>
      </w:pPr>
    </w:lvl>
    <w:lvl w:ilvl="4" w:tplc="04090019" w:tentative="1">
      <w:start w:val="1"/>
      <w:numFmt w:val="lowerLetter"/>
      <w:lvlText w:val="%5."/>
      <w:lvlJc w:val="left"/>
      <w:pPr>
        <w:ind w:left="2607" w:hanging="360"/>
      </w:pPr>
    </w:lvl>
    <w:lvl w:ilvl="5" w:tplc="0409001B" w:tentative="1">
      <w:start w:val="1"/>
      <w:numFmt w:val="lowerRoman"/>
      <w:lvlText w:val="%6."/>
      <w:lvlJc w:val="right"/>
      <w:pPr>
        <w:ind w:left="3327" w:hanging="180"/>
      </w:pPr>
    </w:lvl>
    <w:lvl w:ilvl="6" w:tplc="0409000F" w:tentative="1">
      <w:start w:val="1"/>
      <w:numFmt w:val="decimal"/>
      <w:lvlText w:val="%7."/>
      <w:lvlJc w:val="left"/>
      <w:pPr>
        <w:ind w:left="4047" w:hanging="360"/>
      </w:pPr>
    </w:lvl>
    <w:lvl w:ilvl="7" w:tplc="04090019" w:tentative="1">
      <w:start w:val="1"/>
      <w:numFmt w:val="lowerLetter"/>
      <w:lvlText w:val="%8."/>
      <w:lvlJc w:val="left"/>
      <w:pPr>
        <w:ind w:left="4767" w:hanging="360"/>
      </w:pPr>
    </w:lvl>
    <w:lvl w:ilvl="8" w:tplc="040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5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2"/>
  </w:num>
  <w:num w:numId="18">
    <w:abstractNumId w:val="21"/>
  </w:num>
  <w:num w:numId="19">
    <w:abstractNumId w:val="11"/>
  </w:num>
  <w:num w:numId="20">
    <w:abstractNumId w:val="13"/>
  </w:num>
  <w:num w:numId="21">
    <w:abstractNumId w:val="9"/>
  </w:num>
  <w:num w:numId="22">
    <w:abstractNumId w:val="20"/>
  </w:num>
  <w:num w:numId="23">
    <w:abstractNumId w:val="8"/>
  </w:num>
  <w:num w:numId="24">
    <w:abstractNumId w:val="14"/>
  </w:num>
  <w:num w:numId="25">
    <w:abstractNumId w:val="17"/>
  </w:num>
  <w:num w:numId="26">
    <w:abstractNumId w:val="18"/>
  </w:num>
  <w:num w:numId="27">
    <w:abstractNumId w:val="10"/>
  </w:num>
  <w:num w:numId="28">
    <w:abstractNumId w:val="16"/>
  </w:num>
  <w:num w:numId="29">
    <w:abstractNumId w:val="2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attachedTemplate r:id="rId1"/>
  <w:defaultTabStop w:val="720"/>
  <w:hyphenationZone w:val="425"/>
  <w:characterSpacingControl w:val="doNotCompress"/>
  <w:hdrShapeDefaults>
    <o:shapedefaults v:ext="edit" spidmax="901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QCDateTime" w:val="2021-03-08 09:51:11"/>
    <w:docVar w:name="DQCResult_Distribution" w:val="0;1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33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5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5542FCA9-E044-430A-B8DF-1FE1980955B9"/>
    <w:docVar w:name="LW_COVERPAGE_TYPE" w:val="1"/>
    <w:docVar w:name="LW_CROSSREFERENCE" w:val="&lt;UNUSED&gt;"/>
    <w:docVar w:name="LW_DATE.ADOPT.CP" w:val="\u1086?\u1090? XXX \u1075?\u1086?\u1076?\u1080?\u1085?\u1072?"/>
    <w:docVar w:name="LW_DATE.ADOPT.CP_DATEFORMAT" w:val="\u1086?\u1090? %DATE% \u1075?\u1086?\u1076?\u1080?\u1085?\u1072?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\u1041?\u1088?\u1102?\u1082?\u1089?\u1077?\u1083?, "/>
    <w:docVar w:name="LW_EMISSION_SUFFIX" w:val="&lt;EMPTY&gt;"/>
    <w:docVar w:name="LW_ID_DOCMODEL" w:val="SJ-004"/>
    <w:docVar w:name="LW_ID_DOCSIGNATURE" w:val="SJ-004"/>
    <w:docVar w:name="LW_ID_DOCSTRUCTURE" w:val="COM/AA"/>
    <w:docVar w:name="LW_ID_DOCTYPE" w:val="SJ-004"/>
    <w:docVar w:name="LW_INTERETEEE.CP" w:val="(\u1090?\u1077?\u1082?\u1089?\u1090? \u1086?\u1090? \u1079?\u1085?\u1072?\u1095?\u1077?\u1085?\u1080?\u1077? \u1079?\u1072? \u1045?\u1048?\u1055?)"/>
    <w:docVar w:name="LW_LANGUE" w:val="BG"/>
    <w:docVar w:name="LW_LANGUESFAISANTFOI.CP" w:val="&lt;UNUSED&gt;"/>
    <w:docVar w:name="LW_LEVEL_OF_SENSITIVITY" w:val="Standard treatment"/>
    <w:docVar w:name="LW_NOM.INST" w:val="\u1045?\u1042?\u1056?\u1054?\u1055?\u1045?\u1049?\u1057?\u1050?\u1040? \u1050?\u1054?\u1052?\u1048?\u1057?\u1048?\u1071?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\u1079?\u1072? \u1086?\u1087?\u1088?\u1077?\u1076?\u1077?\u1083?\u1103?\u1085?\u1077? \u1085?\u1072? \u1090?\u1077?\u1093?\u1085?\u1080?\u1095?\u1077?\u1089?\u1082?\u1080?\u1090?\u1077? \u1089?\u1090?\u1072?\u1085?\u1076?\u1072?\u1088?\u1090?\u1080? \u1079?\u1072? \u1080?\u1079?\u1087?\u1098?\u1083?\u1085?\u1077?\u1085?\u1080?\u1077? \u1079?\u1072? \u1087?\u1091?\u1073?\u1083?\u1080?\u1095?\u1085?\u1086?\u1090?\u1086? \u1086?\u1087?\u1086?\u1074?\u1077?\u1089?\u1090?\u1103?\u1074?\u1072?\u1085?\u1077? \u1086?\u1090? \u1089?\u1090?\u1088?\u1072?\u1085?\u1072? \u1085?\u1072? \u1080?\u1085?\u1089?\u1090?\u1080?\u1090?\u1091?\u1094?\u1080?\u1080?\u1090?\u1077? \u1085?\u1072? \u1080?\u1085?\u1092?\u1086?\u1088?\u1084?\u1072?\u1094?\u1080?\u1103?\u1090?\u1072?, \u1087?\u1086?\u1089?\u1086?\u1095?\u1077?\u1085?\u1072? \u1074? \u1086?\u1089?\u1084?\u1072? \u1095?\u1072?\u1089?\u1090?, \u1076?\u1103?\u1083?\u1086?\u1074?\u1077? II \u1080? III \u1086?\u1090? \u1056?\u1077?\u1075?\u1083?\u1072?\u1084?\u1077?\u1085?\u1090? (\u1045?\u1057?) \u8470? 575/2013 \u1085?\u1072? \u1045?\u1074?\u1088?\u1086?\u1087?\u1077?\u1081?\u1089?\u1082?\u1080?\u1103? \u1087?\u1072?\u1088?\u1083?\u1072?\u1084?\u1077?\u1085?\u1090? \u1080? \u1085?\u1072? \u1057?\u1098?\u1074?\u1077?\u1090?\u1072?, \u1080? \u1079?\u1072? \u1086?\u1090?\u1084?\u1103?\u1085?\u1072? \u1085?\u1072? \u1056?\u1077?\u1075?\u1083?\u1072?\u1084?\u1077?\u1085?\u1090? \u1079?\u1072? \u1080?\u1079?\u1087?\u1098?\u1083?\u1085?\u1077?\u1085?\u1080?\u1077? (\u1045?\u1057?) \u8470? 1423/2013 \u1085?\u1072? \u1050?\u1086?\u1084?\u1080?\u1089?\u1080?\u1103?\u1090?\u1072?, \u1044?\u1077?\u1083?\u1077?\u1075?\u1080?\u1088?\u1072?\u1085? \u1088?\u1077?\u1075?\u1083?\u1072?\u1084?\u1077?\u1085?\u1090? (\u1045?\u1057?) 2015/1555 \u1085?\u1072? \u1050?\u1086?\u1084?\u1080?\u1089?\u1080?\u1103?\u1090?\u1072?, \u1056?\u1077?\u1075?\u1083?\u1072?\u1084?\u1077?\u1085?\u1090? \u1079?\u1072? \u1080?\u1079?\u1087?\u1098?\u1083?\u1085?\u1077?\u1085?\u1080?\u1077? (\u1045?\u1057?) 2016/200 \u1085?\u1072? \u1050?\u1086?\u1084?\u1080?\u1089?\u1080?\u1103?\u1090?\u1072? \u1080? \u1044?\u1077?\u1083?\u1077?\u1075?\u1080?\u1088?\u1072?\u1085? \u1088?\u1077?\u1075?\u1083?\u1072?\u1084?\u1077?\u1085?\u1090? (\u1045?\u1057?) 2017/2295 \u1085?\u1072? \u1050?\u1086?\u1084?\u1080?\u1089?\u1080?\u1103?\u1090?\u1072? _x000b_ _x000b_"/>
    <w:docVar w:name="LW_TYPE.DOC.CP" w:val="\u1056?\u1045?\u1043?\u1051?\u1040?\u1052?\u1045?\u1053?\u1058? \u1047?\u1040? \u1048?\u1047?\u1055?\u1066?\u1051?\u1053?\u1045?\u1053?\u1048?\u1045? (\u1045?\u1057?) .../\u8230? \u1053?\u1040? \u1050?\u1054?\u1052?\u1048?\u1057?\u1048?\u1071?\u1058?\u1040?"/>
  </w:docVars>
  <w:rsids>
    <w:rsidRoot w:val="0004170D"/>
    <w:rsid w:val="0000233F"/>
    <w:rsid w:val="00010CC7"/>
    <w:rsid w:val="0002231C"/>
    <w:rsid w:val="00023622"/>
    <w:rsid w:val="000302BA"/>
    <w:rsid w:val="00036497"/>
    <w:rsid w:val="0004170D"/>
    <w:rsid w:val="000530A8"/>
    <w:rsid w:val="000715FC"/>
    <w:rsid w:val="000747E8"/>
    <w:rsid w:val="00075194"/>
    <w:rsid w:val="0008268D"/>
    <w:rsid w:val="00087484"/>
    <w:rsid w:val="000965A4"/>
    <w:rsid w:val="000A7C56"/>
    <w:rsid w:val="000B18AB"/>
    <w:rsid w:val="000B31D0"/>
    <w:rsid w:val="000B4D68"/>
    <w:rsid w:val="000B5ADE"/>
    <w:rsid w:val="000B75F5"/>
    <w:rsid w:val="000C0000"/>
    <w:rsid w:val="000C2A47"/>
    <w:rsid w:val="000C4EBE"/>
    <w:rsid w:val="000C60D7"/>
    <w:rsid w:val="000D57AD"/>
    <w:rsid w:val="000E3DF4"/>
    <w:rsid w:val="000F1AE0"/>
    <w:rsid w:val="00105D7C"/>
    <w:rsid w:val="00124000"/>
    <w:rsid w:val="00124B31"/>
    <w:rsid w:val="0012658B"/>
    <w:rsid w:val="001279E5"/>
    <w:rsid w:val="00130336"/>
    <w:rsid w:val="00133A68"/>
    <w:rsid w:val="0014569E"/>
    <w:rsid w:val="00151336"/>
    <w:rsid w:val="0015237E"/>
    <w:rsid w:val="001612FE"/>
    <w:rsid w:val="00164D08"/>
    <w:rsid w:val="00167DBD"/>
    <w:rsid w:val="00173862"/>
    <w:rsid w:val="00175820"/>
    <w:rsid w:val="00183568"/>
    <w:rsid w:val="00184CD1"/>
    <w:rsid w:val="00190EC6"/>
    <w:rsid w:val="00194CD4"/>
    <w:rsid w:val="00195285"/>
    <w:rsid w:val="001D31CC"/>
    <w:rsid w:val="001D579B"/>
    <w:rsid w:val="001D5E4E"/>
    <w:rsid w:val="002006E9"/>
    <w:rsid w:val="0020373E"/>
    <w:rsid w:val="00204CA9"/>
    <w:rsid w:val="00223E6D"/>
    <w:rsid w:val="00254B69"/>
    <w:rsid w:val="002554D0"/>
    <w:rsid w:val="00257DE9"/>
    <w:rsid w:val="00262584"/>
    <w:rsid w:val="00292A0A"/>
    <w:rsid w:val="002933BD"/>
    <w:rsid w:val="00296DB6"/>
    <w:rsid w:val="002A6E84"/>
    <w:rsid w:val="002A7CBC"/>
    <w:rsid w:val="002C0C3E"/>
    <w:rsid w:val="002C1097"/>
    <w:rsid w:val="002C433D"/>
    <w:rsid w:val="002D22E3"/>
    <w:rsid w:val="002E2681"/>
    <w:rsid w:val="002E3B6F"/>
    <w:rsid w:val="002E476B"/>
    <w:rsid w:val="00305114"/>
    <w:rsid w:val="00312E0D"/>
    <w:rsid w:val="00316F57"/>
    <w:rsid w:val="00324024"/>
    <w:rsid w:val="00334AD0"/>
    <w:rsid w:val="00334D45"/>
    <w:rsid w:val="00336F4D"/>
    <w:rsid w:val="00342795"/>
    <w:rsid w:val="003460F1"/>
    <w:rsid w:val="00352527"/>
    <w:rsid w:val="00356414"/>
    <w:rsid w:val="00362906"/>
    <w:rsid w:val="00362E56"/>
    <w:rsid w:val="0036351A"/>
    <w:rsid w:val="003A1165"/>
    <w:rsid w:val="003A35E9"/>
    <w:rsid w:val="003B2A70"/>
    <w:rsid w:val="003B73C9"/>
    <w:rsid w:val="003C1E7F"/>
    <w:rsid w:val="003C4F11"/>
    <w:rsid w:val="003D2479"/>
    <w:rsid w:val="003D44B9"/>
    <w:rsid w:val="003D6311"/>
    <w:rsid w:val="003E38FD"/>
    <w:rsid w:val="00401969"/>
    <w:rsid w:val="00403378"/>
    <w:rsid w:val="00414EB3"/>
    <w:rsid w:val="004166C6"/>
    <w:rsid w:val="00424D6E"/>
    <w:rsid w:val="004328FB"/>
    <w:rsid w:val="00433CFD"/>
    <w:rsid w:val="0044155A"/>
    <w:rsid w:val="004427A5"/>
    <w:rsid w:val="00442C93"/>
    <w:rsid w:val="00444CBF"/>
    <w:rsid w:val="00445AB9"/>
    <w:rsid w:val="004515BE"/>
    <w:rsid w:val="00453D69"/>
    <w:rsid w:val="0046010F"/>
    <w:rsid w:val="00461468"/>
    <w:rsid w:val="0047525C"/>
    <w:rsid w:val="00476884"/>
    <w:rsid w:val="00480310"/>
    <w:rsid w:val="00486017"/>
    <w:rsid w:val="004939A4"/>
    <w:rsid w:val="00496B08"/>
    <w:rsid w:val="00497414"/>
    <w:rsid w:val="004A1CDB"/>
    <w:rsid w:val="004A255E"/>
    <w:rsid w:val="004B6788"/>
    <w:rsid w:val="004B7AEA"/>
    <w:rsid w:val="004C4F9A"/>
    <w:rsid w:val="004E05C8"/>
    <w:rsid w:val="00501B9B"/>
    <w:rsid w:val="0053062E"/>
    <w:rsid w:val="00535526"/>
    <w:rsid w:val="00541814"/>
    <w:rsid w:val="00553957"/>
    <w:rsid w:val="00563765"/>
    <w:rsid w:val="00580B2A"/>
    <w:rsid w:val="00581093"/>
    <w:rsid w:val="005823FE"/>
    <w:rsid w:val="00587191"/>
    <w:rsid w:val="005A7F5C"/>
    <w:rsid w:val="005B07FD"/>
    <w:rsid w:val="005C3834"/>
    <w:rsid w:val="005C4422"/>
    <w:rsid w:val="005E2A3F"/>
    <w:rsid w:val="005F2549"/>
    <w:rsid w:val="005F490A"/>
    <w:rsid w:val="005F7F66"/>
    <w:rsid w:val="00625AFA"/>
    <w:rsid w:val="0063239A"/>
    <w:rsid w:val="006430F5"/>
    <w:rsid w:val="00646429"/>
    <w:rsid w:val="00646DA2"/>
    <w:rsid w:val="006518A1"/>
    <w:rsid w:val="00656F3B"/>
    <w:rsid w:val="00670714"/>
    <w:rsid w:val="00693D08"/>
    <w:rsid w:val="00693F0A"/>
    <w:rsid w:val="006947FE"/>
    <w:rsid w:val="006A32A4"/>
    <w:rsid w:val="006A7F00"/>
    <w:rsid w:val="006D20F7"/>
    <w:rsid w:val="006E0911"/>
    <w:rsid w:val="006E3B08"/>
    <w:rsid w:val="006F2F67"/>
    <w:rsid w:val="006F4232"/>
    <w:rsid w:val="006F792A"/>
    <w:rsid w:val="00701631"/>
    <w:rsid w:val="00704A57"/>
    <w:rsid w:val="00717B5E"/>
    <w:rsid w:val="0072241D"/>
    <w:rsid w:val="007241CC"/>
    <w:rsid w:val="00725875"/>
    <w:rsid w:val="007328EB"/>
    <w:rsid w:val="00732B32"/>
    <w:rsid w:val="00741206"/>
    <w:rsid w:val="007475DB"/>
    <w:rsid w:val="00755F0F"/>
    <w:rsid w:val="00755F6F"/>
    <w:rsid w:val="00756C6D"/>
    <w:rsid w:val="00786078"/>
    <w:rsid w:val="00792BDA"/>
    <w:rsid w:val="0079582A"/>
    <w:rsid w:val="007A1D1D"/>
    <w:rsid w:val="007A231C"/>
    <w:rsid w:val="007A76EC"/>
    <w:rsid w:val="007B1860"/>
    <w:rsid w:val="007C003F"/>
    <w:rsid w:val="007D178B"/>
    <w:rsid w:val="007E5F66"/>
    <w:rsid w:val="007E66A7"/>
    <w:rsid w:val="007F579D"/>
    <w:rsid w:val="007F676F"/>
    <w:rsid w:val="0080055A"/>
    <w:rsid w:val="00800894"/>
    <w:rsid w:val="00802909"/>
    <w:rsid w:val="008326B8"/>
    <w:rsid w:val="008568F5"/>
    <w:rsid w:val="00856A5A"/>
    <w:rsid w:val="00861266"/>
    <w:rsid w:val="00877878"/>
    <w:rsid w:val="00886F23"/>
    <w:rsid w:val="00892FEE"/>
    <w:rsid w:val="008A33A3"/>
    <w:rsid w:val="008A5096"/>
    <w:rsid w:val="008A5945"/>
    <w:rsid w:val="008A6A1E"/>
    <w:rsid w:val="008A7D03"/>
    <w:rsid w:val="008B42BB"/>
    <w:rsid w:val="008B6784"/>
    <w:rsid w:val="008B78EA"/>
    <w:rsid w:val="008C19A5"/>
    <w:rsid w:val="008C51D0"/>
    <w:rsid w:val="008D42B0"/>
    <w:rsid w:val="008D6EA6"/>
    <w:rsid w:val="00905357"/>
    <w:rsid w:val="00921F21"/>
    <w:rsid w:val="00922950"/>
    <w:rsid w:val="00923CC6"/>
    <w:rsid w:val="00926007"/>
    <w:rsid w:val="009310C9"/>
    <w:rsid w:val="00931C56"/>
    <w:rsid w:val="00941988"/>
    <w:rsid w:val="0094247F"/>
    <w:rsid w:val="009458BD"/>
    <w:rsid w:val="00951C31"/>
    <w:rsid w:val="00956448"/>
    <w:rsid w:val="00963178"/>
    <w:rsid w:val="00965673"/>
    <w:rsid w:val="00965716"/>
    <w:rsid w:val="00966B3C"/>
    <w:rsid w:val="009675DD"/>
    <w:rsid w:val="00967C75"/>
    <w:rsid w:val="0097568F"/>
    <w:rsid w:val="0097765D"/>
    <w:rsid w:val="009777B7"/>
    <w:rsid w:val="00993FAE"/>
    <w:rsid w:val="00995CF9"/>
    <w:rsid w:val="00997228"/>
    <w:rsid w:val="009A0FCB"/>
    <w:rsid w:val="009A56F4"/>
    <w:rsid w:val="009B4728"/>
    <w:rsid w:val="009C5CB4"/>
    <w:rsid w:val="009F40BE"/>
    <w:rsid w:val="00A10245"/>
    <w:rsid w:val="00A228D5"/>
    <w:rsid w:val="00A260ED"/>
    <w:rsid w:val="00A26E4D"/>
    <w:rsid w:val="00A3263C"/>
    <w:rsid w:val="00A3452E"/>
    <w:rsid w:val="00A518E0"/>
    <w:rsid w:val="00A5494A"/>
    <w:rsid w:val="00A70AF9"/>
    <w:rsid w:val="00A72EF0"/>
    <w:rsid w:val="00A762FD"/>
    <w:rsid w:val="00A84A3E"/>
    <w:rsid w:val="00A858BC"/>
    <w:rsid w:val="00A91F18"/>
    <w:rsid w:val="00AB786E"/>
    <w:rsid w:val="00AD027A"/>
    <w:rsid w:val="00AD58EF"/>
    <w:rsid w:val="00AE2C32"/>
    <w:rsid w:val="00AE3F40"/>
    <w:rsid w:val="00AE6C16"/>
    <w:rsid w:val="00B30A70"/>
    <w:rsid w:val="00B41102"/>
    <w:rsid w:val="00B609A7"/>
    <w:rsid w:val="00B61C46"/>
    <w:rsid w:val="00B711DB"/>
    <w:rsid w:val="00B8013E"/>
    <w:rsid w:val="00B80AC9"/>
    <w:rsid w:val="00B861EE"/>
    <w:rsid w:val="00B90336"/>
    <w:rsid w:val="00BA0CA9"/>
    <w:rsid w:val="00BA7AD9"/>
    <w:rsid w:val="00BB093D"/>
    <w:rsid w:val="00BB32EC"/>
    <w:rsid w:val="00BB60B6"/>
    <w:rsid w:val="00BC75BD"/>
    <w:rsid w:val="00BD158D"/>
    <w:rsid w:val="00BE1C5E"/>
    <w:rsid w:val="00BF182F"/>
    <w:rsid w:val="00C02ED9"/>
    <w:rsid w:val="00C05465"/>
    <w:rsid w:val="00C14839"/>
    <w:rsid w:val="00C16675"/>
    <w:rsid w:val="00C24911"/>
    <w:rsid w:val="00C25E54"/>
    <w:rsid w:val="00C278CC"/>
    <w:rsid w:val="00C36E0D"/>
    <w:rsid w:val="00C40BF9"/>
    <w:rsid w:val="00C41BFF"/>
    <w:rsid w:val="00C5099A"/>
    <w:rsid w:val="00C81C3A"/>
    <w:rsid w:val="00C84B15"/>
    <w:rsid w:val="00C91C95"/>
    <w:rsid w:val="00C94DC0"/>
    <w:rsid w:val="00CA348C"/>
    <w:rsid w:val="00CA57C3"/>
    <w:rsid w:val="00CA5835"/>
    <w:rsid w:val="00CA68C8"/>
    <w:rsid w:val="00CB377F"/>
    <w:rsid w:val="00CC3294"/>
    <w:rsid w:val="00CC620B"/>
    <w:rsid w:val="00CC62AE"/>
    <w:rsid w:val="00CE5120"/>
    <w:rsid w:val="00CE62E1"/>
    <w:rsid w:val="00CF0948"/>
    <w:rsid w:val="00CF6BC4"/>
    <w:rsid w:val="00D001B4"/>
    <w:rsid w:val="00D2760A"/>
    <w:rsid w:val="00D34C25"/>
    <w:rsid w:val="00D602DE"/>
    <w:rsid w:val="00D642C6"/>
    <w:rsid w:val="00D76B54"/>
    <w:rsid w:val="00D9176D"/>
    <w:rsid w:val="00DC2475"/>
    <w:rsid w:val="00DC3C0F"/>
    <w:rsid w:val="00DD2BA0"/>
    <w:rsid w:val="00DF0372"/>
    <w:rsid w:val="00DF14E1"/>
    <w:rsid w:val="00E0170F"/>
    <w:rsid w:val="00E10715"/>
    <w:rsid w:val="00E14194"/>
    <w:rsid w:val="00E174B5"/>
    <w:rsid w:val="00E206C9"/>
    <w:rsid w:val="00E23611"/>
    <w:rsid w:val="00E42EC8"/>
    <w:rsid w:val="00E5338C"/>
    <w:rsid w:val="00E5388C"/>
    <w:rsid w:val="00E62304"/>
    <w:rsid w:val="00E76705"/>
    <w:rsid w:val="00E76D3F"/>
    <w:rsid w:val="00E8665C"/>
    <w:rsid w:val="00E91905"/>
    <w:rsid w:val="00EA0958"/>
    <w:rsid w:val="00EA3E25"/>
    <w:rsid w:val="00EA6449"/>
    <w:rsid w:val="00EB4A85"/>
    <w:rsid w:val="00EC422C"/>
    <w:rsid w:val="00ED3421"/>
    <w:rsid w:val="00ED78DE"/>
    <w:rsid w:val="00EF3146"/>
    <w:rsid w:val="00EF6392"/>
    <w:rsid w:val="00F04CDC"/>
    <w:rsid w:val="00F15C9D"/>
    <w:rsid w:val="00F31307"/>
    <w:rsid w:val="00F335A5"/>
    <w:rsid w:val="00F37426"/>
    <w:rsid w:val="00F5043B"/>
    <w:rsid w:val="00F53E64"/>
    <w:rsid w:val="00F6330E"/>
    <w:rsid w:val="00F83A04"/>
    <w:rsid w:val="00F855B3"/>
    <w:rsid w:val="00F91209"/>
    <w:rsid w:val="00F93ED1"/>
    <w:rsid w:val="00F978FE"/>
    <w:rsid w:val="00F97AAB"/>
    <w:rsid w:val="00FA2322"/>
    <w:rsid w:val="00FA4569"/>
    <w:rsid w:val="00FA53E3"/>
    <w:rsid w:val="00FB4483"/>
    <w:rsid w:val="00FD6645"/>
    <w:rsid w:val="00FF2606"/>
    <w:rsid w:val="00FF364B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49E33D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bg-BG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22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22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22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22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4170D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04170D"/>
    <w:pPr>
      <w:spacing w:before="0" w:after="0"/>
      <w:ind w:left="720"/>
      <w:jc w:val="left"/>
    </w:pPr>
    <w:rPr>
      <w:rFonts w:ascii="Calibri" w:eastAsia="Calibri" w:hAnsi="Calibri"/>
      <w:sz w:val="22"/>
    </w:rPr>
  </w:style>
  <w:style w:type="character" w:customStyle="1" w:styleId="ListParagraphChar">
    <w:name w:val="List Paragraph Char"/>
    <w:link w:val="ListParagraph"/>
    <w:uiPriority w:val="34"/>
    <w:rsid w:val="0004170D"/>
    <w:rPr>
      <w:rFonts w:ascii="Calibri" w:eastAsia="Calibri" w:hAnsi="Calibri" w:cs="Times New Roman"/>
      <w:lang w:val="bg-BG"/>
    </w:rPr>
  </w:style>
  <w:style w:type="paragraph" w:customStyle="1" w:styleId="numberedparagraph">
    <w:name w:val="numbered paragraph"/>
    <w:basedOn w:val="Normal"/>
    <w:qFormat/>
    <w:rsid w:val="0004170D"/>
    <w:pPr>
      <w:numPr>
        <w:numId w:val="1"/>
      </w:numPr>
      <w:spacing w:before="240" w:line="276" w:lineRule="auto"/>
    </w:pPr>
    <w:rPr>
      <w:rFonts w:asciiTheme="minorHAnsi" w:eastAsiaTheme="minorEastAsia" w:hAnsiTheme="minorHAnsi" w:cstheme="minorBidi"/>
      <w:sz w:val="22"/>
      <w:szCs w:val="24"/>
    </w:rPr>
  </w:style>
  <w:style w:type="paragraph" w:styleId="ListBullet">
    <w:name w:val="List Bullet"/>
    <w:basedOn w:val="Normal"/>
    <w:uiPriority w:val="99"/>
    <w:semiHidden/>
    <w:unhideWhenUsed/>
    <w:rsid w:val="00F335A5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F335A5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F335A5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335A5"/>
    <w:pPr>
      <w:numPr>
        <w:numId w:val="5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BA0CA9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A0CA9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BA0CA9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BA0CA9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BA0CA9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BA0CA9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B3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31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31D0"/>
    <w:rPr>
      <w:rFonts w:ascii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1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1D0"/>
    <w:rPr>
      <w:rFonts w:ascii="Times New Roman" w:hAnsi="Times New Roman" w:cs="Times New Roman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31D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1D0"/>
    <w:rPr>
      <w:rFonts w:ascii="Segoe UI" w:hAnsi="Segoe UI" w:cs="Segoe UI"/>
      <w:sz w:val="18"/>
      <w:szCs w:val="18"/>
      <w:lang w:val="bg-BG"/>
    </w:rPr>
  </w:style>
  <w:style w:type="paragraph" w:customStyle="1" w:styleId="Titlelevel4">
    <w:name w:val="Title level 4"/>
    <w:next w:val="Normal"/>
    <w:qFormat/>
    <w:rsid w:val="00496B08"/>
    <w:pPr>
      <w:spacing w:before="240" w:after="240" w:line="240" w:lineRule="auto"/>
    </w:pPr>
    <w:rPr>
      <w:rFonts w:eastAsiaTheme="minorEastAsia"/>
      <w:color w:val="EEECE1" w:themeColor="background2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F91209"/>
    <w:pPr>
      <w:widowControl w:val="0"/>
      <w:autoSpaceDE w:val="0"/>
      <w:autoSpaceDN w:val="0"/>
      <w:spacing w:before="0" w:after="0"/>
      <w:jc w:val="left"/>
    </w:pPr>
    <w:rPr>
      <w:rFonts w:ascii="Calibri" w:eastAsia="Calibri" w:hAnsi="Calibri" w:cs="Calibri"/>
      <w:sz w:val="22"/>
      <w:lang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F91209"/>
    <w:rPr>
      <w:rFonts w:ascii="Calibri" w:eastAsia="Calibri" w:hAnsi="Calibri" w:cs="Calibri"/>
      <w:lang w:val="bg-BG" w:eastAsia="en-GB" w:bidi="en-GB"/>
    </w:rPr>
  </w:style>
  <w:style w:type="paragraph" w:customStyle="1" w:styleId="CM4">
    <w:name w:val="CM4"/>
    <w:basedOn w:val="Normal"/>
    <w:next w:val="Normal"/>
    <w:uiPriority w:val="99"/>
    <w:rsid w:val="000C60D7"/>
    <w:pPr>
      <w:autoSpaceDE w:val="0"/>
      <w:autoSpaceDN w:val="0"/>
      <w:adjustRightInd w:val="0"/>
      <w:spacing w:before="0" w:after="0"/>
      <w:jc w:val="left"/>
    </w:pPr>
    <w:rPr>
      <w:rFonts w:eastAsiaTheme="minorEastAsia"/>
      <w:szCs w:val="24"/>
    </w:rPr>
  </w:style>
  <w:style w:type="paragraph" w:styleId="Subtitle">
    <w:name w:val="Subtitle"/>
    <w:next w:val="Normal"/>
    <w:link w:val="SubtitleChar"/>
    <w:autoRedefine/>
    <w:uiPriority w:val="11"/>
    <w:qFormat/>
    <w:rsid w:val="00A858BC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4F81BD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A858BC"/>
    <w:rPr>
      <w:rFonts w:asciiTheme="majorHAnsi" w:eastAsiaTheme="majorEastAsia" w:hAnsiTheme="majorHAnsi" w:cstheme="majorBidi"/>
      <w:color w:val="4F81BD" w:themeColor="accent1"/>
      <w:sz w:val="32"/>
      <w:szCs w:val="32"/>
      <w:lang w:val="bg-BG"/>
    </w:rPr>
  </w:style>
  <w:style w:type="character" w:customStyle="1" w:styleId="super">
    <w:name w:val="super"/>
    <w:basedOn w:val="DefaultParagraphFont"/>
    <w:rsid w:val="00B90336"/>
  </w:style>
  <w:style w:type="character" w:styleId="FollowedHyperlink">
    <w:name w:val="FollowedHyperlink"/>
    <w:basedOn w:val="DefaultParagraphFont"/>
    <w:uiPriority w:val="99"/>
    <w:semiHidden/>
    <w:unhideWhenUsed/>
    <w:rsid w:val="00342795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94DC0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NormalWeb">
    <w:name w:val="Normal (Web)"/>
    <w:basedOn w:val="Normal"/>
    <w:uiPriority w:val="99"/>
    <w:unhideWhenUsed/>
    <w:rsid w:val="00195285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95285"/>
    <w:rPr>
      <w:i/>
      <w:iCs/>
    </w:rPr>
  </w:style>
  <w:style w:type="table" w:styleId="TableGrid">
    <w:name w:val="Table Grid"/>
    <w:basedOn w:val="TableNormal"/>
    <w:uiPriority w:val="59"/>
    <w:rsid w:val="005F2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5823FE"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23FE"/>
    <w:rPr>
      <w:rFonts w:ascii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5823FE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9B713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9B713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9B713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9B713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B7138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16"/>
      </w:numPr>
    </w:pPr>
  </w:style>
  <w:style w:type="paragraph" w:customStyle="1" w:styleId="Tiret1">
    <w:name w:val="Tiret 1"/>
    <w:basedOn w:val="Point1"/>
    <w:rsid w:val="009B7138"/>
    <w:pPr>
      <w:numPr>
        <w:numId w:val="17"/>
      </w:numPr>
    </w:pPr>
  </w:style>
  <w:style w:type="paragraph" w:customStyle="1" w:styleId="Tiret2">
    <w:name w:val="Tiret 2"/>
    <w:basedOn w:val="Point2"/>
    <w:rsid w:val="009B7138"/>
    <w:pPr>
      <w:numPr>
        <w:numId w:val="18"/>
      </w:numPr>
    </w:pPr>
  </w:style>
  <w:style w:type="paragraph" w:customStyle="1" w:styleId="Tiret3">
    <w:name w:val="Tiret 3"/>
    <w:basedOn w:val="Point3"/>
    <w:rsid w:val="009B7138"/>
    <w:pPr>
      <w:numPr>
        <w:numId w:val="19"/>
      </w:numPr>
    </w:pPr>
  </w:style>
  <w:style w:type="paragraph" w:customStyle="1" w:styleId="Tiret4">
    <w:name w:val="Tiret 4"/>
    <w:basedOn w:val="Point4"/>
    <w:rsid w:val="009B7138"/>
    <w:pPr>
      <w:numPr>
        <w:numId w:val="20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21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21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21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21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23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23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23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23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23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23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23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23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23"/>
      </w:numPr>
    </w:pPr>
  </w:style>
  <w:style w:type="paragraph" w:customStyle="1" w:styleId="Bullet0">
    <w:name w:val="Bullet 0"/>
    <w:basedOn w:val="Normal"/>
    <w:rsid w:val="009B7138"/>
    <w:pPr>
      <w:numPr>
        <w:numId w:val="24"/>
      </w:numPr>
    </w:pPr>
  </w:style>
  <w:style w:type="paragraph" w:customStyle="1" w:styleId="Bullet1">
    <w:name w:val="Bullet 1"/>
    <w:basedOn w:val="Normal"/>
    <w:rsid w:val="009B7138"/>
    <w:pPr>
      <w:numPr>
        <w:numId w:val="25"/>
      </w:numPr>
    </w:pPr>
  </w:style>
  <w:style w:type="paragraph" w:customStyle="1" w:styleId="Bullet2">
    <w:name w:val="Bullet 2"/>
    <w:basedOn w:val="Normal"/>
    <w:rsid w:val="009B7138"/>
    <w:pPr>
      <w:numPr>
        <w:numId w:val="26"/>
      </w:numPr>
    </w:pPr>
  </w:style>
  <w:style w:type="paragraph" w:customStyle="1" w:styleId="Bullet3">
    <w:name w:val="Bullet 3"/>
    <w:basedOn w:val="Normal"/>
    <w:rsid w:val="009B7138"/>
    <w:pPr>
      <w:numPr>
        <w:numId w:val="27"/>
      </w:numPr>
    </w:pPr>
  </w:style>
  <w:style w:type="paragraph" w:customStyle="1" w:styleId="Bullet4">
    <w:name w:val="Bullet 4"/>
    <w:basedOn w:val="Normal"/>
    <w:rsid w:val="009B7138"/>
    <w:pPr>
      <w:numPr>
        <w:numId w:val="28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29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BG/AUTO/?uri=OJ:L:2013:176:TO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E3A02-192E-45E5-9E81-765480962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0</TotalTime>
  <Pages>14</Pages>
  <Words>4097</Words>
  <Characters>23353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2021-03-08T10:39:00Z</dcterms:created>
  <dcterms:modified xsi:type="dcterms:W3CDTF">2021-03-08T10:39:00Z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Last edited using">
    <vt:lpwstr>LW 7.0.1, Build 20190916</vt:lpwstr>
  </property>
  <property fmtid="{D5CDD505-2E9C-101B-9397-08002B2CF9AE}" pid="4" name="Category">
    <vt:lpwstr>COM/AA</vt:lpwstr>
  </property>
  <property fmtid="{D5CDD505-2E9C-101B-9397-08002B2CF9AE}" pid="5" name="Version">
    <vt:lpwstr>6.0.1.0</vt:lpwstr>
  </property>
  <property fmtid="{D5CDD505-2E9C-101B-9397-08002B2CF9AE}" pid="6" name="Created using">
    <vt:lpwstr>LW 6.0, Build 20171009</vt:lpwstr>
  </property>
  <property fmtid="{D5CDD505-2E9C-101B-9397-08002B2CF9AE}" pid="7" name="Part">
    <vt:lpwstr>1</vt:lpwstr>
  </property>
  <property fmtid="{D5CDD505-2E9C-101B-9397-08002B2CF9AE}" pid="8" name="Total parts">
    <vt:lpwstr>1</vt:lpwstr>
  </property>
  <property fmtid="{D5CDD505-2E9C-101B-9397-08002B2CF9AE}" pid="9" name="LWTemplateID">
    <vt:lpwstr>SJ-004</vt:lpwstr>
  </property>
  <property fmtid="{D5CDD505-2E9C-101B-9397-08002B2CF9AE}" pid="10" name="DQCStatus">
    <vt:lpwstr>Green (DQC version 03)</vt:lpwstr>
  </property>
</Properties>
</file>