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64A6D7" w14:textId="43468CFF" w:rsidR="00C36E0D" w:rsidRPr="00627B17" w:rsidRDefault="002F111E" w:rsidP="00627B17">
      <w:pPr>
        <w:pStyle w:val="Pagedecouverture"/>
      </w:pPr>
      <w:bookmarkStart w:id="0" w:name="_GoBack"/>
      <w:bookmarkEnd w:id="0"/>
      <w:r>
        <w:pict w14:anchorId="0FF8C0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981A811-C543-4A0B-89A0-369D8A7169E1" style="width:450.8pt;height:477.7pt">
            <v:imagedata r:id="rId8" o:title=""/>
          </v:shape>
        </w:pict>
      </w:r>
    </w:p>
    <w:p w14:paraId="46614711" w14:textId="77777777" w:rsidR="0004170D" w:rsidRPr="00627B17" w:rsidRDefault="0004170D">
      <w:pPr>
        <w:sectPr w:rsidR="0004170D" w:rsidRPr="00627B17" w:rsidSect="00437D07">
          <w:footerReference w:type="default" r:id="rId9"/>
          <w:pgSz w:w="11907" w:h="16839"/>
          <w:pgMar w:top="1134" w:right="1417" w:bottom="1134" w:left="1417" w:header="709" w:footer="709" w:gutter="0"/>
          <w:pgNumType w:start="0"/>
          <w:cols w:space="720"/>
          <w:docGrid w:linePitch="360"/>
        </w:sectPr>
      </w:pPr>
    </w:p>
    <w:p w14:paraId="1CF04386" w14:textId="09F7D1EC" w:rsidR="0004170D" w:rsidRPr="00627B17" w:rsidRDefault="00627B17" w:rsidP="00627B17">
      <w:pPr>
        <w:pStyle w:val="Typedudocument"/>
      </w:pPr>
      <w:r w:rsidRPr="00627B17">
        <w:lastRenderedPageBreak/>
        <w:t>ΕΚΤΕΛΕΣΤΙΚΟΣ ΚΑΝΟΝΙΣΜΟΣ (ΕΕ) …/... ΤΗΣ ΕΠΙΤΡΟΠΗΣ</w:t>
      </w:r>
    </w:p>
    <w:p w14:paraId="485B382E" w14:textId="4D8686B5" w:rsidR="0004170D" w:rsidRPr="00627B17" w:rsidRDefault="00627B17" w:rsidP="00627B17">
      <w:pPr>
        <w:pStyle w:val="Datedadoption"/>
      </w:pPr>
      <w:r w:rsidRPr="00627B17">
        <w:t xml:space="preserve">της </w:t>
      </w:r>
      <w:r w:rsidRPr="00627B17">
        <w:rPr>
          <w:rStyle w:val="Marker2"/>
        </w:rPr>
        <w:t>XXX</w:t>
      </w:r>
    </w:p>
    <w:p w14:paraId="6E872801" w14:textId="3833CBBA" w:rsidR="0004170D" w:rsidRPr="00627B17" w:rsidRDefault="00627B17" w:rsidP="00627B17">
      <w:pPr>
        <w:pStyle w:val="Titreobjet"/>
      </w:pPr>
      <w:r w:rsidRPr="00627B17">
        <w:t xml:space="preserve">για τον καθορισμό εκτελεστικών τεχνικών προτύπων όσον αφορά τη δημοσιοποίηση από τα ιδρύματα των πληροφοριών που αναφέρονται στο όγδοο μέρος τίτλοι II και III του κανονισμού (ΕΕ) αριθ. 575/2013 του Ευρωπαϊκού Κοινοβουλίου και του Συμβουλίου και για την κατάργηση του εκτελεστικού κανονισμού (ΕΕ) αριθ. 1423/2013 της Επιτροπής, του κατ’ εξουσιοδότηση κανονισμού (ΕΕ) 2015/1555 της Επιτροπής, του εκτελεστικού κανονισμού (ΕΕ) 2016/200 της Επιτροπής και του κατ’ εξουσιοδότηση κανονισμού (ΕΕ) 2017/2295 της Επιτροπής </w:t>
      </w:r>
      <w:r w:rsidRPr="00627B17">
        <w:br/>
        <w:t xml:space="preserve"> </w:t>
      </w:r>
      <w:r w:rsidRPr="00627B17">
        <w:br/>
      </w:r>
    </w:p>
    <w:p w14:paraId="5216B2C3" w14:textId="58235797" w:rsidR="0004170D" w:rsidRPr="00627B17" w:rsidRDefault="00627B17" w:rsidP="00627B17">
      <w:pPr>
        <w:pStyle w:val="IntrtEEE"/>
      </w:pPr>
      <w:r w:rsidRPr="00627B17">
        <w:t>(Κείμενο που παρουσιάζει ενδιαφέρον για τον ΕΟΧ)</w:t>
      </w:r>
    </w:p>
    <w:p w14:paraId="4BD4BB2E" w14:textId="77777777" w:rsidR="0004170D" w:rsidRPr="00627B17" w:rsidRDefault="0004170D" w:rsidP="009675DD">
      <w:pPr>
        <w:pStyle w:val="Institutionquiagit"/>
      </w:pPr>
      <w:r w:rsidRPr="00627B17">
        <w:t>Η ΕΥΡΩΠΑΪΚΗ ΕΠΙΤΡΟΠΗ,</w:t>
      </w:r>
    </w:p>
    <w:p w14:paraId="3B1DB378" w14:textId="77777777" w:rsidR="0004170D" w:rsidRPr="00627B17" w:rsidRDefault="0004170D" w:rsidP="009675DD">
      <w:r w:rsidRPr="00627B17">
        <w:rPr>
          <w:color w:val="000000"/>
        </w:rPr>
        <w:t>Έχοντας υπόψη τη Συνθήκη για τη λειτουργία της Ευρωπαϊκής Ένωσης,</w:t>
      </w:r>
    </w:p>
    <w:p w14:paraId="7D7AE1AD" w14:textId="77777777" w:rsidR="0004170D" w:rsidRPr="00627B17" w:rsidRDefault="007E66A7" w:rsidP="009675DD">
      <w:r w:rsidRPr="00627B17">
        <w:t xml:space="preserve">Έχοντας υπόψη τον κανονισμό (ΕΕ) αριθ. 575/2013 του Ευρωπαϊκού Κοινοβουλίου και του Συμβουλίου, της </w:t>
      </w:r>
      <w:r w:rsidRPr="00627B17">
        <w:rPr>
          <w:color w:val="000000"/>
        </w:rPr>
        <w:t>26ης Ιουνίου 2013</w:t>
      </w:r>
      <w:r w:rsidRPr="00627B17">
        <w:t>, σχετικά με τις απαιτήσεις προληπτικής εποπτείας για πιστωτικά ιδρύματα και επιχειρήσεις επενδύσεων και την τροποποίηση του κανονισμού (ΕΕ) αριθ. 648/2012</w:t>
      </w:r>
      <w:r w:rsidRPr="00627B17">
        <w:rPr>
          <w:rStyle w:val="FootnoteReference"/>
        </w:rPr>
        <w:footnoteReference w:id="2"/>
      </w:r>
      <w:r w:rsidRPr="00627B17">
        <w:t>, και ιδίως το άρθρο 434α,</w:t>
      </w:r>
    </w:p>
    <w:p w14:paraId="6E3096F1" w14:textId="77777777" w:rsidR="0004170D" w:rsidRPr="00627B17" w:rsidRDefault="0004170D" w:rsidP="009675DD">
      <w:r w:rsidRPr="00627B17">
        <w:t>Εκτιμώντας τα ακόλουθα:</w:t>
      </w:r>
    </w:p>
    <w:p w14:paraId="1025300A" w14:textId="34C35C6C" w:rsidR="0094247F" w:rsidRPr="00627B17" w:rsidRDefault="0094247F" w:rsidP="0043540D">
      <w:pPr>
        <w:pStyle w:val="Considrant"/>
        <w:numPr>
          <w:ilvl w:val="0"/>
          <w:numId w:val="11"/>
        </w:numPr>
      </w:pPr>
      <w:r w:rsidRPr="00627B17">
        <w:t>Τον Δεκέμβριο του 2019, η Επιτροπή της Βασιλείας για την τραπεζική εποπτεία (BCBS) δημοσίευσε το ενοποιημένο πλαίσιο της Βασιλείας, συμπεριλαμβανομένων των επικαιροποιημένων απαιτήσεων δημοσιοποίησης του πυλώνα 3</w:t>
      </w:r>
      <w:r w:rsidRPr="00627B17">
        <w:rPr>
          <w:rStyle w:val="FootnoteReference"/>
        </w:rPr>
        <w:footnoteReference w:id="3"/>
      </w:r>
      <w:r w:rsidRPr="00627B17">
        <w:t>, οι οποίες εισήχθησαν ως επί το πλείστον στον κανονισμό (ΕΕ) αριθ. 575/2013 με τον κανονισμό (ΕΕ) 2019/876 του Ευρωπαϊκού Κοινοβουλίου και του Συμβουλίου</w:t>
      </w:r>
      <w:r w:rsidRPr="00627B17">
        <w:rPr>
          <w:rStyle w:val="FootnoteReference"/>
        </w:rPr>
        <w:footnoteReference w:id="4"/>
      </w:r>
      <w:r w:rsidRPr="00627B17">
        <w:t>. Για την εφαρμογή των τροποποιήσεων αυτών, θα πρέπει να καθοριστεί ένα συνεκτικό και πλήρες πλαίσιο δημοσιοποίησης του πυλώνα 3.</w:t>
      </w:r>
    </w:p>
    <w:p w14:paraId="7DB0B204" w14:textId="2AD37D2A" w:rsidR="007E66A7" w:rsidRPr="00627B17" w:rsidRDefault="00442C93" w:rsidP="00F5043B">
      <w:pPr>
        <w:pStyle w:val="Considrant"/>
        <w:rPr>
          <w:sz w:val="22"/>
        </w:rPr>
      </w:pPr>
      <w:r w:rsidRPr="00627B17">
        <w:t>Ο εκτελεστικός κανονισμός (ΕΕ) αριθ. 1423/2013 της Επιτροπής</w:t>
      </w:r>
      <w:r w:rsidRPr="00627B17">
        <w:rPr>
          <w:rStyle w:val="FootnoteReference"/>
        </w:rPr>
        <w:footnoteReference w:id="5"/>
      </w:r>
      <w:r w:rsidRPr="00627B17">
        <w:t>, ο κατ’ εξουσιοδότηση κανονισμός (ΕΕ) 2015/1555 της Επιτροπής</w:t>
      </w:r>
      <w:r w:rsidRPr="00627B17">
        <w:rPr>
          <w:rStyle w:val="FootnoteReference"/>
        </w:rPr>
        <w:footnoteReference w:id="6"/>
      </w:r>
      <w:r w:rsidRPr="00627B17">
        <w:t>, ο εκτελεστικός κανονισμός (ΕΕ) 2016/200 της Επιτροπής</w:t>
      </w:r>
      <w:r w:rsidRPr="00627B17">
        <w:rPr>
          <w:rStyle w:val="FootnoteReference"/>
        </w:rPr>
        <w:footnoteReference w:id="7"/>
      </w:r>
      <w:r w:rsidRPr="00627B17">
        <w:t xml:space="preserve"> και ο κατ’ εξουσιοδότηση κανονισμός (ΕΕ) 2017/2295 της Επιτροπής</w:t>
      </w:r>
      <w:r w:rsidRPr="00627B17">
        <w:rPr>
          <w:rStyle w:val="FootnoteReference"/>
        </w:rPr>
        <w:footnoteReference w:id="8"/>
      </w:r>
      <w:r w:rsidRPr="00627B17">
        <w:t xml:space="preserve"> θεσπίζουν ενιαίους μορφότυπους, υποδείγματα και πίνακες για τα ίδια κεφάλαια, τα αντικυκλικά κεφαλαιακά αποθέματα ασφαλείας τον δείκτη μόχλευσης, και τη σύσταση βαρών επί στοιχείων του ενεργητικού, αντίστοιχα. Θα πρέπει συνεπώς να επεκταθεί η ομοιομορφία των μορφοτύπων, των υποδειγμάτων και των πινάκων ώστε να καλύπτονται οι δημοσιοποιήσεις και άλλων πτυχών της προληπτικής εποπτείας που πρέπει να δημοσιοποιούνται δυνάμει του κανονισμού (ΕΕ) 2019/876. Πιο συγκεκριμένα, πρέπει να εισαχθεί ένα υπόδειγμα δημοσιοποίησης βασικών μετρήσεων, το οποίο να διευκολύνει την πρόσβαση των συμμετεχόντων στην αγορά στις βασικές πληροφορίες των ιδρυμάτων σχετικά με τα ίδια κεφάλαια και τη ρευστότητα.</w:t>
      </w:r>
    </w:p>
    <w:p w14:paraId="64909A2C" w14:textId="2EE1C111" w:rsidR="007E66A7" w:rsidRPr="00627B17" w:rsidRDefault="00F5043B" w:rsidP="007E66A7">
      <w:pPr>
        <w:pStyle w:val="Considrant"/>
      </w:pPr>
      <w:r w:rsidRPr="00627B17">
        <w:t>Τα υποδείγματα και οι πίνακες που χρησιμοποιούνται για τη δημοσιοποίηση θα πρέπει να μεταφέρουν επαρκώς ολοκληρωμένες και συγκρίσιμες πληροφορίες, επιτρέποντας έτσι στους χρήστες των εν λόγω πληροφοριών να εκτιμήσουν τα προφίλ κινδύνου των ιδρυμάτων και τον βαθμό συμμόρφωσής τους με τον κανονισμό (ΕΕ) αριθ. 575/2013.</w:t>
      </w:r>
      <w:r w:rsidRPr="00627B17">
        <w:rPr>
          <w:rStyle w:val="CommentReference"/>
          <w:sz w:val="24"/>
        </w:rPr>
        <w:t xml:space="preserve"> Ωστόσο, προκειμένου να ληφθεί υπόψη η αρχή της αναλογικότητας,</w:t>
      </w:r>
      <w:r w:rsidRPr="00627B17">
        <w:t xml:space="preserve"> οι μορφότυποι, τα υποδείγματα και οι πίνακες δημοσιοποίησης θα πρέπει να λαμβάνουν υπόψη τις διαφορές στο μέγεθος και την πολυπλοκότητα μεταξύ των ιδρυμάτων, στοιχεία τα οποία δημιουργούν διαφορετικά επίπεδα και τύπους κινδύνων, συμπεριλαμβάνοντας πρόσθετα κατώτατα όρια για τις εκτεταμένες δημοσιοποιήσεις. </w:t>
      </w:r>
    </w:p>
    <w:p w14:paraId="1A778372" w14:textId="13A517C4" w:rsidR="007E66A7" w:rsidRPr="00627B17" w:rsidRDefault="00C91C95" w:rsidP="007E66A7">
      <w:pPr>
        <w:pStyle w:val="Considrant"/>
      </w:pPr>
      <w:r w:rsidRPr="00627B17">
        <w:t>Ο κανονισμός (ΕΕ) 2019/876 εισήγαγε στον κανονισμό (ΕΕ) αριθ. 575/2013 έναν νέο βαθμονομημένο δείκτη μόχλευσης και απόθεμα ασφαλείας για τον δείκτη μόχλευσης όσον αφορά τα παγκόσμια συστημικώς σημαντικά ιδρύματα (G-SII). Για να υλοποιηθεί η τροποποίηση αυτή, καθώς και οι απαραίτητες προσαρμογές στον υπολογισμό του ανοίγματος, είναι απαραίτητο να καθοριστούν υποδείγματα και πίνακες.</w:t>
      </w:r>
    </w:p>
    <w:p w14:paraId="75FA70BF" w14:textId="1A6556E0" w:rsidR="007E66A7" w:rsidRPr="00627B17" w:rsidRDefault="00C91C95" w:rsidP="007E66A7">
      <w:pPr>
        <w:pStyle w:val="Considrant"/>
      </w:pPr>
      <w:r w:rsidRPr="00627B17">
        <w:t>Ο κανονισμός (ΕΕ) 2019/876 εισήγαγε στον κανονισμό (ΕΕ) αριθ. 575/2013 νέες απαιτήσεις δημοσιοποίησης για τον δείκτη καθαρής σταθερής χρηματοδότησης. Για να υλοποιηθεί η τροποποίηση αυτή, είναι απαραίτητο να καθοριστεί υπόδειγμα για τις εν λόγω νέες απαιτήσεις δημοσιοποίησης.</w:t>
      </w:r>
    </w:p>
    <w:p w14:paraId="23C44267" w14:textId="591E02B6" w:rsidR="007E66A7" w:rsidRPr="00627B17" w:rsidRDefault="00387DA9" w:rsidP="007E66A7">
      <w:pPr>
        <w:pStyle w:val="Considrant"/>
        <w:rPr>
          <w:sz w:val="22"/>
        </w:rPr>
      </w:pPr>
      <w:r w:rsidRPr="00627B17">
        <w:t>Ο κανονισμός (ΕΕ) 2019/876 αντικατέστησε στον κανονισμό (ΕΕ) αριθ. 575/2013 τις τυποποιημένες προσεγγίσεις για τον πιστωτικό κίνδυνο αντισυμβαλλομένου με μια πιο ευαίσθητη στον κίνδυνο τυποποιημένη προσέγγιση για τον πιστωτικό κίνδυνο αντισυμβαλλομένου (SA-CCR) και μια απλουστευμένη SA-CCR για τα ιδρύματα που πληρούν προκαθορισμένα κριτήρια επιλεξιμότητας. Επιπλέον, ο κανονισμός (ΕΕ) 2019/876 αναθεώρησε τη μέθοδο αρχικού ανοίγματος. Για να εφαρμοστούν οι τροποποιήσεις αυτές, είναι απαραίτητο να εισαχθεί ένα πλήρες σύνολο πινάκων και υποδειγμάτων δημοσιοποίησης.</w:t>
      </w:r>
    </w:p>
    <w:p w14:paraId="3B343C5D" w14:textId="1EC51995" w:rsidR="007E66A7" w:rsidRPr="00627B17" w:rsidRDefault="00B90336" w:rsidP="007E66A7">
      <w:pPr>
        <w:pStyle w:val="Considrant"/>
        <w:rPr>
          <w:sz w:val="22"/>
        </w:rPr>
      </w:pPr>
      <w:r w:rsidRPr="00627B17">
        <w:t>Ο κανονισμός (ΕΕ) 2019/876 εισήγαγε στον κανονισμό (ΕΕ) αριθ. 575/2013 μια νέα απαίτηση δημοσιοποίησης για τα εξυπηρετούμενα και τα μη εξυπηρετούμενα ανοίγματα και τα ανοίγματα με ανοχή, συμπεριλαμβανομένης της δημοσιοποίησης πληροφοριών σχετικά με τις ληφθείσες εξασφαλίσεις και χρηματοοικονομικές εγγυήσεις. Για να εφαρμοστεί η τροποποίηση αυτή και οι συγκεκριμένες νέες απαιτήσεις δημοσιοποίησης, είναι απαραίτητο να εισαχθεί ένα ολοκληρωμένο σύνολο υποδειγμάτων και πινάκων. Για λόγους απλότητας και συνέπειας, τα εν λόγω υποδείγματα και οι πίνακες θα πρέπει να βασίζονται στα υποδείγματα και τους πίνακες δημοσιοποίησης που έχουν ήδη αναπτυχθεί από την ΕΑΤ στις κατευθυντήριες γραμμές της σχετικά με τη δημοσιοποίηση των μη εξυπηρετούμενων ανοιγμάτων και των ανοιγμάτων με ανοχή</w:t>
      </w:r>
      <w:r w:rsidRPr="00627B17">
        <w:rPr>
          <w:rStyle w:val="FootnoteReference"/>
        </w:rPr>
        <w:footnoteReference w:id="9"/>
      </w:r>
      <w:r w:rsidRPr="00627B17">
        <w:t>.</w:t>
      </w:r>
    </w:p>
    <w:p w14:paraId="5DFC988B" w14:textId="237020CB" w:rsidR="007E66A7" w:rsidRPr="00627B17" w:rsidRDefault="003E3102" w:rsidP="00B90336">
      <w:pPr>
        <w:pStyle w:val="Considrant"/>
      </w:pPr>
      <w:r w:rsidRPr="00627B17">
        <w:t>Ο κανονισμός (ΕΕ) 2017/2401 του Ευρωπαϊκού Κοινοβουλίου και του Συμβουλίου</w:t>
      </w:r>
      <w:r w:rsidRPr="00627B17">
        <w:rPr>
          <w:rStyle w:val="FootnoteReference"/>
        </w:rPr>
        <w:footnoteReference w:id="10"/>
      </w:r>
      <w:r w:rsidRPr="00627B17">
        <w:t xml:space="preserve"> τροποποίησε τον κανονισμό (ΕΕ) αριθ. 575/2013 ώστε να αντικατοπτρίζει τις κεφαλαιακές απαιτήσεις που ορίζονται στον εν λόγω κανονισμό και τα ειδικά χαρακτηριστικά των απλών, διαφανών και τυποποιημένων (STS) τιτλοποιήσεων όπως ορίζονται στον κανονισμό (ΕΕ) 2017/2402 του Ευρωπαϊκού Κοινοβουλίου και του Συμβουλίου</w:t>
      </w:r>
      <w:r w:rsidRPr="00627B17">
        <w:rPr>
          <w:rStyle w:val="FootnoteReference"/>
        </w:rPr>
        <w:footnoteReference w:id="11"/>
      </w:r>
      <w:r w:rsidRPr="00627B17">
        <w:t>. Είναι απαραίτητο να εισαχθούν νέα υποδείγματα και πίνακες δημοσιοποίησης με ποσοτικές και ποιοτικές πληροφορίες σχετικά με την τιτλοποίηση ώστε να αντικατοπτρίζουν αυτήν την τροποποίηση.</w:t>
      </w:r>
    </w:p>
    <w:p w14:paraId="3E7507C1" w14:textId="41231A67" w:rsidR="007E66A7" w:rsidRPr="00627B17" w:rsidRDefault="00387DA9" w:rsidP="007E66A7">
      <w:pPr>
        <w:pStyle w:val="Considrant"/>
        <w:rPr>
          <w:sz w:val="22"/>
        </w:rPr>
      </w:pPr>
      <w:r w:rsidRPr="00627B17">
        <w:t>Ο κανονισμός (ΕΕ) 2019/876 τροποποίησε ορισμένες απαιτήσεις δημοσιοποίησης σχετικά με τις αποδοχές που ορίζονται στον κανονισμό (ΕΕ) αριθ. 575/2013 ώστε να διασφαλίζεται ότι οι πολιτικές και οι πρακτικές αποδοχών για τις κατηγορίες προσωπικού οι επαγγελματικές δραστηριότητες των οποίων έχουν σημαντική επίπτωση στο προφίλ κινδύνου του ιδρύματος είναι συνεπείς με την αποτελεσματική διαχείριση κινδύνων. Θα πρέπει να καθοριστεί ένα σύνολο υποδειγμάτων και πινάκων δημοσιοποίησης που να εφαρμόζουν τις εν λόγω απαιτήσεις δημοσιοποίησης.</w:t>
      </w:r>
    </w:p>
    <w:p w14:paraId="023EA5B8" w14:textId="6CA470C7" w:rsidR="004427A5" w:rsidRPr="00627B17" w:rsidRDefault="004A1CDB" w:rsidP="007E66A7">
      <w:pPr>
        <w:pStyle w:val="Considrant"/>
        <w:rPr>
          <w:sz w:val="22"/>
        </w:rPr>
      </w:pPr>
      <w:r w:rsidRPr="00627B17">
        <w:t>Για να παρασχεθεί στα ιδρύματα το πλήρες και ολοκληρωμένο σύνολο ομοιόμορφων μορφοτύπων, υποδειγμάτων και πινάκων δημοσιοποίησης και να διασφαλιστούν δημοσιοποιήσεις υψηλής ποιότητας, είναι απαραίτητο να εισαχθεί ένα ενιαίο σύνολο τεχνικών προτύπων για τις δημοσιοποιήσεις. Είναι επομένως απαραίτητο να καταργηθούν ο εκτελεστικός κανονισμός (ΕΕ) αριθ. 1423/2013, ο κατ’ εξουσιοδότηση κανονισμός (ΕΕ) 2015/1555, ο εκτελεστικός κανονισμός (ΕΕ) 2016/200 και ο κατ’ εξουσιοδότηση κανονισμός (ΕΕ) 2017/2295.</w:t>
      </w:r>
    </w:p>
    <w:p w14:paraId="38682B7B" w14:textId="19020FBF" w:rsidR="004427A5" w:rsidRPr="00627B17" w:rsidRDefault="0094247F" w:rsidP="007E66A7">
      <w:pPr>
        <w:pStyle w:val="Considrant"/>
        <w:rPr>
          <w:sz w:val="22"/>
        </w:rPr>
      </w:pPr>
      <w:r w:rsidRPr="00627B17">
        <w:t>Προκειμένου να διασφαλιστούν έγκαιρες και ποιοτικές δημοσιοποιήσεις από τα ιδρύματα, θα πρέπει να τους δοθεί επαρκής χρόνος ώστε να προσαρμόσουν τα εσωτερικά τους συστήματα για τις δημοσιοποιήσεις.</w:t>
      </w:r>
    </w:p>
    <w:p w14:paraId="0F58EAE6" w14:textId="77777777" w:rsidR="007E66A7" w:rsidRPr="00627B17" w:rsidRDefault="007E66A7" w:rsidP="007E66A7">
      <w:pPr>
        <w:pStyle w:val="Considrant"/>
        <w:rPr>
          <w:noProof/>
        </w:rPr>
      </w:pPr>
      <w:r w:rsidRPr="00627B17">
        <w:t>Ο παρών κανονισμός βασίζεται στα σχέδια εκτελεστικών τεχνικών προτύπων που υπέβαλε η Ευρωπαϊκή Αρχή Τραπεζών (ΕΑΤ) στην Επιτροπή.</w:t>
      </w:r>
    </w:p>
    <w:p w14:paraId="61384288" w14:textId="77777777" w:rsidR="0004170D" w:rsidRPr="00627B17" w:rsidRDefault="00587191" w:rsidP="00453D69">
      <w:pPr>
        <w:pStyle w:val="Considrant"/>
        <w:rPr>
          <w:noProof/>
        </w:rPr>
      </w:pPr>
      <w:r w:rsidRPr="00627B17">
        <w:t>Η ΕΑΤ διενήργησε ανοικτές δημόσιες διαβουλεύσεις σχετικά με τα σχέδια εκτελεστικών τεχνικών προτύπων στα οποία βασίζεται ο παρών κανονισμός, ανέλυσε τα ενδεχόμενα συναφή κόστη και τις ωφέλειες και ζήτησε τις συμβουλές της ομάδας τραπεζικών συμφεροντούχων, που έχει συσταθεί σύμφωνα με το άρθρο 37 του κανονισμού (ΕΕ) αριθ. 1093/2010 του Ευρωπαϊκού Κοινοβουλίου και του Συμβουλίου</w:t>
      </w:r>
      <w:r w:rsidRPr="00627B17">
        <w:rPr>
          <w:rStyle w:val="FootnoteReference"/>
          <w:noProof/>
        </w:rPr>
        <w:footnoteReference w:id="12"/>
      </w:r>
      <w:r w:rsidRPr="00627B17">
        <w:t xml:space="preserve">, </w:t>
      </w:r>
    </w:p>
    <w:p w14:paraId="465D5876" w14:textId="77777777" w:rsidR="0004170D" w:rsidRPr="00627B17" w:rsidRDefault="0004170D" w:rsidP="009675DD">
      <w:pPr>
        <w:pStyle w:val="Formuledadoption"/>
      </w:pPr>
      <w:r w:rsidRPr="00627B17">
        <w:t>ΕΞΕΔΩΣΕ ΤΟΝ ΠΑΡΟΝΤΑ ΚΑΝΟΝΙΣΜΟ:</w:t>
      </w:r>
    </w:p>
    <w:p w14:paraId="6CA0BD21" w14:textId="643FC984" w:rsidR="00FF364B" w:rsidRPr="00627B17" w:rsidRDefault="00FF364B" w:rsidP="00FF364B">
      <w:pPr>
        <w:pStyle w:val="Titrearticle"/>
      </w:pPr>
      <w:r w:rsidRPr="00627B17">
        <w:t>Άρθρο 1</w:t>
      </w:r>
    </w:p>
    <w:p w14:paraId="6D84878F" w14:textId="77777777" w:rsidR="007E66A7" w:rsidRPr="00627B17" w:rsidRDefault="007E66A7" w:rsidP="007E66A7">
      <w:pPr>
        <w:pStyle w:val="Titrearticle"/>
        <w:spacing w:before="120"/>
        <w:rPr>
          <w:b/>
          <w:i w:val="0"/>
        </w:rPr>
      </w:pPr>
      <w:r w:rsidRPr="00627B17">
        <w:rPr>
          <w:b/>
          <w:i w:val="0"/>
        </w:rPr>
        <w:t>Δημοσιοποίηση βασικών μετρήσεων και επισκόπηση των ποσών των σταθμισμένων ως προς τον κίνδυνο ανοιγμάτων</w:t>
      </w:r>
    </w:p>
    <w:p w14:paraId="10515A6F" w14:textId="15D523D9" w:rsidR="007E66A7" w:rsidRPr="00627B17" w:rsidRDefault="007E66A7" w:rsidP="0043540D">
      <w:pPr>
        <w:pStyle w:val="NumPar1"/>
        <w:numPr>
          <w:ilvl w:val="0"/>
          <w:numId w:val="12"/>
        </w:numPr>
        <w:tabs>
          <w:tab w:val="clear" w:pos="850"/>
          <w:tab w:val="left" w:pos="567"/>
        </w:tabs>
        <w:ind w:left="0" w:firstLine="0"/>
      </w:pPr>
      <w:r w:rsidRPr="00627B17">
        <w:t>Τα ιδρύματα δημοσιοποιούν τις πληροφορίες που αναφέρονται στο άρθρο 447 στοιχεία α) έως ζ) και στο άρθρο 438 στοιχείο β) του κανονισμού (ΕΕ) αριθ. 575/2013 χρησιμοποιώντας το υπόδειγμα EU KM1 του παραρτήματος I του παρόντος κανονισμού και ακολουθώντας τις οδηγίες που ορίζονται στο παράρτημα II του παρόντος κανονισμού.</w:t>
      </w:r>
    </w:p>
    <w:p w14:paraId="1C0713F1" w14:textId="2AC5B746" w:rsidR="007E66A7" w:rsidRPr="00627B17" w:rsidRDefault="007E66A7" w:rsidP="00F5043B">
      <w:pPr>
        <w:pStyle w:val="NumPar1"/>
        <w:tabs>
          <w:tab w:val="clear" w:pos="850"/>
          <w:tab w:val="left" w:pos="567"/>
        </w:tabs>
        <w:ind w:left="0" w:firstLine="0"/>
      </w:pPr>
      <w:r w:rsidRPr="00627B17">
        <w:t>Τα ιδρύματα δημοσιοποιούν τις πληροφορίες που αναφέρονται στο άρθρο 438 στοιχείο δ) του κανονισμού (ΕΕ) αριθ. 575/2013 χρησιμοποιώντας το υπόδειγμα EU OV1 του παραρτήματος I του παρόντος κανονισμού και ακολουθώντας τις οδηγίες που ορίζονται στο παράρτημα II του παρόντος κανονισμού.</w:t>
      </w:r>
    </w:p>
    <w:p w14:paraId="5694C031" w14:textId="6F8BAA89" w:rsidR="007E66A7" w:rsidRPr="00627B17" w:rsidRDefault="007E66A7" w:rsidP="00F5043B">
      <w:pPr>
        <w:pStyle w:val="NumPar1"/>
        <w:tabs>
          <w:tab w:val="clear" w:pos="850"/>
          <w:tab w:val="left" w:pos="567"/>
        </w:tabs>
        <w:ind w:left="0" w:firstLine="0"/>
      </w:pPr>
      <w:r w:rsidRPr="00627B17">
        <w:t>Τα ιδρύματα δημοσιοποιούν τις πληροφορίες που αναφέρονται στο άρθρο 438 στοιχεία α) και γ) του κανονισμού (ΕΕ) αριθ. 575/2013 χρησιμοποιώντας το υπόδειγμα EU OVC που παρατίθεται στο παράρτημα I του παρόντος κανονισμού και ακολουθώντας τις οδηγίες που ορίζονται στο παράρτημα II του παρόντος κανονισμού.</w:t>
      </w:r>
    </w:p>
    <w:p w14:paraId="239E081F" w14:textId="1C4A0E84" w:rsidR="007E66A7" w:rsidRPr="00627B17" w:rsidRDefault="007E66A7" w:rsidP="00F5043B">
      <w:pPr>
        <w:pStyle w:val="NumPar1"/>
        <w:tabs>
          <w:tab w:val="clear" w:pos="850"/>
          <w:tab w:val="left" w:pos="567"/>
        </w:tabs>
        <w:ind w:left="0" w:firstLine="0"/>
      </w:pPr>
      <w:r w:rsidRPr="00627B17">
        <w:t>Τα ιδρύματα δημοσιοποιούν τις πληροφορίες που αναφέρονται στο άρθρο 438 στοιχεία στ) και ζ) του κανονισμού (ΕΕ) αριθ. 575/2013 χρησιμοποιώντας τα υποδείγματα EU INS1 και EU INS2 που παρατίθενται στο παράρτημα I του παρόντος κανονισμού και ακολουθώντας τις οδηγίες που ορίζονται στο παράρτημα II του παρόντος κανονισμού.</w:t>
      </w:r>
    </w:p>
    <w:p w14:paraId="00AA4B75" w14:textId="77777777" w:rsidR="00725875" w:rsidRPr="00627B17" w:rsidRDefault="00725875" w:rsidP="00725875">
      <w:pPr>
        <w:pStyle w:val="Titrearticle"/>
      </w:pPr>
      <w:r w:rsidRPr="00627B17">
        <w:t>Άρθρο 2</w:t>
      </w:r>
    </w:p>
    <w:p w14:paraId="201D71D7" w14:textId="77777777" w:rsidR="007E66A7" w:rsidRPr="00627B17" w:rsidRDefault="007E66A7" w:rsidP="007E66A7">
      <w:pPr>
        <w:pStyle w:val="Titrearticle"/>
        <w:spacing w:before="120"/>
        <w:rPr>
          <w:b/>
          <w:i w:val="0"/>
        </w:rPr>
      </w:pPr>
      <w:r w:rsidRPr="00627B17">
        <w:rPr>
          <w:b/>
          <w:i w:val="0"/>
        </w:rPr>
        <w:t>Δημοσιοποίηση στόχων και πολιτικών διαχείρισης κινδύνων</w:t>
      </w:r>
    </w:p>
    <w:p w14:paraId="24A510A3" w14:textId="6F22E094" w:rsidR="007E66A7" w:rsidRPr="00627B17" w:rsidRDefault="007E66A7" w:rsidP="007E66A7">
      <w:pPr>
        <w:rPr>
          <w:i/>
        </w:rPr>
      </w:pPr>
      <w:r w:rsidRPr="00627B17">
        <w:t>Τα ιδρύματα δημοσιοποιούν τις πληροφορίες που αναφέρονται στο άρθρο 435 του κανονισμού (ΕΕ) αριθ. 575/2013 χρησιμοποιώντας τους πίνακες EU OVA και EU OVB που παρατίθενται στο παράρτημα III του παρόντος κανονισμού και ακολουθώντας τις οδηγίες που ορίζονται στο παράρτημα IV του παρόντος κανονισμού.</w:t>
      </w:r>
    </w:p>
    <w:p w14:paraId="6B7BFFC9" w14:textId="1A03E595" w:rsidR="00725875" w:rsidRPr="00627B17" w:rsidRDefault="00725875" w:rsidP="00725875">
      <w:pPr>
        <w:pStyle w:val="Titrearticle"/>
      </w:pPr>
      <w:r w:rsidRPr="00627B17">
        <w:t>Άρθρο 3</w:t>
      </w:r>
    </w:p>
    <w:p w14:paraId="0F10BDEB" w14:textId="77777777" w:rsidR="009F40BE" w:rsidRPr="00627B17" w:rsidRDefault="009F40BE" w:rsidP="00F5043B">
      <w:pPr>
        <w:pStyle w:val="Titrearticle"/>
        <w:tabs>
          <w:tab w:val="left" w:pos="567"/>
        </w:tabs>
        <w:spacing w:before="120"/>
        <w:rPr>
          <w:b/>
          <w:i w:val="0"/>
        </w:rPr>
      </w:pPr>
      <w:r w:rsidRPr="00627B17">
        <w:rPr>
          <w:b/>
          <w:i w:val="0"/>
        </w:rPr>
        <w:t xml:space="preserve">Δημοσιοποίηση του πεδίου εφαρμογής </w:t>
      </w:r>
    </w:p>
    <w:p w14:paraId="10528DDB" w14:textId="1D023DA6" w:rsidR="009F40BE" w:rsidRPr="00627B17" w:rsidRDefault="009F40BE" w:rsidP="00F5043B">
      <w:pPr>
        <w:pStyle w:val="NumPar1"/>
        <w:numPr>
          <w:ilvl w:val="0"/>
          <w:numId w:val="10"/>
        </w:numPr>
        <w:tabs>
          <w:tab w:val="clear" w:pos="850"/>
          <w:tab w:val="left" w:pos="567"/>
        </w:tabs>
        <w:ind w:left="0" w:firstLine="0"/>
      </w:pPr>
      <w:r w:rsidRPr="00627B17">
        <w:t>Τα ιδρύματα δημοσιοποιούν τις πληροφορίες που αναφέρονται στο άρθρο 436 στοιχεία β) και γ) του κανονισμού (ΕΕ) αριθ. 575/2013 χρησιμοποιώντας τα υποδείγματα EU LI1 και EU LI3 του παραρτήματος V του παρόντος κανονισμού και ακολουθώντας τις οδηγίες που ορίζονται στο παράρτημα VI του παρόντος κανονισμού.</w:t>
      </w:r>
    </w:p>
    <w:p w14:paraId="4A18C7DA" w14:textId="677610A6" w:rsidR="009F40BE" w:rsidRPr="00627B17" w:rsidRDefault="009F40BE" w:rsidP="00F5043B">
      <w:pPr>
        <w:pStyle w:val="NumPar1"/>
        <w:tabs>
          <w:tab w:val="clear" w:pos="850"/>
          <w:tab w:val="left" w:pos="567"/>
        </w:tabs>
        <w:ind w:left="0" w:firstLine="0"/>
      </w:pPr>
      <w:r w:rsidRPr="00627B17">
        <w:t>Τα ιδρύματα δημοσιοποιούν τις πληροφορίες που αναφέρονται στο άρθρο 436 στοιχεία β) και δ) του κανονισμού (ΕΕ) αριθ. 575/2013 χρησιμοποιώντας το υπόδειγμα EU LI2 και τον πίνακα EU LIA του παραρτήματος V του παρόντος κανονισμού και ακολουθώντας τις οδηγίες που ορίζονται στο παράρτημα VI του παρόντος κανονισμού.</w:t>
      </w:r>
    </w:p>
    <w:p w14:paraId="33B7C000" w14:textId="77777777" w:rsidR="009F40BE" w:rsidRPr="00627B17" w:rsidRDefault="009F40BE" w:rsidP="00F5043B">
      <w:pPr>
        <w:pStyle w:val="NumPar1"/>
        <w:tabs>
          <w:tab w:val="clear" w:pos="850"/>
          <w:tab w:val="left" w:pos="567"/>
        </w:tabs>
        <w:ind w:left="0" w:firstLine="0"/>
      </w:pPr>
      <w:r w:rsidRPr="00627B17">
        <w:t>Τα ιδρύματα δημοσιοποιούν τις πληροφορίες που αναφέρονται στο άρθρο 436 στοιχείο ε) του κανονισμού (ΕΕ) αριθ. 575/2013 χρησιμοποιώντας το υπόδειγμα EU PV1 του παραρτήματος V του παρόντος κανονισμού και ακολουθώντας τις οδηγίες που ορίζονται στο παράρτημα VI του παρόντος κανονισμού.</w:t>
      </w:r>
    </w:p>
    <w:p w14:paraId="2B4D969E" w14:textId="77777777" w:rsidR="009F40BE" w:rsidRPr="00627B17" w:rsidRDefault="009F40BE" w:rsidP="00F5043B">
      <w:pPr>
        <w:pStyle w:val="NumPar1"/>
        <w:tabs>
          <w:tab w:val="clear" w:pos="850"/>
          <w:tab w:val="left" w:pos="567"/>
        </w:tabs>
        <w:ind w:left="0" w:firstLine="0"/>
      </w:pPr>
      <w:r w:rsidRPr="00627B17">
        <w:t>Τα ιδρύματα δημοσιοποιούν τις πληροφορίες που αναφέρονται στο άρθρο 436 στοιχεία στ), ζ) και η) του κανονισμού (ΕΕ) αριθ. 575/2013 χρησιμοποιώντας τον πίνακα EU LIB του παραρτήματος V του παρόντος κανονισμού και ακολουθώντας τις οδηγίες που ορίζονται στο παράρτημα VI του παρόντος κανονισμού.</w:t>
      </w:r>
    </w:p>
    <w:p w14:paraId="5A980456" w14:textId="7A03DA4D" w:rsidR="00725875" w:rsidRPr="00627B17" w:rsidRDefault="00725875" w:rsidP="00725875">
      <w:pPr>
        <w:pStyle w:val="Titrearticle"/>
      </w:pPr>
      <w:r w:rsidRPr="00627B17">
        <w:t>Άρθρο 4</w:t>
      </w:r>
    </w:p>
    <w:p w14:paraId="14EB4863" w14:textId="77777777" w:rsidR="009F40BE" w:rsidRPr="00627B17" w:rsidRDefault="009F40BE" w:rsidP="009F40BE">
      <w:pPr>
        <w:pStyle w:val="Titrearticle"/>
        <w:spacing w:before="120"/>
        <w:rPr>
          <w:b/>
          <w:i w:val="0"/>
        </w:rPr>
      </w:pPr>
      <w:r w:rsidRPr="00627B17">
        <w:rPr>
          <w:b/>
          <w:i w:val="0"/>
        </w:rPr>
        <w:t>Δημοσιοποίηση των ιδίων κεφαλαίων</w:t>
      </w:r>
    </w:p>
    <w:p w14:paraId="2144BC15" w14:textId="00DAA361" w:rsidR="009F40BE" w:rsidRPr="00627B17" w:rsidRDefault="009F40BE" w:rsidP="009F40BE">
      <w:pPr>
        <w:rPr>
          <w:i/>
        </w:rPr>
      </w:pPr>
      <w:r w:rsidRPr="00627B17">
        <w:t>Τα ιδρύματα δημοσιοποιούν τις πληροφορίες που αναφέρονται στο άρθρο 437 του κανονισμού (ΕΕ) αριθ. 575/2013, ως εξής:</w:t>
      </w:r>
    </w:p>
    <w:p w14:paraId="64F03B5B" w14:textId="7E9E424B" w:rsidR="009F40BE" w:rsidRPr="00627B17" w:rsidRDefault="00627B17" w:rsidP="00627B17">
      <w:pPr>
        <w:pStyle w:val="Point1"/>
      </w:pPr>
      <w:r>
        <w:t>α)</w:t>
      </w:r>
      <w:r w:rsidRPr="00627B17">
        <w:tab/>
      </w:r>
      <w:r w:rsidR="005F490A" w:rsidRPr="00627B17">
        <w:t>τις πληροφορίες που αναφέρονται στο άρθρο 437 στοιχεία α), δ), ε) και στ) του κανονισμού (ΕΕ) αριθ. 575/2013 χρησιμοποιώντας τα υποδείγματα EU CC1 και EU CC2 του παραρτήματος VII του παρόντος κανονισμού και ακολουθώντας τις οδηγίες που ορίζονται στο παράρτημα VIII του παρόντος κανονισμού</w:t>
      </w:r>
    </w:p>
    <w:p w14:paraId="6F220811" w14:textId="09919890" w:rsidR="009F40BE" w:rsidRPr="00627B17" w:rsidRDefault="00627B17" w:rsidP="00627B17">
      <w:pPr>
        <w:pStyle w:val="Point1"/>
      </w:pPr>
      <w:r>
        <w:t>β)</w:t>
      </w:r>
      <w:r w:rsidRPr="00627B17">
        <w:tab/>
      </w:r>
      <w:r w:rsidR="005F490A" w:rsidRPr="00627B17">
        <w:t>τις πληροφορίες που αναφέρονται στο άρθρο 437 στοιχεία β) και γ) του κανονισμού (ΕΕ) αριθ. 575/2013 χρησιμοποιώντας τον πίνακα EU CCA του παραρτήματος VII του παρόντος κανονισμού και ακολουθώντας τις οδηγίες που ορίζονται στο παράρτημα VIII του παρόντος κανονισμού.</w:t>
      </w:r>
    </w:p>
    <w:p w14:paraId="079C779B" w14:textId="5EBA66D3" w:rsidR="00A10245" w:rsidRPr="00627B17" w:rsidRDefault="00A10245" w:rsidP="00A10245">
      <w:pPr>
        <w:pStyle w:val="Titrearticle"/>
      </w:pPr>
      <w:r w:rsidRPr="00627B17">
        <w:t xml:space="preserve">Άρθρο 5 </w:t>
      </w:r>
    </w:p>
    <w:p w14:paraId="18A51980" w14:textId="77777777" w:rsidR="009F40BE" w:rsidRPr="00627B17" w:rsidRDefault="009F40BE" w:rsidP="009F40BE">
      <w:pPr>
        <w:pStyle w:val="Titrearticle"/>
        <w:spacing w:before="120"/>
        <w:rPr>
          <w:b/>
          <w:i w:val="0"/>
        </w:rPr>
      </w:pPr>
      <w:r w:rsidRPr="00627B17">
        <w:rPr>
          <w:b/>
          <w:i w:val="0"/>
        </w:rPr>
        <w:t>Δημοσιοποίηση των αντικυκλικών κεφαλαιακών αποθεμάτων ασφαλείας</w:t>
      </w:r>
    </w:p>
    <w:p w14:paraId="10D01314" w14:textId="30079B66" w:rsidR="009F40BE" w:rsidRPr="00627B17" w:rsidRDefault="009F40BE" w:rsidP="009F40BE">
      <w:r w:rsidRPr="00627B17">
        <w:t>Τα ιδρύματα δημοσιοποιούν τις πληροφορίες που αναφέρονται στο άρθρο 440 του κανονισμού (ΕΕ) αριθ. 575/2013 ως εξής:</w:t>
      </w:r>
    </w:p>
    <w:p w14:paraId="197895FF" w14:textId="6D2FC50A" w:rsidR="009F40BE" w:rsidRPr="00627B17" w:rsidRDefault="00627B17" w:rsidP="00627B17">
      <w:pPr>
        <w:pStyle w:val="Point1"/>
      </w:pPr>
      <w:r>
        <w:t>α)</w:t>
      </w:r>
      <w:r w:rsidRPr="00627B17">
        <w:tab/>
      </w:r>
      <w:r w:rsidR="005F490A" w:rsidRPr="00627B17">
        <w:t>τις πληροφορίες που αναφέρονται στο άρθρο 440 στοιχείο α) του κανονισμού (ΕΕ) αριθ. 575/2013 χρησιμοποιώντας το υπόδειγμα EU CCYB1 του παραρτήματος IX του παρόντος κανονισμού και ακολουθώντας τις οδηγίες που ορίζονται στο παράρτημα X του παρόντος κανονισμού,</w:t>
      </w:r>
    </w:p>
    <w:p w14:paraId="421F2629" w14:textId="0FC7D8DF" w:rsidR="009F40BE" w:rsidRPr="00627B17" w:rsidRDefault="00627B17" w:rsidP="00627B17">
      <w:pPr>
        <w:pStyle w:val="Point1"/>
      </w:pPr>
      <w:r>
        <w:t>β)</w:t>
      </w:r>
      <w:r w:rsidRPr="00627B17">
        <w:tab/>
      </w:r>
      <w:r w:rsidR="00E42EC8" w:rsidRPr="00627B17">
        <w:t>τις πληροφορίες που αναφέρονται στο άρθρο 440 στοιχείο β) του κανονισμού (ΕΕ) αριθ. 575/2013 χρησιμοποιώντας το υπόδειγμα EU CCYB2 του παραρτήματος IX του παρόντος κανονισμού και ακολουθώντας τις οδηγίες που ορίζονται στο παράρτημα X του παρόντος κανονισμού.</w:t>
      </w:r>
    </w:p>
    <w:p w14:paraId="4007DA85" w14:textId="2EE168D4" w:rsidR="00496B08" w:rsidRPr="00627B17" w:rsidRDefault="00496B08" w:rsidP="00496B08">
      <w:pPr>
        <w:pStyle w:val="Titrearticle"/>
      </w:pPr>
      <w:r w:rsidRPr="00627B17">
        <w:t>Άρθρο 6</w:t>
      </w:r>
    </w:p>
    <w:p w14:paraId="0857022D" w14:textId="77777777" w:rsidR="009F40BE" w:rsidRPr="00627B17" w:rsidRDefault="009F40BE" w:rsidP="009F40BE">
      <w:pPr>
        <w:pStyle w:val="Titrearticle"/>
        <w:spacing w:before="120"/>
        <w:rPr>
          <w:b/>
          <w:i w:val="0"/>
        </w:rPr>
      </w:pPr>
      <w:r w:rsidRPr="00627B17">
        <w:rPr>
          <w:b/>
          <w:i w:val="0"/>
        </w:rPr>
        <w:t>Δημοσιοποίηση του δείκτη μόχλευσης</w:t>
      </w:r>
    </w:p>
    <w:p w14:paraId="0CFB345E" w14:textId="204FA202" w:rsidR="009F40BE" w:rsidRPr="00627B17" w:rsidRDefault="009F40BE" w:rsidP="009F40BE">
      <w:r w:rsidRPr="00627B17">
        <w:t>Τα ιδρύματα δημοσιοποιούν τις πληροφορίες που αναφέρονται στο άρθρο 451 του κανονισμού (ΕΕ) αριθ. 575/2013 ως εξής:</w:t>
      </w:r>
    </w:p>
    <w:p w14:paraId="1C14C095" w14:textId="0EA574A9" w:rsidR="009F40BE" w:rsidRPr="00627B17" w:rsidRDefault="00627B17" w:rsidP="00627B17">
      <w:pPr>
        <w:pStyle w:val="Point1"/>
      </w:pPr>
      <w:r>
        <w:t>α)</w:t>
      </w:r>
      <w:r w:rsidRPr="00627B17">
        <w:tab/>
      </w:r>
      <w:r w:rsidR="00786078" w:rsidRPr="00627B17">
        <w:t>τις πληροφορίες που αναφέρονται στο άρθρο 451 παράγραφος 1 στοιχεία α), β) και γ) και στο άρθρο 451 παράγραφοι 2 και 3 του κανονισμού (ΕΕ) αριθ. 575/2013 χρησιμοποιώντας τα υποδείγματα EU LR1, EU LR2 και EU LR3 του παραρτήματος XI του παρόντος κανονισμού και ακολουθώντας τις οδηγίες που ορίζονται στο παράρτημα XII του παρόντος κανονισμού,</w:t>
      </w:r>
    </w:p>
    <w:p w14:paraId="632CE413" w14:textId="4F184290" w:rsidR="009F40BE" w:rsidRPr="00627B17" w:rsidRDefault="00627B17" w:rsidP="00627B17">
      <w:pPr>
        <w:pStyle w:val="Point1"/>
      </w:pPr>
      <w:r>
        <w:t>β)</w:t>
      </w:r>
      <w:r w:rsidRPr="00627B17">
        <w:tab/>
      </w:r>
      <w:r w:rsidR="00786078" w:rsidRPr="00627B17">
        <w:t>τις πληροφορίες που αναφέρονται στο άρθρο 451 παράγραφος 1 στοιχεία δ) και ε) του κανονισμού (ΕΕ) αριθ. 575/2013 χρησιμοποιώντας τον πίνακα EU LRA του παραρτήματος XI του παρόντος κανονισμού και ακολουθώντας τις οδηγίες που ορίζονται στο παράρτημα XII του παρόντος κανονισμού.</w:t>
      </w:r>
    </w:p>
    <w:p w14:paraId="4C36A5D6" w14:textId="2A06F27B" w:rsidR="00496B08" w:rsidRPr="00627B17" w:rsidRDefault="00496B08" w:rsidP="00496B08">
      <w:pPr>
        <w:pStyle w:val="Titrearticle"/>
      </w:pPr>
      <w:r w:rsidRPr="00627B17">
        <w:t>Άρθρο 7</w:t>
      </w:r>
    </w:p>
    <w:p w14:paraId="6784E306" w14:textId="77777777" w:rsidR="00A858BC" w:rsidRPr="00627B17" w:rsidRDefault="00A858BC" w:rsidP="00A858BC">
      <w:pPr>
        <w:pStyle w:val="Titrearticle"/>
        <w:spacing w:before="120"/>
        <w:rPr>
          <w:b/>
          <w:i w:val="0"/>
        </w:rPr>
      </w:pPr>
      <w:r w:rsidRPr="00627B17">
        <w:rPr>
          <w:b/>
          <w:i w:val="0"/>
        </w:rPr>
        <w:t>Δημοσιοποίηση των απαιτήσεων ρευστότητας</w:t>
      </w:r>
    </w:p>
    <w:p w14:paraId="700646AD" w14:textId="45F364CC" w:rsidR="000715FC" w:rsidRPr="00627B17" w:rsidRDefault="000715FC" w:rsidP="003D44B9">
      <w:pPr>
        <w:rPr>
          <w:i/>
        </w:rPr>
      </w:pPr>
      <w:r w:rsidRPr="00627B17">
        <w:t>Τα ιδρύματα δημοσιοποιούν τις πληροφορίες που αναφέρονται στο άρθρο 435 παράγραφος 1 και στο άρθρο 451α του κανονισμού (ΕΕ) αριθ. 575/2013 ως εξής:</w:t>
      </w:r>
    </w:p>
    <w:p w14:paraId="3BD25176" w14:textId="1FDE0C8D" w:rsidR="00A858BC" w:rsidRPr="00627B17" w:rsidRDefault="00627B17" w:rsidP="00627B17">
      <w:pPr>
        <w:pStyle w:val="Point1"/>
      </w:pPr>
      <w:r>
        <w:t>α)</w:t>
      </w:r>
      <w:r w:rsidRPr="00627B17">
        <w:tab/>
      </w:r>
      <w:r w:rsidR="00D001B4" w:rsidRPr="00627B17">
        <w:t>τις πληροφορίες που αναφέρονται στο άρθρο 435 παράγραφος 1 και στο άρθρο 451α παράγραφος 4 του κανονισμού (ΕΕ) αριθ. 575/2013 χρησιμοποιώντας τον πίνακα EU LIQA του παραρτήματος XIII του παρόντος κανονισμού και ακολουθώντας τις οδηγίες που ορίζονται στο παράρτημα XIV του παρόντος κανονισμού,</w:t>
      </w:r>
    </w:p>
    <w:p w14:paraId="0E8BE407" w14:textId="670B52F1" w:rsidR="00A858BC" w:rsidRPr="00627B17" w:rsidRDefault="00627B17" w:rsidP="00627B17">
      <w:pPr>
        <w:pStyle w:val="Point1"/>
      </w:pPr>
      <w:r>
        <w:t>β)</w:t>
      </w:r>
      <w:r w:rsidRPr="00627B17">
        <w:tab/>
      </w:r>
      <w:r w:rsidR="00D001B4" w:rsidRPr="00627B17">
        <w:t>τις πληροφορίες που αναφέρονται στο άρθρο 451α παράγραφος 2 του κανονισμού (ΕΕ) αριθ. 575/2013 χρησιμοποιώντας το υπόδειγμα EU LIQ1 και τον πίνακα EU LIQB του παραρτήματος XIII του παρόντος κανονισμού και ακολουθώντας τις οδηγίες που ορίζονται στο παράρτημα XIV του παρόντος κανονισμού,</w:t>
      </w:r>
    </w:p>
    <w:p w14:paraId="27B790F3" w14:textId="3774CC05" w:rsidR="00A858BC" w:rsidRPr="00627B17" w:rsidRDefault="00627B17" w:rsidP="00627B17">
      <w:pPr>
        <w:pStyle w:val="Point1"/>
      </w:pPr>
      <w:r>
        <w:t>γ)</w:t>
      </w:r>
      <w:r w:rsidRPr="00627B17">
        <w:tab/>
      </w:r>
      <w:r w:rsidR="00D001B4" w:rsidRPr="00627B17">
        <w:t>τις πληροφορίες που αναφέρονται στο άρθρο 451α παράγραφος 3 του κανονισμού (ΕΕ) αριθ. 575/2013 χρησιμοποιώντας το υπόδειγμα EU LIQ2 του παραρτήματος XIII του παρόντος κανονισμού και ακολουθώντας τις οδηγίες που ορίζονται στο παράρτημα XIV του παρόντος κανονισμού.</w:t>
      </w:r>
    </w:p>
    <w:p w14:paraId="48407ACA" w14:textId="256EC5A5" w:rsidR="00496B08" w:rsidRPr="00627B17" w:rsidRDefault="00496B08" w:rsidP="00496B08">
      <w:pPr>
        <w:pStyle w:val="Titrearticle"/>
      </w:pPr>
      <w:r w:rsidRPr="00627B17">
        <w:t>Άρθρο 8</w:t>
      </w:r>
    </w:p>
    <w:p w14:paraId="6CB38048" w14:textId="77777777" w:rsidR="00A858BC" w:rsidRPr="00627B17" w:rsidRDefault="00A858BC" w:rsidP="00A858BC">
      <w:pPr>
        <w:pStyle w:val="Titrearticle"/>
        <w:spacing w:before="120"/>
        <w:rPr>
          <w:b/>
          <w:i w:val="0"/>
        </w:rPr>
      </w:pPr>
      <w:r w:rsidRPr="00627B17">
        <w:rPr>
          <w:b/>
          <w:i w:val="0"/>
        </w:rPr>
        <w:t>Δημοσιοποίηση ανοιγμάτων σε πιστωτικό κίνδυνο, κίνδυνο απομείωσης της αξίας και πιστωτική ποιότητα</w:t>
      </w:r>
    </w:p>
    <w:p w14:paraId="3D4D2F63" w14:textId="25A1151F" w:rsidR="00A858BC" w:rsidRPr="00627B17" w:rsidRDefault="00A858BC" w:rsidP="0043540D">
      <w:pPr>
        <w:pStyle w:val="NumPar1"/>
        <w:numPr>
          <w:ilvl w:val="0"/>
          <w:numId w:val="16"/>
        </w:numPr>
        <w:tabs>
          <w:tab w:val="clear" w:pos="850"/>
          <w:tab w:val="left" w:pos="567"/>
        </w:tabs>
        <w:ind w:left="0" w:firstLine="0"/>
      </w:pPr>
      <w:r w:rsidRPr="00627B17">
        <w:t>Τα ιδρύματα δημοσιοποιούν τις πληροφορίες που αναφέρονται στα άρθρα 435 και 442 του κανονισμού (ΕΕ) αριθ. 575/2013 ως εξής:</w:t>
      </w:r>
    </w:p>
    <w:p w14:paraId="551FABBA" w14:textId="3F61A0A9" w:rsidR="00A858BC" w:rsidRPr="00627B17" w:rsidRDefault="00627B17" w:rsidP="00627B17">
      <w:pPr>
        <w:pStyle w:val="Point1"/>
      </w:pPr>
      <w:r>
        <w:t>α)</w:t>
      </w:r>
      <w:r w:rsidRPr="00627B17">
        <w:tab/>
      </w:r>
      <w:r w:rsidR="00D001B4" w:rsidRPr="00627B17">
        <w:t>τις πληροφορίες που αναφέρονται στο άρθρο 435 παράγραφος 1 στοιχεία α), β), δ) και στ) του κανονισμού (ΕΕ) αριθ. 575/2013 χρησιμοποιώντας τον πίνακα EU CRA του παραρτήματος XV του παρόντος κανονισμού και ακολουθώντας τις οδηγίες που ορίζονται στο παράρτημα XVI του παρόντος κανονισμού,</w:t>
      </w:r>
    </w:p>
    <w:p w14:paraId="3B0BD257" w14:textId="5AFE163C" w:rsidR="00A858BC" w:rsidRPr="00627B17" w:rsidRDefault="00627B17" w:rsidP="00627B17">
      <w:pPr>
        <w:pStyle w:val="Point1"/>
      </w:pPr>
      <w:r>
        <w:t>β)</w:t>
      </w:r>
      <w:r w:rsidRPr="00627B17">
        <w:tab/>
      </w:r>
      <w:r w:rsidR="00D001B4" w:rsidRPr="00627B17">
        <w:t>τις πληροφορίες που αναφέρονται στο άρθρο 442 στοιχεία α) και β) του κανονισμού (ΕΕ) αριθ. 575/2013 χρησιμοποιώντας τον πίνακα EU CRB του παραρτήματος XV του παρόντος κανονισμού και ακολουθώντας τις οδηγίες που ορίζονται στο παράρτημα XVI του παρόντος κανονισμού,</w:t>
      </w:r>
    </w:p>
    <w:p w14:paraId="4F91304B" w14:textId="20D2CA5D" w:rsidR="00A858BC" w:rsidRPr="00627B17" w:rsidRDefault="00627B17" w:rsidP="00627B17">
      <w:pPr>
        <w:pStyle w:val="Point1"/>
      </w:pPr>
      <w:r>
        <w:t>γ)</w:t>
      </w:r>
      <w:r w:rsidRPr="00627B17">
        <w:tab/>
      </w:r>
      <w:r w:rsidR="00D001B4" w:rsidRPr="00627B17">
        <w:t>τις πληροφορίες που αναφέρονται στο άρθρο 442 στοιχείο δ) του κανονισμού (ΕΕ) αριθ. 575/2013 χρησιμοποιώντας το υπόδειγμα EU CQ3 του παραρτήματος XV του παρόντος κανονισμού και ακολουθώντας τις οδηγίες που ορίζονται στο παράρτημα XVI του παρόντος κανονισμού,</w:t>
      </w:r>
    </w:p>
    <w:p w14:paraId="0FF67B2D" w14:textId="068F5F5D" w:rsidR="00A858BC" w:rsidRPr="00627B17" w:rsidRDefault="00627B17" w:rsidP="00627B17">
      <w:pPr>
        <w:pStyle w:val="Point1"/>
      </w:pPr>
      <w:r>
        <w:t>δ)</w:t>
      </w:r>
      <w:r w:rsidRPr="00627B17">
        <w:tab/>
      </w:r>
      <w:r w:rsidR="00D001B4" w:rsidRPr="00627B17">
        <w:t>τις πληροφορίες που αναφέρονται στο άρθρο 442 στοιχείο ζ) του κανονισμού (ΕΕ) αριθ. 575/2013 χρησιμοποιώντας το υπόδειγμα EU CR1-A του παραρτήματος XV του παρόντος κανονισμού και ακολουθώντας τις οδηγίες που ορίζονται στο παράρτημα XVI του παρόντος κανονισμού,</w:t>
      </w:r>
    </w:p>
    <w:p w14:paraId="7DE01D39" w14:textId="490F457C" w:rsidR="00A858BC" w:rsidRPr="00627B17" w:rsidRDefault="00627B17" w:rsidP="00627B17">
      <w:pPr>
        <w:pStyle w:val="Point1"/>
      </w:pPr>
      <w:r>
        <w:t>ε)</w:t>
      </w:r>
      <w:r w:rsidRPr="00627B17">
        <w:tab/>
      </w:r>
      <w:r w:rsidR="00D001B4" w:rsidRPr="00627B17">
        <w:t>τις πληροφορίες που αναφέρονται στο άρθρο 442 στοιχείο στ) του κανονισμού (ΕΕ) αριθ. 575/2013 χρησιμοποιώντας το υπόδειγμα EU CR2 του παραρτήματος XV του παρόντος κανονισμού και ακολουθώντας τις οδηγίες που ορίζονται στο παράρτημα XVI του παρόντος κανονισμού.</w:t>
      </w:r>
    </w:p>
    <w:p w14:paraId="27C265A9" w14:textId="77777777" w:rsidR="00DF14E1" w:rsidRPr="00627B17" w:rsidRDefault="00A858BC" w:rsidP="00DF14E1">
      <w:pPr>
        <w:pStyle w:val="NumPar1"/>
        <w:tabs>
          <w:tab w:val="clear" w:pos="850"/>
          <w:tab w:val="left" w:pos="567"/>
        </w:tabs>
        <w:ind w:left="0" w:firstLine="0"/>
      </w:pPr>
      <w:r w:rsidRPr="00627B17">
        <w:t>Τα ιδρύματα δημοσιοποιούν τις πληροφορίες που αναφέρονται στο άρθρο 442 στοιχεία γ), ε) και στ) του κανονισμού (ΕΕ) αριθ. 575/2013 χρησιμοποιώντας τα υποδείγματα EU CR1, EU CQ1 και EU CQ7, το υπόδειγμα EU CQ4 στήλες α, γ, ε, στ και ζ και το υπόδειγμα EU CQ5 στήλες α, γ, ε και στ που παρατίθενται στο παράρτημα XV του παρόντος κανονισμού και ακολουθώντας τις οδηγίες που ορίζονται στο παράρτημα XVI του παρόντος κανονισμού.</w:t>
      </w:r>
    </w:p>
    <w:p w14:paraId="12433EF1" w14:textId="245C024E" w:rsidR="00A858BC" w:rsidRPr="00627B17" w:rsidRDefault="00956448" w:rsidP="00DF14E1">
      <w:pPr>
        <w:pStyle w:val="NumPar1"/>
        <w:tabs>
          <w:tab w:val="clear" w:pos="850"/>
          <w:tab w:val="left" w:pos="567"/>
        </w:tabs>
        <w:ind w:left="0" w:firstLine="0"/>
      </w:pPr>
      <w:r w:rsidRPr="00627B17">
        <w:t xml:space="preserve">Τα μεγάλα ιδρύματα που έχουν αναλογία μεταξύ της ακαθάριστης λογιστικής αξίας των δανείων και προκαταβολών που εμπίπτουν στο άρθρο 47α παράγραφος 3 του κανονισμού (ΕΕ) αριθ. 575/2013 και της συνολικής ακαθάριστης λογιστικής αξίας των δανείων και προκαταβολών που εμπίπτουν στο άρθρο 47α παράγραφος 1 του κανονισμού (ΕΕ) αριθ. 575/2013 ίση ή μεγαλύτερη του 5 %, εκτός από τα υποδείγματα και τις στήλες που αναφέρονται στην παράγραφο 2, δημοσιοποιούν τις πληροφορίες που αναφέρονται στο άρθρο 442 στοιχεία γ) και στ) του κανονισμού (ΕΕ) αριθ. 575/2013 χρησιμοποιώντας τα υποδείγματα EU CR2a, EU CQ2, EU CQ6 και EU CQ8 και τα υποδείγματα EU CQ4 και EU CQ5 στήλες β και δ που παρατίθενται στο παράρτημα XV του παρόντος κανονισμού ακολουθώντας τις οδηγίες που παρατίθενται στο παράρτημα XVI. Δημοσιοποιούν τις πληροφορίες αυτές σε ετήσια βάση. </w:t>
      </w:r>
    </w:p>
    <w:p w14:paraId="38D26DBB" w14:textId="2FAF3A75" w:rsidR="00A858BC" w:rsidRPr="00627B17" w:rsidRDefault="00A858BC" w:rsidP="00F5043B">
      <w:pPr>
        <w:pStyle w:val="NumPar1"/>
        <w:tabs>
          <w:tab w:val="clear" w:pos="850"/>
          <w:tab w:val="left" w:pos="567"/>
        </w:tabs>
        <w:ind w:left="0" w:firstLine="0"/>
      </w:pPr>
      <w:r w:rsidRPr="00627B17">
        <w:t>Για τους σκοπούς της παραγράφου 3, τα δάνεια και οι προκαταβολές που ταξινομούνται ως διακρατούμενα προς πώληση, τα διαθέσιμα υπόλοιπα σε κεντρικές τράπεζες και οι λοιπές καταθέσεις όψεως εξαιρούνται τόσο από τον παρονομαστή όσο και από τον αριθμητή του δείκτη.</w:t>
      </w:r>
    </w:p>
    <w:p w14:paraId="7BC87207" w14:textId="124F936C" w:rsidR="00A858BC" w:rsidRPr="00627B17" w:rsidRDefault="00A858BC" w:rsidP="00F5043B">
      <w:pPr>
        <w:pStyle w:val="NumPar1"/>
        <w:tabs>
          <w:tab w:val="clear" w:pos="850"/>
          <w:tab w:val="left" w:pos="567"/>
        </w:tabs>
        <w:ind w:left="0" w:firstLine="0"/>
      </w:pPr>
      <w:r w:rsidRPr="00627B17">
        <w:t>Τα ιδρύματα ξεκινούν τη δημοσιοποίηση σύμφωνα με την παράγραφο 3 όταν έχουν φτάσει ή υπερβεί το κατώτατο όριο του 5 % που αναφέρεται στην εν λόγω παράγραφο για δύο διαδοχικά τρίμηνα κατά τη διάρκεια των τεσσάρων τριμήνων πριν από την ημερομηνία αναφοράς της δημοσιοποίησης. Για την ημερομηνία αναφοράς της πρώτης δημοσιοποίησης, τα ιδρύματα δημοσιοποιούν τις σχετικές πληροφορίες χρησιμοποιώντας τα υποδείγματα που αναφέρονται στην εν λόγω παράγραφο όταν υπερβαίνουν το κατώτατο όριο του 5 % κατά την εν λόγω ημερομηνία αναφοράς της δημοσιοποίησης.</w:t>
      </w:r>
    </w:p>
    <w:p w14:paraId="53CB613D" w14:textId="11D744EC" w:rsidR="00A858BC" w:rsidRPr="00627B17" w:rsidRDefault="00A858BC" w:rsidP="00F5043B">
      <w:pPr>
        <w:pStyle w:val="NumPar1"/>
        <w:tabs>
          <w:tab w:val="clear" w:pos="850"/>
          <w:tab w:val="left" w:pos="567"/>
        </w:tabs>
        <w:ind w:left="0" w:firstLine="0"/>
      </w:pPr>
      <w:r w:rsidRPr="00627B17">
        <w:t>Τα ιδρύματα δεν υποχρεούνται να δημοσιοποιούν πλέον σύμφωνα με την παράγραφο 3 όταν έχουν πέσει κάτω από το κατώτατο όριο του 5 % για τρία συνεχόμενα τρίμηνα κατά τη διάρκεια των τεσσάρων τριμήνων πριν από την ημερομηνία αναφοράς της δημοσιοποίησης</w:t>
      </w:r>
    </w:p>
    <w:p w14:paraId="3C5E542D" w14:textId="01D8911B" w:rsidR="00496B08" w:rsidRPr="00627B17" w:rsidRDefault="00496B08" w:rsidP="00496B08">
      <w:pPr>
        <w:pStyle w:val="Titrearticle"/>
      </w:pPr>
      <w:r w:rsidRPr="00627B17">
        <w:t>Άρθρο 9</w:t>
      </w:r>
    </w:p>
    <w:p w14:paraId="09D01539" w14:textId="77777777" w:rsidR="00A858BC" w:rsidRPr="00627B17" w:rsidRDefault="00A858BC" w:rsidP="00A858BC">
      <w:pPr>
        <w:pStyle w:val="Titrearticle"/>
        <w:spacing w:before="120"/>
        <w:rPr>
          <w:b/>
          <w:i w:val="0"/>
        </w:rPr>
      </w:pPr>
      <w:r w:rsidRPr="00627B17">
        <w:rPr>
          <w:b/>
          <w:i w:val="0"/>
        </w:rPr>
        <w:t xml:space="preserve">Δημοσιοποίηση της χρήσης τεχνικών μείωσης πιστωτικού κινδύνου </w:t>
      </w:r>
    </w:p>
    <w:p w14:paraId="0ECADB24" w14:textId="707BAB41" w:rsidR="00A858BC" w:rsidRPr="00627B17" w:rsidRDefault="00A858BC" w:rsidP="00A858BC">
      <w:pPr>
        <w:rPr>
          <w:i/>
        </w:rPr>
      </w:pPr>
      <w:r w:rsidRPr="00627B17">
        <w:t>Τα ιδρύματα δημοσιοποιούν τις πληροφορίες που αναφέρονται στο άρθρο 453 στοιχεία α) έως στ) του κανονισμού (ΕΕ) αριθ. 575/2013 ως εξής:</w:t>
      </w:r>
    </w:p>
    <w:p w14:paraId="1745A6BC" w14:textId="5AD459FE" w:rsidR="00A858BC" w:rsidRPr="00627B17" w:rsidRDefault="00627B17" w:rsidP="00627B17">
      <w:pPr>
        <w:pStyle w:val="Point1"/>
      </w:pPr>
      <w:r>
        <w:t>α)</w:t>
      </w:r>
      <w:r w:rsidRPr="00627B17">
        <w:tab/>
      </w:r>
      <w:r w:rsidR="00F53E64" w:rsidRPr="00627B17">
        <w:t>τις πληροφορίες που αναφέρονται στο άρθρο 453 στοιχεία α) έως ε) του κανονισμού (ΕΕ) αριθ. 575/2013 χρησιμοποιώντας τον πίνακα EU CRC του παραρτήματος XVII του παρόντος κανονισμού και ακολουθώντας τις οδηγίες που ορίζονται στο παράρτημα XVIII του παρόντος κανονισμού,</w:t>
      </w:r>
    </w:p>
    <w:p w14:paraId="661A25AE" w14:textId="085391DE" w:rsidR="00A858BC" w:rsidRPr="00627B17" w:rsidRDefault="00627B17" w:rsidP="00627B17">
      <w:pPr>
        <w:pStyle w:val="Point1"/>
      </w:pPr>
      <w:r>
        <w:t>β)</w:t>
      </w:r>
      <w:r w:rsidRPr="00627B17">
        <w:tab/>
      </w:r>
      <w:r w:rsidR="00F53E64" w:rsidRPr="00627B17">
        <w:t>τις πληροφορίες που αναφέρονται στο άρθρο 453 στοιχείο στ) του κανονισμού (ΕΕ) αριθ. 575/2013 χρησιμοποιώντας το υπόδειγμα EU CR3 του παραρτήματος XVII του παρόντος κανονισμού και ακολουθώντας τις οδηγίες που ορίζονται στο παράρτημα XVIII του παρόντος κανονισμού.</w:t>
      </w:r>
    </w:p>
    <w:p w14:paraId="14246492" w14:textId="5365C73C" w:rsidR="000B18AB" w:rsidRPr="00627B17" w:rsidRDefault="000B18AB" w:rsidP="000B18AB">
      <w:pPr>
        <w:pStyle w:val="Titrearticle"/>
      </w:pPr>
      <w:r w:rsidRPr="00627B17">
        <w:t xml:space="preserve">Άρθρο 10 </w:t>
      </w:r>
    </w:p>
    <w:p w14:paraId="5332FF24" w14:textId="77777777" w:rsidR="00A858BC" w:rsidRPr="00627B17" w:rsidRDefault="00A858BC" w:rsidP="00A858BC">
      <w:pPr>
        <w:pStyle w:val="Titrearticle"/>
        <w:spacing w:before="120"/>
        <w:rPr>
          <w:b/>
          <w:i w:val="0"/>
        </w:rPr>
      </w:pPr>
      <w:r w:rsidRPr="00627B17">
        <w:rPr>
          <w:b/>
          <w:i w:val="0"/>
        </w:rPr>
        <w:t>Δημοσιοποίηση της χρήσης της τυποποιημένης μεθόδου</w:t>
      </w:r>
    </w:p>
    <w:p w14:paraId="6672FA91" w14:textId="105D032F" w:rsidR="00A858BC" w:rsidRPr="00627B17" w:rsidRDefault="00A858BC" w:rsidP="00A858BC">
      <w:r w:rsidRPr="00627B17">
        <w:t>Τα ιδρύματα που υπολογίζουν τα ποσά των σταθμισμένων ως προς τον κίνδυνο ανοιγμάτων βάσει της τυποποιημένης προσέγγισης δημοσιοποιούν τις πληροφορίες που αναφέρονται στο άρθρο 444 και στο άρθρο 453 στοιχεία ζ), η) και θ) του κανονισμού (ΕΕ) αριθ. 575/2013 ως εξής:</w:t>
      </w:r>
    </w:p>
    <w:p w14:paraId="64037B7E" w14:textId="4B93DEDD" w:rsidR="00A858BC" w:rsidRPr="00627B17" w:rsidRDefault="00627B17" w:rsidP="00627B17">
      <w:pPr>
        <w:pStyle w:val="Point1"/>
      </w:pPr>
      <w:r>
        <w:t>α)</w:t>
      </w:r>
      <w:r w:rsidRPr="00627B17">
        <w:tab/>
      </w:r>
      <w:r w:rsidR="00F53E64" w:rsidRPr="00627B17">
        <w:t>τις πληροφορίες που αναφέρονται στο άρθρο 444 στοιχεία α) έως δ) του κανονισμού (ΕΕ) αριθ. 575/2013 χρησιμοποιώντας τον πίνακα EU CRD του παραρτήματος XIX του παρόντος κανονισμού και ακολουθώντας τις οδηγίες που ορίζονται στο παράρτημα XX του παρόντος κανονισμού,</w:t>
      </w:r>
    </w:p>
    <w:p w14:paraId="74A58369" w14:textId="72F2B384" w:rsidR="00A858BC" w:rsidRPr="00627B17" w:rsidRDefault="00627B17" w:rsidP="00627B17">
      <w:pPr>
        <w:pStyle w:val="Point1"/>
      </w:pPr>
      <w:r>
        <w:t>β)</w:t>
      </w:r>
      <w:r w:rsidRPr="00627B17">
        <w:tab/>
      </w:r>
      <w:r w:rsidR="00F53E64" w:rsidRPr="00627B17">
        <w:t>τις πληροφορίες που αναφέρονται στο άρθρο 453 στοιχεία ζ), η) και θ) και στο άρθρο 444 στοιχείο ε) του κανονισμού (ΕΕ) αριθ. 575/2013 χρησιμοποιώντας το υπόδειγμα EU CR4 του παραρτήματος XIX του παρόντος κανονισμού και ακολουθώντας τις οδηγίες που ορίζονται στο παράρτημα XX του παρόντος κανονισμού,</w:t>
      </w:r>
    </w:p>
    <w:p w14:paraId="0CAF4FE7" w14:textId="4EB4A1F7" w:rsidR="00A858BC" w:rsidRPr="00627B17" w:rsidRDefault="00627B17" w:rsidP="00627B17">
      <w:pPr>
        <w:pStyle w:val="Point1"/>
      </w:pPr>
      <w:r>
        <w:t>γ)</w:t>
      </w:r>
      <w:r w:rsidRPr="00627B17">
        <w:tab/>
      </w:r>
      <w:r w:rsidR="00F53E64" w:rsidRPr="00627B17">
        <w:t>τις πληροφορίες που αναφέρονται στο άρθρο 444 στοιχείο ε) του κανονισμού (ΕΕ) αριθ. 575/2013 χρησιμοποιώντας το υπόδειγμα EU CR5 του παραρτήματος XIX του παρόντος κανονισμού και ακολουθώντας τις οδηγίες που ορίζονται στο παράρτημα XX του παρόντος κανονισμού και, για τις πληροφορίες σχετικά με τις τιμές ανοίγματος που αφαιρούνται από τα ίδια κεφάλαια που αναφέρονται στο ίδιο αυτό άρθρο, χρησιμοποιώντας το υπόδειγμα ΕΕ CC1 του παραρτήματος VII του παρόντος κανονισμού και ακολουθώντας τις οδηγίες που ορίζονται στο παράρτημα VIII του παρόντος κανονισμού.</w:t>
      </w:r>
    </w:p>
    <w:p w14:paraId="3C991507" w14:textId="68437B83" w:rsidR="00173862" w:rsidRPr="00627B17" w:rsidRDefault="00173862" w:rsidP="00173862">
      <w:pPr>
        <w:pStyle w:val="Titrearticle"/>
      </w:pPr>
      <w:r w:rsidRPr="00627B17">
        <w:t>Άρθρο 11</w:t>
      </w:r>
    </w:p>
    <w:p w14:paraId="57C88BA7" w14:textId="77777777" w:rsidR="00A858BC" w:rsidRPr="00627B17" w:rsidRDefault="00A858BC" w:rsidP="00A858BC">
      <w:pPr>
        <w:pStyle w:val="Titrearticle"/>
        <w:spacing w:before="120"/>
        <w:rPr>
          <w:b/>
          <w:i w:val="0"/>
        </w:rPr>
      </w:pPr>
      <w:r w:rsidRPr="00627B17">
        <w:rPr>
          <w:b/>
          <w:i w:val="0"/>
        </w:rPr>
        <w:t>Δημοσιοποίηση της χρήσης της προσέγγισης ΠΕΔ για τον πιστωτικό κίνδυνο</w:t>
      </w:r>
    </w:p>
    <w:p w14:paraId="43A264E7" w14:textId="691A398D" w:rsidR="00A858BC" w:rsidRPr="00627B17" w:rsidRDefault="00A858BC" w:rsidP="00A858BC">
      <w:r w:rsidRPr="00627B17">
        <w:t>Τα ιδρύματα που υπολογίζουν τα ποσά των σταθμισμένων ως προς τον κίνδυνο ανοιγμάτων βάσει της προσέγγισης ΠΕΔ δημοσιοποιούν τις πληροφορίες που αναφέρονται στα άρθρα 438 και 452 και στο άρθρο 453 στοιχεία ζ) και ι) του κανονισμού (ΕΕ) αριθ. 575/2013 ως εξής:</w:t>
      </w:r>
    </w:p>
    <w:p w14:paraId="4805C696" w14:textId="71F118AC" w:rsidR="00A858BC" w:rsidRPr="00627B17" w:rsidRDefault="00627B17" w:rsidP="00627B17">
      <w:pPr>
        <w:pStyle w:val="Point1"/>
      </w:pPr>
      <w:r>
        <w:t>α)</w:t>
      </w:r>
      <w:r w:rsidRPr="00627B17">
        <w:tab/>
      </w:r>
      <w:r w:rsidR="00926007" w:rsidRPr="00627B17">
        <w:t>τις πληροφορίες που αναφέρονται στο άρθρο 452 στοιχεία α) έως στ) του κανονισμού (ΕΕ) αριθ. 575/2013 χρησιμοποιώντας τον πίνακα EU CRE και το υπόδειγμα EU CR6-A του παραρτήματος XXI του παρόντος κανονισμού και ακολουθώντας τις οδηγίες που ορίζονται στο παράρτημα XXII του παρόντος κανονισμού,</w:t>
      </w:r>
    </w:p>
    <w:p w14:paraId="20A04C13" w14:textId="136BFCBB" w:rsidR="00A858BC" w:rsidRPr="00627B17" w:rsidRDefault="00627B17" w:rsidP="00627B17">
      <w:pPr>
        <w:pStyle w:val="Point1"/>
      </w:pPr>
      <w:r>
        <w:t>β)</w:t>
      </w:r>
      <w:r w:rsidRPr="00627B17">
        <w:tab/>
      </w:r>
      <w:r w:rsidR="00926007" w:rsidRPr="00627B17">
        <w:t>τις πληροφορίες που αναφέρονται στο άρθρο 452 στοιχείο ζ) του κανονισμού (ΕΕ) αριθ. 575/2013 χρησιμοποιώντας το υπόδειγμα EU CR6 του παραρτήματος XXI του παρόντος κανονισμού και ακολουθώντας τις οδηγίες που ορίζονται στο παράρτημα XXII του παρόντος κανονισμού,</w:t>
      </w:r>
    </w:p>
    <w:p w14:paraId="409337BD" w14:textId="00274AD9" w:rsidR="00A858BC" w:rsidRPr="00627B17" w:rsidRDefault="00627B17" w:rsidP="00627B17">
      <w:pPr>
        <w:pStyle w:val="Point1"/>
      </w:pPr>
      <w:r>
        <w:t>γ)</w:t>
      </w:r>
      <w:r w:rsidRPr="00627B17">
        <w:tab/>
      </w:r>
      <w:r w:rsidR="00926007" w:rsidRPr="00627B17">
        <w:t>τις πληροφορίες που αναφέρονται στο άρθρο 453 στοιχεία ζ) και ι) του κανονισμού (ΕΕ) αριθ. 575/2013 χρησιμοποιώντας τα υποδείγματα EU CR7-A και EU CR7 του παραρτήματος XXI του παρόντος κανονισμού και ακολουθώντας τις οδηγίες που ορίζονται στο παράρτημα XXII του παρόντος κανονισμού,</w:t>
      </w:r>
    </w:p>
    <w:p w14:paraId="6ACE2865" w14:textId="07317BCD" w:rsidR="00A858BC" w:rsidRPr="00627B17" w:rsidRDefault="00627B17" w:rsidP="00627B17">
      <w:pPr>
        <w:pStyle w:val="Point1"/>
      </w:pPr>
      <w:r>
        <w:t>δ)</w:t>
      </w:r>
      <w:r w:rsidRPr="00627B17">
        <w:tab/>
      </w:r>
      <w:r w:rsidR="00926007" w:rsidRPr="00627B17">
        <w:t>τις πληροφορίες που αναφέρονται στο άρθρο 438 στοιχείο η) του κανονισμού (ΕΕ) αριθ. 575/2013 χρησιμοποιώντας το υπόδειγμα EU CR8 του παραρτήματος XXI του παρόντος κανονισμού και ακολουθώντας τις οδηγίες που ορίζονται στο παράρτημα XXII του παρόντος κανονισμού,</w:t>
      </w:r>
    </w:p>
    <w:p w14:paraId="01F0A9A0" w14:textId="5BE6CBF4" w:rsidR="00A858BC" w:rsidRPr="00627B17" w:rsidRDefault="00627B17" w:rsidP="00627B17">
      <w:pPr>
        <w:pStyle w:val="Point1"/>
      </w:pPr>
      <w:r>
        <w:t>ε)</w:t>
      </w:r>
      <w:r w:rsidRPr="00627B17">
        <w:tab/>
      </w:r>
      <w:r w:rsidR="00926007" w:rsidRPr="00627B17">
        <w:t>τις πληροφορίες που αναφέρονται στο άρθρο 452 στοιχείο η) του κανονισμού (ΕΕ) αριθ. 575/2013 χρησιμοποιώντας τα υποδείγματα EU CR9 και EU CR9.1 του παραρτήματος XXI του παρόντος κανονισμού και ακολουθώντας τις οδηγίες που ορίζονται στο παράρτημα XXII του παρόντος κανονισμού.</w:t>
      </w:r>
    </w:p>
    <w:p w14:paraId="08A80737" w14:textId="3380DF94" w:rsidR="009675DD" w:rsidRPr="00627B17" w:rsidRDefault="009675DD" w:rsidP="009675DD">
      <w:pPr>
        <w:pStyle w:val="Titrearticle"/>
      </w:pPr>
      <w:r w:rsidRPr="00627B17">
        <w:t>Άρθρο 12</w:t>
      </w:r>
    </w:p>
    <w:p w14:paraId="31298347" w14:textId="77777777" w:rsidR="00A858BC" w:rsidRPr="00627B17" w:rsidRDefault="00A858BC" w:rsidP="00A858BC">
      <w:pPr>
        <w:pStyle w:val="Titrearticle"/>
        <w:spacing w:before="120"/>
        <w:rPr>
          <w:b/>
          <w:i w:val="0"/>
        </w:rPr>
      </w:pPr>
      <w:r w:rsidRPr="00627B17">
        <w:rPr>
          <w:b/>
          <w:i w:val="0"/>
        </w:rPr>
        <w:t>Δημοσιοποίηση ανοίγματος ειδικής δανειοδότησης και ανοίγματος σε μετοχές βάσει της απλής σταθμισμένης προσέγγισης κινδύνου</w:t>
      </w:r>
    </w:p>
    <w:p w14:paraId="209E1167" w14:textId="1F3573EF" w:rsidR="00A858BC" w:rsidRPr="00627B17" w:rsidRDefault="00A858BC" w:rsidP="00A858BC">
      <w:r w:rsidRPr="00627B17">
        <w:t>Τα ιδρύματα δημοσιοποιούν τις πληροφορίες που αναφέρονται στο άρθρο 438 στοιχείο ε) του κανονισμού (ΕΕ) αριθ. 575/2013 χρησιμοποιώντας το υπόδειγμα EU CR10 του παραρτήματος XXIII του παρόντος κανονισμού και ακολουθώντας τις οδηγίες που ορίζονται στο παράρτημα XXIV του παρόντος κανονισμού.</w:t>
      </w:r>
    </w:p>
    <w:p w14:paraId="6B0E661C" w14:textId="77777777" w:rsidR="00BF182F" w:rsidRPr="00627B17" w:rsidRDefault="00BF182F" w:rsidP="00BF182F">
      <w:pPr>
        <w:pStyle w:val="Titrearticle"/>
      </w:pPr>
      <w:r w:rsidRPr="00627B17">
        <w:t>Άρθρο 13</w:t>
      </w:r>
    </w:p>
    <w:p w14:paraId="4275FD5E" w14:textId="77777777" w:rsidR="00A858BC" w:rsidRPr="00627B17" w:rsidRDefault="00A858BC" w:rsidP="00A858BC">
      <w:pPr>
        <w:pStyle w:val="Titrearticle"/>
        <w:spacing w:before="120"/>
        <w:rPr>
          <w:b/>
          <w:i w:val="0"/>
        </w:rPr>
      </w:pPr>
      <w:r w:rsidRPr="00627B17">
        <w:rPr>
          <w:b/>
          <w:i w:val="0"/>
        </w:rPr>
        <w:t>Δημοσιοποίηση των ανοιγμάτων σε πιστωτικό κίνδυνο αντισυμβαλλομένου</w:t>
      </w:r>
    </w:p>
    <w:p w14:paraId="4385E700" w14:textId="4D6F85B9" w:rsidR="00A858BC" w:rsidRPr="00627B17" w:rsidRDefault="00A858BC" w:rsidP="00A858BC">
      <w:r w:rsidRPr="00627B17">
        <w:t>Τα ιδρύματα δημοσιοποιούν τις πληροφορίες που αναφέρονται στο άρθρο 438 στοιχείο η) και στο άρθρο 439 του κανονισμού (ΕΕ) αριθ. 575/2013 ως εξής:</w:t>
      </w:r>
    </w:p>
    <w:p w14:paraId="02FBBB67" w14:textId="40E9FAB0" w:rsidR="00A858BC" w:rsidRPr="00627B17" w:rsidRDefault="0099797D" w:rsidP="0099797D">
      <w:pPr>
        <w:pStyle w:val="Point1"/>
      </w:pPr>
      <w:r>
        <w:t>α)</w:t>
      </w:r>
      <w:r>
        <w:tab/>
      </w:r>
      <w:r w:rsidR="00336F4D" w:rsidRPr="00627B17">
        <w:t>τις πληροφορίες που αναφέρονται στο άρθρο 439 στοιχεία α), β), γ) και δ) του κανονισμού (ΕΕ) αριθ. 575/2013 χρησιμοποιώντας τον πίνακα EU CCRA του παραρτήματος XXV του παρόντος κανονισμού και ακολουθώντας τις οδηγίες που ορίζονται στο παράρτημα XXVI του παρόντος κανονισμού,</w:t>
      </w:r>
    </w:p>
    <w:p w14:paraId="0E510E13" w14:textId="6CB24232" w:rsidR="00A858BC" w:rsidRPr="00627B17" w:rsidRDefault="0099797D" w:rsidP="00627B17">
      <w:pPr>
        <w:pStyle w:val="Point1"/>
      </w:pPr>
      <w:r>
        <w:t>β)</w:t>
      </w:r>
      <w:r w:rsidR="00627B17" w:rsidRPr="00627B17">
        <w:tab/>
      </w:r>
      <w:r w:rsidR="00336F4D" w:rsidRPr="00627B17">
        <w:t>τις πληροφορίες που αναφέρονται στο άρθρο 439 στοιχεία στ), ζ), ια) και ιγ) του κανονισμού (ΕΕ) αριθ. 575/2013 χρησιμοποιώντας το υπόδειγμα EU CCR1 του παραρτήματος XXV του παρόντος κανονισμού και ακολουθώντας τις οδηγίες που ορίζονται στο παράρτημα XXVI του παρόντος κανονισμού,</w:t>
      </w:r>
    </w:p>
    <w:p w14:paraId="5695B676" w14:textId="29EE228E" w:rsidR="00A858BC" w:rsidRPr="00627B17" w:rsidRDefault="0099797D" w:rsidP="00627B17">
      <w:pPr>
        <w:pStyle w:val="Point1"/>
      </w:pPr>
      <w:r>
        <w:t>γ)</w:t>
      </w:r>
      <w:r w:rsidR="00627B17" w:rsidRPr="00627B17">
        <w:tab/>
      </w:r>
      <w:r w:rsidR="00336F4D" w:rsidRPr="00627B17">
        <w:t>τις πληροφορίες που αναφέρονται στο άρθρο 439 στοιχείο η) του κανονισμού (ΕΕ) αριθ. 575/2013 χρησιμοποιώντας το υπόδειγμα EU CCR2 του παραρτήματος XXV του παρόντος κανονισμού και ακολουθώντας τις οδηγίες που ορίζονται στο παράρτημα XXVI του παρόντος κανονισμού,</w:t>
      </w:r>
    </w:p>
    <w:p w14:paraId="4885A941" w14:textId="203F78FD" w:rsidR="00F31307" w:rsidRPr="00627B17" w:rsidRDefault="0099797D" w:rsidP="00627B17">
      <w:pPr>
        <w:pStyle w:val="Point1"/>
      </w:pPr>
      <w:r>
        <w:t>δ)</w:t>
      </w:r>
      <w:r w:rsidR="00627B17" w:rsidRPr="00627B17">
        <w:tab/>
      </w:r>
      <w:r w:rsidR="00F31307" w:rsidRPr="00627B17">
        <w:t>τις πληροφορίες που αναφέρονται στο άρθρο 439 στοιχείο ιβ) του κανονισμού (ΕΕ) αριθ. 575/2013 χρησιμοποιώντας τα υποδείγματα EU CCR3 και EU CCR4 του παραρτήματος XXV του παρόντος κανονισμού και ακολουθώντας τις οδηγίες που ορίζονται στο παράρτημα XXVI του παρόντος κανονισμού,</w:t>
      </w:r>
    </w:p>
    <w:p w14:paraId="4ABAFB07" w14:textId="36A13879" w:rsidR="00F31307" w:rsidRPr="00627B17" w:rsidRDefault="0099797D" w:rsidP="00627B17">
      <w:pPr>
        <w:pStyle w:val="Point1"/>
      </w:pPr>
      <w:r>
        <w:t>ε)</w:t>
      </w:r>
      <w:r w:rsidR="00627B17" w:rsidRPr="00627B17">
        <w:tab/>
      </w:r>
      <w:r w:rsidR="00F31307" w:rsidRPr="00627B17">
        <w:t>τις πληροφορίες που αναφέρονται στο άρθρο 439 στοιχείο ε) του κανονισμού (ΕΕ) αριθ. 575/2013 χρησιμοποιώντας το υπόδειγμα EU CCR5 του παραρτήματος XXV του παρόντος κανονισμού και ακολουθώντας τις οδηγίες που ορίζονται στο παράρτημα XXVI του παρόντος κανονισμού,</w:t>
      </w:r>
    </w:p>
    <w:p w14:paraId="023D2246" w14:textId="3F14C7E1" w:rsidR="00F31307" w:rsidRPr="00627B17" w:rsidRDefault="0099797D" w:rsidP="00627B17">
      <w:pPr>
        <w:pStyle w:val="Point1"/>
      </w:pPr>
      <w:r>
        <w:t>στ)</w:t>
      </w:r>
      <w:r w:rsidR="00627B17" w:rsidRPr="00627B17">
        <w:tab/>
      </w:r>
      <w:r w:rsidR="00F31307" w:rsidRPr="00627B17">
        <w:t>τις πληροφορίες που αναφέρονται στο άρθρο 439 στοιχείο ι) του κανονισμού (ΕΕ) αριθ. 575/2013 χρησιμοποιώντας το υπόδειγμα EU CCR6 του παραρτήματος XXV του παρόντος κανονισμού και ακολουθώντας τις οδηγίες που ορίζονται στο παράρτημα XXVI του παρόντος κανονισμού,</w:t>
      </w:r>
    </w:p>
    <w:p w14:paraId="7E588C07" w14:textId="69F105ED" w:rsidR="00262584" w:rsidRPr="00627B17" w:rsidRDefault="0099797D" w:rsidP="00627B17">
      <w:pPr>
        <w:pStyle w:val="Point1"/>
      </w:pPr>
      <w:r>
        <w:t>ζ)</w:t>
      </w:r>
      <w:r w:rsidR="00627B17" w:rsidRPr="00627B17">
        <w:tab/>
      </w:r>
      <w:r w:rsidR="00262584" w:rsidRPr="00627B17">
        <w:t>τις πληροφορίες που αναφέρονται στο άρθρο 438 στοιχείο η) του κανονισμού (ΕΕ) αριθ. 575/2013 χρησιμοποιώντας το υπόδειγμα EU CCR7 του παραρτήματος XXV του παρόντος κανονισμού και ακολουθώντας τις οδηγίες που ορίζονται στο παράρτημα XXVI του παρόντος κανονισμού,</w:t>
      </w:r>
    </w:p>
    <w:p w14:paraId="2600D604" w14:textId="0697DB2B" w:rsidR="00262584" w:rsidRPr="00627B17" w:rsidRDefault="0099797D" w:rsidP="00627B17">
      <w:pPr>
        <w:pStyle w:val="Point1"/>
      </w:pPr>
      <w:r>
        <w:t>η)</w:t>
      </w:r>
      <w:r w:rsidR="00627B17" w:rsidRPr="00627B17">
        <w:tab/>
      </w:r>
      <w:r w:rsidR="00262584" w:rsidRPr="00627B17">
        <w:t xml:space="preserve">τις πληροφορίες που αναφέρονται στο άρθρο 439 στοιχείο θ) του κανονισμού (ΕΕ) αριθ. 575/2013 χρησιμοποιώντας το υπόδειγμα EU CCR8 του παραρτήματος XXV του παρόντος κανονισμού και ακολουθώντας τις οδηγίες που ορίζονται στο παράρτημα XXVI του παρόντος κανονισμού. </w:t>
      </w:r>
    </w:p>
    <w:p w14:paraId="0C905D79" w14:textId="77777777" w:rsidR="00F91209" w:rsidRPr="00627B17" w:rsidRDefault="00F91209" w:rsidP="00F91209">
      <w:pPr>
        <w:pStyle w:val="Titrearticle"/>
      </w:pPr>
      <w:r w:rsidRPr="00627B17">
        <w:t>Άρθρο 14</w:t>
      </w:r>
    </w:p>
    <w:p w14:paraId="195EA913" w14:textId="77777777" w:rsidR="00A858BC" w:rsidRPr="00627B17" w:rsidRDefault="00A858BC" w:rsidP="00A858BC">
      <w:pPr>
        <w:pStyle w:val="Titrearticle"/>
        <w:spacing w:before="120"/>
        <w:rPr>
          <w:b/>
          <w:i w:val="0"/>
        </w:rPr>
      </w:pPr>
      <w:r w:rsidRPr="00627B17">
        <w:rPr>
          <w:b/>
          <w:i w:val="0"/>
        </w:rPr>
        <w:t xml:space="preserve">Δημοσιοποίηση των ανοιγμάτων σε θέσεις τιτλοποίησης </w:t>
      </w:r>
    </w:p>
    <w:p w14:paraId="5F8907A1" w14:textId="610CD7BF" w:rsidR="00A858BC" w:rsidRPr="00627B17" w:rsidRDefault="00A858BC" w:rsidP="009777B7">
      <w:r w:rsidRPr="00627B17">
        <w:t>Τα ιδρύματα δημοσιοποιούν τις πληροφορίες που αναφέρονται στο άρθρο 449 του κανονισμού (ΕΕ) αριθ. 575/2013 ως εξής:</w:t>
      </w:r>
    </w:p>
    <w:p w14:paraId="26F6A181" w14:textId="24EC3F62" w:rsidR="009777B7" w:rsidRPr="00627B17" w:rsidRDefault="00627B17" w:rsidP="00627B17">
      <w:pPr>
        <w:pStyle w:val="Point1"/>
      </w:pPr>
      <w:r>
        <w:t>α)</w:t>
      </w:r>
      <w:r w:rsidRPr="00627B17">
        <w:tab/>
      </w:r>
      <w:r w:rsidR="00CE62E1" w:rsidRPr="00627B17">
        <w:t>τις πληροφορίες που αναφέρονται στο άρθρο 449 στοιχεία α) έως θ) του κανονισμού (ΕΕ) αριθ. 575/2013 χρησιμοποιώντας τον πίνακα EU SECA του παραρτήματος XXVII του παρόντος κανονισμού και ακολουθώντας τις οδηγίες που ορίζονται στο παράρτημα XXVIII του παρόντος κανονισμού,</w:t>
      </w:r>
    </w:p>
    <w:p w14:paraId="5E9E888F" w14:textId="6DE05CFF" w:rsidR="009777B7" w:rsidRPr="00627B17" w:rsidRDefault="00627B17" w:rsidP="00627B17">
      <w:pPr>
        <w:pStyle w:val="Point1"/>
      </w:pPr>
      <w:r>
        <w:t>β)</w:t>
      </w:r>
      <w:r w:rsidRPr="00627B17">
        <w:tab/>
      </w:r>
      <w:r w:rsidR="00CE62E1" w:rsidRPr="00627B17">
        <w:t>τις πληροφορίες που αναφέρονται στο άρθρο 449 στοιχείο ι) του κανονισμού (ΕΕ) αριθ. 575/2013 χρησιμοποιώντας τα υποδείγματα EU SEC1 και EU SEC2 του παραρτήματος XXVII του παρόντος κανονισμού και ακολουθώντας τις οδηγίες που ορίζονται στο παράρτημα XXVIII του παρόντος κανονισμού,</w:t>
      </w:r>
    </w:p>
    <w:p w14:paraId="02E9C6B8" w14:textId="204AED09" w:rsidR="009777B7" w:rsidRPr="00627B17" w:rsidRDefault="00627B17" w:rsidP="00627B17">
      <w:pPr>
        <w:pStyle w:val="Point1"/>
      </w:pPr>
      <w:r>
        <w:t>γ)</w:t>
      </w:r>
      <w:r w:rsidRPr="00627B17">
        <w:tab/>
      </w:r>
      <w:r w:rsidR="00336F4D" w:rsidRPr="00627B17">
        <w:t>τις πληροφορίες που αναφέρονται στο άρθρο 449 στοιχείο ια) του κανονισμού (ΕΕ) αριθ. 575/2013 χρησιμοποιώντας τα υποδείγματα EU SEC3 και EU SEC4 του παραρτήματος XXVII του παρόντος κανονισμού και ακολουθώντας τις οδηγίες που ορίζονται στο παράρτημα XXVIII του παρόντος κανονισμού,</w:t>
      </w:r>
    </w:p>
    <w:p w14:paraId="5D79427B" w14:textId="0551711F" w:rsidR="009777B7" w:rsidRPr="00627B17" w:rsidRDefault="00627B17" w:rsidP="00627B17">
      <w:pPr>
        <w:pStyle w:val="Point1"/>
      </w:pPr>
      <w:r>
        <w:t>δ)</w:t>
      </w:r>
      <w:r w:rsidRPr="00627B17">
        <w:tab/>
      </w:r>
      <w:r w:rsidR="00336F4D" w:rsidRPr="00627B17">
        <w:t>τις πληροφορίες που αναφέρονται στο άρθρο 449 στοιχείο ιβ) του κανονισμού (ΕΕ) αριθ. 575/2013 χρησιμοποιώντας το υπόδειγμα EU SEC5 του παραρτήματος XXVII του παρόντος κανονισμού και ακολουθώντας τις οδηγίες που ορίζονται στο παράρτημα XXVIII του παρόντος κανονισμού.</w:t>
      </w:r>
    </w:p>
    <w:p w14:paraId="0FF84706" w14:textId="3A4DAB53" w:rsidR="00F91209" w:rsidRPr="00627B17" w:rsidRDefault="00F91209" w:rsidP="00F91209">
      <w:pPr>
        <w:pStyle w:val="Titrearticle"/>
      </w:pPr>
      <w:r w:rsidRPr="00627B17">
        <w:t>Άρθρο 15</w:t>
      </w:r>
    </w:p>
    <w:p w14:paraId="42C96F98" w14:textId="2C104302" w:rsidR="009777B7" w:rsidRPr="00627B17" w:rsidRDefault="009777B7" w:rsidP="009777B7">
      <w:pPr>
        <w:pStyle w:val="Titrearticle"/>
        <w:spacing w:before="120"/>
        <w:rPr>
          <w:b/>
          <w:i w:val="0"/>
        </w:rPr>
      </w:pPr>
      <w:r w:rsidRPr="00627B17">
        <w:rPr>
          <w:b/>
          <w:i w:val="0"/>
        </w:rPr>
        <w:t>Δημοσιοποίηση της χρήσης της τυποποιημένης προσέγγισης και των εσωτερικών μοντέλων για τον κίνδυνο αγοράς</w:t>
      </w:r>
    </w:p>
    <w:p w14:paraId="44CAFFD2" w14:textId="1216C2A8" w:rsidR="009777B7" w:rsidRPr="00627B17" w:rsidRDefault="009777B7" w:rsidP="0043540D">
      <w:pPr>
        <w:pStyle w:val="NumPar1"/>
        <w:numPr>
          <w:ilvl w:val="0"/>
          <w:numId w:val="14"/>
        </w:numPr>
        <w:tabs>
          <w:tab w:val="clear" w:pos="850"/>
          <w:tab w:val="left" w:pos="567"/>
        </w:tabs>
        <w:ind w:left="0" w:firstLine="0"/>
      </w:pPr>
      <w:r w:rsidRPr="00627B17">
        <w:t>Τα ιδρύματα δημοσιοποιούν τις πληροφορίες που αναφέρονται στο άρθρο 445 του κανονισμού (ΕΕ) αριθ. 575/2013 χρησιμοποιώντας το υπόδειγμα EU MR1 του παραρτήματος XXIX του παρόντος κανονισμού και ακολουθώντας τις οδηγίες που ορίζονται στο παράρτημα XXX του παρόντος κανονισμού.</w:t>
      </w:r>
    </w:p>
    <w:p w14:paraId="3AC500D1" w14:textId="77777777" w:rsidR="009777B7" w:rsidRPr="00627B17" w:rsidRDefault="009777B7" w:rsidP="0043540D">
      <w:pPr>
        <w:pStyle w:val="NumPar1"/>
        <w:numPr>
          <w:ilvl w:val="0"/>
          <w:numId w:val="14"/>
        </w:numPr>
        <w:tabs>
          <w:tab w:val="clear" w:pos="850"/>
          <w:tab w:val="left" w:pos="567"/>
        </w:tabs>
        <w:ind w:left="0" w:firstLine="0"/>
      </w:pPr>
      <w:r w:rsidRPr="00627B17">
        <w:t>Τα ιδρύματα δημοσιοποιούν τις πληροφορίες που αναφέρονται στα άρθρα 435, 438 και 455 του κανονισμού (ΕΕ) αριθ. 575/2013 ως εξής:</w:t>
      </w:r>
    </w:p>
    <w:p w14:paraId="32BD307D" w14:textId="0F1DE7DB" w:rsidR="009777B7" w:rsidRPr="00627B17" w:rsidRDefault="00627B17" w:rsidP="00627B17">
      <w:pPr>
        <w:pStyle w:val="Point1"/>
      </w:pPr>
      <w:r>
        <w:t>α)</w:t>
      </w:r>
      <w:r w:rsidRPr="00627B17">
        <w:tab/>
      </w:r>
      <w:r w:rsidR="00CE62E1" w:rsidRPr="00627B17">
        <w:t>τις πληροφορίες σχετικά με τον κίνδυνο αγοράς που αναφέρονται στο άρθρο 435 παράγραφος 1 στοιχεία α) έως δ) του κανονισμού (ΕΕ) αριθ. 575/2013 χρησιμοποιώντας τον πίνακα EU MRA του παραρτήματος ΧXIX του παρόντος κανονισμού και ακολουθώντας τις οδηγίες που ορίζονται στο παράρτημα XXΧ του παρόντος κανονισμού,</w:t>
      </w:r>
    </w:p>
    <w:p w14:paraId="1EF9E7BB" w14:textId="0715DE0D" w:rsidR="009777B7" w:rsidRPr="00627B17" w:rsidRDefault="00627B17" w:rsidP="00627B17">
      <w:pPr>
        <w:pStyle w:val="Point1"/>
      </w:pPr>
      <w:r>
        <w:t>β)</w:t>
      </w:r>
      <w:r w:rsidRPr="00627B17">
        <w:tab/>
      </w:r>
      <w:r w:rsidR="00CE62E1" w:rsidRPr="00627B17">
        <w:t>τις πληροφορίες που αναφέρονται στο άρθρο 455 στοιχεία α), β), γ) και στ) του κανονισμού (ΕΕ) αριθ. 575/2013 χρησιμοποιώντας τον πίνακα EU MRB του παραρτήματος XXIX του παρόντος κανονισμού και ακολουθώντας τις οδηγίες που ορίζονται στο παράρτημα XXX του παρόντος κανονισμού,</w:t>
      </w:r>
    </w:p>
    <w:p w14:paraId="743BACE0" w14:textId="709DEEE8" w:rsidR="009777B7" w:rsidRPr="00627B17" w:rsidRDefault="00627B17" w:rsidP="00627B17">
      <w:pPr>
        <w:pStyle w:val="Point1"/>
      </w:pPr>
      <w:r>
        <w:t>γ)</w:t>
      </w:r>
      <w:r w:rsidRPr="00627B17">
        <w:tab/>
      </w:r>
      <w:r w:rsidR="00CE62E1" w:rsidRPr="00627B17">
        <w:t>τις πληροφορίες που αναφέρονται στο άρθρο 455 στοιχείο ε) του κανονισμού (ΕΕ) αριθ. 575/2013 χρησιμοποιώντας το υπόδειγμα EU MR2-A του παραρτήματος XXIX του παρόντος κανονισμού και ακολουθώντας τις οδηγίες που ορίζονται στο παράρτημα XXX του παρόντος κανονισμού,</w:t>
      </w:r>
    </w:p>
    <w:p w14:paraId="3063F334" w14:textId="285603A9" w:rsidR="009777B7" w:rsidRPr="00627B17" w:rsidRDefault="00627B17" w:rsidP="00627B17">
      <w:pPr>
        <w:pStyle w:val="Point1"/>
      </w:pPr>
      <w:r>
        <w:t>δ)</w:t>
      </w:r>
      <w:r w:rsidRPr="00627B17">
        <w:tab/>
      </w:r>
      <w:r w:rsidR="00CE62E1" w:rsidRPr="00627B17">
        <w:t>τις πληροφορίες σχετικά με τα εσωτερικά υποδείγματα κινδύνου αγοράς που αναφέρονται στο άρθρο 438 στοιχείο η) του κανονισμού (ΕΕ) αριθ. 575/2013 χρησιμοποιώντας το υπόδειγμα EU MR2-B του παραρτήματος XXIX του παρόντος κανονισμού και ακολουθώντας τις οδηγίες που ορίζονται στο παράρτημα XXX του παρόντος κανονισμού,</w:t>
      </w:r>
    </w:p>
    <w:p w14:paraId="0575E60A" w14:textId="06C138C1" w:rsidR="009777B7" w:rsidRPr="00627B17" w:rsidRDefault="00627B17" w:rsidP="00627B17">
      <w:pPr>
        <w:pStyle w:val="Point1"/>
      </w:pPr>
      <w:r>
        <w:t>ε)</w:t>
      </w:r>
      <w:r w:rsidRPr="00627B17">
        <w:tab/>
      </w:r>
      <w:r w:rsidR="00CE62E1" w:rsidRPr="00627B17">
        <w:t>τις πληροφορίες που αναφέρονται στο άρθρο 455 στοιχείο δ) του κανονισμού (ΕΕ) αριθ. 575/2013 χρησιμοποιώντας το υπόδειγμα EU MR3 του παραρτήματος XXIX του παρόντος κανονισμού και ακολουθώντας τις οδηγίες που ορίζονται στο παράρτημα XXX του παρόντος κανονισμού,</w:t>
      </w:r>
    </w:p>
    <w:p w14:paraId="1706C070" w14:textId="64535D3B" w:rsidR="009777B7" w:rsidRPr="00627B17" w:rsidRDefault="00627B17" w:rsidP="00627B17">
      <w:pPr>
        <w:pStyle w:val="Point1"/>
      </w:pPr>
      <w:r>
        <w:t>στ)</w:t>
      </w:r>
      <w:r w:rsidRPr="00627B17">
        <w:tab/>
      </w:r>
      <w:r w:rsidR="00CE62E1" w:rsidRPr="00627B17">
        <w:t>τις πληροφορίες που αναφέρονται στο άρθρο 455 στοιχείο ζ) του κανονισμού (ΕΕ) αριθ. 575/2013 χρησιμοποιώντας το υπόδειγμα EU MR4 του παραρτήματος XXIX του παρόντος κανονισμού και ακολουθώντας τις οδηγίες που ορίζονται στο παράρτημα XXX του παρόντος κανονισμού.</w:t>
      </w:r>
    </w:p>
    <w:p w14:paraId="79114201" w14:textId="28128507" w:rsidR="00F91209" w:rsidRPr="00627B17" w:rsidRDefault="00F91209" w:rsidP="00F91209">
      <w:pPr>
        <w:pStyle w:val="Titrearticle"/>
      </w:pPr>
      <w:r w:rsidRPr="00627B17">
        <w:t>Άρθρο 16</w:t>
      </w:r>
      <w:r w:rsidRPr="00627B17">
        <w:fldChar w:fldCharType="begin"/>
      </w:r>
      <w:r w:rsidRPr="00627B17">
        <w:instrText xml:space="preserve"> seq article </w:instrText>
      </w:r>
      <w:r w:rsidRPr="00627B17">
        <w:fldChar w:fldCharType="end"/>
      </w:r>
    </w:p>
    <w:p w14:paraId="261E1ED8" w14:textId="77777777" w:rsidR="009777B7" w:rsidRPr="00627B17" w:rsidRDefault="009777B7" w:rsidP="009777B7">
      <w:pPr>
        <w:pStyle w:val="Titrearticle"/>
        <w:spacing w:before="120"/>
        <w:rPr>
          <w:b/>
          <w:i w:val="0"/>
        </w:rPr>
      </w:pPr>
      <w:r w:rsidRPr="00627B17">
        <w:rPr>
          <w:b/>
          <w:i w:val="0"/>
        </w:rPr>
        <w:t xml:space="preserve">Δημοσιοποίηση του λειτουργικού κινδύνου </w:t>
      </w:r>
    </w:p>
    <w:p w14:paraId="6C920F52" w14:textId="563573EB" w:rsidR="009777B7" w:rsidRPr="00627B17" w:rsidRDefault="009777B7" w:rsidP="009777B7">
      <w:r w:rsidRPr="00627B17">
        <w:t>Τα ιδρύματα δημοσιοποιούν τις πληροφορίες που αναφέρονται στο άρθρο 435, στο άρθρο 438 στοιχείο δ) και στα άρθρα 446 και 454 του κανονισμού (ΕΕ) αριθ. 575/2013 χρησιμοποιώντας τον πίνακα EU ORA και το υπόδειγμα EU OR1 του παραρτήματος XXXI του παρόντος κανονισμού και ακολουθώντας τις οδηγίες που ορίζονται στο παράρτημα XXXII του παρόντος κανονισμού.</w:t>
      </w:r>
    </w:p>
    <w:p w14:paraId="3A62A83D" w14:textId="5BACE9F7" w:rsidR="000C60D7" w:rsidRPr="00627B17" w:rsidRDefault="000C60D7" w:rsidP="000C60D7">
      <w:pPr>
        <w:pStyle w:val="Titrearticle"/>
      </w:pPr>
      <w:r w:rsidRPr="00627B17">
        <w:t>Άρθρο 17</w:t>
      </w:r>
    </w:p>
    <w:p w14:paraId="75DCF1EA" w14:textId="77777777" w:rsidR="009777B7" w:rsidRPr="00627B17" w:rsidRDefault="009777B7" w:rsidP="009777B7">
      <w:pPr>
        <w:pStyle w:val="Titrearticle"/>
        <w:spacing w:before="120"/>
        <w:rPr>
          <w:b/>
          <w:i w:val="0"/>
        </w:rPr>
      </w:pPr>
      <w:r w:rsidRPr="00627B17">
        <w:rPr>
          <w:b/>
          <w:i w:val="0"/>
        </w:rPr>
        <w:t>Δημοσιοποίηση της πολιτικής αποδοχών</w:t>
      </w:r>
    </w:p>
    <w:p w14:paraId="3839A255" w14:textId="7459AA9C" w:rsidR="009777B7" w:rsidRPr="00627B17" w:rsidRDefault="009777B7" w:rsidP="009777B7">
      <w:pPr>
        <w:pStyle w:val="Titrearticle"/>
        <w:keepNext w:val="0"/>
        <w:tabs>
          <w:tab w:val="center" w:pos="4390"/>
        </w:tabs>
        <w:jc w:val="both"/>
        <w:rPr>
          <w:i w:val="0"/>
        </w:rPr>
      </w:pPr>
      <w:r w:rsidRPr="00627B17">
        <w:rPr>
          <w:i w:val="0"/>
        </w:rPr>
        <w:t>Τα ιδρύματα δημοσιοποιούν τις πληροφορίες που αναφέρονται στο άρθρο 450 του κανονισμού (ΕΕ) αριθ. 575/2013, ως εξής:</w:t>
      </w:r>
    </w:p>
    <w:p w14:paraId="16156854" w14:textId="75152CA1" w:rsidR="009777B7" w:rsidRPr="00627B17" w:rsidRDefault="00627B17" w:rsidP="00627B17">
      <w:pPr>
        <w:pStyle w:val="Point1"/>
      </w:pPr>
      <w:r>
        <w:t>α)</w:t>
      </w:r>
      <w:r w:rsidRPr="00627B17">
        <w:tab/>
      </w:r>
      <w:r w:rsidR="00922950" w:rsidRPr="00627B17">
        <w:t>τις πληροφορίες που αναφέρονται στο άρθρο 450 παράγραφος 1 στοιχεία α) έως στ) και ι) και ια) και τις πληροφορίες που αναφέρονται στο άρθρο 450 παράγραφος 2 του εν λόγω κανονισμού, χρησιμοποιώντας τον πίνακα EU REMA του παραρτήματος XXXIII του παρόντος κανονισμού και ακολουθώντας τις οδηγίες που ορίζονται στο παράρτημα XXXIV του παρόντος κανονισμού,</w:t>
      </w:r>
    </w:p>
    <w:p w14:paraId="4E502300" w14:textId="5DE13FA6" w:rsidR="009777B7" w:rsidRPr="00627B17" w:rsidRDefault="00627B17" w:rsidP="00627B17">
      <w:pPr>
        <w:pStyle w:val="Point1"/>
      </w:pPr>
      <w:r>
        <w:t>β)</w:t>
      </w:r>
      <w:r w:rsidRPr="00627B17">
        <w:tab/>
      </w:r>
      <w:r w:rsidR="00922950" w:rsidRPr="00627B17">
        <w:t>τις πληροφορίες που αναφέρονται στο άρθρο 450 παράγραφος 1 στοιχείο η) σημεία i) και ii) του κανονισμού (ΕΕ) αριθ. 575/2013 χρησιμοποιώντας το υπόδειγμα EU REM1 του παραρτήματος XXXIII του παρόντος κανονισμού και ακολουθώντας τις οδηγίες που ορίζονται στο παράρτημα XXXIV του παρόντος κανονισμού,</w:t>
      </w:r>
    </w:p>
    <w:p w14:paraId="735B9196" w14:textId="16BA23D8" w:rsidR="009777B7" w:rsidRPr="00627B17" w:rsidRDefault="00627B17" w:rsidP="00627B17">
      <w:pPr>
        <w:pStyle w:val="Point1"/>
      </w:pPr>
      <w:r>
        <w:t>γ)</w:t>
      </w:r>
      <w:r w:rsidRPr="00627B17">
        <w:tab/>
      </w:r>
      <w:r w:rsidR="00922950" w:rsidRPr="00627B17">
        <w:t>τις πληροφορίες που αναφέρονται στο άρθρο 450 παράγραφος 1 στοιχείο η) σημεία v), vi) και vii) του κανονισμού (ΕΕ) αριθ. 575/2013 χρησιμοποιώντας το υπόδειγμα EU REM2 του παραρτήματος XXXIII του παρόντος κανονισμού και ακολουθώντας τις οδηγίες που ορίζονται στο παράρτημα XXXIV του παρόντος κανονισμού,</w:t>
      </w:r>
    </w:p>
    <w:p w14:paraId="1AED187D" w14:textId="0F123B0F" w:rsidR="009777B7" w:rsidRPr="00627B17" w:rsidRDefault="00627B17" w:rsidP="00627B17">
      <w:pPr>
        <w:pStyle w:val="Point1"/>
      </w:pPr>
      <w:r>
        <w:t>δ)</w:t>
      </w:r>
      <w:r w:rsidRPr="00627B17">
        <w:tab/>
      </w:r>
      <w:r w:rsidR="00922950" w:rsidRPr="00627B17">
        <w:t>τις πληροφορίες που αναφέρονται στο άρθρο 450 παράγραφος 1 στοιχείο η) σημεία iii) και iv) του κανονισμού (ΕΕ) αριθ. 575/2013 χρησιμοποιώντας το υπόδειγμα EU REM3 του παραρτήματος XXXIII του παρόντος κανονισμού και ακολουθώντας τις οδηγίες που ορίζονται στο παράρτημα XXXIV του παρόντος κανονισμού,</w:t>
      </w:r>
    </w:p>
    <w:p w14:paraId="14D12398" w14:textId="792FBE55" w:rsidR="009777B7" w:rsidRPr="00627B17" w:rsidRDefault="00627B17" w:rsidP="00627B17">
      <w:pPr>
        <w:pStyle w:val="Point1"/>
      </w:pPr>
      <w:r>
        <w:t>ε)</w:t>
      </w:r>
      <w:r w:rsidRPr="00627B17">
        <w:tab/>
      </w:r>
      <w:r w:rsidR="009B4728" w:rsidRPr="00627B17">
        <w:t>τις πληροφορίες που αναφέρονται άρθρο 450 παράγραφος 1 στοιχεία ζ) και θ) του κανονισμού (ΕΕ) αριθ. 575/2013 χρησιμοποιώντας τα υποδείγματα EU REM4 και EU REM5 του παραρτήματος XXXIII του παρόντος κανονισμού και ακολουθώντας τις οδηγίες που ορίζονται στο παράρτημα XXXIV του παρόντος κανονισμού.</w:t>
      </w:r>
    </w:p>
    <w:p w14:paraId="364F29D4" w14:textId="57B2B161" w:rsidR="000C60D7" w:rsidRPr="00627B17" w:rsidRDefault="000C60D7" w:rsidP="006A7F00">
      <w:pPr>
        <w:pStyle w:val="Titrearticle"/>
        <w:ind w:left="567" w:hanging="567"/>
      </w:pPr>
      <w:r w:rsidRPr="00627B17">
        <w:t>Άρθρο 18</w:t>
      </w:r>
    </w:p>
    <w:p w14:paraId="160478EB" w14:textId="77777777" w:rsidR="00701631" w:rsidRPr="00627B17" w:rsidRDefault="00701631" w:rsidP="00701631">
      <w:pPr>
        <w:pStyle w:val="Titrearticle"/>
        <w:spacing w:before="120"/>
        <w:rPr>
          <w:b/>
          <w:i w:val="0"/>
        </w:rPr>
      </w:pPr>
      <w:r w:rsidRPr="00627B17">
        <w:rPr>
          <w:b/>
          <w:i w:val="0"/>
        </w:rPr>
        <w:t xml:space="preserve">Δημοσιοποίηση των βεβαρημένων και μη βεβαρημένων στοιχείων ενεργητικού </w:t>
      </w:r>
    </w:p>
    <w:p w14:paraId="449F8D1D" w14:textId="124DE705" w:rsidR="00701631" w:rsidRPr="00627B17" w:rsidRDefault="00701631" w:rsidP="006A7F00">
      <w:pPr>
        <w:spacing w:after="360"/>
      </w:pPr>
      <w:r w:rsidRPr="00627B17">
        <w:t>Τα ιδρύματα δημοσιοποιούν τις πληροφορίες που αναφέρονται στο άρθρο 443 του κανονισμού (ΕΕ) αριθ. 575/2013 χρησιμοποιώντας τα υποδείγματα EU AE1, EU AE2 και EU AE3 και τον πίνακα EU AE4 του παραρτήματος XXXV του παρόντος κανονισμού και ακολουθώντας τις οδηγίες που ορίζονται στο παράρτημα XXXVI του παρόντος κανονισμού.</w:t>
      </w:r>
    </w:p>
    <w:p w14:paraId="14363D9F" w14:textId="77777777" w:rsidR="00701631" w:rsidRPr="00627B17" w:rsidRDefault="00701631" w:rsidP="00701631">
      <w:pPr>
        <w:pStyle w:val="ChapterTitle"/>
      </w:pPr>
    </w:p>
    <w:p w14:paraId="7FE6B268" w14:textId="77777777" w:rsidR="000C60D7" w:rsidRPr="00627B17" w:rsidRDefault="000C60D7" w:rsidP="000C60D7">
      <w:pPr>
        <w:pStyle w:val="Titrearticle"/>
      </w:pPr>
      <w:r w:rsidRPr="00627B17">
        <w:t>Άρθρο 19</w:t>
      </w:r>
    </w:p>
    <w:p w14:paraId="3E8EF4AC" w14:textId="77777777" w:rsidR="00701631" w:rsidRPr="00627B17" w:rsidRDefault="00701631" w:rsidP="00701631">
      <w:pPr>
        <w:pStyle w:val="Titrearticle"/>
        <w:spacing w:before="120"/>
        <w:rPr>
          <w:b/>
          <w:i w:val="0"/>
        </w:rPr>
      </w:pPr>
      <w:r w:rsidRPr="00627B17">
        <w:rPr>
          <w:b/>
          <w:i w:val="0"/>
        </w:rPr>
        <w:t>Γενικές διατάξεις</w:t>
      </w:r>
    </w:p>
    <w:p w14:paraId="0D4D4A8C" w14:textId="665CD0FC" w:rsidR="00701631" w:rsidRPr="00627B17" w:rsidRDefault="008A6A1E" w:rsidP="0043540D">
      <w:pPr>
        <w:pStyle w:val="NumPar1"/>
        <w:numPr>
          <w:ilvl w:val="0"/>
          <w:numId w:val="15"/>
        </w:numPr>
        <w:tabs>
          <w:tab w:val="clear" w:pos="850"/>
          <w:tab w:val="left" w:pos="567"/>
        </w:tabs>
        <w:ind w:left="0" w:firstLine="0"/>
      </w:pPr>
      <w:r w:rsidRPr="00627B17">
        <w:t>Η αρίθμηση των γραμμών ή των στηλών δεν μεταβάλλεται όταν ένα ίδρυμα παραλείπει μία ή περισσότερες δημοσιοποιήσεις σύμφωνα με το άρθρο 432 του κανονισμού (ΕΕ) αριθ. 575/2013.</w:t>
      </w:r>
    </w:p>
    <w:p w14:paraId="69318B17" w14:textId="6616639A" w:rsidR="00701631" w:rsidRPr="00627B17" w:rsidRDefault="00701631" w:rsidP="0043540D">
      <w:pPr>
        <w:pStyle w:val="NumPar1"/>
        <w:numPr>
          <w:ilvl w:val="0"/>
          <w:numId w:val="15"/>
        </w:numPr>
        <w:tabs>
          <w:tab w:val="clear" w:pos="850"/>
          <w:tab w:val="left" w:pos="567"/>
        </w:tabs>
        <w:ind w:left="0" w:firstLine="0"/>
      </w:pPr>
      <w:r w:rsidRPr="00627B17">
        <w:t>Τα ιδρύματα το σημειώνουν με σαφήνεια στο λεκτικό που συνοδεύει το σχετικό υπόδειγμα ή τον πίνακα, αναφέροντας ποιες γραμμές ή στήλες δεν συμπληρώνονται και δηλώνοντας τον λόγο της παράλειψης της δημοσιοποίησης.</w:t>
      </w:r>
    </w:p>
    <w:p w14:paraId="2CB1CDF8" w14:textId="03F7F293" w:rsidR="00701631" w:rsidRPr="00627B17" w:rsidRDefault="00701631" w:rsidP="0043540D">
      <w:pPr>
        <w:pStyle w:val="NumPar1"/>
        <w:numPr>
          <w:ilvl w:val="0"/>
          <w:numId w:val="15"/>
        </w:numPr>
        <w:tabs>
          <w:tab w:val="clear" w:pos="850"/>
          <w:tab w:val="left" w:pos="567"/>
        </w:tabs>
        <w:ind w:left="0" w:firstLine="0"/>
      </w:pPr>
      <w:r w:rsidRPr="00627B17">
        <w:t>Οι πληροφορίες που απαιτούνται από το άρθρο 431 του κανονισμού (ΕΕ) αριθ. 575/2013 είναι σαφείς και περιεκτικές, επιτρέποντας στους χρήστες των εν λόγω πληροφοριών να κατανοήσουν τις ποσοτικές δημοσιοποιήσεις, και τοποθετούνται δίπλα στα υποδείγματα τα οποία αφορούν οι εκάστοτε πληροφορίες.</w:t>
      </w:r>
    </w:p>
    <w:p w14:paraId="3C376A0D" w14:textId="77777777" w:rsidR="00701631" w:rsidRPr="00627B17" w:rsidRDefault="008A6A1E" w:rsidP="0043540D">
      <w:pPr>
        <w:pStyle w:val="NumPar1"/>
        <w:numPr>
          <w:ilvl w:val="0"/>
          <w:numId w:val="15"/>
        </w:numPr>
        <w:tabs>
          <w:tab w:val="clear" w:pos="850"/>
          <w:tab w:val="left" w:pos="567"/>
        </w:tabs>
        <w:ind w:left="0" w:firstLine="0"/>
      </w:pPr>
      <w:r w:rsidRPr="00627B17">
        <w:t>Οι αριθμητικές τιμές παρουσιάζονται ως εξής:</w:t>
      </w:r>
    </w:p>
    <w:p w14:paraId="34EC4F16" w14:textId="7FACFE61" w:rsidR="00701631" w:rsidRPr="00627B17" w:rsidRDefault="00627B17" w:rsidP="00627B17">
      <w:pPr>
        <w:pStyle w:val="Point1"/>
      </w:pPr>
      <w:r>
        <w:t>α)</w:t>
      </w:r>
      <w:r w:rsidRPr="00627B17">
        <w:tab/>
      </w:r>
      <w:r w:rsidR="006A7F00" w:rsidRPr="00627B17">
        <w:t>τα ποσοτικά νομισματικά δεδομένα δημοσιοποιούνται χρησιμοποιώντας ελάχιστη ακρίβεια που αντιστοιχεί σε εκατομμύρια μονάδες·</w:t>
      </w:r>
    </w:p>
    <w:p w14:paraId="68A2DB14" w14:textId="7FFC742E" w:rsidR="00701631" w:rsidRPr="00627B17" w:rsidRDefault="00627B17" w:rsidP="00627B17">
      <w:pPr>
        <w:pStyle w:val="Point1"/>
      </w:pPr>
      <w:r>
        <w:t>β)</w:t>
      </w:r>
      <w:r w:rsidRPr="00627B17">
        <w:tab/>
      </w:r>
      <w:r w:rsidR="006A7F00" w:rsidRPr="00627B17">
        <w:t>τα ποσοτικά δεδομένα που δημοσιοποιούνται ως «Ποσοστό» εκφράζονται ανά μονάδα, με ελάχιστη ακρίβεια που αντιστοιχεί σε τέσσερα δεκαδικά ψηφία.</w:t>
      </w:r>
    </w:p>
    <w:p w14:paraId="4ABB712C" w14:textId="23EAACA3" w:rsidR="00701631" w:rsidRPr="00627B17" w:rsidRDefault="007C003F" w:rsidP="0043540D">
      <w:pPr>
        <w:pStyle w:val="NumPar1"/>
        <w:numPr>
          <w:ilvl w:val="0"/>
          <w:numId w:val="15"/>
        </w:numPr>
        <w:tabs>
          <w:tab w:val="clear" w:pos="850"/>
          <w:tab w:val="left" w:pos="567"/>
        </w:tabs>
        <w:ind w:left="0" w:firstLine="0"/>
      </w:pPr>
      <w:r w:rsidRPr="00627B17">
        <w:t>Εκτός από τις πληροφορίες που δημοσιοποιούνται σύμφωνα με τον παρόντα κανονισμό, τα ιδρύματα παρέχουν επίσης τις ακόλουθες πληροφορίες:</w:t>
      </w:r>
    </w:p>
    <w:p w14:paraId="13F175D6" w14:textId="45E9B745" w:rsidR="00701631" w:rsidRPr="00627B17" w:rsidRDefault="00627B17" w:rsidP="00627B17">
      <w:pPr>
        <w:pStyle w:val="Point1"/>
      </w:pPr>
      <w:r>
        <w:t>α)</w:t>
      </w:r>
      <w:r w:rsidRPr="00627B17">
        <w:tab/>
      </w:r>
      <w:r w:rsidR="00701631" w:rsidRPr="00627B17">
        <w:t xml:space="preserve">ημερομηνία αναφοράς για τη δημοσιοποίηση και περίοδο αναφοράς· </w:t>
      </w:r>
    </w:p>
    <w:p w14:paraId="314245D8" w14:textId="5B5DCBB7" w:rsidR="00701631" w:rsidRPr="00627B17" w:rsidRDefault="00627B17" w:rsidP="00627B17">
      <w:pPr>
        <w:pStyle w:val="Point1"/>
      </w:pPr>
      <w:r>
        <w:t>β)</w:t>
      </w:r>
      <w:r w:rsidRPr="00627B17">
        <w:tab/>
      </w:r>
      <w:r w:rsidR="00701631" w:rsidRPr="00627B17">
        <w:t xml:space="preserve">νόμισμα που χρησιμοποιείται για την υποβολή αναφορών· </w:t>
      </w:r>
    </w:p>
    <w:p w14:paraId="567E44A9" w14:textId="6306B371" w:rsidR="00701631" w:rsidRPr="00627B17" w:rsidRDefault="00627B17" w:rsidP="00627B17">
      <w:pPr>
        <w:pStyle w:val="Point1"/>
      </w:pPr>
      <w:r>
        <w:t>γ)</w:t>
      </w:r>
      <w:r w:rsidRPr="00627B17">
        <w:tab/>
      </w:r>
      <w:r w:rsidR="00701631" w:rsidRPr="00627B17">
        <w:t>όνομα και, κατά περίπτωση, αναγνωριστικό νομικής οντότητας (LEI) του δημοσιοποιούντος ιδρύματος·</w:t>
      </w:r>
    </w:p>
    <w:p w14:paraId="451CF564" w14:textId="24A37B41" w:rsidR="00701631" w:rsidRPr="00627B17" w:rsidRDefault="00627B17" w:rsidP="00627B17">
      <w:pPr>
        <w:pStyle w:val="Point1"/>
      </w:pPr>
      <w:r>
        <w:t>δ)</w:t>
      </w:r>
      <w:r w:rsidRPr="00627B17">
        <w:tab/>
      </w:r>
      <w:r w:rsidR="00701631" w:rsidRPr="00627B17">
        <w:t>κατά περίπτωση, το λογιστικό πρότυπο που χρησιμοποιείται·</w:t>
      </w:r>
    </w:p>
    <w:p w14:paraId="02FEC9AF" w14:textId="058BFCFA" w:rsidR="00701631" w:rsidRPr="00627B17" w:rsidRDefault="00627B17" w:rsidP="00627B17">
      <w:pPr>
        <w:pStyle w:val="Point1"/>
      </w:pPr>
      <w:r>
        <w:t>ε)</w:t>
      </w:r>
      <w:r w:rsidRPr="00627B17">
        <w:tab/>
      </w:r>
      <w:r w:rsidR="00701631" w:rsidRPr="00627B17">
        <w:t>κατά περίπτωση, το πεδίο εφαρμογής της ενοποίησης.</w:t>
      </w:r>
    </w:p>
    <w:p w14:paraId="2B58C852" w14:textId="35679235" w:rsidR="00701631" w:rsidRPr="00627B17" w:rsidRDefault="00701631" w:rsidP="00701631">
      <w:pPr>
        <w:pStyle w:val="ChapterTitle"/>
      </w:pPr>
    </w:p>
    <w:p w14:paraId="0809B9F0" w14:textId="77777777" w:rsidR="00480310" w:rsidRPr="00627B17" w:rsidRDefault="00480310" w:rsidP="00480310">
      <w:pPr>
        <w:pStyle w:val="Titrearticle"/>
      </w:pPr>
      <w:r w:rsidRPr="00627B17">
        <w:t>Άρθρο 20</w:t>
      </w:r>
    </w:p>
    <w:p w14:paraId="3C483BD6" w14:textId="77777777" w:rsidR="00701631" w:rsidRPr="00627B17" w:rsidRDefault="00701631" w:rsidP="00701631">
      <w:pPr>
        <w:pStyle w:val="Titrearticle"/>
        <w:spacing w:before="120"/>
        <w:rPr>
          <w:b/>
          <w:i w:val="0"/>
        </w:rPr>
      </w:pPr>
      <w:r w:rsidRPr="00627B17">
        <w:rPr>
          <w:b/>
          <w:i w:val="0"/>
        </w:rPr>
        <w:t>Κατάργηση</w:t>
      </w:r>
    </w:p>
    <w:p w14:paraId="3A2C5124" w14:textId="5C677A63" w:rsidR="00701631" w:rsidRPr="00627B17" w:rsidRDefault="00701631" w:rsidP="00CE5120">
      <w:r w:rsidRPr="00627B17">
        <w:t>Ο εκτελεστικός κανονισμός (ΕΕ) αριθ. 1423/2013, ο κατ’ εξουσιοδότηση κανονισμός (ΕΕ) 2015/1555, ο εκτελεστικός κανονισμός (ΕΕ) 2016/200 και ο κατ’ εξουσιοδότηση κανονισμός (ΕΕ) 2017/2295 καταργούνται.</w:t>
      </w:r>
    </w:p>
    <w:p w14:paraId="5131A818" w14:textId="1E314DFE" w:rsidR="00701631" w:rsidRPr="00627B17" w:rsidRDefault="00701631" w:rsidP="00CE5120"/>
    <w:p w14:paraId="790A8EA3" w14:textId="08CF0E19" w:rsidR="00480310" w:rsidRPr="00627B17" w:rsidRDefault="00480310" w:rsidP="00480310">
      <w:pPr>
        <w:pStyle w:val="Titrearticle"/>
        <w:spacing w:before="120"/>
      </w:pPr>
      <w:r w:rsidRPr="00627B17">
        <w:t>Άρθρο 21</w:t>
      </w:r>
    </w:p>
    <w:p w14:paraId="250EEEF7" w14:textId="77777777" w:rsidR="003A35E9" w:rsidRPr="00627B17" w:rsidRDefault="003A35E9" w:rsidP="003A35E9">
      <w:pPr>
        <w:pStyle w:val="Titrearticle"/>
        <w:spacing w:before="120"/>
        <w:rPr>
          <w:b/>
          <w:i w:val="0"/>
        </w:rPr>
      </w:pPr>
      <w:r w:rsidRPr="00627B17">
        <w:rPr>
          <w:b/>
          <w:i w:val="0"/>
        </w:rPr>
        <w:t>Έναρξη ισχύος</w:t>
      </w:r>
    </w:p>
    <w:p w14:paraId="48F23500" w14:textId="77777777" w:rsidR="0004170D" w:rsidRPr="00627B17" w:rsidRDefault="0004170D" w:rsidP="009675DD">
      <w:r w:rsidRPr="00627B17">
        <w:t xml:space="preserve">Ο παρών κανονισμός αρχίζει να ισχύει την εικοστή ημέρα από τη δημοσίευσή του στην </w:t>
      </w:r>
      <w:r w:rsidRPr="00627B17">
        <w:rPr>
          <w:i/>
        </w:rPr>
        <w:t>Επίσημη Εφημερίδα της Ευρωπαϊκής Ένωσης.</w:t>
      </w:r>
    </w:p>
    <w:p w14:paraId="0EE80E7B" w14:textId="77777777" w:rsidR="00FF364B" w:rsidRPr="00627B17" w:rsidRDefault="00FF364B" w:rsidP="00FF364B">
      <w:r w:rsidRPr="00627B17">
        <w:t>Εφαρμόζεται από την 28η Ιουνίου 2021.</w:t>
      </w:r>
    </w:p>
    <w:p w14:paraId="7780311D" w14:textId="77777777" w:rsidR="0004170D" w:rsidRPr="00627B17" w:rsidRDefault="0004170D" w:rsidP="009675DD">
      <w:pPr>
        <w:pStyle w:val="Applicationdirecte"/>
      </w:pPr>
      <w:r w:rsidRPr="00627B17">
        <w:t>Ο παρών κανονισμός είναι δεσμευτικός ως προς όλα τα μέρη του και ισχύει άμεσα σε κάθε κράτος μέλος.</w:t>
      </w:r>
    </w:p>
    <w:p w14:paraId="0BE91ABA" w14:textId="71B47A5C" w:rsidR="0004170D" w:rsidRPr="00627B17" w:rsidRDefault="00627B17" w:rsidP="00627B17">
      <w:pPr>
        <w:pStyle w:val="Fait"/>
      </w:pPr>
      <w:r w:rsidRPr="00627B17">
        <w:t>Βρυξέλλες,</w:t>
      </w:r>
    </w:p>
    <w:p w14:paraId="08B30859" w14:textId="77777777" w:rsidR="0004170D" w:rsidRPr="00627B17" w:rsidRDefault="0004170D" w:rsidP="0004170D">
      <w:pPr>
        <w:pStyle w:val="Institutionquisigne"/>
      </w:pPr>
      <w:r w:rsidRPr="00627B17">
        <w:tab/>
        <w:t>Για την Επιτροπή</w:t>
      </w:r>
    </w:p>
    <w:p w14:paraId="53FCF827" w14:textId="77777777" w:rsidR="00553957" w:rsidRPr="00627B17" w:rsidRDefault="0004170D" w:rsidP="0004170D">
      <w:pPr>
        <w:pStyle w:val="Personnequisigne"/>
      </w:pPr>
      <w:r w:rsidRPr="00627B17">
        <w:tab/>
        <w:t>Η Πρόεδρος</w:t>
      </w:r>
    </w:p>
    <w:p w14:paraId="5753E957" w14:textId="4CF92A3E" w:rsidR="0004170D" w:rsidRPr="00627B17" w:rsidRDefault="00553957" w:rsidP="0004170D">
      <w:pPr>
        <w:pStyle w:val="Personnequisigne"/>
      </w:pPr>
      <w:r w:rsidRPr="00627B17">
        <w:tab/>
        <w:t xml:space="preserve">Ursula von der Leyen </w:t>
      </w:r>
      <w:r w:rsidRPr="00627B17">
        <w:br/>
      </w:r>
      <w:r w:rsidRPr="00627B17">
        <w:tab/>
        <w:t xml:space="preserve"> </w:t>
      </w:r>
      <w:r w:rsidRPr="00627B17">
        <w:br/>
      </w:r>
      <w:r w:rsidRPr="00627B17">
        <w:tab/>
        <w:t xml:space="preserve"> </w:t>
      </w:r>
      <w:r w:rsidRPr="00627B17">
        <w:br/>
        <w:t xml:space="preserve"> </w:t>
      </w:r>
      <w:r w:rsidRPr="00627B17">
        <w:br/>
      </w:r>
      <w:r w:rsidRPr="00627B17">
        <w:tab/>
      </w:r>
    </w:p>
    <w:sectPr w:rsidR="0004170D" w:rsidRPr="00627B17" w:rsidSect="00437D07">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9439D9" w14:textId="77777777" w:rsidR="00D642C6" w:rsidRDefault="00D642C6" w:rsidP="0004170D">
      <w:pPr>
        <w:spacing w:before="0" w:after="0"/>
      </w:pPr>
      <w:r>
        <w:separator/>
      </w:r>
    </w:p>
  </w:endnote>
  <w:endnote w:type="continuationSeparator" w:id="0">
    <w:p w14:paraId="134D70AD" w14:textId="77777777" w:rsidR="00D642C6" w:rsidRDefault="00D642C6" w:rsidP="0004170D">
      <w:pPr>
        <w:spacing w:before="0" w:after="0"/>
      </w:pPr>
      <w:r>
        <w:continuationSeparator/>
      </w:r>
    </w:p>
  </w:endnote>
  <w:endnote w:type="continuationNotice" w:id="1">
    <w:p w14:paraId="1724D46A" w14:textId="77777777" w:rsidR="00D642C6" w:rsidRDefault="00D642C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A612B" w14:textId="7D628837" w:rsidR="00D642C6" w:rsidRPr="00437D07" w:rsidRDefault="00437D07" w:rsidP="00437D07">
    <w:pPr>
      <w:pStyle w:val="Footer"/>
      <w:rPr>
        <w:rFonts w:ascii="Arial" w:hAnsi="Arial" w:cs="Arial"/>
        <w:b/>
        <w:sz w:val="48"/>
      </w:rPr>
    </w:pPr>
    <w:r w:rsidRPr="00437D07">
      <w:rPr>
        <w:rFonts w:ascii="Arial" w:hAnsi="Arial" w:cs="Arial"/>
        <w:b/>
        <w:sz w:val="48"/>
      </w:rPr>
      <w:t>EL</w:t>
    </w:r>
    <w:r w:rsidRPr="00437D07">
      <w:rPr>
        <w:rFonts w:ascii="Arial" w:hAnsi="Arial" w:cs="Arial"/>
        <w:b/>
        <w:sz w:val="48"/>
      </w:rPr>
      <w:tab/>
    </w:r>
    <w:r w:rsidRPr="00437D07">
      <w:rPr>
        <w:rFonts w:ascii="Arial" w:hAnsi="Arial" w:cs="Arial"/>
        <w:b/>
        <w:sz w:val="48"/>
      </w:rPr>
      <w:tab/>
    </w:r>
    <w:r w:rsidRPr="00437D07">
      <w:tab/>
    </w:r>
    <w:r w:rsidRPr="00437D07">
      <w:rPr>
        <w:rFonts w:ascii="Arial" w:hAnsi="Arial" w:cs="Arial"/>
        <w:b/>
        <w:sz w:val="48"/>
      </w:rPr>
      <w:t>EL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E0DF6" w14:textId="15E32210" w:rsidR="00437D07" w:rsidRPr="00437D07" w:rsidRDefault="00437D07" w:rsidP="00437D07">
    <w:pPr>
      <w:pStyle w:val="Footer"/>
      <w:rPr>
        <w:rFonts w:ascii="Arial" w:hAnsi="Arial" w:cs="Arial"/>
        <w:b/>
        <w:sz w:val="48"/>
      </w:rPr>
    </w:pPr>
    <w:r w:rsidRPr="00437D07">
      <w:rPr>
        <w:rFonts w:ascii="Arial" w:hAnsi="Arial" w:cs="Arial"/>
        <w:b/>
        <w:sz w:val="48"/>
      </w:rPr>
      <w:t>EL</w:t>
    </w:r>
    <w:r w:rsidRPr="00437D07">
      <w:rPr>
        <w:rFonts w:ascii="Arial" w:hAnsi="Arial" w:cs="Arial"/>
        <w:b/>
        <w:sz w:val="48"/>
      </w:rPr>
      <w:tab/>
    </w:r>
    <w:r>
      <w:fldChar w:fldCharType="begin"/>
    </w:r>
    <w:r>
      <w:instrText xml:space="preserve"> PAGE  \* MERGEFORMAT </w:instrText>
    </w:r>
    <w:r>
      <w:fldChar w:fldCharType="separate"/>
    </w:r>
    <w:r w:rsidR="002F111E">
      <w:rPr>
        <w:noProof/>
      </w:rPr>
      <w:t>1</w:t>
    </w:r>
    <w:r>
      <w:fldChar w:fldCharType="end"/>
    </w:r>
    <w:r>
      <w:tab/>
    </w:r>
    <w:r w:rsidRPr="00437D07">
      <w:tab/>
    </w:r>
    <w:r w:rsidRPr="00437D07">
      <w:rPr>
        <w:rFonts w:ascii="Arial" w:hAnsi="Arial" w:cs="Arial"/>
        <w:b/>
        <w:sz w:val="48"/>
      </w:rPr>
      <w: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35DA4" w14:textId="77777777" w:rsidR="00437D07" w:rsidRPr="00437D07" w:rsidRDefault="00437D07" w:rsidP="00437D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2F737" w14:textId="77777777" w:rsidR="00D642C6" w:rsidRDefault="00D642C6" w:rsidP="0004170D">
      <w:pPr>
        <w:spacing w:before="0" w:after="0"/>
      </w:pPr>
      <w:r>
        <w:separator/>
      </w:r>
    </w:p>
  </w:footnote>
  <w:footnote w:type="continuationSeparator" w:id="0">
    <w:p w14:paraId="749DF679" w14:textId="77777777" w:rsidR="00D642C6" w:rsidRDefault="00D642C6" w:rsidP="0004170D">
      <w:pPr>
        <w:spacing w:before="0" w:after="0"/>
      </w:pPr>
      <w:r>
        <w:continuationSeparator/>
      </w:r>
    </w:p>
  </w:footnote>
  <w:footnote w:type="continuationNotice" w:id="1">
    <w:p w14:paraId="4A2CD802" w14:textId="77777777" w:rsidR="00D642C6" w:rsidRDefault="00D642C6">
      <w:pPr>
        <w:spacing w:before="0" w:after="0"/>
      </w:pPr>
    </w:p>
  </w:footnote>
  <w:footnote w:id="2">
    <w:p w14:paraId="342936E7" w14:textId="77777777" w:rsidR="00D642C6" w:rsidRPr="005823FE" w:rsidRDefault="00D642C6" w:rsidP="00195285">
      <w:pPr>
        <w:pStyle w:val="FootnoteText"/>
        <w:ind w:left="567" w:hanging="567"/>
      </w:pPr>
      <w:r>
        <w:rPr>
          <w:rStyle w:val="FootnoteReference"/>
        </w:rPr>
        <w:footnoteRef/>
      </w:r>
      <w:r>
        <w:tab/>
        <w:t>ΕΕ L 176 της 27.6.2013, σ. 1.</w:t>
      </w:r>
    </w:p>
  </w:footnote>
  <w:footnote w:id="3">
    <w:p w14:paraId="0882B9E0" w14:textId="0727DECC" w:rsidR="00D642C6" w:rsidRPr="003460F1" w:rsidRDefault="00D642C6" w:rsidP="00A72EF0">
      <w:pPr>
        <w:pStyle w:val="FootnoteText"/>
        <w:ind w:left="567" w:hanging="567"/>
      </w:pPr>
      <w:r>
        <w:rPr>
          <w:rStyle w:val="FootnoteReference"/>
        </w:rPr>
        <w:footnoteRef/>
      </w:r>
      <w:r>
        <w:tab/>
        <w:t xml:space="preserve">Basel Committee on Banking Supervision of the Bank for International Settlements (Επιτροπή της Βασιλείας για την τραπεζική εποπτεία της Τράπεζας Διεθνών Διακανονισμών), Απαιτήσεις δημοσιοποίησης DIS, Δεκεμβρίου 2019. </w:t>
      </w:r>
    </w:p>
  </w:footnote>
  <w:footnote w:id="4">
    <w:p w14:paraId="13EE838B" w14:textId="394F43A6" w:rsidR="00D642C6" w:rsidRPr="00627B17" w:rsidRDefault="004328FB" w:rsidP="00A72EF0">
      <w:pPr>
        <w:pStyle w:val="FootnoteText"/>
        <w:ind w:left="567" w:hanging="567"/>
        <w:rPr>
          <w:rStyle w:val="FootnoteReference"/>
          <w:vertAlign w:val="baseline"/>
        </w:rPr>
      </w:pPr>
      <w:r>
        <w:rPr>
          <w:rStyle w:val="FootnoteReference"/>
        </w:rPr>
        <w:footnoteRef/>
      </w:r>
      <w:r>
        <w:tab/>
        <w:t>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w:t>
      </w:r>
      <w:hyperlink r:id="rId1">
        <w:r>
          <w:rPr>
            <w:rStyle w:val="Hyperlink"/>
          </w:rPr>
          <w:t>ΕΕ L 176 της 27.6.2013, σ. 1</w:t>
        </w:r>
      </w:hyperlink>
      <w:r>
        <w:t>).</w:t>
      </w:r>
    </w:p>
  </w:footnote>
  <w:footnote w:id="5">
    <w:p w14:paraId="40392A66" w14:textId="77777777" w:rsidR="00D642C6" w:rsidRPr="00587191" w:rsidRDefault="00D642C6" w:rsidP="00A72EF0">
      <w:pPr>
        <w:pStyle w:val="FootnoteText"/>
        <w:ind w:left="567" w:hanging="567"/>
      </w:pPr>
      <w:r>
        <w:rPr>
          <w:rStyle w:val="FootnoteReference"/>
        </w:rPr>
        <w:footnoteRef/>
      </w:r>
      <w:r>
        <w:tab/>
        <w:t>Εκτελεστικός κανονισμός (ΕΕ) αριθ. 1423/2013 της Επιτροπής, της 20ής Δεκεμβρίου 2013, για τη θέσπιση εκτελεστικών τεχνικών προτύπων όσον αφορά τις απαιτήσεις δημοσιοποίησης ιδίων κεφαλαίων για ιδρύματα σύμφωνα με τον κανονισμό (ΕΕ) αριθ. 575/2013 του Ευρωπαϊκού Κοινοβουλίου και του Συμβουλίου (ΕΕ L 355 της 31.12.2013, σ. 60).</w:t>
      </w:r>
    </w:p>
  </w:footnote>
  <w:footnote w:id="6">
    <w:p w14:paraId="6C1C6468" w14:textId="77777777" w:rsidR="00D642C6" w:rsidRPr="005823FE" w:rsidRDefault="00D642C6" w:rsidP="00A72EF0">
      <w:pPr>
        <w:pStyle w:val="FootnoteText"/>
        <w:ind w:left="567" w:hanging="567"/>
      </w:pPr>
      <w:r>
        <w:rPr>
          <w:rStyle w:val="FootnoteReference"/>
        </w:rPr>
        <w:footnoteRef/>
      </w:r>
      <w:r>
        <w:tab/>
        <w:t>Κατ' εξουσιοδότηση κανονισμός (ΕΕ) 2015/1555 της Επιτροπής, της 28ης Μαΐου 2015, για τη συμπλήρωση του κανονισμού (ΕΕ) αριθ. 575/2013 του Ευρωπαϊκού Κοινοβουλίου και του Συμβουλίου όσον αφορά τα ρυθμιστικά τεχνικά πρότυπα για τη δημοσιοποίηση πληροφοριών σε σχέση με τη συμμόρφωση των ιδρυμάτων με την απαίτηση τήρησης αντικυκλικού κεφαλαιακού αποθέματος ασφαλείας, σύμφωνα με το άρθρο 440 (ΕΕ L 244 της 19.9.2015, σ. 1).</w:t>
      </w:r>
    </w:p>
  </w:footnote>
  <w:footnote w:id="7">
    <w:p w14:paraId="1844C7BE" w14:textId="77777777" w:rsidR="00D642C6" w:rsidRPr="005823FE" w:rsidRDefault="00D642C6" w:rsidP="00A72EF0">
      <w:pPr>
        <w:pStyle w:val="FootnoteText"/>
        <w:ind w:left="567" w:hanging="567"/>
      </w:pPr>
      <w:r>
        <w:rPr>
          <w:rStyle w:val="FootnoteReference"/>
        </w:rPr>
        <w:footnoteRef/>
      </w:r>
      <w:r>
        <w:tab/>
        <w:t>Εκτελεστικός κανονισμός (ΕΕ) 2016/200 της Επιτροπής, της 15ης Φεβρουαρίου 2016, για τον καθορισμό εκτελεστικών τεχνικών προτύπων όσον αφορά τη γνωστοποίηση του δείκτη μόχλευσης των ιδρυμάτων, σύμφωνα με τον κανονισμό (ΕΕ) αριθ. 575/2013 του Ευρωπαϊκού Κοινοβουλίου και του Συμβουλίου (ΕΕ L 39 της 16.2.2016, σ. 5).</w:t>
      </w:r>
    </w:p>
  </w:footnote>
  <w:footnote w:id="8">
    <w:p w14:paraId="21AF9579" w14:textId="77777777" w:rsidR="00D642C6" w:rsidRPr="005823FE" w:rsidRDefault="00D642C6" w:rsidP="00A72EF0">
      <w:pPr>
        <w:pStyle w:val="FootnoteText"/>
        <w:ind w:left="567" w:hanging="567"/>
      </w:pPr>
      <w:r>
        <w:rPr>
          <w:rStyle w:val="FootnoteReference"/>
        </w:rPr>
        <w:footnoteRef/>
      </w:r>
      <w:r>
        <w:tab/>
        <w:t>Κατ’ εξουσιοδότηση κανονισμός (ΕΕ) 2017/2295 της Επιτροπής, της 4ης Σεπτεμβρίου 2017, για τη συμπλήρωση του κανονισμού (ΕΕ) αριθ. 575/2013 του Ευρωπαϊκού Κοινοβουλίου και του Συμβουλίου σχετικά με ρυθμιστικά τεχνικά πρότυπα για τη δημοσιοποίηση βεβαρημένων και μη βεβαρημένων στοιχείων ενεργητικού (ΕΕ L 329 της 13.12.2017, σ. 6).</w:t>
      </w:r>
    </w:p>
  </w:footnote>
  <w:footnote w:id="9">
    <w:p w14:paraId="68060770" w14:textId="1ABE36E0" w:rsidR="00D642C6" w:rsidRPr="00627B17" w:rsidRDefault="00D642C6" w:rsidP="00967C75">
      <w:pPr>
        <w:pStyle w:val="FootnoteText"/>
        <w:ind w:left="567" w:hanging="567"/>
      </w:pPr>
      <w:r>
        <w:rPr>
          <w:rStyle w:val="FootnoteReference"/>
        </w:rPr>
        <w:footnoteRef/>
      </w:r>
      <w:r>
        <w:tab/>
        <w:t>Κατευθυντήριες γραμμές EBA/GL/2018/10 της Ευρωπαϊκής Αρχής Τραπεζών, της 17ης Δεκεμβρίου 2018, σχετικά με τη δημοσιοποίηση μη εξυπηρετούμενων ανοιγμάτων και ανοιγμάτων με ανοχή.</w:t>
      </w:r>
    </w:p>
  </w:footnote>
  <w:footnote w:id="10">
    <w:p w14:paraId="4A5854A4" w14:textId="5C50A76E" w:rsidR="00D642C6" w:rsidRPr="00587191" w:rsidRDefault="00D642C6" w:rsidP="00195285">
      <w:pPr>
        <w:pStyle w:val="FootnoteText"/>
        <w:ind w:left="567" w:hanging="567"/>
      </w:pPr>
      <w:r>
        <w:rPr>
          <w:rStyle w:val="FootnoteReference"/>
        </w:rPr>
        <w:footnoteRef/>
      </w:r>
      <w:r>
        <w:tab/>
        <w:t>Κανονισμός (ΕΕ) 2017/2401 του Ευρωπαϊκού Κοινοβουλίου και του Συμβουλίου, της 12ης Δεκεμβρίου 2017, για την τροποποίηση του κανονισμού (ΕΕ) αριθ. 575/2013 σχετικά με τις απαιτήσεις προληπτικής εποπτείας για πιστωτικά ιδρύματα και επιχειρήσεις επενδύσεων (ΕΕ L 347 της 28.12.2017, σ. 1).</w:t>
      </w:r>
    </w:p>
  </w:footnote>
  <w:footnote w:id="11">
    <w:p w14:paraId="39B3E235" w14:textId="2597E55D" w:rsidR="00D642C6" w:rsidRPr="00587191" w:rsidRDefault="00D642C6" w:rsidP="00195285">
      <w:pPr>
        <w:pStyle w:val="FootnoteText"/>
        <w:ind w:left="567" w:hanging="567"/>
      </w:pPr>
      <w:r>
        <w:rPr>
          <w:rStyle w:val="FootnoteReference"/>
        </w:rPr>
        <w:footnoteRef/>
      </w:r>
      <w:r>
        <w:tab/>
        <w:t>Κανονισμός (ΕΕ) 2017/2402 του Ευρωπαϊκού Κοινοβουλίου και του Συμβουλίου, της 12ης Δεκεμβρίου 2017, σχετικά με τη θέσπιση γενικού πλαισίου για την τιτλοποίηση και σχετικά με τη δημιουργία ειδικού πλαισίου για απλή, διαφανή και τυποποιημένη τιτλοποίηση και σχετικά με την τροποποίηση των οδηγιών 2009/65/ΕΚ, 2009/138/ΕΚ και 2011/61/ΕΕ και των κανονισμών (ΕΚ) αριθ. 1060/2009 και (ΕΕ) αριθ. 648/2012 (ΕΕ L 347 της 28.12.2017, σ. 35).</w:t>
      </w:r>
    </w:p>
  </w:footnote>
  <w:footnote w:id="12">
    <w:p w14:paraId="44F9E1CC" w14:textId="0E4BE9E6" w:rsidR="00D642C6" w:rsidRPr="00587191" w:rsidRDefault="00D642C6" w:rsidP="00195285">
      <w:pPr>
        <w:pStyle w:val="FootnoteText"/>
        <w:ind w:left="567" w:hanging="567"/>
      </w:pPr>
      <w:r>
        <w:rPr>
          <w:rStyle w:val="FootnoteReference"/>
        </w:rPr>
        <w:footnoteRef/>
      </w:r>
      <w:r>
        <w:tab/>
        <w:t>Κανονισμός (ΕΕ) αριθ 1093/2010 του Ευρωπαϊκού Κοινοβουλίου και του Συμβουλίου, της 24ης Νοεμβρίου 2010, σχετικά με τη σύσταση Ευρωπαϊκής Εποπτικής Αρχής (Ευρωπαϊκή Αρχή Τραπεζών), την τροποποίηση της απόφασης αριθ. 716/2009/ΕΚ και την κατάργηση της απόφασης 2009/78/ΕΚ της Επιτροπής (ΕΕ L 331 της 15.12.2010, σ.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2"/>
  </w:num>
  <w:num w:numId="19">
    <w:abstractNumId w:val="21"/>
  </w:num>
  <w:num w:numId="20">
    <w:abstractNumId w:val="11"/>
  </w:num>
  <w:num w:numId="21">
    <w:abstractNumId w:val="13"/>
  </w:num>
  <w:num w:numId="22">
    <w:abstractNumId w:val="9"/>
  </w:num>
  <w:num w:numId="23">
    <w:abstractNumId w:val="20"/>
  </w:num>
  <w:num w:numId="24">
    <w:abstractNumId w:val="8"/>
  </w:num>
  <w:num w:numId="25">
    <w:abstractNumId w:val="14"/>
  </w:num>
  <w:num w:numId="26">
    <w:abstractNumId w:val="17"/>
  </w:num>
  <w:num w:numId="27">
    <w:abstractNumId w:val="18"/>
  </w:num>
  <w:num w:numId="28">
    <w:abstractNumId w:val="10"/>
  </w:num>
  <w:num w:numId="29">
    <w:abstractNumId w:val="16"/>
  </w:num>
  <w:num w:numId="30">
    <w:abstractNumId w:val="22"/>
  </w:num>
  <w:num w:numId="31">
    <w:abstractNumId w:val="19"/>
  </w:num>
  <w:num w:numId="32">
    <w:abstractNumId w:val="12"/>
  </w:num>
  <w:num w:numId="33">
    <w:abstractNumId w:val="21"/>
  </w:num>
  <w:num w:numId="34">
    <w:abstractNumId w:val="11"/>
  </w:num>
  <w:num w:numId="35">
    <w:abstractNumId w:val="13"/>
  </w:num>
  <w:num w:numId="36">
    <w:abstractNumId w:val="9"/>
  </w:num>
  <w:num w:numId="37">
    <w:abstractNumId w:val="20"/>
  </w:num>
  <w:num w:numId="38">
    <w:abstractNumId w:val="8"/>
  </w:num>
  <w:num w:numId="39">
    <w:abstractNumId w:val="14"/>
  </w:num>
  <w:num w:numId="40">
    <w:abstractNumId w:val="17"/>
  </w:num>
  <w:num w:numId="41">
    <w:abstractNumId w:val="18"/>
  </w:num>
  <w:num w:numId="42">
    <w:abstractNumId w:val="10"/>
  </w:num>
  <w:num w:numId="43">
    <w:abstractNumId w:val="16"/>
  </w:num>
  <w:num w:numId="44">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attachedTemplate r:id="rId1"/>
  <w:defaultTabStop w:val="720"/>
  <w:hyphenationZone w:val="425"/>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1-02-26 23:00:46"/>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3"/>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6981A811-C543-4A0B-89A0-369D8A7169E1"/>
    <w:docVar w:name="LW_COVERPAGE_TYPE" w:val="1"/>
    <w:docVar w:name="LW_CROSSREFERENCE" w:val="&lt;UNUSED&gt;"/>
    <w:docVar w:name="LW_DATE.ADOPT.CP" w:val="\u964?\u951?\u962? XXX"/>
    <w:docVar w:name="LW_DATE.ADOPT.CP_DATEFORMAT" w:val="\u964?\u951?\u962? %DATE%"/>
    <w:docVar w:name="LW_DATE.ADOPT.CP_ISODATE" w:val="&lt;EMPTY&gt;"/>
    <w:docVar w:name="LW_DocType" w:val="COM"/>
    <w:docVar w:name="LW_EMISSION" w:val="&lt;EMPTY&gt;"/>
    <w:docVar w:name="LW_EMISSION_ISODATE" w:val="&lt;EMPTY&gt;"/>
    <w:docVar w:name="LW_EMISSION_LOCATION" w:val="BRX"/>
    <w:docVar w:name="LW_EMISSION_PREFIX" w:val="\u914?\u961?\u965?\u958?\u941?\u955?\u955?\u949?\u962?, "/>
    <w:docVar w:name="LW_EMISSION_SUFFIX" w:val="&lt;EMPTY&gt;"/>
    <w:docVar w:name="LW_ID_DOCMODEL" w:val="SJ-004"/>
    <w:docVar w:name="LW_ID_DOCSIGNATURE" w:val="SJ-004"/>
    <w:docVar w:name="LW_ID_DOCSTRUCTURE" w:val="COM/AA"/>
    <w:docVar w:name="LW_ID_DOCTYPE" w:val="SJ-004"/>
    <w:docVar w:name="LW_INTERETEEE.CP" w:val="(\u922?\u949?\u943?\u956?\u949?\u957?\u959? \u960?\u959?\u965? \u960?\u945?\u961?\u959?\u965?\u963?\u953?\u940?\u950?\u949?\u953? \u949?\u957?\u948?\u953?\u945?\u966?\u941?\u961?\u959?\u957? \u947?\u953?\u945? \u964?\u959?\u957? \u917?\u927?\u935?)"/>
    <w:docVar w:name="LW_LANGUE" w:val="EL"/>
    <w:docVar w:name="LW_LANGUESFAISANTFOI.CP" w:val="&lt;UNUSED&gt;"/>
    <w:docVar w:name="LW_LEVEL_OF_SENSITIVITY" w:val="Standard treatment"/>
    <w:docVar w:name="LW_NOM.INST" w:val="\u917?\u933?\u929?\u937?\u928?\u913?\u938?\u922?\u919? \u917?\u928?\u921?\u932?\u929?\u927?\u928?\u919?"/>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947?\u953?\u945? \u964?\u959?\u957? \u954?\u945?\u952?\u959?\u961?\u953?\u963?\u956?\u972? \u949?\u954?\u964?\u949?\u955?\u949?\u963?\u964?\u953?\u954?\u974?\u957? \u964?\u949?\u967?\u957?\u953?\u954?\u974?\u957? \u960?\u961?\u959?\u964?\u973?\u960?\u969?\u957? \u972?\u963?\u959?\u957? \u945?\u966?\u959?\u961?\u940? \u964?\u951? \u948?\u951?\u956?\u959?\u963?\u953?\u959?\u960?\u959?\u943?\u951?\u963?\u951? \u945?\u960?\u972? \u964?\u945? \u953?\u948?\u961?\u973?\u956?\u945?\u964?\u945? \u964?\u969?\u957? \u960?\u955?\u951?\u961?\u959?\u966?\u959?\u961?\u953?\u974?\u957? \u960?\u959?\u965? \u945?\u957?\u945?\u966?\u941?\u961?\u959?\u957?\u964?\u945?\u953? \u963?\u964?\u959? \u972?\u947?\u948?\u959?\u959? \u956?\u941?\u961?\u959?\u962? \u964?\u943?\u964?\u955?\u959?\u953? II \u954?\u945?\u953? III \u964?\u959?\u965? \u954?\u945?\u957?\u959?\u957?\u953?\u963?\u956?\u959?\u973? (\u917?\u917?) \u945?\u961?\u953?\u952?. 575/2013 \u964?\u959?\u965? \u917?\u965?\u961?\u969?\u960?\u945?\u970?\u954?\u959?\u973? \u922?\u959?\u953?\u957?\u959?\u946?\u959?\u965?\u955?\u943?\u959?\u965? \u954?\u945?\u953? \u964?\u959?\u965? \u931?\u965?\u956?\u946?\u959?\u965?\u955?\u943?\u959?\u965? \u954?\u945?\u953? \u947?\u953?\u945? \u964?\u951?\u957? \u954?\u945?\u964?\u940?\u961?\u947?\u951?\u963?\u951? \u964?\u959?\u965? \u949?\u954?\u964?\u949?\u955?\u949?\u963?\u964?\u953?\u954?\u959?\u973? \u954?\u945?\u957?\u959?\u957?\u953?\u963?\u956?\u959?\u973? (\u917?\u917?) \u945?\u961?\u953?\u952?. 1423/2013 \u964?\u951?\u962? \u917?\u960?\u953?\u964?\u961?\u959?\u960?\u942?\u962?, \u964?\u959?\u965? \u954?\u945?\u964?\u8217? \u949?\u958?\u959?\u965?\u963?\u953?\u959?\u948?\u972?\u964?\u951?\u963?\u951? \u954?\u945?\u957?\u959?\u957?\u953?\u963?\u956?\u959?\u973? (\u917?\u917?) 2015/1555 \u964?\u951?\u962? \u917?\u960?\u953?\u964?\u961?\u959?\u960?\u942?\u962?, \u964?\u959?\u965? \u949?\u954?\u964?\u949?\u955?\u949?\u963?\u964?\u953?\u954?\u959?\u973? \u954?\u945?\u957?\u959?\u957?\u953?\u963?\u956?\u959?\u973? (\u917?\u917?) 2016/200 \u964?\u951?\u962? \u917?\u960?\u953?\u964?\u961?\u959?\u960?\u942?\u962? \u954?\u945?\u953? \u964?\u959?\u965? \u954?\u945?\u964?\u8217? \u949?\u958?\u959?\u965?\u963?\u953?\u959?\u948?\u972?\u964?\u951?\u963?\u951? \u954?\u945?\u957?\u959?\u957?\u953?\u963?\u956?\u959?\u973? (\u917?\u917?) 2017/2295 \u964?\u951?\u962? \u917?\u960?\u953?\u964?\u961?\u959?\u960?\u942?\u962? _x000b_ _x000b_"/>
    <w:docVar w:name="LW_TYPE.DOC.CP" w:val="\u917?\u922?\u932?\u917?\u923?\u917?\u931?\u932?\u921?\u922?\u927?\u931? \u922?\u913?\u925?\u927?\u925?\u921?\u931?\u924?\u927?\u931? (\u917?\u917?) \u8230?/... \u932?\u919?\u931? \u917?\u928?\u921?\u932?\u929?\u927?\u928?\u919?\u931?"/>
  </w:docVars>
  <w:rsids>
    <w:rsidRoot w:val="0004170D"/>
    <w:rsid w:val="0000233F"/>
    <w:rsid w:val="00010CC7"/>
    <w:rsid w:val="0002231C"/>
    <w:rsid w:val="00023622"/>
    <w:rsid w:val="000302BA"/>
    <w:rsid w:val="00036497"/>
    <w:rsid w:val="0004170D"/>
    <w:rsid w:val="000530A8"/>
    <w:rsid w:val="000715FC"/>
    <w:rsid w:val="000747E8"/>
    <w:rsid w:val="00075194"/>
    <w:rsid w:val="0008268D"/>
    <w:rsid w:val="000965A4"/>
    <w:rsid w:val="000A7C56"/>
    <w:rsid w:val="000B18AB"/>
    <w:rsid w:val="000B31D0"/>
    <w:rsid w:val="000B4D68"/>
    <w:rsid w:val="000B5ADE"/>
    <w:rsid w:val="000B75F5"/>
    <w:rsid w:val="000C0000"/>
    <w:rsid w:val="000C2A47"/>
    <w:rsid w:val="000C4EBE"/>
    <w:rsid w:val="000C60D7"/>
    <w:rsid w:val="000D57AD"/>
    <w:rsid w:val="000F1AE0"/>
    <w:rsid w:val="00105D7C"/>
    <w:rsid w:val="00124000"/>
    <w:rsid w:val="00124B31"/>
    <w:rsid w:val="0012658B"/>
    <w:rsid w:val="00130336"/>
    <w:rsid w:val="00133A68"/>
    <w:rsid w:val="0014569E"/>
    <w:rsid w:val="00151336"/>
    <w:rsid w:val="0015237E"/>
    <w:rsid w:val="001612FE"/>
    <w:rsid w:val="00164D08"/>
    <w:rsid w:val="00167DBD"/>
    <w:rsid w:val="00173862"/>
    <w:rsid w:val="00175820"/>
    <w:rsid w:val="00183568"/>
    <w:rsid w:val="00184CD1"/>
    <w:rsid w:val="00190EC6"/>
    <w:rsid w:val="00194CD4"/>
    <w:rsid w:val="00195285"/>
    <w:rsid w:val="001D579B"/>
    <w:rsid w:val="001D5E4E"/>
    <w:rsid w:val="001D7868"/>
    <w:rsid w:val="0020373E"/>
    <w:rsid w:val="00204CA9"/>
    <w:rsid w:val="00223E6D"/>
    <w:rsid w:val="00254B69"/>
    <w:rsid w:val="002554D0"/>
    <w:rsid w:val="00257DE9"/>
    <w:rsid w:val="00262584"/>
    <w:rsid w:val="00292A0A"/>
    <w:rsid w:val="002933BD"/>
    <w:rsid w:val="00296DB6"/>
    <w:rsid w:val="002A6772"/>
    <w:rsid w:val="002A6E84"/>
    <w:rsid w:val="002C0C3E"/>
    <w:rsid w:val="002C1097"/>
    <w:rsid w:val="002C433D"/>
    <w:rsid w:val="002D22E3"/>
    <w:rsid w:val="002E2681"/>
    <w:rsid w:val="002E3B6F"/>
    <w:rsid w:val="002E476B"/>
    <w:rsid w:val="002F111E"/>
    <w:rsid w:val="00305114"/>
    <w:rsid w:val="00312E0D"/>
    <w:rsid w:val="00316F57"/>
    <w:rsid w:val="00324024"/>
    <w:rsid w:val="00334AD0"/>
    <w:rsid w:val="00334D45"/>
    <w:rsid w:val="00336F4D"/>
    <w:rsid w:val="00342795"/>
    <w:rsid w:val="003460F1"/>
    <w:rsid w:val="00352527"/>
    <w:rsid w:val="00356414"/>
    <w:rsid w:val="00362906"/>
    <w:rsid w:val="00362E56"/>
    <w:rsid w:val="0036351A"/>
    <w:rsid w:val="00387DA9"/>
    <w:rsid w:val="003A1165"/>
    <w:rsid w:val="003A35E9"/>
    <w:rsid w:val="003B2A70"/>
    <w:rsid w:val="003B73C9"/>
    <w:rsid w:val="003C1E7F"/>
    <w:rsid w:val="003C4F11"/>
    <w:rsid w:val="003D2479"/>
    <w:rsid w:val="003D44B9"/>
    <w:rsid w:val="003D6311"/>
    <w:rsid w:val="003E3102"/>
    <w:rsid w:val="003E38FD"/>
    <w:rsid w:val="00401969"/>
    <w:rsid w:val="00403378"/>
    <w:rsid w:val="00414EB3"/>
    <w:rsid w:val="004166C6"/>
    <w:rsid w:val="00424D6E"/>
    <w:rsid w:val="004328FB"/>
    <w:rsid w:val="00433CFD"/>
    <w:rsid w:val="0043540D"/>
    <w:rsid w:val="00437D07"/>
    <w:rsid w:val="0044155A"/>
    <w:rsid w:val="004427A5"/>
    <w:rsid w:val="00442C93"/>
    <w:rsid w:val="00444CBF"/>
    <w:rsid w:val="00445AB9"/>
    <w:rsid w:val="004515BE"/>
    <w:rsid w:val="00453D69"/>
    <w:rsid w:val="00461468"/>
    <w:rsid w:val="0047525C"/>
    <w:rsid w:val="00476884"/>
    <w:rsid w:val="00480310"/>
    <w:rsid w:val="00486017"/>
    <w:rsid w:val="004939A4"/>
    <w:rsid w:val="00496B08"/>
    <w:rsid w:val="00497414"/>
    <w:rsid w:val="004A1CDB"/>
    <w:rsid w:val="004A255E"/>
    <w:rsid w:val="004B6788"/>
    <w:rsid w:val="004B7AEA"/>
    <w:rsid w:val="004C4F9A"/>
    <w:rsid w:val="004E05C8"/>
    <w:rsid w:val="00501B9B"/>
    <w:rsid w:val="0053062E"/>
    <w:rsid w:val="00535526"/>
    <w:rsid w:val="00552202"/>
    <w:rsid w:val="00553957"/>
    <w:rsid w:val="00563765"/>
    <w:rsid w:val="005715DB"/>
    <w:rsid w:val="00580B2A"/>
    <w:rsid w:val="00581093"/>
    <w:rsid w:val="005823FE"/>
    <w:rsid w:val="00587191"/>
    <w:rsid w:val="005A7F5C"/>
    <w:rsid w:val="005B07FD"/>
    <w:rsid w:val="005C3834"/>
    <w:rsid w:val="005C4422"/>
    <w:rsid w:val="005E2A3F"/>
    <w:rsid w:val="005F2549"/>
    <w:rsid w:val="005F490A"/>
    <w:rsid w:val="005F7F66"/>
    <w:rsid w:val="006040C9"/>
    <w:rsid w:val="00625AFA"/>
    <w:rsid w:val="00627B17"/>
    <w:rsid w:val="0063239A"/>
    <w:rsid w:val="006430F5"/>
    <w:rsid w:val="00646429"/>
    <w:rsid w:val="00646DA2"/>
    <w:rsid w:val="006518A1"/>
    <w:rsid w:val="00656F3B"/>
    <w:rsid w:val="00670714"/>
    <w:rsid w:val="00693D08"/>
    <w:rsid w:val="00693F0A"/>
    <w:rsid w:val="006947FE"/>
    <w:rsid w:val="006A32A4"/>
    <w:rsid w:val="006A7F00"/>
    <w:rsid w:val="006D20F7"/>
    <w:rsid w:val="006E0911"/>
    <w:rsid w:val="006E3B08"/>
    <w:rsid w:val="006F2F67"/>
    <w:rsid w:val="006F4232"/>
    <w:rsid w:val="006F792A"/>
    <w:rsid w:val="00701631"/>
    <w:rsid w:val="00704A57"/>
    <w:rsid w:val="00717B5E"/>
    <w:rsid w:val="007241CC"/>
    <w:rsid w:val="00725875"/>
    <w:rsid w:val="007328EB"/>
    <w:rsid w:val="00732B32"/>
    <w:rsid w:val="0074702F"/>
    <w:rsid w:val="007475DB"/>
    <w:rsid w:val="00755F0F"/>
    <w:rsid w:val="00755F6F"/>
    <w:rsid w:val="00756C6D"/>
    <w:rsid w:val="00786078"/>
    <w:rsid w:val="00792BDA"/>
    <w:rsid w:val="0079582A"/>
    <w:rsid w:val="007A1D1D"/>
    <w:rsid w:val="007A231C"/>
    <w:rsid w:val="007A76EC"/>
    <w:rsid w:val="007B1860"/>
    <w:rsid w:val="007C003F"/>
    <w:rsid w:val="007D178B"/>
    <w:rsid w:val="007E5F66"/>
    <w:rsid w:val="007E66A7"/>
    <w:rsid w:val="007F579D"/>
    <w:rsid w:val="007F676F"/>
    <w:rsid w:val="0080055A"/>
    <w:rsid w:val="00800894"/>
    <w:rsid w:val="00802909"/>
    <w:rsid w:val="008326B8"/>
    <w:rsid w:val="008568F5"/>
    <w:rsid w:val="00856A5A"/>
    <w:rsid w:val="00861266"/>
    <w:rsid w:val="00877878"/>
    <w:rsid w:val="00886F23"/>
    <w:rsid w:val="00892FEE"/>
    <w:rsid w:val="008A33A3"/>
    <w:rsid w:val="008A5096"/>
    <w:rsid w:val="008A5945"/>
    <w:rsid w:val="008A6A1E"/>
    <w:rsid w:val="008B6784"/>
    <w:rsid w:val="008B78EA"/>
    <w:rsid w:val="008C19A5"/>
    <w:rsid w:val="008C51D0"/>
    <w:rsid w:val="008D42B0"/>
    <w:rsid w:val="008D6EA6"/>
    <w:rsid w:val="00905357"/>
    <w:rsid w:val="00921F21"/>
    <w:rsid w:val="00922950"/>
    <w:rsid w:val="00923CC6"/>
    <w:rsid w:val="00926007"/>
    <w:rsid w:val="009310C9"/>
    <w:rsid w:val="00931C56"/>
    <w:rsid w:val="00941988"/>
    <w:rsid w:val="0094247F"/>
    <w:rsid w:val="009458BD"/>
    <w:rsid w:val="00951C31"/>
    <w:rsid w:val="00956448"/>
    <w:rsid w:val="00963178"/>
    <w:rsid w:val="00965673"/>
    <w:rsid w:val="00965716"/>
    <w:rsid w:val="00966B3C"/>
    <w:rsid w:val="009675DD"/>
    <w:rsid w:val="00967C75"/>
    <w:rsid w:val="009702CA"/>
    <w:rsid w:val="0097765D"/>
    <w:rsid w:val="009777B7"/>
    <w:rsid w:val="00993FAE"/>
    <w:rsid w:val="00995CF9"/>
    <w:rsid w:val="00997228"/>
    <w:rsid w:val="0099797D"/>
    <w:rsid w:val="009A0FCB"/>
    <w:rsid w:val="009A56F4"/>
    <w:rsid w:val="009B4728"/>
    <w:rsid w:val="009C5CB4"/>
    <w:rsid w:val="009F40BE"/>
    <w:rsid w:val="00A10245"/>
    <w:rsid w:val="00A228D5"/>
    <w:rsid w:val="00A260ED"/>
    <w:rsid w:val="00A26E4D"/>
    <w:rsid w:val="00A3263C"/>
    <w:rsid w:val="00A518E0"/>
    <w:rsid w:val="00A5494A"/>
    <w:rsid w:val="00A70AF9"/>
    <w:rsid w:val="00A72EF0"/>
    <w:rsid w:val="00A762FD"/>
    <w:rsid w:val="00A84A3E"/>
    <w:rsid w:val="00A858BC"/>
    <w:rsid w:val="00A91F18"/>
    <w:rsid w:val="00AB786E"/>
    <w:rsid w:val="00AD027A"/>
    <w:rsid w:val="00AD58EF"/>
    <w:rsid w:val="00AE2C32"/>
    <w:rsid w:val="00AE3F40"/>
    <w:rsid w:val="00AE6C16"/>
    <w:rsid w:val="00B30A70"/>
    <w:rsid w:val="00B41102"/>
    <w:rsid w:val="00B609A7"/>
    <w:rsid w:val="00B61C46"/>
    <w:rsid w:val="00B711DB"/>
    <w:rsid w:val="00B8013E"/>
    <w:rsid w:val="00B80AC9"/>
    <w:rsid w:val="00B861EE"/>
    <w:rsid w:val="00B90336"/>
    <w:rsid w:val="00BA0CA9"/>
    <w:rsid w:val="00BA6C63"/>
    <w:rsid w:val="00BA7AD9"/>
    <w:rsid w:val="00BB093D"/>
    <w:rsid w:val="00BB60B6"/>
    <w:rsid w:val="00BB79A4"/>
    <w:rsid w:val="00BC75BD"/>
    <w:rsid w:val="00BD158D"/>
    <w:rsid w:val="00BE1C5E"/>
    <w:rsid w:val="00BF182F"/>
    <w:rsid w:val="00C02ED9"/>
    <w:rsid w:val="00C05465"/>
    <w:rsid w:val="00C14839"/>
    <w:rsid w:val="00C16675"/>
    <w:rsid w:val="00C24911"/>
    <w:rsid w:val="00C25E54"/>
    <w:rsid w:val="00C278CC"/>
    <w:rsid w:val="00C36E0D"/>
    <w:rsid w:val="00C40BF9"/>
    <w:rsid w:val="00C41BFF"/>
    <w:rsid w:val="00C47BED"/>
    <w:rsid w:val="00C5099A"/>
    <w:rsid w:val="00C81C3A"/>
    <w:rsid w:val="00C84B15"/>
    <w:rsid w:val="00C91C95"/>
    <w:rsid w:val="00C94DC0"/>
    <w:rsid w:val="00CA348C"/>
    <w:rsid w:val="00CA57C3"/>
    <w:rsid w:val="00CA5835"/>
    <w:rsid w:val="00CB377F"/>
    <w:rsid w:val="00CC3294"/>
    <w:rsid w:val="00CC620B"/>
    <w:rsid w:val="00CC62AE"/>
    <w:rsid w:val="00CD689A"/>
    <w:rsid w:val="00CE5120"/>
    <w:rsid w:val="00CE62E1"/>
    <w:rsid w:val="00CF0948"/>
    <w:rsid w:val="00CF6BC4"/>
    <w:rsid w:val="00D001B4"/>
    <w:rsid w:val="00D2760A"/>
    <w:rsid w:val="00D34C25"/>
    <w:rsid w:val="00D602DE"/>
    <w:rsid w:val="00D642C6"/>
    <w:rsid w:val="00D76B54"/>
    <w:rsid w:val="00D9176D"/>
    <w:rsid w:val="00DC2475"/>
    <w:rsid w:val="00DD2BA0"/>
    <w:rsid w:val="00DF14E1"/>
    <w:rsid w:val="00E0170F"/>
    <w:rsid w:val="00E10715"/>
    <w:rsid w:val="00E14194"/>
    <w:rsid w:val="00E174B5"/>
    <w:rsid w:val="00E206C9"/>
    <w:rsid w:val="00E23611"/>
    <w:rsid w:val="00E42EC8"/>
    <w:rsid w:val="00E5338C"/>
    <w:rsid w:val="00E5388C"/>
    <w:rsid w:val="00E62304"/>
    <w:rsid w:val="00E76705"/>
    <w:rsid w:val="00E76D3F"/>
    <w:rsid w:val="00E8665C"/>
    <w:rsid w:val="00EA0958"/>
    <w:rsid w:val="00EA3E25"/>
    <w:rsid w:val="00EA6449"/>
    <w:rsid w:val="00EB4A85"/>
    <w:rsid w:val="00EC422C"/>
    <w:rsid w:val="00ED3421"/>
    <w:rsid w:val="00EF3146"/>
    <w:rsid w:val="00EF6392"/>
    <w:rsid w:val="00F04CDC"/>
    <w:rsid w:val="00F15C9D"/>
    <w:rsid w:val="00F31307"/>
    <w:rsid w:val="00F335A5"/>
    <w:rsid w:val="00F37426"/>
    <w:rsid w:val="00F3753D"/>
    <w:rsid w:val="00F5043B"/>
    <w:rsid w:val="00F53E64"/>
    <w:rsid w:val="00F6330E"/>
    <w:rsid w:val="00F83A04"/>
    <w:rsid w:val="00F855B3"/>
    <w:rsid w:val="00F91209"/>
    <w:rsid w:val="00F93ED1"/>
    <w:rsid w:val="00F978FE"/>
    <w:rsid w:val="00F97AAB"/>
    <w:rsid w:val="00FA2322"/>
    <w:rsid w:val="00FA4569"/>
    <w:rsid w:val="00FA53E3"/>
    <w:rsid w:val="00FB4483"/>
    <w:rsid w:val="00FD6645"/>
    <w:rsid w:val="00FF2606"/>
    <w:rsid w:val="00FF364B"/>
    <w:rsid w:val="00FF5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49E33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l-GR"/>
    </w:rPr>
  </w:style>
  <w:style w:type="paragraph" w:styleId="Heading1">
    <w:name w:val="heading 1"/>
    <w:basedOn w:val="Normal"/>
    <w:next w:val="Text1"/>
    <w:link w:val="Heading1Char"/>
    <w:uiPriority w:val="9"/>
    <w:qFormat/>
    <w:rsid w:val="009B7138"/>
    <w:pPr>
      <w:keepNext/>
      <w:numPr>
        <w:numId w:val="3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7"/>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el-GR"/>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semiHidden/>
    <w:unhideWhenUsed/>
    <w:rsid w:val="000B31D0"/>
    <w:rPr>
      <w:sz w:val="20"/>
      <w:szCs w:val="20"/>
    </w:rPr>
  </w:style>
  <w:style w:type="character" w:customStyle="1" w:styleId="CommentTextChar">
    <w:name w:val="Comment Text Char"/>
    <w:basedOn w:val="DefaultParagraphFont"/>
    <w:link w:val="CommentText"/>
    <w:uiPriority w:val="99"/>
    <w:semiHidden/>
    <w:rsid w:val="000B31D0"/>
    <w:rPr>
      <w:rFonts w:ascii="Times New Roman" w:hAnsi="Times New Roman" w:cs="Times New Roman"/>
      <w:sz w:val="20"/>
      <w:szCs w:val="20"/>
      <w:lang w:val="el-GR"/>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el-GR"/>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el-GR"/>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rPr>
  </w:style>
  <w:style w:type="character" w:customStyle="1" w:styleId="BodyTextChar">
    <w:name w:val="Body Text Char"/>
    <w:basedOn w:val="DefaultParagraphFont"/>
    <w:link w:val="BodyText"/>
    <w:uiPriority w:val="1"/>
    <w:rsid w:val="00F91209"/>
    <w:rPr>
      <w:rFonts w:ascii="Calibri" w:eastAsia="Calibri" w:hAnsi="Calibri" w:cs="Calibri"/>
      <w:lang w:val="el-GR" w:eastAsia="el-GR" w:bidi="el-GR"/>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paragraph" w:styleId="Subtitle">
    <w:name w:val="Subtitle"/>
    <w:next w:val="Normal"/>
    <w:link w:val="SubtitleChar"/>
    <w:autoRedefine/>
    <w:uiPriority w:val="11"/>
    <w:qFormat/>
    <w:rsid w:val="00A858BC"/>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A858BC"/>
    <w:rPr>
      <w:rFonts w:asciiTheme="majorHAnsi" w:eastAsiaTheme="majorEastAsia" w:hAnsiTheme="majorHAnsi" w:cstheme="majorBidi"/>
      <w:color w:val="4F81BD" w:themeColor="accent1"/>
      <w:sz w:val="32"/>
      <w:szCs w:val="32"/>
      <w:lang w:val="el-GR"/>
    </w:rPr>
  </w:style>
  <w:style w:type="character" w:customStyle="1" w:styleId="super">
    <w:name w:val="super"/>
    <w:basedOn w:val="DefaultParagraphFont"/>
    <w:rsid w:val="00B90336"/>
  </w:style>
  <w:style w:type="character" w:styleId="FollowedHyperlink">
    <w:name w:val="FollowedHyperlink"/>
    <w:basedOn w:val="DefaultParagraphFont"/>
    <w:uiPriority w:val="99"/>
    <w:semiHidden/>
    <w:unhideWhenUsed/>
    <w:rsid w:val="00342795"/>
    <w:rPr>
      <w:color w:val="800080" w:themeColor="followedHyperlink"/>
      <w:u w:val="single"/>
    </w:rPr>
  </w:style>
  <w:style w:type="paragraph" w:styleId="Revision">
    <w:name w:val="Revision"/>
    <w:hidden/>
    <w:uiPriority w:val="99"/>
    <w:semiHidden/>
    <w:rsid w:val="00C94DC0"/>
    <w:pPr>
      <w:spacing w:after="0" w:line="240" w:lineRule="auto"/>
    </w:pPr>
    <w:rPr>
      <w:rFonts w:ascii="Times New Roman" w:hAnsi="Times New Roman" w:cs="Times New Roman"/>
      <w:sz w:val="24"/>
    </w:rPr>
  </w:style>
  <w:style w:type="paragraph" w:styleId="NormalWeb">
    <w:name w:val="Normal (Web)"/>
    <w:basedOn w:val="Normal"/>
    <w:uiPriority w:val="99"/>
    <w:unhideWhenUsed/>
    <w:rsid w:val="00195285"/>
    <w:pPr>
      <w:spacing w:before="100" w:beforeAutospacing="1" w:after="100" w:afterAutospacing="1"/>
      <w:jc w:val="left"/>
    </w:pPr>
    <w:rPr>
      <w:rFonts w:eastAsia="Times New Roman"/>
      <w:szCs w:val="24"/>
    </w:rPr>
  </w:style>
  <w:style w:type="character" w:styleId="Emphasis">
    <w:name w:val="Emphasis"/>
    <w:basedOn w:val="DefaultParagraphFont"/>
    <w:uiPriority w:val="20"/>
    <w:qFormat/>
    <w:rsid w:val="00195285"/>
    <w:rPr>
      <w:i/>
      <w:iCs/>
    </w:rPr>
  </w:style>
  <w:style w:type="table" w:styleId="TableGrid">
    <w:name w:val="Table Grid"/>
    <w:basedOn w:val="TableNormal"/>
    <w:uiPriority w:val="59"/>
    <w:rsid w:val="005F2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823FE"/>
    <w:pPr>
      <w:spacing w:before="0" w:after="0"/>
    </w:pPr>
    <w:rPr>
      <w:sz w:val="20"/>
      <w:szCs w:val="20"/>
    </w:rPr>
  </w:style>
  <w:style w:type="character" w:customStyle="1" w:styleId="EndnoteTextChar">
    <w:name w:val="Endnote Text Char"/>
    <w:basedOn w:val="DefaultParagraphFont"/>
    <w:link w:val="EndnoteText"/>
    <w:uiPriority w:val="99"/>
    <w:semiHidden/>
    <w:rsid w:val="005823FE"/>
    <w:rPr>
      <w:rFonts w:ascii="Times New Roman" w:hAnsi="Times New Roman" w:cs="Times New Roman"/>
      <w:sz w:val="20"/>
      <w:szCs w:val="20"/>
      <w:lang w:val="el-GR"/>
    </w:rPr>
  </w:style>
  <w:style w:type="character" w:styleId="EndnoteReference">
    <w:name w:val="endnote reference"/>
    <w:basedOn w:val="DefaultParagraphFont"/>
    <w:uiPriority w:val="99"/>
    <w:semiHidden/>
    <w:unhideWhenUsed/>
    <w:rsid w:val="005823FE"/>
    <w:rPr>
      <w:vertAlign w:val="superscript"/>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1"/>
      </w:numPr>
    </w:pPr>
  </w:style>
  <w:style w:type="paragraph" w:customStyle="1" w:styleId="Tiret1">
    <w:name w:val="Tiret 1"/>
    <w:basedOn w:val="Point1"/>
    <w:rsid w:val="009B7138"/>
    <w:pPr>
      <w:numPr>
        <w:numId w:val="32"/>
      </w:numPr>
    </w:pPr>
  </w:style>
  <w:style w:type="paragraph" w:customStyle="1" w:styleId="Tiret2">
    <w:name w:val="Tiret 2"/>
    <w:basedOn w:val="Point2"/>
    <w:rsid w:val="009B7138"/>
    <w:pPr>
      <w:numPr>
        <w:numId w:val="33"/>
      </w:numPr>
    </w:pPr>
  </w:style>
  <w:style w:type="paragraph" w:customStyle="1" w:styleId="Tiret3">
    <w:name w:val="Tiret 3"/>
    <w:basedOn w:val="Point3"/>
    <w:rsid w:val="009B7138"/>
    <w:pPr>
      <w:numPr>
        <w:numId w:val="34"/>
      </w:numPr>
    </w:pPr>
  </w:style>
  <w:style w:type="paragraph" w:customStyle="1" w:styleId="Tiret4">
    <w:name w:val="Tiret 4"/>
    <w:basedOn w:val="Point4"/>
    <w:rsid w:val="009B7138"/>
    <w:pPr>
      <w:numPr>
        <w:numId w:val="35"/>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6"/>
      </w:numPr>
    </w:pPr>
  </w:style>
  <w:style w:type="paragraph" w:customStyle="1" w:styleId="NumPar2">
    <w:name w:val="NumPar 2"/>
    <w:basedOn w:val="Normal"/>
    <w:next w:val="Text1"/>
    <w:rsid w:val="009B7138"/>
    <w:pPr>
      <w:numPr>
        <w:ilvl w:val="1"/>
        <w:numId w:val="36"/>
      </w:numPr>
    </w:pPr>
  </w:style>
  <w:style w:type="paragraph" w:customStyle="1" w:styleId="NumPar3">
    <w:name w:val="NumPar 3"/>
    <w:basedOn w:val="Normal"/>
    <w:next w:val="Text1"/>
    <w:rsid w:val="009B7138"/>
    <w:pPr>
      <w:numPr>
        <w:ilvl w:val="2"/>
        <w:numId w:val="36"/>
      </w:numPr>
    </w:pPr>
  </w:style>
  <w:style w:type="paragraph" w:customStyle="1" w:styleId="NumPar4">
    <w:name w:val="NumPar 4"/>
    <w:basedOn w:val="Normal"/>
    <w:next w:val="Text1"/>
    <w:rsid w:val="009B7138"/>
    <w:pPr>
      <w:numPr>
        <w:ilvl w:val="3"/>
        <w:numId w:val="36"/>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8"/>
      </w:numPr>
    </w:pPr>
  </w:style>
  <w:style w:type="paragraph" w:customStyle="1" w:styleId="Point1number">
    <w:name w:val="Point 1 (number)"/>
    <w:basedOn w:val="Normal"/>
    <w:rsid w:val="009B7138"/>
    <w:pPr>
      <w:numPr>
        <w:ilvl w:val="2"/>
        <w:numId w:val="38"/>
      </w:numPr>
    </w:pPr>
  </w:style>
  <w:style w:type="paragraph" w:customStyle="1" w:styleId="Point2number">
    <w:name w:val="Point 2 (number)"/>
    <w:basedOn w:val="Normal"/>
    <w:rsid w:val="009B7138"/>
    <w:pPr>
      <w:numPr>
        <w:ilvl w:val="4"/>
        <w:numId w:val="38"/>
      </w:numPr>
    </w:pPr>
  </w:style>
  <w:style w:type="paragraph" w:customStyle="1" w:styleId="Point3number">
    <w:name w:val="Point 3 (number)"/>
    <w:basedOn w:val="Normal"/>
    <w:rsid w:val="009B7138"/>
    <w:pPr>
      <w:numPr>
        <w:ilvl w:val="6"/>
        <w:numId w:val="38"/>
      </w:numPr>
    </w:pPr>
  </w:style>
  <w:style w:type="paragraph" w:customStyle="1" w:styleId="Point0letter">
    <w:name w:val="Point 0 (letter)"/>
    <w:basedOn w:val="Normal"/>
    <w:rsid w:val="009B7138"/>
    <w:pPr>
      <w:numPr>
        <w:ilvl w:val="1"/>
        <w:numId w:val="38"/>
      </w:numPr>
    </w:pPr>
  </w:style>
  <w:style w:type="paragraph" w:customStyle="1" w:styleId="Point1letter">
    <w:name w:val="Point 1 (letter)"/>
    <w:basedOn w:val="Normal"/>
    <w:rsid w:val="009B7138"/>
    <w:pPr>
      <w:numPr>
        <w:ilvl w:val="3"/>
        <w:numId w:val="38"/>
      </w:numPr>
    </w:pPr>
  </w:style>
  <w:style w:type="paragraph" w:customStyle="1" w:styleId="Point2letter">
    <w:name w:val="Point 2 (letter)"/>
    <w:basedOn w:val="Normal"/>
    <w:rsid w:val="009B7138"/>
    <w:pPr>
      <w:numPr>
        <w:ilvl w:val="5"/>
        <w:numId w:val="38"/>
      </w:numPr>
    </w:pPr>
  </w:style>
  <w:style w:type="paragraph" w:customStyle="1" w:styleId="Point3letter">
    <w:name w:val="Point 3 (letter)"/>
    <w:basedOn w:val="Normal"/>
    <w:rsid w:val="009B7138"/>
    <w:pPr>
      <w:numPr>
        <w:ilvl w:val="7"/>
        <w:numId w:val="38"/>
      </w:numPr>
    </w:pPr>
  </w:style>
  <w:style w:type="paragraph" w:customStyle="1" w:styleId="Point4letter">
    <w:name w:val="Point 4 (letter)"/>
    <w:basedOn w:val="Normal"/>
    <w:rsid w:val="009B7138"/>
    <w:pPr>
      <w:numPr>
        <w:ilvl w:val="8"/>
        <w:numId w:val="38"/>
      </w:numPr>
    </w:pPr>
  </w:style>
  <w:style w:type="paragraph" w:customStyle="1" w:styleId="Bullet0">
    <w:name w:val="Bullet 0"/>
    <w:basedOn w:val="Normal"/>
    <w:rsid w:val="009B7138"/>
    <w:pPr>
      <w:numPr>
        <w:numId w:val="39"/>
      </w:numPr>
    </w:pPr>
  </w:style>
  <w:style w:type="paragraph" w:customStyle="1" w:styleId="Bullet1">
    <w:name w:val="Bullet 1"/>
    <w:basedOn w:val="Normal"/>
    <w:rsid w:val="009B7138"/>
    <w:pPr>
      <w:numPr>
        <w:numId w:val="40"/>
      </w:numPr>
    </w:pPr>
  </w:style>
  <w:style w:type="paragraph" w:customStyle="1" w:styleId="Bullet2">
    <w:name w:val="Bullet 2"/>
    <w:basedOn w:val="Normal"/>
    <w:rsid w:val="009B7138"/>
    <w:pPr>
      <w:numPr>
        <w:numId w:val="41"/>
      </w:numPr>
    </w:pPr>
  </w:style>
  <w:style w:type="paragraph" w:customStyle="1" w:styleId="Bullet3">
    <w:name w:val="Bullet 3"/>
    <w:basedOn w:val="Normal"/>
    <w:rsid w:val="009B7138"/>
    <w:pPr>
      <w:numPr>
        <w:numId w:val="42"/>
      </w:numPr>
    </w:pPr>
  </w:style>
  <w:style w:type="paragraph" w:customStyle="1" w:styleId="Bullet4">
    <w:name w:val="Bullet 4"/>
    <w:basedOn w:val="Normal"/>
    <w:rsid w:val="009B7138"/>
    <w:pPr>
      <w:numPr>
        <w:numId w:val="43"/>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4"/>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6432">
      <w:bodyDiv w:val="1"/>
      <w:marLeft w:val="0"/>
      <w:marRight w:val="0"/>
      <w:marTop w:val="0"/>
      <w:marBottom w:val="0"/>
      <w:divBdr>
        <w:top w:val="none" w:sz="0" w:space="0" w:color="auto"/>
        <w:left w:val="none" w:sz="0" w:space="0" w:color="auto"/>
        <w:bottom w:val="none" w:sz="0" w:space="0" w:color="auto"/>
        <w:right w:val="none" w:sz="0" w:space="0" w:color="auto"/>
      </w:divBdr>
    </w:div>
    <w:div w:id="302201858">
      <w:bodyDiv w:val="1"/>
      <w:marLeft w:val="0"/>
      <w:marRight w:val="0"/>
      <w:marTop w:val="0"/>
      <w:marBottom w:val="0"/>
      <w:divBdr>
        <w:top w:val="none" w:sz="0" w:space="0" w:color="auto"/>
        <w:left w:val="none" w:sz="0" w:space="0" w:color="auto"/>
        <w:bottom w:val="none" w:sz="0" w:space="0" w:color="auto"/>
        <w:right w:val="none" w:sz="0" w:space="0" w:color="auto"/>
      </w:divBdr>
    </w:div>
    <w:div w:id="314528207">
      <w:bodyDiv w:val="1"/>
      <w:marLeft w:val="0"/>
      <w:marRight w:val="0"/>
      <w:marTop w:val="0"/>
      <w:marBottom w:val="0"/>
      <w:divBdr>
        <w:top w:val="none" w:sz="0" w:space="0" w:color="auto"/>
        <w:left w:val="none" w:sz="0" w:space="0" w:color="auto"/>
        <w:bottom w:val="none" w:sz="0" w:space="0" w:color="auto"/>
        <w:right w:val="none" w:sz="0" w:space="0" w:color="auto"/>
      </w:divBdr>
    </w:div>
    <w:div w:id="361520172">
      <w:bodyDiv w:val="1"/>
      <w:marLeft w:val="0"/>
      <w:marRight w:val="0"/>
      <w:marTop w:val="0"/>
      <w:marBottom w:val="0"/>
      <w:divBdr>
        <w:top w:val="none" w:sz="0" w:space="0" w:color="auto"/>
        <w:left w:val="none" w:sz="0" w:space="0" w:color="auto"/>
        <w:bottom w:val="none" w:sz="0" w:space="0" w:color="auto"/>
        <w:right w:val="none" w:sz="0" w:space="0" w:color="auto"/>
      </w:divBdr>
    </w:div>
    <w:div w:id="1176383404">
      <w:bodyDiv w:val="1"/>
      <w:marLeft w:val="0"/>
      <w:marRight w:val="0"/>
      <w:marTop w:val="0"/>
      <w:marBottom w:val="0"/>
      <w:divBdr>
        <w:top w:val="none" w:sz="0" w:space="0" w:color="auto"/>
        <w:left w:val="none" w:sz="0" w:space="0" w:color="auto"/>
        <w:bottom w:val="none" w:sz="0" w:space="0" w:color="auto"/>
        <w:right w:val="none" w:sz="0" w:space="0" w:color="auto"/>
      </w:divBdr>
    </w:div>
    <w:div w:id="1451976894">
      <w:bodyDiv w:val="1"/>
      <w:marLeft w:val="0"/>
      <w:marRight w:val="0"/>
      <w:marTop w:val="0"/>
      <w:marBottom w:val="0"/>
      <w:divBdr>
        <w:top w:val="none" w:sz="0" w:space="0" w:color="auto"/>
        <w:left w:val="none" w:sz="0" w:space="0" w:color="auto"/>
        <w:bottom w:val="none" w:sz="0" w:space="0" w:color="auto"/>
        <w:right w:val="none" w:sz="0" w:space="0" w:color="auto"/>
      </w:divBdr>
    </w:div>
    <w:div w:id="1964074617">
      <w:bodyDiv w:val="1"/>
      <w:marLeft w:val="0"/>
      <w:marRight w:val="0"/>
      <w:marTop w:val="0"/>
      <w:marBottom w:val="0"/>
      <w:divBdr>
        <w:top w:val="none" w:sz="0" w:space="0" w:color="auto"/>
        <w:left w:val="none" w:sz="0" w:space="0" w:color="auto"/>
        <w:bottom w:val="none" w:sz="0" w:space="0" w:color="auto"/>
        <w:right w:val="none" w:sz="0" w:space="0" w:color="auto"/>
      </w:divBdr>
    </w:div>
    <w:div w:id="209867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068E1-39B2-4F92-A02C-C046222DB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2</Pages>
  <Words>4719</Words>
  <Characters>27877</Characters>
  <Application>Microsoft Office Word</Application>
  <DocSecurity>0</DocSecurity>
  <Lines>522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2021-02-26T22:00:00Z</dcterms:created>
  <dcterms:modified xsi:type="dcterms:W3CDTF">2021-02-26T22:00:00Z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 Build 20190717</vt:lpwstr>
  </property>
  <property fmtid="{D5CDD505-2E9C-101B-9397-08002B2CF9AE}" pid="4" name="Category">
    <vt:lpwstr>COM/AA</vt:lpwstr>
  </property>
  <property fmtid="{D5CDD505-2E9C-101B-9397-08002B2CF9AE}" pid="5" name="Version">
    <vt:lpwstr>6.0.1.0</vt:lpwstr>
  </property>
  <property fmtid="{D5CDD505-2E9C-101B-9397-08002B2CF9AE}" pid="6" name="Created using">
    <vt:lpwstr>LW 6.0, Build 20171009</vt:lpwstr>
  </property>
  <property fmtid="{D5CDD505-2E9C-101B-9397-08002B2CF9AE}" pid="7" name="Part">
    <vt:lpwstr>1</vt:lpwstr>
  </property>
  <property fmtid="{D5CDD505-2E9C-101B-9397-08002B2CF9AE}" pid="8" name="Total parts">
    <vt:lpwstr>1</vt:lpwstr>
  </property>
  <property fmtid="{D5CDD505-2E9C-101B-9397-08002B2CF9AE}" pid="9" name="LWTemplateID">
    <vt:lpwstr>SJ-004</vt:lpwstr>
  </property>
  <property fmtid="{D5CDD505-2E9C-101B-9397-08002B2CF9AE}" pid="10" name="DQCStatus">
    <vt:lpwstr>Green (DQC version 03)</vt:lpwstr>
  </property>
</Properties>
</file>