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4A6D7" w14:textId="5C53476D" w:rsidR="00C36E0D" w:rsidRPr="00E87CE4" w:rsidRDefault="001B507A" w:rsidP="00E87CE4">
      <w:pPr>
        <w:pStyle w:val="Pagedecouverture"/>
      </w:pPr>
      <w:bookmarkStart w:id="0" w:name="_GoBack"/>
      <w:bookmarkEnd w:id="0"/>
      <w:r>
        <w:pict w14:anchorId="22C5B0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1D0B46A-F30A-4D49-8DBB-FB7980C800FA" style="width:450.45pt;height:449.85pt">
            <v:imagedata r:id="rId8" o:title=""/>
          </v:shape>
        </w:pict>
      </w:r>
    </w:p>
    <w:p w14:paraId="46614711" w14:textId="77777777" w:rsidR="0004170D" w:rsidRPr="00E87CE4" w:rsidRDefault="0004170D">
      <w:pPr>
        <w:sectPr w:rsidR="0004170D" w:rsidRPr="00E87CE4" w:rsidSect="00E87CE4">
          <w:footerReference w:type="default" r:id="rId9"/>
          <w:pgSz w:w="11907" w:h="16839"/>
          <w:pgMar w:top="1134" w:right="1417" w:bottom="1134" w:left="1417" w:header="709" w:footer="709" w:gutter="0"/>
          <w:pgNumType w:start="0"/>
          <w:cols w:space="720"/>
          <w:docGrid w:linePitch="360"/>
        </w:sectPr>
      </w:pPr>
    </w:p>
    <w:p w14:paraId="1CF04386" w14:textId="75A6EB96" w:rsidR="0004170D" w:rsidRPr="00E87CE4" w:rsidRDefault="00E87CE4" w:rsidP="00E87CE4">
      <w:pPr>
        <w:pStyle w:val="Typedudocument"/>
      </w:pPr>
      <w:r w:rsidRPr="00E87CE4">
        <w:lastRenderedPageBreak/>
        <w:t>IZVEDBENA UREDBA KOMISIJE (EU) …/…</w:t>
      </w:r>
    </w:p>
    <w:p w14:paraId="485B382E" w14:textId="2FE7E6F9" w:rsidR="0004170D" w:rsidRPr="00E87CE4" w:rsidRDefault="00E87CE4" w:rsidP="00E87CE4">
      <w:pPr>
        <w:pStyle w:val="Datedadoption"/>
      </w:pPr>
      <w:r w:rsidRPr="00E87CE4">
        <w:t xml:space="preserve">z dne </w:t>
      </w:r>
      <w:r w:rsidRPr="00E87CE4">
        <w:rPr>
          <w:rStyle w:val="Marker2"/>
        </w:rPr>
        <w:t>XXX</w:t>
      </w:r>
    </w:p>
    <w:p w14:paraId="6E872801" w14:textId="21C6FD27" w:rsidR="0004170D" w:rsidRPr="00E87CE4" w:rsidRDefault="00E87CE4" w:rsidP="00E87CE4">
      <w:pPr>
        <w:pStyle w:val="Titreobjet"/>
      </w:pPr>
      <w:r w:rsidRPr="00E87CE4">
        <w:t xml:space="preserve">o določitvi izvedbenih tehničnih standardov v zvezi z javnim razkritjem informacij iz naslovov II in III dela 8 Uredbe (EU) št. 575/2013 Evropskega parlamenta in Sveta s strani institucij ter o razveljavitvi Izvedbene uredbe Komisije (EU) št. 1423/2013, Delegirane uredbe Komisije (EU) 2015/1555, Izvedbene uredbe Komisije (EU) 2016/200 in Delegirane uredbe Komisije (EU) 2017/2295 </w:t>
      </w:r>
      <w:r w:rsidRPr="00E87CE4">
        <w:br/>
        <w:t xml:space="preserve"> </w:t>
      </w:r>
      <w:r w:rsidRPr="00E87CE4">
        <w:br/>
      </w:r>
    </w:p>
    <w:p w14:paraId="5216B2C3" w14:textId="651B6EF4" w:rsidR="0004170D" w:rsidRPr="00E87CE4" w:rsidRDefault="00E87CE4" w:rsidP="00E87CE4">
      <w:pPr>
        <w:pStyle w:val="IntrtEEE"/>
      </w:pPr>
      <w:r w:rsidRPr="00E87CE4">
        <w:t>(Besedilo velja za EGP)</w:t>
      </w:r>
    </w:p>
    <w:p w14:paraId="4BD4BB2E" w14:textId="77777777" w:rsidR="0004170D" w:rsidRPr="00E87CE4" w:rsidRDefault="0004170D" w:rsidP="009675DD">
      <w:pPr>
        <w:pStyle w:val="Institutionquiagit"/>
      </w:pPr>
      <w:r w:rsidRPr="00E87CE4">
        <w:t>EVROPSKA KOMISIJA JE –</w:t>
      </w:r>
    </w:p>
    <w:p w14:paraId="3B1DB378" w14:textId="77777777" w:rsidR="0004170D" w:rsidRPr="00E87CE4" w:rsidRDefault="0004170D" w:rsidP="009675DD">
      <w:r w:rsidRPr="00E87CE4">
        <w:rPr>
          <w:color w:val="000000"/>
        </w:rPr>
        <w:t>ob upoštevanju Pogodbe o delovanju Evropske unije</w:t>
      </w:r>
      <w:r w:rsidRPr="00E87CE4">
        <w:t>,</w:t>
      </w:r>
    </w:p>
    <w:p w14:paraId="7D7AE1AD" w14:textId="77777777" w:rsidR="0004170D" w:rsidRPr="00E87CE4" w:rsidRDefault="007E66A7" w:rsidP="009675DD">
      <w:r w:rsidRPr="00E87CE4">
        <w:t>ob upoštevanju Uredbe (EU) št. 575/2013 Evropskega parlamenta in Sveta z dne 26. junija 2013 o bonitetnih zahtevah za kreditne institucije in investicijska podjetja ter o spremembi Uredbe (EU) št. 648/2012</w:t>
      </w:r>
      <w:r w:rsidRPr="00E87CE4">
        <w:rPr>
          <w:rStyle w:val="FootnoteReference"/>
        </w:rPr>
        <w:footnoteReference w:id="2"/>
      </w:r>
      <w:r w:rsidRPr="00E87CE4">
        <w:t xml:space="preserve"> ter zlasti člena 434a Uredbe,</w:t>
      </w:r>
    </w:p>
    <w:p w14:paraId="6E3096F1" w14:textId="77777777" w:rsidR="0004170D" w:rsidRPr="00E87CE4" w:rsidRDefault="0004170D" w:rsidP="009675DD">
      <w:r w:rsidRPr="00E87CE4">
        <w:t>ob upoštevanju naslednjega:</w:t>
      </w:r>
    </w:p>
    <w:p w14:paraId="1025300A" w14:textId="34C35C6C" w:rsidR="0094247F" w:rsidRPr="00E87CE4" w:rsidRDefault="0094247F" w:rsidP="00AD58EF">
      <w:pPr>
        <w:pStyle w:val="Considrant"/>
        <w:numPr>
          <w:ilvl w:val="0"/>
          <w:numId w:val="13"/>
        </w:numPr>
      </w:pPr>
      <w:r w:rsidRPr="00E87CE4">
        <w:t>Baselski odbor za bančni nadzor je decembra 2019 objavil konsolidirani baselski okvir, vključno s posodobljenimi zahtevami stebra 3 glede razkritij</w:t>
      </w:r>
      <w:r w:rsidRPr="00E87CE4">
        <w:rPr>
          <w:rStyle w:val="FootnoteReference"/>
          <w:szCs w:val="24"/>
        </w:rPr>
        <w:footnoteReference w:id="3"/>
      </w:r>
      <w:r w:rsidRPr="00E87CE4">
        <w:t>, ki so bile večinoma uvedene v Uredbo (EU) št. 575/2013 z Uredbo (EU) 2019/876 Evropskega parlamenta in Sveta</w:t>
      </w:r>
      <w:r w:rsidRPr="00E87CE4">
        <w:rPr>
          <w:rStyle w:val="FootnoteReference"/>
          <w:szCs w:val="24"/>
        </w:rPr>
        <w:footnoteReference w:id="4"/>
      </w:r>
      <w:r w:rsidRPr="00E87CE4">
        <w:t>. Za izvajanje teh sprememb bi bilo treba določiti dosleden in popoln okvir za razkritja v skladu s stebrom 3.</w:t>
      </w:r>
    </w:p>
    <w:p w14:paraId="7DB0B204" w14:textId="2AD37D2A" w:rsidR="007E66A7" w:rsidRPr="00E87CE4" w:rsidRDefault="00442C93" w:rsidP="00F5043B">
      <w:pPr>
        <w:pStyle w:val="Considrant"/>
        <w:rPr>
          <w:sz w:val="22"/>
        </w:rPr>
      </w:pPr>
      <w:r w:rsidRPr="00E87CE4">
        <w:t>Izvedbena uredba Komisije (EU) št. 1423/2013</w:t>
      </w:r>
      <w:r w:rsidRPr="00E87CE4">
        <w:rPr>
          <w:rStyle w:val="FootnoteReference"/>
        </w:rPr>
        <w:footnoteReference w:id="5"/>
      </w:r>
      <w:r w:rsidRPr="00E87CE4">
        <w:t>, Delegirana uredba Komisije (EU) 2015/1555</w:t>
      </w:r>
      <w:r w:rsidRPr="00E87CE4">
        <w:rPr>
          <w:rStyle w:val="FootnoteReference"/>
        </w:rPr>
        <w:footnoteReference w:id="6"/>
      </w:r>
      <w:r w:rsidRPr="00E87CE4">
        <w:t>, Izvedbena uredba Komisije (EU) 2016/200</w:t>
      </w:r>
      <w:r w:rsidRPr="00E87CE4">
        <w:rPr>
          <w:rStyle w:val="FootnoteReference"/>
        </w:rPr>
        <w:footnoteReference w:id="7"/>
      </w:r>
      <w:r w:rsidRPr="00E87CE4">
        <w:t xml:space="preserve"> in Delegirana uredba Komisije (EU) 2017/2295</w:t>
      </w:r>
      <w:r w:rsidRPr="00E87CE4">
        <w:rPr>
          <w:rStyle w:val="FootnoteReference"/>
        </w:rPr>
        <w:footnoteReference w:id="8"/>
      </w:r>
      <w:r w:rsidRPr="00E87CE4">
        <w:t xml:space="preserve"> določajo enotne oblike, predloge in razpredelnice za kapital, proticiklične kapitalske blažilnike, količnik finančnega vzvoda oziroma obremenitev sredstev. Enotne oblike, predloge in razpredelnice bi se morale zato razširiti, da bodo zajemale razkritja v zvezi z drugimi bonitetnimi vidiki, ki jih je treba razkriti v skladu z Uredbo (EU) 2019/876. Konkretneje bi bilo treba uvesti predlogo za razkritje ključnih metrik, ki olajša dostop udeležencev na trgu do ključnih informacij institucije o kapitalu in likvidnosti.</w:t>
      </w:r>
    </w:p>
    <w:p w14:paraId="64909A2C" w14:textId="2EE1C111" w:rsidR="007E66A7" w:rsidRPr="00E87CE4" w:rsidRDefault="00F5043B" w:rsidP="007E66A7">
      <w:pPr>
        <w:pStyle w:val="Considrant"/>
      </w:pPr>
      <w:r w:rsidRPr="00E87CE4">
        <w:t xml:space="preserve">Predloge in razpredelnice, ki se uporabljajo za razkritja, bi morale vsebovati dovolj izčrpne in primerljive informacije, tako da bi se uporabnikom teh informacij omogočilo, da ocenijo profile tveganj institucij in njihovo stopnjo skladnosti z Uredbo (EU) št. 575/2013. Da pa bi se upoštevalo načelo sorazmernosti, bi bilo treba pri oblikah, predlogah in razpredelnicah za razkritja upoštevati razlike v velikosti in kompleksnosti med institucijami, ki vodijo do različnih ravni in vrst tveganja, in sicer z vključitvijo pragov za razširjena razkritja. </w:t>
      </w:r>
    </w:p>
    <w:p w14:paraId="1A778372" w14:textId="13A517C4" w:rsidR="007E66A7" w:rsidRPr="00E87CE4" w:rsidRDefault="00C91C95" w:rsidP="007E66A7">
      <w:pPr>
        <w:pStyle w:val="Considrant"/>
      </w:pPr>
      <w:r w:rsidRPr="00E87CE4">
        <w:t>Uredba (EU) 2019/876 je v Uredbo (EU) št. 575/2013 uvedla nov, umerjen količnik finančnega vzvoda in blažilnik količnika finančnega vzvoda za GSPI. Da bi se ta sprememba in potrebne prilagoditve vključile v izračun izpostavljenosti, je treba določiti predloge in razpredelnice.</w:t>
      </w:r>
    </w:p>
    <w:p w14:paraId="75FA70BF" w14:textId="1A6556E0" w:rsidR="007E66A7" w:rsidRPr="00E87CE4" w:rsidRDefault="00C91C95" w:rsidP="007E66A7">
      <w:pPr>
        <w:pStyle w:val="Considrant"/>
      </w:pPr>
      <w:r w:rsidRPr="00E87CE4">
        <w:t>Uredba (EU) 2019/876 je v Uredbo (EU) št. 575/2013 uvedla nove zahteve po razkritju za količnik neto stabilnega financiranja. Za izvajanje te spremembe je treba določiti predlogo za te nove zahteve po razkritju.</w:t>
      </w:r>
    </w:p>
    <w:p w14:paraId="23C44267" w14:textId="591E02B6" w:rsidR="007E66A7" w:rsidRPr="00E87CE4" w:rsidRDefault="00387DA9" w:rsidP="007E66A7">
      <w:pPr>
        <w:pStyle w:val="Considrant"/>
        <w:rPr>
          <w:sz w:val="22"/>
        </w:rPr>
      </w:pPr>
      <w:r w:rsidRPr="00E87CE4">
        <w:t>Uredba (EU) 2019/876 je v Uredbi (EU) št. 575/2013 standardizirane pristope za kreditno tveganje nasprotne stranke nadomestila s standardiziranim pristopom za kreditno tveganje nasprotne stranke (SA-CCR), ki bolj upošteva tveganja, in s poenostavljenim SA-CCR za institucije, ki izpolnjujejo vnaprej določena merila primernosti. Poleg tega je bila z Uredbo (EU) 2019/876 revidirana metoda originalne izpostavljenosti. Za izvajanje teh sprememb je treba uvesti celovit sklop razpredelnic in predlog za razkritja.</w:t>
      </w:r>
    </w:p>
    <w:p w14:paraId="3B343C5D" w14:textId="1EC51995" w:rsidR="007E66A7" w:rsidRPr="00E87CE4" w:rsidRDefault="00B90336" w:rsidP="007E66A7">
      <w:pPr>
        <w:pStyle w:val="Considrant"/>
        <w:rPr>
          <w:sz w:val="22"/>
        </w:rPr>
      </w:pPr>
      <w:r w:rsidRPr="00E87CE4">
        <w:t>Z Uredbo (EU) 2019/876 se je v Uredbo (EU) št. 575/2013 uvedla nova zahteva po razkritju za donosne, nedonosne in restrukturirane izpostavljenosti, vključno z razkritjem informacij o prejetem zavarovanju s premoženjem in finančnimi poroštvi. Za izvajanje te spremembe in teh novih zahtev po razkritju je treba uvesti celovit sklop razpredelnic in predlog. Zaradi poenostavitve in doslednosti bi morale te predloge in razpredelnice temeljiti na predlogah in razpredelnicah za razkritja, ki jih je že razvil EBA v svojih smernicah za razkrivanje nedonosnih in restrukturiranih izpostavljenosti</w:t>
      </w:r>
      <w:r w:rsidRPr="00E87CE4">
        <w:rPr>
          <w:rStyle w:val="FootnoteReference"/>
        </w:rPr>
        <w:footnoteReference w:id="9"/>
      </w:r>
      <w:r w:rsidRPr="00E87CE4">
        <w:t>.</w:t>
      </w:r>
    </w:p>
    <w:p w14:paraId="5DFC988B" w14:textId="237020CB" w:rsidR="007E66A7" w:rsidRPr="00E87CE4" w:rsidRDefault="003E3102" w:rsidP="00B90336">
      <w:pPr>
        <w:pStyle w:val="Considrant"/>
      </w:pPr>
      <w:r w:rsidRPr="00E87CE4">
        <w:t>Z Uredbo (EU) 2017/2401 Evropskega parlamenta in Sveta</w:t>
      </w:r>
      <w:r w:rsidRPr="00E87CE4">
        <w:rPr>
          <w:rStyle w:val="FootnoteReference"/>
        </w:rPr>
        <w:footnoteReference w:id="10"/>
      </w:r>
      <w:r w:rsidRPr="00E87CE4">
        <w:t xml:space="preserve"> se je spremenila Uredba (EU) št. 575/2013, da se v kapitalskih zahtevah, ki jih določa navedena uredba, upoštevajo </w:t>
      </w:r>
      <w:r w:rsidRPr="00E87CE4">
        <w:rPr>
          <w:shd w:val="clear" w:color="auto" w:fill="FFFFFF"/>
        </w:rPr>
        <w:t>posebne značilnosti listinjenj STS, kot so določene v Uredbi (EU) št. 2017/2402 Evropskega parlamenta in Sveta</w:t>
      </w:r>
      <w:r w:rsidRPr="00E87CE4">
        <w:rPr>
          <w:rStyle w:val="FootnoteReference"/>
        </w:rPr>
        <w:footnoteReference w:id="11"/>
      </w:r>
      <w:r w:rsidRPr="00E87CE4">
        <w:rPr>
          <w:shd w:val="clear" w:color="auto" w:fill="FFFFFF"/>
        </w:rPr>
        <w:t>. Da se upošteva ta sprememba</w:t>
      </w:r>
      <w:r w:rsidRPr="00E87CE4">
        <w:t>, je treba uvesti nove predloge in razpredelnice za razkritja s kvantitativnimi in kvalitativnimi informacijami o listinjenju.</w:t>
      </w:r>
    </w:p>
    <w:p w14:paraId="3E7507C1" w14:textId="41231A67" w:rsidR="007E66A7" w:rsidRPr="00E87CE4" w:rsidRDefault="00387DA9" w:rsidP="007E66A7">
      <w:pPr>
        <w:pStyle w:val="Considrant"/>
        <w:rPr>
          <w:sz w:val="22"/>
        </w:rPr>
      </w:pPr>
      <w:r w:rsidRPr="00E87CE4">
        <w:t xml:space="preserve">Z Uredbo (EU) 2019/876 so se spremenile nekatere zahteve po razkritju prejemkov iz Uredbe (EU) št. 575/2013 za zagotovitev, da so politike in prakse v zvezi s prejemki kategorij zaposlenih, katerih poklicne dejavnosti pomembno </w:t>
      </w:r>
      <w:r w:rsidRPr="00E87CE4">
        <w:rPr>
          <w:shd w:val="clear" w:color="auto" w:fill="FFFFFF"/>
        </w:rPr>
        <w:t>vplivajo na profil tveganosti institucije, skladne z učinkovitim upravljanjem tveganj.</w:t>
      </w:r>
      <w:r w:rsidRPr="00E87CE4">
        <w:t xml:space="preserve"> Za izvajanje teh zahtev po razkritju bi bilo treba določiti sklop predlog in razpredelnic.</w:t>
      </w:r>
    </w:p>
    <w:p w14:paraId="023EA5B8" w14:textId="6CA470C7" w:rsidR="004427A5" w:rsidRPr="00E87CE4" w:rsidRDefault="004A1CDB" w:rsidP="007E66A7">
      <w:pPr>
        <w:pStyle w:val="Considrant"/>
        <w:rPr>
          <w:sz w:val="22"/>
        </w:rPr>
      </w:pPr>
      <w:r w:rsidRPr="00E87CE4">
        <w:t>Da bi se institucijam zagotovil celovit povezan sklop enotnih oblik, predlog in razpredelnic za razkritja ter za zagotovitev visoke kakovosti razkritij, je treba uvesti enoten sklop tehničnih standardov za razkritja. Zato je treba razveljaviti Izvedbeno uredbo (EU) št. 1423/2013, Delegirano uredbo (EU) 2015/1555, Izvedbeno uredbo (EU) 2016/200 in Delegirano uredbo (EU) 2017/2295.</w:t>
      </w:r>
    </w:p>
    <w:p w14:paraId="38682B7B" w14:textId="19020FBF" w:rsidR="004427A5" w:rsidRPr="00E87CE4" w:rsidRDefault="0094247F" w:rsidP="007E66A7">
      <w:pPr>
        <w:pStyle w:val="Considrant"/>
        <w:rPr>
          <w:sz w:val="22"/>
        </w:rPr>
      </w:pPr>
      <w:r w:rsidRPr="00E87CE4">
        <w:t>Za zagotovitev pravočasnih in kakovostnih razkritij bi bilo treba institucijam dati dovolj časa, da prilagodijo svoje notranje sisteme za razkritja.</w:t>
      </w:r>
    </w:p>
    <w:p w14:paraId="0F58EAE6" w14:textId="77777777" w:rsidR="007E66A7" w:rsidRPr="00E87CE4" w:rsidRDefault="007E66A7" w:rsidP="007E66A7">
      <w:pPr>
        <w:pStyle w:val="Considrant"/>
        <w:rPr>
          <w:noProof/>
        </w:rPr>
      </w:pPr>
      <w:r w:rsidRPr="00E87CE4">
        <w:t>Ta uredba temelji na osnutku izvedbenih tehničnih standardov, ki ga je Evropski bančni organ (EBA) predložil Komisiji.</w:t>
      </w:r>
    </w:p>
    <w:p w14:paraId="61384288" w14:textId="77777777" w:rsidR="0004170D" w:rsidRPr="00E87CE4" w:rsidRDefault="00587191" w:rsidP="00453D69">
      <w:pPr>
        <w:pStyle w:val="Considrant"/>
        <w:rPr>
          <w:noProof/>
        </w:rPr>
      </w:pPr>
      <w:r w:rsidRPr="00E87CE4">
        <w:t>EBA je opravil odprta javna posvetovanja o osnutku izvedbenih tehničnih standardov, na katerem temelji ta uredba, analiziral potencialne povezane stroške in koristi ter prosil za nasvet interesno skupino za bančništvo, ustanovljeno v skladu s členom 37 Uredbe (EU) št. 1093/2010 Evropskega parlamenta in Sveta</w:t>
      </w:r>
      <w:r w:rsidRPr="00E87CE4">
        <w:rPr>
          <w:rStyle w:val="FootnoteReference"/>
          <w:noProof/>
        </w:rPr>
        <w:footnoteReference w:id="12"/>
      </w:r>
      <w:r w:rsidRPr="00E87CE4">
        <w:t xml:space="preserve"> – </w:t>
      </w:r>
    </w:p>
    <w:p w14:paraId="465D5876" w14:textId="77777777" w:rsidR="0004170D" w:rsidRPr="00E87CE4" w:rsidRDefault="0004170D" w:rsidP="009675DD">
      <w:pPr>
        <w:pStyle w:val="Formuledadoption"/>
      </w:pPr>
      <w:r w:rsidRPr="00E87CE4">
        <w:t>SPREJELA NASLEDNJO UREDBO:</w:t>
      </w:r>
    </w:p>
    <w:p w14:paraId="6CA0BD21" w14:textId="643FC984" w:rsidR="00FF364B" w:rsidRPr="00E87CE4" w:rsidRDefault="00FF364B" w:rsidP="00FF364B">
      <w:pPr>
        <w:pStyle w:val="Titrearticle"/>
      </w:pPr>
      <w:r w:rsidRPr="00E87CE4">
        <w:t>Člen 1</w:t>
      </w:r>
    </w:p>
    <w:p w14:paraId="6D84878F" w14:textId="77777777" w:rsidR="007E66A7" w:rsidRPr="00E87CE4" w:rsidRDefault="007E66A7" w:rsidP="007E66A7">
      <w:pPr>
        <w:pStyle w:val="Titrearticle"/>
        <w:spacing w:before="120"/>
        <w:rPr>
          <w:b/>
          <w:i w:val="0"/>
        </w:rPr>
      </w:pPr>
      <w:r w:rsidRPr="00E87CE4">
        <w:rPr>
          <w:b/>
          <w:i w:val="0"/>
        </w:rPr>
        <w:t>Razkritje ključnih metrik in pregled zneskov tveganju prilagojenih izpostavljenosti</w:t>
      </w:r>
    </w:p>
    <w:p w14:paraId="10515A6F" w14:textId="15D523D9" w:rsidR="007E66A7" w:rsidRPr="00E87CE4" w:rsidRDefault="007E66A7" w:rsidP="00F5043B">
      <w:pPr>
        <w:pStyle w:val="NumPar1"/>
        <w:numPr>
          <w:ilvl w:val="0"/>
          <w:numId w:val="14"/>
        </w:numPr>
        <w:tabs>
          <w:tab w:val="clear" w:pos="850"/>
          <w:tab w:val="left" w:pos="567"/>
        </w:tabs>
        <w:ind w:left="0" w:firstLine="0"/>
      </w:pPr>
      <w:r w:rsidRPr="00E87CE4">
        <w:t>Institucije razkrijejo informacije iz člena 447(a) do (g) in člena 438(b) Uredbe (EU) št. 575/2013 z uporabo predloge EU KM1 iz Priloge I k tej uredbi ter ob upoštevanju navodil iz Priloge II k tej uredbi.</w:t>
      </w:r>
    </w:p>
    <w:p w14:paraId="1C0713F1" w14:textId="2AC5B746" w:rsidR="007E66A7" w:rsidRPr="00E87CE4" w:rsidRDefault="007E66A7" w:rsidP="00F5043B">
      <w:pPr>
        <w:pStyle w:val="NumPar1"/>
        <w:tabs>
          <w:tab w:val="clear" w:pos="850"/>
          <w:tab w:val="left" w:pos="567"/>
        </w:tabs>
        <w:ind w:left="0" w:firstLine="0"/>
      </w:pPr>
      <w:r w:rsidRPr="00E87CE4">
        <w:t>Institucije razkrijejo informacije iz člena 438(d) Uredbe (EU) št. 575/2013 z uporabo predloge EU OV1 iz Priloge I k tej uredbi ter ob upoštevanju navodil iz Priloge II k tej uredbi.</w:t>
      </w:r>
    </w:p>
    <w:p w14:paraId="5694C031" w14:textId="6F8BAA89" w:rsidR="007E66A7" w:rsidRPr="00E87CE4" w:rsidRDefault="007E66A7" w:rsidP="00F5043B">
      <w:pPr>
        <w:pStyle w:val="NumPar1"/>
        <w:tabs>
          <w:tab w:val="clear" w:pos="850"/>
          <w:tab w:val="left" w:pos="567"/>
        </w:tabs>
        <w:ind w:left="0" w:firstLine="0"/>
      </w:pPr>
      <w:r w:rsidRPr="00E87CE4">
        <w:t>Institucije razkrijejo informacije iz člena 438(a) in (c) Uredbe (EU) št. 575/2013 z uporabo razpredelnice EU OVC iz Priloge I k tej uredbi ter ob upoštevanju navodil iz Priloge II k tej uredbi.</w:t>
      </w:r>
    </w:p>
    <w:p w14:paraId="239E081F" w14:textId="1C4A0E84" w:rsidR="007E66A7" w:rsidRPr="00E87CE4" w:rsidRDefault="007E66A7" w:rsidP="00F5043B">
      <w:pPr>
        <w:pStyle w:val="NumPar1"/>
        <w:tabs>
          <w:tab w:val="clear" w:pos="850"/>
          <w:tab w:val="left" w:pos="567"/>
        </w:tabs>
        <w:ind w:left="0" w:firstLine="0"/>
      </w:pPr>
      <w:r w:rsidRPr="00E87CE4">
        <w:t>Institucije razkrijejo informacije iz člena 438(f) in (g) Uredbe (EU) št. 575/2013 z uporabo predlog EU INS1 in EU INS2 iz Priloge I k tej uredbi ter ob upoštevanju navodil iz Priloge II k tej uredbi.</w:t>
      </w:r>
    </w:p>
    <w:p w14:paraId="00AA4B75" w14:textId="77777777" w:rsidR="00725875" w:rsidRPr="00E87CE4" w:rsidRDefault="00725875" w:rsidP="00725875">
      <w:pPr>
        <w:pStyle w:val="Titrearticle"/>
      </w:pPr>
      <w:r w:rsidRPr="00E87CE4">
        <w:t>Člen 2</w:t>
      </w:r>
    </w:p>
    <w:p w14:paraId="201D71D7" w14:textId="77777777" w:rsidR="007E66A7" w:rsidRPr="00E87CE4" w:rsidRDefault="007E66A7" w:rsidP="007E66A7">
      <w:pPr>
        <w:pStyle w:val="Titrearticle"/>
        <w:spacing w:before="120"/>
        <w:rPr>
          <w:b/>
          <w:i w:val="0"/>
        </w:rPr>
      </w:pPr>
      <w:r w:rsidRPr="00E87CE4">
        <w:rPr>
          <w:b/>
          <w:i w:val="0"/>
        </w:rPr>
        <w:t>Razkritje ciljev in politik upravljanja tveganj</w:t>
      </w:r>
    </w:p>
    <w:p w14:paraId="24A510A3" w14:textId="6F22E094" w:rsidR="007E66A7" w:rsidRPr="00E87CE4" w:rsidRDefault="007E66A7" w:rsidP="007E66A7">
      <w:pPr>
        <w:rPr>
          <w:i/>
        </w:rPr>
      </w:pPr>
      <w:r w:rsidRPr="00E87CE4">
        <w:t>Institucije razkrijejo informacije iz člena 435 Uredbe (EU) št. 575/2013 z uporabo razpredelnic EU OVA in EU OVB iz Priloge III k tej uredbi ter ob upoštevanju navodil iz Priloge IV k tej uredbi.</w:t>
      </w:r>
    </w:p>
    <w:p w14:paraId="6B7BFFC9" w14:textId="1A03E595" w:rsidR="00725875" w:rsidRPr="00E87CE4" w:rsidRDefault="00725875" w:rsidP="00725875">
      <w:pPr>
        <w:pStyle w:val="Titrearticle"/>
      </w:pPr>
      <w:r w:rsidRPr="00E87CE4">
        <w:t>Člen 3</w:t>
      </w:r>
    </w:p>
    <w:p w14:paraId="0F10BDEB" w14:textId="77777777" w:rsidR="009F40BE" w:rsidRPr="00E87CE4" w:rsidRDefault="009F40BE" w:rsidP="00F5043B">
      <w:pPr>
        <w:pStyle w:val="Titrearticle"/>
        <w:tabs>
          <w:tab w:val="left" w:pos="567"/>
        </w:tabs>
        <w:spacing w:before="120"/>
        <w:rPr>
          <w:b/>
          <w:i w:val="0"/>
        </w:rPr>
      </w:pPr>
      <w:r w:rsidRPr="00E87CE4">
        <w:rPr>
          <w:b/>
          <w:i w:val="0"/>
        </w:rPr>
        <w:t xml:space="preserve">Razkritje področja uporabe </w:t>
      </w:r>
    </w:p>
    <w:p w14:paraId="10528DDB" w14:textId="1D023DA6" w:rsidR="009F40BE" w:rsidRPr="00E87CE4" w:rsidRDefault="009F40BE" w:rsidP="00F5043B">
      <w:pPr>
        <w:pStyle w:val="NumPar1"/>
        <w:numPr>
          <w:ilvl w:val="0"/>
          <w:numId w:val="10"/>
        </w:numPr>
        <w:tabs>
          <w:tab w:val="clear" w:pos="850"/>
          <w:tab w:val="left" w:pos="567"/>
        </w:tabs>
        <w:ind w:left="0" w:firstLine="0"/>
      </w:pPr>
      <w:r w:rsidRPr="00E87CE4">
        <w:t>Institucije razkrijejo informacije iz člena 436(b) in (c) Uredbe (EU) št. 575/2013 z uporabo predlog EU LI1 in EU LI3 iz Priloge V k tej uredbi ter ob upoštevanju navodil iz Priloge VI k tej uredbi.</w:t>
      </w:r>
    </w:p>
    <w:p w14:paraId="4A18C7DA" w14:textId="677610A6" w:rsidR="009F40BE" w:rsidRPr="00E87CE4" w:rsidRDefault="009F40BE" w:rsidP="00F5043B">
      <w:pPr>
        <w:pStyle w:val="NumPar1"/>
        <w:tabs>
          <w:tab w:val="clear" w:pos="850"/>
          <w:tab w:val="left" w:pos="567"/>
        </w:tabs>
        <w:ind w:left="0" w:firstLine="0"/>
      </w:pPr>
      <w:r w:rsidRPr="00E87CE4">
        <w:t>Institucije razkrijejo informacije iz člena 436(b) in (d) Uredbe (EU) št. 575/2013 z uporabo predloge EU LI2 in razpredelnice EU LIA iz Priloge V k tej uredbi ter ob upoštevanju navodil iz Priloge VI k tej uredbi.</w:t>
      </w:r>
    </w:p>
    <w:p w14:paraId="33B7C000" w14:textId="77777777" w:rsidR="009F40BE" w:rsidRPr="00E87CE4" w:rsidRDefault="009F40BE" w:rsidP="00F5043B">
      <w:pPr>
        <w:pStyle w:val="NumPar1"/>
        <w:tabs>
          <w:tab w:val="clear" w:pos="850"/>
          <w:tab w:val="left" w:pos="567"/>
        </w:tabs>
        <w:ind w:left="0" w:firstLine="0"/>
      </w:pPr>
      <w:r w:rsidRPr="00E87CE4">
        <w:t>Institucije razkrijejo informacije iz člena 436(e) Uredbe (EU) št. 575/2013 z uporabo predloge EU PV1 iz Priloge V k tej uredbi ter ob upoštevanju navodil iz Priloge VI k tej uredbi.</w:t>
      </w:r>
    </w:p>
    <w:p w14:paraId="2B4D969E" w14:textId="77777777" w:rsidR="009F40BE" w:rsidRPr="00E87CE4" w:rsidRDefault="009F40BE" w:rsidP="00F5043B">
      <w:pPr>
        <w:pStyle w:val="NumPar1"/>
        <w:tabs>
          <w:tab w:val="clear" w:pos="850"/>
          <w:tab w:val="left" w:pos="567"/>
        </w:tabs>
        <w:ind w:left="0" w:firstLine="0"/>
      </w:pPr>
      <w:r w:rsidRPr="00E87CE4">
        <w:t>Institucije razkrijejo informacije iz člena 436(f), (g) in (h) Uredbe (EU) št. 575/2013 z uporabo razpredelnice EU LIB iz Priloge V k tej uredbi ter ob upoštevanju navodil iz Priloge VI k tej uredbi.</w:t>
      </w:r>
    </w:p>
    <w:p w14:paraId="5A980456" w14:textId="7A03DA4D" w:rsidR="00725875" w:rsidRPr="00E87CE4" w:rsidRDefault="00725875" w:rsidP="00725875">
      <w:pPr>
        <w:pStyle w:val="Titrearticle"/>
      </w:pPr>
      <w:r w:rsidRPr="00E87CE4">
        <w:t>Člen 4</w:t>
      </w:r>
    </w:p>
    <w:p w14:paraId="14EB4863" w14:textId="77777777" w:rsidR="009F40BE" w:rsidRPr="00E87CE4" w:rsidRDefault="009F40BE" w:rsidP="009F40BE">
      <w:pPr>
        <w:pStyle w:val="Titrearticle"/>
        <w:spacing w:before="120"/>
        <w:rPr>
          <w:b/>
          <w:i w:val="0"/>
        </w:rPr>
      </w:pPr>
      <w:r w:rsidRPr="00E87CE4">
        <w:rPr>
          <w:b/>
          <w:i w:val="0"/>
        </w:rPr>
        <w:t>Razkritja o kapitalu</w:t>
      </w:r>
    </w:p>
    <w:p w14:paraId="2144BC15" w14:textId="00DAA361" w:rsidR="009F40BE" w:rsidRPr="00E87CE4" w:rsidRDefault="009F40BE" w:rsidP="009F40BE">
      <w:pPr>
        <w:rPr>
          <w:i/>
        </w:rPr>
      </w:pPr>
      <w:r w:rsidRPr="00E87CE4">
        <w:t>Institucije razkrijejo informacije iz člena 437 Uredbe (EU) št. 575/2013, kot sledi:</w:t>
      </w:r>
    </w:p>
    <w:p w14:paraId="64F03B5B" w14:textId="77777777" w:rsidR="009F40BE" w:rsidRPr="00E87CE4" w:rsidRDefault="005F490A" w:rsidP="00F5043B">
      <w:pPr>
        <w:pStyle w:val="Point1letter"/>
        <w:numPr>
          <w:ilvl w:val="3"/>
          <w:numId w:val="15"/>
        </w:numPr>
        <w:tabs>
          <w:tab w:val="clear" w:pos="1417"/>
        </w:tabs>
        <w:ind w:left="567"/>
      </w:pPr>
      <w:r w:rsidRPr="00E87CE4">
        <w:t>informacije iz člena 437(a), (d), (e) in (f) Uredbe (EU) št. 575/2013 z uporabo predlog EU CC1 in EU CC2 iz Priloge VII k tej uredbi ter ob upoštevanju navodil iz Priloge VIII k tej uredbi;</w:t>
      </w:r>
    </w:p>
    <w:p w14:paraId="6F220811" w14:textId="77777777" w:rsidR="009F40BE" w:rsidRPr="00E87CE4" w:rsidRDefault="005F490A" w:rsidP="00F5043B">
      <w:pPr>
        <w:pStyle w:val="Point1letter"/>
        <w:tabs>
          <w:tab w:val="clear" w:pos="1417"/>
        </w:tabs>
        <w:ind w:left="567"/>
      </w:pPr>
      <w:r w:rsidRPr="00E87CE4">
        <w:t>informacije iz člena 437(b) in (c) Uredbe (EU) št. 575/2013 z uporabo razpredelnice EU CCA iz Priloge VII k tej uredbi ter ob upoštevanju navodil iz Priloge VIII k tej uredbi.</w:t>
      </w:r>
    </w:p>
    <w:p w14:paraId="079C779B" w14:textId="5EBA66D3" w:rsidR="00A10245" w:rsidRPr="00E87CE4" w:rsidRDefault="00A10245" w:rsidP="00A10245">
      <w:pPr>
        <w:pStyle w:val="Titrearticle"/>
      </w:pPr>
      <w:r w:rsidRPr="00E87CE4">
        <w:t xml:space="preserve">Člen 5 </w:t>
      </w:r>
    </w:p>
    <w:p w14:paraId="18A51980" w14:textId="77777777" w:rsidR="009F40BE" w:rsidRPr="00E87CE4" w:rsidRDefault="009F40BE" w:rsidP="009F40BE">
      <w:pPr>
        <w:pStyle w:val="Titrearticle"/>
        <w:spacing w:before="120"/>
        <w:rPr>
          <w:b/>
          <w:i w:val="0"/>
        </w:rPr>
      </w:pPr>
      <w:r w:rsidRPr="00E87CE4">
        <w:rPr>
          <w:b/>
          <w:i w:val="0"/>
        </w:rPr>
        <w:t>Razkritje proticikličnih kapitalskih blažilnikov</w:t>
      </w:r>
    </w:p>
    <w:p w14:paraId="10D01314" w14:textId="30079B66" w:rsidR="009F40BE" w:rsidRPr="00E87CE4" w:rsidRDefault="009F40BE" w:rsidP="009F40BE">
      <w:r w:rsidRPr="00E87CE4">
        <w:t>Institucije razkrijejo informacije iz člena 440 Uredbe (EU) št. 575/2013, kot sledi:</w:t>
      </w:r>
    </w:p>
    <w:p w14:paraId="197895FF" w14:textId="77777777" w:rsidR="009F40BE" w:rsidRPr="00E87CE4" w:rsidRDefault="005F490A" w:rsidP="00F5043B">
      <w:pPr>
        <w:pStyle w:val="Point1letter"/>
        <w:numPr>
          <w:ilvl w:val="3"/>
          <w:numId w:val="11"/>
        </w:numPr>
        <w:tabs>
          <w:tab w:val="clear" w:pos="1417"/>
        </w:tabs>
        <w:ind w:left="567"/>
      </w:pPr>
      <w:r w:rsidRPr="00E87CE4">
        <w:t>informacije iz člena 440(a) Uredbe (EU) št. 575/2013 z uporabo predloge EU CCYB1 iz Priloge IX k tej uredbi ter ob upoštevanju navodil iz Priloge X k tej uredbi;</w:t>
      </w:r>
    </w:p>
    <w:p w14:paraId="421F2629" w14:textId="77777777" w:rsidR="009F40BE" w:rsidRPr="00E87CE4" w:rsidRDefault="00E42EC8" w:rsidP="00F5043B">
      <w:pPr>
        <w:pStyle w:val="Point1letter"/>
        <w:tabs>
          <w:tab w:val="clear" w:pos="1417"/>
        </w:tabs>
        <w:ind w:left="567"/>
      </w:pPr>
      <w:r w:rsidRPr="00E87CE4">
        <w:t>informacije iz člena 440(b) Uredbe (EU) št. 575/2013 z uporabo predloge EU CCYB2 iz Priloge IX k tej uredbi ter ob upoštevanju navodil iz Priloge X k tej uredbi.</w:t>
      </w:r>
    </w:p>
    <w:p w14:paraId="4007DA85" w14:textId="2EE168D4" w:rsidR="00496B08" w:rsidRPr="00E87CE4" w:rsidRDefault="00496B08" w:rsidP="00496B08">
      <w:pPr>
        <w:pStyle w:val="Titrearticle"/>
      </w:pPr>
      <w:r w:rsidRPr="00E87CE4">
        <w:t>Člen 6</w:t>
      </w:r>
    </w:p>
    <w:p w14:paraId="0857022D" w14:textId="77777777" w:rsidR="009F40BE" w:rsidRPr="00E87CE4" w:rsidRDefault="009F40BE" w:rsidP="009F40BE">
      <w:pPr>
        <w:pStyle w:val="Titrearticle"/>
        <w:spacing w:before="120"/>
        <w:rPr>
          <w:b/>
          <w:i w:val="0"/>
        </w:rPr>
      </w:pPr>
      <w:r w:rsidRPr="00E87CE4">
        <w:rPr>
          <w:b/>
          <w:i w:val="0"/>
        </w:rPr>
        <w:t>Razkritje količnika finančnega vzvoda</w:t>
      </w:r>
    </w:p>
    <w:p w14:paraId="0CFB345E" w14:textId="204FA202" w:rsidR="009F40BE" w:rsidRPr="00E87CE4" w:rsidRDefault="009F40BE" w:rsidP="009F40BE">
      <w:r w:rsidRPr="00E87CE4">
        <w:t>Institucije razkrijejo informacije iz člena 451 Uredbe (EU) št. 575/2013, kot sledi:</w:t>
      </w:r>
    </w:p>
    <w:p w14:paraId="1C14C095" w14:textId="77777777" w:rsidR="009F40BE" w:rsidRPr="00E87CE4" w:rsidRDefault="00786078" w:rsidP="00F5043B">
      <w:pPr>
        <w:pStyle w:val="Point1letter"/>
        <w:numPr>
          <w:ilvl w:val="3"/>
          <w:numId w:val="12"/>
        </w:numPr>
        <w:tabs>
          <w:tab w:val="clear" w:pos="1417"/>
        </w:tabs>
        <w:ind w:left="567"/>
      </w:pPr>
      <w:r w:rsidRPr="00E87CE4">
        <w:t>informacije iz člena 451(1)(a), (b) in (c) ter člena 451(2) in (3) Uredbe (EU) št. 575/2013 z uporabo predlog EU LR1, EU LR2 in EU LR3 iz Priloge XI k tej uredbi ter ob upoštevanju navodil iz Priloge XII k tej uredbi;</w:t>
      </w:r>
    </w:p>
    <w:p w14:paraId="632CE413" w14:textId="77777777" w:rsidR="009F40BE" w:rsidRPr="00E87CE4" w:rsidRDefault="00786078" w:rsidP="00F5043B">
      <w:pPr>
        <w:pStyle w:val="Point1letter"/>
        <w:tabs>
          <w:tab w:val="clear" w:pos="1417"/>
        </w:tabs>
        <w:ind w:left="567"/>
      </w:pPr>
      <w:r w:rsidRPr="00E87CE4">
        <w:t>informacije iz člena 451(1)(d) in (e) Uredbe (EU) št. 575/2013 z uporabo razpredelnice EU LRA iz Priloge XI k tej uredbi ter ob upoštevanju navodil iz Priloge XII k tej uredbi.</w:t>
      </w:r>
    </w:p>
    <w:p w14:paraId="4C36A5D6" w14:textId="2A06F27B" w:rsidR="00496B08" w:rsidRPr="00E87CE4" w:rsidRDefault="00496B08" w:rsidP="00496B08">
      <w:pPr>
        <w:pStyle w:val="Titrearticle"/>
      </w:pPr>
      <w:r w:rsidRPr="00E87CE4">
        <w:t>Člen 7</w:t>
      </w:r>
    </w:p>
    <w:p w14:paraId="6784E306" w14:textId="77777777" w:rsidR="00A858BC" w:rsidRPr="00E87CE4" w:rsidRDefault="00A858BC" w:rsidP="00A858BC">
      <w:pPr>
        <w:pStyle w:val="Titrearticle"/>
        <w:spacing w:before="120"/>
        <w:rPr>
          <w:b/>
          <w:i w:val="0"/>
        </w:rPr>
      </w:pPr>
      <w:r w:rsidRPr="00E87CE4">
        <w:rPr>
          <w:b/>
          <w:i w:val="0"/>
        </w:rPr>
        <w:t>Razkritje likvidnostnih zahtev</w:t>
      </w:r>
    </w:p>
    <w:p w14:paraId="700646AD" w14:textId="45F364CC" w:rsidR="000715FC" w:rsidRPr="00E87CE4" w:rsidRDefault="000715FC" w:rsidP="003D44B9">
      <w:pPr>
        <w:rPr>
          <w:i/>
        </w:rPr>
      </w:pPr>
      <w:r w:rsidRPr="00E87CE4">
        <w:t>Institucije razkrijejo informacije iz člena 435(1) in 451a Uredbe (EU) št. 575/2013, kot sledi:</w:t>
      </w:r>
    </w:p>
    <w:p w14:paraId="3BD25176" w14:textId="77777777" w:rsidR="00A858BC" w:rsidRPr="00E87CE4" w:rsidRDefault="00D001B4" w:rsidP="00F5043B">
      <w:pPr>
        <w:pStyle w:val="Point1letter"/>
        <w:numPr>
          <w:ilvl w:val="3"/>
          <w:numId w:val="16"/>
        </w:numPr>
        <w:tabs>
          <w:tab w:val="clear" w:pos="1417"/>
        </w:tabs>
        <w:ind w:left="567"/>
      </w:pPr>
      <w:r w:rsidRPr="00E87CE4">
        <w:t>informacije iz člena 435(1) in 451a(4) Uredbe (EU) št. 575/2013 z uporabo razpredelnice EU LIQA iz Priloge XIII k tej uredbi ter ob upoštevanju navodil iz Priloge XIV k tej uredbi;</w:t>
      </w:r>
    </w:p>
    <w:p w14:paraId="0E8BE407" w14:textId="77777777" w:rsidR="00A858BC" w:rsidRPr="00E87CE4" w:rsidRDefault="00D001B4" w:rsidP="00F5043B">
      <w:pPr>
        <w:pStyle w:val="Point1letter"/>
        <w:numPr>
          <w:ilvl w:val="3"/>
          <w:numId w:val="16"/>
        </w:numPr>
        <w:tabs>
          <w:tab w:val="clear" w:pos="1417"/>
        </w:tabs>
        <w:ind w:left="567"/>
      </w:pPr>
      <w:r w:rsidRPr="00E87CE4">
        <w:t>informacije iz člena 451a(2) Uredbe (EU) št. 575/2013 z uporabo predloge EU LIQ1 in razpredelnice EU LIQB iz Priloge XIII k tej uredbi ter ob upoštevanju navodil iz Priloge XIV k tej uredbi;</w:t>
      </w:r>
    </w:p>
    <w:p w14:paraId="27B790F3" w14:textId="77777777" w:rsidR="00A858BC" w:rsidRPr="00E87CE4" w:rsidRDefault="00D001B4" w:rsidP="00F5043B">
      <w:pPr>
        <w:pStyle w:val="Point1letter"/>
        <w:numPr>
          <w:ilvl w:val="3"/>
          <w:numId w:val="16"/>
        </w:numPr>
        <w:tabs>
          <w:tab w:val="clear" w:pos="1417"/>
        </w:tabs>
        <w:ind w:left="567"/>
      </w:pPr>
      <w:r w:rsidRPr="00E87CE4">
        <w:t>informacije iz člena 451a(3) Uredbe (EU) št. 575/2013 z uporabo predloge EU LIQ2 iz Priloge XIII k tej uredbi ter ob upoštevanju navodil iz Priloge XIV k tej uredbi.</w:t>
      </w:r>
    </w:p>
    <w:p w14:paraId="48407ACA" w14:textId="256EC5A5" w:rsidR="00496B08" w:rsidRPr="00E87CE4" w:rsidRDefault="00496B08" w:rsidP="00496B08">
      <w:pPr>
        <w:pStyle w:val="Titrearticle"/>
      </w:pPr>
      <w:r w:rsidRPr="00E87CE4">
        <w:t>Člen 8</w:t>
      </w:r>
    </w:p>
    <w:p w14:paraId="6CB38048" w14:textId="77777777" w:rsidR="00A858BC" w:rsidRPr="00E87CE4" w:rsidRDefault="00A858BC" w:rsidP="00A858BC">
      <w:pPr>
        <w:pStyle w:val="Titrearticle"/>
        <w:spacing w:before="120"/>
        <w:rPr>
          <w:b/>
          <w:i w:val="0"/>
        </w:rPr>
      </w:pPr>
      <w:r w:rsidRPr="00E87CE4">
        <w:rPr>
          <w:b/>
          <w:i w:val="0"/>
        </w:rPr>
        <w:t>Razkritje izpostavljenosti kreditnemu tveganju in tveganju zmanjšanja vrednosti ter razkritje kreditne kakovosti</w:t>
      </w:r>
    </w:p>
    <w:p w14:paraId="3D4D2F63" w14:textId="25A1151F" w:rsidR="00A858BC" w:rsidRPr="00E87CE4" w:rsidRDefault="00A858BC" w:rsidP="000747E8">
      <w:pPr>
        <w:pStyle w:val="NumPar1"/>
        <w:numPr>
          <w:ilvl w:val="0"/>
          <w:numId w:val="29"/>
        </w:numPr>
        <w:tabs>
          <w:tab w:val="clear" w:pos="850"/>
          <w:tab w:val="left" w:pos="567"/>
        </w:tabs>
        <w:ind w:left="0" w:firstLine="0"/>
      </w:pPr>
      <w:r w:rsidRPr="00E87CE4">
        <w:t>Institucije razkrijejo informacije iz členov 435 in 442 Uredbe (EU) št. 575/2013, kot sledi:</w:t>
      </w:r>
    </w:p>
    <w:p w14:paraId="551FABBA" w14:textId="025FF9DD" w:rsidR="00A858BC" w:rsidRPr="00E87CE4" w:rsidRDefault="00D001B4" w:rsidP="00F5043B">
      <w:pPr>
        <w:pStyle w:val="Point1letter"/>
        <w:numPr>
          <w:ilvl w:val="3"/>
          <w:numId w:val="17"/>
        </w:numPr>
        <w:tabs>
          <w:tab w:val="clear" w:pos="1417"/>
        </w:tabs>
        <w:ind w:left="567"/>
      </w:pPr>
      <w:r w:rsidRPr="00E87CE4">
        <w:t>informacije iz člena 435(1)(a), (b), (d) in (f) Uredbe (EU) št. 575/2013 z uporabo razpredelnice EU CRA iz Priloge XV k tej uredbi ter ob upoštevanju navodil iz Priloge XVI k tej uredbi;</w:t>
      </w:r>
    </w:p>
    <w:p w14:paraId="3B0BD257" w14:textId="77777777" w:rsidR="00A858BC" w:rsidRPr="00E87CE4" w:rsidRDefault="00D001B4" w:rsidP="00F5043B">
      <w:pPr>
        <w:pStyle w:val="Point1letter"/>
        <w:numPr>
          <w:ilvl w:val="3"/>
          <w:numId w:val="16"/>
        </w:numPr>
        <w:tabs>
          <w:tab w:val="clear" w:pos="1417"/>
        </w:tabs>
        <w:ind w:left="567"/>
      </w:pPr>
      <w:r w:rsidRPr="00E87CE4">
        <w:t>informacije iz člena 442(a) in (b) Uredbe (EU) št. 575/2013 z uporabo razpredelnice EU CRB iz Priloge XV k tej uredbi ter ob upoštevanju navodil iz Priloge XVI k tej uredbi;</w:t>
      </w:r>
    </w:p>
    <w:p w14:paraId="4F91304B" w14:textId="2B42A7AB" w:rsidR="00A858BC" w:rsidRPr="00E87CE4" w:rsidRDefault="00D001B4" w:rsidP="00F5043B">
      <w:pPr>
        <w:pStyle w:val="Point1letter"/>
        <w:numPr>
          <w:ilvl w:val="3"/>
          <w:numId w:val="16"/>
        </w:numPr>
        <w:tabs>
          <w:tab w:val="clear" w:pos="1417"/>
        </w:tabs>
        <w:ind w:left="567"/>
      </w:pPr>
      <w:r w:rsidRPr="00E87CE4">
        <w:t>informacije iz člena 442(d) Uredbe (EU) št. 575/2013 z uporabo predloge EU CQ3 iz Priloge XV k tej uredbi ter ob upoštevanju navodil iz Priloge XVI k tej uredbi;</w:t>
      </w:r>
    </w:p>
    <w:p w14:paraId="0FF67B2D" w14:textId="77777777" w:rsidR="00A858BC" w:rsidRPr="00E87CE4" w:rsidRDefault="00D001B4" w:rsidP="00F5043B">
      <w:pPr>
        <w:pStyle w:val="Point1letter"/>
        <w:numPr>
          <w:ilvl w:val="3"/>
          <w:numId w:val="16"/>
        </w:numPr>
        <w:tabs>
          <w:tab w:val="clear" w:pos="1417"/>
        </w:tabs>
        <w:ind w:left="567"/>
      </w:pPr>
      <w:r w:rsidRPr="00E87CE4">
        <w:t>informacije iz člena 442(g) Uredbe (EU) št. 575/2013 z uporabo predloge EU CR1-A iz Priloge XV k tej uredbi ter ob upoštevanju navodil iz Priloge XVI k tej uredbi;</w:t>
      </w:r>
    </w:p>
    <w:p w14:paraId="7DE01D39" w14:textId="737CC624" w:rsidR="00A858BC" w:rsidRPr="00E87CE4" w:rsidRDefault="00D001B4" w:rsidP="00F5043B">
      <w:pPr>
        <w:pStyle w:val="Point1letter"/>
        <w:numPr>
          <w:ilvl w:val="3"/>
          <w:numId w:val="16"/>
        </w:numPr>
        <w:tabs>
          <w:tab w:val="clear" w:pos="1417"/>
        </w:tabs>
        <w:ind w:left="567"/>
      </w:pPr>
      <w:r w:rsidRPr="00E87CE4">
        <w:t>informacije iz člena 442(f) Uredbe (EU) št. 575/2013 z uporabo predloge EU CR2 iz Priloge XV k tej uredbi ter ob upoštevanju navodil iz Priloge XVI k tej uredbi.</w:t>
      </w:r>
    </w:p>
    <w:p w14:paraId="27C265A9" w14:textId="77777777" w:rsidR="00DF14E1" w:rsidRPr="00E87CE4" w:rsidRDefault="00A858BC" w:rsidP="00DF14E1">
      <w:pPr>
        <w:pStyle w:val="NumPar1"/>
        <w:tabs>
          <w:tab w:val="clear" w:pos="850"/>
          <w:tab w:val="left" w:pos="567"/>
        </w:tabs>
        <w:ind w:left="0" w:firstLine="0"/>
      </w:pPr>
      <w:r w:rsidRPr="00E87CE4">
        <w:t>Institucije razkrijejo informacije iz člena 442(c), (e) in (f) Uredbe (EU) št. 575/2013 z uporabo predlog EU CR1, EU CQ1 in EU CQ7, stolpcev a, c, e, f in g predloge EU CQ4 ter stolpcev a, c, e in f predloge EU CQ5 iz Priloge XV k tej uredbi ter ob upoštevanju navodil iz Priloge XVI k tej uredbi.</w:t>
      </w:r>
    </w:p>
    <w:p w14:paraId="12433EF1" w14:textId="245C024E" w:rsidR="00A858BC" w:rsidRPr="00E87CE4" w:rsidRDefault="00956448" w:rsidP="00DF14E1">
      <w:pPr>
        <w:pStyle w:val="NumPar1"/>
        <w:tabs>
          <w:tab w:val="clear" w:pos="850"/>
          <w:tab w:val="left" w:pos="567"/>
        </w:tabs>
        <w:ind w:left="0" w:firstLine="0"/>
      </w:pPr>
      <w:r w:rsidRPr="00E87CE4">
        <w:t xml:space="preserve">Velike institucije z razmerjem med bruto knjigovodsko vrednostjo kreditov in drugih finančnih sredstev, ki spadajo pod člen 47a(3) Uredbe (EU) št. 575/2013, in skupno bruto knjigovodsko vrednostjo kreditov in drugih finančnih sredstev, ki spadajo pod člen 47a(1) Uredbe (EU) št. 575/2013, enakim ali višjim od 5 %, poleg predlog in stolpcev iz odstavka 2 razkrijejo informacije iz člena 442(c) in (f) Uredbe (EU) št. 575/2013 z uporabo predlog EU CR2a, EU CQ2, EU CQ6 in EU CQ8 ter stolpcev b in d predlog EU CQ4 in EU CQ5 iz Priloge XV k tej uredbi ter ob upoštevanju navodil iz Priloge XVI k tej uredbi. Te informacije razkrivajo letno. </w:t>
      </w:r>
    </w:p>
    <w:p w14:paraId="38D26DBB" w14:textId="2FAF3A75" w:rsidR="00A858BC" w:rsidRPr="00E87CE4" w:rsidRDefault="00A858BC" w:rsidP="00F5043B">
      <w:pPr>
        <w:pStyle w:val="NumPar1"/>
        <w:tabs>
          <w:tab w:val="clear" w:pos="850"/>
          <w:tab w:val="left" w:pos="567"/>
        </w:tabs>
        <w:ind w:left="0" w:firstLine="0"/>
      </w:pPr>
      <w:r w:rsidRPr="00E87CE4">
        <w:t>Za namene odstavka 3 razmerje tako v imenovalcu kot v števcu ne vključuje kreditov in drugih finančnih sredstev, razvrščenih kot v posesti za prodajo, stanj denarnih sredstev v centralnih bankah in drugih vlog na vpogled.</w:t>
      </w:r>
    </w:p>
    <w:p w14:paraId="7BC87207" w14:textId="124F936C" w:rsidR="00A858BC" w:rsidRPr="00E87CE4" w:rsidRDefault="00A858BC" w:rsidP="00F5043B">
      <w:pPr>
        <w:pStyle w:val="NumPar1"/>
        <w:tabs>
          <w:tab w:val="clear" w:pos="850"/>
          <w:tab w:val="left" w:pos="567"/>
        </w:tabs>
        <w:ind w:left="0" w:firstLine="0"/>
      </w:pPr>
      <w:r w:rsidRPr="00E87CE4">
        <w:t>Institucije začnejo z razkritjem v skladu z odstavkom 3, ko dosegajo ali presegajo 5-odstotni prag iz navedenega odstavka dve zaporedni četrtletji v štirih četrtletjih pred referenčnim datumom razkritja. Za referenčni datum prvega razkritja institucije razkrijejo zadevne informacije z uporabo predlog iz navedenega odstavka, če na navedeni referenčni datum razkritja presegajo 5-odstotni prag.</w:t>
      </w:r>
    </w:p>
    <w:p w14:paraId="53CB613D" w14:textId="11D744EC" w:rsidR="00A858BC" w:rsidRPr="00E87CE4" w:rsidRDefault="00A858BC" w:rsidP="00F5043B">
      <w:pPr>
        <w:pStyle w:val="NumPar1"/>
        <w:tabs>
          <w:tab w:val="clear" w:pos="850"/>
          <w:tab w:val="left" w:pos="567"/>
        </w:tabs>
        <w:ind w:left="0" w:firstLine="0"/>
      </w:pPr>
      <w:r w:rsidRPr="00E87CE4">
        <w:t>Institucijam ni več treba opravljati razkritij v skladu z odstavkom 3, če ne dosegajo 5-odstotnega praga tri zaporedna četrtletja v štirih četrtletjih pred referenčnim datumom razkritja.</w:t>
      </w:r>
    </w:p>
    <w:p w14:paraId="3C5E542D" w14:textId="01D8911B" w:rsidR="00496B08" w:rsidRPr="00E87CE4" w:rsidRDefault="00496B08" w:rsidP="00496B08">
      <w:pPr>
        <w:pStyle w:val="Titrearticle"/>
      </w:pPr>
      <w:r w:rsidRPr="00E87CE4">
        <w:t>Člen 9</w:t>
      </w:r>
    </w:p>
    <w:p w14:paraId="09D01539" w14:textId="77777777" w:rsidR="00A858BC" w:rsidRPr="00E87CE4" w:rsidRDefault="00A858BC" w:rsidP="00A858BC">
      <w:pPr>
        <w:pStyle w:val="Titrearticle"/>
        <w:spacing w:before="120"/>
        <w:rPr>
          <w:b/>
          <w:i w:val="0"/>
        </w:rPr>
      </w:pPr>
      <w:r w:rsidRPr="00E87CE4">
        <w:rPr>
          <w:b/>
          <w:i w:val="0"/>
        </w:rPr>
        <w:t xml:space="preserve">Razkritje uporabe tehnik za zmanjševanje kreditnega tveganja </w:t>
      </w:r>
    </w:p>
    <w:p w14:paraId="0ECADB24" w14:textId="707BAB41" w:rsidR="00A858BC" w:rsidRPr="00E87CE4" w:rsidRDefault="00A858BC" w:rsidP="00A858BC">
      <w:pPr>
        <w:rPr>
          <w:i/>
        </w:rPr>
      </w:pPr>
      <w:r w:rsidRPr="00E87CE4">
        <w:t>Institucije razkrijejo informacije iz člena 453(a) do (f) Uredbe (EU) št. 575/2013, kot sledi:</w:t>
      </w:r>
    </w:p>
    <w:p w14:paraId="1745A6BC" w14:textId="77777777" w:rsidR="00A858BC" w:rsidRPr="00E87CE4" w:rsidRDefault="00F53E64" w:rsidP="00F5043B">
      <w:pPr>
        <w:pStyle w:val="Point1letter"/>
        <w:numPr>
          <w:ilvl w:val="3"/>
          <w:numId w:val="18"/>
        </w:numPr>
        <w:tabs>
          <w:tab w:val="clear" w:pos="1417"/>
        </w:tabs>
        <w:ind w:left="567"/>
      </w:pPr>
      <w:r w:rsidRPr="00E87CE4">
        <w:t>informacije iz člena 453(a) do (e) Uredbe (EU) št. 575/2013 z uporabo razpredelnice EU CRC iz Priloge XVII k tej uredbi ter ob upoštevanju navodil iz Priloge XVIII k tej uredbi;</w:t>
      </w:r>
    </w:p>
    <w:p w14:paraId="661A25AE" w14:textId="77777777" w:rsidR="00A858BC" w:rsidRPr="00E87CE4" w:rsidRDefault="00F53E64" w:rsidP="00F5043B">
      <w:pPr>
        <w:pStyle w:val="Point1letter"/>
        <w:numPr>
          <w:ilvl w:val="3"/>
          <w:numId w:val="16"/>
        </w:numPr>
        <w:tabs>
          <w:tab w:val="clear" w:pos="1417"/>
        </w:tabs>
        <w:ind w:left="567"/>
      </w:pPr>
      <w:r w:rsidRPr="00E87CE4">
        <w:t>informacije iz člena 453(f) Uredbe (EU) št. 575/2013 z uporabo predloge EU CR3 iz Priloge XVII k tej uredbi ter ob upoštevanju navodil iz Priloge XVIII k tej uredbi.</w:t>
      </w:r>
    </w:p>
    <w:p w14:paraId="14246492" w14:textId="5365C73C" w:rsidR="000B18AB" w:rsidRPr="00E87CE4" w:rsidRDefault="000B18AB" w:rsidP="000B18AB">
      <w:pPr>
        <w:pStyle w:val="Titrearticle"/>
      </w:pPr>
      <w:r w:rsidRPr="00E87CE4">
        <w:t xml:space="preserve">Člen 10 </w:t>
      </w:r>
    </w:p>
    <w:p w14:paraId="5332FF24" w14:textId="77777777" w:rsidR="00A858BC" w:rsidRPr="00E87CE4" w:rsidRDefault="00A858BC" w:rsidP="00A858BC">
      <w:pPr>
        <w:pStyle w:val="Titrearticle"/>
        <w:spacing w:before="120"/>
        <w:rPr>
          <w:b/>
          <w:i w:val="0"/>
        </w:rPr>
      </w:pPr>
      <w:r w:rsidRPr="00E87CE4">
        <w:rPr>
          <w:b/>
          <w:i w:val="0"/>
        </w:rPr>
        <w:t>Razkritje uporabe standardiziranega pristopa</w:t>
      </w:r>
    </w:p>
    <w:p w14:paraId="6672FA91" w14:textId="105D032F" w:rsidR="00A858BC" w:rsidRPr="00E87CE4" w:rsidRDefault="00A858BC" w:rsidP="00A858BC">
      <w:r w:rsidRPr="00E87CE4">
        <w:t>Institucije, ki izračunavajo zneske tveganju prilagojenih izpostavljenosti po standardiziranem pristopu, razkrijejo informacije iz člena 444 in člena 453(g), (h) in (i) Uredbe (EU) št. 575/2013, kot sledi:</w:t>
      </w:r>
    </w:p>
    <w:p w14:paraId="64037B7E" w14:textId="77777777" w:rsidR="00A858BC" w:rsidRPr="00E87CE4" w:rsidRDefault="00F53E64" w:rsidP="00F5043B">
      <w:pPr>
        <w:pStyle w:val="Point1letter"/>
        <w:numPr>
          <w:ilvl w:val="3"/>
          <w:numId w:val="19"/>
        </w:numPr>
        <w:tabs>
          <w:tab w:val="clear" w:pos="1417"/>
        </w:tabs>
        <w:ind w:left="567"/>
      </w:pPr>
      <w:r w:rsidRPr="00E87CE4">
        <w:t>informacije iz člena 444(a) do (d) Uredbe (EU) št. 575/2013 z uporabo razpredelnice EU CRD iz Priloge XIX k tej uredbi ter ob upoštevanju navodil iz Priloge XX k tej uredbi;</w:t>
      </w:r>
    </w:p>
    <w:p w14:paraId="74A58369" w14:textId="77777777" w:rsidR="00A858BC" w:rsidRPr="00E87CE4" w:rsidRDefault="00F53E64" w:rsidP="00F5043B">
      <w:pPr>
        <w:pStyle w:val="Point1letter"/>
        <w:numPr>
          <w:ilvl w:val="3"/>
          <w:numId w:val="19"/>
        </w:numPr>
        <w:tabs>
          <w:tab w:val="clear" w:pos="1417"/>
        </w:tabs>
        <w:ind w:left="567"/>
      </w:pPr>
      <w:r w:rsidRPr="00E87CE4">
        <w:t>informacije iz člena 453(g), (h) in (i) ter člena 444(e) Uredbe (EU) št. 575/2013 z uporabo predloge EU CR4 iz Priloge XIX k tej uredbi ter ob upoštevanju navodil iz Priloge XX k tej uredbi;</w:t>
      </w:r>
    </w:p>
    <w:p w14:paraId="0CAF4FE7" w14:textId="1EE8E91B" w:rsidR="00A858BC" w:rsidRPr="00E87CE4" w:rsidRDefault="00F53E64" w:rsidP="00F5043B">
      <w:pPr>
        <w:pStyle w:val="Point1letter"/>
        <w:numPr>
          <w:ilvl w:val="3"/>
          <w:numId w:val="19"/>
        </w:numPr>
        <w:tabs>
          <w:tab w:val="clear" w:pos="1417"/>
        </w:tabs>
        <w:ind w:left="567"/>
      </w:pPr>
      <w:r w:rsidRPr="00E87CE4">
        <w:t>informacije iz člena 444(e) Uredbe (EU) št. 575/2013 z uporabo predloge EU CR5 iz Priloge XIX k tej uredbi ter ob upoštevanju navodil iz Priloge XX k tej uredbi in, za informacije o vrednostih izpostavljenosti, odbitih od kapitala, iz istega člena z uporabo predloge EU CC1 iz Priloge VII k tej uredbi ter ob upoštevanju navodil iz Priloge VIII k tej uredbi.</w:t>
      </w:r>
    </w:p>
    <w:p w14:paraId="3C991507" w14:textId="68437B83" w:rsidR="00173862" w:rsidRPr="00E87CE4" w:rsidRDefault="00173862" w:rsidP="00173862">
      <w:pPr>
        <w:pStyle w:val="Titrearticle"/>
      </w:pPr>
      <w:r w:rsidRPr="00E87CE4">
        <w:t>Člen 11</w:t>
      </w:r>
    </w:p>
    <w:p w14:paraId="57C88BA7" w14:textId="77777777" w:rsidR="00A858BC" w:rsidRPr="00E87CE4" w:rsidRDefault="00A858BC" w:rsidP="00A858BC">
      <w:pPr>
        <w:pStyle w:val="Titrearticle"/>
        <w:spacing w:before="120"/>
        <w:rPr>
          <w:b/>
          <w:i w:val="0"/>
        </w:rPr>
      </w:pPr>
      <w:r w:rsidRPr="00E87CE4">
        <w:rPr>
          <w:b/>
          <w:i w:val="0"/>
        </w:rPr>
        <w:t>Razkritje uporabe pristopa IRB za kreditno tveganje</w:t>
      </w:r>
    </w:p>
    <w:p w14:paraId="43A264E7" w14:textId="691A398D" w:rsidR="00A858BC" w:rsidRPr="00E87CE4" w:rsidRDefault="00A858BC" w:rsidP="00A858BC">
      <w:r w:rsidRPr="00E87CE4">
        <w:t>Institucije, ki izračunavajo zneske tveganju prilagojenih izpostavljenosti po pristopu IRB, razkrijejo informacije iz členov 438 in 452 ter člena 453(g) in (j) Uredbe (EU) št. 575/2013, kot sledi:</w:t>
      </w:r>
    </w:p>
    <w:p w14:paraId="4805C696" w14:textId="77777777" w:rsidR="00A858BC" w:rsidRPr="00E87CE4" w:rsidRDefault="00926007" w:rsidP="00F5043B">
      <w:pPr>
        <w:pStyle w:val="Point1letter"/>
        <w:numPr>
          <w:ilvl w:val="3"/>
          <w:numId w:val="20"/>
        </w:numPr>
        <w:tabs>
          <w:tab w:val="clear" w:pos="1417"/>
        </w:tabs>
        <w:ind w:left="567"/>
      </w:pPr>
      <w:r w:rsidRPr="00E87CE4">
        <w:t>informacije iz člena 452(a) do (f) Uredbe (EU) št. 575/2013 z uporabo razpredelnice EU CRE in predloge EU CR6-A iz Priloge XXI k tej uredbi ter ob upoštevanju navodil iz Priloge XXII k tej uredbi;</w:t>
      </w:r>
    </w:p>
    <w:p w14:paraId="20A04C13" w14:textId="703D2375" w:rsidR="00A858BC" w:rsidRPr="00E87CE4" w:rsidRDefault="00926007" w:rsidP="00F5043B">
      <w:pPr>
        <w:pStyle w:val="Point1letter"/>
        <w:numPr>
          <w:ilvl w:val="3"/>
          <w:numId w:val="19"/>
        </w:numPr>
        <w:tabs>
          <w:tab w:val="clear" w:pos="1417"/>
        </w:tabs>
        <w:ind w:left="567"/>
      </w:pPr>
      <w:r w:rsidRPr="00E87CE4">
        <w:t>informacije iz člena 452(g) Uredbe (EU) št. 575/2013 z uporabo predloge EU CR6 iz Priloge XXI k tej uredbi ter ob upoštevanju navodil iz Priloge XXII k tej uredbi;</w:t>
      </w:r>
    </w:p>
    <w:p w14:paraId="409337BD" w14:textId="76DD51C9" w:rsidR="00A858BC" w:rsidRPr="00E87CE4" w:rsidRDefault="00926007" w:rsidP="00F5043B">
      <w:pPr>
        <w:pStyle w:val="Point1letter"/>
        <w:numPr>
          <w:ilvl w:val="3"/>
          <w:numId w:val="19"/>
        </w:numPr>
        <w:tabs>
          <w:tab w:val="clear" w:pos="1417"/>
        </w:tabs>
        <w:ind w:left="567"/>
      </w:pPr>
      <w:r w:rsidRPr="00E87CE4">
        <w:t>informacije iz člena 453(g) in (j) Uredbe (EU) št. 575/2013 z uporabo predlog EU CR7-A in EU CR7 iz Priloge XXI k tej uredbi ter ob upoštevanju navodil iz Priloge XXII k tej uredbi;</w:t>
      </w:r>
    </w:p>
    <w:p w14:paraId="6ACE2865" w14:textId="096CF1B2" w:rsidR="00A858BC" w:rsidRPr="00E87CE4" w:rsidRDefault="00926007" w:rsidP="00F5043B">
      <w:pPr>
        <w:pStyle w:val="Point1letter"/>
        <w:numPr>
          <w:ilvl w:val="3"/>
          <w:numId w:val="19"/>
        </w:numPr>
        <w:tabs>
          <w:tab w:val="clear" w:pos="1417"/>
        </w:tabs>
        <w:ind w:left="567"/>
      </w:pPr>
      <w:r w:rsidRPr="00E87CE4">
        <w:t>informacije iz člena 438(h) Uredbe (EU) št. 575/2013 z uporabo predloge EU CR8 iz Priloge XXI k tej uredbi ter ob upoštevanju navodil iz Priloge XXII k tej uredbi;</w:t>
      </w:r>
    </w:p>
    <w:p w14:paraId="01F0A9A0" w14:textId="2D583FA2" w:rsidR="00A858BC" w:rsidRPr="00E87CE4" w:rsidRDefault="00926007" w:rsidP="00F5043B">
      <w:pPr>
        <w:pStyle w:val="Point1letter"/>
        <w:numPr>
          <w:ilvl w:val="3"/>
          <w:numId w:val="19"/>
        </w:numPr>
        <w:tabs>
          <w:tab w:val="clear" w:pos="1417"/>
        </w:tabs>
        <w:ind w:left="567"/>
      </w:pPr>
      <w:r w:rsidRPr="00E87CE4">
        <w:t>informacije iz člena 452(h) Uredbe (EU) št. 575/2013 z uporabo predlog EU CR9 in EU CR9.1 iz Priloge XXI k tej uredbi ter ob upoštevanju navodil iz Priloge XXII k tej uredbi.</w:t>
      </w:r>
    </w:p>
    <w:p w14:paraId="08A80737" w14:textId="3380DF94" w:rsidR="009675DD" w:rsidRPr="00E87CE4" w:rsidRDefault="009675DD" w:rsidP="009675DD">
      <w:pPr>
        <w:pStyle w:val="Titrearticle"/>
      </w:pPr>
      <w:r w:rsidRPr="00E87CE4">
        <w:t>Člen 12</w:t>
      </w:r>
    </w:p>
    <w:p w14:paraId="31298347" w14:textId="77777777" w:rsidR="00A858BC" w:rsidRPr="00E87CE4" w:rsidRDefault="00A858BC" w:rsidP="00A858BC">
      <w:pPr>
        <w:pStyle w:val="Titrearticle"/>
        <w:spacing w:before="120"/>
        <w:rPr>
          <w:b/>
          <w:i w:val="0"/>
        </w:rPr>
      </w:pPr>
      <w:r w:rsidRPr="00E87CE4">
        <w:rPr>
          <w:b/>
          <w:i w:val="0"/>
        </w:rPr>
        <w:t>Razkritje izpostavljenosti iz naslova posebnih kreditnih aranžmajev in lastniških instrumentov po pristopu enostavnih uteži tveganja</w:t>
      </w:r>
    </w:p>
    <w:p w14:paraId="209E1167" w14:textId="1F3573EF" w:rsidR="00A858BC" w:rsidRPr="00E87CE4" w:rsidRDefault="00A858BC" w:rsidP="00A858BC">
      <w:r w:rsidRPr="00E87CE4">
        <w:t>Institucije razkrijejo informacije iz člena 438(e) Uredbe (EU) št. 575/2013 z uporabo predloge EU CR10 iz Priloge XXIII k tej uredbi ter ob upoštevanju navodil iz Priloge XXIV k tej uredbi.</w:t>
      </w:r>
    </w:p>
    <w:p w14:paraId="6B0E661C" w14:textId="77777777" w:rsidR="00BF182F" w:rsidRPr="00E87CE4" w:rsidRDefault="00BF182F" w:rsidP="00BF182F">
      <w:pPr>
        <w:pStyle w:val="Titrearticle"/>
      </w:pPr>
      <w:r w:rsidRPr="00E87CE4">
        <w:t>Člen 13</w:t>
      </w:r>
    </w:p>
    <w:p w14:paraId="4275FD5E" w14:textId="77777777" w:rsidR="00A858BC" w:rsidRPr="00E87CE4" w:rsidRDefault="00A858BC" w:rsidP="00A858BC">
      <w:pPr>
        <w:pStyle w:val="Titrearticle"/>
        <w:spacing w:before="120"/>
        <w:rPr>
          <w:b/>
          <w:i w:val="0"/>
        </w:rPr>
      </w:pPr>
      <w:r w:rsidRPr="00E87CE4">
        <w:rPr>
          <w:b/>
          <w:i w:val="0"/>
        </w:rPr>
        <w:t>Razkritje izpostavljenosti kreditnemu tveganju nasprotne stranke</w:t>
      </w:r>
    </w:p>
    <w:p w14:paraId="4385E700" w14:textId="4D6F85B9" w:rsidR="00A858BC" w:rsidRPr="00E87CE4" w:rsidRDefault="00A858BC" w:rsidP="00A858BC">
      <w:r w:rsidRPr="00E87CE4">
        <w:t>Institucije razkrijejo informacije iz člena 438(h) in člena 439 Uredbe (EU) št. 575/2013, kot sledi:</w:t>
      </w:r>
    </w:p>
    <w:p w14:paraId="02FBBB67" w14:textId="5EEAC92A" w:rsidR="00A858BC" w:rsidRPr="00E87CE4" w:rsidRDefault="00336F4D" w:rsidP="00F5043B">
      <w:pPr>
        <w:pStyle w:val="Point1letter"/>
        <w:numPr>
          <w:ilvl w:val="3"/>
          <w:numId w:val="21"/>
        </w:numPr>
        <w:tabs>
          <w:tab w:val="clear" w:pos="1417"/>
        </w:tabs>
        <w:ind w:left="567"/>
      </w:pPr>
      <w:r w:rsidRPr="00E87CE4">
        <w:t>informacije iz člena 439(a), (b), (c) in (d) Uredbe (EU) št. 575/2013 z uporabo razpredelnice EU CCRA iz Priloge XXV k tej uredbi ter ob upoštevanju navodil iz Priloge XXVI k tej uredbi;</w:t>
      </w:r>
    </w:p>
    <w:p w14:paraId="0E510E13" w14:textId="77777777" w:rsidR="00A858BC" w:rsidRPr="00E87CE4" w:rsidRDefault="00336F4D" w:rsidP="00F5043B">
      <w:pPr>
        <w:pStyle w:val="Point1letter"/>
        <w:numPr>
          <w:ilvl w:val="3"/>
          <w:numId w:val="19"/>
        </w:numPr>
        <w:tabs>
          <w:tab w:val="clear" w:pos="1417"/>
        </w:tabs>
        <w:ind w:left="567"/>
      </w:pPr>
      <w:r w:rsidRPr="00E87CE4">
        <w:t>informacije iz člena 439(f), (g), (k) in (m) Uredbe (EU) št. 575/2013 z uporabo predloge EU CCR1 iz Priloge XXV k tej uredbi ter ob upoštevanju navodil iz Priloge XXVI k tej uredbi;</w:t>
      </w:r>
    </w:p>
    <w:p w14:paraId="5695B676" w14:textId="77777777" w:rsidR="00A858BC" w:rsidRPr="00E87CE4" w:rsidRDefault="00336F4D" w:rsidP="00F5043B">
      <w:pPr>
        <w:pStyle w:val="Point1letter"/>
        <w:numPr>
          <w:ilvl w:val="3"/>
          <w:numId w:val="19"/>
        </w:numPr>
        <w:tabs>
          <w:tab w:val="clear" w:pos="1417"/>
        </w:tabs>
        <w:ind w:left="567"/>
      </w:pPr>
      <w:r w:rsidRPr="00E87CE4">
        <w:t>informacije iz člena 439(h) Uredbe (EU) št. 575/2013 z uporabo predloge EU CCR2 iz Priloge XXV k tej uredbi ter ob upoštevanju navodil iz Priloge XXVI k tej uredbi;</w:t>
      </w:r>
    </w:p>
    <w:p w14:paraId="4885A941" w14:textId="1C7F0FE9" w:rsidR="00F31307" w:rsidRPr="00E87CE4" w:rsidRDefault="00F31307" w:rsidP="00F31307">
      <w:pPr>
        <w:pStyle w:val="Point1letter"/>
        <w:numPr>
          <w:ilvl w:val="3"/>
          <w:numId w:val="19"/>
        </w:numPr>
        <w:tabs>
          <w:tab w:val="clear" w:pos="1417"/>
        </w:tabs>
        <w:ind w:left="567"/>
      </w:pPr>
      <w:r w:rsidRPr="00E87CE4">
        <w:t>informacije iz člena 439(l) Uredbe (EU) št. 575/2013 z uporabo predlog EU CCR3 in EU CCR4 iz Priloge XXV k tej uredbi ter ob upoštevanju navodil iz Priloge XXVI k tej uredbi;</w:t>
      </w:r>
    </w:p>
    <w:p w14:paraId="4ABAFB07" w14:textId="6F3F7A8C" w:rsidR="00F31307" w:rsidRPr="00E87CE4" w:rsidRDefault="00F31307" w:rsidP="00F31307">
      <w:pPr>
        <w:pStyle w:val="Point1letter"/>
        <w:numPr>
          <w:ilvl w:val="3"/>
          <w:numId w:val="19"/>
        </w:numPr>
        <w:tabs>
          <w:tab w:val="clear" w:pos="1417"/>
        </w:tabs>
        <w:ind w:left="567"/>
      </w:pPr>
      <w:r w:rsidRPr="00E87CE4">
        <w:t>informacije iz člena 439(e) Uredbe (EU) št. 575/2013 z uporabo predloge EU CCR5 iz Priloge XXV k tej uredbi ter ob upoštevanju navodil iz Priloge XXVI k tej uredbi;</w:t>
      </w:r>
    </w:p>
    <w:p w14:paraId="023D2246" w14:textId="77777777" w:rsidR="00F31307" w:rsidRPr="00E87CE4" w:rsidRDefault="00F31307" w:rsidP="007F676F">
      <w:pPr>
        <w:pStyle w:val="Point1letter"/>
        <w:numPr>
          <w:ilvl w:val="3"/>
          <w:numId w:val="19"/>
        </w:numPr>
        <w:tabs>
          <w:tab w:val="clear" w:pos="1417"/>
        </w:tabs>
        <w:ind w:left="567"/>
      </w:pPr>
      <w:r w:rsidRPr="00E87CE4">
        <w:t>informacije iz člena 439(j) Uredbe (EU) št. 575/2013 z uporabo predloge EU CCR6 iz Priloge XXV k tej uredbi ter ob upoštevanju navodil iz Priloge XXVI k tej uredbi;</w:t>
      </w:r>
    </w:p>
    <w:p w14:paraId="7E588C07" w14:textId="0DEB1D66" w:rsidR="00262584" w:rsidRPr="00E87CE4" w:rsidRDefault="00262584" w:rsidP="00262584">
      <w:pPr>
        <w:pStyle w:val="Point1letter"/>
        <w:numPr>
          <w:ilvl w:val="3"/>
          <w:numId w:val="19"/>
        </w:numPr>
        <w:tabs>
          <w:tab w:val="clear" w:pos="1417"/>
        </w:tabs>
        <w:ind w:left="567"/>
      </w:pPr>
      <w:r w:rsidRPr="00E87CE4">
        <w:t>informacije iz člena 438(h) Uredbe (EU) št. 575/2013 z uporabo predloge EU CCR7 iz Priloge XXV k tej uredbi ter ob upoštevanju navodil iz Priloge XXVI k tej uredbi;</w:t>
      </w:r>
    </w:p>
    <w:p w14:paraId="2600D604" w14:textId="77777777" w:rsidR="00262584" w:rsidRPr="00E87CE4" w:rsidRDefault="00262584" w:rsidP="00262584">
      <w:pPr>
        <w:pStyle w:val="Point1letter"/>
        <w:numPr>
          <w:ilvl w:val="3"/>
          <w:numId w:val="19"/>
        </w:numPr>
        <w:tabs>
          <w:tab w:val="clear" w:pos="1417"/>
        </w:tabs>
        <w:ind w:left="567"/>
      </w:pPr>
      <w:r w:rsidRPr="00E87CE4">
        <w:t xml:space="preserve">informacije iz člena 439(i) Uredbe (EU) št. 575/2013 z uporabo predloge EU CCR8 iz Priloge XXV k tej uredbi ter ob upoštevanju navodil iz Priloge XXVI k tej uredbi. </w:t>
      </w:r>
    </w:p>
    <w:p w14:paraId="0C905D79" w14:textId="77777777" w:rsidR="00F91209" w:rsidRPr="00E87CE4" w:rsidRDefault="00F91209" w:rsidP="00F91209">
      <w:pPr>
        <w:pStyle w:val="Titrearticle"/>
      </w:pPr>
      <w:r w:rsidRPr="00E87CE4">
        <w:t>Člen 14</w:t>
      </w:r>
    </w:p>
    <w:p w14:paraId="195EA913" w14:textId="77777777" w:rsidR="00A858BC" w:rsidRPr="00E87CE4" w:rsidRDefault="00A858BC" w:rsidP="00A858BC">
      <w:pPr>
        <w:pStyle w:val="Titrearticle"/>
        <w:spacing w:before="120"/>
        <w:rPr>
          <w:b/>
          <w:i w:val="0"/>
        </w:rPr>
      </w:pPr>
      <w:r w:rsidRPr="00E87CE4">
        <w:rPr>
          <w:b/>
          <w:i w:val="0"/>
        </w:rPr>
        <w:t xml:space="preserve">Razkritje izpostavljenosti pozicijam v listinjenju </w:t>
      </w:r>
    </w:p>
    <w:p w14:paraId="5F8907A1" w14:textId="610CD7BF" w:rsidR="00A858BC" w:rsidRPr="00E87CE4" w:rsidRDefault="00A858BC" w:rsidP="009777B7">
      <w:r w:rsidRPr="00E87CE4">
        <w:t>Institucije razkrijejo informacije iz člena 449 Uredbe (EU) št. 575/2013, kot sledi:</w:t>
      </w:r>
    </w:p>
    <w:p w14:paraId="26F6A181" w14:textId="77777777" w:rsidR="009777B7" w:rsidRPr="00E87CE4" w:rsidRDefault="00CE62E1" w:rsidP="00F5043B">
      <w:pPr>
        <w:pStyle w:val="Point1letter"/>
        <w:numPr>
          <w:ilvl w:val="3"/>
          <w:numId w:val="22"/>
        </w:numPr>
        <w:tabs>
          <w:tab w:val="clear" w:pos="1417"/>
        </w:tabs>
        <w:ind w:left="567"/>
      </w:pPr>
      <w:r w:rsidRPr="00E87CE4">
        <w:t>informacije iz člena 449(a) do (i) Uredbe (EU) št. 575/2013 z uporabo razpredelnice EU SECA iz Priloge XXVII k tej uredbi ter ob upoštevanju navodil iz Priloge XXVIII k tej uredbi;</w:t>
      </w:r>
    </w:p>
    <w:p w14:paraId="5E9E888F" w14:textId="77777777" w:rsidR="009777B7" w:rsidRPr="00E87CE4" w:rsidRDefault="00CE62E1" w:rsidP="00F5043B">
      <w:pPr>
        <w:pStyle w:val="Point1letter"/>
        <w:numPr>
          <w:ilvl w:val="3"/>
          <w:numId w:val="22"/>
        </w:numPr>
        <w:tabs>
          <w:tab w:val="clear" w:pos="1417"/>
        </w:tabs>
        <w:ind w:left="567"/>
      </w:pPr>
      <w:r w:rsidRPr="00E87CE4">
        <w:t>informacije iz člena 449(j) Uredbe (EU) št. 575/2013 z uporabo predlog EU SEC1 in EU SEC2 iz Priloge XXVII k tej uredbi ter ob upoštevanju navodil iz Priloge XXVIII k tej uredbi;</w:t>
      </w:r>
    </w:p>
    <w:p w14:paraId="02E9C6B8" w14:textId="77777777" w:rsidR="009777B7" w:rsidRPr="00E87CE4" w:rsidRDefault="00336F4D" w:rsidP="00F5043B">
      <w:pPr>
        <w:pStyle w:val="Point1letter"/>
        <w:numPr>
          <w:ilvl w:val="3"/>
          <w:numId w:val="22"/>
        </w:numPr>
        <w:tabs>
          <w:tab w:val="clear" w:pos="1417"/>
        </w:tabs>
        <w:ind w:left="567"/>
      </w:pPr>
      <w:r w:rsidRPr="00E87CE4">
        <w:t>informacije iz člena 449(k) Uredbe (EU) št. 575/2013 z uporabo predlog EU SEC3 in EU SEC4 iz Priloge XXVII k tej uredbi ter ob upoštevanju navodil iz Priloge XXVIII k tej uredbi;</w:t>
      </w:r>
    </w:p>
    <w:p w14:paraId="5D79427B" w14:textId="0A7BBC13" w:rsidR="009777B7" w:rsidRPr="00E87CE4" w:rsidRDefault="00336F4D" w:rsidP="00F5043B">
      <w:pPr>
        <w:pStyle w:val="Point1letter"/>
        <w:numPr>
          <w:ilvl w:val="3"/>
          <w:numId w:val="22"/>
        </w:numPr>
        <w:tabs>
          <w:tab w:val="clear" w:pos="1417"/>
        </w:tabs>
        <w:ind w:left="567"/>
      </w:pPr>
      <w:r w:rsidRPr="00E87CE4">
        <w:t>informacije iz člena 449(l) Uredbe (EU) št. 575/2013 z uporabo predloge EU SEC5 iz Priloge XXVII k tej uredbi ter ob upoštevanju navodil iz Priloge XXVIII k tej uredbi.</w:t>
      </w:r>
    </w:p>
    <w:p w14:paraId="0FF84706" w14:textId="3A4DAB53" w:rsidR="00F91209" w:rsidRPr="00E87CE4" w:rsidRDefault="00F91209" w:rsidP="00F91209">
      <w:pPr>
        <w:pStyle w:val="Titrearticle"/>
      </w:pPr>
      <w:r w:rsidRPr="00E87CE4">
        <w:t>Člen 15</w:t>
      </w:r>
    </w:p>
    <w:p w14:paraId="42C96F98" w14:textId="2C104302" w:rsidR="009777B7" w:rsidRPr="00E87CE4" w:rsidRDefault="009777B7" w:rsidP="009777B7">
      <w:pPr>
        <w:pStyle w:val="Titrearticle"/>
        <w:spacing w:before="120"/>
        <w:rPr>
          <w:b/>
          <w:i w:val="0"/>
        </w:rPr>
      </w:pPr>
      <w:r w:rsidRPr="00E87CE4">
        <w:rPr>
          <w:b/>
          <w:i w:val="0"/>
        </w:rPr>
        <w:t>Razkritje uporabe standardiziranega pristopa in notranjih modelov za tržno tveganje</w:t>
      </w:r>
    </w:p>
    <w:p w14:paraId="44CAFFD2" w14:textId="1216C2A8" w:rsidR="009777B7" w:rsidRPr="00E87CE4" w:rsidRDefault="009777B7" w:rsidP="00F5043B">
      <w:pPr>
        <w:pStyle w:val="NumPar1"/>
        <w:numPr>
          <w:ilvl w:val="0"/>
          <w:numId w:val="23"/>
        </w:numPr>
        <w:tabs>
          <w:tab w:val="clear" w:pos="850"/>
          <w:tab w:val="left" w:pos="567"/>
        </w:tabs>
        <w:ind w:left="0" w:firstLine="0"/>
      </w:pPr>
      <w:r w:rsidRPr="00E87CE4">
        <w:t>Institucije razkrijejo informacije iz člena 445 Uredbe (EU) št. 575/2013 z uporabo predloge EU MR1 iz Priloge XXIX k tej uredbi ter ob upoštevanju navodil iz Priloge XXX k tej uredbi.</w:t>
      </w:r>
    </w:p>
    <w:p w14:paraId="3AC500D1" w14:textId="77777777" w:rsidR="009777B7" w:rsidRPr="00E87CE4" w:rsidRDefault="009777B7" w:rsidP="00F5043B">
      <w:pPr>
        <w:pStyle w:val="NumPar1"/>
        <w:numPr>
          <w:ilvl w:val="0"/>
          <w:numId w:val="23"/>
        </w:numPr>
        <w:tabs>
          <w:tab w:val="clear" w:pos="850"/>
          <w:tab w:val="left" w:pos="567"/>
        </w:tabs>
        <w:ind w:left="0" w:firstLine="0"/>
      </w:pPr>
      <w:r w:rsidRPr="00E87CE4">
        <w:t>Institucije razkrijejo informacije iz členov 435, 438 in 455 Uredbe (EU) št. 575/2013, kot sledi:</w:t>
      </w:r>
    </w:p>
    <w:p w14:paraId="32BD307D" w14:textId="0E366FDD" w:rsidR="009777B7" w:rsidRPr="00E87CE4" w:rsidRDefault="00CE62E1" w:rsidP="00F5043B">
      <w:pPr>
        <w:pStyle w:val="Point1letter"/>
        <w:numPr>
          <w:ilvl w:val="3"/>
          <w:numId w:val="24"/>
        </w:numPr>
        <w:tabs>
          <w:tab w:val="clear" w:pos="1417"/>
        </w:tabs>
        <w:ind w:left="567"/>
      </w:pPr>
      <w:r w:rsidRPr="00E87CE4">
        <w:t>informacije iz člena 435(1)(a) do (d) Uredbe (EU) št. 575/2013 z uporabo razpredelnice EU MRA iz Priloge XXIX k tej uredbi ter ob upoštevanju navodil iz Priloge XXX k tej uredbi;</w:t>
      </w:r>
    </w:p>
    <w:p w14:paraId="1EF9E7BB" w14:textId="77777777" w:rsidR="009777B7" w:rsidRPr="00E87CE4" w:rsidRDefault="00CE62E1" w:rsidP="00F5043B">
      <w:pPr>
        <w:pStyle w:val="Point1letter"/>
        <w:numPr>
          <w:ilvl w:val="3"/>
          <w:numId w:val="24"/>
        </w:numPr>
        <w:tabs>
          <w:tab w:val="clear" w:pos="1417"/>
        </w:tabs>
        <w:ind w:left="567"/>
      </w:pPr>
      <w:r w:rsidRPr="00E87CE4">
        <w:t>informacije iz člena 455(a), (b), (c) in (f) Uredbe (EU) št. 575/2013 z uporabo razpredelnice EU MRB iz Priloge XXIX k tej uredbi ter ob upoštevanju navodil iz Priloge XXX k tej uredbi;</w:t>
      </w:r>
    </w:p>
    <w:p w14:paraId="743BACE0" w14:textId="596E3A0A" w:rsidR="009777B7" w:rsidRPr="00E87CE4" w:rsidRDefault="00CE62E1" w:rsidP="00F5043B">
      <w:pPr>
        <w:pStyle w:val="Point1letter"/>
        <w:numPr>
          <w:ilvl w:val="3"/>
          <w:numId w:val="24"/>
        </w:numPr>
        <w:tabs>
          <w:tab w:val="clear" w:pos="1417"/>
        </w:tabs>
        <w:ind w:left="567"/>
      </w:pPr>
      <w:r w:rsidRPr="00E87CE4">
        <w:t>informacije iz člena 455(e) Uredbe (EU) št. 575/2013 z uporabo predloge EU MR2-A iz Priloge XXIX k tej uredbi ter ob upoštevanju navodil iz Priloge XXX k tej uredbi;</w:t>
      </w:r>
    </w:p>
    <w:p w14:paraId="3063F334" w14:textId="710DD9ED" w:rsidR="009777B7" w:rsidRPr="00E87CE4" w:rsidRDefault="00CE62E1" w:rsidP="00F5043B">
      <w:pPr>
        <w:pStyle w:val="Point1letter"/>
        <w:numPr>
          <w:ilvl w:val="3"/>
          <w:numId w:val="24"/>
        </w:numPr>
        <w:tabs>
          <w:tab w:val="clear" w:pos="1417"/>
        </w:tabs>
        <w:ind w:left="567"/>
      </w:pPr>
      <w:r w:rsidRPr="00E87CE4">
        <w:t>informacije v zvezi notranjimi modeli za tržno tveganje iz člena 438(h) Uredbe (EU) št. 575/2013 z uporabo predloge EU MR2-B iz Priloge XXIX k tej uredbi ter ob upoštevanju navodil iz Priloge XXX k tej uredbi;</w:t>
      </w:r>
    </w:p>
    <w:p w14:paraId="0575E60A" w14:textId="77777777" w:rsidR="009777B7" w:rsidRPr="00E87CE4" w:rsidRDefault="00CE62E1" w:rsidP="00F5043B">
      <w:pPr>
        <w:pStyle w:val="Point1letter"/>
        <w:numPr>
          <w:ilvl w:val="3"/>
          <w:numId w:val="24"/>
        </w:numPr>
        <w:tabs>
          <w:tab w:val="clear" w:pos="1417"/>
        </w:tabs>
        <w:ind w:left="567"/>
      </w:pPr>
      <w:r w:rsidRPr="00E87CE4">
        <w:t>informacije iz člena 455(d) Uredbe (EU) št. 575/2013 z uporabo predloge EU MR3 iz Priloge XXIX k tej uredbi ter ob upoštevanju navodil iz Priloge XXX k tej uredbi;</w:t>
      </w:r>
    </w:p>
    <w:p w14:paraId="1706C070" w14:textId="77777777" w:rsidR="009777B7" w:rsidRPr="00E87CE4" w:rsidRDefault="00CE62E1" w:rsidP="00F5043B">
      <w:pPr>
        <w:pStyle w:val="Point1letter"/>
        <w:numPr>
          <w:ilvl w:val="3"/>
          <w:numId w:val="24"/>
        </w:numPr>
        <w:tabs>
          <w:tab w:val="clear" w:pos="1417"/>
        </w:tabs>
        <w:ind w:left="567"/>
      </w:pPr>
      <w:r w:rsidRPr="00E87CE4">
        <w:t>informacije iz člena 455(g) Uredbe (EU) št. 575/2013 z uporabo predloge EU MR4 iz Priloge XXIX k tej uredbi ter ob upoštevanju navodil iz Priloge XXX k tej uredbi.</w:t>
      </w:r>
    </w:p>
    <w:p w14:paraId="79114201" w14:textId="28128507" w:rsidR="00F91209" w:rsidRPr="00E87CE4" w:rsidRDefault="00F91209" w:rsidP="00F91209">
      <w:pPr>
        <w:pStyle w:val="Titrearticle"/>
      </w:pPr>
      <w:r w:rsidRPr="00E87CE4">
        <w:t>Člen 16</w:t>
      </w:r>
      <w:r w:rsidRPr="00E87CE4">
        <w:fldChar w:fldCharType="begin"/>
      </w:r>
      <w:r w:rsidRPr="00E87CE4">
        <w:instrText xml:space="preserve"> seq article </w:instrText>
      </w:r>
      <w:r w:rsidRPr="00E87CE4">
        <w:fldChar w:fldCharType="end"/>
      </w:r>
    </w:p>
    <w:p w14:paraId="261E1ED8" w14:textId="77777777" w:rsidR="009777B7" w:rsidRPr="00E87CE4" w:rsidRDefault="009777B7" w:rsidP="009777B7">
      <w:pPr>
        <w:pStyle w:val="Titrearticle"/>
        <w:spacing w:before="120"/>
        <w:rPr>
          <w:b/>
          <w:i w:val="0"/>
        </w:rPr>
      </w:pPr>
      <w:r w:rsidRPr="00E87CE4">
        <w:rPr>
          <w:b/>
          <w:i w:val="0"/>
        </w:rPr>
        <w:t xml:space="preserve">Razkritje operativnega tveganja </w:t>
      </w:r>
    </w:p>
    <w:p w14:paraId="6C920F52" w14:textId="563573EB" w:rsidR="009777B7" w:rsidRPr="00E87CE4" w:rsidRDefault="009777B7" w:rsidP="009777B7">
      <w:r w:rsidRPr="00E87CE4">
        <w:t>Institucije razkrijejo informacije iz člena 435, člena 438(d) ter členov 446 in 454 Uredbe (EU) št. 575/2013 z uporabo razpredelnice EU ORA in predloge EU OR1 iz Priloge XXXI k tej uredbi ter ob upoštevanju navodil iz Priloge XXXII k tej uredbi.</w:t>
      </w:r>
    </w:p>
    <w:p w14:paraId="3A62A83D" w14:textId="5BACE9F7" w:rsidR="000C60D7" w:rsidRPr="00E87CE4" w:rsidRDefault="000C60D7" w:rsidP="000C60D7">
      <w:pPr>
        <w:pStyle w:val="Titrearticle"/>
      </w:pPr>
      <w:r w:rsidRPr="00E87CE4">
        <w:t>Člen 17</w:t>
      </w:r>
    </w:p>
    <w:p w14:paraId="75DCF1EA" w14:textId="77777777" w:rsidR="009777B7" w:rsidRPr="00E87CE4" w:rsidRDefault="009777B7" w:rsidP="009777B7">
      <w:pPr>
        <w:pStyle w:val="Titrearticle"/>
        <w:spacing w:before="120"/>
        <w:rPr>
          <w:b/>
          <w:i w:val="0"/>
        </w:rPr>
      </w:pPr>
      <w:r w:rsidRPr="00E87CE4">
        <w:rPr>
          <w:b/>
          <w:i w:val="0"/>
        </w:rPr>
        <w:t>Razkritje politike prejemkov</w:t>
      </w:r>
    </w:p>
    <w:p w14:paraId="3839A255" w14:textId="7459AA9C" w:rsidR="009777B7" w:rsidRPr="00E87CE4" w:rsidRDefault="009777B7" w:rsidP="009777B7">
      <w:pPr>
        <w:pStyle w:val="Titrearticle"/>
        <w:keepNext w:val="0"/>
        <w:tabs>
          <w:tab w:val="center" w:pos="4390"/>
        </w:tabs>
        <w:jc w:val="both"/>
        <w:rPr>
          <w:i w:val="0"/>
        </w:rPr>
      </w:pPr>
      <w:r w:rsidRPr="00E87CE4">
        <w:rPr>
          <w:i w:val="0"/>
        </w:rPr>
        <w:t>Institucije razkrijejo informacije iz člena 450 Uredbe (EU) št. 575/2013, kot sledi:</w:t>
      </w:r>
    </w:p>
    <w:p w14:paraId="16156854" w14:textId="4C5CA171" w:rsidR="009777B7" w:rsidRPr="00E87CE4" w:rsidRDefault="00922950" w:rsidP="006A7F00">
      <w:pPr>
        <w:pStyle w:val="Point1letter"/>
        <w:numPr>
          <w:ilvl w:val="3"/>
          <w:numId w:val="25"/>
        </w:numPr>
        <w:tabs>
          <w:tab w:val="clear" w:pos="1417"/>
        </w:tabs>
        <w:ind w:left="567"/>
      </w:pPr>
      <w:r w:rsidRPr="00E87CE4">
        <w:t>informacije iz člena 450(1)(a) do (f), (j) in (k) ter informacije iz člena 450(2) navedene uredbe z uporabo razpredelnice EU REMA iz Priloge XXXIII k tej uredbi ter ob upoštevanju navodil iz Priloge XXXIV k tej uredbi;</w:t>
      </w:r>
    </w:p>
    <w:p w14:paraId="4E502300" w14:textId="605631C5" w:rsidR="009777B7" w:rsidRPr="00E87CE4" w:rsidRDefault="00922950" w:rsidP="006A7F00">
      <w:pPr>
        <w:pStyle w:val="Point1letter"/>
        <w:numPr>
          <w:ilvl w:val="3"/>
          <w:numId w:val="25"/>
        </w:numPr>
        <w:tabs>
          <w:tab w:val="clear" w:pos="1417"/>
        </w:tabs>
        <w:ind w:left="567"/>
      </w:pPr>
      <w:r w:rsidRPr="00E87CE4">
        <w:t>informacije iz člena 450(1)(h)(i) in (ii) Uredbe (EU) št. 575/2013 z uporabo predloge EU REM1 iz Priloge XXXIII k tej uredbi ter ob upoštevanju navodil iz Priloge XXXIV k tej uredbi;</w:t>
      </w:r>
    </w:p>
    <w:p w14:paraId="735B9196" w14:textId="2AFEC3DD" w:rsidR="009777B7" w:rsidRPr="00E87CE4" w:rsidRDefault="00922950" w:rsidP="006A7F00">
      <w:pPr>
        <w:pStyle w:val="Point1letter"/>
        <w:numPr>
          <w:ilvl w:val="3"/>
          <w:numId w:val="25"/>
        </w:numPr>
        <w:tabs>
          <w:tab w:val="clear" w:pos="1417"/>
        </w:tabs>
        <w:ind w:left="567"/>
      </w:pPr>
      <w:r w:rsidRPr="00E87CE4">
        <w:t>informacije iz člena 450(1)(h)(v), (vi) in (vii) Uredbe (EU) št. 575/2013 z uporabo predloge EU REM2 iz Priloge XXXIII k tej uredbi ter ob upoštevanju navodil iz Priloge XXXIV k tej uredbi;</w:t>
      </w:r>
    </w:p>
    <w:p w14:paraId="1AED187D" w14:textId="47EACA11" w:rsidR="009777B7" w:rsidRPr="00E87CE4" w:rsidRDefault="00922950" w:rsidP="006A7F00">
      <w:pPr>
        <w:pStyle w:val="Point1letter"/>
        <w:numPr>
          <w:ilvl w:val="3"/>
          <w:numId w:val="25"/>
        </w:numPr>
        <w:tabs>
          <w:tab w:val="clear" w:pos="1417"/>
        </w:tabs>
        <w:ind w:left="567"/>
      </w:pPr>
      <w:r w:rsidRPr="00E87CE4">
        <w:t>informacije iz člena 450(1)(h)(iii) in (iv) Uredbe (EU) št. 575/2013 z uporabo predloge EU REM3 iz Priloge XXXIII k tej uredbi ter ob upoštevanju navodil iz Priloge XXXIV k tej uredbi;</w:t>
      </w:r>
    </w:p>
    <w:p w14:paraId="14D12398" w14:textId="1556CB9D" w:rsidR="009777B7" w:rsidRPr="00E87CE4" w:rsidRDefault="009B4728" w:rsidP="006A7F00">
      <w:pPr>
        <w:pStyle w:val="Point1letter"/>
        <w:numPr>
          <w:ilvl w:val="3"/>
          <w:numId w:val="25"/>
        </w:numPr>
        <w:tabs>
          <w:tab w:val="clear" w:pos="1417"/>
        </w:tabs>
        <w:ind w:left="567"/>
      </w:pPr>
      <w:r w:rsidRPr="00E87CE4">
        <w:t>informacije iz člena 450(1)(g) in (i) Uredbe (EU) št. 575/2013 z uporabo predlog EU REM4 in EU REM5 iz Priloge XXXIII k tej uredbi ter ob upoštevanju navodil iz Priloge XXXIV k tej uredbi.</w:t>
      </w:r>
    </w:p>
    <w:p w14:paraId="364F29D4" w14:textId="57B2B161" w:rsidR="000C60D7" w:rsidRPr="00E87CE4" w:rsidRDefault="000C60D7" w:rsidP="006A7F00">
      <w:pPr>
        <w:pStyle w:val="Titrearticle"/>
        <w:ind w:left="567" w:hanging="567"/>
      </w:pPr>
      <w:r w:rsidRPr="00E87CE4">
        <w:t>Člen 18</w:t>
      </w:r>
    </w:p>
    <w:p w14:paraId="160478EB" w14:textId="77777777" w:rsidR="00701631" w:rsidRPr="00E87CE4" w:rsidRDefault="00701631" w:rsidP="00701631">
      <w:pPr>
        <w:pStyle w:val="Titrearticle"/>
        <w:spacing w:before="120"/>
        <w:rPr>
          <w:b/>
          <w:i w:val="0"/>
        </w:rPr>
      </w:pPr>
      <w:r w:rsidRPr="00E87CE4">
        <w:rPr>
          <w:b/>
          <w:i w:val="0"/>
        </w:rPr>
        <w:t xml:space="preserve">Razkritje obremenjenih in neobremenjenih sredstev </w:t>
      </w:r>
    </w:p>
    <w:p w14:paraId="449F8D1D" w14:textId="124DE705" w:rsidR="00701631" w:rsidRPr="00E87CE4" w:rsidRDefault="00701631" w:rsidP="006A7F00">
      <w:pPr>
        <w:spacing w:after="360"/>
      </w:pPr>
      <w:r w:rsidRPr="00E87CE4">
        <w:t>Institucije razkrijejo informacije iz člena 443 Uredbe (EU) št. 575/2013 z uporabo predlog EU AE1, EU AE2 in EU AE3 ter razpredelnice EU AE4 iz Priloge XXXV k tej uredbi ter ob upoštevanju navodil iz Priloge XXXVI k tej uredbi.</w:t>
      </w:r>
    </w:p>
    <w:p w14:paraId="14363D9F" w14:textId="77777777" w:rsidR="00701631" w:rsidRPr="00E87CE4" w:rsidRDefault="00701631" w:rsidP="00701631">
      <w:pPr>
        <w:pStyle w:val="ChapterTitle"/>
      </w:pPr>
    </w:p>
    <w:p w14:paraId="7FE6B268" w14:textId="77777777" w:rsidR="000C60D7" w:rsidRPr="00E87CE4" w:rsidRDefault="000C60D7" w:rsidP="000C60D7">
      <w:pPr>
        <w:pStyle w:val="Titrearticle"/>
      </w:pPr>
      <w:r w:rsidRPr="00E87CE4">
        <w:t>Člen 19</w:t>
      </w:r>
    </w:p>
    <w:p w14:paraId="3E8EF4AC" w14:textId="77777777" w:rsidR="00701631" w:rsidRPr="00E87CE4" w:rsidRDefault="00701631" w:rsidP="00701631">
      <w:pPr>
        <w:pStyle w:val="Titrearticle"/>
        <w:spacing w:before="120"/>
        <w:rPr>
          <w:b/>
          <w:i w:val="0"/>
        </w:rPr>
      </w:pPr>
      <w:r w:rsidRPr="00E87CE4">
        <w:rPr>
          <w:b/>
          <w:i w:val="0"/>
        </w:rPr>
        <w:t>Splošne določbe</w:t>
      </w:r>
    </w:p>
    <w:p w14:paraId="0D4D4A8C" w14:textId="665CD0FC" w:rsidR="00701631" w:rsidRPr="00E87CE4" w:rsidRDefault="008A6A1E" w:rsidP="006A7F00">
      <w:pPr>
        <w:pStyle w:val="NumPar1"/>
        <w:numPr>
          <w:ilvl w:val="0"/>
          <w:numId w:val="26"/>
        </w:numPr>
        <w:tabs>
          <w:tab w:val="clear" w:pos="850"/>
          <w:tab w:val="left" w:pos="567"/>
        </w:tabs>
        <w:ind w:left="0" w:firstLine="0"/>
      </w:pPr>
      <w:r w:rsidRPr="00E87CE4">
        <w:t>Oštevilčenje vrstic ali stolpcev se ne spremeni, če institucija opusti eno ali več razkritij v skladu s členom 432 Uredbe (EU) št. 575/2013.</w:t>
      </w:r>
    </w:p>
    <w:p w14:paraId="69318B17" w14:textId="6616639A" w:rsidR="00701631" w:rsidRPr="00E87CE4" w:rsidRDefault="00701631" w:rsidP="0015237E">
      <w:pPr>
        <w:pStyle w:val="NumPar1"/>
        <w:numPr>
          <w:ilvl w:val="0"/>
          <w:numId w:val="26"/>
        </w:numPr>
        <w:tabs>
          <w:tab w:val="clear" w:pos="850"/>
          <w:tab w:val="left" w:pos="567"/>
        </w:tabs>
        <w:ind w:left="0" w:firstLine="0"/>
      </w:pPr>
      <w:r w:rsidRPr="00E87CE4">
        <w:t>Institucije v besedilu, priloženem zadevni predlogi ali razpredelnici, jasno navedejo, katere vrstice ali stolpci niso izpolnjeni in razlog za opustitev razkritja.</w:t>
      </w:r>
    </w:p>
    <w:p w14:paraId="2CB1CDF8" w14:textId="03F7F293" w:rsidR="00701631" w:rsidRPr="00E87CE4" w:rsidRDefault="00701631" w:rsidP="006A7F00">
      <w:pPr>
        <w:pStyle w:val="NumPar1"/>
        <w:numPr>
          <w:ilvl w:val="0"/>
          <w:numId w:val="26"/>
        </w:numPr>
        <w:tabs>
          <w:tab w:val="clear" w:pos="850"/>
          <w:tab w:val="left" w:pos="567"/>
        </w:tabs>
        <w:ind w:left="0" w:firstLine="0"/>
      </w:pPr>
      <w:r w:rsidRPr="00E87CE4">
        <w:t>Informacije, ki se zahtevajo s členom 431 Uredbe (EU) št. 575/2013, so jasne in izčrpne, tako da lahko njihovi uporabniki razumejo kvantitativna razkritja, in se navedejo poleg predlog, na katere se nanašajo.</w:t>
      </w:r>
    </w:p>
    <w:p w14:paraId="3C376A0D" w14:textId="77777777" w:rsidR="00701631" w:rsidRPr="00E87CE4" w:rsidRDefault="008A6A1E" w:rsidP="006A7F00">
      <w:pPr>
        <w:pStyle w:val="NumPar1"/>
        <w:numPr>
          <w:ilvl w:val="0"/>
          <w:numId w:val="26"/>
        </w:numPr>
        <w:tabs>
          <w:tab w:val="clear" w:pos="850"/>
          <w:tab w:val="left" w:pos="567"/>
        </w:tabs>
        <w:ind w:left="0" w:firstLine="0"/>
      </w:pPr>
      <w:r w:rsidRPr="00E87CE4">
        <w:t>Numerične vrednosti se predstavijo na naslednji način:</w:t>
      </w:r>
    </w:p>
    <w:p w14:paraId="34EC4F16" w14:textId="77777777" w:rsidR="00701631" w:rsidRPr="00E87CE4" w:rsidRDefault="006A7F00" w:rsidP="006A7F00">
      <w:pPr>
        <w:pStyle w:val="Point1letter"/>
        <w:numPr>
          <w:ilvl w:val="3"/>
          <w:numId w:val="27"/>
        </w:numPr>
        <w:tabs>
          <w:tab w:val="clear" w:pos="1417"/>
        </w:tabs>
        <w:ind w:left="567"/>
      </w:pPr>
      <w:r w:rsidRPr="00E87CE4">
        <w:t>kvantitativni monetarni podatki se razkrijejo z najmanjšim ekvivalentom natančnosti na milijon enot;</w:t>
      </w:r>
    </w:p>
    <w:p w14:paraId="68A2DB14" w14:textId="77777777" w:rsidR="00701631" w:rsidRPr="00E87CE4" w:rsidRDefault="006A7F00" w:rsidP="006A7F00">
      <w:pPr>
        <w:pStyle w:val="Point1letter"/>
        <w:numPr>
          <w:ilvl w:val="3"/>
          <w:numId w:val="25"/>
        </w:numPr>
        <w:tabs>
          <w:tab w:val="clear" w:pos="1417"/>
        </w:tabs>
        <w:ind w:left="567"/>
      </w:pPr>
      <w:r w:rsidRPr="00E87CE4">
        <w:t>kvantitativni podatki, razkriti kot „odstotek“, se izrazijo na enoto z najmanjšim ekvivalentom natančnosti na štiri decimalna mesta.</w:t>
      </w:r>
    </w:p>
    <w:p w14:paraId="4ABB712C" w14:textId="23EAACA3" w:rsidR="00701631" w:rsidRPr="00E87CE4" w:rsidRDefault="007C003F" w:rsidP="006A7F00">
      <w:pPr>
        <w:pStyle w:val="NumPar1"/>
        <w:numPr>
          <w:ilvl w:val="0"/>
          <w:numId w:val="26"/>
        </w:numPr>
        <w:tabs>
          <w:tab w:val="clear" w:pos="850"/>
          <w:tab w:val="left" w:pos="567"/>
        </w:tabs>
        <w:ind w:left="0" w:firstLine="0"/>
      </w:pPr>
      <w:r w:rsidRPr="00E87CE4">
        <w:t>Institucije poleg informacij, razkritih v skladu s to uredbo, zagotovijo tudi naslednje informacije:</w:t>
      </w:r>
    </w:p>
    <w:p w14:paraId="13F175D6" w14:textId="77777777" w:rsidR="00701631" w:rsidRPr="00E87CE4" w:rsidRDefault="00701631" w:rsidP="006A7F00">
      <w:pPr>
        <w:pStyle w:val="Point1letter"/>
        <w:numPr>
          <w:ilvl w:val="3"/>
          <w:numId w:val="28"/>
        </w:numPr>
        <w:tabs>
          <w:tab w:val="clear" w:pos="1417"/>
        </w:tabs>
        <w:ind w:left="567"/>
      </w:pPr>
      <w:r w:rsidRPr="00E87CE4">
        <w:t xml:space="preserve">referenčni datum in referenčno obdobje razkritja; </w:t>
      </w:r>
    </w:p>
    <w:p w14:paraId="314245D8" w14:textId="77777777" w:rsidR="00701631" w:rsidRPr="00E87CE4" w:rsidRDefault="00701631" w:rsidP="006A7F00">
      <w:pPr>
        <w:pStyle w:val="Point1letter"/>
        <w:numPr>
          <w:ilvl w:val="3"/>
          <w:numId w:val="25"/>
        </w:numPr>
        <w:tabs>
          <w:tab w:val="clear" w:pos="1417"/>
        </w:tabs>
        <w:ind w:left="567"/>
      </w:pPr>
      <w:r w:rsidRPr="00E87CE4">
        <w:t xml:space="preserve">valuto poročanja; </w:t>
      </w:r>
    </w:p>
    <w:p w14:paraId="567E44A9" w14:textId="77777777" w:rsidR="00701631" w:rsidRPr="00E87CE4" w:rsidRDefault="00701631" w:rsidP="006A7F00">
      <w:pPr>
        <w:pStyle w:val="Point1letter"/>
        <w:numPr>
          <w:ilvl w:val="3"/>
          <w:numId w:val="25"/>
        </w:numPr>
        <w:tabs>
          <w:tab w:val="clear" w:pos="1417"/>
        </w:tabs>
        <w:ind w:left="567"/>
      </w:pPr>
      <w:r w:rsidRPr="00E87CE4">
        <w:t>ime in, kjer je relevantno, identifikator pravnih subjektov (LEI) institucije, ki opravlja razkritja;</w:t>
      </w:r>
    </w:p>
    <w:p w14:paraId="451CF564" w14:textId="77777777" w:rsidR="00701631" w:rsidRPr="00E87CE4" w:rsidRDefault="00701631" w:rsidP="006A7F00">
      <w:pPr>
        <w:pStyle w:val="Point1letter"/>
        <w:numPr>
          <w:ilvl w:val="3"/>
          <w:numId w:val="25"/>
        </w:numPr>
        <w:tabs>
          <w:tab w:val="clear" w:pos="1417"/>
        </w:tabs>
        <w:ind w:left="567"/>
      </w:pPr>
      <w:r w:rsidRPr="00E87CE4">
        <w:t>kjer je relevantno, uporabljeni računovodski standard;</w:t>
      </w:r>
    </w:p>
    <w:p w14:paraId="02FEC9AF" w14:textId="77777777" w:rsidR="00701631" w:rsidRPr="00E87CE4" w:rsidRDefault="00701631" w:rsidP="006A7F00">
      <w:pPr>
        <w:pStyle w:val="Point1letter"/>
        <w:numPr>
          <w:ilvl w:val="3"/>
          <w:numId w:val="25"/>
        </w:numPr>
        <w:tabs>
          <w:tab w:val="clear" w:pos="1417"/>
        </w:tabs>
        <w:ind w:left="567"/>
      </w:pPr>
      <w:r w:rsidRPr="00E87CE4">
        <w:t>kjer je relevantno, obseg konsolidacije.</w:t>
      </w:r>
    </w:p>
    <w:p w14:paraId="2B58C852" w14:textId="35679235" w:rsidR="00701631" w:rsidRPr="00E87CE4" w:rsidRDefault="00701631" w:rsidP="00701631">
      <w:pPr>
        <w:pStyle w:val="ChapterTitle"/>
      </w:pPr>
    </w:p>
    <w:p w14:paraId="0809B9F0" w14:textId="77777777" w:rsidR="00480310" w:rsidRPr="00E87CE4" w:rsidRDefault="00480310" w:rsidP="00480310">
      <w:pPr>
        <w:pStyle w:val="Titrearticle"/>
      </w:pPr>
      <w:r w:rsidRPr="00E87CE4">
        <w:t>Člen 20</w:t>
      </w:r>
    </w:p>
    <w:p w14:paraId="3C483BD6" w14:textId="77777777" w:rsidR="00701631" w:rsidRPr="00E87CE4" w:rsidRDefault="00701631" w:rsidP="00701631">
      <w:pPr>
        <w:pStyle w:val="Titrearticle"/>
        <w:spacing w:before="120"/>
        <w:rPr>
          <w:b/>
          <w:i w:val="0"/>
        </w:rPr>
      </w:pPr>
      <w:r w:rsidRPr="00E87CE4">
        <w:rPr>
          <w:b/>
          <w:i w:val="0"/>
        </w:rPr>
        <w:t>Razveljavitev</w:t>
      </w:r>
    </w:p>
    <w:p w14:paraId="3A2C5124" w14:textId="5C677A63" w:rsidR="00701631" w:rsidRPr="00E87CE4" w:rsidRDefault="00701631" w:rsidP="00CE5120">
      <w:r w:rsidRPr="00E87CE4">
        <w:t>Izvedbena uredba (EU) št. 1423/2013, Delegirana uredba (EU) 2015/1555, Izvedbena uredba (EU) 2016/200 in Delegirana uredba (EU) 2017/2295 se razveljavijo.</w:t>
      </w:r>
    </w:p>
    <w:p w14:paraId="5131A818" w14:textId="1E314DFE" w:rsidR="00701631" w:rsidRPr="00E87CE4" w:rsidRDefault="00701631" w:rsidP="00CE5120"/>
    <w:p w14:paraId="790A8EA3" w14:textId="08CF0E19" w:rsidR="00480310" w:rsidRPr="00E87CE4" w:rsidRDefault="00480310" w:rsidP="00480310">
      <w:pPr>
        <w:pStyle w:val="Titrearticle"/>
        <w:spacing w:before="120"/>
      </w:pPr>
      <w:r w:rsidRPr="00E87CE4">
        <w:t>Člen 21</w:t>
      </w:r>
    </w:p>
    <w:p w14:paraId="250EEEF7" w14:textId="77777777" w:rsidR="003A35E9" w:rsidRPr="00E87CE4" w:rsidRDefault="003A35E9" w:rsidP="003A35E9">
      <w:pPr>
        <w:pStyle w:val="Titrearticle"/>
        <w:spacing w:before="120"/>
        <w:rPr>
          <w:b/>
          <w:i w:val="0"/>
        </w:rPr>
      </w:pPr>
      <w:r w:rsidRPr="00E87CE4">
        <w:rPr>
          <w:b/>
          <w:i w:val="0"/>
        </w:rPr>
        <w:t>Začetek veljavnosti</w:t>
      </w:r>
    </w:p>
    <w:p w14:paraId="48F23500" w14:textId="77777777" w:rsidR="0004170D" w:rsidRPr="00E87CE4" w:rsidRDefault="0004170D" w:rsidP="009675DD">
      <w:r w:rsidRPr="00E87CE4">
        <w:t xml:space="preserve">Ta uredba začne veljati dvajseti dan po objavi v </w:t>
      </w:r>
      <w:r w:rsidRPr="00E87CE4">
        <w:rPr>
          <w:i/>
        </w:rPr>
        <w:t>Uradnem listu Evropske unije</w:t>
      </w:r>
      <w:r w:rsidRPr="00E87CE4">
        <w:t>.</w:t>
      </w:r>
    </w:p>
    <w:p w14:paraId="0EE80E7B" w14:textId="77777777" w:rsidR="00FF364B" w:rsidRPr="00E87CE4" w:rsidRDefault="00FF364B" w:rsidP="00FF364B">
      <w:r w:rsidRPr="00E87CE4">
        <w:t>Uporablja se od 28. junija 2021.</w:t>
      </w:r>
    </w:p>
    <w:p w14:paraId="7780311D" w14:textId="77777777" w:rsidR="0004170D" w:rsidRPr="00E87CE4" w:rsidRDefault="0004170D" w:rsidP="009675DD">
      <w:pPr>
        <w:pStyle w:val="Applicationdirecte"/>
      </w:pPr>
      <w:r w:rsidRPr="00E87CE4">
        <w:t>Ta uredba je v celoti zavezujoča in se neposredno uporablja v vseh državah članicah.</w:t>
      </w:r>
    </w:p>
    <w:p w14:paraId="0BE91ABA" w14:textId="3F93B4EF" w:rsidR="0004170D" w:rsidRPr="00E87CE4" w:rsidRDefault="00E87CE4" w:rsidP="00E87CE4">
      <w:pPr>
        <w:pStyle w:val="Fait"/>
      </w:pPr>
      <w:r w:rsidRPr="00E87CE4">
        <w:t>V Bruslju,</w:t>
      </w:r>
    </w:p>
    <w:p w14:paraId="08B30859" w14:textId="77777777" w:rsidR="0004170D" w:rsidRPr="00E87CE4" w:rsidRDefault="0004170D" w:rsidP="0004170D">
      <w:pPr>
        <w:pStyle w:val="Institutionquisigne"/>
      </w:pPr>
      <w:r w:rsidRPr="00E87CE4">
        <w:tab/>
        <w:t>Za Komisijo</w:t>
      </w:r>
    </w:p>
    <w:p w14:paraId="53FCF827" w14:textId="77777777" w:rsidR="00553957" w:rsidRPr="00E87CE4" w:rsidRDefault="0004170D" w:rsidP="0004170D">
      <w:pPr>
        <w:pStyle w:val="Personnequisigne"/>
      </w:pPr>
      <w:r w:rsidRPr="00E87CE4">
        <w:tab/>
        <w:t>Predsednica</w:t>
      </w:r>
    </w:p>
    <w:p w14:paraId="5753E957" w14:textId="4CF92A3E" w:rsidR="0004170D" w:rsidRPr="00E87CE4" w:rsidRDefault="00553957" w:rsidP="0004170D">
      <w:pPr>
        <w:pStyle w:val="Personnequisigne"/>
      </w:pPr>
      <w:r w:rsidRPr="00E87CE4">
        <w:tab/>
        <w:t xml:space="preserve">Ursula von der Leyen </w:t>
      </w:r>
      <w:r w:rsidRPr="00E87CE4">
        <w:br/>
      </w:r>
      <w:r w:rsidRPr="00E87CE4">
        <w:tab/>
        <w:t xml:space="preserve"> </w:t>
      </w:r>
      <w:r w:rsidRPr="00E87CE4">
        <w:br/>
      </w:r>
      <w:r w:rsidRPr="00E87CE4">
        <w:tab/>
        <w:t xml:space="preserve"> </w:t>
      </w:r>
      <w:r w:rsidRPr="00E87CE4">
        <w:br/>
        <w:t xml:space="preserve"> </w:t>
      </w:r>
      <w:r w:rsidRPr="00E87CE4">
        <w:br/>
      </w:r>
      <w:r w:rsidRPr="00E87CE4">
        <w:tab/>
      </w:r>
    </w:p>
    <w:sectPr w:rsidR="0004170D" w:rsidRPr="00E87CE4" w:rsidSect="00E87CE4">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439D9" w14:textId="77777777" w:rsidR="00D642C6" w:rsidRDefault="00D642C6" w:rsidP="0004170D">
      <w:pPr>
        <w:spacing w:before="0" w:after="0"/>
      </w:pPr>
      <w:r>
        <w:separator/>
      </w:r>
    </w:p>
  </w:endnote>
  <w:endnote w:type="continuationSeparator" w:id="0">
    <w:p w14:paraId="134D70AD" w14:textId="77777777" w:rsidR="00D642C6" w:rsidRDefault="00D642C6" w:rsidP="0004170D">
      <w:pPr>
        <w:spacing w:before="0" w:after="0"/>
      </w:pPr>
      <w:r>
        <w:continuationSeparator/>
      </w:r>
    </w:p>
  </w:endnote>
  <w:endnote w:type="continuationNotice" w:id="1">
    <w:p w14:paraId="1724D46A" w14:textId="77777777" w:rsidR="00D642C6" w:rsidRDefault="00D642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A36CE" w14:textId="5DD5EACD" w:rsidR="00E87CE4" w:rsidRPr="00E87CE4" w:rsidRDefault="00E87CE4" w:rsidP="00E87CE4">
    <w:pPr>
      <w:pStyle w:val="Footer"/>
      <w:rPr>
        <w:rFonts w:ascii="Arial" w:hAnsi="Arial" w:cs="Arial"/>
        <w:b/>
        <w:sz w:val="48"/>
      </w:rPr>
    </w:pPr>
    <w:r w:rsidRPr="00E87CE4">
      <w:rPr>
        <w:rFonts w:ascii="Arial" w:hAnsi="Arial" w:cs="Arial"/>
        <w:b/>
        <w:sz w:val="48"/>
      </w:rPr>
      <w:t>SL</w:t>
    </w:r>
    <w:r w:rsidRPr="00E87CE4">
      <w:rPr>
        <w:rFonts w:ascii="Arial" w:hAnsi="Arial" w:cs="Arial"/>
        <w:b/>
        <w:sz w:val="48"/>
      </w:rPr>
      <w:tab/>
    </w:r>
    <w:r w:rsidRPr="00E87CE4">
      <w:rPr>
        <w:rFonts w:ascii="Arial" w:hAnsi="Arial" w:cs="Arial"/>
        <w:b/>
        <w:sz w:val="48"/>
      </w:rPr>
      <w:tab/>
    </w:r>
    <w:r w:rsidRPr="00E87CE4">
      <w:tab/>
    </w:r>
    <w:r w:rsidRPr="00E87CE4">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E9FFA" w14:textId="19F12BE1" w:rsidR="00E87CE4" w:rsidRPr="00E87CE4" w:rsidRDefault="00E87CE4" w:rsidP="00E87CE4">
    <w:pPr>
      <w:pStyle w:val="Footer"/>
      <w:rPr>
        <w:rFonts w:ascii="Arial" w:hAnsi="Arial" w:cs="Arial"/>
        <w:b/>
        <w:sz w:val="48"/>
      </w:rPr>
    </w:pPr>
    <w:r w:rsidRPr="00E87CE4">
      <w:rPr>
        <w:rFonts w:ascii="Arial" w:hAnsi="Arial" w:cs="Arial"/>
        <w:b/>
        <w:sz w:val="48"/>
      </w:rPr>
      <w:t>SL</w:t>
    </w:r>
    <w:r w:rsidRPr="00E87CE4">
      <w:rPr>
        <w:rFonts w:ascii="Arial" w:hAnsi="Arial" w:cs="Arial"/>
        <w:b/>
        <w:sz w:val="48"/>
      </w:rPr>
      <w:tab/>
    </w:r>
    <w:r>
      <w:fldChar w:fldCharType="begin"/>
    </w:r>
    <w:r>
      <w:instrText xml:space="preserve"> PAGE  \* MERGEFORMAT </w:instrText>
    </w:r>
    <w:r>
      <w:fldChar w:fldCharType="separate"/>
    </w:r>
    <w:r w:rsidR="001B507A">
      <w:rPr>
        <w:noProof/>
      </w:rPr>
      <w:t>1</w:t>
    </w:r>
    <w:r>
      <w:fldChar w:fldCharType="end"/>
    </w:r>
    <w:r>
      <w:tab/>
    </w:r>
    <w:r w:rsidRPr="00E87CE4">
      <w:tab/>
    </w:r>
    <w:r w:rsidRPr="00E87CE4">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198F9" w14:textId="77777777" w:rsidR="00E87CE4" w:rsidRPr="00E87CE4" w:rsidRDefault="00E87CE4" w:rsidP="00E87C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2F737" w14:textId="77777777" w:rsidR="00D642C6" w:rsidRDefault="00D642C6" w:rsidP="0004170D">
      <w:pPr>
        <w:spacing w:before="0" w:after="0"/>
      </w:pPr>
      <w:r>
        <w:separator/>
      </w:r>
    </w:p>
  </w:footnote>
  <w:footnote w:type="continuationSeparator" w:id="0">
    <w:p w14:paraId="749DF679" w14:textId="77777777" w:rsidR="00D642C6" w:rsidRDefault="00D642C6" w:rsidP="0004170D">
      <w:pPr>
        <w:spacing w:before="0" w:after="0"/>
      </w:pPr>
      <w:r>
        <w:continuationSeparator/>
      </w:r>
    </w:p>
  </w:footnote>
  <w:footnote w:type="continuationNotice" w:id="1">
    <w:p w14:paraId="4A2CD802" w14:textId="77777777" w:rsidR="00D642C6" w:rsidRDefault="00D642C6">
      <w:pPr>
        <w:spacing w:before="0" w:after="0"/>
      </w:pPr>
    </w:p>
  </w:footnote>
  <w:footnote w:id="2">
    <w:p w14:paraId="342936E7" w14:textId="77777777" w:rsidR="00D642C6" w:rsidRPr="005823FE" w:rsidRDefault="00D642C6" w:rsidP="00195285">
      <w:pPr>
        <w:pStyle w:val="FootnoteText"/>
        <w:ind w:left="567" w:hanging="567"/>
      </w:pPr>
      <w:r>
        <w:rPr>
          <w:rStyle w:val="FootnoteReference"/>
        </w:rPr>
        <w:footnoteRef/>
      </w:r>
      <w:r>
        <w:tab/>
        <w:t>UL L 176, 27.6.2013, str. 1.</w:t>
      </w:r>
    </w:p>
  </w:footnote>
  <w:footnote w:id="3">
    <w:p w14:paraId="0882B9E0" w14:textId="0727DECC" w:rsidR="00D642C6" w:rsidRPr="003460F1" w:rsidRDefault="00D642C6" w:rsidP="00A72EF0">
      <w:pPr>
        <w:pStyle w:val="FootnoteText"/>
        <w:ind w:left="567" w:hanging="567"/>
      </w:pPr>
      <w:r>
        <w:rPr>
          <w:rStyle w:val="FootnoteReference"/>
        </w:rPr>
        <w:footnoteRef/>
      </w:r>
      <w:r>
        <w:tab/>
        <w:t xml:space="preserve">Baselski odbor za bančni nadzor Banke za mednarodne poravnave, zahteve glede razkritij po standardih DIS, december 2019. </w:t>
      </w:r>
    </w:p>
  </w:footnote>
  <w:footnote w:id="4">
    <w:p w14:paraId="13EE838B" w14:textId="394F43A6" w:rsidR="00D642C6" w:rsidRPr="00A72EF0" w:rsidRDefault="004328FB" w:rsidP="00A72EF0">
      <w:pPr>
        <w:pStyle w:val="FootnoteText"/>
        <w:ind w:left="567" w:hanging="567"/>
        <w:rPr>
          <w:rStyle w:val="FootnoteReference"/>
          <w:vertAlign w:val="baseline"/>
        </w:rPr>
      </w:pPr>
      <w:r>
        <w:rPr>
          <w:rStyle w:val="FootnoteReference"/>
        </w:rPr>
        <w:footnoteRef/>
      </w:r>
      <w:r>
        <w:tab/>
        <w:t>Uredba (EU) št. 575/2013 Evropskega parlamenta in Sveta z dne 26. junija 2013 o bonitetnih zahtevah za kreditne institucije in investicijska podjetja ter o spremembi Uredbe (EU) št. 648/2012 (</w:t>
      </w:r>
      <w:hyperlink r:id="rId1" w:history="1">
        <w:r>
          <w:rPr>
            <w:rStyle w:val="Hyperlink"/>
          </w:rPr>
          <w:t>UL L 176, 27.6.2013, str. 1</w:t>
        </w:r>
      </w:hyperlink>
      <w:r>
        <w:t>).</w:t>
      </w:r>
    </w:p>
  </w:footnote>
  <w:footnote w:id="5">
    <w:p w14:paraId="40392A66" w14:textId="77777777" w:rsidR="00D642C6" w:rsidRPr="00587191" w:rsidRDefault="00D642C6" w:rsidP="00A72EF0">
      <w:pPr>
        <w:pStyle w:val="FootnoteText"/>
        <w:ind w:left="567" w:hanging="567"/>
      </w:pPr>
      <w:r>
        <w:rPr>
          <w:rStyle w:val="FootnoteReference"/>
        </w:rPr>
        <w:footnoteRef/>
      </w:r>
      <w:r>
        <w:tab/>
        <w:t>Izvedbena uredba Komisije (EU) št. 1423/2013 z dne 20. decembra 2013 o določitvi izvedbenih tehničnih standardov glede zahtev po razkritju o kapitalu za institucije v skladu z Uredbo (EU) št. 575/2013 Evropskega parlamenta in Sveta (UL L 355, 31.12.2013, str. 60).</w:t>
      </w:r>
    </w:p>
  </w:footnote>
  <w:footnote w:id="6">
    <w:p w14:paraId="6C1C6468" w14:textId="77777777" w:rsidR="00D642C6" w:rsidRPr="005823FE" w:rsidRDefault="00D642C6" w:rsidP="00A72EF0">
      <w:pPr>
        <w:pStyle w:val="FootnoteText"/>
        <w:ind w:left="567" w:hanging="567"/>
      </w:pPr>
      <w:r>
        <w:rPr>
          <w:rStyle w:val="FootnoteReference"/>
        </w:rPr>
        <w:footnoteRef/>
      </w:r>
      <w:r>
        <w:tab/>
        <w:t>Delegirana uredba Komisije (EU) 2015/1555 z dne 28. maja 2015 o dopolnitvi Uredbe (EU) št. 575/2013 Evropskega parlamenta in Sveta glede regulativnih tehničnih standardov za razkritje informacij v zvezi s skladnostjo institucij z zahtevo za proticikličen kapitalski blažilnik v skladu s členom 440 (UL L 244, 19.9.2015, str. 1).</w:t>
      </w:r>
    </w:p>
  </w:footnote>
  <w:footnote w:id="7">
    <w:p w14:paraId="1844C7BE" w14:textId="77777777" w:rsidR="00D642C6" w:rsidRPr="005823FE" w:rsidRDefault="00D642C6" w:rsidP="00A72EF0">
      <w:pPr>
        <w:pStyle w:val="FootnoteText"/>
        <w:ind w:left="567" w:hanging="567"/>
      </w:pPr>
      <w:r>
        <w:rPr>
          <w:rStyle w:val="FootnoteReference"/>
        </w:rPr>
        <w:footnoteRef/>
      </w:r>
      <w:r>
        <w:tab/>
        <w:t>Izvedbena uredba Komisije (EU) 2016/200 z dne 15. februarja 2016 o določitvi izvedbenih tehničnih standardov glede razkritja količnika finančnega vzvoda za institucije v skladu z Uredbo (EU) št. 575/2013 Evropskega parlamenta in Sveta (UL L 39, 16.2.2016, str. 5).</w:t>
      </w:r>
    </w:p>
  </w:footnote>
  <w:footnote w:id="8">
    <w:p w14:paraId="21AF9579" w14:textId="77777777" w:rsidR="00D642C6" w:rsidRPr="005823FE" w:rsidRDefault="00D642C6" w:rsidP="00A72EF0">
      <w:pPr>
        <w:pStyle w:val="FootnoteText"/>
        <w:ind w:left="567" w:hanging="567"/>
      </w:pPr>
      <w:r>
        <w:rPr>
          <w:rStyle w:val="FootnoteReference"/>
        </w:rPr>
        <w:footnoteRef/>
      </w:r>
      <w:r>
        <w:tab/>
        <w:t>Delegirana uredba Komisije (EU) 2017/2295 z dne 4. septembra 2017 o dopolnitvi Uredbe (EU) št. 575/2013 Evropskega parlamenta in Sveta v zvezi z regulativnimi tehničnimi standardi za razkritje obremenjenih in neobremenjenih sredstev (UL L 329, 13.12.2017, str. 6).</w:t>
      </w:r>
    </w:p>
  </w:footnote>
  <w:footnote w:id="9">
    <w:p w14:paraId="68060770" w14:textId="1ABE36E0" w:rsidR="00D642C6" w:rsidRPr="00A72EF0" w:rsidRDefault="00D642C6" w:rsidP="00967C75">
      <w:pPr>
        <w:pStyle w:val="FootnoteText"/>
        <w:ind w:left="567" w:hanging="567"/>
      </w:pPr>
      <w:r>
        <w:rPr>
          <w:rStyle w:val="FootnoteReference"/>
        </w:rPr>
        <w:footnoteRef/>
      </w:r>
      <w:r>
        <w:tab/>
        <w:t>Smernice EBA/GL/2018/10 Evropskega bančnega organa z dne 17. decembra 2018 o razkrivanju nedonosnih in restrukturiranih izpostavljenosti.</w:t>
      </w:r>
    </w:p>
  </w:footnote>
  <w:footnote w:id="10">
    <w:p w14:paraId="4A5854A4" w14:textId="5C50A76E" w:rsidR="00D642C6" w:rsidRPr="00587191" w:rsidRDefault="00D642C6" w:rsidP="00195285">
      <w:pPr>
        <w:pStyle w:val="FootnoteText"/>
        <w:ind w:left="567" w:hanging="567"/>
      </w:pPr>
      <w:r>
        <w:rPr>
          <w:rStyle w:val="FootnoteReference"/>
        </w:rPr>
        <w:footnoteRef/>
      </w:r>
      <w:r>
        <w:tab/>
        <w:t>Uredba (EU) 2017/2401 Evropskega parlamenta in Sveta z dne 12. decembra 2017 o spremembi Uredbe (EU) št. 575/2013 o bonitetnih zahtevah za kreditne institucije in investicijska podjetja (UL L 347, 28.12.2017, str. 1).</w:t>
      </w:r>
    </w:p>
  </w:footnote>
  <w:footnote w:id="11">
    <w:p w14:paraId="39B3E235" w14:textId="2597E55D" w:rsidR="00D642C6" w:rsidRPr="00587191" w:rsidRDefault="00D642C6" w:rsidP="00195285">
      <w:pPr>
        <w:pStyle w:val="FootnoteText"/>
        <w:ind w:left="567" w:hanging="567"/>
      </w:pPr>
      <w:r>
        <w:rPr>
          <w:rStyle w:val="FootnoteReference"/>
        </w:rPr>
        <w:footnoteRef/>
      </w:r>
      <w:r>
        <w:tab/>
      </w:r>
      <w:r>
        <w:rPr>
          <w:shd w:val="clear" w:color="auto" w:fill="FFFFFF"/>
        </w:rPr>
        <w:t>Uredba (EU) 2017/2402 Evropskega parlamenta in Sveta z dne 12. decembra 2017 o določitvi splošnega okvira za listinjenje in o vzpostavitvi posebnega okvira za enostavno, pregledno in standardizirano listinjenje ter o spremembah direktiv 2009/65/ES, 2009/138/ES in 2011/61/EU ter uredb (ES) št. 1060/2009 in (EU) št. 648/2012 (</w:t>
      </w:r>
      <w:r>
        <w:t>UL L 347, 28.12.2017, str. 35)</w:t>
      </w:r>
      <w:r>
        <w:rPr>
          <w:shd w:val="clear" w:color="auto" w:fill="FFFFFF"/>
        </w:rPr>
        <w:t>.</w:t>
      </w:r>
    </w:p>
  </w:footnote>
  <w:footnote w:id="12">
    <w:p w14:paraId="44F9E1CC" w14:textId="0E4BE9E6" w:rsidR="00D642C6" w:rsidRPr="00587191" w:rsidRDefault="00D642C6" w:rsidP="00195285">
      <w:pPr>
        <w:pStyle w:val="FootnoteText"/>
        <w:ind w:left="567" w:hanging="567"/>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15.12.2010, str.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attachedTemplate r:id="rId1"/>
  <w:defaultTabStop w:val="720"/>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2-26 11:41:3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A1D0B46A-F30A-4D49-8DBB-FB7980C800FA"/>
    <w:docVar w:name="LW_COVERPAGE_TYPE" w:val="1"/>
    <w:docVar w:name="LW_CROSSREFERENCE" w:val="&lt;UNUSED&gt;"/>
    <w:docVar w:name="LW_DATE.ADOPT.CP" w:val="z dne XXX"/>
    <w:docVar w:name="LW_DATE.ADOPT.CP_DATEFORMAT" w:val="z dne %DATE%"/>
    <w:docVar w:name="LW_DATE.ADOPT.CP_ISODATE" w:val="&lt;EMPTY&gt;"/>
    <w:docVar w:name="LW_DocType" w:val="COM"/>
    <w:docVar w:name="LW_EMISSION" w:val="&lt;EMPTY&gt;"/>
    <w:docVar w:name="LW_EMISSION_ISODATE" w:val="&lt;EMPTY&gt;"/>
    <w:docVar w:name="LW_EMISSION_LOCATION" w:val="BRX"/>
    <w:docVar w:name="LW_EMISSION_PREFIX" w:val="Bruselj, "/>
    <w:docVar w:name="LW_EMISSION_SUFFIX" w:val="&lt;EMPTY&gt;"/>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dolo\u269?itvi izvedbenih tehni\u269?nih standardov v zvezi z javnim razkritjem informacij iz naslovov II in III dela 8 Uredbe (EU) \u353?t. 575/2013 Evropskega parlamenta in Sveta s strani institucij ter o razveljavitvi Izvedbene uredbe Komisije (EU) \u353?t. 1423/2013, Delegirane uredbe Komisije (EU) 2015/1555, Izvedbene uredbe Komisije (EU) 2016/200 in Delegirane uredbe Komisije (EU) 2017/2295 _x000b_ _x000b_"/>
    <w:docVar w:name="LW_TYPE.DOC.CP" w:val="IZVEDBENA UREDBA KOMISIJE (EU) \u8230?/\u8230?"/>
  </w:docVars>
  <w:rsids>
    <w:rsidRoot w:val="0004170D"/>
    <w:rsid w:val="0000233F"/>
    <w:rsid w:val="00010CC7"/>
    <w:rsid w:val="0002231C"/>
    <w:rsid w:val="00023622"/>
    <w:rsid w:val="000302BA"/>
    <w:rsid w:val="00036497"/>
    <w:rsid w:val="0004170D"/>
    <w:rsid w:val="000530A8"/>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569E"/>
    <w:rsid w:val="00151336"/>
    <w:rsid w:val="0015237E"/>
    <w:rsid w:val="001612FE"/>
    <w:rsid w:val="00164D08"/>
    <w:rsid w:val="00167DBD"/>
    <w:rsid w:val="00173862"/>
    <w:rsid w:val="00175820"/>
    <w:rsid w:val="00183568"/>
    <w:rsid w:val="00184CD1"/>
    <w:rsid w:val="00190EC6"/>
    <w:rsid w:val="00194CD4"/>
    <w:rsid w:val="00195285"/>
    <w:rsid w:val="001B507A"/>
    <w:rsid w:val="001D579B"/>
    <w:rsid w:val="001D5E4E"/>
    <w:rsid w:val="0020373E"/>
    <w:rsid w:val="00204CA9"/>
    <w:rsid w:val="00223E6D"/>
    <w:rsid w:val="00254B69"/>
    <w:rsid w:val="002554D0"/>
    <w:rsid w:val="00257DE9"/>
    <w:rsid w:val="00262584"/>
    <w:rsid w:val="00292A0A"/>
    <w:rsid w:val="002933BD"/>
    <w:rsid w:val="00296DB6"/>
    <w:rsid w:val="002A6E84"/>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3B67"/>
    <w:rsid w:val="00496B08"/>
    <w:rsid w:val="00497414"/>
    <w:rsid w:val="004A1CDB"/>
    <w:rsid w:val="004A255E"/>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F2549"/>
    <w:rsid w:val="005F490A"/>
    <w:rsid w:val="005F7F66"/>
    <w:rsid w:val="00625AFA"/>
    <w:rsid w:val="0063239A"/>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EB"/>
    <w:rsid w:val="00732B32"/>
    <w:rsid w:val="00733C95"/>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3263C"/>
    <w:rsid w:val="00A518E0"/>
    <w:rsid w:val="00A5494A"/>
    <w:rsid w:val="00A70AF9"/>
    <w:rsid w:val="00A72EF0"/>
    <w:rsid w:val="00A762FD"/>
    <w:rsid w:val="00A84A3E"/>
    <w:rsid w:val="00A858BC"/>
    <w:rsid w:val="00A91F18"/>
    <w:rsid w:val="00AB786E"/>
    <w:rsid w:val="00AD027A"/>
    <w:rsid w:val="00AD58EF"/>
    <w:rsid w:val="00AE2C32"/>
    <w:rsid w:val="00AE3F40"/>
    <w:rsid w:val="00AE6C16"/>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7BED"/>
    <w:rsid w:val="00C5099A"/>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76705"/>
    <w:rsid w:val="00E76D3F"/>
    <w:rsid w:val="00E8665C"/>
    <w:rsid w:val="00E87CE4"/>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9E3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sl-SI"/>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sl-SI"/>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sl-SI"/>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sl-SI"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sl-SI"/>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sl-SI"/>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L/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50F1A-1F5B-411F-8229-12F578E5F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3723</Words>
  <Characters>19468</Characters>
  <Application>Microsoft Office Word</Application>
  <DocSecurity>0</DocSecurity>
  <Lines>371</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2021-02-26T10:41:00Z</dcterms:created>
  <dcterms:modified xsi:type="dcterms:W3CDTF">2021-02-26T10:41:00Z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