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4A6D7" w14:textId="7EDC7629" w:rsidR="00C36E0D" w:rsidRPr="00471580" w:rsidRDefault="00B82927" w:rsidP="00471580">
      <w:pPr>
        <w:pStyle w:val="Pagedecouverture"/>
      </w:pPr>
      <w:bookmarkStart w:id="0" w:name="_GoBack"/>
      <w:bookmarkEnd w:id="0"/>
      <w:r>
        <w:pict w14:anchorId="5F02CF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D76E6EF8-400D-4AAC-833A-33D792FCED3A" style="width:450.75pt;height:463.5pt">
            <v:imagedata r:id="rId8" o:title=""/>
          </v:shape>
        </w:pict>
      </w:r>
    </w:p>
    <w:p w14:paraId="46614711" w14:textId="77777777" w:rsidR="0004170D" w:rsidRPr="00471580" w:rsidRDefault="0004170D">
      <w:pPr>
        <w:sectPr w:rsidR="0004170D" w:rsidRPr="00471580" w:rsidSect="00145423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F04386" w14:textId="054DB0F1" w:rsidR="0004170D" w:rsidRPr="00471580" w:rsidRDefault="00471580" w:rsidP="00471580">
      <w:pPr>
        <w:pStyle w:val="Typedudocument"/>
      </w:pPr>
      <w:r w:rsidRPr="00471580">
        <w:lastRenderedPageBreak/>
        <w:t>PROVÁDĚCÍ NAŘÍZENÍ KOMISE (EU) …/...</w:t>
      </w:r>
    </w:p>
    <w:p w14:paraId="485B382E" w14:textId="1440C749" w:rsidR="0004170D" w:rsidRPr="00471580" w:rsidRDefault="00471580" w:rsidP="00471580">
      <w:pPr>
        <w:pStyle w:val="Datedadoption"/>
      </w:pPr>
      <w:r w:rsidRPr="00471580">
        <w:t xml:space="preserve">ze dne </w:t>
      </w:r>
      <w:r w:rsidRPr="00471580">
        <w:rPr>
          <w:rStyle w:val="Marker2"/>
        </w:rPr>
        <w:t>XXX</w:t>
      </w:r>
      <w:r w:rsidRPr="00471580">
        <w:t>,</w:t>
      </w:r>
    </w:p>
    <w:p w14:paraId="6E872801" w14:textId="5019F52F" w:rsidR="0004170D" w:rsidRPr="00471580" w:rsidRDefault="00471580" w:rsidP="00471580">
      <w:pPr>
        <w:pStyle w:val="Titreobjet"/>
      </w:pPr>
      <w:r w:rsidRPr="00471580">
        <w:t>kterým se stanoví prováděcí technické normy, pokud jde o způsob, jakým instituce zveřejňují informace uvedené v části osmé hlavách II a III nařízení Evropského parlamentu a Rady (EU) č. 575/2013, a zrušuje prováděcí nařízení Komise (EU) č. 1423/2013, nařízení Komise v přenesené pravomoci (EU) 2015/1555, prováděcí nařízení Komise (EU) 2016/200 a nařízení Komise v přenesené pravomoci (EU) 2017/2295</w:t>
      </w:r>
      <w:r w:rsidRPr="00471580">
        <w:br/>
      </w:r>
      <w:r w:rsidRPr="00471580">
        <w:br/>
      </w:r>
    </w:p>
    <w:p w14:paraId="5216B2C3" w14:textId="40727D70" w:rsidR="0004170D" w:rsidRPr="00471580" w:rsidRDefault="00471580" w:rsidP="00471580">
      <w:pPr>
        <w:pStyle w:val="IntrtEEE"/>
      </w:pPr>
      <w:r w:rsidRPr="00471580">
        <w:t>(Text s významem pro EHP)</w:t>
      </w:r>
    </w:p>
    <w:p w14:paraId="4BD4BB2E" w14:textId="77777777" w:rsidR="0004170D" w:rsidRPr="00471580" w:rsidRDefault="0004170D" w:rsidP="009675DD">
      <w:pPr>
        <w:pStyle w:val="Institutionquiagit"/>
      </w:pPr>
      <w:r w:rsidRPr="00471580">
        <w:t>EVROPSKÁ KOMISE,</w:t>
      </w:r>
    </w:p>
    <w:p w14:paraId="3B1DB378" w14:textId="77777777" w:rsidR="0004170D" w:rsidRPr="00471580" w:rsidRDefault="0004170D" w:rsidP="009675DD">
      <w:r w:rsidRPr="00471580">
        <w:rPr>
          <w:color w:val="000000"/>
        </w:rPr>
        <w:t>s ohledem na Smlouvu o fungování Evropské unie</w:t>
      </w:r>
      <w:r w:rsidRPr="00471580">
        <w:t>,</w:t>
      </w:r>
    </w:p>
    <w:p w14:paraId="7D7AE1AD" w14:textId="77777777" w:rsidR="0004170D" w:rsidRPr="00471580" w:rsidRDefault="007E66A7" w:rsidP="009675DD">
      <w:r w:rsidRPr="00471580">
        <w:t xml:space="preserve">s ohledem na nařízení Evropského parlamentu a Rady (EU) č. 575/2013 ze dne </w:t>
      </w:r>
      <w:r w:rsidRPr="00471580">
        <w:rPr>
          <w:color w:val="000000"/>
        </w:rPr>
        <w:t>26. června 2013</w:t>
      </w:r>
      <w:r w:rsidRPr="00471580">
        <w:t xml:space="preserve"> o obezřetnostních požadavcích na úvěrové instituce a investiční podniky a o změně nařízení (EU) č. 648/2012</w:t>
      </w:r>
      <w:r w:rsidRPr="00471580">
        <w:rPr>
          <w:rStyle w:val="FootnoteReference"/>
        </w:rPr>
        <w:footnoteReference w:id="2"/>
      </w:r>
      <w:r w:rsidRPr="00471580">
        <w:t>, a zejména na článek 434a uvedeného nařízení,</w:t>
      </w:r>
    </w:p>
    <w:p w14:paraId="6E3096F1" w14:textId="77777777" w:rsidR="0004170D" w:rsidRPr="00471580" w:rsidRDefault="0004170D" w:rsidP="009675DD">
      <w:r w:rsidRPr="00471580">
        <w:t>vzhledem k těmto důvodům:</w:t>
      </w:r>
    </w:p>
    <w:p w14:paraId="1025300A" w14:textId="34C35C6C" w:rsidR="0094247F" w:rsidRPr="00471580" w:rsidRDefault="0094247F" w:rsidP="00C2487C">
      <w:pPr>
        <w:pStyle w:val="Considrant"/>
        <w:numPr>
          <w:ilvl w:val="0"/>
          <w:numId w:val="11"/>
        </w:numPr>
      </w:pPr>
      <w:r w:rsidRPr="00471580">
        <w:t>Basilejský výbor pro bankovní dohled v prosinci 2019 zveřejnil konsolidovaný rámec Basel, včetně aktualizovaných požadavků na zveřejňování informací v rámci pilíře 3</w:t>
      </w:r>
      <w:r w:rsidRPr="00471580">
        <w:rPr>
          <w:rStyle w:val="FootnoteReference"/>
          <w:szCs w:val="24"/>
        </w:rPr>
        <w:footnoteReference w:id="3"/>
      </w:r>
      <w:r w:rsidRPr="00471580">
        <w:t>, z nichž většina byla do nařízení (EU) 575/2013 zavedena nařízením Evropského parlamentu a Rady (EU) 2019/876</w:t>
      </w:r>
      <w:r w:rsidRPr="00471580">
        <w:rPr>
          <w:rStyle w:val="FootnoteReference"/>
          <w:szCs w:val="24"/>
        </w:rPr>
        <w:footnoteReference w:id="4"/>
      </w:r>
      <w:r w:rsidRPr="00471580">
        <w:t>. Za účelem provedení těchto změn by měl být stanoven jednotný a ucelený rámec pro zveřejňování informací v rámci pilíře 3.</w:t>
      </w:r>
    </w:p>
    <w:p w14:paraId="7DB0B204" w14:textId="2AD37D2A" w:rsidR="007E66A7" w:rsidRPr="00471580" w:rsidRDefault="00442C93" w:rsidP="00F5043B">
      <w:pPr>
        <w:pStyle w:val="Considrant"/>
        <w:rPr>
          <w:sz w:val="22"/>
        </w:rPr>
      </w:pPr>
      <w:r w:rsidRPr="00471580">
        <w:t>Prováděcí nařízení Komise (EU) č. 1423/2013</w:t>
      </w:r>
      <w:r w:rsidR="005823FE" w:rsidRPr="00471580">
        <w:rPr>
          <w:rStyle w:val="FootnoteReference"/>
        </w:rPr>
        <w:footnoteReference w:id="5"/>
      </w:r>
      <w:r w:rsidRPr="00471580">
        <w:t>, nařízení Komise v přenesené pravomoci (EU) 2015/1555</w:t>
      </w:r>
      <w:r w:rsidR="005823FE" w:rsidRPr="00471580">
        <w:rPr>
          <w:rStyle w:val="FootnoteReference"/>
        </w:rPr>
        <w:footnoteReference w:id="6"/>
      </w:r>
      <w:r w:rsidRPr="00471580">
        <w:t>, prováděcí nařízení Komise (EU) 2016/200</w:t>
      </w:r>
      <w:r w:rsidR="005823FE" w:rsidRPr="00471580">
        <w:rPr>
          <w:rStyle w:val="FootnoteReference"/>
        </w:rPr>
        <w:footnoteReference w:id="7"/>
      </w:r>
      <w:r w:rsidRPr="00471580">
        <w:t xml:space="preserve"> a nařízení Komise v přenesené pravomoci (EU) 2017/2295</w:t>
      </w:r>
      <w:r w:rsidR="005823FE" w:rsidRPr="00471580">
        <w:rPr>
          <w:rStyle w:val="FootnoteReference"/>
        </w:rPr>
        <w:footnoteReference w:id="8"/>
      </w:r>
      <w:r w:rsidRPr="00471580">
        <w:t xml:space="preserve"> stanoví jednotné formáty, šablony a tabulky pro kapitál, pro proticyklické kapitálové rezervy, pro pákový poměr a pro zatížení aktiv. Jednotné formáty, šablony a tabulky by proto měly být zavedeny i pro zpřístupňování informací o dalších obezřetnostních prvcích, jejichž zpřístupňování je vyžadováno nařízením (EU) 2019/876. Konkrétně by měla být zavedena šablona pro zpřístupňování klíčových ukazatelů, která účastníkům trhu usnadní přístup ke klíčovým informacím o kapitálu a likviditě institucí.</w:t>
      </w:r>
    </w:p>
    <w:p w14:paraId="64909A2C" w14:textId="2EE1C111" w:rsidR="007E66A7" w:rsidRPr="00471580" w:rsidRDefault="00F5043B" w:rsidP="007E66A7">
      <w:pPr>
        <w:pStyle w:val="Considrant"/>
      </w:pPr>
      <w:r w:rsidRPr="00471580">
        <w:t xml:space="preserve">Šablony a tabulky používané ke zpřístupňování informací by měly obsahovat dostatečně komplexní a porovnatelné informace, na jejichž základě budou uživatelé těchto informací moci posoudit rizikové profily institucí a míru jejich souladu s nařízením (EU) č. 575/2013. Aby byla zohledněna zásada proporcionality, měly by však být ve formátech, šablonách a tabulkách pro zpřístupňování informací zohledněny rozdíly ve velikosti a složitosti institucí, z nichž vycházejí rozdílné úrovně a druhy rizik, a to zavedením doplňkových prahových hodnot pro zpřístupnění rozšířených informací. </w:t>
      </w:r>
    </w:p>
    <w:p w14:paraId="1A778372" w14:textId="30253EDC" w:rsidR="007E66A7" w:rsidRPr="00471580" w:rsidRDefault="00183ED0" w:rsidP="007E66A7">
      <w:pPr>
        <w:pStyle w:val="Considrant"/>
      </w:pPr>
      <w:r>
        <w:t xml:space="preserve">Nařízením (EU) </w:t>
      </w:r>
      <w:r w:rsidR="00C91C95" w:rsidRPr="00471580">
        <w:t>2019/876 byl do nařízení (EU) č. 575/2013 zaveden nový kalibrovaný pákový poměr a dále kapitálová rezerva k pákovému poměru pro G-SVI. Za účelem provedení uvedených změn a nutných úprav výpočtu expozice je třeba stanovit šablony a tabulky.</w:t>
      </w:r>
    </w:p>
    <w:p w14:paraId="75FA70BF" w14:textId="2352F5C9" w:rsidR="007E66A7" w:rsidRPr="00471580" w:rsidRDefault="00C91C95" w:rsidP="007E66A7">
      <w:pPr>
        <w:pStyle w:val="Considrant"/>
      </w:pPr>
      <w:r w:rsidRPr="00471580">
        <w:t>Nařízením (EU) 2019/876 byly do nařízení (EU) č. 575/2013 zavedeny nové požadavky na zpřístupňování informací o ukazateli čistého stabilního financování. Za účelem provedení uvedené změny je třeba pro tyto nové požadavky na zpřístupňování informací stanovit šablonu.</w:t>
      </w:r>
    </w:p>
    <w:p w14:paraId="23C44267" w14:textId="0F858EC7" w:rsidR="007E66A7" w:rsidRPr="00471580" w:rsidRDefault="00C91C95" w:rsidP="007E66A7">
      <w:pPr>
        <w:pStyle w:val="Considrant"/>
        <w:rPr>
          <w:sz w:val="22"/>
        </w:rPr>
      </w:pPr>
      <w:r w:rsidRPr="00471580">
        <w:t>Nařízením (EU) 2019/876 byly standardizované přístupy k úvěrovému riziku protistrany v nařízení (EU) č. 575/2013 nahrazeny standardizovaným přístupem k úvěrovému riziku protistrany (dále jen „přístup SA-CCR“), který je citlivější na rizika, a zjednodušeným standardizovaným přístupem k úvěrovému riziku protistrany (dále jen „zjednodušený přístup SA-CCR“) pro instituce, které splňují předem definovaná kritéria způsobilosti. Kromě toh</w:t>
      </w:r>
      <w:r w:rsidR="00183ED0">
        <w:t xml:space="preserve">o byla nařízením (EU) </w:t>
      </w:r>
      <w:r w:rsidRPr="00471580">
        <w:t>2019/876 zrevidována metoda původní expozice. Za účelem provedení uvedených změn je třeba zavést ucelený soubor tabulek a šablon pro zpřístupňování informací.</w:t>
      </w:r>
    </w:p>
    <w:p w14:paraId="3B343C5D" w14:textId="7C3ECCC7" w:rsidR="007E66A7" w:rsidRPr="00471580" w:rsidRDefault="00B90336" w:rsidP="007E66A7">
      <w:pPr>
        <w:pStyle w:val="Considrant"/>
        <w:rPr>
          <w:sz w:val="22"/>
        </w:rPr>
      </w:pPr>
      <w:r w:rsidRPr="00471580">
        <w:t>Nařízením (EU) 2019/876 byl do nařízení (EU) č. 575/2013 zaveden nový požadavek na zpřístupňování informací o výkonných a nevýkonných expozicích a expozicích s úlevou, včetně zpřístupňování informací o přijatých kolaterálech a finančních zárukách. Za účelem provedení uvedené změny a těchto nových požadavků na zpřístupňování informací je třeba zavést ucelený soubor šablon a tabulek. V zájmu jednoduchosti a jednotnosti by tyto šablony a tabulky měly vycházet ze šablon a tabulek pro zpřístupňování informací, které již vypracoval Evropský orgán pro bankovnictví (EBA) ve svých obecných pokynech ke zpřístupňování informací o nevýkonných expozicích a expozicích s úlevou</w:t>
      </w:r>
      <w:r w:rsidR="007E66A7" w:rsidRPr="00471580">
        <w:rPr>
          <w:rStyle w:val="FootnoteReference"/>
        </w:rPr>
        <w:footnoteReference w:id="9"/>
      </w:r>
      <w:r w:rsidRPr="00471580">
        <w:t>.</w:t>
      </w:r>
    </w:p>
    <w:p w14:paraId="5DFC988B" w14:textId="081107BD" w:rsidR="007E66A7" w:rsidRPr="00471580" w:rsidRDefault="007E66A7" w:rsidP="00B90336">
      <w:pPr>
        <w:pStyle w:val="Considrant"/>
      </w:pPr>
      <w:r w:rsidRPr="00471580">
        <w:t>Nařízení (EU) č. 575/2013 bylo změněno nařízením Evropského parlamentu a Rady (EU)</w:t>
      </w:r>
      <w:r w:rsidR="00183ED0">
        <w:t xml:space="preserve"> </w:t>
      </w:r>
      <w:r w:rsidRPr="00471580">
        <w:t>2017/2401</w:t>
      </w:r>
      <w:r w:rsidR="00453D69" w:rsidRPr="00471580">
        <w:rPr>
          <w:rStyle w:val="FootnoteReference"/>
        </w:rPr>
        <w:footnoteReference w:id="10"/>
      </w:r>
      <w:r w:rsidRPr="00471580">
        <w:t xml:space="preserve"> za účelem toho, aby kapitálové požadavky stanovené v uvedeném nařízení odrážely </w:t>
      </w:r>
      <w:r w:rsidRPr="00471580">
        <w:rPr>
          <w:shd w:val="clear" w:color="auto" w:fill="FFFFFF"/>
        </w:rPr>
        <w:t>specifické vlastnosti STS sekuritizací vyjmenované v nařízení Evropského parlamentu a Rady (EU) 2017/2402</w:t>
      </w:r>
      <w:r w:rsidR="00B90336" w:rsidRPr="00471580">
        <w:rPr>
          <w:rStyle w:val="FootnoteReference"/>
        </w:rPr>
        <w:footnoteReference w:id="11"/>
      </w:r>
      <w:r w:rsidRPr="00471580">
        <w:rPr>
          <w:shd w:val="clear" w:color="auto" w:fill="FFFFFF"/>
        </w:rPr>
        <w:t xml:space="preserve">. V zájmu zohlednění této změny </w:t>
      </w:r>
      <w:r w:rsidRPr="00471580">
        <w:t>je třeba zavést nové šablony a tabulky pro zpřístupňování informací, které budou obsahovat kvantitativní a kvalitativní informace o sekuritizaci.</w:t>
      </w:r>
    </w:p>
    <w:p w14:paraId="3E7507C1" w14:textId="1B6A5FCD" w:rsidR="007E66A7" w:rsidRPr="00471580" w:rsidRDefault="008D42B0" w:rsidP="007E66A7">
      <w:pPr>
        <w:pStyle w:val="Considrant"/>
        <w:rPr>
          <w:sz w:val="22"/>
        </w:rPr>
      </w:pPr>
      <w:r w:rsidRPr="00471580">
        <w:t xml:space="preserve">Nařízením (EU) 2019/876 byly změněny určité požadavky na zpřístupňování informací o odměňování stanovené v nařízení (EU) č. 575/2013, aby se zajistilo, že </w:t>
      </w:r>
      <w:r w:rsidRPr="00471580">
        <w:rPr>
          <w:shd w:val="clear" w:color="auto" w:fill="FFFFFF"/>
        </w:rPr>
        <w:t>zásady a postupy odměňování kategorií pracovníků, jejichž pracovní činnosti mají podstatný dopad na rizikový profil institucí, jsou v souladu s účinným řízením rizik.</w:t>
      </w:r>
      <w:r w:rsidRPr="00471580">
        <w:t xml:space="preserve"> Měl by být stanoven soubor šablon a tabulek pro zpřístupňování informací, jehož prostřednictvím budou tyto požadavky na zpřístupňování informací provedeny.</w:t>
      </w:r>
    </w:p>
    <w:p w14:paraId="023EA5B8" w14:textId="6CA470C7" w:rsidR="004427A5" w:rsidRPr="00471580" w:rsidRDefault="004A1CDB" w:rsidP="007E66A7">
      <w:pPr>
        <w:pStyle w:val="Considrant"/>
        <w:rPr>
          <w:sz w:val="22"/>
        </w:rPr>
      </w:pPr>
      <w:r w:rsidRPr="00471580">
        <w:t>Aby bylo možno poskytnout institucím ucelený a integrovaný soubor jednotných formátů, šablon a tabulek pro zpřístupňování informací a zajistit vysokou kvalitu zpřístupňovaných informací, je třeba zavést jediný soubor technických norem pro zpřístupňování informací. Proto je nezbytné zrušit prováděcí nařízení (EU) č. 1423/2013, nařízení v přenesené pravomoci (EU) 2015/1555, prováděcí nařízení (EU) 2016/200 a nařízení v přenesené pravomoci (EU) 2017/2295.</w:t>
      </w:r>
    </w:p>
    <w:p w14:paraId="38682B7B" w14:textId="19020FBF" w:rsidR="004427A5" w:rsidRPr="00471580" w:rsidRDefault="0094247F" w:rsidP="007E66A7">
      <w:pPr>
        <w:pStyle w:val="Considrant"/>
        <w:rPr>
          <w:sz w:val="22"/>
        </w:rPr>
      </w:pPr>
      <w:r w:rsidRPr="00471580">
        <w:t>Aby se zajistilo, že instituce budou informace zpřístupňovat včas a v kvalitní formě, měl by se jim ponechat dostatek času na to, aby upravily své interní systémy pro zpřístupňování informací.</w:t>
      </w:r>
    </w:p>
    <w:p w14:paraId="0F58EAE6" w14:textId="77777777" w:rsidR="007E66A7" w:rsidRPr="00471580" w:rsidRDefault="007E66A7" w:rsidP="007E66A7">
      <w:pPr>
        <w:pStyle w:val="Considrant"/>
        <w:rPr>
          <w:noProof/>
        </w:rPr>
      </w:pPr>
      <w:r w:rsidRPr="00471580">
        <w:t>Toto nařízení vychází z návrhů prováděcích technických norem, které Komisi předložil Evropský orgán pro bankovnictví (EBA).</w:t>
      </w:r>
    </w:p>
    <w:p w14:paraId="61384288" w14:textId="77777777" w:rsidR="0004170D" w:rsidRPr="00471580" w:rsidRDefault="00587191" w:rsidP="00453D69">
      <w:pPr>
        <w:pStyle w:val="Considrant"/>
        <w:rPr>
          <w:noProof/>
        </w:rPr>
      </w:pPr>
      <w:r w:rsidRPr="00471580">
        <w:t>Orgán EBA uskutečnil k návrhům prováděcích technických norem, z nichž toto nařízení vychází, otevřené veřejné konzultace, analyzoval potenciální související náklady a přínosy a požádal o stanovisko skupinu subjektů působících v bankovnictví zřízenou podle článku 37 nařízení Evropského parlamentu a Rady (EU) č. 1093/2010</w:t>
      </w:r>
      <w:r w:rsidR="007E66A7" w:rsidRPr="00471580">
        <w:rPr>
          <w:rStyle w:val="FootnoteReference"/>
          <w:noProof/>
        </w:rPr>
        <w:footnoteReference w:id="12"/>
      </w:r>
      <w:r w:rsidRPr="00471580">
        <w:t xml:space="preserve">, </w:t>
      </w:r>
    </w:p>
    <w:p w14:paraId="465D5876" w14:textId="77777777" w:rsidR="0004170D" w:rsidRPr="00471580" w:rsidRDefault="0004170D" w:rsidP="009675DD">
      <w:pPr>
        <w:pStyle w:val="Formuledadoption"/>
      </w:pPr>
      <w:r w:rsidRPr="00471580">
        <w:t>PŘIJALA TOTO NAŘÍZENÍ:</w:t>
      </w:r>
    </w:p>
    <w:p w14:paraId="6CA0BD21" w14:textId="643FC984" w:rsidR="00FF364B" w:rsidRPr="00471580" w:rsidRDefault="00FF364B" w:rsidP="00FF364B">
      <w:pPr>
        <w:pStyle w:val="Titrearticle"/>
      </w:pPr>
      <w:r w:rsidRPr="00471580">
        <w:t>Článek 1</w:t>
      </w:r>
    </w:p>
    <w:p w14:paraId="6D84878F" w14:textId="77777777" w:rsidR="007E66A7" w:rsidRPr="00471580" w:rsidRDefault="007E66A7" w:rsidP="007E66A7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klíčových ukazatelů a přehledu objemů rizikově vážených expozic</w:t>
      </w:r>
    </w:p>
    <w:p w14:paraId="10515A6F" w14:textId="15D523D9" w:rsidR="007E66A7" w:rsidRPr="00471580" w:rsidRDefault="007E66A7" w:rsidP="00C2487C">
      <w:pPr>
        <w:pStyle w:val="NumPar1"/>
        <w:numPr>
          <w:ilvl w:val="0"/>
          <w:numId w:val="12"/>
        </w:numPr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čl. 447 písm. a) až g) a čl. 438 písm. b) nařízení (EU) č. 575/2013 za použití šablony EU KM1 uvedené v příloze I tohoto nařízení a podle pokynů uvedených v příloze II tohoto nařízení.</w:t>
      </w:r>
    </w:p>
    <w:p w14:paraId="1C0713F1" w14:textId="2AC5B746" w:rsidR="007E66A7" w:rsidRPr="00471580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čl. 438 písm. d) nařízení (EU) č. 575/2013 za použití šablony EU OV1 uvedené v příloze I tohoto nařízení a podle pokynů uvedených v příloze II tohoto nařízení.</w:t>
      </w:r>
    </w:p>
    <w:p w14:paraId="5694C031" w14:textId="6F8BAA89" w:rsidR="007E66A7" w:rsidRPr="00471580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čl. 438 písm. a) a c) nařízení (EU) č. 575/2013 za použití tabulky EU OVC uvedené v příloze I tohoto nařízení a podle pokynů uvedených v příloze II tohoto nařízení.</w:t>
      </w:r>
    </w:p>
    <w:p w14:paraId="239E081F" w14:textId="1C4A0E84" w:rsidR="007E66A7" w:rsidRPr="00471580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čl. 438 písm. f) a g) nařízení (EU) č. 575/2013 za použití šablon EU INS1 a EU INS2 uvedených v příloze I tohoto nařízení a podle pokynů uvedených v příloze II tohoto nařízení.</w:t>
      </w:r>
    </w:p>
    <w:p w14:paraId="00AA4B75" w14:textId="77777777" w:rsidR="00725875" w:rsidRPr="00471580" w:rsidRDefault="00725875" w:rsidP="00725875">
      <w:pPr>
        <w:pStyle w:val="Titrearticle"/>
      </w:pPr>
      <w:r w:rsidRPr="00471580">
        <w:t>Článek 2</w:t>
      </w:r>
    </w:p>
    <w:p w14:paraId="201D71D7" w14:textId="77777777" w:rsidR="007E66A7" w:rsidRPr="00471580" w:rsidRDefault="007E66A7" w:rsidP="007E66A7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 cílech a zásadách v oblasti řízení rizik</w:t>
      </w:r>
    </w:p>
    <w:p w14:paraId="24A510A3" w14:textId="6F22E094" w:rsidR="007E66A7" w:rsidRPr="00471580" w:rsidRDefault="007E66A7" w:rsidP="007E66A7">
      <w:pPr>
        <w:rPr>
          <w:i/>
        </w:rPr>
      </w:pPr>
      <w:r w:rsidRPr="00471580">
        <w:t>Instituce zpřístupňují informace uvedené v článku 435 nařízení (EU) č. 575/2013 za použití tabulek EU OVA a EU OVB uvedených v příloze III tohoto nařízení a podle pokynů uvedených v příloze IV tohoto nařízení.</w:t>
      </w:r>
    </w:p>
    <w:p w14:paraId="6B7BFFC9" w14:textId="1A03E595" w:rsidR="00725875" w:rsidRPr="00471580" w:rsidRDefault="00725875" w:rsidP="00725875">
      <w:pPr>
        <w:pStyle w:val="Titrearticle"/>
      </w:pPr>
      <w:r w:rsidRPr="00471580">
        <w:t>Článek 3</w:t>
      </w:r>
    </w:p>
    <w:p w14:paraId="0F10BDEB" w14:textId="77777777" w:rsidR="009F40BE" w:rsidRPr="00471580" w:rsidRDefault="009F40BE" w:rsidP="00F5043B">
      <w:pPr>
        <w:pStyle w:val="Titrearticle"/>
        <w:tabs>
          <w:tab w:val="left" w:pos="567"/>
        </w:tabs>
        <w:spacing w:before="120"/>
        <w:rPr>
          <w:b/>
          <w:i w:val="0"/>
        </w:rPr>
      </w:pPr>
      <w:r w:rsidRPr="00471580">
        <w:rPr>
          <w:b/>
          <w:i w:val="0"/>
        </w:rPr>
        <w:t xml:space="preserve">Zpřístupňování informací o oblasti působnosti </w:t>
      </w:r>
    </w:p>
    <w:p w14:paraId="10528DDB" w14:textId="1D023DA6" w:rsidR="009F40BE" w:rsidRPr="00471580" w:rsidRDefault="009F40BE" w:rsidP="00F5043B">
      <w:pPr>
        <w:pStyle w:val="NumPar1"/>
        <w:numPr>
          <w:ilvl w:val="0"/>
          <w:numId w:val="10"/>
        </w:numPr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čl. 436 písm. b) a c) nařízení (EU) č. 575/2013 za použití šablon EU LI1 a EU LI3 uvedených v příloze V tohoto nařízení a podle pokynů uvedených v příloze VI tohoto nařízení.</w:t>
      </w:r>
    </w:p>
    <w:p w14:paraId="4A18C7DA" w14:textId="6468321C" w:rsidR="009F40BE" w:rsidRPr="00471580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 xml:space="preserve">Instituce zpřístupňují informace uvedené v čl. 436 písm. b) a d) nařízení (EU) č. 575/2013 za použití šablony EU LI2 a tabulky </w:t>
      </w:r>
      <w:r w:rsidR="00183ED0">
        <w:t xml:space="preserve">EU </w:t>
      </w:r>
      <w:r w:rsidRPr="00471580">
        <w:t>LIA uvedených v příloze V tohoto nařízení a podle pokynů uvedených v příloze VI tohoto nařízení.</w:t>
      </w:r>
    </w:p>
    <w:p w14:paraId="33B7C000" w14:textId="77777777" w:rsidR="009F40BE" w:rsidRPr="00471580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čl. 436 písm. e) nařízení (EU) č. 575/2013 za použití šablony EU PV1 uvedené v příloze V tohoto nařízení a podle pokynů uvedených v příloze VI tohoto nařízení.</w:t>
      </w:r>
    </w:p>
    <w:p w14:paraId="2B4D969E" w14:textId="77777777" w:rsidR="009F40BE" w:rsidRPr="00471580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čl. 436 písm. f), g) a h) nařízení (EU) č. 575/2013 za použití tabulky EU LIB uvedené v příloze V tohoto nařízení a podle pokynů uvedených v příloze VI tohoto nařízení.</w:t>
      </w:r>
    </w:p>
    <w:p w14:paraId="5A980456" w14:textId="7A03DA4D" w:rsidR="00725875" w:rsidRPr="00471580" w:rsidRDefault="00725875" w:rsidP="00725875">
      <w:pPr>
        <w:pStyle w:val="Titrearticle"/>
      </w:pPr>
      <w:r w:rsidRPr="00471580">
        <w:t>Článek 4</w:t>
      </w:r>
    </w:p>
    <w:p w14:paraId="14EB4863" w14:textId="77777777" w:rsidR="009F40BE" w:rsidRPr="00471580" w:rsidRDefault="009F40BE" w:rsidP="009F40BE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 kapitálu</w:t>
      </w:r>
    </w:p>
    <w:p w14:paraId="2144BC15" w14:textId="00DAA361" w:rsidR="009F40BE" w:rsidRPr="00471580" w:rsidRDefault="009F40BE" w:rsidP="009F40BE">
      <w:pPr>
        <w:rPr>
          <w:i/>
        </w:rPr>
      </w:pPr>
      <w:r w:rsidRPr="00471580">
        <w:t>Instituce zpřístupňují informace uvedené v článku 437 nařízení (EU) č. 575/2013 takto:</w:t>
      </w:r>
    </w:p>
    <w:p w14:paraId="64F03B5B" w14:textId="35EDA735" w:rsidR="009F40BE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5F490A" w:rsidRPr="00471580">
        <w:t>informace uvedené v čl. 437 písm. a), d), e) a f) nařízení (EU) č. 575/2013 za použití šablon EU CC1 a EU CC2 uvedených v příloze VII tohoto nařízení a podle pokynů uvedených v příloze VIII tohoto nařízení;</w:t>
      </w:r>
    </w:p>
    <w:p w14:paraId="6F220811" w14:textId="7FEF8BC7" w:rsidR="009F40BE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5F490A" w:rsidRPr="00471580">
        <w:t>informace uvedené v čl. 437 písm. b) a c) nařízení (EU) č. 575/2013 za použití tabulky EU CCA uvedené v příloze VII tohoto nařízení a podle pokynů uvedených v příloze VIII tohoto nařízení.</w:t>
      </w:r>
    </w:p>
    <w:p w14:paraId="079C779B" w14:textId="5EBA66D3" w:rsidR="00A10245" w:rsidRPr="00471580" w:rsidRDefault="00A10245" w:rsidP="00A10245">
      <w:pPr>
        <w:pStyle w:val="Titrearticle"/>
      </w:pPr>
      <w:r w:rsidRPr="00471580">
        <w:t xml:space="preserve">Článek 5 </w:t>
      </w:r>
    </w:p>
    <w:p w14:paraId="18A51980" w14:textId="77777777" w:rsidR="009F40BE" w:rsidRPr="00471580" w:rsidRDefault="009F40BE" w:rsidP="009F40BE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 proticyklických kapitálových rezervách</w:t>
      </w:r>
    </w:p>
    <w:p w14:paraId="10D01314" w14:textId="30079B66" w:rsidR="009F40BE" w:rsidRPr="00471580" w:rsidRDefault="009F40BE" w:rsidP="009F40BE">
      <w:r w:rsidRPr="00471580">
        <w:t>Instituce zpřístupňují informace uvedené v článku 440 nařízení (EU) č. 575/2013 takto:</w:t>
      </w:r>
    </w:p>
    <w:p w14:paraId="197895FF" w14:textId="41A4A8B6" w:rsidR="009F40BE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5F490A" w:rsidRPr="00471580">
        <w:t>informace uvedené v čl. 440 písm. a) nařízení (EU) č. 575/2013 za použití šablony EU CCYB1 uvedené v příloze IX tohoto nařízení a podle pokynů uvedených v příloze X tohoto nařízení;</w:t>
      </w:r>
    </w:p>
    <w:p w14:paraId="421F2629" w14:textId="5550CBD9" w:rsidR="009F40BE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E42EC8" w:rsidRPr="00471580">
        <w:t>informace uvedené v čl. 440 písm. b) nařízení (EU) č. 575/2013 za použití šablony EU CCYB2 uvedené v příloze IX tohoto nařízení a podle pokynů uvedených v příloze X tohoto nařízení.</w:t>
      </w:r>
    </w:p>
    <w:p w14:paraId="4007DA85" w14:textId="2EE168D4" w:rsidR="00496B08" w:rsidRPr="00471580" w:rsidRDefault="00496B08" w:rsidP="00496B08">
      <w:pPr>
        <w:pStyle w:val="Titrearticle"/>
      </w:pPr>
      <w:r w:rsidRPr="00471580">
        <w:t>Článek 6</w:t>
      </w:r>
    </w:p>
    <w:p w14:paraId="0857022D" w14:textId="77777777" w:rsidR="009F40BE" w:rsidRPr="00471580" w:rsidRDefault="009F40BE" w:rsidP="009F40BE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 pákovém poměru</w:t>
      </w:r>
    </w:p>
    <w:p w14:paraId="0CFB345E" w14:textId="204FA202" w:rsidR="009F40BE" w:rsidRPr="00471580" w:rsidRDefault="009F40BE" w:rsidP="009F40BE">
      <w:r w:rsidRPr="00471580">
        <w:t>Instituce zpřístupňují informace uvedené v článku 451 nařízení (EU) č. 575/2013 takto:</w:t>
      </w:r>
    </w:p>
    <w:p w14:paraId="1C14C095" w14:textId="7215A102" w:rsidR="009F40BE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786078" w:rsidRPr="00471580">
        <w:t>informace uvedené v čl. 451 odst. 1 písm. a), b) a c) a odst. 2 a 3 nařízení (EU) č. 575/2013 za použití šablon EU LR1, EU LR2 a EU LR3 uvedených v příloze XI tohoto nařízení a podle pokynů uvedených v příloze XII tohoto nařízení;</w:t>
      </w:r>
    </w:p>
    <w:p w14:paraId="632CE413" w14:textId="475B2F32" w:rsidR="009F40BE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786078" w:rsidRPr="00471580">
        <w:t>informace uvedené v čl. 451 odst. 1 písm. d) a e) nařízení (EU) č. 575/2013 za použití tabulky EU LRA uvedené v příloze XI tohoto nařízení a podle pokynů uvedených v příloze XII tohoto nařízení.</w:t>
      </w:r>
    </w:p>
    <w:p w14:paraId="4C36A5D6" w14:textId="2A06F27B" w:rsidR="00496B08" w:rsidRPr="00471580" w:rsidRDefault="00496B08" w:rsidP="00496B08">
      <w:pPr>
        <w:pStyle w:val="Titrearticle"/>
      </w:pPr>
      <w:r w:rsidRPr="00471580">
        <w:t>Článek 7</w:t>
      </w:r>
    </w:p>
    <w:p w14:paraId="6784E306" w14:textId="77777777" w:rsidR="00A858BC" w:rsidRPr="00471580" w:rsidRDefault="00A858BC" w:rsidP="00A858BC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 požadavcích na likviditu</w:t>
      </w:r>
    </w:p>
    <w:p w14:paraId="700646AD" w14:textId="45F364CC" w:rsidR="000715FC" w:rsidRPr="00471580" w:rsidRDefault="000715FC" w:rsidP="003D44B9">
      <w:pPr>
        <w:rPr>
          <w:i/>
        </w:rPr>
      </w:pPr>
      <w:r w:rsidRPr="00471580">
        <w:t>Instituce zpřístupňují informace uvedené v čl. 435 odst. 1 a článku 451a nařízení (EU) č. 575/2013 takto:</w:t>
      </w:r>
    </w:p>
    <w:p w14:paraId="3BD25176" w14:textId="3FEBEEB6" w:rsidR="00A858BC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D001B4" w:rsidRPr="00471580">
        <w:t>informace uvedené v čl. 435 odst. 1 a čl. 451a odst. 4 nařízení (EU) č. 575/2013 za použití tabulky EU LIQA uvedené v příloze XIII tohoto nařízení a podle pokynů uvedených v příloze XIV tohoto nařízení;</w:t>
      </w:r>
    </w:p>
    <w:p w14:paraId="0E8BE407" w14:textId="572B3006" w:rsidR="00A858BC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D001B4" w:rsidRPr="00471580">
        <w:t>informace uvedené v čl. 451a odst. 2 nařízení (EU) č. 575/2013 za použití šablony EU LIQ1 a tabulky EU LIQB uvedených v příloze XIII tohoto nařízení a podle pokynů uvedených v příloze XIV tohoto nařízení;</w:t>
      </w:r>
    </w:p>
    <w:p w14:paraId="27B790F3" w14:textId="2520DA4D" w:rsidR="00A858BC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D001B4" w:rsidRPr="00471580">
        <w:t>informace uvedené v čl. 451a odst. 3 nařízení (EU) č. 575/2013 za použití šablony EU LIQ2 uvedené v příloze XIII tohoto nařízení a podle pokynů uvedených v příloze XIV tohoto nařízení.</w:t>
      </w:r>
    </w:p>
    <w:p w14:paraId="48407ACA" w14:textId="256EC5A5" w:rsidR="00496B08" w:rsidRPr="00471580" w:rsidRDefault="00496B08" w:rsidP="00496B08">
      <w:pPr>
        <w:pStyle w:val="Titrearticle"/>
      </w:pPr>
      <w:r w:rsidRPr="00471580">
        <w:t>Článek 8</w:t>
      </w:r>
    </w:p>
    <w:p w14:paraId="6CB38048" w14:textId="77777777" w:rsidR="00A858BC" w:rsidRPr="00471580" w:rsidRDefault="00A858BC" w:rsidP="00A858BC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 expozicích vůči úvěrovému riziku a riziku rozmělnění a o úvěrové kvalitě</w:t>
      </w:r>
    </w:p>
    <w:p w14:paraId="3D4D2F63" w14:textId="25A1151F" w:rsidR="00A858BC" w:rsidRPr="00471580" w:rsidRDefault="00A858BC" w:rsidP="00C2487C">
      <w:pPr>
        <w:pStyle w:val="NumPar1"/>
        <w:numPr>
          <w:ilvl w:val="0"/>
          <w:numId w:val="15"/>
        </w:numPr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článcích 435 a 442 nařízení (EU) č. 575/2013 takto:</w:t>
      </w:r>
    </w:p>
    <w:p w14:paraId="551FABBA" w14:textId="05A5A6AB" w:rsidR="00A858BC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D001B4" w:rsidRPr="00471580">
        <w:t>informace uvedené v čl. 435 odst. 1 písm. a), b), d) a f) nařízení (EU) č. 575/2013 za použití tabulky EU CRA uvedené v příloze XV tohoto nařízení a podle pokynů uvedených v příloze XVI tohoto nařízení;</w:t>
      </w:r>
    </w:p>
    <w:p w14:paraId="3B0BD257" w14:textId="567519AF" w:rsidR="00A858BC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D001B4" w:rsidRPr="00471580">
        <w:t>informace uvedené v čl. 442 písm. a) a b) nařízení (EU) č. 575/2013 za použití tabulky EU CRB uvedené v příloze XV tohoto nařízení a podle pokynů uvedených v příloze XVI tohoto nařízení;</w:t>
      </w:r>
    </w:p>
    <w:p w14:paraId="4F91304B" w14:textId="722395E5" w:rsidR="00A858BC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D001B4" w:rsidRPr="00471580">
        <w:t>informace uvedené v čl. 442 písm. d) nařízení (EU) č. 575/2013 za použití šablony EU CQ3 uvedené v příloze XV tohoto nařízení a podle pokynů uvedených v příloze XVI tohoto nařízení;</w:t>
      </w:r>
    </w:p>
    <w:p w14:paraId="0FF67B2D" w14:textId="50B87F33" w:rsidR="00A858BC" w:rsidRPr="00471580" w:rsidRDefault="007F2F0A" w:rsidP="00705803">
      <w:pPr>
        <w:pStyle w:val="Point1"/>
        <w:ind w:left="567"/>
      </w:pPr>
      <w:r w:rsidRPr="007F2F0A">
        <w:t>d)</w:t>
      </w:r>
      <w:r w:rsidRPr="007F2F0A">
        <w:tab/>
      </w:r>
      <w:r w:rsidR="00D001B4" w:rsidRPr="00471580">
        <w:t>informace uvedené v čl. 442 písm. g) nařízení (EU) č. 575/2013 za použití šablony EU CR1-A uvedené v příloze XV tohoto nařízení a podle pokynů uvedených v příloze XVI tohoto nařízení;</w:t>
      </w:r>
    </w:p>
    <w:p w14:paraId="7DE01D39" w14:textId="50AC8EEE" w:rsidR="00A858BC" w:rsidRPr="00471580" w:rsidRDefault="007F2F0A" w:rsidP="00705803">
      <w:pPr>
        <w:pStyle w:val="Point1"/>
        <w:ind w:left="567"/>
      </w:pPr>
      <w:r w:rsidRPr="007F2F0A">
        <w:t>e)</w:t>
      </w:r>
      <w:r w:rsidRPr="007F2F0A">
        <w:tab/>
      </w:r>
      <w:r w:rsidR="00D001B4" w:rsidRPr="00471580">
        <w:t>informace uvedené v čl. 442 písm. f) nařízení (EU) č. 575/2013 za použití šablony EU CR2 uvedené v příloze XV tohoto nařízení a podle pokynů uvedených v příloze XVI tohoto nařízení.</w:t>
      </w:r>
    </w:p>
    <w:p w14:paraId="27C265A9" w14:textId="77777777" w:rsidR="00DF14E1" w:rsidRPr="00471580" w:rsidRDefault="00A858BC" w:rsidP="00DF14E1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čl. 442 písm. c), e) a f) nařízení (EU) č. 575/2013 za použití šablon EU CR1, EU CQ1 a EU CQ7, sloupců a, c, e, f a g v šabloně EU CQ4 a sloupců a, c, e a f v šabloně EU CQ5, které jsou uvedeny v příloze XV tohoto nařízení, a podle pokynů uvedených v příloze XVI tohoto nařízení.</w:t>
      </w:r>
    </w:p>
    <w:p w14:paraId="12433EF1" w14:textId="245C024E" w:rsidR="00A858BC" w:rsidRPr="00471580" w:rsidRDefault="00956448" w:rsidP="00DF14E1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 xml:space="preserve">Velké instituce, u nichž poměr mezi hrubou účetní hodnotou úvěrů a jiných pohledávek, na něž se vztahuje čl. 47a odst. 3 nařízení (EU) č. 575/2013, a celkovou hrubou účetní hodnotou úvěrů a jiných pohledávek, na něž se vztahuje čl. 47a odst. 1 nařízení (EU) č. 575/2013, činí 5 % nebo více, ke zpřístupnění informací uvedených v čl. 442 písm. c) a f) nařízení (EU) č. 575/2013 kromě šablon a sloupců uvedených v odstavci 2 použijí také šablony EU CR2a, EU CQ2, EU CQ6 a EU CQ8 a sloupce b a d v šablonách EU CQ4 a EU CQ5, které jsou uvedeny v příloze XV tohoto nařízení, a řídí se přitom pokyny uvedenými v příloze XVI. Tyto informace zpřístupňují jednou ročně. </w:t>
      </w:r>
    </w:p>
    <w:p w14:paraId="38D26DBB" w14:textId="2FAF3A75" w:rsidR="00A858BC" w:rsidRPr="00471580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Pro účely odstavce 3 se ze jmenovatele i čitatele uvedeného poměru vyloučí úvěry a jiné pohledávky určené k prodeji, hotovost u centrálních bank a ostatní vklady na požádání.</w:t>
      </w:r>
    </w:p>
    <w:p w14:paraId="7BC87207" w14:textId="124F936C" w:rsidR="00A858BC" w:rsidRPr="00471580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Instituce začnou zpřístupňovat informace podle odstavce 3, pokud prahovou hodnotu 5 % uvedenou v odstavci 3 dosáhnou nebo přesáhnou ve dvou po sobě jdoucích čtvrtletích během čtyř čtvrtletí předcházejících referenčnímu datu zpřístupňování informací. Pokud jde o referenční datum prvního zpřístupnění informací, instituce zpřístupní dotčené informace za použití šablon uvedených v odstavci 3, jestliže k tomuto referenčnímu datu zpřístupňování informací překročí prahovou hodnotu 5 %.</w:t>
      </w:r>
    </w:p>
    <w:p w14:paraId="53CB613D" w14:textId="11D744EC" w:rsidR="00A858BC" w:rsidRPr="00471580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71580">
        <w:t>Povinnost zpřístupňovat informace podle odstavce 3 se na instituce přestane vztahovat, pokud prahové hodnoty 5 % nedosáhnou ve třech po sobě jdoucích čtvrtletích během čtyř čtvrtletí předcházejících referenčnímu datu zpřístupňování informací.</w:t>
      </w:r>
    </w:p>
    <w:p w14:paraId="3C5E542D" w14:textId="01D8911B" w:rsidR="00496B08" w:rsidRPr="00471580" w:rsidRDefault="00496B08" w:rsidP="00496B08">
      <w:pPr>
        <w:pStyle w:val="Titrearticle"/>
      </w:pPr>
      <w:r w:rsidRPr="00471580">
        <w:t>Článek 9</w:t>
      </w:r>
    </w:p>
    <w:p w14:paraId="09D01539" w14:textId="77777777" w:rsidR="00A858BC" w:rsidRPr="00471580" w:rsidRDefault="00A858BC" w:rsidP="00A858BC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 xml:space="preserve">Zpřístupňování informací o použití technik snižování úvěrového rizika </w:t>
      </w:r>
    </w:p>
    <w:p w14:paraId="0ECADB24" w14:textId="707BAB41" w:rsidR="00A858BC" w:rsidRPr="00471580" w:rsidRDefault="00A858BC" w:rsidP="00A858BC">
      <w:pPr>
        <w:rPr>
          <w:i/>
        </w:rPr>
      </w:pPr>
      <w:r w:rsidRPr="00471580">
        <w:t>Instituce zpřístupňují informace uvedené v čl. 453 písm. a) až f) nařízení (EU) č. 575/2013 takto:</w:t>
      </w:r>
    </w:p>
    <w:p w14:paraId="1745A6BC" w14:textId="78A1F0B4" w:rsidR="00A858BC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F53E64" w:rsidRPr="00471580">
        <w:t>informace uvedené v čl. 453 písm. a) až e) nařízení (EU) č. 575/2013 za použití tabulky EU CRC uvedené v příloze XVII tohoto nařízení a podle pokynů uvedených v příloze XVIII tohoto nařízení;</w:t>
      </w:r>
    </w:p>
    <w:p w14:paraId="661A25AE" w14:textId="375F94CE" w:rsidR="00A858BC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F53E64" w:rsidRPr="00471580">
        <w:t>informace uvedené v čl. 453 písm. f) nařízení (EU) č. 575/2013 za použití šablony EU CR3 uvedené v příloze XVII tohoto nařízení a podle pokynů uvedených v příloze XVIII tohoto nařízení.</w:t>
      </w:r>
    </w:p>
    <w:p w14:paraId="14246492" w14:textId="5365C73C" w:rsidR="000B18AB" w:rsidRPr="00471580" w:rsidRDefault="000B18AB" w:rsidP="000B18AB">
      <w:pPr>
        <w:pStyle w:val="Titrearticle"/>
      </w:pPr>
      <w:r w:rsidRPr="00471580">
        <w:t xml:space="preserve">Článek 10 </w:t>
      </w:r>
    </w:p>
    <w:p w14:paraId="5332FF24" w14:textId="77777777" w:rsidR="00A858BC" w:rsidRPr="00471580" w:rsidRDefault="00A858BC" w:rsidP="00A858BC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 použití standardizovaného přístupu</w:t>
      </w:r>
    </w:p>
    <w:p w14:paraId="6672FA91" w14:textId="105D032F" w:rsidR="00A858BC" w:rsidRPr="00471580" w:rsidRDefault="00A858BC" w:rsidP="00A858BC">
      <w:r w:rsidRPr="00471580">
        <w:t>Instituce, které počítají objemy rizikově vážených expozic podle standardizovaného přístupu, zpřístupňují informace uvedené v článku 444 a čl. 453 písm. g), h) a i) nařízení (EU) č. 575/2013 takto:</w:t>
      </w:r>
    </w:p>
    <w:p w14:paraId="64037B7E" w14:textId="78EA7FC7" w:rsidR="00A858BC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F53E64" w:rsidRPr="00471580">
        <w:t>informace uvedené v čl. 444 písm. a) až d) nařízení (EU) č. 575/2013 za použití tabulky EU CRD uvedené v příloze XIX tohoto nařízení a podle pokynů uvedených v příloze XX tohoto nařízení;</w:t>
      </w:r>
    </w:p>
    <w:p w14:paraId="74A58369" w14:textId="0FD88013" w:rsidR="00A858BC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F53E64" w:rsidRPr="00471580">
        <w:t>informace uvedené v čl. 453 písm. g), h) a i) a čl. 444 písm. e) nařízení (EU) č. 575/2013 za použití šablony EU CR4 uvedené v příloze XIX tohoto nařízení a podle pokynů uvedených v příloze XX tohoto nařízení;</w:t>
      </w:r>
    </w:p>
    <w:p w14:paraId="0CAF4FE7" w14:textId="2AA97831" w:rsidR="00A858BC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F53E64" w:rsidRPr="00471580">
        <w:t>informace uvedené v čl. 444 písm. e) nařízení (EU) č. 575/2013 za použití šablony EU CR5 uvedené v příloze XIX tohoto nařízení a podle pokynů uvedených v příloze XX tohoto nařízení; v případě informací o hodnotách expozic odečtených od kapitálu, jež jsou uvedeny v tomtéž článku, použijí instituce šablonu EU CC1 uvedenou v příloze VII tohoto nařízení, přičemž se řídí pokyny uvedenými v příloze VIII tohoto nařízení.</w:t>
      </w:r>
    </w:p>
    <w:p w14:paraId="3C991507" w14:textId="68437B83" w:rsidR="00173862" w:rsidRPr="00471580" w:rsidRDefault="00173862" w:rsidP="00173862">
      <w:pPr>
        <w:pStyle w:val="Titrearticle"/>
      </w:pPr>
      <w:r w:rsidRPr="00471580">
        <w:t>Článek 11</w:t>
      </w:r>
    </w:p>
    <w:p w14:paraId="57C88BA7" w14:textId="77777777" w:rsidR="00A858BC" w:rsidRPr="00471580" w:rsidRDefault="00A858BC" w:rsidP="00A858BC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 použití přístupu IRB k úvěrovému riziku</w:t>
      </w:r>
    </w:p>
    <w:p w14:paraId="43A264E7" w14:textId="691A398D" w:rsidR="00A858BC" w:rsidRPr="00471580" w:rsidRDefault="00A858BC" w:rsidP="00A858BC">
      <w:r w:rsidRPr="00471580">
        <w:t>Instituce, které počítají objemy rizikově vážených expozic podle přístupu IRB, zpřístupňují informace uvedené v článcích 438 a 452 a čl. 453 písm. g) a j) nařízení (EU) č. 575/2013 takto:</w:t>
      </w:r>
    </w:p>
    <w:p w14:paraId="4805C696" w14:textId="7CE09DAF" w:rsidR="00A858BC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926007" w:rsidRPr="00471580">
        <w:t>informace uvedené v čl. 452 písm. a) až f) nařízení (EU) č. 575/2013 za použití tabulky EU CRE a šablony EU CR6-A uvedených v příloze XXI tohoto nařízení a podle pokynů uvedených v příloze XXII tohoto nařízení;</w:t>
      </w:r>
    </w:p>
    <w:p w14:paraId="20A04C13" w14:textId="61469798" w:rsidR="00A858BC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926007" w:rsidRPr="00471580">
        <w:t>informace uvedené v čl. 452 písm. g) nařízení (EU) č. 575/2013 za použití šablony EU CR6 uvedené v příloze XXI tohoto nařízení a podle pokynů uvedených v příloze XXII tohoto nařízení;</w:t>
      </w:r>
    </w:p>
    <w:p w14:paraId="409337BD" w14:textId="5F2AFADA" w:rsidR="00A858BC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926007" w:rsidRPr="00471580">
        <w:t>informace uvedené v čl. 453 písm. g) a j) nařízení (EU) č. 575/2013 za použití šablon EU CR7-A a EU CR7 uvedených v příloze XXI tohoto nařízení a podle pokynů uvedených v příloze XXII tohoto nařízení;</w:t>
      </w:r>
    </w:p>
    <w:p w14:paraId="6ACE2865" w14:textId="0F9F9224" w:rsidR="00A858BC" w:rsidRPr="00471580" w:rsidRDefault="007F2F0A" w:rsidP="00705803">
      <w:pPr>
        <w:pStyle w:val="Point1"/>
        <w:ind w:left="567"/>
      </w:pPr>
      <w:r w:rsidRPr="007F2F0A">
        <w:t>d)</w:t>
      </w:r>
      <w:r w:rsidRPr="007F2F0A">
        <w:tab/>
      </w:r>
      <w:r w:rsidR="00926007" w:rsidRPr="00471580">
        <w:t>informace uvedené v čl. 438 písm. h) nařízení (EU) č. 575/2013 za použití šablony EU CR8 uvedené v příloze XXI tohoto nařízení a podle pokynů uvedených v příloze XXII tohoto nařízení;</w:t>
      </w:r>
    </w:p>
    <w:p w14:paraId="01F0A9A0" w14:textId="0CB825D5" w:rsidR="00A858BC" w:rsidRPr="00471580" w:rsidRDefault="007F2F0A" w:rsidP="00705803">
      <w:pPr>
        <w:pStyle w:val="Point1"/>
        <w:ind w:left="567"/>
      </w:pPr>
      <w:r w:rsidRPr="007F2F0A">
        <w:t>e)</w:t>
      </w:r>
      <w:r w:rsidRPr="007F2F0A">
        <w:tab/>
      </w:r>
      <w:r w:rsidR="00926007" w:rsidRPr="00471580">
        <w:t>informace uvedené v čl. 452 písm. h) nařízení (EU) č. 575/2013 za použití šablon EU CR9 a EU CR9.1 uvedených v příloze XXI tohoto nařízení a podle pokynů uvedených v příloze XXII tohoto nařízení.</w:t>
      </w:r>
    </w:p>
    <w:p w14:paraId="08A80737" w14:textId="3380DF94" w:rsidR="009675DD" w:rsidRPr="00471580" w:rsidRDefault="009675DD" w:rsidP="009675DD">
      <w:pPr>
        <w:pStyle w:val="Titrearticle"/>
      </w:pPr>
      <w:r w:rsidRPr="00471580">
        <w:t>Článek 12</w:t>
      </w:r>
    </w:p>
    <w:p w14:paraId="31298347" w14:textId="77777777" w:rsidR="00A858BC" w:rsidRPr="00471580" w:rsidRDefault="00A858BC" w:rsidP="00A858BC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 specializovaných úvěrových expozicích a akciových expozicích podle metody zjednodušené rizikové váhy</w:t>
      </w:r>
    </w:p>
    <w:p w14:paraId="209E1167" w14:textId="1F3573EF" w:rsidR="00A858BC" w:rsidRPr="00471580" w:rsidRDefault="00A858BC" w:rsidP="00A858BC">
      <w:r w:rsidRPr="00471580">
        <w:t>Instituce zpřístupňují informace uvedené v čl. 438 písm. e) nařízení (EU) č. 575/2013 za použití šablony EU CR10 uvedené v příloze XXIII tohoto nařízení a podle pokynů uvedených v příloze XXIV tohoto nařízení.</w:t>
      </w:r>
    </w:p>
    <w:p w14:paraId="6B0E661C" w14:textId="77777777" w:rsidR="00BF182F" w:rsidRPr="00471580" w:rsidRDefault="00BF182F" w:rsidP="00BF182F">
      <w:pPr>
        <w:pStyle w:val="Titrearticle"/>
      </w:pPr>
      <w:r w:rsidRPr="00471580">
        <w:t>Článek 13</w:t>
      </w:r>
    </w:p>
    <w:p w14:paraId="4275FD5E" w14:textId="77777777" w:rsidR="00A858BC" w:rsidRPr="00471580" w:rsidRDefault="00A858BC" w:rsidP="00A858BC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 expozicích vůči úvěrovému riziku protistrany</w:t>
      </w:r>
    </w:p>
    <w:p w14:paraId="4385E700" w14:textId="4D6F85B9" w:rsidR="00A858BC" w:rsidRPr="00471580" w:rsidRDefault="00A858BC" w:rsidP="00A858BC">
      <w:r w:rsidRPr="00471580">
        <w:t>Instituce zpřístupňují informace uvedené v čl. 438 písm. h) a článku 439 nařízení (EU) č. 575/2013 takto:</w:t>
      </w:r>
    </w:p>
    <w:p w14:paraId="02FBBB67" w14:textId="48C34AE0" w:rsidR="00A858BC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336F4D" w:rsidRPr="00471580">
        <w:t>informace uvedené v čl. 439 písm. a), b), c) a d) nařízení (EU) č. 575/2013 za použití tabulky EU CCRA uvedené v příloze XXV tohoto nařízení a podle pokynů uvedených v příloze XXVI tohoto nařízení;</w:t>
      </w:r>
    </w:p>
    <w:p w14:paraId="0E510E13" w14:textId="4232865D" w:rsidR="00A858BC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336F4D" w:rsidRPr="00471580">
        <w:t>informace uvedené v čl. 439 písm. f), g), k) a m) nařízení (EU) č. 575/2013 za použití šablony EU CCR1 uvedené v příloze XXV tohoto nařízení a podle pokynů uvedených v příloze XXVI tohoto nařízení;</w:t>
      </w:r>
    </w:p>
    <w:p w14:paraId="5695B676" w14:textId="6607B003" w:rsidR="00A858BC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336F4D" w:rsidRPr="00471580">
        <w:t>informace uvedené v čl. 439 písm. h) nařízení (EU) č. 575/2013 za použití šablony EU CCR2 uvedené v příloze XXV tohoto nařízení a podle pokynů uvedených v příloze XXVI tohoto nařízení;</w:t>
      </w:r>
    </w:p>
    <w:p w14:paraId="4885A941" w14:textId="6A478262" w:rsidR="00F31307" w:rsidRPr="00471580" w:rsidRDefault="007F2F0A" w:rsidP="00705803">
      <w:pPr>
        <w:pStyle w:val="Point1"/>
        <w:ind w:left="567"/>
      </w:pPr>
      <w:r w:rsidRPr="007F2F0A">
        <w:t>d)</w:t>
      </w:r>
      <w:r w:rsidRPr="007F2F0A">
        <w:tab/>
      </w:r>
      <w:r w:rsidR="00F31307" w:rsidRPr="00471580">
        <w:t>informace uvedené v čl. 439 písm. l) nařízení (EU) č. 575/2013 za použití šablon EU CCR3 a EU CCR4 uvedených v příloze XXV tohoto nařízení a podle pokynů uvedených v příloze XXVI tohoto nařízení;</w:t>
      </w:r>
    </w:p>
    <w:p w14:paraId="4ABAFB07" w14:textId="797686A4" w:rsidR="00F31307" w:rsidRPr="00471580" w:rsidRDefault="007F2F0A" w:rsidP="00705803">
      <w:pPr>
        <w:pStyle w:val="Point1"/>
        <w:ind w:left="567"/>
      </w:pPr>
      <w:r w:rsidRPr="007F2F0A">
        <w:t>e)</w:t>
      </w:r>
      <w:r w:rsidRPr="007F2F0A">
        <w:tab/>
      </w:r>
      <w:r w:rsidR="00F31307" w:rsidRPr="00471580">
        <w:t>informace uvedené v čl. 439 písm. e) nařízení (EU) č. 575/2013 za použití šablony EU CCR5 uvedené v příloze XXV tohoto nařízení a podle pokynů uvedených v příloze XXVI tohoto nařízení;</w:t>
      </w:r>
    </w:p>
    <w:p w14:paraId="023D2246" w14:textId="6D8C4FE2" w:rsidR="00F31307" w:rsidRPr="00471580" w:rsidRDefault="007F2F0A" w:rsidP="00705803">
      <w:pPr>
        <w:pStyle w:val="Point1"/>
        <w:ind w:left="567"/>
      </w:pPr>
      <w:r w:rsidRPr="007F2F0A">
        <w:t>f)</w:t>
      </w:r>
      <w:r w:rsidRPr="007F2F0A">
        <w:tab/>
      </w:r>
      <w:r w:rsidR="00F31307" w:rsidRPr="00471580">
        <w:t>informace uvedené v čl. 439 písm. j) nařízení (EU) č. 575/2013 za použití šablony EU CCR6 uvedené v příloze XXV tohoto nařízení a podle pokynů uvedených v příloze XXVI tohoto nařízení;</w:t>
      </w:r>
    </w:p>
    <w:p w14:paraId="7E588C07" w14:textId="5030ED85" w:rsidR="00262584" w:rsidRPr="00471580" w:rsidRDefault="007F2F0A" w:rsidP="00705803">
      <w:pPr>
        <w:pStyle w:val="Point1"/>
        <w:ind w:left="567"/>
      </w:pPr>
      <w:r w:rsidRPr="007F2F0A">
        <w:t>g)</w:t>
      </w:r>
      <w:r w:rsidRPr="007F2F0A">
        <w:tab/>
      </w:r>
      <w:r w:rsidR="00262584" w:rsidRPr="00471580">
        <w:t>informace uvedené v čl. 438 písm. h) nařízení (EU) č. 575/2013 za použití šablony EU CCR7 uvedené v příloze XXV tohoto nařízení a podle pokynů uvedených v příloze XXVI tohoto nařízení;</w:t>
      </w:r>
    </w:p>
    <w:p w14:paraId="2600D604" w14:textId="29801A1C" w:rsidR="00262584" w:rsidRPr="00471580" w:rsidRDefault="007F2F0A" w:rsidP="00705803">
      <w:pPr>
        <w:pStyle w:val="Point1"/>
        <w:ind w:left="567"/>
      </w:pPr>
      <w:r w:rsidRPr="007F2F0A">
        <w:t>h)</w:t>
      </w:r>
      <w:r w:rsidRPr="007F2F0A">
        <w:tab/>
      </w:r>
      <w:r w:rsidR="00262584" w:rsidRPr="00471580">
        <w:t xml:space="preserve">informace uvedené v čl. 439 písm. i) nařízení (EU) č. 575/2013 za použití šablony EU CCR8 uvedené v příloze XXV tohoto nařízení a podle pokynů uvedených v příloze XXVI tohoto nařízení. </w:t>
      </w:r>
    </w:p>
    <w:p w14:paraId="0C905D79" w14:textId="77777777" w:rsidR="00F91209" w:rsidRPr="00471580" w:rsidRDefault="00F91209" w:rsidP="00F91209">
      <w:pPr>
        <w:pStyle w:val="Titrearticle"/>
      </w:pPr>
      <w:r w:rsidRPr="00471580">
        <w:t>Článek 14</w:t>
      </w:r>
    </w:p>
    <w:p w14:paraId="195EA913" w14:textId="77777777" w:rsidR="00A858BC" w:rsidRPr="00471580" w:rsidRDefault="00A858BC" w:rsidP="00A858BC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 xml:space="preserve">Zpřístupňování informací o expozicích vůči sekuritizovaným pozicím </w:t>
      </w:r>
    </w:p>
    <w:p w14:paraId="5F8907A1" w14:textId="610CD7BF" w:rsidR="00A858BC" w:rsidRPr="00471580" w:rsidRDefault="00A858BC" w:rsidP="009777B7">
      <w:r w:rsidRPr="00471580">
        <w:t>Instituce zpřístupňují informace uvedené v článku 449 nařízení (EU) č. 575/2013 takto:</w:t>
      </w:r>
    </w:p>
    <w:p w14:paraId="26F6A181" w14:textId="11816A22" w:rsidR="009777B7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CE62E1" w:rsidRPr="00471580">
        <w:t>informace uvedené v čl. 449 písm. a) až i) nařízení (EU) č. 575/2013 za použití tabulky EU SECA uvedené v příloze XXVII tohoto nařízení a podle pokynů uvedených v příloze XXVIII tohoto nařízení;</w:t>
      </w:r>
    </w:p>
    <w:p w14:paraId="5E9E888F" w14:textId="0558D863" w:rsidR="009777B7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CE62E1" w:rsidRPr="00471580">
        <w:t>informace uvedené v čl. 449 písm. j) nařízení (EU) č. 575/2013 za použití šablon EU SEC1 a EU SEC2 uvedených v příloze XXVII tohoto nařízení a podle pokynů uvedených v příloze XXVIII tohoto nařízení;</w:t>
      </w:r>
    </w:p>
    <w:p w14:paraId="02E9C6B8" w14:textId="187D8742" w:rsidR="009777B7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336F4D" w:rsidRPr="00471580">
        <w:t>informace uvedené v čl. 449 písm. k) nařízení (EU) č. 575/2013 za použití šablon EU SEC3 a EU SEC4 uvedených v příloze XXVII tohoto nařízení a podle pokynů uvedených v příloze XXVIII tohoto nařízení;</w:t>
      </w:r>
    </w:p>
    <w:p w14:paraId="5D79427B" w14:textId="5DDB3DA3" w:rsidR="009777B7" w:rsidRPr="00471580" w:rsidRDefault="007F2F0A" w:rsidP="00705803">
      <w:pPr>
        <w:pStyle w:val="Point1"/>
        <w:ind w:left="567"/>
      </w:pPr>
      <w:r w:rsidRPr="007F2F0A">
        <w:t>d)</w:t>
      </w:r>
      <w:r w:rsidRPr="007F2F0A">
        <w:tab/>
      </w:r>
      <w:r w:rsidR="00336F4D" w:rsidRPr="00471580">
        <w:t>informace uvedené v čl. 449 písm. l) nařízení (EU) č. 575/2013 za použití šablony EU SEC5 uvedené v příloze XXVII tohoto nařízení a podle pokynů uvedených v příloze XXVIII tohoto nařízení.</w:t>
      </w:r>
    </w:p>
    <w:p w14:paraId="0FF84706" w14:textId="3A4DAB53" w:rsidR="00F91209" w:rsidRPr="00471580" w:rsidRDefault="00F91209" w:rsidP="00F91209">
      <w:pPr>
        <w:pStyle w:val="Titrearticle"/>
      </w:pPr>
      <w:r w:rsidRPr="00471580">
        <w:t>Článek 15</w:t>
      </w:r>
    </w:p>
    <w:p w14:paraId="42C96F98" w14:textId="2C104302" w:rsidR="009777B7" w:rsidRPr="00471580" w:rsidRDefault="009777B7" w:rsidP="009777B7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 použití standardizovaného přístupu a interních modelů pro tržní riziko</w:t>
      </w:r>
    </w:p>
    <w:p w14:paraId="44CAFFD2" w14:textId="1216C2A8" w:rsidR="009777B7" w:rsidRPr="00471580" w:rsidRDefault="009777B7" w:rsidP="00C2487C">
      <w:pPr>
        <w:pStyle w:val="NumPar1"/>
        <w:numPr>
          <w:ilvl w:val="0"/>
          <w:numId w:val="13"/>
        </w:numPr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článku 445 nařízení (EU) č. 575/2013 za použití šablony EU MR1 uvedené v příloze XXIX tohoto nařízení a podle pokynů uvedených v příloze XXX tohoto nařízení.</w:t>
      </w:r>
    </w:p>
    <w:p w14:paraId="3AC500D1" w14:textId="77777777" w:rsidR="009777B7" w:rsidRPr="00471580" w:rsidRDefault="009777B7" w:rsidP="00C2487C">
      <w:pPr>
        <w:pStyle w:val="NumPar1"/>
        <w:numPr>
          <w:ilvl w:val="0"/>
          <w:numId w:val="13"/>
        </w:numPr>
        <w:tabs>
          <w:tab w:val="clear" w:pos="850"/>
          <w:tab w:val="left" w:pos="567"/>
        </w:tabs>
        <w:ind w:left="0" w:firstLine="0"/>
      </w:pPr>
      <w:r w:rsidRPr="00471580">
        <w:t>Instituce zpřístupňují informace uvedené v článcích 435, 438 a 455 nařízení (EU) č. 575/2013 takto:</w:t>
      </w:r>
    </w:p>
    <w:p w14:paraId="32BD307D" w14:textId="3BC2C1F6" w:rsidR="009777B7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CE62E1" w:rsidRPr="00471580">
        <w:t>informace týkající se tržního rizika uvedené v čl. 435 odst. 1 písm. a) až d) nařízení (EU) č. 575/2013 za použití tabulky EU MRA uvedené v příloze XXIX tohoto nařízení a podle pokynů uvedených v příloze XXX tohoto nařízení;</w:t>
      </w:r>
    </w:p>
    <w:p w14:paraId="1EF9E7BB" w14:textId="4796C4F4" w:rsidR="009777B7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CE62E1" w:rsidRPr="00471580">
        <w:t>informace uvedené v čl. 455 písm. a), b), c) a f) nařízení (EU) č. 575/2013 za použití tabulky EU MRB uvedené v příloze XXIX tohoto nařízení a podle pokynů uvedených v příloze XXX tohoto nařízení;</w:t>
      </w:r>
    </w:p>
    <w:p w14:paraId="743BACE0" w14:textId="0C9FE8BD" w:rsidR="009777B7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CE62E1" w:rsidRPr="00471580">
        <w:t>informace uvedené v čl. 455 písm. e) nařízení (EU) č. 575/2013 za použití šablony EU MR2-A uvedené v příloze XXIX tohoto nařízení a podle pokynů uvedených v příloze XXX tohoto nařízení;</w:t>
      </w:r>
    </w:p>
    <w:p w14:paraId="3063F334" w14:textId="7329FA67" w:rsidR="009777B7" w:rsidRPr="00471580" w:rsidRDefault="007F2F0A" w:rsidP="00705803">
      <w:pPr>
        <w:pStyle w:val="Point1"/>
        <w:ind w:left="567"/>
      </w:pPr>
      <w:r w:rsidRPr="007F2F0A">
        <w:t>d)</w:t>
      </w:r>
      <w:r w:rsidRPr="007F2F0A">
        <w:tab/>
      </w:r>
      <w:r w:rsidR="00CE62E1" w:rsidRPr="00471580">
        <w:t>informace týkající se interních modelů pro tržní riziko, jež jsou uvedeny v čl. 438 písm. h) nařízení (EU) č. 575/2013, za použití šablony EU MR2-B uvedené v příloze XXIX tohoto nařízení a podle pokynů uvedených v příloze XXX tohoto nařízení;</w:t>
      </w:r>
    </w:p>
    <w:p w14:paraId="0575E60A" w14:textId="5C7B765B" w:rsidR="009777B7" w:rsidRPr="00471580" w:rsidRDefault="007F2F0A" w:rsidP="00705803">
      <w:pPr>
        <w:pStyle w:val="Point1"/>
        <w:ind w:left="567"/>
      </w:pPr>
      <w:r w:rsidRPr="007F2F0A">
        <w:t>e)</w:t>
      </w:r>
      <w:r w:rsidRPr="007F2F0A">
        <w:tab/>
      </w:r>
      <w:r w:rsidR="00CE62E1" w:rsidRPr="00471580">
        <w:t>informace uvedené v čl. 455 písm. d) nařízení (EU) č. 575/2013 za použití šablony EU MR3 uvedené v příloze XXIX tohoto nařízení a podle pokynů uvedených v příloze XXX tohoto nařízení;</w:t>
      </w:r>
    </w:p>
    <w:p w14:paraId="1706C070" w14:textId="10B7EAB6" w:rsidR="009777B7" w:rsidRPr="00471580" w:rsidRDefault="007F2F0A" w:rsidP="00705803">
      <w:pPr>
        <w:pStyle w:val="Point1"/>
        <w:ind w:left="567"/>
      </w:pPr>
      <w:r w:rsidRPr="007F2F0A">
        <w:t>f)</w:t>
      </w:r>
      <w:r w:rsidRPr="007F2F0A">
        <w:tab/>
      </w:r>
      <w:r w:rsidR="00CE62E1" w:rsidRPr="00471580">
        <w:t>informace uvedené v čl. 455 písm. g) nařízení (EU) č. 575/2013 za použití šablony EU MR4 uvedené v příloze XXIX tohoto nařízení a podle pokynů uvedených v příloze XXX tohoto nařízení.</w:t>
      </w:r>
    </w:p>
    <w:p w14:paraId="79114201" w14:textId="28128507" w:rsidR="00F91209" w:rsidRPr="00471580" w:rsidRDefault="00F91209" w:rsidP="00F91209">
      <w:pPr>
        <w:pStyle w:val="Titrearticle"/>
      </w:pPr>
      <w:r w:rsidRPr="00471580">
        <w:t>Článek 16</w:t>
      </w:r>
      <w:r w:rsidRPr="00471580">
        <w:fldChar w:fldCharType="begin"/>
      </w:r>
      <w:r w:rsidRPr="00471580">
        <w:instrText xml:space="preserve"> seq article </w:instrText>
      </w:r>
      <w:r w:rsidRPr="00471580">
        <w:fldChar w:fldCharType="end"/>
      </w:r>
    </w:p>
    <w:p w14:paraId="261E1ED8" w14:textId="77777777" w:rsidR="009777B7" w:rsidRPr="00471580" w:rsidRDefault="009777B7" w:rsidP="009777B7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 xml:space="preserve">Zpřístupňování informací o operačním riziku </w:t>
      </w:r>
    </w:p>
    <w:p w14:paraId="6C920F52" w14:textId="563573EB" w:rsidR="009777B7" w:rsidRPr="00471580" w:rsidRDefault="009777B7" w:rsidP="009777B7">
      <w:r w:rsidRPr="00471580">
        <w:t>Instituce zpřístupňují informace uvedené v článku 435, čl. 438 písm. d) a článcích 446 a 454 nařízení (EU) č. 575/2013 za použití tabulky EU ORA a šablony EU OR1 uvedených v příloze XXXI tohoto nařízení a podle pokynů uvedených v příloze XXXII tohoto nařízení.</w:t>
      </w:r>
    </w:p>
    <w:p w14:paraId="3A62A83D" w14:textId="5BACE9F7" w:rsidR="000C60D7" w:rsidRPr="00471580" w:rsidRDefault="000C60D7" w:rsidP="000C60D7">
      <w:pPr>
        <w:pStyle w:val="Titrearticle"/>
      </w:pPr>
      <w:r w:rsidRPr="00471580">
        <w:t>Článek 17</w:t>
      </w:r>
    </w:p>
    <w:p w14:paraId="75DCF1EA" w14:textId="77777777" w:rsidR="009777B7" w:rsidRPr="00471580" w:rsidRDefault="009777B7" w:rsidP="009777B7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Zpřístupňování informací o zásadách odměňování</w:t>
      </w:r>
    </w:p>
    <w:p w14:paraId="3839A255" w14:textId="7459AA9C" w:rsidR="009777B7" w:rsidRPr="00471580" w:rsidRDefault="009777B7" w:rsidP="009777B7">
      <w:pPr>
        <w:pStyle w:val="Titrearticle"/>
        <w:keepNext w:val="0"/>
        <w:tabs>
          <w:tab w:val="center" w:pos="4390"/>
        </w:tabs>
        <w:jc w:val="both"/>
        <w:rPr>
          <w:i w:val="0"/>
        </w:rPr>
      </w:pPr>
      <w:r w:rsidRPr="00471580">
        <w:rPr>
          <w:i w:val="0"/>
        </w:rPr>
        <w:t>Instituce zpřístupňují informace uvedené v článku 450 nařízení (EU) č. 575/2013 takto:</w:t>
      </w:r>
    </w:p>
    <w:p w14:paraId="16156854" w14:textId="5E6290E8" w:rsidR="009777B7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922950" w:rsidRPr="00471580">
        <w:t>informace uvedené v čl. 450 odst. 1 písm. a) až f) a písm. j) a k) a informace uvedené v čl. 450 odst. 2 uvedeného nařízení za použití tabulky EU REMA uvedené v příloze XXXIII tohoto nařízení a podle pokynů uvedených v příloze XXXIV tohoto nařízení;</w:t>
      </w:r>
    </w:p>
    <w:p w14:paraId="4E502300" w14:textId="446979ED" w:rsidR="009777B7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922950" w:rsidRPr="00471580">
        <w:t>informace uvedené v čl. 450 odst. 1 písm. h) bodě i) a písm. h) bodě ii) nařízení (EU) č. 575/2013 za použití šablony EU REM1 uvedené v příloze XXXIII tohoto nařízení a podle pokynů uvedených v příloze XXXIV tohoto nařízení;</w:t>
      </w:r>
    </w:p>
    <w:p w14:paraId="735B9196" w14:textId="2C17A111" w:rsidR="009777B7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922950" w:rsidRPr="00471580">
        <w:t>informace uvedené v čl. 450 odst. 1 písm. h) bodě v), písm. h) bodě vi) a písm. h) bodě vii) nařízení (EU) č. 575/2013 za použití šablony EU REM2 uvedené v příloze XXXIII tohoto nařízení a podle pokynů uvedených v příloze XXXIV tohoto nařízení;</w:t>
      </w:r>
    </w:p>
    <w:p w14:paraId="1AED187D" w14:textId="5D07A9AB" w:rsidR="009777B7" w:rsidRPr="00471580" w:rsidRDefault="007F2F0A" w:rsidP="00705803">
      <w:pPr>
        <w:pStyle w:val="Point1"/>
        <w:ind w:left="567"/>
      </w:pPr>
      <w:r w:rsidRPr="007F2F0A">
        <w:t>d)</w:t>
      </w:r>
      <w:r w:rsidRPr="007F2F0A">
        <w:tab/>
      </w:r>
      <w:r w:rsidR="00922950" w:rsidRPr="00471580">
        <w:t>informace uvedené v čl. 450 odst. 1 písm. h) bodě iii) a písm. h) bodě iv) nařízení (EU) č. 575/2013 za použití šablony EU REM3 uvedené v příloze XXXIII tohoto nařízení a podle pokynů uvedených v příloze XXXIV tohoto nařízení;</w:t>
      </w:r>
    </w:p>
    <w:p w14:paraId="14D12398" w14:textId="29A14385" w:rsidR="009777B7" w:rsidRPr="00471580" w:rsidRDefault="007F2F0A" w:rsidP="00705803">
      <w:pPr>
        <w:pStyle w:val="Point1"/>
        <w:ind w:left="567"/>
      </w:pPr>
      <w:r w:rsidRPr="007F2F0A">
        <w:t>e)</w:t>
      </w:r>
      <w:r w:rsidRPr="007F2F0A">
        <w:tab/>
      </w:r>
      <w:r w:rsidR="009B4728" w:rsidRPr="00471580">
        <w:t>informace uvedené v čl. 450 odst. 1 písm. g) a i) nařízení (EU) č. 575/2013 za použití šablon EU REM4 a EU REM5 uvedených v příloze XXXIII tohoto nařízení a podle pokynů uvedených v příloze XXXIV tohoto nařízení.</w:t>
      </w:r>
    </w:p>
    <w:p w14:paraId="364F29D4" w14:textId="57B2B161" w:rsidR="000C60D7" w:rsidRPr="00471580" w:rsidRDefault="000C60D7" w:rsidP="006A7F00">
      <w:pPr>
        <w:pStyle w:val="Titrearticle"/>
        <w:ind w:left="567" w:hanging="567"/>
      </w:pPr>
      <w:r w:rsidRPr="00471580">
        <w:t>Článek 18</w:t>
      </w:r>
    </w:p>
    <w:p w14:paraId="160478EB" w14:textId="77777777" w:rsidR="00701631" w:rsidRPr="00471580" w:rsidRDefault="00701631" w:rsidP="00701631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 xml:space="preserve">Zpřístupňování informací o zatížených a nezatížených aktivech </w:t>
      </w:r>
    </w:p>
    <w:p w14:paraId="449F8D1D" w14:textId="124DE705" w:rsidR="00701631" w:rsidRPr="00471580" w:rsidRDefault="00701631" w:rsidP="006A7F00">
      <w:pPr>
        <w:spacing w:after="360"/>
      </w:pPr>
      <w:r w:rsidRPr="00471580">
        <w:t>Instituce zpřístupňují informace uvedené v článku 443 nařízení (EU) č. 575/2013 za použití šablon EU AE1, EU AE2 a EU AE3 a tabulky EU AE4 uvedených v příloze XXXV tohoto nařízení a podle pokynů uvedených v příloze XXXVI tohoto nařízení.</w:t>
      </w:r>
    </w:p>
    <w:p w14:paraId="14363D9F" w14:textId="77777777" w:rsidR="00701631" w:rsidRPr="00471580" w:rsidRDefault="00701631" w:rsidP="00701631">
      <w:pPr>
        <w:pStyle w:val="ChapterTitle"/>
      </w:pPr>
    </w:p>
    <w:p w14:paraId="7FE6B268" w14:textId="77777777" w:rsidR="000C60D7" w:rsidRPr="00471580" w:rsidRDefault="000C60D7" w:rsidP="000C60D7">
      <w:pPr>
        <w:pStyle w:val="Titrearticle"/>
      </w:pPr>
      <w:r w:rsidRPr="00471580">
        <w:t>Článek 19</w:t>
      </w:r>
    </w:p>
    <w:p w14:paraId="3E8EF4AC" w14:textId="77777777" w:rsidR="00701631" w:rsidRPr="00471580" w:rsidRDefault="00701631" w:rsidP="00701631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Obecná ustanovení</w:t>
      </w:r>
    </w:p>
    <w:p w14:paraId="0D4D4A8C" w14:textId="665CD0FC" w:rsidR="00701631" w:rsidRPr="00471580" w:rsidRDefault="008A6A1E" w:rsidP="00C2487C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71580">
        <w:t>V případě, že instituce některé informace v souladu s článkem 432 nařízení (EU) č. 575/2013 nezpřístupní, číslování řádků ani sloupců se nemění.</w:t>
      </w:r>
    </w:p>
    <w:p w14:paraId="69318B17" w14:textId="6616639A" w:rsidR="00701631" w:rsidRPr="00471580" w:rsidRDefault="00701631" w:rsidP="00C2487C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71580">
        <w:t>Instituce v průvodním komentáři k dané šabloně nebo tabulce jasně uvedou, které řádky či sloupce nejsou vyplněny a z jakého důvodu byly informace vynechány.</w:t>
      </w:r>
    </w:p>
    <w:p w14:paraId="2CB1CDF8" w14:textId="03F7F293" w:rsidR="00701631" w:rsidRPr="00471580" w:rsidRDefault="00701631" w:rsidP="00C2487C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71580">
        <w:t>Informace požadované podle článku 431 nařízení (EU) č. 575/2013 musí být uvedeny jasně a komplexně, aby uživatelé příslušných informací daným zpřístupněným kvantitativním informacím porozuměli, a musí být umístěny vedle šablon, k nimž se příslušné informace vztahují.</w:t>
      </w:r>
    </w:p>
    <w:p w14:paraId="3C376A0D" w14:textId="77777777" w:rsidR="00701631" w:rsidRPr="00471580" w:rsidRDefault="008A6A1E" w:rsidP="00C2487C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71580">
        <w:t>Číselné hodnoty se předkládají takto:</w:t>
      </w:r>
    </w:p>
    <w:p w14:paraId="34EC4F16" w14:textId="11253D5B" w:rsidR="00701631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6A7F00" w:rsidRPr="00471580">
        <w:t>kvantitativní peněžní údaje se zpřístupní s minimální přesností odpovídající milionům jednotek;</w:t>
      </w:r>
    </w:p>
    <w:p w14:paraId="68A2DB14" w14:textId="56A97137" w:rsidR="00701631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6A7F00" w:rsidRPr="00471580">
        <w:t>kvantitativní údaje zpřístupněné v „procentech“ se pro každou jednotku vyjádří s minimální přesností odpovídající čtyřem desetinným místům.</w:t>
      </w:r>
    </w:p>
    <w:p w14:paraId="4ABB712C" w14:textId="23EAACA3" w:rsidR="00701631" w:rsidRPr="00471580" w:rsidRDefault="007C003F" w:rsidP="00C2487C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71580">
        <w:t>Instituce vedle informací zpřístupněných v souladu s tímto nařízením dále předloží tyto informace:</w:t>
      </w:r>
    </w:p>
    <w:p w14:paraId="13F175D6" w14:textId="0A26A5DB" w:rsidR="00701631" w:rsidRPr="00471580" w:rsidRDefault="007F2F0A" w:rsidP="00705803">
      <w:pPr>
        <w:pStyle w:val="Point1"/>
        <w:ind w:left="567"/>
      </w:pPr>
      <w:r w:rsidRPr="007F2F0A">
        <w:t>a)</w:t>
      </w:r>
      <w:r w:rsidRPr="007F2F0A">
        <w:tab/>
      </w:r>
      <w:r w:rsidR="00701631" w:rsidRPr="00471580">
        <w:t xml:space="preserve">referenční datum zpřístupňování informací a referenční období; </w:t>
      </w:r>
    </w:p>
    <w:p w14:paraId="314245D8" w14:textId="51494A67" w:rsidR="00701631" w:rsidRPr="00471580" w:rsidRDefault="007F2F0A" w:rsidP="00705803">
      <w:pPr>
        <w:pStyle w:val="Point1"/>
        <w:ind w:left="567"/>
      </w:pPr>
      <w:r w:rsidRPr="007F2F0A">
        <w:t>b)</w:t>
      </w:r>
      <w:r w:rsidRPr="007F2F0A">
        <w:tab/>
      </w:r>
      <w:r w:rsidR="00701631" w:rsidRPr="00471580">
        <w:t xml:space="preserve">vykazovací měnu; </w:t>
      </w:r>
    </w:p>
    <w:p w14:paraId="567E44A9" w14:textId="70704B2F" w:rsidR="00701631" w:rsidRPr="00471580" w:rsidRDefault="007F2F0A" w:rsidP="00705803">
      <w:pPr>
        <w:pStyle w:val="Point1"/>
        <w:ind w:left="567"/>
      </w:pPr>
      <w:r w:rsidRPr="007F2F0A">
        <w:t>c)</w:t>
      </w:r>
      <w:r w:rsidRPr="007F2F0A">
        <w:tab/>
      </w:r>
      <w:r w:rsidR="00701631" w:rsidRPr="00471580">
        <w:t>název instituce, jež informace zpřístupňuje, a v příslušných případech její identifikační kód právnické osoby;</w:t>
      </w:r>
    </w:p>
    <w:p w14:paraId="451CF564" w14:textId="6F688700" w:rsidR="00701631" w:rsidRPr="00471580" w:rsidRDefault="007F2F0A" w:rsidP="00705803">
      <w:pPr>
        <w:pStyle w:val="Point1"/>
        <w:ind w:left="567"/>
      </w:pPr>
      <w:r w:rsidRPr="007F2F0A">
        <w:t>d)</w:t>
      </w:r>
      <w:r w:rsidRPr="007F2F0A">
        <w:tab/>
      </w:r>
      <w:r w:rsidR="00701631" w:rsidRPr="00471580">
        <w:t>v příslušných případech použitý účetní standard;</w:t>
      </w:r>
    </w:p>
    <w:p w14:paraId="02FEC9AF" w14:textId="31F8462D" w:rsidR="00701631" w:rsidRPr="00471580" w:rsidRDefault="007F2F0A" w:rsidP="00705803">
      <w:pPr>
        <w:pStyle w:val="Point1"/>
        <w:ind w:left="567"/>
      </w:pPr>
      <w:r w:rsidRPr="007F2F0A">
        <w:t>e)</w:t>
      </w:r>
      <w:r w:rsidRPr="007F2F0A">
        <w:tab/>
      </w:r>
      <w:r w:rsidR="00701631" w:rsidRPr="00471580">
        <w:t>v příslušných případech rozsah konsolidace.</w:t>
      </w:r>
    </w:p>
    <w:p w14:paraId="2B58C852" w14:textId="35679235" w:rsidR="00701631" w:rsidRPr="00471580" w:rsidRDefault="00701631" w:rsidP="00701631">
      <w:pPr>
        <w:pStyle w:val="ChapterTitle"/>
      </w:pPr>
    </w:p>
    <w:p w14:paraId="0809B9F0" w14:textId="77777777" w:rsidR="00480310" w:rsidRPr="00471580" w:rsidRDefault="00480310" w:rsidP="00480310">
      <w:pPr>
        <w:pStyle w:val="Titrearticle"/>
      </w:pPr>
      <w:r w:rsidRPr="00471580">
        <w:t>Článek 20</w:t>
      </w:r>
    </w:p>
    <w:p w14:paraId="3C483BD6" w14:textId="77777777" w:rsidR="00701631" w:rsidRPr="00471580" w:rsidRDefault="00701631" w:rsidP="00701631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Zrušení</w:t>
      </w:r>
    </w:p>
    <w:p w14:paraId="3A2C5124" w14:textId="5C677A63" w:rsidR="00701631" w:rsidRPr="00471580" w:rsidRDefault="00701631" w:rsidP="00CE5120">
      <w:r w:rsidRPr="00471580">
        <w:t>Prováděcí nařízení (EU) č. 1423/2013, nařízení v přenesené pravomoci (EU) 2015/1555, prováděcí nařízení (EU) 2016/200 a nařízení v přenesené pravomoci (EU) 2017/2295 se zrušují.</w:t>
      </w:r>
    </w:p>
    <w:p w14:paraId="5131A818" w14:textId="1E314DFE" w:rsidR="00701631" w:rsidRPr="00471580" w:rsidRDefault="00701631" w:rsidP="00CE5120"/>
    <w:p w14:paraId="790A8EA3" w14:textId="08CF0E19" w:rsidR="00480310" w:rsidRPr="00471580" w:rsidRDefault="00480310" w:rsidP="00480310">
      <w:pPr>
        <w:pStyle w:val="Titrearticle"/>
        <w:spacing w:before="120"/>
      </w:pPr>
      <w:r w:rsidRPr="00471580">
        <w:t>Článek 21</w:t>
      </w:r>
    </w:p>
    <w:p w14:paraId="250EEEF7" w14:textId="77777777" w:rsidR="003A35E9" w:rsidRPr="00471580" w:rsidRDefault="003A35E9" w:rsidP="003A35E9">
      <w:pPr>
        <w:pStyle w:val="Titrearticle"/>
        <w:spacing w:before="120"/>
        <w:rPr>
          <w:b/>
          <w:i w:val="0"/>
        </w:rPr>
      </w:pPr>
      <w:r w:rsidRPr="00471580">
        <w:rPr>
          <w:b/>
          <w:i w:val="0"/>
        </w:rPr>
        <w:t>Vstup v platnost</w:t>
      </w:r>
    </w:p>
    <w:p w14:paraId="48F23500" w14:textId="77777777" w:rsidR="0004170D" w:rsidRPr="00471580" w:rsidRDefault="0004170D" w:rsidP="009675DD">
      <w:r w:rsidRPr="00471580">
        <w:t>Toto nařízení vstupuje v platnost dvacátým dnem po vyhlášení v </w:t>
      </w:r>
      <w:r w:rsidRPr="00471580">
        <w:rPr>
          <w:i/>
        </w:rPr>
        <w:t>Úředním věstníku Evropské unie</w:t>
      </w:r>
      <w:r w:rsidRPr="00471580">
        <w:t>.</w:t>
      </w:r>
    </w:p>
    <w:p w14:paraId="0EE80E7B" w14:textId="77777777" w:rsidR="00FF364B" w:rsidRPr="00471580" w:rsidRDefault="00FF364B" w:rsidP="00FF364B">
      <w:r w:rsidRPr="00471580">
        <w:t>Použije se ode dne 28. června 2021.</w:t>
      </w:r>
    </w:p>
    <w:p w14:paraId="7780311D" w14:textId="77777777" w:rsidR="0004170D" w:rsidRPr="00471580" w:rsidRDefault="0004170D" w:rsidP="009675DD">
      <w:pPr>
        <w:pStyle w:val="Applicationdirecte"/>
      </w:pPr>
      <w:r w:rsidRPr="00471580">
        <w:t>Toto nařízení je závazné v celém rozsahu a přímo použitelné ve všech členských státech.</w:t>
      </w:r>
    </w:p>
    <w:p w14:paraId="0BE91ABA" w14:textId="25632111" w:rsidR="0004170D" w:rsidRPr="00471580" w:rsidRDefault="00471580" w:rsidP="00471580">
      <w:pPr>
        <w:pStyle w:val="Fait"/>
      </w:pPr>
      <w:r w:rsidRPr="00471580">
        <w:t>V Bruselu dne</w:t>
      </w:r>
    </w:p>
    <w:p w14:paraId="08B30859" w14:textId="77777777" w:rsidR="0004170D" w:rsidRPr="00471580" w:rsidRDefault="0004170D" w:rsidP="0004170D">
      <w:pPr>
        <w:pStyle w:val="Institutionquisigne"/>
      </w:pPr>
      <w:r w:rsidRPr="00471580">
        <w:tab/>
        <w:t>Za Komisi</w:t>
      </w:r>
    </w:p>
    <w:p w14:paraId="53FCF827" w14:textId="77777777" w:rsidR="00553957" w:rsidRPr="00471580" w:rsidRDefault="0004170D" w:rsidP="0004170D">
      <w:pPr>
        <w:pStyle w:val="Personnequisigne"/>
      </w:pPr>
      <w:r w:rsidRPr="00471580">
        <w:tab/>
        <w:t>předsedkyně</w:t>
      </w:r>
    </w:p>
    <w:p w14:paraId="5753E957" w14:textId="4CF92A3E" w:rsidR="0004170D" w:rsidRPr="00471580" w:rsidRDefault="00553957" w:rsidP="0004170D">
      <w:pPr>
        <w:pStyle w:val="Personnequisigne"/>
      </w:pPr>
      <w:r w:rsidRPr="00471580">
        <w:tab/>
        <w:t>Ursula von der Leyen</w:t>
      </w:r>
      <w:r w:rsidRPr="00471580">
        <w:br/>
      </w:r>
      <w:r w:rsidRPr="00471580">
        <w:tab/>
      </w:r>
      <w:r w:rsidRPr="00471580">
        <w:br/>
      </w:r>
      <w:r w:rsidRPr="00471580">
        <w:tab/>
      </w:r>
      <w:r w:rsidRPr="00471580">
        <w:br/>
      </w:r>
      <w:r w:rsidRPr="00471580">
        <w:br/>
      </w:r>
      <w:r w:rsidRPr="00471580">
        <w:tab/>
      </w:r>
    </w:p>
    <w:sectPr w:rsidR="0004170D" w:rsidRPr="00471580" w:rsidSect="00145423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439D9" w14:textId="77777777" w:rsidR="00D642C6" w:rsidRDefault="00D642C6" w:rsidP="0004170D">
      <w:pPr>
        <w:spacing w:before="0" w:after="0"/>
      </w:pPr>
      <w:r>
        <w:separator/>
      </w:r>
    </w:p>
  </w:endnote>
  <w:endnote w:type="continuationSeparator" w:id="0">
    <w:p w14:paraId="134D70AD" w14:textId="77777777" w:rsidR="00D642C6" w:rsidRDefault="00D642C6" w:rsidP="0004170D">
      <w:pPr>
        <w:spacing w:before="0" w:after="0"/>
      </w:pPr>
      <w:r>
        <w:continuationSeparator/>
      </w:r>
    </w:p>
  </w:endnote>
  <w:endnote w:type="continuationNotice" w:id="1">
    <w:p w14:paraId="1724D46A" w14:textId="77777777" w:rsidR="00D642C6" w:rsidRDefault="00D642C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612B" w14:textId="01B30FF7" w:rsidR="00D642C6" w:rsidRPr="00145423" w:rsidRDefault="00145423" w:rsidP="00145423">
    <w:pPr>
      <w:pStyle w:val="Footer"/>
      <w:rPr>
        <w:rFonts w:ascii="Arial" w:hAnsi="Arial" w:cs="Arial"/>
        <w:b/>
        <w:sz w:val="48"/>
      </w:rPr>
    </w:pPr>
    <w:r w:rsidRPr="00145423">
      <w:rPr>
        <w:rFonts w:ascii="Arial" w:hAnsi="Arial" w:cs="Arial"/>
        <w:b/>
        <w:sz w:val="48"/>
      </w:rPr>
      <w:t>CS</w:t>
    </w:r>
    <w:r w:rsidRPr="00145423">
      <w:rPr>
        <w:rFonts w:ascii="Arial" w:hAnsi="Arial" w:cs="Arial"/>
        <w:b/>
        <w:sz w:val="48"/>
      </w:rPr>
      <w:tab/>
    </w:r>
    <w:r w:rsidRPr="00145423">
      <w:rPr>
        <w:rFonts w:ascii="Arial" w:hAnsi="Arial" w:cs="Arial"/>
        <w:b/>
        <w:sz w:val="48"/>
      </w:rPr>
      <w:tab/>
    </w:r>
    <w:r w:rsidRPr="00145423">
      <w:tab/>
    </w:r>
    <w:r w:rsidRPr="00145423">
      <w:rPr>
        <w:rFonts w:ascii="Arial" w:hAnsi="Arial" w:cs="Arial"/>
        <w:b/>
        <w:sz w:val="48"/>
      </w:rPr>
      <w:t>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38261" w14:textId="0EFFF076" w:rsidR="00145423" w:rsidRPr="00145423" w:rsidRDefault="00145423" w:rsidP="00145423">
    <w:pPr>
      <w:pStyle w:val="Footer"/>
      <w:rPr>
        <w:rFonts w:ascii="Arial" w:hAnsi="Arial" w:cs="Arial"/>
        <w:b/>
        <w:sz w:val="48"/>
      </w:rPr>
    </w:pPr>
    <w:r w:rsidRPr="00145423">
      <w:rPr>
        <w:rFonts w:ascii="Arial" w:hAnsi="Arial" w:cs="Arial"/>
        <w:b/>
        <w:sz w:val="48"/>
      </w:rPr>
      <w:t>CS</w:t>
    </w:r>
    <w:r w:rsidRPr="00145423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B82927">
      <w:rPr>
        <w:noProof/>
      </w:rPr>
      <w:t>2</w:t>
    </w:r>
    <w:r>
      <w:fldChar w:fldCharType="end"/>
    </w:r>
    <w:r>
      <w:tab/>
    </w:r>
    <w:r w:rsidRPr="00145423">
      <w:tab/>
    </w:r>
    <w:r w:rsidRPr="00145423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7B54C" w14:textId="77777777" w:rsidR="00145423" w:rsidRPr="00145423" w:rsidRDefault="00145423" w:rsidP="00145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2F737" w14:textId="77777777" w:rsidR="00D642C6" w:rsidRDefault="00D642C6" w:rsidP="0004170D">
      <w:pPr>
        <w:spacing w:before="0" w:after="0"/>
      </w:pPr>
      <w:r>
        <w:separator/>
      </w:r>
    </w:p>
  </w:footnote>
  <w:footnote w:type="continuationSeparator" w:id="0">
    <w:p w14:paraId="749DF679" w14:textId="77777777" w:rsidR="00D642C6" w:rsidRDefault="00D642C6" w:rsidP="0004170D">
      <w:pPr>
        <w:spacing w:before="0" w:after="0"/>
      </w:pPr>
      <w:r>
        <w:continuationSeparator/>
      </w:r>
    </w:p>
  </w:footnote>
  <w:footnote w:type="continuationNotice" w:id="1">
    <w:p w14:paraId="4A2CD802" w14:textId="77777777" w:rsidR="00D642C6" w:rsidRDefault="00D642C6">
      <w:pPr>
        <w:spacing w:before="0" w:after="0"/>
      </w:pPr>
    </w:p>
  </w:footnote>
  <w:footnote w:id="2">
    <w:p w14:paraId="342936E7" w14:textId="77777777" w:rsidR="00D642C6" w:rsidRPr="005823FE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Úř. věst. L 176, 27.6.2013, s. 1.</w:t>
      </w:r>
    </w:p>
  </w:footnote>
  <w:footnote w:id="3">
    <w:p w14:paraId="0882B9E0" w14:textId="0727DECC" w:rsidR="00D642C6" w:rsidRPr="003460F1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 xml:space="preserve">Basilejský výbor pro bankovní dohled při Bance pro mezinárodní platby, </w:t>
      </w:r>
      <w:r>
        <w:rPr>
          <w:i/>
        </w:rPr>
        <w:t>Požadavky na zveřejňování informací</w:t>
      </w:r>
      <w:r>
        <w:t xml:space="preserve">, prosinec 2019. </w:t>
      </w:r>
    </w:p>
  </w:footnote>
  <w:footnote w:id="4">
    <w:p w14:paraId="13EE838B" w14:textId="394F43A6" w:rsidR="00D642C6" w:rsidRPr="00A72EF0" w:rsidRDefault="004328FB" w:rsidP="00A72EF0">
      <w:pPr>
        <w:pStyle w:val="FootnoteText"/>
        <w:ind w:left="567" w:hanging="567"/>
        <w:rPr>
          <w:rStyle w:val="FootnoteReference"/>
          <w:vertAlign w:val="baseline"/>
        </w:rPr>
      </w:pPr>
      <w:r>
        <w:rPr>
          <w:rStyle w:val="FootnoteReference"/>
        </w:rPr>
        <w:footnoteRef/>
      </w:r>
      <w:r>
        <w:tab/>
        <w:t>Nařízení Evropského parlamentu a Rady (EU) č. 575/2013 ze dne 26. června 2013 o obezřetnostních požadavcích na úvěrové instituce a investiční podniky a o změně nařízení (EU) č. 648/2012 (</w:t>
      </w:r>
      <w:hyperlink r:id="rId1" w:history="1">
        <w:r>
          <w:rPr>
            <w:rStyle w:val="Hyperlink"/>
          </w:rPr>
          <w:t>Úř. věst. L 176, 27.6.2013, s. 1</w:t>
        </w:r>
      </w:hyperlink>
      <w:r>
        <w:t>).</w:t>
      </w:r>
    </w:p>
  </w:footnote>
  <w:footnote w:id="5">
    <w:p w14:paraId="40392A66" w14:textId="77777777" w:rsidR="00D642C6" w:rsidRPr="00587191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Prováděcí nařízení Komise (EU) č. 1423/2013 ze dne 20. prosince 2013, kterým se stanoví prováděcí technické normy, pokud jde o požadavky na zpřístupňování informací o kapitálu uložené institucím podle nařízení Evropského parlamentu a Rady (EU) č. 575/2013 (Úř. věst. L 355, 31.12.2013, s. 60).</w:t>
      </w:r>
    </w:p>
  </w:footnote>
  <w:footnote w:id="6">
    <w:p w14:paraId="6C1C6468" w14:textId="77777777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Nařízení Komise v přenesené pravomoci (EU) 2015/1555 ze dne 28. května 2015, kterým se doplňuje nařízení Evropského parlamentu a Rady (EU) č. 575/2013, pokud jde o regulační technické normy pro zpřístupňování informací týkajících se dodržování požadavku na proticycklickou kapitálovou rezervu ze strany institucí v souladu s článkem 440 (Úř. věst. L 244, 19.9.2015, s. 1).</w:t>
      </w:r>
    </w:p>
  </w:footnote>
  <w:footnote w:id="7">
    <w:p w14:paraId="1844C7BE" w14:textId="77777777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Prováděcí nařízení Komise (EU) 2016/200 ze dne 15. února 2016, kterým se stanoví prováděcí technické normy, pokud jde o zpřístupňování informací o pákovém poměru institucí podle nařízení Evropského parlamentu a Rady (EU) č. 575/2013 (Úř. věst. L 39, 16.2.2016, s. 5).</w:t>
      </w:r>
    </w:p>
  </w:footnote>
  <w:footnote w:id="8">
    <w:p w14:paraId="21AF9579" w14:textId="77777777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Nařízení Komise v přenesené pravomoci (EU) 2017/2295 ze dne 4. září 2017, kterým se doplňuje nařízení Evropského parlamentu a Rady (EU) č. 575/2013, pokud jde o regulační technické normy pro zveřejňování zatížených a nezatížených aktiv (Úř. věst. L 329, 13.12.2017, s. 6).</w:t>
      </w:r>
    </w:p>
  </w:footnote>
  <w:footnote w:id="9">
    <w:p w14:paraId="68060770" w14:textId="1ABE36E0" w:rsidR="00D642C6" w:rsidRPr="00A72EF0" w:rsidRDefault="00D642C6" w:rsidP="00967C7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Obecné pokyny orgánu EBA ze dne 17. prosince 2018 ke zpřístupňování informací o nevýkonných expozicích a expozicích s úlevou (EBA/GL/2018/10).</w:t>
      </w:r>
    </w:p>
  </w:footnote>
  <w:footnote w:id="10">
    <w:p w14:paraId="4A5854A4" w14:textId="5C50A76E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Nařízení Evropského parlamentu a Rady (EU) 2017/2401 ze dne 12. prosince 2017, kterým se mění nařízení (EU) č. 575/2013 o obezřetnostních požadavcích na úvěrové instituce a investiční podniky (Úř. věst. L 347, 28.12.2017, s. 1).</w:t>
      </w:r>
    </w:p>
  </w:footnote>
  <w:footnote w:id="11">
    <w:p w14:paraId="39B3E235" w14:textId="2597E55D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</w:r>
      <w:r>
        <w:rPr>
          <w:shd w:val="clear" w:color="auto" w:fill="FFFFFF"/>
        </w:rPr>
        <w:t>Nařízení Evropského parlamentu a Rady (EU) 2017/2402 ze dne 12. prosince 2017, kterým se stanoví obecný rámec pro sekuritizaci a vytváří se zvláštní rámec pro jednoduchou, transparentní a standardizovanou sekuritizaci a kterým se mění směrnice 2009/65/ES, 2009/138/ES, 2011/61/EU a nařízení (ES) č. 1060/2009 a (EU) č. 648/2012 (</w:t>
      </w:r>
      <w:r>
        <w:t>Úř. věst. L 347, 28.12.2017, s. 35</w:t>
      </w:r>
      <w:r>
        <w:rPr>
          <w:shd w:val="clear" w:color="auto" w:fill="FFFFFF"/>
        </w:rPr>
        <w:t>).</w:t>
      </w:r>
    </w:p>
  </w:footnote>
  <w:footnote w:id="12">
    <w:p w14:paraId="44F9E1CC" w14:textId="0E4BE9E6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Nařízení Evropského parlamentu a Rady (EU) č. 1093/2010 ze dne 24. listopadu 2010 o zřízení Evropského orgánu dohledu (Evropského orgánu pro bankovnictví), o změně rozhodnutí č. 716/2009/ES a o zrušení rozhodnutí Komise 2009/78/ES (Úř. věst. L 331, 15.12.2010, s.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DB98189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81A8D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878EBD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61AF8D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B5823E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118AF1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A06CD6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3FAD0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2026DC68"/>
    <w:lvl w:ilvl="0" w:tplc="1890AE56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359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2"/>
  </w:num>
  <w:num w:numId="18">
    <w:abstractNumId w:val="21"/>
  </w:num>
  <w:num w:numId="19">
    <w:abstractNumId w:val="11"/>
  </w:num>
  <w:num w:numId="20">
    <w:abstractNumId w:val="13"/>
  </w:num>
  <w:num w:numId="21">
    <w:abstractNumId w:val="9"/>
  </w:num>
  <w:num w:numId="22">
    <w:abstractNumId w:val="20"/>
  </w:num>
  <w:num w:numId="23">
    <w:abstractNumId w:val="8"/>
  </w:num>
  <w:num w:numId="24">
    <w:abstractNumId w:val="14"/>
  </w:num>
  <w:num w:numId="25">
    <w:abstractNumId w:val="17"/>
  </w:num>
  <w:num w:numId="26">
    <w:abstractNumId w:val="18"/>
  </w:num>
  <w:num w:numId="27">
    <w:abstractNumId w:val="10"/>
  </w:num>
  <w:num w:numId="28">
    <w:abstractNumId w:val="16"/>
  </w:num>
  <w:num w:numId="29">
    <w:abstractNumId w:val="22"/>
  </w:num>
  <w:num w:numId="30">
    <w:abstractNumId w:val="19"/>
  </w:num>
  <w:num w:numId="31">
    <w:abstractNumId w:val="12"/>
  </w:num>
  <w:num w:numId="32">
    <w:abstractNumId w:val="21"/>
  </w:num>
  <w:num w:numId="33">
    <w:abstractNumId w:val="11"/>
  </w:num>
  <w:num w:numId="34">
    <w:abstractNumId w:val="13"/>
  </w:num>
  <w:num w:numId="35">
    <w:abstractNumId w:val="9"/>
  </w:num>
  <w:num w:numId="36">
    <w:abstractNumId w:val="20"/>
  </w:num>
  <w:num w:numId="37">
    <w:abstractNumId w:val="8"/>
  </w:num>
  <w:num w:numId="38">
    <w:abstractNumId w:val="14"/>
  </w:num>
  <w:num w:numId="39">
    <w:abstractNumId w:val="17"/>
  </w:num>
  <w:num w:numId="40">
    <w:abstractNumId w:val="18"/>
  </w:num>
  <w:num w:numId="41">
    <w:abstractNumId w:val="10"/>
  </w:num>
  <w:num w:numId="42">
    <w:abstractNumId w:val="16"/>
  </w:num>
  <w:num w:numId="43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1-03-08 10:21:5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87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D76E6EF8-400D-4AAC-833A-33D792FCED3A"/>
    <w:docVar w:name="LW_COVERPAGE_TYPE" w:val="1"/>
    <w:docVar w:name="LW_CROSSREFERENCE" w:val="&lt;UNUSED&gt;"/>
    <w:docVar w:name="LW_DATE.ADOPT.CP" w:val="ze dne XXX,"/>
    <w:docVar w:name="LW_DATE.ADOPT.CP_DATEFORMAT" w:val="ze dne %DATE%,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V Bruselu dne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 významem pro EHP)"/>
    <w:docVar w:name="LW_LANGUE" w:val="CS"/>
    <w:docVar w:name="LW_LANGUESFAISANTFOI.CP" w:val="&lt;UNUSED&gt;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erým se stanoví provád\u283?cí technické normy, pokud jde o zp\u367?sob, jakým instituce zve\u345?ej\u328?ují informace uvedené v \u269?ásti osmé hlavách II a III na\u345?ízení Evropského parlamentu a Rady (EU) \u269?. 575/2013, a zru\u353?uje provád\u283?cí na\u345?ízení Komise (EU) \u269?. 1423/2013, na\u345?ízení Komise v p\u345?enesené pravomoci (EU) 2015/1555, provád\u283?cí na\u345?ízení Komise (EU) 2016/200 a na\u345?ízení Komise v p\u345?enesené pravomoci (EU) 2017/2295_x000b__x000b_"/>
    <w:docVar w:name="LW_TYPE.DOC.CP" w:val="PROVÁD\u282?CÍ NA\u344?ÍZENÍ KOMISE (EU) \u8230?/..."/>
  </w:docVars>
  <w:rsids>
    <w:rsidRoot w:val="0004170D"/>
    <w:rsid w:val="0000233F"/>
    <w:rsid w:val="00010CC7"/>
    <w:rsid w:val="0002231C"/>
    <w:rsid w:val="00023622"/>
    <w:rsid w:val="000302BA"/>
    <w:rsid w:val="00034845"/>
    <w:rsid w:val="00036497"/>
    <w:rsid w:val="0004170D"/>
    <w:rsid w:val="000530A8"/>
    <w:rsid w:val="00053F11"/>
    <w:rsid w:val="000715FC"/>
    <w:rsid w:val="000747E8"/>
    <w:rsid w:val="00075194"/>
    <w:rsid w:val="0008268D"/>
    <w:rsid w:val="000965A4"/>
    <w:rsid w:val="000A7C56"/>
    <w:rsid w:val="000B18AB"/>
    <w:rsid w:val="000B31D0"/>
    <w:rsid w:val="000B4D68"/>
    <w:rsid w:val="000B5ADE"/>
    <w:rsid w:val="000B75F5"/>
    <w:rsid w:val="000C0000"/>
    <w:rsid w:val="000C11F1"/>
    <w:rsid w:val="000C2A47"/>
    <w:rsid w:val="000C4EBE"/>
    <w:rsid w:val="000C60D7"/>
    <w:rsid w:val="000D57AD"/>
    <w:rsid w:val="000F1AE0"/>
    <w:rsid w:val="00105D7C"/>
    <w:rsid w:val="00124000"/>
    <w:rsid w:val="001241B9"/>
    <w:rsid w:val="00124B31"/>
    <w:rsid w:val="0012658B"/>
    <w:rsid w:val="00130336"/>
    <w:rsid w:val="00133A68"/>
    <w:rsid w:val="00133FF9"/>
    <w:rsid w:val="00145423"/>
    <w:rsid w:val="0014569E"/>
    <w:rsid w:val="00151336"/>
    <w:rsid w:val="0015237E"/>
    <w:rsid w:val="001612FE"/>
    <w:rsid w:val="00164D08"/>
    <w:rsid w:val="00167DBD"/>
    <w:rsid w:val="00173862"/>
    <w:rsid w:val="00175820"/>
    <w:rsid w:val="00183568"/>
    <w:rsid w:val="00183ED0"/>
    <w:rsid w:val="00184CD1"/>
    <w:rsid w:val="00190EC6"/>
    <w:rsid w:val="00194CD4"/>
    <w:rsid w:val="00195285"/>
    <w:rsid w:val="001D579B"/>
    <w:rsid w:val="001D5E4E"/>
    <w:rsid w:val="0020373E"/>
    <w:rsid w:val="00204CA9"/>
    <w:rsid w:val="00223E6D"/>
    <w:rsid w:val="00254B69"/>
    <w:rsid w:val="002554D0"/>
    <w:rsid w:val="00257DE9"/>
    <w:rsid w:val="00262584"/>
    <w:rsid w:val="00292A0A"/>
    <w:rsid w:val="002933BD"/>
    <w:rsid w:val="00296DB6"/>
    <w:rsid w:val="002A6E84"/>
    <w:rsid w:val="002C0C3E"/>
    <w:rsid w:val="002C1097"/>
    <w:rsid w:val="002C433D"/>
    <w:rsid w:val="002D22E3"/>
    <w:rsid w:val="002E2681"/>
    <w:rsid w:val="002E3B6F"/>
    <w:rsid w:val="002E476B"/>
    <w:rsid w:val="00305114"/>
    <w:rsid w:val="00312E0D"/>
    <w:rsid w:val="00316F57"/>
    <w:rsid w:val="00324024"/>
    <w:rsid w:val="00334AD0"/>
    <w:rsid w:val="00334D45"/>
    <w:rsid w:val="00336F4D"/>
    <w:rsid w:val="00342795"/>
    <w:rsid w:val="003460F1"/>
    <w:rsid w:val="00352527"/>
    <w:rsid w:val="00356414"/>
    <w:rsid w:val="00362906"/>
    <w:rsid w:val="00362E56"/>
    <w:rsid w:val="0036351A"/>
    <w:rsid w:val="003A1165"/>
    <w:rsid w:val="003A35E9"/>
    <w:rsid w:val="003B2A70"/>
    <w:rsid w:val="003B73C9"/>
    <w:rsid w:val="003C1E7F"/>
    <w:rsid w:val="003C4F11"/>
    <w:rsid w:val="003D2479"/>
    <w:rsid w:val="003D44B9"/>
    <w:rsid w:val="003D6311"/>
    <w:rsid w:val="003E38FD"/>
    <w:rsid w:val="00401969"/>
    <w:rsid w:val="00403378"/>
    <w:rsid w:val="00414EB3"/>
    <w:rsid w:val="004166C6"/>
    <w:rsid w:val="00416C53"/>
    <w:rsid w:val="00424D6E"/>
    <w:rsid w:val="004328FB"/>
    <w:rsid w:val="00433CFD"/>
    <w:rsid w:val="0044155A"/>
    <w:rsid w:val="004427A5"/>
    <w:rsid w:val="00442C93"/>
    <w:rsid w:val="00444CBF"/>
    <w:rsid w:val="00445AB9"/>
    <w:rsid w:val="004515BE"/>
    <w:rsid w:val="00453D69"/>
    <w:rsid w:val="00461468"/>
    <w:rsid w:val="004615A8"/>
    <w:rsid w:val="00471580"/>
    <w:rsid w:val="0047525C"/>
    <w:rsid w:val="00476884"/>
    <w:rsid w:val="00480310"/>
    <w:rsid w:val="00486017"/>
    <w:rsid w:val="004909D7"/>
    <w:rsid w:val="004939A4"/>
    <w:rsid w:val="00496B08"/>
    <w:rsid w:val="00497414"/>
    <w:rsid w:val="004A1CDB"/>
    <w:rsid w:val="004A255E"/>
    <w:rsid w:val="004B6788"/>
    <w:rsid w:val="004B7AEA"/>
    <w:rsid w:val="004C4F9A"/>
    <w:rsid w:val="004D283B"/>
    <w:rsid w:val="004E05C8"/>
    <w:rsid w:val="00501B9B"/>
    <w:rsid w:val="0053062E"/>
    <w:rsid w:val="00535526"/>
    <w:rsid w:val="00553957"/>
    <w:rsid w:val="00563765"/>
    <w:rsid w:val="00580B2A"/>
    <w:rsid w:val="00581093"/>
    <w:rsid w:val="005823FE"/>
    <w:rsid w:val="00587191"/>
    <w:rsid w:val="005A7F5C"/>
    <w:rsid w:val="005B07FD"/>
    <w:rsid w:val="005C3834"/>
    <w:rsid w:val="005C4422"/>
    <w:rsid w:val="005E2A3F"/>
    <w:rsid w:val="005F2549"/>
    <w:rsid w:val="005F490A"/>
    <w:rsid w:val="005F7F66"/>
    <w:rsid w:val="00613F06"/>
    <w:rsid w:val="00625AFA"/>
    <w:rsid w:val="0063239A"/>
    <w:rsid w:val="006430F5"/>
    <w:rsid w:val="00646429"/>
    <w:rsid w:val="00646DA2"/>
    <w:rsid w:val="006518A1"/>
    <w:rsid w:val="00656F3B"/>
    <w:rsid w:val="00657EA7"/>
    <w:rsid w:val="00670714"/>
    <w:rsid w:val="00693D08"/>
    <w:rsid w:val="00693F0A"/>
    <w:rsid w:val="006947FE"/>
    <w:rsid w:val="006A32A4"/>
    <w:rsid w:val="006A7F00"/>
    <w:rsid w:val="006D1146"/>
    <w:rsid w:val="006D20F7"/>
    <w:rsid w:val="006E0911"/>
    <w:rsid w:val="006E3B08"/>
    <w:rsid w:val="006F2F67"/>
    <w:rsid w:val="006F4232"/>
    <w:rsid w:val="006F792A"/>
    <w:rsid w:val="00701631"/>
    <w:rsid w:val="00704A57"/>
    <w:rsid w:val="00705803"/>
    <w:rsid w:val="00717B5E"/>
    <w:rsid w:val="007241CC"/>
    <w:rsid w:val="00725875"/>
    <w:rsid w:val="007328EB"/>
    <w:rsid w:val="00732B32"/>
    <w:rsid w:val="007475DB"/>
    <w:rsid w:val="00755F0F"/>
    <w:rsid w:val="00755F6F"/>
    <w:rsid w:val="00756C6D"/>
    <w:rsid w:val="0078540D"/>
    <w:rsid w:val="00786078"/>
    <w:rsid w:val="00792BDA"/>
    <w:rsid w:val="00794E9C"/>
    <w:rsid w:val="0079582A"/>
    <w:rsid w:val="007A1D1D"/>
    <w:rsid w:val="007A231C"/>
    <w:rsid w:val="007A76EC"/>
    <w:rsid w:val="007B1860"/>
    <w:rsid w:val="007C003F"/>
    <w:rsid w:val="007D178B"/>
    <w:rsid w:val="007E2DEE"/>
    <w:rsid w:val="007E5F66"/>
    <w:rsid w:val="007E66A7"/>
    <w:rsid w:val="007F2F0A"/>
    <w:rsid w:val="007F579D"/>
    <w:rsid w:val="007F676F"/>
    <w:rsid w:val="0080055A"/>
    <w:rsid w:val="00800894"/>
    <w:rsid w:val="00802909"/>
    <w:rsid w:val="008326B8"/>
    <w:rsid w:val="008568F5"/>
    <w:rsid w:val="00856A5A"/>
    <w:rsid w:val="00861266"/>
    <w:rsid w:val="00877878"/>
    <w:rsid w:val="00886F23"/>
    <w:rsid w:val="00892FEE"/>
    <w:rsid w:val="008A33A3"/>
    <w:rsid w:val="008A5096"/>
    <w:rsid w:val="008A5945"/>
    <w:rsid w:val="008A6A1E"/>
    <w:rsid w:val="008B6784"/>
    <w:rsid w:val="008B78EA"/>
    <w:rsid w:val="008C19A5"/>
    <w:rsid w:val="008C51D0"/>
    <w:rsid w:val="008D42B0"/>
    <w:rsid w:val="008D6EA6"/>
    <w:rsid w:val="00905357"/>
    <w:rsid w:val="00921F21"/>
    <w:rsid w:val="00922950"/>
    <w:rsid w:val="00923CC6"/>
    <w:rsid w:val="00926007"/>
    <w:rsid w:val="009310C9"/>
    <w:rsid w:val="00931C56"/>
    <w:rsid w:val="00941988"/>
    <w:rsid w:val="0094247F"/>
    <w:rsid w:val="009458BD"/>
    <w:rsid w:val="00951C31"/>
    <w:rsid w:val="009553B8"/>
    <w:rsid w:val="00956448"/>
    <w:rsid w:val="00963178"/>
    <w:rsid w:val="00965673"/>
    <w:rsid w:val="00965716"/>
    <w:rsid w:val="00966B3C"/>
    <w:rsid w:val="009675DD"/>
    <w:rsid w:val="00967C75"/>
    <w:rsid w:val="0097765D"/>
    <w:rsid w:val="009777B7"/>
    <w:rsid w:val="00993FAE"/>
    <w:rsid w:val="00995CF9"/>
    <w:rsid w:val="00997228"/>
    <w:rsid w:val="009A0FCB"/>
    <w:rsid w:val="009A56F4"/>
    <w:rsid w:val="009B4728"/>
    <w:rsid w:val="009C5CB4"/>
    <w:rsid w:val="009F40BE"/>
    <w:rsid w:val="00A10245"/>
    <w:rsid w:val="00A228D5"/>
    <w:rsid w:val="00A260ED"/>
    <w:rsid w:val="00A26E4D"/>
    <w:rsid w:val="00A3263C"/>
    <w:rsid w:val="00A518E0"/>
    <w:rsid w:val="00A5494A"/>
    <w:rsid w:val="00A70AF9"/>
    <w:rsid w:val="00A72EF0"/>
    <w:rsid w:val="00A762FD"/>
    <w:rsid w:val="00A84A3E"/>
    <w:rsid w:val="00A858BC"/>
    <w:rsid w:val="00A91F18"/>
    <w:rsid w:val="00AB786E"/>
    <w:rsid w:val="00AD027A"/>
    <w:rsid w:val="00AD58EF"/>
    <w:rsid w:val="00AE2C32"/>
    <w:rsid w:val="00AE3F40"/>
    <w:rsid w:val="00AE6C16"/>
    <w:rsid w:val="00B30A70"/>
    <w:rsid w:val="00B41102"/>
    <w:rsid w:val="00B609A7"/>
    <w:rsid w:val="00B61C46"/>
    <w:rsid w:val="00B711DB"/>
    <w:rsid w:val="00B8013E"/>
    <w:rsid w:val="00B80AC9"/>
    <w:rsid w:val="00B826AF"/>
    <w:rsid w:val="00B82927"/>
    <w:rsid w:val="00B861EE"/>
    <w:rsid w:val="00B90336"/>
    <w:rsid w:val="00BA0CA9"/>
    <w:rsid w:val="00BA7AD9"/>
    <w:rsid w:val="00BB093D"/>
    <w:rsid w:val="00BB60B6"/>
    <w:rsid w:val="00BC75BD"/>
    <w:rsid w:val="00BD158D"/>
    <w:rsid w:val="00BE1C5E"/>
    <w:rsid w:val="00BF0338"/>
    <w:rsid w:val="00BF182F"/>
    <w:rsid w:val="00C02ED9"/>
    <w:rsid w:val="00C05465"/>
    <w:rsid w:val="00C0737E"/>
    <w:rsid w:val="00C14839"/>
    <w:rsid w:val="00C16675"/>
    <w:rsid w:val="00C2487C"/>
    <w:rsid w:val="00C24911"/>
    <w:rsid w:val="00C25E54"/>
    <w:rsid w:val="00C278CC"/>
    <w:rsid w:val="00C36E0D"/>
    <w:rsid w:val="00C40BF9"/>
    <w:rsid w:val="00C41BFF"/>
    <w:rsid w:val="00C45A4D"/>
    <w:rsid w:val="00C5099A"/>
    <w:rsid w:val="00C81C3A"/>
    <w:rsid w:val="00C84B15"/>
    <w:rsid w:val="00C91C95"/>
    <w:rsid w:val="00C94DC0"/>
    <w:rsid w:val="00CA17DC"/>
    <w:rsid w:val="00CA348C"/>
    <w:rsid w:val="00CA57C3"/>
    <w:rsid w:val="00CA5835"/>
    <w:rsid w:val="00CB377F"/>
    <w:rsid w:val="00CC3294"/>
    <w:rsid w:val="00CC620B"/>
    <w:rsid w:val="00CC62AE"/>
    <w:rsid w:val="00CE5120"/>
    <w:rsid w:val="00CE62E1"/>
    <w:rsid w:val="00CF0948"/>
    <w:rsid w:val="00CF6BC4"/>
    <w:rsid w:val="00D001B4"/>
    <w:rsid w:val="00D10BCB"/>
    <w:rsid w:val="00D2760A"/>
    <w:rsid w:val="00D34C25"/>
    <w:rsid w:val="00D602DE"/>
    <w:rsid w:val="00D642C6"/>
    <w:rsid w:val="00D76B54"/>
    <w:rsid w:val="00D9176D"/>
    <w:rsid w:val="00DB1862"/>
    <w:rsid w:val="00DC2475"/>
    <w:rsid w:val="00DD2BA0"/>
    <w:rsid w:val="00DF14E1"/>
    <w:rsid w:val="00E0170F"/>
    <w:rsid w:val="00E10715"/>
    <w:rsid w:val="00E14194"/>
    <w:rsid w:val="00E174B5"/>
    <w:rsid w:val="00E206C9"/>
    <w:rsid w:val="00E23611"/>
    <w:rsid w:val="00E42EC8"/>
    <w:rsid w:val="00E5338C"/>
    <w:rsid w:val="00E5388C"/>
    <w:rsid w:val="00E62304"/>
    <w:rsid w:val="00E76705"/>
    <w:rsid w:val="00E76D3F"/>
    <w:rsid w:val="00E8665C"/>
    <w:rsid w:val="00EA0958"/>
    <w:rsid w:val="00EA3E25"/>
    <w:rsid w:val="00EA6449"/>
    <w:rsid w:val="00EB107F"/>
    <w:rsid w:val="00EB4A85"/>
    <w:rsid w:val="00EC3195"/>
    <w:rsid w:val="00EC422C"/>
    <w:rsid w:val="00ED3421"/>
    <w:rsid w:val="00EE1673"/>
    <w:rsid w:val="00EF3146"/>
    <w:rsid w:val="00EF6392"/>
    <w:rsid w:val="00F04CDC"/>
    <w:rsid w:val="00F15C9D"/>
    <w:rsid w:val="00F31307"/>
    <w:rsid w:val="00F335A5"/>
    <w:rsid w:val="00F37426"/>
    <w:rsid w:val="00F5043B"/>
    <w:rsid w:val="00F53E64"/>
    <w:rsid w:val="00F6330E"/>
    <w:rsid w:val="00F83A04"/>
    <w:rsid w:val="00F855B3"/>
    <w:rsid w:val="00F91209"/>
    <w:rsid w:val="00F93ED1"/>
    <w:rsid w:val="00F978FE"/>
    <w:rsid w:val="00F97AAB"/>
    <w:rsid w:val="00FA2322"/>
    <w:rsid w:val="00FA4569"/>
    <w:rsid w:val="00FA53E3"/>
    <w:rsid w:val="00FB4483"/>
    <w:rsid w:val="00FD6645"/>
    <w:rsid w:val="00FF2606"/>
    <w:rsid w:val="00FF364B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9E33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170D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4170D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04170D"/>
    <w:rPr>
      <w:rFonts w:ascii="Calibri" w:eastAsia="Calibri" w:hAnsi="Calibri" w:cs="Times New Roman"/>
      <w:lang w:val="cs-CZ"/>
    </w:rPr>
  </w:style>
  <w:style w:type="paragraph" w:customStyle="1" w:styleId="numberedparagraph">
    <w:name w:val="numbered paragraph"/>
    <w:basedOn w:val="Normal"/>
    <w:qFormat/>
    <w:rsid w:val="0004170D"/>
    <w:pPr>
      <w:numPr>
        <w:numId w:val="1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4"/>
    </w:rPr>
  </w:style>
  <w:style w:type="paragraph" w:styleId="ListBullet">
    <w:name w:val="List Bullet"/>
    <w:basedOn w:val="Normal"/>
    <w:uiPriority w:val="99"/>
    <w:semiHidden/>
    <w:unhideWhenUsed/>
    <w:rsid w:val="00F335A5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335A5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5A5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5A5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A0CA9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A0CA9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BA0CA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A0CA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A0CA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A0CA9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3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1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1D0"/>
    <w:rPr>
      <w:rFonts w:ascii="Times New Roman" w:hAnsi="Times New Roman" w:cs="Times New Roman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1D0"/>
    <w:rPr>
      <w:rFonts w:ascii="Times New Roman" w:hAnsi="Times New Roman" w:cs="Times New Roman"/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1D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D0"/>
    <w:rPr>
      <w:rFonts w:ascii="Segoe UI" w:hAnsi="Segoe UI" w:cs="Segoe UI"/>
      <w:sz w:val="18"/>
      <w:szCs w:val="18"/>
      <w:lang w:val="cs-CZ"/>
    </w:rPr>
  </w:style>
  <w:style w:type="paragraph" w:customStyle="1" w:styleId="Titlelevel4">
    <w:name w:val="Title level 4"/>
    <w:next w:val="Normal"/>
    <w:qFormat/>
    <w:rsid w:val="00496B08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91209"/>
    <w:pPr>
      <w:widowControl w:val="0"/>
      <w:autoSpaceDE w:val="0"/>
      <w:autoSpaceDN w:val="0"/>
      <w:spacing w:before="0" w:after="0"/>
      <w:jc w:val="left"/>
    </w:pPr>
    <w:rPr>
      <w:rFonts w:ascii="Calibri" w:eastAsia="Calibri" w:hAnsi="Calibri" w:cs="Calibri"/>
      <w:sz w:val="22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F91209"/>
    <w:rPr>
      <w:rFonts w:ascii="Calibri" w:eastAsia="Calibri" w:hAnsi="Calibri" w:cs="Calibri"/>
      <w:lang w:val="cs-CZ" w:eastAsia="en-GB" w:bidi="en-GB"/>
    </w:rPr>
  </w:style>
  <w:style w:type="paragraph" w:customStyle="1" w:styleId="CM4">
    <w:name w:val="CM4"/>
    <w:basedOn w:val="Normal"/>
    <w:next w:val="Normal"/>
    <w:uiPriority w:val="99"/>
    <w:rsid w:val="000C60D7"/>
    <w:pPr>
      <w:autoSpaceDE w:val="0"/>
      <w:autoSpaceDN w:val="0"/>
      <w:adjustRightInd w:val="0"/>
      <w:spacing w:before="0" w:after="0"/>
      <w:jc w:val="left"/>
    </w:pPr>
    <w:rPr>
      <w:rFonts w:eastAsiaTheme="minorEastAsia"/>
      <w:szCs w:val="24"/>
    </w:rPr>
  </w:style>
  <w:style w:type="paragraph" w:styleId="Subtitle">
    <w:name w:val="Subtitle"/>
    <w:next w:val="Normal"/>
    <w:link w:val="SubtitleChar"/>
    <w:autoRedefine/>
    <w:uiPriority w:val="11"/>
    <w:qFormat/>
    <w:rsid w:val="00A858BC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A858BC"/>
    <w:rPr>
      <w:rFonts w:asciiTheme="majorHAnsi" w:eastAsiaTheme="majorEastAsia" w:hAnsiTheme="majorHAnsi" w:cstheme="majorBidi"/>
      <w:color w:val="4F81BD" w:themeColor="accent1"/>
      <w:sz w:val="32"/>
      <w:szCs w:val="32"/>
      <w:lang w:val="cs-CZ"/>
    </w:rPr>
  </w:style>
  <w:style w:type="character" w:customStyle="1" w:styleId="super">
    <w:name w:val="super"/>
    <w:basedOn w:val="DefaultParagraphFont"/>
    <w:rsid w:val="00B90336"/>
  </w:style>
  <w:style w:type="character" w:styleId="FollowedHyperlink">
    <w:name w:val="FollowedHyperlink"/>
    <w:basedOn w:val="DefaultParagraphFont"/>
    <w:uiPriority w:val="99"/>
    <w:semiHidden/>
    <w:unhideWhenUsed/>
    <w:rsid w:val="0034279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94DC0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rsid w:val="00195285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95285"/>
    <w:rPr>
      <w:i/>
      <w:iCs/>
    </w:rPr>
  </w:style>
  <w:style w:type="table" w:styleId="TableGrid">
    <w:name w:val="Table Grid"/>
    <w:basedOn w:val="TableNormal"/>
    <w:uiPriority w:val="59"/>
    <w:rsid w:val="005F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823FE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3FE"/>
    <w:rPr>
      <w:rFonts w:ascii="Times New Roman" w:hAnsi="Times New Roman" w:cs="Times New Roman"/>
      <w:sz w:val="20"/>
      <w:szCs w:val="20"/>
      <w:lang w:val="cs-CZ"/>
    </w:rPr>
  </w:style>
  <w:style w:type="character" w:styleId="EndnoteReference">
    <w:name w:val="endnote reference"/>
    <w:basedOn w:val="DefaultParagraphFont"/>
    <w:uiPriority w:val="99"/>
    <w:semiHidden/>
    <w:unhideWhenUsed/>
    <w:rsid w:val="005823F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30"/>
      </w:numPr>
    </w:pPr>
  </w:style>
  <w:style w:type="paragraph" w:customStyle="1" w:styleId="Tiret1">
    <w:name w:val="Tiret 1"/>
    <w:basedOn w:val="Point1"/>
    <w:rsid w:val="009B7138"/>
    <w:pPr>
      <w:numPr>
        <w:numId w:val="31"/>
      </w:numPr>
    </w:pPr>
  </w:style>
  <w:style w:type="paragraph" w:customStyle="1" w:styleId="Tiret2">
    <w:name w:val="Tiret 2"/>
    <w:basedOn w:val="Point2"/>
    <w:rsid w:val="009B7138"/>
    <w:pPr>
      <w:numPr>
        <w:numId w:val="32"/>
      </w:numPr>
    </w:pPr>
  </w:style>
  <w:style w:type="paragraph" w:customStyle="1" w:styleId="Tiret3">
    <w:name w:val="Tiret 3"/>
    <w:basedOn w:val="Point3"/>
    <w:rsid w:val="009B7138"/>
    <w:pPr>
      <w:numPr>
        <w:numId w:val="33"/>
      </w:numPr>
    </w:pPr>
  </w:style>
  <w:style w:type="paragraph" w:customStyle="1" w:styleId="Tiret4">
    <w:name w:val="Tiret 4"/>
    <w:basedOn w:val="Point4"/>
    <w:rsid w:val="009B7138"/>
    <w:pPr>
      <w:numPr>
        <w:numId w:val="34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7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7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7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7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7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7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7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7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7"/>
      </w:numPr>
    </w:pPr>
  </w:style>
  <w:style w:type="paragraph" w:customStyle="1" w:styleId="Bullet0">
    <w:name w:val="Bullet 0"/>
    <w:basedOn w:val="Normal"/>
    <w:rsid w:val="009B7138"/>
    <w:pPr>
      <w:numPr>
        <w:numId w:val="38"/>
      </w:numPr>
    </w:pPr>
  </w:style>
  <w:style w:type="paragraph" w:customStyle="1" w:styleId="Bullet1">
    <w:name w:val="Bullet 1"/>
    <w:basedOn w:val="Normal"/>
    <w:rsid w:val="009B7138"/>
    <w:pPr>
      <w:numPr>
        <w:numId w:val="39"/>
      </w:numPr>
    </w:pPr>
  </w:style>
  <w:style w:type="paragraph" w:customStyle="1" w:styleId="Bullet2">
    <w:name w:val="Bullet 2"/>
    <w:basedOn w:val="Normal"/>
    <w:rsid w:val="009B7138"/>
    <w:pPr>
      <w:numPr>
        <w:numId w:val="40"/>
      </w:numPr>
    </w:pPr>
  </w:style>
  <w:style w:type="paragraph" w:customStyle="1" w:styleId="Bullet3">
    <w:name w:val="Bullet 3"/>
    <w:basedOn w:val="Normal"/>
    <w:rsid w:val="009B7138"/>
    <w:pPr>
      <w:numPr>
        <w:numId w:val="41"/>
      </w:numPr>
    </w:pPr>
  </w:style>
  <w:style w:type="paragraph" w:customStyle="1" w:styleId="Bullet4">
    <w:name w:val="Bullet 4"/>
    <w:basedOn w:val="Normal"/>
    <w:rsid w:val="009B7138"/>
    <w:pPr>
      <w:numPr>
        <w:numId w:val="42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43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UTO/?uri=OJ:L:2013:176:T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78272-3929-4EAE-B941-2F13DB2E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2</Pages>
  <Words>4029</Words>
  <Characters>21371</Characters>
  <Application>Microsoft Office Word</Application>
  <DocSecurity>0</DocSecurity>
  <Lines>408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2021-03-08T09:21:00Z</dcterms:created>
  <dcterms:modified xsi:type="dcterms:W3CDTF">2021-03-08T09:21:00Z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Category">
    <vt:lpwstr>COM/AA</vt:lpwstr>
  </property>
  <property fmtid="{D5CDD505-2E9C-101B-9397-08002B2CF9AE}" pid="5" name="Version">
    <vt:lpwstr>6.0.1.0</vt:lpwstr>
  </property>
  <property fmtid="{D5CDD505-2E9C-101B-9397-08002B2CF9AE}" pid="6" name="Created using">
    <vt:lpwstr>LW 6.0, Build 20171009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