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E0D" w:rsidRPr="00EB6A16" w:rsidRDefault="00CD719F" w:rsidP="00C20D9A">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0E2BFC8-9072-4E5E-ABC9-96B3BB04D2CF" style="width:450.5pt;height:450pt">
            <v:imagedata r:id="rId8" o:title=""/>
          </v:shape>
        </w:pict>
      </w:r>
    </w:p>
    <w:p w:rsidR="0004170D" w:rsidRPr="00EB6A16" w:rsidRDefault="0004170D">
      <w:pPr>
        <w:sectPr w:rsidR="0004170D" w:rsidRPr="00EB6A16" w:rsidSect="00C20D9A">
          <w:footerReference w:type="default" r:id="rId9"/>
          <w:pgSz w:w="11907" w:h="16839"/>
          <w:pgMar w:top="1134" w:right="1417" w:bottom="1134" w:left="1417" w:header="709" w:footer="709" w:gutter="0"/>
          <w:pgNumType w:start="0"/>
          <w:cols w:space="720"/>
          <w:docGrid w:linePitch="360"/>
        </w:sectPr>
      </w:pPr>
    </w:p>
    <w:p w:rsidR="0004170D" w:rsidRPr="00EB6A16" w:rsidRDefault="00C20D9A" w:rsidP="00C20D9A">
      <w:pPr>
        <w:pStyle w:val="Typedudocument"/>
      </w:pPr>
      <w:r w:rsidRPr="00C20D9A">
        <w:lastRenderedPageBreak/>
        <w:t>PROVEDBENA UREDBA KOMISIJE (EU) …/...</w:t>
      </w:r>
    </w:p>
    <w:p w:rsidR="0004170D" w:rsidRPr="00EB6A16" w:rsidRDefault="00C20D9A" w:rsidP="00C20D9A">
      <w:pPr>
        <w:pStyle w:val="Datedadoption"/>
      </w:pPr>
      <w:r w:rsidRPr="00C20D9A">
        <w:t xml:space="preserve">оd </w:t>
      </w:r>
      <w:r w:rsidRPr="00C20D9A">
        <w:rPr>
          <w:rStyle w:val="Marker2"/>
        </w:rPr>
        <w:t>XXX</w:t>
      </w:r>
    </w:p>
    <w:p w:rsidR="0004170D" w:rsidRPr="00EB6A16" w:rsidRDefault="00C20D9A" w:rsidP="00C20D9A">
      <w:pPr>
        <w:pStyle w:val="Titreobjet"/>
      </w:pPr>
      <w:r w:rsidRPr="00C20D9A">
        <w:t>o utvrđivanju provedbenih tehničkih standarda za institucije o javnoj objavi informacija iz dijela osmog glava II. i III. Uredbe (EU) br. 575/2013 Europskog parlamenta i Vijeća i stavljanju izvan snage Provedbene uredbe Komisije (EU) br. 1423/2013, Delegirane uredbe Komisije (EU) 2015/1555, Provedbene uredbe Komisije (EU) 2016/200 i Delegirane uredbe Komisije (EU) 2017/2295</w:t>
      </w:r>
      <w:r w:rsidRPr="00C20D9A">
        <w:br/>
      </w:r>
      <w:r w:rsidRPr="00C20D9A">
        <w:br/>
      </w:r>
    </w:p>
    <w:p w:rsidR="0004170D" w:rsidRPr="00EB6A16" w:rsidRDefault="00C20D9A" w:rsidP="00C20D9A">
      <w:pPr>
        <w:pStyle w:val="IntrtEEE"/>
      </w:pPr>
      <w:r w:rsidRPr="00C20D9A">
        <w:t>(Tekst značajan za EGP)</w:t>
      </w:r>
    </w:p>
    <w:p w:rsidR="0004170D" w:rsidRPr="00EB6A16" w:rsidRDefault="0004170D" w:rsidP="009675DD">
      <w:pPr>
        <w:pStyle w:val="Institutionquiagit"/>
      </w:pPr>
      <w:r w:rsidRPr="00EB6A16">
        <w:t>EUROPSKA KOMISIJA,</w:t>
      </w:r>
    </w:p>
    <w:p w:rsidR="0004170D" w:rsidRPr="00EB6A16" w:rsidRDefault="0004170D" w:rsidP="009675DD">
      <w:r w:rsidRPr="00EB6A16">
        <w:rPr>
          <w:color w:val="000000"/>
        </w:rPr>
        <w:t>uzimajući u obzir Ugovor o funkcioniranju Europske unije</w:t>
      </w:r>
      <w:r w:rsidRPr="00EB6A16">
        <w:t>,</w:t>
      </w:r>
    </w:p>
    <w:p w:rsidR="0004170D" w:rsidRPr="00EB6A16" w:rsidRDefault="007E66A7" w:rsidP="009675DD">
      <w:r w:rsidRPr="00EB6A16">
        <w:t xml:space="preserve">uzimajući u obzir Uredbu Vijeća (EU) br. 575/2013 Europskog parlamenta i Vijeća od </w:t>
      </w:r>
      <w:r w:rsidRPr="00EB6A16">
        <w:rPr>
          <w:color w:val="000000"/>
        </w:rPr>
        <w:t>26. lipnja 2013.</w:t>
      </w:r>
      <w:r w:rsidRPr="00EB6A16">
        <w:t xml:space="preserve"> o bonitetnim zahtjevima za kreditne institucije i investicijska društva i o izmjeni Uredbe (EU) br. 648/2012</w:t>
      </w:r>
      <w:r w:rsidRPr="00EB6A16">
        <w:rPr>
          <w:rStyle w:val="FootnoteReference"/>
        </w:rPr>
        <w:footnoteReference w:id="2"/>
      </w:r>
      <w:r w:rsidRPr="00EB6A16">
        <w:t>, a posebno njezin članak 434.a,</w:t>
      </w:r>
    </w:p>
    <w:p w:rsidR="0004170D" w:rsidRPr="00EB6A16" w:rsidRDefault="0004170D" w:rsidP="009675DD">
      <w:r w:rsidRPr="00EB6A16">
        <w:t>budući da:</w:t>
      </w:r>
    </w:p>
    <w:p w:rsidR="0094247F" w:rsidRPr="00EB6A16" w:rsidRDefault="0094247F" w:rsidP="00AD58EF">
      <w:pPr>
        <w:pStyle w:val="Considrant"/>
        <w:numPr>
          <w:ilvl w:val="0"/>
          <w:numId w:val="13"/>
        </w:numPr>
      </w:pPr>
      <w:r w:rsidRPr="00EB6A16">
        <w:t>Bazelski odbor za nadzor banaka objavio je u prosincu 2019. konsolidirani bazelski okvir uključujući ažurirane zahtjeve za objavu iz stupa 3.</w:t>
      </w:r>
      <w:r w:rsidRPr="00EB6A16">
        <w:rPr>
          <w:rStyle w:val="FootnoteReference"/>
          <w:szCs w:val="24"/>
        </w:rPr>
        <w:footnoteReference w:id="3"/>
      </w:r>
      <w:r w:rsidRPr="00EB6A16">
        <w:t>, većina kojih je Uredbom (EU) 2019/876 Europskog parlamenta i Vijeća</w:t>
      </w:r>
      <w:r w:rsidRPr="00EB6A16">
        <w:rPr>
          <w:rStyle w:val="FootnoteReference"/>
          <w:szCs w:val="24"/>
        </w:rPr>
        <w:footnoteReference w:id="4"/>
      </w:r>
      <w:r w:rsidRPr="00EB6A16">
        <w:t xml:space="preserve"> uvrštena u Uredbu (EU) 575/2013. Za provedbu tih izmjena trebalo bi utvrditi dosljedan i potpun okvir za zahtjeve za objavu iz stupa 3.</w:t>
      </w:r>
    </w:p>
    <w:p w:rsidR="007E66A7" w:rsidRPr="00EB6A16" w:rsidRDefault="00442C93" w:rsidP="00F5043B">
      <w:pPr>
        <w:pStyle w:val="Considrant"/>
        <w:rPr>
          <w:sz w:val="22"/>
        </w:rPr>
      </w:pPr>
      <w:r w:rsidRPr="00EB6A16">
        <w:t>U Provedbenoj uredbi Komisije (EU) br. 1423/2013</w:t>
      </w:r>
      <w:r w:rsidR="005823FE" w:rsidRPr="00EB6A16">
        <w:rPr>
          <w:rStyle w:val="FootnoteReference"/>
        </w:rPr>
        <w:footnoteReference w:id="5"/>
      </w:r>
      <w:r w:rsidRPr="00EB6A16">
        <w:t>, Delegiranoj uredbi Komisije (EU) 2015/1555</w:t>
      </w:r>
      <w:r w:rsidR="005823FE" w:rsidRPr="00EB6A16">
        <w:rPr>
          <w:rStyle w:val="FootnoteReference"/>
        </w:rPr>
        <w:footnoteReference w:id="6"/>
      </w:r>
      <w:r w:rsidRPr="00EB6A16">
        <w:t>, Provedbenoj uredbi Komisije (EU) 2016/200</w:t>
      </w:r>
      <w:r w:rsidR="005823FE" w:rsidRPr="00EB6A16">
        <w:rPr>
          <w:rStyle w:val="FootnoteReference"/>
        </w:rPr>
        <w:footnoteReference w:id="7"/>
      </w:r>
      <w:r w:rsidRPr="00EB6A16">
        <w:t xml:space="preserve"> i Delegiranoj uredbi Komisije (EU) 2017/2295</w:t>
      </w:r>
      <w:r w:rsidR="005823FE" w:rsidRPr="00EB6A16">
        <w:rPr>
          <w:rStyle w:val="FootnoteReference"/>
        </w:rPr>
        <w:footnoteReference w:id="8"/>
      </w:r>
      <w:r w:rsidRPr="00EB6A16">
        <w:t xml:space="preserve"> utvrđeni su jedinstveni formati, obrasci i tablice za regulatorni kapital, protucikličke zaštitne slojeve kapitala, omjer financijske poluge odnosno opterećenost imovine. Jedinstvene formate, obrasce i tablice trebalo bi stoga proširiti kako bi se obuhvatile objave drugih bonitetnih aspekata koji se objavljuju u skladu s Uredbom (EU) 2019/876. Konkretnije, trebalo bi uvesti obrazac za objavu ključnih pokazatelja kojim bi se sudionicima na tržištu olakšao pristup najvažnijim informacijama o regulatornom kapitalu i likvidnosti institucija.</w:t>
      </w:r>
    </w:p>
    <w:p w:rsidR="007E66A7" w:rsidRPr="00EB6A16" w:rsidRDefault="00F5043B" w:rsidP="007E66A7">
      <w:pPr>
        <w:pStyle w:val="Considrant"/>
      </w:pPr>
      <w:r w:rsidRPr="00EB6A16">
        <w:t xml:space="preserve">Obrasci i tablice koji se koriste za objavu trebali bi pružati dovoljno sveobuhvatne i usporedive informacije kako bi se korisnicima tih informacija omogućila procjena profila rizičnosti institucija i mjere u kojoj one ispunjavaju zahtjeve iz Uredbe (EU) br. 575/2013. Međutim, vodeći računa o načelu proporcionalnosti, u formatima, obrascima i tablicama za objavu trebalo bi, uvođenjem dodatnih pragova za proširene objave, uzeti u obzir razlike među institucijama u veličini i složenosti koje uzrokuju različite razine i vrste rizika. </w:t>
      </w:r>
    </w:p>
    <w:p w:rsidR="007E66A7" w:rsidRPr="00EB6A16" w:rsidRDefault="00C91C95" w:rsidP="007E66A7">
      <w:pPr>
        <w:pStyle w:val="Considrant"/>
      </w:pPr>
      <w:r w:rsidRPr="00EB6A16">
        <w:t>Uredbom (EU) 2019/876 u Uredbu (EU) br. 575/2013 uveden je novi kalibrirani omjer financijske poluge i zaštitni sloj omjera financijske poluge GSV institucija. Za provedbu te izmjene i potrebnih prilagodbi u izračunu izloženosti potrebno je utvrditi obrasce i tablice.</w:t>
      </w:r>
    </w:p>
    <w:p w:rsidR="007E66A7" w:rsidRPr="00EB6A16" w:rsidRDefault="00C91C95" w:rsidP="007E66A7">
      <w:pPr>
        <w:pStyle w:val="Considrant"/>
      </w:pPr>
      <w:r w:rsidRPr="00EB6A16">
        <w:t>Uredbom (EU) 2019/876 u Uredbu (EU) br. 575/2013 uvedeni su novi zahtjevi za objavu omjera neto stabilnih izvora financiranja. Za provedbu te izmjene potrebno je utvrditi obrazac za te nove zahtjeve za objavu.</w:t>
      </w:r>
    </w:p>
    <w:p w:rsidR="007E66A7" w:rsidRPr="00EB6A16" w:rsidRDefault="00387DA9" w:rsidP="007E66A7">
      <w:pPr>
        <w:pStyle w:val="Considrant"/>
        <w:rPr>
          <w:sz w:val="22"/>
        </w:rPr>
      </w:pPr>
      <w:r w:rsidRPr="00EB6A16">
        <w:t>Uredbom (EU) 2019/876 standardizirani pristupi za kreditni rizik druge ugovorne strane iz Uredbe (EU) br. 575/2013 zamijenjeni su standardiziranim pristupom za kreditni rizik druge ugovorne strane koji je osjetljiviji na rizik (SA-CCR) i pojednostavnjenim SA-CCR-om za institucije koje ispunjavaju unaprijed utvrđene kriterije prihvatljivosti. Osim toga, Uredbom (EU) 2019/876 izmijenjena je metoda originalne izloženosti. Za provedbu tih izmjena potrebno je uvesti sveobuhvatan skup tablica i obrazaca za objavu.</w:t>
      </w:r>
    </w:p>
    <w:p w:rsidR="007E66A7" w:rsidRPr="00EB6A16" w:rsidRDefault="00B90336" w:rsidP="007E66A7">
      <w:pPr>
        <w:pStyle w:val="Considrant"/>
        <w:rPr>
          <w:sz w:val="22"/>
        </w:rPr>
      </w:pPr>
      <w:r w:rsidRPr="00EB6A16">
        <w:t>Uredbom (EU) 2019/876 u Uredbu (EU) br. 575/2013 uveden je novi zahtjev za objavu prihodonosnih, neprihodonosnih i restrukturiranih izloženosti, uključujući objavu informacija o primljenim kolateralima i financijskim jamstvima. Za provedbu te izmjene i tih novih zahtjeva za objavu potrebno je uvesti sveobuhvatan skup tablica i obrazaca. Radi jednostavnosti i dosljednosti ti bi se obrasci i tablice trebali temeljiti na obrascima i tablicama za objavu koje je EBA već izradila u svojim smjernicama o objavljivanju neprihodonosnih i restrukturiranih izloženosti</w:t>
      </w:r>
      <w:r w:rsidR="007E66A7" w:rsidRPr="00EB6A16">
        <w:rPr>
          <w:rStyle w:val="FootnoteReference"/>
        </w:rPr>
        <w:footnoteReference w:id="9"/>
      </w:r>
      <w:r w:rsidRPr="00EB6A16">
        <w:t>.</w:t>
      </w:r>
    </w:p>
    <w:p w:rsidR="007E66A7" w:rsidRPr="00EB6A16" w:rsidRDefault="003E3102" w:rsidP="00B90336">
      <w:pPr>
        <w:pStyle w:val="Considrant"/>
      </w:pPr>
      <w:r w:rsidRPr="00EB6A16">
        <w:t>Uredbom (EU) 2017/2401 Europskog parlamenta i Vijeća</w:t>
      </w:r>
      <w:r w:rsidR="00453D69" w:rsidRPr="00EB6A16">
        <w:rPr>
          <w:rStyle w:val="FootnoteReference"/>
        </w:rPr>
        <w:footnoteReference w:id="10"/>
      </w:r>
      <w:r w:rsidRPr="00EB6A16">
        <w:t xml:space="preserve"> izmijenjena je Uredba (EU) br. 575/2013 kako bi kapitalni zahtjevi utvrđeni u toj uredbi odražavali </w:t>
      </w:r>
      <w:r w:rsidRPr="00EB6A16">
        <w:rPr>
          <w:shd w:val="clear" w:color="auto" w:fill="FFFFFF"/>
        </w:rPr>
        <w:t xml:space="preserve"> specifične značajke STS sekuritizacija utvrđenih u Uredbi (EU) 2017/2402 Europskog parlamenta i Vijeća</w:t>
      </w:r>
      <w:r w:rsidR="00B90336" w:rsidRPr="00EB6A16">
        <w:rPr>
          <w:rStyle w:val="FootnoteReference"/>
        </w:rPr>
        <w:footnoteReference w:id="11"/>
      </w:r>
      <w:r w:rsidRPr="00EB6A16">
        <w:rPr>
          <w:shd w:val="clear" w:color="auto" w:fill="FFFFFF"/>
        </w:rPr>
        <w:t xml:space="preserve">. </w:t>
      </w:r>
      <w:r w:rsidRPr="00EB6A16">
        <w:t xml:space="preserve">Kako bi se u obzir uzela ta izmjena </w:t>
      </w:r>
      <w:r w:rsidRPr="00EB6A16">
        <w:rPr>
          <w:shd w:val="clear" w:color="auto" w:fill="FFFFFF"/>
        </w:rPr>
        <w:t>potrebno je uvesti</w:t>
      </w:r>
      <w:r w:rsidRPr="00EB6A16">
        <w:t xml:space="preserve"> nove obrasce i tablice za objavu kvantitativnih i kvalitativnih informacija o sekuritizaciji.</w:t>
      </w:r>
    </w:p>
    <w:p w:rsidR="007E66A7" w:rsidRPr="00EB6A16" w:rsidRDefault="00387DA9" w:rsidP="007E66A7">
      <w:pPr>
        <w:pStyle w:val="Considrant"/>
        <w:rPr>
          <w:sz w:val="22"/>
        </w:rPr>
      </w:pPr>
      <w:r w:rsidRPr="00EB6A16">
        <w:t xml:space="preserve">Uredbom (EU) 2019/876 izmijenjeni su neki zahtjevi za objavu primitaka utvrđeni u Uredbi (EU) br. 575/2013 kako bi se osiguralo da </w:t>
      </w:r>
      <w:r w:rsidRPr="00EB6A16">
        <w:rPr>
          <w:shd w:val="clear" w:color="auto" w:fill="FFFFFF"/>
        </w:rPr>
        <w:t>politike primitaka i prakse za kategorije zaposlenika čije profesionalne aktivnosti imaju značajan utjecaj na profil rizičnosti institucije budu usklađene s učinkovitim upravljanjem rizicima.</w:t>
      </w:r>
      <w:r w:rsidRPr="00EB6A16">
        <w:t xml:space="preserve"> Trebalo bi utvrditi skup obrazaca i tablica za provedbu tih zahtjeva za objavu.</w:t>
      </w:r>
    </w:p>
    <w:p w:rsidR="004427A5" w:rsidRPr="00EB6A16" w:rsidRDefault="004A1CDB" w:rsidP="007E66A7">
      <w:pPr>
        <w:pStyle w:val="Considrant"/>
        <w:rPr>
          <w:sz w:val="22"/>
        </w:rPr>
      </w:pPr>
      <w:r w:rsidRPr="00EB6A16">
        <w:t>Kako bi se institucijama omogućio sveobuhvatan integrirani skup jedinstvenih formata, obrazaca i tablica za objavu i osigurale visokokvalitetne objave, potrebno je uvesti jedinstveni skup tehničkih standarda o objavama. Stoga je potrebno izvan snage staviti Provedbenu uredbu (EU) br. 1423/2013, Delegiranu uredbu (EU) 2015/1555, Provedbenu uredbu (EU) 2016/200 i Delegiranu uredbu (EU) 2017/2295.</w:t>
      </w:r>
    </w:p>
    <w:p w:rsidR="004427A5" w:rsidRPr="00EB6A16" w:rsidRDefault="0094247F" w:rsidP="007E66A7">
      <w:pPr>
        <w:pStyle w:val="Considrant"/>
        <w:rPr>
          <w:sz w:val="22"/>
        </w:rPr>
      </w:pPr>
      <w:r w:rsidRPr="00EB6A16">
        <w:t>Radi osiguranja pravovremenih i kvalitetnih objava, institucijama bi trebalo dati dovoljno vremena da svoje interne sustave prilagode za objave.</w:t>
      </w:r>
    </w:p>
    <w:p w:rsidR="007E66A7" w:rsidRPr="00EB6A16" w:rsidRDefault="007E66A7" w:rsidP="007E66A7">
      <w:pPr>
        <w:pStyle w:val="Considrant"/>
        <w:rPr>
          <w:noProof/>
        </w:rPr>
      </w:pPr>
      <w:r w:rsidRPr="00EB6A16">
        <w:t>Ova se Uredba temelji na nacrtu provedbenih tehničkih standarda koji je Komisiji dostavilo Europsko nadzorno tijelo za bankarstvo (EBA).</w:t>
      </w:r>
    </w:p>
    <w:p w:rsidR="0004170D" w:rsidRPr="00EB6A16" w:rsidRDefault="00587191" w:rsidP="00453D69">
      <w:pPr>
        <w:pStyle w:val="Considrant"/>
        <w:rPr>
          <w:noProof/>
        </w:rPr>
      </w:pPr>
      <w:r w:rsidRPr="00EB6A16">
        <w:t>EBA je provela otvoreno javno savjetovanje o nacrtu provedbenih tehničkih standarda na kojem se temelji ova Uredba, analizirala moguće povezane troškove i koristi te zatražila savjet Interesne skupine za bankarstvo osnovane u skladu s člankom 37. Uredbe (EU) br. 1093/2010 Europskog parlamenta i Vijeća</w:t>
      </w:r>
      <w:r w:rsidR="007E66A7" w:rsidRPr="00EB6A16">
        <w:rPr>
          <w:rStyle w:val="FootnoteReference"/>
          <w:noProof/>
        </w:rPr>
        <w:footnoteReference w:id="12"/>
      </w:r>
      <w:r w:rsidRPr="00EB6A16">
        <w:t xml:space="preserve">, </w:t>
      </w:r>
    </w:p>
    <w:p w:rsidR="0004170D" w:rsidRPr="00EB6A16" w:rsidRDefault="0004170D" w:rsidP="009675DD">
      <w:pPr>
        <w:pStyle w:val="Formuledadoption"/>
      </w:pPr>
      <w:r w:rsidRPr="00EB6A16">
        <w:t>DONIJELA JE OVU UREDBU:</w:t>
      </w:r>
    </w:p>
    <w:p w:rsidR="00FF364B" w:rsidRPr="00EB6A16" w:rsidRDefault="00FF364B" w:rsidP="00FF364B">
      <w:pPr>
        <w:pStyle w:val="Titrearticle"/>
      </w:pPr>
      <w:r w:rsidRPr="00EB6A16">
        <w:t>Članak 1.</w:t>
      </w:r>
    </w:p>
    <w:p w:rsidR="007E66A7" w:rsidRPr="00EB6A16" w:rsidRDefault="007E66A7" w:rsidP="007E66A7">
      <w:pPr>
        <w:pStyle w:val="Titrearticle"/>
        <w:spacing w:before="120"/>
        <w:rPr>
          <w:b/>
          <w:i w:val="0"/>
        </w:rPr>
      </w:pPr>
      <w:r w:rsidRPr="00EB6A16">
        <w:rPr>
          <w:b/>
          <w:i w:val="0"/>
        </w:rPr>
        <w:t>Objava ključnih pokazatelja i pregleda iznosa izloženosti ponderiranih rizikom</w:t>
      </w:r>
    </w:p>
    <w:p w:rsidR="007E66A7" w:rsidRPr="00EB6A16" w:rsidRDefault="007E66A7" w:rsidP="00F5043B">
      <w:pPr>
        <w:pStyle w:val="NumPar1"/>
        <w:numPr>
          <w:ilvl w:val="0"/>
          <w:numId w:val="14"/>
        </w:numPr>
        <w:tabs>
          <w:tab w:val="clear" w:pos="850"/>
          <w:tab w:val="left" w:pos="567"/>
        </w:tabs>
        <w:ind w:left="0" w:firstLine="0"/>
      </w:pPr>
      <w:r w:rsidRPr="00EB6A16">
        <w:t>Institucije objavljuju informacije iz članka 447. točaka od (a) do (g) i članka 438. točke (b) Uredbe (EU) br. 575/2013 koristeći obrazac EU KM1 iz Priloga I. ovoj Uredbi prema uputama iz Priloga II. ovoj Uredbi.</w:t>
      </w:r>
    </w:p>
    <w:p w:rsidR="007E66A7" w:rsidRPr="00EB6A16" w:rsidRDefault="007E66A7" w:rsidP="00F5043B">
      <w:pPr>
        <w:pStyle w:val="NumPar1"/>
        <w:tabs>
          <w:tab w:val="clear" w:pos="850"/>
          <w:tab w:val="left" w:pos="567"/>
        </w:tabs>
        <w:ind w:left="0" w:firstLine="0"/>
      </w:pPr>
      <w:r w:rsidRPr="00EB6A16">
        <w:t>Institucije objavljuju informacije iz članka 438. točke (d) Uredbe (EU) br. 575/2013 koristeći obrazac EU OV1 iz Priloga I. ovoj Uredbi prema uputama iz Priloga II. ovoj Uredbi.</w:t>
      </w:r>
    </w:p>
    <w:p w:rsidR="007E66A7" w:rsidRPr="00EB6A16" w:rsidRDefault="007E66A7" w:rsidP="00F5043B">
      <w:pPr>
        <w:pStyle w:val="NumPar1"/>
        <w:tabs>
          <w:tab w:val="clear" w:pos="850"/>
          <w:tab w:val="left" w:pos="567"/>
        </w:tabs>
        <w:ind w:left="0" w:firstLine="0"/>
      </w:pPr>
      <w:r w:rsidRPr="00EB6A16">
        <w:t>Institucije objavljuju informacije iz članka 438. točaka od (a) do (c) Uredbe (EU) br. 575/2013 koristeći tablicu EU OVC iz Priloga I. ovoj Uredbi prema uputama iz Priloga II. ovoj Uredbi.</w:t>
      </w:r>
    </w:p>
    <w:p w:rsidR="007E66A7" w:rsidRPr="00EB6A16" w:rsidRDefault="007E66A7" w:rsidP="00F5043B">
      <w:pPr>
        <w:pStyle w:val="NumPar1"/>
        <w:tabs>
          <w:tab w:val="clear" w:pos="850"/>
          <w:tab w:val="left" w:pos="567"/>
        </w:tabs>
        <w:ind w:left="0" w:firstLine="0"/>
      </w:pPr>
      <w:r w:rsidRPr="00EB6A16">
        <w:t>Institucije objavljuju informacije iz članka 438. točaka (f) i (g) Uredbe (EU) br. 575/2013 koristeći obrasce EU INS1 i EU INS2 iz Priloga I. ovoj Uredbi prema uputama iz Priloga II. ovoj Uredbi.</w:t>
      </w:r>
    </w:p>
    <w:p w:rsidR="00725875" w:rsidRPr="00EB6A16" w:rsidRDefault="00725875" w:rsidP="00725875">
      <w:pPr>
        <w:pStyle w:val="Titrearticle"/>
      </w:pPr>
      <w:r w:rsidRPr="00EB6A16">
        <w:t>Članak 2.</w:t>
      </w:r>
    </w:p>
    <w:p w:rsidR="007E66A7" w:rsidRPr="00EB6A16" w:rsidRDefault="007E66A7" w:rsidP="007E66A7">
      <w:pPr>
        <w:pStyle w:val="Titrearticle"/>
        <w:spacing w:before="120"/>
        <w:rPr>
          <w:b/>
          <w:i w:val="0"/>
        </w:rPr>
      </w:pPr>
      <w:r w:rsidRPr="00EB6A16">
        <w:rPr>
          <w:b/>
          <w:i w:val="0"/>
        </w:rPr>
        <w:t>Objava ciljeva i politika upravljanja rizicima</w:t>
      </w:r>
    </w:p>
    <w:p w:rsidR="007E66A7" w:rsidRPr="00EB6A16" w:rsidRDefault="007E66A7" w:rsidP="007E66A7">
      <w:pPr>
        <w:rPr>
          <w:i/>
        </w:rPr>
      </w:pPr>
      <w:r w:rsidRPr="00EB6A16">
        <w:t>Institucije objavljuju informacije iz članka 435. Uredbe (EU) br. 575/2013 koristeći tablice EU OVA i EU OVB iz Priloga III. ovoj Uredbi prema uputama iz Priloga IV. ovoj Uredbi.</w:t>
      </w:r>
    </w:p>
    <w:p w:rsidR="00725875" w:rsidRPr="00EB6A16" w:rsidRDefault="00725875" w:rsidP="00725875">
      <w:pPr>
        <w:pStyle w:val="Titrearticle"/>
      </w:pPr>
      <w:r w:rsidRPr="00EB6A16">
        <w:t>Članak 3.</w:t>
      </w:r>
    </w:p>
    <w:p w:rsidR="009F40BE" w:rsidRPr="00EB6A16" w:rsidRDefault="009F40BE" w:rsidP="00F5043B">
      <w:pPr>
        <w:pStyle w:val="Titrearticle"/>
        <w:tabs>
          <w:tab w:val="left" w:pos="567"/>
        </w:tabs>
        <w:spacing w:before="120"/>
        <w:rPr>
          <w:b/>
          <w:i w:val="0"/>
        </w:rPr>
      </w:pPr>
      <w:r w:rsidRPr="00EB6A16">
        <w:rPr>
          <w:b/>
          <w:i w:val="0"/>
        </w:rPr>
        <w:t xml:space="preserve">Objava opsega primjene </w:t>
      </w:r>
    </w:p>
    <w:p w:rsidR="009F40BE" w:rsidRPr="00EB6A16" w:rsidRDefault="009F40BE" w:rsidP="00F5043B">
      <w:pPr>
        <w:pStyle w:val="NumPar1"/>
        <w:numPr>
          <w:ilvl w:val="0"/>
          <w:numId w:val="10"/>
        </w:numPr>
        <w:tabs>
          <w:tab w:val="clear" w:pos="850"/>
          <w:tab w:val="left" w:pos="567"/>
        </w:tabs>
        <w:ind w:left="0" w:firstLine="0"/>
      </w:pPr>
      <w:r w:rsidRPr="00EB6A16">
        <w:t>Institucije objavljuju informacije iz članka 436. točaka (b) i (c) Uredbe (EU) br. 575/2013 koristeći obrasce EU LI1 i EU LI3 iz Priloga V. ovoj Uredbi prema uputama iz Priloga VI. ovoj Uredbi.</w:t>
      </w:r>
    </w:p>
    <w:p w:rsidR="009F40BE" w:rsidRPr="00EB6A16" w:rsidRDefault="009F40BE" w:rsidP="00F5043B">
      <w:pPr>
        <w:pStyle w:val="NumPar1"/>
        <w:tabs>
          <w:tab w:val="clear" w:pos="850"/>
          <w:tab w:val="left" w:pos="567"/>
        </w:tabs>
        <w:ind w:left="0" w:firstLine="0"/>
      </w:pPr>
      <w:r w:rsidRPr="00EB6A16">
        <w:t>Institucije objavljuju informacije iz članka 436. točaka (b) i (d) Uredbe (EU) br. 575/2013 koristeći obrazac EU LI2 i tablicu EU LIA iz Priloga V. ovoj Uredbi prema uputama iz Priloga VI. ovoj Uredbi.</w:t>
      </w:r>
    </w:p>
    <w:p w:rsidR="009F40BE" w:rsidRPr="00EB6A16" w:rsidRDefault="009F40BE" w:rsidP="00F5043B">
      <w:pPr>
        <w:pStyle w:val="NumPar1"/>
        <w:tabs>
          <w:tab w:val="clear" w:pos="850"/>
          <w:tab w:val="left" w:pos="567"/>
        </w:tabs>
        <w:ind w:left="0" w:firstLine="0"/>
      </w:pPr>
      <w:r w:rsidRPr="00EB6A16">
        <w:t>Institucije objavljuju informacije iz članka 436. točke (e) Uredbe (EU) br. 575/2013 koristeći obrazac EU PV1 iz Priloga V. ovoj Uredbi prema uputama iz Priloga VI. ovoj Uredbi.</w:t>
      </w:r>
    </w:p>
    <w:p w:rsidR="009F40BE" w:rsidRPr="00EB6A16" w:rsidRDefault="009F40BE" w:rsidP="00F5043B">
      <w:pPr>
        <w:pStyle w:val="NumPar1"/>
        <w:tabs>
          <w:tab w:val="clear" w:pos="850"/>
          <w:tab w:val="left" w:pos="567"/>
        </w:tabs>
        <w:ind w:left="0" w:firstLine="0"/>
      </w:pPr>
      <w:r w:rsidRPr="00EB6A16">
        <w:t>Institucije objavljuju informacije iz članka 436. točaka (f), (g) i (h) Uredbe (EU) br. 575/2013 koristeći tablicu EU LIB iz Priloga V. ovoj Uredbi prema uputama iz Priloga VI. ovoj Uredbi.</w:t>
      </w:r>
    </w:p>
    <w:p w:rsidR="00725875" w:rsidRPr="00EB6A16" w:rsidRDefault="00725875" w:rsidP="00725875">
      <w:pPr>
        <w:pStyle w:val="Titrearticle"/>
      </w:pPr>
      <w:r w:rsidRPr="00EB6A16">
        <w:t>Članak 4.</w:t>
      </w:r>
    </w:p>
    <w:p w:rsidR="009F40BE" w:rsidRPr="00EB6A16" w:rsidRDefault="009F40BE" w:rsidP="009F40BE">
      <w:pPr>
        <w:pStyle w:val="Titrearticle"/>
        <w:spacing w:before="120"/>
        <w:rPr>
          <w:b/>
          <w:i w:val="0"/>
        </w:rPr>
      </w:pPr>
      <w:r w:rsidRPr="00EB6A16">
        <w:rPr>
          <w:b/>
          <w:i w:val="0"/>
        </w:rPr>
        <w:t>Objava regulatornog kapitala</w:t>
      </w:r>
    </w:p>
    <w:p w:rsidR="009F40BE" w:rsidRPr="00EB6A16" w:rsidRDefault="009F40BE" w:rsidP="009F40BE">
      <w:pPr>
        <w:rPr>
          <w:i/>
        </w:rPr>
      </w:pPr>
      <w:r w:rsidRPr="00EB6A16">
        <w:t>Institucije objavljuju informacije iz članka 437. Uredbe (EU) br. 575/2013 kako slijedi:</w:t>
      </w:r>
    </w:p>
    <w:p w:rsidR="009F40BE" w:rsidRPr="00EB6A16" w:rsidRDefault="005F490A" w:rsidP="00F5043B">
      <w:pPr>
        <w:pStyle w:val="Point1letter"/>
        <w:numPr>
          <w:ilvl w:val="3"/>
          <w:numId w:val="15"/>
        </w:numPr>
        <w:tabs>
          <w:tab w:val="clear" w:pos="1417"/>
        </w:tabs>
        <w:ind w:left="567"/>
      </w:pPr>
      <w:r w:rsidRPr="00EB6A16">
        <w:t>informacije iz članka 437. točaka (a), (d), (e) i (f) Uredbe (EU) br. 575/2013 koristeći obrasce EU CC1 i EU CC2 iz Priloga VII. ovoj Uredbi prema uputama iz Priloga VIII. ovoj Uredbi;</w:t>
      </w:r>
    </w:p>
    <w:p w:rsidR="009F40BE" w:rsidRPr="00EB6A16" w:rsidRDefault="005F490A" w:rsidP="00F5043B">
      <w:pPr>
        <w:pStyle w:val="Point1letter"/>
        <w:tabs>
          <w:tab w:val="clear" w:pos="1417"/>
        </w:tabs>
        <w:ind w:left="567"/>
      </w:pPr>
      <w:r w:rsidRPr="00EB6A16">
        <w:t>informacije iz članka 437. točaka (b) i (c) Uredbe (EU) br. 575/2013 koristeći tablicu EU CCA iz Priloga VII. ovoj Uredbi prema uputama iz Priloga VIII. ovoj Uredbi.</w:t>
      </w:r>
    </w:p>
    <w:p w:rsidR="00A10245" w:rsidRPr="00EB6A16" w:rsidRDefault="00A10245" w:rsidP="00A10245">
      <w:pPr>
        <w:pStyle w:val="Titrearticle"/>
      </w:pPr>
      <w:r w:rsidRPr="00EB6A16">
        <w:t xml:space="preserve">Članak 5. </w:t>
      </w:r>
    </w:p>
    <w:p w:rsidR="009F40BE" w:rsidRPr="00EB6A16" w:rsidRDefault="009F40BE" w:rsidP="009F40BE">
      <w:pPr>
        <w:pStyle w:val="Titrearticle"/>
        <w:spacing w:before="120"/>
        <w:rPr>
          <w:b/>
          <w:i w:val="0"/>
        </w:rPr>
      </w:pPr>
      <w:r w:rsidRPr="00EB6A16">
        <w:rPr>
          <w:b/>
          <w:i w:val="0"/>
        </w:rPr>
        <w:t>Objava protucikličkih zaštitnih slojeva kapitala</w:t>
      </w:r>
    </w:p>
    <w:p w:rsidR="009F40BE" w:rsidRPr="00EB6A16" w:rsidRDefault="009F40BE" w:rsidP="009F40BE">
      <w:r w:rsidRPr="00EB6A16">
        <w:t>Institucije objavljuju informacije iz članka 440. Uredbe (EU) br. 575/2013 kako slijedi:</w:t>
      </w:r>
    </w:p>
    <w:p w:rsidR="009F40BE" w:rsidRPr="00EB6A16" w:rsidRDefault="005F490A" w:rsidP="00F5043B">
      <w:pPr>
        <w:pStyle w:val="Point1letter"/>
        <w:numPr>
          <w:ilvl w:val="3"/>
          <w:numId w:val="11"/>
        </w:numPr>
        <w:tabs>
          <w:tab w:val="clear" w:pos="1417"/>
        </w:tabs>
        <w:ind w:left="567"/>
      </w:pPr>
      <w:r w:rsidRPr="00EB6A16">
        <w:t>informacije iz članka 440. točke (a) Uredbe (EU) br. 575/2013 koristeći obrazac EU CCYB1 iz Priloga IX. ovoj Uredbi prema uputama iz Priloga X. ovoj Uredbi;</w:t>
      </w:r>
    </w:p>
    <w:p w:rsidR="009F40BE" w:rsidRPr="00EB6A16" w:rsidRDefault="00E42EC8" w:rsidP="00F5043B">
      <w:pPr>
        <w:pStyle w:val="Point1letter"/>
        <w:tabs>
          <w:tab w:val="clear" w:pos="1417"/>
        </w:tabs>
        <w:ind w:left="567"/>
      </w:pPr>
      <w:r w:rsidRPr="00EB6A16">
        <w:t>informacije iz članka 440. točke (b) Uredbe (EU) br. 575/2013 koristeći obrazac EU CCYB2 iz Priloga IX. ovoj Uredbi prema uputama iz Priloga X. ovoj Uredbi.</w:t>
      </w:r>
    </w:p>
    <w:p w:rsidR="00496B08" w:rsidRPr="00EB6A16" w:rsidRDefault="00496B08" w:rsidP="00496B08">
      <w:pPr>
        <w:pStyle w:val="Titrearticle"/>
      </w:pPr>
      <w:r w:rsidRPr="00EB6A16">
        <w:t>Članak 6.</w:t>
      </w:r>
    </w:p>
    <w:p w:rsidR="009F40BE" w:rsidRPr="00EB6A16" w:rsidRDefault="009F40BE" w:rsidP="009F40BE">
      <w:pPr>
        <w:pStyle w:val="Titrearticle"/>
        <w:spacing w:before="120"/>
        <w:rPr>
          <w:b/>
          <w:i w:val="0"/>
        </w:rPr>
      </w:pPr>
      <w:r w:rsidRPr="00EB6A16">
        <w:rPr>
          <w:b/>
          <w:i w:val="0"/>
        </w:rPr>
        <w:t>Objava omjera financijske poluge</w:t>
      </w:r>
    </w:p>
    <w:p w:rsidR="009F40BE" w:rsidRPr="00EB6A16" w:rsidRDefault="009F40BE" w:rsidP="009F40BE">
      <w:r w:rsidRPr="00EB6A16">
        <w:t>Institucije objavljuju informacije iz članka 451. Uredbe (EU) br. 575/2013 kako slijedi:</w:t>
      </w:r>
    </w:p>
    <w:p w:rsidR="009F40BE" w:rsidRPr="00EB6A16" w:rsidRDefault="00786078" w:rsidP="00F5043B">
      <w:pPr>
        <w:pStyle w:val="Point1letter"/>
        <w:numPr>
          <w:ilvl w:val="3"/>
          <w:numId w:val="12"/>
        </w:numPr>
        <w:tabs>
          <w:tab w:val="clear" w:pos="1417"/>
        </w:tabs>
        <w:ind w:left="567"/>
      </w:pPr>
      <w:r w:rsidRPr="00EB6A16">
        <w:t>informacije iz članka 451. stavka 1. točaka (a), (b), i (c) i članka 451. stavaka 2. i 3. Uredbe (EU) br. 575/2013 koristeći obrasce EU LR1, EU LR2 i EU LR3 iz Priloga XI. ovoj Uredbi prema uputama iz Priloga XII. ovoj Uredbi;</w:t>
      </w:r>
    </w:p>
    <w:p w:rsidR="009F40BE" w:rsidRPr="00EB6A16" w:rsidRDefault="00786078" w:rsidP="00F5043B">
      <w:pPr>
        <w:pStyle w:val="Point1letter"/>
        <w:tabs>
          <w:tab w:val="clear" w:pos="1417"/>
        </w:tabs>
        <w:ind w:left="567"/>
      </w:pPr>
      <w:r w:rsidRPr="00EB6A16">
        <w:t>informacije iz članka 451. stavka 1. točaka (d) i (e) Uredbe (EU) br. 575/2013 koristeći tablicu EU LRA iz Priloga XI. ovoj Uredbi prema uputama iz Priloga XII. ovoj Uredbi.</w:t>
      </w:r>
    </w:p>
    <w:p w:rsidR="00496B08" w:rsidRPr="00EB6A16" w:rsidRDefault="00496B08" w:rsidP="00496B08">
      <w:pPr>
        <w:pStyle w:val="Titrearticle"/>
      </w:pPr>
      <w:r w:rsidRPr="00EB6A16">
        <w:t>Članak 7.</w:t>
      </w:r>
    </w:p>
    <w:p w:rsidR="00A858BC" w:rsidRPr="00EB6A16" w:rsidRDefault="00A858BC" w:rsidP="00A858BC">
      <w:pPr>
        <w:pStyle w:val="Titrearticle"/>
        <w:spacing w:before="120"/>
        <w:rPr>
          <w:b/>
          <w:i w:val="0"/>
        </w:rPr>
      </w:pPr>
      <w:r w:rsidRPr="00EB6A16">
        <w:rPr>
          <w:b/>
          <w:i w:val="0"/>
        </w:rPr>
        <w:t>Objava likvidnosnih zahtjeva</w:t>
      </w:r>
    </w:p>
    <w:p w:rsidR="000715FC" w:rsidRPr="00EB6A16" w:rsidRDefault="000715FC" w:rsidP="003D44B9">
      <w:pPr>
        <w:rPr>
          <w:i/>
        </w:rPr>
      </w:pPr>
      <w:r w:rsidRPr="00EB6A16">
        <w:t>Institucije objavljuju informacije iz članka 435. stavka 1. i članka 451.a Uredbe (EU) br. 575/2013 kako slijedi:</w:t>
      </w:r>
    </w:p>
    <w:p w:rsidR="00A858BC" w:rsidRPr="00EB6A16" w:rsidRDefault="00D001B4" w:rsidP="00F5043B">
      <w:pPr>
        <w:pStyle w:val="Point1letter"/>
        <w:numPr>
          <w:ilvl w:val="3"/>
          <w:numId w:val="16"/>
        </w:numPr>
        <w:tabs>
          <w:tab w:val="clear" w:pos="1417"/>
        </w:tabs>
        <w:ind w:left="567"/>
      </w:pPr>
      <w:r w:rsidRPr="00EB6A16">
        <w:t>informacije iz članka 435. stavka 1. i članka 451.a stavka 4. Uredbe (EU) br. 575/2013 koristeći tablicu EU LIQA iz Priloga XIII. ovoj Uredbi prema uputama iz Priloga XIV. ovoj Uredbi;</w:t>
      </w:r>
    </w:p>
    <w:p w:rsidR="00A858BC" w:rsidRPr="00EB6A16" w:rsidRDefault="00D001B4" w:rsidP="00F5043B">
      <w:pPr>
        <w:pStyle w:val="Point1letter"/>
        <w:numPr>
          <w:ilvl w:val="3"/>
          <w:numId w:val="16"/>
        </w:numPr>
        <w:tabs>
          <w:tab w:val="clear" w:pos="1417"/>
        </w:tabs>
        <w:ind w:left="567"/>
      </w:pPr>
      <w:r w:rsidRPr="00EB6A16">
        <w:t>informacije iz članka 451.a stavka 2. Uredbe (EU) br. 575/2013 koristeći obrazac EU LIQ1 i tablicu EU LIQB iz Priloga XIII. ovoj Uredbi prema uputama iz Priloga XIV. ovoj Uredbi;</w:t>
      </w:r>
    </w:p>
    <w:p w:rsidR="00A858BC" w:rsidRPr="00EB6A16" w:rsidRDefault="00D001B4" w:rsidP="00F5043B">
      <w:pPr>
        <w:pStyle w:val="Point1letter"/>
        <w:numPr>
          <w:ilvl w:val="3"/>
          <w:numId w:val="16"/>
        </w:numPr>
        <w:tabs>
          <w:tab w:val="clear" w:pos="1417"/>
        </w:tabs>
        <w:ind w:left="567"/>
      </w:pPr>
      <w:r w:rsidRPr="00EB6A16">
        <w:t>informacije iz članka 451.a stavka 3. Uredbe (EU) br. 575/2013 koristeći obrazac EU LIQ2 iz Priloga XIII. ovoj Uredbi prema uputama iz Priloga XIV. ovoj Uredbi.</w:t>
      </w:r>
    </w:p>
    <w:p w:rsidR="00496B08" w:rsidRPr="00EB6A16" w:rsidRDefault="00496B08" w:rsidP="00496B08">
      <w:pPr>
        <w:pStyle w:val="Titrearticle"/>
      </w:pPr>
      <w:r w:rsidRPr="00EB6A16">
        <w:t>Članak 8.</w:t>
      </w:r>
    </w:p>
    <w:p w:rsidR="00A858BC" w:rsidRPr="00EB6A16" w:rsidRDefault="00A858BC" w:rsidP="00A858BC">
      <w:pPr>
        <w:pStyle w:val="Titrearticle"/>
        <w:spacing w:before="120"/>
        <w:rPr>
          <w:b/>
          <w:i w:val="0"/>
        </w:rPr>
      </w:pPr>
      <w:r w:rsidRPr="00EB6A16">
        <w:rPr>
          <w:b/>
          <w:i w:val="0"/>
        </w:rPr>
        <w:t>Objava izloženosti kreditnom riziku, razrjeđivačkom riziku i kreditne kvalitete</w:t>
      </w:r>
    </w:p>
    <w:p w:rsidR="00A858BC" w:rsidRPr="00EB6A16" w:rsidRDefault="00A858BC" w:rsidP="000747E8">
      <w:pPr>
        <w:pStyle w:val="NumPar1"/>
        <w:numPr>
          <w:ilvl w:val="0"/>
          <w:numId w:val="29"/>
        </w:numPr>
        <w:tabs>
          <w:tab w:val="clear" w:pos="850"/>
          <w:tab w:val="left" w:pos="567"/>
        </w:tabs>
        <w:ind w:left="0" w:firstLine="0"/>
      </w:pPr>
      <w:r w:rsidRPr="00EB6A16">
        <w:t>Institucije objavljuju informacije iz članaka 435. i 442. Uredbe (EU) br. 575/2013 kako slijedi:</w:t>
      </w:r>
    </w:p>
    <w:p w:rsidR="00A858BC" w:rsidRPr="00EB6A16" w:rsidRDefault="00D001B4" w:rsidP="00F5043B">
      <w:pPr>
        <w:pStyle w:val="Point1letter"/>
        <w:numPr>
          <w:ilvl w:val="3"/>
          <w:numId w:val="17"/>
        </w:numPr>
        <w:tabs>
          <w:tab w:val="clear" w:pos="1417"/>
        </w:tabs>
        <w:ind w:left="567"/>
      </w:pPr>
      <w:r w:rsidRPr="00EB6A16">
        <w:t>informacije iz članka 435. stavka 1. točaka (a), (b), (d) i (f) Uredbe (EU) br. 575/2013 koristeći tablicu EU CRA iz Priloga XV. ovoj Uredbi prema uputama iz Priloga XVI. ovoj Uredbi;</w:t>
      </w:r>
    </w:p>
    <w:p w:rsidR="00A858BC" w:rsidRPr="00EB6A16" w:rsidRDefault="00D001B4" w:rsidP="00F5043B">
      <w:pPr>
        <w:pStyle w:val="Point1letter"/>
        <w:numPr>
          <w:ilvl w:val="3"/>
          <w:numId w:val="16"/>
        </w:numPr>
        <w:tabs>
          <w:tab w:val="clear" w:pos="1417"/>
        </w:tabs>
        <w:ind w:left="567"/>
      </w:pPr>
      <w:r w:rsidRPr="00EB6A16">
        <w:t>informacije iz članka 442. točaka (a) i (b) Uredbe (EU) br. 575/2013 koristeći tablicu EU CRB iz Priloga XV. ovoj Uredbi prema uputama iz Priloga XVI. ovoj Uredbi;</w:t>
      </w:r>
    </w:p>
    <w:p w:rsidR="00A858BC" w:rsidRPr="00EB6A16" w:rsidRDefault="00D001B4" w:rsidP="00F5043B">
      <w:pPr>
        <w:pStyle w:val="Point1letter"/>
        <w:numPr>
          <w:ilvl w:val="3"/>
          <w:numId w:val="16"/>
        </w:numPr>
        <w:tabs>
          <w:tab w:val="clear" w:pos="1417"/>
        </w:tabs>
        <w:ind w:left="567"/>
      </w:pPr>
      <w:r w:rsidRPr="00EB6A16">
        <w:t>informacije iz članka 442. točke (d) Uredbe (EU) br. 575/2013 koristeći obrazac EU CQ3 iz Priloga XV. ovoj Uredbi prema uputama iz Priloga XVI. ovoj Uredbi;</w:t>
      </w:r>
    </w:p>
    <w:p w:rsidR="00A858BC" w:rsidRPr="00EB6A16" w:rsidRDefault="00D001B4" w:rsidP="00F5043B">
      <w:pPr>
        <w:pStyle w:val="Point1letter"/>
        <w:numPr>
          <w:ilvl w:val="3"/>
          <w:numId w:val="16"/>
        </w:numPr>
        <w:tabs>
          <w:tab w:val="clear" w:pos="1417"/>
        </w:tabs>
        <w:ind w:left="567"/>
      </w:pPr>
      <w:r w:rsidRPr="00EB6A16">
        <w:t>informacije iz članka 442. točke (g) Uredbe (EU) br. 575/2013 koristeći obrazac EU CR1-A iz Priloga XV. ovoj Uredbi prema uputama iz Priloga XVI. ovoj Uredbi;</w:t>
      </w:r>
    </w:p>
    <w:p w:rsidR="00A858BC" w:rsidRPr="00EB6A16" w:rsidRDefault="00D001B4" w:rsidP="00F5043B">
      <w:pPr>
        <w:pStyle w:val="Point1letter"/>
        <w:numPr>
          <w:ilvl w:val="3"/>
          <w:numId w:val="16"/>
        </w:numPr>
        <w:tabs>
          <w:tab w:val="clear" w:pos="1417"/>
        </w:tabs>
        <w:ind w:left="567"/>
      </w:pPr>
      <w:r w:rsidRPr="00EB6A16">
        <w:t>informacije iz članka 442. točke (f) Uredbe (EU) br. 575/2013 koristeći obrazac EU CR2 iz Priloga XV. ovoj Uredbi prema uputama iz Priloga XVI. ovoj Uredbi.</w:t>
      </w:r>
    </w:p>
    <w:p w:rsidR="00DF14E1" w:rsidRPr="00EB6A16" w:rsidRDefault="00A858BC" w:rsidP="00DF14E1">
      <w:pPr>
        <w:pStyle w:val="NumPar1"/>
        <w:tabs>
          <w:tab w:val="clear" w:pos="850"/>
          <w:tab w:val="left" w:pos="567"/>
        </w:tabs>
        <w:ind w:left="0" w:firstLine="0"/>
      </w:pPr>
      <w:r w:rsidRPr="00EB6A16">
        <w:t>Institucije objavljuju informacije iz članka 442. točaka (c), (e) i (f) Uredbe (EU) br. 575/2013 koristeći obrasce EU CR1, EU CQ1 i EU CQ7, stupce a, c, e, f i g obrasca EU CQ4 i stupce a, c, e i f obrasca EU CQ5 iz Priloga XV. ovoj Uredbi prema uputama iz Priloga XVI. ovoj Uredbi.</w:t>
      </w:r>
    </w:p>
    <w:p w:rsidR="00A858BC" w:rsidRPr="00EB6A16" w:rsidRDefault="00956448" w:rsidP="00DF14E1">
      <w:pPr>
        <w:pStyle w:val="NumPar1"/>
        <w:tabs>
          <w:tab w:val="clear" w:pos="850"/>
          <w:tab w:val="left" w:pos="567"/>
        </w:tabs>
        <w:ind w:left="0" w:firstLine="0"/>
      </w:pPr>
      <w:r w:rsidRPr="00EB6A16">
        <w:t xml:space="preserve">Velike institucije kojima je omjer između bruto knjigovodstvene vrijednosti kredita i predujmova iz članka 47.a stavka 3. Uredbe (EU) br. 575/2013 i ukupne knjigovodstvene vrijednosti kredita i predujmova iz članka 47.a stavka 1. Uredbe (EU) br. 575/2013 jednak ili veći od 5 %, osim obrazaca i stupaca iz stavka 2. objavljuju informacije iz članka 442. točaka (c) i (f) Uredbe (EU) br. 575/2013 koristeći obrasce EU CR2a, EU CQ2, EU CQ6 i EU CQ8, i stupce b i d obrazaca EU CQ4 i EU CQ5 iz Priloga XV. ovoj Uredbi prema uputama u Prilogu XVI. Te informacije objavljuju na godišnjoj osnovi. </w:t>
      </w:r>
    </w:p>
    <w:p w:rsidR="00A858BC" w:rsidRPr="00EB6A16" w:rsidRDefault="00A858BC" w:rsidP="00F5043B">
      <w:pPr>
        <w:pStyle w:val="NumPar1"/>
        <w:tabs>
          <w:tab w:val="clear" w:pos="850"/>
          <w:tab w:val="left" w:pos="567"/>
        </w:tabs>
        <w:ind w:left="0" w:firstLine="0"/>
      </w:pPr>
      <w:r w:rsidRPr="00EB6A16">
        <w:t>Za potrebe stavka 3. krediti i predujmovi klasificirani kao namijenjeni za prodaju, sredstva u središnjim bankama i drugi depoziti po viđenju isključuju se iz nazivnika i brojnika omjera.</w:t>
      </w:r>
    </w:p>
    <w:p w:rsidR="00A858BC" w:rsidRPr="00EB6A16" w:rsidRDefault="00A858BC" w:rsidP="00F5043B">
      <w:pPr>
        <w:pStyle w:val="NumPar1"/>
        <w:tabs>
          <w:tab w:val="clear" w:pos="850"/>
          <w:tab w:val="left" w:pos="567"/>
        </w:tabs>
        <w:ind w:left="0" w:firstLine="0"/>
      </w:pPr>
      <w:r w:rsidRPr="00EB6A16">
        <w:t>Institucije počinju objavljivati informacije u skladu sa stavkom 3. ako dosegnu ili premaše prag od 5 % iz tog stavka u dva uzastopna tromjesečja tijekom četiri tromjesečja prije referentnog datuma objave. Na referentni datum prve objave institucije te informacije objavljuju koristeći obrasce iz tog stavka ako su na taj referentni datum objave premašile prag od 5 %.</w:t>
      </w:r>
    </w:p>
    <w:p w:rsidR="00A858BC" w:rsidRPr="00EB6A16" w:rsidRDefault="00A858BC" w:rsidP="00F5043B">
      <w:pPr>
        <w:pStyle w:val="NumPar1"/>
        <w:tabs>
          <w:tab w:val="clear" w:pos="850"/>
          <w:tab w:val="left" w:pos="567"/>
        </w:tabs>
        <w:ind w:left="0" w:firstLine="0"/>
      </w:pPr>
      <w:r w:rsidRPr="00EB6A16">
        <w:t>Institucije više nisu dužne objavljivati informacije u skladu sa stavkom 3. ako tri uzastopna tromjesečja tijekom četiri tromjesečja prije referentnog datuma objave ne dosegnu prag od 5 %.</w:t>
      </w:r>
    </w:p>
    <w:p w:rsidR="00496B08" w:rsidRPr="00EB6A16" w:rsidRDefault="00496B08" w:rsidP="00496B08">
      <w:pPr>
        <w:pStyle w:val="Titrearticle"/>
      </w:pPr>
      <w:r w:rsidRPr="00EB6A16">
        <w:t>Članak 9.</w:t>
      </w:r>
    </w:p>
    <w:p w:rsidR="00A858BC" w:rsidRPr="00EB6A16" w:rsidRDefault="00A858BC" w:rsidP="00A858BC">
      <w:pPr>
        <w:pStyle w:val="Titrearticle"/>
        <w:spacing w:before="120"/>
        <w:rPr>
          <w:b/>
          <w:i w:val="0"/>
        </w:rPr>
      </w:pPr>
      <w:r w:rsidRPr="00EB6A16">
        <w:rPr>
          <w:b/>
          <w:i w:val="0"/>
        </w:rPr>
        <w:t xml:space="preserve">Objava primjene tehnika smanjenja kreditnog rizika </w:t>
      </w:r>
    </w:p>
    <w:p w:rsidR="00A858BC" w:rsidRPr="00EB6A16" w:rsidRDefault="00A858BC" w:rsidP="00A858BC">
      <w:pPr>
        <w:rPr>
          <w:i/>
        </w:rPr>
      </w:pPr>
      <w:r w:rsidRPr="00EB6A16">
        <w:t>Institucije objavljuju informacije iz članka 453. točaka od (a) do (f) Uredbe (EU) br. 575/2013 kako slijedi:</w:t>
      </w:r>
    </w:p>
    <w:p w:rsidR="00A858BC" w:rsidRPr="00EB6A16" w:rsidRDefault="00F53E64" w:rsidP="00F5043B">
      <w:pPr>
        <w:pStyle w:val="Point1letter"/>
        <w:numPr>
          <w:ilvl w:val="3"/>
          <w:numId w:val="18"/>
        </w:numPr>
        <w:tabs>
          <w:tab w:val="clear" w:pos="1417"/>
        </w:tabs>
        <w:ind w:left="567"/>
      </w:pPr>
      <w:r w:rsidRPr="00EB6A16">
        <w:t>informacije iz članka 453. točaka od (a) do (e) Uredbe (EU) br. 575/2013 koristeći tablicu EU CRC iz Priloga XVII. ovoj Uredbi prema uputama iz Priloga XVIII. ovoj Uredbi;</w:t>
      </w:r>
    </w:p>
    <w:p w:rsidR="00A858BC" w:rsidRPr="00EB6A16" w:rsidRDefault="00F53E64" w:rsidP="00F5043B">
      <w:pPr>
        <w:pStyle w:val="Point1letter"/>
        <w:numPr>
          <w:ilvl w:val="3"/>
          <w:numId w:val="16"/>
        </w:numPr>
        <w:tabs>
          <w:tab w:val="clear" w:pos="1417"/>
        </w:tabs>
        <w:ind w:left="567"/>
      </w:pPr>
      <w:r w:rsidRPr="00EB6A16">
        <w:t>informacije iz članka 453. točke (f) Uredbe (EU) br. 575/2013 koristeći obrazac EU CR3 iz Priloga XVII. ovoj Uredbi prema uputama iz Priloga XVIII. ovoj Uredbi.</w:t>
      </w:r>
    </w:p>
    <w:p w:rsidR="000B18AB" w:rsidRPr="00EB6A16" w:rsidRDefault="000B18AB" w:rsidP="000B18AB">
      <w:pPr>
        <w:pStyle w:val="Titrearticle"/>
      </w:pPr>
      <w:r w:rsidRPr="00EB6A16">
        <w:t xml:space="preserve">Članak 10. </w:t>
      </w:r>
    </w:p>
    <w:p w:rsidR="00A858BC" w:rsidRPr="00EB6A16" w:rsidRDefault="00A858BC" w:rsidP="00A858BC">
      <w:pPr>
        <w:pStyle w:val="Titrearticle"/>
        <w:spacing w:before="120"/>
        <w:rPr>
          <w:b/>
          <w:i w:val="0"/>
        </w:rPr>
      </w:pPr>
      <w:r w:rsidRPr="00EB6A16">
        <w:rPr>
          <w:b/>
          <w:i w:val="0"/>
        </w:rPr>
        <w:t>Objava primjene standardiziranog pristupa</w:t>
      </w:r>
    </w:p>
    <w:p w:rsidR="00A858BC" w:rsidRPr="00EB6A16" w:rsidRDefault="00A858BC" w:rsidP="00A858BC">
      <w:r w:rsidRPr="00EB6A16">
        <w:t>Institucije koje izračunavaju iznose izloženosti ponderirane rizikom u skladu sa standardiziranim pristupom objavljuju informacije iz članka 444. i članka 453. točaka (g), (h) i (i) Uredbe (EU) br. 575/2013 kako slijedi:</w:t>
      </w:r>
    </w:p>
    <w:p w:rsidR="00A858BC" w:rsidRPr="00EB6A16" w:rsidRDefault="00F53E64" w:rsidP="00F5043B">
      <w:pPr>
        <w:pStyle w:val="Point1letter"/>
        <w:numPr>
          <w:ilvl w:val="3"/>
          <w:numId w:val="19"/>
        </w:numPr>
        <w:tabs>
          <w:tab w:val="clear" w:pos="1417"/>
        </w:tabs>
        <w:ind w:left="567"/>
      </w:pPr>
      <w:r w:rsidRPr="00EB6A16">
        <w:t>informacije iz članka 444. točaka od (a) do (d) Uredbe (EU) br. 575/2013 koristeći tablicu EU CRD iz Priloga XIX. ovoj Uredbi prema uputama iz Priloga XX. ovoj Uredbi;</w:t>
      </w:r>
    </w:p>
    <w:p w:rsidR="00A858BC" w:rsidRPr="00EB6A16" w:rsidRDefault="00F53E64" w:rsidP="00F5043B">
      <w:pPr>
        <w:pStyle w:val="Point1letter"/>
        <w:numPr>
          <w:ilvl w:val="3"/>
          <w:numId w:val="19"/>
        </w:numPr>
        <w:tabs>
          <w:tab w:val="clear" w:pos="1417"/>
        </w:tabs>
        <w:ind w:left="567"/>
      </w:pPr>
      <w:r w:rsidRPr="00EB6A16">
        <w:t>informacije iz članka 453. točaka (g), (h) i (i) i članka 444. točke (e) Uredbe (EU) br. 575/2013 koristeći obrazac EU CR4 iz Priloga XIX. ovoj Uredbi prema uputama iz Priloga XX. ovoj Uredbi;</w:t>
      </w:r>
    </w:p>
    <w:p w:rsidR="00A858BC" w:rsidRPr="00EB6A16" w:rsidRDefault="00F53E64" w:rsidP="00F5043B">
      <w:pPr>
        <w:pStyle w:val="Point1letter"/>
        <w:numPr>
          <w:ilvl w:val="3"/>
          <w:numId w:val="19"/>
        </w:numPr>
        <w:tabs>
          <w:tab w:val="clear" w:pos="1417"/>
        </w:tabs>
        <w:ind w:left="567"/>
      </w:pPr>
      <w:r w:rsidRPr="00EB6A16">
        <w:t>informacije iz članka 444. točke (e) Uredbe (EU) br. 575/2013 koristeći obrazac EU CR5 iz Priloga XIX. ovoj Uredbi prema uputama iz Priloga XX. ovoj Uredbi i, za informacije o vrijednostima izloženosti oduzetima od regulatornog kapitala iz tog istog članka, koristeći obrazac EU CC1 iz Priloga VII. ovoj Uredbi prema uputama iz Priloga VIII. ovoj Uredbi.</w:t>
      </w:r>
    </w:p>
    <w:p w:rsidR="00173862" w:rsidRPr="00EB6A16" w:rsidRDefault="00173862" w:rsidP="00173862">
      <w:pPr>
        <w:pStyle w:val="Titrearticle"/>
      </w:pPr>
      <w:r w:rsidRPr="00EB6A16">
        <w:t>Članak 11.</w:t>
      </w:r>
    </w:p>
    <w:p w:rsidR="00A858BC" w:rsidRPr="00EB6A16" w:rsidRDefault="00A858BC" w:rsidP="00A858BC">
      <w:pPr>
        <w:pStyle w:val="Titrearticle"/>
        <w:spacing w:before="120"/>
        <w:rPr>
          <w:b/>
          <w:i w:val="0"/>
        </w:rPr>
      </w:pPr>
      <w:r w:rsidRPr="00EB6A16">
        <w:rPr>
          <w:b/>
          <w:i w:val="0"/>
        </w:rPr>
        <w:t>Objava primjene IRB pristupa na kreditni rizik</w:t>
      </w:r>
    </w:p>
    <w:p w:rsidR="00A858BC" w:rsidRPr="00EB6A16" w:rsidRDefault="00A858BC" w:rsidP="00A858BC">
      <w:r w:rsidRPr="00EB6A16">
        <w:t>Institucije koje izračunavaju iznose izloženosti ponderirane rizikom u skladu s IRB pristupom objavljuju informacije iz članka 438., članka 452. i članka 453. točaka (g) i (j) Uredbe (EU) br. 575/2013 kako slijedi:</w:t>
      </w:r>
    </w:p>
    <w:p w:rsidR="00A858BC" w:rsidRPr="00EB6A16" w:rsidRDefault="00926007" w:rsidP="00F5043B">
      <w:pPr>
        <w:pStyle w:val="Point1letter"/>
        <w:numPr>
          <w:ilvl w:val="3"/>
          <w:numId w:val="20"/>
        </w:numPr>
        <w:tabs>
          <w:tab w:val="clear" w:pos="1417"/>
        </w:tabs>
        <w:ind w:left="567"/>
      </w:pPr>
      <w:r w:rsidRPr="00EB6A16">
        <w:t>informacije iz članka 452. točaka od (a) do (f) Uredbe (EU) br. 575/2013 koristeći tablicu EU CRE i obrazac EU CR6-A iz Priloga XXI. ovoj Uredbi prema uputama iz Priloga XXII. ovoj Uredbi;</w:t>
      </w:r>
    </w:p>
    <w:p w:rsidR="00A858BC" w:rsidRPr="00EB6A16" w:rsidRDefault="00926007" w:rsidP="00F5043B">
      <w:pPr>
        <w:pStyle w:val="Point1letter"/>
        <w:numPr>
          <w:ilvl w:val="3"/>
          <w:numId w:val="19"/>
        </w:numPr>
        <w:tabs>
          <w:tab w:val="clear" w:pos="1417"/>
        </w:tabs>
        <w:ind w:left="567"/>
      </w:pPr>
      <w:r w:rsidRPr="00EB6A16">
        <w:t>informacije iz članka 452. točke (g) Uredbe (EU) br. 575/2013 koristeći obrazac EU CR6 iz Priloga XXI. ovoj Uredbi prema uputama iz Priloga XXII. ovoj Uredbi;</w:t>
      </w:r>
    </w:p>
    <w:p w:rsidR="00A858BC" w:rsidRPr="00EB6A16" w:rsidRDefault="00926007" w:rsidP="00F5043B">
      <w:pPr>
        <w:pStyle w:val="Point1letter"/>
        <w:numPr>
          <w:ilvl w:val="3"/>
          <w:numId w:val="19"/>
        </w:numPr>
        <w:tabs>
          <w:tab w:val="clear" w:pos="1417"/>
        </w:tabs>
        <w:ind w:left="567"/>
      </w:pPr>
      <w:r w:rsidRPr="00EB6A16">
        <w:t>informacije iz članka 453. točaka (g) i (j) Uredbe (EU) br. 575/2013 koristeći obrasce EU CR7-A i EU CR7 iz Priloga XXI. ovoj Uredbi prema uputama iz Priloga XXII. ovoj Uredbi;</w:t>
      </w:r>
    </w:p>
    <w:p w:rsidR="00A858BC" w:rsidRPr="00EB6A16" w:rsidRDefault="00926007" w:rsidP="00F5043B">
      <w:pPr>
        <w:pStyle w:val="Point1letter"/>
        <w:numPr>
          <w:ilvl w:val="3"/>
          <w:numId w:val="19"/>
        </w:numPr>
        <w:tabs>
          <w:tab w:val="clear" w:pos="1417"/>
        </w:tabs>
        <w:ind w:left="567"/>
      </w:pPr>
      <w:r w:rsidRPr="00EB6A16">
        <w:t>informacije iz članka 438. točke (h) Uredbe (EU) br. 575/2013 koristeći obrazac EU CR8 iz Priloga XXI. ovoj Uredbi prema uputama iz Priloga XXII. ovoj Uredbi;</w:t>
      </w:r>
    </w:p>
    <w:p w:rsidR="00A858BC" w:rsidRPr="00EB6A16" w:rsidRDefault="00926007" w:rsidP="00F5043B">
      <w:pPr>
        <w:pStyle w:val="Point1letter"/>
        <w:numPr>
          <w:ilvl w:val="3"/>
          <w:numId w:val="19"/>
        </w:numPr>
        <w:tabs>
          <w:tab w:val="clear" w:pos="1417"/>
        </w:tabs>
        <w:ind w:left="567"/>
      </w:pPr>
      <w:r w:rsidRPr="00EB6A16">
        <w:t>informacije iz članka 452. točke (h) Uredbe (EU) br. 575/2013 koristeći obrasce EU CR9 i EU CR9.1 iz Priloga XXI. ovoj Uredbi prema uputama iz Priloga XXII. ovoj Uredbi.</w:t>
      </w:r>
    </w:p>
    <w:p w:rsidR="009675DD" w:rsidRPr="00EB6A16" w:rsidRDefault="009675DD" w:rsidP="009675DD">
      <w:pPr>
        <w:pStyle w:val="Titrearticle"/>
      </w:pPr>
      <w:r w:rsidRPr="00EB6A16">
        <w:t>Članak 12.</w:t>
      </w:r>
    </w:p>
    <w:p w:rsidR="00A858BC" w:rsidRPr="00EB6A16" w:rsidRDefault="00A858BC" w:rsidP="00A858BC">
      <w:pPr>
        <w:pStyle w:val="Titrearticle"/>
        <w:spacing w:before="120"/>
        <w:rPr>
          <w:b/>
          <w:i w:val="0"/>
        </w:rPr>
      </w:pPr>
      <w:r w:rsidRPr="00EB6A16">
        <w:rPr>
          <w:b/>
          <w:i w:val="0"/>
        </w:rPr>
        <w:t>Objava izloženosti u obliku specijaliziranog financiranja i izloženosti na osnovi vlasničkih ulaganja na temelju jednostavnog ponderiranog pristupa</w:t>
      </w:r>
    </w:p>
    <w:p w:rsidR="00A858BC" w:rsidRPr="00EB6A16" w:rsidRDefault="00A858BC" w:rsidP="00A858BC">
      <w:r w:rsidRPr="00EB6A16">
        <w:t>Institucije objavljuju informacije iz članka 438. točke (e) Uredbe (EU) br. 575/2013 koristeći obrazac EU CR10 iz Priloga XXIII. ovoj Uredbi prema uputama iz Priloga XXIV. ovoj Uredbi.</w:t>
      </w:r>
    </w:p>
    <w:p w:rsidR="00BF182F" w:rsidRPr="00EB6A16" w:rsidRDefault="00BF182F" w:rsidP="00BF182F">
      <w:pPr>
        <w:pStyle w:val="Titrearticle"/>
      </w:pPr>
      <w:r w:rsidRPr="00EB6A16">
        <w:t>Članak 13.</w:t>
      </w:r>
    </w:p>
    <w:p w:rsidR="00A858BC" w:rsidRPr="00EB6A16" w:rsidRDefault="00A858BC" w:rsidP="00A858BC">
      <w:pPr>
        <w:pStyle w:val="Titrearticle"/>
        <w:spacing w:before="120"/>
        <w:rPr>
          <w:b/>
          <w:i w:val="0"/>
        </w:rPr>
      </w:pPr>
      <w:r w:rsidRPr="00EB6A16">
        <w:rPr>
          <w:b/>
          <w:i w:val="0"/>
        </w:rPr>
        <w:t>Objava izloženosti kreditnom riziku druge ugovorne strane</w:t>
      </w:r>
    </w:p>
    <w:p w:rsidR="00A858BC" w:rsidRPr="00EB6A16" w:rsidRDefault="00A858BC" w:rsidP="00A858BC">
      <w:r w:rsidRPr="00EB6A16">
        <w:t>Institucije objavljuju informacije iz članaka 438. točke (h) i članka 439. Uredbe (EU) br. 575/2013 kako slijedi:</w:t>
      </w:r>
    </w:p>
    <w:p w:rsidR="00A858BC" w:rsidRPr="00EB6A16" w:rsidRDefault="00336F4D" w:rsidP="00F5043B">
      <w:pPr>
        <w:pStyle w:val="Point1letter"/>
        <w:numPr>
          <w:ilvl w:val="3"/>
          <w:numId w:val="21"/>
        </w:numPr>
        <w:tabs>
          <w:tab w:val="clear" w:pos="1417"/>
        </w:tabs>
        <w:ind w:left="567"/>
      </w:pPr>
      <w:r w:rsidRPr="00EB6A16">
        <w:t>informacije iz članka 439. točaka (a), (b), (c) i (d) Uredbe (EU) br. 575/2013 koristeći tablicu EU CCRA iz Priloga XXV. ovoj Uredbi prema uputama iz Priloga XXVI. ovoj Uredbi;</w:t>
      </w:r>
    </w:p>
    <w:p w:rsidR="00A858BC" w:rsidRPr="00EB6A16" w:rsidRDefault="00336F4D" w:rsidP="00F5043B">
      <w:pPr>
        <w:pStyle w:val="Point1letter"/>
        <w:numPr>
          <w:ilvl w:val="3"/>
          <w:numId w:val="19"/>
        </w:numPr>
        <w:tabs>
          <w:tab w:val="clear" w:pos="1417"/>
        </w:tabs>
        <w:ind w:left="567"/>
      </w:pPr>
      <w:r w:rsidRPr="00EB6A16">
        <w:t>informacije iz članka 439. točaka (f), (g), (k) i (m) Uredbe (EU) br. 575/2013 koristeći obrazac EU CCR1 iz Priloga XXV. ovoj Uredbi prema uputama iz Priloga XXVI. ovoj Uredbi;</w:t>
      </w:r>
    </w:p>
    <w:p w:rsidR="00A858BC" w:rsidRPr="00EB6A16" w:rsidRDefault="00336F4D" w:rsidP="00F5043B">
      <w:pPr>
        <w:pStyle w:val="Point1letter"/>
        <w:numPr>
          <w:ilvl w:val="3"/>
          <w:numId w:val="19"/>
        </w:numPr>
        <w:tabs>
          <w:tab w:val="clear" w:pos="1417"/>
        </w:tabs>
        <w:ind w:left="567"/>
      </w:pPr>
      <w:r w:rsidRPr="00EB6A16">
        <w:t>informacije iz članka 439. točke (h) Uredbe (EU) br. 575/2013 koristeći obrazac EU CCR2 iz Priloga XXV. ovoj Uredbi prema uputama iz Priloga XXVI. ovoj Uredbi;</w:t>
      </w:r>
    </w:p>
    <w:p w:rsidR="00F31307" w:rsidRPr="00EB6A16" w:rsidRDefault="00F31307" w:rsidP="00F31307">
      <w:pPr>
        <w:pStyle w:val="Point1letter"/>
        <w:numPr>
          <w:ilvl w:val="3"/>
          <w:numId w:val="19"/>
        </w:numPr>
        <w:tabs>
          <w:tab w:val="clear" w:pos="1417"/>
        </w:tabs>
        <w:ind w:left="567"/>
      </w:pPr>
      <w:r w:rsidRPr="00EB6A16">
        <w:t>informacije iz članka 439. točke (l) Uredbe (EU) br. 575/2013 koristeći obrasce EU CCR3 i EU CCR4 iz Priloga XXV. ovoj Uredbi prema uputama iz Priloga XXVI. ovoj Uredbi;</w:t>
      </w:r>
    </w:p>
    <w:p w:rsidR="00F31307" w:rsidRPr="00EB6A16" w:rsidRDefault="00F31307" w:rsidP="00F31307">
      <w:pPr>
        <w:pStyle w:val="Point1letter"/>
        <w:numPr>
          <w:ilvl w:val="3"/>
          <w:numId w:val="19"/>
        </w:numPr>
        <w:tabs>
          <w:tab w:val="clear" w:pos="1417"/>
        </w:tabs>
        <w:ind w:left="567"/>
      </w:pPr>
      <w:r w:rsidRPr="00EB6A16">
        <w:t>informacije iz članka 439. točke (e) Uredbe (EU) br. 575/2013 koristeći obrazac EU CCR5 iz Priloga XXV. ovoj Uredbi prema uputama iz Priloga XXVI. ovoj Uredbi;</w:t>
      </w:r>
    </w:p>
    <w:p w:rsidR="00F31307" w:rsidRPr="00EB6A16" w:rsidRDefault="00F31307" w:rsidP="007F676F">
      <w:pPr>
        <w:pStyle w:val="Point1letter"/>
        <w:numPr>
          <w:ilvl w:val="3"/>
          <w:numId w:val="19"/>
        </w:numPr>
        <w:tabs>
          <w:tab w:val="clear" w:pos="1417"/>
        </w:tabs>
        <w:ind w:left="567"/>
      </w:pPr>
      <w:r w:rsidRPr="00EB6A16">
        <w:t>informacije iz članka 439. točke (j) Uredbe (EU) br. 575/2013 koristeći obrazac EU CCR6 iz Priloga XXV. ovoj Uredbi prema uputama iz Priloga XXVI. ovoj Uredbi;</w:t>
      </w:r>
    </w:p>
    <w:p w:rsidR="00262584" w:rsidRPr="00EB6A16" w:rsidRDefault="00262584" w:rsidP="00262584">
      <w:pPr>
        <w:pStyle w:val="Point1letter"/>
        <w:numPr>
          <w:ilvl w:val="3"/>
          <w:numId w:val="19"/>
        </w:numPr>
        <w:tabs>
          <w:tab w:val="clear" w:pos="1417"/>
        </w:tabs>
        <w:ind w:left="567"/>
      </w:pPr>
      <w:r w:rsidRPr="00EB6A16">
        <w:t>informacije iz članka 438. točke (h) Uredbe (EU) br. 575/2013 koristeći obrazac EU CCR7 iz Priloga XXV. ovoj Uredbi prema uputama iz Priloga XXVI. ovoj Uredbi;</w:t>
      </w:r>
    </w:p>
    <w:p w:rsidR="00262584" w:rsidRPr="00EB6A16" w:rsidRDefault="00262584" w:rsidP="00262584">
      <w:pPr>
        <w:pStyle w:val="Point1letter"/>
        <w:numPr>
          <w:ilvl w:val="3"/>
          <w:numId w:val="19"/>
        </w:numPr>
        <w:tabs>
          <w:tab w:val="clear" w:pos="1417"/>
        </w:tabs>
        <w:ind w:left="567"/>
      </w:pPr>
      <w:r w:rsidRPr="00EB6A16">
        <w:t xml:space="preserve">informacije iz članka 439. točke (i) Uredbe (EU) br. 575/2013 koristeći obrazac EU CCR8 iz Priloga XXV. ovoj Uredbi prema uputama iz Priloga XXVI. ovoj Uredbi. </w:t>
      </w:r>
    </w:p>
    <w:p w:rsidR="00F91209" w:rsidRPr="00EB6A16" w:rsidRDefault="00F91209" w:rsidP="00F91209">
      <w:pPr>
        <w:pStyle w:val="Titrearticle"/>
      </w:pPr>
      <w:r w:rsidRPr="00EB6A16">
        <w:t>Članak 14.</w:t>
      </w:r>
    </w:p>
    <w:p w:rsidR="00A858BC" w:rsidRPr="00EB6A16" w:rsidRDefault="00A858BC" w:rsidP="00A858BC">
      <w:pPr>
        <w:pStyle w:val="Titrearticle"/>
        <w:spacing w:before="120"/>
        <w:rPr>
          <w:b/>
          <w:i w:val="0"/>
        </w:rPr>
      </w:pPr>
      <w:r w:rsidRPr="00EB6A16">
        <w:rPr>
          <w:b/>
          <w:i w:val="0"/>
        </w:rPr>
        <w:t xml:space="preserve">Objava izloženosti sekuritizacijskim pozicijama </w:t>
      </w:r>
    </w:p>
    <w:p w:rsidR="00A858BC" w:rsidRPr="00EB6A16" w:rsidRDefault="00A858BC" w:rsidP="009777B7">
      <w:r w:rsidRPr="00EB6A16">
        <w:t>Institucije objavljuju informacije iz članka 449. Uredbe (EU) br. 575/2013 kako slijedi:</w:t>
      </w:r>
    </w:p>
    <w:p w:rsidR="009777B7" w:rsidRPr="00EB6A16" w:rsidRDefault="00CE62E1" w:rsidP="00F5043B">
      <w:pPr>
        <w:pStyle w:val="Point1letter"/>
        <w:numPr>
          <w:ilvl w:val="3"/>
          <w:numId w:val="22"/>
        </w:numPr>
        <w:tabs>
          <w:tab w:val="clear" w:pos="1417"/>
        </w:tabs>
        <w:ind w:left="567"/>
      </w:pPr>
      <w:r w:rsidRPr="00EB6A16">
        <w:t>informacije iz članka 449. točaka od (a) do (i) Uredbe (EU) br. 575/2013 koristeći tablicu EU SECA iz Priloga XXVII. ovoj Uredbi prema uputama iz Priloga XXVIII. ovoj Uredbi;</w:t>
      </w:r>
    </w:p>
    <w:p w:rsidR="009777B7" w:rsidRPr="00EB6A16" w:rsidRDefault="00CE62E1" w:rsidP="00F5043B">
      <w:pPr>
        <w:pStyle w:val="Point1letter"/>
        <w:numPr>
          <w:ilvl w:val="3"/>
          <w:numId w:val="22"/>
        </w:numPr>
        <w:tabs>
          <w:tab w:val="clear" w:pos="1417"/>
        </w:tabs>
        <w:ind w:left="567"/>
      </w:pPr>
      <w:r w:rsidRPr="00EB6A16">
        <w:t>informacije iz članka 449. točke (j) Uredbe (EU) br. 575/2013 koristeći obrasce EU SEC1 i EU SEC2 iz Priloga XXVII. ovoj Uredbi prema uputama iz Priloga XXVIII. ovoj Uredbi;</w:t>
      </w:r>
    </w:p>
    <w:p w:rsidR="009777B7" w:rsidRPr="00EB6A16" w:rsidRDefault="00336F4D" w:rsidP="00F5043B">
      <w:pPr>
        <w:pStyle w:val="Point1letter"/>
        <w:numPr>
          <w:ilvl w:val="3"/>
          <w:numId w:val="22"/>
        </w:numPr>
        <w:tabs>
          <w:tab w:val="clear" w:pos="1417"/>
        </w:tabs>
        <w:ind w:left="567"/>
      </w:pPr>
      <w:r w:rsidRPr="00EB6A16">
        <w:t>informacije iz članka 449. točke (k) Uredbe (EU) br. 575/2013 koristeći obrasce EU SEC3 i EU SEC4 iz Priloga XXVII. ovoj Uredbi prema uputama iz Priloga XXVIII. ovoj Uredbi;</w:t>
      </w:r>
    </w:p>
    <w:p w:rsidR="009777B7" w:rsidRPr="00EB6A16" w:rsidRDefault="00336F4D" w:rsidP="00F5043B">
      <w:pPr>
        <w:pStyle w:val="Point1letter"/>
        <w:numPr>
          <w:ilvl w:val="3"/>
          <w:numId w:val="22"/>
        </w:numPr>
        <w:tabs>
          <w:tab w:val="clear" w:pos="1417"/>
        </w:tabs>
        <w:ind w:left="567"/>
      </w:pPr>
      <w:r w:rsidRPr="00EB6A16">
        <w:t>informacije iz članka 449. točke (l) Uredbe (EU) br. 575/2013 koristeći obrazac EU SEC5 iz Priloga XXVII. ovoj Uredbi prema uputama iz Priloga XXVIII. ovoj Uredbi.</w:t>
      </w:r>
    </w:p>
    <w:p w:rsidR="00F91209" w:rsidRPr="00EB6A16" w:rsidRDefault="00F91209" w:rsidP="00F91209">
      <w:pPr>
        <w:pStyle w:val="Titrearticle"/>
      </w:pPr>
      <w:r w:rsidRPr="00EB6A16">
        <w:t>Članak 15.</w:t>
      </w:r>
    </w:p>
    <w:p w:rsidR="009777B7" w:rsidRPr="00EB6A16" w:rsidRDefault="009777B7" w:rsidP="009777B7">
      <w:pPr>
        <w:pStyle w:val="Titrearticle"/>
        <w:spacing w:before="120"/>
        <w:rPr>
          <w:b/>
          <w:i w:val="0"/>
        </w:rPr>
      </w:pPr>
      <w:r w:rsidRPr="00EB6A16">
        <w:rPr>
          <w:b/>
          <w:i w:val="0"/>
        </w:rPr>
        <w:t>Objava primjene standardiziranog pristupa i internih modela za tržišni rizik</w:t>
      </w:r>
    </w:p>
    <w:p w:rsidR="009777B7" w:rsidRPr="00EB6A16" w:rsidRDefault="009777B7" w:rsidP="00F5043B">
      <w:pPr>
        <w:pStyle w:val="NumPar1"/>
        <w:numPr>
          <w:ilvl w:val="0"/>
          <w:numId w:val="23"/>
        </w:numPr>
        <w:tabs>
          <w:tab w:val="clear" w:pos="850"/>
          <w:tab w:val="left" w:pos="567"/>
        </w:tabs>
        <w:ind w:left="0" w:firstLine="0"/>
      </w:pPr>
      <w:r w:rsidRPr="00EB6A16">
        <w:t>Institucije objavljuju informacije iz članka 445. Uredbe (EU) br. 575/2013 koristeći obrazac EU MR1 iz Priloga XXIX. ovoj Uredbi prema uputama iz Priloga XXX. ovoj Uredbi.</w:t>
      </w:r>
    </w:p>
    <w:p w:rsidR="009777B7" w:rsidRPr="00EB6A16" w:rsidRDefault="009777B7" w:rsidP="00F5043B">
      <w:pPr>
        <w:pStyle w:val="NumPar1"/>
        <w:numPr>
          <w:ilvl w:val="0"/>
          <w:numId w:val="23"/>
        </w:numPr>
        <w:tabs>
          <w:tab w:val="clear" w:pos="850"/>
          <w:tab w:val="left" w:pos="567"/>
        </w:tabs>
        <w:ind w:left="0" w:firstLine="0"/>
      </w:pPr>
      <w:r w:rsidRPr="00EB6A16">
        <w:t>Institucije objavljuju informacije iz članaka 435., 438. i 455. Uredbe (EU) br. 575/2013 kako slijedi:</w:t>
      </w:r>
    </w:p>
    <w:p w:rsidR="009777B7" w:rsidRPr="00EB6A16" w:rsidRDefault="00CE62E1" w:rsidP="00F5043B">
      <w:pPr>
        <w:pStyle w:val="Point1letter"/>
        <w:numPr>
          <w:ilvl w:val="3"/>
          <w:numId w:val="24"/>
        </w:numPr>
        <w:tabs>
          <w:tab w:val="clear" w:pos="1417"/>
        </w:tabs>
        <w:ind w:left="567"/>
      </w:pPr>
      <w:r w:rsidRPr="00EB6A16">
        <w:t>informacije o tržišnom riziku iz članka 435. stavka 1. točaka od (a) do (d) Uredbe (EU) br. 575/2013 koristeći tablicu EU MRA iz Priloga XXIX. ovoj Uredbi prema uputama iz Priloga XXX. ovoj Uredbi;</w:t>
      </w:r>
    </w:p>
    <w:p w:rsidR="009777B7" w:rsidRPr="00EB6A16" w:rsidRDefault="00CE62E1" w:rsidP="00F5043B">
      <w:pPr>
        <w:pStyle w:val="Point1letter"/>
        <w:numPr>
          <w:ilvl w:val="3"/>
          <w:numId w:val="24"/>
        </w:numPr>
        <w:tabs>
          <w:tab w:val="clear" w:pos="1417"/>
        </w:tabs>
        <w:ind w:left="567"/>
      </w:pPr>
      <w:r w:rsidRPr="00EB6A16">
        <w:t>informacije iz članka 455. točaka (a), (b), (c) i (f) Uredbe (EU) br. 575/2013 koristeći tablicu EU MRB iz Priloga XXIX. ovoj Uredbi prema uputama iz Priloga XXX. ovoj Uredbi;</w:t>
      </w:r>
    </w:p>
    <w:p w:rsidR="009777B7" w:rsidRPr="00EB6A16" w:rsidRDefault="00CE62E1" w:rsidP="00F5043B">
      <w:pPr>
        <w:pStyle w:val="Point1letter"/>
        <w:numPr>
          <w:ilvl w:val="3"/>
          <w:numId w:val="24"/>
        </w:numPr>
        <w:tabs>
          <w:tab w:val="clear" w:pos="1417"/>
        </w:tabs>
        <w:ind w:left="567"/>
      </w:pPr>
      <w:r w:rsidRPr="00EB6A16">
        <w:t>informacije iz članka 455. točke (e) Uredbe (EU) br. 575/2013 koristeći obrazac EU MR2-A iz Priloga XXIX. ovoj Uredbi prema uputama iz Priloga XXX. ovoj Uredbi;</w:t>
      </w:r>
    </w:p>
    <w:p w:rsidR="009777B7" w:rsidRPr="00EB6A16" w:rsidRDefault="00CE62E1" w:rsidP="00F5043B">
      <w:pPr>
        <w:pStyle w:val="Point1letter"/>
        <w:numPr>
          <w:ilvl w:val="3"/>
          <w:numId w:val="24"/>
        </w:numPr>
        <w:tabs>
          <w:tab w:val="clear" w:pos="1417"/>
        </w:tabs>
        <w:ind w:left="567"/>
      </w:pPr>
      <w:r w:rsidRPr="00EB6A16">
        <w:t>informacije o internim modelima za tržišni rizik iz članka 438. točke (h) Uredbe (EU) br. 575/2013 koristeći obrazac EU MR2-B iz Priloga XXIX. ovoj Uredbi prema uputama iz Priloga XXX. ovoj Uredbi;</w:t>
      </w:r>
    </w:p>
    <w:p w:rsidR="009777B7" w:rsidRPr="00EB6A16" w:rsidRDefault="00CE62E1" w:rsidP="00F5043B">
      <w:pPr>
        <w:pStyle w:val="Point1letter"/>
        <w:numPr>
          <w:ilvl w:val="3"/>
          <w:numId w:val="24"/>
        </w:numPr>
        <w:tabs>
          <w:tab w:val="clear" w:pos="1417"/>
        </w:tabs>
        <w:ind w:left="567"/>
      </w:pPr>
      <w:r w:rsidRPr="00EB6A16">
        <w:t>informacije iz članka 455. točke (d) Uredbe (EU) br. 575/2013 koristeći obrazac EU MR3 iz Priloga XXIX. ovoj Uredbi prema uputama iz Priloga XXX. ovoj Uredbi;</w:t>
      </w:r>
    </w:p>
    <w:p w:rsidR="009777B7" w:rsidRPr="00EB6A16" w:rsidRDefault="00CE62E1" w:rsidP="00F5043B">
      <w:pPr>
        <w:pStyle w:val="Point1letter"/>
        <w:numPr>
          <w:ilvl w:val="3"/>
          <w:numId w:val="24"/>
        </w:numPr>
        <w:tabs>
          <w:tab w:val="clear" w:pos="1417"/>
        </w:tabs>
        <w:ind w:left="567"/>
      </w:pPr>
      <w:r w:rsidRPr="00EB6A16">
        <w:t>informacije iz članka 455. točke (g) Uredbe (EU) br. 575/2013 koristeći obrazac EU MR4 iz Priloga XXIX. ovoj Uredbi prema uputama iz Priloga XXX. ovoj Uredbi.</w:t>
      </w:r>
    </w:p>
    <w:p w:rsidR="00F91209" w:rsidRPr="00EB6A16" w:rsidRDefault="00F91209" w:rsidP="00F91209">
      <w:pPr>
        <w:pStyle w:val="Titrearticle"/>
      </w:pPr>
      <w:r w:rsidRPr="00EB6A16">
        <w:t>Članak 16.</w:t>
      </w:r>
    </w:p>
    <w:p w:rsidR="009777B7" w:rsidRPr="00EB6A16" w:rsidRDefault="009777B7" w:rsidP="009777B7">
      <w:pPr>
        <w:pStyle w:val="Titrearticle"/>
        <w:spacing w:before="120"/>
        <w:rPr>
          <w:b/>
          <w:i w:val="0"/>
        </w:rPr>
      </w:pPr>
      <w:r w:rsidRPr="00EB6A16">
        <w:rPr>
          <w:b/>
          <w:i w:val="0"/>
        </w:rPr>
        <w:t xml:space="preserve">Objava operativnog rizika </w:t>
      </w:r>
    </w:p>
    <w:p w:rsidR="009777B7" w:rsidRPr="00EB6A16" w:rsidRDefault="009777B7" w:rsidP="009777B7">
      <w:r w:rsidRPr="00EB6A16">
        <w:t>Institucije objavljuju informacije iz članka 435., članka 438. točke (d) i članaka 446. i 454. Uredbe (EU) br. 575/2013 koristeći tablicu EU ORA i obrazac EU OR1 iz Priloga XXXI. ovoj Uredbi prema uputama iz Priloga XXXII. ovoj Uredbi.</w:t>
      </w:r>
    </w:p>
    <w:p w:rsidR="000C60D7" w:rsidRPr="00EB6A16" w:rsidRDefault="000C60D7" w:rsidP="000C60D7">
      <w:pPr>
        <w:pStyle w:val="Titrearticle"/>
      </w:pPr>
      <w:r w:rsidRPr="00EB6A16">
        <w:t>Članak 17.</w:t>
      </w:r>
    </w:p>
    <w:p w:rsidR="009777B7" w:rsidRPr="00EB6A16" w:rsidRDefault="009777B7" w:rsidP="009777B7">
      <w:pPr>
        <w:pStyle w:val="Titrearticle"/>
        <w:spacing w:before="120"/>
        <w:rPr>
          <w:b/>
          <w:i w:val="0"/>
        </w:rPr>
      </w:pPr>
      <w:r w:rsidRPr="00EB6A16">
        <w:rPr>
          <w:b/>
          <w:i w:val="0"/>
        </w:rPr>
        <w:t>Objava politike primitaka</w:t>
      </w:r>
    </w:p>
    <w:p w:rsidR="009777B7" w:rsidRPr="00EB6A16" w:rsidRDefault="009777B7" w:rsidP="009777B7">
      <w:pPr>
        <w:pStyle w:val="Titrearticle"/>
        <w:keepNext w:val="0"/>
        <w:tabs>
          <w:tab w:val="center" w:pos="4390"/>
        </w:tabs>
        <w:jc w:val="both"/>
        <w:rPr>
          <w:i w:val="0"/>
        </w:rPr>
      </w:pPr>
      <w:r w:rsidRPr="00EB6A16">
        <w:rPr>
          <w:i w:val="0"/>
        </w:rPr>
        <w:t>Institucije objavljuju informacije iz članka 450. Uredbe (EU) br. 575/2013 kako slijedi:</w:t>
      </w:r>
    </w:p>
    <w:p w:rsidR="009777B7" w:rsidRPr="00EB6A16" w:rsidRDefault="00922950" w:rsidP="006A7F00">
      <w:pPr>
        <w:pStyle w:val="Point1letter"/>
        <w:numPr>
          <w:ilvl w:val="3"/>
          <w:numId w:val="25"/>
        </w:numPr>
        <w:tabs>
          <w:tab w:val="clear" w:pos="1417"/>
        </w:tabs>
        <w:ind w:left="567"/>
      </w:pPr>
      <w:r w:rsidRPr="00EB6A16">
        <w:t>informacije iz članka 450. stavka 1. točaka od (a) do (f) i točaka od (j) do (k) i informacije iz članka 450. stavka 2. te Uredbe koristeći tablicu EU REMA iz Priloga XXXIII. ovoj Uredbi prema uputama iz Priloga XXXIV. ovoj Uredbi;</w:t>
      </w:r>
    </w:p>
    <w:p w:rsidR="009777B7" w:rsidRPr="00EB6A16" w:rsidRDefault="00922950" w:rsidP="006A7F00">
      <w:pPr>
        <w:pStyle w:val="Point1letter"/>
        <w:numPr>
          <w:ilvl w:val="3"/>
          <w:numId w:val="25"/>
        </w:numPr>
        <w:tabs>
          <w:tab w:val="clear" w:pos="1417"/>
        </w:tabs>
        <w:ind w:left="567"/>
      </w:pPr>
      <w:r w:rsidRPr="00EB6A16">
        <w:t>informacije iz članka 450. stavka 1. točke (h) podtočke i. i točke (h) podtočke ii. Uredbe (EU) br. 575/2013 koristeći obrazac EU REM1 iz Priloga XXXIII. ovoj Uredbi prema uputama iz Priloga XXXIV. ovoj Uredbi;</w:t>
      </w:r>
    </w:p>
    <w:p w:rsidR="009777B7" w:rsidRPr="00EB6A16" w:rsidRDefault="00922950" w:rsidP="006A7F00">
      <w:pPr>
        <w:pStyle w:val="Point1letter"/>
        <w:numPr>
          <w:ilvl w:val="3"/>
          <w:numId w:val="25"/>
        </w:numPr>
        <w:tabs>
          <w:tab w:val="clear" w:pos="1417"/>
        </w:tabs>
        <w:ind w:left="567"/>
      </w:pPr>
      <w:r w:rsidRPr="00EB6A16">
        <w:t>informacije iz članka 450. stavka 1. točke (h) podtočke v., točke (h) podtočke vi. i točke (h) podtočke vii. Uredbe (EU) br. 575/2013 koristeći obrazac EU REM2 iz Priloga XXXIII. ovoj Uredbi prema uputama iz Priloga XXXIV. ovoj Uredbi;</w:t>
      </w:r>
    </w:p>
    <w:p w:rsidR="009777B7" w:rsidRPr="00EB6A16" w:rsidRDefault="00922950" w:rsidP="006A7F00">
      <w:pPr>
        <w:pStyle w:val="Point1letter"/>
        <w:numPr>
          <w:ilvl w:val="3"/>
          <w:numId w:val="25"/>
        </w:numPr>
        <w:tabs>
          <w:tab w:val="clear" w:pos="1417"/>
        </w:tabs>
        <w:ind w:left="567"/>
      </w:pPr>
      <w:r w:rsidRPr="00EB6A16">
        <w:t>informacije iz članka 450. stavka 1. točke (h) podtočke iii. i točke (h) podtočke iv. Uredbe (EU) br. 575/2013 koristeći obrazac EU REM3 iz Priloga XXXIII. ovoj Uredbi prema uputama iz Priloga XXXIV. ovoj Uredbi;</w:t>
      </w:r>
    </w:p>
    <w:p w:rsidR="009777B7" w:rsidRPr="00EB6A16" w:rsidRDefault="009B4728" w:rsidP="006A7F00">
      <w:pPr>
        <w:pStyle w:val="Point1letter"/>
        <w:numPr>
          <w:ilvl w:val="3"/>
          <w:numId w:val="25"/>
        </w:numPr>
        <w:tabs>
          <w:tab w:val="clear" w:pos="1417"/>
        </w:tabs>
        <w:ind w:left="567"/>
      </w:pPr>
      <w:r w:rsidRPr="00EB6A16">
        <w:t>informacije iz članka 450. stavka 1. točaka (g) i (i) Uredbe (EU) br. 575/2013 koristeći obrasce EU REM4 i EU REM5 iz Priloga XXXIII. ovoj Uredbi prema uputama iz Priloga XXXIV. ovoj Uredbi.</w:t>
      </w:r>
    </w:p>
    <w:p w:rsidR="000C60D7" w:rsidRPr="00EB6A16" w:rsidRDefault="000C60D7" w:rsidP="006A7F00">
      <w:pPr>
        <w:pStyle w:val="Titrearticle"/>
        <w:ind w:left="567" w:hanging="567"/>
      </w:pPr>
      <w:r w:rsidRPr="00EB6A16">
        <w:t>Članak 18.</w:t>
      </w:r>
    </w:p>
    <w:p w:rsidR="00701631" w:rsidRPr="00EB6A16" w:rsidRDefault="00701631" w:rsidP="00701631">
      <w:pPr>
        <w:pStyle w:val="Titrearticle"/>
        <w:spacing w:before="120"/>
        <w:rPr>
          <w:b/>
          <w:i w:val="0"/>
        </w:rPr>
      </w:pPr>
      <w:r w:rsidRPr="00EB6A16">
        <w:rPr>
          <w:b/>
          <w:i w:val="0"/>
        </w:rPr>
        <w:t xml:space="preserve">Objava opterećene i neopterećene imovine </w:t>
      </w:r>
    </w:p>
    <w:p w:rsidR="00701631" w:rsidRPr="00EB6A16" w:rsidRDefault="00701631" w:rsidP="006A7F00">
      <w:pPr>
        <w:spacing w:after="360"/>
      </w:pPr>
      <w:r w:rsidRPr="00EB6A16">
        <w:t>Institucije objavljuju informacije iz članka 443. Uredbe (EU) br. 575/2013 koristeći obrasce EU AE1, EU AE2 i EU AE3 i tablicu EU AE4 iz Priloga XXXV. ovoj Uredbi prema uputama iz Priloga XXXVI. ovoj Uredbi.</w:t>
      </w:r>
    </w:p>
    <w:p w:rsidR="00701631" w:rsidRPr="00EB6A16" w:rsidRDefault="00701631" w:rsidP="00701631">
      <w:pPr>
        <w:pStyle w:val="ChapterTitle"/>
      </w:pPr>
    </w:p>
    <w:p w:rsidR="000C60D7" w:rsidRPr="00EB6A16" w:rsidRDefault="000C60D7" w:rsidP="000C60D7">
      <w:pPr>
        <w:pStyle w:val="Titrearticle"/>
      </w:pPr>
      <w:r w:rsidRPr="00EB6A16">
        <w:t>Članak 19.</w:t>
      </w:r>
    </w:p>
    <w:p w:rsidR="00701631" w:rsidRPr="00EB6A16" w:rsidRDefault="00701631" w:rsidP="00701631">
      <w:pPr>
        <w:pStyle w:val="Titrearticle"/>
        <w:spacing w:before="120"/>
        <w:rPr>
          <w:b/>
          <w:i w:val="0"/>
        </w:rPr>
      </w:pPr>
      <w:r w:rsidRPr="00EB6A16">
        <w:rPr>
          <w:b/>
          <w:i w:val="0"/>
        </w:rPr>
        <w:t>Opće odredbe</w:t>
      </w:r>
    </w:p>
    <w:p w:rsidR="00701631" w:rsidRPr="00EB6A16" w:rsidRDefault="008A6A1E" w:rsidP="006A7F00">
      <w:pPr>
        <w:pStyle w:val="NumPar1"/>
        <w:numPr>
          <w:ilvl w:val="0"/>
          <w:numId w:val="26"/>
        </w:numPr>
        <w:tabs>
          <w:tab w:val="clear" w:pos="850"/>
          <w:tab w:val="left" w:pos="567"/>
        </w:tabs>
        <w:ind w:left="0" w:firstLine="0"/>
      </w:pPr>
      <w:r w:rsidRPr="00EB6A16">
        <w:t>Označivanje redaka ili stupaca ne mijenja se ako institucija izostavi objavu jedne ili više informacija u skladu s člankom 432. Uredbe (EU) br. 575/2013.</w:t>
      </w:r>
    </w:p>
    <w:p w:rsidR="00701631" w:rsidRPr="00EB6A16" w:rsidRDefault="00701631" w:rsidP="0015237E">
      <w:pPr>
        <w:pStyle w:val="NumPar1"/>
        <w:numPr>
          <w:ilvl w:val="0"/>
          <w:numId w:val="26"/>
        </w:numPr>
        <w:tabs>
          <w:tab w:val="clear" w:pos="850"/>
          <w:tab w:val="left" w:pos="567"/>
        </w:tabs>
        <w:ind w:left="0" w:firstLine="0"/>
      </w:pPr>
      <w:r w:rsidRPr="00EB6A16">
        <w:t>Institucije u opisu priloženom konkretnom obrascu ili tablici jasno navode koji redci ili stupci nisu popunjeni i razlog izostavljanja objave.</w:t>
      </w:r>
    </w:p>
    <w:p w:rsidR="00701631" w:rsidRPr="00EB6A16" w:rsidRDefault="00701631" w:rsidP="006A7F00">
      <w:pPr>
        <w:pStyle w:val="NumPar1"/>
        <w:numPr>
          <w:ilvl w:val="0"/>
          <w:numId w:val="26"/>
        </w:numPr>
        <w:tabs>
          <w:tab w:val="clear" w:pos="850"/>
          <w:tab w:val="left" w:pos="567"/>
        </w:tabs>
        <w:ind w:left="0" w:firstLine="0"/>
      </w:pPr>
      <w:r w:rsidRPr="00EB6A16">
        <w:t>Informacije propisane člankom 431. Uredbe (EU) br. 575/2013 moraju biti jasne i sveobuhvatne kako bi njihovi korisnici razumjeli kvantitativne objave i prilažu se uz obrasce na koje se odnose.</w:t>
      </w:r>
    </w:p>
    <w:p w:rsidR="00701631" w:rsidRPr="00EB6A16" w:rsidRDefault="008A6A1E" w:rsidP="006A7F00">
      <w:pPr>
        <w:pStyle w:val="NumPar1"/>
        <w:numPr>
          <w:ilvl w:val="0"/>
          <w:numId w:val="26"/>
        </w:numPr>
        <w:tabs>
          <w:tab w:val="clear" w:pos="850"/>
          <w:tab w:val="left" w:pos="567"/>
        </w:tabs>
        <w:ind w:left="0" w:firstLine="0"/>
      </w:pPr>
      <w:r w:rsidRPr="00EB6A16">
        <w:t>Numeričke vrijednosti iskazuju se kako slijedi:</w:t>
      </w:r>
    </w:p>
    <w:p w:rsidR="00701631" w:rsidRPr="00EB6A16" w:rsidRDefault="006A7F00" w:rsidP="006A7F00">
      <w:pPr>
        <w:pStyle w:val="Point1letter"/>
        <w:numPr>
          <w:ilvl w:val="3"/>
          <w:numId w:val="27"/>
        </w:numPr>
        <w:tabs>
          <w:tab w:val="clear" w:pos="1417"/>
        </w:tabs>
        <w:ind w:left="567"/>
      </w:pPr>
      <w:r w:rsidRPr="00EB6A16">
        <w:t>kvantitativni monetarni podaci objavljuju se minimalno na razini milijuna jedinica;</w:t>
      </w:r>
    </w:p>
    <w:p w:rsidR="00701631" w:rsidRPr="00EB6A16" w:rsidRDefault="006A7F00" w:rsidP="006A7F00">
      <w:pPr>
        <w:pStyle w:val="Point1letter"/>
        <w:numPr>
          <w:ilvl w:val="3"/>
          <w:numId w:val="25"/>
        </w:numPr>
        <w:tabs>
          <w:tab w:val="clear" w:pos="1417"/>
        </w:tabs>
        <w:ind w:left="567"/>
      </w:pPr>
      <w:r w:rsidRPr="00EB6A16">
        <w:t>kvantitativni podaci koji se objavljuju kao „postotak” iskazuju se po jedinici minimalno s četiri decimalna mjesta.</w:t>
      </w:r>
    </w:p>
    <w:p w:rsidR="00701631" w:rsidRPr="00EB6A16" w:rsidRDefault="007C003F" w:rsidP="006A7F00">
      <w:pPr>
        <w:pStyle w:val="NumPar1"/>
        <w:numPr>
          <w:ilvl w:val="0"/>
          <w:numId w:val="26"/>
        </w:numPr>
        <w:tabs>
          <w:tab w:val="clear" w:pos="850"/>
          <w:tab w:val="left" w:pos="567"/>
        </w:tabs>
        <w:ind w:left="0" w:firstLine="0"/>
      </w:pPr>
      <w:r w:rsidRPr="00EB6A16">
        <w:t>Osim informacija koje se objavljuju u skladu s ovom Uredbom, institucije dostavljaju i sljedeće informacije:</w:t>
      </w:r>
    </w:p>
    <w:p w:rsidR="00701631" w:rsidRPr="00EB6A16" w:rsidRDefault="00701631" w:rsidP="006A7F00">
      <w:pPr>
        <w:pStyle w:val="Point1letter"/>
        <w:numPr>
          <w:ilvl w:val="3"/>
          <w:numId w:val="28"/>
        </w:numPr>
        <w:tabs>
          <w:tab w:val="clear" w:pos="1417"/>
        </w:tabs>
        <w:ind w:left="567"/>
      </w:pPr>
      <w:r w:rsidRPr="00EB6A16">
        <w:t xml:space="preserve">referentni datum i referentno razdoblje objave; </w:t>
      </w:r>
    </w:p>
    <w:p w:rsidR="00701631" w:rsidRPr="00EB6A16" w:rsidRDefault="00701631" w:rsidP="006A7F00">
      <w:pPr>
        <w:pStyle w:val="Point1letter"/>
        <w:numPr>
          <w:ilvl w:val="3"/>
          <w:numId w:val="25"/>
        </w:numPr>
        <w:tabs>
          <w:tab w:val="clear" w:pos="1417"/>
        </w:tabs>
        <w:ind w:left="567"/>
      </w:pPr>
      <w:r w:rsidRPr="00EB6A16">
        <w:t xml:space="preserve">valutu izvješćivanja; </w:t>
      </w:r>
    </w:p>
    <w:p w:rsidR="00701631" w:rsidRPr="00EB6A16" w:rsidRDefault="00701631" w:rsidP="006A7F00">
      <w:pPr>
        <w:pStyle w:val="Point1letter"/>
        <w:numPr>
          <w:ilvl w:val="3"/>
          <w:numId w:val="25"/>
        </w:numPr>
        <w:tabs>
          <w:tab w:val="clear" w:pos="1417"/>
        </w:tabs>
        <w:ind w:left="567"/>
      </w:pPr>
      <w:r w:rsidRPr="00EB6A16">
        <w:t>ime i, prema potrebi, identifikacijsku oznaku pravnog subjekta (LEI) institucije koja objavljuje podatke;</w:t>
      </w:r>
    </w:p>
    <w:p w:rsidR="00701631" w:rsidRPr="00EB6A16" w:rsidRDefault="00701631" w:rsidP="006A7F00">
      <w:pPr>
        <w:pStyle w:val="Point1letter"/>
        <w:numPr>
          <w:ilvl w:val="3"/>
          <w:numId w:val="25"/>
        </w:numPr>
        <w:tabs>
          <w:tab w:val="clear" w:pos="1417"/>
        </w:tabs>
        <w:ind w:left="567"/>
      </w:pPr>
      <w:r w:rsidRPr="00EB6A16">
        <w:t>prema potrebi, primijenjeni računovodstveni standard;</w:t>
      </w:r>
    </w:p>
    <w:p w:rsidR="00701631" w:rsidRPr="00EB6A16" w:rsidRDefault="00701631" w:rsidP="006A7F00">
      <w:pPr>
        <w:pStyle w:val="Point1letter"/>
        <w:numPr>
          <w:ilvl w:val="3"/>
          <w:numId w:val="25"/>
        </w:numPr>
        <w:tabs>
          <w:tab w:val="clear" w:pos="1417"/>
        </w:tabs>
        <w:ind w:left="567"/>
      </w:pPr>
      <w:r w:rsidRPr="00EB6A16">
        <w:t>prema potrebi, opseg konsolidacije.</w:t>
      </w:r>
    </w:p>
    <w:p w:rsidR="00701631" w:rsidRPr="00EB6A16" w:rsidRDefault="00701631" w:rsidP="00701631">
      <w:pPr>
        <w:pStyle w:val="ChapterTitle"/>
      </w:pPr>
    </w:p>
    <w:p w:rsidR="00480310" w:rsidRPr="00EB6A16" w:rsidRDefault="00480310" w:rsidP="00480310">
      <w:pPr>
        <w:pStyle w:val="Titrearticle"/>
      </w:pPr>
      <w:r w:rsidRPr="00EB6A16">
        <w:t>Članak 20.</w:t>
      </w:r>
    </w:p>
    <w:p w:rsidR="00701631" w:rsidRPr="00EB6A16" w:rsidRDefault="00701631" w:rsidP="00701631">
      <w:pPr>
        <w:pStyle w:val="Titrearticle"/>
        <w:spacing w:before="120"/>
        <w:rPr>
          <w:b/>
          <w:i w:val="0"/>
        </w:rPr>
      </w:pPr>
      <w:r w:rsidRPr="00EB6A16">
        <w:rPr>
          <w:b/>
          <w:i w:val="0"/>
        </w:rPr>
        <w:t>Stavljanje izvan snage</w:t>
      </w:r>
    </w:p>
    <w:p w:rsidR="00701631" w:rsidRPr="00EB6A16" w:rsidRDefault="00701631" w:rsidP="00CE5120">
      <w:r w:rsidRPr="00EB6A16">
        <w:t>Provedbena uredba (EU) br. 1423/2013, Delegirana uredba (EU) 2015/1555, Provedbena uredba (EU) 2016/200 i Delegirana uredba (EU) 2017/2295 stavljaju se izvan snage.</w:t>
      </w:r>
    </w:p>
    <w:p w:rsidR="00701631" w:rsidRPr="00EB6A16" w:rsidRDefault="00701631" w:rsidP="00CE5120"/>
    <w:p w:rsidR="00480310" w:rsidRPr="00EB6A16" w:rsidRDefault="00480310" w:rsidP="00480310">
      <w:pPr>
        <w:pStyle w:val="Titrearticle"/>
        <w:spacing w:before="120"/>
      </w:pPr>
      <w:r w:rsidRPr="00EB6A16">
        <w:t>Članak 21.</w:t>
      </w:r>
    </w:p>
    <w:p w:rsidR="003A35E9" w:rsidRPr="00EB6A16" w:rsidRDefault="003A35E9" w:rsidP="003A35E9">
      <w:pPr>
        <w:pStyle w:val="Titrearticle"/>
        <w:spacing w:before="120"/>
        <w:rPr>
          <w:b/>
          <w:i w:val="0"/>
        </w:rPr>
      </w:pPr>
      <w:r w:rsidRPr="00EB6A16">
        <w:rPr>
          <w:b/>
          <w:i w:val="0"/>
        </w:rPr>
        <w:t>Stupanje na snagu</w:t>
      </w:r>
    </w:p>
    <w:p w:rsidR="0004170D" w:rsidRPr="00EB6A16" w:rsidRDefault="0004170D" w:rsidP="009675DD">
      <w:r w:rsidRPr="00EB6A16">
        <w:t xml:space="preserve">Ova Uredba stupa na snagu dvadesetog dana od dana objave u </w:t>
      </w:r>
      <w:r w:rsidRPr="00EB6A16">
        <w:rPr>
          <w:i/>
        </w:rPr>
        <w:t>Službenom listu Europske unije.</w:t>
      </w:r>
    </w:p>
    <w:p w:rsidR="00FF364B" w:rsidRPr="00EB6A16" w:rsidRDefault="00FF364B" w:rsidP="00FF364B">
      <w:r w:rsidRPr="00EB6A16">
        <w:t>Primjenjuje se od 28. lipnja 2021.</w:t>
      </w:r>
    </w:p>
    <w:p w:rsidR="0004170D" w:rsidRPr="00EB6A16" w:rsidRDefault="0004170D" w:rsidP="009675DD">
      <w:pPr>
        <w:pStyle w:val="Applicationdirecte"/>
      </w:pPr>
      <w:r w:rsidRPr="00EB6A16">
        <w:t>Ova je Uredba u cijelosti obvezujuća i izravno se primjenjuje u svim državama članicama.</w:t>
      </w:r>
    </w:p>
    <w:p w:rsidR="0004170D" w:rsidRPr="00EB6A16" w:rsidRDefault="00C20D9A" w:rsidP="00C20D9A">
      <w:pPr>
        <w:pStyle w:val="Fait"/>
      </w:pPr>
      <w:r w:rsidRPr="00C20D9A">
        <w:t>Sastavljeno u Bruxellesu</w:t>
      </w:r>
    </w:p>
    <w:p w:rsidR="0004170D" w:rsidRPr="00EB6A16" w:rsidRDefault="0004170D" w:rsidP="0004170D">
      <w:pPr>
        <w:pStyle w:val="Institutionquisigne"/>
      </w:pPr>
      <w:r w:rsidRPr="00EB6A16">
        <w:tab/>
        <w:t>Za Komisiju</w:t>
      </w:r>
    </w:p>
    <w:p w:rsidR="00553957" w:rsidRPr="00EB6A16" w:rsidRDefault="0004170D" w:rsidP="0004170D">
      <w:pPr>
        <w:pStyle w:val="Personnequisigne"/>
      </w:pPr>
      <w:r w:rsidRPr="00EB6A16">
        <w:tab/>
        <w:t>Predsjednica</w:t>
      </w:r>
    </w:p>
    <w:p w:rsidR="0004170D" w:rsidRPr="00EB6A16" w:rsidRDefault="00553957" w:rsidP="0004170D">
      <w:pPr>
        <w:pStyle w:val="Personnequisigne"/>
      </w:pPr>
      <w:r w:rsidRPr="00EB6A16">
        <w:tab/>
        <w:t>Ursula von der Leyen</w:t>
      </w:r>
      <w:r w:rsidRPr="00EB6A16">
        <w:br/>
      </w:r>
      <w:r w:rsidRPr="00EB6A16">
        <w:tab/>
      </w:r>
      <w:r w:rsidRPr="00EB6A16">
        <w:br/>
      </w:r>
      <w:r w:rsidRPr="00EB6A16">
        <w:tab/>
      </w:r>
      <w:r w:rsidRPr="00EB6A16">
        <w:br/>
      </w:r>
      <w:r w:rsidRPr="00EB6A16">
        <w:br/>
      </w:r>
      <w:r w:rsidRPr="00EB6A16">
        <w:tab/>
      </w:r>
    </w:p>
    <w:sectPr w:rsidR="0004170D" w:rsidRPr="00EB6A16" w:rsidSect="00C20D9A">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D60" w:rsidRDefault="00066D60" w:rsidP="0004170D">
      <w:pPr>
        <w:spacing w:before="0" w:after="0"/>
      </w:pPr>
      <w:r>
        <w:separator/>
      </w:r>
    </w:p>
  </w:endnote>
  <w:endnote w:type="continuationSeparator" w:id="0">
    <w:p w:rsidR="00066D60" w:rsidRDefault="00066D60" w:rsidP="0004170D">
      <w:pPr>
        <w:spacing w:before="0" w:after="0"/>
      </w:pPr>
      <w:r>
        <w:continuationSeparator/>
      </w:r>
    </w:p>
  </w:endnote>
  <w:endnote w:type="continuationNotice" w:id="1">
    <w:p w:rsidR="00066D60" w:rsidRDefault="00066D6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D9A" w:rsidRPr="00C20D9A" w:rsidRDefault="00C20D9A" w:rsidP="00C20D9A">
    <w:pPr>
      <w:pStyle w:val="Footer"/>
      <w:rPr>
        <w:rFonts w:ascii="Arial" w:hAnsi="Arial" w:cs="Arial"/>
        <w:b/>
        <w:sz w:val="48"/>
      </w:rPr>
    </w:pPr>
    <w:r w:rsidRPr="00C20D9A">
      <w:rPr>
        <w:rFonts w:ascii="Arial" w:hAnsi="Arial" w:cs="Arial"/>
        <w:b/>
        <w:sz w:val="48"/>
      </w:rPr>
      <w:t>HR</w:t>
    </w:r>
    <w:r w:rsidRPr="00C20D9A">
      <w:rPr>
        <w:rFonts w:ascii="Arial" w:hAnsi="Arial" w:cs="Arial"/>
        <w:b/>
        <w:sz w:val="48"/>
      </w:rPr>
      <w:tab/>
    </w:r>
    <w:r w:rsidRPr="00C20D9A">
      <w:rPr>
        <w:rFonts w:ascii="Arial" w:hAnsi="Arial" w:cs="Arial"/>
        <w:b/>
        <w:sz w:val="48"/>
      </w:rPr>
      <w:tab/>
    </w:r>
    <w:r w:rsidRPr="00C20D9A">
      <w:tab/>
    </w:r>
    <w:r w:rsidRPr="00C20D9A">
      <w:rPr>
        <w:rFonts w:ascii="Arial" w:hAnsi="Arial" w:cs="Arial"/>
        <w:b/>
        <w:sz w:val="48"/>
      </w:rPr>
      <w:t>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D9A" w:rsidRPr="00C20D9A" w:rsidRDefault="00C20D9A" w:rsidP="00C20D9A">
    <w:pPr>
      <w:pStyle w:val="Footer"/>
      <w:rPr>
        <w:rFonts w:ascii="Arial" w:hAnsi="Arial" w:cs="Arial"/>
        <w:b/>
        <w:sz w:val="48"/>
      </w:rPr>
    </w:pPr>
    <w:r w:rsidRPr="00C20D9A">
      <w:rPr>
        <w:rFonts w:ascii="Arial" w:hAnsi="Arial" w:cs="Arial"/>
        <w:b/>
        <w:sz w:val="48"/>
      </w:rPr>
      <w:t>HR</w:t>
    </w:r>
    <w:r w:rsidRPr="00C20D9A">
      <w:rPr>
        <w:rFonts w:ascii="Arial" w:hAnsi="Arial" w:cs="Arial"/>
        <w:b/>
        <w:sz w:val="48"/>
      </w:rPr>
      <w:tab/>
    </w:r>
    <w:r>
      <w:fldChar w:fldCharType="begin"/>
    </w:r>
    <w:r>
      <w:instrText xml:space="preserve"> PAGE  \* MERGEFORMAT </w:instrText>
    </w:r>
    <w:r>
      <w:fldChar w:fldCharType="separate"/>
    </w:r>
    <w:r w:rsidR="00CD719F">
      <w:rPr>
        <w:noProof/>
      </w:rPr>
      <w:t>1</w:t>
    </w:r>
    <w:r>
      <w:fldChar w:fldCharType="end"/>
    </w:r>
    <w:r>
      <w:tab/>
    </w:r>
    <w:r w:rsidRPr="00C20D9A">
      <w:tab/>
    </w:r>
    <w:r w:rsidRPr="00C20D9A">
      <w:rPr>
        <w:rFonts w:ascii="Arial" w:hAnsi="Arial" w:cs="Arial"/>
        <w:b/>
        <w:sz w:val="48"/>
      </w:rPr>
      <w:t>HR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D9A" w:rsidRPr="00C20D9A" w:rsidRDefault="00C20D9A" w:rsidP="00C20D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D60" w:rsidRDefault="00066D60" w:rsidP="0004170D">
      <w:pPr>
        <w:spacing w:before="0" w:after="0"/>
      </w:pPr>
      <w:r>
        <w:separator/>
      </w:r>
    </w:p>
  </w:footnote>
  <w:footnote w:type="continuationSeparator" w:id="0">
    <w:p w:rsidR="00066D60" w:rsidRDefault="00066D60" w:rsidP="0004170D">
      <w:pPr>
        <w:spacing w:before="0" w:after="0"/>
      </w:pPr>
      <w:r>
        <w:continuationSeparator/>
      </w:r>
    </w:p>
  </w:footnote>
  <w:footnote w:type="continuationNotice" w:id="1">
    <w:p w:rsidR="00066D60" w:rsidRDefault="00066D60">
      <w:pPr>
        <w:spacing w:before="0" w:after="0"/>
      </w:pPr>
    </w:p>
  </w:footnote>
  <w:footnote w:id="2">
    <w:p w:rsidR="00D642C6" w:rsidRPr="005823FE" w:rsidRDefault="00D642C6" w:rsidP="00195285">
      <w:pPr>
        <w:pStyle w:val="FootnoteText"/>
        <w:ind w:left="567" w:hanging="567"/>
      </w:pPr>
      <w:r>
        <w:rPr>
          <w:rStyle w:val="FootnoteReference"/>
        </w:rPr>
        <w:footnoteRef/>
      </w:r>
      <w:r>
        <w:tab/>
        <w:t>SL L 176, 27.6.2013., str. 1.</w:t>
      </w:r>
    </w:p>
  </w:footnote>
  <w:footnote w:id="3">
    <w:p w:rsidR="00D642C6" w:rsidRPr="003460F1" w:rsidRDefault="00D642C6" w:rsidP="00A72EF0">
      <w:pPr>
        <w:pStyle w:val="FootnoteText"/>
        <w:ind w:left="567" w:hanging="567"/>
      </w:pPr>
      <w:r>
        <w:rPr>
          <w:rStyle w:val="FootnoteReference"/>
        </w:rPr>
        <w:footnoteRef/>
      </w:r>
      <w:r>
        <w:tab/>
        <w:t>Bazelski odbor za nadzor banaka Banke za međunarodne namire,</w:t>
      </w:r>
      <w:r>
        <w:rPr>
          <w:i/>
        </w:rPr>
        <w:t xml:space="preserve"> DIS Disclosure requirements</w:t>
      </w:r>
      <w:r>
        <w:t xml:space="preserve"> (Zahtjevi za objavu), prosinac 2019. </w:t>
      </w:r>
    </w:p>
  </w:footnote>
  <w:footnote w:id="4">
    <w:p w:rsidR="00D642C6" w:rsidRPr="00A72EF0" w:rsidRDefault="004328FB" w:rsidP="00A72EF0">
      <w:pPr>
        <w:pStyle w:val="FootnoteText"/>
        <w:ind w:left="567" w:hanging="567"/>
        <w:rPr>
          <w:rStyle w:val="FootnoteReference"/>
          <w:vertAlign w:val="baseline"/>
        </w:rPr>
      </w:pPr>
      <w:r>
        <w:rPr>
          <w:rStyle w:val="FootnoteReference"/>
        </w:rPr>
        <w:footnoteRef/>
      </w:r>
      <w:r>
        <w:tab/>
        <w:t>Uredba (EU) br. 575/2013 Europskog parlamenta i Vijeća od 26. lipnja 2013. o bonitetnim zahtjevima za kreditne institucije i investicijska društva te o izmjeni Uredbe (EU) br. 648/2012 (</w:t>
      </w:r>
      <w:hyperlink r:id="rId1" w:history="1">
        <w:r>
          <w:rPr>
            <w:rStyle w:val="Hyperlink"/>
          </w:rPr>
          <w:t>SL L 176, 27.6.2013., str. 1.</w:t>
        </w:r>
      </w:hyperlink>
      <w:r>
        <w:t>).</w:t>
      </w:r>
    </w:p>
  </w:footnote>
  <w:footnote w:id="5">
    <w:p w:rsidR="00D642C6" w:rsidRPr="00587191" w:rsidRDefault="00D642C6" w:rsidP="00A72EF0">
      <w:pPr>
        <w:pStyle w:val="FootnoteText"/>
        <w:ind w:left="567" w:hanging="567"/>
      </w:pPr>
      <w:r>
        <w:rPr>
          <w:rStyle w:val="FootnoteReference"/>
        </w:rPr>
        <w:footnoteRef/>
      </w:r>
      <w:r>
        <w:tab/>
        <w:t>Provedbena uredba Komisije (EU) br. 1423/2013 оd 20. prosinca 2013. o utvrđivanju provedbenih tehničkih standarda s obzirom na zahtjeve za objavljivanje regulatornog kapitala institucija u skladu s Uredbom (EU) br. 575/2013 Europskog parlamenta i Vijeća (SL L 355, 31.12.2013., str. 60.).</w:t>
      </w:r>
    </w:p>
  </w:footnote>
  <w:footnote w:id="6">
    <w:p w:rsidR="00D642C6" w:rsidRPr="005823FE" w:rsidRDefault="00D642C6" w:rsidP="00A72EF0">
      <w:pPr>
        <w:pStyle w:val="FootnoteText"/>
        <w:ind w:left="567" w:hanging="567"/>
      </w:pPr>
      <w:r>
        <w:rPr>
          <w:rStyle w:val="FootnoteReference"/>
        </w:rPr>
        <w:footnoteRef/>
      </w:r>
      <w:r>
        <w:tab/>
        <w:t>Delegirana uredba Komisije (EU) 2015/1555 od 28. svibnja 2015. o dopuni Uredbe (EU) br. 575/2013 Europskog parlamenta i Vijeća u pogledu regulatornih tehničkih standarda za objavu informacija u vezi s usklađenosti institucija sa zahtjevom za protuciklički zaštitni sloj kapitala u skladu s člankom 440. (SL L 244, 19.9.2015., str. 1.)</w:t>
      </w:r>
    </w:p>
  </w:footnote>
  <w:footnote w:id="7">
    <w:p w:rsidR="00D642C6" w:rsidRPr="005823FE" w:rsidRDefault="00D642C6" w:rsidP="00A72EF0">
      <w:pPr>
        <w:pStyle w:val="FootnoteText"/>
        <w:ind w:left="567" w:hanging="567"/>
      </w:pPr>
      <w:r>
        <w:rPr>
          <w:rStyle w:val="FootnoteReference"/>
        </w:rPr>
        <w:footnoteRef/>
      </w:r>
      <w:r>
        <w:tab/>
        <w:t>Provedbena uredba Komisije (EU) 2016/200 оd 15. veljače 2016. o utvrđivanju provedbenih tehničkih standarda s obzirom na objavu omjera financijske poluge institucija u skladu s Uredbom (EU) br. 575/2013 Europskog parlamenta i Vijeća (SL L 39, 16.2.2016., str. 5.)</w:t>
      </w:r>
    </w:p>
  </w:footnote>
  <w:footnote w:id="8">
    <w:p w:rsidR="00D642C6" w:rsidRPr="005823FE" w:rsidRDefault="00D642C6" w:rsidP="00A72EF0">
      <w:pPr>
        <w:pStyle w:val="FootnoteText"/>
        <w:ind w:left="567" w:hanging="567"/>
      </w:pPr>
      <w:r>
        <w:rPr>
          <w:rStyle w:val="FootnoteReference"/>
        </w:rPr>
        <w:footnoteRef/>
      </w:r>
      <w:r>
        <w:tab/>
        <w:t>Delegirana uredba Komisije (EU) 2017/2295 оd 4. rujna 2017. o dopuni Uredbe (EU) br. 575/2013 Europskog parlamenta i Vijeća u pogledu regulatornih tehničkih standarda za objavljivanje opterećene i neopterećene imovine (SL L 329, 13.12.2017., str. 6.).</w:t>
      </w:r>
    </w:p>
  </w:footnote>
  <w:footnote w:id="9">
    <w:p w:rsidR="00D642C6" w:rsidRPr="00A72EF0" w:rsidRDefault="00D642C6" w:rsidP="00967C75">
      <w:pPr>
        <w:pStyle w:val="FootnoteText"/>
        <w:ind w:left="567" w:hanging="567"/>
      </w:pPr>
      <w:r>
        <w:rPr>
          <w:rStyle w:val="FootnoteReference"/>
        </w:rPr>
        <w:footnoteRef/>
      </w:r>
      <w:r>
        <w:tab/>
        <w:t>Smjernice EBA/GL/2018/10 Europskog nadzornog tijela za bankarstvo od 17. prosinca 2018. o objavljivanju neprihodujućih i restrukturiranih izloženosti.</w:t>
      </w:r>
    </w:p>
  </w:footnote>
  <w:footnote w:id="10">
    <w:p w:rsidR="00D642C6" w:rsidRPr="00587191" w:rsidRDefault="00D642C6" w:rsidP="00195285">
      <w:pPr>
        <w:pStyle w:val="FootnoteText"/>
        <w:ind w:left="567" w:hanging="567"/>
      </w:pPr>
      <w:r>
        <w:rPr>
          <w:rStyle w:val="FootnoteReference"/>
        </w:rPr>
        <w:footnoteRef/>
      </w:r>
      <w:r>
        <w:tab/>
        <w:t>Uredba (EU) 2017/2401 Europskog parlamenta i Vijeća od 12. prosinca 2017. o izmjeni Uredbe (EU) br. 575/2013 o bonitetnim zahtjevima za kreditne institucije i investicijska društva (SL L 347, 28.12.2017., str. 1.).</w:t>
      </w:r>
    </w:p>
  </w:footnote>
  <w:footnote w:id="11">
    <w:p w:rsidR="00D642C6" w:rsidRPr="00587191" w:rsidRDefault="00D642C6" w:rsidP="00195285">
      <w:pPr>
        <w:pStyle w:val="FootnoteText"/>
        <w:ind w:left="567" w:hanging="567"/>
      </w:pPr>
      <w:r>
        <w:rPr>
          <w:rStyle w:val="FootnoteReference"/>
        </w:rPr>
        <w:footnoteRef/>
      </w:r>
      <w:r>
        <w:tab/>
      </w:r>
      <w:r>
        <w:rPr>
          <w:shd w:val="clear" w:color="auto" w:fill="FFFFFF"/>
        </w:rPr>
        <w:t>Uredba (EU) 2017/2402 Europskog parlamenta i Vijeća od 12. prosinca 2017. o utvrđivanju općeg okvira za sekuritizaciju i o uspostavi europskog okvira za jednostavnu, transparentnu i standardiziranu sekuritizaciju te o izmjeni direktiva 2009/65/EZ, 2009/138/EZ i 2011/61/EU te uredaba (EZ) br. 1060/2009 i (EU) br. 648/2012 (</w:t>
      </w:r>
      <w:r>
        <w:t>SL L 347, 28.12.2017., str. 35.</w:t>
      </w:r>
      <w:r>
        <w:rPr>
          <w:shd w:val="clear" w:color="auto" w:fill="FFFFFF"/>
        </w:rPr>
        <w:t>).</w:t>
      </w:r>
    </w:p>
  </w:footnote>
  <w:footnote w:id="12">
    <w:p w:rsidR="00D642C6" w:rsidRPr="00587191" w:rsidRDefault="00D642C6" w:rsidP="00195285">
      <w:pPr>
        <w:pStyle w:val="FootnoteText"/>
        <w:ind w:left="567" w:hanging="567"/>
      </w:pPr>
      <w:r>
        <w:rPr>
          <w:rStyle w:val="FootnoteReference"/>
        </w:rPr>
        <w:footnoteRef/>
      </w:r>
      <w:r>
        <w:tab/>
        <w:t>Uredba (EU) br. 1093/2010 Europskog parlamenta i Vijeća od 24. studenoga 2010. o osnivanju europskog nadzornog tijela (Europskog nadzornog tijela za bankarstvo), kojom se izmjenjuje Odluka br. 716/2009/EZ i stavlja izvan snage Odluka Komisije 2009/78/EZ (SL L 331, 15.12.2010., str.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2"/>
  </w:num>
  <w:num w:numId="32">
    <w:abstractNumId w:val="21"/>
  </w:num>
  <w:num w:numId="33">
    <w:abstractNumId w:val="11"/>
  </w:num>
  <w:num w:numId="34">
    <w:abstractNumId w:val="13"/>
  </w:num>
  <w:num w:numId="35">
    <w:abstractNumId w:val="9"/>
  </w:num>
  <w:num w:numId="36">
    <w:abstractNumId w:val="20"/>
  </w:num>
  <w:num w:numId="37">
    <w:abstractNumId w:val="8"/>
  </w:num>
  <w:num w:numId="38">
    <w:abstractNumId w:val="14"/>
  </w:num>
  <w:num w:numId="39">
    <w:abstractNumId w:val="17"/>
  </w:num>
  <w:num w:numId="40">
    <w:abstractNumId w:val="18"/>
  </w:num>
  <w:num w:numId="41">
    <w:abstractNumId w:val="10"/>
  </w:num>
  <w:num w:numId="42">
    <w:abstractNumId w:val="16"/>
  </w:num>
  <w:num w:numId="43">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1-03-08 10:11:46"/>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87"/>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Green"/>
    <w:docVar w:name="DQCVersion" w:val="3"/>
    <w:docVar w:name="DQCWithWarnings" w:val="0"/>
    <w:docVar w:name="LW_COVERPAGE_EXISTS" w:val="True"/>
    <w:docVar w:name="LW_COVERPAGE_GUID" w:val="D0E2BFC8-9072-4E5E-ABC9-96B3BB04D2CF"/>
    <w:docVar w:name="LW_COVERPAGE_TYPE" w:val="1"/>
    <w:docVar w:name="LW_CROSSREFERENCE" w:val="&lt;UNUSED&gt;"/>
    <w:docVar w:name="LW_DATE.ADOPT.CP" w:val="\u1086?d XXX"/>
    <w:docVar w:name="LW_DATE.ADOPT.CP_DATEFORMAT" w:val="\u1086?d %DATE%"/>
    <w:docVar w:name="LW_DATE.ADOPT.CP_ISODATE" w:val="&lt;EMPTY&gt;"/>
    <w:docVar w:name="LW_DocType" w:val="COM"/>
    <w:docVar w:name="LW_EMISSION" w:val="&lt;EMPTY&gt;"/>
    <w:docVar w:name="LW_EMISSION_ISODATE" w:val="&lt;EMPTY&gt;"/>
    <w:docVar w:name="LW_EMISSION_LOCATION" w:val="BRX"/>
    <w:docVar w:name="LW_EMISSION_PREFIX" w:val="Bruxelles, "/>
    <w:docVar w:name="LW_EMISSION_SUFFIX" w:val="&lt;EMPTY&gt;"/>
    <w:docVar w:name="LW_ID_DOCMODEL" w:val="SJ-004"/>
    <w:docVar w:name="LW_ID_DOCSIGNATURE" w:val="SJ-004"/>
    <w:docVar w:name="LW_ID_DOCSTRUCTURE" w:val="COM/AA"/>
    <w:docVar w:name="LW_ID_DOCTYPE" w:val="SJ-004"/>
    <w:docVar w:name="LW_INTERETEEE.CP" w:val="(Tekst zna\u269?ajan za EGP)"/>
    <w:docVar w:name="LW_LANGUE" w:val="HR"/>
    <w:docVar w:name="LW_LANGUESFAISANTFOI.CP" w:val="&lt;UNUSED&gt;"/>
    <w:docVar w:name="LW_LEVEL_OF_SENSITIVITY" w:val="Standard treatment"/>
    <w:docVar w:name="LW_NOM.INST" w:val="EUROPSKA KOMISIJ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 utvr\u273?ivanju provedbenih tehni\u269?kih standarda za institucije o javnoj objavi informacija iz dijela osmog glava II. i III. Uredbe (EU) br. 575/2013 Europskog parlamenta i Vije\u263?a i stavljanju izvan snage Provedbene uredbe Komisije (EU) br. 1423/2013, Delegirane uredbe Komisije (EU) 2015/1555, Provedbene uredbe Komisije (EU) 2016/200 i Delegirane uredbe Komisije (EU) 2017/2295_x000b__x000b_"/>
    <w:docVar w:name="LW_TYPE.DOC.CP" w:val="PROVEDBENA UREDBA KOMISIJE (EU) \u8230?/..."/>
  </w:docVars>
  <w:rsids>
    <w:rsidRoot w:val="0004170D"/>
    <w:rsid w:val="0000233F"/>
    <w:rsid w:val="00010CC7"/>
    <w:rsid w:val="0002231C"/>
    <w:rsid w:val="00023622"/>
    <w:rsid w:val="000302BA"/>
    <w:rsid w:val="00036497"/>
    <w:rsid w:val="0004170D"/>
    <w:rsid w:val="000530A8"/>
    <w:rsid w:val="00066D60"/>
    <w:rsid w:val="000715FC"/>
    <w:rsid w:val="000747E8"/>
    <w:rsid w:val="00075194"/>
    <w:rsid w:val="0008268D"/>
    <w:rsid w:val="000965A4"/>
    <w:rsid w:val="000A7C56"/>
    <w:rsid w:val="000B18AB"/>
    <w:rsid w:val="000B31D0"/>
    <w:rsid w:val="000B4D68"/>
    <w:rsid w:val="000B5ADE"/>
    <w:rsid w:val="000B75F5"/>
    <w:rsid w:val="000C0000"/>
    <w:rsid w:val="000C2A47"/>
    <w:rsid w:val="000C4EBE"/>
    <w:rsid w:val="000C60D7"/>
    <w:rsid w:val="000D57AD"/>
    <w:rsid w:val="000F1AE0"/>
    <w:rsid w:val="00105D7C"/>
    <w:rsid w:val="00124000"/>
    <w:rsid w:val="00124B31"/>
    <w:rsid w:val="0012658B"/>
    <w:rsid w:val="00130336"/>
    <w:rsid w:val="00133A68"/>
    <w:rsid w:val="00142DC9"/>
    <w:rsid w:val="0014569E"/>
    <w:rsid w:val="00151336"/>
    <w:rsid w:val="0015237E"/>
    <w:rsid w:val="001612FE"/>
    <w:rsid w:val="00164D08"/>
    <w:rsid w:val="00167DBD"/>
    <w:rsid w:val="00173862"/>
    <w:rsid w:val="00175820"/>
    <w:rsid w:val="00183568"/>
    <w:rsid w:val="00184CD1"/>
    <w:rsid w:val="00190EC6"/>
    <w:rsid w:val="00194CD4"/>
    <w:rsid w:val="00195285"/>
    <w:rsid w:val="001C49B7"/>
    <w:rsid w:val="001D579B"/>
    <w:rsid w:val="001D5E4E"/>
    <w:rsid w:val="0020373E"/>
    <w:rsid w:val="00204CA9"/>
    <w:rsid w:val="00211A11"/>
    <w:rsid w:val="00223E6D"/>
    <w:rsid w:val="00254B69"/>
    <w:rsid w:val="002554D0"/>
    <w:rsid w:val="00257DE9"/>
    <w:rsid w:val="00262584"/>
    <w:rsid w:val="00267DD6"/>
    <w:rsid w:val="002907D3"/>
    <w:rsid w:val="00292A0A"/>
    <w:rsid w:val="002933BD"/>
    <w:rsid w:val="00296DB6"/>
    <w:rsid w:val="002A48C4"/>
    <w:rsid w:val="002A6E84"/>
    <w:rsid w:val="002C0C3E"/>
    <w:rsid w:val="002C1097"/>
    <w:rsid w:val="002C433D"/>
    <w:rsid w:val="002D22E3"/>
    <w:rsid w:val="002E2681"/>
    <w:rsid w:val="002E3B6F"/>
    <w:rsid w:val="002E476B"/>
    <w:rsid w:val="00305114"/>
    <w:rsid w:val="00312E0D"/>
    <w:rsid w:val="00316F57"/>
    <w:rsid w:val="00317696"/>
    <w:rsid w:val="00324024"/>
    <w:rsid w:val="00334AD0"/>
    <w:rsid w:val="00334D45"/>
    <w:rsid w:val="00336F4D"/>
    <w:rsid w:val="00342795"/>
    <w:rsid w:val="003460F1"/>
    <w:rsid w:val="00352527"/>
    <w:rsid w:val="00356414"/>
    <w:rsid w:val="00362906"/>
    <w:rsid w:val="00362E56"/>
    <w:rsid w:val="0036351A"/>
    <w:rsid w:val="00387DA9"/>
    <w:rsid w:val="003A1165"/>
    <w:rsid w:val="003A35E9"/>
    <w:rsid w:val="003B2A70"/>
    <w:rsid w:val="003B73C9"/>
    <w:rsid w:val="003C1E7F"/>
    <w:rsid w:val="003C4F11"/>
    <w:rsid w:val="003D2479"/>
    <w:rsid w:val="003D44B9"/>
    <w:rsid w:val="003D6311"/>
    <w:rsid w:val="003E3102"/>
    <w:rsid w:val="003E38FD"/>
    <w:rsid w:val="00401969"/>
    <w:rsid w:val="00403378"/>
    <w:rsid w:val="00414EB3"/>
    <w:rsid w:val="004166C6"/>
    <w:rsid w:val="00424D6E"/>
    <w:rsid w:val="004328FB"/>
    <w:rsid w:val="00433CFD"/>
    <w:rsid w:val="0044155A"/>
    <w:rsid w:val="004427A5"/>
    <w:rsid w:val="00442C93"/>
    <w:rsid w:val="00444CBF"/>
    <w:rsid w:val="00445AB9"/>
    <w:rsid w:val="004515BE"/>
    <w:rsid w:val="00453D69"/>
    <w:rsid w:val="00461468"/>
    <w:rsid w:val="0047525C"/>
    <w:rsid w:val="00476884"/>
    <w:rsid w:val="00480310"/>
    <w:rsid w:val="00486017"/>
    <w:rsid w:val="004939A4"/>
    <w:rsid w:val="00496B08"/>
    <w:rsid w:val="00497414"/>
    <w:rsid w:val="004A1CDB"/>
    <w:rsid w:val="004A255E"/>
    <w:rsid w:val="004B0164"/>
    <w:rsid w:val="004B6788"/>
    <w:rsid w:val="004B7AEA"/>
    <w:rsid w:val="004C4F9A"/>
    <w:rsid w:val="004E05C8"/>
    <w:rsid w:val="00501B9B"/>
    <w:rsid w:val="0053062E"/>
    <w:rsid w:val="00535526"/>
    <w:rsid w:val="00552202"/>
    <w:rsid w:val="00553957"/>
    <w:rsid w:val="00563765"/>
    <w:rsid w:val="005715DB"/>
    <w:rsid w:val="00580B2A"/>
    <w:rsid w:val="00581093"/>
    <w:rsid w:val="005823FE"/>
    <w:rsid w:val="00587191"/>
    <w:rsid w:val="005A7F5C"/>
    <w:rsid w:val="005B07FD"/>
    <w:rsid w:val="005C3834"/>
    <w:rsid w:val="005C4422"/>
    <w:rsid w:val="005E2A3F"/>
    <w:rsid w:val="005E4E75"/>
    <w:rsid w:val="005F2549"/>
    <w:rsid w:val="005F490A"/>
    <w:rsid w:val="005F7F66"/>
    <w:rsid w:val="00625AFA"/>
    <w:rsid w:val="0063239A"/>
    <w:rsid w:val="00632AF6"/>
    <w:rsid w:val="006430F5"/>
    <w:rsid w:val="00646429"/>
    <w:rsid w:val="00646DA2"/>
    <w:rsid w:val="006518A1"/>
    <w:rsid w:val="00656F3B"/>
    <w:rsid w:val="00670714"/>
    <w:rsid w:val="00693D08"/>
    <w:rsid w:val="00693F0A"/>
    <w:rsid w:val="006947FE"/>
    <w:rsid w:val="006A32A4"/>
    <w:rsid w:val="006A7F00"/>
    <w:rsid w:val="006D20F7"/>
    <w:rsid w:val="006E0911"/>
    <w:rsid w:val="006E3B08"/>
    <w:rsid w:val="006F2F67"/>
    <w:rsid w:val="006F4232"/>
    <w:rsid w:val="006F792A"/>
    <w:rsid w:val="00701631"/>
    <w:rsid w:val="00704A57"/>
    <w:rsid w:val="00717B5E"/>
    <w:rsid w:val="007241CC"/>
    <w:rsid w:val="00725875"/>
    <w:rsid w:val="0073287A"/>
    <w:rsid w:val="007328EB"/>
    <w:rsid w:val="00732B32"/>
    <w:rsid w:val="007475DB"/>
    <w:rsid w:val="00755F0F"/>
    <w:rsid w:val="00755F6F"/>
    <w:rsid w:val="00756C6D"/>
    <w:rsid w:val="00786078"/>
    <w:rsid w:val="00792BDA"/>
    <w:rsid w:val="0079582A"/>
    <w:rsid w:val="007A1D1D"/>
    <w:rsid w:val="007A231C"/>
    <w:rsid w:val="007A76EC"/>
    <w:rsid w:val="007B1860"/>
    <w:rsid w:val="007C003F"/>
    <w:rsid w:val="007D178B"/>
    <w:rsid w:val="007E5F66"/>
    <w:rsid w:val="007E66A7"/>
    <w:rsid w:val="007F579D"/>
    <w:rsid w:val="007F676F"/>
    <w:rsid w:val="0080055A"/>
    <w:rsid w:val="00800894"/>
    <w:rsid w:val="00802909"/>
    <w:rsid w:val="008326B8"/>
    <w:rsid w:val="008568F5"/>
    <w:rsid w:val="00856A5A"/>
    <w:rsid w:val="00861266"/>
    <w:rsid w:val="00877878"/>
    <w:rsid w:val="00886F23"/>
    <w:rsid w:val="00892FEE"/>
    <w:rsid w:val="008A33A3"/>
    <w:rsid w:val="008A5096"/>
    <w:rsid w:val="008A5945"/>
    <w:rsid w:val="008A6A1E"/>
    <w:rsid w:val="008B6784"/>
    <w:rsid w:val="008B78EA"/>
    <w:rsid w:val="008C19A5"/>
    <w:rsid w:val="008C51D0"/>
    <w:rsid w:val="008D42B0"/>
    <w:rsid w:val="008D6EA6"/>
    <w:rsid w:val="00905357"/>
    <w:rsid w:val="00921F21"/>
    <w:rsid w:val="00922950"/>
    <w:rsid w:val="00923CC6"/>
    <w:rsid w:val="00926007"/>
    <w:rsid w:val="009310C9"/>
    <w:rsid w:val="00931C56"/>
    <w:rsid w:val="00941988"/>
    <w:rsid w:val="0094247F"/>
    <w:rsid w:val="009458BD"/>
    <w:rsid w:val="00951C31"/>
    <w:rsid w:val="00956448"/>
    <w:rsid w:val="00957150"/>
    <w:rsid w:val="00963178"/>
    <w:rsid w:val="00965673"/>
    <w:rsid w:val="00965716"/>
    <w:rsid w:val="00966B3C"/>
    <w:rsid w:val="009675DD"/>
    <w:rsid w:val="00967C75"/>
    <w:rsid w:val="0097765D"/>
    <w:rsid w:val="009777B7"/>
    <w:rsid w:val="00993FAE"/>
    <w:rsid w:val="00995CF9"/>
    <w:rsid w:val="00997228"/>
    <w:rsid w:val="009A0FCB"/>
    <w:rsid w:val="009A56F4"/>
    <w:rsid w:val="009B4728"/>
    <w:rsid w:val="009C5CB4"/>
    <w:rsid w:val="009F40BE"/>
    <w:rsid w:val="00A10245"/>
    <w:rsid w:val="00A228D5"/>
    <w:rsid w:val="00A260ED"/>
    <w:rsid w:val="00A26E4D"/>
    <w:rsid w:val="00A27898"/>
    <w:rsid w:val="00A3263C"/>
    <w:rsid w:val="00A518E0"/>
    <w:rsid w:val="00A5494A"/>
    <w:rsid w:val="00A70AF9"/>
    <w:rsid w:val="00A72EF0"/>
    <w:rsid w:val="00A762FD"/>
    <w:rsid w:val="00A84A3E"/>
    <w:rsid w:val="00A858BC"/>
    <w:rsid w:val="00A91F18"/>
    <w:rsid w:val="00AB786E"/>
    <w:rsid w:val="00AD027A"/>
    <w:rsid w:val="00AD4A67"/>
    <w:rsid w:val="00AD58EF"/>
    <w:rsid w:val="00AE2C32"/>
    <w:rsid w:val="00AE3F40"/>
    <w:rsid w:val="00AE6C16"/>
    <w:rsid w:val="00B30A70"/>
    <w:rsid w:val="00B41102"/>
    <w:rsid w:val="00B609A7"/>
    <w:rsid w:val="00B61C46"/>
    <w:rsid w:val="00B711DB"/>
    <w:rsid w:val="00B8013E"/>
    <w:rsid w:val="00B80AC9"/>
    <w:rsid w:val="00B861EE"/>
    <w:rsid w:val="00B90336"/>
    <w:rsid w:val="00BA0CA9"/>
    <w:rsid w:val="00BA6C63"/>
    <w:rsid w:val="00BA7AD9"/>
    <w:rsid w:val="00BB093D"/>
    <w:rsid w:val="00BB60B6"/>
    <w:rsid w:val="00BC75BD"/>
    <w:rsid w:val="00BD158D"/>
    <w:rsid w:val="00BE1C5E"/>
    <w:rsid w:val="00BF182F"/>
    <w:rsid w:val="00C02ED9"/>
    <w:rsid w:val="00C05465"/>
    <w:rsid w:val="00C14839"/>
    <w:rsid w:val="00C16675"/>
    <w:rsid w:val="00C20D9A"/>
    <w:rsid w:val="00C24911"/>
    <w:rsid w:val="00C25E54"/>
    <w:rsid w:val="00C278CC"/>
    <w:rsid w:val="00C36E0D"/>
    <w:rsid w:val="00C40BF9"/>
    <w:rsid w:val="00C41BFF"/>
    <w:rsid w:val="00C47BED"/>
    <w:rsid w:val="00C5099A"/>
    <w:rsid w:val="00C61949"/>
    <w:rsid w:val="00C81C3A"/>
    <w:rsid w:val="00C84B15"/>
    <w:rsid w:val="00C91C95"/>
    <w:rsid w:val="00C94DC0"/>
    <w:rsid w:val="00CA348C"/>
    <w:rsid w:val="00CA57C3"/>
    <w:rsid w:val="00CA5835"/>
    <w:rsid w:val="00CB377F"/>
    <w:rsid w:val="00CC3294"/>
    <w:rsid w:val="00CC620B"/>
    <w:rsid w:val="00CC62AE"/>
    <w:rsid w:val="00CD689A"/>
    <w:rsid w:val="00CD719F"/>
    <w:rsid w:val="00CE5120"/>
    <w:rsid w:val="00CE62E1"/>
    <w:rsid w:val="00CF0948"/>
    <w:rsid w:val="00CF6BC4"/>
    <w:rsid w:val="00D001B4"/>
    <w:rsid w:val="00D2760A"/>
    <w:rsid w:val="00D34C25"/>
    <w:rsid w:val="00D602DE"/>
    <w:rsid w:val="00D642C6"/>
    <w:rsid w:val="00D76B54"/>
    <w:rsid w:val="00D9176D"/>
    <w:rsid w:val="00DC2475"/>
    <w:rsid w:val="00DD2BA0"/>
    <w:rsid w:val="00DF14E1"/>
    <w:rsid w:val="00E0170F"/>
    <w:rsid w:val="00E10715"/>
    <w:rsid w:val="00E14194"/>
    <w:rsid w:val="00E174B5"/>
    <w:rsid w:val="00E206C9"/>
    <w:rsid w:val="00E23611"/>
    <w:rsid w:val="00E25FFA"/>
    <w:rsid w:val="00E42EC8"/>
    <w:rsid w:val="00E5338C"/>
    <w:rsid w:val="00E5388C"/>
    <w:rsid w:val="00E62304"/>
    <w:rsid w:val="00E6427C"/>
    <w:rsid w:val="00E76705"/>
    <w:rsid w:val="00E76D3F"/>
    <w:rsid w:val="00E8665C"/>
    <w:rsid w:val="00EA0958"/>
    <w:rsid w:val="00EA3E25"/>
    <w:rsid w:val="00EA6449"/>
    <w:rsid w:val="00EB4A85"/>
    <w:rsid w:val="00EB6A16"/>
    <w:rsid w:val="00EC422C"/>
    <w:rsid w:val="00ED3421"/>
    <w:rsid w:val="00EF3146"/>
    <w:rsid w:val="00EF6392"/>
    <w:rsid w:val="00F04CDC"/>
    <w:rsid w:val="00F15C9D"/>
    <w:rsid w:val="00F31307"/>
    <w:rsid w:val="00F335A5"/>
    <w:rsid w:val="00F37426"/>
    <w:rsid w:val="00F5043B"/>
    <w:rsid w:val="00F53E64"/>
    <w:rsid w:val="00F6330E"/>
    <w:rsid w:val="00F676B3"/>
    <w:rsid w:val="00F83A04"/>
    <w:rsid w:val="00F855B3"/>
    <w:rsid w:val="00F91209"/>
    <w:rsid w:val="00F93ED1"/>
    <w:rsid w:val="00F978FE"/>
    <w:rsid w:val="00F97AAB"/>
    <w:rsid w:val="00FA2322"/>
    <w:rsid w:val="00FA4569"/>
    <w:rsid w:val="00FA53E3"/>
    <w:rsid w:val="00FB4483"/>
    <w:rsid w:val="00FD6645"/>
    <w:rsid w:val="00FF2606"/>
    <w:rsid w:val="00FF364B"/>
    <w:rsid w:val="00FF5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hr-HR"/>
    </w:rPr>
  </w:style>
  <w:style w:type="paragraph" w:styleId="Heading1">
    <w:name w:val="heading 1"/>
    <w:basedOn w:val="Normal"/>
    <w:next w:val="Text1"/>
    <w:link w:val="Heading1Char"/>
    <w:uiPriority w:val="9"/>
    <w:qFormat/>
    <w:rsid w:val="009B7138"/>
    <w:pPr>
      <w:keepNext/>
      <w:numPr>
        <w:numId w:val="3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6"/>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hr-HR"/>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semiHidden/>
    <w:unhideWhenUsed/>
    <w:rsid w:val="000B31D0"/>
    <w:rPr>
      <w:sz w:val="20"/>
      <w:szCs w:val="20"/>
    </w:rPr>
  </w:style>
  <w:style w:type="character" w:customStyle="1" w:styleId="CommentTextChar">
    <w:name w:val="Comment Text Char"/>
    <w:basedOn w:val="DefaultParagraphFont"/>
    <w:link w:val="CommentText"/>
    <w:uiPriority w:val="99"/>
    <w:semiHidden/>
    <w:rsid w:val="000B31D0"/>
    <w:rPr>
      <w:rFonts w:ascii="Times New Roman" w:hAnsi="Times New Roman" w:cs="Times New Roman"/>
      <w:sz w:val="20"/>
      <w:szCs w:val="20"/>
      <w:lang w:val="hr-HR"/>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hr-HR"/>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hr-HR"/>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hr-HR"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paragraph" w:styleId="Subtitle">
    <w:name w:val="Subtitle"/>
    <w:next w:val="Normal"/>
    <w:link w:val="SubtitleChar"/>
    <w:autoRedefine/>
    <w:uiPriority w:val="11"/>
    <w:qFormat/>
    <w:rsid w:val="00A858BC"/>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A858BC"/>
    <w:rPr>
      <w:rFonts w:asciiTheme="majorHAnsi" w:eastAsiaTheme="majorEastAsia" w:hAnsiTheme="majorHAnsi" w:cstheme="majorBidi"/>
      <w:color w:val="4F81BD" w:themeColor="accent1"/>
      <w:sz w:val="32"/>
      <w:szCs w:val="32"/>
      <w:lang w:val="hr-HR"/>
    </w:rPr>
  </w:style>
  <w:style w:type="character" w:customStyle="1" w:styleId="super">
    <w:name w:val="super"/>
    <w:basedOn w:val="DefaultParagraphFont"/>
    <w:rsid w:val="00B90336"/>
  </w:style>
  <w:style w:type="character" w:styleId="FollowedHyperlink">
    <w:name w:val="FollowedHyperlink"/>
    <w:basedOn w:val="DefaultParagraphFont"/>
    <w:uiPriority w:val="99"/>
    <w:semiHidden/>
    <w:unhideWhenUsed/>
    <w:rsid w:val="00342795"/>
    <w:rPr>
      <w:color w:val="800080" w:themeColor="followedHyperlink"/>
      <w:u w:val="single"/>
    </w:rPr>
  </w:style>
  <w:style w:type="paragraph" w:styleId="Revision">
    <w:name w:val="Revision"/>
    <w:hidden/>
    <w:uiPriority w:val="99"/>
    <w:semiHidden/>
    <w:rsid w:val="00C94DC0"/>
    <w:pPr>
      <w:spacing w:after="0" w:line="240" w:lineRule="auto"/>
    </w:pPr>
    <w:rPr>
      <w:rFonts w:ascii="Times New Roman" w:hAnsi="Times New Roman" w:cs="Times New Roman"/>
      <w:sz w:val="24"/>
    </w:rPr>
  </w:style>
  <w:style w:type="paragraph" w:styleId="NormalWeb">
    <w:name w:val="Normal (Web)"/>
    <w:basedOn w:val="Normal"/>
    <w:uiPriority w:val="99"/>
    <w:unhideWhenUsed/>
    <w:rsid w:val="00195285"/>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195285"/>
    <w:rPr>
      <w:i/>
      <w:iCs/>
    </w:rPr>
  </w:style>
  <w:style w:type="table" w:styleId="TableGrid">
    <w:name w:val="Table Grid"/>
    <w:basedOn w:val="TableNormal"/>
    <w:uiPriority w:val="59"/>
    <w:rsid w:val="005F2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823FE"/>
    <w:pPr>
      <w:spacing w:before="0" w:after="0"/>
    </w:pPr>
    <w:rPr>
      <w:sz w:val="20"/>
      <w:szCs w:val="20"/>
    </w:rPr>
  </w:style>
  <w:style w:type="character" w:customStyle="1" w:styleId="EndnoteTextChar">
    <w:name w:val="Endnote Text Char"/>
    <w:basedOn w:val="DefaultParagraphFont"/>
    <w:link w:val="EndnoteText"/>
    <w:uiPriority w:val="99"/>
    <w:semiHidden/>
    <w:rsid w:val="005823FE"/>
    <w:rPr>
      <w:rFonts w:ascii="Times New Roman" w:hAnsi="Times New Roman" w:cs="Times New Roman"/>
      <w:sz w:val="20"/>
      <w:szCs w:val="20"/>
      <w:lang w:val="hr-HR"/>
    </w:rPr>
  </w:style>
  <w:style w:type="character" w:styleId="EndnoteReference">
    <w:name w:val="endnote reference"/>
    <w:basedOn w:val="DefaultParagraphFont"/>
    <w:uiPriority w:val="99"/>
    <w:semiHidden/>
    <w:unhideWhenUsed/>
    <w:rsid w:val="005823FE"/>
    <w:rPr>
      <w:vertAlign w:val="superscript"/>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30"/>
      </w:numPr>
    </w:pPr>
  </w:style>
  <w:style w:type="paragraph" w:customStyle="1" w:styleId="Tiret1">
    <w:name w:val="Tiret 1"/>
    <w:basedOn w:val="Point1"/>
    <w:rsid w:val="009B7138"/>
    <w:pPr>
      <w:numPr>
        <w:numId w:val="31"/>
      </w:numPr>
    </w:pPr>
  </w:style>
  <w:style w:type="paragraph" w:customStyle="1" w:styleId="Tiret2">
    <w:name w:val="Tiret 2"/>
    <w:basedOn w:val="Point2"/>
    <w:rsid w:val="009B7138"/>
    <w:pPr>
      <w:numPr>
        <w:numId w:val="32"/>
      </w:numPr>
    </w:pPr>
  </w:style>
  <w:style w:type="paragraph" w:customStyle="1" w:styleId="Tiret3">
    <w:name w:val="Tiret 3"/>
    <w:basedOn w:val="Point3"/>
    <w:rsid w:val="009B7138"/>
    <w:pPr>
      <w:numPr>
        <w:numId w:val="33"/>
      </w:numPr>
    </w:pPr>
  </w:style>
  <w:style w:type="paragraph" w:customStyle="1" w:styleId="Tiret4">
    <w:name w:val="Tiret 4"/>
    <w:basedOn w:val="Point4"/>
    <w:rsid w:val="009B7138"/>
    <w:pPr>
      <w:numPr>
        <w:numId w:val="34"/>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5"/>
      </w:numPr>
    </w:pPr>
  </w:style>
  <w:style w:type="paragraph" w:customStyle="1" w:styleId="NumPar2">
    <w:name w:val="NumPar 2"/>
    <w:basedOn w:val="Normal"/>
    <w:next w:val="Text1"/>
    <w:rsid w:val="009B7138"/>
    <w:pPr>
      <w:numPr>
        <w:ilvl w:val="1"/>
        <w:numId w:val="35"/>
      </w:numPr>
    </w:pPr>
  </w:style>
  <w:style w:type="paragraph" w:customStyle="1" w:styleId="NumPar3">
    <w:name w:val="NumPar 3"/>
    <w:basedOn w:val="Normal"/>
    <w:next w:val="Text1"/>
    <w:rsid w:val="009B7138"/>
    <w:pPr>
      <w:numPr>
        <w:ilvl w:val="2"/>
        <w:numId w:val="35"/>
      </w:numPr>
    </w:pPr>
  </w:style>
  <w:style w:type="paragraph" w:customStyle="1" w:styleId="NumPar4">
    <w:name w:val="NumPar 4"/>
    <w:basedOn w:val="Normal"/>
    <w:next w:val="Text1"/>
    <w:rsid w:val="009B7138"/>
    <w:pPr>
      <w:numPr>
        <w:ilvl w:val="3"/>
        <w:numId w:val="35"/>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7"/>
      </w:numPr>
    </w:pPr>
  </w:style>
  <w:style w:type="paragraph" w:customStyle="1" w:styleId="Point1number">
    <w:name w:val="Point 1 (number)"/>
    <w:basedOn w:val="Normal"/>
    <w:rsid w:val="009B7138"/>
    <w:pPr>
      <w:numPr>
        <w:ilvl w:val="2"/>
        <w:numId w:val="37"/>
      </w:numPr>
    </w:pPr>
  </w:style>
  <w:style w:type="paragraph" w:customStyle="1" w:styleId="Point2number">
    <w:name w:val="Point 2 (number)"/>
    <w:basedOn w:val="Normal"/>
    <w:rsid w:val="009B7138"/>
    <w:pPr>
      <w:numPr>
        <w:ilvl w:val="4"/>
        <w:numId w:val="37"/>
      </w:numPr>
    </w:pPr>
  </w:style>
  <w:style w:type="paragraph" w:customStyle="1" w:styleId="Point3number">
    <w:name w:val="Point 3 (number)"/>
    <w:basedOn w:val="Normal"/>
    <w:rsid w:val="009B7138"/>
    <w:pPr>
      <w:numPr>
        <w:ilvl w:val="6"/>
        <w:numId w:val="37"/>
      </w:numPr>
    </w:pPr>
  </w:style>
  <w:style w:type="paragraph" w:customStyle="1" w:styleId="Point0letter">
    <w:name w:val="Point 0 (letter)"/>
    <w:basedOn w:val="Normal"/>
    <w:rsid w:val="009B7138"/>
    <w:pPr>
      <w:numPr>
        <w:ilvl w:val="1"/>
        <w:numId w:val="37"/>
      </w:numPr>
    </w:pPr>
  </w:style>
  <w:style w:type="paragraph" w:customStyle="1" w:styleId="Point1letter">
    <w:name w:val="Point 1 (letter)"/>
    <w:basedOn w:val="Normal"/>
    <w:rsid w:val="009B7138"/>
    <w:pPr>
      <w:numPr>
        <w:ilvl w:val="3"/>
        <w:numId w:val="37"/>
      </w:numPr>
    </w:pPr>
  </w:style>
  <w:style w:type="paragraph" w:customStyle="1" w:styleId="Point2letter">
    <w:name w:val="Point 2 (letter)"/>
    <w:basedOn w:val="Normal"/>
    <w:rsid w:val="009B7138"/>
    <w:pPr>
      <w:numPr>
        <w:ilvl w:val="5"/>
        <w:numId w:val="37"/>
      </w:numPr>
    </w:pPr>
  </w:style>
  <w:style w:type="paragraph" w:customStyle="1" w:styleId="Point3letter">
    <w:name w:val="Point 3 (letter)"/>
    <w:basedOn w:val="Normal"/>
    <w:rsid w:val="009B7138"/>
    <w:pPr>
      <w:numPr>
        <w:ilvl w:val="7"/>
        <w:numId w:val="37"/>
      </w:numPr>
    </w:pPr>
  </w:style>
  <w:style w:type="paragraph" w:customStyle="1" w:styleId="Point4letter">
    <w:name w:val="Point 4 (letter)"/>
    <w:basedOn w:val="Normal"/>
    <w:rsid w:val="009B7138"/>
    <w:pPr>
      <w:numPr>
        <w:ilvl w:val="8"/>
        <w:numId w:val="37"/>
      </w:numPr>
    </w:pPr>
  </w:style>
  <w:style w:type="paragraph" w:customStyle="1" w:styleId="Bullet0">
    <w:name w:val="Bullet 0"/>
    <w:basedOn w:val="Normal"/>
    <w:rsid w:val="009B7138"/>
    <w:pPr>
      <w:numPr>
        <w:numId w:val="38"/>
      </w:numPr>
    </w:pPr>
  </w:style>
  <w:style w:type="paragraph" w:customStyle="1" w:styleId="Bullet1">
    <w:name w:val="Bullet 1"/>
    <w:basedOn w:val="Normal"/>
    <w:rsid w:val="009B7138"/>
    <w:pPr>
      <w:numPr>
        <w:numId w:val="39"/>
      </w:numPr>
    </w:pPr>
  </w:style>
  <w:style w:type="paragraph" w:customStyle="1" w:styleId="Bullet2">
    <w:name w:val="Bullet 2"/>
    <w:basedOn w:val="Normal"/>
    <w:rsid w:val="009B7138"/>
    <w:pPr>
      <w:numPr>
        <w:numId w:val="40"/>
      </w:numPr>
    </w:pPr>
  </w:style>
  <w:style w:type="paragraph" w:customStyle="1" w:styleId="Bullet3">
    <w:name w:val="Bullet 3"/>
    <w:basedOn w:val="Normal"/>
    <w:rsid w:val="009B7138"/>
    <w:pPr>
      <w:numPr>
        <w:numId w:val="41"/>
      </w:numPr>
    </w:pPr>
  </w:style>
  <w:style w:type="paragraph" w:customStyle="1" w:styleId="Bullet4">
    <w:name w:val="Bullet 4"/>
    <w:basedOn w:val="Normal"/>
    <w:rsid w:val="009B7138"/>
    <w:pPr>
      <w:numPr>
        <w:numId w:val="42"/>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3"/>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6432">
      <w:bodyDiv w:val="1"/>
      <w:marLeft w:val="0"/>
      <w:marRight w:val="0"/>
      <w:marTop w:val="0"/>
      <w:marBottom w:val="0"/>
      <w:divBdr>
        <w:top w:val="none" w:sz="0" w:space="0" w:color="auto"/>
        <w:left w:val="none" w:sz="0" w:space="0" w:color="auto"/>
        <w:bottom w:val="none" w:sz="0" w:space="0" w:color="auto"/>
        <w:right w:val="none" w:sz="0" w:space="0" w:color="auto"/>
      </w:divBdr>
    </w:div>
    <w:div w:id="302201858">
      <w:bodyDiv w:val="1"/>
      <w:marLeft w:val="0"/>
      <w:marRight w:val="0"/>
      <w:marTop w:val="0"/>
      <w:marBottom w:val="0"/>
      <w:divBdr>
        <w:top w:val="none" w:sz="0" w:space="0" w:color="auto"/>
        <w:left w:val="none" w:sz="0" w:space="0" w:color="auto"/>
        <w:bottom w:val="none" w:sz="0" w:space="0" w:color="auto"/>
        <w:right w:val="none" w:sz="0" w:space="0" w:color="auto"/>
      </w:divBdr>
    </w:div>
    <w:div w:id="314528207">
      <w:bodyDiv w:val="1"/>
      <w:marLeft w:val="0"/>
      <w:marRight w:val="0"/>
      <w:marTop w:val="0"/>
      <w:marBottom w:val="0"/>
      <w:divBdr>
        <w:top w:val="none" w:sz="0" w:space="0" w:color="auto"/>
        <w:left w:val="none" w:sz="0" w:space="0" w:color="auto"/>
        <w:bottom w:val="none" w:sz="0" w:space="0" w:color="auto"/>
        <w:right w:val="none" w:sz="0" w:space="0" w:color="auto"/>
      </w:divBdr>
    </w:div>
    <w:div w:id="361520172">
      <w:bodyDiv w:val="1"/>
      <w:marLeft w:val="0"/>
      <w:marRight w:val="0"/>
      <w:marTop w:val="0"/>
      <w:marBottom w:val="0"/>
      <w:divBdr>
        <w:top w:val="none" w:sz="0" w:space="0" w:color="auto"/>
        <w:left w:val="none" w:sz="0" w:space="0" w:color="auto"/>
        <w:bottom w:val="none" w:sz="0" w:space="0" w:color="auto"/>
        <w:right w:val="none" w:sz="0" w:space="0" w:color="auto"/>
      </w:divBdr>
    </w:div>
    <w:div w:id="1176383404">
      <w:bodyDiv w:val="1"/>
      <w:marLeft w:val="0"/>
      <w:marRight w:val="0"/>
      <w:marTop w:val="0"/>
      <w:marBottom w:val="0"/>
      <w:divBdr>
        <w:top w:val="none" w:sz="0" w:space="0" w:color="auto"/>
        <w:left w:val="none" w:sz="0" w:space="0" w:color="auto"/>
        <w:bottom w:val="none" w:sz="0" w:space="0" w:color="auto"/>
        <w:right w:val="none" w:sz="0" w:space="0" w:color="auto"/>
      </w:divBdr>
    </w:div>
    <w:div w:id="1451976894">
      <w:bodyDiv w:val="1"/>
      <w:marLeft w:val="0"/>
      <w:marRight w:val="0"/>
      <w:marTop w:val="0"/>
      <w:marBottom w:val="0"/>
      <w:divBdr>
        <w:top w:val="none" w:sz="0" w:space="0" w:color="auto"/>
        <w:left w:val="none" w:sz="0" w:space="0" w:color="auto"/>
        <w:bottom w:val="none" w:sz="0" w:space="0" w:color="auto"/>
        <w:right w:val="none" w:sz="0" w:space="0" w:color="auto"/>
      </w:divBdr>
    </w:div>
    <w:div w:id="1964074617">
      <w:bodyDiv w:val="1"/>
      <w:marLeft w:val="0"/>
      <w:marRight w:val="0"/>
      <w:marTop w:val="0"/>
      <w:marBottom w:val="0"/>
      <w:divBdr>
        <w:top w:val="none" w:sz="0" w:space="0" w:color="auto"/>
        <w:left w:val="none" w:sz="0" w:space="0" w:color="auto"/>
        <w:bottom w:val="none" w:sz="0" w:space="0" w:color="auto"/>
        <w:right w:val="none" w:sz="0" w:space="0" w:color="auto"/>
      </w:divBdr>
    </w:div>
    <w:div w:id="209867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FA3EC-4BBA-4931-B3BD-A286AC2BE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Pages>
  <Words>3581</Words>
  <Characters>19322</Characters>
  <Application>Microsoft Office Word</Application>
  <DocSecurity>0</DocSecurity>
  <Lines>364</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2021-03-08T09:11:00Z</dcterms:created>
  <dcterms:modified xsi:type="dcterms:W3CDTF">2021-03-08T09:11:00Z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Category">
    <vt:lpwstr>COM/AA</vt:lpwstr>
  </property>
  <property fmtid="{D5CDD505-2E9C-101B-9397-08002B2CF9AE}" pid="5" name="Version">
    <vt:lpwstr>6.0.1.0</vt:lpwstr>
  </property>
  <property fmtid="{D5CDD505-2E9C-101B-9397-08002B2CF9AE}" pid="6" name="Created using">
    <vt:lpwstr>LW 6.0, Build 20171009</vt:lpwstr>
  </property>
  <property fmtid="{D5CDD505-2E9C-101B-9397-08002B2CF9AE}" pid="7" name="Part">
    <vt:lpwstr>1</vt:lpwstr>
  </property>
  <property fmtid="{D5CDD505-2E9C-101B-9397-08002B2CF9AE}" pid="8" name="Total parts">
    <vt:lpwstr>1</vt:lpwstr>
  </property>
  <property fmtid="{D5CDD505-2E9C-101B-9397-08002B2CF9AE}" pid="9" name="LWTemplateID">
    <vt:lpwstr>SJ-004</vt:lpwstr>
  </property>
  <property fmtid="{D5CDD505-2E9C-101B-9397-08002B2CF9AE}" pid="10" name="DQCStatus">
    <vt:lpwstr>Green (DQC version 03)</vt:lpwstr>
  </property>
</Properties>
</file>