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A3389E" w:rsidRDefault="00C31378" w:rsidP="00337F65">
      <w:pPr>
        <w:pStyle w:val="Annexetitre"/>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A3389E">
        <w:t>PRÍLOHA II</w:t>
      </w:r>
    </w:p>
    <w:p w14:paraId="03FA508D" w14:textId="43AA388F" w:rsidR="00C31378" w:rsidRPr="00A3389E" w:rsidRDefault="00C31378" w:rsidP="00337F65">
      <w:pPr>
        <w:pStyle w:val="Annexetitre"/>
      </w:pPr>
      <w:r w:rsidRPr="00A3389E">
        <w:t>Pokyny pre vzory na zverejňovanie prehľadu</w:t>
      </w:r>
    </w:p>
    <w:p w14:paraId="161E3440" w14:textId="7B37A102" w:rsidR="00662487" w:rsidRPr="00A3389E" w:rsidRDefault="007F5865" w:rsidP="00662487">
      <w:pPr>
        <w:pStyle w:val="Titlelevel2"/>
        <w:spacing w:before="120" w:after="120"/>
        <w:rPr>
          <w:rFonts w:ascii="Times New Roman" w:hAnsi="Times New Roman" w:cs="Times New Roman"/>
          <w:color w:val="auto"/>
          <w:sz w:val="24"/>
        </w:rPr>
      </w:pPr>
      <w:r w:rsidRPr="00A3389E">
        <w:rPr>
          <w:rFonts w:ascii="Times New Roman" w:hAnsi="Times New Roman" w:cs="Times New Roman"/>
          <w:b/>
          <w:color w:val="auto"/>
          <w:sz w:val="24"/>
        </w:rPr>
        <w:t xml:space="preserve">Vzor EU OV1 – Prehľad celkových hodnôt rizikových expozícií. </w:t>
      </w:r>
      <w:r w:rsidRPr="00A3389E">
        <w:rPr>
          <w:rFonts w:ascii="Times New Roman" w:hAnsi="Times New Roman" w:cs="Times New Roman"/>
          <w:color w:val="auto"/>
          <w:sz w:val="24"/>
        </w:rPr>
        <w:t>Pevný formát</w:t>
      </w:r>
    </w:p>
    <w:p w14:paraId="57C0DBFE" w14:textId="5F2530FE" w:rsidR="00A3389E" w:rsidRPr="00A3389E" w:rsidRDefault="00A3389E" w:rsidP="00A3389E">
      <w:pPr>
        <w:pStyle w:val="Titlelevel2"/>
        <w:spacing w:before="120" w:after="120"/>
        <w:ind w:left="426" w:hanging="360"/>
        <w:jc w:val="both"/>
        <w:rPr>
          <w:rFonts w:ascii="Times New Roman" w:hAnsi="Times New Roman" w:cs="Times New Roman"/>
          <w:bCs w:val="0"/>
          <w:color w:val="000000"/>
          <w:sz w:val="24"/>
        </w:rPr>
      </w:pPr>
      <w:r w:rsidRPr="00A3389E">
        <w:rPr>
          <w:rFonts w:ascii="Times New Roman" w:hAnsi="Times New Roman" w:cs="Times New Roman"/>
          <w:bCs w:val="0"/>
          <w:color w:val="000000"/>
          <w:sz w:val="24"/>
        </w:rPr>
        <w:t>1.</w:t>
      </w:r>
      <w:r w:rsidRPr="00A3389E">
        <w:rPr>
          <w:rFonts w:ascii="Times New Roman" w:hAnsi="Times New Roman" w:cs="Times New Roman"/>
          <w:bCs w:val="0"/>
          <w:color w:val="000000"/>
          <w:sz w:val="24"/>
        </w:rPr>
        <w:tab/>
      </w:r>
      <w:r w:rsidR="00501BEB" w:rsidRPr="00A3389E">
        <w:rPr>
          <w:rFonts w:ascii="Times New Roman" w:hAnsi="Times New Roman" w:cs="Times New Roman"/>
          <w:bCs w:val="0"/>
          <w:color w:val="000000"/>
          <w:sz w:val="24"/>
        </w:rPr>
        <w:t>Inštitúcie uplatňujú nižšie uvedené pokyny na vyplnenie vzoru EU OV1, ako sa uvádza</w:t>
      </w:r>
      <w:r>
        <w:rPr>
          <w:rFonts w:ascii="Times New Roman" w:hAnsi="Times New Roman" w:cs="Times New Roman"/>
          <w:bCs w:val="0"/>
          <w:color w:val="000000"/>
          <w:sz w:val="24"/>
        </w:rPr>
        <w:t xml:space="preserve"> v </w:t>
      </w:r>
      <w:r w:rsidR="00501BEB" w:rsidRPr="00A3389E">
        <w:rPr>
          <w:rFonts w:ascii="Times New Roman" w:hAnsi="Times New Roman" w:cs="Times New Roman"/>
          <w:bCs w:val="0"/>
          <w:color w:val="000000"/>
          <w:sz w:val="24"/>
        </w:rPr>
        <w:t>prílohe I</w:t>
      </w:r>
      <w:r>
        <w:rPr>
          <w:rFonts w:ascii="Times New Roman" w:hAnsi="Times New Roman" w:cs="Times New Roman"/>
          <w:bCs w:val="0"/>
          <w:color w:val="000000"/>
          <w:sz w:val="24"/>
        </w:rPr>
        <w:t xml:space="preserve"> k </w:t>
      </w:r>
      <w:r w:rsidR="00501BEB" w:rsidRPr="00A3389E">
        <w:rPr>
          <w:rFonts w:ascii="Times New Roman" w:hAnsi="Times New Roman" w:cs="Times New Roman"/>
          <w:bCs w:val="0"/>
          <w:color w:val="000000"/>
          <w:sz w:val="24"/>
        </w:rPr>
        <w:t xml:space="preserve">tomuto vykonávaciemu nariadeniu, pričom uplatňujú článok 438 písm. d) nariadenia (EÚ) </w:t>
      </w:r>
      <w:r>
        <w:rPr>
          <w:rFonts w:ascii="Times New Roman" w:hAnsi="Times New Roman" w:cs="Times New Roman"/>
          <w:bCs w:val="0"/>
          <w:color w:val="000000"/>
          <w:sz w:val="24"/>
        </w:rPr>
        <w:t>č. </w:t>
      </w:r>
      <w:r w:rsidR="00501BEB" w:rsidRPr="00A3389E">
        <w:rPr>
          <w:rFonts w:ascii="Times New Roman" w:hAnsi="Times New Roman" w:cs="Times New Roman"/>
          <w:bCs w:val="0"/>
          <w:color w:val="000000"/>
          <w:sz w:val="24"/>
        </w:rPr>
        <w:t>575/2013</w:t>
      </w:r>
      <w:r w:rsidR="00501BEB" w:rsidRPr="00A3389E">
        <w:rPr>
          <w:rStyle w:val="FootnoteReference"/>
          <w:rFonts w:ascii="Times New Roman" w:eastAsiaTheme="minorEastAsia" w:hAnsi="Times New Roman" w:cs="Times New Roman"/>
          <w:bCs w:val="0"/>
          <w:color w:val="000000"/>
        </w:rPr>
        <w:footnoteReference w:id="2"/>
      </w:r>
      <w:r w:rsidR="00501BEB" w:rsidRPr="00A3389E">
        <w:rPr>
          <w:rFonts w:ascii="Times New Roman" w:hAnsi="Times New Roman" w:cs="Times New Roman"/>
          <w:bCs w:val="0"/>
          <w:color w:val="000000"/>
          <w:sz w:val="24"/>
        </w:rPr>
        <w:t xml:space="preserve"> („CRR“)</w:t>
      </w:r>
      <w:r w:rsidRPr="00A3389E">
        <w:rPr>
          <w:rFonts w:ascii="Times New Roman" w:hAnsi="Times New Roman" w:cs="Times New Roman"/>
          <w:bCs w:val="0"/>
          <w:color w:val="000000"/>
          <w:sz w:val="24"/>
        </w:rPr>
        <w:t>.</w:t>
      </w:r>
      <w:bookmarkStart w:id="10" w:name="_GoBack"/>
      <w:bookmarkEnd w:id="10"/>
    </w:p>
    <w:p w14:paraId="790FD83C" w14:textId="5778CA22" w:rsidR="00C31378" w:rsidRPr="00A3389E" w:rsidRDefault="00A3389E" w:rsidP="00A3389E">
      <w:pPr>
        <w:pStyle w:val="Titlelevel2"/>
        <w:spacing w:before="120" w:after="120"/>
        <w:ind w:left="426" w:hanging="360"/>
        <w:rPr>
          <w:rFonts w:ascii="Times New Roman" w:hAnsi="Times New Roman" w:cs="Times New Roman"/>
          <w:sz w:val="24"/>
        </w:rPr>
      </w:pPr>
      <w:r w:rsidRPr="00A3389E">
        <w:rPr>
          <w:rFonts w:ascii="Times New Roman" w:hAnsi="Times New Roman" w:cs="Times New Roman"/>
          <w:sz w:val="24"/>
        </w:rPr>
        <w:t>2.</w:t>
      </w:r>
      <w:r w:rsidRPr="00A3389E">
        <w:rPr>
          <w:rFonts w:ascii="Times New Roman" w:hAnsi="Times New Roman" w:cs="Times New Roman"/>
          <w:sz w:val="24"/>
        </w:rPr>
        <w:tab/>
      </w:r>
      <w:r w:rsidR="00720050" w:rsidRPr="00A3389E">
        <w:rPr>
          <w:rFonts w:ascii="Times New Roman" w:hAnsi="Times New Roman" w:cs="Times New Roman"/>
          <w:bCs w:val="0"/>
          <w:color w:val="000000"/>
          <w:sz w:val="24"/>
        </w:rPr>
        <w:t>Inštitúcie</w:t>
      </w:r>
      <w:r>
        <w:rPr>
          <w:rFonts w:ascii="Times New Roman" w:hAnsi="Times New Roman" w:cs="Times New Roman"/>
          <w:bCs w:val="0"/>
          <w:color w:val="000000"/>
          <w:sz w:val="24"/>
        </w:rPr>
        <w:t xml:space="preserve"> v </w:t>
      </w:r>
      <w:r w:rsidR="00720050" w:rsidRPr="00A3389E">
        <w:rPr>
          <w:rFonts w:ascii="Times New Roman" w:hAnsi="Times New Roman" w:cs="Times New Roman"/>
          <w:bCs w:val="0"/>
          <w:color w:val="000000"/>
          <w:sz w:val="24"/>
        </w:rPr>
        <w:t>prípade potreby</w:t>
      </w:r>
      <w:r>
        <w:rPr>
          <w:rFonts w:ascii="Times New Roman" w:hAnsi="Times New Roman" w:cs="Times New Roman"/>
          <w:bCs w:val="0"/>
          <w:color w:val="000000"/>
          <w:sz w:val="24"/>
        </w:rPr>
        <w:t xml:space="preserve"> v </w:t>
      </w:r>
      <w:r w:rsidR="00720050" w:rsidRPr="00A3389E">
        <w:rPr>
          <w:rFonts w:ascii="Times New Roman" w:hAnsi="Times New Roman" w:cs="Times New Roman"/>
          <w:bCs w:val="0"/>
          <w:color w:val="000000"/>
          <w:sz w:val="24"/>
        </w:rPr>
        <w:t>opise sprevádzajúcom daný vzor vysvetlia účinok, ktorý má uplatňovanie minimálnych hodnôt kapitálu</w:t>
      </w:r>
      <w:r>
        <w:rPr>
          <w:rFonts w:ascii="Times New Roman" w:hAnsi="Times New Roman" w:cs="Times New Roman"/>
          <w:bCs w:val="0"/>
          <w:color w:val="000000"/>
          <w:sz w:val="24"/>
        </w:rPr>
        <w:t xml:space="preserve"> a </w:t>
      </w:r>
      <w:r w:rsidR="00720050" w:rsidRPr="00A3389E">
        <w:rPr>
          <w:rFonts w:ascii="Times New Roman" w:hAnsi="Times New Roman" w:cs="Times New Roman"/>
          <w:bCs w:val="0"/>
          <w:color w:val="000000"/>
          <w:sz w:val="24"/>
        </w:rPr>
        <w:t>neodpočítavanie položiek od vlastných zdrojov na výpočet vlastných zdrojov</w:t>
      </w:r>
      <w:r>
        <w:rPr>
          <w:rFonts w:ascii="Times New Roman" w:hAnsi="Times New Roman" w:cs="Times New Roman"/>
          <w:bCs w:val="0"/>
          <w:color w:val="000000"/>
          <w:sz w:val="24"/>
        </w:rPr>
        <w:t xml:space="preserve"> a </w:t>
      </w:r>
      <w:r w:rsidR="00720050" w:rsidRPr="00A3389E">
        <w:rPr>
          <w:rFonts w:ascii="Times New Roman" w:hAnsi="Times New Roman" w:cs="Times New Roman"/>
          <w:bCs w:val="0"/>
          <w:color w:val="000000"/>
          <w:sz w:val="24"/>
        </w:rPr>
        <w:t>hodnôt rizikových expozícií.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A3389E"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2D74B6D8" w:rsidR="007F5865" w:rsidRPr="00A3389E" w:rsidRDefault="007F5865" w:rsidP="00F3523C">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7F5865" w:rsidRPr="00A3389E" w14:paraId="602AE0E8" w14:textId="77777777" w:rsidTr="00F3523C">
        <w:trPr>
          <w:trHeight w:val="238"/>
        </w:trPr>
        <w:tc>
          <w:tcPr>
            <w:tcW w:w="1384" w:type="dxa"/>
            <w:shd w:val="clear" w:color="auto" w:fill="D9D9D9" w:themeFill="background1" w:themeFillShade="D9"/>
          </w:tcPr>
          <w:p w14:paraId="18BE2C6B" w14:textId="77777777" w:rsidR="007F5865" w:rsidRPr="00A3389E" w:rsidRDefault="007F5865" w:rsidP="00F3523C">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52BAB7D2" w14:textId="77777777" w:rsidR="007F5865" w:rsidRPr="00A3389E" w:rsidRDefault="007F5865" w:rsidP="00F3523C">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7F5865" w:rsidRPr="00A3389E" w14:paraId="7E4C270D" w14:textId="77777777" w:rsidTr="00F3523C">
        <w:trPr>
          <w:trHeight w:val="680"/>
        </w:trPr>
        <w:tc>
          <w:tcPr>
            <w:tcW w:w="1384" w:type="dxa"/>
          </w:tcPr>
          <w:p w14:paraId="68031A84" w14:textId="77777777" w:rsidR="007F5865" w:rsidRPr="00A3389E" w:rsidRDefault="007F5865" w:rsidP="007F5865">
            <w:pPr>
              <w:pStyle w:val="Applicationdirecte"/>
              <w:spacing w:before="60"/>
              <w:jc w:val="center"/>
            </w:pPr>
            <w:r w:rsidRPr="00A3389E">
              <w:t>a</w:t>
            </w:r>
          </w:p>
        </w:tc>
        <w:tc>
          <w:tcPr>
            <w:tcW w:w="7655" w:type="dxa"/>
            <w:vAlign w:val="center"/>
          </w:tcPr>
          <w:p w14:paraId="59A77878" w14:textId="77777777" w:rsidR="00A3389E" w:rsidRPr="00A3389E" w:rsidRDefault="00476E72" w:rsidP="00785478">
            <w:pPr>
              <w:spacing w:before="60" w:after="120"/>
              <w:jc w:val="both"/>
              <w:rPr>
                <w:rFonts w:ascii="Times New Roman" w:hAnsi="Times New Roman" w:cs="Times New Roman"/>
                <w:b/>
                <w:sz w:val="24"/>
              </w:rPr>
            </w:pPr>
            <w:r w:rsidRPr="00A3389E">
              <w:rPr>
                <w:rFonts w:ascii="Times New Roman" w:hAnsi="Times New Roman" w:cs="Times New Roman"/>
                <w:b/>
                <w:sz w:val="24"/>
              </w:rPr>
              <w:t>Celkové hodnoty rizikovej expozície (TREA)</w:t>
            </w:r>
          </w:p>
          <w:p w14:paraId="2C2ABAC7" w14:textId="47F97EDE" w:rsidR="007F5865" w:rsidRPr="00A3389E" w:rsidRDefault="00476E72" w:rsidP="00476E72">
            <w:pPr>
              <w:spacing w:before="60" w:after="120"/>
              <w:jc w:val="both"/>
              <w:rPr>
                <w:rFonts w:ascii="Times New Roman" w:hAnsi="Times New Roman" w:cs="Times New Roman"/>
                <w:sz w:val="24"/>
              </w:rPr>
            </w:pPr>
            <w:r w:rsidRPr="00A3389E">
              <w:rPr>
                <w:rFonts w:ascii="Times New Roman" w:hAnsi="Times New Roman" w:cs="Times New Roman"/>
                <w:sz w:val="24"/>
              </w:rPr>
              <w:t>Celková hodnota rizikovej expozície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3</w:t>
            </w:r>
            <w:r w:rsidR="00A3389E">
              <w:rPr>
                <w:rFonts w:ascii="Times New Roman" w:hAnsi="Times New Roman" w:cs="Times New Roman"/>
                <w:sz w:val="24"/>
              </w:rPr>
              <w:t xml:space="preserve"> a </w:t>
            </w:r>
            <w:r w:rsidRPr="00A3389E">
              <w:rPr>
                <w:rFonts w:ascii="Times New Roman" w:hAnsi="Times New Roman" w:cs="Times New Roman"/>
                <w:sz w:val="24"/>
              </w:rPr>
              <w:t>článkami 95, 96</w:t>
            </w:r>
            <w:r w:rsidR="00A3389E">
              <w:rPr>
                <w:rFonts w:ascii="Times New Roman" w:hAnsi="Times New Roman" w:cs="Times New Roman"/>
                <w:sz w:val="24"/>
              </w:rPr>
              <w:t xml:space="preserve"> a </w:t>
            </w:r>
            <w:r w:rsidRPr="00A3389E">
              <w:rPr>
                <w:rFonts w:ascii="Times New Roman" w:hAnsi="Times New Roman" w:cs="Times New Roman"/>
                <w:sz w:val="24"/>
              </w:rPr>
              <w:t>98 CRR.</w:t>
            </w:r>
          </w:p>
        </w:tc>
      </w:tr>
      <w:tr w:rsidR="00720050" w:rsidRPr="00A3389E" w14:paraId="51DC6C96" w14:textId="77777777" w:rsidTr="00B2180A">
        <w:trPr>
          <w:trHeight w:val="323"/>
        </w:trPr>
        <w:tc>
          <w:tcPr>
            <w:tcW w:w="1384" w:type="dxa"/>
          </w:tcPr>
          <w:p w14:paraId="4A8317DB" w14:textId="77777777" w:rsidR="00720050" w:rsidRPr="00A3389E" w:rsidRDefault="00720050" w:rsidP="00B2180A">
            <w:pPr>
              <w:pStyle w:val="Applicationdirecte"/>
              <w:spacing w:before="60"/>
              <w:jc w:val="center"/>
            </w:pPr>
            <w:r w:rsidRPr="00A3389E">
              <w:t>b</w:t>
            </w:r>
          </w:p>
        </w:tc>
        <w:tc>
          <w:tcPr>
            <w:tcW w:w="7655" w:type="dxa"/>
          </w:tcPr>
          <w:p w14:paraId="18043882" w14:textId="77777777" w:rsidR="00A3389E" w:rsidRPr="00A3389E" w:rsidRDefault="00476E72" w:rsidP="00B2180A">
            <w:pPr>
              <w:spacing w:before="60" w:after="120"/>
              <w:jc w:val="both"/>
              <w:rPr>
                <w:rFonts w:ascii="Times New Roman" w:hAnsi="Times New Roman" w:cs="Times New Roman"/>
                <w:b/>
                <w:sz w:val="24"/>
              </w:rPr>
            </w:pPr>
            <w:r w:rsidRPr="00A3389E">
              <w:rPr>
                <w:rFonts w:ascii="Times New Roman" w:hAnsi="Times New Roman" w:cs="Times New Roman"/>
                <w:b/>
                <w:sz w:val="24"/>
              </w:rPr>
              <w:t>TREA (T-1)</w:t>
            </w:r>
          </w:p>
          <w:p w14:paraId="3470438E" w14:textId="00B9E82D" w:rsidR="00720050" w:rsidRPr="00A3389E" w:rsidRDefault="00476E72" w:rsidP="00B74E92">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TREA, ako bola zverejnená</w:t>
            </w:r>
            <w:r w:rsidR="00A3389E">
              <w:rPr>
                <w:rFonts w:ascii="Times New Roman" w:hAnsi="Times New Roman" w:cs="Times New Roman"/>
                <w:sz w:val="24"/>
              </w:rPr>
              <w:t xml:space="preserve"> v </w:t>
            </w:r>
            <w:r w:rsidRPr="00A3389E">
              <w:rPr>
                <w:rFonts w:ascii="Times New Roman" w:hAnsi="Times New Roman" w:cs="Times New Roman"/>
                <w:sz w:val="24"/>
              </w:rPr>
              <w:t>predchádzajúcom období zverejňovania informácií.</w:t>
            </w:r>
          </w:p>
        </w:tc>
      </w:tr>
      <w:tr w:rsidR="007F5865" w:rsidRPr="00A3389E" w14:paraId="0EA18E63" w14:textId="77777777" w:rsidTr="004606A7">
        <w:trPr>
          <w:trHeight w:val="323"/>
        </w:trPr>
        <w:tc>
          <w:tcPr>
            <w:tcW w:w="1384" w:type="dxa"/>
          </w:tcPr>
          <w:p w14:paraId="103E93B5" w14:textId="77777777" w:rsidR="007F5865" w:rsidRPr="00A3389E" w:rsidRDefault="00720050" w:rsidP="00720050">
            <w:pPr>
              <w:pStyle w:val="Applicationdirecte"/>
              <w:spacing w:before="60"/>
              <w:jc w:val="center"/>
            </w:pPr>
            <w:r w:rsidRPr="00A3389E">
              <w:t>c</w:t>
            </w:r>
          </w:p>
        </w:tc>
        <w:tc>
          <w:tcPr>
            <w:tcW w:w="7655" w:type="dxa"/>
          </w:tcPr>
          <w:p w14:paraId="4BB538BB" w14:textId="77777777" w:rsidR="007F5865" w:rsidRPr="00A3389E" w:rsidRDefault="00720050" w:rsidP="004606A7">
            <w:pPr>
              <w:spacing w:before="60" w:after="120"/>
              <w:jc w:val="both"/>
              <w:rPr>
                <w:rFonts w:ascii="Times New Roman" w:hAnsi="Times New Roman" w:cs="Times New Roman"/>
                <w:b/>
                <w:sz w:val="24"/>
              </w:rPr>
            </w:pPr>
            <w:r w:rsidRPr="00A3389E">
              <w:rPr>
                <w:rFonts w:ascii="Times New Roman" w:hAnsi="Times New Roman" w:cs="Times New Roman"/>
                <w:b/>
                <w:sz w:val="24"/>
              </w:rPr>
              <w:t>Požiadavky na celkové vlastné zdroje</w:t>
            </w:r>
          </w:p>
          <w:p w14:paraId="024E3DB2" w14:textId="08DD3FBD" w:rsidR="00720050" w:rsidRPr="00A3389E" w:rsidRDefault="00720050" w:rsidP="004606A7">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Požiadavky na vlastné zdroje zodpovedajúce RWEA pre rôzne kategórie rizika.</w:t>
            </w:r>
          </w:p>
        </w:tc>
      </w:tr>
      <w:tr w:rsidR="001A0C8D" w:rsidRPr="00A3389E"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081679EB" w:rsidR="001A0C8D" w:rsidRPr="00A3389E" w:rsidRDefault="001A0C8D" w:rsidP="00810F8E">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1A0C8D" w:rsidRPr="00A3389E" w14:paraId="2490D509" w14:textId="77777777" w:rsidTr="00810F8E">
        <w:trPr>
          <w:trHeight w:val="238"/>
        </w:trPr>
        <w:tc>
          <w:tcPr>
            <w:tcW w:w="1384" w:type="dxa"/>
            <w:shd w:val="clear" w:color="auto" w:fill="D9D9D9" w:themeFill="background1" w:themeFillShade="D9"/>
          </w:tcPr>
          <w:p w14:paraId="75756FCA" w14:textId="77777777" w:rsidR="001A0C8D" w:rsidRPr="00A3389E" w:rsidRDefault="001A0C8D" w:rsidP="00810F8E">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354EA15A" w14:textId="77777777" w:rsidR="001A0C8D" w:rsidRPr="00A3389E" w:rsidRDefault="001A0C8D" w:rsidP="00810F8E">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1A0C8D" w:rsidRPr="00A3389E" w14:paraId="51DDF3ED" w14:textId="77777777" w:rsidTr="001A0C8D">
        <w:trPr>
          <w:trHeight w:val="680"/>
        </w:trPr>
        <w:tc>
          <w:tcPr>
            <w:tcW w:w="1384" w:type="dxa"/>
          </w:tcPr>
          <w:p w14:paraId="63497DDA" w14:textId="77777777" w:rsidR="001A0C8D" w:rsidRPr="00A3389E" w:rsidRDefault="001A0C8D" w:rsidP="00260404">
            <w:pPr>
              <w:pStyle w:val="Applicationdirecte"/>
              <w:spacing w:before="60"/>
              <w:jc w:val="center"/>
            </w:pPr>
            <w:r w:rsidRPr="00A3389E">
              <w:t>1</w:t>
            </w:r>
          </w:p>
        </w:tc>
        <w:tc>
          <w:tcPr>
            <w:tcW w:w="7655" w:type="dxa"/>
            <w:vAlign w:val="center"/>
          </w:tcPr>
          <w:p w14:paraId="156E0E42" w14:textId="77777777" w:rsidR="004606A7" w:rsidRPr="00A3389E" w:rsidRDefault="004606A7" w:rsidP="00260404">
            <w:pPr>
              <w:spacing w:before="60" w:after="120"/>
              <w:jc w:val="both"/>
              <w:rPr>
                <w:rFonts w:ascii="Times New Roman" w:hAnsi="Times New Roman" w:cs="Times New Roman"/>
                <w:b/>
                <w:sz w:val="24"/>
              </w:rPr>
            </w:pPr>
            <w:r w:rsidRPr="00A3389E">
              <w:rPr>
                <w:rFonts w:ascii="Times New Roman" w:hAnsi="Times New Roman" w:cs="Times New Roman"/>
                <w:b/>
                <w:sz w:val="24"/>
              </w:rPr>
              <w:t>Kreditné riziko (okrem CCR)</w:t>
            </w:r>
          </w:p>
          <w:p w14:paraId="3A25A955" w14:textId="472953E5" w:rsidR="001A0C8D" w:rsidRPr="00A3389E" w:rsidRDefault="009A4635" w:rsidP="00A25707">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kapitolami 1 až 4 CRR</w:t>
            </w:r>
            <w:r w:rsidR="00A3389E">
              <w:rPr>
                <w:rFonts w:ascii="Times New Roman" w:hAnsi="Times New Roman" w:cs="Times New Roman"/>
                <w:sz w:val="24"/>
              </w:rPr>
              <w:t xml:space="preserve"> a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379 CRR. RWEA pre sekuritizačné expozície</w:t>
            </w:r>
            <w:r w:rsidR="00A3389E">
              <w:rPr>
                <w:rFonts w:ascii="Times New Roman" w:hAnsi="Times New Roman" w:cs="Times New Roman"/>
                <w:sz w:val="24"/>
              </w:rPr>
              <w:t xml:space="preserve"> v </w:t>
            </w:r>
            <w:r w:rsidRPr="00A3389E">
              <w:rPr>
                <w:rFonts w:ascii="Times New Roman" w:hAnsi="Times New Roman" w:cs="Times New Roman"/>
                <w:sz w:val="24"/>
              </w:rPr>
              <w:t>neobchodnej knihe</w:t>
            </w:r>
            <w:r w:rsidR="00A3389E">
              <w:rPr>
                <w:rFonts w:ascii="Times New Roman" w:hAnsi="Times New Roman" w:cs="Times New Roman"/>
                <w:sz w:val="24"/>
              </w:rPr>
              <w:t xml:space="preserve"> a </w:t>
            </w:r>
            <w:r w:rsidRPr="00A3389E">
              <w:rPr>
                <w:rFonts w:ascii="Times New Roman" w:hAnsi="Times New Roman" w:cs="Times New Roman"/>
                <w:sz w:val="24"/>
              </w:rPr>
              <w:t>pre CCR sú vylúčené</w:t>
            </w:r>
            <w:r w:rsidR="00A3389E">
              <w:rPr>
                <w:rFonts w:ascii="Times New Roman" w:hAnsi="Times New Roman" w:cs="Times New Roman"/>
                <w:sz w:val="24"/>
              </w:rPr>
              <w:t xml:space="preserve"> a </w:t>
            </w:r>
            <w:r w:rsidRPr="00A3389E">
              <w:rPr>
                <w:rFonts w:ascii="Times New Roman" w:hAnsi="Times New Roman" w:cs="Times New Roman"/>
                <w:sz w:val="24"/>
              </w:rPr>
              <w:t>zverejnené</w:t>
            </w:r>
            <w:r w:rsidR="00A3389E">
              <w:rPr>
                <w:rFonts w:ascii="Times New Roman" w:hAnsi="Times New Roman" w:cs="Times New Roman"/>
                <w:sz w:val="24"/>
              </w:rPr>
              <w:t xml:space="preserve"> v </w:t>
            </w:r>
            <w:r w:rsidRPr="00A3389E">
              <w:rPr>
                <w:rFonts w:ascii="Times New Roman" w:hAnsi="Times New Roman" w:cs="Times New Roman"/>
                <w:sz w:val="24"/>
              </w:rPr>
              <w:t>riadkoch 6</w:t>
            </w:r>
            <w:r w:rsidR="00A3389E">
              <w:rPr>
                <w:rFonts w:ascii="Times New Roman" w:hAnsi="Times New Roman" w:cs="Times New Roman"/>
                <w:sz w:val="24"/>
              </w:rPr>
              <w:t xml:space="preserve"> a </w:t>
            </w:r>
            <w:r w:rsidRPr="00A3389E">
              <w:rPr>
                <w:rFonts w:ascii="Times New Roman" w:hAnsi="Times New Roman" w:cs="Times New Roman"/>
                <w:sz w:val="24"/>
              </w:rPr>
              <w:t>16 tohto vzoru. Inštitúcie do hodnoty zverejňovanej</w:t>
            </w:r>
            <w:r w:rsidR="00A3389E">
              <w:rPr>
                <w:rFonts w:ascii="Times New Roman" w:hAnsi="Times New Roman" w:cs="Times New Roman"/>
                <w:sz w:val="24"/>
              </w:rPr>
              <w:t xml:space="preserve"> v </w:t>
            </w:r>
            <w:r w:rsidRPr="00A3389E">
              <w:rPr>
                <w:rFonts w:ascii="Times New Roman" w:hAnsi="Times New Roman" w:cs="Times New Roman"/>
                <w:sz w:val="24"/>
              </w:rPr>
              <w:t>tomto riadku zahrnú 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pre riziko bezodplatného dodania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379 CRR.</w:t>
            </w:r>
          </w:p>
        </w:tc>
      </w:tr>
      <w:tr w:rsidR="004A5BCD" w:rsidRPr="00A3389E" w14:paraId="287E598B" w14:textId="77777777" w:rsidTr="004A5BCD">
        <w:trPr>
          <w:trHeight w:val="680"/>
        </w:trPr>
        <w:tc>
          <w:tcPr>
            <w:tcW w:w="1384" w:type="dxa"/>
          </w:tcPr>
          <w:p w14:paraId="4AE3A0F7" w14:textId="77777777" w:rsidR="004A5BCD" w:rsidRPr="00A3389E" w:rsidRDefault="004A5BCD" w:rsidP="00260404">
            <w:pPr>
              <w:pStyle w:val="Applicationdirecte"/>
              <w:spacing w:before="60"/>
              <w:jc w:val="center"/>
            </w:pPr>
            <w:r w:rsidRPr="00A3389E">
              <w:t>2</w:t>
            </w:r>
          </w:p>
        </w:tc>
        <w:tc>
          <w:tcPr>
            <w:tcW w:w="7655" w:type="dxa"/>
          </w:tcPr>
          <w:p w14:paraId="19A303B7" w14:textId="1890B06B" w:rsidR="008B269B" w:rsidRPr="00A3389E" w:rsidRDefault="008B269B" w:rsidP="008B269B">
            <w:pPr>
              <w:spacing w:before="60" w:after="120"/>
              <w:jc w:val="both"/>
              <w:rPr>
                <w:rFonts w:ascii="Times New Roman" w:hAnsi="Times New Roman" w:cs="Times New Roman"/>
                <w:b/>
                <w:sz w:val="24"/>
              </w:rPr>
            </w:pPr>
            <w:r w:rsidRPr="00A3389E">
              <w:rPr>
                <w:rFonts w:ascii="Times New Roman" w:hAnsi="Times New Roman" w:cs="Times New Roman"/>
                <w:b/>
                <w:sz w:val="24"/>
              </w:rPr>
              <w:t>Kreditné riziko (okrem CCR) –</w:t>
            </w:r>
            <w:r w:rsidR="00A3389E">
              <w:rPr>
                <w:rFonts w:ascii="Times New Roman" w:hAnsi="Times New Roman" w:cs="Times New Roman"/>
                <w:b/>
                <w:sz w:val="24"/>
              </w:rPr>
              <w:t xml:space="preserve"> z </w:t>
            </w:r>
            <w:r w:rsidRPr="00A3389E">
              <w:rPr>
                <w:rFonts w:ascii="Times New Roman" w:hAnsi="Times New Roman" w:cs="Times New Roman"/>
                <w:b/>
                <w:sz w:val="24"/>
              </w:rPr>
              <w:t>čoho štandardizovaný prístup</w:t>
            </w:r>
          </w:p>
          <w:p w14:paraId="1DD2511C" w14:textId="25C4FD77" w:rsidR="004A5BCD" w:rsidRPr="00A3389E" w:rsidRDefault="009A4635" w:rsidP="0097538A">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 so štandardizovaným prístupom ku kapitálovým požiadavkám (tretia časť hlava II kapitola 2 CRR</w:t>
            </w:r>
            <w:r w:rsidR="00A3389E">
              <w:rPr>
                <w:rFonts w:ascii="Times New Roman" w:hAnsi="Times New Roman" w:cs="Times New Roman"/>
                <w:sz w:val="24"/>
              </w:rPr>
              <w:t xml:space="preserve"> a </w:t>
            </w:r>
            <w:r w:rsidRPr="00A3389E">
              <w:rPr>
                <w:rFonts w:ascii="Times New Roman" w:hAnsi="Times New Roman" w:cs="Times New Roman"/>
                <w:sz w:val="24"/>
              </w:rPr>
              <w:t>článok 379 CRR).</w:t>
            </w:r>
          </w:p>
        </w:tc>
      </w:tr>
      <w:tr w:rsidR="008B269B" w:rsidRPr="00A3389E" w14:paraId="1C43F82C" w14:textId="77777777" w:rsidTr="004A5BCD">
        <w:trPr>
          <w:trHeight w:val="436"/>
        </w:trPr>
        <w:tc>
          <w:tcPr>
            <w:tcW w:w="1384" w:type="dxa"/>
          </w:tcPr>
          <w:p w14:paraId="123DF015" w14:textId="77777777" w:rsidR="008B269B" w:rsidRPr="00A3389E" w:rsidRDefault="008B269B" w:rsidP="008B269B">
            <w:pPr>
              <w:pStyle w:val="Applicationdirecte"/>
              <w:spacing w:before="60"/>
              <w:jc w:val="center"/>
            </w:pPr>
            <w:r w:rsidRPr="00A3389E">
              <w:lastRenderedPageBreak/>
              <w:t>3</w:t>
            </w:r>
          </w:p>
        </w:tc>
        <w:tc>
          <w:tcPr>
            <w:tcW w:w="7655" w:type="dxa"/>
          </w:tcPr>
          <w:p w14:paraId="007C34BA" w14:textId="25895229" w:rsidR="00A3389E" w:rsidRPr="00A3389E" w:rsidRDefault="008B269B" w:rsidP="008B269B">
            <w:pPr>
              <w:spacing w:before="60" w:after="120"/>
              <w:jc w:val="both"/>
              <w:rPr>
                <w:rFonts w:ascii="Times New Roman" w:hAnsi="Times New Roman" w:cs="Times New Roman"/>
                <w:b/>
                <w:sz w:val="24"/>
              </w:rPr>
            </w:pPr>
            <w:r w:rsidRPr="00A3389E">
              <w:rPr>
                <w:rFonts w:ascii="Times New Roman" w:hAnsi="Times New Roman" w:cs="Times New Roman"/>
                <w:b/>
                <w:sz w:val="24"/>
              </w:rPr>
              <w:t>Kreditné riziko (okrem CCR) –</w:t>
            </w:r>
            <w:r w:rsidR="00A3389E">
              <w:rPr>
                <w:rFonts w:ascii="Times New Roman" w:hAnsi="Times New Roman" w:cs="Times New Roman"/>
                <w:b/>
                <w:sz w:val="24"/>
              </w:rPr>
              <w:t xml:space="preserve"> z </w:t>
            </w:r>
            <w:r w:rsidRPr="00A3389E">
              <w:rPr>
                <w:rFonts w:ascii="Times New Roman" w:hAnsi="Times New Roman" w:cs="Times New Roman"/>
                <w:b/>
                <w:sz w:val="24"/>
              </w:rPr>
              <w:t>čoho základný prístup interných ratingov (F-IRB)</w:t>
            </w:r>
          </w:p>
          <w:p w14:paraId="67755B7F" w14:textId="7504588F" w:rsidR="008B269B" w:rsidRPr="00A3389E" w:rsidRDefault="009A4635" w:rsidP="0097538A">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 so základným prístupom interných ratingov ku kapitálovým požiadavkám (tretia časť hlava II kapitola 3 CRR) okrem RWEA zverejnených</w:t>
            </w:r>
            <w:r w:rsidR="00A3389E">
              <w:rPr>
                <w:rFonts w:ascii="Times New Roman" w:hAnsi="Times New Roman" w:cs="Times New Roman"/>
                <w:sz w:val="24"/>
              </w:rPr>
              <w:t xml:space="preserve"> v </w:t>
            </w:r>
            <w:r w:rsidRPr="00A3389E">
              <w:rPr>
                <w:rFonts w:ascii="Times New Roman" w:hAnsi="Times New Roman" w:cs="Times New Roman"/>
                <w:sz w:val="24"/>
              </w:rPr>
              <w:t>riadku 4 pre expozície vo forme špecializovaného financovania, pri ktorých sa uplatňuje prístup spočívajúci</w:t>
            </w:r>
            <w:r w:rsidR="00A3389E">
              <w:rPr>
                <w:rFonts w:ascii="Times New Roman" w:hAnsi="Times New Roman" w:cs="Times New Roman"/>
                <w:sz w:val="24"/>
              </w:rPr>
              <w:t xml:space="preserve"> v </w:t>
            </w:r>
            <w:r w:rsidRPr="00A3389E">
              <w:rPr>
                <w:rFonts w:ascii="Times New Roman" w:hAnsi="Times New Roman" w:cs="Times New Roman"/>
                <w:sz w:val="24"/>
              </w:rPr>
              <w:t>zaradení,</w:t>
            </w:r>
            <w:r w:rsidR="00A3389E">
              <w:rPr>
                <w:rFonts w:ascii="Times New Roman" w:hAnsi="Times New Roman" w:cs="Times New Roman"/>
                <w:sz w:val="24"/>
              </w:rPr>
              <w:t xml:space="preserve"> a v </w:t>
            </w:r>
            <w:r w:rsidRPr="00A3389E">
              <w:rPr>
                <w:rFonts w:ascii="Times New Roman" w:hAnsi="Times New Roman" w:cs="Times New Roman"/>
                <w:sz w:val="24"/>
              </w:rPr>
              <w:t>riadku EU 4a pre kapitálové cenné papiere</w:t>
            </w:r>
            <w:r w:rsidR="00A3389E">
              <w:rPr>
                <w:rFonts w:ascii="Times New Roman" w:hAnsi="Times New Roman" w:cs="Times New Roman"/>
                <w:sz w:val="24"/>
              </w:rPr>
              <w:t xml:space="preserve"> v </w:t>
            </w:r>
            <w:r w:rsidRPr="00A3389E">
              <w:rPr>
                <w:rFonts w:ascii="Times New Roman" w:hAnsi="Times New Roman" w:cs="Times New Roman"/>
                <w:sz w:val="24"/>
              </w:rPr>
              <w:t>rámci jednoduchého prístupu založeného na použití rizikovej váhy</w:t>
            </w:r>
            <w:r w:rsidR="00A3389E">
              <w:rPr>
                <w:rFonts w:ascii="Times New Roman" w:hAnsi="Times New Roman" w:cs="Times New Roman"/>
                <w:sz w:val="24"/>
              </w:rPr>
              <w:t xml:space="preserve"> a </w:t>
            </w:r>
            <w:r w:rsidRPr="00A3389E">
              <w:rPr>
                <w:rFonts w:ascii="Times New Roman" w:hAnsi="Times New Roman" w:cs="Times New Roman"/>
                <w:sz w:val="24"/>
              </w:rPr>
              <w:t>vrátane RWEA</w:t>
            </w:r>
            <w:r w:rsidR="00A3389E">
              <w:rPr>
                <w:rFonts w:ascii="Times New Roman" w:hAnsi="Times New Roman" w:cs="Times New Roman"/>
                <w:sz w:val="24"/>
              </w:rPr>
              <w:t xml:space="preserve"> a </w:t>
            </w:r>
            <w:r w:rsidRPr="00A3389E">
              <w:rPr>
                <w:rFonts w:ascii="Times New Roman" w:hAnsi="Times New Roman" w:cs="Times New Roman"/>
                <w:sz w:val="24"/>
              </w:rPr>
              <w:t>požiadaviek na vlastné zdroje vypočítaných</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379 CRR.</w:t>
            </w:r>
          </w:p>
        </w:tc>
      </w:tr>
      <w:tr w:rsidR="00FA1376" w:rsidRPr="00A3389E" w14:paraId="12544419" w14:textId="77777777" w:rsidTr="00B2180A">
        <w:trPr>
          <w:trHeight w:val="557"/>
        </w:trPr>
        <w:tc>
          <w:tcPr>
            <w:tcW w:w="1384" w:type="dxa"/>
            <w:vAlign w:val="center"/>
          </w:tcPr>
          <w:p w14:paraId="76946C13" w14:textId="77777777" w:rsidR="00FA1376" w:rsidRPr="00A3389E" w:rsidRDefault="00460FF6" w:rsidP="00FA1376">
            <w:pPr>
              <w:pStyle w:val="Applicationdirecte"/>
              <w:spacing w:before="60"/>
              <w:jc w:val="center"/>
            </w:pPr>
            <w:r w:rsidRPr="00A3389E">
              <w:rPr>
                <w:color w:val="000000"/>
              </w:rPr>
              <w:t>4</w:t>
            </w:r>
          </w:p>
        </w:tc>
        <w:tc>
          <w:tcPr>
            <w:tcW w:w="7655" w:type="dxa"/>
          </w:tcPr>
          <w:p w14:paraId="370308AB" w14:textId="46507453" w:rsidR="00FA1376"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Kreditné riziko (okrem CCR) –</w:t>
            </w:r>
            <w:r w:rsidR="00A3389E">
              <w:rPr>
                <w:rFonts w:ascii="Times New Roman" w:hAnsi="Times New Roman" w:cs="Times New Roman"/>
                <w:b/>
                <w:sz w:val="24"/>
              </w:rPr>
              <w:t xml:space="preserve"> z </w:t>
            </w:r>
            <w:r w:rsidRPr="00A3389E">
              <w:rPr>
                <w:rFonts w:ascii="Times New Roman" w:hAnsi="Times New Roman" w:cs="Times New Roman"/>
                <w:b/>
                <w:sz w:val="24"/>
              </w:rPr>
              <w:t>čoho: prístup spočívajúci</w:t>
            </w:r>
            <w:r w:rsidR="00A3389E">
              <w:rPr>
                <w:rFonts w:ascii="Times New Roman" w:hAnsi="Times New Roman" w:cs="Times New Roman"/>
                <w:b/>
                <w:sz w:val="24"/>
              </w:rPr>
              <w:t xml:space="preserve"> v </w:t>
            </w:r>
            <w:r w:rsidRPr="00A3389E">
              <w:rPr>
                <w:rFonts w:ascii="Times New Roman" w:hAnsi="Times New Roman" w:cs="Times New Roman"/>
                <w:b/>
                <w:sz w:val="24"/>
              </w:rPr>
              <w:t>zaradení</w:t>
            </w:r>
          </w:p>
          <w:p w14:paraId="0A705407" w14:textId="51356D4F" w:rsidR="00FA1376" w:rsidRPr="00A3389E" w:rsidRDefault="009A4635" w:rsidP="0077689B">
            <w:pPr>
              <w:spacing w:before="60" w:after="120"/>
              <w:jc w:val="both"/>
              <w:rPr>
                <w:rFonts w:ascii="Times New Roman" w:hAnsi="Times New Roman" w:cs="Times New Roman"/>
                <w:color w:val="000000"/>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pre expozície vo forme špecializovaného financovania, pri ktorých sa uplatňuje prístup spočívajúci</w:t>
            </w:r>
            <w:r w:rsidR="00A3389E">
              <w:rPr>
                <w:rFonts w:ascii="Times New Roman" w:hAnsi="Times New Roman" w:cs="Times New Roman"/>
                <w:sz w:val="24"/>
              </w:rPr>
              <w:t xml:space="preserve"> v </w:t>
            </w:r>
            <w:r w:rsidRPr="00A3389E">
              <w:rPr>
                <w:rFonts w:ascii="Times New Roman" w:hAnsi="Times New Roman" w:cs="Times New Roman"/>
                <w:sz w:val="24"/>
              </w:rPr>
              <w:t>zaradení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153 ods. 5 CRR.</w:t>
            </w:r>
          </w:p>
        </w:tc>
      </w:tr>
      <w:tr w:rsidR="00FA1376" w:rsidRPr="00A3389E" w14:paraId="003EB127" w14:textId="77777777" w:rsidTr="00B2180A">
        <w:trPr>
          <w:trHeight w:val="557"/>
        </w:trPr>
        <w:tc>
          <w:tcPr>
            <w:tcW w:w="1384" w:type="dxa"/>
            <w:vAlign w:val="center"/>
          </w:tcPr>
          <w:p w14:paraId="45C5255C" w14:textId="77777777" w:rsidR="00FA1376" w:rsidRPr="00A3389E" w:rsidRDefault="00FA1376" w:rsidP="00FA1376">
            <w:pPr>
              <w:pStyle w:val="Applicationdirecte"/>
              <w:spacing w:before="60"/>
              <w:jc w:val="center"/>
            </w:pPr>
            <w:r w:rsidRPr="00A3389E">
              <w:rPr>
                <w:color w:val="000000"/>
              </w:rPr>
              <w:t>EU 4a</w:t>
            </w:r>
          </w:p>
        </w:tc>
        <w:tc>
          <w:tcPr>
            <w:tcW w:w="7655" w:type="dxa"/>
          </w:tcPr>
          <w:p w14:paraId="37370FB1" w14:textId="5977ECEC" w:rsidR="00FA1376"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Kreditné riziko (okrem CCR) –</w:t>
            </w:r>
            <w:r w:rsidR="00A3389E">
              <w:rPr>
                <w:rFonts w:ascii="Times New Roman" w:hAnsi="Times New Roman" w:cs="Times New Roman"/>
                <w:b/>
                <w:sz w:val="24"/>
              </w:rPr>
              <w:t xml:space="preserve"> z </w:t>
            </w:r>
            <w:r w:rsidRPr="00A3389E">
              <w:rPr>
                <w:rFonts w:ascii="Times New Roman" w:hAnsi="Times New Roman" w:cs="Times New Roman"/>
                <w:b/>
                <w:sz w:val="24"/>
              </w:rPr>
              <w:t>čoho: kapitálové cenné papiere</w:t>
            </w:r>
            <w:r w:rsidR="00A3389E">
              <w:rPr>
                <w:rFonts w:ascii="Times New Roman" w:hAnsi="Times New Roman" w:cs="Times New Roman"/>
                <w:b/>
                <w:sz w:val="24"/>
              </w:rPr>
              <w:t xml:space="preserve"> v </w:t>
            </w:r>
            <w:r w:rsidRPr="00A3389E">
              <w:rPr>
                <w:rFonts w:ascii="Times New Roman" w:hAnsi="Times New Roman" w:cs="Times New Roman"/>
                <w:b/>
                <w:sz w:val="24"/>
              </w:rPr>
              <w:t>rámci jednoduchého prístupu založeného na použití rizikovej váhy</w:t>
            </w:r>
          </w:p>
          <w:p w14:paraId="5661C7E6" w14:textId="26B8CCE2" w:rsidR="00FA1376" w:rsidRPr="00A3389E" w:rsidRDefault="009A4635" w:rsidP="0077689B">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pre kapitálové cenné papiere</w:t>
            </w:r>
            <w:r w:rsidR="00A3389E">
              <w:rPr>
                <w:rFonts w:ascii="Times New Roman" w:hAnsi="Times New Roman" w:cs="Times New Roman"/>
                <w:sz w:val="24"/>
              </w:rPr>
              <w:t xml:space="preserve"> v </w:t>
            </w:r>
            <w:r w:rsidRPr="00A3389E">
              <w:rPr>
                <w:rFonts w:ascii="Times New Roman" w:hAnsi="Times New Roman" w:cs="Times New Roman"/>
                <w:sz w:val="24"/>
              </w:rPr>
              <w:t>rámci jednoduchého prístupu založeného na použití rizikovej váhy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155 ods. 2 CRR.</w:t>
            </w:r>
          </w:p>
        </w:tc>
      </w:tr>
      <w:tr w:rsidR="00460FF6" w:rsidRPr="00A3389E" w14:paraId="69AF17D3" w14:textId="77777777" w:rsidTr="00B2180A">
        <w:trPr>
          <w:trHeight w:val="557"/>
        </w:trPr>
        <w:tc>
          <w:tcPr>
            <w:tcW w:w="1384" w:type="dxa"/>
            <w:vAlign w:val="center"/>
          </w:tcPr>
          <w:p w14:paraId="001EDC8B" w14:textId="77777777" w:rsidR="00460FF6" w:rsidRPr="00A3389E" w:rsidRDefault="00460FF6" w:rsidP="00B2180A">
            <w:pPr>
              <w:pStyle w:val="Applicationdirecte"/>
              <w:spacing w:before="60"/>
              <w:jc w:val="center"/>
            </w:pPr>
            <w:r w:rsidRPr="00A3389E">
              <w:rPr>
                <w:color w:val="000000"/>
              </w:rPr>
              <w:t>5</w:t>
            </w:r>
          </w:p>
        </w:tc>
        <w:tc>
          <w:tcPr>
            <w:tcW w:w="7655" w:type="dxa"/>
          </w:tcPr>
          <w:p w14:paraId="5D6765F7" w14:textId="7FBF455F" w:rsidR="00A3389E" w:rsidRPr="00A3389E" w:rsidRDefault="00460FF6" w:rsidP="00B2180A">
            <w:pPr>
              <w:spacing w:before="60" w:after="120"/>
              <w:jc w:val="both"/>
              <w:rPr>
                <w:rFonts w:ascii="Times New Roman" w:hAnsi="Times New Roman" w:cs="Times New Roman"/>
                <w:b/>
                <w:sz w:val="24"/>
              </w:rPr>
            </w:pPr>
            <w:r w:rsidRPr="00A3389E">
              <w:rPr>
                <w:rFonts w:ascii="Times New Roman" w:hAnsi="Times New Roman" w:cs="Times New Roman"/>
                <w:b/>
                <w:sz w:val="24"/>
              </w:rPr>
              <w:t>Kreditné riziko (okrem CCR) –</w:t>
            </w:r>
            <w:r w:rsidR="00A3389E">
              <w:rPr>
                <w:rFonts w:ascii="Times New Roman" w:hAnsi="Times New Roman" w:cs="Times New Roman"/>
                <w:b/>
                <w:sz w:val="24"/>
              </w:rPr>
              <w:t xml:space="preserve"> z </w:t>
            </w:r>
            <w:r w:rsidRPr="00A3389E">
              <w:rPr>
                <w:rFonts w:ascii="Times New Roman" w:hAnsi="Times New Roman" w:cs="Times New Roman"/>
                <w:b/>
                <w:sz w:val="24"/>
              </w:rPr>
              <w:t>čoho pokročilý prístup interných ratingov (A-IRB)</w:t>
            </w:r>
          </w:p>
          <w:p w14:paraId="7667081C" w14:textId="70A3F102" w:rsidR="00460FF6" w:rsidRPr="00A3389E" w:rsidRDefault="00460FF6" w:rsidP="0097538A">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pokročilým prístupom interných ratingov ku kapitálovým požiadavkám (tretia časť hlava II kapitola 3 CRR) okrem RWEA zverejnených</w:t>
            </w:r>
            <w:r w:rsidR="00A3389E">
              <w:rPr>
                <w:rFonts w:ascii="Times New Roman" w:hAnsi="Times New Roman" w:cs="Times New Roman"/>
                <w:sz w:val="24"/>
              </w:rPr>
              <w:t xml:space="preserve"> v </w:t>
            </w:r>
            <w:r w:rsidRPr="00A3389E">
              <w:rPr>
                <w:rFonts w:ascii="Times New Roman" w:hAnsi="Times New Roman" w:cs="Times New Roman"/>
                <w:sz w:val="24"/>
              </w:rPr>
              <w:t>riadku 4 pre expozície vo forme špecializovaného financovania, pri ktorých sa uplatňuje prístup spočívajúci</w:t>
            </w:r>
            <w:r w:rsidR="00A3389E">
              <w:rPr>
                <w:rFonts w:ascii="Times New Roman" w:hAnsi="Times New Roman" w:cs="Times New Roman"/>
                <w:sz w:val="24"/>
              </w:rPr>
              <w:t xml:space="preserve"> v </w:t>
            </w:r>
            <w:r w:rsidRPr="00A3389E">
              <w:rPr>
                <w:rFonts w:ascii="Times New Roman" w:hAnsi="Times New Roman" w:cs="Times New Roman"/>
                <w:sz w:val="24"/>
              </w:rPr>
              <w:t>zaradení,</w:t>
            </w:r>
            <w:r w:rsidR="00A3389E">
              <w:rPr>
                <w:rFonts w:ascii="Times New Roman" w:hAnsi="Times New Roman" w:cs="Times New Roman"/>
                <w:sz w:val="24"/>
              </w:rPr>
              <w:t xml:space="preserve"> a v </w:t>
            </w:r>
            <w:r w:rsidRPr="00A3389E">
              <w:rPr>
                <w:rFonts w:ascii="Times New Roman" w:hAnsi="Times New Roman" w:cs="Times New Roman"/>
                <w:sz w:val="24"/>
              </w:rPr>
              <w:t>riadku EU 4a pre kapitálové cenné papiere</w:t>
            </w:r>
            <w:r w:rsidR="00A3389E">
              <w:rPr>
                <w:rFonts w:ascii="Times New Roman" w:hAnsi="Times New Roman" w:cs="Times New Roman"/>
                <w:sz w:val="24"/>
              </w:rPr>
              <w:t xml:space="preserve"> v </w:t>
            </w:r>
            <w:r w:rsidRPr="00A3389E">
              <w:rPr>
                <w:rFonts w:ascii="Times New Roman" w:hAnsi="Times New Roman" w:cs="Times New Roman"/>
                <w:sz w:val="24"/>
              </w:rPr>
              <w:t>rámci jednoduchého prístupu založeného na použití rizikovej váhy</w:t>
            </w:r>
            <w:r w:rsidR="00A3389E">
              <w:rPr>
                <w:rFonts w:ascii="Times New Roman" w:hAnsi="Times New Roman" w:cs="Times New Roman"/>
                <w:sz w:val="24"/>
              </w:rPr>
              <w:t xml:space="preserve"> a </w:t>
            </w:r>
            <w:r w:rsidRPr="00A3389E">
              <w:rPr>
                <w:rFonts w:ascii="Times New Roman" w:hAnsi="Times New Roman" w:cs="Times New Roman"/>
                <w:sz w:val="24"/>
              </w:rPr>
              <w:t>vrátane RWEA</w:t>
            </w:r>
            <w:r w:rsidR="00A3389E">
              <w:rPr>
                <w:rFonts w:ascii="Times New Roman" w:hAnsi="Times New Roman" w:cs="Times New Roman"/>
                <w:sz w:val="24"/>
              </w:rPr>
              <w:t xml:space="preserve"> a </w:t>
            </w:r>
            <w:r w:rsidRPr="00A3389E">
              <w:rPr>
                <w:rFonts w:ascii="Times New Roman" w:hAnsi="Times New Roman" w:cs="Times New Roman"/>
                <w:sz w:val="24"/>
              </w:rPr>
              <w:t>požiadaviek na vlastné zdroje vypočítaných</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379 CRR.</w:t>
            </w:r>
          </w:p>
        </w:tc>
      </w:tr>
      <w:tr w:rsidR="00FA1376" w:rsidRPr="00A3389E" w14:paraId="79D52CCD" w14:textId="77777777" w:rsidTr="00B2180A">
        <w:trPr>
          <w:trHeight w:val="557"/>
        </w:trPr>
        <w:tc>
          <w:tcPr>
            <w:tcW w:w="1384" w:type="dxa"/>
            <w:vAlign w:val="center"/>
          </w:tcPr>
          <w:p w14:paraId="7D31EB04" w14:textId="77777777" w:rsidR="00FA1376" w:rsidRPr="00A3389E" w:rsidRDefault="004D588F" w:rsidP="004D588F">
            <w:pPr>
              <w:pStyle w:val="Applicationdirecte"/>
              <w:spacing w:before="60"/>
              <w:jc w:val="center"/>
            </w:pPr>
            <w:r w:rsidRPr="00A3389E">
              <w:rPr>
                <w:color w:val="000000"/>
              </w:rPr>
              <w:t>6</w:t>
            </w:r>
          </w:p>
        </w:tc>
        <w:tc>
          <w:tcPr>
            <w:tcW w:w="7655" w:type="dxa"/>
          </w:tcPr>
          <w:p w14:paraId="69F866C5" w14:textId="77777777" w:rsidR="00A3389E"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Kreditné riziko protistrany – CCR</w:t>
            </w:r>
          </w:p>
          <w:p w14:paraId="6E778278" w14:textId="2DBF1624" w:rsidR="00FA1376" w:rsidRPr="00A3389E" w:rsidRDefault="009A4635" w:rsidP="0097538A">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6 CRR pre kreditné riziko protistrany.</w:t>
            </w:r>
          </w:p>
        </w:tc>
      </w:tr>
      <w:tr w:rsidR="00FA1376" w:rsidRPr="00A3389E" w14:paraId="75B82B0F" w14:textId="77777777" w:rsidTr="00B2180A">
        <w:trPr>
          <w:trHeight w:val="557"/>
        </w:trPr>
        <w:tc>
          <w:tcPr>
            <w:tcW w:w="1384" w:type="dxa"/>
            <w:vAlign w:val="center"/>
          </w:tcPr>
          <w:p w14:paraId="0224B461" w14:textId="77777777" w:rsidR="00FA1376" w:rsidRPr="00A3389E" w:rsidRDefault="004D588F" w:rsidP="00FA1376">
            <w:pPr>
              <w:pStyle w:val="Applicationdirecte"/>
              <w:spacing w:before="60"/>
              <w:jc w:val="center"/>
            </w:pPr>
            <w:r w:rsidRPr="00A3389E">
              <w:rPr>
                <w:color w:val="000000"/>
              </w:rPr>
              <w:t>7</w:t>
            </w:r>
          </w:p>
        </w:tc>
        <w:tc>
          <w:tcPr>
            <w:tcW w:w="7655" w:type="dxa"/>
          </w:tcPr>
          <w:p w14:paraId="771BC77D" w14:textId="7F54FD27" w:rsidR="00A3389E"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CCR –</w:t>
            </w:r>
            <w:r w:rsidR="00A3389E">
              <w:rPr>
                <w:rFonts w:ascii="Times New Roman" w:hAnsi="Times New Roman" w:cs="Times New Roman"/>
                <w:b/>
                <w:sz w:val="24"/>
              </w:rPr>
              <w:t xml:space="preserve"> z </w:t>
            </w:r>
            <w:r w:rsidRPr="00A3389E">
              <w:rPr>
                <w:rFonts w:ascii="Times New Roman" w:hAnsi="Times New Roman" w:cs="Times New Roman"/>
                <w:b/>
                <w:sz w:val="24"/>
              </w:rPr>
              <w:t>čoho štandardizovaný prístup</w:t>
            </w:r>
          </w:p>
          <w:p w14:paraId="13065A05" w14:textId="0E19F73F" w:rsidR="00FA1376" w:rsidRPr="00A3389E" w:rsidRDefault="009A4635" w:rsidP="00334EB8">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6 oddielom 3 CRR.</w:t>
            </w:r>
          </w:p>
        </w:tc>
      </w:tr>
      <w:tr w:rsidR="00FA1376" w:rsidRPr="00A3389E" w14:paraId="16331F3C" w14:textId="77777777" w:rsidTr="00B2180A">
        <w:trPr>
          <w:trHeight w:val="557"/>
        </w:trPr>
        <w:tc>
          <w:tcPr>
            <w:tcW w:w="1384" w:type="dxa"/>
            <w:vAlign w:val="center"/>
          </w:tcPr>
          <w:p w14:paraId="3558D5F6" w14:textId="77777777" w:rsidR="00FA1376" w:rsidRPr="00A3389E" w:rsidRDefault="004D588F" w:rsidP="00FA1376">
            <w:pPr>
              <w:pStyle w:val="Applicationdirecte"/>
              <w:spacing w:before="60"/>
              <w:jc w:val="center"/>
            </w:pPr>
            <w:r w:rsidRPr="00A3389E">
              <w:rPr>
                <w:color w:val="000000"/>
              </w:rPr>
              <w:t>8</w:t>
            </w:r>
          </w:p>
        </w:tc>
        <w:tc>
          <w:tcPr>
            <w:tcW w:w="7655" w:type="dxa"/>
          </w:tcPr>
          <w:p w14:paraId="2CA2F5B6" w14:textId="3ACEB115" w:rsidR="00A3389E"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CCR –</w:t>
            </w:r>
            <w:r w:rsidR="00A3389E">
              <w:rPr>
                <w:rFonts w:ascii="Times New Roman" w:hAnsi="Times New Roman" w:cs="Times New Roman"/>
                <w:b/>
                <w:sz w:val="24"/>
              </w:rPr>
              <w:t xml:space="preserve"> z </w:t>
            </w:r>
            <w:r w:rsidRPr="00A3389E">
              <w:rPr>
                <w:rFonts w:ascii="Times New Roman" w:hAnsi="Times New Roman" w:cs="Times New Roman"/>
                <w:b/>
                <w:sz w:val="24"/>
              </w:rPr>
              <w:t>čoho metóda interných modelov (IMM)</w:t>
            </w:r>
          </w:p>
          <w:p w14:paraId="3EB08D8D" w14:textId="412AB0BE" w:rsidR="00FA1376" w:rsidRPr="00A3389E" w:rsidRDefault="009A4635" w:rsidP="002635C4">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283 CRR.</w:t>
            </w:r>
          </w:p>
        </w:tc>
      </w:tr>
      <w:tr w:rsidR="004D588F" w:rsidRPr="00A3389E" w14:paraId="58D7FF91" w14:textId="77777777" w:rsidTr="00254E82">
        <w:trPr>
          <w:trHeight w:val="557"/>
        </w:trPr>
        <w:tc>
          <w:tcPr>
            <w:tcW w:w="1384" w:type="dxa"/>
          </w:tcPr>
          <w:p w14:paraId="4241FF70" w14:textId="77777777" w:rsidR="004D588F" w:rsidRPr="00A3389E" w:rsidRDefault="004D588F" w:rsidP="004D588F">
            <w:pPr>
              <w:pStyle w:val="Applicationdirecte"/>
              <w:spacing w:before="60"/>
              <w:jc w:val="center"/>
            </w:pPr>
            <w:r w:rsidRPr="00A3389E">
              <w:t>EU 8a</w:t>
            </w:r>
          </w:p>
        </w:tc>
        <w:tc>
          <w:tcPr>
            <w:tcW w:w="7655" w:type="dxa"/>
          </w:tcPr>
          <w:p w14:paraId="78F13FD4" w14:textId="21238745" w:rsidR="004D588F" w:rsidRPr="00A3389E" w:rsidRDefault="004D588F" w:rsidP="004D588F">
            <w:pPr>
              <w:spacing w:before="60" w:after="120"/>
              <w:jc w:val="both"/>
              <w:rPr>
                <w:rFonts w:ascii="Times New Roman" w:hAnsi="Times New Roman" w:cs="Times New Roman"/>
                <w:b/>
                <w:sz w:val="24"/>
              </w:rPr>
            </w:pPr>
            <w:r w:rsidRPr="00A3389E">
              <w:rPr>
                <w:rFonts w:ascii="Times New Roman" w:hAnsi="Times New Roman" w:cs="Times New Roman"/>
                <w:b/>
                <w:sz w:val="24"/>
              </w:rPr>
              <w:t>CCR –</w:t>
            </w:r>
            <w:r w:rsidR="00A3389E">
              <w:rPr>
                <w:rFonts w:ascii="Times New Roman" w:hAnsi="Times New Roman" w:cs="Times New Roman"/>
                <w:b/>
                <w:sz w:val="24"/>
              </w:rPr>
              <w:t xml:space="preserve"> z </w:t>
            </w:r>
            <w:r w:rsidRPr="00A3389E">
              <w:rPr>
                <w:rFonts w:ascii="Times New Roman" w:hAnsi="Times New Roman" w:cs="Times New Roman"/>
                <w:b/>
                <w:sz w:val="24"/>
              </w:rPr>
              <w:t>čoho expozície voči CCP</w:t>
            </w:r>
          </w:p>
          <w:p w14:paraId="316A5F55" w14:textId="1AED7D28" w:rsidR="00194611" w:rsidRPr="00A3389E" w:rsidRDefault="004D588F" w:rsidP="002635C4">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6 oddielom 9 CRR.</w:t>
            </w:r>
          </w:p>
        </w:tc>
      </w:tr>
      <w:tr w:rsidR="004D588F" w:rsidRPr="00A3389E" w14:paraId="64D4BA23" w14:textId="77777777" w:rsidTr="00254E82">
        <w:trPr>
          <w:trHeight w:val="557"/>
        </w:trPr>
        <w:tc>
          <w:tcPr>
            <w:tcW w:w="1384" w:type="dxa"/>
          </w:tcPr>
          <w:p w14:paraId="717446A6" w14:textId="77777777" w:rsidR="004D588F" w:rsidRPr="00A3389E" w:rsidRDefault="004D588F" w:rsidP="004D588F">
            <w:pPr>
              <w:pStyle w:val="Applicationdirecte"/>
              <w:spacing w:before="60"/>
              <w:jc w:val="center"/>
            </w:pPr>
            <w:r w:rsidRPr="00A3389E">
              <w:lastRenderedPageBreak/>
              <w:t>EU 8b</w:t>
            </w:r>
          </w:p>
        </w:tc>
        <w:tc>
          <w:tcPr>
            <w:tcW w:w="7655" w:type="dxa"/>
          </w:tcPr>
          <w:p w14:paraId="14C73A81" w14:textId="5BC7CAE7" w:rsidR="004D588F" w:rsidRPr="00A3389E" w:rsidRDefault="004D588F" w:rsidP="004D588F">
            <w:pPr>
              <w:spacing w:before="60" w:after="120"/>
              <w:jc w:val="both"/>
              <w:rPr>
                <w:rFonts w:ascii="Times New Roman" w:hAnsi="Times New Roman" w:cs="Times New Roman"/>
                <w:b/>
                <w:sz w:val="24"/>
              </w:rPr>
            </w:pPr>
            <w:r w:rsidRPr="00A3389E">
              <w:rPr>
                <w:rFonts w:ascii="Times New Roman" w:hAnsi="Times New Roman" w:cs="Times New Roman"/>
                <w:b/>
                <w:sz w:val="24"/>
              </w:rPr>
              <w:t>CCR –</w:t>
            </w:r>
            <w:r w:rsidR="00A3389E">
              <w:rPr>
                <w:rFonts w:ascii="Times New Roman" w:hAnsi="Times New Roman" w:cs="Times New Roman"/>
                <w:b/>
                <w:sz w:val="24"/>
              </w:rPr>
              <w:t xml:space="preserve"> z </w:t>
            </w:r>
            <w:r w:rsidRPr="00A3389E">
              <w:rPr>
                <w:rFonts w:ascii="Times New Roman" w:hAnsi="Times New Roman" w:cs="Times New Roman"/>
                <w:b/>
                <w:sz w:val="24"/>
              </w:rPr>
              <w:t>čoho úprava ocenenia pohľadávky – CVA</w:t>
            </w:r>
          </w:p>
          <w:p w14:paraId="3A1C256E" w14:textId="760C35FD" w:rsidR="004D588F" w:rsidRPr="00A3389E" w:rsidRDefault="004D588F" w:rsidP="0097538A">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VI CRR.</w:t>
            </w:r>
          </w:p>
        </w:tc>
      </w:tr>
      <w:tr w:rsidR="004D588F" w:rsidRPr="00A3389E" w14:paraId="25F8E9B4" w14:textId="77777777" w:rsidTr="00254E82">
        <w:trPr>
          <w:trHeight w:val="557"/>
        </w:trPr>
        <w:tc>
          <w:tcPr>
            <w:tcW w:w="1384" w:type="dxa"/>
          </w:tcPr>
          <w:p w14:paraId="4FF5AE00" w14:textId="77777777" w:rsidR="004D588F" w:rsidRPr="00A3389E" w:rsidRDefault="004D588F" w:rsidP="004D588F">
            <w:pPr>
              <w:pStyle w:val="Applicationdirecte"/>
              <w:spacing w:before="60"/>
              <w:jc w:val="center"/>
            </w:pPr>
            <w:r w:rsidRPr="00A3389E">
              <w:t>9</w:t>
            </w:r>
          </w:p>
        </w:tc>
        <w:tc>
          <w:tcPr>
            <w:tcW w:w="7655" w:type="dxa"/>
          </w:tcPr>
          <w:p w14:paraId="1F211550" w14:textId="4CAA3DCE" w:rsidR="004D588F" w:rsidRPr="00A3389E" w:rsidRDefault="004D588F" w:rsidP="004D588F">
            <w:pPr>
              <w:spacing w:before="60" w:after="120"/>
              <w:jc w:val="both"/>
              <w:rPr>
                <w:rFonts w:ascii="Times New Roman" w:hAnsi="Times New Roman" w:cs="Times New Roman"/>
                <w:b/>
                <w:sz w:val="24"/>
              </w:rPr>
            </w:pPr>
            <w:r w:rsidRPr="00A3389E">
              <w:rPr>
                <w:rFonts w:ascii="Times New Roman" w:hAnsi="Times New Roman" w:cs="Times New Roman"/>
                <w:b/>
                <w:sz w:val="24"/>
              </w:rPr>
              <w:t>CCR –</w:t>
            </w:r>
            <w:r w:rsidR="00A3389E">
              <w:rPr>
                <w:rFonts w:ascii="Times New Roman" w:hAnsi="Times New Roman" w:cs="Times New Roman"/>
                <w:b/>
                <w:sz w:val="24"/>
              </w:rPr>
              <w:t xml:space="preserve"> z </w:t>
            </w:r>
            <w:r w:rsidRPr="00A3389E">
              <w:rPr>
                <w:rFonts w:ascii="Times New Roman" w:hAnsi="Times New Roman" w:cs="Times New Roman"/>
                <w:b/>
                <w:sz w:val="24"/>
              </w:rPr>
              <w:t>čoho iné CCR</w:t>
            </w:r>
          </w:p>
          <w:p w14:paraId="533B5356" w14:textId="3C5B8FB4" w:rsidR="004D588F" w:rsidRPr="00A3389E" w:rsidRDefault="004D588F" w:rsidP="00576BDE">
            <w:pPr>
              <w:spacing w:before="60" w:after="120"/>
              <w:jc w:val="both"/>
              <w:rPr>
                <w:rFonts w:ascii="Times New Roman" w:hAnsi="Times New Roman" w:cs="Times New Roman"/>
                <w:sz w:val="24"/>
              </w:rPr>
            </w:pPr>
            <w:r w:rsidRPr="00A3389E">
              <w:rPr>
                <w:rFonts w:ascii="Times New Roman" w:hAnsi="Times New Roman" w:cs="Times New Roman"/>
                <w:sz w:val="24"/>
              </w:rPr>
              <w:t>RWEA kreditného rizika protistrany</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ktoré nie sú zverejnené</w:t>
            </w:r>
            <w:r w:rsidR="00A3389E">
              <w:rPr>
                <w:rFonts w:ascii="Times New Roman" w:hAnsi="Times New Roman" w:cs="Times New Roman"/>
                <w:sz w:val="24"/>
              </w:rPr>
              <w:t xml:space="preserve"> v </w:t>
            </w:r>
            <w:r w:rsidRPr="00A3389E">
              <w:rPr>
                <w:rFonts w:ascii="Times New Roman" w:hAnsi="Times New Roman" w:cs="Times New Roman"/>
                <w:sz w:val="24"/>
              </w:rPr>
              <w:t>riadkoch 7, 8, EU 8a</w:t>
            </w:r>
            <w:r w:rsidR="00A3389E">
              <w:rPr>
                <w:rFonts w:ascii="Times New Roman" w:hAnsi="Times New Roman" w:cs="Times New Roman"/>
                <w:sz w:val="24"/>
              </w:rPr>
              <w:t xml:space="preserve"> a </w:t>
            </w:r>
            <w:r w:rsidRPr="00A3389E">
              <w:rPr>
                <w:rFonts w:ascii="Times New Roman" w:hAnsi="Times New Roman" w:cs="Times New Roman"/>
                <w:sz w:val="24"/>
              </w:rPr>
              <w:t>EU 8b.</w:t>
            </w:r>
          </w:p>
        </w:tc>
      </w:tr>
      <w:tr w:rsidR="004D588F" w:rsidRPr="00A3389E" w14:paraId="76E49737" w14:textId="77777777" w:rsidTr="009251B5">
        <w:trPr>
          <w:trHeight w:val="557"/>
        </w:trPr>
        <w:tc>
          <w:tcPr>
            <w:tcW w:w="1384" w:type="dxa"/>
          </w:tcPr>
          <w:p w14:paraId="592A619A" w14:textId="77777777" w:rsidR="004D588F" w:rsidRPr="00A3389E" w:rsidRDefault="004D588F" w:rsidP="004D588F">
            <w:pPr>
              <w:pStyle w:val="Applicationdirecte"/>
              <w:spacing w:before="60"/>
              <w:jc w:val="center"/>
              <w:rPr>
                <w:color w:val="000000"/>
              </w:rPr>
            </w:pPr>
            <w:r w:rsidRPr="00A3389E">
              <w:t>10</w:t>
            </w:r>
          </w:p>
        </w:tc>
        <w:tc>
          <w:tcPr>
            <w:tcW w:w="7655" w:type="dxa"/>
          </w:tcPr>
          <w:p w14:paraId="49EF2829" w14:textId="4479F372" w:rsidR="004D588F" w:rsidRPr="00A3389E" w:rsidRDefault="00476E72" w:rsidP="004D588F">
            <w:pPr>
              <w:spacing w:before="60" w:after="120"/>
              <w:jc w:val="both"/>
              <w:rPr>
                <w:rFonts w:ascii="Times New Roman" w:hAnsi="Times New Roman" w:cs="Times New Roman"/>
                <w:sz w:val="24"/>
              </w:rPr>
            </w:pPr>
            <w:r w:rsidRPr="00A3389E">
              <w:rPr>
                <w:rFonts w:ascii="Times New Roman" w:hAnsi="Times New Roman" w:cs="Times New Roman"/>
              </w:rPr>
              <w:t>Neuplatňuje sa</w:t>
            </w:r>
          </w:p>
        </w:tc>
      </w:tr>
      <w:tr w:rsidR="004D588F" w:rsidRPr="00A3389E" w14:paraId="6475699F" w14:textId="77777777" w:rsidTr="009251B5">
        <w:trPr>
          <w:trHeight w:val="557"/>
        </w:trPr>
        <w:tc>
          <w:tcPr>
            <w:tcW w:w="1384" w:type="dxa"/>
          </w:tcPr>
          <w:p w14:paraId="3A8A0F85" w14:textId="77777777" w:rsidR="004D588F" w:rsidRPr="00A3389E" w:rsidRDefault="004D588F" w:rsidP="004D588F">
            <w:pPr>
              <w:pStyle w:val="Applicationdirecte"/>
              <w:spacing w:before="60"/>
              <w:jc w:val="center"/>
              <w:rPr>
                <w:color w:val="000000"/>
              </w:rPr>
            </w:pPr>
            <w:r w:rsidRPr="00A3389E">
              <w:t>11</w:t>
            </w:r>
          </w:p>
        </w:tc>
        <w:tc>
          <w:tcPr>
            <w:tcW w:w="7655" w:type="dxa"/>
          </w:tcPr>
          <w:p w14:paraId="5D822294" w14:textId="1188E96F" w:rsidR="004D588F" w:rsidRPr="00A3389E" w:rsidRDefault="00476E72" w:rsidP="00CE6D3F">
            <w:pPr>
              <w:spacing w:before="60" w:after="120"/>
              <w:jc w:val="both"/>
              <w:rPr>
                <w:rFonts w:ascii="Times New Roman" w:hAnsi="Times New Roman" w:cs="Times New Roman"/>
                <w:sz w:val="24"/>
              </w:rPr>
            </w:pPr>
            <w:r w:rsidRPr="00A3389E">
              <w:rPr>
                <w:rFonts w:ascii="Times New Roman" w:hAnsi="Times New Roman" w:cs="Times New Roman"/>
              </w:rPr>
              <w:t>Neuplatňuje sa</w:t>
            </w:r>
          </w:p>
        </w:tc>
      </w:tr>
      <w:tr w:rsidR="004D588F" w:rsidRPr="00A3389E" w14:paraId="185FC154" w14:textId="77777777" w:rsidTr="009251B5">
        <w:trPr>
          <w:trHeight w:val="557"/>
        </w:trPr>
        <w:tc>
          <w:tcPr>
            <w:tcW w:w="1384" w:type="dxa"/>
          </w:tcPr>
          <w:p w14:paraId="0761DB25" w14:textId="77777777" w:rsidR="004D588F" w:rsidRPr="00A3389E" w:rsidRDefault="004D588F" w:rsidP="004D588F">
            <w:pPr>
              <w:pStyle w:val="Applicationdirecte"/>
              <w:spacing w:before="60"/>
              <w:jc w:val="center"/>
              <w:rPr>
                <w:color w:val="000000"/>
              </w:rPr>
            </w:pPr>
            <w:r w:rsidRPr="00A3389E">
              <w:t>12</w:t>
            </w:r>
          </w:p>
        </w:tc>
        <w:tc>
          <w:tcPr>
            <w:tcW w:w="7655" w:type="dxa"/>
          </w:tcPr>
          <w:p w14:paraId="5020E0E0" w14:textId="0575BF04" w:rsidR="004D588F" w:rsidRPr="00A3389E" w:rsidRDefault="00476E72" w:rsidP="004D588F">
            <w:pPr>
              <w:spacing w:before="60" w:after="120"/>
              <w:jc w:val="both"/>
              <w:rPr>
                <w:rFonts w:ascii="Times New Roman" w:hAnsi="Times New Roman" w:cs="Times New Roman"/>
                <w:sz w:val="24"/>
              </w:rPr>
            </w:pPr>
            <w:r w:rsidRPr="00A3389E">
              <w:rPr>
                <w:rFonts w:ascii="Times New Roman" w:hAnsi="Times New Roman" w:cs="Times New Roman"/>
              </w:rPr>
              <w:t>Neuplatňuje sa</w:t>
            </w:r>
          </w:p>
        </w:tc>
      </w:tr>
      <w:tr w:rsidR="00476E72" w:rsidRPr="00A3389E" w14:paraId="05CAD0EA" w14:textId="77777777" w:rsidTr="009251B5">
        <w:trPr>
          <w:trHeight w:val="557"/>
        </w:trPr>
        <w:tc>
          <w:tcPr>
            <w:tcW w:w="1384" w:type="dxa"/>
          </w:tcPr>
          <w:p w14:paraId="2C885FBA" w14:textId="77777777" w:rsidR="00476E72" w:rsidRPr="00A3389E" w:rsidRDefault="00476E72" w:rsidP="00476E72">
            <w:pPr>
              <w:pStyle w:val="Applicationdirecte"/>
              <w:spacing w:before="60"/>
              <w:jc w:val="center"/>
              <w:rPr>
                <w:color w:val="000000"/>
              </w:rPr>
            </w:pPr>
            <w:r w:rsidRPr="00A3389E">
              <w:t>13</w:t>
            </w:r>
          </w:p>
        </w:tc>
        <w:tc>
          <w:tcPr>
            <w:tcW w:w="7655" w:type="dxa"/>
          </w:tcPr>
          <w:p w14:paraId="06CD1C7E" w14:textId="6F75CEAB" w:rsidR="00476E72" w:rsidRPr="00A3389E" w:rsidRDefault="00476E72" w:rsidP="00476E72">
            <w:pPr>
              <w:spacing w:before="60" w:after="120"/>
              <w:jc w:val="both"/>
              <w:rPr>
                <w:rFonts w:ascii="Times New Roman" w:hAnsi="Times New Roman" w:cs="Times New Roman"/>
                <w:sz w:val="24"/>
              </w:rPr>
            </w:pPr>
            <w:r w:rsidRPr="00A3389E">
              <w:rPr>
                <w:rFonts w:ascii="Times New Roman" w:hAnsi="Times New Roman" w:cs="Times New Roman"/>
              </w:rPr>
              <w:t>Neuplatňuje sa</w:t>
            </w:r>
          </w:p>
        </w:tc>
      </w:tr>
      <w:tr w:rsidR="00476E72" w:rsidRPr="00A3389E" w14:paraId="532A7C3A" w14:textId="77777777" w:rsidTr="009251B5">
        <w:trPr>
          <w:trHeight w:val="557"/>
        </w:trPr>
        <w:tc>
          <w:tcPr>
            <w:tcW w:w="1384" w:type="dxa"/>
          </w:tcPr>
          <w:p w14:paraId="50BD4AE4" w14:textId="77777777" w:rsidR="00476E72" w:rsidRPr="00A3389E" w:rsidRDefault="00476E72" w:rsidP="00476E72">
            <w:pPr>
              <w:pStyle w:val="Applicationdirecte"/>
              <w:spacing w:before="60"/>
              <w:jc w:val="center"/>
              <w:rPr>
                <w:color w:val="000000"/>
              </w:rPr>
            </w:pPr>
            <w:r w:rsidRPr="00A3389E">
              <w:t>14</w:t>
            </w:r>
          </w:p>
        </w:tc>
        <w:tc>
          <w:tcPr>
            <w:tcW w:w="7655" w:type="dxa"/>
          </w:tcPr>
          <w:p w14:paraId="08EEFB47" w14:textId="4D34AB73" w:rsidR="00476E72" w:rsidRPr="00A3389E" w:rsidRDefault="00476E72" w:rsidP="00476E72">
            <w:pPr>
              <w:spacing w:before="60" w:after="120"/>
              <w:jc w:val="both"/>
              <w:rPr>
                <w:rFonts w:ascii="Times New Roman" w:hAnsi="Times New Roman" w:cs="Times New Roman"/>
                <w:sz w:val="24"/>
              </w:rPr>
            </w:pPr>
            <w:r w:rsidRPr="00A3389E">
              <w:rPr>
                <w:rFonts w:ascii="Times New Roman" w:hAnsi="Times New Roman" w:cs="Times New Roman"/>
              </w:rPr>
              <w:t>Neuplatňuje sa</w:t>
            </w:r>
          </w:p>
        </w:tc>
      </w:tr>
      <w:tr w:rsidR="00FA1376" w:rsidRPr="00A3389E" w14:paraId="0D00F496" w14:textId="77777777" w:rsidTr="00B2180A">
        <w:trPr>
          <w:trHeight w:val="557"/>
        </w:trPr>
        <w:tc>
          <w:tcPr>
            <w:tcW w:w="1384" w:type="dxa"/>
            <w:vAlign w:val="center"/>
          </w:tcPr>
          <w:p w14:paraId="1FECA812" w14:textId="77777777" w:rsidR="00FA1376" w:rsidRPr="00A3389E" w:rsidRDefault="00FA1376" w:rsidP="004D588F">
            <w:pPr>
              <w:pStyle w:val="Applicationdirecte"/>
              <w:spacing w:before="60"/>
              <w:jc w:val="center"/>
            </w:pPr>
            <w:r w:rsidRPr="00A3389E">
              <w:rPr>
                <w:color w:val="000000"/>
              </w:rPr>
              <w:t>15</w:t>
            </w:r>
          </w:p>
        </w:tc>
        <w:tc>
          <w:tcPr>
            <w:tcW w:w="7655" w:type="dxa"/>
          </w:tcPr>
          <w:p w14:paraId="1326A932" w14:textId="77777777" w:rsidR="00A3389E"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Riziko vyrovnania</w:t>
            </w:r>
          </w:p>
          <w:p w14:paraId="5BD4C7C7" w14:textId="0F91F465" w:rsidR="00FA1376" w:rsidRPr="00A3389E" w:rsidRDefault="00476E72" w:rsidP="0077689B">
            <w:pPr>
              <w:spacing w:before="60" w:after="120"/>
              <w:jc w:val="both"/>
              <w:rPr>
                <w:rFonts w:ascii="Times New Roman" w:hAnsi="Times New Roman" w:cs="Times New Roman"/>
                <w:sz w:val="24"/>
              </w:rPr>
            </w:pPr>
            <w:r w:rsidRPr="00A3389E">
              <w:rPr>
                <w:rFonts w:ascii="Times New Roman" w:hAnsi="Times New Roman" w:cs="Times New Roman"/>
                <w:sz w:val="24"/>
              </w:rPr>
              <w:t>Hodnota rizikovej expozície (REA)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 pre riziko vyrovnania/dodania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378 CRR.</w:t>
            </w:r>
          </w:p>
        </w:tc>
      </w:tr>
      <w:tr w:rsidR="00FA1376" w:rsidRPr="00A3389E" w14:paraId="657304C7" w14:textId="77777777" w:rsidTr="00B2180A">
        <w:trPr>
          <w:trHeight w:val="557"/>
        </w:trPr>
        <w:tc>
          <w:tcPr>
            <w:tcW w:w="1384" w:type="dxa"/>
            <w:vAlign w:val="center"/>
          </w:tcPr>
          <w:p w14:paraId="78B3E96B" w14:textId="77777777" w:rsidR="00FA1376" w:rsidRPr="00A3389E" w:rsidRDefault="00FA1376" w:rsidP="00FA1376">
            <w:pPr>
              <w:pStyle w:val="Applicationdirecte"/>
              <w:spacing w:before="60"/>
              <w:jc w:val="center"/>
            </w:pPr>
            <w:r w:rsidRPr="00A3389E">
              <w:rPr>
                <w:color w:val="000000"/>
              </w:rPr>
              <w:t>16</w:t>
            </w:r>
          </w:p>
        </w:tc>
        <w:tc>
          <w:tcPr>
            <w:tcW w:w="7655" w:type="dxa"/>
          </w:tcPr>
          <w:p w14:paraId="290EA04A" w14:textId="60C33F1E" w:rsidR="00FA1376"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Sekuritizačné expozície</w:t>
            </w:r>
            <w:r w:rsidR="00A3389E">
              <w:rPr>
                <w:rFonts w:ascii="Times New Roman" w:hAnsi="Times New Roman" w:cs="Times New Roman"/>
                <w:b/>
                <w:sz w:val="24"/>
              </w:rPr>
              <w:t xml:space="preserve"> v </w:t>
            </w:r>
            <w:r w:rsidRPr="00A3389E">
              <w:rPr>
                <w:rFonts w:ascii="Times New Roman" w:hAnsi="Times New Roman" w:cs="Times New Roman"/>
                <w:b/>
                <w:sz w:val="24"/>
              </w:rPr>
              <w:t>neobchodnej knihe (po hornom ohraničení)</w:t>
            </w:r>
          </w:p>
          <w:p w14:paraId="3127F872" w14:textId="1B26C703" w:rsidR="00FA1376" w:rsidRPr="00A3389E" w:rsidRDefault="009A4635" w:rsidP="0097538A">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5 CRR.</w:t>
            </w:r>
          </w:p>
        </w:tc>
      </w:tr>
      <w:tr w:rsidR="00FA1376" w:rsidRPr="00A3389E" w14:paraId="010C9E97" w14:textId="77777777" w:rsidTr="00B2180A">
        <w:trPr>
          <w:trHeight w:val="557"/>
        </w:trPr>
        <w:tc>
          <w:tcPr>
            <w:tcW w:w="1384" w:type="dxa"/>
            <w:vAlign w:val="center"/>
          </w:tcPr>
          <w:p w14:paraId="088B3E8E" w14:textId="77777777" w:rsidR="00FA1376" w:rsidRPr="00A3389E" w:rsidRDefault="00FA1376" w:rsidP="00FA1376">
            <w:pPr>
              <w:pStyle w:val="Applicationdirecte"/>
              <w:spacing w:before="60"/>
              <w:jc w:val="center"/>
            </w:pPr>
            <w:r w:rsidRPr="00A3389E">
              <w:rPr>
                <w:color w:val="000000"/>
              </w:rPr>
              <w:t>17</w:t>
            </w:r>
          </w:p>
        </w:tc>
        <w:tc>
          <w:tcPr>
            <w:tcW w:w="7655" w:type="dxa"/>
          </w:tcPr>
          <w:p w14:paraId="1E481E94" w14:textId="5A36C517" w:rsidR="00A3389E"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Sekuritizácia –</w:t>
            </w:r>
            <w:r w:rsidR="00A3389E">
              <w:rPr>
                <w:rFonts w:ascii="Times New Roman" w:hAnsi="Times New Roman" w:cs="Times New Roman"/>
                <w:b/>
                <w:sz w:val="24"/>
              </w:rPr>
              <w:t xml:space="preserve"> z </w:t>
            </w:r>
            <w:r w:rsidRPr="00A3389E">
              <w:rPr>
                <w:rFonts w:ascii="Times New Roman" w:hAnsi="Times New Roman" w:cs="Times New Roman"/>
                <w:b/>
                <w:sz w:val="24"/>
              </w:rPr>
              <w:t>čoho prístup SEC-IRBA</w:t>
            </w:r>
          </w:p>
          <w:p w14:paraId="48D3D12E" w14:textId="51FB2A88" w:rsidR="00FA1376" w:rsidRPr="00A3389E" w:rsidRDefault="009A4635" w:rsidP="0097538A">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regulačným prístupom SEC-IRBA, ktorý sa používa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hierarchiou prístupov stanovenou</w:t>
            </w:r>
            <w:r w:rsidR="00A3389E">
              <w:rPr>
                <w:rFonts w:ascii="Times New Roman" w:hAnsi="Times New Roman" w:cs="Times New Roman"/>
                <w:sz w:val="24"/>
              </w:rPr>
              <w:t xml:space="preserve"> v </w:t>
            </w:r>
            <w:r w:rsidRPr="00A3389E">
              <w:rPr>
                <w:rFonts w:ascii="Times New Roman" w:hAnsi="Times New Roman" w:cs="Times New Roman"/>
                <w:sz w:val="24"/>
              </w:rPr>
              <w:t>článku 254 CRR.</w:t>
            </w:r>
          </w:p>
        </w:tc>
      </w:tr>
      <w:tr w:rsidR="004D588F" w:rsidRPr="00A3389E" w14:paraId="0BD85931" w14:textId="77777777" w:rsidTr="00B2180A">
        <w:trPr>
          <w:trHeight w:val="557"/>
        </w:trPr>
        <w:tc>
          <w:tcPr>
            <w:tcW w:w="1384" w:type="dxa"/>
            <w:vAlign w:val="center"/>
          </w:tcPr>
          <w:p w14:paraId="5C2CC844" w14:textId="77777777" w:rsidR="004D588F" w:rsidRPr="00A3389E" w:rsidRDefault="004D588F" w:rsidP="00B2180A">
            <w:pPr>
              <w:pStyle w:val="Applicationdirecte"/>
              <w:spacing w:before="60"/>
              <w:jc w:val="center"/>
            </w:pPr>
            <w:r w:rsidRPr="00A3389E">
              <w:rPr>
                <w:color w:val="000000"/>
              </w:rPr>
              <w:t>18</w:t>
            </w:r>
          </w:p>
        </w:tc>
        <w:tc>
          <w:tcPr>
            <w:tcW w:w="7655" w:type="dxa"/>
          </w:tcPr>
          <w:p w14:paraId="3D0BC87F" w14:textId="1A5D9CFA" w:rsidR="004D588F" w:rsidRPr="00A3389E" w:rsidRDefault="004D588F" w:rsidP="00B2180A">
            <w:pPr>
              <w:spacing w:before="60" w:after="120"/>
              <w:jc w:val="both"/>
              <w:rPr>
                <w:rFonts w:ascii="Times New Roman" w:hAnsi="Times New Roman" w:cs="Times New Roman"/>
                <w:b/>
                <w:sz w:val="24"/>
              </w:rPr>
            </w:pPr>
            <w:r w:rsidRPr="00A3389E">
              <w:rPr>
                <w:rFonts w:ascii="Times New Roman" w:hAnsi="Times New Roman" w:cs="Times New Roman"/>
                <w:b/>
                <w:sz w:val="24"/>
              </w:rPr>
              <w:t>Sekuritizácia –</w:t>
            </w:r>
            <w:r w:rsidR="00A3389E">
              <w:rPr>
                <w:rFonts w:ascii="Times New Roman" w:hAnsi="Times New Roman" w:cs="Times New Roman"/>
                <w:b/>
                <w:sz w:val="24"/>
              </w:rPr>
              <w:t xml:space="preserve"> z </w:t>
            </w:r>
            <w:r w:rsidRPr="00A3389E">
              <w:rPr>
                <w:rFonts w:ascii="Times New Roman" w:hAnsi="Times New Roman" w:cs="Times New Roman"/>
                <w:b/>
                <w:sz w:val="24"/>
              </w:rPr>
              <w:t>čoho SEC-ERBA (vrátane prístupu interného hodnotenia – IAA)</w:t>
            </w:r>
          </w:p>
          <w:p w14:paraId="081795BE" w14:textId="07B624D6" w:rsidR="004D588F" w:rsidRPr="00A3389E" w:rsidRDefault="004D588F" w:rsidP="0077689B">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regulačným prístupom SEC-ERBA (vrátane IAA), ktorý sa používa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hierarchiou prístupov stanovenou</w:t>
            </w:r>
            <w:r w:rsidR="00A3389E">
              <w:rPr>
                <w:rFonts w:ascii="Times New Roman" w:hAnsi="Times New Roman" w:cs="Times New Roman"/>
                <w:sz w:val="24"/>
              </w:rPr>
              <w:t xml:space="preserve"> v </w:t>
            </w:r>
            <w:r w:rsidRPr="00A3389E">
              <w:rPr>
                <w:rFonts w:ascii="Times New Roman" w:hAnsi="Times New Roman" w:cs="Times New Roman"/>
                <w:sz w:val="24"/>
              </w:rPr>
              <w:t>článku 254 CRR.</w:t>
            </w:r>
          </w:p>
        </w:tc>
      </w:tr>
      <w:tr w:rsidR="00FA1376" w:rsidRPr="00A3389E" w14:paraId="4D1D51C3" w14:textId="77777777" w:rsidTr="00B2180A">
        <w:trPr>
          <w:trHeight w:val="557"/>
        </w:trPr>
        <w:tc>
          <w:tcPr>
            <w:tcW w:w="1384" w:type="dxa"/>
            <w:vAlign w:val="center"/>
          </w:tcPr>
          <w:p w14:paraId="05E26500" w14:textId="77777777" w:rsidR="00FA1376" w:rsidRPr="00A3389E" w:rsidRDefault="00FA1376" w:rsidP="00FA1376">
            <w:pPr>
              <w:pStyle w:val="Applicationdirecte"/>
              <w:spacing w:before="60"/>
              <w:jc w:val="center"/>
            </w:pPr>
            <w:r w:rsidRPr="00A3389E">
              <w:rPr>
                <w:color w:val="000000"/>
              </w:rPr>
              <w:t>19</w:t>
            </w:r>
          </w:p>
        </w:tc>
        <w:tc>
          <w:tcPr>
            <w:tcW w:w="7655" w:type="dxa"/>
          </w:tcPr>
          <w:p w14:paraId="0F5154A2" w14:textId="24ABAE18" w:rsidR="00A3389E"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Sekuritizácia –</w:t>
            </w:r>
            <w:r w:rsidR="00A3389E">
              <w:rPr>
                <w:rFonts w:ascii="Times New Roman" w:hAnsi="Times New Roman" w:cs="Times New Roman"/>
                <w:b/>
                <w:sz w:val="24"/>
              </w:rPr>
              <w:t xml:space="preserve"> z </w:t>
            </w:r>
            <w:r w:rsidRPr="00A3389E">
              <w:rPr>
                <w:rFonts w:ascii="Times New Roman" w:hAnsi="Times New Roman" w:cs="Times New Roman"/>
                <w:b/>
                <w:sz w:val="24"/>
              </w:rPr>
              <w:t>čoho prístup SEC-SA</w:t>
            </w:r>
          </w:p>
          <w:p w14:paraId="70F39EBB" w14:textId="047D3061" w:rsidR="00FA1376" w:rsidRPr="00A3389E" w:rsidRDefault="009A4635" w:rsidP="0077689B">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regulačným prístupom SEC-SA, ktorý sa používa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hierarchiou prístupov stanovenou</w:t>
            </w:r>
            <w:r w:rsidR="00A3389E">
              <w:rPr>
                <w:rFonts w:ascii="Times New Roman" w:hAnsi="Times New Roman" w:cs="Times New Roman"/>
                <w:sz w:val="24"/>
              </w:rPr>
              <w:t xml:space="preserve"> v </w:t>
            </w:r>
            <w:r w:rsidRPr="00A3389E">
              <w:rPr>
                <w:rFonts w:ascii="Times New Roman" w:hAnsi="Times New Roman" w:cs="Times New Roman"/>
                <w:sz w:val="24"/>
              </w:rPr>
              <w:t>článku 254 CRR.</w:t>
            </w:r>
          </w:p>
        </w:tc>
      </w:tr>
      <w:tr w:rsidR="00FA1376" w:rsidRPr="00A3389E" w14:paraId="2FE59A55" w14:textId="77777777" w:rsidTr="00B2180A">
        <w:trPr>
          <w:trHeight w:val="557"/>
        </w:trPr>
        <w:tc>
          <w:tcPr>
            <w:tcW w:w="1384" w:type="dxa"/>
            <w:vAlign w:val="center"/>
          </w:tcPr>
          <w:p w14:paraId="78D679FB" w14:textId="77777777" w:rsidR="00FA1376" w:rsidRPr="00A3389E" w:rsidRDefault="004D588F" w:rsidP="00FA1376">
            <w:pPr>
              <w:pStyle w:val="Applicationdirecte"/>
              <w:spacing w:before="60"/>
              <w:jc w:val="center"/>
            </w:pPr>
            <w:r w:rsidRPr="00A3389E">
              <w:rPr>
                <w:color w:val="000000"/>
              </w:rPr>
              <w:t>EU 19a</w:t>
            </w:r>
          </w:p>
        </w:tc>
        <w:tc>
          <w:tcPr>
            <w:tcW w:w="7655" w:type="dxa"/>
          </w:tcPr>
          <w:p w14:paraId="571291B6" w14:textId="0946E09E" w:rsidR="00FA1376"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Sekuritizácia –</w:t>
            </w:r>
            <w:r w:rsidR="00A3389E">
              <w:rPr>
                <w:rFonts w:ascii="Times New Roman" w:hAnsi="Times New Roman" w:cs="Times New Roman"/>
                <w:b/>
                <w:sz w:val="24"/>
              </w:rPr>
              <w:t xml:space="preserve"> z </w:t>
            </w:r>
            <w:r w:rsidRPr="00A3389E">
              <w:rPr>
                <w:rFonts w:ascii="Times New Roman" w:hAnsi="Times New Roman" w:cs="Times New Roman"/>
                <w:b/>
                <w:sz w:val="24"/>
              </w:rPr>
              <w:t>čoho 1 250</w:t>
            </w:r>
            <w:r w:rsidR="00A3389E">
              <w:rPr>
                <w:rFonts w:ascii="Times New Roman" w:hAnsi="Times New Roman" w:cs="Times New Roman"/>
                <w:b/>
                <w:sz w:val="24"/>
              </w:rPr>
              <w:t> %</w:t>
            </w:r>
            <w:r w:rsidRPr="00A3389E">
              <w:rPr>
                <w:rFonts w:ascii="Times New Roman" w:hAnsi="Times New Roman" w:cs="Times New Roman"/>
                <w:b/>
                <w:sz w:val="24"/>
              </w:rPr>
              <w:t xml:space="preserve"> / odpočet</w:t>
            </w:r>
          </w:p>
          <w:p w14:paraId="7E6CD2F2" w14:textId="17E7D75B" w:rsidR="00FA1376" w:rsidRPr="00A3389E" w:rsidRDefault="009A4635" w:rsidP="0077689B">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pre sekuritizačné expozície</w:t>
            </w:r>
            <w:r w:rsidR="00A3389E">
              <w:rPr>
                <w:rFonts w:ascii="Times New Roman" w:hAnsi="Times New Roman" w:cs="Times New Roman"/>
                <w:sz w:val="24"/>
              </w:rPr>
              <w:t xml:space="preserve"> v </w:t>
            </w:r>
            <w:r w:rsidRPr="00A3389E">
              <w:rPr>
                <w:rFonts w:ascii="Times New Roman" w:hAnsi="Times New Roman" w:cs="Times New Roman"/>
                <w:sz w:val="24"/>
              </w:rPr>
              <w:t>neobchodnej knihe podliehajúce rizikovej váhe 1 250</w:t>
            </w:r>
            <w:r w:rsidR="00A3389E">
              <w:rPr>
                <w:rFonts w:ascii="Times New Roman" w:hAnsi="Times New Roman" w:cs="Times New Roman"/>
                <w:sz w:val="24"/>
              </w:rPr>
              <w:t> %</w:t>
            </w:r>
            <w:r w:rsidRPr="00A3389E">
              <w:rPr>
                <w:rFonts w:ascii="Times New Roman" w:hAnsi="Times New Roman" w:cs="Times New Roman"/>
                <w:sz w:val="24"/>
              </w:rPr>
              <w:t xml:space="preserve"> alebo odpočítané od vlastných zdrojov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5 CRR.</w:t>
            </w:r>
          </w:p>
        </w:tc>
      </w:tr>
      <w:tr w:rsidR="004D588F" w:rsidRPr="00A3389E" w14:paraId="78AD28BD" w14:textId="77777777" w:rsidTr="00254E82">
        <w:trPr>
          <w:trHeight w:val="557"/>
        </w:trPr>
        <w:tc>
          <w:tcPr>
            <w:tcW w:w="1384" w:type="dxa"/>
          </w:tcPr>
          <w:p w14:paraId="165E71A5" w14:textId="77777777" w:rsidR="004D588F" w:rsidRPr="00A3389E" w:rsidRDefault="004D588F" w:rsidP="004D588F">
            <w:pPr>
              <w:pStyle w:val="Applicationdirecte"/>
              <w:spacing w:before="60"/>
              <w:jc w:val="center"/>
            </w:pPr>
            <w:r w:rsidRPr="00A3389E">
              <w:lastRenderedPageBreak/>
              <w:t>20</w:t>
            </w:r>
          </w:p>
        </w:tc>
        <w:tc>
          <w:tcPr>
            <w:tcW w:w="7655" w:type="dxa"/>
          </w:tcPr>
          <w:p w14:paraId="403A7459" w14:textId="5F070493" w:rsidR="004D588F" w:rsidRPr="00A3389E" w:rsidRDefault="004D588F" w:rsidP="004D588F">
            <w:pPr>
              <w:spacing w:before="60" w:after="120"/>
              <w:jc w:val="both"/>
              <w:rPr>
                <w:rFonts w:ascii="Times New Roman" w:hAnsi="Times New Roman" w:cs="Times New Roman"/>
                <w:b/>
                <w:sz w:val="24"/>
              </w:rPr>
            </w:pPr>
            <w:r w:rsidRPr="00A3389E">
              <w:rPr>
                <w:rFonts w:ascii="Times New Roman" w:hAnsi="Times New Roman" w:cs="Times New Roman"/>
                <w:b/>
                <w:sz w:val="24"/>
              </w:rPr>
              <w:t>Pozičné, devízové</w:t>
            </w:r>
            <w:r w:rsidR="00A3389E">
              <w:rPr>
                <w:rFonts w:ascii="Times New Roman" w:hAnsi="Times New Roman" w:cs="Times New Roman"/>
                <w:b/>
                <w:sz w:val="24"/>
              </w:rPr>
              <w:t xml:space="preserve"> a </w:t>
            </w:r>
            <w:r w:rsidRPr="00A3389E">
              <w:rPr>
                <w:rFonts w:ascii="Times New Roman" w:hAnsi="Times New Roman" w:cs="Times New Roman"/>
                <w:b/>
                <w:sz w:val="24"/>
              </w:rPr>
              <w:t>komoditné riziko (trhové riziko)</w:t>
            </w:r>
          </w:p>
          <w:p w14:paraId="1D8E5705" w14:textId="6C026D28" w:rsidR="004D588F" w:rsidRPr="00A3389E" w:rsidRDefault="004D588F" w:rsidP="0097538A">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treťou časťou hlavou IV CRR. </w:t>
            </w:r>
          </w:p>
        </w:tc>
      </w:tr>
      <w:tr w:rsidR="004D588F" w:rsidRPr="00A3389E" w14:paraId="4F4C8A13" w14:textId="77777777" w:rsidTr="00254E82">
        <w:trPr>
          <w:trHeight w:val="557"/>
        </w:trPr>
        <w:tc>
          <w:tcPr>
            <w:tcW w:w="1384" w:type="dxa"/>
          </w:tcPr>
          <w:p w14:paraId="2600D745" w14:textId="77777777" w:rsidR="004D588F" w:rsidRPr="00A3389E" w:rsidRDefault="004D588F" w:rsidP="004D588F">
            <w:pPr>
              <w:pStyle w:val="Applicationdirecte"/>
              <w:spacing w:before="60"/>
              <w:jc w:val="center"/>
            </w:pPr>
            <w:r w:rsidRPr="00A3389E">
              <w:t>21</w:t>
            </w:r>
          </w:p>
        </w:tc>
        <w:tc>
          <w:tcPr>
            <w:tcW w:w="7655" w:type="dxa"/>
          </w:tcPr>
          <w:p w14:paraId="326F0F18" w14:textId="35606940" w:rsidR="00A3389E" w:rsidRPr="00A3389E" w:rsidRDefault="004D588F" w:rsidP="004D588F">
            <w:pPr>
              <w:spacing w:before="60" w:after="120"/>
              <w:jc w:val="both"/>
              <w:rPr>
                <w:rFonts w:ascii="Times New Roman" w:hAnsi="Times New Roman" w:cs="Times New Roman"/>
                <w:b/>
                <w:sz w:val="24"/>
              </w:rPr>
            </w:pPr>
            <w:r w:rsidRPr="00A3389E">
              <w:rPr>
                <w:rFonts w:ascii="Times New Roman" w:hAnsi="Times New Roman" w:cs="Times New Roman"/>
                <w:b/>
                <w:sz w:val="24"/>
              </w:rPr>
              <w:t>Trhové riziko –</w:t>
            </w:r>
            <w:r w:rsidR="00A3389E">
              <w:rPr>
                <w:rFonts w:ascii="Times New Roman" w:hAnsi="Times New Roman" w:cs="Times New Roman"/>
                <w:b/>
                <w:sz w:val="24"/>
              </w:rPr>
              <w:t xml:space="preserve"> z </w:t>
            </w:r>
            <w:r w:rsidRPr="00A3389E">
              <w:rPr>
                <w:rFonts w:ascii="Times New Roman" w:hAnsi="Times New Roman" w:cs="Times New Roman"/>
                <w:b/>
                <w:sz w:val="24"/>
              </w:rPr>
              <w:t>čoho štandardizovaný prístup</w:t>
            </w:r>
          </w:p>
          <w:p w14:paraId="3CC79283" w14:textId="2C3B2F08" w:rsidR="004D588F" w:rsidRPr="00A3389E" w:rsidRDefault="004D588F" w:rsidP="0077689B">
            <w:pPr>
              <w:spacing w:before="60" w:after="120"/>
              <w:jc w:val="both"/>
              <w:rPr>
                <w:rFonts w:ascii="Times New Roman" w:hAnsi="Times New Roman" w:cs="Times New Roman"/>
                <w:sz w:val="24"/>
              </w:rPr>
            </w:pPr>
            <w:r w:rsidRPr="00A3389E">
              <w:rPr>
                <w:rFonts w:ascii="Times New Roman" w:hAnsi="Times New Roman" w:cs="Times New Roman"/>
                <w:sz w:val="24"/>
              </w:rPr>
              <w:t>RWEA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kapitolami 2 až 4 CRR.</w:t>
            </w:r>
          </w:p>
        </w:tc>
      </w:tr>
      <w:tr w:rsidR="004D588F" w:rsidRPr="00A3389E" w14:paraId="7730A887" w14:textId="77777777" w:rsidTr="00254E82">
        <w:trPr>
          <w:trHeight w:val="557"/>
        </w:trPr>
        <w:tc>
          <w:tcPr>
            <w:tcW w:w="1384" w:type="dxa"/>
          </w:tcPr>
          <w:p w14:paraId="4659D69D" w14:textId="77777777" w:rsidR="004D588F" w:rsidRPr="00A3389E" w:rsidRDefault="004D588F" w:rsidP="004D588F">
            <w:pPr>
              <w:pStyle w:val="Applicationdirecte"/>
              <w:spacing w:before="60"/>
              <w:jc w:val="center"/>
            </w:pPr>
            <w:r w:rsidRPr="00A3389E">
              <w:t>22</w:t>
            </w:r>
          </w:p>
        </w:tc>
        <w:tc>
          <w:tcPr>
            <w:tcW w:w="7655" w:type="dxa"/>
          </w:tcPr>
          <w:p w14:paraId="27CF21D3" w14:textId="33D5E64C" w:rsidR="00A3389E" w:rsidRPr="00A3389E" w:rsidRDefault="004D588F" w:rsidP="004D588F">
            <w:pPr>
              <w:spacing w:before="60" w:after="120"/>
              <w:jc w:val="both"/>
              <w:rPr>
                <w:rFonts w:ascii="Times New Roman" w:hAnsi="Times New Roman" w:cs="Times New Roman"/>
                <w:b/>
                <w:sz w:val="24"/>
              </w:rPr>
            </w:pPr>
            <w:r w:rsidRPr="00A3389E">
              <w:rPr>
                <w:rFonts w:ascii="Times New Roman" w:hAnsi="Times New Roman" w:cs="Times New Roman"/>
                <w:b/>
                <w:sz w:val="24"/>
              </w:rPr>
              <w:t>Trhové riziko –</w:t>
            </w:r>
            <w:r w:rsidR="00A3389E">
              <w:rPr>
                <w:rFonts w:ascii="Times New Roman" w:hAnsi="Times New Roman" w:cs="Times New Roman"/>
                <w:b/>
                <w:sz w:val="24"/>
              </w:rPr>
              <w:t xml:space="preserve"> z </w:t>
            </w:r>
            <w:r w:rsidRPr="00A3389E">
              <w:rPr>
                <w:rFonts w:ascii="Times New Roman" w:hAnsi="Times New Roman" w:cs="Times New Roman"/>
                <w:b/>
                <w:sz w:val="24"/>
              </w:rPr>
              <w:t>čoho IMA</w:t>
            </w:r>
          </w:p>
          <w:p w14:paraId="190F3353" w14:textId="7EF239B0" w:rsidR="004D588F" w:rsidRPr="00A3389E" w:rsidRDefault="004D588F" w:rsidP="00476E72">
            <w:pPr>
              <w:spacing w:before="60" w:after="120"/>
              <w:jc w:val="both"/>
              <w:rPr>
                <w:rFonts w:ascii="Times New Roman" w:hAnsi="Times New Roman" w:cs="Times New Roman"/>
                <w:sz w:val="24"/>
              </w:rPr>
            </w:pPr>
            <w:r w:rsidRPr="00A3389E">
              <w:rPr>
                <w:rFonts w:ascii="Times New Roman" w:hAnsi="Times New Roman" w:cs="Times New Roman"/>
                <w:sz w:val="24"/>
              </w:rPr>
              <w:t>REA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5 CRR.</w:t>
            </w:r>
          </w:p>
        </w:tc>
      </w:tr>
      <w:tr w:rsidR="00FA1376" w:rsidRPr="00A3389E" w14:paraId="634BA896" w14:textId="77777777" w:rsidTr="00B2180A">
        <w:trPr>
          <w:trHeight w:val="557"/>
        </w:trPr>
        <w:tc>
          <w:tcPr>
            <w:tcW w:w="1384" w:type="dxa"/>
            <w:vAlign w:val="center"/>
          </w:tcPr>
          <w:p w14:paraId="20BE37C9" w14:textId="77777777" w:rsidR="00FA1376" w:rsidRPr="00A3389E" w:rsidRDefault="004D588F" w:rsidP="00FA1376">
            <w:pPr>
              <w:pStyle w:val="Applicationdirecte"/>
              <w:spacing w:before="60"/>
              <w:jc w:val="center"/>
            </w:pPr>
            <w:r w:rsidRPr="00A3389E">
              <w:rPr>
                <w:color w:val="000000"/>
              </w:rPr>
              <w:t>EU 22a</w:t>
            </w:r>
          </w:p>
        </w:tc>
        <w:tc>
          <w:tcPr>
            <w:tcW w:w="7655" w:type="dxa"/>
          </w:tcPr>
          <w:p w14:paraId="3C6ECD7F" w14:textId="77777777" w:rsidR="00FA1376"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Veľká majetková angažovanosť</w:t>
            </w:r>
          </w:p>
          <w:p w14:paraId="01CE52D0" w14:textId="5953C745" w:rsidR="00FA1376" w:rsidRPr="00A3389E" w:rsidRDefault="009A4635" w:rsidP="00476E72">
            <w:pPr>
              <w:spacing w:before="60" w:after="120"/>
              <w:jc w:val="both"/>
              <w:rPr>
                <w:rFonts w:ascii="Times New Roman" w:hAnsi="Times New Roman" w:cs="Times New Roman"/>
                <w:sz w:val="24"/>
              </w:rPr>
            </w:pPr>
            <w:r w:rsidRPr="00A3389E">
              <w:rPr>
                <w:rFonts w:ascii="Times New Roman" w:hAnsi="Times New Roman" w:cs="Times New Roman"/>
                <w:sz w:val="24"/>
              </w:rPr>
              <w:t>REA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3 písm. b) bodom ii) CRR.</w:t>
            </w:r>
          </w:p>
        </w:tc>
      </w:tr>
      <w:tr w:rsidR="004D588F" w:rsidRPr="00A3389E" w14:paraId="4F084615" w14:textId="77777777" w:rsidTr="009251B5">
        <w:trPr>
          <w:trHeight w:val="557"/>
        </w:trPr>
        <w:tc>
          <w:tcPr>
            <w:tcW w:w="1384" w:type="dxa"/>
          </w:tcPr>
          <w:p w14:paraId="688F7715" w14:textId="77777777" w:rsidR="004D588F" w:rsidRPr="00A3389E" w:rsidRDefault="004D588F" w:rsidP="004D588F">
            <w:pPr>
              <w:pStyle w:val="Applicationdirecte"/>
              <w:spacing w:before="60"/>
              <w:jc w:val="center"/>
              <w:rPr>
                <w:color w:val="000000"/>
              </w:rPr>
            </w:pPr>
            <w:r w:rsidRPr="00A3389E">
              <w:t>23</w:t>
            </w:r>
          </w:p>
        </w:tc>
        <w:tc>
          <w:tcPr>
            <w:tcW w:w="7655" w:type="dxa"/>
          </w:tcPr>
          <w:p w14:paraId="5BEAC46C" w14:textId="77777777" w:rsidR="00A3389E" w:rsidRPr="00A3389E" w:rsidRDefault="00064A87" w:rsidP="00064A87">
            <w:pPr>
              <w:spacing w:before="60" w:after="120"/>
              <w:jc w:val="both"/>
              <w:rPr>
                <w:rFonts w:ascii="Times New Roman" w:hAnsi="Times New Roman" w:cs="Times New Roman"/>
                <w:b/>
                <w:sz w:val="24"/>
              </w:rPr>
            </w:pPr>
            <w:r w:rsidRPr="00A3389E">
              <w:rPr>
                <w:rFonts w:ascii="Times New Roman" w:hAnsi="Times New Roman" w:cs="Times New Roman"/>
                <w:b/>
                <w:sz w:val="24"/>
              </w:rPr>
              <w:t>Operačné riziko</w:t>
            </w:r>
          </w:p>
          <w:p w14:paraId="1D9DEFE1" w14:textId="5BD84926" w:rsidR="004D588F" w:rsidRPr="00A3389E" w:rsidRDefault="00064A87" w:rsidP="00601608">
            <w:pPr>
              <w:spacing w:before="60" w:after="120"/>
              <w:jc w:val="both"/>
              <w:rPr>
                <w:rFonts w:ascii="Times New Roman" w:hAnsi="Times New Roman" w:cs="Times New Roman"/>
                <w:i/>
                <w:sz w:val="24"/>
              </w:rPr>
            </w:pPr>
            <w:r w:rsidRPr="00A3389E">
              <w:rPr>
                <w:rFonts w:ascii="Times New Roman" w:hAnsi="Times New Roman" w:cs="Times New Roman"/>
                <w:sz w:val="24"/>
              </w:rPr>
              <w:t>REA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III CRR.</w:t>
            </w:r>
          </w:p>
        </w:tc>
      </w:tr>
      <w:tr w:rsidR="004D588F" w:rsidRPr="00A3389E" w14:paraId="396F9058" w14:textId="77777777" w:rsidTr="00254E82">
        <w:trPr>
          <w:trHeight w:val="557"/>
        </w:trPr>
        <w:tc>
          <w:tcPr>
            <w:tcW w:w="1384" w:type="dxa"/>
          </w:tcPr>
          <w:p w14:paraId="0B756814" w14:textId="77777777" w:rsidR="004D588F" w:rsidRPr="00A3389E" w:rsidRDefault="004D588F" w:rsidP="00355D90">
            <w:pPr>
              <w:pStyle w:val="Applicationdirecte"/>
              <w:spacing w:before="60"/>
              <w:jc w:val="center"/>
            </w:pPr>
            <w:r w:rsidRPr="00A3389E">
              <w:t>EU 23a</w:t>
            </w:r>
          </w:p>
        </w:tc>
        <w:tc>
          <w:tcPr>
            <w:tcW w:w="7655" w:type="dxa"/>
          </w:tcPr>
          <w:p w14:paraId="02D0BBD7" w14:textId="410ACB5C" w:rsidR="00A3389E" w:rsidRPr="00A3389E" w:rsidRDefault="004D588F" w:rsidP="004D588F">
            <w:pPr>
              <w:spacing w:before="60" w:after="120"/>
              <w:jc w:val="both"/>
              <w:rPr>
                <w:rFonts w:ascii="Times New Roman" w:hAnsi="Times New Roman" w:cs="Times New Roman"/>
                <w:b/>
                <w:sz w:val="24"/>
              </w:rPr>
            </w:pPr>
            <w:r w:rsidRPr="00A3389E">
              <w:rPr>
                <w:rFonts w:ascii="Times New Roman" w:hAnsi="Times New Roman" w:cs="Times New Roman"/>
                <w:b/>
                <w:sz w:val="24"/>
              </w:rPr>
              <w:t>Operačné riziko –</w:t>
            </w:r>
            <w:r w:rsidR="00A3389E">
              <w:rPr>
                <w:rFonts w:ascii="Times New Roman" w:hAnsi="Times New Roman" w:cs="Times New Roman"/>
                <w:b/>
                <w:sz w:val="24"/>
              </w:rPr>
              <w:t xml:space="preserve"> z </w:t>
            </w:r>
            <w:r w:rsidRPr="00A3389E">
              <w:rPr>
                <w:rFonts w:ascii="Times New Roman" w:hAnsi="Times New Roman" w:cs="Times New Roman"/>
                <w:b/>
                <w:sz w:val="24"/>
              </w:rPr>
              <w:t>čoho prístup základného ukazovateľa</w:t>
            </w:r>
          </w:p>
          <w:p w14:paraId="07934FF8" w14:textId="729F2298" w:rsidR="004D588F" w:rsidRPr="00A3389E" w:rsidRDefault="004D588F" w:rsidP="00601608">
            <w:pPr>
              <w:spacing w:before="60" w:after="120"/>
              <w:jc w:val="both"/>
              <w:rPr>
                <w:rFonts w:ascii="Times New Roman" w:hAnsi="Times New Roman" w:cs="Times New Roman"/>
                <w:sz w:val="24"/>
              </w:rPr>
            </w:pPr>
            <w:r w:rsidRPr="00A3389E">
              <w:rPr>
                <w:rFonts w:ascii="Times New Roman" w:hAnsi="Times New Roman" w:cs="Times New Roman"/>
                <w:sz w:val="24"/>
              </w:rPr>
              <w:t>REA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III kapitolou 2 CRR.</w:t>
            </w:r>
          </w:p>
        </w:tc>
      </w:tr>
      <w:tr w:rsidR="004D588F" w:rsidRPr="00A3389E" w14:paraId="5EF18DC9" w14:textId="77777777" w:rsidTr="00254E82">
        <w:trPr>
          <w:trHeight w:val="557"/>
        </w:trPr>
        <w:tc>
          <w:tcPr>
            <w:tcW w:w="1384" w:type="dxa"/>
          </w:tcPr>
          <w:p w14:paraId="0801631A" w14:textId="77777777" w:rsidR="004D588F" w:rsidRPr="00A3389E" w:rsidRDefault="004D588F" w:rsidP="004D588F">
            <w:pPr>
              <w:pStyle w:val="Applicationdirecte"/>
              <w:spacing w:before="60"/>
              <w:jc w:val="center"/>
            </w:pPr>
            <w:r w:rsidRPr="00A3389E">
              <w:t>EU 23b</w:t>
            </w:r>
          </w:p>
        </w:tc>
        <w:tc>
          <w:tcPr>
            <w:tcW w:w="7655" w:type="dxa"/>
          </w:tcPr>
          <w:p w14:paraId="787F4C5D" w14:textId="645D2C62" w:rsidR="00A3389E" w:rsidRPr="00A3389E" w:rsidRDefault="004D588F" w:rsidP="004D588F">
            <w:pPr>
              <w:spacing w:before="60" w:after="120"/>
              <w:jc w:val="both"/>
              <w:rPr>
                <w:rFonts w:ascii="Times New Roman" w:hAnsi="Times New Roman" w:cs="Times New Roman"/>
                <w:b/>
                <w:sz w:val="24"/>
              </w:rPr>
            </w:pPr>
            <w:r w:rsidRPr="00A3389E">
              <w:rPr>
                <w:rFonts w:ascii="Times New Roman" w:hAnsi="Times New Roman" w:cs="Times New Roman"/>
                <w:b/>
                <w:sz w:val="24"/>
              </w:rPr>
              <w:t>Operačné riziko –</w:t>
            </w:r>
            <w:r w:rsidR="00A3389E">
              <w:rPr>
                <w:rFonts w:ascii="Times New Roman" w:hAnsi="Times New Roman" w:cs="Times New Roman"/>
                <w:b/>
                <w:sz w:val="24"/>
              </w:rPr>
              <w:t xml:space="preserve"> z </w:t>
            </w:r>
            <w:r w:rsidRPr="00A3389E">
              <w:rPr>
                <w:rFonts w:ascii="Times New Roman" w:hAnsi="Times New Roman" w:cs="Times New Roman"/>
                <w:b/>
                <w:sz w:val="24"/>
              </w:rPr>
              <w:t>čoho štandardizovaný prístup</w:t>
            </w:r>
          </w:p>
          <w:p w14:paraId="14BE2DD9" w14:textId="1E7B8BF3" w:rsidR="004D588F" w:rsidRPr="00A3389E" w:rsidRDefault="004D588F" w:rsidP="00601608">
            <w:pPr>
              <w:spacing w:before="60" w:after="120"/>
              <w:jc w:val="both"/>
              <w:rPr>
                <w:rFonts w:ascii="Times New Roman" w:hAnsi="Times New Roman" w:cs="Times New Roman"/>
                <w:sz w:val="24"/>
              </w:rPr>
            </w:pPr>
            <w:r w:rsidRPr="00A3389E">
              <w:rPr>
                <w:rFonts w:ascii="Times New Roman" w:hAnsi="Times New Roman" w:cs="Times New Roman"/>
                <w:sz w:val="24"/>
              </w:rPr>
              <w:t>REA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III kapitolou 3 CRR.</w:t>
            </w:r>
          </w:p>
        </w:tc>
      </w:tr>
      <w:tr w:rsidR="004D588F" w:rsidRPr="00A3389E" w14:paraId="56E0EEAB" w14:textId="77777777" w:rsidTr="00254E82">
        <w:trPr>
          <w:trHeight w:val="557"/>
        </w:trPr>
        <w:tc>
          <w:tcPr>
            <w:tcW w:w="1384" w:type="dxa"/>
          </w:tcPr>
          <w:p w14:paraId="73D93B72" w14:textId="77777777" w:rsidR="004D588F" w:rsidRPr="00A3389E" w:rsidRDefault="004D588F" w:rsidP="004D588F">
            <w:pPr>
              <w:pStyle w:val="Applicationdirecte"/>
              <w:spacing w:before="60"/>
              <w:jc w:val="center"/>
            </w:pPr>
            <w:r w:rsidRPr="00A3389E">
              <w:t>EU 23c</w:t>
            </w:r>
          </w:p>
        </w:tc>
        <w:tc>
          <w:tcPr>
            <w:tcW w:w="7655" w:type="dxa"/>
          </w:tcPr>
          <w:p w14:paraId="3C9B90A5" w14:textId="78624BD4" w:rsidR="00A3389E" w:rsidRPr="00A3389E" w:rsidRDefault="004D588F" w:rsidP="004D588F">
            <w:pPr>
              <w:spacing w:before="60" w:after="120"/>
              <w:jc w:val="both"/>
              <w:rPr>
                <w:rFonts w:ascii="Times New Roman" w:hAnsi="Times New Roman" w:cs="Times New Roman"/>
                <w:b/>
                <w:sz w:val="24"/>
              </w:rPr>
            </w:pPr>
            <w:r w:rsidRPr="00A3389E">
              <w:rPr>
                <w:rFonts w:ascii="Times New Roman" w:hAnsi="Times New Roman" w:cs="Times New Roman"/>
                <w:b/>
                <w:sz w:val="24"/>
              </w:rPr>
              <w:t>Operačné riziko –</w:t>
            </w:r>
            <w:r w:rsidR="00A3389E">
              <w:rPr>
                <w:rFonts w:ascii="Times New Roman" w:hAnsi="Times New Roman" w:cs="Times New Roman"/>
                <w:b/>
                <w:sz w:val="24"/>
              </w:rPr>
              <w:t xml:space="preserve"> z </w:t>
            </w:r>
            <w:r w:rsidRPr="00A3389E">
              <w:rPr>
                <w:rFonts w:ascii="Times New Roman" w:hAnsi="Times New Roman" w:cs="Times New Roman"/>
                <w:b/>
                <w:sz w:val="24"/>
              </w:rPr>
              <w:t>čoho pokročilý prístup merania</w:t>
            </w:r>
          </w:p>
          <w:p w14:paraId="478510C3" w14:textId="245DD6B4" w:rsidR="004D588F" w:rsidRPr="00A3389E" w:rsidRDefault="004D588F" w:rsidP="00601608">
            <w:pPr>
              <w:spacing w:before="60" w:after="120"/>
              <w:jc w:val="both"/>
              <w:rPr>
                <w:rFonts w:ascii="Times New Roman" w:hAnsi="Times New Roman" w:cs="Times New Roman"/>
                <w:sz w:val="24"/>
              </w:rPr>
            </w:pPr>
            <w:r w:rsidRPr="00A3389E">
              <w:rPr>
                <w:rFonts w:ascii="Times New Roman" w:hAnsi="Times New Roman" w:cs="Times New Roman"/>
                <w:sz w:val="24"/>
              </w:rPr>
              <w:t>REA</w:t>
            </w:r>
            <w:r w:rsidR="00A3389E">
              <w:rPr>
                <w:rFonts w:ascii="Times New Roman" w:hAnsi="Times New Roman" w:cs="Times New Roman"/>
                <w:sz w:val="24"/>
              </w:rPr>
              <w:t xml:space="preserve"> a </w:t>
            </w:r>
            <w:r w:rsidRPr="00A3389E">
              <w:rPr>
                <w:rFonts w:ascii="Times New Roman" w:hAnsi="Times New Roman" w:cs="Times New Roman"/>
                <w:sz w:val="24"/>
              </w:rPr>
              <w:t>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III kapitolou 4 CRR.</w:t>
            </w:r>
          </w:p>
        </w:tc>
      </w:tr>
      <w:tr w:rsidR="00355D90" w:rsidRPr="00A3389E" w14:paraId="76248997" w14:textId="77777777" w:rsidTr="001C2D18">
        <w:trPr>
          <w:trHeight w:val="557"/>
        </w:trPr>
        <w:tc>
          <w:tcPr>
            <w:tcW w:w="1384" w:type="dxa"/>
          </w:tcPr>
          <w:p w14:paraId="0E30EA32" w14:textId="77777777" w:rsidR="00355D90" w:rsidRPr="00A3389E" w:rsidRDefault="00355D90" w:rsidP="001C2D18">
            <w:pPr>
              <w:pStyle w:val="Applicationdirecte"/>
              <w:spacing w:before="60"/>
              <w:jc w:val="center"/>
            </w:pPr>
            <w:r w:rsidRPr="00A3389E">
              <w:t xml:space="preserve"> 24</w:t>
            </w:r>
          </w:p>
        </w:tc>
        <w:tc>
          <w:tcPr>
            <w:tcW w:w="7655" w:type="dxa"/>
          </w:tcPr>
          <w:p w14:paraId="67D2C6F6" w14:textId="3364B003" w:rsidR="00A3389E" w:rsidRPr="00A3389E" w:rsidRDefault="00355D90" w:rsidP="001C2D18">
            <w:pPr>
              <w:spacing w:before="60" w:after="120"/>
              <w:jc w:val="both"/>
              <w:rPr>
                <w:rFonts w:ascii="Times New Roman" w:hAnsi="Times New Roman" w:cs="Times New Roman"/>
                <w:b/>
                <w:sz w:val="24"/>
              </w:rPr>
            </w:pPr>
            <w:r w:rsidRPr="00A3389E">
              <w:rPr>
                <w:rFonts w:ascii="Times New Roman" w:hAnsi="Times New Roman" w:cs="Times New Roman"/>
                <w:b/>
                <w:sz w:val="24"/>
              </w:rPr>
              <w:t>Hodnota pod prahovými hodnotami pre odpočítanie (podlieha rizikovej váhe 250</w:t>
            </w:r>
            <w:r w:rsidR="00A3389E">
              <w:rPr>
                <w:rFonts w:ascii="Times New Roman" w:hAnsi="Times New Roman" w:cs="Times New Roman"/>
                <w:b/>
                <w:sz w:val="24"/>
              </w:rPr>
              <w:t> %</w:t>
            </w:r>
            <w:r w:rsidRPr="00A3389E">
              <w:rPr>
                <w:rFonts w:ascii="Times New Roman" w:hAnsi="Times New Roman" w:cs="Times New Roman"/>
                <w:b/>
                <w:sz w:val="24"/>
              </w:rPr>
              <w:t>)</w:t>
            </w:r>
          </w:p>
          <w:p w14:paraId="2A67FBCB" w14:textId="602D55C2" w:rsidR="00355D90" w:rsidRPr="00A3389E" w:rsidRDefault="00355D90" w:rsidP="001C2D18">
            <w:pPr>
              <w:spacing w:before="60" w:after="120"/>
              <w:jc w:val="both"/>
              <w:rPr>
                <w:rFonts w:ascii="Times New Roman" w:hAnsi="Times New Roman" w:cs="Times New Roman"/>
                <w:sz w:val="24"/>
              </w:rPr>
            </w:pPr>
            <w:r w:rsidRPr="00A3389E">
              <w:rPr>
                <w:rFonts w:ascii="Times New Roman" w:hAnsi="Times New Roman" w:cs="Times New Roman"/>
                <w:sz w:val="24"/>
              </w:rPr>
              <w:t>Hodnota zodpovedá súčtu hodnôt položiek, na ktoré sa uplatňuje riziková váha 250</w:t>
            </w:r>
            <w:r w:rsidR="00A3389E">
              <w:rPr>
                <w:rFonts w:ascii="Times New Roman" w:hAnsi="Times New Roman" w:cs="Times New Roman"/>
                <w:sz w:val="24"/>
              </w:rPr>
              <w:t> %</w:t>
            </w:r>
            <w:r w:rsidRPr="00A3389E">
              <w:rPr>
                <w:rFonts w:ascii="Times New Roman" w:hAnsi="Times New Roman" w:cs="Times New Roman"/>
                <w:sz w:val="24"/>
              </w:rPr>
              <w:t xml:space="preserve"> uvedená</w:t>
            </w:r>
            <w:r w:rsidR="00A3389E">
              <w:rPr>
                <w:rFonts w:ascii="Times New Roman" w:hAnsi="Times New Roman" w:cs="Times New Roman"/>
                <w:sz w:val="24"/>
              </w:rPr>
              <w:t xml:space="preserve"> v </w:t>
            </w:r>
            <w:r w:rsidRPr="00A3389E">
              <w:rPr>
                <w:rFonts w:ascii="Times New Roman" w:hAnsi="Times New Roman" w:cs="Times New Roman"/>
                <w:sz w:val="24"/>
              </w:rPr>
              <w:t>článku 48 ods. 4 CRR, po uplatnení rizikovej váhy 250</w:t>
            </w:r>
            <w:r w:rsidR="00A3389E">
              <w:rPr>
                <w:rFonts w:ascii="Times New Roman" w:hAnsi="Times New Roman" w:cs="Times New Roman"/>
                <w:sz w:val="24"/>
              </w:rPr>
              <w:t> %</w:t>
            </w:r>
            <w:r w:rsidRPr="00A3389E">
              <w:rPr>
                <w:rFonts w:ascii="Times New Roman" w:hAnsi="Times New Roman" w:cs="Times New Roman"/>
                <w:sz w:val="24"/>
              </w:rPr>
              <w:t>. Tieto hodnoty zahŕňajú:</w:t>
            </w:r>
          </w:p>
          <w:p w14:paraId="7233691E" w14:textId="1BFBC856" w:rsidR="00355D90" w:rsidRPr="00A3389E" w:rsidRDefault="00A3389E" w:rsidP="00A3389E">
            <w:pPr>
              <w:spacing w:before="60" w:after="120"/>
              <w:ind w:left="720" w:hanging="360"/>
              <w:jc w:val="both"/>
              <w:rPr>
                <w:rFonts w:ascii="Times New Roman" w:hAnsi="Times New Roman"/>
                <w:sz w:val="24"/>
              </w:rPr>
            </w:pPr>
            <w:r w:rsidRPr="00A3389E">
              <w:rPr>
                <w:rFonts w:ascii="Times New Roman" w:hAnsi="Times New Roman" w:cs="Times New Roman"/>
                <w:sz w:val="24"/>
                <w:szCs w:val="22"/>
              </w:rPr>
              <w:t>-</w:t>
            </w:r>
            <w:r w:rsidRPr="00A3389E">
              <w:rPr>
                <w:rFonts w:ascii="Times New Roman" w:hAnsi="Times New Roman" w:cs="Times New Roman"/>
                <w:sz w:val="24"/>
                <w:szCs w:val="22"/>
              </w:rPr>
              <w:tab/>
            </w:r>
            <w:r w:rsidR="00355D90" w:rsidRPr="00A3389E">
              <w:rPr>
                <w:rFonts w:ascii="Times New Roman" w:hAnsi="Times New Roman"/>
                <w:sz w:val="24"/>
              </w:rPr>
              <w:t>odložené daňové pohľadávky, ktoré sú závislé od budúcej ziskovosti</w:t>
            </w:r>
            <w:r>
              <w:rPr>
                <w:rFonts w:ascii="Times New Roman" w:hAnsi="Times New Roman"/>
                <w:sz w:val="24"/>
              </w:rPr>
              <w:t xml:space="preserve"> a </w:t>
            </w:r>
            <w:r w:rsidR="00355D90" w:rsidRPr="00A3389E">
              <w:rPr>
                <w:rFonts w:ascii="Times New Roman" w:hAnsi="Times New Roman"/>
                <w:sz w:val="24"/>
              </w:rPr>
              <w:t>vyplývajú</w:t>
            </w:r>
            <w:r>
              <w:rPr>
                <w:rFonts w:ascii="Times New Roman" w:hAnsi="Times New Roman"/>
                <w:sz w:val="24"/>
              </w:rPr>
              <w:t xml:space="preserve"> z </w:t>
            </w:r>
            <w:r w:rsidR="00355D90" w:rsidRPr="00A3389E">
              <w:rPr>
                <w:rFonts w:ascii="Times New Roman" w:hAnsi="Times New Roman"/>
                <w:sz w:val="24"/>
              </w:rPr>
              <w:t>dočasných rozdielov, pričom</w:t>
            </w:r>
            <w:r>
              <w:rPr>
                <w:rFonts w:ascii="Times New Roman" w:hAnsi="Times New Roman"/>
                <w:sz w:val="24"/>
              </w:rPr>
              <w:t xml:space="preserve"> v </w:t>
            </w:r>
            <w:r w:rsidR="00355D90" w:rsidRPr="00A3389E">
              <w:rPr>
                <w:rFonts w:ascii="Times New Roman" w:hAnsi="Times New Roman"/>
                <w:sz w:val="24"/>
              </w:rPr>
              <w:t>súhrne sa rovnajú alebo sú nižšie ako 10</w:t>
            </w:r>
            <w:r>
              <w:rPr>
                <w:rFonts w:ascii="Times New Roman" w:hAnsi="Times New Roman"/>
                <w:sz w:val="24"/>
              </w:rPr>
              <w:t> %</w:t>
            </w:r>
            <w:r w:rsidR="00355D90" w:rsidRPr="00A3389E">
              <w:rPr>
                <w:rFonts w:ascii="Times New Roman" w:hAnsi="Times New Roman"/>
                <w:sz w:val="24"/>
              </w:rPr>
              <w:t xml:space="preserve"> položiek vlastného kapitálu Tier 1 inštitúcie vypočítaných</w:t>
            </w:r>
            <w:r>
              <w:rPr>
                <w:rFonts w:ascii="Times New Roman" w:hAnsi="Times New Roman"/>
                <w:sz w:val="24"/>
              </w:rPr>
              <w:t xml:space="preserve"> v </w:t>
            </w:r>
            <w:r w:rsidR="00355D90" w:rsidRPr="00A3389E">
              <w:rPr>
                <w:rFonts w:ascii="Times New Roman" w:hAnsi="Times New Roman"/>
                <w:sz w:val="24"/>
              </w:rPr>
              <w:t>súlade</w:t>
            </w:r>
            <w:r>
              <w:rPr>
                <w:rFonts w:ascii="Times New Roman" w:hAnsi="Times New Roman"/>
                <w:sz w:val="24"/>
              </w:rPr>
              <w:t xml:space="preserve"> s </w:t>
            </w:r>
            <w:r w:rsidR="00355D90" w:rsidRPr="00A3389E">
              <w:rPr>
                <w:rFonts w:ascii="Times New Roman" w:hAnsi="Times New Roman"/>
                <w:sz w:val="24"/>
              </w:rPr>
              <w:t>článkom 48 ods. 1 písm. a) CRR,</w:t>
            </w:r>
          </w:p>
          <w:p w14:paraId="3954A3F4" w14:textId="56A20164" w:rsidR="00355D90" w:rsidRPr="00A3389E" w:rsidRDefault="00A3389E" w:rsidP="00A3389E">
            <w:pPr>
              <w:spacing w:before="60" w:after="120"/>
              <w:ind w:left="720" w:hanging="360"/>
              <w:jc w:val="both"/>
              <w:rPr>
                <w:rFonts w:ascii="Times New Roman" w:hAnsi="Times New Roman"/>
                <w:sz w:val="24"/>
              </w:rPr>
            </w:pPr>
            <w:r w:rsidRPr="00A3389E">
              <w:rPr>
                <w:rFonts w:ascii="Times New Roman" w:hAnsi="Times New Roman" w:cs="Times New Roman"/>
                <w:sz w:val="24"/>
                <w:szCs w:val="22"/>
              </w:rPr>
              <w:t>-</w:t>
            </w:r>
            <w:r w:rsidRPr="00A3389E">
              <w:rPr>
                <w:rFonts w:ascii="Times New Roman" w:hAnsi="Times New Roman" w:cs="Times New Roman"/>
                <w:sz w:val="24"/>
                <w:szCs w:val="22"/>
              </w:rPr>
              <w:tab/>
            </w:r>
            <w:r w:rsidR="00355D90" w:rsidRPr="00A3389E">
              <w:rPr>
                <w:rFonts w:ascii="Times New Roman" w:hAnsi="Times New Roman"/>
                <w:sz w:val="24"/>
              </w:rPr>
              <w:t>významné investície</w:t>
            </w:r>
            <w:r>
              <w:rPr>
                <w:rFonts w:ascii="Times New Roman" w:hAnsi="Times New Roman"/>
                <w:sz w:val="24"/>
              </w:rPr>
              <w:t xml:space="preserve"> v </w:t>
            </w:r>
            <w:r w:rsidR="00355D90" w:rsidRPr="00A3389E">
              <w:rPr>
                <w:rFonts w:ascii="Times New Roman" w:hAnsi="Times New Roman"/>
                <w:sz w:val="24"/>
              </w:rPr>
              <w:t>subjekte finančného sektora, priame, nepriame</w:t>
            </w:r>
            <w:r>
              <w:rPr>
                <w:rFonts w:ascii="Times New Roman" w:hAnsi="Times New Roman"/>
                <w:sz w:val="24"/>
              </w:rPr>
              <w:t xml:space="preserve"> a </w:t>
            </w:r>
            <w:r w:rsidR="00355D90" w:rsidRPr="00A3389E">
              <w:rPr>
                <w:rFonts w:ascii="Times New Roman" w:hAnsi="Times New Roman"/>
                <w:sz w:val="24"/>
              </w:rPr>
              <w:t>syntetické podiely tejto inštitúcie</w:t>
            </w:r>
            <w:r>
              <w:rPr>
                <w:rFonts w:ascii="Times New Roman" w:hAnsi="Times New Roman"/>
                <w:sz w:val="24"/>
              </w:rPr>
              <w:t xml:space="preserve"> v </w:t>
            </w:r>
            <w:r w:rsidR="00355D90" w:rsidRPr="00A3389E">
              <w:rPr>
                <w:rFonts w:ascii="Times New Roman" w:hAnsi="Times New Roman"/>
                <w:sz w:val="24"/>
              </w:rPr>
              <w:t>nástrojoch vlastného kapitálu Tier 1 uvedených subjektov, ktoré sa</w:t>
            </w:r>
            <w:r>
              <w:rPr>
                <w:rFonts w:ascii="Times New Roman" w:hAnsi="Times New Roman"/>
                <w:sz w:val="24"/>
              </w:rPr>
              <w:t xml:space="preserve"> v </w:t>
            </w:r>
            <w:r w:rsidR="00355D90" w:rsidRPr="00A3389E">
              <w:rPr>
                <w:rFonts w:ascii="Times New Roman" w:hAnsi="Times New Roman"/>
                <w:sz w:val="24"/>
              </w:rPr>
              <w:t xml:space="preserve">súhrne rovnajú alebo sú nižšie </w:t>
            </w:r>
            <w:r w:rsidR="00355D90" w:rsidRPr="00A3389E">
              <w:rPr>
                <w:rFonts w:ascii="Times New Roman" w:hAnsi="Times New Roman"/>
                <w:sz w:val="24"/>
              </w:rPr>
              <w:lastRenderedPageBreak/>
              <w:t>ako 10</w:t>
            </w:r>
            <w:r>
              <w:rPr>
                <w:rFonts w:ascii="Times New Roman" w:hAnsi="Times New Roman"/>
                <w:sz w:val="24"/>
              </w:rPr>
              <w:t> %</w:t>
            </w:r>
            <w:r w:rsidR="00355D90" w:rsidRPr="00A3389E">
              <w:rPr>
                <w:rFonts w:ascii="Times New Roman" w:hAnsi="Times New Roman"/>
                <w:sz w:val="24"/>
              </w:rPr>
              <w:t xml:space="preserve"> položiek vlastného kapitálu Tier 1 inštitúcie vypočítaných</w:t>
            </w:r>
            <w:r>
              <w:rPr>
                <w:rFonts w:ascii="Times New Roman" w:hAnsi="Times New Roman"/>
                <w:sz w:val="24"/>
              </w:rPr>
              <w:t xml:space="preserve"> v </w:t>
            </w:r>
            <w:r w:rsidR="00355D90" w:rsidRPr="00A3389E">
              <w:rPr>
                <w:rFonts w:ascii="Times New Roman" w:hAnsi="Times New Roman"/>
                <w:sz w:val="24"/>
              </w:rPr>
              <w:t>súlade</w:t>
            </w:r>
            <w:r>
              <w:rPr>
                <w:rFonts w:ascii="Times New Roman" w:hAnsi="Times New Roman"/>
                <w:sz w:val="24"/>
              </w:rPr>
              <w:t xml:space="preserve"> s </w:t>
            </w:r>
            <w:r w:rsidR="00355D90" w:rsidRPr="00A3389E">
              <w:rPr>
                <w:rFonts w:ascii="Times New Roman" w:hAnsi="Times New Roman"/>
                <w:sz w:val="24"/>
              </w:rPr>
              <w:t>článkom 48 ods. 1 písm. b) CRR.</w:t>
            </w:r>
          </w:p>
          <w:p w14:paraId="6B4CA360" w14:textId="398894B4" w:rsidR="00355D90" w:rsidRPr="00A3389E" w:rsidRDefault="00355D90" w:rsidP="00544FF5">
            <w:pPr>
              <w:spacing w:before="60" w:after="120"/>
              <w:jc w:val="both"/>
              <w:rPr>
                <w:rFonts w:ascii="Times New Roman" w:hAnsi="Times New Roman" w:cs="Times New Roman"/>
                <w:sz w:val="24"/>
              </w:rPr>
            </w:pPr>
            <w:r w:rsidRPr="00A3389E">
              <w:rPr>
                <w:rFonts w:ascii="Times New Roman" w:hAnsi="Times New Roman" w:cs="Times New Roman"/>
                <w:sz w:val="24"/>
              </w:rPr>
              <w:t>Informácie sa</w:t>
            </w:r>
            <w:r w:rsidR="00A3389E">
              <w:rPr>
                <w:rFonts w:ascii="Times New Roman" w:hAnsi="Times New Roman" w:cs="Times New Roman"/>
                <w:sz w:val="24"/>
              </w:rPr>
              <w:t xml:space="preserve"> v </w:t>
            </w:r>
            <w:r w:rsidRPr="00A3389E">
              <w:rPr>
                <w:rFonts w:ascii="Times New Roman" w:hAnsi="Times New Roman" w:cs="Times New Roman"/>
                <w:sz w:val="24"/>
              </w:rPr>
              <w:t>tomto riadku zverejňujú len na informačné účely, keďže tu zahrnutá hodnota je zahrnutá aj</w:t>
            </w:r>
            <w:r w:rsidR="00A3389E">
              <w:rPr>
                <w:rFonts w:ascii="Times New Roman" w:hAnsi="Times New Roman" w:cs="Times New Roman"/>
                <w:sz w:val="24"/>
              </w:rPr>
              <w:t xml:space="preserve"> v </w:t>
            </w:r>
            <w:r w:rsidRPr="00A3389E">
              <w:rPr>
                <w:rFonts w:ascii="Times New Roman" w:hAnsi="Times New Roman" w:cs="Times New Roman"/>
                <w:sz w:val="24"/>
              </w:rPr>
              <w:t>riadku 1,</w:t>
            </w:r>
            <w:r w:rsidR="00A3389E">
              <w:rPr>
                <w:rFonts w:ascii="Times New Roman" w:hAnsi="Times New Roman" w:cs="Times New Roman"/>
                <w:sz w:val="24"/>
              </w:rPr>
              <w:t xml:space="preserve"> v </w:t>
            </w:r>
            <w:r w:rsidRPr="00A3389E">
              <w:rPr>
                <w:rFonts w:ascii="Times New Roman" w:hAnsi="Times New Roman" w:cs="Times New Roman"/>
                <w:sz w:val="24"/>
              </w:rPr>
              <w:t>ktorom sa od inštitúcií žiada, aby zverejňovali informácie</w:t>
            </w:r>
            <w:r w:rsidR="00A3389E">
              <w:rPr>
                <w:rFonts w:ascii="Times New Roman" w:hAnsi="Times New Roman" w:cs="Times New Roman"/>
                <w:sz w:val="24"/>
              </w:rPr>
              <w:t xml:space="preserve"> o </w:t>
            </w:r>
            <w:r w:rsidRPr="00A3389E">
              <w:rPr>
                <w:rFonts w:ascii="Times New Roman" w:hAnsi="Times New Roman" w:cs="Times New Roman"/>
                <w:sz w:val="24"/>
              </w:rPr>
              <w:t>kreditnom riziku.</w:t>
            </w:r>
          </w:p>
        </w:tc>
      </w:tr>
      <w:tr w:rsidR="00601608" w:rsidRPr="00A3389E" w14:paraId="44743B38" w14:textId="77777777" w:rsidTr="009251B5">
        <w:trPr>
          <w:trHeight w:val="557"/>
        </w:trPr>
        <w:tc>
          <w:tcPr>
            <w:tcW w:w="1384" w:type="dxa"/>
          </w:tcPr>
          <w:p w14:paraId="72BF5F76" w14:textId="77777777" w:rsidR="00601608" w:rsidRPr="00A3389E" w:rsidRDefault="00601608" w:rsidP="00601608">
            <w:pPr>
              <w:pStyle w:val="Applicationdirecte"/>
              <w:spacing w:before="60"/>
              <w:jc w:val="center"/>
              <w:rPr>
                <w:color w:val="000000"/>
              </w:rPr>
            </w:pPr>
            <w:r w:rsidRPr="00A3389E">
              <w:lastRenderedPageBreak/>
              <w:t>25</w:t>
            </w:r>
          </w:p>
        </w:tc>
        <w:tc>
          <w:tcPr>
            <w:tcW w:w="7655" w:type="dxa"/>
          </w:tcPr>
          <w:p w14:paraId="32BE2A94" w14:textId="4E39366D" w:rsidR="00601608" w:rsidRPr="00A3389E" w:rsidRDefault="00601608" w:rsidP="00601608">
            <w:pPr>
              <w:spacing w:before="60" w:after="120"/>
              <w:jc w:val="both"/>
              <w:rPr>
                <w:rFonts w:ascii="Times New Roman" w:hAnsi="Times New Roman" w:cs="Times New Roman"/>
                <w:sz w:val="24"/>
              </w:rPr>
            </w:pPr>
            <w:r w:rsidRPr="00A3389E">
              <w:rPr>
                <w:rFonts w:ascii="Times New Roman" w:hAnsi="Times New Roman" w:cs="Times New Roman"/>
                <w:sz w:val="24"/>
              </w:rPr>
              <w:t>Neuplatňuje sa</w:t>
            </w:r>
          </w:p>
        </w:tc>
      </w:tr>
      <w:tr w:rsidR="00601608" w:rsidRPr="00A3389E" w14:paraId="7B789CB1" w14:textId="77777777" w:rsidTr="009251B5">
        <w:trPr>
          <w:trHeight w:val="557"/>
        </w:trPr>
        <w:tc>
          <w:tcPr>
            <w:tcW w:w="1384" w:type="dxa"/>
          </w:tcPr>
          <w:p w14:paraId="3A10A9D0" w14:textId="77777777" w:rsidR="00601608" w:rsidRPr="00A3389E" w:rsidRDefault="00601608" w:rsidP="00601608">
            <w:pPr>
              <w:pStyle w:val="Applicationdirecte"/>
              <w:spacing w:before="60"/>
              <w:jc w:val="center"/>
              <w:rPr>
                <w:color w:val="000000"/>
              </w:rPr>
            </w:pPr>
            <w:r w:rsidRPr="00A3389E">
              <w:t>26</w:t>
            </w:r>
          </w:p>
        </w:tc>
        <w:tc>
          <w:tcPr>
            <w:tcW w:w="7655" w:type="dxa"/>
          </w:tcPr>
          <w:p w14:paraId="2C4F5B91" w14:textId="39505F9F" w:rsidR="00601608" w:rsidRPr="00A3389E" w:rsidRDefault="00601608" w:rsidP="00601608">
            <w:pPr>
              <w:spacing w:before="60" w:after="120"/>
              <w:jc w:val="both"/>
              <w:rPr>
                <w:rFonts w:ascii="Times New Roman" w:hAnsi="Times New Roman" w:cs="Times New Roman"/>
                <w:sz w:val="24"/>
              </w:rPr>
            </w:pPr>
            <w:r w:rsidRPr="00A3389E">
              <w:rPr>
                <w:rFonts w:ascii="Times New Roman" w:hAnsi="Times New Roman" w:cs="Times New Roman"/>
                <w:sz w:val="24"/>
              </w:rPr>
              <w:t>Neuplatňuje sa</w:t>
            </w:r>
          </w:p>
        </w:tc>
      </w:tr>
      <w:tr w:rsidR="00601608" w:rsidRPr="00A3389E" w14:paraId="48F5EA99" w14:textId="77777777" w:rsidTr="00B2180A">
        <w:trPr>
          <w:trHeight w:val="557"/>
        </w:trPr>
        <w:tc>
          <w:tcPr>
            <w:tcW w:w="1384" w:type="dxa"/>
          </w:tcPr>
          <w:p w14:paraId="5D203C64" w14:textId="77777777" w:rsidR="00601608" w:rsidRPr="00A3389E" w:rsidRDefault="00601608" w:rsidP="00601608">
            <w:pPr>
              <w:pStyle w:val="Applicationdirecte"/>
              <w:spacing w:before="60"/>
              <w:jc w:val="center"/>
            </w:pPr>
            <w:r w:rsidRPr="00A3389E">
              <w:t>27</w:t>
            </w:r>
          </w:p>
        </w:tc>
        <w:tc>
          <w:tcPr>
            <w:tcW w:w="7655" w:type="dxa"/>
          </w:tcPr>
          <w:p w14:paraId="38B9BF8A" w14:textId="68B53587" w:rsidR="00601608" w:rsidRPr="00A3389E" w:rsidRDefault="00601608" w:rsidP="00601608">
            <w:pPr>
              <w:spacing w:before="60" w:after="120"/>
              <w:jc w:val="both"/>
              <w:rPr>
                <w:rFonts w:ascii="Times New Roman" w:hAnsi="Times New Roman" w:cs="Times New Roman"/>
                <w:sz w:val="24"/>
              </w:rPr>
            </w:pPr>
            <w:r w:rsidRPr="00A3389E">
              <w:rPr>
                <w:rFonts w:ascii="Times New Roman" w:hAnsi="Times New Roman" w:cs="Times New Roman"/>
                <w:sz w:val="24"/>
              </w:rPr>
              <w:t>Neuplatňuje sa</w:t>
            </w:r>
          </w:p>
        </w:tc>
      </w:tr>
      <w:tr w:rsidR="00601608" w:rsidRPr="00A3389E" w14:paraId="294AC974" w14:textId="77777777" w:rsidTr="00B2180A">
        <w:trPr>
          <w:trHeight w:val="557"/>
        </w:trPr>
        <w:tc>
          <w:tcPr>
            <w:tcW w:w="1384" w:type="dxa"/>
          </w:tcPr>
          <w:p w14:paraId="1D35C4C7" w14:textId="77777777" w:rsidR="00601608" w:rsidRPr="00A3389E" w:rsidRDefault="00601608" w:rsidP="00601608">
            <w:pPr>
              <w:pStyle w:val="Applicationdirecte"/>
              <w:spacing w:before="60"/>
              <w:jc w:val="center"/>
            </w:pPr>
            <w:r w:rsidRPr="00A3389E">
              <w:t>28</w:t>
            </w:r>
          </w:p>
        </w:tc>
        <w:tc>
          <w:tcPr>
            <w:tcW w:w="7655" w:type="dxa"/>
          </w:tcPr>
          <w:p w14:paraId="32CACDED" w14:textId="7AA9EE6F" w:rsidR="00601608" w:rsidRPr="00A3389E" w:rsidRDefault="00601608" w:rsidP="00601608">
            <w:pPr>
              <w:spacing w:before="60" w:after="120"/>
              <w:jc w:val="both"/>
              <w:rPr>
                <w:rFonts w:ascii="Times New Roman" w:hAnsi="Times New Roman" w:cs="Times New Roman"/>
                <w:sz w:val="24"/>
              </w:rPr>
            </w:pPr>
            <w:r w:rsidRPr="00A3389E">
              <w:rPr>
                <w:rFonts w:ascii="Times New Roman" w:hAnsi="Times New Roman" w:cs="Times New Roman"/>
                <w:sz w:val="24"/>
              </w:rPr>
              <w:t>Neuplatňuje sa</w:t>
            </w:r>
          </w:p>
        </w:tc>
      </w:tr>
      <w:tr w:rsidR="00FA1376" w:rsidRPr="00A3389E" w14:paraId="1FD0EA38" w14:textId="77777777" w:rsidTr="00B2180A">
        <w:trPr>
          <w:trHeight w:val="557"/>
        </w:trPr>
        <w:tc>
          <w:tcPr>
            <w:tcW w:w="1384" w:type="dxa"/>
            <w:vAlign w:val="center"/>
          </w:tcPr>
          <w:p w14:paraId="351F1E24" w14:textId="77777777" w:rsidR="00FA1376" w:rsidRPr="00A3389E" w:rsidRDefault="00FA1376" w:rsidP="00FA1376">
            <w:pPr>
              <w:pStyle w:val="Applicationdirecte"/>
              <w:spacing w:before="60"/>
              <w:jc w:val="center"/>
            </w:pPr>
            <w:r w:rsidRPr="00A3389E">
              <w:rPr>
                <w:color w:val="000000"/>
              </w:rPr>
              <w:t>29</w:t>
            </w:r>
          </w:p>
        </w:tc>
        <w:tc>
          <w:tcPr>
            <w:tcW w:w="7655" w:type="dxa"/>
          </w:tcPr>
          <w:p w14:paraId="05D40AFF" w14:textId="77777777" w:rsidR="00FA1376" w:rsidRPr="00A3389E" w:rsidRDefault="00FA1376" w:rsidP="00FA1376">
            <w:pPr>
              <w:spacing w:before="60" w:after="120"/>
              <w:jc w:val="both"/>
              <w:rPr>
                <w:rFonts w:ascii="Times New Roman" w:hAnsi="Times New Roman" w:cs="Times New Roman"/>
                <w:b/>
                <w:sz w:val="24"/>
              </w:rPr>
            </w:pPr>
            <w:r w:rsidRPr="00A3389E">
              <w:rPr>
                <w:rFonts w:ascii="Times New Roman" w:hAnsi="Times New Roman" w:cs="Times New Roman"/>
                <w:b/>
                <w:sz w:val="24"/>
              </w:rPr>
              <w:t>Spolu</w:t>
            </w:r>
          </w:p>
          <w:p w14:paraId="32B689CA" w14:textId="54DD46E7" w:rsidR="00FA1376" w:rsidRPr="00A3389E" w:rsidRDefault="00FA1376" w:rsidP="00601608">
            <w:pPr>
              <w:spacing w:before="60" w:after="120"/>
              <w:jc w:val="both"/>
              <w:rPr>
                <w:rFonts w:ascii="Times New Roman" w:hAnsi="Times New Roman" w:cs="Times New Roman"/>
                <w:sz w:val="24"/>
              </w:rPr>
            </w:pPr>
            <w:r w:rsidRPr="00A3389E">
              <w:rPr>
                <w:rFonts w:ascii="Times New Roman" w:hAnsi="Times New Roman" w:cs="Times New Roman"/>
                <w:sz w:val="24"/>
              </w:rPr>
              <w:t>Celková hodnota rizikovej expozície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3</w:t>
            </w:r>
            <w:r w:rsidR="00A3389E">
              <w:rPr>
                <w:rFonts w:ascii="Times New Roman" w:hAnsi="Times New Roman" w:cs="Times New Roman"/>
                <w:sz w:val="24"/>
              </w:rPr>
              <w:t xml:space="preserve"> a </w:t>
            </w:r>
            <w:r w:rsidRPr="00A3389E">
              <w:rPr>
                <w:rFonts w:ascii="Times New Roman" w:hAnsi="Times New Roman" w:cs="Times New Roman"/>
                <w:sz w:val="24"/>
              </w:rPr>
              <w:t>článkami 95, 96</w:t>
            </w:r>
            <w:r w:rsidR="00A3389E">
              <w:rPr>
                <w:rFonts w:ascii="Times New Roman" w:hAnsi="Times New Roman" w:cs="Times New Roman"/>
                <w:sz w:val="24"/>
              </w:rPr>
              <w:t xml:space="preserve"> a </w:t>
            </w:r>
            <w:r w:rsidRPr="00A3389E">
              <w:rPr>
                <w:rFonts w:ascii="Times New Roman" w:hAnsi="Times New Roman" w:cs="Times New Roman"/>
                <w:sz w:val="24"/>
              </w:rPr>
              <w:t>98 CRR.</w:t>
            </w:r>
          </w:p>
        </w:tc>
      </w:tr>
    </w:tbl>
    <w:p w14:paraId="2CB62609" w14:textId="77777777" w:rsidR="00C41C25" w:rsidRPr="00A3389E" w:rsidRDefault="00C41C25" w:rsidP="00A60806">
      <w:pPr>
        <w:pStyle w:val="Titlelevel2"/>
        <w:spacing w:before="0" w:after="0"/>
        <w:rPr>
          <w:rFonts w:ascii="Times New Roman" w:hAnsi="Times New Roman" w:cs="Times New Roman"/>
          <w:b/>
          <w:color w:val="auto"/>
          <w:sz w:val="24"/>
        </w:rPr>
      </w:pPr>
    </w:p>
    <w:p w14:paraId="62DDE9E1" w14:textId="77777777" w:rsidR="00501CEC" w:rsidRPr="00A3389E" w:rsidRDefault="00BD36EC" w:rsidP="00501CEC">
      <w:pPr>
        <w:pStyle w:val="Titlelevel2"/>
        <w:spacing w:before="120" w:after="120"/>
        <w:rPr>
          <w:rFonts w:ascii="Times New Roman" w:hAnsi="Times New Roman" w:cs="Times New Roman"/>
          <w:color w:val="auto"/>
          <w:sz w:val="24"/>
        </w:rPr>
      </w:pPr>
      <w:r w:rsidRPr="00A3389E">
        <w:rPr>
          <w:rFonts w:ascii="Times New Roman" w:hAnsi="Times New Roman" w:cs="Times New Roman"/>
          <w:b/>
          <w:color w:val="auto"/>
          <w:sz w:val="24"/>
        </w:rPr>
        <w:t xml:space="preserve">Vzor EU KM1 – Vzor kľúčových parametrov. </w:t>
      </w:r>
      <w:r w:rsidRPr="00A3389E">
        <w:rPr>
          <w:rFonts w:ascii="Times New Roman" w:hAnsi="Times New Roman" w:cs="Times New Roman"/>
          <w:color w:val="auto"/>
          <w:sz w:val="24"/>
        </w:rPr>
        <w:t>Pevný formát</w:t>
      </w:r>
    </w:p>
    <w:p w14:paraId="3394DDC1" w14:textId="41E33979" w:rsidR="00A919FB" w:rsidRPr="00A3389E" w:rsidRDefault="00A3389E" w:rsidP="00A3389E">
      <w:pPr>
        <w:pStyle w:val="Titlelevel2"/>
        <w:spacing w:before="120" w:after="120"/>
        <w:ind w:left="720" w:hanging="360"/>
        <w:rPr>
          <w:rFonts w:ascii="Times New Roman" w:hAnsi="Times New Roman" w:cs="Times New Roman"/>
          <w:b/>
          <w:color w:val="auto"/>
          <w:sz w:val="24"/>
        </w:rPr>
      </w:pPr>
      <w:r w:rsidRPr="00A3389E">
        <w:rPr>
          <w:rFonts w:ascii="Times New Roman" w:hAnsi="Times New Roman" w:cs="Times New Roman"/>
          <w:b/>
          <w:color w:val="auto"/>
          <w:sz w:val="24"/>
        </w:rPr>
        <w:t>3.</w:t>
      </w:r>
      <w:r w:rsidRPr="00A3389E">
        <w:rPr>
          <w:rFonts w:ascii="Times New Roman" w:hAnsi="Times New Roman" w:cs="Times New Roman"/>
          <w:b/>
          <w:color w:val="auto"/>
          <w:sz w:val="24"/>
        </w:rPr>
        <w:tab/>
      </w:r>
      <w:r w:rsidR="00C41C25" w:rsidRPr="00A3389E">
        <w:rPr>
          <w:rFonts w:ascii="Times New Roman" w:hAnsi="Times New Roman" w:cs="Times New Roman"/>
          <w:bCs w:val="0"/>
          <w:color w:val="000000"/>
          <w:sz w:val="24"/>
        </w:rPr>
        <w:t>Inštitúcie uplatňujú pokyny uvedené nižšie</w:t>
      </w:r>
      <w:r>
        <w:rPr>
          <w:rFonts w:ascii="Times New Roman" w:hAnsi="Times New Roman" w:cs="Times New Roman"/>
          <w:bCs w:val="0"/>
          <w:color w:val="000000"/>
          <w:sz w:val="24"/>
        </w:rPr>
        <w:t xml:space="preserve"> v </w:t>
      </w:r>
      <w:r w:rsidR="00C41C25" w:rsidRPr="00A3389E">
        <w:rPr>
          <w:rFonts w:ascii="Times New Roman" w:hAnsi="Times New Roman" w:cs="Times New Roman"/>
          <w:bCs w:val="0"/>
          <w:color w:val="000000"/>
          <w:sz w:val="24"/>
        </w:rPr>
        <w:t>tejto prílohe na vyplnenie vzoru EU KM1, ako sa uvádza</w:t>
      </w:r>
      <w:r>
        <w:rPr>
          <w:rFonts w:ascii="Times New Roman" w:hAnsi="Times New Roman" w:cs="Times New Roman"/>
          <w:bCs w:val="0"/>
          <w:color w:val="000000"/>
          <w:sz w:val="24"/>
        </w:rPr>
        <w:t xml:space="preserve"> v </w:t>
      </w:r>
      <w:r w:rsidR="00C41C25" w:rsidRPr="00A3389E">
        <w:rPr>
          <w:rFonts w:ascii="Times New Roman" w:hAnsi="Times New Roman" w:cs="Times New Roman"/>
          <w:bCs w:val="0"/>
          <w:color w:val="000000"/>
          <w:sz w:val="24"/>
        </w:rPr>
        <w:t>prílohe I</w:t>
      </w:r>
      <w:r>
        <w:rPr>
          <w:rFonts w:ascii="Times New Roman" w:hAnsi="Times New Roman" w:cs="Times New Roman"/>
          <w:bCs w:val="0"/>
          <w:color w:val="000000"/>
          <w:sz w:val="24"/>
        </w:rPr>
        <w:t xml:space="preserve"> k </w:t>
      </w:r>
      <w:r w:rsidR="00C41C25" w:rsidRPr="00A3389E">
        <w:rPr>
          <w:rFonts w:ascii="Times New Roman" w:hAnsi="Times New Roman" w:cs="Times New Roman"/>
          <w:bCs w:val="0"/>
          <w:color w:val="000000"/>
          <w:sz w:val="24"/>
        </w:rPr>
        <w:t>tomuto vykonávaciemu nariadeniu, pričom uplatňujú článok 447 písm. a) až g) CRR</w:t>
      </w:r>
      <w:r>
        <w:rPr>
          <w:rFonts w:ascii="Times New Roman" w:hAnsi="Times New Roman" w:cs="Times New Roman"/>
          <w:bCs w:val="0"/>
          <w:color w:val="000000"/>
          <w:sz w:val="24"/>
        </w:rPr>
        <w:t xml:space="preserve"> a </w:t>
      </w:r>
      <w:r w:rsidR="00C41C25" w:rsidRPr="00A3389E">
        <w:rPr>
          <w:rFonts w:ascii="Times New Roman" w:hAnsi="Times New Roman" w:cs="Times New Roman"/>
          <w:bCs w:val="0"/>
          <w:color w:val="000000"/>
          <w:sz w:val="24"/>
        </w:rPr>
        <w:t>článok 438 písm. b) CRR.</w:t>
      </w:r>
      <w:r w:rsidR="00C41C25" w:rsidRPr="00A3389E">
        <w:rPr>
          <w:rFonts w:ascii="Times New Roman" w:hAnsi="Times New Roman" w:cs="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A3389E"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122B53C9" w:rsidR="00A919FB" w:rsidRPr="00A3389E" w:rsidRDefault="00A919FB" w:rsidP="00B2180A">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A919FB" w:rsidRPr="00A3389E" w14:paraId="00B30D91" w14:textId="77777777" w:rsidTr="00B2180A">
        <w:trPr>
          <w:trHeight w:val="238"/>
        </w:trPr>
        <w:tc>
          <w:tcPr>
            <w:tcW w:w="1384" w:type="dxa"/>
            <w:shd w:val="clear" w:color="auto" w:fill="D9D9D9" w:themeFill="background1" w:themeFillShade="D9"/>
          </w:tcPr>
          <w:p w14:paraId="0D2CF0F9" w14:textId="77777777" w:rsidR="00A919FB" w:rsidRPr="00A3389E" w:rsidRDefault="00A919FB" w:rsidP="00003BF5">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1025441F" w14:textId="77777777" w:rsidR="00A919FB" w:rsidRPr="00A3389E" w:rsidRDefault="00A919FB" w:rsidP="00B2180A">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A919FB" w:rsidRPr="00A3389E" w14:paraId="3B18CFED" w14:textId="77777777" w:rsidTr="00B2180A">
        <w:trPr>
          <w:trHeight w:val="680"/>
        </w:trPr>
        <w:tc>
          <w:tcPr>
            <w:tcW w:w="1384" w:type="dxa"/>
          </w:tcPr>
          <w:p w14:paraId="701C1EE8" w14:textId="77777777" w:rsidR="00A919FB" w:rsidRPr="00A3389E" w:rsidRDefault="00003BF5" w:rsidP="00B2180A">
            <w:pPr>
              <w:pStyle w:val="Applicationdirecte"/>
              <w:spacing w:before="60"/>
              <w:jc w:val="center"/>
            </w:pPr>
            <w:r w:rsidRPr="00A3389E">
              <w:t>a – e</w:t>
            </w:r>
          </w:p>
        </w:tc>
        <w:tc>
          <w:tcPr>
            <w:tcW w:w="7655" w:type="dxa"/>
            <w:vAlign w:val="center"/>
          </w:tcPr>
          <w:p w14:paraId="01DAA312" w14:textId="31A01A70" w:rsidR="00A919FB" w:rsidRPr="00A3389E" w:rsidRDefault="00187C4B" w:rsidP="00A919FB">
            <w:pPr>
              <w:spacing w:before="60" w:after="120"/>
              <w:jc w:val="both"/>
              <w:rPr>
                <w:rFonts w:ascii="Times New Roman" w:hAnsi="Times New Roman" w:cs="Times New Roman"/>
                <w:sz w:val="24"/>
              </w:rPr>
            </w:pPr>
            <w:r w:rsidRPr="00A3389E">
              <w:rPr>
                <w:rFonts w:ascii="Times New Roman" w:hAnsi="Times New Roman" w:cs="Times New Roman"/>
                <w:sz w:val="24"/>
              </w:rPr>
              <w:t>Obdobia zverejňovania informácií T, T-1, T-2, T-3</w:t>
            </w:r>
            <w:r w:rsidR="00A3389E">
              <w:rPr>
                <w:rFonts w:ascii="Times New Roman" w:hAnsi="Times New Roman" w:cs="Times New Roman"/>
                <w:sz w:val="24"/>
              </w:rPr>
              <w:t xml:space="preserve"> a </w:t>
            </w:r>
            <w:r w:rsidRPr="00A3389E">
              <w:rPr>
                <w:rFonts w:ascii="Times New Roman" w:hAnsi="Times New Roman" w:cs="Times New Roman"/>
                <w:sz w:val="24"/>
              </w:rPr>
              <w:t>T-4 sú vymedzené ako štvrťročné obdobia</w:t>
            </w:r>
            <w:r w:rsidR="00A3389E">
              <w:rPr>
                <w:rFonts w:ascii="Times New Roman" w:hAnsi="Times New Roman" w:cs="Times New Roman"/>
                <w:sz w:val="24"/>
              </w:rPr>
              <w:t xml:space="preserve"> a </w:t>
            </w:r>
            <w:r w:rsidRPr="00A3389E">
              <w:rPr>
                <w:rFonts w:ascii="Times New Roman" w:hAnsi="Times New Roman" w:cs="Times New Roman"/>
                <w:sz w:val="24"/>
              </w:rPr>
              <w:t>vypĺňajú sa</w:t>
            </w:r>
            <w:r w:rsidR="00A3389E">
              <w:rPr>
                <w:rFonts w:ascii="Times New Roman" w:hAnsi="Times New Roman" w:cs="Times New Roman"/>
                <w:sz w:val="24"/>
              </w:rPr>
              <w:t xml:space="preserve"> v </w:t>
            </w:r>
            <w:r w:rsidRPr="00A3389E">
              <w:rPr>
                <w:rFonts w:ascii="Times New Roman" w:hAnsi="Times New Roman" w:cs="Times New Roman"/>
                <w:sz w:val="24"/>
              </w:rPr>
              <w:t>závislosti od frekvencie stanovenej</w:t>
            </w:r>
            <w:r w:rsidR="00A3389E">
              <w:rPr>
                <w:rFonts w:ascii="Times New Roman" w:hAnsi="Times New Roman" w:cs="Times New Roman"/>
                <w:sz w:val="24"/>
              </w:rPr>
              <w:t xml:space="preserve"> v </w:t>
            </w:r>
            <w:r w:rsidRPr="00A3389E">
              <w:rPr>
                <w:rFonts w:ascii="Times New Roman" w:hAnsi="Times New Roman" w:cs="Times New Roman"/>
                <w:sz w:val="24"/>
              </w:rPr>
              <w:t>článkoch 433a, 433b</w:t>
            </w:r>
            <w:r w:rsidR="00A3389E">
              <w:rPr>
                <w:rFonts w:ascii="Times New Roman" w:hAnsi="Times New Roman" w:cs="Times New Roman"/>
                <w:sz w:val="24"/>
              </w:rPr>
              <w:t xml:space="preserve"> a </w:t>
            </w:r>
            <w:r w:rsidRPr="00A3389E">
              <w:rPr>
                <w:rFonts w:ascii="Times New Roman" w:hAnsi="Times New Roman" w:cs="Times New Roman"/>
                <w:sz w:val="24"/>
              </w:rPr>
              <w:t>433c CRR.</w:t>
            </w:r>
          </w:p>
          <w:p w14:paraId="3BAEA110" w14:textId="42372FE2" w:rsidR="00A919FB" w:rsidRPr="00A3389E" w:rsidRDefault="00A919FB" w:rsidP="00A919FB">
            <w:pPr>
              <w:spacing w:before="60" w:after="120"/>
              <w:jc w:val="both"/>
              <w:rPr>
                <w:rFonts w:ascii="Times New Roman" w:hAnsi="Times New Roman" w:cs="Times New Roman"/>
                <w:sz w:val="24"/>
              </w:rPr>
            </w:pPr>
            <w:r w:rsidRPr="00A3389E">
              <w:rPr>
                <w:rFonts w:ascii="Times New Roman" w:hAnsi="Times New Roman" w:cs="Times New Roman"/>
                <w:sz w:val="24"/>
              </w:rPr>
              <w:t>Inštitúcie, ktoré zverejňujú informácie uvedené</w:t>
            </w:r>
            <w:r w:rsidR="00A3389E">
              <w:rPr>
                <w:rFonts w:ascii="Times New Roman" w:hAnsi="Times New Roman" w:cs="Times New Roman"/>
                <w:sz w:val="24"/>
              </w:rPr>
              <w:t xml:space="preserve"> v </w:t>
            </w:r>
            <w:r w:rsidRPr="00A3389E">
              <w:rPr>
                <w:rFonts w:ascii="Times New Roman" w:hAnsi="Times New Roman" w:cs="Times New Roman"/>
                <w:sz w:val="24"/>
              </w:rPr>
              <w:t>tomto vzore štvrťročne, uvádzajú údaje za obdobia T, T-1, T-2, T-3</w:t>
            </w:r>
            <w:r w:rsidR="00A3389E">
              <w:rPr>
                <w:rFonts w:ascii="Times New Roman" w:hAnsi="Times New Roman" w:cs="Times New Roman"/>
                <w:sz w:val="24"/>
              </w:rPr>
              <w:t xml:space="preserve"> a </w:t>
            </w:r>
            <w:r w:rsidRPr="00A3389E">
              <w:rPr>
                <w:rFonts w:ascii="Times New Roman" w:hAnsi="Times New Roman" w:cs="Times New Roman"/>
                <w:sz w:val="24"/>
              </w:rPr>
              <w:t>T-4; inštitúcie, ktoré zverejňujú informácie</w:t>
            </w:r>
            <w:r w:rsidR="00A3389E">
              <w:rPr>
                <w:rFonts w:ascii="Times New Roman" w:hAnsi="Times New Roman" w:cs="Times New Roman"/>
                <w:sz w:val="24"/>
              </w:rPr>
              <w:t xml:space="preserve"> v </w:t>
            </w:r>
            <w:r w:rsidRPr="00A3389E">
              <w:rPr>
                <w:rFonts w:ascii="Times New Roman" w:hAnsi="Times New Roman" w:cs="Times New Roman"/>
                <w:sz w:val="24"/>
              </w:rPr>
              <w:t>tomto vzore polročne, uvádzajú údaje za obdobia T, T-2</w:t>
            </w:r>
            <w:r w:rsidR="00A3389E">
              <w:rPr>
                <w:rFonts w:ascii="Times New Roman" w:hAnsi="Times New Roman" w:cs="Times New Roman"/>
                <w:sz w:val="24"/>
              </w:rPr>
              <w:t xml:space="preserve"> a </w:t>
            </w:r>
            <w:r w:rsidRPr="00A3389E">
              <w:rPr>
                <w:rFonts w:ascii="Times New Roman" w:hAnsi="Times New Roman" w:cs="Times New Roman"/>
                <w:sz w:val="24"/>
              </w:rPr>
              <w:t>T-4;</w:t>
            </w:r>
            <w:r w:rsidR="00A3389E">
              <w:rPr>
                <w:rFonts w:ascii="Times New Roman" w:hAnsi="Times New Roman" w:cs="Times New Roman"/>
                <w:sz w:val="24"/>
              </w:rPr>
              <w:t xml:space="preserve"> a </w:t>
            </w:r>
            <w:r w:rsidRPr="00A3389E">
              <w:rPr>
                <w:rFonts w:ascii="Times New Roman" w:hAnsi="Times New Roman" w:cs="Times New Roman"/>
                <w:sz w:val="24"/>
              </w:rPr>
              <w:t>inštitúcie, ktoré zverejňujú informácie</w:t>
            </w:r>
            <w:r w:rsidR="00A3389E">
              <w:rPr>
                <w:rFonts w:ascii="Times New Roman" w:hAnsi="Times New Roman" w:cs="Times New Roman"/>
                <w:sz w:val="24"/>
              </w:rPr>
              <w:t xml:space="preserve"> v </w:t>
            </w:r>
            <w:r w:rsidRPr="00A3389E">
              <w:rPr>
                <w:rFonts w:ascii="Times New Roman" w:hAnsi="Times New Roman" w:cs="Times New Roman"/>
                <w:sz w:val="24"/>
              </w:rPr>
              <w:t>tomto vzore raz ročne, uvádzajú údaje za obdobia T</w:t>
            </w:r>
            <w:r w:rsidR="00A3389E">
              <w:rPr>
                <w:rFonts w:ascii="Times New Roman" w:hAnsi="Times New Roman" w:cs="Times New Roman"/>
                <w:sz w:val="24"/>
              </w:rPr>
              <w:t xml:space="preserve"> a </w:t>
            </w:r>
            <w:r w:rsidRPr="00A3389E">
              <w:rPr>
                <w:rFonts w:ascii="Times New Roman" w:hAnsi="Times New Roman" w:cs="Times New Roman"/>
                <w:sz w:val="24"/>
              </w:rPr>
              <w:t>T-4.</w:t>
            </w:r>
          </w:p>
          <w:p w14:paraId="3565AD25" w14:textId="00DB4F0F" w:rsidR="00A919FB" w:rsidRPr="00A3389E" w:rsidRDefault="00A919FB" w:rsidP="00A919FB">
            <w:pPr>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dátumy zodpovedajúce obdobiam zverejňovania informácií.</w:t>
            </w:r>
          </w:p>
          <w:p w14:paraId="18B0361E" w14:textId="77777777" w:rsidR="00A919FB" w:rsidRPr="00A3389E" w:rsidRDefault="00A919FB" w:rsidP="00C0296F">
            <w:pPr>
              <w:spacing w:before="60" w:after="120"/>
              <w:jc w:val="both"/>
              <w:rPr>
                <w:rFonts w:ascii="Times New Roman" w:hAnsi="Times New Roman" w:cs="Times New Roman"/>
                <w:sz w:val="24"/>
              </w:rPr>
            </w:pPr>
            <w:r w:rsidRPr="00A3389E">
              <w:rPr>
                <w:rFonts w:ascii="Times New Roman" w:hAnsi="Times New Roman" w:cs="Times New Roman"/>
                <w:sz w:val="24"/>
              </w:rPr>
              <w:t xml:space="preserve">Zverejňovanie údajov za predchádzajúce obdobia sa nevyžaduje, ak sa údaje zverejňujú po prvýkrát. </w:t>
            </w:r>
          </w:p>
        </w:tc>
      </w:tr>
      <w:tr w:rsidR="00A919FB" w:rsidRPr="00A3389E"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38D87483" w:rsidR="00A919FB" w:rsidRPr="00A3389E" w:rsidRDefault="00A919FB" w:rsidP="00B2180A">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A919FB" w:rsidRPr="00A3389E" w14:paraId="1B35CC72" w14:textId="77777777" w:rsidTr="00B2180A">
        <w:trPr>
          <w:trHeight w:val="238"/>
        </w:trPr>
        <w:tc>
          <w:tcPr>
            <w:tcW w:w="1384" w:type="dxa"/>
            <w:shd w:val="clear" w:color="auto" w:fill="D9D9D9" w:themeFill="background1" w:themeFillShade="D9"/>
          </w:tcPr>
          <w:p w14:paraId="0BCA6C43" w14:textId="77777777" w:rsidR="00A919FB" w:rsidRPr="00A3389E" w:rsidRDefault="00A919FB" w:rsidP="00B2180A">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6FA800DB" w14:textId="77777777" w:rsidR="00A919FB" w:rsidRPr="00A3389E" w:rsidRDefault="00A919FB" w:rsidP="00B2180A">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EC3DC7" w:rsidRPr="00A3389E" w14:paraId="09F40871" w14:textId="77777777" w:rsidTr="00B2180A">
        <w:trPr>
          <w:trHeight w:val="680"/>
        </w:trPr>
        <w:tc>
          <w:tcPr>
            <w:tcW w:w="1384" w:type="dxa"/>
          </w:tcPr>
          <w:p w14:paraId="79F0E0B1" w14:textId="77777777" w:rsidR="00EC3DC7" w:rsidRPr="00A3389E" w:rsidRDefault="00EC3DC7" w:rsidP="00EC3DC7">
            <w:pPr>
              <w:pStyle w:val="Applicationdirecte"/>
              <w:spacing w:before="60"/>
              <w:jc w:val="center"/>
            </w:pPr>
            <w:r w:rsidRPr="00A3389E">
              <w:t>1</w:t>
            </w:r>
          </w:p>
        </w:tc>
        <w:tc>
          <w:tcPr>
            <w:tcW w:w="7655" w:type="dxa"/>
          </w:tcPr>
          <w:p w14:paraId="28E8D7BE" w14:textId="77777777" w:rsidR="00EC3DC7" w:rsidRPr="00A3389E" w:rsidRDefault="00EC3DC7" w:rsidP="00EC3DC7">
            <w:pPr>
              <w:spacing w:before="60" w:after="120"/>
              <w:jc w:val="both"/>
              <w:rPr>
                <w:rFonts w:ascii="Times New Roman" w:hAnsi="Times New Roman" w:cs="Times New Roman"/>
                <w:b/>
                <w:sz w:val="24"/>
              </w:rPr>
            </w:pPr>
            <w:r w:rsidRPr="00A3389E">
              <w:rPr>
                <w:rFonts w:ascii="Times New Roman" w:hAnsi="Times New Roman" w:cs="Times New Roman"/>
                <w:b/>
                <w:sz w:val="24"/>
              </w:rPr>
              <w:t>Vlastný kapitál Tier 1 (CET1)</w:t>
            </w:r>
          </w:p>
          <w:p w14:paraId="07A96E2A" w14:textId="0055C863" w:rsidR="00EC3DC7" w:rsidRPr="00A3389E" w:rsidRDefault="00EC3DC7" w:rsidP="002635C4">
            <w:pPr>
              <w:spacing w:before="60" w:after="120"/>
              <w:jc w:val="both"/>
              <w:rPr>
                <w:rFonts w:ascii="Times New Roman" w:hAnsi="Times New Roman" w:cs="Times New Roman"/>
                <w:sz w:val="24"/>
              </w:rPr>
            </w:pPr>
            <w:r w:rsidRPr="00A3389E">
              <w:rPr>
                <w:rFonts w:ascii="Times New Roman" w:hAnsi="Times New Roman" w:cs="Times New Roman"/>
                <w:sz w:val="24"/>
              </w:rPr>
              <w:lastRenderedPageBreak/>
              <w:t>Hodnota kapitálu CET1 je hodnota, ktorú 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prílohe VII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29 vzoru EU CC1 – Zloženie regulatórnych vlastných zdrojov).</w:t>
            </w:r>
          </w:p>
        </w:tc>
      </w:tr>
      <w:tr w:rsidR="00EC3DC7" w:rsidRPr="00A3389E" w14:paraId="4CB4023A" w14:textId="77777777" w:rsidTr="00B2180A">
        <w:trPr>
          <w:trHeight w:val="436"/>
        </w:trPr>
        <w:tc>
          <w:tcPr>
            <w:tcW w:w="1384" w:type="dxa"/>
          </w:tcPr>
          <w:p w14:paraId="71F49FF4" w14:textId="77777777" w:rsidR="00EC3DC7" w:rsidRPr="00A3389E" w:rsidRDefault="00EC3DC7" w:rsidP="00EC3DC7">
            <w:pPr>
              <w:pStyle w:val="Applicationdirecte"/>
              <w:spacing w:before="60"/>
              <w:jc w:val="center"/>
            </w:pPr>
            <w:r w:rsidRPr="00A3389E">
              <w:lastRenderedPageBreak/>
              <w:t>2</w:t>
            </w:r>
          </w:p>
        </w:tc>
        <w:tc>
          <w:tcPr>
            <w:tcW w:w="7655" w:type="dxa"/>
          </w:tcPr>
          <w:p w14:paraId="50A949BA" w14:textId="77777777" w:rsidR="00EC3DC7" w:rsidRPr="00A3389E" w:rsidRDefault="00EC3DC7" w:rsidP="00EC3DC7">
            <w:pPr>
              <w:spacing w:before="60" w:after="120"/>
              <w:jc w:val="both"/>
              <w:rPr>
                <w:rFonts w:ascii="Times New Roman" w:hAnsi="Times New Roman" w:cs="Times New Roman"/>
                <w:b/>
                <w:sz w:val="24"/>
              </w:rPr>
            </w:pPr>
            <w:r w:rsidRPr="00A3389E">
              <w:rPr>
                <w:rFonts w:ascii="Times New Roman" w:hAnsi="Times New Roman" w:cs="Times New Roman"/>
                <w:b/>
                <w:sz w:val="24"/>
              </w:rPr>
              <w:t>Kapitál Tier 1</w:t>
            </w:r>
          </w:p>
          <w:p w14:paraId="097E489A" w14:textId="5C2B7A11" w:rsidR="00EC3DC7" w:rsidRPr="00A3389E" w:rsidRDefault="00EC3DC7" w:rsidP="00605635">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Hodnota kapitálu Tier 1 je hodnota, ktorú 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prílohe VII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45 vzoru EU CC1 – Zloženie regulatórnych vlastných zdrojov).</w:t>
            </w:r>
          </w:p>
        </w:tc>
      </w:tr>
      <w:tr w:rsidR="00EC3DC7" w:rsidRPr="00A3389E" w14:paraId="67C2637C" w14:textId="77777777" w:rsidTr="00B2180A">
        <w:trPr>
          <w:trHeight w:val="557"/>
        </w:trPr>
        <w:tc>
          <w:tcPr>
            <w:tcW w:w="1384" w:type="dxa"/>
          </w:tcPr>
          <w:p w14:paraId="30C65372" w14:textId="77777777" w:rsidR="00EC3DC7" w:rsidRPr="00A3389E" w:rsidRDefault="009D2A94" w:rsidP="00EC3DC7">
            <w:pPr>
              <w:pStyle w:val="Applicationdirecte"/>
              <w:spacing w:before="60"/>
              <w:jc w:val="center"/>
            </w:pPr>
            <w:r w:rsidRPr="00A3389E">
              <w:t>3</w:t>
            </w:r>
          </w:p>
        </w:tc>
        <w:tc>
          <w:tcPr>
            <w:tcW w:w="7655" w:type="dxa"/>
          </w:tcPr>
          <w:p w14:paraId="437C173A" w14:textId="77777777" w:rsidR="009D2A94" w:rsidRPr="00A3389E" w:rsidRDefault="009D2A94" w:rsidP="00EC3DC7">
            <w:pPr>
              <w:spacing w:before="60" w:after="120"/>
              <w:jc w:val="both"/>
              <w:rPr>
                <w:rFonts w:ascii="Times New Roman" w:hAnsi="Times New Roman" w:cs="Times New Roman"/>
                <w:b/>
                <w:sz w:val="24"/>
              </w:rPr>
            </w:pPr>
            <w:r w:rsidRPr="00A3389E">
              <w:rPr>
                <w:rFonts w:ascii="Times New Roman" w:hAnsi="Times New Roman" w:cs="Times New Roman"/>
                <w:b/>
                <w:sz w:val="24"/>
              </w:rPr>
              <w:t>Celkový kapitál</w:t>
            </w:r>
          </w:p>
          <w:p w14:paraId="0A93EB9C" w14:textId="363200CC" w:rsidR="00EC3DC7" w:rsidRPr="00A3389E" w:rsidRDefault="00EC3DC7" w:rsidP="00605635">
            <w:pPr>
              <w:spacing w:before="60" w:after="120"/>
              <w:jc w:val="both"/>
              <w:rPr>
                <w:rFonts w:ascii="Times New Roman" w:hAnsi="Times New Roman" w:cs="Times New Roman"/>
                <w:color w:val="000000"/>
                <w:sz w:val="24"/>
              </w:rPr>
            </w:pPr>
            <w:r w:rsidRPr="00A3389E">
              <w:rPr>
                <w:rFonts w:ascii="Times New Roman" w:hAnsi="Times New Roman" w:cs="Times New Roman"/>
                <w:sz w:val="24"/>
              </w:rPr>
              <w:t>Hodnota celkového kapitálu je hodnota, ktorú 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prílohe VII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59 vzoru EU CC1 – Zloženie regulatórnych vlastných zdrojov).</w:t>
            </w:r>
          </w:p>
        </w:tc>
      </w:tr>
      <w:tr w:rsidR="00EC3DC7" w:rsidRPr="00A3389E" w14:paraId="30D8C6AD" w14:textId="77777777" w:rsidTr="00B2180A">
        <w:trPr>
          <w:trHeight w:val="557"/>
        </w:trPr>
        <w:tc>
          <w:tcPr>
            <w:tcW w:w="1384" w:type="dxa"/>
          </w:tcPr>
          <w:p w14:paraId="276F8582" w14:textId="77777777" w:rsidR="00EC3DC7" w:rsidRPr="00A3389E" w:rsidRDefault="009D2A94" w:rsidP="00EC3DC7">
            <w:pPr>
              <w:pStyle w:val="Applicationdirecte"/>
              <w:spacing w:before="60"/>
              <w:jc w:val="center"/>
            </w:pPr>
            <w:r w:rsidRPr="00A3389E">
              <w:t>4</w:t>
            </w:r>
          </w:p>
        </w:tc>
        <w:tc>
          <w:tcPr>
            <w:tcW w:w="7655" w:type="dxa"/>
          </w:tcPr>
          <w:p w14:paraId="7C61908F" w14:textId="1295D816" w:rsidR="009D2A94" w:rsidRPr="00A3389E" w:rsidRDefault="009D2A94" w:rsidP="009D2A94">
            <w:pPr>
              <w:spacing w:before="60" w:after="120"/>
              <w:jc w:val="both"/>
              <w:rPr>
                <w:rFonts w:ascii="Times New Roman" w:hAnsi="Times New Roman" w:cs="Times New Roman"/>
                <w:b/>
                <w:sz w:val="24"/>
              </w:rPr>
            </w:pPr>
            <w:r w:rsidRPr="00A3389E">
              <w:rPr>
                <w:rFonts w:ascii="Times New Roman" w:hAnsi="Times New Roman" w:cs="Times New Roman"/>
                <w:b/>
                <w:sz w:val="24"/>
              </w:rPr>
              <w:t>Celková hodnota rizikovej expozície</w:t>
            </w:r>
          </w:p>
          <w:p w14:paraId="45F3B0F7" w14:textId="636B9754" w:rsidR="00EC3DC7" w:rsidRPr="00A3389E" w:rsidRDefault="00EC3DC7" w:rsidP="00402F34">
            <w:pPr>
              <w:spacing w:before="60" w:after="120"/>
              <w:jc w:val="both"/>
              <w:rPr>
                <w:rFonts w:ascii="Times New Roman" w:hAnsi="Times New Roman" w:cs="Times New Roman"/>
                <w:sz w:val="24"/>
              </w:rPr>
            </w:pPr>
            <w:r w:rsidRPr="00A3389E">
              <w:rPr>
                <w:rFonts w:ascii="Times New Roman" w:hAnsi="Times New Roman" w:cs="Times New Roman"/>
                <w:sz w:val="24"/>
              </w:rPr>
              <w:t>Celková hodnota rizikovej expozície (TREA) je hodnota, ktorú 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prílohe VII</w:t>
            </w:r>
            <w:r w:rsidR="00A3389E">
              <w:rPr>
                <w:rFonts w:ascii="Times New Roman" w:hAnsi="Times New Roman" w:cs="Times New Roman"/>
                <w:sz w:val="24"/>
              </w:rPr>
              <w:t xml:space="preserve"> k </w:t>
            </w:r>
            <w:r w:rsidRPr="00A3389E">
              <w:rPr>
                <w:rFonts w:ascii="Times New Roman" w:hAnsi="Times New Roman" w:cs="Times New Roman"/>
                <w:sz w:val="24"/>
              </w:rPr>
              <w:t xml:space="preserve">tomuto vykonávaciemu nariadeniu (riadok 60 vzoru EU CC1 – Zloženie regulatórnych vlastných zdrojov). </w:t>
            </w:r>
          </w:p>
        </w:tc>
      </w:tr>
      <w:tr w:rsidR="00EC3DC7" w:rsidRPr="00A3389E" w14:paraId="057C7AF3" w14:textId="77777777" w:rsidTr="00B2180A">
        <w:trPr>
          <w:trHeight w:val="557"/>
        </w:trPr>
        <w:tc>
          <w:tcPr>
            <w:tcW w:w="1384" w:type="dxa"/>
          </w:tcPr>
          <w:p w14:paraId="074AB79D" w14:textId="77777777" w:rsidR="00EC3DC7" w:rsidRPr="00A3389E" w:rsidRDefault="00475381" w:rsidP="00EC3DC7">
            <w:pPr>
              <w:pStyle w:val="Applicationdirecte"/>
              <w:spacing w:before="60"/>
              <w:jc w:val="center"/>
            </w:pPr>
            <w:r w:rsidRPr="00A3389E">
              <w:t>5</w:t>
            </w:r>
          </w:p>
        </w:tc>
        <w:tc>
          <w:tcPr>
            <w:tcW w:w="7655" w:type="dxa"/>
          </w:tcPr>
          <w:p w14:paraId="5872B091" w14:textId="77777777" w:rsidR="00475381" w:rsidRPr="00A3389E" w:rsidRDefault="00475381" w:rsidP="00475381">
            <w:pPr>
              <w:spacing w:before="60" w:after="120"/>
              <w:jc w:val="both"/>
              <w:rPr>
                <w:rFonts w:ascii="Times New Roman" w:hAnsi="Times New Roman" w:cs="Times New Roman"/>
                <w:b/>
                <w:sz w:val="24"/>
              </w:rPr>
            </w:pPr>
            <w:r w:rsidRPr="00A3389E">
              <w:rPr>
                <w:rFonts w:ascii="Times New Roman" w:hAnsi="Times New Roman" w:cs="Times New Roman"/>
                <w:b/>
                <w:sz w:val="24"/>
              </w:rPr>
              <w:t>Podiel vlastného kapitálu Tier 1 (%)</w:t>
            </w:r>
          </w:p>
          <w:p w14:paraId="42EC7CCC" w14:textId="60CFF506" w:rsidR="00EC3DC7" w:rsidRPr="00A3389E" w:rsidRDefault="00EC3DC7" w:rsidP="00605635">
            <w:pPr>
              <w:spacing w:before="60" w:after="120"/>
              <w:jc w:val="both"/>
              <w:rPr>
                <w:rFonts w:ascii="Times New Roman" w:hAnsi="Times New Roman" w:cs="Times New Roman"/>
                <w:sz w:val="24"/>
              </w:rPr>
            </w:pPr>
            <w:r w:rsidRPr="00A3389E">
              <w:rPr>
                <w:rFonts w:ascii="Times New Roman" w:hAnsi="Times New Roman" w:cs="Times New Roman"/>
                <w:sz w:val="24"/>
              </w:rPr>
              <w:t>Podiel kapitálu CET1 je hodnota, ktorú 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prílohe VII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61 vzoru EU CC1 – Zloženie regulatórnych vlastných zdrojov).</w:t>
            </w:r>
          </w:p>
        </w:tc>
      </w:tr>
      <w:tr w:rsidR="00EC3DC7" w:rsidRPr="00A3389E" w14:paraId="7836A7D8" w14:textId="77777777" w:rsidTr="00B2180A">
        <w:trPr>
          <w:trHeight w:val="557"/>
        </w:trPr>
        <w:tc>
          <w:tcPr>
            <w:tcW w:w="1384" w:type="dxa"/>
          </w:tcPr>
          <w:p w14:paraId="138571C7" w14:textId="77777777" w:rsidR="00EC3DC7" w:rsidRPr="00A3389E" w:rsidRDefault="00475381" w:rsidP="00EC3DC7">
            <w:pPr>
              <w:pStyle w:val="Applicationdirecte"/>
              <w:spacing w:before="60"/>
              <w:jc w:val="center"/>
            </w:pPr>
            <w:r w:rsidRPr="00A3389E">
              <w:t>6</w:t>
            </w:r>
          </w:p>
        </w:tc>
        <w:tc>
          <w:tcPr>
            <w:tcW w:w="7655" w:type="dxa"/>
          </w:tcPr>
          <w:p w14:paraId="016AAD4C" w14:textId="77777777" w:rsidR="00475381" w:rsidRPr="00A3389E" w:rsidRDefault="00475381" w:rsidP="00EC3DC7">
            <w:pPr>
              <w:spacing w:before="60" w:after="120"/>
              <w:jc w:val="both"/>
              <w:rPr>
                <w:rFonts w:ascii="Times New Roman" w:hAnsi="Times New Roman" w:cs="Times New Roman"/>
                <w:b/>
                <w:sz w:val="24"/>
              </w:rPr>
            </w:pPr>
            <w:r w:rsidRPr="00A3389E">
              <w:rPr>
                <w:rFonts w:ascii="Times New Roman" w:hAnsi="Times New Roman" w:cs="Times New Roman"/>
                <w:b/>
                <w:sz w:val="24"/>
              </w:rPr>
              <w:t>Podiel kapitálu Tier 1 (%)</w:t>
            </w:r>
          </w:p>
          <w:p w14:paraId="7486F374" w14:textId="5010AA59" w:rsidR="00EC3DC7" w:rsidRPr="00A3389E" w:rsidRDefault="00EC3DC7" w:rsidP="00605635">
            <w:pPr>
              <w:spacing w:before="60" w:after="120"/>
              <w:jc w:val="both"/>
              <w:rPr>
                <w:rFonts w:ascii="Times New Roman" w:hAnsi="Times New Roman" w:cs="Times New Roman"/>
                <w:sz w:val="24"/>
              </w:rPr>
            </w:pPr>
            <w:r w:rsidRPr="00A3389E">
              <w:rPr>
                <w:rFonts w:ascii="Times New Roman" w:hAnsi="Times New Roman" w:cs="Times New Roman"/>
                <w:sz w:val="24"/>
              </w:rPr>
              <w:t>Podiel kapitálu Tier 1 je hodnota, ktorú 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prílohe VII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62 vzoru EU CC1 – Zloženie regulatórnych vlastných zdrojov).</w:t>
            </w:r>
          </w:p>
        </w:tc>
      </w:tr>
      <w:tr w:rsidR="00EC3DC7" w:rsidRPr="00A3389E" w14:paraId="43011D7B" w14:textId="77777777" w:rsidTr="00B2180A">
        <w:trPr>
          <w:trHeight w:val="557"/>
        </w:trPr>
        <w:tc>
          <w:tcPr>
            <w:tcW w:w="1384" w:type="dxa"/>
          </w:tcPr>
          <w:p w14:paraId="63D1F4D7" w14:textId="77777777" w:rsidR="00EC3DC7" w:rsidRPr="00A3389E" w:rsidRDefault="00475381" w:rsidP="00475381">
            <w:pPr>
              <w:pStyle w:val="Applicationdirecte"/>
              <w:spacing w:before="60"/>
              <w:jc w:val="center"/>
            </w:pPr>
            <w:r w:rsidRPr="00A3389E">
              <w:t>7</w:t>
            </w:r>
          </w:p>
        </w:tc>
        <w:tc>
          <w:tcPr>
            <w:tcW w:w="7655" w:type="dxa"/>
          </w:tcPr>
          <w:p w14:paraId="08AAC130" w14:textId="77777777" w:rsidR="00475381" w:rsidRPr="00A3389E" w:rsidRDefault="00475381" w:rsidP="00475381">
            <w:pPr>
              <w:spacing w:before="60" w:after="120"/>
              <w:jc w:val="both"/>
              <w:rPr>
                <w:rFonts w:ascii="Times New Roman" w:hAnsi="Times New Roman" w:cs="Times New Roman"/>
                <w:b/>
                <w:sz w:val="24"/>
              </w:rPr>
            </w:pPr>
            <w:r w:rsidRPr="00A3389E">
              <w:rPr>
                <w:rFonts w:ascii="Times New Roman" w:hAnsi="Times New Roman" w:cs="Times New Roman"/>
                <w:b/>
                <w:sz w:val="24"/>
              </w:rPr>
              <w:t>Celkový podiel kapitálu (%)</w:t>
            </w:r>
          </w:p>
          <w:p w14:paraId="19C20331" w14:textId="5A78EF2F" w:rsidR="00EC3DC7" w:rsidRPr="00A3389E" w:rsidRDefault="00EC3DC7" w:rsidP="00605635">
            <w:pPr>
              <w:spacing w:before="60" w:after="120"/>
              <w:jc w:val="both"/>
              <w:rPr>
                <w:rFonts w:ascii="Times New Roman" w:hAnsi="Times New Roman" w:cs="Times New Roman"/>
                <w:sz w:val="24"/>
              </w:rPr>
            </w:pPr>
            <w:r w:rsidRPr="00A3389E">
              <w:rPr>
                <w:rFonts w:ascii="Times New Roman" w:hAnsi="Times New Roman" w:cs="Times New Roman"/>
                <w:sz w:val="24"/>
              </w:rPr>
              <w:t>Celkový podiel kapitálu je hodnota, ktorú 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prílohe VII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63 vzoru EU CC1 – Zloženie regulatórnych vlastných zdrojov).</w:t>
            </w:r>
          </w:p>
        </w:tc>
      </w:tr>
      <w:tr w:rsidR="002D5755" w:rsidRPr="00A3389E" w14:paraId="3536040C" w14:textId="77777777" w:rsidTr="00B2180A">
        <w:trPr>
          <w:trHeight w:val="557"/>
        </w:trPr>
        <w:tc>
          <w:tcPr>
            <w:tcW w:w="1384" w:type="dxa"/>
          </w:tcPr>
          <w:p w14:paraId="1CD4D7BE" w14:textId="77777777" w:rsidR="002D5755" w:rsidRPr="00A3389E" w:rsidRDefault="002F1302" w:rsidP="002D5755">
            <w:pPr>
              <w:pStyle w:val="Applicationdirecte"/>
              <w:spacing w:before="60"/>
              <w:jc w:val="center"/>
            </w:pPr>
            <w:r w:rsidRPr="00A3389E">
              <w:t>EU 7a</w:t>
            </w:r>
          </w:p>
        </w:tc>
        <w:tc>
          <w:tcPr>
            <w:tcW w:w="7655" w:type="dxa"/>
          </w:tcPr>
          <w:p w14:paraId="2C65689E" w14:textId="168A8882" w:rsidR="002D5755" w:rsidRPr="00A3389E" w:rsidRDefault="00974607" w:rsidP="002D5755">
            <w:pPr>
              <w:spacing w:before="60" w:after="120"/>
              <w:jc w:val="both"/>
              <w:rPr>
                <w:rFonts w:ascii="Times New Roman" w:hAnsi="Times New Roman" w:cs="Times New Roman"/>
                <w:b/>
                <w:sz w:val="24"/>
              </w:rPr>
            </w:pPr>
            <w:r w:rsidRPr="00A3389E">
              <w:rPr>
                <w:rFonts w:ascii="Times New Roman" w:hAnsi="Times New Roman" w:cs="Times New Roman"/>
                <w:b/>
                <w:sz w:val="24"/>
              </w:rPr>
              <w:t>Dodatočné požiadavky na vlastné zdroje na riešenie iných rizík, než je riziko nadmerného využívania finančnej páky (%)</w:t>
            </w:r>
          </w:p>
          <w:p w14:paraId="496B5202" w14:textId="0B6F7C73" w:rsidR="002D5755" w:rsidRPr="00A3389E" w:rsidRDefault="005D6F4D" w:rsidP="00A96F56">
            <w:pPr>
              <w:spacing w:before="60" w:after="120"/>
              <w:jc w:val="both"/>
              <w:rPr>
                <w:rFonts w:ascii="Times New Roman" w:hAnsi="Times New Roman" w:cs="Times New Roman"/>
                <w:sz w:val="24"/>
              </w:rPr>
            </w:pPr>
            <w:r w:rsidRPr="00A3389E">
              <w:rPr>
                <w:rFonts w:ascii="Times New Roman" w:hAnsi="Times New Roman" w:cs="Times New Roman"/>
                <w:sz w:val="24"/>
              </w:rPr>
              <w:t>Dodatočné požiadavky na vlastné zdroje na riešenie iných rizík, než je riziko nadmerného využívania finančnej páky, uložené príslušným orgánom podľa článku 104 ods. 1 písm. a) CRD, vyjadrené ako percentuálny podiel celkovej hodnoty rizikovej expozície.</w:t>
            </w:r>
          </w:p>
        </w:tc>
      </w:tr>
      <w:tr w:rsidR="002D5755" w:rsidRPr="00A3389E" w14:paraId="7325A7E2" w14:textId="77777777" w:rsidTr="00B2180A">
        <w:trPr>
          <w:trHeight w:val="557"/>
        </w:trPr>
        <w:tc>
          <w:tcPr>
            <w:tcW w:w="1384" w:type="dxa"/>
          </w:tcPr>
          <w:p w14:paraId="74461AB8" w14:textId="77777777" w:rsidR="002D5755" w:rsidRPr="00A3389E" w:rsidRDefault="002F1302" w:rsidP="002D5755">
            <w:pPr>
              <w:pStyle w:val="Applicationdirecte"/>
              <w:spacing w:before="60"/>
              <w:jc w:val="center"/>
            </w:pPr>
            <w:r w:rsidRPr="00A3389E">
              <w:t>EU 7b</w:t>
            </w:r>
          </w:p>
        </w:tc>
        <w:tc>
          <w:tcPr>
            <w:tcW w:w="7655" w:type="dxa"/>
          </w:tcPr>
          <w:p w14:paraId="407C074B" w14:textId="2CFFA594" w:rsidR="002D5755" w:rsidRPr="00A3389E" w:rsidRDefault="00A60806" w:rsidP="002D5755">
            <w:pPr>
              <w:spacing w:before="60" w:after="120"/>
              <w:jc w:val="both"/>
              <w:rPr>
                <w:rFonts w:ascii="Times New Roman" w:hAnsi="Times New Roman" w:cs="Times New Roman"/>
                <w:b/>
                <w:sz w:val="24"/>
              </w:rPr>
            </w:pPr>
            <w:r>
              <w:rPr>
                <w:rFonts w:ascii="Times New Roman" w:hAnsi="Times New Roman" w:cs="Times New Roman"/>
                <w:sz w:val="24"/>
              </w:rPr>
              <w:t xml:space="preserve"> </w:t>
            </w:r>
            <w:r w:rsidR="00A3389E">
              <w:rPr>
                <w:rFonts w:ascii="Times New Roman" w:hAnsi="Times New Roman" w:cs="Times New Roman"/>
                <w:sz w:val="24"/>
              </w:rPr>
              <w:t>z </w:t>
            </w:r>
            <w:r w:rsidR="002B7ED3" w:rsidRPr="00A3389E">
              <w:rPr>
                <w:rFonts w:ascii="Times New Roman" w:hAnsi="Times New Roman" w:cs="Times New Roman"/>
                <w:b/>
                <w:sz w:val="24"/>
              </w:rPr>
              <w:t>čoho: ktoré majú byť tvorené kapitálom CET1 (percentuálne body)</w:t>
            </w:r>
          </w:p>
          <w:p w14:paraId="7130AB39" w14:textId="44920752" w:rsidR="003F72E2" w:rsidRPr="00A3389E" w:rsidRDefault="00791891" w:rsidP="005D6F4D">
            <w:pPr>
              <w:spacing w:before="60" w:after="120"/>
              <w:jc w:val="both"/>
              <w:rPr>
                <w:rFonts w:ascii="Times New Roman" w:hAnsi="Times New Roman" w:cs="Times New Roman"/>
                <w:sz w:val="24"/>
              </w:rPr>
            </w:pPr>
            <w:r w:rsidRPr="00A3389E">
              <w:rPr>
                <w:rFonts w:ascii="Times New Roman" w:hAnsi="Times New Roman" w:cs="Times New Roman"/>
                <w:sz w:val="24"/>
              </w:rPr>
              <w:t>Časť dodatočných požiadaviek na vlastné zdroje na riešenie iných rizík, než je riziko nadmerného využívania finančnej páky, uložených príslušným orgánom podľa článku 104 ods. 1 písm. a) CRD, ktorá sa musí splniť prostredníctvom vlastného kapitálu Tier 1</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104a ods. 4 prvým</w:t>
            </w:r>
            <w:r w:rsidR="00A3389E">
              <w:rPr>
                <w:rFonts w:ascii="Times New Roman" w:hAnsi="Times New Roman" w:cs="Times New Roman"/>
                <w:sz w:val="24"/>
              </w:rPr>
              <w:t xml:space="preserve"> a </w:t>
            </w:r>
            <w:r w:rsidRPr="00A3389E">
              <w:rPr>
                <w:rFonts w:ascii="Times New Roman" w:hAnsi="Times New Roman" w:cs="Times New Roman"/>
                <w:sz w:val="24"/>
              </w:rPr>
              <w:t>tretím pododsekom.</w:t>
            </w:r>
          </w:p>
        </w:tc>
      </w:tr>
      <w:tr w:rsidR="002D5755" w:rsidRPr="00A3389E" w14:paraId="0E6077DA" w14:textId="77777777" w:rsidTr="00B2180A">
        <w:trPr>
          <w:trHeight w:val="557"/>
        </w:trPr>
        <w:tc>
          <w:tcPr>
            <w:tcW w:w="1384" w:type="dxa"/>
          </w:tcPr>
          <w:p w14:paraId="06A684D0" w14:textId="77777777" w:rsidR="002D5755" w:rsidRPr="00A3389E" w:rsidRDefault="002F1302" w:rsidP="002D5755">
            <w:pPr>
              <w:pStyle w:val="Applicationdirecte"/>
              <w:spacing w:before="60"/>
              <w:jc w:val="center"/>
            </w:pPr>
            <w:r w:rsidRPr="00A3389E">
              <w:lastRenderedPageBreak/>
              <w:t>EU 7c</w:t>
            </w:r>
          </w:p>
        </w:tc>
        <w:tc>
          <w:tcPr>
            <w:tcW w:w="7655" w:type="dxa"/>
          </w:tcPr>
          <w:p w14:paraId="3D41CED8" w14:textId="43F00EEC" w:rsidR="002D5755" w:rsidRPr="00A3389E" w:rsidRDefault="00A60806" w:rsidP="002D5755">
            <w:pPr>
              <w:spacing w:before="60" w:after="120"/>
              <w:jc w:val="both"/>
              <w:rPr>
                <w:rFonts w:ascii="Times New Roman" w:hAnsi="Times New Roman" w:cs="Times New Roman"/>
                <w:b/>
                <w:sz w:val="24"/>
              </w:rPr>
            </w:pPr>
            <w:r>
              <w:rPr>
                <w:rFonts w:ascii="Times New Roman" w:hAnsi="Times New Roman" w:cs="Times New Roman"/>
                <w:sz w:val="24"/>
              </w:rPr>
              <w:t xml:space="preserve"> </w:t>
            </w:r>
            <w:r w:rsidR="00A3389E">
              <w:rPr>
                <w:rFonts w:ascii="Times New Roman" w:hAnsi="Times New Roman" w:cs="Times New Roman"/>
                <w:sz w:val="24"/>
              </w:rPr>
              <w:t>z </w:t>
            </w:r>
            <w:r w:rsidR="002B7ED3" w:rsidRPr="00A3389E">
              <w:rPr>
                <w:rFonts w:ascii="Times New Roman" w:hAnsi="Times New Roman" w:cs="Times New Roman"/>
                <w:b/>
                <w:sz w:val="24"/>
              </w:rPr>
              <w:t>čoho: ktoré majú byť tvorené kapitálom Tier 1 (percentuálne body)</w:t>
            </w:r>
          </w:p>
          <w:p w14:paraId="20A8FF8D" w14:textId="0EC0D75A" w:rsidR="003F72E2" w:rsidRPr="00A3389E" w:rsidRDefault="005D6F4D" w:rsidP="005D6F4D">
            <w:pPr>
              <w:spacing w:before="60" w:after="120"/>
              <w:jc w:val="both"/>
              <w:rPr>
                <w:rFonts w:ascii="Times New Roman" w:hAnsi="Times New Roman" w:cs="Times New Roman"/>
                <w:sz w:val="24"/>
              </w:rPr>
            </w:pPr>
            <w:r w:rsidRPr="00A3389E">
              <w:rPr>
                <w:rFonts w:ascii="Times New Roman" w:hAnsi="Times New Roman" w:cs="Times New Roman"/>
                <w:sz w:val="24"/>
              </w:rPr>
              <w:t>Časť dodatočných požiadaviek na vlastné zdroje na riešenie iných rizík, než je riziko nadmerného využívania finančnej páky, uložených príslušným orgánom podľa článku 104 ods. 1 písm. a) CRD, ktorá sa musí splniť prostredníctvom kapitálu Tier 1</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104a ods. 4 prvým</w:t>
            </w:r>
            <w:r w:rsidR="00A3389E">
              <w:rPr>
                <w:rFonts w:ascii="Times New Roman" w:hAnsi="Times New Roman" w:cs="Times New Roman"/>
                <w:sz w:val="24"/>
              </w:rPr>
              <w:t xml:space="preserve"> a </w:t>
            </w:r>
            <w:r w:rsidRPr="00A3389E">
              <w:rPr>
                <w:rFonts w:ascii="Times New Roman" w:hAnsi="Times New Roman" w:cs="Times New Roman"/>
                <w:sz w:val="24"/>
              </w:rPr>
              <w:t>tretím pododsekom.</w:t>
            </w:r>
          </w:p>
        </w:tc>
      </w:tr>
      <w:tr w:rsidR="002D5755" w:rsidRPr="00A3389E" w14:paraId="4D2E0DD8" w14:textId="77777777" w:rsidTr="00B2180A">
        <w:trPr>
          <w:trHeight w:val="557"/>
        </w:trPr>
        <w:tc>
          <w:tcPr>
            <w:tcW w:w="1384" w:type="dxa"/>
          </w:tcPr>
          <w:p w14:paraId="25E29F71" w14:textId="77777777" w:rsidR="002D5755" w:rsidRPr="00A3389E" w:rsidRDefault="002F1302" w:rsidP="002D5755">
            <w:pPr>
              <w:pStyle w:val="Applicationdirecte"/>
              <w:spacing w:before="60"/>
              <w:jc w:val="center"/>
            </w:pPr>
            <w:r w:rsidRPr="00A3389E">
              <w:t>EU 7d</w:t>
            </w:r>
          </w:p>
        </w:tc>
        <w:tc>
          <w:tcPr>
            <w:tcW w:w="7655" w:type="dxa"/>
          </w:tcPr>
          <w:p w14:paraId="020B8334" w14:textId="77777777" w:rsidR="002D5755" w:rsidRPr="00A3389E" w:rsidRDefault="002D5755" w:rsidP="002D5755">
            <w:pPr>
              <w:spacing w:before="60" w:after="120"/>
              <w:jc w:val="both"/>
              <w:rPr>
                <w:rFonts w:ascii="Times New Roman" w:hAnsi="Times New Roman" w:cs="Times New Roman"/>
                <w:b/>
                <w:sz w:val="24"/>
              </w:rPr>
            </w:pPr>
            <w:r w:rsidRPr="00A3389E">
              <w:rPr>
                <w:rFonts w:ascii="Times New Roman" w:hAnsi="Times New Roman" w:cs="Times New Roman"/>
                <w:b/>
                <w:sz w:val="24"/>
              </w:rPr>
              <w:t>Požiadavky na celkové vlastné zdroje podľa SREP (pomer TSCR) (%)</w:t>
            </w:r>
          </w:p>
          <w:p w14:paraId="0EB50A81" w14:textId="33FD271B" w:rsidR="003F72E2" w:rsidRPr="00A3389E" w:rsidRDefault="003F72E2" w:rsidP="00A60806">
            <w:pPr>
              <w:pStyle w:val="InstructionsText"/>
            </w:pPr>
            <w:r w:rsidRPr="00A3389E">
              <w:t>Súčet hodnôt určených podľa bodov i)</w:t>
            </w:r>
            <w:r w:rsidR="00A3389E">
              <w:t xml:space="preserve"> a </w:t>
            </w:r>
            <w:r w:rsidRPr="00A3389E">
              <w:t>ii) takto:</w:t>
            </w:r>
          </w:p>
          <w:p w14:paraId="3EC8236A" w14:textId="73E6D5AC" w:rsidR="00A3389E" w:rsidRPr="00A3389E" w:rsidRDefault="00A3389E" w:rsidP="00A60806">
            <w:pPr>
              <w:pStyle w:val="InstructionsText"/>
            </w:pPr>
            <w:r w:rsidRPr="00A3389E">
              <w:t>i)</w:t>
            </w:r>
            <w:r w:rsidRPr="00A3389E">
              <w:tab/>
            </w:r>
            <w:r w:rsidR="003F72E2" w:rsidRPr="00A3389E">
              <w:t>celkový podiel kapitálu (8</w:t>
            </w:r>
            <w:r>
              <w:t> %</w:t>
            </w:r>
            <w:r w:rsidR="003F72E2" w:rsidRPr="00A3389E">
              <w:t>), ako je stanovené</w:t>
            </w:r>
            <w:r>
              <w:t xml:space="preserve"> v </w:t>
            </w:r>
            <w:r w:rsidR="003F72E2" w:rsidRPr="00A3389E">
              <w:t>článku 92 ods. 1 písm. c) CRR</w:t>
            </w:r>
            <w:r w:rsidRPr="00A3389E">
              <w:t>;</w:t>
            </w:r>
          </w:p>
          <w:p w14:paraId="6408D689" w14:textId="64E0BEDD" w:rsidR="003F72E2" w:rsidRPr="00A60806" w:rsidRDefault="00A3389E" w:rsidP="00A60806">
            <w:pPr>
              <w:pStyle w:val="InstructionsText"/>
            </w:pPr>
            <w:r w:rsidRPr="00A3389E">
              <w:t>ii)</w:t>
            </w:r>
            <w:r w:rsidRPr="00A3389E">
              <w:tab/>
            </w:r>
            <w:r w:rsidR="003F72E2" w:rsidRPr="00A60806">
              <w:t>dodatočné požiadavky na vlastné zdroje na riešenie iných rizík, než je riziko nadmerného využívania finančnej páky (požiadavky piliera 2 – P2R), ktoré uložil príslušný orgán podľa článku 104 ods. 1 písm. a) CRD</w:t>
            </w:r>
            <w:r w:rsidRPr="00A60806">
              <w:t xml:space="preserve"> a </w:t>
            </w:r>
            <w:r w:rsidR="003F72E2" w:rsidRPr="00A60806">
              <w:t>ktoré sú určené</w:t>
            </w:r>
            <w:r w:rsidRPr="00A60806">
              <w:t xml:space="preserve"> v </w:t>
            </w:r>
            <w:r w:rsidR="003F72E2" w:rsidRPr="00A60806">
              <w:t>súlade</w:t>
            </w:r>
            <w:r w:rsidRPr="00A60806">
              <w:t xml:space="preserve"> s </w:t>
            </w:r>
            <w:r w:rsidR="003F72E2" w:rsidRPr="00A60806">
              <w:t>kritériami stanovenými</w:t>
            </w:r>
            <w:r w:rsidRPr="00A60806">
              <w:t xml:space="preserve"> v </w:t>
            </w:r>
            <w:r w:rsidR="003F72E2" w:rsidRPr="00A60806">
              <w:rPr>
                <w:i/>
              </w:rPr>
              <w:t>usmerneniach EBA</w:t>
            </w:r>
            <w:r w:rsidRPr="00A60806">
              <w:rPr>
                <w:i/>
              </w:rPr>
              <w:t xml:space="preserve"> o </w:t>
            </w:r>
            <w:r w:rsidR="003F72E2" w:rsidRPr="00A60806">
              <w:rPr>
                <w:i/>
              </w:rPr>
              <w:t>spoločných postupoch</w:t>
            </w:r>
            <w:r w:rsidRPr="00A60806">
              <w:rPr>
                <w:i/>
              </w:rPr>
              <w:t xml:space="preserve"> a </w:t>
            </w:r>
            <w:r w:rsidR="003F72E2" w:rsidRPr="00A60806">
              <w:rPr>
                <w:i/>
              </w:rPr>
              <w:t>metodikách postupu preskúmania</w:t>
            </w:r>
            <w:r w:rsidRPr="00A60806">
              <w:rPr>
                <w:i/>
              </w:rPr>
              <w:t xml:space="preserve"> a </w:t>
            </w:r>
            <w:r w:rsidR="003F72E2" w:rsidRPr="00A60806">
              <w:rPr>
                <w:i/>
              </w:rPr>
              <w:t>hodnotenia orgánmi dohľadu</w:t>
            </w:r>
            <w:r w:rsidRPr="00A60806">
              <w:rPr>
                <w:i/>
              </w:rPr>
              <w:t xml:space="preserve"> a </w:t>
            </w:r>
            <w:r w:rsidR="003F72E2" w:rsidRPr="00A60806">
              <w:rPr>
                <w:i/>
              </w:rPr>
              <w:t>stresového testovania orgánmi dohľadu</w:t>
            </w:r>
            <w:r w:rsidR="003F72E2" w:rsidRPr="00A60806">
              <w:rPr>
                <w:rStyle w:val="FootnoteReference"/>
                <w:rFonts w:ascii="Times New Roman" w:hAnsi="Times New Roman"/>
                <w:i/>
              </w:rPr>
              <w:footnoteReference w:id="3"/>
            </w:r>
            <w:r w:rsidR="003F72E2" w:rsidRPr="00A60806">
              <w:t xml:space="preserve"> („EBA SREP GL“), vyjadrené ako percentuálny podiel celkových RWEA.</w:t>
            </w:r>
          </w:p>
          <w:p w14:paraId="421B2155" w14:textId="2C32DF93" w:rsidR="003F72E2" w:rsidRPr="00A3389E" w:rsidRDefault="003F72E2" w:rsidP="00A60806">
            <w:pPr>
              <w:pStyle w:val="InstructionsText"/>
            </w:pPr>
            <w:r w:rsidRPr="00A3389E">
              <w:t>Táto položka odráža podiel celkovej kapitálovej požiadavky podľa SREP (TSCR) tak, ako ho inštitúcii oznámil príslušný orgán. TSCR je vymedzená</w:t>
            </w:r>
            <w:r w:rsidR="00A3389E">
              <w:t xml:space="preserve"> v </w:t>
            </w:r>
            <w:r w:rsidRPr="00A3389E">
              <w:t>oddiele 1.2 dokumentu EBA SREP GL.</w:t>
            </w:r>
          </w:p>
          <w:p w14:paraId="25DA925F" w14:textId="7A62BD6E" w:rsidR="003F72E2" w:rsidRPr="00A3389E" w:rsidRDefault="00704085" w:rsidP="00A239F6">
            <w:pPr>
              <w:spacing w:before="60" w:after="120"/>
              <w:jc w:val="both"/>
              <w:rPr>
                <w:rFonts w:ascii="Times New Roman" w:hAnsi="Times New Roman" w:cs="Times New Roman"/>
                <w:sz w:val="24"/>
              </w:rPr>
            </w:pPr>
            <w:r w:rsidRPr="00A3389E">
              <w:rPr>
                <w:rFonts w:ascii="Times New Roman" w:hAnsi="Times New Roman" w:cs="Times New Roman"/>
                <w:sz w:val="24"/>
              </w:rPr>
              <w:t>Ak príslušný orgán neoznámil žiadne dodatočné požiadavky na vlastné zdroje uložené</w:t>
            </w:r>
            <w:r w:rsidR="00A3389E">
              <w:rPr>
                <w:rFonts w:ascii="Times New Roman" w:hAnsi="Times New Roman" w:cs="Times New Roman"/>
                <w:sz w:val="24"/>
              </w:rPr>
              <w:t xml:space="preserve"> s </w:t>
            </w:r>
            <w:r w:rsidRPr="00A3389E">
              <w:rPr>
                <w:rFonts w:ascii="Times New Roman" w:hAnsi="Times New Roman" w:cs="Times New Roman"/>
                <w:sz w:val="24"/>
              </w:rPr>
              <w:t>cieľom riešiť iné riziká, než je riziko nadmerného využívania finančnej páky, zverejňuje sa len bod i).</w:t>
            </w:r>
          </w:p>
        </w:tc>
      </w:tr>
      <w:tr w:rsidR="00475381" w:rsidRPr="00A3389E" w14:paraId="7516E1D9" w14:textId="77777777" w:rsidTr="00B2180A">
        <w:trPr>
          <w:trHeight w:val="557"/>
        </w:trPr>
        <w:tc>
          <w:tcPr>
            <w:tcW w:w="1384" w:type="dxa"/>
          </w:tcPr>
          <w:p w14:paraId="7AD5EE4F" w14:textId="77777777" w:rsidR="00475381" w:rsidRPr="00A3389E" w:rsidRDefault="00475381" w:rsidP="00475381">
            <w:pPr>
              <w:pStyle w:val="Applicationdirecte"/>
              <w:spacing w:before="60"/>
              <w:jc w:val="center"/>
            </w:pPr>
            <w:r w:rsidRPr="00A3389E">
              <w:t>8</w:t>
            </w:r>
          </w:p>
        </w:tc>
        <w:tc>
          <w:tcPr>
            <w:tcW w:w="7655" w:type="dxa"/>
          </w:tcPr>
          <w:p w14:paraId="7C243A8A" w14:textId="77777777" w:rsidR="009D0637" w:rsidRPr="00A3389E" w:rsidRDefault="00475381" w:rsidP="00475381">
            <w:pPr>
              <w:spacing w:before="60" w:after="120"/>
              <w:jc w:val="both"/>
              <w:rPr>
                <w:rFonts w:ascii="Times New Roman" w:hAnsi="Times New Roman" w:cs="Times New Roman"/>
                <w:b/>
                <w:sz w:val="24"/>
              </w:rPr>
            </w:pPr>
            <w:r w:rsidRPr="00A3389E">
              <w:rPr>
                <w:rFonts w:ascii="Times New Roman" w:hAnsi="Times New Roman" w:cs="Times New Roman"/>
                <w:b/>
                <w:sz w:val="24"/>
              </w:rPr>
              <w:t>Vankúš na zachovanie kapitálu (%)</w:t>
            </w:r>
          </w:p>
          <w:p w14:paraId="14E6CB6D" w14:textId="3301C442" w:rsidR="009D0637" w:rsidRPr="00A60806" w:rsidRDefault="009D0637" w:rsidP="00702A38">
            <w:pPr>
              <w:spacing w:before="60" w:after="120"/>
              <w:jc w:val="both"/>
              <w:rPr>
                <w:rFonts w:ascii="Times New Roman" w:hAnsi="Times New Roman" w:cs="Times New Roman"/>
                <w:spacing w:val="-6"/>
                <w:sz w:val="24"/>
              </w:rPr>
            </w:pPr>
            <w:r w:rsidRPr="00A60806">
              <w:rPr>
                <w:rFonts w:ascii="Times New Roman" w:hAnsi="Times New Roman" w:cs="Times New Roman"/>
                <w:spacing w:val="-6"/>
                <w:sz w:val="24"/>
              </w:rPr>
              <w:t>Výška vlastných zdrojov, ktoré musia inštitúcie udržiavať</w:t>
            </w:r>
            <w:r w:rsidR="00A3389E" w:rsidRPr="00A60806">
              <w:rPr>
                <w:rFonts w:ascii="Times New Roman" w:hAnsi="Times New Roman" w:cs="Times New Roman"/>
                <w:spacing w:val="-6"/>
                <w:sz w:val="24"/>
              </w:rPr>
              <w:t xml:space="preserve"> v </w:t>
            </w:r>
            <w:r w:rsidRPr="00A60806">
              <w:rPr>
                <w:rFonts w:ascii="Times New Roman" w:hAnsi="Times New Roman" w:cs="Times New Roman"/>
                <w:spacing w:val="-6"/>
                <w:sz w:val="24"/>
              </w:rPr>
              <w:t>súlade</w:t>
            </w:r>
            <w:r w:rsidR="00A3389E" w:rsidRPr="00A60806">
              <w:rPr>
                <w:rFonts w:ascii="Times New Roman" w:hAnsi="Times New Roman" w:cs="Times New Roman"/>
                <w:spacing w:val="-6"/>
                <w:sz w:val="24"/>
              </w:rPr>
              <w:t xml:space="preserve"> s </w:t>
            </w:r>
            <w:r w:rsidRPr="00A60806">
              <w:rPr>
                <w:rFonts w:ascii="Times New Roman" w:hAnsi="Times New Roman" w:cs="Times New Roman"/>
                <w:spacing w:val="-6"/>
                <w:sz w:val="24"/>
              </w:rPr>
              <w:t>článkom 128 ods. 1</w:t>
            </w:r>
            <w:r w:rsidR="00A3389E" w:rsidRPr="00A60806">
              <w:rPr>
                <w:rFonts w:ascii="Times New Roman" w:hAnsi="Times New Roman" w:cs="Times New Roman"/>
                <w:spacing w:val="-6"/>
                <w:sz w:val="24"/>
              </w:rPr>
              <w:t xml:space="preserve"> a </w:t>
            </w:r>
            <w:r w:rsidRPr="00A60806">
              <w:rPr>
                <w:rFonts w:ascii="Times New Roman" w:hAnsi="Times New Roman" w:cs="Times New Roman"/>
                <w:spacing w:val="-6"/>
                <w:sz w:val="24"/>
              </w:rPr>
              <w:t>článkom 129 CRD, vyjadrená ako percentuálny podiel celkových RWEA.</w:t>
            </w:r>
          </w:p>
        </w:tc>
      </w:tr>
      <w:tr w:rsidR="00475381" w:rsidRPr="00A3389E" w14:paraId="7AFB85EC" w14:textId="77777777" w:rsidTr="00B2180A">
        <w:trPr>
          <w:trHeight w:val="557"/>
        </w:trPr>
        <w:tc>
          <w:tcPr>
            <w:tcW w:w="1384" w:type="dxa"/>
          </w:tcPr>
          <w:p w14:paraId="09E32617" w14:textId="77777777" w:rsidR="00475381" w:rsidRPr="00A3389E" w:rsidRDefault="002F1302" w:rsidP="00475381">
            <w:pPr>
              <w:pStyle w:val="Applicationdirecte"/>
              <w:spacing w:before="60"/>
              <w:jc w:val="center"/>
            </w:pPr>
            <w:r w:rsidRPr="00A3389E">
              <w:t>EU 8a</w:t>
            </w:r>
          </w:p>
        </w:tc>
        <w:tc>
          <w:tcPr>
            <w:tcW w:w="7655" w:type="dxa"/>
          </w:tcPr>
          <w:p w14:paraId="6A38F554" w14:textId="6DE25F5C" w:rsidR="00475381" w:rsidRPr="00A3389E" w:rsidRDefault="00475381" w:rsidP="00475381">
            <w:pPr>
              <w:spacing w:before="60" w:after="120"/>
              <w:jc w:val="both"/>
              <w:rPr>
                <w:rFonts w:ascii="Times New Roman" w:hAnsi="Times New Roman" w:cs="Times New Roman"/>
                <w:b/>
                <w:sz w:val="24"/>
              </w:rPr>
            </w:pPr>
            <w:r w:rsidRPr="00A3389E">
              <w:rPr>
                <w:rFonts w:ascii="Times New Roman" w:hAnsi="Times New Roman" w:cs="Times New Roman"/>
                <w:b/>
                <w:sz w:val="24"/>
              </w:rPr>
              <w:t>Vankúš na zachovanie kapitálu</w:t>
            </w:r>
            <w:r w:rsidR="00A3389E">
              <w:rPr>
                <w:rFonts w:ascii="Times New Roman" w:hAnsi="Times New Roman" w:cs="Times New Roman"/>
                <w:b/>
                <w:sz w:val="24"/>
              </w:rPr>
              <w:t xml:space="preserve"> z </w:t>
            </w:r>
            <w:r w:rsidRPr="00A3389E">
              <w:rPr>
                <w:rFonts w:ascii="Times New Roman" w:hAnsi="Times New Roman" w:cs="Times New Roman"/>
                <w:b/>
                <w:sz w:val="24"/>
              </w:rPr>
              <w:t>dôvodu makroprudenciálneho alebo systémového rizika identifikovaného na úrovni členského štátu (%)</w:t>
            </w:r>
          </w:p>
          <w:p w14:paraId="26288177" w14:textId="33FD3A3D" w:rsidR="009D0637" w:rsidRPr="00A3389E" w:rsidRDefault="009D0637" w:rsidP="0097538A">
            <w:pPr>
              <w:spacing w:before="60" w:after="120"/>
              <w:jc w:val="both"/>
              <w:rPr>
                <w:rFonts w:ascii="Times New Roman" w:hAnsi="Times New Roman" w:cs="Times New Roman"/>
                <w:sz w:val="24"/>
              </w:rPr>
            </w:pPr>
            <w:r w:rsidRPr="00A3389E">
              <w:rPr>
                <w:rFonts w:ascii="Times New Roman" w:hAnsi="Times New Roman" w:cs="Times New Roman"/>
                <w:sz w:val="24"/>
              </w:rPr>
              <w:t>Hodnota vankúša na zachovanie kapitálu</w:t>
            </w:r>
            <w:r w:rsidR="00A3389E">
              <w:rPr>
                <w:rFonts w:ascii="Times New Roman" w:hAnsi="Times New Roman" w:cs="Times New Roman"/>
                <w:sz w:val="24"/>
              </w:rPr>
              <w:t xml:space="preserve"> z </w:t>
            </w:r>
            <w:r w:rsidRPr="00A3389E">
              <w:rPr>
                <w:rFonts w:ascii="Times New Roman" w:hAnsi="Times New Roman" w:cs="Times New Roman"/>
                <w:sz w:val="24"/>
              </w:rPr>
              <w:t>dôvodu makroprudenciálneho alebo systémového rizika identifikovaného na úrovni členského štátu, ktorý sa môže požadovať podľa článku 458 CRR popri vankúši na zachovanie kapitálu, vyjadrená ako percentuálny podiel celkových RWEA.</w:t>
            </w:r>
          </w:p>
        </w:tc>
      </w:tr>
      <w:tr w:rsidR="00475381" w:rsidRPr="00A3389E" w14:paraId="08946B6B" w14:textId="77777777" w:rsidTr="00B2180A">
        <w:trPr>
          <w:trHeight w:val="557"/>
        </w:trPr>
        <w:tc>
          <w:tcPr>
            <w:tcW w:w="1384" w:type="dxa"/>
          </w:tcPr>
          <w:p w14:paraId="1E4DAAD1" w14:textId="77777777" w:rsidR="00475381" w:rsidRPr="00A3389E" w:rsidRDefault="00475381" w:rsidP="00475381">
            <w:pPr>
              <w:pStyle w:val="Applicationdirecte"/>
              <w:spacing w:before="60"/>
              <w:jc w:val="center"/>
            </w:pPr>
            <w:r w:rsidRPr="00A3389E">
              <w:t>9</w:t>
            </w:r>
          </w:p>
        </w:tc>
        <w:tc>
          <w:tcPr>
            <w:tcW w:w="7655" w:type="dxa"/>
          </w:tcPr>
          <w:p w14:paraId="249EE5F9" w14:textId="77777777" w:rsidR="00475381" w:rsidRPr="00A3389E" w:rsidRDefault="00475381" w:rsidP="00475381">
            <w:pPr>
              <w:spacing w:before="60" w:after="120"/>
              <w:jc w:val="both"/>
              <w:rPr>
                <w:rFonts w:ascii="Times New Roman" w:hAnsi="Times New Roman" w:cs="Times New Roman"/>
                <w:b/>
                <w:sz w:val="24"/>
              </w:rPr>
            </w:pPr>
            <w:r w:rsidRPr="00A3389E">
              <w:rPr>
                <w:rFonts w:ascii="Times New Roman" w:hAnsi="Times New Roman" w:cs="Times New Roman"/>
                <w:b/>
                <w:sz w:val="24"/>
              </w:rPr>
              <w:t>Proticyklický kapitálový vankúš špecifický pre inštitúciu (%)</w:t>
            </w:r>
          </w:p>
          <w:p w14:paraId="7EE95752" w14:textId="69C462E3" w:rsidR="008C672C" w:rsidRPr="00A3389E" w:rsidRDefault="008C672C" w:rsidP="00A60806">
            <w:pPr>
              <w:pStyle w:val="InstructionsText"/>
            </w:pPr>
            <w:r w:rsidRPr="00A3389E">
              <w:t>Výška vlastných zdrojov, ktoré musia inštitúcie udržiavať</w:t>
            </w:r>
            <w:r w:rsidR="00A3389E">
              <w:t xml:space="preserve"> v </w:t>
            </w:r>
            <w:r w:rsidRPr="00A3389E">
              <w:t>súlade</w:t>
            </w:r>
            <w:r w:rsidR="00A3389E">
              <w:t xml:space="preserve"> s </w:t>
            </w:r>
            <w:r w:rsidRPr="00A3389E">
              <w:t>článkom 128 ods. 2, článkom 130</w:t>
            </w:r>
            <w:r w:rsidR="00A3389E">
              <w:t xml:space="preserve"> a </w:t>
            </w:r>
            <w:r w:rsidRPr="00A3389E">
              <w:t>článkami 135 až 140 CRD, vyjadrená ako percentuálny podiel celkových RWEA.</w:t>
            </w:r>
          </w:p>
          <w:p w14:paraId="58C7EB22" w14:textId="0A882B9F" w:rsidR="008C672C" w:rsidRPr="00A60806" w:rsidRDefault="008C672C" w:rsidP="002635C4">
            <w:pPr>
              <w:spacing w:before="60" w:after="120"/>
              <w:jc w:val="both"/>
              <w:rPr>
                <w:rFonts w:ascii="Times New Roman" w:hAnsi="Times New Roman" w:cs="Times New Roman"/>
                <w:spacing w:val="-6"/>
                <w:sz w:val="24"/>
              </w:rPr>
            </w:pPr>
            <w:r w:rsidRPr="00A60806">
              <w:rPr>
                <w:rFonts w:ascii="Times New Roman" w:hAnsi="Times New Roman" w:cs="Times New Roman"/>
                <w:spacing w:val="-6"/>
                <w:sz w:val="24"/>
              </w:rPr>
              <w:lastRenderedPageBreak/>
              <w:t>Percentuálny podiel odzrkadľuje výšku vlastných zdrojov potrebných na dodržanie príslušných požiadaviek na kapitálový vankúš</w:t>
            </w:r>
            <w:r w:rsidR="00A3389E" w:rsidRPr="00A60806">
              <w:rPr>
                <w:rFonts w:ascii="Times New Roman" w:hAnsi="Times New Roman" w:cs="Times New Roman"/>
                <w:spacing w:val="-6"/>
                <w:sz w:val="24"/>
              </w:rPr>
              <w:t xml:space="preserve"> k </w:t>
            </w:r>
            <w:r w:rsidRPr="00A60806">
              <w:rPr>
                <w:rFonts w:ascii="Times New Roman" w:hAnsi="Times New Roman" w:cs="Times New Roman"/>
                <w:spacing w:val="-6"/>
                <w:sz w:val="24"/>
              </w:rPr>
              <w:t>dátumu zverejnenia.</w:t>
            </w:r>
          </w:p>
        </w:tc>
      </w:tr>
      <w:tr w:rsidR="00475381" w:rsidRPr="00A3389E" w14:paraId="5668949F" w14:textId="77777777" w:rsidTr="00B2180A">
        <w:trPr>
          <w:trHeight w:val="557"/>
        </w:trPr>
        <w:tc>
          <w:tcPr>
            <w:tcW w:w="1384" w:type="dxa"/>
          </w:tcPr>
          <w:p w14:paraId="40E9A935" w14:textId="77777777" w:rsidR="00475381" w:rsidRPr="00A3389E" w:rsidRDefault="002F1302" w:rsidP="00475381">
            <w:pPr>
              <w:pStyle w:val="Applicationdirecte"/>
              <w:spacing w:before="60"/>
              <w:jc w:val="center"/>
            </w:pPr>
            <w:r w:rsidRPr="00A3389E">
              <w:lastRenderedPageBreak/>
              <w:t>EU 9a</w:t>
            </w:r>
          </w:p>
        </w:tc>
        <w:tc>
          <w:tcPr>
            <w:tcW w:w="7655" w:type="dxa"/>
          </w:tcPr>
          <w:p w14:paraId="5F0D3F14" w14:textId="77777777" w:rsidR="00475381" w:rsidRPr="00A3389E" w:rsidRDefault="00475381" w:rsidP="00475381">
            <w:pPr>
              <w:spacing w:before="60" w:after="120"/>
              <w:jc w:val="both"/>
              <w:rPr>
                <w:rFonts w:ascii="Times New Roman" w:hAnsi="Times New Roman" w:cs="Times New Roman"/>
                <w:b/>
                <w:sz w:val="24"/>
              </w:rPr>
            </w:pPr>
            <w:r w:rsidRPr="00A3389E">
              <w:rPr>
                <w:rFonts w:ascii="Times New Roman" w:hAnsi="Times New Roman" w:cs="Times New Roman"/>
                <w:b/>
                <w:sz w:val="24"/>
              </w:rPr>
              <w:t>Vankúš na krytie systémového rizika (%)</w:t>
            </w:r>
          </w:p>
          <w:p w14:paraId="1A39C087" w14:textId="72A10393" w:rsidR="008C672C" w:rsidRPr="00A60806" w:rsidRDefault="008C672C" w:rsidP="00A60806">
            <w:pPr>
              <w:pStyle w:val="InstructionsText"/>
            </w:pPr>
            <w:r w:rsidRPr="00A60806">
              <w:t>Výška vlastných zdrojov, ktoré musia inštitúcie udržiavať</w:t>
            </w:r>
            <w:r w:rsidR="00A3389E" w:rsidRPr="00A60806">
              <w:t xml:space="preserve"> v </w:t>
            </w:r>
            <w:r w:rsidRPr="00A60806">
              <w:t>súlade</w:t>
            </w:r>
            <w:r w:rsidR="00A3389E" w:rsidRPr="00A60806">
              <w:t xml:space="preserve"> s </w:t>
            </w:r>
            <w:r w:rsidRPr="00A60806">
              <w:t>článkom 128 ods. 5</w:t>
            </w:r>
            <w:r w:rsidR="00A3389E" w:rsidRPr="00A60806">
              <w:t xml:space="preserve"> a </w:t>
            </w:r>
            <w:r w:rsidRPr="00A60806">
              <w:t>článkami 133</w:t>
            </w:r>
            <w:r w:rsidR="00A3389E" w:rsidRPr="00A60806">
              <w:t xml:space="preserve"> a </w:t>
            </w:r>
            <w:r w:rsidRPr="00A60806">
              <w:t>134 CRD, vyjadrená ako percentuálny podiel celkových RWEA.</w:t>
            </w:r>
          </w:p>
          <w:p w14:paraId="349BC1DA" w14:textId="432DB96E" w:rsidR="008C672C" w:rsidRPr="00A3389E" w:rsidRDefault="008C672C" w:rsidP="002635C4">
            <w:pPr>
              <w:spacing w:before="60" w:after="120"/>
              <w:jc w:val="both"/>
              <w:rPr>
                <w:rFonts w:ascii="Times New Roman" w:hAnsi="Times New Roman" w:cs="Times New Roman"/>
                <w:sz w:val="24"/>
              </w:rPr>
            </w:pPr>
            <w:r w:rsidRPr="00A3389E">
              <w:rPr>
                <w:rFonts w:ascii="Times New Roman" w:hAnsi="Times New Roman" w:cs="Times New Roman"/>
                <w:sz w:val="24"/>
              </w:rPr>
              <w:t>Percentuálny podiel odzrkadľuje výšku vlastných zdrojov potrebných na dodržanie príslušných požiadaviek na kapitálový vankúš</w:t>
            </w:r>
            <w:r w:rsidR="00A3389E">
              <w:rPr>
                <w:rFonts w:ascii="Times New Roman" w:hAnsi="Times New Roman" w:cs="Times New Roman"/>
                <w:sz w:val="24"/>
              </w:rPr>
              <w:t xml:space="preserve"> k </w:t>
            </w:r>
            <w:r w:rsidRPr="00A3389E">
              <w:rPr>
                <w:rFonts w:ascii="Times New Roman" w:hAnsi="Times New Roman" w:cs="Times New Roman"/>
                <w:sz w:val="24"/>
              </w:rPr>
              <w:t>dátumu zverejnenia.</w:t>
            </w:r>
          </w:p>
        </w:tc>
      </w:tr>
      <w:tr w:rsidR="00475381" w:rsidRPr="00A3389E" w14:paraId="7ED5CB15" w14:textId="77777777" w:rsidTr="00B2180A">
        <w:trPr>
          <w:trHeight w:val="557"/>
        </w:trPr>
        <w:tc>
          <w:tcPr>
            <w:tcW w:w="1384" w:type="dxa"/>
          </w:tcPr>
          <w:p w14:paraId="051A7C18" w14:textId="77777777" w:rsidR="00475381" w:rsidRPr="00A3389E" w:rsidRDefault="00475381" w:rsidP="00475381">
            <w:pPr>
              <w:pStyle w:val="Applicationdirecte"/>
              <w:spacing w:before="60"/>
              <w:jc w:val="center"/>
            </w:pPr>
            <w:r w:rsidRPr="00A3389E">
              <w:t>10</w:t>
            </w:r>
          </w:p>
        </w:tc>
        <w:tc>
          <w:tcPr>
            <w:tcW w:w="7655" w:type="dxa"/>
          </w:tcPr>
          <w:p w14:paraId="64176082" w14:textId="77777777" w:rsidR="00475381" w:rsidRPr="00A3389E" w:rsidRDefault="00475381" w:rsidP="00475381">
            <w:pPr>
              <w:spacing w:before="60" w:after="120"/>
              <w:jc w:val="both"/>
              <w:rPr>
                <w:rFonts w:ascii="Times New Roman" w:hAnsi="Times New Roman" w:cs="Times New Roman"/>
                <w:b/>
                <w:sz w:val="24"/>
              </w:rPr>
            </w:pPr>
            <w:r w:rsidRPr="00A3389E">
              <w:rPr>
                <w:rFonts w:ascii="Times New Roman" w:hAnsi="Times New Roman" w:cs="Times New Roman"/>
                <w:b/>
                <w:sz w:val="24"/>
              </w:rPr>
              <w:t>Vankúš pre globálne systémovo významné inštitúcie (%)</w:t>
            </w:r>
          </w:p>
          <w:p w14:paraId="6FDE597A" w14:textId="42DB1C79" w:rsidR="00F16314" w:rsidRPr="00A60806" w:rsidRDefault="00F16314" w:rsidP="00A60806">
            <w:pPr>
              <w:pStyle w:val="InstructionsText"/>
            </w:pPr>
            <w:r w:rsidRPr="00A60806">
              <w:t>Výška vlastných zdrojov, ktoré musia inštitúcie udržiavať</w:t>
            </w:r>
            <w:r w:rsidR="00A3389E" w:rsidRPr="00A60806">
              <w:t xml:space="preserve"> v </w:t>
            </w:r>
            <w:r w:rsidRPr="00A60806">
              <w:t>súlade</w:t>
            </w:r>
            <w:r w:rsidR="00A3389E" w:rsidRPr="00A60806">
              <w:t xml:space="preserve"> s </w:t>
            </w:r>
            <w:r w:rsidRPr="00A60806">
              <w:t>článkom 128 ods. 3</w:t>
            </w:r>
            <w:r w:rsidR="00A3389E" w:rsidRPr="00A60806">
              <w:t xml:space="preserve"> a </w:t>
            </w:r>
            <w:r w:rsidRPr="00A60806">
              <w:t>článkom 131 CRD, vyjadrená ako percentuálny podiel celkových RWEA.</w:t>
            </w:r>
          </w:p>
          <w:p w14:paraId="401B9FFF" w14:textId="568250EE" w:rsidR="00F16314" w:rsidRPr="00A3389E" w:rsidRDefault="00F16314" w:rsidP="002635C4">
            <w:pPr>
              <w:spacing w:before="60" w:after="120"/>
              <w:jc w:val="both"/>
              <w:rPr>
                <w:rFonts w:ascii="Times New Roman" w:hAnsi="Times New Roman" w:cs="Times New Roman"/>
                <w:sz w:val="24"/>
              </w:rPr>
            </w:pPr>
            <w:r w:rsidRPr="00A3389E">
              <w:rPr>
                <w:rFonts w:ascii="Times New Roman" w:hAnsi="Times New Roman" w:cs="Times New Roman"/>
                <w:sz w:val="24"/>
              </w:rPr>
              <w:t>Percentuálny podiel odzrkadľuje výšku vlastných zdrojov potrebných na dodržanie príslušných požiadaviek na kapitálový vankúš</w:t>
            </w:r>
            <w:r w:rsidR="00A3389E">
              <w:rPr>
                <w:rFonts w:ascii="Times New Roman" w:hAnsi="Times New Roman" w:cs="Times New Roman"/>
                <w:sz w:val="24"/>
              </w:rPr>
              <w:t xml:space="preserve"> k </w:t>
            </w:r>
            <w:r w:rsidRPr="00A3389E">
              <w:rPr>
                <w:rFonts w:ascii="Times New Roman" w:hAnsi="Times New Roman" w:cs="Times New Roman"/>
                <w:sz w:val="24"/>
              </w:rPr>
              <w:t>dátumu zverejnenia.</w:t>
            </w:r>
          </w:p>
        </w:tc>
      </w:tr>
      <w:tr w:rsidR="00BB2F0A" w:rsidRPr="00A3389E" w14:paraId="4FAC19E0" w14:textId="77777777" w:rsidTr="00B2180A">
        <w:trPr>
          <w:trHeight w:val="557"/>
        </w:trPr>
        <w:tc>
          <w:tcPr>
            <w:tcW w:w="1384" w:type="dxa"/>
          </w:tcPr>
          <w:p w14:paraId="6ADCCF79" w14:textId="77777777" w:rsidR="00BB2F0A" w:rsidRPr="00A3389E" w:rsidRDefault="002F1302" w:rsidP="00BB2F0A">
            <w:pPr>
              <w:pStyle w:val="Applicationdirecte"/>
              <w:spacing w:before="60"/>
              <w:jc w:val="center"/>
            </w:pPr>
            <w:r w:rsidRPr="00A3389E">
              <w:t>EU 10a</w:t>
            </w:r>
          </w:p>
        </w:tc>
        <w:tc>
          <w:tcPr>
            <w:tcW w:w="7655" w:type="dxa"/>
          </w:tcPr>
          <w:p w14:paraId="3410560F" w14:textId="77777777" w:rsidR="00BB2F0A" w:rsidRPr="00A3389E" w:rsidRDefault="00BB2F0A"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Vankúš pre inak systémovo významné inštitúcie (%)</w:t>
            </w:r>
          </w:p>
          <w:p w14:paraId="71C25616" w14:textId="36B69403" w:rsidR="00F16314" w:rsidRPr="00A60806" w:rsidRDefault="00F16314" w:rsidP="00F16314">
            <w:pPr>
              <w:spacing w:before="60" w:after="120"/>
              <w:jc w:val="both"/>
              <w:rPr>
                <w:rFonts w:ascii="Times New Roman" w:hAnsi="Times New Roman" w:cs="Times New Roman"/>
                <w:spacing w:val="-6"/>
                <w:sz w:val="24"/>
              </w:rPr>
            </w:pPr>
            <w:r w:rsidRPr="00A60806">
              <w:rPr>
                <w:rFonts w:ascii="Times New Roman" w:hAnsi="Times New Roman" w:cs="Times New Roman"/>
                <w:spacing w:val="-6"/>
                <w:sz w:val="24"/>
              </w:rPr>
              <w:t>Výška vlastných zdrojov, ktoré musia inštitúcie udržiavať</w:t>
            </w:r>
            <w:r w:rsidR="00A3389E" w:rsidRPr="00A60806">
              <w:rPr>
                <w:rFonts w:ascii="Times New Roman" w:hAnsi="Times New Roman" w:cs="Times New Roman"/>
                <w:spacing w:val="-6"/>
                <w:sz w:val="24"/>
              </w:rPr>
              <w:t xml:space="preserve"> v </w:t>
            </w:r>
            <w:r w:rsidRPr="00A60806">
              <w:rPr>
                <w:rFonts w:ascii="Times New Roman" w:hAnsi="Times New Roman" w:cs="Times New Roman"/>
                <w:spacing w:val="-6"/>
                <w:sz w:val="24"/>
              </w:rPr>
              <w:t>súlade</w:t>
            </w:r>
            <w:r w:rsidR="00A3389E" w:rsidRPr="00A60806">
              <w:rPr>
                <w:rFonts w:ascii="Times New Roman" w:hAnsi="Times New Roman" w:cs="Times New Roman"/>
                <w:spacing w:val="-6"/>
                <w:sz w:val="24"/>
              </w:rPr>
              <w:t xml:space="preserve"> s </w:t>
            </w:r>
            <w:r w:rsidRPr="00A60806">
              <w:rPr>
                <w:rFonts w:ascii="Times New Roman" w:hAnsi="Times New Roman" w:cs="Times New Roman"/>
                <w:spacing w:val="-6"/>
                <w:sz w:val="24"/>
              </w:rPr>
              <w:t>článkom 128 ods. 4</w:t>
            </w:r>
            <w:r w:rsidR="00A3389E" w:rsidRPr="00A60806">
              <w:rPr>
                <w:rFonts w:ascii="Times New Roman" w:hAnsi="Times New Roman" w:cs="Times New Roman"/>
                <w:spacing w:val="-6"/>
                <w:sz w:val="24"/>
              </w:rPr>
              <w:t xml:space="preserve"> a </w:t>
            </w:r>
            <w:r w:rsidRPr="00A60806">
              <w:rPr>
                <w:rFonts w:ascii="Times New Roman" w:hAnsi="Times New Roman" w:cs="Times New Roman"/>
                <w:spacing w:val="-6"/>
                <w:sz w:val="24"/>
              </w:rPr>
              <w:t>článkom 131 CRD, vyjadrená ako percentuálny podiel celkových RWEA.</w:t>
            </w:r>
          </w:p>
          <w:p w14:paraId="476D85A0" w14:textId="007A821B" w:rsidR="00F16314" w:rsidRPr="00A3389E" w:rsidRDefault="00F16314" w:rsidP="002635C4">
            <w:pPr>
              <w:spacing w:before="60" w:after="120"/>
              <w:jc w:val="both"/>
              <w:rPr>
                <w:rFonts w:ascii="Times New Roman" w:hAnsi="Times New Roman" w:cs="Times New Roman"/>
                <w:sz w:val="24"/>
              </w:rPr>
            </w:pPr>
            <w:r w:rsidRPr="00A3389E">
              <w:rPr>
                <w:rFonts w:ascii="Times New Roman" w:hAnsi="Times New Roman" w:cs="Times New Roman"/>
                <w:sz w:val="24"/>
              </w:rPr>
              <w:t>Percentuálny podiel odzrkadľuje výšku vlastných zdrojov potrebných na dodržanie príslušných požiadaviek na kapitálový vankúš</w:t>
            </w:r>
            <w:r w:rsidR="00A3389E">
              <w:rPr>
                <w:rFonts w:ascii="Times New Roman" w:hAnsi="Times New Roman" w:cs="Times New Roman"/>
                <w:sz w:val="24"/>
              </w:rPr>
              <w:t xml:space="preserve"> k </w:t>
            </w:r>
            <w:r w:rsidRPr="00A3389E">
              <w:rPr>
                <w:rFonts w:ascii="Times New Roman" w:hAnsi="Times New Roman" w:cs="Times New Roman"/>
                <w:sz w:val="24"/>
              </w:rPr>
              <w:t>dátumu zverejnenia.</w:t>
            </w:r>
          </w:p>
        </w:tc>
      </w:tr>
      <w:tr w:rsidR="00BB2F0A" w:rsidRPr="00A3389E" w14:paraId="5C215ABD" w14:textId="77777777" w:rsidTr="00B2180A">
        <w:trPr>
          <w:trHeight w:val="557"/>
        </w:trPr>
        <w:tc>
          <w:tcPr>
            <w:tcW w:w="1384" w:type="dxa"/>
          </w:tcPr>
          <w:p w14:paraId="18697C8C" w14:textId="77777777" w:rsidR="00BB2F0A" w:rsidRPr="00A3389E" w:rsidRDefault="00BB2F0A" w:rsidP="00BB2F0A">
            <w:pPr>
              <w:pStyle w:val="Applicationdirecte"/>
              <w:spacing w:before="60"/>
              <w:jc w:val="center"/>
            </w:pPr>
            <w:r w:rsidRPr="00A3389E">
              <w:t>11</w:t>
            </w:r>
          </w:p>
        </w:tc>
        <w:tc>
          <w:tcPr>
            <w:tcW w:w="7655" w:type="dxa"/>
          </w:tcPr>
          <w:p w14:paraId="21DBB5FE" w14:textId="77777777" w:rsidR="00BB2F0A" w:rsidRPr="00A3389E" w:rsidRDefault="00BB2F0A"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Požiadavka na kombinovaný vankúš (%)</w:t>
            </w:r>
          </w:p>
          <w:p w14:paraId="04E18E6B" w14:textId="46FA07C2" w:rsidR="00F16314" w:rsidRPr="00A3389E" w:rsidRDefault="009D10AD" w:rsidP="00A239F6">
            <w:pPr>
              <w:spacing w:before="60" w:after="120"/>
              <w:jc w:val="both"/>
              <w:rPr>
                <w:rFonts w:ascii="Times New Roman" w:hAnsi="Times New Roman" w:cs="Times New Roman"/>
                <w:sz w:val="24"/>
              </w:rPr>
            </w:pPr>
            <w:r w:rsidRPr="00A3389E">
              <w:rPr>
                <w:rFonts w:ascii="Times New Roman" w:hAnsi="Times New Roman" w:cs="Times New Roman"/>
                <w:sz w:val="24"/>
              </w:rPr>
              <w:t>V súlade</w:t>
            </w:r>
            <w:r w:rsidR="00A3389E">
              <w:rPr>
                <w:rFonts w:ascii="Times New Roman" w:hAnsi="Times New Roman" w:cs="Times New Roman"/>
                <w:sz w:val="24"/>
              </w:rPr>
              <w:t xml:space="preserve"> s </w:t>
            </w:r>
            <w:r w:rsidRPr="00A3389E">
              <w:rPr>
                <w:rFonts w:ascii="Times New Roman" w:hAnsi="Times New Roman" w:cs="Times New Roman"/>
                <w:sz w:val="24"/>
              </w:rPr>
              <w:t>článkom 128 ods. 6 CRD, vyjadrená ako percentuálny podiel celkových RWEA.</w:t>
            </w:r>
          </w:p>
        </w:tc>
      </w:tr>
      <w:tr w:rsidR="00BB2F0A" w:rsidRPr="00A3389E" w14:paraId="699D0388" w14:textId="77777777" w:rsidTr="00B2180A">
        <w:trPr>
          <w:trHeight w:val="557"/>
        </w:trPr>
        <w:tc>
          <w:tcPr>
            <w:tcW w:w="1384" w:type="dxa"/>
          </w:tcPr>
          <w:p w14:paraId="06A2E386" w14:textId="77777777" w:rsidR="00BB2F0A" w:rsidRPr="00A3389E" w:rsidRDefault="002F1302" w:rsidP="00BB2F0A">
            <w:pPr>
              <w:pStyle w:val="Applicationdirecte"/>
              <w:spacing w:before="60"/>
              <w:jc w:val="center"/>
            </w:pPr>
            <w:r w:rsidRPr="00A3389E">
              <w:t>EU 11a</w:t>
            </w:r>
          </w:p>
        </w:tc>
        <w:tc>
          <w:tcPr>
            <w:tcW w:w="7655" w:type="dxa"/>
          </w:tcPr>
          <w:p w14:paraId="31FF3D82" w14:textId="77777777" w:rsidR="00BB2F0A" w:rsidRPr="00A3389E" w:rsidRDefault="00BB2F0A"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Celkové kapitálové požiadavky (OCR) (%)</w:t>
            </w:r>
          </w:p>
          <w:p w14:paraId="27E7760D" w14:textId="13811C6E" w:rsidR="003F72E2" w:rsidRPr="00A3389E" w:rsidRDefault="003F72E2" w:rsidP="00A60806">
            <w:pPr>
              <w:pStyle w:val="InstructionsText"/>
            </w:pPr>
            <w:r w:rsidRPr="00A3389E">
              <w:t>Súčet bodov i)</w:t>
            </w:r>
            <w:r w:rsidR="00A3389E">
              <w:t xml:space="preserve"> a </w:t>
            </w:r>
            <w:r w:rsidRPr="00A3389E">
              <w:t>ii) takto:</w:t>
            </w:r>
          </w:p>
          <w:p w14:paraId="75A891AF" w14:textId="26EB7B73" w:rsidR="003F72E2" w:rsidRPr="00A3389E" w:rsidRDefault="00A3389E" w:rsidP="00A60806">
            <w:pPr>
              <w:pStyle w:val="InstructionsText"/>
            </w:pPr>
            <w:r w:rsidRPr="00A3389E">
              <w:t>i)</w:t>
            </w:r>
            <w:r w:rsidRPr="00A3389E">
              <w:tab/>
            </w:r>
            <w:r w:rsidR="003F72E2" w:rsidRPr="00A3389E">
              <w:t>podiel TSCR uvedený</w:t>
            </w:r>
            <w:r>
              <w:t xml:space="preserve"> v </w:t>
            </w:r>
            <w:r w:rsidR="003F72E2" w:rsidRPr="00A3389E">
              <w:t>riadku EU 7d;</w:t>
            </w:r>
          </w:p>
          <w:p w14:paraId="5EE9D2EB" w14:textId="699F120A" w:rsidR="003F72E2" w:rsidRPr="00A3389E" w:rsidRDefault="00A3389E" w:rsidP="00A60806">
            <w:pPr>
              <w:pStyle w:val="InstructionsText"/>
            </w:pPr>
            <w:r w:rsidRPr="00A3389E">
              <w:t>ii)</w:t>
            </w:r>
            <w:r w:rsidRPr="00A3389E">
              <w:tab/>
            </w:r>
            <w:r w:rsidR="003F72E2" w:rsidRPr="00A3389E">
              <w:t>v rozsahu,</w:t>
            </w:r>
            <w:r>
              <w:t xml:space="preserve"> v </w:t>
            </w:r>
            <w:r w:rsidR="003F72E2" w:rsidRPr="00A3389E">
              <w:t>akom je zákonne uplatniteľný, podiel požiadavky na kombinovaný vankúš uvedenej</w:t>
            </w:r>
            <w:r>
              <w:t xml:space="preserve"> v </w:t>
            </w:r>
            <w:r w:rsidR="003F72E2" w:rsidRPr="00A3389E">
              <w:t>článku 128 ods. 6) CRD.</w:t>
            </w:r>
          </w:p>
          <w:p w14:paraId="4B4D7463" w14:textId="31184FC0" w:rsidR="003F72E2" w:rsidRPr="00A3389E" w:rsidRDefault="003F72E2" w:rsidP="00A60806">
            <w:pPr>
              <w:pStyle w:val="InstructionsText"/>
            </w:pPr>
            <w:r w:rsidRPr="00A3389E">
              <w:t>Táto položka odráža podiel celkovej kapitálovej požiadavky (OCR)</w:t>
            </w:r>
            <w:r w:rsidR="00A3389E">
              <w:t xml:space="preserve"> v </w:t>
            </w:r>
            <w:r w:rsidRPr="00A3389E">
              <w:t>zmysle vymedzenia</w:t>
            </w:r>
            <w:r w:rsidR="00A3389E">
              <w:t xml:space="preserve"> v </w:t>
            </w:r>
            <w:r w:rsidRPr="00A3389E">
              <w:t>oddiele 1.2 dokumentu EBA SREP GL.</w:t>
            </w:r>
          </w:p>
          <w:p w14:paraId="7576CCD5" w14:textId="5E65E58F" w:rsidR="003F72E2" w:rsidRPr="00A3389E" w:rsidRDefault="00704085" w:rsidP="003F72E2">
            <w:pPr>
              <w:spacing w:before="60" w:after="120"/>
              <w:jc w:val="both"/>
              <w:rPr>
                <w:rFonts w:ascii="Times New Roman" w:hAnsi="Times New Roman" w:cs="Times New Roman"/>
                <w:sz w:val="24"/>
              </w:rPr>
            </w:pPr>
            <w:r w:rsidRPr="00A3389E">
              <w:rPr>
                <w:rFonts w:ascii="Times New Roman" w:hAnsi="Times New Roman" w:cs="Times New Roman"/>
                <w:sz w:val="24"/>
              </w:rPr>
              <w:t>Ak sa neuplatňuje žiadna požiadavka na vankúš, zverejňuje sa iba bod i).</w:t>
            </w:r>
          </w:p>
        </w:tc>
      </w:tr>
      <w:tr w:rsidR="00BB2F0A" w:rsidRPr="00A3389E" w14:paraId="0C274874" w14:textId="77777777" w:rsidTr="00B2180A">
        <w:trPr>
          <w:trHeight w:val="557"/>
        </w:trPr>
        <w:tc>
          <w:tcPr>
            <w:tcW w:w="1384" w:type="dxa"/>
          </w:tcPr>
          <w:p w14:paraId="479D77DC" w14:textId="77777777" w:rsidR="00BB2F0A" w:rsidRPr="00A3389E" w:rsidRDefault="00BB2F0A" w:rsidP="00BB2F0A">
            <w:pPr>
              <w:pStyle w:val="Applicationdirecte"/>
              <w:spacing w:before="60"/>
              <w:jc w:val="center"/>
            </w:pPr>
            <w:r w:rsidRPr="00A3389E">
              <w:t>12</w:t>
            </w:r>
          </w:p>
        </w:tc>
        <w:tc>
          <w:tcPr>
            <w:tcW w:w="7655" w:type="dxa"/>
          </w:tcPr>
          <w:p w14:paraId="7F0C0BA2" w14:textId="77777777" w:rsidR="009947D6" w:rsidRPr="00A3389E" w:rsidRDefault="00BB2F0A"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Kapitál CET1 dostupný po splnení požiadaviek na celkové vlastné zdroje podľa SREP (%)</w:t>
            </w:r>
          </w:p>
        </w:tc>
      </w:tr>
      <w:tr w:rsidR="00BB2F0A" w:rsidRPr="00A3389E" w14:paraId="49BB5E23" w14:textId="77777777" w:rsidTr="00B2180A">
        <w:trPr>
          <w:trHeight w:val="557"/>
        </w:trPr>
        <w:tc>
          <w:tcPr>
            <w:tcW w:w="1384" w:type="dxa"/>
          </w:tcPr>
          <w:p w14:paraId="5A1354B1" w14:textId="77777777" w:rsidR="00BB2F0A" w:rsidRPr="00A3389E" w:rsidRDefault="00BB2F0A" w:rsidP="00BB2F0A">
            <w:pPr>
              <w:pStyle w:val="Applicationdirecte"/>
              <w:spacing w:before="60"/>
              <w:jc w:val="center"/>
            </w:pPr>
            <w:r w:rsidRPr="00A3389E">
              <w:lastRenderedPageBreak/>
              <w:t>13</w:t>
            </w:r>
          </w:p>
        </w:tc>
        <w:tc>
          <w:tcPr>
            <w:tcW w:w="7655" w:type="dxa"/>
          </w:tcPr>
          <w:p w14:paraId="32A5003D" w14:textId="06248F32" w:rsidR="00BB2F0A" w:rsidRPr="00A3389E" w:rsidRDefault="002E24A1"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Veľkosť celkovej expozície</w:t>
            </w:r>
          </w:p>
          <w:p w14:paraId="7F06FA40" w14:textId="615FB41B" w:rsidR="00BB2F0A" w:rsidRPr="00A3389E" w:rsidRDefault="00A239F6" w:rsidP="00A239F6">
            <w:pPr>
              <w:spacing w:before="60" w:after="120"/>
              <w:jc w:val="both"/>
              <w:rPr>
                <w:rFonts w:ascii="Times New Roman" w:hAnsi="Times New Roman" w:cs="Times New Roman"/>
                <w:sz w:val="24"/>
              </w:rPr>
            </w:pPr>
            <w:r w:rsidRPr="00A3389E">
              <w:rPr>
                <w:rFonts w:ascii="Times New Roman" w:hAnsi="Times New Roman" w:cs="Times New Roman"/>
                <w:sz w:val="24"/>
              </w:rPr>
              <w:t>Veľkosť celkovej expozície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hodnotou zverejnenou inštitúciami</w:t>
            </w:r>
            <w:r w:rsidR="00A3389E">
              <w:rPr>
                <w:rFonts w:ascii="Times New Roman" w:hAnsi="Times New Roman" w:cs="Times New Roman"/>
                <w:sz w:val="24"/>
              </w:rPr>
              <w:t xml:space="preserve"> v </w:t>
            </w:r>
            <w:r w:rsidRPr="00A3389E">
              <w:rPr>
                <w:rFonts w:ascii="Times New Roman" w:hAnsi="Times New Roman" w:cs="Times New Roman"/>
                <w:sz w:val="24"/>
              </w:rPr>
              <w:t>prílohe XI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24 vzoru EU LR2 – LRCom: harmonizované zverejňovanie ukazovateľa finančnej páky).</w:t>
            </w:r>
          </w:p>
        </w:tc>
      </w:tr>
      <w:tr w:rsidR="00BB2F0A" w:rsidRPr="00A3389E" w14:paraId="196409C3" w14:textId="77777777" w:rsidTr="00B2180A">
        <w:trPr>
          <w:trHeight w:val="557"/>
        </w:trPr>
        <w:tc>
          <w:tcPr>
            <w:tcW w:w="1384" w:type="dxa"/>
          </w:tcPr>
          <w:p w14:paraId="34174C57" w14:textId="77777777" w:rsidR="00BB2F0A" w:rsidRPr="00A3389E" w:rsidRDefault="00BB2F0A" w:rsidP="00BB2F0A">
            <w:pPr>
              <w:pStyle w:val="Applicationdirecte"/>
              <w:spacing w:before="60"/>
              <w:jc w:val="center"/>
            </w:pPr>
            <w:r w:rsidRPr="00A3389E">
              <w:t>14</w:t>
            </w:r>
          </w:p>
        </w:tc>
        <w:tc>
          <w:tcPr>
            <w:tcW w:w="7655" w:type="dxa"/>
          </w:tcPr>
          <w:p w14:paraId="7CD88775" w14:textId="77777777" w:rsidR="00BB2F0A" w:rsidRPr="00A3389E" w:rsidRDefault="00BB2F0A"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Ukazovateľ finančnej páky (%)</w:t>
            </w:r>
          </w:p>
          <w:p w14:paraId="19D19C40" w14:textId="36F5E4C9" w:rsidR="00BB2F0A" w:rsidRPr="00A3389E" w:rsidRDefault="00BB2F0A" w:rsidP="00416DAD">
            <w:pPr>
              <w:spacing w:before="60" w:after="120"/>
              <w:jc w:val="both"/>
              <w:rPr>
                <w:rFonts w:ascii="Times New Roman" w:hAnsi="Times New Roman" w:cs="Times New Roman"/>
                <w:color w:val="FF0000"/>
                <w:sz w:val="24"/>
              </w:rPr>
            </w:pPr>
            <w:r w:rsidRPr="00A3389E">
              <w:rPr>
                <w:rFonts w:ascii="Times New Roman" w:hAnsi="Times New Roman" w:cs="Times New Roman"/>
                <w:sz w:val="24"/>
              </w:rPr>
              <w:t>Ukazovateľ finančnej páky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hodnotou zverejnenou inštitúciami</w:t>
            </w:r>
            <w:r w:rsidR="00A3389E">
              <w:rPr>
                <w:rFonts w:ascii="Times New Roman" w:hAnsi="Times New Roman" w:cs="Times New Roman"/>
                <w:sz w:val="24"/>
              </w:rPr>
              <w:t xml:space="preserve"> v </w:t>
            </w:r>
            <w:r w:rsidRPr="00A3389E">
              <w:rPr>
                <w:rFonts w:ascii="Times New Roman" w:hAnsi="Times New Roman" w:cs="Times New Roman"/>
                <w:sz w:val="24"/>
              </w:rPr>
              <w:t>prílohe XI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25 vzoru EU LR2 – LRCom: harmonizované zverejňovanie ukazovateľa finančnej páky).</w:t>
            </w:r>
          </w:p>
        </w:tc>
      </w:tr>
      <w:tr w:rsidR="00505188" w:rsidRPr="00A3389E" w14:paraId="4B0B4246" w14:textId="77777777" w:rsidTr="001C2D18">
        <w:trPr>
          <w:trHeight w:val="557"/>
        </w:trPr>
        <w:tc>
          <w:tcPr>
            <w:tcW w:w="1384" w:type="dxa"/>
          </w:tcPr>
          <w:p w14:paraId="2DD72E65" w14:textId="373D5569" w:rsidR="00505188" w:rsidRPr="00A3389E" w:rsidRDefault="00505188" w:rsidP="00275B5E">
            <w:pPr>
              <w:pStyle w:val="Applicationdirecte"/>
              <w:spacing w:before="60"/>
              <w:jc w:val="center"/>
            </w:pPr>
            <w:r w:rsidRPr="00A3389E">
              <w:t>EU 14a</w:t>
            </w:r>
          </w:p>
        </w:tc>
        <w:tc>
          <w:tcPr>
            <w:tcW w:w="7655" w:type="dxa"/>
          </w:tcPr>
          <w:p w14:paraId="3966C381" w14:textId="77777777" w:rsidR="00A3389E" w:rsidRPr="00A3389E" w:rsidRDefault="00505188" w:rsidP="001C2D18">
            <w:pPr>
              <w:spacing w:before="60" w:after="120"/>
              <w:jc w:val="both"/>
              <w:rPr>
                <w:rFonts w:ascii="Times New Roman" w:hAnsi="Times New Roman" w:cs="Times New Roman"/>
                <w:b/>
                <w:sz w:val="24"/>
              </w:rPr>
            </w:pPr>
            <w:r w:rsidRPr="00A3389E">
              <w:rPr>
                <w:rFonts w:ascii="Times New Roman" w:hAnsi="Times New Roman" w:cs="Times New Roman"/>
                <w:b/>
                <w:sz w:val="24"/>
              </w:rPr>
              <w:t>Dodatočné požiadavky na vlastné zdroje na riešenie rizika nadmerného využívania finančnej páky (%)</w:t>
            </w:r>
          </w:p>
          <w:p w14:paraId="3A5868D6" w14:textId="1C27AEBA" w:rsidR="00A3389E" w:rsidRPr="00A60806" w:rsidRDefault="00597D20" w:rsidP="00597D20">
            <w:pPr>
              <w:spacing w:before="60" w:after="120"/>
              <w:jc w:val="both"/>
              <w:rPr>
                <w:rFonts w:ascii="Times New Roman" w:hAnsi="Times New Roman" w:cs="Times New Roman"/>
                <w:spacing w:val="-6"/>
                <w:sz w:val="24"/>
                <w:shd w:val="clear" w:color="auto" w:fill="FFFFFF"/>
              </w:rPr>
            </w:pPr>
            <w:r w:rsidRPr="00A60806">
              <w:rPr>
                <w:rFonts w:ascii="Times New Roman" w:hAnsi="Times New Roman" w:cs="Times New Roman"/>
                <w:spacing w:val="-6"/>
                <w:sz w:val="24"/>
                <w:shd w:val="clear" w:color="auto" w:fill="FFFFFF"/>
              </w:rPr>
              <w:t>Dodatočné</w:t>
            </w:r>
            <w:r w:rsidRPr="00A60806">
              <w:rPr>
                <w:rFonts w:ascii="Times New Roman" w:hAnsi="Times New Roman" w:cs="Times New Roman"/>
                <w:spacing w:val="-6"/>
                <w:sz w:val="24"/>
              </w:rPr>
              <w:t xml:space="preserve"> požiadavky </w:t>
            </w:r>
            <w:r w:rsidRPr="00A60806">
              <w:rPr>
                <w:rFonts w:ascii="Times New Roman" w:hAnsi="Times New Roman" w:cs="Times New Roman"/>
                <w:spacing w:val="-6"/>
                <w:sz w:val="24"/>
                <w:shd w:val="clear" w:color="auto" w:fill="FFFFFF"/>
              </w:rPr>
              <w:t>na vlastné zdroje</w:t>
            </w:r>
            <w:r w:rsidRPr="00A60806">
              <w:rPr>
                <w:rFonts w:ascii="Times New Roman" w:hAnsi="Times New Roman" w:cs="Times New Roman"/>
                <w:spacing w:val="-6"/>
                <w:sz w:val="24"/>
              </w:rPr>
              <w:t xml:space="preserve"> na </w:t>
            </w:r>
            <w:r w:rsidRPr="00A60806">
              <w:rPr>
                <w:rFonts w:ascii="Times New Roman" w:hAnsi="Times New Roman" w:cs="Times New Roman"/>
                <w:spacing w:val="-6"/>
                <w:sz w:val="24"/>
                <w:shd w:val="clear" w:color="auto" w:fill="FFFFFF"/>
              </w:rPr>
              <w:t>riešenie rizika nadmerného využívania finančnej páky</w:t>
            </w:r>
            <w:r w:rsidRPr="00A60806">
              <w:rPr>
                <w:rFonts w:ascii="Times New Roman" w:hAnsi="Times New Roman" w:cs="Times New Roman"/>
                <w:spacing w:val="-6"/>
                <w:sz w:val="24"/>
              </w:rPr>
              <w:t xml:space="preserve">, ktoré uložil príslušný orgán podľa článku 104 ods. 1 písm. a) CRD, </w:t>
            </w:r>
            <w:r w:rsidRPr="00A60806">
              <w:rPr>
                <w:rFonts w:ascii="Times New Roman" w:hAnsi="Times New Roman" w:cs="Times New Roman"/>
                <w:spacing w:val="-6"/>
                <w:sz w:val="24"/>
                <w:shd w:val="clear" w:color="auto" w:fill="FFFFFF"/>
              </w:rPr>
              <w:t>vyjadrené ako percentuálny podiel veľkosti celkovej expozície</w:t>
            </w:r>
            <w:r w:rsidR="00A3389E" w:rsidRPr="00A60806">
              <w:rPr>
                <w:rFonts w:ascii="Times New Roman" w:hAnsi="Times New Roman" w:cs="Times New Roman"/>
                <w:spacing w:val="-6"/>
                <w:sz w:val="24"/>
                <w:shd w:val="clear" w:color="auto" w:fill="FFFFFF"/>
              </w:rPr>
              <w:t>.</w:t>
            </w:r>
          </w:p>
          <w:p w14:paraId="46E7F0BC" w14:textId="53C98790" w:rsidR="000C1BEC" w:rsidRPr="00A3389E" w:rsidRDefault="00597D20" w:rsidP="00597D20">
            <w:pPr>
              <w:spacing w:before="60" w:after="120"/>
              <w:jc w:val="both"/>
              <w:rPr>
                <w:rFonts w:ascii="Times New Roman" w:hAnsi="Times New Roman" w:cs="Times New Roman"/>
                <w:sz w:val="24"/>
              </w:rPr>
            </w:pPr>
            <w:r w:rsidRPr="00A3389E">
              <w:rPr>
                <w:rFonts w:ascii="Times New Roman" w:hAnsi="Times New Roman" w:cs="Times New Roman"/>
                <w:sz w:val="24"/>
              </w:rPr>
              <w:t>Dodatočné požiadavky na vlastné zdroje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hodnotou zverejnenou inštitúciami</w:t>
            </w:r>
            <w:r w:rsidR="00A3389E">
              <w:rPr>
                <w:rFonts w:ascii="Times New Roman" w:hAnsi="Times New Roman" w:cs="Times New Roman"/>
                <w:sz w:val="24"/>
              </w:rPr>
              <w:t xml:space="preserve"> v </w:t>
            </w:r>
            <w:r w:rsidRPr="00A3389E">
              <w:rPr>
                <w:rFonts w:ascii="Times New Roman" w:hAnsi="Times New Roman" w:cs="Times New Roman"/>
                <w:sz w:val="24"/>
              </w:rPr>
              <w:t>prílohe XI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EU-26a vzoru EU LR2 – LRCom: harmonizované zverejňovanie ukazovateľa finančnej páky).</w:t>
            </w:r>
          </w:p>
        </w:tc>
      </w:tr>
      <w:tr w:rsidR="00505188" w:rsidRPr="00A3389E" w14:paraId="36EBE00D" w14:textId="77777777" w:rsidTr="001C2D18">
        <w:trPr>
          <w:trHeight w:val="557"/>
        </w:trPr>
        <w:tc>
          <w:tcPr>
            <w:tcW w:w="1384" w:type="dxa"/>
          </w:tcPr>
          <w:p w14:paraId="09FA5971" w14:textId="32273074" w:rsidR="00505188" w:rsidRPr="00A3389E" w:rsidRDefault="00505188" w:rsidP="00597D20">
            <w:pPr>
              <w:pStyle w:val="Applicationdirecte"/>
              <w:spacing w:before="60"/>
              <w:jc w:val="center"/>
            </w:pPr>
            <w:r w:rsidRPr="00A3389E">
              <w:t>EU 14b</w:t>
            </w:r>
          </w:p>
        </w:tc>
        <w:tc>
          <w:tcPr>
            <w:tcW w:w="7655" w:type="dxa"/>
          </w:tcPr>
          <w:p w14:paraId="2B7D35CB" w14:textId="044B0A52" w:rsidR="00381E59" w:rsidRPr="00A3389E" w:rsidRDefault="00A60806" w:rsidP="00597D20">
            <w:pPr>
              <w:spacing w:before="60" w:after="120"/>
              <w:jc w:val="both"/>
              <w:rPr>
                <w:rFonts w:ascii="Times New Roman" w:hAnsi="Times New Roman" w:cs="Times New Roman"/>
                <w:b/>
                <w:sz w:val="24"/>
              </w:rPr>
            </w:pPr>
            <w:r>
              <w:rPr>
                <w:rFonts w:ascii="Times New Roman" w:hAnsi="Times New Roman" w:cs="Times New Roman"/>
                <w:sz w:val="24"/>
              </w:rPr>
              <w:t xml:space="preserve"> </w:t>
            </w:r>
            <w:r w:rsidR="00A3389E">
              <w:rPr>
                <w:rFonts w:ascii="Times New Roman" w:hAnsi="Times New Roman" w:cs="Times New Roman"/>
                <w:sz w:val="24"/>
              </w:rPr>
              <w:t>z </w:t>
            </w:r>
            <w:r w:rsidR="002B7ED3" w:rsidRPr="00A3389E">
              <w:rPr>
                <w:rFonts w:ascii="Times New Roman" w:hAnsi="Times New Roman" w:cs="Times New Roman"/>
                <w:b/>
                <w:sz w:val="24"/>
              </w:rPr>
              <w:t>čoho: ktoré majú byť tvorené kapitálom CET1 (percentuálne body)</w:t>
            </w:r>
          </w:p>
          <w:p w14:paraId="4E1B743F" w14:textId="61131934" w:rsidR="00A3389E" w:rsidRPr="00A3389E" w:rsidRDefault="00597D20" w:rsidP="00597D20">
            <w:pPr>
              <w:spacing w:before="60" w:after="120"/>
              <w:jc w:val="both"/>
              <w:rPr>
                <w:rFonts w:ascii="Times New Roman" w:hAnsi="Times New Roman" w:cs="Times New Roman"/>
                <w:bCs/>
                <w:color w:val="000000"/>
                <w:sz w:val="24"/>
                <w:shd w:val="clear" w:color="auto" w:fill="FFFFFF"/>
              </w:rPr>
            </w:pPr>
            <w:r w:rsidRPr="00A3389E">
              <w:rPr>
                <w:rFonts w:ascii="Times New Roman" w:hAnsi="Times New Roman" w:cs="Times New Roman"/>
                <w:bCs/>
                <w:color w:val="000000"/>
                <w:sz w:val="24"/>
                <w:shd w:val="clear" w:color="auto" w:fill="FFFFFF"/>
              </w:rPr>
              <w:t>Časť dodatočných</w:t>
            </w:r>
            <w:r w:rsidRPr="00A3389E">
              <w:rPr>
                <w:rFonts w:ascii="Times New Roman" w:hAnsi="Times New Roman" w:cs="Times New Roman"/>
                <w:sz w:val="24"/>
              </w:rPr>
              <w:t xml:space="preserve"> požiadaviek na vlastné zdroje </w:t>
            </w:r>
            <w:r w:rsidRPr="00A3389E">
              <w:rPr>
                <w:rFonts w:ascii="Times New Roman" w:hAnsi="Times New Roman" w:cs="Times New Roman"/>
                <w:bCs/>
                <w:color w:val="000000"/>
                <w:sz w:val="24"/>
                <w:shd w:val="clear" w:color="auto" w:fill="FFFFFF"/>
              </w:rPr>
              <w:t>na riešenie rizika nadmerného využívania finančnej páky</w:t>
            </w:r>
            <w:r w:rsidRPr="00A3389E">
              <w:rPr>
                <w:rFonts w:ascii="Times New Roman" w:hAnsi="Times New Roman" w:cs="Times New Roman"/>
                <w:sz w:val="24"/>
              </w:rPr>
              <w:t xml:space="preserve">, ktoré uložil príslušný orgán podľa článku 104 ods. 1 písm. a) CRD, </w:t>
            </w:r>
            <w:r w:rsidRPr="00A3389E">
              <w:rPr>
                <w:rFonts w:ascii="Times New Roman" w:hAnsi="Times New Roman" w:cs="Times New Roman"/>
                <w:bCs/>
                <w:color w:val="000000"/>
                <w:sz w:val="24"/>
                <w:shd w:val="clear" w:color="auto" w:fill="FFFFFF"/>
              </w:rPr>
              <w:t>ktorá sa musí splniť prostredníctvom kapitálu CET1</w:t>
            </w:r>
            <w:r w:rsidR="00A3389E">
              <w:rPr>
                <w:rFonts w:ascii="Times New Roman" w:hAnsi="Times New Roman" w:cs="Times New Roman"/>
                <w:bCs/>
                <w:color w:val="000000"/>
                <w:sz w:val="24"/>
                <w:shd w:val="clear" w:color="auto" w:fill="FFFFFF"/>
              </w:rPr>
              <w:t xml:space="preserve"> v </w:t>
            </w:r>
            <w:r w:rsidRPr="00A3389E">
              <w:rPr>
                <w:rFonts w:ascii="Times New Roman" w:hAnsi="Times New Roman" w:cs="Times New Roman"/>
                <w:bCs/>
                <w:color w:val="000000"/>
                <w:sz w:val="24"/>
                <w:shd w:val="clear" w:color="auto" w:fill="FFFFFF"/>
              </w:rPr>
              <w:t>súlade</w:t>
            </w:r>
            <w:r w:rsidR="00A3389E">
              <w:rPr>
                <w:rFonts w:ascii="Times New Roman" w:hAnsi="Times New Roman" w:cs="Times New Roman"/>
                <w:bCs/>
                <w:color w:val="000000"/>
                <w:sz w:val="24"/>
                <w:shd w:val="clear" w:color="auto" w:fill="FFFFFF"/>
              </w:rPr>
              <w:t xml:space="preserve"> s </w:t>
            </w:r>
            <w:r w:rsidRPr="00A3389E">
              <w:rPr>
                <w:rFonts w:ascii="Times New Roman" w:hAnsi="Times New Roman" w:cs="Times New Roman"/>
                <w:bCs/>
                <w:color w:val="000000"/>
                <w:sz w:val="24"/>
                <w:shd w:val="clear" w:color="auto" w:fill="FFFFFF"/>
              </w:rPr>
              <w:t>článkom 104a ods. 4 tretím pododsekom</w:t>
            </w:r>
            <w:r w:rsidR="00A3389E" w:rsidRPr="00A3389E">
              <w:rPr>
                <w:rFonts w:ascii="Times New Roman" w:hAnsi="Times New Roman" w:cs="Times New Roman"/>
                <w:bCs/>
                <w:color w:val="000000"/>
                <w:sz w:val="24"/>
                <w:shd w:val="clear" w:color="auto" w:fill="FFFFFF"/>
              </w:rPr>
              <w:t>.</w:t>
            </w:r>
          </w:p>
          <w:p w14:paraId="68D46321" w14:textId="698B2029" w:rsidR="000C1BEC" w:rsidRPr="00A3389E" w:rsidRDefault="00597D20" w:rsidP="000C1BEC">
            <w:pPr>
              <w:spacing w:before="60" w:after="120"/>
              <w:jc w:val="both"/>
              <w:rPr>
                <w:rFonts w:ascii="Times New Roman" w:hAnsi="Times New Roman" w:cs="Times New Roman"/>
                <w:sz w:val="24"/>
              </w:rPr>
            </w:pPr>
            <w:r w:rsidRPr="00A3389E">
              <w:rPr>
                <w:rFonts w:ascii="Times New Roman" w:hAnsi="Times New Roman" w:cs="Times New Roman"/>
                <w:sz w:val="24"/>
              </w:rPr>
              <w:t>Dodatočné požiadavky na vlastné zdroje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hodnotou zverejnenou inštitúciami</w:t>
            </w:r>
            <w:r w:rsidR="00A3389E">
              <w:rPr>
                <w:rFonts w:ascii="Times New Roman" w:hAnsi="Times New Roman" w:cs="Times New Roman"/>
                <w:sz w:val="24"/>
              </w:rPr>
              <w:t xml:space="preserve"> v </w:t>
            </w:r>
            <w:r w:rsidRPr="00A3389E">
              <w:rPr>
                <w:rFonts w:ascii="Times New Roman" w:hAnsi="Times New Roman" w:cs="Times New Roman"/>
                <w:sz w:val="24"/>
              </w:rPr>
              <w:t>prílohe XI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EU-26b vzoru EU LR2 – LRCom: harmonizované zverejňovanie ukazovateľa finančnej páky).</w:t>
            </w:r>
          </w:p>
        </w:tc>
      </w:tr>
      <w:tr w:rsidR="00505188" w:rsidRPr="00A3389E" w14:paraId="2D7EE809" w14:textId="77777777" w:rsidTr="001C2D18">
        <w:trPr>
          <w:trHeight w:val="557"/>
        </w:trPr>
        <w:tc>
          <w:tcPr>
            <w:tcW w:w="1384" w:type="dxa"/>
          </w:tcPr>
          <w:p w14:paraId="649507C9" w14:textId="0BF1E1F1" w:rsidR="00505188" w:rsidRPr="00A3389E" w:rsidRDefault="00505188" w:rsidP="00597D20">
            <w:pPr>
              <w:pStyle w:val="Applicationdirecte"/>
              <w:spacing w:before="60"/>
              <w:jc w:val="center"/>
            </w:pPr>
            <w:r w:rsidRPr="00A3389E">
              <w:t>EU 14c</w:t>
            </w:r>
          </w:p>
        </w:tc>
        <w:tc>
          <w:tcPr>
            <w:tcW w:w="7655" w:type="dxa"/>
          </w:tcPr>
          <w:p w14:paraId="4458837C" w14:textId="180D2C07" w:rsidR="00505188" w:rsidRPr="00A3389E" w:rsidRDefault="00505188" w:rsidP="001C2D18">
            <w:pPr>
              <w:spacing w:before="60" w:after="120"/>
              <w:jc w:val="both"/>
              <w:rPr>
                <w:rFonts w:ascii="Times New Roman" w:hAnsi="Times New Roman" w:cs="Times New Roman"/>
                <w:b/>
                <w:sz w:val="24"/>
              </w:rPr>
            </w:pPr>
            <w:r w:rsidRPr="00A3389E">
              <w:rPr>
                <w:rFonts w:ascii="Times New Roman" w:hAnsi="Times New Roman" w:cs="Times New Roman"/>
                <w:b/>
                <w:sz w:val="24"/>
              </w:rPr>
              <w:t>Celkové požiadavky na ukazovateľ finančnej páky podľa SREP (%)</w:t>
            </w:r>
          </w:p>
          <w:p w14:paraId="12B9013E" w14:textId="52BF06B3" w:rsidR="00505188" w:rsidRPr="00A3389E" w:rsidRDefault="00505188" w:rsidP="00A60806">
            <w:pPr>
              <w:pStyle w:val="InstructionsText"/>
            </w:pPr>
            <w:r w:rsidRPr="00A3389E">
              <w:t>Súčet bodov i)</w:t>
            </w:r>
            <w:r w:rsidR="00A3389E">
              <w:t xml:space="preserve"> a </w:t>
            </w:r>
            <w:r w:rsidRPr="00A3389E">
              <w:t>ii) takto:</w:t>
            </w:r>
          </w:p>
          <w:p w14:paraId="63E57E0F" w14:textId="4FE5E78F" w:rsidR="00A3389E" w:rsidRPr="00A3389E" w:rsidRDefault="00A3389E" w:rsidP="00A60806">
            <w:pPr>
              <w:pStyle w:val="InstructionsText"/>
              <w:ind w:left="720" w:hanging="720"/>
            </w:pPr>
            <w:r w:rsidRPr="00A3389E">
              <w:t>i)</w:t>
            </w:r>
            <w:r w:rsidRPr="00A3389E">
              <w:tab/>
            </w:r>
            <w:r w:rsidR="00505188" w:rsidRPr="00A3389E">
              <w:t>minimálna požiadavka na ukazovateľ finančnej páky stanovená</w:t>
            </w:r>
            <w:r>
              <w:t xml:space="preserve"> v </w:t>
            </w:r>
            <w:r w:rsidR="00505188" w:rsidRPr="00A3389E">
              <w:t>článku 92 ods. 1 písm. d) CRR alebo upravená požiadavka na ukazovateľ finančnej páky vypočítaná</w:t>
            </w:r>
            <w:r>
              <w:t xml:space="preserve"> v </w:t>
            </w:r>
            <w:r w:rsidR="00505188" w:rsidRPr="00A3389E">
              <w:t>súlade</w:t>
            </w:r>
            <w:r>
              <w:t xml:space="preserve"> s </w:t>
            </w:r>
            <w:r w:rsidR="00505188" w:rsidRPr="00A3389E">
              <w:t>článkom 429a ods. 7 CRR, podľa konkrétneho prípadu</w:t>
            </w:r>
            <w:r w:rsidRPr="00A3389E">
              <w:t>;</w:t>
            </w:r>
          </w:p>
          <w:p w14:paraId="40C21DE2" w14:textId="35059F74" w:rsidR="00505188" w:rsidRPr="00A3389E" w:rsidRDefault="00A3389E" w:rsidP="00A60806">
            <w:pPr>
              <w:pStyle w:val="InstructionsText"/>
              <w:ind w:left="720" w:hanging="720"/>
            </w:pPr>
            <w:r w:rsidRPr="00A3389E">
              <w:t>ii)</w:t>
            </w:r>
            <w:r w:rsidRPr="00A3389E">
              <w:tab/>
            </w:r>
            <w:r w:rsidR="00505188" w:rsidRPr="00A3389E">
              <w:t>dodatočné požiadavky na vlastné zdroje na riešenie rizika nadmerného využívania finančnej páky (požiadavky piliera 2 – P2R), ktoré uložil príslušný orgán podľa článku 104 ods. 1 písm. a) CRD, vyjadrené ako percentuálny podiel veľkosti celkovej expozície.</w:t>
            </w:r>
          </w:p>
          <w:p w14:paraId="72014476" w14:textId="72428B13" w:rsidR="00505188" w:rsidRPr="00A3389E" w:rsidRDefault="00505188" w:rsidP="00A60806">
            <w:pPr>
              <w:pStyle w:val="InstructionsText"/>
            </w:pPr>
            <w:r w:rsidRPr="00A3389E">
              <w:t>Táto položka odráža celkovú požiadavku na ukazovateľ finančnej páky podľa SREP (TSLRR) tak, ako ju inštitúcii oznámil príslušný orgán.</w:t>
            </w:r>
          </w:p>
          <w:p w14:paraId="35AC4925" w14:textId="4181AD5E" w:rsidR="00505188" w:rsidRPr="00A3389E" w:rsidRDefault="00505188" w:rsidP="00A44A20">
            <w:pPr>
              <w:spacing w:before="60" w:after="120"/>
              <w:jc w:val="both"/>
              <w:rPr>
                <w:rFonts w:ascii="Times New Roman" w:hAnsi="Times New Roman" w:cs="Times New Roman"/>
                <w:sz w:val="24"/>
              </w:rPr>
            </w:pPr>
            <w:r w:rsidRPr="00A3389E">
              <w:rPr>
                <w:rFonts w:ascii="Times New Roman" w:hAnsi="Times New Roman" w:cs="Times New Roman"/>
                <w:sz w:val="24"/>
              </w:rPr>
              <w:lastRenderedPageBreak/>
              <w:t>Ak príslušný orgán neuložil žiadne dodatočné požiadavky na vlastné zdroje</w:t>
            </w:r>
            <w:r w:rsidR="00A3389E">
              <w:rPr>
                <w:rFonts w:ascii="Times New Roman" w:hAnsi="Times New Roman" w:cs="Times New Roman"/>
                <w:sz w:val="24"/>
              </w:rPr>
              <w:t xml:space="preserve"> s </w:t>
            </w:r>
            <w:r w:rsidRPr="00A3389E">
              <w:rPr>
                <w:rFonts w:ascii="Times New Roman" w:hAnsi="Times New Roman" w:cs="Times New Roman"/>
                <w:sz w:val="24"/>
              </w:rPr>
              <w:t>cieľom riešiť riziko nadmerného využívania finančnej páky, zverejňuje sa len bod i).</w:t>
            </w:r>
          </w:p>
        </w:tc>
      </w:tr>
      <w:tr w:rsidR="00505188" w:rsidRPr="00A3389E" w14:paraId="3B5E2E48" w14:textId="77777777" w:rsidTr="001C2D18">
        <w:trPr>
          <w:trHeight w:val="557"/>
        </w:trPr>
        <w:tc>
          <w:tcPr>
            <w:tcW w:w="1384" w:type="dxa"/>
          </w:tcPr>
          <w:p w14:paraId="789861B4" w14:textId="0838E1F8" w:rsidR="00505188" w:rsidRPr="00A3389E" w:rsidRDefault="00505188" w:rsidP="00597D20">
            <w:pPr>
              <w:pStyle w:val="Applicationdirecte"/>
              <w:spacing w:before="60"/>
              <w:jc w:val="center"/>
            </w:pPr>
            <w:r w:rsidRPr="00A3389E">
              <w:lastRenderedPageBreak/>
              <w:t>EU 14d</w:t>
            </w:r>
          </w:p>
        </w:tc>
        <w:tc>
          <w:tcPr>
            <w:tcW w:w="7655" w:type="dxa"/>
          </w:tcPr>
          <w:p w14:paraId="08E93EB0" w14:textId="1CAE83B8" w:rsidR="00505188" w:rsidRPr="00A3389E" w:rsidRDefault="00BB3630" w:rsidP="00A60806">
            <w:pPr>
              <w:pStyle w:val="InstructionsText"/>
              <w:rPr>
                <w:rFonts w:eastAsiaTheme="minorEastAsia"/>
              </w:rPr>
            </w:pPr>
            <w:r w:rsidRPr="00A3389E">
              <w:t>Požiadavka na vankúš ukazovateľa finančnej páky (%)</w:t>
            </w:r>
          </w:p>
          <w:p w14:paraId="0A30AE70" w14:textId="3A8C6267" w:rsidR="00641F64" w:rsidRPr="00A3389E" w:rsidRDefault="00641F64" w:rsidP="004A2B2B">
            <w:pPr>
              <w:spacing w:before="60" w:after="120"/>
              <w:jc w:val="both"/>
              <w:rPr>
                <w:rFonts w:ascii="Times New Roman" w:hAnsi="Times New Roman" w:cs="Times New Roman"/>
                <w:sz w:val="24"/>
              </w:rPr>
            </w:pPr>
            <w:r w:rsidRPr="00A3389E">
              <w:rPr>
                <w:rFonts w:ascii="Times New Roman" w:hAnsi="Times New Roman" w:cs="Times New Roman"/>
                <w:sz w:val="24"/>
              </w:rPr>
              <w:t>Článok 92 ods. 1a CRR.</w:t>
            </w:r>
          </w:p>
          <w:p w14:paraId="7716A8FF" w14:textId="03C9BBC3" w:rsidR="00505188" w:rsidRPr="00A3389E" w:rsidRDefault="00505188" w:rsidP="004A2B2B">
            <w:pPr>
              <w:spacing w:before="60" w:after="120"/>
              <w:jc w:val="both"/>
              <w:rPr>
                <w:rFonts w:ascii="Times New Roman" w:hAnsi="Times New Roman" w:cs="Times New Roman"/>
                <w:sz w:val="24"/>
              </w:rPr>
            </w:pPr>
            <w:r w:rsidRPr="00A3389E">
              <w:rPr>
                <w:rFonts w:ascii="Times New Roman" w:hAnsi="Times New Roman" w:cs="Times New Roman"/>
                <w:sz w:val="24"/>
              </w:rPr>
              <w:t>Príslušný vankúš ukazovateľa finančnej páky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hodnotou zverejnenou inštitúciami</w:t>
            </w:r>
            <w:r w:rsidR="00A3389E">
              <w:rPr>
                <w:rFonts w:ascii="Times New Roman" w:hAnsi="Times New Roman" w:cs="Times New Roman"/>
                <w:sz w:val="24"/>
              </w:rPr>
              <w:t xml:space="preserve"> v </w:t>
            </w:r>
            <w:r w:rsidRPr="00A3389E">
              <w:rPr>
                <w:rFonts w:ascii="Times New Roman" w:hAnsi="Times New Roman" w:cs="Times New Roman"/>
                <w:sz w:val="24"/>
              </w:rPr>
              <w:t>prílohe XI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 (riadok 27 vzoru EU LR2 – LRCom: harmonizované zverejňovanie ukazovateľa finančnej páky).</w:t>
            </w:r>
          </w:p>
        </w:tc>
      </w:tr>
      <w:tr w:rsidR="00505188" w:rsidRPr="00A3389E" w14:paraId="3FACD115" w14:textId="77777777" w:rsidTr="001C2D18">
        <w:trPr>
          <w:trHeight w:val="557"/>
        </w:trPr>
        <w:tc>
          <w:tcPr>
            <w:tcW w:w="1384" w:type="dxa"/>
          </w:tcPr>
          <w:p w14:paraId="27224C83" w14:textId="4B369FBD" w:rsidR="00505188" w:rsidRPr="00A3389E" w:rsidRDefault="00505188" w:rsidP="00597D20">
            <w:pPr>
              <w:pStyle w:val="Applicationdirecte"/>
              <w:spacing w:before="60"/>
              <w:jc w:val="center"/>
            </w:pPr>
            <w:r w:rsidRPr="00A3389E">
              <w:t>EU 14e</w:t>
            </w:r>
          </w:p>
        </w:tc>
        <w:tc>
          <w:tcPr>
            <w:tcW w:w="7655" w:type="dxa"/>
          </w:tcPr>
          <w:p w14:paraId="69DDF496" w14:textId="1D586C01" w:rsidR="00505188" w:rsidRPr="00A3389E" w:rsidRDefault="00505188" w:rsidP="001C2D18">
            <w:pPr>
              <w:spacing w:before="60" w:after="120"/>
              <w:jc w:val="both"/>
              <w:rPr>
                <w:rFonts w:ascii="Times New Roman" w:hAnsi="Times New Roman" w:cs="Times New Roman"/>
                <w:b/>
                <w:sz w:val="24"/>
              </w:rPr>
            </w:pPr>
            <w:r w:rsidRPr="00A3389E">
              <w:rPr>
                <w:rFonts w:ascii="Times New Roman" w:hAnsi="Times New Roman" w:cs="Times New Roman"/>
                <w:b/>
                <w:sz w:val="24"/>
              </w:rPr>
              <w:t>Požiadavka na celkový ukazovateľ finančnej páky (%)</w:t>
            </w:r>
          </w:p>
          <w:p w14:paraId="02FD04C6" w14:textId="56AE7B21" w:rsidR="00505188" w:rsidRPr="00A3389E" w:rsidRDefault="00505188" w:rsidP="00597D20">
            <w:pPr>
              <w:spacing w:before="60" w:after="120"/>
              <w:jc w:val="both"/>
              <w:rPr>
                <w:rFonts w:ascii="Times New Roman" w:hAnsi="Times New Roman" w:cs="Times New Roman"/>
                <w:sz w:val="24"/>
              </w:rPr>
            </w:pPr>
            <w:r w:rsidRPr="00A3389E">
              <w:rPr>
                <w:rFonts w:ascii="Times New Roman" w:hAnsi="Times New Roman" w:cs="Times New Roman"/>
                <w:sz w:val="24"/>
              </w:rPr>
              <w:t>Súčet riadkov EU 14c</w:t>
            </w:r>
            <w:r w:rsidR="00A3389E">
              <w:rPr>
                <w:rFonts w:ascii="Times New Roman" w:hAnsi="Times New Roman" w:cs="Times New Roman"/>
                <w:sz w:val="24"/>
              </w:rPr>
              <w:t xml:space="preserve"> a </w:t>
            </w:r>
            <w:r w:rsidRPr="00A3389E">
              <w:rPr>
                <w:rFonts w:ascii="Times New Roman" w:hAnsi="Times New Roman" w:cs="Times New Roman"/>
                <w:sz w:val="24"/>
              </w:rPr>
              <w:t>EU 14d.</w:t>
            </w:r>
          </w:p>
        </w:tc>
      </w:tr>
      <w:tr w:rsidR="00BB2F0A" w:rsidRPr="00A3389E" w14:paraId="7772A699" w14:textId="77777777" w:rsidTr="00B2180A">
        <w:trPr>
          <w:trHeight w:val="557"/>
        </w:trPr>
        <w:tc>
          <w:tcPr>
            <w:tcW w:w="1384" w:type="dxa"/>
          </w:tcPr>
          <w:p w14:paraId="63DDF276" w14:textId="77777777" w:rsidR="00BB2F0A" w:rsidRPr="00A3389E" w:rsidRDefault="00BB2F0A" w:rsidP="00BB2F0A">
            <w:pPr>
              <w:pStyle w:val="Applicationdirecte"/>
              <w:spacing w:before="60"/>
              <w:jc w:val="center"/>
            </w:pPr>
            <w:r w:rsidRPr="00A3389E">
              <w:t>15</w:t>
            </w:r>
          </w:p>
        </w:tc>
        <w:tc>
          <w:tcPr>
            <w:tcW w:w="7655" w:type="dxa"/>
          </w:tcPr>
          <w:p w14:paraId="54AB95EC" w14:textId="77777777" w:rsidR="00BB2F0A" w:rsidRPr="00A60806" w:rsidRDefault="00BB2F0A" w:rsidP="00BB2F0A">
            <w:pPr>
              <w:spacing w:before="60" w:after="120"/>
              <w:jc w:val="both"/>
              <w:rPr>
                <w:rFonts w:ascii="Times New Roman" w:hAnsi="Times New Roman" w:cs="Times New Roman"/>
                <w:b/>
                <w:spacing w:val="-6"/>
                <w:sz w:val="24"/>
              </w:rPr>
            </w:pPr>
            <w:bookmarkStart w:id="11" w:name="OLE_LINK1"/>
            <w:r w:rsidRPr="00A60806">
              <w:rPr>
                <w:rFonts w:ascii="Times New Roman" w:hAnsi="Times New Roman" w:cs="Times New Roman"/>
                <w:b/>
                <w:spacing w:val="-6"/>
                <w:sz w:val="24"/>
              </w:rPr>
              <w:t>Vysokokvalitné likvidné aktíva (HQLA) spolu (vážená hodnota – priemer)</w:t>
            </w:r>
          </w:p>
          <w:bookmarkEnd w:id="11"/>
          <w:p w14:paraId="55A35EA4" w14:textId="00417EF3" w:rsidR="00910181" w:rsidRPr="00A3389E" w:rsidRDefault="00910181" w:rsidP="002635C4">
            <w:pPr>
              <w:spacing w:before="60" w:after="120"/>
              <w:jc w:val="both"/>
              <w:rPr>
                <w:rFonts w:ascii="Times New Roman" w:hAnsi="Times New Roman" w:cs="Times New Roman"/>
                <w:sz w:val="24"/>
              </w:rPr>
            </w:pPr>
            <w:r w:rsidRPr="00A60806">
              <w:rPr>
                <w:rFonts w:ascii="Times New Roman" w:hAnsi="Times New Roman" w:cs="Times New Roman"/>
                <w:spacing w:val="-6"/>
                <w:sz w:val="24"/>
              </w:rPr>
              <w:t>Inštitúcie ako váženú hodnotu zverejňujú hodnotu likvidných aktív</w:t>
            </w:r>
            <w:r w:rsidR="00A3389E" w:rsidRPr="00A60806">
              <w:rPr>
                <w:rFonts w:ascii="Times New Roman" w:hAnsi="Times New Roman" w:cs="Times New Roman"/>
                <w:spacing w:val="-6"/>
                <w:sz w:val="24"/>
              </w:rPr>
              <w:t xml:space="preserve"> v </w:t>
            </w:r>
            <w:r w:rsidRPr="00A60806">
              <w:rPr>
                <w:rFonts w:ascii="Times New Roman" w:hAnsi="Times New Roman" w:cs="Times New Roman"/>
                <w:spacing w:val="-6"/>
                <w:sz w:val="24"/>
              </w:rPr>
              <w:t>súlade</w:t>
            </w:r>
            <w:r w:rsidR="00A3389E" w:rsidRPr="00A60806">
              <w:rPr>
                <w:rFonts w:ascii="Times New Roman" w:hAnsi="Times New Roman" w:cs="Times New Roman"/>
                <w:spacing w:val="-6"/>
                <w:sz w:val="24"/>
              </w:rPr>
              <w:t xml:space="preserve"> s </w:t>
            </w:r>
            <w:r w:rsidRPr="00A60806">
              <w:rPr>
                <w:rFonts w:ascii="Times New Roman" w:hAnsi="Times New Roman" w:cs="Times New Roman"/>
                <w:spacing w:val="-6"/>
                <w:sz w:val="24"/>
              </w:rPr>
              <w:t>článkom 9 delegovaného nariadenia Komisie (EÚ) 2015/61</w:t>
            </w:r>
            <w:r w:rsidRPr="00A60806">
              <w:rPr>
                <w:rStyle w:val="FootnoteReference"/>
                <w:rFonts w:ascii="Times New Roman" w:hAnsi="Times New Roman" w:cs="Times New Roman"/>
                <w:spacing w:val="-6"/>
              </w:rPr>
              <w:footnoteReference w:id="4"/>
            </w:r>
            <w:r w:rsidRPr="00A60806">
              <w:rPr>
                <w:rFonts w:ascii="Times New Roman" w:hAnsi="Times New Roman" w:cs="Times New Roman"/>
                <w:spacing w:val="-6"/>
                <w:sz w:val="24"/>
              </w:rPr>
              <w:t xml:space="preserve"> pred uplatnením mechanizmu úpravy stanoveného</w:t>
            </w:r>
            <w:r w:rsidR="00A3389E" w:rsidRPr="00A60806">
              <w:rPr>
                <w:rFonts w:ascii="Times New Roman" w:hAnsi="Times New Roman" w:cs="Times New Roman"/>
                <w:spacing w:val="-6"/>
                <w:sz w:val="24"/>
              </w:rPr>
              <w:t xml:space="preserve"> v </w:t>
            </w:r>
            <w:r w:rsidRPr="00A60806">
              <w:rPr>
                <w:rFonts w:ascii="Times New Roman" w:hAnsi="Times New Roman" w:cs="Times New Roman"/>
                <w:spacing w:val="-6"/>
                <w:sz w:val="24"/>
              </w:rPr>
              <w:t>článku 17 ods. 2 delegovaného nariadenia (EÚ) 2015/61.</w:t>
            </w:r>
          </w:p>
        </w:tc>
      </w:tr>
      <w:tr w:rsidR="009008FD" w:rsidRPr="00A3389E" w14:paraId="6672E84C" w14:textId="77777777" w:rsidTr="00634158">
        <w:trPr>
          <w:trHeight w:val="557"/>
        </w:trPr>
        <w:tc>
          <w:tcPr>
            <w:tcW w:w="1384" w:type="dxa"/>
          </w:tcPr>
          <w:p w14:paraId="046E2071" w14:textId="77777777" w:rsidR="009008FD" w:rsidRPr="00A3389E" w:rsidRDefault="009008FD" w:rsidP="009008FD">
            <w:pPr>
              <w:pStyle w:val="Applicationdirecte"/>
              <w:spacing w:before="60"/>
              <w:jc w:val="center"/>
            </w:pPr>
            <w:r w:rsidRPr="00A3389E">
              <w:t>EU 16a</w:t>
            </w:r>
          </w:p>
        </w:tc>
        <w:tc>
          <w:tcPr>
            <w:tcW w:w="7655" w:type="dxa"/>
          </w:tcPr>
          <w:p w14:paraId="258FA763" w14:textId="77777777" w:rsidR="00A3389E" w:rsidRPr="00A3389E" w:rsidRDefault="00F829DE" w:rsidP="009008FD">
            <w:pPr>
              <w:spacing w:before="60" w:after="120"/>
              <w:jc w:val="both"/>
              <w:rPr>
                <w:rFonts w:ascii="Times New Roman" w:hAnsi="Times New Roman" w:cs="Times New Roman"/>
                <w:b/>
                <w:sz w:val="24"/>
              </w:rPr>
            </w:pPr>
            <w:r w:rsidRPr="00A3389E">
              <w:rPr>
                <w:rFonts w:ascii="Times New Roman" w:hAnsi="Times New Roman" w:cs="Times New Roman"/>
                <w:b/>
                <w:sz w:val="24"/>
              </w:rPr>
              <w:t>Záporné peňažné toky – celková vážená hodnota</w:t>
            </w:r>
          </w:p>
          <w:p w14:paraId="001CA858" w14:textId="57706163" w:rsidR="009008FD" w:rsidRPr="00A3389E" w:rsidRDefault="009008FD" w:rsidP="009008FD">
            <w:pPr>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súčet váženej hodnoty svojich záporných peňažných tokov, ako sú zverejnené</w:t>
            </w:r>
            <w:r w:rsidR="00A3389E">
              <w:rPr>
                <w:rFonts w:ascii="Times New Roman" w:hAnsi="Times New Roman" w:cs="Times New Roman"/>
                <w:sz w:val="24"/>
              </w:rPr>
              <w:t xml:space="preserve"> v </w:t>
            </w:r>
            <w:r w:rsidRPr="00A3389E">
              <w:rPr>
                <w:rFonts w:ascii="Times New Roman" w:hAnsi="Times New Roman" w:cs="Times New Roman"/>
                <w:sz w:val="24"/>
              </w:rPr>
              <w:t>prílohe XIII [riadok 16 vzoru EU LIQ1 – kvantitatívne informácie</w:t>
            </w:r>
            <w:r w:rsidR="00A3389E">
              <w:rPr>
                <w:rFonts w:ascii="Times New Roman" w:hAnsi="Times New Roman" w:cs="Times New Roman"/>
                <w:sz w:val="24"/>
              </w:rPr>
              <w:t xml:space="preserve"> o </w:t>
            </w:r>
            <w:r w:rsidRPr="00A3389E">
              <w:rPr>
                <w:rFonts w:ascii="Times New Roman" w:hAnsi="Times New Roman" w:cs="Times New Roman"/>
                <w:sz w:val="24"/>
              </w:rPr>
              <w:t>ukazovateli krytia likvidity (LCR)].</w:t>
            </w:r>
          </w:p>
        </w:tc>
      </w:tr>
      <w:tr w:rsidR="009008FD" w:rsidRPr="00A3389E" w14:paraId="768D7A46" w14:textId="77777777" w:rsidTr="00634158">
        <w:trPr>
          <w:trHeight w:val="557"/>
        </w:trPr>
        <w:tc>
          <w:tcPr>
            <w:tcW w:w="1384" w:type="dxa"/>
          </w:tcPr>
          <w:p w14:paraId="61468B84" w14:textId="77777777" w:rsidR="009008FD" w:rsidRPr="00A3389E" w:rsidRDefault="009008FD" w:rsidP="009008FD">
            <w:pPr>
              <w:pStyle w:val="Applicationdirecte"/>
              <w:spacing w:before="60"/>
              <w:jc w:val="center"/>
            </w:pPr>
            <w:r w:rsidRPr="00A3389E">
              <w:t>EU 16b</w:t>
            </w:r>
          </w:p>
        </w:tc>
        <w:tc>
          <w:tcPr>
            <w:tcW w:w="7655" w:type="dxa"/>
          </w:tcPr>
          <w:p w14:paraId="35240431" w14:textId="77777777" w:rsidR="00A3389E" w:rsidRPr="00A3389E" w:rsidRDefault="00F829DE" w:rsidP="009008FD">
            <w:pPr>
              <w:spacing w:before="60" w:after="120"/>
              <w:jc w:val="both"/>
              <w:rPr>
                <w:rFonts w:ascii="Times New Roman" w:hAnsi="Times New Roman" w:cs="Times New Roman"/>
                <w:b/>
                <w:sz w:val="24"/>
              </w:rPr>
            </w:pPr>
            <w:r w:rsidRPr="00A3389E">
              <w:rPr>
                <w:rFonts w:ascii="Times New Roman" w:hAnsi="Times New Roman" w:cs="Times New Roman"/>
                <w:b/>
                <w:sz w:val="24"/>
              </w:rPr>
              <w:t>Kladné peňažné toky – celková vážená hodnota</w:t>
            </w:r>
          </w:p>
          <w:p w14:paraId="7CF5A37A" w14:textId="0F7D5BF5" w:rsidR="009008FD" w:rsidRPr="00A3389E" w:rsidRDefault="009008FD" w:rsidP="009008FD">
            <w:pPr>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súčet váženej hodnoty svojich kladných peňažných tokov, ako sú zverejnené</w:t>
            </w:r>
            <w:r w:rsidR="00A3389E">
              <w:rPr>
                <w:rFonts w:ascii="Times New Roman" w:hAnsi="Times New Roman" w:cs="Times New Roman"/>
                <w:sz w:val="24"/>
              </w:rPr>
              <w:t xml:space="preserve"> v </w:t>
            </w:r>
            <w:r w:rsidRPr="00A3389E">
              <w:rPr>
                <w:rFonts w:ascii="Times New Roman" w:hAnsi="Times New Roman" w:cs="Times New Roman"/>
                <w:sz w:val="24"/>
              </w:rPr>
              <w:t>prílohe XIII [riadok 20 vzoru EU LIQ1 – kvantitatívne informácie</w:t>
            </w:r>
            <w:r w:rsidR="00A3389E">
              <w:rPr>
                <w:rFonts w:ascii="Times New Roman" w:hAnsi="Times New Roman" w:cs="Times New Roman"/>
                <w:sz w:val="24"/>
              </w:rPr>
              <w:t xml:space="preserve"> o </w:t>
            </w:r>
            <w:r w:rsidRPr="00A3389E">
              <w:rPr>
                <w:rFonts w:ascii="Times New Roman" w:hAnsi="Times New Roman" w:cs="Times New Roman"/>
                <w:sz w:val="24"/>
              </w:rPr>
              <w:t>ukazovateli krytia likvidity (LCR)].</w:t>
            </w:r>
          </w:p>
        </w:tc>
      </w:tr>
      <w:tr w:rsidR="00BB2F0A" w:rsidRPr="00A3389E" w14:paraId="3D802B5C" w14:textId="77777777" w:rsidTr="00B2180A">
        <w:trPr>
          <w:trHeight w:val="557"/>
        </w:trPr>
        <w:tc>
          <w:tcPr>
            <w:tcW w:w="1384" w:type="dxa"/>
          </w:tcPr>
          <w:p w14:paraId="2C98D27B" w14:textId="77777777" w:rsidR="00BB2F0A" w:rsidRPr="00A3389E" w:rsidRDefault="00BB2F0A" w:rsidP="00BB2F0A">
            <w:pPr>
              <w:pStyle w:val="Applicationdirecte"/>
              <w:spacing w:before="60"/>
              <w:jc w:val="center"/>
            </w:pPr>
            <w:r w:rsidRPr="00A3389E">
              <w:t>16</w:t>
            </w:r>
          </w:p>
        </w:tc>
        <w:tc>
          <w:tcPr>
            <w:tcW w:w="7655" w:type="dxa"/>
          </w:tcPr>
          <w:p w14:paraId="7DCF86AE" w14:textId="77777777" w:rsidR="00BB2F0A" w:rsidRPr="00A3389E" w:rsidRDefault="00BB2F0A"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Celkové čisté záporné peňažné toky (upravená hodnota)</w:t>
            </w:r>
          </w:p>
          <w:p w14:paraId="1D6EC4CA" w14:textId="0A6731D0" w:rsidR="00910181" w:rsidRPr="00A3389E" w:rsidRDefault="00910181" w:rsidP="00DA590B">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upravenú hodnotu zverejňujú čistý záporný tok likvidity, ktorý sa rovná celkovým záporným peňažným tokom po odpočítaní zníženia</w:t>
            </w:r>
            <w:r w:rsidR="00A3389E">
              <w:rPr>
                <w:rFonts w:ascii="Times New Roman" w:hAnsi="Times New Roman" w:cs="Times New Roman"/>
                <w:sz w:val="24"/>
              </w:rPr>
              <w:t xml:space="preserve"> o </w:t>
            </w:r>
            <w:r w:rsidRPr="00A3389E">
              <w:rPr>
                <w:rFonts w:ascii="Times New Roman" w:hAnsi="Times New Roman" w:cs="Times New Roman"/>
                <w:sz w:val="24"/>
              </w:rPr>
              <w:t>plne vyňaté kladné peňažné toky, zníženia</w:t>
            </w:r>
            <w:r w:rsidR="00A3389E">
              <w:rPr>
                <w:rFonts w:ascii="Times New Roman" w:hAnsi="Times New Roman" w:cs="Times New Roman"/>
                <w:sz w:val="24"/>
              </w:rPr>
              <w:t xml:space="preserve"> o </w:t>
            </w:r>
            <w:r w:rsidRPr="00A3389E">
              <w:rPr>
                <w:rFonts w:ascii="Times New Roman" w:hAnsi="Times New Roman" w:cs="Times New Roman"/>
                <w:sz w:val="24"/>
              </w:rPr>
              <w:t>kladné peňažné toky podliehajúce 90</w:t>
            </w:r>
            <w:r w:rsidR="00A3389E">
              <w:rPr>
                <w:rFonts w:ascii="Times New Roman" w:hAnsi="Times New Roman" w:cs="Times New Roman"/>
                <w:sz w:val="24"/>
              </w:rPr>
              <w:t> %</w:t>
            </w:r>
            <w:r w:rsidRPr="00A3389E">
              <w:rPr>
                <w:rFonts w:ascii="Times New Roman" w:hAnsi="Times New Roman" w:cs="Times New Roman"/>
                <w:sz w:val="24"/>
              </w:rPr>
              <w:t xml:space="preserve"> hornému ohraničeniu</w:t>
            </w:r>
            <w:r w:rsidR="00A3389E">
              <w:rPr>
                <w:rFonts w:ascii="Times New Roman" w:hAnsi="Times New Roman" w:cs="Times New Roman"/>
                <w:sz w:val="24"/>
              </w:rPr>
              <w:t xml:space="preserve"> a </w:t>
            </w:r>
            <w:r w:rsidRPr="00A3389E">
              <w:rPr>
                <w:rFonts w:ascii="Times New Roman" w:hAnsi="Times New Roman" w:cs="Times New Roman"/>
                <w:sz w:val="24"/>
              </w:rPr>
              <w:t>zníženia</w:t>
            </w:r>
            <w:r w:rsidR="00A3389E">
              <w:rPr>
                <w:rFonts w:ascii="Times New Roman" w:hAnsi="Times New Roman" w:cs="Times New Roman"/>
                <w:sz w:val="24"/>
              </w:rPr>
              <w:t xml:space="preserve"> o </w:t>
            </w:r>
            <w:r w:rsidRPr="00A3389E">
              <w:rPr>
                <w:rFonts w:ascii="Times New Roman" w:hAnsi="Times New Roman" w:cs="Times New Roman"/>
                <w:sz w:val="24"/>
              </w:rPr>
              <w:t>kladné peňažné toky podliehajúce 75</w:t>
            </w:r>
            <w:r w:rsidR="00A3389E">
              <w:rPr>
                <w:rFonts w:ascii="Times New Roman" w:hAnsi="Times New Roman" w:cs="Times New Roman"/>
                <w:sz w:val="24"/>
              </w:rPr>
              <w:t> %</w:t>
            </w:r>
            <w:r w:rsidRPr="00A3389E">
              <w:rPr>
                <w:rFonts w:ascii="Times New Roman" w:hAnsi="Times New Roman" w:cs="Times New Roman"/>
                <w:sz w:val="24"/>
              </w:rPr>
              <w:t xml:space="preserve"> hornému ohraničeniu. </w:t>
            </w:r>
          </w:p>
        </w:tc>
      </w:tr>
      <w:tr w:rsidR="00BB2F0A" w:rsidRPr="00A3389E" w14:paraId="55C376D8" w14:textId="77777777" w:rsidTr="00B2180A">
        <w:trPr>
          <w:trHeight w:val="557"/>
        </w:trPr>
        <w:tc>
          <w:tcPr>
            <w:tcW w:w="1384" w:type="dxa"/>
          </w:tcPr>
          <w:p w14:paraId="790C482D" w14:textId="77777777" w:rsidR="00BB2F0A" w:rsidRPr="00A3389E" w:rsidRDefault="00BB2F0A" w:rsidP="00BB2F0A">
            <w:pPr>
              <w:pStyle w:val="Applicationdirecte"/>
              <w:spacing w:before="60"/>
              <w:jc w:val="center"/>
            </w:pPr>
            <w:r w:rsidRPr="00A3389E">
              <w:t>17</w:t>
            </w:r>
          </w:p>
        </w:tc>
        <w:tc>
          <w:tcPr>
            <w:tcW w:w="7655" w:type="dxa"/>
          </w:tcPr>
          <w:p w14:paraId="6739EBCB" w14:textId="77777777" w:rsidR="00BB2F0A" w:rsidRPr="00A3389E" w:rsidRDefault="00BB2F0A"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Ukazovateľ krytia likvidity (%)</w:t>
            </w:r>
          </w:p>
          <w:p w14:paraId="3417B7EB" w14:textId="0807EBD2" w:rsidR="00910181" w:rsidRPr="00A3389E" w:rsidRDefault="00910181" w:rsidP="00910181">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Inštitúcie ako upravenú hodnotu zverejňujú percentuálny podiel položky „Ukazovateľ krytia likvidity (%)“</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4 ods. 1 delegovaného nariadenia (EÚ) 2015/61.</w:t>
            </w:r>
          </w:p>
          <w:p w14:paraId="0CF77ECD" w14:textId="77777777" w:rsidR="00910181" w:rsidRPr="00A3389E" w:rsidRDefault="00910181" w:rsidP="00910181">
            <w:pPr>
              <w:autoSpaceDE w:val="0"/>
              <w:autoSpaceDN w:val="0"/>
              <w:adjustRightInd w:val="0"/>
              <w:jc w:val="both"/>
              <w:rPr>
                <w:rFonts w:ascii="Times New Roman" w:hAnsi="Times New Roman" w:cs="Times New Roman"/>
                <w:sz w:val="24"/>
              </w:rPr>
            </w:pPr>
          </w:p>
          <w:p w14:paraId="0DC83C71" w14:textId="413A04BA" w:rsidR="00910181" w:rsidRPr="00A3389E" w:rsidRDefault="00910181" w:rsidP="00DA590B">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lastRenderedPageBreak/>
              <w:t>Ukazovateľ krytia likvidity sa rovná pomeru vankúša likvidity úverovej inštitúcie</w:t>
            </w:r>
            <w:r w:rsidR="00A3389E">
              <w:rPr>
                <w:rFonts w:ascii="Times New Roman" w:hAnsi="Times New Roman" w:cs="Times New Roman"/>
                <w:sz w:val="24"/>
              </w:rPr>
              <w:t xml:space="preserve"> k </w:t>
            </w:r>
            <w:r w:rsidRPr="00A3389E">
              <w:rPr>
                <w:rFonts w:ascii="Times New Roman" w:hAnsi="Times New Roman" w:cs="Times New Roman"/>
                <w:sz w:val="24"/>
              </w:rPr>
              <w:t>jej čistým záporným tokom likvidity za stresové obdobie 30 kalendárnych dní</w:t>
            </w:r>
            <w:r w:rsidR="00A3389E">
              <w:rPr>
                <w:rFonts w:ascii="Times New Roman" w:hAnsi="Times New Roman" w:cs="Times New Roman"/>
                <w:sz w:val="24"/>
              </w:rPr>
              <w:t xml:space="preserve"> a </w:t>
            </w:r>
            <w:r w:rsidRPr="00A3389E">
              <w:rPr>
                <w:rFonts w:ascii="Times New Roman" w:hAnsi="Times New Roman" w:cs="Times New Roman"/>
                <w:sz w:val="24"/>
              </w:rPr>
              <w:t xml:space="preserve">vyjadruje sa ako percentuálny podiel. </w:t>
            </w:r>
          </w:p>
        </w:tc>
      </w:tr>
      <w:tr w:rsidR="00BB2F0A" w:rsidRPr="00A3389E" w14:paraId="62773DDF" w14:textId="77777777" w:rsidTr="00B2180A">
        <w:trPr>
          <w:trHeight w:val="557"/>
        </w:trPr>
        <w:tc>
          <w:tcPr>
            <w:tcW w:w="1384" w:type="dxa"/>
          </w:tcPr>
          <w:p w14:paraId="46B3145C" w14:textId="77777777" w:rsidR="00BB2F0A" w:rsidRPr="00A3389E" w:rsidRDefault="00BB2F0A" w:rsidP="00BB2F0A">
            <w:pPr>
              <w:pStyle w:val="Applicationdirecte"/>
              <w:spacing w:before="60"/>
              <w:jc w:val="center"/>
            </w:pPr>
            <w:r w:rsidRPr="00A3389E">
              <w:lastRenderedPageBreak/>
              <w:t>18</w:t>
            </w:r>
          </w:p>
        </w:tc>
        <w:tc>
          <w:tcPr>
            <w:tcW w:w="7655" w:type="dxa"/>
          </w:tcPr>
          <w:p w14:paraId="5F20E9BB" w14:textId="77777777" w:rsidR="00BB2F0A" w:rsidRPr="00A3389E" w:rsidRDefault="009501D6"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Celkové dostupné stabilné financovanie</w:t>
            </w:r>
          </w:p>
          <w:p w14:paraId="0CB3A2BF" w14:textId="3711597D" w:rsidR="009501D6" w:rsidRPr="00A60806" w:rsidRDefault="009501D6" w:rsidP="00416DAD">
            <w:pPr>
              <w:autoSpaceDE w:val="0"/>
              <w:autoSpaceDN w:val="0"/>
              <w:adjustRightInd w:val="0"/>
              <w:spacing w:after="120"/>
              <w:jc w:val="both"/>
              <w:rPr>
                <w:rFonts w:ascii="Times New Roman" w:hAnsi="Times New Roman" w:cs="Times New Roman"/>
                <w:spacing w:val="-6"/>
                <w:sz w:val="24"/>
              </w:rPr>
            </w:pPr>
            <w:r w:rsidRPr="00A60806">
              <w:rPr>
                <w:rFonts w:ascii="Times New Roman" w:hAnsi="Times New Roman" w:cs="Times New Roman"/>
                <w:spacing w:val="-6"/>
                <w:sz w:val="24"/>
              </w:rPr>
              <w:t>Inštitúcie zverejňujú výšku dostupného stabilného financovania vypočítanú</w:t>
            </w:r>
            <w:r w:rsidR="00A3389E" w:rsidRPr="00A60806">
              <w:rPr>
                <w:rFonts w:ascii="Times New Roman" w:hAnsi="Times New Roman" w:cs="Times New Roman"/>
                <w:spacing w:val="-6"/>
                <w:sz w:val="24"/>
              </w:rPr>
              <w:t xml:space="preserve"> v </w:t>
            </w:r>
            <w:r w:rsidRPr="00A60806">
              <w:rPr>
                <w:rFonts w:ascii="Times New Roman" w:hAnsi="Times New Roman" w:cs="Times New Roman"/>
                <w:spacing w:val="-6"/>
                <w:sz w:val="24"/>
              </w:rPr>
              <w:t>súlade so šiestou časťou hlavou IV kapitolou 3 CRR, ako je zverejnené</w:t>
            </w:r>
            <w:r w:rsidR="00A3389E" w:rsidRPr="00A60806">
              <w:rPr>
                <w:rFonts w:ascii="Times New Roman" w:hAnsi="Times New Roman" w:cs="Times New Roman"/>
                <w:spacing w:val="-6"/>
                <w:sz w:val="24"/>
              </w:rPr>
              <w:t xml:space="preserve"> v </w:t>
            </w:r>
            <w:r w:rsidRPr="00A60806">
              <w:rPr>
                <w:rFonts w:ascii="Times New Roman" w:hAnsi="Times New Roman" w:cs="Times New Roman"/>
                <w:spacing w:val="-6"/>
                <w:sz w:val="24"/>
              </w:rPr>
              <w:t>prílohe XIII (riadok 14 vzoru EU LIQ2 – ukazovateľ čistého stabilného financovania).</w:t>
            </w:r>
          </w:p>
        </w:tc>
      </w:tr>
      <w:tr w:rsidR="00BB2F0A" w:rsidRPr="00A3389E" w14:paraId="196BD2E3" w14:textId="77777777" w:rsidTr="00B2180A">
        <w:trPr>
          <w:trHeight w:val="557"/>
        </w:trPr>
        <w:tc>
          <w:tcPr>
            <w:tcW w:w="1384" w:type="dxa"/>
          </w:tcPr>
          <w:p w14:paraId="138D6E9A" w14:textId="77777777" w:rsidR="00BB2F0A" w:rsidRPr="00A3389E" w:rsidRDefault="00BB2F0A" w:rsidP="00BB2F0A">
            <w:pPr>
              <w:pStyle w:val="Applicationdirecte"/>
              <w:spacing w:before="60"/>
              <w:jc w:val="center"/>
            </w:pPr>
            <w:r w:rsidRPr="00A3389E">
              <w:t>19</w:t>
            </w:r>
          </w:p>
        </w:tc>
        <w:tc>
          <w:tcPr>
            <w:tcW w:w="7655" w:type="dxa"/>
          </w:tcPr>
          <w:p w14:paraId="33D8D493" w14:textId="77777777" w:rsidR="00EA38FE" w:rsidRPr="00A3389E" w:rsidRDefault="009501D6" w:rsidP="00EA38FE">
            <w:pPr>
              <w:spacing w:before="60" w:after="120"/>
              <w:jc w:val="both"/>
              <w:rPr>
                <w:rFonts w:ascii="Times New Roman" w:hAnsi="Times New Roman" w:cs="Times New Roman"/>
                <w:b/>
                <w:sz w:val="24"/>
              </w:rPr>
            </w:pPr>
            <w:r w:rsidRPr="00A3389E">
              <w:rPr>
                <w:rFonts w:ascii="Times New Roman" w:hAnsi="Times New Roman" w:cs="Times New Roman"/>
                <w:b/>
                <w:sz w:val="24"/>
              </w:rPr>
              <w:t>Celkové požadované stabilné financovanie</w:t>
            </w:r>
          </w:p>
          <w:p w14:paraId="205FE1F2" w14:textId="1BC827E2" w:rsidR="009501D6" w:rsidRPr="00A60806" w:rsidRDefault="009501D6" w:rsidP="00605635">
            <w:pPr>
              <w:spacing w:before="60" w:after="120"/>
              <w:jc w:val="both"/>
              <w:rPr>
                <w:rFonts w:ascii="Times New Roman" w:hAnsi="Times New Roman" w:cs="Times New Roman"/>
                <w:spacing w:val="-6"/>
                <w:sz w:val="24"/>
              </w:rPr>
            </w:pPr>
            <w:r w:rsidRPr="00A60806">
              <w:rPr>
                <w:rFonts w:ascii="Times New Roman" w:hAnsi="Times New Roman" w:cs="Times New Roman"/>
                <w:spacing w:val="-6"/>
                <w:sz w:val="24"/>
              </w:rPr>
              <w:t>Inštitúcie zverejňujú výšku požadovaného stabilného financovania vypočítanú</w:t>
            </w:r>
            <w:r w:rsidR="00A3389E" w:rsidRPr="00A60806">
              <w:rPr>
                <w:rFonts w:ascii="Times New Roman" w:hAnsi="Times New Roman" w:cs="Times New Roman"/>
                <w:spacing w:val="-6"/>
                <w:sz w:val="24"/>
              </w:rPr>
              <w:t xml:space="preserve"> v </w:t>
            </w:r>
            <w:r w:rsidRPr="00A60806">
              <w:rPr>
                <w:rFonts w:ascii="Times New Roman" w:hAnsi="Times New Roman" w:cs="Times New Roman"/>
                <w:spacing w:val="-6"/>
                <w:sz w:val="24"/>
              </w:rPr>
              <w:t>súlade so šiestou časťou hlavou IV kapitolou 4 CRR, ako je zverejnené</w:t>
            </w:r>
            <w:r w:rsidR="00A3389E" w:rsidRPr="00A60806">
              <w:rPr>
                <w:rFonts w:ascii="Times New Roman" w:hAnsi="Times New Roman" w:cs="Times New Roman"/>
                <w:spacing w:val="-6"/>
                <w:sz w:val="24"/>
              </w:rPr>
              <w:t xml:space="preserve"> v </w:t>
            </w:r>
            <w:r w:rsidRPr="00A60806">
              <w:rPr>
                <w:rFonts w:ascii="Times New Roman" w:hAnsi="Times New Roman" w:cs="Times New Roman"/>
                <w:spacing w:val="-6"/>
                <w:sz w:val="24"/>
              </w:rPr>
              <w:t>prílohe XIII (riadok 33 vzoru EU LIQ2 – ukazovateľ čistého stabilného financovania).</w:t>
            </w:r>
          </w:p>
        </w:tc>
      </w:tr>
      <w:tr w:rsidR="00BB2F0A" w:rsidRPr="00A3389E" w14:paraId="5F0D3785" w14:textId="77777777" w:rsidTr="00B2180A">
        <w:trPr>
          <w:trHeight w:val="557"/>
        </w:trPr>
        <w:tc>
          <w:tcPr>
            <w:tcW w:w="1384" w:type="dxa"/>
          </w:tcPr>
          <w:p w14:paraId="58861D5D" w14:textId="77777777" w:rsidR="00BB2F0A" w:rsidRPr="00A3389E" w:rsidRDefault="00BB2F0A" w:rsidP="00BB2F0A">
            <w:pPr>
              <w:pStyle w:val="Applicationdirecte"/>
              <w:spacing w:before="60"/>
              <w:jc w:val="center"/>
            </w:pPr>
            <w:r w:rsidRPr="00A3389E">
              <w:t>20</w:t>
            </w:r>
          </w:p>
        </w:tc>
        <w:tc>
          <w:tcPr>
            <w:tcW w:w="7655" w:type="dxa"/>
          </w:tcPr>
          <w:p w14:paraId="2C215CE4" w14:textId="77777777" w:rsidR="00BB2F0A" w:rsidRPr="00A3389E" w:rsidRDefault="00EA38FE" w:rsidP="00BB2F0A">
            <w:pPr>
              <w:spacing w:before="60" w:after="120"/>
              <w:jc w:val="both"/>
              <w:rPr>
                <w:rFonts w:ascii="Times New Roman" w:hAnsi="Times New Roman" w:cs="Times New Roman"/>
                <w:b/>
                <w:sz w:val="24"/>
              </w:rPr>
            </w:pPr>
            <w:r w:rsidRPr="00A3389E">
              <w:rPr>
                <w:rFonts w:ascii="Times New Roman" w:hAnsi="Times New Roman" w:cs="Times New Roman"/>
                <w:b/>
                <w:sz w:val="24"/>
              </w:rPr>
              <w:t>Ukazovateľ čistého stabilného financovania (NSFR) (%)</w:t>
            </w:r>
          </w:p>
          <w:p w14:paraId="16F56415" w14:textId="16E65901" w:rsidR="00EA38FE" w:rsidRPr="00A3389E" w:rsidRDefault="00EA38FE" w:rsidP="0097538A">
            <w:pPr>
              <w:spacing w:before="60" w:after="120"/>
              <w:jc w:val="both"/>
              <w:rPr>
                <w:rFonts w:ascii="Times New Roman" w:hAnsi="Times New Roman" w:cs="Times New Roman"/>
                <w:sz w:val="24"/>
              </w:rPr>
            </w:pPr>
            <w:r w:rsidRPr="00A3389E">
              <w:rPr>
                <w:rFonts w:ascii="Times New Roman" w:hAnsi="Times New Roman" w:cs="Times New Roman"/>
                <w:sz w:val="24"/>
              </w:rPr>
              <w:t>Ukazovateľ NSFR vypočítaný</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428b CRR.</w:t>
            </w:r>
          </w:p>
        </w:tc>
      </w:tr>
    </w:tbl>
    <w:p w14:paraId="1917C482" w14:textId="77777777" w:rsidR="00251512" w:rsidRPr="00A3389E" w:rsidRDefault="00251512" w:rsidP="00501CEC">
      <w:pPr>
        <w:pStyle w:val="Titlelevel2"/>
        <w:spacing w:before="120" w:after="120"/>
        <w:rPr>
          <w:rFonts w:ascii="Times New Roman" w:hAnsi="Times New Roman" w:cs="Times New Roman"/>
          <w:b/>
          <w:color w:val="auto"/>
          <w:sz w:val="24"/>
        </w:rPr>
      </w:pPr>
    </w:p>
    <w:p w14:paraId="3FDA64E0" w14:textId="77777777" w:rsidR="00BD36EC" w:rsidRPr="00A3389E" w:rsidRDefault="00BD36EC" w:rsidP="00D845D4">
      <w:pPr>
        <w:spacing w:after="120"/>
        <w:jc w:val="both"/>
        <w:rPr>
          <w:rFonts w:ascii="Times New Roman" w:hAnsi="Times New Roman" w:cs="Times New Roman"/>
          <w:sz w:val="24"/>
        </w:rPr>
      </w:pPr>
      <w:r w:rsidRPr="00A3389E">
        <w:rPr>
          <w:rFonts w:ascii="Times New Roman" w:hAnsi="Times New Roman" w:cs="Times New Roman"/>
          <w:b/>
          <w:sz w:val="24"/>
        </w:rPr>
        <w:t xml:space="preserve">Vzor EU INS1 – Poistné účasti: </w:t>
      </w:r>
      <w:r w:rsidRPr="00A3389E">
        <w:rPr>
          <w:rFonts w:ascii="Times New Roman" w:hAnsi="Times New Roman" w:cs="Times New Roman"/>
          <w:sz w:val="24"/>
        </w:rPr>
        <w:t>Pevný formát</w:t>
      </w:r>
    </w:p>
    <w:p w14:paraId="385CC150" w14:textId="25FF2789" w:rsidR="00B10EE4" w:rsidRPr="00A3389E" w:rsidRDefault="00A3389E" w:rsidP="00A3389E">
      <w:pPr>
        <w:pStyle w:val="Titlelevel2"/>
        <w:spacing w:before="120" w:after="120"/>
        <w:ind w:left="426" w:hanging="360"/>
        <w:rPr>
          <w:rFonts w:ascii="Times New Roman" w:hAnsi="Times New Roman" w:cs="Times New Roman"/>
          <w:color w:val="auto"/>
          <w:sz w:val="24"/>
        </w:rPr>
      </w:pPr>
      <w:r w:rsidRPr="00A3389E">
        <w:rPr>
          <w:rFonts w:ascii="Times New Roman" w:hAnsi="Times New Roman" w:cs="Times New Roman"/>
          <w:color w:val="auto"/>
          <w:sz w:val="24"/>
        </w:rPr>
        <w:t>4.</w:t>
      </w:r>
      <w:r w:rsidRPr="00A3389E">
        <w:rPr>
          <w:rFonts w:ascii="Times New Roman" w:hAnsi="Times New Roman" w:cs="Times New Roman"/>
          <w:color w:val="auto"/>
          <w:sz w:val="24"/>
        </w:rPr>
        <w:tab/>
      </w:r>
      <w:r w:rsidR="00BA25D7" w:rsidRPr="00A3389E">
        <w:rPr>
          <w:rFonts w:ascii="Times New Roman" w:hAnsi="Times New Roman" w:cs="Times New Roman"/>
          <w:bCs w:val="0"/>
          <w:color w:val="000000"/>
          <w:sz w:val="24"/>
        </w:rPr>
        <w:t>Inštitúcie</w:t>
      </w:r>
      <w:r w:rsidR="00BA25D7" w:rsidRPr="00A3389E">
        <w:rPr>
          <w:rFonts w:ascii="Times New Roman" w:hAnsi="Times New Roman" w:cs="Times New Roman"/>
          <w:color w:val="auto"/>
          <w:sz w:val="24"/>
        </w:rPr>
        <w:t xml:space="preserve"> uplatňujú</w:t>
      </w:r>
      <w:r w:rsidR="00BA25D7" w:rsidRPr="00A3389E">
        <w:rPr>
          <w:rFonts w:ascii="Times New Roman" w:hAnsi="Times New Roman" w:cs="Times New Roman"/>
          <w:bCs w:val="0"/>
          <w:color w:val="000000"/>
          <w:sz w:val="24"/>
        </w:rPr>
        <w:t xml:space="preserve"> pokyny uvedené nižšie</w:t>
      </w:r>
      <w:r>
        <w:rPr>
          <w:rFonts w:ascii="Times New Roman" w:hAnsi="Times New Roman" w:cs="Times New Roman"/>
          <w:bCs w:val="0"/>
          <w:color w:val="000000"/>
          <w:sz w:val="24"/>
        </w:rPr>
        <w:t xml:space="preserve"> v </w:t>
      </w:r>
      <w:r w:rsidR="00BA25D7" w:rsidRPr="00A3389E">
        <w:rPr>
          <w:rFonts w:ascii="Times New Roman" w:hAnsi="Times New Roman" w:cs="Times New Roman"/>
          <w:bCs w:val="0"/>
          <w:color w:val="000000"/>
          <w:sz w:val="24"/>
        </w:rPr>
        <w:t>tejto prílohe na vyplnenie vzoru EU INS1, ako sa uvádza</w:t>
      </w:r>
      <w:r>
        <w:rPr>
          <w:rFonts w:ascii="Times New Roman" w:hAnsi="Times New Roman" w:cs="Times New Roman"/>
          <w:bCs w:val="0"/>
          <w:color w:val="000000"/>
          <w:sz w:val="24"/>
        </w:rPr>
        <w:t xml:space="preserve"> v </w:t>
      </w:r>
      <w:r w:rsidR="00BA25D7" w:rsidRPr="00A3389E">
        <w:rPr>
          <w:rFonts w:ascii="Times New Roman" w:hAnsi="Times New Roman" w:cs="Times New Roman"/>
          <w:bCs w:val="0"/>
          <w:color w:val="000000"/>
          <w:sz w:val="24"/>
        </w:rPr>
        <w:t>prílohe I,</w:t>
      </w:r>
      <w:r w:rsidR="00BA25D7" w:rsidRPr="00A3389E">
        <w:rPr>
          <w:rFonts w:ascii="Times New Roman" w:hAnsi="Times New Roman" w:cs="Times New Roman"/>
          <w:color w:val="auto"/>
          <w:sz w:val="24"/>
        </w:rPr>
        <w:t xml:space="preserve"> pričom uplatňujú článok 438 písm. f) </w:t>
      </w:r>
      <w:r w:rsidR="00BA25D7" w:rsidRPr="00A3389E">
        <w:rPr>
          <w:rFonts w:ascii="Times New Roman" w:hAnsi="Times New Roman" w:cs="Times New Roman"/>
          <w:bCs w:val="0"/>
          <w:color w:val="auto"/>
          <w:sz w:val="24"/>
        </w:rPr>
        <w:t>CRR</w:t>
      </w:r>
      <w:r w:rsidR="00BA25D7" w:rsidRPr="00A3389E">
        <w:rPr>
          <w:rFonts w:ascii="Times New Roman" w:hAnsi="Times New Roman" w:cs="Times New Roman"/>
          <w:color w:val="auto"/>
          <w:sz w:val="24"/>
        </w:rPr>
        <w:t>.</w:t>
      </w:r>
    </w:p>
    <w:p w14:paraId="5970EF08" w14:textId="77777777" w:rsidR="00295952" w:rsidRPr="00A3389E"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A3389E"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3519D2EA" w:rsidR="00295952" w:rsidRPr="00A3389E" w:rsidRDefault="00295952" w:rsidP="00B2180A">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295952" w:rsidRPr="00A3389E" w14:paraId="2A1948D0" w14:textId="77777777" w:rsidTr="00B2180A">
        <w:trPr>
          <w:trHeight w:val="238"/>
        </w:trPr>
        <w:tc>
          <w:tcPr>
            <w:tcW w:w="1384" w:type="dxa"/>
            <w:shd w:val="clear" w:color="auto" w:fill="D9D9D9" w:themeFill="background1" w:themeFillShade="D9"/>
          </w:tcPr>
          <w:p w14:paraId="58F319EE" w14:textId="77777777" w:rsidR="00295952" w:rsidRPr="00A3389E" w:rsidRDefault="00295952" w:rsidP="00B2180A">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0136B062" w14:textId="77777777" w:rsidR="00295952" w:rsidRPr="00A3389E" w:rsidRDefault="00295952" w:rsidP="00B2180A">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295952" w:rsidRPr="00A3389E" w14:paraId="0F136ACE" w14:textId="77777777" w:rsidTr="00B2180A">
        <w:trPr>
          <w:trHeight w:val="680"/>
        </w:trPr>
        <w:tc>
          <w:tcPr>
            <w:tcW w:w="1384" w:type="dxa"/>
          </w:tcPr>
          <w:p w14:paraId="270B29A8" w14:textId="77777777" w:rsidR="00295952" w:rsidRPr="00A3389E" w:rsidRDefault="00295952" w:rsidP="00B2180A">
            <w:pPr>
              <w:pStyle w:val="Applicationdirecte"/>
              <w:spacing w:before="60"/>
              <w:jc w:val="center"/>
            </w:pPr>
            <w:r w:rsidRPr="00A3389E">
              <w:t>a</w:t>
            </w:r>
          </w:p>
        </w:tc>
        <w:tc>
          <w:tcPr>
            <w:tcW w:w="7655" w:type="dxa"/>
            <w:vAlign w:val="center"/>
          </w:tcPr>
          <w:p w14:paraId="7249EC0E" w14:textId="77777777" w:rsidR="00295952" w:rsidRPr="00A3389E" w:rsidRDefault="00295952" w:rsidP="00B2180A">
            <w:pPr>
              <w:spacing w:before="60" w:after="120"/>
              <w:jc w:val="both"/>
              <w:rPr>
                <w:rFonts w:ascii="Times New Roman" w:hAnsi="Times New Roman" w:cs="Times New Roman"/>
                <w:sz w:val="24"/>
              </w:rPr>
            </w:pPr>
            <w:r w:rsidRPr="00A3389E">
              <w:rPr>
                <w:rFonts w:ascii="Times New Roman" w:hAnsi="Times New Roman" w:cs="Times New Roman"/>
                <w:sz w:val="24"/>
              </w:rPr>
              <w:t>Hodnota expozície</w:t>
            </w:r>
          </w:p>
          <w:p w14:paraId="18F1CB5D" w14:textId="0856525C" w:rsidR="00295952" w:rsidRPr="00A3389E" w:rsidRDefault="00295952" w:rsidP="0097538A">
            <w:pPr>
              <w:spacing w:before="60" w:after="120"/>
              <w:jc w:val="both"/>
              <w:rPr>
                <w:rFonts w:ascii="Times New Roman" w:hAnsi="Times New Roman" w:cs="Times New Roman"/>
                <w:sz w:val="24"/>
              </w:rPr>
            </w:pPr>
            <w:r w:rsidRPr="00A3389E">
              <w:rPr>
                <w:rFonts w:ascii="Times New Roman" w:hAnsi="Times New Roman" w:cs="Times New Roman"/>
                <w:sz w:val="24"/>
              </w:rPr>
              <w:t>Hodnota expozície nástrojov vlastných zdrojov držaných</w:t>
            </w:r>
            <w:r w:rsidR="00A3389E">
              <w:rPr>
                <w:rFonts w:ascii="Times New Roman" w:hAnsi="Times New Roman" w:cs="Times New Roman"/>
                <w:sz w:val="24"/>
              </w:rPr>
              <w:t xml:space="preserve"> v </w:t>
            </w:r>
            <w:r w:rsidRPr="00A3389E">
              <w:rPr>
                <w:rFonts w:ascii="Times New Roman" w:hAnsi="Times New Roman" w:cs="Times New Roman"/>
                <w:sz w:val="24"/>
              </w:rPr>
              <w:t>akejkoľvek poisťovni, zaisťovni alebo holdingovej poisťovni, ktorú inštitúcie neodpočítavajú od svojich vlastných zdrojov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49 CRR pri výpočte svojich kapitálových požiadaviek na individuálnom, subkonsolidovanom</w:t>
            </w:r>
            <w:r w:rsidR="00A3389E">
              <w:rPr>
                <w:rFonts w:ascii="Times New Roman" w:hAnsi="Times New Roman" w:cs="Times New Roman"/>
                <w:sz w:val="24"/>
              </w:rPr>
              <w:t xml:space="preserve"> a </w:t>
            </w:r>
            <w:r w:rsidRPr="00A3389E">
              <w:rPr>
                <w:rFonts w:ascii="Times New Roman" w:hAnsi="Times New Roman" w:cs="Times New Roman"/>
                <w:sz w:val="24"/>
              </w:rPr>
              <w:t>konsolidovanom základe.</w:t>
            </w:r>
          </w:p>
        </w:tc>
      </w:tr>
      <w:tr w:rsidR="00295952" w:rsidRPr="00A3389E" w14:paraId="61334455" w14:textId="77777777" w:rsidTr="00B2180A">
        <w:trPr>
          <w:trHeight w:val="680"/>
        </w:trPr>
        <w:tc>
          <w:tcPr>
            <w:tcW w:w="1384" w:type="dxa"/>
          </w:tcPr>
          <w:p w14:paraId="76F52744" w14:textId="77777777" w:rsidR="00295952" w:rsidRPr="00A3389E" w:rsidRDefault="00295952" w:rsidP="00B2180A">
            <w:pPr>
              <w:pStyle w:val="Applicationdirecte"/>
              <w:spacing w:before="60"/>
              <w:jc w:val="center"/>
            </w:pPr>
            <w:r w:rsidRPr="00A3389E">
              <w:t>b</w:t>
            </w:r>
          </w:p>
        </w:tc>
        <w:tc>
          <w:tcPr>
            <w:tcW w:w="7655" w:type="dxa"/>
            <w:vAlign w:val="center"/>
          </w:tcPr>
          <w:p w14:paraId="35F05204" w14:textId="21F04E81" w:rsidR="00295952" w:rsidRPr="00A3389E" w:rsidRDefault="00295952" w:rsidP="00B2180A">
            <w:pPr>
              <w:spacing w:before="60" w:after="120"/>
              <w:jc w:val="both"/>
              <w:rPr>
                <w:rFonts w:ascii="Times New Roman" w:hAnsi="Times New Roman" w:cs="Times New Roman"/>
                <w:sz w:val="24"/>
              </w:rPr>
            </w:pPr>
            <w:r w:rsidRPr="00A3389E">
              <w:rPr>
                <w:rFonts w:ascii="Times New Roman" w:hAnsi="Times New Roman" w:cs="Times New Roman"/>
                <w:sz w:val="24"/>
              </w:rPr>
              <w:t>Hodnota rizikovej expozície</w:t>
            </w:r>
          </w:p>
          <w:p w14:paraId="5F873619" w14:textId="57CB889D" w:rsidR="00295952" w:rsidRPr="00A3389E" w:rsidRDefault="00295952" w:rsidP="00282104">
            <w:pPr>
              <w:spacing w:before="60" w:after="120"/>
              <w:jc w:val="both"/>
              <w:rPr>
                <w:rFonts w:ascii="Times New Roman" w:hAnsi="Times New Roman" w:cs="Times New Roman"/>
                <w:sz w:val="24"/>
              </w:rPr>
            </w:pPr>
            <w:r w:rsidRPr="00A3389E">
              <w:rPr>
                <w:rFonts w:ascii="Times New Roman" w:hAnsi="Times New Roman" w:cs="Times New Roman"/>
                <w:sz w:val="24"/>
              </w:rPr>
              <w:t>Hodnota rizikovej expozície nástrojov vlastných zdrojov držaných</w:t>
            </w:r>
            <w:r w:rsidR="00A3389E">
              <w:rPr>
                <w:rFonts w:ascii="Times New Roman" w:hAnsi="Times New Roman" w:cs="Times New Roman"/>
                <w:sz w:val="24"/>
              </w:rPr>
              <w:t xml:space="preserve"> v </w:t>
            </w:r>
            <w:r w:rsidRPr="00A3389E">
              <w:rPr>
                <w:rFonts w:ascii="Times New Roman" w:hAnsi="Times New Roman" w:cs="Times New Roman"/>
                <w:sz w:val="24"/>
              </w:rPr>
              <w:t>akejkoľvek poisťovni, zaisťovni alebo holdingovej poisťovni, ktorú inštitúcie neodpočítavajú od svojich vlastných zdrojov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49 CRR pri výpočte svojich kapitálových požiadaviek na individuálnom, subkonsolidovanom</w:t>
            </w:r>
            <w:r w:rsidR="00A3389E">
              <w:rPr>
                <w:rFonts w:ascii="Times New Roman" w:hAnsi="Times New Roman" w:cs="Times New Roman"/>
                <w:sz w:val="24"/>
              </w:rPr>
              <w:t xml:space="preserve"> a </w:t>
            </w:r>
            <w:r w:rsidRPr="00A3389E">
              <w:rPr>
                <w:rFonts w:ascii="Times New Roman" w:hAnsi="Times New Roman" w:cs="Times New Roman"/>
                <w:sz w:val="24"/>
              </w:rPr>
              <w:t>konsolidovanom základe.</w:t>
            </w:r>
          </w:p>
        </w:tc>
      </w:tr>
    </w:tbl>
    <w:p w14:paraId="06D15643" w14:textId="77777777" w:rsidR="00FE0C92" w:rsidRPr="00A3389E" w:rsidRDefault="00FE0C92" w:rsidP="00E258D8">
      <w:pPr>
        <w:tabs>
          <w:tab w:val="left" w:pos="1430"/>
        </w:tabs>
        <w:rPr>
          <w:rFonts w:ascii="Times New Roman" w:hAnsi="Times New Roman" w:cs="Times New Roman"/>
          <w:sz w:val="24"/>
        </w:rPr>
      </w:pPr>
    </w:p>
    <w:p w14:paraId="27E6F29A" w14:textId="070094E1" w:rsidR="00295952" w:rsidRPr="00A3389E" w:rsidRDefault="00295952" w:rsidP="00295952">
      <w:pPr>
        <w:spacing w:after="120"/>
        <w:jc w:val="both"/>
        <w:rPr>
          <w:rFonts w:ascii="Times New Roman" w:hAnsi="Times New Roman" w:cs="Times New Roman"/>
          <w:sz w:val="24"/>
        </w:rPr>
      </w:pPr>
      <w:r w:rsidRPr="00A3389E">
        <w:rPr>
          <w:rFonts w:ascii="Times New Roman" w:hAnsi="Times New Roman" w:cs="Times New Roman"/>
          <w:b/>
          <w:sz w:val="24"/>
        </w:rPr>
        <w:t>Vzor EU INS2 – Finančné konglomeráty – informácie</w:t>
      </w:r>
      <w:r w:rsidR="00A3389E">
        <w:rPr>
          <w:rFonts w:ascii="Times New Roman" w:hAnsi="Times New Roman" w:cs="Times New Roman"/>
          <w:b/>
          <w:sz w:val="24"/>
        </w:rPr>
        <w:t xml:space="preserve"> o </w:t>
      </w:r>
      <w:r w:rsidRPr="00A3389E">
        <w:rPr>
          <w:rFonts w:ascii="Times New Roman" w:hAnsi="Times New Roman" w:cs="Times New Roman"/>
          <w:b/>
          <w:sz w:val="24"/>
        </w:rPr>
        <w:t>vlastných zdrojoch</w:t>
      </w:r>
      <w:r w:rsidR="00A3389E">
        <w:rPr>
          <w:rFonts w:ascii="Times New Roman" w:hAnsi="Times New Roman" w:cs="Times New Roman"/>
          <w:b/>
          <w:sz w:val="24"/>
        </w:rPr>
        <w:t xml:space="preserve"> a </w:t>
      </w:r>
      <w:r w:rsidRPr="00A3389E">
        <w:rPr>
          <w:rFonts w:ascii="Times New Roman" w:hAnsi="Times New Roman" w:cs="Times New Roman"/>
          <w:b/>
          <w:sz w:val="24"/>
        </w:rPr>
        <w:t xml:space="preserve">ukazovateli kapitálovej primeranosti. </w:t>
      </w:r>
      <w:r w:rsidRPr="00A3389E">
        <w:rPr>
          <w:rFonts w:ascii="Times New Roman" w:hAnsi="Times New Roman" w:cs="Times New Roman"/>
          <w:sz w:val="24"/>
        </w:rPr>
        <w:t>Pevný formát</w:t>
      </w:r>
    </w:p>
    <w:p w14:paraId="61F5C281" w14:textId="11D4E00F" w:rsidR="00295952" w:rsidRPr="00A3389E" w:rsidRDefault="00A3389E" w:rsidP="00A3389E">
      <w:pPr>
        <w:pStyle w:val="Titlelevel2"/>
        <w:spacing w:before="120" w:after="120"/>
        <w:ind w:left="426" w:hanging="360"/>
        <w:rPr>
          <w:rFonts w:ascii="Times New Roman" w:hAnsi="Times New Roman" w:cs="Times New Roman"/>
          <w:color w:val="auto"/>
          <w:sz w:val="24"/>
        </w:rPr>
      </w:pPr>
      <w:r w:rsidRPr="00A3389E">
        <w:rPr>
          <w:rFonts w:ascii="Times New Roman" w:hAnsi="Times New Roman" w:cs="Times New Roman"/>
          <w:color w:val="auto"/>
          <w:sz w:val="24"/>
        </w:rPr>
        <w:lastRenderedPageBreak/>
        <w:t>5.</w:t>
      </w:r>
      <w:r w:rsidRPr="00A3389E">
        <w:rPr>
          <w:rFonts w:ascii="Times New Roman" w:hAnsi="Times New Roman" w:cs="Times New Roman"/>
          <w:color w:val="auto"/>
          <w:sz w:val="24"/>
        </w:rPr>
        <w:tab/>
      </w:r>
      <w:r w:rsidR="00295952" w:rsidRPr="00A3389E">
        <w:rPr>
          <w:rFonts w:ascii="Times New Roman" w:hAnsi="Times New Roman" w:cs="Times New Roman"/>
          <w:bCs w:val="0"/>
          <w:color w:val="000000"/>
          <w:sz w:val="24"/>
        </w:rPr>
        <w:t>Inštitúcie</w:t>
      </w:r>
      <w:r w:rsidR="00295952" w:rsidRPr="00A3389E">
        <w:rPr>
          <w:rFonts w:ascii="Times New Roman" w:hAnsi="Times New Roman" w:cs="Times New Roman"/>
          <w:color w:val="auto"/>
          <w:sz w:val="24"/>
        </w:rPr>
        <w:t xml:space="preserve"> uplatňujú</w:t>
      </w:r>
      <w:r w:rsidR="00295952" w:rsidRPr="00A3389E">
        <w:rPr>
          <w:rFonts w:ascii="Times New Roman" w:hAnsi="Times New Roman" w:cs="Times New Roman"/>
          <w:bCs w:val="0"/>
          <w:color w:val="000000"/>
          <w:sz w:val="24"/>
        </w:rPr>
        <w:t xml:space="preserve"> pokyny uvedené nižšie</w:t>
      </w:r>
      <w:r>
        <w:rPr>
          <w:rFonts w:ascii="Times New Roman" w:hAnsi="Times New Roman" w:cs="Times New Roman"/>
          <w:bCs w:val="0"/>
          <w:color w:val="000000"/>
          <w:sz w:val="24"/>
        </w:rPr>
        <w:t xml:space="preserve"> v </w:t>
      </w:r>
      <w:r w:rsidR="00295952" w:rsidRPr="00A3389E">
        <w:rPr>
          <w:rFonts w:ascii="Times New Roman" w:hAnsi="Times New Roman" w:cs="Times New Roman"/>
          <w:bCs w:val="0"/>
          <w:color w:val="000000"/>
          <w:sz w:val="24"/>
        </w:rPr>
        <w:t>tejto prílohe na vyplnenie vzoru EU INS2, ako sa uvádza</w:t>
      </w:r>
      <w:r>
        <w:rPr>
          <w:rFonts w:ascii="Times New Roman" w:hAnsi="Times New Roman" w:cs="Times New Roman"/>
          <w:bCs w:val="0"/>
          <w:color w:val="000000"/>
          <w:sz w:val="24"/>
        </w:rPr>
        <w:t xml:space="preserve"> v </w:t>
      </w:r>
      <w:r w:rsidR="00295952" w:rsidRPr="00A3389E">
        <w:rPr>
          <w:rFonts w:ascii="Times New Roman" w:hAnsi="Times New Roman" w:cs="Times New Roman"/>
          <w:bCs w:val="0"/>
          <w:color w:val="000000"/>
          <w:sz w:val="24"/>
        </w:rPr>
        <w:t>prílohe I</w:t>
      </w:r>
      <w:r>
        <w:rPr>
          <w:rFonts w:ascii="Times New Roman" w:hAnsi="Times New Roman" w:cs="Times New Roman"/>
          <w:bCs w:val="0"/>
          <w:color w:val="000000"/>
          <w:sz w:val="24"/>
        </w:rPr>
        <w:t xml:space="preserve"> k </w:t>
      </w:r>
      <w:r w:rsidR="00295952" w:rsidRPr="00A3389E">
        <w:rPr>
          <w:rFonts w:ascii="Times New Roman" w:hAnsi="Times New Roman" w:cs="Times New Roman"/>
          <w:bCs w:val="0"/>
          <w:color w:val="000000"/>
          <w:sz w:val="24"/>
        </w:rPr>
        <w:t>tomuto vykonávaciemu nariadeniu,</w:t>
      </w:r>
      <w:r w:rsidR="00295952" w:rsidRPr="00A3389E">
        <w:rPr>
          <w:rFonts w:ascii="Times New Roman" w:hAnsi="Times New Roman" w:cs="Times New Roman"/>
          <w:color w:val="auto"/>
          <w:sz w:val="24"/>
        </w:rPr>
        <w:t xml:space="preserve"> pričom uplatňujú článok 438 písm. g) </w:t>
      </w:r>
      <w:r w:rsidR="00295952" w:rsidRPr="00A3389E">
        <w:rPr>
          <w:rFonts w:ascii="Times New Roman" w:hAnsi="Times New Roman" w:cs="Times New Roman"/>
          <w:bCs w:val="0"/>
          <w:color w:val="auto"/>
          <w:sz w:val="24"/>
        </w:rPr>
        <w:t>CRR</w:t>
      </w:r>
      <w:r w:rsidR="00295952" w:rsidRPr="00A3389E">
        <w:rPr>
          <w:rFonts w:ascii="Times New Roman" w:hAnsi="Times New Roman" w:cs="Times New Roman"/>
          <w:color w:val="auto"/>
          <w:sz w:val="24"/>
        </w:rPr>
        <w:t>.</w:t>
      </w:r>
    </w:p>
    <w:p w14:paraId="2C33B06C" w14:textId="77777777" w:rsidR="00295952" w:rsidRPr="00A3389E"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A3389E"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386C5891" w:rsidR="00295952" w:rsidRPr="00A3389E" w:rsidRDefault="00295952" w:rsidP="00B2180A">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295952" w:rsidRPr="00A3389E" w14:paraId="38931EE1" w14:textId="77777777" w:rsidTr="00B2180A">
        <w:trPr>
          <w:trHeight w:val="238"/>
        </w:trPr>
        <w:tc>
          <w:tcPr>
            <w:tcW w:w="1384" w:type="dxa"/>
            <w:shd w:val="clear" w:color="auto" w:fill="D9D9D9" w:themeFill="background1" w:themeFillShade="D9"/>
          </w:tcPr>
          <w:p w14:paraId="5F0C6C00" w14:textId="77777777" w:rsidR="00295952" w:rsidRPr="00A3389E" w:rsidRDefault="00295952" w:rsidP="00B2180A">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7A981CBB" w14:textId="77777777" w:rsidR="00295952" w:rsidRPr="00A3389E" w:rsidRDefault="00295952" w:rsidP="00B2180A">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295952" w:rsidRPr="00A3389E" w14:paraId="06B27C97" w14:textId="77777777" w:rsidTr="00B2180A">
        <w:trPr>
          <w:trHeight w:val="680"/>
        </w:trPr>
        <w:tc>
          <w:tcPr>
            <w:tcW w:w="1384" w:type="dxa"/>
          </w:tcPr>
          <w:p w14:paraId="7F147BC5" w14:textId="77777777" w:rsidR="00295952" w:rsidRPr="00A3389E" w:rsidRDefault="00295952" w:rsidP="00B2180A">
            <w:pPr>
              <w:pStyle w:val="Applicationdirecte"/>
              <w:spacing w:before="60"/>
              <w:jc w:val="center"/>
            </w:pPr>
            <w:r w:rsidRPr="00A3389E">
              <w:t>1</w:t>
            </w:r>
          </w:p>
        </w:tc>
        <w:tc>
          <w:tcPr>
            <w:tcW w:w="7655" w:type="dxa"/>
            <w:vAlign w:val="center"/>
          </w:tcPr>
          <w:p w14:paraId="08B15EA5" w14:textId="77777777" w:rsidR="00A3389E" w:rsidRPr="00A3389E" w:rsidRDefault="00295952" w:rsidP="00B2180A">
            <w:pPr>
              <w:spacing w:before="60" w:after="120"/>
              <w:jc w:val="both"/>
              <w:rPr>
                <w:rFonts w:ascii="Times New Roman" w:hAnsi="Times New Roman" w:cs="Times New Roman"/>
                <w:sz w:val="24"/>
              </w:rPr>
            </w:pPr>
            <w:r w:rsidRPr="00A3389E">
              <w:rPr>
                <w:rFonts w:ascii="Times New Roman" w:hAnsi="Times New Roman" w:cs="Times New Roman"/>
                <w:sz w:val="24"/>
              </w:rPr>
              <w:t>Doplnkové požiadavky na vlastné zdroje finančného konglomerátu (hodnota)</w:t>
            </w:r>
          </w:p>
          <w:p w14:paraId="7401DE1A" w14:textId="0EEA71A1" w:rsidR="00295952" w:rsidRPr="00A3389E" w:rsidRDefault="000A3A4A" w:rsidP="00704085">
            <w:pPr>
              <w:spacing w:before="60" w:after="120"/>
              <w:jc w:val="both"/>
              <w:rPr>
                <w:rFonts w:ascii="Times New Roman" w:hAnsi="Times New Roman" w:cs="Times New Roman"/>
                <w:sz w:val="24"/>
              </w:rPr>
            </w:pPr>
            <w:r w:rsidRPr="00A3389E">
              <w:rPr>
                <w:rFonts w:ascii="Times New Roman" w:hAnsi="Times New Roman" w:cs="Times New Roman"/>
                <w:sz w:val="24"/>
              </w:rPr>
              <w:t>Výška doplnkových požiadaviek na vlastné zdroje finančného konglomerátu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6 smernice Európskeho parlamentu</w:t>
            </w:r>
            <w:r w:rsidR="00A3389E">
              <w:rPr>
                <w:rFonts w:ascii="Times New Roman" w:hAnsi="Times New Roman" w:cs="Times New Roman"/>
                <w:sz w:val="24"/>
              </w:rPr>
              <w:t xml:space="preserve"> a </w:t>
            </w:r>
            <w:r w:rsidRPr="00A3389E">
              <w:rPr>
                <w:rFonts w:ascii="Times New Roman" w:hAnsi="Times New Roman" w:cs="Times New Roman"/>
                <w:sz w:val="24"/>
              </w:rPr>
              <w:t>Rady (ES) 2002/87</w:t>
            </w:r>
            <w:r w:rsidRPr="00A3389E">
              <w:rPr>
                <w:rStyle w:val="FootnoteReference"/>
                <w:rFonts w:ascii="Times New Roman" w:hAnsi="Times New Roman" w:cs="Times New Roman"/>
              </w:rPr>
              <w:footnoteReference w:id="5"/>
            </w:r>
            <w:r w:rsidR="00A3389E">
              <w:rPr>
                <w:rFonts w:ascii="Times New Roman" w:hAnsi="Times New Roman" w:cs="Times New Roman"/>
                <w:sz w:val="24"/>
              </w:rPr>
              <w:t xml:space="preserve"> a </w:t>
            </w:r>
            <w:r w:rsidRPr="00A3389E">
              <w:rPr>
                <w:rFonts w:ascii="Times New Roman" w:hAnsi="Times New Roman" w:cs="Times New Roman"/>
                <w:sz w:val="24"/>
              </w:rPr>
              <w:t>prílohou I</w:t>
            </w:r>
            <w:r w:rsidR="00A3389E">
              <w:rPr>
                <w:rFonts w:ascii="Times New Roman" w:hAnsi="Times New Roman" w:cs="Times New Roman"/>
                <w:sz w:val="24"/>
              </w:rPr>
              <w:t xml:space="preserve"> k </w:t>
            </w:r>
            <w:r w:rsidRPr="00A3389E">
              <w:rPr>
                <w:rFonts w:ascii="Times New Roman" w:hAnsi="Times New Roman" w:cs="Times New Roman"/>
                <w:sz w:val="24"/>
              </w:rPr>
              <w:t>uvedenej smernici, ak sa uplatňuje metóda 1 alebo 2 stanovená</w:t>
            </w:r>
            <w:r w:rsidR="00A3389E">
              <w:rPr>
                <w:rFonts w:ascii="Times New Roman" w:hAnsi="Times New Roman" w:cs="Times New Roman"/>
                <w:sz w:val="24"/>
              </w:rPr>
              <w:t xml:space="preserve"> v </w:t>
            </w:r>
            <w:r w:rsidRPr="00A3389E">
              <w:rPr>
                <w:rFonts w:ascii="Times New Roman" w:hAnsi="Times New Roman" w:cs="Times New Roman"/>
                <w:sz w:val="24"/>
              </w:rPr>
              <w:t>prílohe I.</w:t>
            </w:r>
          </w:p>
        </w:tc>
      </w:tr>
      <w:tr w:rsidR="00295952" w:rsidRPr="00A3389E" w14:paraId="1857A276" w14:textId="77777777" w:rsidTr="00B2180A">
        <w:trPr>
          <w:trHeight w:val="680"/>
        </w:trPr>
        <w:tc>
          <w:tcPr>
            <w:tcW w:w="1384" w:type="dxa"/>
          </w:tcPr>
          <w:p w14:paraId="08626B20" w14:textId="77777777" w:rsidR="00295952" w:rsidRPr="00A3389E" w:rsidRDefault="00295952" w:rsidP="00B2180A">
            <w:pPr>
              <w:pStyle w:val="Applicationdirecte"/>
              <w:spacing w:before="60"/>
              <w:jc w:val="center"/>
            </w:pPr>
            <w:r w:rsidRPr="00A3389E">
              <w:t>2</w:t>
            </w:r>
          </w:p>
        </w:tc>
        <w:tc>
          <w:tcPr>
            <w:tcW w:w="7655" w:type="dxa"/>
            <w:vAlign w:val="center"/>
          </w:tcPr>
          <w:p w14:paraId="42B45BEE" w14:textId="77777777" w:rsidR="00295952" w:rsidRPr="00A3389E" w:rsidRDefault="00295952" w:rsidP="00B2180A">
            <w:pPr>
              <w:spacing w:before="60" w:after="120"/>
              <w:jc w:val="both"/>
              <w:rPr>
                <w:rFonts w:ascii="Times New Roman" w:hAnsi="Times New Roman" w:cs="Times New Roman"/>
                <w:sz w:val="24"/>
              </w:rPr>
            </w:pPr>
            <w:r w:rsidRPr="00A3389E">
              <w:rPr>
                <w:rFonts w:ascii="Times New Roman" w:hAnsi="Times New Roman" w:cs="Times New Roman"/>
                <w:sz w:val="24"/>
              </w:rPr>
              <w:t>Ukazovateľ kapitálovej primeranosti finančného konglomerátu (%)</w:t>
            </w:r>
          </w:p>
          <w:p w14:paraId="1C3780DF" w14:textId="0958B5EC" w:rsidR="00295952" w:rsidRPr="00A3389E" w:rsidRDefault="00295952" w:rsidP="00704085">
            <w:pPr>
              <w:spacing w:before="60" w:after="120"/>
              <w:jc w:val="both"/>
              <w:rPr>
                <w:rFonts w:ascii="Times New Roman" w:hAnsi="Times New Roman" w:cs="Times New Roman"/>
                <w:sz w:val="24"/>
              </w:rPr>
            </w:pPr>
            <w:r w:rsidRPr="00A3389E">
              <w:rPr>
                <w:rFonts w:ascii="Times New Roman" w:hAnsi="Times New Roman" w:cs="Times New Roman"/>
                <w:sz w:val="24"/>
              </w:rPr>
              <w:t>Ukazovateľ kapitálovej primeranosti finančného konglomerátu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6 smernice (ES) 2002/87</w:t>
            </w:r>
            <w:r w:rsidR="00A3389E">
              <w:rPr>
                <w:rFonts w:ascii="Times New Roman" w:hAnsi="Times New Roman" w:cs="Times New Roman"/>
                <w:sz w:val="24"/>
              </w:rPr>
              <w:t xml:space="preserve"> a s </w:t>
            </w:r>
            <w:r w:rsidRPr="00A3389E">
              <w:rPr>
                <w:rFonts w:ascii="Times New Roman" w:hAnsi="Times New Roman" w:cs="Times New Roman"/>
                <w:sz w:val="24"/>
              </w:rPr>
              <w:t>prílohou I</w:t>
            </w:r>
            <w:r w:rsidR="00A3389E">
              <w:rPr>
                <w:rFonts w:ascii="Times New Roman" w:hAnsi="Times New Roman" w:cs="Times New Roman"/>
                <w:sz w:val="24"/>
              </w:rPr>
              <w:t xml:space="preserve"> k </w:t>
            </w:r>
            <w:r w:rsidRPr="00A3389E">
              <w:rPr>
                <w:rFonts w:ascii="Times New Roman" w:hAnsi="Times New Roman" w:cs="Times New Roman"/>
                <w:sz w:val="24"/>
              </w:rPr>
              <w:t>uvedenej smernici, ak sa uplatňuje metóda 1 alebo 2 stanovená</w:t>
            </w:r>
            <w:r w:rsidR="00A3389E">
              <w:rPr>
                <w:rFonts w:ascii="Times New Roman" w:hAnsi="Times New Roman" w:cs="Times New Roman"/>
                <w:sz w:val="24"/>
              </w:rPr>
              <w:t xml:space="preserve"> v </w:t>
            </w:r>
            <w:r w:rsidRPr="00A3389E">
              <w:rPr>
                <w:rFonts w:ascii="Times New Roman" w:hAnsi="Times New Roman" w:cs="Times New Roman"/>
                <w:sz w:val="24"/>
              </w:rPr>
              <w:t>prílohe I.</w:t>
            </w:r>
          </w:p>
        </w:tc>
      </w:tr>
    </w:tbl>
    <w:p w14:paraId="75004C3A" w14:textId="77777777" w:rsidR="00295952" w:rsidRPr="00A3389E" w:rsidRDefault="00295952" w:rsidP="00E258D8">
      <w:pPr>
        <w:tabs>
          <w:tab w:val="left" w:pos="1430"/>
        </w:tabs>
        <w:rPr>
          <w:rFonts w:ascii="Times New Roman" w:hAnsi="Times New Roman" w:cs="Times New Roman"/>
          <w:b/>
          <w:sz w:val="24"/>
        </w:rPr>
      </w:pPr>
    </w:p>
    <w:p w14:paraId="2779323A" w14:textId="77777777" w:rsidR="00D15B1C" w:rsidRPr="00A3389E" w:rsidRDefault="00D15B1C" w:rsidP="00E258D8">
      <w:pPr>
        <w:tabs>
          <w:tab w:val="left" w:pos="1430"/>
        </w:tabs>
        <w:rPr>
          <w:rFonts w:ascii="Times New Roman" w:hAnsi="Times New Roman" w:cs="Times New Roman"/>
          <w:b/>
          <w:sz w:val="24"/>
        </w:rPr>
      </w:pPr>
      <w:r w:rsidRPr="00A3389E">
        <w:rPr>
          <w:rFonts w:ascii="Times New Roman" w:hAnsi="Times New Roman" w:cs="Times New Roman"/>
          <w:b/>
          <w:sz w:val="24"/>
        </w:rPr>
        <w:t xml:space="preserve">Tabuľka EU OVC – informácie ICAAP. </w:t>
      </w:r>
      <w:r w:rsidRPr="00A3389E">
        <w:rPr>
          <w:rFonts w:ascii="Times New Roman" w:hAnsi="Times New Roman" w:cs="Times New Roman"/>
          <w:sz w:val="24"/>
        </w:rPr>
        <w:t>Flexibilný formát</w:t>
      </w:r>
    </w:p>
    <w:p w14:paraId="6F8896EF" w14:textId="77777777" w:rsidR="00D15B1C" w:rsidRPr="00A3389E" w:rsidRDefault="00D15B1C" w:rsidP="00E258D8">
      <w:pPr>
        <w:tabs>
          <w:tab w:val="left" w:pos="1430"/>
        </w:tabs>
        <w:rPr>
          <w:rFonts w:ascii="Times New Roman" w:hAnsi="Times New Roman" w:cs="Times New Roman"/>
          <w:b/>
          <w:sz w:val="24"/>
        </w:rPr>
      </w:pPr>
    </w:p>
    <w:p w14:paraId="6613540B" w14:textId="7FBF579C" w:rsidR="00D15B1C" w:rsidRPr="00A3389E" w:rsidRDefault="00A3389E" w:rsidP="00A3389E">
      <w:pPr>
        <w:pStyle w:val="Titlelevel2"/>
        <w:spacing w:before="120" w:after="120"/>
        <w:ind w:left="426" w:hanging="360"/>
        <w:rPr>
          <w:rFonts w:ascii="Times New Roman" w:hAnsi="Times New Roman" w:cs="Times New Roman"/>
          <w:color w:val="auto"/>
          <w:sz w:val="24"/>
        </w:rPr>
      </w:pPr>
      <w:r w:rsidRPr="00A3389E">
        <w:rPr>
          <w:rFonts w:ascii="Times New Roman" w:hAnsi="Times New Roman" w:cs="Times New Roman"/>
          <w:color w:val="auto"/>
          <w:sz w:val="24"/>
        </w:rPr>
        <w:t>6.</w:t>
      </w:r>
      <w:r w:rsidRPr="00A3389E">
        <w:rPr>
          <w:rFonts w:ascii="Times New Roman" w:hAnsi="Times New Roman" w:cs="Times New Roman"/>
          <w:color w:val="auto"/>
          <w:sz w:val="24"/>
        </w:rPr>
        <w:tab/>
      </w:r>
      <w:r w:rsidR="00D15B1C" w:rsidRPr="00A3389E">
        <w:rPr>
          <w:rFonts w:ascii="Times New Roman" w:hAnsi="Times New Roman" w:cs="Times New Roman"/>
          <w:color w:val="auto"/>
          <w:sz w:val="24"/>
        </w:rPr>
        <w:t>Inštitúcie</w:t>
      </w:r>
      <w:r w:rsidR="00D15B1C" w:rsidRPr="00A3389E">
        <w:rPr>
          <w:rFonts w:ascii="Times New Roman" w:hAnsi="Times New Roman" w:cs="Times New Roman"/>
          <w:bCs w:val="0"/>
          <w:color w:val="000000"/>
          <w:sz w:val="24"/>
        </w:rPr>
        <w:t xml:space="preserve"> uplatňujú pokyny uvedené nižšie</w:t>
      </w:r>
      <w:r>
        <w:rPr>
          <w:rFonts w:ascii="Times New Roman" w:hAnsi="Times New Roman" w:cs="Times New Roman"/>
          <w:bCs w:val="0"/>
          <w:color w:val="000000"/>
          <w:sz w:val="24"/>
        </w:rPr>
        <w:t xml:space="preserve"> v </w:t>
      </w:r>
      <w:r w:rsidR="00D15B1C" w:rsidRPr="00A3389E">
        <w:rPr>
          <w:rFonts w:ascii="Times New Roman" w:hAnsi="Times New Roman" w:cs="Times New Roman"/>
          <w:bCs w:val="0"/>
          <w:color w:val="000000"/>
          <w:sz w:val="24"/>
        </w:rPr>
        <w:t>tejto prílohe na vyplnenie tabuľky EU OVC, ako sa uvádza</w:t>
      </w:r>
      <w:r>
        <w:rPr>
          <w:rFonts w:ascii="Times New Roman" w:hAnsi="Times New Roman" w:cs="Times New Roman"/>
          <w:bCs w:val="0"/>
          <w:color w:val="000000"/>
          <w:sz w:val="24"/>
        </w:rPr>
        <w:t xml:space="preserve"> v </w:t>
      </w:r>
      <w:r w:rsidR="00D15B1C" w:rsidRPr="00A3389E">
        <w:rPr>
          <w:rFonts w:ascii="Times New Roman" w:hAnsi="Times New Roman" w:cs="Times New Roman"/>
          <w:bCs w:val="0"/>
          <w:color w:val="000000"/>
          <w:sz w:val="24"/>
        </w:rPr>
        <w:t>prílohe I,</w:t>
      </w:r>
      <w:r w:rsidR="00D15B1C" w:rsidRPr="00A3389E">
        <w:rPr>
          <w:rFonts w:ascii="Times New Roman" w:hAnsi="Times New Roman" w:cs="Times New Roman"/>
          <w:color w:val="auto"/>
          <w:sz w:val="24"/>
        </w:rPr>
        <w:t xml:space="preserve"> pričom uplatňujú článok 438 písm. a)</w:t>
      </w:r>
      <w:r>
        <w:rPr>
          <w:rFonts w:ascii="Times New Roman" w:hAnsi="Times New Roman" w:cs="Times New Roman"/>
          <w:color w:val="auto"/>
          <w:sz w:val="24"/>
        </w:rPr>
        <w:t xml:space="preserve"> a </w:t>
      </w:r>
      <w:r w:rsidR="00D15B1C" w:rsidRPr="00A3389E">
        <w:rPr>
          <w:rFonts w:ascii="Times New Roman" w:hAnsi="Times New Roman" w:cs="Times New Roman"/>
          <w:color w:val="auto"/>
          <w:sz w:val="24"/>
        </w:rPr>
        <w:t xml:space="preserve">c) </w:t>
      </w:r>
      <w:r w:rsidR="00D15B1C" w:rsidRPr="00A3389E">
        <w:rPr>
          <w:rFonts w:ascii="Times New Roman" w:hAnsi="Times New Roman" w:cs="Times New Roman"/>
          <w:bCs w:val="0"/>
          <w:color w:val="auto"/>
          <w:sz w:val="24"/>
        </w:rPr>
        <w:t>CRR</w:t>
      </w:r>
      <w:r w:rsidR="00D15B1C" w:rsidRPr="00A3389E">
        <w:rPr>
          <w:rFonts w:ascii="Times New Roman" w:hAnsi="Times New Roman" w:cs="Times New Roman"/>
          <w:color w:val="auto"/>
          <w:sz w:val="24"/>
        </w:rPr>
        <w:t>.</w:t>
      </w:r>
    </w:p>
    <w:p w14:paraId="0E8C28B4" w14:textId="77777777" w:rsidR="00D15B1C" w:rsidRPr="00A3389E" w:rsidRDefault="00D15B1C" w:rsidP="00E258D8">
      <w:pPr>
        <w:tabs>
          <w:tab w:val="left" w:pos="1430"/>
        </w:tabs>
        <w:rPr>
          <w:rFonts w:ascii="Times New Roman" w:hAnsi="Times New Roman" w:cs="Times New Roman"/>
          <w:b/>
          <w:sz w:val="24"/>
        </w:rPr>
      </w:pPr>
    </w:p>
    <w:p w14:paraId="32023AC9" w14:textId="77777777" w:rsidR="00D15B1C" w:rsidRPr="00A3389E"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A3389E"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571B921F" w:rsidR="00D15B1C" w:rsidRPr="00A3389E" w:rsidRDefault="00D15B1C" w:rsidP="00B2180A">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D15B1C" w:rsidRPr="00A3389E" w14:paraId="6CAC9422" w14:textId="77777777" w:rsidTr="00B2180A">
        <w:trPr>
          <w:trHeight w:val="238"/>
        </w:trPr>
        <w:tc>
          <w:tcPr>
            <w:tcW w:w="1384" w:type="dxa"/>
            <w:shd w:val="clear" w:color="auto" w:fill="D9D9D9" w:themeFill="background1" w:themeFillShade="D9"/>
          </w:tcPr>
          <w:p w14:paraId="090C73F5" w14:textId="77777777" w:rsidR="00D15B1C" w:rsidRPr="00A3389E" w:rsidRDefault="00D15B1C" w:rsidP="00B2180A">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3DC94017" w14:textId="77777777" w:rsidR="00D15B1C" w:rsidRPr="00A3389E" w:rsidRDefault="00D15B1C" w:rsidP="00B2180A">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D15B1C" w:rsidRPr="00A3389E" w14:paraId="53740EA1" w14:textId="77777777" w:rsidTr="00B2180A">
        <w:trPr>
          <w:trHeight w:val="680"/>
        </w:trPr>
        <w:tc>
          <w:tcPr>
            <w:tcW w:w="1384" w:type="dxa"/>
          </w:tcPr>
          <w:p w14:paraId="33BBDE21" w14:textId="2466B35E" w:rsidR="00D15B1C" w:rsidRPr="00A3389E" w:rsidRDefault="00D85025" w:rsidP="00B2180A">
            <w:pPr>
              <w:pStyle w:val="Applicationdirecte"/>
              <w:spacing w:before="60"/>
              <w:jc w:val="center"/>
            </w:pPr>
            <w:r w:rsidRPr="00A3389E">
              <w:t>a)</w:t>
            </w:r>
          </w:p>
        </w:tc>
        <w:tc>
          <w:tcPr>
            <w:tcW w:w="7655" w:type="dxa"/>
            <w:vAlign w:val="center"/>
          </w:tcPr>
          <w:p w14:paraId="4945628B" w14:textId="7AB478FA" w:rsidR="00B05624" w:rsidRPr="00A3389E" w:rsidRDefault="00B05624" w:rsidP="00B2180A">
            <w:pPr>
              <w:spacing w:before="60" w:after="120"/>
              <w:jc w:val="both"/>
              <w:rPr>
                <w:rFonts w:ascii="Times New Roman" w:hAnsi="Times New Roman" w:cs="Times New Roman"/>
                <w:sz w:val="24"/>
              </w:rPr>
            </w:pPr>
            <w:r w:rsidRPr="00A3389E">
              <w:rPr>
                <w:rFonts w:ascii="Times New Roman" w:hAnsi="Times New Roman" w:cs="Times New Roman"/>
                <w:sz w:val="24"/>
              </w:rPr>
              <w:t>Prístup</w:t>
            </w:r>
            <w:r w:rsidR="00A3389E">
              <w:rPr>
                <w:rFonts w:ascii="Times New Roman" w:hAnsi="Times New Roman" w:cs="Times New Roman"/>
                <w:sz w:val="24"/>
              </w:rPr>
              <w:t xml:space="preserve"> k </w:t>
            </w:r>
            <w:r w:rsidRPr="00A3389E">
              <w:rPr>
                <w:rFonts w:ascii="Times New Roman" w:hAnsi="Times New Roman" w:cs="Times New Roman"/>
                <w:sz w:val="24"/>
              </w:rPr>
              <w:t>hodnoteniu primeranosti ich interného kapitálu.</w:t>
            </w:r>
          </w:p>
          <w:p w14:paraId="05E23E13" w14:textId="37AF90DE" w:rsidR="00D15B1C" w:rsidRPr="00A3389E" w:rsidRDefault="00B05624" w:rsidP="00B05624">
            <w:pPr>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súhrnné informácie</w:t>
            </w:r>
            <w:r w:rsidR="00A3389E">
              <w:rPr>
                <w:rFonts w:ascii="Times New Roman" w:hAnsi="Times New Roman" w:cs="Times New Roman"/>
                <w:sz w:val="24"/>
              </w:rPr>
              <w:t xml:space="preserve"> o </w:t>
            </w:r>
            <w:r w:rsidRPr="00A3389E">
              <w:rPr>
                <w:rFonts w:ascii="Times New Roman" w:hAnsi="Times New Roman" w:cs="Times New Roman"/>
                <w:sz w:val="24"/>
              </w:rPr>
              <w:t>svojom prístupe</w:t>
            </w:r>
            <w:r w:rsidR="00A3389E">
              <w:rPr>
                <w:rFonts w:ascii="Times New Roman" w:hAnsi="Times New Roman" w:cs="Times New Roman"/>
                <w:sz w:val="24"/>
              </w:rPr>
              <w:t xml:space="preserve"> k </w:t>
            </w:r>
            <w:r w:rsidRPr="00A3389E">
              <w:rPr>
                <w:rFonts w:ascii="Times New Roman" w:hAnsi="Times New Roman" w:cs="Times New Roman"/>
                <w:sz w:val="24"/>
              </w:rPr>
              <w:t>hodnoteniu primeranosti svojho interného kapitálu na pokrytie súčasných</w:t>
            </w:r>
            <w:r w:rsidR="00A3389E">
              <w:rPr>
                <w:rFonts w:ascii="Times New Roman" w:hAnsi="Times New Roman" w:cs="Times New Roman"/>
                <w:sz w:val="24"/>
              </w:rPr>
              <w:t xml:space="preserve"> a </w:t>
            </w:r>
            <w:r w:rsidRPr="00A3389E">
              <w:rPr>
                <w:rFonts w:ascii="Times New Roman" w:hAnsi="Times New Roman" w:cs="Times New Roman"/>
                <w:sz w:val="24"/>
              </w:rPr>
              <w:t>budúcich činností.</w:t>
            </w:r>
          </w:p>
        </w:tc>
      </w:tr>
      <w:tr w:rsidR="00D15B1C" w:rsidRPr="00A3389E" w14:paraId="3EB24671" w14:textId="77777777" w:rsidTr="00B2180A">
        <w:trPr>
          <w:trHeight w:val="680"/>
        </w:trPr>
        <w:tc>
          <w:tcPr>
            <w:tcW w:w="1384" w:type="dxa"/>
          </w:tcPr>
          <w:p w14:paraId="26622B61" w14:textId="577E7939" w:rsidR="00D15B1C" w:rsidRPr="00A3389E" w:rsidRDefault="00D85025" w:rsidP="00B2180A">
            <w:pPr>
              <w:pStyle w:val="Applicationdirecte"/>
              <w:spacing w:before="60"/>
              <w:jc w:val="center"/>
            </w:pPr>
            <w:r w:rsidRPr="00A3389E">
              <w:t>b)</w:t>
            </w:r>
          </w:p>
        </w:tc>
        <w:tc>
          <w:tcPr>
            <w:tcW w:w="7655" w:type="dxa"/>
            <w:vAlign w:val="center"/>
          </w:tcPr>
          <w:p w14:paraId="1F26E981" w14:textId="77777777" w:rsidR="00B05624" w:rsidRPr="00A3389E" w:rsidRDefault="00B05624" w:rsidP="00B2180A">
            <w:pPr>
              <w:spacing w:before="60" w:after="120"/>
              <w:jc w:val="both"/>
              <w:rPr>
                <w:rFonts w:ascii="Times New Roman" w:hAnsi="Times New Roman" w:cs="Times New Roman"/>
                <w:sz w:val="24"/>
              </w:rPr>
            </w:pPr>
            <w:r w:rsidRPr="00A3389E">
              <w:rPr>
                <w:rFonts w:ascii="Times New Roman" w:hAnsi="Times New Roman" w:cs="Times New Roman"/>
                <w:sz w:val="24"/>
              </w:rPr>
              <w:t>Na žiadosť dotknutého príslušného orgánu výsledok interného procesu inštitúcie pre posudzovanie kapitálovej primeranosti.</w:t>
            </w:r>
          </w:p>
          <w:p w14:paraId="32D8B55C" w14:textId="77777777" w:rsidR="00D15B1C" w:rsidRPr="00A3389E" w:rsidRDefault="00B05624" w:rsidP="00B2180A">
            <w:pPr>
              <w:spacing w:before="60" w:after="120"/>
              <w:jc w:val="both"/>
              <w:rPr>
                <w:rFonts w:ascii="Times New Roman" w:hAnsi="Times New Roman" w:cs="Times New Roman"/>
                <w:sz w:val="24"/>
              </w:rPr>
            </w:pPr>
            <w:r w:rsidRPr="00A3389E">
              <w:rPr>
                <w:rFonts w:ascii="Times New Roman" w:hAnsi="Times New Roman" w:cs="Times New Roman"/>
                <w:sz w:val="24"/>
              </w:rPr>
              <w:t>Inštitúcie tieto informácie zverejňujú len na žiadosť dotknutého príslušného orgánu.</w:t>
            </w:r>
          </w:p>
        </w:tc>
      </w:tr>
    </w:tbl>
    <w:p w14:paraId="5845237B" w14:textId="256996C7" w:rsidR="00600593" w:rsidRPr="00A3389E" w:rsidRDefault="00600593" w:rsidP="00E258D8">
      <w:pPr>
        <w:tabs>
          <w:tab w:val="left" w:pos="1430"/>
        </w:tabs>
        <w:rPr>
          <w:rFonts w:ascii="Times New Roman" w:hAnsi="Times New Roman" w:cs="Times New Roman"/>
          <w:b/>
          <w:sz w:val="24"/>
        </w:rPr>
      </w:pPr>
    </w:p>
    <w:p w14:paraId="0828005B" w14:textId="77777777" w:rsidR="007A7DC0" w:rsidRPr="00A3389E" w:rsidRDefault="007A7DC0">
      <w:pPr>
        <w:rPr>
          <w:rFonts w:ascii="Times New Roman" w:hAnsi="Times New Roman" w:cs="Times New Roman"/>
          <w:b/>
          <w:sz w:val="24"/>
        </w:rPr>
        <w:sectPr w:rsidR="007A7DC0" w:rsidRPr="00A3389E"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046F92E5" w:rsidR="00600593" w:rsidRPr="00A3389E" w:rsidRDefault="00600593" w:rsidP="00600593">
      <w:pPr>
        <w:pStyle w:val="Annexetitre"/>
        <w:rPr>
          <w:b w:val="0"/>
        </w:rPr>
      </w:pPr>
      <w:r w:rsidRPr="00A3389E">
        <w:lastRenderedPageBreak/>
        <w:t>PRÍLOHA IV – Pokyny na zverejňovanie informácií</w:t>
      </w:r>
      <w:r w:rsidR="00A3389E">
        <w:t xml:space="preserve"> o </w:t>
      </w:r>
      <w:r w:rsidRPr="00A3389E">
        <w:t>cieľoch</w:t>
      </w:r>
      <w:r w:rsidR="00A3389E">
        <w:t xml:space="preserve"> a </w:t>
      </w:r>
      <w:r w:rsidRPr="00A3389E">
        <w:t>politikách riadenia rizík</w:t>
      </w:r>
    </w:p>
    <w:p w14:paraId="760D0F94" w14:textId="77777777" w:rsidR="00600593" w:rsidRPr="00A3389E" w:rsidRDefault="00600593" w:rsidP="00600593">
      <w:pPr>
        <w:rPr>
          <w:rFonts w:ascii="Times New Roman" w:hAnsi="Times New Roman" w:cs="Times New Roman"/>
          <w:sz w:val="24"/>
        </w:rPr>
      </w:pPr>
    </w:p>
    <w:p w14:paraId="6E1BA8AF" w14:textId="3CF8D919" w:rsidR="00600593" w:rsidRPr="00A3389E" w:rsidRDefault="00D95507" w:rsidP="00600593">
      <w:pPr>
        <w:rPr>
          <w:rFonts w:ascii="Times New Roman" w:hAnsi="Times New Roman" w:cs="Times New Roman"/>
          <w:sz w:val="24"/>
        </w:rPr>
      </w:pPr>
      <w:r w:rsidRPr="00A3389E">
        <w:rPr>
          <w:rFonts w:ascii="Times New Roman" w:hAnsi="Times New Roman" w:cs="Times New Roman"/>
          <w:b/>
          <w:sz w:val="24"/>
        </w:rPr>
        <w:t>Tabuľka EU OVA – Prístup inštitúcie</w:t>
      </w:r>
      <w:r w:rsidR="00A3389E">
        <w:rPr>
          <w:rFonts w:ascii="Times New Roman" w:hAnsi="Times New Roman" w:cs="Times New Roman"/>
          <w:b/>
          <w:sz w:val="24"/>
        </w:rPr>
        <w:t xml:space="preserve"> k </w:t>
      </w:r>
      <w:r w:rsidRPr="00A3389E">
        <w:rPr>
          <w:rFonts w:ascii="Times New Roman" w:hAnsi="Times New Roman" w:cs="Times New Roman"/>
          <w:b/>
          <w:sz w:val="24"/>
        </w:rPr>
        <w:t>riadeniu rizík:</w:t>
      </w:r>
      <w:r w:rsidRPr="00A3389E">
        <w:rPr>
          <w:rFonts w:ascii="Times New Roman" w:hAnsi="Times New Roman" w:cs="Times New Roman"/>
          <w:sz w:val="24"/>
        </w:rPr>
        <w:t xml:space="preserve"> Textové polia</w:t>
      </w:r>
      <w:r w:rsidR="00A3389E">
        <w:rPr>
          <w:rFonts w:ascii="Times New Roman" w:hAnsi="Times New Roman" w:cs="Times New Roman"/>
          <w:sz w:val="24"/>
        </w:rPr>
        <w:t xml:space="preserve"> s </w:t>
      </w:r>
      <w:r w:rsidRPr="00A3389E">
        <w:rPr>
          <w:rFonts w:ascii="Times New Roman" w:hAnsi="Times New Roman" w:cs="Times New Roman"/>
          <w:sz w:val="24"/>
        </w:rPr>
        <w:t>ľubovoľným formátom na zverejňovanie kvalitatívnych informácií.</w:t>
      </w:r>
    </w:p>
    <w:p w14:paraId="36232E99" w14:textId="1058C1E5" w:rsidR="00600593" w:rsidRPr="00A3389E" w:rsidRDefault="00A3389E" w:rsidP="00A3389E">
      <w:pPr>
        <w:spacing w:before="120" w:after="120"/>
        <w:ind w:left="426" w:hanging="360"/>
        <w:jc w:val="both"/>
        <w:rPr>
          <w:rFonts w:ascii="Times New Roman" w:hAnsi="Times New Roman"/>
          <w:sz w:val="24"/>
        </w:rPr>
      </w:pPr>
      <w:r w:rsidRPr="00A3389E">
        <w:rPr>
          <w:rFonts w:ascii="Times New Roman" w:eastAsia="Calibri" w:hAnsi="Times New Roman" w:cs="Times New Roman"/>
          <w:sz w:val="24"/>
          <w:szCs w:val="22"/>
        </w:rPr>
        <w:t>1.</w:t>
      </w:r>
      <w:r w:rsidRPr="00A3389E">
        <w:rPr>
          <w:rFonts w:ascii="Times New Roman" w:eastAsia="Calibri" w:hAnsi="Times New Roman" w:cs="Times New Roman"/>
          <w:sz w:val="24"/>
          <w:szCs w:val="22"/>
        </w:rPr>
        <w:tab/>
      </w:r>
      <w:r w:rsidR="00600593" w:rsidRPr="00A3389E">
        <w:rPr>
          <w:rFonts w:ascii="Times New Roman" w:hAnsi="Times New Roman"/>
          <w:sz w:val="24"/>
        </w:rPr>
        <w:t>Inštitúcie zverejňujú informácie uvedené</w:t>
      </w:r>
      <w:r>
        <w:rPr>
          <w:rFonts w:ascii="Times New Roman" w:hAnsi="Times New Roman"/>
          <w:sz w:val="24"/>
        </w:rPr>
        <w:t xml:space="preserve"> v </w:t>
      </w:r>
      <w:r w:rsidR="00600593" w:rsidRPr="00A3389E">
        <w:rPr>
          <w:rFonts w:ascii="Times New Roman" w:hAnsi="Times New Roman"/>
          <w:sz w:val="24"/>
        </w:rPr>
        <w:t xml:space="preserve">článku 435 ods. 1 nariadenia (EÚ) </w:t>
      </w:r>
      <w:r>
        <w:rPr>
          <w:rFonts w:ascii="Times New Roman" w:hAnsi="Times New Roman"/>
          <w:sz w:val="24"/>
        </w:rPr>
        <w:t>č. </w:t>
      </w:r>
      <w:r w:rsidR="00600593" w:rsidRPr="00A3389E">
        <w:rPr>
          <w:rFonts w:ascii="Times New Roman" w:hAnsi="Times New Roman"/>
          <w:sz w:val="24"/>
        </w:rPr>
        <w:t>575/2013</w:t>
      </w:r>
      <w:r w:rsidR="00600593" w:rsidRPr="00A3389E">
        <w:rPr>
          <w:rStyle w:val="FootnoteReference"/>
          <w:rFonts w:ascii="Times New Roman" w:hAnsi="Times New Roman" w:cs="Times New Roman"/>
        </w:rPr>
        <w:footnoteReference w:id="6"/>
      </w:r>
      <w:r w:rsidR="00600593" w:rsidRPr="00A3389E">
        <w:rPr>
          <w:rFonts w:ascii="Times New Roman" w:hAnsi="Times New Roman"/>
          <w:sz w:val="24"/>
        </w:rPr>
        <w:t xml:space="preserve"> („CRR“) podľa pokynov uvedených nižšie</w:t>
      </w:r>
      <w:r>
        <w:rPr>
          <w:rFonts w:ascii="Times New Roman" w:hAnsi="Times New Roman"/>
          <w:sz w:val="24"/>
        </w:rPr>
        <w:t xml:space="preserve"> v </w:t>
      </w:r>
      <w:r w:rsidR="00600593" w:rsidRPr="00A3389E">
        <w:rPr>
          <w:rFonts w:ascii="Times New Roman" w:hAnsi="Times New Roman"/>
          <w:sz w:val="24"/>
        </w:rPr>
        <w:t>tejto prílohe</w:t>
      </w:r>
      <w:r>
        <w:rPr>
          <w:rFonts w:ascii="Times New Roman" w:hAnsi="Times New Roman"/>
          <w:sz w:val="24"/>
        </w:rPr>
        <w:t xml:space="preserve"> s </w:t>
      </w:r>
      <w:r w:rsidR="00600593" w:rsidRPr="00A3389E">
        <w:rPr>
          <w:rFonts w:ascii="Times New Roman" w:hAnsi="Times New Roman"/>
          <w:sz w:val="24"/>
        </w:rPr>
        <w:t>cieľom vyplniť tabuľku EU OVA, ktorá je uvedená</w:t>
      </w:r>
      <w:r>
        <w:rPr>
          <w:rFonts w:ascii="Times New Roman" w:hAnsi="Times New Roman"/>
          <w:sz w:val="24"/>
        </w:rPr>
        <w:t xml:space="preserve"> v </w:t>
      </w:r>
      <w:r w:rsidR="00600593" w:rsidRPr="00A3389E">
        <w:rPr>
          <w:rFonts w:ascii="Times New Roman" w:hAnsi="Times New Roman"/>
          <w:sz w:val="24"/>
        </w:rPr>
        <w:t>prílohe III</w:t>
      </w:r>
      <w:r>
        <w:rPr>
          <w:rFonts w:ascii="Times New Roman" w:hAnsi="Times New Roman"/>
          <w:sz w:val="24"/>
        </w:rPr>
        <w:t xml:space="preserve"> k </w:t>
      </w:r>
      <w:r w:rsidR="00600593" w:rsidRPr="00A3389E">
        <w:rPr>
          <w:rFonts w:ascii="Times New Roman" w:hAnsi="Times New Roman"/>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A3389E"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3F41DBC4" w:rsidR="00600593" w:rsidRPr="00A3389E" w:rsidRDefault="00600593" w:rsidP="00803BB4">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600593" w:rsidRPr="00A3389E" w14:paraId="197AC157" w14:textId="77777777" w:rsidTr="00803BB4">
        <w:trPr>
          <w:trHeight w:val="238"/>
        </w:trPr>
        <w:tc>
          <w:tcPr>
            <w:tcW w:w="1384" w:type="dxa"/>
            <w:shd w:val="clear" w:color="auto" w:fill="D9D9D9" w:themeFill="background1" w:themeFillShade="D9"/>
          </w:tcPr>
          <w:p w14:paraId="1D3C329F" w14:textId="77777777" w:rsidR="00600593" w:rsidRPr="00A3389E" w:rsidRDefault="00600593" w:rsidP="00803BB4">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296EC4A5" w14:textId="77777777" w:rsidR="00600593" w:rsidRPr="00A3389E" w:rsidRDefault="00600593"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600593" w:rsidRPr="00A3389E" w14:paraId="36EA873F" w14:textId="77777777" w:rsidTr="00803BB4">
        <w:trPr>
          <w:trHeight w:val="1803"/>
        </w:trPr>
        <w:tc>
          <w:tcPr>
            <w:tcW w:w="1384" w:type="dxa"/>
          </w:tcPr>
          <w:p w14:paraId="1557E074" w14:textId="77777777" w:rsidR="00600593" w:rsidRPr="00A3389E" w:rsidRDefault="00600593" w:rsidP="00803BB4">
            <w:pPr>
              <w:pStyle w:val="Applicationdirecte"/>
              <w:spacing w:before="120"/>
            </w:pPr>
            <w:r w:rsidRPr="00A3389E">
              <w:t>a)</w:t>
            </w:r>
          </w:p>
        </w:tc>
        <w:tc>
          <w:tcPr>
            <w:tcW w:w="7655" w:type="dxa"/>
          </w:tcPr>
          <w:p w14:paraId="674A7E4E" w14:textId="43C8F848" w:rsidR="00600593" w:rsidRPr="00A3389E" w:rsidRDefault="00600593" w:rsidP="00803BB4">
            <w:pPr>
              <w:spacing w:before="120" w:after="120"/>
              <w:jc w:val="both"/>
              <w:rPr>
                <w:rFonts w:ascii="Times New Roman" w:hAnsi="Times New Roman" w:cs="Times New Roman"/>
                <w:sz w:val="24"/>
              </w:rPr>
            </w:pPr>
            <w:r w:rsidRPr="00A3389E">
              <w:rPr>
                <w:rFonts w:ascii="Times New Roman" w:hAnsi="Times New Roman" w:cs="Times New Roman"/>
                <w:sz w:val="24"/>
              </w:rPr>
              <w:t>V stručnom vyhlásení</w:t>
            </w:r>
            <w:r w:rsidR="00A3389E">
              <w:rPr>
                <w:rFonts w:ascii="Times New Roman" w:hAnsi="Times New Roman" w:cs="Times New Roman"/>
                <w:sz w:val="24"/>
              </w:rPr>
              <w:t xml:space="preserve"> o </w:t>
            </w:r>
            <w:r w:rsidRPr="00A3389E">
              <w:rPr>
                <w:rFonts w:ascii="Times New Roman" w:hAnsi="Times New Roman" w:cs="Times New Roman"/>
                <w:sz w:val="24"/>
              </w:rPr>
              <w:t>riziku, ktoré pri uplatňovaní článku 435 ods. 1 písm. f) CRR schvaľuje riadiaci orgán, sa opisuje, ako obchodný model určuje celkový rizikový profil</w:t>
            </w:r>
            <w:r w:rsidR="00A3389E">
              <w:rPr>
                <w:rFonts w:ascii="Times New Roman" w:hAnsi="Times New Roman" w:cs="Times New Roman"/>
                <w:sz w:val="24"/>
              </w:rPr>
              <w:t xml:space="preserve"> a </w:t>
            </w:r>
            <w:r w:rsidRPr="00A3389E">
              <w:rPr>
                <w:rFonts w:ascii="Times New Roman" w:hAnsi="Times New Roman" w:cs="Times New Roman"/>
                <w:sz w:val="24"/>
              </w:rPr>
              <w:t>ako sa</w:t>
            </w:r>
            <w:r w:rsidR="00A3389E">
              <w:rPr>
                <w:rFonts w:ascii="Times New Roman" w:hAnsi="Times New Roman" w:cs="Times New Roman"/>
                <w:sz w:val="24"/>
              </w:rPr>
              <w:t xml:space="preserve"> s </w:t>
            </w:r>
            <w:r w:rsidRPr="00A3389E">
              <w:rPr>
                <w:rFonts w:ascii="Times New Roman" w:hAnsi="Times New Roman" w:cs="Times New Roman"/>
                <w:sz w:val="24"/>
              </w:rPr>
              <w:t>ním vzájomne ovplyvňuje: napríklad kľúčové riziká súvisiace</w:t>
            </w:r>
            <w:r w:rsidR="00A3389E">
              <w:rPr>
                <w:rFonts w:ascii="Times New Roman" w:hAnsi="Times New Roman" w:cs="Times New Roman"/>
                <w:sz w:val="24"/>
              </w:rPr>
              <w:t xml:space="preserve"> s </w:t>
            </w:r>
            <w:r w:rsidRPr="00A3389E">
              <w:rPr>
                <w:rFonts w:ascii="Times New Roman" w:hAnsi="Times New Roman" w:cs="Times New Roman"/>
                <w:sz w:val="24"/>
              </w:rPr>
              <w:t>obchodným modelom</w:t>
            </w:r>
            <w:r w:rsidR="00A3389E">
              <w:rPr>
                <w:rFonts w:ascii="Times New Roman" w:hAnsi="Times New Roman" w:cs="Times New Roman"/>
                <w:sz w:val="24"/>
              </w:rPr>
              <w:t xml:space="preserve"> a </w:t>
            </w:r>
            <w:r w:rsidRPr="00A3389E">
              <w:rPr>
                <w:rFonts w:ascii="Times New Roman" w:hAnsi="Times New Roman" w:cs="Times New Roman"/>
                <w:sz w:val="24"/>
              </w:rPr>
              <w:t>spôsob, akým sa každé</w:t>
            </w:r>
            <w:r w:rsidR="00A3389E">
              <w:rPr>
                <w:rFonts w:ascii="Times New Roman" w:hAnsi="Times New Roman" w:cs="Times New Roman"/>
                <w:sz w:val="24"/>
              </w:rPr>
              <w:t xml:space="preserve"> z </w:t>
            </w:r>
            <w:r w:rsidRPr="00A3389E">
              <w:rPr>
                <w:rFonts w:ascii="Times New Roman" w:hAnsi="Times New Roman" w:cs="Times New Roman"/>
                <w:sz w:val="24"/>
              </w:rPr>
              <w:t>týchto rizík odráža</w:t>
            </w:r>
            <w:r w:rsidR="00A3389E">
              <w:rPr>
                <w:rFonts w:ascii="Times New Roman" w:hAnsi="Times New Roman" w:cs="Times New Roman"/>
                <w:sz w:val="24"/>
              </w:rPr>
              <w:t xml:space="preserve"> a </w:t>
            </w:r>
            <w:r w:rsidRPr="00A3389E">
              <w:rPr>
                <w:rFonts w:ascii="Times New Roman" w:hAnsi="Times New Roman" w:cs="Times New Roman"/>
                <w:sz w:val="24"/>
              </w:rPr>
              <w:t>opisuje</w:t>
            </w:r>
            <w:r w:rsidR="00A3389E">
              <w:rPr>
                <w:rFonts w:ascii="Times New Roman" w:hAnsi="Times New Roman" w:cs="Times New Roman"/>
                <w:sz w:val="24"/>
              </w:rPr>
              <w:t xml:space="preserve"> v </w:t>
            </w:r>
            <w:r w:rsidRPr="00A3389E">
              <w:rPr>
                <w:rFonts w:ascii="Times New Roman" w:hAnsi="Times New Roman" w:cs="Times New Roman"/>
                <w:sz w:val="24"/>
              </w:rPr>
              <w:t>zverejňovaných informáciách</w:t>
            </w:r>
            <w:r w:rsidR="00A3389E">
              <w:rPr>
                <w:rFonts w:ascii="Times New Roman" w:hAnsi="Times New Roman" w:cs="Times New Roman"/>
                <w:sz w:val="24"/>
              </w:rPr>
              <w:t xml:space="preserve"> o </w:t>
            </w:r>
            <w:r w:rsidRPr="00A3389E">
              <w:rPr>
                <w:rFonts w:ascii="Times New Roman" w:hAnsi="Times New Roman" w:cs="Times New Roman"/>
                <w:sz w:val="24"/>
              </w:rPr>
              <w:t>rizikách, alebo ako sa rizikový profil inštitúcie vzájomne ovplyvňuje</w:t>
            </w:r>
            <w:r w:rsidR="00A3389E">
              <w:rPr>
                <w:rFonts w:ascii="Times New Roman" w:hAnsi="Times New Roman" w:cs="Times New Roman"/>
                <w:sz w:val="24"/>
              </w:rPr>
              <w:t xml:space="preserve"> s </w:t>
            </w:r>
            <w:r w:rsidRPr="00A3389E">
              <w:rPr>
                <w:rFonts w:ascii="Times New Roman" w:hAnsi="Times New Roman" w:cs="Times New Roman"/>
                <w:sz w:val="24"/>
              </w:rPr>
              <w:t>toleranciou voči riziku, ktorú schválil riadiaci orgán.</w:t>
            </w:r>
          </w:p>
          <w:p w14:paraId="2FDC7112" w14:textId="48B04CA0" w:rsidR="00600593" w:rsidRPr="00A3389E" w:rsidRDefault="00600593" w:rsidP="00803BB4">
            <w:pPr>
              <w:spacing w:before="120" w:after="120"/>
              <w:jc w:val="both"/>
              <w:rPr>
                <w:rFonts w:ascii="Times New Roman" w:hAnsi="Times New Roman" w:cs="Times New Roman"/>
                <w:sz w:val="24"/>
              </w:rPr>
            </w:pPr>
            <w:r w:rsidRPr="00A3389E">
              <w:rPr>
                <w:rFonts w:ascii="Times New Roman" w:hAnsi="Times New Roman" w:cs="Times New Roman"/>
                <w:sz w:val="24"/>
              </w:rPr>
              <w:t>V rámci vyhlásenia</w:t>
            </w:r>
            <w:r w:rsidR="00A3389E">
              <w:rPr>
                <w:rFonts w:ascii="Times New Roman" w:hAnsi="Times New Roman" w:cs="Times New Roman"/>
                <w:sz w:val="24"/>
              </w:rPr>
              <w:t xml:space="preserve"> o </w:t>
            </w:r>
            <w:r w:rsidRPr="00A3389E">
              <w:rPr>
                <w:rFonts w:ascii="Times New Roman" w:hAnsi="Times New Roman" w:cs="Times New Roman"/>
                <w:sz w:val="24"/>
              </w:rPr>
              <w:t>riziku pri uplatňovaní článku 435 ods. 1 písm. f) CRR inštitúcie zároveň zverejnia povahu, rozsah, účel</w:t>
            </w:r>
            <w:r w:rsidR="00A3389E">
              <w:rPr>
                <w:rFonts w:ascii="Times New Roman" w:hAnsi="Times New Roman" w:cs="Times New Roman"/>
                <w:sz w:val="24"/>
              </w:rPr>
              <w:t xml:space="preserve"> a </w:t>
            </w:r>
            <w:r w:rsidRPr="00A3389E">
              <w:rPr>
                <w:rFonts w:ascii="Times New Roman" w:hAnsi="Times New Roman" w:cs="Times New Roman"/>
                <w:sz w:val="24"/>
              </w:rPr>
              <w:t>ekonomickú podstatu významných transakcií</w:t>
            </w:r>
            <w:r w:rsidR="00A3389E">
              <w:rPr>
                <w:rFonts w:ascii="Times New Roman" w:hAnsi="Times New Roman" w:cs="Times New Roman"/>
                <w:sz w:val="24"/>
              </w:rPr>
              <w:t xml:space="preserve"> v </w:t>
            </w:r>
            <w:r w:rsidRPr="00A3389E">
              <w:rPr>
                <w:rFonts w:ascii="Times New Roman" w:hAnsi="Times New Roman" w:cs="Times New Roman"/>
                <w:sz w:val="24"/>
              </w:rPr>
              <w:t>rámci skupiny,</w:t>
            </w:r>
            <w:r w:rsidR="00A3389E">
              <w:rPr>
                <w:rFonts w:ascii="Times New Roman" w:hAnsi="Times New Roman" w:cs="Times New Roman"/>
                <w:sz w:val="24"/>
              </w:rPr>
              <w:t xml:space="preserve"> s </w:t>
            </w:r>
            <w:r w:rsidRPr="00A3389E">
              <w:rPr>
                <w:rFonts w:ascii="Times New Roman" w:hAnsi="Times New Roman" w:cs="Times New Roman"/>
                <w:sz w:val="24"/>
              </w:rPr>
              <w:t>pridruženým spoločnosťami</w:t>
            </w:r>
            <w:r w:rsidR="00A3389E">
              <w:rPr>
                <w:rFonts w:ascii="Times New Roman" w:hAnsi="Times New Roman" w:cs="Times New Roman"/>
                <w:sz w:val="24"/>
              </w:rPr>
              <w:t xml:space="preserve"> a </w:t>
            </w:r>
            <w:r w:rsidRPr="00A3389E">
              <w:rPr>
                <w:rFonts w:ascii="Times New Roman" w:hAnsi="Times New Roman" w:cs="Times New Roman"/>
                <w:sz w:val="24"/>
              </w:rPr>
              <w:t>spriaznenými stranami. Zverejnenie informácií je obmedzené na transakcie, ktoré majú významný vplyv na rizikový profil inštitúcie (vrátane rizika poškodenia dobrej povesti) alebo na rozdelenie rizík</w:t>
            </w:r>
            <w:r w:rsidR="00A3389E">
              <w:rPr>
                <w:rFonts w:ascii="Times New Roman" w:hAnsi="Times New Roman" w:cs="Times New Roman"/>
                <w:sz w:val="24"/>
              </w:rPr>
              <w:t xml:space="preserve"> v </w:t>
            </w:r>
            <w:r w:rsidRPr="00A3389E">
              <w:rPr>
                <w:rFonts w:ascii="Times New Roman" w:hAnsi="Times New Roman" w:cs="Times New Roman"/>
                <w:sz w:val="24"/>
              </w:rPr>
              <w:t>rámci skupiny. Inštitúcie zahrnú aj kľúčové ukazovatele</w:t>
            </w:r>
            <w:r w:rsidR="00A3389E">
              <w:rPr>
                <w:rFonts w:ascii="Times New Roman" w:hAnsi="Times New Roman" w:cs="Times New Roman"/>
                <w:sz w:val="24"/>
              </w:rPr>
              <w:t xml:space="preserve"> a </w:t>
            </w:r>
            <w:r w:rsidRPr="00A3389E">
              <w:rPr>
                <w:rFonts w:ascii="Times New Roman" w:hAnsi="Times New Roman" w:cs="Times New Roman"/>
                <w:sz w:val="24"/>
              </w:rPr>
              <w:t>číselné údaje, ktoré ukazujú, ako sa rizikový profil inštitúcie vzájomne ovplyvňuje</w:t>
            </w:r>
            <w:r w:rsidR="00A3389E">
              <w:rPr>
                <w:rFonts w:ascii="Times New Roman" w:hAnsi="Times New Roman" w:cs="Times New Roman"/>
                <w:sz w:val="24"/>
              </w:rPr>
              <w:t xml:space="preserve"> s </w:t>
            </w:r>
            <w:r w:rsidRPr="00A3389E">
              <w:rPr>
                <w:rFonts w:ascii="Times New Roman" w:hAnsi="Times New Roman" w:cs="Times New Roman"/>
                <w:sz w:val="24"/>
              </w:rPr>
              <w:t>toleranciou rizika stanovenou riadiacim orgánom.</w:t>
            </w:r>
          </w:p>
        </w:tc>
      </w:tr>
      <w:tr w:rsidR="00600593" w:rsidRPr="00A3389E" w14:paraId="72E9B739" w14:textId="77777777" w:rsidTr="00803BB4">
        <w:trPr>
          <w:trHeight w:val="316"/>
        </w:trPr>
        <w:tc>
          <w:tcPr>
            <w:tcW w:w="1384" w:type="dxa"/>
          </w:tcPr>
          <w:p w14:paraId="5E534F35"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t>b)</w:t>
            </w:r>
          </w:p>
        </w:tc>
        <w:tc>
          <w:tcPr>
            <w:tcW w:w="7655" w:type="dxa"/>
          </w:tcPr>
          <w:p w14:paraId="79A73EAD" w14:textId="7B068D29" w:rsidR="00A3389E" w:rsidRPr="00A3389E" w:rsidRDefault="00600593" w:rsidP="00803BB4">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Informácie, ktoré sa majú zverejniť pri uplatňovaní článku 435 ods. 1 písm. b) CRR, zahŕňajú štruktúru riadenia rizík pre každý druh rizika: zodpovednosti pridelené</w:t>
            </w:r>
            <w:r w:rsidR="00A3389E">
              <w:rPr>
                <w:rFonts w:ascii="Times New Roman" w:hAnsi="Times New Roman" w:cs="Times New Roman"/>
                <w:sz w:val="24"/>
              </w:rPr>
              <w:t xml:space="preserve"> v </w:t>
            </w:r>
            <w:r w:rsidRPr="00A3389E">
              <w:rPr>
                <w:rFonts w:ascii="Times New Roman" w:hAnsi="Times New Roman" w:cs="Times New Roman"/>
                <w:sz w:val="24"/>
              </w:rPr>
              <w:t>rámci celej inštitúcie (v relevantných prípadoch vrátane dohľadu</w:t>
            </w:r>
            <w:r w:rsidR="00A3389E">
              <w:rPr>
                <w:rFonts w:ascii="Times New Roman" w:hAnsi="Times New Roman" w:cs="Times New Roman"/>
                <w:sz w:val="24"/>
              </w:rPr>
              <w:t xml:space="preserve"> a </w:t>
            </w:r>
            <w:r w:rsidRPr="00A3389E">
              <w:rPr>
                <w:rFonts w:ascii="Times New Roman" w:hAnsi="Times New Roman" w:cs="Times New Roman"/>
                <w:sz w:val="24"/>
              </w:rPr>
              <w:t>delegovania právomoci</w:t>
            </w:r>
            <w:r w:rsidR="00A3389E">
              <w:rPr>
                <w:rFonts w:ascii="Times New Roman" w:hAnsi="Times New Roman" w:cs="Times New Roman"/>
                <w:sz w:val="24"/>
              </w:rPr>
              <w:t xml:space="preserve"> a </w:t>
            </w:r>
            <w:r w:rsidRPr="00A3389E">
              <w:rPr>
                <w:rFonts w:ascii="Times New Roman" w:hAnsi="Times New Roman" w:cs="Times New Roman"/>
                <w:sz w:val="24"/>
              </w:rPr>
              <w:t>rozčlenenia zodpovedností medzi riadiacim orgánom, obchodnými líniami</w:t>
            </w:r>
            <w:r w:rsidR="00A3389E">
              <w:rPr>
                <w:rFonts w:ascii="Times New Roman" w:hAnsi="Times New Roman" w:cs="Times New Roman"/>
                <w:sz w:val="24"/>
              </w:rPr>
              <w:t xml:space="preserve"> a </w:t>
            </w:r>
            <w:r w:rsidRPr="00A3389E">
              <w:rPr>
                <w:rFonts w:ascii="Times New Roman" w:hAnsi="Times New Roman" w:cs="Times New Roman"/>
                <w:sz w:val="24"/>
              </w:rPr>
              <w:t>funkciou riadenia rizík podľa druhu rizika, obchodného útvaru</w:t>
            </w:r>
            <w:r w:rsidR="00A3389E">
              <w:rPr>
                <w:rFonts w:ascii="Times New Roman" w:hAnsi="Times New Roman" w:cs="Times New Roman"/>
                <w:sz w:val="24"/>
              </w:rPr>
              <w:t xml:space="preserve"> a </w:t>
            </w:r>
            <w:r w:rsidRPr="00A3389E">
              <w:rPr>
                <w:rFonts w:ascii="Times New Roman" w:hAnsi="Times New Roman" w:cs="Times New Roman"/>
                <w:sz w:val="24"/>
              </w:rPr>
              <w:t>iných relevantných informácií); vzťahy medzi orgánmi</w:t>
            </w:r>
            <w:r w:rsidR="00A3389E">
              <w:rPr>
                <w:rFonts w:ascii="Times New Roman" w:hAnsi="Times New Roman" w:cs="Times New Roman"/>
                <w:sz w:val="24"/>
              </w:rPr>
              <w:t xml:space="preserve"> a </w:t>
            </w:r>
            <w:r w:rsidRPr="00A3389E">
              <w:rPr>
                <w:rFonts w:ascii="Times New Roman" w:hAnsi="Times New Roman" w:cs="Times New Roman"/>
                <w:sz w:val="24"/>
              </w:rPr>
              <w:t>funkciami zapojenými do postupov riadenia rizík (podľa potreby vrátane riadiaceho orgánu, výboru pre riziká, funkcie riadenia rizík, funkcie dodržiavania súladu</w:t>
            </w:r>
            <w:r w:rsidR="00A3389E">
              <w:rPr>
                <w:rFonts w:ascii="Times New Roman" w:hAnsi="Times New Roman" w:cs="Times New Roman"/>
                <w:sz w:val="24"/>
              </w:rPr>
              <w:t xml:space="preserve"> s </w:t>
            </w:r>
            <w:r w:rsidRPr="00A3389E">
              <w:rPr>
                <w:rFonts w:ascii="Times New Roman" w:hAnsi="Times New Roman" w:cs="Times New Roman"/>
                <w:sz w:val="24"/>
              </w:rPr>
              <w:t>predpismi, funkcie interného auditu);</w:t>
            </w:r>
            <w:r w:rsidR="00A3389E">
              <w:rPr>
                <w:rFonts w:ascii="Times New Roman" w:hAnsi="Times New Roman" w:cs="Times New Roman"/>
                <w:sz w:val="24"/>
              </w:rPr>
              <w:t xml:space="preserve"> a </w:t>
            </w:r>
            <w:r w:rsidRPr="00A3389E">
              <w:rPr>
                <w:rFonts w:ascii="Times New Roman" w:hAnsi="Times New Roman" w:cs="Times New Roman"/>
                <w:sz w:val="24"/>
              </w:rPr>
              <w:t>organizačné postupy</w:t>
            </w:r>
            <w:r w:rsidR="00A3389E">
              <w:rPr>
                <w:rFonts w:ascii="Times New Roman" w:hAnsi="Times New Roman" w:cs="Times New Roman"/>
                <w:sz w:val="24"/>
              </w:rPr>
              <w:t xml:space="preserve"> a </w:t>
            </w:r>
            <w:r w:rsidRPr="00A3389E">
              <w:rPr>
                <w:rFonts w:ascii="Times New Roman" w:hAnsi="Times New Roman" w:cs="Times New Roman"/>
                <w:sz w:val="24"/>
              </w:rPr>
              <w:t>postupy vnútornej kontroly</w:t>
            </w:r>
            <w:r w:rsidR="00A3389E" w:rsidRPr="00A3389E">
              <w:rPr>
                <w:rFonts w:ascii="Times New Roman" w:hAnsi="Times New Roman" w:cs="Times New Roman"/>
                <w:sz w:val="24"/>
              </w:rPr>
              <w:t>.</w:t>
            </w:r>
          </w:p>
          <w:p w14:paraId="2E234BAE" w14:textId="693C7CC7" w:rsidR="00A3389E" w:rsidRPr="00A3389E" w:rsidRDefault="00600593" w:rsidP="00803BB4">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Pri zverejňovaní štruktúry</w:t>
            </w:r>
            <w:r w:rsidR="00A3389E">
              <w:rPr>
                <w:rFonts w:ascii="Times New Roman" w:hAnsi="Times New Roman" w:cs="Times New Roman"/>
                <w:sz w:val="24"/>
              </w:rPr>
              <w:t xml:space="preserve"> a </w:t>
            </w:r>
            <w:r w:rsidRPr="00A3389E">
              <w:rPr>
                <w:rFonts w:ascii="Times New Roman" w:hAnsi="Times New Roman" w:cs="Times New Roman"/>
                <w:sz w:val="24"/>
              </w:rPr>
              <w:t>organizácie príslušnej funkcie riadenia rizík inštitúcie dopĺňajú toto zverejnenie týmito informáciami</w:t>
            </w:r>
            <w:r w:rsidR="00A3389E" w:rsidRPr="00A3389E">
              <w:rPr>
                <w:rFonts w:ascii="Times New Roman" w:hAnsi="Times New Roman" w:cs="Times New Roman"/>
                <w:sz w:val="24"/>
              </w:rPr>
              <w:t>:</w:t>
            </w:r>
          </w:p>
          <w:p w14:paraId="435F7DDB" w14:textId="71CF4A25" w:rsidR="00A3389E" w:rsidRPr="00A3389E" w:rsidRDefault="00A3389E" w:rsidP="00A3389E">
            <w:pPr>
              <w:autoSpaceDE w:val="0"/>
              <w:autoSpaceDN w:val="0"/>
              <w:adjustRightInd w:val="0"/>
              <w:spacing w:before="120" w:after="120"/>
              <w:ind w:left="720" w:hanging="360"/>
              <w:jc w:val="both"/>
              <w:rPr>
                <w:rFonts w:ascii="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600593" w:rsidRPr="00A3389E">
              <w:rPr>
                <w:rFonts w:ascii="Times New Roman" w:hAnsi="Times New Roman"/>
                <w:sz w:val="24"/>
              </w:rPr>
              <w:t>informácie</w:t>
            </w:r>
            <w:r>
              <w:rPr>
                <w:rFonts w:ascii="Times New Roman" w:hAnsi="Times New Roman"/>
                <w:sz w:val="24"/>
              </w:rPr>
              <w:t xml:space="preserve"> o </w:t>
            </w:r>
            <w:r w:rsidR="00600593" w:rsidRPr="00A3389E">
              <w:rPr>
                <w:rFonts w:ascii="Times New Roman" w:hAnsi="Times New Roman"/>
                <w:sz w:val="24"/>
              </w:rPr>
              <w:t>celkovom rámci vnútornej kontroly</w:t>
            </w:r>
            <w:r>
              <w:rPr>
                <w:rFonts w:ascii="Times New Roman" w:hAnsi="Times New Roman"/>
                <w:sz w:val="24"/>
              </w:rPr>
              <w:t xml:space="preserve"> a o </w:t>
            </w:r>
            <w:r w:rsidR="00600593" w:rsidRPr="00A3389E">
              <w:rPr>
                <w:rFonts w:ascii="Times New Roman" w:hAnsi="Times New Roman"/>
                <w:sz w:val="24"/>
              </w:rPr>
              <w:t xml:space="preserve">tom, ako sú organizované jej kontrolné funkcie (právomoc, zdroje, štatút, </w:t>
            </w:r>
            <w:r w:rsidR="00600593" w:rsidRPr="00A3389E">
              <w:rPr>
                <w:rFonts w:ascii="Times New Roman" w:hAnsi="Times New Roman"/>
                <w:sz w:val="24"/>
              </w:rPr>
              <w:lastRenderedPageBreak/>
              <w:t>nezávislosť),</w:t>
            </w:r>
            <w:r>
              <w:rPr>
                <w:rFonts w:ascii="Times New Roman" w:hAnsi="Times New Roman"/>
                <w:sz w:val="24"/>
              </w:rPr>
              <w:t xml:space="preserve"> o </w:t>
            </w:r>
            <w:r w:rsidR="00600593" w:rsidRPr="00A3389E">
              <w:rPr>
                <w:rFonts w:ascii="Times New Roman" w:hAnsi="Times New Roman"/>
                <w:sz w:val="24"/>
              </w:rPr>
              <w:t>hlavných úlohách, ktoré plnia,</w:t>
            </w:r>
            <w:r>
              <w:rPr>
                <w:rFonts w:ascii="Times New Roman" w:hAnsi="Times New Roman"/>
                <w:sz w:val="24"/>
              </w:rPr>
              <w:t xml:space="preserve"> a o </w:t>
            </w:r>
            <w:r w:rsidR="00600593" w:rsidRPr="00A3389E">
              <w:rPr>
                <w:rFonts w:ascii="Times New Roman" w:hAnsi="Times New Roman"/>
                <w:sz w:val="24"/>
              </w:rPr>
              <w:t>akýchkoľvek existujúcich</w:t>
            </w:r>
            <w:r>
              <w:rPr>
                <w:rFonts w:ascii="Times New Roman" w:hAnsi="Times New Roman"/>
                <w:sz w:val="24"/>
              </w:rPr>
              <w:t xml:space="preserve"> a </w:t>
            </w:r>
            <w:r w:rsidR="00600593" w:rsidRPr="00A3389E">
              <w:rPr>
                <w:rFonts w:ascii="Times New Roman" w:hAnsi="Times New Roman"/>
                <w:sz w:val="24"/>
              </w:rPr>
              <w:t>plánovaných významných zmenách týchto funkcií,</w:t>
            </w:r>
          </w:p>
          <w:p w14:paraId="699107A6" w14:textId="0B752205" w:rsidR="00A3389E" w:rsidRPr="00A3389E" w:rsidRDefault="00A3389E" w:rsidP="00A3389E">
            <w:pPr>
              <w:autoSpaceDE w:val="0"/>
              <w:autoSpaceDN w:val="0"/>
              <w:adjustRightInd w:val="0"/>
              <w:spacing w:before="120" w:after="120"/>
              <w:ind w:left="720" w:hanging="360"/>
              <w:jc w:val="both"/>
              <w:rPr>
                <w:rFonts w:ascii="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600593" w:rsidRPr="00A3389E">
              <w:rPr>
                <w:rFonts w:ascii="Times New Roman" w:hAnsi="Times New Roman"/>
                <w:sz w:val="24"/>
              </w:rPr>
              <w:t>schválené limity rizík, ktorým je inštitúcia vystavená,</w:t>
            </w:r>
          </w:p>
          <w:p w14:paraId="47222D57" w14:textId="4CB646F6" w:rsidR="00600593" w:rsidRPr="00A3389E" w:rsidRDefault="00A3389E" w:rsidP="00A3389E">
            <w:pPr>
              <w:autoSpaceDE w:val="0"/>
              <w:autoSpaceDN w:val="0"/>
              <w:adjustRightInd w:val="0"/>
              <w:spacing w:before="120" w:after="120"/>
              <w:ind w:left="720" w:hanging="360"/>
              <w:jc w:val="both"/>
              <w:rPr>
                <w:rFonts w:ascii="Times New Roman" w:eastAsia="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600593" w:rsidRPr="00A3389E">
              <w:rPr>
                <w:rFonts w:ascii="Times New Roman" w:hAnsi="Times New Roman"/>
                <w:sz w:val="24"/>
              </w:rPr>
              <w:t>zmeny vedúcich pracovníkov vnútornej kontroly, riadenia rizík, dodržiavania súladu</w:t>
            </w:r>
            <w:r>
              <w:rPr>
                <w:rFonts w:ascii="Times New Roman" w:hAnsi="Times New Roman"/>
                <w:sz w:val="24"/>
              </w:rPr>
              <w:t xml:space="preserve"> s </w:t>
            </w:r>
            <w:r w:rsidR="00600593" w:rsidRPr="00A3389E">
              <w:rPr>
                <w:rFonts w:ascii="Times New Roman" w:hAnsi="Times New Roman"/>
                <w:sz w:val="24"/>
              </w:rPr>
              <w:t>predpismi</w:t>
            </w:r>
            <w:r>
              <w:rPr>
                <w:rFonts w:ascii="Times New Roman" w:hAnsi="Times New Roman"/>
                <w:sz w:val="24"/>
              </w:rPr>
              <w:t xml:space="preserve"> a </w:t>
            </w:r>
            <w:r w:rsidR="00600593" w:rsidRPr="00A3389E">
              <w:rPr>
                <w:rFonts w:ascii="Times New Roman" w:hAnsi="Times New Roman"/>
                <w:sz w:val="24"/>
              </w:rPr>
              <w:t>interného auditu,</w:t>
            </w:r>
          </w:p>
          <w:p w14:paraId="05323A0D" w14:textId="38FA1B8F" w:rsidR="00600593" w:rsidRPr="00A3389E" w:rsidRDefault="00A3389E" w:rsidP="00A3389E">
            <w:pPr>
              <w:autoSpaceDE w:val="0"/>
              <w:autoSpaceDN w:val="0"/>
              <w:adjustRightInd w:val="0"/>
              <w:spacing w:before="120" w:after="120"/>
              <w:ind w:left="720" w:hanging="360"/>
              <w:jc w:val="both"/>
              <w:rPr>
                <w:rFonts w:ascii="Times New Roman" w:eastAsia="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600593" w:rsidRPr="00A3389E">
              <w:rPr>
                <w:rFonts w:ascii="Times New Roman" w:hAnsi="Times New Roman"/>
                <w:sz w:val="24"/>
              </w:rPr>
              <w:t>kanály na komunikáciu, odmietnutie</w:t>
            </w:r>
            <w:r>
              <w:rPr>
                <w:rFonts w:ascii="Times New Roman" w:hAnsi="Times New Roman"/>
                <w:sz w:val="24"/>
              </w:rPr>
              <w:t xml:space="preserve"> a </w:t>
            </w:r>
            <w:r w:rsidR="00600593" w:rsidRPr="00A3389E">
              <w:rPr>
                <w:rFonts w:ascii="Times New Roman" w:hAnsi="Times New Roman"/>
                <w:sz w:val="24"/>
              </w:rPr>
              <w:t>presadzovanie kultúry rizík</w:t>
            </w:r>
            <w:r>
              <w:rPr>
                <w:rFonts w:ascii="Times New Roman" w:hAnsi="Times New Roman"/>
                <w:sz w:val="24"/>
              </w:rPr>
              <w:t xml:space="preserve"> v </w:t>
            </w:r>
            <w:r w:rsidR="00600593" w:rsidRPr="00A3389E">
              <w:rPr>
                <w:rFonts w:ascii="Times New Roman" w:hAnsi="Times New Roman"/>
                <w:sz w:val="24"/>
              </w:rPr>
              <w:t>rámci inštitúcie (napríklad či existujú kódexy správania, príručky obsahujúce prevádzkové obmedzenia alebo postupy na nápravu porušení alebo nedodržania rizikových prahových hodnôt alebo postupy na informovanie</w:t>
            </w:r>
            <w:r>
              <w:rPr>
                <w:rFonts w:ascii="Times New Roman" w:hAnsi="Times New Roman"/>
                <w:sz w:val="24"/>
              </w:rPr>
              <w:t xml:space="preserve"> o </w:t>
            </w:r>
            <w:r w:rsidR="00600593" w:rsidRPr="00A3389E">
              <w:rPr>
                <w:rFonts w:ascii="Times New Roman" w:hAnsi="Times New Roman"/>
                <w:sz w:val="24"/>
              </w:rPr>
              <w:t>otázkach týkajúcich sa rizík medzi obchodnými líniami</w:t>
            </w:r>
            <w:r>
              <w:rPr>
                <w:rFonts w:ascii="Times New Roman" w:hAnsi="Times New Roman"/>
                <w:sz w:val="24"/>
              </w:rPr>
              <w:t xml:space="preserve"> a </w:t>
            </w:r>
            <w:r w:rsidR="00600593" w:rsidRPr="00A3389E">
              <w:rPr>
                <w:rFonts w:ascii="Times New Roman" w:hAnsi="Times New Roman"/>
                <w:sz w:val="24"/>
              </w:rPr>
              <w:t>funkciami riadenia rizík</w:t>
            </w:r>
            <w:r>
              <w:rPr>
                <w:rFonts w:ascii="Times New Roman" w:hAnsi="Times New Roman"/>
                <w:sz w:val="24"/>
              </w:rPr>
              <w:t xml:space="preserve"> a </w:t>
            </w:r>
            <w:r w:rsidR="00600593" w:rsidRPr="00A3389E">
              <w:rPr>
                <w:rFonts w:ascii="Times New Roman" w:hAnsi="Times New Roman"/>
                <w:sz w:val="24"/>
              </w:rPr>
              <w:t>na ich rozdelenie).</w:t>
            </w:r>
          </w:p>
        </w:tc>
      </w:tr>
      <w:tr w:rsidR="00600593" w:rsidRPr="00A3389E" w14:paraId="37D179D5" w14:textId="77777777" w:rsidTr="00803BB4">
        <w:trPr>
          <w:trHeight w:val="316"/>
        </w:trPr>
        <w:tc>
          <w:tcPr>
            <w:tcW w:w="1384" w:type="dxa"/>
          </w:tcPr>
          <w:p w14:paraId="0B26EFE2"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lastRenderedPageBreak/>
              <w:t>c)</w:t>
            </w:r>
          </w:p>
        </w:tc>
        <w:tc>
          <w:tcPr>
            <w:tcW w:w="7655" w:type="dxa"/>
          </w:tcPr>
          <w:p w14:paraId="6FCD7369" w14:textId="588C86B0" w:rsidR="00600593" w:rsidRPr="00A3389E"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Vyhlásenie</w:t>
            </w:r>
            <w:r w:rsidR="00A3389E">
              <w:rPr>
                <w:rFonts w:ascii="Times New Roman" w:hAnsi="Times New Roman" w:cs="Times New Roman"/>
                <w:sz w:val="24"/>
              </w:rPr>
              <w:t xml:space="preserve"> o </w:t>
            </w:r>
            <w:r w:rsidRPr="00A3389E">
              <w:rPr>
                <w:rFonts w:ascii="Times New Roman" w:hAnsi="Times New Roman" w:cs="Times New Roman"/>
                <w:sz w:val="24"/>
              </w:rPr>
              <w:t>primeranosti opatrení riadenia rizík, ktoré 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435 ods. 1 písm. e) CRR, musí byť schválené riadiacim orgánom</w:t>
            </w:r>
            <w:r w:rsidR="00A3389E">
              <w:rPr>
                <w:rFonts w:ascii="Times New Roman" w:hAnsi="Times New Roman" w:cs="Times New Roman"/>
                <w:sz w:val="24"/>
              </w:rPr>
              <w:t xml:space="preserve"> a </w:t>
            </w:r>
            <w:r w:rsidRPr="00A3389E">
              <w:rPr>
                <w:rFonts w:ascii="Times New Roman" w:hAnsi="Times New Roman" w:cs="Times New Roman"/>
                <w:sz w:val="24"/>
              </w:rPr>
              <w:t>musí poskytovať ubezpečenie, že zavedené systémy riadenia rizík sú primerané vzhľadom na rizikový profil inštitúcie</w:t>
            </w:r>
            <w:r w:rsidR="00A3389E">
              <w:rPr>
                <w:rFonts w:ascii="Times New Roman" w:hAnsi="Times New Roman" w:cs="Times New Roman"/>
                <w:sz w:val="24"/>
              </w:rPr>
              <w:t xml:space="preserve"> a </w:t>
            </w:r>
            <w:r w:rsidRPr="00A3389E">
              <w:rPr>
                <w:rFonts w:ascii="Times New Roman" w:hAnsi="Times New Roman" w:cs="Times New Roman"/>
                <w:sz w:val="24"/>
              </w:rPr>
              <w:t>jej stratégiu.</w:t>
            </w:r>
          </w:p>
        </w:tc>
      </w:tr>
      <w:tr w:rsidR="00600593" w:rsidRPr="00A3389E" w14:paraId="67618ABC" w14:textId="77777777" w:rsidTr="00803BB4">
        <w:trPr>
          <w:trHeight w:val="316"/>
        </w:trPr>
        <w:tc>
          <w:tcPr>
            <w:tcW w:w="1384" w:type="dxa"/>
          </w:tcPr>
          <w:p w14:paraId="7A3BAF6D"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t>d)</w:t>
            </w:r>
          </w:p>
        </w:tc>
        <w:tc>
          <w:tcPr>
            <w:tcW w:w="7655" w:type="dxa"/>
          </w:tcPr>
          <w:p w14:paraId="5EC5DAA3" w14:textId="18BE0952" w:rsidR="00600593" w:rsidRPr="00A3389E"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V rámci zverejňovania informácií požadovaných</w:t>
            </w:r>
            <w:r w:rsidR="00A3389E">
              <w:rPr>
                <w:rFonts w:ascii="Times New Roman" w:hAnsi="Times New Roman" w:cs="Times New Roman"/>
                <w:sz w:val="24"/>
              </w:rPr>
              <w:t xml:space="preserve"> v </w:t>
            </w:r>
            <w:r w:rsidRPr="00A3389E">
              <w:rPr>
                <w:rFonts w:ascii="Times New Roman" w:hAnsi="Times New Roman" w:cs="Times New Roman"/>
                <w:sz w:val="24"/>
              </w:rPr>
              <w:t>článku 435 ods. 1 písm. c) CRR inštitúcie zverejňujú rozsah</w:t>
            </w:r>
            <w:r w:rsidR="00A3389E">
              <w:rPr>
                <w:rFonts w:ascii="Times New Roman" w:hAnsi="Times New Roman" w:cs="Times New Roman"/>
                <w:sz w:val="24"/>
              </w:rPr>
              <w:t xml:space="preserve"> a </w:t>
            </w:r>
            <w:r w:rsidRPr="00A3389E">
              <w:rPr>
                <w:rFonts w:ascii="Times New Roman" w:hAnsi="Times New Roman" w:cs="Times New Roman"/>
                <w:sz w:val="24"/>
              </w:rPr>
              <w:t>charakter systémov vykazovania a/alebo merania rizík</w:t>
            </w:r>
            <w:r w:rsidR="00A3389E">
              <w:rPr>
                <w:rFonts w:ascii="Times New Roman" w:hAnsi="Times New Roman" w:cs="Times New Roman"/>
                <w:sz w:val="24"/>
              </w:rPr>
              <w:t xml:space="preserve"> a </w:t>
            </w:r>
            <w:r w:rsidRPr="00A3389E">
              <w:rPr>
                <w:rFonts w:ascii="Times New Roman" w:hAnsi="Times New Roman" w:cs="Times New Roman"/>
                <w:sz w:val="24"/>
              </w:rPr>
              <w:t>opis toku informácií</w:t>
            </w:r>
            <w:r w:rsidR="00A3389E">
              <w:rPr>
                <w:rFonts w:ascii="Times New Roman" w:hAnsi="Times New Roman" w:cs="Times New Roman"/>
                <w:sz w:val="24"/>
              </w:rPr>
              <w:t xml:space="preserve"> o </w:t>
            </w:r>
            <w:r w:rsidRPr="00A3389E">
              <w:rPr>
                <w:rFonts w:ascii="Times New Roman" w:hAnsi="Times New Roman" w:cs="Times New Roman"/>
                <w:sz w:val="24"/>
              </w:rPr>
              <w:t>riziku pre riadiaci orgán</w:t>
            </w:r>
            <w:r w:rsidR="00A3389E">
              <w:rPr>
                <w:rFonts w:ascii="Times New Roman" w:hAnsi="Times New Roman" w:cs="Times New Roman"/>
                <w:sz w:val="24"/>
              </w:rPr>
              <w:t xml:space="preserve"> a </w:t>
            </w:r>
            <w:r w:rsidRPr="00A3389E">
              <w:rPr>
                <w:rFonts w:ascii="Times New Roman" w:hAnsi="Times New Roman" w:cs="Times New Roman"/>
                <w:sz w:val="24"/>
              </w:rPr>
              <w:t xml:space="preserve">vrcholový manažment. </w:t>
            </w:r>
          </w:p>
        </w:tc>
      </w:tr>
      <w:tr w:rsidR="00600593" w:rsidRPr="00A3389E" w14:paraId="7A8B78B9" w14:textId="77777777" w:rsidTr="00803BB4">
        <w:trPr>
          <w:trHeight w:val="316"/>
        </w:trPr>
        <w:tc>
          <w:tcPr>
            <w:tcW w:w="1384" w:type="dxa"/>
          </w:tcPr>
          <w:p w14:paraId="2414413D"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t>e)</w:t>
            </w:r>
          </w:p>
        </w:tc>
        <w:tc>
          <w:tcPr>
            <w:tcW w:w="7655" w:type="dxa"/>
          </w:tcPr>
          <w:p w14:paraId="38178D10" w14:textId="0631D554" w:rsidR="00600593" w:rsidRPr="00A3389E"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Pri poskytovaní informácií</w:t>
            </w:r>
            <w:r w:rsidR="00A3389E">
              <w:rPr>
                <w:rFonts w:ascii="Times New Roman" w:hAnsi="Times New Roman" w:cs="Times New Roman"/>
                <w:sz w:val="24"/>
              </w:rPr>
              <w:t xml:space="preserve"> o </w:t>
            </w:r>
            <w:r w:rsidRPr="00A3389E">
              <w:rPr>
                <w:rFonts w:ascii="Times New Roman" w:hAnsi="Times New Roman" w:cs="Times New Roman"/>
                <w:sz w:val="24"/>
              </w:rPr>
              <w:t>hlavných vlastnostiach systémov zverejňovania</w:t>
            </w:r>
            <w:r w:rsidR="00A3389E">
              <w:rPr>
                <w:rFonts w:ascii="Times New Roman" w:hAnsi="Times New Roman" w:cs="Times New Roman"/>
                <w:sz w:val="24"/>
              </w:rPr>
              <w:t xml:space="preserve"> a </w:t>
            </w:r>
            <w:r w:rsidRPr="00A3389E">
              <w:rPr>
                <w:rFonts w:ascii="Times New Roman" w:hAnsi="Times New Roman" w:cs="Times New Roman"/>
                <w:sz w:val="24"/>
              </w:rPr>
              <w:t>merania rizík pri uplatňovaní článku 435 ods. 1 písm. c) CRR inštitúcie zverejňujú svoje politiky týkajúce sa systematických</w:t>
            </w:r>
            <w:r w:rsidR="00A3389E">
              <w:rPr>
                <w:rFonts w:ascii="Times New Roman" w:hAnsi="Times New Roman" w:cs="Times New Roman"/>
                <w:sz w:val="24"/>
              </w:rPr>
              <w:t xml:space="preserve"> a </w:t>
            </w:r>
            <w:r w:rsidRPr="00A3389E">
              <w:rPr>
                <w:rFonts w:ascii="Times New Roman" w:hAnsi="Times New Roman" w:cs="Times New Roman"/>
                <w:sz w:val="24"/>
              </w:rPr>
              <w:t>pravidelných preskúmaní stratégií riadenia rizík</w:t>
            </w:r>
            <w:r w:rsidR="00A3389E">
              <w:rPr>
                <w:rFonts w:ascii="Times New Roman" w:hAnsi="Times New Roman" w:cs="Times New Roman"/>
                <w:sz w:val="24"/>
              </w:rPr>
              <w:t xml:space="preserve"> a </w:t>
            </w:r>
            <w:r w:rsidRPr="00A3389E">
              <w:rPr>
                <w:rFonts w:ascii="Times New Roman" w:hAnsi="Times New Roman" w:cs="Times New Roman"/>
                <w:sz w:val="24"/>
              </w:rPr>
              <w:t xml:space="preserve">pravidelného posudzovania ich účinnosti. </w:t>
            </w:r>
          </w:p>
        </w:tc>
      </w:tr>
      <w:tr w:rsidR="00600593" w:rsidRPr="00A3389E" w14:paraId="7A1D3EEF" w14:textId="77777777" w:rsidTr="00803BB4">
        <w:trPr>
          <w:trHeight w:val="316"/>
        </w:trPr>
        <w:tc>
          <w:tcPr>
            <w:tcW w:w="1384" w:type="dxa"/>
          </w:tcPr>
          <w:p w14:paraId="53A35036"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t>f)</w:t>
            </w:r>
          </w:p>
        </w:tc>
        <w:tc>
          <w:tcPr>
            <w:tcW w:w="7655" w:type="dxa"/>
          </w:tcPr>
          <w:p w14:paraId="3B48FCF6" w14:textId="0E324EC4" w:rsidR="00600593" w:rsidRPr="00A3389E"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Zverejňovanie stratégii</w:t>
            </w:r>
            <w:r w:rsidR="00A3389E">
              <w:rPr>
                <w:rFonts w:ascii="Times New Roman" w:hAnsi="Times New Roman" w:cs="Times New Roman"/>
                <w:sz w:val="24"/>
              </w:rPr>
              <w:t xml:space="preserve"> a </w:t>
            </w:r>
            <w:r w:rsidRPr="00A3389E">
              <w:rPr>
                <w:rFonts w:ascii="Times New Roman" w:hAnsi="Times New Roman" w:cs="Times New Roman"/>
                <w:sz w:val="24"/>
              </w:rPr>
              <w:t>postupov riadenia rizík pri uplatňovaní článku 435 ods. 1 písm. a) CRR musí zahŕňať kvalitatívne informácie</w:t>
            </w:r>
            <w:r w:rsidR="00A3389E">
              <w:rPr>
                <w:rFonts w:ascii="Times New Roman" w:hAnsi="Times New Roman" w:cs="Times New Roman"/>
                <w:sz w:val="24"/>
              </w:rPr>
              <w:t xml:space="preserve"> o </w:t>
            </w:r>
            <w:r w:rsidRPr="00A3389E">
              <w:rPr>
                <w:rFonts w:ascii="Times New Roman" w:hAnsi="Times New Roman" w:cs="Times New Roman"/>
                <w:sz w:val="24"/>
              </w:rPr>
              <w:t>stresovom testovaní, ako napríklad</w:t>
            </w:r>
            <w:r w:rsidR="00A3389E">
              <w:rPr>
                <w:rFonts w:ascii="Times New Roman" w:hAnsi="Times New Roman" w:cs="Times New Roman"/>
                <w:sz w:val="24"/>
              </w:rPr>
              <w:t xml:space="preserve"> o </w:t>
            </w:r>
            <w:r w:rsidRPr="00A3389E">
              <w:rPr>
                <w:rFonts w:ascii="Times New Roman" w:hAnsi="Times New Roman" w:cs="Times New Roman"/>
                <w:sz w:val="24"/>
              </w:rPr>
              <w:t>portfóliách podrobených stresovému testovaniu,</w:t>
            </w:r>
            <w:r w:rsidR="00A3389E">
              <w:rPr>
                <w:rFonts w:ascii="Times New Roman" w:hAnsi="Times New Roman" w:cs="Times New Roman"/>
                <w:sz w:val="24"/>
              </w:rPr>
              <w:t xml:space="preserve"> o </w:t>
            </w:r>
            <w:r w:rsidRPr="00A3389E">
              <w:rPr>
                <w:rFonts w:ascii="Times New Roman" w:hAnsi="Times New Roman" w:cs="Times New Roman"/>
                <w:sz w:val="24"/>
              </w:rPr>
              <w:t>prijatých scenároch</w:t>
            </w:r>
            <w:r w:rsidR="00A3389E">
              <w:rPr>
                <w:rFonts w:ascii="Times New Roman" w:hAnsi="Times New Roman" w:cs="Times New Roman"/>
                <w:sz w:val="24"/>
              </w:rPr>
              <w:t xml:space="preserve"> a </w:t>
            </w:r>
            <w:r w:rsidRPr="00A3389E">
              <w:rPr>
                <w:rFonts w:ascii="Times New Roman" w:hAnsi="Times New Roman" w:cs="Times New Roman"/>
                <w:sz w:val="24"/>
              </w:rPr>
              <w:t>používaných metodikách, ako aj</w:t>
            </w:r>
            <w:r w:rsidR="00A3389E">
              <w:rPr>
                <w:rFonts w:ascii="Times New Roman" w:hAnsi="Times New Roman" w:cs="Times New Roman"/>
                <w:sz w:val="24"/>
              </w:rPr>
              <w:t xml:space="preserve"> o </w:t>
            </w:r>
            <w:r w:rsidRPr="00A3389E">
              <w:rPr>
                <w:rFonts w:ascii="Times New Roman" w:hAnsi="Times New Roman" w:cs="Times New Roman"/>
                <w:sz w:val="24"/>
              </w:rPr>
              <w:t xml:space="preserve">využívaní stresového testovania pri riadení rizík. </w:t>
            </w:r>
          </w:p>
        </w:tc>
      </w:tr>
      <w:tr w:rsidR="00600593" w:rsidRPr="00A3389E" w14:paraId="39F4F7F3" w14:textId="77777777" w:rsidTr="00803BB4">
        <w:trPr>
          <w:trHeight w:val="316"/>
        </w:trPr>
        <w:tc>
          <w:tcPr>
            <w:tcW w:w="1384" w:type="dxa"/>
          </w:tcPr>
          <w:p w14:paraId="4F04414C"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t>g)</w:t>
            </w:r>
          </w:p>
        </w:tc>
        <w:tc>
          <w:tcPr>
            <w:tcW w:w="7655" w:type="dxa"/>
          </w:tcPr>
          <w:p w14:paraId="7149DECB" w14:textId="047906F8" w:rsidR="00600593" w:rsidRPr="00A3389E"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Inštitúcie poskytujú informácie</w:t>
            </w:r>
            <w:r w:rsidR="00A3389E">
              <w:rPr>
                <w:rFonts w:ascii="Times New Roman" w:hAnsi="Times New Roman" w:cs="Times New Roman"/>
                <w:sz w:val="24"/>
              </w:rPr>
              <w:t xml:space="preserve"> o </w:t>
            </w:r>
            <w:r w:rsidRPr="00A3389E">
              <w:rPr>
                <w:rFonts w:ascii="Times New Roman" w:hAnsi="Times New Roman" w:cs="Times New Roman"/>
                <w:sz w:val="24"/>
              </w:rPr>
              <w:t>stratégiách</w:t>
            </w:r>
            <w:r w:rsidR="00A3389E">
              <w:rPr>
                <w:rFonts w:ascii="Times New Roman" w:hAnsi="Times New Roman" w:cs="Times New Roman"/>
                <w:sz w:val="24"/>
              </w:rPr>
              <w:t xml:space="preserve"> a </w:t>
            </w:r>
            <w:r w:rsidRPr="00A3389E">
              <w:rPr>
                <w:rFonts w:ascii="Times New Roman" w:hAnsi="Times New Roman" w:cs="Times New Roman"/>
                <w:sz w:val="24"/>
              </w:rPr>
              <w:t>postupoch riadenia, hedžingu</w:t>
            </w:r>
            <w:r w:rsidR="00A3389E">
              <w:rPr>
                <w:rFonts w:ascii="Times New Roman" w:hAnsi="Times New Roman" w:cs="Times New Roman"/>
                <w:sz w:val="24"/>
              </w:rPr>
              <w:t xml:space="preserve"> a </w:t>
            </w:r>
            <w:r w:rsidRPr="00A3389E">
              <w:rPr>
                <w:rFonts w:ascii="Times New Roman" w:hAnsi="Times New Roman" w:cs="Times New Roman"/>
                <w:sz w:val="24"/>
              </w:rPr>
              <w:t>zmierňovania rizík, ako aj</w:t>
            </w:r>
            <w:r w:rsidR="00A3389E">
              <w:rPr>
                <w:rFonts w:ascii="Times New Roman" w:hAnsi="Times New Roman" w:cs="Times New Roman"/>
                <w:sz w:val="24"/>
              </w:rPr>
              <w:t xml:space="preserve"> o </w:t>
            </w:r>
            <w:r w:rsidRPr="00A3389E">
              <w:rPr>
                <w:rFonts w:ascii="Times New Roman" w:hAnsi="Times New Roman" w:cs="Times New Roman"/>
                <w:sz w:val="24"/>
              </w:rPr>
              <w:t>monitorovaní účinnosti hedžingu</w:t>
            </w:r>
            <w:r w:rsidR="00A3389E">
              <w:rPr>
                <w:rFonts w:ascii="Times New Roman" w:hAnsi="Times New Roman" w:cs="Times New Roman"/>
                <w:sz w:val="24"/>
              </w:rPr>
              <w:t xml:space="preserve"> a </w:t>
            </w:r>
            <w:r w:rsidRPr="00A3389E">
              <w:rPr>
                <w:rFonts w:ascii="Times New Roman" w:hAnsi="Times New Roman" w:cs="Times New Roman"/>
                <w:sz w:val="24"/>
              </w:rPr>
              <w:t>zmierňovania rizika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435 ods. 1 písm. a)</w:t>
            </w:r>
            <w:r w:rsidR="00A3389E">
              <w:rPr>
                <w:rFonts w:ascii="Times New Roman" w:hAnsi="Times New Roman" w:cs="Times New Roman"/>
                <w:sz w:val="24"/>
              </w:rPr>
              <w:t xml:space="preserve"> a </w:t>
            </w:r>
            <w:r w:rsidRPr="00A3389E">
              <w:rPr>
                <w:rFonts w:ascii="Times New Roman" w:hAnsi="Times New Roman" w:cs="Times New Roman"/>
                <w:sz w:val="24"/>
              </w:rPr>
              <w:t>d) CRR</w:t>
            </w:r>
            <w:r w:rsidR="00A3389E">
              <w:rPr>
                <w:rFonts w:ascii="Times New Roman" w:hAnsi="Times New Roman" w:cs="Times New Roman"/>
                <w:sz w:val="24"/>
              </w:rPr>
              <w:t xml:space="preserve"> v </w:t>
            </w:r>
            <w:r w:rsidRPr="00A3389E">
              <w:rPr>
                <w:rFonts w:ascii="Times New Roman" w:hAnsi="Times New Roman" w:cs="Times New Roman"/>
                <w:sz w:val="24"/>
              </w:rPr>
              <w:t>prípade rizík, ktoré vyplývajú</w:t>
            </w:r>
            <w:r w:rsidR="00A3389E">
              <w:rPr>
                <w:rFonts w:ascii="Times New Roman" w:hAnsi="Times New Roman" w:cs="Times New Roman"/>
                <w:sz w:val="24"/>
              </w:rPr>
              <w:t xml:space="preserve"> z </w:t>
            </w:r>
            <w:r w:rsidRPr="00A3389E">
              <w:rPr>
                <w:rFonts w:ascii="Times New Roman" w:hAnsi="Times New Roman" w:cs="Times New Roman"/>
                <w:sz w:val="24"/>
              </w:rPr>
              <w:t xml:space="preserve">obchodného modelu inštitúcií. </w:t>
            </w:r>
          </w:p>
        </w:tc>
      </w:tr>
    </w:tbl>
    <w:p w14:paraId="05D8F5D4" w14:textId="77777777" w:rsidR="00600593" w:rsidRPr="00A60806" w:rsidRDefault="00600593" w:rsidP="00600593">
      <w:pPr>
        <w:rPr>
          <w:rFonts w:ascii="Times New Roman" w:hAnsi="Times New Roman" w:cs="Times New Roman"/>
          <w:b/>
          <w:sz w:val="12"/>
          <w:szCs w:val="12"/>
        </w:rPr>
      </w:pPr>
    </w:p>
    <w:p w14:paraId="6F5B839B" w14:textId="42B186C5" w:rsidR="00600593" w:rsidRPr="00A3389E" w:rsidRDefault="00D95507" w:rsidP="00600593">
      <w:pPr>
        <w:rPr>
          <w:rFonts w:ascii="Times New Roman" w:hAnsi="Times New Roman" w:cs="Times New Roman"/>
          <w:sz w:val="24"/>
        </w:rPr>
      </w:pPr>
      <w:r w:rsidRPr="00A3389E">
        <w:rPr>
          <w:rFonts w:ascii="Times New Roman" w:hAnsi="Times New Roman" w:cs="Times New Roman"/>
          <w:b/>
          <w:sz w:val="24"/>
        </w:rPr>
        <w:t xml:space="preserve">Tabuľka EU OVB – Zverejňovanie mechanizmov riadenia: </w:t>
      </w:r>
      <w:r w:rsidRPr="00A3389E">
        <w:rPr>
          <w:rFonts w:ascii="Times New Roman" w:hAnsi="Times New Roman" w:cs="Times New Roman"/>
          <w:sz w:val="24"/>
        </w:rPr>
        <w:t>Textové polia</w:t>
      </w:r>
      <w:r w:rsidR="00A3389E">
        <w:rPr>
          <w:rFonts w:ascii="Times New Roman" w:hAnsi="Times New Roman" w:cs="Times New Roman"/>
          <w:sz w:val="24"/>
        </w:rPr>
        <w:t xml:space="preserve"> s </w:t>
      </w:r>
      <w:r w:rsidRPr="00A3389E">
        <w:rPr>
          <w:rFonts w:ascii="Times New Roman" w:hAnsi="Times New Roman" w:cs="Times New Roman"/>
          <w:sz w:val="24"/>
        </w:rPr>
        <w:t>ľubovoľným formátom na zverejňovanie kvalitatívnych informácií.</w:t>
      </w:r>
    </w:p>
    <w:p w14:paraId="24D4B6FD" w14:textId="5F022AF0" w:rsidR="00600593" w:rsidRPr="00A3389E" w:rsidRDefault="00A3389E" w:rsidP="00A3389E">
      <w:pPr>
        <w:spacing w:before="120" w:after="120"/>
        <w:ind w:left="426" w:hanging="360"/>
        <w:jc w:val="both"/>
        <w:rPr>
          <w:rFonts w:ascii="Times New Roman" w:hAnsi="Times New Roman"/>
          <w:sz w:val="24"/>
        </w:rPr>
      </w:pPr>
      <w:r w:rsidRPr="00A3389E">
        <w:rPr>
          <w:rFonts w:ascii="Times New Roman" w:eastAsia="Calibri" w:hAnsi="Times New Roman" w:cs="Times New Roman"/>
          <w:sz w:val="24"/>
          <w:szCs w:val="22"/>
        </w:rPr>
        <w:t>2.</w:t>
      </w:r>
      <w:r w:rsidRPr="00A3389E">
        <w:rPr>
          <w:rFonts w:ascii="Times New Roman" w:eastAsia="Calibri" w:hAnsi="Times New Roman" w:cs="Times New Roman"/>
          <w:sz w:val="24"/>
          <w:szCs w:val="22"/>
        </w:rPr>
        <w:tab/>
      </w:r>
      <w:r w:rsidR="00600593" w:rsidRPr="00A3389E">
        <w:rPr>
          <w:rFonts w:ascii="Times New Roman" w:hAnsi="Times New Roman"/>
          <w:sz w:val="24"/>
        </w:rPr>
        <w:t>Inštitúcie zverejňujú informácie uvedené</w:t>
      </w:r>
      <w:r>
        <w:rPr>
          <w:rFonts w:ascii="Times New Roman" w:hAnsi="Times New Roman"/>
          <w:sz w:val="24"/>
        </w:rPr>
        <w:t xml:space="preserve"> v </w:t>
      </w:r>
      <w:r w:rsidR="00600593" w:rsidRPr="00A3389E">
        <w:rPr>
          <w:rFonts w:ascii="Times New Roman" w:hAnsi="Times New Roman"/>
          <w:sz w:val="24"/>
        </w:rPr>
        <w:t>článku 435 ods. 2 CRR podľa pokynov uvedených nižšie</w:t>
      </w:r>
      <w:r>
        <w:rPr>
          <w:rFonts w:ascii="Times New Roman" w:hAnsi="Times New Roman"/>
          <w:sz w:val="24"/>
        </w:rPr>
        <w:t xml:space="preserve"> v </w:t>
      </w:r>
      <w:r w:rsidR="00600593" w:rsidRPr="00A3389E">
        <w:rPr>
          <w:rFonts w:ascii="Times New Roman" w:hAnsi="Times New Roman"/>
          <w:sz w:val="24"/>
        </w:rPr>
        <w:t>tejto prílohe</w:t>
      </w:r>
      <w:r>
        <w:rPr>
          <w:rFonts w:ascii="Times New Roman" w:hAnsi="Times New Roman"/>
          <w:sz w:val="24"/>
        </w:rPr>
        <w:t xml:space="preserve"> s </w:t>
      </w:r>
      <w:r w:rsidR="00600593" w:rsidRPr="00A3389E">
        <w:rPr>
          <w:rFonts w:ascii="Times New Roman" w:hAnsi="Times New Roman"/>
          <w:sz w:val="24"/>
        </w:rPr>
        <w:t>cieľom vyplniť tabuľku EU OVB, ktorá je uvedená</w:t>
      </w:r>
      <w:r>
        <w:rPr>
          <w:rFonts w:ascii="Times New Roman" w:hAnsi="Times New Roman"/>
          <w:sz w:val="24"/>
        </w:rPr>
        <w:t xml:space="preserve"> v </w:t>
      </w:r>
      <w:r w:rsidR="00600593" w:rsidRPr="00A3389E">
        <w:rPr>
          <w:rFonts w:ascii="Times New Roman" w:hAnsi="Times New Roman"/>
          <w:sz w:val="24"/>
        </w:rPr>
        <w:t>prílohe III</w:t>
      </w:r>
      <w:r>
        <w:rPr>
          <w:rFonts w:ascii="Times New Roman" w:hAnsi="Times New Roman"/>
          <w:sz w:val="24"/>
        </w:rPr>
        <w:t xml:space="preserve"> k </w:t>
      </w:r>
      <w:r w:rsidR="00600593" w:rsidRPr="00A3389E">
        <w:rPr>
          <w:rFonts w:ascii="Times New Roman" w:hAnsi="Times New Roman"/>
          <w:sz w:val="24"/>
        </w:rPr>
        <w:t>tomuto vykonávaciemu nariadeniu.</w:t>
      </w:r>
    </w:p>
    <w:p w14:paraId="0F7CCE1F" w14:textId="77777777" w:rsidR="00600593" w:rsidRPr="00A60806" w:rsidRDefault="00600593" w:rsidP="00600593">
      <w:pPr>
        <w:rPr>
          <w:rFonts w:ascii="Times New Roman" w:hAnsi="Times New Roman" w:cs="Times New Roman"/>
          <w:sz w:val="12"/>
          <w:szCs w:val="12"/>
        </w:rPr>
      </w:pPr>
    </w:p>
    <w:p w14:paraId="41FC364E" w14:textId="77777777" w:rsidR="00600593" w:rsidRPr="00A60806" w:rsidRDefault="00600593" w:rsidP="00600593">
      <w:pPr>
        <w:rPr>
          <w:rFonts w:ascii="Times New Roman" w:hAnsi="Times New Roman" w:cs="Times New Roman"/>
          <w:sz w:val="12"/>
          <w:szCs w:val="1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A3389E"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36C73123" w:rsidR="00600593" w:rsidRPr="00A3389E" w:rsidRDefault="00600593" w:rsidP="00803BB4">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600593" w:rsidRPr="00A3389E" w14:paraId="77F46B86" w14:textId="77777777" w:rsidTr="00803BB4">
        <w:trPr>
          <w:trHeight w:val="238"/>
        </w:trPr>
        <w:tc>
          <w:tcPr>
            <w:tcW w:w="1384" w:type="dxa"/>
            <w:shd w:val="clear" w:color="auto" w:fill="D9D9D9" w:themeFill="background1" w:themeFillShade="D9"/>
          </w:tcPr>
          <w:p w14:paraId="538071C5" w14:textId="77777777" w:rsidR="00600593" w:rsidRPr="00A3389E" w:rsidRDefault="00600593" w:rsidP="00803BB4">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lastRenderedPageBreak/>
              <w:t>Číslo riadku</w:t>
            </w:r>
          </w:p>
        </w:tc>
        <w:tc>
          <w:tcPr>
            <w:tcW w:w="7655" w:type="dxa"/>
            <w:shd w:val="clear" w:color="auto" w:fill="D9D9D9" w:themeFill="background1" w:themeFillShade="D9"/>
          </w:tcPr>
          <w:p w14:paraId="01997A45" w14:textId="77777777" w:rsidR="00600593" w:rsidRPr="00A3389E" w:rsidRDefault="00600593"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600593" w:rsidRPr="00A3389E" w14:paraId="6E61BF7A" w14:textId="77777777" w:rsidTr="00803BB4">
        <w:trPr>
          <w:trHeight w:val="316"/>
        </w:trPr>
        <w:tc>
          <w:tcPr>
            <w:tcW w:w="1384" w:type="dxa"/>
          </w:tcPr>
          <w:p w14:paraId="76CDF84D" w14:textId="77777777" w:rsidR="00600593" w:rsidRPr="00A3389E" w:rsidRDefault="00600593"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sz w:val="24"/>
              </w:rPr>
              <w:t>a)</w:t>
            </w:r>
          </w:p>
        </w:tc>
        <w:tc>
          <w:tcPr>
            <w:tcW w:w="7655" w:type="dxa"/>
          </w:tcPr>
          <w:p w14:paraId="56BB9AAE" w14:textId="473C0EE6" w:rsidR="00600593" w:rsidRPr="00A3389E"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Inštitúcie zverejňujú počet riadiacich funkcií zastávaných členmi riadiaceho orgánu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435 ods. 2 písm. a) CRR. Pri zverejňovaní týchto informácií sa uplatňujú tieto špecifikácie:</w:t>
            </w:r>
          </w:p>
          <w:p w14:paraId="7629F706" w14:textId="415E642E" w:rsidR="00600593" w:rsidRPr="00A60806" w:rsidRDefault="00A3389E" w:rsidP="00A3389E">
            <w:pPr>
              <w:autoSpaceDE w:val="0"/>
              <w:autoSpaceDN w:val="0"/>
              <w:adjustRightInd w:val="0"/>
              <w:spacing w:before="120" w:after="120"/>
              <w:ind w:left="720" w:hanging="360"/>
              <w:jc w:val="both"/>
              <w:rPr>
                <w:rFonts w:ascii="Times New Roman" w:eastAsia="Times New Roman" w:hAnsi="Times New Roman"/>
                <w:spacing w:val="-6"/>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600593" w:rsidRPr="00A60806">
              <w:rPr>
                <w:rFonts w:ascii="Times New Roman" w:hAnsi="Times New Roman"/>
                <w:spacing w:val="-6"/>
                <w:sz w:val="24"/>
              </w:rPr>
              <w:t>Inštitúcie, na ktoré sa vzťahuje článok 91 ods. 3</w:t>
            </w:r>
            <w:r w:rsidRPr="00A60806">
              <w:rPr>
                <w:rFonts w:ascii="Times New Roman" w:hAnsi="Times New Roman"/>
                <w:spacing w:val="-6"/>
                <w:sz w:val="24"/>
              </w:rPr>
              <w:t xml:space="preserve"> a </w:t>
            </w:r>
            <w:r w:rsidR="00600593" w:rsidRPr="00A60806">
              <w:rPr>
                <w:rFonts w:ascii="Times New Roman" w:hAnsi="Times New Roman"/>
                <w:spacing w:val="-6"/>
                <w:sz w:val="24"/>
              </w:rPr>
              <w:t>4 smernice (EÚ) 2013/36</w:t>
            </w:r>
            <w:r w:rsidR="00600593" w:rsidRPr="00A60806">
              <w:rPr>
                <w:rStyle w:val="FootnoteReference"/>
                <w:rFonts w:ascii="Times New Roman" w:eastAsia="Times New Roman" w:hAnsi="Times New Roman" w:cs="Times New Roman"/>
                <w:spacing w:val="-6"/>
              </w:rPr>
              <w:footnoteReference w:id="7"/>
            </w:r>
            <w:r w:rsidR="00600593" w:rsidRPr="00A60806">
              <w:rPr>
                <w:rFonts w:ascii="Times New Roman" w:hAnsi="Times New Roman"/>
                <w:spacing w:val="-6"/>
                <w:sz w:val="24"/>
              </w:rPr>
              <w:t xml:space="preserve"> („CRD“), zverejňujú počet riadiacich funkcií podľa tohto článku;</w:t>
            </w:r>
          </w:p>
          <w:p w14:paraId="42F69E03" w14:textId="7E1960E6" w:rsidR="00600593" w:rsidRPr="00A3389E" w:rsidRDefault="00A3389E" w:rsidP="00A3389E">
            <w:pPr>
              <w:autoSpaceDE w:val="0"/>
              <w:autoSpaceDN w:val="0"/>
              <w:adjustRightInd w:val="0"/>
              <w:spacing w:before="120" w:after="120"/>
              <w:ind w:left="720" w:hanging="360"/>
              <w:jc w:val="both"/>
              <w:rPr>
                <w:rFonts w:ascii="Times New Roman" w:eastAsia="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600593" w:rsidRPr="00A3389E">
              <w:rPr>
                <w:rFonts w:ascii="Times New Roman" w:hAnsi="Times New Roman"/>
                <w:sz w:val="24"/>
              </w:rPr>
              <w:t>Inštitúcie zverejňujú počet riadiacich funkcií skutočne zastávaných každým členom riadiaceho orgánu (či už ide</w:t>
            </w:r>
            <w:r>
              <w:rPr>
                <w:rFonts w:ascii="Times New Roman" w:hAnsi="Times New Roman"/>
                <w:sz w:val="24"/>
              </w:rPr>
              <w:t xml:space="preserve"> o </w:t>
            </w:r>
            <w:r w:rsidR="00600593" w:rsidRPr="00A3389E">
              <w:rPr>
                <w:rFonts w:ascii="Times New Roman" w:hAnsi="Times New Roman"/>
                <w:sz w:val="24"/>
              </w:rPr>
              <w:t>spoločnosť skupiny alebo nie, kvalifikovanú účasť alebo inštitúciu</w:t>
            </w:r>
            <w:r>
              <w:rPr>
                <w:rFonts w:ascii="Times New Roman" w:hAnsi="Times New Roman"/>
                <w:sz w:val="24"/>
              </w:rPr>
              <w:t xml:space="preserve"> v </w:t>
            </w:r>
            <w:r w:rsidR="00600593" w:rsidRPr="00A3389E">
              <w:rPr>
                <w:rFonts w:ascii="Times New Roman" w:hAnsi="Times New Roman"/>
                <w:sz w:val="24"/>
              </w:rPr>
              <w:t>rámci tej istej schémy inštitucionálneho zabezpečenia</w:t>
            </w:r>
            <w:r>
              <w:rPr>
                <w:rFonts w:ascii="Times New Roman" w:hAnsi="Times New Roman"/>
                <w:sz w:val="24"/>
              </w:rPr>
              <w:t xml:space="preserve"> a </w:t>
            </w:r>
            <w:r w:rsidR="00600593" w:rsidRPr="00A3389E">
              <w:rPr>
                <w:rFonts w:ascii="Times New Roman" w:hAnsi="Times New Roman"/>
                <w:sz w:val="24"/>
              </w:rPr>
              <w:t>či ide</w:t>
            </w:r>
            <w:r>
              <w:rPr>
                <w:rFonts w:ascii="Times New Roman" w:hAnsi="Times New Roman"/>
                <w:sz w:val="24"/>
              </w:rPr>
              <w:t xml:space="preserve"> o </w:t>
            </w:r>
            <w:r w:rsidR="00600593" w:rsidRPr="00A3389E">
              <w:rPr>
                <w:rFonts w:ascii="Times New Roman" w:hAnsi="Times New Roman"/>
                <w:sz w:val="24"/>
              </w:rPr>
              <w:t>riadiacu funkciu</w:t>
            </w:r>
            <w:r>
              <w:rPr>
                <w:rFonts w:ascii="Times New Roman" w:hAnsi="Times New Roman"/>
                <w:sz w:val="24"/>
              </w:rPr>
              <w:t xml:space="preserve"> s </w:t>
            </w:r>
            <w:r w:rsidR="00600593" w:rsidRPr="00A3389E">
              <w:rPr>
                <w:rFonts w:ascii="Times New Roman" w:hAnsi="Times New Roman"/>
                <w:sz w:val="24"/>
              </w:rPr>
              <w:t>výkonnou právomocou alebo bez nej) bez ohľadu na to, či sa riadiaca funkcia týka subjektu, ktorý sleduje alebo nesleduje obchodný cieľ;</w:t>
            </w:r>
          </w:p>
          <w:p w14:paraId="0A18A43F" w14:textId="66851B98" w:rsidR="00600593" w:rsidRPr="00A3389E" w:rsidRDefault="00A3389E" w:rsidP="00A3389E">
            <w:pPr>
              <w:autoSpaceDE w:val="0"/>
              <w:autoSpaceDN w:val="0"/>
              <w:adjustRightInd w:val="0"/>
              <w:spacing w:before="120" w:after="120"/>
              <w:ind w:left="720" w:hanging="360"/>
              <w:jc w:val="both"/>
              <w:rPr>
                <w:rFonts w:ascii="Times New Roman" w:eastAsia="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600593" w:rsidRPr="00A3389E">
              <w:rPr>
                <w:rFonts w:ascii="Times New Roman" w:hAnsi="Times New Roman"/>
                <w:sz w:val="24"/>
              </w:rPr>
              <w:t>Ak príslušný orgán schválil dodatočnú riadiacu funkciu, všetky inštitúcie,</w:t>
            </w:r>
            <w:r>
              <w:rPr>
                <w:rFonts w:ascii="Times New Roman" w:hAnsi="Times New Roman"/>
                <w:sz w:val="24"/>
              </w:rPr>
              <w:t xml:space="preserve"> v </w:t>
            </w:r>
            <w:r w:rsidR="00600593" w:rsidRPr="00A3389E">
              <w:rPr>
                <w:rFonts w:ascii="Times New Roman" w:hAnsi="Times New Roman"/>
                <w:sz w:val="24"/>
              </w:rPr>
              <w:t>ktorých tento člen zastáva riadiacu funkciu, túto skutočnosť zverejnia spolu</w:t>
            </w:r>
            <w:r>
              <w:rPr>
                <w:rFonts w:ascii="Times New Roman" w:hAnsi="Times New Roman"/>
                <w:sz w:val="24"/>
              </w:rPr>
              <w:t xml:space="preserve"> s </w:t>
            </w:r>
            <w:r w:rsidR="00600593" w:rsidRPr="00A3389E">
              <w:rPr>
                <w:rFonts w:ascii="Times New Roman" w:hAnsi="Times New Roman"/>
                <w:sz w:val="24"/>
              </w:rPr>
              <w:t>názvom príslušného orgánu, ktorý schválil dodatočnú riadiacu funkciu.</w:t>
            </w:r>
          </w:p>
        </w:tc>
      </w:tr>
      <w:tr w:rsidR="00600593" w:rsidRPr="00A3389E" w14:paraId="601A208C" w14:textId="77777777" w:rsidTr="00803BB4">
        <w:trPr>
          <w:trHeight w:val="316"/>
        </w:trPr>
        <w:tc>
          <w:tcPr>
            <w:tcW w:w="1384" w:type="dxa"/>
          </w:tcPr>
          <w:p w14:paraId="36FBAD2C"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t>b)</w:t>
            </w:r>
          </w:p>
        </w:tc>
        <w:tc>
          <w:tcPr>
            <w:tcW w:w="7655" w:type="dxa"/>
          </w:tcPr>
          <w:p w14:paraId="702F4294" w14:textId="5F0B6738" w:rsidR="00600593" w:rsidRPr="00A3389E"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Inštitúcie pri zverejňovaní informácií týkajúcich sa politiky prijímania pracovníkov, pokiaľ ide</w:t>
            </w:r>
            <w:r w:rsidR="00A3389E">
              <w:rPr>
                <w:rFonts w:ascii="Times New Roman" w:hAnsi="Times New Roman" w:cs="Times New Roman"/>
                <w:sz w:val="24"/>
              </w:rPr>
              <w:t xml:space="preserve"> o </w:t>
            </w:r>
            <w:r w:rsidRPr="00A3389E">
              <w:rPr>
                <w:rFonts w:ascii="Times New Roman" w:hAnsi="Times New Roman" w:cs="Times New Roman"/>
                <w:sz w:val="24"/>
              </w:rPr>
              <w:t>výber členov riadiaceho orgánu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435 ods. 2 písm. b) CRR, zahŕňajú informácie</w:t>
            </w:r>
            <w:r w:rsidR="00A3389E">
              <w:rPr>
                <w:rFonts w:ascii="Times New Roman" w:hAnsi="Times New Roman" w:cs="Times New Roman"/>
                <w:sz w:val="24"/>
              </w:rPr>
              <w:t xml:space="preserve"> o </w:t>
            </w:r>
            <w:r w:rsidRPr="00A3389E">
              <w:rPr>
                <w:rFonts w:ascii="Times New Roman" w:hAnsi="Times New Roman" w:cs="Times New Roman"/>
                <w:sz w:val="24"/>
              </w:rPr>
              <w:t>skutočných vedomostiach, zručnostiach</w:t>
            </w:r>
            <w:r w:rsidR="00A3389E">
              <w:rPr>
                <w:rFonts w:ascii="Times New Roman" w:hAnsi="Times New Roman" w:cs="Times New Roman"/>
                <w:sz w:val="24"/>
              </w:rPr>
              <w:t xml:space="preserve"> a </w:t>
            </w:r>
            <w:r w:rsidRPr="00A3389E">
              <w:rPr>
                <w:rFonts w:ascii="Times New Roman" w:hAnsi="Times New Roman" w:cs="Times New Roman"/>
                <w:sz w:val="24"/>
              </w:rPr>
              <w:t>odborných znalostiach členov. Inštitúcie zahŕňajú informácie</w:t>
            </w:r>
            <w:r w:rsidR="00A3389E">
              <w:rPr>
                <w:rFonts w:ascii="Times New Roman" w:hAnsi="Times New Roman" w:cs="Times New Roman"/>
                <w:sz w:val="24"/>
              </w:rPr>
              <w:t xml:space="preserve"> o </w:t>
            </w:r>
            <w:r w:rsidRPr="00A3389E">
              <w:rPr>
                <w:rFonts w:ascii="Times New Roman" w:hAnsi="Times New Roman" w:cs="Times New Roman"/>
                <w:sz w:val="24"/>
              </w:rPr>
              <w:t>politike, ktorá môže vyplynúť</w:t>
            </w:r>
            <w:r w:rsidR="00A3389E">
              <w:rPr>
                <w:rFonts w:ascii="Times New Roman" w:hAnsi="Times New Roman" w:cs="Times New Roman"/>
                <w:sz w:val="24"/>
              </w:rPr>
              <w:t xml:space="preserve"> z </w:t>
            </w:r>
            <w:r w:rsidRPr="00A3389E">
              <w:rPr>
                <w:rFonts w:ascii="Times New Roman" w:hAnsi="Times New Roman" w:cs="Times New Roman"/>
                <w:sz w:val="24"/>
              </w:rPr>
              <w:t>plánovania nástupníctva,</w:t>
            </w:r>
            <w:r w:rsidR="00A3389E">
              <w:rPr>
                <w:rFonts w:ascii="Times New Roman" w:hAnsi="Times New Roman" w:cs="Times New Roman"/>
                <w:sz w:val="24"/>
              </w:rPr>
              <w:t xml:space="preserve"> a o </w:t>
            </w:r>
            <w:r w:rsidRPr="00A3389E">
              <w:rPr>
                <w:rFonts w:ascii="Times New Roman" w:hAnsi="Times New Roman" w:cs="Times New Roman"/>
                <w:sz w:val="24"/>
              </w:rPr>
              <w:t>akýchkoľvek predvídateľných zmenách</w:t>
            </w:r>
            <w:r w:rsidR="00A3389E">
              <w:rPr>
                <w:rFonts w:ascii="Times New Roman" w:hAnsi="Times New Roman" w:cs="Times New Roman"/>
                <w:sz w:val="24"/>
              </w:rPr>
              <w:t xml:space="preserve"> v </w:t>
            </w:r>
            <w:r w:rsidRPr="00A3389E">
              <w:rPr>
                <w:rFonts w:ascii="Times New Roman" w:hAnsi="Times New Roman" w:cs="Times New Roman"/>
                <w:sz w:val="24"/>
              </w:rPr>
              <w:t>rámci celkového zloženia riadiaceho orgánu.</w:t>
            </w:r>
          </w:p>
        </w:tc>
      </w:tr>
      <w:tr w:rsidR="00600593" w:rsidRPr="00A3389E" w14:paraId="19AC202D" w14:textId="77777777" w:rsidTr="00803BB4">
        <w:trPr>
          <w:trHeight w:val="316"/>
        </w:trPr>
        <w:tc>
          <w:tcPr>
            <w:tcW w:w="1384" w:type="dxa"/>
          </w:tcPr>
          <w:p w14:paraId="655F9391"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t>c)</w:t>
            </w:r>
          </w:p>
        </w:tc>
        <w:tc>
          <w:tcPr>
            <w:tcW w:w="7655" w:type="dxa"/>
          </w:tcPr>
          <w:p w14:paraId="7A96D829" w14:textId="6A906A9B" w:rsidR="00A3389E" w:rsidRPr="00A3389E" w:rsidRDefault="00600593" w:rsidP="00803BB4">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Inštitúcie pri zverejňovaní svojej politiky rôznorodosti</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435 ods. 2 písm. c) CRR zverejňujú informácie</w:t>
            </w:r>
            <w:r w:rsidR="00A3389E">
              <w:rPr>
                <w:rFonts w:ascii="Times New Roman" w:hAnsi="Times New Roman" w:cs="Times New Roman"/>
                <w:sz w:val="24"/>
              </w:rPr>
              <w:t xml:space="preserve"> o </w:t>
            </w:r>
            <w:r w:rsidRPr="00A3389E">
              <w:rPr>
                <w:rFonts w:ascii="Times New Roman" w:hAnsi="Times New Roman" w:cs="Times New Roman"/>
                <w:sz w:val="24"/>
              </w:rPr>
              <w:t>zámeroch</w:t>
            </w:r>
            <w:r w:rsidR="00A3389E">
              <w:rPr>
                <w:rFonts w:ascii="Times New Roman" w:hAnsi="Times New Roman" w:cs="Times New Roman"/>
                <w:sz w:val="24"/>
              </w:rPr>
              <w:t xml:space="preserve"> a </w:t>
            </w:r>
            <w:r w:rsidRPr="00A3389E">
              <w:rPr>
                <w:rFonts w:ascii="Times New Roman" w:hAnsi="Times New Roman" w:cs="Times New Roman"/>
                <w:sz w:val="24"/>
              </w:rPr>
              <w:t>všetkých relevantných cieľoch stanovených</w:t>
            </w:r>
            <w:r w:rsidR="00A3389E">
              <w:rPr>
                <w:rFonts w:ascii="Times New Roman" w:hAnsi="Times New Roman" w:cs="Times New Roman"/>
                <w:sz w:val="24"/>
              </w:rPr>
              <w:t xml:space="preserve"> v </w:t>
            </w:r>
            <w:r w:rsidRPr="00A3389E">
              <w:rPr>
                <w:rFonts w:ascii="Times New Roman" w:hAnsi="Times New Roman" w:cs="Times New Roman"/>
                <w:sz w:val="24"/>
              </w:rPr>
              <w:t>tejto politike</w:t>
            </w:r>
            <w:r w:rsidR="00A3389E">
              <w:rPr>
                <w:rFonts w:ascii="Times New Roman" w:hAnsi="Times New Roman" w:cs="Times New Roman"/>
                <w:sz w:val="24"/>
              </w:rPr>
              <w:t xml:space="preserve"> a o </w:t>
            </w:r>
            <w:r w:rsidRPr="00A3389E">
              <w:rPr>
                <w:rFonts w:ascii="Times New Roman" w:hAnsi="Times New Roman" w:cs="Times New Roman"/>
                <w:sz w:val="24"/>
              </w:rPr>
              <w:t>rozsahu,</w:t>
            </w:r>
            <w:r w:rsidR="00A3389E">
              <w:rPr>
                <w:rFonts w:ascii="Times New Roman" w:hAnsi="Times New Roman" w:cs="Times New Roman"/>
                <w:sz w:val="24"/>
              </w:rPr>
              <w:t xml:space="preserve"> v </w:t>
            </w:r>
            <w:r w:rsidRPr="00A3389E">
              <w:rPr>
                <w:rFonts w:ascii="Times New Roman" w:hAnsi="Times New Roman" w:cs="Times New Roman"/>
                <w:sz w:val="24"/>
              </w:rPr>
              <w:t>akom boli tieto zámery</w:t>
            </w:r>
            <w:r w:rsidR="00A3389E">
              <w:rPr>
                <w:rFonts w:ascii="Times New Roman" w:hAnsi="Times New Roman" w:cs="Times New Roman"/>
                <w:sz w:val="24"/>
              </w:rPr>
              <w:t xml:space="preserve"> a </w:t>
            </w:r>
            <w:r w:rsidRPr="00A3389E">
              <w:rPr>
                <w:rFonts w:ascii="Times New Roman" w:hAnsi="Times New Roman" w:cs="Times New Roman"/>
                <w:sz w:val="24"/>
              </w:rPr>
              <w:t>ciele dosiahnuté</w:t>
            </w:r>
            <w:r w:rsidR="00A3389E" w:rsidRPr="00A3389E">
              <w:rPr>
                <w:rFonts w:ascii="Times New Roman" w:hAnsi="Times New Roman" w:cs="Times New Roman"/>
                <w:sz w:val="24"/>
              </w:rPr>
              <w:t>.</w:t>
            </w:r>
          </w:p>
          <w:p w14:paraId="781A7292" w14:textId="77777777" w:rsidR="00A3389E" w:rsidRPr="00A3389E" w:rsidRDefault="00600593" w:rsidP="00803BB4">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Inštitúcie zverejňujú najmä politiku rodovej rozmanitosti, čo zahŕňa</w:t>
            </w:r>
            <w:r w:rsidR="00A3389E" w:rsidRPr="00A3389E">
              <w:rPr>
                <w:rFonts w:ascii="Times New Roman" w:hAnsi="Times New Roman" w:cs="Times New Roman"/>
                <w:sz w:val="24"/>
              </w:rPr>
              <w:t>:</w:t>
            </w:r>
          </w:p>
          <w:p w14:paraId="41B9B39A" w14:textId="3FED1FB1" w:rsidR="00A3389E" w:rsidRPr="00A3389E" w:rsidRDefault="00A3389E" w:rsidP="00A3389E">
            <w:pPr>
              <w:autoSpaceDE w:val="0"/>
              <w:autoSpaceDN w:val="0"/>
              <w:adjustRightInd w:val="0"/>
              <w:spacing w:before="120" w:after="120"/>
              <w:ind w:left="720" w:hanging="360"/>
              <w:jc w:val="both"/>
              <w:rPr>
                <w:rFonts w:ascii="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600593" w:rsidRPr="00A3389E">
              <w:rPr>
                <w:rFonts w:ascii="Times New Roman" w:hAnsi="Times New Roman"/>
                <w:sz w:val="24"/>
              </w:rPr>
              <w:t>ak bol stanovený cieľ pre nedostatočne zastúpený rod</w:t>
            </w:r>
            <w:r>
              <w:rPr>
                <w:rFonts w:ascii="Times New Roman" w:hAnsi="Times New Roman"/>
                <w:sz w:val="24"/>
              </w:rPr>
              <w:t xml:space="preserve"> a </w:t>
            </w:r>
            <w:r w:rsidR="00600593" w:rsidRPr="00A3389E">
              <w:rPr>
                <w:rFonts w:ascii="Times New Roman" w:hAnsi="Times New Roman"/>
                <w:sz w:val="24"/>
              </w:rPr>
              <w:t>pre politiky týkajúce sa rozmanitosti</w:t>
            </w:r>
            <w:r>
              <w:rPr>
                <w:rFonts w:ascii="Times New Roman" w:hAnsi="Times New Roman"/>
                <w:sz w:val="24"/>
              </w:rPr>
              <w:t xml:space="preserve"> z </w:t>
            </w:r>
            <w:r w:rsidR="00600593" w:rsidRPr="00A3389E">
              <w:rPr>
                <w:rFonts w:ascii="Times New Roman" w:hAnsi="Times New Roman"/>
                <w:sz w:val="24"/>
              </w:rPr>
              <w:t>hľadiska veku, dosiahnutého vzdelania, odborných skúseností</w:t>
            </w:r>
            <w:r>
              <w:rPr>
                <w:rFonts w:ascii="Times New Roman" w:hAnsi="Times New Roman"/>
                <w:sz w:val="24"/>
              </w:rPr>
              <w:t xml:space="preserve"> a </w:t>
            </w:r>
            <w:r w:rsidR="00600593" w:rsidRPr="00A3389E">
              <w:rPr>
                <w:rFonts w:ascii="Times New Roman" w:hAnsi="Times New Roman"/>
                <w:sz w:val="24"/>
              </w:rPr>
              <w:t>geografického pôvodu, tento stanovený cieľ</w:t>
            </w:r>
            <w:r>
              <w:rPr>
                <w:rFonts w:ascii="Times New Roman" w:hAnsi="Times New Roman"/>
                <w:sz w:val="24"/>
              </w:rPr>
              <w:t xml:space="preserve"> a </w:t>
            </w:r>
            <w:r w:rsidR="00600593" w:rsidRPr="00A3389E">
              <w:rPr>
                <w:rFonts w:ascii="Times New Roman" w:hAnsi="Times New Roman"/>
                <w:sz w:val="24"/>
              </w:rPr>
              <w:t>do akej miery boli ciele splnené,</w:t>
            </w:r>
          </w:p>
          <w:p w14:paraId="2DF135DD" w14:textId="409D4ED3" w:rsidR="00600593" w:rsidRPr="00A3389E" w:rsidRDefault="00A3389E" w:rsidP="00A3389E">
            <w:pPr>
              <w:autoSpaceDE w:val="0"/>
              <w:autoSpaceDN w:val="0"/>
              <w:adjustRightInd w:val="0"/>
              <w:spacing w:before="120" w:after="120"/>
              <w:ind w:left="720" w:hanging="360"/>
              <w:jc w:val="both"/>
              <w:rPr>
                <w:rFonts w:ascii="Times New Roman" w:eastAsia="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600593" w:rsidRPr="00A3389E">
              <w:rPr>
                <w:rFonts w:ascii="Times New Roman" w:hAnsi="Times New Roman"/>
                <w:sz w:val="24"/>
              </w:rPr>
              <w:t>v prípade nesplnenia cieľa inštitúcie zverejnia príčiny a, ak je to relevantné, opatrenia prijaté na splnenie cieľa</w:t>
            </w:r>
            <w:r>
              <w:rPr>
                <w:rFonts w:ascii="Times New Roman" w:hAnsi="Times New Roman"/>
                <w:sz w:val="24"/>
              </w:rPr>
              <w:t xml:space="preserve"> v </w:t>
            </w:r>
            <w:r w:rsidR="00600593" w:rsidRPr="00A3389E">
              <w:rPr>
                <w:rFonts w:ascii="Times New Roman" w:hAnsi="Times New Roman"/>
                <w:sz w:val="24"/>
              </w:rPr>
              <w:t>rámci určitej lehoty.</w:t>
            </w:r>
          </w:p>
        </w:tc>
      </w:tr>
      <w:tr w:rsidR="00600593" w:rsidRPr="00A3389E" w14:paraId="2E4705B5" w14:textId="77777777" w:rsidTr="00803BB4">
        <w:trPr>
          <w:trHeight w:val="316"/>
        </w:trPr>
        <w:tc>
          <w:tcPr>
            <w:tcW w:w="1384" w:type="dxa"/>
          </w:tcPr>
          <w:p w14:paraId="7B5B1D5C"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t>d)</w:t>
            </w:r>
          </w:p>
        </w:tc>
        <w:tc>
          <w:tcPr>
            <w:tcW w:w="7655" w:type="dxa"/>
          </w:tcPr>
          <w:p w14:paraId="71824968" w14:textId="32C48CD9" w:rsidR="00600593" w:rsidRPr="00A3389E"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Inštitúcie zverejňujú, či zriadili samostatný výbor pre riziká</w:t>
            </w:r>
            <w:r w:rsidR="00A3389E">
              <w:rPr>
                <w:rFonts w:ascii="Times New Roman" w:hAnsi="Times New Roman" w:cs="Times New Roman"/>
                <w:sz w:val="24"/>
              </w:rPr>
              <w:t xml:space="preserve"> a </w:t>
            </w:r>
            <w:r w:rsidRPr="00A3389E">
              <w:rPr>
                <w:rFonts w:ascii="Times New Roman" w:hAnsi="Times New Roman" w:cs="Times New Roman"/>
                <w:sz w:val="24"/>
              </w:rPr>
              <w:t>koľkokrát sa výbor pre riziká zišiel</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435 ods. 2 písm. d) CRR.</w:t>
            </w:r>
          </w:p>
        </w:tc>
      </w:tr>
      <w:tr w:rsidR="00600593" w:rsidRPr="00A3389E" w14:paraId="1DF712FB" w14:textId="77777777" w:rsidTr="00803BB4">
        <w:trPr>
          <w:trHeight w:val="316"/>
        </w:trPr>
        <w:tc>
          <w:tcPr>
            <w:tcW w:w="1384" w:type="dxa"/>
          </w:tcPr>
          <w:p w14:paraId="75B2AC05" w14:textId="77777777" w:rsidR="00600593" w:rsidRPr="00A3389E" w:rsidRDefault="00600593" w:rsidP="00803BB4">
            <w:pPr>
              <w:autoSpaceDE w:val="0"/>
              <w:autoSpaceDN w:val="0"/>
              <w:adjustRightInd w:val="0"/>
              <w:rPr>
                <w:rFonts w:ascii="Times New Roman" w:eastAsia="Times New Roman" w:hAnsi="Times New Roman" w:cs="Times New Roman"/>
                <w:sz w:val="24"/>
              </w:rPr>
            </w:pPr>
            <w:r w:rsidRPr="00A3389E">
              <w:rPr>
                <w:rFonts w:ascii="Times New Roman" w:hAnsi="Times New Roman" w:cs="Times New Roman"/>
                <w:sz w:val="24"/>
              </w:rPr>
              <w:lastRenderedPageBreak/>
              <w:t>e)</w:t>
            </w:r>
          </w:p>
        </w:tc>
        <w:tc>
          <w:tcPr>
            <w:tcW w:w="7655" w:type="dxa"/>
          </w:tcPr>
          <w:p w14:paraId="627E2FA7" w14:textId="650641AD" w:rsidR="00600593" w:rsidRPr="00A3389E"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V rámci údajov</w:t>
            </w:r>
            <w:r w:rsidR="00A3389E">
              <w:rPr>
                <w:rFonts w:ascii="Times New Roman" w:hAnsi="Times New Roman" w:cs="Times New Roman"/>
                <w:sz w:val="24"/>
              </w:rPr>
              <w:t xml:space="preserve"> o </w:t>
            </w:r>
            <w:r w:rsidRPr="00A3389E">
              <w:rPr>
                <w:rFonts w:ascii="Times New Roman" w:hAnsi="Times New Roman" w:cs="Times New Roman"/>
                <w:sz w:val="24"/>
              </w:rPr>
              <w:t>toku informácií týkajúcich sa rizika pre riadiaci orgán pri uplatňovaní článku 435 ods. 2 písm. e) CRR inštitúcie opíšu postup zverejňovania rizika poskytovaného riadiacemu orgánu, najmä frekvenciu, rozsah</w:t>
            </w:r>
            <w:r w:rsidR="00A3389E">
              <w:rPr>
                <w:rFonts w:ascii="Times New Roman" w:hAnsi="Times New Roman" w:cs="Times New Roman"/>
                <w:sz w:val="24"/>
              </w:rPr>
              <w:t xml:space="preserve"> a </w:t>
            </w:r>
            <w:r w:rsidRPr="00A3389E">
              <w:rPr>
                <w:rFonts w:ascii="Times New Roman" w:hAnsi="Times New Roman" w:cs="Times New Roman"/>
                <w:sz w:val="24"/>
              </w:rPr>
              <w:t>hlavný obsah expozícií voči riziku</w:t>
            </w:r>
            <w:r w:rsidR="00A3389E">
              <w:rPr>
                <w:rFonts w:ascii="Times New Roman" w:hAnsi="Times New Roman" w:cs="Times New Roman"/>
                <w:sz w:val="24"/>
              </w:rPr>
              <w:t xml:space="preserve"> a </w:t>
            </w:r>
            <w:r w:rsidRPr="00A3389E">
              <w:rPr>
                <w:rFonts w:ascii="Times New Roman" w:hAnsi="Times New Roman" w:cs="Times New Roman"/>
                <w:sz w:val="24"/>
              </w:rPr>
              <w:t xml:space="preserve">ako bol riadiaci orgán zapojený do vymedzenia obsahu, ktorý sa má zverejňovať. </w:t>
            </w:r>
          </w:p>
        </w:tc>
      </w:tr>
    </w:tbl>
    <w:p w14:paraId="2A9FDD95" w14:textId="77777777" w:rsidR="00600593" w:rsidRPr="00A3389E" w:rsidRDefault="00600593" w:rsidP="00600593">
      <w:pPr>
        <w:rPr>
          <w:rFonts w:ascii="Times New Roman" w:hAnsi="Times New Roman" w:cs="Times New Roman"/>
          <w:sz w:val="24"/>
        </w:rPr>
      </w:pPr>
    </w:p>
    <w:p w14:paraId="52047206" w14:textId="77777777" w:rsidR="00600593" w:rsidRPr="00A3389E" w:rsidRDefault="00600593" w:rsidP="00600593">
      <w:pPr>
        <w:rPr>
          <w:rFonts w:ascii="Times New Roman" w:hAnsi="Times New Roman" w:cs="Times New Roman"/>
          <w:sz w:val="24"/>
        </w:rPr>
      </w:pPr>
    </w:p>
    <w:p w14:paraId="3FC28B5F" w14:textId="061C5D55" w:rsidR="00D15B1C" w:rsidRPr="00A3389E" w:rsidRDefault="00D15B1C" w:rsidP="00E258D8">
      <w:pPr>
        <w:tabs>
          <w:tab w:val="left" w:pos="1430"/>
        </w:tabs>
        <w:rPr>
          <w:rFonts w:ascii="Times New Roman" w:hAnsi="Times New Roman" w:cs="Times New Roman"/>
          <w:b/>
          <w:sz w:val="24"/>
        </w:rPr>
      </w:pPr>
    </w:p>
    <w:p w14:paraId="0D652D3B" w14:textId="77777777" w:rsidR="007A7DC0" w:rsidRPr="00A3389E" w:rsidRDefault="007A7DC0">
      <w:pPr>
        <w:rPr>
          <w:rFonts w:ascii="Times New Roman" w:hAnsi="Times New Roman" w:cs="Times New Roman"/>
          <w:b/>
          <w:sz w:val="24"/>
        </w:rPr>
        <w:sectPr w:rsidR="007A7DC0" w:rsidRPr="00A3389E" w:rsidSect="00155C96">
          <w:pgSz w:w="11900" w:h="16840"/>
          <w:pgMar w:top="2268" w:right="1418" w:bottom="1134" w:left="1701" w:header="709" w:footer="709" w:gutter="0"/>
          <w:pgNumType w:start="1" w:chapStyle="1"/>
          <w:cols w:space="708"/>
          <w:docGrid w:linePitch="299"/>
        </w:sectPr>
      </w:pPr>
    </w:p>
    <w:p w14:paraId="08DA08DB" w14:textId="77777777" w:rsidR="007B082B" w:rsidRPr="00A3389E" w:rsidRDefault="007B082B" w:rsidP="00E258D8">
      <w:pPr>
        <w:tabs>
          <w:tab w:val="left" w:pos="1430"/>
        </w:tabs>
        <w:rPr>
          <w:rFonts w:ascii="Times New Roman" w:hAnsi="Times New Roman" w:cs="Times New Roman"/>
          <w:b/>
          <w:sz w:val="24"/>
        </w:rPr>
      </w:pPr>
    </w:p>
    <w:p w14:paraId="0957C929" w14:textId="2BE81FA8" w:rsidR="007B082B" w:rsidRPr="00A3389E" w:rsidRDefault="007B082B" w:rsidP="007B082B">
      <w:pPr>
        <w:pStyle w:val="Annexetitre"/>
      </w:pPr>
      <w:r w:rsidRPr="00A3389E">
        <w:t>PRÍLOHA VI – Pokyny na zverejňovanie informácií</w:t>
      </w:r>
      <w:r w:rsidR="00A3389E">
        <w:t xml:space="preserve"> o </w:t>
      </w:r>
      <w:r w:rsidRPr="00A3389E">
        <w:t>rozsahu uplatňovania regulačného rámca</w:t>
      </w:r>
    </w:p>
    <w:p w14:paraId="07CCE7F0" w14:textId="77777777" w:rsidR="007B082B" w:rsidRPr="00A3389E" w:rsidRDefault="007B082B" w:rsidP="007B082B">
      <w:pPr>
        <w:rPr>
          <w:rFonts w:ascii="Times New Roman" w:hAnsi="Times New Roman" w:cs="Times New Roman"/>
          <w:b/>
          <w:sz w:val="24"/>
        </w:rPr>
      </w:pPr>
    </w:p>
    <w:p w14:paraId="5AEAA4F3" w14:textId="41AAF495" w:rsidR="007B082B" w:rsidRPr="00A3389E" w:rsidRDefault="007B082B" w:rsidP="007B082B">
      <w:pPr>
        <w:rPr>
          <w:rFonts w:ascii="Times New Roman" w:hAnsi="Times New Roman" w:cs="Times New Roman"/>
          <w:b/>
          <w:sz w:val="24"/>
        </w:rPr>
      </w:pPr>
      <w:r w:rsidRPr="00A3389E">
        <w:rPr>
          <w:rFonts w:ascii="Times New Roman" w:hAnsi="Times New Roman" w:cs="Times New Roman"/>
          <w:b/>
          <w:sz w:val="24"/>
        </w:rPr>
        <w:t>Vzor EU LI1 – Rozdiely medzi účtovným</w:t>
      </w:r>
      <w:r w:rsidR="00A3389E">
        <w:rPr>
          <w:rFonts w:ascii="Times New Roman" w:hAnsi="Times New Roman" w:cs="Times New Roman"/>
          <w:b/>
          <w:sz w:val="24"/>
        </w:rPr>
        <w:t xml:space="preserve"> a </w:t>
      </w:r>
      <w:r w:rsidRPr="00A3389E">
        <w:rPr>
          <w:rFonts w:ascii="Times New Roman" w:hAnsi="Times New Roman" w:cs="Times New Roman"/>
          <w:b/>
          <w:sz w:val="24"/>
        </w:rPr>
        <w:t>prudenciálnym rozsahom konsolidácie</w:t>
      </w:r>
      <w:r w:rsidR="00A3389E">
        <w:rPr>
          <w:rFonts w:ascii="Times New Roman" w:hAnsi="Times New Roman" w:cs="Times New Roman"/>
          <w:b/>
          <w:sz w:val="24"/>
        </w:rPr>
        <w:t xml:space="preserve"> a </w:t>
      </w:r>
      <w:r w:rsidRPr="00A3389E">
        <w:rPr>
          <w:rFonts w:ascii="Times New Roman" w:hAnsi="Times New Roman" w:cs="Times New Roman"/>
          <w:b/>
          <w:sz w:val="24"/>
        </w:rPr>
        <w:t>mapovanie kategórií účtovných závierok</w:t>
      </w:r>
      <w:r w:rsidR="00A3389E">
        <w:rPr>
          <w:rFonts w:ascii="Times New Roman" w:hAnsi="Times New Roman" w:cs="Times New Roman"/>
          <w:b/>
          <w:sz w:val="24"/>
        </w:rPr>
        <w:t xml:space="preserve"> k </w:t>
      </w:r>
      <w:r w:rsidRPr="00A3389E">
        <w:rPr>
          <w:rFonts w:ascii="Times New Roman" w:hAnsi="Times New Roman" w:cs="Times New Roman"/>
          <w:b/>
          <w:sz w:val="24"/>
        </w:rPr>
        <w:t>regulačným kategóriám rizika.</w:t>
      </w:r>
      <w:r w:rsidRPr="00A3389E">
        <w:rPr>
          <w:rFonts w:ascii="Times New Roman" w:hAnsi="Times New Roman" w:cs="Times New Roman"/>
          <w:sz w:val="24"/>
        </w:rPr>
        <w:t xml:space="preserve"> Flexibilný formát.</w:t>
      </w:r>
    </w:p>
    <w:p w14:paraId="76C6D20B" w14:textId="77777777" w:rsidR="007B082B" w:rsidRPr="00A3389E" w:rsidRDefault="007B082B" w:rsidP="007B082B">
      <w:pPr>
        <w:rPr>
          <w:rFonts w:ascii="Times New Roman" w:hAnsi="Times New Roman" w:cs="Times New Roman"/>
          <w:b/>
          <w:sz w:val="24"/>
        </w:rPr>
      </w:pPr>
    </w:p>
    <w:p w14:paraId="4474F30C" w14:textId="504A56F1" w:rsidR="007B082B" w:rsidRPr="00A3389E" w:rsidRDefault="00A3389E" w:rsidP="00A3389E">
      <w:pPr>
        <w:spacing w:before="120" w:after="120"/>
        <w:ind w:left="425" w:hanging="357"/>
        <w:jc w:val="both"/>
        <w:rPr>
          <w:rFonts w:ascii="Times New Roman" w:hAnsi="Times New Roman"/>
          <w:sz w:val="24"/>
        </w:rPr>
      </w:pPr>
      <w:r w:rsidRPr="00A3389E">
        <w:rPr>
          <w:rFonts w:ascii="Times New Roman" w:eastAsia="Calibri" w:hAnsi="Times New Roman" w:cs="Times New Roman"/>
          <w:sz w:val="24"/>
          <w:szCs w:val="22"/>
        </w:rPr>
        <w:t>1.</w:t>
      </w:r>
      <w:r w:rsidRPr="00A3389E">
        <w:rPr>
          <w:rFonts w:ascii="Times New Roman" w:eastAsia="Calibri" w:hAnsi="Times New Roman" w:cs="Times New Roman"/>
          <w:sz w:val="24"/>
          <w:szCs w:val="22"/>
        </w:rPr>
        <w:tab/>
      </w:r>
      <w:r w:rsidR="007B082B" w:rsidRPr="00A3389E">
        <w:rPr>
          <w:rFonts w:ascii="Times New Roman" w:hAnsi="Times New Roman"/>
          <w:sz w:val="24"/>
        </w:rPr>
        <w:t>Inštitúcie zverejňujú informácie uvedené</w:t>
      </w:r>
      <w:r>
        <w:rPr>
          <w:rFonts w:ascii="Times New Roman" w:hAnsi="Times New Roman"/>
          <w:sz w:val="24"/>
        </w:rPr>
        <w:t xml:space="preserve"> v </w:t>
      </w:r>
      <w:r w:rsidR="007B082B" w:rsidRPr="00A3389E">
        <w:rPr>
          <w:rFonts w:ascii="Times New Roman" w:hAnsi="Times New Roman"/>
          <w:sz w:val="24"/>
        </w:rPr>
        <w:t xml:space="preserve">článku 436 písm. c) nariadenia (EÚ) </w:t>
      </w:r>
      <w:r>
        <w:rPr>
          <w:rFonts w:ascii="Times New Roman" w:hAnsi="Times New Roman"/>
          <w:sz w:val="24"/>
        </w:rPr>
        <w:t>č. </w:t>
      </w:r>
      <w:r w:rsidR="007B082B" w:rsidRPr="00A3389E">
        <w:rPr>
          <w:rFonts w:ascii="Times New Roman" w:hAnsi="Times New Roman"/>
          <w:sz w:val="24"/>
        </w:rPr>
        <w:t>575/2013</w:t>
      </w:r>
      <w:r w:rsidR="007B082B" w:rsidRPr="00A3389E">
        <w:rPr>
          <w:rStyle w:val="FootnoteReference"/>
          <w:rFonts w:ascii="Times New Roman" w:hAnsi="Times New Roman" w:cs="Times New Roman"/>
        </w:rPr>
        <w:footnoteReference w:id="8"/>
      </w:r>
      <w:r w:rsidR="007B082B" w:rsidRPr="00A3389E">
        <w:rPr>
          <w:rFonts w:ascii="Times New Roman" w:hAnsi="Times New Roman"/>
          <w:sz w:val="24"/>
        </w:rPr>
        <w:t xml:space="preserve"> („CRR“) podľa pokynov uvedených nižšie</w:t>
      </w:r>
      <w:r>
        <w:rPr>
          <w:rFonts w:ascii="Times New Roman" w:hAnsi="Times New Roman"/>
          <w:sz w:val="24"/>
        </w:rPr>
        <w:t xml:space="preserve"> v </w:t>
      </w:r>
      <w:r w:rsidR="007B082B" w:rsidRPr="00A3389E">
        <w:rPr>
          <w:rFonts w:ascii="Times New Roman" w:hAnsi="Times New Roman"/>
          <w:sz w:val="24"/>
        </w:rPr>
        <w:t>tejto prílohe</w:t>
      </w:r>
      <w:r>
        <w:rPr>
          <w:rFonts w:ascii="Times New Roman" w:hAnsi="Times New Roman"/>
          <w:sz w:val="24"/>
        </w:rPr>
        <w:t xml:space="preserve"> s </w:t>
      </w:r>
      <w:r w:rsidR="007B082B" w:rsidRPr="00A3389E">
        <w:rPr>
          <w:rFonts w:ascii="Times New Roman" w:hAnsi="Times New Roman"/>
          <w:sz w:val="24"/>
        </w:rPr>
        <w:t>cieľom vyplniť vzor EU LI1, ktorý je uvedený</w:t>
      </w:r>
      <w:r>
        <w:rPr>
          <w:rFonts w:ascii="Times New Roman" w:hAnsi="Times New Roman"/>
          <w:sz w:val="24"/>
        </w:rPr>
        <w:t xml:space="preserve"> v </w:t>
      </w:r>
      <w:r w:rsidR="007B082B" w:rsidRPr="00A3389E">
        <w:rPr>
          <w:rFonts w:ascii="Times New Roman" w:hAnsi="Times New Roman"/>
          <w:sz w:val="24"/>
        </w:rPr>
        <w:t>prílohe</w:t>
      </w:r>
      <w:r>
        <w:rPr>
          <w:rFonts w:ascii="Times New Roman" w:hAnsi="Times New Roman"/>
          <w:sz w:val="24"/>
        </w:rPr>
        <w:t xml:space="preserve"> V k </w:t>
      </w:r>
      <w:r w:rsidR="007B082B" w:rsidRPr="00A3389E">
        <w:rPr>
          <w:rFonts w:ascii="Times New Roman" w:hAnsi="Times New Roman"/>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A3389E"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00ABCCC7" w:rsidR="007B082B" w:rsidRPr="00A3389E" w:rsidRDefault="007B082B" w:rsidP="00803BB4">
            <w:pPr>
              <w:pStyle w:val="TableTitle"/>
              <w:spacing w:before="0" w:after="0"/>
              <w:jc w:val="left"/>
              <w:rPr>
                <w:rFonts w:ascii="Times New Roman" w:hAnsi="Times New Roman"/>
                <w:noProof w:val="0"/>
                <w:sz w:val="24"/>
                <w:szCs w:val="24"/>
              </w:rPr>
            </w:pPr>
            <w:r w:rsidRPr="00A3389E">
              <w:rPr>
                <w:rFonts w:ascii="Times New Roman" w:hAnsi="Times New Roman"/>
                <w:noProof w:val="0"/>
                <w:sz w:val="24"/>
                <w:szCs w:val="24"/>
              </w:rPr>
              <w:t>Odkazy na právne predpisy</w:t>
            </w:r>
            <w:r w:rsidR="00A3389E">
              <w:rPr>
                <w:rFonts w:ascii="Times New Roman" w:hAnsi="Times New Roman"/>
                <w:noProof w:val="0"/>
                <w:sz w:val="24"/>
                <w:szCs w:val="24"/>
              </w:rPr>
              <w:t xml:space="preserve"> a </w:t>
            </w:r>
            <w:r w:rsidRPr="00A3389E">
              <w:rPr>
                <w:rFonts w:ascii="Times New Roman" w:hAnsi="Times New Roman"/>
                <w:noProof w:val="0"/>
                <w:sz w:val="24"/>
                <w:szCs w:val="24"/>
              </w:rPr>
              <w:t>pokyny</w:t>
            </w:r>
          </w:p>
        </w:tc>
      </w:tr>
      <w:tr w:rsidR="007B082B" w:rsidRPr="00A3389E"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A3389E" w:rsidRDefault="007B082B" w:rsidP="00803BB4">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tcBorders>
              <w:bottom w:val="single" w:sz="4" w:space="0" w:color="auto"/>
            </w:tcBorders>
            <w:shd w:val="clear" w:color="auto" w:fill="D9D9D9" w:themeFill="background1" w:themeFillShade="D9"/>
          </w:tcPr>
          <w:p w14:paraId="777D35A2" w14:textId="77777777" w:rsidR="007B082B" w:rsidRPr="00A3389E" w:rsidRDefault="007B082B"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7B082B" w:rsidRPr="00A3389E"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A3389E" w:rsidRDefault="007B082B" w:rsidP="00803BB4">
            <w:pPr>
              <w:spacing w:before="60" w:after="120"/>
              <w:rPr>
                <w:rFonts w:ascii="Times New Roman" w:hAnsi="Times New Roman" w:cs="Times New Roman"/>
                <w:sz w:val="24"/>
              </w:rPr>
            </w:pPr>
            <w:r w:rsidRPr="00A3389E">
              <w:rPr>
                <w:rFonts w:ascii="Times New Roman" w:hAnsi="Times New Roman" w:cs="Times New Roman"/>
                <w:sz w:val="24"/>
              </w:rPr>
              <w:t>1 až XXX</w:t>
            </w:r>
          </w:p>
        </w:tc>
        <w:tc>
          <w:tcPr>
            <w:tcW w:w="7655" w:type="dxa"/>
            <w:tcBorders>
              <w:top w:val="single" w:sz="4" w:space="0" w:color="auto"/>
              <w:bottom w:val="single" w:sz="4" w:space="0" w:color="auto"/>
            </w:tcBorders>
            <w:shd w:val="clear" w:color="auto" w:fill="FFFFFF" w:themeFill="background1"/>
            <w:vAlign w:val="center"/>
          </w:tcPr>
          <w:p w14:paraId="0D2C96C4" w14:textId="77777777" w:rsidR="00A3389E" w:rsidRPr="00A3389E" w:rsidRDefault="007B082B" w:rsidP="00803BB4">
            <w:pPr>
              <w:spacing w:before="60" w:after="120"/>
              <w:jc w:val="both"/>
              <w:rPr>
                <w:rFonts w:ascii="Times New Roman" w:hAnsi="Times New Roman" w:cs="Times New Roman"/>
                <w:b/>
                <w:sz w:val="24"/>
              </w:rPr>
            </w:pPr>
            <w:r w:rsidRPr="00A3389E">
              <w:rPr>
                <w:rFonts w:ascii="Times New Roman" w:hAnsi="Times New Roman" w:cs="Times New Roman"/>
                <w:b/>
                <w:sz w:val="24"/>
              </w:rPr>
              <w:t>Aktíva spolu</w:t>
            </w:r>
          </w:p>
          <w:p w14:paraId="0B0960D6" w14:textId="15DCDAA0" w:rsidR="00A3389E" w:rsidRPr="00A3389E" w:rsidRDefault="007B082B" w:rsidP="00803BB4">
            <w:pPr>
              <w:spacing w:before="60" w:after="120"/>
              <w:jc w:val="both"/>
              <w:rPr>
                <w:rFonts w:ascii="Times New Roman" w:hAnsi="Times New Roman" w:cs="Times New Roman"/>
                <w:sz w:val="24"/>
              </w:rPr>
            </w:pPr>
            <w:r w:rsidRPr="00A3389E">
              <w:rPr>
                <w:rFonts w:ascii="Times New Roman" w:hAnsi="Times New Roman" w:cs="Times New Roman"/>
                <w:sz w:val="24"/>
              </w:rPr>
              <w:t>Štruktúra riadkov musí byť rovnaká ako štruktúra riadkov súvahy použitej</w:t>
            </w:r>
            <w:r w:rsidR="00A3389E">
              <w:rPr>
                <w:rFonts w:ascii="Times New Roman" w:hAnsi="Times New Roman" w:cs="Times New Roman"/>
                <w:sz w:val="24"/>
              </w:rPr>
              <w:t xml:space="preserve"> v </w:t>
            </w:r>
            <w:r w:rsidRPr="00A3389E">
              <w:rPr>
                <w:rFonts w:ascii="Times New Roman" w:hAnsi="Times New Roman" w:cs="Times New Roman"/>
                <w:sz w:val="24"/>
              </w:rPr>
              <w:t>poslednom dostupnom finančnom výkazníctve inštitúcie</w:t>
            </w:r>
            <w:r w:rsidR="00A3389E" w:rsidRPr="00A3389E">
              <w:rPr>
                <w:rFonts w:ascii="Times New Roman" w:hAnsi="Times New Roman" w:cs="Times New Roman"/>
                <w:sz w:val="24"/>
              </w:rPr>
              <w:t>.</w:t>
            </w:r>
          </w:p>
          <w:p w14:paraId="174308D5" w14:textId="5503BF2A" w:rsidR="007B082B" w:rsidRPr="00A3389E" w:rsidRDefault="007B082B" w:rsidP="00803BB4">
            <w:pPr>
              <w:spacing w:after="120"/>
              <w:jc w:val="both"/>
              <w:rPr>
                <w:rFonts w:ascii="Times New Roman" w:eastAsia="Times New Roman" w:hAnsi="Times New Roman" w:cs="Times New Roman"/>
                <w:sz w:val="24"/>
              </w:rPr>
            </w:pPr>
            <w:r w:rsidRPr="00A3389E">
              <w:rPr>
                <w:rFonts w:ascii="Times New Roman" w:hAnsi="Times New Roman" w:cs="Times New Roman"/>
                <w:sz w:val="24"/>
              </w:rPr>
              <w:t>„Finančné výkazníctvo“ sa vzťahuje na ročnú individuálnu alebo konsolidovanú účtovnú závierku</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článkoch 4</w:t>
            </w:r>
            <w:r w:rsidR="00A3389E">
              <w:rPr>
                <w:rFonts w:ascii="Times New Roman" w:hAnsi="Times New Roman" w:cs="Times New Roman"/>
                <w:sz w:val="24"/>
              </w:rPr>
              <w:t xml:space="preserve"> a </w:t>
            </w:r>
            <w:r w:rsidRPr="00A3389E">
              <w:rPr>
                <w:rFonts w:ascii="Times New Roman" w:hAnsi="Times New Roman" w:cs="Times New Roman"/>
                <w:sz w:val="24"/>
              </w:rPr>
              <w:t>24 smernice 2013/34/EÚ</w:t>
            </w:r>
            <w:r w:rsidRPr="00A3389E">
              <w:rPr>
                <w:rStyle w:val="FootnoteReference"/>
                <w:rFonts w:ascii="Times New Roman" w:eastAsia="Times New Roman" w:hAnsi="Times New Roman" w:cs="Times New Roman"/>
              </w:rPr>
              <w:footnoteReference w:id="9"/>
            </w:r>
            <w:r w:rsidRPr="00A3389E">
              <w:rPr>
                <w:rFonts w:ascii="Times New Roman" w:hAnsi="Times New Roman" w:cs="Times New Roman"/>
                <w:sz w:val="24"/>
              </w:rPr>
              <w:t>, ako aj (ak je to vhodné) na účtovnú závierku</w:t>
            </w:r>
            <w:r w:rsidR="00A3389E">
              <w:rPr>
                <w:rFonts w:ascii="Times New Roman" w:hAnsi="Times New Roman" w:cs="Times New Roman"/>
                <w:sz w:val="24"/>
              </w:rPr>
              <w:t xml:space="preserve"> v </w:t>
            </w:r>
            <w:r w:rsidRPr="00A3389E">
              <w:rPr>
                <w:rFonts w:ascii="Times New Roman" w:hAnsi="Times New Roman" w:cs="Times New Roman"/>
                <w:sz w:val="24"/>
              </w:rPr>
              <w:t>zmysle medzinárodných účtovných štandardov schválených</w:t>
            </w:r>
            <w:r w:rsidR="00A3389E">
              <w:rPr>
                <w:rFonts w:ascii="Times New Roman" w:hAnsi="Times New Roman" w:cs="Times New Roman"/>
                <w:sz w:val="24"/>
              </w:rPr>
              <w:t xml:space="preserve"> v </w:t>
            </w:r>
            <w:r w:rsidRPr="00A3389E">
              <w:rPr>
                <w:rFonts w:ascii="Times New Roman" w:hAnsi="Times New Roman" w:cs="Times New Roman"/>
                <w:sz w:val="24"/>
              </w:rPr>
              <w:t xml:space="preserve">EÚ pri uplatňovaní nariadenia (ES) </w:t>
            </w:r>
            <w:r w:rsidR="00A3389E">
              <w:rPr>
                <w:rFonts w:ascii="Times New Roman" w:hAnsi="Times New Roman" w:cs="Times New Roman"/>
                <w:sz w:val="24"/>
              </w:rPr>
              <w:t>č. </w:t>
            </w:r>
            <w:r w:rsidRPr="00A3389E">
              <w:rPr>
                <w:rFonts w:ascii="Times New Roman" w:hAnsi="Times New Roman" w:cs="Times New Roman"/>
                <w:sz w:val="24"/>
              </w:rPr>
              <w:t>1606/2002</w:t>
            </w:r>
            <w:r w:rsidRPr="00A3389E">
              <w:rPr>
                <w:rStyle w:val="FootnoteReference"/>
                <w:rFonts w:ascii="Times New Roman" w:eastAsia="Times New Roman" w:hAnsi="Times New Roman" w:cs="Times New Roman"/>
              </w:rPr>
              <w:footnoteReference w:id="10"/>
            </w:r>
            <w:r w:rsidRPr="00A3389E">
              <w:rPr>
                <w:rFonts w:ascii="Times New Roman" w:hAnsi="Times New Roman" w:cs="Times New Roman"/>
                <w:sz w:val="24"/>
              </w:rPr>
              <w:t>.</w:t>
            </w:r>
          </w:p>
        </w:tc>
      </w:tr>
      <w:tr w:rsidR="007B082B" w:rsidRPr="00A3389E"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A3389E" w:rsidRDefault="007B082B" w:rsidP="00803BB4">
            <w:pPr>
              <w:spacing w:before="60" w:after="120"/>
              <w:rPr>
                <w:rFonts w:ascii="Times New Roman" w:hAnsi="Times New Roman" w:cs="Times New Roman"/>
                <w:sz w:val="24"/>
              </w:rPr>
            </w:pPr>
            <w:r w:rsidRPr="00A3389E">
              <w:rPr>
                <w:rFonts w:ascii="Times New Roman" w:hAnsi="Times New Roman" w:cs="Times New Roman"/>
                <w:sz w:val="24"/>
              </w:rPr>
              <w:t>1 až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Záväzky spolu</w:t>
            </w:r>
          </w:p>
          <w:p w14:paraId="54045BD6" w14:textId="3A3D8144" w:rsidR="00A3389E" w:rsidRPr="00A3389E" w:rsidRDefault="007B082B" w:rsidP="00803BB4">
            <w:pPr>
              <w:spacing w:before="60" w:after="120"/>
              <w:jc w:val="both"/>
              <w:rPr>
                <w:rFonts w:ascii="Times New Roman" w:hAnsi="Times New Roman" w:cs="Times New Roman"/>
                <w:sz w:val="24"/>
              </w:rPr>
            </w:pPr>
            <w:r w:rsidRPr="00A3389E">
              <w:rPr>
                <w:rFonts w:ascii="Times New Roman" w:hAnsi="Times New Roman" w:cs="Times New Roman"/>
                <w:sz w:val="24"/>
              </w:rPr>
              <w:t>Štruktúra riadkov musí byť rovnaká ako štruktúra riadkov súvahy použitej</w:t>
            </w:r>
            <w:r w:rsidR="00A3389E">
              <w:rPr>
                <w:rFonts w:ascii="Times New Roman" w:hAnsi="Times New Roman" w:cs="Times New Roman"/>
                <w:sz w:val="24"/>
              </w:rPr>
              <w:t xml:space="preserve"> v </w:t>
            </w:r>
            <w:r w:rsidRPr="00A3389E">
              <w:rPr>
                <w:rFonts w:ascii="Times New Roman" w:hAnsi="Times New Roman" w:cs="Times New Roman"/>
                <w:sz w:val="24"/>
              </w:rPr>
              <w:t>poslednom dostupnom finančnom výkazníctve inštitúcie</w:t>
            </w:r>
            <w:r w:rsidR="00A3389E" w:rsidRPr="00A3389E">
              <w:rPr>
                <w:rFonts w:ascii="Times New Roman" w:hAnsi="Times New Roman" w:cs="Times New Roman"/>
                <w:sz w:val="24"/>
              </w:rPr>
              <w:t>.</w:t>
            </w:r>
          </w:p>
          <w:p w14:paraId="7532D864" w14:textId="4FDB3D35" w:rsidR="007B082B" w:rsidRPr="00A3389E" w:rsidRDefault="007B082B" w:rsidP="00803BB4">
            <w:pPr>
              <w:spacing w:after="120"/>
              <w:jc w:val="both"/>
              <w:rPr>
                <w:rFonts w:ascii="Times New Roman" w:eastAsia="Times New Roman" w:hAnsi="Times New Roman" w:cs="Times New Roman"/>
                <w:sz w:val="24"/>
              </w:rPr>
            </w:pPr>
            <w:r w:rsidRPr="00A3389E">
              <w:rPr>
                <w:rFonts w:ascii="Times New Roman" w:hAnsi="Times New Roman" w:cs="Times New Roman"/>
                <w:sz w:val="24"/>
              </w:rPr>
              <w:t>„Finančné výkazníctvo“ sa vzťahuje na ročnú individuálnu alebo konsolidovanú účtovnú závierku</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článkoch 4</w:t>
            </w:r>
            <w:r w:rsidR="00A3389E">
              <w:rPr>
                <w:rFonts w:ascii="Times New Roman" w:hAnsi="Times New Roman" w:cs="Times New Roman"/>
                <w:sz w:val="24"/>
              </w:rPr>
              <w:t xml:space="preserve"> a </w:t>
            </w:r>
            <w:r w:rsidRPr="00A3389E">
              <w:rPr>
                <w:rFonts w:ascii="Times New Roman" w:hAnsi="Times New Roman" w:cs="Times New Roman"/>
                <w:sz w:val="24"/>
              </w:rPr>
              <w:t>24 smernice 2013/34/EÚ, ako aj (ak je to vhodné) na účtovnú závierku</w:t>
            </w:r>
            <w:r w:rsidR="00A3389E">
              <w:rPr>
                <w:rFonts w:ascii="Times New Roman" w:hAnsi="Times New Roman" w:cs="Times New Roman"/>
                <w:sz w:val="24"/>
              </w:rPr>
              <w:t xml:space="preserve"> v </w:t>
            </w:r>
            <w:r w:rsidRPr="00A3389E">
              <w:rPr>
                <w:rFonts w:ascii="Times New Roman" w:hAnsi="Times New Roman" w:cs="Times New Roman"/>
                <w:sz w:val="24"/>
              </w:rPr>
              <w:t>zmysle medzinárodných účtovných štandardov schválených</w:t>
            </w:r>
            <w:r w:rsidR="00A3389E">
              <w:rPr>
                <w:rFonts w:ascii="Times New Roman" w:hAnsi="Times New Roman" w:cs="Times New Roman"/>
                <w:sz w:val="24"/>
              </w:rPr>
              <w:t xml:space="preserve"> v </w:t>
            </w:r>
            <w:r w:rsidRPr="00A3389E">
              <w:rPr>
                <w:rFonts w:ascii="Times New Roman" w:hAnsi="Times New Roman" w:cs="Times New Roman"/>
                <w:sz w:val="24"/>
              </w:rPr>
              <w:t xml:space="preserve">EÚ pri uplatňovaní nariadenia (ES) </w:t>
            </w:r>
            <w:r w:rsidR="00A3389E">
              <w:rPr>
                <w:rFonts w:ascii="Times New Roman" w:hAnsi="Times New Roman" w:cs="Times New Roman"/>
                <w:sz w:val="24"/>
              </w:rPr>
              <w:t>č. </w:t>
            </w:r>
            <w:r w:rsidRPr="00A3389E">
              <w:rPr>
                <w:rFonts w:ascii="Times New Roman" w:hAnsi="Times New Roman" w:cs="Times New Roman"/>
                <w:sz w:val="24"/>
              </w:rPr>
              <w:t>1606/2002.</w:t>
            </w:r>
          </w:p>
        </w:tc>
      </w:tr>
    </w:tbl>
    <w:p w14:paraId="4F2BF8C7" w14:textId="77777777" w:rsidR="007B082B" w:rsidRPr="00A3389E" w:rsidRDefault="007B082B" w:rsidP="007B082B">
      <w:pPr>
        <w:rPr>
          <w:rFonts w:ascii="Times New Roman" w:hAnsi="Times New Roman" w:cs="Times New Roman"/>
          <w:sz w:val="24"/>
        </w:rPr>
      </w:pPr>
    </w:p>
    <w:p w14:paraId="64F3C7F4" w14:textId="77777777" w:rsidR="007B082B" w:rsidRPr="00A3389E"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A3389E"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631BED28" w:rsidR="007B082B" w:rsidRPr="00A3389E" w:rsidRDefault="007B082B" w:rsidP="00803BB4">
            <w:pPr>
              <w:pStyle w:val="TableTitle"/>
              <w:spacing w:before="0" w:after="0"/>
              <w:jc w:val="left"/>
              <w:rPr>
                <w:rFonts w:ascii="Times New Roman" w:hAnsi="Times New Roman"/>
                <w:noProof w:val="0"/>
                <w:sz w:val="24"/>
                <w:szCs w:val="24"/>
              </w:rPr>
            </w:pPr>
            <w:r w:rsidRPr="00A3389E">
              <w:rPr>
                <w:rFonts w:ascii="Times New Roman" w:hAnsi="Times New Roman"/>
                <w:noProof w:val="0"/>
                <w:sz w:val="24"/>
                <w:szCs w:val="24"/>
              </w:rPr>
              <w:lastRenderedPageBreak/>
              <w:t>Odkazy na právne predpisy</w:t>
            </w:r>
            <w:r w:rsidR="00A3389E">
              <w:rPr>
                <w:rFonts w:ascii="Times New Roman" w:hAnsi="Times New Roman"/>
                <w:noProof w:val="0"/>
                <w:sz w:val="24"/>
                <w:szCs w:val="24"/>
              </w:rPr>
              <w:t xml:space="preserve"> a </w:t>
            </w:r>
            <w:r w:rsidRPr="00A3389E">
              <w:rPr>
                <w:rFonts w:ascii="Times New Roman" w:hAnsi="Times New Roman"/>
                <w:noProof w:val="0"/>
                <w:sz w:val="24"/>
                <w:szCs w:val="24"/>
              </w:rPr>
              <w:t>pokyny</w:t>
            </w:r>
          </w:p>
        </w:tc>
      </w:tr>
      <w:tr w:rsidR="007B082B" w:rsidRPr="00A3389E"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A3389E" w:rsidRDefault="007B082B" w:rsidP="00803BB4">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Odkaz na stĺpec</w:t>
            </w:r>
          </w:p>
        </w:tc>
        <w:tc>
          <w:tcPr>
            <w:tcW w:w="7655" w:type="dxa"/>
            <w:tcBorders>
              <w:bottom w:val="nil"/>
            </w:tcBorders>
            <w:shd w:val="clear" w:color="auto" w:fill="D9D9D9" w:themeFill="background1" w:themeFillShade="D9"/>
          </w:tcPr>
          <w:p w14:paraId="368C0446" w14:textId="77777777" w:rsidR="007B082B" w:rsidRPr="00A3389E" w:rsidRDefault="007B082B"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7B082B" w:rsidRPr="00A3389E" w14:paraId="73590585" w14:textId="77777777" w:rsidTr="00803BB4">
        <w:trPr>
          <w:trHeight w:val="238"/>
        </w:trPr>
        <w:tc>
          <w:tcPr>
            <w:tcW w:w="1384" w:type="dxa"/>
            <w:shd w:val="clear" w:color="auto" w:fill="FFFFFF" w:themeFill="background1"/>
          </w:tcPr>
          <w:p w14:paraId="19C91772" w14:textId="77777777" w:rsidR="007B082B" w:rsidRPr="00A3389E" w:rsidRDefault="007B082B" w:rsidP="00803BB4">
            <w:pPr>
              <w:autoSpaceDE w:val="0"/>
              <w:autoSpaceDN w:val="0"/>
              <w:adjustRightInd w:val="0"/>
              <w:spacing w:before="60"/>
              <w:jc w:val="center"/>
              <w:rPr>
                <w:rFonts w:ascii="Times New Roman" w:hAnsi="Times New Roman" w:cs="Times New Roman"/>
                <w:b/>
                <w:sz w:val="24"/>
              </w:rPr>
            </w:pPr>
            <w:r w:rsidRPr="00A3389E">
              <w:rPr>
                <w:rFonts w:ascii="Times New Roman" w:hAnsi="Times New Roman" w:cs="Times New Roman"/>
                <w:b/>
                <w:sz w:val="24"/>
              </w:rPr>
              <w:t>a</w:t>
            </w:r>
          </w:p>
        </w:tc>
        <w:tc>
          <w:tcPr>
            <w:tcW w:w="7655" w:type="dxa"/>
            <w:shd w:val="clear" w:color="auto" w:fill="FFFFFF" w:themeFill="background1"/>
          </w:tcPr>
          <w:p w14:paraId="52953546" w14:textId="18F616B6"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Účtovné hodnoty vykazované</w:t>
            </w:r>
            <w:r w:rsidR="00A3389E">
              <w:rPr>
                <w:rFonts w:ascii="Times New Roman" w:hAnsi="Times New Roman" w:cs="Times New Roman"/>
                <w:b/>
                <w:sz w:val="24"/>
              </w:rPr>
              <w:t xml:space="preserve"> v </w:t>
            </w:r>
            <w:r w:rsidRPr="00A3389E">
              <w:rPr>
                <w:rFonts w:ascii="Times New Roman" w:hAnsi="Times New Roman" w:cs="Times New Roman"/>
                <w:b/>
                <w:sz w:val="24"/>
              </w:rPr>
              <w:t>uverejnenej účtovnej závierke</w:t>
            </w:r>
          </w:p>
          <w:p w14:paraId="4129957F" w14:textId="4BF1D4AB" w:rsidR="007B082B" w:rsidRPr="00A3389E" w:rsidRDefault="007B082B" w:rsidP="00803BB4">
            <w:pPr>
              <w:spacing w:before="60" w:after="120"/>
              <w:jc w:val="both"/>
              <w:rPr>
                <w:rFonts w:ascii="Times New Roman" w:hAnsi="Times New Roman" w:cs="Times New Roman"/>
                <w:sz w:val="24"/>
              </w:rPr>
            </w:pPr>
            <w:r w:rsidRPr="00A3389E">
              <w:rPr>
                <w:rFonts w:ascii="Times New Roman" w:hAnsi="Times New Roman" w:cs="Times New Roman"/>
                <w:sz w:val="24"/>
              </w:rPr>
              <w:t>Suma vykazovaná na strane aktív</w:t>
            </w:r>
            <w:r w:rsidR="00A3389E">
              <w:rPr>
                <w:rFonts w:ascii="Times New Roman" w:hAnsi="Times New Roman" w:cs="Times New Roman"/>
                <w:sz w:val="24"/>
              </w:rPr>
              <w:t xml:space="preserve"> a </w:t>
            </w:r>
            <w:r w:rsidRPr="00A3389E">
              <w:rPr>
                <w:rFonts w:ascii="Times New Roman" w:hAnsi="Times New Roman" w:cs="Times New Roman"/>
                <w:sz w:val="24"/>
              </w:rPr>
              <w:t>na strane záväzkov súvahy, ku ktorej sa dospelo na základe požiadaviek konsolidácie uvedených</w:t>
            </w:r>
            <w:r w:rsidR="00A3389E">
              <w:rPr>
                <w:rFonts w:ascii="Times New Roman" w:hAnsi="Times New Roman" w:cs="Times New Roman"/>
                <w:sz w:val="24"/>
              </w:rPr>
              <w:t xml:space="preserve"> v </w:t>
            </w:r>
            <w:r w:rsidRPr="00A3389E">
              <w:rPr>
                <w:rFonts w:ascii="Times New Roman" w:hAnsi="Times New Roman" w:cs="Times New Roman"/>
                <w:sz w:val="24"/>
              </w:rPr>
              <w:t>uplatniteľnom účtovnom rámci vrátane rámcov založených na smernici 2013/34/EÚ</w:t>
            </w:r>
            <w:r w:rsidR="00A3389E">
              <w:rPr>
                <w:rFonts w:ascii="Times New Roman" w:hAnsi="Times New Roman" w:cs="Times New Roman"/>
                <w:sz w:val="24"/>
              </w:rPr>
              <w:t xml:space="preserve"> a </w:t>
            </w:r>
            <w:r w:rsidRPr="00A3389E">
              <w:rPr>
                <w:rFonts w:ascii="Times New Roman" w:hAnsi="Times New Roman" w:cs="Times New Roman"/>
                <w:sz w:val="24"/>
              </w:rPr>
              <w:t>smernici 86/635/EHS</w:t>
            </w:r>
            <w:r w:rsidRPr="00A3389E">
              <w:rPr>
                <w:rStyle w:val="FootnoteReference"/>
                <w:rFonts w:ascii="Times New Roman" w:eastAsia="Times New Roman" w:hAnsi="Times New Roman" w:cs="Times New Roman"/>
              </w:rPr>
              <w:footnoteReference w:id="11"/>
            </w:r>
            <w:r w:rsidRPr="00A3389E">
              <w:rPr>
                <w:rFonts w:ascii="Times New Roman" w:hAnsi="Times New Roman" w:cs="Times New Roman"/>
                <w:sz w:val="24"/>
              </w:rPr>
              <w:t xml:space="preserve"> alebo</w:t>
            </w:r>
            <w:r w:rsidR="00A3389E">
              <w:rPr>
                <w:rFonts w:ascii="Times New Roman" w:hAnsi="Times New Roman" w:cs="Times New Roman"/>
                <w:sz w:val="24"/>
              </w:rPr>
              <w:t xml:space="preserve"> v </w:t>
            </w:r>
            <w:r w:rsidRPr="00A3389E">
              <w:rPr>
                <w:rFonts w:ascii="Times New Roman" w:hAnsi="Times New Roman" w:cs="Times New Roman"/>
                <w:sz w:val="24"/>
              </w:rPr>
              <w:t>medzinárodných účtovných štandardoch schválených</w:t>
            </w:r>
            <w:r w:rsidR="00A3389E">
              <w:rPr>
                <w:rFonts w:ascii="Times New Roman" w:hAnsi="Times New Roman" w:cs="Times New Roman"/>
                <w:sz w:val="24"/>
              </w:rPr>
              <w:t xml:space="preserve"> v </w:t>
            </w:r>
            <w:r w:rsidRPr="00A3389E">
              <w:rPr>
                <w:rFonts w:ascii="Times New Roman" w:hAnsi="Times New Roman" w:cs="Times New Roman"/>
                <w:sz w:val="24"/>
              </w:rPr>
              <w:t xml:space="preserve">EÚ. </w:t>
            </w:r>
          </w:p>
        </w:tc>
      </w:tr>
      <w:tr w:rsidR="007B082B" w:rsidRPr="00A3389E" w14:paraId="22743145" w14:textId="77777777" w:rsidTr="00803BB4">
        <w:trPr>
          <w:trHeight w:val="238"/>
        </w:trPr>
        <w:tc>
          <w:tcPr>
            <w:tcW w:w="1384" w:type="dxa"/>
            <w:shd w:val="clear" w:color="auto" w:fill="FFFFFF" w:themeFill="background1"/>
          </w:tcPr>
          <w:p w14:paraId="3935BE19"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b</w:t>
            </w:r>
          </w:p>
        </w:tc>
        <w:tc>
          <w:tcPr>
            <w:tcW w:w="7655" w:type="dxa"/>
            <w:shd w:val="clear" w:color="auto" w:fill="FFFFFF" w:themeFill="background1"/>
          </w:tcPr>
          <w:p w14:paraId="632C0848" w14:textId="40EFCE89" w:rsidR="00A3389E" w:rsidRPr="00A3389E" w:rsidRDefault="007B082B" w:rsidP="00803BB4">
            <w:pPr>
              <w:spacing w:before="60" w:after="120"/>
              <w:jc w:val="both"/>
              <w:rPr>
                <w:rFonts w:ascii="Times New Roman" w:hAnsi="Times New Roman" w:cs="Times New Roman"/>
                <w:b/>
                <w:sz w:val="24"/>
              </w:rPr>
            </w:pPr>
            <w:r w:rsidRPr="00A3389E">
              <w:rPr>
                <w:rFonts w:ascii="Times New Roman" w:hAnsi="Times New Roman" w:cs="Times New Roman"/>
                <w:b/>
                <w:sz w:val="24"/>
              </w:rPr>
              <w:t>Účtovné hodnoty</w:t>
            </w:r>
            <w:r w:rsidR="00A3389E">
              <w:rPr>
                <w:rFonts w:ascii="Times New Roman" w:hAnsi="Times New Roman" w:cs="Times New Roman"/>
                <w:b/>
                <w:sz w:val="24"/>
              </w:rPr>
              <w:t xml:space="preserve"> v </w:t>
            </w:r>
            <w:r w:rsidRPr="00A3389E">
              <w:rPr>
                <w:rFonts w:ascii="Times New Roman" w:hAnsi="Times New Roman" w:cs="Times New Roman"/>
                <w:b/>
                <w:sz w:val="24"/>
              </w:rPr>
              <w:t>prudenciálnom rozsahu konsolidácie</w:t>
            </w:r>
          </w:p>
          <w:p w14:paraId="3D6E4161" w14:textId="464638ED" w:rsidR="007B082B" w:rsidRPr="00A3389E" w:rsidRDefault="007B082B" w:rsidP="00803BB4">
            <w:pPr>
              <w:jc w:val="both"/>
              <w:rPr>
                <w:rFonts w:ascii="Times New Roman" w:hAnsi="Times New Roman" w:cs="Times New Roman"/>
                <w:sz w:val="24"/>
              </w:rPr>
            </w:pPr>
            <w:r w:rsidRPr="00A3389E">
              <w:rPr>
                <w:rFonts w:ascii="Times New Roman" w:hAnsi="Times New Roman" w:cs="Times New Roman"/>
                <w:sz w:val="24"/>
              </w:rPr>
              <w:t>Suma vykazovaná na strane aktív</w:t>
            </w:r>
            <w:r w:rsidR="00A3389E">
              <w:rPr>
                <w:rFonts w:ascii="Times New Roman" w:hAnsi="Times New Roman" w:cs="Times New Roman"/>
                <w:sz w:val="24"/>
              </w:rPr>
              <w:t xml:space="preserve"> a </w:t>
            </w:r>
            <w:r w:rsidRPr="00A3389E">
              <w:rPr>
                <w:rFonts w:ascii="Times New Roman" w:hAnsi="Times New Roman" w:cs="Times New Roman"/>
                <w:sz w:val="24"/>
              </w:rPr>
              <w:t>na strane záväzkov súvahy, ku ktorej sa dospelo na základe požiadaviek regulačnej konsolidácie uvedených</w:t>
            </w:r>
            <w:r w:rsidR="00A3389E">
              <w:rPr>
                <w:rFonts w:ascii="Times New Roman" w:hAnsi="Times New Roman" w:cs="Times New Roman"/>
                <w:sz w:val="24"/>
              </w:rPr>
              <w:t xml:space="preserve"> v </w:t>
            </w:r>
            <w:r w:rsidRPr="00A3389E">
              <w:rPr>
                <w:rFonts w:ascii="Times New Roman" w:hAnsi="Times New Roman" w:cs="Times New Roman"/>
                <w:sz w:val="24"/>
              </w:rPr>
              <w:t>prvej časti hlave II oddieloch 2</w:t>
            </w:r>
            <w:r w:rsidR="00A3389E">
              <w:rPr>
                <w:rFonts w:ascii="Times New Roman" w:hAnsi="Times New Roman" w:cs="Times New Roman"/>
                <w:sz w:val="24"/>
              </w:rPr>
              <w:t xml:space="preserve"> a </w:t>
            </w:r>
            <w:r w:rsidRPr="00A3389E">
              <w:rPr>
                <w:rFonts w:ascii="Times New Roman" w:hAnsi="Times New Roman" w:cs="Times New Roman"/>
                <w:sz w:val="24"/>
              </w:rPr>
              <w:t>3 CRR.</w:t>
            </w:r>
          </w:p>
          <w:p w14:paraId="49CEED58" w14:textId="75F38AE4" w:rsidR="007B082B" w:rsidRPr="00A3389E" w:rsidRDefault="007B082B" w:rsidP="00803BB4">
            <w:pPr>
              <w:spacing w:before="60" w:after="120"/>
              <w:jc w:val="both"/>
              <w:rPr>
                <w:rFonts w:ascii="Times New Roman" w:hAnsi="Times New Roman" w:cs="Times New Roman"/>
                <w:b/>
                <w:sz w:val="24"/>
              </w:rPr>
            </w:pPr>
            <w:r w:rsidRPr="00A3389E">
              <w:rPr>
                <w:rFonts w:ascii="Times New Roman" w:hAnsi="Times New Roman" w:cs="Times New Roman"/>
                <w:sz w:val="24"/>
              </w:rPr>
              <w:t>Ak je účtovný rozsah konsolidácie úplne rovnaký ako prudenciálny rozsah konsolidácie, stĺpce a)</w:t>
            </w:r>
            <w:r w:rsidR="00A3389E">
              <w:rPr>
                <w:rFonts w:ascii="Times New Roman" w:hAnsi="Times New Roman" w:cs="Times New Roman"/>
                <w:sz w:val="24"/>
              </w:rPr>
              <w:t xml:space="preserve"> a </w:t>
            </w:r>
            <w:r w:rsidRPr="00A3389E">
              <w:rPr>
                <w:rFonts w:ascii="Times New Roman" w:hAnsi="Times New Roman" w:cs="Times New Roman"/>
                <w:sz w:val="24"/>
              </w:rPr>
              <w:t>b) tohto vzoru sa zlúčia.</w:t>
            </w:r>
          </w:p>
        </w:tc>
      </w:tr>
      <w:tr w:rsidR="007B082B" w:rsidRPr="00A3389E" w14:paraId="23C860EA" w14:textId="77777777" w:rsidTr="00803BB4">
        <w:trPr>
          <w:trHeight w:val="238"/>
        </w:trPr>
        <w:tc>
          <w:tcPr>
            <w:tcW w:w="1384" w:type="dxa"/>
            <w:shd w:val="clear" w:color="auto" w:fill="FFFFFF" w:themeFill="background1"/>
          </w:tcPr>
          <w:p w14:paraId="5E92F7E9"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c</w:t>
            </w:r>
          </w:p>
        </w:tc>
        <w:tc>
          <w:tcPr>
            <w:tcW w:w="7655" w:type="dxa"/>
            <w:shd w:val="clear" w:color="auto" w:fill="FFFFFF" w:themeFill="background1"/>
          </w:tcPr>
          <w:p w14:paraId="473D894D" w14:textId="77777777"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Účtovné hodnoty položiek podliehajúcich rámcu kreditného rizika</w:t>
            </w:r>
          </w:p>
          <w:p w14:paraId="1EC918C8" w14:textId="59CBC7BD" w:rsidR="007B082B" w:rsidRPr="00A3389E" w:rsidRDefault="007B082B" w:rsidP="00803BB4">
            <w:pPr>
              <w:spacing w:before="60" w:after="120"/>
              <w:jc w:val="both"/>
              <w:rPr>
                <w:rFonts w:ascii="Times New Roman" w:hAnsi="Times New Roman" w:cs="Times New Roman"/>
                <w:b/>
                <w:sz w:val="24"/>
              </w:rPr>
            </w:pPr>
            <w:r w:rsidRPr="00A3389E">
              <w:rPr>
                <w:rFonts w:ascii="Times New Roman" w:hAnsi="Times New Roman" w:cs="Times New Roman"/>
                <w:sz w:val="24"/>
              </w:rPr>
              <w:t>Účtovné hodnoty</w:t>
            </w:r>
            <w:r w:rsidR="00A3389E">
              <w:rPr>
                <w:rFonts w:ascii="Times New Roman" w:hAnsi="Times New Roman" w:cs="Times New Roman"/>
                <w:sz w:val="24"/>
              </w:rPr>
              <w:t xml:space="preserve"> v </w:t>
            </w:r>
            <w:r w:rsidRPr="00A3389E">
              <w:rPr>
                <w:rFonts w:ascii="Times New Roman" w:hAnsi="Times New Roman" w:cs="Times New Roman"/>
                <w:sz w:val="24"/>
              </w:rPr>
              <w:t>rámci prudenciálneho rozsahu konsolidácie položiek (iných ako podsúvahových položiek), na ktoré sa vzťahuje tretia časť hlava II kapitola 2</w:t>
            </w:r>
            <w:r w:rsidR="00A3389E">
              <w:rPr>
                <w:rFonts w:ascii="Times New Roman" w:hAnsi="Times New Roman" w:cs="Times New Roman"/>
                <w:sz w:val="24"/>
              </w:rPr>
              <w:t xml:space="preserve"> a </w:t>
            </w:r>
            <w:r w:rsidRPr="00A3389E">
              <w:rPr>
                <w:rFonts w:ascii="Times New Roman" w:hAnsi="Times New Roman" w:cs="Times New Roman"/>
                <w:sz w:val="24"/>
              </w:rPr>
              <w:t>3 CRR.</w:t>
            </w:r>
          </w:p>
        </w:tc>
      </w:tr>
      <w:tr w:rsidR="007B082B" w:rsidRPr="00A3389E" w14:paraId="1F738F97" w14:textId="77777777" w:rsidTr="00803BB4">
        <w:trPr>
          <w:trHeight w:val="238"/>
        </w:trPr>
        <w:tc>
          <w:tcPr>
            <w:tcW w:w="1384" w:type="dxa"/>
            <w:shd w:val="clear" w:color="auto" w:fill="FFFFFF" w:themeFill="background1"/>
          </w:tcPr>
          <w:p w14:paraId="593AA395" w14:textId="77777777" w:rsidR="007B082B" w:rsidRPr="00A3389E" w:rsidRDefault="007B082B" w:rsidP="00803BB4">
            <w:pPr>
              <w:autoSpaceDE w:val="0"/>
              <w:autoSpaceDN w:val="0"/>
              <w:adjustRightInd w:val="0"/>
              <w:spacing w:before="60"/>
              <w:jc w:val="center"/>
              <w:rPr>
                <w:rFonts w:ascii="Times New Roman" w:hAnsi="Times New Roman" w:cs="Times New Roman"/>
                <w:b/>
                <w:sz w:val="24"/>
              </w:rPr>
            </w:pPr>
            <w:r w:rsidRPr="00A3389E">
              <w:rPr>
                <w:rFonts w:ascii="Times New Roman" w:hAnsi="Times New Roman" w:cs="Times New Roman"/>
                <w:b/>
                <w:sz w:val="24"/>
              </w:rPr>
              <w:t>d</w:t>
            </w:r>
          </w:p>
        </w:tc>
        <w:tc>
          <w:tcPr>
            <w:tcW w:w="7655" w:type="dxa"/>
            <w:shd w:val="clear" w:color="auto" w:fill="FFFFFF" w:themeFill="background1"/>
          </w:tcPr>
          <w:p w14:paraId="39A27C45" w14:textId="77777777" w:rsidR="007B082B" w:rsidRPr="00A3389E" w:rsidRDefault="007B082B" w:rsidP="00803BB4">
            <w:pPr>
              <w:spacing w:before="60" w:after="120"/>
              <w:ind w:left="34"/>
              <w:jc w:val="both"/>
              <w:rPr>
                <w:rFonts w:ascii="Times New Roman" w:eastAsia="Times New Roman" w:hAnsi="Times New Roman" w:cs="Times New Roman"/>
                <w:b/>
                <w:sz w:val="24"/>
              </w:rPr>
            </w:pPr>
            <w:r w:rsidRPr="00A3389E">
              <w:rPr>
                <w:rFonts w:ascii="Times New Roman" w:hAnsi="Times New Roman" w:cs="Times New Roman"/>
                <w:b/>
                <w:sz w:val="24"/>
              </w:rPr>
              <w:t>Účtovné hodnoty položiek podliehajúcich rámcu kreditného rizika protistrany</w:t>
            </w:r>
          </w:p>
          <w:p w14:paraId="2986478C" w14:textId="37618364" w:rsidR="007B082B" w:rsidRPr="00A3389E" w:rsidRDefault="007B082B" w:rsidP="00803BB4">
            <w:pPr>
              <w:spacing w:before="60" w:after="120"/>
              <w:ind w:left="34"/>
              <w:jc w:val="both"/>
              <w:rPr>
                <w:rFonts w:ascii="Times New Roman" w:hAnsi="Times New Roman" w:cs="Times New Roman"/>
                <w:b/>
                <w:sz w:val="24"/>
              </w:rPr>
            </w:pPr>
            <w:r w:rsidRPr="00A3389E">
              <w:rPr>
                <w:rFonts w:ascii="Times New Roman" w:hAnsi="Times New Roman" w:cs="Times New Roman"/>
                <w:sz w:val="24"/>
              </w:rPr>
              <w:t>Účtovné hodnoty</w:t>
            </w:r>
            <w:r w:rsidR="00A3389E">
              <w:rPr>
                <w:rFonts w:ascii="Times New Roman" w:hAnsi="Times New Roman" w:cs="Times New Roman"/>
                <w:sz w:val="24"/>
              </w:rPr>
              <w:t xml:space="preserve"> v </w:t>
            </w:r>
            <w:r w:rsidRPr="00A3389E">
              <w:rPr>
                <w:rFonts w:ascii="Times New Roman" w:hAnsi="Times New Roman" w:cs="Times New Roman"/>
                <w:sz w:val="24"/>
              </w:rPr>
              <w:t>rámci prudenciálneho rozsahu konsolidácie položiek (iných ako podsúvahových položiek), na ktoré sa vzťahuje tretia časť hlava II kapitola 6 CRR.</w:t>
            </w:r>
          </w:p>
        </w:tc>
      </w:tr>
      <w:tr w:rsidR="007B082B" w:rsidRPr="00A3389E" w14:paraId="59C5D493" w14:textId="77777777" w:rsidTr="00803BB4">
        <w:trPr>
          <w:trHeight w:val="238"/>
        </w:trPr>
        <w:tc>
          <w:tcPr>
            <w:tcW w:w="1384" w:type="dxa"/>
            <w:shd w:val="clear" w:color="auto" w:fill="FFFFFF" w:themeFill="background1"/>
          </w:tcPr>
          <w:p w14:paraId="2F586381"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e</w:t>
            </w:r>
          </w:p>
        </w:tc>
        <w:tc>
          <w:tcPr>
            <w:tcW w:w="7655" w:type="dxa"/>
            <w:shd w:val="clear" w:color="auto" w:fill="FFFFFF" w:themeFill="background1"/>
          </w:tcPr>
          <w:p w14:paraId="4D0B1796" w14:textId="77777777" w:rsidR="00A3389E" w:rsidRPr="00A3389E" w:rsidRDefault="007B082B" w:rsidP="00803BB4">
            <w:pPr>
              <w:spacing w:before="60" w:after="120"/>
              <w:ind w:left="34"/>
              <w:jc w:val="both"/>
              <w:rPr>
                <w:rFonts w:ascii="Times New Roman" w:hAnsi="Times New Roman" w:cs="Times New Roman"/>
                <w:b/>
                <w:sz w:val="24"/>
              </w:rPr>
            </w:pPr>
            <w:r w:rsidRPr="00A3389E">
              <w:rPr>
                <w:rFonts w:ascii="Times New Roman" w:hAnsi="Times New Roman" w:cs="Times New Roman"/>
                <w:b/>
                <w:sz w:val="24"/>
              </w:rPr>
              <w:t>Účtovné hodnoty položiek podliehajúcich rámcu sekuritizácie</w:t>
            </w:r>
          </w:p>
          <w:p w14:paraId="07A4D681" w14:textId="3EF3981B" w:rsidR="007B082B" w:rsidRPr="00A3389E" w:rsidRDefault="007B082B" w:rsidP="00803BB4">
            <w:pPr>
              <w:spacing w:before="60" w:after="120"/>
              <w:ind w:left="34"/>
              <w:jc w:val="both"/>
              <w:rPr>
                <w:rFonts w:ascii="Times New Roman" w:eastAsia="Times New Roman" w:hAnsi="Times New Roman" w:cs="Times New Roman"/>
                <w:sz w:val="24"/>
              </w:rPr>
            </w:pPr>
            <w:r w:rsidRPr="00A3389E">
              <w:rPr>
                <w:rFonts w:ascii="Times New Roman" w:hAnsi="Times New Roman" w:cs="Times New Roman"/>
                <w:sz w:val="24"/>
              </w:rPr>
              <w:t>Účtovné hodnoty</w:t>
            </w:r>
            <w:r w:rsidR="00A3389E">
              <w:rPr>
                <w:rFonts w:ascii="Times New Roman" w:hAnsi="Times New Roman" w:cs="Times New Roman"/>
                <w:sz w:val="24"/>
              </w:rPr>
              <w:t xml:space="preserve"> v </w:t>
            </w:r>
            <w:r w:rsidRPr="00A3389E">
              <w:rPr>
                <w:rFonts w:ascii="Times New Roman" w:hAnsi="Times New Roman" w:cs="Times New Roman"/>
                <w:sz w:val="24"/>
              </w:rPr>
              <w:t>rámci prudenciálneho rozsahu konsolidácie položiek (iných ako podsúvahových položiek)</w:t>
            </w:r>
            <w:r w:rsidR="00A3389E">
              <w:rPr>
                <w:rFonts w:ascii="Times New Roman" w:hAnsi="Times New Roman" w:cs="Times New Roman"/>
                <w:sz w:val="24"/>
              </w:rPr>
              <w:t xml:space="preserve"> z </w:t>
            </w:r>
            <w:r w:rsidRPr="00A3389E">
              <w:rPr>
                <w:rFonts w:ascii="Times New Roman" w:hAnsi="Times New Roman" w:cs="Times New Roman"/>
                <w:sz w:val="24"/>
              </w:rPr>
              <w:t>neobchodnej knihy, na ktoré sa vzťahuje tretia časť hlava II kapitola 5 CRR.</w:t>
            </w:r>
          </w:p>
        </w:tc>
      </w:tr>
      <w:tr w:rsidR="007B082B" w:rsidRPr="00A3389E" w14:paraId="075814D7" w14:textId="77777777" w:rsidTr="00803BB4">
        <w:trPr>
          <w:trHeight w:val="238"/>
        </w:trPr>
        <w:tc>
          <w:tcPr>
            <w:tcW w:w="1384" w:type="dxa"/>
            <w:shd w:val="clear" w:color="auto" w:fill="FFFFFF" w:themeFill="background1"/>
          </w:tcPr>
          <w:p w14:paraId="1578F0B5"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f</w:t>
            </w:r>
          </w:p>
        </w:tc>
        <w:tc>
          <w:tcPr>
            <w:tcW w:w="7655" w:type="dxa"/>
            <w:shd w:val="clear" w:color="auto" w:fill="FFFFFF" w:themeFill="background1"/>
          </w:tcPr>
          <w:p w14:paraId="5BB71968" w14:textId="77777777" w:rsidR="007B082B" w:rsidRPr="00A3389E" w:rsidRDefault="007B082B" w:rsidP="00803BB4">
            <w:pPr>
              <w:spacing w:before="60" w:after="120"/>
              <w:ind w:left="34"/>
              <w:jc w:val="both"/>
              <w:rPr>
                <w:rFonts w:ascii="Times New Roman" w:eastAsia="Times New Roman" w:hAnsi="Times New Roman" w:cs="Times New Roman"/>
                <w:sz w:val="24"/>
              </w:rPr>
            </w:pPr>
            <w:r w:rsidRPr="00A3389E">
              <w:rPr>
                <w:rFonts w:ascii="Times New Roman" w:hAnsi="Times New Roman" w:cs="Times New Roman"/>
                <w:b/>
                <w:sz w:val="24"/>
              </w:rPr>
              <w:t>Účtovné hodnoty položiek podliehajúcich rámcu trhového rizika</w:t>
            </w:r>
          </w:p>
          <w:p w14:paraId="1A5699D4" w14:textId="7DF6A51A" w:rsidR="007B082B" w:rsidRPr="00A3389E" w:rsidRDefault="007B082B" w:rsidP="00803BB4">
            <w:pPr>
              <w:spacing w:before="60" w:after="120"/>
              <w:ind w:left="34"/>
              <w:jc w:val="both"/>
              <w:rPr>
                <w:rFonts w:ascii="Times New Roman" w:hAnsi="Times New Roman" w:cs="Times New Roman"/>
                <w:b/>
                <w:sz w:val="24"/>
              </w:rPr>
            </w:pPr>
            <w:r w:rsidRPr="00A3389E">
              <w:rPr>
                <w:rFonts w:ascii="Times New Roman" w:hAnsi="Times New Roman" w:cs="Times New Roman"/>
                <w:sz w:val="24"/>
              </w:rPr>
              <w:t>Účtovné hodnoty</w:t>
            </w:r>
            <w:r w:rsidR="00A3389E">
              <w:rPr>
                <w:rFonts w:ascii="Times New Roman" w:hAnsi="Times New Roman" w:cs="Times New Roman"/>
                <w:sz w:val="24"/>
              </w:rPr>
              <w:t xml:space="preserve"> v </w:t>
            </w:r>
            <w:r w:rsidRPr="00A3389E">
              <w:rPr>
                <w:rFonts w:ascii="Times New Roman" w:hAnsi="Times New Roman" w:cs="Times New Roman"/>
                <w:sz w:val="24"/>
              </w:rPr>
              <w:t>rámci prudenciálneho rozsahu konsolidácie položiek (iných ako podsúvahových položiek), na ktoré sa vzťahuje tretia časť hlava IV CRR. Položky zodpovedajúce sekuritizačným pozíciám</w:t>
            </w:r>
            <w:r w:rsidR="00A3389E">
              <w:rPr>
                <w:rFonts w:ascii="Times New Roman" w:hAnsi="Times New Roman" w:cs="Times New Roman"/>
                <w:sz w:val="24"/>
              </w:rPr>
              <w:t xml:space="preserve"> v </w:t>
            </w:r>
            <w:r w:rsidRPr="00A3389E">
              <w:rPr>
                <w:rFonts w:ascii="Times New Roman" w:hAnsi="Times New Roman" w:cs="Times New Roman"/>
                <w:sz w:val="24"/>
              </w:rPr>
              <w:t>obchodnej knihe – na ktoré sa vzťahujú požiadavky tretej časti hlavy IV CRR – sa zahrnú do tohto stĺpca.</w:t>
            </w:r>
          </w:p>
        </w:tc>
      </w:tr>
      <w:tr w:rsidR="007B082B" w:rsidRPr="00A3389E" w14:paraId="1E2B8902" w14:textId="77777777" w:rsidTr="00803BB4">
        <w:trPr>
          <w:trHeight w:val="238"/>
        </w:trPr>
        <w:tc>
          <w:tcPr>
            <w:tcW w:w="1384" w:type="dxa"/>
            <w:shd w:val="clear" w:color="auto" w:fill="FFFFFF" w:themeFill="background1"/>
          </w:tcPr>
          <w:p w14:paraId="59241FC5"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g</w:t>
            </w:r>
          </w:p>
        </w:tc>
        <w:tc>
          <w:tcPr>
            <w:tcW w:w="7655" w:type="dxa"/>
            <w:shd w:val="clear" w:color="auto" w:fill="FFFFFF" w:themeFill="background1"/>
          </w:tcPr>
          <w:p w14:paraId="59E3B416" w14:textId="77777777" w:rsidR="007B082B" w:rsidRPr="00A3389E" w:rsidRDefault="007B082B" w:rsidP="00803BB4">
            <w:pPr>
              <w:spacing w:before="60" w:after="120"/>
              <w:ind w:left="34"/>
              <w:jc w:val="both"/>
              <w:rPr>
                <w:rFonts w:ascii="Times New Roman" w:eastAsia="Times New Roman" w:hAnsi="Times New Roman" w:cs="Times New Roman"/>
                <w:sz w:val="24"/>
              </w:rPr>
            </w:pPr>
            <w:r w:rsidRPr="00A3389E">
              <w:rPr>
                <w:rFonts w:ascii="Times New Roman" w:hAnsi="Times New Roman" w:cs="Times New Roman"/>
                <w:b/>
                <w:sz w:val="24"/>
              </w:rPr>
              <w:t>Účtovné hodnoty položiek, ktoré nepodliehajú požiadavkám na vlastné zdroje alebo podliehajú odpočítaniu od vlastných zdrojov</w:t>
            </w:r>
          </w:p>
          <w:p w14:paraId="0F80A2EF" w14:textId="768B69D8" w:rsidR="007B082B" w:rsidRPr="00A3389E" w:rsidRDefault="007B082B" w:rsidP="00803BB4">
            <w:pPr>
              <w:spacing w:before="60" w:after="120"/>
              <w:ind w:left="34"/>
              <w:jc w:val="both"/>
              <w:rPr>
                <w:rFonts w:ascii="Times New Roman" w:eastAsia="Times New Roman" w:hAnsi="Times New Roman" w:cs="Times New Roman"/>
                <w:sz w:val="24"/>
              </w:rPr>
            </w:pPr>
            <w:r w:rsidRPr="00A3389E">
              <w:rPr>
                <w:rFonts w:ascii="Times New Roman" w:hAnsi="Times New Roman" w:cs="Times New Roman"/>
                <w:sz w:val="24"/>
              </w:rPr>
              <w:t>Účtovné hodnoty</w:t>
            </w:r>
            <w:r w:rsidR="00A3389E">
              <w:rPr>
                <w:rFonts w:ascii="Times New Roman" w:hAnsi="Times New Roman" w:cs="Times New Roman"/>
                <w:sz w:val="24"/>
              </w:rPr>
              <w:t xml:space="preserve"> v </w:t>
            </w:r>
            <w:r w:rsidRPr="00A3389E">
              <w:rPr>
                <w:rFonts w:ascii="Times New Roman" w:hAnsi="Times New Roman" w:cs="Times New Roman"/>
                <w:sz w:val="24"/>
              </w:rPr>
              <w:t xml:space="preserve">rámci prudenciálneho rozsahu konsolidácie položiek (iných ako podsúvahových položiek), na ktoré sa nevzťahujú požiadavky na </w:t>
            </w:r>
            <w:r w:rsidRPr="00A3389E">
              <w:rPr>
                <w:rFonts w:ascii="Times New Roman" w:hAnsi="Times New Roman" w:cs="Times New Roman"/>
                <w:sz w:val="24"/>
              </w:rPr>
              <w:lastRenderedPageBreak/>
              <w:t>vlastné zdroje podľa CRR; účtovné hodnoty</w:t>
            </w:r>
            <w:r w:rsidR="00A3389E">
              <w:rPr>
                <w:rFonts w:ascii="Times New Roman" w:hAnsi="Times New Roman" w:cs="Times New Roman"/>
                <w:sz w:val="24"/>
              </w:rPr>
              <w:t xml:space="preserve"> v </w:t>
            </w:r>
            <w:r w:rsidRPr="00A3389E">
              <w:rPr>
                <w:rFonts w:ascii="Times New Roman" w:hAnsi="Times New Roman" w:cs="Times New Roman"/>
                <w:sz w:val="24"/>
              </w:rPr>
              <w:t>rámci prudenciálneho rozsahu konsolidácie položiek (iných ako podsúvahových položiek), na ktoré sa vzťahuje odpočítanie od vlastných zdrojov podľa druhej časti CRR.</w:t>
            </w:r>
          </w:p>
          <w:p w14:paraId="3A91DC0D" w14:textId="04AEF6D6" w:rsidR="00A3389E" w:rsidRPr="00A3389E" w:rsidRDefault="007B082B" w:rsidP="00803BB4">
            <w:pPr>
              <w:spacing w:before="60" w:after="120"/>
              <w:ind w:left="34"/>
              <w:jc w:val="both"/>
              <w:rPr>
                <w:rFonts w:ascii="Times New Roman" w:hAnsi="Times New Roman" w:cs="Times New Roman"/>
                <w:sz w:val="24"/>
              </w:rPr>
            </w:pPr>
            <w:r w:rsidRPr="00A3389E">
              <w:rPr>
                <w:rFonts w:ascii="Times New Roman" w:hAnsi="Times New Roman" w:cs="Times New Roman"/>
                <w:sz w:val="24"/>
              </w:rPr>
              <w:t>Odpočítané položky môžu zahŕňať napríklad položky uvedené</w:t>
            </w:r>
            <w:r w:rsidR="00A3389E">
              <w:rPr>
                <w:rFonts w:ascii="Times New Roman" w:hAnsi="Times New Roman" w:cs="Times New Roman"/>
                <w:sz w:val="24"/>
              </w:rPr>
              <w:t xml:space="preserve"> v </w:t>
            </w:r>
            <w:r w:rsidRPr="00A3389E">
              <w:rPr>
                <w:rFonts w:ascii="Times New Roman" w:hAnsi="Times New Roman" w:cs="Times New Roman"/>
                <w:sz w:val="24"/>
              </w:rPr>
              <w:t>článkoch 37, 38, 39</w:t>
            </w:r>
            <w:r w:rsidR="00A3389E">
              <w:rPr>
                <w:rFonts w:ascii="Times New Roman" w:hAnsi="Times New Roman" w:cs="Times New Roman"/>
                <w:sz w:val="24"/>
              </w:rPr>
              <w:t xml:space="preserve"> a </w:t>
            </w:r>
            <w:r w:rsidRPr="00A3389E">
              <w:rPr>
                <w:rFonts w:ascii="Times New Roman" w:hAnsi="Times New Roman" w:cs="Times New Roman"/>
                <w:sz w:val="24"/>
              </w:rPr>
              <w:t>41 CRR</w:t>
            </w:r>
            <w:r w:rsidR="00A3389E" w:rsidRPr="00A3389E">
              <w:rPr>
                <w:rFonts w:ascii="Times New Roman" w:hAnsi="Times New Roman" w:cs="Times New Roman"/>
                <w:sz w:val="24"/>
              </w:rPr>
              <w:t>.</w:t>
            </w:r>
          </w:p>
          <w:p w14:paraId="3492977C" w14:textId="45433EBF" w:rsidR="007B082B" w:rsidRPr="00A3389E" w:rsidRDefault="007B082B" w:rsidP="00803BB4">
            <w:pPr>
              <w:spacing w:before="60" w:after="120"/>
              <w:ind w:left="34"/>
              <w:jc w:val="both"/>
              <w:rPr>
                <w:rFonts w:ascii="Times New Roman" w:eastAsia="Times New Roman" w:hAnsi="Times New Roman" w:cs="Times New Roman"/>
                <w:sz w:val="24"/>
              </w:rPr>
            </w:pPr>
            <w:r w:rsidRPr="00A3389E">
              <w:rPr>
                <w:rFonts w:ascii="Times New Roman" w:hAnsi="Times New Roman" w:cs="Times New Roman"/>
                <w:sz w:val="24"/>
              </w:rPr>
              <w:t>Sumy musia byť</w:t>
            </w:r>
            <w:r w:rsidR="00A3389E">
              <w:rPr>
                <w:rFonts w:ascii="Times New Roman" w:hAnsi="Times New Roman" w:cs="Times New Roman"/>
                <w:sz w:val="24"/>
              </w:rPr>
              <w:t xml:space="preserve"> v </w:t>
            </w:r>
            <w:r w:rsidRPr="00A3389E">
              <w:rPr>
                <w:rFonts w:ascii="Times New Roman" w:hAnsi="Times New Roman" w:cs="Times New Roman"/>
                <w:sz w:val="24"/>
              </w:rPr>
              <w:t>prípade aktív sumami skutočne odpočítanými od vlastných zdrojov, berúc do úvahy akékoľvek vzájomné započítanie záväzkov povolené na základe odpočítania (s akoukoľvek prahovou hodnotou) uplatniteľného podľa príslušných článkov druhej časti CRR.</w:t>
            </w:r>
          </w:p>
          <w:p w14:paraId="76CA48AF" w14:textId="23699573"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Keď sa na položky uvedené</w:t>
            </w:r>
            <w:r w:rsidR="00A3389E">
              <w:rPr>
                <w:rFonts w:ascii="Times New Roman" w:hAnsi="Times New Roman" w:cs="Times New Roman"/>
                <w:sz w:val="24"/>
              </w:rPr>
              <w:t xml:space="preserve"> v </w:t>
            </w:r>
            <w:r w:rsidRPr="00A3389E">
              <w:rPr>
                <w:rFonts w:ascii="Times New Roman" w:hAnsi="Times New Roman" w:cs="Times New Roman"/>
                <w:sz w:val="24"/>
              </w:rPr>
              <w:t>článku 36 ods. 1 písm. k)</w:t>
            </w:r>
            <w:r w:rsidR="00A3389E">
              <w:rPr>
                <w:rFonts w:ascii="Times New Roman" w:hAnsi="Times New Roman" w:cs="Times New Roman"/>
                <w:sz w:val="24"/>
              </w:rPr>
              <w:t xml:space="preserve"> a v </w:t>
            </w:r>
            <w:r w:rsidRPr="00A3389E">
              <w:rPr>
                <w:rFonts w:ascii="Times New Roman" w:hAnsi="Times New Roman" w:cs="Times New Roman"/>
                <w:sz w:val="24"/>
              </w:rPr>
              <w:t>článku 48 CRR namiesto odpočítania uplatňuje riziková váha 1 250</w:t>
            </w:r>
            <w:r w:rsidR="00A3389E">
              <w:rPr>
                <w:rFonts w:ascii="Times New Roman" w:hAnsi="Times New Roman" w:cs="Times New Roman"/>
                <w:sz w:val="24"/>
              </w:rPr>
              <w:t> %</w:t>
            </w:r>
            <w:r w:rsidRPr="00A3389E">
              <w:rPr>
                <w:rFonts w:ascii="Times New Roman" w:hAnsi="Times New Roman" w:cs="Times New Roman"/>
                <w:sz w:val="24"/>
              </w:rPr>
              <w:t>, nezverejňujú sa</w:t>
            </w:r>
            <w:r w:rsidR="00A3389E">
              <w:rPr>
                <w:rFonts w:ascii="Times New Roman" w:hAnsi="Times New Roman" w:cs="Times New Roman"/>
                <w:sz w:val="24"/>
              </w:rPr>
              <w:t xml:space="preserve"> v </w:t>
            </w:r>
            <w:r w:rsidRPr="00A3389E">
              <w:rPr>
                <w:rFonts w:ascii="Times New Roman" w:hAnsi="Times New Roman" w:cs="Times New Roman"/>
                <w:sz w:val="24"/>
              </w:rPr>
              <w:t>stĺpci g) tohto vzoru, ale</w:t>
            </w:r>
            <w:r w:rsidR="00A3389E">
              <w:rPr>
                <w:rFonts w:ascii="Times New Roman" w:hAnsi="Times New Roman" w:cs="Times New Roman"/>
                <w:sz w:val="24"/>
              </w:rPr>
              <w:t xml:space="preserve"> v </w:t>
            </w:r>
            <w:r w:rsidRPr="00A3389E">
              <w:rPr>
                <w:rFonts w:ascii="Times New Roman" w:hAnsi="Times New Roman" w:cs="Times New Roman"/>
                <w:sz w:val="24"/>
              </w:rPr>
              <w:t>iných príslušných stĺpcoch vzoru EU LI1. To isté platí aj pre akúkoľvek inú položku, ktorá je rizikovo vážená na úrovni 1 250</w:t>
            </w:r>
            <w:r w:rsidR="00A3389E">
              <w:rPr>
                <w:rFonts w:ascii="Times New Roman" w:hAnsi="Times New Roman" w:cs="Times New Roman"/>
                <w:sz w:val="24"/>
              </w:rPr>
              <w:t> %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požiadavkami CRR.</w:t>
            </w:r>
          </w:p>
          <w:p w14:paraId="49535D35" w14:textId="334A576B" w:rsidR="007B082B" w:rsidRPr="00A3389E" w:rsidRDefault="007B082B" w:rsidP="005752E4">
            <w:pPr>
              <w:spacing w:before="60" w:after="120"/>
              <w:jc w:val="both"/>
              <w:rPr>
                <w:rFonts w:ascii="Times New Roman" w:hAnsi="Times New Roman" w:cs="Times New Roman"/>
                <w:b/>
                <w:sz w:val="24"/>
              </w:rPr>
            </w:pPr>
            <w:r w:rsidRPr="00A3389E">
              <w:rPr>
                <w:rFonts w:ascii="Times New Roman" w:hAnsi="Times New Roman" w:cs="Times New Roman"/>
                <w:sz w:val="24"/>
              </w:rPr>
              <w:t>Sumy musia byť</w:t>
            </w:r>
            <w:r w:rsidR="00A3389E">
              <w:rPr>
                <w:rFonts w:ascii="Times New Roman" w:hAnsi="Times New Roman" w:cs="Times New Roman"/>
                <w:sz w:val="24"/>
              </w:rPr>
              <w:t xml:space="preserve"> v </w:t>
            </w:r>
            <w:r w:rsidRPr="00A3389E">
              <w:rPr>
                <w:rFonts w:ascii="Times New Roman" w:hAnsi="Times New Roman" w:cs="Times New Roman"/>
                <w:sz w:val="24"/>
              </w:rPr>
              <w:t>prípade záväzkov sumou záväzkov, ktorá sa musí brať do úvahy pri určovaní sumy aktív, ktoré sa majú odpočítať od vlastných zdrojov podľa príslušných článkov druhej časti CRR.</w:t>
            </w:r>
            <w:r w:rsidR="00A3389E">
              <w:rPr>
                <w:rFonts w:ascii="Times New Roman" w:hAnsi="Times New Roman" w:cs="Times New Roman"/>
                <w:sz w:val="24"/>
              </w:rPr>
              <w:t xml:space="preserve"> V </w:t>
            </w:r>
            <w:r w:rsidRPr="00A3389E">
              <w:rPr>
                <w:rFonts w:ascii="Times New Roman" w:hAnsi="Times New Roman" w:cs="Times New Roman"/>
                <w:sz w:val="24"/>
              </w:rPr>
              <w:t>tomto stĺpci sa okrem toho zverejňujú všetky záväzky okrem tých, ktoré i) sú relevantné pre uplatňovanie požiadaviek tretej časti hlavy II kapitoly 4 CRR alebo ii) sú relevantné pre uplatňovanie požiadaviek tretej časti hlavy II kapitoly 6 CRR</w:t>
            </w:r>
            <w:r w:rsidR="00A3389E">
              <w:rPr>
                <w:rFonts w:ascii="Times New Roman" w:hAnsi="Times New Roman" w:cs="Times New Roman"/>
                <w:sz w:val="24"/>
              </w:rPr>
              <w:t xml:space="preserve"> a </w:t>
            </w:r>
            <w:r w:rsidRPr="00A3389E">
              <w:rPr>
                <w:rFonts w:ascii="Times New Roman" w:hAnsi="Times New Roman" w:cs="Times New Roman"/>
                <w:sz w:val="24"/>
              </w:rPr>
              <w:t>tretej časti hlavy IV CRR.</w:t>
            </w:r>
          </w:p>
        </w:tc>
      </w:tr>
      <w:tr w:rsidR="007B082B" w:rsidRPr="00A3389E" w14:paraId="4063820F" w14:textId="77777777" w:rsidTr="00803BB4">
        <w:trPr>
          <w:trHeight w:val="238"/>
        </w:trPr>
        <w:tc>
          <w:tcPr>
            <w:tcW w:w="1384" w:type="dxa"/>
            <w:shd w:val="clear" w:color="auto" w:fill="FFFFFF" w:themeFill="background1"/>
          </w:tcPr>
          <w:p w14:paraId="0733C189"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lastRenderedPageBreak/>
              <w:t>všetky</w:t>
            </w:r>
          </w:p>
        </w:tc>
        <w:tc>
          <w:tcPr>
            <w:tcW w:w="7655" w:type="dxa"/>
            <w:shd w:val="clear" w:color="auto" w:fill="FFFFFF" w:themeFill="background1"/>
          </w:tcPr>
          <w:p w14:paraId="679453E6" w14:textId="4F72394A" w:rsidR="007B082B" w:rsidRPr="00A3389E" w:rsidRDefault="007B082B" w:rsidP="00803BB4">
            <w:pPr>
              <w:spacing w:before="60" w:after="120"/>
              <w:ind w:left="34"/>
              <w:jc w:val="both"/>
              <w:rPr>
                <w:rFonts w:ascii="Times New Roman" w:eastAsia="Times New Roman" w:hAnsi="Times New Roman" w:cs="Times New Roman"/>
                <w:b/>
                <w:color w:val="000000" w:themeColor="text1"/>
                <w:sz w:val="24"/>
              </w:rPr>
            </w:pPr>
            <w:r w:rsidRPr="00A3389E">
              <w:rPr>
                <w:rFonts w:ascii="Times New Roman" w:hAnsi="Times New Roman" w:cs="Times New Roman"/>
                <w:sz w:val="24"/>
              </w:rPr>
              <w:t>Ak sa na jednu položku vzťahujú kapitálové požiadavky podľa viac než jedného rámca rizika, hodnoty sa zverejňujú vo všetkých stĺpcoch zodpovedajúcich kapitálovým požiadavkám, ktorých sa týkajú.</w:t>
            </w:r>
            <w:r w:rsidR="00A3389E">
              <w:rPr>
                <w:rFonts w:ascii="Times New Roman" w:hAnsi="Times New Roman" w:cs="Times New Roman"/>
                <w:sz w:val="24"/>
              </w:rPr>
              <w:t xml:space="preserve"> V </w:t>
            </w:r>
            <w:r w:rsidRPr="00A3389E">
              <w:rPr>
                <w:rFonts w:ascii="Times New Roman" w:hAnsi="Times New Roman" w:cs="Times New Roman"/>
                <w:sz w:val="24"/>
              </w:rPr>
              <w:t>dôsledku toho môže byť súčet súm</w:t>
            </w:r>
            <w:r w:rsidR="00A3389E">
              <w:rPr>
                <w:rFonts w:ascii="Times New Roman" w:hAnsi="Times New Roman" w:cs="Times New Roman"/>
                <w:sz w:val="24"/>
              </w:rPr>
              <w:t xml:space="preserve"> v </w:t>
            </w:r>
            <w:r w:rsidRPr="00A3389E">
              <w:rPr>
                <w:rFonts w:ascii="Times New Roman" w:hAnsi="Times New Roman" w:cs="Times New Roman"/>
                <w:sz w:val="24"/>
              </w:rPr>
              <w:t>stĺpcoch c) až g) tohto vzoru väčší než suma</w:t>
            </w:r>
            <w:r w:rsidR="00A3389E">
              <w:rPr>
                <w:rFonts w:ascii="Times New Roman" w:hAnsi="Times New Roman" w:cs="Times New Roman"/>
                <w:sz w:val="24"/>
              </w:rPr>
              <w:t xml:space="preserve"> v </w:t>
            </w:r>
            <w:r w:rsidRPr="00A3389E">
              <w:rPr>
                <w:rFonts w:ascii="Times New Roman" w:hAnsi="Times New Roman" w:cs="Times New Roman"/>
                <w:sz w:val="24"/>
              </w:rPr>
              <w:t>stĺpci b) tohto vzoru. Inštitúcie poskytujú kvalitatívne vysvetlenie aktív</w:t>
            </w:r>
            <w:r w:rsidR="00A3389E">
              <w:rPr>
                <w:rFonts w:ascii="Times New Roman" w:hAnsi="Times New Roman" w:cs="Times New Roman"/>
                <w:sz w:val="24"/>
              </w:rPr>
              <w:t xml:space="preserve"> a </w:t>
            </w:r>
            <w:r w:rsidRPr="00A3389E">
              <w:rPr>
                <w:rFonts w:ascii="Times New Roman" w:hAnsi="Times New Roman" w:cs="Times New Roman"/>
                <w:sz w:val="24"/>
              </w:rPr>
              <w:t>záväzkov, ktoré podliehajú kapitálovým požiadavkám</w:t>
            </w:r>
            <w:r w:rsidR="00A3389E">
              <w:rPr>
                <w:rFonts w:ascii="Times New Roman" w:hAnsi="Times New Roman" w:cs="Times New Roman"/>
                <w:sz w:val="24"/>
              </w:rPr>
              <w:t xml:space="preserve"> v </w:t>
            </w:r>
            <w:r w:rsidRPr="00A3389E">
              <w:rPr>
                <w:rFonts w:ascii="Times New Roman" w:hAnsi="Times New Roman" w:cs="Times New Roman"/>
                <w:sz w:val="24"/>
              </w:rPr>
              <w:t>prípade viac než jedného rámca rizika uvedeného</w:t>
            </w:r>
            <w:r w:rsidR="00A3389E">
              <w:rPr>
                <w:rFonts w:ascii="Times New Roman" w:hAnsi="Times New Roman" w:cs="Times New Roman"/>
                <w:sz w:val="24"/>
              </w:rPr>
              <w:t xml:space="preserve"> v </w:t>
            </w:r>
            <w:r w:rsidRPr="00A3389E">
              <w:rPr>
                <w:rFonts w:ascii="Times New Roman" w:hAnsi="Times New Roman" w:cs="Times New Roman"/>
                <w:sz w:val="24"/>
              </w:rPr>
              <w:t>tretej časti CRR.</w:t>
            </w:r>
          </w:p>
        </w:tc>
      </w:tr>
    </w:tbl>
    <w:p w14:paraId="44815BAE" w14:textId="77777777" w:rsidR="007B082B" w:rsidRPr="00A3389E" w:rsidRDefault="007B082B" w:rsidP="007B082B">
      <w:pPr>
        <w:spacing w:after="120"/>
        <w:jc w:val="both"/>
        <w:rPr>
          <w:rFonts w:ascii="Times New Roman" w:hAnsi="Times New Roman" w:cs="Times New Roman"/>
          <w:b/>
          <w:sz w:val="24"/>
        </w:rPr>
      </w:pPr>
    </w:p>
    <w:p w14:paraId="72BEF258" w14:textId="3ADA0BEA" w:rsidR="00A3389E" w:rsidRPr="00A3389E" w:rsidRDefault="00D96A21" w:rsidP="007B082B">
      <w:pPr>
        <w:spacing w:after="120"/>
        <w:jc w:val="both"/>
        <w:rPr>
          <w:rFonts w:ascii="Times New Roman" w:hAnsi="Times New Roman" w:cs="Times New Roman"/>
          <w:sz w:val="24"/>
        </w:rPr>
      </w:pPr>
      <w:r w:rsidRPr="00A3389E">
        <w:rPr>
          <w:rFonts w:ascii="Times New Roman" w:hAnsi="Times New Roman" w:cs="Times New Roman"/>
          <w:b/>
          <w:sz w:val="24"/>
        </w:rPr>
        <w:t>Vzor EU LI2 – Hlavné zdroje rozdielov medzi regulačnými hodnotami expozícií</w:t>
      </w:r>
      <w:r w:rsidR="00A3389E">
        <w:rPr>
          <w:rFonts w:ascii="Times New Roman" w:hAnsi="Times New Roman" w:cs="Times New Roman"/>
          <w:b/>
          <w:sz w:val="24"/>
        </w:rPr>
        <w:t xml:space="preserve"> a </w:t>
      </w:r>
      <w:r w:rsidRPr="00A3389E">
        <w:rPr>
          <w:rFonts w:ascii="Times New Roman" w:hAnsi="Times New Roman" w:cs="Times New Roman"/>
          <w:b/>
          <w:sz w:val="24"/>
        </w:rPr>
        <w:t>účtovnými hodnotami</w:t>
      </w:r>
      <w:r w:rsidR="00A3389E">
        <w:rPr>
          <w:rFonts w:ascii="Times New Roman" w:hAnsi="Times New Roman" w:cs="Times New Roman"/>
          <w:b/>
          <w:sz w:val="24"/>
        </w:rPr>
        <w:t xml:space="preserve"> v </w:t>
      </w:r>
      <w:r w:rsidRPr="00A3389E">
        <w:rPr>
          <w:rFonts w:ascii="Times New Roman" w:hAnsi="Times New Roman" w:cs="Times New Roman"/>
          <w:b/>
          <w:sz w:val="24"/>
        </w:rPr>
        <w:t xml:space="preserve">účtovnej závierke. </w:t>
      </w:r>
      <w:r w:rsidRPr="00A3389E">
        <w:rPr>
          <w:rFonts w:ascii="Times New Roman" w:hAnsi="Times New Roman" w:cs="Times New Roman"/>
          <w:sz w:val="24"/>
        </w:rPr>
        <w:t>Pevný formát</w:t>
      </w:r>
      <w:r w:rsidR="00A3389E" w:rsidRPr="00A3389E">
        <w:rPr>
          <w:rFonts w:ascii="Times New Roman" w:hAnsi="Times New Roman" w:cs="Times New Roman"/>
          <w:sz w:val="24"/>
        </w:rPr>
        <w:t>.</w:t>
      </w:r>
    </w:p>
    <w:p w14:paraId="6EE0E7BA" w14:textId="3FBE876A" w:rsidR="007B082B" w:rsidRPr="00A3389E" w:rsidRDefault="00A3389E" w:rsidP="00A3389E">
      <w:pPr>
        <w:spacing w:before="120" w:after="120"/>
        <w:ind w:left="425" w:hanging="357"/>
        <w:jc w:val="both"/>
        <w:rPr>
          <w:rFonts w:ascii="Times New Roman" w:hAnsi="Times New Roman"/>
          <w:color w:val="000000" w:themeColor="text1"/>
          <w:sz w:val="24"/>
        </w:rPr>
      </w:pPr>
      <w:r w:rsidRPr="00A3389E">
        <w:rPr>
          <w:rFonts w:ascii="Times New Roman" w:eastAsia="Calibri" w:hAnsi="Times New Roman" w:cs="Times New Roman"/>
          <w:color w:val="000000" w:themeColor="text1"/>
          <w:sz w:val="24"/>
          <w:szCs w:val="22"/>
        </w:rPr>
        <w:t>2.</w:t>
      </w:r>
      <w:r w:rsidRPr="00A3389E">
        <w:rPr>
          <w:rFonts w:ascii="Times New Roman" w:eastAsia="Calibri" w:hAnsi="Times New Roman" w:cs="Times New Roman"/>
          <w:color w:val="000000" w:themeColor="text1"/>
          <w:sz w:val="24"/>
          <w:szCs w:val="22"/>
        </w:rPr>
        <w:tab/>
      </w:r>
      <w:r w:rsidR="007B082B" w:rsidRPr="00A3389E">
        <w:rPr>
          <w:rFonts w:ascii="Times New Roman" w:hAnsi="Times New Roman"/>
          <w:sz w:val="24"/>
        </w:rPr>
        <w:t xml:space="preserve">Inštitúcie </w:t>
      </w:r>
      <w:r w:rsidR="007B082B" w:rsidRPr="00A3389E">
        <w:rPr>
          <w:rFonts w:ascii="Times New Roman" w:hAnsi="Times New Roman"/>
          <w:color w:val="000000" w:themeColor="text1"/>
          <w:sz w:val="24"/>
        </w:rPr>
        <w:t>zverejňujú informácie uvedené</w:t>
      </w:r>
      <w:r>
        <w:rPr>
          <w:rFonts w:ascii="Times New Roman" w:hAnsi="Times New Roman"/>
          <w:color w:val="000000" w:themeColor="text1"/>
          <w:sz w:val="24"/>
        </w:rPr>
        <w:t xml:space="preserve"> v </w:t>
      </w:r>
      <w:r w:rsidR="007B082B" w:rsidRPr="00A3389E">
        <w:rPr>
          <w:rFonts w:ascii="Times New Roman" w:hAnsi="Times New Roman"/>
          <w:color w:val="000000" w:themeColor="text1"/>
          <w:sz w:val="24"/>
        </w:rPr>
        <w:t>článku 436 písm. d) CRR</w:t>
      </w:r>
      <w:r w:rsidR="007B082B" w:rsidRPr="00A3389E">
        <w:rPr>
          <w:rFonts w:ascii="Times New Roman" w:hAnsi="Times New Roman"/>
          <w:sz w:val="24"/>
        </w:rPr>
        <w:t xml:space="preserve"> podľa pokynov uvedených nižšie</w:t>
      </w:r>
      <w:r>
        <w:rPr>
          <w:rFonts w:ascii="Times New Roman" w:hAnsi="Times New Roman"/>
          <w:sz w:val="24"/>
        </w:rPr>
        <w:t xml:space="preserve"> v </w:t>
      </w:r>
      <w:r w:rsidR="007B082B" w:rsidRPr="00A3389E">
        <w:rPr>
          <w:rFonts w:ascii="Times New Roman" w:hAnsi="Times New Roman"/>
          <w:sz w:val="24"/>
        </w:rPr>
        <w:t>tejto prílohe</w:t>
      </w:r>
      <w:r>
        <w:rPr>
          <w:rFonts w:ascii="Times New Roman" w:hAnsi="Times New Roman"/>
          <w:sz w:val="24"/>
        </w:rPr>
        <w:t xml:space="preserve"> s </w:t>
      </w:r>
      <w:r w:rsidR="007B082B" w:rsidRPr="00A3389E">
        <w:rPr>
          <w:rFonts w:ascii="Times New Roman" w:hAnsi="Times New Roman"/>
          <w:sz w:val="24"/>
        </w:rPr>
        <w:t>cieľom vyplniť vzor EU LI2, ktorý je uvedený</w:t>
      </w:r>
      <w:r>
        <w:rPr>
          <w:rFonts w:ascii="Times New Roman" w:hAnsi="Times New Roman"/>
          <w:sz w:val="24"/>
        </w:rPr>
        <w:t xml:space="preserve"> v </w:t>
      </w:r>
      <w:r w:rsidR="007B082B" w:rsidRPr="00A3389E">
        <w:rPr>
          <w:rFonts w:ascii="Times New Roman" w:hAnsi="Times New Roman"/>
          <w:sz w:val="24"/>
        </w:rPr>
        <w:t>prílohe</w:t>
      </w:r>
      <w:r>
        <w:rPr>
          <w:rFonts w:ascii="Times New Roman" w:hAnsi="Times New Roman"/>
          <w:sz w:val="24"/>
        </w:rPr>
        <w:t xml:space="preserve"> V k </w:t>
      </w:r>
      <w:r w:rsidR="007B082B" w:rsidRPr="00A3389E">
        <w:rPr>
          <w:rFonts w:ascii="Times New Roman" w:hAnsi="Times New Roman"/>
          <w:sz w:val="24"/>
        </w:rPr>
        <w:t>tomuto vykonávaciemu nariadeniu</w:t>
      </w:r>
      <w:r w:rsidR="007B082B" w:rsidRPr="00A3389E">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A3389E"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E6EE6CF" w:rsidR="007B082B" w:rsidRPr="00A3389E" w:rsidRDefault="007B082B" w:rsidP="00803BB4">
            <w:pPr>
              <w:rPr>
                <w:rFonts w:ascii="Times New Roman" w:hAnsi="Times New Roman" w:cs="Times New Roman"/>
                <w:b/>
                <w:sz w:val="24"/>
                <w:highlight w:val="yellow"/>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7B082B" w:rsidRPr="00A3389E" w14:paraId="37213F9B" w14:textId="77777777" w:rsidTr="00803BB4">
        <w:trPr>
          <w:trHeight w:val="238"/>
        </w:trPr>
        <w:tc>
          <w:tcPr>
            <w:tcW w:w="1384" w:type="dxa"/>
            <w:shd w:val="clear" w:color="auto" w:fill="D9D9D9" w:themeFill="background1" w:themeFillShade="D9"/>
          </w:tcPr>
          <w:p w14:paraId="5549AE08" w14:textId="77777777" w:rsidR="007B082B" w:rsidRPr="00A3389E" w:rsidRDefault="007B082B" w:rsidP="00803BB4">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06A65BED" w14:textId="77777777" w:rsidR="007B082B" w:rsidRPr="00A3389E" w:rsidRDefault="007B082B"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7B082B" w:rsidRPr="00A3389E" w14:paraId="0155D466" w14:textId="77777777" w:rsidTr="00803BB4">
        <w:trPr>
          <w:trHeight w:val="238"/>
        </w:trPr>
        <w:tc>
          <w:tcPr>
            <w:tcW w:w="1384" w:type="dxa"/>
            <w:shd w:val="clear" w:color="auto" w:fill="FFFFFF" w:themeFill="background1"/>
          </w:tcPr>
          <w:p w14:paraId="1191F31B"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1</w:t>
            </w:r>
          </w:p>
        </w:tc>
        <w:tc>
          <w:tcPr>
            <w:tcW w:w="7655" w:type="dxa"/>
            <w:shd w:val="clear" w:color="auto" w:fill="FFFFFF" w:themeFill="background1"/>
          </w:tcPr>
          <w:p w14:paraId="27280576" w14:textId="7D6C3534"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Účtovná hodnota aktív</w:t>
            </w:r>
            <w:r w:rsidR="00A3389E">
              <w:rPr>
                <w:rFonts w:ascii="Times New Roman" w:hAnsi="Times New Roman" w:cs="Times New Roman"/>
                <w:b/>
                <w:sz w:val="24"/>
              </w:rPr>
              <w:t xml:space="preserve"> v </w:t>
            </w:r>
            <w:r w:rsidRPr="00A3389E">
              <w:rPr>
                <w:rFonts w:ascii="Times New Roman" w:hAnsi="Times New Roman" w:cs="Times New Roman"/>
                <w:b/>
                <w:sz w:val="24"/>
              </w:rPr>
              <w:t>prudenciálnom rozsahu konsolidácie</w:t>
            </w:r>
          </w:p>
          <w:p w14:paraId="4566519D" w14:textId="5C025E0D" w:rsidR="007B082B" w:rsidRPr="00A3389E" w:rsidRDefault="007B082B" w:rsidP="00803BB4">
            <w:pPr>
              <w:spacing w:before="60" w:after="120"/>
              <w:jc w:val="both"/>
              <w:rPr>
                <w:rFonts w:ascii="Times New Roman" w:hAnsi="Times New Roman" w:cs="Times New Roman"/>
                <w:b/>
                <w:sz w:val="24"/>
              </w:rPr>
            </w:pPr>
            <w:r w:rsidRPr="00A3389E">
              <w:rPr>
                <w:rFonts w:ascii="Times New Roman" w:hAnsi="Times New Roman" w:cs="Times New Roman"/>
                <w:sz w:val="24"/>
              </w:rPr>
              <w:t>Hodnoty</w:t>
            </w:r>
            <w:r w:rsidR="00A3389E">
              <w:rPr>
                <w:rFonts w:ascii="Times New Roman" w:hAnsi="Times New Roman" w:cs="Times New Roman"/>
                <w:sz w:val="24"/>
              </w:rPr>
              <w:t xml:space="preserve"> v </w:t>
            </w:r>
            <w:r w:rsidRPr="00A3389E">
              <w:rPr>
                <w:rFonts w:ascii="Times New Roman" w:hAnsi="Times New Roman" w:cs="Times New Roman"/>
                <w:sz w:val="24"/>
              </w:rPr>
              <w:t>stĺpcoch b) až e) tohto vzoru sú rovnaké ako hodnoty</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stĺpcoch c) až f) vzoru EU LI1. </w:t>
            </w:r>
          </w:p>
        </w:tc>
      </w:tr>
      <w:tr w:rsidR="007B082B" w:rsidRPr="00A3389E" w14:paraId="2B977FE4" w14:textId="77777777" w:rsidTr="00803BB4">
        <w:trPr>
          <w:trHeight w:val="238"/>
        </w:trPr>
        <w:tc>
          <w:tcPr>
            <w:tcW w:w="1384" w:type="dxa"/>
            <w:shd w:val="clear" w:color="auto" w:fill="FFFFFF" w:themeFill="background1"/>
          </w:tcPr>
          <w:p w14:paraId="54C1F0CB"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2</w:t>
            </w:r>
          </w:p>
        </w:tc>
        <w:tc>
          <w:tcPr>
            <w:tcW w:w="7655" w:type="dxa"/>
            <w:shd w:val="clear" w:color="auto" w:fill="FFFFFF" w:themeFill="background1"/>
          </w:tcPr>
          <w:p w14:paraId="2F3F8E3D" w14:textId="45E345E2" w:rsidR="007B082B" w:rsidRPr="00A3389E" w:rsidRDefault="007B082B" w:rsidP="00803BB4">
            <w:pPr>
              <w:autoSpaceDE w:val="0"/>
              <w:autoSpaceDN w:val="0"/>
              <w:adjustRightInd w:val="0"/>
              <w:spacing w:before="60" w:after="120"/>
              <w:rPr>
                <w:rFonts w:ascii="Times New Roman" w:hAnsi="Times New Roman" w:cs="Times New Roman"/>
                <w:b/>
                <w:sz w:val="24"/>
              </w:rPr>
            </w:pPr>
            <w:r w:rsidRPr="00A3389E">
              <w:rPr>
                <w:rFonts w:ascii="Times New Roman" w:hAnsi="Times New Roman" w:cs="Times New Roman"/>
                <w:b/>
                <w:sz w:val="24"/>
              </w:rPr>
              <w:t>Účtovná hodnota záväzkov</w:t>
            </w:r>
            <w:r w:rsidR="00A3389E">
              <w:rPr>
                <w:rFonts w:ascii="Times New Roman" w:hAnsi="Times New Roman" w:cs="Times New Roman"/>
                <w:b/>
                <w:sz w:val="24"/>
              </w:rPr>
              <w:t xml:space="preserve"> v </w:t>
            </w:r>
            <w:r w:rsidRPr="00A3389E">
              <w:rPr>
                <w:rFonts w:ascii="Times New Roman" w:hAnsi="Times New Roman" w:cs="Times New Roman"/>
                <w:b/>
                <w:sz w:val="24"/>
              </w:rPr>
              <w:t>prudenciálnom rozsahu konsolidácie</w:t>
            </w:r>
          </w:p>
          <w:p w14:paraId="34408E15" w14:textId="3B480627" w:rsidR="007B082B" w:rsidRPr="00A3389E" w:rsidRDefault="007B082B" w:rsidP="00803BB4">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sz w:val="24"/>
              </w:rPr>
              <w:lastRenderedPageBreak/>
              <w:t>Hodnoty</w:t>
            </w:r>
            <w:r w:rsidR="00A3389E">
              <w:rPr>
                <w:rFonts w:ascii="Times New Roman" w:hAnsi="Times New Roman" w:cs="Times New Roman"/>
                <w:sz w:val="24"/>
              </w:rPr>
              <w:t xml:space="preserve"> v </w:t>
            </w:r>
            <w:r w:rsidRPr="00A3389E">
              <w:rPr>
                <w:rFonts w:ascii="Times New Roman" w:hAnsi="Times New Roman" w:cs="Times New Roman"/>
                <w:sz w:val="24"/>
              </w:rPr>
              <w:t>stĺpcoch b) až e) tohto vzoru sú rovnaké ako hodnoty</w:t>
            </w:r>
            <w:r w:rsidR="00A3389E">
              <w:rPr>
                <w:rFonts w:ascii="Times New Roman" w:hAnsi="Times New Roman" w:cs="Times New Roman"/>
                <w:sz w:val="24"/>
              </w:rPr>
              <w:t xml:space="preserve"> v </w:t>
            </w:r>
            <w:r w:rsidRPr="00A3389E">
              <w:rPr>
                <w:rFonts w:ascii="Times New Roman" w:hAnsi="Times New Roman" w:cs="Times New Roman"/>
                <w:sz w:val="24"/>
              </w:rPr>
              <w:t>stĺpcoch c) až f) vzoru EU LI1.</w:t>
            </w:r>
          </w:p>
        </w:tc>
      </w:tr>
      <w:tr w:rsidR="007B082B" w:rsidRPr="00A3389E" w14:paraId="154099F0" w14:textId="77777777" w:rsidTr="00803BB4">
        <w:trPr>
          <w:trHeight w:val="238"/>
        </w:trPr>
        <w:tc>
          <w:tcPr>
            <w:tcW w:w="1384" w:type="dxa"/>
            <w:shd w:val="clear" w:color="auto" w:fill="FFFFFF" w:themeFill="background1"/>
          </w:tcPr>
          <w:p w14:paraId="6E121382"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lastRenderedPageBreak/>
              <w:t>3</w:t>
            </w:r>
          </w:p>
        </w:tc>
        <w:tc>
          <w:tcPr>
            <w:tcW w:w="7655" w:type="dxa"/>
            <w:shd w:val="clear" w:color="auto" w:fill="FFFFFF" w:themeFill="background1"/>
          </w:tcPr>
          <w:p w14:paraId="0D0B7690" w14:textId="6639412F" w:rsidR="00A3389E" w:rsidRPr="00A3389E" w:rsidRDefault="007B082B" w:rsidP="00803BB4">
            <w:pPr>
              <w:spacing w:before="60" w:after="120"/>
              <w:jc w:val="both"/>
              <w:rPr>
                <w:rFonts w:ascii="Times New Roman" w:hAnsi="Times New Roman" w:cs="Times New Roman"/>
                <w:b/>
                <w:sz w:val="24"/>
              </w:rPr>
            </w:pPr>
            <w:r w:rsidRPr="00A3389E">
              <w:rPr>
                <w:rFonts w:ascii="Times New Roman" w:hAnsi="Times New Roman" w:cs="Times New Roman"/>
                <w:b/>
                <w:sz w:val="24"/>
              </w:rPr>
              <w:t>Celková čistá hodnota</w:t>
            </w:r>
            <w:r w:rsidR="00A3389E">
              <w:rPr>
                <w:rFonts w:ascii="Times New Roman" w:hAnsi="Times New Roman" w:cs="Times New Roman"/>
                <w:b/>
                <w:sz w:val="24"/>
              </w:rPr>
              <w:t xml:space="preserve"> v </w:t>
            </w:r>
            <w:r w:rsidRPr="00A3389E">
              <w:rPr>
                <w:rFonts w:ascii="Times New Roman" w:hAnsi="Times New Roman" w:cs="Times New Roman"/>
                <w:b/>
                <w:sz w:val="24"/>
              </w:rPr>
              <w:t>prudenciálnom rozsahu konsolidácie</w:t>
            </w:r>
          </w:p>
          <w:p w14:paraId="38F6AC9F" w14:textId="4EF98E79"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Suma po vzájomnom započítaní</w:t>
            </w:r>
            <w:r w:rsidR="00A3389E">
              <w:rPr>
                <w:rFonts w:ascii="Times New Roman" w:hAnsi="Times New Roman" w:cs="Times New Roman"/>
                <w:sz w:val="24"/>
              </w:rPr>
              <w:t xml:space="preserve"> v </w:t>
            </w:r>
            <w:r w:rsidRPr="00A3389E">
              <w:rPr>
                <w:rFonts w:ascii="Times New Roman" w:hAnsi="Times New Roman" w:cs="Times New Roman"/>
                <w:sz w:val="24"/>
              </w:rPr>
              <w:t>súvahe medzi aktívami</w:t>
            </w:r>
            <w:r w:rsidR="00A3389E">
              <w:rPr>
                <w:rFonts w:ascii="Times New Roman" w:hAnsi="Times New Roman" w:cs="Times New Roman"/>
                <w:sz w:val="24"/>
              </w:rPr>
              <w:t xml:space="preserve"> a </w:t>
            </w:r>
            <w:r w:rsidRPr="00A3389E">
              <w:rPr>
                <w:rFonts w:ascii="Times New Roman" w:hAnsi="Times New Roman" w:cs="Times New Roman"/>
                <w:sz w:val="24"/>
              </w:rPr>
              <w:t>záväzkami podľa prudenciálneho rozsahu konsolidácie bez ohľadu na prípustnosť uvedených aktív</w:t>
            </w:r>
            <w:r w:rsidR="00A3389E">
              <w:rPr>
                <w:rFonts w:ascii="Times New Roman" w:hAnsi="Times New Roman" w:cs="Times New Roman"/>
                <w:sz w:val="24"/>
              </w:rPr>
              <w:t xml:space="preserve"> a </w:t>
            </w:r>
            <w:r w:rsidRPr="00A3389E">
              <w:rPr>
                <w:rFonts w:ascii="Times New Roman" w:hAnsi="Times New Roman" w:cs="Times New Roman"/>
                <w:sz w:val="24"/>
              </w:rPr>
              <w:t>záväzkov podľa špecifických pravidiel vzájomného započítavania pri uplatňovaní tretej časti hlavy II kapitol 4</w:t>
            </w:r>
            <w:r w:rsidR="00A3389E">
              <w:rPr>
                <w:rFonts w:ascii="Times New Roman" w:hAnsi="Times New Roman" w:cs="Times New Roman"/>
                <w:sz w:val="24"/>
              </w:rPr>
              <w:t xml:space="preserve"> a </w:t>
            </w:r>
            <w:r w:rsidRPr="00A3389E">
              <w:rPr>
                <w:rFonts w:ascii="Times New Roman" w:hAnsi="Times New Roman" w:cs="Times New Roman"/>
                <w:sz w:val="24"/>
              </w:rPr>
              <w:t>5 CRR, ako aj tretej časti hlavy IV CRR.</w:t>
            </w:r>
          </w:p>
          <w:p w14:paraId="6A493344" w14:textId="38C684B8" w:rsidR="007B082B" w:rsidRPr="00A3389E" w:rsidRDefault="007B082B" w:rsidP="00803BB4">
            <w:pPr>
              <w:spacing w:before="60" w:after="120"/>
              <w:jc w:val="both"/>
              <w:rPr>
                <w:rFonts w:ascii="Times New Roman" w:eastAsia="Times New Roman" w:hAnsi="Times New Roman" w:cs="Times New Roman"/>
                <w:color w:val="3F8BD0" w:themeColor="accent6" w:themeTint="99"/>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tomto riadku sa rovná hodnote</w:t>
            </w:r>
            <w:r w:rsidR="00A3389E">
              <w:rPr>
                <w:rFonts w:ascii="Times New Roman" w:hAnsi="Times New Roman" w:cs="Times New Roman"/>
                <w:sz w:val="24"/>
              </w:rPr>
              <w:t xml:space="preserve"> v </w:t>
            </w:r>
            <w:r w:rsidRPr="00A3389E">
              <w:rPr>
                <w:rFonts w:ascii="Times New Roman" w:hAnsi="Times New Roman" w:cs="Times New Roman"/>
                <w:sz w:val="24"/>
              </w:rPr>
              <w:t>riadku 1, od ktorej sa odpočíta hodnota</w:t>
            </w:r>
            <w:r w:rsidR="00A3389E">
              <w:rPr>
                <w:rFonts w:ascii="Times New Roman" w:hAnsi="Times New Roman" w:cs="Times New Roman"/>
                <w:sz w:val="24"/>
              </w:rPr>
              <w:t xml:space="preserve"> v </w:t>
            </w:r>
            <w:r w:rsidRPr="00A3389E">
              <w:rPr>
                <w:rFonts w:ascii="Times New Roman" w:hAnsi="Times New Roman" w:cs="Times New Roman"/>
                <w:sz w:val="24"/>
              </w:rPr>
              <w:t>riadku 2 tohto vzoru.</w:t>
            </w:r>
          </w:p>
        </w:tc>
      </w:tr>
      <w:tr w:rsidR="007B082B" w:rsidRPr="00A3389E" w14:paraId="59D84781" w14:textId="77777777" w:rsidTr="00803BB4">
        <w:trPr>
          <w:trHeight w:val="238"/>
        </w:trPr>
        <w:tc>
          <w:tcPr>
            <w:tcW w:w="1384" w:type="dxa"/>
            <w:shd w:val="clear" w:color="auto" w:fill="FFFFFF" w:themeFill="background1"/>
          </w:tcPr>
          <w:p w14:paraId="6A5E44AE"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4</w:t>
            </w:r>
          </w:p>
        </w:tc>
        <w:tc>
          <w:tcPr>
            <w:tcW w:w="7655" w:type="dxa"/>
            <w:shd w:val="clear" w:color="auto" w:fill="FFFFFF" w:themeFill="background1"/>
          </w:tcPr>
          <w:p w14:paraId="3D7DC5C4" w14:textId="77777777"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Hodnoty podsúvahových expozícií</w:t>
            </w:r>
          </w:p>
          <w:p w14:paraId="1D18C207" w14:textId="1732F6A1"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Zahrnú sa podsúvahové pôvodné expozície pred použitím konverzného faktora, ak je to relevantné, zo zostavenej podsúvahy podľa prudenciálneho rozsahu konsolidácie</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stĺpcoch a) až d) tohto vzoru. </w:t>
            </w:r>
          </w:p>
        </w:tc>
      </w:tr>
      <w:tr w:rsidR="007B082B" w:rsidRPr="00A3389E" w14:paraId="717262CA" w14:textId="77777777" w:rsidTr="00803BB4">
        <w:trPr>
          <w:trHeight w:val="238"/>
        </w:trPr>
        <w:tc>
          <w:tcPr>
            <w:tcW w:w="1384" w:type="dxa"/>
            <w:shd w:val="clear" w:color="auto" w:fill="FFFFFF" w:themeFill="background1"/>
          </w:tcPr>
          <w:p w14:paraId="593C0C35"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5</w:t>
            </w:r>
          </w:p>
        </w:tc>
        <w:tc>
          <w:tcPr>
            <w:tcW w:w="7655" w:type="dxa"/>
            <w:shd w:val="clear" w:color="auto" w:fill="FFFFFF" w:themeFill="background1"/>
          </w:tcPr>
          <w:p w14:paraId="6FAD401E" w14:textId="520F452D" w:rsidR="007B082B" w:rsidRPr="00A3389E" w:rsidRDefault="007B082B" w:rsidP="00803BB4">
            <w:pPr>
              <w:spacing w:before="60" w:after="120"/>
              <w:jc w:val="both"/>
              <w:rPr>
                <w:rFonts w:ascii="Times New Roman" w:eastAsia="Times New Roman" w:hAnsi="Times New Roman" w:cs="Times New Roman"/>
                <w:b/>
                <w:i/>
                <w:sz w:val="24"/>
              </w:rPr>
            </w:pPr>
            <w:r w:rsidRPr="00A3389E">
              <w:rPr>
                <w:rFonts w:ascii="Times New Roman" w:hAnsi="Times New Roman" w:cs="Times New Roman"/>
                <w:b/>
                <w:i/>
                <w:sz w:val="24"/>
              </w:rPr>
              <w:t>Rozdiely</w:t>
            </w:r>
            <w:r w:rsidR="00A3389E">
              <w:rPr>
                <w:rFonts w:ascii="Times New Roman" w:hAnsi="Times New Roman" w:cs="Times New Roman"/>
                <w:b/>
                <w:i/>
                <w:sz w:val="24"/>
              </w:rPr>
              <w:t xml:space="preserve"> v </w:t>
            </w:r>
            <w:r w:rsidRPr="00A3389E">
              <w:rPr>
                <w:rFonts w:ascii="Times New Roman" w:hAnsi="Times New Roman" w:cs="Times New Roman"/>
                <w:b/>
                <w:i/>
                <w:sz w:val="24"/>
              </w:rPr>
              <w:t>oceneniach</w:t>
            </w:r>
          </w:p>
          <w:p w14:paraId="6481AA32" w14:textId="17269033"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Vplyv účtovnej hodnoty úprav ocenenia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druhou časťou hlavou I kapitolou 2 článkom 34 CRR</w:t>
            </w:r>
            <w:r w:rsidR="00A3389E">
              <w:rPr>
                <w:rFonts w:ascii="Times New Roman" w:hAnsi="Times New Roman" w:cs="Times New Roman"/>
                <w:sz w:val="24"/>
              </w:rPr>
              <w:t xml:space="preserve"> a </w:t>
            </w:r>
            <w:r w:rsidRPr="00A3389E">
              <w:rPr>
                <w:rFonts w:ascii="Times New Roman" w:hAnsi="Times New Roman" w:cs="Times New Roman"/>
                <w:sz w:val="24"/>
              </w:rPr>
              <w:t>treťou časťou hlavou I kapitolou 3 článkom 105 CRR na expozície</w:t>
            </w:r>
            <w:r w:rsidR="00A3389E">
              <w:rPr>
                <w:rFonts w:ascii="Times New Roman" w:hAnsi="Times New Roman" w:cs="Times New Roman"/>
                <w:sz w:val="24"/>
              </w:rPr>
              <w:t xml:space="preserve"> v </w:t>
            </w:r>
            <w:r w:rsidRPr="00A3389E">
              <w:rPr>
                <w:rFonts w:ascii="Times New Roman" w:hAnsi="Times New Roman" w:cs="Times New Roman"/>
                <w:sz w:val="24"/>
              </w:rPr>
              <w:t>obchodnej knihe</w:t>
            </w:r>
            <w:r w:rsidR="00A3389E">
              <w:rPr>
                <w:rFonts w:ascii="Times New Roman" w:hAnsi="Times New Roman" w:cs="Times New Roman"/>
                <w:sz w:val="24"/>
              </w:rPr>
              <w:t xml:space="preserve"> a </w:t>
            </w:r>
            <w:r w:rsidRPr="00A3389E">
              <w:rPr>
                <w:rFonts w:ascii="Times New Roman" w:hAnsi="Times New Roman" w:cs="Times New Roman"/>
                <w:sz w:val="24"/>
              </w:rPr>
              <w:t>neobchodnej knihe oceňované reálnou hodnotou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uplatniteľným účtovným rámcom.</w:t>
            </w:r>
          </w:p>
          <w:p w14:paraId="5D6B1E33" w14:textId="70DAC409"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sz w:val="24"/>
              </w:rPr>
              <w:t>Táto hodnota musí byť</w:t>
            </w:r>
            <w:r w:rsidR="00A3389E">
              <w:rPr>
                <w:rFonts w:ascii="Times New Roman" w:hAnsi="Times New Roman" w:cs="Times New Roman"/>
                <w:sz w:val="24"/>
              </w:rPr>
              <w:t xml:space="preserve"> v </w:t>
            </w:r>
            <w:r w:rsidRPr="00A3389E">
              <w:rPr>
                <w:rFonts w:ascii="Times New Roman" w:hAnsi="Times New Roman" w:cs="Times New Roman"/>
                <w:sz w:val="24"/>
              </w:rPr>
              <w:t>súlade so sumou uvedenou</w:t>
            </w:r>
            <w:r w:rsidR="00A3389E">
              <w:rPr>
                <w:rFonts w:ascii="Times New Roman" w:hAnsi="Times New Roman" w:cs="Times New Roman"/>
                <w:sz w:val="24"/>
              </w:rPr>
              <w:t xml:space="preserve"> v </w:t>
            </w:r>
            <w:r w:rsidRPr="00A3389E">
              <w:rPr>
                <w:rFonts w:ascii="Times New Roman" w:hAnsi="Times New Roman" w:cs="Times New Roman"/>
                <w:sz w:val="24"/>
              </w:rPr>
              <w:t>riadku 7 vzoru EU CC1, ako aj so sumou uvedenou</w:t>
            </w:r>
            <w:r w:rsidR="00A3389E">
              <w:rPr>
                <w:rFonts w:ascii="Times New Roman" w:hAnsi="Times New Roman" w:cs="Times New Roman"/>
                <w:sz w:val="24"/>
              </w:rPr>
              <w:t xml:space="preserve"> v </w:t>
            </w:r>
            <w:r w:rsidRPr="00A3389E">
              <w:rPr>
                <w:rFonts w:ascii="Times New Roman" w:hAnsi="Times New Roman" w:cs="Times New Roman"/>
                <w:sz w:val="24"/>
              </w:rPr>
              <w:t>riadku 12 stĺpci f) vzoru EU PV1.</w:t>
            </w:r>
          </w:p>
        </w:tc>
      </w:tr>
      <w:tr w:rsidR="007B082B" w:rsidRPr="00A3389E" w14:paraId="32EED095" w14:textId="77777777" w:rsidTr="00803BB4">
        <w:trPr>
          <w:trHeight w:val="238"/>
        </w:trPr>
        <w:tc>
          <w:tcPr>
            <w:tcW w:w="1384" w:type="dxa"/>
            <w:shd w:val="clear" w:color="auto" w:fill="FFFFFF" w:themeFill="background1"/>
          </w:tcPr>
          <w:p w14:paraId="4C44DE89"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6</w:t>
            </w:r>
          </w:p>
        </w:tc>
        <w:tc>
          <w:tcPr>
            <w:tcW w:w="7655" w:type="dxa"/>
            <w:shd w:val="clear" w:color="auto" w:fill="FFFFFF" w:themeFill="background1"/>
          </w:tcPr>
          <w:p w14:paraId="091A110E" w14:textId="578FB96F" w:rsidR="007B082B" w:rsidRPr="00A3389E" w:rsidRDefault="007B082B" w:rsidP="00803BB4">
            <w:pPr>
              <w:spacing w:before="60" w:after="120"/>
              <w:jc w:val="both"/>
              <w:rPr>
                <w:rFonts w:ascii="Times New Roman" w:eastAsia="Times New Roman" w:hAnsi="Times New Roman" w:cs="Times New Roman"/>
                <w:b/>
                <w:i/>
                <w:sz w:val="24"/>
              </w:rPr>
            </w:pPr>
            <w:r w:rsidRPr="00A3389E">
              <w:rPr>
                <w:rFonts w:ascii="Times New Roman" w:hAnsi="Times New Roman" w:cs="Times New Roman"/>
                <w:b/>
                <w:i/>
                <w:sz w:val="24"/>
              </w:rPr>
              <w:t>Rozdiely</w:t>
            </w:r>
            <w:r w:rsidR="00A3389E">
              <w:rPr>
                <w:rFonts w:ascii="Times New Roman" w:hAnsi="Times New Roman" w:cs="Times New Roman"/>
                <w:b/>
                <w:i/>
                <w:sz w:val="24"/>
              </w:rPr>
              <w:t xml:space="preserve"> v </w:t>
            </w:r>
            <w:r w:rsidRPr="00A3389E">
              <w:rPr>
                <w:rFonts w:ascii="Times New Roman" w:hAnsi="Times New Roman" w:cs="Times New Roman"/>
                <w:b/>
                <w:i/>
                <w:sz w:val="24"/>
              </w:rPr>
              <w:t>dôsledku rôznych pravidiel vzájomného započítavania okrem pravidiel, ktoré už sú zahrnuté</w:t>
            </w:r>
            <w:r w:rsidR="00A3389E">
              <w:rPr>
                <w:rFonts w:ascii="Times New Roman" w:hAnsi="Times New Roman" w:cs="Times New Roman"/>
                <w:b/>
                <w:i/>
                <w:sz w:val="24"/>
              </w:rPr>
              <w:t xml:space="preserve"> v </w:t>
            </w:r>
            <w:r w:rsidRPr="00A3389E">
              <w:rPr>
                <w:rFonts w:ascii="Times New Roman" w:hAnsi="Times New Roman" w:cs="Times New Roman"/>
                <w:b/>
                <w:i/>
                <w:sz w:val="24"/>
              </w:rPr>
              <w:t>riadku 2 tohto vzoru</w:t>
            </w:r>
          </w:p>
          <w:p w14:paraId="480CED0C" w14:textId="01F1AE89" w:rsidR="007B082B" w:rsidRPr="00A3389E" w:rsidRDefault="007B082B" w:rsidP="00803BB4">
            <w:pPr>
              <w:spacing w:before="60" w:after="120"/>
              <w:jc w:val="both"/>
              <w:rPr>
                <w:rFonts w:ascii="Times New Roman" w:eastAsia="Times New Roman" w:hAnsi="Times New Roman" w:cs="Times New Roman"/>
                <w:i/>
                <w:sz w:val="24"/>
              </w:rPr>
            </w:pPr>
            <w:r w:rsidRPr="00A3389E">
              <w:rPr>
                <w:rFonts w:ascii="Times New Roman" w:hAnsi="Times New Roman" w:cs="Times New Roman"/>
                <w:sz w:val="24"/>
              </w:rPr>
              <w:t>Táto položka sa vzťahuje na čistú hodnotu súvahových</w:t>
            </w:r>
            <w:r w:rsidR="00A3389E">
              <w:rPr>
                <w:rFonts w:ascii="Times New Roman" w:hAnsi="Times New Roman" w:cs="Times New Roman"/>
                <w:sz w:val="24"/>
              </w:rPr>
              <w:t xml:space="preserve"> a </w:t>
            </w:r>
            <w:r w:rsidRPr="00A3389E">
              <w:rPr>
                <w:rFonts w:ascii="Times New Roman" w:hAnsi="Times New Roman" w:cs="Times New Roman"/>
                <w:sz w:val="24"/>
              </w:rPr>
              <w:t>podsúvahových expozícií po uplatnení špecifických pravidiel vzájomného započítavania uvedených</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kapitolách 4</w:t>
            </w:r>
            <w:r w:rsidR="00A3389E">
              <w:rPr>
                <w:rFonts w:ascii="Times New Roman" w:hAnsi="Times New Roman" w:cs="Times New Roman"/>
                <w:sz w:val="24"/>
              </w:rPr>
              <w:t xml:space="preserve"> a </w:t>
            </w:r>
            <w:r w:rsidRPr="00A3389E">
              <w:rPr>
                <w:rFonts w:ascii="Times New Roman" w:hAnsi="Times New Roman" w:cs="Times New Roman"/>
                <w:sz w:val="24"/>
              </w:rPr>
              <w:t>5 CRR, ako aj</w:t>
            </w:r>
            <w:r w:rsidR="00A3389E">
              <w:rPr>
                <w:rFonts w:ascii="Times New Roman" w:hAnsi="Times New Roman" w:cs="Times New Roman"/>
                <w:sz w:val="24"/>
              </w:rPr>
              <w:t xml:space="preserve"> v </w:t>
            </w:r>
            <w:r w:rsidRPr="00A3389E">
              <w:rPr>
                <w:rFonts w:ascii="Times New Roman" w:hAnsi="Times New Roman" w:cs="Times New Roman"/>
                <w:sz w:val="24"/>
              </w:rPr>
              <w:t>tretej časti hlave IV CRR. Vplyv uplatnenia pravidiel vzájomného započítavania môže byť negatívny (ak sa musí vzájomne započítať viac expozícií než pri použití vzájomného započítavania</w:t>
            </w:r>
            <w:r w:rsidR="00A3389E">
              <w:rPr>
                <w:rFonts w:ascii="Times New Roman" w:hAnsi="Times New Roman" w:cs="Times New Roman"/>
                <w:sz w:val="24"/>
              </w:rPr>
              <w:t xml:space="preserve"> v </w:t>
            </w:r>
            <w:r w:rsidRPr="00A3389E">
              <w:rPr>
                <w:rFonts w:ascii="Times New Roman" w:hAnsi="Times New Roman" w:cs="Times New Roman"/>
                <w:sz w:val="24"/>
              </w:rPr>
              <w:t>súvahe</w:t>
            </w:r>
            <w:r w:rsidR="00A3389E">
              <w:rPr>
                <w:rFonts w:ascii="Times New Roman" w:hAnsi="Times New Roman" w:cs="Times New Roman"/>
                <w:sz w:val="24"/>
              </w:rPr>
              <w:t xml:space="preserve"> v </w:t>
            </w:r>
            <w:r w:rsidRPr="00A3389E">
              <w:rPr>
                <w:rFonts w:ascii="Times New Roman" w:hAnsi="Times New Roman" w:cs="Times New Roman"/>
                <w:sz w:val="24"/>
              </w:rPr>
              <w:t>riadku 2 tohto vzoru) alebo pozitívny (v prípade uplatnenia pravidiel vzájomného započítavania uvedených</w:t>
            </w:r>
            <w:r w:rsidR="00A3389E">
              <w:rPr>
                <w:rFonts w:ascii="Times New Roman" w:hAnsi="Times New Roman" w:cs="Times New Roman"/>
                <w:sz w:val="24"/>
              </w:rPr>
              <w:t xml:space="preserve"> v </w:t>
            </w:r>
            <w:r w:rsidRPr="00A3389E">
              <w:rPr>
                <w:rFonts w:ascii="Times New Roman" w:hAnsi="Times New Roman" w:cs="Times New Roman"/>
                <w:sz w:val="24"/>
              </w:rPr>
              <w:t>CRR, čo vedie</w:t>
            </w:r>
            <w:r w:rsidR="00A3389E">
              <w:rPr>
                <w:rFonts w:ascii="Times New Roman" w:hAnsi="Times New Roman" w:cs="Times New Roman"/>
                <w:sz w:val="24"/>
              </w:rPr>
              <w:t xml:space="preserve"> k </w:t>
            </w:r>
            <w:r w:rsidRPr="00A3389E">
              <w:rPr>
                <w:rFonts w:ascii="Times New Roman" w:hAnsi="Times New Roman" w:cs="Times New Roman"/>
                <w:sz w:val="24"/>
              </w:rPr>
              <w:t>tomu, že sa vzájomne započíta nižšia suma než pri vzájomnom započítaní</w:t>
            </w:r>
            <w:r w:rsidR="00A3389E">
              <w:rPr>
                <w:rFonts w:ascii="Times New Roman" w:hAnsi="Times New Roman" w:cs="Times New Roman"/>
                <w:sz w:val="24"/>
              </w:rPr>
              <w:t xml:space="preserve"> v </w:t>
            </w:r>
            <w:r w:rsidRPr="00A3389E">
              <w:rPr>
                <w:rFonts w:ascii="Times New Roman" w:hAnsi="Times New Roman" w:cs="Times New Roman"/>
                <w:sz w:val="24"/>
              </w:rPr>
              <w:t>súvahe</w:t>
            </w:r>
            <w:r w:rsidR="00A3389E">
              <w:rPr>
                <w:rFonts w:ascii="Times New Roman" w:hAnsi="Times New Roman" w:cs="Times New Roman"/>
                <w:sz w:val="24"/>
              </w:rPr>
              <w:t xml:space="preserve"> v </w:t>
            </w:r>
            <w:r w:rsidRPr="00A3389E">
              <w:rPr>
                <w:rFonts w:ascii="Times New Roman" w:hAnsi="Times New Roman" w:cs="Times New Roman"/>
                <w:sz w:val="24"/>
              </w:rPr>
              <w:t>riadku 2 tohto vzoru).</w:t>
            </w:r>
          </w:p>
        </w:tc>
      </w:tr>
      <w:tr w:rsidR="007B082B" w:rsidRPr="00A3389E" w14:paraId="0DCF19F2" w14:textId="77777777" w:rsidTr="00803BB4">
        <w:trPr>
          <w:trHeight w:val="238"/>
        </w:trPr>
        <w:tc>
          <w:tcPr>
            <w:tcW w:w="1384" w:type="dxa"/>
            <w:shd w:val="clear" w:color="auto" w:fill="FFFFFF" w:themeFill="background1"/>
          </w:tcPr>
          <w:p w14:paraId="0EC4BB33"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7</w:t>
            </w:r>
          </w:p>
        </w:tc>
        <w:tc>
          <w:tcPr>
            <w:tcW w:w="7655" w:type="dxa"/>
            <w:shd w:val="clear" w:color="auto" w:fill="FFFFFF" w:themeFill="background1"/>
          </w:tcPr>
          <w:p w14:paraId="2C4E498D" w14:textId="1D42F97E" w:rsidR="007B082B" w:rsidRPr="00A3389E" w:rsidRDefault="007B082B" w:rsidP="00803BB4">
            <w:pPr>
              <w:spacing w:before="60" w:after="120"/>
              <w:jc w:val="both"/>
              <w:rPr>
                <w:rFonts w:ascii="Times New Roman" w:eastAsia="Times New Roman" w:hAnsi="Times New Roman" w:cs="Times New Roman"/>
                <w:b/>
                <w:i/>
                <w:sz w:val="24"/>
              </w:rPr>
            </w:pPr>
            <w:r w:rsidRPr="00A3389E">
              <w:rPr>
                <w:rFonts w:ascii="Times New Roman" w:hAnsi="Times New Roman" w:cs="Times New Roman"/>
                <w:b/>
                <w:i/>
                <w:sz w:val="24"/>
              </w:rPr>
              <w:t>Rozdiely</w:t>
            </w:r>
            <w:r w:rsidR="00A3389E">
              <w:rPr>
                <w:rFonts w:ascii="Times New Roman" w:hAnsi="Times New Roman" w:cs="Times New Roman"/>
                <w:b/>
                <w:i/>
                <w:sz w:val="24"/>
              </w:rPr>
              <w:t xml:space="preserve"> v </w:t>
            </w:r>
            <w:r w:rsidRPr="00A3389E">
              <w:rPr>
                <w:rFonts w:ascii="Times New Roman" w:hAnsi="Times New Roman" w:cs="Times New Roman"/>
                <w:b/>
                <w:i/>
                <w:sz w:val="24"/>
              </w:rPr>
              <w:t>dôsledku zohľadnenia ustanovení</w:t>
            </w:r>
          </w:p>
          <w:p w14:paraId="52687EA3" w14:textId="55700438" w:rsidR="007B082B" w:rsidRPr="00A3389E" w:rsidRDefault="007B082B" w:rsidP="00A60806">
            <w:pPr>
              <w:spacing w:before="60" w:after="120"/>
              <w:jc w:val="both"/>
              <w:rPr>
                <w:rFonts w:ascii="Times New Roman" w:eastAsia="Times New Roman" w:hAnsi="Times New Roman" w:cs="Times New Roman"/>
                <w:b/>
                <w:sz w:val="24"/>
              </w:rPr>
            </w:pPr>
            <w:r w:rsidRPr="00A3389E">
              <w:rPr>
                <w:rFonts w:ascii="Times New Roman" w:hAnsi="Times New Roman" w:cs="Times New Roman"/>
                <w:sz w:val="24"/>
              </w:rPr>
              <w:t>Opätovná integrácia špecifických</w:t>
            </w:r>
            <w:r w:rsidR="00A3389E">
              <w:rPr>
                <w:rFonts w:ascii="Times New Roman" w:hAnsi="Times New Roman" w:cs="Times New Roman"/>
                <w:sz w:val="24"/>
              </w:rPr>
              <w:t xml:space="preserve"> a </w:t>
            </w:r>
            <w:r w:rsidRPr="00A3389E">
              <w:rPr>
                <w:rFonts w:ascii="Times New Roman" w:hAnsi="Times New Roman" w:cs="Times New Roman"/>
                <w:sz w:val="24"/>
              </w:rPr>
              <w:t>všeobecných úprav kreditného rizika [v</w:t>
            </w:r>
            <w:r w:rsidR="00A60806">
              <w:rPr>
                <w:rFonts w:ascii="Times New Roman" w:hAnsi="Times New Roman" w:cs="Times New Roman"/>
                <w:sz w:val="24"/>
              </w:rPr>
              <w:t>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 xml:space="preserve">delegovanom nariadení Komisie (EÚ) </w:t>
            </w:r>
            <w:r w:rsidR="00A3389E">
              <w:rPr>
                <w:rFonts w:ascii="Times New Roman" w:hAnsi="Times New Roman" w:cs="Times New Roman"/>
                <w:sz w:val="24"/>
              </w:rPr>
              <w:t>č. </w:t>
            </w:r>
            <w:r w:rsidRPr="00A3389E">
              <w:rPr>
                <w:rFonts w:ascii="Times New Roman" w:hAnsi="Times New Roman" w:cs="Times New Roman"/>
                <w:sz w:val="24"/>
              </w:rPr>
              <w:t>183/2014</w:t>
            </w:r>
            <w:r w:rsidRPr="00A3389E">
              <w:rPr>
                <w:rStyle w:val="FootnoteReference"/>
                <w:rFonts w:ascii="Times New Roman" w:eastAsia="Times New Roman" w:hAnsi="Times New Roman" w:cs="Times New Roman"/>
              </w:rPr>
              <w:footnoteReference w:id="12"/>
            </w:r>
            <w:r w:rsidRPr="00A3389E">
              <w:rPr>
                <w:rFonts w:ascii="Times New Roman" w:hAnsi="Times New Roman" w:cs="Times New Roman"/>
                <w:sz w:val="24"/>
              </w:rPr>
              <w:t>] do hodnoty expozície, pričom tieto úpravy boli</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uplatniteľným účtovným rámcom odpočítané od účtovnej hodnoty expozícií podľa tretej časti hlavy II kapitoly 3 CRR na účely rizikového váženia. Pokiaľ ide</w:t>
            </w:r>
            <w:r w:rsidR="00A3389E">
              <w:rPr>
                <w:rFonts w:ascii="Times New Roman" w:hAnsi="Times New Roman" w:cs="Times New Roman"/>
                <w:sz w:val="24"/>
              </w:rPr>
              <w:t xml:space="preserve"> o </w:t>
            </w:r>
            <w:r w:rsidRPr="00A3389E">
              <w:rPr>
                <w:rFonts w:ascii="Times New Roman" w:hAnsi="Times New Roman" w:cs="Times New Roman"/>
                <w:sz w:val="24"/>
              </w:rPr>
              <w:t xml:space="preserve">expozície, </w:t>
            </w:r>
            <w:r w:rsidRPr="00A3389E">
              <w:rPr>
                <w:rFonts w:ascii="Times New Roman" w:hAnsi="Times New Roman" w:cs="Times New Roman"/>
                <w:sz w:val="24"/>
              </w:rPr>
              <w:lastRenderedPageBreak/>
              <w:t>ktoré boli rizikovo vážené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2 CRR, ak bola účtovná hodnota</w:t>
            </w:r>
            <w:r w:rsidR="00A3389E">
              <w:rPr>
                <w:rFonts w:ascii="Times New Roman" w:hAnsi="Times New Roman" w:cs="Times New Roman"/>
                <w:sz w:val="24"/>
              </w:rPr>
              <w:t xml:space="preserve"> v </w:t>
            </w:r>
            <w:r w:rsidRPr="00A3389E">
              <w:rPr>
                <w:rFonts w:ascii="Times New Roman" w:hAnsi="Times New Roman" w:cs="Times New Roman"/>
                <w:sz w:val="24"/>
              </w:rPr>
              <w:t>účtovnej závierke podľa prudenciálneho rozsahu konsolidácie znížená</w:t>
            </w:r>
            <w:r w:rsidR="00A3389E">
              <w:rPr>
                <w:rFonts w:ascii="Times New Roman" w:hAnsi="Times New Roman" w:cs="Times New Roman"/>
                <w:sz w:val="24"/>
              </w:rPr>
              <w:t xml:space="preserve"> o </w:t>
            </w:r>
            <w:r w:rsidRPr="00A3389E">
              <w:rPr>
                <w:rFonts w:ascii="Times New Roman" w:hAnsi="Times New Roman" w:cs="Times New Roman"/>
                <w:sz w:val="24"/>
              </w:rPr>
              <w:t xml:space="preserve">prvky, ktoré sa podľa uvedeného delegovaného nariadenia kvalifikujú ako všeobecné úpravy kreditného rizika, tieto prvky sa opätovne integrujú do hodnoty expozície. </w:t>
            </w:r>
          </w:p>
        </w:tc>
      </w:tr>
      <w:tr w:rsidR="007B082B" w:rsidRPr="00A3389E" w14:paraId="45DA46F3" w14:textId="77777777" w:rsidTr="00803BB4">
        <w:trPr>
          <w:trHeight w:val="238"/>
        </w:trPr>
        <w:tc>
          <w:tcPr>
            <w:tcW w:w="1384" w:type="dxa"/>
            <w:shd w:val="clear" w:color="auto" w:fill="FFFFFF" w:themeFill="background1"/>
          </w:tcPr>
          <w:p w14:paraId="5D230D83"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lastRenderedPageBreak/>
              <w:t>8</w:t>
            </w:r>
          </w:p>
        </w:tc>
        <w:tc>
          <w:tcPr>
            <w:tcW w:w="7655" w:type="dxa"/>
            <w:shd w:val="clear" w:color="auto" w:fill="FFFFFF" w:themeFill="background1"/>
          </w:tcPr>
          <w:p w14:paraId="4A74B17F" w14:textId="0FDAA70F" w:rsidR="00A3389E" w:rsidRPr="00A3389E" w:rsidRDefault="007B082B" w:rsidP="00803BB4">
            <w:pPr>
              <w:jc w:val="both"/>
              <w:rPr>
                <w:rFonts w:ascii="Times New Roman" w:hAnsi="Times New Roman" w:cs="Times New Roman"/>
                <w:b/>
                <w:i/>
                <w:sz w:val="24"/>
              </w:rPr>
            </w:pPr>
            <w:r w:rsidRPr="00A3389E">
              <w:rPr>
                <w:rFonts w:ascii="Times New Roman" w:hAnsi="Times New Roman" w:cs="Times New Roman"/>
                <w:b/>
                <w:i/>
                <w:sz w:val="24"/>
              </w:rPr>
              <w:t>Rozdiely</w:t>
            </w:r>
            <w:r w:rsidR="00A3389E">
              <w:rPr>
                <w:rFonts w:ascii="Times New Roman" w:hAnsi="Times New Roman" w:cs="Times New Roman"/>
                <w:b/>
                <w:i/>
                <w:sz w:val="24"/>
              </w:rPr>
              <w:t xml:space="preserve"> v </w:t>
            </w:r>
            <w:r w:rsidRPr="00A3389E">
              <w:rPr>
                <w:rFonts w:ascii="Times New Roman" w:hAnsi="Times New Roman" w:cs="Times New Roman"/>
                <w:b/>
                <w:i/>
                <w:sz w:val="24"/>
              </w:rPr>
              <w:t>dôsledku využívania postupov zmierňovania kreditného rizika</w:t>
            </w:r>
          </w:p>
          <w:p w14:paraId="7F3B4FBF" w14:textId="0BD02052" w:rsidR="007B082B" w:rsidRPr="00A3389E" w:rsidRDefault="007B082B" w:rsidP="00803BB4">
            <w:pPr>
              <w:jc w:val="both"/>
              <w:rPr>
                <w:rFonts w:ascii="Times New Roman" w:eastAsia="Times New Roman" w:hAnsi="Times New Roman" w:cs="Times New Roman"/>
                <w:b/>
                <w:i/>
                <w:sz w:val="24"/>
              </w:rPr>
            </w:pPr>
          </w:p>
          <w:p w14:paraId="216F4C99" w14:textId="61C5EB88" w:rsidR="007B082B" w:rsidRPr="00A3389E" w:rsidRDefault="007B082B" w:rsidP="00803BB4">
            <w:pPr>
              <w:spacing w:after="120"/>
              <w:jc w:val="both"/>
              <w:rPr>
                <w:rFonts w:ascii="Times New Roman" w:eastAsia="Times New Roman" w:hAnsi="Times New Roman" w:cs="Times New Roman"/>
                <w:sz w:val="24"/>
              </w:rPr>
            </w:pPr>
            <w:r w:rsidRPr="00A3389E">
              <w:rPr>
                <w:rFonts w:ascii="Times New Roman" w:hAnsi="Times New Roman" w:cs="Times New Roman"/>
                <w:sz w:val="24"/>
              </w:rPr>
              <w:t>Vplyv uplatňovania postupov zmierňovania kreditného rizika podľa vymedzenia</w:t>
            </w:r>
            <w:r w:rsidR="00A3389E">
              <w:rPr>
                <w:rFonts w:ascii="Times New Roman" w:hAnsi="Times New Roman" w:cs="Times New Roman"/>
                <w:sz w:val="24"/>
              </w:rPr>
              <w:t xml:space="preserve"> v </w:t>
            </w:r>
            <w:r w:rsidRPr="00A3389E">
              <w:rPr>
                <w:rFonts w:ascii="Times New Roman" w:hAnsi="Times New Roman" w:cs="Times New Roman"/>
                <w:sz w:val="24"/>
              </w:rPr>
              <w:t>CRR na hodnotu expozície</w:t>
            </w:r>
            <w:r w:rsidR="00A3389E">
              <w:rPr>
                <w:rFonts w:ascii="Times New Roman" w:hAnsi="Times New Roman" w:cs="Times New Roman"/>
                <w:sz w:val="24"/>
              </w:rPr>
              <w:t xml:space="preserve"> v </w:t>
            </w:r>
            <w:r w:rsidRPr="00A3389E">
              <w:rPr>
                <w:rFonts w:ascii="Times New Roman" w:hAnsi="Times New Roman" w:cs="Times New Roman"/>
                <w:sz w:val="24"/>
              </w:rPr>
              <w:t xml:space="preserve">rámci prudenciálneho rozsahu konsolidácie. </w:t>
            </w:r>
          </w:p>
        </w:tc>
      </w:tr>
      <w:tr w:rsidR="007B082B" w:rsidRPr="00A3389E" w14:paraId="76AFBB78" w14:textId="77777777" w:rsidTr="00803BB4">
        <w:trPr>
          <w:trHeight w:val="238"/>
        </w:trPr>
        <w:tc>
          <w:tcPr>
            <w:tcW w:w="1384" w:type="dxa"/>
            <w:shd w:val="clear" w:color="auto" w:fill="FFFFFF" w:themeFill="background1"/>
          </w:tcPr>
          <w:p w14:paraId="61E0A90C"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9</w:t>
            </w:r>
          </w:p>
        </w:tc>
        <w:tc>
          <w:tcPr>
            <w:tcW w:w="7655" w:type="dxa"/>
            <w:shd w:val="clear" w:color="auto" w:fill="FFFFFF" w:themeFill="background1"/>
          </w:tcPr>
          <w:p w14:paraId="02C22A39" w14:textId="2058ABD3" w:rsidR="007B082B" w:rsidRPr="00A3389E" w:rsidRDefault="007B082B" w:rsidP="00803BB4">
            <w:pPr>
              <w:jc w:val="both"/>
              <w:rPr>
                <w:rFonts w:ascii="Times New Roman" w:eastAsia="Times New Roman" w:hAnsi="Times New Roman" w:cs="Times New Roman"/>
                <w:b/>
                <w:i/>
                <w:sz w:val="24"/>
              </w:rPr>
            </w:pPr>
            <w:r w:rsidRPr="00A3389E">
              <w:rPr>
                <w:rFonts w:ascii="Times New Roman" w:hAnsi="Times New Roman" w:cs="Times New Roman"/>
                <w:b/>
                <w:i/>
                <w:sz w:val="24"/>
              </w:rPr>
              <w:t>Rozdiely</w:t>
            </w:r>
            <w:r w:rsidR="00A3389E">
              <w:rPr>
                <w:rFonts w:ascii="Times New Roman" w:hAnsi="Times New Roman" w:cs="Times New Roman"/>
                <w:b/>
                <w:i/>
                <w:sz w:val="24"/>
              </w:rPr>
              <w:t xml:space="preserve"> v </w:t>
            </w:r>
            <w:r w:rsidRPr="00A3389E">
              <w:rPr>
                <w:rFonts w:ascii="Times New Roman" w:hAnsi="Times New Roman" w:cs="Times New Roman"/>
                <w:b/>
                <w:i/>
                <w:sz w:val="24"/>
              </w:rPr>
              <w:t>dôsledku konverzných faktorov úverov</w:t>
            </w:r>
          </w:p>
          <w:p w14:paraId="6DDA7FA8" w14:textId="77777777" w:rsidR="007B082B" w:rsidRPr="00A3389E" w:rsidRDefault="007B082B" w:rsidP="00803BB4">
            <w:pPr>
              <w:jc w:val="both"/>
              <w:rPr>
                <w:rFonts w:ascii="Times New Roman" w:eastAsia="Times New Roman" w:hAnsi="Times New Roman" w:cs="Times New Roman"/>
                <w:b/>
                <w:i/>
                <w:sz w:val="24"/>
              </w:rPr>
            </w:pPr>
          </w:p>
          <w:p w14:paraId="72603DA7" w14:textId="4DC4D713" w:rsidR="007B082B" w:rsidRPr="00A3389E" w:rsidRDefault="007B082B" w:rsidP="00803BB4">
            <w:pPr>
              <w:spacing w:after="120"/>
              <w:jc w:val="both"/>
              <w:rPr>
                <w:rFonts w:ascii="Times New Roman" w:eastAsia="Times New Roman" w:hAnsi="Times New Roman" w:cs="Times New Roman"/>
                <w:sz w:val="24"/>
              </w:rPr>
            </w:pPr>
            <w:r w:rsidRPr="00A3389E">
              <w:rPr>
                <w:rFonts w:ascii="Times New Roman" w:hAnsi="Times New Roman" w:cs="Times New Roman"/>
                <w:sz w:val="24"/>
              </w:rPr>
              <w:t>Vplyv uplatňovania príslušných konverzných faktorov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CRR na hodnotu expozície podsúvahových expozícií</w:t>
            </w:r>
            <w:r w:rsidR="00A3389E">
              <w:rPr>
                <w:rFonts w:ascii="Times New Roman" w:hAnsi="Times New Roman" w:cs="Times New Roman"/>
                <w:sz w:val="24"/>
              </w:rPr>
              <w:t xml:space="preserve"> v </w:t>
            </w:r>
            <w:r w:rsidRPr="00A3389E">
              <w:rPr>
                <w:rFonts w:ascii="Times New Roman" w:hAnsi="Times New Roman" w:cs="Times New Roman"/>
                <w:sz w:val="24"/>
              </w:rPr>
              <w:t>rámci prudenciálneho rozsahu konsolidácie.</w:t>
            </w:r>
          </w:p>
          <w:p w14:paraId="712A168B" w14:textId="4473B84D" w:rsidR="007B082B" w:rsidRPr="00A3389E" w:rsidRDefault="007B082B" w:rsidP="00803BB4">
            <w:pPr>
              <w:spacing w:after="120"/>
              <w:jc w:val="both"/>
              <w:rPr>
                <w:rFonts w:ascii="Times New Roman" w:eastAsia="Times New Roman" w:hAnsi="Times New Roman" w:cs="Times New Roman"/>
                <w:b/>
                <w:sz w:val="24"/>
              </w:rPr>
            </w:pPr>
            <w:r w:rsidRPr="00A3389E">
              <w:rPr>
                <w:rFonts w:ascii="Times New Roman" w:hAnsi="Times New Roman" w:cs="Times New Roman"/>
                <w:sz w:val="24"/>
              </w:rPr>
              <w:t>Konverzný faktor pre podsúvahové položky, ktoré majú byť rizikovo vážené pri uplatňovaní tretej časti hlavy II CRR,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111, 166, 167</w:t>
            </w:r>
            <w:r w:rsidR="00A3389E">
              <w:rPr>
                <w:rFonts w:ascii="Times New Roman" w:hAnsi="Times New Roman" w:cs="Times New Roman"/>
                <w:sz w:val="24"/>
              </w:rPr>
              <w:t xml:space="preserve"> a </w:t>
            </w:r>
            <w:r w:rsidRPr="00A3389E">
              <w:rPr>
                <w:rFonts w:ascii="Times New Roman" w:hAnsi="Times New Roman" w:cs="Times New Roman"/>
                <w:sz w:val="24"/>
              </w:rPr>
              <w:t>182 (podľa uplatniteľnosti na kreditné riziko)</w:t>
            </w:r>
            <w:r w:rsidR="00A3389E">
              <w:rPr>
                <w:rFonts w:ascii="Times New Roman" w:hAnsi="Times New Roman" w:cs="Times New Roman"/>
                <w:sz w:val="24"/>
              </w:rPr>
              <w:t xml:space="preserve"> a v </w:t>
            </w:r>
            <w:r w:rsidRPr="00A3389E">
              <w:rPr>
                <w:rFonts w:ascii="Times New Roman" w:hAnsi="Times New Roman" w:cs="Times New Roman"/>
                <w:sz w:val="24"/>
              </w:rPr>
              <w:t>článku 246 CRR (podľa uplatniteľnosti na sekuritizačné riziko).</w:t>
            </w:r>
          </w:p>
        </w:tc>
      </w:tr>
      <w:tr w:rsidR="007B082B" w:rsidRPr="00A3389E" w14:paraId="2653458B" w14:textId="77777777" w:rsidTr="00803BB4">
        <w:trPr>
          <w:trHeight w:val="238"/>
        </w:trPr>
        <w:tc>
          <w:tcPr>
            <w:tcW w:w="1384" w:type="dxa"/>
            <w:shd w:val="clear" w:color="auto" w:fill="FFFFFF" w:themeFill="background1"/>
          </w:tcPr>
          <w:p w14:paraId="4EB7D6DD"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10</w:t>
            </w:r>
          </w:p>
        </w:tc>
        <w:tc>
          <w:tcPr>
            <w:tcW w:w="7655" w:type="dxa"/>
            <w:shd w:val="clear" w:color="auto" w:fill="FFFFFF" w:themeFill="background1"/>
          </w:tcPr>
          <w:p w14:paraId="7DBAC841" w14:textId="351726CA" w:rsidR="007B082B" w:rsidRPr="00A3389E" w:rsidRDefault="007B082B" w:rsidP="00803BB4">
            <w:pPr>
              <w:spacing w:after="240"/>
              <w:jc w:val="both"/>
              <w:rPr>
                <w:rFonts w:ascii="Times New Roman" w:eastAsia="Times New Roman" w:hAnsi="Times New Roman" w:cs="Times New Roman"/>
                <w:b/>
                <w:i/>
                <w:sz w:val="24"/>
              </w:rPr>
            </w:pPr>
            <w:r w:rsidRPr="00A3389E">
              <w:rPr>
                <w:rFonts w:ascii="Times New Roman" w:hAnsi="Times New Roman" w:cs="Times New Roman"/>
                <w:b/>
                <w:i/>
                <w:sz w:val="24"/>
              </w:rPr>
              <w:t>Rozdiely</w:t>
            </w:r>
            <w:r w:rsidR="00A3389E">
              <w:rPr>
                <w:rFonts w:ascii="Times New Roman" w:hAnsi="Times New Roman" w:cs="Times New Roman"/>
                <w:b/>
                <w:i/>
                <w:sz w:val="24"/>
              </w:rPr>
              <w:t xml:space="preserve"> v </w:t>
            </w:r>
            <w:r w:rsidRPr="00A3389E">
              <w:rPr>
                <w:rFonts w:ascii="Times New Roman" w:hAnsi="Times New Roman" w:cs="Times New Roman"/>
                <w:b/>
                <w:i/>
                <w:sz w:val="24"/>
              </w:rPr>
              <w:t>dôsledku sekuritizácie</w:t>
            </w:r>
            <w:r w:rsidR="00A3389E">
              <w:rPr>
                <w:rFonts w:ascii="Times New Roman" w:hAnsi="Times New Roman" w:cs="Times New Roman"/>
                <w:b/>
                <w:i/>
                <w:sz w:val="24"/>
              </w:rPr>
              <w:t xml:space="preserve"> s </w:t>
            </w:r>
            <w:r w:rsidRPr="00A3389E">
              <w:rPr>
                <w:rFonts w:ascii="Times New Roman" w:hAnsi="Times New Roman" w:cs="Times New Roman"/>
                <w:b/>
                <w:i/>
                <w:sz w:val="24"/>
              </w:rPr>
              <w:t>prenosom rizika</w:t>
            </w:r>
          </w:p>
          <w:p w14:paraId="01A15C01" w14:textId="7EBFEA75" w:rsidR="007B082B" w:rsidRPr="00A3389E" w:rsidRDefault="007B082B" w:rsidP="00803BB4">
            <w:pPr>
              <w:spacing w:after="120"/>
              <w:jc w:val="both"/>
              <w:rPr>
                <w:rFonts w:ascii="Times New Roman" w:eastAsia="Times New Roman" w:hAnsi="Times New Roman" w:cs="Times New Roman"/>
                <w:sz w:val="24"/>
              </w:rPr>
            </w:pPr>
            <w:r w:rsidRPr="00A3389E">
              <w:rPr>
                <w:rFonts w:ascii="Times New Roman" w:hAnsi="Times New Roman" w:cs="Times New Roman"/>
                <w:sz w:val="24"/>
              </w:rPr>
              <w:t>Vplyv používania sekuritizovaných transakcií pri prenose kreditného rizika na tretie strany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CRR na hodnotu expozície sekuritizovaných expozícií.</w:t>
            </w:r>
          </w:p>
        </w:tc>
      </w:tr>
      <w:tr w:rsidR="007B082B" w:rsidRPr="00A3389E" w14:paraId="5EABC17E" w14:textId="77777777" w:rsidTr="00803BB4">
        <w:trPr>
          <w:trHeight w:val="238"/>
        </w:trPr>
        <w:tc>
          <w:tcPr>
            <w:tcW w:w="1384" w:type="dxa"/>
            <w:shd w:val="clear" w:color="auto" w:fill="FFFFFF" w:themeFill="background1"/>
          </w:tcPr>
          <w:p w14:paraId="639F9B4B"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11</w:t>
            </w:r>
          </w:p>
        </w:tc>
        <w:tc>
          <w:tcPr>
            <w:tcW w:w="7655" w:type="dxa"/>
            <w:shd w:val="clear" w:color="auto" w:fill="FFFFFF" w:themeFill="background1"/>
          </w:tcPr>
          <w:p w14:paraId="7D15819E" w14:textId="77777777" w:rsidR="007B082B" w:rsidRPr="00A3389E" w:rsidRDefault="007B082B" w:rsidP="00803BB4">
            <w:pPr>
              <w:spacing w:before="60" w:after="120"/>
              <w:jc w:val="both"/>
              <w:rPr>
                <w:rFonts w:ascii="Times New Roman" w:eastAsia="Times New Roman" w:hAnsi="Times New Roman" w:cs="Times New Roman"/>
                <w:b/>
                <w:i/>
                <w:sz w:val="24"/>
              </w:rPr>
            </w:pPr>
            <w:r w:rsidRPr="00A3389E">
              <w:rPr>
                <w:rFonts w:ascii="Times New Roman" w:hAnsi="Times New Roman" w:cs="Times New Roman"/>
                <w:b/>
                <w:i/>
                <w:sz w:val="24"/>
              </w:rPr>
              <w:t xml:space="preserve">Iné rozdiely </w:t>
            </w:r>
            <w:r w:rsidRPr="00A3389E">
              <w:rPr>
                <w:rFonts w:ascii="Times New Roman" w:hAnsi="Times New Roman" w:cs="Times New Roman"/>
                <w:i/>
                <w:sz w:val="24"/>
              </w:rPr>
              <w:t>(ak sú relevantné)</w:t>
            </w:r>
          </w:p>
          <w:p w14:paraId="3D1A8C2D" w14:textId="048AAD7A"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Iné významné faktory rozdielov medzi účtovnými hodnotami účtovnej závierky</w:t>
            </w:r>
            <w:r w:rsidR="00A3389E">
              <w:rPr>
                <w:rFonts w:ascii="Times New Roman" w:hAnsi="Times New Roman" w:cs="Times New Roman"/>
                <w:sz w:val="24"/>
              </w:rPr>
              <w:t xml:space="preserve"> v </w:t>
            </w:r>
            <w:r w:rsidRPr="00A3389E">
              <w:rPr>
                <w:rFonts w:ascii="Times New Roman" w:hAnsi="Times New Roman" w:cs="Times New Roman"/>
                <w:sz w:val="24"/>
              </w:rPr>
              <w:t>rámci regulačného rozsahu uplatňovania</w:t>
            </w:r>
            <w:r w:rsidR="00A3389E">
              <w:rPr>
                <w:rFonts w:ascii="Times New Roman" w:hAnsi="Times New Roman" w:cs="Times New Roman"/>
                <w:sz w:val="24"/>
              </w:rPr>
              <w:t xml:space="preserve"> a </w:t>
            </w:r>
            <w:r w:rsidRPr="00A3389E">
              <w:rPr>
                <w:rFonts w:ascii="Times New Roman" w:hAnsi="Times New Roman" w:cs="Times New Roman"/>
                <w:sz w:val="24"/>
              </w:rPr>
              <w:t>hodnotami expozícií, ktoré sa zohľadňujú na regulačné účely.</w:t>
            </w:r>
          </w:p>
          <w:p w14:paraId="3E8064E7" w14:textId="0481CE5C" w:rsidR="007B082B" w:rsidRPr="00A60806" w:rsidRDefault="007B082B" w:rsidP="00803BB4">
            <w:pPr>
              <w:spacing w:before="60" w:after="120"/>
              <w:jc w:val="both"/>
              <w:rPr>
                <w:rFonts w:ascii="Times New Roman" w:eastAsia="Times New Roman" w:hAnsi="Times New Roman" w:cs="Times New Roman"/>
                <w:b/>
                <w:i/>
                <w:spacing w:val="-4"/>
                <w:sz w:val="24"/>
              </w:rPr>
            </w:pPr>
            <w:r w:rsidRPr="00A60806">
              <w:rPr>
                <w:rFonts w:ascii="Times New Roman" w:hAnsi="Times New Roman" w:cs="Times New Roman"/>
                <w:spacing w:val="-4"/>
                <w:sz w:val="24"/>
              </w:rPr>
              <w:t>Inštitúcie doplnia zverejnené kvantitatívne informácie uvedené</w:t>
            </w:r>
            <w:r w:rsidR="00A3389E" w:rsidRPr="00A60806">
              <w:rPr>
                <w:rFonts w:ascii="Times New Roman" w:hAnsi="Times New Roman" w:cs="Times New Roman"/>
                <w:spacing w:val="-4"/>
                <w:sz w:val="24"/>
              </w:rPr>
              <w:t xml:space="preserve"> v </w:t>
            </w:r>
            <w:r w:rsidRPr="00A60806">
              <w:rPr>
                <w:rFonts w:ascii="Times New Roman" w:hAnsi="Times New Roman" w:cs="Times New Roman"/>
                <w:spacing w:val="-4"/>
                <w:sz w:val="24"/>
              </w:rPr>
              <w:t>tomto riadku kvalitatívnymi vysvetleniami hlavných príčin týchto rozdielov</w:t>
            </w:r>
            <w:r w:rsidR="00A3389E" w:rsidRPr="00A60806">
              <w:rPr>
                <w:rFonts w:ascii="Times New Roman" w:hAnsi="Times New Roman" w:cs="Times New Roman"/>
                <w:spacing w:val="-4"/>
                <w:sz w:val="24"/>
              </w:rPr>
              <w:t xml:space="preserve"> v </w:t>
            </w:r>
            <w:r w:rsidRPr="00A60806">
              <w:rPr>
                <w:rFonts w:ascii="Times New Roman" w:hAnsi="Times New Roman" w:cs="Times New Roman"/>
                <w:spacing w:val="-4"/>
                <w:sz w:val="24"/>
              </w:rPr>
              <w:t>tabuľke EU LIA.</w:t>
            </w:r>
          </w:p>
        </w:tc>
      </w:tr>
      <w:tr w:rsidR="007B082B" w:rsidRPr="00A3389E" w14:paraId="698537DA" w14:textId="77777777" w:rsidTr="00803BB4">
        <w:trPr>
          <w:trHeight w:val="238"/>
        </w:trPr>
        <w:tc>
          <w:tcPr>
            <w:tcW w:w="1384" w:type="dxa"/>
            <w:shd w:val="clear" w:color="auto" w:fill="FFFFFF" w:themeFill="background1"/>
          </w:tcPr>
          <w:p w14:paraId="7E2AD4DD"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12</w:t>
            </w:r>
          </w:p>
        </w:tc>
        <w:tc>
          <w:tcPr>
            <w:tcW w:w="7655" w:type="dxa"/>
            <w:shd w:val="clear" w:color="auto" w:fill="FFFFFF" w:themeFill="background1"/>
          </w:tcPr>
          <w:p w14:paraId="4C35172C" w14:textId="77777777"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Hodnoty expozície zohľadňované na regulačné účely</w:t>
            </w:r>
          </w:p>
          <w:p w14:paraId="2BC6DA9D" w14:textId="1F07AC3C"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Súhrnná hodnota považovaná za východiskový bod výpočtu hodnoty rizikovo váženej expozície (RWEA) po uplatnení metód CRM iných, než je vzájomné započítavanie uvedené</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4 CRR,</w:t>
            </w:r>
            <w:r w:rsidR="00A3389E">
              <w:rPr>
                <w:rFonts w:ascii="Times New Roman" w:hAnsi="Times New Roman" w:cs="Times New Roman"/>
                <w:sz w:val="24"/>
              </w:rPr>
              <w:t xml:space="preserve"> a </w:t>
            </w:r>
            <w:r w:rsidRPr="00A3389E">
              <w:rPr>
                <w:rFonts w:ascii="Times New Roman" w:hAnsi="Times New Roman" w:cs="Times New Roman"/>
                <w:sz w:val="24"/>
              </w:rPr>
              <w:t>po uplatnení požiadaviek na vzájomné započítavanie uvedených</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kapitolách 4</w:t>
            </w:r>
            <w:r w:rsidR="00A3389E">
              <w:rPr>
                <w:rFonts w:ascii="Times New Roman" w:hAnsi="Times New Roman" w:cs="Times New Roman"/>
                <w:sz w:val="24"/>
              </w:rPr>
              <w:t xml:space="preserve"> a </w:t>
            </w:r>
            <w:r w:rsidRPr="00A3389E">
              <w:rPr>
                <w:rFonts w:ascii="Times New Roman" w:hAnsi="Times New Roman" w:cs="Times New Roman"/>
                <w:sz w:val="24"/>
              </w:rPr>
              <w:t>5</w:t>
            </w:r>
            <w:r w:rsidR="00A3389E">
              <w:rPr>
                <w:rFonts w:ascii="Times New Roman" w:hAnsi="Times New Roman" w:cs="Times New Roman"/>
                <w:sz w:val="24"/>
              </w:rPr>
              <w:t xml:space="preserve"> a v </w:t>
            </w:r>
            <w:r w:rsidRPr="00A3389E">
              <w:rPr>
                <w:rFonts w:ascii="Times New Roman" w:hAnsi="Times New Roman" w:cs="Times New Roman"/>
                <w:sz w:val="24"/>
              </w:rPr>
              <w:t>tretej časti hlave IV CRR pre každú kategóriu rizika.</w:t>
            </w:r>
          </w:p>
          <w:p w14:paraId="06BD7488" w14:textId="42BDEB1C" w:rsidR="007B082B" w:rsidRPr="00A60806" w:rsidRDefault="007B082B" w:rsidP="00803BB4">
            <w:pPr>
              <w:spacing w:before="60" w:after="120"/>
              <w:jc w:val="both"/>
              <w:rPr>
                <w:rFonts w:ascii="Times New Roman" w:eastAsia="Times New Roman" w:hAnsi="Times New Roman" w:cs="Times New Roman"/>
                <w:spacing w:val="-4"/>
                <w:sz w:val="24"/>
              </w:rPr>
            </w:pPr>
            <w:r w:rsidRPr="00A60806">
              <w:rPr>
                <w:rFonts w:ascii="Times New Roman" w:hAnsi="Times New Roman" w:cs="Times New Roman"/>
                <w:spacing w:val="-4"/>
                <w:sz w:val="24"/>
              </w:rPr>
              <w:t>Ak sa uplatňuje štandardizovaný prístup (SA), ide</w:t>
            </w:r>
            <w:r w:rsidR="00A3389E" w:rsidRPr="00A60806">
              <w:rPr>
                <w:rFonts w:ascii="Times New Roman" w:hAnsi="Times New Roman" w:cs="Times New Roman"/>
                <w:spacing w:val="-4"/>
                <w:sz w:val="24"/>
              </w:rPr>
              <w:t xml:space="preserve"> o </w:t>
            </w:r>
            <w:r w:rsidRPr="00A60806">
              <w:rPr>
                <w:rFonts w:ascii="Times New Roman" w:hAnsi="Times New Roman" w:cs="Times New Roman"/>
                <w:spacing w:val="-4"/>
                <w:sz w:val="24"/>
              </w:rPr>
              <w:t>hodnotu po špecifických úpravách kreditného rizika, dodatočných úpravách ocenenia</w:t>
            </w:r>
            <w:r w:rsidR="00A3389E" w:rsidRPr="00A60806">
              <w:rPr>
                <w:rFonts w:ascii="Times New Roman" w:hAnsi="Times New Roman" w:cs="Times New Roman"/>
                <w:spacing w:val="-4"/>
                <w:sz w:val="24"/>
              </w:rPr>
              <w:t xml:space="preserve"> v </w:t>
            </w:r>
            <w:r w:rsidRPr="00A60806">
              <w:rPr>
                <w:rFonts w:ascii="Times New Roman" w:hAnsi="Times New Roman" w:cs="Times New Roman"/>
                <w:spacing w:val="-4"/>
                <w:sz w:val="24"/>
              </w:rPr>
              <w:t>súlade</w:t>
            </w:r>
            <w:r w:rsidR="00A3389E" w:rsidRPr="00A60806">
              <w:rPr>
                <w:rFonts w:ascii="Times New Roman" w:hAnsi="Times New Roman" w:cs="Times New Roman"/>
                <w:spacing w:val="-4"/>
                <w:sz w:val="24"/>
              </w:rPr>
              <w:t xml:space="preserve"> s </w:t>
            </w:r>
            <w:r w:rsidRPr="00A60806">
              <w:rPr>
                <w:rFonts w:ascii="Times New Roman" w:hAnsi="Times New Roman" w:cs="Times New Roman"/>
                <w:spacing w:val="-4"/>
                <w:sz w:val="24"/>
              </w:rPr>
              <w:t>článkami 34</w:t>
            </w:r>
            <w:r w:rsidR="00A3389E" w:rsidRPr="00A60806">
              <w:rPr>
                <w:rFonts w:ascii="Times New Roman" w:hAnsi="Times New Roman" w:cs="Times New Roman"/>
                <w:spacing w:val="-4"/>
                <w:sz w:val="24"/>
              </w:rPr>
              <w:t xml:space="preserve"> a </w:t>
            </w:r>
            <w:r w:rsidRPr="00A60806">
              <w:rPr>
                <w:rFonts w:ascii="Times New Roman" w:hAnsi="Times New Roman" w:cs="Times New Roman"/>
                <w:spacing w:val="-4"/>
                <w:sz w:val="24"/>
              </w:rPr>
              <w:t>110 CRR</w:t>
            </w:r>
            <w:r w:rsidR="00A3389E" w:rsidRPr="00A60806">
              <w:rPr>
                <w:rFonts w:ascii="Times New Roman" w:hAnsi="Times New Roman" w:cs="Times New Roman"/>
                <w:spacing w:val="-4"/>
                <w:sz w:val="24"/>
              </w:rPr>
              <w:t xml:space="preserve"> a </w:t>
            </w:r>
            <w:r w:rsidRPr="00A60806">
              <w:rPr>
                <w:rFonts w:ascii="Times New Roman" w:hAnsi="Times New Roman" w:cs="Times New Roman"/>
                <w:spacing w:val="-4"/>
                <w:sz w:val="24"/>
              </w:rPr>
              <w:t>iných zníženiach vlastných zdrojov súvisiacich</w:t>
            </w:r>
            <w:r w:rsidR="00A3389E" w:rsidRPr="00A60806">
              <w:rPr>
                <w:rFonts w:ascii="Times New Roman" w:hAnsi="Times New Roman" w:cs="Times New Roman"/>
                <w:spacing w:val="-4"/>
                <w:sz w:val="24"/>
              </w:rPr>
              <w:t xml:space="preserve"> s </w:t>
            </w:r>
            <w:r w:rsidRPr="00A60806">
              <w:rPr>
                <w:rFonts w:ascii="Times New Roman" w:hAnsi="Times New Roman" w:cs="Times New Roman"/>
                <w:spacing w:val="-4"/>
                <w:sz w:val="24"/>
              </w:rPr>
              <w:t>danou položkou aktív.</w:t>
            </w:r>
            <w:r w:rsidR="00A3389E" w:rsidRPr="00A60806">
              <w:rPr>
                <w:rFonts w:ascii="Times New Roman" w:hAnsi="Times New Roman" w:cs="Times New Roman"/>
                <w:spacing w:val="-4"/>
                <w:sz w:val="24"/>
              </w:rPr>
              <w:t xml:space="preserve"> V </w:t>
            </w:r>
            <w:r w:rsidRPr="00A60806">
              <w:rPr>
                <w:rFonts w:ascii="Times New Roman" w:hAnsi="Times New Roman" w:cs="Times New Roman"/>
                <w:spacing w:val="-4"/>
                <w:sz w:val="24"/>
              </w:rPr>
              <w:t>prípade podsúvahových položiek uvedených</w:t>
            </w:r>
            <w:r w:rsidR="00A3389E" w:rsidRPr="00A60806">
              <w:rPr>
                <w:rFonts w:ascii="Times New Roman" w:hAnsi="Times New Roman" w:cs="Times New Roman"/>
                <w:spacing w:val="-4"/>
                <w:sz w:val="24"/>
              </w:rPr>
              <w:t xml:space="preserve"> v </w:t>
            </w:r>
            <w:r w:rsidRPr="00A60806">
              <w:rPr>
                <w:rFonts w:ascii="Times New Roman" w:hAnsi="Times New Roman" w:cs="Times New Roman"/>
                <w:spacing w:val="-4"/>
                <w:sz w:val="24"/>
              </w:rPr>
              <w:t>prílohe I</w:t>
            </w:r>
            <w:r w:rsidR="00A3389E" w:rsidRPr="00A60806">
              <w:rPr>
                <w:rFonts w:ascii="Times New Roman" w:hAnsi="Times New Roman" w:cs="Times New Roman"/>
                <w:spacing w:val="-4"/>
                <w:sz w:val="24"/>
              </w:rPr>
              <w:t xml:space="preserve"> k </w:t>
            </w:r>
            <w:r w:rsidRPr="00A60806">
              <w:rPr>
                <w:rFonts w:ascii="Times New Roman" w:hAnsi="Times New Roman" w:cs="Times New Roman"/>
                <w:spacing w:val="-4"/>
                <w:sz w:val="24"/>
              </w:rPr>
              <w:t>tomuto vykonávaciemu nariadeniu je hodnotou expozície nominálna hodnota po znížení</w:t>
            </w:r>
            <w:r w:rsidR="00A3389E" w:rsidRPr="00A60806">
              <w:rPr>
                <w:rFonts w:ascii="Times New Roman" w:hAnsi="Times New Roman" w:cs="Times New Roman"/>
                <w:spacing w:val="-4"/>
                <w:sz w:val="24"/>
              </w:rPr>
              <w:t xml:space="preserve"> o </w:t>
            </w:r>
            <w:r w:rsidRPr="00A60806">
              <w:rPr>
                <w:rFonts w:ascii="Times New Roman" w:hAnsi="Times New Roman" w:cs="Times New Roman"/>
                <w:spacing w:val="-4"/>
                <w:sz w:val="24"/>
              </w:rPr>
              <w:t xml:space="preserve">špecifické úpravy kreditného rizika </w:t>
            </w:r>
            <w:r w:rsidRPr="00A60806">
              <w:rPr>
                <w:rFonts w:ascii="Times New Roman" w:hAnsi="Times New Roman" w:cs="Times New Roman"/>
                <w:spacing w:val="-4"/>
                <w:sz w:val="24"/>
              </w:rPr>
              <w:lastRenderedPageBreak/>
              <w:t>vynásobená príslušnou percentuálnou hodnotou uvedenou</w:t>
            </w:r>
            <w:r w:rsidR="00A3389E" w:rsidRPr="00A60806">
              <w:rPr>
                <w:rFonts w:ascii="Times New Roman" w:hAnsi="Times New Roman" w:cs="Times New Roman"/>
                <w:spacing w:val="-4"/>
                <w:sz w:val="24"/>
              </w:rPr>
              <w:t xml:space="preserve"> v </w:t>
            </w:r>
            <w:r w:rsidRPr="00A60806">
              <w:rPr>
                <w:rFonts w:ascii="Times New Roman" w:hAnsi="Times New Roman" w:cs="Times New Roman"/>
                <w:spacing w:val="-4"/>
                <w:sz w:val="24"/>
              </w:rPr>
              <w:t>článku 111 ods. 1 písm. a)</w:t>
            </w:r>
            <w:r w:rsidR="00A3389E" w:rsidRPr="00A60806">
              <w:rPr>
                <w:rFonts w:ascii="Times New Roman" w:hAnsi="Times New Roman" w:cs="Times New Roman"/>
                <w:spacing w:val="-4"/>
                <w:sz w:val="24"/>
              </w:rPr>
              <w:t xml:space="preserve"> a </w:t>
            </w:r>
            <w:r w:rsidRPr="00A60806">
              <w:rPr>
                <w:rFonts w:ascii="Times New Roman" w:hAnsi="Times New Roman" w:cs="Times New Roman"/>
                <w:spacing w:val="-4"/>
                <w:sz w:val="24"/>
              </w:rPr>
              <w:t>d) CRR.</w:t>
            </w:r>
          </w:p>
          <w:p w14:paraId="2D2C416D" w14:textId="67A68629"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V prípade prístupu IRB je zverejňovanou hodnotou hodnota expozície</w:t>
            </w:r>
            <w:r w:rsidR="00A3389E">
              <w:rPr>
                <w:rFonts w:ascii="Times New Roman" w:hAnsi="Times New Roman" w:cs="Times New Roman"/>
                <w:sz w:val="24"/>
              </w:rPr>
              <w:t xml:space="preserve"> v </w:t>
            </w:r>
            <w:r w:rsidRPr="00A3389E">
              <w:rPr>
                <w:rFonts w:ascii="Times New Roman" w:hAnsi="Times New Roman" w:cs="Times New Roman"/>
                <w:sz w:val="24"/>
              </w:rPr>
              <w:t>zmysle článkov 166, 167</w:t>
            </w:r>
            <w:r w:rsidR="00A3389E">
              <w:rPr>
                <w:rFonts w:ascii="Times New Roman" w:hAnsi="Times New Roman" w:cs="Times New Roman"/>
                <w:sz w:val="24"/>
              </w:rPr>
              <w:t xml:space="preserve"> a </w:t>
            </w:r>
            <w:r w:rsidRPr="00A3389E">
              <w:rPr>
                <w:rFonts w:ascii="Times New Roman" w:hAnsi="Times New Roman" w:cs="Times New Roman"/>
                <w:sz w:val="24"/>
              </w:rPr>
              <w:t>168 CRR.</w:t>
            </w:r>
          </w:p>
          <w:p w14:paraId="15D6B908" w14:textId="12AC54BA" w:rsidR="007B082B" w:rsidRPr="00A3389E" w:rsidRDefault="007B082B" w:rsidP="0038336D">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Účtovné hodnoty vykázané</w:t>
            </w:r>
            <w:r w:rsidR="00A3389E">
              <w:rPr>
                <w:rFonts w:ascii="Times New Roman" w:hAnsi="Times New Roman" w:cs="Times New Roman"/>
                <w:sz w:val="24"/>
              </w:rPr>
              <w:t xml:space="preserve"> v </w:t>
            </w:r>
            <w:r w:rsidRPr="00A3389E">
              <w:rPr>
                <w:rFonts w:ascii="Times New Roman" w:hAnsi="Times New Roman" w:cs="Times New Roman"/>
                <w:sz w:val="24"/>
              </w:rPr>
              <w:t>účtovnej závierke</w:t>
            </w:r>
            <w:r w:rsidR="00A3389E">
              <w:rPr>
                <w:rFonts w:ascii="Times New Roman" w:hAnsi="Times New Roman" w:cs="Times New Roman"/>
                <w:sz w:val="24"/>
              </w:rPr>
              <w:t xml:space="preserve"> v </w:t>
            </w:r>
            <w:r w:rsidRPr="00A3389E">
              <w:rPr>
                <w:rFonts w:ascii="Times New Roman" w:hAnsi="Times New Roman" w:cs="Times New Roman"/>
                <w:sz w:val="24"/>
              </w:rPr>
              <w:t>prudenciálnom rozsahu konsolidácie sa preto zverejňujú</w:t>
            </w:r>
            <w:r w:rsidR="00A3389E">
              <w:rPr>
                <w:rFonts w:ascii="Times New Roman" w:hAnsi="Times New Roman" w:cs="Times New Roman"/>
                <w:sz w:val="24"/>
              </w:rPr>
              <w:t xml:space="preserve"> v </w:t>
            </w:r>
            <w:r w:rsidRPr="00A3389E">
              <w:rPr>
                <w:rFonts w:ascii="Times New Roman" w:hAnsi="Times New Roman" w:cs="Times New Roman"/>
                <w:sz w:val="24"/>
              </w:rPr>
              <w:t>zodpovedajúcich riadkoch 1 až 3 tohto vzoru, zatiaľ čo podsúvahové pôvodné expozície sa zverejňujú</w:t>
            </w:r>
            <w:r w:rsidR="00A3389E">
              <w:rPr>
                <w:rFonts w:ascii="Times New Roman" w:hAnsi="Times New Roman" w:cs="Times New Roman"/>
                <w:sz w:val="24"/>
              </w:rPr>
              <w:t xml:space="preserve"> v </w:t>
            </w:r>
            <w:r w:rsidRPr="00A3389E">
              <w:rPr>
                <w:rFonts w:ascii="Times New Roman" w:hAnsi="Times New Roman" w:cs="Times New Roman"/>
                <w:sz w:val="24"/>
              </w:rPr>
              <w:t>riadku 4 tohto vzoru. Akékoľvek osobitné regulačné zvýšenie alebo zníženie týkajúce sa týchto hodnôt sa má zahrnúť do riadkov 5 až 11 tohto vzoru</w:t>
            </w:r>
            <w:r w:rsidR="00A3389E">
              <w:rPr>
                <w:rFonts w:ascii="Times New Roman" w:hAnsi="Times New Roman" w:cs="Times New Roman"/>
                <w:sz w:val="24"/>
              </w:rPr>
              <w:t xml:space="preserve"> s </w:t>
            </w:r>
            <w:r w:rsidRPr="00A3389E">
              <w:rPr>
                <w:rFonts w:ascii="Times New Roman" w:hAnsi="Times New Roman" w:cs="Times New Roman"/>
                <w:sz w:val="24"/>
              </w:rPr>
              <w:t>cieľom vysvetliť, ako zosúladiť tieto hodnoty</w:t>
            </w:r>
            <w:r w:rsidR="00A3389E">
              <w:rPr>
                <w:rFonts w:ascii="Times New Roman" w:hAnsi="Times New Roman" w:cs="Times New Roman"/>
                <w:sz w:val="24"/>
              </w:rPr>
              <w:t xml:space="preserve"> s </w:t>
            </w:r>
            <w:r w:rsidRPr="00A3389E">
              <w:rPr>
                <w:rFonts w:ascii="Times New Roman" w:hAnsi="Times New Roman" w:cs="Times New Roman"/>
                <w:sz w:val="24"/>
              </w:rPr>
              <w:t>hodnotou expozície na regulačné účely ako východiskový bod výpočtu RWEA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každým</w:t>
            </w:r>
            <w:r w:rsidR="00A3389E">
              <w:rPr>
                <w:rFonts w:ascii="Times New Roman" w:hAnsi="Times New Roman" w:cs="Times New Roman"/>
                <w:sz w:val="24"/>
              </w:rPr>
              <w:t xml:space="preserve"> z </w:t>
            </w:r>
            <w:r w:rsidRPr="00A3389E">
              <w:rPr>
                <w:rFonts w:ascii="Times New Roman" w:hAnsi="Times New Roman" w:cs="Times New Roman"/>
                <w:sz w:val="24"/>
              </w:rPr>
              <w:t>rámcov uvedených</w:t>
            </w:r>
            <w:r w:rsidR="00A3389E">
              <w:rPr>
                <w:rFonts w:ascii="Times New Roman" w:hAnsi="Times New Roman" w:cs="Times New Roman"/>
                <w:sz w:val="24"/>
              </w:rPr>
              <w:t xml:space="preserve"> v </w:t>
            </w:r>
            <w:r w:rsidRPr="00A3389E">
              <w:rPr>
                <w:rFonts w:ascii="Times New Roman" w:hAnsi="Times New Roman" w:cs="Times New Roman"/>
                <w:sz w:val="24"/>
              </w:rPr>
              <w:t>stĺpcoch b) až e) tohto vzoru. To znamená, že najmä</w:t>
            </w:r>
            <w:r w:rsidR="00A3389E">
              <w:rPr>
                <w:rFonts w:ascii="Times New Roman" w:hAnsi="Times New Roman" w:cs="Times New Roman"/>
                <w:sz w:val="24"/>
              </w:rPr>
              <w:t xml:space="preserve"> v </w:t>
            </w:r>
            <w:r w:rsidRPr="00A3389E">
              <w:rPr>
                <w:rFonts w:ascii="Times New Roman" w:hAnsi="Times New Roman" w:cs="Times New Roman"/>
                <w:sz w:val="24"/>
              </w:rPr>
              <w:t>prípade kreditného rizika sa hodnoty expozícií posudzované na regulačné účely, ktoré sa majú zverejniť</w:t>
            </w:r>
            <w:r w:rsidR="00A3389E">
              <w:rPr>
                <w:rFonts w:ascii="Times New Roman" w:hAnsi="Times New Roman" w:cs="Times New Roman"/>
                <w:sz w:val="24"/>
              </w:rPr>
              <w:t xml:space="preserve"> v </w:t>
            </w:r>
            <w:r w:rsidRPr="00A3389E">
              <w:rPr>
                <w:rFonts w:ascii="Times New Roman" w:hAnsi="Times New Roman" w:cs="Times New Roman"/>
                <w:sz w:val="24"/>
              </w:rPr>
              <w:t>riadku 12 tohto vzoru, budú líšiť od účtovných hodnôt vykázaných</w:t>
            </w:r>
            <w:r w:rsidR="00A3389E">
              <w:rPr>
                <w:rFonts w:ascii="Times New Roman" w:hAnsi="Times New Roman" w:cs="Times New Roman"/>
                <w:sz w:val="24"/>
              </w:rPr>
              <w:t xml:space="preserve"> v </w:t>
            </w:r>
            <w:r w:rsidRPr="00A3389E">
              <w:rPr>
                <w:rFonts w:ascii="Times New Roman" w:hAnsi="Times New Roman" w:cs="Times New Roman"/>
                <w:sz w:val="24"/>
              </w:rPr>
              <w:t>účtovnej závierke</w:t>
            </w:r>
            <w:r w:rsidR="00A3389E">
              <w:rPr>
                <w:rFonts w:ascii="Times New Roman" w:hAnsi="Times New Roman" w:cs="Times New Roman"/>
                <w:sz w:val="24"/>
              </w:rPr>
              <w:t xml:space="preserve"> v </w:t>
            </w:r>
            <w:r w:rsidRPr="00A3389E">
              <w:rPr>
                <w:rFonts w:ascii="Times New Roman" w:hAnsi="Times New Roman" w:cs="Times New Roman"/>
                <w:sz w:val="24"/>
              </w:rPr>
              <w:t>prudenciálnom rozsahu konsolidácie,</w:t>
            </w:r>
            <w:r w:rsidR="00A3389E">
              <w:rPr>
                <w:rFonts w:ascii="Times New Roman" w:hAnsi="Times New Roman" w:cs="Times New Roman"/>
                <w:sz w:val="24"/>
              </w:rPr>
              <w:t xml:space="preserve"> a </w:t>
            </w:r>
            <w:r w:rsidRPr="00A3389E">
              <w:rPr>
                <w:rFonts w:ascii="Times New Roman" w:hAnsi="Times New Roman" w:cs="Times New Roman"/>
                <w:sz w:val="24"/>
              </w:rPr>
              <w:t>to</w:t>
            </w:r>
            <w:r w:rsidR="00A3389E">
              <w:rPr>
                <w:rFonts w:ascii="Times New Roman" w:hAnsi="Times New Roman" w:cs="Times New Roman"/>
                <w:sz w:val="24"/>
              </w:rPr>
              <w:t xml:space="preserve"> z </w:t>
            </w:r>
            <w:r w:rsidRPr="00A3389E">
              <w:rPr>
                <w:rFonts w:ascii="Times New Roman" w:hAnsi="Times New Roman" w:cs="Times New Roman"/>
                <w:sz w:val="24"/>
              </w:rPr>
              <w:t>dôvodu osobitného regulačného zaobchádzania</w:t>
            </w:r>
            <w:r w:rsidR="00A3389E">
              <w:rPr>
                <w:rFonts w:ascii="Times New Roman" w:hAnsi="Times New Roman" w:cs="Times New Roman"/>
                <w:sz w:val="24"/>
              </w:rPr>
              <w:t xml:space="preserve"> s </w:t>
            </w:r>
            <w:r w:rsidRPr="00A3389E">
              <w:rPr>
                <w:rFonts w:ascii="Times New Roman" w:hAnsi="Times New Roman" w:cs="Times New Roman"/>
                <w:sz w:val="24"/>
              </w:rPr>
              <w:t>účtovnými rezervami pre výpočet RWEA.</w:t>
            </w:r>
          </w:p>
        </w:tc>
      </w:tr>
    </w:tbl>
    <w:p w14:paraId="36BC9F21" w14:textId="77777777" w:rsidR="007B082B" w:rsidRPr="00A3389E" w:rsidRDefault="007B082B" w:rsidP="007B082B">
      <w:pPr>
        <w:jc w:val="both"/>
        <w:rPr>
          <w:rFonts w:ascii="Times New Roman" w:hAnsi="Times New Roman" w:cs="Times New Roman"/>
          <w:sz w:val="24"/>
        </w:rPr>
      </w:pPr>
    </w:p>
    <w:p w14:paraId="7D319545" w14:textId="77777777" w:rsidR="007B082B" w:rsidRPr="00A3389E"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A3389E" w14:paraId="7803C7EC" w14:textId="77777777" w:rsidTr="00803BB4">
        <w:trPr>
          <w:trHeight w:val="238"/>
        </w:trPr>
        <w:tc>
          <w:tcPr>
            <w:tcW w:w="9039" w:type="dxa"/>
            <w:gridSpan w:val="2"/>
            <w:shd w:val="clear" w:color="auto" w:fill="D9D9D9" w:themeFill="background1" w:themeFillShade="D9"/>
          </w:tcPr>
          <w:p w14:paraId="72386190" w14:textId="0E40756A" w:rsidR="007B082B" w:rsidRPr="00A3389E" w:rsidRDefault="007B082B" w:rsidP="00803BB4">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7B082B" w:rsidRPr="00A3389E"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A3389E" w:rsidRDefault="007B082B" w:rsidP="00803BB4">
            <w:pPr>
              <w:autoSpaceDE w:val="0"/>
              <w:autoSpaceDN w:val="0"/>
              <w:adjustRightInd w:val="0"/>
              <w:spacing w:before="60" w:after="120"/>
              <w:rPr>
                <w:rFonts w:ascii="Times New Roman" w:hAnsi="Times New Roman" w:cs="Times New Roman"/>
                <w:b/>
                <w:sz w:val="24"/>
              </w:rPr>
            </w:pPr>
            <w:r w:rsidRPr="00A3389E">
              <w:rPr>
                <w:rFonts w:ascii="Times New Roman" w:hAnsi="Times New Roman" w:cs="Times New Roman"/>
                <w:b/>
                <w:sz w:val="24"/>
              </w:rPr>
              <w:t>Odkaz na stĺpec</w:t>
            </w:r>
          </w:p>
        </w:tc>
        <w:tc>
          <w:tcPr>
            <w:tcW w:w="7655" w:type="dxa"/>
            <w:tcBorders>
              <w:bottom w:val="single" w:sz="4" w:space="0" w:color="auto"/>
            </w:tcBorders>
            <w:shd w:val="clear" w:color="auto" w:fill="D9D9D9" w:themeFill="background1" w:themeFillShade="D9"/>
          </w:tcPr>
          <w:p w14:paraId="24CC6F75" w14:textId="77777777" w:rsidR="007B082B" w:rsidRPr="00A3389E" w:rsidRDefault="007B082B" w:rsidP="00803BB4">
            <w:pPr>
              <w:autoSpaceDE w:val="0"/>
              <w:autoSpaceDN w:val="0"/>
              <w:adjustRightInd w:val="0"/>
              <w:spacing w:before="60"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7B082B" w:rsidRPr="00A3389E"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a</w:t>
            </w:r>
          </w:p>
        </w:tc>
        <w:tc>
          <w:tcPr>
            <w:tcW w:w="7655" w:type="dxa"/>
            <w:tcBorders>
              <w:bottom w:val="single" w:sz="4" w:space="0" w:color="auto"/>
            </w:tcBorders>
            <w:shd w:val="clear" w:color="auto" w:fill="FFFFFF" w:themeFill="background1"/>
          </w:tcPr>
          <w:p w14:paraId="09458FC2" w14:textId="77777777" w:rsidR="007B082B" w:rsidRPr="00A3389E" w:rsidRDefault="007B082B" w:rsidP="00803BB4">
            <w:pPr>
              <w:spacing w:before="60" w:after="120"/>
              <w:jc w:val="both"/>
              <w:rPr>
                <w:rFonts w:ascii="Times New Roman" w:hAnsi="Times New Roman" w:cs="Times New Roman"/>
                <w:b/>
                <w:sz w:val="24"/>
              </w:rPr>
            </w:pPr>
            <w:r w:rsidRPr="00A3389E">
              <w:rPr>
                <w:rFonts w:ascii="Times New Roman" w:hAnsi="Times New Roman" w:cs="Times New Roman"/>
                <w:b/>
                <w:sz w:val="24"/>
              </w:rPr>
              <w:t>Spolu</w:t>
            </w:r>
          </w:p>
          <w:p w14:paraId="4CA8C4A4" w14:textId="67104D14" w:rsidR="007B082B" w:rsidRPr="00A3389E" w:rsidRDefault="007B082B" w:rsidP="00D96A21">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Spolu</w:t>
            </w:r>
            <w:r w:rsidR="00A3389E">
              <w:rPr>
                <w:rFonts w:ascii="Times New Roman" w:hAnsi="Times New Roman" w:cs="Times New Roman"/>
                <w:sz w:val="24"/>
              </w:rPr>
              <w:t xml:space="preserve"> v </w:t>
            </w:r>
            <w:r w:rsidRPr="00A3389E">
              <w:rPr>
                <w:rFonts w:ascii="Times New Roman" w:hAnsi="Times New Roman" w:cs="Times New Roman"/>
                <w:sz w:val="24"/>
              </w:rPr>
              <w:t>stĺpci a) vzoru EU LI2 = sumy</w:t>
            </w:r>
            <w:r w:rsidR="00A3389E">
              <w:rPr>
                <w:rFonts w:ascii="Times New Roman" w:hAnsi="Times New Roman" w:cs="Times New Roman"/>
                <w:sz w:val="24"/>
              </w:rPr>
              <w:t xml:space="preserve"> v </w:t>
            </w:r>
            <w:r w:rsidRPr="00A3389E">
              <w:rPr>
                <w:rFonts w:ascii="Times New Roman" w:hAnsi="Times New Roman" w:cs="Times New Roman"/>
                <w:sz w:val="24"/>
              </w:rPr>
              <w:t>stĺpci b) vzoru EU LI1 – sumy</w:t>
            </w:r>
            <w:r w:rsidR="00A3389E">
              <w:rPr>
                <w:rFonts w:ascii="Times New Roman" w:hAnsi="Times New Roman" w:cs="Times New Roman"/>
                <w:sz w:val="24"/>
              </w:rPr>
              <w:t xml:space="preserve"> v </w:t>
            </w:r>
            <w:r w:rsidRPr="00A3389E">
              <w:rPr>
                <w:rFonts w:ascii="Times New Roman" w:hAnsi="Times New Roman" w:cs="Times New Roman"/>
                <w:sz w:val="24"/>
              </w:rPr>
              <w:t>stĺpci g) vzoru EU LI1.</w:t>
            </w:r>
          </w:p>
        </w:tc>
      </w:tr>
      <w:tr w:rsidR="007B082B" w:rsidRPr="00A3389E"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10D66A5F"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Rozčlenenie stĺpcov</w:t>
            </w:r>
            <w:r w:rsidR="00A3389E">
              <w:rPr>
                <w:rFonts w:ascii="Times New Roman" w:hAnsi="Times New Roman" w:cs="Times New Roman"/>
                <w:sz w:val="24"/>
              </w:rPr>
              <w:t xml:space="preserve"> v </w:t>
            </w:r>
            <w:r w:rsidRPr="00A3389E">
              <w:rPr>
                <w:rFonts w:ascii="Times New Roman" w:hAnsi="Times New Roman" w:cs="Times New Roman"/>
                <w:sz w:val="24"/>
              </w:rPr>
              <w:t>regulačných kategóriách rizika b) až e) zodpovedá rozčleneniu uvedenému</w:t>
            </w:r>
            <w:r w:rsidR="00A3389E">
              <w:rPr>
                <w:rFonts w:ascii="Times New Roman" w:hAnsi="Times New Roman" w:cs="Times New Roman"/>
                <w:sz w:val="24"/>
              </w:rPr>
              <w:t xml:space="preserve"> v </w:t>
            </w:r>
            <w:r w:rsidRPr="00A3389E">
              <w:rPr>
                <w:rFonts w:ascii="Times New Roman" w:hAnsi="Times New Roman" w:cs="Times New Roman"/>
                <w:sz w:val="24"/>
              </w:rPr>
              <w:t xml:space="preserve">tretej časti CRR: </w:t>
            </w:r>
          </w:p>
        </w:tc>
      </w:tr>
      <w:tr w:rsidR="007B082B" w:rsidRPr="00A3389E"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Rámec kreditného rizika</w:t>
            </w:r>
          </w:p>
          <w:p w14:paraId="3AAA1C8D" w14:textId="0DA38D80" w:rsidR="007B082B" w:rsidRPr="00A3389E" w:rsidRDefault="007B082B" w:rsidP="00803BB4">
            <w:pPr>
              <w:spacing w:before="60" w:after="120"/>
              <w:jc w:val="both"/>
              <w:rPr>
                <w:rFonts w:ascii="Times New Roman" w:hAnsi="Times New Roman" w:cs="Times New Roman"/>
                <w:sz w:val="24"/>
              </w:rPr>
            </w:pPr>
            <w:r w:rsidRPr="00A3389E">
              <w:rPr>
                <w:rFonts w:ascii="Times New Roman" w:hAnsi="Times New Roman" w:cs="Times New Roman"/>
                <w:sz w:val="24"/>
              </w:rPr>
              <w:t>Expozície</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CRR.</w:t>
            </w:r>
          </w:p>
          <w:p w14:paraId="2B162172" w14:textId="44989441"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Expozície podľa rámca kreditného rizika zodpovedajú buď hodnote expozície uplatnenej</w:t>
            </w:r>
            <w:r w:rsidR="00A3389E">
              <w:rPr>
                <w:rFonts w:ascii="Times New Roman" w:hAnsi="Times New Roman" w:cs="Times New Roman"/>
                <w:sz w:val="24"/>
              </w:rPr>
              <w:t xml:space="preserve"> v </w:t>
            </w:r>
            <w:r w:rsidRPr="00A3389E">
              <w:rPr>
                <w:rFonts w:ascii="Times New Roman" w:hAnsi="Times New Roman" w:cs="Times New Roman"/>
                <w:sz w:val="24"/>
              </w:rPr>
              <w:t>rámci štandardizovaného prístupu ku kreditnému riziku (pozri tretiu časť hlavu II kapitolu 2 článok 111 CRR), alebo expozíciám</w:t>
            </w:r>
            <w:r w:rsidR="00A3389E">
              <w:rPr>
                <w:rFonts w:ascii="Times New Roman" w:hAnsi="Times New Roman" w:cs="Times New Roman"/>
                <w:sz w:val="24"/>
              </w:rPr>
              <w:t xml:space="preserve"> v </w:t>
            </w:r>
            <w:r w:rsidRPr="00A3389E">
              <w:rPr>
                <w:rFonts w:ascii="Times New Roman" w:hAnsi="Times New Roman" w:cs="Times New Roman"/>
                <w:sz w:val="24"/>
              </w:rPr>
              <w:t>stave zlyhania (EAD)</w:t>
            </w:r>
            <w:r w:rsidR="00A3389E">
              <w:rPr>
                <w:rFonts w:ascii="Times New Roman" w:hAnsi="Times New Roman" w:cs="Times New Roman"/>
                <w:sz w:val="24"/>
              </w:rPr>
              <w:t xml:space="preserve"> v </w:t>
            </w:r>
            <w:r w:rsidRPr="00A3389E">
              <w:rPr>
                <w:rFonts w:ascii="Times New Roman" w:hAnsi="Times New Roman" w:cs="Times New Roman"/>
                <w:sz w:val="24"/>
              </w:rPr>
              <w:t>rámci prístupu IRB ku kreditnému riziku (pozri tretiu časť hlavu II kapitolu 3 články 166, 167</w:t>
            </w:r>
            <w:r w:rsidR="00A3389E">
              <w:rPr>
                <w:rFonts w:ascii="Times New Roman" w:hAnsi="Times New Roman" w:cs="Times New Roman"/>
                <w:sz w:val="24"/>
              </w:rPr>
              <w:t xml:space="preserve"> a </w:t>
            </w:r>
            <w:r w:rsidRPr="00A3389E">
              <w:rPr>
                <w:rFonts w:ascii="Times New Roman" w:hAnsi="Times New Roman" w:cs="Times New Roman"/>
                <w:sz w:val="24"/>
              </w:rPr>
              <w:t xml:space="preserve">168 CRR). </w:t>
            </w:r>
          </w:p>
        </w:tc>
      </w:tr>
      <w:tr w:rsidR="007B082B" w:rsidRPr="00A3389E"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c</w:t>
            </w:r>
          </w:p>
        </w:tc>
        <w:tc>
          <w:tcPr>
            <w:tcW w:w="7655" w:type="dxa"/>
            <w:tcBorders>
              <w:top w:val="single" w:sz="4" w:space="0" w:color="auto"/>
              <w:bottom w:val="single" w:sz="4" w:space="0" w:color="auto"/>
            </w:tcBorders>
            <w:shd w:val="clear" w:color="auto" w:fill="FFFFFF" w:themeFill="background1"/>
          </w:tcPr>
          <w:p w14:paraId="5B7EE9BE" w14:textId="77777777" w:rsidR="00A3389E" w:rsidRPr="00A3389E" w:rsidRDefault="007B082B" w:rsidP="00803BB4">
            <w:pPr>
              <w:spacing w:before="60" w:after="120"/>
              <w:jc w:val="both"/>
              <w:rPr>
                <w:rFonts w:ascii="Times New Roman" w:hAnsi="Times New Roman" w:cs="Times New Roman"/>
                <w:b/>
                <w:sz w:val="24"/>
              </w:rPr>
            </w:pPr>
            <w:r w:rsidRPr="00A3389E">
              <w:rPr>
                <w:rFonts w:ascii="Times New Roman" w:hAnsi="Times New Roman" w:cs="Times New Roman"/>
                <w:b/>
                <w:sz w:val="24"/>
              </w:rPr>
              <w:t>Sekuritizačný rámec</w:t>
            </w:r>
          </w:p>
          <w:p w14:paraId="30028A16" w14:textId="47ADF325" w:rsidR="007B082B" w:rsidRPr="00A3389E" w:rsidRDefault="007B082B" w:rsidP="00803BB4">
            <w:pPr>
              <w:spacing w:before="60" w:after="120"/>
              <w:jc w:val="both"/>
              <w:rPr>
                <w:rFonts w:ascii="Times New Roman" w:eastAsia="Times New Roman" w:hAnsi="Times New Roman" w:cs="Times New Roman"/>
                <w:color w:val="3F8BD0" w:themeColor="accent6" w:themeTint="99"/>
                <w:sz w:val="24"/>
              </w:rPr>
            </w:pPr>
            <w:r w:rsidRPr="00A3389E">
              <w:rPr>
                <w:rFonts w:ascii="Times New Roman" w:hAnsi="Times New Roman" w:cs="Times New Roman"/>
                <w:sz w:val="24"/>
              </w:rPr>
              <w:t>Expozície</w:t>
            </w:r>
            <w:r w:rsidR="00A3389E">
              <w:rPr>
                <w:rFonts w:ascii="Times New Roman" w:hAnsi="Times New Roman" w:cs="Times New Roman"/>
                <w:sz w:val="24"/>
              </w:rPr>
              <w:t xml:space="preserve"> z </w:t>
            </w:r>
            <w:r w:rsidRPr="00A3389E">
              <w:rPr>
                <w:rFonts w:ascii="Times New Roman" w:hAnsi="Times New Roman" w:cs="Times New Roman"/>
                <w:sz w:val="24"/>
              </w:rPr>
              <w:t>neobchodnej knihy uvedené</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5 CRR.</w:t>
            </w:r>
          </w:p>
          <w:p w14:paraId="6C7844D5" w14:textId="4FEEB1DC"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sz w:val="24"/>
              </w:rPr>
              <w:t>Sekuritizačné expozície sa určujú</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5 článkom 246 CRR.</w:t>
            </w:r>
          </w:p>
        </w:tc>
      </w:tr>
      <w:tr w:rsidR="007B082B" w:rsidRPr="00A3389E"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Rámec kreditného rizika protistrany (CCR)</w:t>
            </w:r>
          </w:p>
          <w:p w14:paraId="43F8D39D" w14:textId="542416E7" w:rsidR="007B082B" w:rsidRPr="00A3389E" w:rsidRDefault="007B082B" w:rsidP="00803BB4">
            <w:pPr>
              <w:spacing w:before="60" w:after="120"/>
              <w:jc w:val="both"/>
              <w:rPr>
                <w:rFonts w:ascii="Times New Roman" w:hAnsi="Times New Roman" w:cs="Times New Roman"/>
                <w:b/>
                <w:sz w:val="24"/>
              </w:rPr>
            </w:pPr>
            <w:r w:rsidRPr="00A3389E">
              <w:rPr>
                <w:rFonts w:ascii="Times New Roman" w:hAnsi="Times New Roman" w:cs="Times New Roman"/>
                <w:sz w:val="24"/>
              </w:rPr>
              <w:t>Expozície zohľadnené</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6 CRR.</w:t>
            </w:r>
          </w:p>
        </w:tc>
      </w:tr>
      <w:tr w:rsidR="007B082B" w:rsidRPr="00A3389E"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lastRenderedPageBreak/>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Rámec trhového rizika</w:t>
            </w:r>
          </w:p>
          <w:p w14:paraId="0DFE41C8" w14:textId="29C7358F" w:rsidR="007B082B" w:rsidRPr="00A3389E" w:rsidRDefault="007B082B" w:rsidP="00803BB4">
            <w:pPr>
              <w:spacing w:before="60" w:after="120"/>
              <w:jc w:val="both"/>
              <w:rPr>
                <w:rFonts w:ascii="Times New Roman" w:hAnsi="Times New Roman" w:cs="Times New Roman"/>
                <w:sz w:val="24"/>
              </w:rPr>
            </w:pPr>
            <w:r w:rsidRPr="00A3389E">
              <w:rPr>
                <w:rFonts w:ascii="Times New Roman" w:hAnsi="Times New Roman" w:cs="Times New Roman"/>
                <w:sz w:val="24"/>
              </w:rPr>
              <w:t>Expozície voči trhovému riziku zodpovedajúce pozíciám, ktoré podliehajú rámcu trhového rizika uvedenému</w:t>
            </w:r>
            <w:r w:rsidR="00A3389E">
              <w:rPr>
                <w:rFonts w:ascii="Times New Roman" w:hAnsi="Times New Roman" w:cs="Times New Roman"/>
                <w:sz w:val="24"/>
              </w:rPr>
              <w:t xml:space="preserve"> v </w:t>
            </w:r>
            <w:r w:rsidRPr="00A3389E">
              <w:rPr>
                <w:rFonts w:ascii="Times New Roman" w:hAnsi="Times New Roman" w:cs="Times New Roman"/>
                <w:sz w:val="24"/>
              </w:rPr>
              <w:t>tretej časti hlave IV CRR.</w:t>
            </w:r>
          </w:p>
          <w:p w14:paraId="6E2E4682" w14:textId="38ED0CE7"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V súvislosti</w:t>
            </w:r>
            <w:r w:rsidR="00A3389E">
              <w:rPr>
                <w:rFonts w:ascii="Times New Roman" w:hAnsi="Times New Roman" w:cs="Times New Roman"/>
                <w:sz w:val="24"/>
              </w:rPr>
              <w:t xml:space="preserve"> s </w:t>
            </w:r>
            <w:r w:rsidRPr="00A3389E">
              <w:rPr>
                <w:rFonts w:ascii="Times New Roman" w:hAnsi="Times New Roman" w:cs="Times New Roman"/>
                <w:sz w:val="24"/>
              </w:rPr>
              <w:t>týmto stĺpcom sa zverejňujú len riadky 1 až 3</w:t>
            </w:r>
            <w:r w:rsidR="00A3389E">
              <w:rPr>
                <w:rFonts w:ascii="Times New Roman" w:hAnsi="Times New Roman" w:cs="Times New Roman"/>
                <w:sz w:val="24"/>
              </w:rPr>
              <w:t xml:space="preserve"> a </w:t>
            </w:r>
            <w:r w:rsidRPr="00A3389E">
              <w:rPr>
                <w:rFonts w:ascii="Times New Roman" w:hAnsi="Times New Roman" w:cs="Times New Roman"/>
                <w:sz w:val="24"/>
              </w:rPr>
              <w:t>riadok 12 tohto vzoru.</w:t>
            </w:r>
          </w:p>
        </w:tc>
      </w:tr>
      <w:tr w:rsidR="007B082B" w:rsidRPr="00A3389E"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všetky</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2B69350D"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Ak sa na jednu položku vzťahujú kapitálové požiadavky podľa viac než jedného rámca rizika, zverejňuje sa vo všetkých príslušných stĺpcoch zodpovedajúcich kapitálovým požiadavkám.</w:t>
            </w:r>
            <w:r w:rsidR="00A3389E">
              <w:rPr>
                <w:rFonts w:ascii="Times New Roman" w:hAnsi="Times New Roman" w:cs="Times New Roman"/>
                <w:sz w:val="24"/>
              </w:rPr>
              <w:t xml:space="preserve"> V </w:t>
            </w:r>
            <w:r w:rsidRPr="00A3389E">
              <w:rPr>
                <w:rFonts w:ascii="Times New Roman" w:hAnsi="Times New Roman" w:cs="Times New Roman"/>
                <w:sz w:val="24"/>
              </w:rPr>
              <w:t>dôsledku toho môže byť súčet súm</w:t>
            </w:r>
            <w:r w:rsidR="00A3389E">
              <w:rPr>
                <w:rFonts w:ascii="Times New Roman" w:hAnsi="Times New Roman" w:cs="Times New Roman"/>
                <w:sz w:val="24"/>
              </w:rPr>
              <w:t xml:space="preserve"> v </w:t>
            </w:r>
            <w:r w:rsidRPr="00A3389E">
              <w:rPr>
                <w:rFonts w:ascii="Times New Roman" w:hAnsi="Times New Roman" w:cs="Times New Roman"/>
                <w:sz w:val="24"/>
              </w:rPr>
              <w:t>stĺpcoch b) až e) tohto vzoru väčší než suma</w:t>
            </w:r>
            <w:r w:rsidR="00A3389E">
              <w:rPr>
                <w:rFonts w:ascii="Times New Roman" w:hAnsi="Times New Roman" w:cs="Times New Roman"/>
                <w:sz w:val="24"/>
              </w:rPr>
              <w:t xml:space="preserve"> v </w:t>
            </w:r>
            <w:r w:rsidRPr="00A3389E">
              <w:rPr>
                <w:rFonts w:ascii="Times New Roman" w:hAnsi="Times New Roman" w:cs="Times New Roman"/>
                <w:sz w:val="24"/>
              </w:rPr>
              <w:t>stĺpci a) tohto vzoru. Inštitúcie poskytujú kvalitatívne vysvetlenie aktív</w:t>
            </w:r>
            <w:r w:rsidR="00A3389E">
              <w:rPr>
                <w:rFonts w:ascii="Times New Roman" w:hAnsi="Times New Roman" w:cs="Times New Roman"/>
                <w:sz w:val="24"/>
              </w:rPr>
              <w:t xml:space="preserve"> a </w:t>
            </w:r>
            <w:r w:rsidRPr="00A3389E">
              <w:rPr>
                <w:rFonts w:ascii="Times New Roman" w:hAnsi="Times New Roman" w:cs="Times New Roman"/>
                <w:sz w:val="24"/>
              </w:rPr>
              <w:t>záväzkov, ktoré podliehajú kapitálovým požiadavkám</w:t>
            </w:r>
            <w:r w:rsidR="00A3389E">
              <w:rPr>
                <w:rFonts w:ascii="Times New Roman" w:hAnsi="Times New Roman" w:cs="Times New Roman"/>
                <w:sz w:val="24"/>
              </w:rPr>
              <w:t xml:space="preserve"> v </w:t>
            </w:r>
            <w:r w:rsidRPr="00A3389E">
              <w:rPr>
                <w:rFonts w:ascii="Times New Roman" w:hAnsi="Times New Roman" w:cs="Times New Roman"/>
                <w:sz w:val="24"/>
              </w:rPr>
              <w:t>prípade viac než jedného rámca rizika uvedeného</w:t>
            </w:r>
            <w:r w:rsidR="00A3389E">
              <w:rPr>
                <w:rFonts w:ascii="Times New Roman" w:hAnsi="Times New Roman" w:cs="Times New Roman"/>
                <w:sz w:val="24"/>
              </w:rPr>
              <w:t xml:space="preserve"> v </w:t>
            </w:r>
            <w:r w:rsidRPr="00A3389E">
              <w:rPr>
                <w:rFonts w:ascii="Times New Roman" w:hAnsi="Times New Roman" w:cs="Times New Roman"/>
                <w:sz w:val="24"/>
              </w:rPr>
              <w:t>tretej časti CRR.</w:t>
            </w:r>
          </w:p>
        </w:tc>
      </w:tr>
    </w:tbl>
    <w:p w14:paraId="527FB321" w14:textId="77777777" w:rsidR="007B082B" w:rsidRPr="00A3389E" w:rsidRDefault="007B082B" w:rsidP="007B082B">
      <w:pPr>
        <w:jc w:val="both"/>
        <w:rPr>
          <w:rFonts w:ascii="Times New Roman" w:hAnsi="Times New Roman" w:cs="Times New Roman"/>
          <w:sz w:val="24"/>
        </w:rPr>
      </w:pPr>
    </w:p>
    <w:p w14:paraId="0807C98A" w14:textId="6C11C34C" w:rsidR="007B082B" w:rsidRPr="00A3389E" w:rsidRDefault="007B082B" w:rsidP="007B082B">
      <w:pPr>
        <w:jc w:val="both"/>
        <w:rPr>
          <w:rFonts w:ascii="Times New Roman" w:hAnsi="Times New Roman" w:cs="Times New Roman"/>
          <w:b/>
          <w:sz w:val="24"/>
        </w:rPr>
      </w:pPr>
      <w:r w:rsidRPr="00A3389E">
        <w:rPr>
          <w:rFonts w:ascii="Times New Roman" w:hAnsi="Times New Roman" w:cs="Times New Roman"/>
          <w:b/>
          <w:sz w:val="24"/>
        </w:rPr>
        <w:t>Vzor EU LI3 – Prehľad rozdielov</w:t>
      </w:r>
      <w:r w:rsidR="00A3389E">
        <w:rPr>
          <w:rFonts w:ascii="Times New Roman" w:hAnsi="Times New Roman" w:cs="Times New Roman"/>
          <w:b/>
          <w:sz w:val="24"/>
        </w:rPr>
        <w:t xml:space="preserve"> v </w:t>
      </w:r>
      <w:r w:rsidRPr="00A3389E">
        <w:rPr>
          <w:rFonts w:ascii="Times New Roman" w:hAnsi="Times New Roman" w:cs="Times New Roman"/>
          <w:b/>
          <w:sz w:val="24"/>
        </w:rPr>
        <w:t>rozsahoch konsolidácie (podľa jednotlivých subjektov)</w:t>
      </w:r>
    </w:p>
    <w:p w14:paraId="2DCB70BA" w14:textId="41244793" w:rsidR="007B082B" w:rsidRPr="00A3389E" w:rsidRDefault="00A3389E" w:rsidP="00A3389E">
      <w:pPr>
        <w:spacing w:before="120" w:after="120"/>
        <w:ind w:left="432" w:hanging="360"/>
        <w:jc w:val="both"/>
        <w:rPr>
          <w:rFonts w:ascii="Times New Roman" w:hAnsi="Times New Roman"/>
          <w:color w:val="000000" w:themeColor="text1"/>
          <w:sz w:val="24"/>
        </w:rPr>
      </w:pPr>
      <w:r w:rsidRPr="00A3389E">
        <w:rPr>
          <w:rFonts w:ascii="Times New Roman" w:eastAsia="Calibri" w:hAnsi="Times New Roman" w:cs="Times New Roman"/>
          <w:color w:val="000000" w:themeColor="text1"/>
          <w:sz w:val="24"/>
          <w:szCs w:val="22"/>
        </w:rPr>
        <w:t>3.</w:t>
      </w:r>
      <w:r w:rsidRPr="00A3389E">
        <w:rPr>
          <w:rFonts w:ascii="Times New Roman" w:eastAsia="Calibri" w:hAnsi="Times New Roman" w:cs="Times New Roman"/>
          <w:color w:val="000000" w:themeColor="text1"/>
          <w:sz w:val="24"/>
          <w:szCs w:val="22"/>
        </w:rPr>
        <w:tab/>
      </w:r>
      <w:r w:rsidR="007B082B" w:rsidRPr="00A3389E">
        <w:rPr>
          <w:rFonts w:ascii="Times New Roman" w:hAnsi="Times New Roman"/>
          <w:color w:val="000000" w:themeColor="text1"/>
          <w:sz w:val="24"/>
        </w:rPr>
        <w:t>Inštitúcie</w:t>
      </w:r>
      <w:r w:rsidR="007B082B" w:rsidRPr="00A3389E">
        <w:rPr>
          <w:rFonts w:ascii="Times New Roman" w:hAnsi="Times New Roman"/>
          <w:sz w:val="24"/>
        </w:rPr>
        <w:t xml:space="preserve"> zverejňujú informácie uvedené</w:t>
      </w:r>
      <w:r>
        <w:rPr>
          <w:rFonts w:ascii="Times New Roman" w:hAnsi="Times New Roman"/>
          <w:sz w:val="24"/>
        </w:rPr>
        <w:t xml:space="preserve"> v </w:t>
      </w:r>
      <w:r w:rsidR="007B082B" w:rsidRPr="00A3389E">
        <w:rPr>
          <w:rFonts w:ascii="Times New Roman" w:hAnsi="Times New Roman"/>
          <w:color w:val="000000" w:themeColor="text1"/>
          <w:sz w:val="24"/>
        </w:rPr>
        <w:t>článku 436 písm. b) CRR</w:t>
      </w:r>
      <w:r w:rsidR="007B082B" w:rsidRPr="00A3389E">
        <w:rPr>
          <w:rFonts w:ascii="Times New Roman" w:hAnsi="Times New Roman"/>
          <w:sz w:val="24"/>
        </w:rPr>
        <w:t xml:space="preserve"> podľa pokynov uvedených nižšie</w:t>
      </w:r>
      <w:r>
        <w:rPr>
          <w:rFonts w:ascii="Times New Roman" w:hAnsi="Times New Roman"/>
          <w:sz w:val="24"/>
        </w:rPr>
        <w:t xml:space="preserve"> v </w:t>
      </w:r>
      <w:r w:rsidR="007B082B" w:rsidRPr="00A3389E">
        <w:rPr>
          <w:rFonts w:ascii="Times New Roman" w:hAnsi="Times New Roman"/>
          <w:sz w:val="24"/>
        </w:rPr>
        <w:t>tejto prílohe</w:t>
      </w:r>
      <w:r>
        <w:rPr>
          <w:rFonts w:ascii="Times New Roman" w:hAnsi="Times New Roman"/>
          <w:sz w:val="24"/>
        </w:rPr>
        <w:t xml:space="preserve"> s </w:t>
      </w:r>
      <w:r w:rsidR="007B082B" w:rsidRPr="00A3389E">
        <w:rPr>
          <w:rFonts w:ascii="Times New Roman" w:hAnsi="Times New Roman"/>
          <w:sz w:val="24"/>
        </w:rPr>
        <w:t>cieľom vyplniť vzor EU LI3, ktorý je uvedený</w:t>
      </w:r>
      <w:r>
        <w:rPr>
          <w:rFonts w:ascii="Times New Roman" w:hAnsi="Times New Roman"/>
          <w:sz w:val="24"/>
        </w:rPr>
        <w:t xml:space="preserve"> v </w:t>
      </w:r>
      <w:r w:rsidR="007B082B" w:rsidRPr="00A3389E">
        <w:rPr>
          <w:rFonts w:ascii="Times New Roman" w:hAnsi="Times New Roman"/>
          <w:sz w:val="24"/>
        </w:rPr>
        <w:t>prílohe</w:t>
      </w:r>
      <w:r>
        <w:rPr>
          <w:rFonts w:ascii="Times New Roman" w:hAnsi="Times New Roman"/>
          <w:sz w:val="24"/>
        </w:rPr>
        <w:t xml:space="preserve"> V k </w:t>
      </w:r>
      <w:r w:rsidR="007B082B" w:rsidRPr="00A3389E">
        <w:rPr>
          <w:rFonts w:ascii="Times New Roman" w:hAnsi="Times New Roman"/>
          <w:sz w:val="24"/>
        </w:rPr>
        <w:t>tomuto vykonávaciemu nariadeniu</w:t>
      </w:r>
      <w:r w:rsidR="007B082B" w:rsidRPr="00A3389E">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A3389E"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6D5B2C6F" w:rsidR="007B082B" w:rsidRPr="00A3389E" w:rsidRDefault="007B082B" w:rsidP="00803BB4">
            <w:pPr>
              <w:rPr>
                <w:rFonts w:ascii="Times New Roman" w:hAnsi="Times New Roman" w:cs="Times New Roman"/>
                <w:b/>
                <w:sz w:val="24"/>
                <w:highlight w:val="yellow"/>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7B082B" w:rsidRPr="00A3389E" w14:paraId="29F9CBCC" w14:textId="77777777" w:rsidTr="00803BB4">
        <w:trPr>
          <w:trHeight w:val="238"/>
        </w:trPr>
        <w:tc>
          <w:tcPr>
            <w:tcW w:w="1384" w:type="dxa"/>
            <w:shd w:val="clear" w:color="auto" w:fill="D9D9D9" w:themeFill="background1" w:themeFillShade="D9"/>
          </w:tcPr>
          <w:p w14:paraId="43226805" w14:textId="77777777" w:rsidR="007B082B" w:rsidRPr="00A3389E" w:rsidRDefault="007B082B" w:rsidP="00803BB4">
            <w:pPr>
              <w:autoSpaceDE w:val="0"/>
              <w:autoSpaceDN w:val="0"/>
              <w:adjustRightInd w:val="0"/>
              <w:jc w:val="center"/>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19FD6AE0" w14:textId="77777777" w:rsidR="007B082B" w:rsidRPr="00A3389E" w:rsidRDefault="007B082B"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7B082B" w:rsidRPr="00A3389E" w14:paraId="42C31B51" w14:textId="77777777" w:rsidTr="00803BB4">
        <w:trPr>
          <w:trHeight w:val="238"/>
        </w:trPr>
        <w:tc>
          <w:tcPr>
            <w:tcW w:w="1384" w:type="dxa"/>
            <w:shd w:val="clear" w:color="auto" w:fill="FFFFFF" w:themeFill="background1"/>
          </w:tcPr>
          <w:p w14:paraId="6F0C2254" w14:textId="77777777" w:rsidR="007B082B" w:rsidRPr="00A3389E"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1338D767" w:rsidR="007B082B" w:rsidRPr="00A3389E" w:rsidRDefault="007B082B" w:rsidP="00803BB4">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sz w:val="24"/>
              </w:rPr>
              <w:t>Riadky sú flexibilné. Zverejňované informácie sa poskytnú pre subjekty zahrnuté do účtovného</w:t>
            </w:r>
            <w:r w:rsidR="00A3389E">
              <w:rPr>
                <w:rFonts w:ascii="Times New Roman" w:hAnsi="Times New Roman" w:cs="Times New Roman"/>
                <w:sz w:val="24"/>
              </w:rPr>
              <w:t xml:space="preserve"> a </w:t>
            </w:r>
            <w:r w:rsidRPr="00A3389E">
              <w:rPr>
                <w:rFonts w:ascii="Times New Roman" w:hAnsi="Times New Roman" w:cs="Times New Roman"/>
                <w:sz w:val="24"/>
              </w:rPr>
              <w:t>regulačného rozsahu konsolidácie, ako je vymedzené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uplatniteľným účtovným rámcom</w:t>
            </w:r>
            <w:r w:rsidR="00A3389E">
              <w:rPr>
                <w:rFonts w:ascii="Times New Roman" w:hAnsi="Times New Roman" w:cs="Times New Roman"/>
                <w:sz w:val="24"/>
              </w:rPr>
              <w:t xml:space="preserve"> a </w:t>
            </w:r>
            <w:r w:rsidRPr="00A3389E">
              <w:rPr>
                <w:rFonts w:ascii="Times New Roman" w:hAnsi="Times New Roman" w:cs="Times New Roman"/>
                <w:sz w:val="24"/>
              </w:rPr>
              <w:t>prvou časťou hlavou II oddielmi 2</w:t>
            </w:r>
            <w:r w:rsidR="00A3389E">
              <w:rPr>
                <w:rFonts w:ascii="Times New Roman" w:hAnsi="Times New Roman" w:cs="Times New Roman"/>
                <w:sz w:val="24"/>
              </w:rPr>
              <w:t xml:space="preserve"> a </w:t>
            </w:r>
            <w:r w:rsidRPr="00A3389E">
              <w:rPr>
                <w:rFonts w:ascii="Times New Roman" w:hAnsi="Times New Roman" w:cs="Times New Roman"/>
                <w:sz w:val="24"/>
              </w:rPr>
              <w:t>3 CRR, pre ktoré je metóda účtovnej konsolidácie odlišná od metódy regulačnej konsolidácie. Jeden riadok na subjekt.</w:t>
            </w:r>
          </w:p>
        </w:tc>
      </w:tr>
    </w:tbl>
    <w:p w14:paraId="51FBC2E6" w14:textId="77777777" w:rsidR="007B082B" w:rsidRPr="00A3389E" w:rsidRDefault="007B082B" w:rsidP="007B082B">
      <w:pPr>
        <w:rPr>
          <w:rFonts w:ascii="Times New Roman" w:hAnsi="Times New Roman" w:cs="Times New Roman"/>
          <w:sz w:val="24"/>
        </w:rPr>
      </w:pPr>
    </w:p>
    <w:p w14:paraId="4270CE8A" w14:textId="77777777" w:rsidR="007B082B" w:rsidRPr="00A3389E"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A3389E"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175F5C6B" w:rsidR="007B082B" w:rsidRPr="00A3389E" w:rsidRDefault="007B082B" w:rsidP="00803BB4">
            <w:pPr>
              <w:rPr>
                <w:rFonts w:ascii="Times New Roman" w:hAnsi="Times New Roman" w:cs="Times New Roman"/>
                <w:b/>
                <w:sz w:val="24"/>
                <w:highlight w:val="yellow"/>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7B082B" w:rsidRPr="00A3389E" w14:paraId="67D9D178" w14:textId="77777777" w:rsidTr="00803BB4">
        <w:trPr>
          <w:trHeight w:val="238"/>
        </w:trPr>
        <w:tc>
          <w:tcPr>
            <w:tcW w:w="1384" w:type="dxa"/>
            <w:shd w:val="clear" w:color="auto" w:fill="D9D9D9" w:themeFill="background1" w:themeFillShade="D9"/>
          </w:tcPr>
          <w:p w14:paraId="2C0C452A" w14:textId="77777777" w:rsidR="007B082B" w:rsidRPr="00A3389E" w:rsidRDefault="007B082B" w:rsidP="00803BB4">
            <w:pPr>
              <w:autoSpaceDE w:val="0"/>
              <w:autoSpaceDN w:val="0"/>
              <w:adjustRightInd w:val="0"/>
              <w:jc w:val="center"/>
              <w:rPr>
                <w:rFonts w:ascii="Times New Roman" w:hAnsi="Times New Roman" w:cs="Times New Roman"/>
                <w:b/>
                <w:sz w:val="24"/>
              </w:rPr>
            </w:pPr>
            <w:r w:rsidRPr="00A3389E">
              <w:rPr>
                <w:rFonts w:ascii="Times New Roman" w:hAnsi="Times New Roman" w:cs="Times New Roman"/>
                <w:b/>
                <w:sz w:val="24"/>
              </w:rPr>
              <w:t>Odkaz na stĺpec</w:t>
            </w:r>
          </w:p>
        </w:tc>
        <w:tc>
          <w:tcPr>
            <w:tcW w:w="7655" w:type="dxa"/>
            <w:shd w:val="clear" w:color="auto" w:fill="D9D9D9" w:themeFill="background1" w:themeFillShade="D9"/>
          </w:tcPr>
          <w:p w14:paraId="6DC63485" w14:textId="77777777" w:rsidR="007B082B" w:rsidRPr="00A3389E" w:rsidRDefault="007B082B"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7B082B" w:rsidRPr="00A3389E" w14:paraId="3E7D3951" w14:textId="77777777" w:rsidTr="00803BB4">
        <w:trPr>
          <w:trHeight w:val="238"/>
        </w:trPr>
        <w:tc>
          <w:tcPr>
            <w:tcW w:w="1384" w:type="dxa"/>
            <w:shd w:val="clear" w:color="auto" w:fill="auto"/>
          </w:tcPr>
          <w:p w14:paraId="2A45CBE0"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a</w:t>
            </w:r>
          </w:p>
        </w:tc>
        <w:tc>
          <w:tcPr>
            <w:tcW w:w="7655" w:type="dxa"/>
            <w:shd w:val="clear" w:color="auto" w:fill="auto"/>
          </w:tcPr>
          <w:p w14:paraId="52AB1DB3" w14:textId="77777777" w:rsidR="007B082B" w:rsidRPr="00A3389E" w:rsidRDefault="007B082B" w:rsidP="00803BB4">
            <w:pPr>
              <w:keepNext/>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Názov subjektu</w:t>
            </w:r>
          </w:p>
          <w:p w14:paraId="099F4741" w14:textId="217C3F1F" w:rsidR="007B082B" w:rsidRPr="00A3389E" w:rsidRDefault="007B082B" w:rsidP="00803BB4">
            <w:pPr>
              <w:keepNext/>
              <w:spacing w:before="60" w:after="120"/>
              <w:jc w:val="both"/>
              <w:rPr>
                <w:rFonts w:ascii="Times New Roman" w:hAnsi="Times New Roman" w:cs="Times New Roman"/>
                <w:b/>
                <w:sz w:val="24"/>
              </w:rPr>
            </w:pPr>
            <w:r w:rsidRPr="00A3389E">
              <w:rPr>
                <w:rFonts w:ascii="Times New Roman" w:hAnsi="Times New Roman" w:cs="Times New Roman"/>
                <w:sz w:val="24"/>
              </w:rPr>
              <w:t>Obchodný názov akéhokoľvek subjektu, ktorý je zahrnutý do regulačného</w:t>
            </w:r>
            <w:r w:rsidR="00A3389E">
              <w:rPr>
                <w:rFonts w:ascii="Times New Roman" w:hAnsi="Times New Roman" w:cs="Times New Roman"/>
                <w:sz w:val="24"/>
              </w:rPr>
              <w:t xml:space="preserve"> a </w:t>
            </w:r>
            <w:r w:rsidRPr="00A3389E">
              <w:rPr>
                <w:rFonts w:ascii="Times New Roman" w:hAnsi="Times New Roman" w:cs="Times New Roman"/>
                <w:sz w:val="24"/>
              </w:rPr>
              <w:t>účtovného rozsahu konsolidácie inštitúcie alebo ktorý je od neho odpočítaný.</w:t>
            </w:r>
          </w:p>
        </w:tc>
      </w:tr>
      <w:tr w:rsidR="007B082B" w:rsidRPr="00A3389E" w14:paraId="48E07DD2" w14:textId="77777777" w:rsidTr="00803BB4">
        <w:trPr>
          <w:trHeight w:val="238"/>
        </w:trPr>
        <w:tc>
          <w:tcPr>
            <w:tcW w:w="1384" w:type="dxa"/>
            <w:shd w:val="clear" w:color="auto" w:fill="auto"/>
          </w:tcPr>
          <w:p w14:paraId="650CB4CF"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t>b</w:t>
            </w:r>
          </w:p>
        </w:tc>
        <w:tc>
          <w:tcPr>
            <w:tcW w:w="7655" w:type="dxa"/>
            <w:shd w:val="clear" w:color="auto" w:fill="auto"/>
          </w:tcPr>
          <w:p w14:paraId="338167FB" w14:textId="77777777" w:rsidR="007B082B" w:rsidRPr="00A3389E" w:rsidRDefault="007B082B" w:rsidP="00803BB4">
            <w:pPr>
              <w:keepNext/>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Metóda účtovnej konsolidácie</w:t>
            </w:r>
          </w:p>
          <w:p w14:paraId="067EC88D" w14:textId="75EAC37F" w:rsidR="007B082B" w:rsidRPr="00A3389E" w:rsidRDefault="007B082B" w:rsidP="00803BB4">
            <w:pPr>
              <w:keepNext/>
              <w:spacing w:before="60" w:after="120"/>
              <w:jc w:val="both"/>
              <w:rPr>
                <w:rFonts w:ascii="Times New Roman" w:hAnsi="Times New Roman" w:cs="Times New Roman"/>
                <w:b/>
                <w:sz w:val="24"/>
              </w:rPr>
            </w:pPr>
            <w:r w:rsidRPr="00A3389E">
              <w:rPr>
                <w:rFonts w:ascii="Times New Roman" w:hAnsi="Times New Roman" w:cs="Times New Roman"/>
                <w:sz w:val="24"/>
              </w:rPr>
              <w:t>Metóda konsolidácie použitá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uplatniteľným účtovným rámcom.</w:t>
            </w:r>
          </w:p>
        </w:tc>
      </w:tr>
      <w:tr w:rsidR="007B082B" w:rsidRPr="00A3389E" w14:paraId="5246F38B" w14:textId="77777777" w:rsidTr="00803BB4">
        <w:trPr>
          <w:trHeight w:val="238"/>
        </w:trPr>
        <w:tc>
          <w:tcPr>
            <w:tcW w:w="1384" w:type="dxa"/>
            <w:shd w:val="clear" w:color="auto" w:fill="auto"/>
          </w:tcPr>
          <w:p w14:paraId="6747CEC2" w14:textId="77777777" w:rsidR="007B082B" w:rsidRPr="00A3389E" w:rsidRDefault="007B082B" w:rsidP="00803BB4">
            <w:pPr>
              <w:autoSpaceDE w:val="0"/>
              <w:autoSpaceDN w:val="0"/>
              <w:adjustRightInd w:val="0"/>
              <w:spacing w:before="60" w:after="120"/>
              <w:jc w:val="center"/>
              <w:rPr>
                <w:rFonts w:ascii="Times New Roman" w:hAnsi="Times New Roman" w:cs="Times New Roman"/>
                <w:sz w:val="24"/>
              </w:rPr>
            </w:pPr>
            <w:r w:rsidRPr="00A3389E">
              <w:rPr>
                <w:rFonts w:ascii="Times New Roman" w:hAnsi="Times New Roman" w:cs="Times New Roman"/>
                <w:sz w:val="24"/>
              </w:rPr>
              <w:lastRenderedPageBreak/>
              <w:t>c až g</w:t>
            </w:r>
          </w:p>
        </w:tc>
        <w:tc>
          <w:tcPr>
            <w:tcW w:w="7655" w:type="dxa"/>
            <w:shd w:val="clear" w:color="auto" w:fill="auto"/>
          </w:tcPr>
          <w:p w14:paraId="48D3D0C7" w14:textId="77777777" w:rsidR="007B082B" w:rsidRPr="00A3389E" w:rsidRDefault="007B082B" w:rsidP="00803BB4">
            <w:pPr>
              <w:keepNext/>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Metóda regulačnej konsolidácie</w:t>
            </w:r>
          </w:p>
          <w:p w14:paraId="00FD3624" w14:textId="77777777" w:rsidR="007B082B" w:rsidRPr="00A3389E" w:rsidRDefault="007B082B" w:rsidP="00803BB4">
            <w:pPr>
              <w:keepNext/>
              <w:spacing w:before="60" w:after="120"/>
              <w:jc w:val="both"/>
              <w:rPr>
                <w:rFonts w:ascii="Times New Roman" w:eastAsia="Times New Roman" w:hAnsi="Times New Roman" w:cs="Times New Roman"/>
                <w:sz w:val="24"/>
              </w:rPr>
            </w:pPr>
            <w:r w:rsidRPr="00A3389E">
              <w:rPr>
                <w:rFonts w:ascii="Times New Roman" w:hAnsi="Times New Roman" w:cs="Times New Roman"/>
                <w:sz w:val="24"/>
              </w:rPr>
              <w:t>Metóda konsolidácie použitá na účely prvej časti hlavy II kapitoly 2 CRR.</w:t>
            </w:r>
          </w:p>
          <w:p w14:paraId="0D12C05F" w14:textId="1B9E59B3" w:rsidR="007B082B" w:rsidRPr="00A3389E" w:rsidRDefault="007B082B" w:rsidP="00803BB4">
            <w:pPr>
              <w:keepNext/>
              <w:spacing w:before="60" w:after="120"/>
              <w:jc w:val="both"/>
              <w:rPr>
                <w:rFonts w:ascii="Times New Roman" w:eastAsia="Times New Roman" w:hAnsi="Times New Roman" w:cs="Times New Roman"/>
                <w:sz w:val="24"/>
              </w:rPr>
            </w:pPr>
            <w:r w:rsidRPr="00A3389E">
              <w:rPr>
                <w:rFonts w:ascii="Times New Roman" w:hAnsi="Times New Roman" w:cs="Times New Roman"/>
                <w:sz w:val="24"/>
              </w:rPr>
              <w:t>Minimálne sa zverejňujú metódy uvedené</w:t>
            </w:r>
            <w:r w:rsidR="00A3389E">
              <w:rPr>
                <w:rFonts w:ascii="Times New Roman" w:hAnsi="Times New Roman" w:cs="Times New Roman"/>
                <w:sz w:val="24"/>
              </w:rPr>
              <w:t xml:space="preserve"> v </w:t>
            </w:r>
            <w:r w:rsidRPr="00A3389E">
              <w:rPr>
                <w:rFonts w:ascii="Times New Roman" w:hAnsi="Times New Roman" w:cs="Times New Roman"/>
                <w:sz w:val="24"/>
              </w:rPr>
              <w:t>článku 436 písm. b) CRR.</w:t>
            </w:r>
          </w:p>
          <w:p w14:paraId="236AC652" w14:textId="24D47609" w:rsidR="007B082B" w:rsidRPr="00A3389E" w:rsidRDefault="007B082B" w:rsidP="00803BB4">
            <w:pPr>
              <w:keepNext/>
              <w:spacing w:before="60" w:after="120"/>
              <w:jc w:val="both"/>
              <w:rPr>
                <w:rFonts w:ascii="Times New Roman" w:hAnsi="Times New Roman" w:cs="Times New Roman"/>
                <w:b/>
                <w:sz w:val="24"/>
              </w:rPr>
            </w:pPr>
            <w:r w:rsidRPr="00A3389E">
              <w:rPr>
                <w:rFonts w:ascii="Times New Roman" w:hAnsi="Times New Roman" w:cs="Times New Roman"/>
                <w:sz w:val="24"/>
              </w:rPr>
              <w:t>Inštitúcie označia príslušné stĺpce</w:t>
            </w:r>
            <w:r w:rsidR="00A3389E">
              <w:rPr>
                <w:rFonts w:ascii="Times New Roman" w:hAnsi="Times New Roman" w:cs="Times New Roman"/>
                <w:sz w:val="24"/>
              </w:rPr>
              <w:t xml:space="preserve"> s </w:t>
            </w:r>
            <w:r w:rsidRPr="00A3389E">
              <w:rPr>
                <w:rFonts w:ascii="Times New Roman" w:hAnsi="Times New Roman" w:cs="Times New Roman"/>
                <w:sz w:val="24"/>
              </w:rPr>
              <w:t>cieľom identifikovať metódu konsolidácie každého subjektu podľa účtovného rámca</w:t>
            </w:r>
            <w:r w:rsidR="00A3389E">
              <w:rPr>
                <w:rFonts w:ascii="Times New Roman" w:hAnsi="Times New Roman" w:cs="Times New Roman"/>
                <w:sz w:val="24"/>
              </w:rPr>
              <w:t xml:space="preserve"> a </w:t>
            </w:r>
            <w:r w:rsidRPr="00A3389E">
              <w:rPr>
                <w:rFonts w:ascii="Times New Roman" w:hAnsi="Times New Roman" w:cs="Times New Roman"/>
                <w:sz w:val="24"/>
              </w:rPr>
              <w:t>to, či je podľa prudenciálneho rozsahu konsolidácie každý subjekt i) plne konsolidovaný; ii) proporcionálne konsolidovaný; iii) vykázaný podľa metódy vlastného imania; iv) nekonsolidovaný</w:t>
            </w:r>
            <w:r w:rsidR="00A3389E">
              <w:rPr>
                <w:rFonts w:ascii="Times New Roman" w:hAnsi="Times New Roman" w:cs="Times New Roman"/>
                <w:sz w:val="24"/>
              </w:rPr>
              <w:t xml:space="preserve"> a </w:t>
            </w:r>
            <w:r w:rsidRPr="00A3389E">
              <w:rPr>
                <w:rFonts w:ascii="Times New Roman" w:hAnsi="Times New Roman" w:cs="Times New Roman"/>
                <w:sz w:val="24"/>
              </w:rPr>
              <w:t>zároveň neodpočítaný; alebo v) odpočítaný.</w:t>
            </w:r>
          </w:p>
        </w:tc>
      </w:tr>
      <w:tr w:rsidR="007B082B" w:rsidRPr="00A3389E" w14:paraId="52F2E86F" w14:textId="77777777" w:rsidTr="00803BB4">
        <w:trPr>
          <w:trHeight w:val="238"/>
        </w:trPr>
        <w:tc>
          <w:tcPr>
            <w:tcW w:w="1384" w:type="dxa"/>
            <w:shd w:val="clear" w:color="auto" w:fill="auto"/>
          </w:tcPr>
          <w:p w14:paraId="06FA0317" w14:textId="77777777" w:rsidR="007B082B" w:rsidRPr="00A3389E" w:rsidRDefault="007B082B" w:rsidP="00803BB4">
            <w:pPr>
              <w:autoSpaceDE w:val="0"/>
              <w:autoSpaceDN w:val="0"/>
              <w:adjustRightInd w:val="0"/>
              <w:spacing w:before="60" w:after="120"/>
              <w:jc w:val="center"/>
              <w:rPr>
                <w:rFonts w:ascii="Times New Roman" w:hAnsi="Times New Roman" w:cs="Times New Roman"/>
                <w:b/>
                <w:sz w:val="24"/>
              </w:rPr>
            </w:pPr>
            <w:r w:rsidRPr="00A3389E">
              <w:rPr>
                <w:rFonts w:ascii="Times New Roman" w:hAnsi="Times New Roman" w:cs="Times New Roman"/>
                <w:b/>
                <w:sz w:val="24"/>
              </w:rPr>
              <w:t>h</w:t>
            </w:r>
          </w:p>
        </w:tc>
        <w:tc>
          <w:tcPr>
            <w:tcW w:w="7655" w:type="dxa"/>
            <w:shd w:val="clear" w:color="auto" w:fill="auto"/>
          </w:tcPr>
          <w:p w14:paraId="40552E38" w14:textId="77777777" w:rsidR="007B082B" w:rsidRPr="00A3389E" w:rsidRDefault="007B082B" w:rsidP="00803BB4">
            <w:pPr>
              <w:spacing w:before="60" w:after="120"/>
              <w:jc w:val="both"/>
              <w:rPr>
                <w:rFonts w:ascii="Times New Roman" w:eastAsia="Times New Roman" w:hAnsi="Times New Roman" w:cs="Times New Roman"/>
                <w:b/>
                <w:sz w:val="24"/>
              </w:rPr>
            </w:pPr>
            <w:r w:rsidRPr="00A3389E">
              <w:rPr>
                <w:rFonts w:ascii="Times New Roman" w:hAnsi="Times New Roman" w:cs="Times New Roman"/>
                <w:b/>
                <w:sz w:val="24"/>
              </w:rPr>
              <w:t>Opis subjektu</w:t>
            </w:r>
          </w:p>
          <w:p w14:paraId="1EDB0246" w14:textId="77777777" w:rsidR="007B082B" w:rsidRPr="00A3389E" w:rsidRDefault="007B082B" w:rsidP="00803BB4">
            <w:pPr>
              <w:spacing w:before="60" w:after="120"/>
              <w:jc w:val="both"/>
              <w:rPr>
                <w:rFonts w:ascii="Times New Roman" w:eastAsia="Times New Roman" w:hAnsi="Times New Roman" w:cs="Times New Roman"/>
                <w:sz w:val="24"/>
              </w:rPr>
            </w:pPr>
            <w:r w:rsidRPr="00A3389E">
              <w:rPr>
                <w:rFonts w:ascii="Times New Roman" w:hAnsi="Times New Roman" w:cs="Times New Roman"/>
                <w:sz w:val="24"/>
              </w:rPr>
              <w:t>Stručný opis subjektu so zverejnením (minimálne) jeho odvetvia činnosti.</w:t>
            </w:r>
          </w:p>
        </w:tc>
      </w:tr>
    </w:tbl>
    <w:p w14:paraId="4BCBBC38" w14:textId="77777777" w:rsidR="007B082B" w:rsidRPr="00A3389E" w:rsidRDefault="007B082B" w:rsidP="007B082B">
      <w:pPr>
        <w:rPr>
          <w:rFonts w:ascii="Times New Roman" w:hAnsi="Times New Roman" w:cs="Times New Roman"/>
          <w:sz w:val="24"/>
        </w:rPr>
      </w:pPr>
    </w:p>
    <w:p w14:paraId="62009EA3" w14:textId="58A948A3" w:rsidR="007B082B" w:rsidRPr="00A3389E" w:rsidRDefault="00D96A21" w:rsidP="007B082B">
      <w:pPr>
        <w:jc w:val="both"/>
        <w:rPr>
          <w:rFonts w:ascii="Times New Roman" w:hAnsi="Times New Roman" w:cs="Times New Roman"/>
          <w:sz w:val="24"/>
        </w:rPr>
      </w:pPr>
      <w:r w:rsidRPr="00A3389E">
        <w:rPr>
          <w:rFonts w:ascii="Times New Roman" w:hAnsi="Times New Roman" w:cs="Times New Roman"/>
          <w:b/>
          <w:sz w:val="24"/>
        </w:rPr>
        <w:t>Tabuľka EU LIA – Vysvetlenie rozdielov medzi účtovnými</w:t>
      </w:r>
      <w:r w:rsidR="00A3389E">
        <w:rPr>
          <w:rFonts w:ascii="Times New Roman" w:hAnsi="Times New Roman" w:cs="Times New Roman"/>
          <w:b/>
          <w:sz w:val="24"/>
        </w:rPr>
        <w:t xml:space="preserve"> a </w:t>
      </w:r>
      <w:r w:rsidRPr="00A3389E">
        <w:rPr>
          <w:rFonts w:ascii="Times New Roman" w:hAnsi="Times New Roman" w:cs="Times New Roman"/>
          <w:b/>
          <w:sz w:val="24"/>
        </w:rPr>
        <w:t xml:space="preserve">regulačnými hodnotami expozícií. </w:t>
      </w:r>
      <w:r w:rsidRPr="00A3389E">
        <w:rPr>
          <w:rFonts w:ascii="Times New Roman" w:hAnsi="Times New Roman" w:cs="Times New Roman"/>
          <w:sz w:val="24"/>
        </w:rPr>
        <w:t>Textové polia</w:t>
      </w:r>
      <w:r w:rsidR="00A3389E">
        <w:rPr>
          <w:rFonts w:ascii="Times New Roman" w:hAnsi="Times New Roman" w:cs="Times New Roman"/>
          <w:sz w:val="24"/>
        </w:rPr>
        <w:t xml:space="preserve"> s </w:t>
      </w:r>
      <w:r w:rsidRPr="00A3389E">
        <w:rPr>
          <w:rFonts w:ascii="Times New Roman" w:hAnsi="Times New Roman" w:cs="Times New Roman"/>
          <w:sz w:val="24"/>
        </w:rPr>
        <w:t>ľubovoľným formátom na zverejňovanie kvalitatívnych informácií.</w:t>
      </w:r>
    </w:p>
    <w:p w14:paraId="4CD2BB71" w14:textId="77777777" w:rsidR="007B082B" w:rsidRPr="00A3389E" w:rsidRDefault="007B082B" w:rsidP="007B082B">
      <w:pPr>
        <w:jc w:val="both"/>
        <w:rPr>
          <w:rFonts w:ascii="Times New Roman" w:hAnsi="Times New Roman" w:cs="Times New Roman"/>
          <w:sz w:val="24"/>
        </w:rPr>
      </w:pPr>
    </w:p>
    <w:p w14:paraId="4B6DAAED" w14:textId="538ACBD6" w:rsidR="007B082B" w:rsidRPr="00A3389E" w:rsidRDefault="00A3389E" w:rsidP="00A3389E">
      <w:pPr>
        <w:spacing w:before="120" w:after="120"/>
        <w:ind w:left="425" w:hanging="357"/>
        <w:jc w:val="both"/>
        <w:rPr>
          <w:rFonts w:ascii="Times New Roman" w:hAnsi="Times New Roman"/>
          <w:color w:val="000000" w:themeColor="text1"/>
          <w:sz w:val="24"/>
        </w:rPr>
      </w:pPr>
      <w:r w:rsidRPr="00A3389E">
        <w:rPr>
          <w:rFonts w:ascii="Times New Roman" w:eastAsia="Calibri" w:hAnsi="Times New Roman" w:cs="Times New Roman"/>
          <w:color w:val="000000" w:themeColor="text1"/>
          <w:sz w:val="24"/>
          <w:szCs w:val="22"/>
        </w:rPr>
        <w:t>4.</w:t>
      </w:r>
      <w:r w:rsidRPr="00A3389E">
        <w:rPr>
          <w:rFonts w:ascii="Times New Roman" w:eastAsia="Calibri" w:hAnsi="Times New Roman" w:cs="Times New Roman"/>
          <w:color w:val="000000" w:themeColor="text1"/>
          <w:sz w:val="24"/>
          <w:szCs w:val="22"/>
        </w:rPr>
        <w:tab/>
      </w:r>
      <w:r w:rsidR="007B082B" w:rsidRPr="00A3389E">
        <w:rPr>
          <w:rFonts w:ascii="Times New Roman" w:hAnsi="Times New Roman"/>
          <w:sz w:val="24"/>
        </w:rPr>
        <w:t xml:space="preserve">Inštitúcie </w:t>
      </w:r>
      <w:r w:rsidR="007B082B" w:rsidRPr="00A3389E">
        <w:rPr>
          <w:rFonts w:ascii="Times New Roman" w:hAnsi="Times New Roman"/>
          <w:color w:val="000000" w:themeColor="text1"/>
          <w:sz w:val="24"/>
        </w:rPr>
        <w:t>zverejňujú</w:t>
      </w:r>
      <w:r w:rsidR="007B082B" w:rsidRPr="00A3389E">
        <w:rPr>
          <w:rFonts w:ascii="Times New Roman" w:hAnsi="Times New Roman"/>
          <w:sz w:val="24"/>
        </w:rPr>
        <w:t xml:space="preserve"> informácie uvedené</w:t>
      </w:r>
      <w:r>
        <w:rPr>
          <w:rFonts w:ascii="Times New Roman" w:hAnsi="Times New Roman"/>
          <w:sz w:val="24"/>
        </w:rPr>
        <w:t xml:space="preserve"> v </w:t>
      </w:r>
      <w:r w:rsidR="007B082B" w:rsidRPr="00A3389E">
        <w:rPr>
          <w:rFonts w:ascii="Times New Roman" w:hAnsi="Times New Roman"/>
          <w:color w:val="000000" w:themeColor="text1"/>
          <w:sz w:val="24"/>
        </w:rPr>
        <w:t>článku 436 písm. b)</w:t>
      </w:r>
      <w:r>
        <w:rPr>
          <w:rFonts w:ascii="Times New Roman" w:hAnsi="Times New Roman"/>
          <w:color w:val="000000" w:themeColor="text1"/>
          <w:sz w:val="24"/>
        </w:rPr>
        <w:t xml:space="preserve"> a </w:t>
      </w:r>
      <w:r w:rsidR="007B082B" w:rsidRPr="00A3389E">
        <w:rPr>
          <w:rFonts w:ascii="Times New Roman" w:hAnsi="Times New Roman"/>
          <w:color w:val="000000" w:themeColor="text1"/>
          <w:sz w:val="24"/>
        </w:rPr>
        <w:t>d) CRR</w:t>
      </w:r>
      <w:r w:rsidR="007B082B" w:rsidRPr="00A3389E">
        <w:rPr>
          <w:rFonts w:ascii="Times New Roman" w:hAnsi="Times New Roman"/>
          <w:sz w:val="24"/>
        </w:rPr>
        <w:t xml:space="preserve"> podľa pokynov uvedených nižšie</w:t>
      </w:r>
      <w:r>
        <w:rPr>
          <w:rFonts w:ascii="Times New Roman" w:hAnsi="Times New Roman"/>
          <w:sz w:val="24"/>
        </w:rPr>
        <w:t xml:space="preserve"> v </w:t>
      </w:r>
      <w:r w:rsidR="007B082B" w:rsidRPr="00A3389E">
        <w:rPr>
          <w:rFonts w:ascii="Times New Roman" w:hAnsi="Times New Roman"/>
          <w:sz w:val="24"/>
        </w:rPr>
        <w:t>tejto prílohe</w:t>
      </w:r>
      <w:r>
        <w:rPr>
          <w:rFonts w:ascii="Times New Roman" w:hAnsi="Times New Roman"/>
          <w:sz w:val="24"/>
        </w:rPr>
        <w:t xml:space="preserve"> s </w:t>
      </w:r>
      <w:r w:rsidR="007B082B" w:rsidRPr="00A3389E">
        <w:rPr>
          <w:rFonts w:ascii="Times New Roman" w:hAnsi="Times New Roman"/>
          <w:sz w:val="24"/>
        </w:rPr>
        <w:t>cieľom vyplniť tabuľku EU LIA, ktorá je uvedená</w:t>
      </w:r>
      <w:r>
        <w:rPr>
          <w:rFonts w:ascii="Times New Roman" w:hAnsi="Times New Roman"/>
          <w:sz w:val="24"/>
        </w:rPr>
        <w:t xml:space="preserve"> v </w:t>
      </w:r>
      <w:r w:rsidR="007B082B" w:rsidRPr="00A3389E">
        <w:rPr>
          <w:rFonts w:ascii="Times New Roman" w:hAnsi="Times New Roman"/>
          <w:sz w:val="24"/>
        </w:rPr>
        <w:t>prílohe</w:t>
      </w:r>
      <w:r>
        <w:rPr>
          <w:rFonts w:ascii="Times New Roman" w:hAnsi="Times New Roman"/>
          <w:sz w:val="24"/>
        </w:rPr>
        <w:t xml:space="preserve"> V k </w:t>
      </w:r>
      <w:r w:rsidR="007B082B" w:rsidRPr="00A3389E">
        <w:rPr>
          <w:rFonts w:ascii="Times New Roman" w:hAnsi="Times New Roman"/>
          <w:sz w:val="24"/>
        </w:rPr>
        <w:t>tomuto vykonávaciemu nariadeniu</w:t>
      </w:r>
      <w:r w:rsidR="007B082B" w:rsidRPr="00A3389E">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A3389E"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2D314525" w:rsidR="007B082B" w:rsidRPr="00A3389E" w:rsidRDefault="007B082B" w:rsidP="00803BB4">
            <w:pPr>
              <w:rPr>
                <w:rFonts w:ascii="Times New Roman" w:hAnsi="Times New Roman" w:cs="Times New Roman"/>
                <w:b/>
                <w:sz w:val="24"/>
                <w:highlight w:val="yellow"/>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7B082B" w:rsidRPr="00A3389E"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A3389E" w:rsidRDefault="007B082B" w:rsidP="00803BB4">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tcBorders>
              <w:bottom w:val="single" w:sz="4" w:space="0" w:color="auto"/>
            </w:tcBorders>
            <w:shd w:val="clear" w:color="auto" w:fill="D9D9D9" w:themeFill="background1" w:themeFillShade="D9"/>
          </w:tcPr>
          <w:p w14:paraId="2DB2A101" w14:textId="77777777" w:rsidR="007B082B" w:rsidRPr="00A3389E" w:rsidRDefault="007B082B"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7B082B" w:rsidRPr="00A3389E"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A3389E" w:rsidRDefault="007B082B" w:rsidP="00803BB4">
            <w:pPr>
              <w:spacing w:before="60" w:after="120"/>
              <w:jc w:val="center"/>
              <w:rPr>
                <w:rFonts w:ascii="Times New Roman" w:hAnsi="Times New Roman" w:cs="Times New Roman"/>
                <w:sz w:val="24"/>
              </w:rPr>
            </w:pPr>
            <w:r w:rsidRPr="00A3389E">
              <w:rPr>
                <w:rFonts w:ascii="Times New Roman" w:hAnsi="Times New Roman" w:cs="Times New Roman"/>
                <w:sz w:val="24"/>
              </w:rPr>
              <w:t>a)</w:t>
            </w:r>
          </w:p>
        </w:tc>
        <w:tc>
          <w:tcPr>
            <w:tcW w:w="7655" w:type="dxa"/>
            <w:tcBorders>
              <w:top w:val="nil"/>
              <w:bottom w:val="single" w:sz="4" w:space="0" w:color="auto"/>
            </w:tcBorders>
            <w:shd w:val="clear" w:color="auto" w:fill="FFFFFF" w:themeFill="background1"/>
            <w:vAlign w:val="center"/>
          </w:tcPr>
          <w:p w14:paraId="2217C36A" w14:textId="541397E9" w:rsidR="007B082B" w:rsidRPr="00A3389E" w:rsidRDefault="007B082B" w:rsidP="00D96A21">
            <w:pPr>
              <w:spacing w:after="120"/>
              <w:jc w:val="both"/>
              <w:rPr>
                <w:rFonts w:ascii="Times New Roman" w:eastAsia="Times New Roman" w:hAnsi="Times New Roman" w:cs="Times New Roman"/>
                <w:sz w:val="24"/>
              </w:rPr>
            </w:pPr>
            <w:r w:rsidRPr="00A3389E">
              <w:rPr>
                <w:rFonts w:ascii="Times New Roman" w:hAnsi="Times New Roman" w:cs="Times New Roman"/>
                <w:sz w:val="24"/>
              </w:rPr>
              <w:t>Inštitúcie vysvetlia</w:t>
            </w:r>
            <w:r w:rsidR="00A3389E">
              <w:rPr>
                <w:rFonts w:ascii="Times New Roman" w:hAnsi="Times New Roman" w:cs="Times New Roman"/>
                <w:sz w:val="24"/>
              </w:rPr>
              <w:t xml:space="preserve"> a </w:t>
            </w:r>
            <w:r w:rsidRPr="00A3389E">
              <w:rPr>
                <w:rFonts w:ascii="Times New Roman" w:hAnsi="Times New Roman" w:cs="Times New Roman"/>
                <w:sz w:val="24"/>
              </w:rPr>
              <w:t>kvantifikujú pôvod akýchkoľvek významných rozdielov medzi sumami</w:t>
            </w:r>
            <w:r w:rsidR="00A3389E">
              <w:rPr>
                <w:rFonts w:ascii="Times New Roman" w:hAnsi="Times New Roman" w:cs="Times New Roman"/>
                <w:sz w:val="24"/>
              </w:rPr>
              <w:t xml:space="preserve"> v </w:t>
            </w:r>
            <w:r w:rsidRPr="00A3389E">
              <w:rPr>
                <w:rFonts w:ascii="Times New Roman" w:hAnsi="Times New Roman" w:cs="Times New Roman"/>
                <w:sz w:val="24"/>
              </w:rPr>
              <w:t>stĺpcoch a)</w:t>
            </w:r>
            <w:r w:rsidR="00A3389E">
              <w:rPr>
                <w:rFonts w:ascii="Times New Roman" w:hAnsi="Times New Roman" w:cs="Times New Roman"/>
                <w:sz w:val="24"/>
              </w:rPr>
              <w:t xml:space="preserve"> a </w:t>
            </w:r>
            <w:r w:rsidRPr="00A3389E">
              <w:rPr>
                <w:rFonts w:ascii="Times New Roman" w:hAnsi="Times New Roman" w:cs="Times New Roman"/>
                <w:sz w:val="24"/>
              </w:rPr>
              <w:t>b) vo vzore EU LI1 bez ohľadu na to, či tieto rozdiely vyplývajú</w:t>
            </w:r>
            <w:r w:rsidR="00A3389E">
              <w:rPr>
                <w:rFonts w:ascii="Times New Roman" w:hAnsi="Times New Roman" w:cs="Times New Roman"/>
                <w:sz w:val="24"/>
              </w:rPr>
              <w:t xml:space="preserve"> z </w:t>
            </w:r>
            <w:r w:rsidRPr="00A3389E">
              <w:rPr>
                <w:rFonts w:ascii="Times New Roman" w:hAnsi="Times New Roman" w:cs="Times New Roman"/>
                <w:sz w:val="24"/>
              </w:rPr>
              <w:t>rôznych pravidiel konsolidácie alebo</w:t>
            </w:r>
            <w:r w:rsidR="00A3389E">
              <w:rPr>
                <w:rFonts w:ascii="Times New Roman" w:hAnsi="Times New Roman" w:cs="Times New Roman"/>
                <w:sz w:val="24"/>
              </w:rPr>
              <w:t xml:space="preserve"> z </w:t>
            </w:r>
            <w:r w:rsidRPr="00A3389E">
              <w:rPr>
                <w:rFonts w:ascii="Times New Roman" w:hAnsi="Times New Roman" w:cs="Times New Roman"/>
                <w:sz w:val="24"/>
              </w:rPr>
              <w:t>použitia rôznych účtovných štandardov medzi účtovnou</w:t>
            </w:r>
            <w:r w:rsidR="00A3389E">
              <w:rPr>
                <w:rFonts w:ascii="Times New Roman" w:hAnsi="Times New Roman" w:cs="Times New Roman"/>
                <w:sz w:val="24"/>
              </w:rPr>
              <w:t xml:space="preserve"> a </w:t>
            </w:r>
            <w:r w:rsidRPr="00A3389E">
              <w:rPr>
                <w:rFonts w:ascii="Times New Roman" w:hAnsi="Times New Roman" w:cs="Times New Roman"/>
                <w:sz w:val="24"/>
              </w:rPr>
              <w:t>regulačnou konsolidáciou.</w:t>
            </w:r>
          </w:p>
        </w:tc>
      </w:tr>
      <w:tr w:rsidR="007B082B" w:rsidRPr="00A3389E"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A3389E" w:rsidRDefault="007B082B" w:rsidP="00803BB4">
            <w:pPr>
              <w:spacing w:before="60" w:after="120"/>
              <w:jc w:val="center"/>
              <w:rPr>
                <w:rFonts w:ascii="Times New Roman" w:hAnsi="Times New Roman" w:cs="Times New Roman"/>
                <w:sz w:val="24"/>
              </w:rPr>
            </w:pPr>
            <w:r w:rsidRPr="00A3389E">
              <w:rPr>
                <w:rFonts w:ascii="Times New Roman" w:hAnsi="Times New Roman" w:cs="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3670DE15" w:rsidR="007B082B" w:rsidRPr="00A3389E" w:rsidRDefault="007B082B" w:rsidP="00D96A21">
            <w:pPr>
              <w:spacing w:after="120"/>
              <w:jc w:val="both"/>
              <w:rPr>
                <w:rFonts w:ascii="Times New Roman" w:eastAsia="Times New Roman" w:hAnsi="Times New Roman" w:cs="Times New Roman"/>
                <w:sz w:val="24"/>
              </w:rPr>
            </w:pPr>
            <w:r w:rsidRPr="00A3389E">
              <w:rPr>
                <w:rFonts w:ascii="Times New Roman" w:hAnsi="Times New Roman" w:cs="Times New Roman"/>
                <w:sz w:val="24"/>
              </w:rPr>
              <w:t>Inštitúcie vysvetlia pôvod rozdielov medzi účtovnými hodnotami podľa prudenciálneho rozsahu konsolidácie</w:t>
            </w:r>
            <w:r w:rsidR="00A3389E">
              <w:rPr>
                <w:rFonts w:ascii="Times New Roman" w:hAnsi="Times New Roman" w:cs="Times New Roman"/>
                <w:sz w:val="24"/>
              </w:rPr>
              <w:t xml:space="preserve"> a </w:t>
            </w:r>
            <w:r w:rsidRPr="00A3389E">
              <w:rPr>
                <w:rFonts w:ascii="Times New Roman" w:hAnsi="Times New Roman" w:cs="Times New Roman"/>
                <w:sz w:val="24"/>
              </w:rPr>
              <w:t>hodnotami zvažovanými na regulačné účely uvedenými vo vzore EU LI2.</w:t>
            </w:r>
          </w:p>
        </w:tc>
      </w:tr>
    </w:tbl>
    <w:p w14:paraId="2EDA04C0" w14:textId="77777777" w:rsidR="00A3389E" w:rsidRPr="00A3389E" w:rsidRDefault="00A3389E" w:rsidP="007B082B">
      <w:pPr>
        <w:ind w:left="360"/>
        <w:jc w:val="both"/>
        <w:rPr>
          <w:rFonts w:ascii="Times New Roman" w:hAnsi="Times New Roman" w:cs="Times New Roman"/>
          <w:sz w:val="24"/>
        </w:rPr>
      </w:pPr>
    </w:p>
    <w:p w14:paraId="53B7FC1D" w14:textId="4E7953F8" w:rsidR="007B082B" w:rsidRPr="00A3389E" w:rsidRDefault="007B082B" w:rsidP="007B082B">
      <w:pPr>
        <w:spacing w:after="120"/>
        <w:rPr>
          <w:rFonts w:ascii="Times New Roman" w:hAnsi="Times New Roman" w:cs="Times New Roman"/>
          <w:sz w:val="24"/>
        </w:rPr>
      </w:pPr>
      <w:r w:rsidRPr="00A3389E">
        <w:rPr>
          <w:rFonts w:ascii="Times New Roman" w:hAnsi="Times New Roman" w:cs="Times New Roman"/>
          <w:b/>
          <w:sz w:val="24"/>
        </w:rPr>
        <w:t>Tabuľka EU LIB – Ďalšie kvalitatívne informácie</w:t>
      </w:r>
      <w:r w:rsidR="00A3389E">
        <w:rPr>
          <w:rFonts w:ascii="Times New Roman" w:hAnsi="Times New Roman" w:cs="Times New Roman"/>
          <w:b/>
          <w:sz w:val="24"/>
        </w:rPr>
        <w:t xml:space="preserve"> o </w:t>
      </w:r>
      <w:r w:rsidRPr="00A3389E">
        <w:rPr>
          <w:rFonts w:ascii="Times New Roman" w:hAnsi="Times New Roman" w:cs="Times New Roman"/>
          <w:b/>
          <w:sz w:val="24"/>
        </w:rPr>
        <w:t>rozsahu uplatňovania.</w:t>
      </w:r>
      <w:r w:rsidRPr="00A3389E">
        <w:rPr>
          <w:rFonts w:ascii="Times New Roman" w:hAnsi="Times New Roman" w:cs="Times New Roman"/>
          <w:sz w:val="24"/>
        </w:rPr>
        <w:t xml:space="preserve"> Textové polia</w:t>
      </w:r>
      <w:r w:rsidR="00A3389E">
        <w:rPr>
          <w:rFonts w:ascii="Times New Roman" w:hAnsi="Times New Roman" w:cs="Times New Roman"/>
          <w:sz w:val="24"/>
        </w:rPr>
        <w:t xml:space="preserve"> s </w:t>
      </w:r>
      <w:r w:rsidRPr="00A3389E">
        <w:rPr>
          <w:rFonts w:ascii="Times New Roman" w:hAnsi="Times New Roman" w:cs="Times New Roman"/>
          <w:sz w:val="24"/>
        </w:rPr>
        <w:t>ľubovoľným formátom na zverejňovanie kvalitatívnych informácií.</w:t>
      </w:r>
    </w:p>
    <w:p w14:paraId="544FD00E" w14:textId="00646B46" w:rsidR="007B082B" w:rsidRPr="00A3389E" w:rsidRDefault="00A3389E" w:rsidP="00A3389E">
      <w:pPr>
        <w:spacing w:before="120" w:after="120"/>
        <w:ind w:left="425" w:hanging="357"/>
        <w:jc w:val="both"/>
        <w:rPr>
          <w:rFonts w:ascii="Times New Roman" w:hAnsi="Times New Roman"/>
          <w:sz w:val="24"/>
        </w:rPr>
      </w:pPr>
      <w:r w:rsidRPr="00A3389E">
        <w:rPr>
          <w:rFonts w:ascii="Times New Roman" w:eastAsia="Calibri" w:hAnsi="Times New Roman" w:cs="Times New Roman"/>
          <w:sz w:val="24"/>
          <w:szCs w:val="22"/>
        </w:rPr>
        <w:t>5.</w:t>
      </w:r>
      <w:r w:rsidRPr="00A3389E">
        <w:rPr>
          <w:rFonts w:ascii="Times New Roman" w:eastAsia="Calibri" w:hAnsi="Times New Roman" w:cs="Times New Roman"/>
          <w:sz w:val="24"/>
          <w:szCs w:val="22"/>
        </w:rPr>
        <w:tab/>
      </w:r>
      <w:r w:rsidR="007B082B" w:rsidRPr="00A3389E">
        <w:rPr>
          <w:rFonts w:ascii="Times New Roman" w:hAnsi="Times New Roman"/>
          <w:sz w:val="24"/>
        </w:rPr>
        <w:t>Inštitúcie zverejňujú informácie uvedené</w:t>
      </w:r>
      <w:r>
        <w:rPr>
          <w:rFonts w:ascii="Times New Roman" w:hAnsi="Times New Roman"/>
          <w:sz w:val="24"/>
        </w:rPr>
        <w:t xml:space="preserve"> v </w:t>
      </w:r>
      <w:r w:rsidR="007B082B" w:rsidRPr="00A3389E">
        <w:rPr>
          <w:rFonts w:ascii="Times New Roman" w:hAnsi="Times New Roman"/>
          <w:sz w:val="24"/>
        </w:rPr>
        <w:t>článku 436 písm. f), g)</w:t>
      </w:r>
      <w:r>
        <w:rPr>
          <w:rFonts w:ascii="Times New Roman" w:hAnsi="Times New Roman"/>
          <w:sz w:val="24"/>
        </w:rPr>
        <w:t xml:space="preserve"> a </w:t>
      </w:r>
      <w:r w:rsidR="007B082B" w:rsidRPr="00A3389E">
        <w:rPr>
          <w:rFonts w:ascii="Times New Roman" w:hAnsi="Times New Roman"/>
          <w:sz w:val="24"/>
        </w:rPr>
        <w:t>h) CRR podľa pokynov uvedených nižšie</w:t>
      </w:r>
      <w:r>
        <w:rPr>
          <w:rFonts w:ascii="Times New Roman" w:hAnsi="Times New Roman"/>
          <w:sz w:val="24"/>
        </w:rPr>
        <w:t xml:space="preserve"> v </w:t>
      </w:r>
      <w:r w:rsidR="007B082B" w:rsidRPr="00A3389E">
        <w:rPr>
          <w:rFonts w:ascii="Times New Roman" w:hAnsi="Times New Roman"/>
          <w:sz w:val="24"/>
        </w:rPr>
        <w:t>tejto prílohe</w:t>
      </w:r>
      <w:r>
        <w:rPr>
          <w:rFonts w:ascii="Times New Roman" w:hAnsi="Times New Roman"/>
          <w:sz w:val="24"/>
        </w:rPr>
        <w:t xml:space="preserve"> s </w:t>
      </w:r>
      <w:r w:rsidR="007B082B" w:rsidRPr="00A3389E">
        <w:rPr>
          <w:rFonts w:ascii="Times New Roman" w:hAnsi="Times New Roman"/>
          <w:sz w:val="24"/>
        </w:rPr>
        <w:t>cieľom vyplniť tabuľku EU LIB, ktorá je uvedená</w:t>
      </w:r>
      <w:r>
        <w:rPr>
          <w:rFonts w:ascii="Times New Roman" w:hAnsi="Times New Roman"/>
          <w:sz w:val="24"/>
        </w:rPr>
        <w:t xml:space="preserve"> v </w:t>
      </w:r>
      <w:r w:rsidR="007B082B" w:rsidRPr="00A3389E">
        <w:rPr>
          <w:rFonts w:ascii="Times New Roman" w:hAnsi="Times New Roman"/>
          <w:sz w:val="24"/>
        </w:rPr>
        <w:t>prílohe</w:t>
      </w:r>
      <w:r>
        <w:rPr>
          <w:rFonts w:ascii="Times New Roman" w:hAnsi="Times New Roman"/>
          <w:sz w:val="24"/>
        </w:rPr>
        <w:t xml:space="preserve"> V k </w:t>
      </w:r>
      <w:r w:rsidR="007B082B" w:rsidRPr="00A3389E">
        <w:rPr>
          <w:rFonts w:ascii="Times New Roman" w:hAnsi="Times New Roman"/>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A3389E"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2CB53062" w:rsidR="007B082B" w:rsidRPr="00A3389E" w:rsidRDefault="007B082B" w:rsidP="00803BB4">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7B082B" w:rsidRPr="00A3389E" w14:paraId="7E8361CC" w14:textId="77777777" w:rsidTr="00803BB4">
        <w:trPr>
          <w:trHeight w:val="238"/>
        </w:trPr>
        <w:tc>
          <w:tcPr>
            <w:tcW w:w="1384" w:type="dxa"/>
            <w:shd w:val="clear" w:color="auto" w:fill="D9D9D9" w:themeFill="background1" w:themeFillShade="D9"/>
          </w:tcPr>
          <w:p w14:paraId="3BF0E354" w14:textId="77777777" w:rsidR="007B082B" w:rsidRPr="00A3389E" w:rsidRDefault="007B082B" w:rsidP="00803BB4">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234DE628" w14:textId="77777777" w:rsidR="007B082B" w:rsidRPr="00A3389E" w:rsidRDefault="007B082B"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7B082B" w:rsidRPr="00A3389E" w14:paraId="01D936F6" w14:textId="77777777" w:rsidTr="00803BB4">
        <w:trPr>
          <w:trHeight w:val="238"/>
        </w:trPr>
        <w:tc>
          <w:tcPr>
            <w:tcW w:w="1384" w:type="dxa"/>
            <w:shd w:val="clear" w:color="auto" w:fill="auto"/>
          </w:tcPr>
          <w:p w14:paraId="114BC413" w14:textId="77777777" w:rsidR="007B082B" w:rsidRPr="00A3389E" w:rsidRDefault="007B082B" w:rsidP="00803BB4">
            <w:pPr>
              <w:autoSpaceDE w:val="0"/>
              <w:autoSpaceDN w:val="0"/>
              <w:adjustRightInd w:val="0"/>
              <w:jc w:val="center"/>
              <w:rPr>
                <w:rFonts w:ascii="Times New Roman" w:hAnsi="Times New Roman" w:cs="Times New Roman"/>
                <w:b/>
                <w:sz w:val="24"/>
              </w:rPr>
            </w:pPr>
            <w:r w:rsidRPr="00A3389E">
              <w:rPr>
                <w:rFonts w:ascii="Times New Roman" w:hAnsi="Times New Roman" w:cs="Times New Roman"/>
                <w:sz w:val="24"/>
              </w:rPr>
              <w:t>a)</w:t>
            </w:r>
          </w:p>
        </w:tc>
        <w:tc>
          <w:tcPr>
            <w:tcW w:w="7655" w:type="dxa"/>
            <w:shd w:val="clear" w:color="auto" w:fill="auto"/>
          </w:tcPr>
          <w:p w14:paraId="22ADD536" w14:textId="38E238D4" w:rsidR="007B082B" w:rsidRPr="00A3389E" w:rsidRDefault="007B082B" w:rsidP="00803BB4">
            <w:pPr>
              <w:autoSpaceDE w:val="0"/>
              <w:autoSpaceDN w:val="0"/>
              <w:adjustRightInd w:val="0"/>
              <w:spacing w:before="60" w:after="60"/>
              <w:jc w:val="both"/>
              <w:rPr>
                <w:rFonts w:ascii="Times New Roman" w:hAnsi="Times New Roman" w:cs="Times New Roman"/>
                <w:b/>
                <w:sz w:val="24"/>
              </w:rPr>
            </w:pPr>
            <w:r w:rsidRPr="00A3389E">
              <w:rPr>
                <w:rFonts w:ascii="Times New Roman" w:hAnsi="Times New Roman" w:cs="Times New Roman"/>
                <w:sz w:val="24"/>
              </w:rPr>
              <w:t>Inštitúcie zverejňujú akékoľvek súčasné alebo očakávané významné vecné alebo právne prekážky, ktoré bránia okamžitému prevodu vlastných zdrojov alebo splateniu záväzkov medzi materskou spoločnosťou</w:t>
            </w:r>
            <w:r w:rsidR="00A3389E">
              <w:rPr>
                <w:rFonts w:ascii="Times New Roman" w:hAnsi="Times New Roman" w:cs="Times New Roman"/>
                <w:sz w:val="24"/>
              </w:rPr>
              <w:t xml:space="preserve"> a </w:t>
            </w:r>
            <w:r w:rsidRPr="00A3389E">
              <w:rPr>
                <w:rFonts w:ascii="Times New Roman" w:hAnsi="Times New Roman" w:cs="Times New Roman"/>
                <w:sz w:val="24"/>
              </w:rPr>
              <w:t>jej dcérskymi spoločnosťami.</w:t>
            </w:r>
          </w:p>
        </w:tc>
      </w:tr>
      <w:tr w:rsidR="007B082B" w:rsidRPr="00A3389E" w14:paraId="5FDF5C76" w14:textId="77777777" w:rsidTr="00803BB4">
        <w:trPr>
          <w:trHeight w:val="238"/>
        </w:trPr>
        <w:tc>
          <w:tcPr>
            <w:tcW w:w="1384" w:type="dxa"/>
            <w:shd w:val="clear" w:color="auto" w:fill="auto"/>
          </w:tcPr>
          <w:p w14:paraId="051E33A4" w14:textId="77777777" w:rsidR="007B082B" w:rsidRPr="00A3389E" w:rsidRDefault="007B082B" w:rsidP="00803BB4">
            <w:pPr>
              <w:autoSpaceDE w:val="0"/>
              <w:autoSpaceDN w:val="0"/>
              <w:adjustRightInd w:val="0"/>
              <w:jc w:val="center"/>
              <w:rPr>
                <w:rFonts w:ascii="Times New Roman" w:hAnsi="Times New Roman" w:cs="Times New Roman"/>
                <w:b/>
                <w:sz w:val="24"/>
              </w:rPr>
            </w:pPr>
            <w:r w:rsidRPr="00A3389E">
              <w:rPr>
                <w:rFonts w:ascii="Times New Roman" w:hAnsi="Times New Roman" w:cs="Times New Roman"/>
                <w:sz w:val="24"/>
              </w:rPr>
              <w:lastRenderedPageBreak/>
              <w:t>b)</w:t>
            </w:r>
          </w:p>
        </w:tc>
        <w:tc>
          <w:tcPr>
            <w:tcW w:w="7655" w:type="dxa"/>
            <w:shd w:val="clear" w:color="auto" w:fill="auto"/>
          </w:tcPr>
          <w:p w14:paraId="72AFDDDD" w14:textId="77777777" w:rsidR="007B082B" w:rsidRPr="00A3389E" w:rsidRDefault="007B082B" w:rsidP="00803BB4">
            <w:pPr>
              <w:autoSpaceDE w:val="0"/>
              <w:autoSpaceDN w:val="0"/>
              <w:adjustRightInd w:val="0"/>
              <w:spacing w:before="60" w:after="60"/>
              <w:jc w:val="both"/>
              <w:rPr>
                <w:rFonts w:ascii="Times New Roman" w:hAnsi="Times New Roman" w:cs="Times New Roman"/>
                <w:b/>
                <w:sz w:val="24"/>
              </w:rPr>
            </w:pPr>
            <w:r w:rsidRPr="00A3389E">
              <w:rPr>
                <w:rFonts w:ascii="Times New Roman" w:hAnsi="Times New Roman" w:cs="Times New Roman"/>
                <w:sz w:val="24"/>
              </w:rPr>
              <w:t>Ak je to relevantné, inštitúcie zverejňujú názov alebo názvy dcérskych spoločností, ktoré nie sú zahrnuté do konsolidácie.</w:t>
            </w:r>
          </w:p>
        </w:tc>
      </w:tr>
      <w:tr w:rsidR="007B082B" w:rsidRPr="00A3389E" w14:paraId="6461BD48" w14:textId="77777777" w:rsidTr="00803BB4">
        <w:trPr>
          <w:trHeight w:val="238"/>
        </w:trPr>
        <w:tc>
          <w:tcPr>
            <w:tcW w:w="1384" w:type="dxa"/>
            <w:shd w:val="clear" w:color="auto" w:fill="auto"/>
          </w:tcPr>
          <w:p w14:paraId="16EB0F3C" w14:textId="77777777" w:rsidR="007B082B" w:rsidRPr="00A3389E" w:rsidRDefault="007B082B" w:rsidP="00803BB4">
            <w:pPr>
              <w:autoSpaceDE w:val="0"/>
              <w:autoSpaceDN w:val="0"/>
              <w:adjustRightInd w:val="0"/>
              <w:jc w:val="center"/>
              <w:rPr>
                <w:rFonts w:ascii="Times New Roman" w:hAnsi="Times New Roman" w:cs="Times New Roman"/>
                <w:b/>
                <w:sz w:val="24"/>
              </w:rPr>
            </w:pPr>
            <w:r w:rsidRPr="00A3389E">
              <w:rPr>
                <w:rFonts w:ascii="Times New Roman" w:hAnsi="Times New Roman" w:cs="Times New Roman"/>
                <w:sz w:val="24"/>
              </w:rPr>
              <w:t>c)</w:t>
            </w:r>
          </w:p>
        </w:tc>
        <w:tc>
          <w:tcPr>
            <w:tcW w:w="7655" w:type="dxa"/>
            <w:shd w:val="clear" w:color="auto" w:fill="auto"/>
          </w:tcPr>
          <w:p w14:paraId="52B427A5" w14:textId="2F9F6B77" w:rsidR="007B082B" w:rsidRPr="00A3389E" w:rsidRDefault="007B082B" w:rsidP="00803BB4">
            <w:pPr>
              <w:autoSpaceDE w:val="0"/>
              <w:autoSpaceDN w:val="0"/>
              <w:adjustRightInd w:val="0"/>
              <w:spacing w:before="60" w:after="60"/>
              <w:jc w:val="both"/>
              <w:rPr>
                <w:rFonts w:ascii="Times New Roman" w:hAnsi="Times New Roman" w:cs="Times New Roman"/>
                <w:b/>
                <w:sz w:val="24"/>
              </w:rPr>
            </w:pPr>
            <w:r w:rsidRPr="00A3389E">
              <w:rPr>
                <w:rFonts w:ascii="Times New Roman" w:hAnsi="Times New Roman" w:cs="Times New Roman"/>
                <w:sz w:val="24"/>
              </w:rPr>
              <w:t>Ak je to relevantné, inštitúcie zverejňujú okolnosti, za ktorých sa používa výnimka uvedená</w:t>
            </w:r>
            <w:r w:rsidR="00A3389E">
              <w:rPr>
                <w:rFonts w:ascii="Times New Roman" w:hAnsi="Times New Roman" w:cs="Times New Roman"/>
                <w:sz w:val="24"/>
              </w:rPr>
              <w:t xml:space="preserve"> v </w:t>
            </w:r>
            <w:r w:rsidRPr="00A3389E">
              <w:rPr>
                <w:rFonts w:ascii="Times New Roman" w:hAnsi="Times New Roman" w:cs="Times New Roman"/>
                <w:sz w:val="24"/>
              </w:rPr>
              <w:t>článku 7 CRR alebo metóda individuálnej konsolidácie stanovená</w:t>
            </w:r>
            <w:r w:rsidR="00A3389E">
              <w:rPr>
                <w:rFonts w:ascii="Times New Roman" w:hAnsi="Times New Roman" w:cs="Times New Roman"/>
                <w:sz w:val="24"/>
              </w:rPr>
              <w:t xml:space="preserve"> v </w:t>
            </w:r>
            <w:r w:rsidRPr="00A3389E">
              <w:rPr>
                <w:rFonts w:ascii="Times New Roman" w:hAnsi="Times New Roman" w:cs="Times New Roman"/>
                <w:sz w:val="24"/>
              </w:rPr>
              <w:t>článku 9 CRR.</w:t>
            </w:r>
          </w:p>
        </w:tc>
      </w:tr>
      <w:tr w:rsidR="007B082B" w:rsidRPr="00A3389E"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A3389E" w:rsidRDefault="007B082B" w:rsidP="00803BB4">
            <w:pPr>
              <w:autoSpaceDE w:val="0"/>
              <w:autoSpaceDN w:val="0"/>
              <w:adjustRightInd w:val="0"/>
              <w:jc w:val="center"/>
              <w:rPr>
                <w:rFonts w:ascii="Times New Roman" w:hAnsi="Times New Roman" w:cs="Times New Roman"/>
                <w:b/>
                <w:sz w:val="24"/>
              </w:rPr>
            </w:pPr>
            <w:r w:rsidRPr="00A3389E">
              <w:rPr>
                <w:rFonts w:ascii="Times New Roman" w:hAnsi="Times New Roman" w:cs="Times New Roman"/>
                <w:sz w:val="24"/>
              </w:rPr>
              <w:t>d)</w:t>
            </w:r>
          </w:p>
        </w:tc>
        <w:tc>
          <w:tcPr>
            <w:tcW w:w="7655" w:type="dxa"/>
            <w:tcBorders>
              <w:bottom w:val="single" w:sz="4" w:space="0" w:color="auto"/>
            </w:tcBorders>
            <w:shd w:val="clear" w:color="auto" w:fill="auto"/>
          </w:tcPr>
          <w:p w14:paraId="7224BA17" w14:textId="0C4EDDF2" w:rsidR="007B082B" w:rsidRPr="00A3389E" w:rsidRDefault="007B082B" w:rsidP="00803BB4">
            <w:pPr>
              <w:autoSpaceDE w:val="0"/>
              <w:autoSpaceDN w:val="0"/>
              <w:adjustRightInd w:val="0"/>
              <w:spacing w:before="60" w:after="60"/>
              <w:jc w:val="both"/>
              <w:rPr>
                <w:rFonts w:ascii="Times New Roman" w:hAnsi="Times New Roman" w:cs="Times New Roman"/>
                <w:b/>
                <w:sz w:val="24"/>
              </w:rPr>
            </w:pPr>
            <w:r w:rsidRPr="00A3389E">
              <w:rPr>
                <w:rFonts w:ascii="Times New Roman" w:hAnsi="Times New Roman" w:cs="Times New Roman"/>
                <w:sz w:val="24"/>
              </w:rPr>
              <w:t>Ak je to relevantné, inštitúcie zverejňujú súhrnnú sumu,</w:t>
            </w:r>
            <w:r w:rsidR="00A3389E">
              <w:rPr>
                <w:rFonts w:ascii="Times New Roman" w:hAnsi="Times New Roman" w:cs="Times New Roman"/>
                <w:sz w:val="24"/>
              </w:rPr>
              <w:t xml:space="preserve"> o </w:t>
            </w:r>
            <w:r w:rsidRPr="00A3389E">
              <w:rPr>
                <w:rFonts w:ascii="Times New Roman" w:hAnsi="Times New Roman" w:cs="Times New Roman"/>
                <w:sz w:val="24"/>
              </w:rPr>
              <w:t>ktorú sú skutočné vlastné zdroje nižšie, než sa požaduje, vo všetkých dcérskych spoločnostiach, ktoré nie sú zahrnuté do konsolidácie,</w:t>
            </w:r>
            <w:r w:rsidR="00A3389E">
              <w:rPr>
                <w:rFonts w:ascii="Times New Roman" w:hAnsi="Times New Roman" w:cs="Times New Roman"/>
                <w:sz w:val="24"/>
              </w:rPr>
              <w:t xml:space="preserve"> a </w:t>
            </w:r>
            <w:r w:rsidRPr="00A3389E">
              <w:rPr>
                <w:rFonts w:ascii="Times New Roman" w:hAnsi="Times New Roman" w:cs="Times New Roman"/>
                <w:sz w:val="24"/>
              </w:rPr>
              <w:t>názov alebo názvy uvedených dcérskych spoločností.</w:t>
            </w:r>
          </w:p>
        </w:tc>
      </w:tr>
    </w:tbl>
    <w:p w14:paraId="6052B499" w14:textId="77777777" w:rsidR="007B082B" w:rsidRPr="00A3389E" w:rsidRDefault="007B082B" w:rsidP="007B082B">
      <w:pPr>
        <w:rPr>
          <w:rFonts w:ascii="Times New Roman" w:hAnsi="Times New Roman" w:cs="Times New Roman"/>
          <w:sz w:val="24"/>
        </w:rPr>
      </w:pPr>
    </w:p>
    <w:p w14:paraId="5FE73A08" w14:textId="3A1DE32E" w:rsidR="007B082B" w:rsidRPr="00A3389E" w:rsidRDefault="00CD362D" w:rsidP="007B082B">
      <w:pPr>
        <w:spacing w:after="120"/>
        <w:jc w:val="both"/>
        <w:rPr>
          <w:rFonts w:ascii="Times New Roman" w:hAnsi="Times New Roman" w:cs="Times New Roman"/>
          <w:sz w:val="24"/>
        </w:rPr>
      </w:pPr>
      <w:r w:rsidRPr="00A3389E">
        <w:rPr>
          <w:rFonts w:ascii="Times New Roman" w:hAnsi="Times New Roman" w:cs="Times New Roman"/>
          <w:b/>
          <w:sz w:val="24"/>
        </w:rPr>
        <w:t xml:space="preserve">Vzor EU PV1 – Úpravy prudenciálneho oceňovania (PVA): </w:t>
      </w:r>
      <w:r w:rsidRPr="00A3389E">
        <w:rPr>
          <w:rFonts w:ascii="Times New Roman" w:hAnsi="Times New Roman" w:cs="Times New Roman"/>
          <w:sz w:val="24"/>
        </w:rPr>
        <w:t>Pevný formát</w:t>
      </w:r>
    </w:p>
    <w:p w14:paraId="44AA26B0" w14:textId="499038DB" w:rsidR="007B082B" w:rsidRPr="00A3389E" w:rsidRDefault="00A3389E" w:rsidP="00A3389E">
      <w:pPr>
        <w:spacing w:before="60" w:after="120"/>
        <w:ind w:left="720" w:hanging="360"/>
        <w:jc w:val="both"/>
        <w:rPr>
          <w:rFonts w:ascii="Times New Roman" w:hAnsi="Times New Roman"/>
          <w:sz w:val="24"/>
        </w:rPr>
      </w:pPr>
      <w:r w:rsidRPr="00A3389E">
        <w:rPr>
          <w:rFonts w:ascii="Times New Roman" w:eastAsia="Calibri" w:hAnsi="Times New Roman" w:cs="Times New Roman"/>
          <w:sz w:val="24"/>
          <w:szCs w:val="22"/>
        </w:rPr>
        <w:t>6.</w:t>
      </w:r>
      <w:r w:rsidRPr="00A3389E">
        <w:rPr>
          <w:rFonts w:ascii="Times New Roman" w:eastAsia="Calibri" w:hAnsi="Times New Roman" w:cs="Times New Roman"/>
          <w:sz w:val="24"/>
          <w:szCs w:val="22"/>
        </w:rPr>
        <w:tab/>
      </w:r>
      <w:r w:rsidR="007B082B" w:rsidRPr="00A3389E">
        <w:rPr>
          <w:rFonts w:ascii="Times New Roman" w:hAnsi="Times New Roman"/>
          <w:sz w:val="24"/>
        </w:rPr>
        <w:t>Inštitúcie, ktoré uplatňujú základný postup na určenie dodatočnej úpravy ocenenia pri prudenciálnom oceňovaní</w:t>
      </w:r>
      <w:r>
        <w:rPr>
          <w:rFonts w:ascii="Times New Roman" w:hAnsi="Times New Roman"/>
          <w:sz w:val="24"/>
        </w:rPr>
        <w:t xml:space="preserve"> v </w:t>
      </w:r>
      <w:r w:rsidR="007B082B" w:rsidRPr="00A3389E">
        <w:rPr>
          <w:rFonts w:ascii="Times New Roman" w:hAnsi="Times New Roman"/>
          <w:sz w:val="24"/>
        </w:rPr>
        <w:t>súlade</w:t>
      </w:r>
      <w:r>
        <w:rPr>
          <w:rFonts w:ascii="Times New Roman" w:hAnsi="Times New Roman"/>
          <w:sz w:val="24"/>
        </w:rPr>
        <w:t xml:space="preserve"> s </w:t>
      </w:r>
      <w:r w:rsidR="007B082B" w:rsidRPr="00A3389E">
        <w:rPr>
          <w:rFonts w:ascii="Times New Roman" w:hAnsi="Times New Roman"/>
          <w:sz w:val="24"/>
        </w:rPr>
        <w:t xml:space="preserve">kapitolou III </w:t>
      </w:r>
      <w:r w:rsidR="007B082B" w:rsidRPr="00A3389E">
        <w:rPr>
          <w:rFonts w:ascii="Times New Roman" w:hAnsi="Times New Roman"/>
          <w:bCs/>
          <w:sz w:val="24"/>
        </w:rPr>
        <w:t>delegovaného nariadenia Komisie (EÚ) 2016/101</w:t>
      </w:r>
      <w:r w:rsidR="007B082B" w:rsidRPr="00A3389E">
        <w:rPr>
          <w:rStyle w:val="FootnoteReference"/>
          <w:rFonts w:ascii="Times New Roman" w:hAnsi="Times New Roman" w:cs="Times New Roman"/>
          <w:bCs/>
          <w:sz w:val="24"/>
          <w:szCs w:val="24"/>
        </w:rPr>
        <w:footnoteReference w:id="13"/>
      </w:r>
      <w:r w:rsidR="007B082B" w:rsidRPr="00A3389E">
        <w:rPr>
          <w:rFonts w:ascii="Times New Roman" w:hAnsi="Times New Roman"/>
          <w:bCs/>
          <w:sz w:val="24"/>
        </w:rPr>
        <w:t>,</w:t>
      </w:r>
      <w:r w:rsidR="007B082B" w:rsidRPr="00A3389E">
        <w:rPr>
          <w:rFonts w:ascii="Times New Roman" w:hAnsi="Times New Roman"/>
          <w:sz w:val="24"/>
        </w:rPr>
        <w:t xml:space="preserve"> zverejňujú informácie uvedené</w:t>
      </w:r>
      <w:r>
        <w:rPr>
          <w:rFonts w:ascii="Times New Roman" w:hAnsi="Times New Roman"/>
          <w:sz w:val="24"/>
        </w:rPr>
        <w:t xml:space="preserve"> v </w:t>
      </w:r>
      <w:r w:rsidR="007B082B" w:rsidRPr="00A3389E">
        <w:rPr>
          <w:rFonts w:ascii="Times New Roman" w:hAnsi="Times New Roman"/>
          <w:bCs/>
          <w:sz w:val="24"/>
        </w:rPr>
        <w:t>článku 436 písm. e)</w:t>
      </w:r>
      <w:r w:rsidR="007B082B" w:rsidRPr="00A3389E">
        <w:rPr>
          <w:rFonts w:ascii="Times New Roman" w:hAnsi="Times New Roman"/>
          <w:sz w:val="24"/>
        </w:rPr>
        <w:t xml:space="preserve"> CRR </w:t>
      </w:r>
      <w:r w:rsidR="007B082B" w:rsidRPr="00A3389E">
        <w:rPr>
          <w:rFonts w:ascii="Times New Roman" w:hAnsi="Times New Roman"/>
          <w:bCs/>
          <w:sz w:val="24"/>
        </w:rPr>
        <w:t>podľa pokynov uvedených</w:t>
      </w:r>
      <w:r>
        <w:rPr>
          <w:rFonts w:ascii="Times New Roman" w:hAnsi="Times New Roman"/>
          <w:bCs/>
          <w:sz w:val="24"/>
        </w:rPr>
        <w:t xml:space="preserve"> v </w:t>
      </w:r>
      <w:r w:rsidR="007B082B" w:rsidRPr="00A3389E">
        <w:rPr>
          <w:rFonts w:ascii="Times New Roman" w:hAnsi="Times New Roman"/>
          <w:bCs/>
          <w:sz w:val="24"/>
        </w:rPr>
        <w:t>tejto prílohe</w:t>
      </w:r>
      <w:r>
        <w:rPr>
          <w:rFonts w:ascii="Times New Roman" w:hAnsi="Times New Roman"/>
          <w:bCs/>
          <w:sz w:val="24"/>
        </w:rPr>
        <w:t xml:space="preserve"> s </w:t>
      </w:r>
      <w:r w:rsidR="007B082B" w:rsidRPr="00A3389E">
        <w:rPr>
          <w:rFonts w:ascii="Times New Roman" w:hAnsi="Times New Roman"/>
          <w:bCs/>
          <w:sz w:val="24"/>
        </w:rPr>
        <w:t>cieľom vyplniť vzor EU PV1, ktorý je uvedený</w:t>
      </w:r>
      <w:r>
        <w:rPr>
          <w:rFonts w:ascii="Times New Roman" w:hAnsi="Times New Roman"/>
          <w:bCs/>
          <w:sz w:val="24"/>
        </w:rPr>
        <w:t xml:space="preserve"> v </w:t>
      </w:r>
      <w:r w:rsidR="007B082B" w:rsidRPr="00A3389E">
        <w:rPr>
          <w:rFonts w:ascii="Times New Roman" w:hAnsi="Times New Roman"/>
          <w:bCs/>
          <w:sz w:val="24"/>
        </w:rPr>
        <w:t>prílohe</w:t>
      </w:r>
      <w:r>
        <w:rPr>
          <w:rFonts w:ascii="Times New Roman" w:hAnsi="Times New Roman"/>
          <w:bCs/>
          <w:sz w:val="24"/>
        </w:rPr>
        <w:t xml:space="preserve"> V k </w:t>
      </w:r>
      <w:r w:rsidR="007B082B" w:rsidRPr="00A3389E">
        <w:rPr>
          <w:rFonts w:ascii="Times New Roman" w:hAnsi="Times New Roman"/>
          <w:bCs/>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A3389E"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05B298DE" w:rsidR="007B082B" w:rsidRPr="00A3389E" w:rsidRDefault="007B082B" w:rsidP="00803BB4">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7B082B" w:rsidRPr="00A3389E" w14:paraId="3C9863E9" w14:textId="77777777" w:rsidTr="00803BB4">
        <w:trPr>
          <w:trHeight w:val="238"/>
        </w:trPr>
        <w:tc>
          <w:tcPr>
            <w:tcW w:w="1384" w:type="dxa"/>
            <w:shd w:val="clear" w:color="auto" w:fill="D9D9D9" w:themeFill="background1" w:themeFillShade="D9"/>
          </w:tcPr>
          <w:p w14:paraId="3E8B42D3" w14:textId="77777777" w:rsidR="007B082B" w:rsidRPr="00A3389E" w:rsidRDefault="007B082B" w:rsidP="00803BB4">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7F8F6EBE" w14:textId="77777777" w:rsidR="007B082B" w:rsidRPr="00A3389E" w:rsidRDefault="007B082B" w:rsidP="00803BB4">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7B082B" w:rsidRPr="00A3389E"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A3389E" w:rsidRDefault="007B082B" w:rsidP="00803BB4">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Riadky 1 až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A3389E" w:rsidRDefault="007B082B" w:rsidP="00803BB4">
            <w:pPr>
              <w:spacing w:beforeLines="60" w:before="144" w:afterLines="60" w:after="144"/>
              <w:rPr>
                <w:rStyle w:val="InstructionsTabelleberschrift"/>
                <w:rFonts w:ascii="Times New Roman" w:hAnsi="Times New Roman"/>
                <w:sz w:val="24"/>
              </w:rPr>
            </w:pPr>
            <w:r w:rsidRPr="00A3389E">
              <w:rPr>
                <w:rStyle w:val="InstructionsTabelleberschrift"/>
                <w:rFonts w:ascii="Times New Roman" w:hAnsi="Times New Roman"/>
                <w:sz w:val="24"/>
              </w:rPr>
              <w:t>Dodatočná úprava ocenenia na úrovni kategórie</w:t>
            </w:r>
          </w:p>
          <w:p w14:paraId="0ED7691E" w14:textId="09174C86" w:rsidR="007B082B" w:rsidRPr="00A3389E" w:rsidRDefault="007B082B" w:rsidP="00803BB4">
            <w:pPr>
              <w:spacing w:beforeLines="60" w:before="144" w:afterLines="60" w:after="144"/>
              <w:jc w:val="both"/>
              <w:rPr>
                <w:rFonts w:ascii="Times New Roman" w:hAnsi="Times New Roman" w:cs="Times New Roman"/>
                <w:sz w:val="24"/>
              </w:rPr>
            </w:pPr>
            <w:r w:rsidRPr="00A3389E">
              <w:rPr>
                <w:rFonts w:ascii="Times New Roman" w:hAnsi="Times New Roman" w:cs="Times New Roman"/>
                <w:sz w:val="24"/>
              </w:rPr>
              <w:t>Dodatočné úpravy ocenenia na úrovni kategórie zohľadňujúce neistotu trhovej ceny, náklady na zatvorenie pozícií, riziko modelov, koncentrované pozície, budúce administratívne náklady, predčasné ukončenie</w:t>
            </w:r>
            <w:r w:rsidR="00A3389E">
              <w:rPr>
                <w:rFonts w:ascii="Times New Roman" w:hAnsi="Times New Roman" w:cs="Times New Roman"/>
                <w:sz w:val="24"/>
              </w:rPr>
              <w:t xml:space="preserve"> a </w:t>
            </w:r>
            <w:r w:rsidRPr="00A3389E">
              <w:rPr>
                <w:rFonts w:ascii="Times New Roman" w:hAnsi="Times New Roman" w:cs="Times New Roman"/>
                <w:sz w:val="24"/>
              </w:rPr>
              <w:t>operačné riziko sa určujú</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9 až 11, resp.</w:t>
            </w:r>
            <w:r w:rsidR="00A3389E">
              <w:rPr>
                <w:rFonts w:ascii="Times New Roman" w:hAnsi="Times New Roman" w:cs="Times New Roman"/>
                <w:sz w:val="24"/>
              </w:rPr>
              <w:t xml:space="preserve"> s </w:t>
            </w:r>
            <w:r w:rsidRPr="00A3389E">
              <w:rPr>
                <w:rFonts w:ascii="Times New Roman" w:hAnsi="Times New Roman" w:cs="Times New Roman"/>
                <w:sz w:val="24"/>
              </w:rPr>
              <w:t>článkami 14 až 17 delegovaného nariadenia Komisie (EÚ) 2016/101.</w:t>
            </w:r>
          </w:p>
          <w:p w14:paraId="78E86A54" w14:textId="13F29F28" w:rsidR="007B082B" w:rsidRPr="00A60806" w:rsidRDefault="007B082B" w:rsidP="00803BB4">
            <w:pPr>
              <w:spacing w:beforeLines="60" w:before="144" w:afterLines="60" w:after="144"/>
              <w:jc w:val="both"/>
              <w:rPr>
                <w:rFonts w:ascii="Times New Roman" w:hAnsi="Times New Roman" w:cs="Times New Roman"/>
                <w:spacing w:val="-4"/>
                <w:sz w:val="24"/>
              </w:rPr>
            </w:pPr>
            <w:r w:rsidRPr="00A60806">
              <w:rPr>
                <w:rFonts w:ascii="Times New Roman" w:hAnsi="Times New Roman" w:cs="Times New Roman"/>
                <w:spacing w:val="-4"/>
                <w:sz w:val="24"/>
              </w:rPr>
              <w:t>V prípade kategórií neistoty trhovej ceny, nákladov na zatvorenie pozícií</w:t>
            </w:r>
            <w:r w:rsidR="00A3389E" w:rsidRPr="00A60806">
              <w:rPr>
                <w:rFonts w:ascii="Times New Roman" w:hAnsi="Times New Roman" w:cs="Times New Roman"/>
                <w:spacing w:val="-4"/>
                <w:sz w:val="24"/>
              </w:rPr>
              <w:t xml:space="preserve"> a </w:t>
            </w:r>
            <w:r w:rsidRPr="00A60806">
              <w:rPr>
                <w:rFonts w:ascii="Times New Roman" w:hAnsi="Times New Roman" w:cs="Times New Roman"/>
                <w:spacing w:val="-4"/>
                <w:sz w:val="24"/>
              </w:rPr>
              <w:t>rizika modelov, na ktoré sa vzťahuje výhoda diverzifikácie podľa článku 9 ods. 6, článku 10 ods. 7</w:t>
            </w:r>
            <w:r w:rsidR="00A3389E" w:rsidRPr="00A60806">
              <w:rPr>
                <w:rFonts w:ascii="Times New Roman" w:hAnsi="Times New Roman" w:cs="Times New Roman"/>
                <w:spacing w:val="-4"/>
                <w:sz w:val="24"/>
              </w:rPr>
              <w:t xml:space="preserve"> a </w:t>
            </w:r>
            <w:r w:rsidRPr="00A60806">
              <w:rPr>
                <w:rFonts w:ascii="Times New Roman" w:hAnsi="Times New Roman" w:cs="Times New Roman"/>
                <w:spacing w:val="-4"/>
                <w:sz w:val="24"/>
              </w:rPr>
              <w:t>článku 11 ods. 7 delegovaného nariadenia (EÚ) 2016/101, sa dodatočné úpravy ocenenia na úrovni kategórie zverejňujú</w:t>
            </w:r>
            <w:r w:rsidR="00A3389E" w:rsidRPr="00A60806">
              <w:rPr>
                <w:rFonts w:ascii="Times New Roman" w:hAnsi="Times New Roman" w:cs="Times New Roman"/>
                <w:spacing w:val="-4"/>
                <w:sz w:val="24"/>
              </w:rPr>
              <w:t xml:space="preserve"> v </w:t>
            </w:r>
            <w:r w:rsidRPr="00A60806">
              <w:rPr>
                <w:rFonts w:ascii="Times New Roman" w:hAnsi="Times New Roman" w:cs="Times New Roman"/>
                <w:spacing w:val="-4"/>
                <w:sz w:val="24"/>
              </w:rPr>
              <w:t>stĺpcoch</w:t>
            </w:r>
            <w:r w:rsidR="00A3389E" w:rsidRPr="00A60806">
              <w:rPr>
                <w:rFonts w:ascii="Times New Roman" w:hAnsi="Times New Roman" w:cs="Times New Roman"/>
                <w:spacing w:val="-4"/>
                <w:sz w:val="24"/>
              </w:rPr>
              <w:t xml:space="preserve"> a </w:t>
            </w:r>
            <w:r w:rsidRPr="00A60806">
              <w:rPr>
                <w:rFonts w:ascii="Times New Roman" w:hAnsi="Times New Roman" w:cs="Times New Roman"/>
                <w:spacing w:val="-4"/>
                <w:sz w:val="24"/>
              </w:rPr>
              <w:t>až EU-e2 tohto vzoru ako priamy súčet jednotlivých dodatočných úprav ocenenia pred uplatnením výhody diverzifikácie. Výhody diverzifikácie</w:t>
            </w:r>
            <w:r w:rsidR="00A3389E" w:rsidRPr="00A60806">
              <w:rPr>
                <w:rFonts w:ascii="Times New Roman" w:hAnsi="Times New Roman" w:cs="Times New Roman"/>
                <w:spacing w:val="-4"/>
                <w:sz w:val="24"/>
              </w:rPr>
              <w:t xml:space="preserve"> v </w:t>
            </w:r>
            <w:r w:rsidRPr="00A60806">
              <w:rPr>
                <w:rFonts w:ascii="Times New Roman" w:hAnsi="Times New Roman" w:cs="Times New Roman"/>
                <w:spacing w:val="-4"/>
                <w:sz w:val="24"/>
              </w:rPr>
              <w:t>súlade</w:t>
            </w:r>
            <w:r w:rsidR="00A3389E" w:rsidRPr="00A60806">
              <w:rPr>
                <w:rFonts w:ascii="Times New Roman" w:hAnsi="Times New Roman" w:cs="Times New Roman"/>
                <w:spacing w:val="-4"/>
                <w:sz w:val="24"/>
              </w:rPr>
              <w:t xml:space="preserve"> s </w:t>
            </w:r>
            <w:r w:rsidRPr="00A60806">
              <w:rPr>
                <w:rFonts w:ascii="Times New Roman" w:hAnsi="Times New Roman" w:cs="Times New Roman"/>
                <w:spacing w:val="-4"/>
                <w:sz w:val="24"/>
              </w:rPr>
              <w:t>článkom 9 ods. 6, článkom 10 ods. 7</w:t>
            </w:r>
            <w:r w:rsidR="00A3389E" w:rsidRPr="00A60806">
              <w:rPr>
                <w:rFonts w:ascii="Times New Roman" w:hAnsi="Times New Roman" w:cs="Times New Roman"/>
                <w:spacing w:val="-4"/>
                <w:sz w:val="24"/>
              </w:rPr>
              <w:t xml:space="preserve"> a </w:t>
            </w:r>
            <w:r w:rsidRPr="00A60806">
              <w:rPr>
                <w:rFonts w:ascii="Times New Roman" w:hAnsi="Times New Roman" w:cs="Times New Roman"/>
                <w:spacing w:val="-4"/>
                <w:sz w:val="24"/>
              </w:rPr>
              <w:t>článkom 11 ods. 7 delegovaného nariadenia Komisie (EÚ) 2016/101 sa zahŕňajú do stĺpca f) tohto vzoru.</w:t>
            </w:r>
          </w:p>
        </w:tc>
      </w:tr>
      <w:tr w:rsidR="007B082B" w:rsidRPr="00A3389E"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A3389E" w:rsidRDefault="007B082B" w:rsidP="00803BB4">
            <w:pPr>
              <w:spacing w:beforeLines="60" w:before="144" w:afterLines="60" w:after="144"/>
              <w:jc w:val="both"/>
              <w:rPr>
                <w:rStyle w:val="InstructionsTabelleberschrift"/>
                <w:rFonts w:ascii="Times New Roman" w:hAnsi="Times New Roman"/>
                <w:sz w:val="24"/>
              </w:rPr>
            </w:pPr>
            <w:r w:rsidRPr="00A3389E">
              <w:rPr>
                <w:rStyle w:val="InstructionsTabelleberschrift"/>
                <w:rFonts w:ascii="Times New Roman" w:hAnsi="Times New Roman"/>
                <w:sz w:val="24"/>
              </w:rPr>
              <w:t>Neistota trhovej ceny</w:t>
            </w:r>
          </w:p>
          <w:p w14:paraId="68668651" w14:textId="77777777" w:rsidR="007B082B" w:rsidRPr="00A3389E" w:rsidRDefault="007B082B" w:rsidP="00803BB4">
            <w:pPr>
              <w:spacing w:beforeLines="60" w:before="144" w:afterLines="60" w:after="144"/>
              <w:jc w:val="both"/>
              <w:rPr>
                <w:rFonts w:ascii="Times New Roman" w:hAnsi="Times New Roman" w:cs="Times New Roman"/>
                <w:sz w:val="24"/>
              </w:rPr>
            </w:pPr>
            <w:r w:rsidRPr="00A3389E">
              <w:rPr>
                <w:rFonts w:ascii="Times New Roman" w:hAnsi="Times New Roman" w:cs="Times New Roman"/>
                <w:sz w:val="24"/>
              </w:rPr>
              <w:t>Článok 105 ods. 10 CRR.</w:t>
            </w:r>
          </w:p>
          <w:p w14:paraId="403BC87D" w14:textId="2F92CCBC" w:rsidR="007B082B" w:rsidRPr="00A3389E" w:rsidRDefault="007B082B" w:rsidP="00803BB4">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Dodatočné úpravy ocenenia zohľadňujúce neistotu trhovej ceny sa vypočítavajú</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 delegovaného nariadenia Komisie (EÚ) 2016/101.</w:t>
            </w:r>
          </w:p>
        </w:tc>
      </w:tr>
      <w:tr w:rsidR="007B082B" w:rsidRPr="00A3389E"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A3389E" w:rsidRDefault="007B082B" w:rsidP="00803BB4">
            <w:pPr>
              <w:autoSpaceDE w:val="0"/>
              <w:autoSpaceDN w:val="0"/>
              <w:adjustRightInd w:val="0"/>
              <w:spacing w:before="60" w:after="120"/>
              <w:jc w:val="both"/>
              <w:rPr>
                <w:rFonts w:ascii="Times New Roman" w:hAnsi="Times New Roman" w:cs="Times New Roman"/>
                <w:b/>
                <w:sz w:val="24"/>
              </w:rPr>
            </w:pPr>
            <w:r w:rsidRPr="00A3389E">
              <w:rPr>
                <w:rStyle w:val="InstructionsTabelleberschrift"/>
                <w:rFonts w:ascii="Times New Roman" w:hAnsi="Times New Roman"/>
                <w:sz w:val="24"/>
              </w:rPr>
              <w:t>Neuplatňuje sa</w:t>
            </w:r>
          </w:p>
        </w:tc>
      </w:tr>
      <w:tr w:rsidR="007B082B" w:rsidRPr="00A3389E"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A3389E" w:rsidRDefault="007B082B" w:rsidP="00803BB4">
            <w:pPr>
              <w:spacing w:beforeLines="60" w:before="144" w:afterLines="60" w:after="144"/>
              <w:jc w:val="both"/>
              <w:rPr>
                <w:rStyle w:val="InstructionsTabelleberschrift"/>
                <w:rFonts w:ascii="Times New Roman" w:hAnsi="Times New Roman"/>
                <w:sz w:val="24"/>
              </w:rPr>
            </w:pPr>
            <w:r w:rsidRPr="00A3389E">
              <w:rPr>
                <w:rStyle w:val="InstructionsTabelleberschrift"/>
                <w:rFonts w:ascii="Times New Roman" w:hAnsi="Times New Roman"/>
                <w:sz w:val="24"/>
              </w:rPr>
              <w:t>Náklady na zatvorenie pozícií</w:t>
            </w:r>
          </w:p>
          <w:p w14:paraId="6F294666" w14:textId="77777777" w:rsidR="007B082B" w:rsidRPr="00A3389E" w:rsidRDefault="007B082B" w:rsidP="00803BB4">
            <w:pPr>
              <w:spacing w:beforeLines="60" w:before="144" w:afterLines="60" w:after="144"/>
              <w:jc w:val="both"/>
              <w:rPr>
                <w:rFonts w:ascii="Times New Roman" w:hAnsi="Times New Roman" w:cs="Times New Roman"/>
                <w:sz w:val="24"/>
              </w:rPr>
            </w:pPr>
            <w:r w:rsidRPr="00A3389E">
              <w:rPr>
                <w:rFonts w:ascii="Times New Roman" w:hAnsi="Times New Roman" w:cs="Times New Roman"/>
                <w:sz w:val="24"/>
              </w:rPr>
              <w:t>Článok 105 ods. 10 CRR.</w:t>
            </w:r>
          </w:p>
          <w:p w14:paraId="1D7E9E15" w14:textId="7EC9C9BD" w:rsidR="007B082B" w:rsidRPr="00A3389E" w:rsidRDefault="007B082B" w:rsidP="00803BB4">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Dodatočné úpravy ocenenia zohľadňujúce náklady na zatvorenie pozícií sa vypočítavajú</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10 delegovaného nariadenia Komisie (EÚ) 2016/101.</w:t>
            </w:r>
          </w:p>
        </w:tc>
      </w:tr>
      <w:tr w:rsidR="007B082B" w:rsidRPr="00A3389E"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A3389E" w:rsidRDefault="007B082B" w:rsidP="00803BB4">
            <w:pPr>
              <w:spacing w:beforeLines="60" w:before="144" w:afterLines="60" w:after="144"/>
              <w:jc w:val="both"/>
              <w:rPr>
                <w:rStyle w:val="InstructionsTabelleberschrift"/>
                <w:rFonts w:ascii="Times New Roman" w:hAnsi="Times New Roman"/>
                <w:sz w:val="24"/>
              </w:rPr>
            </w:pPr>
            <w:r w:rsidRPr="00A3389E">
              <w:rPr>
                <w:rStyle w:val="InstructionsTabelleberschrift"/>
                <w:rFonts w:ascii="Times New Roman" w:hAnsi="Times New Roman"/>
                <w:sz w:val="24"/>
              </w:rPr>
              <w:t>Koncentrované pozície</w:t>
            </w:r>
          </w:p>
          <w:p w14:paraId="39F51DCD" w14:textId="77777777" w:rsidR="007B082B" w:rsidRPr="00A3389E" w:rsidRDefault="007B082B" w:rsidP="00803BB4">
            <w:pPr>
              <w:spacing w:beforeLines="60" w:before="144" w:afterLines="60" w:after="144"/>
              <w:jc w:val="both"/>
              <w:rPr>
                <w:rFonts w:ascii="Times New Roman" w:hAnsi="Times New Roman" w:cs="Times New Roman"/>
                <w:sz w:val="24"/>
              </w:rPr>
            </w:pPr>
            <w:r w:rsidRPr="00A3389E">
              <w:rPr>
                <w:rFonts w:ascii="Times New Roman" w:hAnsi="Times New Roman" w:cs="Times New Roman"/>
                <w:sz w:val="24"/>
              </w:rPr>
              <w:t>Článok 105 ods. 11 CRR.</w:t>
            </w:r>
          </w:p>
          <w:p w14:paraId="0B851BEA" w14:textId="1508CF73" w:rsidR="007B082B" w:rsidRPr="00A3389E" w:rsidRDefault="007B082B" w:rsidP="00803BB4">
            <w:pPr>
              <w:pStyle w:val="Default"/>
              <w:spacing w:after="120"/>
              <w:jc w:val="both"/>
              <w:rPr>
                <w:rFonts w:ascii="Times New Roman" w:hAnsi="Times New Roman" w:cs="Times New Roman"/>
              </w:rPr>
            </w:pPr>
            <w:r w:rsidRPr="00A3389E">
              <w:rPr>
                <w:rFonts w:ascii="Times New Roman" w:hAnsi="Times New Roman" w:cs="Times New Roman"/>
              </w:rPr>
              <w:t>Dodatočné úpravy ocenenia zohľadňujúce koncentrované pozície sa vypočítavajú</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článkom 14 delegovaného nariadenia Komisie (EÚ) 2016/101.</w:t>
            </w:r>
          </w:p>
        </w:tc>
      </w:tr>
      <w:tr w:rsidR="007B082B" w:rsidRPr="00A3389E"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A3389E" w:rsidRDefault="007B082B" w:rsidP="00803BB4">
            <w:pPr>
              <w:spacing w:beforeLines="60" w:before="144" w:afterLines="60" w:after="144"/>
              <w:jc w:val="both"/>
              <w:rPr>
                <w:rStyle w:val="InstructionsTabelleberschrift"/>
                <w:rFonts w:ascii="Times New Roman" w:hAnsi="Times New Roman"/>
                <w:sz w:val="24"/>
              </w:rPr>
            </w:pPr>
            <w:r w:rsidRPr="00A3389E">
              <w:rPr>
                <w:rStyle w:val="InstructionsTabelleberschrift"/>
                <w:rFonts w:ascii="Times New Roman" w:hAnsi="Times New Roman"/>
                <w:sz w:val="24"/>
              </w:rPr>
              <w:t>Predčasné ukončenie</w:t>
            </w:r>
          </w:p>
          <w:p w14:paraId="5D0385F6" w14:textId="77777777" w:rsidR="007B082B" w:rsidRPr="00A3389E" w:rsidRDefault="007B082B" w:rsidP="00803BB4">
            <w:pPr>
              <w:spacing w:beforeLines="60" w:before="144" w:afterLines="60" w:after="144"/>
              <w:jc w:val="both"/>
              <w:rPr>
                <w:rFonts w:ascii="Times New Roman" w:hAnsi="Times New Roman" w:cs="Times New Roman"/>
                <w:sz w:val="24"/>
              </w:rPr>
            </w:pPr>
            <w:r w:rsidRPr="00A3389E">
              <w:rPr>
                <w:rFonts w:ascii="Times New Roman" w:hAnsi="Times New Roman" w:cs="Times New Roman"/>
                <w:sz w:val="24"/>
              </w:rPr>
              <w:t>Článok 105 ods. 10 CRR.</w:t>
            </w:r>
          </w:p>
          <w:p w14:paraId="6B371551" w14:textId="5F4465B8" w:rsidR="007B082B" w:rsidRPr="00A3389E" w:rsidRDefault="007B082B" w:rsidP="00803BB4">
            <w:pPr>
              <w:pStyle w:val="Default"/>
              <w:spacing w:before="60" w:after="120"/>
              <w:jc w:val="both"/>
              <w:rPr>
                <w:rFonts w:ascii="Times New Roman" w:hAnsi="Times New Roman" w:cs="Times New Roman"/>
              </w:rPr>
            </w:pPr>
            <w:r w:rsidRPr="00A3389E">
              <w:rPr>
                <w:rFonts w:ascii="Times New Roman" w:hAnsi="Times New Roman" w:cs="Times New Roman"/>
              </w:rPr>
              <w:t>Dodatočné úpravy ocenenia zohľadňujúce predčasné ukončenie sa vypočítavajú</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článkom 16 delegovaného nariadenia Komisie (EÚ) 2016/101.</w:t>
            </w:r>
          </w:p>
        </w:tc>
      </w:tr>
      <w:tr w:rsidR="007B082B" w:rsidRPr="00A3389E"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A3389E" w:rsidRDefault="007B082B" w:rsidP="00803BB4">
            <w:pPr>
              <w:spacing w:beforeLines="60" w:before="144" w:afterLines="60" w:after="144"/>
              <w:jc w:val="both"/>
              <w:rPr>
                <w:rStyle w:val="InstructionsTabelleberschrift"/>
                <w:rFonts w:ascii="Times New Roman" w:hAnsi="Times New Roman"/>
                <w:sz w:val="24"/>
              </w:rPr>
            </w:pPr>
            <w:r w:rsidRPr="00A3389E">
              <w:rPr>
                <w:rStyle w:val="InstructionsTabelleberschrift"/>
                <w:rFonts w:ascii="Times New Roman" w:hAnsi="Times New Roman"/>
                <w:sz w:val="24"/>
              </w:rPr>
              <w:t>Riziko modelov</w:t>
            </w:r>
          </w:p>
          <w:p w14:paraId="5BE8F86E" w14:textId="77777777" w:rsidR="007B082B" w:rsidRPr="00A3389E" w:rsidRDefault="007B082B" w:rsidP="00803BB4">
            <w:pPr>
              <w:spacing w:beforeLines="60" w:before="144" w:afterLines="60" w:after="144"/>
              <w:jc w:val="both"/>
              <w:rPr>
                <w:rFonts w:ascii="Times New Roman" w:hAnsi="Times New Roman" w:cs="Times New Roman"/>
                <w:sz w:val="24"/>
              </w:rPr>
            </w:pPr>
            <w:r w:rsidRPr="00A3389E">
              <w:rPr>
                <w:rFonts w:ascii="Times New Roman" w:hAnsi="Times New Roman" w:cs="Times New Roman"/>
                <w:sz w:val="24"/>
              </w:rPr>
              <w:t>Článok 105 ods. 10 CRR.</w:t>
            </w:r>
          </w:p>
          <w:p w14:paraId="138F86FB" w14:textId="21B4D6A2" w:rsidR="007B082B" w:rsidRPr="00A3389E" w:rsidRDefault="007B082B" w:rsidP="00803BB4">
            <w:pPr>
              <w:pStyle w:val="Default"/>
              <w:spacing w:before="60" w:after="120"/>
              <w:jc w:val="both"/>
              <w:rPr>
                <w:rFonts w:ascii="Times New Roman" w:hAnsi="Times New Roman" w:cs="Times New Roman"/>
              </w:rPr>
            </w:pPr>
            <w:r w:rsidRPr="00A3389E">
              <w:rPr>
                <w:rFonts w:ascii="Times New Roman" w:hAnsi="Times New Roman" w:cs="Times New Roman"/>
              </w:rPr>
              <w:t>Dodatočné úpravy ocenenia zohľadňujúce riziko modelov sa vypočítavajú</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 xml:space="preserve">článkom 11 delegovaného nariadenia Komisie (EÚ) 2016/101. </w:t>
            </w:r>
          </w:p>
        </w:tc>
      </w:tr>
      <w:tr w:rsidR="007B082B" w:rsidRPr="00A3389E"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A3389E" w:rsidRDefault="007B082B" w:rsidP="00803BB4">
            <w:pPr>
              <w:spacing w:beforeLines="60" w:before="144" w:afterLines="60" w:after="144"/>
              <w:jc w:val="both"/>
              <w:rPr>
                <w:rStyle w:val="InstructionsTabelleberschrift"/>
                <w:rFonts w:ascii="Times New Roman" w:hAnsi="Times New Roman"/>
                <w:sz w:val="24"/>
              </w:rPr>
            </w:pPr>
            <w:r w:rsidRPr="00A3389E">
              <w:rPr>
                <w:rStyle w:val="InstructionsTabelleberschrift"/>
                <w:rFonts w:ascii="Times New Roman" w:hAnsi="Times New Roman"/>
                <w:sz w:val="24"/>
              </w:rPr>
              <w:t>Operačné riziko</w:t>
            </w:r>
          </w:p>
          <w:p w14:paraId="58D51A0B" w14:textId="77777777" w:rsidR="007B082B" w:rsidRPr="00A3389E" w:rsidRDefault="007B082B" w:rsidP="00803BB4">
            <w:pPr>
              <w:spacing w:beforeLines="60" w:before="144" w:afterLines="60" w:after="144"/>
              <w:jc w:val="both"/>
              <w:rPr>
                <w:rFonts w:ascii="Times New Roman" w:hAnsi="Times New Roman" w:cs="Times New Roman"/>
                <w:sz w:val="24"/>
              </w:rPr>
            </w:pPr>
            <w:r w:rsidRPr="00A3389E">
              <w:rPr>
                <w:rFonts w:ascii="Times New Roman" w:hAnsi="Times New Roman" w:cs="Times New Roman"/>
                <w:sz w:val="24"/>
              </w:rPr>
              <w:t>Článok 105 ods. 10 CRR.</w:t>
            </w:r>
          </w:p>
          <w:p w14:paraId="0254F85C" w14:textId="19DA4674" w:rsidR="007B082B" w:rsidRPr="00A3389E" w:rsidRDefault="007B082B" w:rsidP="00803BB4">
            <w:pPr>
              <w:pStyle w:val="Default"/>
              <w:spacing w:before="60" w:after="120"/>
              <w:jc w:val="both"/>
              <w:rPr>
                <w:rFonts w:ascii="Times New Roman" w:hAnsi="Times New Roman" w:cs="Times New Roman"/>
                <w:i/>
              </w:rPr>
            </w:pPr>
            <w:r w:rsidRPr="00A3389E">
              <w:rPr>
                <w:rFonts w:ascii="Times New Roman" w:hAnsi="Times New Roman" w:cs="Times New Roman"/>
              </w:rPr>
              <w:t>Dodatočné úpravy ocenenia zohľadňujúce operačné riziko sa vypočítavajú</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článkom 17 delegovaného nariadenia Komisie (EÚ) 2016/101.</w:t>
            </w:r>
          </w:p>
        </w:tc>
      </w:tr>
      <w:tr w:rsidR="007B082B" w:rsidRPr="00A3389E"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A3389E" w:rsidRDefault="007B082B" w:rsidP="00803BB4">
            <w:pPr>
              <w:pStyle w:val="Default"/>
              <w:spacing w:after="120"/>
              <w:jc w:val="both"/>
              <w:rPr>
                <w:rFonts w:ascii="Times New Roman" w:hAnsi="Times New Roman" w:cs="Times New Roman"/>
              </w:rPr>
            </w:pPr>
            <w:r w:rsidRPr="00A3389E">
              <w:rPr>
                <w:rStyle w:val="InstructionsTabelleberschrift"/>
                <w:rFonts w:ascii="Times New Roman" w:hAnsi="Times New Roman"/>
              </w:rPr>
              <w:t>Neuplatňuje sa</w:t>
            </w:r>
          </w:p>
        </w:tc>
      </w:tr>
      <w:tr w:rsidR="007B082B" w:rsidRPr="00A3389E"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A3389E" w:rsidRDefault="007B082B" w:rsidP="00803BB4">
            <w:pPr>
              <w:pStyle w:val="Default"/>
              <w:spacing w:after="120"/>
              <w:jc w:val="both"/>
              <w:rPr>
                <w:rFonts w:ascii="Times New Roman" w:hAnsi="Times New Roman" w:cs="Times New Roman"/>
              </w:rPr>
            </w:pPr>
            <w:r w:rsidRPr="00A3389E">
              <w:rPr>
                <w:rStyle w:val="InstructionsTabelleberschrift"/>
                <w:rFonts w:ascii="Times New Roman" w:hAnsi="Times New Roman"/>
              </w:rPr>
              <w:t>Neuplatňuje sa</w:t>
            </w:r>
          </w:p>
        </w:tc>
      </w:tr>
      <w:tr w:rsidR="007B082B" w:rsidRPr="00A3389E"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A3389E" w:rsidRDefault="007B082B" w:rsidP="00803BB4">
            <w:pPr>
              <w:spacing w:beforeLines="60" w:before="144" w:afterLines="60" w:after="144"/>
              <w:jc w:val="both"/>
              <w:rPr>
                <w:rStyle w:val="InstructionsTabelleberschrift"/>
                <w:rFonts w:ascii="Times New Roman" w:hAnsi="Times New Roman"/>
                <w:sz w:val="24"/>
              </w:rPr>
            </w:pPr>
            <w:r w:rsidRPr="00A3389E">
              <w:rPr>
                <w:rStyle w:val="InstructionsTabelleberschrift"/>
                <w:rFonts w:ascii="Times New Roman" w:hAnsi="Times New Roman"/>
                <w:sz w:val="24"/>
              </w:rPr>
              <w:t>Budúce administratívne náklady</w:t>
            </w:r>
          </w:p>
          <w:p w14:paraId="53CE0D0C" w14:textId="77777777" w:rsidR="007B082B" w:rsidRPr="00A3389E" w:rsidRDefault="007B082B" w:rsidP="00803BB4">
            <w:pPr>
              <w:spacing w:beforeLines="60" w:before="144" w:afterLines="60" w:after="144"/>
              <w:jc w:val="both"/>
              <w:rPr>
                <w:rFonts w:ascii="Times New Roman" w:hAnsi="Times New Roman" w:cs="Times New Roman"/>
                <w:sz w:val="24"/>
              </w:rPr>
            </w:pPr>
            <w:r w:rsidRPr="00A3389E">
              <w:rPr>
                <w:rFonts w:ascii="Times New Roman" w:hAnsi="Times New Roman" w:cs="Times New Roman"/>
                <w:sz w:val="24"/>
              </w:rPr>
              <w:t>Článok 105 ods. 10 CRR.</w:t>
            </w:r>
          </w:p>
          <w:p w14:paraId="22D7712F" w14:textId="1BC2CD98" w:rsidR="007B082B" w:rsidRPr="00A3389E" w:rsidRDefault="007B082B" w:rsidP="00803BB4">
            <w:pPr>
              <w:pStyle w:val="Default"/>
              <w:spacing w:after="120"/>
              <w:jc w:val="both"/>
              <w:rPr>
                <w:rFonts w:ascii="Times New Roman" w:hAnsi="Times New Roman" w:cs="Times New Roman"/>
              </w:rPr>
            </w:pPr>
            <w:r w:rsidRPr="00A3389E">
              <w:rPr>
                <w:rFonts w:ascii="Times New Roman" w:hAnsi="Times New Roman" w:cs="Times New Roman"/>
              </w:rPr>
              <w:t>Dodatočné úpravy ocenenia zohľadňujúce budúce administratívne náklady sa vypočítavajú</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článkom 15 delegovaného nariadenia Komisie (EÚ) 2016/101.</w:t>
            </w:r>
          </w:p>
        </w:tc>
      </w:tr>
      <w:tr w:rsidR="007B082B" w:rsidRPr="00A3389E"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A3389E" w:rsidRDefault="007B082B" w:rsidP="00803BB4">
            <w:pPr>
              <w:pStyle w:val="Default"/>
              <w:spacing w:after="120"/>
              <w:jc w:val="both"/>
              <w:rPr>
                <w:rFonts w:ascii="Times New Roman" w:hAnsi="Times New Roman" w:cs="Times New Roman"/>
              </w:rPr>
            </w:pPr>
            <w:r w:rsidRPr="00A3389E">
              <w:rPr>
                <w:rFonts w:ascii="Times New Roman" w:hAnsi="Times New Roman" w:cs="Times New Roman"/>
              </w:rPr>
              <w:t>Neuplatňuje sa</w:t>
            </w:r>
          </w:p>
        </w:tc>
      </w:tr>
      <w:tr w:rsidR="007B082B" w:rsidRPr="00A3389E"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A3389E" w:rsidRDefault="007B082B" w:rsidP="00803BB4">
            <w:pPr>
              <w:spacing w:beforeLines="60" w:before="144" w:afterLines="60" w:after="144"/>
              <w:jc w:val="both"/>
              <w:rPr>
                <w:rStyle w:val="InstructionsTabelleberschrift"/>
                <w:rFonts w:ascii="Times New Roman" w:hAnsi="Times New Roman"/>
                <w:sz w:val="24"/>
              </w:rPr>
            </w:pPr>
            <w:r w:rsidRPr="00A3389E">
              <w:rPr>
                <w:rStyle w:val="InstructionsTabelleberschrift"/>
                <w:rFonts w:ascii="Times New Roman" w:hAnsi="Times New Roman"/>
                <w:sz w:val="24"/>
              </w:rPr>
              <w:t>Celkové dodatočné úpravy ocenenia</w:t>
            </w:r>
          </w:p>
          <w:p w14:paraId="716488BC" w14:textId="227E8FE2" w:rsidR="00A3389E" w:rsidRPr="00A3389E" w:rsidRDefault="007B082B" w:rsidP="00803BB4">
            <w:pPr>
              <w:pStyle w:val="Default"/>
              <w:spacing w:after="120"/>
              <w:jc w:val="both"/>
              <w:rPr>
                <w:rFonts w:ascii="Times New Roman" w:hAnsi="Times New Roman" w:cs="Times New Roman"/>
                <w:color w:val="auto"/>
              </w:rPr>
            </w:pPr>
            <w:r w:rsidRPr="00A3389E">
              <w:rPr>
                <w:rFonts w:ascii="Times New Roman" w:hAnsi="Times New Roman" w:cs="Times New Roman"/>
                <w:color w:val="auto"/>
              </w:rPr>
              <w:lastRenderedPageBreak/>
              <w:t>Celková dodatočná úprava ocenenia, ktorá sa má odpočítať od vlastných zdrojov podľa článkov 34</w:t>
            </w:r>
            <w:r w:rsidR="00A3389E">
              <w:rPr>
                <w:rFonts w:ascii="Times New Roman" w:hAnsi="Times New Roman" w:cs="Times New Roman"/>
                <w:color w:val="auto"/>
              </w:rPr>
              <w:t xml:space="preserve"> a </w:t>
            </w:r>
            <w:r w:rsidRPr="00A3389E">
              <w:rPr>
                <w:rFonts w:ascii="Times New Roman" w:hAnsi="Times New Roman" w:cs="Times New Roman"/>
                <w:color w:val="auto"/>
              </w:rPr>
              <w:t>105 CRR, sa zverejňuje</w:t>
            </w:r>
            <w:r w:rsidR="00A3389E">
              <w:rPr>
                <w:rFonts w:ascii="Times New Roman" w:hAnsi="Times New Roman" w:cs="Times New Roman"/>
                <w:color w:val="auto"/>
              </w:rPr>
              <w:t xml:space="preserve"> v </w:t>
            </w:r>
            <w:r w:rsidRPr="00A3389E">
              <w:rPr>
                <w:rFonts w:ascii="Times New Roman" w:hAnsi="Times New Roman" w:cs="Times New Roman"/>
                <w:color w:val="auto"/>
              </w:rPr>
              <w:t>riadku 12 stĺpci f)</w:t>
            </w:r>
            <w:r w:rsidRPr="00A3389E">
              <w:rPr>
                <w:rFonts w:ascii="Times New Roman" w:hAnsi="Times New Roman" w:cs="Times New Roman"/>
              </w:rPr>
              <w:t xml:space="preserve"> tohto vzoru</w:t>
            </w:r>
            <w:r w:rsidRPr="00A3389E">
              <w:rPr>
                <w:rFonts w:ascii="Times New Roman" w:hAnsi="Times New Roman" w:cs="Times New Roman"/>
                <w:color w:val="auto"/>
              </w:rPr>
              <w:t>. Táto hodnota musí byť</w:t>
            </w:r>
            <w:r w:rsidR="00A3389E">
              <w:rPr>
                <w:rFonts w:ascii="Times New Roman" w:hAnsi="Times New Roman" w:cs="Times New Roman"/>
                <w:color w:val="auto"/>
              </w:rPr>
              <w:t xml:space="preserve"> v </w:t>
            </w:r>
            <w:r w:rsidRPr="00A3389E">
              <w:rPr>
                <w:rFonts w:ascii="Times New Roman" w:hAnsi="Times New Roman" w:cs="Times New Roman"/>
                <w:color w:val="auto"/>
              </w:rPr>
              <w:t>súlade so sumou uvedenou</w:t>
            </w:r>
            <w:r w:rsidR="00A3389E">
              <w:rPr>
                <w:rFonts w:ascii="Times New Roman" w:hAnsi="Times New Roman" w:cs="Times New Roman"/>
                <w:color w:val="auto"/>
              </w:rPr>
              <w:t xml:space="preserve"> v </w:t>
            </w:r>
            <w:r w:rsidRPr="00A3389E">
              <w:rPr>
                <w:rFonts w:ascii="Times New Roman" w:hAnsi="Times New Roman" w:cs="Times New Roman"/>
                <w:color w:val="auto"/>
              </w:rPr>
              <w:t>riadku 7 vzoru EU CC1, ako aj so sumou uvedenou</w:t>
            </w:r>
            <w:r w:rsidR="00A3389E">
              <w:rPr>
                <w:rFonts w:ascii="Times New Roman" w:hAnsi="Times New Roman" w:cs="Times New Roman"/>
                <w:color w:val="auto"/>
              </w:rPr>
              <w:t xml:space="preserve"> v </w:t>
            </w:r>
            <w:r w:rsidRPr="00A3389E">
              <w:rPr>
                <w:rFonts w:ascii="Times New Roman" w:hAnsi="Times New Roman" w:cs="Times New Roman"/>
                <w:color w:val="auto"/>
              </w:rPr>
              <w:t>riadku 5 stĺpci a) vzoru EU LI2</w:t>
            </w:r>
            <w:r w:rsidR="00A3389E" w:rsidRPr="00A3389E">
              <w:rPr>
                <w:rFonts w:ascii="Times New Roman" w:hAnsi="Times New Roman" w:cs="Times New Roman"/>
                <w:color w:val="auto"/>
              </w:rPr>
              <w:t>.</w:t>
            </w:r>
          </w:p>
          <w:p w14:paraId="4B6181F0" w14:textId="1B14ACF9" w:rsidR="00A3389E" w:rsidRPr="00A3389E" w:rsidRDefault="007B082B" w:rsidP="00803BB4">
            <w:pPr>
              <w:pStyle w:val="Default"/>
              <w:spacing w:after="120"/>
              <w:jc w:val="both"/>
              <w:rPr>
                <w:rFonts w:ascii="Times New Roman" w:hAnsi="Times New Roman" w:cs="Times New Roman"/>
                <w:color w:val="auto"/>
              </w:rPr>
            </w:pPr>
            <w:r w:rsidRPr="00A3389E">
              <w:rPr>
                <w:rFonts w:ascii="Times New Roman" w:hAnsi="Times New Roman" w:cs="Times New Roman"/>
                <w:color w:val="auto"/>
              </w:rPr>
              <w:t>V prípade portfólií, na ktoré sa vzťahuje základný postup stanovený</w:t>
            </w:r>
            <w:r w:rsidR="00A3389E">
              <w:rPr>
                <w:rFonts w:ascii="Times New Roman" w:hAnsi="Times New Roman" w:cs="Times New Roman"/>
                <w:color w:val="auto"/>
              </w:rPr>
              <w:t xml:space="preserve"> v </w:t>
            </w:r>
            <w:r w:rsidRPr="00A3389E">
              <w:rPr>
                <w:rFonts w:ascii="Times New Roman" w:hAnsi="Times New Roman" w:cs="Times New Roman"/>
                <w:color w:val="auto"/>
              </w:rPr>
              <w:t>kapitole III delegovaného nariadenia (EÚ) 2016/101</w:t>
            </w:r>
            <w:r w:rsidR="00A3389E">
              <w:rPr>
                <w:rFonts w:ascii="Times New Roman" w:hAnsi="Times New Roman" w:cs="Times New Roman"/>
                <w:color w:val="auto"/>
              </w:rPr>
              <w:t xml:space="preserve"> o </w:t>
            </w:r>
            <w:r w:rsidRPr="00A3389E">
              <w:rPr>
                <w:rFonts w:ascii="Times New Roman" w:hAnsi="Times New Roman" w:cs="Times New Roman"/>
                <w:color w:val="auto"/>
              </w:rPr>
              <w:t>obozretnom oceňovaní, celková dodatočná úprava ocenenia predstavuje súčet hodnôt</w:t>
            </w:r>
            <w:r w:rsidR="00A3389E">
              <w:rPr>
                <w:rFonts w:ascii="Times New Roman" w:hAnsi="Times New Roman" w:cs="Times New Roman"/>
                <w:color w:val="auto"/>
              </w:rPr>
              <w:t xml:space="preserve"> v </w:t>
            </w:r>
            <w:r w:rsidRPr="00A3389E">
              <w:rPr>
                <w:rFonts w:ascii="Times New Roman" w:hAnsi="Times New Roman" w:cs="Times New Roman"/>
                <w:color w:val="auto"/>
              </w:rPr>
              <w:t>riadkoch 1 až 10 tohto vzoru</w:t>
            </w:r>
            <w:r w:rsidR="00A3389E">
              <w:rPr>
                <w:rFonts w:ascii="Times New Roman" w:hAnsi="Times New Roman" w:cs="Times New Roman"/>
                <w:color w:val="auto"/>
              </w:rPr>
              <w:t xml:space="preserve"> a </w:t>
            </w:r>
            <w:r w:rsidRPr="00A3389E">
              <w:rPr>
                <w:rFonts w:ascii="Times New Roman" w:hAnsi="Times New Roman" w:cs="Times New Roman"/>
                <w:color w:val="auto"/>
              </w:rPr>
              <w:t>súm vypočítaných</w:t>
            </w:r>
            <w:r w:rsidR="00A3389E">
              <w:rPr>
                <w:rFonts w:ascii="Times New Roman" w:hAnsi="Times New Roman" w:cs="Times New Roman"/>
                <w:color w:val="auto"/>
              </w:rPr>
              <w:t xml:space="preserve"> v </w:t>
            </w:r>
            <w:r w:rsidRPr="00A3389E">
              <w:rPr>
                <w:rFonts w:ascii="Times New Roman" w:hAnsi="Times New Roman" w:cs="Times New Roman"/>
                <w:color w:val="auto"/>
              </w:rPr>
              <w:t>súlade</w:t>
            </w:r>
            <w:r w:rsidR="00A3389E">
              <w:rPr>
                <w:rFonts w:ascii="Times New Roman" w:hAnsi="Times New Roman" w:cs="Times New Roman"/>
                <w:color w:val="auto"/>
              </w:rPr>
              <w:t xml:space="preserve"> s </w:t>
            </w:r>
            <w:r w:rsidRPr="00A3389E">
              <w:rPr>
                <w:rFonts w:ascii="Times New Roman" w:hAnsi="Times New Roman" w:cs="Times New Roman"/>
                <w:color w:val="auto"/>
              </w:rPr>
              <w:t>článkom 7 ods. 2 písm. b) bodmi i) až iii) delegovaného nariadenia (EÚ) 2016/101 pre portfóliá, na ktoré sa vzťahuje rezervný prístup, ak nejaké existujú</w:t>
            </w:r>
            <w:r w:rsidR="00A3389E" w:rsidRPr="00A3389E">
              <w:rPr>
                <w:rFonts w:ascii="Times New Roman" w:hAnsi="Times New Roman" w:cs="Times New Roman"/>
                <w:color w:val="auto"/>
              </w:rPr>
              <w:t>.</w:t>
            </w:r>
          </w:p>
          <w:p w14:paraId="084ECAAE" w14:textId="1F7599B4" w:rsidR="007B082B" w:rsidRPr="00A3389E" w:rsidRDefault="007B082B" w:rsidP="00803BB4">
            <w:pPr>
              <w:pStyle w:val="Default"/>
              <w:spacing w:after="120"/>
              <w:jc w:val="both"/>
              <w:rPr>
                <w:rFonts w:ascii="Times New Roman" w:hAnsi="Times New Roman" w:cs="Times New Roman"/>
              </w:rPr>
            </w:pPr>
            <w:r w:rsidRPr="00A3389E">
              <w:rPr>
                <w:rFonts w:ascii="Times New Roman" w:hAnsi="Times New Roman" w:cs="Times New Roman"/>
                <w:color w:val="auto"/>
              </w:rPr>
              <w:t>V prípade portfólií, na ktoré sa vzťahuje zjednodušený prístup stanovený</w:t>
            </w:r>
            <w:r w:rsidR="00A3389E">
              <w:rPr>
                <w:rFonts w:ascii="Times New Roman" w:hAnsi="Times New Roman" w:cs="Times New Roman"/>
                <w:color w:val="auto"/>
              </w:rPr>
              <w:t xml:space="preserve"> v </w:t>
            </w:r>
            <w:r w:rsidRPr="00A3389E">
              <w:rPr>
                <w:rFonts w:ascii="Times New Roman" w:hAnsi="Times New Roman" w:cs="Times New Roman"/>
                <w:color w:val="auto"/>
              </w:rPr>
              <w:t>kapitole II delegovaného nariadenia (EÚ) 2016/101</w:t>
            </w:r>
            <w:r w:rsidR="00A3389E">
              <w:rPr>
                <w:rFonts w:ascii="Times New Roman" w:hAnsi="Times New Roman" w:cs="Times New Roman"/>
                <w:color w:val="auto"/>
              </w:rPr>
              <w:t xml:space="preserve"> o </w:t>
            </w:r>
            <w:r w:rsidRPr="00A3389E">
              <w:rPr>
                <w:rFonts w:ascii="Times New Roman" w:hAnsi="Times New Roman" w:cs="Times New Roman"/>
                <w:color w:val="auto"/>
              </w:rPr>
              <w:t>obozretnom oceňovaní, celková dodatočná úprava ocenenia zahrnutá</w:t>
            </w:r>
            <w:r w:rsidR="00A3389E">
              <w:rPr>
                <w:rFonts w:ascii="Times New Roman" w:hAnsi="Times New Roman" w:cs="Times New Roman"/>
                <w:color w:val="auto"/>
              </w:rPr>
              <w:t xml:space="preserve"> v </w:t>
            </w:r>
            <w:r w:rsidRPr="00A3389E">
              <w:rPr>
                <w:rFonts w:ascii="Times New Roman" w:hAnsi="Times New Roman" w:cs="Times New Roman"/>
                <w:color w:val="auto"/>
              </w:rPr>
              <w:t>stĺpci f) tohto vzoru predstavuje sumu vypočítanú</w:t>
            </w:r>
            <w:r w:rsidR="00A3389E">
              <w:rPr>
                <w:rFonts w:ascii="Times New Roman" w:hAnsi="Times New Roman" w:cs="Times New Roman"/>
                <w:color w:val="auto"/>
              </w:rPr>
              <w:t xml:space="preserve"> v </w:t>
            </w:r>
            <w:r w:rsidRPr="00A3389E">
              <w:rPr>
                <w:rFonts w:ascii="Times New Roman" w:hAnsi="Times New Roman" w:cs="Times New Roman"/>
                <w:color w:val="auto"/>
              </w:rPr>
              <w:t>súlade</w:t>
            </w:r>
            <w:r w:rsidR="00A3389E">
              <w:rPr>
                <w:rFonts w:ascii="Times New Roman" w:hAnsi="Times New Roman" w:cs="Times New Roman"/>
                <w:color w:val="auto"/>
              </w:rPr>
              <w:t xml:space="preserve"> s </w:t>
            </w:r>
            <w:r w:rsidRPr="00A3389E">
              <w:rPr>
                <w:rFonts w:ascii="Times New Roman" w:hAnsi="Times New Roman" w:cs="Times New Roman"/>
                <w:color w:val="auto"/>
              </w:rPr>
              <w:t>článkom 5 tejto kapitoly.</w:t>
            </w:r>
          </w:p>
        </w:tc>
      </w:tr>
      <w:tr w:rsidR="007B082B" w:rsidRPr="00A3389E"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A3389E" w:rsidRDefault="007B082B" w:rsidP="00803BB4">
            <w:pPr>
              <w:pStyle w:val="Applicationdirecte"/>
              <w:spacing w:before="0"/>
              <w:rPr>
                <w:b/>
              </w:rPr>
            </w:pPr>
            <w:r w:rsidRPr="00A3389E">
              <w:rPr>
                <w:b/>
              </w:rPr>
              <w:lastRenderedPageBreak/>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A3389E" w:rsidRDefault="007B082B" w:rsidP="00803BB4">
            <w:pPr>
              <w:pStyle w:val="TableMainHeading"/>
              <w:spacing w:before="60"/>
              <w:jc w:val="both"/>
              <w:rPr>
                <w:rFonts w:ascii="Times New Roman" w:hAnsi="Times New Roman"/>
                <w:b/>
                <w:sz w:val="24"/>
                <w:szCs w:val="24"/>
              </w:rPr>
            </w:pPr>
            <w:r w:rsidRPr="00A3389E">
              <w:rPr>
                <w:rFonts w:ascii="Times New Roman" w:hAnsi="Times New Roman"/>
                <w:b/>
                <w:sz w:val="24"/>
                <w:szCs w:val="24"/>
              </w:rPr>
              <w:t>Vysvetlenie</w:t>
            </w:r>
          </w:p>
        </w:tc>
      </w:tr>
      <w:tr w:rsidR="007B082B" w:rsidRPr="00A3389E"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a – 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A3389E" w:rsidRDefault="007B082B" w:rsidP="00803BB4">
            <w:pPr>
              <w:autoSpaceDE w:val="0"/>
              <w:autoSpaceDN w:val="0"/>
              <w:adjustRightInd w:val="0"/>
              <w:spacing w:before="60" w:after="120"/>
              <w:jc w:val="both"/>
              <w:rPr>
                <w:rFonts w:ascii="Times New Roman" w:hAnsi="Times New Roman" w:cs="Times New Roman"/>
                <w:b/>
                <w:sz w:val="24"/>
                <w:u w:val="single"/>
              </w:rPr>
            </w:pPr>
            <w:r w:rsidRPr="00A3389E">
              <w:rPr>
                <w:rFonts w:ascii="Times New Roman" w:hAnsi="Times New Roman" w:cs="Times New Roman"/>
                <w:b/>
                <w:sz w:val="24"/>
                <w:u w:val="single"/>
              </w:rPr>
              <w:t>Rozčlenenie podľa KATEGÓRIÍ RIZIKA</w:t>
            </w:r>
          </w:p>
          <w:p w14:paraId="25533773" w14:textId="627E8A58" w:rsidR="00A3389E" w:rsidRPr="00A3389E" w:rsidRDefault="007B082B" w:rsidP="00803BB4">
            <w:pPr>
              <w:spacing w:beforeLines="60" w:before="144" w:afterLines="60" w:after="144"/>
              <w:jc w:val="both"/>
              <w:rPr>
                <w:rFonts w:ascii="Times New Roman" w:hAnsi="Times New Roman" w:cs="Times New Roman"/>
                <w:sz w:val="24"/>
              </w:rPr>
            </w:pPr>
            <w:r w:rsidRPr="00A3389E">
              <w:rPr>
                <w:rFonts w:ascii="Times New Roman" w:hAnsi="Times New Roman" w:cs="Times New Roman"/>
                <w:sz w:val="24"/>
              </w:rPr>
              <w:t>Inštitúcie priraďujú svoje reálnou hodnotou ocenené aktíva</w:t>
            </w:r>
            <w:r w:rsidR="00A3389E">
              <w:rPr>
                <w:rFonts w:ascii="Times New Roman" w:hAnsi="Times New Roman" w:cs="Times New Roman"/>
                <w:sz w:val="24"/>
              </w:rPr>
              <w:t xml:space="preserve"> a </w:t>
            </w:r>
            <w:r w:rsidRPr="00A3389E">
              <w:rPr>
                <w:rFonts w:ascii="Times New Roman" w:hAnsi="Times New Roman" w:cs="Times New Roman"/>
                <w:sz w:val="24"/>
              </w:rPr>
              <w:t>záväzky zahrnuté do výpočtu prahovej hodnoty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 ods. 1 delegovaného nariadenia Komisie (EÚ) 2016/101 (z obchodnej knihy</w:t>
            </w:r>
            <w:r w:rsidR="00A3389E">
              <w:rPr>
                <w:rFonts w:ascii="Times New Roman" w:hAnsi="Times New Roman" w:cs="Times New Roman"/>
                <w:sz w:val="24"/>
              </w:rPr>
              <w:t xml:space="preserve"> a z </w:t>
            </w:r>
            <w:r w:rsidRPr="00A3389E">
              <w:rPr>
                <w:rFonts w:ascii="Times New Roman" w:hAnsi="Times New Roman" w:cs="Times New Roman"/>
                <w:sz w:val="24"/>
              </w:rPr>
              <w:t>neobchodnej knihy) do týchto kategórií rizika: úrokového, devízového, kreditného, kapitálového, komoditného</w:t>
            </w:r>
            <w:r w:rsidR="00A3389E" w:rsidRPr="00A3389E">
              <w:rPr>
                <w:rFonts w:ascii="Times New Roman" w:hAnsi="Times New Roman" w:cs="Times New Roman"/>
                <w:sz w:val="24"/>
              </w:rPr>
              <w:t>.</w:t>
            </w:r>
          </w:p>
          <w:p w14:paraId="6E66D513" w14:textId="221D26FF" w:rsidR="007B082B" w:rsidRPr="00A3389E" w:rsidRDefault="007B082B" w:rsidP="00803BB4">
            <w:pPr>
              <w:spacing w:beforeLines="60" w:before="144" w:afterLines="60" w:after="144"/>
              <w:jc w:val="both"/>
              <w:rPr>
                <w:rFonts w:ascii="Times New Roman" w:hAnsi="Times New Roman" w:cs="Times New Roman"/>
                <w:b/>
                <w:sz w:val="24"/>
                <w:u w:val="single"/>
              </w:rPr>
            </w:pPr>
            <w:r w:rsidRPr="00A3389E">
              <w:rPr>
                <w:rFonts w:ascii="Times New Roman" w:hAnsi="Times New Roman" w:cs="Times New Roman"/>
                <w:sz w:val="24"/>
              </w:rPr>
              <w:t>Rozčlenenie</w:t>
            </w:r>
            <w:r w:rsidR="00A3389E">
              <w:rPr>
                <w:rFonts w:ascii="Times New Roman" w:hAnsi="Times New Roman" w:cs="Times New Roman"/>
                <w:sz w:val="24"/>
              </w:rPr>
              <w:t xml:space="preserve"> v </w:t>
            </w:r>
            <w:r w:rsidRPr="00A3389E">
              <w:rPr>
                <w:rFonts w:ascii="Times New Roman" w:hAnsi="Times New Roman" w:cs="Times New Roman"/>
                <w:sz w:val="24"/>
              </w:rPr>
              <w:t>týchto stĺpcoch nezahŕňa dodatočné úpravy ocenenia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12</w:t>
            </w:r>
            <w:r w:rsidR="00A3389E">
              <w:rPr>
                <w:rFonts w:ascii="Times New Roman" w:hAnsi="Times New Roman" w:cs="Times New Roman"/>
                <w:sz w:val="24"/>
              </w:rPr>
              <w:t xml:space="preserve"> a </w:t>
            </w:r>
            <w:r w:rsidRPr="00A3389E">
              <w:rPr>
                <w:rFonts w:ascii="Times New Roman" w:hAnsi="Times New Roman" w:cs="Times New Roman"/>
                <w:sz w:val="24"/>
              </w:rPr>
              <w:t>13 delegovaného nariadenia Komisie (EÚ) 2016/101, ktoré sú zverejnené</w:t>
            </w:r>
            <w:r w:rsidR="00A3389E">
              <w:rPr>
                <w:rFonts w:ascii="Times New Roman" w:hAnsi="Times New Roman" w:cs="Times New Roman"/>
                <w:sz w:val="24"/>
              </w:rPr>
              <w:t xml:space="preserve"> v </w:t>
            </w:r>
            <w:r w:rsidRPr="00A3389E">
              <w:rPr>
                <w:rFonts w:ascii="Times New Roman" w:hAnsi="Times New Roman" w:cs="Times New Roman"/>
                <w:sz w:val="24"/>
              </w:rPr>
              <w:t>stĺpcoch EU-e1</w:t>
            </w:r>
            <w:r w:rsidR="00A3389E">
              <w:rPr>
                <w:rFonts w:ascii="Times New Roman" w:hAnsi="Times New Roman" w:cs="Times New Roman"/>
                <w:sz w:val="24"/>
              </w:rPr>
              <w:t xml:space="preserve"> a </w:t>
            </w:r>
            <w:r w:rsidRPr="00A3389E">
              <w:rPr>
                <w:rFonts w:ascii="Times New Roman" w:hAnsi="Times New Roman" w:cs="Times New Roman"/>
                <w:sz w:val="24"/>
              </w:rPr>
              <w:t>EU-e2 tohto vzoru.</w:t>
            </w:r>
          </w:p>
        </w:tc>
      </w:tr>
      <w:tr w:rsidR="007B082B" w:rsidRPr="00A3389E"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A3389E"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A3389E" w:rsidRDefault="007B082B" w:rsidP="00803BB4">
            <w:pPr>
              <w:jc w:val="both"/>
              <w:rPr>
                <w:rFonts w:ascii="Times New Roman" w:hAnsi="Times New Roman" w:cs="Times New Roman"/>
                <w:color w:val="000000"/>
                <w:sz w:val="24"/>
              </w:rPr>
            </w:pPr>
            <w:r w:rsidRPr="00A3389E">
              <w:rPr>
                <w:rFonts w:ascii="Times New Roman" w:hAnsi="Times New Roman" w:cs="Times New Roman"/>
                <w:color w:val="000000"/>
                <w:sz w:val="24"/>
              </w:rPr>
              <w:t>EU e1</w:t>
            </w:r>
          </w:p>
          <w:p w14:paraId="4A58C4B8" w14:textId="77777777" w:rsidR="007B082B" w:rsidRPr="00A3389E"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A3389E" w:rsidRDefault="007B082B" w:rsidP="00803BB4">
            <w:pPr>
              <w:autoSpaceDE w:val="0"/>
              <w:autoSpaceDN w:val="0"/>
              <w:adjustRightInd w:val="0"/>
              <w:spacing w:before="60" w:after="120"/>
              <w:jc w:val="both"/>
              <w:rPr>
                <w:rFonts w:ascii="Times New Roman" w:hAnsi="Times New Roman" w:cs="Times New Roman"/>
                <w:b/>
                <w:sz w:val="24"/>
                <w:u w:val="single"/>
              </w:rPr>
            </w:pPr>
            <w:r w:rsidRPr="00A3389E">
              <w:rPr>
                <w:rFonts w:ascii="Times New Roman" w:hAnsi="Times New Roman" w:cs="Times New Roman"/>
                <w:b/>
                <w:sz w:val="24"/>
                <w:u w:val="single"/>
              </w:rPr>
              <w:t>Dodatočná úprava ocenenia na úrovni kategórie – neistota ocenenia: Dodatočná úprava ocenenia zohľadňujúca nezískané úverové rozpätia</w:t>
            </w:r>
          </w:p>
          <w:p w14:paraId="3144248A" w14:textId="77777777" w:rsidR="00A3389E" w:rsidRPr="00A3389E" w:rsidRDefault="007B082B" w:rsidP="00803BB4">
            <w:pPr>
              <w:spacing w:beforeLines="60" w:before="144" w:afterLines="60" w:after="144"/>
              <w:rPr>
                <w:rFonts w:ascii="Times New Roman" w:hAnsi="Times New Roman" w:cs="Times New Roman"/>
                <w:sz w:val="24"/>
              </w:rPr>
            </w:pPr>
            <w:r w:rsidRPr="00A3389E">
              <w:rPr>
                <w:rFonts w:ascii="Times New Roman" w:hAnsi="Times New Roman" w:cs="Times New Roman"/>
                <w:sz w:val="24"/>
              </w:rPr>
              <w:t>Článok 105 ods. 10 CRR, článok 12 delegovaného nariadenia Komisie (EÚ) 2016/101</w:t>
            </w:r>
            <w:r w:rsidR="00A3389E" w:rsidRPr="00A3389E">
              <w:rPr>
                <w:rFonts w:ascii="Times New Roman" w:hAnsi="Times New Roman" w:cs="Times New Roman"/>
                <w:sz w:val="24"/>
              </w:rPr>
              <w:t>.</w:t>
            </w:r>
          </w:p>
          <w:p w14:paraId="0F66C5FD" w14:textId="355969E5" w:rsidR="007B082B" w:rsidRPr="00A3389E" w:rsidRDefault="007B082B" w:rsidP="00CA31E6">
            <w:pPr>
              <w:spacing w:beforeLines="60" w:before="144" w:afterLines="60" w:after="144"/>
              <w:jc w:val="both"/>
              <w:rPr>
                <w:rFonts w:ascii="Times New Roman" w:hAnsi="Times New Roman" w:cs="Times New Roman"/>
                <w:b/>
                <w:sz w:val="24"/>
                <w:u w:val="single"/>
              </w:rPr>
            </w:pPr>
            <w:r w:rsidRPr="00A3389E">
              <w:rPr>
                <w:rFonts w:ascii="Times New Roman" w:hAnsi="Times New Roman" w:cs="Times New Roman"/>
                <w:sz w:val="24"/>
              </w:rPr>
              <w:t>Celková dodatočná úprava ocenenia pre nezískané úverové rozpätia („dodatočná úprava ocenenia pri úprave ocenenia pohľadávok“)</w:t>
            </w:r>
            <w:r w:rsidR="00A3389E">
              <w:rPr>
                <w:rFonts w:ascii="Times New Roman" w:hAnsi="Times New Roman" w:cs="Times New Roman"/>
                <w:sz w:val="24"/>
              </w:rPr>
              <w:t xml:space="preserve"> a </w:t>
            </w:r>
            <w:r w:rsidRPr="00A3389E">
              <w:rPr>
                <w:rFonts w:ascii="Times New Roman" w:hAnsi="Times New Roman" w:cs="Times New Roman"/>
                <w:sz w:val="24"/>
              </w:rPr>
              <w:t>jej rozdelenie medzi dodatočné úpravy ocenenia zohľadňujúce neistotu trhovej ceny, náklady na zatvorenie pozícií alebo riziko modelov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12 delegovaného nariadenia Komisie (EÚ) 2016/101.</w:t>
            </w:r>
          </w:p>
        </w:tc>
      </w:tr>
      <w:tr w:rsidR="007B082B" w:rsidRPr="00A3389E"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A3389E"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A3389E" w:rsidRDefault="007B082B" w:rsidP="00803BB4">
            <w:pPr>
              <w:jc w:val="both"/>
              <w:rPr>
                <w:rFonts w:ascii="Times New Roman" w:hAnsi="Times New Roman" w:cs="Times New Roman"/>
                <w:color w:val="000000"/>
                <w:sz w:val="24"/>
              </w:rPr>
            </w:pPr>
            <w:r w:rsidRPr="00A3389E">
              <w:rPr>
                <w:rFonts w:ascii="Times New Roman" w:hAnsi="Times New Roman" w:cs="Times New Roman"/>
                <w:color w:val="000000"/>
                <w:sz w:val="24"/>
              </w:rPr>
              <w:t>EU e2</w:t>
            </w:r>
          </w:p>
          <w:p w14:paraId="165F5F0A" w14:textId="77777777" w:rsidR="007B082B" w:rsidRPr="00A3389E"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371A624A" w:rsidR="007B082B" w:rsidRPr="00A3389E" w:rsidRDefault="007B082B" w:rsidP="00803BB4">
            <w:pPr>
              <w:autoSpaceDE w:val="0"/>
              <w:autoSpaceDN w:val="0"/>
              <w:adjustRightInd w:val="0"/>
              <w:spacing w:before="60" w:after="120"/>
              <w:jc w:val="both"/>
              <w:rPr>
                <w:rFonts w:ascii="Times New Roman" w:hAnsi="Times New Roman" w:cs="Times New Roman"/>
                <w:b/>
                <w:sz w:val="24"/>
                <w:u w:val="single"/>
              </w:rPr>
            </w:pPr>
            <w:r w:rsidRPr="00A3389E">
              <w:rPr>
                <w:rFonts w:ascii="Times New Roman" w:hAnsi="Times New Roman" w:cs="Times New Roman"/>
                <w:b/>
                <w:sz w:val="24"/>
                <w:u w:val="single"/>
              </w:rPr>
              <w:t>Dodatočná úprava ocenenia na úrovni kategórie – dodatočná úprava ocenenia zohľadňujúca investičné náklady</w:t>
            </w:r>
            <w:r w:rsidR="00A3389E">
              <w:rPr>
                <w:rFonts w:ascii="Times New Roman" w:hAnsi="Times New Roman" w:cs="Times New Roman"/>
                <w:b/>
                <w:sz w:val="24"/>
                <w:u w:val="single"/>
              </w:rPr>
              <w:t xml:space="preserve"> a </w:t>
            </w:r>
            <w:r w:rsidRPr="00A3389E">
              <w:rPr>
                <w:rFonts w:ascii="Times New Roman" w:hAnsi="Times New Roman" w:cs="Times New Roman"/>
                <w:b/>
                <w:sz w:val="24"/>
                <w:u w:val="single"/>
              </w:rPr>
              <w:t>náklady na financovanie</w:t>
            </w:r>
          </w:p>
          <w:p w14:paraId="685CA47C" w14:textId="77777777" w:rsidR="007B082B" w:rsidRPr="00A3389E" w:rsidRDefault="007B082B" w:rsidP="00803BB4">
            <w:pPr>
              <w:spacing w:beforeLines="60" w:before="144" w:afterLines="60" w:after="144"/>
              <w:rPr>
                <w:rFonts w:ascii="Times New Roman" w:hAnsi="Times New Roman" w:cs="Times New Roman"/>
                <w:caps/>
                <w:sz w:val="24"/>
                <w:u w:val="single"/>
              </w:rPr>
            </w:pPr>
            <w:r w:rsidRPr="00A3389E">
              <w:rPr>
                <w:rFonts w:ascii="Times New Roman" w:hAnsi="Times New Roman" w:cs="Times New Roman"/>
                <w:sz w:val="24"/>
              </w:rPr>
              <w:t>Článok 105 ods. 10 CRR, článok 13 delegovaného nariadenia Komisie (EÚ) 2016/101.</w:t>
            </w:r>
          </w:p>
          <w:p w14:paraId="451F1A0A" w14:textId="60C43854" w:rsidR="007B082B" w:rsidRPr="00A3389E" w:rsidRDefault="007B082B" w:rsidP="00803BB4">
            <w:pPr>
              <w:spacing w:beforeLines="60" w:before="144" w:afterLines="60" w:after="144"/>
              <w:jc w:val="both"/>
              <w:rPr>
                <w:rFonts w:ascii="Times New Roman" w:hAnsi="Times New Roman" w:cs="Times New Roman"/>
                <w:b/>
                <w:sz w:val="24"/>
                <w:u w:val="single"/>
              </w:rPr>
            </w:pPr>
            <w:r w:rsidRPr="00A3389E">
              <w:rPr>
                <w:rFonts w:ascii="Times New Roman" w:hAnsi="Times New Roman" w:cs="Times New Roman"/>
                <w:sz w:val="24"/>
              </w:rPr>
              <w:t>Celková dodatočná úprava ocenenia pre investičné náklady</w:t>
            </w:r>
            <w:r w:rsidR="00A3389E">
              <w:rPr>
                <w:rFonts w:ascii="Times New Roman" w:hAnsi="Times New Roman" w:cs="Times New Roman"/>
                <w:sz w:val="24"/>
              </w:rPr>
              <w:t xml:space="preserve"> a </w:t>
            </w:r>
            <w:r w:rsidRPr="00A3389E">
              <w:rPr>
                <w:rFonts w:ascii="Times New Roman" w:hAnsi="Times New Roman" w:cs="Times New Roman"/>
                <w:sz w:val="24"/>
              </w:rPr>
              <w:t>náklady na financovanie</w:t>
            </w:r>
            <w:r w:rsidR="00A3389E">
              <w:rPr>
                <w:rFonts w:ascii="Times New Roman" w:hAnsi="Times New Roman" w:cs="Times New Roman"/>
                <w:sz w:val="24"/>
              </w:rPr>
              <w:t xml:space="preserve"> a </w:t>
            </w:r>
            <w:r w:rsidRPr="00A3389E">
              <w:rPr>
                <w:rFonts w:ascii="Times New Roman" w:hAnsi="Times New Roman" w:cs="Times New Roman"/>
                <w:sz w:val="24"/>
              </w:rPr>
              <w:t xml:space="preserve">jej rozdelenie medzi dodatočné úpravy ocenenia zohľadňujúce neistotu trhovej ceny, náklady na zatvorenie pozícií alebo riziko modelov sa </w:t>
            </w:r>
            <w:r w:rsidRPr="00A3389E">
              <w:rPr>
                <w:rFonts w:ascii="Times New Roman" w:hAnsi="Times New Roman" w:cs="Times New Roman"/>
                <w:sz w:val="24"/>
              </w:rPr>
              <w:lastRenderedPageBreak/>
              <w:t>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13 delegovaného nariadenia Komisie (EÚ) 2016/101.</w:t>
            </w:r>
          </w:p>
        </w:tc>
      </w:tr>
      <w:tr w:rsidR="007B082B" w:rsidRPr="00A3389E"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A3389E" w:rsidRDefault="007B082B" w:rsidP="00803BB4">
            <w:pPr>
              <w:jc w:val="both"/>
              <w:rPr>
                <w:rFonts w:ascii="Times New Roman" w:hAnsi="Times New Roman" w:cs="Times New Roman"/>
                <w:color w:val="000000"/>
                <w:sz w:val="24"/>
              </w:rPr>
            </w:pPr>
            <w:r w:rsidRPr="00A3389E">
              <w:rPr>
                <w:rFonts w:ascii="Times New Roman" w:hAnsi="Times New Roman" w:cs="Times New Roman"/>
                <w:color w:val="000000"/>
                <w:sz w:val="24"/>
              </w:rPr>
              <w:lastRenderedPageBreak/>
              <w:t>f</w:t>
            </w:r>
          </w:p>
          <w:p w14:paraId="6A3F70B0" w14:textId="77777777" w:rsidR="007B082B" w:rsidRPr="00A3389E"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A3389E" w:rsidRDefault="007B082B" w:rsidP="00803BB4">
            <w:pPr>
              <w:autoSpaceDE w:val="0"/>
              <w:autoSpaceDN w:val="0"/>
              <w:adjustRightInd w:val="0"/>
              <w:spacing w:before="60" w:after="120"/>
              <w:jc w:val="both"/>
              <w:rPr>
                <w:rFonts w:ascii="Times New Roman" w:hAnsi="Times New Roman" w:cs="Times New Roman"/>
                <w:b/>
                <w:sz w:val="24"/>
                <w:u w:val="single"/>
              </w:rPr>
            </w:pPr>
            <w:r w:rsidRPr="00A3389E">
              <w:rPr>
                <w:rFonts w:ascii="Times New Roman" w:hAnsi="Times New Roman" w:cs="Times New Roman"/>
                <w:b/>
                <w:sz w:val="24"/>
                <w:u w:val="single"/>
              </w:rPr>
              <w:t>Celková hodnota na úrovni kategórie po diverzifikácii</w:t>
            </w:r>
          </w:p>
          <w:p w14:paraId="1DE91740" w14:textId="1C5F7E31" w:rsidR="007B082B" w:rsidRPr="00A3389E" w:rsidRDefault="007B082B" w:rsidP="00803BB4">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V prípade portfólií, na ktoré sa vzťahuje základný postup stanovený</w:t>
            </w:r>
            <w:r w:rsidR="00A3389E">
              <w:rPr>
                <w:rFonts w:ascii="Times New Roman" w:hAnsi="Times New Roman" w:cs="Times New Roman"/>
                <w:sz w:val="24"/>
              </w:rPr>
              <w:t xml:space="preserve"> v </w:t>
            </w:r>
            <w:r w:rsidRPr="00A3389E">
              <w:rPr>
                <w:rFonts w:ascii="Times New Roman" w:hAnsi="Times New Roman" w:cs="Times New Roman"/>
                <w:sz w:val="24"/>
              </w:rPr>
              <w:t>kapitole III delegovaného nariadenia Komisie (EÚ) 2016/101, celková hodnota na úrovni kategórie po diverzifikácii zahŕňa celkové dodatočné úpravy ocenenia vypočítané</w:t>
            </w:r>
            <w:r w:rsidR="00A3389E">
              <w:rPr>
                <w:rFonts w:ascii="Times New Roman" w:hAnsi="Times New Roman" w:cs="Times New Roman"/>
                <w:sz w:val="24"/>
              </w:rPr>
              <w:t xml:space="preserve"> v </w:t>
            </w:r>
            <w:r w:rsidRPr="00A3389E">
              <w:rPr>
                <w:rFonts w:ascii="Times New Roman" w:hAnsi="Times New Roman" w:cs="Times New Roman"/>
                <w:sz w:val="24"/>
              </w:rPr>
              <w:t>súlade so základným postupom pre reálnou hodnotou ocenené aktíva</w:t>
            </w:r>
            <w:r w:rsidR="00A3389E">
              <w:rPr>
                <w:rFonts w:ascii="Times New Roman" w:hAnsi="Times New Roman" w:cs="Times New Roman"/>
                <w:sz w:val="24"/>
              </w:rPr>
              <w:t xml:space="preserve"> a </w:t>
            </w:r>
            <w:r w:rsidRPr="00A3389E">
              <w:rPr>
                <w:rFonts w:ascii="Times New Roman" w:hAnsi="Times New Roman" w:cs="Times New Roman"/>
                <w:sz w:val="24"/>
              </w:rPr>
              <w:t>záväzky zahrnuté do výpočtu prahovej hodnoty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 ods. 1 delegovaného nariadenia Komisie (EÚ) 2016/101. Zahŕňa to výhody diverzifikácie vymedzené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 ods. 6, článkom 10 ods. 7</w:t>
            </w:r>
            <w:r w:rsidR="00A3389E">
              <w:rPr>
                <w:rFonts w:ascii="Times New Roman" w:hAnsi="Times New Roman" w:cs="Times New Roman"/>
                <w:sz w:val="24"/>
              </w:rPr>
              <w:t xml:space="preserve"> a </w:t>
            </w:r>
            <w:r w:rsidRPr="00A3389E">
              <w:rPr>
                <w:rFonts w:ascii="Times New Roman" w:hAnsi="Times New Roman" w:cs="Times New Roman"/>
                <w:sz w:val="24"/>
              </w:rPr>
              <w:t>článkom 11 ods. 7 delegovaného nariadenia Komisie (EÚ) 2016/101.</w:t>
            </w:r>
          </w:p>
          <w:p w14:paraId="122DB025" w14:textId="05D47E46" w:rsidR="007B082B" w:rsidRPr="00A3389E" w:rsidRDefault="007B082B" w:rsidP="00803BB4">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Celková dodatočná úprava ocenenia</w:t>
            </w:r>
            <w:r w:rsidR="00A3389E">
              <w:rPr>
                <w:rFonts w:ascii="Times New Roman" w:hAnsi="Times New Roman" w:cs="Times New Roman"/>
                <w:sz w:val="24"/>
              </w:rPr>
              <w:t xml:space="preserve"> v </w:t>
            </w:r>
            <w:r w:rsidRPr="00A3389E">
              <w:rPr>
                <w:rFonts w:ascii="Times New Roman" w:hAnsi="Times New Roman" w:cs="Times New Roman"/>
                <w:sz w:val="24"/>
              </w:rPr>
              <w:t>riadku 12 stĺpci f) tohto vzoru zahŕňa hodnoty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7 ods. 2 písm. b) bodmi i) až iii) delegovaného nariadenia (EÚ) 2016/101 pre portfóliá, na ktoré sa vzťahuje rezervný prístup, ak nejaké existujú.</w:t>
            </w:r>
          </w:p>
          <w:p w14:paraId="7DCB3043" w14:textId="23054C19" w:rsidR="007B082B" w:rsidRPr="00A3389E" w:rsidRDefault="007B082B" w:rsidP="00803BB4">
            <w:pPr>
              <w:autoSpaceDE w:val="0"/>
              <w:autoSpaceDN w:val="0"/>
              <w:adjustRightInd w:val="0"/>
              <w:spacing w:before="60" w:after="120"/>
              <w:jc w:val="both"/>
              <w:rPr>
                <w:rFonts w:ascii="Times New Roman" w:hAnsi="Times New Roman" w:cs="Times New Roman"/>
                <w:i/>
                <w:sz w:val="24"/>
              </w:rPr>
            </w:pPr>
            <w:r w:rsidRPr="00A3389E">
              <w:rPr>
                <w:rFonts w:ascii="Times New Roman" w:hAnsi="Times New Roman" w:cs="Times New Roman"/>
                <w:sz w:val="24"/>
              </w:rPr>
              <w:t>V prípade portfólií, na ktoré sa vzťahuje zjednodušený prístup stanovený</w:t>
            </w:r>
            <w:r w:rsidR="00A3389E">
              <w:rPr>
                <w:rFonts w:ascii="Times New Roman" w:hAnsi="Times New Roman" w:cs="Times New Roman"/>
                <w:sz w:val="24"/>
              </w:rPr>
              <w:t xml:space="preserve"> v </w:t>
            </w:r>
            <w:r w:rsidRPr="00A3389E">
              <w:rPr>
                <w:rFonts w:ascii="Times New Roman" w:hAnsi="Times New Roman" w:cs="Times New Roman"/>
                <w:sz w:val="24"/>
              </w:rPr>
              <w:t>kapitole II delegovaného nariadenia (EÚ) 2016/101</w:t>
            </w:r>
            <w:r w:rsidR="00A3389E">
              <w:rPr>
                <w:rFonts w:ascii="Times New Roman" w:hAnsi="Times New Roman" w:cs="Times New Roman"/>
                <w:sz w:val="24"/>
              </w:rPr>
              <w:t xml:space="preserve"> o </w:t>
            </w:r>
            <w:r w:rsidRPr="00A3389E">
              <w:rPr>
                <w:rFonts w:ascii="Times New Roman" w:hAnsi="Times New Roman" w:cs="Times New Roman"/>
                <w:sz w:val="24"/>
              </w:rPr>
              <w:t>obozretnom oceňovaní, celková dodatočná úprava ocenenia zahrnutá</w:t>
            </w:r>
            <w:r w:rsidR="00A3389E">
              <w:rPr>
                <w:rFonts w:ascii="Times New Roman" w:hAnsi="Times New Roman" w:cs="Times New Roman"/>
                <w:sz w:val="24"/>
              </w:rPr>
              <w:t xml:space="preserve"> v </w:t>
            </w:r>
            <w:r w:rsidRPr="00A3389E">
              <w:rPr>
                <w:rFonts w:ascii="Times New Roman" w:hAnsi="Times New Roman" w:cs="Times New Roman"/>
                <w:sz w:val="24"/>
              </w:rPr>
              <w:t>riadku 12 tohto vzoru predstavuje sumu vypočítanú</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5 tejto kapitoly.</w:t>
            </w:r>
          </w:p>
        </w:tc>
      </w:tr>
      <w:tr w:rsidR="007B082B" w:rsidRPr="00A3389E"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01B602CD" w:rsidR="007B082B" w:rsidRPr="00A3389E" w:rsidRDefault="007B082B" w:rsidP="00803BB4">
            <w:pPr>
              <w:autoSpaceDE w:val="0"/>
              <w:autoSpaceDN w:val="0"/>
              <w:adjustRightInd w:val="0"/>
              <w:spacing w:before="60" w:after="120"/>
              <w:jc w:val="both"/>
              <w:rPr>
                <w:rFonts w:ascii="Times New Roman" w:hAnsi="Times New Roman" w:cs="Times New Roman"/>
                <w:b/>
                <w:sz w:val="24"/>
                <w:u w:val="single"/>
              </w:rPr>
            </w:pPr>
            <w:r w:rsidRPr="00A3389E">
              <w:rPr>
                <w:rFonts w:ascii="Times New Roman" w:hAnsi="Times New Roman" w:cs="Times New Roman"/>
                <w:b/>
                <w:sz w:val="24"/>
                <w:u w:val="single"/>
              </w:rPr>
              <w:t>Z čoho: základný postup</w:t>
            </w:r>
            <w:r w:rsidR="00A3389E">
              <w:rPr>
                <w:rFonts w:ascii="Times New Roman" w:hAnsi="Times New Roman" w:cs="Times New Roman"/>
                <w:b/>
                <w:sz w:val="24"/>
                <w:u w:val="single"/>
              </w:rPr>
              <w:t xml:space="preserve"> v </w:t>
            </w:r>
            <w:r w:rsidRPr="00A3389E">
              <w:rPr>
                <w:rFonts w:ascii="Times New Roman" w:hAnsi="Times New Roman" w:cs="Times New Roman"/>
                <w:b/>
                <w:sz w:val="24"/>
                <w:u w:val="single"/>
              </w:rPr>
              <w:t>obchodnej knihe spolu</w:t>
            </w:r>
          </w:p>
          <w:p w14:paraId="4875FD07" w14:textId="358850E1" w:rsidR="00A3389E" w:rsidRPr="00A3389E" w:rsidRDefault="007B082B" w:rsidP="00803BB4">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Pri každej relevantnej kategórii dodatočných úprav ocenenia, pre portfóliá, na ktoré sa vzťahuje základný postup stanovený</w:t>
            </w:r>
            <w:r w:rsidR="00A3389E">
              <w:rPr>
                <w:rFonts w:ascii="Times New Roman" w:hAnsi="Times New Roman" w:cs="Times New Roman"/>
                <w:sz w:val="24"/>
              </w:rPr>
              <w:t xml:space="preserve"> v </w:t>
            </w:r>
            <w:r w:rsidRPr="00A3389E">
              <w:rPr>
                <w:rFonts w:ascii="Times New Roman" w:hAnsi="Times New Roman" w:cs="Times New Roman"/>
                <w:sz w:val="24"/>
              </w:rPr>
              <w:t>kapitole III delegovaného nariadenia Komisie (EÚ) 2016/101, podiel dodatočných úprav ocenenia vyplývajúcich</w:t>
            </w:r>
            <w:r w:rsidR="00A3389E">
              <w:rPr>
                <w:rFonts w:ascii="Times New Roman" w:hAnsi="Times New Roman" w:cs="Times New Roman"/>
                <w:sz w:val="24"/>
              </w:rPr>
              <w:t xml:space="preserve"> z </w:t>
            </w:r>
            <w:r w:rsidRPr="00A3389E">
              <w:rPr>
                <w:rFonts w:ascii="Times New Roman" w:hAnsi="Times New Roman" w:cs="Times New Roman"/>
                <w:sz w:val="24"/>
              </w:rPr>
              <w:t>pozícií držaných</w:t>
            </w:r>
            <w:r w:rsidR="00A3389E">
              <w:rPr>
                <w:rFonts w:ascii="Times New Roman" w:hAnsi="Times New Roman" w:cs="Times New Roman"/>
                <w:sz w:val="24"/>
              </w:rPr>
              <w:t xml:space="preserve"> v </w:t>
            </w:r>
            <w:r w:rsidRPr="00A3389E">
              <w:rPr>
                <w:rFonts w:ascii="Times New Roman" w:hAnsi="Times New Roman" w:cs="Times New Roman"/>
                <w:sz w:val="24"/>
              </w:rPr>
              <w:t>„obchodnej knihe“: všetky pozície vo finančných nástrojoch</w:t>
            </w:r>
            <w:r w:rsidR="00A3389E">
              <w:rPr>
                <w:rFonts w:ascii="Times New Roman" w:hAnsi="Times New Roman" w:cs="Times New Roman"/>
                <w:sz w:val="24"/>
              </w:rPr>
              <w:t xml:space="preserve"> a </w:t>
            </w:r>
            <w:r w:rsidRPr="00A3389E">
              <w:rPr>
                <w:rFonts w:ascii="Times New Roman" w:hAnsi="Times New Roman" w:cs="Times New Roman"/>
                <w:sz w:val="24"/>
              </w:rPr>
              <w:t>komoditách, ktoré inštitúcia drží</w:t>
            </w:r>
            <w:r w:rsidR="00A3389E">
              <w:rPr>
                <w:rFonts w:ascii="Times New Roman" w:hAnsi="Times New Roman" w:cs="Times New Roman"/>
                <w:sz w:val="24"/>
              </w:rPr>
              <w:t xml:space="preserve"> s </w:t>
            </w:r>
            <w:r w:rsidRPr="00A3389E">
              <w:rPr>
                <w:rFonts w:ascii="Times New Roman" w:hAnsi="Times New Roman" w:cs="Times New Roman"/>
                <w:sz w:val="24"/>
              </w:rPr>
              <w:t>úmyslom obchodovania alebo</w:t>
            </w:r>
            <w:r w:rsidR="00A3389E">
              <w:rPr>
                <w:rFonts w:ascii="Times New Roman" w:hAnsi="Times New Roman" w:cs="Times New Roman"/>
                <w:sz w:val="24"/>
              </w:rPr>
              <w:t xml:space="preserve"> s </w:t>
            </w:r>
            <w:r w:rsidRPr="00A3389E">
              <w:rPr>
                <w:rFonts w:ascii="Times New Roman" w:hAnsi="Times New Roman" w:cs="Times New Roman"/>
                <w:sz w:val="24"/>
              </w:rPr>
              <w:t>cieľom hedžovať pozície držané</w:t>
            </w:r>
            <w:r w:rsidR="00A3389E">
              <w:rPr>
                <w:rFonts w:ascii="Times New Roman" w:hAnsi="Times New Roman" w:cs="Times New Roman"/>
                <w:sz w:val="24"/>
              </w:rPr>
              <w:t xml:space="preserve"> s </w:t>
            </w:r>
            <w:r w:rsidRPr="00A3389E">
              <w:rPr>
                <w:rFonts w:ascii="Times New Roman" w:hAnsi="Times New Roman" w:cs="Times New Roman"/>
                <w:sz w:val="24"/>
              </w:rPr>
              <w:t>úmyslom obchodovania,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104 CRR</w:t>
            </w:r>
            <w:r w:rsidR="00A3389E" w:rsidRPr="00A3389E">
              <w:rPr>
                <w:rFonts w:ascii="Times New Roman" w:hAnsi="Times New Roman" w:cs="Times New Roman"/>
                <w:sz w:val="24"/>
              </w:rPr>
              <w:t>.</w:t>
            </w:r>
          </w:p>
          <w:p w14:paraId="1D1EF6B8" w14:textId="3C186590" w:rsidR="007B082B" w:rsidRPr="00A3389E" w:rsidRDefault="007B082B" w:rsidP="00803BB4">
            <w:pPr>
              <w:autoSpaceDE w:val="0"/>
              <w:autoSpaceDN w:val="0"/>
              <w:adjustRightInd w:val="0"/>
              <w:spacing w:before="60" w:after="120"/>
              <w:jc w:val="both"/>
              <w:rPr>
                <w:rFonts w:ascii="Times New Roman" w:hAnsi="Times New Roman" w:cs="Times New Roman"/>
                <w:b/>
                <w:sz w:val="24"/>
                <w:u w:val="single"/>
              </w:rPr>
            </w:pPr>
            <w:r w:rsidRPr="00A3389E">
              <w:rPr>
                <w:rFonts w:ascii="Times New Roman" w:hAnsi="Times New Roman" w:cs="Times New Roman"/>
                <w:sz w:val="24"/>
              </w:rPr>
              <w:t>Zverejňovaná hodnota zahŕňa výhody diverzifikácie vymedzené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 ods. 6, článkom 10 ods. 7</w:t>
            </w:r>
            <w:r w:rsidR="00A3389E">
              <w:rPr>
                <w:rFonts w:ascii="Times New Roman" w:hAnsi="Times New Roman" w:cs="Times New Roman"/>
                <w:sz w:val="24"/>
              </w:rPr>
              <w:t xml:space="preserve"> a </w:t>
            </w:r>
            <w:r w:rsidRPr="00A3389E">
              <w:rPr>
                <w:rFonts w:ascii="Times New Roman" w:hAnsi="Times New Roman" w:cs="Times New Roman"/>
                <w:sz w:val="24"/>
              </w:rPr>
              <w:t>článkom 11 ods. 7 delegovaného nariadenia Komisie (EÚ) 2016/101.</w:t>
            </w:r>
          </w:p>
        </w:tc>
      </w:tr>
      <w:tr w:rsidR="007B082B" w:rsidRPr="00A3389E"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A3389E" w:rsidRDefault="007B082B" w:rsidP="00803BB4">
            <w:pPr>
              <w:autoSpaceDE w:val="0"/>
              <w:autoSpaceDN w:val="0"/>
              <w:adjustRightInd w:val="0"/>
              <w:jc w:val="both"/>
              <w:rPr>
                <w:rFonts w:ascii="Times New Roman" w:hAnsi="Times New Roman" w:cs="Times New Roman"/>
                <w:sz w:val="24"/>
              </w:rPr>
            </w:pPr>
            <w:r w:rsidRPr="00A3389E">
              <w:rPr>
                <w:rFonts w:ascii="Times New Roman" w:hAnsi="Times New Roman" w:cs="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3612FFCD" w:rsidR="007B082B" w:rsidRPr="00A3389E" w:rsidRDefault="007B082B" w:rsidP="00803BB4">
            <w:pPr>
              <w:autoSpaceDE w:val="0"/>
              <w:autoSpaceDN w:val="0"/>
              <w:adjustRightInd w:val="0"/>
              <w:spacing w:before="60" w:after="120"/>
              <w:jc w:val="both"/>
              <w:rPr>
                <w:rFonts w:ascii="Times New Roman" w:hAnsi="Times New Roman" w:cs="Times New Roman"/>
                <w:b/>
                <w:sz w:val="24"/>
                <w:u w:val="single"/>
              </w:rPr>
            </w:pPr>
            <w:r w:rsidRPr="00A3389E">
              <w:rPr>
                <w:rFonts w:ascii="Times New Roman" w:hAnsi="Times New Roman" w:cs="Times New Roman"/>
                <w:b/>
                <w:sz w:val="24"/>
                <w:u w:val="single"/>
              </w:rPr>
              <w:t>Z čoho: základný postup</w:t>
            </w:r>
            <w:r w:rsidR="00A3389E">
              <w:rPr>
                <w:rFonts w:ascii="Times New Roman" w:hAnsi="Times New Roman" w:cs="Times New Roman"/>
                <w:b/>
                <w:sz w:val="24"/>
                <w:u w:val="single"/>
              </w:rPr>
              <w:t xml:space="preserve"> v </w:t>
            </w:r>
            <w:r w:rsidRPr="00A3389E">
              <w:rPr>
                <w:rFonts w:ascii="Times New Roman" w:hAnsi="Times New Roman" w:cs="Times New Roman"/>
                <w:b/>
                <w:sz w:val="24"/>
                <w:u w:val="single"/>
              </w:rPr>
              <w:t>bankovej knihe spolu</w:t>
            </w:r>
          </w:p>
          <w:p w14:paraId="1519006A" w14:textId="207B6303" w:rsidR="007B082B" w:rsidRPr="00A3389E" w:rsidRDefault="007B082B" w:rsidP="00803BB4">
            <w:pPr>
              <w:autoSpaceDE w:val="0"/>
              <w:autoSpaceDN w:val="0"/>
              <w:adjustRightInd w:val="0"/>
              <w:spacing w:before="60" w:after="120"/>
              <w:jc w:val="both"/>
              <w:rPr>
                <w:rFonts w:ascii="Times New Roman" w:hAnsi="Times New Roman" w:cs="Times New Roman"/>
                <w:color w:val="000000"/>
                <w:sz w:val="24"/>
              </w:rPr>
            </w:pPr>
            <w:r w:rsidRPr="00A3389E">
              <w:rPr>
                <w:rFonts w:ascii="Times New Roman" w:hAnsi="Times New Roman" w:cs="Times New Roman"/>
                <w:sz w:val="24"/>
              </w:rPr>
              <w:t>Pri každej relevantnej kategórii dodatočných úprav ocenenia, pre portfóliá, na ktoré sa vzťahuje základný postup stanovený</w:t>
            </w:r>
            <w:r w:rsidR="00A3389E">
              <w:rPr>
                <w:rFonts w:ascii="Times New Roman" w:hAnsi="Times New Roman" w:cs="Times New Roman"/>
                <w:sz w:val="24"/>
              </w:rPr>
              <w:t xml:space="preserve"> v </w:t>
            </w:r>
            <w:r w:rsidRPr="00A3389E">
              <w:rPr>
                <w:rFonts w:ascii="Times New Roman" w:hAnsi="Times New Roman" w:cs="Times New Roman"/>
                <w:sz w:val="24"/>
              </w:rPr>
              <w:t>kapitole III delegovaného nariadenia Komisie (EÚ) 2016/101, podiel dodatočných úprav ocenenia vyplývajúcich</w:t>
            </w:r>
            <w:r w:rsidR="00A3389E">
              <w:rPr>
                <w:rFonts w:ascii="Times New Roman" w:hAnsi="Times New Roman" w:cs="Times New Roman"/>
                <w:sz w:val="24"/>
              </w:rPr>
              <w:t xml:space="preserve"> z </w:t>
            </w:r>
            <w:r w:rsidRPr="00A3389E">
              <w:rPr>
                <w:rFonts w:ascii="Times New Roman" w:hAnsi="Times New Roman" w:cs="Times New Roman"/>
                <w:color w:val="000000"/>
                <w:sz w:val="24"/>
              </w:rPr>
              <w:t>reálnou hodnotou ocenených pozícií</w:t>
            </w:r>
            <w:r w:rsidRPr="00A3389E">
              <w:rPr>
                <w:rFonts w:ascii="Times New Roman" w:hAnsi="Times New Roman" w:cs="Times New Roman"/>
                <w:sz w:val="24"/>
              </w:rPr>
              <w:t xml:space="preserve"> vo finančných nástrojoch</w:t>
            </w:r>
            <w:r w:rsidR="00A3389E">
              <w:rPr>
                <w:rFonts w:ascii="Times New Roman" w:hAnsi="Times New Roman" w:cs="Times New Roman"/>
                <w:sz w:val="24"/>
              </w:rPr>
              <w:t xml:space="preserve"> a </w:t>
            </w:r>
            <w:r w:rsidRPr="00A3389E">
              <w:rPr>
                <w:rFonts w:ascii="Times New Roman" w:hAnsi="Times New Roman" w:cs="Times New Roman"/>
                <w:sz w:val="24"/>
              </w:rPr>
              <w:t xml:space="preserve">komoditách </w:t>
            </w:r>
            <w:r w:rsidRPr="00A3389E">
              <w:rPr>
                <w:rFonts w:ascii="Times New Roman" w:hAnsi="Times New Roman" w:cs="Times New Roman"/>
                <w:color w:val="000000"/>
                <w:sz w:val="24"/>
              </w:rPr>
              <w:t>nedržaných</w:t>
            </w:r>
            <w:r w:rsidR="00A3389E">
              <w:rPr>
                <w:rFonts w:ascii="Times New Roman" w:hAnsi="Times New Roman" w:cs="Times New Roman"/>
                <w:color w:val="000000"/>
                <w:sz w:val="24"/>
              </w:rPr>
              <w:t xml:space="preserve"> v </w:t>
            </w:r>
            <w:r w:rsidRPr="00A3389E">
              <w:rPr>
                <w:rFonts w:ascii="Times New Roman" w:hAnsi="Times New Roman" w:cs="Times New Roman"/>
                <w:color w:val="000000"/>
                <w:sz w:val="24"/>
              </w:rPr>
              <w:t>obchodnej knihe</w:t>
            </w:r>
            <w:r w:rsidRPr="00A3389E">
              <w:rPr>
                <w:rFonts w:ascii="Times New Roman" w:hAnsi="Times New Roman" w:cs="Times New Roman"/>
                <w:sz w:val="24"/>
              </w:rPr>
              <w:t>.</w:t>
            </w:r>
          </w:p>
          <w:p w14:paraId="7B318C51" w14:textId="5D421EC5" w:rsidR="007B082B" w:rsidRPr="00A3389E" w:rsidRDefault="007B082B" w:rsidP="00803BB4">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Zverejňovaná hodnota zahŕňa výhody diverzifikácie určené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 ods. 6, článkom 10 ods. 7</w:t>
            </w:r>
            <w:r w:rsidR="00A3389E">
              <w:rPr>
                <w:rFonts w:ascii="Times New Roman" w:hAnsi="Times New Roman" w:cs="Times New Roman"/>
                <w:sz w:val="24"/>
              </w:rPr>
              <w:t xml:space="preserve"> a </w:t>
            </w:r>
            <w:r w:rsidRPr="00A3389E">
              <w:rPr>
                <w:rFonts w:ascii="Times New Roman" w:hAnsi="Times New Roman" w:cs="Times New Roman"/>
                <w:sz w:val="24"/>
              </w:rPr>
              <w:t>článkom 11 ods. 7 delegovaného nariadenia Komisie (EÚ) 2016/101.</w:t>
            </w:r>
          </w:p>
        </w:tc>
      </w:tr>
    </w:tbl>
    <w:p w14:paraId="6D06FFE9" w14:textId="77777777" w:rsidR="007B082B" w:rsidRPr="00A3389E" w:rsidRDefault="007B082B" w:rsidP="007B082B">
      <w:pPr>
        <w:rPr>
          <w:rFonts w:ascii="Times New Roman" w:hAnsi="Times New Roman" w:cs="Times New Roman"/>
          <w:sz w:val="24"/>
        </w:rPr>
      </w:pPr>
    </w:p>
    <w:p w14:paraId="23FA3133" w14:textId="77777777" w:rsidR="007A7DC0" w:rsidRPr="00A3389E" w:rsidRDefault="00CE019E" w:rsidP="007B082B">
      <w:pPr>
        <w:rPr>
          <w:rFonts w:ascii="Times New Roman" w:hAnsi="Times New Roman" w:cs="Times New Roman"/>
          <w:sz w:val="24"/>
        </w:rPr>
        <w:sectPr w:rsidR="007A7DC0" w:rsidRPr="00A3389E" w:rsidSect="00155C96">
          <w:pgSz w:w="11900" w:h="16840"/>
          <w:pgMar w:top="2268" w:right="1418" w:bottom="1134" w:left="1701" w:header="709" w:footer="709" w:gutter="0"/>
          <w:pgNumType w:start="1" w:chapStyle="1"/>
          <w:cols w:space="708"/>
          <w:docGrid w:linePitch="299"/>
        </w:sectPr>
      </w:pPr>
      <w:r w:rsidRPr="00A3389E">
        <w:rPr>
          <w:rFonts w:ascii="Times New Roman" w:hAnsi="Times New Roman" w:cs="Times New Roman"/>
        </w:rPr>
        <w:br w:type="page"/>
      </w:r>
    </w:p>
    <w:p w14:paraId="78ED1D07" w14:textId="3B6B71D1" w:rsidR="007B082B" w:rsidRPr="00A3389E" w:rsidRDefault="007B082B" w:rsidP="007B082B">
      <w:pPr>
        <w:rPr>
          <w:rFonts w:ascii="Times New Roman" w:hAnsi="Times New Roman" w:cs="Times New Roman"/>
          <w:sz w:val="24"/>
        </w:rPr>
      </w:pPr>
    </w:p>
    <w:p w14:paraId="6289374B" w14:textId="4E9C5692" w:rsidR="00CE019E" w:rsidRPr="00A3389E" w:rsidRDefault="00CE019E" w:rsidP="00CE019E">
      <w:pPr>
        <w:pStyle w:val="Annexetitre"/>
      </w:pPr>
      <w:r w:rsidRPr="00A3389E">
        <w:t>PRÍLOHA VIII – Pokyny pre vzory na zverejňovanie informácií</w:t>
      </w:r>
      <w:r w:rsidR="00A3389E">
        <w:t xml:space="preserve"> o </w:t>
      </w:r>
      <w:r w:rsidRPr="00A3389E">
        <w:t>vlastných zdrojoch</w:t>
      </w:r>
    </w:p>
    <w:p w14:paraId="451B2A96" w14:textId="77777777" w:rsidR="00CE019E" w:rsidRPr="00A3389E" w:rsidRDefault="00CE019E" w:rsidP="00CE019E">
      <w:pPr>
        <w:rPr>
          <w:rFonts w:ascii="Times New Roman" w:hAnsi="Times New Roman" w:cs="Times New Roman"/>
          <w:sz w:val="24"/>
        </w:rPr>
      </w:pPr>
    </w:p>
    <w:p w14:paraId="3E3D9D60" w14:textId="05E0F9FF" w:rsidR="00CE019E" w:rsidRPr="00A3389E" w:rsidRDefault="00CE019E" w:rsidP="00CE019E">
      <w:pPr>
        <w:rPr>
          <w:rFonts w:ascii="Times New Roman" w:hAnsi="Times New Roman" w:cs="Times New Roman"/>
          <w:b/>
          <w:bCs/>
          <w:sz w:val="24"/>
        </w:rPr>
      </w:pPr>
      <w:r w:rsidRPr="00A3389E">
        <w:rPr>
          <w:rFonts w:ascii="Times New Roman" w:hAnsi="Times New Roman" w:cs="Times New Roman"/>
          <w:b/>
          <w:bCs/>
          <w:sz w:val="24"/>
        </w:rPr>
        <w:t>Vzor EU CC1 – Zloženie regulatórnych vlastných zdrojov</w:t>
      </w:r>
    </w:p>
    <w:p w14:paraId="5CCB4065" w14:textId="77777777" w:rsidR="00CE019E" w:rsidRPr="00A3389E" w:rsidRDefault="00CE019E" w:rsidP="00CE019E">
      <w:pPr>
        <w:rPr>
          <w:rFonts w:ascii="Times New Roman" w:hAnsi="Times New Roman" w:cs="Times New Roman"/>
          <w:sz w:val="24"/>
        </w:rPr>
      </w:pPr>
    </w:p>
    <w:p w14:paraId="7C723855" w14:textId="5DF4FB38" w:rsidR="00CE019E" w:rsidRPr="00A3389E" w:rsidRDefault="00A3389E" w:rsidP="00A3389E">
      <w:pPr>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1.</w:t>
      </w:r>
      <w:r w:rsidRPr="00A3389E">
        <w:rPr>
          <w:rFonts w:ascii="Times New Roman" w:hAnsi="Times New Roman" w:cs="Times New Roman"/>
          <w:bCs/>
          <w:sz w:val="24"/>
        </w:rPr>
        <w:tab/>
      </w:r>
      <w:r w:rsidR="00CE019E" w:rsidRPr="00A3389E">
        <w:rPr>
          <w:rFonts w:ascii="Times New Roman" w:hAnsi="Times New Roman" w:cs="Times New Roman"/>
          <w:bCs/>
          <w:sz w:val="24"/>
        </w:rPr>
        <w:t>Inštitúcie zverejňujú</w:t>
      </w:r>
      <w:r w:rsidR="00CE019E" w:rsidRPr="00A3389E">
        <w:rPr>
          <w:rFonts w:ascii="Times New Roman" w:hAnsi="Times New Roman" w:cs="Times New Roman"/>
          <w:sz w:val="24"/>
        </w:rPr>
        <w:t xml:space="preserve"> informácie uvedené</w:t>
      </w:r>
      <w:r>
        <w:rPr>
          <w:rFonts w:ascii="Times New Roman" w:hAnsi="Times New Roman" w:cs="Times New Roman"/>
          <w:sz w:val="24"/>
        </w:rPr>
        <w:t xml:space="preserve"> v </w:t>
      </w:r>
      <w:r w:rsidR="00CE019E" w:rsidRPr="00A3389E">
        <w:rPr>
          <w:rFonts w:ascii="Times New Roman" w:hAnsi="Times New Roman" w:cs="Times New Roman"/>
          <w:bCs/>
          <w:sz w:val="24"/>
        </w:rPr>
        <w:t>článku 437 písm. a), d), e)</w:t>
      </w:r>
      <w:r>
        <w:rPr>
          <w:rFonts w:ascii="Times New Roman" w:hAnsi="Times New Roman" w:cs="Times New Roman"/>
          <w:bCs/>
          <w:sz w:val="24"/>
        </w:rPr>
        <w:t xml:space="preserve"> a </w:t>
      </w:r>
      <w:r w:rsidR="00CE019E" w:rsidRPr="00A3389E">
        <w:rPr>
          <w:rFonts w:ascii="Times New Roman" w:hAnsi="Times New Roman" w:cs="Times New Roman"/>
          <w:bCs/>
          <w:sz w:val="24"/>
        </w:rPr>
        <w:t>f)</w:t>
      </w:r>
      <w:r w:rsidR="00CE019E" w:rsidRPr="00A3389E">
        <w:rPr>
          <w:rFonts w:ascii="Times New Roman" w:hAnsi="Times New Roman" w:cs="Times New Roman"/>
          <w:color w:val="000000"/>
          <w:sz w:val="24"/>
        </w:rPr>
        <w:t xml:space="preserve"> nariadenia (EÚ) </w:t>
      </w:r>
      <w:r>
        <w:rPr>
          <w:rFonts w:ascii="Times New Roman" w:hAnsi="Times New Roman" w:cs="Times New Roman"/>
          <w:color w:val="000000"/>
          <w:sz w:val="24"/>
        </w:rPr>
        <w:t>č. </w:t>
      </w:r>
      <w:r w:rsidR="00CE019E" w:rsidRPr="00A3389E">
        <w:rPr>
          <w:rFonts w:ascii="Times New Roman" w:hAnsi="Times New Roman" w:cs="Times New Roman"/>
          <w:color w:val="000000"/>
          <w:sz w:val="24"/>
        </w:rPr>
        <w:t>575/2013</w:t>
      </w:r>
      <w:r w:rsidR="00CE019E" w:rsidRPr="00A3389E">
        <w:rPr>
          <w:rStyle w:val="FootnoteReference"/>
          <w:rFonts w:ascii="Times New Roman" w:hAnsi="Times New Roman" w:cs="Times New Roman"/>
          <w:color w:val="000000"/>
        </w:rPr>
        <w:footnoteReference w:id="14"/>
      </w:r>
      <w:r w:rsidR="00CE019E" w:rsidRPr="00A3389E">
        <w:rPr>
          <w:rFonts w:ascii="Times New Roman" w:hAnsi="Times New Roman" w:cs="Times New Roman"/>
          <w:color w:val="000000"/>
          <w:sz w:val="24"/>
        </w:rPr>
        <w:t xml:space="preserve"> („CRR“)</w:t>
      </w:r>
      <w:r w:rsidR="00CE019E" w:rsidRPr="00A3389E">
        <w:rPr>
          <w:rFonts w:ascii="Times New Roman" w:hAnsi="Times New Roman" w:cs="Times New Roman"/>
          <w:sz w:val="24"/>
        </w:rPr>
        <w:t xml:space="preserve"> podľa </w:t>
      </w:r>
      <w:r w:rsidR="00CE019E" w:rsidRPr="00A3389E">
        <w:rPr>
          <w:rFonts w:ascii="Times New Roman" w:hAnsi="Times New Roman" w:cs="Times New Roman"/>
          <w:bCs/>
          <w:sz w:val="24"/>
        </w:rPr>
        <w:t>pokynov uvedených</w:t>
      </w:r>
      <w:r>
        <w:rPr>
          <w:rFonts w:ascii="Times New Roman" w:hAnsi="Times New Roman" w:cs="Times New Roman"/>
          <w:bCs/>
          <w:sz w:val="24"/>
        </w:rPr>
        <w:t xml:space="preserve"> v </w:t>
      </w:r>
      <w:r w:rsidR="00CE019E" w:rsidRPr="00A3389E">
        <w:rPr>
          <w:rFonts w:ascii="Times New Roman" w:hAnsi="Times New Roman" w:cs="Times New Roman"/>
          <w:bCs/>
          <w:sz w:val="24"/>
        </w:rPr>
        <w:t>tejto prílohe</w:t>
      </w:r>
      <w:r>
        <w:rPr>
          <w:rFonts w:ascii="Times New Roman" w:hAnsi="Times New Roman" w:cs="Times New Roman"/>
          <w:bCs/>
          <w:sz w:val="24"/>
        </w:rPr>
        <w:t xml:space="preserve"> s </w:t>
      </w:r>
      <w:r w:rsidR="00CE019E" w:rsidRPr="00A3389E">
        <w:rPr>
          <w:rFonts w:ascii="Times New Roman" w:hAnsi="Times New Roman" w:cs="Times New Roman"/>
          <w:bCs/>
          <w:sz w:val="24"/>
        </w:rPr>
        <w:t>cieľom vyplniť vzor EU CC1, ktorý je uvedený</w:t>
      </w:r>
      <w:r>
        <w:rPr>
          <w:rFonts w:ascii="Times New Roman" w:hAnsi="Times New Roman" w:cs="Times New Roman"/>
          <w:bCs/>
          <w:sz w:val="24"/>
        </w:rPr>
        <w:t xml:space="preserve"> v </w:t>
      </w:r>
      <w:r w:rsidR="00CE019E" w:rsidRPr="00A3389E">
        <w:rPr>
          <w:rFonts w:ascii="Times New Roman" w:hAnsi="Times New Roman" w:cs="Times New Roman"/>
          <w:bCs/>
          <w:sz w:val="24"/>
        </w:rPr>
        <w:t>prílohe VII</w:t>
      </w:r>
      <w:r>
        <w:rPr>
          <w:rFonts w:ascii="Times New Roman" w:hAnsi="Times New Roman" w:cs="Times New Roman"/>
          <w:bCs/>
          <w:sz w:val="24"/>
        </w:rPr>
        <w:t xml:space="preserve"> k </w:t>
      </w:r>
      <w:r w:rsidR="00CE019E" w:rsidRPr="00A3389E">
        <w:rPr>
          <w:rFonts w:ascii="Times New Roman" w:hAnsi="Times New Roman" w:cs="Times New Roman"/>
          <w:bCs/>
          <w:sz w:val="24"/>
        </w:rPr>
        <w:t>tomuto vykonávaciemu nariadeniu.</w:t>
      </w:r>
    </w:p>
    <w:p w14:paraId="44E80652" w14:textId="4C781AC3" w:rsidR="00CE019E" w:rsidRPr="00A3389E" w:rsidRDefault="00A3389E" w:rsidP="00A3389E">
      <w:pPr>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2.</w:t>
      </w:r>
      <w:r w:rsidRPr="00A3389E">
        <w:rPr>
          <w:rFonts w:ascii="Times New Roman" w:hAnsi="Times New Roman" w:cs="Times New Roman"/>
          <w:bCs/>
          <w:sz w:val="24"/>
        </w:rPr>
        <w:tab/>
      </w:r>
      <w:r w:rsidR="00CE019E" w:rsidRPr="00A3389E">
        <w:rPr>
          <w:rFonts w:ascii="Times New Roman" w:hAnsi="Times New Roman" w:cs="Times New Roman"/>
          <w:bCs/>
          <w:sz w:val="24"/>
        </w:rPr>
        <w:t>Regulačné úpravy na účely vzoru EU CC1 zahŕňajú odpočty od vlastných zdrojov</w:t>
      </w:r>
      <w:r>
        <w:rPr>
          <w:rFonts w:ascii="Times New Roman" w:hAnsi="Times New Roman" w:cs="Times New Roman"/>
          <w:bCs/>
          <w:sz w:val="24"/>
        </w:rPr>
        <w:t xml:space="preserve"> a </w:t>
      </w:r>
      <w:r w:rsidR="00CE019E" w:rsidRPr="00A3389E">
        <w:rPr>
          <w:rFonts w:ascii="Times New Roman" w:hAnsi="Times New Roman" w:cs="Times New Roman"/>
          <w:bCs/>
          <w:sz w:val="24"/>
        </w:rPr>
        <w:t>prudenciálne filtre.</w:t>
      </w:r>
    </w:p>
    <w:p w14:paraId="144751EE" w14:textId="5E5BEBC0" w:rsidR="00CE019E" w:rsidRPr="00A3389E" w:rsidRDefault="00A3389E" w:rsidP="00A3389E">
      <w:pPr>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3.</w:t>
      </w:r>
      <w:r w:rsidRPr="00A3389E">
        <w:rPr>
          <w:rFonts w:ascii="Times New Roman" w:hAnsi="Times New Roman" w:cs="Times New Roman"/>
          <w:bCs/>
          <w:sz w:val="24"/>
        </w:rPr>
        <w:tab/>
      </w:r>
      <w:r w:rsidR="00CE019E" w:rsidRPr="00A3389E">
        <w:rPr>
          <w:rFonts w:ascii="Times New Roman" w:hAnsi="Times New Roman" w:cs="Times New Roman"/>
          <w:bCs/>
          <w:sz w:val="24"/>
        </w:rPr>
        <w:t>Inštitúcie sú povinné vyplniť stĺpec b)</w:t>
      </w:r>
      <w:r w:rsidR="00CE019E" w:rsidRPr="00A3389E">
        <w:rPr>
          <w:rFonts w:ascii="Times New Roman" w:hAnsi="Times New Roman" w:cs="Times New Roman"/>
          <w:sz w:val="24"/>
        </w:rPr>
        <w:t xml:space="preserve"> tohto vzoru, aby </w:t>
      </w:r>
      <w:r w:rsidR="00CE019E" w:rsidRPr="00A3389E">
        <w:rPr>
          <w:rFonts w:ascii="Times New Roman" w:hAnsi="Times New Roman" w:cs="Times New Roman"/>
          <w:bCs/>
          <w:sz w:val="24"/>
        </w:rPr>
        <w:t>uviedli zdroj každého zásadného vstupu, ktorý má krížovo odkazovať na príslušné riadky vzoru EU CC2.</w:t>
      </w:r>
    </w:p>
    <w:p w14:paraId="0F1EDEA5" w14:textId="6652ED19" w:rsidR="00CE019E" w:rsidRPr="00A3389E" w:rsidRDefault="00A3389E" w:rsidP="00A3389E">
      <w:pPr>
        <w:tabs>
          <w:tab w:val="left" w:pos="360"/>
        </w:tabs>
        <w:spacing w:before="120" w:after="120"/>
        <w:ind w:left="360" w:hanging="360"/>
        <w:jc w:val="both"/>
        <w:rPr>
          <w:rFonts w:ascii="Times New Roman" w:hAnsi="Times New Roman" w:cs="Times New Roman"/>
          <w:bCs/>
          <w:sz w:val="24"/>
        </w:rPr>
      </w:pPr>
      <w:r w:rsidRPr="00A3389E">
        <w:rPr>
          <w:rFonts w:ascii="Times New Roman" w:hAnsi="Times New Roman" w:cs="Times New Roman"/>
          <w:bCs/>
          <w:sz w:val="24"/>
        </w:rPr>
        <w:t>4.</w:t>
      </w:r>
      <w:r w:rsidRPr="00A3389E">
        <w:rPr>
          <w:rFonts w:ascii="Times New Roman" w:hAnsi="Times New Roman" w:cs="Times New Roman"/>
          <w:bCs/>
          <w:sz w:val="24"/>
        </w:rPr>
        <w:tab/>
      </w:r>
      <w:r w:rsidR="00CE019E" w:rsidRPr="00A3389E">
        <w:rPr>
          <w:rFonts w:ascii="Times New Roman" w:hAnsi="Times New Roman" w:cs="Times New Roman"/>
          <w:bCs/>
          <w:sz w:val="24"/>
        </w:rPr>
        <w:t>Inštitúcie do opisu sprevádzajúceho daný vzor zahrnú opis všetkých obmedzení uplatňovaných na výpočet vlastných zdrojov</w:t>
      </w:r>
      <w:r>
        <w:rPr>
          <w:rFonts w:ascii="Times New Roman" w:hAnsi="Times New Roman" w:cs="Times New Roman"/>
          <w:bCs/>
          <w:sz w:val="24"/>
        </w:rPr>
        <w:t xml:space="preserve"> v </w:t>
      </w:r>
      <w:r w:rsidR="00CE019E" w:rsidRPr="00A3389E">
        <w:rPr>
          <w:rFonts w:ascii="Times New Roman" w:hAnsi="Times New Roman" w:cs="Times New Roman"/>
          <w:bCs/>
          <w:sz w:val="24"/>
        </w:rPr>
        <w:t>súlade</w:t>
      </w:r>
      <w:r>
        <w:rPr>
          <w:rFonts w:ascii="Times New Roman" w:hAnsi="Times New Roman" w:cs="Times New Roman"/>
          <w:bCs/>
          <w:sz w:val="24"/>
        </w:rPr>
        <w:t xml:space="preserve"> s </w:t>
      </w:r>
      <w:r w:rsidR="00CE019E" w:rsidRPr="00A3389E">
        <w:rPr>
          <w:rFonts w:ascii="Times New Roman" w:hAnsi="Times New Roman" w:cs="Times New Roman"/>
          <w:bCs/>
          <w:sz w:val="24"/>
        </w:rPr>
        <w:t>CRR</w:t>
      </w:r>
      <w:r>
        <w:rPr>
          <w:rFonts w:ascii="Times New Roman" w:hAnsi="Times New Roman" w:cs="Times New Roman"/>
          <w:bCs/>
          <w:sz w:val="24"/>
        </w:rPr>
        <w:t xml:space="preserve"> a </w:t>
      </w:r>
      <w:r w:rsidR="00CE019E" w:rsidRPr="00A3389E">
        <w:rPr>
          <w:rFonts w:ascii="Times New Roman" w:hAnsi="Times New Roman" w:cs="Times New Roman"/>
          <w:bCs/>
          <w:sz w:val="24"/>
        </w:rPr>
        <w:t>nástrojov, prudenciálnych filtrov</w:t>
      </w:r>
      <w:r>
        <w:rPr>
          <w:rFonts w:ascii="Times New Roman" w:hAnsi="Times New Roman" w:cs="Times New Roman"/>
          <w:bCs/>
          <w:sz w:val="24"/>
        </w:rPr>
        <w:t xml:space="preserve"> a </w:t>
      </w:r>
      <w:r w:rsidR="00CE019E" w:rsidRPr="00A3389E">
        <w:rPr>
          <w:rFonts w:ascii="Times New Roman" w:hAnsi="Times New Roman" w:cs="Times New Roman"/>
          <w:bCs/>
          <w:sz w:val="24"/>
        </w:rPr>
        <w:t>odpočtov, na ktoré sa tieto obmedzenia uplatňujú. Zároveň uvedú aj úplné vysvetlenie toho, na akom základe sa vypočítavajú podiely kapitálu, ak sa tieto podiely kapitálu vypočítavajú</w:t>
      </w:r>
      <w:r>
        <w:rPr>
          <w:rFonts w:ascii="Times New Roman" w:hAnsi="Times New Roman" w:cs="Times New Roman"/>
          <w:bCs/>
          <w:sz w:val="24"/>
        </w:rPr>
        <w:t xml:space="preserve"> s </w:t>
      </w:r>
      <w:r w:rsidR="00CE019E" w:rsidRPr="00A3389E">
        <w:rPr>
          <w:rFonts w:ascii="Times New Roman" w:hAnsi="Times New Roman" w:cs="Times New Roman"/>
          <w:bCs/>
          <w:sz w:val="24"/>
        </w:rPr>
        <w:t>použitím prvkov vlastných zdrojov určených na inom základe než na základe stanovenom</w:t>
      </w:r>
      <w:r>
        <w:rPr>
          <w:rFonts w:ascii="Times New Roman" w:hAnsi="Times New Roman" w:cs="Times New Roman"/>
          <w:bCs/>
          <w:sz w:val="24"/>
        </w:rPr>
        <w:t xml:space="preserve"> v </w:t>
      </w:r>
      <w:r w:rsidR="00CE019E" w:rsidRPr="00A3389E">
        <w:rPr>
          <w:rFonts w:ascii="Times New Roman" w:hAnsi="Times New Roman" w:cs="Times New Roman"/>
          <w:bCs/>
          <w:sz w:val="24"/>
        </w:rPr>
        <w:t>CRR.</w:t>
      </w:r>
    </w:p>
    <w:p w14:paraId="2E5028D9" w14:textId="77777777" w:rsidR="00CE019E" w:rsidRPr="00A3389E"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A3389E" w14:paraId="1789179E" w14:textId="77777777" w:rsidTr="001E06A3">
        <w:trPr>
          <w:trHeight w:val="395"/>
        </w:trPr>
        <w:tc>
          <w:tcPr>
            <w:tcW w:w="8414" w:type="dxa"/>
            <w:gridSpan w:val="2"/>
            <w:shd w:val="clear" w:color="auto" w:fill="D9D9D9" w:themeFill="background1" w:themeFillShade="D9"/>
          </w:tcPr>
          <w:p w14:paraId="543BDC8E" w14:textId="4D015832" w:rsidR="00CE019E" w:rsidRPr="00A3389E" w:rsidRDefault="00CE019E" w:rsidP="001E06A3">
            <w:pPr>
              <w:pStyle w:val="TableTitle"/>
              <w:spacing w:before="0" w:after="0"/>
              <w:jc w:val="left"/>
              <w:rPr>
                <w:rFonts w:ascii="Times New Roman" w:hAnsi="Times New Roman"/>
                <w:noProof w:val="0"/>
                <w:sz w:val="24"/>
                <w:szCs w:val="24"/>
              </w:rPr>
            </w:pPr>
            <w:r w:rsidRPr="00A3389E">
              <w:rPr>
                <w:rFonts w:ascii="Times New Roman" w:hAnsi="Times New Roman"/>
                <w:noProof w:val="0"/>
                <w:sz w:val="24"/>
                <w:szCs w:val="24"/>
              </w:rPr>
              <w:t>Odkazy na právne predpisy</w:t>
            </w:r>
            <w:r w:rsidR="00A3389E">
              <w:rPr>
                <w:rFonts w:ascii="Times New Roman" w:hAnsi="Times New Roman"/>
                <w:noProof w:val="0"/>
                <w:sz w:val="24"/>
                <w:szCs w:val="24"/>
              </w:rPr>
              <w:t xml:space="preserve"> a </w:t>
            </w:r>
            <w:r w:rsidRPr="00A3389E">
              <w:rPr>
                <w:rFonts w:ascii="Times New Roman" w:hAnsi="Times New Roman"/>
                <w:noProof w:val="0"/>
                <w:sz w:val="24"/>
                <w:szCs w:val="24"/>
              </w:rPr>
              <w:t>pokyny</w:t>
            </w:r>
          </w:p>
        </w:tc>
      </w:tr>
      <w:tr w:rsidR="00CE019E" w:rsidRPr="00A3389E" w14:paraId="4BB9424E" w14:textId="77777777" w:rsidTr="001E06A3">
        <w:tc>
          <w:tcPr>
            <w:tcW w:w="1172" w:type="dxa"/>
            <w:shd w:val="clear" w:color="auto" w:fill="D9D9D9" w:themeFill="background1" w:themeFillShade="D9"/>
          </w:tcPr>
          <w:p w14:paraId="015BCEAF" w14:textId="77777777" w:rsidR="00CE019E" w:rsidRPr="00A3389E" w:rsidRDefault="00CE019E" w:rsidP="001E06A3">
            <w:pPr>
              <w:rPr>
                <w:rFonts w:ascii="Times New Roman" w:hAnsi="Times New Roman" w:cs="Times New Roman"/>
                <w:b/>
                <w:sz w:val="24"/>
              </w:rPr>
            </w:pPr>
            <w:r w:rsidRPr="00A3389E">
              <w:rPr>
                <w:rFonts w:ascii="Times New Roman" w:hAnsi="Times New Roman" w:cs="Times New Roman"/>
                <w:b/>
                <w:sz w:val="24"/>
              </w:rPr>
              <w:t>Číslo riadku</w:t>
            </w:r>
          </w:p>
        </w:tc>
        <w:tc>
          <w:tcPr>
            <w:tcW w:w="7242" w:type="dxa"/>
            <w:shd w:val="clear" w:color="auto" w:fill="D9D9D9" w:themeFill="background1" w:themeFillShade="D9"/>
          </w:tcPr>
          <w:p w14:paraId="3A14D196" w14:textId="77777777" w:rsidR="00CE019E" w:rsidRPr="00A3389E" w:rsidRDefault="00CE019E" w:rsidP="001E06A3">
            <w:pPr>
              <w:rPr>
                <w:rFonts w:ascii="Times New Roman" w:hAnsi="Times New Roman" w:cs="Times New Roman"/>
                <w:b/>
                <w:sz w:val="24"/>
              </w:rPr>
            </w:pPr>
            <w:r w:rsidRPr="00A3389E">
              <w:rPr>
                <w:rFonts w:ascii="Times New Roman" w:hAnsi="Times New Roman" w:cs="Times New Roman"/>
                <w:b/>
                <w:sz w:val="24"/>
              </w:rPr>
              <w:t>Vysvetlenie</w:t>
            </w:r>
          </w:p>
        </w:tc>
      </w:tr>
      <w:tr w:rsidR="00CE019E" w:rsidRPr="00A3389E" w14:paraId="17C2B6EA" w14:textId="77777777" w:rsidTr="001E06A3">
        <w:tc>
          <w:tcPr>
            <w:tcW w:w="1172" w:type="dxa"/>
            <w:vAlign w:val="center"/>
          </w:tcPr>
          <w:p w14:paraId="1D319556"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1</w:t>
            </w:r>
          </w:p>
        </w:tc>
        <w:tc>
          <w:tcPr>
            <w:tcW w:w="7242" w:type="dxa"/>
          </w:tcPr>
          <w:p w14:paraId="123AC668" w14:textId="1202CDF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Kapitálové nástroje</w:t>
            </w:r>
            <w:r w:rsidR="00A3389E">
              <w:rPr>
                <w:rFonts w:ascii="Times New Roman" w:hAnsi="Times New Roman" w:cs="Times New Roman"/>
                <w:sz w:val="24"/>
              </w:rPr>
              <w:t xml:space="preserve"> a </w:t>
            </w:r>
            <w:r w:rsidRPr="00A3389E">
              <w:rPr>
                <w:rFonts w:ascii="Times New Roman" w:hAnsi="Times New Roman" w:cs="Times New Roman"/>
                <w:sz w:val="24"/>
              </w:rPr>
              <w:t>súvisiace emisné ážiá.</w:t>
            </w:r>
          </w:p>
          <w:p w14:paraId="73DA462A" w14:textId="1B35EA4F"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Kapitálové nástroje</w:t>
            </w:r>
            <w:r w:rsidR="00A3389E">
              <w:rPr>
                <w:rFonts w:ascii="Times New Roman" w:hAnsi="Times New Roman" w:cs="Times New Roman"/>
                <w:sz w:val="24"/>
              </w:rPr>
              <w:t xml:space="preserve"> a </w:t>
            </w:r>
            <w:r w:rsidRPr="00A3389E">
              <w:rPr>
                <w:rFonts w:ascii="Times New Roman" w:hAnsi="Times New Roman" w:cs="Times New Roman"/>
                <w:sz w:val="24"/>
              </w:rPr>
              <w:t>súvisiace emisné ážiá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26 ods. 1 písm. a)</w:t>
            </w:r>
            <w:r w:rsidR="00A3389E">
              <w:rPr>
                <w:rFonts w:ascii="Times New Roman" w:hAnsi="Times New Roman" w:cs="Times New Roman"/>
                <w:sz w:val="24"/>
              </w:rPr>
              <w:t xml:space="preserve"> a </w:t>
            </w:r>
            <w:r w:rsidRPr="00A3389E">
              <w:rPr>
                <w:rFonts w:ascii="Times New Roman" w:hAnsi="Times New Roman" w:cs="Times New Roman"/>
                <w:sz w:val="24"/>
              </w:rPr>
              <w:t>b)</w:t>
            </w:r>
            <w:r w:rsidR="00A3389E">
              <w:rPr>
                <w:rFonts w:ascii="Times New Roman" w:hAnsi="Times New Roman" w:cs="Times New Roman"/>
                <w:sz w:val="24"/>
              </w:rPr>
              <w:t xml:space="preserve"> a </w:t>
            </w:r>
            <w:r w:rsidRPr="00A3389E">
              <w:rPr>
                <w:rFonts w:ascii="Times New Roman" w:hAnsi="Times New Roman" w:cs="Times New Roman"/>
                <w:sz w:val="24"/>
              </w:rPr>
              <w:t>článkami 27, 28</w:t>
            </w:r>
            <w:r w:rsidR="00A3389E">
              <w:rPr>
                <w:rFonts w:ascii="Times New Roman" w:hAnsi="Times New Roman" w:cs="Times New Roman"/>
                <w:sz w:val="24"/>
              </w:rPr>
              <w:t xml:space="preserve"> a </w:t>
            </w:r>
            <w:r w:rsidRPr="00A3389E">
              <w:rPr>
                <w:rFonts w:ascii="Times New Roman" w:hAnsi="Times New Roman" w:cs="Times New Roman"/>
                <w:sz w:val="24"/>
              </w:rPr>
              <w:t>29 CRR</w:t>
            </w:r>
            <w:r w:rsidR="00A3389E">
              <w:rPr>
                <w:rFonts w:ascii="Times New Roman" w:hAnsi="Times New Roman" w:cs="Times New Roman"/>
                <w:sz w:val="24"/>
              </w:rPr>
              <w:t xml:space="preserve"> a </w:t>
            </w:r>
            <w:r w:rsidRPr="00A3389E">
              <w:rPr>
                <w:rFonts w:ascii="Times New Roman" w:hAnsi="Times New Roman" w:cs="Times New Roman"/>
                <w:sz w:val="24"/>
              </w:rPr>
              <w:t>zoznam EBA uvedený</w:t>
            </w:r>
            <w:r w:rsidR="00A3389E">
              <w:rPr>
                <w:rFonts w:ascii="Times New Roman" w:hAnsi="Times New Roman" w:cs="Times New Roman"/>
                <w:sz w:val="24"/>
              </w:rPr>
              <w:t xml:space="preserve"> v </w:t>
            </w:r>
            <w:r w:rsidRPr="00A3389E">
              <w:rPr>
                <w:rFonts w:ascii="Times New Roman" w:hAnsi="Times New Roman" w:cs="Times New Roman"/>
                <w:sz w:val="24"/>
              </w:rPr>
              <w:t>článku 26 ods. 3 CRR, ako aj ich rozčlenenie podľa druhu nástroja.</w:t>
            </w:r>
          </w:p>
        </w:tc>
      </w:tr>
      <w:tr w:rsidR="00CE019E" w:rsidRPr="00A3389E" w14:paraId="7A9BE7B0" w14:textId="77777777" w:rsidTr="001E06A3">
        <w:tc>
          <w:tcPr>
            <w:tcW w:w="1172" w:type="dxa"/>
            <w:vAlign w:val="center"/>
          </w:tcPr>
          <w:p w14:paraId="23EFFA0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2</w:t>
            </w:r>
          </w:p>
        </w:tc>
        <w:tc>
          <w:tcPr>
            <w:tcW w:w="7242" w:type="dxa"/>
            <w:vAlign w:val="center"/>
          </w:tcPr>
          <w:p w14:paraId="4857181C"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Nerozdelené zisky</w:t>
            </w:r>
          </w:p>
          <w:p w14:paraId="5044CDE7" w14:textId="2F01C8B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Nerozdelené zisky pred všetkými regulačnými úpravami</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26 ods. 1 písm. c) CRR (pred zahrnutím akýchkoľvek čistých predbežných ziskov alebo strát).</w:t>
            </w:r>
          </w:p>
        </w:tc>
      </w:tr>
      <w:tr w:rsidR="00CE019E" w:rsidRPr="00A3389E" w14:paraId="6D028952" w14:textId="77777777" w:rsidTr="001E06A3">
        <w:trPr>
          <w:trHeight w:val="980"/>
        </w:trPr>
        <w:tc>
          <w:tcPr>
            <w:tcW w:w="1172" w:type="dxa"/>
            <w:vAlign w:val="center"/>
          </w:tcPr>
          <w:p w14:paraId="4A1443CC"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w:t>
            </w:r>
          </w:p>
        </w:tc>
        <w:tc>
          <w:tcPr>
            <w:tcW w:w="7242" w:type="dxa"/>
            <w:vAlign w:val="center"/>
          </w:tcPr>
          <w:p w14:paraId="0679C281"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Akumulovaný iný komplexný účtovný výsledok (a ostatné rezervy)</w:t>
            </w:r>
          </w:p>
          <w:p w14:paraId="082776BB" w14:textId="13A80DA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Výška akumulovaného iného komplexného účtovného výsledku</w:t>
            </w:r>
            <w:r w:rsidR="00A3389E">
              <w:rPr>
                <w:rFonts w:ascii="Times New Roman" w:hAnsi="Times New Roman" w:cs="Times New Roman"/>
                <w:sz w:val="24"/>
              </w:rPr>
              <w:t xml:space="preserve"> a </w:t>
            </w:r>
            <w:r w:rsidRPr="00A3389E">
              <w:rPr>
                <w:rFonts w:ascii="Times New Roman" w:hAnsi="Times New Roman" w:cs="Times New Roman"/>
                <w:sz w:val="24"/>
              </w:rPr>
              <w:t>ostatných rezerv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26 ods. 1 písm. d)</w:t>
            </w:r>
            <w:r w:rsidR="00A3389E">
              <w:rPr>
                <w:rFonts w:ascii="Times New Roman" w:hAnsi="Times New Roman" w:cs="Times New Roman"/>
                <w:sz w:val="24"/>
              </w:rPr>
              <w:t xml:space="preserve"> a </w:t>
            </w:r>
            <w:r w:rsidRPr="00A3389E">
              <w:rPr>
                <w:rFonts w:ascii="Times New Roman" w:hAnsi="Times New Roman" w:cs="Times New Roman"/>
                <w:sz w:val="24"/>
              </w:rPr>
              <w:t>e) CRR.</w:t>
            </w:r>
          </w:p>
        </w:tc>
      </w:tr>
      <w:tr w:rsidR="00CE019E" w:rsidRPr="00A3389E" w14:paraId="226BD4D5" w14:textId="77777777" w:rsidTr="001E06A3">
        <w:tc>
          <w:tcPr>
            <w:tcW w:w="1172" w:type="dxa"/>
            <w:vAlign w:val="center"/>
          </w:tcPr>
          <w:p w14:paraId="155B0122"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EU-3a</w:t>
            </w:r>
          </w:p>
        </w:tc>
        <w:tc>
          <w:tcPr>
            <w:tcW w:w="7242" w:type="dxa"/>
            <w:vAlign w:val="center"/>
          </w:tcPr>
          <w:p w14:paraId="5F473005"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Fondy pre všeobecné bankové riziká</w:t>
            </w:r>
          </w:p>
          <w:p w14:paraId="490A1246" w14:textId="19A8947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lastRenderedPageBreak/>
              <w:t>Výška fondov pre všeobecné bankové riziká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26 ods. 1 písm. f) CRR.</w:t>
            </w:r>
          </w:p>
        </w:tc>
      </w:tr>
      <w:tr w:rsidR="00CE019E" w:rsidRPr="00A3389E" w14:paraId="18DE53EE" w14:textId="77777777" w:rsidTr="001E06A3">
        <w:tc>
          <w:tcPr>
            <w:tcW w:w="1172" w:type="dxa"/>
            <w:vAlign w:val="center"/>
          </w:tcPr>
          <w:p w14:paraId="1DD0BB35"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4</w:t>
            </w:r>
          </w:p>
        </w:tc>
        <w:tc>
          <w:tcPr>
            <w:tcW w:w="7242" w:type="dxa"/>
            <w:vAlign w:val="center"/>
          </w:tcPr>
          <w:p w14:paraId="6BAAB332" w14:textId="3899F21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kvalifikovaných položiek uvedených</w:t>
            </w:r>
            <w:r w:rsidR="00A3389E">
              <w:rPr>
                <w:rFonts w:ascii="Times New Roman" w:hAnsi="Times New Roman" w:cs="Times New Roman"/>
                <w:sz w:val="24"/>
              </w:rPr>
              <w:t xml:space="preserve"> v </w:t>
            </w:r>
            <w:r w:rsidRPr="00A3389E">
              <w:rPr>
                <w:rFonts w:ascii="Times New Roman" w:hAnsi="Times New Roman" w:cs="Times New Roman"/>
                <w:sz w:val="24"/>
              </w:rPr>
              <w:t>článku 484 ods. 3 CRR</w:t>
            </w:r>
            <w:r w:rsidR="00A3389E">
              <w:rPr>
                <w:rFonts w:ascii="Times New Roman" w:hAnsi="Times New Roman" w:cs="Times New Roman"/>
                <w:sz w:val="24"/>
              </w:rPr>
              <w:t xml:space="preserve"> a </w:t>
            </w:r>
            <w:r w:rsidRPr="00A3389E">
              <w:rPr>
                <w:rFonts w:ascii="Times New Roman" w:hAnsi="Times New Roman" w:cs="Times New Roman"/>
                <w:sz w:val="24"/>
              </w:rPr>
              <w:t>súvisiaceho emisného ážia podliehajúcich postupnému vyraďovaniu</w:t>
            </w:r>
            <w:r w:rsidR="00A3389E">
              <w:rPr>
                <w:rFonts w:ascii="Times New Roman" w:hAnsi="Times New Roman" w:cs="Times New Roman"/>
                <w:sz w:val="24"/>
              </w:rPr>
              <w:t xml:space="preserve"> z </w:t>
            </w:r>
            <w:r w:rsidRPr="00A3389E">
              <w:rPr>
                <w:rFonts w:ascii="Times New Roman" w:hAnsi="Times New Roman" w:cs="Times New Roman"/>
                <w:sz w:val="24"/>
              </w:rPr>
              <w:t>CET1.</w:t>
            </w:r>
          </w:p>
          <w:p w14:paraId="0EA9884B" w14:textId="23F364B0"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kvalifikovaných položiek uvedených</w:t>
            </w:r>
            <w:r w:rsidR="00A3389E">
              <w:rPr>
                <w:rFonts w:ascii="Times New Roman" w:hAnsi="Times New Roman" w:cs="Times New Roman"/>
                <w:sz w:val="24"/>
              </w:rPr>
              <w:t xml:space="preserve"> v </w:t>
            </w:r>
            <w:r w:rsidRPr="00A3389E">
              <w:rPr>
                <w:rFonts w:ascii="Times New Roman" w:hAnsi="Times New Roman" w:cs="Times New Roman"/>
                <w:sz w:val="24"/>
              </w:rPr>
              <w:t>článku 484 ods. 3 CRR</w:t>
            </w:r>
            <w:r w:rsidR="00A3389E">
              <w:rPr>
                <w:rFonts w:ascii="Times New Roman" w:hAnsi="Times New Roman" w:cs="Times New Roman"/>
                <w:sz w:val="24"/>
              </w:rPr>
              <w:t xml:space="preserve"> a </w:t>
            </w:r>
            <w:r w:rsidRPr="00A3389E">
              <w:rPr>
                <w:rFonts w:ascii="Times New Roman" w:hAnsi="Times New Roman" w:cs="Times New Roman"/>
                <w:sz w:val="24"/>
              </w:rPr>
              <w:t>súvisiaceho emisného ážia podliehajúcich postupnému vyraďovaniu</w:t>
            </w:r>
            <w:r w:rsidR="00A3389E">
              <w:rPr>
                <w:rFonts w:ascii="Times New Roman" w:hAnsi="Times New Roman" w:cs="Times New Roman"/>
                <w:sz w:val="24"/>
              </w:rPr>
              <w:t xml:space="preserve"> z </w:t>
            </w:r>
            <w:r w:rsidRPr="00A3389E">
              <w:rPr>
                <w:rFonts w:ascii="Times New Roman" w:hAnsi="Times New Roman" w:cs="Times New Roman"/>
                <w:sz w:val="24"/>
              </w:rPr>
              <w:t>CET1, ako je opísané</w:t>
            </w:r>
            <w:r w:rsidR="00A3389E">
              <w:rPr>
                <w:rFonts w:ascii="Times New Roman" w:hAnsi="Times New Roman" w:cs="Times New Roman"/>
                <w:sz w:val="24"/>
              </w:rPr>
              <w:t xml:space="preserve"> v </w:t>
            </w:r>
            <w:r w:rsidRPr="00A3389E">
              <w:rPr>
                <w:rFonts w:ascii="Times New Roman" w:hAnsi="Times New Roman" w:cs="Times New Roman"/>
                <w:sz w:val="24"/>
              </w:rPr>
              <w:t>článku 486 ods. 2 CRR.</w:t>
            </w:r>
          </w:p>
        </w:tc>
      </w:tr>
      <w:tr w:rsidR="00CE019E" w:rsidRPr="00A3389E" w14:paraId="06F7551F" w14:textId="77777777" w:rsidTr="001E06A3">
        <w:tc>
          <w:tcPr>
            <w:tcW w:w="1172" w:type="dxa"/>
            <w:vAlign w:val="center"/>
          </w:tcPr>
          <w:p w14:paraId="24468B28"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w:t>
            </w:r>
          </w:p>
        </w:tc>
        <w:tc>
          <w:tcPr>
            <w:tcW w:w="7242" w:type="dxa"/>
            <w:vAlign w:val="center"/>
          </w:tcPr>
          <w:p w14:paraId="41555220" w14:textId="6E5A80B1"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Menšinové účasti (hodnota povolená</w:t>
            </w:r>
            <w:r w:rsidR="00A3389E">
              <w:rPr>
                <w:rFonts w:ascii="Times New Roman" w:hAnsi="Times New Roman" w:cs="Times New Roman"/>
                <w:sz w:val="24"/>
              </w:rPr>
              <w:t xml:space="preserve"> v </w:t>
            </w:r>
            <w:r w:rsidRPr="00A3389E">
              <w:rPr>
                <w:rFonts w:ascii="Times New Roman" w:hAnsi="Times New Roman" w:cs="Times New Roman"/>
                <w:sz w:val="24"/>
              </w:rPr>
              <w:t>konsolidovanom CET1)</w:t>
            </w:r>
          </w:p>
          <w:p w14:paraId="013C723E" w14:textId="4A72E5A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Menšinové účasti (povolená hodnota</w:t>
            </w:r>
            <w:r w:rsidR="00A3389E">
              <w:rPr>
                <w:rFonts w:ascii="Times New Roman" w:hAnsi="Times New Roman" w:cs="Times New Roman"/>
                <w:sz w:val="24"/>
              </w:rPr>
              <w:t xml:space="preserve"> v </w:t>
            </w:r>
            <w:r w:rsidRPr="00A3389E">
              <w:rPr>
                <w:rFonts w:ascii="Times New Roman" w:hAnsi="Times New Roman" w:cs="Times New Roman"/>
                <w:sz w:val="24"/>
              </w:rPr>
              <w:t>konsolidovanom CET1) podľa článku 84 CRR.</w:t>
            </w:r>
          </w:p>
        </w:tc>
      </w:tr>
      <w:tr w:rsidR="00CE019E" w:rsidRPr="00A3389E" w14:paraId="740E23DD" w14:textId="77777777" w:rsidTr="001E06A3">
        <w:tc>
          <w:tcPr>
            <w:tcW w:w="1172" w:type="dxa"/>
            <w:vAlign w:val="center"/>
          </w:tcPr>
          <w:p w14:paraId="59893A4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EU-5a</w:t>
            </w:r>
          </w:p>
        </w:tc>
        <w:tc>
          <w:tcPr>
            <w:tcW w:w="7242" w:type="dxa"/>
            <w:vAlign w:val="center"/>
          </w:tcPr>
          <w:p w14:paraId="008D03EF"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Nezávisle preskúmaný predbežný zisk po odpočítaní všetkých predpokladaných platieb alebo dividend.</w:t>
            </w:r>
          </w:p>
          <w:p w14:paraId="3CDC8CB1"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Nezávisle preskúmaný predbežný zisk po odpočítaní všetkých predpokladaných platieb alebo dividend podľa článku 26 ods. 2 CRR.</w:t>
            </w:r>
          </w:p>
        </w:tc>
      </w:tr>
      <w:tr w:rsidR="00CE019E" w:rsidRPr="00A3389E" w14:paraId="13F7A99A" w14:textId="77777777" w:rsidTr="001E06A3">
        <w:tc>
          <w:tcPr>
            <w:tcW w:w="1172" w:type="dxa"/>
            <w:vAlign w:val="center"/>
          </w:tcPr>
          <w:p w14:paraId="5D82B81D"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6</w:t>
            </w:r>
          </w:p>
        </w:tc>
        <w:tc>
          <w:tcPr>
            <w:tcW w:w="7242" w:type="dxa"/>
            <w:vAlign w:val="center"/>
          </w:tcPr>
          <w:p w14:paraId="7ADE20D9"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Vlastný kapitál Tier 1 (CET1) pred regulačnými úpravami</w:t>
            </w:r>
          </w:p>
          <w:p w14:paraId="369F2FC0" w14:textId="63AA333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1 až EU-5a tohto vzoru.</w:t>
            </w:r>
          </w:p>
        </w:tc>
      </w:tr>
      <w:tr w:rsidR="00CE019E" w:rsidRPr="00A3389E" w14:paraId="4162E8B2" w14:textId="77777777" w:rsidTr="001E06A3">
        <w:tc>
          <w:tcPr>
            <w:tcW w:w="1172" w:type="dxa"/>
            <w:vAlign w:val="center"/>
          </w:tcPr>
          <w:p w14:paraId="1F322C0C"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7</w:t>
            </w:r>
          </w:p>
        </w:tc>
        <w:tc>
          <w:tcPr>
            <w:tcW w:w="7242" w:type="dxa"/>
            <w:vAlign w:val="center"/>
          </w:tcPr>
          <w:p w14:paraId="62D09D8D"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Dodatočné úpravy ocenenia (záporná hodnota)</w:t>
            </w:r>
          </w:p>
          <w:p w14:paraId="78391837" w14:textId="4E80C2F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Dodatočné úpravy ocenenia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34</w:t>
            </w:r>
            <w:r w:rsidR="00A3389E">
              <w:rPr>
                <w:rFonts w:ascii="Times New Roman" w:hAnsi="Times New Roman" w:cs="Times New Roman"/>
                <w:sz w:val="24"/>
              </w:rPr>
              <w:t xml:space="preserve"> a </w:t>
            </w:r>
            <w:r w:rsidRPr="00A3389E">
              <w:rPr>
                <w:rFonts w:ascii="Times New Roman" w:hAnsi="Times New Roman" w:cs="Times New Roman"/>
                <w:sz w:val="24"/>
              </w:rPr>
              <w:t>105 CRR (záporná hodnota).</w:t>
            </w:r>
          </w:p>
        </w:tc>
      </w:tr>
      <w:tr w:rsidR="00CE019E" w:rsidRPr="00A3389E" w14:paraId="72C115DA" w14:textId="77777777" w:rsidTr="001E06A3">
        <w:tc>
          <w:tcPr>
            <w:tcW w:w="1172" w:type="dxa"/>
            <w:vAlign w:val="center"/>
          </w:tcPr>
          <w:p w14:paraId="0A85D21A"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8</w:t>
            </w:r>
          </w:p>
        </w:tc>
        <w:tc>
          <w:tcPr>
            <w:tcW w:w="7242" w:type="dxa"/>
            <w:vAlign w:val="center"/>
          </w:tcPr>
          <w:p w14:paraId="4AD9F654" w14:textId="77777777" w:rsidR="00CE019E" w:rsidRPr="00A60806" w:rsidRDefault="00CE019E" w:rsidP="001E06A3">
            <w:pPr>
              <w:spacing w:after="200"/>
              <w:jc w:val="both"/>
              <w:rPr>
                <w:rFonts w:ascii="Times New Roman" w:hAnsi="Times New Roman" w:cs="Times New Roman"/>
                <w:spacing w:val="-10"/>
                <w:sz w:val="24"/>
              </w:rPr>
            </w:pPr>
            <w:r w:rsidRPr="00A60806">
              <w:rPr>
                <w:rFonts w:ascii="Times New Roman" w:hAnsi="Times New Roman" w:cs="Times New Roman"/>
                <w:spacing w:val="-10"/>
                <w:sz w:val="24"/>
              </w:rPr>
              <w:t>Nehmotné aktíva (po odpočítaní súvisiaceho daňového záväzku) (záporná hodnota)</w:t>
            </w:r>
          </w:p>
          <w:p w14:paraId="26CBC7EA" w14:textId="73665CDF"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Nehmotné aktíva (po odpočítaní súvisiaceho daňového záväzku)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b)</w:t>
            </w:r>
            <w:r w:rsidR="00A3389E">
              <w:rPr>
                <w:rFonts w:ascii="Times New Roman" w:hAnsi="Times New Roman" w:cs="Times New Roman"/>
                <w:sz w:val="24"/>
              </w:rPr>
              <w:t xml:space="preserve"> a </w:t>
            </w:r>
            <w:r w:rsidRPr="00A3389E">
              <w:rPr>
                <w:rFonts w:ascii="Times New Roman" w:hAnsi="Times New Roman" w:cs="Times New Roman"/>
                <w:sz w:val="24"/>
              </w:rPr>
              <w:t>článkom 37 CRR (záporná hodnota).</w:t>
            </w:r>
          </w:p>
        </w:tc>
      </w:tr>
      <w:tr w:rsidR="00CE019E" w:rsidRPr="00A3389E" w14:paraId="1398EA35" w14:textId="77777777" w:rsidTr="001E06A3">
        <w:tc>
          <w:tcPr>
            <w:tcW w:w="1172" w:type="dxa"/>
            <w:vAlign w:val="center"/>
          </w:tcPr>
          <w:p w14:paraId="74702EB9"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 xml:space="preserve">9 </w:t>
            </w:r>
          </w:p>
        </w:tc>
        <w:tc>
          <w:tcPr>
            <w:tcW w:w="7242" w:type="dxa"/>
            <w:vAlign w:val="center"/>
          </w:tcPr>
          <w:p w14:paraId="0EBD6A05"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2CCC1B30" w14:textId="77777777" w:rsidTr="001E06A3">
        <w:tc>
          <w:tcPr>
            <w:tcW w:w="1172" w:type="dxa"/>
            <w:vAlign w:val="center"/>
          </w:tcPr>
          <w:p w14:paraId="6C5DA30E"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10</w:t>
            </w:r>
          </w:p>
        </w:tc>
        <w:tc>
          <w:tcPr>
            <w:tcW w:w="7242" w:type="dxa"/>
            <w:vAlign w:val="center"/>
          </w:tcPr>
          <w:p w14:paraId="5F454BF1" w14:textId="0850D09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Odložené daňové pohľadávky, ktoré počítajú</w:t>
            </w:r>
            <w:r w:rsidR="00A3389E">
              <w:rPr>
                <w:rFonts w:ascii="Times New Roman" w:hAnsi="Times New Roman" w:cs="Times New Roman"/>
                <w:sz w:val="24"/>
              </w:rPr>
              <w:t xml:space="preserve"> s </w:t>
            </w:r>
            <w:r w:rsidRPr="00A3389E">
              <w:rPr>
                <w:rFonts w:ascii="Times New Roman" w:hAnsi="Times New Roman" w:cs="Times New Roman"/>
                <w:sz w:val="24"/>
              </w:rPr>
              <w:t>budúcou ziskovosťou, okrem tých, ktoré vyplývajú</w:t>
            </w:r>
            <w:r w:rsidR="00A3389E">
              <w:rPr>
                <w:rFonts w:ascii="Times New Roman" w:hAnsi="Times New Roman" w:cs="Times New Roman"/>
                <w:sz w:val="24"/>
              </w:rPr>
              <w:t xml:space="preserve"> z </w:t>
            </w:r>
            <w:r w:rsidRPr="00A3389E">
              <w:rPr>
                <w:rFonts w:ascii="Times New Roman" w:hAnsi="Times New Roman" w:cs="Times New Roman"/>
                <w:sz w:val="24"/>
              </w:rPr>
              <w:t>dočasných rozdielov (po odpočítaní súvisiaceho daňového záväzku, ak sú splnené podmienky stanovené</w:t>
            </w:r>
            <w:r w:rsidR="00A3389E">
              <w:rPr>
                <w:rFonts w:ascii="Times New Roman" w:hAnsi="Times New Roman" w:cs="Times New Roman"/>
                <w:sz w:val="24"/>
              </w:rPr>
              <w:t xml:space="preserve"> v </w:t>
            </w:r>
            <w:r w:rsidRPr="00A3389E">
              <w:rPr>
                <w:rFonts w:ascii="Times New Roman" w:hAnsi="Times New Roman" w:cs="Times New Roman"/>
                <w:sz w:val="24"/>
              </w:rPr>
              <w:t>článku 38 ods. 3 CRR) (záporná hodnota).</w:t>
            </w:r>
          </w:p>
          <w:p w14:paraId="007F4022" w14:textId="2DF083D1" w:rsidR="00CE019E" w:rsidRPr="00A60806" w:rsidRDefault="00CE019E" w:rsidP="001E06A3">
            <w:pPr>
              <w:spacing w:after="200"/>
              <w:jc w:val="both"/>
              <w:rPr>
                <w:rFonts w:ascii="Times New Roman" w:hAnsi="Times New Roman" w:cs="Times New Roman"/>
                <w:spacing w:val="-10"/>
                <w:sz w:val="24"/>
              </w:rPr>
            </w:pPr>
            <w:r w:rsidRPr="00A60806">
              <w:rPr>
                <w:rFonts w:ascii="Times New Roman" w:hAnsi="Times New Roman" w:cs="Times New Roman"/>
                <w:spacing w:val="-10"/>
                <w:sz w:val="24"/>
              </w:rPr>
              <w:t>Odložené daňové pohľadávky, ktoré počítajú</w:t>
            </w:r>
            <w:r w:rsidR="00A3389E" w:rsidRPr="00A60806">
              <w:rPr>
                <w:rFonts w:ascii="Times New Roman" w:hAnsi="Times New Roman" w:cs="Times New Roman"/>
                <w:spacing w:val="-10"/>
                <w:sz w:val="24"/>
              </w:rPr>
              <w:t xml:space="preserve"> s </w:t>
            </w:r>
            <w:r w:rsidRPr="00A60806">
              <w:rPr>
                <w:rFonts w:ascii="Times New Roman" w:hAnsi="Times New Roman" w:cs="Times New Roman"/>
                <w:spacing w:val="-10"/>
                <w:sz w:val="24"/>
              </w:rPr>
              <w:t>budúcou ziskovosťou, okrem tých, ktoré vyplývajú</w:t>
            </w:r>
            <w:r w:rsidR="00A3389E" w:rsidRPr="00A60806">
              <w:rPr>
                <w:rFonts w:ascii="Times New Roman" w:hAnsi="Times New Roman" w:cs="Times New Roman"/>
                <w:spacing w:val="-10"/>
                <w:sz w:val="24"/>
              </w:rPr>
              <w:t xml:space="preserve"> z </w:t>
            </w:r>
            <w:r w:rsidRPr="00A60806">
              <w:rPr>
                <w:rFonts w:ascii="Times New Roman" w:hAnsi="Times New Roman" w:cs="Times New Roman"/>
                <w:spacing w:val="-10"/>
                <w:sz w:val="24"/>
              </w:rPr>
              <w:t>dočasných rozdielov (po odpočítaní súvisiaceho daňového záväzku, ak sú splnené podmienky stanovené</w:t>
            </w:r>
            <w:r w:rsidR="00A3389E" w:rsidRPr="00A60806">
              <w:rPr>
                <w:rFonts w:ascii="Times New Roman" w:hAnsi="Times New Roman" w:cs="Times New Roman"/>
                <w:spacing w:val="-10"/>
                <w:sz w:val="24"/>
              </w:rPr>
              <w:t xml:space="preserve"> v </w:t>
            </w:r>
            <w:r w:rsidRPr="00A60806">
              <w:rPr>
                <w:rFonts w:ascii="Times New Roman" w:hAnsi="Times New Roman" w:cs="Times New Roman"/>
                <w:spacing w:val="-10"/>
                <w:sz w:val="24"/>
              </w:rPr>
              <w:t>článku 38 ods. 3 CRR)</w:t>
            </w:r>
            <w:r w:rsidR="00A3389E" w:rsidRPr="00A60806">
              <w:rPr>
                <w:rFonts w:ascii="Times New Roman" w:hAnsi="Times New Roman" w:cs="Times New Roman"/>
                <w:spacing w:val="-10"/>
                <w:sz w:val="24"/>
              </w:rPr>
              <w:t xml:space="preserve"> v </w:t>
            </w:r>
            <w:r w:rsidRPr="00A60806">
              <w:rPr>
                <w:rFonts w:ascii="Times New Roman" w:hAnsi="Times New Roman" w:cs="Times New Roman"/>
                <w:spacing w:val="-10"/>
                <w:sz w:val="24"/>
              </w:rPr>
              <w:t>súlade</w:t>
            </w:r>
            <w:r w:rsidR="00A3389E" w:rsidRPr="00A60806">
              <w:rPr>
                <w:rFonts w:ascii="Times New Roman" w:hAnsi="Times New Roman" w:cs="Times New Roman"/>
                <w:spacing w:val="-10"/>
                <w:sz w:val="24"/>
              </w:rPr>
              <w:t xml:space="preserve"> s </w:t>
            </w:r>
            <w:r w:rsidRPr="00A60806">
              <w:rPr>
                <w:rFonts w:ascii="Times New Roman" w:hAnsi="Times New Roman" w:cs="Times New Roman"/>
                <w:spacing w:val="-10"/>
                <w:sz w:val="24"/>
              </w:rPr>
              <w:t>článkom 36 ods. 1 písm. c)</w:t>
            </w:r>
            <w:r w:rsidR="00A3389E" w:rsidRPr="00A60806">
              <w:rPr>
                <w:rFonts w:ascii="Times New Roman" w:hAnsi="Times New Roman" w:cs="Times New Roman"/>
                <w:spacing w:val="-10"/>
                <w:sz w:val="24"/>
              </w:rPr>
              <w:t xml:space="preserve"> a </w:t>
            </w:r>
            <w:r w:rsidRPr="00A60806">
              <w:rPr>
                <w:rFonts w:ascii="Times New Roman" w:hAnsi="Times New Roman" w:cs="Times New Roman"/>
                <w:spacing w:val="-10"/>
                <w:sz w:val="24"/>
              </w:rPr>
              <w:t>článkom 38 CRR (záporná hodnota).</w:t>
            </w:r>
          </w:p>
        </w:tc>
      </w:tr>
      <w:tr w:rsidR="00CE019E" w:rsidRPr="00A3389E" w14:paraId="7E3137BF" w14:textId="77777777" w:rsidTr="001E06A3">
        <w:tc>
          <w:tcPr>
            <w:tcW w:w="1172" w:type="dxa"/>
            <w:vAlign w:val="center"/>
          </w:tcPr>
          <w:p w14:paraId="2D3BDB2E"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11</w:t>
            </w:r>
          </w:p>
        </w:tc>
        <w:tc>
          <w:tcPr>
            <w:tcW w:w="7242" w:type="dxa"/>
            <w:vAlign w:val="center"/>
          </w:tcPr>
          <w:p w14:paraId="6C543169" w14:textId="2C746C4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Oceňovacie rozdiely vyplývajúce</w:t>
            </w:r>
            <w:r w:rsidR="00A3389E">
              <w:rPr>
                <w:rFonts w:ascii="Times New Roman" w:hAnsi="Times New Roman" w:cs="Times New Roman"/>
                <w:sz w:val="24"/>
              </w:rPr>
              <w:t xml:space="preserve"> z </w:t>
            </w:r>
            <w:r w:rsidRPr="00A3389E">
              <w:rPr>
                <w:rFonts w:ascii="Times New Roman" w:hAnsi="Times New Roman" w:cs="Times New Roman"/>
                <w:sz w:val="24"/>
              </w:rPr>
              <w:t>oceňovania reálnou cenou súvisiace so ziskmi alebo stratami</w:t>
            </w:r>
            <w:r w:rsidR="00A3389E">
              <w:rPr>
                <w:rFonts w:ascii="Times New Roman" w:hAnsi="Times New Roman" w:cs="Times New Roman"/>
                <w:sz w:val="24"/>
              </w:rPr>
              <w:t xml:space="preserve"> z </w:t>
            </w:r>
            <w:r w:rsidRPr="00A3389E">
              <w:rPr>
                <w:rFonts w:ascii="Times New Roman" w:hAnsi="Times New Roman" w:cs="Times New Roman"/>
                <w:sz w:val="24"/>
              </w:rPr>
              <w:t>hedžingu peňažných tokov finančných nástrojov, ktoré nie sú ocenené reálnou cenou.</w:t>
            </w:r>
          </w:p>
          <w:p w14:paraId="74F88C74" w14:textId="0741419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Oceňovacie rozdiely vyplývajúce</w:t>
            </w:r>
            <w:r w:rsidR="00A3389E">
              <w:rPr>
                <w:rFonts w:ascii="Times New Roman" w:hAnsi="Times New Roman" w:cs="Times New Roman"/>
                <w:sz w:val="24"/>
              </w:rPr>
              <w:t xml:space="preserve"> z </w:t>
            </w:r>
            <w:r w:rsidRPr="00A3389E">
              <w:rPr>
                <w:rFonts w:ascii="Times New Roman" w:hAnsi="Times New Roman" w:cs="Times New Roman"/>
                <w:sz w:val="24"/>
              </w:rPr>
              <w:t>oceňovania reálnou cenou súvisiace so ziskmi alebo stratami</w:t>
            </w:r>
            <w:r w:rsidR="00A3389E">
              <w:rPr>
                <w:rFonts w:ascii="Times New Roman" w:hAnsi="Times New Roman" w:cs="Times New Roman"/>
                <w:sz w:val="24"/>
              </w:rPr>
              <w:t xml:space="preserve"> z </w:t>
            </w:r>
            <w:r w:rsidRPr="00A3389E">
              <w:rPr>
                <w:rFonts w:ascii="Times New Roman" w:hAnsi="Times New Roman" w:cs="Times New Roman"/>
                <w:sz w:val="24"/>
              </w:rPr>
              <w:t>hedžingu peňažných tokov finančných nástrojov, ktoré nie sú ocenené reálnou cenou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33 ods. 1 písm. a) CRR.</w:t>
            </w:r>
          </w:p>
        </w:tc>
      </w:tr>
      <w:tr w:rsidR="00CE019E" w:rsidRPr="00A3389E" w14:paraId="57E64E2A" w14:textId="77777777" w:rsidTr="001E06A3">
        <w:tc>
          <w:tcPr>
            <w:tcW w:w="1172" w:type="dxa"/>
            <w:vAlign w:val="center"/>
          </w:tcPr>
          <w:p w14:paraId="41349319"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12</w:t>
            </w:r>
          </w:p>
        </w:tc>
        <w:tc>
          <w:tcPr>
            <w:tcW w:w="7242" w:type="dxa"/>
            <w:vAlign w:val="center"/>
          </w:tcPr>
          <w:p w14:paraId="18FBF18A" w14:textId="0751A94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Záporné hodnoty vyplývajúce</w:t>
            </w:r>
            <w:r w:rsidR="00A3389E">
              <w:rPr>
                <w:rFonts w:ascii="Times New Roman" w:hAnsi="Times New Roman" w:cs="Times New Roman"/>
                <w:sz w:val="24"/>
              </w:rPr>
              <w:t xml:space="preserve"> z </w:t>
            </w:r>
            <w:r w:rsidRPr="00A3389E">
              <w:rPr>
                <w:rFonts w:ascii="Times New Roman" w:hAnsi="Times New Roman" w:cs="Times New Roman"/>
                <w:sz w:val="24"/>
              </w:rPr>
              <w:t>výpočtu očakávanej výšky strát.</w:t>
            </w:r>
          </w:p>
          <w:p w14:paraId="146DEB3D" w14:textId="68340A3A"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Záporné hodnoty vyplývajúce</w:t>
            </w:r>
            <w:r w:rsidR="00A3389E">
              <w:rPr>
                <w:rFonts w:ascii="Times New Roman" w:hAnsi="Times New Roman" w:cs="Times New Roman"/>
                <w:sz w:val="24"/>
              </w:rPr>
              <w:t xml:space="preserve"> z </w:t>
            </w:r>
            <w:r w:rsidRPr="00A3389E">
              <w:rPr>
                <w:rFonts w:ascii="Times New Roman" w:hAnsi="Times New Roman" w:cs="Times New Roman"/>
                <w:sz w:val="24"/>
              </w:rPr>
              <w:t>výpočtu očakávanej výšky strát</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d)</w:t>
            </w:r>
            <w:r w:rsidR="00A3389E">
              <w:rPr>
                <w:rFonts w:ascii="Times New Roman" w:hAnsi="Times New Roman" w:cs="Times New Roman"/>
                <w:sz w:val="24"/>
              </w:rPr>
              <w:t xml:space="preserve"> a </w:t>
            </w:r>
            <w:r w:rsidRPr="00A3389E">
              <w:rPr>
                <w:rFonts w:ascii="Times New Roman" w:hAnsi="Times New Roman" w:cs="Times New Roman"/>
                <w:sz w:val="24"/>
              </w:rPr>
              <w:t>článkom 40 CRR.</w:t>
            </w:r>
          </w:p>
        </w:tc>
      </w:tr>
      <w:tr w:rsidR="00CE019E" w:rsidRPr="00A3389E" w14:paraId="126AA8A4" w14:textId="77777777" w:rsidTr="001E06A3">
        <w:tc>
          <w:tcPr>
            <w:tcW w:w="1172" w:type="dxa"/>
            <w:vAlign w:val="center"/>
          </w:tcPr>
          <w:p w14:paraId="39517447"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13</w:t>
            </w:r>
          </w:p>
        </w:tc>
        <w:tc>
          <w:tcPr>
            <w:tcW w:w="7242" w:type="dxa"/>
            <w:vAlign w:val="center"/>
          </w:tcPr>
          <w:p w14:paraId="04E6AB87"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Akékoľvek zvýšenie vlastného kapitálu, ktoré vyplýva zo sekuritizovaných aktív (záporná hodnota).</w:t>
            </w:r>
          </w:p>
          <w:p w14:paraId="204F0474" w14:textId="21AE835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Akékoľvek zvýšenie vlastného kapitálu, ktoré vyplýva zo sekuritizovaných aktív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32 ods. 1 CRR (záporná hodnota).</w:t>
            </w:r>
          </w:p>
        </w:tc>
      </w:tr>
      <w:tr w:rsidR="00CE019E" w:rsidRPr="00A3389E" w14:paraId="11898575" w14:textId="77777777" w:rsidTr="001E06A3">
        <w:tc>
          <w:tcPr>
            <w:tcW w:w="1172" w:type="dxa"/>
            <w:vAlign w:val="center"/>
          </w:tcPr>
          <w:p w14:paraId="20D44E88"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14</w:t>
            </w:r>
          </w:p>
        </w:tc>
        <w:tc>
          <w:tcPr>
            <w:tcW w:w="7242" w:type="dxa"/>
            <w:vAlign w:val="center"/>
          </w:tcPr>
          <w:p w14:paraId="0BD57EAB"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Zisky alebo straty zo záväzkov ocenených reálnou cenou, ktoré vyplývajú zo zmien vlastnej kreditnej pozície.</w:t>
            </w:r>
          </w:p>
          <w:p w14:paraId="18690FA2" w14:textId="6E1F2918" w:rsidR="00CE019E" w:rsidRPr="00A60806" w:rsidRDefault="00CE019E" w:rsidP="001E06A3">
            <w:pPr>
              <w:spacing w:after="200"/>
              <w:jc w:val="both"/>
              <w:rPr>
                <w:rFonts w:ascii="Times New Roman" w:hAnsi="Times New Roman" w:cs="Times New Roman"/>
                <w:spacing w:val="-4"/>
                <w:sz w:val="24"/>
              </w:rPr>
            </w:pPr>
            <w:r w:rsidRPr="00A60806">
              <w:rPr>
                <w:rFonts w:ascii="Times New Roman" w:hAnsi="Times New Roman" w:cs="Times New Roman"/>
                <w:spacing w:val="-4"/>
                <w:sz w:val="24"/>
              </w:rPr>
              <w:t>Zisky alebo straty zo záväzkov ocenených reálnou cenou, ktoré vyplývajú zo zmien vlastnej kreditnej pozície,</w:t>
            </w:r>
            <w:r w:rsidR="00A3389E" w:rsidRPr="00A60806">
              <w:rPr>
                <w:rFonts w:ascii="Times New Roman" w:hAnsi="Times New Roman" w:cs="Times New Roman"/>
                <w:spacing w:val="-4"/>
                <w:sz w:val="24"/>
              </w:rPr>
              <w:t xml:space="preserve"> v </w:t>
            </w:r>
            <w:r w:rsidRPr="00A60806">
              <w:rPr>
                <w:rFonts w:ascii="Times New Roman" w:hAnsi="Times New Roman" w:cs="Times New Roman"/>
                <w:spacing w:val="-4"/>
                <w:sz w:val="24"/>
              </w:rPr>
              <w:t>súlade</w:t>
            </w:r>
            <w:r w:rsidR="00A3389E" w:rsidRPr="00A60806">
              <w:rPr>
                <w:rFonts w:ascii="Times New Roman" w:hAnsi="Times New Roman" w:cs="Times New Roman"/>
                <w:spacing w:val="-4"/>
                <w:sz w:val="24"/>
              </w:rPr>
              <w:t xml:space="preserve"> s </w:t>
            </w:r>
            <w:r w:rsidRPr="00A60806">
              <w:rPr>
                <w:rFonts w:ascii="Times New Roman" w:hAnsi="Times New Roman" w:cs="Times New Roman"/>
                <w:spacing w:val="-4"/>
                <w:sz w:val="24"/>
              </w:rPr>
              <w:t>článkom 33 ods. 1 písm. b) CRR.</w:t>
            </w:r>
          </w:p>
        </w:tc>
      </w:tr>
      <w:tr w:rsidR="00CE019E" w:rsidRPr="00A3389E" w14:paraId="4752413E" w14:textId="77777777" w:rsidTr="001E06A3">
        <w:tc>
          <w:tcPr>
            <w:tcW w:w="1172" w:type="dxa"/>
            <w:vAlign w:val="center"/>
          </w:tcPr>
          <w:p w14:paraId="63D1978B"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15</w:t>
            </w:r>
          </w:p>
        </w:tc>
        <w:tc>
          <w:tcPr>
            <w:tcW w:w="7242" w:type="dxa"/>
            <w:vAlign w:val="center"/>
          </w:tcPr>
          <w:p w14:paraId="7AAF989E"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Majetok dôchodkového fondu so stanovenými požitkami (záporná hodnota)</w:t>
            </w:r>
          </w:p>
          <w:p w14:paraId="3D7EDF88" w14:textId="59579A50"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Majetok dôchodkového fondu so stanovenými požitkami</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e)</w:t>
            </w:r>
            <w:r w:rsidR="00A3389E">
              <w:rPr>
                <w:rFonts w:ascii="Times New Roman" w:hAnsi="Times New Roman" w:cs="Times New Roman"/>
                <w:sz w:val="24"/>
              </w:rPr>
              <w:t xml:space="preserve"> a </w:t>
            </w:r>
            <w:r w:rsidRPr="00A3389E">
              <w:rPr>
                <w:rFonts w:ascii="Times New Roman" w:hAnsi="Times New Roman" w:cs="Times New Roman"/>
                <w:sz w:val="24"/>
              </w:rPr>
              <w:t>článkom 41 CRR (záporná hodnota).</w:t>
            </w:r>
          </w:p>
        </w:tc>
      </w:tr>
      <w:tr w:rsidR="00CE019E" w:rsidRPr="00A3389E" w14:paraId="4A061FE4" w14:textId="77777777" w:rsidTr="001E06A3">
        <w:tc>
          <w:tcPr>
            <w:tcW w:w="1172" w:type="dxa"/>
            <w:vAlign w:val="center"/>
          </w:tcPr>
          <w:p w14:paraId="399DC36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16</w:t>
            </w:r>
          </w:p>
        </w:tc>
        <w:tc>
          <w:tcPr>
            <w:tcW w:w="7242" w:type="dxa"/>
            <w:vAlign w:val="center"/>
          </w:tcPr>
          <w:p w14:paraId="745D7AF6" w14:textId="5BD4D331"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w:t>
            </w:r>
            <w:r w:rsidR="00A3389E">
              <w:rPr>
                <w:rFonts w:ascii="Times New Roman" w:hAnsi="Times New Roman" w:cs="Times New Roman"/>
                <w:sz w:val="24"/>
              </w:rPr>
              <w:t xml:space="preserve"> v </w:t>
            </w:r>
            <w:r w:rsidRPr="00A3389E">
              <w:rPr>
                <w:rFonts w:ascii="Times New Roman" w:hAnsi="Times New Roman" w:cs="Times New Roman"/>
                <w:sz w:val="24"/>
              </w:rPr>
              <w:t>nástrojoch vlastného CET1 (záporná hodnota)</w:t>
            </w:r>
          </w:p>
          <w:p w14:paraId="414332F1" w14:textId="6F7179A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w:t>
            </w:r>
            <w:r w:rsidR="00A3389E">
              <w:rPr>
                <w:rFonts w:ascii="Times New Roman" w:hAnsi="Times New Roman" w:cs="Times New Roman"/>
                <w:sz w:val="24"/>
              </w:rPr>
              <w:t xml:space="preserve"> v </w:t>
            </w:r>
            <w:r w:rsidRPr="00A3389E">
              <w:rPr>
                <w:rFonts w:ascii="Times New Roman" w:hAnsi="Times New Roman" w:cs="Times New Roman"/>
                <w:sz w:val="24"/>
              </w:rPr>
              <w:t>nástrojoch vlastného CET1,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36 ods. 1 písm. f)</w:t>
            </w:r>
            <w:r w:rsidR="00A3389E">
              <w:rPr>
                <w:rFonts w:ascii="Times New Roman" w:hAnsi="Times New Roman" w:cs="Times New Roman"/>
                <w:sz w:val="24"/>
              </w:rPr>
              <w:t xml:space="preserve"> a </w:t>
            </w:r>
            <w:r w:rsidRPr="00A3389E">
              <w:rPr>
                <w:rFonts w:ascii="Times New Roman" w:hAnsi="Times New Roman" w:cs="Times New Roman"/>
                <w:sz w:val="24"/>
              </w:rPr>
              <w:t>článku 42 CRR (záporná hodnota).</w:t>
            </w:r>
          </w:p>
        </w:tc>
      </w:tr>
      <w:tr w:rsidR="00CE019E" w:rsidRPr="00A3389E" w14:paraId="40B3F9F5" w14:textId="77777777" w:rsidTr="001E06A3">
        <w:tc>
          <w:tcPr>
            <w:tcW w:w="1172" w:type="dxa"/>
            <w:vAlign w:val="center"/>
          </w:tcPr>
          <w:p w14:paraId="68024D96"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17</w:t>
            </w:r>
          </w:p>
        </w:tc>
        <w:tc>
          <w:tcPr>
            <w:tcW w:w="7242" w:type="dxa"/>
            <w:vAlign w:val="center"/>
          </w:tcPr>
          <w:p w14:paraId="3B675294" w14:textId="4BE7E8D1"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Priame, nepriame</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syntetické podiely</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nástrojoch CET1 subjektov finančného sektora, ak tieto subjekty majú recipročné krížové podiely</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inštitúcii, ktoré majú umelo zvyšovať vlastné zdroje inštitúcie (záporná hodnota)</w:t>
            </w:r>
          </w:p>
          <w:p w14:paraId="05D7BE80" w14:textId="5DAE062B"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w:t>
            </w:r>
            <w:r w:rsidR="00A3389E">
              <w:rPr>
                <w:rFonts w:ascii="Times New Roman" w:hAnsi="Times New Roman" w:cs="Times New Roman"/>
                <w:sz w:val="24"/>
              </w:rPr>
              <w:t xml:space="preserve"> v </w:t>
            </w:r>
            <w:r w:rsidRPr="00A3389E">
              <w:rPr>
                <w:rFonts w:ascii="Times New Roman" w:hAnsi="Times New Roman" w:cs="Times New Roman"/>
                <w:sz w:val="24"/>
              </w:rPr>
              <w:t>nástrojoch CET 1 subjektov finančného sektora, ak tieto subjekty majú recipročné krížové podiely</w:t>
            </w:r>
            <w:r w:rsidR="00A3389E">
              <w:rPr>
                <w:rFonts w:ascii="Times New Roman" w:hAnsi="Times New Roman" w:cs="Times New Roman"/>
                <w:sz w:val="24"/>
              </w:rPr>
              <w:t xml:space="preserve"> v </w:t>
            </w:r>
            <w:r w:rsidRPr="00A3389E">
              <w:rPr>
                <w:rFonts w:ascii="Times New Roman" w:hAnsi="Times New Roman" w:cs="Times New Roman"/>
                <w:sz w:val="24"/>
              </w:rPr>
              <w:t>inštitúcii, ktoré majú umelo zvyšovať vlastné zdroje inštitúcie,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36 ods. 1 písm. g)</w:t>
            </w:r>
            <w:r w:rsidR="00A3389E">
              <w:rPr>
                <w:rFonts w:ascii="Times New Roman" w:hAnsi="Times New Roman" w:cs="Times New Roman"/>
                <w:sz w:val="24"/>
              </w:rPr>
              <w:t xml:space="preserve"> a </w:t>
            </w:r>
            <w:r w:rsidRPr="00A3389E">
              <w:rPr>
                <w:rFonts w:ascii="Times New Roman" w:hAnsi="Times New Roman" w:cs="Times New Roman"/>
                <w:sz w:val="24"/>
              </w:rPr>
              <w:t>článku 44 CRR (záporná hodnota).</w:t>
            </w:r>
          </w:p>
        </w:tc>
      </w:tr>
      <w:tr w:rsidR="00CE019E" w:rsidRPr="00A3389E" w14:paraId="7894305B" w14:textId="77777777" w:rsidTr="001E06A3">
        <w:tc>
          <w:tcPr>
            <w:tcW w:w="1172" w:type="dxa"/>
            <w:vAlign w:val="center"/>
          </w:tcPr>
          <w:p w14:paraId="53891474"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18</w:t>
            </w:r>
          </w:p>
        </w:tc>
        <w:tc>
          <w:tcPr>
            <w:tcW w:w="7242" w:type="dxa"/>
            <w:vAlign w:val="center"/>
          </w:tcPr>
          <w:p w14:paraId="4CE287EC" w14:textId="5628B350"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w:t>
            </w:r>
            <w:r w:rsidR="00A3389E">
              <w:rPr>
                <w:rFonts w:ascii="Times New Roman" w:hAnsi="Times New Roman" w:cs="Times New Roman"/>
                <w:sz w:val="24"/>
              </w:rPr>
              <w:t xml:space="preserve"> v </w:t>
            </w:r>
            <w:r w:rsidRPr="00A3389E">
              <w:rPr>
                <w:rFonts w:ascii="Times New Roman" w:hAnsi="Times New Roman" w:cs="Times New Roman"/>
                <w:sz w:val="24"/>
              </w:rPr>
              <w:t>nástrojoch CET1 subjektov finančného sektora, ak daná inštitúcia nemá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nad prahovou hodnotou 10</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 (záporná hodnota).</w:t>
            </w:r>
          </w:p>
          <w:p w14:paraId="29854426" w14:textId="64C0D9CF"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Priame, nepriame</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syntetické podiely</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nástrojoch CET1 subjektov finančného sektora, ak daná inštitúcia nemá významnú investíciu</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týchto subjektoch (hodnota nad prahovou hodnotou 10</w:t>
            </w:r>
            <w:r w:rsidR="00A3389E" w:rsidRPr="00A60806">
              <w:rPr>
                <w:rFonts w:ascii="Times New Roman" w:hAnsi="Times New Roman" w:cs="Times New Roman"/>
                <w:spacing w:val="-8"/>
                <w:sz w:val="24"/>
              </w:rPr>
              <w:t> % a </w:t>
            </w:r>
            <w:r w:rsidRPr="00A60806">
              <w:rPr>
                <w:rFonts w:ascii="Times New Roman" w:hAnsi="Times New Roman" w:cs="Times New Roman"/>
                <w:spacing w:val="-8"/>
                <w:sz w:val="24"/>
              </w:rPr>
              <w:t>po odpočítaní prípustných krátkych pozícií), ako je uvedené</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článku 36 ods. 1 písm. h), článkoch 43, 45, 46, článku 49 ods. 2</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3</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článku 79 CRR (záporná hodnota).</w:t>
            </w:r>
          </w:p>
        </w:tc>
      </w:tr>
      <w:tr w:rsidR="00CE019E" w:rsidRPr="00A3389E" w14:paraId="0A78DBEA" w14:textId="77777777" w:rsidTr="001E06A3">
        <w:tc>
          <w:tcPr>
            <w:tcW w:w="1172" w:type="dxa"/>
            <w:vAlign w:val="center"/>
          </w:tcPr>
          <w:p w14:paraId="681008FE"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19</w:t>
            </w:r>
          </w:p>
        </w:tc>
        <w:tc>
          <w:tcPr>
            <w:tcW w:w="7242" w:type="dxa"/>
            <w:vAlign w:val="center"/>
          </w:tcPr>
          <w:p w14:paraId="4A35F4E1" w14:textId="6224995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w:t>
            </w:r>
            <w:r w:rsidR="00A3389E">
              <w:rPr>
                <w:rFonts w:ascii="Times New Roman" w:hAnsi="Times New Roman" w:cs="Times New Roman"/>
                <w:sz w:val="24"/>
              </w:rPr>
              <w:t xml:space="preserve"> v </w:t>
            </w:r>
            <w:r w:rsidRPr="00A3389E">
              <w:rPr>
                <w:rFonts w:ascii="Times New Roman" w:hAnsi="Times New Roman" w:cs="Times New Roman"/>
                <w:sz w:val="24"/>
              </w:rPr>
              <w:t>nástrojoch CET1 subjektov finančného sektora, ak daná inštitúcia 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nad prahovou hodnotou 10</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 (záporná hodnota)</w:t>
            </w:r>
          </w:p>
          <w:p w14:paraId="13003834" w14:textId="32AA3B98"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w:t>
            </w:r>
            <w:r w:rsidR="00A3389E">
              <w:rPr>
                <w:rFonts w:ascii="Times New Roman" w:hAnsi="Times New Roman" w:cs="Times New Roman"/>
                <w:sz w:val="24"/>
              </w:rPr>
              <w:t xml:space="preserve"> v </w:t>
            </w:r>
            <w:r w:rsidRPr="00A3389E">
              <w:rPr>
                <w:rFonts w:ascii="Times New Roman" w:hAnsi="Times New Roman" w:cs="Times New Roman"/>
                <w:sz w:val="24"/>
              </w:rPr>
              <w:t>nástrojoch CET1 subjektov finančného sektora, ak daná inštitúcia 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nad prahovou hodnotou 10</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36 ods. 1 písm. i), článkoch 43, 45, 47, článku 48 ods. 1 písm. b)</w:t>
            </w:r>
            <w:r w:rsidR="00A3389E">
              <w:rPr>
                <w:rFonts w:ascii="Times New Roman" w:hAnsi="Times New Roman" w:cs="Times New Roman"/>
                <w:sz w:val="24"/>
              </w:rPr>
              <w:t xml:space="preserve"> a </w:t>
            </w:r>
            <w:r w:rsidRPr="00A3389E">
              <w:rPr>
                <w:rFonts w:ascii="Times New Roman" w:hAnsi="Times New Roman" w:cs="Times New Roman"/>
                <w:sz w:val="24"/>
              </w:rPr>
              <w:t>článku 49 ods. 1 až 3 CRR (záporná hodnota).</w:t>
            </w:r>
          </w:p>
        </w:tc>
      </w:tr>
      <w:tr w:rsidR="00CE019E" w:rsidRPr="00A3389E" w14:paraId="7D8C0A70" w14:textId="77777777" w:rsidTr="001E06A3">
        <w:tc>
          <w:tcPr>
            <w:tcW w:w="1172" w:type="dxa"/>
            <w:vAlign w:val="center"/>
          </w:tcPr>
          <w:p w14:paraId="59995C40"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20</w:t>
            </w:r>
          </w:p>
        </w:tc>
        <w:tc>
          <w:tcPr>
            <w:tcW w:w="7242" w:type="dxa"/>
            <w:vAlign w:val="center"/>
          </w:tcPr>
          <w:p w14:paraId="6B74DE96"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6467D72F" w14:textId="77777777" w:rsidTr="001E06A3">
        <w:tc>
          <w:tcPr>
            <w:tcW w:w="1172" w:type="dxa"/>
            <w:vAlign w:val="center"/>
          </w:tcPr>
          <w:p w14:paraId="007964E6"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EU-20a</w:t>
            </w:r>
          </w:p>
        </w:tc>
        <w:tc>
          <w:tcPr>
            <w:tcW w:w="7242" w:type="dxa"/>
            <w:vAlign w:val="center"/>
          </w:tcPr>
          <w:p w14:paraId="4C2088EC" w14:textId="39FE6E0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expozície týchto položiek, ktoré sa kvalifikujú pre rizikovú váhu 1 250</w:t>
            </w:r>
            <w:r w:rsidR="00A3389E">
              <w:rPr>
                <w:rFonts w:ascii="Times New Roman" w:hAnsi="Times New Roman" w:cs="Times New Roman"/>
                <w:sz w:val="24"/>
              </w:rPr>
              <w:t> %</w:t>
            </w:r>
            <w:r w:rsidRPr="00A3389E">
              <w:rPr>
                <w:rFonts w:ascii="Times New Roman" w:hAnsi="Times New Roman" w:cs="Times New Roman"/>
                <w:sz w:val="24"/>
              </w:rPr>
              <w:t>, ak sa inštitúcia rozhodne pre alternatívu vo forme odpočtu.</w:t>
            </w:r>
          </w:p>
          <w:p w14:paraId="17319683" w14:textId="17F7EF9F"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expozície, ktorá sa kvalifikuje pre rizikovú váhu 1 250</w:t>
            </w:r>
            <w:r w:rsidR="00A3389E">
              <w:rPr>
                <w:rFonts w:ascii="Times New Roman" w:hAnsi="Times New Roman" w:cs="Times New Roman"/>
                <w:sz w:val="24"/>
              </w:rPr>
              <w:t> %</w:t>
            </w:r>
            <w:r w:rsidRPr="00A3389E">
              <w:rPr>
                <w:rFonts w:ascii="Times New Roman" w:hAnsi="Times New Roman" w:cs="Times New Roman"/>
                <w:sz w:val="24"/>
              </w:rPr>
              <w:t>, ak sa inštitúcia rozhodne pre alternatívu vo forme odpočtu,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36 ods. 1 písm. k) CRR.</w:t>
            </w:r>
          </w:p>
        </w:tc>
      </w:tr>
      <w:tr w:rsidR="00CE019E" w:rsidRPr="00A3389E" w14:paraId="4E31BBDF" w14:textId="77777777" w:rsidTr="001E06A3">
        <w:tc>
          <w:tcPr>
            <w:tcW w:w="1172" w:type="dxa"/>
            <w:vAlign w:val="center"/>
          </w:tcPr>
          <w:p w14:paraId="7EB71DBB"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EU-20b</w:t>
            </w:r>
          </w:p>
        </w:tc>
        <w:tc>
          <w:tcPr>
            <w:tcW w:w="7242" w:type="dxa"/>
            <w:vAlign w:val="center"/>
          </w:tcPr>
          <w:p w14:paraId="51FC9235"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kvalifikované účasti mimo finančného sektora (záporná hodnota).</w:t>
            </w:r>
          </w:p>
          <w:p w14:paraId="6181DE15" w14:textId="329D6B3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Zo sumy uvedenej</w:t>
            </w:r>
            <w:r w:rsidR="00A3389E">
              <w:rPr>
                <w:rFonts w:ascii="Times New Roman" w:hAnsi="Times New Roman" w:cs="Times New Roman"/>
                <w:sz w:val="24"/>
              </w:rPr>
              <w:t xml:space="preserve"> v </w:t>
            </w:r>
            <w:r w:rsidRPr="00A3389E">
              <w:rPr>
                <w:rFonts w:ascii="Times New Roman" w:hAnsi="Times New Roman" w:cs="Times New Roman"/>
                <w:sz w:val="24"/>
              </w:rPr>
              <w:t>EU-20a hodnota týkajúca sa kvalifikovaných účastí mimo finančného sektora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k) bodom i)</w:t>
            </w:r>
            <w:r w:rsidR="00A3389E">
              <w:rPr>
                <w:rFonts w:ascii="Times New Roman" w:hAnsi="Times New Roman" w:cs="Times New Roman"/>
                <w:sz w:val="24"/>
              </w:rPr>
              <w:t xml:space="preserve"> a </w:t>
            </w:r>
            <w:r w:rsidRPr="00A3389E">
              <w:rPr>
                <w:rFonts w:ascii="Times New Roman" w:hAnsi="Times New Roman" w:cs="Times New Roman"/>
                <w:sz w:val="24"/>
              </w:rPr>
              <w:t>článkami 89 až 91 CRR (záporná hodnota).</w:t>
            </w:r>
          </w:p>
        </w:tc>
      </w:tr>
      <w:tr w:rsidR="00CE019E" w:rsidRPr="00A3389E" w14:paraId="594B3912" w14:textId="77777777" w:rsidTr="001E06A3">
        <w:tc>
          <w:tcPr>
            <w:tcW w:w="1172" w:type="dxa"/>
            <w:vAlign w:val="center"/>
          </w:tcPr>
          <w:p w14:paraId="65013798"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EU-20c</w:t>
            </w:r>
          </w:p>
        </w:tc>
        <w:tc>
          <w:tcPr>
            <w:tcW w:w="7242" w:type="dxa"/>
            <w:vAlign w:val="center"/>
          </w:tcPr>
          <w:p w14:paraId="7ABEBD66"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sekuritizačné pozície (záporná hodnota).</w:t>
            </w:r>
          </w:p>
          <w:p w14:paraId="0274E393" w14:textId="01C32A40"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Zo sumy uvedenej</w:t>
            </w:r>
            <w:r w:rsidR="00A3389E">
              <w:rPr>
                <w:rFonts w:ascii="Times New Roman" w:hAnsi="Times New Roman" w:cs="Times New Roman"/>
                <w:sz w:val="24"/>
              </w:rPr>
              <w:t xml:space="preserve"> v </w:t>
            </w:r>
            <w:r w:rsidRPr="00A3389E">
              <w:rPr>
                <w:rFonts w:ascii="Times New Roman" w:hAnsi="Times New Roman" w:cs="Times New Roman"/>
                <w:sz w:val="24"/>
              </w:rPr>
              <w:t>EU-20a tohto vzoru hodnota týkajúca sa sekuritizačných pozícií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k) bodom ii), článkom 243 ods. 1 písm. b), článkom 244 ods. 1 písm. b)</w:t>
            </w:r>
            <w:r w:rsidR="00A3389E">
              <w:rPr>
                <w:rFonts w:ascii="Times New Roman" w:hAnsi="Times New Roman" w:cs="Times New Roman"/>
                <w:sz w:val="24"/>
              </w:rPr>
              <w:t xml:space="preserve"> a </w:t>
            </w:r>
            <w:r w:rsidRPr="00A3389E">
              <w:rPr>
                <w:rFonts w:ascii="Times New Roman" w:hAnsi="Times New Roman" w:cs="Times New Roman"/>
                <w:sz w:val="24"/>
              </w:rPr>
              <w:t>článkom 258 CRR (záporná hodnota).</w:t>
            </w:r>
          </w:p>
        </w:tc>
      </w:tr>
      <w:tr w:rsidR="00CE019E" w:rsidRPr="00A3389E" w14:paraId="472B4E52" w14:textId="77777777" w:rsidTr="001E06A3">
        <w:tc>
          <w:tcPr>
            <w:tcW w:w="1172" w:type="dxa"/>
            <w:vAlign w:val="center"/>
          </w:tcPr>
          <w:p w14:paraId="35D94A00"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EU-20d</w:t>
            </w:r>
          </w:p>
        </w:tc>
        <w:tc>
          <w:tcPr>
            <w:tcW w:w="7242" w:type="dxa"/>
            <w:vAlign w:val="center"/>
          </w:tcPr>
          <w:p w14:paraId="6BF8A00A"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bezodplatné dodania (záporná hodnota).</w:t>
            </w:r>
          </w:p>
          <w:p w14:paraId="3C2088C2" w14:textId="1178565B"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lastRenderedPageBreak/>
              <w:t>Zo sumy uvedenej</w:t>
            </w:r>
            <w:r w:rsidR="00A3389E">
              <w:rPr>
                <w:rFonts w:ascii="Times New Roman" w:hAnsi="Times New Roman" w:cs="Times New Roman"/>
                <w:sz w:val="24"/>
              </w:rPr>
              <w:t xml:space="preserve"> v </w:t>
            </w:r>
            <w:r w:rsidRPr="00A3389E">
              <w:rPr>
                <w:rFonts w:ascii="Times New Roman" w:hAnsi="Times New Roman" w:cs="Times New Roman"/>
                <w:sz w:val="24"/>
              </w:rPr>
              <w:t>EU-20a tohto vzoru hodnota týkajúca sa bezodplatného dodania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k) bodom iii)</w:t>
            </w:r>
            <w:r w:rsidR="00A3389E">
              <w:rPr>
                <w:rFonts w:ascii="Times New Roman" w:hAnsi="Times New Roman" w:cs="Times New Roman"/>
                <w:sz w:val="24"/>
              </w:rPr>
              <w:t xml:space="preserve"> a </w:t>
            </w:r>
            <w:r w:rsidRPr="00A3389E">
              <w:rPr>
                <w:rFonts w:ascii="Times New Roman" w:hAnsi="Times New Roman" w:cs="Times New Roman"/>
                <w:sz w:val="24"/>
              </w:rPr>
              <w:t>článkom 379 ods. 3 CRR (záporná hodnota).</w:t>
            </w:r>
          </w:p>
        </w:tc>
      </w:tr>
      <w:tr w:rsidR="00CE019E" w:rsidRPr="00A3389E" w14:paraId="61FD6E4E" w14:textId="77777777" w:rsidTr="001E06A3">
        <w:tc>
          <w:tcPr>
            <w:tcW w:w="1172" w:type="dxa"/>
            <w:vAlign w:val="center"/>
          </w:tcPr>
          <w:p w14:paraId="63688371"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21</w:t>
            </w:r>
          </w:p>
        </w:tc>
        <w:tc>
          <w:tcPr>
            <w:tcW w:w="7242" w:type="dxa"/>
            <w:vAlign w:val="center"/>
          </w:tcPr>
          <w:p w14:paraId="3B877638" w14:textId="106EB440"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Odložené daňové pohľadávky, ktoré vyplývajú</w:t>
            </w:r>
            <w:r w:rsidR="00A3389E">
              <w:rPr>
                <w:rFonts w:ascii="Times New Roman" w:hAnsi="Times New Roman" w:cs="Times New Roman"/>
                <w:sz w:val="24"/>
              </w:rPr>
              <w:t xml:space="preserve"> z </w:t>
            </w:r>
            <w:r w:rsidRPr="00A3389E">
              <w:rPr>
                <w:rFonts w:ascii="Times New Roman" w:hAnsi="Times New Roman" w:cs="Times New Roman"/>
                <w:sz w:val="24"/>
              </w:rPr>
              <w:t>dočasných rozdielov (hodnota nad prahovou hodnotou 10</w:t>
            </w:r>
            <w:r w:rsidR="00A3389E">
              <w:rPr>
                <w:rFonts w:ascii="Times New Roman" w:hAnsi="Times New Roman" w:cs="Times New Roman"/>
                <w:sz w:val="24"/>
              </w:rPr>
              <w:t> %</w:t>
            </w:r>
            <w:r w:rsidRPr="00A3389E">
              <w:rPr>
                <w:rFonts w:ascii="Times New Roman" w:hAnsi="Times New Roman" w:cs="Times New Roman"/>
                <w:sz w:val="24"/>
              </w:rPr>
              <w:t>, po odpočítaní súvisiaceho daňového záväzku, ak sú splnené podmienky stanovené</w:t>
            </w:r>
            <w:r w:rsidR="00A3389E">
              <w:rPr>
                <w:rFonts w:ascii="Times New Roman" w:hAnsi="Times New Roman" w:cs="Times New Roman"/>
                <w:sz w:val="24"/>
              </w:rPr>
              <w:t xml:space="preserve"> v </w:t>
            </w:r>
            <w:r w:rsidRPr="00A3389E">
              <w:rPr>
                <w:rFonts w:ascii="Times New Roman" w:hAnsi="Times New Roman" w:cs="Times New Roman"/>
                <w:sz w:val="24"/>
              </w:rPr>
              <w:t>článku 38 ods. 3 CRR) (záporná hodnota).</w:t>
            </w:r>
          </w:p>
          <w:p w14:paraId="56CF18F6" w14:textId="30C79354"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Odložené daňové pohľadávky, ktoré vyplývajú</w:t>
            </w:r>
            <w:r w:rsidR="00A3389E">
              <w:rPr>
                <w:rFonts w:ascii="Times New Roman" w:hAnsi="Times New Roman" w:cs="Times New Roman"/>
                <w:sz w:val="24"/>
              </w:rPr>
              <w:t xml:space="preserve"> z </w:t>
            </w:r>
            <w:r w:rsidRPr="00A3389E">
              <w:rPr>
                <w:rFonts w:ascii="Times New Roman" w:hAnsi="Times New Roman" w:cs="Times New Roman"/>
                <w:sz w:val="24"/>
              </w:rPr>
              <w:t>dočasných rozdielov (hodnota nad prahovou hodnotou 10</w:t>
            </w:r>
            <w:r w:rsidR="00A3389E">
              <w:rPr>
                <w:rFonts w:ascii="Times New Roman" w:hAnsi="Times New Roman" w:cs="Times New Roman"/>
                <w:sz w:val="24"/>
              </w:rPr>
              <w:t> %</w:t>
            </w:r>
            <w:r w:rsidRPr="00A3389E">
              <w:rPr>
                <w:rFonts w:ascii="Times New Roman" w:hAnsi="Times New Roman" w:cs="Times New Roman"/>
                <w:sz w:val="24"/>
              </w:rPr>
              <w:t>, po odpočítaní súvisiaceho daňového záväzku, ak sú splnené podmienky stanovené</w:t>
            </w:r>
            <w:r w:rsidR="00A3389E">
              <w:rPr>
                <w:rFonts w:ascii="Times New Roman" w:hAnsi="Times New Roman" w:cs="Times New Roman"/>
                <w:sz w:val="24"/>
              </w:rPr>
              <w:t xml:space="preserve"> v </w:t>
            </w:r>
            <w:r w:rsidRPr="00A3389E">
              <w:rPr>
                <w:rFonts w:ascii="Times New Roman" w:hAnsi="Times New Roman" w:cs="Times New Roman"/>
                <w:sz w:val="24"/>
              </w:rPr>
              <w:t>článku 38 ods. 3 CRR),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36 ods. 1 písm. c), článku 38</w:t>
            </w:r>
            <w:r w:rsidR="00A3389E">
              <w:rPr>
                <w:rFonts w:ascii="Times New Roman" w:hAnsi="Times New Roman" w:cs="Times New Roman"/>
                <w:sz w:val="24"/>
              </w:rPr>
              <w:t xml:space="preserve"> a </w:t>
            </w:r>
            <w:r w:rsidRPr="00A3389E">
              <w:rPr>
                <w:rFonts w:ascii="Times New Roman" w:hAnsi="Times New Roman" w:cs="Times New Roman"/>
                <w:sz w:val="24"/>
              </w:rPr>
              <w:t>článku 48 ods. 1 písm. a) CRR (záporná hodnota).</w:t>
            </w:r>
          </w:p>
        </w:tc>
      </w:tr>
      <w:tr w:rsidR="00CE019E" w:rsidRPr="00A3389E" w14:paraId="4190538A" w14:textId="77777777" w:rsidTr="001E06A3">
        <w:tc>
          <w:tcPr>
            <w:tcW w:w="1172" w:type="dxa"/>
            <w:vAlign w:val="center"/>
          </w:tcPr>
          <w:p w14:paraId="527D977A"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22</w:t>
            </w:r>
          </w:p>
        </w:tc>
        <w:tc>
          <w:tcPr>
            <w:tcW w:w="7242" w:type="dxa"/>
            <w:vAlign w:val="center"/>
          </w:tcPr>
          <w:p w14:paraId="372907CD" w14:textId="08014B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prevyšujúca prahovú hodnotu 17,65</w:t>
            </w:r>
            <w:r w:rsidR="00A3389E">
              <w:rPr>
                <w:rFonts w:ascii="Times New Roman" w:hAnsi="Times New Roman" w:cs="Times New Roman"/>
                <w:sz w:val="24"/>
              </w:rPr>
              <w:t> %</w:t>
            </w:r>
            <w:r w:rsidRPr="00A3389E">
              <w:rPr>
                <w:rFonts w:ascii="Times New Roman" w:hAnsi="Times New Roman" w:cs="Times New Roman"/>
                <w:sz w:val="24"/>
              </w:rPr>
              <w:t xml:space="preserve"> (záporná hodnota).</w:t>
            </w:r>
          </w:p>
          <w:p w14:paraId="3C1D0D34" w14:textId="31536B19"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prevyšujúca prahovú hodnotu 17,65</w:t>
            </w:r>
            <w:r w:rsidR="00A3389E">
              <w:rPr>
                <w:rFonts w:ascii="Times New Roman" w:hAnsi="Times New Roman" w:cs="Times New Roman"/>
                <w:sz w:val="24"/>
              </w:rPr>
              <w:t> %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48 ods. 1 CRR (záporná hodnota).</w:t>
            </w:r>
          </w:p>
        </w:tc>
      </w:tr>
      <w:tr w:rsidR="00CE019E" w:rsidRPr="00A3389E" w14:paraId="5454A72E" w14:textId="77777777" w:rsidTr="001E06A3">
        <w:tc>
          <w:tcPr>
            <w:tcW w:w="1172" w:type="dxa"/>
            <w:vAlign w:val="center"/>
          </w:tcPr>
          <w:p w14:paraId="58E1B231"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23</w:t>
            </w:r>
          </w:p>
        </w:tc>
        <w:tc>
          <w:tcPr>
            <w:tcW w:w="7242" w:type="dxa"/>
            <w:vAlign w:val="center"/>
          </w:tcPr>
          <w:p w14:paraId="657DF291" w14:textId="67B345E3"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w:t>
            </w:r>
            <w:r w:rsidR="00A3389E">
              <w:rPr>
                <w:rFonts w:ascii="Times New Roman" w:hAnsi="Times New Roman" w:cs="Times New Roman"/>
                <w:sz w:val="24"/>
              </w:rPr>
              <w:t xml:space="preserve"> v </w:t>
            </w:r>
            <w:r w:rsidRPr="00A3389E">
              <w:rPr>
                <w:rFonts w:ascii="Times New Roman" w:hAnsi="Times New Roman" w:cs="Times New Roman"/>
                <w:sz w:val="24"/>
              </w:rPr>
              <w:t>nástrojoch CET1 subjektov finančného sektora, ak daná inštitúcia 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w:t>
            </w:r>
          </w:p>
          <w:p w14:paraId="2BCF8CAE" w14:textId="088C3B0A"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 xml:space="preserve">Z </w:t>
            </w:r>
            <w:r w:rsidRPr="00A60806">
              <w:rPr>
                <w:rFonts w:ascii="Times New Roman" w:hAnsi="Times New Roman" w:cs="Times New Roman"/>
                <w:spacing w:val="-8"/>
                <w:sz w:val="24"/>
              </w:rPr>
              <w:t>hodnoty uvedenej</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riadku 22 tohto vzoru výška priamych, nepriamych</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syntetických podielov inštitúcie</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nástrojoch CET1 subjektov finančného sektora, ak daná inštitúcia má významnú investíciu</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týchto subjektoch, ako je uvedené</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článku 36 ods. 1 písm. i)</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článku 48 ods. 1 písm. b) CRR.</w:t>
            </w:r>
          </w:p>
        </w:tc>
      </w:tr>
      <w:tr w:rsidR="00CE019E" w:rsidRPr="00A3389E" w14:paraId="37E0B534" w14:textId="77777777" w:rsidTr="001E06A3">
        <w:tc>
          <w:tcPr>
            <w:tcW w:w="1172" w:type="dxa"/>
            <w:vAlign w:val="center"/>
          </w:tcPr>
          <w:p w14:paraId="4E9E83D9"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24</w:t>
            </w:r>
          </w:p>
        </w:tc>
        <w:tc>
          <w:tcPr>
            <w:tcW w:w="7242" w:type="dxa"/>
            <w:vAlign w:val="center"/>
          </w:tcPr>
          <w:p w14:paraId="32350A81"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02C25D3C" w14:textId="77777777" w:rsidTr="001E06A3">
        <w:tc>
          <w:tcPr>
            <w:tcW w:w="1172" w:type="dxa"/>
            <w:vAlign w:val="center"/>
          </w:tcPr>
          <w:p w14:paraId="42946A86"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25</w:t>
            </w:r>
          </w:p>
        </w:tc>
        <w:tc>
          <w:tcPr>
            <w:tcW w:w="7242" w:type="dxa"/>
            <w:vAlign w:val="center"/>
          </w:tcPr>
          <w:p w14:paraId="52C78054" w14:textId="487053B8"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odložené daňové pohľadávky, ktoré vyplývajú</w:t>
            </w:r>
            <w:r w:rsidR="00A3389E">
              <w:rPr>
                <w:rFonts w:ascii="Times New Roman" w:hAnsi="Times New Roman" w:cs="Times New Roman"/>
                <w:sz w:val="24"/>
              </w:rPr>
              <w:t xml:space="preserve"> z </w:t>
            </w:r>
            <w:r w:rsidRPr="00A3389E">
              <w:rPr>
                <w:rFonts w:ascii="Times New Roman" w:hAnsi="Times New Roman" w:cs="Times New Roman"/>
                <w:sz w:val="24"/>
              </w:rPr>
              <w:t>dočasných rozdielov.</w:t>
            </w:r>
          </w:p>
          <w:p w14:paraId="4A92F4B3" w14:textId="4F69075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hodnoty uvedenej</w:t>
            </w:r>
            <w:r w:rsidR="00A3389E">
              <w:rPr>
                <w:rFonts w:ascii="Times New Roman" w:hAnsi="Times New Roman" w:cs="Times New Roman"/>
                <w:sz w:val="24"/>
              </w:rPr>
              <w:t xml:space="preserve"> v </w:t>
            </w:r>
            <w:r w:rsidRPr="00A3389E">
              <w:rPr>
                <w:rFonts w:ascii="Times New Roman" w:hAnsi="Times New Roman" w:cs="Times New Roman"/>
                <w:sz w:val="24"/>
              </w:rPr>
              <w:t>riadku 22 tohto vzoru výška odložených daňových pohľadávok vyplývajúcich</w:t>
            </w:r>
            <w:r w:rsidR="00A3389E">
              <w:rPr>
                <w:rFonts w:ascii="Times New Roman" w:hAnsi="Times New Roman" w:cs="Times New Roman"/>
                <w:sz w:val="24"/>
              </w:rPr>
              <w:t xml:space="preserve"> z </w:t>
            </w:r>
            <w:r w:rsidRPr="00A3389E">
              <w:rPr>
                <w:rFonts w:ascii="Times New Roman" w:hAnsi="Times New Roman" w:cs="Times New Roman"/>
                <w:sz w:val="24"/>
              </w:rPr>
              <w:t>dočasných rozdielov,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36 ods. 1 písm. c), článku 38</w:t>
            </w:r>
            <w:r w:rsidR="00A3389E">
              <w:rPr>
                <w:rFonts w:ascii="Times New Roman" w:hAnsi="Times New Roman" w:cs="Times New Roman"/>
                <w:sz w:val="24"/>
              </w:rPr>
              <w:t xml:space="preserve"> a </w:t>
            </w:r>
            <w:r w:rsidRPr="00A3389E">
              <w:rPr>
                <w:rFonts w:ascii="Times New Roman" w:hAnsi="Times New Roman" w:cs="Times New Roman"/>
                <w:sz w:val="24"/>
              </w:rPr>
              <w:t>článku 48 ods. 1 písm. a) CRR.</w:t>
            </w:r>
          </w:p>
        </w:tc>
      </w:tr>
      <w:tr w:rsidR="00CE019E" w:rsidRPr="00A3389E" w14:paraId="3361CDFE" w14:textId="77777777" w:rsidTr="001E06A3">
        <w:tc>
          <w:tcPr>
            <w:tcW w:w="1172" w:type="dxa"/>
            <w:vAlign w:val="center"/>
          </w:tcPr>
          <w:p w14:paraId="757F70FB"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EU-25a</w:t>
            </w:r>
          </w:p>
        </w:tc>
        <w:tc>
          <w:tcPr>
            <w:tcW w:w="7242" w:type="dxa"/>
            <w:vAlign w:val="center"/>
          </w:tcPr>
          <w:p w14:paraId="351E3124"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Straty za bežný finančný rok (záporná hodnota)</w:t>
            </w:r>
          </w:p>
          <w:p w14:paraId="62500878" w14:textId="7D878D3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Straty za finančný rok</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a) CRR (záporná hodnota).</w:t>
            </w:r>
          </w:p>
        </w:tc>
      </w:tr>
      <w:tr w:rsidR="00CE019E" w:rsidRPr="00A3389E" w14:paraId="6C918BDD" w14:textId="77777777" w:rsidTr="001E06A3">
        <w:tc>
          <w:tcPr>
            <w:tcW w:w="1172" w:type="dxa"/>
            <w:vAlign w:val="center"/>
          </w:tcPr>
          <w:p w14:paraId="4A28606A"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EU-25b</w:t>
            </w:r>
          </w:p>
        </w:tc>
        <w:tc>
          <w:tcPr>
            <w:tcW w:w="7242" w:type="dxa"/>
            <w:vAlign w:val="center"/>
          </w:tcPr>
          <w:p w14:paraId="0A07A5DE" w14:textId="2BB926EA"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Predpokladané daňové poplatky súvisiace</w:t>
            </w:r>
            <w:r w:rsidR="00A3389E">
              <w:rPr>
                <w:rFonts w:ascii="Times New Roman" w:hAnsi="Times New Roman" w:cs="Times New Roman"/>
                <w:sz w:val="24"/>
              </w:rPr>
              <w:t xml:space="preserve"> s </w:t>
            </w:r>
            <w:r w:rsidRPr="00A3389E">
              <w:rPr>
                <w:rFonts w:ascii="Times New Roman" w:hAnsi="Times New Roman" w:cs="Times New Roman"/>
                <w:sz w:val="24"/>
              </w:rPr>
              <w:t>položkami CET1</w:t>
            </w:r>
            <w:r w:rsidR="00A3389E">
              <w:rPr>
                <w:rFonts w:ascii="Times New Roman" w:hAnsi="Times New Roman" w:cs="Times New Roman"/>
                <w:sz w:val="24"/>
              </w:rPr>
              <w:t xml:space="preserve"> s </w:t>
            </w:r>
            <w:r w:rsidRPr="00A3389E">
              <w:rPr>
                <w:rFonts w:ascii="Times New Roman" w:hAnsi="Times New Roman" w:cs="Times New Roman"/>
                <w:sz w:val="24"/>
              </w:rPr>
              <w:t>výnimkou prípadov, keď inštitúcia vhodne upraví hodnotu položiek CET1, pokiaľ takéto daňové poplatky znižujú hodnotu, do ktorej sa môžu uvedené položky použiť na krytie rizík alebo strát (záporná hodnota).</w:t>
            </w:r>
          </w:p>
          <w:p w14:paraId="6272E394" w14:textId="5F7F6F88"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Výška predpokladaných daňových poplatkov súvisiacich</w:t>
            </w:r>
            <w:r w:rsidR="00A3389E" w:rsidRPr="00A60806">
              <w:rPr>
                <w:rFonts w:ascii="Times New Roman" w:hAnsi="Times New Roman" w:cs="Times New Roman"/>
                <w:spacing w:val="-8"/>
                <w:sz w:val="24"/>
              </w:rPr>
              <w:t xml:space="preserve"> s </w:t>
            </w:r>
            <w:r w:rsidRPr="00A60806">
              <w:rPr>
                <w:rFonts w:ascii="Times New Roman" w:hAnsi="Times New Roman" w:cs="Times New Roman"/>
                <w:spacing w:val="-8"/>
                <w:sz w:val="24"/>
              </w:rPr>
              <w:t>položkami CET1 predpokladanými</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momente ich výpočtu</w:t>
            </w:r>
            <w:r w:rsidR="00A3389E" w:rsidRPr="00A60806">
              <w:rPr>
                <w:rFonts w:ascii="Times New Roman" w:hAnsi="Times New Roman" w:cs="Times New Roman"/>
                <w:spacing w:val="-8"/>
                <w:sz w:val="24"/>
              </w:rPr>
              <w:t xml:space="preserve"> s </w:t>
            </w:r>
            <w:r w:rsidRPr="00A60806">
              <w:rPr>
                <w:rFonts w:ascii="Times New Roman" w:hAnsi="Times New Roman" w:cs="Times New Roman"/>
                <w:spacing w:val="-8"/>
                <w:sz w:val="24"/>
              </w:rPr>
              <w:t xml:space="preserve">výnimkou prípadov, </w:t>
            </w:r>
            <w:r w:rsidRPr="00A60806">
              <w:rPr>
                <w:rFonts w:ascii="Times New Roman" w:hAnsi="Times New Roman" w:cs="Times New Roman"/>
                <w:spacing w:val="-8"/>
                <w:sz w:val="24"/>
              </w:rPr>
              <w:lastRenderedPageBreak/>
              <w:t>keď inštitúcia vhodne upraví hodnotu položiek CET1, pokiaľ takéto daňové poplatky znižujú hodnotu, do ktorej sa môžu uvedené položky použiť na krytie rizík alebo strát,</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súlade</w:t>
            </w:r>
            <w:r w:rsidR="00A3389E" w:rsidRPr="00A60806">
              <w:rPr>
                <w:rFonts w:ascii="Times New Roman" w:hAnsi="Times New Roman" w:cs="Times New Roman"/>
                <w:spacing w:val="-8"/>
                <w:sz w:val="24"/>
              </w:rPr>
              <w:t xml:space="preserve"> s </w:t>
            </w:r>
            <w:r w:rsidRPr="00A60806">
              <w:rPr>
                <w:rFonts w:ascii="Times New Roman" w:hAnsi="Times New Roman" w:cs="Times New Roman"/>
                <w:spacing w:val="-8"/>
                <w:sz w:val="24"/>
              </w:rPr>
              <w:t>článkom 36 ods. 1 písm. l) CRR (záporná hodnota).</w:t>
            </w:r>
          </w:p>
        </w:tc>
      </w:tr>
      <w:tr w:rsidR="00CE019E" w:rsidRPr="00A3389E" w14:paraId="05752064" w14:textId="77777777" w:rsidTr="001E06A3">
        <w:tc>
          <w:tcPr>
            <w:tcW w:w="1172" w:type="dxa"/>
            <w:vAlign w:val="center"/>
          </w:tcPr>
          <w:p w14:paraId="26AF9B17"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26</w:t>
            </w:r>
          </w:p>
        </w:tc>
        <w:tc>
          <w:tcPr>
            <w:tcW w:w="7242" w:type="dxa"/>
            <w:vAlign w:val="center"/>
          </w:tcPr>
          <w:p w14:paraId="39DD9A4C"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76AE376A" w14:textId="77777777" w:rsidTr="001E06A3">
        <w:tc>
          <w:tcPr>
            <w:tcW w:w="1172" w:type="dxa"/>
            <w:vAlign w:val="center"/>
          </w:tcPr>
          <w:p w14:paraId="79685A71"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27</w:t>
            </w:r>
          </w:p>
        </w:tc>
        <w:tc>
          <w:tcPr>
            <w:tcW w:w="7242" w:type="dxa"/>
            <w:vAlign w:val="center"/>
          </w:tcPr>
          <w:p w14:paraId="33629125"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Kvalifikované odpočty AT1, ktoré prevyšujú položky AT1 inštitúcie (záporná hodnota).</w:t>
            </w:r>
          </w:p>
          <w:p w14:paraId="67670817" w14:textId="46FCEC46"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Kvalifikované odpočty AT1, ktoré prevyšujú položky AT1 inštitúcie,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36 ods. 1 písm. j) CRR (záporná hodnota).</w:t>
            </w:r>
          </w:p>
        </w:tc>
      </w:tr>
      <w:tr w:rsidR="00CE019E" w:rsidRPr="00A3389E" w14:paraId="7617A046" w14:textId="77777777" w:rsidTr="001E06A3">
        <w:tc>
          <w:tcPr>
            <w:tcW w:w="1172" w:type="dxa"/>
            <w:vAlign w:val="center"/>
          </w:tcPr>
          <w:p w14:paraId="1490CE47"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EU-27a</w:t>
            </w:r>
          </w:p>
        </w:tc>
        <w:tc>
          <w:tcPr>
            <w:tcW w:w="7242" w:type="dxa"/>
            <w:vAlign w:val="center"/>
          </w:tcPr>
          <w:p w14:paraId="12463B82"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Iné regulačné úpravy</w:t>
            </w:r>
          </w:p>
          <w:p w14:paraId="2B65A92B" w14:textId="523512A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tomto riadku každú uplatniteľnú regulačnú úpravu, ktorá sa vykazuje ako súčasť vykazovania na účely dohľadu</w:t>
            </w:r>
            <w:r w:rsidR="00A3389E">
              <w:rPr>
                <w:rFonts w:ascii="Times New Roman" w:hAnsi="Times New Roman" w:cs="Times New Roman"/>
                <w:sz w:val="24"/>
              </w:rPr>
              <w:t xml:space="preserve"> a </w:t>
            </w:r>
            <w:r w:rsidRPr="00A3389E">
              <w:rPr>
                <w:rFonts w:ascii="Times New Roman" w:hAnsi="Times New Roman" w:cs="Times New Roman"/>
                <w:sz w:val="24"/>
              </w:rPr>
              <w:t>ktorá nie je zahrnutá</w:t>
            </w:r>
            <w:r w:rsidR="00A3389E">
              <w:rPr>
                <w:rFonts w:ascii="Times New Roman" w:hAnsi="Times New Roman" w:cs="Times New Roman"/>
                <w:sz w:val="24"/>
              </w:rPr>
              <w:t xml:space="preserve"> v </w:t>
            </w:r>
            <w:r w:rsidRPr="00A3389E">
              <w:rPr>
                <w:rFonts w:ascii="Times New Roman" w:hAnsi="Times New Roman" w:cs="Times New Roman"/>
                <w:sz w:val="24"/>
              </w:rPr>
              <w:t>žiadnom inom riadku tohto vzoru, vrátane hodnoty prechodných opatrení podľa IFRS 9, ak je to relevantné,</w:t>
            </w:r>
            <w:r w:rsidR="00A3389E">
              <w:rPr>
                <w:rFonts w:ascii="Times New Roman" w:hAnsi="Times New Roman" w:cs="Times New Roman"/>
                <w:sz w:val="24"/>
              </w:rPr>
              <w:t xml:space="preserve"> a </w:t>
            </w:r>
            <w:r w:rsidRPr="00A3389E">
              <w:rPr>
                <w:rFonts w:ascii="Times New Roman" w:hAnsi="Times New Roman" w:cs="Times New Roman"/>
                <w:sz w:val="24"/>
              </w:rPr>
              <w:t>to až do konca prechodného obdobia.</w:t>
            </w:r>
          </w:p>
        </w:tc>
      </w:tr>
      <w:tr w:rsidR="00CE019E" w:rsidRPr="00A3389E" w14:paraId="3041F543" w14:textId="77777777" w:rsidTr="001E06A3">
        <w:tc>
          <w:tcPr>
            <w:tcW w:w="1172" w:type="dxa"/>
            <w:vAlign w:val="center"/>
          </w:tcPr>
          <w:p w14:paraId="036C8C7A"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28</w:t>
            </w:r>
          </w:p>
        </w:tc>
        <w:tc>
          <w:tcPr>
            <w:tcW w:w="7242" w:type="dxa"/>
            <w:vAlign w:val="center"/>
          </w:tcPr>
          <w:p w14:paraId="7655DF49"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Celkové regulačné úpravy vlastného kapitálu Tier 1 (CET1)</w:t>
            </w:r>
          </w:p>
          <w:p w14:paraId="5763F1D9" w14:textId="3780A653"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Vypočítavajú sa ako súčet hodnôt uvedených</w:t>
            </w:r>
            <w:r w:rsidR="00A3389E">
              <w:rPr>
                <w:rFonts w:ascii="Times New Roman" w:hAnsi="Times New Roman" w:cs="Times New Roman"/>
                <w:sz w:val="24"/>
              </w:rPr>
              <w:t xml:space="preserve"> v </w:t>
            </w:r>
            <w:r w:rsidRPr="00A3389E">
              <w:rPr>
                <w:rFonts w:ascii="Times New Roman" w:hAnsi="Times New Roman" w:cs="Times New Roman"/>
                <w:sz w:val="24"/>
              </w:rPr>
              <w:t>riadkoch 7 až EU-20a, 21, 22</w:t>
            </w:r>
            <w:r w:rsidR="00A3389E">
              <w:rPr>
                <w:rFonts w:ascii="Times New Roman" w:hAnsi="Times New Roman" w:cs="Times New Roman"/>
                <w:sz w:val="24"/>
              </w:rPr>
              <w:t xml:space="preserve"> a </w:t>
            </w:r>
            <w:r w:rsidRPr="00A3389E">
              <w:rPr>
                <w:rFonts w:ascii="Times New Roman" w:hAnsi="Times New Roman" w:cs="Times New Roman"/>
                <w:sz w:val="24"/>
              </w:rPr>
              <w:t>riadkoch EU-25a až EU-27a tohto vzoru.</w:t>
            </w:r>
          </w:p>
        </w:tc>
      </w:tr>
      <w:tr w:rsidR="00CE019E" w:rsidRPr="00A3389E" w14:paraId="47E67939" w14:textId="77777777" w:rsidTr="001E06A3">
        <w:tc>
          <w:tcPr>
            <w:tcW w:w="1172" w:type="dxa"/>
            <w:vAlign w:val="center"/>
          </w:tcPr>
          <w:p w14:paraId="6D6AE69A"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29</w:t>
            </w:r>
          </w:p>
        </w:tc>
        <w:tc>
          <w:tcPr>
            <w:tcW w:w="7242" w:type="dxa"/>
            <w:vAlign w:val="center"/>
          </w:tcPr>
          <w:p w14:paraId="391D84ED"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Vlastný kapitál Tier 1 (CET1)</w:t>
            </w:r>
          </w:p>
          <w:p w14:paraId="3C814FFD"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Vypočíta sa ako riadok 6 mínus riadok 28 tohto vzoru.</w:t>
            </w:r>
          </w:p>
        </w:tc>
      </w:tr>
      <w:tr w:rsidR="00CE019E" w:rsidRPr="00A3389E" w14:paraId="20040471" w14:textId="77777777" w:rsidTr="001E06A3">
        <w:tc>
          <w:tcPr>
            <w:tcW w:w="1172" w:type="dxa"/>
            <w:vAlign w:val="center"/>
          </w:tcPr>
          <w:p w14:paraId="6FC55127"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30</w:t>
            </w:r>
          </w:p>
        </w:tc>
        <w:tc>
          <w:tcPr>
            <w:tcW w:w="7242" w:type="dxa"/>
            <w:vAlign w:val="center"/>
          </w:tcPr>
          <w:p w14:paraId="7FC73003" w14:textId="1A841712"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Kapitálové nástroje</w:t>
            </w:r>
            <w:r w:rsidR="00A3389E">
              <w:rPr>
                <w:rFonts w:ascii="Times New Roman" w:hAnsi="Times New Roman" w:cs="Times New Roman"/>
                <w:sz w:val="24"/>
              </w:rPr>
              <w:t xml:space="preserve"> a </w:t>
            </w:r>
            <w:r w:rsidRPr="00A3389E">
              <w:rPr>
                <w:rFonts w:ascii="Times New Roman" w:hAnsi="Times New Roman" w:cs="Times New Roman"/>
                <w:sz w:val="24"/>
              </w:rPr>
              <w:t>súvisiace emisné ážiá.</w:t>
            </w:r>
          </w:p>
          <w:p w14:paraId="1789E432" w14:textId="5E7F680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Kapitálové nástroje</w:t>
            </w:r>
            <w:r w:rsidR="00A3389E">
              <w:rPr>
                <w:rFonts w:ascii="Times New Roman" w:hAnsi="Times New Roman" w:cs="Times New Roman"/>
                <w:sz w:val="24"/>
              </w:rPr>
              <w:t xml:space="preserve"> a </w:t>
            </w:r>
            <w:r w:rsidRPr="00A3389E">
              <w:rPr>
                <w:rFonts w:ascii="Times New Roman" w:hAnsi="Times New Roman" w:cs="Times New Roman"/>
                <w:sz w:val="24"/>
              </w:rPr>
              <w:t>súvisiace emisné ážia podľa článkov 51</w:t>
            </w:r>
            <w:r w:rsidR="00A3389E">
              <w:rPr>
                <w:rFonts w:ascii="Times New Roman" w:hAnsi="Times New Roman" w:cs="Times New Roman"/>
                <w:sz w:val="24"/>
              </w:rPr>
              <w:t xml:space="preserve"> a </w:t>
            </w:r>
            <w:r w:rsidRPr="00A3389E">
              <w:rPr>
                <w:rFonts w:ascii="Times New Roman" w:hAnsi="Times New Roman" w:cs="Times New Roman"/>
                <w:sz w:val="24"/>
              </w:rPr>
              <w:t>52 CRR.</w:t>
            </w:r>
          </w:p>
        </w:tc>
      </w:tr>
      <w:tr w:rsidR="00CE019E" w:rsidRPr="00A3389E" w14:paraId="5E546FAF" w14:textId="77777777" w:rsidTr="001E06A3">
        <w:tc>
          <w:tcPr>
            <w:tcW w:w="1172" w:type="dxa"/>
            <w:vAlign w:val="center"/>
          </w:tcPr>
          <w:p w14:paraId="552B3851"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31</w:t>
            </w:r>
          </w:p>
        </w:tc>
        <w:tc>
          <w:tcPr>
            <w:tcW w:w="7242" w:type="dxa"/>
            <w:vAlign w:val="center"/>
          </w:tcPr>
          <w:p w14:paraId="761C7063"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klasifikované ako vlastný kapitál podľa uplatniteľných účtovných štandardov.</w:t>
            </w:r>
          </w:p>
          <w:p w14:paraId="3C10748F" w14:textId="55007D14"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riadku 30 tohto vzoru klasifikovaná ako vlastný kapitál podľa uplatniteľných účtovných štandardov.</w:t>
            </w:r>
          </w:p>
        </w:tc>
      </w:tr>
      <w:tr w:rsidR="00CE019E" w:rsidRPr="00A3389E" w14:paraId="418A53CD" w14:textId="77777777" w:rsidTr="001E06A3">
        <w:tc>
          <w:tcPr>
            <w:tcW w:w="1172" w:type="dxa"/>
            <w:vAlign w:val="center"/>
          </w:tcPr>
          <w:p w14:paraId="684D6F54"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32</w:t>
            </w:r>
          </w:p>
        </w:tc>
        <w:tc>
          <w:tcPr>
            <w:tcW w:w="7242" w:type="dxa"/>
            <w:vAlign w:val="center"/>
          </w:tcPr>
          <w:p w14:paraId="7DB4D2C9"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klasifikované ako záväzky podľa uplatniteľných účtovných štandardov.</w:t>
            </w:r>
          </w:p>
          <w:p w14:paraId="1D077117" w14:textId="2909BC9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riadku 30 tohto vzoru klasifikovaná ako záväzky podľa uplatniteľných účtovných štandardov.</w:t>
            </w:r>
          </w:p>
        </w:tc>
      </w:tr>
      <w:tr w:rsidR="00CE019E" w:rsidRPr="00A3389E" w14:paraId="5E308BE5" w14:textId="77777777" w:rsidTr="001E06A3">
        <w:tc>
          <w:tcPr>
            <w:tcW w:w="1172" w:type="dxa"/>
            <w:vAlign w:val="center"/>
          </w:tcPr>
          <w:p w14:paraId="72BDAE25"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33</w:t>
            </w:r>
          </w:p>
        </w:tc>
        <w:tc>
          <w:tcPr>
            <w:tcW w:w="7242" w:type="dxa"/>
            <w:vAlign w:val="center"/>
          </w:tcPr>
          <w:p w14:paraId="71CEB700" w14:textId="7D7294C5"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Hodnota kvalifikovaných položiek uvedených</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článku 484 ods. 4 CRR</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súvisiaceho emisného ážia podliehajúcich postupnému vyraďovaniu</w:t>
            </w:r>
            <w:r w:rsidR="00A3389E" w:rsidRPr="00A60806">
              <w:rPr>
                <w:rFonts w:ascii="Times New Roman" w:hAnsi="Times New Roman" w:cs="Times New Roman"/>
                <w:spacing w:val="-8"/>
                <w:sz w:val="24"/>
              </w:rPr>
              <w:t xml:space="preserve"> z </w:t>
            </w:r>
            <w:r w:rsidRPr="00A60806">
              <w:rPr>
                <w:rFonts w:ascii="Times New Roman" w:hAnsi="Times New Roman" w:cs="Times New Roman"/>
                <w:spacing w:val="-8"/>
                <w:sz w:val="24"/>
              </w:rPr>
              <w:t>AT1.</w:t>
            </w:r>
          </w:p>
          <w:p w14:paraId="224F7B0E" w14:textId="4DB703B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lastRenderedPageBreak/>
              <w:t>Hodnota kvalifikovaných položiek uvedených</w:t>
            </w:r>
            <w:r w:rsidR="00A3389E">
              <w:rPr>
                <w:rFonts w:ascii="Times New Roman" w:hAnsi="Times New Roman" w:cs="Times New Roman"/>
                <w:sz w:val="24"/>
              </w:rPr>
              <w:t xml:space="preserve"> v </w:t>
            </w:r>
            <w:r w:rsidRPr="00A3389E">
              <w:rPr>
                <w:rFonts w:ascii="Times New Roman" w:hAnsi="Times New Roman" w:cs="Times New Roman"/>
                <w:sz w:val="24"/>
              </w:rPr>
              <w:t>článku 484 ods. 4 CRR</w:t>
            </w:r>
            <w:r w:rsidR="00A3389E">
              <w:rPr>
                <w:rFonts w:ascii="Times New Roman" w:hAnsi="Times New Roman" w:cs="Times New Roman"/>
                <w:sz w:val="24"/>
              </w:rPr>
              <w:t xml:space="preserve"> a </w:t>
            </w:r>
            <w:r w:rsidRPr="00A3389E">
              <w:rPr>
                <w:rFonts w:ascii="Times New Roman" w:hAnsi="Times New Roman" w:cs="Times New Roman"/>
                <w:sz w:val="24"/>
              </w:rPr>
              <w:t>súvisiaceho emisného ážia podliehajúcich postupnému vyraďovaniu</w:t>
            </w:r>
            <w:r w:rsidR="00A3389E">
              <w:rPr>
                <w:rFonts w:ascii="Times New Roman" w:hAnsi="Times New Roman" w:cs="Times New Roman"/>
                <w:sz w:val="24"/>
              </w:rPr>
              <w:t xml:space="preserve"> z </w:t>
            </w:r>
            <w:r w:rsidRPr="00A3389E">
              <w:rPr>
                <w:rFonts w:ascii="Times New Roman" w:hAnsi="Times New Roman" w:cs="Times New Roman"/>
                <w:sz w:val="24"/>
              </w:rPr>
              <w:t>AT1</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486 ods. 3 CRR.</w:t>
            </w:r>
          </w:p>
        </w:tc>
      </w:tr>
      <w:tr w:rsidR="00CE019E" w:rsidRPr="00A3389E" w14:paraId="7454719D" w14:textId="77777777" w:rsidTr="001E06A3">
        <w:tc>
          <w:tcPr>
            <w:tcW w:w="1172" w:type="dxa"/>
            <w:vAlign w:val="center"/>
          </w:tcPr>
          <w:p w14:paraId="0773B8CC"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EU-33a</w:t>
            </w:r>
          </w:p>
        </w:tc>
        <w:tc>
          <w:tcPr>
            <w:tcW w:w="7242" w:type="dxa"/>
            <w:vAlign w:val="center"/>
          </w:tcPr>
          <w:p w14:paraId="7D850D19" w14:textId="78E384D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kvalifikovaných položiek uvedených</w:t>
            </w:r>
            <w:r w:rsidR="00A3389E">
              <w:rPr>
                <w:rFonts w:ascii="Times New Roman" w:hAnsi="Times New Roman" w:cs="Times New Roman"/>
                <w:sz w:val="24"/>
              </w:rPr>
              <w:t xml:space="preserve"> v </w:t>
            </w:r>
            <w:r w:rsidRPr="00A3389E">
              <w:rPr>
                <w:rFonts w:ascii="Times New Roman" w:hAnsi="Times New Roman" w:cs="Times New Roman"/>
                <w:sz w:val="24"/>
              </w:rPr>
              <w:t>článku 494a ods. 1 CRR</w:t>
            </w:r>
            <w:r w:rsidR="00A3389E">
              <w:rPr>
                <w:rFonts w:ascii="Times New Roman" w:hAnsi="Times New Roman" w:cs="Times New Roman"/>
                <w:sz w:val="24"/>
              </w:rPr>
              <w:t xml:space="preserve"> a </w:t>
            </w:r>
            <w:r w:rsidRPr="00A3389E">
              <w:rPr>
                <w:rFonts w:ascii="Times New Roman" w:hAnsi="Times New Roman" w:cs="Times New Roman"/>
                <w:sz w:val="24"/>
              </w:rPr>
              <w:t>podliehajúcich postupnému vyraďovaniu</w:t>
            </w:r>
            <w:r w:rsidR="00A3389E">
              <w:rPr>
                <w:rFonts w:ascii="Times New Roman" w:hAnsi="Times New Roman" w:cs="Times New Roman"/>
                <w:sz w:val="24"/>
              </w:rPr>
              <w:t xml:space="preserve"> z </w:t>
            </w:r>
            <w:r w:rsidRPr="00A3389E">
              <w:rPr>
                <w:rFonts w:ascii="Times New Roman" w:hAnsi="Times New Roman" w:cs="Times New Roman"/>
                <w:sz w:val="24"/>
              </w:rPr>
              <w:t>AT1.</w:t>
            </w:r>
          </w:p>
        </w:tc>
      </w:tr>
      <w:tr w:rsidR="00CE019E" w:rsidRPr="00A3389E" w14:paraId="60FF6EA1" w14:textId="77777777" w:rsidTr="001E06A3">
        <w:tc>
          <w:tcPr>
            <w:tcW w:w="1172" w:type="dxa"/>
            <w:vAlign w:val="center"/>
          </w:tcPr>
          <w:p w14:paraId="669785D9"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EU-33b</w:t>
            </w:r>
          </w:p>
        </w:tc>
        <w:tc>
          <w:tcPr>
            <w:tcW w:w="7242" w:type="dxa"/>
            <w:vAlign w:val="center"/>
          </w:tcPr>
          <w:p w14:paraId="5DF6D2BC" w14:textId="2DD37784"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kvalifikovaných položiek uvedených</w:t>
            </w:r>
            <w:r w:rsidR="00A3389E">
              <w:rPr>
                <w:rFonts w:ascii="Times New Roman" w:hAnsi="Times New Roman" w:cs="Times New Roman"/>
                <w:sz w:val="24"/>
              </w:rPr>
              <w:t xml:space="preserve"> v </w:t>
            </w:r>
            <w:r w:rsidRPr="00A3389E">
              <w:rPr>
                <w:rFonts w:ascii="Times New Roman" w:hAnsi="Times New Roman" w:cs="Times New Roman"/>
                <w:sz w:val="24"/>
              </w:rPr>
              <w:t>článku 494b ods. 1 CRR</w:t>
            </w:r>
            <w:r w:rsidR="00A3389E">
              <w:rPr>
                <w:rFonts w:ascii="Times New Roman" w:hAnsi="Times New Roman" w:cs="Times New Roman"/>
                <w:sz w:val="24"/>
              </w:rPr>
              <w:t xml:space="preserve"> a </w:t>
            </w:r>
            <w:r w:rsidRPr="00A3389E">
              <w:rPr>
                <w:rFonts w:ascii="Times New Roman" w:hAnsi="Times New Roman" w:cs="Times New Roman"/>
                <w:sz w:val="24"/>
              </w:rPr>
              <w:t>podliehajúcich postupnému vyraďovaniu</w:t>
            </w:r>
            <w:r w:rsidR="00A3389E">
              <w:rPr>
                <w:rFonts w:ascii="Times New Roman" w:hAnsi="Times New Roman" w:cs="Times New Roman"/>
                <w:sz w:val="24"/>
              </w:rPr>
              <w:t xml:space="preserve"> z </w:t>
            </w:r>
            <w:r w:rsidRPr="00A3389E">
              <w:rPr>
                <w:rFonts w:ascii="Times New Roman" w:hAnsi="Times New Roman" w:cs="Times New Roman"/>
                <w:sz w:val="24"/>
              </w:rPr>
              <w:t>AT1.</w:t>
            </w:r>
          </w:p>
        </w:tc>
      </w:tr>
      <w:tr w:rsidR="00CE019E" w:rsidRPr="00A3389E" w14:paraId="71993773" w14:textId="77777777" w:rsidTr="001E06A3">
        <w:tc>
          <w:tcPr>
            <w:tcW w:w="1172" w:type="dxa"/>
            <w:vAlign w:val="center"/>
          </w:tcPr>
          <w:p w14:paraId="42440BC0"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34</w:t>
            </w:r>
          </w:p>
        </w:tc>
        <w:tc>
          <w:tcPr>
            <w:tcW w:w="7242" w:type="dxa"/>
            <w:vAlign w:val="center"/>
          </w:tcPr>
          <w:p w14:paraId="4783A8DB" w14:textId="3036D046"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Kvalifikovaný kapitál Tier 1 zahrnutý do konsolidovaného kapitálu AT1 (vrátane menšinových účastí, ktoré nie sú zahrnuté</w:t>
            </w:r>
            <w:r w:rsidR="00A3389E">
              <w:rPr>
                <w:rFonts w:ascii="Times New Roman" w:hAnsi="Times New Roman" w:cs="Times New Roman"/>
                <w:sz w:val="24"/>
              </w:rPr>
              <w:t xml:space="preserve"> v </w:t>
            </w:r>
            <w:r w:rsidRPr="00A3389E">
              <w:rPr>
                <w:rFonts w:ascii="Times New Roman" w:hAnsi="Times New Roman" w:cs="Times New Roman"/>
                <w:sz w:val="24"/>
              </w:rPr>
              <w:t>riadku 5) emitovaný dcérskymi spoločnosťami</w:t>
            </w:r>
            <w:r w:rsidR="00A3389E">
              <w:rPr>
                <w:rFonts w:ascii="Times New Roman" w:hAnsi="Times New Roman" w:cs="Times New Roman"/>
                <w:sz w:val="24"/>
              </w:rPr>
              <w:t xml:space="preserve"> a v </w:t>
            </w:r>
            <w:r w:rsidRPr="00A3389E">
              <w:rPr>
                <w:rFonts w:ascii="Times New Roman" w:hAnsi="Times New Roman" w:cs="Times New Roman"/>
                <w:sz w:val="24"/>
              </w:rPr>
              <w:t>držbe tretích strán.</w:t>
            </w:r>
          </w:p>
          <w:p w14:paraId="20F1A6D0" w14:textId="148796E6"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Kvalifikovaný kapitál T1 zahrnutý do konsolidovaného kapitálu AT1 (vrátane menšinových účastí, ktoré nie sú zahrnuté</w:t>
            </w:r>
            <w:r w:rsidR="00A3389E">
              <w:rPr>
                <w:rFonts w:ascii="Times New Roman" w:hAnsi="Times New Roman" w:cs="Times New Roman"/>
                <w:sz w:val="24"/>
              </w:rPr>
              <w:t xml:space="preserve"> v </w:t>
            </w:r>
            <w:r w:rsidRPr="00A3389E">
              <w:rPr>
                <w:rFonts w:ascii="Times New Roman" w:hAnsi="Times New Roman" w:cs="Times New Roman"/>
                <w:sz w:val="24"/>
              </w:rPr>
              <w:t>riadku 5 tohto vzoru) emitovaný dcérskymi spoločnosťami</w:t>
            </w:r>
            <w:r w:rsidR="00A3389E">
              <w:rPr>
                <w:rFonts w:ascii="Times New Roman" w:hAnsi="Times New Roman" w:cs="Times New Roman"/>
                <w:sz w:val="24"/>
              </w:rPr>
              <w:t xml:space="preserve"> a v </w:t>
            </w:r>
            <w:r w:rsidRPr="00A3389E">
              <w:rPr>
                <w:rFonts w:ascii="Times New Roman" w:hAnsi="Times New Roman" w:cs="Times New Roman"/>
                <w:sz w:val="24"/>
              </w:rPr>
              <w:t>držbe tretích strán,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článkoch 85</w:t>
            </w:r>
            <w:r w:rsidR="00A3389E">
              <w:rPr>
                <w:rFonts w:ascii="Times New Roman" w:hAnsi="Times New Roman" w:cs="Times New Roman"/>
                <w:sz w:val="24"/>
              </w:rPr>
              <w:t xml:space="preserve"> a </w:t>
            </w:r>
            <w:r w:rsidRPr="00A3389E">
              <w:rPr>
                <w:rFonts w:ascii="Times New Roman" w:hAnsi="Times New Roman" w:cs="Times New Roman"/>
                <w:sz w:val="24"/>
              </w:rPr>
              <w:t>86 CRR.</w:t>
            </w:r>
          </w:p>
        </w:tc>
      </w:tr>
      <w:tr w:rsidR="00CE019E" w:rsidRPr="00A3389E" w14:paraId="1D5C740C" w14:textId="77777777" w:rsidTr="001E06A3">
        <w:tc>
          <w:tcPr>
            <w:tcW w:w="1172" w:type="dxa"/>
            <w:vAlign w:val="center"/>
          </w:tcPr>
          <w:p w14:paraId="1DF13855"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35</w:t>
            </w:r>
          </w:p>
        </w:tc>
        <w:tc>
          <w:tcPr>
            <w:tcW w:w="7242" w:type="dxa"/>
            <w:vAlign w:val="center"/>
          </w:tcPr>
          <w:p w14:paraId="4A0ACA9A"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nástroje emitované dcérskymi spoločnosťami podliehajúce postupnému vyraďovaniu.</w:t>
            </w:r>
          </w:p>
          <w:p w14:paraId="1B0B58DA" w14:textId="3230DCA2"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riadku 34 tohto vzoru, ktorá sa týka nástrojov emitovaných dcérskymi spoločnosťami, na ktoré sa vzťahuje postupné vyraďovanie,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486 ods. 3 CRR.</w:t>
            </w:r>
          </w:p>
        </w:tc>
      </w:tr>
      <w:tr w:rsidR="00CE019E" w:rsidRPr="00A3389E" w14:paraId="3162EDB6" w14:textId="77777777" w:rsidTr="001E06A3">
        <w:tc>
          <w:tcPr>
            <w:tcW w:w="1172" w:type="dxa"/>
            <w:vAlign w:val="center"/>
          </w:tcPr>
          <w:p w14:paraId="7EDCA375"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36</w:t>
            </w:r>
          </w:p>
        </w:tc>
        <w:tc>
          <w:tcPr>
            <w:tcW w:w="7242" w:type="dxa"/>
            <w:vAlign w:val="center"/>
          </w:tcPr>
          <w:p w14:paraId="7177BB0F"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Dodatočný kapitál Tier 1 (AT1) pred regulačnými úpravami.</w:t>
            </w:r>
          </w:p>
          <w:p w14:paraId="19501C86" w14:textId="21322223"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30, 33, EU-33a, EU-33b</w:t>
            </w:r>
            <w:r w:rsidR="00A3389E">
              <w:rPr>
                <w:rFonts w:ascii="Times New Roman" w:hAnsi="Times New Roman" w:cs="Times New Roman"/>
                <w:sz w:val="24"/>
              </w:rPr>
              <w:t xml:space="preserve"> a </w:t>
            </w:r>
            <w:r w:rsidRPr="00A3389E">
              <w:rPr>
                <w:rFonts w:ascii="Times New Roman" w:hAnsi="Times New Roman" w:cs="Times New Roman"/>
                <w:sz w:val="24"/>
              </w:rPr>
              <w:t>34 tohto vzoru.</w:t>
            </w:r>
          </w:p>
        </w:tc>
      </w:tr>
      <w:tr w:rsidR="00CE019E" w:rsidRPr="00A3389E" w14:paraId="6151619E" w14:textId="77777777" w:rsidTr="001E06A3">
        <w:tc>
          <w:tcPr>
            <w:tcW w:w="1172" w:type="dxa"/>
            <w:vAlign w:val="center"/>
          </w:tcPr>
          <w:p w14:paraId="3B463F5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37</w:t>
            </w:r>
          </w:p>
        </w:tc>
        <w:tc>
          <w:tcPr>
            <w:tcW w:w="7242" w:type="dxa"/>
            <w:vAlign w:val="center"/>
          </w:tcPr>
          <w:p w14:paraId="10F835B0" w14:textId="0D46569B"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w:t>
            </w:r>
            <w:r w:rsidR="00A3389E">
              <w:rPr>
                <w:rFonts w:ascii="Times New Roman" w:hAnsi="Times New Roman" w:cs="Times New Roman"/>
                <w:sz w:val="24"/>
              </w:rPr>
              <w:t xml:space="preserve"> v </w:t>
            </w:r>
            <w:r w:rsidRPr="00A3389E">
              <w:rPr>
                <w:rFonts w:ascii="Times New Roman" w:hAnsi="Times New Roman" w:cs="Times New Roman"/>
                <w:sz w:val="24"/>
              </w:rPr>
              <w:t>nástrojoch vlastného AT1 (záporná hodnota).</w:t>
            </w:r>
          </w:p>
          <w:p w14:paraId="1D304EF2" w14:textId="5298889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 na nástrojoch vlastného AT1,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52 ods. 1 písm. b), článku 56 písm. a)</w:t>
            </w:r>
            <w:r w:rsidR="00A3389E">
              <w:rPr>
                <w:rFonts w:ascii="Times New Roman" w:hAnsi="Times New Roman" w:cs="Times New Roman"/>
                <w:sz w:val="24"/>
              </w:rPr>
              <w:t xml:space="preserve"> a </w:t>
            </w:r>
            <w:r w:rsidRPr="00A3389E">
              <w:rPr>
                <w:rFonts w:ascii="Times New Roman" w:hAnsi="Times New Roman" w:cs="Times New Roman"/>
                <w:sz w:val="24"/>
              </w:rPr>
              <w:t>článku 57 CRR (záporná hodnota).</w:t>
            </w:r>
          </w:p>
        </w:tc>
      </w:tr>
      <w:tr w:rsidR="00CE019E" w:rsidRPr="00A3389E" w14:paraId="05FADEF9" w14:textId="77777777" w:rsidTr="001E06A3">
        <w:tc>
          <w:tcPr>
            <w:tcW w:w="1172" w:type="dxa"/>
            <w:vAlign w:val="center"/>
          </w:tcPr>
          <w:p w14:paraId="0A1AE416"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38</w:t>
            </w:r>
          </w:p>
        </w:tc>
        <w:tc>
          <w:tcPr>
            <w:tcW w:w="7242" w:type="dxa"/>
            <w:vAlign w:val="center"/>
          </w:tcPr>
          <w:p w14:paraId="44ACD2DE" w14:textId="44E83A95"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Priame, nepriame</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syntetické podiely na nástrojoch AT1 subjektov finančného sektora, ak tieto subjekty majú recipročné krížové podiely</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inštitúcii, ktoré majú umelo zvyšovať vlastné zdroje inštitúcie (záporná hodnota).</w:t>
            </w:r>
          </w:p>
          <w:p w14:paraId="3522754D" w14:textId="2728B0E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w:t>
            </w:r>
            <w:r w:rsidR="00A3389E">
              <w:rPr>
                <w:rFonts w:ascii="Times New Roman" w:hAnsi="Times New Roman" w:cs="Times New Roman"/>
                <w:sz w:val="24"/>
              </w:rPr>
              <w:t xml:space="preserve"> v </w:t>
            </w:r>
            <w:r w:rsidRPr="00A3389E">
              <w:rPr>
                <w:rFonts w:ascii="Times New Roman" w:hAnsi="Times New Roman" w:cs="Times New Roman"/>
                <w:sz w:val="24"/>
              </w:rPr>
              <w:t>nástrojoch AT1 subjektov finančného sektora, ak tieto subjekty majú recipročné krížové podiely</w:t>
            </w:r>
            <w:r w:rsidR="00A3389E">
              <w:rPr>
                <w:rFonts w:ascii="Times New Roman" w:hAnsi="Times New Roman" w:cs="Times New Roman"/>
                <w:sz w:val="24"/>
              </w:rPr>
              <w:t xml:space="preserve"> v </w:t>
            </w:r>
            <w:r w:rsidRPr="00A3389E">
              <w:rPr>
                <w:rFonts w:ascii="Times New Roman" w:hAnsi="Times New Roman" w:cs="Times New Roman"/>
                <w:sz w:val="24"/>
              </w:rPr>
              <w:t>inštitúcii, ktoré majú umelo zvyšovať vlastné zdroje inštitúcie,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56 písm. b)</w:t>
            </w:r>
            <w:r w:rsidR="00A3389E">
              <w:rPr>
                <w:rFonts w:ascii="Times New Roman" w:hAnsi="Times New Roman" w:cs="Times New Roman"/>
                <w:sz w:val="24"/>
              </w:rPr>
              <w:t xml:space="preserve"> a </w:t>
            </w:r>
            <w:r w:rsidRPr="00A3389E">
              <w:rPr>
                <w:rFonts w:ascii="Times New Roman" w:hAnsi="Times New Roman" w:cs="Times New Roman"/>
                <w:sz w:val="24"/>
              </w:rPr>
              <w:t>článku 58 CRR (záporná hodnota).</w:t>
            </w:r>
          </w:p>
        </w:tc>
      </w:tr>
      <w:tr w:rsidR="00CE019E" w:rsidRPr="00A3389E" w14:paraId="71372DE0" w14:textId="77777777" w:rsidTr="001E06A3">
        <w:tc>
          <w:tcPr>
            <w:tcW w:w="1172" w:type="dxa"/>
            <w:vAlign w:val="center"/>
          </w:tcPr>
          <w:p w14:paraId="04489B5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39</w:t>
            </w:r>
          </w:p>
        </w:tc>
        <w:tc>
          <w:tcPr>
            <w:tcW w:w="7242" w:type="dxa"/>
            <w:vAlign w:val="center"/>
          </w:tcPr>
          <w:p w14:paraId="707B80B6" w14:textId="09EF854F"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na nástrojoch AT1 subjektov finančného sektora, ak daná inštitúcia nemá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nad prahovou hodnotou 10</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 (záporná hodnota).</w:t>
            </w:r>
          </w:p>
          <w:p w14:paraId="4D05C3D9" w14:textId="76A2C908"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lastRenderedPageBreak/>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w:t>
            </w:r>
            <w:r w:rsidR="00A3389E">
              <w:rPr>
                <w:rFonts w:ascii="Times New Roman" w:hAnsi="Times New Roman" w:cs="Times New Roman"/>
                <w:sz w:val="24"/>
              </w:rPr>
              <w:t xml:space="preserve"> v </w:t>
            </w:r>
            <w:r w:rsidRPr="00A3389E">
              <w:rPr>
                <w:rFonts w:ascii="Times New Roman" w:hAnsi="Times New Roman" w:cs="Times New Roman"/>
                <w:sz w:val="24"/>
              </w:rPr>
              <w:t>nástrojoch AT1 subjektov finančného sektora, ak daná inštitúcia nemá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nad prahovou hodnotou 10</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56 písm. c)</w:t>
            </w:r>
            <w:r w:rsidR="00A3389E">
              <w:rPr>
                <w:rFonts w:ascii="Times New Roman" w:hAnsi="Times New Roman" w:cs="Times New Roman"/>
                <w:sz w:val="24"/>
              </w:rPr>
              <w:t xml:space="preserve"> a </w:t>
            </w:r>
            <w:r w:rsidRPr="00A3389E">
              <w:rPr>
                <w:rFonts w:ascii="Times New Roman" w:hAnsi="Times New Roman" w:cs="Times New Roman"/>
                <w:sz w:val="24"/>
              </w:rPr>
              <w:t>článkoch 59, 60</w:t>
            </w:r>
            <w:r w:rsidR="00A3389E">
              <w:rPr>
                <w:rFonts w:ascii="Times New Roman" w:hAnsi="Times New Roman" w:cs="Times New Roman"/>
                <w:sz w:val="24"/>
              </w:rPr>
              <w:t xml:space="preserve"> a </w:t>
            </w:r>
            <w:r w:rsidRPr="00A3389E">
              <w:rPr>
                <w:rFonts w:ascii="Times New Roman" w:hAnsi="Times New Roman" w:cs="Times New Roman"/>
                <w:sz w:val="24"/>
              </w:rPr>
              <w:t>79 CRR (záporná hodnota).</w:t>
            </w:r>
          </w:p>
        </w:tc>
      </w:tr>
      <w:tr w:rsidR="00CE019E" w:rsidRPr="00A3389E" w14:paraId="1BB78966" w14:textId="77777777" w:rsidTr="001E06A3">
        <w:tc>
          <w:tcPr>
            <w:tcW w:w="1172" w:type="dxa"/>
            <w:vAlign w:val="center"/>
          </w:tcPr>
          <w:p w14:paraId="6CE7E69B"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40</w:t>
            </w:r>
          </w:p>
        </w:tc>
        <w:tc>
          <w:tcPr>
            <w:tcW w:w="7242" w:type="dxa"/>
            <w:vAlign w:val="center"/>
          </w:tcPr>
          <w:p w14:paraId="1786A872" w14:textId="6BE22610"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Priame, nepriame</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syntetické podiely inštitúcie na nástrojoch AT1 subjektov finančného sektora, ak daná inštitúcia má významnú investíciu</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týchto subjektoch (po odpočítaní prípustných krátkych pozícií) (záporná hodnota).</w:t>
            </w:r>
          </w:p>
          <w:p w14:paraId="23F8D2B1" w14:textId="3254330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 na nástrojoch AT1 subjektov finančného sektora, ak daná inštitúcia 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(po odpočítaní prípustných krátkych pozícií),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56 písm. d)</w:t>
            </w:r>
            <w:r w:rsidR="00A3389E">
              <w:rPr>
                <w:rFonts w:ascii="Times New Roman" w:hAnsi="Times New Roman" w:cs="Times New Roman"/>
                <w:sz w:val="24"/>
              </w:rPr>
              <w:t xml:space="preserve"> a </w:t>
            </w:r>
            <w:r w:rsidRPr="00A3389E">
              <w:rPr>
                <w:rFonts w:ascii="Times New Roman" w:hAnsi="Times New Roman" w:cs="Times New Roman"/>
                <w:sz w:val="24"/>
              </w:rPr>
              <w:t>článkoch 59</w:t>
            </w:r>
            <w:r w:rsidR="00A3389E">
              <w:rPr>
                <w:rFonts w:ascii="Times New Roman" w:hAnsi="Times New Roman" w:cs="Times New Roman"/>
                <w:sz w:val="24"/>
              </w:rPr>
              <w:t xml:space="preserve"> a </w:t>
            </w:r>
            <w:r w:rsidRPr="00A3389E">
              <w:rPr>
                <w:rFonts w:ascii="Times New Roman" w:hAnsi="Times New Roman" w:cs="Times New Roman"/>
                <w:sz w:val="24"/>
              </w:rPr>
              <w:t>79 CRR (záporná hodnota).</w:t>
            </w:r>
          </w:p>
        </w:tc>
      </w:tr>
      <w:tr w:rsidR="00CE019E" w:rsidRPr="00A3389E" w14:paraId="2816C5B2" w14:textId="77777777" w:rsidTr="001E06A3">
        <w:tc>
          <w:tcPr>
            <w:tcW w:w="1172" w:type="dxa"/>
            <w:vAlign w:val="center"/>
          </w:tcPr>
          <w:p w14:paraId="6B1ED14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41</w:t>
            </w:r>
          </w:p>
        </w:tc>
        <w:tc>
          <w:tcPr>
            <w:tcW w:w="7242" w:type="dxa"/>
            <w:vAlign w:val="center"/>
          </w:tcPr>
          <w:p w14:paraId="184EF4EC"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01C00EF8" w14:textId="77777777" w:rsidTr="001E06A3">
        <w:tc>
          <w:tcPr>
            <w:tcW w:w="1172" w:type="dxa"/>
            <w:vAlign w:val="center"/>
          </w:tcPr>
          <w:p w14:paraId="0CAB0DD7"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42</w:t>
            </w:r>
          </w:p>
        </w:tc>
        <w:tc>
          <w:tcPr>
            <w:tcW w:w="7242" w:type="dxa"/>
            <w:vAlign w:val="center"/>
          </w:tcPr>
          <w:p w14:paraId="193EB239"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Kvalifikované odpočty T2, ktoré prevyšujú položky T2 inštitúcie (záporná hodnota).</w:t>
            </w:r>
          </w:p>
          <w:p w14:paraId="1547E244" w14:textId="4F2CF41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Kvalifikované odpočty T2, ktoré prevyšujú položky T2 inštitúcie,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56 písm. e) CRR (záporná hodnota).</w:t>
            </w:r>
          </w:p>
        </w:tc>
      </w:tr>
      <w:tr w:rsidR="00CE019E" w:rsidRPr="00A3389E" w14:paraId="4A463F47" w14:textId="77777777" w:rsidTr="001E06A3">
        <w:tc>
          <w:tcPr>
            <w:tcW w:w="1172" w:type="dxa"/>
            <w:vAlign w:val="center"/>
          </w:tcPr>
          <w:p w14:paraId="400ADF6A"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EU-42a</w:t>
            </w:r>
          </w:p>
        </w:tc>
        <w:tc>
          <w:tcPr>
            <w:tcW w:w="7242" w:type="dxa"/>
            <w:vAlign w:val="center"/>
          </w:tcPr>
          <w:p w14:paraId="7C29BC80"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Ostatné regulačné úpravy kapitálu AT1.</w:t>
            </w:r>
          </w:p>
          <w:p w14:paraId="683166EB" w14:textId="2C39B99B"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tomto riadku každú uplatniteľnú regulačnú úpravu, ktorá sa vykazuje ako súčasť vykazovania na účely dohľadu</w:t>
            </w:r>
            <w:r w:rsidR="00A3389E">
              <w:rPr>
                <w:rFonts w:ascii="Times New Roman" w:hAnsi="Times New Roman" w:cs="Times New Roman"/>
                <w:sz w:val="24"/>
              </w:rPr>
              <w:t xml:space="preserve"> a </w:t>
            </w:r>
            <w:r w:rsidRPr="00A3389E">
              <w:rPr>
                <w:rFonts w:ascii="Times New Roman" w:hAnsi="Times New Roman" w:cs="Times New Roman"/>
                <w:sz w:val="24"/>
              </w:rPr>
              <w:t>nie je zahrnutá</w:t>
            </w:r>
            <w:r w:rsidR="00A3389E">
              <w:rPr>
                <w:rFonts w:ascii="Times New Roman" w:hAnsi="Times New Roman" w:cs="Times New Roman"/>
                <w:sz w:val="24"/>
              </w:rPr>
              <w:t xml:space="preserve"> v </w:t>
            </w:r>
            <w:r w:rsidRPr="00A3389E">
              <w:rPr>
                <w:rFonts w:ascii="Times New Roman" w:hAnsi="Times New Roman" w:cs="Times New Roman"/>
                <w:sz w:val="24"/>
              </w:rPr>
              <w:t>žiadnom inom riadku tohto vzoru.</w:t>
            </w:r>
          </w:p>
        </w:tc>
      </w:tr>
      <w:tr w:rsidR="00CE019E" w:rsidRPr="00A3389E" w14:paraId="20CA95B7" w14:textId="77777777" w:rsidTr="001E06A3">
        <w:tc>
          <w:tcPr>
            <w:tcW w:w="1172" w:type="dxa"/>
            <w:vAlign w:val="center"/>
          </w:tcPr>
          <w:p w14:paraId="03F674F1"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43</w:t>
            </w:r>
          </w:p>
        </w:tc>
        <w:tc>
          <w:tcPr>
            <w:tcW w:w="7242" w:type="dxa"/>
            <w:vAlign w:val="center"/>
          </w:tcPr>
          <w:p w14:paraId="20F0F57A"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Celkové regulačné úpravy dodatočného kapitálu Tier 1 (AT1)</w:t>
            </w:r>
          </w:p>
          <w:p w14:paraId="57061E70" w14:textId="252E33D2"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37 až EU-42a tohto vzoru.</w:t>
            </w:r>
          </w:p>
        </w:tc>
      </w:tr>
      <w:tr w:rsidR="00CE019E" w:rsidRPr="00A3389E" w14:paraId="6D9026DA" w14:textId="77777777" w:rsidTr="001E06A3">
        <w:tc>
          <w:tcPr>
            <w:tcW w:w="1172" w:type="dxa"/>
            <w:vAlign w:val="center"/>
          </w:tcPr>
          <w:p w14:paraId="16DE5DF5"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44</w:t>
            </w:r>
          </w:p>
        </w:tc>
        <w:tc>
          <w:tcPr>
            <w:tcW w:w="7242" w:type="dxa"/>
            <w:vAlign w:val="center"/>
          </w:tcPr>
          <w:p w14:paraId="6BC736A0"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Dodatočný kapitál Tier 1 (AT1)</w:t>
            </w:r>
          </w:p>
          <w:p w14:paraId="548781EC"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Dodatočný kapitál Tier 1 (AT1), ktorý sa vypočíta ako riadok 36 mínus riadok 43 tohto vzoru.</w:t>
            </w:r>
          </w:p>
        </w:tc>
      </w:tr>
      <w:tr w:rsidR="00CE019E" w:rsidRPr="00A3389E" w14:paraId="5CF65986" w14:textId="77777777" w:rsidTr="001E06A3">
        <w:tc>
          <w:tcPr>
            <w:tcW w:w="1172" w:type="dxa"/>
            <w:vAlign w:val="center"/>
          </w:tcPr>
          <w:p w14:paraId="4E2F7D85"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45</w:t>
            </w:r>
          </w:p>
        </w:tc>
        <w:tc>
          <w:tcPr>
            <w:tcW w:w="7242" w:type="dxa"/>
            <w:vAlign w:val="center"/>
          </w:tcPr>
          <w:p w14:paraId="0EEF28C4"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 Tier 1 (T1 = CET1 + AT1)</w:t>
            </w:r>
          </w:p>
          <w:p w14:paraId="07FBABB1"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 Tier 1, ktorý sa vypočíta ako riadok 29 plus riadok 44 tohto vzoru.</w:t>
            </w:r>
          </w:p>
        </w:tc>
      </w:tr>
      <w:tr w:rsidR="00CE019E" w:rsidRPr="00A3389E" w14:paraId="09D623BA" w14:textId="77777777" w:rsidTr="001E06A3">
        <w:tc>
          <w:tcPr>
            <w:tcW w:w="1172" w:type="dxa"/>
            <w:vAlign w:val="center"/>
          </w:tcPr>
          <w:p w14:paraId="71D55AAB"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46</w:t>
            </w:r>
          </w:p>
        </w:tc>
        <w:tc>
          <w:tcPr>
            <w:tcW w:w="7242" w:type="dxa"/>
            <w:vAlign w:val="center"/>
          </w:tcPr>
          <w:p w14:paraId="21044F07" w14:textId="2C35F4B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Kapitálové nástroje</w:t>
            </w:r>
            <w:r w:rsidR="00A3389E">
              <w:rPr>
                <w:rFonts w:ascii="Times New Roman" w:hAnsi="Times New Roman" w:cs="Times New Roman"/>
                <w:sz w:val="24"/>
              </w:rPr>
              <w:t xml:space="preserve"> a </w:t>
            </w:r>
            <w:r w:rsidRPr="00A3389E">
              <w:rPr>
                <w:rFonts w:ascii="Times New Roman" w:hAnsi="Times New Roman" w:cs="Times New Roman"/>
                <w:sz w:val="24"/>
              </w:rPr>
              <w:t>súvisiace emisné ážiá.</w:t>
            </w:r>
          </w:p>
          <w:p w14:paraId="3D589197" w14:textId="70B83341"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Kapitálové nástroje</w:t>
            </w:r>
            <w:r w:rsidR="00A3389E">
              <w:rPr>
                <w:rFonts w:ascii="Times New Roman" w:hAnsi="Times New Roman" w:cs="Times New Roman"/>
                <w:sz w:val="24"/>
              </w:rPr>
              <w:t xml:space="preserve"> a </w:t>
            </w:r>
            <w:r w:rsidRPr="00A3389E">
              <w:rPr>
                <w:rFonts w:ascii="Times New Roman" w:hAnsi="Times New Roman" w:cs="Times New Roman"/>
                <w:sz w:val="24"/>
              </w:rPr>
              <w:t>súvisiace emisné ážia podľa opisu</w:t>
            </w:r>
            <w:r w:rsidR="00A3389E">
              <w:rPr>
                <w:rFonts w:ascii="Times New Roman" w:hAnsi="Times New Roman" w:cs="Times New Roman"/>
                <w:sz w:val="24"/>
              </w:rPr>
              <w:t xml:space="preserve"> v </w:t>
            </w:r>
            <w:r w:rsidRPr="00A3389E">
              <w:rPr>
                <w:rFonts w:ascii="Times New Roman" w:hAnsi="Times New Roman" w:cs="Times New Roman"/>
                <w:sz w:val="24"/>
              </w:rPr>
              <w:t>článkoch 62</w:t>
            </w:r>
            <w:r w:rsidR="00A3389E">
              <w:rPr>
                <w:rFonts w:ascii="Times New Roman" w:hAnsi="Times New Roman" w:cs="Times New Roman"/>
                <w:sz w:val="24"/>
              </w:rPr>
              <w:t xml:space="preserve"> a </w:t>
            </w:r>
            <w:r w:rsidRPr="00A3389E">
              <w:rPr>
                <w:rFonts w:ascii="Times New Roman" w:hAnsi="Times New Roman" w:cs="Times New Roman"/>
                <w:sz w:val="24"/>
              </w:rPr>
              <w:t>63 CRR.</w:t>
            </w:r>
          </w:p>
        </w:tc>
      </w:tr>
      <w:tr w:rsidR="00CE019E" w:rsidRPr="00A3389E" w14:paraId="37487755" w14:textId="77777777" w:rsidTr="001E06A3">
        <w:tc>
          <w:tcPr>
            <w:tcW w:w="1172" w:type="dxa"/>
            <w:vAlign w:val="center"/>
          </w:tcPr>
          <w:p w14:paraId="77255030"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47</w:t>
            </w:r>
          </w:p>
        </w:tc>
        <w:tc>
          <w:tcPr>
            <w:tcW w:w="7242" w:type="dxa"/>
            <w:vAlign w:val="center"/>
          </w:tcPr>
          <w:p w14:paraId="6D82356D" w14:textId="5BD84DB6"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kvalifikovaných položiek uvedených</w:t>
            </w:r>
            <w:r w:rsidR="00A3389E">
              <w:rPr>
                <w:rFonts w:ascii="Times New Roman" w:hAnsi="Times New Roman" w:cs="Times New Roman"/>
                <w:sz w:val="24"/>
              </w:rPr>
              <w:t xml:space="preserve"> v </w:t>
            </w:r>
            <w:r w:rsidRPr="00A3389E">
              <w:rPr>
                <w:rFonts w:ascii="Times New Roman" w:hAnsi="Times New Roman" w:cs="Times New Roman"/>
                <w:sz w:val="24"/>
              </w:rPr>
              <w:t>článku 484 ods. 5 CRR</w:t>
            </w:r>
            <w:r w:rsidR="00A3389E">
              <w:rPr>
                <w:rFonts w:ascii="Times New Roman" w:hAnsi="Times New Roman" w:cs="Times New Roman"/>
                <w:sz w:val="24"/>
              </w:rPr>
              <w:t xml:space="preserve"> a </w:t>
            </w:r>
            <w:r w:rsidRPr="00A3389E">
              <w:rPr>
                <w:rFonts w:ascii="Times New Roman" w:hAnsi="Times New Roman" w:cs="Times New Roman"/>
                <w:sz w:val="24"/>
              </w:rPr>
              <w:t>súvisiaceho emisného ážia podliehajúcich postupnému vyraďovaniu</w:t>
            </w:r>
            <w:r w:rsidR="00A3389E">
              <w:rPr>
                <w:rFonts w:ascii="Times New Roman" w:hAnsi="Times New Roman" w:cs="Times New Roman"/>
                <w:sz w:val="24"/>
              </w:rPr>
              <w:t xml:space="preserve"> z </w:t>
            </w:r>
            <w:r w:rsidRPr="00A3389E">
              <w:rPr>
                <w:rFonts w:ascii="Times New Roman" w:hAnsi="Times New Roman" w:cs="Times New Roman"/>
                <w:sz w:val="24"/>
              </w:rPr>
              <w:t>T2, ako je opísané</w:t>
            </w:r>
            <w:r w:rsidR="00A3389E">
              <w:rPr>
                <w:rFonts w:ascii="Times New Roman" w:hAnsi="Times New Roman" w:cs="Times New Roman"/>
                <w:sz w:val="24"/>
              </w:rPr>
              <w:t xml:space="preserve"> v </w:t>
            </w:r>
            <w:r w:rsidRPr="00A3389E">
              <w:rPr>
                <w:rFonts w:ascii="Times New Roman" w:hAnsi="Times New Roman" w:cs="Times New Roman"/>
                <w:sz w:val="24"/>
              </w:rPr>
              <w:t>článku 486 ods. 4 CRR.</w:t>
            </w:r>
          </w:p>
        </w:tc>
      </w:tr>
      <w:tr w:rsidR="00CE019E" w:rsidRPr="00A3389E" w14:paraId="0C722A7C" w14:textId="77777777" w:rsidTr="001E06A3">
        <w:tc>
          <w:tcPr>
            <w:tcW w:w="1172" w:type="dxa"/>
            <w:vAlign w:val="center"/>
          </w:tcPr>
          <w:p w14:paraId="7216BE89"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EU-47a</w:t>
            </w:r>
          </w:p>
        </w:tc>
        <w:tc>
          <w:tcPr>
            <w:tcW w:w="7242" w:type="dxa"/>
            <w:vAlign w:val="center"/>
          </w:tcPr>
          <w:p w14:paraId="6D98729F" w14:textId="301A4903"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kvalifikovaných položiek uvedených</w:t>
            </w:r>
            <w:r w:rsidR="00A3389E">
              <w:rPr>
                <w:rFonts w:ascii="Times New Roman" w:hAnsi="Times New Roman" w:cs="Times New Roman"/>
                <w:sz w:val="24"/>
              </w:rPr>
              <w:t xml:space="preserve"> v </w:t>
            </w:r>
            <w:r w:rsidRPr="00A3389E">
              <w:rPr>
                <w:rFonts w:ascii="Times New Roman" w:hAnsi="Times New Roman" w:cs="Times New Roman"/>
                <w:sz w:val="24"/>
              </w:rPr>
              <w:t>článku 494a ods. 2 CRR</w:t>
            </w:r>
            <w:r w:rsidR="00A3389E">
              <w:rPr>
                <w:rFonts w:ascii="Times New Roman" w:hAnsi="Times New Roman" w:cs="Times New Roman"/>
                <w:sz w:val="24"/>
              </w:rPr>
              <w:t xml:space="preserve"> a </w:t>
            </w:r>
            <w:r w:rsidRPr="00A3389E">
              <w:rPr>
                <w:rFonts w:ascii="Times New Roman" w:hAnsi="Times New Roman" w:cs="Times New Roman"/>
                <w:sz w:val="24"/>
              </w:rPr>
              <w:t>podliehajúcich postupnému vyraďovaniu</w:t>
            </w:r>
            <w:r w:rsidR="00A3389E">
              <w:rPr>
                <w:rFonts w:ascii="Times New Roman" w:hAnsi="Times New Roman" w:cs="Times New Roman"/>
                <w:sz w:val="24"/>
              </w:rPr>
              <w:t xml:space="preserve"> z </w:t>
            </w:r>
            <w:r w:rsidRPr="00A3389E">
              <w:rPr>
                <w:rFonts w:ascii="Times New Roman" w:hAnsi="Times New Roman" w:cs="Times New Roman"/>
                <w:sz w:val="24"/>
              </w:rPr>
              <w:t>T2.</w:t>
            </w:r>
          </w:p>
        </w:tc>
      </w:tr>
      <w:tr w:rsidR="00CE019E" w:rsidRPr="00A3389E" w14:paraId="102B5E99" w14:textId="77777777" w:rsidTr="001E06A3">
        <w:tc>
          <w:tcPr>
            <w:tcW w:w="1172" w:type="dxa"/>
            <w:vAlign w:val="center"/>
          </w:tcPr>
          <w:p w14:paraId="12D4A01B"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EU-47b</w:t>
            </w:r>
          </w:p>
        </w:tc>
        <w:tc>
          <w:tcPr>
            <w:tcW w:w="7242" w:type="dxa"/>
            <w:vAlign w:val="center"/>
          </w:tcPr>
          <w:p w14:paraId="020EE31C" w14:textId="07FB757F"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kvalifikovaných položiek uvedených</w:t>
            </w:r>
            <w:r w:rsidR="00A3389E">
              <w:rPr>
                <w:rFonts w:ascii="Times New Roman" w:hAnsi="Times New Roman" w:cs="Times New Roman"/>
                <w:sz w:val="24"/>
              </w:rPr>
              <w:t xml:space="preserve"> v </w:t>
            </w:r>
            <w:r w:rsidRPr="00A3389E">
              <w:rPr>
                <w:rFonts w:ascii="Times New Roman" w:hAnsi="Times New Roman" w:cs="Times New Roman"/>
                <w:sz w:val="24"/>
              </w:rPr>
              <w:t>článku 494b ods. 2 CRR</w:t>
            </w:r>
            <w:r w:rsidR="00A3389E">
              <w:rPr>
                <w:rFonts w:ascii="Times New Roman" w:hAnsi="Times New Roman" w:cs="Times New Roman"/>
                <w:sz w:val="24"/>
              </w:rPr>
              <w:t xml:space="preserve"> a </w:t>
            </w:r>
            <w:r w:rsidRPr="00A3389E">
              <w:rPr>
                <w:rFonts w:ascii="Times New Roman" w:hAnsi="Times New Roman" w:cs="Times New Roman"/>
                <w:sz w:val="24"/>
              </w:rPr>
              <w:t>podliehajúcich postupnému vyraďovaniu</w:t>
            </w:r>
            <w:r w:rsidR="00A3389E">
              <w:rPr>
                <w:rFonts w:ascii="Times New Roman" w:hAnsi="Times New Roman" w:cs="Times New Roman"/>
                <w:sz w:val="24"/>
              </w:rPr>
              <w:t xml:space="preserve"> z </w:t>
            </w:r>
            <w:r w:rsidRPr="00A3389E">
              <w:rPr>
                <w:rFonts w:ascii="Times New Roman" w:hAnsi="Times New Roman" w:cs="Times New Roman"/>
                <w:sz w:val="24"/>
              </w:rPr>
              <w:t>T2.</w:t>
            </w:r>
          </w:p>
        </w:tc>
      </w:tr>
      <w:tr w:rsidR="00CE019E" w:rsidRPr="00A3389E" w14:paraId="288E57FE" w14:textId="77777777" w:rsidTr="001E06A3">
        <w:tc>
          <w:tcPr>
            <w:tcW w:w="1172" w:type="dxa"/>
            <w:vAlign w:val="center"/>
          </w:tcPr>
          <w:p w14:paraId="6AD8DA9D"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48</w:t>
            </w:r>
          </w:p>
        </w:tc>
        <w:tc>
          <w:tcPr>
            <w:tcW w:w="7242" w:type="dxa"/>
            <w:vAlign w:val="center"/>
          </w:tcPr>
          <w:p w14:paraId="1C47B15F" w14:textId="6218C1A2"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Kvalifikované nástroje vlastných zdrojov zahrnuté do konsolidovaného kapitálu T2 (vrátane menšinových účastí</w:t>
            </w:r>
            <w:r w:rsidR="00A3389E">
              <w:rPr>
                <w:rFonts w:ascii="Times New Roman" w:hAnsi="Times New Roman" w:cs="Times New Roman"/>
                <w:sz w:val="24"/>
              </w:rPr>
              <w:t xml:space="preserve"> a </w:t>
            </w:r>
            <w:r w:rsidRPr="00A3389E">
              <w:rPr>
                <w:rFonts w:ascii="Times New Roman" w:hAnsi="Times New Roman" w:cs="Times New Roman"/>
                <w:sz w:val="24"/>
              </w:rPr>
              <w:t>nástrojov AT1, ktoré nie sú zahrnuté</w:t>
            </w:r>
            <w:r w:rsidR="00A3389E">
              <w:rPr>
                <w:rFonts w:ascii="Times New Roman" w:hAnsi="Times New Roman" w:cs="Times New Roman"/>
                <w:sz w:val="24"/>
              </w:rPr>
              <w:t xml:space="preserve"> v </w:t>
            </w:r>
            <w:r w:rsidRPr="00A3389E">
              <w:rPr>
                <w:rFonts w:ascii="Times New Roman" w:hAnsi="Times New Roman" w:cs="Times New Roman"/>
                <w:sz w:val="24"/>
              </w:rPr>
              <w:t>riadku 5 ani 34) emitované dcérskymi spoločnosťami</w:t>
            </w:r>
            <w:r w:rsidR="00A3389E">
              <w:rPr>
                <w:rFonts w:ascii="Times New Roman" w:hAnsi="Times New Roman" w:cs="Times New Roman"/>
                <w:sz w:val="24"/>
              </w:rPr>
              <w:t xml:space="preserve"> a v </w:t>
            </w:r>
            <w:r w:rsidRPr="00A3389E">
              <w:rPr>
                <w:rFonts w:ascii="Times New Roman" w:hAnsi="Times New Roman" w:cs="Times New Roman"/>
                <w:sz w:val="24"/>
              </w:rPr>
              <w:t>držbe tretích strán.</w:t>
            </w:r>
          </w:p>
          <w:p w14:paraId="056C5891" w14:textId="2F2CADCF"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Kvalifikované nástroje vlastných zdrojov zahrnuté do konsolidovaného kapitálu T2 (vrátane menšinových účastí</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nástrojov AT1, ktoré nie sú zahrnuté</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riadku 5 ani 34 tohto vzoru) emitované dcérskymi spoločnosťami</w:t>
            </w:r>
            <w:r w:rsidR="00A3389E" w:rsidRPr="00A60806">
              <w:rPr>
                <w:rFonts w:ascii="Times New Roman" w:hAnsi="Times New Roman" w:cs="Times New Roman"/>
                <w:spacing w:val="-8"/>
                <w:sz w:val="24"/>
              </w:rPr>
              <w:t xml:space="preserve"> a v </w:t>
            </w:r>
            <w:r w:rsidRPr="00A60806">
              <w:rPr>
                <w:rFonts w:ascii="Times New Roman" w:hAnsi="Times New Roman" w:cs="Times New Roman"/>
                <w:spacing w:val="-8"/>
                <w:sz w:val="24"/>
              </w:rPr>
              <w:t>držbe tretích strán, ako je uvedené</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článkoch 87</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88 CRR.</w:t>
            </w:r>
          </w:p>
        </w:tc>
      </w:tr>
      <w:tr w:rsidR="00CE019E" w:rsidRPr="00A3389E" w14:paraId="235064CD" w14:textId="77777777" w:rsidTr="001E06A3">
        <w:tc>
          <w:tcPr>
            <w:tcW w:w="1172" w:type="dxa"/>
            <w:vAlign w:val="center"/>
          </w:tcPr>
          <w:p w14:paraId="77D27048"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49</w:t>
            </w:r>
          </w:p>
        </w:tc>
        <w:tc>
          <w:tcPr>
            <w:tcW w:w="7242" w:type="dxa"/>
            <w:vAlign w:val="center"/>
          </w:tcPr>
          <w:p w14:paraId="5F2A5F28"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nástroje emitované dcérskymi spoločnosťami podliehajúce postupnému vyraďovaniu.</w:t>
            </w:r>
          </w:p>
          <w:p w14:paraId="77917C09" w14:textId="222F04A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hodnoty uvedenej</w:t>
            </w:r>
            <w:r w:rsidR="00A3389E">
              <w:rPr>
                <w:rFonts w:ascii="Times New Roman" w:hAnsi="Times New Roman" w:cs="Times New Roman"/>
                <w:sz w:val="24"/>
              </w:rPr>
              <w:t xml:space="preserve"> v </w:t>
            </w:r>
            <w:r w:rsidRPr="00A3389E">
              <w:rPr>
                <w:rFonts w:ascii="Times New Roman" w:hAnsi="Times New Roman" w:cs="Times New Roman"/>
                <w:sz w:val="24"/>
              </w:rPr>
              <w:t>riadku 48 hodnota, ktorá sa týka nástrojov emitovaných dcérskymi spoločnosťami, na ktoré sa vzťahuje postupné vyraďovanie,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486 ods. 4 CRR.</w:t>
            </w:r>
          </w:p>
        </w:tc>
      </w:tr>
      <w:tr w:rsidR="00CE019E" w:rsidRPr="00A3389E" w14:paraId="5C5BE391" w14:textId="77777777" w:rsidTr="001E06A3">
        <w:tc>
          <w:tcPr>
            <w:tcW w:w="1172" w:type="dxa"/>
            <w:vAlign w:val="center"/>
          </w:tcPr>
          <w:p w14:paraId="5E37C5F1"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50</w:t>
            </w:r>
          </w:p>
        </w:tc>
        <w:tc>
          <w:tcPr>
            <w:tcW w:w="7242" w:type="dxa"/>
            <w:vAlign w:val="center"/>
          </w:tcPr>
          <w:p w14:paraId="1CB1949B"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Úpravy kreditného rizika</w:t>
            </w:r>
          </w:p>
          <w:p w14:paraId="639EC0EB" w14:textId="138F443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Úpravy kreditného rizika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62 písm. c)</w:t>
            </w:r>
            <w:r w:rsidR="00A3389E">
              <w:rPr>
                <w:rFonts w:ascii="Times New Roman" w:hAnsi="Times New Roman" w:cs="Times New Roman"/>
                <w:sz w:val="24"/>
              </w:rPr>
              <w:t xml:space="preserve"> a </w:t>
            </w:r>
            <w:r w:rsidRPr="00A3389E">
              <w:rPr>
                <w:rFonts w:ascii="Times New Roman" w:hAnsi="Times New Roman" w:cs="Times New Roman"/>
                <w:sz w:val="24"/>
              </w:rPr>
              <w:t>d) CRR.</w:t>
            </w:r>
          </w:p>
        </w:tc>
      </w:tr>
      <w:tr w:rsidR="00CE019E" w:rsidRPr="00A3389E" w14:paraId="2224F331" w14:textId="77777777" w:rsidTr="001E06A3">
        <w:tc>
          <w:tcPr>
            <w:tcW w:w="1172" w:type="dxa"/>
            <w:vAlign w:val="center"/>
          </w:tcPr>
          <w:p w14:paraId="4C36169B"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51</w:t>
            </w:r>
          </w:p>
        </w:tc>
        <w:tc>
          <w:tcPr>
            <w:tcW w:w="7242" w:type="dxa"/>
            <w:vAlign w:val="center"/>
          </w:tcPr>
          <w:p w14:paraId="520E057C"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 Tier 2 (T2) pred regulačnými úpravami</w:t>
            </w:r>
          </w:p>
          <w:p w14:paraId="7EF54354" w14:textId="6099799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46 až 48</w:t>
            </w:r>
            <w:r w:rsidR="00A3389E">
              <w:rPr>
                <w:rFonts w:ascii="Times New Roman" w:hAnsi="Times New Roman" w:cs="Times New Roman"/>
                <w:sz w:val="24"/>
              </w:rPr>
              <w:t xml:space="preserve"> a </w:t>
            </w:r>
            <w:r w:rsidRPr="00A3389E">
              <w:rPr>
                <w:rFonts w:ascii="Times New Roman" w:hAnsi="Times New Roman" w:cs="Times New Roman"/>
                <w:sz w:val="24"/>
              </w:rPr>
              <w:t>riadku 50 tohto vzoru.</w:t>
            </w:r>
          </w:p>
        </w:tc>
      </w:tr>
      <w:tr w:rsidR="00CE019E" w:rsidRPr="00A3389E" w14:paraId="13029399" w14:textId="77777777" w:rsidTr="001E06A3">
        <w:tc>
          <w:tcPr>
            <w:tcW w:w="1172" w:type="dxa"/>
            <w:vAlign w:val="center"/>
          </w:tcPr>
          <w:p w14:paraId="7E925412"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52</w:t>
            </w:r>
          </w:p>
        </w:tc>
        <w:tc>
          <w:tcPr>
            <w:tcW w:w="7242" w:type="dxa"/>
            <w:vAlign w:val="center"/>
          </w:tcPr>
          <w:p w14:paraId="4EB03C5C" w14:textId="42B79BF6"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 na nástrojoch vlastného T2</w:t>
            </w:r>
            <w:r w:rsidR="00A3389E">
              <w:rPr>
                <w:rFonts w:ascii="Times New Roman" w:hAnsi="Times New Roman" w:cs="Times New Roman"/>
                <w:sz w:val="24"/>
              </w:rPr>
              <w:t xml:space="preserve"> a </w:t>
            </w:r>
            <w:r w:rsidRPr="00A3389E">
              <w:rPr>
                <w:rFonts w:ascii="Times New Roman" w:hAnsi="Times New Roman" w:cs="Times New Roman"/>
                <w:sz w:val="24"/>
              </w:rPr>
              <w:t>podriadené úvery (záporná hodnota).</w:t>
            </w:r>
          </w:p>
          <w:p w14:paraId="5A087F25" w14:textId="470780B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 na nástrojoch vlastného T2</w:t>
            </w:r>
            <w:r w:rsidR="00A3389E">
              <w:rPr>
                <w:rFonts w:ascii="Times New Roman" w:hAnsi="Times New Roman" w:cs="Times New Roman"/>
                <w:sz w:val="24"/>
              </w:rPr>
              <w:t xml:space="preserve"> a </w:t>
            </w:r>
            <w:r w:rsidRPr="00A3389E">
              <w:rPr>
                <w:rFonts w:ascii="Times New Roman" w:hAnsi="Times New Roman" w:cs="Times New Roman"/>
                <w:sz w:val="24"/>
              </w:rPr>
              <w:t>podriadené úvery,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63 písm. b) bode i), článku 66 písm. a)</w:t>
            </w:r>
            <w:r w:rsidR="00A3389E">
              <w:rPr>
                <w:rFonts w:ascii="Times New Roman" w:hAnsi="Times New Roman" w:cs="Times New Roman"/>
                <w:sz w:val="24"/>
              </w:rPr>
              <w:t xml:space="preserve"> a </w:t>
            </w:r>
            <w:r w:rsidRPr="00A3389E">
              <w:rPr>
                <w:rFonts w:ascii="Times New Roman" w:hAnsi="Times New Roman" w:cs="Times New Roman"/>
                <w:sz w:val="24"/>
              </w:rPr>
              <w:t>článku 67 CRR (záporná hodnota).</w:t>
            </w:r>
          </w:p>
        </w:tc>
      </w:tr>
      <w:tr w:rsidR="00CE019E" w:rsidRPr="00A3389E" w14:paraId="00199234" w14:textId="77777777" w:rsidTr="001E06A3">
        <w:tc>
          <w:tcPr>
            <w:tcW w:w="1172" w:type="dxa"/>
            <w:vAlign w:val="center"/>
          </w:tcPr>
          <w:p w14:paraId="64E5104C"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53</w:t>
            </w:r>
          </w:p>
        </w:tc>
        <w:tc>
          <w:tcPr>
            <w:tcW w:w="7242" w:type="dxa"/>
            <w:vAlign w:val="center"/>
          </w:tcPr>
          <w:p w14:paraId="42AF2AE5" w14:textId="1B51AA2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na nástrojoch T2</w:t>
            </w:r>
            <w:r w:rsidR="00A3389E">
              <w:rPr>
                <w:rFonts w:ascii="Times New Roman" w:hAnsi="Times New Roman" w:cs="Times New Roman"/>
                <w:sz w:val="24"/>
              </w:rPr>
              <w:t xml:space="preserve"> a </w:t>
            </w:r>
            <w:r w:rsidRPr="00A3389E">
              <w:rPr>
                <w:rFonts w:ascii="Times New Roman" w:hAnsi="Times New Roman" w:cs="Times New Roman"/>
                <w:sz w:val="24"/>
              </w:rPr>
              <w:t>podriadené úvery subjektov finančného sektora, ak tieto subjekty majú recipročné krížové podiely</w:t>
            </w:r>
            <w:r w:rsidR="00A3389E">
              <w:rPr>
                <w:rFonts w:ascii="Times New Roman" w:hAnsi="Times New Roman" w:cs="Times New Roman"/>
                <w:sz w:val="24"/>
              </w:rPr>
              <w:t xml:space="preserve"> v </w:t>
            </w:r>
            <w:r w:rsidRPr="00A3389E">
              <w:rPr>
                <w:rFonts w:ascii="Times New Roman" w:hAnsi="Times New Roman" w:cs="Times New Roman"/>
                <w:sz w:val="24"/>
              </w:rPr>
              <w:t>inštitúcii, ktoré majú umelo zvyšovať vlastné zdroje inštitúcie (záporná hodnota).</w:t>
            </w:r>
          </w:p>
          <w:p w14:paraId="550D73A0" w14:textId="1BC7A8C0"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Priame, nepriame</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syntetické podiely</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nástrojoch T2</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podriadené úvery subjektov finančného sektora, ak tieto subjekty majú recipročné krížové podiely</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inštitúcii, ktoré majú umelo zvyšovať vlastné zdroje inštitúcie, ako je uvedené</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článku 66 písm. b)</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článku 68 CRR (záporná hodnota).</w:t>
            </w:r>
          </w:p>
        </w:tc>
      </w:tr>
      <w:tr w:rsidR="00CE019E" w:rsidRPr="00A3389E" w14:paraId="7F83AD61" w14:textId="77777777" w:rsidTr="001E06A3">
        <w:tc>
          <w:tcPr>
            <w:tcW w:w="1172" w:type="dxa"/>
            <w:vAlign w:val="center"/>
          </w:tcPr>
          <w:p w14:paraId="700A7688"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54</w:t>
            </w:r>
          </w:p>
        </w:tc>
        <w:tc>
          <w:tcPr>
            <w:tcW w:w="7242" w:type="dxa"/>
            <w:vAlign w:val="center"/>
          </w:tcPr>
          <w:p w14:paraId="5C722E9A" w14:textId="546DEE06"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na nástrojoch T2</w:t>
            </w:r>
            <w:r w:rsidR="00A3389E">
              <w:rPr>
                <w:rFonts w:ascii="Times New Roman" w:hAnsi="Times New Roman" w:cs="Times New Roman"/>
                <w:sz w:val="24"/>
              </w:rPr>
              <w:t xml:space="preserve"> a </w:t>
            </w:r>
            <w:r w:rsidRPr="00A3389E">
              <w:rPr>
                <w:rFonts w:ascii="Times New Roman" w:hAnsi="Times New Roman" w:cs="Times New Roman"/>
                <w:sz w:val="24"/>
              </w:rPr>
              <w:t xml:space="preserve">podriadené úvery subjektov finančného sektora, ak daná inštitúcia nemá významnú </w:t>
            </w:r>
            <w:r w:rsidRPr="00A3389E">
              <w:rPr>
                <w:rFonts w:ascii="Times New Roman" w:hAnsi="Times New Roman" w:cs="Times New Roman"/>
                <w:sz w:val="24"/>
              </w:rPr>
              <w:lastRenderedPageBreak/>
              <w:t>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nad prahovou hodnotou 10</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 (záporná hodnota).</w:t>
            </w:r>
          </w:p>
          <w:p w14:paraId="2372A07D" w14:textId="7FC5C1A6"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w:t>
            </w:r>
            <w:r w:rsidR="00A3389E">
              <w:rPr>
                <w:rFonts w:ascii="Times New Roman" w:hAnsi="Times New Roman" w:cs="Times New Roman"/>
                <w:sz w:val="24"/>
              </w:rPr>
              <w:t xml:space="preserve"> v </w:t>
            </w:r>
            <w:r w:rsidRPr="00A3389E">
              <w:rPr>
                <w:rFonts w:ascii="Times New Roman" w:hAnsi="Times New Roman" w:cs="Times New Roman"/>
                <w:sz w:val="24"/>
              </w:rPr>
              <w:t>nástrojoch T2</w:t>
            </w:r>
            <w:r w:rsidR="00A3389E">
              <w:rPr>
                <w:rFonts w:ascii="Times New Roman" w:hAnsi="Times New Roman" w:cs="Times New Roman"/>
                <w:sz w:val="24"/>
              </w:rPr>
              <w:t xml:space="preserve"> a </w:t>
            </w:r>
            <w:r w:rsidRPr="00A3389E">
              <w:rPr>
                <w:rFonts w:ascii="Times New Roman" w:hAnsi="Times New Roman" w:cs="Times New Roman"/>
                <w:sz w:val="24"/>
              </w:rPr>
              <w:t>podriadené úvery subjektov finančného sektora, ak daná inštitúcia nemá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nad prahovou hodnotou 10</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 ako je uvedené</w:t>
            </w:r>
            <w:r w:rsidR="00A3389E">
              <w:rPr>
                <w:rFonts w:ascii="Times New Roman" w:hAnsi="Times New Roman" w:cs="Times New Roman"/>
                <w:sz w:val="24"/>
              </w:rPr>
              <w:t xml:space="preserve"> v </w:t>
            </w:r>
            <w:r w:rsidRPr="00A3389E">
              <w:rPr>
                <w:rFonts w:ascii="Times New Roman" w:hAnsi="Times New Roman" w:cs="Times New Roman"/>
                <w:sz w:val="24"/>
              </w:rPr>
              <w:t>článku 66 písm. c)</w:t>
            </w:r>
            <w:r w:rsidR="00A3389E">
              <w:rPr>
                <w:rFonts w:ascii="Times New Roman" w:hAnsi="Times New Roman" w:cs="Times New Roman"/>
                <w:sz w:val="24"/>
              </w:rPr>
              <w:t xml:space="preserve"> a </w:t>
            </w:r>
            <w:r w:rsidRPr="00A3389E">
              <w:rPr>
                <w:rFonts w:ascii="Times New Roman" w:hAnsi="Times New Roman" w:cs="Times New Roman"/>
                <w:sz w:val="24"/>
              </w:rPr>
              <w:t>článkoch 69, 70</w:t>
            </w:r>
            <w:r w:rsidR="00A3389E">
              <w:rPr>
                <w:rFonts w:ascii="Times New Roman" w:hAnsi="Times New Roman" w:cs="Times New Roman"/>
                <w:sz w:val="24"/>
              </w:rPr>
              <w:t xml:space="preserve"> a </w:t>
            </w:r>
            <w:r w:rsidRPr="00A3389E">
              <w:rPr>
                <w:rFonts w:ascii="Times New Roman" w:hAnsi="Times New Roman" w:cs="Times New Roman"/>
                <w:sz w:val="24"/>
              </w:rPr>
              <w:t>79 CRR (záporná hodnota).</w:t>
            </w:r>
          </w:p>
        </w:tc>
      </w:tr>
      <w:tr w:rsidR="00CE019E" w:rsidRPr="00A3389E" w14:paraId="42CFC081" w14:textId="77777777" w:rsidTr="001E06A3">
        <w:tc>
          <w:tcPr>
            <w:tcW w:w="1172" w:type="dxa"/>
            <w:vAlign w:val="center"/>
          </w:tcPr>
          <w:p w14:paraId="799F577F"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54a</w:t>
            </w:r>
          </w:p>
        </w:tc>
        <w:tc>
          <w:tcPr>
            <w:tcW w:w="7242" w:type="dxa"/>
            <w:vAlign w:val="center"/>
          </w:tcPr>
          <w:p w14:paraId="70ECADAD"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5D924935" w14:textId="77777777" w:rsidTr="001E06A3">
        <w:tc>
          <w:tcPr>
            <w:tcW w:w="1172" w:type="dxa"/>
            <w:vAlign w:val="center"/>
          </w:tcPr>
          <w:p w14:paraId="3718FC0A"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55</w:t>
            </w:r>
          </w:p>
        </w:tc>
        <w:tc>
          <w:tcPr>
            <w:tcW w:w="7242" w:type="dxa"/>
            <w:vAlign w:val="center"/>
          </w:tcPr>
          <w:p w14:paraId="5489EA0B" w14:textId="3A4857A2"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inštitúcie na nástrojoch T2</w:t>
            </w:r>
            <w:r w:rsidR="00A3389E">
              <w:rPr>
                <w:rFonts w:ascii="Times New Roman" w:hAnsi="Times New Roman" w:cs="Times New Roman"/>
                <w:sz w:val="24"/>
              </w:rPr>
              <w:t xml:space="preserve"> a </w:t>
            </w:r>
            <w:r w:rsidRPr="00A3389E">
              <w:rPr>
                <w:rFonts w:ascii="Times New Roman" w:hAnsi="Times New Roman" w:cs="Times New Roman"/>
                <w:sz w:val="24"/>
              </w:rPr>
              <w:t>podriadené úvery subjektov finančného sektora, ak daná inštitúcia 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(po odpočítaní prípustných krátkych pozícií) (záporná hodnota).</w:t>
            </w:r>
          </w:p>
          <w:p w14:paraId="49E47CBD" w14:textId="634A76DA"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Priame, nepriame</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syntetické podiely inštitúcie na nástrojoch T2</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podriadené úvery subjektov finančného sektora, ak daná inštitúcia má významnú investíciu</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týchto subjektoch (po odpočítaní prípustných krátkych pozícií)</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súlade</w:t>
            </w:r>
            <w:r w:rsidR="00A3389E" w:rsidRPr="00A60806">
              <w:rPr>
                <w:rFonts w:ascii="Times New Roman" w:hAnsi="Times New Roman" w:cs="Times New Roman"/>
                <w:spacing w:val="-8"/>
                <w:sz w:val="24"/>
              </w:rPr>
              <w:t xml:space="preserve"> s </w:t>
            </w:r>
            <w:r w:rsidRPr="00A60806">
              <w:rPr>
                <w:rFonts w:ascii="Times New Roman" w:hAnsi="Times New Roman" w:cs="Times New Roman"/>
                <w:spacing w:val="-8"/>
                <w:sz w:val="24"/>
              </w:rPr>
              <w:t>článkom 66 písm. d)</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článkami 69</w:t>
            </w:r>
            <w:r w:rsidR="00A3389E" w:rsidRPr="00A60806">
              <w:rPr>
                <w:rFonts w:ascii="Times New Roman" w:hAnsi="Times New Roman" w:cs="Times New Roman"/>
                <w:spacing w:val="-8"/>
                <w:sz w:val="24"/>
              </w:rPr>
              <w:t xml:space="preserve"> a </w:t>
            </w:r>
            <w:r w:rsidRPr="00A60806">
              <w:rPr>
                <w:rFonts w:ascii="Times New Roman" w:hAnsi="Times New Roman" w:cs="Times New Roman"/>
                <w:spacing w:val="-8"/>
                <w:sz w:val="24"/>
              </w:rPr>
              <w:t>79 CRR (záporná hodnota).</w:t>
            </w:r>
          </w:p>
        </w:tc>
      </w:tr>
      <w:tr w:rsidR="00CE019E" w:rsidRPr="00A3389E" w14:paraId="57263351" w14:textId="77777777" w:rsidTr="001E06A3">
        <w:tc>
          <w:tcPr>
            <w:tcW w:w="1172" w:type="dxa"/>
            <w:vAlign w:val="center"/>
          </w:tcPr>
          <w:p w14:paraId="500F5B55"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56</w:t>
            </w:r>
          </w:p>
        </w:tc>
        <w:tc>
          <w:tcPr>
            <w:tcW w:w="7242" w:type="dxa"/>
            <w:vAlign w:val="center"/>
          </w:tcPr>
          <w:p w14:paraId="782FA6FD"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4C5801B4" w14:textId="77777777" w:rsidTr="001E06A3">
        <w:tc>
          <w:tcPr>
            <w:tcW w:w="1172" w:type="dxa"/>
            <w:vAlign w:val="center"/>
          </w:tcPr>
          <w:p w14:paraId="6F8B8A8E" w14:textId="77777777" w:rsidR="00CE019E" w:rsidRPr="00A3389E" w:rsidRDefault="00CE019E" w:rsidP="001E06A3">
            <w:pPr>
              <w:spacing w:after="200"/>
              <w:rPr>
                <w:rFonts w:ascii="Times New Roman" w:hAnsi="Times New Roman" w:cs="Times New Roman"/>
                <w:color w:val="000000" w:themeColor="text1"/>
                <w:sz w:val="24"/>
              </w:rPr>
            </w:pPr>
            <w:r w:rsidRPr="00A3389E">
              <w:rPr>
                <w:rFonts w:ascii="Times New Roman" w:hAnsi="Times New Roman" w:cs="Times New Roman"/>
                <w:color w:val="000000" w:themeColor="text1"/>
                <w:sz w:val="24"/>
              </w:rPr>
              <w:t>EU-56a</w:t>
            </w:r>
          </w:p>
        </w:tc>
        <w:tc>
          <w:tcPr>
            <w:tcW w:w="7242" w:type="dxa"/>
            <w:vAlign w:val="center"/>
          </w:tcPr>
          <w:p w14:paraId="574F6B83" w14:textId="77777777" w:rsidR="00CE019E" w:rsidRPr="00A3389E" w:rsidRDefault="00CE019E" w:rsidP="001E06A3">
            <w:pPr>
              <w:spacing w:after="200"/>
              <w:jc w:val="both"/>
              <w:rPr>
                <w:rFonts w:ascii="Times New Roman" w:hAnsi="Times New Roman" w:cs="Times New Roman"/>
                <w:color w:val="000000" w:themeColor="text1"/>
                <w:sz w:val="24"/>
              </w:rPr>
            </w:pPr>
            <w:r w:rsidRPr="00A3389E">
              <w:rPr>
                <w:rFonts w:ascii="Times New Roman" w:hAnsi="Times New Roman" w:cs="Times New Roman"/>
                <w:color w:val="000000" w:themeColor="text1"/>
                <w:sz w:val="24"/>
              </w:rPr>
              <w:t>Kvalifikované odpočty oprávnených záväzkov, ktoré prevyšujú položky oprávnených záväzkov inštitúcie (záporná hodnota).</w:t>
            </w:r>
          </w:p>
          <w:p w14:paraId="1CDC593C" w14:textId="0CA3CCFD" w:rsidR="00CE019E" w:rsidRPr="00A3389E" w:rsidRDefault="00CE019E" w:rsidP="001E06A3">
            <w:pPr>
              <w:spacing w:after="200"/>
              <w:jc w:val="both"/>
              <w:rPr>
                <w:rFonts w:ascii="Times New Roman" w:hAnsi="Times New Roman" w:cs="Times New Roman"/>
                <w:color w:val="000000" w:themeColor="text1"/>
                <w:sz w:val="24"/>
              </w:rPr>
            </w:pPr>
            <w:r w:rsidRPr="00A3389E">
              <w:rPr>
                <w:rFonts w:ascii="Times New Roman" w:hAnsi="Times New Roman" w:cs="Times New Roman"/>
                <w:color w:val="000000" w:themeColor="text1"/>
                <w:sz w:val="24"/>
              </w:rPr>
              <w:t>Kvalifikované odpočty oprávnených záväzkov, ktoré prevyšujú položky oprávnených záväzkov inštitúcie</w:t>
            </w:r>
            <w:r w:rsidR="00A3389E">
              <w:rPr>
                <w:rFonts w:ascii="Times New Roman" w:hAnsi="Times New Roman" w:cs="Times New Roman"/>
                <w:color w:val="000000" w:themeColor="text1"/>
                <w:sz w:val="24"/>
              </w:rPr>
              <w:t xml:space="preserve"> v </w:t>
            </w:r>
            <w:r w:rsidRPr="00A3389E">
              <w:rPr>
                <w:rFonts w:ascii="Times New Roman" w:hAnsi="Times New Roman" w:cs="Times New Roman"/>
                <w:color w:val="000000" w:themeColor="text1"/>
                <w:sz w:val="24"/>
              </w:rPr>
              <w:t>súlade</w:t>
            </w:r>
            <w:r w:rsidR="00A3389E">
              <w:rPr>
                <w:rFonts w:ascii="Times New Roman" w:hAnsi="Times New Roman" w:cs="Times New Roman"/>
                <w:color w:val="000000" w:themeColor="text1"/>
                <w:sz w:val="24"/>
              </w:rPr>
              <w:t xml:space="preserve"> s </w:t>
            </w:r>
            <w:r w:rsidRPr="00A3389E">
              <w:rPr>
                <w:rFonts w:ascii="Times New Roman" w:hAnsi="Times New Roman" w:cs="Times New Roman"/>
                <w:sz w:val="24"/>
              </w:rPr>
              <w:t xml:space="preserve">článkom 66 písm. e) CRR </w:t>
            </w:r>
            <w:r w:rsidRPr="00A3389E">
              <w:rPr>
                <w:rFonts w:ascii="Times New Roman" w:hAnsi="Times New Roman" w:cs="Times New Roman"/>
                <w:color w:val="000000" w:themeColor="text1"/>
                <w:sz w:val="24"/>
              </w:rPr>
              <w:t>(záporná hodnota)</w:t>
            </w:r>
            <w:r w:rsidRPr="00A3389E">
              <w:rPr>
                <w:rFonts w:ascii="Times New Roman" w:hAnsi="Times New Roman" w:cs="Times New Roman"/>
                <w:sz w:val="24"/>
              </w:rPr>
              <w:t>.</w:t>
            </w:r>
            <w:r w:rsidRPr="00A3389E">
              <w:rPr>
                <w:rFonts w:ascii="Times New Roman" w:hAnsi="Times New Roman" w:cs="Times New Roman"/>
                <w:color w:val="000000" w:themeColor="text1"/>
                <w:sz w:val="24"/>
              </w:rPr>
              <w:t xml:space="preserve"> </w:t>
            </w:r>
          </w:p>
        </w:tc>
      </w:tr>
      <w:tr w:rsidR="00CE019E" w:rsidRPr="00A3389E" w14:paraId="46244656" w14:textId="77777777" w:rsidTr="001E06A3">
        <w:tc>
          <w:tcPr>
            <w:tcW w:w="1172" w:type="dxa"/>
            <w:vAlign w:val="center"/>
          </w:tcPr>
          <w:p w14:paraId="674624FD"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EU-56b</w:t>
            </w:r>
          </w:p>
        </w:tc>
        <w:tc>
          <w:tcPr>
            <w:tcW w:w="7242" w:type="dxa"/>
            <w:vAlign w:val="center"/>
          </w:tcPr>
          <w:p w14:paraId="0905EC82"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Ostatné regulačné úpravy kapitálu T2</w:t>
            </w:r>
          </w:p>
          <w:p w14:paraId="434EEE99" w14:textId="35E71690"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tomto riadku každú uplatniteľnú regulačnú úpravu, ktorá sa vykazuje ako súčasť vykazovania na účely dohľadu</w:t>
            </w:r>
            <w:r w:rsidR="00A3389E">
              <w:rPr>
                <w:rFonts w:ascii="Times New Roman" w:hAnsi="Times New Roman" w:cs="Times New Roman"/>
                <w:sz w:val="24"/>
              </w:rPr>
              <w:t xml:space="preserve"> a </w:t>
            </w:r>
            <w:r w:rsidRPr="00A3389E">
              <w:rPr>
                <w:rFonts w:ascii="Times New Roman" w:hAnsi="Times New Roman" w:cs="Times New Roman"/>
                <w:sz w:val="24"/>
              </w:rPr>
              <w:t>nie je zahrnutá</w:t>
            </w:r>
            <w:r w:rsidR="00A3389E">
              <w:rPr>
                <w:rFonts w:ascii="Times New Roman" w:hAnsi="Times New Roman" w:cs="Times New Roman"/>
                <w:sz w:val="24"/>
              </w:rPr>
              <w:t xml:space="preserve"> v </w:t>
            </w:r>
            <w:r w:rsidRPr="00A3389E">
              <w:rPr>
                <w:rFonts w:ascii="Times New Roman" w:hAnsi="Times New Roman" w:cs="Times New Roman"/>
                <w:sz w:val="24"/>
              </w:rPr>
              <w:t>žiadnom inom riadku tohto vzoru.</w:t>
            </w:r>
          </w:p>
        </w:tc>
      </w:tr>
      <w:tr w:rsidR="00CE019E" w:rsidRPr="00A3389E" w14:paraId="10E504C9" w14:textId="77777777" w:rsidTr="001E06A3">
        <w:tc>
          <w:tcPr>
            <w:tcW w:w="1172" w:type="dxa"/>
            <w:vAlign w:val="center"/>
          </w:tcPr>
          <w:p w14:paraId="78AB3A8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57</w:t>
            </w:r>
          </w:p>
        </w:tc>
        <w:tc>
          <w:tcPr>
            <w:tcW w:w="7242" w:type="dxa"/>
            <w:vAlign w:val="center"/>
          </w:tcPr>
          <w:p w14:paraId="5BF0BBA9"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Celkové regulačné úpravy kapitálu Tier 2 (T2)</w:t>
            </w:r>
          </w:p>
          <w:p w14:paraId="3D5C16D7" w14:textId="7D99EB5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52 až EU-56b tohto vzoru.</w:t>
            </w:r>
          </w:p>
        </w:tc>
      </w:tr>
      <w:tr w:rsidR="00CE019E" w:rsidRPr="00A3389E" w14:paraId="60635749" w14:textId="77777777" w:rsidTr="001E06A3">
        <w:tc>
          <w:tcPr>
            <w:tcW w:w="1172" w:type="dxa"/>
            <w:vAlign w:val="center"/>
          </w:tcPr>
          <w:p w14:paraId="3CF53BDB"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58</w:t>
            </w:r>
          </w:p>
        </w:tc>
        <w:tc>
          <w:tcPr>
            <w:tcW w:w="7242" w:type="dxa"/>
            <w:vAlign w:val="center"/>
          </w:tcPr>
          <w:p w14:paraId="27061A2D"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 Tier 2 (T2)</w:t>
            </w:r>
          </w:p>
          <w:p w14:paraId="3026ED1E"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 Tier 2 (T2), ktorý sa vypočíta ako riadok 51 mínus riadok 57 tohto vzoru.</w:t>
            </w:r>
          </w:p>
        </w:tc>
      </w:tr>
      <w:tr w:rsidR="00CE019E" w:rsidRPr="00A3389E" w14:paraId="7E9E3BD1" w14:textId="77777777" w:rsidTr="001E06A3">
        <w:tc>
          <w:tcPr>
            <w:tcW w:w="1172" w:type="dxa"/>
            <w:vAlign w:val="center"/>
          </w:tcPr>
          <w:p w14:paraId="5E187EFC"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59</w:t>
            </w:r>
          </w:p>
        </w:tc>
        <w:tc>
          <w:tcPr>
            <w:tcW w:w="7242" w:type="dxa"/>
            <w:vAlign w:val="center"/>
          </w:tcPr>
          <w:p w14:paraId="6CCC5FDD"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Celkový kapitál (TC = T1 + T2)</w:t>
            </w:r>
          </w:p>
          <w:p w14:paraId="778684B6"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Celkový kapitál, ktorý sa vypočíta ako riadok 45 plus riadok 58 tohto vzoru.</w:t>
            </w:r>
          </w:p>
        </w:tc>
      </w:tr>
      <w:tr w:rsidR="00CE019E" w:rsidRPr="00A3389E" w14:paraId="425C771E" w14:textId="77777777" w:rsidTr="001E06A3">
        <w:tc>
          <w:tcPr>
            <w:tcW w:w="1172" w:type="dxa"/>
            <w:vAlign w:val="center"/>
          </w:tcPr>
          <w:p w14:paraId="1769AAF4"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60</w:t>
            </w:r>
          </w:p>
        </w:tc>
        <w:tc>
          <w:tcPr>
            <w:tcW w:w="7242" w:type="dxa"/>
            <w:vAlign w:val="center"/>
          </w:tcPr>
          <w:p w14:paraId="4BD00704"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Celková hodnota rizikovej expozície</w:t>
            </w:r>
          </w:p>
          <w:p w14:paraId="06A9FD06"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Celková hodnota rizikovej expozície skupiny.</w:t>
            </w:r>
          </w:p>
        </w:tc>
      </w:tr>
      <w:tr w:rsidR="00CE019E" w:rsidRPr="00A3389E" w14:paraId="72ADE2E6" w14:textId="77777777" w:rsidTr="001E06A3">
        <w:tc>
          <w:tcPr>
            <w:tcW w:w="1172" w:type="dxa"/>
            <w:vAlign w:val="center"/>
          </w:tcPr>
          <w:p w14:paraId="70528C9E"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61</w:t>
            </w:r>
          </w:p>
        </w:tc>
        <w:tc>
          <w:tcPr>
            <w:tcW w:w="7242" w:type="dxa"/>
            <w:vAlign w:val="center"/>
          </w:tcPr>
          <w:p w14:paraId="29E9779F"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Vlastný kapitál Tier 1 (CET1)</w:t>
            </w:r>
          </w:p>
          <w:p w14:paraId="7C9EC9BA" w14:textId="08C12248"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Vlastný kapitál Tier 1 (ako percentuálny podiel celkovej hodnoty rizikovej expozície), ktorý sa vypočíta ako riadok 29 vydelený riadkom 60 (vyjadreným ako percentuálny podiel) tohto vzoru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2 písm. a) CRR.</w:t>
            </w:r>
          </w:p>
        </w:tc>
      </w:tr>
      <w:tr w:rsidR="00CE019E" w:rsidRPr="00A3389E" w14:paraId="1241C06C" w14:textId="77777777" w:rsidTr="001E06A3">
        <w:tc>
          <w:tcPr>
            <w:tcW w:w="1172" w:type="dxa"/>
            <w:vAlign w:val="center"/>
          </w:tcPr>
          <w:p w14:paraId="13E674FD"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62</w:t>
            </w:r>
          </w:p>
        </w:tc>
        <w:tc>
          <w:tcPr>
            <w:tcW w:w="7242" w:type="dxa"/>
            <w:vAlign w:val="center"/>
          </w:tcPr>
          <w:p w14:paraId="0B22C2E3"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 Tier 1</w:t>
            </w:r>
          </w:p>
          <w:p w14:paraId="4F9B420D" w14:textId="4180A4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Kapitál Tier 1 (ako percentuálny podiel celkovej hodnoty rizikovej expozície), ktorý sa vypočíta ako riadok 45 vydelený riadkom 60 (vyjadreným ako percentuálny podiel) tohto vzoru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2 písm. b) CRR.</w:t>
            </w:r>
          </w:p>
        </w:tc>
      </w:tr>
      <w:tr w:rsidR="00CE019E" w:rsidRPr="00A3389E" w14:paraId="79693DDF" w14:textId="77777777" w:rsidTr="001E06A3">
        <w:tc>
          <w:tcPr>
            <w:tcW w:w="1172" w:type="dxa"/>
            <w:vAlign w:val="center"/>
          </w:tcPr>
          <w:p w14:paraId="7F7F9E96"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63</w:t>
            </w:r>
          </w:p>
        </w:tc>
        <w:tc>
          <w:tcPr>
            <w:tcW w:w="7242" w:type="dxa"/>
            <w:vAlign w:val="center"/>
          </w:tcPr>
          <w:p w14:paraId="5DF3D8E7"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Celkový kapitál</w:t>
            </w:r>
          </w:p>
          <w:p w14:paraId="6ED4EBDC" w14:textId="469FD713"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Celkový kapitál (ako percentuálny podiel celkovej hodnoty rizikovej expozície), ktorý sa vypočíta ako riadok 59 vydelený riadkom 60 (vyjadreným ako percentuálny podiel) tohto vzoru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2 písm. c) CRR.</w:t>
            </w:r>
          </w:p>
        </w:tc>
      </w:tr>
      <w:tr w:rsidR="00CE019E" w:rsidRPr="00A3389E" w14:paraId="72A2F37F" w14:textId="77777777" w:rsidTr="001E06A3">
        <w:tc>
          <w:tcPr>
            <w:tcW w:w="1172" w:type="dxa"/>
            <w:vAlign w:val="center"/>
          </w:tcPr>
          <w:p w14:paraId="55778407"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64</w:t>
            </w:r>
          </w:p>
        </w:tc>
        <w:tc>
          <w:tcPr>
            <w:tcW w:w="7242" w:type="dxa"/>
            <w:vAlign w:val="center"/>
          </w:tcPr>
          <w:p w14:paraId="61287796"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Celkové požiadavky na kapitál CET1 inštitúcie</w:t>
            </w:r>
          </w:p>
          <w:p w14:paraId="55C70E8B" w14:textId="3022BF62"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Celkové kapitálové požiadavky na CET1 inštitúcie sa vypočítavajú ako požiadavka na CET1</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1 písm. a) CRR plus požiadavka na dodatočný CET1, ktorý musia inštitúcie držať</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104 ods. 1 písm. a) smernice (EÚ) 2013/36</w:t>
            </w:r>
            <w:r w:rsidRPr="00A3389E">
              <w:rPr>
                <w:rStyle w:val="FootnoteReference"/>
                <w:rFonts w:ascii="Times New Roman" w:hAnsi="Times New Roman" w:cs="Times New Roman"/>
                <w:lang w:eastAsia="ja-JP"/>
              </w:rPr>
              <w:footnoteReference w:id="15"/>
            </w:r>
            <w:r w:rsidRPr="00A3389E">
              <w:rPr>
                <w:rFonts w:ascii="Times New Roman" w:hAnsi="Times New Roman" w:cs="Times New Roman"/>
                <w:sz w:val="24"/>
              </w:rPr>
              <w:t xml:space="preserve"> („CRD“), plus požiadavka na kombinovaný vankúš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128 ods. 6 CRD vyjadrená ako percentuálny podiel hodnoty rizikovej expozície.</w:t>
            </w:r>
          </w:p>
          <w:p w14:paraId="41FAFCCF" w14:textId="64FBB764"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Vypočíta sa ako 4,5</w:t>
            </w:r>
            <w:r w:rsidR="00A3389E">
              <w:rPr>
                <w:rFonts w:ascii="Times New Roman" w:hAnsi="Times New Roman" w:cs="Times New Roman"/>
                <w:sz w:val="24"/>
              </w:rPr>
              <w:t> %</w:t>
            </w:r>
            <w:r w:rsidRPr="00A3389E">
              <w:rPr>
                <w:rFonts w:ascii="Times New Roman" w:hAnsi="Times New Roman" w:cs="Times New Roman"/>
                <w:sz w:val="24"/>
              </w:rPr>
              <w:t xml:space="preserve"> plus dodatočné požiadavky piliera 2, ktoré sú inštitúcie povinné držať</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104 ods. 1 písm. a) CRD, plus požiadavka na kombinovaný vankúš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128, 129, 130, 131</w:t>
            </w:r>
            <w:r w:rsidR="00A3389E">
              <w:rPr>
                <w:rFonts w:ascii="Times New Roman" w:hAnsi="Times New Roman" w:cs="Times New Roman"/>
                <w:sz w:val="24"/>
              </w:rPr>
              <w:t xml:space="preserve"> a </w:t>
            </w:r>
            <w:r w:rsidRPr="00A3389E">
              <w:rPr>
                <w:rFonts w:ascii="Times New Roman" w:hAnsi="Times New Roman" w:cs="Times New Roman"/>
                <w:sz w:val="24"/>
              </w:rPr>
              <w:t>133 CRD</w:t>
            </w:r>
            <w:r w:rsidR="00A3389E" w:rsidRPr="00A3389E">
              <w:rPr>
                <w:rFonts w:ascii="Times New Roman" w:hAnsi="Times New Roman" w:cs="Times New Roman"/>
                <w:sz w:val="24"/>
              </w:rPr>
              <w:t>.</w:t>
            </w:r>
          </w:p>
          <w:p w14:paraId="398D091A" w14:textId="7178CA6F"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 xml:space="preserve">Tento riadok vyjadruje podiel CET1 relevantný pre posudzovanie obmedzení pri rozdeľovaní. </w:t>
            </w:r>
          </w:p>
        </w:tc>
      </w:tr>
      <w:tr w:rsidR="00CE019E" w:rsidRPr="00A3389E" w14:paraId="63976E4A" w14:textId="77777777" w:rsidTr="001E06A3">
        <w:tc>
          <w:tcPr>
            <w:tcW w:w="1172" w:type="dxa"/>
            <w:vAlign w:val="center"/>
          </w:tcPr>
          <w:p w14:paraId="70645328"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65</w:t>
            </w:r>
          </w:p>
        </w:tc>
        <w:tc>
          <w:tcPr>
            <w:tcW w:w="7242" w:type="dxa"/>
            <w:vAlign w:val="center"/>
          </w:tcPr>
          <w:p w14:paraId="53D727D5"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požiadavka na vankúš na zachovanie kapitálu.</w:t>
            </w:r>
          </w:p>
          <w:p w14:paraId="001FEB6D" w14:textId="4DF86694"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riadku 64 (vyjadrená ako percentuálny podiel celkovej hodnoty rizikovej expozície) tohto vzoru, ktorá sa týka požiadavky na vankúš na zachovanie kapitálu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129 CRD.</w:t>
            </w:r>
          </w:p>
        </w:tc>
      </w:tr>
      <w:tr w:rsidR="00CE019E" w:rsidRPr="00A3389E" w14:paraId="08A529D9" w14:textId="77777777" w:rsidTr="001E06A3">
        <w:tc>
          <w:tcPr>
            <w:tcW w:w="1172" w:type="dxa"/>
            <w:vAlign w:val="center"/>
          </w:tcPr>
          <w:p w14:paraId="436F07D7"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66</w:t>
            </w:r>
          </w:p>
        </w:tc>
        <w:tc>
          <w:tcPr>
            <w:tcW w:w="7242" w:type="dxa"/>
            <w:vAlign w:val="center"/>
          </w:tcPr>
          <w:p w14:paraId="158CAE1B"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požiadavka na proticyklický kapitálový vankúš.</w:t>
            </w:r>
          </w:p>
          <w:p w14:paraId="510003F8" w14:textId="2DE150A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riadku 64 (vyjadrená ako percentuálny podiel celkovej hodnoty rizikovej expozície) tohto vzoru, ktorá sa týka požiadavky na proticyklický vankúš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článkom 130 CRD. </w:t>
            </w:r>
          </w:p>
        </w:tc>
      </w:tr>
      <w:tr w:rsidR="00CE019E" w:rsidRPr="00A3389E" w14:paraId="015CDF41" w14:textId="77777777" w:rsidTr="001E06A3">
        <w:tc>
          <w:tcPr>
            <w:tcW w:w="1172" w:type="dxa"/>
            <w:vAlign w:val="center"/>
          </w:tcPr>
          <w:p w14:paraId="43431AC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67</w:t>
            </w:r>
          </w:p>
        </w:tc>
        <w:tc>
          <w:tcPr>
            <w:tcW w:w="7242" w:type="dxa"/>
            <w:vAlign w:val="center"/>
          </w:tcPr>
          <w:p w14:paraId="006675C6"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požiadavka na vankúš na krytie systémového rizika.</w:t>
            </w:r>
          </w:p>
          <w:p w14:paraId="75C0D29E" w14:textId="103F28B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riadku 64 (vyjadrená ako percentuálny podiel celkovej hodnoty rizikovej expozície) tohto vzoru, ktorá sa týka požiadavky na vankúš na krytie systémového rizika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133 CRD.</w:t>
            </w:r>
          </w:p>
        </w:tc>
      </w:tr>
      <w:tr w:rsidR="00CE019E" w:rsidRPr="00A3389E" w14:paraId="65DBF1A5" w14:textId="77777777" w:rsidTr="001E06A3">
        <w:tc>
          <w:tcPr>
            <w:tcW w:w="1172" w:type="dxa"/>
            <w:vAlign w:val="center"/>
          </w:tcPr>
          <w:p w14:paraId="62ED7908"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EU-67a</w:t>
            </w:r>
          </w:p>
        </w:tc>
        <w:tc>
          <w:tcPr>
            <w:tcW w:w="7242" w:type="dxa"/>
            <w:vAlign w:val="center"/>
          </w:tcPr>
          <w:p w14:paraId="4B491F7E"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Požiadavka na vankúš pre globálne systémovo významnú inštitúciu (G-SII) alebo inak systémovo významnú inštitúciu (O-SII).</w:t>
            </w:r>
          </w:p>
          <w:p w14:paraId="4F4A062E" w14:textId="57EC9A5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riadku 64 (vyjadrená ako percentuálny podiel celkovej hodnoty rizikovej expozície) tohto vzoru, ktorá sa týka požiadavky na vankúš pre G-SII alebo O-SII</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131 CRD.</w:t>
            </w:r>
          </w:p>
        </w:tc>
      </w:tr>
      <w:tr w:rsidR="00CE019E" w:rsidRPr="00A3389E" w14:paraId="17E65DE8" w14:textId="77777777" w:rsidTr="001E06A3">
        <w:tc>
          <w:tcPr>
            <w:tcW w:w="1172" w:type="dxa"/>
            <w:vAlign w:val="center"/>
          </w:tcPr>
          <w:p w14:paraId="41D2261A"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EU-67b</w:t>
            </w:r>
          </w:p>
        </w:tc>
        <w:tc>
          <w:tcPr>
            <w:tcW w:w="7242" w:type="dxa"/>
            <w:vAlign w:val="center"/>
          </w:tcPr>
          <w:p w14:paraId="1BA72B22"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z čoho: dodatočné požiadavky na vlastné zdroje na riešenie iných rizík, než je riziko nadmerného využívania finančnej páky</w:t>
            </w:r>
            <w:r w:rsidR="00A3389E" w:rsidRPr="00A3389E">
              <w:rPr>
                <w:rFonts w:ascii="Times New Roman" w:hAnsi="Times New Roman" w:cs="Times New Roman"/>
                <w:sz w:val="24"/>
              </w:rPr>
              <w:t>.</w:t>
            </w:r>
          </w:p>
          <w:p w14:paraId="18C35025" w14:textId="57C483DB"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riadku 64 (vyjadrená ako percentuálny podiel celkovej hodnoty rizikovej expozície) tohto vzoru, ktorá sa týka dodatočných požiadaviek na vlastné zdroje vyplývajúcich</w:t>
            </w:r>
            <w:r w:rsidR="00A3389E">
              <w:rPr>
                <w:rFonts w:ascii="Times New Roman" w:hAnsi="Times New Roman" w:cs="Times New Roman"/>
                <w:sz w:val="24"/>
              </w:rPr>
              <w:t xml:space="preserve"> z </w:t>
            </w:r>
            <w:r w:rsidRPr="00A3389E">
              <w:rPr>
                <w:rFonts w:ascii="Times New Roman" w:hAnsi="Times New Roman" w:cs="Times New Roman"/>
                <w:sz w:val="24"/>
              </w:rPr>
              <w:t>postupu preskúmania orgánmi dohľadu, ktoré musí spĺňať kapitál CET1,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104 ods. 1 písm. a) smernice 2013/36/EÚ.</w:t>
            </w:r>
          </w:p>
        </w:tc>
      </w:tr>
      <w:tr w:rsidR="00CE019E" w:rsidRPr="00A3389E" w14:paraId="55A66B39" w14:textId="77777777" w:rsidTr="001E06A3">
        <w:tc>
          <w:tcPr>
            <w:tcW w:w="1172" w:type="dxa"/>
            <w:vAlign w:val="center"/>
          </w:tcPr>
          <w:p w14:paraId="7BAD452D"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68</w:t>
            </w:r>
          </w:p>
        </w:tc>
        <w:tc>
          <w:tcPr>
            <w:tcW w:w="7242" w:type="dxa"/>
            <w:vAlign w:val="center"/>
          </w:tcPr>
          <w:p w14:paraId="4143BC85"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Vlastný kapitál Tier 1 (ako percentuálny podiel hodnoty rizikovej expozície) dostupný po splnení minimálnych kapitálových požiadaviek.</w:t>
            </w:r>
          </w:p>
          <w:p w14:paraId="5EA406D1" w14:textId="0C9D401B"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Vypočíta sa ako riadok 61 mínus 4,5 (percentuálneho bodu) mínus EU-67b mínus vlastný kapitál Tier 1, ktorý inštitúcia používa na splnenie svojich kapitálových požiadaviek dodatočného kapitálu Tier 1</w:t>
            </w:r>
            <w:r w:rsidR="00A3389E">
              <w:rPr>
                <w:rFonts w:ascii="Times New Roman" w:hAnsi="Times New Roman" w:cs="Times New Roman"/>
                <w:sz w:val="24"/>
              </w:rPr>
              <w:t xml:space="preserve"> a </w:t>
            </w:r>
            <w:r w:rsidRPr="00A3389E">
              <w:rPr>
                <w:rFonts w:ascii="Times New Roman" w:hAnsi="Times New Roman" w:cs="Times New Roman"/>
                <w:sz w:val="24"/>
              </w:rPr>
              <w:t>kapitálu Tier 2.</w:t>
            </w:r>
          </w:p>
        </w:tc>
      </w:tr>
      <w:tr w:rsidR="00CE019E" w:rsidRPr="00A3389E" w14:paraId="258F1BD3" w14:textId="77777777" w:rsidTr="001E06A3">
        <w:tc>
          <w:tcPr>
            <w:tcW w:w="1172" w:type="dxa"/>
            <w:vAlign w:val="center"/>
          </w:tcPr>
          <w:p w14:paraId="6C6C47BD" w14:textId="77777777" w:rsidR="00CE019E" w:rsidRPr="00A3389E" w:rsidDel="007266C2" w:rsidRDefault="00CE019E" w:rsidP="001E06A3">
            <w:pPr>
              <w:spacing w:after="200"/>
              <w:rPr>
                <w:rFonts w:ascii="Times New Roman" w:hAnsi="Times New Roman" w:cs="Times New Roman"/>
                <w:sz w:val="24"/>
              </w:rPr>
            </w:pPr>
            <w:r w:rsidRPr="00A3389E">
              <w:rPr>
                <w:rFonts w:ascii="Times New Roman" w:hAnsi="Times New Roman" w:cs="Times New Roman"/>
                <w:sz w:val="24"/>
              </w:rPr>
              <w:t>69</w:t>
            </w:r>
          </w:p>
        </w:tc>
        <w:tc>
          <w:tcPr>
            <w:tcW w:w="7242" w:type="dxa"/>
            <w:vAlign w:val="center"/>
          </w:tcPr>
          <w:p w14:paraId="11091C4B"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115090DC" w14:textId="77777777" w:rsidTr="001E06A3">
        <w:tc>
          <w:tcPr>
            <w:tcW w:w="1172" w:type="dxa"/>
            <w:vAlign w:val="center"/>
          </w:tcPr>
          <w:p w14:paraId="7E2B386D" w14:textId="77777777" w:rsidR="00CE019E" w:rsidRPr="00A3389E" w:rsidDel="007266C2" w:rsidRDefault="00CE019E" w:rsidP="001E06A3">
            <w:pPr>
              <w:spacing w:after="200"/>
              <w:rPr>
                <w:rFonts w:ascii="Times New Roman" w:hAnsi="Times New Roman" w:cs="Times New Roman"/>
                <w:sz w:val="24"/>
              </w:rPr>
            </w:pPr>
            <w:r w:rsidRPr="00A3389E">
              <w:rPr>
                <w:rFonts w:ascii="Times New Roman" w:hAnsi="Times New Roman" w:cs="Times New Roman"/>
                <w:sz w:val="24"/>
              </w:rPr>
              <w:t>70</w:t>
            </w:r>
          </w:p>
        </w:tc>
        <w:tc>
          <w:tcPr>
            <w:tcW w:w="7242" w:type="dxa"/>
            <w:vAlign w:val="center"/>
          </w:tcPr>
          <w:p w14:paraId="5B20B870"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349374AA" w14:textId="77777777" w:rsidTr="001E06A3">
        <w:tc>
          <w:tcPr>
            <w:tcW w:w="1172" w:type="dxa"/>
            <w:vAlign w:val="center"/>
          </w:tcPr>
          <w:p w14:paraId="5AD1F82D" w14:textId="77777777" w:rsidR="00CE019E" w:rsidRPr="00A3389E" w:rsidDel="007266C2" w:rsidRDefault="00CE019E" w:rsidP="001E06A3">
            <w:pPr>
              <w:spacing w:after="200"/>
              <w:rPr>
                <w:rFonts w:ascii="Times New Roman" w:hAnsi="Times New Roman" w:cs="Times New Roman"/>
                <w:sz w:val="24"/>
              </w:rPr>
            </w:pPr>
            <w:r w:rsidRPr="00A3389E">
              <w:rPr>
                <w:rFonts w:ascii="Times New Roman" w:hAnsi="Times New Roman" w:cs="Times New Roman"/>
                <w:sz w:val="24"/>
              </w:rPr>
              <w:t>71</w:t>
            </w:r>
          </w:p>
        </w:tc>
        <w:tc>
          <w:tcPr>
            <w:tcW w:w="7242" w:type="dxa"/>
            <w:vAlign w:val="center"/>
          </w:tcPr>
          <w:p w14:paraId="442AAF4A"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5E192E90" w14:textId="77777777" w:rsidTr="001E06A3">
        <w:tc>
          <w:tcPr>
            <w:tcW w:w="1172" w:type="dxa"/>
            <w:vAlign w:val="center"/>
          </w:tcPr>
          <w:p w14:paraId="17EF5BE0"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72</w:t>
            </w:r>
          </w:p>
        </w:tc>
        <w:tc>
          <w:tcPr>
            <w:tcW w:w="7242" w:type="dxa"/>
            <w:vAlign w:val="center"/>
          </w:tcPr>
          <w:p w14:paraId="54A46A1A" w14:textId="435A9A9F"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w:t>
            </w:r>
            <w:r w:rsidR="00A3389E">
              <w:rPr>
                <w:rFonts w:ascii="Times New Roman" w:hAnsi="Times New Roman" w:cs="Times New Roman"/>
                <w:sz w:val="24"/>
              </w:rPr>
              <w:t xml:space="preserve"> a </w:t>
            </w:r>
            <w:r w:rsidRPr="00A3389E">
              <w:rPr>
                <w:rFonts w:ascii="Times New Roman" w:hAnsi="Times New Roman" w:cs="Times New Roman"/>
                <w:sz w:val="24"/>
              </w:rPr>
              <w:t>nepriame podiely na vlastných zdrojoch</w:t>
            </w:r>
            <w:r w:rsidR="00A3389E">
              <w:rPr>
                <w:rFonts w:ascii="Times New Roman" w:hAnsi="Times New Roman" w:cs="Times New Roman"/>
                <w:sz w:val="24"/>
              </w:rPr>
              <w:t xml:space="preserve"> a </w:t>
            </w:r>
            <w:r w:rsidRPr="00A3389E">
              <w:rPr>
                <w:rFonts w:ascii="Times New Roman" w:hAnsi="Times New Roman" w:cs="Times New Roman"/>
                <w:sz w:val="24"/>
              </w:rPr>
              <w:t>oprávnené záväzky subjektov finančného sektora, ak daná inštitúcia nemá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pod prahovou hodnotou 10</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w:t>
            </w:r>
          </w:p>
          <w:p w14:paraId="42875D75" w14:textId="17526D9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w:t>
            </w:r>
            <w:r w:rsidR="00A3389E">
              <w:rPr>
                <w:rFonts w:ascii="Times New Roman" w:hAnsi="Times New Roman" w:cs="Times New Roman"/>
                <w:sz w:val="24"/>
              </w:rPr>
              <w:t xml:space="preserve"> a </w:t>
            </w:r>
            <w:r w:rsidRPr="00A3389E">
              <w:rPr>
                <w:rFonts w:ascii="Times New Roman" w:hAnsi="Times New Roman" w:cs="Times New Roman"/>
                <w:sz w:val="24"/>
              </w:rPr>
              <w:t>nepriame podiely na vlastných zdrojoch</w:t>
            </w:r>
            <w:r w:rsidR="00A3389E">
              <w:rPr>
                <w:rFonts w:ascii="Times New Roman" w:hAnsi="Times New Roman" w:cs="Times New Roman"/>
                <w:sz w:val="24"/>
              </w:rPr>
              <w:t xml:space="preserve"> a </w:t>
            </w:r>
            <w:r w:rsidRPr="00A3389E">
              <w:rPr>
                <w:rFonts w:ascii="Times New Roman" w:hAnsi="Times New Roman" w:cs="Times New Roman"/>
                <w:sz w:val="24"/>
              </w:rPr>
              <w:t>oprávnené záväzky subjektov finančného sektora, ak daná inštitúcia nemá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pod prahovou hodnotou 10</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článkom 36 ods. 1 </w:t>
            </w:r>
            <w:r w:rsidRPr="00A3389E">
              <w:rPr>
                <w:rFonts w:ascii="Times New Roman" w:hAnsi="Times New Roman" w:cs="Times New Roman"/>
                <w:sz w:val="24"/>
              </w:rPr>
              <w:lastRenderedPageBreak/>
              <w:t>písm. h), článkami 45, 46, článkom 56 písm. c), článkami 59, 60, článkom 66 písm. c)</w:t>
            </w:r>
            <w:r w:rsidR="00A3389E">
              <w:rPr>
                <w:rFonts w:ascii="Times New Roman" w:hAnsi="Times New Roman" w:cs="Times New Roman"/>
                <w:sz w:val="24"/>
              </w:rPr>
              <w:t xml:space="preserve"> a </w:t>
            </w:r>
            <w:r w:rsidRPr="00A3389E">
              <w:rPr>
                <w:rFonts w:ascii="Times New Roman" w:hAnsi="Times New Roman" w:cs="Times New Roman"/>
                <w:sz w:val="24"/>
              </w:rPr>
              <w:t>článkami 69, 70</w:t>
            </w:r>
            <w:r w:rsidR="00A3389E">
              <w:rPr>
                <w:rFonts w:ascii="Times New Roman" w:hAnsi="Times New Roman" w:cs="Times New Roman"/>
                <w:sz w:val="24"/>
              </w:rPr>
              <w:t xml:space="preserve"> a </w:t>
            </w:r>
            <w:r w:rsidRPr="00A3389E">
              <w:rPr>
                <w:rFonts w:ascii="Times New Roman" w:hAnsi="Times New Roman" w:cs="Times New Roman"/>
                <w:sz w:val="24"/>
              </w:rPr>
              <w:t xml:space="preserve">72i CRR. </w:t>
            </w:r>
          </w:p>
        </w:tc>
      </w:tr>
      <w:tr w:rsidR="00CE019E" w:rsidRPr="00A3389E" w14:paraId="0755466A" w14:textId="77777777" w:rsidTr="001E06A3">
        <w:tc>
          <w:tcPr>
            <w:tcW w:w="1172" w:type="dxa"/>
            <w:vAlign w:val="center"/>
          </w:tcPr>
          <w:p w14:paraId="071C3B15"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73</w:t>
            </w:r>
          </w:p>
        </w:tc>
        <w:tc>
          <w:tcPr>
            <w:tcW w:w="7242" w:type="dxa"/>
            <w:vAlign w:val="center"/>
          </w:tcPr>
          <w:p w14:paraId="61135644" w14:textId="35AE23F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w:t>
            </w:r>
            <w:r w:rsidR="00A3389E">
              <w:rPr>
                <w:rFonts w:ascii="Times New Roman" w:hAnsi="Times New Roman" w:cs="Times New Roman"/>
                <w:sz w:val="24"/>
              </w:rPr>
              <w:t xml:space="preserve"> a </w:t>
            </w:r>
            <w:r w:rsidRPr="00A3389E">
              <w:rPr>
                <w:rFonts w:ascii="Times New Roman" w:hAnsi="Times New Roman" w:cs="Times New Roman"/>
                <w:sz w:val="24"/>
              </w:rPr>
              <w:t>nepriame podiely inštitúcie na nástrojoch CET1 subjektov finančného sektora, ak daná inštitúcia 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pod prahovou hodnotou 17,65</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w:t>
            </w:r>
          </w:p>
          <w:p w14:paraId="3DE14D0A" w14:textId="54EF6E0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Priame</w:t>
            </w:r>
            <w:r w:rsidR="00A3389E">
              <w:rPr>
                <w:rFonts w:ascii="Times New Roman" w:hAnsi="Times New Roman" w:cs="Times New Roman"/>
                <w:sz w:val="24"/>
              </w:rPr>
              <w:t xml:space="preserve"> a </w:t>
            </w:r>
            <w:r w:rsidRPr="00A3389E">
              <w:rPr>
                <w:rFonts w:ascii="Times New Roman" w:hAnsi="Times New Roman" w:cs="Times New Roman"/>
                <w:sz w:val="24"/>
              </w:rPr>
              <w:t>nepriame podiely inštitúcie</w:t>
            </w:r>
            <w:r w:rsidR="00A3389E">
              <w:rPr>
                <w:rFonts w:ascii="Times New Roman" w:hAnsi="Times New Roman" w:cs="Times New Roman"/>
                <w:sz w:val="24"/>
              </w:rPr>
              <w:t xml:space="preserve"> v </w:t>
            </w:r>
            <w:r w:rsidRPr="00A3389E">
              <w:rPr>
                <w:rFonts w:ascii="Times New Roman" w:hAnsi="Times New Roman" w:cs="Times New Roman"/>
                <w:sz w:val="24"/>
              </w:rPr>
              <w:t>nástrojoch CET1 subjektov finančného sektora, ak daná inštitúcia má významnú investíciu</w:t>
            </w:r>
            <w:r w:rsidR="00A3389E">
              <w:rPr>
                <w:rFonts w:ascii="Times New Roman" w:hAnsi="Times New Roman" w:cs="Times New Roman"/>
                <w:sz w:val="24"/>
              </w:rPr>
              <w:t xml:space="preserve"> v </w:t>
            </w:r>
            <w:r w:rsidRPr="00A3389E">
              <w:rPr>
                <w:rFonts w:ascii="Times New Roman" w:hAnsi="Times New Roman" w:cs="Times New Roman"/>
                <w:sz w:val="24"/>
              </w:rPr>
              <w:t>týchto subjektoch (hodnota pod prahovou hodnotou 17,65</w:t>
            </w:r>
            <w:r w:rsidR="00A3389E">
              <w:rPr>
                <w:rFonts w:ascii="Times New Roman" w:hAnsi="Times New Roman" w:cs="Times New Roman"/>
                <w:sz w:val="24"/>
              </w:rPr>
              <w:t> % a </w:t>
            </w:r>
            <w:r w:rsidRPr="00A3389E">
              <w:rPr>
                <w:rFonts w:ascii="Times New Roman" w:hAnsi="Times New Roman" w:cs="Times New Roman"/>
                <w:sz w:val="24"/>
              </w:rPr>
              <w:t>po odpočítaní prípustných krátkych pozícií)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i), článkami 43, 45, 47, článkom 48 ods. 1 písm. b)</w:t>
            </w:r>
            <w:r w:rsidR="00A3389E">
              <w:rPr>
                <w:rFonts w:ascii="Times New Roman" w:hAnsi="Times New Roman" w:cs="Times New Roman"/>
                <w:sz w:val="24"/>
              </w:rPr>
              <w:t xml:space="preserve"> a </w:t>
            </w:r>
            <w:r w:rsidRPr="00A3389E">
              <w:rPr>
                <w:rFonts w:ascii="Times New Roman" w:hAnsi="Times New Roman" w:cs="Times New Roman"/>
                <w:sz w:val="24"/>
              </w:rPr>
              <w:t>článkom 49 ods. 1 až 3 CRR (celková hodnota takýchto investícií, ktoré nie sú zverejnené</w:t>
            </w:r>
            <w:r w:rsidR="00A3389E">
              <w:rPr>
                <w:rFonts w:ascii="Times New Roman" w:hAnsi="Times New Roman" w:cs="Times New Roman"/>
                <w:sz w:val="24"/>
              </w:rPr>
              <w:t xml:space="preserve"> v </w:t>
            </w:r>
            <w:r w:rsidRPr="00A3389E">
              <w:rPr>
                <w:rFonts w:ascii="Times New Roman" w:hAnsi="Times New Roman" w:cs="Times New Roman"/>
                <w:sz w:val="24"/>
              </w:rPr>
              <w:t>riadku 19 ani riadku 23 tohto vzoru).</w:t>
            </w:r>
          </w:p>
        </w:tc>
      </w:tr>
      <w:tr w:rsidR="00CE019E" w:rsidRPr="00A3389E" w14:paraId="3602EF52" w14:textId="77777777" w:rsidTr="001E06A3">
        <w:tc>
          <w:tcPr>
            <w:tcW w:w="1172" w:type="dxa"/>
            <w:vAlign w:val="center"/>
          </w:tcPr>
          <w:p w14:paraId="6D7AF27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74</w:t>
            </w:r>
          </w:p>
        </w:tc>
        <w:tc>
          <w:tcPr>
            <w:tcW w:w="7242" w:type="dxa"/>
            <w:vAlign w:val="center"/>
          </w:tcPr>
          <w:p w14:paraId="20B40A7C" w14:textId="7777777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Neuplatňuje sa</w:t>
            </w:r>
          </w:p>
        </w:tc>
      </w:tr>
      <w:tr w:rsidR="00CE019E" w:rsidRPr="00A3389E" w14:paraId="310787B7" w14:textId="77777777" w:rsidTr="001E06A3">
        <w:tc>
          <w:tcPr>
            <w:tcW w:w="1172" w:type="dxa"/>
            <w:vAlign w:val="center"/>
          </w:tcPr>
          <w:p w14:paraId="29A3E014"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75</w:t>
            </w:r>
          </w:p>
        </w:tc>
        <w:tc>
          <w:tcPr>
            <w:tcW w:w="7242" w:type="dxa"/>
            <w:vAlign w:val="center"/>
          </w:tcPr>
          <w:p w14:paraId="0ED81717" w14:textId="7C3ED7D6"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Odložené daňové pohľadávky, ktoré vyplývajú</w:t>
            </w:r>
            <w:r w:rsidR="00A3389E">
              <w:rPr>
                <w:rFonts w:ascii="Times New Roman" w:hAnsi="Times New Roman" w:cs="Times New Roman"/>
                <w:sz w:val="24"/>
              </w:rPr>
              <w:t xml:space="preserve"> z </w:t>
            </w:r>
            <w:r w:rsidRPr="00A3389E">
              <w:rPr>
                <w:rFonts w:ascii="Times New Roman" w:hAnsi="Times New Roman" w:cs="Times New Roman"/>
                <w:sz w:val="24"/>
              </w:rPr>
              <w:t>dočasných rozdielov (hodnota pod prahovou hodnotou 17,65</w:t>
            </w:r>
            <w:r w:rsidR="00A3389E">
              <w:rPr>
                <w:rFonts w:ascii="Times New Roman" w:hAnsi="Times New Roman" w:cs="Times New Roman"/>
                <w:sz w:val="24"/>
              </w:rPr>
              <w:t> %</w:t>
            </w:r>
            <w:r w:rsidRPr="00A3389E">
              <w:rPr>
                <w:rFonts w:ascii="Times New Roman" w:hAnsi="Times New Roman" w:cs="Times New Roman"/>
                <w:sz w:val="24"/>
              </w:rPr>
              <w:t>, po odpočítaní súvisiaceho daňového záväzku, ak sú splnené podmienky stanovené</w:t>
            </w:r>
            <w:r w:rsidR="00A3389E">
              <w:rPr>
                <w:rFonts w:ascii="Times New Roman" w:hAnsi="Times New Roman" w:cs="Times New Roman"/>
                <w:sz w:val="24"/>
              </w:rPr>
              <w:t xml:space="preserve"> v </w:t>
            </w:r>
            <w:r w:rsidRPr="00A3389E">
              <w:rPr>
                <w:rFonts w:ascii="Times New Roman" w:hAnsi="Times New Roman" w:cs="Times New Roman"/>
                <w:sz w:val="24"/>
              </w:rPr>
              <w:t>článku 38 ods. 3 CRR).</w:t>
            </w:r>
          </w:p>
          <w:p w14:paraId="12FA8D33" w14:textId="034E00E6"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Odložené daňové pohľadávky vyplývajúce</w:t>
            </w:r>
            <w:r w:rsidR="00A3389E">
              <w:rPr>
                <w:rFonts w:ascii="Times New Roman" w:hAnsi="Times New Roman" w:cs="Times New Roman"/>
                <w:sz w:val="24"/>
              </w:rPr>
              <w:t xml:space="preserve"> z </w:t>
            </w:r>
            <w:r w:rsidRPr="00A3389E">
              <w:rPr>
                <w:rFonts w:ascii="Times New Roman" w:hAnsi="Times New Roman" w:cs="Times New Roman"/>
                <w:sz w:val="24"/>
              </w:rPr>
              <w:t>dočasných rozdielov [hodnota pod prahovou hodnotou 17,65</w:t>
            </w:r>
            <w:r w:rsidR="00A3389E">
              <w:rPr>
                <w:rFonts w:ascii="Times New Roman" w:hAnsi="Times New Roman" w:cs="Times New Roman"/>
                <w:sz w:val="24"/>
              </w:rPr>
              <w:t> %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48 ods. 2 písm. b) CRR, po odpočítaní súvisiaceho daňového záväzku, ak sú splnené podmienky uvedené</w:t>
            </w:r>
            <w:r w:rsidR="00A3389E">
              <w:rPr>
                <w:rFonts w:ascii="Times New Roman" w:hAnsi="Times New Roman" w:cs="Times New Roman"/>
                <w:sz w:val="24"/>
              </w:rPr>
              <w:t xml:space="preserve"> v </w:t>
            </w:r>
            <w:r w:rsidRPr="00A3389E">
              <w:rPr>
                <w:rFonts w:ascii="Times New Roman" w:hAnsi="Times New Roman" w:cs="Times New Roman"/>
                <w:sz w:val="24"/>
              </w:rPr>
              <w:t>článku 38 ods. 3 CRR]</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c)</w:t>
            </w:r>
            <w:r w:rsidR="00A3389E">
              <w:rPr>
                <w:rFonts w:ascii="Times New Roman" w:hAnsi="Times New Roman" w:cs="Times New Roman"/>
                <w:sz w:val="24"/>
              </w:rPr>
              <w:t xml:space="preserve"> a </w:t>
            </w:r>
            <w:r w:rsidRPr="00A3389E">
              <w:rPr>
                <w:rFonts w:ascii="Times New Roman" w:hAnsi="Times New Roman" w:cs="Times New Roman"/>
                <w:sz w:val="24"/>
              </w:rPr>
              <w:t>článkami 38</w:t>
            </w:r>
            <w:r w:rsidR="00A3389E">
              <w:rPr>
                <w:rFonts w:ascii="Times New Roman" w:hAnsi="Times New Roman" w:cs="Times New Roman"/>
                <w:sz w:val="24"/>
              </w:rPr>
              <w:t xml:space="preserve"> a </w:t>
            </w:r>
            <w:r w:rsidRPr="00A3389E">
              <w:rPr>
                <w:rFonts w:ascii="Times New Roman" w:hAnsi="Times New Roman" w:cs="Times New Roman"/>
                <w:sz w:val="24"/>
              </w:rPr>
              <w:t>48 CRR (celková hodnota takýchto odložených daňových pohľadávok, ktoré sa nezverejňujú</w:t>
            </w:r>
            <w:r w:rsidR="00A3389E">
              <w:rPr>
                <w:rFonts w:ascii="Times New Roman" w:hAnsi="Times New Roman" w:cs="Times New Roman"/>
                <w:sz w:val="24"/>
              </w:rPr>
              <w:t xml:space="preserve"> v </w:t>
            </w:r>
            <w:r w:rsidRPr="00A3389E">
              <w:rPr>
                <w:rFonts w:ascii="Times New Roman" w:hAnsi="Times New Roman" w:cs="Times New Roman"/>
                <w:sz w:val="24"/>
              </w:rPr>
              <w:t>riadku 21</w:t>
            </w:r>
            <w:r w:rsidR="00A3389E">
              <w:rPr>
                <w:rFonts w:ascii="Times New Roman" w:hAnsi="Times New Roman" w:cs="Times New Roman"/>
                <w:sz w:val="24"/>
              </w:rPr>
              <w:t xml:space="preserve"> a </w:t>
            </w:r>
            <w:r w:rsidRPr="00A3389E">
              <w:rPr>
                <w:rFonts w:ascii="Times New Roman" w:hAnsi="Times New Roman" w:cs="Times New Roman"/>
                <w:sz w:val="24"/>
              </w:rPr>
              <w:t>riadku 25 tohto vzoru).</w:t>
            </w:r>
          </w:p>
        </w:tc>
      </w:tr>
      <w:tr w:rsidR="00CE019E" w:rsidRPr="00A3389E" w14:paraId="3590C5C2" w14:textId="77777777" w:rsidTr="001E06A3">
        <w:tc>
          <w:tcPr>
            <w:tcW w:w="1172" w:type="dxa"/>
            <w:vAlign w:val="center"/>
          </w:tcPr>
          <w:p w14:paraId="08EE3513"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76</w:t>
            </w:r>
          </w:p>
        </w:tc>
        <w:tc>
          <w:tcPr>
            <w:tcW w:w="7242" w:type="dxa"/>
            <w:vAlign w:val="center"/>
          </w:tcPr>
          <w:p w14:paraId="3576D938" w14:textId="77777777"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Úpravy kreditného rizika zahrnuté do T2 vzhľadom na expozície, na ktoré sa vzťahuje štandardizovaný prístup (pred uplatnením horného ohraničenia).</w:t>
            </w:r>
          </w:p>
          <w:p w14:paraId="2B77FF7A" w14:textId="0553C7A3"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Úpravy kreditného rizika zahrnuté do T2 vzhľadom na expozície, na ktoré sa vzťahuje štandardizovaný prístup,</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62 písm. c) CRR.</w:t>
            </w:r>
          </w:p>
        </w:tc>
      </w:tr>
      <w:tr w:rsidR="00CE019E" w:rsidRPr="00A3389E" w14:paraId="617F7F1F" w14:textId="77777777" w:rsidTr="001E06A3">
        <w:tc>
          <w:tcPr>
            <w:tcW w:w="1172" w:type="dxa"/>
            <w:vAlign w:val="center"/>
          </w:tcPr>
          <w:p w14:paraId="0DFF8689"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77</w:t>
            </w:r>
          </w:p>
        </w:tc>
        <w:tc>
          <w:tcPr>
            <w:tcW w:w="7242" w:type="dxa"/>
            <w:vAlign w:val="center"/>
          </w:tcPr>
          <w:p w14:paraId="1ED8EE31" w14:textId="7BA61C03"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Horné ohraničenie na zahrnutie úprav kreditného rizika do T2</w:t>
            </w:r>
            <w:r w:rsidR="00A3389E">
              <w:rPr>
                <w:rFonts w:ascii="Times New Roman" w:hAnsi="Times New Roman" w:cs="Times New Roman"/>
                <w:sz w:val="24"/>
              </w:rPr>
              <w:t xml:space="preserve"> v </w:t>
            </w:r>
            <w:r w:rsidRPr="00A3389E">
              <w:rPr>
                <w:rFonts w:ascii="Times New Roman" w:hAnsi="Times New Roman" w:cs="Times New Roman"/>
                <w:sz w:val="24"/>
              </w:rPr>
              <w:t>rámci štandardizovaného prístupu.</w:t>
            </w:r>
          </w:p>
          <w:p w14:paraId="03369F07" w14:textId="4FE82C9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Horné ohraničenie na zahrnutie úprav kreditného rizika do T2</w:t>
            </w:r>
            <w:r w:rsidR="00A3389E">
              <w:rPr>
                <w:rFonts w:ascii="Times New Roman" w:hAnsi="Times New Roman" w:cs="Times New Roman"/>
                <w:sz w:val="24"/>
              </w:rPr>
              <w:t xml:space="preserve"> v </w:t>
            </w:r>
            <w:r w:rsidRPr="00A3389E">
              <w:rPr>
                <w:rFonts w:ascii="Times New Roman" w:hAnsi="Times New Roman" w:cs="Times New Roman"/>
                <w:sz w:val="24"/>
              </w:rPr>
              <w:t>rámci štandardizovaného prístupu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62 písm. c) CRR.</w:t>
            </w:r>
          </w:p>
        </w:tc>
      </w:tr>
      <w:tr w:rsidR="00CE019E" w:rsidRPr="00A3389E" w14:paraId="480A861A" w14:textId="77777777" w:rsidTr="001E06A3">
        <w:tc>
          <w:tcPr>
            <w:tcW w:w="1172" w:type="dxa"/>
            <w:vAlign w:val="center"/>
          </w:tcPr>
          <w:p w14:paraId="733CAF36"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78</w:t>
            </w:r>
          </w:p>
        </w:tc>
        <w:tc>
          <w:tcPr>
            <w:tcW w:w="7242" w:type="dxa"/>
            <w:vAlign w:val="center"/>
          </w:tcPr>
          <w:p w14:paraId="7A1AB17C" w14:textId="77777777"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t>Úpravy kreditného rizika zahrnuté do T2 vzhľadom na expozície, na ktoré sa vzťahuje prístup interných ratingov (pred uplatnením horného ohraničenia).</w:t>
            </w:r>
          </w:p>
          <w:p w14:paraId="6D17E073" w14:textId="52CE6433" w:rsidR="00CE019E" w:rsidRPr="00A60806" w:rsidRDefault="00CE019E" w:rsidP="001E06A3">
            <w:pPr>
              <w:spacing w:after="200"/>
              <w:jc w:val="both"/>
              <w:rPr>
                <w:rFonts w:ascii="Times New Roman" w:hAnsi="Times New Roman" w:cs="Times New Roman"/>
                <w:spacing w:val="-8"/>
                <w:sz w:val="24"/>
              </w:rPr>
            </w:pPr>
            <w:r w:rsidRPr="00A60806">
              <w:rPr>
                <w:rFonts w:ascii="Times New Roman" w:hAnsi="Times New Roman" w:cs="Times New Roman"/>
                <w:spacing w:val="-8"/>
                <w:sz w:val="24"/>
              </w:rPr>
              <w:lastRenderedPageBreak/>
              <w:t>Úpravy kreditného rizika zahrnuté do T2 vzhľadom na expozície, na ktoré sa vzťahuje prístup interných ratingov,</w:t>
            </w:r>
            <w:r w:rsidR="00A3389E" w:rsidRPr="00A60806">
              <w:rPr>
                <w:rFonts w:ascii="Times New Roman" w:hAnsi="Times New Roman" w:cs="Times New Roman"/>
                <w:spacing w:val="-8"/>
                <w:sz w:val="24"/>
              </w:rPr>
              <w:t xml:space="preserve"> v </w:t>
            </w:r>
            <w:r w:rsidRPr="00A60806">
              <w:rPr>
                <w:rFonts w:ascii="Times New Roman" w:hAnsi="Times New Roman" w:cs="Times New Roman"/>
                <w:spacing w:val="-8"/>
                <w:sz w:val="24"/>
              </w:rPr>
              <w:t>súlade</w:t>
            </w:r>
            <w:r w:rsidR="00A3389E" w:rsidRPr="00A60806">
              <w:rPr>
                <w:rFonts w:ascii="Times New Roman" w:hAnsi="Times New Roman" w:cs="Times New Roman"/>
                <w:spacing w:val="-8"/>
                <w:sz w:val="24"/>
              </w:rPr>
              <w:t xml:space="preserve"> s </w:t>
            </w:r>
            <w:r w:rsidRPr="00A60806">
              <w:rPr>
                <w:rFonts w:ascii="Times New Roman" w:hAnsi="Times New Roman" w:cs="Times New Roman"/>
                <w:spacing w:val="-8"/>
                <w:sz w:val="24"/>
              </w:rPr>
              <w:t>článkom 62 písm. d) CRR.</w:t>
            </w:r>
          </w:p>
        </w:tc>
      </w:tr>
      <w:tr w:rsidR="00CE019E" w:rsidRPr="00A3389E" w14:paraId="2E764C13" w14:textId="77777777" w:rsidTr="001E06A3">
        <w:tc>
          <w:tcPr>
            <w:tcW w:w="1172" w:type="dxa"/>
            <w:vAlign w:val="center"/>
          </w:tcPr>
          <w:p w14:paraId="56C763B1"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lastRenderedPageBreak/>
              <w:t>79</w:t>
            </w:r>
          </w:p>
        </w:tc>
        <w:tc>
          <w:tcPr>
            <w:tcW w:w="7242" w:type="dxa"/>
            <w:vAlign w:val="center"/>
          </w:tcPr>
          <w:p w14:paraId="3A486BBF" w14:textId="7CED48A2"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Horné ohraničenie na zahrnutie úprav kreditného rizika do T2</w:t>
            </w:r>
            <w:r w:rsidR="00A3389E">
              <w:rPr>
                <w:rFonts w:ascii="Times New Roman" w:hAnsi="Times New Roman" w:cs="Times New Roman"/>
                <w:sz w:val="24"/>
              </w:rPr>
              <w:t xml:space="preserve"> v </w:t>
            </w:r>
            <w:r w:rsidRPr="00A3389E">
              <w:rPr>
                <w:rFonts w:ascii="Times New Roman" w:hAnsi="Times New Roman" w:cs="Times New Roman"/>
                <w:sz w:val="24"/>
              </w:rPr>
              <w:t>rámci prístupu interných ratingov.</w:t>
            </w:r>
          </w:p>
          <w:p w14:paraId="075A4E30" w14:textId="0DCA4C8A"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Horné ohraničenie na zahrnutie úprav kreditného rizika do T2</w:t>
            </w:r>
            <w:r w:rsidR="00A3389E">
              <w:rPr>
                <w:rFonts w:ascii="Times New Roman" w:hAnsi="Times New Roman" w:cs="Times New Roman"/>
                <w:sz w:val="24"/>
              </w:rPr>
              <w:t xml:space="preserve"> v </w:t>
            </w:r>
            <w:r w:rsidRPr="00A3389E">
              <w:rPr>
                <w:rFonts w:ascii="Times New Roman" w:hAnsi="Times New Roman" w:cs="Times New Roman"/>
                <w:sz w:val="24"/>
              </w:rPr>
              <w:t>rámci prístupu interných ratingov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62 písm. d) CRR.</w:t>
            </w:r>
          </w:p>
        </w:tc>
      </w:tr>
      <w:tr w:rsidR="00CE019E" w:rsidRPr="00A3389E" w14:paraId="50AF353C" w14:textId="77777777" w:rsidTr="001E06A3">
        <w:tc>
          <w:tcPr>
            <w:tcW w:w="1172" w:type="dxa"/>
            <w:vAlign w:val="center"/>
          </w:tcPr>
          <w:p w14:paraId="0B513711"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80</w:t>
            </w:r>
          </w:p>
        </w:tc>
        <w:tc>
          <w:tcPr>
            <w:tcW w:w="7242" w:type="dxa"/>
            <w:vAlign w:val="center"/>
          </w:tcPr>
          <w:p w14:paraId="45BA4990" w14:textId="6E7A2C54"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Súčasné horné ohraničenie na nástroje CET1, na ktoré sa vzťahujú ustanovenia</w:t>
            </w:r>
            <w:r w:rsidR="00A3389E">
              <w:rPr>
                <w:rFonts w:ascii="Times New Roman" w:hAnsi="Times New Roman" w:cs="Times New Roman"/>
                <w:sz w:val="24"/>
              </w:rPr>
              <w:t xml:space="preserve"> o </w:t>
            </w:r>
            <w:r w:rsidRPr="00A3389E">
              <w:rPr>
                <w:rFonts w:ascii="Times New Roman" w:hAnsi="Times New Roman" w:cs="Times New Roman"/>
                <w:sz w:val="24"/>
              </w:rPr>
              <w:t>postupnom vyraďovaní.</w:t>
            </w:r>
          </w:p>
          <w:p w14:paraId="16A4F09B" w14:textId="6ED71DB0"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Súčasné horné ohraničenie na nástroje CET1, na ktoré sa vzťahujú ustanovenia</w:t>
            </w:r>
            <w:r w:rsidR="00A3389E">
              <w:rPr>
                <w:rFonts w:ascii="Times New Roman" w:hAnsi="Times New Roman" w:cs="Times New Roman"/>
                <w:sz w:val="24"/>
              </w:rPr>
              <w:t xml:space="preserve"> o </w:t>
            </w:r>
            <w:r w:rsidRPr="00A3389E">
              <w:rPr>
                <w:rFonts w:ascii="Times New Roman" w:hAnsi="Times New Roman" w:cs="Times New Roman"/>
                <w:sz w:val="24"/>
              </w:rPr>
              <w:t>postupnom vyraďovaní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484 ods. 3</w:t>
            </w:r>
            <w:r w:rsidR="00A3389E">
              <w:rPr>
                <w:rFonts w:ascii="Times New Roman" w:hAnsi="Times New Roman" w:cs="Times New Roman"/>
                <w:sz w:val="24"/>
              </w:rPr>
              <w:t xml:space="preserve"> a </w:t>
            </w:r>
            <w:r w:rsidRPr="00A3389E">
              <w:rPr>
                <w:rFonts w:ascii="Times New Roman" w:hAnsi="Times New Roman" w:cs="Times New Roman"/>
                <w:sz w:val="24"/>
              </w:rPr>
              <w:t>článkom 486 ods. 2</w:t>
            </w:r>
            <w:r w:rsidR="00A3389E">
              <w:rPr>
                <w:rFonts w:ascii="Times New Roman" w:hAnsi="Times New Roman" w:cs="Times New Roman"/>
                <w:sz w:val="24"/>
              </w:rPr>
              <w:t xml:space="preserve"> a </w:t>
            </w:r>
            <w:r w:rsidRPr="00A3389E">
              <w:rPr>
                <w:rFonts w:ascii="Times New Roman" w:hAnsi="Times New Roman" w:cs="Times New Roman"/>
                <w:sz w:val="24"/>
              </w:rPr>
              <w:t>5 CRR.</w:t>
            </w:r>
          </w:p>
        </w:tc>
      </w:tr>
      <w:tr w:rsidR="00CE019E" w:rsidRPr="00A3389E" w14:paraId="0494911D" w14:textId="77777777" w:rsidTr="001E06A3">
        <w:tc>
          <w:tcPr>
            <w:tcW w:w="1172" w:type="dxa"/>
            <w:vAlign w:val="center"/>
          </w:tcPr>
          <w:p w14:paraId="6C9A3136"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81</w:t>
            </w:r>
          </w:p>
        </w:tc>
        <w:tc>
          <w:tcPr>
            <w:tcW w:w="7242" w:type="dxa"/>
            <w:vAlign w:val="center"/>
          </w:tcPr>
          <w:p w14:paraId="725ECC77" w14:textId="48009DA7"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vyňatá</w:t>
            </w:r>
            <w:r w:rsidR="00A3389E">
              <w:rPr>
                <w:rFonts w:ascii="Times New Roman" w:hAnsi="Times New Roman" w:cs="Times New Roman"/>
                <w:sz w:val="24"/>
              </w:rPr>
              <w:t xml:space="preserve"> z </w:t>
            </w:r>
            <w:r w:rsidRPr="00A3389E">
              <w:rPr>
                <w:rFonts w:ascii="Times New Roman" w:hAnsi="Times New Roman" w:cs="Times New Roman"/>
                <w:sz w:val="24"/>
              </w:rPr>
              <w:t>CET1</w:t>
            </w:r>
            <w:r w:rsidR="00A3389E">
              <w:rPr>
                <w:rFonts w:ascii="Times New Roman" w:hAnsi="Times New Roman" w:cs="Times New Roman"/>
                <w:sz w:val="24"/>
              </w:rPr>
              <w:t xml:space="preserve"> z </w:t>
            </w:r>
            <w:r w:rsidRPr="00A3389E">
              <w:rPr>
                <w:rFonts w:ascii="Times New Roman" w:hAnsi="Times New Roman" w:cs="Times New Roman"/>
                <w:sz w:val="24"/>
              </w:rPr>
              <w:t>dôvodu horného ohraničenia (prekročenie horného ohraničenia po splatení</w:t>
            </w:r>
            <w:r w:rsidR="00A3389E">
              <w:rPr>
                <w:rFonts w:ascii="Times New Roman" w:hAnsi="Times New Roman" w:cs="Times New Roman"/>
                <w:sz w:val="24"/>
              </w:rPr>
              <w:t xml:space="preserve"> a </w:t>
            </w:r>
            <w:r w:rsidRPr="00A3389E">
              <w:rPr>
                <w:rFonts w:ascii="Times New Roman" w:hAnsi="Times New Roman" w:cs="Times New Roman"/>
                <w:sz w:val="24"/>
              </w:rPr>
              <w:t>splatnostiach).</w:t>
            </w:r>
          </w:p>
          <w:p w14:paraId="39D6E824" w14:textId="4AC59CBD"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vyňatá</w:t>
            </w:r>
            <w:r w:rsidR="00A3389E">
              <w:rPr>
                <w:rFonts w:ascii="Times New Roman" w:hAnsi="Times New Roman" w:cs="Times New Roman"/>
                <w:sz w:val="24"/>
              </w:rPr>
              <w:t xml:space="preserve"> z </w:t>
            </w:r>
            <w:r w:rsidRPr="00A3389E">
              <w:rPr>
                <w:rFonts w:ascii="Times New Roman" w:hAnsi="Times New Roman" w:cs="Times New Roman"/>
                <w:sz w:val="24"/>
              </w:rPr>
              <w:t>CET1</w:t>
            </w:r>
            <w:r w:rsidR="00A3389E">
              <w:rPr>
                <w:rFonts w:ascii="Times New Roman" w:hAnsi="Times New Roman" w:cs="Times New Roman"/>
                <w:sz w:val="24"/>
              </w:rPr>
              <w:t xml:space="preserve"> z </w:t>
            </w:r>
            <w:r w:rsidRPr="00A3389E">
              <w:rPr>
                <w:rFonts w:ascii="Times New Roman" w:hAnsi="Times New Roman" w:cs="Times New Roman"/>
                <w:sz w:val="24"/>
              </w:rPr>
              <w:t>dôvodu horného ohraničenia (prekročenie horného ohraničenia po splatení</w:t>
            </w:r>
            <w:r w:rsidR="00A3389E">
              <w:rPr>
                <w:rFonts w:ascii="Times New Roman" w:hAnsi="Times New Roman" w:cs="Times New Roman"/>
                <w:sz w:val="24"/>
              </w:rPr>
              <w:t xml:space="preserve"> a </w:t>
            </w:r>
            <w:r w:rsidRPr="00A3389E">
              <w:rPr>
                <w:rFonts w:ascii="Times New Roman" w:hAnsi="Times New Roman" w:cs="Times New Roman"/>
                <w:sz w:val="24"/>
              </w:rPr>
              <w:t>splatnostiach)</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484 ods. 3</w:t>
            </w:r>
            <w:r w:rsidR="00A3389E">
              <w:rPr>
                <w:rFonts w:ascii="Times New Roman" w:hAnsi="Times New Roman" w:cs="Times New Roman"/>
                <w:sz w:val="24"/>
              </w:rPr>
              <w:t xml:space="preserve"> a </w:t>
            </w:r>
            <w:r w:rsidRPr="00A3389E">
              <w:rPr>
                <w:rFonts w:ascii="Times New Roman" w:hAnsi="Times New Roman" w:cs="Times New Roman"/>
                <w:sz w:val="24"/>
              </w:rPr>
              <w:t>článkom 486 ods. 2</w:t>
            </w:r>
            <w:r w:rsidR="00A3389E">
              <w:rPr>
                <w:rFonts w:ascii="Times New Roman" w:hAnsi="Times New Roman" w:cs="Times New Roman"/>
                <w:sz w:val="24"/>
              </w:rPr>
              <w:t xml:space="preserve"> a </w:t>
            </w:r>
            <w:r w:rsidRPr="00A3389E">
              <w:rPr>
                <w:rFonts w:ascii="Times New Roman" w:hAnsi="Times New Roman" w:cs="Times New Roman"/>
                <w:sz w:val="24"/>
              </w:rPr>
              <w:t>5 CRR.</w:t>
            </w:r>
          </w:p>
        </w:tc>
      </w:tr>
      <w:tr w:rsidR="00CE019E" w:rsidRPr="00A3389E" w14:paraId="00316BBE" w14:textId="77777777" w:rsidTr="001E06A3">
        <w:tc>
          <w:tcPr>
            <w:tcW w:w="1172" w:type="dxa"/>
            <w:vAlign w:val="center"/>
          </w:tcPr>
          <w:p w14:paraId="528FA574"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82</w:t>
            </w:r>
          </w:p>
        </w:tc>
        <w:tc>
          <w:tcPr>
            <w:tcW w:w="7242" w:type="dxa"/>
            <w:vAlign w:val="center"/>
          </w:tcPr>
          <w:p w14:paraId="6BCB3B83" w14:textId="1DEF330F"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Súčasné horné ohraničenie na nástroje AT1, na ktoré sa vzťahujú ustanovenia</w:t>
            </w:r>
            <w:r w:rsidR="00A3389E">
              <w:rPr>
                <w:rFonts w:ascii="Times New Roman" w:hAnsi="Times New Roman" w:cs="Times New Roman"/>
                <w:sz w:val="24"/>
              </w:rPr>
              <w:t xml:space="preserve"> o </w:t>
            </w:r>
            <w:r w:rsidRPr="00A3389E">
              <w:rPr>
                <w:rFonts w:ascii="Times New Roman" w:hAnsi="Times New Roman" w:cs="Times New Roman"/>
                <w:sz w:val="24"/>
              </w:rPr>
              <w:t>postupnom vyraďovaní.</w:t>
            </w:r>
          </w:p>
          <w:p w14:paraId="6EB711C4" w14:textId="59947831"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Súčasné horné ohraničenie na nástroje AT1 podliehajúce dohodám</w:t>
            </w:r>
            <w:r w:rsidR="00A3389E">
              <w:rPr>
                <w:rFonts w:ascii="Times New Roman" w:hAnsi="Times New Roman" w:cs="Times New Roman"/>
                <w:sz w:val="24"/>
              </w:rPr>
              <w:t xml:space="preserve"> o </w:t>
            </w:r>
            <w:r w:rsidRPr="00A3389E">
              <w:rPr>
                <w:rFonts w:ascii="Times New Roman" w:hAnsi="Times New Roman" w:cs="Times New Roman"/>
                <w:sz w:val="24"/>
              </w:rPr>
              <w:t>postupnom vyraďovaní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484 ods. 4</w:t>
            </w:r>
            <w:r w:rsidR="00A3389E">
              <w:rPr>
                <w:rFonts w:ascii="Times New Roman" w:hAnsi="Times New Roman" w:cs="Times New Roman"/>
                <w:sz w:val="24"/>
              </w:rPr>
              <w:t xml:space="preserve"> a </w:t>
            </w:r>
            <w:r w:rsidRPr="00A3389E">
              <w:rPr>
                <w:rFonts w:ascii="Times New Roman" w:hAnsi="Times New Roman" w:cs="Times New Roman"/>
                <w:sz w:val="24"/>
              </w:rPr>
              <w:t>článkom 486 ods. 3</w:t>
            </w:r>
            <w:r w:rsidR="00A3389E">
              <w:rPr>
                <w:rFonts w:ascii="Times New Roman" w:hAnsi="Times New Roman" w:cs="Times New Roman"/>
                <w:sz w:val="24"/>
              </w:rPr>
              <w:t xml:space="preserve"> a </w:t>
            </w:r>
            <w:r w:rsidRPr="00A3389E">
              <w:rPr>
                <w:rFonts w:ascii="Times New Roman" w:hAnsi="Times New Roman" w:cs="Times New Roman"/>
                <w:sz w:val="24"/>
              </w:rPr>
              <w:t>5 CRR.</w:t>
            </w:r>
          </w:p>
        </w:tc>
      </w:tr>
      <w:tr w:rsidR="00CE019E" w:rsidRPr="00A3389E" w14:paraId="74CABF1D" w14:textId="77777777" w:rsidTr="001E06A3">
        <w:tc>
          <w:tcPr>
            <w:tcW w:w="1172" w:type="dxa"/>
            <w:vAlign w:val="center"/>
          </w:tcPr>
          <w:p w14:paraId="02FEFBEB"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83</w:t>
            </w:r>
          </w:p>
        </w:tc>
        <w:tc>
          <w:tcPr>
            <w:tcW w:w="7242" w:type="dxa"/>
            <w:vAlign w:val="center"/>
          </w:tcPr>
          <w:p w14:paraId="0B131A14" w14:textId="6CB7558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vyňatá</w:t>
            </w:r>
            <w:r w:rsidR="00A3389E">
              <w:rPr>
                <w:rFonts w:ascii="Times New Roman" w:hAnsi="Times New Roman" w:cs="Times New Roman"/>
                <w:sz w:val="24"/>
              </w:rPr>
              <w:t xml:space="preserve"> z </w:t>
            </w:r>
            <w:r w:rsidRPr="00A3389E">
              <w:rPr>
                <w:rFonts w:ascii="Times New Roman" w:hAnsi="Times New Roman" w:cs="Times New Roman"/>
                <w:sz w:val="24"/>
              </w:rPr>
              <w:t>AT1</w:t>
            </w:r>
            <w:r w:rsidR="00A3389E">
              <w:rPr>
                <w:rFonts w:ascii="Times New Roman" w:hAnsi="Times New Roman" w:cs="Times New Roman"/>
                <w:sz w:val="24"/>
              </w:rPr>
              <w:t xml:space="preserve"> z </w:t>
            </w:r>
            <w:r w:rsidRPr="00A3389E">
              <w:rPr>
                <w:rFonts w:ascii="Times New Roman" w:hAnsi="Times New Roman" w:cs="Times New Roman"/>
                <w:sz w:val="24"/>
              </w:rPr>
              <w:t>dôvodu horného ohraničenia (prekročenie horného ohraničenia po splatení</w:t>
            </w:r>
            <w:r w:rsidR="00A3389E">
              <w:rPr>
                <w:rFonts w:ascii="Times New Roman" w:hAnsi="Times New Roman" w:cs="Times New Roman"/>
                <w:sz w:val="24"/>
              </w:rPr>
              <w:t xml:space="preserve"> a </w:t>
            </w:r>
            <w:r w:rsidRPr="00A3389E">
              <w:rPr>
                <w:rFonts w:ascii="Times New Roman" w:hAnsi="Times New Roman" w:cs="Times New Roman"/>
                <w:sz w:val="24"/>
              </w:rPr>
              <w:t>splatnostiach).</w:t>
            </w:r>
          </w:p>
          <w:p w14:paraId="76DC197D" w14:textId="27F91EC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vyňatá</w:t>
            </w:r>
            <w:r w:rsidR="00A3389E">
              <w:rPr>
                <w:rFonts w:ascii="Times New Roman" w:hAnsi="Times New Roman" w:cs="Times New Roman"/>
                <w:sz w:val="24"/>
              </w:rPr>
              <w:t xml:space="preserve"> z </w:t>
            </w:r>
            <w:r w:rsidRPr="00A3389E">
              <w:rPr>
                <w:rFonts w:ascii="Times New Roman" w:hAnsi="Times New Roman" w:cs="Times New Roman"/>
                <w:sz w:val="24"/>
              </w:rPr>
              <w:t>AT1</w:t>
            </w:r>
            <w:r w:rsidR="00A3389E">
              <w:rPr>
                <w:rFonts w:ascii="Times New Roman" w:hAnsi="Times New Roman" w:cs="Times New Roman"/>
                <w:sz w:val="24"/>
              </w:rPr>
              <w:t xml:space="preserve"> z </w:t>
            </w:r>
            <w:r w:rsidRPr="00A3389E">
              <w:rPr>
                <w:rFonts w:ascii="Times New Roman" w:hAnsi="Times New Roman" w:cs="Times New Roman"/>
                <w:sz w:val="24"/>
              </w:rPr>
              <w:t>dôvodu horného ohraničenia (prekročenie horného ohraničenia po splatení</w:t>
            </w:r>
            <w:r w:rsidR="00A3389E">
              <w:rPr>
                <w:rFonts w:ascii="Times New Roman" w:hAnsi="Times New Roman" w:cs="Times New Roman"/>
                <w:sz w:val="24"/>
              </w:rPr>
              <w:t xml:space="preserve"> a </w:t>
            </w:r>
            <w:r w:rsidRPr="00A3389E">
              <w:rPr>
                <w:rFonts w:ascii="Times New Roman" w:hAnsi="Times New Roman" w:cs="Times New Roman"/>
                <w:sz w:val="24"/>
              </w:rPr>
              <w:t>splatnostiach)</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484 ods. 4</w:t>
            </w:r>
            <w:r w:rsidR="00A3389E">
              <w:rPr>
                <w:rFonts w:ascii="Times New Roman" w:hAnsi="Times New Roman" w:cs="Times New Roman"/>
                <w:sz w:val="24"/>
              </w:rPr>
              <w:t xml:space="preserve"> a </w:t>
            </w:r>
            <w:r w:rsidRPr="00A3389E">
              <w:rPr>
                <w:rFonts w:ascii="Times New Roman" w:hAnsi="Times New Roman" w:cs="Times New Roman"/>
                <w:sz w:val="24"/>
              </w:rPr>
              <w:t>článkom 486 ods. 3</w:t>
            </w:r>
            <w:r w:rsidR="00A3389E">
              <w:rPr>
                <w:rFonts w:ascii="Times New Roman" w:hAnsi="Times New Roman" w:cs="Times New Roman"/>
                <w:sz w:val="24"/>
              </w:rPr>
              <w:t xml:space="preserve"> a </w:t>
            </w:r>
            <w:r w:rsidRPr="00A3389E">
              <w:rPr>
                <w:rFonts w:ascii="Times New Roman" w:hAnsi="Times New Roman" w:cs="Times New Roman"/>
                <w:sz w:val="24"/>
              </w:rPr>
              <w:t>5 CRR.</w:t>
            </w:r>
          </w:p>
        </w:tc>
      </w:tr>
      <w:tr w:rsidR="00CE019E" w:rsidRPr="00A3389E" w14:paraId="522FEB34" w14:textId="77777777" w:rsidTr="001E06A3">
        <w:tc>
          <w:tcPr>
            <w:tcW w:w="1172" w:type="dxa"/>
            <w:vAlign w:val="center"/>
          </w:tcPr>
          <w:p w14:paraId="2112B6F2"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84</w:t>
            </w:r>
          </w:p>
        </w:tc>
        <w:tc>
          <w:tcPr>
            <w:tcW w:w="7242" w:type="dxa"/>
            <w:vAlign w:val="center"/>
          </w:tcPr>
          <w:p w14:paraId="66011BAF" w14:textId="57C4930E"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Súčasné horné ohraničenie na nástroje T2, na ktoré sa vzťahujú ustanovenia</w:t>
            </w:r>
            <w:r w:rsidR="00A3389E">
              <w:rPr>
                <w:rFonts w:ascii="Times New Roman" w:hAnsi="Times New Roman" w:cs="Times New Roman"/>
                <w:sz w:val="24"/>
              </w:rPr>
              <w:t xml:space="preserve"> o </w:t>
            </w:r>
            <w:r w:rsidRPr="00A3389E">
              <w:rPr>
                <w:rFonts w:ascii="Times New Roman" w:hAnsi="Times New Roman" w:cs="Times New Roman"/>
                <w:sz w:val="24"/>
              </w:rPr>
              <w:t>postupnom vyraďovaní.</w:t>
            </w:r>
          </w:p>
          <w:p w14:paraId="538FE423" w14:textId="5BB9DF85"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Súčasné horné ohraničenie na nástroje T2, na ktoré sa vzťahujú ustanovenia</w:t>
            </w:r>
            <w:r w:rsidR="00A3389E">
              <w:rPr>
                <w:rFonts w:ascii="Times New Roman" w:hAnsi="Times New Roman" w:cs="Times New Roman"/>
                <w:sz w:val="24"/>
              </w:rPr>
              <w:t xml:space="preserve"> o </w:t>
            </w:r>
            <w:r w:rsidRPr="00A3389E">
              <w:rPr>
                <w:rFonts w:ascii="Times New Roman" w:hAnsi="Times New Roman" w:cs="Times New Roman"/>
                <w:sz w:val="24"/>
              </w:rPr>
              <w:t>postupnom vyraďovaní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484 ods. 5</w:t>
            </w:r>
            <w:r w:rsidR="00A3389E">
              <w:rPr>
                <w:rFonts w:ascii="Times New Roman" w:hAnsi="Times New Roman" w:cs="Times New Roman"/>
                <w:sz w:val="24"/>
              </w:rPr>
              <w:t xml:space="preserve"> a </w:t>
            </w:r>
            <w:r w:rsidRPr="00A3389E">
              <w:rPr>
                <w:rFonts w:ascii="Times New Roman" w:hAnsi="Times New Roman" w:cs="Times New Roman"/>
                <w:sz w:val="24"/>
              </w:rPr>
              <w:t>článkom 486 ods. 4</w:t>
            </w:r>
            <w:r w:rsidR="00A3389E">
              <w:rPr>
                <w:rFonts w:ascii="Times New Roman" w:hAnsi="Times New Roman" w:cs="Times New Roman"/>
                <w:sz w:val="24"/>
              </w:rPr>
              <w:t xml:space="preserve"> a </w:t>
            </w:r>
            <w:r w:rsidRPr="00A3389E">
              <w:rPr>
                <w:rFonts w:ascii="Times New Roman" w:hAnsi="Times New Roman" w:cs="Times New Roman"/>
                <w:sz w:val="24"/>
              </w:rPr>
              <w:t>5 CRR.</w:t>
            </w:r>
          </w:p>
        </w:tc>
      </w:tr>
      <w:tr w:rsidR="00CE019E" w:rsidRPr="00A3389E" w14:paraId="33126BFD" w14:textId="77777777" w:rsidTr="001E06A3">
        <w:tc>
          <w:tcPr>
            <w:tcW w:w="1172" w:type="dxa"/>
            <w:vAlign w:val="center"/>
          </w:tcPr>
          <w:p w14:paraId="135F1797" w14:textId="77777777" w:rsidR="00CE019E" w:rsidRPr="00A3389E" w:rsidRDefault="00CE019E" w:rsidP="001E06A3">
            <w:pPr>
              <w:spacing w:after="200"/>
              <w:rPr>
                <w:rFonts w:ascii="Times New Roman" w:hAnsi="Times New Roman" w:cs="Times New Roman"/>
                <w:sz w:val="24"/>
              </w:rPr>
            </w:pPr>
            <w:r w:rsidRPr="00A3389E">
              <w:rPr>
                <w:rFonts w:ascii="Times New Roman" w:hAnsi="Times New Roman" w:cs="Times New Roman"/>
                <w:sz w:val="24"/>
              </w:rPr>
              <w:t>85</w:t>
            </w:r>
          </w:p>
        </w:tc>
        <w:tc>
          <w:tcPr>
            <w:tcW w:w="7242" w:type="dxa"/>
            <w:vAlign w:val="center"/>
          </w:tcPr>
          <w:p w14:paraId="4218AC56" w14:textId="756C361C"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vyňatá</w:t>
            </w:r>
            <w:r w:rsidR="00A3389E">
              <w:rPr>
                <w:rFonts w:ascii="Times New Roman" w:hAnsi="Times New Roman" w:cs="Times New Roman"/>
                <w:sz w:val="24"/>
              </w:rPr>
              <w:t xml:space="preserve"> z </w:t>
            </w:r>
            <w:r w:rsidRPr="00A3389E">
              <w:rPr>
                <w:rFonts w:ascii="Times New Roman" w:hAnsi="Times New Roman" w:cs="Times New Roman"/>
                <w:sz w:val="24"/>
              </w:rPr>
              <w:t>T2</w:t>
            </w:r>
            <w:r w:rsidR="00A3389E">
              <w:rPr>
                <w:rFonts w:ascii="Times New Roman" w:hAnsi="Times New Roman" w:cs="Times New Roman"/>
                <w:sz w:val="24"/>
              </w:rPr>
              <w:t xml:space="preserve"> z </w:t>
            </w:r>
            <w:r w:rsidRPr="00A3389E">
              <w:rPr>
                <w:rFonts w:ascii="Times New Roman" w:hAnsi="Times New Roman" w:cs="Times New Roman"/>
                <w:sz w:val="24"/>
              </w:rPr>
              <w:t>dôvodu horného ohraničenia (prekročenie horného ohraničenia po splatení</w:t>
            </w:r>
            <w:r w:rsidR="00A3389E">
              <w:rPr>
                <w:rFonts w:ascii="Times New Roman" w:hAnsi="Times New Roman" w:cs="Times New Roman"/>
                <w:sz w:val="24"/>
              </w:rPr>
              <w:t xml:space="preserve"> a </w:t>
            </w:r>
            <w:r w:rsidRPr="00A3389E">
              <w:rPr>
                <w:rFonts w:ascii="Times New Roman" w:hAnsi="Times New Roman" w:cs="Times New Roman"/>
                <w:sz w:val="24"/>
              </w:rPr>
              <w:t>splatnostiach).</w:t>
            </w:r>
          </w:p>
          <w:p w14:paraId="479826B9" w14:textId="20F41224" w:rsidR="00CE01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Hodnota vyňatá</w:t>
            </w:r>
            <w:r w:rsidR="00A3389E">
              <w:rPr>
                <w:rFonts w:ascii="Times New Roman" w:hAnsi="Times New Roman" w:cs="Times New Roman"/>
                <w:sz w:val="24"/>
              </w:rPr>
              <w:t xml:space="preserve"> z </w:t>
            </w:r>
            <w:r w:rsidRPr="00A3389E">
              <w:rPr>
                <w:rFonts w:ascii="Times New Roman" w:hAnsi="Times New Roman" w:cs="Times New Roman"/>
                <w:sz w:val="24"/>
              </w:rPr>
              <w:t>T2</w:t>
            </w:r>
            <w:r w:rsidR="00A3389E">
              <w:rPr>
                <w:rFonts w:ascii="Times New Roman" w:hAnsi="Times New Roman" w:cs="Times New Roman"/>
                <w:sz w:val="24"/>
              </w:rPr>
              <w:t xml:space="preserve"> z </w:t>
            </w:r>
            <w:r w:rsidRPr="00A3389E">
              <w:rPr>
                <w:rFonts w:ascii="Times New Roman" w:hAnsi="Times New Roman" w:cs="Times New Roman"/>
                <w:sz w:val="24"/>
              </w:rPr>
              <w:t>dôvodu horného ohraničenia (prekročenie horného ohraničenia po splatení</w:t>
            </w:r>
            <w:r w:rsidR="00A3389E">
              <w:rPr>
                <w:rFonts w:ascii="Times New Roman" w:hAnsi="Times New Roman" w:cs="Times New Roman"/>
                <w:sz w:val="24"/>
              </w:rPr>
              <w:t xml:space="preserve"> a </w:t>
            </w:r>
            <w:r w:rsidRPr="00A3389E">
              <w:rPr>
                <w:rFonts w:ascii="Times New Roman" w:hAnsi="Times New Roman" w:cs="Times New Roman"/>
                <w:sz w:val="24"/>
              </w:rPr>
              <w:t>splatnostiach)</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484 ods. 5</w:t>
            </w:r>
            <w:r w:rsidR="00A3389E">
              <w:rPr>
                <w:rFonts w:ascii="Times New Roman" w:hAnsi="Times New Roman" w:cs="Times New Roman"/>
                <w:sz w:val="24"/>
              </w:rPr>
              <w:t xml:space="preserve"> a </w:t>
            </w:r>
            <w:r w:rsidRPr="00A3389E">
              <w:rPr>
                <w:rFonts w:ascii="Times New Roman" w:hAnsi="Times New Roman" w:cs="Times New Roman"/>
                <w:sz w:val="24"/>
              </w:rPr>
              <w:t>článkom 486 ods. 4</w:t>
            </w:r>
            <w:r w:rsidR="00A3389E">
              <w:rPr>
                <w:rFonts w:ascii="Times New Roman" w:hAnsi="Times New Roman" w:cs="Times New Roman"/>
                <w:sz w:val="24"/>
              </w:rPr>
              <w:t xml:space="preserve"> a </w:t>
            </w:r>
            <w:r w:rsidRPr="00A3389E">
              <w:rPr>
                <w:rFonts w:ascii="Times New Roman" w:hAnsi="Times New Roman" w:cs="Times New Roman"/>
                <w:sz w:val="24"/>
              </w:rPr>
              <w:t>5 CRR.</w:t>
            </w:r>
          </w:p>
        </w:tc>
      </w:tr>
    </w:tbl>
    <w:p w14:paraId="64C58826" w14:textId="77777777" w:rsidR="00CE019E" w:rsidRPr="00A3389E" w:rsidRDefault="00CE019E" w:rsidP="00CE019E">
      <w:pPr>
        <w:jc w:val="both"/>
        <w:rPr>
          <w:rFonts w:ascii="Times New Roman" w:hAnsi="Times New Roman" w:cs="Times New Roman"/>
          <w:bCs/>
          <w:sz w:val="24"/>
        </w:rPr>
      </w:pPr>
    </w:p>
    <w:p w14:paraId="0904FF56" w14:textId="77777777" w:rsidR="00CE019E" w:rsidRPr="00A3389E" w:rsidRDefault="00CE019E" w:rsidP="00CE019E">
      <w:pPr>
        <w:rPr>
          <w:rFonts w:ascii="Times New Roman" w:hAnsi="Times New Roman" w:cs="Times New Roman"/>
          <w:sz w:val="24"/>
        </w:rPr>
      </w:pPr>
    </w:p>
    <w:p w14:paraId="1FC43E71" w14:textId="77777777" w:rsidR="00CE019E" w:rsidRPr="00A3389E" w:rsidRDefault="00CE019E" w:rsidP="00CE019E">
      <w:pPr>
        <w:rPr>
          <w:rFonts w:ascii="Times New Roman" w:hAnsi="Times New Roman" w:cs="Times New Roman"/>
          <w:sz w:val="24"/>
        </w:rPr>
      </w:pPr>
      <w:r w:rsidRPr="00A3389E">
        <w:rPr>
          <w:rFonts w:ascii="Times New Roman" w:hAnsi="Times New Roman" w:cs="Times New Roman"/>
        </w:rPr>
        <w:br w:type="page"/>
      </w:r>
    </w:p>
    <w:p w14:paraId="469C315E" w14:textId="28A133E2" w:rsidR="00CE019E" w:rsidRPr="00A3389E" w:rsidRDefault="00CD362D" w:rsidP="00CE019E">
      <w:pPr>
        <w:rPr>
          <w:rFonts w:ascii="Times New Roman" w:hAnsi="Times New Roman" w:cs="Times New Roman"/>
          <w:b/>
          <w:bCs/>
          <w:sz w:val="24"/>
        </w:rPr>
      </w:pPr>
      <w:r w:rsidRPr="00A3389E">
        <w:rPr>
          <w:rFonts w:ascii="Times New Roman" w:hAnsi="Times New Roman" w:cs="Times New Roman"/>
          <w:b/>
          <w:bCs/>
          <w:sz w:val="24"/>
        </w:rPr>
        <w:lastRenderedPageBreak/>
        <w:t>Vzor EU CC2 – Zosúhlasenie regulatórnych vlastných zdrojov so súvahou</w:t>
      </w:r>
      <w:r w:rsidR="00A3389E">
        <w:rPr>
          <w:rFonts w:ascii="Times New Roman" w:hAnsi="Times New Roman" w:cs="Times New Roman"/>
          <w:b/>
          <w:bCs/>
          <w:sz w:val="24"/>
        </w:rPr>
        <w:t xml:space="preserve"> v </w:t>
      </w:r>
      <w:r w:rsidRPr="00A3389E">
        <w:rPr>
          <w:rFonts w:ascii="Times New Roman" w:hAnsi="Times New Roman" w:cs="Times New Roman"/>
          <w:b/>
          <w:bCs/>
          <w:sz w:val="24"/>
        </w:rPr>
        <w:t>auditovanej účtovnej závierke</w:t>
      </w:r>
    </w:p>
    <w:p w14:paraId="711EC574" w14:textId="77777777" w:rsidR="00CE019E" w:rsidRPr="00A3389E" w:rsidRDefault="00CE019E" w:rsidP="00CE019E">
      <w:pPr>
        <w:rPr>
          <w:rFonts w:ascii="Times New Roman" w:hAnsi="Times New Roman" w:cs="Times New Roman"/>
          <w:b/>
          <w:sz w:val="24"/>
        </w:rPr>
      </w:pPr>
    </w:p>
    <w:p w14:paraId="4489D8F8" w14:textId="6908E56F" w:rsidR="00CE019E" w:rsidRPr="00A3389E" w:rsidRDefault="00A3389E" w:rsidP="00A3389E">
      <w:pPr>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5.</w:t>
      </w:r>
      <w:r w:rsidRPr="00A3389E">
        <w:rPr>
          <w:rFonts w:ascii="Times New Roman" w:hAnsi="Times New Roman" w:cs="Times New Roman"/>
          <w:bCs/>
          <w:sz w:val="24"/>
        </w:rPr>
        <w:tab/>
      </w:r>
      <w:r w:rsidR="00CE019E" w:rsidRPr="00A3389E">
        <w:rPr>
          <w:rFonts w:ascii="Times New Roman" w:hAnsi="Times New Roman" w:cs="Times New Roman"/>
          <w:bCs/>
          <w:sz w:val="24"/>
        </w:rPr>
        <w:t>Inštitúcie</w:t>
      </w:r>
      <w:r w:rsidR="00CE019E" w:rsidRPr="00A3389E">
        <w:rPr>
          <w:rFonts w:ascii="Times New Roman" w:hAnsi="Times New Roman" w:cs="Times New Roman"/>
          <w:sz w:val="24"/>
        </w:rPr>
        <w:t xml:space="preserve"> zverejňujú informácie uvedené</w:t>
      </w:r>
      <w:r>
        <w:rPr>
          <w:rFonts w:ascii="Times New Roman" w:hAnsi="Times New Roman" w:cs="Times New Roman"/>
          <w:sz w:val="24"/>
        </w:rPr>
        <w:t xml:space="preserve"> v </w:t>
      </w:r>
      <w:r w:rsidR="00CE019E" w:rsidRPr="00A3389E">
        <w:rPr>
          <w:rFonts w:ascii="Times New Roman" w:hAnsi="Times New Roman" w:cs="Times New Roman"/>
          <w:bCs/>
          <w:sz w:val="24"/>
        </w:rPr>
        <w:t>článku 437 písm. a)</w:t>
      </w:r>
      <w:r w:rsidR="00CE019E" w:rsidRPr="00A3389E">
        <w:rPr>
          <w:rFonts w:ascii="Times New Roman" w:hAnsi="Times New Roman" w:cs="Times New Roman"/>
          <w:color w:val="000000"/>
          <w:sz w:val="24"/>
        </w:rPr>
        <w:t xml:space="preserve"> CRR</w:t>
      </w:r>
      <w:r w:rsidR="00CE019E" w:rsidRPr="00A3389E">
        <w:rPr>
          <w:rFonts w:ascii="Times New Roman" w:hAnsi="Times New Roman" w:cs="Times New Roman"/>
          <w:bCs/>
          <w:sz w:val="24"/>
        </w:rPr>
        <w:t xml:space="preserve"> podľa pokynov uvedených</w:t>
      </w:r>
      <w:r>
        <w:rPr>
          <w:rFonts w:ascii="Times New Roman" w:hAnsi="Times New Roman" w:cs="Times New Roman"/>
          <w:bCs/>
          <w:sz w:val="24"/>
        </w:rPr>
        <w:t xml:space="preserve"> v </w:t>
      </w:r>
      <w:r w:rsidR="00CE019E" w:rsidRPr="00A3389E">
        <w:rPr>
          <w:rFonts w:ascii="Times New Roman" w:hAnsi="Times New Roman" w:cs="Times New Roman"/>
          <w:bCs/>
          <w:sz w:val="24"/>
        </w:rPr>
        <w:t>tejto prílohe</w:t>
      </w:r>
      <w:r>
        <w:rPr>
          <w:rFonts w:ascii="Times New Roman" w:hAnsi="Times New Roman" w:cs="Times New Roman"/>
          <w:bCs/>
          <w:sz w:val="24"/>
        </w:rPr>
        <w:t xml:space="preserve"> s </w:t>
      </w:r>
      <w:r w:rsidR="00CE019E" w:rsidRPr="00A3389E">
        <w:rPr>
          <w:rFonts w:ascii="Times New Roman" w:hAnsi="Times New Roman" w:cs="Times New Roman"/>
          <w:bCs/>
          <w:sz w:val="24"/>
        </w:rPr>
        <w:t>cieľom vyplniť vzor EU CC2, ktorý je uvedený</w:t>
      </w:r>
      <w:r>
        <w:rPr>
          <w:rFonts w:ascii="Times New Roman" w:hAnsi="Times New Roman" w:cs="Times New Roman"/>
          <w:bCs/>
          <w:sz w:val="24"/>
        </w:rPr>
        <w:t xml:space="preserve"> v </w:t>
      </w:r>
      <w:r w:rsidR="00CE019E" w:rsidRPr="00A3389E">
        <w:rPr>
          <w:rFonts w:ascii="Times New Roman" w:hAnsi="Times New Roman" w:cs="Times New Roman"/>
          <w:bCs/>
          <w:sz w:val="24"/>
        </w:rPr>
        <w:t>prílohe VII</w:t>
      </w:r>
      <w:r>
        <w:rPr>
          <w:rFonts w:ascii="Times New Roman" w:hAnsi="Times New Roman" w:cs="Times New Roman"/>
          <w:bCs/>
          <w:sz w:val="24"/>
        </w:rPr>
        <w:t xml:space="preserve"> k </w:t>
      </w:r>
      <w:r w:rsidR="00CE019E" w:rsidRPr="00A3389E">
        <w:rPr>
          <w:rFonts w:ascii="Times New Roman" w:hAnsi="Times New Roman" w:cs="Times New Roman"/>
          <w:bCs/>
          <w:sz w:val="24"/>
        </w:rPr>
        <w:t>tomuto vykonávaciemu nariadeniu.</w:t>
      </w:r>
    </w:p>
    <w:p w14:paraId="7755763C" w14:textId="0174A313" w:rsidR="00CE019E" w:rsidRPr="00A60806" w:rsidRDefault="00A3389E" w:rsidP="00A3389E">
      <w:pPr>
        <w:tabs>
          <w:tab w:val="left" w:pos="360"/>
        </w:tabs>
        <w:spacing w:before="120" w:after="120"/>
        <w:ind w:left="357" w:hanging="357"/>
        <w:jc w:val="both"/>
        <w:rPr>
          <w:rFonts w:ascii="Times New Roman" w:hAnsi="Times New Roman" w:cs="Times New Roman"/>
          <w:spacing w:val="-8"/>
          <w:sz w:val="24"/>
        </w:rPr>
      </w:pPr>
      <w:r w:rsidRPr="00A3389E">
        <w:rPr>
          <w:rFonts w:ascii="Times New Roman" w:hAnsi="Times New Roman" w:cs="Times New Roman"/>
          <w:bCs/>
          <w:sz w:val="24"/>
        </w:rPr>
        <w:t>6.</w:t>
      </w:r>
      <w:r w:rsidRPr="00A3389E">
        <w:rPr>
          <w:rFonts w:ascii="Times New Roman" w:hAnsi="Times New Roman" w:cs="Times New Roman"/>
          <w:bCs/>
          <w:sz w:val="24"/>
        </w:rPr>
        <w:tab/>
      </w:r>
      <w:r w:rsidR="00CE019E" w:rsidRPr="00A60806">
        <w:rPr>
          <w:rFonts w:ascii="Times New Roman" w:hAnsi="Times New Roman" w:cs="Times New Roman"/>
          <w:spacing w:val="-8"/>
          <w:sz w:val="24"/>
        </w:rPr>
        <w:t>Inštitúcie zverejňujú súvahu zahrnutú do ich uverejnenej účtovnej závierky. Účtovná závierka je auditovaná účtovná závierka týkajúca sa informácií zverejnených ku koncu roka.</w:t>
      </w:r>
    </w:p>
    <w:p w14:paraId="24A5DB54" w14:textId="5F9ED140" w:rsidR="00CE019E" w:rsidRPr="00A3389E" w:rsidRDefault="00A3389E" w:rsidP="00A3389E">
      <w:pPr>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7.</w:t>
      </w:r>
      <w:r w:rsidRPr="00A3389E">
        <w:rPr>
          <w:rFonts w:ascii="Times New Roman" w:hAnsi="Times New Roman" w:cs="Times New Roman"/>
          <w:bCs/>
          <w:sz w:val="24"/>
        </w:rPr>
        <w:tab/>
      </w:r>
      <w:r w:rsidR="00CE019E" w:rsidRPr="00A3389E">
        <w:rPr>
          <w:rFonts w:ascii="Times New Roman" w:hAnsi="Times New Roman" w:cs="Times New Roman"/>
          <w:bCs/>
          <w:sz w:val="24"/>
        </w:rPr>
        <w:t>Riadky vzoru sú flexibilné</w:t>
      </w:r>
      <w:r>
        <w:rPr>
          <w:rFonts w:ascii="Times New Roman" w:hAnsi="Times New Roman" w:cs="Times New Roman"/>
          <w:bCs/>
          <w:sz w:val="24"/>
        </w:rPr>
        <w:t xml:space="preserve"> a </w:t>
      </w:r>
      <w:r w:rsidR="00CE019E" w:rsidRPr="00A3389E">
        <w:rPr>
          <w:rFonts w:ascii="Times New Roman" w:hAnsi="Times New Roman" w:cs="Times New Roman"/>
          <w:bCs/>
          <w:sz w:val="24"/>
        </w:rPr>
        <w:t>inštitúcie ich zverejňujú</w:t>
      </w:r>
      <w:r>
        <w:rPr>
          <w:rFonts w:ascii="Times New Roman" w:hAnsi="Times New Roman" w:cs="Times New Roman"/>
          <w:bCs/>
          <w:sz w:val="24"/>
        </w:rPr>
        <w:t xml:space="preserve"> v </w:t>
      </w:r>
      <w:r w:rsidR="00CE019E" w:rsidRPr="00A3389E">
        <w:rPr>
          <w:rFonts w:ascii="Times New Roman" w:hAnsi="Times New Roman" w:cs="Times New Roman"/>
          <w:bCs/>
          <w:sz w:val="24"/>
        </w:rPr>
        <w:t>súlade so svojou účtovnou závierkou. Položky vlastných zdrojov</w:t>
      </w:r>
      <w:r>
        <w:rPr>
          <w:rFonts w:ascii="Times New Roman" w:hAnsi="Times New Roman" w:cs="Times New Roman"/>
          <w:bCs/>
          <w:sz w:val="24"/>
        </w:rPr>
        <w:t xml:space="preserve"> v </w:t>
      </w:r>
      <w:r w:rsidR="00CE019E" w:rsidRPr="00A3389E">
        <w:rPr>
          <w:rFonts w:ascii="Times New Roman" w:hAnsi="Times New Roman" w:cs="Times New Roman"/>
          <w:bCs/>
          <w:sz w:val="24"/>
        </w:rPr>
        <w:t>účtovnej závierke overenej audítorom zahŕňajú všetky položky, ktoré sú súčasťou regulatórnych vlastných zdrojov alebo sú od nich odpočítané,</w:t>
      </w:r>
      <w:r>
        <w:rPr>
          <w:rFonts w:ascii="Times New Roman" w:hAnsi="Times New Roman" w:cs="Times New Roman"/>
          <w:bCs/>
          <w:sz w:val="24"/>
        </w:rPr>
        <w:t xml:space="preserve"> a </w:t>
      </w:r>
      <w:r w:rsidR="00CE019E" w:rsidRPr="00A3389E">
        <w:rPr>
          <w:rFonts w:ascii="Times New Roman" w:hAnsi="Times New Roman" w:cs="Times New Roman"/>
          <w:bCs/>
          <w:sz w:val="24"/>
        </w:rPr>
        <w:t>to vrátane vlastného imania, záväzkov, ako je dlh, alebo iných súvahových položiek, ktoré ovplyvňujú regulatórne vlastné zdroje, ako sú napríklad nehmotné aktíva, goodwill</w:t>
      </w:r>
      <w:r>
        <w:rPr>
          <w:rFonts w:ascii="Times New Roman" w:hAnsi="Times New Roman" w:cs="Times New Roman"/>
          <w:bCs/>
          <w:sz w:val="24"/>
        </w:rPr>
        <w:t xml:space="preserve"> a </w:t>
      </w:r>
      <w:r w:rsidR="00CE019E" w:rsidRPr="00A3389E">
        <w:rPr>
          <w:rFonts w:ascii="Times New Roman" w:hAnsi="Times New Roman" w:cs="Times New Roman"/>
          <w:bCs/>
          <w:sz w:val="24"/>
        </w:rPr>
        <w:t>odložené daňové pohľadávky. Inštitúcie rozpíšu položky vlastných zdrojov súvahy podľa potreby tak, aby sa zabezpečilo, že všetky zložky zahrnuté do štruktúry vzoru na zverejňovanie informácií</w:t>
      </w:r>
      <w:r>
        <w:rPr>
          <w:rFonts w:ascii="Times New Roman" w:hAnsi="Times New Roman" w:cs="Times New Roman"/>
          <w:bCs/>
          <w:sz w:val="24"/>
        </w:rPr>
        <w:t xml:space="preserve"> o </w:t>
      </w:r>
      <w:r w:rsidR="00CE019E" w:rsidRPr="00A3389E">
        <w:rPr>
          <w:rFonts w:ascii="Times New Roman" w:hAnsi="Times New Roman" w:cs="Times New Roman"/>
          <w:bCs/>
          <w:sz w:val="24"/>
        </w:rPr>
        <w:t>vlastných zdrojov (vzor EU CC1) sú uvedené samostatne. Inštitúcie rozpíšu prvky súvahy len do takej miery podrobnosti, ktorá je potrebná na odvodenie zložiek požadovaných vo vzore EU CC1. Zverejnenie je primerané zložitosti súvahy inštitúcie.</w:t>
      </w:r>
    </w:p>
    <w:p w14:paraId="09DBDEFD" w14:textId="0AF39EE9" w:rsidR="00CE019E" w:rsidRPr="00A3389E" w:rsidRDefault="00A3389E" w:rsidP="00A3389E">
      <w:pPr>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8.</w:t>
      </w:r>
      <w:r w:rsidRPr="00A3389E">
        <w:rPr>
          <w:rFonts w:ascii="Times New Roman" w:hAnsi="Times New Roman" w:cs="Times New Roman"/>
          <w:bCs/>
          <w:sz w:val="24"/>
        </w:rPr>
        <w:tab/>
      </w:r>
      <w:r w:rsidR="00CE019E" w:rsidRPr="00A3389E">
        <w:rPr>
          <w:rFonts w:ascii="Times New Roman" w:hAnsi="Times New Roman" w:cs="Times New Roman"/>
          <w:bCs/>
          <w:sz w:val="24"/>
        </w:rPr>
        <w:t>Stĺpce sú pevne stanovené</w:t>
      </w:r>
      <w:r>
        <w:rPr>
          <w:rFonts w:ascii="Times New Roman" w:hAnsi="Times New Roman" w:cs="Times New Roman"/>
          <w:bCs/>
          <w:sz w:val="24"/>
        </w:rPr>
        <w:t xml:space="preserve"> a </w:t>
      </w:r>
      <w:r w:rsidR="00CE019E" w:rsidRPr="00A3389E">
        <w:rPr>
          <w:rFonts w:ascii="Times New Roman" w:hAnsi="Times New Roman" w:cs="Times New Roman"/>
          <w:bCs/>
          <w:sz w:val="24"/>
        </w:rPr>
        <w:t>zverejňujú sa takto:</w:t>
      </w:r>
    </w:p>
    <w:p w14:paraId="53064F99" w14:textId="6258DB92" w:rsidR="00CE019E" w:rsidRPr="00A3389E" w:rsidRDefault="00A60806" w:rsidP="00A3389E">
      <w:pPr>
        <w:pStyle w:val="numberedparagraph"/>
        <w:numPr>
          <w:ilvl w:val="0"/>
          <w:numId w:val="0"/>
        </w:numPr>
        <w:spacing w:line="240" w:lineRule="auto"/>
        <w:ind w:left="709" w:hanging="360"/>
        <w:rPr>
          <w:rFonts w:ascii="Times New Roman" w:hAnsi="Times New Roman" w:cs="Times New Roman"/>
          <w:sz w:val="24"/>
        </w:rPr>
      </w:pPr>
      <w:r w:rsidRPr="00A3389E">
        <w:rPr>
          <w:rFonts w:ascii="Times New Roman" w:hAnsi="Times New Roman" w:cs="Times New Roman"/>
          <w:sz w:val="24"/>
        </w:rPr>
        <w:t>a</w:t>
      </w:r>
      <w:r>
        <w:rPr>
          <w:rFonts w:ascii="Times New Roman" w:hAnsi="Times New Roman" w:cs="Times New Roman"/>
          <w:sz w:val="24"/>
        </w:rPr>
        <w:t>)</w:t>
      </w:r>
      <w:r w:rsidRPr="00A3389E">
        <w:rPr>
          <w:rFonts w:ascii="Times New Roman" w:hAnsi="Times New Roman" w:cs="Times New Roman"/>
          <w:sz w:val="24"/>
        </w:rPr>
        <w:tab/>
      </w:r>
      <w:r w:rsidR="00CE019E" w:rsidRPr="00A3389E">
        <w:rPr>
          <w:rFonts w:ascii="Times New Roman" w:hAnsi="Times New Roman" w:cs="Times New Roman"/>
          <w:sz w:val="24"/>
        </w:rPr>
        <w:t xml:space="preserve">Stĺpec </w:t>
      </w:r>
      <w:r w:rsidR="00CE019E" w:rsidRPr="00A3389E">
        <w:rPr>
          <w:rFonts w:ascii="Times New Roman" w:hAnsi="Times New Roman" w:cs="Times New Roman"/>
          <w:i/>
          <w:sz w:val="24"/>
        </w:rPr>
        <w:t>a</w:t>
      </w:r>
      <w:r w:rsidR="00CE019E" w:rsidRPr="00A3389E">
        <w:rPr>
          <w:rFonts w:ascii="Times New Roman" w:hAnsi="Times New Roman" w:cs="Times New Roman"/>
          <w:sz w:val="24"/>
        </w:rPr>
        <w:t>: Inštitúcie zahrnú údaje vykázané</w:t>
      </w:r>
      <w:r w:rsidR="00A3389E">
        <w:rPr>
          <w:rFonts w:ascii="Times New Roman" w:hAnsi="Times New Roman" w:cs="Times New Roman"/>
          <w:sz w:val="24"/>
        </w:rPr>
        <w:t xml:space="preserve"> v </w:t>
      </w:r>
      <w:r w:rsidR="00CE019E" w:rsidRPr="00A3389E">
        <w:rPr>
          <w:rFonts w:ascii="Times New Roman" w:hAnsi="Times New Roman" w:cs="Times New Roman"/>
          <w:sz w:val="24"/>
        </w:rPr>
        <w:t>súvahe zahrnuté do ich uverejnenej účtovnej závierky</w:t>
      </w:r>
      <w:r w:rsidR="00A3389E">
        <w:rPr>
          <w:rFonts w:ascii="Times New Roman" w:hAnsi="Times New Roman" w:cs="Times New Roman"/>
          <w:sz w:val="24"/>
        </w:rPr>
        <w:t xml:space="preserve"> v </w:t>
      </w:r>
      <w:r w:rsidR="00CE019E" w:rsidRPr="00A3389E">
        <w:rPr>
          <w:rFonts w:ascii="Times New Roman" w:hAnsi="Times New Roman" w:cs="Times New Roman"/>
          <w:sz w:val="24"/>
        </w:rPr>
        <w:t>súlade</w:t>
      </w:r>
      <w:r w:rsidR="00A3389E">
        <w:rPr>
          <w:rFonts w:ascii="Times New Roman" w:hAnsi="Times New Roman" w:cs="Times New Roman"/>
          <w:sz w:val="24"/>
        </w:rPr>
        <w:t xml:space="preserve"> s </w:t>
      </w:r>
      <w:r w:rsidR="00CE019E" w:rsidRPr="00A3389E">
        <w:rPr>
          <w:rFonts w:ascii="Times New Roman" w:hAnsi="Times New Roman" w:cs="Times New Roman"/>
          <w:sz w:val="24"/>
        </w:rPr>
        <w:t>účtovným rozsahom konsolidácie.</w:t>
      </w:r>
    </w:p>
    <w:p w14:paraId="3428898F" w14:textId="56CC5E8F" w:rsidR="00CE019E" w:rsidRPr="00A3389E" w:rsidRDefault="00A60806" w:rsidP="00A3389E">
      <w:pPr>
        <w:pStyle w:val="numberedparagraph"/>
        <w:numPr>
          <w:ilvl w:val="0"/>
          <w:numId w:val="0"/>
        </w:numPr>
        <w:spacing w:line="240" w:lineRule="auto"/>
        <w:ind w:left="709" w:hanging="360"/>
        <w:rPr>
          <w:rFonts w:ascii="Times New Roman" w:hAnsi="Times New Roman" w:cs="Times New Roman"/>
          <w:sz w:val="24"/>
        </w:rPr>
      </w:pPr>
      <w:r w:rsidRPr="00A3389E">
        <w:rPr>
          <w:rFonts w:ascii="Times New Roman" w:hAnsi="Times New Roman" w:cs="Times New Roman"/>
          <w:sz w:val="24"/>
        </w:rPr>
        <w:t>b</w:t>
      </w:r>
      <w:r>
        <w:rPr>
          <w:rFonts w:ascii="Times New Roman" w:hAnsi="Times New Roman" w:cs="Times New Roman"/>
          <w:sz w:val="24"/>
        </w:rPr>
        <w:t>)</w:t>
      </w:r>
      <w:r w:rsidRPr="00A3389E">
        <w:rPr>
          <w:rFonts w:ascii="Times New Roman" w:hAnsi="Times New Roman" w:cs="Times New Roman"/>
          <w:sz w:val="24"/>
        </w:rPr>
        <w:tab/>
      </w:r>
      <w:r w:rsidR="00CE019E" w:rsidRPr="00A3389E">
        <w:rPr>
          <w:rFonts w:ascii="Times New Roman" w:hAnsi="Times New Roman" w:cs="Times New Roman"/>
          <w:sz w:val="24"/>
        </w:rPr>
        <w:t xml:space="preserve">Stĺpec </w:t>
      </w:r>
      <w:r w:rsidR="00CE019E" w:rsidRPr="00A3389E">
        <w:rPr>
          <w:rFonts w:ascii="Times New Roman" w:hAnsi="Times New Roman" w:cs="Times New Roman"/>
          <w:i/>
          <w:sz w:val="24"/>
        </w:rPr>
        <w:t>b</w:t>
      </w:r>
      <w:r w:rsidR="00CE019E" w:rsidRPr="00A3389E">
        <w:rPr>
          <w:rFonts w:ascii="Times New Roman" w:hAnsi="Times New Roman" w:cs="Times New Roman"/>
          <w:sz w:val="24"/>
        </w:rPr>
        <w:t>: Inštitúcie zverejňujú číselné údaje zodpovedajúce prudenciálnemu rozsahu konsolidácie.</w:t>
      </w:r>
    </w:p>
    <w:p w14:paraId="1231F8C9" w14:textId="5B49C24F" w:rsidR="00CE019E" w:rsidRPr="00A3389E" w:rsidRDefault="00A60806" w:rsidP="00A3389E">
      <w:pPr>
        <w:pStyle w:val="numberedparagraph"/>
        <w:numPr>
          <w:ilvl w:val="0"/>
          <w:numId w:val="0"/>
        </w:numPr>
        <w:spacing w:line="240" w:lineRule="auto"/>
        <w:ind w:left="709" w:hanging="360"/>
        <w:rPr>
          <w:rFonts w:ascii="Times New Roman" w:hAnsi="Times New Roman" w:cs="Times New Roman"/>
          <w:sz w:val="24"/>
        </w:rPr>
      </w:pPr>
      <w:r w:rsidRPr="00A3389E">
        <w:rPr>
          <w:rFonts w:ascii="Times New Roman" w:hAnsi="Times New Roman" w:cs="Times New Roman"/>
          <w:sz w:val="24"/>
        </w:rPr>
        <w:t>c</w:t>
      </w:r>
      <w:r>
        <w:rPr>
          <w:rFonts w:ascii="Times New Roman" w:hAnsi="Times New Roman" w:cs="Times New Roman"/>
          <w:sz w:val="24"/>
        </w:rPr>
        <w:t>)</w:t>
      </w:r>
      <w:r w:rsidRPr="00A3389E">
        <w:rPr>
          <w:rFonts w:ascii="Times New Roman" w:hAnsi="Times New Roman" w:cs="Times New Roman"/>
          <w:sz w:val="24"/>
        </w:rPr>
        <w:tab/>
      </w:r>
      <w:r w:rsidR="00CE019E" w:rsidRPr="00A3389E">
        <w:rPr>
          <w:rFonts w:ascii="Times New Roman" w:hAnsi="Times New Roman" w:cs="Times New Roman"/>
          <w:sz w:val="24"/>
        </w:rPr>
        <w:t xml:space="preserve">Stĺpec </w:t>
      </w:r>
      <w:r w:rsidR="00CE019E" w:rsidRPr="00A3389E">
        <w:rPr>
          <w:rFonts w:ascii="Times New Roman" w:hAnsi="Times New Roman" w:cs="Times New Roman"/>
          <w:i/>
          <w:sz w:val="24"/>
        </w:rPr>
        <w:t>c</w:t>
      </w:r>
      <w:r w:rsidR="00CE019E" w:rsidRPr="00A3389E">
        <w:rPr>
          <w:rFonts w:ascii="Times New Roman" w:hAnsi="Times New Roman" w:cs="Times New Roman"/>
          <w:sz w:val="24"/>
        </w:rPr>
        <w:t>: Inštitúcie zahrnú krížový odkaz medzi položkou vlastných zdrojov vo vzore EU CC2</w:t>
      </w:r>
      <w:r w:rsidR="00A3389E">
        <w:rPr>
          <w:rFonts w:ascii="Times New Roman" w:hAnsi="Times New Roman" w:cs="Times New Roman"/>
          <w:sz w:val="24"/>
        </w:rPr>
        <w:t xml:space="preserve"> a </w:t>
      </w:r>
      <w:r w:rsidR="00CE019E" w:rsidRPr="00A3389E">
        <w:rPr>
          <w:rFonts w:ascii="Times New Roman" w:hAnsi="Times New Roman" w:cs="Times New Roman"/>
          <w:sz w:val="24"/>
        </w:rPr>
        <w:t>príslušnými položkami vo vzore na zverejňovanie informácií</w:t>
      </w:r>
      <w:r w:rsidR="00A3389E">
        <w:rPr>
          <w:rFonts w:ascii="Times New Roman" w:hAnsi="Times New Roman" w:cs="Times New Roman"/>
          <w:sz w:val="24"/>
        </w:rPr>
        <w:t xml:space="preserve"> o </w:t>
      </w:r>
      <w:r w:rsidR="00CE019E" w:rsidRPr="00A3389E">
        <w:rPr>
          <w:rFonts w:ascii="Times New Roman" w:hAnsi="Times New Roman" w:cs="Times New Roman"/>
          <w:sz w:val="24"/>
        </w:rPr>
        <w:t>vlastných zdrojoch EU CC1. Odkaz</w:t>
      </w:r>
      <w:r w:rsidR="00A3389E">
        <w:rPr>
          <w:rFonts w:ascii="Times New Roman" w:hAnsi="Times New Roman" w:cs="Times New Roman"/>
          <w:sz w:val="24"/>
        </w:rPr>
        <w:t xml:space="preserve"> v </w:t>
      </w:r>
      <w:r w:rsidR="00CE019E" w:rsidRPr="00A3389E">
        <w:rPr>
          <w:rFonts w:ascii="Times New Roman" w:hAnsi="Times New Roman" w:cs="Times New Roman"/>
          <w:sz w:val="24"/>
        </w:rPr>
        <w:t>stĺpci c vzoru EU CC2 sa prepojí</w:t>
      </w:r>
      <w:r w:rsidR="00A3389E">
        <w:rPr>
          <w:rFonts w:ascii="Times New Roman" w:hAnsi="Times New Roman" w:cs="Times New Roman"/>
          <w:sz w:val="24"/>
        </w:rPr>
        <w:t xml:space="preserve"> s </w:t>
      </w:r>
      <w:r w:rsidR="00CE019E" w:rsidRPr="00A3389E">
        <w:rPr>
          <w:rFonts w:ascii="Times New Roman" w:hAnsi="Times New Roman" w:cs="Times New Roman"/>
          <w:sz w:val="24"/>
        </w:rPr>
        <w:t>odkazom uvedeným</w:t>
      </w:r>
      <w:r w:rsidR="00A3389E">
        <w:rPr>
          <w:rFonts w:ascii="Times New Roman" w:hAnsi="Times New Roman" w:cs="Times New Roman"/>
          <w:sz w:val="24"/>
        </w:rPr>
        <w:t xml:space="preserve"> v </w:t>
      </w:r>
      <w:r w:rsidR="00CE019E" w:rsidRPr="00A3389E">
        <w:rPr>
          <w:rFonts w:ascii="Times New Roman" w:hAnsi="Times New Roman" w:cs="Times New Roman"/>
          <w:sz w:val="24"/>
        </w:rPr>
        <w:t>stĺpci b vzoru EU CC1.</w:t>
      </w:r>
    </w:p>
    <w:p w14:paraId="2221F596" w14:textId="3DAB15AE" w:rsidR="00CE019E" w:rsidRPr="00A3389E" w:rsidRDefault="00A3389E" w:rsidP="00A3389E">
      <w:pPr>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9.</w:t>
      </w:r>
      <w:r w:rsidRPr="00A3389E">
        <w:rPr>
          <w:rFonts w:ascii="Times New Roman" w:hAnsi="Times New Roman" w:cs="Times New Roman"/>
          <w:bCs/>
          <w:sz w:val="24"/>
        </w:rPr>
        <w:tab/>
      </w:r>
      <w:r>
        <w:rPr>
          <w:rFonts w:ascii="Times New Roman" w:hAnsi="Times New Roman" w:cs="Times New Roman"/>
          <w:bCs/>
          <w:sz w:val="24"/>
        </w:rPr>
        <w:t xml:space="preserve"> V </w:t>
      </w:r>
      <w:r w:rsidR="00CE019E" w:rsidRPr="00A3389E">
        <w:rPr>
          <w:rFonts w:ascii="Times New Roman" w:hAnsi="Times New Roman" w:cs="Times New Roman"/>
          <w:bCs/>
          <w:sz w:val="24"/>
        </w:rPr>
        <w:t>nasledujúcich prípadoch, ak je účtovný rozsah konsolidácie inštitúcie úplne rovnaký ako jej prudenciálny rozsah konsolidácie, stĺpce a)</w:t>
      </w:r>
      <w:r>
        <w:rPr>
          <w:rFonts w:ascii="Times New Roman" w:hAnsi="Times New Roman" w:cs="Times New Roman"/>
          <w:bCs/>
          <w:sz w:val="24"/>
        </w:rPr>
        <w:t xml:space="preserve"> a </w:t>
      </w:r>
      <w:r w:rsidR="00CE019E" w:rsidRPr="00A3389E">
        <w:rPr>
          <w:rFonts w:ascii="Times New Roman" w:hAnsi="Times New Roman" w:cs="Times New Roman"/>
          <w:bCs/>
          <w:sz w:val="24"/>
        </w:rPr>
        <w:t>b)</w:t>
      </w:r>
      <w:r w:rsidR="00CE019E" w:rsidRPr="00A3389E">
        <w:rPr>
          <w:rFonts w:ascii="Times New Roman" w:hAnsi="Times New Roman" w:cs="Times New Roman"/>
          <w:sz w:val="24"/>
        </w:rPr>
        <w:t xml:space="preserve"> tohto vzoru </w:t>
      </w:r>
      <w:r w:rsidR="00CE019E" w:rsidRPr="00A3389E">
        <w:rPr>
          <w:rFonts w:ascii="Times New Roman" w:hAnsi="Times New Roman" w:cs="Times New Roman"/>
          <w:bCs/>
          <w:sz w:val="24"/>
        </w:rPr>
        <w:t>sa zlúčia</w:t>
      </w:r>
      <w:r>
        <w:rPr>
          <w:rFonts w:ascii="Times New Roman" w:hAnsi="Times New Roman" w:cs="Times New Roman"/>
          <w:bCs/>
          <w:sz w:val="24"/>
        </w:rPr>
        <w:t xml:space="preserve"> a </w:t>
      </w:r>
      <w:r w:rsidR="00CE019E" w:rsidRPr="00A3389E">
        <w:rPr>
          <w:rFonts w:ascii="Times New Roman" w:hAnsi="Times New Roman" w:cs="Times New Roman"/>
          <w:bCs/>
          <w:sz w:val="24"/>
        </w:rPr>
        <w:t>táto skutočnosť sa jednoznačne zverejní:</w:t>
      </w:r>
    </w:p>
    <w:p w14:paraId="0BD748AC" w14:textId="13EE413B" w:rsidR="00CE019E" w:rsidRPr="00B53505" w:rsidRDefault="00A60806" w:rsidP="00A3389E">
      <w:pPr>
        <w:pStyle w:val="numberedparagraph"/>
        <w:numPr>
          <w:ilvl w:val="0"/>
          <w:numId w:val="0"/>
        </w:numPr>
        <w:tabs>
          <w:tab w:val="left" w:pos="-180"/>
        </w:tabs>
        <w:spacing w:line="240" w:lineRule="auto"/>
        <w:ind w:left="709" w:hanging="360"/>
        <w:rPr>
          <w:rFonts w:ascii="Times New Roman" w:hAnsi="Times New Roman" w:cs="Times New Roman"/>
          <w:bCs/>
          <w:spacing w:val="-4"/>
          <w:sz w:val="24"/>
        </w:rPr>
      </w:pPr>
      <w:r w:rsidRPr="00A3389E">
        <w:rPr>
          <w:rFonts w:ascii="Times New Roman" w:hAnsi="Times New Roman" w:cs="Times New Roman"/>
          <w:bCs/>
          <w:sz w:val="24"/>
        </w:rPr>
        <w:t>d</w:t>
      </w:r>
      <w:r>
        <w:rPr>
          <w:rFonts w:ascii="Times New Roman" w:hAnsi="Times New Roman" w:cs="Times New Roman"/>
          <w:bCs/>
          <w:sz w:val="24"/>
        </w:rPr>
        <w:t>)</w:t>
      </w:r>
      <w:r w:rsidRPr="00A3389E">
        <w:rPr>
          <w:rFonts w:ascii="Times New Roman" w:hAnsi="Times New Roman" w:cs="Times New Roman"/>
          <w:bCs/>
          <w:sz w:val="24"/>
        </w:rPr>
        <w:tab/>
      </w:r>
      <w:r w:rsidR="00CE019E" w:rsidRPr="00B53505">
        <w:rPr>
          <w:rFonts w:ascii="Times New Roman" w:hAnsi="Times New Roman" w:cs="Times New Roman"/>
          <w:spacing w:val="-4"/>
          <w:sz w:val="24"/>
        </w:rPr>
        <w:t>Ak inštitúcie spĺňajú povinnosti stanovené</w:t>
      </w:r>
      <w:r w:rsidR="00A3389E" w:rsidRPr="00B53505">
        <w:rPr>
          <w:rFonts w:ascii="Times New Roman" w:hAnsi="Times New Roman" w:cs="Times New Roman"/>
          <w:spacing w:val="-4"/>
          <w:sz w:val="24"/>
        </w:rPr>
        <w:t xml:space="preserve"> v </w:t>
      </w:r>
      <w:r w:rsidR="00CE019E" w:rsidRPr="00B53505">
        <w:rPr>
          <w:rFonts w:ascii="Times New Roman" w:hAnsi="Times New Roman" w:cs="Times New Roman"/>
          <w:spacing w:val="-4"/>
          <w:sz w:val="24"/>
        </w:rPr>
        <w:t>ôsmej časti CRR na konsolidovanom alebo subkonsolidovanom základe, ale rozsah konsolidácie</w:t>
      </w:r>
      <w:r w:rsidR="00A3389E" w:rsidRPr="00B53505">
        <w:rPr>
          <w:rFonts w:ascii="Times New Roman" w:hAnsi="Times New Roman" w:cs="Times New Roman"/>
          <w:spacing w:val="-4"/>
          <w:sz w:val="24"/>
        </w:rPr>
        <w:t xml:space="preserve"> a </w:t>
      </w:r>
      <w:r w:rsidR="00CE019E" w:rsidRPr="00B53505">
        <w:rPr>
          <w:rFonts w:ascii="Times New Roman" w:hAnsi="Times New Roman" w:cs="Times New Roman"/>
          <w:spacing w:val="-4"/>
          <w:sz w:val="24"/>
        </w:rPr>
        <w:t>metóda konsolidácie použité pre súvahu</w:t>
      </w:r>
      <w:r w:rsidR="00A3389E" w:rsidRPr="00B53505">
        <w:rPr>
          <w:rFonts w:ascii="Times New Roman" w:hAnsi="Times New Roman" w:cs="Times New Roman"/>
          <w:spacing w:val="-4"/>
          <w:sz w:val="24"/>
        </w:rPr>
        <w:t xml:space="preserve"> v </w:t>
      </w:r>
      <w:r w:rsidR="00CE019E" w:rsidRPr="00B53505">
        <w:rPr>
          <w:rFonts w:ascii="Times New Roman" w:hAnsi="Times New Roman" w:cs="Times New Roman"/>
          <w:spacing w:val="-4"/>
          <w:sz w:val="24"/>
        </w:rPr>
        <w:t>účtovnej závierke sú rovnaké ako rozsah konsolidácie</w:t>
      </w:r>
      <w:r w:rsidR="00A3389E" w:rsidRPr="00B53505">
        <w:rPr>
          <w:rFonts w:ascii="Times New Roman" w:hAnsi="Times New Roman" w:cs="Times New Roman"/>
          <w:spacing w:val="-4"/>
          <w:sz w:val="24"/>
        </w:rPr>
        <w:t xml:space="preserve"> a </w:t>
      </w:r>
      <w:r w:rsidR="00CE019E" w:rsidRPr="00B53505">
        <w:rPr>
          <w:rFonts w:ascii="Times New Roman" w:hAnsi="Times New Roman" w:cs="Times New Roman"/>
          <w:spacing w:val="-4"/>
          <w:sz w:val="24"/>
        </w:rPr>
        <w:t>metóda konsolidácie vymedzené podľa prvej časti hlavy II kapitoly 2 CRR</w:t>
      </w:r>
      <w:r w:rsidR="00A3389E" w:rsidRPr="00B53505">
        <w:rPr>
          <w:rFonts w:ascii="Times New Roman" w:hAnsi="Times New Roman" w:cs="Times New Roman"/>
          <w:spacing w:val="-4"/>
          <w:sz w:val="24"/>
        </w:rPr>
        <w:t xml:space="preserve"> a </w:t>
      </w:r>
      <w:r w:rsidR="00CE019E" w:rsidRPr="00B53505">
        <w:rPr>
          <w:rFonts w:ascii="Times New Roman" w:hAnsi="Times New Roman" w:cs="Times New Roman"/>
          <w:spacing w:val="-4"/>
          <w:sz w:val="24"/>
        </w:rPr>
        <w:t>inštitúcie jednoznačne uvedú, že neexistujú rozdiely medzi príslušnými rozsahmi</w:t>
      </w:r>
      <w:r w:rsidR="00A3389E" w:rsidRPr="00B53505">
        <w:rPr>
          <w:rFonts w:ascii="Times New Roman" w:hAnsi="Times New Roman" w:cs="Times New Roman"/>
          <w:spacing w:val="-4"/>
          <w:sz w:val="24"/>
        </w:rPr>
        <w:t xml:space="preserve"> a </w:t>
      </w:r>
      <w:r w:rsidR="00CE019E" w:rsidRPr="00B53505">
        <w:rPr>
          <w:rFonts w:ascii="Times New Roman" w:hAnsi="Times New Roman" w:cs="Times New Roman"/>
          <w:spacing w:val="-4"/>
          <w:sz w:val="24"/>
        </w:rPr>
        <w:t>metódami konsolidácie.</w:t>
      </w:r>
    </w:p>
    <w:p w14:paraId="5D0BA568" w14:textId="77777777" w:rsidR="00CE019E" w:rsidRPr="00A3389E" w:rsidRDefault="00CE019E" w:rsidP="00CE019E">
      <w:pPr>
        <w:ind w:left="426"/>
        <w:jc w:val="both"/>
        <w:rPr>
          <w:rFonts w:ascii="Times New Roman" w:hAnsi="Times New Roman" w:cs="Times New Roman"/>
          <w:bCs/>
          <w:sz w:val="24"/>
        </w:rPr>
      </w:pPr>
    </w:p>
    <w:p w14:paraId="22D56618" w14:textId="175AAC68" w:rsidR="00CE019E" w:rsidRPr="00B53505" w:rsidRDefault="00A60806" w:rsidP="00A3389E">
      <w:pPr>
        <w:pStyle w:val="numberedparagraph"/>
        <w:numPr>
          <w:ilvl w:val="0"/>
          <w:numId w:val="0"/>
        </w:numPr>
        <w:tabs>
          <w:tab w:val="left" w:pos="-180"/>
        </w:tabs>
        <w:spacing w:line="240" w:lineRule="auto"/>
        <w:ind w:left="709" w:hanging="360"/>
        <w:rPr>
          <w:rFonts w:ascii="Times New Roman" w:hAnsi="Times New Roman" w:cs="Times New Roman"/>
          <w:bCs/>
          <w:spacing w:val="-4"/>
          <w:sz w:val="24"/>
        </w:rPr>
      </w:pPr>
      <w:r w:rsidRPr="00A3389E">
        <w:rPr>
          <w:rFonts w:ascii="Times New Roman" w:hAnsi="Times New Roman" w:cs="Times New Roman"/>
          <w:bCs/>
          <w:sz w:val="24"/>
        </w:rPr>
        <w:t>e</w:t>
      </w:r>
      <w:r>
        <w:rPr>
          <w:rFonts w:ascii="Times New Roman" w:hAnsi="Times New Roman" w:cs="Times New Roman"/>
          <w:bCs/>
          <w:sz w:val="24"/>
        </w:rPr>
        <w:t>)</w:t>
      </w:r>
      <w:r w:rsidRPr="00A3389E">
        <w:rPr>
          <w:rFonts w:ascii="Times New Roman" w:hAnsi="Times New Roman" w:cs="Times New Roman"/>
          <w:bCs/>
          <w:sz w:val="24"/>
        </w:rPr>
        <w:tab/>
      </w:r>
      <w:r w:rsidR="00CE019E" w:rsidRPr="00B53505">
        <w:rPr>
          <w:rFonts w:ascii="Times New Roman" w:hAnsi="Times New Roman" w:cs="Times New Roman"/>
          <w:spacing w:val="-4"/>
          <w:sz w:val="24"/>
        </w:rPr>
        <w:t>Ak inštitúcie spĺňajú povinnosti stanovené</w:t>
      </w:r>
      <w:r w:rsidR="00A3389E" w:rsidRPr="00B53505">
        <w:rPr>
          <w:rFonts w:ascii="Times New Roman" w:hAnsi="Times New Roman" w:cs="Times New Roman"/>
          <w:spacing w:val="-4"/>
          <w:sz w:val="24"/>
        </w:rPr>
        <w:t xml:space="preserve"> v </w:t>
      </w:r>
      <w:r w:rsidR="00CE019E" w:rsidRPr="00B53505">
        <w:rPr>
          <w:rFonts w:ascii="Times New Roman" w:hAnsi="Times New Roman" w:cs="Times New Roman"/>
          <w:spacing w:val="-4"/>
          <w:sz w:val="24"/>
        </w:rPr>
        <w:t>ôsmej časti CRR na individuálnom základe.</w:t>
      </w:r>
    </w:p>
    <w:p w14:paraId="6FBA5BFD" w14:textId="77777777" w:rsidR="00CE019E" w:rsidRPr="00A3389E" w:rsidRDefault="00CE019E" w:rsidP="00CE019E">
      <w:pPr>
        <w:pStyle w:val="ListParagraph"/>
        <w:rPr>
          <w:rFonts w:ascii="Times New Roman" w:hAnsi="Times New Roman"/>
          <w:bCs/>
          <w:sz w:val="24"/>
          <w:szCs w:val="24"/>
        </w:rPr>
      </w:pPr>
    </w:p>
    <w:p w14:paraId="5B67FEBB" w14:textId="501E009A" w:rsidR="00CE019E" w:rsidRPr="00A3389E" w:rsidRDefault="00D95507" w:rsidP="00B53505">
      <w:pPr>
        <w:keepNext/>
        <w:keepLines/>
        <w:rPr>
          <w:rFonts w:ascii="Times New Roman" w:hAnsi="Times New Roman" w:cs="Times New Roman"/>
          <w:b/>
          <w:bCs/>
          <w:sz w:val="24"/>
        </w:rPr>
      </w:pPr>
      <w:r w:rsidRPr="00A3389E">
        <w:rPr>
          <w:rFonts w:ascii="Times New Roman" w:hAnsi="Times New Roman" w:cs="Times New Roman"/>
          <w:b/>
          <w:bCs/>
          <w:sz w:val="24"/>
        </w:rPr>
        <w:t>Tabuľka EU CCA – Hlavné znaky nástrojov regulatórnych vlastných zdrojov</w:t>
      </w:r>
      <w:r w:rsidR="00A3389E">
        <w:rPr>
          <w:rFonts w:ascii="Times New Roman" w:hAnsi="Times New Roman" w:cs="Times New Roman"/>
          <w:b/>
          <w:bCs/>
          <w:sz w:val="24"/>
        </w:rPr>
        <w:t xml:space="preserve"> a </w:t>
      </w:r>
      <w:r w:rsidRPr="00A3389E">
        <w:rPr>
          <w:rFonts w:ascii="Times New Roman" w:hAnsi="Times New Roman" w:cs="Times New Roman"/>
          <w:b/>
          <w:bCs/>
          <w:sz w:val="24"/>
        </w:rPr>
        <w:t>nástrojov oprávnených záväzkov.</w:t>
      </w:r>
    </w:p>
    <w:p w14:paraId="3FA435A8" w14:textId="77777777" w:rsidR="00CE019E" w:rsidRPr="00A3389E" w:rsidRDefault="00CE019E" w:rsidP="00B53505">
      <w:pPr>
        <w:keepNext/>
        <w:keepLines/>
        <w:rPr>
          <w:rFonts w:ascii="Times New Roman" w:hAnsi="Times New Roman" w:cs="Times New Roman"/>
          <w:b/>
          <w:bCs/>
          <w:sz w:val="24"/>
        </w:rPr>
      </w:pPr>
    </w:p>
    <w:p w14:paraId="19AB5330" w14:textId="58EB9597" w:rsidR="00CE019E" w:rsidRPr="00A3389E" w:rsidRDefault="00A3389E" w:rsidP="00B53505">
      <w:pPr>
        <w:keepNext/>
        <w:keepLines/>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10.</w:t>
      </w:r>
      <w:r w:rsidRPr="00A3389E">
        <w:rPr>
          <w:rFonts w:ascii="Times New Roman" w:hAnsi="Times New Roman" w:cs="Times New Roman"/>
          <w:bCs/>
          <w:sz w:val="24"/>
        </w:rPr>
        <w:tab/>
      </w:r>
      <w:r w:rsidR="00CE019E" w:rsidRPr="00A3389E">
        <w:rPr>
          <w:rFonts w:ascii="Times New Roman" w:hAnsi="Times New Roman" w:cs="Times New Roman"/>
          <w:bCs/>
          <w:sz w:val="24"/>
        </w:rPr>
        <w:t>Inštitúcie</w:t>
      </w:r>
      <w:r w:rsidR="00CE019E" w:rsidRPr="00A3389E">
        <w:rPr>
          <w:rFonts w:ascii="Times New Roman" w:hAnsi="Times New Roman" w:cs="Times New Roman"/>
          <w:sz w:val="24"/>
        </w:rPr>
        <w:t xml:space="preserve"> zverejňujú informácie uvedené</w:t>
      </w:r>
      <w:r>
        <w:rPr>
          <w:rFonts w:ascii="Times New Roman" w:hAnsi="Times New Roman" w:cs="Times New Roman"/>
          <w:sz w:val="24"/>
        </w:rPr>
        <w:t xml:space="preserve"> v </w:t>
      </w:r>
      <w:r w:rsidR="00CE019E" w:rsidRPr="00A3389E">
        <w:rPr>
          <w:rFonts w:ascii="Times New Roman" w:hAnsi="Times New Roman" w:cs="Times New Roman"/>
          <w:bCs/>
          <w:sz w:val="24"/>
        </w:rPr>
        <w:t>článku 437 písm. b)</w:t>
      </w:r>
      <w:r>
        <w:rPr>
          <w:rFonts w:ascii="Times New Roman" w:hAnsi="Times New Roman" w:cs="Times New Roman"/>
          <w:bCs/>
          <w:sz w:val="24"/>
        </w:rPr>
        <w:t xml:space="preserve"> a </w:t>
      </w:r>
      <w:r w:rsidR="00CE019E" w:rsidRPr="00A3389E">
        <w:rPr>
          <w:rFonts w:ascii="Times New Roman" w:hAnsi="Times New Roman" w:cs="Times New Roman"/>
          <w:bCs/>
          <w:sz w:val="24"/>
        </w:rPr>
        <w:t xml:space="preserve">c) </w:t>
      </w:r>
      <w:r w:rsidR="00CE019E" w:rsidRPr="00A3389E">
        <w:rPr>
          <w:rFonts w:ascii="Times New Roman" w:hAnsi="Times New Roman" w:cs="Times New Roman"/>
          <w:color w:val="000000"/>
          <w:sz w:val="24"/>
        </w:rPr>
        <w:t>CRR</w:t>
      </w:r>
      <w:r w:rsidR="00CE019E" w:rsidRPr="00A3389E">
        <w:rPr>
          <w:rFonts w:ascii="Times New Roman" w:hAnsi="Times New Roman" w:cs="Times New Roman"/>
          <w:bCs/>
          <w:sz w:val="24"/>
        </w:rPr>
        <w:t xml:space="preserve"> podľa pokynov uvedených</w:t>
      </w:r>
      <w:r>
        <w:rPr>
          <w:rFonts w:ascii="Times New Roman" w:hAnsi="Times New Roman" w:cs="Times New Roman"/>
          <w:bCs/>
          <w:sz w:val="24"/>
        </w:rPr>
        <w:t xml:space="preserve"> v </w:t>
      </w:r>
      <w:r w:rsidR="00CE019E" w:rsidRPr="00A3389E">
        <w:rPr>
          <w:rFonts w:ascii="Times New Roman" w:hAnsi="Times New Roman" w:cs="Times New Roman"/>
          <w:bCs/>
          <w:sz w:val="24"/>
        </w:rPr>
        <w:t>tejto prílohe</w:t>
      </w:r>
      <w:r>
        <w:rPr>
          <w:rFonts w:ascii="Times New Roman" w:hAnsi="Times New Roman" w:cs="Times New Roman"/>
          <w:bCs/>
          <w:sz w:val="24"/>
        </w:rPr>
        <w:t xml:space="preserve"> s </w:t>
      </w:r>
      <w:r w:rsidR="00CE019E" w:rsidRPr="00A3389E">
        <w:rPr>
          <w:rFonts w:ascii="Times New Roman" w:hAnsi="Times New Roman" w:cs="Times New Roman"/>
          <w:bCs/>
          <w:sz w:val="24"/>
        </w:rPr>
        <w:t>cieľom vyplniť tabuľku EU CCA, ktorá je uvedená</w:t>
      </w:r>
      <w:r>
        <w:rPr>
          <w:rFonts w:ascii="Times New Roman" w:hAnsi="Times New Roman" w:cs="Times New Roman"/>
          <w:bCs/>
          <w:sz w:val="24"/>
        </w:rPr>
        <w:t xml:space="preserve"> v </w:t>
      </w:r>
      <w:r w:rsidR="00CE019E" w:rsidRPr="00A3389E">
        <w:rPr>
          <w:rFonts w:ascii="Times New Roman" w:hAnsi="Times New Roman" w:cs="Times New Roman"/>
          <w:bCs/>
          <w:sz w:val="24"/>
        </w:rPr>
        <w:t>prílohe VII</w:t>
      </w:r>
      <w:r>
        <w:rPr>
          <w:rFonts w:ascii="Times New Roman" w:hAnsi="Times New Roman" w:cs="Times New Roman"/>
          <w:bCs/>
          <w:sz w:val="24"/>
        </w:rPr>
        <w:t xml:space="preserve"> k </w:t>
      </w:r>
      <w:r w:rsidR="00CE019E" w:rsidRPr="00A3389E">
        <w:rPr>
          <w:rFonts w:ascii="Times New Roman" w:hAnsi="Times New Roman" w:cs="Times New Roman"/>
          <w:bCs/>
          <w:sz w:val="24"/>
        </w:rPr>
        <w:t>tomuto vykonávaciemu nariadeniu.</w:t>
      </w:r>
    </w:p>
    <w:p w14:paraId="5CA31427" w14:textId="236215E0" w:rsidR="00CE019E" w:rsidRPr="00A3389E" w:rsidRDefault="00A3389E" w:rsidP="00A3389E">
      <w:pPr>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11.</w:t>
      </w:r>
      <w:r w:rsidRPr="00A3389E">
        <w:rPr>
          <w:rFonts w:ascii="Times New Roman" w:hAnsi="Times New Roman" w:cs="Times New Roman"/>
          <w:bCs/>
          <w:sz w:val="24"/>
        </w:rPr>
        <w:tab/>
      </w:r>
      <w:r w:rsidR="00CE019E" w:rsidRPr="00A3389E">
        <w:rPr>
          <w:rFonts w:ascii="Times New Roman" w:hAnsi="Times New Roman" w:cs="Times New Roman"/>
          <w:bCs/>
          <w:sz w:val="24"/>
        </w:rPr>
        <w:t>Inštitúcie vypĺňajú tabuľku EU CCA pre tieto kategórie: Nástroje vlastného kapitálu Tier 1, nástroje dodatočného kapitálu Tier 1, nástroje kapitálu Tier 2</w:t>
      </w:r>
      <w:r>
        <w:rPr>
          <w:rFonts w:ascii="Times New Roman" w:hAnsi="Times New Roman" w:cs="Times New Roman"/>
          <w:bCs/>
          <w:sz w:val="24"/>
        </w:rPr>
        <w:t xml:space="preserve"> a v </w:t>
      </w:r>
      <w:r w:rsidR="00CE019E" w:rsidRPr="00A3389E">
        <w:rPr>
          <w:rFonts w:ascii="Times New Roman" w:hAnsi="Times New Roman" w:cs="Times New Roman"/>
          <w:bCs/>
          <w:sz w:val="24"/>
        </w:rPr>
        <w:t>zmysle článku 72b CRR nástroje oprávnených záväzkov.</w:t>
      </w:r>
    </w:p>
    <w:p w14:paraId="77491373" w14:textId="6F6115B3" w:rsidR="00CE019E" w:rsidRPr="00B53505" w:rsidRDefault="00A3389E" w:rsidP="00A3389E">
      <w:pPr>
        <w:tabs>
          <w:tab w:val="left" w:pos="360"/>
        </w:tabs>
        <w:spacing w:before="120" w:after="120"/>
        <w:ind w:left="357" w:hanging="357"/>
        <w:jc w:val="both"/>
        <w:rPr>
          <w:rFonts w:ascii="Times New Roman" w:hAnsi="Times New Roman" w:cs="Times New Roman"/>
          <w:bCs/>
          <w:spacing w:val="-6"/>
          <w:sz w:val="24"/>
        </w:rPr>
      </w:pPr>
      <w:r w:rsidRPr="00A3389E">
        <w:rPr>
          <w:rFonts w:ascii="Times New Roman" w:hAnsi="Times New Roman" w:cs="Times New Roman"/>
          <w:bCs/>
          <w:sz w:val="24"/>
        </w:rPr>
        <w:t>12.</w:t>
      </w:r>
      <w:r w:rsidRPr="00A3389E">
        <w:rPr>
          <w:rFonts w:ascii="Times New Roman" w:hAnsi="Times New Roman" w:cs="Times New Roman"/>
          <w:bCs/>
          <w:sz w:val="24"/>
        </w:rPr>
        <w:tab/>
      </w:r>
      <w:r w:rsidR="00CE019E" w:rsidRPr="00B53505">
        <w:rPr>
          <w:rFonts w:ascii="Times New Roman" w:hAnsi="Times New Roman" w:cs="Times New Roman"/>
          <w:bCs/>
          <w:spacing w:val="-6"/>
          <w:sz w:val="24"/>
        </w:rPr>
        <w:t>Tabuľky obsahujú samostatné stĺpce</w:t>
      </w:r>
      <w:r w:rsidRPr="00B53505">
        <w:rPr>
          <w:rFonts w:ascii="Times New Roman" w:hAnsi="Times New Roman" w:cs="Times New Roman"/>
          <w:bCs/>
          <w:spacing w:val="-6"/>
          <w:sz w:val="24"/>
        </w:rPr>
        <w:t xml:space="preserve"> s </w:t>
      </w:r>
      <w:r w:rsidR="00CE019E" w:rsidRPr="00B53505">
        <w:rPr>
          <w:rFonts w:ascii="Times New Roman" w:hAnsi="Times New Roman" w:cs="Times New Roman"/>
          <w:bCs/>
          <w:spacing w:val="-6"/>
          <w:sz w:val="24"/>
        </w:rPr>
        <w:t>charakteristikami jednotlivých nástrojov regulatórnych vlastných zdrojov</w:t>
      </w:r>
      <w:r w:rsidRPr="00B53505">
        <w:rPr>
          <w:rFonts w:ascii="Times New Roman" w:hAnsi="Times New Roman" w:cs="Times New Roman"/>
          <w:bCs/>
          <w:spacing w:val="-6"/>
          <w:sz w:val="24"/>
        </w:rPr>
        <w:t xml:space="preserve"> a </w:t>
      </w:r>
      <w:r w:rsidR="00CE019E" w:rsidRPr="00B53505">
        <w:rPr>
          <w:rFonts w:ascii="Times New Roman" w:hAnsi="Times New Roman" w:cs="Times New Roman"/>
          <w:bCs/>
          <w:spacing w:val="-6"/>
          <w:sz w:val="24"/>
        </w:rPr>
        <w:t>nástrojov oprávnených záväzkov. Keď rozličné nástroje rovnakej kategórie majú zhodné charakteristiky, inštitúcie môžu vyplniť len jeden stĺpec</w:t>
      </w:r>
      <w:r w:rsidRPr="00B53505">
        <w:rPr>
          <w:rFonts w:ascii="Times New Roman" w:hAnsi="Times New Roman" w:cs="Times New Roman"/>
          <w:bCs/>
          <w:spacing w:val="-6"/>
          <w:sz w:val="24"/>
        </w:rPr>
        <w:t xml:space="preserve"> s </w:t>
      </w:r>
      <w:r w:rsidR="00CE019E" w:rsidRPr="00B53505">
        <w:rPr>
          <w:rFonts w:ascii="Times New Roman" w:hAnsi="Times New Roman" w:cs="Times New Roman"/>
          <w:bCs/>
          <w:spacing w:val="-6"/>
          <w:sz w:val="24"/>
        </w:rPr>
        <w:t>informáciami</w:t>
      </w:r>
      <w:r w:rsidRPr="00B53505">
        <w:rPr>
          <w:rFonts w:ascii="Times New Roman" w:hAnsi="Times New Roman" w:cs="Times New Roman"/>
          <w:bCs/>
          <w:spacing w:val="-6"/>
          <w:sz w:val="24"/>
        </w:rPr>
        <w:t xml:space="preserve"> o </w:t>
      </w:r>
      <w:r w:rsidR="00CE019E" w:rsidRPr="00B53505">
        <w:rPr>
          <w:rFonts w:ascii="Times New Roman" w:hAnsi="Times New Roman" w:cs="Times New Roman"/>
          <w:bCs/>
          <w:spacing w:val="-6"/>
          <w:sz w:val="24"/>
        </w:rPr>
        <w:t>týchto zhodných charakteristikách</w:t>
      </w:r>
      <w:r w:rsidRPr="00B53505">
        <w:rPr>
          <w:rFonts w:ascii="Times New Roman" w:hAnsi="Times New Roman" w:cs="Times New Roman"/>
          <w:bCs/>
          <w:spacing w:val="-6"/>
          <w:sz w:val="24"/>
        </w:rPr>
        <w:t xml:space="preserve"> a </w:t>
      </w:r>
      <w:r w:rsidR="00CE019E" w:rsidRPr="00B53505">
        <w:rPr>
          <w:rFonts w:ascii="Times New Roman" w:hAnsi="Times New Roman" w:cs="Times New Roman"/>
          <w:bCs/>
          <w:spacing w:val="-6"/>
          <w:sz w:val="24"/>
        </w:rPr>
        <w:t>označiť emisie, ktorých sa tieto zhodné charakteristiky týkajú. Pri zverejňovaní stĺpcov pre tieto nástroje ich inštitúcie zoskupujú do troch oddielov (horizontálne</w:t>
      </w:r>
      <w:r w:rsidRPr="00B53505">
        <w:rPr>
          <w:rFonts w:ascii="Times New Roman" w:hAnsi="Times New Roman" w:cs="Times New Roman"/>
          <w:bCs/>
          <w:spacing w:val="-6"/>
          <w:sz w:val="24"/>
        </w:rPr>
        <w:t xml:space="preserve"> v </w:t>
      </w:r>
      <w:r w:rsidR="00CE019E" w:rsidRPr="00B53505">
        <w:rPr>
          <w:rFonts w:ascii="Times New Roman" w:hAnsi="Times New Roman" w:cs="Times New Roman"/>
          <w:bCs/>
          <w:spacing w:val="-6"/>
          <w:sz w:val="24"/>
        </w:rPr>
        <w:t>rámci tabuľky), aby uviedli, či sú určené na splnenie i) len požiadaviek na vlastné zdroje (ale nie oprávnené záväzky); ii) požiadaviek na vlastné zdroje aj oprávnené záväzky; alebo iii) len požiadaviek na oprávnené záväzky (ale nie na vlastné zdroje).</w:t>
      </w:r>
    </w:p>
    <w:p w14:paraId="497C2993" w14:textId="068C4C29" w:rsidR="00CE019E" w:rsidRPr="00A3389E" w:rsidRDefault="00A3389E" w:rsidP="00A3389E">
      <w:pPr>
        <w:tabs>
          <w:tab w:val="left" w:pos="360"/>
        </w:tabs>
        <w:spacing w:before="120" w:after="120"/>
        <w:ind w:left="357" w:hanging="357"/>
        <w:jc w:val="both"/>
        <w:rPr>
          <w:rFonts w:ascii="Times New Roman" w:hAnsi="Times New Roman" w:cs="Times New Roman"/>
          <w:bCs/>
          <w:sz w:val="24"/>
        </w:rPr>
      </w:pPr>
      <w:r w:rsidRPr="00A3389E">
        <w:rPr>
          <w:rFonts w:ascii="Times New Roman" w:hAnsi="Times New Roman" w:cs="Times New Roman"/>
          <w:bCs/>
          <w:sz w:val="24"/>
        </w:rPr>
        <w:t>13.</w:t>
      </w:r>
      <w:r w:rsidRPr="00A3389E">
        <w:rPr>
          <w:rFonts w:ascii="Times New Roman" w:hAnsi="Times New Roman" w:cs="Times New Roman"/>
          <w:bCs/>
          <w:sz w:val="24"/>
        </w:rPr>
        <w:tab/>
      </w:r>
      <w:r w:rsidR="00CE019E" w:rsidRPr="00A3389E">
        <w:rPr>
          <w:rFonts w:ascii="Times New Roman" w:hAnsi="Times New Roman" w:cs="Times New Roman"/>
          <w:bCs/>
          <w:sz w:val="24"/>
        </w:rPr>
        <w:t>V súvislosti</w:t>
      </w:r>
      <w:r>
        <w:rPr>
          <w:rFonts w:ascii="Times New Roman" w:hAnsi="Times New Roman" w:cs="Times New Roman"/>
          <w:bCs/>
          <w:sz w:val="24"/>
        </w:rPr>
        <w:t xml:space="preserve"> s </w:t>
      </w:r>
      <w:r w:rsidR="00CE019E" w:rsidRPr="00A3389E">
        <w:rPr>
          <w:rFonts w:ascii="Times New Roman" w:hAnsi="Times New Roman" w:cs="Times New Roman"/>
          <w:bCs/>
          <w:sz w:val="24"/>
        </w:rPr>
        <w:t>nástrojmi oprávnených záväzkov, ktoré nie sú podriadené vylúčeným záväzkom, inštitúcie zverejňujú len tie cenné papiere, ktoré sú zastupiteľnými, obchodovateľnými finančnými nástrojmi,</w:t>
      </w:r>
      <w:r>
        <w:rPr>
          <w:rFonts w:ascii="Times New Roman" w:hAnsi="Times New Roman" w:cs="Times New Roman"/>
          <w:bCs/>
          <w:sz w:val="24"/>
        </w:rPr>
        <w:t xml:space="preserve"> s </w:t>
      </w:r>
      <w:r w:rsidR="00CE019E" w:rsidRPr="00A3389E">
        <w:rPr>
          <w:rFonts w:ascii="Times New Roman" w:hAnsi="Times New Roman" w:cs="Times New Roman"/>
          <w:bCs/>
          <w:sz w:val="24"/>
        </w:rPr>
        <w:t>výnimkou úverov</w:t>
      </w:r>
      <w:r>
        <w:rPr>
          <w:rFonts w:ascii="Times New Roman" w:hAnsi="Times New Roman" w:cs="Times New Roman"/>
          <w:bCs/>
          <w:sz w:val="24"/>
        </w:rPr>
        <w:t xml:space="preserve"> a </w:t>
      </w:r>
      <w:r w:rsidR="00CE019E" w:rsidRPr="00A3389E">
        <w:rPr>
          <w:rFonts w:ascii="Times New Roman" w:hAnsi="Times New Roman" w:cs="Times New Roman"/>
          <w:bCs/>
          <w:sz w:val="24"/>
        </w:rPr>
        <w:t>vkladov.</w:t>
      </w:r>
    </w:p>
    <w:p w14:paraId="3B53BD8D" w14:textId="77777777" w:rsidR="00CE019E" w:rsidRPr="00A3389E"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A3389E" w14:paraId="6A50FE3C" w14:textId="77777777" w:rsidTr="001E06A3">
        <w:trPr>
          <w:trHeight w:val="259"/>
        </w:trPr>
        <w:tc>
          <w:tcPr>
            <w:tcW w:w="8691" w:type="dxa"/>
            <w:gridSpan w:val="2"/>
            <w:shd w:val="clear" w:color="auto" w:fill="D9D9D9" w:themeFill="background1" w:themeFillShade="D9"/>
          </w:tcPr>
          <w:p w14:paraId="169B9933" w14:textId="2B1E9CFA" w:rsidR="00CE019E" w:rsidRPr="00A3389E" w:rsidRDefault="00CE019E" w:rsidP="001E06A3">
            <w:pPr>
              <w:rPr>
                <w:rFonts w:ascii="Times New Roman" w:eastAsia="Times New Roman" w:hAnsi="Times New Roman" w:cs="Times New Roman"/>
                <w:b/>
                <w:bCs/>
                <w:color w:val="000000"/>
                <w:sz w:val="24"/>
              </w:rPr>
            </w:pPr>
            <w:r w:rsidRPr="00A3389E">
              <w:rPr>
                <w:rFonts w:ascii="Times New Roman" w:hAnsi="Times New Roman" w:cs="Times New Roman"/>
                <w:b/>
                <w:bCs/>
                <w:color w:val="000000"/>
                <w:sz w:val="24"/>
              </w:rPr>
              <w:t>Pokyny na vypĺňanie tabuľky hlavných znakov nástrojov regulatórnych vlastných zdrojov</w:t>
            </w:r>
            <w:r w:rsidR="00A3389E">
              <w:rPr>
                <w:rFonts w:ascii="Times New Roman" w:hAnsi="Times New Roman" w:cs="Times New Roman"/>
                <w:b/>
                <w:bCs/>
                <w:color w:val="000000"/>
                <w:sz w:val="24"/>
              </w:rPr>
              <w:t xml:space="preserve"> a </w:t>
            </w:r>
            <w:r w:rsidRPr="00A3389E">
              <w:rPr>
                <w:rFonts w:ascii="Times New Roman" w:hAnsi="Times New Roman" w:cs="Times New Roman"/>
                <w:b/>
                <w:bCs/>
                <w:color w:val="000000"/>
                <w:sz w:val="24"/>
              </w:rPr>
              <w:t>nástrojov oprávnených záväzkov</w:t>
            </w:r>
          </w:p>
        </w:tc>
      </w:tr>
      <w:tr w:rsidR="00CE019E" w:rsidRPr="00A3389E"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A3389E" w:rsidRDefault="00CE019E" w:rsidP="001E06A3">
            <w:pPr>
              <w:rPr>
                <w:rFonts w:ascii="Times New Roman" w:eastAsia="Times New Roman" w:hAnsi="Times New Roman" w:cs="Times New Roman"/>
                <w:b/>
                <w:bCs/>
                <w:color w:val="000000"/>
                <w:sz w:val="24"/>
              </w:rPr>
            </w:pPr>
            <w:r w:rsidRPr="00A3389E">
              <w:rPr>
                <w:rFonts w:ascii="Times New Roman" w:hAnsi="Times New Roman" w:cs="Times New Roman"/>
                <w:b/>
                <w:bCs/>
                <w:color w:val="000000"/>
                <w:sz w:val="24"/>
              </w:rPr>
              <w:t>Číslo riadku</w:t>
            </w:r>
          </w:p>
        </w:tc>
        <w:tc>
          <w:tcPr>
            <w:tcW w:w="7661" w:type="dxa"/>
            <w:shd w:val="clear" w:color="auto" w:fill="D9D9D9" w:themeFill="background1" w:themeFillShade="D9"/>
            <w:noWrap/>
            <w:vAlign w:val="bottom"/>
          </w:tcPr>
          <w:p w14:paraId="7A5A8282" w14:textId="77777777" w:rsidR="00CE019E" w:rsidRPr="00A3389E" w:rsidRDefault="00CE019E" w:rsidP="001E06A3">
            <w:pPr>
              <w:rPr>
                <w:rFonts w:ascii="Times New Roman" w:eastAsia="Times New Roman" w:hAnsi="Times New Roman" w:cs="Times New Roman"/>
                <w:b/>
                <w:bCs/>
                <w:color w:val="000000"/>
                <w:sz w:val="24"/>
              </w:rPr>
            </w:pPr>
            <w:r w:rsidRPr="00A3389E">
              <w:rPr>
                <w:rFonts w:ascii="Times New Roman" w:hAnsi="Times New Roman" w:cs="Times New Roman"/>
                <w:b/>
                <w:bCs/>
                <w:color w:val="000000"/>
                <w:sz w:val="24"/>
              </w:rPr>
              <w:t>Vysvetlenie</w:t>
            </w:r>
          </w:p>
        </w:tc>
      </w:tr>
      <w:tr w:rsidR="00CE019E" w:rsidRPr="00A3389E" w14:paraId="0B461E80" w14:textId="77777777" w:rsidTr="001E06A3">
        <w:trPr>
          <w:trHeight w:val="259"/>
        </w:trPr>
        <w:tc>
          <w:tcPr>
            <w:tcW w:w="1030" w:type="dxa"/>
            <w:vAlign w:val="center"/>
          </w:tcPr>
          <w:p w14:paraId="28E2B289"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1</w:t>
            </w:r>
          </w:p>
        </w:tc>
        <w:tc>
          <w:tcPr>
            <w:tcW w:w="7661" w:type="dxa"/>
            <w:shd w:val="clear" w:color="auto" w:fill="auto"/>
            <w:noWrap/>
            <w:vAlign w:val="bottom"/>
          </w:tcPr>
          <w:p w14:paraId="1BE7F73B"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Emitent</w:t>
            </w:r>
          </w:p>
          <w:p w14:paraId="2D045486" w14:textId="36FD331B"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oficiálny názov emitenta.</w:t>
            </w:r>
          </w:p>
          <w:p w14:paraId="1A2B541A" w14:textId="7777777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48E68A1E" w14:textId="77777777" w:rsidTr="001E06A3">
        <w:trPr>
          <w:trHeight w:val="259"/>
        </w:trPr>
        <w:tc>
          <w:tcPr>
            <w:tcW w:w="1030" w:type="dxa"/>
            <w:vAlign w:val="center"/>
          </w:tcPr>
          <w:p w14:paraId="1C0CB8B1"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2</w:t>
            </w:r>
          </w:p>
        </w:tc>
        <w:tc>
          <w:tcPr>
            <w:tcW w:w="7661" w:type="dxa"/>
            <w:shd w:val="clear" w:color="auto" w:fill="auto"/>
            <w:noWrap/>
            <w:vAlign w:val="bottom"/>
          </w:tcPr>
          <w:p w14:paraId="2F162DE0"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Jedinečný identifikátor (napr. identifikátor CUSIP, ISIN alebo Bloomberg pre súkromné umiestňovanie).</w:t>
            </w:r>
          </w:p>
          <w:p w14:paraId="00EAC079"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Ľubovoľný text</w:t>
            </w:r>
          </w:p>
        </w:tc>
      </w:tr>
      <w:tr w:rsidR="00CE019E" w:rsidRPr="00A3389E" w14:paraId="355408A9" w14:textId="77777777" w:rsidTr="001E06A3">
        <w:trPr>
          <w:trHeight w:val="259"/>
        </w:trPr>
        <w:tc>
          <w:tcPr>
            <w:tcW w:w="1030" w:type="dxa"/>
            <w:vAlign w:val="center"/>
          </w:tcPr>
          <w:p w14:paraId="4F4D8886"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EU-2a</w:t>
            </w:r>
          </w:p>
        </w:tc>
        <w:tc>
          <w:tcPr>
            <w:tcW w:w="7661" w:type="dxa"/>
            <w:shd w:val="clear" w:color="auto" w:fill="auto"/>
            <w:noWrap/>
            <w:vAlign w:val="bottom"/>
          </w:tcPr>
          <w:p w14:paraId="6C7B69FF" w14:textId="2A9E69E0" w:rsidR="00CE019E" w:rsidRPr="00A3389E" w:rsidRDefault="001613AA" w:rsidP="001E06A3">
            <w:pPr>
              <w:autoSpaceDE w:val="0"/>
              <w:autoSpaceDN w:val="0"/>
              <w:adjustRightInd w:val="0"/>
              <w:spacing w:after="200"/>
              <w:jc w:val="both"/>
              <w:rPr>
                <w:rFonts w:ascii="Times New Roman" w:eastAsia="Times New Roman" w:hAnsi="Times New Roman" w:cs="Times New Roman"/>
                <w:sz w:val="24"/>
              </w:rPr>
            </w:pPr>
            <w:r w:rsidRPr="00A3389E">
              <w:rPr>
                <w:rFonts w:ascii="Times New Roman" w:hAnsi="Times New Roman" w:cs="Times New Roman"/>
                <w:sz w:val="24"/>
              </w:rPr>
              <w:t>Verejné alebo súkromné umiestňovanie</w:t>
            </w:r>
          </w:p>
          <w:p w14:paraId="559E5C5D" w14:textId="77777777" w:rsidR="00CE019E" w:rsidRPr="00A3389E" w:rsidRDefault="00CE019E" w:rsidP="001E06A3">
            <w:pPr>
              <w:autoSpaceDE w:val="0"/>
              <w:autoSpaceDN w:val="0"/>
              <w:adjustRightInd w:val="0"/>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bol nástroj umiestnený verejne alebo súkromne.</w:t>
            </w:r>
          </w:p>
          <w:p w14:paraId="374A3806" w14:textId="74E81C5D"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[Verejné] [Súkromné]</w:t>
            </w:r>
          </w:p>
        </w:tc>
      </w:tr>
      <w:tr w:rsidR="00CE019E" w:rsidRPr="00A3389E" w14:paraId="1C5C555B" w14:textId="77777777" w:rsidTr="001E06A3">
        <w:trPr>
          <w:trHeight w:val="259"/>
        </w:trPr>
        <w:tc>
          <w:tcPr>
            <w:tcW w:w="1030" w:type="dxa"/>
            <w:vAlign w:val="center"/>
          </w:tcPr>
          <w:p w14:paraId="73DD03FF"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w:t>
            </w:r>
          </w:p>
        </w:tc>
        <w:tc>
          <w:tcPr>
            <w:tcW w:w="7661" w:type="dxa"/>
            <w:shd w:val="clear" w:color="auto" w:fill="auto"/>
            <w:noWrap/>
            <w:vAlign w:val="bottom"/>
          </w:tcPr>
          <w:p w14:paraId="00EF4E38" w14:textId="77777777" w:rsidR="00CE019E" w:rsidRPr="00A3389E" w:rsidRDefault="00CE019E" w:rsidP="001E06A3">
            <w:pPr>
              <w:autoSpaceDE w:val="0"/>
              <w:autoSpaceDN w:val="0"/>
              <w:adjustRightInd w:val="0"/>
              <w:spacing w:after="200"/>
              <w:jc w:val="both"/>
              <w:rPr>
                <w:rFonts w:ascii="Times New Roman" w:eastAsia="Times New Roman" w:hAnsi="Times New Roman" w:cs="Times New Roman"/>
                <w:sz w:val="24"/>
              </w:rPr>
            </w:pPr>
            <w:r w:rsidRPr="00A3389E">
              <w:rPr>
                <w:rFonts w:ascii="Times New Roman" w:hAnsi="Times New Roman" w:cs="Times New Roman"/>
                <w:sz w:val="24"/>
              </w:rPr>
              <w:t>Rozhodné právo (práva) nástroja</w:t>
            </w:r>
          </w:p>
          <w:p w14:paraId="4EBEAAE8" w14:textId="77777777" w:rsidR="00A3389E" w:rsidRPr="00A3389E" w:rsidRDefault="00CE019E" w:rsidP="001E06A3">
            <w:pPr>
              <w:autoSpaceDE w:val="0"/>
              <w:autoSpaceDN w:val="0"/>
              <w:adjustRightInd w:val="0"/>
              <w:spacing w:after="200"/>
              <w:jc w:val="both"/>
              <w:rPr>
                <w:rFonts w:ascii="Times New Roman" w:hAnsi="Times New Roman" w:cs="Times New Roman"/>
                <w:sz w:val="24"/>
              </w:rPr>
            </w:pPr>
            <w:r w:rsidRPr="00A3389E">
              <w:rPr>
                <w:rFonts w:ascii="Times New Roman" w:hAnsi="Times New Roman" w:cs="Times New Roman"/>
                <w:sz w:val="24"/>
              </w:rPr>
              <w:t>Inštitúcie uvedú rozhodné právo (práva) daného nástroja</w:t>
            </w:r>
            <w:r w:rsidR="00A3389E" w:rsidRPr="00A3389E">
              <w:rPr>
                <w:rFonts w:ascii="Times New Roman" w:hAnsi="Times New Roman" w:cs="Times New Roman"/>
                <w:sz w:val="24"/>
              </w:rPr>
              <w:t>.</w:t>
            </w:r>
          </w:p>
          <w:p w14:paraId="2BF97723" w14:textId="772E8559"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 xml:space="preserve">Ľubovoľný text </w:t>
            </w:r>
          </w:p>
        </w:tc>
      </w:tr>
      <w:tr w:rsidR="00CE019E" w:rsidRPr="00A3389E" w14:paraId="6CF1B239" w14:textId="77777777" w:rsidTr="001E06A3">
        <w:trPr>
          <w:trHeight w:val="259"/>
        </w:trPr>
        <w:tc>
          <w:tcPr>
            <w:tcW w:w="1030" w:type="dxa"/>
            <w:vAlign w:val="center"/>
          </w:tcPr>
          <w:p w14:paraId="1D433D28"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lastRenderedPageBreak/>
              <w:t>3a</w:t>
            </w:r>
          </w:p>
        </w:tc>
        <w:tc>
          <w:tcPr>
            <w:tcW w:w="7661" w:type="dxa"/>
            <w:shd w:val="clear" w:color="auto" w:fill="auto"/>
            <w:noWrap/>
            <w:vAlign w:val="bottom"/>
          </w:tcPr>
          <w:p w14:paraId="378DEABE" w14:textId="48E41AB6" w:rsidR="00CE019E" w:rsidRPr="00A3389E" w:rsidRDefault="00CE019E" w:rsidP="001E06A3">
            <w:pPr>
              <w:autoSpaceDE w:val="0"/>
              <w:autoSpaceDN w:val="0"/>
              <w:adjustRightInd w:val="0"/>
              <w:spacing w:after="200"/>
              <w:jc w:val="both"/>
              <w:rPr>
                <w:rFonts w:ascii="Times New Roman" w:eastAsia="Times New Roman" w:hAnsi="Times New Roman" w:cs="Times New Roman"/>
                <w:sz w:val="24"/>
              </w:rPr>
            </w:pPr>
            <w:r w:rsidRPr="00A3389E">
              <w:rPr>
                <w:rFonts w:ascii="Times New Roman" w:hAnsi="Times New Roman" w:cs="Times New Roman"/>
                <w:sz w:val="24"/>
              </w:rPr>
              <w:t>Zmluvné uznanie právomocí orgánov pre riešenie krízových situácií týkajúcich sa zníženia účtovnej hodnoty</w:t>
            </w:r>
            <w:r w:rsidR="00A3389E">
              <w:rPr>
                <w:rFonts w:ascii="Times New Roman" w:hAnsi="Times New Roman" w:cs="Times New Roman"/>
                <w:sz w:val="24"/>
              </w:rPr>
              <w:t xml:space="preserve"> a </w:t>
            </w:r>
            <w:r w:rsidRPr="00A3389E">
              <w:rPr>
                <w:rFonts w:ascii="Times New Roman" w:hAnsi="Times New Roman" w:cs="Times New Roman"/>
                <w:sz w:val="24"/>
              </w:rPr>
              <w:t>vykonávania konverzie.</w:t>
            </w:r>
          </w:p>
          <w:p w14:paraId="5A73523D" w14:textId="09810B02" w:rsidR="00CE019E" w:rsidRPr="00B53505" w:rsidRDefault="00CE019E" w:rsidP="001E06A3">
            <w:pPr>
              <w:autoSpaceDE w:val="0"/>
              <w:autoSpaceDN w:val="0"/>
              <w:adjustRightInd w:val="0"/>
              <w:spacing w:after="200"/>
              <w:jc w:val="both"/>
              <w:rPr>
                <w:rFonts w:ascii="Times New Roman" w:eastAsia="Times New Roman" w:hAnsi="Times New Roman" w:cs="Times New Roman"/>
                <w:spacing w:val="-8"/>
                <w:sz w:val="24"/>
              </w:rPr>
            </w:pPr>
            <w:r w:rsidRPr="00B53505">
              <w:rPr>
                <w:rFonts w:ascii="Times New Roman" w:hAnsi="Times New Roman" w:cs="Times New Roman"/>
                <w:spacing w:val="-8"/>
                <w:sz w:val="24"/>
              </w:rPr>
              <w:t>Inštitúcie uvedú, či nástroj obsahuje doložku, podľa ktorej sa na základe rozhodnutia orgánu pre riešenie krízových situácií alebo relevantného orgánu tretej krajiny má účtovná hodnota istiny nástroja trvalo znížiť alebo sa nástroj má konvertovať na nástroj vlastného kapitálu Tier 1</w:t>
            </w:r>
            <w:r w:rsidR="00A3389E" w:rsidRPr="00B53505">
              <w:rPr>
                <w:rFonts w:ascii="Times New Roman" w:hAnsi="Times New Roman" w:cs="Times New Roman"/>
                <w:spacing w:val="-8"/>
                <w:sz w:val="24"/>
              </w:rPr>
              <w:t xml:space="preserve"> v </w:t>
            </w:r>
            <w:r w:rsidRPr="00B53505">
              <w:rPr>
                <w:rFonts w:ascii="Times New Roman" w:hAnsi="Times New Roman" w:cs="Times New Roman"/>
                <w:spacing w:val="-8"/>
                <w:sz w:val="24"/>
              </w:rPr>
              <w:t>zmysle, ak je to vhodné, týchto ustanovení:</w:t>
            </w:r>
          </w:p>
          <w:p w14:paraId="1526D87D" w14:textId="27E2FB08" w:rsidR="00CE019E" w:rsidRPr="00B53505" w:rsidRDefault="00CE019E" w:rsidP="001E06A3">
            <w:pPr>
              <w:autoSpaceDE w:val="0"/>
              <w:autoSpaceDN w:val="0"/>
              <w:adjustRightInd w:val="0"/>
              <w:spacing w:after="200"/>
              <w:jc w:val="both"/>
              <w:rPr>
                <w:rFonts w:ascii="Times New Roman" w:eastAsia="Times New Roman" w:hAnsi="Times New Roman" w:cs="Times New Roman"/>
                <w:spacing w:val="-8"/>
                <w:sz w:val="24"/>
              </w:rPr>
            </w:pPr>
            <w:r w:rsidRPr="00B53505">
              <w:rPr>
                <w:rFonts w:ascii="Times New Roman" w:hAnsi="Times New Roman" w:cs="Times New Roman"/>
                <w:spacing w:val="-8"/>
                <w:sz w:val="24"/>
              </w:rPr>
              <w:t>– vo vzťahu</w:t>
            </w:r>
            <w:r w:rsidR="00A3389E" w:rsidRPr="00B53505">
              <w:rPr>
                <w:rFonts w:ascii="Times New Roman" w:hAnsi="Times New Roman" w:cs="Times New Roman"/>
                <w:spacing w:val="-8"/>
                <w:sz w:val="24"/>
              </w:rPr>
              <w:t xml:space="preserve"> k </w:t>
            </w:r>
            <w:r w:rsidRPr="00B53505">
              <w:rPr>
                <w:rFonts w:ascii="Times New Roman" w:hAnsi="Times New Roman" w:cs="Times New Roman"/>
                <w:spacing w:val="-8"/>
                <w:sz w:val="24"/>
              </w:rPr>
              <w:t>nástrojom dodatočného kapitálu Tier 1, článok 52 ods. 1 písm. p) CRR,</w:t>
            </w:r>
          </w:p>
          <w:p w14:paraId="0E4BDD39" w14:textId="2933F4E2" w:rsidR="00CE019E" w:rsidRPr="00A3389E" w:rsidRDefault="00CE019E" w:rsidP="001E06A3">
            <w:pPr>
              <w:autoSpaceDE w:val="0"/>
              <w:autoSpaceDN w:val="0"/>
              <w:adjustRightInd w:val="0"/>
              <w:spacing w:after="200"/>
              <w:jc w:val="both"/>
              <w:rPr>
                <w:rFonts w:ascii="Times New Roman" w:eastAsia="Times New Roman" w:hAnsi="Times New Roman" w:cs="Times New Roman"/>
                <w:sz w:val="24"/>
              </w:rPr>
            </w:pPr>
            <w:r w:rsidRPr="00A3389E">
              <w:rPr>
                <w:rFonts w:ascii="Times New Roman" w:hAnsi="Times New Roman" w:cs="Times New Roman"/>
                <w:sz w:val="24"/>
              </w:rPr>
              <w:t>– vo vzťahu</w:t>
            </w:r>
            <w:r w:rsidR="00A3389E">
              <w:rPr>
                <w:rFonts w:ascii="Times New Roman" w:hAnsi="Times New Roman" w:cs="Times New Roman"/>
                <w:sz w:val="24"/>
              </w:rPr>
              <w:t xml:space="preserve"> k </w:t>
            </w:r>
            <w:r w:rsidRPr="00A3389E">
              <w:rPr>
                <w:rFonts w:ascii="Times New Roman" w:hAnsi="Times New Roman" w:cs="Times New Roman"/>
                <w:sz w:val="24"/>
              </w:rPr>
              <w:t>nástrojom Tier 2, článok 63 písm. n) alebo o) CRR,</w:t>
            </w:r>
          </w:p>
          <w:p w14:paraId="0F7294D3" w14:textId="2614D9D8" w:rsidR="00CE019E" w:rsidRPr="00A3389E" w:rsidRDefault="00CE019E" w:rsidP="001E06A3">
            <w:pPr>
              <w:autoSpaceDE w:val="0"/>
              <w:autoSpaceDN w:val="0"/>
              <w:adjustRightInd w:val="0"/>
              <w:spacing w:after="200"/>
              <w:jc w:val="both"/>
              <w:rPr>
                <w:rFonts w:ascii="Times New Roman" w:eastAsia="Times New Roman" w:hAnsi="Times New Roman" w:cs="Times New Roman"/>
                <w:sz w:val="24"/>
              </w:rPr>
            </w:pPr>
            <w:r w:rsidRPr="00A3389E">
              <w:rPr>
                <w:rFonts w:ascii="Times New Roman" w:hAnsi="Times New Roman" w:cs="Times New Roman"/>
                <w:sz w:val="24"/>
              </w:rPr>
              <w:t>– vo vzťahu</w:t>
            </w:r>
            <w:r w:rsidR="00A3389E">
              <w:rPr>
                <w:rFonts w:ascii="Times New Roman" w:hAnsi="Times New Roman" w:cs="Times New Roman"/>
                <w:sz w:val="24"/>
              </w:rPr>
              <w:t xml:space="preserve"> k </w:t>
            </w:r>
            <w:r w:rsidRPr="00A3389E">
              <w:rPr>
                <w:rFonts w:ascii="Times New Roman" w:hAnsi="Times New Roman" w:cs="Times New Roman"/>
                <w:sz w:val="24"/>
              </w:rPr>
              <w:t>oprávneným záväzkom, článok 72b ods. 2 písm. n) CRR,</w:t>
            </w:r>
          </w:p>
          <w:p w14:paraId="39C41036" w14:textId="7E626A73" w:rsidR="00CE019E" w:rsidRPr="00A3389E" w:rsidRDefault="00CE019E" w:rsidP="001E06A3">
            <w:pPr>
              <w:autoSpaceDE w:val="0"/>
              <w:autoSpaceDN w:val="0"/>
              <w:adjustRightInd w:val="0"/>
              <w:spacing w:after="200"/>
              <w:jc w:val="both"/>
              <w:rPr>
                <w:rFonts w:ascii="Times New Roman" w:eastAsia="Times New Roman" w:hAnsi="Times New Roman" w:cs="Times New Roman"/>
                <w:sz w:val="24"/>
              </w:rPr>
            </w:pPr>
            <w:r w:rsidRPr="00A3389E">
              <w:rPr>
                <w:rFonts w:ascii="Times New Roman" w:hAnsi="Times New Roman" w:cs="Times New Roman"/>
                <w:sz w:val="24"/>
              </w:rPr>
              <w:t>– vo vzťahu ku ktorejkoľvek</w:t>
            </w:r>
            <w:r w:rsidR="00A3389E">
              <w:rPr>
                <w:rFonts w:ascii="Times New Roman" w:hAnsi="Times New Roman" w:cs="Times New Roman"/>
                <w:sz w:val="24"/>
              </w:rPr>
              <w:t xml:space="preserve"> z </w:t>
            </w:r>
            <w:r w:rsidRPr="00A3389E">
              <w:rPr>
                <w:rFonts w:ascii="Times New Roman" w:hAnsi="Times New Roman" w:cs="Times New Roman"/>
                <w:sz w:val="24"/>
              </w:rPr>
              <w:t>uvedených položiek, ak sa riadi právom tretej krajiny, článok 55 smernice (EÚ) 2019/879</w:t>
            </w:r>
            <w:r w:rsidRPr="00A3389E">
              <w:rPr>
                <w:rStyle w:val="FootnoteReference"/>
                <w:rFonts w:ascii="Times New Roman" w:eastAsia="Times New Roman" w:hAnsi="Times New Roman" w:cs="Times New Roman"/>
                <w:sz w:val="24"/>
                <w:szCs w:val="24"/>
                <w:lang w:eastAsia="en-GB"/>
              </w:rPr>
              <w:footnoteReference w:id="16"/>
            </w:r>
            <w:r w:rsidRPr="00A3389E">
              <w:rPr>
                <w:rFonts w:ascii="Times New Roman" w:hAnsi="Times New Roman" w:cs="Times New Roman"/>
                <w:sz w:val="24"/>
              </w:rPr>
              <w:t xml:space="preserve"> („BRRD“).</w:t>
            </w:r>
          </w:p>
          <w:p w14:paraId="31AEABE1" w14:textId="4A2D916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Zníženie účtovnej hodnoty</w:t>
            </w:r>
            <w:r w:rsidR="00A3389E">
              <w:rPr>
                <w:rFonts w:ascii="Times New Roman" w:hAnsi="Times New Roman" w:cs="Times New Roman"/>
                <w:i/>
                <w:sz w:val="24"/>
              </w:rPr>
              <w:t xml:space="preserve"> a </w:t>
            </w:r>
            <w:r w:rsidRPr="00A3389E">
              <w:rPr>
                <w:rFonts w:ascii="Times New Roman" w:hAnsi="Times New Roman" w:cs="Times New Roman"/>
                <w:i/>
                <w:sz w:val="24"/>
              </w:rPr>
              <w:t>konverzia môžu byť súčasne</w:t>
            </w:r>
            <w:r w:rsidR="00A3389E">
              <w:rPr>
                <w:rFonts w:ascii="Times New Roman" w:hAnsi="Times New Roman" w:cs="Times New Roman"/>
                <w:i/>
                <w:sz w:val="24"/>
              </w:rPr>
              <w:t xml:space="preserve"> v </w:t>
            </w:r>
            <w:r w:rsidRPr="00A3389E">
              <w:rPr>
                <w:rFonts w:ascii="Times New Roman" w:hAnsi="Times New Roman" w:cs="Times New Roman"/>
                <w:i/>
                <w:sz w:val="24"/>
              </w:rPr>
              <w:t>súlade</w:t>
            </w:r>
            <w:r w:rsidR="00A3389E">
              <w:rPr>
                <w:rFonts w:ascii="Times New Roman" w:hAnsi="Times New Roman" w:cs="Times New Roman"/>
                <w:i/>
                <w:sz w:val="24"/>
              </w:rPr>
              <w:t xml:space="preserve"> s </w:t>
            </w:r>
            <w:r w:rsidRPr="00A3389E">
              <w:rPr>
                <w:rFonts w:ascii="Times New Roman" w:hAnsi="Times New Roman" w:cs="Times New Roman"/>
                <w:i/>
                <w:sz w:val="24"/>
              </w:rPr>
              <w:t>článkom 55 BRRD</w:t>
            </w:r>
            <w:r w:rsidR="00A3389E">
              <w:rPr>
                <w:rFonts w:ascii="Times New Roman" w:hAnsi="Times New Roman" w:cs="Times New Roman"/>
                <w:i/>
                <w:sz w:val="24"/>
              </w:rPr>
              <w:t xml:space="preserve"> a s </w:t>
            </w:r>
            <w:r w:rsidRPr="00A3389E">
              <w:rPr>
                <w:rFonts w:ascii="Times New Roman" w:hAnsi="Times New Roman" w:cs="Times New Roman"/>
                <w:i/>
                <w:sz w:val="24"/>
              </w:rPr>
              <w:t>ktoroukoľvek</w:t>
            </w:r>
            <w:r w:rsidR="00A3389E">
              <w:rPr>
                <w:rFonts w:ascii="Times New Roman" w:hAnsi="Times New Roman" w:cs="Times New Roman"/>
                <w:i/>
                <w:sz w:val="24"/>
              </w:rPr>
              <w:t xml:space="preserve"> z </w:t>
            </w:r>
            <w:r w:rsidRPr="00A3389E">
              <w:rPr>
                <w:rFonts w:ascii="Times New Roman" w:hAnsi="Times New Roman" w:cs="Times New Roman"/>
                <w:i/>
                <w:sz w:val="24"/>
              </w:rPr>
              <w:t>prvých troch zarážok.</w:t>
            </w:r>
          </w:p>
          <w:p w14:paraId="15049C6D" w14:textId="4ADDC111"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[ÁNO] [NIE]</w:t>
            </w:r>
          </w:p>
        </w:tc>
      </w:tr>
      <w:tr w:rsidR="00CE019E" w:rsidRPr="00A3389E" w14:paraId="00E754E3" w14:textId="77777777" w:rsidTr="001E06A3">
        <w:trPr>
          <w:trHeight w:val="259"/>
        </w:trPr>
        <w:tc>
          <w:tcPr>
            <w:tcW w:w="1030" w:type="dxa"/>
            <w:vAlign w:val="center"/>
          </w:tcPr>
          <w:p w14:paraId="0F4F307E"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4</w:t>
            </w:r>
          </w:p>
        </w:tc>
        <w:tc>
          <w:tcPr>
            <w:tcW w:w="7661" w:type="dxa"/>
            <w:shd w:val="clear" w:color="auto" w:fill="auto"/>
            <w:noWrap/>
            <w:vAlign w:val="bottom"/>
          </w:tcPr>
          <w:p w14:paraId="6C0407F2" w14:textId="77777777" w:rsidR="00CE019E" w:rsidRPr="00B53505" w:rsidRDefault="00CE019E" w:rsidP="001E06A3">
            <w:pPr>
              <w:spacing w:after="200"/>
              <w:jc w:val="both"/>
              <w:rPr>
                <w:rFonts w:ascii="Times New Roman" w:eastAsia="Times New Roman" w:hAnsi="Times New Roman" w:cs="Times New Roman"/>
                <w:spacing w:val="-4"/>
                <w:sz w:val="24"/>
              </w:rPr>
            </w:pPr>
            <w:r w:rsidRPr="00B53505">
              <w:rPr>
                <w:rFonts w:ascii="Times New Roman" w:hAnsi="Times New Roman" w:cs="Times New Roman"/>
                <w:spacing w:val="-4"/>
                <w:sz w:val="24"/>
              </w:rPr>
              <w:t>Súčasné zaobchádzanie pri zohľadnení prípadných prechodných pravidiel CRR.</w:t>
            </w:r>
          </w:p>
          <w:p w14:paraId="71B1B543" w14:textId="73A7A489"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prechodné zaobchádzanie</w:t>
            </w:r>
            <w:r w:rsidR="00A3389E">
              <w:rPr>
                <w:rFonts w:ascii="Times New Roman" w:hAnsi="Times New Roman" w:cs="Times New Roman"/>
                <w:sz w:val="24"/>
              </w:rPr>
              <w:t xml:space="preserve"> s </w:t>
            </w:r>
            <w:r w:rsidRPr="00A3389E">
              <w:rPr>
                <w:rFonts w:ascii="Times New Roman" w:hAnsi="Times New Roman" w:cs="Times New Roman"/>
                <w:sz w:val="24"/>
              </w:rPr>
              <w:t>regulatórnymi vlastnými zdrojmi obsiahnuté</w:t>
            </w:r>
            <w:r w:rsidR="00A3389E">
              <w:rPr>
                <w:rFonts w:ascii="Times New Roman" w:hAnsi="Times New Roman" w:cs="Times New Roman"/>
                <w:sz w:val="24"/>
              </w:rPr>
              <w:t xml:space="preserve"> v </w:t>
            </w:r>
            <w:r w:rsidRPr="00A3389E">
              <w:rPr>
                <w:rFonts w:ascii="Times New Roman" w:hAnsi="Times New Roman" w:cs="Times New Roman"/>
                <w:sz w:val="24"/>
              </w:rPr>
              <w:t>CRR. Referenčným bodom je pôvodná klasifikácia nástroja nezávisle od možnej reklasifikácie do nižších úrovní (Tier) vlastných zdrojov.</w:t>
            </w:r>
          </w:p>
          <w:p w14:paraId="4983D056" w14:textId="352CBB9A"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[vlastný kapitál Tier 1] [dodatočný kapitál Tier 1] [Tier 2] [neprípustné] [neuplatňuje sa]</w:t>
            </w:r>
          </w:p>
          <w:p w14:paraId="60DC5CF7"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Ľubovoľný text – uveďte, či časť emisie bola reklasifikovaná do nižších úrovní (Tier) kapitálu.</w:t>
            </w:r>
          </w:p>
        </w:tc>
      </w:tr>
      <w:tr w:rsidR="00CE019E" w:rsidRPr="00A3389E" w14:paraId="3D250963" w14:textId="77777777" w:rsidTr="001E06A3">
        <w:trPr>
          <w:trHeight w:val="259"/>
        </w:trPr>
        <w:tc>
          <w:tcPr>
            <w:tcW w:w="1030" w:type="dxa"/>
            <w:vAlign w:val="center"/>
          </w:tcPr>
          <w:p w14:paraId="45B0442F"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5</w:t>
            </w:r>
          </w:p>
        </w:tc>
        <w:tc>
          <w:tcPr>
            <w:tcW w:w="7661" w:type="dxa"/>
            <w:shd w:val="clear" w:color="auto" w:fill="auto"/>
            <w:noWrap/>
            <w:vAlign w:val="bottom"/>
          </w:tcPr>
          <w:p w14:paraId="16349000"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Pravidlá nariadenia CRR po prechodnom období</w:t>
            </w:r>
          </w:p>
          <w:p w14:paraId="79CDD984" w14:textId="44D68BE1"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Inštitúcie uvedú spôsob zaobchádzania</w:t>
            </w:r>
            <w:r w:rsidR="00A3389E">
              <w:rPr>
                <w:rFonts w:ascii="Times New Roman" w:hAnsi="Times New Roman" w:cs="Times New Roman"/>
                <w:sz w:val="24"/>
              </w:rPr>
              <w:t xml:space="preserve"> s </w:t>
            </w:r>
            <w:r w:rsidRPr="00A3389E">
              <w:rPr>
                <w:rFonts w:ascii="Times New Roman" w:hAnsi="Times New Roman" w:cs="Times New Roman"/>
                <w:sz w:val="24"/>
              </w:rPr>
              <w:t>regulatórnymi vlastnými zdrojmi podľa CRR bez zohľadnenia prechodného zaobchádzania</w:t>
            </w:r>
            <w:r w:rsidR="00A3389E" w:rsidRPr="00A3389E">
              <w:rPr>
                <w:rFonts w:ascii="Times New Roman" w:hAnsi="Times New Roman" w:cs="Times New Roman"/>
                <w:sz w:val="24"/>
              </w:rPr>
              <w:t>.</w:t>
            </w:r>
          </w:p>
          <w:p w14:paraId="0197F1D4" w14:textId="187132BC"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[vlastný kapitál Tier 1] [dodatočný kapitál Tier 1] [Tier 2] [oprávnené záväzky] [neprípustné]</w:t>
            </w:r>
          </w:p>
        </w:tc>
      </w:tr>
      <w:tr w:rsidR="00CE019E" w:rsidRPr="00A3389E" w14:paraId="0FB018D1" w14:textId="77777777" w:rsidTr="001E06A3">
        <w:trPr>
          <w:trHeight w:val="259"/>
        </w:trPr>
        <w:tc>
          <w:tcPr>
            <w:tcW w:w="1030" w:type="dxa"/>
            <w:vAlign w:val="center"/>
          </w:tcPr>
          <w:p w14:paraId="50E5FDB9"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6</w:t>
            </w:r>
          </w:p>
        </w:tc>
        <w:tc>
          <w:tcPr>
            <w:tcW w:w="7661" w:type="dxa"/>
            <w:shd w:val="clear" w:color="auto" w:fill="auto"/>
            <w:noWrap/>
            <w:vAlign w:val="bottom"/>
          </w:tcPr>
          <w:p w14:paraId="22437096" w14:textId="3A7F7733"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Oprávnené na individuálnom/(sub-)konsolidovanom základe / individuálnom</w:t>
            </w:r>
            <w:r w:rsidR="00A3389E">
              <w:rPr>
                <w:rFonts w:ascii="Times New Roman" w:hAnsi="Times New Roman" w:cs="Times New Roman"/>
                <w:sz w:val="24"/>
              </w:rPr>
              <w:t xml:space="preserve"> a </w:t>
            </w:r>
            <w:r w:rsidRPr="00A3389E">
              <w:rPr>
                <w:rFonts w:ascii="Times New Roman" w:hAnsi="Times New Roman" w:cs="Times New Roman"/>
                <w:sz w:val="24"/>
              </w:rPr>
              <w:t>(sub-)konsolidovanom základe.</w:t>
            </w:r>
          </w:p>
          <w:p w14:paraId="1042DDD2" w14:textId="54762C38"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lastRenderedPageBreak/>
              <w:t>Inštitúcie uvedú úroveň (úrovne)</w:t>
            </w:r>
            <w:r w:rsidR="00A3389E">
              <w:rPr>
                <w:rFonts w:ascii="Times New Roman" w:hAnsi="Times New Roman" w:cs="Times New Roman"/>
                <w:sz w:val="24"/>
              </w:rPr>
              <w:t xml:space="preserve"> v </w:t>
            </w:r>
            <w:r w:rsidRPr="00A3389E">
              <w:rPr>
                <w:rFonts w:ascii="Times New Roman" w:hAnsi="Times New Roman" w:cs="Times New Roman"/>
                <w:sz w:val="24"/>
              </w:rPr>
              <w:t>rámci skupiny,</w:t>
            </w:r>
            <w:r w:rsidR="00A3389E">
              <w:rPr>
                <w:rFonts w:ascii="Times New Roman" w:hAnsi="Times New Roman" w:cs="Times New Roman"/>
                <w:sz w:val="24"/>
              </w:rPr>
              <w:t xml:space="preserve"> v </w:t>
            </w:r>
            <w:r w:rsidRPr="00A3389E">
              <w:rPr>
                <w:rFonts w:ascii="Times New Roman" w:hAnsi="Times New Roman" w:cs="Times New Roman"/>
                <w:sz w:val="24"/>
              </w:rPr>
              <w:t>ktorej (ktorých) je nástroj zahrnutý do vlastných zdrojov/oprávnených záväzkov.</w:t>
            </w:r>
          </w:p>
          <w:p w14:paraId="70448506" w14:textId="4A7B877F"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[Individuálna] [(sub-)konsolidovaná] [individuálna</w:t>
            </w:r>
            <w:r w:rsidR="00A3389E">
              <w:rPr>
                <w:rFonts w:ascii="Times New Roman" w:hAnsi="Times New Roman" w:cs="Times New Roman"/>
                <w:i/>
                <w:sz w:val="24"/>
              </w:rPr>
              <w:t xml:space="preserve"> a </w:t>
            </w:r>
            <w:r w:rsidRPr="00A3389E">
              <w:rPr>
                <w:rFonts w:ascii="Times New Roman" w:hAnsi="Times New Roman" w:cs="Times New Roman"/>
                <w:i/>
                <w:sz w:val="24"/>
              </w:rPr>
              <w:t>(sub-)konsolidovaná]</w:t>
            </w:r>
          </w:p>
        </w:tc>
      </w:tr>
      <w:tr w:rsidR="00CE019E" w:rsidRPr="00A3389E" w14:paraId="64DEB51C" w14:textId="77777777" w:rsidTr="001E06A3">
        <w:trPr>
          <w:trHeight w:val="259"/>
        </w:trPr>
        <w:tc>
          <w:tcPr>
            <w:tcW w:w="1030" w:type="dxa"/>
            <w:vAlign w:val="center"/>
          </w:tcPr>
          <w:p w14:paraId="71B4B11C"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lastRenderedPageBreak/>
              <w:t>7</w:t>
            </w:r>
          </w:p>
        </w:tc>
        <w:tc>
          <w:tcPr>
            <w:tcW w:w="7661" w:type="dxa"/>
            <w:shd w:val="clear" w:color="auto" w:fill="auto"/>
            <w:noWrap/>
            <w:vAlign w:val="bottom"/>
          </w:tcPr>
          <w:p w14:paraId="3BFB7F4D"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Druh nástroja (druhy upresnia jednotlivé jurisdikcie)</w:t>
            </w:r>
          </w:p>
          <w:p w14:paraId="57491039" w14:textId="7DFE9AD4"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Inštitúcie uvedú druh nástroja</w:t>
            </w:r>
            <w:r w:rsidR="00A3389E">
              <w:rPr>
                <w:rFonts w:ascii="Times New Roman" w:hAnsi="Times New Roman" w:cs="Times New Roman"/>
                <w:sz w:val="24"/>
              </w:rPr>
              <w:t xml:space="preserve"> v </w:t>
            </w:r>
            <w:r w:rsidRPr="00A3389E">
              <w:rPr>
                <w:rFonts w:ascii="Times New Roman" w:hAnsi="Times New Roman" w:cs="Times New Roman"/>
                <w:sz w:val="24"/>
              </w:rPr>
              <w:t>závislosti od jurisdikcie</w:t>
            </w:r>
            <w:r w:rsidR="00A3389E" w:rsidRPr="00A3389E">
              <w:rPr>
                <w:rFonts w:ascii="Times New Roman" w:hAnsi="Times New Roman" w:cs="Times New Roman"/>
                <w:sz w:val="24"/>
              </w:rPr>
              <w:t>.</w:t>
            </w:r>
          </w:p>
          <w:p w14:paraId="15B4C51A" w14:textId="66FF55D1"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 prípade nástrojov CET1 vyberte názov nástroja</w:t>
            </w:r>
            <w:r w:rsidR="00A3389E">
              <w:rPr>
                <w:rFonts w:ascii="Times New Roman" w:hAnsi="Times New Roman" w:cs="Times New Roman"/>
                <w:i/>
                <w:sz w:val="24"/>
              </w:rPr>
              <w:t xml:space="preserve"> v </w:t>
            </w:r>
            <w:r w:rsidRPr="00A3389E">
              <w:rPr>
                <w:rFonts w:ascii="Times New Roman" w:hAnsi="Times New Roman" w:cs="Times New Roman"/>
                <w:i/>
                <w:sz w:val="24"/>
              </w:rPr>
              <w:t>zozname CET1, ktorý uverejnil orgán EBA podľa článku 26 ods. 3 CRR.</w:t>
            </w:r>
          </w:p>
          <w:p w14:paraId="52FA3C0E" w14:textId="57B7FFFF"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 prípade iných nástrojov vyberte spomedzi: možností ponuky, ktoré sa poskytnú inštitúciám</w:t>
            </w:r>
            <w:r w:rsidR="00A3389E">
              <w:rPr>
                <w:rFonts w:ascii="Times New Roman" w:hAnsi="Times New Roman" w:cs="Times New Roman"/>
                <w:i/>
                <w:sz w:val="24"/>
              </w:rPr>
              <w:t xml:space="preserve"> v </w:t>
            </w:r>
            <w:r w:rsidRPr="00A3389E">
              <w:rPr>
                <w:rFonts w:ascii="Times New Roman" w:hAnsi="Times New Roman" w:cs="Times New Roman"/>
                <w:i/>
                <w:sz w:val="24"/>
              </w:rPr>
              <w:t>rámci danej jurisdikcie – vložiť právne odkazy na články CRR pre každý druh nástroja.</w:t>
            </w:r>
          </w:p>
        </w:tc>
      </w:tr>
      <w:tr w:rsidR="00CE019E" w:rsidRPr="00A3389E" w14:paraId="398A85AC" w14:textId="77777777" w:rsidTr="001E06A3">
        <w:trPr>
          <w:trHeight w:val="259"/>
        </w:trPr>
        <w:tc>
          <w:tcPr>
            <w:tcW w:w="1030" w:type="dxa"/>
            <w:vAlign w:val="center"/>
          </w:tcPr>
          <w:p w14:paraId="4ED6CCB6"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8</w:t>
            </w:r>
          </w:p>
        </w:tc>
        <w:tc>
          <w:tcPr>
            <w:tcW w:w="7661" w:type="dxa"/>
            <w:shd w:val="clear" w:color="auto" w:fill="auto"/>
            <w:noWrap/>
            <w:vAlign w:val="bottom"/>
          </w:tcPr>
          <w:p w14:paraId="21783E48" w14:textId="4B84B732"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Hodnota vykázaná</w:t>
            </w:r>
            <w:r w:rsidR="00A3389E">
              <w:rPr>
                <w:rFonts w:ascii="Times New Roman" w:hAnsi="Times New Roman" w:cs="Times New Roman"/>
                <w:sz w:val="24"/>
              </w:rPr>
              <w:t xml:space="preserve"> v </w:t>
            </w:r>
            <w:r w:rsidRPr="00A3389E">
              <w:rPr>
                <w:rFonts w:ascii="Times New Roman" w:hAnsi="Times New Roman" w:cs="Times New Roman"/>
                <w:sz w:val="24"/>
              </w:rPr>
              <w:t>regulatórnom kapitále alebo oprávnených záväzkoch (mena</w:t>
            </w:r>
            <w:r w:rsidR="00A3389E">
              <w:rPr>
                <w:rFonts w:ascii="Times New Roman" w:hAnsi="Times New Roman" w:cs="Times New Roman"/>
                <w:sz w:val="24"/>
              </w:rPr>
              <w:t xml:space="preserve"> v </w:t>
            </w:r>
            <w:r w:rsidRPr="00A3389E">
              <w:rPr>
                <w:rFonts w:ascii="Times New Roman" w:hAnsi="Times New Roman" w:cs="Times New Roman"/>
                <w:sz w:val="24"/>
              </w:rPr>
              <w:t>miliónoch,</w:t>
            </w:r>
            <w:r w:rsidR="00A3389E">
              <w:rPr>
                <w:rFonts w:ascii="Times New Roman" w:hAnsi="Times New Roman" w:cs="Times New Roman"/>
                <w:sz w:val="24"/>
              </w:rPr>
              <w:t xml:space="preserve"> k </w:t>
            </w:r>
            <w:r w:rsidRPr="00A3389E">
              <w:rPr>
                <w:rFonts w:ascii="Times New Roman" w:hAnsi="Times New Roman" w:cs="Times New Roman"/>
                <w:sz w:val="24"/>
              </w:rPr>
              <w:t>poslednému dátumu vykazovania).</w:t>
            </w:r>
          </w:p>
          <w:p w14:paraId="1CFA13AB" w14:textId="46035CB5"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hodnotu vykázanú</w:t>
            </w:r>
            <w:r w:rsidR="00A3389E">
              <w:rPr>
                <w:rFonts w:ascii="Times New Roman" w:hAnsi="Times New Roman" w:cs="Times New Roman"/>
                <w:sz w:val="24"/>
              </w:rPr>
              <w:t xml:space="preserve"> v </w:t>
            </w:r>
            <w:r w:rsidRPr="00A3389E">
              <w:rPr>
                <w:rFonts w:ascii="Times New Roman" w:hAnsi="Times New Roman" w:cs="Times New Roman"/>
                <w:sz w:val="24"/>
              </w:rPr>
              <w:t>regulatórnych vlastných zdrojoch alebo oprávnených záväzkoch.</w:t>
            </w:r>
          </w:p>
          <w:p w14:paraId="40D153D9" w14:textId="1A58E78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 – uveďte najmä to, či niektoré časti nástrojov sú</w:t>
            </w:r>
            <w:r w:rsidR="00A3389E">
              <w:rPr>
                <w:rFonts w:ascii="Times New Roman" w:hAnsi="Times New Roman" w:cs="Times New Roman"/>
                <w:i/>
                <w:sz w:val="24"/>
              </w:rPr>
              <w:t xml:space="preserve"> v </w:t>
            </w:r>
            <w:r w:rsidRPr="00A3389E">
              <w:rPr>
                <w:rFonts w:ascii="Times New Roman" w:hAnsi="Times New Roman" w:cs="Times New Roman"/>
                <w:i/>
                <w:sz w:val="24"/>
              </w:rPr>
              <w:t>rôznych úrovniach (Tier) regulatórnych vlastných zdrojov</w:t>
            </w:r>
            <w:r w:rsidR="00A3389E">
              <w:rPr>
                <w:rFonts w:ascii="Times New Roman" w:hAnsi="Times New Roman" w:cs="Times New Roman"/>
                <w:i/>
                <w:sz w:val="24"/>
              </w:rPr>
              <w:t xml:space="preserve"> a </w:t>
            </w:r>
            <w:r w:rsidRPr="00A3389E">
              <w:rPr>
                <w:rFonts w:ascii="Times New Roman" w:hAnsi="Times New Roman" w:cs="Times New Roman"/>
                <w:i/>
                <w:sz w:val="24"/>
              </w:rPr>
              <w:t>či sa vykázaná hodnota regulatórnych vlastných zdrojov líši od emitovanej hodnoty.</w:t>
            </w:r>
          </w:p>
        </w:tc>
      </w:tr>
      <w:tr w:rsidR="00CE019E" w:rsidRPr="00A3389E" w14:paraId="63AC0550" w14:textId="77777777" w:rsidTr="001E06A3">
        <w:trPr>
          <w:trHeight w:val="259"/>
        </w:trPr>
        <w:tc>
          <w:tcPr>
            <w:tcW w:w="1030" w:type="dxa"/>
            <w:vAlign w:val="center"/>
          </w:tcPr>
          <w:p w14:paraId="1236E929"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9</w:t>
            </w:r>
          </w:p>
        </w:tc>
        <w:tc>
          <w:tcPr>
            <w:tcW w:w="7661" w:type="dxa"/>
            <w:shd w:val="clear" w:color="auto" w:fill="auto"/>
            <w:noWrap/>
            <w:vAlign w:val="bottom"/>
          </w:tcPr>
          <w:p w14:paraId="29352877"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Nominálna hodnota nástroja</w:t>
            </w:r>
          </w:p>
          <w:p w14:paraId="6B1437F5" w14:textId="04566790"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Nominálna hodnota nástroja</w:t>
            </w:r>
            <w:r w:rsidR="00A3389E">
              <w:rPr>
                <w:rFonts w:ascii="Times New Roman" w:hAnsi="Times New Roman" w:cs="Times New Roman"/>
                <w:sz w:val="24"/>
              </w:rPr>
              <w:t xml:space="preserve"> v </w:t>
            </w:r>
            <w:r w:rsidRPr="00A3389E">
              <w:rPr>
                <w:rFonts w:ascii="Times New Roman" w:hAnsi="Times New Roman" w:cs="Times New Roman"/>
                <w:sz w:val="24"/>
              </w:rPr>
              <w:t>mene emisie</w:t>
            </w:r>
            <w:r w:rsidR="00A3389E">
              <w:rPr>
                <w:rFonts w:ascii="Times New Roman" w:hAnsi="Times New Roman" w:cs="Times New Roman"/>
                <w:sz w:val="24"/>
              </w:rPr>
              <w:t xml:space="preserve"> a </w:t>
            </w:r>
            <w:r w:rsidRPr="00A3389E">
              <w:rPr>
                <w:rFonts w:ascii="Times New Roman" w:hAnsi="Times New Roman" w:cs="Times New Roman"/>
                <w:sz w:val="24"/>
              </w:rPr>
              <w:t>mene použitej</w:t>
            </w:r>
            <w:r w:rsidR="00A3389E">
              <w:rPr>
                <w:rFonts w:ascii="Times New Roman" w:hAnsi="Times New Roman" w:cs="Times New Roman"/>
                <w:sz w:val="24"/>
              </w:rPr>
              <w:t xml:space="preserve"> v </w:t>
            </w:r>
            <w:r w:rsidRPr="00A3389E">
              <w:rPr>
                <w:rFonts w:ascii="Times New Roman" w:hAnsi="Times New Roman" w:cs="Times New Roman"/>
                <w:sz w:val="24"/>
              </w:rPr>
              <w:t>rámci povinností týkajúcich sa vykazovania.</w:t>
            </w:r>
          </w:p>
          <w:p w14:paraId="01B3A420" w14:textId="7777777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0260D38B" w14:textId="77777777" w:rsidTr="001E06A3">
        <w:trPr>
          <w:trHeight w:val="259"/>
        </w:trPr>
        <w:tc>
          <w:tcPr>
            <w:tcW w:w="1030" w:type="dxa"/>
            <w:vAlign w:val="center"/>
          </w:tcPr>
          <w:p w14:paraId="5954B5EA"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EU-9a</w:t>
            </w:r>
          </w:p>
        </w:tc>
        <w:tc>
          <w:tcPr>
            <w:tcW w:w="7661" w:type="dxa"/>
            <w:shd w:val="clear" w:color="auto" w:fill="auto"/>
            <w:noWrap/>
            <w:vAlign w:val="bottom"/>
          </w:tcPr>
          <w:p w14:paraId="21D3B969"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Emisná cena</w:t>
            </w:r>
          </w:p>
          <w:p w14:paraId="527CBE18"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Emisná cena nástroja</w:t>
            </w:r>
          </w:p>
          <w:p w14:paraId="16958D77" w14:textId="7777777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4AB965BD" w14:textId="77777777" w:rsidTr="001E06A3">
        <w:trPr>
          <w:trHeight w:val="259"/>
        </w:trPr>
        <w:tc>
          <w:tcPr>
            <w:tcW w:w="1030" w:type="dxa"/>
            <w:vAlign w:val="center"/>
          </w:tcPr>
          <w:p w14:paraId="57A02FA5"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EU-9b</w:t>
            </w:r>
          </w:p>
        </w:tc>
        <w:tc>
          <w:tcPr>
            <w:tcW w:w="7661" w:type="dxa"/>
            <w:shd w:val="clear" w:color="auto" w:fill="auto"/>
            <w:noWrap/>
            <w:vAlign w:val="bottom"/>
          </w:tcPr>
          <w:p w14:paraId="3750B6F8"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Cena pri splatení</w:t>
            </w:r>
          </w:p>
          <w:p w14:paraId="2E881366"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Cena pri splatení nástroja</w:t>
            </w:r>
          </w:p>
          <w:p w14:paraId="355CF896" w14:textId="7777777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0A32ABEF" w14:textId="77777777" w:rsidTr="001E06A3">
        <w:trPr>
          <w:trHeight w:val="259"/>
        </w:trPr>
        <w:tc>
          <w:tcPr>
            <w:tcW w:w="1030" w:type="dxa"/>
            <w:vAlign w:val="center"/>
          </w:tcPr>
          <w:p w14:paraId="4580D5EE"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10</w:t>
            </w:r>
          </w:p>
        </w:tc>
        <w:tc>
          <w:tcPr>
            <w:tcW w:w="7661" w:type="dxa"/>
            <w:shd w:val="clear" w:color="auto" w:fill="auto"/>
            <w:noWrap/>
            <w:vAlign w:val="bottom"/>
          </w:tcPr>
          <w:p w14:paraId="7A9BF63B"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Účtovná klasifikácia</w:t>
            </w:r>
          </w:p>
          <w:p w14:paraId="4C422F6B" w14:textId="50A90769"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stanovia účtovnú klasifikáciu.</w:t>
            </w:r>
          </w:p>
          <w:p w14:paraId="2221EA9F" w14:textId="7EED16E1"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[Vlastný kapitál akcionárov] [Záväzok – amortizovaná cena] [Záväzok – možnosť reálnej hodnoty] [Nekontrolný podiel</w:t>
            </w:r>
            <w:r w:rsidR="00A3389E">
              <w:rPr>
                <w:rFonts w:ascii="Times New Roman" w:hAnsi="Times New Roman" w:cs="Times New Roman"/>
                <w:i/>
                <w:sz w:val="24"/>
              </w:rPr>
              <w:t xml:space="preserve"> v </w:t>
            </w:r>
            <w:r w:rsidRPr="00A3389E">
              <w:rPr>
                <w:rFonts w:ascii="Times New Roman" w:hAnsi="Times New Roman" w:cs="Times New Roman"/>
                <w:i/>
                <w:sz w:val="24"/>
              </w:rPr>
              <w:t>konsolidovanej dcérskej spoločnosti]</w:t>
            </w:r>
          </w:p>
        </w:tc>
      </w:tr>
      <w:tr w:rsidR="00CE019E" w:rsidRPr="00A3389E" w14:paraId="2056D050" w14:textId="77777777" w:rsidTr="001E06A3">
        <w:trPr>
          <w:trHeight w:val="259"/>
        </w:trPr>
        <w:tc>
          <w:tcPr>
            <w:tcW w:w="1030" w:type="dxa"/>
            <w:vAlign w:val="center"/>
          </w:tcPr>
          <w:p w14:paraId="54FA9EF4"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lastRenderedPageBreak/>
              <w:t>11</w:t>
            </w:r>
          </w:p>
        </w:tc>
        <w:tc>
          <w:tcPr>
            <w:tcW w:w="7661" w:type="dxa"/>
            <w:shd w:val="clear" w:color="auto" w:fill="auto"/>
            <w:noWrap/>
            <w:vAlign w:val="bottom"/>
          </w:tcPr>
          <w:p w14:paraId="2DB0DA26"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Pôvodný dátum emisie</w:t>
            </w:r>
          </w:p>
          <w:p w14:paraId="74AD9FAB"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stanovia dátum emisie.</w:t>
            </w:r>
          </w:p>
          <w:p w14:paraId="43D36858"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Ľubovoľný text</w:t>
            </w:r>
          </w:p>
        </w:tc>
      </w:tr>
      <w:tr w:rsidR="00CE019E" w:rsidRPr="00A3389E" w14:paraId="1184FB84" w14:textId="77777777" w:rsidTr="001E06A3">
        <w:trPr>
          <w:trHeight w:val="259"/>
        </w:trPr>
        <w:tc>
          <w:tcPr>
            <w:tcW w:w="1030" w:type="dxa"/>
            <w:vAlign w:val="center"/>
          </w:tcPr>
          <w:p w14:paraId="3D824675"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12</w:t>
            </w:r>
          </w:p>
        </w:tc>
        <w:tc>
          <w:tcPr>
            <w:tcW w:w="7661" w:type="dxa"/>
            <w:shd w:val="clear" w:color="auto" w:fill="auto"/>
            <w:noWrap/>
            <w:vAlign w:val="bottom"/>
          </w:tcPr>
          <w:p w14:paraId="6F8E3798"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Trvalý alebo termínovaný</w:t>
            </w:r>
          </w:p>
          <w:p w14:paraId="2B6FC897" w14:textId="775E1666"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je nástroj termínovaný alebo trvalý.</w:t>
            </w:r>
          </w:p>
          <w:p w14:paraId="7A6F0E50" w14:textId="05645420"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[Trvalý] [Termínovaný]</w:t>
            </w:r>
          </w:p>
        </w:tc>
      </w:tr>
      <w:tr w:rsidR="00CE019E" w:rsidRPr="00A3389E" w14:paraId="1290704E" w14:textId="77777777" w:rsidTr="001E06A3">
        <w:trPr>
          <w:trHeight w:val="259"/>
        </w:trPr>
        <w:tc>
          <w:tcPr>
            <w:tcW w:w="1030" w:type="dxa"/>
            <w:vAlign w:val="center"/>
          </w:tcPr>
          <w:p w14:paraId="35B1B286"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13</w:t>
            </w:r>
          </w:p>
        </w:tc>
        <w:tc>
          <w:tcPr>
            <w:tcW w:w="7661" w:type="dxa"/>
            <w:shd w:val="clear" w:color="auto" w:fill="auto"/>
            <w:noWrap/>
            <w:vAlign w:val="bottom"/>
          </w:tcPr>
          <w:p w14:paraId="7D1A81AA"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Pôvodný dátum splatnosti</w:t>
            </w:r>
          </w:p>
          <w:p w14:paraId="0BA9E578" w14:textId="179AA61A"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 prípade termínovaného nástroja inštitúcie uvedú pôvodný dátum splatnosti (deň, mesiac</w:t>
            </w:r>
            <w:r w:rsidR="00A3389E">
              <w:rPr>
                <w:rFonts w:ascii="Times New Roman" w:hAnsi="Times New Roman" w:cs="Times New Roman"/>
                <w:sz w:val="24"/>
              </w:rPr>
              <w:t xml:space="preserve"> a </w:t>
            </w:r>
            <w:r w:rsidRPr="00A3389E">
              <w:rPr>
                <w:rFonts w:ascii="Times New Roman" w:hAnsi="Times New Roman" w:cs="Times New Roman"/>
                <w:sz w:val="24"/>
              </w:rPr>
              <w:t>rok).</w:t>
            </w:r>
            <w:r w:rsidR="00A3389E">
              <w:rPr>
                <w:rFonts w:ascii="Times New Roman" w:hAnsi="Times New Roman" w:cs="Times New Roman"/>
                <w:sz w:val="24"/>
              </w:rPr>
              <w:t xml:space="preserve"> V </w:t>
            </w:r>
            <w:r w:rsidRPr="00A3389E">
              <w:rPr>
                <w:rFonts w:ascii="Times New Roman" w:hAnsi="Times New Roman" w:cs="Times New Roman"/>
                <w:sz w:val="24"/>
              </w:rPr>
              <w:t>prípade trvalých nástrojov sa uvedie „bez splatnosti“</w:t>
            </w:r>
            <w:r w:rsidR="00A3389E" w:rsidRPr="00A3389E">
              <w:rPr>
                <w:rFonts w:ascii="Times New Roman" w:hAnsi="Times New Roman" w:cs="Times New Roman"/>
                <w:sz w:val="24"/>
              </w:rPr>
              <w:t>.</w:t>
            </w:r>
          </w:p>
          <w:p w14:paraId="34A755B9" w14:textId="29004D80"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Ľubovoľný text</w:t>
            </w:r>
          </w:p>
        </w:tc>
      </w:tr>
      <w:tr w:rsidR="00CE019E" w:rsidRPr="00A3389E" w14:paraId="6A7F22CA" w14:textId="77777777" w:rsidTr="001E06A3">
        <w:trPr>
          <w:trHeight w:val="259"/>
        </w:trPr>
        <w:tc>
          <w:tcPr>
            <w:tcW w:w="1030" w:type="dxa"/>
            <w:vAlign w:val="center"/>
          </w:tcPr>
          <w:p w14:paraId="4A31087F"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14</w:t>
            </w:r>
          </w:p>
        </w:tc>
        <w:tc>
          <w:tcPr>
            <w:tcW w:w="7661" w:type="dxa"/>
            <w:shd w:val="clear" w:color="auto" w:fill="auto"/>
            <w:noWrap/>
            <w:vAlign w:val="bottom"/>
          </w:tcPr>
          <w:p w14:paraId="75E3F5DA" w14:textId="09CE449B"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Kúpna opcia emitenta</w:t>
            </w:r>
            <w:r w:rsidR="00A3389E">
              <w:rPr>
                <w:rFonts w:ascii="Times New Roman" w:hAnsi="Times New Roman" w:cs="Times New Roman"/>
                <w:sz w:val="24"/>
              </w:rPr>
              <w:t xml:space="preserve"> s </w:t>
            </w:r>
            <w:r w:rsidRPr="00A3389E">
              <w:rPr>
                <w:rFonts w:ascii="Times New Roman" w:hAnsi="Times New Roman" w:cs="Times New Roman"/>
                <w:sz w:val="24"/>
              </w:rPr>
              <w:t>výhradou predchádzajúceho schválenia orgánom dohľadu</w:t>
            </w:r>
            <w:r w:rsidR="00A3389E" w:rsidRPr="00A3389E">
              <w:rPr>
                <w:rFonts w:ascii="Times New Roman" w:hAnsi="Times New Roman" w:cs="Times New Roman"/>
                <w:sz w:val="24"/>
              </w:rPr>
              <w:t>.</w:t>
            </w:r>
          </w:p>
          <w:p w14:paraId="1EA535B3" w14:textId="0FD4E864"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existuje kúpna opcia emitenta (všetky typy kúpnych opcií).</w:t>
            </w:r>
          </w:p>
          <w:p w14:paraId="4309D00C" w14:textId="05BECF36"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[Áno] [Nie]</w:t>
            </w:r>
          </w:p>
        </w:tc>
      </w:tr>
      <w:tr w:rsidR="00CE019E" w:rsidRPr="00A3389E" w14:paraId="6B22E573" w14:textId="77777777" w:rsidTr="001E06A3">
        <w:trPr>
          <w:trHeight w:val="259"/>
        </w:trPr>
        <w:tc>
          <w:tcPr>
            <w:tcW w:w="1030" w:type="dxa"/>
            <w:vAlign w:val="center"/>
          </w:tcPr>
          <w:p w14:paraId="2A6695B2"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15</w:t>
            </w:r>
          </w:p>
        </w:tc>
        <w:tc>
          <w:tcPr>
            <w:tcW w:w="7661" w:type="dxa"/>
            <w:shd w:val="clear" w:color="auto" w:fill="auto"/>
            <w:noWrap/>
            <w:vAlign w:val="bottom"/>
          </w:tcPr>
          <w:p w14:paraId="3C89A03C" w14:textId="76C768A3"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Voliteľný dátum uplatnenia kúpnej opcie, podmienené dátumy kúpnej opcie</w:t>
            </w:r>
            <w:r w:rsidR="00A3389E">
              <w:rPr>
                <w:rFonts w:ascii="Times New Roman" w:hAnsi="Times New Roman" w:cs="Times New Roman"/>
                <w:sz w:val="24"/>
              </w:rPr>
              <w:t xml:space="preserve"> a </w:t>
            </w:r>
            <w:r w:rsidRPr="00A3389E">
              <w:rPr>
                <w:rFonts w:ascii="Times New Roman" w:hAnsi="Times New Roman" w:cs="Times New Roman"/>
                <w:sz w:val="24"/>
              </w:rPr>
              <w:t>hodnota pri splatení.</w:t>
            </w:r>
          </w:p>
          <w:p w14:paraId="06D4FE15" w14:textId="48EB8626"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V prípade nástroja</w:t>
            </w:r>
            <w:r w:rsidR="00A3389E">
              <w:rPr>
                <w:rFonts w:ascii="Times New Roman" w:hAnsi="Times New Roman" w:cs="Times New Roman"/>
                <w:sz w:val="24"/>
              </w:rPr>
              <w:t xml:space="preserve"> s </w:t>
            </w:r>
            <w:r w:rsidRPr="00A3389E">
              <w:rPr>
                <w:rFonts w:ascii="Times New Roman" w:hAnsi="Times New Roman" w:cs="Times New Roman"/>
                <w:sz w:val="24"/>
              </w:rPr>
              <w:t>kúpnou opciou emitenta inštitúcie uvedú prvý dátum kúpnej opcie, ak nástroj má kúpnu opciu</w:t>
            </w:r>
            <w:r w:rsidR="00A3389E">
              <w:rPr>
                <w:rFonts w:ascii="Times New Roman" w:hAnsi="Times New Roman" w:cs="Times New Roman"/>
                <w:sz w:val="24"/>
              </w:rPr>
              <w:t xml:space="preserve"> v </w:t>
            </w:r>
            <w:r w:rsidRPr="00A3389E">
              <w:rPr>
                <w:rFonts w:ascii="Times New Roman" w:hAnsi="Times New Roman" w:cs="Times New Roman"/>
                <w:sz w:val="24"/>
              </w:rPr>
              <w:t>konkrétny dátum (deň, mesiac</w:t>
            </w:r>
            <w:r w:rsidR="00A3389E">
              <w:rPr>
                <w:rFonts w:ascii="Times New Roman" w:hAnsi="Times New Roman" w:cs="Times New Roman"/>
                <w:sz w:val="24"/>
              </w:rPr>
              <w:t xml:space="preserve"> a </w:t>
            </w:r>
            <w:r w:rsidRPr="00A3389E">
              <w:rPr>
                <w:rFonts w:ascii="Times New Roman" w:hAnsi="Times New Roman" w:cs="Times New Roman"/>
                <w:sz w:val="24"/>
              </w:rPr>
              <w:t>rok),</w:t>
            </w:r>
            <w:r w:rsidR="00A3389E">
              <w:rPr>
                <w:rFonts w:ascii="Times New Roman" w:hAnsi="Times New Roman" w:cs="Times New Roman"/>
                <w:sz w:val="24"/>
              </w:rPr>
              <w:t xml:space="preserve"> a </w:t>
            </w:r>
            <w:r w:rsidRPr="00A3389E">
              <w:rPr>
                <w:rFonts w:ascii="Times New Roman" w:hAnsi="Times New Roman" w:cs="Times New Roman"/>
                <w:sz w:val="24"/>
              </w:rPr>
              <w:t>okrem toho uvedú, či nástroj má opciu kúpy pri daňovej a/alebo regulačnej udalosti. Inštitúcie uvedú aj cenu pri splatení, ktorá pomáha posúdiť trvalosť.</w:t>
            </w:r>
          </w:p>
          <w:p w14:paraId="34242EC4" w14:textId="7777777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4C308292" w14:textId="77777777" w:rsidTr="001E06A3">
        <w:trPr>
          <w:trHeight w:val="259"/>
        </w:trPr>
        <w:tc>
          <w:tcPr>
            <w:tcW w:w="1030" w:type="dxa"/>
            <w:vAlign w:val="center"/>
          </w:tcPr>
          <w:p w14:paraId="34C95B39"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16</w:t>
            </w:r>
          </w:p>
        </w:tc>
        <w:tc>
          <w:tcPr>
            <w:tcW w:w="7661" w:type="dxa"/>
            <w:shd w:val="clear" w:color="auto" w:fill="auto"/>
            <w:noWrap/>
            <w:vAlign w:val="bottom"/>
          </w:tcPr>
          <w:p w14:paraId="2BBD69A8"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Následné dátumy uplatnenia kúpnej opcie, ak sa uplatňuje</w:t>
            </w:r>
          </w:p>
          <w:p w14:paraId="1C8B249B" w14:textId="4CE5B18E"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existenciu</w:t>
            </w:r>
            <w:r w:rsidR="00A3389E">
              <w:rPr>
                <w:rFonts w:ascii="Times New Roman" w:hAnsi="Times New Roman" w:cs="Times New Roman"/>
                <w:sz w:val="24"/>
              </w:rPr>
              <w:t xml:space="preserve"> a </w:t>
            </w:r>
            <w:r w:rsidRPr="00A3389E">
              <w:rPr>
                <w:rFonts w:ascii="Times New Roman" w:hAnsi="Times New Roman" w:cs="Times New Roman"/>
                <w:sz w:val="24"/>
              </w:rPr>
              <w:t>frekvenciu prípadných následných dátumov uplatnenia kúpnej opcie, čo pomáha posúdiť trvalosť.</w:t>
            </w:r>
          </w:p>
          <w:p w14:paraId="2108083B"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Ľubovoľný text</w:t>
            </w:r>
          </w:p>
        </w:tc>
      </w:tr>
      <w:tr w:rsidR="00CE019E" w:rsidRPr="00A3389E" w14:paraId="3600E5F1" w14:textId="77777777" w:rsidTr="001E06A3">
        <w:trPr>
          <w:trHeight w:val="259"/>
        </w:trPr>
        <w:tc>
          <w:tcPr>
            <w:tcW w:w="1030" w:type="dxa"/>
            <w:vAlign w:val="center"/>
          </w:tcPr>
          <w:p w14:paraId="7C0DEB49"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17</w:t>
            </w:r>
          </w:p>
        </w:tc>
        <w:tc>
          <w:tcPr>
            <w:tcW w:w="7661" w:type="dxa"/>
            <w:shd w:val="clear" w:color="auto" w:fill="auto"/>
            <w:noWrap/>
            <w:vAlign w:val="bottom"/>
          </w:tcPr>
          <w:p w14:paraId="3D083DF7" w14:textId="42081B7F" w:rsidR="00CE019E" w:rsidRPr="00A3389E" w:rsidRDefault="00CE019E" w:rsidP="001E06A3">
            <w:pPr>
              <w:autoSpaceDE w:val="0"/>
              <w:autoSpaceDN w:val="0"/>
              <w:adjustRightInd w:val="0"/>
              <w:spacing w:after="200"/>
              <w:jc w:val="both"/>
              <w:rPr>
                <w:rFonts w:ascii="Times New Roman" w:eastAsia="Times New Roman" w:hAnsi="Times New Roman" w:cs="Times New Roman"/>
                <w:sz w:val="24"/>
              </w:rPr>
            </w:pPr>
            <w:r w:rsidRPr="00A3389E">
              <w:rPr>
                <w:rFonts w:ascii="Times New Roman" w:hAnsi="Times New Roman" w:cs="Times New Roman"/>
                <w:sz w:val="24"/>
              </w:rPr>
              <w:t>Dividenda/kupón</w:t>
            </w:r>
            <w:r w:rsidR="00A3389E">
              <w:rPr>
                <w:rFonts w:ascii="Times New Roman" w:hAnsi="Times New Roman" w:cs="Times New Roman"/>
                <w:sz w:val="24"/>
              </w:rPr>
              <w:t xml:space="preserve"> s </w:t>
            </w:r>
            <w:r w:rsidRPr="00A3389E">
              <w:rPr>
                <w:rFonts w:ascii="Times New Roman" w:hAnsi="Times New Roman" w:cs="Times New Roman"/>
                <w:sz w:val="24"/>
              </w:rPr>
              <w:t>pevnou alebo pohyblivou sadzbou</w:t>
            </w:r>
          </w:p>
          <w:p w14:paraId="69507275" w14:textId="7E84634F" w:rsidR="00A3389E" w:rsidRPr="00A3389E" w:rsidRDefault="00CE019E" w:rsidP="001E06A3">
            <w:pPr>
              <w:autoSpaceDE w:val="0"/>
              <w:autoSpaceDN w:val="0"/>
              <w:adjustRightInd w:val="0"/>
              <w:spacing w:after="200"/>
              <w:jc w:val="both"/>
              <w:rPr>
                <w:rFonts w:ascii="Times New Roman" w:hAnsi="Times New Roman" w:cs="Times New Roman"/>
                <w:sz w:val="24"/>
              </w:rPr>
            </w:pPr>
            <w:r w:rsidRPr="00A3389E">
              <w:rPr>
                <w:rFonts w:ascii="Times New Roman" w:hAnsi="Times New Roman" w:cs="Times New Roman"/>
                <w:sz w:val="24"/>
              </w:rPr>
              <w:t>Inštitúcie uvedú, či kupón/dividenda sú pevné počas celého obdobia životnosti nástroja alebo pohyblivé počas celého obdobia životnosti nástroja alebo</w:t>
            </w:r>
            <w:r w:rsidR="00A3389E">
              <w:rPr>
                <w:rFonts w:ascii="Times New Roman" w:hAnsi="Times New Roman" w:cs="Times New Roman"/>
                <w:sz w:val="24"/>
              </w:rPr>
              <w:t xml:space="preserve"> v </w:t>
            </w:r>
            <w:r w:rsidRPr="00A3389E">
              <w:rPr>
                <w:rFonts w:ascii="Times New Roman" w:hAnsi="Times New Roman" w:cs="Times New Roman"/>
                <w:sz w:val="24"/>
              </w:rPr>
              <w:t>súčasnosti pevné, ale</w:t>
            </w:r>
            <w:r w:rsidR="00A3389E">
              <w:rPr>
                <w:rFonts w:ascii="Times New Roman" w:hAnsi="Times New Roman" w:cs="Times New Roman"/>
                <w:sz w:val="24"/>
              </w:rPr>
              <w:t xml:space="preserve"> s </w:t>
            </w:r>
            <w:r w:rsidRPr="00A3389E">
              <w:rPr>
                <w:rFonts w:ascii="Times New Roman" w:hAnsi="Times New Roman" w:cs="Times New Roman"/>
                <w:sz w:val="24"/>
              </w:rPr>
              <w:t>prechodom na pohyblivú sadzbu</w:t>
            </w:r>
            <w:r w:rsidR="00A3389E">
              <w:rPr>
                <w:rFonts w:ascii="Times New Roman" w:hAnsi="Times New Roman" w:cs="Times New Roman"/>
                <w:sz w:val="24"/>
              </w:rPr>
              <w:t xml:space="preserve"> v </w:t>
            </w:r>
            <w:r w:rsidRPr="00A3389E">
              <w:rPr>
                <w:rFonts w:ascii="Times New Roman" w:hAnsi="Times New Roman" w:cs="Times New Roman"/>
                <w:sz w:val="24"/>
              </w:rPr>
              <w:t>budúcnosti, alebo</w:t>
            </w:r>
            <w:r w:rsidR="00A3389E">
              <w:rPr>
                <w:rFonts w:ascii="Times New Roman" w:hAnsi="Times New Roman" w:cs="Times New Roman"/>
                <w:sz w:val="24"/>
              </w:rPr>
              <w:t xml:space="preserve"> v </w:t>
            </w:r>
            <w:r w:rsidRPr="00A3389E">
              <w:rPr>
                <w:rFonts w:ascii="Times New Roman" w:hAnsi="Times New Roman" w:cs="Times New Roman"/>
                <w:sz w:val="24"/>
              </w:rPr>
              <w:t>súčasnosti pohyblivé, ale</w:t>
            </w:r>
            <w:r w:rsidR="00A3389E">
              <w:rPr>
                <w:rFonts w:ascii="Times New Roman" w:hAnsi="Times New Roman" w:cs="Times New Roman"/>
                <w:sz w:val="24"/>
              </w:rPr>
              <w:t xml:space="preserve"> s </w:t>
            </w:r>
            <w:r w:rsidRPr="00A3389E">
              <w:rPr>
                <w:rFonts w:ascii="Times New Roman" w:hAnsi="Times New Roman" w:cs="Times New Roman"/>
                <w:sz w:val="24"/>
              </w:rPr>
              <w:t>prechodom na pevnú sadzbu</w:t>
            </w:r>
            <w:r w:rsidR="00A3389E">
              <w:rPr>
                <w:rFonts w:ascii="Times New Roman" w:hAnsi="Times New Roman" w:cs="Times New Roman"/>
                <w:sz w:val="24"/>
              </w:rPr>
              <w:t xml:space="preserve"> v </w:t>
            </w:r>
            <w:r w:rsidRPr="00A3389E">
              <w:rPr>
                <w:rFonts w:ascii="Times New Roman" w:hAnsi="Times New Roman" w:cs="Times New Roman"/>
                <w:sz w:val="24"/>
              </w:rPr>
              <w:t>budúcnosti</w:t>
            </w:r>
            <w:r w:rsidR="00A3389E" w:rsidRPr="00A3389E">
              <w:rPr>
                <w:rFonts w:ascii="Times New Roman" w:hAnsi="Times New Roman" w:cs="Times New Roman"/>
                <w:sz w:val="24"/>
              </w:rPr>
              <w:t>.</w:t>
            </w:r>
          </w:p>
          <w:p w14:paraId="651371C8" w14:textId="5C355B70"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 xml:space="preserve">ponuky: [Pevné], [Pohyblivé] [Pevné, neskôr pohyblivé], [Pohyblivé, neskôr pevné] </w:t>
            </w:r>
          </w:p>
        </w:tc>
      </w:tr>
      <w:tr w:rsidR="00CE019E" w:rsidRPr="00A3389E" w14:paraId="729A2261" w14:textId="77777777" w:rsidTr="001E06A3">
        <w:trPr>
          <w:trHeight w:val="259"/>
        </w:trPr>
        <w:tc>
          <w:tcPr>
            <w:tcW w:w="1030" w:type="dxa"/>
            <w:vAlign w:val="center"/>
          </w:tcPr>
          <w:p w14:paraId="5B822012"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lastRenderedPageBreak/>
              <w:t>18</w:t>
            </w:r>
          </w:p>
        </w:tc>
        <w:tc>
          <w:tcPr>
            <w:tcW w:w="7661" w:type="dxa"/>
            <w:shd w:val="clear" w:color="auto" w:fill="auto"/>
            <w:noWrap/>
            <w:vAlign w:val="bottom"/>
          </w:tcPr>
          <w:p w14:paraId="63ED865C" w14:textId="0AC73944" w:rsidR="00A3389E" w:rsidRPr="00A3389E" w:rsidRDefault="00CE019E" w:rsidP="001E06A3">
            <w:pPr>
              <w:autoSpaceDE w:val="0"/>
              <w:autoSpaceDN w:val="0"/>
              <w:adjustRightInd w:val="0"/>
              <w:spacing w:after="200"/>
              <w:jc w:val="both"/>
              <w:rPr>
                <w:rFonts w:ascii="Times New Roman" w:hAnsi="Times New Roman" w:cs="Times New Roman"/>
                <w:sz w:val="24"/>
              </w:rPr>
            </w:pPr>
            <w:r w:rsidRPr="00A3389E">
              <w:rPr>
                <w:rFonts w:ascii="Times New Roman" w:hAnsi="Times New Roman" w:cs="Times New Roman"/>
                <w:sz w:val="24"/>
              </w:rPr>
              <w:t>Kupónová sadzba</w:t>
            </w:r>
            <w:r w:rsidR="00A3389E">
              <w:rPr>
                <w:rFonts w:ascii="Times New Roman" w:hAnsi="Times New Roman" w:cs="Times New Roman"/>
                <w:sz w:val="24"/>
              </w:rPr>
              <w:t xml:space="preserve"> a </w:t>
            </w:r>
            <w:r w:rsidRPr="00A3389E">
              <w:rPr>
                <w:rFonts w:ascii="Times New Roman" w:hAnsi="Times New Roman" w:cs="Times New Roman"/>
                <w:sz w:val="24"/>
              </w:rPr>
              <w:t>prípadný súvisiaci index</w:t>
            </w:r>
          </w:p>
          <w:p w14:paraId="1C8FA049" w14:textId="68C64203" w:rsidR="00A3389E" w:rsidRPr="00A3389E" w:rsidRDefault="00CE019E" w:rsidP="001E06A3">
            <w:pPr>
              <w:autoSpaceDE w:val="0"/>
              <w:autoSpaceDN w:val="0"/>
              <w:adjustRightInd w:val="0"/>
              <w:spacing w:after="200"/>
              <w:jc w:val="both"/>
              <w:rPr>
                <w:rFonts w:ascii="Times New Roman" w:hAnsi="Times New Roman" w:cs="Times New Roman"/>
                <w:sz w:val="24"/>
              </w:rPr>
            </w:pPr>
            <w:r w:rsidRPr="00A3389E">
              <w:rPr>
                <w:rFonts w:ascii="Times New Roman" w:hAnsi="Times New Roman" w:cs="Times New Roman"/>
                <w:sz w:val="24"/>
              </w:rPr>
              <w:t>Inštitúcie uvedú kupónovú sadzbu nástroja</w:t>
            </w:r>
            <w:r w:rsidR="00A3389E">
              <w:rPr>
                <w:rFonts w:ascii="Times New Roman" w:hAnsi="Times New Roman" w:cs="Times New Roman"/>
                <w:sz w:val="24"/>
              </w:rPr>
              <w:t xml:space="preserve"> a </w:t>
            </w:r>
            <w:r w:rsidRPr="00A3389E">
              <w:rPr>
                <w:rFonts w:ascii="Times New Roman" w:hAnsi="Times New Roman" w:cs="Times New Roman"/>
                <w:sz w:val="24"/>
              </w:rPr>
              <w:t>prípadný súvisiaci index, ktorý je referenciou pre sadzbu kupónu/dividendy</w:t>
            </w:r>
            <w:r w:rsidR="00A3389E" w:rsidRPr="00A3389E">
              <w:rPr>
                <w:rFonts w:ascii="Times New Roman" w:hAnsi="Times New Roman" w:cs="Times New Roman"/>
                <w:sz w:val="24"/>
              </w:rPr>
              <w:t>.</w:t>
            </w:r>
          </w:p>
          <w:p w14:paraId="5B9B5F0B" w14:textId="4E43DD5A"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 xml:space="preserve">Ľubovoľný text </w:t>
            </w:r>
          </w:p>
        </w:tc>
      </w:tr>
      <w:tr w:rsidR="00CE019E" w:rsidRPr="00A3389E" w14:paraId="66F214EF" w14:textId="77777777" w:rsidTr="001E06A3">
        <w:trPr>
          <w:trHeight w:val="259"/>
        </w:trPr>
        <w:tc>
          <w:tcPr>
            <w:tcW w:w="1030" w:type="dxa"/>
            <w:vAlign w:val="center"/>
          </w:tcPr>
          <w:p w14:paraId="1E25C6F8"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19</w:t>
            </w:r>
          </w:p>
        </w:tc>
        <w:tc>
          <w:tcPr>
            <w:tcW w:w="7661" w:type="dxa"/>
            <w:shd w:val="clear" w:color="auto" w:fill="auto"/>
            <w:noWrap/>
            <w:vAlign w:val="bottom"/>
          </w:tcPr>
          <w:p w14:paraId="36F73FC2" w14:textId="77777777" w:rsidR="00A3389E" w:rsidRPr="00A3389E" w:rsidRDefault="00CE019E" w:rsidP="001E06A3">
            <w:pPr>
              <w:autoSpaceDE w:val="0"/>
              <w:autoSpaceDN w:val="0"/>
              <w:adjustRightInd w:val="0"/>
              <w:spacing w:after="200"/>
              <w:jc w:val="both"/>
              <w:rPr>
                <w:rFonts w:ascii="Times New Roman" w:hAnsi="Times New Roman" w:cs="Times New Roman"/>
                <w:sz w:val="24"/>
              </w:rPr>
            </w:pPr>
            <w:r w:rsidRPr="00A3389E">
              <w:rPr>
                <w:rFonts w:ascii="Times New Roman" w:hAnsi="Times New Roman" w:cs="Times New Roman"/>
                <w:sz w:val="24"/>
              </w:rPr>
              <w:t>Existencia systému pozastavenia výplaty dividend</w:t>
            </w:r>
          </w:p>
          <w:p w14:paraId="4E581759" w14:textId="4A9A2811" w:rsidR="00A3389E" w:rsidRPr="00A3389E" w:rsidRDefault="00CE019E" w:rsidP="001E06A3">
            <w:pPr>
              <w:autoSpaceDE w:val="0"/>
              <w:autoSpaceDN w:val="0"/>
              <w:adjustRightInd w:val="0"/>
              <w:spacing w:after="200"/>
              <w:jc w:val="both"/>
              <w:rPr>
                <w:rFonts w:ascii="Times New Roman" w:hAnsi="Times New Roman" w:cs="Times New Roman"/>
                <w:sz w:val="24"/>
              </w:rPr>
            </w:pPr>
            <w:r w:rsidRPr="00A3389E">
              <w:rPr>
                <w:rFonts w:ascii="Times New Roman" w:hAnsi="Times New Roman" w:cs="Times New Roman"/>
                <w:sz w:val="24"/>
              </w:rPr>
              <w:t>Inštitúcie uvedú, či nevyplatenie kupónu alebo dividendy</w:t>
            </w:r>
            <w:r w:rsidR="00A3389E">
              <w:rPr>
                <w:rFonts w:ascii="Times New Roman" w:hAnsi="Times New Roman" w:cs="Times New Roman"/>
                <w:sz w:val="24"/>
              </w:rPr>
              <w:t xml:space="preserve"> z </w:t>
            </w:r>
            <w:r w:rsidRPr="00A3389E">
              <w:rPr>
                <w:rFonts w:ascii="Times New Roman" w:hAnsi="Times New Roman" w:cs="Times New Roman"/>
                <w:sz w:val="24"/>
              </w:rPr>
              <w:t>nástroja zakazuje výplatu dividend</w:t>
            </w:r>
            <w:r w:rsidR="00A3389E">
              <w:rPr>
                <w:rFonts w:ascii="Times New Roman" w:hAnsi="Times New Roman" w:cs="Times New Roman"/>
                <w:sz w:val="24"/>
              </w:rPr>
              <w:t xml:space="preserve"> z </w:t>
            </w:r>
            <w:r w:rsidRPr="00A3389E">
              <w:rPr>
                <w:rFonts w:ascii="Times New Roman" w:hAnsi="Times New Roman" w:cs="Times New Roman"/>
                <w:sz w:val="24"/>
              </w:rPr>
              <w:t>kmeňových akcií (t. j. či existuje systém pozastavenia výplaty dividend)</w:t>
            </w:r>
            <w:r w:rsidR="00A3389E" w:rsidRPr="00A3389E">
              <w:rPr>
                <w:rFonts w:ascii="Times New Roman" w:hAnsi="Times New Roman" w:cs="Times New Roman"/>
                <w:sz w:val="24"/>
              </w:rPr>
              <w:t>.</w:t>
            </w:r>
          </w:p>
          <w:p w14:paraId="51BD51A5" w14:textId="73E4DAEA"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 xml:space="preserve">ponuky: [áno], [nie] </w:t>
            </w:r>
          </w:p>
        </w:tc>
      </w:tr>
      <w:tr w:rsidR="00CE019E" w:rsidRPr="00A3389E" w14:paraId="7D6625BA" w14:textId="77777777" w:rsidTr="001E06A3">
        <w:trPr>
          <w:trHeight w:val="259"/>
        </w:trPr>
        <w:tc>
          <w:tcPr>
            <w:tcW w:w="1030" w:type="dxa"/>
            <w:vAlign w:val="center"/>
          </w:tcPr>
          <w:p w14:paraId="701A0789"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EU-20a</w:t>
            </w:r>
          </w:p>
        </w:tc>
        <w:tc>
          <w:tcPr>
            <w:tcW w:w="7661" w:type="dxa"/>
            <w:shd w:val="clear" w:color="auto" w:fill="auto"/>
            <w:noWrap/>
            <w:vAlign w:val="bottom"/>
          </w:tcPr>
          <w:p w14:paraId="0AAE163D"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Úplne podľa vlastného uváženia, čiastočne podľa vlastného uváženia alebo povinné (z hľadiska načasovania)</w:t>
            </w:r>
            <w:r w:rsidR="00A3389E" w:rsidRPr="00A3389E">
              <w:rPr>
                <w:rFonts w:ascii="Times New Roman" w:hAnsi="Times New Roman" w:cs="Times New Roman"/>
                <w:sz w:val="24"/>
              </w:rPr>
              <w:t>.</w:t>
            </w:r>
          </w:p>
          <w:p w14:paraId="658BC633" w14:textId="36BB0B7D" w:rsidR="00CE019E" w:rsidRPr="00B53505" w:rsidRDefault="00CE019E" w:rsidP="001E06A3">
            <w:pPr>
              <w:spacing w:after="200"/>
              <w:jc w:val="both"/>
              <w:rPr>
                <w:rFonts w:ascii="Times New Roman" w:eastAsia="Times New Roman" w:hAnsi="Times New Roman" w:cs="Times New Roman"/>
                <w:spacing w:val="-4"/>
                <w:sz w:val="24"/>
              </w:rPr>
            </w:pPr>
            <w:r w:rsidRPr="00B53505">
              <w:rPr>
                <w:rFonts w:ascii="Times New Roman" w:hAnsi="Times New Roman" w:cs="Times New Roman"/>
                <w:spacing w:val="-4"/>
                <w:sz w:val="24"/>
              </w:rPr>
              <w:t>Inštitúcie uvedú, či emitent rozhoduje</w:t>
            </w:r>
            <w:r w:rsidR="00A3389E" w:rsidRPr="00B53505">
              <w:rPr>
                <w:rFonts w:ascii="Times New Roman" w:hAnsi="Times New Roman" w:cs="Times New Roman"/>
                <w:spacing w:val="-4"/>
                <w:sz w:val="24"/>
              </w:rPr>
              <w:t xml:space="preserve"> o </w:t>
            </w:r>
            <w:r w:rsidRPr="00B53505">
              <w:rPr>
                <w:rFonts w:ascii="Times New Roman" w:hAnsi="Times New Roman" w:cs="Times New Roman"/>
                <w:spacing w:val="-4"/>
                <w:sz w:val="24"/>
              </w:rPr>
              <w:t>vyplatení kupónu/dividendy úplne podľa vlastného uváženia, čiastočne podľa vlastného uváženia alebo či nemá žiadnu právomoc rozhodnúť podľa vlastného uváženia. Ak inštitúcia rozhoduje</w:t>
            </w:r>
            <w:r w:rsidR="00A3389E" w:rsidRPr="00B53505">
              <w:rPr>
                <w:rFonts w:ascii="Times New Roman" w:hAnsi="Times New Roman" w:cs="Times New Roman"/>
                <w:spacing w:val="-4"/>
                <w:sz w:val="24"/>
              </w:rPr>
              <w:t xml:space="preserve"> o </w:t>
            </w:r>
            <w:r w:rsidRPr="00B53505">
              <w:rPr>
                <w:rFonts w:ascii="Times New Roman" w:hAnsi="Times New Roman" w:cs="Times New Roman"/>
                <w:spacing w:val="-4"/>
                <w:sz w:val="24"/>
              </w:rPr>
              <w:t>zrušení výplaty kupónu/dividendy za všetkých okolností úplne podľa vlastného uváženia, musí vybrať možnosť „úplne podľa vlastného uváženia“ (a to aj</w:t>
            </w:r>
            <w:r w:rsidR="00A3389E" w:rsidRPr="00B53505">
              <w:rPr>
                <w:rFonts w:ascii="Times New Roman" w:hAnsi="Times New Roman" w:cs="Times New Roman"/>
                <w:spacing w:val="-4"/>
                <w:sz w:val="24"/>
              </w:rPr>
              <w:t xml:space="preserve"> v </w:t>
            </w:r>
            <w:r w:rsidRPr="00B53505">
              <w:rPr>
                <w:rFonts w:ascii="Times New Roman" w:hAnsi="Times New Roman" w:cs="Times New Roman"/>
                <w:spacing w:val="-4"/>
                <w:sz w:val="24"/>
              </w:rPr>
              <w:t>prípade existencie systému pozastavenia výplaty dividend, ktorý nemá pre inštitúciu účinok zákazu zrušiť výplaty</w:t>
            </w:r>
            <w:r w:rsidR="00A3389E" w:rsidRPr="00B53505">
              <w:rPr>
                <w:rFonts w:ascii="Times New Roman" w:hAnsi="Times New Roman" w:cs="Times New Roman"/>
                <w:spacing w:val="-4"/>
                <w:sz w:val="24"/>
              </w:rPr>
              <w:t xml:space="preserve"> z </w:t>
            </w:r>
            <w:r w:rsidRPr="00B53505">
              <w:rPr>
                <w:rFonts w:ascii="Times New Roman" w:hAnsi="Times New Roman" w:cs="Times New Roman"/>
                <w:spacing w:val="-4"/>
                <w:sz w:val="24"/>
              </w:rPr>
              <w:t>nástroja). Ak existujú podmienky, ktoré musia byť splnené pred umožnením zrušenia výplaty (napr. vlastné zdroje pod určitou prahovou hodnotou), inštitúcia musí vybrať možnosť „čiastočne podľa vlastného uváženia“. Ak inštitúcia nemôže zrušiť výplatu</w:t>
            </w:r>
            <w:r w:rsidR="00A3389E" w:rsidRPr="00B53505">
              <w:rPr>
                <w:rFonts w:ascii="Times New Roman" w:hAnsi="Times New Roman" w:cs="Times New Roman"/>
                <w:spacing w:val="-4"/>
                <w:sz w:val="24"/>
              </w:rPr>
              <w:t xml:space="preserve"> s </w:t>
            </w:r>
            <w:r w:rsidRPr="00B53505">
              <w:rPr>
                <w:rFonts w:ascii="Times New Roman" w:hAnsi="Times New Roman" w:cs="Times New Roman"/>
                <w:spacing w:val="-4"/>
                <w:sz w:val="24"/>
              </w:rPr>
              <w:t>výnimkou prípadu platobnej neschopnosti, musí vybrať možnosť „povinné“.</w:t>
            </w:r>
          </w:p>
          <w:p w14:paraId="3E3F77FB" w14:textId="6741341B"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[Úplne podľa vlastného uváženia] [Čiastočne podľa vlastného uváženia] [Povinné]</w:t>
            </w:r>
          </w:p>
          <w:p w14:paraId="23EAAFC7"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Ľubovoľný text (uveďte dôvody rozhodnutia podľa vlastného uváženia, existenciu systémov povinnej výplaty dividend, systémov pozastavenia výplaty dividend, ACSM).</w:t>
            </w:r>
          </w:p>
        </w:tc>
      </w:tr>
      <w:tr w:rsidR="00CE019E" w:rsidRPr="00A3389E" w14:paraId="3A5F167A" w14:textId="77777777" w:rsidTr="001E06A3">
        <w:trPr>
          <w:trHeight w:val="259"/>
        </w:trPr>
        <w:tc>
          <w:tcPr>
            <w:tcW w:w="1030" w:type="dxa"/>
            <w:vAlign w:val="center"/>
          </w:tcPr>
          <w:p w14:paraId="52C258DD"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EU-20b</w:t>
            </w:r>
          </w:p>
        </w:tc>
        <w:tc>
          <w:tcPr>
            <w:tcW w:w="7661" w:type="dxa"/>
            <w:shd w:val="clear" w:color="auto" w:fill="auto"/>
            <w:noWrap/>
            <w:vAlign w:val="bottom"/>
          </w:tcPr>
          <w:p w14:paraId="04756E2C"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Úplne podľa vlastného uváženia, čiastočne podľa vlastného uváženia alebo povinné (z hľadiska hodnoty)</w:t>
            </w:r>
            <w:r w:rsidR="00A3389E" w:rsidRPr="00A3389E">
              <w:rPr>
                <w:rFonts w:ascii="Times New Roman" w:hAnsi="Times New Roman" w:cs="Times New Roman"/>
                <w:sz w:val="24"/>
              </w:rPr>
              <w:t>.</w:t>
            </w:r>
          </w:p>
          <w:p w14:paraId="6D79B265" w14:textId="46335B85"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emitent rozhoduje</w:t>
            </w:r>
            <w:r w:rsidR="00A3389E">
              <w:rPr>
                <w:rFonts w:ascii="Times New Roman" w:hAnsi="Times New Roman" w:cs="Times New Roman"/>
                <w:sz w:val="24"/>
              </w:rPr>
              <w:t xml:space="preserve"> o </w:t>
            </w:r>
            <w:r w:rsidRPr="00A3389E">
              <w:rPr>
                <w:rFonts w:ascii="Times New Roman" w:hAnsi="Times New Roman" w:cs="Times New Roman"/>
                <w:sz w:val="24"/>
              </w:rPr>
              <w:t>výške kupónu/dividendy úplne podľa vlastného uváženia, čiastočne podľa vlastného uváženia alebo či nemá žiadnu právomoc rozhodnúť podľa vlastného uváženia.</w:t>
            </w:r>
          </w:p>
          <w:p w14:paraId="70BDBF41" w14:textId="76F33369"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[Úplne podľa vlastného uváženia] [Čiastočne podľa vlastného uváženia] [Povinné]</w:t>
            </w:r>
          </w:p>
        </w:tc>
      </w:tr>
      <w:tr w:rsidR="00CE019E" w:rsidRPr="00A3389E" w14:paraId="221598C6" w14:textId="77777777" w:rsidTr="001E06A3">
        <w:trPr>
          <w:trHeight w:val="259"/>
        </w:trPr>
        <w:tc>
          <w:tcPr>
            <w:tcW w:w="1030" w:type="dxa"/>
            <w:vAlign w:val="center"/>
          </w:tcPr>
          <w:p w14:paraId="6CEE1584"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21</w:t>
            </w:r>
          </w:p>
        </w:tc>
        <w:tc>
          <w:tcPr>
            <w:tcW w:w="7661" w:type="dxa"/>
            <w:shd w:val="clear" w:color="auto" w:fill="auto"/>
            <w:noWrap/>
            <w:vAlign w:val="bottom"/>
          </w:tcPr>
          <w:p w14:paraId="04BC68EF" w14:textId="2DAB9340"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Existencia klauzuly</w:t>
            </w:r>
            <w:r w:rsidR="00A3389E">
              <w:rPr>
                <w:rFonts w:ascii="Times New Roman" w:hAnsi="Times New Roman" w:cs="Times New Roman"/>
                <w:sz w:val="24"/>
              </w:rPr>
              <w:t xml:space="preserve"> o </w:t>
            </w:r>
            <w:r w:rsidRPr="00A3389E">
              <w:rPr>
                <w:rFonts w:ascii="Times New Roman" w:hAnsi="Times New Roman" w:cs="Times New Roman"/>
                <w:sz w:val="24"/>
              </w:rPr>
              <w:t>zvýšení alebo iného stimulu</w:t>
            </w:r>
            <w:r w:rsidR="00A3389E">
              <w:rPr>
                <w:rFonts w:ascii="Times New Roman" w:hAnsi="Times New Roman" w:cs="Times New Roman"/>
                <w:sz w:val="24"/>
              </w:rPr>
              <w:t xml:space="preserve"> k </w:t>
            </w:r>
            <w:r w:rsidRPr="00A3389E">
              <w:rPr>
                <w:rFonts w:ascii="Times New Roman" w:hAnsi="Times New Roman" w:cs="Times New Roman"/>
                <w:sz w:val="24"/>
              </w:rPr>
              <w:t>splateniu</w:t>
            </w:r>
          </w:p>
          <w:p w14:paraId="4B125597" w14:textId="795AB19F"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existuje klauzula</w:t>
            </w:r>
            <w:r w:rsidR="00A3389E">
              <w:rPr>
                <w:rFonts w:ascii="Times New Roman" w:hAnsi="Times New Roman" w:cs="Times New Roman"/>
                <w:sz w:val="24"/>
              </w:rPr>
              <w:t xml:space="preserve"> o </w:t>
            </w:r>
            <w:r w:rsidRPr="00A3389E">
              <w:rPr>
                <w:rFonts w:ascii="Times New Roman" w:hAnsi="Times New Roman" w:cs="Times New Roman"/>
                <w:sz w:val="24"/>
              </w:rPr>
              <w:t>zvýšení alebo iný stimul</w:t>
            </w:r>
            <w:r w:rsidR="00A3389E">
              <w:rPr>
                <w:rFonts w:ascii="Times New Roman" w:hAnsi="Times New Roman" w:cs="Times New Roman"/>
                <w:sz w:val="24"/>
              </w:rPr>
              <w:t xml:space="preserve"> k </w:t>
            </w:r>
            <w:r w:rsidRPr="00A3389E">
              <w:rPr>
                <w:rFonts w:ascii="Times New Roman" w:hAnsi="Times New Roman" w:cs="Times New Roman"/>
                <w:sz w:val="24"/>
              </w:rPr>
              <w:t>splateniu.</w:t>
            </w:r>
          </w:p>
          <w:p w14:paraId="196A679C" w14:textId="33DF039B"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lastRenderedPageBreak/>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[Áno] [Nie]</w:t>
            </w:r>
          </w:p>
        </w:tc>
      </w:tr>
      <w:tr w:rsidR="00CE019E" w:rsidRPr="00A3389E" w14:paraId="7F13F52F" w14:textId="77777777" w:rsidTr="001E06A3">
        <w:trPr>
          <w:trHeight w:val="259"/>
        </w:trPr>
        <w:tc>
          <w:tcPr>
            <w:tcW w:w="1030" w:type="dxa"/>
            <w:vAlign w:val="center"/>
          </w:tcPr>
          <w:p w14:paraId="3192BA40"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lastRenderedPageBreak/>
              <w:t>22</w:t>
            </w:r>
          </w:p>
        </w:tc>
        <w:tc>
          <w:tcPr>
            <w:tcW w:w="7661" w:type="dxa"/>
            <w:shd w:val="clear" w:color="auto" w:fill="auto"/>
            <w:noWrap/>
            <w:vAlign w:val="bottom"/>
          </w:tcPr>
          <w:p w14:paraId="64FFE651"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Nekumulatívne alebo kumulatívne</w:t>
            </w:r>
          </w:p>
          <w:p w14:paraId="48338CB0"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dividendy/kupóny sú kumulatívne alebo nekumulatívne.</w:t>
            </w:r>
          </w:p>
          <w:p w14:paraId="7CA91EEA" w14:textId="6AF54AD3"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[Nekumulatívne] [Kumulatívne] [ACSM]</w:t>
            </w:r>
          </w:p>
        </w:tc>
      </w:tr>
      <w:tr w:rsidR="00CE019E" w:rsidRPr="00A3389E" w14:paraId="499ABBBA" w14:textId="77777777" w:rsidTr="001E06A3">
        <w:trPr>
          <w:trHeight w:val="259"/>
        </w:trPr>
        <w:tc>
          <w:tcPr>
            <w:tcW w:w="1030" w:type="dxa"/>
            <w:vAlign w:val="center"/>
          </w:tcPr>
          <w:p w14:paraId="3BB207C8"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23</w:t>
            </w:r>
          </w:p>
        </w:tc>
        <w:tc>
          <w:tcPr>
            <w:tcW w:w="7661" w:type="dxa"/>
            <w:shd w:val="clear" w:color="auto" w:fill="auto"/>
            <w:noWrap/>
            <w:vAlign w:val="bottom"/>
          </w:tcPr>
          <w:p w14:paraId="37E1594D"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Konvertibilný alebo nekonvertibilný</w:t>
            </w:r>
          </w:p>
          <w:p w14:paraId="5B2BAA0D" w14:textId="72286366"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je nástroj konvertibilný alebo nie.</w:t>
            </w:r>
          </w:p>
          <w:p w14:paraId="35278EB6" w14:textId="5F36042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[Konvertibilný] [Nekonvertibilný]</w:t>
            </w:r>
          </w:p>
        </w:tc>
      </w:tr>
      <w:tr w:rsidR="00CE019E" w:rsidRPr="00A3389E" w14:paraId="477E749E" w14:textId="77777777" w:rsidTr="001E06A3">
        <w:trPr>
          <w:trHeight w:val="259"/>
        </w:trPr>
        <w:tc>
          <w:tcPr>
            <w:tcW w:w="1030" w:type="dxa"/>
            <w:vAlign w:val="center"/>
          </w:tcPr>
          <w:p w14:paraId="50209FB8"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24</w:t>
            </w:r>
          </w:p>
        </w:tc>
        <w:tc>
          <w:tcPr>
            <w:tcW w:w="7661" w:type="dxa"/>
            <w:shd w:val="clear" w:color="auto" w:fill="auto"/>
            <w:noWrap/>
            <w:vAlign w:val="bottom"/>
          </w:tcPr>
          <w:p w14:paraId="0E9C24D2"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Ak konvertibilný, spúšťací faktor (faktory) konverzie</w:t>
            </w:r>
          </w:p>
          <w:p w14:paraId="173D5100" w14:textId="7A508E2E"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podmienky, za ktorých sa nástroj konvertuje, vrátane bodu, keď už nie je životaschopný. Ak jeden alebo viaceré orgány majú možnosť spustiť konverziu, tieto orgány sa uvedú. Pri každom orgáne sa uvedie, či právny základ právomoci orgánu spustiť konverziu spočíva</w:t>
            </w:r>
            <w:r w:rsidR="00A3389E">
              <w:rPr>
                <w:rFonts w:ascii="Times New Roman" w:hAnsi="Times New Roman" w:cs="Times New Roman"/>
                <w:sz w:val="24"/>
              </w:rPr>
              <w:t xml:space="preserve"> v </w:t>
            </w:r>
            <w:r w:rsidRPr="00A3389E">
              <w:rPr>
                <w:rFonts w:ascii="Times New Roman" w:hAnsi="Times New Roman" w:cs="Times New Roman"/>
                <w:sz w:val="24"/>
              </w:rPr>
              <w:t>zmluvných podmienkach nástroja (zmluvný prístup) alebo či právny základ stanovujú zákonné prostriedky (štatutárny prístup).</w:t>
            </w:r>
          </w:p>
          <w:p w14:paraId="26593622" w14:textId="7777777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5EB940CC" w14:textId="77777777" w:rsidTr="001E06A3">
        <w:trPr>
          <w:trHeight w:val="259"/>
        </w:trPr>
        <w:tc>
          <w:tcPr>
            <w:tcW w:w="1030" w:type="dxa"/>
            <w:vAlign w:val="center"/>
          </w:tcPr>
          <w:p w14:paraId="594CA910"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25</w:t>
            </w:r>
          </w:p>
        </w:tc>
        <w:tc>
          <w:tcPr>
            <w:tcW w:w="7661" w:type="dxa"/>
            <w:shd w:val="clear" w:color="auto" w:fill="auto"/>
            <w:noWrap/>
            <w:vAlign w:val="bottom"/>
          </w:tcPr>
          <w:p w14:paraId="6CFEB894"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Ak konvertibilný, úplne alebo čiastočne</w:t>
            </w:r>
          </w:p>
          <w:p w14:paraId="02FC09F1"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konverzia nástroja bude vždy úplná, môže byť úplná alebo čiastočná alebo bude vždy čiastočná.</w:t>
            </w:r>
          </w:p>
          <w:p w14:paraId="1A1625EA" w14:textId="583EAE44"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[Vždy úplná] [Úplná alebo čiastočná] [Vždy čiastočná]</w:t>
            </w:r>
          </w:p>
        </w:tc>
      </w:tr>
      <w:tr w:rsidR="00CE019E" w:rsidRPr="00A3389E" w14:paraId="0F954609" w14:textId="77777777" w:rsidTr="001E06A3">
        <w:trPr>
          <w:trHeight w:val="259"/>
        </w:trPr>
        <w:tc>
          <w:tcPr>
            <w:tcW w:w="1030" w:type="dxa"/>
            <w:vAlign w:val="center"/>
          </w:tcPr>
          <w:p w14:paraId="03F7CB33"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26</w:t>
            </w:r>
          </w:p>
        </w:tc>
        <w:tc>
          <w:tcPr>
            <w:tcW w:w="7661" w:type="dxa"/>
            <w:shd w:val="clear" w:color="auto" w:fill="auto"/>
            <w:noWrap/>
            <w:vAlign w:val="bottom"/>
          </w:tcPr>
          <w:p w14:paraId="543B0505"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Ak konvertibilný, konverzný koeficient</w:t>
            </w:r>
          </w:p>
          <w:p w14:paraId="143BAB91"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Inštitúcie uvedú sadzbu konverzie na nástroj, ktorý viac absorbuje stratu</w:t>
            </w:r>
            <w:r w:rsidR="00A3389E" w:rsidRPr="00A3389E">
              <w:rPr>
                <w:rFonts w:ascii="Times New Roman" w:hAnsi="Times New Roman" w:cs="Times New Roman"/>
                <w:sz w:val="24"/>
              </w:rPr>
              <w:t>.</w:t>
            </w:r>
          </w:p>
          <w:p w14:paraId="64F113E6" w14:textId="28104BE0"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408B515F" w14:textId="77777777" w:rsidTr="001E06A3">
        <w:trPr>
          <w:trHeight w:val="259"/>
        </w:trPr>
        <w:tc>
          <w:tcPr>
            <w:tcW w:w="1030" w:type="dxa"/>
            <w:vAlign w:val="center"/>
          </w:tcPr>
          <w:p w14:paraId="6CAC74D3"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27</w:t>
            </w:r>
          </w:p>
        </w:tc>
        <w:tc>
          <w:tcPr>
            <w:tcW w:w="7661" w:type="dxa"/>
            <w:shd w:val="clear" w:color="auto" w:fill="auto"/>
            <w:noWrap/>
            <w:vAlign w:val="bottom"/>
          </w:tcPr>
          <w:p w14:paraId="2F0AAD47"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Ak konvertibilný, povinná alebo nepovinná konverzia</w:t>
            </w:r>
          </w:p>
          <w:p w14:paraId="18543F18"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 prípade konvertibilných nástrojov inštitúcie uvedú, či je konverzia povinná alebo nepovinná</w:t>
            </w:r>
            <w:r w:rsidR="00A3389E" w:rsidRPr="00A3389E">
              <w:rPr>
                <w:rFonts w:ascii="Times New Roman" w:hAnsi="Times New Roman" w:cs="Times New Roman"/>
                <w:sz w:val="24"/>
              </w:rPr>
              <w:t>.</w:t>
            </w:r>
          </w:p>
          <w:p w14:paraId="5053F92F" w14:textId="113FCFF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[Povinná] [Nepovinná] [Neuplatňuje sa]</w:t>
            </w:r>
            <w:r w:rsidR="00A3389E">
              <w:rPr>
                <w:rFonts w:ascii="Times New Roman" w:hAnsi="Times New Roman" w:cs="Times New Roman"/>
                <w:i/>
                <w:sz w:val="24"/>
              </w:rPr>
              <w:t xml:space="preserve"> a </w:t>
            </w:r>
            <w:r w:rsidRPr="00A3389E">
              <w:rPr>
                <w:rFonts w:ascii="Times New Roman" w:hAnsi="Times New Roman" w:cs="Times New Roman"/>
                <w:i/>
                <w:sz w:val="24"/>
              </w:rPr>
              <w:t>[podľa rozhodnutia držiteľov] [podľa rozhodnutia emitenta] [podľa rozhodnutia držiteľov</w:t>
            </w:r>
            <w:r w:rsidR="00A3389E">
              <w:rPr>
                <w:rFonts w:ascii="Times New Roman" w:hAnsi="Times New Roman" w:cs="Times New Roman"/>
                <w:i/>
                <w:sz w:val="24"/>
              </w:rPr>
              <w:t xml:space="preserve"> a </w:t>
            </w:r>
            <w:r w:rsidRPr="00A3389E">
              <w:rPr>
                <w:rFonts w:ascii="Times New Roman" w:hAnsi="Times New Roman" w:cs="Times New Roman"/>
                <w:i/>
                <w:sz w:val="24"/>
              </w:rPr>
              <w:t>emitenta].</w:t>
            </w:r>
          </w:p>
        </w:tc>
      </w:tr>
      <w:tr w:rsidR="00CE019E" w:rsidRPr="00A3389E" w14:paraId="3DEDFF0C" w14:textId="77777777" w:rsidTr="001E06A3">
        <w:trPr>
          <w:trHeight w:val="259"/>
        </w:trPr>
        <w:tc>
          <w:tcPr>
            <w:tcW w:w="1030" w:type="dxa"/>
            <w:vAlign w:val="center"/>
          </w:tcPr>
          <w:p w14:paraId="3BBD866C"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28</w:t>
            </w:r>
          </w:p>
        </w:tc>
        <w:tc>
          <w:tcPr>
            <w:tcW w:w="7661" w:type="dxa"/>
            <w:shd w:val="clear" w:color="auto" w:fill="auto"/>
            <w:noWrap/>
            <w:vAlign w:val="bottom"/>
          </w:tcPr>
          <w:p w14:paraId="70DAC010"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Ak konvertibilný, uveďte druh nástroja, na ktorý sa konvertuje</w:t>
            </w:r>
          </w:p>
          <w:p w14:paraId="1307160F"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V prípade konvertibilných nástrojov inštitúcie uvedú druh nástroja, na ktorý sa konvertuje. Pomáha posúdiť absorpciu strát.</w:t>
            </w:r>
          </w:p>
          <w:p w14:paraId="11E5F4D3" w14:textId="505C61ED"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lastRenderedPageBreak/>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[Vlastný kapitál Tier 1] [Dodatočný kapitál Tier 1] [Tier 2] [Iné]</w:t>
            </w:r>
          </w:p>
        </w:tc>
      </w:tr>
      <w:tr w:rsidR="00CE019E" w:rsidRPr="00A3389E" w14:paraId="6F05A38C" w14:textId="77777777" w:rsidTr="001E06A3">
        <w:trPr>
          <w:trHeight w:val="259"/>
        </w:trPr>
        <w:tc>
          <w:tcPr>
            <w:tcW w:w="1030" w:type="dxa"/>
            <w:vAlign w:val="center"/>
          </w:tcPr>
          <w:p w14:paraId="6E5E3245"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lastRenderedPageBreak/>
              <w:t>29</w:t>
            </w:r>
          </w:p>
        </w:tc>
        <w:tc>
          <w:tcPr>
            <w:tcW w:w="7661" w:type="dxa"/>
            <w:shd w:val="clear" w:color="auto" w:fill="auto"/>
            <w:noWrap/>
            <w:vAlign w:val="bottom"/>
          </w:tcPr>
          <w:p w14:paraId="2EBB62C6"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Ak je nástroj konvertibilný, uveďte emitenta nástroja, na ktorý sa konvertuje.</w:t>
            </w:r>
          </w:p>
          <w:p w14:paraId="65C91A5F" w14:textId="7777777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69167790" w14:textId="77777777" w:rsidTr="001E06A3">
        <w:trPr>
          <w:trHeight w:val="259"/>
        </w:trPr>
        <w:tc>
          <w:tcPr>
            <w:tcW w:w="1030" w:type="dxa"/>
            <w:vAlign w:val="center"/>
          </w:tcPr>
          <w:p w14:paraId="4660276C"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30</w:t>
            </w:r>
          </w:p>
        </w:tc>
        <w:tc>
          <w:tcPr>
            <w:tcW w:w="7661" w:type="dxa"/>
            <w:shd w:val="clear" w:color="auto" w:fill="auto"/>
            <w:noWrap/>
            <w:vAlign w:val="bottom"/>
          </w:tcPr>
          <w:p w14:paraId="71D533EC"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Charakteristiky zníženia účtovnej hodnoty</w:t>
            </w:r>
          </w:p>
          <w:p w14:paraId="28358B3E"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Inštitúcie uvedú, či existuje prvok zníženia účtovnej hodnoty</w:t>
            </w:r>
            <w:r w:rsidR="00A3389E" w:rsidRPr="00A3389E">
              <w:rPr>
                <w:rFonts w:ascii="Times New Roman" w:hAnsi="Times New Roman" w:cs="Times New Roman"/>
                <w:sz w:val="24"/>
              </w:rPr>
              <w:t>.</w:t>
            </w:r>
          </w:p>
          <w:p w14:paraId="7A4CA302" w14:textId="57509CDB"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[Áno] [Nie]</w:t>
            </w:r>
          </w:p>
        </w:tc>
      </w:tr>
      <w:tr w:rsidR="00CE019E" w:rsidRPr="00A3389E" w14:paraId="2D364F63" w14:textId="77777777" w:rsidTr="001E06A3">
        <w:trPr>
          <w:trHeight w:val="259"/>
        </w:trPr>
        <w:tc>
          <w:tcPr>
            <w:tcW w:w="1030" w:type="dxa"/>
            <w:vAlign w:val="center"/>
          </w:tcPr>
          <w:p w14:paraId="1DF5C8A0"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31</w:t>
            </w:r>
          </w:p>
        </w:tc>
        <w:tc>
          <w:tcPr>
            <w:tcW w:w="7661" w:type="dxa"/>
            <w:shd w:val="clear" w:color="auto" w:fill="auto"/>
            <w:noWrap/>
            <w:vAlign w:val="bottom"/>
          </w:tcPr>
          <w:p w14:paraId="791E5885" w14:textId="77777777" w:rsidR="00CE019E" w:rsidRPr="00A3389E" w:rsidRDefault="00CE019E" w:rsidP="001E06A3">
            <w:pPr>
              <w:autoSpaceDE w:val="0"/>
              <w:autoSpaceDN w:val="0"/>
              <w:adjustRightInd w:val="0"/>
              <w:spacing w:after="200"/>
              <w:jc w:val="both"/>
              <w:rPr>
                <w:rFonts w:ascii="Times New Roman" w:eastAsia="Times New Roman" w:hAnsi="Times New Roman" w:cs="Times New Roman"/>
                <w:sz w:val="24"/>
              </w:rPr>
            </w:pPr>
            <w:r w:rsidRPr="00A3389E">
              <w:rPr>
                <w:rFonts w:ascii="Times New Roman" w:hAnsi="Times New Roman" w:cs="Times New Roman"/>
                <w:sz w:val="24"/>
              </w:rPr>
              <w:t>Ak zníženie účtovnej hodnoty, spúšťací faktor (faktory) zníženia účtovnej hodnoty.</w:t>
            </w:r>
          </w:p>
          <w:p w14:paraId="09FEBA45" w14:textId="5588C085" w:rsidR="00A3389E" w:rsidRPr="00A3389E" w:rsidRDefault="00CE019E" w:rsidP="001E06A3">
            <w:pPr>
              <w:autoSpaceDE w:val="0"/>
              <w:autoSpaceDN w:val="0"/>
              <w:adjustRightInd w:val="0"/>
              <w:spacing w:after="200"/>
              <w:jc w:val="both"/>
              <w:rPr>
                <w:rFonts w:ascii="Times New Roman" w:hAnsi="Times New Roman" w:cs="Times New Roman"/>
                <w:sz w:val="24"/>
              </w:rPr>
            </w:pPr>
            <w:r w:rsidRPr="00A3389E">
              <w:rPr>
                <w:rFonts w:ascii="Times New Roman" w:hAnsi="Times New Roman" w:cs="Times New Roman"/>
                <w:sz w:val="24"/>
              </w:rPr>
              <w:t>Inštitúcie uvedú spúšťacie faktory, pri ktorých sa uplatní zníženie účtovnej hodnoty, vrátane bodu, keď už nástroj nie je životaschopný. Ak jeden alebo viaceré orgány majú možnosť spustiť zníženie účtovnej hodnoty, tieto orgány sa uvedú. Pri každom orgáne sa uvedie, či právny základ právomoci orgánu spustiť zníženie účtovnej hodnoty spočíva</w:t>
            </w:r>
            <w:r w:rsidR="00A3389E">
              <w:rPr>
                <w:rFonts w:ascii="Times New Roman" w:hAnsi="Times New Roman" w:cs="Times New Roman"/>
                <w:sz w:val="24"/>
              </w:rPr>
              <w:t xml:space="preserve"> v </w:t>
            </w:r>
            <w:r w:rsidRPr="00A3389E">
              <w:rPr>
                <w:rFonts w:ascii="Times New Roman" w:hAnsi="Times New Roman" w:cs="Times New Roman"/>
                <w:sz w:val="24"/>
              </w:rPr>
              <w:t>zmluvných podmienkach nástroja (zmluvný prístup) alebo či právny základ stanovujú zákonné prostriedky (štatutárny prístup)</w:t>
            </w:r>
            <w:r w:rsidR="00A3389E" w:rsidRPr="00A3389E">
              <w:rPr>
                <w:rFonts w:ascii="Times New Roman" w:hAnsi="Times New Roman" w:cs="Times New Roman"/>
                <w:sz w:val="24"/>
              </w:rPr>
              <w:t>.</w:t>
            </w:r>
          </w:p>
          <w:p w14:paraId="0078969A" w14:textId="292BA251"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066063AD" w14:textId="77777777" w:rsidTr="001E06A3">
        <w:trPr>
          <w:trHeight w:val="259"/>
        </w:trPr>
        <w:tc>
          <w:tcPr>
            <w:tcW w:w="1030" w:type="dxa"/>
            <w:vAlign w:val="center"/>
          </w:tcPr>
          <w:p w14:paraId="179060B6"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32</w:t>
            </w:r>
          </w:p>
        </w:tc>
        <w:tc>
          <w:tcPr>
            <w:tcW w:w="7661" w:type="dxa"/>
            <w:shd w:val="clear" w:color="auto" w:fill="auto"/>
            <w:noWrap/>
            <w:vAlign w:val="bottom"/>
          </w:tcPr>
          <w:p w14:paraId="18DAD9A2"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Ak zníženie účtovnej hodnoty, úplné alebo čiastočné.</w:t>
            </w:r>
          </w:p>
          <w:p w14:paraId="1EDBDDD4"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sa účtovná hodnota nástroja zníži vždy úplne, či sa môže znížiť čiastočne alebo sa vždy zníži čiastočne. Pomáha posúdiť úroveň absorpcie straty pri znížení účtovnej hodnoty.</w:t>
            </w:r>
          </w:p>
          <w:p w14:paraId="73D9D229" w14:textId="37ED8855"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[Vždy úplne] [Úplne alebo čiastočne] [Vždy čiastočne]</w:t>
            </w:r>
          </w:p>
        </w:tc>
      </w:tr>
      <w:tr w:rsidR="00CE019E" w:rsidRPr="00A3389E" w14:paraId="5B3D931E" w14:textId="77777777" w:rsidTr="001E06A3">
        <w:trPr>
          <w:trHeight w:val="259"/>
        </w:trPr>
        <w:tc>
          <w:tcPr>
            <w:tcW w:w="1030" w:type="dxa"/>
            <w:vAlign w:val="center"/>
          </w:tcPr>
          <w:p w14:paraId="3ADC8797"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33</w:t>
            </w:r>
          </w:p>
        </w:tc>
        <w:tc>
          <w:tcPr>
            <w:tcW w:w="7661" w:type="dxa"/>
            <w:shd w:val="clear" w:color="auto" w:fill="auto"/>
            <w:noWrap/>
            <w:vAlign w:val="bottom"/>
          </w:tcPr>
          <w:p w14:paraId="394A77FC"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Ak zníženie účtovnej hodnoty, trvalé alebo dočasné.</w:t>
            </w:r>
          </w:p>
          <w:p w14:paraId="0F22B195"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Pri nástroji so znížením účtovnej hodnoty inštitúcie uvedú, či je zníženie účtovnej hodnoty trvalé alebo dočasné</w:t>
            </w:r>
            <w:r w:rsidR="00A3389E" w:rsidRPr="00A3389E">
              <w:rPr>
                <w:rFonts w:ascii="Times New Roman" w:hAnsi="Times New Roman" w:cs="Times New Roman"/>
                <w:sz w:val="24"/>
              </w:rPr>
              <w:t>.</w:t>
            </w:r>
          </w:p>
          <w:p w14:paraId="3B843DA4" w14:textId="7F3243EB"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[Trvalé] [Dočasné] [Neuplatňuje sa]</w:t>
            </w:r>
          </w:p>
        </w:tc>
      </w:tr>
      <w:tr w:rsidR="00CE019E" w:rsidRPr="00A3389E" w14:paraId="05FD4A2F" w14:textId="77777777" w:rsidTr="001E06A3">
        <w:trPr>
          <w:trHeight w:val="259"/>
        </w:trPr>
        <w:tc>
          <w:tcPr>
            <w:tcW w:w="1030" w:type="dxa"/>
            <w:vAlign w:val="center"/>
          </w:tcPr>
          <w:p w14:paraId="6441DE3B"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34</w:t>
            </w:r>
          </w:p>
        </w:tc>
        <w:tc>
          <w:tcPr>
            <w:tcW w:w="7661" w:type="dxa"/>
            <w:shd w:val="clear" w:color="auto" w:fill="auto"/>
            <w:noWrap/>
            <w:vAlign w:val="bottom"/>
          </w:tcPr>
          <w:p w14:paraId="3758D56A" w14:textId="77777777"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Ak dočasné zníženie účtovnej hodnoty, opis mechanizmu navýšenia účtovnej hodnoty</w:t>
            </w:r>
            <w:r w:rsidR="00A3389E" w:rsidRPr="00A3389E">
              <w:rPr>
                <w:rFonts w:ascii="Times New Roman" w:hAnsi="Times New Roman" w:cs="Times New Roman"/>
                <w:sz w:val="24"/>
              </w:rPr>
              <w:t>.</w:t>
            </w:r>
          </w:p>
          <w:p w14:paraId="28F7FAC5" w14:textId="41035175"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opíšu mechanizmus navýšenia účtovnej hodnoty.</w:t>
            </w:r>
          </w:p>
          <w:p w14:paraId="4C5C24D1" w14:textId="7777777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2566DD77" w14:textId="77777777" w:rsidTr="001E06A3">
        <w:trPr>
          <w:trHeight w:val="259"/>
        </w:trPr>
        <w:tc>
          <w:tcPr>
            <w:tcW w:w="1030" w:type="dxa"/>
            <w:vAlign w:val="center"/>
          </w:tcPr>
          <w:p w14:paraId="6113A1E6"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34a</w:t>
            </w:r>
          </w:p>
        </w:tc>
        <w:tc>
          <w:tcPr>
            <w:tcW w:w="7661" w:type="dxa"/>
            <w:shd w:val="clear" w:color="auto" w:fill="auto"/>
            <w:noWrap/>
            <w:vAlign w:val="bottom"/>
          </w:tcPr>
          <w:p w14:paraId="4936D091" w14:textId="34201D4E"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Druh podriadenosti (len</w:t>
            </w:r>
            <w:r w:rsidR="00A3389E">
              <w:rPr>
                <w:rFonts w:ascii="Times New Roman" w:hAnsi="Times New Roman" w:cs="Times New Roman"/>
                <w:sz w:val="24"/>
              </w:rPr>
              <w:t xml:space="preserve"> v </w:t>
            </w:r>
            <w:r w:rsidRPr="00A3389E">
              <w:rPr>
                <w:rFonts w:ascii="Times New Roman" w:hAnsi="Times New Roman" w:cs="Times New Roman"/>
                <w:sz w:val="24"/>
              </w:rPr>
              <w:t>prípade oprávnených záväzkov)</w:t>
            </w:r>
          </w:p>
          <w:p w14:paraId="2A92D21D" w14:textId="78E6BAA2"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Inštitúcie uvedú, či nástroj spĺňa podmienky ktoréhokoľvek</w:t>
            </w:r>
            <w:r w:rsidR="00A3389E">
              <w:rPr>
                <w:rFonts w:ascii="Times New Roman" w:hAnsi="Times New Roman" w:cs="Times New Roman"/>
                <w:sz w:val="24"/>
              </w:rPr>
              <w:t xml:space="preserve"> z </w:t>
            </w:r>
            <w:r w:rsidRPr="00A3389E">
              <w:rPr>
                <w:rFonts w:ascii="Times New Roman" w:hAnsi="Times New Roman" w:cs="Times New Roman"/>
                <w:sz w:val="24"/>
              </w:rPr>
              <w:t>druhov podriadenosti uvedených</w:t>
            </w:r>
            <w:r w:rsidR="00A3389E">
              <w:rPr>
                <w:rFonts w:ascii="Times New Roman" w:hAnsi="Times New Roman" w:cs="Times New Roman"/>
                <w:sz w:val="24"/>
              </w:rPr>
              <w:t xml:space="preserve"> v </w:t>
            </w:r>
            <w:r w:rsidRPr="00A3389E">
              <w:rPr>
                <w:rFonts w:ascii="Times New Roman" w:hAnsi="Times New Roman" w:cs="Times New Roman"/>
                <w:sz w:val="24"/>
              </w:rPr>
              <w:t>článku 72b ods. 2 písm. d) bodoch i), ii)</w:t>
            </w:r>
            <w:r w:rsidR="00A3389E">
              <w:rPr>
                <w:rFonts w:ascii="Times New Roman" w:hAnsi="Times New Roman" w:cs="Times New Roman"/>
                <w:sz w:val="24"/>
              </w:rPr>
              <w:t xml:space="preserve"> a </w:t>
            </w:r>
            <w:r w:rsidRPr="00A3389E">
              <w:rPr>
                <w:rFonts w:ascii="Times New Roman" w:hAnsi="Times New Roman" w:cs="Times New Roman"/>
                <w:sz w:val="24"/>
              </w:rPr>
              <w:t>iii) CRR</w:t>
            </w:r>
            <w:r w:rsidR="00A3389E" w:rsidRPr="00A3389E">
              <w:rPr>
                <w:rFonts w:ascii="Times New Roman" w:hAnsi="Times New Roman" w:cs="Times New Roman"/>
                <w:sz w:val="24"/>
              </w:rPr>
              <w:t>.</w:t>
            </w:r>
          </w:p>
          <w:p w14:paraId="3C922A01" w14:textId="70DD3993"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w:t>
            </w:r>
          </w:p>
          <w:p w14:paraId="4E624174" w14:textId="50EC5EFB"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 xml:space="preserve"> [Zmluvný], ak nástroj spĺňa požiadavky stanovené</w:t>
            </w:r>
            <w:r w:rsidR="00A3389E">
              <w:rPr>
                <w:rFonts w:ascii="Times New Roman" w:hAnsi="Times New Roman" w:cs="Times New Roman"/>
                <w:i/>
                <w:sz w:val="24"/>
              </w:rPr>
              <w:t xml:space="preserve"> v </w:t>
            </w:r>
            <w:r w:rsidRPr="00A3389E">
              <w:rPr>
                <w:rFonts w:ascii="Times New Roman" w:hAnsi="Times New Roman" w:cs="Times New Roman"/>
                <w:i/>
                <w:sz w:val="24"/>
              </w:rPr>
              <w:t>článku 72b ods. 2 písm. d) bode i) CRR;</w:t>
            </w:r>
          </w:p>
          <w:p w14:paraId="2A75D7DB" w14:textId="27EEB682"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 xml:space="preserve"> [Štatutárny], ak nástroj spĺňa požiadavky stanovené</w:t>
            </w:r>
            <w:r w:rsidR="00A3389E">
              <w:rPr>
                <w:rFonts w:ascii="Times New Roman" w:hAnsi="Times New Roman" w:cs="Times New Roman"/>
                <w:i/>
                <w:sz w:val="24"/>
              </w:rPr>
              <w:t xml:space="preserve"> v </w:t>
            </w:r>
            <w:r w:rsidRPr="00A3389E">
              <w:rPr>
                <w:rFonts w:ascii="Times New Roman" w:hAnsi="Times New Roman" w:cs="Times New Roman"/>
                <w:i/>
                <w:sz w:val="24"/>
              </w:rPr>
              <w:t>článku 72b ods. 2 písm. d) bode ii) CRR;</w:t>
            </w:r>
          </w:p>
          <w:p w14:paraId="29E45467" w14:textId="1FBC0CF1" w:rsidR="00A3389E" w:rsidRPr="00A3389E" w:rsidRDefault="00CE019E" w:rsidP="001E06A3">
            <w:pPr>
              <w:spacing w:after="200"/>
              <w:jc w:val="both"/>
              <w:rPr>
                <w:rFonts w:ascii="Times New Roman" w:hAnsi="Times New Roman" w:cs="Times New Roman"/>
                <w:i/>
                <w:sz w:val="24"/>
              </w:rPr>
            </w:pPr>
            <w:r w:rsidRPr="00A3389E">
              <w:rPr>
                <w:rFonts w:ascii="Times New Roman" w:hAnsi="Times New Roman" w:cs="Times New Roman"/>
                <w:i/>
                <w:sz w:val="24"/>
              </w:rPr>
              <w:t>[Štrukturálny], ak nástroj spĺňa požiadavky stanovené</w:t>
            </w:r>
            <w:r w:rsidR="00A3389E">
              <w:rPr>
                <w:rFonts w:ascii="Times New Roman" w:hAnsi="Times New Roman" w:cs="Times New Roman"/>
                <w:i/>
                <w:sz w:val="24"/>
              </w:rPr>
              <w:t xml:space="preserve"> v </w:t>
            </w:r>
            <w:r w:rsidRPr="00A3389E">
              <w:rPr>
                <w:rFonts w:ascii="Times New Roman" w:hAnsi="Times New Roman" w:cs="Times New Roman"/>
                <w:i/>
                <w:sz w:val="24"/>
              </w:rPr>
              <w:t>článku 72b ods. 2 písm. d) bode iii) CRR</w:t>
            </w:r>
            <w:r w:rsidR="00A3389E" w:rsidRPr="00A3389E">
              <w:rPr>
                <w:rFonts w:ascii="Times New Roman" w:hAnsi="Times New Roman" w:cs="Times New Roman"/>
                <w:i/>
                <w:sz w:val="24"/>
              </w:rPr>
              <w:t>;</w:t>
            </w:r>
          </w:p>
          <w:p w14:paraId="01B20498" w14:textId="09D1A8F2"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[Výnimka</w:t>
            </w:r>
            <w:r w:rsidR="00A3389E">
              <w:rPr>
                <w:rFonts w:ascii="Times New Roman" w:hAnsi="Times New Roman" w:cs="Times New Roman"/>
                <w:i/>
                <w:sz w:val="24"/>
              </w:rPr>
              <w:t xml:space="preserve"> z </w:t>
            </w:r>
            <w:r w:rsidRPr="00A3389E">
              <w:rPr>
                <w:rFonts w:ascii="Times New Roman" w:hAnsi="Times New Roman" w:cs="Times New Roman"/>
                <w:i/>
                <w:sz w:val="24"/>
              </w:rPr>
              <w:t>podriadenosti], ak nástroj nespĺňa žiadnu</w:t>
            </w:r>
            <w:r w:rsidR="00A3389E">
              <w:rPr>
                <w:rFonts w:ascii="Times New Roman" w:hAnsi="Times New Roman" w:cs="Times New Roman"/>
                <w:i/>
                <w:sz w:val="24"/>
              </w:rPr>
              <w:t xml:space="preserve"> z </w:t>
            </w:r>
            <w:r w:rsidRPr="00A3389E">
              <w:rPr>
                <w:rFonts w:ascii="Times New Roman" w:hAnsi="Times New Roman" w:cs="Times New Roman"/>
                <w:i/>
                <w:sz w:val="24"/>
              </w:rPr>
              <w:t>uvedených foriem podriadenosti</w:t>
            </w:r>
            <w:r w:rsidR="00A3389E">
              <w:rPr>
                <w:rFonts w:ascii="Times New Roman" w:hAnsi="Times New Roman" w:cs="Times New Roman"/>
                <w:i/>
                <w:sz w:val="24"/>
              </w:rPr>
              <w:t xml:space="preserve"> a </w:t>
            </w:r>
            <w:r w:rsidRPr="00A3389E">
              <w:rPr>
                <w:rFonts w:ascii="Times New Roman" w:hAnsi="Times New Roman" w:cs="Times New Roman"/>
                <w:i/>
                <w:sz w:val="24"/>
              </w:rPr>
              <w:t>za predpokladu, že inštitúcii bolo podľa článku 72b ods. 4 CRR povolené zahrnúť nepodriadené záväzky ako položky oprávnených záväzkov.</w:t>
            </w:r>
          </w:p>
        </w:tc>
      </w:tr>
      <w:tr w:rsidR="00CE019E" w:rsidRPr="00A3389E" w14:paraId="491E8D58" w14:textId="77777777" w:rsidTr="001E06A3">
        <w:trPr>
          <w:trHeight w:val="259"/>
        </w:trPr>
        <w:tc>
          <w:tcPr>
            <w:tcW w:w="1030" w:type="dxa"/>
            <w:vAlign w:val="center"/>
          </w:tcPr>
          <w:p w14:paraId="764AD215"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lastRenderedPageBreak/>
              <w:t>EU-34b</w:t>
            </w:r>
          </w:p>
        </w:tc>
        <w:tc>
          <w:tcPr>
            <w:tcW w:w="7661" w:type="dxa"/>
            <w:shd w:val="clear" w:color="auto" w:fill="auto"/>
            <w:noWrap/>
            <w:vAlign w:val="bottom"/>
          </w:tcPr>
          <w:p w14:paraId="2F6A54C9" w14:textId="6FFAA412"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Poradie nástroja</w:t>
            </w:r>
            <w:r w:rsidR="00A3389E">
              <w:rPr>
                <w:rFonts w:ascii="Times New Roman" w:hAnsi="Times New Roman" w:cs="Times New Roman"/>
                <w:sz w:val="24"/>
              </w:rPr>
              <w:t xml:space="preserve"> v </w:t>
            </w:r>
            <w:r w:rsidRPr="00A3389E">
              <w:rPr>
                <w:rFonts w:ascii="Times New Roman" w:hAnsi="Times New Roman" w:cs="Times New Roman"/>
                <w:sz w:val="24"/>
              </w:rPr>
              <w:t>bežnom konkurznom konaní</w:t>
            </w:r>
          </w:p>
          <w:p w14:paraId="1D435EE4" w14:textId="17ABF2D3"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poradie nástroja</w:t>
            </w:r>
            <w:r w:rsidR="00A3389E">
              <w:rPr>
                <w:rFonts w:ascii="Times New Roman" w:hAnsi="Times New Roman" w:cs="Times New Roman"/>
                <w:sz w:val="24"/>
              </w:rPr>
              <w:t xml:space="preserve"> v </w:t>
            </w:r>
            <w:r w:rsidRPr="00A3389E">
              <w:rPr>
                <w:rFonts w:ascii="Times New Roman" w:hAnsi="Times New Roman" w:cs="Times New Roman"/>
                <w:sz w:val="24"/>
              </w:rPr>
              <w:t>bežnom konkurznom konaní.</w:t>
            </w:r>
          </w:p>
          <w:p w14:paraId="3C9C0953" w14:textId="4F83D8CC"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i/>
                <w:sz w:val="24"/>
              </w:rPr>
              <w:t>Ako sa vymedzuje vo [vykonávacích technických predpisoch</w:t>
            </w:r>
            <w:r w:rsidR="00A3389E">
              <w:rPr>
                <w:rFonts w:ascii="Times New Roman" w:hAnsi="Times New Roman" w:cs="Times New Roman"/>
                <w:i/>
                <w:sz w:val="24"/>
              </w:rPr>
              <w:t xml:space="preserve"> o </w:t>
            </w:r>
            <w:r w:rsidRPr="00A3389E">
              <w:rPr>
                <w:rFonts w:ascii="Times New Roman" w:hAnsi="Times New Roman" w:cs="Times New Roman"/>
                <w:i/>
                <w:sz w:val="24"/>
              </w:rPr>
              <w:t>vykazovaní MREL].</w:t>
            </w:r>
          </w:p>
        </w:tc>
      </w:tr>
      <w:tr w:rsidR="00CE019E" w:rsidRPr="00A3389E" w14:paraId="7588DDF3" w14:textId="77777777" w:rsidTr="001E06A3">
        <w:trPr>
          <w:trHeight w:val="259"/>
        </w:trPr>
        <w:tc>
          <w:tcPr>
            <w:tcW w:w="1030" w:type="dxa"/>
            <w:vAlign w:val="center"/>
          </w:tcPr>
          <w:p w14:paraId="34213ACB"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35</w:t>
            </w:r>
          </w:p>
        </w:tc>
        <w:tc>
          <w:tcPr>
            <w:tcW w:w="7661" w:type="dxa"/>
            <w:shd w:val="clear" w:color="auto" w:fill="auto"/>
            <w:noWrap/>
            <w:vAlign w:val="bottom"/>
          </w:tcPr>
          <w:p w14:paraId="79D93EB5" w14:textId="0253282D"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Pozícia</w:t>
            </w:r>
            <w:r w:rsidR="00A3389E">
              <w:rPr>
                <w:rFonts w:ascii="Times New Roman" w:hAnsi="Times New Roman" w:cs="Times New Roman"/>
                <w:sz w:val="24"/>
              </w:rPr>
              <w:t xml:space="preserve"> v </w:t>
            </w:r>
            <w:r w:rsidRPr="00A3389E">
              <w:rPr>
                <w:rFonts w:ascii="Times New Roman" w:hAnsi="Times New Roman" w:cs="Times New Roman"/>
                <w:sz w:val="24"/>
              </w:rPr>
              <w:t>hierarchii podriadenosti</w:t>
            </w:r>
            <w:r w:rsidR="00A3389E">
              <w:rPr>
                <w:rFonts w:ascii="Times New Roman" w:hAnsi="Times New Roman" w:cs="Times New Roman"/>
                <w:sz w:val="24"/>
              </w:rPr>
              <w:t xml:space="preserve"> v </w:t>
            </w:r>
            <w:r w:rsidRPr="00A3389E">
              <w:rPr>
                <w:rFonts w:ascii="Times New Roman" w:hAnsi="Times New Roman" w:cs="Times New Roman"/>
                <w:sz w:val="24"/>
              </w:rPr>
              <w:t>prípade likvidácie (uveďte druh nástroja bezprostredne nadradeného danému nástroju).</w:t>
            </w:r>
          </w:p>
          <w:p w14:paraId="1E47921A"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nástroj, ktorému je daný nástroj priamo podriadený. Ak je to vhodné, banky vo vyplnenej tabuľke pre hlavné charakteristiky špecifikujú čísla stĺpcov nástrojov, ktorým je daný nástroj priamo podriadený.</w:t>
            </w:r>
          </w:p>
          <w:p w14:paraId="3ABCBC19" w14:textId="77777777"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6FC33564" w14:textId="77777777" w:rsidTr="001E06A3">
        <w:trPr>
          <w:trHeight w:val="259"/>
        </w:trPr>
        <w:tc>
          <w:tcPr>
            <w:tcW w:w="1030" w:type="dxa"/>
            <w:vAlign w:val="center"/>
          </w:tcPr>
          <w:p w14:paraId="1EB7AF70"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36</w:t>
            </w:r>
          </w:p>
        </w:tc>
        <w:tc>
          <w:tcPr>
            <w:tcW w:w="7661" w:type="dxa"/>
            <w:shd w:val="clear" w:color="auto" w:fill="auto"/>
            <w:noWrap/>
            <w:vAlign w:val="bottom"/>
          </w:tcPr>
          <w:p w14:paraId="07D20E6B"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Charakteristiky nespĺňajúce požiadavky</w:t>
            </w:r>
          </w:p>
          <w:p w14:paraId="207FD13A"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uvedú, či existujú charakteristiky nespĺňajúce požiadavky.</w:t>
            </w:r>
          </w:p>
          <w:p w14:paraId="628A53F1" w14:textId="3542299B"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Vyberte</w:t>
            </w:r>
            <w:r w:rsidR="00A3389E">
              <w:rPr>
                <w:rFonts w:ascii="Times New Roman" w:hAnsi="Times New Roman" w:cs="Times New Roman"/>
                <w:i/>
                <w:sz w:val="24"/>
              </w:rPr>
              <w:t xml:space="preserve"> z </w:t>
            </w:r>
            <w:r w:rsidRPr="00A3389E">
              <w:rPr>
                <w:rFonts w:ascii="Times New Roman" w:hAnsi="Times New Roman" w:cs="Times New Roman"/>
                <w:i/>
                <w:sz w:val="24"/>
              </w:rPr>
              <w:t>ponuky: [Áno] [Nie]</w:t>
            </w:r>
          </w:p>
        </w:tc>
      </w:tr>
      <w:tr w:rsidR="00CE019E" w:rsidRPr="00A3389E" w14:paraId="01372B12" w14:textId="77777777" w:rsidTr="001E06A3">
        <w:trPr>
          <w:trHeight w:val="259"/>
        </w:trPr>
        <w:tc>
          <w:tcPr>
            <w:tcW w:w="1030" w:type="dxa"/>
            <w:vAlign w:val="center"/>
          </w:tcPr>
          <w:p w14:paraId="2EE42C4C"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37</w:t>
            </w:r>
          </w:p>
        </w:tc>
        <w:tc>
          <w:tcPr>
            <w:tcW w:w="7661" w:type="dxa"/>
            <w:shd w:val="clear" w:color="auto" w:fill="auto"/>
            <w:noWrap/>
            <w:vAlign w:val="bottom"/>
          </w:tcPr>
          <w:p w14:paraId="028439E7"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Ak áno, uveďte charakteristiky nespĺňajúce požiadavky.</w:t>
            </w:r>
          </w:p>
          <w:p w14:paraId="7B26226D" w14:textId="5A5F813B" w:rsidR="00A3389E" w:rsidRPr="00A3389E" w:rsidRDefault="00CE019E" w:rsidP="001E06A3">
            <w:pPr>
              <w:spacing w:after="200"/>
              <w:jc w:val="both"/>
              <w:rPr>
                <w:rFonts w:ascii="Times New Roman" w:hAnsi="Times New Roman" w:cs="Times New Roman"/>
                <w:sz w:val="24"/>
              </w:rPr>
            </w:pPr>
            <w:r w:rsidRPr="00A3389E">
              <w:rPr>
                <w:rFonts w:ascii="Times New Roman" w:hAnsi="Times New Roman" w:cs="Times New Roman"/>
                <w:sz w:val="24"/>
              </w:rPr>
              <w:t>V prípade charakteristík nespĺňajúcich požiadavky inštitúcia uvedie,</w:t>
            </w:r>
            <w:r w:rsidR="00A3389E">
              <w:rPr>
                <w:rFonts w:ascii="Times New Roman" w:hAnsi="Times New Roman" w:cs="Times New Roman"/>
                <w:sz w:val="24"/>
              </w:rPr>
              <w:t xml:space="preserve"> o </w:t>
            </w:r>
            <w:r w:rsidRPr="00A3389E">
              <w:rPr>
                <w:rFonts w:ascii="Times New Roman" w:hAnsi="Times New Roman" w:cs="Times New Roman"/>
                <w:sz w:val="24"/>
              </w:rPr>
              <w:t>ktoré charakteristiky ide</w:t>
            </w:r>
            <w:r w:rsidR="00A3389E" w:rsidRPr="00A3389E">
              <w:rPr>
                <w:rFonts w:ascii="Times New Roman" w:hAnsi="Times New Roman" w:cs="Times New Roman"/>
                <w:sz w:val="24"/>
              </w:rPr>
              <w:t>.</w:t>
            </w:r>
          </w:p>
          <w:p w14:paraId="1F830A84" w14:textId="5D9368BE" w:rsidR="00CE019E" w:rsidRPr="00A3389E" w:rsidRDefault="00CE019E" w:rsidP="001E06A3">
            <w:pPr>
              <w:spacing w:after="200"/>
              <w:jc w:val="both"/>
              <w:rPr>
                <w:rFonts w:ascii="Times New Roman" w:eastAsia="Times New Roman" w:hAnsi="Times New Roman" w:cs="Times New Roman"/>
                <w:i/>
                <w:sz w:val="24"/>
              </w:rPr>
            </w:pPr>
            <w:r w:rsidRPr="00A3389E">
              <w:rPr>
                <w:rFonts w:ascii="Times New Roman" w:hAnsi="Times New Roman" w:cs="Times New Roman"/>
                <w:i/>
                <w:sz w:val="24"/>
              </w:rPr>
              <w:t>Ľubovoľný text</w:t>
            </w:r>
          </w:p>
        </w:tc>
      </w:tr>
      <w:tr w:rsidR="00CE019E" w:rsidRPr="00A3389E" w14:paraId="37FB80F3" w14:textId="77777777" w:rsidTr="001E06A3">
        <w:trPr>
          <w:trHeight w:val="259"/>
        </w:trPr>
        <w:tc>
          <w:tcPr>
            <w:tcW w:w="1030" w:type="dxa"/>
            <w:vAlign w:val="center"/>
          </w:tcPr>
          <w:p w14:paraId="3C7BFF19" w14:textId="77777777" w:rsidR="00CE019E" w:rsidRPr="00A3389E" w:rsidRDefault="00CE019E" w:rsidP="001E06A3">
            <w:pPr>
              <w:spacing w:after="200" w:line="276" w:lineRule="auto"/>
              <w:rPr>
                <w:rFonts w:ascii="Times New Roman" w:eastAsia="Times New Roman" w:hAnsi="Times New Roman" w:cs="Times New Roman"/>
                <w:sz w:val="24"/>
              </w:rPr>
            </w:pPr>
            <w:r w:rsidRPr="00A3389E">
              <w:rPr>
                <w:rFonts w:ascii="Times New Roman" w:hAnsi="Times New Roman" w:cs="Times New Roman"/>
                <w:sz w:val="24"/>
              </w:rPr>
              <w:t>EU-37a</w:t>
            </w:r>
          </w:p>
        </w:tc>
        <w:tc>
          <w:tcPr>
            <w:tcW w:w="7661" w:type="dxa"/>
            <w:shd w:val="clear" w:color="auto" w:fill="auto"/>
            <w:noWrap/>
            <w:vAlign w:val="bottom"/>
          </w:tcPr>
          <w:p w14:paraId="7BF62657" w14:textId="7777777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Odkaz na úplné podmienky nástroja (označenie)</w:t>
            </w:r>
          </w:p>
          <w:p w14:paraId="2D29CF1E" w14:textId="3A5C1A57" w:rsidR="00CE019E" w:rsidRPr="00A3389E" w:rsidRDefault="00CE019E" w:rsidP="001E06A3">
            <w:pPr>
              <w:spacing w:after="200"/>
              <w:jc w:val="both"/>
              <w:rPr>
                <w:rFonts w:ascii="Times New Roman" w:eastAsia="Times New Roman" w:hAnsi="Times New Roman" w:cs="Times New Roman"/>
                <w:sz w:val="24"/>
              </w:rPr>
            </w:pPr>
            <w:r w:rsidRPr="00A3389E">
              <w:rPr>
                <w:rFonts w:ascii="Times New Roman" w:hAnsi="Times New Roman" w:cs="Times New Roman"/>
                <w:sz w:val="24"/>
              </w:rPr>
              <w:t>Inštitúcie zahrnú hypertextový odkaz, ktorý umožňuje prístup</w:t>
            </w:r>
            <w:r w:rsidR="00A3389E">
              <w:rPr>
                <w:rFonts w:ascii="Times New Roman" w:hAnsi="Times New Roman" w:cs="Times New Roman"/>
                <w:sz w:val="24"/>
              </w:rPr>
              <w:t xml:space="preserve"> k </w:t>
            </w:r>
            <w:r w:rsidRPr="00A3389E">
              <w:rPr>
                <w:rFonts w:ascii="Times New Roman" w:hAnsi="Times New Roman" w:cs="Times New Roman"/>
                <w:sz w:val="24"/>
              </w:rPr>
              <w:t>prospektu emisie vrátane všetkých podmienok nástroja.</w:t>
            </w:r>
          </w:p>
        </w:tc>
      </w:tr>
    </w:tbl>
    <w:p w14:paraId="0B169D47" w14:textId="77777777" w:rsidR="007A7DC0" w:rsidRPr="00A3389E" w:rsidRDefault="007A7DC0" w:rsidP="00CE019E">
      <w:pPr>
        <w:rPr>
          <w:rFonts w:ascii="Times New Roman" w:hAnsi="Times New Roman" w:cs="Times New Roman"/>
          <w:bCs/>
          <w:sz w:val="24"/>
        </w:rPr>
        <w:sectPr w:rsidR="007A7DC0" w:rsidRPr="00A3389E" w:rsidSect="00155C96">
          <w:pgSz w:w="11900" w:h="16840"/>
          <w:pgMar w:top="2268" w:right="1418" w:bottom="1134" w:left="1701" w:header="709" w:footer="709" w:gutter="0"/>
          <w:pgNumType w:start="1" w:chapStyle="1"/>
          <w:cols w:space="708"/>
          <w:docGrid w:linePitch="299"/>
        </w:sectPr>
      </w:pPr>
    </w:p>
    <w:p w14:paraId="3D41CD64" w14:textId="4E3B3D90" w:rsidR="00CE019E" w:rsidRPr="00A3389E" w:rsidRDefault="00CE019E" w:rsidP="00E258D8">
      <w:pPr>
        <w:tabs>
          <w:tab w:val="left" w:pos="1430"/>
        </w:tabs>
        <w:rPr>
          <w:rFonts w:ascii="Times New Roman" w:hAnsi="Times New Roman" w:cs="Times New Roman"/>
          <w:b/>
          <w:sz w:val="24"/>
        </w:rPr>
      </w:pPr>
    </w:p>
    <w:p w14:paraId="69D9CF70" w14:textId="62077320" w:rsidR="00CE019E" w:rsidRPr="00A3389E" w:rsidRDefault="00CE019E" w:rsidP="00CE019E">
      <w:pPr>
        <w:pStyle w:val="Annexetitre"/>
        <w:rPr>
          <w:b w:val="0"/>
        </w:rPr>
      </w:pPr>
      <w:r w:rsidRPr="00A3389E">
        <w:t>PRÍLOHA X – Pokyny na zverejňovanie informácií</w:t>
      </w:r>
      <w:r w:rsidR="00A3389E">
        <w:t xml:space="preserve"> o </w:t>
      </w:r>
      <w:r w:rsidRPr="00A3389E">
        <w:t>proticyklických kapitálových vankúšoch</w:t>
      </w:r>
    </w:p>
    <w:p w14:paraId="63F7E81B" w14:textId="77777777" w:rsidR="00CE019E" w:rsidRPr="00A3389E" w:rsidRDefault="00CE019E" w:rsidP="00CE019E">
      <w:pPr>
        <w:autoSpaceDE w:val="0"/>
        <w:autoSpaceDN w:val="0"/>
        <w:adjustRightInd w:val="0"/>
        <w:jc w:val="both"/>
        <w:rPr>
          <w:rFonts w:ascii="Times New Roman" w:hAnsi="Times New Roman" w:cs="Times New Roman"/>
          <w:b/>
          <w:sz w:val="24"/>
        </w:rPr>
      </w:pPr>
    </w:p>
    <w:p w14:paraId="063F946E" w14:textId="77777777" w:rsidR="00A3389E" w:rsidRPr="00A3389E" w:rsidRDefault="00CD362D" w:rsidP="00CE019E">
      <w:pPr>
        <w:autoSpaceDE w:val="0"/>
        <w:autoSpaceDN w:val="0"/>
        <w:adjustRightInd w:val="0"/>
        <w:jc w:val="both"/>
        <w:rPr>
          <w:rFonts w:ascii="Times New Roman" w:hAnsi="Times New Roman" w:cs="Times New Roman"/>
          <w:sz w:val="24"/>
        </w:rPr>
      </w:pPr>
      <w:r w:rsidRPr="00A3389E">
        <w:rPr>
          <w:rFonts w:ascii="Times New Roman" w:hAnsi="Times New Roman" w:cs="Times New Roman"/>
          <w:b/>
          <w:sz w:val="24"/>
        </w:rPr>
        <w:t xml:space="preserve">Vzor EU CCyB1 – Geografické rozdelenie expozícií voči kreditnému riziku relevantných na účely výpočtu proticyklického kapitálového vankúša. </w:t>
      </w:r>
      <w:r w:rsidRPr="00A3389E">
        <w:rPr>
          <w:rFonts w:ascii="Times New Roman" w:hAnsi="Times New Roman" w:cs="Times New Roman"/>
          <w:sz w:val="24"/>
        </w:rPr>
        <w:t>Pevný formát stĺpcov, flexibilný formát riadkov</w:t>
      </w:r>
      <w:r w:rsidR="00A3389E" w:rsidRPr="00A3389E">
        <w:rPr>
          <w:rFonts w:ascii="Times New Roman" w:hAnsi="Times New Roman" w:cs="Times New Roman"/>
          <w:sz w:val="24"/>
        </w:rPr>
        <w:t>.</w:t>
      </w:r>
    </w:p>
    <w:p w14:paraId="12FF73C2" w14:textId="0103B4E6" w:rsidR="00CE019E" w:rsidRPr="00A3389E" w:rsidRDefault="00CE019E" w:rsidP="00CE019E">
      <w:pPr>
        <w:autoSpaceDE w:val="0"/>
        <w:autoSpaceDN w:val="0"/>
        <w:adjustRightInd w:val="0"/>
        <w:jc w:val="both"/>
        <w:rPr>
          <w:rFonts w:ascii="Times New Roman" w:hAnsi="Times New Roman" w:cs="Times New Roman"/>
          <w:b/>
          <w:sz w:val="24"/>
        </w:rPr>
      </w:pPr>
    </w:p>
    <w:p w14:paraId="0D1A95C8" w14:textId="0402EF15" w:rsidR="00A3389E" w:rsidRPr="00B53505" w:rsidRDefault="00A3389E" w:rsidP="00A3389E">
      <w:pPr>
        <w:spacing w:before="120" w:after="120"/>
        <w:ind w:left="425" w:hanging="357"/>
        <w:jc w:val="both"/>
        <w:rPr>
          <w:rFonts w:ascii="Times New Roman" w:hAnsi="Times New Roman"/>
          <w:spacing w:val="-4"/>
          <w:sz w:val="24"/>
        </w:rPr>
      </w:pPr>
      <w:r w:rsidRPr="00A3389E">
        <w:rPr>
          <w:rFonts w:ascii="Times New Roman" w:eastAsia="Calibri" w:hAnsi="Times New Roman" w:cs="Times New Roman"/>
          <w:sz w:val="24"/>
          <w:szCs w:val="22"/>
        </w:rPr>
        <w:t>1.</w:t>
      </w:r>
      <w:r w:rsidRPr="00A3389E">
        <w:rPr>
          <w:rFonts w:ascii="Times New Roman" w:eastAsia="Calibri" w:hAnsi="Times New Roman" w:cs="Times New Roman"/>
          <w:sz w:val="24"/>
          <w:szCs w:val="22"/>
        </w:rPr>
        <w:tab/>
      </w:r>
      <w:r w:rsidR="00CE019E" w:rsidRPr="00B53505">
        <w:rPr>
          <w:rFonts w:ascii="Times New Roman" w:hAnsi="Times New Roman"/>
          <w:spacing w:val="-4"/>
          <w:sz w:val="24"/>
        </w:rPr>
        <w:t>Inštitúcie zverejňujú informácie uvedené</w:t>
      </w:r>
      <w:r w:rsidRPr="00B53505">
        <w:rPr>
          <w:rFonts w:ascii="Times New Roman" w:hAnsi="Times New Roman"/>
          <w:spacing w:val="-4"/>
          <w:sz w:val="24"/>
        </w:rPr>
        <w:t xml:space="preserve"> v </w:t>
      </w:r>
      <w:r w:rsidR="00CE019E" w:rsidRPr="00B53505">
        <w:rPr>
          <w:rFonts w:ascii="Times New Roman" w:hAnsi="Times New Roman"/>
          <w:spacing w:val="-4"/>
          <w:sz w:val="24"/>
        </w:rPr>
        <w:t xml:space="preserve">článku 440 písm. a) nariadenia (EÚ) </w:t>
      </w:r>
      <w:r w:rsidRPr="00B53505">
        <w:rPr>
          <w:rFonts w:ascii="Times New Roman" w:hAnsi="Times New Roman"/>
          <w:spacing w:val="-4"/>
          <w:sz w:val="24"/>
        </w:rPr>
        <w:t>č. </w:t>
      </w:r>
      <w:r w:rsidR="00CE019E" w:rsidRPr="00B53505">
        <w:rPr>
          <w:rFonts w:ascii="Times New Roman" w:hAnsi="Times New Roman"/>
          <w:spacing w:val="-4"/>
          <w:sz w:val="24"/>
        </w:rPr>
        <w:t>575/2013</w:t>
      </w:r>
      <w:r w:rsidR="00CE019E" w:rsidRPr="00B53505">
        <w:rPr>
          <w:rStyle w:val="FootnoteReference"/>
          <w:rFonts w:ascii="Times New Roman" w:hAnsi="Times New Roman" w:cs="Times New Roman"/>
          <w:spacing w:val="-4"/>
        </w:rPr>
        <w:footnoteReference w:id="17"/>
      </w:r>
      <w:r w:rsidR="00CE019E" w:rsidRPr="00B53505">
        <w:rPr>
          <w:rFonts w:ascii="Times New Roman" w:hAnsi="Times New Roman"/>
          <w:spacing w:val="-4"/>
          <w:sz w:val="24"/>
        </w:rPr>
        <w:t xml:space="preserve"> („CRR“) podľa pokynov uvedených nižšie</w:t>
      </w:r>
      <w:r w:rsidRPr="00B53505">
        <w:rPr>
          <w:rFonts w:ascii="Times New Roman" w:hAnsi="Times New Roman"/>
          <w:spacing w:val="-4"/>
          <w:sz w:val="24"/>
        </w:rPr>
        <w:t xml:space="preserve"> v </w:t>
      </w:r>
      <w:r w:rsidR="00CE019E" w:rsidRPr="00B53505">
        <w:rPr>
          <w:rFonts w:ascii="Times New Roman" w:hAnsi="Times New Roman"/>
          <w:spacing w:val="-4"/>
          <w:sz w:val="24"/>
        </w:rPr>
        <w:t>tejto prílohe</w:t>
      </w:r>
      <w:r w:rsidRPr="00B53505">
        <w:rPr>
          <w:rFonts w:ascii="Times New Roman" w:hAnsi="Times New Roman"/>
          <w:spacing w:val="-4"/>
          <w:sz w:val="24"/>
        </w:rPr>
        <w:t xml:space="preserve"> s </w:t>
      </w:r>
      <w:r w:rsidR="00CE019E" w:rsidRPr="00B53505">
        <w:rPr>
          <w:rFonts w:ascii="Times New Roman" w:hAnsi="Times New Roman"/>
          <w:spacing w:val="-4"/>
          <w:sz w:val="24"/>
        </w:rPr>
        <w:t>cieľom vyplniť vzor EU CCyB1, ktorý je uvedený</w:t>
      </w:r>
      <w:r w:rsidRPr="00B53505">
        <w:rPr>
          <w:rFonts w:ascii="Times New Roman" w:hAnsi="Times New Roman"/>
          <w:spacing w:val="-4"/>
          <w:sz w:val="24"/>
        </w:rPr>
        <w:t xml:space="preserve"> v </w:t>
      </w:r>
      <w:r w:rsidR="00CE019E" w:rsidRPr="00B53505">
        <w:rPr>
          <w:rFonts w:ascii="Times New Roman" w:hAnsi="Times New Roman"/>
          <w:spacing w:val="-4"/>
          <w:sz w:val="24"/>
        </w:rPr>
        <w:t>prílohe IX</w:t>
      </w:r>
      <w:r w:rsidRPr="00B53505">
        <w:rPr>
          <w:rFonts w:ascii="Times New Roman" w:hAnsi="Times New Roman"/>
          <w:spacing w:val="-4"/>
          <w:sz w:val="24"/>
        </w:rPr>
        <w:t xml:space="preserve"> k </w:t>
      </w:r>
      <w:r w:rsidR="00CE019E" w:rsidRPr="00B53505">
        <w:rPr>
          <w:rFonts w:ascii="Times New Roman" w:hAnsi="Times New Roman"/>
          <w:spacing w:val="-4"/>
          <w:sz w:val="24"/>
        </w:rPr>
        <w:t>tomuto vykonávaciemu nariadeniu</w:t>
      </w:r>
      <w:r w:rsidRPr="00B53505">
        <w:rPr>
          <w:rFonts w:ascii="Times New Roman" w:hAnsi="Times New Roman"/>
          <w:spacing w:val="-4"/>
          <w:sz w:val="24"/>
        </w:rPr>
        <w:t>.</w:t>
      </w:r>
    </w:p>
    <w:p w14:paraId="766E97DB" w14:textId="399AFEB5" w:rsidR="00CE019E" w:rsidRPr="00A3389E" w:rsidRDefault="00A3389E" w:rsidP="00A3389E">
      <w:pPr>
        <w:spacing w:before="120" w:after="120"/>
        <w:ind w:left="360" w:hanging="357"/>
        <w:contextualSpacing/>
        <w:jc w:val="both"/>
        <w:rPr>
          <w:rFonts w:ascii="Times New Roman" w:hAnsi="Times New Roman"/>
          <w:sz w:val="24"/>
        </w:rPr>
      </w:pPr>
      <w:r w:rsidRPr="00A3389E">
        <w:rPr>
          <w:rFonts w:ascii="Times New Roman" w:eastAsia="Calibri" w:hAnsi="Times New Roman" w:cs="Times New Roman"/>
          <w:sz w:val="24"/>
        </w:rPr>
        <w:t>2.</w:t>
      </w:r>
      <w:r w:rsidRPr="00A3389E">
        <w:rPr>
          <w:rFonts w:ascii="Times New Roman" w:eastAsia="Calibri" w:hAnsi="Times New Roman" w:cs="Times New Roman"/>
          <w:sz w:val="24"/>
        </w:rPr>
        <w:tab/>
      </w:r>
      <w:r w:rsidR="00CE019E" w:rsidRPr="00A3389E">
        <w:rPr>
          <w:rFonts w:ascii="Times New Roman" w:hAnsi="Times New Roman"/>
          <w:sz w:val="24"/>
        </w:rPr>
        <w:t>Rozsah vzoru EU CCyB1 je obmedzený na expozície voči kreditnému riziku relevantné na účely výpočtu proticyklického kapitálového vankúša (CCyB)</w:t>
      </w:r>
      <w:r>
        <w:rPr>
          <w:rFonts w:ascii="Times New Roman" w:hAnsi="Times New Roman"/>
          <w:sz w:val="24"/>
        </w:rPr>
        <w:t xml:space="preserve"> v </w:t>
      </w:r>
      <w:r w:rsidR="00CE019E" w:rsidRPr="00A3389E">
        <w:rPr>
          <w:rFonts w:ascii="Times New Roman" w:hAnsi="Times New Roman"/>
          <w:sz w:val="24"/>
        </w:rPr>
        <w:t>súlade</w:t>
      </w:r>
      <w:r>
        <w:rPr>
          <w:rFonts w:ascii="Times New Roman" w:hAnsi="Times New Roman"/>
          <w:sz w:val="24"/>
        </w:rPr>
        <w:t xml:space="preserve"> s </w:t>
      </w:r>
      <w:r w:rsidR="00CE019E" w:rsidRPr="00A3389E">
        <w:rPr>
          <w:rFonts w:ascii="Times New Roman" w:hAnsi="Times New Roman"/>
          <w:sz w:val="24"/>
        </w:rPr>
        <w:t>článkom 140 ods. 4 smernice 2013/36/EÚ</w:t>
      </w:r>
      <w:r w:rsidR="00CE019E" w:rsidRPr="00A3389E">
        <w:rPr>
          <w:rStyle w:val="FootnoteReference"/>
          <w:rFonts w:ascii="Times New Roman" w:eastAsia="Times New Roman" w:hAnsi="Times New Roman" w:cs="Times New Roman"/>
        </w:rPr>
        <w:footnoteReference w:id="18"/>
      </w:r>
      <w:r w:rsidR="00CE019E" w:rsidRPr="00A3389E">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A3389E"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14FE2A7B" w:rsidR="00CE019E" w:rsidRPr="00A3389E" w:rsidRDefault="00CE019E" w:rsidP="001E06A3">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CE019E" w:rsidRPr="00A3389E" w14:paraId="3232A836" w14:textId="77777777" w:rsidTr="001E06A3">
        <w:trPr>
          <w:trHeight w:val="238"/>
        </w:trPr>
        <w:tc>
          <w:tcPr>
            <w:tcW w:w="1384" w:type="dxa"/>
            <w:shd w:val="clear" w:color="auto" w:fill="D9D9D9" w:themeFill="background1" w:themeFillShade="D9"/>
          </w:tcPr>
          <w:p w14:paraId="09952E28" w14:textId="77777777" w:rsidR="00CE019E" w:rsidRPr="00A3389E" w:rsidRDefault="00CE019E" w:rsidP="001E06A3">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3B1866F5" w14:textId="77777777" w:rsidR="00CE019E" w:rsidRPr="00A3389E" w:rsidRDefault="00CE019E" w:rsidP="001E06A3">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CE019E" w:rsidRPr="00A3389E" w14:paraId="732DDEA5" w14:textId="77777777" w:rsidTr="001E06A3">
        <w:trPr>
          <w:trHeight w:val="4381"/>
        </w:trPr>
        <w:tc>
          <w:tcPr>
            <w:tcW w:w="1384" w:type="dxa"/>
          </w:tcPr>
          <w:p w14:paraId="5C6BE5F9" w14:textId="77777777" w:rsidR="00CE019E" w:rsidRPr="00A3389E" w:rsidRDefault="00CE019E" w:rsidP="001E06A3">
            <w:pPr>
              <w:pStyle w:val="Applicationdirecte"/>
              <w:spacing w:before="120"/>
            </w:pPr>
            <w:r w:rsidRPr="00A3389E">
              <w:t>010 – 01X</w:t>
            </w:r>
          </w:p>
        </w:tc>
        <w:tc>
          <w:tcPr>
            <w:tcW w:w="7655" w:type="dxa"/>
          </w:tcPr>
          <w:p w14:paraId="326270CD" w14:textId="77777777" w:rsidR="00CE019E" w:rsidRPr="00A3389E" w:rsidRDefault="00CE019E" w:rsidP="001E06A3">
            <w:pPr>
              <w:pStyle w:val="Applicationdirecte"/>
              <w:spacing w:before="120"/>
              <w:rPr>
                <w:b/>
              </w:rPr>
            </w:pPr>
            <w:r w:rsidRPr="00A3389E">
              <w:rPr>
                <w:b/>
              </w:rPr>
              <w:t>Rozčlenenie podľa krajín</w:t>
            </w:r>
          </w:p>
          <w:p w14:paraId="058E3F2B" w14:textId="6B08C225" w:rsidR="00CE019E" w:rsidRPr="00A3389E" w:rsidRDefault="00CE019E" w:rsidP="001E06A3">
            <w:pPr>
              <w:pStyle w:val="Applicationdirecte"/>
              <w:spacing w:before="120"/>
            </w:pPr>
            <w:r w:rsidRPr="00A3389E">
              <w:t>Zoznam krajín,</w:t>
            </w:r>
            <w:r w:rsidR="00A3389E">
              <w:t xml:space="preserve"> v </w:t>
            </w:r>
            <w:r w:rsidRPr="00A3389E">
              <w:t>ktorých má inštitúcia expozície voči kreditnému riziku relevantné na účely výpočtu proticyklického vankúša špecifického pre inštitúciu</w:t>
            </w:r>
            <w:r w:rsidR="00A3389E">
              <w:t xml:space="preserve"> v </w:t>
            </w:r>
            <w:r w:rsidRPr="00A3389E">
              <w:t>súlade</w:t>
            </w:r>
            <w:r w:rsidR="00A3389E">
              <w:t xml:space="preserve"> s </w:t>
            </w:r>
            <w:r w:rsidRPr="00A3389E">
              <w:t xml:space="preserve">delegovaným nariadením Komisie (EÚ) </w:t>
            </w:r>
            <w:r w:rsidR="00A3389E">
              <w:t>č. </w:t>
            </w:r>
            <w:r w:rsidRPr="00A3389E">
              <w:t>1152/2014</w:t>
            </w:r>
            <w:r w:rsidRPr="00A3389E">
              <w:rPr>
                <w:rStyle w:val="FootnoteReference"/>
                <w:rFonts w:ascii="Times New Roman" w:hAnsi="Times New Roman"/>
              </w:rPr>
              <w:footnoteReference w:id="19"/>
            </w:r>
            <w:r w:rsidRPr="00A3389E">
              <w:t>.</w:t>
            </w:r>
          </w:p>
          <w:p w14:paraId="3D1A0E2B" w14:textId="359946B8" w:rsidR="00CE019E" w:rsidRPr="00A3389E" w:rsidRDefault="00CE019E" w:rsidP="001E06A3">
            <w:pPr>
              <w:pStyle w:val="Fait"/>
              <w:spacing w:after="120"/>
            </w:pPr>
            <w:r w:rsidRPr="00A3389E">
              <w:t>Počet riadkov sa môže líšiť</w:t>
            </w:r>
            <w:r w:rsidR="00A3389E">
              <w:t xml:space="preserve"> v </w:t>
            </w:r>
            <w:r w:rsidRPr="00A3389E">
              <w:t>závislosti od počtu krajín,</w:t>
            </w:r>
            <w:r w:rsidR="00A3389E">
              <w:t xml:space="preserve"> v </w:t>
            </w:r>
            <w:r w:rsidRPr="00A3389E">
              <w:t>ktorých má inštitúcia svoje expozície voči kreditnému riziku relevantné na účely výpočtu proticyklického vankúša. Inštitúcie očíslujú riadky pre každú krajinu postupne, začínajúc od 010.</w:t>
            </w:r>
          </w:p>
          <w:p w14:paraId="2B9E4E48" w14:textId="6BF2927C" w:rsidR="00CE019E" w:rsidRPr="00A3389E" w:rsidRDefault="00CE019E" w:rsidP="001E06A3">
            <w:pPr>
              <w:spacing w:after="120"/>
              <w:jc w:val="both"/>
              <w:rPr>
                <w:rFonts w:ascii="Times New Roman" w:hAnsi="Times New Roman" w:cs="Times New Roman"/>
                <w:sz w:val="24"/>
              </w:rPr>
            </w:pPr>
            <w:r w:rsidRPr="00A3389E">
              <w:rPr>
                <w:rFonts w:ascii="Times New Roman" w:hAnsi="Times New Roman" w:cs="Times New Roman"/>
                <w:sz w:val="24"/>
              </w:rPr>
              <w:t>V 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delegovaným nariadením Komisie (EÚ) </w:t>
            </w:r>
            <w:r w:rsidR="00A3389E">
              <w:rPr>
                <w:rFonts w:ascii="Times New Roman" w:hAnsi="Times New Roman" w:cs="Times New Roman"/>
                <w:sz w:val="24"/>
              </w:rPr>
              <w:t>č. </w:t>
            </w:r>
            <w:r w:rsidRPr="00A3389E">
              <w:rPr>
                <w:rFonts w:ascii="Times New Roman" w:hAnsi="Times New Roman" w:cs="Times New Roman"/>
                <w:sz w:val="24"/>
              </w:rPr>
              <w:t>1152/2014, ak expozície</w:t>
            </w:r>
            <w:r w:rsidR="00A3389E">
              <w:rPr>
                <w:rFonts w:ascii="Times New Roman" w:hAnsi="Times New Roman" w:cs="Times New Roman"/>
                <w:sz w:val="24"/>
              </w:rPr>
              <w:t xml:space="preserve"> v </w:t>
            </w:r>
            <w:r w:rsidRPr="00A3389E">
              <w:rPr>
                <w:rFonts w:ascii="Times New Roman" w:hAnsi="Times New Roman" w:cs="Times New Roman"/>
                <w:sz w:val="24"/>
              </w:rPr>
              <w:t>obchodnej knihe alebo zahraničné expozície inštitúcie voči kreditnému riziku predstavujú menej ako 2</w:t>
            </w:r>
            <w:r w:rsidR="00A3389E">
              <w:rPr>
                <w:rFonts w:ascii="Times New Roman" w:hAnsi="Times New Roman" w:cs="Times New Roman"/>
                <w:sz w:val="24"/>
              </w:rPr>
              <w:t> %</w:t>
            </w:r>
            <w:r w:rsidRPr="00A3389E">
              <w:rPr>
                <w:rFonts w:ascii="Times New Roman" w:hAnsi="Times New Roman" w:cs="Times New Roman"/>
                <w:sz w:val="24"/>
              </w:rPr>
              <w:t xml:space="preserve"> súhrnnej hodnoty jej rizikovo vážených expozícií, inštitúcia sa môže rozhodnúť, že tieto expozície pridelí miestu inštitúcie (t. j. domovskému členskému štátu inštitúcie). Ak expozície pre miesto inštitúcie zahŕňajú expozície</w:t>
            </w:r>
            <w:r w:rsidR="00A3389E">
              <w:rPr>
                <w:rFonts w:ascii="Times New Roman" w:hAnsi="Times New Roman" w:cs="Times New Roman"/>
                <w:sz w:val="24"/>
              </w:rPr>
              <w:t xml:space="preserve"> z </w:t>
            </w:r>
            <w:r w:rsidRPr="00A3389E">
              <w:rPr>
                <w:rFonts w:ascii="Times New Roman" w:hAnsi="Times New Roman" w:cs="Times New Roman"/>
                <w:sz w:val="24"/>
              </w:rPr>
              <w:t>iných krajín, tieto expozície sa jasne identifikujú</w:t>
            </w:r>
            <w:r w:rsidR="00A3389E">
              <w:rPr>
                <w:rFonts w:ascii="Times New Roman" w:hAnsi="Times New Roman" w:cs="Times New Roman"/>
                <w:sz w:val="24"/>
              </w:rPr>
              <w:t xml:space="preserve"> v </w:t>
            </w:r>
            <w:r w:rsidRPr="00A3389E">
              <w:rPr>
                <w:rFonts w:ascii="Times New Roman" w:hAnsi="Times New Roman" w:cs="Times New Roman"/>
                <w:sz w:val="24"/>
              </w:rPr>
              <w:t>poznámke pod čiarou</w:t>
            </w:r>
            <w:r w:rsidR="00A3389E">
              <w:rPr>
                <w:rFonts w:ascii="Times New Roman" w:hAnsi="Times New Roman" w:cs="Times New Roman"/>
                <w:sz w:val="24"/>
              </w:rPr>
              <w:t xml:space="preserve"> k </w:t>
            </w:r>
            <w:r w:rsidRPr="00A3389E">
              <w:rPr>
                <w:rFonts w:ascii="Times New Roman" w:hAnsi="Times New Roman" w:cs="Times New Roman"/>
                <w:sz w:val="24"/>
              </w:rPr>
              <w:t>vzoru na zverejňovanie.</w:t>
            </w:r>
          </w:p>
        </w:tc>
      </w:tr>
      <w:tr w:rsidR="00CE019E" w:rsidRPr="00A3389E" w14:paraId="4AC65917" w14:textId="77777777" w:rsidTr="001E06A3">
        <w:trPr>
          <w:trHeight w:val="316"/>
        </w:trPr>
        <w:tc>
          <w:tcPr>
            <w:tcW w:w="1384" w:type="dxa"/>
          </w:tcPr>
          <w:p w14:paraId="41C34C83" w14:textId="77777777" w:rsidR="00CE019E" w:rsidRPr="00A3389E" w:rsidRDefault="00CE019E" w:rsidP="001E06A3">
            <w:pPr>
              <w:autoSpaceDE w:val="0"/>
              <w:autoSpaceDN w:val="0"/>
              <w:adjustRightInd w:val="0"/>
              <w:rPr>
                <w:rFonts w:ascii="Times New Roman" w:hAnsi="Times New Roman" w:cs="Times New Roman"/>
                <w:color w:val="000000"/>
                <w:sz w:val="24"/>
              </w:rPr>
            </w:pPr>
            <w:r w:rsidRPr="00A3389E">
              <w:rPr>
                <w:rFonts w:ascii="Times New Roman" w:hAnsi="Times New Roman" w:cs="Times New Roman"/>
                <w:sz w:val="24"/>
              </w:rPr>
              <w:t>020</w:t>
            </w:r>
          </w:p>
        </w:tc>
        <w:tc>
          <w:tcPr>
            <w:tcW w:w="7655" w:type="dxa"/>
          </w:tcPr>
          <w:p w14:paraId="63641A97" w14:textId="77777777" w:rsidR="00A3389E" w:rsidRPr="00A3389E" w:rsidRDefault="00CE019E" w:rsidP="001E06A3">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Spolu</w:t>
            </w:r>
          </w:p>
          <w:p w14:paraId="4EC3DB71" w14:textId="0BDCA09D" w:rsidR="00CE019E" w:rsidRPr="00A3389E" w:rsidRDefault="00CE019E" w:rsidP="001E06A3">
            <w:pPr>
              <w:autoSpaceDE w:val="0"/>
              <w:autoSpaceDN w:val="0"/>
              <w:adjustRightInd w:val="0"/>
              <w:spacing w:before="120" w:after="120"/>
              <w:rPr>
                <w:rFonts w:ascii="Times New Roman" w:eastAsia="Times New Roman" w:hAnsi="Times New Roman" w:cs="Times New Roman"/>
                <w:sz w:val="24"/>
              </w:rPr>
            </w:pPr>
            <w:r w:rsidRPr="00A3389E">
              <w:rPr>
                <w:rFonts w:ascii="Times New Roman" w:hAnsi="Times New Roman" w:cs="Times New Roman"/>
                <w:sz w:val="24"/>
              </w:rPr>
              <w:t>Hodnota opísaná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vysvetlením pre stĺpce</w:t>
            </w:r>
            <w:r w:rsidR="00A3389E">
              <w:rPr>
                <w:rFonts w:ascii="Times New Roman" w:hAnsi="Times New Roman" w:cs="Times New Roman"/>
                <w:sz w:val="24"/>
              </w:rPr>
              <w:t xml:space="preserve"> a </w:t>
            </w:r>
            <w:r w:rsidRPr="00A3389E">
              <w:rPr>
                <w:rFonts w:ascii="Times New Roman" w:hAnsi="Times New Roman" w:cs="Times New Roman"/>
                <w:sz w:val="24"/>
              </w:rPr>
              <w:t xml:space="preserve">až </w:t>
            </w:r>
            <w:r w:rsidRPr="00A3389E">
              <w:rPr>
                <w:rFonts w:ascii="Times New Roman" w:hAnsi="Times New Roman" w:cs="Times New Roman"/>
                <w:i/>
                <w:sz w:val="24"/>
              </w:rPr>
              <w:t>m</w:t>
            </w:r>
            <w:r w:rsidRPr="00A3389E">
              <w:rPr>
                <w:rFonts w:ascii="Times New Roman" w:hAnsi="Times New Roman" w:cs="Times New Roman"/>
                <w:sz w:val="24"/>
              </w:rPr>
              <w:t xml:space="preserve"> tohto vzoru.</w:t>
            </w:r>
          </w:p>
        </w:tc>
      </w:tr>
    </w:tbl>
    <w:p w14:paraId="3654956F" w14:textId="77777777" w:rsidR="00CE019E" w:rsidRPr="00A3389E"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A3389E" w14:paraId="1668164D" w14:textId="77777777" w:rsidTr="001E06A3">
        <w:trPr>
          <w:trHeight w:val="238"/>
        </w:trPr>
        <w:tc>
          <w:tcPr>
            <w:tcW w:w="9039" w:type="dxa"/>
            <w:gridSpan w:val="2"/>
            <w:shd w:val="clear" w:color="auto" w:fill="D9D9D9" w:themeFill="background1" w:themeFillShade="D9"/>
          </w:tcPr>
          <w:p w14:paraId="65F58123" w14:textId="68A137E2" w:rsidR="00CE019E" w:rsidRPr="00A3389E" w:rsidRDefault="00CE019E" w:rsidP="001E06A3">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CE019E" w:rsidRPr="00A3389E" w14:paraId="2B5ADFFC" w14:textId="77777777" w:rsidTr="001E06A3">
        <w:trPr>
          <w:trHeight w:val="238"/>
        </w:trPr>
        <w:tc>
          <w:tcPr>
            <w:tcW w:w="1384" w:type="dxa"/>
            <w:shd w:val="clear" w:color="auto" w:fill="D9D9D9" w:themeFill="background1" w:themeFillShade="D9"/>
          </w:tcPr>
          <w:p w14:paraId="322C41BE" w14:textId="77777777" w:rsidR="00CE019E" w:rsidRPr="00A3389E" w:rsidRDefault="00CE019E" w:rsidP="001E06A3">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66E2F195" w14:textId="77777777" w:rsidR="00CE019E" w:rsidRPr="00A3389E" w:rsidRDefault="00CE019E" w:rsidP="001E06A3">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Vysvetlenie</w:t>
            </w:r>
          </w:p>
        </w:tc>
      </w:tr>
      <w:tr w:rsidR="00CE019E" w:rsidRPr="00A3389E" w14:paraId="7AF21BE8" w14:textId="77777777" w:rsidTr="001E06A3">
        <w:trPr>
          <w:trHeight w:val="841"/>
        </w:trPr>
        <w:tc>
          <w:tcPr>
            <w:tcW w:w="1384" w:type="dxa"/>
          </w:tcPr>
          <w:p w14:paraId="584F8DE1" w14:textId="77777777" w:rsidR="00CE019E" w:rsidRPr="00A3389E" w:rsidRDefault="00CE019E" w:rsidP="001E06A3">
            <w:pPr>
              <w:pStyle w:val="Applicationdirecte"/>
              <w:spacing w:before="120"/>
            </w:pPr>
            <w:r w:rsidRPr="00A3389E">
              <w:t>a</w:t>
            </w:r>
          </w:p>
        </w:tc>
        <w:tc>
          <w:tcPr>
            <w:tcW w:w="7655" w:type="dxa"/>
          </w:tcPr>
          <w:p w14:paraId="7F02C794" w14:textId="7DE63166" w:rsidR="00CE019E" w:rsidRPr="00A3389E" w:rsidRDefault="00CE019E" w:rsidP="001E06A3">
            <w:pPr>
              <w:autoSpaceDE w:val="0"/>
              <w:autoSpaceDN w:val="0"/>
              <w:adjustRightInd w:val="0"/>
              <w:spacing w:before="120" w:after="120"/>
              <w:rPr>
                <w:rFonts w:ascii="Times New Roman" w:hAnsi="Times New Roman" w:cs="Times New Roman"/>
                <w:sz w:val="24"/>
              </w:rPr>
            </w:pPr>
            <w:r w:rsidRPr="00A3389E">
              <w:rPr>
                <w:rFonts w:ascii="Times New Roman" w:hAnsi="Times New Roman" w:cs="Times New Roman"/>
                <w:b/>
                <w:sz w:val="24"/>
              </w:rPr>
              <w:t>Hodnota expozície všeobecných expozícií voči kreditnému riziku</w:t>
            </w:r>
            <w:r w:rsidR="00A3389E">
              <w:rPr>
                <w:rFonts w:ascii="Times New Roman" w:hAnsi="Times New Roman" w:cs="Times New Roman"/>
                <w:b/>
                <w:sz w:val="24"/>
              </w:rPr>
              <w:t xml:space="preserve"> v </w:t>
            </w:r>
            <w:r w:rsidRPr="00A3389E">
              <w:rPr>
                <w:rFonts w:ascii="Times New Roman" w:hAnsi="Times New Roman" w:cs="Times New Roman"/>
                <w:b/>
                <w:sz w:val="24"/>
              </w:rPr>
              <w:t>rámci štandardizovaného prístupu</w:t>
            </w:r>
          </w:p>
          <w:p w14:paraId="28AF669D" w14:textId="22233AF6" w:rsidR="00CE019E" w:rsidRPr="00A3389E" w:rsidRDefault="00CE019E" w:rsidP="001E06A3">
            <w:pPr>
              <w:pStyle w:val="Fait"/>
              <w:spacing w:after="120"/>
            </w:pPr>
            <w:r w:rsidRPr="00A3389E">
              <w:t>Hodnota expozície príslušných expozícií voči kreditnému riziku určená</w:t>
            </w:r>
            <w:r w:rsidR="00A3389E">
              <w:t xml:space="preserve"> v </w:t>
            </w:r>
            <w:r w:rsidRPr="00A3389E">
              <w:t>súlade</w:t>
            </w:r>
            <w:r w:rsidR="00A3389E">
              <w:t xml:space="preserve"> s </w:t>
            </w:r>
            <w:r w:rsidRPr="00A3389E">
              <w:t>článkom 140 ods. 4 písm. a) CRD</w:t>
            </w:r>
            <w:r w:rsidR="00A3389E">
              <w:t xml:space="preserve"> a </w:t>
            </w:r>
            <w:r w:rsidRPr="00A3389E">
              <w:t>článkom 111 CRR.</w:t>
            </w:r>
          </w:p>
          <w:p w14:paraId="6C005399" w14:textId="0266C24E" w:rsidR="00CE019E" w:rsidRPr="00A3389E" w:rsidRDefault="00CE019E" w:rsidP="001E06A3">
            <w:pPr>
              <w:pStyle w:val="Fait"/>
              <w:spacing w:after="120"/>
            </w:pPr>
            <w:r w:rsidRPr="00A3389E">
              <w:t>Hodnota expozície príslušných expozícií voči kreditnému riziku určená</w:t>
            </w:r>
            <w:r w:rsidR="00A3389E">
              <w:t xml:space="preserve"> v </w:t>
            </w:r>
            <w:r w:rsidRPr="00A3389E">
              <w:t>súlade</w:t>
            </w:r>
            <w:r w:rsidR="00A3389E">
              <w:t xml:space="preserve"> s </w:t>
            </w:r>
            <w:r w:rsidRPr="00A3389E">
              <w:t>článkom 140 ods. 4 písm. c) CRD</w:t>
            </w:r>
            <w:r w:rsidR="00A3389E">
              <w:t xml:space="preserve"> a </w:t>
            </w:r>
            <w:r w:rsidRPr="00A3389E">
              <w:t>článkom 248 písm. a)</w:t>
            </w:r>
            <w:r w:rsidR="00A3389E">
              <w:t xml:space="preserve"> a </w:t>
            </w:r>
            <w:r w:rsidRPr="00A3389E">
              <w:t xml:space="preserve">c) CRR sa nezahŕňa sem, ale do stĺpca </w:t>
            </w:r>
            <w:r w:rsidRPr="00A3389E">
              <w:rPr>
                <w:i/>
              </w:rPr>
              <w:t>e</w:t>
            </w:r>
            <w:r w:rsidRPr="00A3389E">
              <w:t xml:space="preserve"> tohto vzoru.</w:t>
            </w:r>
          </w:p>
          <w:p w14:paraId="6755DC5A" w14:textId="6A1A5583" w:rsidR="00A3389E" w:rsidRPr="00A3389E" w:rsidRDefault="00CE019E" w:rsidP="001E06A3">
            <w:pPr>
              <w:pStyle w:val="Fait"/>
              <w:spacing w:after="120"/>
            </w:pPr>
            <w:r w:rsidRPr="00A3389E">
              <w:t>Geografické rozčlenenie sa uskutočňuje</w:t>
            </w:r>
            <w:r w:rsidR="00A3389E">
              <w:t xml:space="preserve"> v </w:t>
            </w:r>
            <w:r w:rsidRPr="00A3389E">
              <w:t>súlade</w:t>
            </w:r>
            <w:r w:rsidR="00A3389E">
              <w:t xml:space="preserve"> s </w:t>
            </w:r>
            <w:r w:rsidRPr="00A3389E">
              <w:t xml:space="preserve">delegovaným nariadením Komisie (EÚ) </w:t>
            </w:r>
            <w:r w:rsidR="00A3389E">
              <w:t>č. </w:t>
            </w:r>
            <w:r w:rsidRPr="00A3389E">
              <w:t>1152/2014</w:t>
            </w:r>
            <w:r w:rsidR="00A3389E" w:rsidRPr="00A3389E">
              <w:t>.</w:t>
            </w:r>
          </w:p>
          <w:p w14:paraId="41086AB3" w14:textId="0E6EB414" w:rsidR="00CE019E" w:rsidRPr="00B53505" w:rsidRDefault="00CE019E" w:rsidP="001E06A3">
            <w:pPr>
              <w:pStyle w:val="Fait"/>
              <w:spacing w:after="120"/>
              <w:rPr>
                <w:spacing w:val="-4"/>
              </w:rPr>
            </w:pPr>
            <w:r w:rsidRPr="00B53505">
              <w:rPr>
                <w:spacing w:val="-4"/>
              </w:rPr>
              <w:t>Riadok 020 (spolu): Súčet všetkých príslušných expozícií voči kreditnému riziku sa určuje</w:t>
            </w:r>
            <w:r w:rsidR="00A3389E" w:rsidRPr="00B53505">
              <w:rPr>
                <w:spacing w:val="-4"/>
              </w:rPr>
              <w:t xml:space="preserve"> v </w:t>
            </w:r>
            <w:r w:rsidRPr="00B53505">
              <w:rPr>
                <w:spacing w:val="-4"/>
              </w:rPr>
              <w:t>súlade</w:t>
            </w:r>
            <w:r w:rsidR="00A3389E" w:rsidRPr="00B53505">
              <w:rPr>
                <w:spacing w:val="-4"/>
              </w:rPr>
              <w:t xml:space="preserve"> s </w:t>
            </w:r>
            <w:r w:rsidRPr="00B53505">
              <w:rPr>
                <w:spacing w:val="-4"/>
              </w:rPr>
              <w:t>článkom 140 ods. 4 písm. a) CRD</w:t>
            </w:r>
            <w:r w:rsidR="00A3389E" w:rsidRPr="00B53505">
              <w:rPr>
                <w:spacing w:val="-4"/>
              </w:rPr>
              <w:t xml:space="preserve"> a </w:t>
            </w:r>
            <w:r w:rsidRPr="00B53505">
              <w:rPr>
                <w:spacing w:val="-4"/>
              </w:rPr>
              <w:t>článkom 111 CRR.</w:t>
            </w:r>
          </w:p>
        </w:tc>
      </w:tr>
      <w:tr w:rsidR="00CE019E" w:rsidRPr="00A3389E" w14:paraId="4332A4B8" w14:textId="77777777" w:rsidTr="001E06A3">
        <w:trPr>
          <w:trHeight w:val="841"/>
        </w:trPr>
        <w:tc>
          <w:tcPr>
            <w:tcW w:w="1384" w:type="dxa"/>
          </w:tcPr>
          <w:p w14:paraId="35258D0A" w14:textId="77777777" w:rsidR="00CE019E" w:rsidRPr="00A3389E" w:rsidRDefault="00CE019E" w:rsidP="001E06A3">
            <w:pPr>
              <w:pStyle w:val="Applicationdirecte"/>
              <w:spacing w:before="120"/>
            </w:pPr>
            <w:r w:rsidRPr="00A3389E">
              <w:t>b</w:t>
            </w:r>
          </w:p>
        </w:tc>
        <w:tc>
          <w:tcPr>
            <w:tcW w:w="7655" w:type="dxa"/>
          </w:tcPr>
          <w:p w14:paraId="7CA098EA" w14:textId="429744F6"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b/>
                <w:sz w:val="24"/>
              </w:rPr>
              <w:t>Hodnota expozície všeobecných expozícií voči kreditnému riziku</w:t>
            </w:r>
            <w:r w:rsidR="00A3389E">
              <w:rPr>
                <w:rFonts w:ascii="Times New Roman" w:hAnsi="Times New Roman" w:cs="Times New Roman"/>
                <w:b/>
                <w:sz w:val="24"/>
              </w:rPr>
              <w:t xml:space="preserve"> v </w:t>
            </w:r>
            <w:r w:rsidRPr="00A3389E">
              <w:rPr>
                <w:rFonts w:ascii="Times New Roman" w:hAnsi="Times New Roman" w:cs="Times New Roman"/>
                <w:b/>
                <w:sz w:val="24"/>
              </w:rPr>
              <w:t>rámci prístupu IRB</w:t>
            </w:r>
          </w:p>
          <w:p w14:paraId="38173282" w14:textId="390C45D4" w:rsidR="00CE019E" w:rsidRPr="00A3389E"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Hodnota expozície príslušných expozícií voči kreditnému riziku určená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a) CRD</w:t>
            </w:r>
            <w:r w:rsidR="00A3389E">
              <w:rPr>
                <w:rFonts w:ascii="Times New Roman" w:hAnsi="Times New Roman" w:cs="Times New Roman"/>
                <w:sz w:val="24"/>
              </w:rPr>
              <w:t xml:space="preserve"> a </w:t>
            </w:r>
            <w:r w:rsidRPr="00A3389E">
              <w:rPr>
                <w:rFonts w:ascii="Times New Roman" w:hAnsi="Times New Roman" w:cs="Times New Roman"/>
                <w:sz w:val="24"/>
              </w:rPr>
              <w:t>článkami 166, 167</w:t>
            </w:r>
            <w:r w:rsidR="00A3389E">
              <w:rPr>
                <w:rFonts w:ascii="Times New Roman" w:hAnsi="Times New Roman" w:cs="Times New Roman"/>
                <w:sz w:val="24"/>
              </w:rPr>
              <w:t xml:space="preserve"> a </w:t>
            </w:r>
            <w:r w:rsidRPr="00A3389E">
              <w:rPr>
                <w:rFonts w:ascii="Times New Roman" w:hAnsi="Times New Roman" w:cs="Times New Roman"/>
                <w:sz w:val="24"/>
              </w:rPr>
              <w:t>168 CRR.</w:t>
            </w:r>
          </w:p>
          <w:p w14:paraId="6CF97579" w14:textId="1E0CAC3F" w:rsidR="00CE019E" w:rsidRPr="00A3389E" w:rsidRDefault="00CE019E" w:rsidP="001E06A3">
            <w:pPr>
              <w:pStyle w:val="Fait"/>
              <w:spacing w:after="120"/>
            </w:pPr>
            <w:r w:rsidRPr="00A3389E">
              <w:t>Hodnota expozície príslušných expozícií voči kreditnému riziku určená</w:t>
            </w:r>
            <w:r w:rsidR="00A3389E">
              <w:t xml:space="preserve"> v </w:t>
            </w:r>
            <w:r w:rsidRPr="00A3389E">
              <w:t>súlade</w:t>
            </w:r>
            <w:r w:rsidR="00A3389E">
              <w:t xml:space="preserve"> s </w:t>
            </w:r>
            <w:r w:rsidRPr="00A3389E">
              <w:t>článkom 140 ods. 4 písm. c) CRD</w:t>
            </w:r>
            <w:r w:rsidR="00A3389E">
              <w:t xml:space="preserve"> a </w:t>
            </w:r>
            <w:r w:rsidRPr="00A3389E">
              <w:t>článkom 248 písm. a)</w:t>
            </w:r>
            <w:r w:rsidR="00A3389E">
              <w:t xml:space="preserve"> a </w:t>
            </w:r>
            <w:r w:rsidRPr="00A3389E">
              <w:t xml:space="preserve">c) CRR sa nezahŕňa sem, ale do stĺpca </w:t>
            </w:r>
            <w:r w:rsidRPr="00A3389E">
              <w:rPr>
                <w:i/>
              </w:rPr>
              <w:t>e</w:t>
            </w:r>
            <w:r w:rsidRPr="00A3389E">
              <w:t xml:space="preserve"> tohto vzoru.</w:t>
            </w:r>
          </w:p>
          <w:p w14:paraId="391C9167" w14:textId="73B64CD4"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Geografické rozčlenenie sa uskutočňuje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delegovaným nariadením Komisie (EÚ) </w:t>
            </w:r>
            <w:r w:rsidR="00A3389E">
              <w:rPr>
                <w:rFonts w:ascii="Times New Roman" w:hAnsi="Times New Roman" w:cs="Times New Roman"/>
                <w:sz w:val="24"/>
              </w:rPr>
              <w:t>č. </w:t>
            </w:r>
            <w:r w:rsidRPr="00A3389E">
              <w:rPr>
                <w:rFonts w:ascii="Times New Roman" w:hAnsi="Times New Roman" w:cs="Times New Roman"/>
                <w:sz w:val="24"/>
              </w:rPr>
              <w:t>1152/2014.</w:t>
            </w:r>
          </w:p>
          <w:p w14:paraId="1802EC5F" w14:textId="41D35F5B" w:rsidR="00CE019E" w:rsidRPr="00B53505" w:rsidRDefault="00CE019E" w:rsidP="001E06A3">
            <w:pPr>
              <w:autoSpaceDE w:val="0"/>
              <w:autoSpaceDN w:val="0"/>
              <w:adjustRightInd w:val="0"/>
              <w:spacing w:before="120" w:after="120"/>
              <w:jc w:val="both"/>
              <w:rPr>
                <w:rFonts w:ascii="Times New Roman" w:hAnsi="Times New Roman" w:cs="Times New Roman"/>
                <w:b/>
                <w:spacing w:val="-8"/>
                <w:sz w:val="24"/>
              </w:rPr>
            </w:pPr>
            <w:r w:rsidRPr="00B53505">
              <w:rPr>
                <w:rFonts w:ascii="Times New Roman" w:hAnsi="Times New Roman" w:cs="Times New Roman"/>
                <w:spacing w:val="-8"/>
                <w:sz w:val="24"/>
              </w:rPr>
              <w:t>Riadok 020 (spolu): Súčet všetkých príslušných expozícií voči kreditnému riziku sa určuje</w:t>
            </w:r>
            <w:r w:rsidR="00A3389E" w:rsidRPr="00B53505">
              <w:rPr>
                <w:rFonts w:ascii="Times New Roman" w:hAnsi="Times New Roman" w:cs="Times New Roman"/>
                <w:spacing w:val="-8"/>
                <w:sz w:val="24"/>
              </w:rPr>
              <w:t xml:space="preserve"> v </w:t>
            </w:r>
            <w:r w:rsidRPr="00B53505">
              <w:rPr>
                <w:rFonts w:ascii="Times New Roman" w:hAnsi="Times New Roman" w:cs="Times New Roman"/>
                <w:spacing w:val="-8"/>
                <w:sz w:val="24"/>
              </w:rPr>
              <w:t>súlade</w:t>
            </w:r>
            <w:r w:rsidR="00A3389E" w:rsidRPr="00B53505">
              <w:rPr>
                <w:rFonts w:ascii="Times New Roman" w:hAnsi="Times New Roman" w:cs="Times New Roman"/>
                <w:spacing w:val="-8"/>
                <w:sz w:val="24"/>
              </w:rPr>
              <w:t xml:space="preserve"> s </w:t>
            </w:r>
            <w:r w:rsidRPr="00B53505">
              <w:rPr>
                <w:rFonts w:ascii="Times New Roman" w:hAnsi="Times New Roman" w:cs="Times New Roman"/>
                <w:spacing w:val="-8"/>
                <w:sz w:val="24"/>
              </w:rPr>
              <w:t>článkom 140 ods. 4 písm. a) CRD</w:t>
            </w:r>
            <w:r w:rsidR="00A3389E" w:rsidRPr="00B53505">
              <w:rPr>
                <w:rFonts w:ascii="Times New Roman" w:hAnsi="Times New Roman" w:cs="Times New Roman"/>
                <w:spacing w:val="-8"/>
                <w:sz w:val="24"/>
              </w:rPr>
              <w:t xml:space="preserve"> a </w:t>
            </w:r>
            <w:r w:rsidRPr="00B53505">
              <w:rPr>
                <w:rFonts w:ascii="Times New Roman" w:hAnsi="Times New Roman" w:cs="Times New Roman"/>
                <w:spacing w:val="-8"/>
                <w:sz w:val="24"/>
              </w:rPr>
              <w:t>článkami 166, 167</w:t>
            </w:r>
            <w:r w:rsidR="00A3389E" w:rsidRPr="00B53505">
              <w:rPr>
                <w:rFonts w:ascii="Times New Roman" w:hAnsi="Times New Roman" w:cs="Times New Roman"/>
                <w:spacing w:val="-8"/>
                <w:sz w:val="24"/>
              </w:rPr>
              <w:t xml:space="preserve"> a </w:t>
            </w:r>
            <w:r w:rsidRPr="00B53505">
              <w:rPr>
                <w:rFonts w:ascii="Times New Roman" w:hAnsi="Times New Roman" w:cs="Times New Roman"/>
                <w:spacing w:val="-8"/>
                <w:sz w:val="24"/>
              </w:rPr>
              <w:t>168 CRR.</w:t>
            </w:r>
          </w:p>
        </w:tc>
      </w:tr>
      <w:tr w:rsidR="00CE019E" w:rsidRPr="00A3389E" w14:paraId="295DFEDD" w14:textId="77777777" w:rsidTr="001E06A3">
        <w:trPr>
          <w:trHeight w:val="316"/>
        </w:trPr>
        <w:tc>
          <w:tcPr>
            <w:tcW w:w="1384" w:type="dxa"/>
          </w:tcPr>
          <w:p w14:paraId="08E60721" w14:textId="77777777" w:rsidR="00CE019E" w:rsidRPr="00A3389E" w:rsidRDefault="00CE019E" w:rsidP="001E06A3">
            <w:pPr>
              <w:autoSpaceDE w:val="0"/>
              <w:autoSpaceDN w:val="0"/>
              <w:adjustRightInd w:val="0"/>
              <w:jc w:val="both"/>
              <w:rPr>
                <w:rFonts w:ascii="Times New Roman" w:hAnsi="Times New Roman" w:cs="Times New Roman"/>
                <w:color w:val="000000"/>
                <w:sz w:val="24"/>
              </w:rPr>
            </w:pPr>
            <w:r w:rsidRPr="00A3389E">
              <w:rPr>
                <w:rFonts w:ascii="Times New Roman" w:hAnsi="Times New Roman" w:cs="Times New Roman"/>
                <w:sz w:val="24"/>
              </w:rPr>
              <w:t xml:space="preserve">c </w:t>
            </w:r>
          </w:p>
        </w:tc>
        <w:tc>
          <w:tcPr>
            <w:tcW w:w="7655" w:type="dxa"/>
          </w:tcPr>
          <w:p w14:paraId="7BAC401F" w14:textId="7DC7FDD0"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Súčet dlhých</w:t>
            </w:r>
            <w:r w:rsidR="00A3389E">
              <w:rPr>
                <w:rFonts w:ascii="Times New Roman" w:hAnsi="Times New Roman" w:cs="Times New Roman"/>
                <w:b/>
                <w:sz w:val="24"/>
              </w:rPr>
              <w:t xml:space="preserve"> a </w:t>
            </w:r>
            <w:r w:rsidRPr="00A3389E">
              <w:rPr>
                <w:rFonts w:ascii="Times New Roman" w:hAnsi="Times New Roman" w:cs="Times New Roman"/>
                <w:b/>
                <w:sz w:val="24"/>
              </w:rPr>
              <w:t>krátkych pozícií expozícií</w:t>
            </w:r>
            <w:r w:rsidR="00A3389E">
              <w:rPr>
                <w:rFonts w:ascii="Times New Roman" w:hAnsi="Times New Roman" w:cs="Times New Roman"/>
                <w:b/>
                <w:sz w:val="24"/>
              </w:rPr>
              <w:t xml:space="preserve"> v </w:t>
            </w:r>
            <w:r w:rsidRPr="00A3389E">
              <w:rPr>
                <w:rFonts w:ascii="Times New Roman" w:hAnsi="Times New Roman" w:cs="Times New Roman"/>
                <w:b/>
                <w:sz w:val="24"/>
              </w:rPr>
              <w:t>obchodnej knihe pre štandardizovaný prístup</w:t>
            </w:r>
          </w:p>
          <w:p w14:paraId="1A24DBE0" w14:textId="30B8836C" w:rsidR="00CE019E" w:rsidRPr="00B53505" w:rsidRDefault="00CE019E" w:rsidP="001E06A3">
            <w:pPr>
              <w:autoSpaceDE w:val="0"/>
              <w:autoSpaceDN w:val="0"/>
              <w:adjustRightInd w:val="0"/>
              <w:spacing w:before="120" w:after="120"/>
              <w:jc w:val="both"/>
              <w:rPr>
                <w:rFonts w:ascii="Times New Roman" w:hAnsi="Times New Roman" w:cs="Times New Roman"/>
                <w:spacing w:val="-4"/>
                <w:sz w:val="24"/>
              </w:rPr>
            </w:pPr>
            <w:r w:rsidRPr="00B53505">
              <w:rPr>
                <w:rFonts w:ascii="Times New Roman" w:hAnsi="Times New Roman" w:cs="Times New Roman"/>
                <w:spacing w:val="-4"/>
                <w:sz w:val="24"/>
              </w:rPr>
              <w:t>Súčet dlhých</w:t>
            </w:r>
            <w:r w:rsidR="00A3389E" w:rsidRPr="00B53505">
              <w:rPr>
                <w:rFonts w:ascii="Times New Roman" w:hAnsi="Times New Roman" w:cs="Times New Roman"/>
                <w:spacing w:val="-4"/>
                <w:sz w:val="24"/>
              </w:rPr>
              <w:t xml:space="preserve"> a </w:t>
            </w:r>
            <w:r w:rsidRPr="00B53505">
              <w:rPr>
                <w:rFonts w:ascii="Times New Roman" w:hAnsi="Times New Roman" w:cs="Times New Roman"/>
                <w:spacing w:val="-4"/>
                <w:sz w:val="24"/>
              </w:rPr>
              <w:t>krátkych pozícií</w:t>
            </w:r>
            <w:r w:rsidR="00A3389E" w:rsidRPr="00B53505">
              <w:rPr>
                <w:rFonts w:ascii="Times New Roman" w:hAnsi="Times New Roman" w:cs="Times New Roman"/>
                <w:spacing w:val="-4"/>
                <w:sz w:val="24"/>
              </w:rPr>
              <w:t xml:space="preserve"> v </w:t>
            </w:r>
            <w:r w:rsidRPr="00B53505">
              <w:rPr>
                <w:rFonts w:ascii="Times New Roman" w:hAnsi="Times New Roman" w:cs="Times New Roman"/>
                <w:spacing w:val="-4"/>
                <w:sz w:val="24"/>
              </w:rPr>
              <w:t>prípade príslušných expozícií voči kreditnému riziku určených</w:t>
            </w:r>
            <w:r w:rsidR="00A3389E" w:rsidRPr="00B53505">
              <w:rPr>
                <w:rFonts w:ascii="Times New Roman" w:hAnsi="Times New Roman" w:cs="Times New Roman"/>
                <w:spacing w:val="-4"/>
                <w:sz w:val="24"/>
              </w:rPr>
              <w:t xml:space="preserve"> v </w:t>
            </w:r>
            <w:r w:rsidRPr="00B53505">
              <w:rPr>
                <w:rFonts w:ascii="Times New Roman" w:hAnsi="Times New Roman" w:cs="Times New Roman"/>
                <w:spacing w:val="-4"/>
                <w:sz w:val="24"/>
              </w:rPr>
              <w:t>súlade</w:t>
            </w:r>
            <w:r w:rsidR="00A3389E" w:rsidRPr="00B53505">
              <w:rPr>
                <w:rFonts w:ascii="Times New Roman" w:hAnsi="Times New Roman" w:cs="Times New Roman"/>
                <w:spacing w:val="-4"/>
                <w:sz w:val="24"/>
              </w:rPr>
              <w:t xml:space="preserve"> s </w:t>
            </w:r>
            <w:r w:rsidRPr="00B53505">
              <w:rPr>
                <w:rFonts w:ascii="Times New Roman" w:hAnsi="Times New Roman" w:cs="Times New Roman"/>
                <w:spacing w:val="-4"/>
                <w:sz w:val="24"/>
              </w:rPr>
              <w:t>článkom 140 ods. 4 písm. b) CRD vypočítaný ako súčet dlhých</w:t>
            </w:r>
            <w:r w:rsidR="00A3389E" w:rsidRPr="00B53505">
              <w:rPr>
                <w:rFonts w:ascii="Times New Roman" w:hAnsi="Times New Roman" w:cs="Times New Roman"/>
                <w:spacing w:val="-4"/>
                <w:sz w:val="24"/>
              </w:rPr>
              <w:t xml:space="preserve"> a </w:t>
            </w:r>
            <w:r w:rsidRPr="00B53505">
              <w:rPr>
                <w:rFonts w:ascii="Times New Roman" w:hAnsi="Times New Roman" w:cs="Times New Roman"/>
                <w:spacing w:val="-4"/>
                <w:sz w:val="24"/>
              </w:rPr>
              <w:t>krátkych pozícií určených</w:t>
            </w:r>
            <w:r w:rsidR="00A3389E" w:rsidRPr="00B53505">
              <w:rPr>
                <w:rFonts w:ascii="Times New Roman" w:hAnsi="Times New Roman" w:cs="Times New Roman"/>
                <w:spacing w:val="-4"/>
                <w:sz w:val="24"/>
              </w:rPr>
              <w:t xml:space="preserve"> v </w:t>
            </w:r>
            <w:r w:rsidRPr="00B53505">
              <w:rPr>
                <w:rFonts w:ascii="Times New Roman" w:hAnsi="Times New Roman" w:cs="Times New Roman"/>
                <w:spacing w:val="-4"/>
                <w:sz w:val="24"/>
              </w:rPr>
              <w:t>súlade</w:t>
            </w:r>
            <w:r w:rsidR="00A3389E" w:rsidRPr="00B53505">
              <w:rPr>
                <w:rFonts w:ascii="Times New Roman" w:hAnsi="Times New Roman" w:cs="Times New Roman"/>
                <w:spacing w:val="-4"/>
                <w:sz w:val="24"/>
              </w:rPr>
              <w:t xml:space="preserve"> s </w:t>
            </w:r>
            <w:r w:rsidRPr="00B53505">
              <w:rPr>
                <w:rFonts w:ascii="Times New Roman" w:hAnsi="Times New Roman" w:cs="Times New Roman"/>
                <w:spacing w:val="-4"/>
                <w:sz w:val="24"/>
              </w:rPr>
              <w:t>článkom 327 CRR.</w:t>
            </w:r>
          </w:p>
          <w:p w14:paraId="1313E889" w14:textId="401CFDD3"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Geografické rozčlenenie sa uskutočňuje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delegovaným nariadením Komisie (EÚ) </w:t>
            </w:r>
            <w:r w:rsidR="00A3389E">
              <w:rPr>
                <w:rFonts w:ascii="Times New Roman" w:hAnsi="Times New Roman" w:cs="Times New Roman"/>
                <w:sz w:val="24"/>
              </w:rPr>
              <w:t>č. </w:t>
            </w:r>
            <w:r w:rsidRPr="00A3389E">
              <w:rPr>
                <w:rFonts w:ascii="Times New Roman" w:hAnsi="Times New Roman" w:cs="Times New Roman"/>
                <w:sz w:val="24"/>
              </w:rPr>
              <w:t>1152/2014.</w:t>
            </w:r>
          </w:p>
          <w:p w14:paraId="7DCC802B" w14:textId="201D2AEE"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Riadok 020 (spolu): Súčet všetkých dlhých</w:t>
            </w:r>
            <w:r w:rsidR="00A3389E">
              <w:rPr>
                <w:rFonts w:ascii="Times New Roman" w:hAnsi="Times New Roman" w:cs="Times New Roman"/>
                <w:sz w:val="24"/>
              </w:rPr>
              <w:t xml:space="preserve"> a </w:t>
            </w:r>
            <w:r w:rsidRPr="00A3389E">
              <w:rPr>
                <w:rFonts w:ascii="Times New Roman" w:hAnsi="Times New Roman" w:cs="Times New Roman"/>
                <w:sz w:val="24"/>
              </w:rPr>
              <w:t>krátkych pozícií</w:t>
            </w:r>
            <w:r w:rsidR="00A3389E">
              <w:rPr>
                <w:rFonts w:ascii="Times New Roman" w:hAnsi="Times New Roman" w:cs="Times New Roman"/>
                <w:sz w:val="24"/>
              </w:rPr>
              <w:t xml:space="preserve"> v </w:t>
            </w:r>
            <w:r w:rsidRPr="00A3389E">
              <w:rPr>
                <w:rFonts w:ascii="Times New Roman" w:hAnsi="Times New Roman" w:cs="Times New Roman"/>
                <w:sz w:val="24"/>
              </w:rPr>
              <w:t>prípade príslušných expozícií voči kreditnému riziku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b) CRD</w:t>
            </w:r>
            <w:r w:rsidR="00A3389E">
              <w:rPr>
                <w:rFonts w:ascii="Times New Roman" w:hAnsi="Times New Roman" w:cs="Times New Roman"/>
                <w:sz w:val="24"/>
              </w:rPr>
              <w:t xml:space="preserve"> a </w:t>
            </w:r>
            <w:r w:rsidRPr="00A3389E">
              <w:rPr>
                <w:rFonts w:ascii="Times New Roman" w:hAnsi="Times New Roman" w:cs="Times New Roman"/>
                <w:sz w:val="24"/>
              </w:rPr>
              <w:t>vypočítava sa ako súčet dlhých</w:t>
            </w:r>
            <w:r w:rsidR="00A3389E">
              <w:rPr>
                <w:rFonts w:ascii="Times New Roman" w:hAnsi="Times New Roman" w:cs="Times New Roman"/>
                <w:sz w:val="24"/>
              </w:rPr>
              <w:t xml:space="preserve"> a </w:t>
            </w:r>
            <w:r w:rsidRPr="00A3389E">
              <w:rPr>
                <w:rFonts w:ascii="Times New Roman" w:hAnsi="Times New Roman" w:cs="Times New Roman"/>
                <w:sz w:val="24"/>
              </w:rPr>
              <w:t>krátkych pozícií určených</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327 CRR.</w:t>
            </w:r>
          </w:p>
        </w:tc>
      </w:tr>
      <w:tr w:rsidR="00CE019E" w:rsidRPr="00A3389E" w14:paraId="36516046" w14:textId="77777777" w:rsidTr="001E06A3">
        <w:trPr>
          <w:trHeight w:val="316"/>
        </w:trPr>
        <w:tc>
          <w:tcPr>
            <w:tcW w:w="1384" w:type="dxa"/>
          </w:tcPr>
          <w:p w14:paraId="160726E6"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lastRenderedPageBreak/>
              <w:t>d</w:t>
            </w:r>
          </w:p>
        </w:tc>
        <w:tc>
          <w:tcPr>
            <w:tcW w:w="7655" w:type="dxa"/>
          </w:tcPr>
          <w:p w14:paraId="2B6C0B64" w14:textId="5735C30A"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Hodnota expozícií</w:t>
            </w:r>
            <w:r w:rsidR="00A3389E">
              <w:rPr>
                <w:rFonts w:ascii="Times New Roman" w:hAnsi="Times New Roman" w:cs="Times New Roman"/>
                <w:b/>
                <w:sz w:val="24"/>
              </w:rPr>
              <w:t xml:space="preserve"> v </w:t>
            </w:r>
            <w:r w:rsidRPr="00A3389E">
              <w:rPr>
                <w:rFonts w:ascii="Times New Roman" w:hAnsi="Times New Roman" w:cs="Times New Roman"/>
                <w:b/>
                <w:sz w:val="24"/>
              </w:rPr>
              <w:t>obchodnej knihe pre interné modely</w:t>
            </w:r>
          </w:p>
          <w:p w14:paraId="6AFDB9E4" w14:textId="77777777"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Súčet týchto hodnôt:</w:t>
            </w:r>
          </w:p>
          <w:p w14:paraId="22D1535F" w14:textId="3FBA7D60" w:rsidR="00CE019E" w:rsidRPr="00A3389E" w:rsidRDefault="00A3389E" w:rsidP="00A3389E">
            <w:pPr>
              <w:autoSpaceDE w:val="0"/>
              <w:autoSpaceDN w:val="0"/>
              <w:adjustRightInd w:val="0"/>
              <w:spacing w:before="120" w:after="120"/>
              <w:ind w:left="1080" w:hanging="360"/>
              <w:contextualSpacing/>
              <w:jc w:val="both"/>
              <w:rPr>
                <w:rFonts w:ascii="Times New Roman" w:eastAsia="Times New Roman" w:hAnsi="Times New Roman"/>
                <w:sz w:val="24"/>
              </w:rPr>
            </w:pPr>
            <w:r w:rsidRPr="00A3389E">
              <w:rPr>
                <w:rFonts w:ascii="Calibri" w:hAnsi="Calibri"/>
                <w:sz w:val="24"/>
              </w:rPr>
              <w:t>-</w:t>
            </w:r>
            <w:r w:rsidRPr="00A3389E">
              <w:rPr>
                <w:rFonts w:ascii="Calibri" w:hAnsi="Calibri"/>
                <w:sz w:val="24"/>
              </w:rPr>
              <w:tab/>
            </w:r>
            <w:r w:rsidR="00CE019E" w:rsidRPr="00A3389E">
              <w:rPr>
                <w:rFonts w:ascii="Times New Roman" w:hAnsi="Times New Roman"/>
                <w:sz w:val="24"/>
              </w:rPr>
              <w:t>reálnej hodnoty hotovostných pozícií, ktoré predstavujú príslušné expozície voči kreditnému riziku určené</w:t>
            </w:r>
            <w:r>
              <w:rPr>
                <w:rFonts w:ascii="Times New Roman" w:hAnsi="Times New Roman"/>
                <w:sz w:val="24"/>
              </w:rPr>
              <w:t xml:space="preserve"> v </w:t>
            </w:r>
            <w:r w:rsidR="00CE019E" w:rsidRPr="00A3389E">
              <w:rPr>
                <w:rFonts w:ascii="Times New Roman" w:hAnsi="Times New Roman"/>
                <w:sz w:val="24"/>
              </w:rPr>
              <w:t>súlade</w:t>
            </w:r>
            <w:r>
              <w:rPr>
                <w:rFonts w:ascii="Times New Roman" w:hAnsi="Times New Roman"/>
                <w:sz w:val="24"/>
              </w:rPr>
              <w:t xml:space="preserve"> s </w:t>
            </w:r>
            <w:r w:rsidR="00CE019E" w:rsidRPr="00A3389E">
              <w:rPr>
                <w:rFonts w:ascii="Times New Roman" w:hAnsi="Times New Roman"/>
                <w:sz w:val="24"/>
              </w:rPr>
              <w:t>článkom 140 ods. 4 písm. b) CRD</w:t>
            </w:r>
            <w:r>
              <w:rPr>
                <w:rFonts w:ascii="Times New Roman" w:hAnsi="Times New Roman"/>
                <w:sz w:val="24"/>
              </w:rPr>
              <w:t xml:space="preserve"> a </w:t>
            </w:r>
            <w:r w:rsidR="00CE019E" w:rsidRPr="00A3389E">
              <w:rPr>
                <w:rFonts w:ascii="Times New Roman" w:hAnsi="Times New Roman"/>
                <w:sz w:val="24"/>
              </w:rPr>
              <w:t>článkom 104 CRR;</w:t>
            </w:r>
          </w:p>
          <w:p w14:paraId="53781A95" w14:textId="488F3E26" w:rsidR="00CE019E" w:rsidRPr="00A3389E" w:rsidRDefault="00A3389E" w:rsidP="00A3389E">
            <w:pPr>
              <w:autoSpaceDE w:val="0"/>
              <w:autoSpaceDN w:val="0"/>
              <w:adjustRightInd w:val="0"/>
              <w:spacing w:before="120" w:after="120"/>
              <w:ind w:left="1080" w:hanging="360"/>
              <w:contextualSpacing/>
              <w:jc w:val="both"/>
              <w:rPr>
                <w:rFonts w:ascii="Times New Roman" w:eastAsia="Times New Roman" w:hAnsi="Times New Roman"/>
                <w:sz w:val="24"/>
              </w:rPr>
            </w:pPr>
            <w:r w:rsidRPr="00A3389E">
              <w:rPr>
                <w:rFonts w:ascii="Calibri" w:hAnsi="Calibri"/>
                <w:sz w:val="24"/>
              </w:rPr>
              <w:t>-</w:t>
            </w:r>
            <w:r w:rsidRPr="00A3389E">
              <w:rPr>
                <w:rFonts w:ascii="Calibri" w:hAnsi="Calibri"/>
                <w:sz w:val="24"/>
              </w:rPr>
              <w:tab/>
            </w:r>
            <w:r w:rsidR="00CE019E" w:rsidRPr="00A3389E">
              <w:rPr>
                <w:rFonts w:ascii="Times New Roman" w:hAnsi="Times New Roman"/>
                <w:sz w:val="24"/>
              </w:rPr>
              <w:t>pomyselnej hodnoty derivátov, ktoré predstavujú príslušné expozície voči kreditnému riziku určené</w:t>
            </w:r>
            <w:r>
              <w:rPr>
                <w:rFonts w:ascii="Times New Roman" w:hAnsi="Times New Roman"/>
                <w:sz w:val="24"/>
              </w:rPr>
              <w:t xml:space="preserve"> v </w:t>
            </w:r>
            <w:r w:rsidR="00CE019E" w:rsidRPr="00A3389E">
              <w:rPr>
                <w:rFonts w:ascii="Times New Roman" w:hAnsi="Times New Roman"/>
                <w:sz w:val="24"/>
              </w:rPr>
              <w:t>súlade</w:t>
            </w:r>
            <w:r>
              <w:rPr>
                <w:rFonts w:ascii="Times New Roman" w:hAnsi="Times New Roman"/>
                <w:sz w:val="24"/>
              </w:rPr>
              <w:t xml:space="preserve"> s </w:t>
            </w:r>
            <w:r w:rsidR="00CE019E" w:rsidRPr="00A3389E">
              <w:rPr>
                <w:rFonts w:ascii="Times New Roman" w:hAnsi="Times New Roman"/>
                <w:sz w:val="24"/>
              </w:rPr>
              <w:t>článkom 140 ods. 4 písm. b) CRD.</w:t>
            </w:r>
          </w:p>
          <w:p w14:paraId="41A0B360" w14:textId="12052E95"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Geografické rozčlenenie sa uskutočňuje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delegovaným nariadením Komisie (EÚ) </w:t>
            </w:r>
            <w:r w:rsidR="00A3389E">
              <w:rPr>
                <w:rFonts w:ascii="Times New Roman" w:hAnsi="Times New Roman" w:cs="Times New Roman"/>
                <w:sz w:val="24"/>
              </w:rPr>
              <w:t>č. </w:t>
            </w:r>
            <w:r w:rsidRPr="00A3389E">
              <w:rPr>
                <w:rFonts w:ascii="Times New Roman" w:hAnsi="Times New Roman" w:cs="Times New Roman"/>
                <w:sz w:val="24"/>
              </w:rPr>
              <w:t>1152/2014.</w:t>
            </w:r>
          </w:p>
          <w:p w14:paraId="4D0E3D45" w14:textId="2AF58BCA"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Riadok 020 (spolu): Súčet reálnej hodnoty všetkých hotovostných pozícií, ktoré predstavujú príslušné expozície voči kreditnému riziku,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b) CRD</w:t>
            </w:r>
            <w:r w:rsidR="00A3389E">
              <w:rPr>
                <w:rFonts w:ascii="Times New Roman" w:hAnsi="Times New Roman" w:cs="Times New Roman"/>
                <w:sz w:val="24"/>
              </w:rPr>
              <w:t xml:space="preserve"> a </w:t>
            </w:r>
            <w:r w:rsidRPr="00A3389E">
              <w:rPr>
                <w:rFonts w:ascii="Times New Roman" w:hAnsi="Times New Roman" w:cs="Times New Roman"/>
                <w:sz w:val="24"/>
              </w:rPr>
              <w:t>článkom 104 CRR</w:t>
            </w:r>
            <w:r w:rsidR="00A3389E">
              <w:rPr>
                <w:rFonts w:ascii="Times New Roman" w:hAnsi="Times New Roman" w:cs="Times New Roman"/>
                <w:sz w:val="24"/>
              </w:rPr>
              <w:t xml:space="preserve"> a </w:t>
            </w:r>
            <w:r w:rsidRPr="00A3389E">
              <w:rPr>
                <w:rFonts w:ascii="Times New Roman" w:hAnsi="Times New Roman" w:cs="Times New Roman"/>
                <w:sz w:val="24"/>
              </w:rPr>
              <w:t>súčet pomyselnej hodnoty všetkých derivátov, ktoré predstavujú príslušné expozície voči kreditnému riziku,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b) CRD.</w:t>
            </w:r>
          </w:p>
        </w:tc>
      </w:tr>
      <w:tr w:rsidR="00CE019E" w:rsidRPr="00A3389E" w14:paraId="0CD5BD71" w14:textId="77777777" w:rsidTr="001E06A3">
        <w:trPr>
          <w:trHeight w:val="316"/>
        </w:trPr>
        <w:tc>
          <w:tcPr>
            <w:tcW w:w="1384" w:type="dxa"/>
          </w:tcPr>
          <w:p w14:paraId="6AE73FF5"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t>e</w:t>
            </w:r>
          </w:p>
        </w:tc>
        <w:tc>
          <w:tcPr>
            <w:tcW w:w="7655" w:type="dxa"/>
          </w:tcPr>
          <w:p w14:paraId="448D94BD" w14:textId="4310114F"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Sekuritizačné expozície – hodnota expozície pre neobchodnú knihu</w:t>
            </w:r>
          </w:p>
          <w:p w14:paraId="068FDE85" w14:textId="1B71397B"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Hodnota expozície príslušných expozícií voči kreditnému riziku určená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c) CRD</w:t>
            </w:r>
            <w:r w:rsidR="00A3389E">
              <w:rPr>
                <w:rFonts w:ascii="Times New Roman" w:hAnsi="Times New Roman" w:cs="Times New Roman"/>
                <w:sz w:val="24"/>
              </w:rPr>
              <w:t xml:space="preserve"> a </w:t>
            </w:r>
            <w:r w:rsidRPr="00A3389E">
              <w:rPr>
                <w:rFonts w:ascii="Times New Roman" w:hAnsi="Times New Roman" w:cs="Times New Roman"/>
                <w:sz w:val="24"/>
              </w:rPr>
              <w:t>článkom 248 písm. a)</w:t>
            </w:r>
            <w:r w:rsidR="00A3389E">
              <w:rPr>
                <w:rFonts w:ascii="Times New Roman" w:hAnsi="Times New Roman" w:cs="Times New Roman"/>
                <w:sz w:val="24"/>
              </w:rPr>
              <w:t xml:space="preserve"> a </w:t>
            </w:r>
            <w:r w:rsidRPr="00A3389E">
              <w:rPr>
                <w:rFonts w:ascii="Times New Roman" w:hAnsi="Times New Roman" w:cs="Times New Roman"/>
                <w:sz w:val="24"/>
              </w:rPr>
              <w:t>c) CRR.</w:t>
            </w:r>
          </w:p>
          <w:p w14:paraId="58584F35" w14:textId="750893D0"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Geografické rozčlenenie sa uskutočňuje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delegovaným nariadením Komisie (EÚ) </w:t>
            </w:r>
            <w:r w:rsidR="00A3389E">
              <w:rPr>
                <w:rFonts w:ascii="Times New Roman" w:hAnsi="Times New Roman" w:cs="Times New Roman"/>
                <w:sz w:val="24"/>
              </w:rPr>
              <w:t>č. </w:t>
            </w:r>
            <w:r w:rsidRPr="00A3389E">
              <w:rPr>
                <w:rFonts w:ascii="Times New Roman" w:hAnsi="Times New Roman" w:cs="Times New Roman"/>
                <w:sz w:val="24"/>
              </w:rPr>
              <w:t>1152/2014.</w:t>
            </w:r>
          </w:p>
          <w:p w14:paraId="4EE39B9D" w14:textId="391C549E"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Riadok 020 (spolu): Súčet všetkých príslušných expozícií voči kreditnému riziku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c) CRD</w:t>
            </w:r>
            <w:r w:rsidR="00A3389E">
              <w:rPr>
                <w:rFonts w:ascii="Times New Roman" w:hAnsi="Times New Roman" w:cs="Times New Roman"/>
                <w:sz w:val="24"/>
              </w:rPr>
              <w:t xml:space="preserve"> a </w:t>
            </w:r>
            <w:r w:rsidRPr="00A3389E">
              <w:rPr>
                <w:rFonts w:ascii="Times New Roman" w:hAnsi="Times New Roman" w:cs="Times New Roman"/>
                <w:sz w:val="24"/>
              </w:rPr>
              <w:t>článkom 248 písm. a)</w:t>
            </w:r>
            <w:r w:rsidR="00A3389E">
              <w:rPr>
                <w:rFonts w:ascii="Times New Roman" w:hAnsi="Times New Roman" w:cs="Times New Roman"/>
                <w:sz w:val="24"/>
              </w:rPr>
              <w:t xml:space="preserve"> a </w:t>
            </w:r>
            <w:r w:rsidRPr="00A3389E">
              <w:rPr>
                <w:rFonts w:ascii="Times New Roman" w:hAnsi="Times New Roman" w:cs="Times New Roman"/>
                <w:sz w:val="24"/>
              </w:rPr>
              <w:t>c) CRR.</w:t>
            </w:r>
          </w:p>
        </w:tc>
      </w:tr>
      <w:tr w:rsidR="00CE019E" w:rsidRPr="00A3389E" w14:paraId="2372693B" w14:textId="77777777" w:rsidTr="001E06A3">
        <w:trPr>
          <w:trHeight w:val="695"/>
        </w:trPr>
        <w:tc>
          <w:tcPr>
            <w:tcW w:w="1384" w:type="dxa"/>
          </w:tcPr>
          <w:p w14:paraId="7ED13EA3"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t>f</w:t>
            </w:r>
          </w:p>
        </w:tc>
        <w:tc>
          <w:tcPr>
            <w:tcW w:w="7655" w:type="dxa"/>
          </w:tcPr>
          <w:p w14:paraId="3C5CE1F6" w14:textId="77777777"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Celková hodnota expozícií</w:t>
            </w:r>
          </w:p>
          <w:p w14:paraId="52555FD3" w14:textId="519869F8"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stĺpcoch </w:t>
            </w:r>
            <w:r w:rsidRPr="00A3389E">
              <w:rPr>
                <w:rFonts w:ascii="Times New Roman" w:hAnsi="Times New Roman" w:cs="Times New Roman"/>
                <w:i/>
                <w:sz w:val="24"/>
              </w:rPr>
              <w:t>a</w:t>
            </w:r>
            <w:r w:rsidRPr="00A3389E">
              <w:rPr>
                <w:rFonts w:ascii="Times New Roman" w:hAnsi="Times New Roman" w:cs="Times New Roman"/>
                <w:sz w:val="24"/>
              </w:rPr>
              <w:t xml:space="preserve">, </w:t>
            </w:r>
            <w:r w:rsidRPr="00A3389E">
              <w:rPr>
                <w:rFonts w:ascii="Times New Roman" w:hAnsi="Times New Roman" w:cs="Times New Roman"/>
                <w:i/>
                <w:sz w:val="24"/>
              </w:rPr>
              <w:t>b</w:t>
            </w:r>
            <w:r w:rsidRPr="00A3389E">
              <w:rPr>
                <w:rFonts w:ascii="Times New Roman" w:hAnsi="Times New Roman" w:cs="Times New Roman"/>
                <w:sz w:val="24"/>
              </w:rPr>
              <w:t xml:space="preserve">, </w:t>
            </w:r>
            <w:r w:rsidRPr="00A3389E">
              <w:rPr>
                <w:rFonts w:ascii="Times New Roman" w:hAnsi="Times New Roman" w:cs="Times New Roman"/>
                <w:i/>
                <w:sz w:val="24"/>
              </w:rPr>
              <w:t>c</w:t>
            </w:r>
            <w:r w:rsidRPr="00A3389E">
              <w:rPr>
                <w:rFonts w:ascii="Times New Roman" w:hAnsi="Times New Roman" w:cs="Times New Roman"/>
                <w:sz w:val="24"/>
              </w:rPr>
              <w:t xml:space="preserve">, </w:t>
            </w:r>
            <w:r w:rsidRPr="00A3389E">
              <w:rPr>
                <w:rFonts w:ascii="Times New Roman" w:hAnsi="Times New Roman" w:cs="Times New Roman"/>
                <w:i/>
                <w:sz w:val="24"/>
              </w:rPr>
              <w:t>d</w:t>
            </w:r>
            <w:r w:rsidR="00A3389E">
              <w:rPr>
                <w:rFonts w:ascii="Times New Roman" w:hAnsi="Times New Roman" w:cs="Times New Roman"/>
                <w:sz w:val="24"/>
              </w:rPr>
              <w:t xml:space="preserve"> a </w:t>
            </w:r>
            <w:r w:rsidRPr="00A3389E">
              <w:rPr>
                <w:rFonts w:ascii="Times New Roman" w:hAnsi="Times New Roman" w:cs="Times New Roman"/>
                <w:i/>
                <w:sz w:val="24"/>
              </w:rPr>
              <w:t>e</w:t>
            </w:r>
            <w:r w:rsidRPr="00A3389E">
              <w:rPr>
                <w:rFonts w:ascii="Times New Roman" w:hAnsi="Times New Roman" w:cs="Times New Roman"/>
                <w:sz w:val="24"/>
              </w:rPr>
              <w:t xml:space="preserve"> tohto vzoru.</w:t>
            </w:r>
          </w:p>
          <w:p w14:paraId="304A0A1B" w14:textId="0C43D62C"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Riadok 020 (spolu): Súčet všetkých príslušných expozícií voči kreditnému riziku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CRD.</w:t>
            </w:r>
          </w:p>
        </w:tc>
      </w:tr>
      <w:tr w:rsidR="00CE019E" w:rsidRPr="00A3389E" w14:paraId="3EEDBF8F" w14:textId="77777777" w:rsidTr="001E06A3">
        <w:trPr>
          <w:trHeight w:val="695"/>
        </w:trPr>
        <w:tc>
          <w:tcPr>
            <w:tcW w:w="1384" w:type="dxa"/>
          </w:tcPr>
          <w:p w14:paraId="773BB17B"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t>g</w:t>
            </w:r>
          </w:p>
        </w:tc>
        <w:tc>
          <w:tcPr>
            <w:tcW w:w="7655" w:type="dxa"/>
          </w:tcPr>
          <w:p w14:paraId="4814AC9A" w14:textId="77777777"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b/>
                <w:sz w:val="24"/>
              </w:rPr>
              <w:t>Požiadavky na vlastné zdroje – príslušné expozície voči kreditnému riziku – kreditné riziko</w:t>
            </w:r>
          </w:p>
          <w:p w14:paraId="5C2E5F98" w14:textId="37861C9F"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Požiadavky na vlastné zdroje pre príslušné expozície voči kreditnému riziku</w:t>
            </w:r>
            <w:r w:rsidR="00A3389E">
              <w:rPr>
                <w:rFonts w:ascii="Times New Roman" w:hAnsi="Times New Roman" w:cs="Times New Roman"/>
                <w:sz w:val="24"/>
              </w:rPr>
              <w:t xml:space="preserve"> v </w:t>
            </w:r>
            <w:r w:rsidRPr="00A3389E">
              <w:rPr>
                <w:rFonts w:ascii="Times New Roman" w:hAnsi="Times New Roman" w:cs="Times New Roman"/>
                <w:sz w:val="24"/>
              </w:rPr>
              <w:t>dotknutej krajine, určené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a) CRD</w:t>
            </w:r>
            <w:r w:rsidR="00A3389E">
              <w:rPr>
                <w:rFonts w:ascii="Times New Roman" w:hAnsi="Times New Roman" w:cs="Times New Roman"/>
                <w:sz w:val="24"/>
              </w:rPr>
              <w:t xml:space="preserve"> a </w:t>
            </w:r>
            <w:r w:rsidRPr="00A3389E">
              <w:rPr>
                <w:rFonts w:ascii="Times New Roman" w:hAnsi="Times New Roman" w:cs="Times New Roman"/>
                <w:sz w:val="24"/>
              </w:rPr>
              <w:t>treťou časťou hlavou II CRR</w:t>
            </w:r>
            <w:r w:rsidR="00A3389E">
              <w:rPr>
                <w:rFonts w:ascii="Times New Roman" w:hAnsi="Times New Roman" w:cs="Times New Roman"/>
                <w:sz w:val="24"/>
              </w:rPr>
              <w:t xml:space="preserve"> a </w:t>
            </w:r>
            <w:r w:rsidRPr="00A3389E">
              <w:rPr>
                <w:rFonts w:ascii="Times New Roman" w:hAnsi="Times New Roman" w:cs="Times New Roman"/>
                <w:sz w:val="24"/>
              </w:rPr>
              <w:t>so zohľadnením požiadaviek na vlastné zdroje súvisiacich</w:t>
            </w:r>
            <w:r w:rsidR="00A3389E">
              <w:rPr>
                <w:rFonts w:ascii="Times New Roman" w:hAnsi="Times New Roman" w:cs="Times New Roman"/>
                <w:sz w:val="24"/>
              </w:rPr>
              <w:t xml:space="preserve"> s </w:t>
            </w:r>
            <w:r w:rsidRPr="00A3389E">
              <w:rPr>
                <w:rFonts w:ascii="Times New Roman" w:hAnsi="Times New Roman" w:cs="Times New Roman"/>
                <w:sz w:val="24"/>
              </w:rPr>
              <w:t>akýmikoľvek úpravami rizikových váh špecifickými pre jednotlivé krajiny stanovenými</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458 CRR.</w:t>
            </w:r>
          </w:p>
          <w:p w14:paraId="7A162747" w14:textId="6400A9F3"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Riadok 020 (spolu): Súčet všetkých požiadaviek na vlastné zdroje pre príslušné expozície voči kreditnému riziku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a) CRD</w:t>
            </w:r>
            <w:r w:rsidR="00A3389E">
              <w:rPr>
                <w:rFonts w:ascii="Times New Roman" w:hAnsi="Times New Roman" w:cs="Times New Roman"/>
                <w:sz w:val="24"/>
              </w:rPr>
              <w:t xml:space="preserve"> a </w:t>
            </w:r>
            <w:r w:rsidRPr="00A3389E">
              <w:rPr>
                <w:rFonts w:ascii="Times New Roman" w:hAnsi="Times New Roman" w:cs="Times New Roman"/>
                <w:sz w:val="24"/>
              </w:rPr>
              <w:t>treťou časťou hlavou II CRR.</w:t>
            </w:r>
          </w:p>
        </w:tc>
      </w:tr>
      <w:tr w:rsidR="00CE019E" w:rsidRPr="00A3389E" w14:paraId="7833BB97" w14:textId="77777777" w:rsidTr="001E06A3">
        <w:trPr>
          <w:trHeight w:val="695"/>
        </w:trPr>
        <w:tc>
          <w:tcPr>
            <w:tcW w:w="1384" w:type="dxa"/>
          </w:tcPr>
          <w:p w14:paraId="41DAB906"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t>h</w:t>
            </w:r>
          </w:p>
        </w:tc>
        <w:tc>
          <w:tcPr>
            <w:tcW w:w="7655" w:type="dxa"/>
          </w:tcPr>
          <w:p w14:paraId="13F3C331" w14:textId="77777777" w:rsidR="00A338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Požiadavky na vlastné zdroje – príslušné expozície voči kreditnému riziku – trhové riziko</w:t>
            </w:r>
          </w:p>
          <w:p w14:paraId="31945EB4" w14:textId="731ED8D1" w:rsidR="00CE019E" w:rsidRPr="00A3389E" w:rsidRDefault="00CE019E" w:rsidP="001E06A3">
            <w:pPr>
              <w:pStyle w:val="Fait"/>
              <w:spacing w:after="120"/>
            </w:pPr>
            <w:r w:rsidRPr="00A3389E">
              <w:t>Požiadavky na vlastné zdroje pre príslušné expozície voči kreditnému riziku</w:t>
            </w:r>
            <w:r w:rsidR="00A3389E">
              <w:t xml:space="preserve"> v </w:t>
            </w:r>
            <w:r w:rsidRPr="00A3389E">
              <w:t>dotknutej krajine, určené</w:t>
            </w:r>
            <w:r w:rsidR="00A3389E">
              <w:t xml:space="preserve"> v </w:t>
            </w:r>
            <w:r w:rsidRPr="00A3389E">
              <w:t>súlade</w:t>
            </w:r>
            <w:r w:rsidR="00A3389E">
              <w:t xml:space="preserve"> s </w:t>
            </w:r>
            <w:r w:rsidRPr="00A3389E">
              <w:t>článkom 140 ods. 4 písm. b) CRD</w:t>
            </w:r>
            <w:r w:rsidR="00A3389E">
              <w:t xml:space="preserve"> a </w:t>
            </w:r>
            <w:r w:rsidRPr="00A3389E">
              <w:t>treťou časťou hlavou IV kapitolou 2 CRR pre špecifické riziko alebo</w:t>
            </w:r>
            <w:r w:rsidR="00A3389E">
              <w:t xml:space="preserve"> v </w:t>
            </w:r>
            <w:r w:rsidRPr="00A3389E">
              <w:t>súlade</w:t>
            </w:r>
            <w:r w:rsidR="00A3389E">
              <w:t xml:space="preserve"> s </w:t>
            </w:r>
            <w:r w:rsidRPr="00A3389E">
              <w:t>treťou časťou hlavou IV kapitolou 5 CRR pre inkrementálne riziko zlyhania</w:t>
            </w:r>
            <w:r w:rsidR="00A3389E">
              <w:t xml:space="preserve"> a </w:t>
            </w:r>
            <w:r w:rsidRPr="00A3389E">
              <w:t>riziko migrácie.</w:t>
            </w:r>
          </w:p>
          <w:p w14:paraId="2401E826" w14:textId="05D6243B" w:rsidR="00CE019E" w:rsidRPr="00B53505" w:rsidRDefault="00CE019E" w:rsidP="001E06A3">
            <w:pPr>
              <w:pStyle w:val="Fait"/>
              <w:spacing w:after="120"/>
              <w:rPr>
                <w:spacing w:val="-10"/>
              </w:rPr>
            </w:pPr>
            <w:r w:rsidRPr="00B53505">
              <w:rPr>
                <w:spacing w:val="-10"/>
              </w:rPr>
              <w:t>Riadok 020 (spolu): Súčet všetkých požiadaviek na vlastné zdroje pre príslušné expozície voči kreditnému riziku sa určuje</w:t>
            </w:r>
            <w:r w:rsidR="00A3389E" w:rsidRPr="00B53505">
              <w:rPr>
                <w:spacing w:val="-10"/>
              </w:rPr>
              <w:t xml:space="preserve"> v </w:t>
            </w:r>
            <w:r w:rsidRPr="00B53505">
              <w:rPr>
                <w:spacing w:val="-10"/>
              </w:rPr>
              <w:t>súlade</w:t>
            </w:r>
            <w:r w:rsidR="00A3389E" w:rsidRPr="00B53505">
              <w:rPr>
                <w:spacing w:val="-10"/>
              </w:rPr>
              <w:t xml:space="preserve"> s </w:t>
            </w:r>
            <w:r w:rsidRPr="00B53505">
              <w:rPr>
                <w:spacing w:val="-10"/>
              </w:rPr>
              <w:t>článkom 140 ods. 4 písm. b) CRD</w:t>
            </w:r>
            <w:r w:rsidR="00A3389E" w:rsidRPr="00B53505">
              <w:rPr>
                <w:spacing w:val="-10"/>
              </w:rPr>
              <w:t xml:space="preserve"> a </w:t>
            </w:r>
            <w:r w:rsidRPr="00B53505">
              <w:rPr>
                <w:spacing w:val="-10"/>
              </w:rPr>
              <w:t>treťou časťou hlavou IV kapitolou 2 CRR pre špecifické riziko alebo treťou časťou hlavou IV kapitolou 5 CRR pre inkrementálne riziko zlyhania</w:t>
            </w:r>
            <w:r w:rsidR="00A3389E" w:rsidRPr="00B53505">
              <w:rPr>
                <w:spacing w:val="-10"/>
              </w:rPr>
              <w:t xml:space="preserve"> a </w:t>
            </w:r>
            <w:r w:rsidRPr="00B53505">
              <w:rPr>
                <w:spacing w:val="-10"/>
              </w:rPr>
              <w:t>riziko migrácie.</w:t>
            </w:r>
          </w:p>
        </w:tc>
      </w:tr>
      <w:tr w:rsidR="00CE019E" w:rsidRPr="00A3389E" w14:paraId="1D42E5E3" w14:textId="77777777" w:rsidTr="001E06A3">
        <w:trPr>
          <w:trHeight w:val="695"/>
        </w:trPr>
        <w:tc>
          <w:tcPr>
            <w:tcW w:w="1384" w:type="dxa"/>
          </w:tcPr>
          <w:p w14:paraId="73B07C20"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lastRenderedPageBreak/>
              <w:t>i</w:t>
            </w:r>
          </w:p>
        </w:tc>
        <w:tc>
          <w:tcPr>
            <w:tcW w:w="7655" w:type="dxa"/>
          </w:tcPr>
          <w:p w14:paraId="07FAFF60" w14:textId="2EF28B74" w:rsidR="00A338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Požiadavky na vlastné zdroje – príslušné expozície voči kreditnému riziku – sekuritizačné pozície</w:t>
            </w:r>
            <w:r w:rsidR="00A3389E">
              <w:rPr>
                <w:rFonts w:ascii="Times New Roman" w:hAnsi="Times New Roman" w:cs="Times New Roman"/>
                <w:b/>
                <w:sz w:val="24"/>
              </w:rPr>
              <w:t xml:space="preserve"> v </w:t>
            </w:r>
            <w:r w:rsidRPr="00A3389E">
              <w:rPr>
                <w:rFonts w:ascii="Times New Roman" w:hAnsi="Times New Roman" w:cs="Times New Roman"/>
                <w:b/>
                <w:sz w:val="24"/>
              </w:rPr>
              <w:t>neobchodnej knihe</w:t>
            </w:r>
          </w:p>
          <w:p w14:paraId="36DA94AE" w14:textId="2CBF7321"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Požiadavky na vlastné zdroje pre príslušné expozície voči kreditnému riziku</w:t>
            </w:r>
            <w:r w:rsidR="00A3389E">
              <w:rPr>
                <w:rFonts w:ascii="Times New Roman" w:hAnsi="Times New Roman" w:cs="Times New Roman"/>
                <w:sz w:val="24"/>
              </w:rPr>
              <w:t xml:space="preserve"> v </w:t>
            </w:r>
            <w:r w:rsidRPr="00A3389E">
              <w:rPr>
                <w:rFonts w:ascii="Times New Roman" w:hAnsi="Times New Roman" w:cs="Times New Roman"/>
                <w:sz w:val="24"/>
              </w:rPr>
              <w:t>dotknutej krajine, určené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c) CRD</w:t>
            </w:r>
            <w:r w:rsidR="00A3389E">
              <w:rPr>
                <w:rFonts w:ascii="Times New Roman" w:hAnsi="Times New Roman" w:cs="Times New Roman"/>
                <w:sz w:val="24"/>
              </w:rPr>
              <w:t xml:space="preserve"> a </w:t>
            </w:r>
            <w:r w:rsidRPr="00A3389E">
              <w:rPr>
                <w:rFonts w:ascii="Times New Roman" w:hAnsi="Times New Roman" w:cs="Times New Roman"/>
                <w:sz w:val="24"/>
              </w:rPr>
              <w:t>treťou časťou hlavou II kapitolou 5 CRR.</w:t>
            </w:r>
          </w:p>
          <w:p w14:paraId="7A86B7B7" w14:textId="5BB8BACB"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Riadok 020 (spolu): Súčet všetkých požiadaviek na vlastné zdroje pre príslušné expozície voči kreditnému riziku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písm. c) CRD</w:t>
            </w:r>
            <w:r w:rsidR="00A3389E">
              <w:rPr>
                <w:rFonts w:ascii="Times New Roman" w:hAnsi="Times New Roman" w:cs="Times New Roman"/>
                <w:sz w:val="24"/>
              </w:rPr>
              <w:t xml:space="preserve"> a </w:t>
            </w:r>
            <w:r w:rsidRPr="00A3389E">
              <w:rPr>
                <w:rFonts w:ascii="Times New Roman" w:hAnsi="Times New Roman" w:cs="Times New Roman"/>
                <w:sz w:val="24"/>
              </w:rPr>
              <w:t>treťou časťou hlavou II kapitolou 5 CRR.</w:t>
            </w:r>
          </w:p>
        </w:tc>
      </w:tr>
      <w:tr w:rsidR="00CE019E" w:rsidRPr="00A3389E" w14:paraId="3B6D87A2" w14:textId="77777777" w:rsidTr="001E06A3">
        <w:trPr>
          <w:trHeight w:val="695"/>
        </w:trPr>
        <w:tc>
          <w:tcPr>
            <w:tcW w:w="1384" w:type="dxa"/>
          </w:tcPr>
          <w:p w14:paraId="2A79F96D"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t>j</w:t>
            </w:r>
          </w:p>
        </w:tc>
        <w:tc>
          <w:tcPr>
            <w:tcW w:w="7655" w:type="dxa"/>
          </w:tcPr>
          <w:p w14:paraId="24629AC6" w14:textId="77777777"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Požiadavky na vlastné zdroje – spolu</w:t>
            </w:r>
          </w:p>
          <w:p w14:paraId="75D85F0A" w14:textId="135B3150"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stĺpcoch </w:t>
            </w:r>
            <w:r w:rsidRPr="00A3389E">
              <w:rPr>
                <w:rFonts w:ascii="Times New Roman" w:hAnsi="Times New Roman" w:cs="Times New Roman"/>
                <w:i/>
                <w:sz w:val="24"/>
              </w:rPr>
              <w:t>g</w:t>
            </w:r>
            <w:r w:rsidRPr="00A3389E">
              <w:rPr>
                <w:rFonts w:ascii="Times New Roman" w:hAnsi="Times New Roman" w:cs="Times New Roman"/>
                <w:sz w:val="24"/>
              </w:rPr>
              <w:t xml:space="preserve">, </w:t>
            </w:r>
            <w:r w:rsidRPr="00A3389E">
              <w:rPr>
                <w:rFonts w:ascii="Times New Roman" w:hAnsi="Times New Roman" w:cs="Times New Roman"/>
                <w:i/>
                <w:sz w:val="24"/>
              </w:rPr>
              <w:t>h</w:t>
            </w:r>
            <w:r w:rsidR="00A3389E">
              <w:rPr>
                <w:rFonts w:ascii="Times New Roman" w:hAnsi="Times New Roman" w:cs="Times New Roman"/>
                <w:sz w:val="24"/>
              </w:rPr>
              <w:t xml:space="preserve"> a i </w:t>
            </w:r>
            <w:r w:rsidRPr="00A3389E">
              <w:rPr>
                <w:rFonts w:ascii="Times New Roman" w:hAnsi="Times New Roman" w:cs="Times New Roman"/>
                <w:sz w:val="24"/>
              </w:rPr>
              <w:t>tohto vzoru.</w:t>
            </w:r>
          </w:p>
          <w:p w14:paraId="08C2FCEB" w14:textId="62020C30" w:rsidR="00CE019E" w:rsidRPr="00B53505" w:rsidRDefault="00CE019E" w:rsidP="001E06A3">
            <w:pPr>
              <w:autoSpaceDE w:val="0"/>
              <w:autoSpaceDN w:val="0"/>
              <w:adjustRightInd w:val="0"/>
              <w:spacing w:before="120" w:after="120"/>
              <w:jc w:val="both"/>
              <w:rPr>
                <w:rFonts w:ascii="Times New Roman" w:hAnsi="Times New Roman" w:cs="Times New Roman"/>
                <w:b/>
                <w:spacing w:val="-4"/>
                <w:sz w:val="24"/>
              </w:rPr>
            </w:pPr>
            <w:r w:rsidRPr="00B53505">
              <w:rPr>
                <w:rFonts w:ascii="Times New Roman" w:hAnsi="Times New Roman" w:cs="Times New Roman"/>
                <w:spacing w:val="-4"/>
                <w:sz w:val="24"/>
              </w:rPr>
              <w:t>Riadok 020 (spolu): Súčet všetkých požiadaviek na vlastné zdroje pre príslušné expozície voči kreditnému riziku sa určuje</w:t>
            </w:r>
            <w:r w:rsidR="00A3389E" w:rsidRPr="00B53505">
              <w:rPr>
                <w:rFonts w:ascii="Times New Roman" w:hAnsi="Times New Roman" w:cs="Times New Roman"/>
                <w:spacing w:val="-4"/>
                <w:sz w:val="24"/>
              </w:rPr>
              <w:t xml:space="preserve"> v </w:t>
            </w:r>
            <w:r w:rsidRPr="00B53505">
              <w:rPr>
                <w:rFonts w:ascii="Times New Roman" w:hAnsi="Times New Roman" w:cs="Times New Roman"/>
                <w:spacing w:val="-4"/>
                <w:sz w:val="24"/>
              </w:rPr>
              <w:t>súlade</w:t>
            </w:r>
            <w:r w:rsidR="00A3389E" w:rsidRPr="00B53505">
              <w:rPr>
                <w:rFonts w:ascii="Times New Roman" w:hAnsi="Times New Roman" w:cs="Times New Roman"/>
                <w:spacing w:val="-4"/>
                <w:sz w:val="24"/>
              </w:rPr>
              <w:t xml:space="preserve"> s </w:t>
            </w:r>
            <w:r w:rsidRPr="00B53505">
              <w:rPr>
                <w:rFonts w:ascii="Times New Roman" w:hAnsi="Times New Roman" w:cs="Times New Roman"/>
                <w:spacing w:val="-4"/>
                <w:sz w:val="24"/>
              </w:rPr>
              <w:t>článkom 140 ods. 4 CRD.</w:t>
            </w:r>
          </w:p>
        </w:tc>
      </w:tr>
      <w:tr w:rsidR="00CE019E" w:rsidRPr="00A3389E" w14:paraId="6D394CD5" w14:textId="77777777" w:rsidTr="001E06A3">
        <w:trPr>
          <w:trHeight w:val="695"/>
        </w:trPr>
        <w:tc>
          <w:tcPr>
            <w:tcW w:w="1384" w:type="dxa"/>
          </w:tcPr>
          <w:p w14:paraId="73F91788"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t>k</w:t>
            </w:r>
          </w:p>
        </w:tc>
        <w:tc>
          <w:tcPr>
            <w:tcW w:w="7655" w:type="dxa"/>
          </w:tcPr>
          <w:p w14:paraId="3608B9C3" w14:textId="77777777"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Hodnoty rizikovo vážených expozícií</w:t>
            </w:r>
          </w:p>
          <w:p w14:paraId="07CB4356" w14:textId="310B93CC" w:rsidR="00CE01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Hodnoty rizikovo vážených expozícií pre príslušné expozície voči kreditnému riziku, určené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4 CRD, rozčlenené podľa krajín</w:t>
            </w:r>
            <w:r w:rsidR="00A3389E">
              <w:rPr>
                <w:rFonts w:ascii="Times New Roman" w:hAnsi="Times New Roman" w:cs="Times New Roman"/>
                <w:sz w:val="24"/>
              </w:rPr>
              <w:t xml:space="preserve"> a </w:t>
            </w:r>
            <w:r w:rsidRPr="00A3389E">
              <w:rPr>
                <w:rFonts w:ascii="Times New Roman" w:hAnsi="Times New Roman" w:cs="Times New Roman"/>
                <w:sz w:val="24"/>
              </w:rPr>
              <w:t>zohľadňujúce akékoľvek úpravy rizikových váh špecifické pre jednotlivé krajiny stanovené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458 CRR.</w:t>
            </w:r>
          </w:p>
          <w:p w14:paraId="1BE2F763" w14:textId="45D8C03A" w:rsidR="00CE019E" w:rsidRPr="00B53505" w:rsidRDefault="00CE019E" w:rsidP="001E06A3">
            <w:pPr>
              <w:autoSpaceDE w:val="0"/>
              <w:autoSpaceDN w:val="0"/>
              <w:adjustRightInd w:val="0"/>
              <w:spacing w:before="120" w:after="120"/>
              <w:jc w:val="both"/>
              <w:rPr>
                <w:rFonts w:ascii="Times New Roman" w:hAnsi="Times New Roman" w:cs="Times New Roman"/>
                <w:spacing w:val="-8"/>
                <w:sz w:val="24"/>
              </w:rPr>
            </w:pPr>
            <w:r w:rsidRPr="00B53505">
              <w:rPr>
                <w:rFonts w:ascii="Times New Roman" w:hAnsi="Times New Roman" w:cs="Times New Roman"/>
                <w:spacing w:val="-8"/>
                <w:sz w:val="24"/>
              </w:rPr>
              <w:t>Riadok 020 (spolu): Súčet všetkých hodnôt rizikovo vážených expozícií pre príslušné expozície voči kreditnému riziku sa určuje</w:t>
            </w:r>
            <w:r w:rsidR="00A3389E" w:rsidRPr="00B53505">
              <w:rPr>
                <w:rFonts w:ascii="Times New Roman" w:hAnsi="Times New Roman" w:cs="Times New Roman"/>
                <w:spacing w:val="-8"/>
                <w:sz w:val="24"/>
              </w:rPr>
              <w:t xml:space="preserve"> v </w:t>
            </w:r>
            <w:r w:rsidRPr="00B53505">
              <w:rPr>
                <w:rFonts w:ascii="Times New Roman" w:hAnsi="Times New Roman" w:cs="Times New Roman"/>
                <w:spacing w:val="-8"/>
                <w:sz w:val="24"/>
              </w:rPr>
              <w:t>súlade</w:t>
            </w:r>
            <w:r w:rsidR="00A3389E" w:rsidRPr="00B53505">
              <w:rPr>
                <w:rFonts w:ascii="Times New Roman" w:hAnsi="Times New Roman" w:cs="Times New Roman"/>
                <w:spacing w:val="-8"/>
                <w:sz w:val="24"/>
              </w:rPr>
              <w:t xml:space="preserve"> s </w:t>
            </w:r>
            <w:r w:rsidRPr="00B53505">
              <w:rPr>
                <w:rFonts w:ascii="Times New Roman" w:hAnsi="Times New Roman" w:cs="Times New Roman"/>
                <w:spacing w:val="-8"/>
                <w:sz w:val="24"/>
              </w:rPr>
              <w:t>článkom 140 ods. 4 CRD.</w:t>
            </w:r>
          </w:p>
        </w:tc>
      </w:tr>
      <w:tr w:rsidR="00CE019E" w:rsidRPr="00A3389E" w14:paraId="72C7338B" w14:textId="77777777" w:rsidTr="001E06A3">
        <w:trPr>
          <w:trHeight w:val="695"/>
        </w:trPr>
        <w:tc>
          <w:tcPr>
            <w:tcW w:w="1384" w:type="dxa"/>
          </w:tcPr>
          <w:p w14:paraId="4A45663D"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t>l</w:t>
            </w:r>
          </w:p>
        </w:tc>
        <w:tc>
          <w:tcPr>
            <w:tcW w:w="7655" w:type="dxa"/>
          </w:tcPr>
          <w:p w14:paraId="63700A80" w14:textId="77777777"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Váhy požiadaviek na vlastné zdroje (%)</w:t>
            </w:r>
          </w:p>
          <w:p w14:paraId="5C4FB042" w14:textId="2C92876E" w:rsidR="00CE019E" w:rsidRPr="00B53505" w:rsidRDefault="00CE019E" w:rsidP="001E06A3">
            <w:pPr>
              <w:autoSpaceDE w:val="0"/>
              <w:autoSpaceDN w:val="0"/>
              <w:adjustRightInd w:val="0"/>
              <w:spacing w:before="120" w:after="120"/>
              <w:jc w:val="both"/>
              <w:rPr>
                <w:rFonts w:ascii="Times New Roman" w:eastAsia="Times New Roman" w:hAnsi="Times New Roman" w:cs="Times New Roman"/>
                <w:spacing w:val="-4"/>
                <w:sz w:val="24"/>
              </w:rPr>
            </w:pPr>
            <w:r w:rsidRPr="00B53505">
              <w:rPr>
                <w:rFonts w:ascii="Times New Roman" w:hAnsi="Times New Roman" w:cs="Times New Roman"/>
                <w:spacing w:val="-4"/>
                <w:sz w:val="24"/>
              </w:rPr>
              <w:t>Váha uplatňovaná na mieru proticyklického vankúša</w:t>
            </w:r>
            <w:r w:rsidR="00A3389E" w:rsidRPr="00B53505">
              <w:rPr>
                <w:rFonts w:ascii="Times New Roman" w:hAnsi="Times New Roman" w:cs="Times New Roman"/>
                <w:spacing w:val="-4"/>
                <w:sz w:val="24"/>
              </w:rPr>
              <w:t xml:space="preserve"> v </w:t>
            </w:r>
            <w:r w:rsidRPr="00B53505">
              <w:rPr>
                <w:rFonts w:ascii="Times New Roman" w:hAnsi="Times New Roman" w:cs="Times New Roman"/>
                <w:spacing w:val="-4"/>
                <w:sz w:val="24"/>
              </w:rPr>
              <w:t>každej krajine vypočítaná ako podiel celkových požiadaviek na vlastné zdroje týkajúci sa príslušných expozícií voči kreditnému riziku</w:t>
            </w:r>
            <w:r w:rsidR="00A3389E" w:rsidRPr="00B53505">
              <w:rPr>
                <w:rFonts w:ascii="Times New Roman" w:hAnsi="Times New Roman" w:cs="Times New Roman"/>
                <w:spacing w:val="-4"/>
                <w:sz w:val="24"/>
              </w:rPr>
              <w:t xml:space="preserve"> v </w:t>
            </w:r>
            <w:r w:rsidRPr="00B53505">
              <w:rPr>
                <w:rFonts w:ascii="Times New Roman" w:hAnsi="Times New Roman" w:cs="Times New Roman"/>
                <w:spacing w:val="-4"/>
                <w:sz w:val="24"/>
              </w:rPr>
              <w:t xml:space="preserve">danej krajine (riadok 01X, stĺpec </w:t>
            </w:r>
            <w:r w:rsidRPr="00B53505">
              <w:rPr>
                <w:rFonts w:ascii="Times New Roman" w:hAnsi="Times New Roman" w:cs="Times New Roman"/>
                <w:i/>
                <w:spacing w:val="-4"/>
                <w:sz w:val="24"/>
              </w:rPr>
              <w:t>j</w:t>
            </w:r>
            <w:r w:rsidRPr="00B53505">
              <w:rPr>
                <w:rFonts w:ascii="Times New Roman" w:hAnsi="Times New Roman" w:cs="Times New Roman"/>
                <w:spacing w:val="-4"/>
                <w:sz w:val="24"/>
              </w:rPr>
              <w:t xml:space="preserve"> tohto vzoru) na celkových požiadavkách na vlastné zdroje týkajúcich sa všetkých expozícií voči kreditnému riziku relevantných na účely výpočtu proticyklického vankúša</w:t>
            </w:r>
            <w:r w:rsidR="00A3389E" w:rsidRPr="00B53505">
              <w:rPr>
                <w:rFonts w:ascii="Times New Roman" w:hAnsi="Times New Roman" w:cs="Times New Roman"/>
                <w:spacing w:val="-4"/>
                <w:sz w:val="24"/>
              </w:rPr>
              <w:t xml:space="preserve"> v </w:t>
            </w:r>
            <w:r w:rsidRPr="00B53505">
              <w:rPr>
                <w:rFonts w:ascii="Times New Roman" w:hAnsi="Times New Roman" w:cs="Times New Roman"/>
                <w:spacing w:val="-4"/>
                <w:sz w:val="24"/>
              </w:rPr>
              <w:t>súlade</w:t>
            </w:r>
            <w:r w:rsidR="00A3389E" w:rsidRPr="00B53505">
              <w:rPr>
                <w:rFonts w:ascii="Times New Roman" w:hAnsi="Times New Roman" w:cs="Times New Roman"/>
                <w:spacing w:val="-4"/>
                <w:sz w:val="24"/>
              </w:rPr>
              <w:t xml:space="preserve"> s </w:t>
            </w:r>
            <w:r w:rsidRPr="00B53505">
              <w:rPr>
                <w:rFonts w:ascii="Times New Roman" w:hAnsi="Times New Roman" w:cs="Times New Roman"/>
                <w:spacing w:val="-4"/>
                <w:sz w:val="24"/>
              </w:rPr>
              <w:t xml:space="preserve">článkom 140 ods. 4 CRD (riadok 020, stĺpec </w:t>
            </w:r>
            <w:r w:rsidRPr="00B53505">
              <w:rPr>
                <w:rFonts w:ascii="Times New Roman" w:hAnsi="Times New Roman" w:cs="Times New Roman"/>
                <w:i/>
                <w:spacing w:val="-4"/>
                <w:sz w:val="24"/>
              </w:rPr>
              <w:t>j</w:t>
            </w:r>
            <w:r w:rsidRPr="00B53505">
              <w:rPr>
                <w:rFonts w:ascii="Times New Roman" w:hAnsi="Times New Roman" w:cs="Times New Roman"/>
                <w:spacing w:val="-4"/>
                <w:sz w:val="24"/>
              </w:rPr>
              <w:t xml:space="preserve"> tohto vzoru).</w:t>
            </w:r>
          </w:p>
          <w:p w14:paraId="7829B30F" w14:textId="2B73E881"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sz w:val="24"/>
              </w:rPr>
              <w:lastRenderedPageBreak/>
              <w:t>Táto hodnota sa zverejňuje ako percentuálny podiel</w:t>
            </w:r>
            <w:r w:rsidR="00A3389E">
              <w:rPr>
                <w:rFonts w:ascii="Times New Roman" w:hAnsi="Times New Roman" w:cs="Times New Roman"/>
                <w:sz w:val="24"/>
              </w:rPr>
              <w:t xml:space="preserve"> s </w:t>
            </w:r>
            <w:r w:rsidRPr="00A3389E">
              <w:rPr>
                <w:rFonts w:ascii="Times New Roman" w:hAnsi="Times New Roman" w:cs="Times New Roman"/>
                <w:sz w:val="24"/>
              </w:rPr>
              <w:t>presnosťou na 2 desatinné miesta.</w:t>
            </w:r>
          </w:p>
        </w:tc>
      </w:tr>
      <w:tr w:rsidR="00CE019E" w:rsidRPr="00A3389E" w14:paraId="00690E8A" w14:textId="77777777" w:rsidTr="001E06A3">
        <w:trPr>
          <w:trHeight w:val="695"/>
        </w:trPr>
        <w:tc>
          <w:tcPr>
            <w:tcW w:w="1384" w:type="dxa"/>
          </w:tcPr>
          <w:p w14:paraId="5F114751"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lastRenderedPageBreak/>
              <w:t>m</w:t>
            </w:r>
          </w:p>
        </w:tc>
        <w:tc>
          <w:tcPr>
            <w:tcW w:w="7655" w:type="dxa"/>
          </w:tcPr>
          <w:p w14:paraId="34E9D6F4" w14:textId="77777777" w:rsidR="00CE019E" w:rsidRPr="00A3389E" w:rsidRDefault="00CE019E" w:rsidP="001E06A3">
            <w:pPr>
              <w:autoSpaceDE w:val="0"/>
              <w:autoSpaceDN w:val="0"/>
              <w:adjustRightInd w:val="0"/>
              <w:jc w:val="both"/>
              <w:rPr>
                <w:rFonts w:ascii="Times New Roman" w:hAnsi="Times New Roman" w:cs="Times New Roman"/>
                <w:b/>
                <w:sz w:val="24"/>
              </w:rPr>
            </w:pPr>
            <w:r w:rsidRPr="00A3389E">
              <w:rPr>
                <w:rFonts w:ascii="Times New Roman" w:hAnsi="Times New Roman" w:cs="Times New Roman"/>
                <w:b/>
                <w:sz w:val="24"/>
              </w:rPr>
              <w:t>Miera proticyklického kapitálového vankúša (%)</w:t>
            </w:r>
          </w:p>
          <w:p w14:paraId="09E81108" w14:textId="036C4EB8" w:rsidR="00CE019E" w:rsidRPr="00A3389E"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Miera proticyklického kapitálového vankúša uplatniteľná</w:t>
            </w:r>
            <w:r w:rsidR="00A3389E">
              <w:rPr>
                <w:rFonts w:ascii="Times New Roman" w:hAnsi="Times New Roman" w:cs="Times New Roman"/>
                <w:sz w:val="24"/>
              </w:rPr>
              <w:t xml:space="preserve"> v </w:t>
            </w:r>
            <w:r w:rsidRPr="00A3389E">
              <w:rPr>
                <w:rFonts w:ascii="Times New Roman" w:hAnsi="Times New Roman" w:cs="Times New Roman"/>
                <w:sz w:val="24"/>
              </w:rPr>
              <w:t>danej krajine</w:t>
            </w:r>
            <w:r w:rsidR="00A3389E">
              <w:rPr>
                <w:rFonts w:ascii="Times New Roman" w:hAnsi="Times New Roman" w:cs="Times New Roman"/>
                <w:sz w:val="24"/>
              </w:rPr>
              <w:t xml:space="preserve"> a </w:t>
            </w:r>
            <w:r w:rsidRPr="00A3389E">
              <w:rPr>
                <w:rFonts w:ascii="Times New Roman" w:hAnsi="Times New Roman" w:cs="Times New Roman"/>
                <w:sz w:val="24"/>
              </w:rPr>
              <w:t>stanovená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136, 137, 138</w:t>
            </w:r>
            <w:r w:rsidR="00A3389E">
              <w:rPr>
                <w:rFonts w:ascii="Times New Roman" w:hAnsi="Times New Roman" w:cs="Times New Roman"/>
                <w:sz w:val="24"/>
              </w:rPr>
              <w:t xml:space="preserve"> a </w:t>
            </w:r>
            <w:r w:rsidRPr="00A3389E">
              <w:rPr>
                <w:rFonts w:ascii="Times New Roman" w:hAnsi="Times New Roman" w:cs="Times New Roman"/>
                <w:sz w:val="24"/>
              </w:rPr>
              <w:t>139 CRD.</w:t>
            </w:r>
          </w:p>
          <w:p w14:paraId="26E210D6" w14:textId="174DFD15" w:rsidR="00CE019E" w:rsidRPr="00B53505" w:rsidRDefault="00CE019E" w:rsidP="001E06A3">
            <w:pPr>
              <w:autoSpaceDE w:val="0"/>
              <w:autoSpaceDN w:val="0"/>
              <w:adjustRightInd w:val="0"/>
              <w:spacing w:before="120" w:after="120"/>
              <w:jc w:val="both"/>
              <w:rPr>
                <w:rFonts w:ascii="Times New Roman" w:eastAsia="Times New Roman" w:hAnsi="Times New Roman" w:cs="Times New Roman"/>
                <w:spacing w:val="-4"/>
                <w:sz w:val="24"/>
              </w:rPr>
            </w:pPr>
            <w:r w:rsidRPr="00B53505">
              <w:rPr>
                <w:rFonts w:ascii="Times New Roman" w:hAnsi="Times New Roman" w:cs="Times New Roman"/>
                <w:spacing w:val="-4"/>
                <w:sz w:val="24"/>
              </w:rPr>
              <w:t>Tento stĺpec nezahŕňa miery proticyklických kapitálových vankúšov, ktoré boli stanovené, ale</w:t>
            </w:r>
            <w:r w:rsidR="00A3389E" w:rsidRPr="00B53505">
              <w:rPr>
                <w:rFonts w:ascii="Times New Roman" w:hAnsi="Times New Roman" w:cs="Times New Roman"/>
                <w:spacing w:val="-4"/>
                <w:sz w:val="24"/>
              </w:rPr>
              <w:t xml:space="preserve"> v </w:t>
            </w:r>
            <w:r w:rsidRPr="00B53505">
              <w:rPr>
                <w:rFonts w:ascii="Times New Roman" w:hAnsi="Times New Roman" w:cs="Times New Roman"/>
                <w:spacing w:val="-4"/>
                <w:sz w:val="24"/>
              </w:rPr>
              <w:t>čase výpočtu proticyklického kapitálového vankúša špecifického pre inštitúciu, ktorého sa zverejnenie týka, ešte neboli uplatniteľné.</w:t>
            </w:r>
          </w:p>
          <w:p w14:paraId="49ACACAC" w14:textId="4AF18522"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sz w:val="24"/>
              </w:rPr>
              <w:t>Táto hodnota sa zverejňuje ako percentuálny podiel</w:t>
            </w:r>
            <w:r w:rsidR="00A3389E">
              <w:rPr>
                <w:rFonts w:ascii="Times New Roman" w:hAnsi="Times New Roman" w:cs="Times New Roman"/>
                <w:sz w:val="24"/>
              </w:rPr>
              <w:t xml:space="preserve"> s </w:t>
            </w:r>
            <w:r w:rsidRPr="00A3389E">
              <w:rPr>
                <w:rFonts w:ascii="Times New Roman" w:hAnsi="Times New Roman" w:cs="Times New Roman"/>
                <w:sz w:val="24"/>
              </w:rPr>
              <w:t>rovnakým počtom desatinných miest, aký sa stanovuje</w:t>
            </w:r>
            <w:r w:rsidR="00A3389E">
              <w:rPr>
                <w:rFonts w:ascii="Times New Roman" w:hAnsi="Times New Roman" w:cs="Times New Roman"/>
                <w:sz w:val="24"/>
              </w:rPr>
              <w:t xml:space="preserve"> v </w:t>
            </w:r>
            <w:r w:rsidRPr="00A3389E">
              <w:rPr>
                <w:rFonts w:ascii="Times New Roman" w:hAnsi="Times New Roman" w:cs="Times New Roman"/>
                <w:sz w:val="24"/>
              </w:rPr>
              <w:t>článkoch 136, 137, 138</w:t>
            </w:r>
            <w:r w:rsidR="00A3389E">
              <w:rPr>
                <w:rFonts w:ascii="Times New Roman" w:hAnsi="Times New Roman" w:cs="Times New Roman"/>
                <w:sz w:val="24"/>
              </w:rPr>
              <w:t xml:space="preserve"> a </w:t>
            </w:r>
            <w:r w:rsidRPr="00A3389E">
              <w:rPr>
                <w:rFonts w:ascii="Times New Roman" w:hAnsi="Times New Roman" w:cs="Times New Roman"/>
                <w:sz w:val="24"/>
              </w:rPr>
              <w:t>139 CRD.</w:t>
            </w:r>
          </w:p>
        </w:tc>
      </w:tr>
    </w:tbl>
    <w:p w14:paraId="595F859E" w14:textId="77777777" w:rsidR="00CE019E" w:rsidRPr="00A3389E" w:rsidRDefault="00CE019E" w:rsidP="00CE019E">
      <w:pPr>
        <w:jc w:val="both"/>
        <w:rPr>
          <w:rFonts w:ascii="Times New Roman" w:hAnsi="Times New Roman" w:cs="Times New Roman"/>
          <w:sz w:val="24"/>
        </w:rPr>
      </w:pPr>
    </w:p>
    <w:p w14:paraId="4095F529" w14:textId="038B7A61" w:rsidR="00CE019E" w:rsidRPr="00A3389E" w:rsidRDefault="00CD362D" w:rsidP="00CE019E">
      <w:pPr>
        <w:autoSpaceDE w:val="0"/>
        <w:autoSpaceDN w:val="0"/>
        <w:adjustRightInd w:val="0"/>
        <w:jc w:val="both"/>
        <w:rPr>
          <w:rFonts w:ascii="Times New Roman" w:hAnsi="Times New Roman" w:cs="Times New Roman"/>
          <w:b/>
          <w:sz w:val="24"/>
        </w:rPr>
      </w:pPr>
      <w:r w:rsidRPr="00A3389E">
        <w:rPr>
          <w:rFonts w:ascii="Times New Roman" w:hAnsi="Times New Roman" w:cs="Times New Roman"/>
          <w:b/>
          <w:sz w:val="24"/>
        </w:rPr>
        <w:t>Vzor EU CCyB2 – Hodnota proticyklického kapitálového vankúša špecifického pre inštitúciu</w:t>
      </w:r>
    </w:p>
    <w:p w14:paraId="53EB0A4C" w14:textId="5727FA7E" w:rsidR="00CE019E" w:rsidRPr="00A3389E" w:rsidRDefault="00A3389E" w:rsidP="00A3389E">
      <w:pPr>
        <w:spacing w:before="120" w:after="120"/>
        <w:ind w:left="425" w:hanging="357"/>
        <w:jc w:val="both"/>
        <w:rPr>
          <w:rFonts w:ascii="Times New Roman" w:hAnsi="Times New Roman"/>
          <w:sz w:val="24"/>
        </w:rPr>
      </w:pPr>
      <w:r w:rsidRPr="00A3389E">
        <w:rPr>
          <w:rFonts w:ascii="Times New Roman" w:eastAsia="Calibri" w:hAnsi="Times New Roman" w:cs="Times New Roman"/>
          <w:sz w:val="24"/>
          <w:szCs w:val="22"/>
        </w:rPr>
        <w:t>3.</w:t>
      </w:r>
      <w:r w:rsidRPr="00A3389E">
        <w:rPr>
          <w:rFonts w:ascii="Times New Roman" w:eastAsia="Calibri" w:hAnsi="Times New Roman" w:cs="Times New Roman"/>
          <w:sz w:val="24"/>
          <w:szCs w:val="22"/>
        </w:rPr>
        <w:tab/>
      </w:r>
      <w:r w:rsidR="00CE019E" w:rsidRPr="00A3389E">
        <w:rPr>
          <w:rFonts w:ascii="Times New Roman" w:hAnsi="Times New Roman"/>
          <w:sz w:val="24"/>
        </w:rPr>
        <w:t>Inštitúcie zverejňujú informácie uvedené</w:t>
      </w:r>
      <w:r>
        <w:rPr>
          <w:rFonts w:ascii="Times New Roman" w:hAnsi="Times New Roman"/>
          <w:sz w:val="24"/>
        </w:rPr>
        <w:t xml:space="preserve"> v </w:t>
      </w:r>
      <w:r w:rsidR="00CE019E" w:rsidRPr="00A3389E">
        <w:rPr>
          <w:rFonts w:ascii="Times New Roman" w:hAnsi="Times New Roman"/>
          <w:sz w:val="24"/>
        </w:rPr>
        <w:t>článku 440 písm. b) CRR podľa pokynov uvedených nižšie</w:t>
      </w:r>
      <w:r>
        <w:rPr>
          <w:rFonts w:ascii="Times New Roman" w:hAnsi="Times New Roman"/>
          <w:sz w:val="24"/>
        </w:rPr>
        <w:t xml:space="preserve"> v </w:t>
      </w:r>
      <w:r w:rsidR="00CE019E" w:rsidRPr="00A3389E">
        <w:rPr>
          <w:rFonts w:ascii="Times New Roman" w:hAnsi="Times New Roman"/>
          <w:sz w:val="24"/>
        </w:rPr>
        <w:t>tejto prílohe</w:t>
      </w:r>
      <w:r>
        <w:rPr>
          <w:rFonts w:ascii="Times New Roman" w:hAnsi="Times New Roman"/>
          <w:sz w:val="24"/>
        </w:rPr>
        <w:t xml:space="preserve"> s </w:t>
      </w:r>
      <w:r w:rsidR="00CE019E" w:rsidRPr="00A3389E">
        <w:rPr>
          <w:rFonts w:ascii="Times New Roman" w:hAnsi="Times New Roman"/>
          <w:sz w:val="24"/>
        </w:rPr>
        <w:t>cieľom vyplniť vzor EU CCyB2, ktorý je uvedený</w:t>
      </w:r>
      <w:r>
        <w:rPr>
          <w:rFonts w:ascii="Times New Roman" w:hAnsi="Times New Roman"/>
          <w:sz w:val="24"/>
        </w:rPr>
        <w:t xml:space="preserve"> v </w:t>
      </w:r>
      <w:r w:rsidR="00CE019E" w:rsidRPr="00A3389E">
        <w:rPr>
          <w:rFonts w:ascii="Times New Roman" w:hAnsi="Times New Roman"/>
          <w:sz w:val="24"/>
        </w:rPr>
        <w:t>prílohe IX</w:t>
      </w:r>
      <w:r>
        <w:rPr>
          <w:rFonts w:ascii="Times New Roman" w:hAnsi="Times New Roman"/>
          <w:sz w:val="24"/>
        </w:rPr>
        <w:t xml:space="preserve"> k </w:t>
      </w:r>
      <w:r w:rsidR="00CE019E" w:rsidRPr="00A3389E">
        <w:rPr>
          <w:rFonts w:ascii="Times New Roman" w:hAnsi="Times New Roman"/>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A3389E"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CA7FCD9" w:rsidR="00CE019E" w:rsidRPr="00A3389E" w:rsidRDefault="00CE019E" w:rsidP="001E06A3">
            <w:pPr>
              <w:jc w:val="both"/>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CE019E" w:rsidRPr="00A3389E" w14:paraId="6C635396" w14:textId="77777777" w:rsidTr="001E06A3">
        <w:trPr>
          <w:trHeight w:val="238"/>
        </w:trPr>
        <w:tc>
          <w:tcPr>
            <w:tcW w:w="1384" w:type="dxa"/>
            <w:shd w:val="clear" w:color="auto" w:fill="D9D9D9" w:themeFill="background1" w:themeFillShade="D9"/>
          </w:tcPr>
          <w:p w14:paraId="7A8B4702" w14:textId="77777777" w:rsidR="00CE019E" w:rsidRPr="00A3389E" w:rsidRDefault="00CE019E" w:rsidP="001E06A3">
            <w:pPr>
              <w:autoSpaceDE w:val="0"/>
              <w:autoSpaceDN w:val="0"/>
              <w:adjustRightInd w:val="0"/>
              <w:jc w:val="both"/>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4C301A07" w14:textId="77777777" w:rsidR="00CE019E" w:rsidRPr="00A3389E" w:rsidRDefault="00CE019E" w:rsidP="001E06A3">
            <w:pPr>
              <w:autoSpaceDE w:val="0"/>
              <w:autoSpaceDN w:val="0"/>
              <w:adjustRightInd w:val="0"/>
              <w:jc w:val="both"/>
              <w:rPr>
                <w:rFonts w:ascii="Times New Roman" w:hAnsi="Times New Roman" w:cs="Times New Roman"/>
                <w:color w:val="000000"/>
                <w:sz w:val="24"/>
              </w:rPr>
            </w:pPr>
            <w:r w:rsidRPr="00A3389E">
              <w:rPr>
                <w:rFonts w:ascii="Times New Roman" w:hAnsi="Times New Roman" w:cs="Times New Roman"/>
                <w:b/>
                <w:sz w:val="24"/>
              </w:rPr>
              <w:t>Vysvetlenie</w:t>
            </w:r>
          </w:p>
        </w:tc>
      </w:tr>
      <w:tr w:rsidR="00CE019E" w:rsidRPr="00A3389E" w14:paraId="3795E0DF" w14:textId="77777777" w:rsidTr="001E06A3">
        <w:trPr>
          <w:trHeight w:val="1055"/>
        </w:trPr>
        <w:tc>
          <w:tcPr>
            <w:tcW w:w="1384" w:type="dxa"/>
          </w:tcPr>
          <w:p w14:paraId="398A818D" w14:textId="77777777" w:rsidR="00CE019E" w:rsidRPr="00A3389E" w:rsidRDefault="00CE019E" w:rsidP="001E06A3">
            <w:pPr>
              <w:pStyle w:val="Applicationdirecte"/>
              <w:spacing w:before="120"/>
            </w:pPr>
            <w:r w:rsidRPr="00A3389E">
              <w:t>1</w:t>
            </w:r>
          </w:p>
        </w:tc>
        <w:tc>
          <w:tcPr>
            <w:tcW w:w="7655" w:type="dxa"/>
          </w:tcPr>
          <w:p w14:paraId="1198D2F8" w14:textId="77777777" w:rsidR="00CE019E" w:rsidRPr="00A3389E" w:rsidRDefault="00CE019E" w:rsidP="001E06A3">
            <w:pPr>
              <w:pStyle w:val="Applicationdirecte"/>
              <w:spacing w:before="120"/>
              <w:rPr>
                <w:b/>
              </w:rPr>
            </w:pPr>
            <w:r w:rsidRPr="00A3389E">
              <w:rPr>
                <w:b/>
              </w:rPr>
              <w:t>Celková hodnota rizikovej expozície</w:t>
            </w:r>
          </w:p>
          <w:p w14:paraId="2EE23848" w14:textId="2642709A" w:rsidR="00CE019E" w:rsidRPr="00B53505" w:rsidRDefault="00CE019E" w:rsidP="001E06A3">
            <w:pPr>
              <w:autoSpaceDE w:val="0"/>
              <w:autoSpaceDN w:val="0"/>
              <w:adjustRightInd w:val="0"/>
              <w:spacing w:before="120" w:after="120"/>
              <w:jc w:val="both"/>
              <w:rPr>
                <w:rFonts w:ascii="Times New Roman" w:hAnsi="Times New Roman" w:cs="Times New Roman"/>
                <w:color w:val="000000"/>
                <w:spacing w:val="-8"/>
                <w:sz w:val="24"/>
              </w:rPr>
            </w:pPr>
            <w:r w:rsidRPr="00B53505">
              <w:rPr>
                <w:rFonts w:ascii="Times New Roman" w:hAnsi="Times New Roman" w:cs="Times New Roman"/>
                <w:spacing w:val="-8"/>
                <w:sz w:val="24"/>
              </w:rPr>
              <w:t>Celková hodnota rizikovej expozície vypočítaná</w:t>
            </w:r>
            <w:r w:rsidR="00A3389E" w:rsidRPr="00B53505">
              <w:rPr>
                <w:rFonts w:ascii="Times New Roman" w:hAnsi="Times New Roman" w:cs="Times New Roman"/>
                <w:spacing w:val="-8"/>
                <w:sz w:val="24"/>
              </w:rPr>
              <w:t xml:space="preserve"> v </w:t>
            </w:r>
            <w:r w:rsidRPr="00B53505">
              <w:rPr>
                <w:rFonts w:ascii="Times New Roman" w:hAnsi="Times New Roman" w:cs="Times New Roman"/>
                <w:spacing w:val="-8"/>
                <w:sz w:val="24"/>
              </w:rPr>
              <w:t>súlade</w:t>
            </w:r>
            <w:r w:rsidR="00A3389E" w:rsidRPr="00B53505">
              <w:rPr>
                <w:rFonts w:ascii="Times New Roman" w:hAnsi="Times New Roman" w:cs="Times New Roman"/>
                <w:spacing w:val="-8"/>
                <w:sz w:val="24"/>
              </w:rPr>
              <w:t xml:space="preserve"> s </w:t>
            </w:r>
            <w:r w:rsidRPr="00B53505">
              <w:rPr>
                <w:rFonts w:ascii="Times New Roman" w:hAnsi="Times New Roman" w:cs="Times New Roman"/>
                <w:spacing w:val="-8"/>
                <w:sz w:val="24"/>
              </w:rPr>
              <w:t>článkom 92 ods. 3 CRR.</w:t>
            </w:r>
          </w:p>
        </w:tc>
      </w:tr>
      <w:tr w:rsidR="00CE019E" w:rsidRPr="00A3389E" w14:paraId="64570429" w14:textId="77777777" w:rsidTr="001E06A3">
        <w:trPr>
          <w:trHeight w:val="316"/>
        </w:trPr>
        <w:tc>
          <w:tcPr>
            <w:tcW w:w="1384" w:type="dxa"/>
          </w:tcPr>
          <w:p w14:paraId="0BE0A621"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t>2</w:t>
            </w:r>
          </w:p>
        </w:tc>
        <w:tc>
          <w:tcPr>
            <w:tcW w:w="7655" w:type="dxa"/>
          </w:tcPr>
          <w:p w14:paraId="4DB2960C" w14:textId="77777777" w:rsidR="00A338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Miera proticyklického kapitálového vankúša špecifického pre inštitúciu</w:t>
            </w:r>
          </w:p>
          <w:p w14:paraId="0B4B79E5" w14:textId="704EDB92" w:rsidR="00A338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Miera proticyklického kapitálového vankúša špecifického pre inštitúciu určená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140 ods. 1 CRD</w:t>
            </w:r>
            <w:r w:rsidR="00A3389E" w:rsidRPr="00A3389E">
              <w:rPr>
                <w:rFonts w:ascii="Times New Roman" w:hAnsi="Times New Roman" w:cs="Times New Roman"/>
                <w:sz w:val="24"/>
              </w:rPr>
              <w:t>.</w:t>
            </w:r>
          </w:p>
          <w:p w14:paraId="621A174E" w14:textId="25299950" w:rsidR="00CE019E" w:rsidRPr="00B53505" w:rsidRDefault="00CE019E" w:rsidP="001E06A3">
            <w:pPr>
              <w:autoSpaceDE w:val="0"/>
              <w:autoSpaceDN w:val="0"/>
              <w:adjustRightInd w:val="0"/>
              <w:spacing w:before="120" w:after="120"/>
              <w:jc w:val="both"/>
              <w:rPr>
                <w:rFonts w:ascii="Times New Roman" w:eastAsia="Times New Roman" w:hAnsi="Times New Roman" w:cs="Times New Roman"/>
                <w:spacing w:val="-6"/>
                <w:sz w:val="24"/>
              </w:rPr>
            </w:pPr>
            <w:r w:rsidRPr="00B53505">
              <w:rPr>
                <w:rFonts w:ascii="Times New Roman" w:hAnsi="Times New Roman" w:cs="Times New Roman"/>
                <w:spacing w:val="-6"/>
                <w:sz w:val="24"/>
              </w:rPr>
              <w:t>Miera proticyklického kapitálového vankúša špecifického pre inštitúciu sa vypočítava ako vážený priemer mier proticyklických vankúšov, ktoré sa uplatňujú</w:t>
            </w:r>
            <w:r w:rsidR="00A3389E" w:rsidRPr="00B53505">
              <w:rPr>
                <w:rFonts w:ascii="Times New Roman" w:hAnsi="Times New Roman" w:cs="Times New Roman"/>
                <w:spacing w:val="-6"/>
                <w:sz w:val="24"/>
              </w:rPr>
              <w:t xml:space="preserve"> v </w:t>
            </w:r>
            <w:r w:rsidRPr="00B53505">
              <w:rPr>
                <w:rFonts w:ascii="Times New Roman" w:hAnsi="Times New Roman" w:cs="Times New Roman"/>
                <w:spacing w:val="-6"/>
                <w:sz w:val="24"/>
              </w:rPr>
              <w:t>krajinách,</w:t>
            </w:r>
            <w:r w:rsidR="00A3389E" w:rsidRPr="00B53505">
              <w:rPr>
                <w:rFonts w:ascii="Times New Roman" w:hAnsi="Times New Roman" w:cs="Times New Roman"/>
                <w:spacing w:val="-6"/>
                <w:sz w:val="24"/>
              </w:rPr>
              <w:t xml:space="preserve"> v </w:t>
            </w:r>
            <w:r w:rsidRPr="00B53505">
              <w:rPr>
                <w:rFonts w:ascii="Times New Roman" w:hAnsi="Times New Roman" w:cs="Times New Roman"/>
                <w:spacing w:val="-6"/>
                <w:sz w:val="24"/>
              </w:rPr>
              <w:t>ktorých sa nachádzajú príslušné expozície inštitúcie voči kreditnému riziku</w:t>
            </w:r>
            <w:r w:rsidR="00A3389E" w:rsidRPr="00B53505">
              <w:rPr>
                <w:rFonts w:ascii="Times New Roman" w:hAnsi="Times New Roman" w:cs="Times New Roman"/>
                <w:spacing w:val="-6"/>
                <w:sz w:val="24"/>
              </w:rPr>
              <w:t xml:space="preserve"> a </w:t>
            </w:r>
            <w:r w:rsidRPr="00B53505">
              <w:rPr>
                <w:rFonts w:ascii="Times New Roman" w:hAnsi="Times New Roman" w:cs="Times New Roman"/>
                <w:spacing w:val="-6"/>
                <w:sz w:val="24"/>
              </w:rPr>
              <w:t>ktoré sú uvedené</w:t>
            </w:r>
            <w:r w:rsidR="00A3389E" w:rsidRPr="00B53505">
              <w:rPr>
                <w:rFonts w:ascii="Times New Roman" w:hAnsi="Times New Roman" w:cs="Times New Roman"/>
                <w:spacing w:val="-6"/>
                <w:sz w:val="24"/>
              </w:rPr>
              <w:t xml:space="preserve"> v </w:t>
            </w:r>
            <w:r w:rsidRPr="00B53505">
              <w:rPr>
                <w:rFonts w:ascii="Times New Roman" w:hAnsi="Times New Roman" w:cs="Times New Roman"/>
                <w:spacing w:val="-6"/>
                <w:sz w:val="24"/>
              </w:rPr>
              <w:t>riadkoch 010.1 až 010.X stĺpca m vzoru EU CCyB1.</w:t>
            </w:r>
          </w:p>
          <w:p w14:paraId="547AFA82" w14:textId="293EE0A4" w:rsidR="00A3389E" w:rsidRPr="00A3389E" w:rsidRDefault="00CE019E"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Váha uplatnená na mieru proticyklického kapitálového vankúša</w:t>
            </w:r>
            <w:r w:rsidR="00A3389E">
              <w:rPr>
                <w:rFonts w:ascii="Times New Roman" w:hAnsi="Times New Roman" w:cs="Times New Roman"/>
                <w:sz w:val="24"/>
              </w:rPr>
              <w:t xml:space="preserve"> v </w:t>
            </w:r>
            <w:r w:rsidRPr="00A3389E">
              <w:rPr>
                <w:rFonts w:ascii="Times New Roman" w:hAnsi="Times New Roman" w:cs="Times New Roman"/>
                <w:sz w:val="24"/>
              </w:rPr>
              <w:t>jednotlivých krajinách je podiel požiadaviek na zdroje na požiadavkách na celkové vlastné zdroje</w:t>
            </w:r>
            <w:r w:rsidR="00A3389E">
              <w:rPr>
                <w:rFonts w:ascii="Times New Roman" w:hAnsi="Times New Roman" w:cs="Times New Roman"/>
                <w:sz w:val="24"/>
              </w:rPr>
              <w:t xml:space="preserve"> a </w:t>
            </w:r>
            <w:r w:rsidRPr="00A3389E">
              <w:rPr>
                <w:rFonts w:ascii="Times New Roman" w:hAnsi="Times New Roman" w:cs="Times New Roman"/>
                <w:sz w:val="24"/>
              </w:rPr>
              <w:t>uvádza sa vo vzore EU CCyB1 stĺpci 1</w:t>
            </w:r>
            <w:r w:rsidR="00A3389E" w:rsidRPr="00A3389E">
              <w:rPr>
                <w:rFonts w:ascii="Times New Roman" w:hAnsi="Times New Roman" w:cs="Times New Roman"/>
                <w:sz w:val="24"/>
              </w:rPr>
              <w:t>.</w:t>
            </w:r>
          </w:p>
          <w:p w14:paraId="0A5B1C3D" w14:textId="72FA663F" w:rsidR="00CE019E" w:rsidRPr="00A3389E"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Táto hodnota sa zverejňuje ako percentuálny podiel</w:t>
            </w:r>
            <w:r w:rsidR="00A3389E">
              <w:rPr>
                <w:rFonts w:ascii="Times New Roman" w:hAnsi="Times New Roman" w:cs="Times New Roman"/>
                <w:sz w:val="24"/>
              </w:rPr>
              <w:t xml:space="preserve"> s </w:t>
            </w:r>
            <w:r w:rsidRPr="00A3389E">
              <w:rPr>
                <w:rFonts w:ascii="Times New Roman" w:hAnsi="Times New Roman" w:cs="Times New Roman"/>
                <w:sz w:val="24"/>
              </w:rPr>
              <w:t>presnosťou na 2 desatinné miesta.</w:t>
            </w:r>
          </w:p>
        </w:tc>
      </w:tr>
      <w:tr w:rsidR="00CE019E" w:rsidRPr="00A3389E" w14:paraId="4A1ABF5B" w14:textId="77777777" w:rsidTr="001E06A3">
        <w:trPr>
          <w:trHeight w:val="316"/>
        </w:trPr>
        <w:tc>
          <w:tcPr>
            <w:tcW w:w="1384" w:type="dxa"/>
          </w:tcPr>
          <w:p w14:paraId="794774FA" w14:textId="77777777" w:rsidR="00CE019E" w:rsidRPr="00A3389E" w:rsidRDefault="00CE019E" w:rsidP="001E06A3">
            <w:pPr>
              <w:autoSpaceDE w:val="0"/>
              <w:autoSpaceDN w:val="0"/>
              <w:adjustRightInd w:val="0"/>
              <w:jc w:val="both"/>
              <w:rPr>
                <w:rFonts w:ascii="Times New Roman" w:eastAsia="Times New Roman" w:hAnsi="Times New Roman" w:cs="Times New Roman"/>
                <w:sz w:val="24"/>
              </w:rPr>
            </w:pPr>
            <w:r w:rsidRPr="00A3389E">
              <w:rPr>
                <w:rFonts w:ascii="Times New Roman" w:hAnsi="Times New Roman" w:cs="Times New Roman"/>
                <w:sz w:val="24"/>
              </w:rPr>
              <w:t>3</w:t>
            </w:r>
          </w:p>
        </w:tc>
        <w:tc>
          <w:tcPr>
            <w:tcW w:w="7655" w:type="dxa"/>
          </w:tcPr>
          <w:p w14:paraId="455FA417" w14:textId="77777777"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Požiadavka na proticyklický kapitálový vankúš špecifický pre inštitúciu</w:t>
            </w:r>
          </w:p>
          <w:p w14:paraId="0126D735" w14:textId="3771847D" w:rsidR="00CE019E" w:rsidRPr="00A3389E" w:rsidRDefault="00CE019E"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sz w:val="24"/>
              </w:rPr>
              <w:t xml:space="preserve">Požiadavka na proticyklický kapitálový vankúš špecifický pre inštitúciu vypočítaná ako miera proticyklického kapitálového vankúša špecifického pre </w:t>
            </w:r>
            <w:r w:rsidRPr="00A3389E">
              <w:rPr>
                <w:rFonts w:ascii="Times New Roman" w:hAnsi="Times New Roman" w:cs="Times New Roman"/>
                <w:sz w:val="24"/>
              </w:rPr>
              <w:lastRenderedPageBreak/>
              <w:t>inštitúciu zverejnená</w:t>
            </w:r>
            <w:r w:rsidR="00A3389E">
              <w:rPr>
                <w:rFonts w:ascii="Times New Roman" w:hAnsi="Times New Roman" w:cs="Times New Roman"/>
                <w:sz w:val="24"/>
              </w:rPr>
              <w:t xml:space="preserve"> v </w:t>
            </w:r>
            <w:r w:rsidRPr="00A3389E">
              <w:rPr>
                <w:rFonts w:ascii="Times New Roman" w:hAnsi="Times New Roman" w:cs="Times New Roman"/>
                <w:sz w:val="24"/>
              </w:rPr>
              <w:t>riadku 2 tohto vzoru, ktorá sa uplatňuje na celkovú hodnotu rizikovej expozície zverejnenú</w:t>
            </w:r>
            <w:r w:rsidR="00A3389E">
              <w:rPr>
                <w:rFonts w:ascii="Times New Roman" w:hAnsi="Times New Roman" w:cs="Times New Roman"/>
                <w:sz w:val="24"/>
              </w:rPr>
              <w:t xml:space="preserve"> v </w:t>
            </w:r>
            <w:r w:rsidRPr="00A3389E">
              <w:rPr>
                <w:rFonts w:ascii="Times New Roman" w:hAnsi="Times New Roman" w:cs="Times New Roman"/>
                <w:sz w:val="24"/>
              </w:rPr>
              <w:t>riadku 1 tohto vzoru.</w:t>
            </w:r>
          </w:p>
        </w:tc>
      </w:tr>
    </w:tbl>
    <w:p w14:paraId="7F2BDB40" w14:textId="77777777" w:rsidR="00CE019E" w:rsidRPr="00A3389E"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A3389E"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11A90A3" w:rsidR="00CE019E" w:rsidRPr="00A3389E" w:rsidRDefault="00CE019E" w:rsidP="001E06A3">
            <w:pPr>
              <w:jc w:val="both"/>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CE019E" w:rsidRPr="00A3389E" w14:paraId="5663F865" w14:textId="77777777" w:rsidTr="001E06A3">
        <w:trPr>
          <w:trHeight w:val="238"/>
        </w:trPr>
        <w:tc>
          <w:tcPr>
            <w:tcW w:w="1384" w:type="dxa"/>
            <w:shd w:val="clear" w:color="auto" w:fill="D9D9D9" w:themeFill="background1" w:themeFillShade="D9"/>
          </w:tcPr>
          <w:p w14:paraId="072307AB" w14:textId="77777777" w:rsidR="00CE019E" w:rsidRPr="00A3389E" w:rsidRDefault="00CE019E" w:rsidP="001E06A3">
            <w:pPr>
              <w:autoSpaceDE w:val="0"/>
              <w:autoSpaceDN w:val="0"/>
              <w:adjustRightInd w:val="0"/>
              <w:jc w:val="both"/>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65E9D381" w14:textId="77777777" w:rsidR="00CE019E" w:rsidRPr="00A3389E" w:rsidRDefault="00CE019E" w:rsidP="001E06A3">
            <w:pPr>
              <w:autoSpaceDE w:val="0"/>
              <w:autoSpaceDN w:val="0"/>
              <w:adjustRightInd w:val="0"/>
              <w:jc w:val="both"/>
              <w:rPr>
                <w:rFonts w:ascii="Times New Roman" w:hAnsi="Times New Roman" w:cs="Times New Roman"/>
                <w:color w:val="000000"/>
                <w:sz w:val="24"/>
              </w:rPr>
            </w:pPr>
            <w:r w:rsidRPr="00A3389E">
              <w:rPr>
                <w:rFonts w:ascii="Times New Roman" w:hAnsi="Times New Roman" w:cs="Times New Roman"/>
                <w:b/>
                <w:sz w:val="24"/>
              </w:rPr>
              <w:t>Vysvetlenie</w:t>
            </w:r>
          </w:p>
        </w:tc>
      </w:tr>
      <w:tr w:rsidR="00CE019E" w:rsidRPr="00A3389E" w14:paraId="0F761600" w14:textId="77777777" w:rsidTr="001E06A3">
        <w:trPr>
          <w:trHeight w:val="703"/>
        </w:trPr>
        <w:tc>
          <w:tcPr>
            <w:tcW w:w="1384" w:type="dxa"/>
          </w:tcPr>
          <w:p w14:paraId="543D102F" w14:textId="77777777" w:rsidR="00CE019E" w:rsidRPr="00A3389E" w:rsidRDefault="00CE019E" w:rsidP="001E06A3">
            <w:pPr>
              <w:pStyle w:val="Applicationdirecte"/>
              <w:spacing w:before="120"/>
            </w:pPr>
            <w:r w:rsidRPr="00A3389E">
              <w:t>a</w:t>
            </w:r>
          </w:p>
        </w:tc>
        <w:tc>
          <w:tcPr>
            <w:tcW w:w="7655" w:type="dxa"/>
          </w:tcPr>
          <w:p w14:paraId="45A2BE94" w14:textId="77595865" w:rsidR="00CE019E" w:rsidRPr="00A3389E" w:rsidRDefault="00CE019E" w:rsidP="001E06A3">
            <w:pPr>
              <w:autoSpaceDE w:val="0"/>
              <w:autoSpaceDN w:val="0"/>
              <w:adjustRightInd w:val="0"/>
              <w:spacing w:before="120" w:after="120"/>
              <w:jc w:val="both"/>
              <w:rPr>
                <w:rFonts w:ascii="Times New Roman" w:hAnsi="Times New Roman" w:cs="Times New Roman"/>
                <w:color w:val="000000"/>
                <w:sz w:val="24"/>
              </w:rPr>
            </w:pPr>
            <w:r w:rsidRPr="00A3389E">
              <w:rPr>
                <w:rFonts w:ascii="Times New Roman" w:hAnsi="Times New Roman" w:cs="Times New Roman"/>
                <w:sz w:val="24"/>
              </w:rPr>
              <w:t>Hodnota opísaná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vysvetlením pre riadky 1 až 3 tohto vzoru.</w:t>
            </w:r>
          </w:p>
        </w:tc>
      </w:tr>
    </w:tbl>
    <w:p w14:paraId="35E71BA5" w14:textId="77777777" w:rsidR="007A7DC0" w:rsidRPr="00A3389E" w:rsidRDefault="007A7DC0" w:rsidP="00CE019E">
      <w:pPr>
        <w:jc w:val="both"/>
        <w:rPr>
          <w:rFonts w:ascii="Times New Roman" w:hAnsi="Times New Roman" w:cs="Times New Roman"/>
          <w:sz w:val="24"/>
        </w:rPr>
        <w:sectPr w:rsidR="007A7DC0" w:rsidRPr="00A3389E" w:rsidSect="00155C96">
          <w:pgSz w:w="11900" w:h="16840"/>
          <w:pgMar w:top="2268" w:right="1418" w:bottom="1134" w:left="1701" w:header="709" w:footer="709" w:gutter="0"/>
          <w:pgNumType w:start="1" w:chapStyle="1"/>
          <w:cols w:space="708"/>
          <w:docGrid w:linePitch="299"/>
        </w:sectPr>
      </w:pPr>
    </w:p>
    <w:p w14:paraId="4036B67F" w14:textId="5172A314" w:rsidR="00CE019E" w:rsidRPr="00A3389E" w:rsidRDefault="00CE019E" w:rsidP="00CE019E">
      <w:pPr>
        <w:jc w:val="both"/>
        <w:rPr>
          <w:rFonts w:ascii="Times New Roman" w:hAnsi="Times New Roman" w:cs="Times New Roman"/>
          <w:sz w:val="24"/>
        </w:rPr>
      </w:pPr>
    </w:p>
    <w:p w14:paraId="764CFA27" w14:textId="7A649F67" w:rsidR="00CE019E" w:rsidRPr="00A3389E" w:rsidRDefault="00CE019E" w:rsidP="00E258D8">
      <w:pPr>
        <w:tabs>
          <w:tab w:val="left" w:pos="1430"/>
        </w:tabs>
        <w:rPr>
          <w:rFonts w:ascii="Times New Roman" w:hAnsi="Times New Roman" w:cs="Times New Roman"/>
          <w:b/>
          <w:sz w:val="24"/>
        </w:rPr>
      </w:pPr>
    </w:p>
    <w:p w14:paraId="5F906F3E" w14:textId="77777777" w:rsidR="00A3389E" w:rsidRPr="00A3389E" w:rsidRDefault="000A7015" w:rsidP="000A7015">
      <w:pPr>
        <w:pStyle w:val="Annexetitre"/>
        <w:spacing w:before="0"/>
        <w:ind w:firstLine="708"/>
      </w:pPr>
      <w:r w:rsidRPr="00A3389E">
        <w:t>PRÍLOHA XII – Pokyny na zverejňovanie ukazovateľa finančnej páky</w:t>
      </w:r>
    </w:p>
    <w:p w14:paraId="367D37E3" w14:textId="57332146" w:rsidR="000A7015" w:rsidRPr="00A3389E"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2" w:name="_DV_M1009"/>
      <w:bookmarkStart w:id="13" w:name="_DV_M1010"/>
      <w:bookmarkEnd w:id="12"/>
      <w:bookmarkEnd w:id="13"/>
    </w:p>
    <w:p w14:paraId="7CD5D435" w14:textId="60FA3903" w:rsidR="000A7015" w:rsidRPr="00A3389E"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A3389E">
        <w:rPr>
          <w:rFonts w:ascii="Times New Roman" w:hAnsi="Times New Roman" w:cs="Times New Roman"/>
          <w:color w:val="000000"/>
          <w:sz w:val="24"/>
          <w:szCs w:val="24"/>
        </w:rPr>
        <w:t>Vzor EU LR1 – LRSum: Zhrnutie zosúhlasenia účtovných aktív</w:t>
      </w:r>
      <w:r w:rsidR="00A3389E">
        <w:rPr>
          <w:rFonts w:ascii="Times New Roman" w:hAnsi="Times New Roman" w:cs="Times New Roman"/>
          <w:color w:val="000000"/>
          <w:sz w:val="24"/>
          <w:szCs w:val="24"/>
        </w:rPr>
        <w:t xml:space="preserve"> a </w:t>
      </w:r>
      <w:r w:rsidRPr="00A3389E">
        <w:rPr>
          <w:rFonts w:ascii="Times New Roman" w:hAnsi="Times New Roman" w:cs="Times New Roman"/>
          <w:color w:val="000000"/>
          <w:sz w:val="24"/>
          <w:szCs w:val="24"/>
        </w:rPr>
        <w:t xml:space="preserve">expozícií ukazovateľa finančnej páky. </w:t>
      </w:r>
      <w:r w:rsidRPr="00A3389E">
        <w:rPr>
          <w:rFonts w:ascii="Times New Roman" w:hAnsi="Times New Roman" w:cs="Times New Roman"/>
          <w:b w:val="0"/>
          <w:color w:val="000000"/>
          <w:sz w:val="24"/>
          <w:szCs w:val="24"/>
        </w:rPr>
        <w:t>Vzor</w:t>
      </w:r>
      <w:r w:rsidR="00A3389E">
        <w:rPr>
          <w:rFonts w:ascii="Times New Roman" w:hAnsi="Times New Roman" w:cs="Times New Roman"/>
          <w:b w:val="0"/>
          <w:color w:val="000000"/>
          <w:sz w:val="24"/>
          <w:szCs w:val="24"/>
        </w:rPr>
        <w:t xml:space="preserve"> s </w:t>
      </w:r>
      <w:r w:rsidRPr="00A3389E">
        <w:rPr>
          <w:rFonts w:ascii="Times New Roman" w:hAnsi="Times New Roman" w:cs="Times New Roman"/>
          <w:b w:val="0"/>
          <w:color w:val="000000"/>
          <w:sz w:val="24"/>
          <w:szCs w:val="24"/>
        </w:rPr>
        <w:t>pevným formátom.</w:t>
      </w:r>
    </w:p>
    <w:p w14:paraId="323ADFCE" w14:textId="6DFCB965" w:rsidR="000A7015" w:rsidRPr="00A3389E" w:rsidRDefault="00A3389E" w:rsidP="00A3389E">
      <w:pPr>
        <w:spacing w:after="120"/>
        <w:ind w:left="426" w:hanging="360"/>
        <w:rPr>
          <w:rFonts w:ascii="Times New Roman" w:hAnsi="Times New Roman"/>
          <w:sz w:val="24"/>
        </w:rPr>
      </w:pPr>
      <w:r w:rsidRPr="00A3389E">
        <w:rPr>
          <w:rFonts w:ascii="Times New Roman" w:eastAsia="Calibri" w:hAnsi="Times New Roman" w:cs="Times New Roman"/>
          <w:sz w:val="24"/>
        </w:rPr>
        <w:t>1.</w:t>
      </w:r>
      <w:r w:rsidRPr="00A3389E">
        <w:rPr>
          <w:rFonts w:ascii="Times New Roman" w:eastAsia="Calibri" w:hAnsi="Times New Roman" w:cs="Times New Roman"/>
          <w:sz w:val="24"/>
        </w:rPr>
        <w:tab/>
      </w:r>
      <w:r w:rsidR="000A7015" w:rsidRPr="00A3389E">
        <w:rPr>
          <w:rFonts w:ascii="Times New Roman" w:hAnsi="Times New Roman"/>
          <w:sz w:val="24"/>
        </w:rPr>
        <w:t>Inštitúcie uplatňujú pokyny uvedené</w:t>
      </w:r>
      <w:r>
        <w:rPr>
          <w:rFonts w:ascii="Times New Roman" w:hAnsi="Times New Roman"/>
          <w:sz w:val="24"/>
        </w:rPr>
        <w:t xml:space="preserve"> v </w:t>
      </w:r>
      <w:r w:rsidR="000A7015" w:rsidRPr="00A3389E">
        <w:rPr>
          <w:rFonts w:ascii="Times New Roman" w:hAnsi="Times New Roman"/>
          <w:sz w:val="24"/>
        </w:rPr>
        <w:t xml:space="preserve">tomto oddiele na vyplnenie vzoru EU LR1 – LRSum pri uplatňovaní článku 451 ods. 1 písm. b) nariadenia (EÚ) </w:t>
      </w:r>
      <w:r>
        <w:rPr>
          <w:rFonts w:ascii="Times New Roman" w:hAnsi="Times New Roman"/>
          <w:sz w:val="24"/>
        </w:rPr>
        <w:t>č. </w:t>
      </w:r>
      <w:r w:rsidR="000A7015" w:rsidRPr="00A3389E">
        <w:rPr>
          <w:rFonts w:ascii="Times New Roman" w:hAnsi="Times New Roman"/>
          <w:sz w:val="24"/>
        </w:rPr>
        <w:t>575/2013</w:t>
      </w:r>
      <w:r w:rsidR="000A7015" w:rsidRPr="00A3389E">
        <w:rPr>
          <w:rStyle w:val="FootnoteReference"/>
          <w:rFonts w:ascii="Times New Roman" w:hAnsi="Times New Roman" w:cs="Times New Roman"/>
        </w:rPr>
        <w:footnoteReference w:id="20"/>
      </w:r>
      <w:r w:rsidR="000A7015" w:rsidRPr="00A3389E">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A3389E"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51ECA135" w:rsidR="000A7015" w:rsidRPr="00A3389E" w:rsidRDefault="000A7015" w:rsidP="001E06A3">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A7015" w:rsidRPr="00A3389E" w14:paraId="0689451A" w14:textId="77777777" w:rsidTr="001E06A3">
        <w:trPr>
          <w:trHeight w:val="238"/>
        </w:trPr>
        <w:tc>
          <w:tcPr>
            <w:tcW w:w="1384" w:type="dxa"/>
            <w:shd w:val="clear" w:color="auto" w:fill="D9D9D9" w:themeFill="background1" w:themeFillShade="D9"/>
          </w:tcPr>
          <w:p w14:paraId="4FECB811" w14:textId="77777777" w:rsidR="000A7015" w:rsidRPr="00A3389E" w:rsidRDefault="000A7015" w:rsidP="001E06A3">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475E44FC" w14:textId="77777777" w:rsidR="000A7015" w:rsidRPr="00A3389E" w:rsidRDefault="000A7015" w:rsidP="001E06A3">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A7015" w:rsidRPr="00A3389E" w14:paraId="1D049D02" w14:textId="77777777" w:rsidTr="001E06A3">
        <w:trPr>
          <w:trHeight w:val="1419"/>
        </w:trPr>
        <w:tc>
          <w:tcPr>
            <w:tcW w:w="1384" w:type="dxa"/>
            <w:vAlign w:val="center"/>
          </w:tcPr>
          <w:p w14:paraId="5B2CA9D8"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w:t>
            </w:r>
          </w:p>
        </w:tc>
        <w:tc>
          <w:tcPr>
            <w:tcW w:w="7655" w:type="dxa"/>
          </w:tcPr>
          <w:p w14:paraId="5B7CB489"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Celkové aktíva podľa uverejnenej účtovnej závierky</w:t>
            </w:r>
          </w:p>
          <w:p w14:paraId="5A26C947" w14:textId="59795528"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celkové aktíva, ako boli uverejnené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ich účtovnej závierke podľa uplatniteľného účtovného rámca</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zmysle vymedzenia</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 ods. 1 bode 77 CRR.</w:t>
            </w:r>
          </w:p>
        </w:tc>
      </w:tr>
      <w:tr w:rsidR="000A7015" w:rsidRPr="00A3389E" w14:paraId="032FDC0D" w14:textId="77777777" w:rsidTr="001E06A3">
        <w:trPr>
          <w:trHeight w:val="2265"/>
        </w:trPr>
        <w:tc>
          <w:tcPr>
            <w:tcW w:w="1384" w:type="dxa"/>
            <w:vAlign w:val="center"/>
          </w:tcPr>
          <w:p w14:paraId="55082500"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2</w:t>
            </w:r>
          </w:p>
        </w:tc>
        <w:tc>
          <w:tcPr>
            <w:tcW w:w="7655" w:type="dxa"/>
          </w:tcPr>
          <w:p w14:paraId="34805195" w14:textId="31DCC726"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Úprava týkajúca sa subjektov, ktoré sú konsolidované na účtovné účely, no sú mimo prudenciálneho rozsahu konsolidácie</w:t>
            </w:r>
          </w:p>
          <w:p w14:paraId="39C6A024" w14:textId="1DE6EFFB"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rozdiel</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hodnote medzi veľkosťou celkovej expozície, ako je zverejnená</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riadku 13 vzoru EU LR1 – LRSum,</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celkovými účtovnými aktívami, ako sú zverejnené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riadku 1 vzoru EU LR1 – LRSum, ktorý je výsledkom rozdielov medzi účtovným rozsahom konsolidácie</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prudenciálnym rozsahom konsolidácie.</w:t>
            </w:r>
          </w:p>
          <w:p w14:paraId="13FA44D8" w14:textId="20B8F7DA"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 táto úprava vedie</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zväčšeniu expozície, inštitúcie to zverejňujú ako kladnú hodnotu. Ak táto úprava vedie</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zmenšeniu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447998B2" w14:textId="77777777" w:rsidTr="001E06A3">
        <w:trPr>
          <w:trHeight w:val="567"/>
        </w:trPr>
        <w:tc>
          <w:tcPr>
            <w:tcW w:w="1384" w:type="dxa"/>
            <w:vAlign w:val="center"/>
          </w:tcPr>
          <w:p w14:paraId="5E19A06F"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3</w:t>
            </w:r>
          </w:p>
        </w:tc>
        <w:tc>
          <w:tcPr>
            <w:tcW w:w="7655" w:type="dxa"/>
          </w:tcPr>
          <w:p w14:paraId="182CA7A2" w14:textId="54193F2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sekuritizované expozície, ktoré spĺňajú prevádzkové požiadavky na vykázanie prenosu rizika).</w:t>
            </w:r>
          </w:p>
          <w:p w14:paraId="0427AC26"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sz w:val="24"/>
                <w:szCs w:val="24"/>
              </w:rPr>
              <w:t>Článok 429a 1 písm. m) CRR.</w:t>
            </w:r>
          </w:p>
          <w:p w14:paraId="0103ED6C" w14:textId="0EFC1092"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hodnotu sekuritizovaných expozícií</w:t>
            </w:r>
            <w:r w:rsidR="00A3389E">
              <w:rPr>
                <w:rFonts w:ascii="Times New Roman" w:hAnsi="Times New Roman" w:cs="Times New Roman"/>
                <w:sz w:val="24"/>
                <w:szCs w:val="24"/>
              </w:rPr>
              <w:t xml:space="preserve"> z </w:t>
            </w:r>
            <w:r w:rsidRPr="00A3389E">
              <w:rPr>
                <w:rFonts w:ascii="Times New Roman" w:hAnsi="Times New Roman" w:cs="Times New Roman"/>
                <w:sz w:val="24"/>
                <w:szCs w:val="24"/>
              </w:rPr>
              <w:t>tradičných sekuritizácií, ktoré spĺňajú podmienky pre prenos významného rizika stanovené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244 ods. 2 CRR.</w:t>
            </w:r>
          </w:p>
          <w:p w14:paraId="0EB803E1" w14:textId="2E1F1BC4"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Fonts w:ascii="Times New Roman" w:hAnsi="Times New Roman" w:cs="Times New Roman"/>
                <w:sz w:val="24"/>
                <w:szCs w:val="24"/>
              </w:rPr>
              <w:t>Keďže táto úprava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32681027" w14:textId="77777777" w:rsidTr="001E06A3">
        <w:trPr>
          <w:trHeight w:val="850"/>
        </w:trPr>
        <w:tc>
          <w:tcPr>
            <w:tcW w:w="1384" w:type="dxa"/>
            <w:vAlign w:val="center"/>
          </w:tcPr>
          <w:p w14:paraId="07E3AE5C"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4</w:t>
            </w:r>
          </w:p>
        </w:tc>
        <w:tc>
          <w:tcPr>
            <w:tcW w:w="7655" w:type="dxa"/>
          </w:tcPr>
          <w:p w14:paraId="44A4B85E" w14:textId="62DE67CE"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dočasnú výnimku pre expozície voči centrálnym bankám (ak je to relevantné)]</w:t>
            </w:r>
          </w:p>
          <w:p w14:paraId="7E41C9C8"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Článok 429a 1 písm. n) CRR.</w:t>
            </w:r>
          </w:p>
          <w:p w14:paraId="3CE7037B" w14:textId="01349495"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sz w:val="24"/>
                <w:szCs w:val="24"/>
              </w:rPr>
              <w:lastRenderedPageBreak/>
              <w:t>Ak je to uplatniteľné, inštitúcie zverejňujú množstvo mincí</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bankoviek tvoriacich zákonnú menu</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jurisdikcii centrálnej banky</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aktíva predstavujúce pohľadávky voči centrálnej banke vrátane rezerv držaných</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centrálnej banke. Tieto expozície môžu byť dočasne vyňaté za podmienok uvedených</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článku 429a ods. 5</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6 CRR.</w:t>
            </w:r>
          </w:p>
          <w:p w14:paraId="057D490C" w14:textId="4898A143"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Fonts w:ascii="Times New Roman" w:hAnsi="Times New Roman" w:cs="Times New Roman"/>
                <w:sz w:val="24"/>
                <w:szCs w:val="24"/>
              </w:rPr>
              <w:t>Keďže táto úprava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r w:rsidRPr="00A3389E">
              <w:rPr>
                <w:rStyle w:val="TeksttreciPogrubienie"/>
                <w:rFonts w:ascii="Times New Roman" w:hAnsi="Times New Roman" w:cs="Times New Roman"/>
                <w:sz w:val="24"/>
                <w:szCs w:val="24"/>
              </w:rPr>
              <w:t xml:space="preserve"> </w:t>
            </w:r>
          </w:p>
        </w:tc>
      </w:tr>
      <w:tr w:rsidR="000A7015" w:rsidRPr="00A3389E" w14:paraId="3EFB0DFF" w14:textId="77777777" w:rsidTr="001E06A3">
        <w:trPr>
          <w:trHeight w:val="2265"/>
        </w:trPr>
        <w:tc>
          <w:tcPr>
            <w:tcW w:w="1384" w:type="dxa"/>
            <w:vAlign w:val="center"/>
          </w:tcPr>
          <w:p w14:paraId="5D4063E2"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5</w:t>
            </w:r>
          </w:p>
        </w:tc>
        <w:tc>
          <w:tcPr>
            <w:tcW w:w="7655" w:type="dxa"/>
          </w:tcPr>
          <w:p w14:paraId="0A44CC64" w14:textId="664F5761"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fiduciárne aktíva vykazované</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súvahe podľa uplatniteľného účtovného rámca, no vylúčené</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veľkosti celkovej expozície</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súlade</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článkom 429a ods. 1 písm. i) CRR]</w:t>
            </w:r>
          </w:p>
          <w:p w14:paraId="0C61D267" w14:textId="3B9A9DC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hodnotu fiduciárnych položiek, ktorých vykazovanie sa ukončilo,</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1 písm. i) CRR.</w:t>
            </w:r>
          </w:p>
          <w:p w14:paraId="1FD16421" w14:textId="27B320AA"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táto úprava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2466A60C" w14:textId="77777777" w:rsidTr="001E06A3">
        <w:trPr>
          <w:trHeight w:val="1559"/>
        </w:trPr>
        <w:tc>
          <w:tcPr>
            <w:tcW w:w="1384" w:type="dxa"/>
            <w:vAlign w:val="center"/>
          </w:tcPr>
          <w:p w14:paraId="4054B878"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6</w:t>
            </w:r>
          </w:p>
        </w:tc>
        <w:tc>
          <w:tcPr>
            <w:tcW w:w="7655" w:type="dxa"/>
          </w:tcPr>
          <w:p w14:paraId="0D359C5A" w14:textId="59A788A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bežné nákupy</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predaje finančných aktív podliehajúcich účtovaniu</w:t>
            </w:r>
            <w:r w:rsidR="00A3389E">
              <w:rPr>
                <w:rStyle w:val="TeksttreciPogrubienie"/>
                <w:rFonts w:ascii="Times New Roman" w:hAnsi="Times New Roman" w:cs="Times New Roman"/>
                <w:sz w:val="24"/>
                <w:szCs w:val="24"/>
              </w:rPr>
              <w:t xml:space="preserve"> k </w:t>
            </w:r>
            <w:r w:rsidRPr="00A3389E">
              <w:rPr>
                <w:rStyle w:val="TeksttreciPogrubienie"/>
                <w:rFonts w:ascii="Times New Roman" w:hAnsi="Times New Roman" w:cs="Times New Roman"/>
                <w:sz w:val="24"/>
                <w:szCs w:val="24"/>
              </w:rPr>
              <w:t>dátumu uzatvorenia obchodu</w:t>
            </w:r>
          </w:p>
          <w:p w14:paraId="5CBBEA7B" w14:textId="251CBD7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429g ods. 1</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2 CRR.</w:t>
            </w:r>
          </w:p>
          <w:p w14:paraId="301F5CF5" w14:textId="06E8EAD8" w:rsidR="000A7015" w:rsidRPr="00A3389E" w:rsidRDefault="000A7015" w:rsidP="001E06A3">
            <w:pPr>
              <w:tabs>
                <w:tab w:val="left" w:pos="400"/>
              </w:tabs>
              <w:spacing w:after="120"/>
              <w:jc w:val="both"/>
              <w:rPr>
                <w:rFonts w:ascii="Times New Roman" w:hAnsi="Times New Roman" w:cs="Times New Roman"/>
                <w:sz w:val="24"/>
              </w:rPr>
            </w:pPr>
            <w:r w:rsidRPr="00A3389E">
              <w:rPr>
                <w:rFonts w:ascii="Times New Roman" w:hAnsi="Times New Roman" w:cs="Times New Roman"/>
                <w:sz w:val="24"/>
              </w:rPr>
              <w:t>Inštitúcie zverejňujú úpravu účtovnej hodnoty</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bežnými nákupmi alebo predajmi čakajúcimi na vyrovnanie, na ktoré sa vzťahuje účtovanie</w:t>
            </w:r>
            <w:r w:rsidR="00A3389E">
              <w:rPr>
                <w:rFonts w:ascii="Times New Roman" w:hAnsi="Times New Roman" w:cs="Times New Roman"/>
                <w:sz w:val="24"/>
              </w:rPr>
              <w:t xml:space="preserve"> k </w:t>
            </w:r>
            <w:r w:rsidRPr="00A3389E">
              <w:rPr>
                <w:rFonts w:ascii="Times New Roman" w:hAnsi="Times New Roman" w:cs="Times New Roman"/>
                <w:sz w:val="24"/>
              </w:rPr>
              <w:t>dátumu uzatvorenia obchodu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429g ods. 1</w:t>
            </w:r>
            <w:r w:rsidR="00A3389E">
              <w:rPr>
                <w:rFonts w:ascii="Times New Roman" w:hAnsi="Times New Roman" w:cs="Times New Roman"/>
                <w:sz w:val="24"/>
              </w:rPr>
              <w:t xml:space="preserve"> a </w:t>
            </w:r>
            <w:r w:rsidRPr="00A3389E">
              <w:rPr>
                <w:rFonts w:ascii="Times New Roman" w:hAnsi="Times New Roman" w:cs="Times New Roman"/>
                <w:sz w:val="24"/>
              </w:rPr>
              <w:t>2 CRR. Úprava je súčtom týchto hodnôt:</w:t>
            </w:r>
          </w:p>
          <w:p w14:paraId="664D7733" w14:textId="22D1DB6D" w:rsidR="00A3389E" w:rsidRPr="00A3389E" w:rsidRDefault="00A3389E" w:rsidP="00A3389E">
            <w:pPr>
              <w:spacing w:after="120"/>
              <w:ind w:left="720" w:hanging="360"/>
              <w:contextualSpacing/>
              <w:jc w:val="both"/>
              <w:rPr>
                <w:rFonts w:ascii="Times New Roman" w:hAnsi="Times New Roman"/>
                <w:sz w:val="24"/>
              </w:rPr>
            </w:pPr>
            <w:r w:rsidRPr="00A3389E">
              <w:rPr>
                <w:rFonts w:ascii="Times New Roman" w:eastAsiaTheme="minorHAnsi" w:hAnsi="Times New Roman" w:cs="Times New Roman"/>
                <w:sz w:val="24"/>
              </w:rPr>
              <w:t>-</w:t>
            </w:r>
            <w:r w:rsidRPr="00A3389E">
              <w:rPr>
                <w:rFonts w:ascii="Times New Roman" w:eastAsiaTheme="minorHAnsi" w:hAnsi="Times New Roman" w:cs="Times New Roman"/>
                <w:sz w:val="24"/>
              </w:rPr>
              <w:tab/>
            </w:r>
            <w:r w:rsidR="000A7015" w:rsidRPr="00A3389E">
              <w:rPr>
                <w:rFonts w:ascii="Times New Roman" w:hAnsi="Times New Roman"/>
                <w:sz w:val="24"/>
              </w:rPr>
              <w:t>Suma vzájomného započítania medzi peňažnými pohľadávkami</w:t>
            </w:r>
            <w:r>
              <w:rPr>
                <w:rFonts w:ascii="Times New Roman" w:hAnsi="Times New Roman"/>
                <w:sz w:val="24"/>
              </w:rPr>
              <w:t xml:space="preserve"> z </w:t>
            </w:r>
            <w:r w:rsidR="000A7015" w:rsidRPr="00A3389E">
              <w:rPr>
                <w:rFonts w:ascii="Times New Roman" w:hAnsi="Times New Roman"/>
                <w:sz w:val="24"/>
              </w:rPr>
              <w:t>bežných predajov čakajúcich na vyrovnanie</w:t>
            </w:r>
            <w:r>
              <w:rPr>
                <w:rFonts w:ascii="Times New Roman" w:hAnsi="Times New Roman"/>
                <w:sz w:val="24"/>
              </w:rPr>
              <w:t xml:space="preserve"> a </w:t>
            </w:r>
            <w:r w:rsidR="000A7015" w:rsidRPr="00A3389E">
              <w:rPr>
                <w:rFonts w:ascii="Times New Roman" w:hAnsi="Times New Roman"/>
                <w:sz w:val="24"/>
              </w:rPr>
              <w:t>peňažnými záväzkami</w:t>
            </w:r>
            <w:r>
              <w:rPr>
                <w:rFonts w:ascii="Times New Roman" w:hAnsi="Times New Roman"/>
                <w:sz w:val="24"/>
              </w:rPr>
              <w:t xml:space="preserve"> z </w:t>
            </w:r>
            <w:r w:rsidR="000A7015" w:rsidRPr="00A3389E">
              <w:rPr>
                <w:rFonts w:ascii="Times New Roman" w:hAnsi="Times New Roman"/>
                <w:sz w:val="24"/>
              </w:rPr>
              <w:t>bežných nákupov čakajúcich na vyrovnanie, ako to umožňuje účtovný rámec. Ide</w:t>
            </w:r>
            <w:r>
              <w:rPr>
                <w:rFonts w:ascii="Times New Roman" w:hAnsi="Times New Roman"/>
                <w:sz w:val="24"/>
              </w:rPr>
              <w:t xml:space="preserve"> o </w:t>
            </w:r>
            <w:r w:rsidR="000A7015" w:rsidRPr="00A3389E">
              <w:rPr>
                <w:rFonts w:ascii="Times New Roman" w:hAnsi="Times New Roman"/>
                <w:sz w:val="24"/>
              </w:rPr>
              <w:t>kladnú hodnotu</w:t>
            </w:r>
            <w:r w:rsidRPr="00A3389E">
              <w:rPr>
                <w:rFonts w:ascii="Times New Roman" w:hAnsi="Times New Roman"/>
                <w:sz w:val="24"/>
              </w:rPr>
              <w:t>.</w:t>
            </w:r>
          </w:p>
          <w:p w14:paraId="4E2C806D" w14:textId="6E858126" w:rsidR="00A3389E" w:rsidRPr="00A3389E" w:rsidRDefault="00A3389E" w:rsidP="00A3389E">
            <w:pPr>
              <w:spacing w:after="120"/>
              <w:ind w:left="720" w:hanging="360"/>
              <w:contextualSpacing/>
              <w:jc w:val="both"/>
              <w:rPr>
                <w:rFonts w:ascii="Times New Roman" w:hAnsi="Times New Roman"/>
                <w:sz w:val="24"/>
              </w:rPr>
            </w:pPr>
            <w:r w:rsidRPr="00A3389E">
              <w:rPr>
                <w:rFonts w:ascii="Times New Roman" w:eastAsiaTheme="minorHAnsi" w:hAnsi="Times New Roman" w:cs="Times New Roman"/>
                <w:sz w:val="24"/>
              </w:rPr>
              <w:t>-</w:t>
            </w:r>
            <w:r w:rsidRPr="00A3389E">
              <w:rPr>
                <w:rFonts w:ascii="Times New Roman" w:eastAsiaTheme="minorHAnsi" w:hAnsi="Times New Roman" w:cs="Times New Roman"/>
                <w:sz w:val="24"/>
              </w:rPr>
              <w:tab/>
            </w:r>
            <w:r w:rsidR="000A7015" w:rsidRPr="00A3389E">
              <w:rPr>
                <w:rFonts w:ascii="Times New Roman" w:hAnsi="Times New Roman"/>
                <w:sz w:val="24"/>
              </w:rPr>
              <w:t>Suma vzájomného započítania medzi peňažnými pohľadávkami</w:t>
            </w:r>
            <w:r>
              <w:rPr>
                <w:rFonts w:ascii="Times New Roman" w:hAnsi="Times New Roman"/>
                <w:sz w:val="24"/>
              </w:rPr>
              <w:t xml:space="preserve"> a </w:t>
            </w:r>
            <w:r w:rsidR="000A7015" w:rsidRPr="00A3389E">
              <w:rPr>
                <w:rFonts w:ascii="Times New Roman" w:hAnsi="Times New Roman"/>
                <w:sz w:val="24"/>
              </w:rPr>
              <w:t>peňažnými záväzkami, ak sú súvisiace bežné predaje aj nákupy vyrovnané na základe dodania oproti platbe</w:t>
            </w:r>
            <w:r>
              <w:rPr>
                <w:rFonts w:ascii="Times New Roman" w:hAnsi="Times New Roman"/>
                <w:sz w:val="24"/>
              </w:rPr>
              <w:t xml:space="preserve"> v </w:t>
            </w:r>
            <w:r w:rsidR="000A7015" w:rsidRPr="00A3389E">
              <w:rPr>
                <w:rFonts w:ascii="Times New Roman" w:hAnsi="Times New Roman"/>
                <w:sz w:val="24"/>
              </w:rPr>
              <w:t>súlade</w:t>
            </w:r>
            <w:r>
              <w:rPr>
                <w:rFonts w:ascii="Times New Roman" w:hAnsi="Times New Roman"/>
                <w:sz w:val="24"/>
              </w:rPr>
              <w:t xml:space="preserve"> s </w:t>
            </w:r>
            <w:r w:rsidR="000A7015" w:rsidRPr="00A3389E">
              <w:rPr>
                <w:rFonts w:ascii="Times New Roman" w:hAnsi="Times New Roman"/>
                <w:sz w:val="24"/>
              </w:rPr>
              <w:t>článkom 429g ods. 2 CRR. Ide</w:t>
            </w:r>
            <w:r>
              <w:rPr>
                <w:rFonts w:ascii="Times New Roman" w:hAnsi="Times New Roman"/>
                <w:sz w:val="24"/>
              </w:rPr>
              <w:t xml:space="preserve"> o </w:t>
            </w:r>
            <w:r w:rsidR="000A7015" w:rsidRPr="00A3389E">
              <w:rPr>
                <w:rFonts w:ascii="Times New Roman" w:hAnsi="Times New Roman"/>
                <w:sz w:val="24"/>
              </w:rPr>
              <w:t>zápornú hodnotu</w:t>
            </w:r>
            <w:r w:rsidRPr="00A3389E">
              <w:rPr>
                <w:rFonts w:ascii="Times New Roman" w:hAnsi="Times New Roman"/>
                <w:sz w:val="24"/>
              </w:rPr>
              <w:t>.</w:t>
            </w:r>
          </w:p>
          <w:p w14:paraId="18C9721A" w14:textId="4DC29616" w:rsidR="000A7015" w:rsidRPr="00A3389E" w:rsidRDefault="000A7015" w:rsidP="00266A53">
            <w:pPr>
              <w:spacing w:after="120"/>
              <w:jc w:val="both"/>
              <w:rPr>
                <w:rFonts w:ascii="Times New Roman" w:hAnsi="Times New Roman" w:cs="Times New Roman"/>
                <w:sz w:val="24"/>
              </w:rPr>
            </w:pPr>
            <w:r w:rsidRPr="00A3389E">
              <w:rPr>
                <w:rFonts w:ascii="Times New Roman" w:hAnsi="Times New Roman" w:cs="Times New Roman"/>
                <w:sz w:val="24"/>
              </w:rPr>
              <w:t>Bežné nákupy alebo predaje čakajúce na vyrovnanie, na ktoré sa vzťahuje účtovanie</w:t>
            </w:r>
            <w:r w:rsidR="00A3389E">
              <w:rPr>
                <w:rFonts w:ascii="Times New Roman" w:hAnsi="Times New Roman" w:cs="Times New Roman"/>
                <w:sz w:val="24"/>
              </w:rPr>
              <w:t xml:space="preserve"> k </w:t>
            </w:r>
            <w:r w:rsidRPr="00A3389E">
              <w:rPr>
                <w:rFonts w:ascii="Times New Roman" w:hAnsi="Times New Roman" w:cs="Times New Roman"/>
                <w:sz w:val="24"/>
              </w:rPr>
              <w:t>dátumu vyrovnania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429g ods. 3 CRR, sa zahŕňajú do riadku 10 vzoru EU LR1 – LRSum.</w:t>
            </w:r>
          </w:p>
          <w:p w14:paraId="032B04E0" w14:textId="025D6C9C" w:rsidR="000A7015" w:rsidRPr="00A3389E" w:rsidRDefault="000A7015" w:rsidP="001E06A3">
            <w:pPr>
              <w:tabs>
                <w:tab w:val="left" w:pos="400"/>
              </w:tabs>
              <w:spacing w:after="120"/>
              <w:jc w:val="both"/>
              <w:rPr>
                <w:rStyle w:val="TeksttreciPogrubienie"/>
                <w:rFonts w:ascii="Times New Roman" w:hAnsi="Times New Roman" w:cs="Times New Roman"/>
                <w:sz w:val="24"/>
              </w:rPr>
            </w:pPr>
            <w:r w:rsidRPr="00A3389E">
              <w:rPr>
                <w:rFonts w:ascii="Times New Roman" w:hAnsi="Times New Roman" w:cs="Times New Roman"/>
                <w:sz w:val="24"/>
              </w:rPr>
              <w:t>Ak táto úprava vedie</w:t>
            </w:r>
            <w:r w:rsidR="00A3389E">
              <w:rPr>
                <w:rFonts w:ascii="Times New Roman" w:hAnsi="Times New Roman" w:cs="Times New Roman"/>
                <w:sz w:val="24"/>
              </w:rPr>
              <w:t xml:space="preserve"> k </w:t>
            </w:r>
            <w:r w:rsidRPr="00A3389E">
              <w:rPr>
                <w:rFonts w:ascii="Times New Roman" w:hAnsi="Times New Roman" w:cs="Times New Roman"/>
                <w:sz w:val="24"/>
              </w:rPr>
              <w:t>zväčšeniu expozície, inštitúcie to zverejňujú ako kladnú hodnotu. Ak táto úprava vedie</w:t>
            </w:r>
            <w:r w:rsidR="00A3389E">
              <w:rPr>
                <w:rFonts w:ascii="Times New Roman" w:hAnsi="Times New Roman" w:cs="Times New Roman"/>
                <w:sz w:val="24"/>
              </w:rPr>
              <w:t xml:space="preserve"> k </w:t>
            </w:r>
            <w:r w:rsidRPr="00A3389E">
              <w:rPr>
                <w:rFonts w:ascii="Times New Roman" w:hAnsi="Times New Roman" w:cs="Times New Roman"/>
                <w:sz w:val="24"/>
              </w:rPr>
              <w:t>zmenšeniu expozície, inštitúcie uvádzajú hodnotu zverejnenú</w:t>
            </w:r>
            <w:r w:rsidR="00A3389E">
              <w:rPr>
                <w:rFonts w:ascii="Times New Roman" w:hAnsi="Times New Roman" w:cs="Times New Roman"/>
                <w:sz w:val="24"/>
              </w:rPr>
              <w:t xml:space="preserve"> v </w:t>
            </w:r>
            <w:r w:rsidRPr="00A3389E">
              <w:rPr>
                <w:rFonts w:ascii="Times New Roman" w:hAnsi="Times New Roman" w:cs="Times New Roman"/>
                <w:sz w:val="24"/>
              </w:rPr>
              <w:t>tomto riadku</w:t>
            </w:r>
            <w:r w:rsidR="00A3389E">
              <w:rPr>
                <w:rFonts w:ascii="Times New Roman" w:hAnsi="Times New Roman" w:cs="Times New Roman"/>
                <w:sz w:val="24"/>
              </w:rPr>
              <w:t xml:space="preserve"> v </w:t>
            </w:r>
            <w:r w:rsidRPr="00A3389E">
              <w:rPr>
                <w:rFonts w:ascii="Times New Roman" w:hAnsi="Times New Roman" w:cs="Times New Roman"/>
                <w:sz w:val="24"/>
              </w:rPr>
              <w:t>zátvorkách (záporná hodnota).</w:t>
            </w:r>
          </w:p>
        </w:tc>
      </w:tr>
      <w:tr w:rsidR="000A7015" w:rsidRPr="00A3389E" w14:paraId="36D8150C" w14:textId="77777777" w:rsidTr="001E06A3">
        <w:trPr>
          <w:trHeight w:val="708"/>
        </w:trPr>
        <w:tc>
          <w:tcPr>
            <w:tcW w:w="1384" w:type="dxa"/>
            <w:vAlign w:val="center"/>
          </w:tcPr>
          <w:p w14:paraId="10FCD555"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7</w:t>
            </w:r>
          </w:p>
        </w:tc>
        <w:tc>
          <w:tcPr>
            <w:tcW w:w="7655" w:type="dxa"/>
          </w:tcPr>
          <w:p w14:paraId="4E90E67C" w14:textId="15697D05"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oprávnené transakcie konsolidácie zostatkov</w:t>
            </w:r>
          </w:p>
          <w:p w14:paraId="27E6FD43" w14:textId="4C367E34"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429b ods. 2</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3 CRR.</w:t>
            </w:r>
          </w:p>
          <w:p w14:paraId="638EC17D" w14:textId="710DF21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rozdiel medzi účtovnou hodnotou</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hodnotou expozície ukazovateľa finančnej páky</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rámci dohôd</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konsolidácii zostatkov</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podmienkami uvedenými</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429b ods. 2</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3 CRR.</w:t>
            </w:r>
          </w:p>
          <w:p w14:paraId="76A1C38E" w14:textId="3E48195E"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Fonts w:ascii="Times New Roman" w:hAnsi="Times New Roman" w:cs="Times New Roman"/>
                <w:sz w:val="24"/>
                <w:szCs w:val="24"/>
              </w:rPr>
              <w:t>Ak táto úprava vedie</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zvýšeniu expozície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dôsledku transakcií, ktoré sú podľa uplatniteľného účtovného rámca vyjadrené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čistom, no nespĺňajú </w:t>
            </w:r>
            <w:r w:rsidRPr="00A3389E">
              <w:rPr>
                <w:rFonts w:ascii="Times New Roman" w:hAnsi="Times New Roman" w:cs="Times New Roman"/>
                <w:sz w:val="24"/>
                <w:szCs w:val="24"/>
              </w:rPr>
              <w:lastRenderedPageBreak/>
              <w:t>podmienky pre uvedenie na čistom základe podľa článku 429b ods. 2</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3 CRR, inštitúcie to zverejňujú ako kladnú hodnotu. Ak táto úprava vedie</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zníženiu expozície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dôsledku transakcií, ktoré nie sú podľa uplatniteľného účtovného rámca vyjadrené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čistom, no spĺňajú podmienky pre uvedenie na čistom základe podľa článku 429b ods. 2</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3 CRR,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540BAB8B" w14:textId="77777777" w:rsidTr="001E06A3">
        <w:trPr>
          <w:trHeight w:val="2265"/>
        </w:trPr>
        <w:tc>
          <w:tcPr>
            <w:tcW w:w="1384" w:type="dxa"/>
            <w:vAlign w:val="center"/>
          </w:tcPr>
          <w:p w14:paraId="1AAC4DF2"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8</w:t>
            </w:r>
          </w:p>
        </w:tc>
        <w:tc>
          <w:tcPr>
            <w:tcW w:w="7655" w:type="dxa"/>
          </w:tcPr>
          <w:p w14:paraId="5F36F58F" w14:textId="4906BD78"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derivátové finančné nástroje</w:t>
            </w:r>
          </w:p>
          <w:p w14:paraId="5A775513" w14:textId="051FAA79"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Pri kreditných derivátoch</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zmluvách uvedených</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prílohe II</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CRR inštitúcie zverejňujú rozdiel</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hodnote medzi účtovnou hodnotou derivátov vykazovaných ako aktíva</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hodnotou expozície ukazovateľa finančnej páky určenou uplatnením článku 429 ods. 4 písm. b), článku 429c, článku 429d, článku 429a ods. 1 písm. g)</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článku 429 ods. 5 CRR.</w:t>
            </w:r>
          </w:p>
          <w:p w14:paraId="2F07A9D9" w14:textId="21E5C13C"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 táto úprava vedie</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zväčšeniu expozície, inštitúcie to zverejňujú ako kladnú hodnotu. Ak táto úprava vedie</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zmenšeniu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6A3A435D" w14:textId="77777777" w:rsidTr="001E06A3">
        <w:trPr>
          <w:trHeight w:val="2265"/>
        </w:trPr>
        <w:tc>
          <w:tcPr>
            <w:tcW w:w="1384" w:type="dxa"/>
            <w:vAlign w:val="center"/>
          </w:tcPr>
          <w:p w14:paraId="5EC0D8CC"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9</w:t>
            </w:r>
          </w:p>
        </w:tc>
        <w:tc>
          <w:tcPr>
            <w:tcW w:w="7655" w:type="dxa"/>
          </w:tcPr>
          <w:p w14:paraId="2749FA21" w14:textId="5ECD36F2" w:rsidR="000A7015" w:rsidRPr="00B53505" w:rsidRDefault="000A7015" w:rsidP="001E06A3">
            <w:pPr>
              <w:pStyle w:val="Teksttreci0"/>
              <w:shd w:val="clear" w:color="auto" w:fill="auto"/>
              <w:spacing w:after="120" w:line="240" w:lineRule="auto"/>
              <w:ind w:firstLine="0"/>
              <w:rPr>
                <w:rStyle w:val="TeksttreciPogrubienie"/>
                <w:rFonts w:ascii="Times New Roman" w:hAnsi="Times New Roman" w:cs="Times New Roman"/>
                <w:spacing w:val="-4"/>
                <w:sz w:val="24"/>
                <w:szCs w:val="24"/>
              </w:rPr>
            </w:pPr>
            <w:r w:rsidRPr="00B53505">
              <w:rPr>
                <w:rStyle w:val="TeksttreciPogrubienie"/>
                <w:rFonts w:ascii="Times New Roman" w:hAnsi="Times New Roman" w:cs="Times New Roman"/>
                <w:spacing w:val="-4"/>
                <w:sz w:val="24"/>
                <w:szCs w:val="24"/>
              </w:rPr>
              <w:t>Úprava</w:t>
            </w:r>
            <w:r w:rsidR="00A3389E" w:rsidRPr="00B53505">
              <w:rPr>
                <w:rStyle w:val="TeksttreciPogrubienie"/>
                <w:rFonts w:ascii="Times New Roman" w:hAnsi="Times New Roman" w:cs="Times New Roman"/>
                <w:spacing w:val="-4"/>
                <w:sz w:val="24"/>
                <w:szCs w:val="24"/>
              </w:rPr>
              <w:t xml:space="preserve"> o </w:t>
            </w:r>
            <w:r w:rsidRPr="00B53505">
              <w:rPr>
                <w:rStyle w:val="TeksttreciPogrubienie"/>
                <w:rFonts w:ascii="Times New Roman" w:hAnsi="Times New Roman" w:cs="Times New Roman"/>
                <w:spacing w:val="-4"/>
                <w:sz w:val="24"/>
                <w:szCs w:val="24"/>
              </w:rPr>
              <w:t>transakcie financovania prostredníctvom cenných papierov (SFT)</w:t>
            </w:r>
          </w:p>
          <w:p w14:paraId="5C0D8CAB" w14:textId="0E5EBE9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V prípade SFT inštitúcie zverejňujú rozdiel medzi účtovnou hodnotou SFT vykazovaných ako aktíva</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hodnotou expozície ukazovateľa finančnej páky, ako je určená uplatnením článku 429 ods. 4 písm. a)</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c)</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spojení</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429e, článkom 429 ods. 7 písm. b)</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článkom 429b ods. 1 písm. b),</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429b ods. 4</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článkom 429a ods. 1 písm. g)</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 CRR.</w:t>
            </w:r>
          </w:p>
          <w:p w14:paraId="0EDA5D4E" w14:textId="3FC304D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 táto úprava vedie</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zväčšeniu expozície, inštitúcie to zverejnia ako kladnú hodnotu. Ak táto úprava vedie</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zmenšeniu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0F60570E" w14:textId="77777777" w:rsidTr="00084D8B">
        <w:trPr>
          <w:trHeight w:val="132"/>
        </w:trPr>
        <w:tc>
          <w:tcPr>
            <w:tcW w:w="1384" w:type="dxa"/>
            <w:vAlign w:val="center"/>
          </w:tcPr>
          <w:p w14:paraId="5837324E"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10</w:t>
            </w:r>
          </w:p>
        </w:tc>
        <w:tc>
          <w:tcPr>
            <w:tcW w:w="7655" w:type="dxa"/>
          </w:tcPr>
          <w:p w14:paraId="5891CD46" w14:textId="055752B9"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Úpravy</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podsúvahové položky (t. j. konverzia podsúvahových expozícií na ekvivalentnú výšku úveru)</w:t>
            </w:r>
          </w:p>
          <w:p w14:paraId="6C7CE8B1" w14:textId="3216004B"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rozdiel</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hodnote medzi expozíciou ukazovateľa finančnej páky, ako je zverejnená</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riadku 13 vzoru EU LR1 – LRSum,</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celkovými účtovnými aktívami, ako sú zverejnené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riadku 1 vzoru EU LR1 – LRSum, ktorý je výsledkom zahrnutia podsúvahových položiek do veľkosti celkovej expozície ukazovateľa finančnej páky.</w:t>
            </w:r>
          </w:p>
          <w:p w14:paraId="0EF7CE95" w14:textId="229439B1" w:rsidR="000A7015" w:rsidRPr="00B53505" w:rsidRDefault="000A7015" w:rsidP="001E06A3">
            <w:pPr>
              <w:pStyle w:val="Teksttreci0"/>
              <w:shd w:val="clear" w:color="auto" w:fill="auto"/>
              <w:spacing w:after="120" w:line="240" w:lineRule="auto"/>
              <w:ind w:firstLine="0"/>
              <w:rPr>
                <w:rFonts w:ascii="Times New Roman" w:hAnsi="Times New Roman" w:cs="Times New Roman"/>
                <w:spacing w:val="-4"/>
                <w:sz w:val="24"/>
                <w:szCs w:val="24"/>
              </w:rPr>
            </w:pPr>
            <w:r w:rsidRPr="00B53505">
              <w:rPr>
                <w:rFonts w:ascii="Times New Roman" w:hAnsi="Times New Roman" w:cs="Times New Roman"/>
                <w:spacing w:val="-4"/>
                <w:sz w:val="24"/>
                <w:szCs w:val="24"/>
              </w:rPr>
              <w:t>To zahŕňa prísľuby na úhradu</w:t>
            </w:r>
            <w:r w:rsidR="00A3389E" w:rsidRPr="00B53505">
              <w:rPr>
                <w:rFonts w:ascii="Times New Roman" w:hAnsi="Times New Roman" w:cs="Times New Roman"/>
                <w:spacing w:val="-4"/>
                <w:sz w:val="24"/>
                <w:szCs w:val="24"/>
              </w:rPr>
              <w:t xml:space="preserve"> v </w:t>
            </w:r>
            <w:r w:rsidRPr="00B53505">
              <w:rPr>
                <w:rFonts w:ascii="Times New Roman" w:hAnsi="Times New Roman" w:cs="Times New Roman"/>
                <w:spacing w:val="-4"/>
                <w:sz w:val="24"/>
                <w:szCs w:val="24"/>
              </w:rPr>
              <w:t>súvislosti</w:t>
            </w:r>
            <w:r w:rsidR="00A3389E" w:rsidRPr="00B53505">
              <w:rPr>
                <w:rFonts w:ascii="Times New Roman" w:hAnsi="Times New Roman" w:cs="Times New Roman"/>
                <w:spacing w:val="-4"/>
                <w:sz w:val="24"/>
                <w:szCs w:val="24"/>
              </w:rPr>
              <w:t xml:space="preserve"> s </w:t>
            </w:r>
            <w:r w:rsidRPr="00B53505">
              <w:rPr>
                <w:rFonts w:ascii="Times New Roman" w:hAnsi="Times New Roman" w:cs="Times New Roman"/>
                <w:spacing w:val="-4"/>
                <w:sz w:val="24"/>
                <w:szCs w:val="24"/>
              </w:rPr>
              <w:t>bežnými nákupmi</w:t>
            </w:r>
            <w:r w:rsidR="00A3389E" w:rsidRPr="00B53505">
              <w:rPr>
                <w:rFonts w:ascii="Times New Roman" w:hAnsi="Times New Roman" w:cs="Times New Roman"/>
                <w:spacing w:val="-4"/>
                <w:sz w:val="24"/>
                <w:szCs w:val="24"/>
              </w:rPr>
              <w:t xml:space="preserve"> v </w:t>
            </w:r>
            <w:r w:rsidRPr="00B53505">
              <w:rPr>
                <w:rFonts w:ascii="Times New Roman" w:hAnsi="Times New Roman" w:cs="Times New Roman"/>
                <w:spacing w:val="-4"/>
                <w:sz w:val="24"/>
                <w:szCs w:val="24"/>
              </w:rPr>
              <w:t>rámci účtovania</w:t>
            </w:r>
            <w:r w:rsidR="00A3389E" w:rsidRPr="00B53505">
              <w:rPr>
                <w:rFonts w:ascii="Times New Roman" w:hAnsi="Times New Roman" w:cs="Times New Roman"/>
                <w:spacing w:val="-4"/>
                <w:sz w:val="24"/>
                <w:szCs w:val="24"/>
              </w:rPr>
              <w:t xml:space="preserve"> k </w:t>
            </w:r>
            <w:r w:rsidRPr="00B53505">
              <w:rPr>
                <w:rFonts w:ascii="Times New Roman" w:hAnsi="Times New Roman" w:cs="Times New Roman"/>
                <w:spacing w:val="-4"/>
                <w:sz w:val="24"/>
                <w:szCs w:val="24"/>
              </w:rPr>
              <w:t>dátumu vyrovnania vypočítané</w:t>
            </w:r>
            <w:r w:rsidR="00A3389E" w:rsidRPr="00B53505">
              <w:rPr>
                <w:rFonts w:ascii="Times New Roman" w:hAnsi="Times New Roman" w:cs="Times New Roman"/>
                <w:spacing w:val="-4"/>
                <w:sz w:val="24"/>
                <w:szCs w:val="24"/>
              </w:rPr>
              <w:t xml:space="preserve"> v </w:t>
            </w:r>
            <w:r w:rsidRPr="00B53505">
              <w:rPr>
                <w:rFonts w:ascii="Times New Roman" w:hAnsi="Times New Roman" w:cs="Times New Roman"/>
                <w:spacing w:val="-4"/>
                <w:sz w:val="24"/>
                <w:szCs w:val="24"/>
              </w:rPr>
              <w:t>súlade</w:t>
            </w:r>
            <w:r w:rsidR="00A3389E" w:rsidRPr="00B53505">
              <w:rPr>
                <w:rFonts w:ascii="Times New Roman" w:hAnsi="Times New Roman" w:cs="Times New Roman"/>
                <w:spacing w:val="-4"/>
                <w:sz w:val="24"/>
                <w:szCs w:val="24"/>
              </w:rPr>
              <w:t xml:space="preserve"> s </w:t>
            </w:r>
            <w:r w:rsidRPr="00B53505">
              <w:rPr>
                <w:rFonts w:ascii="Times New Roman" w:hAnsi="Times New Roman" w:cs="Times New Roman"/>
                <w:spacing w:val="-4"/>
                <w:sz w:val="24"/>
                <w:szCs w:val="24"/>
              </w:rPr>
              <w:t>článkom 429g ods. 3 CRR.</w:t>
            </w:r>
          </w:p>
          <w:p w14:paraId="53BCDC68"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táto úprava zväčšuje veľkosť celkovej expozície, zverejňuje sa ako kladná hodnota.</w:t>
            </w:r>
          </w:p>
        </w:tc>
      </w:tr>
      <w:tr w:rsidR="000A7015" w:rsidRPr="00A3389E" w14:paraId="418D99E9" w14:textId="77777777" w:rsidTr="001E06A3">
        <w:trPr>
          <w:trHeight w:val="983"/>
        </w:trPr>
        <w:tc>
          <w:tcPr>
            <w:tcW w:w="1384" w:type="dxa"/>
            <w:vAlign w:val="center"/>
          </w:tcPr>
          <w:p w14:paraId="7DF85C52"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11</w:t>
            </w:r>
          </w:p>
        </w:tc>
        <w:tc>
          <w:tcPr>
            <w:tcW w:w="7655" w:type="dxa"/>
          </w:tcPr>
          <w:p w14:paraId="3BFAA462" w14:textId="7E328781"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úpravy prudenciálneho oceňovania</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špecifické</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všeobecné rezervy, ktorými sa znížil kapitál Tier 1)</w:t>
            </w:r>
          </w:p>
          <w:p w14:paraId="041C9922" w14:textId="4CD2EC28" w:rsidR="00A3389E"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b w:val="0"/>
                <w:sz w:val="24"/>
                <w:szCs w:val="24"/>
              </w:rPr>
              <w:t>Inštitúcie zverejňujú výšku úprav prudenciálneho oceňovania</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súlade</w:t>
            </w:r>
            <w:r w:rsidR="00A3389E">
              <w:rPr>
                <w:rStyle w:val="TeksttreciPogrubienie"/>
                <w:rFonts w:ascii="Times New Roman" w:hAnsi="Times New Roman" w:cs="Times New Roman"/>
                <w:b w:val="0"/>
                <w:sz w:val="24"/>
                <w:szCs w:val="24"/>
              </w:rPr>
              <w:t xml:space="preserve"> s </w:t>
            </w:r>
            <w:r w:rsidRPr="00A3389E">
              <w:rPr>
                <w:rStyle w:val="TeksttreciPogrubienie"/>
                <w:rFonts w:ascii="Times New Roman" w:hAnsi="Times New Roman" w:cs="Times New Roman"/>
                <w:b w:val="0"/>
                <w:sz w:val="24"/>
                <w:szCs w:val="24"/>
              </w:rPr>
              <w:t>článkom 429a ods. 1 písm. a)</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b) CRR</w:t>
            </w:r>
            <w:r w:rsidR="00A3389E">
              <w:rPr>
                <w:rStyle w:val="TeksttreciPogrubienie"/>
                <w:rFonts w:ascii="Times New Roman" w:hAnsi="Times New Roman" w:cs="Times New Roman"/>
                <w:b w:val="0"/>
                <w:sz w:val="24"/>
                <w:szCs w:val="24"/>
              </w:rPr>
              <w:t xml:space="preserve"> a </w:t>
            </w:r>
            <w:r w:rsidRPr="00A3389E">
              <w:rPr>
                <w:rFonts w:ascii="Times New Roman" w:hAnsi="Times New Roman" w:cs="Times New Roman"/>
                <w:sz w:val="24"/>
                <w:szCs w:val="24"/>
              </w:rPr>
              <w:t>výšku osobitných (ak je to relevantné)</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všeobecných úprav kreditného rizika súvahových</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podsúvahových položiek podľa článku 429 ods. 4 poslednej vety</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 xml:space="preserve">článku 429f </w:t>
            </w:r>
            <w:r w:rsidRPr="00A3389E">
              <w:rPr>
                <w:rFonts w:ascii="Times New Roman" w:hAnsi="Times New Roman" w:cs="Times New Roman"/>
                <w:sz w:val="24"/>
                <w:szCs w:val="24"/>
              </w:rPr>
              <w:lastRenderedPageBreak/>
              <w:t xml:space="preserve">ods. 2 </w:t>
            </w:r>
            <w:r w:rsidRPr="00A3389E">
              <w:rPr>
                <w:rStyle w:val="TeksttreciPogrubienie"/>
                <w:rFonts w:ascii="Times New Roman" w:hAnsi="Times New Roman" w:cs="Times New Roman"/>
                <w:b w:val="0"/>
                <w:sz w:val="24"/>
                <w:szCs w:val="24"/>
              </w:rPr>
              <w:t>CRR, ktorými sa znížil kapitál Tier 1</w:t>
            </w:r>
            <w:r w:rsidRPr="00A3389E">
              <w:rPr>
                <w:rFonts w:ascii="Times New Roman" w:hAnsi="Times New Roman" w:cs="Times New Roman"/>
                <w:sz w:val="24"/>
                <w:szCs w:val="24"/>
              </w:rPr>
              <w:t>. Špecifické rezervy sa zahrnú len vtedy, ak</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uplatniteľným účtovným rámcom ešte neboli odpočítané od hrubej účtovnej hodnoty</w:t>
            </w:r>
            <w:r w:rsidR="00A3389E" w:rsidRPr="00A3389E">
              <w:rPr>
                <w:rFonts w:ascii="Times New Roman" w:hAnsi="Times New Roman" w:cs="Times New Roman"/>
                <w:sz w:val="24"/>
                <w:szCs w:val="24"/>
              </w:rPr>
              <w:t>.</w:t>
            </w:r>
          </w:p>
          <w:p w14:paraId="09E8C300" w14:textId="61BB1723"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Fonts w:ascii="Times New Roman" w:hAnsi="Times New Roman" w:cs="Times New Roman"/>
                <w:sz w:val="24"/>
                <w:szCs w:val="24"/>
              </w:rPr>
              <w:t>Keďže táto úprava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4A899E2E" w14:textId="77777777" w:rsidTr="001E06A3">
        <w:trPr>
          <w:trHeight w:val="2265"/>
        </w:trPr>
        <w:tc>
          <w:tcPr>
            <w:tcW w:w="1384" w:type="dxa"/>
            <w:vAlign w:val="center"/>
          </w:tcPr>
          <w:p w14:paraId="70566159"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EU-11a</w:t>
            </w:r>
          </w:p>
        </w:tc>
        <w:tc>
          <w:tcPr>
            <w:tcW w:w="7655" w:type="dxa"/>
          </w:tcPr>
          <w:p w14:paraId="3CE18E24" w14:textId="4EF5DCD2"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expozície vylúčené</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veľkosti celkovej expozície</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súlade</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článkom 429a ods. 1 písm. c) CRR]</w:t>
            </w:r>
          </w:p>
          <w:p w14:paraId="3416C9D4" w14:textId="14586331"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429a ods. 1 písm. c)</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113 ods. 6</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7 CRR.</w:t>
            </w:r>
          </w:p>
          <w:p w14:paraId="6949A02E" w14:textId="353A84BF"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súvahovú časť expozícií vylúčených</w:t>
            </w:r>
            <w:r w:rsidR="00A3389E">
              <w:rPr>
                <w:rFonts w:ascii="Times New Roman" w:hAnsi="Times New Roman" w:cs="Times New Roman"/>
                <w:sz w:val="24"/>
                <w:szCs w:val="24"/>
              </w:rPr>
              <w:t xml:space="preserve"> z </w:t>
            </w:r>
            <w:r w:rsidRPr="00A3389E">
              <w:rPr>
                <w:rFonts w:ascii="Times New Roman" w:hAnsi="Times New Roman" w:cs="Times New Roman"/>
                <w:sz w:val="24"/>
                <w:szCs w:val="24"/>
              </w:rPr>
              <w:t>veľkosti celkovej expozície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1 písm. c) CRR.</w:t>
            </w:r>
          </w:p>
          <w:p w14:paraId="48930091" w14:textId="045AC2AD"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táto úprava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19F69D10" w14:textId="77777777" w:rsidTr="001E06A3">
        <w:trPr>
          <w:trHeight w:val="2265"/>
        </w:trPr>
        <w:tc>
          <w:tcPr>
            <w:tcW w:w="1384" w:type="dxa"/>
            <w:vAlign w:val="center"/>
          </w:tcPr>
          <w:p w14:paraId="1C862CF2"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EU-11b</w:t>
            </w:r>
          </w:p>
        </w:tc>
        <w:tc>
          <w:tcPr>
            <w:tcW w:w="7655" w:type="dxa"/>
          </w:tcPr>
          <w:p w14:paraId="6276F869" w14:textId="1AF821F4"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expozície vylúčené</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veľkosti celkovej expozície</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súlade</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článkom 429a ods. 1 písm. j) CRR]</w:t>
            </w:r>
          </w:p>
          <w:p w14:paraId="0924AC57"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429a ods. 1 písm. j), článok 116 ods. 4 CRR.</w:t>
            </w:r>
          </w:p>
          <w:p w14:paraId="5EF43110" w14:textId="4912A40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súvahovú časť expozícií vylúčených</w:t>
            </w:r>
            <w:r w:rsidR="00A3389E">
              <w:rPr>
                <w:rFonts w:ascii="Times New Roman" w:hAnsi="Times New Roman" w:cs="Times New Roman"/>
                <w:sz w:val="24"/>
                <w:szCs w:val="24"/>
              </w:rPr>
              <w:t xml:space="preserve"> z </w:t>
            </w:r>
            <w:r w:rsidRPr="00A3389E">
              <w:rPr>
                <w:rFonts w:ascii="Times New Roman" w:hAnsi="Times New Roman" w:cs="Times New Roman"/>
                <w:sz w:val="24"/>
                <w:szCs w:val="24"/>
              </w:rPr>
              <w:t>veľkosti celkovej expozície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1 písm. j) CRR.</w:t>
            </w:r>
          </w:p>
          <w:p w14:paraId="590B1A23" w14:textId="0DC92D1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táto úprava znižuje veľkosť celkovej expozície, inštitúcie uvádzajú hodnoty zverejnené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09891083" w14:textId="77777777" w:rsidTr="001E06A3">
        <w:trPr>
          <w:trHeight w:val="2265"/>
        </w:trPr>
        <w:tc>
          <w:tcPr>
            <w:tcW w:w="1384" w:type="dxa"/>
            <w:vAlign w:val="center"/>
          </w:tcPr>
          <w:p w14:paraId="24F43B51"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12</w:t>
            </w:r>
          </w:p>
        </w:tc>
        <w:tc>
          <w:tcPr>
            <w:tcW w:w="7655" w:type="dxa"/>
          </w:tcPr>
          <w:p w14:paraId="4894575C"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sidRPr="00A3389E">
              <w:rPr>
                <w:rStyle w:val="TeksttreciPogrubienie"/>
                <w:rFonts w:ascii="Times New Roman" w:hAnsi="Times New Roman" w:cs="Times New Roman"/>
                <w:sz w:val="24"/>
                <w:szCs w:val="24"/>
              </w:rPr>
              <w:t>Ostatné úpravy</w:t>
            </w:r>
          </w:p>
          <w:p w14:paraId="7DE84274" w14:textId="62DC85E1"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zahŕňajú akýkoľvek zostávajúci rozdiel</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hodnote medzi veľkosťou celkovej expozície</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celkovými účtovnými aktívami. Inštitúcie zohľadňujú úpravy expozície</w:t>
            </w:r>
            <w:r w:rsidR="00A3389E">
              <w:rPr>
                <w:rFonts w:ascii="Times New Roman" w:hAnsi="Times New Roman" w:cs="Times New Roman"/>
                <w:sz w:val="24"/>
                <w:szCs w:val="24"/>
              </w:rPr>
              <w:t xml:space="preserve"> v </w:t>
            </w:r>
            <w:r w:rsidRPr="00A3389E">
              <w:rPr>
                <w:rStyle w:val="DeltaViewInsertion"/>
                <w:rFonts w:ascii="Times New Roman" w:hAnsi="Times New Roman" w:cs="Times New Roman"/>
                <w:b w:val="0"/>
                <w:i w:val="0"/>
                <w:color w:val="auto"/>
                <w:sz w:val="24"/>
                <w:szCs w:val="24"/>
              </w:rPr>
              <w:t>súlade</w:t>
            </w:r>
            <w:r w:rsidR="00A3389E">
              <w:rPr>
                <w:rStyle w:val="DeltaViewInsertion"/>
                <w:rFonts w:ascii="Times New Roman" w:hAnsi="Times New Roman" w:cs="Times New Roman"/>
                <w:b w:val="0"/>
                <w:i w:val="0"/>
                <w:color w:val="auto"/>
                <w:sz w:val="24"/>
                <w:szCs w:val="24"/>
              </w:rPr>
              <w:t xml:space="preserve"> s </w:t>
            </w:r>
            <w:r w:rsidRPr="00A3389E">
              <w:rPr>
                <w:rStyle w:val="DeltaViewInsertion"/>
                <w:rFonts w:ascii="Times New Roman" w:hAnsi="Times New Roman" w:cs="Times New Roman"/>
                <w:b w:val="0"/>
                <w:i w:val="0"/>
                <w:color w:val="auto"/>
                <w:sz w:val="24"/>
                <w:szCs w:val="24"/>
              </w:rPr>
              <w:t>článkom 429 ods. 8 CRR</w:t>
            </w:r>
            <w:r w:rsidR="00A3389E">
              <w:rPr>
                <w:rStyle w:val="DeltaViewInsertion"/>
                <w:rFonts w:ascii="Times New Roman" w:hAnsi="Times New Roman" w:cs="Times New Roman"/>
                <w:b w:val="0"/>
                <w:i w:val="0"/>
                <w:color w:val="auto"/>
                <w:sz w:val="24"/>
                <w:szCs w:val="24"/>
              </w:rPr>
              <w:t xml:space="preserve"> a </w:t>
            </w:r>
            <w:r w:rsidRPr="00A3389E">
              <w:rPr>
                <w:rStyle w:val="DeltaViewInsertion"/>
                <w:rFonts w:ascii="Times New Roman" w:hAnsi="Times New Roman" w:cs="Times New Roman"/>
                <w:b w:val="0"/>
                <w:i w:val="0"/>
                <w:color w:val="auto"/>
                <w:sz w:val="24"/>
                <w:szCs w:val="24"/>
              </w:rPr>
              <w:t>ostatné úpravy expozícií uvedené</w:t>
            </w:r>
            <w:r w:rsidR="00A3389E">
              <w:rPr>
                <w:rStyle w:val="DeltaViewInsertion"/>
                <w:rFonts w:ascii="Times New Roman" w:hAnsi="Times New Roman" w:cs="Times New Roman"/>
                <w:b w:val="0"/>
                <w:i w:val="0"/>
                <w:color w:val="auto"/>
                <w:sz w:val="24"/>
                <w:szCs w:val="24"/>
              </w:rPr>
              <w:t xml:space="preserve"> v </w:t>
            </w:r>
            <w:r w:rsidRPr="00A3389E">
              <w:rPr>
                <w:rStyle w:val="DeltaViewInsertion"/>
                <w:rFonts w:ascii="Times New Roman" w:hAnsi="Times New Roman" w:cs="Times New Roman"/>
                <w:b w:val="0"/>
                <w:i w:val="0"/>
                <w:color w:val="auto"/>
                <w:sz w:val="24"/>
                <w:szCs w:val="24"/>
              </w:rPr>
              <w:t>článku 429a ods. 1 písm. d), e), f), h), k), l), o)</w:t>
            </w:r>
            <w:r w:rsidR="00A3389E">
              <w:rPr>
                <w:rStyle w:val="DeltaViewInsertion"/>
                <w:rFonts w:ascii="Times New Roman" w:hAnsi="Times New Roman" w:cs="Times New Roman"/>
                <w:b w:val="0"/>
                <w:i w:val="0"/>
                <w:color w:val="auto"/>
                <w:sz w:val="24"/>
                <w:szCs w:val="24"/>
              </w:rPr>
              <w:t xml:space="preserve"> a </w:t>
            </w:r>
            <w:r w:rsidRPr="00A3389E">
              <w:rPr>
                <w:rStyle w:val="DeltaViewInsertion"/>
                <w:rFonts w:ascii="Times New Roman" w:hAnsi="Times New Roman" w:cs="Times New Roman"/>
                <w:b w:val="0"/>
                <w:i w:val="0"/>
                <w:color w:val="auto"/>
                <w:sz w:val="24"/>
                <w:szCs w:val="24"/>
              </w:rPr>
              <w:t>p) CRR, ktoré nie sú zverejnené nikde vo vzore.</w:t>
            </w:r>
          </w:p>
          <w:p w14:paraId="524A5AC5" w14:textId="398513AC"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 tieto úpravy vedú</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zväčšeniu expozície, inštitúcie to zverejňujú ako kladnú hodnotu. Ak tieto úpravy vedú</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zmenšeniu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60B2442D" w14:textId="77777777" w:rsidTr="001E06A3">
        <w:trPr>
          <w:trHeight w:val="1015"/>
        </w:trPr>
        <w:tc>
          <w:tcPr>
            <w:tcW w:w="1384" w:type="dxa"/>
            <w:vAlign w:val="center"/>
          </w:tcPr>
          <w:p w14:paraId="6A4B1601" w14:textId="77777777" w:rsidR="000A7015" w:rsidRPr="00A3389E" w:rsidRDefault="000A7015" w:rsidP="001E06A3">
            <w:pPr>
              <w:pStyle w:val="Applicationdirecte"/>
              <w:spacing w:before="0"/>
              <w:jc w:val="center"/>
            </w:pPr>
            <w:r w:rsidRPr="00A3389E">
              <w:t>13</w:t>
            </w:r>
          </w:p>
        </w:tc>
        <w:tc>
          <w:tcPr>
            <w:tcW w:w="7655" w:type="dxa"/>
          </w:tcPr>
          <w:p w14:paraId="5D9808D7"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Veľkosť celkovej expozície</w:t>
            </w:r>
          </w:p>
          <w:p w14:paraId="2C981033" w14:textId="4AC5DCEB"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Veľkosť celkovej expozície (zverejnená aj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riadku 24 vzoru </w:t>
            </w:r>
            <w:r w:rsidRPr="00A3389E">
              <w:rPr>
                <w:rFonts w:ascii="Times New Roman" w:hAnsi="Times New Roman" w:cs="Times New Roman"/>
                <w:color w:val="000000"/>
                <w:sz w:val="24"/>
                <w:szCs w:val="24"/>
              </w:rPr>
              <w:t xml:space="preserve">EU LR2 – </w:t>
            </w:r>
            <w:r w:rsidRPr="00A3389E">
              <w:rPr>
                <w:rFonts w:ascii="Times New Roman" w:hAnsi="Times New Roman" w:cs="Times New Roman"/>
                <w:sz w:val="24"/>
                <w:szCs w:val="24"/>
              </w:rPr>
              <w:t>LRCom), ktorá je súčtom predchádzajúcich položiek.</w:t>
            </w:r>
          </w:p>
        </w:tc>
      </w:tr>
    </w:tbl>
    <w:p w14:paraId="31EE4F69" w14:textId="77777777" w:rsidR="000A7015" w:rsidRPr="00A3389E" w:rsidRDefault="000A7015" w:rsidP="000A7015">
      <w:pPr>
        <w:spacing w:after="120"/>
        <w:rPr>
          <w:rFonts w:ascii="Times New Roman" w:hAnsi="Times New Roman" w:cs="Times New Roman"/>
          <w:sz w:val="24"/>
        </w:rPr>
      </w:pPr>
    </w:p>
    <w:p w14:paraId="1E69398D" w14:textId="0DDFB7FE" w:rsidR="000A7015" w:rsidRPr="00A3389E"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sidRPr="00A3389E">
        <w:rPr>
          <w:rFonts w:ascii="Times New Roman" w:hAnsi="Times New Roman" w:cs="Times New Roman"/>
          <w:color w:val="000000"/>
          <w:sz w:val="24"/>
          <w:szCs w:val="24"/>
        </w:rPr>
        <w:t xml:space="preserve">Vzor EU LR2 – LRCom: </w:t>
      </w:r>
      <w:bookmarkStart w:id="14" w:name="bookmark12"/>
      <w:r w:rsidRPr="00A3389E">
        <w:rPr>
          <w:rFonts w:ascii="Times New Roman" w:hAnsi="Times New Roman" w:cs="Times New Roman"/>
          <w:color w:val="000000"/>
          <w:sz w:val="24"/>
          <w:szCs w:val="24"/>
        </w:rPr>
        <w:t>Harmonizované zverejňovanie ukazovateľa finančnej páky</w:t>
      </w:r>
      <w:bookmarkEnd w:id="14"/>
      <w:r w:rsidRPr="00A3389E">
        <w:rPr>
          <w:rFonts w:ascii="Times New Roman" w:hAnsi="Times New Roman" w:cs="Times New Roman"/>
          <w:color w:val="000000"/>
          <w:sz w:val="24"/>
          <w:szCs w:val="24"/>
        </w:rPr>
        <w:t xml:space="preserve">. </w:t>
      </w:r>
      <w:r w:rsidRPr="00A3389E">
        <w:rPr>
          <w:rFonts w:ascii="Times New Roman" w:hAnsi="Times New Roman" w:cs="Times New Roman"/>
          <w:b w:val="0"/>
          <w:color w:val="000000"/>
          <w:sz w:val="24"/>
          <w:szCs w:val="24"/>
        </w:rPr>
        <w:t>Vzor</w:t>
      </w:r>
      <w:r w:rsidR="00A3389E">
        <w:rPr>
          <w:rFonts w:ascii="Times New Roman" w:hAnsi="Times New Roman" w:cs="Times New Roman"/>
          <w:b w:val="0"/>
          <w:color w:val="000000"/>
          <w:sz w:val="24"/>
          <w:szCs w:val="24"/>
        </w:rPr>
        <w:t xml:space="preserve"> s </w:t>
      </w:r>
      <w:r w:rsidRPr="00A3389E">
        <w:rPr>
          <w:rFonts w:ascii="Times New Roman" w:hAnsi="Times New Roman" w:cs="Times New Roman"/>
          <w:b w:val="0"/>
          <w:color w:val="000000"/>
          <w:sz w:val="24"/>
          <w:szCs w:val="24"/>
        </w:rPr>
        <w:t>pevným formátom</w:t>
      </w:r>
    </w:p>
    <w:p w14:paraId="45D197DC" w14:textId="6AEFD56A" w:rsidR="000A7015" w:rsidRPr="00A3389E" w:rsidRDefault="00A3389E" w:rsidP="00A3389E">
      <w:pPr>
        <w:spacing w:after="120"/>
        <w:ind w:left="426" w:hanging="360"/>
        <w:jc w:val="both"/>
        <w:rPr>
          <w:rFonts w:ascii="Times New Roman" w:hAnsi="Times New Roman"/>
          <w:color w:val="000000"/>
          <w:sz w:val="24"/>
        </w:rPr>
      </w:pPr>
      <w:r w:rsidRPr="00A3389E">
        <w:rPr>
          <w:rFonts w:ascii="Times New Roman" w:eastAsia="Calibri" w:hAnsi="Times New Roman" w:cs="Times New Roman"/>
          <w:color w:val="000000"/>
          <w:sz w:val="24"/>
        </w:rPr>
        <w:t>2.</w:t>
      </w:r>
      <w:r w:rsidRPr="00A3389E">
        <w:rPr>
          <w:rFonts w:ascii="Times New Roman" w:eastAsia="Calibri" w:hAnsi="Times New Roman" w:cs="Times New Roman"/>
          <w:color w:val="000000"/>
          <w:sz w:val="24"/>
        </w:rPr>
        <w:tab/>
      </w:r>
      <w:r w:rsidR="000A7015" w:rsidRPr="00A3389E">
        <w:rPr>
          <w:rFonts w:ascii="Times New Roman" w:hAnsi="Times New Roman"/>
          <w:color w:val="000000"/>
          <w:sz w:val="24"/>
        </w:rPr>
        <w:t>Inštitúcie uplatňujú pokyny uvedené</w:t>
      </w:r>
      <w:r>
        <w:rPr>
          <w:rFonts w:ascii="Times New Roman" w:hAnsi="Times New Roman"/>
          <w:color w:val="000000"/>
          <w:sz w:val="24"/>
        </w:rPr>
        <w:t xml:space="preserve"> v </w:t>
      </w:r>
      <w:r w:rsidR="000A7015" w:rsidRPr="00A3389E">
        <w:rPr>
          <w:rFonts w:ascii="Times New Roman" w:hAnsi="Times New Roman"/>
          <w:color w:val="000000"/>
          <w:sz w:val="24"/>
        </w:rPr>
        <w:t>tomto oddiele na vyplnenie vzoru EU LR2 – LRCom pri uplatňovaní článku 451 ods. 1 písm. a)</w:t>
      </w:r>
      <w:r>
        <w:rPr>
          <w:rFonts w:ascii="Times New Roman" w:hAnsi="Times New Roman"/>
          <w:color w:val="000000"/>
          <w:sz w:val="24"/>
        </w:rPr>
        <w:t xml:space="preserve"> a </w:t>
      </w:r>
      <w:r w:rsidR="000A7015" w:rsidRPr="00A3389E">
        <w:rPr>
          <w:rFonts w:ascii="Times New Roman" w:hAnsi="Times New Roman"/>
          <w:color w:val="000000"/>
          <w:sz w:val="24"/>
        </w:rPr>
        <w:t>b) CRR</w:t>
      </w:r>
      <w:r>
        <w:rPr>
          <w:rFonts w:ascii="Times New Roman" w:hAnsi="Times New Roman"/>
          <w:color w:val="000000"/>
          <w:sz w:val="24"/>
        </w:rPr>
        <w:t xml:space="preserve"> a </w:t>
      </w:r>
      <w:r w:rsidR="000A7015" w:rsidRPr="00A3389E">
        <w:rPr>
          <w:rFonts w:ascii="Times New Roman" w:hAnsi="Times New Roman"/>
          <w:color w:val="000000"/>
          <w:sz w:val="24"/>
        </w:rPr>
        <w:t>článku 451 ods. 3 CRR, pričom prípadne zohľadňujú článok 451 ods. 1 písm. c)</w:t>
      </w:r>
      <w:r>
        <w:rPr>
          <w:rFonts w:ascii="Times New Roman" w:hAnsi="Times New Roman"/>
          <w:color w:val="000000"/>
          <w:sz w:val="24"/>
        </w:rPr>
        <w:t xml:space="preserve"> a </w:t>
      </w:r>
      <w:r w:rsidR="000A7015" w:rsidRPr="00A3389E">
        <w:rPr>
          <w:rFonts w:ascii="Times New Roman" w:hAnsi="Times New Roman"/>
          <w:color w:val="000000"/>
          <w:sz w:val="24"/>
        </w:rPr>
        <w:t>článok 451 ods. 2 CRR.</w:t>
      </w:r>
    </w:p>
    <w:p w14:paraId="14BBB142" w14:textId="0E3FE72A" w:rsidR="000A7015" w:rsidRPr="00A3389E" w:rsidRDefault="00A3389E" w:rsidP="00A3389E">
      <w:pPr>
        <w:spacing w:after="120"/>
        <w:ind w:left="426" w:hanging="360"/>
        <w:jc w:val="both"/>
        <w:rPr>
          <w:rFonts w:ascii="Times New Roman" w:hAnsi="Times New Roman"/>
          <w:color w:val="000000"/>
          <w:sz w:val="24"/>
        </w:rPr>
      </w:pPr>
      <w:r w:rsidRPr="00A3389E">
        <w:rPr>
          <w:rFonts w:ascii="Times New Roman" w:eastAsia="Calibri" w:hAnsi="Times New Roman" w:cs="Times New Roman"/>
          <w:color w:val="000000"/>
          <w:sz w:val="24"/>
        </w:rPr>
        <w:t>3.</w:t>
      </w:r>
      <w:r w:rsidRPr="00A3389E">
        <w:rPr>
          <w:rFonts w:ascii="Times New Roman" w:eastAsia="Calibri" w:hAnsi="Times New Roman" w:cs="Times New Roman"/>
          <w:color w:val="000000"/>
          <w:sz w:val="24"/>
        </w:rPr>
        <w:tab/>
      </w:r>
      <w:r w:rsidR="000A7015" w:rsidRPr="00A3389E">
        <w:rPr>
          <w:rFonts w:ascii="Times New Roman" w:hAnsi="Times New Roman"/>
          <w:color w:val="000000"/>
          <w:sz w:val="24"/>
        </w:rPr>
        <w:t>Inštitúcie zverejňujú</w:t>
      </w:r>
      <w:r>
        <w:rPr>
          <w:rFonts w:ascii="Times New Roman" w:hAnsi="Times New Roman"/>
          <w:color w:val="000000"/>
          <w:sz w:val="24"/>
        </w:rPr>
        <w:t xml:space="preserve"> v </w:t>
      </w:r>
      <w:r w:rsidR="000A7015" w:rsidRPr="00A3389E">
        <w:rPr>
          <w:rFonts w:ascii="Times New Roman" w:hAnsi="Times New Roman"/>
          <w:color w:val="000000"/>
          <w:sz w:val="24"/>
        </w:rPr>
        <w:t>stĺpci</w:t>
      </w:r>
      <w:r>
        <w:rPr>
          <w:rFonts w:ascii="Times New Roman" w:hAnsi="Times New Roman"/>
          <w:color w:val="000000"/>
          <w:sz w:val="24"/>
        </w:rPr>
        <w:t xml:space="preserve"> a </w:t>
      </w:r>
      <w:r w:rsidR="000A7015" w:rsidRPr="00A3389E">
        <w:rPr>
          <w:rFonts w:ascii="Times New Roman" w:hAnsi="Times New Roman"/>
          <w:color w:val="000000"/>
          <w:sz w:val="24"/>
        </w:rPr>
        <w:t>hodnoty jednotlivých riadkov pre dané obdobie zverejňovania informácií</w:t>
      </w:r>
      <w:r>
        <w:rPr>
          <w:rFonts w:ascii="Times New Roman" w:hAnsi="Times New Roman"/>
          <w:color w:val="000000"/>
          <w:sz w:val="24"/>
        </w:rPr>
        <w:t xml:space="preserve"> a v </w:t>
      </w:r>
      <w:r w:rsidR="000A7015" w:rsidRPr="00A3389E">
        <w:rPr>
          <w:rFonts w:ascii="Times New Roman" w:hAnsi="Times New Roman"/>
          <w:color w:val="000000"/>
          <w:sz w:val="24"/>
        </w:rPr>
        <w:t xml:space="preserve">stĺpci </w:t>
      </w:r>
      <w:r w:rsidR="000A7015" w:rsidRPr="00A3389E">
        <w:rPr>
          <w:rFonts w:ascii="Times New Roman" w:hAnsi="Times New Roman"/>
          <w:i/>
          <w:color w:val="000000"/>
          <w:sz w:val="24"/>
        </w:rPr>
        <w:t>b</w:t>
      </w:r>
      <w:r w:rsidR="000A7015" w:rsidRPr="00A3389E">
        <w:rPr>
          <w:rFonts w:ascii="Times New Roman" w:hAnsi="Times New Roman"/>
          <w:color w:val="000000"/>
          <w:sz w:val="24"/>
        </w:rPr>
        <w:t xml:space="preserve"> hodnoty riadkov za predchádzajúce obdobie zverejňovania informácií.</w:t>
      </w:r>
    </w:p>
    <w:p w14:paraId="38B8FA6B" w14:textId="799481CD" w:rsidR="000A7015" w:rsidRPr="00A3389E" w:rsidRDefault="00A3389E" w:rsidP="00A3389E">
      <w:pPr>
        <w:spacing w:after="120"/>
        <w:ind w:left="426" w:hanging="360"/>
        <w:jc w:val="both"/>
        <w:rPr>
          <w:rFonts w:ascii="Times New Roman" w:hAnsi="Times New Roman"/>
          <w:color w:val="000000"/>
          <w:sz w:val="24"/>
        </w:rPr>
      </w:pPr>
      <w:r w:rsidRPr="00A3389E">
        <w:rPr>
          <w:rFonts w:ascii="Times New Roman" w:eastAsia="Calibri" w:hAnsi="Times New Roman" w:cs="Times New Roman"/>
          <w:color w:val="000000"/>
          <w:sz w:val="24"/>
          <w:szCs w:val="22"/>
        </w:rPr>
        <w:lastRenderedPageBreak/>
        <w:t>4.</w:t>
      </w:r>
      <w:r w:rsidRPr="00A3389E">
        <w:rPr>
          <w:rFonts w:ascii="Times New Roman" w:eastAsia="Calibri" w:hAnsi="Times New Roman" w:cs="Times New Roman"/>
          <w:color w:val="000000"/>
          <w:sz w:val="24"/>
          <w:szCs w:val="22"/>
        </w:rPr>
        <w:tab/>
      </w:r>
      <w:r w:rsidR="000A7015" w:rsidRPr="00A3389E">
        <w:rPr>
          <w:rFonts w:ascii="Times New Roman" w:hAnsi="Times New Roman"/>
          <w:color w:val="000000"/>
          <w:sz w:val="24"/>
        </w:rPr>
        <w:t>Inštitúcie</w:t>
      </w:r>
      <w:r>
        <w:rPr>
          <w:rFonts w:ascii="Times New Roman" w:hAnsi="Times New Roman"/>
          <w:color w:val="000000"/>
          <w:sz w:val="24"/>
        </w:rPr>
        <w:t xml:space="preserve"> v </w:t>
      </w:r>
      <w:r w:rsidR="000A7015" w:rsidRPr="00A3389E">
        <w:rPr>
          <w:rFonts w:ascii="Times New Roman" w:hAnsi="Times New Roman"/>
          <w:color w:val="000000"/>
          <w:sz w:val="24"/>
        </w:rPr>
        <w:t>opise sprevádzajúcom vzor vysvetlia zloženie podporných úverov zverejnených</w:t>
      </w:r>
      <w:r>
        <w:rPr>
          <w:rFonts w:ascii="Times New Roman" w:hAnsi="Times New Roman"/>
          <w:color w:val="000000"/>
          <w:sz w:val="24"/>
        </w:rPr>
        <w:t xml:space="preserve"> v </w:t>
      </w:r>
      <w:r w:rsidR="000A7015" w:rsidRPr="00A3389E">
        <w:rPr>
          <w:rFonts w:ascii="Times New Roman" w:hAnsi="Times New Roman"/>
          <w:color w:val="000000"/>
          <w:sz w:val="24"/>
        </w:rPr>
        <w:t>riadkoch EU-22d</w:t>
      </w:r>
      <w:r>
        <w:rPr>
          <w:rFonts w:ascii="Times New Roman" w:hAnsi="Times New Roman"/>
          <w:color w:val="000000"/>
          <w:sz w:val="24"/>
        </w:rPr>
        <w:t xml:space="preserve"> a </w:t>
      </w:r>
      <w:r w:rsidR="000A7015" w:rsidRPr="00A3389E">
        <w:rPr>
          <w:rFonts w:ascii="Times New Roman" w:hAnsi="Times New Roman"/>
          <w:color w:val="000000"/>
          <w:sz w:val="24"/>
        </w:rPr>
        <w:t>EU-22e tohto vzoru vrátane informácií podľa druhu protistrany.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A3389E"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4F4E7E3F" w:rsidR="000A7015" w:rsidRPr="00A3389E" w:rsidRDefault="000A7015" w:rsidP="001E06A3">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A7015" w:rsidRPr="00A3389E" w14:paraId="3272E529" w14:textId="77777777" w:rsidTr="001E06A3">
        <w:trPr>
          <w:trHeight w:val="238"/>
        </w:trPr>
        <w:tc>
          <w:tcPr>
            <w:tcW w:w="1384" w:type="dxa"/>
            <w:shd w:val="clear" w:color="auto" w:fill="D9D9D9" w:themeFill="background1" w:themeFillShade="D9"/>
          </w:tcPr>
          <w:p w14:paraId="37C231CF" w14:textId="77777777" w:rsidR="000A7015" w:rsidRPr="00A3389E" w:rsidRDefault="000A7015" w:rsidP="001E06A3">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2FFDB0C3" w14:textId="77777777" w:rsidR="000A7015" w:rsidRPr="00A3389E" w:rsidRDefault="000A7015" w:rsidP="001E06A3">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A7015" w:rsidRPr="00A3389E" w14:paraId="03257AD3" w14:textId="77777777" w:rsidTr="001E06A3">
        <w:trPr>
          <w:trHeight w:val="708"/>
        </w:trPr>
        <w:tc>
          <w:tcPr>
            <w:tcW w:w="1384" w:type="dxa"/>
            <w:vAlign w:val="center"/>
          </w:tcPr>
          <w:p w14:paraId="7CCE11D5"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w:t>
            </w:r>
          </w:p>
        </w:tc>
        <w:tc>
          <w:tcPr>
            <w:tcW w:w="7655" w:type="dxa"/>
          </w:tcPr>
          <w:p w14:paraId="088F2493" w14:textId="7BDE95FD"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Súvahové položky (bez derivátov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SFT, no vrátane kolaterálu)</w:t>
            </w:r>
          </w:p>
          <w:p w14:paraId="767AC92E" w14:textId="4A0220E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Články 429</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429b CRR.</w:t>
            </w:r>
          </w:p>
          <w:p w14:paraId="11D2A657" w14:textId="05D4B6FA" w:rsidR="00A3389E"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všetky aktíva okrem zmlúv uvedených</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prílohe II</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CRR, kreditných derivátov</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SFT. Inštitúcie pri oceňovaní týchto aktív vychádzajú zo zásad uvedených</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 ods. 7</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článku 429b ods. 1 CRR</w:t>
            </w:r>
            <w:r w:rsidR="00A3389E" w:rsidRPr="00A3389E">
              <w:rPr>
                <w:rFonts w:ascii="Times New Roman" w:hAnsi="Times New Roman" w:cs="Times New Roman"/>
                <w:sz w:val="24"/>
                <w:szCs w:val="24"/>
              </w:rPr>
              <w:t>.</w:t>
            </w:r>
          </w:p>
          <w:p w14:paraId="2255D735" w14:textId="3695CED6" w:rsidR="00A3389E"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pri tomto výpočte zohľadňujú, ak je to uplatniteľné, článok 429a ods. 1 písm. i), m)</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n) CRR, článok 429g</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 ods. 4 posledný pododsek CRR</w:t>
            </w:r>
            <w:r w:rsidR="00A3389E" w:rsidRPr="00A3389E">
              <w:rPr>
                <w:rFonts w:ascii="Times New Roman" w:hAnsi="Times New Roman" w:cs="Times New Roman"/>
                <w:sz w:val="24"/>
                <w:szCs w:val="24"/>
              </w:rPr>
              <w:t>.</w:t>
            </w:r>
          </w:p>
          <w:p w14:paraId="2D03FE54" w14:textId="4BE5E47B"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do tejto bunky zahŕňajú prijatú peňažnú hotovosť alebo akýkoľvek cenný papier, ktorý je poskytnutý protistrane prostredníctvom SFT</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ktorý sa ponechal</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súvahe (t. j. nie sú splnené účtovné kritériá pre ukončenie vykazovania podľa uplatniteľného účtovného rámca).</w:t>
            </w:r>
          </w:p>
          <w:p w14:paraId="0D409F21" w14:textId="5C093229"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pri tomto výpočte nezohľadňujú článok 429 ods. 8</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429a ods. 1 písm. a) až h), j)</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k) CRR, t. j. neznižujú hodnotu, ktorá sa má zverejniť</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tomto riadku, na základe uvedených výnimiek. </w:t>
            </w:r>
          </w:p>
        </w:tc>
      </w:tr>
      <w:tr w:rsidR="000A7015" w:rsidRPr="00A3389E" w14:paraId="3890DFD4" w14:textId="77777777" w:rsidTr="001E06A3">
        <w:trPr>
          <w:trHeight w:val="708"/>
        </w:trPr>
        <w:tc>
          <w:tcPr>
            <w:tcW w:w="1384" w:type="dxa"/>
            <w:vAlign w:val="center"/>
          </w:tcPr>
          <w:p w14:paraId="4FE5AF38"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2</w:t>
            </w:r>
          </w:p>
        </w:tc>
        <w:tc>
          <w:tcPr>
            <w:tcW w:w="7655" w:type="dxa"/>
          </w:tcPr>
          <w:p w14:paraId="397FC486" w14:textId="0C18110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Navýšenie</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kolaterál poskytnutý</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súvislosti</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derivátmi, ak sa podľa uplatniteľného účtovného rámca odpočítava od súvahových aktív</w:t>
            </w:r>
          </w:p>
          <w:p w14:paraId="75A3169A"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429c ods. 2 CRR.</w:t>
            </w:r>
          </w:p>
          <w:p w14:paraId="0CA70E8E" w14:textId="2B0E65FF"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hodnotu akéhokoľvek kolaterálu poskytnutého</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súvislosti</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derivátmi, ak sa poskytnutím uvedeného kolaterálu znižuje hodnota aktív podľa uplatniteľného účtovného rámca, ako je stanovené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429c ods. 2 CRR.</w:t>
            </w:r>
          </w:p>
          <w:p w14:paraId="7FE613C1" w14:textId="67369079"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Fonts w:ascii="Times New Roman" w:hAnsi="Times New Roman" w:cs="Times New Roman"/>
                <w:sz w:val="24"/>
                <w:szCs w:val="24"/>
              </w:rPr>
              <w:t>Inštitúcie do tejto bunky nezahŕňajú počiatočnú maržu pri derivátových transakciách zúčtovávaných klientom prostredníctvom kvalifikovanej centrálnej protistrany (QCCP), ani prípustnú hotovostnú variačnú maržu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zmysle vymedzenia</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429c ods. 3 CRR.</w:t>
            </w:r>
          </w:p>
        </w:tc>
      </w:tr>
      <w:tr w:rsidR="000A7015" w:rsidRPr="00A3389E" w14:paraId="0E145AC4" w14:textId="77777777" w:rsidTr="001E06A3">
        <w:trPr>
          <w:trHeight w:val="708"/>
        </w:trPr>
        <w:tc>
          <w:tcPr>
            <w:tcW w:w="1384" w:type="dxa"/>
            <w:vAlign w:val="center"/>
          </w:tcPr>
          <w:p w14:paraId="28E7A6A7"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3</w:t>
            </w:r>
          </w:p>
        </w:tc>
        <w:tc>
          <w:tcPr>
            <w:tcW w:w="7655" w:type="dxa"/>
          </w:tcPr>
          <w:p w14:paraId="59F117F4" w14:textId="5519F1A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(Odpočty pohľadávok vykázaných ako aktíva pri hotovostnej variačnej marži poskytnutej</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derivátových transakciách)</w:t>
            </w:r>
          </w:p>
          <w:p w14:paraId="1130C9D4"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429c ods. 3 CRR.</w:t>
            </w:r>
          </w:p>
          <w:p w14:paraId="17BB89DB" w14:textId="234407EC"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pohľadávky pri variačnej marži zaplatenej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hotovosti protistrane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derivátových transakciách, ak sa od inštitúcie na základe uplatniteľného účtovného rámca vyžaduje, aby tieto pohľadávky vykázala ako aktívum, za predpokladu, že sú splnené podmienky uvedené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429c ods. 3 písm. a) až e) CRR.</w:t>
            </w:r>
          </w:p>
          <w:p w14:paraId="10A4671C" w14:textId="32D9E066"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A3389E">
              <w:rPr>
                <w:rFonts w:ascii="Times New Roman" w:hAnsi="Times New Roman" w:cs="Times New Roman"/>
                <w:sz w:val="24"/>
                <w:szCs w:val="24"/>
              </w:rPr>
              <w:lastRenderedPageBreak/>
              <w:t>Keďže táto úprava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7628AEFF" w14:textId="77777777" w:rsidTr="001E06A3">
        <w:trPr>
          <w:trHeight w:val="1417"/>
        </w:trPr>
        <w:tc>
          <w:tcPr>
            <w:tcW w:w="1384" w:type="dxa"/>
            <w:vAlign w:val="center"/>
          </w:tcPr>
          <w:p w14:paraId="3DEAD085"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4</w:t>
            </w:r>
          </w:p>
        </w:tc>
        <w:tc>
          <w:tcPr>
            <w:tcW w:w="7655" w:type="dxa"/>
          </w:tcPr>
          <w:p w14:paraId="744E4472" w14:textId="06D374AA"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(Úprava</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cenné papiere prijaté</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rámci transakcií financovania prostredníctvom cenných papierov, ktoré sa vykazujú ako aktívum)</w:t>
            </w:r>
          </w:p>
          <w:p w14:paraId="79A4CA36" w14:textId="55FE2031"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Úprava</w:t>
            </w:r>
            <w:r w:rsidR="00A3389E">
              <w:rPr>
                <w:rStyle w:val="TeksttreciPogrubienie"/>
                <w:rFonts w:ascii="Times New Roman" w:hAnsi="Times New Roman" w:cs="Times New Roman"/>
                <w:b w:val="0"/>
                <w:sz w:val="24"/>
                <w:szCs w:val="24"/>
              </w:rPr>
              <w:t xml:space="preserve"> o </w:t>
            </w:r>
            <w:r w:rsidRPr="00A3389E">
              <w:rPr>
                <w:rStyle w:val="TeksttreciPogrubienie"/>
                <w:rFonts w:ascii="Times New Roman" w:hAnsi="Times New Roman" w:cs="Times New Roman"/>
                <w:b w:val="0"/>
                <w:sz w:val="24"/>
                <w:szCs w:val="24"/>
              </w:rPr>
              <w:t>cenné papiere prijaté</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rámci transakcie financovania prostredníctvom cenných papierov, pri ktorej banka vykázala cenné papiere vo svojej súvahe ako aktívum. Tieto hodnoty sa majú vylúčiť</w:t>
            </w:r>
            <w:r w:rsidR="00A3389E">
              <w:rPr>
                <w:rStyle w:val="TeksttreciPogrubienie"/>
                <w:rFonts w:ascii="Times New Roman" w:hAnsi="Times New Roman" w:cs="Times New Roman"/>
                <w:b w:val="0"/>
                <w:sz w:val="24"/>
                <w:szCs w:val="24"/>
              </w:rPr>
              <w:t xml:space="preserve"> z </w:t>
            </w:r>
            <w:r w:rsidRPr="00A3389E">
              <w:rPr>
                <w:rStyle w:val="TeksttreciPogrubienie"/>
                <w:rFonts w:ascii="Times New Roman" w:hAnsi="Times New Roman" w:cs="Times New Roman"/>
                <w:b w:val="0"/>
                <w:sz w:val="24"/>
                <w:szCs w:val="24"/>
              </w:rPr>
              <w:t>veľkosti celkovej expozície</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súlade</w:t>
            </w:r>
            <w:r w:rsidR="00A3389E">
              <w:rPr>
                <w:rStyle w:val="TeksttreciPogrubienie"/>
                <w:rFonts w:ascii="Times New Roman" w:hAnsi="Times New Roman" w:cs="Times New Roman"/>
                <w:b w:val="0"/>
                <w:sz w:val="24"/>
                <w:szCs w:val="24"/>
              </w:rPr>
              <w:t xml:space="preserve"> s </w:t>
            </w:r>
            <w:r w:rsidRPr="00A3389E">
              <w:rPr>
                <w:rStyle w:val="TeksttreciPogrubienie"/>
                <w:rFonts w:ascii="Times New Roman" w:hAnsi="Times New Roman" w:cs="Times New Roman"/>
                <w:b w:val="0"/>
                <w:sz w:val="24"/>
                <w:szCs w:val="24"/>
              </w:rPr>
              <w:t>článkom 429e ods. 6 CRR.</w:t>
            </w:r>
          </w:p>
          <w:p w14:paraId="41EE831C" w14:textId="70B0EDDE"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b w:val="0"/>
                <w:sz w:val="24"/>
                <w:szCs w:val="24"/>
              </w:rPr>
              <w:t>Keďže úpravami uvedenými</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tomto riadku sa znižuje veľkosť celkovej expozície, inštitúcie uvádzajú hodnotu zverejnenú</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tomto riadku</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zátvorkách (záporná hodnota).</w:t>
            </w:r>
          </w:p>
        </w:tc>
      </w:tr>
      <w:tr w:rsidR="000A7015" w:rsidRPr="00A3389E" w14:paraId="6E3D844A" w14:textId="77777777" w:rsidTr="001E06A3">
        <w:trPr>
          <w:trHeight w:val="1417"/>
        </w:trPr>
        <w:tc>
          <w:tcPr>
            <w:tcW w:w="1384" w:type="dxa"/>
            <w:vAlign w:val="center"/>
          </w:tcPr>
          <w:p w14:paraId="11CE6713"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5</w:t>
            </w:r>
          </w:p>
        </w:tc>
        <w:tc>
          <w:tcPr>
            <w:tcW w:w="7655" w:type="dxa"/>
          </w:tcPr>
          <w:p w14:paraId="3654EFE3"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(Všeobecné úpravy kreditného rizika súvahových položiek)</w:t>
            </w:r>
          </w:p>
          <w:p w14:paraId="7383A2D7" w14:textId="77FFF804"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Suma všeobecných úprav kreditného rizika</w:t>
            </w:r>
            <w:r w:rsidR="00A3389E">
              <w:rPr>
                <w:rStyle w:val="TeksttreciPogrubienie"/>
                <w:rFonts w:ascii="Times New Roman" w:hAnsi="Times New Roman" w:cs="Times New Roman"/>
                <w:b w:val="0"/>
                <w:sz w:val="24"/>
                <w:szCs w:val="24"/>
              </w:rPr>
              <w:t xml:space="preserve"> o </w:t>
            </w:r>
            <w:r w:rsidRPr="00A3389E">
              <w:rPr>
                <w:rStyle w:val="TeksttreciPogrubienie"/>
                <w:rFonts w:ascii="Times New Roman" w:hAnsi="Times New Roman" w:cs="Times New Roman"/>
                <w:b w:val="0"/>
                <w:sz w:val="24"/>
                <w:szCs w:val="24"/>
              </w:rPr>
              <w:t>zodpovedajúce súvahové položky uvedené</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článku 429 ods. 4 písm. a) CRR, ktoré inštitúcie odpočítavajú</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súlade</w:t>
            </w:r>
            <w:r w:rsidR="00A3389E">
              <w:rPr>
                <w:rStyle w:val="TeksttreciPogrubienie"/>
                <w:rFonts w:ascii="Times New Roman" w:hAnsi="Times New Roman" w:cs="Times New Roman"/>
                <w:b w:val="0"/>
                <w:sz w:val="24"/>
                <w:szCs w:val="24"/>
              </w:rPr>
              <w:t xml:space="preserve"> s </w:t>
            </w:r>
            <w:r w:rsidRPr="00A3389E">
              <w:rPr>
                <w:rStyle w:val="TeksttreciPogrubienie"/>
                <w:rFonts w:ascii="Times New Roman" w:hAnsi="Times New Roman" w:cs="Times New Roman"/>
                <w:b w:val="0"/>
                <w:sz w:val="24"/>
                <w:szCs w:val="24"/>
              </w:rPr>
              <w:t>článkom 429 ods. 4 posledným pododsekom CRR.</w:t>
            </w:r>
          </w:p>
          <w:p w14:paraId="1C0B07F8" w14:textId="3213B63A"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b w:val="0"/>
                <w:sz w:val="24"/>
                <w:szCs w:val="24"/>
              </w:rPr>
              <w:t>Keďže úpravami uvedenými</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tomto riadku sa znižuje veľkosť celkovej expozície, inštitúcie uvádzajú hodnotu zverejnenú</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tomto riadku</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zátvorkách (záporná hodnota).</w:t>
            </w:r>
          </w:p>
        </w:tc>
      </w:tr>
      <w:tr w:rsidR="000A7015" w:rsidRPr="00A3389E" w14:paraId="24A5ED6A" w14:textId="77777777" w:rsidTr="00B53505">
        <w:trPr>
          <w:trHeight w:val="841"/>
        </w:trPr>
        <w:tc>
          <w:tcPr>
            <w:tcW w:w="1384" w:type="dxa"/>
            <w:vAlign w:val="center"/>
          </w:tcPr>
          <w:p w14:paraId="49090ADC"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6</w:t>
            </w:r>
          </w:p>
        </w:tc>
        <w:tc>
          <w:tcPr>
            <w:tcW w:w="7655" w:type="dxa"/>
          </w:tcPr>
          <w:p w14:paraId="7AF27D0C"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(Sumy aktív odpočítané pri stanovovaní kapitálu Tier 1)</w:t>
            </w:r>
          </w:p>
          <w:p w14:paraId="43B4417A" w14:textId="2EE6F04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429a ods. 1 písm. a)</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b)</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499 ods. 2 CRR.</w:t>
            </w:r>
          </w:p>
          <w:p w14:paraId="7540B292" w14:textId="40E5A947" w:rsidR="000A7015" w:rsidRPr="00B53505" w:rsidRDefault="000A7015" w:rsidP="001E06A3">
            <w:pPr>
              <w:pStyle w:val="Teksttreci0"/>
              <w:shd w:val="clear" w:color="auto" w:fill="auto"/>
              <w:spacing w:after="120" w:line="240" w:lineRule="auto"/>
              <w:ind w:firstLine="0"/>
              <w:rPr>
                <w:rFonts w:ascii="Times New Roman" w:hAnsi="Times New Roman" w:cs="Times New Roman"/>
                <w:spacing w:val="-6"/>
                <w:sz w:val="24"/>
                <w:szCs w:val="24"/>
              </w:rPr>
            </w:pPr>
            <w:r w:rsidRPr="00B53505">
              <w:rPr>
                <w:rFonts w:ascii="Times New Roman" w:hAnsi="Times New Roman" w:cs="Times New Roman"/>
                <w:spacing w:val="-6"/>
                <w:sz w:val="24"/>
                <w:szCs w:val="24"/>
              </w:rPr>
              <w:t>Inštitúcie zverejňujú výšku úprav regulatórnej hodnoty, ku ktorým došlo</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sumách Tier 1</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súlade</w:t>
            </w:r>
            <w:r w:rsidR="00A3389E" w:rsidRPr="00B53505">
              <w:rPr>
                <w:rFonts w:ascii="Times New Roman" w:hAnsi="Times New Roman" w:cs="Times New Roman"/>
                <w:spacing w:val="-6"/>
                <w:sz w:val="24"/>
                <w:szCs w:val="24"/>
              </w:rPr>
              <w:t xml:space="preserve"> s </w:t>
            </w:r>
            <w:r w:rsidRPr="00B53505">
              <w:rPr>
                <w:rFonts w:ascii="Times New Roman" w:hAnsi="Times New Roman" w:cs="Times New Roman"/>
                <w:spacing w:val="-6"/>
                <w:sz w:val="24"/>
                <w:szCs w:val="24"/>
              </w:rPr>
              <w:t>rozhodnutím, ktoré prijali podľa článku 499 ods. 2 CRR.</w:t>
            </w:r>
          </w:p>
          <w:p w14:paraId="4E0F6F4B" w14:textId="28912BC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konkrétnejšie zverejňujú hodnotu súčtu všetkých úprav, ktoré sú zamerané na hodnotu aktíva</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ktoré sa vyžadujú na základe:</w:t>
            </w:r>
          </w:p>
          <w:p w14:paraId="412D6B95" w14:textId="3CF928BF" w:rsidR="000A7015" w:rsidRPr="00A3389E" w:rsidRDefault="00A3389E" w:rsidP="00A3389E">
            <w:pPr>
              <w:pStyle w:val="Teksttreci0"/>
              <w:shd w:val="clear" w:color="auto" w:fill="auto"/>
              <w:tabs>
                <w:tab w:val="left" w:pos="278"/>
              </w:tabs>
              <w:spacing w:after="120" w:line="240" w:lineRule="auto"/>
              <w:ind w:firstLine="0"/>
              <w:rPr>
                <w:rFonts w:ascii="Times New Roman" w:hAnsi="Times New Roman" w:cs="Times New Roman"/>
                <w:sz w:val="24"/>
                <w:szCs w:val="24"/>
              </w:rPr>
            </w:pPr>
            <w:r w:rsidRPr="00A3389E">
              <w:rPr>
                <w:color w:val="000000"/>
              </w:rPr>
              <w:t>—</w:t>
            </w:r>
            <w:r w:rsidRPr="00A3389E">
              <w:rPr>
                <w:color w:val="000000"/>
              </w:rPr>
              <w:tab/>
            </w:r>
            <w:r w:rsidR="000A7015" w:rsidRPr="00A3389E">
              <w:rPr>
                <w:rFonts w:ascii="Times New Roman" w:hAnsi="Times New Roman" w:cs="Times New Roman"/>
                <w:sz w:val="24"/>
                <w:szCs w:val="24"/>
              </w:rPr>
              <w:t>článkov 32 až 35 CRR alebo</w:t>
            </w:r>
          </w:p>
          <w:p w14:paraId="06851D15" w14:textId="42F14537" w:rsidR="000A7015" w:rsidRPr="00A3389E" w:rsidRDefault="00A3389E" w:rsidP="00A3389E">
            <w:pPr>
              <w:pStyle w:val="Teksttreci0"/>
              <w:shd w:val="clear" w:color="auto" w:fill="auto"/>
              <w:tabs>
                <w:tab w:val="left" w:pos="278"/>
              </w:tabs>
              <w:spacing w:after="120" w:line="240" w:lineRule="auto"/>
              <w:ind w:firstLine="0"/>
              <w:rPr>
                <w:rFonts w:ascii="Times New Roman" w:hAnsi="Times New Roman" w:cs="Times New Roman"/>
                <w:sz w:val="24"/>
                <w:szCs w:val="24"/>
              </w:rPr>
            </w:pPr>
            <w:r w:rsidRPr="00A3389E">
              <w:rPr>
                <w:color w:val="000000"/>
              </w:rPr>
              <w:t>—</w:t>
            </w:r>
            <w:r w:rsidRPr="00A3389E">
              <w:rPr>
                <w:color w:val="000000"/>
              </w:rPr>
              <w:tab/>
            </w:r>
            <w:r w:rsidR="000A7015" w:rsidRPr="00A3389E">
              <w:rPr>
                <w:rFonts w:ascii="Times New Roman" w:hAnsi="Times New Roman" w:cs="Times New Roman"/>
                <w:sz w:val="24"/>
                <w:szCs w:val="24"/>
              </w:rPr>
              <w:t>článkov 36 až 47 CRR alebo</w:t>
            </w:r>
          </w:p>
          <w:p w14:paraId="3BB95BF6" w14:textId="335E47B2" w:rsidR="000A7015" w:rsidRPr="00A3389E" w:rsidRDefault="00A3389E" w:rsidP="00A3389E">
            <w:pPr>
              <w:pStyle w:val="Teksttreci0"/>
              <w:shd w:val="clear" w:color="auto" w:fill="auto"/>
              <w:tabs>
                <w:tab w:val="left" w:pos="278"/>
              </w:tabs>
              <w:spacing w:after="120" w:line="240" w:lineRule="auto"/>
              <w:ind w:firstLine="0"/>
              <w:rPr>
                <w:rFonts w:ascii="Times New Roman" w:hAnsi="Times New Roman" w:cs="Times New Roman"/>
                <w:sz w:val="24"/>
                <w:szCs w:val="24"/>
              </w:rPr>
            </w:pPr>
            <w:r w:rsidRPr="00A3389E">
              <w:rPr>
                <w:color w:val="000000"/>
              </w:rPr>
              <w:t>—</w:t>
            </w:r>
            <w:r w:rsidRPr="00A3389E">
              <w:rPr>
                <w:color w:val="000000"/>
              </w:rPr>
              <w:tab/>
            </w:r>
            <w:r w:rsidR="000A7015" w:rsidRPr="00A3389E">
              <w:rPr>
                <w:rFonts w:ascii="Times New Roman" w:hAnsi="Times New Roman" w:cs="Times New Roman"/>
                <w:sz w:val="24"/>
                <w:szCs w:val="24"/>
              </w:rPr>
              <w:t>článkov 56 až 60 CRR, podľa konkrétneho prípadu.</w:t>
            </w:r>
          </w:p>
          <w:p w14:paraId="5109C216" w14:textId="05781360" w:rsidR="000A7015" w:rsidRPr="00B53505" w:rsidRDefault="000A7015" w:rsidP="001E06A3">
            <w:pPr>
              <w:pStyle w:val="Teksttreci0"/>
              <w:shd w:val="clear" w:color="auto" w:fill="auto"/>
              <w:spacing w:after="120" w:line="240" w:lineRule="auto"/>
              <w:ind w:firstLine="0"/>
              <w:rPr>
                <w:rFonts w:ascii="Times New Roman" w:hAnsi="Times New Roman" w:cs="Times New Roman"/>
                <w:spacing w:val="-6"/>
                <w:sz w:val="24"/>
                <w:szCs w:val="24"/>
              </w:rPr>
            </w:pPr>
            <w:r w:rsidRPr="00B53505">
              <w:rPr>
                <w:rFonts w:ascii="Times New Roman" w:hAnsi="Times New Roman" w:cs="Times New Roman"/>
                <w:spacing w:val="-6"/>
                <w:sz w:val="24"/>
                <w:szCs w:val="24"/>
              </w:rPr>
              <w:t>Inštitúcie do tejto bunky zahrnú hodnotu uvedenú</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článku 429a ods. 1 písm. a) CRR.</w:t>
            </w:r>
          </w:p>
          <w:p w14:paraId="7E679809" w14:textId="576F73D7" w:rsidR="000A7015" w:rsidRPr="00B53505" w:rsidRDefault="000A7015" w:rsidP="001E06A3">
            <w:pPr>
              <w:pStyle w:val="Teksttreci0"/>
              <w:shd w:val="clear" w:color="auto" w:fill="auto"/>
              <w:spacing w:after="120" w:line="240" w:lineRule="auto"/>
              <w:ind w:firstLine="0"/>
              <w:rPr>
                <w:rFonts w:ascii="Times New Roman" w:hAnsi="Times New Roman" w:cs="Times New Roman"/>
                <w:spacing w:val="-6"/>
                <w:sz w:val="24"/>
                <w:szCs w:val="24"/>
              </w:rPr>
            </w:pPr>
            <w:r w:rsidRPr="00B53505">
              <w:rPr>
                <w:rFonts w:ascii="Times New Roman" w:hAnsi="Times New Roman" w:cs="Times New Roman"/>
                <w:spacing w:val="-6"/>
                <w:sz w:val="24"/>
                <w:szCs w:val="24"/>
              </w:rPr>
              <w:t>Ak</w:t>
            </w:r>
            <w:r w:rsidR="00A3389E" w:rsidRPr="00B53505">
              <w:rPr>
                <w:rFonts w:ascii="Times New Roman" w:hAnsi="Times New Roman" w:cs="Times New Roman"/>
                <w:spacing w:val="-6"/>
                <w:sz w:val="24"/>
                <w:szCs w:val="24"/>
              </w:rPr>
              <w:t xml:space="preserve"> k </w:t>
            </w:r>
            <w:r w:rsidRPr="00B53505">
              <w:rPr>
                <w:rFonts w:ascii="Times New Roman" w:hAnsi="Times New Roman" w:cs="Times New Roman"/>
                <w:spacing w:val="-6"/>
                <w:sz w:val="24"/>
                <w:szCs w:val="24"/>
              </w:rPr>
              <w:t>rozhodnutiu zverejniť kapitál Tier 1 dôjde</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súlade</w:t>
            </w:r>
            <w:r w:rsidR="00A3389E" w:rsidRPr="00B53505">
              <w:rPr>
                <w:rFonts w:ascii="Times New Roman" w:hAnsi="Times New Roman" w:cs="Times New Roman"/>
                <w:spacing w:val="-6"/>
                <w:sz w:val="24"/>
                <w:szCs w:val="24"/>
              </w:rPr>
              <w:t xml:space="preserve"> s </w:t>
            </w:r>
            <w:r w:rsidRPr="00B53505">
              <w:rPr>
                <w:rFonts w:ascii="Times New Roman" w:hAnsi="Times New Roman" w:cs="Times New Roman"/>
                <w:spacing w:val="-6"/>
                <w:sz w:val="24"/>
                <w:szCs w:val="24"/>
              </w:rPr>
              <w:t>článkom 499 ods. 1 písm. a) CRR, inštitúcie zohľadňujú výnimky, alternatívy</w:t>
            </w:r>
            <w:r w:rsidR="00A3389E" w:rsidRPr="00B53505">
              <w:rPr>
                <w:rFonts w:ascii="Times New Roman" w:hAnsi="Times New Roman" w:cs="Times New Roman"/>
                <w:spacing w:val="-6"/>
                <w:sz w:val="24"/>
                <w:szCs w:val="24"/>
              </w:rPr>
              <w:t xml:space="preserve"> a </w:t>
            </w:r>
            <w:r w:rsidRPr="00B53505">
              <w:rPr>
                <w:rFonts w:ascii="Times New Roman" w:hAnsi="Times New Roman" w:cs="Times New Roman"/>
                <w:spacing w:val="-6"/>
                <w:sz w:val="24"/>
                <w:szCs w:val="24"/>
              </w:rPr>
              <w:t>upustenia od takýchto odpočítaní stanovené</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článkoch 48, 49</w:t>
            </w:r>
            <w:r w:rsidR="00A3389E" w:rsidRPr="00B53505">
              <w:rPr>
                <w:rFonts w:ascii="Times New Roman" w:hAnsi="Times New Roman" w:cs="Times New Roman"/>
                <w:spacing w:val="-6"/>
                <w:sz w:val="24"/>
                <w:szCs w:val="24"/>
              </w:rPr>
              <w:t xml:space="preserve"> a </w:t>
            </w:r>
            <w:r w:rsidRPr="00B53505">
              <w:rPr>
                <w:rFonts w:ascii="Times New Roman" w:hAnsi="Times New Roman" w:cs="Times New Roman"/>
                <w:spacing w:val="-6"/>
                <w:sz w:val="24"/>
                <w:szCs w:val="24"/>
              </w:rPr>
              <w:t>79 CRR bez toho, aby zohľadňovali odchýlku stanovenú</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desiatej časti hlave I kapitolách 1</w:t>
            </w:r>
            <w:r w:rsidR="00A3389E" w:rsidRPr="00B53505">
              <w:rPr>
                <w:rFonts w:ascii="Times New Roman" w:hAnsi="Times New Roman" w:cs="Times New Roman"/>
                <w:spacing w:val="-6"/>
                <w:sz w:val="24"/>
                <w:szCs w:val="24"/>
              </w:rPr>
              <w:t xml:space="preserve"> a </w:t>
            </w:r>
            <w:r w:rsidRPr="00B53505">
              <w:rPr>
                <w:rFonts w:ascii="Times New Roman" w:hAnsi="Times New Roman" w:cs="Times New Roman"/>
                <w:spacing w:val="-6"/>
                <w:sz w:val="24"/>
                <w:szCs w:val="24"/>
              </w:rPr>
              <w:t>2 CRR. Ak na rozdiel od toho</w:t>
            </w:r>
            <w:r w:rsidR="00A3389E" w:rsidRPr="00B53505">
              <w:rPr>
                <w:rFonts w:ascii="Times New Roman" w:hAnsi="Times New Roman" w:cs="Times New Roman"/>
                <w:spacing w:val="-6"/>
                <w:sz w:val="24"/>
                <w:szCs w:val="24"/>
              </w:rPr>
              <w:t xml:space="preserve"> k </w:t>
            </w:r>
            <w:r w:rsidRPr="00B53505">
              <w:rPr>
                <w:rFonts w:ascii="Times New Roman" w:hAnsi="Times New Roman" w:cs="Times New Roman"/>
                <w:spacing w:val="-6"/>
                <w:sz w:val="24"/>
                <w:szCs w:val="24"/>
              </w:rPr>
              <w:t>rozhodnutiu zverejniť kapitál Tier 1 dôjde</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súlade</w:t>
            </w:r>
            <w:r w:rsidR="00A3389E" w:rsidRPr="00B53505">
              <w:rPr>
                <w:rFonts w:ascii="Times New Roman" w:hAnsi="Times New Roman" w:cs="Times New Roman"/>
                <w:spacing w:val="-6"/>
                <w:sz w:val="24"/>
                <w:szCs w:val="24"/>
              </w:rPr>
              <w:t xml:space="preserve"> s </w:t>
            </w:r>
            <w:r w:rsidRPr="00B53505">
              <w:rPr>
                <w:rFonts w:ascii="Times New Roman" w:hAnsi="Times New Roman" w:cs="Times New Roman"/>
                <w:spacing w:val="-6"/>
                <w:sz w:val="24"/>
                <w:szCs w:val="24"/>
              </w:rPr>
              <w:t>článkom 499 ods. 1 písm. b) CRR, inštitúcie zohľadňujú výnimky, alternatívy</w:t>
            </w:r>
            <w:r w:rsidR="00A3389E" w:rsidRPr="00B53505">
              <w:rPr>
                <w:rFonts w:ascii="Times New Roman" w:hAnsi="Times New Roman" w:cs="Times New Roman"/>
                <w:spacing w:val="-6"/>
                <w:sz w:val="24"/>
                <w:szCs w:val="24"/>
              </w:rPr>
              <w:t xml:space="preserve"> a </w:t>
            </w:r>
            <w:r w:rsidRPr="00B53505">
              <w:rPr>
                <w:rFonts w:ascii="Times New Roman" w:hAnsi="Times New Roman" w:cs="Times New Roman"/>
                <w:spacing w:val="-6"/>
                <w:sz w:val="24"/>
                <w:szCs w:val="24"/>
              </w:rPr>
              <w:t>upustenia od takýchto odpočítaní stanovené</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článkoch 48, 49</w:t>
            </w:r>
            <w:r w:rsidR="00A3389E" w:rsidRPr="00B53505">
              <w:rPr>
                <w:rFonts w:ascii="Times New Roman" w:hAnsi="Times New Roman" w:cs="Times New Roman"/>
                <w:spacing w:val="-6"/>
                <w:sz w:val="24"/>
                <w:szCs w:val="24"/>
              </w:rPr>
              <w:t xml:space="preserve"> a </w:t>
            </w:r>
            <w:r w:rsidRPr="00B53505">
              <w:rPr>
                <w:rFonts w:ascii="Times New Roman" w:hAnsi="Times New Roman" w:cs="Times New Roman"/>
                <w:spacing w:val="-6"/>
                <w:sz w:val="24"/>
                <w:szCs w:val="24"/>
              </w:rPr>
              <w:t>79 CRR, pričom zohľadňujú aj odchýlky stanovené</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desiatej časti hlave I kapitolách 1</w:t>
            </w:r>
            <w:r w:rsidR="00A3389E" w:rsidRPr="00B53505">
              <w:rPr>
                <w:rFonts w:ascii="Times New Roman" w:hAnsi="Times New Roman" w:cs="Times New Roman"/>
                <w:spacing w:val="-6"/>
                <w:sz w:val="24"/>
                <w:szCs w:val="24"/>
              </w:rPr>
              <w:t xml:space="preserve"> a </w:t>
            </w:r>
            <w:r w:rsidRPr="00B53505">
              <w:rPr>
                <w:rFonts w:ascii="Times New Roman" w:hAnsi="Times New Roman" w:cs="Times New Roman"/>
                <w:spacing w:val="-6"/>
                <w:sz w:val="24"/>
                <w:szCs w:val="24"/>
              </w:rPr>
              <w:t>2 CRR.</w:t>
            </w:r>
          </w:p>
          <w:p w14:paraId="67408D80" w14:textId="69AEE8DB" w:rsidR="000A7015" w:rsidRPr="00B53505" w:rsidRDefault="000A7015" w:rsidP="001E06A3">
            <w:pPr>
              <w:pStyle w:val="Teksttreci0"/>
              <w:shd w:val="clear" w:color="auto" w:fill="auto"/>
              <w:spacing w:after="120" w:line="240" w:lineRule="auto"/>
              <w:ind w:firstLine="0"/>
              <w:rPr>
                <w:rFonts w:ascii="Times New Roman" w:hAnsi="Times New Roman" w:cs="Times New Roman"/>
                <w:spacing w:val="-6"/>
                <w:sz w:val="24"/>
                <w:szCs w:val="24"/>
              </w:rPr>
            </w:pPr>
            <w:r w:rsidRPr="00B53505">
              <w:rPr>
                <w:rFonts w:ascii="Times New Roman" w:hAnsi="Times New Roman" w:cs="Times New Roman"/>
                <w:spacing w:val="-6"/>
                <w:sz w:val="24"/>
                <w:szCs w:val="24"/>
              </w:rPr>
              <w:t>Aby sa predišlo dvojitému započítaniu, inštitúcie nezverejňujú úpravy už uplatnené podľa článku 111 CRR, keď vypočítavajú hodnotu expozície,</w:t>
            </w:r>
            <w:r w:rsidR="00A3389E" w:rsidRPr="00B53505">
              <w:rPr>
                <w:rFonts w:ascii="Times New Roman" w:hAnsi="Times New Roman" w:cs="Times New Roman"/>
                <w:spacing w:val="-6"/>
                <w:sz w:val="24"/>
                <w:szCs w:val="24"/>
              </w:rPr>
              <w:t xml:space="preserve"> a </w:t>
            </w:r>
            <w:r w:rsidRPr="00B53505">
              <w:rPr>
                <w:rFonts w:ascii="Times New Roman" w:hAnsi="Times New Roman" w:cs="Times New Roman"/>
                <w:spacing w:val="-6"/>
                <w:sz w:val="24"/>
                <w:szCs w:val="24"/>
              </w:rPr>
              <w:t>nezverejňujú ani žiadnu úpravu, ktorou sa neodpočítava hodnota určitého aktíva.</w:t>
            </w:r>
          </w:p>
          <w:p w14:paraId="328147A2" w14:textId="4F9086E9"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53505">
              <w:rPr>
                <w:rStyle w:val="TeksttreciPogrubienie"/>
                <w:rFonts w:ascii="Times New Roman" w:hAnsi="Times New Roman" w:cs="Times New Roman"/>
                <w:b w:val="0"/>
                <w:spacing w:val="-6"/>
                <w:sz w:val="24"/>
                <w:szCs w:val="24"/>
              </w:rPr>
              <w:t>Keďže hodnotou uvedenou</w:t>
            </w:r>
            <w:r w:rsidR="00A3389E" w:rsidRPr="00B53505">
              <w:rPr>
                <w:rStyle w:val="TeksttreciPogrubienie"/>
                <w:rFonts w:ascii="Times New Roman" w:hAnsi="Times New Roman" w:cs="Times New Roman"/>
                <w:b w:val="0"/>
                <w:spacing w:val="-6"/>
                <w:sz w:val="24"/>
                <w:szCs w:val="24"/>
              </w:rPr>
              <w:t xml:space="preserve"> v </w:t>
            </w:r>
            <w:r w:rsidRPr="00B53505">
              <w:rPr>
                <w:rStyle w:val="TeksttreciPogrubienie"/>
                <w:rFonts w:ascii="Times New Roman" w:hAnsi="Times New Roman" w:cs="Times New Roman"/>
                <w:b w:val="0"/>
                <w:spacing w:val="-6"/>
                <w:sz w:val="24"/>
                <w:szCs w:val="24"/>
              </w:rPr>
              <w:t>tomto riadku sa znižuje veľkosť celkovej expozície</w:t>
            </w:r>
            <w:r w:rsidRPr="00B53505">
              <w:rPr>
                <w:rFonts w:ascii="Times New Roman" w:hAnsi="Times New Roman" w:cs="Times New Roman"/>
                <w:spacing w:val="-6"/>
                <w:sz w:val="24"/>
                <w:szCs w:val="24"/>
              </w:rPr>
              <w:t>, inštitúcie uvádzajú hodnotu zverejnenú</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tejto bunke</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zátvorkách (záporná hodnota).</w:t>
            </w:r>
          </w:p>
        </w:tc>
      </w:tr>
      <w:tr w:rsidR="000A7015" w:rsidRPr="00A3389E" w14:paraId="4CB14AB0" w14:textId="77777777" w:rsidTr="001E06A3">
        <w:trPr>
          <w:trHeight w:val="694"/>
        </w:trPr>
        <w:tc>
          <w:tcPr>
            <w:tcW w:w="1384" w:type="dxa"/>
            <w:vAlign w:val="center"/>
          </w:tcPr>
          <w:p w14:paraId="0C91D400"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7</w:t>
            </w:r>
          </w:p>
        </w:tc>
        <w:tc>
          <w:tcPr>
            <w:tcW w:w="7655" w:type="dxa"/>
          </w:tcPr>
          <w:p w14:paraId="37DD90B0" w14:textId="787481E9" w:rsidR="00A3389E"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Celkové súvahové expozície (bez derivátov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SFT)</w:t>
            </w:r>
          </w:p>
          <w:p w14:paraId="084B52B9" w14:textId="43087E2E" w:rsidR="000A7015" w:rsidRPr="00A3389E"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A3389E">
              <w:rPr>
                <w:rStyle w:val="TeksttreciPogrubienie"/>
                <w:rFonts w:ascii="Times New Roman" w:hAnsi="Times New Roman" w:cs="Times New Roman"/>
                <w:b w:val="0"/>
                <w:sz w:val="24"/>
                <w:szCs w:val="24"/>
              </w:rPr>
              <w:t>Súčet riadkov 1 až 6</w:t>
            </w:r>
          </w:p>
        </w:tc>
      </w:tr>
      <w:tr w:rsidR="000A7015" w:rsidRPr="00A3389E" w14:paraId="2062E1CD" w14:textId="77777777" w:rsidTr="001E06A3">
        <w:trPr>
          <w:trHeight w:val="1559"/>
        </w:trPr>
        <w:tc>
          <w:tcPr>
            <w:tcW w:w="1384" w:type="dxa"/>
            <w:vAlign w:val="center"/>
          </w:tcPr>
          <w:p w14:paraId="488B26B7"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8</w:t>
            </w:r>
          </w:p>
        </w:tc>
        <w:tc>
          <w:tcPr>
            <w:tcW w:w="7655" w:type="dxa"/>
          </w:tcPr>
          <w:p w14:paraId="1D592016" w14:textId="782613F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Reprodukčné náklady súvisiace</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transakciami podľa SA-CCR (t. j. po odpočítaní prípustnej hotovostnej variačnej marže)</w:t>
            </w:r>
          </w:p>
          <w:p w14:paraId="7F30AB27" w14:textId="6B83BE8C"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Články 274, 275, 295, 296, 297, 298, 429c</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429c ods. 3 CRR.</w:t>
            </w:r>
          </w:p>
          <w:p w14:paraId="0922FC18" w14:textId="6CF5E775"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súčasné reprodukčné náklady podľa článku 275 ods. 1, pokiaľ ide</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zmluvy uvedené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prílohe II</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CRR</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kreditné deriváty vrátane podsúvahových kreditných derivátov. Tieto reprodukčné náklady musia byť po odpočítaní prípustnej hotovostnej variačnej marže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429c ods. 3 CRR, pričom akákoľvek hotovostná variačná marža prijatá</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rámci vyňatej časti expozície voči centrálnej protistrane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1 písm. g) alebo h) CRR sa nezahŕňa.</w:t>
            </w:r>
          </w:p>
          <w:p w14:paraId="1E2DE130" w14:textId="2A207D42"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Ako je stanovené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429c ods. 1 CRR, inštitúcie môžu zohľadniť účinky zmlúv</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novácii</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iných dohôd</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vzájomnom započítavaní</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295 CRR. Krížové vzájomné započítavanie produktov sa neuplatňuje. Inštitúcie však môžu využívať vzájomné započítavanie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rámci kategórie produktov uvedenej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272 ods. 25 písm. c) CRR</w:t>
            </w:r>
            <w:r w:rsidR="00A3389E">
              <w:rPr>
                <w:rFonts w:ascii="Times New Roman" w:hAnsi="Times New Roman" w:cs="Times New Roman"/>
                <w:sz w:val="24"/>
                <w:szCs w:val="24"/>
              </w:rPr>
              <w:t xml:space="preserve"> a v </w:t>
            </w:r>
            <w:r w:rsidRPr="00A3389E">
              <w:rPr>
                <w:rFonts w:ascii="Times New Roman" w:hAnsi="Times New Roman" w:cs="Times New Roman"/>
                <w:sz w:val="24"/>
                <w:szCs w:val="24"/>
              </w:rPr>
              <w:t>rámci kreditných derivátov, keď sú predmetom dohody</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vzájomnom krížovom započítavaní produktov uvedenej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295 písm. c) CRR.</w:t>
            </w:r>
          </w:p>
          <w:p w14:paraId="6124B851" w14:textId="4A77141A"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do tejto bunky nezahŕňajú zmluvy oceňované uplatnením prístupov</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429c ods. 6, t. j. prístupov uvedených</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tretej časti hlave II kapitole 6 oddieloch 4 alebo 5 CRR (zjednodušený SA-CCR alebo metóda pôvodnej expozície).</w:t>
            </w:r>
          </w:p>
          <w:p w14:paraId="4462A997" w14:textId="2F5A4BE1" w:rsidR="00A3389E"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pri výpočte reprodukčných nákladov zahrnú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429c ods. 4 CRR účinok vykázania kolaterálu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rámci NICA na zmluvy</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derivátoch</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klientmi, ak tieto zmluvy zúčtováva QCCP</w:t>
            </w:r>
            <w:r w:rsidR="00A3389E" w:rsidRPr="00A3389E">
              <w:rPr>
                <w:rFonts w:ascii="Times New Roman" w:hAnsi="Times New Roman" w:cs="Times New Roman"/>
                <w:sz w:val="24"/>
                <w:szCs w:val="24"/>
              </w:rPr>
              <w:t>.</w:t>
            </w:r>
          </w:p>
          <w:p w14:paraId="52F51CE8" w14:textId="3020A2C1"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Táto suma sa zverejňuje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koeficientom alfa na úrovni 1,4 podľa článku 274 ods. 2 CRR.</w:t>
            </w:r>
          </w:p>
        </w:tc>
      </w:tr>
      <w:tr w:rsidR="000A7015" w:rsidRPr="00A3389E" w14:paraId="2C43C6A7" w14:textId="77777777" w:rsidTr="00B53505">
        <w:trPr>
          <w:trHeight w:val="1266"/>
        </w:trPr>
        <w:tc>
          <w:tcPr>
            <w:tcW w:w="1384" w:type="dxa"/>
            <w:vAlign w:val="center"/>
          </w:tcPr>
          <w:p w14:paraId="0C7D3012"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EU-8a</w:t>
            </w:r>
          </w:p>
        </w:tc>
        <w:tc>
          <w:tcPr>
            <w:tcW w:w="7655" w:type="dxa"/>
          </w:tcPr>
          <w:p w14:paraId="39A9D7AA" w14:textId="7777777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Odchýlka pre deriváty: príspevok reprodukčných nákladov podľa zjednodušeného štandardizovaného prístupu</w:t>
            </w:r>
          </w:p>
          <w:p w14:paraId="43C36648" w14:textId="2145BFC5"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Článok 429c ods. 6</w:t>
            </w:r>
            <w:r w:rsidR="00A3389E">
              <w:rPr>
                <w:rFonts w:ascii="Times New Roman" w:hAnsi="Times New Roman"/>
                <w:bCs/>
                <w:sz w:val="24"/>
                <w:szCs w:val="24"/>
              </w:rPr>
              <w:t xml:space="preserve"> a </w:t>
            </w:r>
            <w:r w:rsidRPr="00A3389E">
              <w:rPr>
                <w:rFonts w:ascii="Times New Roman" w:hAnsi="Times New Roman"/>
                <w:bCs/>
                <w:sz w:val="24"/>
                <w:szCs w:val="24"/>
              </w:rPr>
              <w:t>článok 281 CRR.</w:t>
            </w:r>
          </w:p>
          <w:p w14:paraId="3A37A39C" w14:textId="5E926D4B"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V tejto bunke sa uvádza veľkosť expozície zmlúv uvedených</w:t>
            </w:r>
            <w:r w:rsidR="00A3389E">
              <w:rPr>
                <w:rFonts w:ascii="Times New Roman" w:hAnsi="Times New Roman"/>
                <w:bCs/>
                <w:sz w:val="24"/>
                <w:szCs w:val="24"/>
              </w:rPr>
              <w:t xml:space="preserve"> v </w:t>
            </w:r>
            <w:r w:rsidRPr="00A3389E">
              <w:rPr>
                <w:rFonts w:ascii="Times New Roman" w:hAnsi="Times New Roman"/>
                <w:bCs/>
                <w:sz w:val="24"/>
                <w:szCs w:val="24"/>
              </w:rPr>
              <w:t>bodoch 1</w:t>
            </w:r>
            <w:r w:rsidR="00A3389E">
              <w:rPr>
                <w:rFonts w:ascii="Times New Roman" w:hAnsi="Times New Roman"/>
                <w:bCs/>
                <w:sz w:val="24"/>
                <w:szCs w:val="24"/>
              </w:rPr>
              <w:t xml:space="preserve"> a </w:t>
            </w:r>
            <w:r w:rsidRPr="00A3389E">
              <w:rPr>
                <w:rFonts w:ascii="Times New Roman" w:hAnsi="Times New Roman"/>
                <w:bCs/>
                <w:sz w:val="24"/>
                <w:szCs w:val="24"/>
              </w:rPr>
              <w:t>2 prílohy II</w:t>
            </w:r>
            <w:r w:rsidR="00A3389E">
              <w:rPr>
                <w:rFonts w:ascii="Times New Roman" w:hAnsi="Times New Roman"/>
                <w:bCs/>
                <w:sz w:val="24"/>
                <w:szCs w:val="24"/>
              </w:rPr>
              <w:t xml:space="preserve"> k </w:t>
            </w:r>
            <w:r w:rsidRPr="00A3389E">
              <w:rPr>
                <w:rFonts w:ascii="Times New Roman" w:hAnsi="Times New Roman"/>
                <w:bCs/>
                <w:sz w:val="24"/>
                <w:szCs w:val="24"/>
              </w:rPr>
              <w:t>CRR vypočítaná</w:t>
            </w:r>
            <w:r w:rsidR="00A3389E">
              <w:rPr>
                <w:rFonts w:ascii="Times New Roman" w:hAnsi="Times New Roman"/>
                <w:bCs/>
                <w:sz w:val="24"/>
                <w:szCs w:val="24"/>
              </w:rPr>
              <w:t xml:space="preserve"> v </w:t>
            </w:r>
            <w:r w:rsidRPr="00A3389E">
              <w:rPr>
                <w:rFonts w:ascii="Times New Roman" w:hAnsi="Times New Roman"/>
                <w:bCs/>
                <w:sz w:val="24"/>
                <w:szCs w:val="24"/>
              </w:rPr>
              <w:t>súlade so zjednodušeným štandardizovaným prístupom stanoveným</w:t>
            </w:r>
            <w:r w:rsidR="00A3389E">
              <w:rPr>
                <w:rFonts w:ascii="Times New Roman" w:hAnsi="Times New Roman"/>
                <w:bCs/>
                <w:sz w:val="24"/>
                <w:szCs w:val="24"/>
              </w:rPr>
              <w:t xml:space="preserve"> v </w:t>
            </w:r>
            <w:r w:rsidRPr="00A3389E">
              <w:rPr>
                <w:rFonts w:ascii="Times New Roman" w:hAnsi="Times New Roman"/>
                <w:bCs/>
                <w:sz w:val="24"/>
                <w:szCs w:val="24"/>
              </w:rPr>
              <w:t>článku 281 CRR bez vplyvu kolaterálu na NICA. Táto suma sa zverejňuje</w:t>
            </w:r>
            <w:r w:rsidR="00A3389E">
              <w:rPr>
                <w:rFonts w:ascii="Times New Roman" w:hAnsi="Times New Roman"/>
                <w:bCs/>
                <w:sz w:val="24"/>
                <w:szCs w:val="24"/>
              </w:rPr>
              <w:t xml:space="preserve"> s </w:t>
            </w:r>
            <w:r w:rsidRPr="00A3389E">
              <w:rPr>
                <w:rFonts w:ascii="Times New Roman" w:hAnsi="Times New Roman"/>
                <w:bCs/>
                <w:sz w:val="24"/>
                <w:szCs w:val="24"/>
              </w:rPr>
              <w:t>koeficientom alfa na úrovni 1,4, ktorý sa uplatňuje podľa článku 274 ods. 2 CRR.</w:t>
            </w:r>
          </w:p>
          <w:p w14:paraId="038C6E25" w14:textId="3FBFCEB2"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Inštitúcie, ktoré uplatňujú zjednodušený štandardizovaný prístup, neznižujú veľkosť celkovej expozície</w:t>
            </w:r>
            <w:r w:rsidR="00A3389E">
              <w:rPr>
                <w:rFonts w:ascii="Times New Roman" w:hAnsi="Times New Roman"/>
                <w:bCs/>
                <w:sz w:val="24"/>
                <w:szCs w:val="24"/>
              </w:rPr>
              <w:t xml:space="preserve"> o </w:t>
            </w:r>
            <w:r w:rsidRPr="00A3389E">
              <w:rPr>
                <w:rFonts w:ascii="Times New Roman" w:hAnsi="Times New Roman"/>
                <w:bCs/>
                <w:sz w:val="24"/>
                <w:szCs w:val="24"/>
              </w:rPr>
              <w:t>sumu marže prijatej</w:t>
            </w:r>
            <w:r w:rsidR="00A3389E">
              <w:rPr>
                <w:rFonts w:ascii="Times New Roman" w:hAnsi="Times New Roman"/>
                <w:bCs/>
                <w:sz w:val="24"/>
                <w:szCs w:val="24"/>
              </w:rPr>
              <w:t xml:space="preserve"> v </w:t>
            </w:r>
            <w:r w:rsidRPr="00A3389E">
              <w:rPr>
                <w:rFonts w:ascii="Times New Roman" w:hAnsi="Times New Roman"/>
                <w:bCs/>
                <w:sz w:val="24"/>
                <w:szCs w:val="24"/>
              </w:rPr>
              <w:t>súlade</w:t>
            </w:r>
            <w:r w:rsidR="00A3389E">
              <w:rPr>
                <w:rFonts w:ascii="Times New Roman" w:hAnsi="Times New Roman"/>
                <w:bCs/>
                <w:sz w:val="24"/>
                <w:szCs w:val="24"/>
              </w:rPr>
              <w:t xml:space="preserve"> s </w:t>
            </w:r>
            <w:r w:rsidRPr="00A3389E">
              <w:rPr>
                <w:rFonts w:ascii="Times New Roman" w:hAnsi="Times New Roman"/>
                <w:bCs/>
                <w:sz w:val="24"/>
                <w:szCs w:val="24"/>
              </w:rPr>
              <w:t>článkom 429c ods. 6 CRR.</w:t>
            </w:r>
            <w:r w:rsidRPr="00A3389E">
              <w:rPr>
                <w:rFonts w:ascii="Times New Roman" w:hAnsi="Times New Roman"/>
                <w:sz w:val="24"/>
                <w:szCs w:val="24"/>
              </w:rPr>
              <w:t xml:space="preserve"> </w:t>
            </w:r>
            <w:r w:rsidRPr="00A3389E">
              <w:rPr>
                <w:rFonts w:ascii="Times New Roman" w:hAnsi="Times New Roman"/>
                <w:bCs/>
                <w:sz w:val="24"/>
                <w:szCs w:val="24"/>
              </w:rPr>
              <w:t>Preto sa neuplatňuje výnimka pre zmluvy</w:t>
            </w:r>
            <w:r w:rsidR="00A3389E">
              <w:rPr>
                <w:rFonts w:ascii="Times New Roman" w:hAnsi="Times New Roman"/>
                <w:bCs/>
                <w:sz w:val="24"/>
                <w:szCs w:val="24"/>
              </w:rPr>
              <w:t xml:space="preserve"> o </w:t>
            </w:r>
            <w:r w:rsidRPr="00A3389E">
              <w:rPr>
                <w:rFonts w:ascii="Times New Roman" w:hAnsi="Times New Roman"/>
                <w:bCs/>
                <w:sz w:val="24"/>
                <w:szCs w:val="24"/>
              </w:rPr>
              <w:t>derivátoch</w:t>
            </w:r>
            <w:r w:rsidR="00A3389E">
              <w:rPr>
                <w:rFonts w:ascii="Times New Roman" w:hAnsi="Times New Roman"/>
                <w:bCs/>
                <w:sz w:val="24"/>
                <w:szCs w:val="24"/>
              </w:rPr>
              <w:t xml:space="preserve"> s </w:t>
            </w:r>
            <w:r w:rsidRPr="00A3389E">
              <w:rPr>
                <w:rFonts w:ascii="Times New Roman" w:hAnsi="Times New Roman"/>
                <w:bCs/>
                <w:sz w:val="24"/>
                <w:szCs w:val="24"/>
              </w:rPr>
              <w:t>klientmi, keď tieto zmluvy zúčtováva QCCP podľa článku 429c ods. 4 CRR.</w:t>
            </w:r>
          </w:p>
          <w:p w14:paraId="3D6A2615" w14:textId="325EE368"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A3389E">
              <w:rPr>
                <w:rFonts w:ascii="Times New Roman" w:hAnsi="Times New Roman" w:cs="Times New Roman"/>
                <w:bCs/>
                <w:sz w:val="24"/>
                <w:szCs w:val="24"/>
              </w:rPr>
              <w:t>Inštitúcie</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tejto bunke nezohľadňujú zmluvy oceňované uplatnením SA-CCR alebo metódy pôvodnej expozície.</w:t>
            </w:r>
            <w:r w:rsidRPr="00A3389E">
              <w:rPr>
                <w:rFonts w:ascii="Times New Roman" w:hAnsi="Times New Roman" w:cs="Times New Roman"/>
                <w:sz w:val="24"/>
                <w:szCs w:val="24"/>
              </w:rPr>
              <w:t xml:space="preserve"> </w:t>
            </w:r>
          </w:p>
        </w:tc>
      </w:tr>
      <w:tr w:rsidR="000A7015" w:rsidRPr="00A3389E" w14:paraId="2D559840" w14:textId="77777777" w:rsidTr="001E06A3">
        <w:trPr>
          <w:trHeight w:val="2265"/>
        </w:trPr>
        <w:tc>
          <w:tcPr>
            <w:tcW w:w="1384" w:type="dxa"/>
            <w:vAlign w:val="center"/>
          </w:tcPr>
          <w:p w14:paraId="3F28B209"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9</w:t>
            </w:r>
          </w:p>
        </w:tc>
        <w:tc>
          <w:tcPr>
            <w:tcW w:w="7655" w:type="dxa"/>
          </w:tcPr>
          <w:p w14:paraId="2C5FBADF" w14:textId="257C65FF" w:rsidR="00A3389E"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Dodatočné hodnoty pre potenciálnu budúcu expozíciu súvisiacu</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derivátovými transakciami podľa SA-CCR</w:t>
            </w:r>
          </w:p>
          <w:p w14:paraId="79CD7C7D" w14:textId="36FE12E5"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Články 274, 275, 295, 296, 297, 298, článok 299 ods. 2</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429c CRR.</w:t>
            </w:r>
          </w:p>
          <w:p w14:paraId="5B2DC716" w14:textId="44B24C3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dodatočnú hodnotu pre potenciálnu budúcu expozíciu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rámci zmlúv uvedených</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prílohe II</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CRR</w:t>
            </w:r>
            <w:r w:rsidR="00A3389E">
              <w:rPr>
                <w:rFonts w:ascii="Times New Roman" w:hAnsi="Times New Roman" w:cs="Times New Roman"/>
                <w:sz w:val="24"/>
                <w:szCs w:val="24"/>
              </w:rPr>
              <w:t xml:space="preserve"> a v </w:t>
            </w:r>
            <w:r w:rsidRPr="00A3389E">
              <w:rPr>
                <w:rFonts w:ascii="Times New Roman" w:hAnsi="Times New Roman" w:cs="Times New Roman"/>
                <w:sz w:val="24"/>
                <w:szCs w:val="24"/>
              </w:rPr>
              <w:t>rámci kreditných derivátov vrátane podsúvahových kreditných derivátov na základe výpočtu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278 CRR pre zmluvy uvedené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prílohe II</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CRR</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článkom 299 ods. 2 CRR pre kreditné deriváty</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pri uplatňovaní pravidiel</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vzájomnom započítavaní</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429c ods. 1 CRR. Pri určovaní hodnoty expozície uvedených zmlúv môžu inštitúcie zohľadňovať účinky zmlúv</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novácii</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iných dohôd</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vzájomnom započítavaní</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295 CRR. Krížové vzájomné započítavanie produktov sa neuplatňuje. Inštitúcie však môžu využívať vzájomné započítavanie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rámci kategórie produktov uvedenej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272 ods. 25 písm. c) CRR</w:t>
            </w:r>
            <w:r w:rsidR="00A3389E">
              <w:rPr>
                <w:rFonts w:ascii="Times New Roman" w:hAnsi="Times New Roman" w:cs="Times New Roman"/>
                <w:sz w:val="24"/>
                <w:szCs w:val="24"/>
              </w:rPr>
              <w:t xml:space="preserve"> a v </w:t>
            </w:r>
            <w:r w:rsidRPr="00A3389E">
              <w:rPr>
                <w:rFonts w:ascii="Times New Roman" w:hAnsi="Times New Roman" w:cs="Times New Roman"/>
                <w:sz w:val="24"/>
                <w:szCs w:val="24"/>
              </w:rPr>
              <w:t>rámci kreditných derivátov, keď sú predmetom dohody</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vzájomnom krížovom započítavaní produktov uvedenej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295 písm. c) CRR.</w:t>
            </w:r>
          </w:p>
          <w:p w14:paraId="063B849E" w14:textId="125297C7" w:rsidR="000A7015" w:rsidRPr="00A3389E" w:rsidRDefault="000A7015" w:rsidP="001E06A3">
            <w:pPr>
              <w:tabs>
                <w:tab w:val="left" w:pos="400"/>
              </w:tabs>
              <w:spacing w:after="120"/>
              <w:jc w:val="both"/>
              <w:rPr>
                <w:rFonts w:ascii="Times New Roman" w:hAnsi="Times New Roman" w:cs="Times New Roman"/>
                <w:sz w:val="24"/>
              </w:rPr>
            </w:pPr>
            <w:r w:rsidRPr="00A3389E">
              <w:rPr>
                <w:rFonts w:ascii="Times New Roman" w:hAnsi="Times New Roman" w:cs="Times New Roman"/>
                <w:sz w:val="24"/>
              </w:rPr>
              <w:t>V súlade</w:t>
            </w:r>
            <w:r w:rsidR="00A3389E">
              <w:rPr>
                <w:rFonts w:ascii="Times New Roman" w:hAnsi="Times New Roman" w:cs="Times New Roman"/>
                <w:sz w:val="24"/>
              </w:rPr>
              <w:t xml:space="preserve"> s </w:t>
            </w:r>
            <w:r w:rsidRPr="00A3389E">
              <w:rPr>
                <w:rFonts w:ascii="Times New Roman" w:hAnsi="Times New Roman" w:cs="Times New Roman"/>
                <w:sz w:val="24"/>
              </w:rPr>
              <w:t>článkom 429c ods. 5 CRR inštitúcie stanovia hodnotu multiplikátora použitého pri výpočte potenciálnej budúcej expozície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278 ods. 1 CRR na hodnotu jeden</w:t>
            </w:r>
            <w:r w:rsidR="00A3389E">
              <w:rPr>
                <w:rFonts w:ascii="Times New Roman" w:hAnsi="Times New Roman" w:cs="Times New Roman"/>
                <w:sz w:val="24"/>
              </w:rPr>
              <w:t xml:space="preserve"> s </w:t>
            </w:r>
            <w:r w:rsidRPr="00A3389E">
              <w:rPr>
                <w:rFonts w:ascii="Times New Roman" w:hAnsi="Times New Roman" w:cs="Times New Roman"/>
                <w:sz w:val="24"/>
              </w:rPr>
              <w:t>výnimkou prípadu zmlúv</w:t>
            </w:r>
            <w:r w:rsidR="00A3389E">
              <w:rPr>
                <w:rFonts w:ascii="Times New Roman" w:hAnsi="Times New Roman" w:cs="Times New Roman"/>
                <w:sz w:val="24"/>
              </w:rPr>
              <w:t xml:space="preserve"> o </w:t>
            </w:r>
            <w:r w:rsidRPr="00A3389E">
              <w:rPr>
                <w:rFonts w:ascii="Times New Roman" w:hAnsi="Times New Roman" w:cs="Times New Roman"/>
                <w:sz w:val="24"/>
              </w:rPr>
              <w:t>derivátoch</w:t>
            </w:r>
            <w:r w:rsidR="00A3389E">
              <w:rPr>
                <w:rFonts w:ascii="Times New Roman" w:hAnsi="Times New Roman" w:cs="Times New Roman"/>
                <w:sz w:val="24"/>
              </w:rPr>
              <w:t xml:space="preserve"> s </w:t>
            </w:r>
            <w:r w:rsidRPr="00A3389E">
              <w:rPr>
                <w:rFonts w:ascii="Times New Roman" w:hAnsi="Times New Roman" w:cs="Times New Roman"/>
                <w:sz w:val="24"/>
              </w:rPr>
              <w:t>klientmi, ak tieto zmluvy zúčtováva QCCP.</w:t>
            </w:r>
          </w:p>
          <w:p w14:paraId="345B4AE9" w14:textId="15741E29"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do tejto bunky nezahŕňajú zmluvy oceňované uplatnením prístupov</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429c ods. 6, t. j. prístupov uvedených</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tretej časti hlave II kapitole 6 oddieloch 4 alebo 5 CRR (zjednodušený SA-CCR alebo metóda pôvodnej expozície).</w:t>
            </w:r>
          </w:p>
        </w:tc>
      </w:tr>
      <w:tr w:rsidR="000A7015" w:rsidRPr="00A3389E" w14:paraId="6B4D6297" w14:textId="77777777" w:rsidTr="001E06A3">
        <w:trPr>
          <w:trHeight w:val="2265"/>
        </w:trPr>
        <w:tc>
          <w:tcPr>
            <w:tcW w:w="1384" w:type="dxa"/>
            <w:vAlign w:val="center"/>
          </w:tcPr>
          <w:p w14:paraId="47BE8D4A"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EU-9a</w:t>
            </w:r>
          </w:p>
        </w:tc>
        <w:tc>
          <w:tcPr>
            <w:tcW w:w="7655" w:type="dxa"/>
          </w:tcPr>
          <w:p w14:paraId="1E6A8A97" w14:textId="77777777" w:rsidR="00A3389E"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Odchýlka pre deriváty: Príspevok potenciálnej budúcej expozície podľa zjednodušeného štandardizovaného prístupu</w:t>
            </w:r>
          </w:p>
          <w:p w14:paraId="387AD57F" w14:textId="6F90BB33"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Článok 429c ods. 5 CRR.</w:t>
            </w:r>
          </w:p>
          <w:p w14:paraId="5B5D45F9" w14:textId="2E698FF4"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Potenciálna budúca expozícia</w:t>
            </w:r>
            <w:r w:rsidR="00A3389E">
              <w:rPr>
                <w:rFonts w:ascii="Times New Roman" w:hAnsi="Times New Roman"/>
                <w:bCs/>
                <w:sz w:val="24"/>
                <w:szCs w:val="24"/>
              </w:rPr>
              <w:t xml:space="preserve"> v </w:t>
            </w:r>
            <w:r w:rsidRPr="00A3389E">
              <w:rPr>
                <w:rFonts w:ascii="Times New Roman" w:hAnsi="Times New Roman"/>
                <w:bCs/>
                <w:sz w:val="24"/>
                <w:szCs w:val="24"/>
              </w:rPr>
              <w:t>súlade so zjednodušeným štandardizovaným prístupom stanoveným</w:t>
            </w:r>
            <w:r w:rsidR="00A3389E">
              <w:rPr>
                <w:rFonts w:ascii="Times New Roman" w:hAnsi="Times New Roman"/>
                <w:bCs/>
                <w:sz w:val="24"/>
                <w:szCs w:val="24"/>
              </w:rPr>
              <w:t xml:space="preserve"> v </w:t>
            </w:r>
            <w:r w:rsidRPr="00A3389E">
              <w:rPr>
                <w:rFonts w:ascii="Times New Roman" w:hAnsi="Times New Roman"/>
                <w:bCs/>
                <w:sz w:val="24"/>
                <w:szCs w:val="24"/>
              </w:rPr>
              <w:t>článku 281 CRR za predpokladu, že multiplikátor je rovný 1. Táto suma sa zverejňuje</w:t>
            </w:r>
            <w:r w:rsidR="00A3389E">
              <w:rPr>
                <w:rFonts w:ascii="Times New Roman" w:hAnsi="Times New Roman"/>
                <w:bCs/>
                <w:sz w:val="24"/>
                <w:szCs w:val="24"/>
              </w:rPr>
              <w:t xml:space="preserve"> s </w:t>
            </w:r>
            <w:r w:rsidRPr="00A3389E">
              <w:rPr>
                <w:rFonts w:ascii="Times New Roman" w:hAnsi="Times New Roman"/>
                <w:bCs/>
                <w:sz w:val="24"/>
                <w:szCs w:val="24"/>
              </w:rPr>
              <w:t>koeficientom alfa na úrovni 1,4, ktorý sa uplatňuje podľa článku 274 ods. 2 CRR.</w:t>
            </w:r>
          </w:p>
          <w:p w14:paraId="24523D52" w14:textId="62E4021D"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Inštitúcie, ktoré uplatňujú zjednodušený štandardizovaný prístup, neznižujú veľkosť celkovej expozície</w:t>
            </w:r>
            <w:r w:rsidR="00A3389E">
              <w:rPr>
                <w:rFonts w:ascii="Times New Roman" w:hAnsi="Times New Roman"/>
                <w:bCs/>
                <w:sz w:val="24"/>
                <w:szCs w:val="24"/>
              </w:rPr>
              <w:t xml:space="preserve"> o </w:t>
            </w:r>
            <w:r w:rsidRPr="00A3389E">
              <w:rPr>
                <w:rFonts w:ascii="Times New Roman" w:hAnsi="Times New Roman"/>
                <w:bCs/>
                <w:sz w:val="24"/>
                <w:szCs w:val="24"/>
              </w:rPr>
              <w:t>sumu marže prijatej</w:t>
            </w:r>
            <w:r w:rsidR="00A3389E">
              <w:rPr>
                <w:rFonts w:ascii="Times New Roman" w:hAnsi="Times New Roman"/>
                <w:bCs/>
                <w:sz w:val="24"/>
                <w:szCs w:val="24"/>
              </w:rPr>
              <w:t xml:space="preserve"> v </w:t>
            </w:r>
            <w:r w:rsidRPr="00A3389E">
              <w:rPr>
                <w:rFonts w:ascii="Times New Roman" w:hAnsi="Times New Roman"/>
                <w:bCs/>
                <w:sz w:val="24"/>
                <w:szCs w:val="24"/>
              </w:rPr>
              <w:t>súlade</w:t>
            </w:r>
            <w:r w:rsidR="00A3389E">
              <w:rPr>
                <w:rFonts w:ascii="Times New Roman" w:hAnsi="Times New Roman"/>
                <w:bCs/>
                <w:sz w:val="24"/>
                <w:szCs w:val="24"/>
              </w:rPr>
              <w:t xml:space="preserve"> s </w:t>
            </w:r>
            <w:r w:rsidRPr="00A3389E">
              <w:rPr>
                <w:rFonts w:ascii="Times New Roman" w:hAnsi="Times New Roman"/>
                <w:bCs/>
                <w:sz w:val="24"/>
                <w:szCs w:val="24"/>
              </w:rPr>
              <w:t>článkom 429c ods. 6 CRR. Preto sa neuplatňuje výnimka pre zmluvy</w:t>
            </w:r>
            <w:r w:rsidR="00A3389E">
              <w:rPr>
                <w:rFonts w:ascii="Times New Roman" w:hAnsi="Times New Roman"/>
                <w:bCs/>
                <w:sz w:val="24"/>
                <w:szCs w:val="24"/>
              </w:rPr>
              <w:t xml:space="preserve"> o </w:t>
            </w:r>
            <w:r w:rsidRPr="00A3389E">
              <w:rPr>
                <w:rFonts w:ascii="Times New Roman" w:hAnsi="Times New Roman"/>
                <w:bCs/>
                <w:sz w:val="24"/>
                <w:szCs w:val="24"/>
              </w:rPr>
              <w:t>derivátoch</w:t>
            </w:r>
            <w:r w:rsidR="00A3389E">
              <w:rPr>
                <w:rFonts w:ascii="Times New Roman" w:hAnsi="Times New Roman"/>
                <w:bCs/>
                <w:sz w:val="24"/>
                <w:szCs w:val="24"/>
              </w:rPr>
              <w:t xml:space="preserve"> s </w:t>
            </w:r>
            <w:r w:rsidRPr="00A3389E">
              <w:rPr>
                <w:rFonts w:ascii="Times New Roman" w:hAnsi="Times New Roman"/>
                <w:bCs/>
                <w:sz w:val="24"/>
                <w:szCs w:val="24"/>
              </w:rPr>
              <w:t>klientmi, keď tieto zmluvy zúčtováva QCCP podľa článku 429c ods. 5 CRR.</w:t>
            </w:r>
          </w:p>
          <w:p w14:paraId="020740CB" w14:textId="761DB25B"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bCs/>
                <w:sz w:val="24"/>
                <w:szCs w:val="24"/>
              </w:rPr>
              <w:t>Inštitúcie</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 xml:space="preserve">tejto bunke nezohľadňujú zmluvy oceňované uplatnením SA-CCR </w:t>
            </w:r>
            <w:r w:rsidRPr="00A3389E">
              <w:rPr>
                <w:rFonts w:ascii="Times New Roman" w:hAnsi="Times New Roman" w:cs="Times New Roman"/>
                <w:bCs/>
                <w:sz w:val="24"/>
                <w:szCs w:val="24"/>
              </w:rPr>
              <w:lastRenderedPageBreak/>
              <w:t>alebo metódy pôvodnej expozície.</w:t>
            </w:r>
          </w:p>
        </w:tc>
      </w:tr>
      <w:tr w:rsidR="000A7015" w:rsidRPr="00A3389E" w14:paraId="498F35E6" w14:textId="77777777" w:rsidTr="001E06A3">
        <w:trPr>
          <w:trHeight w:val="558"/>
        </w:trPr>
        <w:tc>
          <w:tcPr>
            <w:tcW w:w="1384" w:type="dxa"/>
            <w:vAlign w:val="center"/>
          </w:tcPr>
          <w:p w14:paraId="12CC3991"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EU-9b</w:t>
            </w:r>
          </w:p>
        </w:tc>
        <w:tc>
          <w:tcPr>
            <w:tcW w:w="7655" w:type="dxa"/>
          </w:tcPr>
          <w:p w14:paraId="3FC919B6"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Expozícia stanovená na základe metódy pôvodnej expozície</w:t>
            </w:r>
          </w:p>
          <w:p w14:paraId="20EC3123" w14:textId="2F52150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429c ods. 6</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tretia časť hlava II kapitola 6 oddiel 4 alebo 5 CRR.</w:t>
            </w:r>
          </w:p>
          <w:p w14:paraId="2025D346" w14:textId="6BA427BF"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veľkosť expozície zmlúv uvedených</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bodoch 1</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2 prílohy II</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CRR vypočítanú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metódou pôvodnej expozície stanovenou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tretej časti hlave II kapitole 6 oddieloch 4 alebo 5 CRR.</w:t>
            </w:r>
          </w:p>
          <w:p w14:paraId="6626E9D0" w14:textId="686D93F4"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ktoré uplatňujú metódu pôvodnej expozície, neznižujú veľkosť expozície</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sumu marže, ktorú prijali</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429c ods. 6 CRR.</w:t>
            </w:r>
          </w:p>
          <w:p w14:paraId="7DE4B20A"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ktoré nepoužívajú metódu pôvodnej expozície, túto bunku nezverejňujú.</w:t>
            </w:r>
          </w:p>
        </w:tc>
      </w:tr>
      <w:tr w:rsidR="000A7015" w:rsidRPr="00A3389E" w14:paraId="76736694" w14:textId="77777777" w:rsidTr="001E06A3">
        <w:trPr>
          <w:trHeight w:val="1408"/>
        </w:trPr>
        <w:tc>
          <w:tcPr>
            <w:tcW w:w="1384" w:type="dxa"/>
            <w:vAlign w:val="center"/>
          </w:tcPr>
          <w:p w14:paraId="16139398"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10</w:t>
            </w:r>
          </w:p>
        </w:tc>
        <w:tc>
          <w:tcPr>
            <w:tcW w:w="7655" w:type="dxa"/>
          </w:tcPr>
          <w:p w14:paraId="0811FC4C"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(Vyňatá časť obchodných expozícií voči centrálnej protistrane pri transakciách zúčtovávaných klientom) (SA-CCR)</w:t>
            </w:r>
          </w:p>
          <w:p w14:paraId="3508AD6D" w14:textId="701D478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429a ods. 1 písm. g)</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 CRR.</w:t>
            </w:r>
          </w:p>
          <w:p w14:paraId="28F202D2" w14:textId="72025C98" w:rsidR="000A7015" w:rsidRPr="00B53505" w:rsidRDefault="000A7015" w:rsidP="001E06A3">
            <w:pPr>
              <w:pStyle w:val="Teksttreci0"/>
              <w:shd w:val="clear" w:color="auto" w:fill="auto"/>
              <w:spacing w:after="120" w:line="240" w:lineRule="auto"/>
              <w:ind w:firstLine="0"/>
              <w:rPr>
                <w:rFonts w:ascii="Times New Roman" w:hAnsi="Times New Roman" w:cs="Times New Roman"/>
                <w:spacing w:val="-6"/>
                <w:sz w:val="24"/>
                <w:szCs w:val="24"/>
              </w:rPr>
            </w:pPr>
            <w:r w:rsidRPr="00B53505">
              <w:rPr>
                <w:rFonts w:ascii="Times New Roman" w:hAnsi="Times New Roman" w:cs="Times New Roman"/>
                <w:spacing w:val="-6"/>
                <w:sz w:val="24"/>
                <w:szCs w:val="24"/>
              </w:rPr>
              <w:t>Inštitúcie zverejňujú vyňaté obchodné expozície voči QCCP vyplývajúce</w:t>
            </w:r>
            <w:r w:rsidR="00A3389E" w:rsidRPr="00B53505">
              <w:rPr>
                <w:rFonts w:ascii="Times New Roman" w:hAnsi="Times New Roman" w:cs="Times New Roman"/>
                <w:spacing w:val="-6"/>
                <w:sz w:val="24"/>
                <w:szCs w:val="24"/>
              </w:rPr>
              <w:t xml:space="preserve"> z </w:t>
            </w:r>
            <w:r w:rsidRPr="00B53505">
              <w:rPr>
                <w:rFonts w:ascii="Times New Roman" w:hAnsi="Times New Roman" w:cs="Times New Roman"/>
                <w:spacing w:val="-6"/>
                <w:sz w:val="24"/>
                <w:szCs w:val="24"/>
              </w:rPr>
              <w:t>derivátových transakcií zúčtovávaných klientom (SA-CCR) za predpokladu, že uvedené položky spĺňajú podmienky stanovené</w:t>
            </w:r>
            <w:r w:rsidR="00A3389E" w:rsidRPr="00B53505">
              <w:rPr>
                <w:rFonts w:ascii="Times New Roman" w:hAnsi="Times New Roman" w:cs="Times New Roman"/>
                <w:spacing w:val="-6"/>
                <w:sz w:val="24"/>
                <w:szCs w:val="24"/>
              </w:rPr>
              <w:t xml:space="preserve"> v </w:t>
            </w:r>
            <w:r w:rsidRPr="00B53505">
              <w:rPr>
                <w:rFonts w:ascii="Times New Roman" w:hAnsi="Times New Roman" w:cs="Times New Roman"/>
                <w:spacing w:val="-6"/>
                <w:sz w:val="24"/>
                <w:szCs w:val="24"/>
              </w:rPr>
              <w:t>článku 306 ods. 1 písm. c) CRR.</w:t>
            </w:r>
          </w:p>
          <w:p w14:paraId="6762EC0F" w14:textId="2BD7EB56"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sa tým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tejto bunke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p w14:paraId="5906D703" w14:textId="6C3C88C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Zverejňovaná suma musí byť zahrnutá aj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uplatniteľných vyššie uvedených bunkách, ako keby sa neuplatňovalo žiadne vyňatie.</w:t>
            </w:r>
          </w:p>
        </w:tc>
      </w:tr>
      <w:tr w:rsidR="000A7015" w:rsidRPr="00A3389E" w14:paraId="5D46DF7D" w14:textId="77777777" w:rsidTr="00CE0D13">
        <w:trPr>
          <w:trHeight w:val="1266"/>
        </w:trPr>
        <w:tc>
          <w:tcPr>
            <w:tcW w:w="1384" w:type="dxa"/>
            <w:vAlign w:val="center"/>
          </w:tcPr>
          <w:p w14:paraId="44332976"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EU-10a</w:t>
            </w:r>
          </w:p>
        </w:tc>
        <w:tc>
          <w:tcPr>
            <w:tcW w:w="7655" w:type="dxa"/>
          </w:tcPr>
          <w:p w14:paraId="79CA6AB5" w14:textId="77777777" w:rsidR="000A7015" w:rsidRPr="00B53505" w:rsidRDefault="000A7015" w:rsidP="001E06A3">
            <w:pPr>
              <w:pStyle w:val="Teksttreci0"/>
              <w:shd w:val="clear" w:color="auto" w:fill="auto"/>
              <w:spacing w:after="120" w:line="240" w:lineRule="auto"/>
              <w:ind w:firstLine="0"/>
              <w:jc w:val="left"/>
              <w:rPr>
                <w:rFonts w:ascii="Times New Roman Bold" w:hAnsi="Times New Roman Bold" w:cs="Times New Roman"/>
                <w:b/>
                <w:spacing w:val="-10"/>
                <w:sz w:val="24"/>
                <w:szCs w:val="24"/>
              </w:rPr>
            </w:pPr>
            <w:r w:rsidRPr="00B53505">
              <w:rPr>
                <w:rFonts w:ascii="Times New Roman" w:hAnsi="Times New Roman" w:cs="Times New Roman"/>
                <w:b/>
                <w:spacing w:val="-6"/>
                <w:sz w:val="24"/>
                <w:szCs w:val="24"/>
              </w:rPr>
              <w:t>(</w:t>
            </w:r>
            <w:r w:rsidRPr="00B53505">
              <w:rPr>
                <w:rFonts w:ascii="Times New Roman Bold" w:hAnsi="Times New Roman Bold" w:cs="Times New Roman"/>
                <w:b/>
                <w:spacing w:val="-10"/>
                <w:sz w:val="24"/>
                <w:szCs w:val="24"/>
              </w:rPr>
              <w:t>Vyňatá časť obchodných expozícií voči centrálnej protistrane pri transakciách zúčtovávaných klientom) (zjednodušený štandardizovaný prístup)</w:t>
            </w:r>
          </w:p>
          <w:p w14:paraId="656C8F99" w14:textId="27A8228D"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Článok 429a ods. 1 písm. g)</w:t>
            </w:r>
            <w:r w:rsidR="00A3389E">
              <w:rPr>
                <w:rFonts w:ascii="Times New Roman" w:hAnsi="Times New Roman"/>
                <w:bCs/>
                <w:sz w:val="24"/>
                <w:szCs w:val="24"/>
              </w:rPr>
              <w:t xml:space="preserve"> a </w:t>
            </w:r>
            <w:r w:rsidRPr="00A3389E">
              <w:rPr>
                <w:rFonts w:ascii="Times New Roman" w:hAnsi="Times New Roman"/>
                <w:bCs/>
                <w:sz w:val="24"/>
                <w:szCs w:val="24"/>
              </w:rPr>
              <w:t>h) CRR.</w:t>
            </w:r>
          </w:p>
          <w:p w14:paraId="10CDC583" w14:textId="2A0563A9"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sz w:val="24"/>
                <w:szCs w:val="24"/>
              </w:rPr>
              <w:t xml:space="preserve">Inštitúcie zverejňujú </w:t>
            </w:r>
            <w:r w:rsidRPr="00A3389E">
              <w:rPr>
                <w:rFonts w:ascii="Times New Roman" w:hAnsi="Times New Roman"/>
                <w:bCs/>
                <w:sz w:val="24"/>
                <w:szCs w:val="24"/>
              </w:rPr>
              <w:t>vyňaté obchodné expozície voči QCCP vyplývajúce</w:t>
            </w:r>
            <w:r w:rsidR="00A3389E">
              <w:rPr>
                <w:rFonts w:ascii="Times New Roman" w:hAnsi="Times New Roman"/>
                <w:bCs/>
                <w:sz w:val="24"/>
                <w:szCs w:val="24"/>
              </w:rPr>
              <w:t xml:space="preserve"> z </w:t>
            </w:r>
            <w:r w:rsidRPr="00A3389E">
              <w:rPr>
                <w:rFonts w:ascii="Times New Roman" w:hAnsi="Times New Roman"/>
                <w:bCs/>
                <w:sz w:val="24"/>
                <w:szCs w:val="24"/>
              </w:rPr>
              <w:t>derivátových transakcií zúčtovávaných klientom (zjednodušený štandardizovaný prístup) za predpokladu, že uvedené položky spĺňajú podmienky stanovené</w:t>
            </w:r>
            <w:r w:rsidR="00A3389E">
              <w:rPr>
                <w:rFonts w:ascii="Times New Roman" w:hAnsi="Times New Roman"/>
                <w:bCs/>
                <w:sz w:val="24"/>
                <w:szCs w:val="24"/>
              </w:rPr>
              <w:t xml:space="preserve"> v </w:t>
            </w:r>
            <w:r w:rsidRPr="00A3389E">
              <w:rPr>
                <w:rFonts w:ascii="Times New Roman" w:hAnsi="Times New Roman"/>
                <w:bCs/>
                <w:sz w:val="24"/>
                <w:szCs w:val="24"/>
              </w:rPr>
              <w:t>článku 306 ods. 1 písm. c) CRR. Táto suma sa zverejňuje</w:t>
            </w:r>
            <w:r w:rsidR="00A3389E">
              <w:rPr>
                <w:rFonts w:ascii="Times New Roman" w:hAnsi="Times New Roman"/>
                <w:bCs/>
                <w:sz w:val="24"/>
                <w:szCs w:val="24"/>
              </w:rPr>
              <w:t xml:space="preserve"> s </w:t>
            </w:r>
            <w:r w:rsidRPr="00A3389E">
              <w:rPr>
                <w:rFonts w:ascii="Times New Roman" w:hAnsi="Times New Roman"/>
                <w:bCs/>
                <w:sz w:val="24"/>
                <w:szCs w:val="24"/>
              </w:rPr>
              <w:t>koeficientom alfa na úrovni 1,4, ktorý sa uplatňuje podľa článku 274 ods. 2 CRR</w:t>
            </w:r>
            <w:r w:rsidRPr="00A3389E">
              <w:rPr>
                <w:rFonts w:ascii="Times New Roman" w:hAnsi="Times New Roman"/>
                <w:sz w:val="24"/>
                <w:szCs w:val="24"/>
              </w:rPr>
              <w:t xml:space="preserve"> (záporná hodnota)</w:t>
            </w:r>
            <w:r w:rsidRPr="00A3389E">
              <w:rPr>
                <w:rFonts w:ascii="Times New Roman" w:hAnsi="Times New Roman"/>
                <w:bCs/>
                <w:sz w:val="24"/>
                <w:szCs w:val="24"/>
              </w:rPr>
              <w:t>.</w:t>
            </w:r>
          </w:p>
          <w:p w14:paraId="411EFFC4" w14:textId="6CC5FF77" w:rsidR="000A7015" w:rsidRPr="00A3389E" w:rsidRDefault="000A7015" w:rsidP="00CE0D13">
            <w:pPr>
              <w:pStyle w:val="BodyText1"/>
              <w:spacing w:line="240" w:lineRule="auto"/>
              <w:rPr>
                <w:rStyle w:val="TeksttreciPogrubienie"/>
                <w:rFonts w:ascii="Times New Roman" w:hAnsi="Times New Roman" w:cs="Times New Roman"/>
                <w:sz w:val="24"/>
                <w:szCs w:val="24"/>
              </w:rPr>
            </w:pPr>
            <w:r w:rsidRPr="00A3389E">
              <w:rPr>
                <w:rFonts w:ascii="Times New Roman" w:hAnsi="Times New Roman"/>
                <w:bCs/>
                <w:sz w:val="24"/>
                <w:szCs w:val="24"/>
              </w:rPr>
              <w:t>Zverejňovaná suma musí byť zahrnutá aj</w:t>
            </w:r>
            <w:r w:rsidR="00A3389E">
              <w:rPr>
                <w:rFonts w:ascii="Times New Roman" w:hAnsi="Times New Roman"/>
                <w:bCs/>
                <w:sz w:val="24"/>
                <w:szCs w:val="24"/>
              </w:rPr>
              <w:t xml:space="preserve"> v </w:t>
            </w:r>
            <w:r w:rsidRPr="00A3389E">
              <w:rPr>
                <w:rFonts w:ascii="Times New Roman" w:hAnsi="Times New Roman"/>
                <w:bCs/>
                <w:sz w:val="24"/>
                <w:szCs w:val="24"/>
              </w:rPr>
              <w:t>uplatniteľných vyššie uvedených bunkách, ako keby sa neuplatňovalo žiadne vyňatie.</w:t>
            </w:r>
          </w:p>
        </w:tc>
      </w:tr>
      <w:tr w:rsidR="000A7015" w:rsidRPr="00A3389E" w14:paraId="187CE006" w14:textId="77777777" w:rsidTr="001E06A3">
        <w:trPr>
          <w:trHeight w:val="558"/>
        </w:trPr>
        <w:tc>
          <w:tcPr>
            <w:tcW w:w="1384" w:type="dxa"/>
            <w:vAlign w:val="center"/>
          </w:tcPr>
          <w:p w14:paraId="02F89DB9"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EU-10b</w:t>
            </w:r>
          </w:p>
        </w:tc>
        <w:tc>
          <w:tcPr>
            <w:tcW w:w="7655" w:type="dxa"/>
          </w:tcPr>
          <w:p w14:paraId="16C7777C"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(Vyňatá časť obchodných expozícií voči centrálnej protistrane pri transakciách zúčtovávaných klientom)</w:t>
            </w:r>
            <w:r w:rsidRPr="00A3389E">
              <w:rPr>
                <w:rFonts w:ascii="Times New Roman" w:hAnsi="Times New Roman" w:cs="Times New Roman"/>
                <w:sz w:val="24"/>
                <w:szCs w:val="24"/>
              </w:rPr>
              <w:t xml:space="preserve"> </w:t>
            </w:r>
            <w:r w:rsidRPr="00A3389E">
              <w:rPr>
                <w:rStyle w:val="TeksttreciPogrubienie"/>
                <w:rFonts w:ascii="Times New Roman" w:hAnsi="Times New Roman" w:cs="Times New Roman"/>
                <w:sz w:val="24"/>
                <w:szCs w:val="24"/>
              </w:rPr>
              <w:t>(metóda pôvodnej expozície)</w:t>
            </w:r>
          </w:p>
          <w:p w14:paraId="7D3F8924" w14:textId="22AF4508"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lastRenderedPageBreak/>
              <w:t>Článok 429a ods. 1 písm. g)</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 CRR.</w:t>
            </w:r>
          </w:p>
          <w:p w14:paraId="097D2AA9" w14:textId="731CFB35"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vyňaté obchodné expozície voči QCCP vyplývajúce</w:t>
            </w:r>
            <w:r w:rsidR="00A3389E">
              <w:rPr>
                <w:rFonts w:ascii="Times New Roman" w:hAnsi="Times New Roman" w:cs="Times New Roman"/>
                <w:sz w:val="24"/>
                <w:szCs w:val="24"/>
              </w:rPr>
              <w:t xml:space="preserve"> z </w:t>
            </w:r>
            <w:r w:rsidRPr="00A3389E">
              <w:rPr>
                <w:rFonts w:ascii="Times New Roman" w:hAnsi="Times New Roman" w:cs="Times New Roman"/>
                <w:sz w:val="24"/>
                <w:szCs w:val="24"/>
              </w:rPr>
              <w:t>derivátových transakcií zúčtovávaných klientom (metóda pôvodnej expozície) za predpokladu, že uvedené položky spĺňajú podmienky stanovené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306 ods. 1 písm. c) CRR.</w:t>
            </w:r>
          </w:p>
          <w:p w14:paraId="21DA3D2F" w14:textId="64D8659C"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sa tým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tejto bunke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p w14:paraId="4C69F8DC" w14:textId="236F117D"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Zverejňovaná suma musí byť zahrnutá aj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uplatniteľných vyššie uvedených bunkách, ako keby sa neuplatňovalo žiadne vyňatie.</w:t>
            </w:r>
          </w:p>
        </w:tc>
      </w:tr>
      <w:tr w:rsidR="000A7015" w:rsidRPr="00A3389E" w14:paraId="6647A712" w14:textId="77777777" w:rsidTr="00CE0D13">
        <w:trPr>
          <w:trHeight w:val="1587"/>
        </w:trPr>
        <w:tc>
          <w:tcPr>
            <w:tcW w:w="1384" w:type="dxa"/>
            <w:vAlign w:val="center"/>
          </w:tcPr>
          <w:p w14:paraId="09AB0054"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11</w:t>
            </w:r>
          </w:p>
        </w:tc>
        <w:tc>
          <w:tcPr>
            <w:tcW w:w="7655" w:type="dxa"/>
          </w:tcPr>
          <w:p w14:paraId="00384833"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Upravená efektívna pomyselná hodnota vypísaných kreditných derivátov</w:t>
            </w:r>
          </w:p>
          <w:p w14:paraId="0A366A0D"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429d CRR.</w:t>
            </w:r>
          </w:p>
          <w:p w14:paraId="648F3DED" w14:textId="22A90E61"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zhora ohraničenú pomyselnú hodnotu vypísaných kreditných derivátov (t. j. keď inštitúcia poskytuje protistrane kreditné zabezpečenie), ako je stanovené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429d CRR.</w:t>
            </w:r>
          </w:p>
        </w:tc>
      </w:tr>
      <w:tr w:rsidR="000A7015" w:rsidRPr="00A3389E" w14:paraId="1A2D596F" w14:textId="77777777" w:rsidTr="001E06A3">
        <w:trPr>
          <w:trHeight w:val="850"/>
        </w:trPr>
        <w:tc>
          <w:tcPr>
            <w:tcW w:w="1384" w:type="dxa"/>
            <w:vAlign w:val="center"/>
          </w:tcPr>
          <w:p w14:paraId="65E1435D"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12</w:t>
            </w:r>
          </w:p>
        </w:tc>
        <w:tc>
          <w:tcPr>
            <w:tcW w:w="7655" w:type="dxa"/>
          </w:tcPr>
          <w:p w14:paraId="0DE24139" w14:textId="1E35E11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(Upravené efektívne pomyselné kompenzácie</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odpočítania dodatočných hodnôt</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prípade vypísaných kreditných derivátov)</w:t>
            </w:r>
          </w:p>
          <w:p w14:paraId="3BECD38A"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429d CRR.</w:t>
            </w:r>
          </w:p>
          <w:p w14:paraId="077C38F1" w14:textId="65BD9A2B"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zhora ohraničenú pomyselnú hodnotu kúpených kreditných derivátov (t. j. keď inštitúcia kupuje od protistrany kreditné zabezpečenie) na rovnaké referenčné názvy, ako sú tie kreditné deriváty, ktoré inštitúcia vypísala, ak sa zostatková splatnosť kúpeného zabezpečenia rovná alebo je väčšia než zostatková splatnosť predaného zabezpečenia. Takže hodnota za každý referenčný názov nesmie byť väčšia než hodnota uvedená</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riadku 11 vzoru </w:t>
            </w:r>
            <w:r w:rsidRPr="00A3389E">
              <w:rPr>
                <w:rFonts w:ascii="Times New Roman" w:hAnsi="Times New Roman" w:cs="Times New Roman"/>
                <w:color w:val="000000"/>
                <w:sz w:val="24"/>
                <w:szCs w:val="24"/>
              </w:rPr>
              <w:t xml:space="preserve">EU LR2 – </w:t>
            </w:r>
            <w:r w:rsidRPr="00A3389E">
              <w:rPr>
                <w:rFonts w:ascii="Times New Roman" w:hAnsi="Times New Roman" w:cs="Times New Roman"/>
                <w:sz w:val="24"/>
                <w:szCs w:val="24"/>
              </w:rPr>
              <w:t>LRCom.</w:t>
            </w:r>
          </w:p>
          <w:p w14:paraId="43A126EE" w14:textId="60DCFF6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sa zverejnenou hodnotou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tejto bunke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p w14:paraId="185F46D7" w14:textId="1F1424FA"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Zverejňovaná suma musí byť zahrnutá aj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predchádzajúcej bunke, ako keby sa neuplatňovala žiadna úprava.</w:t>
            </w:r>
          </w:p>
        </w:tc>
      </w:tr>
      <w:tr w:rsidR="000A7015" w:rsidRPr="00A3389E" w14:paraId="2643B59B" w14:textId="77777777" w:rsidTr="00B53505">
        <w:trPr>
          <w:trHeight w:val="712"/>
        </w:trPr>
        <w:tc>
          <w:tcPr>
            <w:tcW w:w="1384" w:type="dxa"/>
            <w:vAlign w:val="center"/>
          </w:tcPr>
          <w:p w14:paraId="58CCBB0F"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13</w:t>
            </w:r>
          </w:p>
        </w:tc>
        <w:tc>
          <w:tcPr>
            <w:tcW w:w="7655" w:type="dxa"/>
          </w:tcPr>
          <w:p w14:paraId="388D02E9" w14:textId="77777777" w:rsidR="00A3389E"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Derivátové expozície spolu</w:t>
            </w:r>
          </w:p>
          <w:p w14:paraId="1242C31C" w14:textId="78538E74" w:rsidR="000A7015" w:rsidRPr="00A3389E"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A3389E">
              <w:rPr>
                <w:rStyle w:val="TeksttreciPogrubienie"/>
                <w:rFonts w:ascii="Times New Roman" w:hAnsi="Times New Roman" w:cs="Times New Roman"/>
                <w:b w:val="0"/>
                <w:sz w:val="24"/>
                <w:szCs w:val="24"/>
              </w:rPr>
              <w:t>Súčet riadkov 8 až 12.</w:t>
            </w:r>
          </w:p>
        </w:tc>
      </w:tr>
      <w:tr w:rsidR="000A7015" w:rsidRPr="00A3389E" w14:paraId="3DF46240" w14:textId="77777777" w:rsidTr="001E06A3">
        <w:trPr>
          <w:trHeight w:val="708"/>
        </w:trPr>
        <w:tc>
          <w:tcPr>
            <w:tcW w:w="1384" w:type="dxa"/>
            <w:vAlign w:val="center"/>
          </w:tcPr>
          <w:p w14:paraId="0E9ACA23"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14</w:t>
            </w:r>
          </w:p>
        </w:tc>
        <w:tc>
          <w:tcPr>
            <w:tcW w:w="7655" w:type="dxa"/>
          </w:tcPr>
          <w:p w14:paraId="6349577C" w14:textId="40269C21"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Hrubé aktíva SFT (bez vykázania vzájomného započítania), po úprave</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transakcie na základe účtovania predajov</w:t>
            </w:r>
          </w:p>
          <w:p w14:paraId="0FAE27C9" w14:textId="5EA96B18"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 ods. 1 bod 77, článok 206</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429e ods. 6 CRR.</w:t>
            </w:r>
          </w:p>
          <w:p w14:paraId="2739078A" w14:textId="1F16D516" w:rsidR="000A7015" w:rsidRPr="00B53505" w:rsidRDefault="000A7015" w:rsidP="001E06A3">
            <w:pPr>
              <w:pStyle w:val="Teksttreci0"/>
              <w:shd w:val="clear" w:color="auto" w:fill="auto"/>
              <w:spacing w:after="120" w:line="240" w:lineRule="auto"/>
              <w:ind w:firstLine="0"/>
              <w:rPr>
                <w:rFonts w:ascii="Times New Roman" w:hAnsi="Times New Roman" w:cs="Times New Roman"/>
                <w:spacing w:val="-10"/>
                <w:sz w:val="24"/>
                <w:szCs w:val="24"/>
              </w:rPr>
            </w:pPr>
            <w:r w:rsidRPr="00B53505">
              <w:rPr>
                <w:rFonts w:ascii="Times New Roman" w:hAnsi="Times New Roman" w:cs="Times New Roman"/>
                <w:spacing w:val="-10"/>
                <w:sz w:val="24"/>
                <w:szCs w:val="24"/>
              </w:rPr>
              <w:t>Inštitúcie na základe uplatniteľného účtovného rámca zverejňujú účtovnú hodnotu tých SFT</w:t>
            </w:r>
            <w:r w:rsidR="00A3389E" w:rsidRPr="00B53505">
              <w:rPr>
                <w:rFonts w:ascii="Times New Roman" w:hAnsi="Times New Roman" w:cs="Times New Roman"/>
                <w:spacing w:val="-10"/>
                <w:sz w:val="24"/>
                <w:szCs w:val="24"/>
              </w:rPr>
              <w:t xml:space="preserve"> v </w:t>
            </w:r>
            <w:r w:rsidRPr="00B53505">
              <w:rPr>
                <w:rFonts w:ascii="Times New Roman" w:hAnsi="Times New Roman" w:cs="Times New Roman"/>
                <w:spacing w:val="-10"/>
                <w:sz w:val="24"/>
                <w:szCs w:val="24"/>
              </w:rPr>
              <w:t>súvahe, na ktoré sa vzťahuje rámcová dohoda</w:t>
            </w:r>
            <w:r w:rsidR="00A3389E" w:rsidRPr="00B53505">
              <w:rPr>
                <w:rFonts w:ascii="Times New Roman" w:hAnsi="Times New Roman" w:cs="Times New Roman"/>
                <w:spacing w:val="-10"/>
                <w:sz w:val="24"/>
                <w:szCs w:val="24"/>
              </w:rPr>
              <w:t xml:space="preserve"> o </w:t>
            </w:r>
            <w:r w:rsidRPr="00B53505">
              <w:rPr>
                <w:rFonts w:ascii="Times New Roman" w:hAnsi="Times New Roman" w:cs="Times New Roman"/>
                <w:spacing w:val="-10"/>
                <w:sz w:val="24"/>
                <w:szCs w:val="24"/>
              </w:rPr>
              <w:t>vzájomnom započítavaní, ako aj SFT, na ktoré sa takáto dohoda nevzťahuje, prípustných podľa článku 206 CRR, ak sa dané zmluvy vykazujú</w:t>
            </w:r>
            <w:r w:rsidR="00A3389E" w:rsidRPr="00B53505">
              <w:rPr>
                <w:rFonts w:ascii="Times New Roman" w:hAnsi="Times New Roman" w:cs="Times New Roman"/>
                <w:spacing w:val="-10"/>
                <w:sz w:val="24"/>
                <w:szCs w:val="24"/>
              </w:rPr>
              <w:t xml:space="preserve"> v </w:t>
            </w:r>
            <w:r w:rsidRPr="00B53505">
              <w:rPr>
                <w:rFonts w:ascii="Times New Roman" w:hAnsi="Times New Roman" w:cs="Times New Roman"/>
                <w:spacing w:val="-10"/>
                <w:sz w:val="24"/>
                <w:szCs w:val="24"/>
              </w:rPr>
              <w:t>súvahe ako aktíva,</w:t>
            </w:r>
            <w:r w:rsidR="00A3389E" w:rsidRPr="00B53505">
              <w:rPr>
                <w:rFonts w:ascii="Times New Roman" w:hAnsi="Times New Roman" w:cs="Times New Roman"/>
                <w:spacing w:val="-10"/>
                <w:sz w:val="24"/>
                <w:szCs w:val="24"/>
              </w:rPr>
              <w:t xml:space="preserve"> a </w:t>
            </w:r>
            <w:r w:rsidRPr="00B53505">
              <w:rPr>
                <w:rFonts w:ascii="Times New Roman" w:hAnsi="Times New Roman" w:cs="Times New Roman"/>
                <w:spacing w:val="-10"/>
                <w:sz w:val="24"/>
                <w:szCs w:val="24"/>
              </w:rPr>
              <w:t>to za predpokladu, že nedôjde</w:t>
            </w:r>
            <w:r w:rsidR="00A3389E" w:rsidRPr="00B53505">
              <w:rPr>
                <w:rFonts w:ascii="Times New Roman" w:hAnsi="Times New Roman" w:cs="Times New Roman"/>
                <w:spacing w:val="-10"/>
                <w:sz w:val="24"/>
                <w:szCs w:val="24"/>
              </w:rPr>
              <w:t xml:space="preserve"> k </w:t>
            </w:r>
            <w:r w:rsidRPr="00B53505">
              <w:rPr>
                <w:rFonts w:ascii="Times New Roman" w:hAnsi="Times New Roman" w:cs="Times New Roman"/>
                <w:spacing w:val="-10"/>
                <w:sz w:val="24"/>
                <w:szCs w:val="24"/>
              </w:rPr>
              <w:t>uplatneniu žiadneho prudenciálneho alebo účtovného vzájomného započítavania ani účinkov zmierňovania rizika (t. j. účtovná hodnota</w:t>
            </w:r>
            <w:r w:rsidR="00A3389E" w:rsidRPr="00B53505">
              <w:rPr>
                <w:rFonts w:ascii="Times New Roman" w:hAnsi="Times New Roman" w:cs="Times New Roman"/>
                <w:spacing w:val="-10"/>
                <w:sz w:val="24"/>
                <w:szCs w:val="24"/>
              </w:rPr>
              <w:t xml:space="preserve"> v </w:t>
            </w:r>
            <w:r w:rsidRPr="00B53505">
              <w:rPr>
                <w:rFonts w:ascii="Times New Roman" w:hAnsi="Times New Roman" w:cs="Times New Roman"/>
                <w:spacing w:val="-10"/>
                <w:sz w:val="24"/>
                <w:szCs w:val="24"/>
              </w:rPr>
              <w:t>súvahe upravená</w:t>
            </w:r>
            <w:r w:rsidR="00A3389E" w:rsidRPr="00B53505">
              <w:rPr>
                <w:rFonts w:ascii="Times New Roman" w:hAnsi="Times New Roman" w:cs="Times New Roman"/>
                <w:spacing w:val="-10"/>
                <w:sz w:val="24"/>
                <w:szCs w:val="24"/>
              </w:rPr>
              <w:t xml:space="preserve"> o </w:t>
            </w:r>
            <w:r w:rsidRPr="00B53505">
              <w:rPr>
                <w:rFonts w:ascii="Times New Roman" w:hAnsi="Times New Roman" w:cs="Times New Roman"/>
                <w:spacing w:val="-10"/>
                <w:sz w:val="24"/>
                <w:szCs w:val="24"/>
              </w:rPr>
              <w:t xml:space="preserve">účinky účtovného vzájomného </w:t>
            </w:r>
            <w:r w:rsidRPr="00B53505">
              <w:rPr>
                <w:rFonts w:ascii="Times New Roman" w:hAnsi="Times New Roman" w:cs="Times New Roman"/>
                <w:spacing w:val="-10"/>
                <w:sz w:val="24"/>
                <w:szCs w:val="24"/>
              </w:rPr>
              <w:lastRenderedPageBreak/>
              <w:t>započítavania alebo zmierňovania rizika).</w:t>
            </w:r>
          </w:p>
          <w:p w14:paraId="51E2F17A" w14:textId="24C10EAA"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 sa navyše na základe uplatniteľného účtovného rámca dosiahne pre SFT účtovanie predaja, inštitúcie vykonajú reverzne všetky účtovné záznamy súvisiace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predajom</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429e ods. 6 CRR.</w:t>
            </w:r>
          </w:p>
          <w:p w14:paraId="0A56C5F1" w14:textId="017A904D"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do tejto bunky nezahŕňajú prijatú peňažnú hotovosť ani akýkoľvek cenný papier, ktorý je poskytnutý protistrane prostredníctvom uvedených transakcií</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ktorý sa ponechal</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súvahe (t. j. nie sú splnené účtovné kritériá pre ukončenie vykazovania).</w:t>
            </w:r>
          </w:p>
        </w:tc>
      </w:tr>
      <w:tr w:rsidR="000A7015" w:rsidRPr="00A3389E" w14:paraId="297DF549" w14:textId="77777777" w:rsidTr="001E06A3">
        <w:trPr>
          <w:trHeight w:val="557"/>
        </w:trPr>
        <w:tc>
          <w:tcPr>
            <w:tcW w:w="1384" w:type="dxa"/>
            <w:vAlign w:val="center"/>
          </w:tcPr>
          <w:p w14:paraId="636A17D3" w14:textId="77777777" w:rsidR="000A7015" w:rsidRPr="00A3389E" w:rsidRDefault="000A7015" w:rsidP="001E06A3">
            <w:pPr>
              <w:pStyle w:val="Applicationdirecte"/>
              <w:spacing w:before="0"/>
              <w:jc w:val="center"/>
            </w:pPr>
            <w:r w:rsidRPr="00A3389E">
              <w:lastRenderedPageBreak/>
              <w:t>15</w:t>
            </w:r>
          </w:p>
        </w:tc>
        <w:tc>
          <w:tcPr>
            <w:tcW w:w="7655" w:type="dxa"/>
          </w:tcPr>
          <w:p w14:paraId="7820ED0A" w14:textId="21180B5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(Vzájomne započítané sumy peňažných záväzkov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peňažných pohľadávok hrubých aktív SFT)</w:t>
            </w:r>
          </w:p>
          <w:p w14:paraId="22328E59" w14:textId="60D4BB5A"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 ods. 1 bod 77, článok 206, článok 429b ods. 1 písm. b), článok 429b ods. 4</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429e ods. 6 CRR.</w:t>
            </w:r>
          </w:p>
          <w:p w14:paraId="088BAD99" w14:textId="5CB1DD52"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hodnotu peňažných záväzkov hrubých aktív SFT, ktoré boli vzájomne započítané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429b ods. 4 CRR.</w:t>
            </w:r>
          </w:p>
          <w:p w14:paraId="718F8213" w14:textId="0A1F2E24"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táto úprava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2EEFD02A" w14:textId="77777777" w:rsidTr="001E06A3">
        <w:trPr>
          <w:trHeight w:val="2265"/>
        </w:trPr>
        <w:tc>
          <w:tcPr>
            <w:tcW w:w="1384" w:type="dxa"/>
            <w:vAlign w:val="center"/>
          </w:tcPr>
          <w:p w14:paraId="6037B807"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16</w:t>
            </w:r>
          </w:p>
        </w:tc>
        <w:tc>
          <w:tcPr>
            <w:tcW w:w="7655" w:type="dxa"/>
          </w:tcPr>
          <w:p w14:paraId="549BBB75" w14:textId="69AA6FC6"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Expozícia voči kreditnému riziku protistrany</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prípade aktív SFT</w:t>
            </w:r>
          </w:p>
          <w:p w14:paraId="75736C50"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429e ods. 1 CRR.</w:t>
            </w:r>
          </w:p>
          <w:p w14:paraId="680F4015" w14:textId="6785F38F"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dodatočnú hodnotu pre kreditné riziko protistrany SFT vrátane podsúvahových SFT, stanovenú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429e ods. 2 alebo 3 CRR, podľa konkrétneho prípadu.</w:t>
            </w:r>
          </w:p>
          <w:p w14:paraId="2C1A4BC2" w14:textId="0C7B6AD8"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do tejto bunky zahŕňajú transakcie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429e ods. 7 písm. c) CRR.</w:t>
            </w:r>
          </w:p>
          <w:p w14:paraId="07D91B0F" w14:textId="7A7D5D0B"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do tejto bunky nezahŕňajú SFT,</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ktorých konajú ako zástupcovia, ak daná inštitúcia klientovi alebo protistrane poskytuje sľub odškodnenia alebo záruku obmedzenú na akýkoľvek rozdiel medzi hodnotou cenného papiera alebo hotovosti, ktorú požičal klient,</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hodnotou kolaterálu, ktorý poskytol dlžník,</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 xml:space="preserve">článkom 429e ods. 7 písm. a) CRR. </w:t>
            </w:r>
          </w:p>
        </w:tc>
      </w:tr>
      <w:tr w:rsidR="000A7015" w:rsidRPr="00A3389E" w14:paraId="3FDBFA21" w14:textId="77777777" w:rsidTr="00CE0D13">
        <w:trPr>
          <w:trHeight w:val="555"/>
        </w:trPr>
        <w:tc>
          <w:tcPr>
            <w:tcW w:w="1384" w:type="dxa"/>
            <w:vAlign w:val="center"/>
          </w:tcPr>
          <w:p w14:paraId="41119A33"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EU-16a</w:t>
            </w:r>
          </w:p>
        </w:tc>
        <w:tc>
          <w:tcPr>
            <w:tcW w:w="7655" w:type="dxa"/>
          </w:tcPr>
          <w:p w14:paraId="5B55602E" w14:textId="3AC2967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Odchýlka pre SFT: Expozícia voči kreditnému riziku protistrany</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súlade</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článkom 429e ods. 5</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článkom 222 CRR</w:t>
            </w:r>
          </w:p>
          <w:p w14:paraId="7557B3C0" w14:textId="1E54AD0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429e ods. 5</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222 CRR.</w:t>
            </w:r>
          </w:p>
          <w:p w14:paraId="4097D44C" w14:textId="54D0BD52"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dodatočnú hodnotu pre SFT vrátane podsúvahových SFT, vypočítanú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222 CRR, pričom sa uplatňuje dolné ohraničenie uplatniteľnej rizikovej váhy na úrovni 20</w:t>
            </w:r>
            <w:r w:rsidR="00A3389E">
              <w:rPr>
                <w:rFonts w:ascii="Times New Roman" w:hAnsi="Times New Roman" w:cs="Times New Roman"/>
                <w:sz w:val="24"/>
                <w:szCs w:val="24"/>
              </w:rPr>
              <w:t> %</w:t>
            </w:r>
            <w:r w:rsidRPr="00A3389E">
              <w:rPr>
                <w:rFonts w:ascii="Times New Roman" w:hAnsi="Times New Roman" w:cs="Times New Roman"/>
                <w:sz w:val="24"/>
                <w:szCs w:val="24"/>
              </w:rPr>
              <w:t>.</w:t>
            </w:r>
          </w:p>
          <w:p w14:paraId="1BB831B7" w14:textId="29307EA6"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do tejto bunky zahŕňajú transakcie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429e ods. 7 písm. c) CRR.</w:t>
            </w:r>
          </w:p>
          <w:p w14:paraId="0458059D" w14:textId="1D6710D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do tejto bunky nezahŕňajú transakcie, pre ktoré sa dodatočná hodnota danej hodnoty expozície ukazovateľa finančnej páky určuje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metódou vymedzenou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429e ods. 1 CRR.</w:t>
            </w:r>
          </w:p>
        </w:tc>
      </w:tr>
      <w:tr w:rsidR="000A7015" w:rsidRPr="00A3389E" w14:paraId="0937C469" w14:textId="77777777" w:rsidTr="001E06A3">
        <w:trPr>
          <w:trHeight w:val="1134"/>
        </w:trPr>
        <w:tc>
          <w:tcPr>
            <w:tcW w:w="1384" w:type="dxa"/>
            <w:vAlign w:val="center"/>
          </w:tcPr>
          <w:p w14:paraId="75179043"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17</w:t>
            </w:r>
          </w:p>
        </w:tc>
        <w:tc>
          <w:tcPr>
            <w:tcW w:w="7655" w:type="dxa"/>
          </w:tcPr>
          <w:p w14:paraId="24065719" w14:textId="2AC86106"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Expozície transakcií,</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ktorých inštitúcia koná ako zástupca</w:t>
            </w:r>
          </w:p>
          <w:p w14:paraId="22481E32" w14:textId="041DFB72"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429e ods. 2</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3</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429e ods. 7 písm. a) CRR.</w:t>
            </w:r>
          </w:p>
          <w:p w14:paraId="43BB1BE9" w14:textId="0095B984"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hodnotu expozície pre SFT,</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ktorých konajú ako zástupcovia, ak daná inštitúcia klientovi alebo protistrane poskytuje sľub odškodnenia alebo záruku obmedzenú na akýkoľvek rozdiel medzi hodnotou cenného papiera alebo hotovosti, ktorú požičal klient,</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hodnotou kolaterálu, ktorý poskytol dlžník,</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429e ods. 7 písm. a) CRR. Hodnota expozície pozostáva len</w:t>
            </w:r>
            <w:r w:rsidR="00A3389E">
              <w:rPr>
                <w:rFonts w:ascii="Times New Roman" w:hAnsi="Times New Roman" w:cs="Times New Roman"/>
                <w:sz w:val="24"/>
                <w:szCs w:val="24"/>
              </w:rPr>
              <w:t xml:space="preserve"> z </w:t>
            </w:r>
            <w:r w:rsidRPr="00A3389E">
              <w:rPr>
                <w:rFonts w:ascii="Times New Roman" w:hAnsi="Times New Roman" w:cs="Times New Roman"/>
                <w:sz w:val="24"/>
                <w:szCs w:val="24"/>
              </w:rPr>
              <w:t>dodatočnej hodnoty určenej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429e ods. 2 alebo 3 CRR, podľa konkrétneho prípadu.</w:t>
            </w:r>
          </w:p>
          <w:p w14:paraId="7C2A98E0" w14:textId="7BD3D28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do tejto bunky nezahŕňajú transakcie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429e ods. 7 písm. c) CRR.</w:t>
            </w:r>
          </w:p>
        </w:tc>
      </w:tr>
      <w:tr w:rsidR="000A7015" w:rsidRPr="00A3389E" w14:paraId="51C4941D" w14:textId="77777777" w:rsidTr="001E06A3">
        <w:trPr>
          <w:trHeight w:val="978"/>
        </w:trPr>
        <w:tc>
          <w:tcPr>
            <w:tcW w:w="1384" w:type="dxa"/>
            <w:vAlign w:val="center"/>
          </w:tcPr>
          <w:p w14:paraId="3B76AD83"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EU-17a</w:t>
            </w:r>
          </w:p>
        </w:tc>
        <w:tc>
          <w:tcPr>
            <w:tcW w:w="7655" w:type="dxa"/>
          </w:tcPr>
          <w:p w14:paraId="52EB4B5D"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(Vyňatá časť expozícií voči centrálnej protistrane pri transakciách SFT zúčtovávaných klientom)</w:t>
            </w:r>
          </w:p>
          <w:p w14:paraId="5BF7CF19" w14:textId="10F662CE" w:rsidR="00A3389E"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429a ods. 1 písm. g)</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h)</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306 ods. 1 písm. c) CRR</w:t>
            </w:r>
            <w:r w:rsidR="00A3389E" w:rsidRPr="00A3389E">
              <w:rPr>
                <w:rFonts w:ascii="Times New Roman" w:hAnsi="Times New Roman" w:cs="Times New Roman"/>
                <w:sz w:val="24"/>
                <w:szCs w:val="24"/>
              </w:rPr>
              <w:t>.</w:t>
            </w:r>
          </w:p>
          <w:p w14:paraId="32B90079" w14:textId="052ECCC4"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vyňatú časť obchodných expozícií SFT zúčtovávaných klientom prostredníctvom kvalifikovanej centrálnej protistrany za predpokladu, že uvedené položky spĺňajú podmienky stanovené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306 ods. 1 písm. c) CRR.</w:t>
            </w:r>
          </w:p>
          <w:p w14:paraId="7E53E936" w14:textId="25282989"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 vyňatá časť expozície zúčtovávanej prostredníctvom centrálnej protistrany je cenným papierom, nezahŕňa sa do tejto bunky, ak nejde</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opätovne založený cenný papier, ktorý sa na základe uplatniteľného účtovného rámca (t. 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111 ods. 1 prvou vetou CRR) zahŕňa</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plnej hodnote.</w:t>
            </w:r>
          </w:p>
          <w:p w14:paraId="7426B2DA" w14:textId="76847FD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táto úprava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p w14:paraId="0BA84751" w14:textId="2A5F7B92"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Zverejňovaná suma musí byť zahrnutá aj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uplatniteľných vyššie uvedených bunkách, ako keby sa neuplatňovalo žiadne vyňatie.</w:t>
            </w:r>
          </w:p>
        </w:tc>
      </w:tr>
      <w:tr w:rsidR="000A7015" w:rsidRPr="00A3389E" w14:paraId="13C88144" w14:textId="77777777" w:rsidTr="001E06A3">
        <w:trPr>
          <w:trHeight w:val="862"/>
        </w:trPr>
        <w:tc>
          <w:tcPr>
            <w:tcW w:w="1384" w:type="dxa"/>
            <w:vAlign w:val="center"/>
          </w:tcPr>
          <w:p w14:paraId="7D730462"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18</w:t>
            </w:r>
          </w:p>
        </w:tc>
        <w:tc>
          <w:tcPr>
            <w:tcW w:w="7655" w:type="dxa"/>
          </w:tcPr>
          <w:p w14:paraId="407C1A5D"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Celkové expozície voči transakciám financovania prostredníctvom cenných papierov</w:t>
            </w:r>
          </w:p>
          <w:p w14:paraId="740C37E0"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A3389E">
              <w:rPr>
                <w:rStyle w:val="TeksttreciPogrubienie"/>
                <w:rFonts w:ascii="Times New Roman" w:hAnsi="Times New Roman" w:cs="Times New Roman"/>
                <w:b w:val="0"/>
                <w:sz w:val="24"/>
                <w:szCs w:val="24"/>
              </w:rPr>
              <w:t>Súčet riadkov 14 až EU-17a.</w:t>
            </w:r>
          </w:p>
        </w:tc>
      </w:tr>
      <w:tr w:rsidR="000A7015" w:rsidRPr="00A3389E" w14:paraId="61895325" w14:textId="77777777" w:rsidTr="001E06A3">
        <w:trPr>
          <w:trHeight w:val="1590"/>
        </w:trPr>
        <w:tc>
          <w:tcPr>
            <w:tcW w:w="1384" w:type="dxa"/>
            <w:vAlign w:val="center"/>
          </w:tcPr>
          <w:p w14:paraId="0E13CEF8"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19</w:t>
            </w:r>
          </w:p>
        </w:tc>
        <w:tc>
          <w:tcPr>
            <w:tcW w:w="7655" w:type="dxa"/>
          </w:tcPr>
          <w:p w14:paraId="28F7BB97" w14:textId="248DE12A"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Podsúvahové expozície</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hrubej pomyselnej hodnote</w:t>
            </w:r>
          </w:p>
          <w:p w14:paraId="42E44BE0"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429f CRR.</w:t>
            </w:r>
          </w:p>
          <w:p w14:paraId="4B3F96CF" w14:textId="46071A8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nominálnu hodnotu všetkých podsúvahových položiek podľa vymedzenia</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429f CRR pred akoukoľvek úpravou</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konverzné faktory</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špecifické úpravy kreditného rizika.</w:t>
            </w:r>
          </w:p>
        </w:tc>
      </w:tr>
      <w:tr w:rsidR="000A7015" w:rsidRPr="00A3389E" w14:paraId="6A325981" w14:textId="77777777" w:rsidTr="001E06A3">
        <w:trPr>
          <w:trHeight w:val="1530"/>
        </w:trPr>
        <w:tc>
          <w:tcPr>
            <w:tcW w:w="1384" w:type="dxa"/>
            <w:vAlign w:val="center"/>
          </w:tcPr>
          <w:p w14:paraId="6C47AB60"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20</w:t>
            </w:r>
          </w:p>
        </w:tc>
        <w:tc>
          <w:tcPr>
            <w:tcW w:w="7655" w:type="dxa"/>
          </w:tcPr>
          <w:p w14:paraId="14866229" w14:textId="5FF69638"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(Úpravy</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konverziu na ekvivalentnú výšku úveru)</w:t>
            </w:r>
          </w:p>
          <w:p w14:paraId="0270821C"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429f CRR.</w:t>
            </w:r>
          </w:p>
          <w:p w14:paraId="313C1D07" w14:textId="660CBFA8"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Zníženie hrubej sumy podsúvahových expozícií</w:t>
            </w:r>
            <w:r w:rsidR="00A3389E">
              <w:rPr>
                <w:rFonts w:ascii="Times New Roman" w:hAnsi="Times New Roman" w:cs="Times New Roman"/>
                <w:sz w:val="24"/>
                <w:szCs w:val="24"/>
              </w:rPr>
              <w:t xml:space="preserve"> z </w:t>
            </w:r>
            <w:r w:rsidRPr="00A3389E">
              <w:rPr>
                <w:rFonts w:ascii="Times New Roman" w:hAnsi="Times New Roman" w:cs="Times New Roman"/>
                <w:sz w:val="24"/>
                <w:szCs w:val="24"/>
              </w:rPr>
              <w:t>dôvodu uplatnenia CCF. Keďže sa ňou znižuje veľkosť celkovej expozície, hodnota zverejnená</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 prispieva záporne</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výpočtu súčtu, ktorý sa má zverejniť</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riadku 22 vzoru </w:t>
            </w:r>
            <w:r w:rsidRPr="00A3389E">
              <w:rPr>
                <w:rFonts w:ascii="Times New Roman" w:hAnsi="Times New Roman" w:cs="Times New Roman"/>
                <w:color w:val="000000"/>
                <w:sz w:val="24"/>
                <w:szCs w:val="24"/>
              </w:rPr>
              <w:t>EU LR2 –</w:t>
            </w:r>
            <w:r w:rsidRPr="00A3389E">
              <w:rPr>
                <w:rFonts w:ascii="Times New Roman" w:hAnsi="Times New Roman" w:cs="Times New Roman"/>
                <w:sz w:val="24"/>
                <w:szCs w:val="24"/>
              </w:rPr>
              <w:t xml:space="preserve"> LRCom.</w:t>
            </w:r>
          </w:p>
        </w:tc>
      </w:tr>
      <w:tr w:rsidR="000A7015" w:rsidRPr="00A3389E" w14:paraId="704940CA" w14:textId="77777777" w:rsidTr="00B53505">
        <w:trPr>
          <w:trHeight w:val="1550"/>
        </w:trPr>
        <w:tc>
          <w:tcPr>
            <w:tcW w:w="1384" w:type="dxa"/>
            <w:vAlign w:val="center"/>
          </w:tcPr>
          <w:p w14:paraId="28A0910B"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21</w:t>
            </w:r>
          </w:p>
        </w:tc>
        <w:tc>
          <w:tcPr>
            <w:tcW w:w="7655" w:type="dxa"/>
          </w:tcPr>
          <w:p w14:paraId="32E90B0B" w14:textId="687B606C"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(Všeobecné rezervy odpočítané pri stanovovaní kapitálu Tier 1</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osobitné rezervy súvisiace</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podsúvahovými expozíciami)</w:t>
            </w:r>
          </w:p>
          <w:p w14:paraId="315979BE" w14:textId="58D51759"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 ods. 4</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429f</w:t>
            </w:r>
            <w:r w:rsidRPr="00A3389E">
              <w:rPr>
                <w:rFonts w:ascii="Times New Roman" w:hAnsi="Times New Roman" w:cs="Times New Roman"/>
                <w:bCs/>
                <w:sz w:val="24"/>
                <w:szCs w:val="24"/>
              </w:rPr>
              <w:t xml:space="preserve"> ods. 1</w:t>
            </w:r>
            <w:r w:rsidR="00A3389E">
              <w:rPr>
                <w:rFonts w:ascii="Times New Roman" w:hAnsi="Times New Roman" w:cs="Times New Roman"/>
                <w:bCs/>
                <w:sz w:val="24"/>
                <w:szCs w:val="24"/>
              </w:rPr>
              <w:t xml:space="preserve"> a </w:t>
            </w:r>
            <w:r w:rsidRPr="00A3389E">
              <w:rPr>
                <w:rFonts w:ascii="Times New Roman" w:hAnsi="Times New Roman" w:cs="Times New Roman"/>
                <w:sz w:val="24"/>
                <w:szCs w:val="24"/>
              </w:rPr>
              <w:t>2</w:t>
            </w:r>
            <w:r w:rsidRPr="00A3389E">
              <w:rPr>
                <w:rStyle w:val="TeksttreciPogrubienie"/>
                <w:rFonts w:ascii="Times New Roman" w:hAnsi="Times New Roman" w:cs="Times New Roman"/>
                <w:sz w:val="24"/>
                <w:szCs w:val="24"/>
              </w:rPr>
              <w:t xml:space="preserve"> </w:t>
            </w:r>
            <w:r w:rsidRPr="00A3389E">
              <w:rPr>
                <w:rFonts w:ascii="Times New Roman" w:hAnsi="Times New Roman" w:cs="Times New Roman"/>
                <w:sz w:val="24"/>
                <w:szCs w:val="24"/>
              </w:rPr>
              <w:t>CRR.</w:t>
            </w:r>
          </w:p>
          <w:p w14:paraId="0602D6AC" w14:textId="685C089D" w:rsidR="00A3389E"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môžu znížiť ekvivalentnú sumu expozície voči kreditnému riziku podsúvahovej položky</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zodpovedajúcu sumu všeobecných úprav kreditného rizika, ktoré sa odpočítavajú od kapitálu Tier 1. Na výpočet sa vzťahuje minimálna nulová hodnota</w:t>
            </w:r>
            <w:r w:rsidR="00A3389E" w:rsidRPr="00A3389E">
              <w:rPr>
                <w:rFonts w:ascii="Times New Roman" w:hAnsi="Times New Roman" w:cs="Times New Roman"/>
                <w:sz w:val="24"/>
                <w:szCs w:val="24"/>
              </w:rPr>
              <w:t>.</w:t>
            </w:r>
          </w:p>
          <w:p w14:paraId="26909E9B" w14:textId="3CDFF0B9" w:rsidR="00A3389E"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môžu znížiť ekvivalentnú sumu expozície voči kreditnému riziku podsúvahovej položky</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zodpovedajúcu sumu špecifických úprav kreditného rizika. Na výpočet sa vzťahuje minimálna nulová hodnota</w:t>
            </w:r>
            <w:r w:rsidR="00A3389E" w:rsidRPr="00A3389E">
              <w:rPr>
                <w:rFonts w:ascii="Times New Roman" w:hAnsi="Times New Roman" w:cs="Times New Roman"/>
                <w:sz w:val="24"/>
                <w:szCs w:val="24"/>
              </w:rPr>
              <w:t>.</w:t>
            </w:r>
          </w:p>
          <w:p w14:paraId="3AFCB32A" w14:textId="140905BE" w:rsidR="00A3389E"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Absolútna hodnota týchto úprav kreditného rizika nesmie presiahnuť súčet riadkov 19</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20</w:t>
            </w:r>
            <w:r w:rsidR="00A3389E" w:rsidRPr="00A3389E">
              <w:rPr>
                <w:rFonts w:ascii="Times New Roman" w:hAnsi="Times New Roman" w:cs="Times New Roman"/>
                <w:sz w:val="24"/>
                <w:szCs w:val="24"/>
              </w:rPr>
              <w:t>.</w:t>
            </w:r>
          </w:p>
          <w:p w14:paraId="7F73C050" w14:textId="11AE21CB"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sa týmito úpravami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p w14:paraId="16A5C37D"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Zverejňovaná suma sa zahŕňa aj do uplatniteľných vyššie uvedených buniek, ako keby sa toto zníženie neuplatňovalo.</w:t>
            </w:r>
          </w:p>
        </w:tc>
      </w:tr>
      <w:tr w:rsidR="000A7015" w:rsidRPr="00A3389E" w14:paraId="3A70EFA6" w14:textId="77777777" w:rsidTr="001E06A3">
        <w:trPr>
          <w:trHeight w:val="805"/>
        </w:trPr>
        <w:tc>
          <w:tcPr>
            <w:tcW w:w="1384" w:type="dxa"/>
            <w:vAlign w:val="center"/>
          </w:tcPr>
          <w:p w14:paraId="45476FEE"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22</w:t>
            </w:r>
          </w:p>
        </w:tc>
        <w:tc>
          <w:tcPr>
            <w:tcW w:w="7655" w:type="dxa"/>
          </w:tcPr>
          <w:p w14:paraId="0E4CD48E" w14:textId="77777777" w:rsidR="00A3389E"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Podsúvahové expozície</w:t>
            </w:r>
          </w:p>
          <w:p w14:paraId="240E62FD" w14:textId="344C0136" w:rsidR="000A7015" w:rsidRPr="00B53505" w:rsidRDefault="000A7015" w:rsidP="001E06A3">
            <w:pPr>
              <w:pStyle w:val="Teksttreci0"/>
              <w:shd w:val="clear" w:color="auto" w:fill="auto"/>
              <w:spacing w:after="120" w:line="240" w:lineRule="auto"/>
              <w:ind w:firstLine="0"/>
              <w:rPr>
                <w:rFonts w:ascii="Times New Roman" w:hAnsi="Times New Roman" w:cs="Times New Roman"/>
                <w:spacing w:val="-4"/>
                <w:sz w:val="24"/>
                <w:szCs w:val="24"/>
              </w:rPr>
            </w:pPr>
            <w:r w:rsidRPr="00B53505">
              <w:rPr>
                <w:rFonts w:ascii="Times New Roman" w:hAnsi="Times New Roman" w:cs="Times New Roman"/>
                <w:spacing w:val="-4"/>
                <w:sz w:val="24"/>
                <w:szCs w:val="24"/>
              </w:rPr>
              <w:t>Článok 429f, článok 111 ods. 1</w:t>
            </w:r>
            <w:r w:rsidR="00A3389E" w:rsidRPr="00B53505">
              <w:rPr>
                <w:rFonts w:ascii="Times New Roman" w:hAnsi="Times New Roman" w:cs="Times New Roman"/>
                <w:spacing w:val="-4"/>
                <w:sz w:val="24"/>
                <w:szCs w:val="24"/>
              </w:rPr>
              <w:t xml:space="preserve"> a </w:t>
            </w:r>
            <w:r w:rsidRPr="00B53505">
              <w:rPr>
                <w:rFonts w:ascii="Times New Roman" w:hAnsi="Times New Roman" w:cs="Times New Roman"/>
                <w:spacing w:val="-4"/>
                <w:sz w:val="24"/>
                <w:szCs w:val="24"/>
              </w:rPr>
              <w:t>článok 166 ods. 9 CRR; súčet riadkov 19 až 21.</w:t>
            </w:r>
          </w:p>
          <w:p w14:paraId="56F850B6" w14:textId="6FED02B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hodnoty expozície ukazovateľa finančnej páky pre podsúvahové položky stanovené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429f CRR, pričom zohľadňujú relevantné konverzné faktory.</w:t>
            </w:r>
          </w:p>
          <w:p w14:paraId="0F3D36EE" w14:textId="01A7B1FA"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 xml:space="preserve">Inštitúcie zohľadňujú to, že riadky 20 – 21 vzoru </w:t>
            </w:r>
            <w:r w:rsidRPr="00A3389E">
              <w:rPr>
                <w:rFonts w:ascii="Times New Roman" w:hAnsi="Times New Roman" w:cs="Times New Roman"/>
                <w:color w:val="000000"/>
                <w:sz w:val="24"/>
                <w:szCs w:val="24"/>
              </w:rPr>
              <w:t>EU LR2 –</w:t>
            </w:r>
            <w:r w:rsidRPr="00A3389E">
              <w:rPr>
                <w:rFonts w:ascii="Times New Roman" w:hAnsi="Times New Roman" w:cs="Times New Roman"/>
                <w:sz w:val="24"/>
                <w:szCs w:val="24"/>
              </w:rPr>
              <w:t xml:space="preserve"> LRCom prispievajú</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výpočtu tohto súčtu záporne.</w:t>
            </w:r>
          </w:p>
        </w:tc>
      </w:tr>
      <w:tr w:rsidR="000A7015" w:rsidRPr="00A3389E" w14:paraId="54E937B5" w14:textId="77777777" w:rsidTr="001E06A3">
        <w:trPr>
          <w:trHeight w:val="274"/>
        </w:trPr>
        <w:tc>
          <w:tcPr>
            <w:tcW w:w="1384" w:type="dxa"/>
            <w:vAlign w:val="center"/>
          </w:tcPr>
          <w:p w14:paraId="19A68D12"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EU-22a</w:t>
            </w:r>
          </w:p>
        </w:tc>
        <w:tc>
          <w:tcPr>
            <w:tcW w:w="7655" w:type="dxa"/>
          </w:tcPr>
          <w:p w14:paraId="257EB63F" w14:textId="27D03736"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[Expozície vylúčené</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veľkosti celkovej expozície</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súlade</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článkom 429a ods. 1 písm. c) CRR]</w:t>
            </w:r>
          </w:p>
          <w:p w14:paraId="0922460A" w14:textId="0FC9D3B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429a ods. 1 písm. c)</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113 ods. 6</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7 CRR.</w:t>
            </w:r>
          </w:p>
          <w:p w14:paraId="3762DDA0" w14:textId="1AA1BB6C" w:rsidR="00A3389E" w:rsidRPr="00B53505" w:rsidRDefault="000A7015" w:rsidP="001E06A3">
            <w:pPr>
              <w:pStyle w:val="Teksttreci0"/>
              <w:shd w:val="clear" w:color="auto" w:fill="auto"/>
              <w:spacing w:after="120" w:line="240" w:lineRule="auto"/>
              <w:ind w:firstLine="0"/>
              <w:rPr>
                <w:rFonts w:ascii="Times New Roman" w:hAnsi="Times New Roman" w:cs="Times New Roman"/>
                <w:spacing w:val="-4"/>
                <w:sz w:val="24"/>
                <w:szCs w:val="24"/>
              </w:rPr>
            </w:pPr>
            <w:r w:rsidRPr="00B53505">
              <w:rPr>
                <w:rFonts w:ascii="Times New Roman" w:hAnsi="Times New Roman" w:cs="Times New Roman"/>
                <w:spacing w:val="-4"/>
                <w:sz w:val="24"/>
                <w:szCs w:val="24"/>
              </w:rPr>
              <w:t>Inštitúcie zverejňujú expozície vyňaté</w:t>
            </w:r>
            <w:r w:rsidR="00A3389E" w:rsidRPr="00B53505">
              <w:rPr>
                <w:rFonts w:ascii="Times New Roman" w:hAnsi="Times New Roman" w:cs="Times New Roman"/>
                <w:spacing w:val="-4"/>
                <w:sz w:val="24"/>
                <w:szCs w:val="24"/>
              </w:rPr>
              <w:t xml:space="preserve"> v </w:t>
            </w:r>
            <w:r w:rsidRPr="00B53505">
              <w:rPr>
                <w:rFonts w:ascii="Times New Roman" w:hAnsi="Times New Roman" w:cs="Times New Roman"/>
                <w:spacing w:val="-4"/>
                <w:sz w:val="24"/>
                <w:szCs w:val="24"/>
              </w:rPr>
              <w:t>súlade</w:t>
            </w:r>
            <w:r w:rsidR="00A3389E" w:rsidRPr="00B53505">
              <w:rPr>
                <w:rFonts w:ascii="Times New Roman" w:hAnsi="Times New Roman" w:cs="Times New Roman"/>
                <w:spacing w:val="-4"/>
                <w:sz w:val="24"/>
                <w:szCs w:val="24"/>
              </w:rPr>
              <w:t xml:space="preserve"> s </w:t>
            </w:r>
            <w:r w:rsidRPr="00B53505">
              <w:rPr>
                <w:rFonts w:ascii="Times New Roman" w:hAnsi="Times New Roman" w:cs="Times New Roman"/>
                <w:spacing w:val="-4"/>
                <w:sz w:val="24"/>
                <w:szCs w:val="24"/>
              </w:rPr>
              <w:t>článkom 429a ods. 1 písm. c)</w:t>
            </w:r>
            <w:r w:rsidR="00A3389E" w:rsidRPr="00B53505">
              <w:rPr>
                <w:rFonts w:ascii="Times New Roman" w:hAnsi="Times New Roman" w:cs="Times New Roman"/>
                <w:spacing w:val="-4"/>
                <w:sz w:val="24"/>
                <w:szCs w:val="24"/>
              </w:rPr>
              <w:t>.</w:t>
            </w:r>
          </w:p>
          <w:p w14:paraId="3C969589" w14:textId="0B7234D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Zverejňovaná suma sa zahŕňa aj do uplatniteľných vyššie uvedených buniek, ako keby sa neuplatňovalo žiadne vyňatie.</w:t>
            </w:r>
          </w:p>
          <w:p w14:paraId="77F3895A" w14:textId="0EEA1C7D"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táto hodnota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31E2AE09" w14:textId="77777777" w:rsidTr="00CE0D13">
        <w:trPr>
          <w:trHeight w:val="129"/>
        </w:trPr>
        <w:tc>
          <w:tcPr>
            <w:tcW w:w="1384" w:type="dxa"/>
            <w:vAlign w:val="center"/>
          </w:tcPr>
          <w:p w14:paraId="120AF7E5"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EU-22b</w:t>
            </w:r>
          </w:p>
        </w:tc>
        <w:tc>
          <w:tcPr>
            <w:tcW w:w="7655" w:type="dxa"/>
          </w:tcPr>
          <w:p w14:paraId="49D4B733" w14:textId="19E53498"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[Expozície vyňaté</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súlade</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článkom</w:t>
            </w:r>
            <w:r w:rsidRPr="00A3389E">
              <w:rPr>
                <w:rFonts w:ascii="Times New Roman" w:hAnsi="Times New Roman" w:cs="Times New Roman"/>
                <w:b/>
                <w:sz w:val="24"/>
                <w:szCs w:val="24"/>
              </w:rPr>
              <w:t xml:space="preserve"> 429a ods. 1</w:t>
            </w:r>
            <w:r w:rsidRPr="00A3389E">
              <w:rPr>
                <w:rStyle w:val="TeksttreciPogrubienie"/>
                <w:rFonts w:ascii="Times New Roman" w:hAnsi="Times New Roman" w:cs="Times New Roman"/>
                <w:sz w:val="24"/>
                <w:szCs w:val="24"/>
              </w:rPr>
              <w:t xml:space="preserve"> písm. j) CRR (súvahové</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podsúvahové)]</w:t>
            </w:r>
          </w:p>
          <w:p w14:paraId="00850369"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429a ods. 1 písm. j) CRR.</w:t>
            </w:r>
          </w:p>
          <w:p w14:paraId="485747D0" w14:textId="2605A398" w:rsidR="00A3389E"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expozície vyňaté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1 písm. j) CRR za predpokladu, že sú splnené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ňom uvedené podmienky</w:t>
            </w:r>
            <w:r w:rsidR="00A3389E" w:rsidRPr="00A3389E">
              <w:rPr>
                <w:rFonts w:ascii="Times New Roman" w:hAnsi="Times New Roman" w:cs="Times New Roman"/>
                <w:sz w:val="24"/>
                <w:szCs w:val="24"/>
              </w:rPr>
              <w:t>.</w:t>
            </w:r>
          </w:p>
          <w:p w14:paraId="06542B08" w14:textId="66DD06B5"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 xml:space="preserve">Zverejňovaná suma sa zahŕňa aj do uplatniteľných vyššie uvedených buniek, </w:t>
            </w:r>
            <w:r w:rsidRPr="00A3389E">
              <w:rPr>
                <w:rFonts w:ascii="Times New Roman" w:hAnsi="Times New Roman" w:cs="Times New Roman"/>
                <w:sz w:val="24"/>
                <w:szCs w:val="24"/>
              </w:rPr>
              <w:lastRenderedPageBreak/>
              <w:t>ako keby sa neuplatňovalo žiadne vyňatie.</w:t>
            </w:r>
          </w:p>
          <w:p w14:paraId="6603911B" w14:textId="4FD1C426"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Keďže sa hodnotou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78ABB483" w14:textId="77777777" w:rsidTr="00B53505">
        <w:trPr>
          <w:trHeight w:val="416"/>
        </w:trPr>
        <w:tc>
          <w:tcPr>
            <w:tcW w:w="1384" w:type="dxa"/>
            <w:vAlign w:val="center"/>
          </w:tcPr>
          <w:p w14:paraId="603B5CBE"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EU-22c</w:t>
            </w:r>
          </w:p>
        </w:tc>
        <w:tc>
          <w:tcPr>
            <w:tcW w:w="7655" w:type="dxa"/>
          </w:tcPr>
          <w:p w14:paraId="6061DE2E" w14:textId="7777777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[Vylúčené expozície verejných rozvojových bánk (alebo jednotiek) – investície verejného sektora]</w:t>
            </w:r>
          </w:p>
          <w:p w14:paraId="25957FE7" w14:textId="15AE4B4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429a ods. 1 písm. d)</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429a ods. 2 CRR.</w:t>
            </w:r>
          </w:p>
          <w:p w14:paraId="735877B0" w14:textId="0D7CE562" w:rsidR="000A7015" w:rsidRPr="00A3389E"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Expozície vyplývajúce</w:t>
            </w:r>
            <w:r w:rsidR="00A3389E">
              <w:rPr>
                <w:rFonts w:ascii="Times New Roman" w:hAnsi="Times New Roman" w:cs="Times New Roman"/>
                <w:sz w:val="24"/>
                <w:szCs w:val="24"/>
              </w:rPr>
              <w:t xml:space="preserve"> z </w:t>
            </w:r>
            <w:r w:rsidRPr="00A3389E">
              <w:rPr>
                <w:rFonts w:ascii="Times New Roman" w:hAnsi="Times New Roman" w:cs="Times New Roman"/>
                <w:sz w:val="24"/>
                <w:szCs w:val="24"/>
              </w:rPr>
              <w:t>aktív, ktoré predstavujú pohľadávky voči ústredným vládam, regionálnym vládam, miestnym orgánom alebo subjektom verejného sektora vo vzťahu</w:t>
            </w:r>
            <w:r w:rsidR="00A3389E">
              <w:rPr>
                <w:rFonts w:ascii="Times New Roman" w:hAnsi="Times New Roman" w:cs="Times New Roman"/>
                <w:sz w:val="24"/>
                <w:szCs w:val="24"/>
              </w:rPr>
              <w:t xml:space="preserve"> k </w:t>
            </w:r>
            <w:r w:rsidRPr="00A3389E">
              <w:rPr>
                <w:rFonts w:ascii="Times New Roman" w:hAnsi="Times New Roman" w:cs="Times New Roman"/>
                <w:sz w:val="24"/>
                <w:szCs w:val="24"/>
              </w:rPr>
              <w:t>investíciám verejného sektora, ktoré možno vylúčiť</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1 písm. d) CRR. To zahŕňa len prípady, keď je inštitúcia verejnou rozvojovou úverovou inštitúciou alebo keď sú expozície držané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rámci jednotky, ktorá sa považuje za verejnú rozvojovú jednotku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2 posledným pododsekom CRR.</w:t>
            </w:r>
          </w:p>
          <w:p w14:paraId="23F492AD" w14:textId="69D7388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Keďže sa hodnotou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tejto bunke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03AD2E4D" w14:textId="77777777" w:rsidTr="001E06A3">
        <w:trPr>
          <w:trHeight w:val="1535"/>
        </w:trPr>
        <w:tc>
          <w:tcPr>
            <w:tcW w:w="1384" w:type="dxa"/>
            <w:vAlign w:val="center"/>
          </w:tcPr>
          <w:p w14:paraId="6E38F23C"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EU-22d</w:t>
            </w:r>
          </w:p>
        </w:tc>
        <w:tc>
          <w:tcPr>
            <w:tcW w:w="7655" w:type="dxa"/>
          </w:tcPr>
          <w:p w14:paraId="20ED1592" w14:textId="77777777" w:rsidR="00A3389E"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[Vylúčené expozície verejných rozvojových bánk (alebo jednotiek) – podporné úvery]</w:t>
            </w:r>
          </w:p>
          <w:p w14:paraId="5591C29D" w14:textId="6A4FEC69"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Článok 429a ods. 1 písm. d)</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429a ods. 2 CRR.</w:t>
            </w:r>
          </w:p>
          <w:p w14:paraId="53E3DF4B" w14:textId="5F6D653E" w:rsidR="000A7015" w:rsidRPr="00A3389E"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vylúčené podporné úvery</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1 písm. d) CRR. To zahŕňa len prípady, keď je inštitúcia verejnou rozvojovou úverovou inštitúciou alebo keď sú podporné úvery držané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rámci jednotky, ktorá sa považuje za verejnú rozvojovú jednotku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2 posledným pododsekom CRR.</w:t>
            </w:r>
          </w:p>
          <w:p w14:paraId="67FA2D6A" w14:textId="07269C8F"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Keďže sa hodnotou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464D615F" w14:textId="77777777" w:rsidTr="001E06A3">
        <w:trPr>
          <w:trHeight w:val="1535"/>
        </w:trPr>
        <w:tc>
          <w:tcPr>
            <w:tcW w:w="1384" w:type="dxa"/>
            <w:vAlign w:val="center"/>
          </w:tcPr>
          <w:p w14:paraId="25D5FDF1"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EU-22e</w:t>
            </w:r>
          </w:p>
        </w:tc>
        <w:tc>
          <w:tcPr>
            <w:tcW w:w="7655" w:type="dxa"/>
          </w:tcPr>
          <w:p w14:paraId="1D7BC259" w14:textId="2CFAC7BF"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[Vylúčené expozície vyplývajúce</w:t>
            </w:r>
            <w:r w:rsidR="00A3389E">
              <w:rPr>
                <w:rFonts w:ascii="Times New Roman" w:hAnsi="Times New Roman" w:cs="Times New Roman"/>
                <w:b/>
                <w:sz w:val="24"/>
                <w:szCs w:val="24"/>
              </w:rPr>
              <w:t xml:space="preserve"> z </w:t>
            </w:r>
            <w:r w:rsidRPr="00A3389E">
              <w:rPr>
                <w:rFonts w:ascii="Times New Roman" w:hAnsi="Times New Roman" w:cs="Times New Roman"/>
                <w:b/>
                <w:sz w:val="24"/>
                <w:szCs w:val="24"/>
              </w:rPr>
              <w:t>postupovania podporných úverov neverejnými rozvojovými bankami (alebo jednotkami)]</w:t>
            </w:r>
          </w:p>
          <w:p w14:paraId="2FDB81DC" w14:textId="77777777" w:rsidR="000A7015" w:rsidRPr="00A3389E" w:rsidRDefault="000A7015" w:rsidP="001E06A3">
            <w:pPr>
              <w:pStyle w:val="BodyText1"/>
              <w:spacing w:after="120" w:line="240" w:lineRule="auto"/>
              <w:rPr>
                <w:rFonts w:ascii="Times New Roman" w:hAnsi="Times New Roman"/>
                <w:sz w:val="24"/>
                <w:szCs w:val="24"/>
              </w:rPr>
            </w:pPr>
            <w:r w:rsidRPr="00A3389E">
              <w:rPr>
                <w:rFonts w:ascii="Times New Roman" w:hAnsi="Times New Roman"/>
                <w:bCs/>
                <w:sz w:val="24"/>
                <w:szCs w:val="24"/>
              </w:rPr>
              <w:t>Článok 429a ods. 1 písm. e) CRR.</w:t>
            </w:r>
          </w:p>
          <w:p w14:paraId="1311B13D" w14:textId="456C0BA5" w:rsidR="000A7015" w:rsidRPr="00A3389E" w:rsidRDefault="000A7015" w:rsidP="001E06A3">
            <w:pPr>
              <w:pStyle w:val="BodyText1"/>
              <w:spacing w:after="120" w:line="240" w:lineRule="auto"/>
              <w:rPr>
                <w:rFonts w:ascii="Times New Roman" w:hAnsi="Times New Roman"/>
                <w:sz w:val="24"/>
                <w:szCs w:val="24"/>
              </w:rPr>
            </w:pPr>
            <w:r w:rsidRPr="00A3389E">
              <w:rPr>
                <w:rFonts w:ascii="Times New Roman" w:hAnsi="Times New Roman"/>
                <w:sz w:val="24"/>
                <w:szCs w:val="24"/>
              </w:rPr>
              <w:t>Inštitúcie zverejňujú vylúčené expozície</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 xml:space="preserve">článkom 429a ods. 1 písm. e) CRR týkajúce sa </w:t>
            </w:r>
            <w:r w:rsidRPr="00A3389E">
              <w:rPr>
                <w:rFonts w:ascii="Times New Roman" w:hAnsi="Times New Roman"/>
                <w:color w:val="auto"/>
                <w:sz w:val="24"/>
                <w:szCs w:val="24"/>
              </w:rPr>
              <w:t>tých častí expozícií, ktoré vyplývajú</w:t>
            </w:r>
            <w:r w:rsidR="00A3389E">
              <w:rPr>
                <w:rFonts w:ascii="Times New Roman" w:hAnsi="Times New Roman"/>
                <w:color w:val="auto"/>
                <w:sz w:val="24"/>
                <w:szCs w:val="24"/>
              </w:rPr>
              <w:t xml:space="preserve"> z </w:t>
            </w:r>
            <w:r w:rsidRPr="00A3389E">
              <w:rPr>
                <w:rFonts w:ascii="Times New Roman" w:hAnsi="Times New Roman"/>
                <w:color w:val="auto"/>
                <w:sz w:val="24"/>
                <w:szCs w:val="24"/>
              </w:rPr>
              <w:t>postupovania podporných úverov iným úverovým inštitúciám</w:t>
            </w:r>
            <w:r w:rsidRPr="00A3389E">
              <w:rPr>
                <w:rFonts w:ascii="Times New Roman" w:hAnsi="Times New Roman"/>
                <w:bCs/>
                <w:sz w:val="24"/>
                <w:szCs w:val="24"/>
              </w:rPr>
              <w:t>. To zahŕňa len prípady, keď inštitúcia nie je verejnou rozvojovou úverovou inštitúciou</w:t>
            </w:r>
            <w:r w:rsidR="00A3389E">
              <w:rPr>
                <w:rFonts w:ascii="Times New Roman" w:hAnsi="Times New Roman"/>
                <w:bCs/>
                <w:sz w:val="24"/>
                <w:szCs w:val="24"/>
              </w:rPr>
              <w:t xml:space="preserve"> a </w:t>
            </w:r>
            <w:r w:rsidRPr="00A3389E">
              <w:rPr>
                <w:rFonts w:ascii="Times New Roman" w:hAnsi="Times New Roman"/>
                <w:bCs/>
                <w:sz w:val="24"/>
                <w:szCs w:val="24"/>
              </w:rPr>
              <w:t>keď daná činnosť nie je so žiadnou jednotkou, ktorá sa považuje za verejnú rozvojovú jednotku</w:t>
            </w:r>
            <w:r w:rsidR="00A3389E">
              <w:rPr>
                <w:rFonts w:ascii="Times New Roman" w:hAnsi="Times New Roman"/>
                <w:bCs/>
                <w:sz w:val="24"/>
                <w:szCs w:val="24"/>
              </w:rPr>
              <w:t xml:space="preserve"> v </w:t>
            </w:r>
            <w:r w:rsidRPr="00A3389E">
              <w:rPr>
                <w:rFonts w:ascii="Times New Roman" w:hAnsi="Times New Roman"/>
                <w:bCs/>
                <w:sz w:val="24"/>
                <w:szCs w:val="24"/>
              </w:rPr>
              <w:t>súlade</w:t>
            </w:r>
            <w:r w:rsidR="00A3389E">
              <w:rPr>
                <w:rFonts w:ascii="Times New Roman" w:hAnsi="Times New Roman"/>
                <w:bCs/>
                <w:sz w:val="24"/>
                <w:szCs w:val="24"/>
              </w:rPr>
              <w:t xml:space="preserve"> s </w:t>
            </w:r>
            <w:r w:rsidRPr="00A3389E">
              <w:rPr>
                <w:rFonts w:ascii="Times New Roman" w:hAnsi="Times New Roman"/>
                <w:bCs/>
                <w:sz w:val="24"/>
                <w:szCs w:val="24"/>
              </w:rPr>
              <w:t>článkom 429a ods. 2 posledným pododsekom CRR.</w:t>
            </w:r>
          </w:p>
          <w:p w14:paraId="28C91C3F" w14:textId="7F7DD2A9"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Keďže sa hodnotou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5A62D477" w14:textId="77777777" w:rsidTr="001E06A3">
        <w:trPr>
          <w:trHeight w:val="1535"/>
        </w:trPr>
        <w:tc>
          <w:tcPr>
            <w:tcW w:w="1384" w:type="dxa"/>
            <w:vAlign w:val="center"/>
          </w:tcPr>
          <w:p w14:paraId="219D541A"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EU-22f</w:t>
            </w:r>
          </w:p>
        </w:tc>
        <w:tc>
          <w:tcPr>
            <w:tcW w:w="7655" w:type="dxa"/>
          </w:tcPr>
          <w:p w14:paraId="2BB03413" w14:textId="1B1263FB"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(Vylúčené zaručené časti expozícií vyplývajúce</w:t>
            </w:r>
            <w:r w:rsidR="00A3389E">
              <w:rPr>
                <w:rFonts w:ascii="Times New Roman" w:hAnsi="Times New Roman" w:cs="Times New Roman"/>
                <w:b/>
                <w:sz w:val="24"/>
                <w:szCs w:val="24"/>
              </w:rPr>
              <w:t xml:space="preserve"> z </w:t>
            </w:r>
            <w:r w:rsidRPr="00A3389E">
              <w:rPr>
                <w:rFonts w:ascii="Times New Roman" w:hAnsi="Times New Roman" w:cs="Times New Roman"/>
                <w:b/>
                <w:sz w:val="24"/>
                <w:szCs w:val="24"/>
              </w:rPr>
              <w:t>exportných úverov)</w:t>
            </w:r>
          </w:p>
          <w:p w14:paraId="21CA9372" w14:textId="77777777" w:rsidR="000A7015" w:rsidRPr="00A3389E" w:rsidRDefault="000A7015" w:rsidP="001E06A3">
            <w:pPr>
              <w:pStyle w:val="BodyText1"/>
              <w:spacing w:after="120" w:line="240" w:lineRule="auto"/>
              <w:rPr>
                <w:rFonts w:ascii="Times New Roman" w:hAnsi="Times New Roman"/>
                <w:color w:val="auto"/>
                <w:sz w:val="24"/>
                <w:szCs w:val="24"/>
              </w:rPr>
            </w:pPr>
            <w:r w:rsidRPr="00A3389E">
              <w:rPr>
                <w:rFonts w:ascii="Times New Roman" w:hAnsi="Times New Roman"/>
                <w:bCs/>
                <w:sz w:val="24"/>
                <w:szCs w:val="24"/>
              </w:rPr>
              <w:t>Článok 429a ods. 1 písm. f) CRR.</w:t>
            </w:r>
          </w:p>
          <w:p w14:paraId="73874E62" w14:textId="26C56534" w:rsidR="000A7015" w:rsidRPr="00A3389E" w:rsidRDefault="000A7015" w:rsidP="001E06A3">
            <w:pPr>
              <w:pStyle w:val="BodyText1"/>
              <w:spacing w:after="120" w:line="240" w:lineRule="auto"/>
              <w:rPr>
                <w:rFonts w:ascii="Times New Roman" w:hAnsi="Times New Roman"/>
                <w:sz w:val="24"/>
                <w:szCs w:val="24"/>
              </w:rPr>
            </w:pPr>
            <w:r w:rsidRPr="00A3389E">
              <w:rPr>
                <w:rFonts w:ascii="Times New Roman" w:hAnsi="Times New Roman"/>
                <w:color w:val="auto"/>
                <w:sz w:val="24"/>
                <w:szCs w:val="24"/>
              </w:rPr>
              <w:t>Zaručené časti expozícií vyplývajúce</w:t>
            </w:r>
            <w:r w:rsidR="00A3389E">
              <w:rPr>
                <w:rFonts w:ascii="Times New Roman" w:hAnsi="Times New Roman"/>
                <w:color w:val="auto"/>
                <w:sz w:val="24"/>
                <w:szCs w:val="24"/>
              </w:rPr>
              <w:t xml:space="preserve"> z </w:t>
            </w:r>
            <w:r w:rsidRPr="00A3389E">
              <w:rPr>
                <w:rFonts w:ascii="Times New Roman" w:hAnsi="Times New Roman"/>
                <w:color w:val="auto"/>
                <w:sz w:val="24"/>
                <w:szCs w:val="24"/>
              </w:rPr>
              <w:t>exportných úverov, ktoré možno vylúčiť, keď sú splnené podmienky článku 429a ods. 1 písm. f) CRR.</w:t>
            </w:r>
          </w:p>
          <w:p w14:paraId="28D6FADE" w14:textId="02C8C646"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 xml:space="preserve">Keďže sa hodnotou znižuje veľkosť celkovej expozície, inštitúcie uvádzajú </w:t>
            </w:r>
            <w:r w:rsidRPr="00A3389E">
              <w:rPr>
                <w:rFonts w:ascii="Times New Roman" w:hAnsi="Times New Roman" w:cs="Times New Roman"/>
                <w:sz w:val="24"/>
                <w:szCs w:val="24"/>
              </w:rPr>
              <w:lastRenderedPageBreak/>
              <w:t>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1F825AB0" w14:textId="77777777" w:rsidTr="001E06A3">
        <w:trPr>
          <w:trHeight w:val="1535"/>
        </w:trPr>
        <w:tc>
          <w:tcPr>
            <w:tcW w:w="1384" w:type="dxa"/>
            <w:vAlign w:val="center"/>
          </w:tcPr>
          <w:p w14:paraId="1C7DAD74"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EU-22g</w:t>
            </w:r>
          </w:p>
        </w:tc>
        <w:tc>
          <w:tcPr>
            <w:tcW w:w="7655" w:type="dxa"/>
          </w:tcPr>
          <w:p w14:paraId="2B849E9F" w14:textId="443CB374" w:rsidR="00A3389E"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(Vylúčený nadmerný kolaterál zložený</w:t>
            </w:r>
            <w:r w:rsidR="00A3389E">
              <w:rPr>
                <w:rFonts w:ascii="Times New Roman" w:hAnsi="Times New Roman" w:cs="Times New Roman"/>
                <w:b/>
                <w:sz w:val="24"/>
                <w:szCs w:val="24"/>
              </w:rPr>
              <w:t xml:space="preserve"> u </w:t>
            </w:r>
            <w:r w:rsidRPr="00A3389E">
              <w:rPr>
                <w:rFonts w:ascii="Times New Roman" w:hAnsi="Times New Roman" w:cs="Times New Roman"/>
                <w:b/>
                <w:sz w:val="24"/>
                <w:szCs w:val="24"/>
              </w:rPr>
              <w:t>tripartitných agentov)</w:t>
            </w:r>
          </w:p>
          <w:p w14:paraId="27876A35" w14:textId="42615848"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Článok 429a ods. 1 písm. k) CRR.</w:t>
            </w:r>
          </w:p>
          <w:p w14:paraId="11024BBF" w14:textId="6460361A"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Nadmerný kolaterál zložený</w:t>
            </w:r>
            <w:r w:rsidR="00A3389E">
              <w:rPr>
                <w:rFonts w:ascii="Times New Roman" w:hAnsi="Times New Roman"/>
                <w:bCs/>
                <w:sz w:val="24"/>
                <w:szCs w:val="24"/>
              </w:rPr>
              <w:t xml:space="preserve"> u </w:t>
            </w:r>
            <w:r w:rsidRPr="00A3389E">
              <w:rPr>
                <w:rFonts w:ascii="Times New Roman" w:hAnsi="Times New Roman"/>
                <w:bCs/>
                <w:sz w:val="24"/>
                <w:szCs w:val="24"/>
              </w:rPr>
              <w:t>tripartitných agentov, ktorý nebol požičaný, ktorý možno vylúčiť</w:t>
            </w:r>
            <w:r w:rsidR="00A3389E">
              <w:rPr>
                <w:rFonts w:ascii="Times New Roman" w:hAnsi="Times New Roman"/>
                <w:bCs/>
                <w:sz w:val="24"/>
                <w:szCs w:val="24"/>
              </w:rPr>
              <w:t xml:space="preserve"> v </w:t>
            </w:r>
            <w:r w:rsidRPr="00A3389E">
              <w:rPr>
                <w:rFonts w:ascii="Times New Roman" w:hAnsi="Times New Roman"/>
                <w:bCs/>
                <w:sz w:val="24"/>
                <w:szCs w:val="24"/>
              </w:rPr>
              <w:t>súlade</w:t>
            </w:r>
            <w:r w:rsidR="00A3389E">
              <w:rPr>
                <w:rFonts w:ascii="Times New Roman" w:hAnsi="Times New Roman"/>
                <w:bCs/>
                <w:sz w:val="24"/>
                <w:szCs w:val="24"/>
              </w:rPr>
              <w:t xml:space="preserve"> s </w:t>
            </w:r>
            <w:r w:rsidRPr="00A3389E">
              <w:rPr>
                <w:rFonts w:ascii="Times New Roman" w:hAnsi="Times New Roman"/>
                <w:bCs/>
                <w:sz w:val="24"/>
                <w:szCs w:val="24"/>
              </w:rPr>
              <w:t>článkom 429a ods. 1 písm. k) CRR.</w:t>
            </w:r>
          </w:p>
          <w:p w14:paraId="2020A5B9" w14:textId="1BE7F9B0"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Keďže sa hodnotou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10595829" w14:textId="77777777" w:rsidTr="00B53505">
        <w:trPr>
          <w:trHeight w:val="983"/>
        </w:trPr>
        <w:tc>
          <w:tcPr>
            <w:tcW w:w="1384" w:type="dxa"/>
            <w:vAlign w:val="center"/>
          </w:tcPr>
          <w:p w14:paraId="66DDD96B"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EU-22h</w:t>
            </w:r>
          </w:p>
        </w:tc>
        <w:tc>
          <w:tcPr>
            <w:tcW w:w="7655" w:type="dxa"/>
          </w:tcPr>
          <w:p w14:paraId="67EAC2A6" w14:textId="3A31A3FF"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[Vylúčené služby súvisiace</w:t>
            </w:r>
            <w:r w:rsidR="00A3389E">
              <w:rPr>
                <w:rFonts w:ascii="Times New Roman" w:hAnsi="Times New Roman" w:cs="Times New Roman"/>
                <w:b/>
                <w:sz w:val="24"/>
                <w:szCs w:val="24"/>
              </w:rPr>
              <w:t xml:space="preserve"> s </w:t>
            </w:r>
            <w:r w:rsidRPr="00A3389E">
              <w:rPr>
                <w:rFonts w:ascii="Times New Roman" w:hAnsi="Times New Roman" w:cs="Times New Roman"/>
                <w:b/>
                <w:sz w:val="24"/>
                <w:szCs w:val="24"/>
              </w:rPr>
              <w:t>centrálnym depozitárom cenných papierov CDCP/inštitúcií</w:t>
            </w:r>
            <w:r w:rsidR="00A3389E">
              <w:rPr>
                <w:rFonts w:ascii="Times New Roman" w:hAnsi="Times New Roman" w:cs="Times New Roman"/>
                <w:b/>
                <w:sz w:val="24"/>
                <w:szCs w:val="24"/>
              </w:rPr>
              <w:t xml:space="preserve"> v </w:t>
            </w:r>
            <w:r w:rsidRPr="00A3389E">
              <w:rPr>
                <w:rFonts w:ascii="Times New Roman" w:hAnsi="Times New Roman" w:cs="Times New Roman"/>
                <w:b/>
                <w:sz w:val="24"/>
                <w:szCs w:val="24"/>
              </w:rPr>
              <w:t>súlade</w:t>
            </w:r>
            <w:r w:rsidR="00A3389E">
              <w:rPr>
                <w:rFonts w:ascii="Times New Roman" w:hAnsi="Times New Roman" w:cs="Times New Roman"/>
                <w:b/>
                <w:sz w:val="24"/>
                <w:szCs w:val="24"/>
              </w:rPr>
              <w:t xml:space="preserve"> s </w:t>
            </w:r>
            <w:r w:rsidRPr="00A3389E">
              <w:rPr>
                <w:rFonts w:ascii="Times New Roman" w:hAnsi="Times New Roman" w:cs="Times New Roman"/>
                <w:b/>
                <w:sz w:val="24"/>
                <w:szCs w:val="24"/>
              </w:rPr>
              <w:t>článkom 429a ods. 1 písm. o) CRR]</w:t>
            </w:r>
          </w:p>
          <w:p w14:paraId="343A3FE9" w14:textId="77777777"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Článok 429a ods. 1 písm. o) CRR.</w:t>
            </w:r>
          </w:p>
          <w:p w14:paraId="39B28CCF" w14:textId="03C94B9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bCs/>
                <w:sz w:val="24"/>
                <w:szCs w:val="24"/>
              </w:rPr>
              <w:t>Služby súvisiace</w:t>
            </w:r>
            <w:r w:rsidR="00A3389E">
              <w:rPr>
                <w:rFonts w:ascii="Times New Roman" w:hAnsi="Times New Roman" w:cs="Times New Roman"/>
                <w:bCs/>
                <w:sz w:val="24"/>
                <w:szCs w:val="24"/>
              </w:rPr>
              <w:t xml:space="preserve"> s </w:t>
            </w:r>
            <w:r w:rsidRPr="00A3389E">
              <w:rPr>
                <w:rFonts w:ascii="Times New Roman" w:hAnsi="Times New Roman" w:cs="Times New Roman"/>
                <w:bCs/>
                <w:sz w:val="24"/>
                <w:szCs w:val="24"/>
              </w:rPr>
              <w:t>centrálnym depozitárom cenných papierov CDCP/inštitúcií, ktoré možno vylúčiť</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súlade</w:t>
            </w:r>
            <w:r w:rsidR="00A3389E">
              <w:rPr>
                <w:rFonts w:ascii="Times New Roman" w:hAnsi="Times New Roman" w:cs="Times New Roman"/>
                <w:bCs/>
                <w:sz w:val="24"/>
                <w:szCs w:val="24"/>
              </w:rPr>
              <w:t xml:space="preserve"> s </w:t>
            </w:r>
            <w:r w:rsidRPr="00A3389E">
              <w:rPr>
                <w:rFonts w:ascii="Times New Roman" w:hAnsi="Times New Roman" w:cs="Times New Roman"/>
                <w:bCs/>
                <w:sz w:val="24"/>
                <w:szCs w:val="24"/>
              </w:rPr>
              <w:t>článkom 429a ods. 1 písm. o) CRR.</w:t>
            </w:r>
          </w:p>
          <w:p w14:paraId="11D0BFC3" w14:textId="7E9164B8" w:rsidR="000A7015" w:rsidRPr="00A3389E" w:rsidRDefault="000A7015" w:rsidP="001E06A3">
            <w:pPr>
              <w:pStyle w:val="BodyText1"/>
              <w:spacing w:after="120" w:line="240" w:lineRule="auto"/>
              <w:rPr>
                <w:rFonts w:ascii="Times New Roman" w:eastAsia="Book Antiqua" w:hAnsi="Times New Roman"/>
                <w:sz w:val="24"/>
                <w:szCs w:val="24"/>
              </w:rPr>
            </w:pPr>
            <w:r w:rsidRPr="00A3389E">
              <w:rPr>
                <w:rFonts w:ascii="Times New Roman" w:hAnsi="Times New Roman"/>
                <w:sz w:val="24"/>
                <w:szCs w:val="24"/>
              </w:rPr>
              <w:t>Keďže sa hodnotou znižuje veľkosť celkovej expozície, inštitúcie uvádzajú hodnotu zverejnenú</w:t>
            </w:r>
            <w:r w:rsidR="00A3389E">
              <w:rPr>
                <w:rFonts w:ascii="Times New Roman" w:hAnsi="Times New Roman"/>
                <w:sz w:val="24"/>
                <w:szCs w:val="24"/>
              </w:rPr>
              <w:t xml:space="preserve"> v </w:t>
            </w:r>
            <w:r w:rsidRPr="00A3389E">
              <w:rPr>
                <w:rFonts w:ascii="Times New Roman" w:hAnsi="Times New Roman"/>
                <w:sz w:val="24"/>
                <w:szCs w:val="24"/>
              </w:rPr>
              <w:t>tomto riadku</w:t>
            </w:r>
            <w:r w:rsidR="00A3389E">
              <w:rPr>
                <w:rFonts w:ascii="Times New Roman" w:hAnsi="Times New Roman"/>
                <w:sz w:val="24"/>
                <w:szCs w:val="24"/>
              </w:rPr>
              <w:t xml:space="preserve"> v </w:t>
            </w:r>
            <w:r w:rsidRPr="00A3389E">
              <w:rPr>
                <w:rFonts w:ascii="Times New Roman" w:hAnsi="Times New Roman"/>
                <w:sz w:val="24"/>
                <w:szCs w:val="24"/>
              </w:rPr>
              <w:t>zátvorkách (záporná hodnota).</w:t>
            </w:r>
          </w:p>
        </w:tc>
      </w:tr>
      <w:tr w:rsidR="000A7015" w:rsidRPr="00A3389E" w14:paraId="51A32962" w14:textId="77777777" w:rsidTr="001E06A3">
        <w:trPr>
          <w:trHeight w:val="895"/>
        </w:trPr>
        <w:tc>
          <w:tcPr>
            <w:tcW w:w="1384" w:type="dxa"/>
            <w:vAlign w:val="center"/>
          </w:tcPr>
          <w:p w14:paraId="4E97D8D6"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EU-22i</w:t>
            </w:r>
          </w:p>
        </w:tc>
        <w:tc>
          <w:tcPr>
            <w:tcW w:w="7655" w:type="dxa"/>
          </w:tcPr>
          <w:p w14:paraId="32666F92" w14:textId="4FD63D7C"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[Vylúčené služby súvisiace</w:t>
            </w:r>
            <w:r w:rsidR="00A3389E">
              <w:rPr>
                <w:rFonts w:ascii="Times New Roman" w:hAnsi="Times New Roman" w:cs="Times New Roman"/>
                <w:b/>
                <w:sz w:val="24"/>
                <w:szCs w:val="24"/>
              </w:rPr>
              <w:t xml:space="preserve"> s </w:t>
            </w:r>
            <w:r w:rsidRPr="00A3389E">
              <w:rPr>
                <w:rFonts w:ascii="Times New Roman" w:hAnsi="Times New Roman" w:cs="Times New Roman"/>
                <w:b/>
                <w:sz w:val="24"/>
                <w:szCs w:val="24"/>
              </w:rPr>
              <w:t>centrálnym depozitárom cenných papierov určených inštitúcií</w:t>
            </w:r>
            <w:r w:rsidR="00A3389E">
              <w:rPr>
                <w:rFonts w:ascii="Times New Roman" w:hAnsi="Times New Roman" w:cs="Times New Roman"/>
                <w:b/>
                <w:sz w:val="24"/>
                <w:szCs w:val="24"/>
              </w:rPr>
              <w:t xml:space="preserve"> v </w:t>
            </w:r>
            <w:r w:rsidRPr="00A3389E">
              <w:rPr>
                <w:rFonts w:ascii="Times New Roman" w:hAnsi="Times New Roman" w:cs="Times New Roman"/>
                <w:b/>
                <w:sz w:val="24"/>
                <w:szCs w:val="24"/>
              </w:rPr>
              <w:t>súlade</w:t>
            </w:r>
            <w:r w:rsidR="00A3389E">
              <w:rPr>
                <w:rFonts w:ascii="Times New Roman" w:hAnsi="Times New Roman" w:cs="Times New Roman"/>
                <w:b/>
                <w:sz w:val="24"/>
                <w:szCs w:val="24"/>
              </w:rPr>
              <w:t xml:space="preserve"> s </w:t>
            </w:r>
            <w:r w:rsidRPr="00A3389E">
              <w:rPr>
                <w:rFonts w:ascii="Times New Roman" w:hAnsi="Times New Roman" w:cs="Times New Roman"/>
                <w:b/>
                <w:sz w:val="24"/>
                <w:szCs w:val="24"/>
              </w:rPr>
              <w:t>článkom 429a ods. 1 písm. p) CRR]</w:t>
            </w:r>
          </w:p>
          <w:p w14:paraId="1ED3081C" w14:textId="77777777" w:rsidR="000A7015" w:rsidRPr="00A3389E" w:rsidRDefault="000A7015" w:rsidP="001E06A3">
            <w:pPr>
              <w:pStyle w:val="BodyText1"/>
              <w:spacing w:after="120" w:line="240" w:lineRule="auto"/>
              <w:rPr>
                <w:rFonts w:ascii="Times New Roman" w:hAnsi="Times New Roman"/>
                <w:sz w:val="24"/>
                <w:szCs w:val="24"/>
              </w:rPr>
            </w:pPr>
            <w:r w:rsidRPr="00A3389E">
              <w:rPr>
                <w:rFonts w:ascii="Times New Roman" w:hAnsi="Times New Roman"/>
                <w:bCs/>
                <w:sz w:val="24"/>
                <w:szCs w:val="24"/>
              </w:rPr>
              <w:t>Článok 429a ods. 1 písm. p) CRR.</w:t>
            </w:r>
          </w:p>
          <w:p w14:paraId="20EAEC5F" w14:textId="7E6BC2C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Služby súvisiace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centrálnym depozitárom cenných papierov určených inštitúcií, ktoré možno vylúčiť</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1 písm. p) CRR.</w:t>
            </w:r>
          </w:p>
          <w:p w14:paraId="6F7AB5F3" w14:textId="030148C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Keďže sa hodnotou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2BB71652" w14:textId="77777777" w:rsidTr="001E06A3">
        <w:trPr>
          <w:trHeight w:val="1535"/>
        </w:trPr>
        <w:tc>
          <w:tcPr>
            <w:tcW w:w="1384" w:type="dxa"/>
            <w:vAlign w:val="center"/>
          </w:tcPr>
          <w:p w14:paraId="7B77630C"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EU-22j</w:t>
            </w:r>
          </w:p>
        </w:tc>
        <w:tc>
          <w:tcPr>
            <w:tcW w:w="7655" w:type="dxa"/>
          </w:tcPr>
          <w:p w14:paraId="59FFC543" w14:textId="77777777" w:rsidR="00A3389E" w:rsidRPr="00A3389E" w:rsidRDefault="000A7015" w:rsidP="001E06A3">
            <w:pPr>
              <w:pStyle w:val="BodyText1"/>
              <w:spacing w:after="120" w:line="240" w:lineRule="auto"/>
              <w:rPr>
                <w:rFonts w:ascii="Times New Roman" w:hAnsi="Times New Roman"/>
                <w:b/>
                <w:bCs/>
                <w:sz w:val="24"/>
                <w:szCs w:val="24"/>
              </w:rPr>
            </w:pPr>
            <w:r w:rsidRPr="00A3389E">
              <w:rPr>
                <w:rFonts w:ascii="Times New Roman" w:hAnsi="Times New Roman"/>
                <w:b/>
                <w:bCs/>
                <w:sz w:val="24"/>
                <w:szCs w:val="24"/>
              </w:rPr>
              <w:t>(Zníženie hodnoty expozície úverov na predbežné financovanie alebo medziúverov)</w:t>
            </w:r>
          </w:p>
          <w:p w14:paraId="14A3D15E" w14:textId="19C5F2C9"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Článok 429 ods. 8 CRR.</w:t>
            </w:r>
          </w:p>
          <w:p w14:paraId="6BA3CCBA" w14:textId="4D3CAA7E"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Suma zníženia hodnoty expozície úveru na predbežné financovanie alebo medziúveru</w:t>
            </w:r>
            <w:r w:rsidR="00A3389E">
              <w:rPr>
                <w:rFonts w:ascii="Times New Roman" w:hAnsi="Times New Roman"/>
                <w:bCs/>
                <w:sz w:val="24"/>
                <w:szCs w:val="24"/>
              </w:rPr>
              <w:t xml:space="preserve"> v </w:t>
            </w:r>
            <w:r w:rsidRPr="00A3389E">
              <w:rPr>
                <w:rFonts w:ascii="Times New Roman" w:hAnsi="Times New Roman"/>
                <w:bCs/>
                <w:sz w:val="24"/>
                <w:szCs w:val="24"/>
              </w:rPr>
              <w:t>súlade</w:t>
            </w:r>
            <w:r w:rsidR="00A3389E">
              <w:rPr>
                <w:rFonts w:ascii="Times New Roman" w:hAnsi="Times New Roman"/>
                <w:bCs/>
                <w:sz w:val="24"/>
                <w:szCs w:val="24"/>
              </w:rPr>
              <w:t xml:space="preserve"> s </w:t>
            </w:r>
            <w:r w:rsidRPr="00A3389E">
              <w:rPr>
                <w:rFonts w:ascii="Times New Roman" w:hAnsi="Times New Roman"/>
                <w:bCs/>
                <w:sz w:val="24"/>
                <w:szCs w:val="24"/>
              </w:rPr>
              <w:t>článkom 429 ods. 8 CRR.</w:t>
            </w:r>
          </w:p>
          <w:p w14:paraId="05F1E3A6" w14:textId="77E9A0B2"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Keďže sa hodnotou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6B300FD3" w14:textId="77777777" w:rsidTr="001E06A3">
        <w:trPr>
          <w:trHeight w:val="1448"/>
        </w:trPr>
        <w:tc>
          <w:tcPr>
            <w:tcW w:w="1384" w:type="dxa"/>
            <w:vAlign w:val="center"/>
          </w:tcPr>
          <w:p w14:paraId="29E0186A"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EU-22k</w:t>
            </w:r>
          </w:p>
        </w:tc>
        <w:tc>
          <w:tcPr>
            <w:tcW w:w="7655" w:type="dxa"/>
          </w:tcPr>
          <w:p w14:paraId="15155F12" w14:textId="7777777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(Vylúčené expozície spolu)</w:t>
            </w:r>
          </w:p>
          <w:p w14:paraId="6FECF0BB"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sz w:val="24"/>
                <w:szCs w:val="24"/>
              </w:rPr>
              <w:t>Súčet riadkov EU-22a až EU-22j</w:t>
            </w:r>
          </w:p>
          <w:p w14:paraId="6FDC22CD" w14:textId="4C130BE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Keďže sa hodnotou znižuje veľkosť celkovej expozície, inštitúcie uvádzajú hodnotu zverejnenú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tomto riadku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zátvorkách (záporná hodnota).</w:t>
            </w:r>
          </w:p>
        </w:tc>
      </w:tr>
      <w:tr w:rsidR="000A7015" w:rsidRPr="00A3389E" w14:paraId="1392DA79" w14:textId="77777777" w:rsidTr="001E06A3">
        <w:trPr>
          <w:trHeight w:val="2265"/>
        </w:trPr>
        <w:tc>
          <w:tcPr>
            <w:tcW w:w="1384" w:type="dxa"/>
            <w:vAlign w:val="center"/>
          </w:tcPr>
          <w:p w14:paraId="2DDC0D83"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23</w:t>
            </w:r>
          </w:p>
        </w:tc>
        <w:tc>
          <w:tcPr>
            <w:tcW w:w="7655" w:type="dxa"/>
          </w:tcPr>
          <w:p w14:paraId="6DFF17CE"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Kapitál Tier 1</w:t>
            </w:r>
          </w:p>
          <w:p w14:paraId="6E412308" w14:textId="286035D2"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429 ods. 3</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článok 499 ods. 1</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2 CRR.</w:t>
            </w:r>
          </w:p>
          <w:p w14:paraId="53E9EB02" w14:textId="3023E23D"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výšku kapitálu Tier 1 vypočítanú</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rozhodnutím, ktoré inštitúcia prijala podľa článku 499 ods. 2 CRR, ako je zverejnené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riadku EU-27 vzoru </w:t>
            </w:r>
            <w:r w:rsidRPr="00A3389E">
              <w:rPr>
                <w:rFonts w:ascii="Times New Roman" w:hAnsi="Times New Roman" w:cs="Times New Roman"/>
                <w:color w:val="000000"/>
                <w:sz w:val="24"/>
                <w:szCs w:val="24"/>
              </w:rPr>
              <w:t xml:space="preserve">EU LR2 – </w:t>
            </w:r>
            <w:r w:rsidRPr="00A3389E">
              <w:rPr>
                <w:rFonts w:ascii="Times New Roman" w:hAnsi="Times New Roman" w:cs="Times New Roman"/>
                <w:sz w:val="24"/>
                <w:szCs w:val="24"/>
              </w:rPr>
              <w:t>LRCom.</w:t>
            </w:r>
          </w:p>
          <w:p w14:paraId="4FE9845E" w14:textId="52CBB8A0"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Konkrétnejšie platí, že ak sa inštitúcia rozhodla zverejňovať kapitál Tier 1</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499 ods. 1 písm. a) CRR, zverejňuje výšku kapitálu Tier 1 tak, ako je vypočítaná</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25 CRR, bez zohľadňovania odchýlok stanovených</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desiatej časti hlave I kapitolách 1</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2 CRR.</w:t>
            </w:r>
          </w:p>
          <w:p w14:paraId="4C87DF6B" w14:textId="23140D59"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 sa na rozdiel od toho inštitúcia rozhodla zverejňovať kapitál Tier 1</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499 ods. 1 písm. b) CRR, zverejňuje výšku kapitálu Tier 1 tak, ako je vypočítaná</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25 CRR, po zohľadnení odchýlok stanovených</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desiatej časti hlave I kapitolách 1</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2 CRR.</w:t>
            </w:r>
          </w:p>
        </w:tc>
      </w:tr>
      <w:tr w:rsidR="000A7015" w:rsidRPr="00A3389E" w14:paraId="752FE115" w14:textId="77777777" w:rsidTr="001E06A3">
        <w:trPr>
          <w:trHeight w:val="685"/>
        </w:trPr>
        <w:tc>
          <w:tcPr>
            <w:tcW w:w="1384" w:type="dxa"/>
            <w:vAlign w:val="center"/>
          </w:tcPr>
          <w:p w14:paraId="03D41C31"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24</w:t>
            </w:r>
          </w:p>
        </w:tc>
        <w:tc>
          <w:tcPr>
            <w:tcW w:w="7655" w:type="dxa"/>
          </w:tcPr>
          <w:p w14:paraId="51B8B4CC" w14:textId="77777777" w:rsidR="00A3389E"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Veľkosť celkovej expozície</w:t>
            </w:r>
          </w:p>
          <w:p w14:paraId="69CCE9BD" w14:textId="5F732CA9" w:rsidR="000A7015" w:rsidRPr="00A3389E"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A3389E">
              <w:rPr>
                <w:rStyle w:val="TeksttreciPogrubienie"/>
                <w:rFonts w:ascii="Times New Roman" w:hAnsi="Times New Roman" w:cs="Times New Roman"/>
                <w:b w:val="0"/>
                <w:sz w:val="24"/>
                <w:szCs w:val="24"/>
              </w:rPr>
              <w:t>Súčet súm</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riadkoch 7, 13, 18, 22</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EU-22k vzoru</w:t>
            </w:r>
            <w:r w:rsidRPr="00A3389E">
              <w:rPr>
                <w:rFonts w:ascii="Times New Roman" w:hAnsi="Times New Roman" w:cs="Times New Roman"/>
                <w:color w:val="000000"/>
                <w:sz w:val="24"/>
                <w:szCs w:val="24"/>
              </w:rPr>
              <w:t xml:space="preserve"> EU LR2 – LRCom</w:t>
            </w:r>
            <w:r w:rsidRPr="00A3389E">
              <w:rPr>
                <w:rFonts w:ascii="Times New Roman" w:hAnsi="Times New Roman" w:cs="Times New Roman"/>
                <w:sz w:val="24"/>
                <w:szCs w:val="24"/>
              </w:rPr>
              <w:t>.</w:t>
            </w:r>
          </w:p>
        </w:tc>
      </w:tr>
      <w:tr w:rsidR="000A7015" w:rsidRPr="00A3389E" w14:paraId="38E4A8BB" w14:textId="77777777" w:rsidTr="001E06A3">
        <w:trPr>
          <w:trHeight w:val="1164"/>
        </w:trPr>
        <w:tc>
          <w:tcPr>
            <w:tcW w:w="1384" w:type="dxa"/>
            <w:vAlign w:val="center"/>
          </w:tcPr>
          <w:p w14:paraId="48DAD246"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25</w:t>
            </w:r>
          </w:p>
        </w:tc>
        <w:tc>
          <w:tcPr>
            <w:tcW w:w="7655" w:type="dxa"/>
          </w:tcPr>
          <w:p w14:paraId="0DC193C9"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Ukazovateľ finančnej páky (%)</w:t>
            </w:r>
          </w:p>
          <w:p w14:paraId="564F3D04" w14:textId="5A07C471"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Fonts w:ascii="Times New Roman" w:hAnsi="Times New Roman" w:cs="Times New Roman"/>
                <w:sz w:val="24"/>
                <w:szCs w:val="24"/>
              </w:rPr>
              <w:t>Inštitúcie zverejňujú sumu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riadku 23 vzoru EU </w:t>
            </w:r>
            <w:r w:rsidRPr="00A3389E">
              <w:rPr>
                <w:rFonts w:ascii="Times New Roman" w:hAnsi="Times New Roman" w:cs="Times New Roman"/>
                <w:color w:val="000000"/>
                <w:sz w:val="24"/>
                <w:szCs w:val="24"/>
              </w:rPr>
              <w:t xml:space="preserve">LR2 – </w:t>
            </w:r>
            <w:r w:rsidRPr="00A3389E">
              <w:rPr>
                <w:rFonts w:ascii="Times New Roman" w:hAnsi="Times New Roman" w:cs="Times New Roman"/>
                <w:sz w:val="24"/>
                <w:szCs w:val="24"/>
              </w:rPr>
              <w:t>LRCom vyjadrenú ako percentuálny podiel sumy</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riadku 24 vzoru EU </w:t>
            </w:r>
            <w:r w:rsidRPr="00A3389E">
              <w:rPr>
                <w:rFonts w:ascii="Times New Roman" w:hAnsi="Times New Roman" w:cs="Times New Roman"/>
                <w:color w:val="000000"/>
                <w:sz w:val="24"/>
                <w:szCs w:val="24"/>
              </w:rPr>
              <w:t xml:space="preserve">LR2 – </w:t>
            </w:r>
            <w:r w:rsidRPr="00A3389E">
              <w:rPr>
                <w:rFonts w:ascii="Times New Roman" w:hAnsi="Times New Roman" w:cs="Times New Roman"/>
                <w:sz w:val="24"/>
                <w:szCs w:val="24"/>
              </w:rPr>
              <w:t>LRCom.</w:t>
            </w:r>
          </w:p>
        </w:tc>
      </w:tr>
      <w:tr w:rsidR="000A7015" w:rsidRPr="00A3389E" w14:paraId="1105BC2F" w14:textId="77777777" w:rsidTr="001E06A3">
        <w:trPr>
          <w:trHeight w:val="1890"/>
        </w:trPr>
        <w:tc>
          <w:tcPr>
            <w:tcW w:w="1384" w:type="dxa"/>
            <w:vAlign w:val="center"/>
          </w:tcPr>
          <w:p w14:paraId="3729E573"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EU-25</w:t>
            </w:r>
          </w:p>
        </w:tc>
        <w:tc>
          <w:tcPr>
            <w:tcW w:w="7655" w:type="dxa"/>
          </w:tcPr>
          <w:p w14:paraId="5D544C9C" w14:textId="6F077A6A"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Ukazovateľ finančnej páky (bez vplyvu výnimky pre investície verejného sektora</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podporné úvery) (%)</w:t>
            </w:r>
          </w:p>
          <w:p w14:paraId="060BE2BA" w14:textId="75BB8084"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Fonts w:ascii="Times New Roman" w:hAnsi="Times New Roman" w:cs="Times New Roman"/>
                <w:sz w:val="24"/>
                <w:szCs w:val="24"/>
              </w:rPr>
              <w:t>V 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451 ods. 2 CRR verejné rozvojové úverové inštitúcie podľa vymedzenia</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429a ods. 2 CRR zverejňujú ukazovateľ finančnej páky bez úpravy veľkosti celkovej expozície určenej</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súlade</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článkom 429a ods. 1 písm. d) CRR, t. j. bez úpravy, ktorá sa zverejňuje</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riadkoch EU-22c</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EU-22d tohto vzoru.</w:t>
            </w:r>
          </w:p>
        </w:tc>
      </w:tr>
      <w:tr w:rsidR="000A7015" w:rsidRPr="00A3389E" w14:paraId="158AC438" w14:textId="77777777" w:rsidTr="001E06A3">
        <w:trPr>
          <w:trHeight w:val="2265"/>
        </w:trPr>
        <w:tc>
          <w:tcPr>
            <w:tcW w:w="1384" w:type="dxa"/>
            <w:vAlign w:val="center"/>
          </w:tcPr>
          <w:p w14:paraId="24111CE9"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25a</w:t>
            </w:r>
          </w:p>
        </w:tc>
        <w:tc>
          <w:tcPr>
            <w:tcW w:w="7655" w:type="dxa"/>
            <w:vAlign w:val="center"/>
          </w:tcPr>
          <w:p w14:paraId="3F8ED536" w14:textId="7777777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Ukazovateľ finančnej páky (bez vplyvu akejkoľvek uplatniteľnej dočasnej výnimky pre rezervy centrálnych bánk) (%)</w:t>
            </w:r>
          </w:p>
          <w:p w14:paraId="659645CB" w14:textId="319995E6"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 sa na veľkosť celkovej expozície inštitúcie vzťahuje dočasná výnimka pre rezervy centrálnych bánk stanovená</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článku 429a ods. 1 písm. n) CRR, tento pomer sa vymedzuje ako miera kapitálu Tier 1 vydelená súčtom veľkosti celkovej expozície</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výšky výnimky pre rezervy centrálnych bánk, pričom tento pomer sa vyjadruje ako percentuálny podiel.</w:t>
            </w:r>
          </w:p>
          <w:p w14:paraId="51005A08" w14:textId="05FDC4ED"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Ak sa na veľkosť celkovej expozície inštitúcie nevzťahuje dočasná výnimka pre rezervy centrálnych bánk, tento pomer bude totožný</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pomerom zverejneným</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riadku 25.</w:t>
            </w:r>
          </w:p>
        </w:tc>
      </w:tr>
      <w:tr w:rsidR="000A7015" w:rsidRPr="00A3389E" w14:paraId="7CDDE3FF" w14:textId="77777777" w:rsidTr="001E06A3">
        <w:trPr>
          <w:trHeight w:val="1152"/>
        </w:trPr>
        <w:tc>
          <w:tcPr>
            <w:tcW w:w="1384" w:type="dxa"/>
            <w:vAlign w:val="center"/>
          </w:tcPr>
          <w:p w14:paraId="07964D9F"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26</w:t>
            </w:r>
          </w:p>
        </w:tc>
        <w:tc>
          <w:tcPr>
            <w:tcW w:w="7655" w:type="dxa"/>
            <w:vAlign w:val="center"/>
          </w:tcPr>
          <w:p w14:paraId="2C2C85DC" w14:textId="7777777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Regulačná požiadavka na minimálny ukazovateľ finančnej páky (%)</w:t>
            </w:r>
          </w:p>
          <w:p w14:paraId="43180C22" w14:textId="7CF2AC03" w:rsidR="000A7015" w:rsidRPr="00B53505" w:rsidRDefault="000A7015" w:rsidP="001E06A3">
            <w:pPr>
              <w:widowControl w:val="0"/>
              <w:spacing w:after="120"/>
              <w:jc w:val="both"/>
              <w:rPr>
                <w:rFonts w:ascii="Times New Roman" w:eastAsia="Book Antiqua" w:hAnsi="Times New Roman" w:cs="Times New Roman"/>
                <w:bCs/>
                <w:color w:val="000000"/>
                <w:spacing w:val="-4"/>
                <w:sz w:val="24"/>
                <w:shd w:val="clear" w:color="auto" w:fill="FFFFFF"/>
              </w:rPr>
            </w:pPr>
            <w:r w:rsidRPr="00B53505">
              <w:rPr>
                <w:rFonts w:ascii="Times New Roman" w:hAnsi="Times New Roman" w:cs="Times New Roman"/>
                <w:spacing w:val="-4"/>
                <w:sz w:val="24"/>
              </w:rPr>
              <w:t xml:space="preserve">Článok 92 ods. 1 písm. d), </w:t>
            </w:r>
            <w:r w:rsidRPr="00B53505">
              <w:rPr>
                <w:rFonts w:ascii="Times New Roman" w:hAnsi="Times New Roman" w:cs="Times New Roman"/>
                <w:bCs/>
                <w:color w:val="000000"/>
                <w:spacing w:val="-4"/>
                <w:sz w:val="24"/>
                <w:shd w:val="clear" w:color="auto" w:fill="FFFFFF"/>
              </w:rPr>
              <w:t>článok 429a ods. 1 písm. n)</w:t>
            </w:r>
            <w:r w:rsidR="00A3389E" w:rsidRPr="00B53505">
              <w:rPr>
                <w:rFonts w:ascii="Times New Roman" w:hAnsi="Times New Roman" w:cs="Times New Roman"/>
                <w:bCs/>
                <w:color w:val="000000"/>
                <w:spacing w:val="-4"/>
                <w:sz w:val="24"/>
                <w:shd w:val="clear" w:color="auto" w:fill="FFFFFF"/>
              </w:rPr>
              <w:t xml:space="preserve"> a </w:t>
            </w:r>
            <w:r w:rsidRPr="00B53505">
              <w:rPr>
                <w:rFonts w:ascii="Times New Roman" w:hAnsi="Times New Roman" w:cs="Times New Roman"/>
                <w:bCs/>
                <w:color w:val="000000"/>
                <w:spacing w:val="-4"/>
                <w:sz w:val="24"/>
                <w:shd w:val="clear" w:color="auto" w:fill="FFFFFF"/>
              </w:rPr>
              <w:t>článok 429a ods. 7 CRR</w:t>
            </w:r>
            <w:r w:rsidRPr="00B53505">
              <w:rPr>
                <w:rFonts w:ascii="Times New Roman" w:hAnsi="Times New Roman" w:cs="Times New Roman"/>
                <w:spacing w:val="-4"/>
                <w:sz w:val="24"/>
              </w:rPr>
              <w:t>.</w:t>
            </w:r>
          </w:p>
          <w:p w14:paraId="0C964B92" w14:textId="0C8BFC29" w:rsidR="000A7015" w:rsidRPr="00A3389E" w:rsidRDefault="000A7015" w:rsidP="001E06A3">
            <w:pPr>
              <w:tabs>
                <w:tab w:val="left" w:pos="400"/>
              </w:tabs>
              <w:spacing w:after="120"/>
              <w:jc w:val="both"/>
              <w:rPr>
                <w:rFonts w:ascii="Times New Roman" w:hAnsi="Times New Roman" w:cs="Times New Roman"/>
                <w:sz w:val="24"/>
                <w:u w:val="single"/>
              </w:rPr>
            </w:pPr>
            <w:r w:rsidRPr="00B53505">
              <w:rPr>
                <w:rFonts w:ascii="Times New Roman" w:hAnsi="Times New Roman" w:cs="Times New Roman"/>
                <w:bCs/>
                <w:color w:val="000000"/>
                <w:spacing w:val="-4"/>
                <w:sz w:val="24"/>
                <w:shd w:val="clear" w:color="auto" w:fill="FFFFFF"/>
              </w:rPr>
              <w:t>Inštitúcie zverejňujú požiadavku na ukazovateľ finančnej páky, ako sa stanovuje</w:t>
            </w:r>
            <w:r w:rsidR="00A3389E" w:rsidRPr="00B53505">
              <w:rPr>
                <w:rFonts w:ascii="Times New Roman" w:hAnsi="Times New Roman" w:cs="Times New Roman"/>
                <w:bCs/>
                <w:color w:val="000000"/>
                <w:spacing w:val="-4"/>
                <w:sz w:val="24"/>
                <w:shd w:val="clear" w:color="auto" w:fill="FFFFFF"/>
              </w:rPr>
              <w:t xml:space="preserve"> v </w:t>
            </w:r>
            <w:r w:rsidRPr="00B53505">
              <w:rPr>
                <w:rFonts w:ascii="Times New Roman" w:hAnsi="Times New Roman" w:cs="Times New Roman"/>
                <w:bCs/>
                <w:color w:val="000000"/>
                <w:spacing w:val="-4"/>
                <w:sz w:val="24"/>
                <w:shd w:val="clear" w:color="auto" w:fill="FFFFFF"/>
              </w:rPr>
              <w:t xml:space="preserve">článku 92 ods. 1 písm. d) CRR. Ak inštitúcia vylúči expozície </w:t>
            </w:r>
            <w:r w:rsidRPr="00B53505">
              <w:rPr>
                <w:rFonts w:ascii="Times New Roman" w:hAnsi="Times New Roman" w:cs="Times New Roman"/>
                <w:bCs/>
                <w:color w:val="000000"/>
                <w:spacing w:val="-4"/>
                <w:sz w:val="24"/>
                <w:shd w:val="clear" w:color="auto" w:fill="FFFFFF"/>
              </w:rPr>
              <w:lastRenderedPageBreak/>
              <w:t>uvedené</w:t>
            </w:r>
            <w:r w:rsidR="00A3389E" w:rsidRPr="00B53505">
              <w:rPr>
                <w:rFonts w:ascii="Times New Roman" w:hAnsi="Times New Roman" w:cs="Times New Roman"/>
                <w:bCs/>
                <w:color w:val="000000"/>
                <w:spacing w:val="-4"/>
                <w:sz w:val="24"/>
                <w:shd w:val="clear" w:color="auto" w:fill="FFFFFF"/>
              </w:rPr>
              <w:t xml:space="preserve"> v </w:t>
            </w:r>
            <w:r w:rsidRPr="00B53505">
              <w:rPr>
                <w:rFonts w:ascii="Times New Roman" w:hAnsi="Times New Roman" w:cs="Times New Roman"/>
                <w:bCs/>
                <w:color w:val="000000"/>
                <w:spacing w:val="-4"/>
                <w:sz w:val="24"/>
                <w:shd w:val="clear" w:color="auto" w:fill="FFFFFF"/>
              </w:rPr>
              <w:t>článku 429a ods. 1 písm. n) CRR, zverejňuje upravenú požiadavku na ukazovateľ finančnej páky vypočítanú</w:t>
            </w:r>
            <w:r w:rsidR="00A3389E" w:rsidRPr="00B53505">
              <w:rPr>
                <w:rFonts w:ascii="Times New Roman" w:hAnsi="Times New Roman" w:cs="Times New Roman"/>
                <w:bCs/>
                <w:color w:val="000000"/>
                <w:spacing w:val="-4"/>
                <w:sz w:val="24"/>
                <w:shd w:val="clear" w:color="auto" w:fill="FFFFFF"/>
              </w:rPr>
              <w:t xml:space="preserve"> v </w:t>
            </w:r>
            <w:r w:rsidRPr="00B53505">
              <w:rPr>
                <w:rFonts w:ascii="Times New Roman" w:hAnsi="Times New Roman" w:cs="Times New Roman"/>
                <w:bCs/>
                <w:color w:val="000000"/>
                <w:spacing w:val="-4"/>
                <w:sz w:val="24"/>
                <w:shd w:val="clear" w:color="auto" w:fill="FFFFFF"/>
              </w:rPr>
              <w:t>súlade</w:t>
            </w:r>
            <w:r w:rsidR="00A3389E" w:rsidRPr="00B53505">
              <w:rPr>
                <w:rFonts w:ascii="Times New Roman" w:hAnsi="Times New Roman" w:cs="Times New Roman"/>
                <w:bCs/>
                <w:color w:val="000000"/>
                <w:spacing w:val="-4"/>
                <w:sz w:val="24"/>
                <w:shd w:val="clear" w:color="auto" w:fill="FFFFFF"/>
              </w:rPr>
              <w:t xml:space="preserve"> s </w:t>
            </w:r>
            <w:r w:rsidRPr="00B53505">
              <w:rPr>
                <w:rFonts w:ascii="Times New Roman" w:hAnsi="Times New Roman" w:cs="Times New Roman"/>
                <w:bCs/>
                <w:color w:val="000000"/>
                <w:spacing w:val="-4"/>
                <w:sz w:val="24"/>
                <w:shd w:val="clear" w:color="auto" w:fill="FFFFFF"/>
              </w:rPr>
              <w:t>článkom 429a ods. 7 CRR.</w:t>
            </w:r>
          </w:p>
        </w:tc>
      </w:tr>
      <w:tr w:rsidR="000A7015" w:rsidRPr="00A3389E" w14:paraId="72CE026C" w14:textId="77777777" w:rsidTr="001E06A3">
        <w:trPr>
          <w:trHeight w:val="1792"/>
        </w:trPr>
        <w:tc>
          <w:tcPr>
            <w:tcW w:w="1384" w:type="dxa"/>
            <w:vAlign w:val="center"/>
          </w:tcPr>
          <w:p w14:paraId="6780A42C"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EU-26a</w:t>
            </w:r>
          </w:p>
        </w:tc>
        <w:tc>
          <w:tcPr>
            <w:tcW w:w="7655" w:type="dxa"/>
          </w:tcPr>
          <w:p w14:paraId="3DD6B98E" w14:textId="77777777" w:rsidR="00A3389E" w:rsidRPr="00A3389E"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A3389E">
              <w:rPr>
                <w:rFonts w:ascii="Times New Roman" w:hAnsi="Times New Roman" w:cs="Times New Roman"/>
                <w:b/>
                <w:sz w:val="24"/>
                <w:szCs w:val="24"/>
              </w:rPr>
              <w:t>Dodatočné požiadavky na vlastné zdroje na riešenie rizika nadmerného využívania finančnej páky (%)</w:t>
            </w:r>
          </w:p>
          <w:p w14:paraId="6F282987" w14:textId="35FCC9CE" w:rsidR="000A7015" w:rsidRPr="00B53505" w:rsidRDefault="000A7015" w:rsidP="001E06A3">
            <w:pPr>
              <w:pStyle w:val="Teksttreci0"/>
              <w:shd w:val="clear" w:color="auto" w:fill="auto"/>
              <w:spacing w:after="120" w:line="240" w:lineRule="auto"/>
              <w:ind w:firstLine="0"/>
              <w:rPr>
                <w:rFonts w:ascii="Times New Roman" w:hAnsi="Times New Roman" w:cs="Times New Roman"/>
                <w:spacing w:val="-4"/>
                <w:sz w:val="24"/>
                <w:szCs w:val="24"/>
              </w:rPr>
            </w:pPr>
            <w:r w:rsidRPr="00B53505">
              <w:rPr>
                <w:rFonts w:ascii="Times New Roman" w:hAnsi="Times New Roman" w:cs="Times New Roman"/>
                <w:spacing w:val="-4"/>
                <w:sz w:val="24"/>
                <w:szCs w:val="24"/>
              </w:rPr>
              <w:t>Dodatočné požiadavky na vlastné zdroje na riešenie rizika nadmerného využívania finančnej páky, ktoré uložil príslušný orgán podľa článku 104 ods. 1 písm. a) smernice 2013/36/EÚ („CRD“), vyjadrené ako percentuálny podiel veľkosti celkovej expozície.</w:t>
            </w:r>
          </w:p>
        </w:tc>
      </w:tr>
      <w:tr w:rsidR="000A7015" w:rsidRPr="00A3389E" w14:paraId="7C79E05D" w14:textId="77777777" w:rsidTr="001E06A3">
        <w:trPr>
          <w:trHeight w:val="1691"/>
        </w:trPr>
        <w:tc>
          <w:tcPr>
            <w:tcW w:w="1384" w:type="dxa"/>
            <w:vAlign w:val="center"/>
          </w:tcPr>
          <w:p w14:paraId="643FD61A"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EU-26b</w:t>
            </w:r>
          </w:p>
        </w:tc>
        <w:tc>
          <w:tcPr>
            <w:tcW w:w="7655" w:type="dxa"/>
          </w:tcPr>
          <w:p w14:paraId="0005A0CE" w14:textId="6F8F20EE" w:rsidR="000A7015" w:rsidRPr="00A3389E" w:rsidRDefault="00A60806"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cs="Times New Roman"/>
                <w:b/>
                <w:sz w:val="24"/>
                <w:szCs w:val="24"/>
              </w:rPr>
              <w:t xml:space="preserve"> </w:t>
            </w:r>
            <w:r w:rsidR="00A3389E">
              <w:rPr>
                <w:rFonts w:ascii="Times New Roman" w:hAnsi="Times New Roman" w:cs="Times New Roman"/>
                <w:b/>
                <w:sz w:val="24"/>
                <w:szCs w:val="24"/>
              </w:rPr>
              <w:t>z </w:t>
            </w:r>
            <w:r w:rsidR="00084D8B" w:rsidRPr="00A3389E">
              <w:rPr>
                <w:rFonts w:ascii="Times New Roman" w:hAnsi="Times New Roman" w:cs="Times New Roman"/>
                <w:b/>
                <w:sz w:val="24"/>
              </w:rPr>
              <w:t>čoho: ktoré majú byť tvorené kapitálom CET1 (percentuálne body)</w:t>
            </w:r>
          </w:p>
          <w:p w14:paraId="72F6ADE3" w14:textId="74967B11" w:rsidR="000A7015" w:rsidRPr="00A3389E" w:rsidRDefault="000A7015" w:rsidP="001E06A3">
            <w:pPr>
              <w:spacing w:after="120"/>
              <w:jc w:val="both"/>
              <w:rPr>
                <w:rFonts w:ascii="Times New Roman" w:hAnsi="Times New Roman" w:cs="Times New Roman"/>
                <w:b/>
                <w:sz w:val="24"/>
              </w:rPr>
            </w:pPr>
            <w:r w:rsidRPr="00A3389E">
              <w:rPr>
                <w:rFonts w:ascii="Times New Roman" w:hAnsi="Times New Roman" w:cs="Times New Roman"/>
                <w:sz w:val="24"/>
              </w:rPr>
              <w:t>Časť dodatočných požiadaviek na vlastné zdroje na riešenie rizika nadmerného využívania finančnej páky, ktoré uložil príslušný orgán podľa článku 104 ods. 1 písm. a) CRD, ktorá sa musí splniť prostredníctvom kapitálu CET1</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104a ods. 4 tretím pododsekom.</w:t>
            </w:r>
          </w:p>
        </w:tc>
      </w:tr>
      <w:tr w:rsidR="000A7015" w:rsidRPr="00A3389E" w14:paraId="2A1B1C6A" w14:textId="77777777" w:rsidTr="00B53505">
        <w:trPr>
          <w:trHeight w:val="132"/>
        </w:trPr>
        <w:tc>
          <w:tcPr>
            <w:tcW w:w="1384" w:type="dxa"/>
            <w:vAlign w:val="center"/>
          </w:tcPr>
          <w:p w14:paraId="6AA143FF"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27</w:t>
            </w:r>
          </w:p>
        </w:tc>
        <w:tc>
          <w:tcPr>
            <w:tcW w:w="7655" w:type="dxa"/>
          </w:tcPr>
          <w:p w14:paraId="47BA8359" w14:textId="7777777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Požiadavka na vankúš ukazovateľa finančnej páky (%)</w:t>
            </w:r>
          </w:p>
          <w:p w14:paraId="594DD4E2" w14:textId="7777777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Článok 92 ods. 1a CRR.</w:t>
            </w:r>
          </w:p>
          <w:p w14:paraId="19ECBCFE"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sidRPr="00A3389E">
              <w:rPr>
                <w:rFonts w:ascii="Times New Roman" w:hAnsi="Times New Roman" w:cs="Times New Roman"/>
                <w:sz w:val="24"/>
                <w:szCs w:val="24"/>
              </w:rPr>
              <w:t>Inštitúcie, na ktoré sa vzťahuje článok 92 ods. 1a CRR, zverejňujú svoju uplatniteľnú požiadavku na vankúš ukazovateľa finančnej páky.</w:t>
            </w:r>
          </w:p>
        </w:tc>
      </w:tr>
      <w:tr w:rsidR="000A7015" w:rsidRPr="00A3389E" w14:paraId="1BF6578D" w14:textId="77777777" w:rsidTr="001E06A3">
        <w:trPr>
          <w:trHeight w:val="816"/>
        </w:trPr>
        <w:tc>
          <w:tcPr>
            <w:tcW w:w="1384" w:type="dxa"/>
            <w:vAlign w:val="center"/>
          </w:tcPr>
          <w:p w14:paraId="6D1DD490"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EU-27a</w:t>
            </w:r>
          </w:p>
        </w:tc>
        <w:tc>
          <w:tcPr>
            <w:tcW w:w="7655" w:type="dxa"/>
          </w:tcPr>
          <w:p w14:paraId="2C709226" w14:textId="77777777" w:rsidR="000A7015" w:rsidRPr="00A3389E"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A3389E">
              <w:rPr>
                <w:rFonts w:ascii="Times New Roman" w:hAnsi="Times New Roman" w:cs="Times New Roman"/>
                <w:b/>
                <w:sz w:val="24"/>
                <w:szCs w:val="24"/>
              </w:rPr>
              <w:t>Požiadavka na celkový ukazovateľ finančnej páky (%)</w:t>
            </w:r>
          </w:p>
          <w:p w14:paraId="75A37CC4" w14:textId="050DA7F2" w:rsidR="000A7015" w:rsidRPr="00A3389E"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A3389E">
              <w:rPr>
                <w:rFonts w:ascii="Times New Roman" w:hAnsi="Times New Roman" w:cs="Times New Roman"/>
                <w:sz w:val="24"/>
                <w:szCs w:val="24"/>
              </w:rPr>
              <w:t>Súčet riadkov 26, EU-26a</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27 tohto vzoru.</w:t>
            </w:r>
          </w:p>
        </w:tc>
      </w:tr>
      <w:tr w:rsidR="000A7015" w:rsidRPr="00A3389E" w14:paraId="4F3B949F" w14:textId="77777777" w:rsidTr="001E06A3">
        <w:trPr>
          <w:trHeight w:val="416"/>
        </w:trPr>
        <w:tc>
          <w:tcPr>
            <w:tcW w:w="1384" w:type="dxa"/>
            <w:vAlign w:val="center"/>
          </w:tcPr>
          <w:p w14:paraId="548988E0"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EU-27b</w:t>
            </w:r>
          </w:p>
        </w:tc>
        <w:tc>
          <w:tcPr>
            <w:tcW w:w="7655" w:type="dxa"/>
          </w:tcPr>
          <w:p w14:paraId="3B54CC3F"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Výber prechodných opatrení na vymedzenie veľkosti kapitálu</w:t>
            </w:r>
          </w:p>
          <w:p w14:paraId="3F2C62AE"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499 ods. 2 CRR.</w:t>
            </w:r>
          </w:p>
          <w:p w14:paraId="24D2863A" w14:textId="7FD45C99"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uvedú svoj výber prechodných opatrení pre kapitál na účely požiadaviek na zverejňovanie tak, že zverejnia jedno</w:t>
            </w:r>
            <w:r w:rsidR="00A3389E">
              <w:rPr>
                <w:rFonts w:ascii="Times New Roman" w:hAnsi="Times New Roman" w:cs="Times New Roman"/>
                <w:sz w:val="24"/>
                <w:szCs w:val="24"/>
              </w:rPr>
              <w:t xml:space="preserve"> z </w:t>
            </w:r>
            <w:r w:rsidRPr="00A3389E">
              <w:rPr>
                <w:rFonts w:ascii="Times New Roman" w:hAnsi="Times New Roman" w:cs="Times New Roman"/>
                <w:sz w:val="24"/>
                <w:szCs w:val="24"/>
              </w:rPr>
              <w:t>týchto dvoch označení:</w:t>
            </w:r>
          </w:p>
          <w:p w14:paraId="3B7430D1" w14:textId="26F7848E" w:rsidR="000A7015" w:rsidRPr="00A3389E" w:rsidRDefault="00A3389E" w:rsidP="00A3389E">
            <w:pPr>
              <w:pStyle w:val="Teksttreci0"/>
              <w:shd w:val="clear" w:color="auto" w:fill="auto"/>
              <w:tabs>
                <w:tab w:val="left" w:pos="363"/>
              </w:tabs>
              <w:spacing w:after="120" w:line="240" w:lineRule="auto"/>
              <w:ind w:left="360" w:hanging="360"/>
              <w:rPr>
                <w:rFonts w:ascii="Times New Roman" w:hAnsi="Times New Roman" w:cs="Times New Roman"/>
                <w:sz w:val="24"/>
                <w:szCs w:val="24"/>
              </w:rPr>
            </w:pPr>
            <w:r w:rsidRPr="00A3389E">
              <w:rPr>
                <w:color w:val="000000"/>
              </w:rPr>
              <w:t>—</w:t>
            </w:r>
            <w:r w:rsidRPr="00A3389E">
              <w:rPr>
                <w:color w:val="000000"/>
              </w:rPr>
              <w:tab/>
            </w:r>
            <w:r w:rsidR="000A7015" w:rsidRPr="00A3389E">
              <w:rPr>
                <w:rFonts w:ascii="Times New Roman" w:hAnsi="Times New Roman" w:cs="Times New Roman"/>
                <w:sz w:val="24"/>
                <w:szCs w:val="24"/>
              </w:rPr>
              <w:t>„úplne zavedené“, ak sa inštitúcia rozhodne zverejňovať ukazovateľ finančnej páky</w:t>
            </w:r>
            <w:r>
              <w:rPr>
                <w:rFonts w:ascii="Times New Roman" w:hAnsi="Times New Roman" w:cs="Times New Roman"/>
                <w:sz w:val="24"/>
                <w:szCs w:val="24"/>
              </w:rPr>
              <w:t xml:space="preserve"> v </w:t>
            </w:r>
            <w:r w:rsidR="000A7015" w:rsidRPr="00A3389E">
              <w:rPr>
                <w:rFonts w:ascii="Times New Roman" w:hAnsi="Times New Roman" w:cs="Times New Roman"/>
                <w:sz w:val="24"/>
                <w:szCs w:val="24"/>
              </w:rPr>
              <w:t>súlade</w:t>
            </w:r>
            <w:r>
              <w:rPr>
                <w:rFonts w:ascii="Times New Roman" w:hAnsi="Times New Roman" w:cs="Times New Roman"/>
                <w:sz w:val="24"/>
                <w:szCs w:val="24"/>
              </w:rPr>
              <w:t xml:space="preserve"> s </w:t>
            </w:r>
            <w:r w:rsidR="000A7015" w:rsidRPr="00A3389E">
              <w:rPr>
                <w:rFonts w:ascii="Times New Roman" w:hAnsi="Times New Roman" w:cs="Times New Roman"/>
                <w:sz w:val="24"/>
                <w:szCs w:val="24"/>
              </w:rPr>
              <w:t>článkom 499 ods. 1 písm. a) CRR;</w:t>
            </w:r>
          </w:p>
          <w:p w14:paraId="7381A248" w14:textId="563CBEE7" w:rsidR="000A7015" w:rsidRPr="00A3389E" w:rsidRDefault="00A3389E" w:rsidP="00A3389E">
            <w:pPr>
              <w:pStyle w:val="Teksttreci0"/>
              <w:shd w:val="clear" w:color="auto" w:fill="auto"/>
              <w:tabs>
                <w:tab w:val="left" w:pos="363"/>
              </w:tabs>
              <w:spacing w:after="120" w:line="240" w:lineRule="auto"/>
              <w:ind w:left="360" w:hanging="360"/>
              <w:rPr>
                <w:rFonts w:ascii="Times New Roman" w:hAnsi="Times New Roman" w:cs="Times New Roman"/>
                <w:sz w:val="24"/>
                <w:szCs w:val="24"/>
              </w:rPr>
            </w:pPr>
            <w:r w:rsidRPr="00A3389E">
              <w:rPr>
                <w:color w:val="000000"/>
              </w:rPr>
              <w:t>—</w:t>
            </w:r>
            <w:r w:rsidRPr="00A3389E">
              <w:rPr>
                <w:color w:val="000000"/>
              </w:rPr>
              <w:tab/>
            </w:r>
            <w:r w:rsidR="000A7015" w:rsidRPr="00A3389E">
              <w:rPr>
                <w:rFonts w:ascii="Times New Roman" w:hAnsi="Times New Roman" w:cs="Times New Roman"/>
                <w:sz w:val="24"/>
                <w:szCs w:val="24"/>
              </w:rPr>
              <w:t>„prechodné“, ak sa inštitúcia rozhodne zverejňovať ukazovateľ finančnej páky</w:t>
            </w:r>
            <w:r>
              <w:rPr>
                <w:rFonts w:ascii="Times New Roman" w:hAnsi="Times New Roman" w:cs="Times New Roman"/>
                <w:sz w:val="24"/>
                <w:szCs w:val="24"/>
              </w:rPr>
              <w:t xml:space="preserve"> v </w:t>
            </w:r>
            <w:r w:rsidR="000A7015" w:rsidRPr="00A3389E">
              <w:rPr>
                <w:rFonts w:ascii="Times New Roman" w:hAnsi="Times New Roman" w:cs="Times New Roman"/>
                <w:sz w:val="24"/>
                <w:szCs w:val="24"/>
              </w:rPr>
              <w:t>súlade</w:t>
            </w:r>
            <w:r>
              <w:rPr>
                <w:rFonts w:ascii="Times New Roman" w:hAnsi="Times New Roman" w:cs="Times New Roman"/>
                <w:sz w:val="24"/>
                <w:szCs w:val="24"/>
              </w:rPr>
              <w:t xml:space="preserve"> s </w:t>
            </w:r>
            <w:r w:rsidR="000A7015" w:rsidRPr="00A3389E">
              <w:rPr>
                <w:rFonts w:ascii="Times New Roman" w:hAnsi="Times New Roman" w:cs="Times New Roman"/>
                <w:sz w:val="24"/>
                <w:szCs w:val="24"/>
              </w:rPr>
              <w:t>článkom 499 ods. 1 písm. b) CRR.</w:t>
            </w:r>
          </w:p>
        </w:tc>
      </w:tr>
      <w:tr w:rsidR="000A7015" w:rsidRPr="00A3389E" w14:paraId="3C022685" w14:textId="77777777" w:rsidTr="001E06A3">
        <w:trPr>
          <w:trHeight w:val="1461"/>
        </w:trPr>
        <w:tc>
          <w:tcPr>
            <w:tcW w:w="1384" w:type="dxa"/>
            <w:vAlign w:val="center"/>
          </w:tcPr>
          <w:p w14:paraId="3BC18A54"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 xml:space="preserve"> 28</w:t>
            </w:r>
          </w:p>
        </w:tc>
        <w:tc>
          <w:tcPr>
            <w:tcW w:w="7655" w:type="dxa"/>
            <w:vAlign w:val="center"/>
          </w:tcPr>
          <w:p w14:paraId="0AE487F1" w14:textId="712B42FB"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sz w:val="24"/>
                <w:szCs w:val="24"/>
              </w:rPr>
              <w:t>Priemer denných hodnôt hrubých aktív SFT po úprave</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transakcie na základe účtovania predajov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po vzájomnom započítaní súm súvisiacich peňažných záväzkov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peňažných pohľadávok</w:t>
            </w:r>
          </w:p>
          <w:p w14:paraId="7C3FF0B4" w14:textId="046CF188"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Článok 451 ods. 3 CRR; priemer súčtov riadkov 14</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15 na základe súčtov vypočítaných ku každému dňu štvrťroka zverejňovania informácií.</w:t>
            </w:r>
          </w:p>
        </w:tc>
      </w:tr>
      <w:tr w:rsidR="000A7015" w:rsidRPr="00A3389E" w14:paraId="54190E4C" w14:textId="77777777" w:rsidTr="001E06A3">
        <w:trPr>
          <w:trHeight w:val="2265"/>
        </w:trPr>
        <w:tc>
          <w:tcPr>
            <w:tcW w:w="1384" w:type="dxa"/>
            <w:vAlign w:val="center"/>
          </w:tcPr>
          <w:p w14:paraId="398CA358"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29</w:t>
            </w:r>
          </w:p>
        </w:tc>
        <w:tc>
          <w:tcPr>
            <w:tcW w:w="7655" w:type="dxa"/>
            <w:vAlign w:val="center"/>
          </w:tcPr>
          <w:p w14:paraId="63633771" w14:textId="75F60AE4"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Hodnota hrubých aktív SFT ku koncu štvrťroka, po úprave</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transakcie na základe účtovania predajov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po vzájomnom započítaní súm súvisiacich peňažných záväzkov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peňažných pohľadávok</w:t>
            </w:r>
          </w:p>
          <w:p w14:paraId="7052C709" w14:textId="69BDA995"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Ak sú riadky 14</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15 založené na hodnotách ku koncu štvrťroka, táto suma je súčtom riadkov 14</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15.</w:t>
            </w:r>
          </w:p>
          <w:p w14:paraId="32AA8E12" w14:textId="13BD9820"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b w:val="0"/>
                <w:sz w:val="24"/>
                <w:szCs w:val="24"/>
              </w:rPr>
              <w:t>Ak sú riadky 14</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15 založené na spriemerovaných hodnotách, táto suma je súčtom hodnôt ku koncu štvrťroka zodpovedajúcich obsahu riadkov 14</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15.</w:t>
            </w:r>
          </w:p>
        </w:tc>
      </w:tr>
      <w:tr w:rsidR="000A7015" w:rsidRPr="00A3389E" w14:paraId="61BFF9E1" w14:textId="77777777" w:rsidTr="001E06A3">
        <w:trPr>
          <w:trHeight w:val="2265"/>
        </w:trPr>
        <w:tc>
          <w:tcPr>
            <w:tcW w:w="1384" w:type="dxa"/>
            <w:vAlign w:val="center"/>
          </w:tcPr>
          <w:p w14:paraId="60465791"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30</w:t>
            </w:r>
          </w:p>
        </w:tc>
        <w:tc>
          <w:tcPr>
            <w:tcW w:w="7655" w:type="dxa"/>
            <w:vAlign w:val="center"/>
          </w:tcPr>
          <w:p w14:paraId="059A4D57" w14:textId="612BD64C"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Celková veľkosť expozície (vrátane vplyvu akejkoľvek uplatniteľnej dočasnej výnimky pre rezervy centrálnych bánk) zahŕňajúca priemerné hodnoty</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riadku 28 hrubých aktív SFT (po úprave</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transakcie na základe účtovania predajov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po vzájomnom započítaní súm súvisiacich peňažných záväzkov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peňažných pohľadávok)</w:t>
            </w:r>
          </w:p>
          <w:p w14:paraId="0B95B928"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Článok 451 ods. 3 CRR.</w:t>
            </w:r>
          </w:p>
          <w:p w14:paraId="09ECF001" w14:textId="5DB11124"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Celková veľkosť expozície (vrátane vplyvu akejkoľvek uplatniteľnej dočasnej výnimky pre rezervy centrálnych bánk)</w:t>
            </w:r>
            <w:r w:rsidR="00A3389E">
              <w:rPr>
                <w:rStyle w:val="TeksttreciPogrubienie"/>
                <w:rFonts w:ascii="Times New Roman" w:hAnsi="Times New Roman" w:cs="Times New Roman"/>
                <w:b w:val="0"/>
                <w:sz w:val="24"/>
                <w:szCs w:val="24"/>
              </w:rPr>
              <w:t xml:space="preserve"> s </w:t>
            </w:r>
            <w:r w:rsidRPr="00A3389E">
              <w:rPr>
                <w:rStyle w:val="TeksttreciPogrubienie"/>
                <w:rFonts w:ascii="Times New Roman" w:hAnsi="Times New Roman" w:cs="Times New Roman"/>
                <w:b w:val="0"/>
                <w:sz w:val="24"/>
                <w:szCs w:val="24"/>
              </w:rPr>
              <w:t>použitím priemerných hodnôt vypočítaných ku každému dňu štvrťroka zverejňovania informácií pre sumy veľkosti expozície súvisiace</w:t>
            </w:r>
            <w:r w:rsidR="00A3389E">
              <w:rPr>
                <w:rStyle w:val="TeksttreciPogrubienie"/>
                <w:rFonts w:ascii="Times New Roman" w:hAnsi="Times New Roman" w:cs="Times New Roman"/>
                <w:b w:val="0"/>
                <w:sz w:val="24"/>
                <w:szCs w:val="24"/>
              </w:rPr>
              <w:t xml:space="preserve"> s </w:t>
            </w:r>
            <w:r w:rsidRPr="00A3389E">
              <w:rPr>
                <w:rStyle w:val="TeksttreciPogrubienie"/>
                <w:rFonts w:ascii="Times New Roman" w:hAnsi="Times New Roman" w:cs="Times New Roman"/>
                <w:b w:val="0"/>
                <w:sz w:val="24"/>
                <w:szCs w:val="24"/>
              </w:rPr>
              <w:t>hrubými aktívami SFT (po úprave</w:t>
            </w:r>
            <w:r w:rsidR="00A3389E">
              <w:rPr>
                <w:rStyle w:val="TeksttreciPogrubienie"/>
                <w:rFonts w:ascii="Times New Roman" w:hAnsi="Times New Roman" w:cs="Times New Roman"/>
                <w:b w:val="0"/>
                <w:sz w:val="24"/>
                <w:szCs w:val="24"/>
              </w:rPr>
              <w:t xml:space="preserve"> o </w:t>
            </w:r>
            <w:r w:rsidRPr="00A3389E">
              <w:rPr>
                <w:rStyle w:val="TeksttreciPogrubienie"/>
                <w:rFonts w:ascii="Times New Roman" w:hAnsi="Times New Roman" w:cs="Times New Roman"/>
                <w:b w:val="0"/>
                <w:sz w:val="24"/>
                <w:szCs w:val="24"/>
              </w:rPr>
              <w:t>transakcie na základe účtovania predajov</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po vzájomnom započítaní súm súvisiacich peňažných záväzkov</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peňažných pohľadávok).</w:t>
            </w:r>
          </w:p>
        </w:tc>
      </w:tr>
      <w:tr w:rsidR="000A7015" w:rsidRPr="00A3389E" w14:paraId="4801CD6B" w14:textId="77777777" w:rsidTr="001E06A3">
        <w:trPr>
          <w:trHeight w:val="2265"/>
        </w:trPr>
        <w:tc>
          <w:tcPr>
            <w:tcW w:w="1384" w:type="dxa"/>
            <w:vAlign w:val="center"/>
          </w:tcPr>
          <w:p w14:paraId="1CE20A54"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30a</w:t>
            </w:r>
          </w:p>
        </w:tc>
        <w:tc>
          <w:tcPr>
            <w:tcW w:w="7655" w:type="dxa"/>
            <w:vAlign w:val="center"/>
          </w:tcPr>
          <w:p w14:paraId="26B2E6F9" w14:textId="2D7E13F2"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Celková veľkosť expozície (bez vplyvu akejkoľvek uplatniteľnej dočasnej výnimky pre rezervy centrálnych bánk) zahŕňajúca priemerné hodnoty</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riadku 28 hrubých aktív SFT (po úprave</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transakcie na základe účtovania predajov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po vzájomnom započítaní súm súvisiacich peňažných záväzkov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peňažných pohľadávok)</w:t>
            </w:r>
          </w:p>
          <w:p w14:paraId="3853A99C"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Článok 451 ods. 3 CRR.</w:t>
            </w:r>
          </w:p>
          <w:p w14:paraId="7C9EA6A0" w14:textId="03C262AC"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Celková veľkosť expozície (bez vplyvu akejkoľvek uplatniteľnej dočasnej výnimky pre rezervy centrálnych bánk)</w:t>
            </w:r>
            <w:r w:rsidR="00A3389E">
              <w:rPr>
                <w:rStyle w:val="TeksttreciPogrubienie"/>
                <w:rFonts w:ascii="Times New Roman" w:hAnsi="Times New Roman" w:cs="Times New Roman"/>
                <w:b w:val="0"/>
                <w:sz w:val="24"/>
                <w:szCs w:val="24"/>
              </w:rPr>
              <w:t xml:space="preserve"> s </w:t>
            </w:r>
            <w:r w:rsidRPr="00A3389E">
              <w:rPr>
                <w:rStyle w:val="TeksttreciPogrubienie"/>
                <w:rFonts w:ascii="Times New Roman" w:hAnsi="Times New Roman" w:cs="Times New Roman"/>
                <w:b w:val="0"/>
                <w:sz w:val="24"/>
                <w:szCs w:val="24"/>
              </w:rPr>
              <w:t>použitím priemerných hodnôt vypočítaných ku každému dňu štvrťroka zverejňovania informácií pre sumy veľkosti expozície súvisiace</w:t>
            </w:r>
            <w:r w:rsidR="00A3389E">
              <w:rPr>
                <w:rStyle w:val="TeksttreciPogrubienie"/>
                <w:rFonts w:ascii="Times New Roman" w:hAnsi="Times New Roman" w:cs="Times New Roman"/>
                <w:b w:val="0"/>
                <w:sz w:val="24"/>
                <w:szCs w:val="24"/>
              </w:rPr>
              <w:t xml:space="preserve"> s </w:t>
            </w:r>
            <w:r w:rsidRPr="00A3389E">
              <w:rPr>
                <w:rStyle w:val="TeksttreciPogrubienie"/>
                <w:rFonts w:ascii="Times New Roman" w:hAnsi="Times New Roman" w:cs="Times New Roman"/>
                <w:b w:val="0"/>
                <w:sz w:val="24"/>
                <w:szCs w:val="24"/>
              </w:rPr>
              <w:t>hrubými aktívami SFT (po úprave</w:t>
            </w:r>
            <w:r w:rsidR="00A3389E">
              <w:rPr>
                <w:rStyle w:val="TeksttreciPogrubienie"/>
                <w:rFonts w:ascii="Times New Roman" w:hAnsi="Times New Roman" w:cs="Times New Roman"/>
                <w:b w:val="0"/>
                <w:sz w:val="24"/>
                <w:szCs w:val="24"/>
              </w:rPr>
              <w:t xml:space="preserve"> o </w:t>
            </w:r>
            <w:r w:rsidRPr="00A3389E">
              <w:rPr>
                <w:rStyle w:val="TeksttreciPogrubienie"/>
                <w:rFonts w:ascii="Times New Roman" w:hAnsi="Times New Roman" w:cs="Times New Roman"/>
                <w:b w:val="0"/>
                <w:sz w:val="24"/>
                <w:szCs w:val="24"/>
              </w:rPr>
              <w:t>transakcie na základe účtovania predajov</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po vzájomnom započítaní súm súvisiacich peňažných záväzkov</w:t>
            </w:r>
            <w:r w:rsidR="00A3389E">
              <w:rPr>
                <w:rStyle w:val="TeksttreciPogrubienie"/>
                <w:rFonts w:ascii="Times New Roman" w:hAnsi="Times New Roman" w:cs="Times New Roman"/>
                <w:b w:val="0"/>
                <w:sz w:val="24"/>
                <w:szCs w:val="24"/>
              </w:rPr>
              <w:t xml:space="preserve"> a </w:t>
            </w:r>
            <w:r w:rsidRPr="00A3389E">
              <w:rPr>
                <w:rStyle w:val="TeksttreciPogrubienie"/>
                <w:rFonts w:ascii="Times New Roman" w:hAnsi="Times New Roman" w:cs="Times New Roman"/>
                <w:b w:val="0"/>
                <w:sz w:val="24"/>
                <w:szCs w:val="24"/>
              </w:rPr>
              <w:t>peňažných pohľadávok).</w:t>
            </w:r>
          </w:p>
          <w:p w14:paraId="6D6B49F9" w14:textId="55D006B5"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b w:val="0"/>
                <w:sz w:val="24"/>
                <w:szCs w:val="24"/>
              </w:rPr>
              <w:t>Ak sa na veľkosť celkovej expozície inštitúcie nevzťahuje dočasná výnimka pre rezervy centrálnych bánk, táto hodnota bude totožná</w:t>
            </w:r>
            <w:r w:rsidR="00A3389E">
              <w:rPr>
                <w:rStyle w:val="TeksttreciPogrubienie"/>
                <w:rFonts w:ascii="Times New Roman" w:hAnsi="Times New Roman" w:cs="Times New Roman"/>
                <w:b w:val="0"/>
                <w:sz w:val="24"/>
                <w:szCs w:val="24"/>
              </w:rPr>
              <w:t xml:space="preserve"> s </w:t>
            </w:r>
            <w:r w:rsidRPr="00A3389E">
              <w:rPr>
                <w:rStyle w:val="TeksttreciPogrubienie"/>
                <w:rFonts w:ascii="Times New Roman" w:hAnsi="Times New Roman" w:cs="Times New Roman"/>
                <w:b w:val="0"/>
                <w:sz w:val="24"/>
                <w:szCs w:val="24"/>
              </w:rPr>
              <w:t>hodnotou zverejnenou</w:t>
            </w:r>
            <w:r w:rsidR="00A3389E">
              <w:rPr>
                <w:rStyle w:val="TeksttreciPogrubienie"/>
                <w:rFonts w:ascii="Times New Roman" w:hAnsi="Times New Roman" w:cs="Times New Roman"/>
                <w:b w:val="0"/>
                <w:sz w:val="24"/>
                <w:szCs w:val="24"/>
              </w:rPr>
              <w:t xml:space="preserve"> v </w:t>
            </w:r>
            <w:r w:rsidRPr="00A3389E">
              <w:rPr>
                <w:rStyle w:val="TeksttreciPogrubienie"/>
                <w:rFonts w:ascii="Times New Roman" w:hAnsi="Times New Roman" w:cs="Times New Roman"/>
                <w:b w:val="0"/>
                <w:sz w:val="24"/>
                <w:szCs w:val="24"/>
              </w:rPr>
              <w:t>riadku 30 tohto vzoru.</w:t>
            </w:r>
          </w:p>
        </w:tc>
      </w:tr>
      <w:tr w:rsidR="000A7015" w:rsidRPr="00A3389E" w14:paraId="329A8249" w14:textId="77777777" w:rsidTr="001E06A3">
        <w:trPr>
          <w:trHeight w:val="836"/>
        </w:trPr>
        <w:tc>
          <w:tcPr>
            <w:tcW w:w="1384" w:type="dxa"/>
            <w:vAlign w:val="center"/>
          </w:tcPr>
          <w:p w14:paraId="0832545F"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31</w:t>
            </w:r>
          </w:p>
        </w:tc>
        <w:tc>
          <w:tcPr>
            <w:tcW w:w="7655" w:type="dxa"/>
            <w:vAlign w:val="center"/>
          </w:tcPr>
          <w:p w14:paraId="0DDB7377" w14:textId="2C2C7179"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Ukazovateľ finančnej páky (vrátane vplyvu akejkoľvek uplatniteľnej dočasnej výnimky pre rezervy centrálnych bánk) zahŕňajúci priemerné hodnoty</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riadku 28 hrubých aktív SFT (po úprave</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transakcie na základe účtovania predajov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po vzájomnom započítaní súm súvisiacich peňažných záväzkov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peňažných pohľadávok)</w:t>
            </w:r>
          </w:p>
          <w:p w14:paraId="36E9637D"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Článok 451 ods. 3 CRR.</w:t>
            </w:r>
          </w:p>
        </w:tc>
      </w:tr>
      <w:tr w:rsidR="000A7015" w:rsidRPr="00A3389E" w14:paraId="555EAADF" w14:textId="77777777" w:rsidTr="001E06A3">
        <w:trPr>
          <w:trHeight w:val="915"/>
        </w:trPr>
        <w:tc>
          <w:tcPr>
            <w:tcW w:w="1384" w:type="dxa"/>
            <w:vAlign w:val="center"/>
          </w:tcPr>
          <w:p w14:paraId="6C84F61F"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31a</w:t>
            </w:r>
          </w:p>
        </w:tc>
        <w:tc>
          <w:tcPr>
            <w:tcW w:w="7655" w:type="dxa"/>
            <w:vAlign w:val="center"/>
          </w:tcPr>
          <w:p w14:paraId="43E2E7AA" w14:textId="08F435AC"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A3389E">
              <w:rPr>
                <w:rStyle w:val="TeksttreciPogrubienie"/>
                <w:rFonts w:ascii="Times New Roman" w:hAnsi="Times New Roman" w:cs="Times New Roman"/>
                <w:sz w:val="24"/>
                <w:szCs w:val="24"/>
              </w:rPr>
              <w:t>Ukazovateľ finančnej páky (bez vplyvu akejkoľvek uplatniteľnej dočasnej výnimky pre rezervy centrálnych bánk) zahŕňajúci priemerné hodnoty</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riadku 28 hrubých aktív SFT (po úprave</w:t>
            </w:r>
            <w:r w:rsidR="00A3389E">
              <w:rPr>
                <w:rStyle w:val="TeksttreciPogrubienie"/>
                <w:rFonts w:ascii="Times New Roman" w:hAnsi="Times New Roman" w:cs="Times New Roman"/>
                <w:sz w:val="24"/>
                <w:szCs w:val="24"/>
              </w:rPr>
              <w:t xml:space="preserve"> o </w:t>
            </w:r>
            <w:r w:rsidRPr="00A3389E">
              <w:rPr>
                <w:rStyle w:val="TeksttreciPogrubienie"/>
                <w:rFonts w:ascii="Times New Roman" w:hAnsi="Times New Roman" w:cs="Times New Roman"/>
                <w:sz w:val="24"/>
                <w:szCs w:val="24"/>
              </w:rPr>
              <w:t>transakcie na základe účtovania predajov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po vzájomnom započítaní súm súvisiacich peňažných záväzkov</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peňažných pohľadávok)</w:t>
            </w:r>
          </w:p>
          <w:p w14:paraId="72DE4DE1" w14:textId="77777777" w:rsidR="000A7015" w:rsidRPr="00A3389E"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A3389E">
              <w:rPr>
                <w:rStyle w:val="TeksttreciPogrubienie"/>
                <w:rFonts w:ascii="Times New Roman" w:hAnsi="Times New Roman" w:cs="Times New Roman"/>
                <w:b w:val="0"/>
                <w:sz w:val="24"/>
                <w:szCs w:val="24"/>
              </w:rPr>
              <w:t>Článok 451 ods. 3 CRR.</w:t>
            </w:r>
          </w:p>
        </w:tc>
      </w:tr>
    </w:tbl>
    <w:p w14:paraId="2BCE09D9" w14:textId="77777777" w:rsidR="000A7015" w:rsidRPr="00A3389E"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1A5CA5B2" w14:textId="0A6253AA" w:rsidR="000A7015" w:rsidRPr="00A3389E"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A3389E">
        <w:rPr>
          <w:rFonts w:ascii="Times New Roman" w:hAnsi="Times New Roman" w:cs="Times New Roman"/>
          <w:color w:val="000000"/>
          <w:sz w:val="24"/>
          <w:szCs w:val="24"/>
        </w:rPr>
        <w:t>Vzor EU LR3 – LRSpl: Rozčlenenie súvahových expozícií (bez derivátov, SFT</w:t>
      </w:r>
      <w:r w:rsidR="00A3389E">
        <w:rPr>
          <w:rFonts w:ascii="Times New Roman" w:hAnsi="Times New Roman" w:cs="Times New Roman"/>
          <w:color w:val="000000"/>
          <w:sz w:val="24"/>
          <w:szCs w:val="24"/>
        </w:rPr>
        <w:t xml:space="preserve"> a </w:t>
      </w:r>
      <w:r w:rsidRPr="00A3389E">
        <w:rPr>
          <w:rFonts w:ascii="Times New Roman" w:hAnsi="Times New Roman" w:cs="Times New Roman"/>
          <w:color w:val="000000"/>
          <w:sz w:val="24"/>
          <w:szCs w:val="24"/>
        </w:rPr>
        <w:t xml:space="preserve">vyňatých expozícií). </w:t>
      </w:r>
      <w:r w:rsidRPr="00A3389E">
        <w:rPr>
          <w:rFonts w:ascii="Times New Roman" w:hAnsi="Times New Roman" w:cs="Times New Roman"/>
          <w:b w:val="0"/>
          <w:color w:val="000000"/>
          <w:sz w:val="24"/>
          <w:szCs w:val="24"/>
        </w:rPr>
        <w:t>Pevný formát</w:t>
      </w:r>
    </w:p>
    <w:p w14:paraId="6F4D6BA9" w14:textId="5936234D" w:rsidR="000A7015" w:rsidRPr="00A3389E" w:rsidRDefault="00A3389E" w:rsidP="00A3389E">
      <w:pPr>
        <w:spacing w:after="120"/>
        <w:ind w:left="426" w:hanging="360"/>
        <w:rPr>
          <w:rFonts w:ascii="Times New Roman" w:hAnsi="Times New Roman"/>
          <w:sz w:val="24"/>
        </w:rPr>
      </w:pPr>
      <w:r w:rsidRPr="00A3389E">
        <w:rPr>
          <w:rFonts w:ascii="Times New Roman" w:eastAsia="Calibri" w:hAnsi="Times New Roman" w:cs="Times New Roman"/>
          <w:sz w:val="24"/>
        </w:rPr>
        <w:t>5.</w:t>
      </w:r>
      <w:r w:rsidRPr="00A3389E">
        <w:rPr>
          <w:rFonts w:ascii="Times New Roman" w:eastAsia="Calibri" w:hAnsi="Times New Roman" w:cs="Times New Roman"/>
          <w:sz w:val="24"/>
        </w:rPr>
        <w:tab/>
      </w:r>
      <w:r w:rsidR="000A7015" w:rsidRPr="00A3389E">
        <w:rPr>
          <w:rFonts w:ascii="Times New Roman" w:hAnsi="Times New Roman"/>
          <w:color w:val="000000"/>
          <w:sz w:val="24"/>
        </w:rPr>
        <w:t>Inštitúcie uplatňujú pokyny uvedené</w:t>
      </w:r>
      <w:r>
        <w:rPr>
          <w:rFonts w:ascii="Times New Roman" w:hAnsi="Times New Roman"/>
          <w:color w:val="000000"/>
          <w:sz w:val="24"/>
        </w:rPr>
        <w:t xml:space="preserve"> v </w:t>
      </w:r>
      <w:r w:rsidR="000A7015" w:rsidRPr="00A3389E">
        <w:rPr>
          <w:rFonts w:ascii="Times New Roman" w:hAnsi="Times New Roman"/>
          <w:color w:val="000000"/>
          <w:sz w:val="24"/>
        </w:rPr>
        <w:t>tomto oddiele na vyplnenie vzoru LRSpl pri uplatňovaní článku 451 ods. 1 písm. b)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A3389E"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50BCF535" w:rsidR="000A7015" w:rsidRPr="00A3389E" w:rsidRDefault="000A7015" w:rsidP="001E06A3">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A7015" w:rsidRPr="00A3389E" w14:paraId="17670837" w14:textId="77777777" w:rsidTr="001E06A3">
        <w:trPr>
          <w:trHeight w:val="238"/>
        </w:trPr>
        <w:tc>
          <w:tcPr>
            <w:tcW w:w="1384" w:type="dxa"/>
            <w:shd w:val="clear" w:color="auto" w:fill="D9D9D9" w:themeFill="background1" w:themeFillShade="D9"/>
          </w:tcPr>
          <w:p w14:paraId="0A46D916" w14:textId="77777777" w:rsidR="000A7015" w:rsidRPr="00A3389E" w:rsidRDefault="000A7015" w:rsidP="001E06A3">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5B02D9B6" w14:textId="77777777" w:rsidR="000A7015" w:rsidRPr="00A3389E" w:rsidRDefault="000A7015" w:rsidP="001E06A3">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A7015" w:rsidRPr="00A3389E" w14:paraId="6089139F" w14:textId="77777777" w:rsidTr="001E06A3">
        <w:trPr>
          <w:trHeight w:val="1161"/>
        </w:trPr>
        <w:tc>
          <w:tcPr>
            <w:tcW w:w="1384" w:type="dxa"/>
            <w:vAlign w:val="center"/>
          </w:tcPr>
          <w:p w14:paraId="66B2EB70"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EU-1</w:t>
            </w:r>
          </w:p>
        </w:tc>
        <w:tc>
          <w:tcPr>
            <w:tcW w:w="7655" w:type="dxa"/>
          </w:tcPr>
          <w:p w14:paraId="78FF1022" w14:textId="37231038"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Celkové súvahové expozície (bez derivátov, SFT</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vyňatých expozícií),</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čoho:</w:t>
            </w:r>
          </w:p>
          <w:p w14:paraId="6C1AF07E" w14:textId="373CE86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súčet súm</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riadkoch EU-2</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 xml:space="preserve">EU-3 </w:t>
            </w:r>
            <w:r w:rsidRPr="00A3389E">
              <w:rPr>
                <w:rFonts w:ascii="Times New Roman" w:hAnsi="Times New Roman" w:cs="Times New Roman"/>
                <w:color w:val="000000"/>
                <w:sz w:val="24"/>
                <w:szCs w:val="24"/>
              </w:rPr>
              <w:t xml:space="preserve">vzoru EU LR3 – </w:t>
            </w:r>
            <w:r w:rsidRPr="00A3389E">
              <w:rPr>
                <w:rFonts w:ascii="Times New Roman" w:hAnsi="Times New Roman" w:cs="Times New Roman"/>
                <w:sz w:val="24"/>
                <w:szCs w:val="24"/>
              </w:rPr>
              <w:t>LRSpl.</w:t>
            </w:r>
          </w:p>
        </w:tc>
      </w:tr>
      <w:tr w:rsidR="000A7015" w:rsidRPr="00A3389E" w14:paraId="57D6641E" w14:textId="77777777" w:rsidTr="001E06A3">
        <w:trPr>
          <w:trHeight w:val="1438"/>
        </w:trPr>
        <w:tc>
          <w:tcPr>
            <w:tcW w:w="1384" w:type="dxa"/>
            <w:vAlign w:val="center"/>
          </w:tcPr>
          <w:p w14:paraId="05C2B2BA"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EU-2</w:t>
            </w:r>
          </w:p>
        </w:tc>
        <w:tc>
          <w:tcPr>
            <w:tcW w:w="7655" w:type="dxa"/>
          </w:tcPr>
          <w:p w14:paraId="194F35A1" w14:textId="62D41925"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Expozície</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obchodnej knihe</w:t>
            </w:r>
          </w:p>
          <w:p w14:paraId="0EC933D6" w14:textId="11D24AB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expozície, ktoré sú súčasťou celkovej hodnoty expozícií aktív patriacich do obchodnej knihy</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výnimkou derivátov, SFT</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vyňatých expozícií.</w:t>
            </w:r>
          </w:p>
        </w:tc>
      </w:tr>
      <w:tr w:rsidR="000A7015" w:rsidRPr="00A3389E" w14:paraId="345F6F21" w14:textId="77777777" w:rsidTr="001E06A3">
        <w:trPr>
          <w:trHeight w:val="438"/>
        </w:trPr>
        <w:tc>
          <w:tcPr>
            <w:tcW w:w="1384" w:type="dxa"/>
            <w:vAlign w:val="center"/>
          </w:tcPr>
          <w:p w14:paraId="56CBC8C2"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EU-3</w:t>
            </w:r>
          </w:p>
        </w:tc>
        <w:tc>
          <w:tcPr>
            <w:tcW w:w="7655" w:type="dxa"/>
          </w:tcPr>
          <w:p w14:paraId="62E1AFF6" w14:textId="5DE8C1E8"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Expozície</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bankovej knihe,</w:t>
            </w:r>
            <w:r w:rsidR="00A3389E">
              <w:rPr>
                <w:rStyle w:val="TeksttreciPogrubienie"/>
                <w:rFonts w:ascii="Times New Roman" w:hAnsi="Times New Roman" w:cs="Times New Roman"/>
                <w:sz w:val="24"/>
                <w:szCs w:val="24"/>
              </w:rPr>
              <w:t xml:space="preserve"> z </w:t>
            </w:r>
            <w:r w:rsidRPr="00A3389E">
              <w:rPr>
                <w:rStyle w:val="TeksttreciPogrubienie"/>
                <w:rFonts w:ascii="Times New Roman" w:hAnsi="Times New Roman" w:cs="Times New Roman"/>
                <w:sz w:val="24"/>
                <w:szCs w:val="24"/>
              </w:rPr>
              <w:t>čoho:</w:t>
            </w:r>
          </w:p>
          <w:p w14:paraId="07286961" w14:textId="7B5D91D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súčet hodnôt</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riadkoch EU-4 až EU-12 </w:t>
            </w:r>
            <w:r w:rsidRPr="00A3389E">
              <w:rPr>
                <w:rFonts w:ascii="Times New Roman" w:hAnsi="Times New Roman" w:cs="Times New Roman"/>
                <w:color w:val="000000"/>
                <w:sz w:val="24"/>
                <w:szCs w:val="24"/>
              </w:rPr>
              <w:t>vzoru EU LR3 –</w:t>
            </w:r>
            <w:r w:rsidRPr="00A3389E">
              <w:rPr>
                <w:rFonts w:ascii="Times New Roman" w:hAnsi="Times New Roman" w:cs="Times New Roman"/>
                <w:sz w:val="24"/>
                <w:szCs w:val="24"/>
              </w:rPr>
              <w:t xml:space="preserve"> LRSpl.</w:t>
            </w:r>
          </w:p>
        </w:tc>
      </w:tr>
      <w:tr w:rsidR="000A7015" w:rsidRPr="00A3389E" w14:paraId="6651778B" w14:textId="77777777" w:rsidTr="007E3CA8">
        <w:trPr>
          <w:trHeight w:val="1956"/>
        </w:trPr>
        <w:tc>
          <w:tcPr>
            <w:tcW w:w="1384" w:type="dxa"/>
            <w:vAlign w:val="center"/>
          </w:tcPr>
          <w:p w14:paraId="4C370401"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EU-4</w:t>
            </w:r>
          </w:p>
        </w:tc>
        <w:tc>
          <w:tcPr>
            <w:tcW w:w="7655" w:type="dxa"/>
          </w:tcPr>
          <w:p w14:paraId="75A16AFC"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Kryté dlhopisy</w:t>
            </w:r>
          </w:p>
          <w:p w14:paraId="4C923078" w14:textId="0C048309"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súčet expozícií, čo je celková hodnota expozícií aktív, ktoré sú vo forme krytých dlhopisov</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zmysle vymedzenia</w:t>
            </w:r>
            <w:r w:rsidR="00A3389E">
              <w:rPr>
                <w:rFonts w:ascii="Times New Roman" w:hAnsi="Times New Roman" w:cs="Times New Roman"/>
                <w:sz w:val="24"/>
                <w:szCs w:val="24"/>
              </w:rPr>
              <w:t xml:space="preserve"> v </w:t>
            </w:r>
            <w:r w:rsidRPr="00A3389E">
              <w:rPr>
                <w:rFonts w:ascii="Times New Roman" w:hAnsi="Times New Roman" w:cs="Times New Roman"/>
                <w:bCs/>
                <w:sz w:val="24"/>
                <w:szCs w:val="24"/>
              </w:rPr>
              <w:t>článku 129</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článku 161 ods. 1 písm. d) CRR.</w:t>
            </w:r>
          </w:p>
          <w:p w14:paraId="1F5A4D3A" w14:textId="58F7C8AA"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Inštitúcie zverejňujú celkovú expozíciu voči krytým dlhopisom po odpočítaní expozícií</w:t>
            </w:r>
            <w:r w:rsidR="00A3389E">
              <w:rPr>
                <w:rFonts w:ascii="Times New Roman" w:hAnsi="Times New Roman"/>
                <w:bCs/>
                <w:sz w:val="24"/>
                <w:szCs w:val="24"/>
              </w:rPr>
              <w:t xml:space="preserve"> v </w:t>
            </w:r>
            <w:r w:rsidRPr="00A3389E">
              <w:rPr>
                <w:rFonts w:ascii="Times New Roman" w:hAnsi="Times New Roman"/>
                <w:bCs/>
                <w:sz w:val="24"/>
                <w:szCs w:val="24"/>
              </w:rPr>
              <w:t>stave zlyhania.</w:t>
            </w:r>
          </w:p>
        </w:tc>
      </w:tr>
      <w:tr w:rsidR="000A7015" w:rsidRPr="00A3389E" w14:paraId="1B271027" w14:textId="77777777" w:rsidTr="001E06A3">
        <w:trPr>
          <w:trHeight w:val="2265"/>
        </w:trPr>
        <w:tc>
          <w:tcPr>
            <w:tcW w:w="1384" w:type="dxa"/>
            <w:vAlign w:val="center"/>
          </w:tcPr>
          <w:p w14:paraId="5E6408A7"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EU-5</w:t>
            </w:r>
          </w:p>
        </w:tc>
        <w:tc>
          <w:tcPr>
            <w:tcW w:w="7655" w:type="dxa"/>
          </w:tcPr>
          <w:p w14:paraId="3EACE3DB" w14:textId="530FEBD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Expozície,</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ktorými sa zaobchádza ako so štátmi</w:t>
            </w:r>
          </w:p>
          <w:p w14:paraId="09AE25B3" w14:textId="73C2335F" w:rsidR="000A7015" w:rsidRPr="00A3389E"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A3389E">
              <w:rPr>
                <w:rFonts w:ascii="Times New Roman" w:hAnsi="Times New Roman" w:cs="Times New Roman"/>
                <w:sz w:val="24"/>
                <w:szCs w:val="24"/>
              </w:rPr>
              <w:t>Inštitúcie zverejňujú súčet expozícií, čo je celková hodnota expozícií voči subjektom,</w:t>
            </w:r>
            <w:r w:rsidR="00A3389E">
              <w:rPr>
                <w:rFonts w:ascii="Times New Roman" w:hAnsi="Times New Roman" w:cs="Times New Roman"/>
                <w:sz w:val="24"/>
                <w:szCs w:val="24"/>
              </w:rPr>
              <w:t xml:space="preserve"> s </w:t>
            </w:r>
            <w:r w:rsidRPr="00A3389E">
              <w:rPr>
                <w:rFonts w:ascii="Times New Roman" w:hAnsi="Times New Roman" w:cs="Times New Roman"/>
                <w:sz w:val="24"/>
                <w:szCs w:val="24"/>
              </w:rPr>
              <w:t xml:space="preserve">ktorými sa podľa CRR zaobchádza ako so štátmi. </w:t>
            </w:r>
            <w:r w:rsidRPr="00A3389E">
              <w:rPr>
                <w:rFonts w:ascii="Times New Roman" w:hAnsi="Times New Roman" w:cs="Times New Roman"/>
                <w:bCs/>
                <w:sz w:val="24"/>
                <w:szCs w:val="24"/>
              </w:rPr>
              <w:t>Ústredné vlády</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centrálne banky [článok 114</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článok 147 ods. 2 písm. a) CRR]; regionálne vlády</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miestne orgány,</w:t>
            </w:r>
            <w:r w:rsidR="00A3389E">
              <w:rPr>
                <w:rFonts w:ascii="Times New Roman" w:hAnsi="Times New Roman" w:cs="Times New Roman"/>
                <w:bCs/>
                <w:sz w:val="24"/>
                <w:szCs w:val="24"/>
              </w:rPr>
              <w:t xml:space="preserve"> s </w:t>
            </w:r>
            <w:r w:rsidRPr="00A3389E">
              <w:rPr>
                <w:rFonts w:ascii="Times New Roman" w:hAnsi="Times New Roman" w:cs="Times New Roman"/>
                <w:bCs/>
                <w:sz w:val="24"/>
                <w:szCs w:val="24"/>
              </w:rPr>
              <w:t>ktorými sa zaobchádza ako so štátmi [článok 115 ods. 2</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4</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článok 147 ods. 3 písm. a) CRR], multilaterálne rozvojové banky</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medzinárodné organizácie,</w:t>
            </w:r>
            <w:r w:rsidR="00A3389E">
              <w:rPr>
                <w:rFonts w:ascii="Times New Roman" w:hAnsi="Times New Roman" w:cs="Times New Roman"/>
                <w:bCs/>
                <w:sz w:val="24"/>
                <w:szCs w:val="24"/>
              </w:rPr>
              <w:t xml:space="preserve"> s </w:t>
            </w:r>
            <w:r w:rsidRPr="00A3389E">
              <w:rPr>
                <w:rFonts w:ascii="Times New Roman" w:hAnsi="Times New Roman" w:cs="Times New Roman"/>
                <w:bCs/>
                <w:sz w:val="24"/>
                <w:szCs w:val="24"/>
              </w:rPr>
              <w:t>ktorými sa zaobchádza ako so štátmi [článok 117 ods. 2, článok 118</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článok 147 ods. 3 písm. b)</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c) CRR], subjekty verejného sektora [článok 116 ods. 4</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článok 147 ods. 3 písm. a) CRR].</w:t>
            </w:r>
          </w:p>
          <w:p w14:paraId="78E8EF08" w14:textId="28DDF688" w:rsidR="000A7015" w:rsidRPr="00A3389E" w:rsidRDefault="000A7015" w:rsidP="001E06A3">
            <w:pPr>
              <w:pStyle w:val="BodyText1"/>
              <w:spacing w:after="120" w:line="240" w:lineRule="auto"/>
              <w:rPr>
                <w:rFonts w:ascii="Times New Roman" w:hAnsi="Times New Roman"/>
                <w:sz w:val="24"/>
                <w:szCs w:val="24"/>
              </w:rPr>
            </w:pPr>
            <w:r w:rsidRPr="00A3389E">
              <w:rPr>
                <w:rFonts w:ascii="Times New Roman" w:hAnsi="Times New Roman"/>
                <w:bCs/>
                <w:sz w:val="24"/>
                <w:szCs w:val="24"/>
              </w:rPr>
              <w:lastRenderedPageBreak/>
              <w:t>Inštitúcie zverejňujú celkovú expozíciu voči štátom po odpočítaní expozícií</w:t>
            </w:r>
            <w:r w:rsidR="00A3389E">
              <w:rPr>
                <w:rFonts w:ascii="Times New Roman" w:hAnsi="Times New Roman"/>
                <w:bCs/>
                <w:sz w:val="24"/>
                <w:szCs w:val="24"/>
              </w:rPr>
              <w:t xml:space="preserve"> v </w:t>
            </w:r>
            <w:r w:rsidRPr="00A3389E">
              <w:rPr>
                <w:rFonts w:ascii="Times New Roman" w:hAnsi="Times New Roman"/>
                <w:bCs/>
                <w:sz w:val="24"/>
                <w:szCs w:val="24"/>
              </w:rPr>
              <w:t>stave zlyhania.</w:t>
            </w:r>
          </w:p>
        </w:tc>
      </w:tr>
      <w:tr w:rsidR="000A7015" w:rsidRPr="00A3389E" w14:paraId="582909C2" w14:textId="77777777" w:rsidTr="007E3CA8">
        <w:trPr>
          <w:trHeight w:val="1121"/>
        </w:trPr>
        <w:tc>
          <w:tcPr>
            <w:tcW w:w="1384" w:type="dxa"/>
            <w:vAlign w:val="center"/>
          </w:tcPr>
          <w:p w14:paraId="44A36097"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EU-6</w:t>
            </w:r>
          </w:p>
        </w:tc>
        <w:tc>
          <w:tcPr>
            <w:tcW w:w="7655" w:type="dxa"/>
          </w:tcPr>
          <w:p w14:paraId="4ABD5214" w14:textId="4B3941B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Expozície voči regionálnym vládam, multilaterálnym rozvojovým bankám, medzinárodným organizáciám</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subjektom verejného sektora,</w:t>
            </w:r>
            <w:r w:rsidR="00A3389E">
              <w:rPr>
                <w:rStyle w:val="TeksttreciPogrubienie"/>
                <w:rFonts w:ascii="Times New Roman" w:hAnsi="Times New Roman" w:cs="Times New Roman"/>
                <w:sz w:val="24"/>
                <w:szCs w:val="24"/>
              </w:rPr>
              <w:t xml:space="preserve"> s </w:t>
            </w:r>
            <w:r w:rsidRPr="00A3389E">
              <w:rPr>
                <w:rStyle w:val="TeksttreciPogrubienie"/>
                <w:rFonts w:ascii="Times New Roman" w:hAnsi="Times New Roman" w:cs="Times New Roman"/>
                <w:sz w:val="24"/>
                <w:szCs w:val="24"/>
              </w:rPr>
              <w:t>ktorými sa nezaobchádza ako so štátmi</w:t>
            </w:r>
          </w:p>
          <w:p w14:paraId="5C029F35" w14:textId="64BCAE27" w:rsidR="000A7015" w:rsidRPr="00B53505" w:rsidRDefault="000A7015" w:rsidP="001E06A3">
            <w:pPr>
              <w:pStyle w:val="BodyText1"/>
              <w:spacing w:after="120" w:line="240" w:lineRule="auto"/>
              <w:rPr>
                <w:rFonts w:ascii="Times New Roman" w:eastAsia="Book Antiqua" w:hAnsi="Times New Roman"/>
                <w:bCs/>
                <w:color w:val="auto"/>
                <w:spacing w:val="-4"/>
                <w:sz w:val="24"/>
                <w:szCs w:val="24"/>
              </w:rPr>
            </w:pPr>
            <w:r w:rsidRPr="00B53505">
              <w:rPr>
                <w:rFonts w:ascii="Times New Roman" w:hAnsi="Times New Roman"/>
                <w:bCs/>
                <w:color w:val="auto"/>
                <w:spacing w:val="-4"/>
                <w:sz w:val="24"/>
                <w:szCs w:val="24"/>
              </w:rPr>
              <w:t>Inštitúcie zverejňujú súčet expozícií, čo je celková hodnota expozície voči regionálnym vládam</w:t>
            </w:r>
            <w:r w:rsidR="00A3389E" w:rsidRPr="00B53505">
              <w:rPr>
                <w:rFonts w:ascii="Times New Roman" w:hAnsi="Times New Roman"/>
                <w:bCs/>
                <w:color w:val="auto"/>
                <w:spacing w:val="-4"/>
                <w:sz w:val="24"/>
                <w:szCs w:val="24"/>
              </w:rPr>
              <w:t xml:space="preserve"> a </w:t>
            </w:r>
            <w:r w:rsidRPr="00B53505">
              <w:rPr>
                <w:rFonts w:ascii="Times New Roman" w:hAnsi="Times New Roman"/>
                <w:bCs/>
                <w:color w:val="auto"/>
                <w:spacing w:val="-4"/>
                <w:sz w:val="24"/>
                <w:szCs w:val="24"/>
              </w:rPr>
              <w:t>miestnym orgánom</w:t>
            </w:r>
            <w:r w:rsidR="00A3389E" w:rsidRPr="00B53505">
              <w:rPr>
                <w:rFonts w:ascii="Times New Roman" w:hAnsi="Times New Roman"/>
                <w:bCs/>
                <w:color w:val="auto"/>
                <w:spacing w:val="-4"/>
                <w:sz w:val="24"/>
                <w:szCs w:val="24"/>
              </w:rPr>
              <w:t xml:space="preserve"> v </w:t>
            </w:r>
            <w:r w:rsidRPr="00B53505">
              <w:rPr>
                <w:rFonts w:ascii="Times New Roman" w:hAnsi="Times New Roman"/>
                <w:bCs/>
                <w:color w:val="auto"/>
                <w:spacing w:val="-4"/>
                <w:sz w:val="24"/>
                <w:szCs w:val="24"/>
              </w:rPr>
              <w:t>zmysle vymedzenia</w:t>
            </w:r>
            <w:r w:rsidR="00A3389E" w:rsidRPr="00B53505">
              <w:rPr>
                <w:rFonts w:ascii="Times New Roman" w:hAnsi="Times New Roman"/>
                <w:bCs/>
                <w:color w:val="auto"/>
                <w:spacing w:val="-4"/>
                <w:sz w:val="24"/>
                <w:szCs w:val="24"/>
              </w:rPr>
              <w:t xml:space="preserve"> v </w:t>
            </w:r>
            <w:r w:rsidRPr="00B53505">
              <w:rPr>
                <w:rFonts w:ascii="Times New Roman" w:hAnsi="Times New Roman"/>
                <w:bCs/>
                <w:color w:val="auto"/>
                <w:spacing w:val="-4"/>
                <w:sz w:val="24"/>
                <w:szCs w:val="24"/>
              </w:rPr>
              <w:t>článku 115 ods. 1, 3</w:t>
            </w:r>
            <w:r w:rsidR="00A3389E" w:rsidRPr="00B53505">
              <w:rPr>
                <w:rFonts w:ascii="Times New Roman" w:hAnsi="Times New Roman"/>
                <w:bCs/>
                <w:color w:val="auto"/>
                <w:spacing w:val="-4"/>
                <w:sz w:val="24"/>
                <w:szCs w:val="24"/>
              </w:rPr>
              <w:t xml:space="preserve"> a </w:t>
            </w:r>
            <w:r w:rsidRPr="00B53505">
              <w:rPr>
                <w:rFonts w:ascii="Times New Roman" w:hAnsi="Times New Roman"/>
                <w:bCs/>
                <w:color w:val="auto"/>
                <w:spacing w:val="-4"/>
                <w:sz w:val="24"/>
                <w:szCs w:val="24"/>
              </w:rPr>
              <w:t>5 CRR pre expozície podľa SA</w:t>
            </w:r>
            <w:r w:rsidR="00A3389E" w:rsidRPr="00B53505">
              <w:rPr>
                <w:rFonts w:ascii="Times New Roman" w:hAnsi="Times New Roman"/>
                <w:bCs/>
                <w:color w:val="auto"/>
                <w:spacing w:val="-4"/>
                <w:sz w:val="24"/>
                <w:szCs w:val="24"/>
              </w:rPr>
              <w:t xml:space="preserve"> a v </w:t>
            </w:r>
            <w:r w:rsidRPr="00B53505">
              <w:rPr>
                <w:rFonts w:ascii="Times New Roman" w:hAnsi="Times New Roman"/>
                <w:bCs/>
                <w:color w:val="auto"/>
                <w:spacing w:val="-4"/>
                <w:sz w:val="24"/>
                <w:szCs w:val="24"/>
              </w:rPr>
              <w:t>článku 147 ods. 4 písm. a) CRR pre expozície podľa IRB; voči multilaterálnym rozvojovým bankám</w:t>
            </w:r>
            <w:r w:rsidR="00A3389E" w:rsidRPr="00B53505">
              <w:rPr>
                <w:rFonts w:ascii="Times New Roman" w:hAnsi="Times New Roman"/>
                <w:bCs/>
                <w:color w:val="auto"/>
                <w:spacing w:val="-4"/>
                <w:sz w:val="24"/>
                <w:szCs w:val="24"/>
              </w:rPr>
              <w:t xml:space="preserve"> v </w:t>
            </w:r>
            <w:r w:rsidRPr="00B53505">
              <w:rPr>
                <w:rFonts w:ascii="Times New Roman" w:hAnsi="Times New Roman"/>
                <w:bCs/>
                <w:color w:val="auto"/>
                <w:spacing w:val="-4"/>
                <w:sz w:val="24"/>
                <w:szCs w:val="24"/>
              </w:rPr>
              <w:t>zmysle vymedzenia</w:t>
            </w:r>
            <w:r w:rsidR="00A3389E" w:rsidRPr="00B53505">
              <w:rPr>
                <w:rFonts w:ascii="Times New Roman" w:hAnsi="Times New Roman"/>
                <w:bCs/>
                <w:color w:val="auto"/>
                <w:spacing w:val="-4"/>
                <w:sz w:val="24"/>
                <w:szCs w:val="24"/>
              </w:rPr>
              <w:t xml:space="preserve"> v </w:t>
            </w:r>
            <w:r w:rsidRPr="00B53505">
              <w:rPr>
                <w:rFonts w:ascii="Times New Roman" w:hAnsi="Times New Roman"/>
                <w:bCs/>
                <w:color w:val="auto"/>
                <w:spacing w:val="-4"/>
                <w:sz w:val="24"/>
                <w:szCs w:val="24"/>
              </w:rPr>
              <w:t>článku 117 ods. 1</w:t>
            </w:r>
            <w:r w:rsidR="00A3389E" w:rsidRPr="00B53505">
              <w:rPr>
                <w:rFonts w:ascii="Times New Roman" w:hAnsi="Times New Roman"/>
                <w:bCs/>
                <w:color w:val="auto"/>
                <w:spacing w:val="-4"/>
                <w:sz w:val="24"/>
                <w:szCs w:val="24"/>
              </w:rPr>
              <w:t xml:space="preserve"> a </w:t>
            </w:r>
            <w:r w:rsidRPr="00B53505">
              <w:rPr>
                <w:rFonts w:ascii="Times New Roman" w:hAnsi="Times New Roman"/>
                <w:bCs/>
                <w:color w:val="auto"/>
                <w:spacing w:val="-4"/>
                <w:sz w:val="24"/>
                <w:szCs w:val="24"/>
              </w:rPr>
              <w:t>3 CRR pre expozície podľa SA</w:t>
            </w:r>
            <w:r w:rsidR="00A3389E" w:rsidRPr="00B53505">
              <w:rPr>
                <w:rFonts w:ascii="Times New Roman" w:hAnsi="Times New Roman"/>
                <w:bCs/>
                <w:color w:val="auto"/>
                <w:spacing w:val="-4"/>
                <w:sz w:val="24"/>
                <w:szCs w:val="24"/>
              </w:rPr>
              <w:t xml:space="preserve"> a v </w:t>
            </w:r>
            <w:r w:rsidRPr="00B53505">
              <w:rPr>
                <w:rFonts w:ascii="Times New Roman" w:hAnsi="Times New Roman"/>
                <w:bCs/>
                <w:color w:val="auto"/>
                <w:spacing w:val="-4"/>
                <w:sz w:val="24"/>
                <w:szCs w:val="24"/>
              </w:rPr>
              <w:t>článku 147 ods. 4 písm. c) CRR pre expozície podľa IRB; voči medzinárodným organizáciám</w:t>
            </w:r>
            <w:r w:rsidR="00A3389E" w:rsidRPr="00B53505">
              <w:rPr>
                <w:rFonts w:ascii="Times New Roman" w:hAnsi="Times New Roman"/>
                <w:bCs/>
                <w:color w:val="auto"/>
                <w:spacing w:val="-4"/>
                <w:sz w:val="24"/>
                <w:szCs w:val="24"/>
              </w:rPr>
              <w:t xml:space="preserve"> a </w:t>
            </w:r>
            <w:r w:rsidRPr="00B53505">
              <w:rPr>
                <w:rFonts w:ascii="Times New Roman" w:hAnsi="Times New Roman"/>
                <w:bCs/>
                <w:color w:val="auto"/>
                <w:spacing w:val="-4"/>
                <w:sz w:val="24"/>
                <w:szCs w:val="24"/>
              </w:rPr>
              <w:t>subjektom verejného sektora</w:t>
            </w:r>
            <w:r w:rsidR="00A3389E" w:rsidRPr="00B53505">
              <w:rPr>
                <w:rFonts w:ascii="Times New Roman" w:hAnsi="Times New Roman"/>
                <w:bCs/>
                <w:color w:val="auto"/>
                <w:spacing w:val="-4"/>
                <w:sz w:val="24"/>
                <w:szCs w:val="24"/>
              </w:rPr>
              <w:t xml:space="preserve"> v </w:t>
            </w:r>
            <w:r w:rsidRPr="00B53505">
              <w:rPr>
                <w:rFonts w:ascii="Times New Roman" w:hAnsi="Times New Roman"/>
                <w:bCs/>
                <w:color w:val="auto"/>
                <w:spacing w:val="-4"/>
                <w:sz w:val="24"/>
                <w:szCs w:val="24"/>
              </w:rPr>
              <w:t>zmysle vymedzenia</w:t>
            </w:r>
            <w:r w:rsidR="00A3389E" w:rsidRPr="00B53505">
              <w:rPr>
                <w:rFonts w:ascii="Times New Roman" w:hAnsi="Times New Roman"/>
                <w:bCs/>
                <w:color w:val="auto"/>
                <w:spacing w:val="-4"/>
                <w:sz w:val="24"/>
                <w:szCs w:val="24"/>
              </w:rPr>
              <w:t xml:space="preserve"> v </w:t>
            </w:r>
            <w:r w:rsidRPr="00B53505">
              <w:rPr>
                <w:rFonts w:ascii="Times New Roman" w:hAnsi="Times New Roman"/>
                <w:bCs/>
                <w:color w:val="auto"/>
                <w:spacing w:val="-4"/>
                <w:sz w:val="24"/>
                <w:szCs w:val="24"/>
              </w:rPr>
              <w:t>článku 116 ods. 1, 2, 3</w:t>
            </w:r>
            <w:r w:rsidR="00A3389E" w:rsidRPr="00B53505">
              <w:rPr>
                <w:rFonts w:ascii="Times New Roman" w:hAnsi="Times New Roman"/>
                <w:bCs/>
                <w:color w:val="auto"/>
                <w:spacing w:val="-4"/>
                <w:sz w:val="24"/>
                <w:szCs w:val="24"/>
              </w:rPr>
              <w:t xml:space="preserve"> a </w:t>
            </w:r>
            <w:r w:rsidRPr="00B53505">
              <w:rPr>
                <w:rFonts w:ascii="Times New Roman" w:hAnsi="Times New Roman"/>
                <w:bCs/>
                <w:color w:val="auto"/>
                <w:spacing w:val="-4"/>
                <w:sz w:val="24"/>
                <w:szCs w:val="24"/>
              </w:rPr>
              <w:t>5 CRR pre expozície podľa SA</w:t>
            </w:r>
            <w:r w:rsidR="00A3389E" w:rsidRPr="00B53505">
              <w:rPr>
                <w:rFonts w:ascii="Times New Roman" w:hAnsi="Times New Roman"/>
                <w:bCs/>
                <w:color w:val="auto"/>
                <w:spacing w:val="-4"/>
                <w:sz w:val="24"/>
                <w:szCs w:val="24"/>
              </w:rPr>
              <w:t xml:space="preserve"> a v </w:t>
            </w:r>
            <w:r w:rsidRPr="00B53505">
              <w:rPr>
                <w:rFonts w:ascii="Times New Roman" w:hAnsi="Times New Roman"/>
                <w:bCs/>
                <w:color w:val="auto"/>
                <w:spacing w:val="-4"/>
                <w:sz w:val="24"/>
                <w:szCs w:val="24"/>
              </w:rPr>
              <w:t>článku 147 ods. 4 písm. b) CRR pre expozície podľa IRB,</w:t>
            </w:r>
            <w:r w:rsidR="00A3389E" w:rsidRPr="00B53505">
              <w:rPr>
                <w:rFonts w:ascii="Times New Roman" w:hAnsi="Times New Roman"/>
                <w:bCs/>
                <w:color w:val="auto"/>
                <w:spacing w:val="-4"/>
                <w:sz w:val="24"/>
                <w:szCs w:val="24"/>
              </w:rPr>
              <w:t xml:space="preserve"> s </w:t>
            </w:r>
            <w:r w:rsidRPr="00B53505">
              <w:rPr>
                <w:rFonts w:ascii="Times New Roman" w:hAnsi="Times New Roman"/>
                <w:bCs/>
                <w:color w:val="auto"/>
                <w:spacing w:val="-4"/>
                <w:sz w:val="24"/>
                <w:szCs w:val="24"/>
              </w:rPr>
              <w:t>ktorými sa podľa CRR nezaobchádza ako so štátmi.</w:t>
            </w:r>
          </w:p>
          <w:p w14:paraId="6BA29B34" w14:textId="7010A175"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color w:val="auto"/>
                <w:sz w:val="24"/>
                <w:szCs w:val="24"/>
              </w:rPr>
              <w:t>Inštitúcie zverejňujú vyššie uvedenú celkovú expozíciu po odpočítaní expozícií</w:t>
            </w:r>
            <w:r w:rsidR="00A3389E">
              <w:rPr>
                <w:rFonts w:ascii="Times New Roman" w:hAnsi="Times New Roman"/>
                <w:bCs/>
                <w:color w:val="auto"/>
                <w:sz w:val="24"/>
                <w:szCs w:val="24"/>
              </w:rPr>
              <w:t xml:space="preserve"> v </w:t>
            </w:r>
            <w:r w:rsidRPr="00A3389E">
              <w:rPr>
                <w:rFonts w:ascii="Times New Roman" w:hAnsi="Times New Roman"/>
                <w:bCs/>
                <w:color w:val="auto"/>
                <w:sz w:val="24"/>
                <w:szCs w:val="24"/>
              </w:rPr>
              <w:t>stave zlyhania.</w:t>
            </w:r>
          </w:p>
        </w:tc>
      </w:tr>
      <w:tr w:rsidR="000A7015" w:rsidRPr="00A3389E" w14:paraId="5E717AEF" w14:textId="77777777" w:rsidTr="001E06A3">
        <w:trPr>
          <w:trHeight w:val="416"/>
        </w:trPr>
        <w:tc>
          <w:tcPr>
            <w:tcW w:w="1384" w:type="dxa"/>
            <w:vAlign w:val="center"/>
          </w:tcPr>
          <w:p w14:paraId="396838A9"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EU-7</w:t>
            </w:r>
          </w:p>
        </w:tc>
        <w:tc>
          <w:tcPr>
            <w:tcW w:w="7655" w:type="dxa"/>
          </w:tcPr>
          <w:p w14:paraId="6E52756C"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Inštitúcie</w:t>
            </w:r>
          </w:p>
          <w:p w14:paraId="6C6F9BC1" w14:textId="35D921FD" w:rsidR="000A7015" w:rsidRPr="00A3389E"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sidRPr="00A3389E">
              <w:rPr>
                <w:rFonts w:ascii="Times New Roman" w:hAnsi="Times New Roman" w:cs="Times New Roman"/>
                <w:sz w:val="24"/>
                <w:szCs w:val="24"/>
              </w:rPr>
              <w:t xml:space="preserve">Inštitúcie zverejňujú súčet expozícií, čo je hodnota expozícií voči inštitúciám, </w:t>
            </w:r>
            <w:r w:rsidRPr="00A3389E">
              <w:rPr>
                <w:rFonts w:ascii="Times New Roman" w:hAnsi="Times New Roman" w:cs="Times New Roman"/>
                <w:bCs/>
                <w:color w:val="000000"/>
                <w:sz w:val="24"/>
                <w:szCs w:val="24"/>
              </w:rPr>
              <w:t>na ktoré sa vzťahujú články 119 až 121 CRR pre expozície podľa SA</w:t>
            </w:r>
            <w:r w:rsidR="00A3389E">
              <w:rPr>
                <w:rFonts w:ascii="Times New Roman" w:hAnsi="Times New Roman" w:cs="Times New Roman"/>
                <w:bCs/>
                <w:color w:val="000000"/>
                <w:sz w:val="24"/>
                <w:szCs w:val="24"/>
              </w:rPr>
              <w:t xml:space="preserve"> a </w:t>
            </w:r>
            <w:r w:rsidRPr="00A3389E">
              <w:rPr>
                <w:rFonts w:ascii="Times New Roman" w:hAnsi="Times New Roman" w:cs="Times New Roman"/>
                <w:bCs/>
                <w:color w:val="000000"/>
                <w:sz w:val="24"/>
                <w:szCs w:val="24"/>
              </w:rPr>
              <w:t>pre expozície podľa IRB – na ktoré sa vzťahuje článok 147 ods. 2 písm. b) CRR</w:t>
            </w:r>
            <w:r w:rsidR="00A3389E">
              <w:rPr>
                <w:rFonts w:ascii="Times New Roman" w:hAnsi="Times New Roman" w:cs="Times New Roman"/>
                <w:bCs/>
                <w:color w:val="000000"/>
                <w:sz w:val="24"/>
                <w:szCs w:val="24"/>
              </w:rPr>
              <w:t xml:space="preserve"> a </w:t>
            </w:r>
            <w:r w:rsidRPr="00A3389E">
              <w:rPr>
                <w:rFonts w:ascii="Times New Roman" w:hAnsi="Times New Roman" w:cs="Times New Roman"/>
                <w:bCs/>
                <w:color w:val="000000"/>
                <w:sz w:val="24"/>
                <w:szCs w:val="24"/>
              </w:rPr>
              <w:t>nie sú expozíciami vo forme krytých dlhopisov podľa článku 161 ods. 1 písm. d) CRR</w:t>
            </w:r>
            <w:r w:rsidR="00A3389E">
              <w:rPr>
                <w:rFonts w:ascii="Times New Roman" w:hAnsi="Times New Roman" w:cs="Times New Roman"/>
                <w:bCs/>
                <w:color w:val="000000"/>
                <w:sz w:val="24"/>
                <w:szCs w:val="24"/>
              </w:rPr>
              <w:t xml:space="preserve"> a </w:t>
            </w:r>
            <w:r w:rsidRPr="00A3389E">
              <w:rPr>
                <w:rFonts w:ascii="Times New Roman" w:hAnsi="Times New Roman" w:cs="Times New Roman"/>
                <w:bCs/>
                <w:color w:val="000000"/>
                <w:sz w:val="24"/>
                <w:szCs w:val="24"/>
              </w:rPr>
              <w:t>na ktoré sa nevzťahuje článok 147 ods. 4 písm. a) až c) CRR.</w:t>
            </w:r>
          </w:p>
          <w:p w14:paraId="10B72E22" w14:textId="5E59A99F" w:rsidR="000A7015" w:rsidRPr="00A3389E" w:rsidRDefault="000A7015" w:rsidP="001E06A3">
            <w:pPr>
              <w:pStyle w:val="BodyText1"/>
              <w:spacing w:after="120" w:line="240" w:lineRule="auto"/>
              <w:rPr>
                <w:rFonts w:ascii="Times New Roman" w:hAnsi="Times New Roman"/>
                <w:sz w:val="24"/>
                <w:szCs w:val="24"/>
              </w:rPr>
            </w:pPr>
            <w:r w:rsidRPr="00A3389E">
              <w:rPr>
                <w:rFonts w:ascii="Times New Roman" w:hAnsi="Times New Roman"/>
                <w:bCs/>
                <w:sz w:val="24"/>
                <w:szCs w:val="24"/>
              </w:rPr>
              <w:t>Inštitúcie zverejňujú celkovú expozíciu po odpočítaní expozícií</w:t>
            </w:r>
            <w:r w:rsidR="00A3389E">
              <w:rPr>
                <w:rFonts w:ascii="Times New Roman" w:hAnsi="Times New Roman"/>
                <w:bCs/>
                <w:sz w:val="24"/>
                <w:szCs w:val="24"/>
              </w:rPr>
              <w:t xml:space="preserve"> v </w:t>
            </w:r>
            <w:r w:rsidRPr="00A3389E">
              <w:rPr>
                <w:rFonts w:ascii="Times New Roman" w:hAnsi="Times New Roman"/>
                <w:bCs/>
                <w:sz w:val="24"/>
                <w:szCs w:val="24"/>
              </w:rPr>
              <w:t>stave zlyhania.</w:t>
            </w:r>
          </w:p>
        </w:tc>
      </w:tr>
      <w:tr w:rsidR="000A7015" w:rsidRPr="00A3389E" w14:paraId="3520CAE1" w14:textId="77777777" w:rsidTr="001E06A3">
        <w:trPr>
          <w:trHeight w:val="2265"/>
        </w:trPr>
        <w:tc>
          <w:tcPr>
            <w:tcW w:w="1384" w:type="dxa"/>
            <w:vAlign w:val="center"/>
          </w:tcPr>
          <w:p w14:paraId="4285FF96"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EU-8</w:t>
            </w:r>
          </w:p>
        </w:tc>
        <w:tc>
          <w:tcPr>
            <w:tcW w:w="7655" w:type="dxa"/>
          </w:tcPr>
          <w:p w14:paraId="29AAF263"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Zabezpečené hypotékami na nehnuteľný majetok</w:t>
            </w:r>
          </w:p>
          <w:p w14:paraId="372BB834" w14:textId="3692D7E2" w:rsidR="00A3389E" w:rsidRPr="00A3389E" w:rsidRDefault="000A7015" w:rsidP="001E06A3">
            <w:pPr>
              <w:pStyle w:val="BodyText1"/>
              <w:spacing w:after="120" w:line="240" w:lineRule="auto"/>
              <w:rPr>
                <w:rFonts w:ascii="Times New Roman" w:hAnsi="Times New Roman"/>
                <w:sz w:val="24"/>
                <w:szCs w:val="24"/>
              </w:rPr>
            </w:pPr>
            <w:r w:rsidRPr="00A3389E">
              <w:rPr>
                <w:rFonts w:ascii="Times New Roman" w:hAnsi="Times New Roman"/>
                <w:sz w:val="24"/>
                <w:szCs w:val="24"/>
              </w:rPr>
              <w:t>Inštitúcie zverejňujú súčet expozícií, čo je hodnota expozícií aktív, ktoré sú expozíciami zabezpečenými hypotékami na nehnuteľný majetok, na ktoré sa vzťahuje článok 124 CRR</w:t>
            </w:r>
            <w:r w:rsidR="00A3389E">
              <w:rPr>
                <w:rFonts w:ascii="Times New Roman" w:hAnsi="Times New Roman"/>
                <w:sz w:val="24"/>
                <w:szCs w:val="24"/>
              </w:rPr>
              <w:t xml:space="preserve"> v </w:t>
            </w:r>
            <w:r w:rsidRPr="00A3389E">
              <w:rPr>
                <w:rFonts w:ascii="Times New Roman" w:hAnsi="Times New Roman"/>
                <w:sz w:val="24"/>
                <w:szCs w:val="24"/>
              </w:rPr>
              <w:t>prípade expozícií podľa SA,</w:t>
            </w:r>
            <w:r w:rsidR="00A3389E">
              <w:rPr>
                <w:rFonts w:ascii="Times New Roman" w:hAnsi="Times New Roman"/>
                <w:sz w:val="24"/>
                <w:szCs w:val="24"/>
              </w:rPr>
              <w:t xml:space="preserve"> a </w:t>
            </w:r>
            <w:r w:rsidRPr="00A3389E">
              <w:rPr>
                <w:rFonts w:ascii="Times New Roman" w:hAnsi="Times New Roman"/>
                <w:sz w:val="24"/>
                <w:szCs w:val="24"/>
              </w:rPr>
              <w:t>ktoré sú expozíciami voči podnikateľským subjektom podľa článku 147 ods. 2 písm. c) CRR alebo retailovými expozíciami podľa článku 147 ods. 2 písm. d) CRR, ak sú tieto expozície zabezpečené hypotékami na nehnuteľný majetok</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199 ods. 1 písm. a) CRR pre expozície podľa IRB</w:t>
            </w:r>
            <w:r w:rsidR="00A3389E" w:rsidRPr="00A3389E">
              <w:rPr>
                <w:rFonts w:ascii="Times New Roman" w:hAnsi="Times New Roman"/>
                <w:sz w:val="24"/>
                <w:szCs w:val="24"/>
              </w:rPr>
              <w:t>.</w:t>
            </w:r>
          </w:p>
          <w:p w14:paraId="08EE32D5" w14:textId="74A26DA7"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Inštitúcie zverejňujú celkovú expozíciu po odpočítaní expozícií</w:t>
            </w:r>
            <w:r w:rsidR="00A3389E">
              <w:rPr>
                <w:rFonts w:ascii="Times New Roman" w:hAnsi="Times New Roman"/>
                <w:bCs/>
                <w:sz w:val="24"/>
                <w:szCs w:val="24"/>
              </w:rPr>
              <w:t xml:space="preserve"> v </w:t>
            </w:r>
            <w:r w:rsidRPr="00A3389E">
              <w:rPr>
                <w:rFonts w:ascii="Times New Roman" w:hAnsi="Times New Roman"/>
                <w:bCs/>
                <w:sz w:val="24"/>
                <w:szCs w:val="24"/>
              </w:rPr>
              <w:t>stave zlyhania.</w:t>
            </w:r>
          </w:p>
        </w:tc>
      </w:tr>
      <w:tr w:rsidR="000A7015" w:rsidRPr="00A3389E" w14:paraId="62D9CA39" w14:textId="77777777" w:rsidTr="001E06A3">
        <w:trPr>
          <w:trHeight w:val="2265"/>
        </w:trPr>
        <w:tc>
          <w:tcPr>
            <w:tcW w:w="1384" w:type="dxa"/>
            <w:vAlign w:val="center"/>
          </w:tcPr>
          <w:p w14:paraId="4613E7BD"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lastRenderedPageBreak/>
              <w:t>EU-9</w:t>
            </w:r>
          </w:p>
        </w:tc>
        <w:tc>
          <w:tcPr>
            <w:tcW w:w="7655" w:type="dxa"/>
          </w:tcPr>
          <w:p w14:paraId="04AE1AE0"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Retailové expozície</w:t>
            </w:r>
          </w:p>
          <w:p w14:paraId="61938A75" w14:textId="15115C75" w:rsidR="00A3389E"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sz w:val="24"/>
                <w:szCs w:val="24"/>
              </w:rPr>
              <w:t xml:space="preserve">Inštitúcie zverejňujú súčet expozícií, čo je celková hodnota expozícií aktív, ktoré sú retailovými expozíciami </w:t>
            </w:r>
            <w:r w:rsidRPr="00A3389E">
              <w:rPr>
                <w:rFonts w:ascii="Times New Roman" w:hAnsi="Times New Roman"/>
                <w:bCs/>
                <w:sz w:val="24"/>
                <w:szCs w:val="24"/>
              </w:rPr>
              <w:t>podľa článku 123 CRR</w:t>
            </w:r>
            <w:r w:rsidR="00A3389E">
              <w:rPr>
                <w:rFonts w:ascii="Times New Roman" w:hAnsi="Times New Roman"/>
                <w:bCs/>
                <w:sz w:val="24"/>
                <w:szCs w:val="24"/>
              </w:rPr>
              <w:t xml:space="preserve"> v </w:t>
            </w:r>
            <w:r w:rsidRPr="00A3389E">
              <w:rPr>
                <w:rFonts w:ascii="Times New Roman" w:hAnsi="Times New Roman"/>
                <w:bCs/>
                <w:sz w:val="24"/>
                <w:szCs w:val="24"/>
              </w:rPr>
              <w:t>prípade expozícií podľa SA</w:t>
            </w:r>
            <w:r w:rsidR="00A3389E">
              <w:rPr>
                <w:rFonts w:ascii="Times New Roman" w:hAnsi="Times New Roman"/>
                <w:bCs/>
                <w:sz w:val="24"/>
                <w:szCs w:val="24"/>
              </w:rPr>
              <w:t xml:space="preserve"> a </w:t>
            </w:r>
            <w:r w:rsidRPr="00A3389E">
              <w:rPr>
                <w:rFonts w:ascii="Times New Roman" w:hAnsi="Times New Roman"/>
                <w:bCs/>
                <w:sz w:val="24"/>
                <w:szCs w:val="24"/>
              </w:rPr>
              <w:t xml:space="preserve">ktoré sú expozíciami podľa článku 147 ods. 2 písm. d) CRR, ak tieto expozície </w:t>
            </w:r>
            <w:r w:rsidRPr="00A3389E">
              <w:rPr>
                <w:rFonts w:ascii="Times New Roman" w:hAnsi="Times New Roman"/>
                <w:b/>
                <w:bCs/>
                <w:sz w:val="24"/>
                <w:szCs w:val="24"/>
                <w:u w:val="single"/>
              </w:rPr>
              <w:t>nie sú</w:t>
            </w:r>
            <w:r w:rsidRPr="00A3389E">
              <w:rPr>
                <w:rFonts w:ascii="Times New Roman" w:hAnsi="Times New Roman"/>
                <w:bCs/>
                <w:sz w:val="24"/>
                <w:szCs w:val="24"/>
              </w:rPr>
              <w:t xml:space="preserve"> zabezpečené hypotékami na nehnuteľný majetok</w:t>
            </w:r>
            <w:r w:rsidR="00A3389E">
              <w:rPr>
                <w:rFonts w:ascii="Times New Roman" w:hAnsi="Times New Roman"/>
                <w:bCs/>
                <w:sz w:val="24"/>
                <w:szCs w:val="24"/>
              </w:rPr>
              <w:t xml:space="preserve"> v </w:t>
            </w:r>
            <w:r w:rsidRPr="00A3389E">
              <w:rPr>
                <w:rFonts w:ascii="Times New Roman" w:hAnsi="Times New Roman"/>
                <w:bCs/>
                <w:sz w:val="24"/>
                <w:szCs w:val="24"/>
              </w:rPr>
              <w:t>súlade</w:t>
            </w:r>
            <w:r w:rsidR="00A3389E">
              <w:rPr>
                <w:rFonts w:ascii="Times New Roman" w:hAnsi="Times New Roman"/>
                <w:bCs/>
                <w:sz w:val="24"/>
                <w:szCs w:val="24"/>
              </w:rPr>
              <w:t xml:space="preserve"> s </w:t>
            </w:r>
            <w:r w:rsidRPr="00A3389E">
              <w:rPr>
                <w:rFonts w:ascii="Times New Roman" w:hAnsi="Times New Roman"/>
                <w:bCs/>
                <w:sz w:val="24"/>
                <w:szCs w:val="24"/>
              </w:rPr>
              <w:t>článkom 199 ods. 1 písm. a) CRR –</w:t>
            </w:r>
            <w:r w:rsidR="00A3389E">
              <w:rPr>
                <w:rFonts w:ascii="Times New Roman" w:hAnsi="Times New Roman"/>
                <w:bCs/>
                <w:sz w:val="24"/>
                <w:szCs w:val="24"/>
              </w:rPr>
              <w:t xml:space="preserve"> v </w:t>
            </w:r>
            <w:r w:rsidRPr="00A3389E">
              <w:rPr>
                <w:rFonts w:ascii="Times New Roman" w:hAnsi="Times New Roman"/>
                <w:bCs/>
                <w:sz w:val="24"/>
                <w:szCs w:val="24"/>
              </w:rPr>
              <w:t>prípade expozícií podľa IRB</w:t>
            </w:r>
            <w:r w:rsidR="00A3389E" w:rsidRPr="00A3389E">
              <w:rPr>
                <w:rFonts w:ascii="Times New Roman" w:hAnsi="Times New Roman"/>
                <w:bCs/>
                <w:sz w:val="24"/>
                <w:szCs w:val="24"/>
              </w:rPr>
              <w:t>.</w:t>
            </w:r>
          </w:p>
          <w:p w14:paraId="74BF1D73" w14:textId="42CEF3FB"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bCs/>
                <w:sz w:val="24"/>
                <w:szCs w:val="24"/>
              </w:rPr>
              <w:t>Inštitúcie zverejňujú celkovú expozíciu po odpočítaní expozícií</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stave zlyhania.</w:t>
            </w:r>
          </w:p>
        </w:tc>
      </w:tr>
      <w:tr w:rsidR="000A7015" w:rsidRPr="00A3389E" w14:paraId="5B74D3C4" w14:textId="77777777" w:rsidTr="001E06A3">
        <w:trPr>
          <w:trHeight w:val="625"/>
        </w:trPr>
        <w:tc>
          <w:tcPr>
            <w:tcW w:w="1384" w:type="dxa"/>
            <w:vAlign w:val="center"/>
          </w:tcPr>
          <w:p w14:paraId="582FD9E0"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EU-10</w:t>
            </w:r>
          </w:p>
        </w:tc>
        <w:tc>
          <w:tcPr>
            <w:tcW w:w="7655" w:type="dxa"/>
          </w:tcPr>
          <w:p w14:paraId="3EC6592A"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Podnikateľské subjekty</w:t>
            </w:r>
          </w:p>
          <w:p w14:paraId="5A578496" w14:textId="5189B19B" w:rsidR="000A7015" w:rsidRPr="00B53505" w:rsidRDefault="000A7015" w:rsidP="001E06A3">
            <w:pPr>
              <w:pStyle w:val="Teksttreci0"/>
              <w:shd w:val="clear" w:color="auto" w:fill="auto"/>
              <w:spacing w:after="120" w:line="240" w:lineRule="auto"/>
              <w:ind w:firstLine="0"/>
              <w:rPr>
                <w:rFonts w:ascii="Times New Roman" w:hAnsi="Times New Roman" w:cs="Times New Roman"/>
                <w:bCs/>
                <w:spacing w:val="-4"/>
                <w:sz w:val="24"/>
                <w:szCs w:val="24"/>
              </w:rPr>
            </w:pPr>
            <w:r w:rsidRPr="00B53505">
              <w:rPr>
                <w:rFonts w:ascii="Times New Roman" w:hAnsi="Times New Roman" w:cs="Times New Roman"/>
                <w:spacing w:val="-4"/>
                <w:sz w:val="24"/>
                <w:szCs w:val="24"/>
              </w:rPr>
              <w:t>Inštitúcie zverejňujú súčet expozícií, čo je celková hodnota expozícií aktív, ktoré sú expozíciami voči podnikateľským subjektom (t. j. finančným</w:t>
            </w:r>
            <w:r w:rsidR="00A3389E" w:rsidRPr="00B53505">
              <w:rPr>
                <w:rFonts w:ascii="Times New Roman" w:hAnsi="Times New Roman" w:cs="Times New Roman"/>
                <w:spacing w:val="-4"/>
                <w:sz w:val="24"/>
                <w:szCs w:val="24"/>
              </w:rPr>
              <w:t xml:space="preserve"> a </w:t>
            </w:r>
            <w:r w:rsidRPr="00B53505">
              <w:rPr>
                <w:rFonts w:ascii="Times New Roman" w:hAnsi="Times New Roman" w:cs="Times New Roman"/>
                <w:spacing w:val="-4"/>
                <w:sz w:val="24"/>
                <w:szCs w:val="24"/>
              </w:rPr>
              <w:t>nefinančným).</w:t>
            </w:r>
            <w:r w:rsidR="00A3389E" w:rsidRPr="00B53505">
              <w:rPr>
                <w:rFonts w:ascii="Times New Roman" w:hAnsi="Times New Roman" w:cs="Times New Roman"/>
                <w:spacing w:val="-4"/>
                <w:sz w:val="24"/>
                <w:szCs w:val="24"/>
              </w:rPr>
              <w:t xml:space="preserve"> V </w:t>
            </w:r>
            <w:r w:rsidRPr="00B53505">
              <w:rPr>
                <w:rFonts w:ascii="Times New Roman" w:hAnsi="Times New Roman" w:cs="Times New Roman"/>
                <w:spacing w:val="-4"/>
                <w:sz w:val="24"/>
                <w:szCs w:val="24"/>
              </w:rPr>
              <w:t xml:space="preserve">prípade expozícií podľa SA </w:t>
            </w:r>
            <w:r w:rsidRPr="00B53505">
              <w:rPr>
                <w:rFonts w:ascii="Times New Roman" w:hAnsi="Times New Roman" w:cs="Times New Roman"/>
                <w:bCs/>
                <w:spacing w:val="-4"/>
                <w:sz w:val="24"/>
                <w:szCs w:val="24"/>
              </w:rPr>
              <w:t>ide</w:t>
            </w:r>
            <w:r w:rsidR="00A3389E" w:rsidRPr="00B53505">
              <w:rPr>
                <w:rFonts w:ascii="Times New Roman" w:hAnsi="Times New Roman" w:cs="Times New Roman"/>
                <w:bCs/>
                <w:spacing w:val="-4"/>
                <w:sz w:val="24"/>
                <w:szCs w:val="24"/>
              </w:rPr>
              <w:t xml:space="preserve"> o </w:t>
            </w:r>
            <w:r w:rsidRPr="00B53505">
              <w:rPr>
                <w:rFonts w:ascii="Times New Roman" w:hAnsi="Times New Roman" w:cs="Times New Roman"/>
                <w:bCs/>
                <w:spacing w:val="-4"/>
                <w:sz w:val="24"/>
                <w:szCs w:val="24"/>
              </w:rPr>
              <w:t>expozície voči podnikateľským subjektom, na ktoré sa vzťahuje článok 122 CRR,</w:t>
            </w:r>
            <w:r w:rsidR="00A3389E" w:rsidRPr="00B53505">
              <w:rPr>
                <w:rFonts w:ascii="Times New Roman" w:hAnsi="Times New Roman" w:cs="Times New Roman"/>
                <w:bCs/>
                <w:spacing w:val="-4"/>
                <w:sz w:val="24"/>
                <w:szCs w:val="24"/>
              </w:rPr>
              <w:t xml:space="preserve"> a v </w:t>
            </w:r>
            <w:r w:rsidRPr="00B53505">
              <w:rPr>
                <w:rFonts w:ascii="Times New Roman" w:hAnsi="Times New Roman" w:cs="Times New Roman"/>
                <w:bCs/>
                <w:spacing w:val="-4"/>
                <w:sz w:val="24"/>
                <w:szCs w:val="24"/>
              </w:rPr>
              <w:t xml:space="preserve">prípade expozícií podľa IRB, ktoré sú expozíciami voči podnikateľským subjektom podľa článku 147 ods. 2 písm. c) CRR, ak tieto expozície </w:t>
            </w:r>
            <w:r w:rsidRPr="00B53505">
              <w:rPr>
                <w:rFonts w:ascii="Times New Roman" w:hAnsi="Times New Roman" w:cs="Times New Roman"/>
                <w:b/>
                <w:bCs/>
                <w:spacing w:val="-4"/>
                <w:sz w:val="24"/>
                <w:szCs w:val="24"/>
                <w:u w:val="single"/>
              </w:rPr>
              <w:t>nie sú</w:t>
            </w:r>
            <w:r w:rsidRPr="00B53505">
              <w:rPr>
                <w:rFonts w:ascii="Times New Roman" w:hAnsi="Times New Roman" w:cs="Times New Roman"/>
                <w:bCs/>
                <w:spacing w:val="-4"/>
                <w:sz w:val="24"/>
                <w:szCs w:val="24"/>
              </w:rPr>
              <w:t xml:space="preserve"> zabezpečené hypotékami na nehnuteľný majetok</w:t>
            </w:r>
            <w:r w:rsidR="00A3389E" w:rsidRPr="00B53505">
              <w:rPr>
                <w:rFonts w:ascii="Times New Roman" w:hAnsi="Times New Roman" w:cs="Times New Roman"/>
                <w:bCs/>
                <w:spacing w:val="-4"/>
                <w:sz w:val="24"/>
                <w:szCs w:val="24"/>
              </w:rPr>
              <w:t xml:space="preserve"> v </w:t>
            </w:r>
            <w:r w:rsidRPr="00B53505">
              <w:rPr>
                <w:rFonts w:ascii="Times New Roman" w:hAnsi="Times New Roman" w:cs="Times New Roman"/>
                <w:bCs/>
                <w:spacing w:val="-4"/>
                <w:sz w:val="24"/>
                <w:szCs w:val="24"/>
              </w:rPr>
              <w:t>súlade</w:t>
            </w:r>
            <w:r w:rsidR="00A3389E" w:rsidRPr="00B53505">
              <w:rPr>
                <w:rFonts w:ascii="Times New Roman" w:hAnsi="Times New Roman" w:cs="Times New Roman"/>
                <w:bCs/>
                <w:spacing w:val="-4"/>
                <w:sz w:val="24"/>
                <w:szCs w:val="24"/>
              </w:rPr>
              <w:t xml:space="preserve"> s </w:t>
            </w:r>
            <w:r w:rsidRPr="00B53505">
              <w:rPr>
                <w:rFonts w:ascii="Times New Roman" w:hAnsi="Times New Roman" w:cs="Times New Roman"/>
                <w:bCs/>
                <w:spacing w:val="-4"/>
                <w:sz w:val="24"/>
                <w:szCs w:val="24"/>
              </w:rPr>
              <w:t>článkom 199 ods. 1 písm. a) CRR.</w:t>
            </w:r>
          </w:p>
          <w:p w14:paraId="6A8650A5" w14:textId="0FCECAE2" w:rsidR="000A7015" w:rsidRPr="00A3389E"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A3389E">
              <w:rPr>
                <w:rFonts w:ascii="Times New Roman" w:hAnsi="Times New Roman" w:cs="Times New Roman"/>
                <w:bCs/>
                <w:sz w:val="24"/>
                <w:szCs w:val="24"/>
              </w:rPr>
              <w:t>Finančné korporácie sú regulované</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neregulované podniky iné než inštitúcie uvedené</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položke EU-7 tohto vzoru, ktorých hlavnou činnosťou je nadobúdanie podielov alebo vykonávanie jednej alebo viacerých činností uvedených</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prílohe I</w:t>
            </w:r>
            <w:r w:rsidR="00A3389E">
              <w:rPr>
                <w:rFonts w:ascii="Times New Roman" w:hAnsi="Times New Roman" w:cs="Times New Roman"/>
                <w:bCs/>
                <w:sz w:val="24"/>
                <w:szCs w:val="24"/>
              </w:rPr>
              <w:t xml:space="preserve"> k </w:t>
            </w:r>
            <w:r w:rsidRPr="00A3389E">
              <w:rPr>
                <w:rFonts w:ascii="Times New Roman" w:hAnsi="Times New Roman" w:cs="Times New Roman"/>
                <w:bCs/>
                <w:sz w:val="24"/>
                <w:szCs w:val="24"/>
              </w:rPr>
              <w:t>CRD, ako aj podniky vymedzené</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článku 4 ods. 1 bode 27 CRR, iné než inštitúcie uvedené</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položke EU-7 tohto vzoru.</w:t>
            </w:r>
          </w:p>
          <w:p w14:paraId="3DD0C832" w14:textId="2F5A2335" w:rsidR="000A7015" w:rsidRPr="00A3389E" w:rsidRDefault="000A7015" w:rsidP="001E06A3">
            <w:pPr>
              <w:pStyle w:val="BodyText1"/>
              <w:spacing w:after="120" w:line="240" w:lineRule="auto"/>
              <w:rPr>
                <w:rFonts w:ascii="Times New Roman" w:hAnsi="Times New Roman"/>
                <w:bCs/>
                <w:sz w:val="24"/>
                <w:szCs w:val="24"/>
              </w:rPr>
            </w:pPr>
            <w:r w:rsidRPr="00A3389E">
              <w:rPr>
                <w:rFonts w:ascii="Times New Roman" w:hAnsi="Times New Roman"/>
                <w:bCs/>
                <w:sz w:val="24"/>
                <w:szCs w:val="24"/>
              </w:rPr>
              <w:t>Na účely tejto bunky je pojem „malý</w:t>
            </w:r>
            <w:r w:rsidR="00A3389E">
              <w:rPr>
                <w:rFonts w:ascii="Times New Roman" w:hAnsi="Times New Roman"/>
                <w:bCs/>
                <w:sz w:val="24"/>
                <w:szCs w:val="24"/>
              </w:rPr>
              <w:t xml:space="preserve"> a </w:t>
            </w:r>
            <w:r w:rsidRPr="00A3389E">
              <w:rPr>
                <w:rFonts w:ascii="Times New Roman" w:hAnsi="Times New Roman"/>
                <w:bCs/>
                <w:sz w:val="24"/>
                <w:szCs w:val="24"/>
              </w:rPr>
              <w:t>stredný podnik“ vymedzený</w:t>
            </w:r>
            <w:r w:rsidR="00A3389E">
              <w:rPr>
                <w:rFonts w:ascii="Times New Roman" w:hAnsi="Times New Roman"/>
                <w:bCs/>
                <w:sz w:val="24"/>
                <w:szCs w:val="24"/>
              </w:rPr>
              <w:t xml:space="preserve"> v </w:t>
            </w:r>
            <w:r w:rsidRPr="00A3389E">
              <w:rPr>
                <w:rFonts w:ascii="Times New Roman" w:hAnsi="Times New Roman"/>
                <w:bCs/>
                <w:sz w:val="24"/>
                <w:szCs w:val="24"/>
              </w:rPr>
              <w:t>súlade</w:t>
            </w:r>
            <w:r w:rsidR="00A3389E">
              <w:rPr>
                <w:rFonts w:ascii="Times New Roman" w:hAnsi="Times New Roman"/>
                <w:bCs/>
                <w:sz w:val="24"/>
                <w:szCs w:val="24"/>
              </w:rPr>
              <w:t xml:space="preserve"> s </w:t>
            </w:r>
            <w:r w:rsidRPr="00A3389E">
              <w:rPr>
                <w:rFonts w:ascii="Times New Roman" w:hAnsi="Times New Roman"/>
                <w:bCs/>
                <w:sz w:val="24"/>
                <w:szCs w:val="24"/>
              </w:rPr>
              <w:t>článkom 501 ods. 2 písm. b) CRR.</w:t>
            </w:r>
          </w:p>
          <w:p w14:paraId="0D9D027B" w14:textId="5AA7263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bCs/>
                <w:sz w:val="24"/>
                <w:szCs w:val="24"/>
              </w:rPr>
              <w:t>Inštitúcie zverejňujú celkovú expozíciu po odpočítaní expozícií</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stave zlyhania.</w:t>
            </w:r>
          </w:p>
        </w:tc>
      </w:tr>
      <w:tr w:rsidR="000A7015" w:rsidRPr="00A3389E" w14:paraId="5A9251D7" w14:textId="77777777" w:rsidTr="001E06A3">
        <w:trPr>
          <w:trHeight w:val="1729"/>
        </w:trPr>
        <w:tc>
          <w:tcPr>
            <w:tcW w:w="1384" w:type="dxa"/>
            <w:vAlign w:val="center"/>
          </w:tcPr>
          <w:p w14:paraId="2BECF10D"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EU-11</w:t>
            </w:r>
          </w:p>
        </w:tc>
        <w:tc>
          <w:tcPr>
            <w:tcW w:w="7655" w:type="dxa"/>
          </w:tcPr>
          <w:p w14:paraId="3BE85A50" w14:textId="6E5B67F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Expozície</w:t>
            </w:r>
            <w:r w:rsidR="00A3389E">
              <w:rPr>
                <w:rStyle w:val="TeksttreciPogrubienie"/>
                <w:rFonts w:ascii="Times New Roman" w:hAnsi="Times New Roman" w:cs="Times New Roman"/>
                <w:sz w:val="24"/>
                <w:szCs w:val="24"/>
              </w:rPr>
              <w:t xml:space="preserve"> v </w:t>
            </w:r>
            <w:r w:rsidRPr="00A3389E">
              <w:rPr>
                <w:rStyle w:val="TeksttreciPogrubienie"/>
                <w:rFonts w:ascii="Times New Roman" w:hAnsi="Times New Roman" w:cs="Times New Roman"/>
                <w:sz w:val="24"/>
                <w:szCs w:val="24"/>
              </w:rPr>
              <w:t>stave zlyhania</w:t>
            </w:r>
          </w:p>
          <w:p w14:paraId="5BDD79B1" w14:textId="5A5A728F" w:rsidR="000A7015" w:rsidRPr="00A3389E" w:rsidRDefault="000A7015" w:rsidP="001E06A3">
            <w:pPr>
              <w:pStyle w:val="BodyText1"/>
              <w:spacing w:after="120" w:line="240" w:lineRule="auto"/>
              <w:rPr>
                <w:rFonts w:ascii="Times New Roman" w:hAnsi="Times New Roman"/>
                <w:sz w:val="24"/>
                <w:szCs w:val="24"/>
              </w:rPr>
            </w:pPr>
            <w:r w:rsidRPr="00A3389E">
              <w:rPr>
                <w:rFonts w:ascii="Times New Roman" w:hAnsi="Times New Roman"/>
                <w:sz w:val="24"/>
                <w:szCs w:val="24"/>
              </w:rPr>
              <w:t>Inštitúcie zverejňujú súčet expozícií, čo je celková hodnota expozícií aktív, ktoré sú</w:t>
            </w:r>
            <w:r w:rsidR="00A3389E">
              <w:rPr>
                <w:rFonts w:ascii="Times New Roman" w:hAnsi="Times New Roman"/>
                <w:sz w:val="24"/>
                <w:szCs w:val="24"/>
              </w:rPr>
              <w:t xml:space="preserve"> v </w:t>
            </w:r>
            <w:r w:rsidRPr="00A3389E">
              <w:rPr>
                <w:rFonts w:ascii="Times New Roman" w:hAnsi="Times New Roman"/>
                <w:sz w:val="24"/>
                <w:szCs w:val="24"/>
              </w:rPr>
              <w:t>stave zlyhania</w:t>
            </w:r>
            <w:r w:rsidR="00A3389E">
              <w:rPr>
                <w:rFonts w:ascii="Times New Roman" w:hAnsi="Times New Roman"/>
                <w:sz w:val="24"/>
                <w:szCs w:val="24"/>
              </w:rPr>
              <w:t xml:space="preserve"> a </w:t>
            </w:r>
            <w:r w:rsidRPr="00A3389E">
              <w:rPr>
                <w:rFonts w:ascii="Times New Roman" w:hAnsi="Times New Roman"/>
                <w:sz w:val="24"/>
                <w:szCs w:val="24"/>
              </w:rPr>
              <w:t>na ktoré sa –</w:t>
            </w:r>
            <w:r w:rsidR="00A3389E">
              <w:rPr>
                <w:rFonts w:ascii="Times New Roman" w:hAnsi="Times New Roman"/>
                <w:sz w:val="24"/>
                <w:szCs w:val="24"/>
              </w:rPr>
              <w:t xml:space="preserve"> v </w:t>
            </w:r>
            <w:r w:rsidRPr="00A3389E">
              <w:rPr>
                <w:rFonts w:ascii="Times New Roman" w:hAnsi="Times New Roman"/>
                <w:sz w:val="24"/>
                <w:szCs w:val="24"/>
              </w:rPr>
              <w:t>prípade expozícií podľa SA – vzťahuje článok 127 CRR, alebo ktoré sa –</w:t>
            </w:r>
            <w:r w:rsidR="00A3389E">
              <w:rPr>
                <w:rFonts w:ascii="Times New Roman" w:hAnsi="Times New Roman"/>
                <w:sz w:val="24"/>
                <w:szCs w:val="24"/>
              </w:rPr>
              <w:t xml:space="preserve"> v </w:t>
            </w:r>
            <w:r w:rsidRPr="00A3389E">
              <w:rPr>
                <w:rFonts w:ascii="Times New Roman" w:hAnsi="Times New Roman"/>
                <w:sz w:val="24"/>
                <w:szCs w:val="24"/>
              </w:rPr>
              <w:t>prípade expozícií podľa IRB – kategorizujú do tried expozícií uvedených</w:t>
            </w:r>
            <w:r w:rsidR="00A3389E">
              <w:rPr>
                <w:rFonts w:ascii="Times New Roman" w:hAnsi="Times New Roman"/>
                <w:sz w:val="24"/>
                <w:szCs w:val="24"/>
              </w:rPr>
              <w:t xml:space="preserve"> v </w:t>
            </w:r>
            <w:r w:rsidRPr="00A3389E">
              <w:rPr>
                <w:rFonts w:ascii="Times New Roman" w:hAnsi="Times New Roman"/>
                <w:sz w:val="24"/>
                <w:szCs w:val="24"/>
              </w:rPr>
              <w:t>článku 147 ods. 2 CRR, ak došlo</w:t>
            </w:r>
            <w:r w:rsidR="00A3389E">
              <w:rPr>
                <w:rFonts w:ascii="Times New Roman" w:hAnsi="Times New Roman"/>
                <w:sz w:val="24"/>
                <w:szCs w:val="24"/>
              </w:rPr>
              <w:t xml:space="preserve"> k </w:t>
            </w:r>
            <w:r w:rsidRPr="00A3389E">
              <w:rPr>
                <w:rFonts w:ascii="Times New Roman" w:hAnsi="Times New Roman"/>
                <w:sz w:val="24"/>
                <w:szCs w:val="24"/>
              </w:rPr>
              <w:t>zlyhaniu</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178 CRR.</w:t>
            </w:r>
          </w:p>
        </w:tc>
      </w:tr>
      <w:tr w:rsidR="000A7015" w:rsidRPr="00A3389E" w14:paraId="64E848DA" w14:textId="77777777" w:rsidTr="001E06A3">
        <w:trPr>
          <w:trHeight w:val="992"/>
        </w:trPr>
        <w:tc>
          <w:tcPr>
            <w:tcW w:w="1384" w:type="dxa"/>
            <w:vAlign w:val="center"/>
          </w:tcPr>
          <w:p w14:paraId="3A5A9D71"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EU-12</w:t>
            </w:r>
          </w:p>
        </w:tc>
        <w:tc>
          <w:tcPr>
            <w:tcW w:w="7655" w:type="dxa"/>
          </w:tcPr>
          <w:p w14:paraId="4156C6F3" w14:textId="5447ADAE"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Iné expozície (napr. kapitálové, sekuritizácie</w:t>
            </w:r>
            <w:r w:rsidR="00A3389E">
              <w:rPr>
                <w:rStyle w:val="TeksttreciPogrubienie"/>
                <w:rFonts w:ascii="Times New Roman" w:hAnsi="Times New Roman" w:cs="Times New Roman"/>
                <w:sz w:val="24"/>
                <w:szCs w:val="24"/>
              </w:rPr>
              <w:t xml:space="preserve"> a </w:t>
            </w:r>
            <w:r w:rsidRPr="00A3389E">
              <w:rPr>
                <w:rStyle w:val="TeksttreciPogrubienie"/>
                <w:rFonts w:ascii="Times New Roman" w:hAnsi="Times New Roman" w:cs="Times New Roman"/>
                <w:sz w:val="24"/>
                <w:szCs w:val="24"/>
              </w:rPr>
              <w:t>iné aktíva, ktoré nemajú povahu kreditného záväzku)</w:t>
            </w:r>
          </w:p>
          <w:p w14:paraId="391B3C62" w14:textId="3FD267A3"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Inštitúcie zverejňujú súčet expozícií, čo je celková hodnota expozície iných expozícií</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neobchodnej knihe podľa CRR (napr. kapitálové, sekuritizácie</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aktíva, ktoré nemajú povahu kreditného záväzku;</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prípade expozícií podľa SA </w:t>
            </w:r>
            <w:r w:rsidRPr="00A3389E">
              <w:rPr>
                <w:rFonts w:ascii="Times New Roman" w:hAnsi="Times New Roman" w:cs="Times New Roman"/>
                <w:bCs/>
                <w:sz w:val="24"/>
                <w:szCs w:val="24"/>
              </w:rPr>
              <w:t>ide</w:t>
            </w:r>
            <w:r w:rsidR="00A3389E">
              <w:rPr>
                <w:rFonts w:ascii="Times New Roman" w:hAnsi="Times New Roman" w:cs="Times New Roman"/>
                <w:bCs/>
                <w:sz w:val="24"/>
                <w:szCs w:val="24"/>
              </w:rPr>
              <w:t xml:space="preserve"> o </w:t>
            </w:r>
            <w:r w:rsidRPr="00A3389E">
              <w:rPr>
                <w:rFonts w:ascii="Times New Roman" w:hAnsi="Times New Roman" w:cs="Times New Roman"/>
                <w:bCs/>
                <w:sz w:val="24"/>
                <w:szCs w:val="24"/>
              </w:rPr>
              <w:t>aktíva kategorizované do tried expozícií uvedených</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článku 112 písm. k), m), n), o), p)</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q) CRR</w:t>
            </w:r>
            <w:r w:rsidR="00A3389E">
              <w:rPr>
                <w:rFonts w:ascii="Times New Roman" w:hAnsi="Times New Roman" w:cs="Times New Roman"/>
                <w:bCs/>
                <w:sz w:val="24"/>
                <w:szCs w:val="24"/>
              </w:rPr>
              <w:t xml:space="preserve"> a v </w:t>
            </w:r>
            <w:r w:rsidRPr="00A3389E">
              <w:rPr>
                <w:rFonts w:ascii="Times New Roman" w:hAnsi="Times New Roman" w:cs="Times New Roman"/>
                <w:bCs/>
                <w:sz w:val="24"/>
                <w:szCs w:val="24"/>
              </w:rPr>
              <w:t>prípade expozícií podľa IRB –</w:t>
            </w:r>
            <w:r w:rsidR="00A3389E">
              <w:rPr>
                <w:rFonts w:ascii="Times New Roman" w:hAnsi="Times New Roman" w:cs="Times New Roman"/>
                <w:bCs/>
                <w:sz w:val="24"/>
                <w:szCs w:val="24"/>
              </w:rPr>
              <w:t xml:space="preserve"> v </w:t>
            </w:r>
            <w:r w:rsidRPr="00A3389E">
              <w:rPr>
                <w:rFonts w:ascii="Times New Roman" w:hAnsi="Times New Roman" w:cs="Times New Roman"/>
                <w:bCs/>
                <w:sz w:val="24"/>
                <w:szCs w:val="24"/>
              </w:rPr>
              <w:t>článku 147 ods. 2 písm. e), f)</w:t>
            </w:r>
            <w:r w:rsidR="00A3389E">
              <w:rPr>
                <w:rFonts w:ascii="Times New Roman" w:hAnsi="Times New Roman" w:cs="Times New Roman"/>
                <w:bCs/>
                <w:sz w:val="24"/>
                <w:szCs w:val="24"/>
              </w:rPr>
              <w:t xml:space="preserve"> a </w:t>
            </w:r>
            <w:r w:rsidRPr="00A3389E">
              <w:rPr>
                <w:rFonts w:ascii="Times New Roman" w:hAnsi="Times New Roman" w:cs="Times New Roman"/>
                <w:bCs/>
                <w:sz w:val="24"/>
                <w:szCs w:val="24"/>
              </w:rPr>
              <w:t>g) CRR</w:t>
            </w:r>
            <w:r w:rsidRPr="00A3389E">
              <w:rPr>
                <w:rFonts w:ascii="Times New Roman" w:hAnsi="Times New Roman" w:cs="Times New Roman"/>
                <w:sz w:val="24"/>
                <w:szCs w:val="24"/>
              </w:rPr>
              <w:t>. Inštitúcie zahŕňajú aktíva, ktoré sa odpočítavajú pri určovaní kapitálu Tier 1,</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preto sú zverejnené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riadku 2 vzoru EU </w:t>
            </w:r>
            <w:r w:rsidRPr="00A3389E">
              <w:rPr>
                <w:rFonts w:ascii="Times New Roman" w:hAnsi="Times New Roman" w:cs="Times New Roman"/>
                <w:color w:val="000000"/>
                <w:sz w:val="24"/>
                <w:szCs w:val="24"/>
              </w:rPr>
              <w:t xml:space="preserve">LR2 – </w:t>
            </w:r>
            <w:r w:rsidRPr="00A3389E">
              <w:rPr>
                <w:rFonts w:ascii="Times New Roman" w:hAnsi="Times New Roman" w:cs="Times New Roman"/>
                <w:sz w:val="24"/>
                <w:szCs w:val="24"/>
              </w:rPr>
              <w:t>LRCom, pokiaľ tieto aktíva nie sú zahrnuté</w:t>
            </w:r>
            <w:r w:rsidR="00A3389E">
              <w:rPr>
                <w:rFonts w:ascii="Times New Roman" w:hAnsi="Times New Roman" w:cs="Times New Roman"/>
                <w:sz w:val="24"/>
                <w:szCs w:val="24"/>
              </w:rPr>
              <w:t xml:space="preserve"> v </w:t>
            </w:r>
            <w:r w:rsidRPr="00A3389E">
              <w:rPr>
                <w:rFonts w:ascii="Times New Roman" w:hAnsi="Times New Roman" w:cs="Times New Roman"/>
                <w:sz w:val="24"/>
                <w:szCs w:val="24"/>
              </w:rPr>
              <w:t xml:space="preserve">riadkoch EU-2, EU-4 až EU-11 vzoru EU </w:t>
            </w:r>
            <w:r w:rsidRPr="00A3389E">
              <w:rPr>
                <w:rFonts w:ascii="Times New Roman" w:hAnsi="Times New Roman" w:cs="Times New Roman"/>
                <w:color w:val="000000"/>
                <w:sz w:val="24"/>
                <w:szCs w:val="24"/>
              </w:rPr>
              <w:t>LR3 –</w:t>
            </w:r>
            <w:r w:rsidRPr="00A3389E">
              <w:rPr>
                <w:rFonts w:ascii="Times New Roman" w:hAnsi="Times New Roman" w:cs="Times New Roman"/>
                <w:sz w:val="24"/>
                <w:szCs w:val="24"/>
              </w:rPr>
              <w:t xml:space="preserve"> LRSpl.</w:t>
            </w:r>
          </w:p>
        </w:tc>
      </w:tr>
    </w:tbl>
    <w:p w14:paraId="3E3FB773" w14:textId="77777777" w:rsidR="000A7015" w:rsidRPr="00A3389E" w:rsidRDefault="000A7015" w:rsidP="000A7015">
      <w:pPr>
        <w:spacing w:after="120"/>
        <w:rPr>
          <w:rFonts w:ascii="Times New Roman" w:hAnsi="Times New Roman" w:cs="Times New Roman"/>
          <w:sz w:val="24"/>
        </w:rPr>
      </w:pPr>
    </w:p>
    <w:p w14:paraId="2D6D91F7" w14:textId="371CCD5E" w:rsidR="000A7015" w:rsidRPr="00A3389E"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sidRPr="00A3389E">
        <w:rPr>
          <w:rFonts w:ascii="Times New Roman" w:hAnsi="Times New Roman" w:cs="Times New Roman"/>
          <w:color w:val="000000"/>
          <w:sz w:val="24"/>
          <w:szCs w:val="24"/>
        </w:rPr>
        <w:t xml:space="preserve">Tabuľka EU LRA – Zverejňovanie kvalitatívnych informácií LR. </w:t>
      </w:r>
      <w:r w:rsidRPr="00A3389E">
        <w:rPr>
          <w:rFonts w:ascii="Times New Roman" w:hAnsi="Times New Roman" w:cs="Times New Roman"/>
          <w:b w:val="0"/>
          <w:color w:val="000000"/>
          <w:sz w:val="24"/>
          <w:szCs w:val="24"/>
        </w:rPr>
        <w:t>Textové polia</w:t>
      </w:r>
      <w:r w:rsidR="00A3389E">
        <w:rPr>
          <w:rFonts w:ascii="Times New Roman" w:hAnsi="Times New Roman" w:cs="Times New Roman"/>
          <w:b w:val="0"/>
          <w:color w:val="000000"/>
          <w:sz w:val="24"/>
          <w:szCs w:val="24"/>
        </w:rPr>
        <w:t xml:space="preserve"> s </w:t>
      </w:r>
      <w:r w:rsidRPr="00A3389E">
        <w:rPr>
          <w:rFonts w:ascii="Times New Roman" w:hAnsi="Times New Roman" w:cs="Times New Roman"/>
          <w:b w:val="0"/>
          <w:color w:val="000000"/>
          <w:sz w:val="24"/>
          <w:szCs w:val="24"/>
        </w:rPr>
        <w:t>ľubovoľným formátom na zverejňovanie kvalitatívnych informácií.</w:t>
      </w:r>
    </w:p>
    <w:p w14:paraId="5F858CBE" w14:textId="4A985DCF" w:rsidR="000A7015" w:rsidRPr="00A3389E" w:rsidRDefault="00A3389E" w:rsidP="00A3389E">
      <w:pPr>
        <w:spacing w:after="120"/>
        <w:ind w:left="426" w:hanging="360"/>
        <w:rPr>
          <w:rFonts w:ascii="Times New Roman" w:hAnsi="Times New Roman"/>
          <w:sz w:val="24"/>
        </w:rPr>
      </w:pPr>
      <w:r w:rsidRPr="00A3389E">
        <w:rPr>
          <w:rFonts w:ascii="Times New Roman" w:eastAsia="Calibri" w:hAnsi="Times New Roman" w:cs="Times New Roman"/>
          <w:sz w:val="24"/>
        </w:rPr>
        <w:t>6.</w:t>
      </w:r>
      <w:r w:rsidRPr="00A3389E">
        <w:rPr>
          <w:rFonts w:ascii="Times New Roman" w:eastAsia="Calibri" w:hAnsi="Times New Roman" w:cs="Times New Roman"/>
          <w:sz w:val="24"/>
        </w:rPr>
        <w:tab/>
      </w:r>
      <w:r w:rsidR="000A7015" w:rsidRPr="00A3389E">
        <w:rPr>
          <w:rFonts w:ascii="Times New Roman" w:hAnsi="Times New Roman"/>
          <w:color w:val="000000"/>
          <w:sz w:val="24"/>
        </w:rPr>
        <w:t>Inštitúcie vypĺňajú tabuľku</w:t>
      </w:r>
      <w:r w:rsidR="000A7015" w:rsidRPr="00A3389E">
        <w:rPr>
          <w:rFonts w:ascii="Times New Roman" w:hAnsi="Times New Roman"/>
        </w:rPr>
        <w:tab/>
      </w:r>
      <w:r w:rsidR="000A7015" w:rsidRPr="00A3389E">
        <w:rPr>
          <w:rFonts w:ascii="Times New Roman" w:hAnsi="Times New Roman"/>
          <w:color w:val="000000"/>
          <w:sz w:val="24"/>
        </w:rPr>
        <w:t xml:space="preserve"> EU LRA podľa týchto pokynov, pričom uplatňujú článok 451 ods. 1 písm. d)</w:t>
      </w:r>
      <w:r>
        <w:rPr>
          <w:rFonts w:ascii="Times New Roman" w:hAnsi="Times New Roman"/>
          <w:color w:val="000000"/>
          <w:sz w:val="24"/>
        </w:rPr>
        <w:t xml:space="preserve"> a </w:t>
      </w:r>
      <w:r w:rsidR="000A7015" w:rsidRPr="00A3389E">
        <w:rPr>
          <w:rFonts w:ascii="Times New Roman" w:hAnsi="Times New Roman"/>
          <w:color w:val="000000"/>
          <w:sz w:val="24"/>
        </w:rPr>
        <w:t>e) CRR.</w:t>
      </w:r>
    </w:p>
    <w:p w14:paraId="217530F6" w14:textId="77777777" w:rsidR="000A7015" w:rsidRPr="00A3389E"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A3389E"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14DB7AD" w:rsidR="000A7015" w:rsidRPr="00A3389E" w:rsidRDefault="000A7015" w:rsidP="001E06A3">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A7015" w:rsidRPr="00A3389E" w14:paraId="47A7F4FC" w14:textId="77777777" w:rsidTr="001E06A3">
        <w:trPr>
          <w:trHeight w:val="238"/>
        </w:trPr>
        <w:tc>
          <w:tcPr>
            <w:tcW w:w="1384" w:type="dxa"/>
            <w:shd w:val="clear" w:color="auto" w:fill="D9D9D9" w:themeFill="background1" w:themeFillShade="D9"/>
          </w:tcPr>
          <w:p w14:paraId="62939398" w14:textId="77777777" w:rsidR="000A7015" w:rsidRPr="00A3389E" w:rsidRDefault="000A7015" w:rsidP="001E06A3">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52920A74" w14:textId="77777777" w:rsidR="000A7015" w:rsidRPr="00A3389E" w:rsidRDefault="000A7015" w:rsidP="001E06A3">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A7015" w:rsidRPr="00A3389E" w14:paraId="408201A6" w14:textId="77777777" w:rsidTr="001E06A3">
        <w:trPr>
          <w:trHeight w:val="805"/>
        </w:trPr>
        <w:tc>
          <w:tcPr>
            <w:tcW w:w="1384" w:type="dxa"/>
          </w:tcPr>
          <w:p w14:paraId="116E3028"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a)</w:t>
            </w:r>
          </w:p>
        </w:tc>
        <w:tc>
          <w:tcPr>
            <w:tcW w:w="7655" w:type="dxa"/>
          </w:tcPr>
          <w:p w14:paraId="4B3A2262"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Opis postupov používaných na riadenie rizika nadmerného využívania finančnej páky</w:t>
            </w:r>
          </w:p>
          <w:p w14:paraId="1045D7C1"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451 ods. 1 písm. d) CRR.</w:t>
            </w:r>
          </w:p>
          <w:p w14:paraId="6272CBE5"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„Opis postupov používaných na riadenie rizika nadmerného využívania finančnej páky“ zahŕňa akékoľvek relevantné informácie o:</w:t>
            </w:r>
          </w:p>
          <w:p w14:paraId="690506A7" w14:textId="77BC7390" w:rsidR="000A7015" w:rsidRPr="00A3389E" w:rsidRDefault="00023CBA" w:rsidP="00A3389E">
            <w:pPr>
              <w:pStyle w:val="Teksttreci0"/>
              <w:shd w:val="clear" w:color="auto" w:fill="auto"/>
              <w:tabs>
                <w:tab w:val="left" w:pos="283"/>
              </w:tabs>
              <w:spacing w:after="120" w:line="240" w:lineRule="auto"/>
              <w:ind w:firstLine="0"/>
              <w:rPr>
                <w:rFonts w:ascii="Times New Roman" w:hAnsi="Times New Roman" w:cs="Times New Roman"/>
                <w:sz w:val="24"/>
                <w:szCs w:val="24"/>
              </w:rPr>
            </w:pPr>
            <w:r w:rsidRPr="00A3389E">
              <w:rPr>
                <w:rFonts w:ascii="Times New Roman" w:hAnsi="Times New Roman" w:cs="Times New Roman"/>
                <w:color w:val="000000"/>
                <w:sz w:val="24"/>
                <w:szCs w:val="24"/>
              </w:rPr>
              <w:t>a</w:t>
            </w:r>
            <w:r>
              <w:rPr>
                <w:rFonts w:ascii="Times New Roman" w:hAnsi="Times New Roman" w:cs="Times New Roman"/>
                <w:color w:val="000000"/>
                <w:sz w:val="24"/>
                <w:szCs w:val="24"/>
              </w:rPr>
              <w:t>)</w:t>
            </w:r>
            <w:r w:rsidR="00A3389E" w:rsidRPr="00A3389E">
              <w:rPr>
                <w:rFonts w:ascii="Times New Roman" w:hAnsi="Times New Roman" w:cs="Times New Roman"/>
                <w:color w:val="000000"/>
                <w:sz w:val="24"/>
                <w:szCs w:val="24"/>
              </w:rPr>
              <w:tab/>
            </w:r>
            <w:r w:rsidR="000A7015" w:rsidRPr="00A3389E">
              <w:rPr>
                <w:rFonts w:ascii="Times New Roman" w:hAnsi="Times New Roman" w:cs="Times New Roman"/>
                <w:sz w:val="24"/>
                <w:szCs w:val="24"/>
              </w:rPr>
              <w:t xml:space="preserve"> postupoch</w:t>
            </w:r>
            <w:r w:rsidR="00A3389E">
              <w:rPr>
                <w:rFonts w:ascii="Times New Roman" w:hAnsi="Times New Roman" w:cs="Times New Roman"/>
                <w:sz w:val="24"/>
                <w:szCs w:val="24"/>
              </w:rPr>
              <w:t xml:space="preserve"> a </w:t>
            </w:r>
            <w:r w:rsidR="000A7015" w:rsidRPr="00A3389E">
              <w:rPr>
                <w:rFonts w:ascii="Times New Roman" w:hAnsi="Times New Roman" w:cs="Times New Roman"/>
                <w:sz w:val="24"/>
                <w:szCs w:val="24"/>
              </w:rPr>
              <w:t>zdrojoch používaných na posudzovanie rizika nadmerného využívania finančnej páky;</w:t>
            </w:r>
          </w:p>
          <w:p w14:paraId="00DD152E" w14:textId="2B060D1F" w:rsidR="000A7015" w:rsidRPr="00A3389E" w:rsidRDefault="00023CBA" w:rsidP="00A3389E">
            <w:pPr>
              <w:pStyle w:val="Teksttreci0"/>
              <w:shd w:val="clear" w:color="auto" w:fill="auto"/>
              <w:tabs>
                <w:tab w:val="left" w:pos="283"/>
              </w:tabs>
              <w:spacing w:after="120" w:line="240" w:lineRule="auto"/>
              <w:ind w:firstLine="0"/>
              <w:rPr>
                <w:rFonts w:ascii="Times New Roman" w:hAnsi="Times New Roman" w:cs="Times New Roman"/>
                <w:sz w:val="24"/>
                <w:szCs w:val="24"/>
              </w:rPr>
            </w:pPr>
            <w:r w:rsidRPr="00A3389E">
              <w:rPr>
                <w:rFonts w:ascii="Times New Roman" w:hAnsi="Times New Roman" w:cs="Times New Roman"/>
                <w:color w:val="000000"/>
                <w:sz w:val="24"/>
                <w:szCs w:val="24"/>
              </w:rPr>
              <w:t>b</w:t>
            </w:r>
            <w:r>
              <w:rPr>
                <w:rFonts w:ascii="Times New Roman" w:hAnsi="Times New Roman" w:cs="Times New Roman"/>
                <w:color w:val="000000"/>
                <w:sz w:val="24"/>
                <w:szCs w:val="24"/>
              </w:rPr>
              <w:t>)</w:t>
            </w:r>
            <w:r w:rsidR="00A3389E" w:rsidRPr="00A3389E">
              <w:rPr>
                <w:rFonts w:ascii="Times New Roman" w:hAnsi="Times New Roman" w:cs="Times New Roman"/>
                <w:color w:val="000000"/>
                <w:sz w:val="24"/>
                <w:szCs w:val="24"/>
              </w:rPr>
              <w:tab/>
            </w:r>
            <w:r w:rsidR="000A7015" w:rsidRPr="00A3389E">
              <w:rPr>
                <w:rFonts w:ascii="Times New Roman" w:hAnsi="Times New Roman" w:cs="Times New Roman"/>
                <w:sz w:val="24"/>
                <w:szCs w:val="24"/>
              </w:rPr>
              <w:t xml:space="preserve"> prípadných kvantitatívnych nástrojoch používaných na posudzovanie rizika nadmerného využívania finančnej páky vrátane podrobných údajov</w:t>
            </w:r>
            <w:r w:rsidR="00A3389E">
              <w:rPr>
                <w:rFonts w:ascii="Times New Roman" w:hAnsi="Times New Roman" w:cs="Times New Roman"/>
                <w:sz w:val="24"/>
                <w:szCs w:val="24"/>
              </w:rPr>
              <w:t xml:space="preserve"> o </w:t>
            </w:r>
            <w:r w:rsidR="000A7015" w:rsidRPr="00A3389E">
              <w:rPr>
                <w:rFonts w:ascii="Times New Roman" w:hAnsi="Times New Roman" w:cs="Times New Roman"/>
                <w:sz w:val="24"/>
                <w:szCs w:val="24"/>
              </w:rPr>
              <w:t>potenciálnych interných cieľoch</w:t>
            </w:r>
            <w:r w:rsidR="00A3389E">
              <w:rPr>
                <w:rFonts w:ascii="Times New Roman" w:hAnsi="Times New Roman" w:cs="Times New Roman"/>
                <w:sz w:val="24"/>
                <w:szCs w:val="24"/>
              </w:rPr>
              <w:t xml:space="preserve"> a o </w:t>
            </w:r>
            <w:r w:rsidR="000A7015" w:rsidRPr="00A3389E">
              <w:rPr>
                <w:rFonts w:ascii="Times New Roman" w:hAnsi="Times New Roman" w:cs="Times New Roman"/>
                <w:sz w:val="24"/>
                <w:szCs w:val="24"/>
              </w:rPr>
              <w:t>tom, či sa používajú aj iné ukazovatele než ukazovateľ finančnej páky podľa CRR;</w:t>
            </w:r>
          </w:p>
          <w:p w14:paraId="3C823764" w14:textId="0D46D212" w:rsidR="000A7015" w:rsidRPr="00A3389E" w:rsidRDefault="00023CBA" w:rsidP="00A3389E">
            <w:pPr>
              <w:pStyle w:val="Teksttreci0"/>
              <w:shd w:val="clear" w:color="auto" w:fill="auto"/>
              <w:tabs>
                <w:tab w:val="left" w:pos="-17"/>
              </w:tabs>
              <w:spacing w:after="120" w:line="240" w:lineRule="auto"/>
              <w:ind w:hanging="360"/>
              <w:rPr>
                <w:rFonts w:ascii="Times New Roman" w:hAnsi="Times New Roman" w:cs="Times New Roman"/>
                <w:sz w:val="24"/>
                <w:szCs w:val="24"/>
              </w:rPr>
            </w:pPr>
            <w:r w:rsidRPr="00A3389E">
              <w:rPr>
                <w:rFonts w:ascii="Times New Roman" w:hAnsi="Times New Roman" w:cs="Times New Roman"/>
                <w:color w:val="000000"/>
                <w:sz w:val="24"/>
                <w:szCs w:val="24"/>
              </w:rPr>
              <w:t>c</w:t>
            </w:r>
            <w:r>
              <w:rPr>
                <w:rFonts w:ascii="Times New Roman" w:hAnsi="Times New Roman" w:cs="Times New Roman"/>
                <w:color w:val="000000"/>
                <w:sz w:val="24"/>
                <w:szCs w:val="24"/>
              </w:rPr>
              <w:t>)</w:t>
            </w:r>
            <w:r w:rsidR="00A3389E" w:rsidRPr="00A3389E">
              <w:rPr>
                <w:rFonts w:ascii="Times New Roman" w:hAnsi="Times New Roman" w:cs="Times New Roman"/>
                <w:color w:val="000000"/>
                <w:sz w:val="24"/>
                <w:szCs w:val="24"/>
              </w:rPr>
              <w:tab/>
            </w:r>
            <w:r w:rsidR="000A7015" w:rsidRPr="00A3389E">
              <w:rPr>
                <w:rFonts w:ascii="Times New Roman" w:hAnsi="Times New Roman" w:cs="Times New Roman"/>
                <w:sz w:val="24"/>
                <w:szCs w:val="24"/>
              </w:rPr>
              <w:t>c) spôsoboch, ako sa pri riadení rizika nadmerného využívania finančnej páky zohľadňuje nesúlad splatností</w:t>
            </w:r>
            <w:r w:rsidR="00A3389E">
              <w:rPr>
                <w:rFonts w:ascii="Times New Roman" w:hAnsi="Times New Roman" w:cs="Times New Roman"/>
                <w:sz w:val="24"/>
                <w:szCs w:val="24"/>
              </w:rPr>
              <w:t xml:space="preserve"> a </w:t>
            </w:r>
            <w:r w:rsidR="000A7015" w:rsidRPr="00A3389E">
              <w:rPr>
                <w:rFonts w:ascii="Times New Roman" w:hAnsi="Times New Roman" w:cs="Times New Roman"/>
                <w:sz w:val="24"/>
                <w:szCs w:val="24"/>
              </w:rPr>
              <w:t>zaťaženosť aktív;</w:t>
            </w:r>
          </w:p>
          <w:p w14:paraId="6A93BB36" w14:textId="202F075D" w:rsidR="000A7015" w:rsidRPr="00A3389E"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d) postupoch, ktorými sa reaguje na zmeny ukazovateľa finančnej páky, vrátane postupov</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časových rámcov pre potenciálne zvýšenie kapitálu Tier 1 na riadenie rizika nadmerného využívania finančnej páky; alebo</w:t>
            </w:r>
            <w:r w:rsidR="00A3389E">
              <w:rPr>
                <w:rFonts w:ascii="Times New Roman" w:hAnsi="Times New Roman" w:cs="Times New Roman"/>
                <w:sz w:val="24"/>
                <w:szCs w:val="24"/>
              </w:rPr>
              <w:t xml:space="preserve"> o </w:t>
            </w:r>
            <w:r w:rsidRPr="00A3389E">
              <w:rPr>
                <w:rFonts w:ascii="Times New Roman" w:hAnsi="Times New Roman" w:cs="Times New Roman"/>
                <w:sz w:val="24"/>
                <w:szCs w:val="24"/>
              </w:rPr>
              <w:t>postupoch</w:t>
            </w:r>
            <w:r w:rsidR="00A3389E">
              <w:rPr>
                <w:rFonts w:ascii="Times New Roman" w:hAnsi="Times New Roman" w:cs="Times New Roman"/>
                <w:sz w:val="24"/>
                <w:szCs w:val="24"/>
              </w:rPr>
              <w:t xml:space="preserve"> a </w:t>
            </w:r>
            <w:r w:rsidRPr="00A3389E">
              <w:rPr>
                <w:rFonts w:ascii="Times New Roman" w:hAnsi="Times New Roman" w:cs="Times New Roman"/>
                <w:sz w:val="24"/>
                <w:szCs w:val="24"/>
              </w:rPr>
              <w:t>časových rámcoch pre úpravu menovateľa ukazovateľa finančnej páky (veľkosť celkovej expozície) na riadenie rizika nadmerného využívania finančnej páky.</w:t>
            </w:r>
          </w:p>
        </w:tc>
      </w:tr>
      <w:tr w:rsidR="000A7015" w:rsidRPr="00A3389E" w14:paraId="535F2FD9" w14:textId="77777777" w:rsidTr="001E06A3">
        <w:trPr>
          <w:trHeight w:val="2265"/>
        </w:trPr>
        <w:tc>
          <w:tcPr>
            <w:tcW w:w="1384" w:type="dxa"/>
          </w:tcPr>
          <w:p w14:paraId="568620E2" w14:textId="77777777" w:rsidR="000A7015" w:rsidRPr="00A3389E"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3389E">
              <w:rPr>
                <w:rFonts w:ascii="Times New Roman" w:hAnsi="Times New Roman" w:cs="Times New Roman"/>
                <w:sz w:val="24"/>
                <w:szCs w:val="24"/>
              </w:rPr>
              <w:t>b)</w:t>
            </w:r>
          </w:p>
        </w:tc>
        <w:tc>
          <w:tcPr>
            <w:tcW w:w="7655" w:type="dxa"/>
          </w:tcPr>
          <w:p w14:paraId="72A8674C"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Style w:val="TeksttreciPogrubienie"/>
                <w:rFonts w:ascii="Times New Roman" w:hAnsi="Times New Roman" w:cs="Times New Roman"/>
                <w:sz w:val="24"/>
                <w:szCs w:val="24"/>
              </w:rPr>
              <w:t>Opis faktorov, ktoré mali vplyv na ukazovateľ finančnej páky počas obdobia, ktorého sa týka zverejnený ukazovateľ finančnej páky</w:t>
            </w:r>
          </w:p>
          <w:p w14:paraId="418FCFB6"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Článok 451 ods. 1 písm. e) CRR.</w:t>
            </w:r>
          </w:p>
          <w:p w14:paraId="452051C2" w14:textId="77777777" w:rsidR="000A7015" w:rsidRPr="00A3389E"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A3389E">
              <w:rPr>
                <w:rFonts w:ascii="Times New Roman" w:hAnsi="Times New Roman" w:cs="Times New Roman"/>
                <w:sz w:val="24"/>
                <w:szCs w:val="24"/>
              </w:rPr>
              <w:t>„Opis faktorov, ktoré mali vplyv na ukazovateľ finančnej páky počas obdobia, ktorého sa týka zverejnený ukazovateľ finančnej páky“ obsahuje akékoľvek významné informácie o:</w:t>
            </w:r>
          </w:p>
          <w:p w14:paraId="03ED54C0" w14:textId="102AF351" w:rsidR="000A7015" w:rsidRPr="00A3389E" w:rsidRDefault="00023CBA" w:rsidP="00A3389E">
            <w:pPr>
              <w:pStyle w:val="Teksttreci0"/>
              <w:shd w:val="clear" w:color="auto" w:fill="auto"/>
              <w:tabs>
                <w:tab w:val="left" w:pos="283"/>
              </w:tabs>
              <w:spacing w:after="120" w:line="240" w:lineRule="auto"/>
              <w:ind w:firstLine="0"/>
              <w:rPr>
                <w:rFonts w:ascii="Times New Roman" w:hAnsi="Times New Roman" w:cs="Times New Roman"/>
                <w:sz w:val="24"/>
                <w:szCs w:val="24"/>
              </w:rPr>
            </w:pPr>
            <w:r w:rsidRPr="00A3389E">
              <w:rPr>
                <w:rFonts w:ascii="Times New Roman" w:hAnsi="Times New Roman" w:cs="Times New Roman"/>
                <w:color w:val="000000"/>
                <w:sz w:val="24"/>
                <w:szCs w:val="24"/>
              </w:rPr>
              <w:t>a</w:t>
            </w:r>
            <w:r>
              <w:rPr>
                <w:rFonts w:ascii="Times New Roman" w:hAnsi="Times New Roman" w:cs="Times New Roman"/>
                <w:color w:val="000000"/>
                <w:sz w:val="24"/>
                <w:szCs w:val="24"/>
              </w:rPr>
              <w:t>)</w:t>
            </w:r>
            <w:r w:rsidR="00A3389E" w:rsidRPr="00A3389E">
              <w:rPr>
                <w:rFonts w:ascii="Times New Roman" w:hAnsi="Times New Roman" w:cs="Times New Roman"/>
                <w:color w:val="000000"/>
                <w:sz w:val="24"/>
                <w:szCs w:val="24"/>
              </w:rPr>
              <w:tab/>
            </w:r>
            <w:r w:rsidR="000A7015" w:rsidRPr="00A3389E">
              <w:rPr>
                <w:rFonts w:ascii="Times New Roman" w:hAnsi="Times New Roman" w:cs="Times New Roman"/>
                <w:sz w:val="24"/>
                <w:szCs w:val="24"/>
              </w:rPr>
              <w:t xml:space="preserve"> kvantifikácii zmeny ukazovateľa finančnej páky od predchádzajúceho referenčného dátumu zverejňovania;</w:t>
            </w:r>
          </w:p>
          <w:p w14:paraId="42D8F1FD" w14:textId="54D26604" w:rsidR="000A7015" w:rsidRPr="00A3389E" w:rsidRDefault="00023CBA" w:rsidP="00A3389E">
            <w:pPr>
              <w:pStyle w:val="Teksttreci0"/>
              <w:shd w:val="clear" w:color="auto" w:fill="auto"/>
              <w:tabs>
                <w:tab w:val="left" w:pos="283"/>
              </w:tabs>
              <w:spacing w:after="120" w:line="240" w:lineRule="auto"/>
              <w:ind w:firstLine="0"/>
              <w:rPr>
                <w:rFonts w:ascii="Times New Roman" w:hAnsi="Times New Roman" w:cs="Times New Roman"/>
                <w:sz w:val="24"/>
                <w:szCs w:val="24"/>
              </w:rPr>
            </w:pPr>
            <w:r w:rsidRPr="00A3389E">
              <w:rPr>
                <w:rFonts w:ascii="Times New Roman" w:hAnsi="Times New Roman" w:cs="Times New Roman"/>
                <w:color w:val="000000"/>
                <w:sz w:val="24"/>
                <w:szCs w:val="24"/>
              </w:rPr>
              <w:t>b</w:t>
            </w:r>
            <w:r>
              <w:rPr>
                <w:rFonts w:ascii="Times New Roman" w:hAnsi="Times New Roman" w:cs="Times New Roman"/>
                <w:color w:val="000000"/>
                <w:sz w:val="24"/>
                <w:szCs w:val="24"/>
              </w:rPr>
              <w:t>)</w:t>
            </w:r>
            <w:r w:rsidR="00A3389E" w:rsidRPr="00A3389E">
              <w:rPr>
                <w:rFonts w:ascii="Times New Roman" w:hAnsi="Times New Roman" w:cs="Times New Roman"/>
                <w:color w:val="000000"/>
                <w:sz w:val="24"/>
                <w:szCs w:val="24"/>
              </w:rPr>
              <w:tab/>
            </w:r>
            <w:r w:rsidR="000A7015" w:rsidRPr="00A3389E">
              <w:rPr>
                <w:rFonts w:ascii="Times New Roman" w:hAnsi="Times New Roman" w:cs="Times New Roman"/>
                <w:sz w:val="24"/>
                <w:szCs w:val="24"/>
              </w:rPr>
              <w:t xml:space="preserve"> hlavných faktoroch ukazovateľa finančnej páky od predchádzajúceho referenčného dátumu zverejňovania</w:t>
            </w:r>
            <w:r w:rsidR="00A3389E">
              <w:rPr>
                <w:rFonts w:ascii="Times New Roman" w:hAnsi="Times New Roman" w:cs="Times New Roman"/>
                <w:sz w:val="24"/>
                <w:szCs w:val="24"/>
              </w:rPr>
              <w:t xml:space="preserve"> s </w:t>
            </w:r>
            <w:r w:rsidR="000A7015" w:rsidRPr="00A3389E">
              <w:rPr>
                <w:rFonts w:ascii="Times New Roman" w:hAnsi="Times New Roman" w:cs="Times New Roman"/>
                <w:sz w:val="24"/>
                <w:szCs w:val="24"/>
              </w:rPr>
              <w:t>vysvetľujúcimi poznámkami týkajúcimi sa:</w:t>
            </w:r>
          </w:p>
          <w:p w14:paraId="17C83F25" w14:textId="20E1F16C" w:rsidR="000A7015" w:rsidRPr="00A3389E" w:rsidRDefault="00A3389E" w:rsidP="00A3389E">
            <w:pPr>
              <w:pStyle w:val="Teksttreci0"/>
              <w:shd w:val="clear" w:color="auto" w:fill="auto"/>
              <w:tabs>
                <w:tab w:val="left" w:pos="-12"/>
              </w:tabs>
              <w:spacing w:after="120" w:line="240" w:lineRule="auto"/>
              <w:ind w:hanging="360"/>
              <w:rPr>
                <w:rFonts w:ascii="Times New Roman" w:hAnsi="Times New Roman" w:cs="Times New Roman"/>
                <w:sz w:val="24"/>
                <w:szCs w:val="24"/>
              </w:rPr>
            </w:pPr>
            <w:r w:rsidRPr="00A3389E">
              <w:rPr>
                <w:color w:val="000000"/>
              </w:rPr>
              <w:t>(1)</w:t>
            </w:r>
            <w:r w:rsidRPr="00A3389E">
              <w:rPr>
                <w:color w:val="000000"/>
              </w:rPr>
              <w:tab/>
            </w:r>
            <w:r w:rsidR="000A7015" w:rsidRPr="00A3389E">
              <w:rPr>
                <w:rFonts w:ascii="Times New Roman" w:hAnsi="Times New Roman" w:cs="Times New Roman"/>
                <w:sz w:val="24"/>
                <w:szCs w:val="24"/>
              </w:rPr>
              <w:t>1. povahy zmeny</w:t>
            </w:r>
            <w:r>
              <w:rPr>
                <w:rFonts w:ascii="Times New Roman" w:hAnsi="Times New Roman" w:cs="Times New Roman"/>
                <w:sz w:val="24"/>
                <w:szCs w:val="24"/>
              </w:rPr>
              <w:t xml:space="preserve"> a </w:t>
            </w:r>
            <w:r w:rsidR="000A7015" w:rsidRPr="00A3389E">
              <w:rPr>
                <w:rFonts w:ascii="Times New Roman" w:hAnsi="Times New Roman" w:cs="Times New Roman"/>
                <w:sz w:val="24"/>
                <w:szCs w:val="24"/>
              </w:rPr>
              <w:t>toho, či išlo</w:t>
            </w:r>
            <w:r>
              <w:rPr>
                <w:rFonts w:ascii="Times New Roman" w:hAnsi="Times New Roman" w:cs="Times New Roman"/>
                <w:sz w:val="24"/>
                <w:szCs w:val="24"/>
              </w:rPr>
              <w:t xml:space="preserve"> o </w:t>
            </w:r>
            <w:r w:rsidR="000A7015" w:rsidRPr="00A3389E">
              <w:rPr>
                <w:rFonts w:ascii="Times New Roman" w:hAnsi="Times New Roman" w:cs="Times New Roman"/>
                <w:sz w:val="24"/>
                <w:szCs w:val="24"/>
              </w:rPr>
              <w:t>zmenu</w:t>
            </w:r>
            <w:r>
              <w:rPr>
                <w:rFonts w:ascii="Times New Roman" w:hAnsi="Times New Roman" w:cs="Times New Roman"/>
                <w:sz w:val="24"/>
                <w:szCs w:val="24"/>
              </w:rPr>
              <w:t xml:space="preserve"> v </w:t>
            </w:r>
            <w:r w:rsidR="000A7015" w:rsidRPr="00A3389E">
              <w:rPr>
                <w:rFonts w:ascii="Times New Roman" w:hAnsi="Times New Roman" w:cs="Times New Roman"/>
                <w:sz w:val="24"/>
                <w:szCs w:val="24"/>
              </w:rPr>
              <w:t>čitateli ukazovateľa, zmenu</w:t>
            </w:r>
            <w:r>
              <w:rPr>
                <w:rFonts w:ascii="Times New Roman" w:hAnsi="Times New Roman" w:cs="Times New Roman"/>
                <w:sz w:val="24"/>
                <w:szCs w:val="24"/>
              </w:rPr>
              <w:t xml:space="preserve"> v </w:t>
            </w:r>
            <w:r w:rsidR="000A7015" w:rsidRPr="00A3389E">
              <w:rPr>
                <w:rFonts w:ascii="Times New Roman" w:hAnsi="Times New Roman" w:cs="Times New Roman"/>
                <w:sz w:val="24"/>
                <w:szCs w:val="24"/>
              </w:rPr>
              <w:t>menovateli ukazovateľa alebo</w:t>
            </w:r>
            <w:r>
              <w:rPr>
                <w:rFonts w:ascii="Times New Roman" w:hAnsi="Times New Roman" w:cs="Times New Roman"/>
                <w:sz w:val="24"/>
                <w:szCs w:val="24"/>
              </w:rPr>
              <w:t xml:space="preserve"> o </w:t>
            </w:r>
            <w:r w:rsidR="000A7015" w:rsidRPr="00A3389E">
              <w:rPr>
                <w:rFonts w:ascii="Times New Roman" w:hAnsi="Times New Roman" w:cs="Times New Roman"/>
                <w:sz w:val="24"/>
                <w:szCs w:val="24"/>
              </w:rPr>
              <w:t>zmenu</w:t>
            </w:r>
            <w:r>
              <w:rPr>
                <w:rFonts w:ascii="Times New Roman" w:hAnsi="Times New Roman" w:cs="Times New Roman"/>
                <w:sz w:val="24"/>
                <w:szCs w:val="24"/>
              </w:rPr>
              <w:t xml:space="preserve"> v </w:t>
            </w:r>
            <w:r w:rsidR="000A7015" w:rsidRPr="00A3389E">
              <w:rPr>
                <w:rFonts w:ascii="Times New Roman" w:hAnsi="Times New Roman" w:cs="Times New Roman"/>
                <w:sz w:val="24"/>
                <w:szCs w:val="24"/>
              </w:rPr>
              <w:t>oboch,</w:t>
            </w:r>
          </w:p>
          <w:p w14:paraId="782B25CF" w14:textId="32CC6E02" w:rsidR="000A7015" w:rsidRPr="00A3389E" w:rsidRDefault="00A3389E" w:rsidP="00A3389E">
            <w:pPr>
              <w:pStyle w:val="Teksttreci0"/>
              <w:shd w:val="clear" w:color="auto" w:fill="auto"/>
              <w:tabs>
                <w:tab w:val="left" w:pos="-17"/>
              </w:tabs>
              <w:spacing w:after="120" w:line="240" w:lineRule="auto"/>
              <w:ind w:hanging="360"/>
              <w:rPr>
                <w:rFonts w:ascii="Times New Roman" w:hAnsi="Times New Roman" w:cs="Times New Roman"/>
                <w:sz w:val="24"/>
                <w:szCs w:val="24"/>
              </w:rPr>
            </w:pPr>
            <w:r w:rsidRPr="00A3389E">
              <w:rPr>
                <w:color w:val="000000"/>
              </w:rPr>
              <w:t>(2)</w:t>
            </w:r>
            <w:r w:rsidRPr="00A3389E">
              <w:rPr>
                <w:color w:val="000000"/>
              </w:rPr>
              <w:tab/>
            </w:r>
            <w:r w:rsidR="000A7015" w:rsidRPr="00A3389E">
              <w:rPr>
                <w:rFonts w:ascii="Times New Roman" w:hAnsi="Times New Roman" w:cs="Times New Roman"/>
                <w:sz w:val="24"/>
                <w:szCs w:val="24"/>
              </w:rPr>
              <w:t>2. toho, či bola zmena výsledkom interného strategického rozhodnutia,</w:t>
            </w:r>
            <w:r>
              <w:rPr>
                <w:rFonts w:ascii="Times New Roman" w:hAnsi="Times New Roman" w:cs="Times New Roman"/>
                <w:sz w:val="24"/>
                <w:szCs w:val="24"/>
              </w:rPr>
              <w:t xml:space="preserve"> a </w:t>
            </w:r>
            <w:r w:rsidR="000A7015" w:rsidRPr="00A3389E">
              <w:rPr>
                <w:rFonts w:ascii="Times New Roman" w:hAnsi="Times New Roman" w:cs="Times New Roman"/>
                <w:sz w:val="24"/>
                <w:szCs w:val="24"/>
              </w:rPr>
              <w:t>ak je to tak, či bolo toto strategické rozhodnutie zamerané priamo na ukazovateľ finančnej páky alebo či naň malo vplyv len nepriamo,</w:t>
            </w:r>
          </w:p>
          <w:p w14:paraId="2A567F52" w14:textId="4165D975" w:rsidR="000A7015" w:rsidRPr="00A3389E" w:rsidRDefault="00A3389E" w:rsidP="00A3389E">
            <w:pPr>
              <w:pStyle w:val="Teksttreci0"/>
              <w:shd w:val="clear" w:color="auto" w:fill="auto"/>
              <w:tabs>
                <w:tab w:val="left" w:pos="-12"/>
              </w:tabs>
              <w:spacing w:after="120" w:line="240" w:lineRule="auto"/>
              <w:ind w:hanging="360"/>
              <w:rPr>
                <w:rFonts w:ascii="Times New Roman" w:hAnsi="Times New Roman" w:cs="Times New Roman"/>
                <w:sz w:val="24"/>
                <w:szCs w:val="24"/>
              </w:rPr>
            </w:pPr>
            <w:r w:rsidRPr="00A3389E">
              <w:rPr>
                <w:color w:val="000000"/>
              </w:rPr>
              <w:t>(3)</w:t>
            </w:r>
            <w:r w:rsidRPr="00A3389E">
              <w:rPr>
                <w:color w:val="000000"/>
              </w:rPr>
              <w:tab/>
            </w:r>
            <w:r w:rsidR="000A7015" w:rsidRPr="00A3389E">
              <w:rPr>
                <w:rFonts w:ascii="Times New Roman" w:hAnsi="Times New Roman" w:cs="Times New Roman"/>
                <w:sz w:val="24"/>
                <w:szCs w:val="24"/>
              </w:rPr>
              <w:t>3. najvýznamnejších vonkajších faktorov súvisiacich</w:t>
            </w:r>
            <w:r>
              <w:rPr>
                <w:rFonts w:ascii="Times New Roman" w:hAnsi="Times New Roman" w:cs="Times New Roman"/>
                <w:sz w:val="24"/>
                <w:szCs w:val="24"/>
              </w:rPr>
              <w:t xml:space="preserve"> s </w:t>
            </w:r>
            <w:r w:rsidR="000A7015" w:rsidRPr="00A3389E">
              <w:rPr>
                <w:rFonts w:ascii="Times New Roman" w:hAnsi="Times New Roman" w:cs="Times New Roman"/>
                <w:sz w:val="24"/>
                <w:szCs w:val="24"/>
              </w:rPr>
              <w:t>hospodárskym</w:t>
            </w:r>
            <w:r>
              <w:rPr>
                <w:rFonts w:ascii="Times New Roman" w:hAnsi="Times New Roman" w:cs="Times New Roman"/>
                <w:sz w:val="24"/>
                <w:szCs w:val="24"/>
              </w:rPr>
              <w:t xml:space="preserve"> a </w:t>
            </w:r>
            <w:r w:rsidR="000A7015" w:rsidRPr="00A3389E">
              <w:rPr>
                <w:rFonts w:ascii="Times New Roman" w:hAnsi="Times New Roman" w:cs="Times New Roman"/>
                <w:sz w:val="24"/>
                <w:szCs w:val="24"/>
              </w:rPr>
              <w:t>finančným prostredím, ktoré mali vplyv na ukazovateľ finančnej páky.</w:t>
            </w:r>
          </w:p>
        </w:tc>
      </w:tr>
    </w:tbl>
    <w:p w14:paraId="6D781076" w14:textId="77777777" w:rsidR="007A7DC0" w:rsidRPr="00A3389E" w:rsidRDefault="007A7DC0" w:rsidP="000A7015">
      <w:pPr>
        <w:spacing w:after="120"/>
        <w:rPr>
          <w:rFonts w:ascii="Times New Roman" w:hAnsi="Times New Roman" w:cs="Times New Roman"/>
          <w:sz w:val="24"/>
        </w:rPr>
        <w:sectPr w:rsidR="007A7DC0" w:rsidRPr="00A3389E" w:rsidSect="00155C96">
          <w:pgSz w:w="11900" w:h="16840"/>
          <w:pgMar w:top="2268" w:right="1418" w:bottom="1134" w:left="1701" w:header="709" w:footer="709" w:gutter="0"/>
          <w:pgNumType w:start="1" w:chapStyle="1"/>
          <w:cols w:space="708"/>
          <w:docGrid w:linePitch="299"/>
        </w:sectPr>
      </w:pPr>
    </w:p>
    <w:bookmarkStart w:id="15" w:name="bookmark43"/>
    <w:p w14:paraId="0146CDDE" w14:textId="099E3C1A" w:rsidR="001E06A3" w:rsidRPr="00023CBA" w:rsidRDefault="001E06A3" w:rsidP="001E06A3">
      <w:pPr>
        <w:pStyle w:val="Annexetitre"/>
      </w:pPr>
      <w:r w:rsidRPr="00023CBA">
        <w:lastRenderedPageBreak/>
        <w:fldChar w:fldCharType="begin"/>
      </w:r>
      <w:r w:rsidRPr="00023CBA">
        <w:fldChar w:fldCharType="separate"/>
      </w:r>
      <w:r w:rsidRPr="00023CBA">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023CBA">
        <w:fldChar w:fldCharType="end"/>
      </w:r>
      <w:r w:rsidRPr="00023CBA">
        <w:t>PRÍLOHA XIV – Pokyny pre vzory týkajúce sa požiadaviek na likviditu</w:t>
      </w:r>
    </w:p>
    <w:p w14:paraId="216A72B9" w14:textId="65EADE86" w:rsidR="00A3389E" w:rsidRPr="00023CBA" w:rsidRDefault="001E06A3" w:rsidP="001E06A3">
      <w:pPr>
        <w:spacing w:before="120" w:after="120"/>
        <w:jc w:val="both"/>
        <w:rPr>
          <w:rFonts w:ascii="Times New Roman" w:hAnsi="Times New Roman" w:cs="Times New Roman"/>
          <w:b/>
          <w:sz w:val="24"/>
        </w:rPr>
      </w:pPr>
      <w:r w:rsidRPr="00023CBA">
        <w:rPr>
          <w:rFonts w:ascii="Times New Roman" w:hAnsi="Times New Roman" w:cs="Times New Roman"/>
          <w:b/>
          <w:sz w:val="24"/>
        </w:rPr>
        <w:t>Pokyny</w:t>
      </w:r>
      <w:r w:rsidR="00A3389E" w:rsidRPr="00023CBA">
        <w:rPr>
          <w:rFonts w:ascii="Times New Roman" w:hAnsi="Times New Roman" w:cs="Times New Roman"/>
          <w:b/>
          <w:sz w:val="24"/>
        </w:rPr>
        <w:t xml:space="preserve"> k </w:t>
      </w:r>
      <w:r w:rsidRPr="00023CBA">
        <w:rPr>
          <w:rFonts w:ascii="Times New Roman" w:hAnsi="Times New Roman" w:cs="Times New Roman"/>
          <w:b/>
          <w:sz w:val="24"/>
        </w:rPr>
        <w:t>tabuľke EU LIQA týkajúcej sa riadenia rizika likvidity</w:t>
      </w:r>
      <w:r w:rsidR="00A3389E" w:rsidRPr="00023CBA">
        <w:rPr>
          <w:rFonts w:ascii="Times New Roman" w:hAnsi="Times New Roman" w:cs="Times New Roman"/>
          <w:b/>
          <w:sz w:val="24"/>
        </w:rPr>
        <w:t xml:space="preserve"> a </w:t>
      </w:r>
      <w:r w:rsidRPr="00023CBA">
        <w:rPr>
          <w:rFonts w:ascii="Times New Roman" w:hAnsi="Times New Roman" w:cs="Times New Roman"/>
          <w:b/>
          <w:sz w:val="24"/>
        </w:rPr>
        <w:t>vzoru EU LIQ1 týkajúcemu sa ukazovateľa krytia likvidity (LCR)</w:t>
      </w:r>
    </w:p>
    <w:p w14:paraId="7B542881" w14:textId="17C665E8" w:rsidR="00A3389E" w:rsidRPr="00023CBA" w:rsidRDefault="00A3389E" w:rsidP="00A3389E">
      <w:pPr>
        <w:widowControl w:val="0"/>
        <w:tabs>
          <w:tab w:val="left" w:pos="983"/>
        </w:tabs>
        <w:spacing w:before="120" w:after="120"/>
        <w:ind w:left="720" w:hanging="360"/>
        <w:jc w:val="both"/>
        <w:rPr>
          <w:rFonts w:ascii="Times New Roman" w:hAnsi="Times New Roman" w:cs="Times New Roman"/>
          <w:sz w:val="24"/>
        </w:rPr>
      </w:pPr>
      <w:r w:rsidRPr="00023CBA">
        <w:rPr>
          <w:rFonts w:ascii="Times New Roman" w:eastAsia="Calibri" w:hAnsi="Times New Roman" w:cs="Times New Roman"/>
          <w:color w:val="000000"/>
          <w:sz w:val="24"/>
        </w:rPr>
        <w:t>1.</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 xml:space="preserve">Inštitúcie, na ktoré sa vzťahuje šiesta časť nariadenia (EÚ) </w:t>
      </w:r>
      <w:r w:rsidRPr="00023CBA">
        <w:rPr>
          <w:rFonts w:ascii="Times New Roman" w:hAnsi="Times New Roman" w:cs="Times New Roman"/>
          <w:sz w:val="24"/>
        </w:rPr>
        <w:t>č. </w:t>
      </w:r>
      <w:r w:rsidR="001E06A3" w:rsidRPr="00023CBA">
        <w:rPr>
          <w:rFonts w:ascii="Times New Roman" w:hAnsi="Times New Roman" w:cs="Times New Roman"/>
          <w:sz w:val="24"/>
        </w:rPr>
        <w:t>575/2013</w:t>
      </w:r>
      <w:r w:rsidR="001E06A3" w:rsidRPr="00023CBA">
        <w:rPr>
          <w:rStyle w:val="FootnoteReference"/>
          <w:rFonts w:ascii="Times New Roman" w:hAnsi="Times New Roman" w:cs="Times New Roman"/>
          <w:sz w:val="24"/>
          <w:szCs w:val="24"/>
        </w:rPr>
        <w:footnoteReference w:id="21"/>
      </w:r>
      <w:r w:rsidR="001E06A3" w:rsidRPr="00023CBA">
        <w:rPr>
          <w:rFonts w:ascii="Times New Roman" w:hAnsi="Times New Roman" w:cs="Times New Roman"/>
          <w:sz w:val="24"/>
        </w:rPr>
        <w:t xml:space="preserve"> („CRR“), zverejňujú informácie uvedené</w:t>
      </w:r>
      <w:r w:rsidRPr="00023CBA">
        <w:rPr>
          <w:rFonts w:ascii="Times New Roman" w:hAnsi="Times New Roman" w:cs="Times New Roman"/>
          <w:sz w:val="24"/>
        </w:rPr>
        <w:t xml:space="preserve"> v </w:t>
      </w:r>
      <w:r w:rsidR="001E06A3" w:rsidRPr="00023CBA">
        <w:rPr>
          <w:rFonts w:ascii="Times New Roman" w:hAnsi="Times New Roman" w:cs="Times New Roman"/>
          <w:sz w:val="24"/>
        </w:rPr>
        <w:t>článku 451a CRR tak, že vypĺňajú tabuľku EU LIQA, vzor EU LIQ1</w:t>
      </w:r>
      <w:r w:rsidRPr="00023CBA">
        <w:rPr>
          <w:rFonts w:ascii="Times New Roman" w:hAnsi="Times New Roman" w:cs="Times New Roman"/>
          <w:sz w:val="24"/>
        </w:rPr>
        <w:t xml:space="preserve"> a </w:t>
      </w:r>
      <w:r w:rsidR="001E06A3" w:rsidRPr="00023CBA">
        <w:rPr>
          <w:rFonts w:ascii="Times New Roman" w:hAnsi="Times New Roman" w:cs="Times New Roman"/>
          <w:sz w:val="24"/>
        </w:rPr>
        <w:t>tabuľku EU LIQB</w:t>
      </w:r>
      <w:bookmarkEnd w:id="15"/>
      <w:r w:rsidRPr="00023CBA">
        <w:rPr>
          <w:rFonts w:ascii="Times New Roman" w:hAnsi="Times New Roman" w:cs="Times New Roman"/>
          <w:sz w:val="24"/>
        </w:rPr>
        <w:t>.</w:t>
      </w:r>
    </w:p>
    <w:p w14:paraId="1AB39209" w14:textId="77777777" w:rsidR="00A3389E" w:rsidRPr="00023CBA" w:rsidRDefault="001E06A3" w:rsidP="001E06A3">
      <w:pPr>
        <w:pStyle w:val="Titlelevel2"/>
        <w:spacing w:before="120" w:after="120"/>
        <w:rPr>
          <w:rFonts w:ascii="Times New Roman" w:hAnsi="Times New Roman" w:cs="Times New Roman"/>
          <w:b/>
          <w:color w:val="auto"/>
          <w:sz w:val="24"/>
        </w:rPr>
      </w:pPr>
      <w:bookmarkStart w:id="16" w:name="bookmark44"/>
      <w:r w:rsidRPr="00023CBA">
        <w:rPr>
          <w:rFonts w:ascii="Times New Roman" w:hAnsi="Times New Roman" w:cs="Times New Roman"/>
          <w:b/>
          <w:color w:val="auto"/>
          <w:sz w:val="24"/>
        </w:rPr>
        <w:t>Tabuľka EU LIQA – Riadenie rizika likvidity</w:t>
      </w:r>
    </w:p>
    <w:p w14:paraId="3FF4529C" w14:textId="6CAEF6A5" w:rsidR="001E06A3" w:rsidRPr="00023CBA" w:rsidRDefault="00A3389E" w:rsidP="00A3389E">
      <w:pPr>
        <w:widowControl w:val="0"/>
        <w:tabs>
          <w:tab w:val="left" w:pos="983"/>
        </w:tabs>
        <w:spacing w:before="120" w:after="120"/>
        <w:ind w:left="720" w:hanging="360"/>
        <w:jc w:val="both"/>
        <w:rPr>
          <w:rFonts w:ascii="Times New Roman" w:hAnsi="Times New Roman" w:cs="Times New Roman"/>
          <w:sz w:val="24"/>
        </w:rPr>
      </w:pPr>
      <w:r w:rsidRPr="00023CBA">
        <w:rPr>
          <w:rFonts w:ascii="Times New Roman" w:eastAsia="Calibri" w:hAnsi="Times New Roman" w:cs="Times New Roman"/>
          <w:color w:val="000000"/>
          <w:sz w:val="24"/>
        </w:rPr>
        <w:t>2.</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Inštitúcie, na ktoré sa vzťahuje šiesta časť CRR, zverejňujú informácie uvedené</w:t>
      </w:r>
      <w:r w:rsidRPr="00023CBA">
        <w:rPr>
          <w:rFonts w:ascii="Times New Roman" w:hAnsi="Times New Roman" w:cs="Times New Roman"/>
          <w:sz w:val="24"/>
        </w:rPr>
        <w:t xml:space="preserve"> v </w:t>
      </w:r>
      <w:r w:rsidR="001E06A3" w:rsidRPr="00023CBA">
        <w:rPr>
          <w:rFonts w:ascii="Times New Roman" w:hAnsi="Times New Roman" w:cs="Times New Roman"/>
          <w:sz w:val="24"/>
        </w:rPr>
        <w:t>článku 451a ods. 4 CRR podľa pokynov uvedených nižšie</w:t>
      </w:r>
      <w:r w:rsidRPr="00023CBA">
        <w:rPr>
          <w:rFonts w:ascii="Times New Roman" w:hAnsi="Times New Roman" w:cs="Times New Roman"/>
          <w:sz w:val="24"/>
        </w:rPr>
        <w:t xml:space="preserve"> v </w:t>
      </w:r>
      <w:r w:rsidR="001E06A3" w:rsidRPr="00023CBA">
        <w:rPr>
          <w:rFonts w:ascii="Times New Roman" w:hAnsi="Times New Roman" w:cs="Times New Roman"/>
          <w:sz w:val="24"/>
        </w:rPr>
        <w:t>tejto prílohe</w:t>
      </w:r>
      <w:r w:rsidRPr="00023CBA">
        <w:rPr>
          <w:rFonts w:ascii="Times New Roman" w:hAnsi="Times New Roman" w:cs="Times New Roman"/>
          <w:sz w:val="24"/>
        </w:rPr>
        <w:t xml:space="preserve"> s </w:t>
      </w:r>
      <w:r w:rsidR="001E06A3" w:rsidRPr="00023CBA">
        <w:rPr>
          <w:rFonts w:ascii="Times New Roman" w:hAnsi="Times New Roman" w:cs="Times New Roman"/>
          <w:sz w:val="24"/>
        </w:rPr>
        <w:t>cieľom vyplniť tabuľku EU LIQA, ktorá je uvedená</w:t>
      </w:r>
      <w:r w:rsidRPr="00023CBA">
        <w:rPr>
          <w:rFonts w:ascii="Times New Roman" w:hAnsi="Times New Roman" w:cs="Times New Roman"/>
          <w:sz w:val="24"/>
        </w:rPr>
        <w:t xml:space="preserve"> v </w:t>
      </w:r>
      <w:r w:rsidR="001E06A3" w:rsidRPr="00023CBA">
        <w:rPr>
          <w:rFonts w:ascii="Times New Roman" w:hAnsi="Times New Roman" w:cs="Times New Roman"/>
          <w:sz w:val="24"/>
        </w:rPr>
        <w:t>prílohe XIII</w:t>
      </w:r>
      <w:r w:rsidRPr="00023CBA">
        <w:rPr>
          <w:rFonts w:ascii="Times New Roman" w:hAnsi="Times New Roman" w:cs="Times New Roman"/>
          <w:sz w:val="24"/>
        </w:rPr>
        <w:t xml:space="preserve"> k </w:t>
      </w:r>
      <w:r w:rsidR="001E06A3" w:rsidRPr="00023CBA">
        <w:rPr>
          <w:rFonts w:ascii="Times New Roman" w:hAnsi="Times New Roman" w:cs="Times New Roman"/>
          <w:sz w:val="24"/>
        </w:rPr>
        <w:t>tomuto vykonávaciemu nariadeniu.</w:t>
      </w:r>
    </w:p>
    <w:p w14:paraId="0E27C809" w14:textId="6A4608B5" w:rsidR="00A3389E" w:rsidRPr="00023CBA" w:rsidRDefault="00A3389E" w:rsidP="00023CBA">
      <w:pPr>
        <w:widowControl w:val="0"/>
        <w:tabs>
          <w:tab w:val="left" w:pos="983"/>
        </w:tabs>
        <w:spacing w:before="120" w:after="120"/>
        <w:ind w:left="720" w:hanging="360"/>
        <w:jc w:val="both"/>
        <w:rPr>
          <w:rFonts w:ascii="Times New Roman" w:eastAsia="Calibri" w:hAnsi="Times New Roman" w:cs="Times New Roman"/>
          <w:color w:val="000000"/>
          <w:sz w:val="24"/>
        </w:rPr>
      </w:pPr>
      <w:r w:rsidRPr="00023CBA">
        <w:rPr>
          <w:rFonts w:ascii="Times New Roman" w:eastAsia="Calibri" w:hAnsi="Times New Roman" w:cs="Times New Roman"/>
          <w:color w:val="000000"/>
          <w:sz w:val="24"/>
        </w:rPr>
        <w:t>3.</w:t>
      </w:r>
      <w:r w:rsidRPr="00023CBA">
        <w:rPr>
          <w:rFonts w:ascii="Times New Roman" w:eastAsia="Calibri" w:hAnsi="Times New Roman" w:cs="Times New Roman"/>
          <w:color w:val="000000"/>
          <w:sz w:val="24"/>
        </w:rPr>
        <w:tab/>
      </w:r>
      <w:r w:rsidR="001E06A3" w:rsidRPr="00023CBA">
        <w:rPr>
          <w:rFonts w:ascii="Times New Roman" w:eastAsia="Calibri" w:hAnsi="Times New Roman" w:cs="Times New Roman"/>
          <w:color w:val="000000"/>
          <w:sz w:val="24"/>
        </w:rPr>
        <w:t>Na účely tabuľky EU LIQA inštitúcie, na ktoré sa vzťahuje šiesta časť CRR, považujú textové polia uvedené</w:t>
      </w:r>
      <w:r w:rsidRPr="00023CBA">
        <w:rPr>
          <w:rFonts w:ascii="Times New Roman" w:eastAsia="Calibri" w:hAnsi="Times New Roman" w:cs="Times New Roman"/>
          <w:color w:val="000000"/>
          <w:sz w:val="24"/>
        </w:rPr>
        <w:t xml:space="preserve"> v </w:t>
      </w:r>
      <w:r w:rsidR="001E06A3" w:rsidRPr="00023CBA">
        <w:rPr>
          <w:rFonts w:ascii="Times New Roman" w:eastAsia="Calibri" w:hAnsi="Times New Roman" w:cs="Times New Roman"/>
          <w:color w:val="000000"/>
          <w:sz w:val="24"/>
        </w:rPr>
        <w:t>tabuľke za polia</w:t>
      </w:r>
      <w:r w:rsidRPr="00023CBA">
        <w:rPr>
          <w:rFonts w:ascii="Times New Roman" w:eastAsia="Calibri" w:hAnsi="Times New Roman" w:cs="Times New Roman"/>
          <w:color w:val="000000"/>
          <w:sz w:val="24"/>
        </w:rPr>
        <w:t xml:space="preserve"> s </w:t>
      </w:r>
      <w:r w:rsidR="001E06A3" w:rsidRPr="00023CBA">
        <w:rPr>
          <w:rFonts w:ascii="Times New Roman" w:eastAsia="Calibri" w:hAnsi="Times New Roman" w:cs="Times New Roman"/>
          <w:color w:val="000000"/>
          <w:sz w:val="24"/>
        </w:rPr>
        <w:t>ľubovoľným textom. Poskytujú relevantné kvalitatívne aj kvantitatívne informácie</w:t>
      </w:r>
      <w:r w:rsidRPr="00023CBA">
        <w:rPr>
          <w:rFonts w:ascii="Times New Roman" w:eastAsia="Calibri" w:hAnsi="Times New Roman" w:cs="Times New Roman"/>
          <w:color w:val="000000"/>
          <w:sz w:val="24"/>
        </w:rPr>
        <w:t xml:space="preserve"> o </w:t>
      </w:r>
      <w:r w:rsidR="001E06A3" w:rsidRPr="00023CBA">
        <w:rPr>
          <w:rFonts w:ascii="Times New Roman" w:eastAsia="Calibri" w:hAnsi="Times New Roman" w:cs="Times New Roman"/>
          <w:color w:val="000000"/>
          <w:sz w:val="24"/>
        </w:rPr>
        <w:t>cieľoch</w:t>
      </w:r>
      <w:r w:rsidRPr="00023CBA">
        <w:rPr>
          <w:rFonts w:ascii="Times New Roman" w:eastAsia="Calibri" w:hAnsi="Times New Roman" w:cs="Times New Roman"/>
          <w:color w:val="000000"/>
          <w:sz w:val="24"/>
        </w:rPr>
        <w:t xml:space="preserve"> a </w:t>
      </w:r>
      <w:r w:rsidR="001E06A3" w:rsidRPr="00023CBA">
        <w:rPr>
          <w:rFonts w:ascii="Times New Roman" w:eastAsia="Calibri" w:hAnsi="Times New Roman" w:cs="Times New Roman"/>
          <w:color w:val="000000"/>
          <w:sz w:val="24"/>
        </w:rPr>
        <w:t>politikách riadenia rizík pre riziko likvidity</w:t>
      </w:r>
      <w:r w:rsidRPr="00023CBA">
        <w:rPr>
          <w:rFonts w:ascii="Times New Roman" w:eastAsia="Calibri" w:hAnsi="Times New Roman" w:cs="Times New Roman"/>
          <w:color w:val="000000"/>
          <w:sz w:val="24"/>
        </w:rPr>
        <w:t xml:space="preserve"> v </w:t>
      </w:r>
      <w:r w:rsidR="001E06A3" w:rsidRPr="00023CBA">
        <w:rPr>
          <w:rFonts w:ascii="Times New Roman" w:eastAsia="Calibri" w:hAnsi="Times New Roman" w:cs="Times New Roman"/>
          <w:color w:val="000000"/>
          <w:sz w:val="24"/>
        </w:rPr>
        <w:t>závislosti od svojich obchodných modelov</w:t>
      </w:r>
      <w:r w:rsidRPr="00023CBA">
        <w:rPr>
          <w:rFonts w:ascii="Times New Roman" w:eastAsia="Calibri" w:hAnsi="Times New Roman" w:cs="Times New Roman"/>
          <w:color w:val="000000"/>
          <w:sz w:val="24"/>
        </w:rPr>
        <w:t xml:space="preserve"> a </w:t>
      </w:r>
      <w:r w:rsidR="001E06A3" w:rsidRPr="00023CBA">
        <w:rPr>
          <w:rFonts w:ascii="Times New Roman" w:eastAsia="Calibri" w:hAnsi="Times New Roman" w:cs="Times New Roman"/>
          <w:color w:val="000000"/>
          <w:sz w:val="24"/>
        </w:rPr>
        <w:t>profilov rizika likvidity, organizácie</w:t>
      </w:r>
      <w:r w:rsidRPr="00023CBA">
        <w:rPr>
          <w:rFonts w:ascii="Times New Roman" w:eastAsia="Calibri" w:hAnsi="Times New Roman" w:cs="Times New Roman"/>
          <w:color w:val="000000"/>
          <w:sz w:val="24"/>
        </w:rPr>
        <w:t xml:space="preserve"> a </w:t>
      </w:r>
      <w:r w:rsidR="001E06A3" w:rsidRPr="00023CBA">
        <w:rPr>
          <w:rFonts w:ascii="Times New Roman" w:eastAsia="Calibri" w:hAnsi="Times New Roman" w:cs="Times New Roman"/>
          <w:color w:val="000000"/>
          <w:sz w:val="24"/>
        </w:rPr>
        <w:t>funkcií zapojených do riadenia rizika likvidity</w:t>
      </w:r>
      <w:r w:rsidRPr="00023CBA">
        <w:rPr>
          <w:rFonts w:ascii="Times New Roman" w:eastAsia="Calibri" w:hAnsi="Times New Roman" w:cs="Times New Roman"/>
          <w:color w:val="000000"/>
          <w:sz w:val="24"/>
        </w:rPr>
        <w:t xml:space="preserve"> v </w:t>
      </w:r>
      <w:r w:rsidR="001E06A3" w:rsidRPr="00023CBA">
        <w:rPr>
          <w:rFonts w:ascii="Times New Roman" w:eastAsia="Calibri" w:hAnsi="Times New Roman" w:cs="Times New Roman"/>
          <w:color w:val="000000"/>
          <w:sz w:val="24"/>
        </w:rPr>
        <w:t>súlade</w:t>
      </w:r>
      <w:r w:rsidRPr="00023CBA">
        <w:rPr>
          <w:rFonts w:ascii="Times New Roman" w:eastAsia="Calibri" w:hAnsi="Times New Roman" w:cs="Times New Roman"/>
          <w:color w:val="000000"/>
          <w:sz w:val="24"/>
        </w:rPr>
        <w:t xml:space="preserve"> s </w:t>
      </w:r>
      <w:r w:rsidR="001E06A3" w:rsidRPr="00023CBA">
        <w:rPr>
          <w:rFonts w:ascii="Times New Roman" w:eastAsia="Calibri" w:hAnsi="Times New Roman" w:cs="Times New Roman"/>
          <w:color w:val="000000"/>
          <w:sz w:val="24"/>
        </w:rPr>
        <w:t>článkom 435 ods. 1 CRR</w:t>
      </w:r>
      <w:r w:rsidRPr="00023CBA">
        <w:rPr>
          <w:rFonts w:ascii="Times New Roman" w:eastAsia="Calibri" w:hAnsi="Times New Roman" w:cs="Times New Roman"/>
          <w:color w:val="000000"/>
          <w:sz w:val="24"/>
        </w:rPr>
        <w:t xml:space="preserve"> a </w:t>
      </w:r>
      <w:r w:rsidR="001E06A3" w:rsidRPr="00023CBA">
        <w:rPr>
          <w:rFonts w:ascii="Times New Roman" w:eastAsia="Calibri" w:hAnsi="Times New Roman" w:cs="Times New Roman"/>
          <w:color w:val="000000"/>
          <w:sz w:val="24"/>
        </w:rPr>
        <w:t>delegovaným nariadením Komisie (EÚ) 2015/61</w:t>
      </w:r>
      <w:r w:rsidR="001E06A3" w:rsidRPr="00023CBA">
        <w:rPr>
          <w:rFonts w:ascii="Times New Roman" w:eastAsia="Calibri" w:hAnsi="Times New Roman" w:cs="Times New Roman"/>
          <w:color w:val="000000"/>
          <w:sz w:val="24"/>
        </w:rPr>
        <w:footnoteReference w:id="22"/>
      </w:r>
      <w:r w:rsidR="001E06A3" w:rsidRPr="00023CBA">
        <w:rPr>
          <w:rFonts w:ascii="Times New Roman" w:eastAsia="Calibri" w:hAnsi="Times New Roman" w:cs="Times New Roman"/>
          <w:color w:val="000000"/>
          <w:sz w:val="24"/>
        </w:rPr>
        <w:t>, pokiaľ ide</w:t>
      </w:r>
      <w:r w:rsidRPr="00023CBA">
        <w:rPr>
          <w:rFonts w:ascii="Times New Roman" w:eastAsia="Calibri" w:hAnsi="Times New Roman" w:cs="Times New Roman"/>
          <w:color w:val="000000"/>
          <w:sz w:val="24"/>
        </w:rPr>
        <w:t xml:space="preserve"> o </w:t>
      </w:r>
      <w:r w:rsidR="001E06A3" w:rsidRPr="00023CBA">
        <w:rPr>
          <w:rFonts w:ascii="Times New Roman" w:eastAsia="Calibri" w:hAnsi="Times New Roman" w:cs="Times New Roman"/>
          <w:color w:val="000000"/>
          <w:sz w:val="24"/>
        </w:rPr>
        <w:t>požiadavku na krytie likvidity pre úverové inštitúcie</w:t>
      </w:r>
      <w:r w:rsidRPr="00023CBA">
        <w:rPr>
          <w:rFonts w:ascii="Times New Roman" w:eastAsia="Calibri" w:hAnsi="Times New Roman" w:cs="Times New Roman"/>
          <w:color w:val="000000"/>
          <w:sz w:val="24"/>
        </w:rPr>
        <w:t>.</w:t>
      </w:r>
    </w:p>
    <w:p w14:paraId="1BE2572C" w14:textId="531B0339" w:rsidR="001E06A3" w:rsidRPr="00023CBA" w:rsidRDefault="001E06A3" w:rsidP="001E06A3">
      <w:pPr>
        <w:pStyle w:val="Titlelevel2"/>
        <w:spacing w:before="120" w:after="120"/>
        <w:rPr>
          <w:rFonts w:ascii="Times New Roman" w:hAnsi="Times New Roman" w:cs="Times New Roman"/>
          <w:b/>
          <w:color w:val="auto"/>
          <w:sz w:val="24"/>
        </w:rPr>
      </w:pPr>
      <w:r w:rsidRPr="00023CBA">
        <w:rPr>
          <w:rFonts w:ascii="Times New Roman" w:hAnsi="Times New Roman" w:cs="Times New Roman"/>
          <w:b/>
          <w:color w:val="auto"/>
          <w:sz w:val="24"/>
        </w:rPr>
        <w:t>Vzor EU LIQ1 – Kvantitatívne informácie</w:t>
      </w:r>
      <w:r w:rsidR="00A3389E" w:rsidRPr="00023CBA">
        <w:rPr>
          <w:rFonts w:ascii="Times New Roman" w:hAnsi="Times New Roman" w:cs="Times New Roman"/>
          <w:b/>
          <w:color w:val="auto"/>
          <w:sz w:val="24"/>
        </w:rPr>
        <w:t xml:space="preserve"> o </w:t>
      </w:r>
      <w:r w:rsidRPr="00023CBA">
        <w:rPr>
          <w:rFonts w:ascii="Times New Roman" w:hAnsi="Times New Roman" w:cs="Times New Roman"/>
          <w:b/>
          <w:color w:val="auto"/>
          <w:sz w:val="24"/>
        </w:rPr>
        <w:t>ukazovateli krytia likvidity (LCR)</w:t>
      </w:r>
    </w:p>
    <w:bookmarkEnd w:id="16"/>
    <w:p w14:paraId="5536EE2D" w14:textId="76EF17AB" w:rsidR="001E06A3" w:rsidRPr="00023CBA" w:rsidRDefault="00A3389E" w:rsidP="00023CBA">
      <w:pPr>
        <w:widowControl w:val="0"/>
        <w:tabs>
          <w:tab w:val="left" w:pos="983"/>
        </w:tabs>
        <w:spacing w:before="120" w:after="120"/>
        <w:ind w:left="720" w:hanging="360"/>
        <w:jc w:val="both"/>
        <w:rPr>
          <w:rFonts w:ascii="Times New Roman" w:eastAsia="Calibri" w:hAnsi="Times New Roman" w:cs="Times New Roman"/>
          <w:color w:val="000000"/>
          <w:sz w:val="24"/>
        </w:rPr>
      </w:pPr>
      <w:r w:rsidRPr="00023CBA">
        <w:rPr>
          <w:rFonts w:ascii="Times New Roman" w:eastAsia="Calibri" w:hAnsi="Times New Roman" w:cs="Times New Roman"/>
          <w:color w:val="000000"/>
          <w:sz w:val="24"/>
        </w:rPr>
        <w:t>4.</w:t>
      </w:r>
      <w:r w:rsidRPr="00023CBA">
        <w:rPr>
          <w:rFonts w:ascii="Times New Roman" w:eastAsia="Calibri" w:hAnsi="Times New Roman" w:cs="Times New Roman"/>
          <w:color w:val="000000"/>
          <w:sz w:val="24"/>
        </w:rPr>
        <w:tab/>
      </w:r>
      <w:r w:rsidR="001E06A3" w:rsidRPr="00023CBA">
        <w:rPr>
          <w:rFonts w:ascii="Times New Roman" w:eastAsia="Calibri" w:hAnsi="Times New Roman" w:cs="Times New Roman"/>
          <w:color w:val="000000"/>
          <w:sz w:val="24"/>
        </w:rPr>
        <w:t>Inštitúcie, na ktoré sa vzťahuje šiesta časť CRR, zverejňujú informácie uvedené</w:t>
      </w:r>
      <w:r w:rsidRPr="00023CBA">
        <w:rPr>
          <w:rFonts w:ascii="Times New Roman" w:eastAsia="Calibri" w:hAnsi="Times New Roman" w:cs="Times New Roman"/>
          <w:color w:val="000000"/>
          <w:sz w:val="24"/>
        </w:rPr>
        <w:t xml:space="preserve"> v </w:t>
      </w:r>
      <w:r w:rsidR="001E06A3" w:rsidRPr="00023CBA">
        <w:rPr>
          <w:rFonts w:ascii="Times New Roman" w:eastAsia="Calibri" w:hAnsi="Times New Roman" w:cs="Times New Roman"/>
          <w:color w:val="000000"/>
          <w:sz w:val="24"/>
        </w:rPr>
        <w:t>článku 451a ods. 2 CRR podľa pokynov uvedených nižšie</w:t>
      </w:r>
      <w:r w:rsidRPr="00023CBA">
        <w:rPr>
          <w:rFonts w:ascii="Times New Roman" w:eastAsia="Calibri" w:hAnsi="Times New Roman" w:cs="Times New Roman"/>
          <w:color w:val="000000"/>
          <w:sz w:val="24"/>
        </w:rPr>
        <w:t xml:space="preserve"> v </w:t>
      </w:r>
      <w:r w:rsidR="001E06A3" w:rsidRPr="00023CBA">
        <w:rPr>
          <w:rFonts w:ascii="Times New Roman" w:eastAsia="Calibri" w:hAnsi="Times New Roman" w:cs="Times New Roman"/>
          <w:color w:val="000000"/>
          <w:sz w:val="24"/>
        </w:rPr>
        <w:t>tejto prílohe</w:t>
      </w:r>
      <w:r w:rsidRPr="00023CBA">
        <w:rPr>
          <w:rFonts w:ascii="Times New Roman" w:eastAsia="Calibri" w:hAnsi="Times New Roman" w:cs="Times New Roman"/>
          <w:color w:val="000000"/>
          <w:sz w:val="24"/>
        </w:rPr>
        <w:t xml:space="preserve"> s </w:t>
      </w:r>
      <w:r w:rsidR="001E06A3" w:rsidRPr="00023CBA">
        <w:rPr>
          <w:rFonts w:ascii="Times New Roman" w:eastAsia="Calibri" w:hAnsi="Times New Roman" w:cs="Times New Roman"/>
          <w:color w:val="000000"/>
          <w:sz w:val="24"/>
        </w:rPr>
        <w:t>cieľom vyplniť vzor EU LIQ1, ktorý je uvedený</w:t>
      </w:r>
      <w:r w:rsidRPr="00023CBA">
        <w:rPr>
          <w:rFonts w:ascii="Times New Roman" w:eastAsia="Calibri" w:hAnsi="Times New Roman" w:cs="Times New Roman"/>
          <w:color w:val="000000"/>
          <w:sz w:val="24"/>
        </w:rPr>
        <w:t xml:space="preserve"> v </w:t>
      </w:r>
      <w:r w:rsidR="001E06A3" w:rsidRPr="00023CBA">
        <w:rPr>
          <w:rFonts w:ascii="Times New Roman" w:eastAsia="Calibri" w:hAnsi="Times New Roman" w:cs="Times New Roman"/>
          <w:color w:val="000000"/>
          <w:sz w:val="24"/>
        </w:rPr>
        <w:t>prílohe XIII</w:t>
      </w:r>
      <w:r w:rsidRPr="00023CBA">
        <w:rPr>
          <w:rFonts w:ascii="Times New Roman" w:eastAsia="Calibri" w:hAnsi="Times New Roman" w:cs="Times New Roman"/>
          <w:color w:val="000000"/>
          <w:sz w:val="24"/>
        </w:rPr>
        <w:t xml:space="preserve"> k </w:t>
      </w:r>
      <w:r w:rsidR="001E06A3" w:rsidRPr="00023CBA">
        <w:rPr>
          <w:rFonts w:ascii="Times New Roman" w:eastAsia="Calibri" w:hAnsi="Times New Roman" w:cs="Times New Roman"/>
          <w:color w:val="000000"/>
          <w:sz w:val="24"/>
        </w:rPr>
        <w:t>tomuto vykonávaciemu nariadeniu.</w:t>
      </w:r>
    </w:p>
    <w:p w14:paraId="375C2138" w14:textId="058F9D7E" w:rsidR="001E06A3" w:rsidRPr="00023CBA" w:rsidRDefault="00A3389E" w:rsidP="00A3389E">
      <w:pPr>
        <w:widowControl w:val="0"/>
        <w:tabs>
          <w:tab w:val="left" w:pos="983"/>
        </w:tabs>
        <w:spacing w:before="120" w:after="120"/>
        <w:ind w:left="720" w:hanging="360"/>
        <w:jc w:val="both"/>
        <w:rPr>
          <w:rFonts w:ascii="Times New Roman" w:hAnsi="Times New Roman" w:cs="Times New Roman"/>
          <w:sz w:val="24"/>
        </w:rPr>
      </w:pPr>
      <w:r w:rsidRPr="00023CBA">
        <w:rPr>
          <w:rFonts w:ascii="Times New Roman" w:eastAsia="Calibri" w:hAnsi="Times New Roman" w:cs="Times New Roman"/>
          <w:color w:val="000000"/>
          <w:sz w:val="24"/>
        </w:rPr>
        <w:t>5.</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Inštitúcie, na ktoré sa vzťahuje šiesta časť CRR, pri zverejňovaní informácií požadovaných</w:t>
      </w:r>
      <w:r w:rsidRPr="00023CBA">
        <w:rPr>
          <w:rFonts w:ascii="Times New Roman" w:hAnsi="Times New Roman" w:cs="Times New Roman"/>
          <w:sz w:val="24"/>
        </w:rPr>
        <w:t xml:space="preserve"> v </w:t>
      </w:r>
      <w:r w:rsidR="001E06A3" w:rsidRPr="00023CBA">
        <w:rPr>
          <w:rFonts w:ascii="Times New Roman" w:hAnsi="Times New Roman" w:cs="Times New Roman"/>
          <w:sz w:val="24"/>
        </w:rPr>
        <w:t>tomto vzore zahŕňajú hodnoty</w:t>
      </w:r>
      <w:r w:rsidRPr="00023CBA">
        <w:rPr>
          <w:rFonts w:ascii="Times New Roman" w:hAnsi="Times New Roman" w:cs="Times New Roman"/>
          <w:sz w:val="24"/>
        </w:rPr>
        <w:t xml:space="preserve"> a </w:t>
      </w:r>
      <w:r w:rsidR="001E06A3" w:rsidRPr="00023CBA">
        <w:rPr>
          <w:rFonts w:ascii="Times New Roman" w:hAnsi="Times New Roman" w:cs="Times New Roman"/>
          <w:sz w:val="24"/>
        </w:rPr>
        <w:t>údaje požadované pre každý zo štyroch kalendárnych štvrťrokov (január – marec, apríl – jún, júl – september, október – december), ktoré predchádzajú dátumu zverejnenia. Inštitúcie vypočítavajú tieto hodnoty</w:t>
      </w:r>
      <w:r w:rsidRPr="00023CBA">
        <w:rPr>
          <w:rFonts w:ascii="Times New Roman" w:hAnsi="Times New Roman" w:cs="Times New Roman"/>
          <w:sz w:val="24"/>
        </w:rPr>
        <w:t xml:space="preserve"> a </w:t>
      </w:r>
      <w:r w:rsidR="001E06A3" w:rsidRPr="00023CBA">
        <w:rPr>
          <w:rFonts w:ascii="Times New Roman" w:hAnsi="Times New Roman" w:cs="Times New Roman"/>
          <w:sz w:val="24"/>
        </w:rPr>
        <w:t>údaje ako jednoduché priemery údajov pozorovaných ku koncu mesiaca za dvanásť mesiacov pred koncom každého štvrťroka.</w:t>
      </w:r>
    </w:p>
    <w:p w14:paraId="64733842" w14:textId="2DE2C8B7" w:rsidR="001E06A3" w:rsidRPr="00023CBA" w:rsidRDefault="00A3389E" w:rsidP="00A3389E">
      <w:pPr>
        <w:widowControl w:val="0"/>
        <w:tabs>
          <w:tab w:val="left" w:pos="983"/>
        </w:tabs>
        <w:spacing w:before="120" w:after="120"/>
        <w:ind w:left="720" w:hanging="360"/>
        <w:jc w:val="both"/>
        <w:rPr>
          <w:rFonts w:ascii="Times New Roman" w:hAnsi="Times New Roman" w:cs="Times New Roman"/>
          <w:sz w:val="24"/>
        </w:rPr>
      </w:pPr>
      <w:r w:rsidRPr="00023CBA">
        <w:rPr>
          <w:rFonts w:ascii="Times New Roman" w:eastAsia="Calibri" w:hAnsi="Times New Roman" w:cs="Times New Roman"/>
          <w:color w:val="000000"/>
          <w:sz w:val="24"/>
        </w:rPr>
        <w:t>6.</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Informácie požadované vo vzore EU LIQ1 zahŕňajú všetky položky bez ohľadu na menu,</w:t>
      </w:r>
      <w:r w:rsidRPr="00023CBA">
        <w:rPr>
          <w:rFonts w:ascii="Times New Roman" w:hAnsi="Times New Roman" w:cs="Times New Roman"/>
          <w:sz w:val="24"/>
        </w:rPr>
        <w:t xml:space="preserve"> v </w:t>
      </w:r>
      <w:r w:rsidR="001E06A3" w:rsidRPr="00023CBA">
        <w:rPr>
          <w:rFonts w:ascii="Times New Roman" w:hAnsi="Times New Roman" w:cs="Times New Roman"/>
          <w:sz w:val="24"/>
        </w:rPr>
        <w:t>ktorej sú denominované,</w:t>
      </w:r>
      <w:r w:rsidRPr="00023CBA">
        <w:rPr>
          <w:rFonts w:ascii="Times New Roman" w:hAnsi="Times New Roman" w:cs="Times New Roman"/>
          <w:sz w:val="24"/>
        </w:rPr>
        <w:t xml:space="preserve"> a </w:t>
      </w:r>
      <w:r w:rsidR="001E06A3" w:rsidRPr="00023CBA">
        <w:rPr>
          <w:rFonts w:ascii="Times New Roman" w:hAnsi="Times New Roman" w:cs="Times New Roman"/>
          <w:sz w:val="24"/>
        </w:rPr>
        <w:t>zverejňujú sa</w:t>
      </w:r>
      <w:r w:rsidRPr="00023CBA">
        <w:rPr>
          <w:rFonts w:ascii="Times New Roman" w:hAnsi="Times New Roman" w:cs="Times New Roman"/>
          <w:sz w:val="24"/>
        </w:rPr>
        <w:t xml:space="preserve"> v </w:t>
      </w:r>
      <w:r w:rsidR="001E06A3" w:rsidRPr="00023CBA">
        <w:rPr>
          <w:rFonts w:ascii="Times New Roman" w:hAnsi="Times New Roman" w:cs="Times New Roman"/>
          <w:sz w:val="24"/>
        </w:rPr>
        <w:t>mene vykazovania, ako je vymedzená</w:t>
      </w:r>
      <w:r w:rsidRPr="00023CBA">
        <w:rPr>
          <w:rFonts w:ascii="Times New Roman" w:hAnsi="Times New Roman" w:cs="Times New Roman"/>
          <w:sz w:val="24"/>
        </w:rPr>
        <w:t xml:space="preserve"> v </w:t>
      </w:r>
      <w:r w:rsidR="001E06A3" w:rsidRPr="00023CBA">
        <w:rPr>
          <w:rFonts w:ascii="Times New Roman" w:hAnsi="Times New Roman" w:cs="Times New Roman"/>
          <w:sz w:val="24"/>
        </w:rPr>
        <w:t>článku 3 delegovaného nariadenia Komisie (EÚ) 2015/61.</w:t>
      </w:r>
    </w:p>
    <w:p w14:paraId="334230CA" w14:textId="1DB57B30" w:rsidR="001E06A3" w:rsidRPr="00023CBA" w:rsidRDefault="00A3389E" w:rsidP="00A3389E">
      <w:pPr>
        <w:widowControl w:val="0"/>
        <w:tabs>
          <w:tab w:val="left" w:pos="983"/>
        </w:tabs>
        <w:spacing w:before="120" w:after="120"/>
        <w:ind w:left="720" w:hanging="360"/>
        <w:jc w:val="both"/>
        <w:rPr>
          <w:rFonts w:ascii="Times New Roman" w:hAnsi="Times New Roman" w:cs="Times New Roman"/>
          <w:sz w:val="24"/>
        </w:rPr>
      </w:pPr>
      <w:r w:rsidRPr="00023CBA">
        <w:rPr>
          <w:rFonts w:ascii="Times New Roman" w:eastAsia="Calibri" w:hAnsi="Times New Roman" w:cs="Times New Roman"/>
          <w:color w:val="000000"/>
          <w:sz w:val="24"/>
        </w:rPr>
        <w:t>7.</w:t>
      </w:r>
      <w:r w:rsidRPr="00023CBA">
        <w:rPr>
          <w:rFonts w:ascii="Times New Roman" w:eastAsia="Calibri" w:hAnsi="Times New Roman" w:cs="Times New Roman"/>
          <w:color w:val="000000"/>
          <w:sz w:val="24"/>
        </w:rPr>
        <w:tab/>
      </w:r>
      <w:r w:rsidR="003414D7" w:rsidRPr="00023CBA">
        <w:rPr>
          <w:rFonts w:ascii="Times New Roman" w:hAnsi="Times New Roman" w:cs="Times New Roman"/>
          <w:sz w:val="24"/>
        </w:rPr>
        <w:t>Na výpočet nevážených</w:t>
      </w:r>
      <w:r w:rsidRPr="00023CBA">
        <w:rPr>
          <w:rFonts w:ascii="Times New Roman" w:hAnsi="Times New Roman" w:cs="Times New Roman"/>
          <w:sz w:val="24"/>
        </w:rPr>
        <w:t xml:space="preserve"> a </w:t>
      </w:r>
      <w:r w:rsidR="003414D7" w:rsidRPr="00023CBA">
        <w:rPr>
          <w:rFonts w:ascii="Times New Roman" w:hAnsi="Times New Roman" w:cs="Times New Roman"/>
          <w:sz w:val="24"/>
        </w:rPr>
        <w:t>vážených kladných</w:t>
      </w:r>
      <w:r w:rsidRPr="00023CBA">
        <w:rPr>
          <w:rFonts w:ascii="Times New Roman" w:hAnsi="Times New Roman" w:cs="Times New Roman"/>
          <w:sz w:val="24"/>
        </w:rPr>
        <w:t xml:space="preserve"> a </w:t>
      </w:r>
      <w:r w:rsidR="003414D7" w:rsidRPr="00023CBA">
        <w:rPr>
          <w:rFonts w:ascii="Times New Roman" w:hAnsi="Times New Roman" w:cs="Times New Roman"/>
          <w:sz w:val="24"/>
        </w:rPr>
        <w:t>záporných peňažných tokov</w:t>
      </w:r>
      <w:r w:rsidRPr="00023CBA">
        <w:rPr>
          <w:rFonts w:ascii="Times New Roman" w:hAnsi="Times New Roman" w:cs="Times New Roman"/>
          <w:sz w:val="24"/>
        </w:rPr>
        <w:t xml:space="preserve"> a </w:t>
      </w:r>
      <w:r w:rsidR="003414D7" w:rsidRPr="00023CBA">
        <w:rPr>
          <w:rFonts w:ascii="Times New Roman" w:hAnsi="Times New Roman" w:cs="Times New Roman"/>
          <w:sz w:val="24"/>
        </w:rPr>
        <w:t>vážených HQLA na účely vzoru EU LIQ1 inštitúcie uplatňujú tieto pokyny:</w:t>
      </w:r>
    </w:p>
    <w:p w14:paraId="0D56960B" w14:textId="18A0FFB2" w:rsidR="001E06A3" w:rsidRPr="00023CBA" w:rsidRDefault="00023CBA" w:rsidP="00023CBA">
      <w:pPr>
        <w:widowControl w:val="0"/>
        <w:tabs>
          <w:tab w:val="left" w:pos="1445"/>
        </w:tabs>
        <w:spacing w:before="120" w:after="120"/>
        <w:ind w:left="1080" w:hanging="360"/>
        <w:jc w:val="both"/>
        <w:rPr>
          <w:rFonts w:ascii="Times New Roman" w:hAnsi="Times New Roman" w:cs="Times New Roman"/>
          <w:sz w:val="24"/>
        </w:rPr>
      </w:pPr>
      <w:r w:rsidRPr="00023CBA">
        <w:rPr>
          <w:rFonts w:ascii="Times New Roman" w:eastAsia="Calibri" w:hAnsi="Times New Roman" w:cs="Times New Roman"/>
          <w:color w:val="000000"/>
          <w:sz w:val="24"/>
        </w:rPr>
        <w:t>a)</w:t>
      </w:r>
      <w:r w:rsidR="00A3389E"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Kladné/záporné peňažné toky: nevážená hodnota kladných</w:t>
      </w:r>
      <w:r w:rsidR="00A3389E" w:rsidRPr="00023CBA">
        <w:rPr>
          <w:rFonts w:ascii="Times New Roman" w:hAnsi="Times New Roman" w:cs="Times New Roman"/>
          <w:sz w:val="24"/>
        </w:rPr>
        <w:t xml:space="preserve"> a </w:t>
      </w:r>
      <w:r w:rsidR="001E06A3" w:rsidRPr="00023CBA">
        <w:rPr>
          <w:rFonts w:ascii="Times New Roman" w:hAnsi="Times New Roman" w:cs="Times New Roman"/>
          <w:sz w:val="24"/>
        </w:rPr>
        <w:t>záporných peňažných tokov sa vypočítava ako nesplatené zostatky rôznych kategórií alebo druhov záväzkov, podsúvahových položiek alebo zmluvných pohľadávok. „Vážená“ hodnota kladných</w:t>
      </w:r>
      <w:r w:rsidR="00A3389E" w:rsidRPr="00023CBA">
        <w:rPr>
          <w:rFonts w:ascii="Times New Roman" w:hAnsi="Times New Roman" w:cs="Times New Roman"/>
          <w:sz w:val="24"/>
        </w:rPr>
        <w:t xml:space="preserve"> a </w:t>
      </w:r>
      <w:r w:rsidR="001E06A3" w:rsidRPr="00023CBA">
        <w:rPr>
          <w:rFonts w:ascii="Times New Roman" w:hAnsi="Times New Roman" w:cs="Times New Roman"/>
          <w:sz w:val="24"/>
        </w:rPr>
        <w:t xml:space="preserve">záporných peňažných tokov sa vypočítava ako hodnota po </w:t>
      </w:r>
      <w:r w:rsidR="001E06A3" w:rsidRPr="00023CBA">
        <w:rPr>
          <w:rFonts w:ascii="Times New Roman" w:hAnsi="Times New Roman" w:cs="Times New Roman"/>
          <w:sz w:val="24"/>
        </w:rPr>
        <w:lastRenderedPageBreak/>
        <w:t>uplatnení mier kladných</w:t>
      </w:r>
      <w:r w:rsidR="00A3389E" w:rsidRPr="00023CBA">
        <w:rPr>
          <w:rFonts w:ascii="Times New Roman" w:hAnsi="Times New Roman" w:cs="Times New Roman"/>
          <w:sz w:val="24"/>
        </w:rPr>
        <w:t xml:space="preserve"> a </w:t>
      </w:r>
      <w:r w:rsidR="001E06A3" w:rsidRPr="00023CBA">
        <w:rPr>
          <w:rFonts w:ascii="Times New Roman" w:hAnsi="Times New Roman" w:cs="Times New Roman"/>
          <w:sz w:val="24"/>
        </w:rPr>
        <w:t>záporných peňažných tokov.</w:t>
      </w:r>
    </w:p>
    <w:p w14:paraId="4DC6E39C" w14:textId="67594FC4" w:rsidR="001E06A3" w:rsidRPr="00023CBA" w:rsidRDefault="00023CBA" w:rsidP="00023CBA">
      <w:pPr>
        <w:widowControl w:val="0"/>
        <w:tabs>
          <w:tab w:val="left" w:pos="1445"/>
        </w:tabs>
        <w:spacing w:before="120" w:after="120"/>
        <w:ind w:left="1080" w:hanging="360"/>
        <w:jc w:val="both"/>
        <w:rPr>
          <w:rFonts w:ascii="Times New Roman" w:hAnsi="Times New Roman" w:cs="Times New Roman"/>
          <w:sz w:val="24"/>
        </w:rPr>
      </w:pPr>
      <w:r w:rsidRPr="00023CBA">
        <w:rPr>
          <w:rFonts w:ascii="Times New Roman" w:eastAsia="Calibri" w:hAnsi="Times New Roman" w:cs="Times New Roman"/>
          <w:color w:val="000000"/>
          <w:sz w:val="24"/>
        </w:rPr>
        <w:t>b)</w:t>
      </w:r>
      <w:r w:rsidR="00A3389E"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HQLA: „vážená“ hodnota vysokokvalitných likvidných aktív (HQLA) sa vypočítava ako hodnota po uplatnení haircutov.</w:t>
      </w:r>
    </w:p>
    <w:p w14:paraId="6216B9AD" w14:textId="01DE8D2D" w:rsidR="001E06A3" w:rsidRPr="00023CBA" w:rsidRDefault="00A3389E" w:rsidP="00A3389E">
      <w:pPr>
        <w:widowControl w:val="0"/>
        <w:tabs>
          <w:tab w:val="left" w:pos="983"/>
        </w:tabs>
        <w:spacing w:before="120" w:after="120"/>
        <w:ind w:left="720" w:hanging="360"/>
        <w:jc w:val="both"/>
        <w:rPr>
          <w:rFonts w:ascii="Times New Roman" w:hAnsi="Times New Roman" w:cs="Times New Roman"/>
          <w:sz w:val="24"/>
        </w:rPr>
      </w:pPr>
      <w:r w:rsidRPr="00023CBA">
        <w:rPr>
          <w:rFonts w:ascii="Times New Roman" w:eastAsia="Calibri" w:hAnsi="Times New Roman" w:cs="Times New Roman"/>
          <w:color w:val="000000"/>
          <w:sz w:val="24"/>
        </w:rPr>
        <w:t>8.</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Na výpočet upravenej hodnoty vankúša likvidity</w:t>
      </w:r>
      <w:r w:rsidRPr="00023CBA">
        <w:rPr>
          <w:rFonts w:ascii="Times New Roman" w:hAnsi="Times New Roman" w:cs="Times New Roman"/>
          <w:sz w:val="24"/>
        </w:rPr>
        <w:t xml:space="preserve"> v </w:t>
      </w:r>
      <w:r w:rsidR="001E06A3" w:rsidRPr="00023CBA">
        <w:rPr>
          <w:rFonts w:ascii="Times New Roman" w:hAnsi="Times New Roman" w:cs="Times New Roman"/>
          <w:sz w:val="24"/>
        </w:rPr>
        <w:t>položke 21</w:t>
      </w:r>
      <w:r w:rsidRPr="00023CBA">
        <w:rPr>
          <w:rFonts w:ascii="Times New Roman" w:hAnsi="Times New Roman" w:cs="Times New Roman"/>
          <w:sz w:val="24"/>
        </w:rPr>
        <w:t xml:space="preserve"> a </w:t>
      </w:r>
      <w:r w:rsidR="001E06A3" w:rsidRPr="00023CBA">
        <w:rPr>
          <w:rFonts w:ascii="Times New Roman" w:hAnsi="Times New Roman" w:cs="Times New Roman"/>
          <w:sz w:val="24"/>
        </w:rPr>
        <w:t>upravenej hodnoty celkových čistých záporných peňažných tokov</w:t>
      </w:r>
      <w:r w:rsidRPr="00023CBA">
        <w:rPr>
          <w:rFonts w:ascii="Times New Roman" w:hAnsi="Times New Roman" w:cs="Times New Roman"/>
          <w:sz w:val="24"/>
        </w:rPr>
        <w:t xml:space="preserve"> v </w:t>
      </w:r>
      <w:r w:rsidR="001E06A3" w:rsidRPr="00023CBA">
        <w:rPr>
          <w:rFonts w:ascii="Times New Roman" w:hAnsi="Times New Roman" w:cs="Times New Roman"/>
          <w:sz w:val="24"/>
        </w:rPr>
        <w:t>položke 22 vzoru EU LIQ1 inštitúcie uplatňujú každý</w:t>
      </w:r>
      <w:r w:rsidRPr="00023CBA">
        <w:rPr>
          <w:rFonts w:ascii="Times New Roman" w:hAnsi="Times New Roman" w:cs="Times New Roman"/>
          <w:sz w:val="24"/>
        </w:rPr>
        <w:t xml:space="preserve"> z </w:t>
      </w:r>
      <w:r w:rsidR="001E06A3" w:rsidRPr="00023CBA">
        <w:rPr>
          <w:rFonts w:ascii="Times New Roman" w:hAnsi="Times New Roman" w:cs="Times New Roman"/>
          <w:sz w:val="24"/>
        </w:rPr>
        <w:t>týchto pokynov:</w:t>
      </w:r>
    </w:p>
    <w:p w14:paraId="1CDE122B" w14:textId="7E0A76B6" w:rsidR="001E06A3" w:rsidRPr="00023CBA" w:rsidRDefault="00023CBA" w:rsidP="00023CBA">
      <w:pPr>
        <w:widowControl w:val="0"/>
        <w:tabs>
          <w:tab w:val="left" w:pos="1446"/>
        </w:tabs>
        <w:spacing w:before="120" w:after="120"/>
        <w:ind w:left="1080" w:hanging="360"/>
        <w:jc w:val="both"/>
        <w:rPr>
          <w:rFonts w:ascii="Times New Roman" w:hAnsi="Times New Roman" w:cs="Times New Roman"/>
          <w:sz w:val="24"/>
        </w:rPr>
      </w:pPr>
      <w:r w:rsidRPr="00023CBA">
        <w:rPr>
          <w:rFonts w:ascii="Times New Roman" w:eastAsia="Calibri" w:hAnsi="Times New Roman" w:cs="Times New Roman"/>
          <w:color w:val="000000"/>
          <w:sz w:val="24"/>
        </w:rPr>
        <w:t>a)</w:t>
      </w:r>
      <w:r w:rsidR="00A3389E"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upravená hodnota vankúša likvidity je celková hodnota HQLA spolu po uplatnení haircutov aj akéhokoľvek uplatniteľného horného ohraničenia;</w:t>
      </w:r>
    </w:p>
    <w:p w14:paraId="0E6BB9D1" w14:textId="6A092D91" w:rsidR="001E06A3" w:rsidRPr="00023CBA" w:rsidRDefault="00023CBA" w:rsidP="00023CBA">
      <w:pPr>
        <w:widowControl w:val="0"/>
        <w:tabs>
          <w:tab w:val="left" w:pos="1446"/>
        </w:tabs>
        <w:spacing w:before="120" w:after="120"/>
        <w:ind w:left="1080" w:hanging="360"/>
        <w:jc w:val="both"/>
        <w:rPr>
          <w:rFonts w:ascii="Times New Roman" w:hAnsi="Times New Roman" w:cs="Times New Roman"/>
          <w:sz w:val="24"/>
        </w:rPr>
      </w:pPr>
      <w:r w:rsidRPr="00023CBA">
        <w:rPr>
          <w:rFonts w:ascii="Times New Roman" w:eastAsia="Calibri" w:hAnsi="Times New Roman" w:cs="Times New Roman"/>
          <w:color w:val="000000"/>
          <w:sz w:val="24"/>
        </w:rPr>
        <w:t>b)</w:t>
      </w:r>
      <w:r w:rsidR="00A3389E"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upravená hodnota čistých záporných peňažných tokov sa vypočítava po uplatnení horného ohraničenia kladných peňažných tokov, ak je to relevantné.</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A3389E"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4C53F846" w:rsidR="001E06A3" w:rsidRPr="00A3389E" w:rsidRDefault="001E06A3" w:rsidP="001E06A3">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1E06A3" w:rsidRPr="00A3389E" w14:paraId="18C0CAC6" w14:textId="77777777" w:rsidTr="001E06A3">
        <w:trPr>
          <w:trHeight w:val="238"/>
        </w:trPr>
        <w:tc>
          <w:tcPr>
            <w:tcW w:w="1384" w:type="dxa"/>
            <w:shd w:val="clear" w:color="auto" w:fill="D9D9D9" w:themeFill="background1" w:themeFillShade="D9"/>
          </w:tcPr>
          <w:p w14:paraId="144EFC16" w14:textId="77777777" w:rsidR="001E06A3" w:rsidRPr="00A3389E" w:rsidRDefault="001E06A3" w:rsidP="001E06A3">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35299EE0" w14:textId="77777777" w:rsidR="001E06A3" w:rsidRPr="00A3389E" w:rsidRDefault="001E06A3" w:rsidP="001E06A3">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1E06A3" w:rsidRPr="00A3389E" w14:paraId="1A43E3DF" w14:textId="77777777" w:rsidTr="001E06A3">
        <w:trPr>
          <w:trHeight w:val="1858"/>
        </w:trPr>
        <w:tc>
          <w:tcPr>
            <w:tcW w:w="1384" w:type="dxa"/>
          </w:tcPr>
          <w:p w14:paraId="372FC7C6" w14:textId="77777777" w:rsidR="001E06A3" w:rsidRPr="00A3389E" w:rsidRDefault="001E06A3" w:rsidP="001E06A3">
            <w:pPr>
              <w:pStyle w:val="Applicationdirecte"/>
              <w:spacing w:before="120"/>
              <w:jc w:val="center"/>
            </w:pPr>
            <w:r w:rsidRPr="00A3389E">
              <w:t>1</w:t>
            </w:r>
          </w:p>
        </w:tc>
        <w:tc>
          <w:tcPr>
            <w:tcW w:w="7655" w:type="dxa"/>
          </w:tcPr>
          <w:p w14:paraId="3F0FD976" w14:textId="77777777" w:rsidR="001E06A3" w:rsidRPr="00A3389E" w:rsidRDefault="001E06A3" w:rsidP="001E06A3">
            <w:pPr>
              <w:pStyle w:val="Applicationdirecte"/>
              <w:spacing w:before="120"/>
              <w:rPr>
                <w:b/>
              </w:rPr>
            </w:pPr>
            <w:r w:rsidRPr="00A3389E">
              <w:rPr>
                <w:b/>
              </w:rPr>
              <w:t>Celkové vysokokvalitné likvidné aktíva (HQLA)</w:t>
            </w:r>
          </w:p>
          <w:p w14:paraId="5E16583C" w14:textId="43B38E0A" w:rsidR="001E06A3" w:rsidRPr="00023CBA" w:rsidRDefault="001E06A3" w:rsidP="00A60806">
            <w:pPr>
              <w:pStyle w:val="InstructionsText"/>
              <w:rPr>
                <w:rFonts w:eastAsiaTheme="minorEastAsia"/>
              </w:rPr>
            </w:pPr>
            <w:r w:rsidRPr="00023CBA">
              <w:t>Inštitúcie ako váženú hodnotu zverejňujú hodnotu likvidných aktív</w:t>
            </w:r>
            <w:r w:rsidR="00A3389E" w:rsidRPr="00023CBA">
              <w:t xml:space="preserve"> v </w:t>
            </w:r>
            <w:r w:rsidRPr="00023CBA">
              <w:t>súlade</w:t>
            </w:r>
            <w:r w:rsidR="00A3389E" w:rsidRPr="00023CBA">
              <w:t xml:space="preserve"> s </w:t>
            </w:r>
            <w:r w:rsidRPr="00023CBA">
              <w:t>článkom 9 delegovaného nariadenia Komisie (EÚ) 2015/61 pred uplatnením mechanizmu úpravy uvedeného</w:t>
            </w:r>
            <w:r w:rsidR="00A3389E" w:rsidRPr="00023CBA">
              <w:t xml:space="preserve"> v </w:t>
            </w:r>
            <w:r w:rsidRPr="00023CBA">
              <w:t xml:space="preserve">článku 17 ods. 2 delegovaného nariadenia (EÚ) 2015/61. </w:t>
            </w:r>
          </w:p>
        </w:tc>
      </w:tr>
      <w:tr w:rsidR="001E06A3" w:rsidRPr="00A3389E" w14:paraId="0C34846D" w14:textId="77777777" w:rsidTr="001E06A3">
        <w:trPr>
          <w:trHeight w:val="316"/>
        </w:trPr>
        <w:tc>
          <w:tcPr>
            <w:tcW w:w="1384" w:type="dxa"/>
          </w:tcPr>
          <w:p w14:paraId="39898EF8" w14:textId="77777777" w:rsidR="001E06A3" w:rsidRPr="00A3389E" w:rsidRDefault="001E06A3" w:rsidP="001E06A3">
            <w:pPr>
              <w:autoSpaceDE w:val="0"/>
              <w:autoSpaceDN w:val="0"/>
              <w:adjustRightInd w:val="0"/>
              <w:spacing w:after="120"/>
              <w:jc w:val="center"/>
              <w:rPr>
                <w:rFonts w:ascii="Times New Roman" w:hAnsi="Times New Roman" w:cs="Times New Roman"/>
                <w:color w:val="000000"/>
                <w:sz w:val="24"/>
              </w:rPr>
            </w:pPr>
            <w:r w:rsidRPr="00A3389E">
              <w:rPr>
                <w:rFonts w:ascii="Times New Roman" w:hAnsi="Times New Roman" w:cs="Times New Roman"/>
                <w:sz w:val="24"/>
              </w:rPr>
              <w:t>2</w:t>
            </w:r>
          </w:p>
        </w:tc>
        <w:tc>
          <w:tcPr>
            <w:tcW w:w="7655" w:type="dxa"/>
          </w:tcPr>
          <w:p w14:paraId="6D3E9955" w14:textId="608C78B0" w:rsidR="001E06A3" w:rsidRPr="00A3389E" w:rsidRDefault="001E06A3" w:rsidP="001E06A3">
            <w:pPr>
              <w:autoSpaceDE w:val="0"/>
              <w:autoSpaceDN w:val="0"/>
              <w:adjustRightInd w:val="0"/>
              <w:spacing w:before="120" w:after="120"/>
              <w:rPr>
                <w:rFonts w:ascii="Times New Roman" w:hAnsi="Times New Roman" w:cs="Times New Roman"/>
                <w:b/>
                <w:sz w:val="24"/>
              </w:rPr>
            </w:pPr>
            <w:r w:rsidRPr="00A3389E">
              <w:rPr>
                <w:rFonts w:ascii="Times New Roman" w:hAnsi="Times New Roman" w:cs="Times New Roman"/>
                <w:b/>
                <w:sz w:val="24"/>
              </w:rPr>
              <w:t>Retailové vklady</w:t>
            </w:r>
            <w:r w:rsidR="00A3389E">
              <w:rPr>
                <w:rFonts w:ascii="Times New Roman" w:hAnsi="Times New Roman" w:cs="Times New Roman"/>
                <w:b/>
                <w:sz w:val="24"/>
              </w:rPr>
              <w:t xml:space="preserve"> a </w:t>
            </w:r>
            <w:r w:rsidRPr="00A3389E">
              <w:rPr>
                <w:rFonts w:ascii="Times New Roman" w:hAnsi="Times New Roman" w:cs="Times New Roman"/>
                <w:b/>
                <w:sz w:val="24"/>
              </w:rPr>
              <w:t>vklady od malých obchodných klientov,</w:t>
            </w:r>
            <w:r w:rsidR="00A3389E">
              <w:rPr>
                <w:rFonts w:ascii="Times New Roman" w:hAnsi="Times New Roman" w:cs="Times New Roman"/>
                <w:b/>
                <w:sz w:val="24"/>
              </w:rPr>
              <w:t xml:space="preserve"> z </w:t>
            </w:r>
            <w:r w:rsidRPr="00A3389E">
              <w:rPr>
                <w:rFonts w:ascii="Times New Roman" w:hAnsi="Times New Roman" w:cs="Times New Roman"/>
                <w:b/>
                <w:sz w:val="24"/>
              </w:rPr>
              <w:t>čoho:</w:t>
            </w:r>
          </w:p>
          <w:p w14:paraId="34655574" w14:textId="5ACD36E5" w:rsidR="00A3389E" w:rsidRPr="00A3389E" w:rsidRDefault="001E06A3" w:rsidP="001E06A3">
            <w:pPr>
              <w:spacing w:after="120" w:line="278" w:lineRule="exact"/>
              <w:jc w:val="both"/>
              <w:rPr>
                <w:rFonts w:ascii="Times New Roman" w:hAnsi="Times New Roman" w:cs="Times New Roman"/>
                <w:bCs/>
                <w:sz w:val="24"/>
              </w:rPr>
            </w:pPr>
            <w:r w:rsidRPr="00A3389E">
              <w:rPr>
                <w:rFonts w:ascii="Times New Roman" w:hAnsi="Times New Roman" w:cs="Times New Roman"/>
                <w:bCs/>
                <w:sz w:val="24"/>
              </w:rPr>
              <w:t>Inštitúcie ako neváženú hodnotu zverejňujú hodnotu retailových vkladov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bCs/>
                <w:sz w:val="24"/>
              </w:rPr>
              <w:t>článkami 24</w:t>
            </w:r>
            <w:r w:rsidR="00A3389E">
              <w:rPr>
                <w:rFonts w:ascii="Times New Roman" w:hAnsi="Times New Roman" w:cs="Times New Roman"/>
                <w:bCs/>
                <w:sz w:val="24"/>
              </w:rPr>
              <w:t xml:space="preserve"> a </w:t>
            </w:r>
            <w:r w:rsidRPr="00A3389E">
              <w:rPr>
                <w:rFonts w:ascii="Times New Roman" w:hAnsi="Times New Roman" w:cs="Times New Roman"/>
                <w:bCs/>
                <w:sz w:val="24"/>
              </w:rPr>
              <w:t>25 delegovaného nariadenia Komisie (EÚ) 2015/61</w:t>
            </w:r>
            <w:r w:rsidR="00A3389E" w:rsidRPr="00A3389E">
              <w:rPr>
                <w:rFonts w:ascii="Times New Roman" w:hAnsi="Times New Roman" w:cs="Times New Roman"/>
                <w:bCs/>
                <w:sz w:val="24"/>
              </w:rPr>
              <w:t>.</w:t>
            </w:r>
          </w:p>
          <w:p w14:paraId="65BE8D8C" w14:textId="15E87788" w:rsidR="001E06A3" w:rsidRPr="00023CBA" w:rsidRDefault="001E06A3" w:rsidP="001E06A3">
            <w:pPr>
              <w:spacing w:after="120" w:line="278" w:lineRule="exact"/>
              <w:jc w:val="both"/>
              <w:rPr>
                <w:rFonts w:ascii="Times New Roman" w:hAnsi="Times New Roman" w:cs="Times New Roman"/>
                <w:bCs/>
                <w:spacing w:val="-6"/>
                <w:sz w:val="24"/>
              </w:rPr>
            </w:pPr>
            <w:r w:rsidRPr="00023CBA">
              <w:rPr>
                <w:rFonts w:ascii="Times New Roman" w:hAnsi="Times New Roman" w:cs="Times New Roman"/>
                <w:spacing w:val="-6"/>
                <w:sz w:val="24"/>
              </w:rPr>
              <w:t>Inštitúcie ako váženú hodnotu zverejňujú záporný peňažný tok retailových vkladov</w:t>
            </w:r>
            <w:r w:rsidR="00A3389E" w:rsidRPr="00023CBA">
              <w:rPr>
                <w:rFonts w:ascii="Times New Roman" w:hAnsi="Times New Roman" w:cs="Times New Roman"/>
                <w:spacing w:val="-6"/>
                <w:sz w:val="24"/>
              </w:rPr>
              <w:t xml:space="preserve"> v </w:t>
            </w:r>
            <w:r w:rsidRPr="00023CBA">
              <w:rPr>
                <w:rFonts w:ascii="Times New Roman" w:hAnsi="Times New Roman" w:cs="Times New Roman"/>
                <w:spacing w:val="-6"/>
                <w:sz w:val="24"/>
              </w:rPr>
              <w:t>súlade</w:t>
            </w:r>
            <w:r w:rsidR="00A3389E" w:rsidRPr="00023CBA">
              <w:rPr>
                <w:rFonts w:ascii="Times New Roman" w:hAnsi="Times New Roman" w:cs="Times New Roman"/>
                <w:spacing w:val="-6"/>
                <w:sz w:val="24"/>
              </w:rPr>
              <w:t xml:space="preserve"> s </w:t>
            </w:r>
            <w:r w:rsidRPr="00023CBA">
              <w:rPr>
                <w:rFonts w:ascii="Times New Roman" w:hAnsi="Times New Roman" w:cs="Times New Roman"/>
                <w:bCs/>
                <w:spacing w:val="-6"/>
                <w:sz w:val="24"/>
              </w:rPr>
              <w:t>článkami 24</w:t>
            </w:r>
            <w:r w:rsidR="00A3389E" w:rsidRPr="00023CBA">
              <w:rPr>
                <w:rFonts w:ascii="Times New Roman" w:hAnsi="Times New Roman" w:cs="Times New Roman"/>
                <w:bCs/>
                <w:spacing w:val="-6"/>
                <w:sz w:val="24"/>
              </w:rPr>
              <w:t xml:space="preserve"> a </w:t>
            </w:r>
            <w:r w:rsidRPr="00023CBA">
              <w:rPr>
                <w:rFonts w:ascii="Times New Roman" w:hAnsi="Times New Roman" w:cs="Times New Roman"/>
                <w:bCs/>
                <w:spacing w:val="-6"/>
                <w:sz w:val="24"/>
              </w:rPr>
              <w:t>25 delegovaného nariadenia Komisie (EÚ) 2015/61.</w:t>
            </w:r>
          </w:p>
          <w:p w14:paraId="5A493363" w14:textId="1DCB901E" w:rsidR="001E06A3" w:rsidRPr="00A3389E" w:rsidRDefault="001E06A3" w:rsidP="001E06A3">
            <w:pPr>
              <w:spacing w:after="120" w:line="278" w:lineRule="exact"/>
              <w:jc w:val="both"/>
              <w:rPr>
                <w:rFonts w:ascii="Times New Roman" w:hAnsi="Times New Roman" w:cs="Times New Roman"/>
                <w:bCs/>
                <w:sz w:val="24"/>
              </w:rPr>
            </w:pPr>
            <w:r w:rsidRPr="00A3389E">
              <w:rPr>
                <w:rFonts w:ascii="Times New Roman" w:hAnsi="Times New Roman" w:cs="Times New Roman"/>
                <w:bCs/>
                <w:sz w:val="24"/>
              </w:rPr>
              <w:t>Inštitúcie tu zverejňujú retailové vklady</w:t>
            </w:r>
            <w:r w:rsidR="00A3389E">
              <w:rPr>
                <w:rFonts w:ascii="Times New Roman" w:hAnsi="Times New Roman" w:cs="Times New Roman"/>
                <w:bCs/>
                <w:sz w:val="24"/>
              </w:rPr>
              <w:t xml:space="preserve"> v </w:t>
            </w:r>
            <w:r w:rsidRPr="00A3389E">
              <w:rPr>
                <w:rFonts w:ascii="Times New Roman" w:hAnsi="Times New Roman" w:cs="Times New Roman"/>
                <w:bCs/>
                <w:sz w:val="24"/>
              </w:rPr>
              <w:t>súlade</w:t>
            </w:r>
            <w:r w:rsidR="00A3389E">
              <w:rPr>
                <w:rFonts w:ascii="Times New Roman" w:hAnsi="Times New Roman" w:cs="Times New Roman"/>
                <w:bCs/>
                <w:sz w:val="24"/>
              </w:rPr>
              <w:t xml:space="preserve"> s </w:t>
            </w:r>
            <w:r w:rsidRPr="00A3389E">
              <w:rPr>
                <w:rFonts w:ascii="Times New Roman" w:hAnsi="Times New Roman" w:cs="Times New Roman"/>
                <w:bCs/>
                <w:sz w:val="24"/>
              </w:rPr>
              <w:t>článkom 411 ods. 2 CRR.</w:t>
            </w:r>
          </w:p>
          <w:p w14:paraId="45453CA6" w14:textId="0D92165B" w:rsidR="001E06A3" w:rsidRPr="00A3389E" w:rsidRDefault="001E06A3" w:rsidP="001E06A3">
            <w:pPr>
              <w:tabs>
                <w:tab w:val="left" w:pos="3317"/>
              </w:tabs>
              <w:spacing w:after="120" w:line="278" w:lineRule="exact"/>
              <w:jc w:val="both"/>
              <w:rPr>
                <w:rFonts w:ascii="Times New Roman" w:hAnsi="Times New Roman" w:cs="Times New Roman"/>
                <w:sz w:val="24"/>
              </w:rPr>
            </w:pPr>
            <w:r w:rsidRPr="00A3389E">
              <w:rPr>
                <w:rFonts w:ascii="Times New Roman" w:hAnsi="Times New Roman" w:cs="Times New Roman"/>
                <w:bCs/>
                <w:sz w:val="24"/>
              </w:rPr>
              <w:t>V súlade</w:t>
            </w:r>
            <w:r w:rsidR="00A3389E">
              <w:rPr>
                <w:rFonts w:ascii="Times New Roman" w:hAnsi="Times New Roman" w:cs="Times New Roman"/>
                <w:bCs/>
                <w:sz w:val="24"/>
              </w:rPr>
              <w:t xml:space="preserve"> s </w:t>
            </w:r>
            <w:r w:rsidRPr="00A3389E">
              <w:rPr>
                <w:rFonts w:ascii="Times New Roman" w:hAnsi="Times New Roman" w:cs="Times New Roman"/>
                <w:bCs/>
                <w:sz w:val="24"/>
              </w:rPr>
              <w:t>článkom 28 ods. 6 delegovaného nariadenia Komisie (EÚ) 2015/61 inštitúcie zverejňujú</w:t>
            </w:r>
            <w:r w:rsidR="00A3389E">
              <w:rPr>
                <w:rFonts w:ascii="Times New Roman" w:hAnsi="Times New Roman" w:cs="Times New Roman"/>
                <w:bCs/>
                <w:sz w:val="24"/>
              </w:rPr>
              <w:t xml:space="preserve"> v </w:t>
            </w:r>
            <w:r w:rsidRPr="00A3389E">
              <w:rPr>
                <w:rFonts w:ascii="Times New Roman" w:hAnsi="Times New Roman" w:cs="Times New Roman"/>
                <w:bCs/>
                <w:sz w:val="24"/>
              </w:rPr>
              <w:t>rámci príslušnej kategórie retailových vkladov aj sumu dlhových cenných papierov, dlhopisov</w:t>
            </w:r>
            <w:r w:rsidR="00A3389E">
              <w:rPr>
                <w:rFonts w:ascii="Times New Roman" w:hAnsi="Times New Roman" w:cs="Times New Roman"/>
                <w:bCs/>
                <w:sz w:val="24"/>
              </w:rPr>
              <w:t xml:space="preserve"> a </w:t>
            </w:r>
            <w:r w:rsidRPr="00A3389E">
              <w:rPr>
                <w:rFonts w:ascii="Times New Roman" w:hAnsi="Times New Roman" w:cs="Times New Roman"/>
                <w:bCs/>
                <w:sz w:val="24"/>
              </w:rPr>
              <w:t>iných emitovaných cenných papierov, ktoré sa predávajú výlučne na retailovom trhu</w:t>
            </w:r>
            <w:r w:rsidR="00A3389E">
              <w:rPr>
                <w:rFonts w:ascii="Times New Roman" w:hAnsi="Times New Roman" w:cs="Times New Roman"/>
                <w:bCs/>
                <w:sz w:val="24"/>
              </w:rPr>
              <w:t xml:space="preserve"> a </w:t>
            </w:r>
            <w:r w:rsidRPr="00A3389E">
              <w:rPr>
                <w:rFonts w:ascii="Times New Roman" w:hAnsi="Times New Roman" w:cs="Times New Roman"/>
                <w:bCs/>
                <w:sz w:val="24"/>
              </w:rPr>
              <w:t xml:space="preserve">držia na retailovom účte. Inštitúcie posúdia pri tejto kategórii záväzkov uplatniteľné miery záporných peňažných tokov stanovené delegovaným nariadením Komisie (EÚ) 2015/61 pre rôzne kategórie retailových vkladov. </w:t>
            </w:r>
          </w:p>
        </w:tc>
      </w:tr>
      <w:tr w:rsidR="001E06A3" w:rsidRPr="00A3389E" w14:paraId="480D1E3C" w14:textId="77777777" w:rsidTr="001E06A3">
        <w:trPr>
          <w:trHeight w:val="316"/>
        </w:trPr>
        <w:tc>
          <w:tcPr>
            <w:tcW w:w="1384" w:type="dxa"/>
          </w:tcPr>
          <w:p w14:paraId="55C8EE16"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3</w:t>
            </w:r>
          </w:p>
        </w:tc>
        <w:tc>
          <w:tcPr>
            <w:tcW w:w="7655" w:type="dxa"/>
          </w:tcPr>
          <w:p w14:paraId="1862AD71" w14:textId="77777777" w:rsidR="001E06A3" w:rsidRPr="00A3389E" w:rsidRDefault="001E06A3" w:rsidP="001E06A3">
            <w:pPr>
              <w:autoSpaceDE w:val="0"/>
              <w:autoSpaceDN w:val="0"/>
              <w:adjustRightInd w:val="0"/>
              <w:spacing w:before="120" w:after="120"/>
              <w:rPr>
                <w:rFonts w:ascii="Times New Roman" w:hAnsi="Times New Roman" w:cs="Times New Roman"/>
                <w:b/>
                <w:sz w:val="24"/>
              </w:rPr>
            </w:pPr>
            <w:r w:rsidRPr="00A3389E">
              <w:rPr>
                <w:rFonts w:ascii="Times New Roman" w:hAnsi="Times New Roman" w:cs="Times New Roman"/>
                <w:b/>
                <w:sz w:val="24"/>
              </w:rPr>
              <w:t>Stabilné vklady</w:t>
            </w:r>
          </w:p>
          <w:p w14:paraId="1CA48DA9" w14:textId="39F4B8FD"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neváženú hodnotu zverejňujú súčet hodnôt stabilných vkladov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24 delegovaného nariadenia Komisie (EÚ) 2015/61.</w:t>
            </w:r>
          </w:p>
          <w:p w14:paraId="6FDB5C6A" w14:textId="78FC3844" w:rsidR="001E06A3" w:rsidRPr="00023CBA" w:rsidRDefault="001E06A3" w:rsidP="001E06A3">
            <w:pPr>
              <w:autoSpaceDE w:val="0"/>
              <w:autoSpaceDN w:val="0"/>
              <w:adjustRightInd w:val="0"/>
              <w:spacing w:after="120"/>
              <w:jc w:val="both"/>
              <w:rPr>
                <w:rFonts w:ascii="Times New Roman" w:hAnsi="Times New Roman" w:cs="Times New Roman"/>
                <w:spacing w:val="-6"/>
                <w:sz w:val="24"/>
              </w:rPr>
            </w:pPr>
            <w:r w:rsidRPr="00023CBA">
              <w:rPr>
                <w:rFonts w:ascii="Times New Roman" w:hAnsi="Times New Roman" w:cs="Times New Roman"/>
                <w:spacing w:val="-6"/>
                <w:sz w:val="24"/>
              </w:rPr>
              <w:t>Inštitúcie ako váženú hodnotu zverejňujú súčet záporných peňažných tokov stabilných vkladov</w:t>
            </w:r>
            <w:r w:rsidR="00A3389E" w:rsidRPr="00023CBA">
              <w:rPr>
                <w:rFonts w:ascii="Times New Roman" w:hAnsi="Times New Roman" w:cs="Times New Roman"/>
                <w:spacing w:val="-6"/>
                <w:sz w:val="24"/>
              </w:rPr>
              <w:t xml:space="preserve"> v </w:t>
            </w:r>
            <w:r w:rsidRPr="00023CBA">
              <w:rPr>
                <w:rFonts w:ascii="Times New Roman" w:hAnsi="Times New Roman" w:cs="Times New Roman"/>
                <w:spacing w:val="-6"/>
                <w:sz w:val="24"/>
              </w:rPr>
              <w:t>súlade</w:t>
            </w:r>
            <w:r w:rsidR="00A3389E" w:rsidRPr="00023CBA">
              <w:rPr>
                <w:rFonts w:ascii="Times New Roman" w:hAnsi="Times New Roman" w:cs="Times New Roman"/>
                <w:spacing w:val="-6"/>
                <w:sz w:val="24"/>
              </w:rPr>
              <w:t xml:space="preserve"> s </w:t>
            </w:r>
            <w:r w:rsidRPr="00023CBA">
              <w:rPr>
                <w:rFonts w:ascii="Times New Roman" w:hAnsi="Times New Roman" w:cs="Times New Roman"/>
                <w:spacing w:val="-6"/>
                <w:sz w:val="24"/>
              </w:rPr>
              <w:t>článkom 24 delegovaného nariadenia Komisie (EÚ) 2015/61.</w:t>
            </w:r>
          </w:p>
          <w:p w14:paraId="4D754E69" w14:textId="5900CB49"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lastRenderedPageBreak/>
              <w:t>Inštitúcie tu zverejňujú časť súm retailových vkladov krytú systémom ochrany vkladov</w:t>
            </w:r>
            <w:r w:rsidR="00A3389E">
              <w:rPr>
                <w:rFonts w:ascii="Times New Roman" w:hAnsi="Times New Roman" w:cs="Times New Roman"/>
                <w:sz w:val="24"/>
              </w:rPr>
              <w:t xml:space="preserve"> v </w:t>
            </w:r>
            <w:r w:rsidRPr="00A3389E">
              <w:rPr>
                <w:rFonts w:ascii="Times New Roman" w:hAnsi="Times New Roman" w:cs="Times New Roman"/>
                <w:sz w:val="24"/>
              </w:rPr>
              <w:t>súlade so smernicou 94/19/ES</w:t>
            </w:r>
            <w:r w:rsidRPr="00A3389E">
              <w:rPr>
                <w:rStyle w:val="FootnoteReference"/>
                <w:rFonts w:ascii="Times New Roman" w:hAnsi="Times New Roman" w:cs="Times New Roman"/>
                <w:sz w:val="24"/>
              </w:rPr>
              <w:footnoteReference w:id="23"/>
            </w:r>
            <w:r w:rsidRPr="00A3389E">
              <w:rPr>
                <w:rFonts w:ascii="Times New Roman" w:hAnsi="Times New Roman" w:cs="Times New Roman"/>
                <w:sz w:val="24"/>
              </w:rPr>
              <w:t xml:space="preserve"> alebo smernicou 2014/49/EÚ</w:t>
            </w:r>
            <w:r w:rsidRPr="00A3389E">
              <w:rPr>
                <w:rStyle w:val="FootnoteReference"/>
                <w:rFonts w:ascii="Times New Roman" w:hAnsi="Times New Roman" w:cs="Times New Roman"/>
                <w:sz w:val="24"/>
              </w:rPr>
              <w:footnoteReference w:id="24"/>
            </w:r>
            <w:r w:rsidRPr="00A3389E">
              <w:rPr>
                <w:rFonts w:ascii="Times New Roman" w:hAnsi="Times New Roman" w:cs="Times New Roman"/>
                <w:sz w:val="24"/>
              </w:rPr>
              <w:t xml:space="preserve"> alebo rovnocenným systémom ochrany vkladov</w:t>
            </w:r>
            <w:r w:rsidR="00A3389E">
              <w:rPr>
                <w:rFonts w:ascii="Times New Roman" w:hAnsi="Times New Roman" w:cs="Times New Roman"/>
                <w:sz w:val="24"/>
              </w:rPr>
              <w:t xml:space="preserve"> v </w:t>
            </w:r>
            <w:r w:rsidRPr="00A3389E">
              <w:rPr>
                <w:rFonts w:ascii="Times New Roman" w:hAnsi="Times New Roman" w:cs="Times New Roman"/>
                <w:sz w:val="24"/>
              </w:rPr>
              <w:t>tretej krajine, ktorá je buď súčasťou zriadeného vzťahu,</w:t>
            </w:r>
            <w:r w:rsidR="00A3389E">
              <w:rPr>
                <w:rFonts w:ascii="Times New Roman" w:hAnsi="Times New Roman" w:cs="Times New Roman"/>
                <w:sz w:val="24"/>
              </w:rPr>
              <w:t xml:space="preserve"> v </w:t>
            </w:r>
            <w:r w:rsidRPr="00A3389E">
              <w:rPr>
                <w:rFonts w:ascii="Times New Roman" w:hAnsi="Times New Roman" w:cs="Times New Roman"/>
                <w:sz w:val="24"/>
              </w:rPr>
              <w:t>rámci ktorého je výber vysoko nepravdepodobný, alebo je vedená na transakčnom účte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24 ods. 2, resp. ods. 3 delegovaného nariadenia Komisie (EÚ) 2015/61, ak:</w:t>
            </w:r>
          </w:p>
          <w:p w14:paraId="284DEE62" w14:textId="67DA58D9"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uvedené vklady nespĺňajú kritériá pre vyššiu mieru záporných peňažných tokov</w:t>
            </w:r>
            <w:r>
              <w:rPr>
                <w:rFonts w:ascii="Times New Roman" w:hAnsi="Times New Roman"/>
                <w:sz w:val="24"/>
              </w:rPr>
              <w:t xml:space="preserve"> v </w:t>
            </w:r>
            <w:r w:rsidR="001E06A3" w:rsidRPr="00A3389E">
              <w:rPr>
                <w:rFonts w:ascii="Times New Roman" w:hAnsi="Times New Roman"/>
                <w:sz w:val="24"/>
              </w:rPr>
              <w:t>súlade</w:t>
            </w:r>
            <w:r>
              <w:rPr>
                <w:rFonts w:ascii="Times New Roman" w:hAnsi="Times New Roman"/>
                <w:sz w:val="24"/>
              </w:rPr>
              <w:t xml:space="preserve"> s </w:t>
            </w:r>
            <w:r w:rsidR="001E06A3" w:rsidRPr="00A3389E">
              <w:rPr>
                <w:rFonts w:ascii="Times New Roman" w:hAnsi="Times New Roman"/>
                <w:sz w:val="24"/>
              </w:rPr>
              <w:t>článkom 25 ods. 2, 3 alebo 5 delegovaného nariadenia Komisie (EÚ) 2015/61, a</w:t>
            </w:r>
          </w:p>
          <w:p w14:paraId="50BEF014" w14:textId="74E851EF" w:rsidR="001E06A3" w:rsidRPr="00A3389E" w:rsidRDefault="00A3389E" w:rsidP="00A3389E">
            <w:pPr>
              <w:autoSpaceDE w:val="0"/>
              <w:autoSpaceDN w:val="0"/>
              <w:adjustRightInd w:val="0"/>
              <w:spacing w:after="120"/>
              <w:ind w:left="720" w:hanging="360"/>
              <w:contextualSpacing/>
              <w:jc w:val="both"/>
              <w:rPr>
                <w:rFonts w:ascii="Times New Roman" w:hAnsi="Times New Roman"/>
                <w:b/>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uvedené vklady neboli prijaté</w:t>
            </w:r>
            <w:r>
              <w:rPr>
                <w:rFonts w:ascii="Times New Roman" w:hAnsi="Times New Roman"/>
                <w:sz w:val="24"/>
              </w:rPr>
              <w:t xml:space="preserve"> v </w:t>
            </w:r>
            <w:r w:rsidR="001E06A3" w:rsidRPr="00A3389E">
              <w:rPr>
                <w:rFonts w:ascii="Times New Roman" w:hAnsi="Times New Roman"/>
                <w:sz w:val="24"/>
              </w:rPr>
              <w:t>tretích krajinách, pri ktorých sa uplatňuje vyšší záporný peňažný tok</w:t>
            </w:r>
            <w:r>
              <w:rPr>
                <w:rFonts w:ascii="Times New Roman" w:hAnsi="Times New Roman"/>
                <w:sz w:val="24"/>
              </w:rPr>
              <w:t xml:space="preserve"> v </w:t>
            </w:r>
            <w:r w:rsidR="001E06A3" w:rsidRPr="00A3389E">
              <w:rPr>
                <w:rFonts w:ascii="Times New Roman" w:hAnsi="Times New Roman"/>
                <w:sz w:val="24"/>
              </w:rPr>
              <w:t>súlade</w:t>
            </w:r>
            <w:r>
              <w:rPr>
                <w:rFonts w:ascii="Times New Roman" w:hAnsi="Times New Roman"/>
                <w:sz w:val="24"/>
              </w:rPr>
              <w:t xml:space="preserve"> s </w:t>
            </w:r>
            <w:r w:rsidR="001E06A3" w:rsidRPr="00A3389E">
              <w:rPr>
                <w:rFonts w:ascii="Times New Roman" w:hAnsi="Times New Roman"/>
                <w:sz w:val="24"/>
              </w:rPr>
              <w:t xml:space="preserve">článkom 25 ods. 5 delegovaného nariadenia Komisie (EÚ) 2015/61. </w:t>
            </w:r>
          </w:p>
        </w:tc>
      </w:tr>
      <w:tr w:rsidR="001E06A3" w:rsidRPr="00A3389E" w14:paraId="701CEA9D" w14:textId="77777777" w:rsidTr="001E06A3">
        <w:trPr>
          <w:trHeight w:val="316"/>
        </w:trPr>
        <w:tc>
          <w:tcPr>
            <w:tcW w:w="1384" w:type="dxa"/>
          </w:tcPr>
          <w:p w14:paraId="3A4DBE03" w14:textId="77777777" w:rsidR="001E06A3" w:rsidRPr="00A3389E" w:rsidRDefault="001E06A3" w:rsidP="001E06A3">
            <w:pPr>
              <w:autoSpaceDE w:val="0"/>
              <w:autoSpaceDN w:val="0"/>
              <w:adjustRightInd w:val="0"/>
              <w:spacing w:after="120"/>
              <w:jc w:val="center"/>
              <w:rPr>
                <w:rFonts w:ascii="Times New Roman" w:hAnsi="Times New Roman" w:cs="Times New Roman"/>
                <w:sz w:val="24"/>
              </w:rPr>
            </w:pPr>
            <w:r w:rsidRPr="00A3389E">
              <w:rPr>
                <w:rFonts w:ascii="Times New Roman" w:hAnsi="Times New Roman" w:cs="Times New Roman"/>
                <w:sz w:val="24"/>
              </w:rPr>
              <w:lastRenderedPageBreak/>
              <w:t>4</w:t>
            </w:r>
          </w:p>
        </w:tc>
        <w:tc>
          <w:tcPr>
            <w:tcW w:w="7655" w:type="dxa"/>
          </w:tcPr>
          <w:p w14:paraId="537F473D" w14:textId="77777777" w:rsidR="001E06A3" w:rsidRPr="00A3389E" w:rsidRDefault="001E06A3" w:rsidP="001E06A3">
            <w:pPr>
              <w:spacing w:before="120" w:after="120" w:line="190" w:lineRule="exact"/>
              <w:rPr>
                <w:rFonts w:ascii="Times New Roman" w:hAnsi="Times New Roman" w:cs="Times New Roman"/>
                <w:b/>
                <w:sz w:val="24"/>
              </w:rPr>
            </w:pPr>
            <w:r w:rsidRPr="00A3389E">
              <w:rPr>
                <w:rFonts w:ascii="Times New Roman" w:hAnsi="Times New Roman" w:cs="Times New Roman"/>
                <w:b/>
                <w:sz w:val="24"/>
              </w:rPr>
              <w:t>Menej stabilné vklady</w:t>
            </w:r>
          </w:p>
          <w:p w14:paraId="54DCDA4F" w14:textId="4AF73FF4" w:rsidR="001E06A3" w:rsidRPr="00A3389E" w:rsidRDefault="001E06A3" w:rsidP="001E06A3">
            <w:pPr>
              <w:spacing w:after="120" w:line="278" w:lineRule="exact"/>
              <w:jc w:val="both"/>
              <w:rPr>
                <w:rFonts w:ascii="Times New Roman" w:hAnsi="Times New Roman" w:cs="Times New Roman"/>
                <w:sz w:val="24"/>
              </w:rPr>
            </w:pPr>
            <w:r w:rsidRPr="00A3389E">
              <w:rPr>
                <w:rFonts w:ascii="Times New Roman" w:hAnsi="Times New Roman" w:cs="Times New Roman"/>
                <w:sz w:val="24"/>
              </w:rPr>
              <w:t>Inštitúcie ako neváženú hodnotu zverejňujú súčet hodnôt retailových vkladov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25 ods. 1, 2</w:t>
            </w:r>
            <w:r w:rsidR="00A3389E">
              <w:rPr>
                <w:rFonts w:ascii="Times New Roman" w:hAnsi="Times New Roman" w:cs="Times New Roman"/>
                <w:sz w:val="24"/>
              </w:rPr>
              <w:t xml:space="preserve"> a </w:t>
            </w:r>
            <w:r w:rsidRPr="00A3389E">
              <w:rPr>
                <w:rFonts w:ascii="Times New Roman" w:hAnsi="Times New Roman" w:cs="Times New Roman"/>
                <w:sz w:val="24"/>
              </w:rPr>
              <w:t>3 delegovaného nariadenia Komisie (EÚ) 2015/61.</w:t>
            </w:r>
          </w:p>
          <w:p w14:paraId="37AFD8CC" w14:textId="3B4C5882" w:rsidR="001E06A3" w:rsidRPr="00A3389E" w:rsidRDefault="001E06A3" w:rsidP="001E06A3">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Inštitúcie ako váženú hodnotu zverejňujú súčet záporných peňažných tokov retailových vkladov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25 ods. 1, 2</w:t>
            </w:r>
            <w:r w:rsidR="00A3389E">
              <w:rPr>
                <w:rFonts w:ascii="Times New Roman" w:hAnsi="Times New Roman" w:cs="Times New Roman"/>
                <w:sz w:val="24"/>
              </w:rPr>
              <w:t xml:space="preserve"> a </w:t>
            </w:r>
            <w:r w:rsidRPr="00A3389E">
              <w:rPr>
                <w:rFonts w:ascii="Times New Roman" w:hAnsi="Times New Roman" w:cs="Times New Roman"/>
                <w:sz w:val="24"/>
              </w:rPr>
              <w:t>3 delegovaného nariadenia Komisie (EÚ) 2015/61.</w:t>
            </w:r>
          </w:p>
        </w:tc>
      </w:tr>
      <w:tr w:rsidR="001E06A3" w:rsidRPr="00A3389E" w14:paraId="43B276D1" w14:textId="77777777" w:rsidTr="001E06A3">
        <w:trPr>
          <w:trHeight w:val="316"/>
        </w:trPr>
        <w:tc>
          <w:tcPr>
            <w:tcW w:w="1384" w:type="dxa"/>
          </w:tcPr>
          <w:p w14:paraId="20618771"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5</w:t>
            </w:r>
          </w:p>
        </w:tc>
        <w:tc>
          <w:tcPr>
            <w:tcW w:w="7655" w:type="dxa"/>
          </w:tcPr>
          <w:p w14:paraId="5895BE02" w14:textId="77777777" w:rsidR="001E06A3" w:rsidRPr="00A3389E" w:rsidRDefault="001E06A3" w:rsidP="001E06A3">
            <w:pPr>
              <w:spacing w:before="120" w:after="120" w:line="190" w:lineRule="exact"/>
              <w:rPr>
                <w:rFonts w:ascii="Times New Roman" w:hAnsi="Times New Roman" w:cs="Times New Roman"/>
                <w:sz w:val="24"/>
              </w:rPr>
            </w:pPr>
            <w:r w:rsidRPr="00A3389E">
              <w:rPr>
                <w:rFonts w:ascii="Times New Roman" w:hAnsi="Times New Roman" w:cs="Times New Roman"/>
                <w:b/>
                <w:sz w:val="24"/>
              </w:rPr>
              <w:t>Nezabezpečené veľkoobchodné financovanie</w:t>
            </w:r>
          </w:p>
          <w:p w14:paraId="03A74944" w14:textId="6F26B05E" w:rsidR="001E06A3" w:rsidRPr="00A3389E" w:rsidRDefault="001E06A3" w:rsidP="00811C0D">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Inštitúcie zverejňujú súčty nevážených</w:t>
            </w:r>
            <w:r w:rsidR="00A3389E">
              <w:rPr>
                <w:rFonts w:ascii="Times New Roman" w:hAnsi="Times New Roman" w:cs="Times New Roman"/>
                <w:sz w:val="24"/>
              </w:rPr>
              <w:t xml:space="preserve"> a </w:t>
            </w:r>
            <w:r w:rsidRPr="00A3389E">
              <w:rPr>
                <w:rFonts w:ascii="Times New Roman" w:hAnsi="Times New Roman" w:cs="Times New Roman"/>
                <w:sz w:val="24"/>
              </w:rPr>
              <w:t>vážených hodnôt, ktoré treba zverejniť</w:t>
            </w:r>
            <w:r w:rsidR="00A3389E">
              <w:rPr>
                <w:rFonts w:ascii="Times New Roman" w:hAnsi="Times New Roman" w:cs="Times New Roman"/>
                <w:sz w:val="24"/>
              </w:rPr>
              <w:t xml:space="preserve"> v </w:t>
            </w:r>
            <w:r w:rsidRPr="00A3389E">
              <w:rPr>
                <w:rFonts w:ascii="Times New Roman" w:hAnsi="Times New Roman" w:cs="Times New Roman"/>
                <w:sz w:val="24"/>
              </w:rPr>
              <w:t>riadku 6 „Prevádzkové vklady (všetky protistrany)</w:t>
            </w:r>
            <w:r w:rsidR="00A3389E">
              <w:rPr>
                <w:rFonts w:ascii="Times New Roman" w:hAnsi="Times New Roman" w:cs="Times New Roman"/>
                <w:sz w:val="24"/>
              </w:rPr>
              <w:t xml:space="preserve"> a </w:t>
            </w:r>
            <w:r w:rsidRPr="00A3389E">
              <w:rPr>
                <w:rFonts w:ascii="Times New Roman" w:hAnsi="Times New Roman" w:cs="Times New Roman"/>
                <w:sz w:val="24"/>
              </w:rPr>
              <w:t>vklady</w:t>
            </w:r>
            <w:r w:rsidR="00A3389E">
              <w:rPr>
                <w:rFonts w:ascii="Times New Roman" w:hAnsi="Times New Roman" w:cs="Times New Roman"/>
                <w:sz w:val="24"/>
              </w:rPr>
              <w:t xml:space="preserve"> v </w:t>
            </w:r>
            <w:r w:rsidRPr="00A3389E">
              <w:rPr>
                <w:rFonts w:ascii="Times New Roman" w:hAnsi="Times New Roman" w:cs="Times New Roman"/>
                <w:sz w:val="24"/>
              </w:rPr>
              <w:t>sieťach družstevných bánk“,</w:t>
            </w:r>
            <w:r w:rsidR="00A3389E">
              <w:rPr>
                <w:rFonts w:ascii="Times New Roman" w:hAnsi="Times New Roman" w:cs="Times New Roman"/>
                <w:sz w:val="24"/>
              </w:rPr>
              <w:t xml:space="preserve"> v </w:t>
            </w:r>
            <w:r w:rsidRPr="00A3389E">
              <w:rPr>
                <w:rFonts w:ascii="Times New Roman" w:hAnsi="Times New Roman" w:cs="Times New Roman"/>
                <w:sz w:val="24"/>
              </w:rPr>
              <w:t>riadku 7 „Neprevádzkové vklady (všetky protistrany)“</w:t>
            </w:r>
            <w:r w:rsidR="00A3389E">
              <w:rPr>
                <w:rFonts w:ascii="Times New Roman" w:hAnsi="Times New Roman" w:cs="Times New Roman"/>
                <w:sz w:val="24"/>
              </w:rPr>
              <w:t xml:space="preserve"> a v </w:t>
            </w:r>
            <w:r w:rsidRPr="00A3389E">
              <w:rPr>
                <w:rFonts w:ascii="Times New Roman" w:hAnsi="Times New Roman" w:cs="Times New Roman"/>
                <w:sz w:val="24"/>
              </w:rPr>
              <w:t>riadku 8 „Nezabezpečený dlh“ tohto vzoru.</w:t>
            </w:r>
          </w:p>
        </w:tc>
      </w:tr>
      <w:tr w:rsidR="001E06A3" w:rsidRPr="00A3389E" w14:paraId="4ECB5055" w14:textId="77777777" w:rsidTr="001E06A3">
        <w:trPr>
          <w:trHeight w:val="316"/>
        </w:trPr>
        <w:tc>
          <w:tcPr>
            <w:tcW w:w="1384" w:type="dxa"/>
          </w:tcPr>
          <w:p w14:paraId="308503D9"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6</w:t>
            </w:r>
          </w:p>
        </w:tc>
        <w:tc>
          <w:tcPr>
            <w:tcW w:w="7655" w:type="dxa"/>
          </w:tcPr>
          <w:p w14:paraId="79F16017" w14:textId="1C189861" w:rsidR="001E06A3" w:rsidRPr="00A3389E" w:rsidRDefault="001E06A3"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b/>
                <w:sz w:val="24"/>
              </w:rPr>
              <w:t>Prevádzkové vklady (všetky protistrany)</w:t>
            </w:r>
            <w:r w:rsidR="00A3389E">
              <w:rPr>
                <w:rFonts w:ascii="Times New Roman" w:hAnsi="Times New Roman" w:cs="Times New Roman"/>
                <w:b/>
                <w:sz w:val="24"/>
              </w:rPr>
              <w:t xml:space="preserve"> a </w:t>
            </w:r>
            <w:r w:rsidRPr="00A3389E">
              <w:rPr>
                <w:rFonts w:ascii="Times New Roman" w:hAnsi="Times New Roman" w:cs="Times New Roman"/>
                <w:b/>
                <w:sz w:val="24"/>
              </w:rPr>
              <w:t>vklady</w:t>
            </w:r>
            <w:r w:rsidR="00A3389E">
              <w:rPr>
                <w:rFonts w:ascii="Times New Roman" w:hAnsi="Times New Roman" w:cs="Times New Roman"/>
                <w:b/>
                <w:sz w:val="24"/>
              </w:rPr>
              <w:t xml:space="preserve"> v </w:t>
            </w:r>
            <w:r w:rsidRPr="00A3389E">
              <w:rPr>
                <w:rFonts w:ascii="Times New Roman" w:hAnsi="Times New Roman" w:cs="Times New Roman"/>
                <w:b/>
                <w:sz w:val="24"/>
              </w:rPr>
              <w:t>sieťach družstevných bánk</w:t>
            </w:r>
          </w:p>
          <w:p w14:paraId="3C003E67" w14:textId="668B2778"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neváženú hodnotu zverejňujú hodnotu prevádzkových vkladov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27 delegovaného nariadenia Komisie (EÚ) 2015/61.</w:t>
            </w:r>
          </w:p>
          <w:p w14:paraId="7066CC8F" w14:textId="6165CF36"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váženú hodnotu zverejňujú záporné peňažné toky prevádzkových vkladov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27 delegovaného nariadenia Komisie (EÚ) 2015/61.</w:t>
            </w:r>
          </w:p>
          <w:p w14:paraId="32C26D4E" w14:textId="16062283"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tu zverejňujú časť prevádzkových vkladov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27 delegovaného nariadenia Komisie (EÚ) 2015/61, ktorá je potrebná na poskytovanie prevádzkových služieb. Vklady vyplývajúce zo vzťahu korešpondenčného bankovníctva alebo</w:t>
            </w:r>
            <w:r w:rsidR="00A3389E">
              <w:rPr>
                <w:rFonts w:ascii="Times New Roman" w:hAnsi="Times New Roman" w:cs="Times New Roman"/>
                <w:sz w:val="24"/>
              </w:rPr>
              <w:t xml:space="preserve"> z </w:t>
            </w:r>
            <w:r w:rsidRPr="00A3389E">
              <w:rPr>
                <w:rFonts w:ascii="Times New Roman" w:hAnsi="Times New Roman" w:cs="Times New Roman"/>
                <w:sz w:val="24"/>
              </w:rPr>
              <w:t>poskytovania služieb prime brokerage sa považujú za neprevádzkové vklady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27 ods. 5 delegovaného nariadenia Komisie (EÚ) 2015/61.</w:t>
            </w:r>
          </w:p>
          <w:p w14:paraId="67E81DC7" w14:textId="77777777"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lastRenderedPageBreak/>
              <w:t>Časť prevádzkových vkladov, ktorá presahuje sumu potrebnú na poskytovanie prevádzkových služieb, sa tu nezverejňuje.</w:t>
            </w:r>
          </w:p>
        </w:tc>
      </w:tr>
      <w:tr w:rsidR="001E06A3" w:rsidRPr="00A3389E" w14:paraId="783B515B" w14:textId="77777777" w:rsidTr="001E06A3">
        <w:trPr>
          <w:trHeight w:val="316"/>
        </w:trPr>
        <w:tc>
          <w:tcPr>
            <w:tcW w:w="1384" w:type="dxa"/>
          </w:tcPr>
          <w:p w14:paraId="68D59C13"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7</w:t>
            </w:r>
          </w:p>
        </w:tc>
        <w:tc>
          <w:tcPr>
            <w:tcW w:w="7655" w:type="dxa"/>
          </w:tcPr>
          <w:p w14:paraId="65D184E1" w14:textId="77777777" w:rsidR="001E06A3" w:rsidRPr="00A3389E" w:rsidRDefault="001E06A3" w:rsidP="001E06A3">
            <w:pPr>
              <w:spacing w:before="120" w:after="120" w:line="190" w:lineRule="exact"/>
              <w:rPr>
                <w:rFonts w:ascii="Times New Roman" w:hAnsi="Times New Roman" w:cs="Times New Roman"/>
                <w:b/>
                <w:sz w:val="24"/>
              </w:rPr>
            </w:pPr>
            <w:r w:rsidRPr="00A3389E">
              <w:rPr>
                <w:rFonts w:ascii="Times New Roman" w:hAnsi="Times New Roman" w:cs="Times New Roman"/>
                <w:b/>
                <w:sz w:val="24"/>
              </w:rPr>
              <w:t>Neprevádzkové vklady (všetky protistrany)</w:t>
            </w:r>
          </w:p>
          <w:p w14:paraId="31E38EDF" w14:textId="20A16974"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neváženú hodnotu zverejňujú hodnotu neprevádzkových vkladov podľa článku 27 ods. 5, článku 28 ods. 1</w:t>
            </w:r>
            <w:r w:rsidR="00A3389E">
              <w:rPr>
                <w:rFonts w:ascii="Times New Roman" w:hAnsi="Times New Roman" w:cs="Times New Roman"/>
                <w:sz w:val="24"/>
              </w:rPr>
              <w:t xml:space="preserve"> a </w:t>
            </w:r>
            <w:r w:rsidRPr="00A3389E">
              <w:rPr>
                <w:rFonts w:ascii="Times New Roman" w:hAnsi="Times New Roman" w:cs="Times New Roman"/>
                <w:sz w:val="24"/>
              </w:rPr>
              <w:t>článku 31a ods. 1 delegovaného nariadenia Komisie (EÚ) 2015/61.</w:t>
            </w:r>
          </w:p>
          <w:p w14:paraId="01ECC068" w14:textId="0F2831C7"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váženú hodnotu zverejňujú záporný peňažný tok neprevádzkových vkladov podľa článku 27 ods. 5, článku 28 ods. 1</w:t>
            </w:r>
            <w:r w:rsidR="00A3389E">
              <w:rPr>
                <w:rFonts w:ascii="Times New Roman" w:hAnsi="Times New Roman" w:cs="Times New Roman"/>
                <w:sz w:val="24"/>
              </w:rPr>
              <w:t xml:space="preserve"> a </w:t>
            </w:r>
            <w:r w:rsidRPr="00A3389E">
              <w:rPr>
                <w:rFonts w:ascii="Times New Roman" w:hAnsi="Times New Roman" w:cs="Times New Roman"/>
                <w:sz w:val="24"/>
              </w:rPr>
              <w:t>článku 31a ods. 1 delegovaného nariadenia Komisie (EÚ) 2015/61.</w:t>
            </w:r>
          </w:p>
          <w:p w14:paraId="729DFC84" w14:textId="0658BC84"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tu zverejňujú vklady vyplývajúce</w:t>
            </w:r>
            <w:r w:rsidR="00A3389E">
              <w:rPr>
                <w:rFonts w:ascii="Times New Roman" w:hAnsi="Times New Roman" w:cs="Times New Roman"/>
                <w:sz w:val="24"/>
              </w:rPr>
              <w:t xml:space="preserve"> z </w:t>
            </w:r>
            <w:r w:rsidRPr="00A3389E">
              <w:rPr>
                <w:rFonts w:ascii="Times New Roman" w:hAnsi="Times New Roman" w:cs="Times New Roman"/>
                <w:sz w:val="24"/>
              </w:rPr>
              <w:t>korešpondenčného bankovníctva alebo</w:t>
            </w:r>
            <w:r w:rsidR="00A3389E">
              <w:rPr>
                <w:rFonts w:ascii="Times New Roman" w:hAnsi="Times New Roman" w:cs="Times New Roman"/>
                <w:sz w:val="24"/>
              </w:rPr>
              <w:t xml:space="preserve"> z </w:t>
            </w:r>
            <w:r w:rsidRPr="00A3389E">
              <w:rPr>
                <w:rFonts w:ascii="Times New Roman" w:hAnsi="Times New Roman" w:cs="Times New Roman"/>
                <w:sz w:val="24"/>
              </w:rPr>
              <w:t>poskytovania služieb prime brokerage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27 ods. 5 delegovaného nariadenia Komisie (EÚ) 2015/61.</w:t>
            </w:r>
          </w:p>
          <w:p w14:paraId="31ED50A3" w14:textId="2CC80077" w:rsidR="001E06A3" w:rsidRPr="00A3389E" w:rsidRDefault="001E06A3" w:rsidP="001E06A3">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Tu sa zverejňuje tá časť prevádzkových vkladov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27 ods. 5 delegovaného nariadenia Komisie (EÚ) 2015/61, ktorá presahuje prevádzkové vklady potrebné na poskytovanie prevádzkových služieb.</w:t>
            </w:r>
          </w:p>
        </w:tc>
      </w:tr>
      <w:tr w:rsidR="001E06A3" w:rsidRPr="00A3389E" w14:paraId="01FA9890" w14:textId="77777777" w:rsidTr="001E06A3">
        <w:trPr>
          <w:trHeight w:val="316"/>
        </w:trPr>
        <w:tc>
          <w:tcPr>
            <w:tcW w:w="1384" w:type="dxa"/>
          </w:tcPr>
          <w:p w14:paraId="16AD0F97"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8</w:t>
            </w:r>
          </w:p>
        </w:tc>
        <w:tc>
          <w:tcPr>
            <w:tcW w:w="7655" w:type="dxa"/>
          </w:tcPr>
          <w:p w14:paraId="083BCD54" w14:textId="77777777" w:rsidR="001E06A3" w:rsidRPr="00A3389E" w:rsidRDefault="001E06A3" w:rsidP="001E06A3">
            <w:pPr>
              <w:spacing w:before="120" w:after="120" w:line="190" w:lineRule="exact"/>
              <w:rPr>
                <w:rFonts w:ascii="Times New Roman" w:hAnsi="Times New Roman" w:cs="Times New Roman"/>
                <w:sz w:val="24"/>
              </w:rPr>
            </w:pPr>
            <w:r w:rsidRPr="00A3389E">
              <w:rPr>
                <w:rFonts w:ascii="Times New Roman" w:hAnsi="Times New Roman" w:cs="Times New Roman"/>
                <w:b/>
                <w:sz w:val="24"/>
              </w:rPr>
              <w:t>Nezabezpečený dlh</w:t>
            </w:r>
          </w:p>
          <w:p w14:paraId="7940CF34" w14:textId="6B0AA1C1" w:rsidR="001E06A3" w:rsidRPr="00023CBA" w:rsidRDefault="001E06A3" w:rsidP="001E06A3">
            <w:pPr>
              <w:autoSpaceDE w:val="0"/>
              <w:autoSpaceDN w:val="0"/>
              <w:adjustRightInd w:val="0"/>
              <w:spacing w:after="120"/>
              <w:jc w:val="both"/>
              <w:rPr>
                <w:rFonts w:ascii="Times New Roman" w:hAnsi="Times New Roman" w:cs="Times New Roman"/>
                <w:spacing w:val="-4"/>
                <w:sz w:val="24"/>
              </w:rPr>
            </w:pPr>
            <w:r w:rsidRPr="00023CBA">
              <w:rPr>
                <w:rFonts w:ascii="Times New Roman" w:hAnsi="Times New Roman" w:cs="Times New Roman"/>
                <w:spacing w:val="-4"/>
                <w:sz w:val="24"/>
              </w:rPr>
              <w:t>Inštitúcie ako neváženú hodnotu zverejňujú nesplatený zostatok dlhových cenných papierov, dlhopisov</w:t>
            </w:r>
            <w:r w:rsidR="00A3389E" w:rsidRPr="00023CBA">
              <w:rPr>
                <w:rFonts w:ascii="Times New Roman" w:hAnsi="Times New Roman" w:cs="Times New Roman"/>
                <w:spacing w:val="-4"/>
                <w:sz w:val="24"/>
              </w:rPr>
              <w:t xml:space="preserve"> a </w:t>
            </w:r>
            <w:r w:rsidRPr="00023CBA">
              <w:rPr>
                <w:rFonts w:ascii="Times New Roman" w:hAnsi="Times New Roman" w:cs="Times New Roman"/>
                <w:spacing w:val="-4"/>
                <w:sz w:val="24"/>
              </w:rPr>
              <w:t>ďalších dlhových cenných papierov emitovaných inštitúciou iných než tých, ktoré sa zverejňujú ako retailové vklady, ako sa uvádza</w:t>
            </w:r>
            <w:r w:rsidR="00A3389E" w:rsidRPr="00023CBA">
              <w:rPr>
                <w:rFonts w:ascii="Times New Roman" w:hAnsi="Times New Roman" w:cs="Times New Roman"/>
                <w:spacing w:val="-4"/>
                <w:sz w:val="24"/>
              </w:rPr>
              <w:t xml:space="preserve"> v </w:t>
            </w:r>
            <w:r w:rsidRPr="00023CBA">
              <w:rPr>
                <w:rFonts w:ascii="Times New Roman" w:hAnsi="Times New Roman" w:cs="Times New Roman"/>
                <w:spacing w:val="-4"/>
                <w:sz w:val="24"/>
              </w:rPr>
              <w:t>článku 28 ods. 6 delegovaného nariadenia Komisie (EÚ) 2015/61. Táto suma zahŕňa aj kupóny, ktoré sú splatné počas nasledujúcich 30 kalendárnych dní vo vzťahu</w:t>
            </w:r>
            <w:r w:rsidR="00A3389E" w:rsidRPr="00023CBA">
              <w:rPr>
                <w:rFonts w:ascii="Times New Roman" w:hAnsi="Times New Roman" w:cs="Times New Roman"/>
                <w:spacing w:val="-4"/>
                <w:sz w:val="24"/>
              </w:rPr>
              <w:t xml:space="preserve"> k </w:t>
            </w:r>
            <w:r w:rsidRPr="00023CBA">
              <w:rPr>
                <w:rFonts w:ascii="Times New Roman" w:hAnsi="Times New Roman" w:cs="Times New Roman"/>
                <w:spacing w:val="-4"/>
                <w:sz w:val="24"/>
              </w:rPr>
              <w:t>všetkým týmto cenným papierom.</w:t>
            </w:r>
          </w:p>
          <w:p w14:paraId="4659E6DD" w14:textId="323880B6" w:rsidR="001E06A3" w:rsidRPr="00A3389E" w:rsidRDefault="001E06A3" w:rsidP="001E06A3">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Inštitúcie ako váženú hodnotu zverejňujú záporný peňažný tok uvedených dlhových cenných papierov, dlhopisov</w:t>
            </w:r>
            <w:r w:rsidR="00A3389E">
              <w:rPr>
                <w:rFonts w:ascii="Times New Roman" w:hAnsi="Times New Roman" w:cs="Times New Roman"/>
                <w:sz w:val="24"/>
              </w:rPr>
              <w:t xml:space="preserve"> a </w:t>
            </w:r>
            <w:r w:rsidRPr="00A3389E">
              <w:rPr>
                <w:rFonts w:ascii="Times New Roman" w:hAnsi="Times New Roman" w:cs="Times New Roman"/>
                <w:sz w:val="24"/>
              </w:rPr>
              <w:t>iných dlhových cenných papierov uvedených</w:t>
            </w:r>
            <w:r w:rsidR="00A3389E">
              <w:rPr>
                <w:rFonts w:ascii="Times New Roman" w:hAnsi="Times New Roman" w:cs="Times New Roman"/>
                <w:sz w:val="24"/>
              </w:rPr>
              <w:t xml:space="preserve"> v </w:t>
            </w:r>
            <w:r w:rsidRPr="00A3389E">
              <w:rPr>
                <w:rFonts w:ascii="Times New Roman" w:hAnsi="Times New Roman" w:cs="Times New Roman"/>
                <w:sz w:val="24"/>
              </w:rPr>
              <w:t>predchádzajúcom odseku.</w:t>
            </w:r>
          </w:p>
        </w:tc>
      </w:tr>
      <w:tr w:rsidR="001E06A3" w:rsidRPr="00A3389E" w14:paraId="3FD3BFE9" w14:textId="77777777" w:rsidTr="001E06A3">
        <w:trPr>
          <w:trHeight w:val="316"/>
        </w:trPr>
        <w:tc>
          <w:tcPr>
            <w:tcW w:w="1384" w:type="dxa"/>
          </w:tcPr>
          <w:p w14:paraId="05BB6B7D"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9</w:t>
            </w:r>
          </w:p>
        </w:tc>
        <w:tc>
          <w:tcPr>
            <w:tcW w:w="7655" w:type="dxa"/>
          </w:tcPr>
          <w:p w14:paraId="02173D1C" w14:textId="77777777" w:rsidR="001E06A3" w:rsidRPr="00A3389E" w:rsidRDefault="001E06A3" w:rsidP="001E06A3">
            <w:pPr>
              <w:spacing w:before="120" w:after="120" w:line="190" w:lineRule="exact"/>
              <w:rPr>
                <w:rFonts w:ascii="Times New Roman" w:hAnsi="Times New Roman" w:cs="Times New Roman"/>
                <w:b/>
                <w:sz w:val="24"/>
              </w:rPr>
            </w:pPr>
            <w:r w:rsidRPr="00A3389E">
              <w:rPr>
                <w:rFonts w:ascii="Times New Roman" w:hAnsi="Times New Roman" w:cs="Times New Roman"/>
                <w:b/>
                <w:sz w:val="24"/>
              </w:rPr>
              <w:t>Zabezpečené veľkoobchodné financovanie</w:t>
            </w:r>
          </w:p>
          <w:p w14:paraId="50900319" w14:textId="7835E63D" w:rsidR="001E06A3" w:rsidRPr="00A3389E" w:rsidRDefault="001E06A3" w:rsidP="001E06A3">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Inštitúcie ako váženú hodnotu zverejňujú súčet záporných peňažných tokov vyplývajúcich zo zabezpečených pôžičiek alebo transakcií kapitálového trhu,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28 ods. 3 delegovaného nariadenia Komisie (EÚ) 2015/61,</w:t>
            </w:r>
            <w:r w:rsidR="00A3389E">
              <w:rPr>
                <w:rFonts w:ascii="Times New Roman" w:hAnsi="Times New Roman" w:cs="Times New Roman"/>
                <w:sz w:val="24"/>
              </w:rPr>
              <w:t xml:space="preserve"> a </w:t>
            </w:r>
            <w:r w:rsidRPr="00A3389E">
              <w:rPr>
                <w:rFonts w:ascii="Times New Roman" w:hAnsi="Times New Roman" w:cs="Times New Roman"/>
                <w:sz w:val="24"/>
              </w:rPr>
              <w:t>zo swapov na kolaterál</w:t>
            </w:r>
            <w:r w:rsidR="00A3389E">
              <w:rPr>
                <w:rFonts w:ascii="Times New Roman" w:hAnsi="Times New Roman" w:cs="Times New Roman"/>
                <w:sz w:val="24"/>
              </w:rPr>
              <w:t xml:space="preserve"> a </w:t>
            </w:r>
            <w:r w:rsidRPr="00A3389E">
              <w:rPr>
                <w:rFonts w:ascii="Times New Roman" w:hAnsi="Times New Roman" w:cs="Times New Roman"/>
                <w:sz w:val="24"/>
              </w:rPr>
              <w:t>iných transakcií</w:t>
            </w:r>
            <w:r w:rsidR="00A3389E">
              <w:rPr>
                <w:rFonts w:ascii="Times New Roman" w:hAnsi="Times New Roman" w:cs="Times New Roman"/>
                <w:sz w:val="24"/>
              </w:rPr>
              <w:t xml:space="preserve"> s </w:t>
            </w:r>
            <w:r w:rsidRPr="00A3389E">
              <w:rPr>
                <w:rFonts w:ascii="Times New Roman" w:hAnsi="Times New Roman" w:cs="Times New Roman"/>
                <w:sz w:val="24"/>
              </w:rPr>
              <w:t>podobnou formou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28 ods. 4 delegovaného nariadenia Komisie (EÚ) 2015/61.</w:t>
            </w:r>
          </w:p>
        </w:tc>
      </w:tr>
      <w:tr w:rsidR="001E06A3" w:rsidRPr="00A3389E" w14:paraId="66AC1D00" w14:textId="77777777" w:rsidTr="001E06A3">
        <w:trPr>
          <w:trHeight w:val="316"/>
        </w:trPr>
        <w:tc>
          <w:tcPr>
            <w:tcW w:w="1384" w:type="dxa"/>
          </w:tcPr>
          <w:p w14:paraId="397631D3"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10</w:t>
            </w:r>
          </w:p>
        </w:tc>
        <w:tc>
          <w:tcPr>
            <w:tcW w:w="7655" w:type="dxa"/>
          </w:tcPr>
          <w:p w14:paraId="06623FE0" w14:textId="77777777" w:rsidR="001E06A3" w:rsidRPr="00A3389E" w:rsidRDefault="001E06A3" w:rsidP="001E06A3">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Dodatočné požiadavky</w:t>
            </w:r>
          </w:p>
          <w:p w14:paraId="02392E26" w14:textId="15530CC4" w:rsidR="001E06A3" w:rsidRPr="00A3389E" w:rsidRDefault="001E06A3" w:rsidP="001E06A3">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Inštitúcie zverejňujú súčty nevážených</w:t>
            </w:r>
            <w:r w:rsidR="00A3389E">
              <w:rPr>
                <w:rFonts w:ascii="Times New Roman" w:hAnsi="Times New Roman" w:cs="Times New Roman"/>
                <w:sz w:val="24"/>
              </w:rPr>
              <w:t xml:space="preserve"> a </w:t>
            </w:r>
            <w:r w:rsidRPr="00A3389E">
              <w:rPr>
                <w:rFonts w:ascii="Times New Roman" w:hAnsi="Times New Roman" w:cs="Times New Roman"/>
                <w:sz w:val="24"/>
              </w:rPr>
              <w:t>vážených hodnôt, ktoré treba zverejniť</w:t>
            </w:r>
            <w:r w:rsidR="00A3389E">
              <w:rPr>
                <w:rFonts w:ascii="Times New Roman" w:hAnsi="Times New Roman" w:cs="Times New Roman"/>
                <w:sz w:val="24"/>
              </w:rPr>
              <w:t xml:space="preserve"> v </w:t>
            </w:r>
            <w:r w:rsidRPr="00A3389E">
              <w:rPr>
                <w:rFonts w:ascii="Times New Roman" w:hAnsi="Times New Roman" w:cs="Times New Roman"/>
                <w:sz w:val="24"/>
              </w:rPr>
              <w:t>riadku 11 „Záporné peňažné toky súvisiace</w:t>
            </w:r>
            <w:r w:rsidR="00A3389E">
              <w:rPr>
                <w:rFonts w:ascii="Times New Roman" w:hAnsi="Times New Roman" w:cs="Times New Roman"/>
                <w:sz w:val="24"/>
              </w:rPr>
              <w:t xml:space="preserve"> s </w:t>
            </w:r>
            <w:r w:rsidRPr="00A3389E">
              <w:rPr>
                <w:rFonts w:ascii="Times New Roman" w:hAnsi="Times New Roman" w:cs="Times New Roman"/>
                <w:sz w:val="24"/>
              </w:rPr>
              <w:t>derivátovými expozíciami</w:t>
            </w:r>
            <w:r w:rsidR="00A3389E">
              <w:rPr>
                <w:rFonts w:ascii="Times New Roman" w:hAnsi="Times New Roman" w:cs="Times New Roman"/>
                <w:sz w:val="24"/>
              </w:rPr>
              <w:t xml:space="preserve"> a </w:t>
            </w:r>
            <w:r w:rsidRPr="00A3389E">
              <w:rPr>
                <w:rFonts w:ascii="Times New Roman" w:hAnsi="Times New Roman" w:cs="Times New Roman"/>
                <w:sz w:val="24"/>
              </w:rPr>
              <w:t>inými požiadavkami na kolaterál“,</w:t>
            </w:r>
            <w:r w:rsidR="00A3389E">
              <w:rPr>
                <w:rFonts w:ascii="Times New Roman" w:hAnsi="Times New Roman" w:cs="Times New Roman"/>
                <w:sz w:val="24"/>
              </w:rPr>
              <w:t xml:space="preserve"> v </w:t>
            </w:r>
            <w:r w:rsidRPr="00A3389E">
              <w:rPr>
                <w:rFonts w:ascii="Times New Roman" w:hAnsi="Times New Roman" w:cs="Times New Roman"/>
                <w:sz w:val="24"/>
              </w:rPr>
              <w:t>riadku 12 „Záporné peňažné toky súvisiace so stratou financovania pri dlhových produktoch“</w:t>
            </w:r>
            <w:r w:rsidR="00A3389E">
              <w:rPr>
                <w:rFonts w:ascii="Times New Roman" w:hAnsi="Times New Roman" w:cs="Times New Roman"/>
                <w:sz w:val="24"/>
              </w:rPr>
              <w:t xml:space="preserve"> a v </w:t>
            </w:r>
            <w:r w:rsidRPr="00A3389E">
              <w:rPr>
                <w:rFonts w:ascii="Times New Roman" w:hAnsi="Times New Roman" w:cs="Times New Roman"/>
                <w:sz w:val="24"/>
              </w:rPr>
              <w:t>riadku 13 „Kreditné facility</w:t>
            </w:r>
            <w:r w:rsidR="00A3389E">
              <w:rPr>
                <w:rFonts w:ascii="Times New Roman" w:hAnsi="Times New Roman" w:cs="Times New Roman"/>
                <w:sz w:val="24"/>
              </w:rPr>
              <w:t xml:space="preserve"> a </w:t>
            </w:r>
            <w:r w:rsidRPr="00A3389E">
              <w:rPr>
                <w:rFonts w:ascii="Times New Roman" w:hAnsi="Times New Roman" w:cs="Times New Roman"/>
                <w:sz w:val="24"/>
              </w:rPr>
              <w:t>nástroje likvidity“ tohto vzoru.</w:t>
            </w:r>
          </w:p>
        </w:tc>
      </w:tr>
      <w:tr w:rsidR="001E06A3" w:rsidRPr="00A3389E" w14:paraId="677BEA7A" w14:textId="77777777" w:rsidTr="001E06A3">
        <w:trPr>
          <w:trHeight w:val="316"/>
        </w:trPr>
        <w:tc>
          <w:tcPr>
            <w:tcW w:w="1384" w:type="dxa"/>
          </w:tcPr>
          <w:p w14:paraId="73E187DA"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11</w:t>
            </w:r>
          </w:p>
        </w:tc>
        <w:tc>
          <w:tcPr>
            <w:tcW w:w="7655" w:type="dxa"/>
          </w:tcPr>
          <w:p w14:paraId="2E25BAE5" w14:textId="3E508B29" w:rsidR="001E06A3" w:rsidRPr="00A3389E" w:rsidRDefault="001E06A3"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b/>
                <w:sz w:val="24"/>
              </w:rPr>
              <w:t>Záporné peňažné toky súvisiace</w:t>
            </w:r>
            <w:r w:rsidR="00A3389E">
              <w:rPr>
                <w:rFonts w:ascii="Times New Roman" w:hAnsi="Times New Roman" w:cs="Times New Roman"/>
                <w:b/>
                <w:sz w:val="24"/>
              </w:rPr>
              <w:t xml:space="preserve"> s </w:t>
            </w:r>
            <w:r w:rsidRPr="00A3389E">
              <w:rPr>
                <w:rFonts w:ascii="Times New Roman" w:hAnsi="Times New Roman" w:cs="Times New Roman"/>
                <w:b/>
                <w:sz w:val="24"/>
              </w:rPr>
              <w:t>derivátovými expozíciami</w:t>
            </w:r>
            <w:r w:rsidR="00A3389E">
              <w:rPr>
                <w:rFonts w:ascii="Times New Roman" w:hAnsi="Times New Roman" w:cs="Times New Roman"/>
                <w:b/>
                <w:sz w:val="24"/>
              </w:rPr>
              <w:t xml:space="preserve"> a </w:t>
            </w:r>
            <w:r w:rsidRPr="00A3389E">
              <w:rPr>
                <w:rFonts w:ascii="Times New Roman" w:hAnsi="Times New Roman" w:cs="Times New Roman"/>
                <w:b/>
                <w:sz w:val="24"/>
              </w:rPr>
              <w:t>inými požiadavkami na kolaterál</w:t>
            </w:r>
          </w:p>
          <w:p w14:paraId="787FB10A" w14:textId="5DA1EFD1"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lastRenderedPageBreak/>
              <w:t>Inštitúcie ako neváženú hodnotu zverejňujú súčet nasledujúcich súm</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súčet nasledujúcich záporných peňažných tokov:</w:t>
            </w:r>
          </w:p>
          <w:p w14:paraId="55B7C245" w14:textId="1E1A3475"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Trhová hodnota</w:t>
            </w:r>
            <w:r>
              <w:rPr>
                <w:rFonts w:ascii="Times New Roman" w:hAnsi="Times New Roman"/>
                <w:sz w:val="24"/>
              </w:rPr>
              <w:t xml:space="preserve"> a </w:t>
            </w:r>
            <w:r w:rsidR="001E06A3" w:rsidRPr="00A3389E">
              <w:rPr>
                <w:rFonts w:ascii="Times New Roman" w:hAnsi="Times New Roman"/>
                <w:sz w:val="24"/>
              </w:rPr>
              <w:t>príslušné záporné peňažné toky kolaterálu iného než kolaterál úrovne 1, ktorý je zložený pre zmluvy uvedené</w:t>
            </w:r>
            <w:r>
              <w:rPr>
                <w:rFonts w:ascii="Times New Roman" w:hAnsi="Times New Roman"/>
                <w:sz w:val="24"/>
              </w:rPr>
              <w:t xml:space="preserve"> v </w:t>
            </w:r>
            <w:r w:rsidR="001E06A3" w:rsidRPr="00A3389E">
              <w:rPr>
                <w:rFonts w:ascii="Times New Roman" w:hAnsi="Times New Roman"/>
                <w:sz w:val="24"/>
              </w:rPr>
              <w:t>prílohe II</w:t>
            </w:r>
            <w:r>
              <w:rPr>
                <w:rFonts w:ascii="Times New Roman" w:hAnsi="Times New Roman"/>
                <w:sz w:val="24"/>
              </w:rPr>
              <w:t xml:space="preserve"> k </w:t>
            </w:r>
            <w:r w:rsidR="001E06A3" w:rsidRPr="00A3389E">
              <w:rPr>
                <w:rFonts w:ascii="Times New Roman" w:hAnsi="Times New Roman"/>
                <w:sz w:val="24"/>
              </w:rPr>
              <w:t>CRR</w:t>
            </w:r>
            <w:r>
              <w:rPr>
                <w:rFonts w:ascii="Times New Roman" w:hAnsi="Times New Roman"/>
                <w:sz w:val="24"/>
              </w:rPr>
              <w:t xml:space="preserve"> a </w:t>
            </w:r>
            <w:r w:rsidR="001E06A3" w:rsidRPr="00A3389E">
              <w:rPr>
                <w:rFonts w:ascii="Times New Roman" w:hAnsi="Times New Roman"/>
                <w:sz w:val="24"/>
              </w:rPr>
              <w:t>kreditné deriváty, podľa článku 30 ods. 1 delegovaného nariadenia Komisie (EÚ) 2015/61.</w:t>
            </w:r>
          </w:p>
          <w:p w14:paraId="05A4B1CD" w14:textId="33A6E12E" w:rsidR="001E06A3" w:rsidRPr="00023CBA" w:rsidRDefault="00A3389E" w:rsidP="00A3389E">
            <w:pPr>
              <w:autoSpaceDE w:val="0"/>
              <w:autoSpaceDN w:val="0"/>
              <w:adjustRightInd w:val="0"/>
              <w:spacing w:after="120"/>
              <w:ind w:left="720" w:hanging="360"/>
              <w:contextualSpacing/>
              <w:jc w:val="both"/>
              <w:rPr>
                <w:rFonts w:ascii="Times New Roman" w:hAnsi="Times New Roman"/>
                <w:spacing w:val="-4"/>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023CBA">
              <w:rPr>
                <w:rFonts w:ascii="Times New Roman" w:hAnsi="Times New Roman"/>
                <w:spacing w:val="-4"/>
                <w:sz w:val="24"/>
              </w:rPr>
              <w:t>Trhová hodnota</w:t>
            </w:r>
            <w:r w:rsidRPr="00023CBA">
              <w:rPr>
                <w:rFonts w:ascii="Times New Roman" w:hAnsi="Times New Roman"/>
                <w:spacing w:val="-4"/>
                <w:sz w:val="24"/>
              </w:rPr>
              <w:t xml:space="preserve"> a </w:t>
            </w:r>
            <w:r w:rsidR="001E06A3" w:rsidRPr="00023CBA">
              <w:rPr>
                <w:rFonts w:ascii="Times New Roman" w:hAnsi="Times New Roman"/>
                <w:spacing w:val="-4"/>
                <w:sz w:val="24"/>
              </w:rPr>
              <w:t>príslušné záporné peňažné toky kolaterálu vo forme aktív krytých dlhopisov mimoriadne vysokej kvality (EHQ) úrovne 1, ktorý je zložený pre zmluvy uvedené</w:t>
            </w:r>
            <w:r w:rsidRPr="00023CBA">
              <w:rPr>
                <w:rFonts w:ascii="Times New Roman" w:hAnsi="Times New Roman"/>
                <w:spacing w:val="-4"/>
                <w:sz w:val="24"/>
              </w:rPr>
              <w:t xml:space="preserve"> v </w:t>
            </w:r>
            <w:r w:rsidR="001E06A3" w:rsidRPr="00023CBA">
              <w:rPr>
                <w:rFonts w:ascii="Times New Roman" w:hAnsi="Times New Roman"/>
                <w:spacing w:val="-4"/>
                <w:sz w:val="24"/>
              </w:rPr>
              <w:t>prílohe II</w:t>
            </w:r>
            <w:r w:rsidRPr="00023CBA">
              <w:rPr>
                <w:rFonts w:ascii="Times New Roman" w:hAnsi="Times New Roman"/>
                <w:spacing w:val="-4"/>
                <w:sz w:val="24"/>
              </w:rPr>
              <w:t xml:space="preserve"> k </w:t>
            </w:r>
            <w:r w:rsidR="001E06A3" w:rsidRPr="00023CBA">
              <w:rPr>
                <w:rFonts w:ascii="Times New Roman" w:hAnsi="Times New Roman"/>
                <w:spacing w:val="-4"/>
                <w:sz w:val="24"/>
              </w:rPr>
              <w:t>CRR</w:t>
            </w:r>
            <w:r w:rsidRPr="00023CBA">
              <w:rPr>
                <w:rFonts w:ascii="Times New Roman" w:hAnsi="Times New Roman"/>
                <w:spacing w:val="-4"/>
                <w:sz w:val="24"/>
              </w:rPr>
              <w:t xml:space="preserve"> a </w:t>
            </w:r>
            <w:r w:rsidR="001E06A3" w:rsidRPr="00023CBA">
              <w:rPr>
                <w:rFonts w:ascii="Times New Roman" w:hAnsi="Times New Roman"/>
                <w:spacing w:val="-4"/>
                <w:sz w:val="24"/>
              </w:rPr>
              <w:t>kreditné deriváty, podľa článku 30 ods. 1 delegovaného nariadenia Komisie (EÚ) 2015/61.</w:t>
            </w:r>
          </w:p>
          <w:p w14:paraId="4EDF0AC3" w14:textId="00D39FD4" w:rsidR="00A3389E" w:rsidRPr="00023CBA" w:rsidRDefault="00A3389E" w:rsidP="00A3389E">
            <w:pPr>
              <w:autoSpaceDE w:val="0"/>
              <w:autoSpaceDN w:val="0"/>
              <w:adjustRightInd w:val="0"/>
              <w:spacing w:after="120"/>
              <w:ind w:left="720" w:hanging="360"/>
              <w:contextualSpacing/>
              <w:jc w:val="both"/>
              <w:rPr>
                <w:rFonts w:ascii="Times New Roman" w:hAnsi="Times New Roman"/>
                <w:spacing w:val="-4"/>
                <w:sz w:val="24"/>
              </w:rPr>
            </w:pPr>
            <w:r w:rsidRPr="00023CBA">
              <w:rPr>
                <w:rFonts w:ascii="Symbol" w:eastAsia="Calibri" w:hAnsi="Symbol" w:cs="Times New Roman"/>
                <w:spacing w:val="-4"/>
                <w:sz w:val="24"/>
                <w:szCs w:val="22"/>
              </w:rPr>
              <w:t></w:t>
            </w:r>
            <w:r w:rsidRPr="00023CBA">
              <w:rPr>
                <w:rFonts w:ascii="Symbol" w:eastAsia="Calibri" w:hAnsi="Symbol" w:cs="Times New Roman"/>
                <w:spacing w:val="-4"/>
                <w:sz w:val="24"/>
                <w:szCs w:val="22"/>
              </w:rPr>
              <w:tab/>
            </w:r>
            <w:r w:rsidR="001E06A3" w:rsidRPr="00023CBA">
              <w:rPr>
                <w:rFonts w:ascii="Times New Roman" w:hAnsi="Times New Roman"/>
                <w:spacing w:val="-4"/>
                <w:sz w:val="24"/>
              </w:rPr>
              <w:t>Celková výška dodatočných záporných peňažných tokov vypočítaná</w:t>
            </w:r>
            <w:r w:rsidRPr="00023CBA">
              <w:rPr>
                <w:rFonts w:ascii="Times New Roman" w:hAnsi="Times New Roman"/>
                <w:spacing w:val="-4"/>
                <w:sz w:val="24"/>
              </w:rPr>
              <w:t xml:space="preserve"> a </w:t>
            </w:r>
            <w:r w:rsidR="001E06A3" w:rsidRPr="00023CBA">
              <w:rPr>
                <w:rFonts w:ascii="Times New Roman" w:hAnsi="Times New Roman"/>
                <w:spacing w:val="-4"/>
                <w:sz w:val="24"/>
              </w:rPr>
              <w:t>oznámená príslušným orgánom</w:t>
            </w:r>
            <w:r w:rsidRPr="00023CBA">
              <w:rPr>
                <w:rFonts w:ascii="Times New Roman" w:hAnsi="Times New Roman"/>
                <w:spacing w:val="-4"/>
                <w:sz w:val="24"/>
              </w:rPr>
              <w:t xml:space="preserve"> v </w:t>
            </w:r>
            <w:r w:rsidR="001E06A3" w:rsidRPr="00023CBA">
              <w:rPr>
                <w:rFonts w:ascii="Times New Roman" w:hAnsi="Times New Roman"/>
                <w:spacing w:val="-4"/>
                <w:sz w:val="24"/>
              </w:rPr>
              <w:t>súlade</w:t>
            </w:r>
            <w:r w:rsidRPr="00023CBA">
              <w:rPr>
                <w:rFonts w:ascii="Times New Roman" w:hAnsi="Times New Roman"/>
                <w:spacing w:val="-4"/>
                <w:sz w:val="24"/>
              </w:rPr>
              <w:t xml:space="preserve"> s </w:t>
            </w:r>
            <w:r w:rsidR="001E06A3" w:rsidRPr="00023CBA">
              <w:rPr>
                <w:rFonts w:ascii="Times New Roman" w:hAnsi="Times New Roman"/>
                <w:spacing w:val="-4"/>
                <w:sz w:val="24"/>
              </w:rPr>
              <w:t>článkom 30 ods. 2 delegovaného nariadenia Komisie (EÚ) 2015/61 ako významné záporné peňažné toky</w:t>
            </w:r>
            <w:r w:rsidRPr="00023CBA">
              <w:rPr>
                <w:rFonts w:ascii="Times New Roman" w:hAnsi="Times New Roman"/>
                <w:spacing w:val="-4"/>
                <w:sz w:val="24"/>
              </w:rPr>
              <w:t xml:space="preserve"> v </w:t>
            </w:r>
            <w:r w:rsidR="001E06A3" w:rsidRPr="00023CBA">
              <w:rPr>
                <w:rFonts w:ascii="Times New Roman" w:hAnsi="Times New Roman"/>
                <w:spacing w:val="-4"/>
                <w:sz w:val="24"/>
              </w:rPr>
              <w:t>dôsledku zhoršenia vlastnej kreditnej kvality</w:t>
            </w:r>
            <w:r w:rsidRPr="00023CBA">
              <w:rPr>
                <w:rFonts w:ascii="Times New Roman" w:hAnsi="Times New Roman"/>
                <w:spacing w:val="-4"/>
                <w:sz w:val="24"/>
              </w:rPr>
              <w:t>.</w:t>
            </w:r>
          </w:p>
          <w:p w14:paraId="02B212FA" w14:textId="192ED09A" w:rsidR="001E06A3" w:rsidRPr="00023CBA" w:rsidRDefault="00A3389E" w:rsidP="00A3389E">
            <w:pPr>
              <w:autoSpaceDE w:val="0"/>
              <w:autoSpaceDN w:val="0"/>
              <w:adjustRightInd w:val="0"/>
              <w:spacing w:after="120"/>
              <w:ind w:left="720" w:hanging="360"/>
              <w:contextualSpacing/>
              <w:jc w:val="both"/>
              <w:rPr>
                <w:rFonts w:ascii="Times New Roman" w:hAnsi="Times New Roman"/>
                <w:spacing w:val="-4"/>
                <w:sz w:val="24"/>
              </w:rPr>
            </w:pPr>
            <w:r w:rsidRPr="00023CBA">
              <w:rPr>
                <w:rFonts w:ascii="Symbol" w:eastAsia="Calibri" w:hAnsi="Symbol" w:cs="Times New Roman"/>
                <w:spacing w:val="-4"/>
                <w:sz w:val="24"/>
                <w:szCs w:val="22"/>
              </w:rPr>
              <w:t></w:t>
            </w:r>
            <w:r w:rsidRPr="00023CBA">
              <w:rPr>
                <w:rFonts w:ascii="Symbol" w:eastAsia="Calibri" w:hAnsi="Symbol" w:cs="Times New Roman"/>
                <w:spacing w:val="-4"/>
                <w:sz w:val="24"/>
                <w:szCs w:val="22"/>
              </w:rPr>
              <w:tab/>
            </w:r>
            <w:r w:rsidR="001E06A3" w:rsidRPr="00023CBA">
              <w:rPr>
                <w:rFonts w:ascii="Times New Roman" w:hAnsi="Times New Roman"/>
                <w:spacing w:val="-4"/>
                <w:sz w:val="24"/>
              </w:rPr>
              <w:t>Výška záporných peňažných tokov vyplývajúcich</w:t>
            </w:r>
            <w:r w:rsidRPr="00023CBA">
              <w:rPr>
                <w:rFonts w:ascii="Times New Roman" w:hAnsi="Times New Roman"/>
                <w:spacing w:val="-4"/>
                <w:sz w:val="24"/>
              </w:rPr>
              <w:t xml:space="preserve"> z </w:t>
            </w:r>
            <w:r w:rsidR="001E06A3" w:rsidRPr="00023CBA">
              <w:rPr>
                <w:rFonts w:ascii="Times New Roman" w:hAnsi="Times New Roman"/>
                <w:spacing w:val="-4"/>
                <w:sz w:val="24"/>
              </w:rPr>
              <w:t>vplyvu negatívneho trhového scenára na derivátové transakcie, ako sa stanovuje</w:t>
            </w:r>
            <w:r w:rsidRPr="00023CBA">
              <w:rPr>
                <w:rFonts w:ascii="Times New Roman" w:hAnsi="Times New Roman"/>
                <w:spacing w:val="-4"/>
                <w:sz w:val="24"/>
              </w:rPr>
              <w:t xml:space="preserve"> v </w:t>
            </w:r>
            <w:r w:rsidR="001E06A3" w:rsidRPr="00023CBA">
              <w:rPr>
                <w:rFonts w:ascii="Times New Roman" w:hAnsi="Times New Roman"/>
                <w:spacing w:val="-4"/>
                <w:sz w:val="24"/>
              </w:rPr>
              <w:t>článku 30 ods. 3 delegovaného nariadenia Komisie (EÚ) 2015/61</w:t>
            </w:r>
            <w:r w:rsidRPr="00023CBA">
              <w:rPr>
                <w:rFonts w:ascii="Times New Roman" w:hAnsi="Times New Roman"/>
                <w:spacing w:val="-4"/>
                <w:sz w:val="24"/>
              </w:rPr>
              <w:t xml:space="preserve"> a </w:t>
            </w:r>
            <w:r w:rsidR="001E06A3" w:rsidRPr="00023CBA">
              <w:rPr>
                <w:rFonts w:ascii="Times New Roman" w:hAnsi="Times New Roman"/>
                <w:spacing w:val="-4"/>
                <w:sz w:val="24"/>
              </w:rPr>
              <w:t>ako je vypočítaná</w:t>
            </w:r>
            <w:r w:rsidRPr="00023CBA">
              <w:rPr>
                <w:rFonts w:ascii="Times New Roman" w:hAnsi="Times New Roman"/>
                <w:spacing w:val="-4"/>
                <w:sz w:val="24"/>
              </w:rPr>
              <w:t xml:space="preserve"> v </w:t>
            </w:r>
            <w:r w:rsidR="001E06A3" w:rsidRPr="00023CBA">
              <w:rPr>
                <w:rFonts w:ascii="Times New Roman" w:hAnsi="Times New Roman"/>
                <w:spacing w:val="-4"/>
                <w:sz w:val="24"/>
              </w:rPr>
              <w:t>súlade</w:t>
            </w:r>
            <w:r w:rsidRPr="00023CBA">
              <w:rPr>
                <w:rFonts w:ascii="Times New Roman" w:hAnsi="Times New Roman"/>
                <w:spacing w:val="-4"/>
                <w:sz w:val="24"/>
              </w:rPr>
              <w:t xml:space="preserve"> s </w:t>
            </w:r>
            <w:r w:rsidR="001E06A3" w:rsidRPr="00023CBA">
              <w:rPr>
                <w:rFonts w:ascii="Times New Roman" w:hAnsi="Times New Roman"/>
                <w:spacing w:val="-4"/>
                <w:sz w:val="24"/>
              </w:rPr>
              <w:t>delegovaným nariadením Komisie (EÚ) 2017/208</w:t>
            </w:r>
            <w:r w:rsidR="001E06A3" w:rsidRPr="00023CBA">
              <w:rPr>
                <w:rStyle w:val="FootnoteReference"/>
                <w:rFonts w:ascii="Times New Roman" w:hAnsi="Times New Roman" w:cs="Times New Roman"/>
                <w:spacing w:val="-4"/>
                <w:sz w:val="24"/>
              </w:rPr>
              <w:footnoteReference w:id="25"/>
            </w:r>
            <w:r w:rsidR="001E06A3" w:rsidRPr="00023CBA">
              <w:rPr>
                <w:rFonts w:ascii="Times New Roman" w:hAnsi="Times New Roman"/>
                <w:spacing w:val="-4"/>
                <w:sz w:val="24"/>
              </w:rPr>
              <w:t>.</w:t>
            </w:r>
          </w:p>
          <w:p w14:paraId="46C45B90" w14:textId="323E90C4" w:rsidR="00A3389E" w:rsidRPr="00023CBA" w:rsidRDefault="00A3389E" w:rsidP="00A3389E">
            <w:pPr>
              <w:autoSpaceDE w:val="0"/>
              <w:autoSpaceDN w:val="0"/>
              <w:adjustRightInd w:val="0"/>
              <w:spacing w:after="120"/>
              <w:ind w:left="720" w:hanging="360"/>
              <w:contextualSpacing/>
              <w:jc w:val="both"/>
              <w:rPr>
                <w:rFonts w:ascii="Times New Roman" w:hAnsi="Times New Roman"/>
                <w:spacing w:val="-4"/>
                <w:sz w:val="24"/>
              </w:rPr>
            </w:pPr>
            <w:r w:rsidRPr="00023CBA">
              <w:rPr>
                <w:rFonts w:ascii="Symbol" w:eastAsia="Calibri" w:hAnsi="Symbol" w:cs="Times New Roman"/>
                <w:spacing w:val="-4"/>
                <w:sz w:val="24"/>
                <w:szCs w:val="22"/>
              </w:rPr>
              <w:t></w:t>
            </w:r>
            <w:r w:rsidRPr="00023CBA">
              <w:rPr>
                <w:rFonts w:ascii="Symbol" w:eastAsia="Calibri" w:hAnsi="Symbol" w:cs="Times New Roman"/>
                <w:spacing w:val="-4"/>
                <w:sz w:val="24"/>
                <w:szCs w:val="22"/>
              </w:rPr>
              <w:tab/>
            </w:r>
            <w:r w:rsidR="001E06A3" w:rsidRPr="00023CBA">
              <w:rPr>
                <w:rFonts w:ascii="Times New Roman" w:hAnsi="Times New Roman"/>
                <w:spacing w:val="-4"/>
                <w:sz w:val="24"/>
              </w:rPr>
              <w:t>Výška záporných peňažných tokov očakávaných počas 30 kalendárnych dní zo zmlúv uvedených</w:t>
            </w:r>
            <w:r w:rsidRPr="00023CBA">
              <w:rPr>
                <w:rFonts w:ascii="Times New Roman" w:hAnsi="Times New Roman"/>
                <w:spacing w:val="-4"/>
                <w:sz w:val="24"/>
              </w:rPr>
              <w:t xml:space="preserve"> v </w:t>
            </w:r>
            <w:r w:rsidR="001E06A3" w:rsidRPr="00023CBA">
              <w:rPr>
                <w:rFonts w:ascii="Times New Roman" w:hAnsi="Times New Roman"/>
                <w:spacing w:val="-4"/>
                <w:sz w:val="24"/>
              </w:rPr>
              <w:t>prílohe II</w:t>
            </w:r>
            <w:r w:rsidRPr="00023CBA">
              <w:rPr>
                <w:rFonts w:ascii="Times New Roman" w:hAnsi="Times New Roman"/>
                <w:spacing w:val="-4"/>
                <w:sz w:val="24"/>
              </w:rPr>
              <w:t xml:space="preserve"> k </w:t>
            </w:r>
            <w:r w:rsidR="001E06A3" w:rsidRPr="00023CBA">
              <w:rPr>
                <w:rFonts w:ascii="Times New Roman" w:hAnsi="Times New Roman"/>
                <w:spacing w:val="-4"/>
                <w:sz w:val="24"/>
              </w:rPr>
              <w:t>CRR</w:t>
            </w:r>
            <w:r w:rsidRPr="00023CBA">
              <w:rPr>
                <w:rFonts w:ascii="Times New Roman" w:hAnsi="Times New Roman"/>
                <w:spacing w:val="-4"/>
                <w:sz w:val="24"/>
              </w:rPr>
              <w:t xml:space="preserve"> a z </w:t>
            </w:r>
            <w:r w:rsidR="001E06A3" w:rsidRPr="00023CBA">
              <w:rPr>
                <w:rFonts w:ascii="Times New Roman" w:hAnsi="Times New Roman"/>
                <w:spacing w:val="-4"/>
                <w:sz w:val="24"/>
              </w:rPr>
              <w:t>kreditných derivátov, ako sa stanovuje</w:t>
            </w:r>
            <w:r w:rsidRPr="00023CBA">
              <w:rPr>
                <w:rFonts w:ascii="Times New Roman" w:hAnsi="Times New Roman"/>
                <w:spacing w:val="-4"/>
                <w:sz w:val="24"/>
              </w:rPr>
              <w:t xml:space="preserve"> v </w:t>
            </w:r>
            <w:r w:rsidR="001E06A3" w:rsidRPr="00023CBA">
              <w:rPr>
                <w:rFonts w:ascii="Times New Roman" w:hAnsi="Times New Roman"/>
                <w:spacing w:val="-4"/>
                <w:sz w:val="24"/>
              </w:rPr>
              <w:t>článku 30 ods. 4 delegovaného nariadenia Komisie (EÚ) 2015/61</w:t>
            </w:r>
            <w:r w:rsidRPr="00023CBA">
              <w:rPr>
                <w:rFonts w:ascii="Times New Roman" w:hAnsi="Times New Roman"/>
                <w:spacing w:val="-4"/>
                <w:sz w:val="24"/>
              </w:rPr>
              <w:t xml:space="preserve"> a </w:t>
            </w:r>
            <w:r w:rsidR="001E06A3" w:rsidRPr="00023CBA">
              <w:rPr>
                <w:rFonts w:ascii="Times New Roman" w:hAnsi="Times New Roman"/>
                <w:spacing w:val="-4"/>
                <w:sz w:val="24"/>
              </w:rPr>
              <w:t>ako je vypočítaná</w:t>
            </w:r>
            <w:r w:rsidRPr="00023CBA">
              <w:rPr>
                <w:rFonts w:ascii="Times New Roman" w:hAnsi="Times New Roman"/>
                <w:spacing w:val="-4"/>
                <w:sz w:val="24"/>
              </w:rPr>
              <w:t xml:space="preserve"> v </w:t>
            </w:r>
            <w:r w:rsidR="001E06A3" w:rsidRPr="00023CBA">
              <w:rPr>
                <w:rFonts w:ascii="Times New Roman" w:hAnsi="Times New Roman"/>
                <w:spacing w:val="-4"/>
                <w:sz w:val="24"/>
              </w:rPr>
              <w:t>súlade</w:t>
            </w:r>
            <w:r w:rsidRPr="00023CBA">
              <w:rPr>
                <w:rFonts w:ascii="Times New Roman" w:hAnsi="Times New Roman"/>
                <w:spacing w:val="-4"/>
                <w:sz w:val="24"/>
              </w:rPr>
              <w:t xml:space="preserve"> s </w:t>
            </w:r>
            <w:r w:rsidR="001E06A3" w:rsidRPr="00023CBA">
              <w:rPr>
                <w:rFonts w:ascii="Times New Roman" w:hAnsi="Times New Roman"/>
                <w:spacing w:val="-4"/>
                <w:sz w:val="24"/>
              </w:rPr>
              <w:t>článkom 21 delegovaného nariadenia Komisie (EÚ) 2015/61</w:t>
            </w:r>
            <w:r w:rsidRPr="00023CBA">
              <w:rPr>
                <w:rFonts w:ascii="Times New Roman" w:hAnsi="Times New Roman"/>
                <w:spacing w:val="-4"/>
                <w:sz w:val="24"/>
              </w:rPr>
              <w:t>.</w:t>
            </w:r>
          </w:p>
          <w:p w14:paraId="7ED2F7E1" w14:textId="43DDC40A" w:rsidR="00A3389E" w:rsidRPr="00023CBA" w:rsidRDefault="00A3389E" w:rsidP="00A3389E">
            <w:pPr>
              <w:autoSpaceDE w:val="0"/>
              <w:autoSpaceDN w:val="0"/>
              <w:adjustRightInd w:val="0"/>
              <w:spacing w:after="120"/>
              <w:ind w:left="720" w:hanging="360"/>
              <w:contextualSpacing/>
              <w:jc w:val="both"/>
              <w:rPr>
                <w:rFonts w:ascii="Times New Roman" w:hAnsi="Times New Roman"/>
                <w:spacing w:val="-4"/>
                <w:sz w:val="24"/>
              </w:rPr>
            </w:pPr>
            <w:r w:rsidRPr="00023CBA">
              <w:rPr>
                <w:rFonts w:ascii="Symbol" w:eastAsia="Calibri" w:hAnsi="Symbol" w:cs="Times New Roman"/>
                <w:spacing w:val="-4"/>
                <w:sz w:val="24"/>
                <w:szCs w:val="22"/>
              </w:rPr>
              <w:t></w:t>
            </w:r>
            <w:r w:rsidRPr="00023CBA">
              <w:rPr>
                <w:rFonts w:ascii="Symbol" w:eastAsia="Calibri" w:hAnsi="Symbol" w:cs="Times New Roman"/>
                <w:spacing w:val="-4"/>
                <w:sz w:val="24"/>
                <w:szCs w:val="22"/>
              </w:rPr>
              <w:tab/>
            </w:r>
            <w:r w:rsidR="001E06A3" w:rsidRPr="00023CBA">
              <w:rPr>
                <w:rFonts w:ascii="Times New Roman" w:hAnsi="Times New Roman"/>
                <w:spacing w:val="-4"/>
                <w:sz w:val="24"/>
              </w:rPr>
              <w:t>Trhová hodnota</w:t>
            </w:r>
            <w:r w:rsidRPr="00023CBA">
              <w:rPr>
                <w:rFonts w:ascii="Times New Roman" w:hAnsi="Times New Roman"/>
                <w:spacing w:val="-4"/>
                <w:sz w:val="24"/>
              </w:rPr>
              <w:t xml:space="preserve"> a </w:t>
            </w:r>
            <w:r w:rsidR="001E06A3" w:rsidRPr="00023CBA">
              <w:rPr>
                <w:rFonts w:ascii="Times New Roman" w:hAnsi="Times New Roman"/>
                <w:spacing w:val="-4"/>
                <w:sz w:val="24"/>
              </w:rPr>
              <w:t>príslušné záporné peňažné toky nadmerného kolaterálu, ktorý má inštitúcia</w:t>
            </w:r>
            <w:r w:rsidRPr="00023CBA">
              <w:rPr>
                <w:rFonts w:ascii="Times New Roman" w:hAnsi="Times New Roman"/>
                <w:spacing w:val="-4"/>
                <w:sz w:val="24"/>
              </w:rPr>
              <w:t xml:space="preserve"> v </w:t>
            </w:r>
            <w:r w:rsidR="001E06A3" w:rsidRPr="00023CBA">
              <w:rPr>
                <w:rFonts w:ascii="Times New Roman" w:hAnsi="Times New Roman"/>
                <w:spacing w:val="-4"/>
                <w:sz w:val="24"/>
              </w:rPr>
              <w:t>držbe</w:t>
            </w:r>
            <w:r w:rsidRPr="00023CBA">
              <w:rPr>
                <w:rFonts w:ascii="Times New Roman" w:hAnsi="Times New Roman"/>
                <w:spacing w:val="-4"/>
                <w:sz w:val="24"/>
              </w:rPr>
              <w:t xml:space="preserve"> a o </w:t>
            </w:r>
            <w:r w:rsidR="001E06A3" w:rsidRPr="00023CBA">
              <w:rPr>
                <w:rFonts w:ascii="Times New Roman" w:hAnsi="Times New Roman"/>
                <w:spacing w:val="-4"/>
                <w:sz w:val="24"/>
              </w:rPr>
              <w:t>ktorého splatenie na základe zmluvy môže protistrana kedykoľvek požiadať, ako sa stanovuje</w:t>
            </w:r>
            <w:r w:rsidRPr="00023CBA">
              <w:rPr>
                <w:rFonts w:ascii="Times New Roman" w:hAnsi="Times New Roman"/>
                <w:spacing w:val="-4"/>
                <w:sz w:val="24"/>
              </w:rPr>
              <w:t xml:space="preserve"> v </w:t>
            </w:r>
            <w:r w:rsidR="001E06A3" w:rsidRPr="00023CBA">
              <w:rPr>
                <w:rFonts w:ascii="Times New Roman" w:hAnsi="Times New Roman"/>
                <w:spacing w:val="-4"/>
                <w:sz w:val="24"/>
              </w:rPr>
              <w:t>článku 30 ods. 6 písm. a) delegovaného nariadenia Komisie (EÚ) 2015/61</w:t>
            </w:r>
            <w:r w:rsidRPr="00023CBA">
              <w:rPr>
                <w:rFonts w:ascii="Times New Roman" w:hAnsi="Times New Roman"/>
                <w:spacing w:val="-4"/>
                <w:sz w:val="24"/>
              </w:rPr>
              <w:t>.</w:t>
            </w:r>
          </w:p>
          <w:p w14:paraId="085ACD67" w14:textId="51C27115" w:rsidR="00A3389E" w:rsidRPr="00023CBA" w:rsidRDefault="00A3389E" w:rsidP="00A3389E">
            <w:pPr>
              <w:autoSpaceDE w:val="0"/>
              <w:autoSpaceDN w:val="0"/>
              <w:adjustRightInd w:val="0"/>
              <w:spacing w:after="120"/>
              <w:ind w:left="720" w:hanging="360"/>
              <w:contextualSpacing/>
              <w:jc w:val="both"/>
              <w:rPr>
                <w:rFonts w:ascii="Times New Roman" w:hAnsi="Times New Roman"/>
                <w:spacing w:val="-4"/>
                <w:sz w:val="24"/>
              </w:rPr>
            </w:pPr>
            <w:r w:rsidRPr="00023CBA">
              <w:rPr>
                <w:rFonts w:ascii="Symbol" w:eastAsia="Calibri" w:hAnsi="Symbol" w:cs="Times New Roman"/>
                <w:spacing w:val="-4"/>
                <w:sz w:val="24"/>
                <w:szCs w:val="22"/>
              </w:rPr>
              <w:t></w:t>
            </w:r>
            <w:r w:rsidRPr="00023CBA">
              <w:rPr>
                <w:rFonts w:ascii="Symbol" w:eastAsia="Calibri" w:hAnsi="Symbol" w:cs="Times New Roman"/>
                <w:spacing w:val="-4"/>
                <w:sz w:val="24"/>
                <w:szCs w:val="22"/>
              </w:rPr>
              <w:tab/>
            </w:r>
            <w:r w:rsidR="001E06A3" w:rsidRPr="00023CBA">
              <w:rPr>
                <w:rFonts w:ascii="Times New Roman" w:hAnsi="Times New Roman"/>
                <w:spacing w:val="-4"/>
                <w:sz w:val="24"/>
              </w:rPr>
              <w:t>Trhová hodnota</w:t>
            </w:r>
            <w:r w:rsidRPr="00023CBA">
              <w:rPr>
                <w:rFonts w:ascii="Times New Roman" w:hAnsi="Times New Roman"/>
                <w:spacing w:val="-4"/>
                <w:sz w:val="24"/>
              </w:rPr>
              <w:t xml:space="preserve"> a </w:t>
            </w:r>
            <w:r w:rsidR="001E06A3" w:rsidRPr="00023CBA">
              <w:rPr>
                <w:rFonts w:ascii="Times New Roman" w:hAnsi="Times New Roman"/>
                <w:spacing w:val="-4"/>
                <w:sz w:val="24"/>
              </w:rPr>
              <w:t>príslušné záporné peňažné toky kolaterálu, ktorý sa má poskytnúť protistrane do 30 kalendárnych dní, ako sa stanovuje</w:t>
            </w:r>
            <w:r w:rsidRPr="00023CBA">
              <w:rPr>
                <w:rFonts w:ascii="Times New Roman" w:hAnsi="Times New Roman"/>
                <w:spacing w:val="-4"/>
                <w:sz w:val="24"/>
              </w:rPr>
              <w:t xml:space="preserve"> v </w:t>
            </w:r>
            <w:r w:rsidR="001E06A3" w:rsidRPr="00023CBA">
              <w:rPr>
                <w:rFonts w:ascii="Times New Roman" w:hAnsi="Times New Roman"/>
                <w:spacing w:val="-4"/>
                <w:sz w:val="24"/>
              </w:rPr>
              <w:t>článku 30 ods. 6 písm. b) delegovaného nariadenia Komisie (EÚ) 2015/61</w:t>
            </w:r>
            <w:r w:rsidRPr="00023CBA">
              <w:rPr>
                <w:rFonts w:ascii="Times New Roman" w:hAnsi="Times New Roman"/>
                <w:spacing w:val="-4"/>
                <w:sz w:val="24"/>
              </w:rPr>
              <w:t>.</w:t>
            </w:r>
          </w:p>
          <w:p w14:paraId="6D336378" w14:textId="5D957518"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023CBA">
              <w:rPr>
                <w:rFonts w:ascii="Symbol" w:eastAsia="Calibri" w:hAnsi="Symbol" w:cs="Times New Roman"/>
                <w:spacing w:val="-4"/>
                <w:sz w:val="24"/>
                <w:szCs w:val="22"/>
              </w:rPr>
              <w:t></w:t>
            </w:r>
            <w:r w:rsidRPr="00023CBA">
              <w:rPr>
                <w:rFonts w:ascii="Symbol" w:eastAsia="Calibri" w:hAnsi="Symbol" w:cs="Times New Roman"/>
                <w:spacing w:val="-4"/>
                <w:sz w:val="24"/>
                <w:szCs w:val="22"/>
              </w:rPr>
              <w:tab/>
            </w:r>
            <w:r w:rsidR="001E06A3" w:rsidRPr="00023CBA">
              <w:rPr>
                <w:rFonts w:ascii="Times New Roman" w:hAnsi="Times New Roman"/>
                <w:spacing w:val="-4"/>
                <w:sz w:val="24"/>
              </w:rPr>
              <w:t>Trhová hodnota</w:t>
            </w:r>
            <w:r w:rsidRPr="00023CBA">
              <w:rPr>
                <w:rFonts w:ascii="Times New Roman" w:hAnsi="Times New Roman"/>
                <w:spacing w:val="-4"/>
                <w:sz w:val="24"/>
              </w:rPr>
              <w:t xml:space="preserve"> a </w:t>
            </w:r>
            <w:r w:rsidR="001E06A3" w:rsidRPr="00023CBA">
              <w:rPr>
                <w:rFonts w:ascii="Times New Roman" w:hAnsi="Times New Roman"/>
                <w:spacing w:val="-4"/>
                <w:sz w:val="24"/>
              </w:rPr>
              <w:t>príslušné</w:t>
            </w:r>
            <w:r w:rsidR="001E06A3" w:rsidRPr="00A3389E">
              <w:rPr>
                <w:rFonts w:ascii="Times New Roman" w:hAnsi="Times New Roman"/>
                <w:sz w:val="24"/>
              </w:rPr>
              <w:t xml:space="preserve"> záporné peňažné toky kolaterálu, ktorý spĺňa podmienky na vymedzenie ako likvidné aktíva na účely hlavy II delegovaného nariadenia Komisie (EÚ) 2015/61</w:t>
            </w:r>
            <w:r>
              <w:rPr>
                <w:rFonts w:ascii="Times New Roman" w:hAnsi="Times New Roman"/>
                <w:sz w:val="24"/>
              </w:rPr>
              <w:t xml:space="preserve"> a </w:t>
            </w:r>
            <w:r w:rsidR="001E06A3" w:rsidRPr="00A3389E">
              <w:rPr>
                <w:rFonts w:ascii="Times New Roman" w:hAnsi="Times New Roman"/>
                <w:sz w:val="24"/>
              </w:rPr>
              <w:t>ktorý možno nahradiť aktívami zodpovedajúcimi aktívam, ktoré by nespĺňali podmienky na vymedzenie ako likvidné aktíva na účely hlavy II toho istého nariadenia bez súhlasu inštitúcie, ako sa stanovuje</w:t>
            </w:r>
            <w:r>
              <w:rPr>
                <w:rFonts w:ascii="Times New Roman" w:hAnsi="Times New Roman"/>
                <w:sz w:val="24"/>
              </w:rPr>
              <w:t xml:space="preserve"> v </w:t>
            </w:r>
            <w:r w:rsidR="001E06A3" w:rsidRPr="00A3389E">
              <w:rPr>
                <w:rFonts w:ascii="Times New Roman" w:hAnsi="Times New Roman"/>
                <w:sz w:val="24"/>
              </w:rPr>
              <w:t>článku 30 ods. 6 písm. c) delegovaného nariadenia Komisie (EÚ) 2015/61.</w:t>
            </w:r>
          </w:p>
        </w:tc>
      </w:tr>
      <w:tr w:rsidR="001E06A3" w:rsidRPr="00A3389E" w14:paraId="52302D19" w14:textId="77777777" w:rsidTr="001E06A3">
        <w:trPr>
          <w:trHeight w:val="316"/>
        </w:trPr>
        <w:tc>
          <w:tcPr>
            <w:tcW w:w="1384" w:type="dxa"/>
          </w:tcPr>
          <w:p w14:paraId="17DF3C24"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12</w:t>
            </w:r>
          </w:p>
        </w:tc>
        <w:tc>
          <w:tcPr>
            <w:tcW w:w="7655" w:type="dxa"/>
          </w:tcPr>
          <w:p w14:paraId="6A12E12E" w14:textId="77777777" w:rsidR="001E06A3" w:rsidRPr="00A3389E" w:rsidRDefault="001E06A3" w:rsidP="001E06A3">
            <w:pPr>
              <w:spacing w:before="120" w:after="120" w:line="190" w:lineRule="exact"/>
              <w:rPr>
                <w:rFonts w:ascii="Times New Roman" w:hAnsi="Times New Roman" w:cs="Times New Roman"/>
                <w:b/>
                <w:sz w:val="24"/>
              </w:rPr>
            </w:pPr>
            <w:r w:rsidRPr="00A3389E">
              <w:rPr>
                <w:rFonts w:ascii="Times New Roman" w:hAnsi="Times New Roman" w:cs="Times New Roman"/>
                <w:b/>
                <w:sz w:val="24"/>
              </w:rPr>
              <w:t>Záporné peňažné toky súvisiace so stratou financovania pri dlhových produktoch</w:t>
            </w:r>
          </w:p>
          <w:p w14:paraId="71559313" w14:textId="011CFFF5"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lastRenderedPageBreak/>
              <w:t>Inštitúcie ako neváženú hodnotu zverejňujú hodnotu straty financovania pri štruktúrovaných finančných činnostiach</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zverejňujú záporné peňažné toky týkajúce sa straty financovania pri štruktúrovaných finančných činnostiach,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30 ods. 8 až 10 delegovaného nariadenia Komisie (EÚ) 2015/61.</w:t>
            </w:r>
          </w:p>
          <w:p w14:paraId="7AF83948" w14:textId="65B504D9"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predpokladajú 100</w:t>
            </w:r>
            <w:r w:rsidR="00A3389E">
              <w:rPr>
                <w:rFonts w:ascii="Times New Roman" w:hAnsi="Times New Roman" w:cs="Times New Roman"/>
                <w:sz w:val="24"/>
              </w:rPr>
              <w:t> %</w:t>
            </w:r>
            <w:r w:rsidRPr="00A3389E">
              <w:rPr>
                <w:rFonts w:ascii="Times New Roman" w:hAnsi="Times New Roman" w:cs="Times New Roman"/>
                <w:sz w:val="24"/>
              </w:rPr>
              <w:t xml:space="preserve"> záporný peňažný tok</w:t>
            </w:r>
            <w:r w:rsidR="00A3389E">
              <w:rPr>
                <w:rFonts w:ascii="Times New Roman" w:hAnsi="Times New Roman" w:cs="Times New Roman"/>
                <w:sz w:val="24"/>
              </w:rPr>
              <w:t xml:space="preserve"> v </w:t>
            </w:r>
            <w:r w:rsidRPr="00A3389E">
              <w:rPr>
                <w:rFonts w:ascii="Times New Roman" w:hAnsi="Times New Roman" w:cs="Times New Roman"/>
                <w:sz w:val="24"/>
              </w:rPr>
              <w:t>súvislosti so stratou financovania pri cenných papieroch zabezpečených aktívami, krytých dlhopisoch</w:t>
            </w:r>
            <w:r w:rsidR="00A3389E">
              <w:rPr>
                <w:rFonts w:ascii="Times New Roman" w:hAnsi="Times New Roman" w:cs="Times New Roman"/>
                <w:sz w:val="24"/>
              </w:rPr>
              <w:t xml:space="preserve"> a </w:t>
            </w:r>
            <w:r w:rsidRPr="00A3389E">
              <w:rPr>
                <w:rFonts w:ascii="Times New Roman" w:hAnsi="Times New Roman" w:cs="Times New Roman"/>
                <w:sz w:val="24"/>
              </w:rPr>
              <w:t>iných štruktúrovaných finančných nástrojoch so splatnosťou do 30 kalendárnych dní emitovaných úverovou inštitúciou alebo sponzorovanými účelovo vytvorenými subjektmi (conduits) alebo účelovo vytvorenými subjektmi.</w:t>
            </w:r>
          </w:p>
          <w:p w14:paraId="1FBA8940" w14:textId="18B965A2" w:rsidR="001E06A3" w:rsidRPr="00A3389E" w:rsidRDefault="001E06A3" w:rsidP="001E06A3">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Inštitúcie, ktoré sú poskytovateľmi nástrojov likvidity súvisiacich</w:t>
            </w:r>
            <w:r w:rsidR="00A3389E">
              <w:rPr>
                <w:rFonts w:ascii="Times New Roman" w:hAnsi="Times New Roman" w:cs="Times New Roman"/>
                <w:sz w:val="24"/>
              </w:rPr>
              <w:t xml:space="preserve"> s </w:t>
            </w:r>
            <w:r w:rsidRPr="00A3389E">
              <w:rPr>
                <w:rFonts w:ascii="Times New Roman" w:hAnsi="Times New Roman" w:cs="Times New Roman"/>
                <w:sz w:val="24"/>
              </w:rPr>
              <w:t>tu zverejnenými programami financovania, nemusia splatný finančný nástroj</w:t>
            </w:r>
            <w:r w:rsidR="00A3389E">
              <w:rPr>
                <w:rFonts w:ascii="Times New Roman" w:hAnsi="Times New Roman" w:cs="Times New Roman"/>
                <w:sz w:val="24"/>
              </w:rPr>
              <w:t xml:space="preserve"> a </w:t>
            </w:r>
            <w:r w:rsidRPr="00A3389E">
              <w:rPr>
                <w:rFonts w:ascii="Times New Roman" w:hAnsi="Times New Roman" w:cs="Times New Roman"/>
                <w:sz w:val="24"/>
              </w:rPr>
              <w:t>nástroj likvidity pre konsolidované programy započítavať dvakrát.</w:t>
            </w:r>
          </w:p>
        </w:tc>
      </w:tr>
      <w:tr w:rsidR="001E06A3" w:rsidRPr="00A3389E" w14:paraId="06698F87" w14:textId="77777777" w:rsidTr="001E06A3">
        <w:trPr>
          <w:trHeight w:val="316"/>
        </w:trPr>
        <w:tc>
          <w:tcPr>
            <w:tcW w:w="1384" w:type="dxa"/>
          </w:tcPr>
          <w:p w14:paraId="1D3EF18D"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13</w:t>
            </w:r>
          </w:p>
        </w:tc>
        <w:tc>
          <w:tcPr>
            <w:tcW w:w="7655" w:type="dxa"/>
          </w:tcPr>
          <w:p w14:paraId="12C55D0E" w14:textId="1AC53BAC" w:rsidR="001E06A3" w:rsidRPr="00A3389E" w:rsidRDefault="001E06A3" w:rsidP="001E06A3">
            <w:pPr>
              <w:spacing w:before="120" w:after="120" w:line="190" w:lineRule="exact"/>
              <w:rPr>
                <w:rFonts w:ascii="Times New Roman" w:hAnsi="Times New Roman" w:cs="Times New Roman"/>
                <w:sz w:val="24"/>
              </w:rPr>
            </w:pPr>
            <w:r w:rsidRPr="00A3389E">
              <w:rPr>
                <w:rFonts w:ascii="Times New Roman" w:hAnsi="Times New Roman" w:cs="Times New Roman"/>
                <w:b/>
                <w:sz w:val="24"/>
              </w:rPr>
              <w:t>Kreditné facility</w:t>
            </w:r>
            <w:r w:rsidR="00A3389E">
              <w:rPr>
                <w:rFonts w:ascii="Times New Roman" w:hAnsi="Times New Roman" w:cs="Times New Roman"/>
                <w:b/>
                <w:sz w:val="24"/>
              </w:rPr>
              <w:t xml:space="preserve"> a </w:t>
            </w:r>
            <w:r w:rsidRPr="00A3389E">
              <w:rPr>
                <w:rFonts w:ascii="Times New Roman" w:hAnsi="Times New Roman" w:cs="Times New Roman"/>
                <w:b/>
                <w:sz w:val="24"/>
              </w:rPr>
              <w:t>nástroje likvidity</w:t>
            </w:r>
          </w:p>
          <w:p w14:paraId="388FA9B8" w14:textId="6703D056"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neváženú hodnotu zverejňujú hodnotu kreditných facilít</w:t>
            </w:r>
            <w:r w:rsidR="00A3389E">
              <w:rPr>
                <w:rFonts w:ascii="Times New Roman" w:hAnsi="Times New Roman" w:cs="Times New Roman"/>
                <w:sz w:val="24"/>
              </w:rPr>
              <w:t xml:space="preserve"> a </w:t>
            </w:r>
            <w:r w:rsidRPr="00A3389E">
              <w:rPr>
                <w:rFonts w:ascii="Times New Roman" w:hAnsi="Times New Roman" w:cs="Times New Roman"/>
                <w:sz w:val="24"/>
              </w:rPr>
              <w:t>nástrojov likvidity</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zverejňujú záporné peňažné toky kreditných facilít</w:t>
            </w:r>
            <w:r w:rsidR="00A3389E">
              <w:rPr>
                <w:rFonts w:ascii="Times New Roman" w:hAnsi="Times New Roman" w:cs="Times New Roman"/>
                <w:sz w:val="24"/>
              </w:rPr>
              <w:t xml:space="preserve"> a </w:t>
            </w:r>
            <w:r w:rsidRPr="00A3389E">
              <w:rPr>
                <w:rFonts w:ascii="Times New Roman" w:hAnsi="Times New Roman" w:cs="Times New Roman"/>
                <w:sz w:val="24"/>
              </w:rPr>
              <w:t>nástrojov likvidity,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31 delegovaného nariadenia Komisie (EÚ) 2015/61.</w:t>
            </w:r>
          </w:p>
          <w:p w14:paraId="7A6EC431" w14:textId="69D32579" w:rsidR="001E06A3" w:rsidRPr="00A3389E" w:rsidRDefault="001E06A3" w:rsidP="001E06A3">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Inštitúcie tu zverejňujú aj záväzné facility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29 delegovaného nariadenia Komisie (EÚ) 2015/61.</w:t>
            </w:r>
          </w:p>
        </w:tc>
      </w:tr>
      <w:tr w:rsidR="001E06A3" w:rsidRPr="00A3389E" w14:paraId="5F133365" w14:textId="77777777" w:rsidTr="001E06A3">
        <w:trPr>
          <w:trHeight w:val="316"/>
        </w:trPr>
        <w:tc>
          <w:tcPr>
            <w:tcW w:w="1384" w:type="dxa"/>
          </w:tcPr>
          <w:p w14:paraId="1AB3EE1C"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14</w:t>
            </w:r>
          </w:p>
        </w:tc>
        <w:tc>
          <w:tcPr>
            <w:tcW w:w="7655" w:type="dxa"/>
          </w:tcPr>
          <w:p w14:paraId="03C26744" w14:textId="77777777" w:rsidR="001E06A3" w:rsidRPr="00A3389E" w:rsidRDefault="001E06A3" w:rsidP="001E06A3">
            <w:pPr>
              <w:spacing w:before="120" w:after="120" w:line="190" w:lineRule="exact"/>
              <w:rPr>
                <w:rFonts w:ascii="Times New Roman" w:hAnsi="Times New Roman" w:cs="Times New Roman"/>
                <w:sz w:val="24"/>
              </w:rPr>
            </w:pPr>
            <w:r w:rsidRPr="00A3389E">
              <w:rPr>
                <w:rFonts w:ascii="Times New Roman" w:hAnsi="Times New Roman" w:cs="Times New Roman"/>
                <w:b/>
                <w:sz w:val="24"/>
              </w:rPr>
              <w:t>Iné zmluvné záväzky financovania</w:t>
            </w:r>
          </w:p>
          <w:p w14:paraId="54004CEE" w14:textId="2B72A8DC"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neváženú hodnotu zverejňujú súčet hodnôt nasledujúcich položiek</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súčet záporných peňažných tokov nasledujúcich položiek:</w:t>
            </w:r>
          </w:p>
          <w:p w14:paraId="2A942D44" w14:textId="331F9158"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Aktíva vypožičané na nezabezpečenom základe</w:t>
            </w:r>
            <w:r>
              <w:rPr>
                <w:rFonts w:ascii="Times New Roman" w:hAnsi="Times New Roman"/>
                <w:sz w:val="24"/>
              </w:rPr>
              <w:t xml:space="preserve"> a </w:t>
            </w:r>
            <w:r w:rsidR="001E06A3" w:rsidRPr="00A3389E">
              <w:rPr>
                <w:rFonts w:ascii="Times New Roman" w:hAnsi="Times New Roman"/>
                <w:sz w:val="24"/>
              </w:rPr>
              <w:t>splatné do 30 dní, ako sa stanovuje</w:t>
            </w:r>
            <w:r>
              <w:rPr>
                <w:rFonts w:ascii="Times New Roman" w:hAnsi="Times New Roman"/>
                <w:sz w:val="24"/>
              </w:rPr>
              <w:t xml:space="preserve"> v </w:t>
            </w:r>
            <w:r w:rsidR="001E06A3" w:rsidRPr="00A3389E">
              <w:rPr>
                <w:rFonts w:ascii="Times New Roman" w:hAnsi="Times New Roman"/>
                <w:sz w:val="24"/>
              </w:rPr>
              <w:t>článku 28 ods. 7 delegovaného nariadenia Komisie (EÚ) 2015/61. Tieto aktíva sa považujú za aktíva, ktoré sa znížia</w:t>
            </w:r>
            <w:r>
              <w:rPr>
                <w:rFonts w:ascii="Times New Roman" w:hAnsi="Times New Roman"/>
                <w:sz w:val="24"/>
              </w:rPr>
              <w:t xml:space="preserve"> v </w:t>
            </w:r>
            <w:r w:rsidR="001E06A3" w:rsidRPr="00A3389E">
              <w:rPr>
                <w:rFonts w:ascii="Times New Roman" w:hAnsi="Times New Roman"/>
                <w:sz w:val="24"/>
              </w:rPr>
              <w:t>celej výške, čo vedie</w:t>
            </w:r>
            <w:r>
              <w:rPr>
                <w:rFonts w:ascii="Times New Roman" w:hAnsi="Times New Roman"/>
                <w:sz w:val="24"/>
              </w:rPr>
              <w:t xml:space="preserve"> k </w:t>
            </w:r>
            <w:r w:rsidR="001E06A3" w:rsidRPr="00A3389E">
              <w:rPr>
                <w:rFonts w:ascii="Times New Roman" w:hAnsi="Times New Roman"/>
                <w:sz w:val="24"/>
              </w:rPr>
              <w:t>100</w:t>
            </w:r>
            <w:r>
              <w:rPr>
                <w:rFonts w:ascii="Times New Roman" w:hAnsi="Times New Roman"/>
                <w:sz w:val="24"/>
              </w:rPr>
              <w:t> %</w:t>
            </w:r>
            <w:r w:rsidR="001E06A3" w:rsidRPr="00A3389E">
              <w:rPr>
                <w:rFonts w:ascii="Times New Roman" w:hAnsi="Times New Roman"/>
                <w:sz w:val="24"/>
              </w:rPr>
              <w:t xml:space="preserve"> zápornému peňažnému toku. Inštitúcie zverejňujú trhovú hodnotu aktív vypožičaných na nezabezpečenom základe</w:t>
            </w:r>
            <w:r>
              <w:rPr>
                <w:rFonts w:ascii="Times New Roman" w:hAnsi="Times New Roman"/>
                <w:sz w:val="24"/>
              </w:rPr>
              <w:t xml:space="preserve"> a </w:t>
            </w:r>
            <w:r w:rsidR="001E06A3" w:rsidRPr="00A3389E">
              <w:rPr>
                <w:rFonts w:ascii="Times New Roman" w:hAnsi="Times New Roman"/>
                <w:sz w:val="24"/>
              </w:rPr>
              <w:t>splatných do 30 dní, ak úverová inštitúcia tieto cenné papiere nevlastní</w:t>
            </w:r>
            <w:r>
              <w:rPr>
                <w:rFonts w:ascii="Times New Roman" w:hAnsi="Times New Roman"/>
                <w:sz w:val="24"/>
              </w:rPr>
              <w:t xml:space="preserve"> a </w:t>
            </w:r>
            <w:r w:rsidR="001E06A3" w:rsidRPr="00A3389E">
              <w:rPr>
                <w:rFonts w:ascii="Times New Roman" w:hAnsi="Times New Roman"/>
                <w:sz w:val="24"/>
              </w:rPr>
              <w:t>netvoria súčasť vankúša likvidity inštitúcií.</w:t>
            </w:r>
          </w:p>
          <w:p w14:paraId="2EC0DEB9" w14:textId="36A64827" w:rsidR="00A3389E"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Krátke pozície kryté nezabezpečeným vypožičaním cenných papierov. Ako sa stanovuje</w:t>
            </w:r>
            <w:r>
              <w:rPr>
                <w:rFonts w:ascii="Times New Roman" w:hAnsi="Times New Roman"/>
                <w:sz w:val="24"/>
              </w:rPr>
              <w:t xml:space="preserve"> v </w:t>
            </w:r>
            <w:r w:rsidR="001E06A3" w:rsidRPr="00A3389E">
              <w:rPr>
                <w:rFonts w:ascii="Times New Roman" w:hAnsi="Times New Roman"/>
                <w:sz w:val="24"/>
              </w:rPr>
              <w:t>článku 30 ods. 5 delegovaného nariadenia Komisie (EÚ) 2015/61, inštitúcie pripočítajú dodatočný záporný peňažný tok zodpovedajúci 100</w:t>
            </w:r>
            <w:r>
              <w:rPr>
                <w:rFonts w:ascii="Times New Roman" w:hAnsi="Times New Roman"/>
                <w:sz w:val="24"/>
              </w:rPr>
              <w:t> %</w:t>
            </w:r>
            <w:r w:rsidR="001E06A3" w:rsidRPr="00A3389E">
              <w:rPr>
                <w:rFonts w:ascii="Times New Roman" w:hAnsi="Times New Roman"/>
                <w:sz w:val="24"/>
              </w:rPr>
              <w:t xml:space="preserve"> trhovej hodnoty cenných papierov alebo iných aktív predaných nakrátko, okrem prípadu, keď si ich úverová inštitúcia požičala za podmienok, ktoré vyžadujú ich vrátenie až po horizonte 30 kalendárnych dní. Ak je krátka pozícia krytá transakciou financovania prostredníctvom cenných papierov zabezpečených kolaterálom, úverová inštitúcia predpokladá, že krátka pozícia sa zachová počas obdobia 30 kalendárnych dní</w:t>
            </w:r>
            <w:r>
              <w:rPr>
                <w:rFonts w:ascii="Times New Roman" w:hAnsi="Times New Roman"/>
                <w:sz w:val="24"/>
              </w:rPr>
              <w:t xml:space="preserve"> a </w:t>
            </w:r>
            <w:r w:rsidR="001E06A3" w:rsidRPr="00A3389E">
              <w:rPr>
                <w:rFonts w:ascii="Times New Roman" w:hAnsi="Times New Roman"/>
                <w:sz w:val="24"/>
              </w:rPr>
              <w:t>uplatnil sa na ňu 0</w:t>
            </w:r>
            <w:r>
              <w:rPr>
                <w:rFonts w:ascii="Times New Roman" w:hAnsi="Times New Roman"/>
                <w:sz w:val="24"/>
              </w:rPr>
              <w:t> %</w:t>
            </w:r>
            <w:r w:rsidR="001E06A3" w:rsidRPr="00A3389E">
              <w:rPr>
                <w:rFonts w:ascii="Times New Roman" w:hAnsi="Times New Roman"/>
                <w:sz w:val="24"/>
              </w:rPr>
              <w:t xml:space="preserve"> záporný peňažný tok</w:t>
            </w:r>
            <w:r w:rsidRPr="00A3389E">
              <w:rPr>
                <w:rFonts w:ascii="Times New Roman" w:hAnsi="Times New Roman"/>
                <w:sz w:val="24"/>
              </w:rPr>
              <w:t>.</w:t>
            </w:r>
          </w:p>
          <w:p w14:paraId="3A768D15" w14:textId="3172DAD0" w:rsidR="00A3389E"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Záväzky vyplývajúce</w:t>
            </w:r>
            <w:r>
              <w:rPr>
                <w:rFonts w:ascii="Times New Roman" w:hAnsi="Times New Roman"/>
                <w:sz w:val="24"/>
              </w:rPr>
              <w:t xml:space="preserve"> z </w:t>
            </w:r>
            <w:r w:rsidR="001E06A3" w:rsidRPr="00A3389E">
              <w:rPr>
                <w:rFonts w:ascii="Times New Roman" w:hAnsi="Times New Roman"/>
                <w:sz w:val="24"/>
              </w:rPr>
              <w:t>prevádzkových nákladov. Ako sa stanovuje</w:t>
            </w:r>
            <w:r>
              <w:rPr>
                <w:rFonts w:ascii="Times New Roman" w:hAnsi="Times New Roman"/>
                <w:sz w:val="24"/>
              </w:rPr>
              <w:t xml:space="preserve"> v </w:t>
            </w:r>
            <w:r w:rsidR="001E06A3" w:rsidRPr="00A3389E">
              <w:rPr>
                <w:rFonts w:ascii="Times New Roman" w:hAnsi="Times New Roman"/>
                <w:sz w:val="24"/>
              </w:rPr>
              <w:t>článku 28 ods. 2 delegovaného nariadenia Komisie (EÚ) 2015/61, inštitúcie zverejňujú výšku nesplateného zostatku záväzkov vyplývajúcich</w:t>
            </w:r>
            <w:r>
              <w:rPr>
                <w:rFonts w:ascii="Times New Roman" w:hAnsi="Times New Roman"/>
                <w:sz w:val="24"/>
              </w:rPr>
              <w:t xml:space="preserve"> z </w:t>
            </w:r>
            <w:r w:rsidR="001E06A3" w:rsidRPr="00A3389E">
              <w:rPr>
                <w:rFonts w:ascii="Times New Roman" w:hAnsi="Times New Roman"/>
                <w:sz w:val="24"/>
              </w:rPr>
              <w:t>vlastných prevádzkových nákladov úverovej inštitúcie. Tieto záväzky nespúšťajú záporné peňažné toky</w:t>
            </w:r>
            <w:r w:rsidRPr="00A3389E">
              <w:rPr>
                <w:rFonts w:ascii="Times New Roman" w:hAnsi="Times New Roman"/>
                <w:sz w:val="24"/>
              </w:rPr>
              <w:t>.</w:t>
            </w:r>
          </w:p>
          <w:p w14:paraId="5A57382E" w14:textId="1953C369" w:rsidR="001E06A3" w:rsidRPr="00A3389E" w:rsidRDefault="00A3389E" w:rsidP="00A3389E">
            <w:pPr>
              <w:autoSpaceDE w:val="0"/>
              <w:autoSpaceDN w:val="0"/>
              <w:adjustRightInd w:val="0"/>
              <w:spacing w:after="120"/>
              <w:ind w:left="720" w:hanging="360"/>
              <w:contextualSpacing/>
              <w:jc w:val="both"/>
              <w:rPr>
                <w:rFonts w:ascii="Times New Roman" w:hAnsi="Times New Roman"/>
                <w:b/>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Iné nezabezpečené transakcie, ktoré sú splatné</w:t>
            </w:r>
            <w:r>
              <w:rPr>
                <w:rFonts w:ascii="Times New Roman" w:hAnsi="Times New Roman"/>
                <w:sz w:val="24"/>
              </w:rPr>
              <w:t xml:space="preserve"> v </w:t>
            </w:r>
            <w:r w:rsidR="001E06A3" w:rsidRPr="00A3389E">
              <w:rPr>
                <w:rFonts w:ascii="Times New Roman" w:hAnsi="Times New Roman"/>
                <w:sz w:val="24"/>
              </w:rPr>
              <w:t>nasledujúcich 30 kalendárnych dňoch</w:t>
            </w:r>
            <w:r>
              <w:rPr>
                <w:rFonts w:ascii="Times New Roman" w:hAnsi="Times New Roman"/>
                <w:sz w:val="24"/>
              </w:rPr>
              <w:t xml:space="preserve"> a </w:t>
            </w:r>
            <w:r w:rsidR="001E06A3" w:rsidRPr="00A3389E">
              <w:rPr>
                <w:rFonts w:ascii="Times New Roman" w:hAnsi="Times New Roman"/>
                <w:sz w:val="24"/>
              </w:rPr>
              <w:t>nie sú zahrnuté</w:t>
            </w:r>
            <w:r>
              <w:rPr>
                <w:rFonts w:ascii="Times New Roman" w:hAnsi="Times New Roman"/>
                <w:sz w:val="24"/>
              </w:rPr>
              <w:t xml:space="preserve"> v </w:t>
            </w:r>
            <w:r w:rsidR="001E06A3" w:rsidRPr="00A3389E">
              <w:rPr>
                <w:rFonts w:ascii="Times New Roman" w:hAnsi="Times New Roman"/>
                <w:sz w:val="24"/>
              </w:rPr>
              <w:t>článkoch 24 až 31 delegovaného nariadenia Komisie (EÚ) 2015/61, ktoré, ako sa stanovuje</w:t>
            </w:r>
            <w:r>
              <w:rPr>
                <w:rFonts w:ascii="Times New Roman" w:hAnsi="Times New Roman"/>
                <w:sz w:val="24"/>
              </w:rPr>
              <w:t xml:space="preserve"> v </w:t>
            </w:r>
            <w:r w:rsidR="001E06A3" w:rsidRPr="00A3389E">
              <w:rPr>
                <w:rFonts w:ascii="Times New Roman" w:hAnsi="Times New Roman"/>
                <w:sz w:val="24"/>
              </w:rPr>
              <w:t>článku 31a ods. 1 delegovaného nariadenia Komisie (EÚ) 2015/61, spúšťajú 100</w:t>
            </w:r>
            <w:r>
              <w:rPr>
                <w:rFonts w:ascii="Times New Roman" w:hAnsi="Times New Roman"/>
                <w:sz w:val="24"/>
              </w:rPr>
              <w:t> %</w:t>
            </w:r>
            <w:r w:rsidR="001E06A3" w:rsidRPr="00A3389E">
              <w:rPr>
                <w:rFonts w:ascii="Times New Roman" w:hAnsi="Times New Roman"/>
                <w:sz w:val="24"/>
              </w:rPr>
              <w:t xml:space="preserve"> mieru záporných peňažných tokov.</w:t>
            </w:r>
          </w:p>
        </w:tc>
      </w:tr>
      <w:tr w:rsidR="001E06A3" w:rsidRPr="00A3389E" w14:paraId="5917984E" w14:textId="77777777" w:rsidTr="001E06A3">
        <w:trPr>
          <w:trHeight w:val="316"/>
        </w:trPr>
        <w:tc>
          <w:tcPr>
            <w:tcW w:w="1384" w:type="dxa"/>
          </w:tcPr>
          <w:p w14:paraId="7EA79F1A"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15</w:t>
            </w:r>
          </w:p>
        </w:tc>
        <w:tc>
          <w:tcPr>
            <w:tcW w:w="7655" w:type="dxa"/>
          </w:tcPr>
          <w:p w14:paraId="7F8F9A7C" w14:textId="77777777" w:rsidR="001E06A3" w:rsidRPr="00A3389E" w:rsidRDefault="001E06A3" w:rsidP="001E06A3">
            <w:pPr>
              <w:spacing w:before="120" w:after="120" w:line="190" w:lineRule="exact"/>
              <w:jc w:val="both"/>
              <w:rPr>
                <w:rFonts w:ascii="Times New Roman" w:hAnsi="Times New Roman" w:cs="Times New Roman"/>
                <w:b/>
                <w:sz w:val="24"/>
              </w:rPr>
            </w:pPr>
            <w:r w:rsidRPr="00A3389E">
              <w:rPr>
                <w:rFonts w:ascii="Times New Roman" w:hAnsi="Times New Roman" w:cs="Times New Roman"/>
                <w:b/>
                <w:sz w:val="24"/>
              </w:rPr>
              <w:t>Iné podmienené záväzky financovania</w:t>
            </w:r>
          </w:p>
          <w:p w14:paraId="43267292" w14:textId="52DD7D7C" w:rsidR="001E06A3" w:rsidRPr="00A3389E" w:rsidRDefault="001E06A3" w:rsidP="001E06A3">
            <w:pPr>
              <w:spacing w:after="120" w:line="278" w:lineRule="exact"/>
              <w:jc w:val="both"/>
              <w:rPr>
                <w:rFonts w:ascii="Times New Roman" w:hAnsi="Times New Roman" w:cs="Times New Roman"/>
                <w:sz w:val="24"/>
              </w:rPr>
            </w:pPr>
            <w:r w:rsidRPr="00A3389E">
              <w:rPr>
                <w:rFonts w:ascii="Times New Roman" w:hAnsi="Times New Roman" w:cs="Times New Roman"/>
                <w:sz w:val="24"/>
              </w:rPr>
              <w:t>Inštitúcie ako neváženú hodnotu zverejňujú súčet hodnôt nasledujúcich položiek</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súčet záporných peňažných tokov nasledujúcich položiek:</w:t>
            </w:r>
          </w:p>
          <w:p w14:paraId="703B2229" w14:textId="7948E3AF" w:rsidR="00A3389E"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Iné produkty</w:t>
            </w:r>
            <w:r>
              <w:rPr>
                <w:rFonts w:ascii="Times New Roman" w:hAnsi="Times New Roman"/>
                <w:sz w:val="24"/>
              </w:rPr>
              <w:t xml:space="preserve"> a </w:t>
            </w:r>
            <w:r w:rsidR="001E06A3" w:rsidRPr="00A3389E">
              <w:rPr>
                <w:rFonts w:ascii="Times New Roman" w:hAnsi="Times New Roman"/>
                <w:sz w:val="24"/>
              </w:rPr>
              <w:t>služby uvedené</w:t>
            </w:r>
            <w:r>
              <w:rPr>
                <w:rFonts w:ascii="Times New Roman" w:hAnsi="Times New Roman"/>
                <w:sz w:val="24"/>
              </w:rPr>
              <w:t xml:space="preserve"> v </w:t>
            </w:r>
            <w:r w:rsidR="001E06A3" w:rsidRPr="00A3389E">
              <w:rPr>
                <w:rFonts w:ascii="Times New Roman" w:hAnsi="Times New Roman"/>
                <w:sz w:val="24"/>
              </w:rPr>
              <w:t>článku 23 delegovaného nariadenia Komisie (EÚ) 2015/61. Inštitúcie tu zverejňujú produkty alebo služby uvedené</w:t>
            </w:r>
            <w:r>
              <w:rPr>
                <w:rFonts w:ascii="Times New Roman" w:hAnsi="Times New Roman"/>
                <w:sz w:val="24"/>
              </w:rPr>
              <w:t xml:space="preserve"> v </w:t>
            </w:r>
            <w:r w:rsidR="001E06A3" w:rsidRPr="00A3389E">
              <w:rPr>
                <w:rFonts w:ascii="Times New Roman" w:hAnsi="Times New Roman"/>
                <w:sz w:val="24"/>
              </w:rPr>
              <w:t>článku 23 ods. 1 delegovaného nariadenia Komisie (EÚ) 2015/61. Suma, ktorá sa má zverejniť, je maximálna suma, ktorá by sa mohla čerpať</w:t>
            </w:r>
            <w:r>
              <w:rPr>
                <w:rFonts w:ascii="Times New Roman" w:hAnsi="Times New Roman"/>
                <w:sz w:val="24"/>
              </w:rPr>
              <w:t xml:space="preserve"> z </w:t>
            </w:r>
            <w:r w:rsidR="001E06A3" w:rsidRPr="00A3389E">
              <w:rPr>
                <w:rFonts w:ascii="Times New Roman" w:hAnsi="Times New Roman"/>
                <w:sz w:val="24"/>
              </w:rPr>
              <w:t>produktov alebo služieb uvedených</w:t>
            </w:r>
            <w:r>
              <w:rPr>
                <w:rFonts w:ascii="Times New Roman" w:hAnsi="Times New Roman"/>
                <w:sz w:val="24"/>
              </w:rPr>
              <w:t xml:space="preserve"> v </w:t>
            </w:r>
            <w:r w:rsidR="001E06A3" w:rsidRPr="00A3389E">
              <w:rPr>
                <w:rFonts w:ascii="Times New Roman" w:hAnsi="Times New Roman"/>
                <w:sz w:val="24"/>
              </w:rPr>
              <w:t>článku 23 ods. 1 delegovaného nariadenia Komisie (EÚ) 2015/61</w:t>
            </w:r>
            <w:r w:rsidRPr="00A3389E">
              <w:rPr>
                <w:rFonts w:ascii="Times New Roman" w:hAnsi="Times New Roman"/>
                <w:sz w:val="24"/>
              </w:rPr>
              <w:t>.</w:t>
            </w:r>
          </w:p>
          <w:p w14:paraId="69AC5AA0" w14:textId="2750FD28" w:rsidR="00A3389E"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Prekročenie zmluvných prísľubov na poskytnutie financovania nefinančným klientom do 30 kalendárnych dní, ako sa stanovuje</w:t>
            </w:r>
            <w:r>
              <w:rPr>
                <w:rFonts w:ascii="Times New Roman" w:hAnsi="Times New Roman"/>
                <w:sz w:val="24"/>
              </w:rPr>
              <w:t xml:space="preserve"> v </w:t>
            </w:r>
            <w:r w:rsidR="001E06A3" w:rsidRPr="00A3389E">
              <w:rPr>
                <w:rFonts w:ascii="Times New Roman" w:hAnsi="Times New Roman"/>
                <w:sz w:val="24"/>
              </w:rPr>
              <w:t>článku 31a ods. 2 delegovaného nariadenia Komisie (EÚ) 2015/61</w:t>
            </w:r>
            <w:r w:rsidRPr="00A3389E">
              <w:rPr>
                <w:rFonts w:ascii="Times New Roman" w:hAnsi="Times New Roman"/>
                <w:sz w:val="24"/>
              </w:rPr>
              <w:t>.</w:t>
            </w:r>
          </w:p>
          <w:p w14:paraId="1957D1C8" w14:textId="1C2D91E8"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1E06A3" w:rsidRPr="00A3389E">
              <w:rPr>
                <w:rFonts w:ascii="Times New Roman" w:hAnsi="Times New Roman"/>
                <w:sz w:val="24"/>
              </w:rPr>
              <w:t>Interné vzájomné započítavenie klientských pozícií</w:t>
            </w:r>
            <w:r>
              <w:rPr>
                <w:rFonts w:ascii="Times New Roman" w:hAnsi="Times New Roman"/>
                <w:sz w:val="24"/>
              </w:rPr>
              <w:t xml:space="preserve"> v </w:t>
            </w:r>
            <w:r w:rsidR="001E06A3" w:rsidRPr="00A3389E">
              <w:rPr>
                <w:rFonts w:ascii="Times New Roman" w:hAnsi="Times New Roman"/>
                <w:sz w:val="24"/>
              </w:rPr>
              <w:t>súlade</w:t>
            </w:r>
            <w:r>
              <w:rPr>
                <w:rFonts w:ascii="Times New Roman" w:hAnsi="Times New Roman"/>
                <w:sz w:val="24"/>
              </w:rPr>
              <w:t xml:space="preserve"> s </w:t>
            </w:r>
            <w:r w:rsidR="001E06A3" w:rsidRPr="00A3389E">
              <w:rPr>
                <w:rFonts w:ascii="Times New Roman" w:hAnsi="Times New Roman"/>
                <w:sz w:val="24"/>
              </w:rPr>
              <w:t>článkom 30 ods. 11 delegovaného nariadenia Komisie (EÚ) 2015/61. Inštitúcie tu zverejňujú trhovú hodnotu nelikvidných aktív klienta, ktoré úverová inštitúcia použila</w:t>
            </w:r>
            <w:r>
              <w:rPr>
                <w:rFonts w:ascii="Times New Roman" w:hAnsi="Times New Roman"/>
                <w:sz w:val="24"/>
              </w:rPr>
              <w:t xml:space="preserve"> v </w:t>
            </w:r>
            <w:r w:rsidR="001E06A3" w:rsidRPr="00A3389E">
              <w:rPr>
                <w:rFonts w:ascii="Times New Roman" w:hAnsi="Times New Roman"/>
                <w:sz w:val="24"/>
              </w:rPr>
              <w:t>súvislosti so službami prime brokerage na krytie predajov nakrátko iného klienta tak, že ich interne spárovala.</w:t>
            </w:r>
          </w:p>
        </w:tc>
      </w:tr>
      <w:tr w:rsidR="001E06A3" w:rsidRPr="00A3389E" w14:paraId="7567BDED" w14:textId="77777777" w:rsidTr="001E06A3">
        <w:trPr>
          <w:trHeight w:val="316"/>
        </w:trPr>
        <w:tc>
          <w:tcPr>
            <w:tcW w:w="1384" w:type="dxa"/>
          </w:tcPr>
          <w:p w14:paraId="793AE071"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16</w:t>
            </w:r>
          </w:p>
        </w:tc>
        <w:tc>
          <w:tcPr>
            <w:tcW w:w="7655" w:type="dxa"/>
          </w:tcPr>
          <w:p w14:paraId="62C155C5" w14:textId="77777777" w:rsidR="001E06A3" w:rsidRPr="00A3389E" w:rsidRDefault="001E06A3" w:rsidP="001E06A3">
            <w:pPr>
              <w:spacing w:before="120" w:after="120" w:line="190" w:lineRule="exact"/>
              <w:rPr>
                <w:rFonts w:ascii="Times New Roman" w:hAnsi="Times New Roman" w:cs="Times New Roman"/>
                <w:sz w:val="24"/>
              </w:rPr>
            </w:pPr>
            <w:r w:rsidRPr="00A3389E">
              <w:rPr>
                <w:rFonts w:ascii="Times New Roman" w:hAnsi="Times New Roman" w:cs="Times New Roman"/>
                <w:b/>
                <w:sz w:val="24"/>
              </w:rPr>
              <w:t>CELKOVÉ ZÁPORNÉ PEŇAŽNÉ TOKY</w:t>
            </w:r>
          </w:p>
          <w:p w14:paraId="2E04572F" w14:textId="77777777" w:rsidR="001E06A3" w:rsidRPr="00A3389E" w:rsidRDefault="001E06A3" w:rsidP="001E06A3">
            <w:pPr>
              <w:spacing w:after="120" w:line="288" w:lineRule="exact"/>
              <w:rPr>
                <w:rFonts w:ascii="Times New Roman" w:hAnsi="Times New Roman" w:cs="Times New Roman"/>
                <w:sz w:val="24"/>
              </w:rPr>
            </w:pPr>
            <w:r w:rsidRPr="00A3389E">
              <w:rPr>
                <w:rFonts w:ascii="Times New Roman" w:hAnsi="Times New Roman" w:cs="Times New Roman"/>
                <w:sz w:val="24"/>
              </w:rPr>
              <w:t>Inštitúcie zverejňujú súčet váženej hodnoty nasledujúcich položiek podľa týchto pokynov:</w:t>
            </w:r>
          </w:p>
          <w:p w14:paraId="77918023" w14:textId="30A36033"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2: Retailové vklady</w:t>
            </w:r>
            <w:r>
              <w:rPr>
                <w:rFonts w:ascii="Times New Roman" w:hAnsi="Times New Roman"/>
                <w:sz w:val="24"/>
              </w:rPr>
              <w:t xml:space="preserve"> a </w:t>
            </w:r>
            <w:r w:rsidR="001E06A3" w:rsidRPr="00A3389E">
              <w:rPr>
                <w:rFonts w:ascii="Times New Roman" w:hAnsi="Times New Roman"/>
                <w:sz w:val="24"/>
              </w:rPr>
              <w:t>vklady od malých obchodných klientov tohto vzoru;</w:t>
            </w:r>
          </w:p>
          <w:p w14:paraId="23EDA54B" w14:textId="4274ABE8"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5: Nezabezpečené veľkoobchodné financovanie tohto vzoru,</w:t>
            </w:r>
          </w:p>
          <w:p w14:paraId="6EEAFB58" w14:textId="4D53853F"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9: Zabezpečené veľkoobchodné financovanie tohto vzoru,</w:t>
            </w:r>
          </w:p>
          <w:p w14:paraId="47B95BA6" w14:textId="47630EB9"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10: Dodatočné požiadavky tohto vzoru,</w:t>
            </w:r>
          </w:p>
          <w:p w14:paraId="2CFDD2BC" w14:textId="1123DDA3"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14: Iné zmluvné záväzky financovania tohto vzoru;</w:t>
            </w:r>
          </w:p>
          <w:p w14:paraId="208A5190" w14:textId="22D9FF1C"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15: Ostatné podmienené záväzky financovania tohto vzoru.</w:t>
            </w:r>
          </w:p>
        </w:tc>
      </w:tr>
      <w:tr w:rsidR="001E06A3" w:rsidRPr="00A3389E" w14:paraId="12D38320" w14:textId="77777777" w:rsidTr="001E06A3">
        <w:trPr>
          <w:trHeight w:val="316"/>
        </w:trPr>
        <w:tc>
          <w:tcPr>
            <w:tcW w:w="1384" w:type="dxa"/>
          </w:tcPr>
          <w:p w14:paraId="27EE2B47"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17</w:t>
            </w:r>
          </w:p>
        </w:tc>
        <w:tc>
          <w:tcPr>
            <w:tcW w:w="7655" w:type="dxa"/>
          </w:tcPr>
          <w:p w14:paraId="76FF1822" w14:textId="77777777" w:rsidR="001E06A3" w:rsidRPr="00A3389E" w:rsidRDefault="001E06A3" w:rsidP="001E06A3">
            <w:pPr>
              <w:spacing w:before="120" w:after="120" w:line="190" w:lineRule="exact"/>
              <w:rPr>
                <w:rFonts w:ascii="Times New Roman" w:hAnsi="Times New Roman" w:cs="Times New Roman"/>
                <w:sz w:val="24"/>
              </w:rPr>
            </w:pPr>
            <w:r w:rsidRPr="00A3389E">
              <w:rPr>
                <w:rFonts w:ascii="Times New Roman" w:hAnsi="Times New Roman" w:cs="Times New Roman"/>
                <w:b/>
                <w:sz w:val="24"/>
              </w:rPr>
              <w:t>Zabezpečené pôžičky (napr. obrátené repo obchody)</w:t>
            </w:r>
          </w:p>
          <w:p w14:paraId="334DCC49" w14:textId="77777777" w:rsidR="001E06A3" w:rsidRPr="00A3389E" w:rsidRDefault="001E06A3" w:rsidP="001E06A3">
            <w:pPr>
              <w:spacing w:after="120" w:line="288" w:lineRule="exact"/>
              <w:jc w:val="both"/>
              <w:rPr>
                <w:rFonts w:ascii="Times New Roman" w:hAnsi="Times New Roman" w:cs="Times New Roman"/>
                <w:sz w:val="24"/>
              </w:rPr>
            </w:pPr>
            <w:r w:rsidRPr="00A3389E">
              <w:rPr>
                <w:rFonts w:ascii="Times New Roman" w:hAnsi="Times New Roman" w:cs="Times New Roman"/>
                <w:sz w:val="24"/>
              </w:rPr>
              <w:t>Inštitúcie ako neváženú hodnotu zverejňujú súčet:</w:t>
            </w:r>
          </w:p>
          <w:p w14:paraId="4AA2D0C7" w14:textId="0F4B579B"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súm zabezpečených pôžičiek</w:t>
            </w:r>
            <w:r>
              <w:rPr>
                <w:rFonts w:ascii="Times New Roman" w:hAnsi="Times New Roman"/>
                <w:sz w:val="24"/>
              </w:rPr>
              <w:t xml:space="preserve"> a </w:t>
            </w:r>
            <w:r w:rsidR="001E06A3" w:rsidRPr="00A3389E">
              <w:rPr>
                <w:rFonts w:ascii="Times New Roman" w:hAnsi="Times New Roman"/>
                <w:sz w:val="24"/>
              </w:rPr>
              <w:t>transakcií kapitálového trhu so zostatkovou splatnosťou nie dlhšou než 30 dní, ako sa stanovuje</w:t>
            </w:r>
            <w:r>
              <w:rPr>
                <w:rFonts w:ascii="Times New Roman" w:hAnsi="Times New Roman"/>
                <w:sz w:val="24"/>
              </w:rPr>
              <w:t xml:space="preserve"> v </w:t>
            </w:r>
            <w:r w:rsidR="001E06A3" w:rsidRPr="00A3389E">
              <w:rPr>
                <w:rFonts w:ascii="Times New Roman" w:hAnsi="Times New Roman"/>
                <w:sz w:val="24"/>
              </w:rPr>
              <w:t>článku 32 ods. 3 písm. b), c)</w:t>
            </w:r>
            <w:r>
              <w:rPr>
                <w:rFonts w:ascii="Times New Roman" w:hAnsi="Times New Roman"/>
                <w:sz w:val="24"/>
              </w:rPr>
              <w:t xml:space="preserve"> a </w:t>
            </w:r>
            <w:r w:rsidR="001E06A3" w:rsidRPr="00A3389E">
              <w:rPr>
                <w:rFonts w:ascii="Times New Roman" w:hAnsi="Times New Roman"/>
                <w:sz w:val="24"/>
              </w:rPr>
              <w:t>f) delegovaného nariadenia Komisie (EÚ) 2015/61,</w:t>
            </w:r>
          </w:p>
          <w:p w14:paraId="63304E56" w14:textId="29E942A8" w:rsidR="001E06A3" w:rsidRPr="00A3389E" w:rsidRDefault="00A3389E" w:rsidP="00A3389E">
            <w:pPr>
              <w:autoSpaceDE w:val="0"/>
              <w:autoSpaceDN w:val="0"/>
              <w:adjustRightInd w:val="0"/>
              <w:spacing w:after="120" w:line="288" w:lineRule="exact"/>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trhovej hodnoty požičaného kolaterálu</w:t>
            </w:r>
            <w:r>
              <w:rPr>
                <w:rFonts w:ascii="Times New Roman" w:hAnsi="Times New Roman"/>
                <w:sz w:val="24"/>
              </w:rPr>
              <w:t xml:space="preserve"> v </w:t>
            </w:r>
            <w:r w:rsidR="001E06A3" w:rsidRPr="00A3389E">
              <w:rPr>
                <w:rFonts w:ascii="Times New Roman" w:hAnsi="Times New Roman"/>
                <w:sz w:val="24"/>
              </w:rPr>
              <w:t>swapoch na kolaterál podľa článku 32 ods. 3 delegovaného nariadenia Komisie (EÚ) 2015/61.</w:t>
            </w:r>
          </w:p>
          <w:p w14:paraId="4F3A3699" w14:textId="77777777" w:rsidR="001E06A3" w:rsidRPr="00A3389E" w:rsidRDefault="001E06A3" w:rsidP="001E06A3">
            <w:pPr>
              <w:spacing w:after="120" w:line="288" w:lineRule="exact"/>
              <w:jc w:val="both"/>
              <w:rPr>
                <w:rFonts w:ascii="Times New Roman" w:hAnsi="Times New Roman" w:cs="Times New Roman"/>
                <w:sz w:val="24"/>
              </w:rPr>
            </w:pPr>
            <w:r w:rsidRPr="00A3389E">
              <w:rPr>
                <w:rFonts w:ascii="Times New Roman" w:hAnsi="Times New Roman" w:cs="Times New Roman"/>
                <w:sz w:val="24"/>
              </w:rPr>
              <w:t>Inštitúcie ako váženú hodnotu zverejňujú súčet:</w:t>
            </w:r>
          </w:p>
          <w:p w14:paraId="074D6101" w14:textId="500EEC48"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kladných peňažných tokov zo zabezpečených pôžičiek</w:t>
            </w:r>
            <w:r>
              <w:rPr>
                <w:rFonts w:ascii="Times New Roman" w:hAnsi="Times New Roman"/>
                <w:sz w:val="24"/>
              </w:rPr>
              <w:t xml:space="preserve"> a </w:t>
            </w:r>
            <w:r w:rsidR="001E06A3" w:rsidRPr="00A3389E">
              <w:rPr>
                <w:rFonts w:ascii="Times New Roman" w:hAnsi="Times New Roman"/>
                <w:sz w:val="24"/>
              </w:rPr>
              <w:t>transakcií kapitálového trhu so zostatkovou splatnosťou nie dlhšou než 30 dní, ako sa stanovuje</w:t>
            </w:r>
            <w:r>
              <w:rPr>
                <w:rFonts w:ascii="Times New Roman" w:hAnsi="Times New Roman"/>
                <w:sz w:val="24"/>
              </w:rPr>
              <w:t xml:space="preserve"> v </w:t>
            </w:r>
            <w:r w:rsidR="001E06A3" w:rsidRPr="00A3389E">
              <w:rPr>
                <w:rFonts w:ascii="Times New Roman" w:hAnsi="Times New Roman"/>
                <w:sz w:val="24"/>
              </w:rPr>
              <w:t>článku 32 ods. 3 písm. b), c)</w:t>
            </w:r>
            <w:r>
              <w:rPr>
                <w:rFonts w:ascii="Times New Roman" w:hAnsi="Times New Roman"/>
                <w:sz w:val="24"/>
              </w:rPr>
              <w:t xml:space="preserve"> a </w:t>
            </w:r>
            <w:r w:rsidR="001E06A3" w:rsidRPr="00A3389E">
              <w:rPr>
                <w:rFonts w:ascii="Times New Roman" w:hAnsi="Times New Roman"/>
                <w:sz w:val="24"/>
              </w:rPr>
              <w:t>f) delegovaného nariadenia Komisie (EÚ) 2015/61,</w:t>
            </w:r>
          </w:p>
          <w:p w14:paraId="3E8F1989" w14:textId="1C2F12F2" w:rsidR="001E06A3" w:rsidRPr="00A3389E" w:rsidRDefault="00A3389E" w:rsidP="00A3389E">
            <w:pPr>
              <w:autoSpaceDE w:val="0"/>
              <w:autoSpaceDN w:val="0"/>
              <w:adjustRightInd w:val="0"/>
              <w:spacing w:after="120"/>
              <w:ind w:left="720" w:hanging="360"/>
              <w:contextualSpacing/>
              <w:jc w:val="both"/>
              <w:rPr>
                <w:rFonts w:ascii="Times New Roman" w:hAnsi="Times New Roman"/>
                <w:b/>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kladných peňažných tokov zo swapov na kolaterál, ako sa stanovuje</w:t>
            </w:r>
            <w:r>
              <w:rPr>
                <w:rFonts w:ascii="Times New Roman" w:hAnsi="Times New Roman"/>
                <w:sz w:val="24"/>
              </w:rPr>
              <w:t xml:space="preserve"> v </w:t>
            </w:r>
            <w:r w:rsidR="001E06A3" w:rsidRPr="00A3389E">
              <w:rPr>
                <w:rFonts w:ascii="Times New Roman" w:hAnsi="Times New Roman"/>
                <w:sz w:val="24"/>
              </w:rPr>
              <w:t>článku 32 ods. 3 delegovaného nariadenia Komisie (EÚ) 2015/61.</w:t>
            </w:r>
          </w:p>
        </w:tc>
      </w:tr>
      <w:tr w:rsidR="001E06A3" w:rsidRPr="00A3389E" w14:paraId="35F1E4C6" w14:textId="77777777" w:rsidTr="001E06A3">
        <w:trPr>
          <w:trHeight w:val="316"/>
        </w:trPr>
        <w:tc>
          <w:tcPr>
            <w:tcW w:w="1384" w:type="dxa"/>
          </w:tcPr>
          <w:p w14:paraId="575A1ABF"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18</w:t>
            </w:r>
          </w:p>
        </w:tc>
        <w:tc>
          <w:tcPr>
            <w:tcW w:w="7655" w:type="dxa"/>
          </w:tcPr>
          <w:p w14:paraId="36C0ED1A" w14:textId="583360DE" w:rsidR="001E06A3" w:rsidRPr="00A3389E" w:rsidRDefault="001E06A3" w:rsidP="001E06A3">
            <w:pPr>
              <w:spacing w:before="120" w:after="120" w:line="190" w:lineRule="exact"/>
              <w:rPr>
                <w:rFonts w:ascii="Times New Roman" w:hAnsi="Times New Roman" w:cs="Times New Roman"/>
                <w:b/>
                <w:sz w:val="24"/>
              </w:rPr>
            </w:pPr>
            <w:r w:rsidRPr="00A3389E">
              <w:rPr>
                <w:rFonts w:ascii="Times New Roman" w:hAnsi="Times New Roman" w:cs="Times New Roman"/>
                <w:b/>
                <w:sz w:val="24"/>
              </w:rPr>
              <w:t>Kladné peňažné toky</w:t>
            </w:r>
            <w:r w:rsidR="00A3389E">
              <w:rPr>
                <w:rFonts w:ascii="Times New Roman" w:hAnsi="Times New Roman" w:cs="Times New Roman"/>
                <w:b/>
                <w:sz w:val="24"/>
              </w:rPr>
              <w:t xml:space="preserve"> z </w:t>
            </w:r>
            <w:r w:rsidRPr="00A3389E">
              <w:rPr>
                <w:rFonts w:ascii="Times New Roman" w:hAnsi="Times New Roman" w:cs="Times New Roman"/>
                <w:b/>
                <w:sz w:val="24"/>
              </w:rPr>
              <w:t>plne bezproblémových expozícií</w:t>
            </w:r>
          </w:p>
          <w:p w14:paraId="2254BE83" w14:textId="69840495" w:rsidR="001E06A3" w:rsidRPr="00A3389E" w:rsidRDefault="001E06A3" w:rsidP="001E06A3">
            <w:pPr>
              <w:spacing w:after="120" w:line="278" w:lineRule="exact"/>
              <w:jc w:val="both"/>
              <w:rPr>
                <w:rFonts w:ascii="Times New Roman" w:hAnsi="Times New Roman" w:cs="Times New Roman"/>
                <w:sz w:val="24"/>
              </w:rPr>
            </w:pPr>
            <w:r w:rsidRPr="00A3389E">
              <w:rPr>
                <w:rFonts w:ascii="Times New Roman" w:hAnsi="Times New Roman" w:cs="Times New Roman"/>
                <w:sz w:val="24"/>
              </w:rPr>
              <w:t>Inštitúcie ako neváženú hodnotu zverejňujú súčet celkových hodnôt položiek</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súčet kladných peňažných tokov položiek:</w:t>
            </w:r>
          </w:p>
          <w:p w14:paraId="7AEEA43E" w14:textId="10C8BFC0" w:rsidR="00A3389E"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peňazí splatných nefinančnými klientmi (okrem centrálnych bánk), ako sa stanovuje</w:t>
            </w:r>
            <w:r>
              <w:rPr>
                <w:rFonts w:ascii="Times New Roman" w:hAnsi="Times New Roman"/>
                <w:sz w:val="24"/>
              </w:rPr>
              <w:t xml:space="preserve"> v </w:t>
            </w:r>
            <w:r w:rsidR="001E06A3" w:rsidRPr="00A3389E">
              <w:rPr>
                <w:rFonts w:ascii="Times New Roman" w:hAnsi="Times New Roman"/>
                <w:sz w:val="24"/>
              </w:rPr>
              <w:t>článku 32 ods. 3 písm. a) delegovaného nariadenia Komisie (EÚ) 2015/61,</w:t>
            </w:r>
          </w:p>
          <w:p w14:paraId="51F55436" w14:textId="7D929E1F" w:rsidR="00A3389E"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peňazí splatných centrálnymi bankami</w:t>
            </w:r>
            <w:r>
              <w:rPr>
                <w:rFonts w:ascii="Times New Roman" w:hAnsi="Times New Roman"/>
                <w:sz w:val="24"/>
              </w:rPr>
              <w:t xml:space="preserve"> a </w:t>
            </w:r>
            <w:r w:rsidR="001E06A3" w:rsidRPr="00A3389E">
              <w:rPr>
                <w:rFonts w:ascii="Times New Roman" w:hAnsi="Times New Roman"/>
                <w:sz w:val="24"/>
              </w:rPr>
              <w:t>finančnými klientmi, ako sa stanovuje</w:t>
            </w:r>
            <w:r>
              <w:rPr>
                <w:rFonts w:ascii="Times New Roman" w:hAnsi="Times New Roman"/>
                <w:sz w:val="24"/>
              </w:rPr>
              <w:t xml:space="preserve"> v </w:t>
            </w:r>
            <w:r w:rsidR="001E06A3" w:rsidRPr="00A3389E">
              <w:rPr>
                <w:rFonts w:ascii="Times New Roman" w:hAnsi="Times New Roman"/>
                <w:sz w:val="24"/>
              </w:rPr>
              <w:t>článku 32 ods. 2 písm. a) delegovaného nariadenia Komisie (EÚ) 2015/61,</w:t>
            </w:r>
          </w:p>
          <w:p w14:paraId="0C6DB747" w14:textId="2522A9B3" w:rsidR="001E06A3" w:rsidRPr="00023CBA" w:rsidRDefault="00A3389E" w:rsidP="00A3389E">
            <w:pPr>
              <w:autoSpaceDE w:val="0"/>
              <w:autoSpaceDN w:val="0"/>
              <w:adjustRightInd w:val="0"/>
              <w:spacing w:after="120"/>
              <w:ind w:left="720" w:hanging="360"/>
              <w:contextualSpacing/>
              <w:jc w:val="both"/>
              <w:rPr>
                <w:rFonts w:ascii="Times New Roman" w:hAnsi="Times New Roman"/>
                <w:spacing w:val="-4"/>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023CBA">
              <w:rPr>
                <w:rFonts w:ascii="Times New Roman" w:hAnsi="Times New Roman"/>
                <w:spacing w:val="-4"/>
                <w:sz w:val="24"/>
              </w:rPr>
              <w:t>peňazí splatných</w:t>
            </w:r>
            <w:r w:rsidRPr="00023CBA">
              <w:rPr>
                <w:rFonts w:ascii="Times New Roman" w:hAnsi="Times New Roman"/>
                <w:spacing w:val="-4"/>
                <w:sz w:val="24"/>
              </w:rPr>
              <w:t xml:space="preserve"> z </w:t>
            </w:r>
            <w:r w:rsidR="001E06A3" w:rsidRPr="00023CBA">
              <w:rPr>
                <w:rFonts w:ascii="Times New Roman" w:hAnsi="Times New Roman"/>
                <w:spacing w:val="-4"/>
                <w:sz w:val="24"/>
              </w:rPr>
              <w:t>transakcií obchodného financovania, ako sa stanovuje</w:t>
            </w:r>
            <w:r w:rsidRPr="00023CBA">
              <w:rPr>
                <w:rFonts w:ascii="Times New Roman" w:hAnsi="Times New Roman"/>
                <w:spacing w:val="-4"/>
                <w:sz w:val="24"/>
              </w:rPr>
              <w:t xml:space="preserve"> v </w:t>
            </w:r>
            <w:r w:rsidR="001E06A3" w:rsidRPr="00023CBA">
              <w:rPr>
                <w:rFonts w:ascii="Times New Roman" w:hAnsi="Times New Roman"/>
                <w:spacing w:val="-4"/>
                <w:sz w:val="24"/>
              </w:rPr>
              <w:t>článku 32 ods. 2 písm. b) delegovaného nariadenia Komisie (EÚ) 2015/61, so zostatkovou splatnosťou nie dlhšou než 30 dní,</w:t>
            </w:r>
          </w:p>
          <w:p w14:paraId="681CDA5C" w14:textId="45E497D2" w:rsidR="001E06A3" w:rsidRPr="00A3389E" w:rsidRDefault="00A3389E" w:rsidP="00A3389E">
            <w:pPr>
              <w:autoSpaceDE w:val="0"/>
              <w:autoSpaceDN w:val="0"/>
              <w:adjustRightInd w:val="0"/>
              <w:spacing w:after="120"/>
              <w:ind w:left="720" w:hanging="360"/>
              <w:contextualSpacing/>
              <w:jc w:val="both"/>
              <w:rPr>
                <w:rFonts w:ascii="Times New Roman" w:hAnsi="Times New Roman"/>
                <w:b/>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kladných peňažných tokov zodpovedajúcich záporným peňažným tokom</w:t>
            </w:r>
            <w:r>
              <w:rPr>
                <w:rFonts w:ascii="Times New Roman" w:hAnsi="Times New Roman"/>
                <w:sz w:val="24"/>
              </w:rPr>
              <w:t xml:space="preserve"> v </w:t>
            </w:r>
            <w:r w:rsidR="001E06A3" w:rsidRPr="00A3389E">
              <w:rPr>
                <w:rFonts w:ascii="Times New Roman" w:hAnsi="Times New Roman"/>
                <w:sz w:val="24"/>
              </w:rPr>
              <w:t>súlade</w:t>
            </w:r>
            <w:r>
              <w:rPr>
                <w:rFonts w:ascii="Times New Roman" w:hAnsi="Times New Roman"/>
                <w:sz w:val="24"/>
              </w:rPr>
              <w:t xml:space="preserve"> s </w:t>
            </w:r>
            <w:r w:rsidR="001E06A3" w:rsidRPr="00A3389E">
              <w:rPr>
                <w:rFonts w:ascii="Times New Roman" w:hAnsi="Times New Roman"/>
                <w:sz w:val="24"/>
              </w:rPr>
              <w:t>prísľubmi podporných úverov, ako sa uvádza</w:t>
            </w:r>
            <w:r>
              <w:rPr>
                <w:rFonts w:ascii="Times New Roman" w:hAnsi="Times New Roman"/>
                <w:sz w:val="24"/>
              </w:rPr>
              <w:t xml:space="preserve"> v </w:t>
            </w:r>
            <w:r w:rsidR="001E06A3" w:rsidRPr="00A3389E">
              <w:rPr>
                <w:rFonts w:ascii="Times New Roman" w:hAnsi="Times New Roman"/>
                <w:sz w:val="24"/>
              </w:rPr>
              <w:t>článku 31 ods. 9 delegovaného nariadenia Komisie (EÚ) 2015/61.</w:t>
            </w:r>
          </w:p>
        </w:tc>
      </w:tr>
      <w:tr w:rsidR="001E06A3" w:rsidRPr="00A3389E" w14:paraId="0F39C37E" w14:textId="77777777" w:rsidTr="001E06A3">
        <w:trPr>
          <w:trHeight w:val="316"/>
        </w:trPr>
        <w:tc>
          <w:tcPr>
            <w:tcW w:w="1384" w:type="dxa"/>
          </w:tcPr>
          <w:p w14:paraId="1BE2423E"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19</w:t>
            </w:r>
          </w:p>
        </w:tc>
        <w:tc>
          <w:tcPr>
            <w:tcW w:w="7655" w:type="dxa"/>
          </w:tcPr>
          <w:p w14:paraId="521414D9" w14:textId="77777777" w:rsidR="001E06A3" w:rsidRPr="00A3389E" w:rsidRDefault="001E06A3" w:rsidP="001E06A3">
            <w:pPr>
              <w:spacing w:before="120" w:after="120" w:line="190" w:lineRule="exact"/>
              <w:rPr>
                <w:rFonts w:ascii="Times New Roman" w:hAnsi="Times New Roman" w:cs="Times New Roman"/>
                <w:sz w:val="24"/>
              </w:rPr>
            </w:pPr>
            <w:r w:rsidRPr="00A3389E">
              <w:rPr>
                <w:rFonts w:ascii="Times New Roman" w:hAnsi="Times New Roman" w:cs="Times New Roman"/>
                <w:b/>
                <w:sz w:val="24"/>
              </w:rPr>
              <w:t>Iné kladné peňažné toky</w:t>
            </w:r>
          </w:p>
          <w:p w14:paraId="677097E1" w14:textId="46FAAF4A" w:rsidR="001E06A3" w:rsidRPr="00A3389E" w:rsidRDefault="001E06A3" w:rsidP="001E06A3">
            <w:pPr>
              <w:spacing w:after="120" w:line="278" w:lineRule="exact"/>
              <w:jc w:val="both"/>
              <w:rPr>
                <w:rFonts w:ascii="Times New Roman" w:hAnsi="Times New Roman" w:cs="Times New Roman"/>
                <w:sz w:val="24"/>
              </w:rPr>
            </w:pPr>
            <w:r w:rsidRPr="00A3389E">
              <w:rPr>
                <w:rFonts w:ascii="Times New Roman" w:hAnsi="Times New Roman" w:cs="Times New Roman"/>
                <w:sz w:val="24"/>
              </w:rPr>
              <w:t>Inštitúcie ako neváženú hodnotu zverejňujú súčet celkových hodnôt položiek</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súčet kladných peňažných tokov položiek:</w:t>
            </w:r>
          </w:p>
          <w:p w14:paraId="3589D3FE" w14:textId="2FE21CEE" w:rsidR="00A3389E"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peňazí splatných</w:t>
            </w:r>
            <w:r>
              <w:rPr>
                <w:rFonts w:ascii="Times New Roman" w:hAnsi="Times New Roman"/>
                <w:sz w:val="24"/>
              </w:rPr>
              <w:t xml:space="preserve"> z </w:t>
            </w:r>
            <w:r w:rsidR="001E06A3" w:rsidRPr="00A3389E">
              <w:rPr>
                <w:rFonts w:ascii="Times New Roman" w:hAnsi="Times New Roman"/>
                <w:sz w:val="24"/>
              </w:rPr>
              <w:t>cenných papierov so splatnosťou do 30 dní, ako sa stanovuje</w:t>
            </w:r>
            <w:r>
              <w:rPr>
                <w:rFonts w:ascii="Times New Roman" w:hAnsi="Times New Roman"/>
                <w:sz w:val="24"/>
              </w:rPr>
              <w:t xml:space="preserve"> v </w:t>
            </w:r>
            <w:r w:rsidR="001E06A3" w:rsidRPr="00A3389E">
              <w:rPr>
                <w:rFonts w:ascii="Times New Roman" w:hAnsi="Times New Roman"/>
                <w:sz w:val="24"/>
              </w:rPr>
              <w:t>článku 32 ods. 2 písm. c) delegovaného nariadenia Komisie (EÚ) 2015/61,</w:t>
            </w:r>
          </w:p>
          <w:p w14:paraId="6815B1AA" w14:textId="191D43CF"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úverov bez stanoveného zmluvného konečného dátumu, ako sa stanovuje</w:t>
            </w:r>
            <w:r>
              <w:rPr>
                <w:rFonts w:ascii="Times New Roman" w:hAnsi="Times New Roman"/>
                <w:sz w:val="24"/>
              </w:rPr>
              <w:t xml:space="preserve"> v </w:t>
            </w:r>
            <w:r w:rsidR="001E06A3" w:rsidRPr="00A3389E">
              <w:rPr>
                <w:rFonts w:ascii="Times New Roman" w:hAnsi="Times New Roman"/>
                <w:sz w:val="24"/>
              </w:rPr>
              <w:t>článku 32 ods. 3 písm. i) delegovaného nariadenia Komisie (EÚ) 2015/61,</w:t>
            </w:r>
          </w:p>
          <w:p w14:paraId="234DABC3" w14:textId="5EF72816" w:rsidR="001E06A3" w:rsidRPr="00023CBA" w:rsidRDefault="00A3389E" w:rsidP="00A3389E">
            <w:pPr>
              <w:autoSpaceDE w:val="0"/>
              <w:autoSpaceDN w:val="0"/>
              <w:adjustRightInd w:val="0"/>
              <w:spacing w:after="120"/>
              <w:ind w:left="720" w:hanging="360"/>
              <w:contextualSpacing/>
              <w:jc w:val="both"/>
              <w:rPr>
                <w:rFonts w:ascii="Times New Roman" w:hAnsi="Times New Roman"/>
                <w:spacing w:val="-4"/>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023CBA">
              <w:rPr>
                <w:rFonts w:ascii="Times New Roman" w:hAnsi="Times New Roman"/>
                <w:spacing w:val="-4"/>
                <w:sz w:val="24"/>
              </w:rPr>
              <w:t>peňazí splatných</w:t>
            </w:r>
            <w:r w:rsidRPr="00023CBA">
              <w:rPr>
                <w:rFonts w:ascii="Times New Roman" w:hAnsi="Times New Roman"/>
                <w:spacing w:val="-4"/>
                <w:sz w:val="24"/>
              </w:rPr>
              <w:t xml:space="preserve"> z </w:t>
            </w:r>
            <w:r w:rsidR="001E06A3" w:rsidRPr="00023CBA">
              <w:rPr>
                <w:rFonts w:ascii="Times New Roman" w:hAnsi="Times New Roman"/>
                <w:spacing w:val="-4"/>
                <w:sz w:val="24"/>
              </w:rPr>
              <w:t>pozícií</w:t>
            </w:r>
            <w:r w:rsidRPr="00023CBA">
              <w:rPr>
                <w:rFonts w:ascii="Times New Roman" w:hAnsi="Times New Roman"/>
                <w:spacing w:val="-4"/>
                <w:sz w:val="24"/>
              </w:rPr>
              <w:t xml:space="preserve"> v </w:t>
            </w:r>
            <w:r w:rsidR="001E06A3" w:rsidRPr="00023CBA">
              <w:rPr>
                <w:rFonts w:ascii="Times New Roman" w:hAnsi="Times New Roman"/>
                <w:spacing w:val="-4"/>
                <w:sz w:val="24"/>
              </w:rPr>
              <w:t>nástrojoch vlastného imania viazaných na významný index za predpokladu, že nedochádza</w:t>
            </w:r>
            <w:r w:rsidRPr="00023CBA">
              <w:rPr>
                <w:rFonts w:ascii="Times New Roman" w:hAnsi="Times New Roman"/>
                <w:spacing w:val="-4"/>
                <w:sz w:val="24"/>
              </w:rPr>
              <w:t xml:space="preserve"> k </w:t>
            </w:r>
            <w:r w:rsidR="001E06A3" w:rsidRPr="00023CBA">
              <w:rPr>
                <w:rFonts w:ascii="Times New Roman" w:hAnsi="Times New Roman"/>
                <w:spacing w:val="-4"/>
                <w:sz w:val="24"/>
              </w:rPr>
              <w:t>dvojitému započítavaniu</w:t>
            </w:r>
            <w:r w:rsidRPr="00023CBA">
              <w:rPr>
                <w:rFonts w:ascii="Times New Roman" w:hAnsi="Times New Roman"/>
                <w:spacing w:val="-4"/>
                <w:sz w:val="24"/>
              </w:rPr>
              <w:t xml:space="preserve"> s </w:t>
            </w:r>
            <w:r w:rsidR="001E06A3" w:rsidRPr="00023CBA">
              <w:rPr>
                <w:rFonts w:ascii="Times New Roman" w:hAnsi="Times New Roman"/>
                <w:spacing w:val="-4"/>
                <w:sz w:val="24"/>
              </w:rPr>
              <w:t>likvidnými aktívami, ako sa stanovuje</w:t>
            </w:r>
            <w:r w:rsidRPr="00023CBA">
              <w:rPr>
                <w:rFonts w:ascii="Times New Roman" w:hAnsi="Times New Roman"/>
                <w:spacing w:val="-4"/>
                <w:sz w:val="24"/>
              </w:rPr>
              <w:t xml:space="preserve"> v </w:t>
            </w:r>
            <w:r w:rsidR="001E06A3" w:rsidRPr="00023CBA">
              <w:rPr>
                <w:rFonts w:ascii="Times New Roman" w:hAnsi="Times New Roman"/>
                <w:spacing w:val="-4"/>
                <w:sz w:val="24"/>
              </w:rPr>
              <w:t>článku 32 ods. 2 písm. d) delegovaného nariadenia Komisie (EÚ) 2015/61. Pozícia zahŕňa peniaze, ktoré sú zmluvne splatné do 30 kalendárnych dní, ako napríklad dividendy</w:t>
            </w:r>
            <w:r w:rsidRPr="00023CBA">
              <w:rPr>
                <w:rFonts w:ascii="Times New Roman" w:hAnsi="Times New Roman"/>
                <w:spacing w:val="-4"/>
                <w:sz w:val="24"/>
              </w:rPr>
              <w:t xml:space="preserve"> z </w:t>
            </w:r>
            <w:r w:rsidR="001E06A3" w:rsidRPr="00023CBA">
              <w:rPr>
                <w:rFonts w:ascii="Times New Roman" w:hAnsi="Times New Roman"/>
                <w:spacing w:val="-4"/>
                <w:sz w:val="24"/>
              </w:rPr>
              <w:t>takýchto významných indexov vyplácané</w:t>
            </w:r>
            <w:r w:rsidRPr="00023CBA">
              <w:rPr>
                <w:rFonts w:ascii="Times New Roman" w:hAnsi="Times New Roman"/>
                <w:spacing w:val="-4"/>
                <w:sz w:val="24"/>
              </w:rPr>
              <w:t xml:space="preserve"> v </w:t>
            </w:r>
            <w:r w:rsidR="001E06A3" w:rsidRPr="00023CBA">
              <w:rPr>
                <w:rFonts w:ascii="Times New Roman" w:hAnsi="Times New Roman"/>
                <w:spacing w:val="-4"/>
                <w:sz w:val="24"/>
              </w:rPr>
              <w:t>hotovosti</w:t>
            </w:r>
            <w:r w:rsidRPr="00023CBA">
              <w:rPr>
                <w:rFonts w:ascii="Times New Roman" w:hAnsi="Times New Roman"/>
                <w:spacing w:val="-4"/>
                <w:sz w:val="24"/>
              </w:rPr>
              <w:t xml:space="preserve"> a </w:t>
            </w:r>
            <w:r w:rsidR="001E06A3" w:rsidRPr="00023CBA">
              <w:rPr>
                <w:rFonts w:ascii="Times New Roman" w:hAnsi="Times New Roman"/>
                <w:spacing w:val="-4"/>
                <w:sz w:val="24"/>
              </w:rPr>
              <w:t>hotovosť splatná</w:t>
            </w:r>
            <w:r w:rsidRPr="00023CBA">
              <w:rPr>
                <w:rFonts w:ascii="Times New Roman" w:hAnsi="Times New Roman"/>
                <w:spacing w:val="-4"/>
                <w:sz w:val="24"/>
              </w:rPr>
              <w:t xml:space="preserve"> z </w:t>
            </w:r>
            <w:r w:rsidR="001E06A3" w:rsidRPr="00023CBA">
              <w:rPr>
                <w:rFonts w:ascii="Times New Roman" w:hAnsi="Times New Roman"/>
                <w:spacing w:val="-4"/>
                <w:sz w:val="24"/>
              </w:rPr>
              <w:t xml:space="preserve">takýchto predaných, ale ešte nevyrovnaných nástrojov vlastného imania, ak sa neuznávajú za </w:t>
            </w:r>
            <w:r w:rsidR="001E06A3" w:rsidRPr="00023CBA">
              <w:rPr>
                <w:rFonts w:ascii="Times New Roman" w:hAnsi="Times New Roman"/>
                <w:spacing w:val="-4"/>
                <w:sz w:val="24"/>
              </w:rPr>
              <w:lastRenderedPageBreak/>
              <w:t>likvidné aktíva</w:t>
            </w:r>
            <w:r w:rsidRPr="00023CBA">
              <w:rPr>
                <w:rFonts w:ascii="Times New Roman" w:hAnsi="Times New Roman"/>
                <w:spacing w:val="-4"/>
                <w:sz w:val="24"/>
              </w:rPr>
              <w:t xml:space="preserve"> v </w:t>
            </w:r>
            <w:r w:rsidR="001E06A3" w:rsidRPr="00023CBA">
              <w:rPr>
                <w:rFonts w:ascii="Times New Roman" w:hAnsi="Times New Roman"/>
                <w:spacing w:val="-4"/>
                <w:sz w:val="24"/>
              </w:rPr>
              <w:t>súlade</w:t>
            </w:r>
            <w:r w:rsidRPr="00023CBA">
              <w:rPr>
                <w:rFonts w:ascii="Times New Roman" w:hAnsi="Times New Roman"/>
                <w:spacing w:val="-4"/>
                <w:sz w:val="24"/>
              </w:rPr>
              <w:t xml:space="preserve"> s </w:t>
            </w:r>
            <w:r w:rsidR="001E06A3" w:rsidRPr="00023CBA">
              <w:rPr>
                <w:rFonts w:ascii="Times New Roman" w:hAnsi="Times New Roman"/>
                <w:spacing w:val="-4"/>
                <w:sz w:val="24"/>
              </w:rPr>
              <w:t>hlavou II delegovaného nariadenia Komisie (EÚ) 2015/61,</w:t>
            </w:r>
          </w:p>
          <w:p w14:paraId="3F10DC53" w14:textId="7B799D9D" w:rsidR="00A3389E" w:rsidRPr="00023CBA" w:rsidRDefault="00A3389E" w:rsidP="00A3389E">
            <w:pPr>
              <w:autoSpaceDE w:val="0"/>
              <w:autoSpaceDN w:val="0"/>
              <w:adjustRightInd w:val="0"/>
              <w:spacing w:after="120"/>
              <w:ind w:left="720" w:hanging="360"/>
              <w:contextualSpacing/>
              <w:jc w:val="both"/>
              <w:rPr>
                <w:rFonts w:ascii="Times New Roman" w:hAnsi="Times New Roman"/>
                <w:spacing w:val="-4"/>
                <w:sz w:val="24"/>
              </w:rPr>
            </w:pPr>
            <w:r w:rsidRPr="00023CBA">
              <w:rPr>
                <w:rFonts w:ascii="Symbol" w:eastAsia="Calibri" w:hAnsi="Symbol" w:cs="Times New Roman"/>
                <w:spacing w:val="-4"/>
                <w:sz w:val="24"/>
                <w:szCs w:val="22"/>
              </w:rPr>
              <w:t></w:t>
            </w:r>
            <w:r w:rsidRPr="00023CBA">
              <w:rPr>
                <w:rFonts w:ascii="Symbol" w:eastAsia="Calibri" w:hAnsi="Symbol" w:cs="Times New Roman"/>
                <w:spacing w:val="-4"/>
                <w:sz w:val="24"/>
                <w:szCs w:val="22"/>
              </w:rPr>
              <w:tab/>
            </w:r>
            <w:r w:rsidR="001E06A3" w:rsidRPr="00023CBA">
              <w:rPr>
                <w:rFonts w:ascii="Times New Roman" w:hAnsi="Times New Roman"/>
                <w:spacing w:val="-4"/>
                <w:sz w:val="24"/>
              </w:rPr>
              <w:t>kladných peňažných tokov</w:t>
            </w:r>
            <w:r w:rsidRPr="00023CBA">
              <w:rPr>
                <w:rFonts w:ascii="Times New Roman" w:hAnsi="Times New Roman"/>
                <w:spacing w:val="-4"/>
                <w:sz w:val="24"/>
              </w:rPr>
              <w:t xml:space="preserve"> z </w:t>
            </w:r>
            <w:r w:rsidR="001E06A3" w:rsidRPr="00023CBA">
              <w:rPr>
                <w:rFonts w:ascii="Times New Roman" w:hAnsi="Times New Roman"/>
                <w:spacing w:val="-4"/>
                <w:sz w:val="24"/>
              </w:rPr>
              <w:t>uvoľnených zostatkov</w:t>
            </w:r>
            <w:r w:rsidRPr="00023CBA">
              <w:rPr>
                <w:rFonts w:ascii="Times New Roman" w:hAnsi="Times New Roman"/>
                <w:spacing w:val="-4"/>
                <w:sz w:val="24"/>
              </w:rPr>
              <w:t xml:space="preserve"> v </w:t>
            </w:r>
            <w:r w:rsidR="001E06A3" w:rsidRPr="00023CBA">
              <w:rPr>
                <w:rFonts w:ascii="Times New Roman" w:hAnsi="Times New Roman"/>
                <w:spacing w:val="-4"/>
                <w:sz w:val="24"/>
              </w:rPr>
              <w:t>držbe na oddelených účtoch</w:t>
            </w:r>
            <w:r w:rsidRPr="00023CBA">
              <w:rPr>
                <w:rFonts w:ascii="Times New Roman" w:hAnsi="Times New Roman"/>
                <w:spacing w:val="-4"/>
                <w:sz w:val="24"/>
              </w:rPr>
              <w:t xml:space="preserve"> v </w:t>
            </w:r>
            <w:r w:rsidR="001E06A3" w:rsidRPr="00023CBA">
              <w:rPr>
                <w:rFonts w:ascii="Times New Roman" w:hAnsi="Times New Roman"/>
                <w:spacing w:val="-4"/>
                <w:sz w:val="24"/>
              </w:rPr>
              <w:t>súlade</w:t>
            </w:r>
            <w:r w:rsidRPr="00023CBA">
              <w:rPr>
                <w:rFonts w:ascii="Times New Roman" w:hAnsi="Times New Roman"/>
                <w:spacing w:val="-4"/>
                <w:sz w:val="24"/>
              </w:rPr>
              <w:t xml:space="preserve"> s </w:t>
            </w:r>
            <w:r w:rsidR="001E06A3" w:rsidRPr="00023CBA">
              <w:rPr>
                <w:rFonts w:ascii="Times New Roman" w:hAnsi="Times New Roman"/>
                <w:spacing w:val="-4"/>
                <w:sz w:val="24"/>
              </w:rPr>
              <w:t>regulatórnymi požiadavkami na ochranu aktív klienta</w:t>
            </w:r>
            <w:r w:rsidRPr="00023CBA">
              <w:rPr>
                <w:rFonts w:ascii="Times New Roman" w:hAnsi="Times New Roman"/>
                <w:spacing w:val="-4"/>
                <w:sz w:val="24"/>
              </w:rPr>
              <w:t xml:space="preserve"> z </w:t>
            </w:r>
            <w:r w:rsidR="001E06A3" w:rsidRPr="00023CBA">
              <w:rPr>
                <w:rFonts w:ascii="Times New Roman" w:hAnsi="Times New Roman"/>
                <w:spacing w:val="-4"/>
                <w:sz w:val="24"/>
              </w:rPr>
              <w:t>obchodovania, ako sa stanovuje</w:t>
            </w:r>
            <w:r w:rsidRPr="00023CBA">
              <w:rPr>
                <w:rFonts w:ascii="Times New Roman" w:hAnsi="Times New Roman"/>
                <w:spacing w:val="-4"/>
                <w:sz w:val="24"/>
              </w:rPr>
              <w:t xml:space="preserve"> v </w:t>
            </w:r>
            <w:r w:rsidR="001E06A3" w:rsidRPr="00023CBA">
              <w:rPr>
                <w:rFonts w:ascii="Times New Roman" w:hAnsi="Times New Roman"/>
                <w:spacing w:val="-4"/>
                <w:sz w:val="24"/>
              </w:rPr>
              <w:t>článku 32 ods. 4 delegovaného nariadenia Komisie (EÚ) 2015/61. Kladné peňažné toky sa zohľadňujú len vtedy, ak sa tieto zostatky zachovávajú</w:t>
            </w:r>
            <w:r w:rsidRPr="00023CBA">
              <w:rPr>
                <w:rFonts w:ascii="Times New Roman" w:hAnsi="Times New Roman"/>
                <w:spacing w:val="-4"/>
                <w:sz w:val="24"/>
              </w:rPr>
              <w:t xml:space="preserve"> v </w:t>
            </w:r>
            <w:r w:rsidR="001E06A3" w:rsidRPr="00023CBA">
              <w:rPr>
                <w:rFonts w:ascii="Times New Roman" w:hAnsi="Times New Roman"/>
                <w:spacing w:val="-4"/>
                <w:sz w:val="24"/>
              </w:rPr>
              <w:t>likvidných aktívach, ako sa stanovuje</w:t>
            </w:r>
            <w:r w:rsidRPr="00023CBA">
              <w:rPr>
                <w:rFonts w:ascii="Times New Roman" w:hAnsi="Times New Roman"/>
                <w:spacing w:val="-4"/>
                <w:sz w:val="24"/>
              </w:rPr>
              <w:t xml:space="preserve"> v </w:t>
            </w:r>
            <w:r w:rsidR="001E06A3" w:rsidRPr="00023CBA">
              <w:rPr>
                <w:rFonts w:ascii="Times New Roman" w:hAnsi="Times New Roman"/>
                <w:spacing w:val="-4"/>
                <w:sz w:val="24"/>
              </w:rPr>
              <w:t>hlave II delegovaného nariadenia Komisie (EÚ) 2015/61,</w:t>
            </w:r>
          </w:p>
          <w:p w14:paraId="5B7B3BB6" w14:textId="423D40BC" w:rsidR="001E06A3" w:rsidRPr="00023CBA" w:rsidRDefault="00A3389E" w:rsidP="00A3389E">
            <w:pPr>
              <w:autoSpaceDE w:val="0"/>
              <w:autoSpaceDN w:val="0"/>
              <w:adjustRightInd w:val="0"/>
              <w:spacing w:after="120"/>
              <w:ind w:left="720" w:hanging="360"/>
              <w:contextualSpacing/>
              <w:jc w:val="both"/>
              <w:rPr>
                <w:rFonts w:ascii="Times New Roman" w:hAnsi="Times New Roman"/>
                <w:spacing w:val="-6"/>
                <w:sz w:val="24"/>
              </w:rPr>
            </w:pPr>
            <w:r w:rsidRPr="00023CBA">
              <w:rPr>
                <w:rFonts w:ascii="Symbol" w:eastAsia="Calibri" w:hAnsi="Symbol" w:cs="Times New Roman"/>
                <w:spacing w:val="-4"/>
                <w:sz w:val="24"/>
                <w:szCs w:val="22"/>
              </w:rPr>
              <w:t></w:t>
            </w:r>
            <w:r w:rsidRPr="00023CBA">
              <w:rPr>
                <w:rFonts w:ascii="Symbol" w:eastAsia="Calibri" w:hAnsi="Symbol" w:cs="Times New Roman"/>
                <w:spacing w:val="-4"/>
                <w:sz w:val="24"/>
                <w:szCs w:val="22"/>
              </w:rPr>
              <w:tab/>
            </w:r>
            <w:r w:rsidR="001E06A3" w:rsidRPr="00023CBA">
              <w:rPr>
                <w:rFonts w:ascii="Times New Roman" w:hAnsi="Times New Roman"/>
                <w:spacing w:val="-6"/>
                <w:sz w:val="24"/>
              </w:rPr>
              <w:t>kladných peňažných tokov</w:t>
            </w:r>
            <w:r w:rsidRPr="00023CBA">
              <w:rPr>
                <w:rFonts w:ascii="Times New Roman" w:hAnsi="Times New Roman"/>
                <w:spacing w:val="-6"/>
                <w:sz w:val="24"/>
              </w:rPr>
              <w:t xml:space="preserve"> z </w:t>
            </w:r>
            <w:r w:rsidR="001E06A3" w:rsidRPr="00023CBA">
              <w:rPr>
                <w:rFonts w:ascii="Times New Roman" w:hAnsi="Times New Roman"/>
                <w:spacing w:val="-6"/>
                <w:sz w:val="24"/>
              </w:rPr>
              <w:t>derivátov, ako sa stanovuje</w:t>
            </w:r>
            <w:r w:rsidRPr="00023CBA">
              <w:rPr>
                <w:rFonts w:ascii="Times New Roman" w:hAnsi="Times New Roman"/>
                <w:spacing w:val="-6"/>
                <w:sz w:val="24"/>
              </w:rPr>
              <w:t xml:space="preserve"> v </w:t>
            </w:r>
            <w:r w:rsidR="001E06A3" w:rsidRPr="00023CBA">
              <w:rPr>
                <w:rFonts w:ascii="Times New Roman" w:hAnsi="Times New Roman"/>
                <w:spacing w:val="-6"/>
                <w:sz w:val="24"/>
              </w:rPr>
              <w:t>článku 32 ods. 5</w:t>
            </w:r>
            <w:r w:rsidRPr="00023CBA">
              <w:rPr>
                <w:rFonts w:ascii="Times New Roman" w:hAnsi="Times New Roman"/>
                <w:spacing w:val="-6"/>
                <w:sz w:val="24"/>
              </w:rPr>
              <w:t xml:space="preserve"> v </w:t>
            </w:r>
            <w:r w:rsidR="001E06A3" w:rsidRPr="00023CBA">
              <w:rPr>
                <w:rFonts w:ascii="Times New Roman" w:hAnsi="Times New Roman"/>
                <w:spacing w:val="-6"/>
                <w:sz w:val="24"/>
              </w:rPr>
              <w:t>spojení</w:t>
            </w:r>
            <w:r w:rsidRPr="00023CBA">
              <w:rPr>
                <w:rFonts w:ascii="Times New Roman" w:hAnsi="Times New Roman"/>
                <w:spacing w:val="-6"/>
                <w:sz w:val="24"/>
              </w:rPr>
              <w:t xml:space="preserve"> s </w:t>
            </w:r>
            <w:r w:rsidR="001E06A3" w:rsidRPr="00023CBA">
              <w:rPr>
                <w:rFonts w:ascii="Times New Roman" w:hAnsi="Times New Roman"/>
                <w:spacing w:val="-6"/>
                <w:sz w:val="24"/>
              </w:rPr>
              <w:t>článkom 21 delegovaného nariadenia Komisie (EÚ) 2015/61,</w:t>
            </w:r>
          </w:p>
          <w:p w14:paraId="4DD5CEF9" w14:textId="0979A6CC" w:rsidR="00A3389E"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kladných peňažných tokov</w:t>
            </w:r>
            <w:r>
              <w:rPr>
                <w:rFonts w:ascii="Times New Roman" w:hAnsi="Times New Roman"/>
                <w:sz w:val="24"/>
              </w:rPr>
              <w:t xml:space="preserve"> z </w:t>
            </w:r>
            <w:r w:rsidR="001E06A3" w:rsidRPr="00A3389E">
              <w:rPr>
                <w:rFonts w:ascii="Times New Roman" w:hAnsi="Times New Roman"/>
                <w:sz w:val="24"/>
              </w:rPr>
              <w:t>nevyčerpaných kreditných facilít alebo nástrojov likvidity poskytnutých členmi skupiny alebo schémy inštitucionálneho zabezpečenia, ak príslušné orgány udelili povolenie uplatňovať vyššiu mieru kladných peňažných tokov</w:t>
            </w:r>
            <w:r>
              <w:rPr>
                <w:rFonts w:ascii="Times New Roman" w:hAnsi="Times New Roman"/>
                <w:sz w:val="24"/>
              </w:rPr>
              <w:t xml:space="preserve"> v </w:t>
            </w:r>
            <w:r w:rsidR="001E06A3" w:rsidRPr="00A3389E">
              <w:rPr>
                <w:rFonts w:ascii="Times New Roman" w:hAnsi="Times New Roman"/>
                <w:sz w:val="24"/>
              </w:rPr>
              <w:t>súlade</w:t>
            </w:r>
            <w:r>
              <w:rPr>
                <w:rFonts w:ascii="Times New Roman" w:hAnsi="Times New Roman"/>
                <w:sz w:val="24"/>
              </w:rPr>
              <w:t xml:space="preserve"> s </w:t>
            </w:r>
            <w:r w:rsidR="001E06A3" w:rsidRPr="00A3389E">
              <w:rPr>
                <w:rFonts w:ascii="Times New Roman" w:hAnsi="Times New Roman"/>
                <w:sz w:val="24"/>
              </w:rPr>
              <w:t>článkom 34 delegovaného nariadenia Komisie (EÚ) 2015/61,</w:t>
            </w:r>
          </w:p>
          <w:p w14:paraId="41951454" w14:textId="6F9F57A7" w:rsidR="001E06A3" w:rsidRPr="00A3389E" w:rsidRDefault="00A3389E" w:rsidP="00A3389E">
            <w:pPr>
              <w:autoSpaceDE w:val="0"/>
              <w:autoSpaceDN w:val="0"/>
              <w:adjustRightInd w:val="0"/>
              <w:spacing w:after="120"/>
              <w:ind w:left="720" w:hanging="360"/>
              <w:contextualSpacing/>
              <w:jc w:val="both"/>
              <w:rPr>
                <w:rFonts w:ascii="Times New Roman" w:hAnsi="Times New Roman"/>
                <w:b/>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 xml:space="preserve">iných kladných peňažných tokov podľa článku 32 ods. 2 delegovaného nariadenia Komisie (EÚ) 2015/61. </w:t>
            </w:r>
          </w:p>
        </w:tc>
      </w:tr>
      <w:tr w:rsidR="001E06A3" w:rsidRPr="00A3389E" w14:paraId="41CB1A87" w14:textId="77777777" w:rsidTr="001E06A3">
        <w:trPr>
          <w:trHeight w:val="316"/>
        </w:trPr>
        <w:tc>
          <w:tcPr>
            <w:tcW w:w="1384" w:type="dxa"/>
          </w:tcPr>
          <w:p w14:paraId="360D7E9C"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EU-19a</w:t>
            </w:r>
          </w:p>
        </w:tc>
        <w:tc>
          <w:tcPr>
            <w:tcW w:w="7655" w:type="dxa"/>
          </w:tcPr>
          <w:p w14:paraId="3EBEE53D" w14:textId="36F34C7B" w:rsidR="001E06A3" w:rsidRPr="00A3389E" w:rsidRDefault="001E06A3" w:rsidP="001E06A3">
            <w:pPr>
              <w:spacing w:before="120" w:after="120" w:line="278" w:lineRule="exact"/>
              <w:rPr>
                <w:rFonts w:ascii="Times New Roman" w:hAnsi="Times New Roman" w:cs="Times New Roman"/>
                <w:b/>
                <w:sz w:val="24"/>
              </w:rPr>
            </w:pPr>
            <w:r w:rsidRPr="00A3389E">
              <w:rPr>
                <w:rFonts w:ascii="Times New Roman" w:hAnsi="Times New Roman" w:cs="Times New Roman"/>
                <w:b/>
                <w:sz w:val="24"/>
              </w:rPr>
              <w:t>(Rozdiel medzi celkovými váženými kladnými peňažnými tokmi</w:t>
            </w:r>
            <w:r w:rsidR="00A3389E">
              <w:rPr>
                <w:rFonts w:ascii="Times New Roman" w:hAnsi="Times New Roman" w:cs="Times New Roman"/>
                <w:b/>
                <w:sz w:val="24"/>
              </w:rPr>
              <w:t xml:space="preserve"> a </w:t>
            </w:r>
            <w:r w:rsidRPr="00A3389E">
              <w:rPr>
                <w:rFonts w:ascii="Times New Roman" w:hAnsi="Times New Roman" w:cs="Times New Roman"/>
                <w:b/>
                <w:sz w:val="24"/>
              </w:rPr>
              <w:t>celkovými váženými zápornými peňažnými tokmi, ktoré vyplývajú</w:t>
            </w:r>
            <w:r w:rsidR="00A3389E">
              <w:rPr>
                <w:rFonts w:ascii="Times New Roman" w:hAnsi="Times New Roman" w:cs="Times New Roman"/>
                <w:b/>
                <w:sz w:val="24"/>
              </w:rPr>
              <w:t xml:space="preserve"> z </w:t>
            </w:r>
            <w:r w:rsidRPr="00A3389E">
              <w:rPr>
                <w:rFonts w:ascii="Times New Roman" w:hAnsi="Times New Roman" w:cs="Times New Roman"/>
                <w:b/>
                <w:sz w:val="24"/>
              </w:rPr>
              <w:t>transakcií</w:t>
            </w:r>
            <w:r w:rsidR="00A3389E">
              <w:rPr>
                <w:rFonts w:ascii="Times New Roman" w:hAnsi="Times New Roman" w:cs="Times New Roman"/>
                <w:b/>
                <w:sz w:val="24"/>
              </w:rPr>
              <w:t xml:space="preserve"> v </w:t>
            </w:r>
            <w:r w:rsidRPr="00A3389E">
              <w:rPr>
                <w:rFonts w:ascii="Times New Roman" w:hAnsi="Times New Roman" w:cs="Times New Roman"/>
                <w:b/>
                <w:sz w:val="24"/>
              </w:rPr>
              <w:t>tretích krajinách,</w:t>
            </w:r>
            <w:r w:rsidR="00A3389E">
              <w:rPr>
                <w:rFonts w:ascii="Times New Roman" w:hAnsi="Times New Roman" w:cs="Times New Roman"/>
                <w:b/>
                <w:sz w:val="24"/>
              </w:rPr>
              <w:t xml:space="preserve"> v </w:t>
            </w:r>
            <w:r w:rsidRPr="00A3389E">
              <w:rPr>
                <w:rFonts w:ascii="Times New Roman" w:hAnsi="Times New Roman" w:cs="Times New Roman"/>
                <w:b/>
                <w:sz w:val="24"/>
              </w:rPr>
              <w:t>ktorých existujú obmedzenia prevodu, alebo ktoré sú denominované</w:t>
            </w:r>
            <w:r w:rsidR="00A3389E">
              <w:rPr>
                <w:rFonts w:ascii="Times New Roman" w:hAnsi="Times New Roman" w:cs="Times New Roman"/>
                <w:b/>
                <w:sz w:val="24"/>
              </w:rPr>
              <w:t xml:space="preserve"> v </w:t>
            </w:r>
            <w:r w:rsidRPr="00A3389E">
              <w:rPr>
                <w:rFonts w:ascii="Times New Roman" w:hAnsi="Times New Roman" w:cs="Times New Roman"/>
                <w:b/>
                <w:sz w:val="24"/>
              </w:rPr>
              <w:t>nekonvertibilných menách)</w:t>
            </w:r>
          </w:p>
          <w:p w14:paraId="3C6D2256" w14:textId="550B176E" w:rsidR="001E06A3" w:rsidRPr="00A3389E" w:rsidRDefault="001E06A3" w:rsidP="001E06A3">
            <w:pPr>
              <w:spacing w:after="120" w:line="278" w:lineRule="exact"/>
              <w:jc w:val="both"/>
              <w:rPr>
                <w:rFonts w:ascii="Times New Roman" w:hAnsi="Times New Roman" w:cs="Times New Roman"/>
                <w:sz w:val="24"/>
              </w:rPr>
            </w:pPr>
            <w:r w:rsidRPr="00A3389E">
              <w:rPr>
                <w:rFonts w:ascii="Times New Roman" w:hAnsi="Times New Roman" w:cs="Times New Roman"/>
                <w:sz w:val="24"/>
              </w:rPr>
              <w:t>Ako sa stanovuje</w:t>
            </w:r>
            <w:r w:rsidR="00A3389E">
              <w:rPr>
                <w:rFonts w:ascii="Times New Roman" w:hAnsi="Times New Roman" w:cs="Times New Roman"/>
                <w:sz w:val="24"/>
              </w:rPr>
              <w:t xml:space="preserve"> v </w:t>
            </w:r>
            <w:r w:rsidRPr="00A3389E">
              <w:rPr>
                <w:rFonts w:ascii="Times New Roman" w:hAnsi="Times New Roman" w:cs="Times New Roman"/>
                <w:sz w:val="24"/>
              </w:rPr>
              <w:t>článku 32 ods. 8 delegovaného nariadenia Komisie (EÚ) 2015/61, inštitúcie ako váženú hodnotu zverejňujú prebytok týchto vážených kladných peňažných tokov vo vzťahu</w:t>
            </w:r>
            <w:r w:rsidR="00A3389E">
              <w:rPr>
                <w:rFonts w:ascii="Times New Roman" w:hAnsi="Times New Roman" w:cs="Times New Roman"/>
                <w:sz w:val="24"/>
              </w:rPr>
              <w:t xml:space="preserve"> k </w:t>
            </w:r>
            <w:r w:rsidRPr="00A3389E">
              <w:rPr>
                <w:rFonts w:ascii="Times New Roman" w:hAnsi="Times New Roman" w:cs="Times New Roman"/>
                <w:sz w:val="24"/>
              </w:rPr>
              <w:t>týmto záporným peňažným tokom.</w:t>
            </w:r>
          </w:p>
        </w:tc>
      </w:tr>
      <w:tr w:rsidR="001E06A3" w:rsidRPr="00A3389E" w14:paraId="23724CD1" w14:textId="77777777" w:rsidTr="001E06A3">
        <w:trPr>
          <w:trHeight w:val="316"/>
        </w:trPr>
        <w:tc>
          <w:tcPr>
            <w:tcW w:w="1384" w:type="dxa"/>
          </w:tcPr>
          <w:p w14:paraId="27C58C5B"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EU-19b</w:t>
            </w:r>
          </w:p>
        </w:tc>
        <w:tc>
          <w:tcPr>
            <w:tcW w:w="7655" w:type="dxa"/>
          </w:tcPr>
          <w:p w14:paraId="60A63455" w14:textId="4BA69AA3" w:rsidR="001E06A3" w:rsidRPr="00023CBA" w:rsidRDefault="001E06A3" w:rsidP="00023CBA">
            <w:pPr>
              <w:spacing w:before="120" w:after="120"/>
              <w:jc w:val="both"/>
              <w:rPr>
                <w:rFonts w:ascii="Times New Roman Bold" w:hAnsi="Times New Roman Bold" w:cs="Times New Roman"/>
                <w:b/>
                <w:sz w:val="24"/>
              </w:rPr>
            </w:pPr>
            <w:r w:rsidRPr="00023CBA">
              <w:rPr>
                <w:rFonts w:ascii="Times New Roman Bold" w:hAnsi="Times New Roman Bold" w:cs="Times New Roman"/>
                <w:b/>
                <w:sz w:val="24"/>
              </w:rPr>
              <w:t>(Prebytok kladných peňažných tokov</w:t>
            </w:r>
            <w:r w:rsidR="00A3389E" w:rsidRPr="00023CBA">
              <w:rPr>
                <w:rFonts w:ascii="Times New Roman Bold" w:hAnsi="Times New Roman Bold" w:cs="Times New Roman"/>
                <w:b/>
                <w:sz w:val="24"/>
              </w:rPr>
              <w:t xml:space="preserve"> z </w:t>
            </w:r>
            <w:r w:rsidRPr="00023CBA">
              <w:rPr>
                <w:rFonts w:ascii="Times New Roman Bold" w:hAnsi="Times New Roman Bold" w:cs="Times New Roman"/>
                <w:b/>
                <w:sz w:val="24"/>
              </w:rPr>
              <w:t>prepojenej špecializovanej úverovej inštitúcie)</w:t>
            </w:r>
          </w:p>
          <w:p w14:paraId="63328056" w14:textId="5F0FA645"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Ako sa stanovuje</w:t>
            </w:r>
            <w:r w:rsidR="00A3389E">
              <w:rPr>
                <w:rFonts w:ascii="Times New Roman" w:hAnsi="Times New Roman" w:cs="Times New Roman"/>
                <w:sz w:val="24"/>
              </w:rPr>
              <w:t xml:space="preserve"> v </w:t>
            </w:r>
            <w:r w:rsidRPr="00A3389E">
              <w:rPr>
                <w:rFonts w:ascii="Times New Roman" w:hAnsi="Times New Roman" w:cs="Times New Roman"/>
                <w:sz w:val="24"/>
              </w:rPr>
              <w:t>článku 2 ods. 3 písm. e)</w:t>
            </w:r>
            <w:r w:rsidR="00A3389E">
              <w:rPr>
                <w:rFonts w:ascii="Times New Roman" w:hAnsi="Times New Roman" w:cs="Times New Roman"/>
                <w:sz w:val="24"/>
              </w:rPr>
              <w:t xml:space="preserve"> a v </w:t>
            </w:r>
            <w:r w:rsidRPr="00A3389E">
              <w:rPr>
                <w:rFonts w:ascii="Times New Roman" w:hAnsi="Times New Roman" w:cs="Times New Roman"/>
                <w:sz w:val="24"/>
              </w:rPr>
              <w:t>článku 33 ods. 6 delegovaného nariadenia Komisie (EÚ) 2015/61, úverové inštitúcie na účely zverejňovania na konsolidovanom základe zverejňujú ako váženú hodnotu kladné peňažné toky vyplývajúce</w:t>
            </w:r>
            <w:r w:rsidR="00A3389E">
              <w:rPr>
                <w:rFonts w:ascii="Times New Roman" w:hAnsi="Times New Roman" w:cs="Times New Roman"/>
                <w:sz w:val="24"/>
              </w:rPr>
              <w:t xml:space="preserve"> z </w:t>
            </w:r>
            <w:r w:rsidRPr="00A3389E">
              <w:rPr>
                <w:rFonts w:ascii="Times New Roman" w:hAnsi="Times New Roman" w:cs="Times New Roman"/>
                <w:sz w:val="24"/>
              </w:rPr>
              <w:t>prepojenej špecializovanej úverovej inštitúcie uvedenej</w:t>
            </w:r>
            <w:r w:rsidR="00A3389E">
              <w:rPr>
                <w:rFonts w:ascii="Times New Roman" w:hAnsi="Times New Roman" w:cs="Times New Roman"/>
                <w:sz w:val="24"/>
              </w:rPr>
              <w:t xml:space="preserve"> v </w:t>
            </w:r>
            <w:r w:rsidRPr="00A3389E">
              <w:rPr>
                <w:rFonts w:ascii="Times New Roman" w:hAnsi="Times New Roman" w:cs="Times New Roman"/>
                <w:sz w:val="24"/>
              </w:rPr>
              <w:t>článku 33 ods. 3</w:t>
            </w:r>
            <w:r w:rsidR="00A3389E">
              <w:rPr>
                <w:rFonts w:ascii="Times New Roman" w:hAnsi="Times New Roman" w:cs="Times New Roman"/>
                <w:sz w:val="24"/>
              </w:rPr>
              <w:t xml:space="preserve"> a </w:t>
            </w:r>
            <w:r w:rsidRPr="00A3389E">
              <w:rPr>
                <w:rFonts w:ascii="Times New Roman" w:hAnsi="Times New Roman" w:cs="Times New Roman"/>
                <w:sz w:val="24"/>
              </w:rPr>
              <w:t>4 delegovaného nariadenia Komisie (EÚ) 2015/61, ktoré presahujú výšku záporných peňažných tokov vyplývajúcich</w:t>
            </w:r>
            <w:r w:rsidR="00A3389E">
              <w:rPr>
                <w:rFonts w:ascii="Times New Roman" w:hAnsi="Times New Roman" w:cs="Times New Roman"/>
                <w:sz w:val="24"/>
              </w:rPr>
              <w:t xml:space="preserve"> z </w:t>
            </w:r>
            <w:r w:rsidRPr="00A3389E">
              <w:rPr>
                <w:rFonts w:ascii="Times New Roman" w:hAnsi="Times New Roman" w:cs="Times New Roman"/>
                <w:sz w:val="24"/>
              </w:rPr>
              <w:t>toho istého podniku.</w:t>
            </w:r>
          </w:p>
        </w:tc>
      </w:tr>
      <w:tr w:rsidR="001E06A3" w:rsidRPr="00A3389E" w14:paraId="0C34B7D2" w14:textId="77777777" w:rsidTr="001E06A3">
        <w:trPr>
          <w:trHeight w:val="316"/>
        </w:trPr>
        <w:tc>
          <w:tcPr>
            <w:tcW w:w="1384" w:type="dxa"/>
          </w:tcPr>
          <w:p w14:paraId="72F9C524"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20</w:t>
            </w:r>
          </w:p>
        </w:tc>
        <w:tc>
          <w:tcPr>
            <w:tcW w:w="7655" w:type="dxa"/>
          </w:tcPr>
          <w:p w14:paraId="730CE066" w14:textId="77777777" w:rsidR="001E06A3" w:rsidRPr="00A3389E" w:rsidRDefault="001E06A3" w:rsidP="001E06A3">
            <w:pPr>
              <w:spacing w:before="120" w:after="120" w:line="190" w:lineRule="exact"/>
              <w:rPr>
                <w:rFonts w:ascii="Times New Roman" w:hAnsi="Times New Roman" w:cs="Times New Roman"/>
                <w:b/>
                <w:sz w:val="24"/>
              </w:rPr>
            </w:pPr>
            <w:r w:rsidRPr="00A3389E">
              <w:rPr>
                <w:rFonts w:ascii="Times New Roman" w:hAnsi="Times New Roman" w:cs="Times New Roman"/>
                <w:b/>
                <w:sz w:val="24"/>
              </w:rPr>
              <w:t>CELKOVÉ KLADNÉ PEŇAŽNÉ TOKY</w:t>
            </w:r>
          </w:p>
          <w:p w14:paraId="50099FAA" w14:textId="7328272F" w:rsidR="001E06A3" w:rsidRPr="00A3389E" w:rsidRDefault="001E06A3" w:rsidP="001E06A3">
            <w:pPr>
              <w:spacing w:after="120" w:line="288" w:lineRule="exact"/>
              <w:rPr>
                <w:rFonts w:ascii="Times New Roman" w:hAnsi="Times New Roman" w:cs="Times New Roman"/>
                <w:sz w:val="24"/>
              </w:rPr>
            </w:pPr>
            <w:r w:rsidRPr="00A3389E">
              <w:rPr>
                <w:rFonts w:ascii="Times New Roman" w:hAnsi="Times New Roman" w:cs="Times New Roman"/>
                <w:sz w:val="24"/>
              </w:rPr>
              <w:t>Inštitúcie zverejňujú súčet neváženej</w:t>
            </w:r>
            <w:r w:rsidR="00A3389E">
              <w:rPr>
                <w:rFonts w:ascii="Times New Roman" w:hAnsi="Times New Roman" w:cs="Times New Roman"/>
                <w:sz w:val="24"/>
              </w:rPr>
              <w:t xml:space="preserve"> a </w:t>
            </w:r>
            <w:r w:rsidRPr="00A3389E">
              <w:rPr>
                <w:rFonts w:ascii="Times New Roman" w:hAnsi="Times New Roman" w:cs="Times New Roman"/>
                <w:sz w:val="24"/>
              </w:rPr>
              <w:t>váženej hodnoty nasledujúcich položiek podľa týchto pokynov:</w:t>
            </w:r>
          </w:p>
          <w:p w14:paraId="1C3F2B48" w14:textId="7D0B5002"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17: Zabezpečené pôžičky (napr. obrátené repo obchody) tohto vzoru.</w:t>
            </w:r>
          </w:p>
          <w:p w14:paraId="3E6C198F" w14:textId="7F41FA18"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18: Kladné peňažné toky</w:t>
            </w:r>
            <w:r>
              <w:rPr>
                <w:rFonts w:ascii="Times New Roman" w:hAnsi="Times New Roman"/>
                <w:sz w:val="24"/>
              </w:rPr>
              <w:t xml:space="preserve"> z </w:t>
            </w:r>
            <w:r w:rsidR="001E06A3" w:rsidRPr="00A3389E">
              <w:rPr>
                <w:rFonts w:ascii="Times New Roman" w:hAnsi="Times New Roman"/>
                <w:sz w:val="24"/>
              </w:rPr>
              <w:t>plne bezproblémových expozícií tohto vzoru.</w:t>
            </w:r>
          </w:p>
          <w:p w14:paraId="541D69D3" w14:textId="7F34F024"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19: Ostatné kladné peňažné toky tohto vzoru.</w:t>
            </w:r>
          </w:p>
          <w:p w14:paraId="0771AC8E" w14:textId="71E09B26"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mínus:</w:t>
            </w:r>
          </w:p>
          <w:p w14:paraId="2EF58274" w14:textId="144488AE"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lastRenderedPageBreak/>
              <w:t></w:t>
            </w:r>
            <w:r w:rsidRPr="00A3389E">
              <w:rPr>
                <w:rFonts w:ascii="Symbol" w:eastAsia="Calibri" w:hAnsi="Symbol" w:cs="Times New Roman"/>
                <w:sz w:val="24"/>
                <w:szCs w:val="22"/>
              </w:rPr>
              <w:tab/>
            </w:r>
            <w:r w:rsidR="001E06A3" w:rsidRPr="00A3389E">
              <w:rPr>
                <w:rFonts w:ascii="Times New Roman" w:hAnsi="Times New Roman"/>
                <w:sz w:val="24"/>
              </w:rPr>
              <w:t>Riadok EU-19a: (Rozdiel medzi celkovými váženými kladnými peňažnými tokmi</w:t>
            </w:r>
            <w:r>
              <w:rPr>
                <w:rFonts w:ascii="Times New Roman" w:hAnsi="Times New Roman"/>
                <w:sz w:val="24"/>
              </w:rPr>
              <w:t xml:space="preserve"> a </w:t>
            </w:r>
            <w:r w:rsidR="001E06A3" w:rsidRPr="00A3389E">
              <w:rPr>
                <w:rFonts w:ascii="Times New Roman" w:hAnsi="Times New Roman"/>
                <w:sz w:val="24"/>
              </w:rPr>
              <w:t>celkovými váženými zápornými peňažnými tokmi, ktoré vyplývajú</w:t>
            </w:r>
            <w:r>
              <w:rPr>
                <w:rFonts w:ascii="Times New Roman" w:hAnsi="Times New Roman"/>
                <w:sz w:val="24"/>
              </w:rPr>
              <w:t xml:space="preserve"> z </w:t>
            </w:r>
            <w:r w:rsidR="001E06A3" w:rsidRPr="00A3389E">
              <w:rPr>
                <w:rFonts w:ascii="Times New Roman" w:hAnsi="Times New Roman"/>
                <w:sz w:val="24"/>
              </w:rPr>
              <w:t>transakcií</w:t>
            </w:r>
            <w:r>
              <w:rPr>
                <w:rFonts w:ascii="Times New Roman" w:hAnsi="Times New Roman"/>
                <w:sz w:val="24"/>
              </w:rPr>
              <w:t xml:space="preserve"> v </w:t>
            </w:r>
            <w:r w:rsidR="001E06A3" w:rsidRPr="00A3389E">
              <w:rPr>
                <w:rFonts w:ascii="Times New Roman" w:hAnsi="Times New Roman"/>
                <w:sz w:val="24"/>
              </w:rPr>
              <w:t>tretích krajinách,</w:t>
            </w:r>
            <w:r>
              <w:rPr>
                <w:rFonts w:ascii="Times New Roman" w:hAnsi="Times New Roman"/>
                <w:sz w:val="24"/>
              </w:rPr>
              <w:t xml:space="preserve"> v </w:t>
            </w:r>
            <w:r w:rsidR="001E06A3" w:rsidRPr="00A3389E">
              <w:rPr>
                <w:rFonts w:ascii="Times New Roman" w:hAnsi="Times New Roman"/>
                <w:sz w:val="24"/>
              </w:rPr>
              <w:t>ktorých existujú obmedzenia prevodu, alebo ktoré sú denominované</w:t>
            </w:r>
            <w:r>
              <w:rPr>
                <w:rFonts w:ascii="Times New Roman" w:hAnsi="Times New Roman"/>
                <w:sz w:val="24"/>
              </w:rPr>
              <w:t xml:space="preserve"> v </w:t>
            </w:r>
            <w:r w:rsidR="001E06A3" w:rsidRPr="00A3389E">
              <w:rPr>
                <w:rFonts w:ascii="Times New Roman" w:hAnsi="Times New Roman"/>
                <w:sz w:val="24"/>
              </w:rPr>
              <w:t>nekonvertibilných menách) tohto vzoru.</w:t>
            </w:r>
          </w:p>
          <w:p w14:paraId="1B9A5ED4" w14:textId="10D475A5" w:rsidR="001E06A3"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1E06A3" w:rsidRPr="00A3389E">
              <w:rPr>
                <w:rFonts w:ascii="Times New Roman" w:hAnsi="Times New Roman"/>
                <w:sz w:val="24"/>
              </w:rPr>
              <w:t>Riadok EU-19b: (Prebytok kladných peňažných tokov</w:t>
            </w:r>
            <w:r>
              <w:rPr>
                <w:rFonts w:ascii="Times New Roman" w:hAnsi="Times New Roman"/>
                <w:sz w:val="24"/>
              </w:rPr>
              <w:t xml:space="preserve"> z </w:t>
            </w:r>
            <w:r w:rsidR="001E06A3" w:rsidRPr="00A3389E">
              <w:rPr>
                <w:rFonts w:ascii="Times New Roman" w:hAnsi="Times New Roman"/>
                <w:sz w:val="24"/>
              </w:rPr>
              <w:t>prepojenej špecializovanej úverovej inštitúcie) tohto vzoru.</w:t>
            </w:r>
          </w:p>
        </w:tc>
      </w:tr>
      <w:tr w:rsidR="001E06A3" w:rsidRPr="00A3389E" w14:paraId="622AC049" w14:textId="77777777" w:rsidTr="001E06A3">
        <w:trPr>
          <w:trHeight w:val="316"/>
        </w:trPr>
        <w:tc>
          <w:tcPr>
            <w:tcW w:w="1384" w:type="dxa"/>
          </w:tcPr>
          <w:p w14:paraId="5D7CADBB"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EU-20a</w:t>
            </w:r>
          </w:p>
        </w:tc>
        <w:tc>
          <w:tcPr>
            <w:tcW w:w="7655" w:type="dxa"/>
          </w:tcPr>
          <w:p w14:paraId="1321D2DA" w14:textId="77777777" w:rsidR="001E06A3" w:rsidRPr="00A3389E" w:rsidRDefault="001E06A3" w:rsidP="001E06A3">
            <w:pPr>
              <w:spacing w:before="120" w:after="120" w:line="190" w:lineRule="exact"/>
              <w:rPr>
                <w:rFonts w:ascii="Times New Roman" w:hAnsi="Times New Roman" w:cs="Times New Roman"/>
                <w:b/>
                <w:sz w:val="24"/>
              </w:rPr>
            </w:pPr>
            <w:r w:rsidRPr="00A3389E">
              <w:rPr>
                <w:rFonts w:ascii="Times New Roman" w:hAnsi="Times New Roman" w:cs="Times New Roman"/>
                <w:b/>
                <w:sz w:val="24"/>
              </w:rPr>
              <w:t>Plne vyňaté kladné peňažné toky</w:t>
            </w:r>
          </w:p>
          <w:p w14:paraId="13A2A899" w14:textId="3CF207ED" w:rsidR="001E06A3" w:rsidRPr="00A3389E" w:rsidRDefault="001E06A3" w:rsidP="001E06A3">
            <w:pPr>
              <w:spacing w:after="120"/>
              <w:jc w:val="both"/>
              <w:rPr>
                <w:rFonts w:ascii="Times New Roman" w:hAnsi="Times New Roman" w:cs="Times New Roman"/>
                <w:b/>
                <w:sz w:val="24"/>
              </w:rPr>
            </w:pPr>
            <w:r w:rsidRPr="00A3389E">
              <w:rPr>
                <w:rFonts w:ascii="Times New Roman" w:hAnsi="Times New Roman" w:cs="Times New Roman"/>
                <w:sz w:val="24"/>
              </w:rPr>
              <w:t>Inštitúcie zverejňujú ako neváženú hodnotu</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celkovú výšku aktív/splatných peňazí/maximálnej hodnoty, ktorú možno čerpať,</w:t>
            </w:r>
            <w:r w:rsidR="00A3389E">
              <w:rPr>
                <w:rFonts w:ascii="Times New Roman" w:hAnsi="Times New Roman" w:cs="Times New Roman"/>
                <w:sz w:val="24"/>
              </w:rPr>
              <w:t xml:space="preserve"> a </w:t>
            </w:r>
            <w:r w:rsidRPr="00A3389E">
              <w:rPr>
                <w:rFonts w:ascii="Times New Roman" w:hAnsi="Times New Roman" w:cs="Times New Roman"/>
                <w:sz w:val="24"/>
              </w:rPr>
              <w:t>ich príslušné celkové kladné peňažné toky, ktoré sú vyňaté</w:t>
            </w:r>
            <w:r w:rsidR="00A3389E">
              <w:rPr>
                <w:rFonts w:ascii="Times New Roman" w:hAnsi="Times New Roman" w:cs="Times New Roman"/>
                <w:sz w:val="24"/>
              </w:rPr>
              <w:t xml:space="preserve"> z </w:t>
            </w:r>
            <w:r w:rsidRPr="00A3389E">
              <w:rPr>
                <w:rFonts w:ascii="Times New Roman" w:hAnsi="Times New Roman" w:cs="Times New Roman"/>
                <w:sz w:val="24"/>
              </w:rPr>
              <w:t>horného ohraničenia kladných peňažných tokov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32, 33</w:t>
            </w:r>
            <w:r w:rsidR="00A3389E">
              <w:rPr>
                <w:rFonts w:ascii="Times New Roman" w:hAnsi="Times New Roman" w:cs="Times New Roman"/>
                <w:sz w:val="24"/>
              </w:rPr>
              <w:t xml:space="preserve"> a </w:t>
            </w:r>
            <w:r w:rsidRPr="00A3389E">
              <w:rPr>
                <w:rFonts w:ascii="Times New Roman" w:hAnsi="Times New Roman" w:cs="Times New Roman"/>
                <w:sz w:val="24"/>
              </w:rPr>
              <w:t>34 delegovaného nariadenia Komisie (EÚ) 2015/61.</w:t>
            </w:r>
          </w:p>
        </w:tc>
      </w:tr>
      <w:tr w:rsidR="001E06A3" w:rsidRPr="00A3389E" w14:paraId="07522956" w14:textId="77777777" w:rsidTr="001E06A3">
        <w:trPr>
          <w:trHeight w:val="316"/>
        </w:trPr>
        <w:tc>
          <w:tcPr>
            <w:tcW w:w="1384" w:type="dxa"/>
          </w:tcPr>
          <w:p w14:paraId="1D1F8E08"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EU-20b</w:t>
            </w:r>
          </w:p>
        </w:tc>
        <w:tc>
          <w:tcPr>
            <w:tcW w:w="7655" w:type="dxa"/>
          </w:tcPr>
          <w:p w14:paraId="5E9896C1" w14:textId="6828FFD5" w:rsidR="001E06A3" w:rsidRPr="00A3389E" w:rsidRDefault="001E06A3" w:rsidP="001E06A3">
            <w:pPr>
              <w:spacing w:before="120" w:after="120" w:line="190" w:lineRule="exact"/>
              <w:rPr>
                <w:rFonts w:ascii="Times New Roman" w:hAnsi="Times New Roman" w:cs="Times New Roman"/>
                <w:b/>
                <w:sz w:val="24"/>
              </w:rPr>
            </w:pPr>
            <w:r w:rsidRPr="00A3389E">
              <w:rPr>
                <w:rFonts w:ascii="Times New Roman" w:hAnsi="Times New Roman" w:cs="Times New Roman"/>
                <w:b/>
                <w:sz w:val="24"/>
              </w:rPr>
              <w:t>Kladné peňažné toky podliehajúce hornému ohraničeniu 90</w:t>
            </w:r>
            <w:r w:rsidR="00A3389E">
              <w:rPr>
                <w:rFonts w:ascii="Times New Roman" w:hAnsi="Times New Roman" w:cs="Times New Roman"/>
                <w:b/>
                <w:sz w:val="24"/>
              </w:rPr>
              <w:t> %</w:t>
            </w:r>
          </w:p>
          <w:p w14:paraId="1EDC5FC1" w14:textId="6DC4D59B" w:rsidR="001E06A3" w:rsidRPr="00A3389E" w:rsidRDefault="001E06A3" w:rsidP="001E06A3">
            <w:pPr>
              <w:spacing w:after="120"/>
              <w:jc w:val="both"/>
              <w:rPr>
                <w:rFonts w:ascii="Times New Roman" w:hAnsi="Times New Roman" w:cs="Times New Roman"/>
                <w:b/>
                <w:sz w:val="24"/>
              </w:rPr>
            </w:pPr>
            <w:r w:rsidRPr="00A3389E">
              <w:rPr>
                <w:rFonts w:ascii="Times New Roman" w:hAnsi="Times New Roman" w:cs="Times New Roman"/>
                <w:sz w:val="24"/>
              </w:rPr>
              <w:t>Inštitúcie zverejňujú ako neváženú hodnotu</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celkovú výšku aktív/splatných peňazí/maximálnej hodnoty, ktorú možno čerpať,</w:t>
            </w:r>
            <w:r w:rsidR="00A3389E">
              <w:rPr>
                <w:rFonts w:ascii="Times New Roman" w:hAnsi="Times New Roman" w:cs="Times New Roman"/>
                <w:sz w:val="24"/>
              </w:rPr>
              <w:t xml:space="preserve"> a </w:t>
            </w:r>
            <w:r w:rsidRPr="00A3389E">
              <w:rPr>
                <w:rFonts w:ascii="Times New Roman" w:hAnsi="Times New Roman" w:cs="Times New Roman"/>
                <w:sz w:val="24"/>
              </w:rPr>
              <w:t>ich príslušné celkové kladné peňažné toky, na ktoré sa vzťahuje horné ohraničenie kladných peňažných tokov vo výške 90</w:t>
            </w:r>
            <w:r w:rsidR="00A3389E">
              <w:rPr>
                <w:rFonts w:ascii="Times New Roman" w:hAnsi="Times New Roman" w:cs="Times New Roman"/>
                <w:sz w:val="24"/>
              </w:rPr>
              <w:t> %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32, 33</w:t>
            </w:r>
            <w:r w:rsidR="00A3389E">
              <w:rPr>
                <w:rFonts w:ascii="Times New Roman" w:hAnsi="Times New Roman" w:cs="Times New Roman"/>
                <w:sz w:val="24"/>
              </w:rPr>
              <w:t xml:space="preserve"> a </w:t>
            </w:r>
            <w:r w:rsidRPr="00A3389E">
              <w:rPr>
                <w:rFonts w:ascii="Times New Roman" w:hAnsi="Times New Roman" w:cs="Times New Roman"/>
                <w:sz w:val="24"/>
              </w:rPr>
              <w:t>34 delegovaného nariadenia Komisie (EÚ) 2015/61.</w:t>
            </w:r>
          </w:p>
        </w:tc>
      </w:tr>
      <w:tr w:rsidR="001E06A3" w:rsidRPr="00A3389E" w14:paraId="413BE40E" w14:textId="77777777" w:rsidTr="001E06A3">
        <w:trPr>
          <w:trHeight w:val="316"/>
        </w:trPr>
        <w:tc>
          <w:tcPr>
            <w:tcW w:w="1384" w:type="dxa"/>
          </w:tcPr>
          <w:p w14:paraId="760880E3"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EU-20c</w:t>
            </w:r>
          </w:p>
        </w:tc>
        <w:tc>
          <w:tcPr>
            <w:tcW w:w="7655" w:type="dxa"/>
          </w:tcPr>
          <w:p w14:paraId="3F456A98" w14:textId="43BA6206" w:rsidR="001E06A3" w:rsidRPr="00A3389E" w:rsidRDefault="001E06A3" w:rsidP="001E06A3">
            <w:pPr>
              <w:spacing w:before="120" w:after="120" w:line="190" w:lineRule="exact"/>
              <w:rPr>
                <w:rFonts w:ascii="Times New Roman" w:hAnsi="Times New Roman" w:cs="Times New Roman"/>
                <w:b/>
                <w:sz w:val="24"/>
              </w:rPr>
            </w:pPr>
            <w:r w:rsidRPr="00A3389E">
              <w:rPr>
                <w:rFonts w:ascii="Times New Roman" w:hAnsi="Times New Roman" w:cs="Times New Roman"/>
                <w:b/>
                <w:sz w:val="24"/>
              </w:rPr>
              <w:t>Kladné peňažné toky podliehajúce hornému ohraničeniu 75</w:t>
            </w:r>
            <w:r w:rsidR="00A3389E">
              <w:rPr>
                <w:rFonts w:ascii="Times New Roman" w:hAnsi="Times New Roman" w:cs="Times New Roman"/>
                <w:b/>
                <w:sz w:val="24"/>
              </w:rPr>
              <w:t> %</w:t>
            </w:r>
          </w:p>
          <w:p w14:paraId="651712DF" w14:textId="5F68618C" w:rsidR="001E06A3" w:rsidRPr="00A3389E" w:rsidRDefault="001E06A3" w:rsidP="001E06A3">
            <w:pPr>
              <w:spacing w:after="120" w:line="288" w:lineRule="exact"/>
              <w:jc w:val="both"/>
              <w:rPr>
                <w:rFonts w:ascii="Times New Roman" w:hAnsi="Times New Roman" w:cs="Times New Roman"/>
                <w:b/>
                <w:sz w:val="24"/>
              </w:rPr>
            </w:pPr>
            <w:r w:rsidRPr="00A3389E">
              <w:rPr>
                <w:rFonts w:ascii="Times New Roman" w:hAnsi="Times New Roman" w:cs="Times New Roman"/>
                <w:sz w:val="24"/>
              </w:rPr>
              <w:t>Inštitúcie zverejňujú ako neváženú hodnotu</w:t>
            </w:r>
            <w:r w:rsidR="00A3389E">
              <w:rPr>
                <w:rFonts w:ascii="Times New Roman" w:hAnsi="Times New Roman" w:cs="Times New Roman"/>
                <w:sz w:val="24"/>
              </w:rPr>
              <w:t xml:space="preserve"> a </w:t>
            </w:r>
            <w:r w:rsidRPr="00A3389E">
              <w:rPr>
                <w:rFonts w:ascii="Times New Roman" w:hAnsi="Times New Roman" w:cs="Times New Roman"/>
                <w:sz w:val="24"/>
              </w:rPr>
              <w:t>ako váženú hodnotu celkovú výšku aktív/splatných peňazí/maximálnej hodnoty, ktorú možno čerpať,</w:t>
            </w:r>
            <w:r w:rsidR="00A3389E">
              <w:rPr>
                <w:rFonts w:ascii="Times New Roman" w:hAnsi="Times New Roman" w:cs="Times New Roman"/>
                <w:sz w:val="24"/>
              </w:rPr>
              <w:t xml:space="preserve"> a </w:t>
            </w:r>
            <w:r w:rsidRPr="00A3389E">
              <w:rPr>
                <w:rFonts w:ascii="Times New Roman" w:hAnsi="Times New Roman" w:cs="Times New Roman"/>
                <w:sz w:val="24"/>
              </w:rPr>
              <w:t>ich príslušné celkové kladné peňažné toky, na ktoré sa vzťahuje horné ohraničenie kladných peňažných tokov vo výške 75</w:t>
            </w:r>
            <w:r w:rsidR="00A3389E">
              <w:rPr>
                <w:rFonts w:ascii="Times New Roman" w:hAnsi="Times New Roman" w:cs="Times New Roman"/>
                <w:sz w:val="24"/>
              </w:rPr>
              <w:t> %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32, 33</w:t>
            </w:r>
            <w:r w:rsidR="00A3389E">
              <w:rPr>
                <w:rFonts w:ascii="Times New Roman" w:hAnsi="Times New Roman" w:cs="Times New Roman"/>
                <w:sz w:val="24"/>
              </w:rPr>
              <w:t xml:space="preserve"> a </w:t>
            </w:r>
            <w:r w:rsidRPr="00A3389E">
              <w:rPr>
                <w:rFonts w:ascii="Times New Roman" w:hAnsi="Times New Roman" w:cs="Times New Roman"/>
                <w:sz w:val="24"/>
              </w:rPr>
              <w:t>34 delegovaného nariadenia Komisie (EÚ) 2015/61.</w:t>
            </w:r>
          </w:p>
        </w:tc>
      </w:tr>
      <w:tr w:rsidR="001E06A3" w:rsidRPr="00A3389E" w14:paraId="7E6FFA19" w14:textId="77777777" w:rsidTr="001E06A3">
        <w:trPr>
          <w:trHeight w:val="316"/>
        </w:trPr>
        <w:tc>
          <w:tcPr>
            <w:tcW w:w="1384" w:type="dxa"/>
          </w:tcPr>
          <w:p w14:paraId="31A8CE45"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EU-21</w:t>
            </w:r>
          </w:p>
        </w:tc>
        <w:tc>
          <w:tcPr>
            <w:tcW w:w="7655" w:type="dxa"/>
          </w:tcPr>
          <w:p w14:paraId="33FDF719" w14:textId="77777777" w:rsidR="001E06A3" w:rsidRPr="00A3389E" w:rsidRDefault="001E06A3" w:rsidP="001E06A3">
            <w:pPr>
              <w:spacing w:before="120" w:after="120" w:line="190" w:lineRule="exact"/>
              <w:rPr>
                <w:rFonts w:ascii="Times New Roman" w:hAnsi="Times New Roman" w:cs="Times New Roman"/>
                <w:sz w:val="24"/>
              </w:rPr>
            </w:pPr>
            <w:r w:rsidRPr="00A3389E">
              <w:rPr>
                <w:rFonts w:ascii="Times New Roman" w:hAnsi="Times New Roman" w:cs="Times New Roman"/>
                <w:b/>
                <w:sz w:val="24"/>
              </w:rPr>
              <w:t>VANKÚŠ LIKVIDITY</w:t>
            </w:r>
          </w:p>
          <w:p w14:paraId="30FD3F3E" w14:textId="64EE8C0F" w:rsidR="001E06A3" w:rsidRPr="00A3389E" w:rsidRDefault="001E06A3" w:rsidP="001E06A3">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Inštitúcie ako upravenú hodnotu zverejňujú hodnotu vankúša likvidity inštitúcie vypočítanú</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prílohou I – Vzorce na určenie zloženia vankúša likvidity podľa delegovaného nariadenia Komisie (EÚ) 2015/61.</w:t>
            </w:r>
          </w:p>
        </w:tc>
      </w:tr>
      <w:tr w:rsidR="001E06A3" w:rsidRPr="00A3389E" w14:paraId="17F23E34" w14:textId="77777777" w:rsidTr="001E06A3">
        <w:trPr>
          <w:trHeight w:val="316"/>
        </w:trPr>
        <w:tc>
          <w:tcPr>
            <w:tcW w:w="1384" w:type="dxa"/>
          </w:tcPr>
          <w:p w14:paraId="28DA8359"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22</w:t>
            </w:r>
          </w:p>
        </w:tc>
        <w:tc>
          <w:tcPr>
            <w:tcW w:w="7655" w:type="dxa"/>
          </w:tcPr>
          <w:p w14:paraId="61EDC752" w14:textId="77777777" w:rsidR="001E06A3" w:rsidRPr="00A3389E" w:rsidRDefault="001E06A3" w:rsidP="001E06A3">
            <w:pPr>
              <w:spacing w:before="120" w:after="120" w:line="190" w:lineRule="exact"/>
              <w:rPr>
                <w:rFonts w:ascii="Times New Roman" w:hAnsi="Times New Roman" w:cs="Times New Roman"/>
                <w:sz w:val="24"/>
              </w:rPr>
            </w:pPr>
            <w:r w:rsidRPr="00A3389E">
              <w:rPr>
                <w:rFonts w:ascii="Times New Roman" w:hAnsi="Times New Roman" w:cs="Times New Roman"/>
                <w:b/>
                <w:sz w:val="24"/>
              </w:rPr>
              <w:t>CELKOVÉ ČISTÉ ZÁPORNÉ PEŇAŽNÉ TOKY</w:t>
            </w:r>
          </w:p>
          <w:p w14:paraId="7A047465" w14:textId="7F51E33A"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upravenú hodnotu zverejňujú čistý záporný tok likvidity, ktorý sa rovná celkovým záporným peňažným tokom po odpočítaní zníženia</w:t>
            </w:r>
            <w:r w:rsidR="00A3389E">
              <w:rPr>
                <w:rFonts w:ascii="Times New Roman" w:hAnsi="Times New Roman" w:cs="Times New Roman"/>
                <w:sz w:val="24"/>
              </w:rPr>
              <w:t xml:space="preserve"> o </w:t>
            </w:r>
            <w:r w:rsidRPr="00A3389E">
              <w:rPr>
                <w:rFonts w:ascii="Times New Roman" w:hAnsi="Times New Roman" w:cs="Times New Roman"/>
                <w:sz w:val="24"/>
              </w:rPr>
              <w:t>plne vyňaté kladné peňažné toky, zníženia</w:t>
            </w:r>
            <w:r w:rsidR="00A3389E">
              <w:rPr>
                <w:rFonts w:ascii="Times New Roman" w:hAnsi="Times New Roman" w:cs="Times New Roman"/>
                <w:sz w:val="24"/>
              </w:rPr>
              <w:t xml:space="preserve"> o </w:t>
            </w:r>
            <w:r w:rsidRPr="00A3389E">
              <w:rPr>
                <w:rFonts w:ascii="Times New Roman" w:hAnsi="Times New Roman" w:cs="Times New Roman"/>
                <w:sz w:val="24"/>
              </w:rPr>
              <w:t>kladné peňažné toky podliehajúce 90</w:t>
            </w:r>
            <w:r w:rsidR="00A3389E">
              <w:rPr>
                <w:rFonts w:ascii="Times New Roman" w:hAnsi="Times New Roman" w:cs="Times New Roman"/>
                <w:sz w:val="24"/>
              </w:rPr>
              <w:t> %</w:t>
            </w:r>
            <w:r w:rsidRPr="00A3389E">
              <w:rPr>
                <w:rFonts w:ascii="Times New Roman" w:hAnsi="Times New Roman" w:cs="Times New Roman"/>
                <w:sz w:val="24"/>
              </w:rPr>
              <w:t xml:space="preserve"> hornému ohraničeniu</w:t>
            </w:r>
            <w:r w:rsidR="00A3389E">
              <w:rPr>
                <w:rFonts w:ascii="Times New Roman" w:hAnsi="Times New Roman" w:cs="Times New Roman"/>
                <w:sz w:val="24"/>
              </w:rPr>
              <w:t xml:space="preserve"> a </w:t>
            </w:r>
            <w:r w:rsidRPr="00A3389E">
              <w:rPr>
                <w:rFonts w:ascii="Times New Roman" w:hAnsi="Times New Roman" w:cs="Times New Roman"/>
                <w:sz w:val="24"/>
              </w:rPr>
              <w:t>zníženia</w:t>
            </w:r>
            <w:r w:rsidR="00A3389E">
              <w:rPr>
                <w:rFonts w:ascii="Times New Roman" w:hAnsi="Times New Roman" w:cs="Times New Roman"/>
                <w:sz w:val="24"/>
              </w:rPr>
              <w:t xml:space="preserve"> o </w:t>
            </w:r>
            <w:r w:rsidRPr="00A3389E">
              <w:rPr>
                <w:rFonts w:ascii="Times New Roman" w:hAnsi="Times New Roman" w:cs="Times New Roman"/>
                <w:sz w:val="24"/>
              </w:rPr>
              <w:t>kladné peňažné toky podliehajúce 75</w:t>
            </w:r>
            <w:r w:rsidR="00A3389E">
              <w:rPr>
                <w:rFonts w:ascii="Times New Roman" w:hAnsi="Times New Roman" w:cs="Times New Roman"/>
                <w:sz w:val="24"/>
              </w:rPr>
              <w:t> %</w:t>
            </w:r>
            <w:r w:rsidRPr="00A3389E">
              <w:rPr>
                <w:rFonts w:ascii="Times New Roman" w:hAnsi="Times New Roman" w:cs="Times New Roman"/>
                <w:sz w:val="24"/>
              </w:rPr>
              <w:t xml:space="preserve"> hornému ohraničeniu.</w:t>
            </w:r>
          </w:p>
        </w:tc>
      </w:tr>
      <w:tr w:rsidR="001E06A3" w:rsidRPr="00A3389E" w14:paraId="01A8493C" w14:textId="77777777" w:rsidTr="001E06A3">
        <w:trPr>
          <w:trHeight w:val="316"/>
        </w:trPr>
        <w:tc>
          <w:tcPr>
            <w:tcW w:w="1384" w:type="dxa"/>
          </w:tcPr>
          <w:p w14:paraId="43491FF1" w14:textId="77777777" w:rsidR="001E06A3" w:rsidRPr="00A3389E" w:rsidRDefault="001E06A3" w:rsidP="001E06A3">
            <w:pPr>
              <w:autoSpaceDE w:val="0"/>
              <w:autoSpaceDN w:val="0"/>
              <w:adjustRightInd w:val="0"/>
              <w:spacing w:after="120"/>
              <w:jc w:val="center"/>
              <w:rPr>
                <w:rFonts w:ascii="Times New Roman" w:eastAsia="Times New Roman" w:hAnsi="Times New Roman" w:cs="Times New Roman"/>
                <w:sz w:val="24"/>
              </w:rPr>
            </w:pPr>
            <w:r w:rsidRPr="00A3389E">
              <w:rPr>
                <w:rFonts w:ascii="Times New Roman" w:hAnsi="Times New Roman" w:cs="Times New Roman"/>
                <w:sz w:val="24"/>
              </w:rPr>
              <w:t>23</w:t>
            </w:r>
          </w:p>
        </w:tc>
        <w:tc>
          <w:tcPr>
            <w:tcW w:w="7655" w:type="dxa"/>
          </w:tcPr>
          <w:p w14:paraId="675B2C3A" w14:textId="77777777" w:rsidR="001E06A3" w:rsidRPr="00A3389E" w:rsidRDefault="001E06A3" w:rsidP="001E06A3">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b/>
                <w:sz w:val="24"/>
              </w:rPr>
              <w:t>UKAZOVATEĽ KRYTIA LIKVIDITY (%)</w:t>
            </w:r>
          </w:p>
          <w:p w14:paraId="2FBC9872" w14:textId="7F348041"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ako upravenú hodnotu zverejňujú percentuálny podiel položky „Ukazovateľ krytia likvidity (%)“</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4 ods. 1 delegovaného nariadenia Komisie (EÚ) 2015/61.</w:t>
            </w:r>
          </w:p>
          <w:p w14:paraId="71310C0D" w14:textId="1EEDACBB" w:rsidR="001E06A3" w:rsidRPr="00A3389E" w:rsidRDefault="001E06A3" w:rsidP="001E06A3">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lastRenderedPageBreak/>
              <w:t>Ukazovateľ krytia likvidity sa rovná pomeru vankúša likvidity úverovej inštitúcie</w:t>
            </w:r>
            <w:r w:rsidR="00A3389E">
              <w:rPr>
                <w:rFonts w:ascii="Times New Roman" w:hAnsi="Times New Roman" w:cs="Times New Roman"/>
                <w:sz w:val="24"/>
              </w:rPr>
              <w:t xml:space="preserve"> k </w:t>
            </w:r>
            <w:r w:rsidRPr="00A3389E">
              <w:rPr>
                <w:rFonts w:ascii="Times New Roman" w:hAnsi="Times New Roman" w:cs="Times New Roman"/>
                <w:sz w:val="24"/>
              </w:rPr>
              <w:t>jej čistým záporným tokom likvidity za stresové obdobie 30 kalendárnych dní</w:t>
            </w:r>
            <w:r w:rsidR="00A3389E">
              <w:rPr>
                <w:rFonts w:ascii="Times New Roman" w:hAnsi="Times New Roman" w:cs="Times New Roman"/>
                <w:sz w:val="24"/>
              </w:rPr>
              <w:t xml:space="preserve"> a </w:t>
            </w:r>
            <w:r w:rsidRPr="00A3389E">
              <w:rPr>
                <w:rFonts w:ascii="Times New Roman" w:hAnsi="Times New Roman" w:cs="Times New Roman"/>
                <w:sz w:val="24"/>
              </w:rPr>
              <w:t>vyjadruje sa ako percentuálny podiel.</w:t>
            </w:r>
          </w:p>
        </w:tc>
      </w:tr>
    </w:tbl>
    <w:p w14:paraId="300E35AD" w14:textId="77777777" w:rsidR="001E06A3" w:rsidRPr="00023CBA" w:rsidRDefault="001E06A3" w:rsidP="001E06A3">
      <w:pPr>
        <w:rPr>
          <w:rFonts w:ascii="Times New Roman" w:hAnsi="Times New Roman" w:cs="Times New Roman"/>
          <w:sz w:val="24"/>
        </w:rPr>
      </w:pPr>
    </w:p>
    <w:p w14:paraId="4DF0AC26" w14:textId="76725534" w:rsidR="00A3389E" w:rsidRPr="00023CBA" w:rsidRDefault="001E06A3" w:rsidP="001E06A3">
      <w:pPr>
        <w:pStyle w:val="Titlelevel2"/>
        <w:spacing w:before="120" w:after="120"/>
        <w:rPr>
          <w:rFonts w:ascii="Times New Roman" w:hAnsi="Times New Roman" w:cs="Times New Roman"/>
          <w:b/>
          <w:color w:val="auto"/>
          <w:sz w:val="24"/>
        </w:rPr>
      </w:pPr>
      <w:r w:rsidRPr="00023CBA">
        <w:rPr>
          <w:rFonts w:ascii="Times New Roman" w:hAnsi="Times New Roman" w:cs="Times New Roman"/>
          <w:b/>
          <w:color w:val="auto"/>
          <w:sz w:val="24"/>
        </w:rPr>
        <w:t>Tabuľka EU LIQB týkajúca sa kvalitatívnych informácií</w:t>
      </w:r>
      <w:r w:rsidR="00A3389E" w:rsidRPr="00023CBA">
        <w:rPr>
          <w:rFonts w:ascii="Times New Roman" w:hAnsi="Times New Roman" w:cs="Times New Roman"/>
          <w:b/>
          <w:color w:val="auto"/>
          <w:sz w:val="24"/>
        </w:rPr>
        <w:t xml:space="preserve"> o </w:t>
      </w:r>
      <w:r w:rsidRPr="00023CBA">
        <w:rPr>
          <w:rFonts w:ascii="Times New Roman" w:hAnsi="Times New Roman" w:cs="Times New Roman"/>
          <w:b/>
          <w:color w:val="auto"/>
          <w:sz w:val="24"/>
        </w:rPr>
        <w:t>ukazovateli krytia likvidity (LCR), ktorá dopĺňa vzor EU LIQ1</w:t>
      </w:r>
      <w:r w:rsidR="00A3389E" w:rsidRPr="00023CBA">
        <w:rPr>
          <w:rFonts w:ascii="Times New Roman" w:hAnsi="Times New Roman" w:cs="Times New Roman"/>
          <w:b/>
          <w:color w:val="auto"/>
          <w:sz w:val="24"/>
        </w:rPr>
        <w:t>.</w:t>
      </w:r>
    </w:p>
    <w:p w14:paraId="79159435" w14:textId="3DBC3C41" w:rsidR="001E06A3" w:rsidRPr="00023CBA" w:rsidRDefault="00A3389E" w:rsidP="00023CBA">
      <w:pPr>
        <w:widowControl w:val="0"/>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9.</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Inštitúcie, na ktoré sa vzťahuje šiesta časť CRR, zverejňujú informácie uvedené</w:t>
      </w:r>
      <w:r w:rsidRPr="00023CBA">
        <w:rPr>
          <w:rFonts w:ascii="Times New Roman" w:hAnsi="Times New Roman" w:cs="Times New Roman"/>
          <w:sz w:val="24"/>
        </w:rPr>
        <w:t xml:space="preserve"> v </w:t>
      </w:r>
      <w:r w:rsidR="001E06A3" w:rsidRPr="00023CBA">
        <w:rPr>
          <w:rFonts w:ascii="Times New Roman" w:hAnsi="Times New Roman" w:cs="Times New Roman"/>
          <w:sz w:val="24"/>
        </w:rPr>
        <w:t>článku 451a ods. 2 CRR podľa pokynov uvedených nižšie</w:t>
      </w:r>
      <w:r w:rsidRPr="00023CBA">
        <w:rPr>
          <w:rFonts w:ascii="Times New Roman" w:hAnsi="Times New Roman" w:cs="Times New Roman"/>
          <w:sz w:val="24"/>
        </w:rPr>
        <w:t xml:space="preserve"> v </w:t>
      </w:r>
      <w:r w:rsidR="001E06A3" w:rsidRPr="00023CBA">
        <w:rPr>
          <w:rFonts w:ascii="Times New Roman" w:hAnsi="Times New Roman" w:cs="Times New Roman"/>
          <w:sz w:val="24"/>
        </w:rPr>
        <w:t>tejto prílohe</w:t>
      </w:r>
      <w:r w:rsidRPr="00023CBA">
        <w:rPr>
          <w:rFonts w:ascii="Times New Roman" w:hAnsi="Times New Roman" w:cs="Times New Roman"/>
          <w:sz w:val="24"/>
        </w:rPr>
        <w:t xml:space="preserve"> s </w:t>
      </w:r>
      <w:r w:rsidR="001E06A3" w:rsidRPr="00023CBA">
        <w:rPr>
          <w:rFonts w:ascii="Times New Roman" w:hAnsi="Times New Roman" w:cs="Times New Roman"/>
          <w:sz w:val="24"/>
        </w:rPr>
        <w:t>cieľom vyplniť tabuľku EU LIQB, ktorá je uvedená</w:t>
      </w:r>
      <w:r w:rsidRPr="00023CBA">
        <w:rPr>
          <w:rFonts w:ascii="Times New Roman" w:hAnsi="Times New Roman" w:cs="Times New Roman"/>
          <w:sz w:val="24"/>
        </w:rPr>
        <w:t xml:space="preserve"> v </w:t>
      </w:r>
      <w:r w:rsidR="001E06A3" w:rsidRPr="00023CBA">
        <w:rPr>
          <w:rFonts w:ascii="Times New Roman" w:hAnsi="Times New Roman" w:cs="Times New Roman"/>
          <w:sz w:val="24"/>
        </w:rPr>
        <w:t>prílohe XIII</w:t>
      </w:r>
      <w:r w:rsidRPr="00023CBA">
        <w:rPr>
          <w:rFonts w:ascii="Times New Roman" w:hAnsi="Times New Roman" w:cs="Times New Roman"/>
          <w:sz w:val="24"/>
        </w:rPr>
        <w:t xml:space="preserve"> k </w:t>
      </w:r>
      <w:r w:rsidR="001E06A3" w:rsidRPr="00023CBA">
        <w:rPr>
          <w:rFonts w:ascii="Times New Roman" w:hAnsi="Times New Roman" w:cs="Times New Roman"/>
          <w:sz w:val="24"/>
        </w:rPr>
        <w:t>tomuto vykonávaciemu nariadeniu.</w:t>
      </w:r>
    </w:p>
    <w:p w14:paraId="4BE3B57E" w14:textId="1A70AB72" w:rsidR="001E06A3" w:rsidRPr="00023CBA" w:rsidRDefault="00A3389E" w:rsidP="00023CBA">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10.</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V tabuľke EU LIQB sa uvádzajú kvalitatívne informácie</w:t>
      </w:r>
      <w:r w:rsidRPr="00023CBA">
        <w:rPr>
          <w:rFonts w:ascii="Times New Roman" w:hAnsi="Times New Roman" w:cs="Times New Roman"/>
          <w:sz w:val="24"/>
        </w:rPr>
        <w:t xml:space="preserve"> o </w:t>
      </w:r>
      <w:r w:rsidR="001E06A3" w:rsidRPr="00023CBA">
        <w:rPr>
          <w:rFonts w:ascii="Times New Roman" w:hAnsi="Times New Roman" w:cs="Times New Roman"/>
          <w:sz w:val="24"/>
        </w:rPr>
        <w:t>položkách zahrnutých vo vzore EU LIQ1 týkajúcom sa kvantitatívnych informácií</w:t>
      </w:r>
      <w:r w:rsidRPr="00023CBA">
        <w:rPr>
          <w:rFonts w:ascii="Times New Roman" w:hAnsi="Times New Roman" w:cs="Times New Roman"/>
          <w:sz w:val="24"/>
        </w:rPr>
        <w:t xml:space="preserve"> o </w:t>
      </w:r>
      <w:r w:rsidR="001E06A3" w:rsidRPr="00023CBA">
        <w:rPr>
          <w:rFonts w:ascii="Times New Roman" w:hAnsi="Times New Roman" w:cs="Times New Roman"/>
          <w:sz w:val="24"/>
        </w:rPr>
        <w:t>ukazovateli krytia likvidity (LCR).</w:t>
      </w:r>
    </w:p>
    <w:p w14:paraId="79B68B25" w14:textId="56B6FE69" w:rsidR="001E06A3" w:rsidRPr="00023CBA" w:rsidRDefault="00A3389E" w:rsidP="00023CBA">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11.</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Inštitúcie, na ktoré sa vzťahuje šiesta časť CRR, považujú textové polia uvedené</w:t>
      </w:r>
      <w:r w:rsidRPr="00023CBA">
        <w:rPr>
          <w:rFonts w:ascii="Times New Roman" w:hAnsi="Times New Roman" w:cs="Times New Roman"/>
          <w:sz w:val="24"/>
        </w:rPr>
        <w:t xml:space="preserve"> v </w:t>
      </w:r>
      <w:r w:rsidR="001E06A3" w:rsidRPr="00023CBA">
        <w:rPr>
          <w:rFonts w:ascii="Times New Roman" w:hAnsi="Times New Roman" w:cs="Times New Roman"/>
          <w:sz w:val="24"/>
        </w:rPr>
        <w:t>tejto tabuľke za polia</w:t>
      </w:r>
      <w:r w:rsidRPr="00023CBA">
        <w:rPr>
          <w:rFonts w:ascii="Times New Roman" w:hAnsi="Times New Roman" w:cs="Times New Roman"/>
          <w:sz w:val="24"/>
        </w:rPr>
        <w:t xml:space="preserve"> s </w:t>
      </w:r>
      <w:r w:rsidR="001E06A3" w:rsidRPr="00023CBA">
        <w:rPr>
          <w:rFonts w:ascii="Times New Roman" w:hAnsi="Times New Roman" w:cs="Times New Roman"/>
          <w:sz w:val="24"/>
        </w:rPr>
        <w:t>ľubovoľným textom</w:t>
      </w:r>
      <w:r w:rsidRPr="00023CBA">
        <w:rPr>
          <w:rFonts w:ascii="Times New Roman" w:hAnsi="Times New Roman" w:cs="Times New Roman"/>
          <w:sz w:val="24"/>
        </w:rPr>
        <w:t xml:space="preserve"> a </w:t>
      </w:r>
      <w:r w:rsidR="001E06A3" w:rsidRPr="00023CBA">
        <w:rPr>
          <w:rFonts w:ascii="Times New Roman" w:hAnsi="Times New Roman" w:cs="Times New Roman"/>
          <w:sz w:val="24"/>
        </w:rPr>
        <w:t>zverejňujú položky, ktoré sú tam uvedené, ak je to možné,</w:t>
      </w:r>
      <w:r w:rsidRPr="00023CBA">
        <w:rPr>
          <w:rFonts w:ascii="Times New Roman" w:hAnsi="Times New Roman" w:cs="Times New Roman"/>
          <w:sz w:val="24"/>
        </w:rPr>
        <w:t xml:space="preserve"> v </w:t>
      </w:r>
      <w:r w:rsidR="001E06A3" w:rsidRPr="00023CBA">
        <w:rPr>
          <w:rFonts w:ascii="Times New Roman" w:hAnsi="Times New Roman" w:cs="Times New Roman"/>
          <w:sz w:val="24"/>
        </w:rPr>
        <w:t>súlade</w:t>
      </w:r>
      <w:r w:rsidRPr="00023CBA">
        <w:rPr>
          <w:rFonts w:ascii="Times New Roman" w:hAnsi="Times New Roman" w:cs="Times New Roman"/>
          <w:sz w:val="24"/>
        </w:rPr>
        <w:t xml:space="preserve"> s </w:t>
      </w:r>
      <w:r w:rsidR="001E06A3" w:rsidRPr="00023CBA">
        <w:rPr>
          <w:rFonts w:ascii="Times New Roman" w:hAnsi="Times New Roman" w:cs="Times New Roman"/>
          <w:sz w:val="24"/>
        </w:rPr>
        <w:t>ich posúdením</w:t>
      </w:r>
      <w:r w:rsidRPr="00023CBA">
        <w:rPr>
          <w:rFonts w:ascii="Times New Roman" w:hAnsi="Times New Roman" w:cs="Times New Roman"/>
          <w:sz w:val="24"/>
        </w:rPr>
        <w:t xml:space="preserve"> v </w:t>
      </w:r>
      <w:r w:rsidR="001E06A3" w:rsidRPr="00023CBA">
        <w:rPr>
          <w:rFonts w:ascii="Times New Roman" w:hAnsi="Times New Roman" w:cs="Times New Roman"/>
          <w:sz w:val="24"/>
        </w:rPr>
        <w:t>kontexte vymedzenia ukazovateľa krytia likvidity uvedeného</w:t>
      </w:r>
      <w:r w:rsidRPr="00023CBA">
        <w:rPr>
          <w:rFonts w:ascii="Times New Roman" w:hAnsi="Times New Roman" w:cs="Times New Roman"/>
          <w:sz w:val="24"/>
        </w:rPr>
        <w:t xml:space="preserve"> v </w:t>
      </w:r>
      <w:r w:rsidR="001E06A3" w:rsidRPr="00023CBA">
        <w:rPr>
          <w:rFonts w:ascii="Times New Roman" w:hAnsi="Times New Roman" w:cs="Times New Roman"/>
          <w:sz w:val="24"/>
        </w:rPr>
        <w:t>delegovanom nariadení Komisie (EÚ) 2015/61</w:t>
      </w:r>
      <w:r w:rsidRPr="00023CBA">
        <w:rPr>
          <w:rFonts w:ascii="Times New Roman" w:hAnsi="Times New Roman" w:cs="Times New Roman"/>
          <w:sz w:val="24"/>
        </w:rPr>
        <w:t xml:space="preserve"> a </w:t>
      </w:r>
      <w:r w:rsidR="001E06A3" w:rsidRPr="00023CBA">
        <w:rPr>
          <w:rFonts w:ascii="Times New Roman" w:hAnsi="Times New Roman" w:cs="Times New Roman"/>
          <w:sz w:val="24"/>
        </w:rPr>
        <w:t>dodatočných ukazovateľov na sledovanie likvidity stanovených</w:t>
      </w:r>
      <w:r w:rsidRPr="00023CBA">
        <w:rPr>
          <w:rFonts w:ascii="Times New Roman" w:hAnsi="Times New Roman" w:cs="Times New Roman"/>
          <w:sz w:val="24"/>
        </w:rPr>
        <w:t xml:space="preserve"> v </w:t>
      </w:r>
      <w:r w:rsidR="001E06A3" w:rsidRPr="00023CBA">
        <w:rPr>
          <w:rFonts w:ascii="Times New Roman" w:hAnsi="Times New Roman" w:cs="Times New Roman"/>
          <w:sz w:val="24"/>
        </w:rPr>
        <w:t xml:space="preserve">kapitole 7b vykonávacieho nariadenia Komisie (EÚ) </w:t>
      </w:r>
      <w:r w:rsidRPr="00023CBA">
        <w:rPr>
          <w:rFonts w:ascii="Times New Roman" w:hAnsi="Times New Roman" w:cs="Times New Roman"/>
          <w:sz w:val="24"/>
        </w:rPr>
        <w:t>č. </w:t>
      </w:r>
      <w:r w:rsidR="001E06A3" w:rsidRPr="00023CBA">
        <w:rPr>
          <w:rFonts w:ascii="Times New Roman" w:hAnsi="Times New Roman" w:cs="Times New Roman"/>
          <w:sz w:val="24"/>
        </w:rPr>
        <w:t>680/2014</w:t>
      </w:r>
      <w:r w:rsidR="001E06A3" w:rsidRPr="00023CBA">
        <w:rPr>
          <w:rStyle w:val="FootnoteReference"/>
          <w:rFonts w:ascii="Times New Roman" w:hAnsi="Times New Roman" w:cs="Times New Roman"/>
          <w:sz w:val="24"/>
          <w:szCs w:val="24"/>
        </w:rPr>
        <w:footnoteReference w:id="26"/>
      </w:r>
      <w:r w:rsidR="001E06A3" w:rsidRPr="00023CBA">
        <w:rPr>
          <w:rFonts w:ascii="Times New Roman" w:hAnsi="Times New Roman" w:cs="Times New Roman"/>
          <w:sz w:val="24"/>
        </w:rPr>
        <w:t>.</w:t>
      </w:r>
    </w:p>
    <w:p w14:paraId="6B050B9E" w14:textId="38490F9F" w:rsidR="001E06A3" w:rsidRPr="00023CBA" w:rsidRDefault="001E06A3" w:rsidP="001E06A3">
      <w:pPr>
        <w:pStyle w:val="ListNumber"/>
        <w:numPr>
          <w:ilvl w:val="0"/>
          <w:numId w:val="0"/>
        </w:numPr>
        <w:ind w:left="357" w:hanging="357"/>
        <w:jc w:val="both"/>
        <w:rPr>
          <w:rFonts w:ascii="Times New Roman" w:hAnsi="Times New Roman" w:cs="Times New Roman"/>
          <w:b/>
          <w:sz w:val="24"/>
        </w:rPr>
      </w:pPr>
      <w:r w:rsidRPr="00023CBA">
        <w:rPr>
          <w:rFonts w:ascii="Times New Roman" w:hAnsi="Times New Roman" w:cs="Times New Roman"/>
          <w:b/>
          <w:sz w:val="24"/>
        </w:rPr>
        <w:t>Pokyny</w:t>
      </w:r>
      <w:r w:rsidR="00A3389E" w:rsidRPr="00023CBA">
        <w:rPr>
          <w:rFonts w:ascii="Times New Roman" w:hAnsi="Times New Roman" w:cs="Times New Roman"/>
          <w:b/>
          <w:sz w:val="24"/>
        </w:rPr>
        <w:t xml:space="preserve"> k </w:t>
      </w:r>
      <w:r w:rsidRPr="00023CBA">
        <w:rPr>
          <w:rFonts w:ascii="Times New Roman" w:hAnsi="Times New Roman" w:cs="Times New Roman"/>
          <w:b/>
          <w:sz w:val="24"/>
        </w:rPr>
        <w:t>vzoru EU LIQ2 týkajúcemu sa zverejňovania ukazovateľa čistého stabilného financovania (NSFR)</w:t>
      </w:r>
    </w:p>
    <w:p w14:paraId="67826A95" w14:textId="25B8A1D4" w:rsidR="00A3389E"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12.</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Inštitúcie, na ktoré sa vzťahuje šiesta časť CRR, zverejňujú informácie zahrnuté vo vzore EU LIQ2 pri uplatňovaní článku 451a ods. 3 CRR</w:t>
      </w:r>
      <w:r w:rsidRPr="00023CBA">
        <w:rPr>
          <w:rFonts w:ascii="Times New Roman" w:hAnsi="Times New Roman" w:cs="Times New Roman"/>
          <w:sz w:val="24"/>
        </w:rPr>
        <w:t xml:space="preserve"> v </w:t>
      </w:r>
      <w:r w:rsidR="001E06A3" w:rsidRPr="00023CBA">
        <w:rPr>
          <w:rFonts w:ascii="Times New Roman" w:hAnsi="Times New Roman" w:cs="Times New Roman"/>
          <w:sz w:val="24"/>
        </w:rPr>
        <w:t>súlade</w:t>
      </w:r>
      <w:r w:rsidRPr="00023CBA">
        <w:rPr>
          <w:rFonts w:ascii="Times New Roman" w:hAnsi="Times New Roman" w:cs="Times New Roman"/>
          <w:sz w:val="24"/>
        </w:rPr>
        <w:t xml:space="preserve"> s </w:t>
      </w:r>
      <w:r w:rsidR="001E06A3" w:rsidRPr="00023CBA">
        <w:rPr>
          <w:rFonts w:ascii="Times New Roman" w:hAnsi="Times New Roman" w:cs="Times New Roman"/>
          <w:sz w:val="24"/>
        </w:rPr>
        <w:t>pokynmi uvedenými</w:t>
      </w:r>
      <w:r w:rsidRPr="00023CBA">
        <w:rPr>
          <w:rFonts w:ascii="Times New Roman" w:hAnsi="Times New Roman" w:cs="Times New Roman"/>
          <w:sz w:val="24"/>
        </w:rPr>
        <w:t xml:space="preserve"> v </w:t>
      </w:r>
      <w:r w:rsidR="001E06A3" w:rsidRPr="00023CBA">
        <w:rPr>
          <w:rFonts w:ascii="Times New Roman" w:hAnsi="Times New Roman" w:cs="Times New Roman"/>
          <w:sz w:val="24"/>
        </w:rPr>
        <w:t>tejto prílohe. Zverejňujú sa údaje ku koncu štvrťroka za každý štvrťrok príslušného obdobia zverejňovania informácií. Napríklad</w:t>
      </w:r>
      <w:r w:rsidRPr="00023CBA">
        <w:rPr>
          <w:rFonts w:ascii="Times New Roman" w:hAnsi="Times New Roman" w:cs="Times New Roman"/>
          <w:sz w:val="24"/>
        </w:rPr>
        <w:t xml:space="preserve"> v </w:t>
      </w:r>
      <w:r w:rsidR="001E06A3" w:rsidRPr="00023CBA">
        <w:rPr>
          <w:rFonts w:ascii="Times New Roman" w:hAnsi="Times New Roman" w:cs="Times New Roman"/>
          <w:sz w:val="24"/>
        </w:rPr>
        <w:t>prípade ročného zverejňovania to zahŕňa štyri súbory údajov za posledný štvrťrok</w:t>
      </w:r>
      <w:r w:rsidRPr="00023CBA">
        <w:rPr>
          <w:rFonts w:ascii="Times New Roman" w:hAnsi="Times New Roman" w:cs="Times New Roman"/>
          <w:sz w:val="24"/>
        </w:rPr>
        <w:t xml:space="preserve"> a </w:t>
      </w:r>
      <w:r w:rsidR="001E06A3" w:rsidRPr="00023CBA">
        <w:rPr>
          <w:rFonts w:ascii="Times New Roman" w:hAnsi="Times New Roman" w:cs="Times New Roman"/>
          <w:sz w:val="24"/>
        </w:rPr>
        <w:t>tri predchádzajúce štvrťroky</w:t>
      </w:r>
      <w:r w:rsidRPr="00023CBA">
        <w:rPr>
          <w:rFonts w:ascii="Times New Roman" w:hAnsi="Times New Roman" w:cs="Times New Roman"/>
          <w:sz w:val="24"/>
        </w:rPr>
        <w:t>.</w:t>
      </w:r>
    </w:p>
    <w:p w14:paraId="59541A14" w14:textId="5B734B60"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13.</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Informácie požadované vo vzore EU LIQ2 zahŕňajú všetky aktíva, záväzky</w:t>
      </w:r>
      <w:r w:rsidRPr="00023CBA">
        <w:rPr>
          <w:rFonts w:ascii="Times New Roman" w:hAnsi="Times New Roman" w:cs="Times New Roman"/>
          <w:sz w:val="24"/>
        </w:rPr>
        <w:t xml:space="preserve"> a </w:t>
      </w:r>
      <w:r w:rsidR="001E06A3" w:rsidRPr="00023CBA">
        <w:rPr>
          <w:rFonts w:ascii="Times New Roman" w:hAnsi="Times New Roman" w:cs="Times New Roman"/>
          <w:sz w:val="24"/>
        </w:rPr>
        <w:t>podsúvahové položky bez ohľadu na menu,</w:t>
      </w:r>
      <w:r w:rsidRPr="00023CBA">
        <w:rPr>
          <w:rFonts w:ascii="Times New Roman" w:hAnsi="Times New Roman" w:cs="Times New Roman"/>
          <w:sz w:val="24"/>
        </w:rPr>
        <w:t xml:space="preserve"> v </w:t>
      </w:r>
      <w:r w:rsidR="001E06A3" w:rsidRPr="00023CBA">
        <w:rPr>
          <w:rFonts w:ascii="Times New Roman" w:hAnsi="Times New Roman" w:cs="Times New Roman"/>
          <w:sz w:val="24"/>
        </w:rPr>
        <w:t>ktorej sú denominované,</w:t>
      </w:r>
      <w:r w:rsidRPr="00023CBA">
        <w:rPr>
          <w:rFonts w:ascii="Times New Roman" w:hAnsi="Times New Roman" w:cs="Times New Roman"/>
          <w:sz w:val="24"/>
        </w:rPr>
        <w:t xml:space="preserve"> a </w:t>
      </w:r>
      <w:r w:rsidR="001E06A3" w:rsidRPr="00023CBA">
        <w:rPr>
          <w:rFonts w:ascii="Times New Roman" w:hAnsi="Times New Roman" w:cs="Times New Roman"/>
          <w:sz w:val="24"/>
        </w:rPr>
        <w:t>zverejňujú sa</w:t>
      </w:r>
      <w:r w:rsidRPr="00023CBA">
        <w:rPr>
          <w:rFonts w:ascii="Times New Roman" w:hAnsi="Times New Roman" w:cs="Times New Roman"/>
          <w:sz w:val="24"/>
        </w:rPr>
        <w:t xml:space="preserve"> v </w:t>
      </w:r>
      <w:r w:rsidR="001E06A3" w:rsidRPr="00023CBA">
        <w:rPr>
          <w:rFonts w:ascii="Times New Roman" w:hAnsi="Times New Roman" w:cs="Times New Roman"/>
          <w:sz w:val="24"/>
        </w:rPr>
        <w:t>mene vykazovania, ako je vymedzená</w:t>
      </w:r>
      <w:r w:rsidRPr="00023CBA">
        <w:rPr>
          <w:rFonts w:ascii="Times New Roman" w:hAnsi="Times New Roman" w:cs="Times New Roman"/>
          <w:sz w:val="24"/>
        </w:rPr>
        <w:t xml:space="preserve"> v </w:t>
      </w:r>
      <w:r w:rsidR="001E06A3" w:rsidRPr="00023CBA">
        <w:rPr>
          <w:rFonts w:ascii="Times New Roman" w:hAnsi="Times New Roman" w:cs="Times New Roman"/>
          <w:sz w:val="24"/>
        </w:rPr>
        <w:t>článku 411 ods. 15 CRR.</w:t>
      </w:r>
    </w:p>
    <w:p w14:paraId="0A794B55" w14:textId="695B15DA"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14.</w:t>
      </w:r>
      <w:r w:rsidRPr="00023CBA">
        <w:rPr>
          <w:rFonts w:ascii="Times New Roman" w:eastAsia="Calibri" w:hAnsi="Times New Roman" w:cs="Times New Roman"/>
          <w:color w:val="000000"/>
          <w:sz w:val="24"/>
        </w:rPr>
        <w:tab/>
      </w:r>
      <w:r w:rsidR="003414D7" w:rsidRPr="00023CBA">
        <w:rPr>
          <w:rFonts w:ascii="Times New Roman" w:hAnsi="Times New Roman" w:cs="Times New Roman"/>
          <w:sz w:val="24"/>
        </w:rPr>
        <w:t>S cieľom zabrániť dvojitému započítaniu inštitúcie nezverejňujú aktíva ani záväzky spojené</w:t>
      </w:r>
      <w:r w:rsidRPr="00023CBA">
        <w:rPr>
          <w:rFonts w:ascii="Times New Roman" w:hAnsi="Times New Roman" w:cs="Times New Roman"/>
          <w:sz w:val="24"/>
        </w:rPr>
        <w:t xml:space="preserve"> s </w:t>
      </w:r>
      <w:r w:rsidR="003414D7" w:rsidRPr="00023CBA">
        <w:rPr>
          <w:rFonts w:ascii="Times New Roman" w:hAnsi="Times New Roman" w:cs="Times New Roman"/>
          <w:sz w:val="24"/>
        </w:rPr>
        <w:t>kolaterálom poskytnutým alebo prijatým ako variačná marža</w:t>
      </w:r>
      <w:r w:rsidRPr="00023CBA">
        <w:rPr>
          <w:rFonts w:ascii="Times New Roman" w:hAnsi="Times New Roman" w:cs="Times New Roman"/>
          <w:sz w:val="24"/>
        </w:rPr>
        <w:t xml:space="preserve"> v </w:t>
      </w:r>
      <w:r w:rsidR="003414D7" w:rsidRPr="00023CBA">
        <w:rPr>
          <w:rFonts w:ascii="Times New Roman" w:hAnsi="Times New Roman" w:cs="Times New Roman"/>
          <w:sz w:val="24"/>
        </w:rPr>
        <w:t>súlade</w:t>
      </w:r>
      <w:r w:rsidRPr="00023CBA">
        <w:rPr>
          <w:rFonts w:ascii="Times New Roman" w:hAnsi="Times New Roman" w:cs="Times New Roman"/>
          <w:sz w:val="24"/>
        </w:rPr>
        <w:t xml:space="preserve"> s </w:t>
      </w:r>
      <w:r w:rsidR="003414D7" w:rsidRPr="00023CBA">
        <w:rPr>
          <w:rFonts w:ascii="Times New Roman" w:hAnsi="Times New Roman" w:cs="Times New Roman"/>
          <w:sz w:val="24"/>
        </w:rPr>
        <w:t>článkom 428k ods. 4</w:t>
      </w:r>
      <w:r w:rsidRPr="00023CBA">
        <w:rPr>
          <w:rFonts w:ascii="Times New Roman" w:hAnsi="Times New Roman" w:cs="Times New Roman"/>
          <w:sz w:val="24"/>
        </w:rPr>
        <w:t xml:space="preserve"> a </w:t>
      </w:r>
      <w:r w:rsidR="003414D7" w:rsidRPr="00023CBA">
        <w:rPr>
          <w:rFonts w:ascii="Times New Roman" w:hAnsi="Times New Roman" w:cs="Times New Roman"/>
          <w:sz w:val="24"/>
        </w:rPr>
        <w:t>článkom 428ah ods. 2 CRR, počiatočná marža</w:t>
      </w:r>
      <w:r w:rsidRPr="00023CBA">
        <w:rPr>
          <w:rFonts w:ascii="Times New Roman" w:hAnsi="Times New Roman" w:cs="Times New Roman"/>
          <w:sz w:val="24"/>
        </w:rPr>
        <w:t xml:space="preserve"> a </w:t>
      </w:r>
      <w:r w:rsidR="003414D7" w:rsidRPr="00023CBA">
        <w:rPr>
          <w:rFonts w:ascii="Times New Roman" w:hAnsi="Times New Roman" w:cs="Times New Roman"/>
          <w:sz w:val="24"/>
        </w:rPr>
        <w:t>príspevok do fondu pre prípad zlyhania centrálnej protistrany</w:t>
      </w:r>
      <w:r w:rsidRPr="00023CBA">
        <w:rPr>
          <w:rFonts w:ascii="Times New Roman" w:hAnsi="Times New Roman" w:cs="Times New Roman"/>
          <w:sz w:val="24"/>
        </w:rPr>
        <w:t xml:space="preserve"> v </w:t>
      </w:r>
      <w:r w:rsidR="003414D7" w:rsidRPr="00023CBA">
        <w:rPr>
          <w:rFonts w:ascii="Times New Roman" w:hAnsi="Times New Roman" w:cs="Times New Roman"/>
          <w:sz w:val="24"/>
        </w:rPr>
        <w:t>súlade</w:t>
      </w:r>
      <w:r w:rsidRPr="00023CBA">
        <w:rPr>
          <w:rFonts w:ascii="Times New Roman" w:hAnsi="Times New Roman" w:cs="Times New Roman"/>
          <w:sz w:val="24"/>
        </w:rPr>
        <w:t xml:space="preserve"> s </w:t>
      </w:r>
      <w:r w:rsidR="003414D7" w:rsidRPr="00023CBA">
        <w:rPr>
          <w:rFonts w:ascii="Times New Roman" w:hAnsi="Times New Roman" w:cs="Times New Roman"/>
          <w:sz w:val="24"/>
        </w:rPr>
        <w:t>článkom 428ag písm. a)</w:t>
      </w:r>
      <w:r w:rsidRPr="00023CBA">
        <w:rPr>
          <w:rFonts w:ascii="Times New Roman" w:hAnsi="Times New Roman" w:cs="Times New Roman"/>
          <w:sz w:val="24"/>
        </w:rPr>
        <w:t xml:space="preserve"> a </w:t>
      </w:r>
      <w:r w:rsidR="003414D7" w:rsidRPr="00023CBA">
        <w:rPr>
          <w:rFonts w:ascii="Times New Roman" w:hAnsi="Times New Roman" w:cs="Times New Roman"/>
          <w:sz w:val="24"/>
        </w:rPr>
        <w:t>článkom 428ag písm. b) CRR.</w:t>
      </w:r>
    </w:p>
    <w:p w14:paraId="6A4BBC17" w14:textId="051B95FC"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15.</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Vklady vedené</w:t>
      </w:r>
      <w:r w:rsidRPr="00023CBA">
        <w:rPr>
          <w:rFonts w:ascii="Times New Roman" w:hAnsi="Times New Roman" w:cs="Times New Roman"/>
          <w:sz w:val="24"/>
        </w:rPr>
        <w:t xml:space="preserve"> v </w:t>
      </w:r>
      <w:r w:rsidR="001E06A3" w:rsidRPr="00023CBA">
        <w:rPr>
          <w:rFonts w:ascii="Times New Roman" w:hAnsi="Times New Roman" w:cs="Times New Roman"/>
          <w:sz w:val="24"/>
        </w:rPr>
        <w:t>súvislosti so schémou inštitucionálneho zabezpečenia alebo sieťou družstevných spoločností, ktoré sa považujú za likvidné aktíva, sa zverejňujú ako také. Ostatné položky</w:t>
      </w:r>
      <w:r w:rsidRPr="00023CBA">
        <w:rPr>
          <w:rFonts w:ascii="Times New Roman" w:hAnsi="Times New Roman" w:cs="Times New Roman"/>
          <w:sz w:val="24"/>
        </w:rPr>
        <w:t xml:space="preserve"> v </w:t>
      </w:r>
      <w:r w:rsidR="001E06A3" w:rsidRPr="00023CBA">
        <w:rPr>
          <w:rFonts w:ascii="Times New Roman" w:hAnsi="Times New Roman" w:cs="Times New Roman"/>
          <w:sz w:val="24"/>
        </w:rPr>
        <w:t>rámci skupiny alebo schémy inštitucionálneho zabezpečenia sa zverejňujú</w:t>
      </w:r>
      <w:r w:rsidRPr="00023CBA">
        <w:rPr>
          <w:rFonts w:ascii="Times New Roman" w:hAnsi="Times New Roman" w:cs="Times New Roman"/>
          <w:sz w:val="24"/>
        </w:rPr>
        <w:t xml:space="preserve"> v </w:t>
      </w:r>
      <w:r w:rsidR="001E06A3" w:rsidRPr="00023CBA">
        <w:rPr>
          <w:rFonts w:ascii="Times New Roman" w:hAnsi="Times New Roman" w:cs="Times New Roman"/>
          <w:sz w:val="24"/>
        </w:rPr>
        <w:t>príslušných všeobecných kategóriách vo vzore požadovaného alebo dostupného stabilného financovania.</w:t>
      </w:r>
    </w:p>
    <w:p w14:paraId="767BB1BE" w14:textId="639B3C6A"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lastRenderedPageBreak/>
        <w:t>16.</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Inštitúcie vždy zverejňujú účtovné hodnoty ako „neváženú hodnotu podľa zostatkovej splatnosti“</w:t>
      </w:r>
      <w:r w:rsidRPr="00023CBA">
        <w:rPr>
          <w:rFonts w:ascii="Times New Roman" w:hAnsi="Times New Roman" w:cs="Times New Roman"/>
          <w:sz w:val="24"/>
        </w:rPr>
        <w:t xml:space="preserve"> v </w:t>
      </w:r>
      <w:r w:rsidR="001E06A3" w:rsidRPr="00023CBA">
        <w:rPr>
          <w:rFonts w:ascii="Times New Roman" w:hAnsi="Times New Roman" w:cs="Times New Roman"/>
          <w:sz w:val="24"/>
        </w:rPr>
        <w:t xml:space="preserve">stĺpcoch </w:t>
      </w:r>
      <w:r w:rsidR="001E06A3" w:rsidRPr="00023CBA">
        <w:rPr>
          <w:rFonts w:ascii="Times New Roman" w:hAnsi="Times New Roman" w:cs="Times New Roman"/>
          <w:i/>
          <w:sz w:val="24"/>
        </w:rPr>
        <w:t>a</w:t>
      </w:r>
      <w:r w:rsidR="001E06A3" w:rsidRPr="00023CBA">
        <w:rPr>
          <w:rFonts w:ascii="Times New Roman" w:hAnsi="Times New Roman" w:cs="Times New Roman"/>
          <w:sz w:val="24"/>
        </w:rPr>
        <w:t xml:space="preserve">, </w:t>
      </w:r>
      <w:r w:rsidR="001E06A3" w:rsidRPr="00023CBA">
        <w:rPr>
          <w:rFonts w:ascii="Times New Roman" w:hAnsi="Times New Roman" w:cs="Times New Roman"/>
          <w:i/>
          <w:sz w:val="24"/>
        </w:rPr>
        <w:t>b</w:t>
      </w:r>
      <w:r w:rsidR="001E06A3" w:rsidRPr="00023CBA">
        <w:rPr>
          <w:rFonts w:ascii="Times New Roman" w:hAnsi="Times New Roman" w:cs="Times New Roman"/>
          <w:sz w:val="24"/>
        </w:rPr>
        <w:t xml:space="preserve">, </w:t>
      </w:r>
      <w:r w:rsidR="001E06A3" w:rsidRPr="00023CBA">
        <w:rPr>
          <w:rFonts w:ascii="Times New Roman" w:hAnsi="Times New Roman" w:cs="Times New Roman"/>
          <w:i/>
          <w:sz w:val="24"/>
        </w:rPr>
        <w:t>c</w:t>
      </w:r>
      <w:r w:rsidRPr="00023CBA">
        <w:rPr>
          <w:rFonts w:ascii="Times New Roman" w:hAnsi="Times New Roman" w:cs="Times New Roman"/>
          <w:sz w:val="24"/>
        </w:rPr>
        <w:t xml:space="preserve"> a </w:t>
      </w:r>
      <w:r w:rsidR="001E06A3" w:rsidRPr="00023CBA">
        <w:rPr>
          <w:rFonts w:ascii="Times New Roman" w:hAnsi="Times New Roman" w:cs="Times New Roman"/>
          <w:i/>
          <w:sz w:val="24"/>
        </w:rPr>
        <w:t>d</w:t>
      </w:r>
      <w:r w:rsidR="001E06A3" w:rsidRPr="00023CBA">
        <w:rPr>
          <w:rFonts w:ascii="Times New Roman" w:hAnsi="Times New Roman" w:cs="Times New Roman"/>
          <w:sz w:val="24"/>
        </w:rPr>
        <w:t xml:space="preserve"> vzoru,</w:t>
      </w:r>
      <w:r w:rsidRPr="00023CBA">
        <w:rPr>
          <w:rFonts w:ascii="Times New Roman" w:hAnsi="Times New Roman" w:cs="Times New Roman"/>
          <w:sz w:val="24"/>
        </w:rPr>
        <w:t xml:space="preserve"> s </w:t>
      </w:r>
      <w:r w:rsidR="001E06A3" w:rsidRPr="00023CBA">
        <w:rPr>
          <w:rFonts w:ascii="Times New Roman" w:hAnsi="Times New Roman" w:cs="Times New Roman"/>
          <w:sz w:val="24"/>
        </w:rPr>
        <w:t>výnimkou prípadov zmlúv</w:t>
      </w:r>
      <w:r w:rsidRPr="00023CBA">
        <w:rPr>
          <w:rFonts w:ascii="Times New Roman" w:hAnsi="Times New Roman" w:cs="Times New Roman"/>
          <w:sz w:val="24"/>
        </w:rPr>
        <w:t xml:space="preserve"> o </w:t>
      </w:r>
      <w:r w:rsidR="001E06A3" w:rsidRPr="00023CBA">
        <w:rPr>
          <w:rFonts w:ascii="Times New Roman" w:hAnsi="Times New Roman" w:cs="Times New Roman"/>
          <w:sz w:val="24"/>
        </w:rPr>
        <w:t>derivátoch, pri ktorých inštitúcie odkazujú na reálnu hodnotu stanovenú</w:t>
      </w:r>
      <w:r w:rsidRPr="00023CBA">
        <w:rPr>
          <w:rFonts w:ascii="Times New Roman" w:hAnsi="Times New Roman" w:cs="Times New Roman"/>
          <w:sz w:val="24"/>
        </w:rPr>
        <w:t xml:space="preserve"> v </w:t>
      </w:r>
      <w:r w:rsidR="001E06A3" w:rsidRPr="00023CBA">
        <w:rPr>
          <w:rFonts w:ascii="Times New Roman" w:hAnsi="Times New Roman" w:cs="Times New Roman"/>
          <w:sz w:val="24"/>
        </w:rPr>
        <w:t>článku 428d ods. 2 CRR.</w:t>
      </w:r>
    </w:p>
    <w:p w14:paraId="025EBBBD" w14:textId="20B85D78"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17.</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 xml:space="preserve">V stĺpci </w:t>
      </w:r>
      <w:r w:rsidR="001E06A3" w:rsidRPr="00023CBA">
        <w:rPr>
          <w:rFonts w:ascii="Times New Roman" w:hAnsi="Times New Roman" w:cs="Times New Roman"/>
          <w:i/>
          <w:sz w:val="24"/>
        </w:rPr>
        <w:t>e</w:t>
      </w:r>
      <w:r w:rsidR="001E06A3" w:rsidRPr="00023CBA">
        <w:rPr>
          <w:rFonts w:ascii="Times New Roman" w:hAnsi="Times New Roman" w:cs="Times New Roman"/>
          <w:sz w:val="24"/>
        </w:rPr>
        <w:t xml:space="preserve"> tohto vzoru inštitúcie zverejňujú „váženú hodnotu“. Táto hodnota odzrkadľuje hodnotu</w:t>
      </w:r>
      <w:r w:rsidRPr="00023CBA">
        <w:rPr>
          <w:rFonts w:ascii="Times New Roman" w:hAnsi="Times New Roman" w:cs="Times New Roman"/>
          <w:sz w:val="24"/>
        </w:rPr>
        <w:t xml:space="preserve"> v </w:t>
      </w:r>
      <w:r w:rsidR="001E06A3" w:rsidRPr="00023CBA">
        <w:rPr>
          <w:rFonts w:ascii="Times New Roman" w:hAnsi="Times New Roman" w:cs="Times New Roman"/>
          <w:sz w:val="24"/>
        </w:rPr>
        <w:t>súlade</w:t>
      </w:r>
      <w:r w:rsidRPr="00023CBA">
        <w:rPr>
          <w:rFonts w:ascii="Times New Roman" w:hAnsi="Times New Roman" w:cs="Times New Roman"/>
          <w:sz w:val="24"/>
        </w:rPr>
        <w:t xml:space="preserve"> s </w:t>
      </w:r>
      <w:r w:rsidR="001E06A3" w:rsidRPr="00023CBA">
        <w:rPr>
          <w:rFonts w:ascii="Times New Roman" w:hAnsi="Times New Roman" w:cs="Times New Roman"/>
          <w:sz w:val="24"/>
        </w:rPr>
        <w:t>článkom 428c ods. 2 CRR, ktorá je výsledkom neváženej hodnoty vynásobenej koeficientmi stabilného financovania.</w:t>
      </w:r>
    </w:p>
    <w:p w14:paraId="075502ED" w14:textId="50BCA0AB"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18.</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Hodnota aktív</w:t>
      </w:r>
      <w:r w:rsidRPr="00023CBA">
        <w:rPr>
          <w:rFonts w:ascii="Times New Roman" w:hAnsi="Times New Roman" w:cs="Times New Roman"/>
          <w:sz w:val="24"/>
        </w:rPr>
        <w:t xml:space="preserve"> a </w:t>
      </w:r>
      <w:r w:rsidR="001E06A3" w:rsidRPr="00023CBA">
        <w:rPr>
          <w:rFonts w:ascii="Times New Roman" w:hAnsi="Times New Roman" w:cs="Times New Roman"/>
          <w:sz w:val="24"/>
        </w:rPr>
        <w:t>záväzkov vyplývajúcich</w:t>
      </w:r>
      <w:r w:rsidRPr="00023CBA">
        <w:rPr>
          <w:rFonts w:ascii="Times New Roman" w:hAnsi="Times New Roman" w:cs="Times New Roman"/>
          <w:sz w:val="24"/>
        </w:rPr>
        <w:t xml:space="preserve"> z </w:t>
      </w:r>
      <w:r w:rsidR="001E06A3" w:rsidRPr="00023CBA">
        <w:rPr>
          <w:rFonts w:ascii="Times New Roman" w:hAnsi="Times New Roman" w:cs="Times New Roman"/>
          <w:sz w:val="24"/>
        </w:rPr>
        <w:t>transakcií financovania prostredníctvom cenných papierov (SFT)</w:t>
      </w:r>
      <w:r w:rsidRPr="00023CBA">
        <w:rPr>
          <w:rFonts w:ascii="Times New Roman" w:hAnsi="Times New Roman" w:cs="Times New Roman"/>
          <w:sz w:val="24"/>
        </w:rPr>
        <w:t xml:space="preserve"> s </w:t>
      </w:r>
      <w:r w:rsidR="001E06A3" w:rsidRPr="00023CBA">
        <w:rPr>
          <w:rFonts w:ascii="Times New Roman" w:hAnsi="Times New Roman" w:cs="Times New Roman"/>
          <w:sz w:val="24"/>
        </w:rPr>
        <w:t>jednou protistranou sa posudzuje na čistom základe, keď sa uplatňuje článok 428e CRR.</w:t>
      </w:r>
      <w:r w:rsidRPr="00023CBA">
        <w:rPr>
          <w:rFonts w:ascii="Times New Roman" w:hAnsi="Times New Roman" w:cs="Times New Roman"/>
          <w:sz w:val="24"/>
        </w:rPr>
        <w:t xml:space="preserve"> V </w:t>
      </w:r>
      <w:r w:rsidR="001E06A3" w:rsidRPr="00023CBA">
        <w:rPr>
          <w:rFonts w:ascii="Times New Roman" w:hAnsi="Times New Roman" w:cs="Times New Roman"/>
          <w:sz w:val="24"/>
        </w:rPr>
        <w:t>prípade, že jednotlivé vzájomne započítané transakcie podliehali rôznym faktorom požadovaného stabilného financovania (RSF), ak sa posudzovali samostatne, čistá suma, ktorá sa má zverejniť</w:t>
      </w:r>
      <w:r w:rsidRPr="00023CBA">
        <w:rPr>
          <w:rFonts w:ascii="Times New Roman" w:hAnsi="Times New Roman" w:cs="Times New Roman"/>
          <w:sz w:val="24"/>
        </w:rPr>
        <w:t xml:space="preserve"> v </w:t>
      </w:r>
      <w:r w:rsidR="001E06A3" w:rsidRPr="00023CBA">
        <w:rPr>
          <w:rFonts w:ascii="Times New Roman" w:hAnsi="Times New Roman" w:cs="Times New Roman"/>
          <w:sz w:val="24"/>
        </w:rPr>
        <w:t>prípade aktíva, podlieha vyššiemu koeficientu RSF spomedzi nich.</w:t>
      </w:r>
    </w:p>
    <w:p w14:paraId="635DF997" w14:textId="3838178D"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19.</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Inštitúcie poskytnú</w:t>
      </w:r>
      <w:r w:rsidRPr="00023CBA">
        <w:rPr>
          <w:rFonts w:ascii="Times New Roman" w:hAnsi="Times New Roman" w:cs="Times New Roman"/>
          <w:sz w:val="24"/>
        </w:rPr>
        <w:t xml:space="preserve"> v </w:t>
      </w:r>
      <w:r w:rsidR="001E06A3" w:rsidRPr="00023CBA">
        <w:rPr>
          <w:rFonts w:ascii="Times New Roman" w:hAnsi="Times New Roman" w:cs="Times New Roman"/>
          <w:sz w:val="24"/>
        </w:rPr>
        <w:t>opise sprevádzajúcom tento vzor všetky vysvetlenia potrebné na to, aby sa dali ľahšie pochopiť výsledky</w:t>
      </w:r>
      <w:r w:rsidRPr="00023CBA">
        <w:rPr>
          <w:rFonts w:ascii="Times New Roman" w:hAnsi="Times New Roman" w:cs="Times New Roman"/>
          <w:sz w:val="24"/>
        </w:rPr>
        <w:t xml:space="preserve"> a </w:t>
      </w:r>
      <w:r w:rsidR="001E06A3" w:rsidRPr="00023CBA">
        <w:rPr>
          <w:rFonts w:ascii="Times New Roman" w:hAnsi="Times New Roman" w:cs="Times New Roman"/>
          <w:sz w:val="24"/>
        </w:rPr>
        <w:t>sprievodné údaje. Inštitúcie musia vysvetliť aspoň:</w:t>
      </w:r>
    </w:p>
    <w:p w14:paraId="273D0F3B" w14:textId="5DA54577" w:rsidR="001E06A3" w:rsidRPr="00023CBA" w:rsidRDefault="00A60806" w:rsidP="00A3389E">
      <w:pPr>
        <w:pStyle w:val="ListNumber"/>
        <w:numPr>
          <w:ilvl w:val="0"/>
          <w:numId w:val="0"/>
        </w:numPr>
        <w:tabs>
          <w:tab w:val="left" w:pos="1074"/>
        </w:tabs>
        <w:spacing w:after="150"/>
        <w:ind w:left="1071" w:hanging="357"/>
        <w:jc w:val="both"/>
        <w:rPr>
          <w:rFonts w:ascii="Times New Roman" w:hAnsi="Times New Roman" w:cs="Times New Roman"/>
          <w:sz w:val="24"/>
        </w:rPr>
      </w:pPr>
      <w:r w:rsidRPr="00023CBA">
        <w:rPr>
          <w:rFonts w:ascii="Times New Roman" w:hAnsi="Times New Roman" w:cs="Times New Roman"/>
          <w:sz w:val="24"/>
        </w:rPr>
        <w:t>a)</w:t>
      </w:r>
      <w:r w:rsidRPr="00023CBA">
        <w:rPr>
          <w:rFonts w:ascii="Times New Roman" w:hAnsi="Times New Roman" w:cs="Times New Roman"/>
          <w:sz w:val="24"/>
        </w:rPr>
        <w:tab/>
      </w:r>
      <w:r w:rsidR="001E06A3" w:rsidRPr="00023CBA">
        <w:rPr>
          <w:rFonts w:ascii="Times New Roman" w:hAnsi="Times New Roman" w:cs="Times New Roman"/>
          <w:sz w:val="24"/>
        </w:rPr>
        <w:t>faktory svojich výsledkov NSFR</w:t>
      </w:r>
      <w:r w:rsidR="00A3389E" w:rsidRPr="00023CBA">
        <w:rPr>
          <w:rFonts w:ascii="Times New Roman" w:hAnsi="Times New Roman" w:cs="Times New Roman"/>
          <w:sz w:val="24"/>
        </w:rPr>
        <w:t xml:space="preserve"> a </w:t>
      </w:r>
      <w:r w:rsidR="001E06A3" w:rsidRPr="00023CBA">
        <w:rPr>
          <w:rFonts w:ascii="Times New Roman" w:hAnsi="Times New Roman" w:cs="Times New Roman"/>
          <w:sz w:val="24"/>
        </w:rPr>
        <w:t>dôvody zmien</w:t>
      </w:r>
      <w:r w:rsidR="00A3389E" w:rsidRPr="00023CBA">
        <w:rPr>
          <w:rFonts w:ascii="Times New Roman" w:hAnsi="Times New Roman" w:cs="Times New Roman"/>
          <w:sz w:val="24"/>
        </w:rPr>
        <w:t xml:space="preserve"> v </w:t>
      </w:r>
      <w:r w:rsidR="001E06A3" w:rsidRPr="00023CBA">
        <w:rPr>
          <w:rFonts w:ascii="Times New Roman" w:hAnsi="Times New Roman" w:cs="Times New Roman"/>
          <w:sz w:val="24"/>
        </w:rPr>
        <w:t>rámci obdobia, ako aj zmeny</w:t>
      </w:r>
      <w:r w:rsidR="00A3389E" w:rsidRPr="00023CBA">
        <w:rPr>
          <w:rFonts w:ascii="Times New Roman" w:hAnsi="Times New Roman" w:cs="Times New Roman"/>
          <w:sz w:val="24"/>
        </w:rPr>
        <w:t xml:space="preserve"> v </w:t>
      </w:r>
      <w:r w:rsidR="001E06A3" w:rsidRPr="00023CBA">
        <w:rPr>
          <w:rFonts w:ascii="Times New Roman" w:hAnsi="Times New Roman" w:cs="Times New Roman"/>
          <w:sz w:val="24"/>
        </w:rPr>
        <w:t>čase (napr. zmeny</w:t>
      </w:r>
      <w:r w:rsidR="00A3389E" w:rsidRPr="00023CBA">
        <w:rPr>
          <w:rFonts w:ascii="Times New Roman" w:hAnsi="Times New Roman" w:cs="Times New Roman"/>
          <w:sz w:val="24"/>
        </w:rPr>
        <w:t xml:space="preserve"> v </w:t>
      </w:r>
      <w:r w:rsidR="001E06A3" w:rsidRPr="00023CBA">
        <w:rPr>
          <w:rFonts w:ascii="Times New Roman" w:hAnsi="Times New Roman" w:cs="Times New Roman"/>
          <w:sz w:val="24"/>
        </w:rPr>
        <w:t>stratégiách, štruktúre financovania, okolnostiach); a</w:t>
      </w:r>
    </w:p>
    <w:p w14:paraId="6C7E1EE0" w14:textId="77777777" w:rsidR="001E06A3" w:rsidRPr="00023CBA" w:rsidRDefault="001E06A3" w:rsidP="001E06A3">
      <w:pPr>
        <w:pStyle w:val="ListNumber"/>
        <w:numPr>
          <w:ilvl w:val="0"/>
          <w:numId w:val="0"/>
        </w:numPr>
        <w:ind w:left="1071"/>
        <w:jc w:val="both"/>
        <w:rPr>
          <w:rFonts w:ascii="Times New Roman" w:hAnsi="Times New Roman" w:cs="Times New Roman"/>
          <w:sz w:val="24"/>
        </w:rPr>
      </w:pPr>
    </w:p>
    <w:p w14:paraId="3D736C6A" w14:textId="69210820" w:rsidR="001E06A3" w:rsidRPr="00023CBA" w:rsidRDefault="00A60806" w:rsidP="00A3389E">
      <w:pPr>
        <w:pStyle w:val="ListNumber"/>
        <w:numPr>
          <w:ilvl w:val="0"/>
          <w:numId w:val="0"/>
        </w:numPr>
        <w:tabs>
          <w:tab w:val="left" w:pos="1074"/>
        </w:tabs>
        <w:spacing w:after="150"/>
        <w:ind w:left="1071" w:hanging="357"/>
        <w:jc w:val="both"/>
        <w:rPr>
          <w:rFonts w:ascii="Times New Roman" w:hAnsi="Times New Roman" w:cs="Times New Roman"/>
          <w:sz w:val="24"/>
        </w:rPr>
      </w:pPr>
      <w:r w:rsidRPr="00023CBA">
        <w:rPr>
          <w:rFonts w:ascii="Times New Roman" w:hAnsi="Times New Roman" w:cs="Times New Roman"/>
          <w:sz w:val="24"/>
        </w:rPr>
        <w:t>b)</w:t>
      </w:r>
      <w:r w:rsidRPr="00023CBA">
        <w:rPr>
          <w:rFonts w:ascii="Times New Roman" w:hAnsi="Times New Roman" w:cs="Times New Roman"/>
          <w:sz w:val="24"/>
        </w:rPr>
        <w:tab/>
      </w:r>
      <w:r w:rsidR="001E06A3" w:rsidRPr="00023CBA">
        <w:rPr>
          <w:rFonts w:ascii="Times New Roman" w:hAnsi="Times New Roman" w:cs="Times New Roman"/>
          <w:sz w:val="24"/>
        </w:rPr>
        <w:t>zloženie vzájomne závislých aktív</w:t>
      </w:r>
      <w:r w:rsidR="00A3389E" w:rsidRPr="00023CBA">
        <w:rPr>
          <w:rFonts w:ascii="Times New Roman" w:hAnsi="Times New Roman" w:cs="Times New Roman"/>
          <w:sz w:val="24"/>
        </w:rPr>
        <w:t xml:space="preserve"> a </w:t>
      </w:r>
      <w:r w:rsidR="001E06A3" w:rsidRPr="00023CBA">
        <w:rPr>
          <w:rFonts w:ascii="Times New Roman" w:hAnsi="Times New Roman" w:cs="Times New Roman"/>
          <w:sz w:val="24"/>
        </w:rPr>
        <w:t>záväzkov inštitúcie</w:t>
      </w:r>
      <w:r w:rsidR="00A3389E" w:rsidRPr="00023CBA">
        <w:rPr>
          <w:rFonts w:ascii="Times New Roman" w:hAnsi="Times New Roman" w:cs="Times New Roman"/>
          <w:sz w:val="24"/>
        </w:rPr>
        <w:t xml:space="preserve"> a </w:t>
      </w:r>
      <w:r w:rsidR="001E06A3" w:rsidRPr="00023CBA">
        <w:rPr>
          <w:rFonts w:ascii="Times New Roman" w:hAnsi="Times New Roman" w:cs="Times New Roman"/>
          <w:sz w:val="24"/>
        </w:rPr>
        <w:t>to, do akej miery sú tieto transakcie vzájomne prepojené.</w:t>
      </w:r>
    </w:p>
    <w:p w14:paraId="1012EDDC" w14:textId="77777777" w:rsidR="001E06A3" w:rsidRPr="00023CBA" w:rsidRDefault="001E06A3" w:rsidP="001E06A3">
      <w:pPr>
        <w:rPr>
          <w:rFonts w:ascii="Times New Roman" w:hAnsi="Times New Roman" w:cs="Times New Roman"/>
          <w:b/>
          <w:sz w:val="24"/>
        </w:rPr>
      </w:pPr>
      <w:r w:rsidRPr="00023CBA">
        <w:rPr>
          <w:rFonts w:ascii="Times New Roman" w:hAnsi="Times New Roman" w:cs="Times New Roman"/>
          <w:b/>
          <w:sz w:val="24"/>
        </w:rPr>
        <w:t>Položky dostupného stabilného financovania (ASF)</w:t>
      </w:r>
    </w:p>
    <w:p w14:paraId="413BD21C" w14:textId="331BAF2E"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20.</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Ak nie je</w:t>
      </w:r>
      <w:r w:rsidRPr="00023CBA">
        <w:rPr>
          <w:rFonts w:ascii="Times New Roman" w:hAnsi="Times New Roman" w:cs="Times New Roman"/>
          <w:sz w:val="24"/>
        </w:rPr>
        <w:t xml:space="preserve"> v </w:t>
      </w:r>
      <w:r w:rsidR="001E06A3" w:rsidRPr="00023CBA">
        <w:rPr>
          <w:rFonts w:ascii="Times New Roman" w:hAnsi="Times New Roman" w:cs="Times New Roman"/>
          <w:sz w:val="24"/>
        </w:rPr>
        <w:t>šiestej časti hlave IV kapitole 3 CRR stanovené inak, suma dostupného stabilného financovania (ASF) sa</w:t>
      </w:r>
      <w:r w:rsidRPr="00023CBA">
        <w:rPr>
          <w:rFonts w:ascii="Times New Roman" w:hAnsi="Times New Roman" w:cs="Times New Roman"/>
          <w:sz w:val="24"/>
        </w:rPr>
        <w:t xml:space="preserve"> v </w:t>
      </w:r>
      <w:r w:rsidR="001E06A3" w:rsidRPr="00023CBA">
        <w:rPr>
          <w:rFonts w:ascii="Times New Roman" w:hAnsi="Times New Roman" w:cs="Times New Roman"/>
          <w:sz w:val="24"/>
        </w:rPr>
        <w:t>súlade</w:t>
      </w:r>
      <w:r w:rsidRPr="00023CBA">
        <w:rPr>
          <w:rFonts w:ascii="Times New Roman" w:hAnsi="Times New Roman" w:cs="Times New Roman"/>
          <w:sz w:val="24"/>
        </w:rPr>
        <w:t xml:space="preserve"> s </w:t>
      </w:r>
      <w:r w:rsidR="001E06A3" w:rsidRPr="00023CBA">
        <w:rPr>
          <w:rFonts w:ascii="Times New Roman" w:hAnsi="Times New Roman" w:cs="Times New Roman"/>
          <w:sz w:val="24"/>
        </w:rPr>
        <w:t>článkom 428i CRR vypočítava tak, že sa hodnota záväzkov</w:t>
      </w:r>
      <w:r w:rsidRPr="00023CBA">
        <w:rPr>
          <w:rFonts w:ascii="Times New Roman" w:hAnsi="Times New Roman" w:cs="Times New Roman"/>
          <w:sz w:val="24"/>
        </w:rPr>
        <w:t xml:space="preserve"> a </w:t>
      </w:r>
      <w:r w:rsidR="001E06A3" w:rsidRPr="00023CBA">
        <w:rPr>
          <w:rFonts w:ascii="Times New Roman" w:hAnsi="Times New Roman" w:cs="Times New Roman"/>
          <w:sz w:val="24"/>
        </w:rPr>
        <w:t>vlastných zdrojov, ktoré sú vyjadrené ako nevážená hodnota, vynásobí koeficientmi dostupného stabilného financovania. Vážená hodnota</w:t>
      </w:r>
      <w:r w:rsidRPr="00023CBA">
        <w:rPr>
          <w:rFonts w:ascii="Times New Roman" w:hAnsi="Times New Roman" w:cs="Times New Roman"/>
          <w:sz w:val="24"/>
        </w:rPr>
        <w:t xml:space="preserve"> v </w:t>
      </w:r>
      <w:r w:rsidR="001E06A3" w:rsidRPr="00023CBA">
        <w:rPr>
          <w:rFonts w:ascii="Times New Roman" w:hAnsi="Times New Roman" w:cs="Times New Roman"/>
          <w:sz w:val="24"/>
        </w:rPr>
        <w:t xml:space="preserve">stĺpci </w:t>
      </w:r>
      <w:r w:rsidR="001E06A3" w:rsidRPr="00023CBA">
        <w:rPr>
          <w:rFonts w:ascii="Times New Roman" w:hAnsi="Times New Roman" w:cs="Times New Roman"/>
          <w:i/>
          <w:sz w:val="24"/>
        </w:rPr>
        <w:t>e</w:t>
      </w:r>
      <w:r w:rsidR="001E06A3" w:rsidRPr="00023CBA">
        <w:rPr>
          <w:rFonts w:ascii="Times New Roman" w:hAnsi="Times New Roman" w:cs="Times New Roman"/>
          <w:sz w:val="24"/>
        </w:rPr>
        <w:t xml:space="preserve"> tohto vzoru odzrkadľuje výšku dostupného stabilného financovania.</w:t>
      </w:r>
    </w:p>
    <w:p w14:paraId="2EF85710" w14:textId="2E7F843B"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21.</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Všetky záväzky</w:t>
      </w:r>
      <w:r w:rsidRPr="00023CBA">
        <w:rPr>
          <w:rFonts w:ascii="Times New Roman" w:hAnsi="Times New Roman" w:cs="Times New Roman"/>
          <w:sz w:val="24"/>
        </w:rPr>
        <w:t xml:space="preserve"> a </w:t>
      </w:r>
      <w:r w:rsidR="001E06A3" w:rsidRPr="00023CBA">
        <w:rPr>
          <w:rFonts w:ascii="Times New Roman" w:hAnsi="Times New Roman" w:cs="Times New Roman"/>
          <w:sz w:val="24"/>
        </w:rPr>
        <w:t>vlastné zdroje sa zverejňujú</w:t>
      </w:r>
      <w:r w:rsidRPr="00023CBA">
        <w:rPr>
          <w:rFonts w:ascii="Times New Roman" w:hAnsi="Times New Roman" w:cs="Times New Roman"/>
          <w:sz w:val="24"/>
        </w:rPr>
        <w:t xml:space="preserve"> v </w:t>
      </w:r>
      <w:r w:rsidR="001E06A3" w:rsidRPr="00023CBA">
        <w:rPr>
          <w:rFonts w:ascii="Times New Roman" w:hAnsi="Times New Roman" w:cs="Times New Roman"/>
          <w:sz w:val="24"/>
        </w:rPr>
        <w:t>rozčlenení podľa ich zostatkovej splatnosti</w:t>
      </w:r>
      <w:r w:rsidRPr="00023CBA">
        <w:rPr>
          <w:rFonts w:ascii="Times New Roman" w:hAnsi="Times New Roman" w:cs="Times New Roman"/>
          <w:sz w:val="24"/>
        </w:rPr>
        <w:t xml:space="preserve"> v </w:t>
      </w:r>
      <w:r w:rsidR="001E06A3" w:rsidRPr="00023CBA">
        <w:rPr>
          <w:rFonts w:ascii="Times New Roman" w:hAnsi="Times New Roman" w:cs="Times New Roman"/>
          <w:sz w:val="24"/>
        </w:rPr>
        <w:t xml:space="preserve">stĺpcoch </w:t>
      </w:r>
      <w:r w:rsidR="001E06A3" w:rsidRPr="00023CBA">
        <w:rPr>
          <w:rFonts w:ascii="Times New Roman" w:hAnsi="Times New Roman" w:cs="Times New Roman"/>
          <w:i/>
          <w:sz w:val="24"/>
        </w:rPr>
        <w:t>a</w:t>
      </w:r>
      <w:r w:rsidR="001E06A3" w:rsidRPr="00023CBA">
        <w:rPr>
          <w:rFonts w:ascii="Times New Roman" w:hAnsi="Times New Roman" w:cs="Times New Roman"/>
          <w:sz w:val="24"/>
        </w:rPr>
        <w:t xml:space="preserve">, </w:t>
      </w:r>
      <w:r w:rsidR="001E06A3" w:rsidRPr="00023CBA">
        <w:rPr>
          <w:rFonts w:ascii="Times New Roman" w:hAnsi="Times New Roman" w:cs="Times New Roman"/>
          <w:i/>
          <w:sz w:val="24"/>
        </w:rPr>
        <w:t>b</w:t>
      </w:r>
      <w:r w:rsidR="001E06A3" w:rsidRPr="00023CBA">
        <w:rPr>
          <w:rFonts w:ascii="Times New Roman" w:hAnsi="Times New Roman" w:cs="Times New Roman"/>
          <w:sz w:val="24"/>
        </w:rPr>
        <w:t xml:space="preserve">, </w:t>
      </w:r>
      <w:r w:rsidR="001E06A3" w:rsidRPr="00023CBA">
        <w:rPr>
          <w:rFonts w:ascii="Times New Roman" w:hAnsi="Times New Roman" w:cs="Times New Roman"/>
          <w:i/>
          <w:sz w:val="24"/>
        </w:rPr>
        <w:t>c</w:t>
      </w:r>
      <w:r w:rsidRPr="00023CBA">
        <w:rPr>
          <w:rFonts w:ascii="Times New Roman" w:hAnsi="Times New Roman" w:cs="Times New Roman"/>
          <w:sz w:val="24"/>
        </w:rPr>
        <w:t xml:space="preserve"> a </w:t>
      </w:r>
      <w:r w:rsidR="001E06A3" w:rsidRPr="00023CBA">
        <w:rPr>
          <w:rFonts w:ascii="Times New Roman" w:hAnsi="Times New Roman" w:cs="Times New Roman"/>
          <w:i/>
          <w:sz w:val="24"/>
        </w:rPr>
        <w:t>d</w:t>
      </w:r>
      <w:r w:rsidR="001E06A3" w:rsidRPr="00023CBA">
        <w:rPr>
          <w:rFonts w:ascii="Times New Roman" w:hAnsi="Times New Roman" w:cs="Times New Roman"/>
          <w:sz w:val="24"/>
        </w:rPr>
        <w:t xml:space="preserve"> tohto vzoru, vypočítanej</w:t>
      </w:r>
      <w:r w:rsidRPr="00023CBA">
        <w:rPr>
          <w:rFonts w:ascii="Times New Roman" w:hAnsi="Times New Roman" w:cs="Times New Roman"/>
          <w:sz w:val="24"/>
        </w:rPr>
        <w:t xml:space="preserve"> v </w:t>
      </w:r>
      <w:r w:rsidR="001E06A3" w:rsidRPr="00023CBA">
        <w:rPr>
          <w:rFonts w:ascii="Times New Roman" w:hAnsi="Times New Roman" w:cs="Times New Roman"/>
          <w:sz w:val="24"/>
        </w:rPr>
        <w:t>súlade</w:t>
      </w:r>
      <w:r w:rsidRPr="00023CBA">
        <w:rPr>
          <w:rFonts w:ascii="Times New Roman" w:hAnsi="Times New Roman" w:cs="Times New Roman"/>
          <w:sz w:val="24"/>
        </w:rPr>
        <w:t xml:space="preserve"> s </w:t>
      </w:r>
      <w:r w:rsidR="001E06A3" w:rsidRPr="00023CBA">
        <w:rPr>
          <w:rFonts w:ascii="Times New Roman" w:hAnsi="Times New Roman" w:cs="Times New Roman"/>
          <w:sz w:val="24"/>
        </w:rPr>
        <w:t>článkami 428j, 428o</w:t>
      </w:r>
      <w:r w:rsidRPr="00023CBA">
        <w:rPr>
          <w:rFonts w:ascii="Times New Roman" w:hAnsi="Times New Roman" w:cs="Times New Roman"/>
          <w:sz w:val="24"/>
        </w:rPr>
        <w:t xml:space="preserve"> a </w:t>
      </w:r>
      <w:r w:rsidR="001E06A3" w:rsidRPr="00023CBA">
        <w:rPr>
          <w:rFonts w:ascii="Times New Roman" w:hAnsi="Times New Roman" w:cs="Times New Roman"/>
          <w:sz w:val="24"/>
        </w:rPr>
        <w:t>428ak CRR,</w:t>
      </w:r>
      <w:r w:rsidRPr="00023CBA">
        <w:rPr>
          <w:rFonts w:ascii="Times New Roman" w:hAnsi="Times New Roman" w:cs="Times New Roman"/>
          <w:sz w:val="24"/>
        </w:rPr>
        <w:t xml:space="preserve"> v </w:t>
      </w:r>
      <w:r w:rsidR="001E06A3" w:rsidRPr="00023CBA">
        <w:rPr>
          <w:rFonts w:ascii="Times New Roman" w:hAnsi="Times New Roman" w:cs="Times New Roman"/>
          <w:sz w:val="24"/>
        </w:rPr>
        <w:t>tomto rozčlenení podľa skupín splatností:</w:t>
      </w:r>
    </w:p>
    <w:p w14:paraId="0830C0F4" w14:textId="77777777" w:rsidR="001E06A3" w:rsidRPr="00023CBA" w:rsidRDefault="001E06A3" w:rsidP="001E06A3">
      <w:pPr>
        <w:pStyle w:val="ListNumber"/>
        <w:numPr>
          <w:ilvl w:val="0"/>
          <w:numId w:val="0"/>
        </w:numPr>
        <w:ind w:left="714"/>
        <w:jc w:val="both"/>
        <w:rPr>
          <w:rFonts w:ascii="Times New Roman" w:hAnsi="Times New Roman" w:cs="Times New Roman"/>
          <w:sz w:val="24"/>
        </w:rPr>
      </w:pPr>
    </w:p>
    <w:p w14:paraId="516716B3" w14:textId="41A73EDC" w:rsidR="001E06A3" w:rsidRPr="00023CBA" w:rsidRDefault="00A60806" w:rsidP="00A3389E">
      <w:pPr>
        <w:pStyle w:val="ListNumber"/>
        <w:numPr>
          <w:ilvl w:val="0"/>
          <w:numId w:val="0"/>
        </w:numPr>
        <w:tabs>
          <w:tab w:val="left" w:pos="1074"/>
        </w:tabs>
        <w:spacing w:after="150"/>
        <w:ind w:left="1071" w:hanging="357"/>
        <w:jc w:val="both"/>
        <w:rPr>
          <w:rFonts w:ascii="Times New Roman" w:hAnsi="Times New Roman" w:cs="Times New Roman"/>
          <w:sz w:val="24"/>
        </w:rPr>
      </w:pPr>
      <w:r w:rsidRPr="00023CBA">
        <w:rPr>
          <w:rFonts w:ascii="Times New Roman" w:hAnsi="Times New Roman" w:cs="Times New Roman"/>
          <w:sz w:val="24"/>
        </w:rPr>
        <w:t>a)</w:t>
      </w:r>
      <w:r w:rsidRPr="00023CBA">
        <w:rPr>
          <w:rFonts w:ascii="Times New Roman" w:hAnsi="Times New Roman" w:cs="Times New Roman"/>
          <w:sz w:val="24"/>
        </w:rPr>
        <w:tab/>
      </w:r>
      <w:r w:rsidR="001E06A3" w:rsidRPr="00023CBA">
        <w:rPr>
          <w:rFonts w:ascii="Times New Roman" w:hAnsi="Times New Roman" w:cs="Times New Roman"/>
          <w:sz w:val="24"/>
        </w:rPr>
        <w:t>bez splatnosti: položky, ktoré sa majú zverejniť</w:t>
      </w:r>
      <w:r w:rsidR="00A3389E" w:rsidRPr="00023CBA">
        <w:rPr>
          <w:rFonts w:ascii="Times New Roman" w:hAnsi="Times New Roman" w:cs="Times New Roman"/>
          <w:sz w:val="24"/>
        </w:rPr>
        <w:t xml:space="preserve"> v </w:t>
      </w:r>
      <w:r w:rsidR="001E06A3" w:rsidRPr="00023CBA">
        <w:rPr>
          <w:rFonts w:ascii="Times New Roman" w:hAnsi="Times New Roman" w:cs="Times New Roman"/>
          <w:sz w:val="24"/>
        </w:rPr>
        <w:t>časovej skupine „bez splatnosti“, nemajú stanovenú splatnosť alebo sú trvalé;</w:t>
      </w:r>
    </w:p>
    <w:p w14:paraId="7ADEA47F" w14:textId="77777777" w:rsidR="001E06A3" w:rsidRPr="00023CBA" w:rsidRDefault="001E06A3" w:rsidP="001E06A3">
      <w:pPr>
        <w:pStyle w:val="ListNumber"/>
        <w:numPr>
          <w:ilvl w:val="0"/>
          <w:numId w:val="0"/>
        </w:numPr>
        <w:ind w:left="1071"/>
        <w:jc w:val="both"/>
        <w:rPr>
          <w:rFonts w:ascii="Times New Roman" w:hAnsi="Times New Roman" w:cs="Times New Roman"/>
          <w:sz w:val="24"/>
        </w:rPr>
      </w:pPr>
    </w:p>
    <w:p w14:paraId="4A598350" w14:textId="5870D6C2" w:rsidR="001E06A3" w:rsidRPr="00023CBA" w:rsidRDefault="00A60806" w:rsidP="00A3389E">
      <w:pPr>
        <w:pStyle w:val="ListNumber"/>
        <w:numPr>
          <w:ilvl w:val="0"/>
          <w:numId w:val="0"/>
        </w:numPr>
        <w:tabs>
          <w:tab w:val="left" w:pos="1074"/>
        </w:tabs>
        <w:spacing w:after="150"/>
        <w:ind w:left="1071" w:hanging="357"/>
        <w:jc w:val="both"/>
        <w:rPr>
          <w:rFonts w:ascii="Times New Roman" w:hAnsi="Times New Roman" w:cs="Times New Roman"/>
          <w:sz w:val="24"/>
        </w:rPr>
      </w:pPr>
      <w:r w:rsidRPr="00023CBA">
        <w:rPr>
          <w:rFonts w:ascii="Times New Roman" w:hAnsi="Times New Roman" w:cs="Times New Roman"/>
          <w:sz w:val="24"/>
        </w:rPr>
        <w:t>b)</w:t>
      </w:r>
      <w:r w:rsidRPr="00023CBA">
        <w:rPr>
          <w:rFonts w:ascii="Times New Roman" w:hAnsi="Times New Roman" w:cs="Times New Roman"/>
          <w:sz w:val="24"/>
        </w:rPr>
        <w:tab/>
      </w:r>
      <w:r w:rsidR="001E06A3" w:rsidRPr="00023CBA">
        <w:rPr>
          <w:rFonts w:ascii="Times New Roman" w:hAnsi="Times New Roman" w:cs="Times New Roman"/>
          <w:sz w:val="24"/>
        </w:rPr>
        <w:t>zostatková splatnosť menej ako šesť mesiacov;</w:t>
      </w:r>
    </w:p>
    <w:p w14:paraId="670F728C" w14:textId="77777777" w:rsidR="001E06A3" w:rsidRPr="00023CBA" w:rsidRDefault="001E06A3" w:rsidP="001E06A3">
      <w:pPr>
        <w:pStyle w:val="ListNumber"/>
        <w:numPr>
          <w:ilvl w:val="0"/>
          <w:numId w:val="0"/>
        </w:numPr>
        <w:ind w:left="1071"/>
        <w:jc w:val="both"/>
        <w:rPr>
          <w:rFonts w:ascii="Times New Roman" w:hAnsi="Times New Roman" w:cs="Times New Roman"/>
          <w:sz w:val="24"/>
        </w:rPr>
      </w:pPr>
    </w:p>
    <w:p w14:paraId="56AA4092" w14:textId="1AB6C5FC" w:rsidR="001E06A3" w:rsidRPr="00023CBA" w:rsidRDefault="00A60806" w:rsidP="00A3389E">
      <w:pPr>
        <w:pStyle w:val="ListNumber"/>
        <w:numPr>
          <w:ilvl w:val="0"/>
          <w:numId w:val="0"/>
        </w:numPr>
        <w:tabs>
          <w:tab w:val="left" w:pos="1074"/>
        </w:tabs>
        <w:spacing w:after="150"/>
        <w:ind w:left="1071" w:hanging="357"/>
        <w:jc w:val="both"/>
        <w:rPr>
          <w:rFonts w:ascii="Times New Roman" w:hAnsi="Times New Roman" w:cs="Times New Roman"/>
          <w:sz w:val="24"/>
        </w:rPr>
      </w:pPr>
      <w:r w:rsidRPr="00023CBA">
        <w:rPr>
          <w:rFonts w:ascii="Times New Roman" w:hAnsi="Times New Roman" w:cs="Times New Roman"/>
          <w:sz w:val="24"/>
        </w:rPr>
        <w:t>c)</w:t>
      </w:r>
      <w:r w:rsidRPr="00023CBA">
        <w:rPr>
          <w:rFonts w:ascii="Times New Roman" w:hAnsi="Times New Roman" w:cs="Times New Roman"/>
          <w:sz w:val="24"/>
        </w:rPr>
        <w:tab/>
      </w:r>
      <w:r w:rsidR="001E06A3" w:rsidRPr="00023CBA">
        <w:rPr>
          <w:rFonts w:ascii="Times New Roman" w:hAnsi="Times New Roman" w:cs="Times New Roman"/>
          <w:sz w:val="24"/>
        </w:rPr>
        <w:t>zostatková splatnosť minimálne šesť mesiacov, ale menej ako jeden rok; a</w:t>
      </w:r>
    </w:p>
    <w:p w14:paraId="5C7C0777" w14:textId="77777777" w:rsidR="001E06A3" w:rsidRPr="00023CBA" w:rsidRDefault="001E06A3" w:rsidP="001E06A3">
      <w:pPr>
        <w:pStyle w:val="ListNumber"/>
        <w:numPr>
          <w:ilvl w:val="0"/>
          <w:numId w:val="0"/>
        </w:numPr>
        <w:ind w:left="1071"/>
        <w:jc w:val="both"/>
        <w:rPr>
          <w:rFonts w:ascii="Times New Roman" w:hAnsi="Times New Roman" w:cs="Times New Roman"/>
          <w:sz w:val="24"/>
        </w:rPr>
      </w:pPr>
    </w:p>
    <w:p w14:paraId="1D3745B0" w14:textId="3D0FD2AA" w:rsidR="001E06A3" w:rsidRPr="00023CBA" w:rsidRDefault="00A60806" w:rsidP="00A3389E">
      <w:pPr>
        <w:pStyle w:val="ListNumber"/>
        <w:numPr>
          <w:ilvl w:val="0"/>
          <w:numId w:val="0"/>
        </w:numPr>
        <w:tabs>
          <w:tab w:val="left" w:pos="1074"/>
        </w:tabs>
        <w:spacing w:after="150"/>
        <w:ind w:left="1071" w:hanging="357"/>
        <w:jc w:val="both"/>
        <w:rPr>
          <w:rFonts w:ascii="Times New Roman" w:hAnsi="Times New Roman" w:cs="Times New Roman"/>
          <w:sz w:val="24"/>
        </w:rPr>
      </w:pPr>
      <w:r w:rsidRPr="00023CBA">
        <w:rPr>
          <w:rFonts w:ascii="Times New Roman" w:hAnsi="Times New Roman" w:cs="Times New Roman"/>
          <w:sz w:val="24"/>
        </w:rPr>
        <w:t>d)</w:t>
      </w:r>
      <w:r w:rsidRPr="00023CBA">
        <w:rPr>
          <w:rFonts w:ascii="Times New Roman" w:hAnsi="Times New Roman" w:cs="Times New Roman"/>
          <w:sz w:val="24"/>
        </w:rPr>
        <w:tab/>
      </w:r>
      <w:r w:rsidR="001E06A3" w:rsidRPr="00023CBA">
        <w:rPr>
          <w:rFonts w:ascii="Times New Roman" w:hAnsi="Times New Roman" w:cs="Times New Roman"/>
          <w:sz w:val="24"/>
        </w:rPr>
        <w:tab/>
        <w:t>zostatková splatnosť jeden rok alebo viac.</w:t>
      </w:r>
    </w:p>
    <w:p w14:paraId="6C79222A" w14:textId="77777777" w:rsidR="001E06A3" w:rsidRPr="00023CBA" w:rsidRDefault="001E06A3" w:rsidP="001E06A3">
      <w:pPr>
        <w:pStyle w:val="ListNumber"/>
        <w:numPr>
          <w:ilvl w:val="0"/>
          <w:numId w:val="0"/>
        </w:numPr>
        <w:rPr>
          <w:rFonts w:ascii="Times New Roman" w:hAnsi="Times New Roman" w:cs="Times New Roman"/>
          <w:sz w:val="24"/>
        </w:rPr>
      </w:pPr>
    </w:p>
    <w:p w14:paraId="7E208C0E" w14:textId="77777777" w:rsidR="001E06A3" w:rsidRPr="00023CBA" w:rsidRDefault="001E06A3" w:rsidP="001E06A3">
      <w:pPr>
        <w:pStyle w:val="ListNumber"/>
        <w:numPr>
          <w:ilvl w:val="0"/>
          <w:numId w:val="0"/>
        </w:numPr>
        <w:ind w:left="357" w:hanging="357"/>
        <w:jc w:val="both"/>
        <w:rPr>
          <w:rFonts w:ascii="Times New Roman" w:hAnsi="Times New Roman" w:cs="Times New Roman"/>
          <w:b/>
          <w:sz w:val="24"/>
        </w:rPr>
      </w:pPr>
      <w:r w:rsidRPr="00023CBA">
        <w:rPr>
          <w:rFonts w:ascii="Times New Roman" w:hAnsi="Times New Roman" w:cs="Times New Roman"/>
          <w:b/>
          <w:sz w:val="24"/>
        </w:rPr>
        <w:t>Položky požadovaného stabilného financovania (RSF)</w:t>
      </w:r>
    </w:p>
    <w:p w14:paraId="41A9FD61" w14:textId="3F0D34B1"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22.</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Inštitúcie zverejňujú</w:t>
      </w:r>
      <w:r w:rsidRPr="00023CBA">
        <w:rPr>
          <w:rFonts w:ascii="Times New Roman" w:hAnsi="Times New Roman" w:cs="Times New Roman"/>
          <w:sz w:val="24"/>
        </w:rPr>
        <w:t xml:space="preserve"> v </w:t>
      </w:r>
      <w:r w:rsidR="001E06A3" w:rsidRPr="00023CBA">
        <w:rPr>
          <w:rFonts w:ascii="Times New Roman" w:hAnsi="Times New Roman" w:cs="Times New Roman"/>
          <w:sz w:val="24"/>
        </w:rPr>
        <w:t>príslušnej kategórii všetky aktíva,</w:t>
      </w:r>
      <w:r w:rsidRPr="00023CBA">
        <w:rPr>
          <w:rFonts w:ascii="Times New Roman" w:hAnsi="Times New Roman" w:cs="Times New Roman"/>
          <w:sz w:val="24"/>
        </w:rPr>
        <w:t xml:space="preserve"> v </w:t>
      </w:r>
      <w:r w:rsidR="001E06A3" w:rsidRPr="00023CBA">
        <w:rPr>
          <w:rFonts w:ascii="Times New Roman" w:hAnsi="Times New Roman" w:cs="Times New Roman"/>
          <w:sz w:val="24"/>
        </w:rPr>
        <w:t>prípade ktorých zostávajú konečnými vlastníkmi, aj keď nie sú účtované</w:t>
      </w:r>
      <w:r w:rsidRPr="00023CBA">
        <w:rPr>
          <w:rFonts w:ascii="Times New Roman" w:hAnsi="Times New Roman" w:cs="Times New Roman"/>
          <w:sz w:val="24"/>
        </w:rPr>
        <w:t xml:space="preserve"> v </w:t>
      </w:r>
      <w:r w:rsidR="001E06A3" w:rsidRPr="00023CBA">
        <w:rPr>
          <w:rFonts w:ascii="Times New Roman" w:hAnsi="Times New Roman" w:cs="Times New Roman"/>
          <w:sz w:val="24"/>
        </w:rPr>
        <w:t>ich súvahe. Aktíva,</w:t>
      </w:r>
      <w:r w:rsidRPr="00023CBA">
        <w:rPr>
          <w:rFonts w:ascii="Times New Roman" w:hAnsi="Times New Roman" w:cs="Times New Roman"/>
          <w:sz w:val="24"/>
        </w:rPr>
        <w:t xml:space="preserve"> v </w:t>
      </w:r>
      <w:r w:rsidR="001E06A3" w:rsidRPr="00023CBA">
        <w:rPr>
          <w:rFonts w:ascii="Times New Roman" w:hAnsi="Times New Roman" w:cs="Times New Roman"/>
          <w:sz w:val="24"/>
        </w:rPr>
        <w:t xml:space="preserve">prípade ktorých inštitúcie nezostávajú konečnými vlastníkmi, sa nezverejňujú ani </w:t>
      </w:r>
      <w:r w:rsidR="001E06A3" w:rsidRPr="00023CBA">
        <w:rPr>
          <w:rFonts w:ascii="Times New Roman" w:hAnsi="Times New Roman" w:cs="Times New Roman"/>
          <w:sz w:val="24"/>
        </w:rPr>
        <w:lastRenderedPageBreak/>
        <w:t>vtedy, ak sú tieto aktíva účtované</w:t>
      </w:r>
      <w:r w:rsidRPr="00023CBA">
        <w:rPr>
          <w:rFonts w:ascii="Times New Roman" w:hAnsi="Times New Roman" w:cs="Times New Roman"/>
          <w:sz w:val="24"/>
        </w:rPr>
        <w:t xml:space="preserve"> v </w:t>
      </w:r>
      <w:r w:rsidR="001E06A3" w:rsidRPr="00023CBA">
        <w:rPr>
          <w:rFonts w:ascii="Times New Roman" w:hAnsi="Times New Roman" w:cs="Times New Roman"/>
          <w:sz w:val="24"/>
        </w:rPr>
        <w:t>ich súvahe.</w:t>
      </w:r>
    </w:p>
    <w:p w14:paraId="316A5BAA" w14:textId="4B169404"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23.</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Ak nie je</w:t>
      </w:r>
      <w:r w:rsidRPr="00023CBA">
        <w:rPr>
          <w:rFonts w:ascii="Times New Roman" w:hAnsi="Times New Roman" w:cs="Times New Roman"/>
          <w:sz w:val="24"/>
        </w:rPr>
        <w:t xml:space="preserve"> v </w:t>
      </w:r>
      <w:r w:rsidR="001E06A3" w:rsidRPr="00023CBA">
        <w:rPr>
          <w:rFonts w:ascii="Times New Roman" w:hAnsi="Times New Roman" w:cs="Times New Roman"/>
          <w:sz w:val="24"/>
        </w:rPr>
        <w:t>šiestej časti hlave IV kapitole 4 CRR stanovené inak, suma požadovaného stabilného financovania (RSF) sa</w:t>
      </w:r>
      <w:r w:rsidRPr="00023CBA">
        <w:rPr>
          <w:rFonts w:ascii="Times New Roman" w:hAnsi="Times New Roman" w:cs="Times New Roman"/>
          <w:sz w:val="24"/>
        </w:rPr>
        <w:t xml:space="preserve"> v </w:t>
      </w:r>
      <w:r w:rsidR="001E06A3" w:rsidRPr="00023CBA">
        <w:rPr>
          <w:rFonts w:ascii="Times New Roman" w:hAnsi="Times New Roman" w:cs="Times New Roman"/>
          <w:sz w:val="24"/>
        </w:rPr>
        <w:t>súlade</w:t>
      </w:r>
      <w:r w:rsidRPr="00023CBA">
        <w:rPr>
          <w:rFonts w:ascii="Times New Roman" w:hAnsi="Times New Roman" w:cs="Times New Roman"/>
          <w:sz w:val="24"/>
        </w:rPr>
        <w:t xml:space="preserve"> s </w:t>
      </w:r>
      <w:r w:rsidR="001E06A3" w:rsidRPr="00023CBA">
        <w:rPr>
          <w:rFonts w:ascii="Times New Roman" w:hAnsi="Times New Roman" w:cs="Times New Roman"/>
          <w:sz w:val="24"/>
        </w:rPr>
        <w:t>článkom 428p CRR vypočítava tak, že sa nevážená hodnota aktív</w:t>
      </w:r>
      <w:r w:rsidRPr="00023CBA">
        <w:rPr>
          <w:rFonts w:ascii="Times New Roman" w:hAnsi="Times New Roman" w:cs="Times New Roman"/>
          <w:sz w:val="24"/>
        </w:rPr>
        <w:t xml:space="preserve"> a </w:t>
      </w:r>
      <w:r w:rsidR="001E06A3" w:rsidRPr="00023CBA">
        <w:rPr>
          <w:rFonts w:ascii="Times New Roman" w:hAnsi="Times New Roman" w:cs="Times New Roman"/>
          <w:sz w:val="24"/>
        </w:rPr>
        <w:t>podsúvahových položiek vynásobí koeficientmi požadovaného stabilného financovania.</w:t>
      </w:r>
    </w:p>
    <w:p w14:paraId="584B5209" w14:textId="7D18E6BD"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24.</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Aktíva, ktoré sú prípustné ako vysokokvalitné likvidné aktíva (HQLA)</w:t>
      </w:r>
      <w:r w:rsidRPr="00023CBA">
        <w:rPr>
          <w:rFonts w:ascii="Times New Roman" w:hAnsi="Times New Roman" w:cs="Times New Roman"/>
          <w:sz w:val="24"/>
        </w:rPr>
        <w:t xml:space="preserve"> v </w:t>
      </w:r>
      <w:r w:rsidR="001E06A3" w:rsidRPr="00023CBA">
        <w:rPr>
          <w:rFonts w:ascii="Times New Roman" w:hAnsi="Times New Roman" w:cs="Times New Roman"/>
          <w:sz w:val="24"/>
        </w:rPr>
        <w:t>súlade</w:t>
      </w:r>
      <w:r w:rsidRPr="00023CBA">
        <w:rPr>
          <w:rFonts w:ascii="Times New Roman" w:hAnsi="Times New Roman" w:cs="Times New Roman"/>
          <w:sz w:val="24"/>
        </w:rPr>
        <w:t xml:space="preserve"> s </w:t>
      </w:r>
      <w:r w:rsidR="001E06A3" w:rsidRPr="00023CBA">
        <w:rPr>
          <w:rFonts w:ascii="Times New Roman" w:hAnsi="Times New Roman" w:cs="Times New Roman"/>
          <w:sz w:val="24"/>
        </w:rPr>
        <w:t>delegovaným nariadením Komisie (EÚ) 2015/61, sa zverejňujú ako také,</w:t>
      </w:r>
      <w:r w:rsidRPr="00023CBA">
        <w:rPr>
          <w:rFonts w:ascii="Times New Roman" w:hAnsi="Times New Roman" w:cs="Times New Roman"/>
          <w:sz w:val="24"/>
        </w:rPr>
        <w:t xml:space="preserve"> a </w:t>
      </w:r>
      <w:r w:rsidR="001E06A3" w:rsidRPr="00023CBA">
        <w:rPr>
          <w:rFonts w:ascii="Times New Roman" w:hAnsi="Times New Roman" w:cs="Times New Roman"/>
          <w:sz w:val="24"/>
        </w:rPr>
        <w:t>to</w:t>
      </w:r>
      <w:r w:rsidRPr="00023CBA">
        <w:rPr>
          <w:rFonts w:ascii="Times New Roman" w:hAnsi="Times New Roman" w:cs="Times New Roman"/>
          <w:sz w:val="24"/>
        </w:rPr>
        <w:t xml:space="preserve"> v </w:t>
      </w:r>
      <w:r w:rsidR="001E06A3" w:rsidRPr="00023CBA">
        <w:rPr>
          <w:rFonts w:ascii="Times New Roman" w:hAnsi="Times New Roman" w:cs="Times New Roman"/>
          <w:sz w:val="24"/>
        </w:rPr>
        <w:t>určenom riadku bez ohľadu na ich zostatkovú splatnosť.</w:t>
      </w:r>
    </w:p>
    <w:p w14:paraId="5C9715D5" w14:textId="1DD6B9E2" w:rsidR="001E06A3" w:rsidRPr="00023CBA" w:rsidRDefault="00A3389E" w:rsidP="00A3389E">
      <w:pPr>
        <w:widowControl w:val="0"/>
        <w:tabs>
          <w:tab w:val="left" w:pos="983"/>
        </w:tabs>
        <w:spacing w:before="120" w:after="120"/>
        <w:ind w:left="720"/>
        <w:jc w:val="both"/>
        <w:rPr>
          <w:rFonts w:ascii="Times New Roman" w:hAnsi="Times New Roman" w:cs="Times New Roman"/>
          <w:sz w:val="24"/>
        </w:rPr>
      </w:pPr>
      <w:r w:rsidRPr="00023CBA">
        <w:rPr>
          <w:rFonts w:ascii="Times New Roman" w:eastAsia="Calibri" w:hAnsi="Times New Roman" w:cs="Times New Roman"/>
          <w:color w:val="000000"/>
          <w:sz w:val="24"/>
        </w:rPr>
        <w:t>25.</w:t>
      </w:r>
      <w:r w:rsidRPr="00023CBA">
        <w:rPr>
          <w:rFonts w:ascii="Times New Roman" w:eastAsia="Calibri" w:hAnsi="Times New Roman" w:cs="Times New Roman"/>
          <w:color w:val="000000"/>
          <w:sz w:val="24"/>
        </w:rPr>
        <w:tab/>
      </w:r>
      <w:r w:rsidR="001E06A3" w:rsidRPr="00023CBA">
        <w:rPr>
          <w:rFonts w:ascii="Times New Roman" w:hAnsi="Times New Roman" w:cs="Times New Roman"/>
          <w:sz w:val="24"/>
        </w:rPr>
        <w:t>Všetky aktíva</w:t>
      </w:r>
      <w:r w:rsidRPr="00023CBA">
        <w:rPr>
          <w:rFonts w:ascii="Times New Roman" w:hAnsi="Times New Roman" w:cs="Times New Roman"/>
          <w:sz w:val="24"/>
        </w:rPr>
        <w:t xml:space="preserve"> a </w:t>
      </w:r>
      <w:r w:rsidR="001E06A3" w:rsidRPr="00023CBA">
        <w:rPr>
          <w:rFonts w:ascii="Times New Roman" w:hAnsi="Times New Roman" w:cs="Times New Roman"/>
          <w:sz w:val="24"/>
        </w:rPr>
        <w:t>podsúvahové položky iné ako HQLA sa zverejňujú</w:t>
      </w:r>
      <w:r w:rsidRPr="00023CBA">
        <w:rPr>
          <w:rFonts w:ascii="Times New Roman" w:hAnsi="Times New Roman" w:cs="Times New Roman"/>
          <w:sz w:val="24"/>
        </w:rPr>
        <w:t xml:space="preserve"> v </w:t>
      </w:r>
      <w:r w:rsidR="001E06A3" w:rsidRPr="00023CBA">
        <w:rPr>
          <w:rFonts w:ascii="Times New Roman" w:hAnsi="Times New Roman" w:cs="Times New Roman"/>
          <w:sz w:val="24"/>
        </w:rPr>
        <w:t>rozčlenení podľa ich zostatkovej splatnosti</w:t>
      </w:r>
      <w:r w:rsidRPr="00023CBA">
        <w:rPr>
          <w:rFonts w:ascii="Times New Roman" w:hAnsi="Times New Roman" w:cs="Times New Roman"/>
          <w:sz w:val="24"/>
        </w:rPr>
        <w:t xml:space="preserve"> v </w:t>
      </w:r>
      <w:r w:rsidR="001E06A3" w:rsidRPr="00023CBA">
        <w:rPr>
          <w:rFonts w:ascii="Times New Roman" w:hAnsi="Times New Roman" w:cs="Times New Roman"/>
          <w:sz w:val="24"/>
        </w:rPr>
        <w:t>súlade</w:t>
      </w:r>
      <w:r w:rsidRPr="00023CBA">
        <w:rPr>
          <w:rFonts w:ascii="Times New Roman" w:hAnsi="Times New Roman" w:cs="Times New Roman"/>
          <w:sz w:val="24"/>
        </w:rPr>
        <w:t xml:space="preserve"> s </w:t>
      </w:r>
      <w:r w:rsidR="001E06A3" w:rsidRPr="00023CBA">
        <w:rPr>
          <w:rFonts w:ascii="Times New Roman" w:hAnsi="Times New Roman" w:cs="Times New Roman"/>
          <w:sz w:val="24"/>
        </w:rPr>
        <w:t>článkom 428q CRR. Skupiny splatností súm, štandardných koeficientov</w:t>
      </w:r>
      <w:r w:rsidRPr="00023CBA">
        <w:rPr>
          <w:rFonts w:ascii="Times New Roman" w:hAnsi="Times New Roman" w:cs="Times New Roman"/>
          <w:sz w:val="24"/>
        </w:rPr>
        <w:t xml:space="preserve"> a </w:t>
      </w:r>
      <w:r w:rsidR="001E06A3" w:rsidRPr="00023CBA">
        <w:rPr>
          <w:rFonts w:ascii="Times New Roman" w:hAnsi="Times New Roman" w:cs="Times New Roman"/>
          <w:sz w:val="24"/>
        </w:rPr>
        <w:t>uplatniteľných koeficientov sú tieto:</w:t>
      </w:r>
    </w:p>
    <w:p w14:paraId="2B2D822B" w14:textId="77777777" w:rsidR="001E06A3" w:rsidRPr="00023CBA" w:rsidRDefault="001E06A3" w:rsidP="001E06A3">
      <w:pPr>
        <w:pStyle w:val="ListNumber"/>
        <w:numPr>
          <w:ilvl w:val="0"/>
          <w:numId w:val="0"/>
        </w:numPr>
        <w:ind w:left="1071"/>
        <w:jc w:val="both"/>
        <w:rPr>
          <w:rFonts w:ascii="Times New Roman" w:hAnsi="Times New Roman" w:cs="Times New Roman"/>
          <w:sz w:val="24"/>
        </w:rPr>
      </w:pPr>
    </w:p>
    <w:p w14:paraId="0BE773C8" w14:textId="3E7C5029" w:rsidR="001E06A3" w:rsidRPr="00023CBA" w:rsidRDefault="00A60806" w:rsidP="00A3389E">
      <w:pPr>
        <w:pStyle w:val="ListNumber"/>
        <w:numPr>
          <w:ilvl w:val="0"/>
          <w:numId w:val="0"/>
        </w:numPr>
        <w:tabs>
          <w:tab w:val="left" w:pos="1074"/>
        </w:tabs>
        <w:spacing w:after="150"/>
        <w:ind w:left="1071" w:hanging="357"/>
        <w:jc w:val="both"/>
        <w:rPr>
          <w:rFonts w:ascii="Times New Roman" w:hAnsi="Times New Roman" w:cs="Times New Roman"/>
          <w:sz w:val="24"/>
        </w:rPr>
      </w:pPr>
      <w:r w:rsidRPr="00023CBA">
        <w:rPr>
          <w:rFonts w:ascii="Times New Roman" w:hAnsi="Times New Roman" w:cs="Times New Roman"/>
          <w:sz w:val="24"/>
        </w:rPr>
        <w:t>a)</w:t>
      </w:r>
      <w:r w:rsidRPr="00023CBA">
        <w:rPr>
          <w:rFonts w:ascii="Times New Roman" w:hAnsi="Times New Roman" w:cs="Times New Roman"/>
          <w:sz w:val="24"/>
        </w:rPr>
        <w:tab/>
      </w:r>
      <w:r w:rsidR="001E06A3" w:rsidRPr="00023CBA">
        <w:rPr>
          <w:rFonts w:ascii="Times New Roman" w:hAnsi="Times New Roman" w:cs="Times New Roman"/>
          <w:sz w:val="24"/>
        </w:rPr>
        <w:t>zostatková splatnosť menej ako šesť mesiacov alebo bez stanovenej splatnosti;</w:t>
      </w:r>
    </w:p>
    <w:p w14:paraId="4951700F" w14:textId="77777777" w:rsidR="001E06A3" w:rsidRPr="00023CBA" w:rsidRDefault="001E06A3" w:rsidP="001E06A3">
      <w:pPr>
        <w:pStyle w:val="ListNumber"/>
        <w:numPr>
          <w:ilvl w:val="0"/>
          <w:numId w:val="0"/>
        </w:numPr>
        <w:ind w:left="1071"/>
        <w:jc w:val="both"/>
        <w:rPr>
          <w:rFonts w:ascii="Times New Roman" w:hAnsi="Times New Roman" w:cs="Times New Roman"/>
          <w:sz w:val="24"/>
        </w:rPr>
      </w:pPr>
    </w:p>
    <w:p w14:paraId="5444D653" w14:textId="08C8A94A" w:rsidR="001E06A3" w:rsidRPr="00023CBA" w:rsidRDefault="00A60806" w:rsidP="00A3389E">
      <w:pPr>
        <w:pStyle w:val="ListNumber"/>
        <w:numPr>
          <w:ilvl w:val="0"/>
          <w:numId w:val="0"/>
        </w:numPr>
        <w:tabs>
          <w:tab w:val="left" w:pos="1074"/>
        </w:tabs>
        <w:spacing w:after="150"/>
        <w:ind w:left="1071" w:hanging="357"/>
        <w:jc w:val="both"/>
        <w:rPr>
          <w:rFonts w:ascii="Times New Roman" w:hAnsi="Times New Roman" w:cs="Times New Roman"/>
          <w:sz w:val="24"/>
        </w:rPr>
      </w:pPr>
      <w:r w:rsidRPr="00023CBA">
        <w:rPr>
          <w:rFonts w:ascii="Times New Roman" w:hAnsi="Times New Roman" w:cs="Times New Roman"/>
          <w:sz w:val="24"/>
        </w:rPr>
        <w:t>b)</w:t>
      </w:r>
      <w:r w:rsidRPr="00023CBA">
        <w:rPr>
          <w:rFonts w:ascii="Times New Roman" w:hAnsi="Times New Roman" w:cs="Times New Roman"/>
          <w:sz w:val="24"/>
        </w:rPr>
        <w:tab/>
      </w:r>
      <w:r w:rsidR="001E06A3" w:rsidRPr="00023CBA">
        <w:rPr>
          <w:rFonts w:ascii="Times New Roman" w:hAnsi="Times New Roman" w:cs="Times New Roman"/>
          <w:sz w:val="24"/>
        </w:rPr>
        <w:t>zostatková splatnosť minimálne šesť mesiacov, ale menej ako jeden rok; a</w:t>
      </w:r>
    </w:p>
    <w:p w14:paraId="6FDF170D" w14:textId="77777777" w:rsidR="001E06A3" w:rsidRPr="00023CBA" w:rsidRDefault="001E06A3" w:rsidP="001E06A3">
      <w:pPr>
        <w:pStyle w:val="ListNumber"/>
        <w:numPr>
          <w:ilvl w:val="0"/>
          <w:numId w:val="0"/>
        </w:numPr>
        <w:ind w:left="1071"/>
        <w:jc w:val="both"/>
        <w:rPr>
          <w:rFonts w:ascii="Times New Roman" w:hAnsi="Times New Roman" w:cs="Times New Roman"/>
          <w:sz w:val="24"/>
        </w:rPr>
      </w:pPr>
    </w:p>
    <w:p w14:paraId="5C8432F3" w14:textId="2D0FBA6B" w:rsidR="001E06A3" w:rsidRPr="00023CBA" w:rsidRDefault="00A60806" w:rsidP="00A3389E">
      <w:pPr>
        <w:pStyle w:val="ListNumber"/>
        <w:numPr>
          <w:ilvl w:val="0"/>
          <w:numId w:val="0"/>
        </w:numPr>
        <w:tabs>
          <w:tab w:val="left" w:pos="1074"/>
        </w:tabs>
        <w:spacing w:after="150"/>
        <w:ind w:left="1071" w:hanging="357"/>
        <w:jc w:val="both"/>
        <w:rPr>
          <w:rFonts w:ascii="Times New Roman" w:hAnsi="Times New Roman" w:cs="Times New Roman"/>
          <w:sz w:val="24"/>
        </w:rPr>
      </w:pPr>
      <w:r w:rsidRPr="00023CBA">
        <w:rPr>
          <w:rFonts w:ascii="Times New Roman" w:hAnsi="Times New Roman" w:cs="Times New Roman"/>
          <w:sz w:val="24"/>
        </w:rPr>
        <w:t>c)</w:t>
      </w:r>
      <w:r w:rsidRPr="00023CBA">
        <w:rPr>
          <w:rFonts w:ascii="Times New Roman" w:hAnsi="Times New Roman" w:cs="Times New Roman"/>
          <w:sz w:val="24"/>
        </w:rPr>
        <w:tab/>
      </w:r>
      <w:r w:rsidR="001E06A3" w:rsidRPr="00023CBA">
        <w:rPr>
          <w:rFonts w:ascii="Times New Roman" w:hAnsi="Times New Roman" w:cs="Times New Roman"/>
          <w:sz w:val="24"/>
        </w:rPr>
        <w:t>zostatková splatnosť jeden rok alebo viac.</w:t>
      </w:r>
    </w:p>
    <w:p w14:paraId="56A37D67" w14:textId="77777777" w:rsidR="001E06A3" w:rsidRPr="00023CBA" w:rsidRDefault="001E06A3" w:rsidP="001E06A3">
      <w:pPr>
        <w:rPr>
          <w:rFonts w:ascii="Times New Roman" w:hAnsi="Times New Roman" w:cs="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34"/>
        <w:gridCol w:w="7437"/>
      </w:tblGrid>
      <w:tr w:rsidR="001E06A3" w:rsidRPr="00A3389E"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627D4DE1" w:rsidR="001E06A3" w:rsidRPr="00A3389E" w:rsidRDefault="001E06A3" w:rsidP="001E06A3">
            <w:pPr>
              <w:rPr>
                <w:rFonts w:ascii="Times New Roman" w:hAnsi="Times New Roman" w:cs="Times New Roman"/>
                <w:sz w:val="24"/>
                <w:lang w:val="sk-SK"/>
              </w:rPr>
            </w:pPr>
            <w:r w:rsidRPr="00A3389E">
              <w:rPr>
                <w:rFonts w:ascii="Times New Roman" w:hAnsi="Times New Roman" w:cs="Times New Roman"/>
                <w:b/>
                <w:sz w:val="24"/>
                <w:lang w:val="sk-SK"/>
              </w:rPr>
              <w:t>Odkazy na právne predpisy</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pokyny</w:t>
            </w:r>
          </w:p>
        </w:tc>
      </w:tr>
      <w:tr w:rsidR="001E06A3" w:rsidRPr="00A3389E" w14:paraId="3F683FB2" w14:textId="77777777" w:rsidTr="0066076D">
        <w:trPr>
          <w:trHeight w:val="567"/>
        </w:trPr>
        <w:tc>
          <w:tcPr>
            <w:tcW w:w="1355" w:type="dxa"/>
            <w:shd w:val="clear" w:color="auto" w:fill="D9D9D9" w:themeFill="background1" w:themeFillShade="D9"/>
          </w:tcPr>
          <w:p w14:paraId="00EFBB8E" w14:textId="77777777" w:rsidR="001E06A3" w:rsidRPr="00A3389E" w:rsidRDefault="001E06A3" w:rsidP="001E06A3">
            <w:pPr>
              <w:rPr>
                <w:rFonts w:ascii="Times New Roman" w:hAnsi="Times New Roman" w:cs="Times New Roman"/>
                <w:b/>
                <w:sz w:val="24"/>
                <w:lang w:val="sk-SK"/>
              </w:rPr>
            </w:pPr>
            <w:r w:rsidRPr="00A3389E">
              <w:rPr>
                <w:rFonts w:ascii="Times New Roman" w:hAnsi="Times New Roman" w:cs="Times New Roman"/>
                <w:b/>
                <w:sz w:val="24"/>
                <w:lang w:val="sk-SK"/>
              </w:rPr>
              <w:t>Riadok</w:t>
            </w:r>
          </w:p>
        </w:tc>
        <w:tc>
          <w:tcPr>
            <w:tcW w:w="7705" w:type="dxa"/>
            <w:shd w:val="clear" w:color="auto" w:fill="D0CECE"/>
          </w:tcPr>
          <w:p w14:paraId="07FAE678" w14:textId="77777777" w:rsidR="001E06A3" w:rsidRPr="00A3389E" w:rsidRDefault="001E06A3" w:rsidP="001E06A3">
            <w:pPr>
              <w:rPr>
                <w:rFonts w:ascii="Times New Roman" w:hAnsi="Times New Roman" w:cs="Times New Roman"/>
                <w:sz w:val="24"/>
                <w:lang w:val="sk-SK"/>
              </w:rPr>
            </w:pPr>
            <w:r w:rsidRPr="00A3389E">
              <w:rPr>
                <w:rFonts w:ascii="Times New Roman" w:hAnsi="Times New Roman" w:cs="Times New Roman"/>
                <w:b/>
                <w:sz w:val="24"/>
                <w:lang w:val="sk-SK"/>
              </w:rPr>
              <w:t>Vysvetlenie</w:t>
            </w:r>
          </w:p>
        </w:tc>
      </w:tr>
      <w:tr w:rsidR="001E06A3" w:rsidRPr="00A3389E" w14:paraId="436B6233" w14:textId="77777777" w:rsidTr="00CB5E7D">
        <w:trPr>
          <w:trHeight w:val="567"/>
        </w:trPr>
        <w:tc>
          <w:tcPr>
            <w:tcW w:w="1355" w:type="dxa"/>
            <w:shd w:val="clear" w:color="auto" w:fill="D0CECE"/>
          </w:tcPr>
          <w:p w14:paraId="1D605430" w14:textId="77777777" w:rsidR="001E06A3" w:rsidRPr="00A3389E" w:rsidRDefault="001E06A3" w:rsidP="001E06A3">
            <w:pPr>
              <w:rPr>
                <w:rFonts w:ascii="Times New Roman" w:hAnsi="Times New Roman" w:cs="Times New Roman"/>
                <w:sz w:val="24"/>
                <w:lang w:val="sk-SK"/>
              </w:rPr>
            </w:pPr>
          </w:p>
        </w:tc>
        <w:tc>
          <w:tcPr>
            <w:tcW w:w="7705" w:type="dxa"/>
            <w:shd w:val="clear" w:color="auto" w:fill="D0CECE"/>
          </w:tcPr>
          <w:p w14:paraId="138A805E" w14:textId="77777777" w:rsidR="001E06A3" w:rsidRPr="00A3389E" w:rsidRDefault="001E06A3" w:rsidP="001E06A3">
            <w:pPr>
              <w:rPr>
                <w:rFonts w:ascii="Times New Roman" w:hAnsi="Times New Roman" w:cs="Times New Roman"/>
                <w:b/>
                <w:sz w:val="24"/>
                <w:lang w:val="sk-SK"/>
              </w:rPr>
            </w:pPr>
            <w:r w:rsidRPr="00A3389E">
              <w:rPr>
                <w:rFonts w:ascii="Times New Roman" w:hAnsi="Times New Roman" w:cs="Times New Roman"/>
                <w:b/>
                <w:sz w:val="24"/>
                <w:lang w:val="sk-SK"/>
              </w:rPr>
              <w:t>Položky dostupného stabilného financovania (ASF)</w:t>
            </w:r>
          </w:p>
        </w:tc>
      </w:tr>
      <w:tr w:rsidR="001E06A3" w:rsidRPr="00A3389E" w14:paraId="579EBB5A" w14:textId="77777777" w:rsidTr="00CB5E7D">
        <w:tc>
          <w:tcPr>
            <w:tcW w:w="1355" w:type="dxa"/>
          </w:tcPr>
          <w:p w14:paraId="09A32662"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1</w:t>
            </w:r>
          </w:p>
        </w:tc>
        <w:tc>
          <w:tcPr>
            <w:tcW w:w="7705" w:type="dxa"/>
          </w:tcPr>
          <w:p w14:paraId="530427A3" w14:textId="32462DF8"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Kapitálové položky</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nástroje</w:t>
            </w:r>
          </w:p>
          <w:p w14:paraId="61716E3B" w14:textId="3FB94131"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súčet hodnôt</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riadku 2</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riadku 3 tohto vzoru.</w:t>
            </w:r>
          </w:p>
        </w:tc>
      </w:tr>
      <w:tr w:rsidR="001E06A3" w:rsidRPr="00A3389E" w14:paraId="15DE331F" w14:textId="77777777" w:rsidTr="00CB5E7D">
        <w:tc>
          <w:tcPr>
            <w:tcW w:w="1355" w:type="dxa"/>
          </w:tcPr>
          <w:p w14:paraId="7F865770"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2</w:t>
            </w:r>
          </w:p>
        </w:tc>
        <w:tc>
          <w:tcPr>
            <w:tcW w:w="7705" w:type="dxa"/>
          </w:tcPr>
          <w:p w14:paraId="5FD56B88"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Vlastné zdroje</w:t>
            </w:r>
          </w:p>
          <w:p w14:paraId="198B2663" w14:textId="3DC1F4C9"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Článok 428o písm. a), b)</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c) CRR.</w:t>
            </w:r>
          </w:p>
          <w:p w14:paraId="0A4C5F9D"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uvedú súčet týchto položiek:</w:t>
            </w:r>
          </w:p>
          <w:p w14:paraId="2EFCADA1" w14:textId="4BDAC428"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položky vlastného kapitálu Tier 1 (CET1) pred uplatnením prudenciálnych filtrov, odpočtov</w:t>
            </w:r>
            <w:r>
              <w:rPr>
                <w:rFonts w:ascii="Times New Roman" w:hAnsi="Times New Roman"/>
                <w:sz w:val="24"/>
                <w:lang w:val="sk-SK"/>
              </w:rPr>
              <w:t xml:space="preserve"> a </w:t>
            </w:r>
            <w:r w:rsidR="001E06A3" w:rsidRPr="00A3389E">
              <w:rPr>
                <w:rFonts w:ascii="Times New Roman" w:hAnsi="Times New Roman"/>
                <w:sz w:val="24"/>
                <w:lang w:val="sk-SK"/>
              </w:rPr>
              <w:t>výnimiek alebo alternatív stanovených</w:t>
            </w:r>
            <w:r>
              <w:rPr>
                <w:rFonts w:ascii="Times New Roman" w:hAnsi="Times New Roman"/>
                <w:sz w:val="24"/>
                <w:lang w:val="sk-SK"/>
              </w:rPr>
              <w:t xml:space="preserve"> v </w:t>
            </w:r>
            <w:r w:rsidR="001E06A3" w:rsidRPr="00A3389E">
              <w:rPr>
                <w:rFonts w:ascii="Times New Roman" w:hAnsi="Times New Roman"/>
                <w:sz w:val="24"/>
                <w:lang w:val="sk-SK"/>
              </w:rPr>
              <w:t>článkoch 32 až 36, 48, 49</w:t>
            </w:r>
            <w:r>
              <w:rPr>
                <w:rFonts w:ascii="Times New Roman" w:hAnsi="Times New Roman"/>
                <w:sz w:val="24"/>
                <w:lang w:val="sk-SK"/>
              </w:rPr>
              <w:t xml:space="preserve"> a </w:t>
            </w:r>
            <w:r w:rsidR="001E06A3" w:rsidRPr="00A3389E">
              <w:rPr>
                <w:rFonts w:ascii="Times New Roman" w:hAnsi="Times New Roman"/>
                <w:sz w:val="24"/>
                <w:lang w:val="sk-SK"/>
              </w:rPr>
              <w:t>79 CRR;</w:t>
            </w:r>
          </w:p>
          <w:p w14:paraId="2E9DB7AE" w14:textId="5A1C8A86"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položky dodatočného kapitálu Tier 1 (AT1) pred uplatnením odpočtov</w:t>
            </w:r>
            <w:r>
              <w:rPr>
                <w:rFonts w:ascii="Times New Roman" w:hAnsi="Times New Roman"/>
                <w:sz w:val="24"/>
                <w:lang w:val="sk-SK"/>
              </w:rPr>
              <w:t xml:space="preserve"> a </w:t>
            </w:r>
            <w:r w:rsidR="001E06A3" w:rsidRPr="00A3389E">
              <w:rPr>
                <w:rFonts w:ascii="Times New Roman" w:hAnsi="Times New Roman"/>
                <w:sz w:val="24"/>
                <w:lang w:val="sk-SK"/>
              </w:rPr>
              <w:t>výnimiek stanovených</w:t>
            </w:r>
            <w:r>
              <w:rPr>
                <w:rFonts w:ascii="Times New Roman" w:hAnsi="Times New Roman"/>
                <w:sz w:val="24"/>
                <w:lang w:val="sk-SK"/>
              </w:rPr>
              <w:t xml:space="preserve"> v </w:t>
            </w:r>
            <w:r w:rsidR="001E06A3" w:rsidRPr="00A3389E">
              <w:rPr>
                <w:rFonts w:ascii="Times New Roman" w:hAnsi="Times New Roman"/>
                <w:sz w:val="24"/>
                <w:lang w:val="sk-SK"/>
              </w:rPr>
              <w:t>článkoch 56</w:t>
            </w:r>
            <w:r>
              <w:rPr>
                <w:rFonts w:ascii="Times New Roman" w:hAnsi="Times New Roman"/>
                <w:sz w:val="24"/>
                <w:lang w:val="sk-SK"/>
              </w:rPr>
              <w:t xml:space="preserve"> a </w:t>
            </w:r>
            <w:r w:rsidR="001E06A3" w:rsidRPr="00A3389E">
              <w:rPr>
                <w:rFonts w:ascii="Times New Roman" w:hAnsi="Times New Roman"/>
                <w:sz w:val="24"/>
                <w:lang w:val="sk-SK"/>
              </w:rPr>
              <w:t>79 CRR; a</w:t>
            </w:r>
          </w:p>
          <w:p w14:paraId="739C5EE8" w14:textId="6BF4D0F6"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položky kapitálu Tier 2 (T2) pred uplatnením odpočtov</w:t>
            </w:r>
            <w:r>
              <w:rPr>
                <w:rFonts w:ascii="Times New Roman" w:hAnsi="Times New Roman"/>
                <w:sz w:val="24"/>
                <w:lang w:val="sk-SK"/>
              </w:rPr>
              <w:t xml:space="preserve"> a </w:t>
            </w:r>
            <w:r w:rsidR="001E06A3" w:rsidRPr="00A3389E">
              <w:rPr>
                <w:rFonts w:ascii="Times New Roman" w:hAnsi="Times New Roman"/>
                <w:sz w:val="24"/>
                <w:lang w:val="sk-SK"/>
              </w:rPr>
              <w:t>výnimiek stanovených</w:t>
            </w:r>
            <w:r>
              <w:rPr>
                <w:rFonts w:ascii="Times New Roman" w:hAnsi="Times New Roman"/>
                <w:sz w:val="24"/>
                <w:lang w:val="sk-SK"/>
              </w:rPr>
              <w:t xml:space="preserve"> v </w:t>
            </w:r>
            <w:r w:rsidR="001E06A3" w:rsidRPr="00A3389E">
              <w:rPr>
                <w:rFonts w:ascii="Times New Roman" w:hAnsi="Times New Roman"/>
                <w:sz w:val="24"/>
                <w:lang w:val="sk-SK"/>
              </w:rPr>
              <w:t>článkoch 66</w:t>
            </w:r>
            <w:r>
              <w:rPr>
                <w:rFonts w:ascii="Times New Roman" w:hAnsi="Times New Roman"/>
                <w:sz w:val="24"/>
                <w:lang w:val="sk-SK"/>
              </w:rPr>
              <w:t xml:space="preserve"> a </w:t>
            </w:r>
            <w:r w:rsidR="001E06A3" w:rsidRPr="00A3389E">
              <w:rPr>
                <w:rFonts w:ascii="Times New Roman" w:hAnsi="Times New Roman"/>
                <w:sz w:val="24"/>
                <w:lang w:val="sk-SK"/>
              </w:rPr>
              <w:t>79 CRR, ktoré majú</w:t>
            </w:r>
            <w:r>
              <w:rPr>
                <w:rFonts w:ascii="Times New Roman" w:hAnsi="Times New Roman"/>
                <w:sz w:val="24"/>
                <w:lang w:val="sk-SK"/>
              </w:rPr>
              <w:t xml:space="preserve"> k </w:t>
            </w:r>
            <w:r w:rsidR="001E06A3" w:rsidRPr="00A3389E">
              <w:rPr>
                <w:rFonts w:ascii="Times New Roman" w:hAnsi="Times New Roman"/>
                <w:sz w:val="24"/>
                <w:lang w:val="sk-SK"/>
              </w:rPr>
              <w:t>referenčnému dátumu zverejňovania zostatkovú splatnosť jeden rok alebo viac.</w:t>
            </w:r>
          </w:p>
          <w:p w14:paraId="50F1DC2C" w14:textId="110C6BDD" w:rsidR="001E06A3" w:rsidRPr="00023CBA" w:rsidRDefault="001E06A3" w:rsidP="001E06A3">
            <w:pPr>
              <w:spacing w:after="240"/>
              <w:jc w:val="both"/>
              <w:rPr>
                <w:rFonts w:ascii="Times New Roman" w:hAnsi="Times New Roman" w:cs="Times New Roman"/>
                <w:spacing w:val="-4"/>
                <w:sz w:val="24"/>
                <w:lang w:val="sk-SK"/>
              </w:rPr>
            </w:pPr>
            <w:r w:rsidRPr="00023CBA">
              <w:rPr>
                <w:rFonts w:ascii="Times New Roman" w:hAnsi="Times New Roman" w:cs="Times New Roman"/>
                <w:spacing w:val="-4"/>
                <w:sz w:val="24"/>
                <w:lang w:val="sk-SK"/>
              </w:rPr>
              <w:t>Položky CET1</w:t>
            </w:r>
            <w:r w:rsidR="00A3389E" w:rsidRPr="00023CBA">
              <w:rPr>
                <w:rFonts w:ascii="Times New Roman" w:hAnsi="Times New Roman" w:cs="Times New Roman"/>
                <w:spacing w:val="-4"/>
                <w:sz w:val="24"/>
                <w:lang w:val="sk-SK"/>
              </w:rPr>
              <w:t xml:space="preserve"> a </w:t>
            </w:r>
            <w:r w:rsidRPr="00023CBA">
              <w:rPr>
                <w:rFonts w:ascii="Times New Roman" w:hAnsi="Times New Roman" w:cs="Times New Roman"/>
                <w:spacing w:val="-4"/>
                <w:sz w:val="24"/>
                <w:lang w:val="sk-SK"/>
              </w:rPr>
              <w:t>AT1 sú trvalé nástroje, ktoré sa zverejňujú</w:t>
            </w:r>
            <w:r w:rsidR="00A3389E" w:rsidRPr="00023CBA">
              <w:rPr>
                <w:rFonts w:ascii="Times New Roman" w:hAnsi="Times New Roman" w:cs="Times New Roman"/>
                <w:spacing w:val="-4"/>
                <w:sz w:val="24"/>
                <w:lang w:val="sk-SK"/>
              </w:rPr>
              <w:t xml:space="preserve"> v </w:t>
            </w:r>
            <w:r w:rsidRPr="00023CBA">
              <w:rPr>
                <w:rFonts w:ascii="Times New Roman" w:hAnsi="Times New Roman" w:cs="Times New Roman"/>
                <w:spacing w:val="-4"/>
                <w:sz w:val="24"/>
                <w:lang w:val="sk-SK"/>
              </w:rPr>
              <w:t>skupine „bez splatnosti“.</w:t>
            </w:r>
            <w:r w:rsidR="00A3389E" w:rsidRPr="00023CBA">
              <w:rPr>
                <w:rFonts w:ascii="Times New Roman" w:hAnsi="Times New Roman" w:cs="Times New Roman"/>
                <w:spacing w:val="-4"/>
                <w:sz w:val="24"/>
                <w:lang w:val="sk-SK"/>
              </w:rPr>
              <w:t xml:space="preserve"> V </w:t>
            </w:r>
            <w:r w:rsidRPr="00023CBA">
              <w:rPr>
                <w:rFonts w:ascii="Times New Roman" w:hAnsi="Times New Roman" w:cs="Times New Roman"/>
                <w:spacing w:val="-4"/>
                <w:sz w:val="24"/>
                <w:lang w:val="sk-SK"/>
              </w:rPr>
              <w:t xml:space="preserve">prípade položiek AT1, ktoré inštitúcia môže kúpiť na požiadanie, len ak je časové obdobie do dátumu kúpnych opcií kratšie ako </w:t>
            </w:r>
            <w:r w:rsidRPr="00023CBA">
              <w:rPr>
                <w:rFonts w:ascii="Times New Roman" w:hAnsi="Times New Roman" w:cs="Times New Roman"/>
                <w:spacing w:val="-4"/>
                <w:sz w:val="24"/>
                <w:lang w:val="sk-SK"/>
              </w:rPr>
              <w:lastRenderedPageBreak/>
              <w:t>jeden rok, sa tieto položky nezverejňujú</w:t>
            </w:r>
            <w:r w:rsidR="00A3389E" w:rsidRPr="00023CBA">
              <w:rPr>
                <w:rFonts w:ascii="Times New Roman" w:hAnsi="Times New Roman" w:cs="Times New Roman"/>
                <w:spacing w:val="-4"/>
                <w:sz w:val="24"/>
                <w:lang w:val="sk-SK"/>
              </w:rPr>
              <w:t xml:space="preserve"> v </w:t>
            </w:r>
            <w:r w:rsidRPr="00023CBA">
              <w:rPr>
                <w:rFonts w:ascii="Times New Roman" w:hAnsi="Times New Roman" w:cs="Times New Roman"/>
                <w:spacing w:val="-4"/>
                <w:sz w:val="24"/>
                <w:lang w:val="sk-SK"/>
              </w:rPr>
              <w:t>žiadnej skupine splatností, ale</w:t>
            </w:r>
            <w:r w:rsidR="00A3389E" w:rsidRPr="00023CBA">
              <w:rPr>
                <w:rFonts w:ascii="Times New Roman" w:hAnsi="Times New Roman" w:cs="Times New Roman"/>
                <w:spacing w:val="-4"/>
                <w:sz w:val="24"/>
                <w:lang w:val="sk-SK"/>
              </w:rPr>
              <w:t xml:space="preserve"> v </w:t>
            </w:r>
            <w:r w:rsidRPr="00023CBA">
              <w:rPr>
                <w:rFonts w:ascii="Times New Roman" w:hAnsi="Times New Roman" w:cs="Times New Roman"/>
                <w:spacing w:val="-4"/>
                <w:sz w:val="24"/>
                <w:lang w:val="sk-SK"/>
              </w:rPr>
              <w:t>príslušnej časovej skupine (t. j. zostatková splatnosť menej ako šesť mesiacov alebo zostatková splatnosť minimálne šesť mesiacov, ale menej ako jeden rok). To platí bez ohľadu na to, či opcia bola alebo nebola uplatnená.</w:t>
            </w:r>
          </w:p>
          <w:p w14:paraId="6998616B" w14:textId="72A53CA9"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Pokiaľ ide</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položky T2, skupina splatností jeden rok alebo viac zahŕňa nástroje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rovnocennou zostatkovou splatnosťou</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vo výnimočných prípadoch nástrojov T2 bez splatnosti aj tieto nástroje.</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prípade, že inštitúcia môže na požiadanie kúpiť položky T2,</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bez ohľadu na to, či inštitúcia uplatnila kúpnu opciu, zostatková splatnosť nástroja sa určí podľa dátumu kúpnej opcie.</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tomto prípade inštitúcia zverejňuje tieto položky</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príslušnej časovej skupine</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neuplatňuje koeficient ASF vo výške 100</w:t>
            </w:r>
            <w:r w:rsidR="00A3389E">
              <w:rPr>
                <w:rFonts w:ascii="Times New Roman" w:hAnsi="Times New Roman" w:cs="Times New Roman"/>
                <w:sz w:val="24"/>
                <w:lang w:val="sk-SK"/>
              </w:rPr>
              <w:t> %</w:t>
            </w:r>
            <w:r w:rsidRPr="00A3389E">
              <w:rPr>
                <w:rFonts w:ascii="Times New Roman" w:hAnsi="Times New Roman" w:cs="Times New Roman"/>
                <w:sz w:val="24"/>
                <w:lang w:val="sk-SK"/>
              </w:rPr>
              <w:t>, ak sa opcia môže uplatniť do jedného roka.</w:t>
            </w:r>
          </w:p>
        </w:tc>
      </w:tr>
      <w:tr w:rsidR="001E06A3" w:rsidRPr="00A3389E" w14:paraId="4FD46919" w14:textId="77777777" w:rsidTr="00CB5E7D">
        <w:tc>
          <w:tcPr>
            <w:tcW w:w="1355" w:type="dxa"/>
          </w:tcPr>
          <w:p w14:paraId="085BD94C"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lastRenderedPageBreak/>
              <w:t>3</w:t>
            </w:r>
          </w:p>
        </w:tc>
        <w:tc>
          <w:tcPr>
            <w:tcW w:w="7705" w:type="dxa"/>
          </w:tcPr>
          <w:p w14:paraId="46ABF274"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Ostatné kapitálové nástroje</w:t>
            </w:r>
          </w:p>
          <w:p w14:paraId="4D812EAC" w14:textId="4A1454DC"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428o písm. d)</w:t>
            </w:r>
            <w:r w:rsidR="00A3389E">
              <w:rPr>
                <w:rFonts w:ascii="Times New Roman" w:hAnsi="Times New Roman" w:cs="Times New Roman"/>
                <w:sz w:val="24"/>
                <w:szCs w:val="24"/>
                <w:lang w:val="sk-SK"/>
              </w:rPr>
              <w:t xml:space="preserve"> a </w:t>
            </w:r>
            <w:r w:rsidRPr="00A3389E">
              <w:rPr>
                <w:rFonts w:ascii="Times New Roman" w:hAnsi="Times New Roman" w:cs="Times New Roman"/>
                <w:sz w:val="24"/>
                <w:szCs w:val="24"/>
                <w:lang w:val="sk-SK"/>
              </w:rPr>
              <w:t>článok 428k ods. 3 písm. d) CRR.</w:t>
            </w:r>
          </w:p>
          <w:p w14:paraId="6FE850DA" w14:textId="5690BACB"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Ostatné kapitálové nástroje so zostatkovou splatnosťou</w:t>
            </w:r>
            <w:r w:rsidR="00A3389E">
              <w:rPr>
                <w:rFonts w:ascii="Times New Roman" w:hAnsi="Times New Roman" w:cs="Times New Roman"/>
                <w:sz w:val="24"/>
                <w:szCs w:val="24"/>
                <w:lang w:val="sk-SK"/>
              </w:rPr>
              <w:t xml:space="preserve"> k </w:t>
            </w:r>
            <w:r w:rsidRPr="00A3389E">
              <w:rPr>
                <w:rFonts w:ascii="Times New Roman" w:hAnsi="Times New Roman" w:cs="Times New Roman"/>
                <w:sz w:val="24"/>
                <w:szCs w:val="24"/>
                <w:lang w:val="sk-SK"/>
              </w:rPr>
              <w:t>referenčnému dátumu zverejňovania jeden rok alebo viac.</w:t>
            </w:r>
          </w:p>
          <w:p w14:paraId="3E72A944" w14:textId="6B283C65" w:rsidR="001E06A3" w:rsidRPr="00023CBA" w:rsidRDefault="001E06A3" w:rsidP="001E06A3">
            <w:pPr>
              <w:pStyle w:val="TableParagraph"/>
              <w:spacing w:after="240"/>
              <w:jc w:val="both"/>
              <w:rPr>
                <w:rFonts w:ascii="Times New Roman" w:hAnsi="Times New Roman" w:cs="Times New Roman"/>
                <w:spacing w:val="-4"/>
                <w:sz w:val="24"/>
                <w:szCs w:val="24"/>
                <w:lang w:val="sk-SK"/>
              </w:rPr>
            </w:pPr>
            <w:r w:rsidRPr="00023CBA">
              <w:rPr>
                <w:rFonts w:ascii="Times New Roman" w:hAnsi="Times New Roman" w:cs="Times New Roman"/>
                <w:spacing w:val="-4"/>
                <w:sz w:val="24"/>
                <w:szCs w:val="24"/>
                <w:lang w:val="sk-SK"/>
              </w:rPr>
              <w:t>V prípade, že inštitúcia môže na požiadanie kúpiť ostatné kapitálové nástroje,</w:t>
            </w:r>
            <w:r w:rsidR="00A3389E" w:rsidRPr="00023CBA">
              <w:rPr>
                <w:rFonts w:ascii="Times New Roman" w:hAnsi="Times New Roman" w:cs="Times New Roman"/>
                <w:spacing w:val="-4"/>
                <w:sz w:val="24"/>
                <w:szCs w:val="24"/>
                <w:lang w:val="sk-SK"/>
              </w:rPr>
              <w:t xml:space="preserve"> a </w:t>
            </w:r>
            <w:r w:rsidRPr="00023CBA">
              <w:rPr>
                <w:rFonts w:ascii="Times New Roman" w:hAnsi="Times New Roman" w:cs="Times New Roman"/>
                <w:spacing w:val="-4"/>
                <w:sz w:val="24"/>
                <w:szCs w:val="24"/>
                <w:lang w:val="sk-SK"/>
              </w:rPr>
              <w:t>bez ohľadu na to, či inštitúcia uplatnila kúpnu opciu, zostatková splatnosť nástroja sa určí podľa dátumu kúpnej opcie.</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tomto prípade inštitúcia zverejňuje tieto položky</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príslušnej časovej skupine</w:t>
            </w:r>
            <w:r w:rsidR="00A3389E" w:rsidRPr="00023CBA">
              <w:rPr>
                <w:rFonts w:ascii="Times New Roman" w:hAnsi="Times New Roman" w:cs="Times New Roman"/>
                <w:spacing w:val="-4"/>
                <w:sz w:val="24"/>
                <w:szCs w:val="24"/>
                <w:lang w:val="sk-SK"/>
              </w:rPr>
              <w:t xml:space="preserve"> a </w:t>
            </w:r>
            <w:r w:rsidRPr="00023CBA">
              <w:rPr>
                <w:rFonts w:ascii="Times New Roman" w:hAnsi="Times New Roman" w:cs="Times New Roman"/>
                <w:spacing w:val="-4"/>
                <w:sz w:val="24"/>
                <w:szCs w:val="24"/>
                <w:lang w:val="sk-SK"/>
              </w:rPr>
              <w:t>neuplatňuje koeficient ASF vo výške 100</w:t>
            </w:r>
            <w:r w:rsidR="00A3389E" w:rsidRPr="00023CBA">
              <w:rPr>
                <w:rFonts w:ascii="Times New Roman" w:hAnsi="Times New Roman" w:cs="Times New Roman"/>
                <w:spacing w:val="-4"/>
                <w:sz w:val="24"/>
                <w:szCs w:val="24"/>
                <w:lang w:val="sk-SK"/>
              </w:rPr>
              <w:t> %</w:t>
            </w:r>
            <w:r w:rsidRPr="00023CBA">
              <w:rPr>
                <w:rFonts w:ascii="Times New Roman" w:hAnsi="Times New Roman" w:cs="Times New Roman"/>
                <w:spacing w:val="-4"/>
                <w:sz w:val="24"/>
                <w:szCs w:val="24"/>
                <w:lang w:val="sk-SK"/>
              </w:rPr>
              <w:t>, ak sa opcia môže uplatniť do jedného roka.</w:t>
            </w:r>
          </w:p>
        </w:tc>
      </w:tr>
      <w:tr w:rsidR="001E06A3" w:rsidRPr="00A3389E" w14:paraId="4A7BF272" w14:textId="77777777" w:rsidTr="00CB5E7D">
        <w:tc>
          <w:tcPr>
            <w:tcW w:w="1355" w:type="dxa"/>
          </w:tcPr>
          <w:p w14:paraId="22D0C44B"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4</w:t>
            </w:r>
          </w:p>
        </w:tc>
        <w:tc>
          <w:tcPr>
            <w:tcW w:w="7705" w:type="dxa"/>
          </w:tcPr>
          <w:p w14:paraId="3E072D6A"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Retailové vklady</w:t>
            </w:r>
          </w:p>
          <w:p w14:paraId="34660FE1" w14:textId="6E1690E9" w:rsidR="001E06A3" w:rsidRPr="00A3389E" w:rsidRDefault="001E06A3" w:rsidP="001E06A3">
            <w:pPr>
              <w:spacing w:after="240"/>
              <w:jc w:val="both"/>
              <w:rPr>
                <w:rFonts w:ascii="Times New Roman" w:hAnsi="Times New Roman" w:cs="Times New Roman"/>
                <w:lang w:val="sk-SK"/>
              </w:rPr>
            </w:pPr>
            <w:r w:rsidRPr="00A3389E">
              <w:rPr>
                <w:rFonts w:ascii="Times New Roman" w:hAnsi="Times New Roman" w:cs="Times New Roman"/>
                <w:sz w:val="24"/>
                <w:lang w:val="sk-SK"/>
              </w:rPr>
              <w:t>Inštitúcie tu zverejňujú súčet hodnôt</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riadku 5</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riadku 6 tohto vzoru.</w:t>
            </w:r>
          </w:p>
        </w:tc>
      </w:tr>
      <w:tr w:rsidR="001E06A3" w:rsidRPr="00A3389E" w14:paraId="4B4D6290" w14:textId="77777777" w:rsidTr="00CB5E7D">
        <w:tc>
          <w:tcPr>
            <w:tcW w:w="1355" w:type="dxa"/>
          </w:tcPr>
          <w:p w14:paraId="1010D2BD"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5</w:t>
            </w:r>
          </w:p>
        </w:tc>
        <w:tc>
          <w:tcPr>
            <w:tcW w:w="7705" w:type="dxa"/>
          </w:tcPr>
          <w:p w14:paraId="70714F89"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Stabilné retailové vklady</w:t>
            </w:r>
          </w:p>
          <w:p w14:paraId="4605216C" w14:textId="77777777" w:rsidR="001E06A3" w:rsidRPr="00A3389E" w:rsidRDefault="001E06A3" w:rsidP="001E06A3">
            <w:pPr>
              <w:pStyle w:val="TableParagraph"/>
              <w:spacing w:after="240"/>
              <w:jc w:val="both"/>
              <w:rPr>
                <w:rFonts w:ascii="Times New Roman" w:hAnsi="Times New Roman" w:cs="Times New Roman"/>
                <w:sz w:val="24"/>
                <w:lang w:val="sk-SK"/>
              </w:rPr>
            </w:pPr>
            <w:r w:rsidRPr="00A3389E">
              <w:rPr>
                <w:rFonts w:ascii="Times New Roman" w:hAnsi="Times New Roman" w:cs="Times New Roman"/>
                <w:sz w:val="24"/>
                <w:lang w:val="sk-SK"/>
              </w:rPr>
              <w:t>Článok 428n CRR.</w:t>
            </w:r>
          </w:p>
          <w:p w14:paraId="4DE00061" w14:textId="18A2EF3F"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Inštitúcie zahŕňajú časť súm retailových vkladov krytú systémom ochrany vkladov</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súlade so smernicou 94/19/ES alebo smernicou 2014/49/EÚ alebo rovnocenným systémom ochrany vkladov</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tretej krajine, ktorá je buď súčasťou zriadeného vzťahu,</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rámci ktorého je výber vysoko nepravdepodobný, alebo je vedená na transakčnom účte</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súlade</w:t>
            </w:r>
            <w:r w:rsidR="00A3389E">
              <w:rPr>
                <w:rFonts w:ascii="Times New Roman" w:hAnsi="Times New Roman" w:cs="Times New Roman"/>
                <w:sz w:val="24"/>
                <w:szCs w:val="24"/>
                <w:lang w:val="sk-SK"/>
              </w:rPr>
              <w:t xml:space="preserve"> s </w:t>
            </w:r>
            <w:r w:rsidRPr="00A3389E">
              <w:rPr>
                <w:rFonts w:ascii="Times New Roman" w:hAnsi="Times New Roman" w:cs="Times New Roman"/>
                <w:sz w:val="24"/>
                <w:szCs w:val="24"/>
                <w:lang w:val="sk-SK"/>
              </w:rPr>
              <w:t>článkom 24 ods. 2, resp. ods. 3 delegovaného nariadenia Komisie (EÚ) 2015/61, ak:</w:t>
            </w:r>
          </w:p>
          <w:p w14:paraId="257B6268" w14:textId="1FC5CF1A" w:rsidR="001E06A3" w:rsidRPr="00A3389E" w:rsidRDefault="00A3389E" w:rsidP="00A3389E">
            <w:pPr>
              <w:pStyle w:val="TableParagraph"/>
              <w:spacing w:after="240"/>
              <w:ind w:left="714" w:hanging="357"/>
              <w:jc w:val="both"/>
              <w:rPr>
                <w:rFonts w:ascii="Times New Roman" w:hAnsi="Times New Roman" w:cs="Times New Roman"/>
                <w:sz w:val="24"/>
                <w:szCs w:val="24"/>
                <w:lang w:val="sk-SK"/>
              </w:rPr>
            </w:pPr>
            <w:r w:rsidRPr="00A3389E">
              <w:rPr>
                <w:rFonts w:ascii="Symbol" w:hAnsi="Symbol" w:cs="Times New Roman"/>
                <w:sz w:val="24"/>
                <w:szCs w:val="24"/>
                <w:lang w:val="sk-SK"/>
              </w:rPr>
              <w:t></w:t>
            </w:r>
            <w:r w:rsidRPr="00A3389E">
              <w:rPr>
                <w:rFonts w:ascii="Symbol" w:hAnsi="Symbol" w:cs="Times New Roman"/>
                <w:sz w:val="24"/>
                <w:szCs w:val="24"/>
                <w:lang w:val="sk-SK"/>
              </w:rPr>
              <w:tab/>
            </w:r>
            <w:r w:rsidR="001E06A3" w:rsidRPr="00A3389E">
              <w:rPr>
                <w:rFonts w:ascii="Times New Roman" w:hAnsi="Times New Roman" w:cs="Times New Roman"/>
                <w:sz w:val="24"/>
                <w:szCs w:val="24"/>
                <w:lang w:val="sk-SK"/>
              </w:rPr>
              <w:t>tieto vklady nespĺňajú kritériá pre vyššiu mieru záporných peňažných tokov</w:t>
            </w:r>
            <w:r>
              <w:rPr>
                <w:rFonts w:ascii="Times New Roman" w:hAnsi="Times New Roman" w:cs="Times New Roman"/>
                <w:sz w:val="24"/>
                <w:szCs w:val="24"/>
                <w:lang w:val="sk-SK"/>
              </w:rPr>
              <w:t xml:space="preserve"> v </w:t>
            </w:r>
            <w:r w:rsidR="001E06A3" w:rsidRPr="00A3389E">
              <w:rPr>
                <w:rFonts w:ascii="Times New Roman" w:hAnsi="Times New Roman" w:cs="Times New Roman"/>
                <w:sz w:val="24"/>
                <w:szCs w:val="24"/>
                <w:lang w:val="sk-SK"/>
              </w:rPr>
              <w:t>súlade</w:t>
            </w:r>
            <w:r>
              <w:rPr>
                <w:rFonts w:ascii="Times New Roman" w:hAnsi="Times New Roman" w:cs="Times New Roman"/>
                <w:sz w:val="24"/>
                <w:szCs w:val="24"/>
                <w:lang w:val="sk-SK"/>
              </w:rPr>
              <w:t xml:space="preserve"> s </w:t>
            </w:r>
            <w:r w:rsidR="001E06A3" w:rsidRPr="00A3389E">
              <w:rPr>
                <w:rFonts w:ascii="Times New Roman" w:hAnsi="Times New Roman" w:cs="Times New Roman"/>
                <w:sz w:val="24"/>
                <w:szCs w:val="24"/>
                <w:lang w:val="sk-SK"/>
              </w:rPr>
              <w:t>článkom 25 ods. 2, 3</w:t>
            </w:r>
            <w:r>
              <w:rPr>
                <w:rFonts w:ascii="Times New Roman" w:hAnsi="Times New Roman" w:cs="Times New Roman"/>
                <w:sz w:val="24"/>
                <w:szCs w:val="24"/>
                <w:lang w:val="sk-SK"/>
              </w:rPr>
              <w:t xml:space="preserve"> a </w:t>
            </w:r>
            <w:r w:rsidR="001E06A3" w:rsidRPr="00A3389E">
              <w:rPr>
                <w:rFonts w:ascii="Times New Roman" w:hAnsi="Times New Roman" w:cs="Times New Roman"/>
                <w:sz w:val="24"/>
                <w:szCs w:val="24"/>
                <w:lang w:val="sk-SK"/>
              </w:rPr>
              <w:t>5 delegovaného nariadenia Komisie (EÚ) 2015/61, pričom</w:t>
            </w:r>
            <w:r>
              <w:rPr>
                <w:rFonts w:ascii="Times New Roman" w:hAnsi="Times New Roman" w:cs="Times New Roman"/>
                <w:sz w:val="24"/>
                <w:szCs w:val="24"/>
                <w:lang w:val="sk-SK"/>
              </w:rPr>
              <w:t xml:space="preserve"> v </w:t>
            </w:r>
            <w:r w:rsidR="001E06A3" w:rsidRPr="00A3389E">
              <w:rPr>
                <w:rFonts w:ascii="Times New Roman" w:hAnsi="Times New Roman" w:cs="Times New Roman"/>
                <w:sz w:val="24"/>
                <w:szCs w:val="24"/>
                <w:lang w:val="sk-SK"/>
              </w:rPr>
              <w:t>takom prípade sa zahŕňajú ako „menej stabilné vklady“; alebo</w:t>
            </w:r>
          </w:p>
          <w:p w14:paraId="097AE91B" w14:textId="1CA045D0" w:rsidR="001E06A3" w:rsidRPr="00A3389E" w:rsidRDefault="00A3389E" w:rsidP="00A3389E">
            <w:pPr>
              <w:pStyle w:val="TableParagraph"/>
              <w:spacing w:after="240"/>
              <w:ind w:left="714" w:hanging="357"/>
              <w:jc w:val="both"/>
              <w:rPr>
                <w:rFonts w:ascii="Times New Roman" w:hAnsi="Times New Roman" w:cs="Times New Roman"/>
                <w:sz w:val="24"/>
                <w:szCs w:val="24"/>
                <w:lang w:val="sk-SK"/>
              </w:rPr>
            </w:pPr>
            <w:r w:rsidRPr="00A3389E">
              <w:rPr>
                <w:rFonts w:ascii="Symbol" w:hAnsi="Symbol" w:cs="Times New Roman"/>
                <w:sz w:val="24"/>
                <w:szCs w:val="24"/>
                <w:lang w:val="sk-SK"/>
              </w:rPr>
              <w:lastRenderedPageBreak/>
              <w:t></w:t>
            </w:r>
            <w:r w:rsidRPr="00A3389E">
              <w:rPr>
                <w:rFonts w:ascii="Symbol" w:hAnsi="Symbol" w:cs="Times New Roman"/>
                <w:sz w:val="24"/>
                <w:szCs w:val="24"/>
                <w:lang w:val="sk-SK"/>
              </w:rPr>
              <w:tab/>
            </w:r>
            <w:r w:rsidR="001E06A3" w:rsidRPr="00A3389E">
              <w:rPr>
                <w:rFonts w:ascii="Times New Roman" w:hAnsi="Times New Roman" w:cs="Times New Roman"/>
                <w:sz w:val="24"/>
                <w:szCs w:val="24"/>
                <w:lang w:val="sk-SK"/>
              </w:rPr>
              <w:t>tieto vklady neboli prijaté</w:t>
            </w:r>
            <w:r>
              <w:rPr>
                <w:rFonts w:ascii="Times New Roman" w:hAnsi="Times New Roman" w:cs="Times New Roman"/>
                <w:sz w:val="24"/>
                <w:szCs w:val="24"/>
                <w:lang w:val="sk-SK"/>
              </w:rPr>
              <w:t xml:space="preserve"> v </w:t>
            </w:r>
            <w:r w:rsidR="001E06A3" w:rsidRPr="00A3389E">
              <w:rPr>
                <w:rFonts w:ascii="Times New Roman" w:hAnsi="Times New Roman" w:cs="Times New Roman"/>
                <w:sz w:val="24"/>
                <w:szCs w:val="24"/>
                <w:lang w:val="sk-SK"/>
              </w:rPr>
              <w:t>tretích krajinách, pri ktorých sa uplatňuje vyšší záporný peňažný tok</w:t>
            </w:r>
            <w:r>
              <w:rPr>
                <w:rFonts w:ascii="Times New Roman" w:hAnsi="Times New Roman" w:cs="Times New Roman"/>
                <w:sz w:val="24"/>
                <w:szCs w:val="24"/>
                <w:lang w:val="sk-SK"/>
              </w:rPr>
              <w:t xml:space="preserve"> v </w:t>
            </w:r>
            <w:r w:rsidR="001E06A3" w:rsidRPr="00A3389E">
              <w:rPr>
                <w:rFonts w:ascii="Times New Roman" w:hAnsi="Times New Roman" w:cs="Times New Roman"/>
                <w:sz w:val="24"/>
                <w:szCs w:val="24"/>
                <w:lang w:val="sk-SK"/>
              </w:rPr>
              <w:t>súlade</w:t>
            </w:r>
            <w:r>
              <w:rPr>
                <w:rFonts w:ascii="Times New Roman" w:hAnsi="Times New Roman" w:cs="Times New Roman"/>
                <w:sz w:val="24"/>
                <w:szCs w:val="24"/>
                <w:lang w:val="sk-SK"/>
              </w:rPr>
              <w:t xml:space="preserve"> s </w:t>
            </w:r>
            <w:r w:rsidR="001E06A3" w:rsidRPr="00A3389E">
              <w:rPr>
                <w:rFonts w:ascii="Times New Roman" w:hAnsi="Times New Roman" w:cs="Times New Roman"/>
                <w:sz w:val="24"/>
                <w:szCs w:val="24"/>
                <w:lang w:val="sk-SK"/>
              </w:rPr>
              <w:t>článkom 25 ods. 5 delegovaného nariadenia Komisie (EÚ) 2015/61, pričom</w:t>
            </w:r>
            <w:r>
              <w:rPr>
                <w:rFonts w:ascii="Times New Roman" w:hAnsi="Times New Roman" w:cs="Times New Roman"/>
                <w:sz w:val="24"/>
                <w:szCs w:val="24"/>
                <w:lang w:val="sk-SK"/>
              </w:rPr>
              <w:t xml:space="preserve"> v </w:t>
            </w:r>
            <w:r w:rsidR="001E06A3" w:rsidRPr="00A3389E">
              <w:rPr>
                <w:rFonts w:ascii="Times New Roman" w:hAnsi="Times New Roman" w:cs="Times New Roman"/>
                <w:sz w:val="24"/>
                <w:szCs w:val="24"/>
                <w:lang w:val="sk-SK"/>
              </w:rPr>
              <w:t>takom prípade sa zahŕňajú ako „menej stabilné vklady“.</w:t>
            </w:r>
          </w:p>
        </w:tc>
      </w:tr>
      <w:tr w:rsidR="001E06A3" w:rsidRPr="00A3389E" w14:paraId="77A51963" w14:textId="77777777" w:rsidTr="00CB5E7D">
        <w:tc>
          <w:tcPr>
            <w:tcW w:w="1355" w:type="dxa"/>
          </w:tcPr>
          <w:p w14:paraId="72CAF92A"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lastRenderedPageBreak/>
              <w:t>6</w:t>
            </w:r>
          </w:p>
        </w:tc>
        <w:tc>
          <w:tcPr>
            <w:tcW w:w="7705" w:type="dxa"/>
          </w:tcPr>
          <w:p w14:paraId="6FC5ABB4"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Menej stabilné retailové vklady</w:t>
            </w:r>
          </w:p>
          <w:p w14:paraId="0D590484" w14:textId="77777777"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428m CRR.</w:t>
            </w:r>
          </w:p>
          <w:p w14:paraId="2B0EF3A0" w14:textId="46A88CBE"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zverejňujú sumu iných retailových vkladov, než sú vklady, ktoré sú zaznamenané ako „stabilné retailové vklady“</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riadku 5 tohto vzoru.</w:t>
            </w:r>
          </w:p>
        </w:tc>
      </w:tr>
      <w:tr w:rsidR="001E06A3" w:rsidRPr="00A3389E" w14:paraId="216D727E" w14:textId="77777777" w:rsidTr="00CB5E7D">
        <w:tc>
          <w:tcPr>
            <w:tcW w:w="1355" w:type="dxa"/>
          </w:tcPr>
          <w:p w14:paraId="13CBEA1F"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7</w:t>
            </w:r>
          </w:p>
        </w:tc>
        <w:tc>
          <w:tcPr>
            <w:tcW w:w="7705" w:type="dxa"/>
          </w:tcPr>
          <w:p w14:paraId="10E1642E"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Veľkoobchodné financovanie:</w:t>
            </w:r>
          </w:p>
          <w:p w14:paraId="31CD060A" w14:textId="569BCF5E"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súčet hodnôt</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riadku 8</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riadku 9 tohto vzoru.</w:t>
            </w:r>
          </w:p>
        </w:tc>
      </w:tr>
      <w:tr w:rsidR="001E06A3" w:rsidRPr="00A3389E" w14:paraId="200EB805" w14:textId="77777777" w:rsidTr="00CB5E7D">
        <w:tc>
          <w:tcPr>
            <w:tcW w:w="1355" w:type="dxa"/>
          </w:tcPr>
          <w:p w14:paraId="7ECE22D6"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8</w:t>
            </w:r>
          </w:p>
        </w:tc>
        <w:tc>
          <w:tcPr>
            <w:tcW w:w="7705" w:type="dxa"/>
          </w:tcPr>
          <w:p w14:paraId="451B6E7E" w14:textId="77777777" w:rsidR="001E06A3" w:rsidRPr="00A3389E" w:rsidRDefault="001E06A3" w:rsidP="001E06A3">
            <w:pPr>
              <w:spacing w:after="240"/>
              <w:jc w:val="both"/>
              <w:rPr>
                <w:rFonts w:ascii="Times New Roman" w:hAnsi="Times New Roman" w:cs="Times New Roman"/>
                <w:b/>
                <w:sz w:val="24"/>
                <w:u w:val="single"/>
                <w:lang w:val="sk-SK"/>
              </w:rPr>
            </w:pPr>
            <w:r w:rsidRPr="00A3389E">
              <w:rPr>
                <w:rFonts w:ascii="Times New Roman" w:hAnsi="Times New Roman" w:cs="Times New Roman"/>
                <w:b/>
                <w:sz w:val="24"/>
                <w:lang w:val="sk-SK"/>
              </w:rPr>
              <w:t>Prevádzkové vklady</w:t>
            </w:r>
          </w:p>
          <w:p w14:paraId="486AB043" w14:textId="77777777"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428l písm. a) CRR.</w:t>
            </w:r>
          </w:p>
          <w:p w14:paraId="3FF8E809" w14:textId="33CB148A"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Inštitúcie tu zverejňujú tú časť prijatých vkladov (tak od finančných klientov, ako aj od iných nefinančných klientov), ktoré spĺňajú kritériá pre prevádzkové vklady stanovené</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 xml:space="preserve">článku 27 delegovaného nariadenia Komisie (EÚ) 2015/61, ktoré sú potrebné na poskytovanie prevádzkových služieb. Prevádzkové vklady presahujúce sumu potrebnú na poskytovanie prevádzkových služieb sa nezahŕňajú tu, ale do riadku 9 „Iné veľkoobchodné financovanie“ </w:t>
            </w:r>
            <w:r w:rsidRPr="00A3389E">
              <w:rPr>
                <w:rFonts w:ascii="Times New Roman" w:hAnsi="Times New Roman" w:cs="Times New Roman"/>
                <w:sz w:val="24"/>
                <w:lang w:val="sk-SK"/>
              </w:rPr>
              <w:t>tohto vzoru</w:t>
            </w:r>
            <w:r w:rsidRPr="00A3389E">
              <w:rPr>
                <w:rFonts w:ascii="Times New Roman" w:hAnsi="Times New Roman" w:cs="Times New Roman"/>
                <w:sz w:val="24"/>
                <w:szCs w:val="24"/>
                <w:lang w:val="sk-SK"/>
              </w:rPr>
              <w:t>.</w:t>
            </w:r>
          </w:p>
          <w:p w14:paraId="4AEA781C" w14:textId="6DCEDEE0" w:rsidR="001E06A3" w:rsidRPr="00023CBA" w:rsidRDefault="001E06A3" w:rsidP="001E06A3">
            <w:pPr>
              <w:pStyle w:val="TableParagraph"/>
              <w:spacing w:after="240"/>
              <w:jc w:val="both"/>
              <w:rPr>
                <w:rFonts w:ascii="Times New Roman" w:hAnsi="Times New Roman" w:cs="Times New Roman"/>
                <w:spacing w:val="-4"/>
                <w:sz w:val="24"/>
                <w:szCs w:val="24"/>
                <w:lang w:val="sk-SK"/>
              </w:rPr>
            </w:pPr>
            <w:r w:rsidRPr="00023CBA">
              <w:rPr>
                <w:rFonts w:ascii="Times New Roman" w:hAnsi="Times New Roman" w:cs="Times New Roman"/>
                <w:spacing w:val="-4"/>
                <w:sz w:val="24"/>
                <w:szCs w:val="24"/>
                <w:lang w:val="sk-SK"/>
              </w:rPr>
              <w:t>Vklady vyplývajúce zo vzťahu korešpondenčného bankovníctva alebo</w:t>
            </w:r>
            <w:r w:rsidR="00A3389E" w:rsidRPr="00023CBA">
              <w:rPr>
                <w:rFonts w:ascii="Times New Roman" w:hAnsi="Times New Roman" w:cs="Times New Roman"/>
                <w:spacing w:val="-4"/>
                <w:sz w:val="24"/>
                <w:szCs w:val="24"/>
                <w:lang w:val="sk-SK"/>
              </w:rPr>
              <w:t xml:space="preserve"> z </w:t>
            </w:r>
            <w:r w:rsidRPr="00023CBA">
              <w:rPr>
                <w:rFonts w:ascii="Times New Roman" w:hAnsi="Times New Roman" w:cs="Times New Roman"/>
                <w:spacing w:val="-4"/>
                <w:sz w:val="24"/>
                <w:szCs w:val="24"/>
                <w:lang w:val="sk-SK"/>
              </w:rPr>
              <w:t>poskytovania služieb prime brokerage sa považujú za neprevádzkové vklady</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súlade</w:t>
            </w:r>
            <w:r w:rsidR="00A3389E" w:rsidRPr="00023CBA">
              <w:rPr>
                <w:rFonts w:ascii="Times New Roman" w:hAnsi="Times New Roman" w:cs="Times New Roman"/>
                <w:spacing w:val="-4"/>
                <w:sz w:val="24"/>
                <w:szCs w:val="24"/>
                <w:lang w:val="sk-SK"/>
              </w:rPr>
              <w:t xml:space="preserve"> s </w:t>
            </w:r>
            <w:r w:rsidRPr="00023CBA">
              <w:rPr>
                <w:rFonts w:ascii="Times New Roman" w:hAnsi="Times New Roman" w:cs="Times New Roman"/>
                <w:spacing w:val="-4"/>
                <w:sz w:val="24"/>
                <w:szCs w:val="24"/>
                <w:lang w:val="sk-SK"/>
              </w:rPr>
              <w:t>článkom 27 ods. 5 delegovaného nariadenia Komisie (EÚ) 2015/61</w:t>
            </w:r>
            <w:r w:rsidR="00A3389E" w:rsidRPr="00023CBA">
              <w:rPr>
                <w:rFonts w:ascii="Times New Roman" w:hAnsi="Times New Roman" w:cs="Times New Roman"/>
                <w:spacing w:val="-4"/>
                <w:sz w:val="24"/>
                <w:szCs w:val="24"/>
                <w:lang w:val="sk-SK"/>
              </w:rPr>
              <w:t xml:space="preserve"> a </w:t>
            </w:r>
            <w:r w:rsidRPr="00023CBA">
              <w:rPr>
                <w:rFonts w:ascii="Times New Roman" w:hAnsi="Times New Roman" w:cs="Times New Roman"/>
                <w:spacing w:val="-4"/>
                <w:sz w:val="24"/>
                <w:szCs w:val="24"/>
                <w:lang w:val="sk-SK"/>
              </w:rPr>
              <w:t>zverejňujú sa</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 xml:space="preserve">riadku 9 „Iné veľkoobchodné financovanie“ </w:t>
            </w:r>
            <w:r w:rsidRPr="00023CBA">
              <w:rPr>
                <w:rFonts w:ascii="Times New Roman" w:hAnsi="Times New Roman" w:cs="Times New Roman"/>
                <w:spacing w:val="-4"/>
                <w:sz w:val="24"/>
                <w:lang w:val="sk-SK"/>
              </w:rPr>
              <w:t>tohto vzoru.</w:t>
            </w:r>
          </w:p>
        </w:tc>
      </w:tr>
      <w:tr w:rsidR="001E06A3" w:rsidRPr="00A3389E" w14:paraId="0B0DC7CE" w14:textId="77777777" w:rsidTr="00CB5E7D">
        <w:tc>
          <w:tcPr>
            <w:tcW w:w="1355" w:type="dxa"/>
          </w:tcPr>
          <w:p w14:paraId="6FB6563B"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9</w:t>
            </w:r>
          </w:p>
        </w:tc>
        <w:tc>
          <w:tcPr>
            <w:tcW w:w="7705" w:type="dxa"/>
          </w:tcPr>
          <w:p w14:paraId="4116FB09"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Iné veľkoobchodné financovanie</w:t>
            </w:r>
          </w:p>
          <w:p w14:paraId="29A96DCD" w14:textId="7AADF385" w:rsidR="001E06A3" w:rsidRPr="00023CBA" w:rsidRDefault="001E06A3" w:rsidP="001E06A3">
            <w:pPr>
              <w:spacing w:after="240"/>
              <w:jc w:val="both"/>
              <w:rPr>
                <w:rFonts w:ascii="Times New Roman" w:hAnsi="Times New Roman" w:cs="Times New Roman"/>
                <w:spacing w:val="-4"/>
                <w:sz w:val="24"/>
                <w:lang w:val="sk-SK"/>
              </w:rPr>
            </w:pPr>
            <w:r w:rsidRPr="00023CBA">
              <w:rPr>
                <w:rFonts w:ascii="Times New Roman" w:hAnsi="Times New Roman" w:cs="Times New Roman"/>
                <w:spacing w:val="-4"/>
                <w:sz w:val="24"/>
                <w:lang w:val="sk-SK"/>
              </w:rPr>
              <w:t>Článok 428l písm. b) až d), článok 428g</w:t>
            </w:r>
            <w:r w:rsidR="00A3389E" w:rsidRPr="00023CBA">
              <w:rPr>
                <w:rFonts w:ascii="Times New Roman" w:hAnsi="Times New Roman" w:cs="Times New Roman"/>
                <w:spacing w:val="-4"/>
                <w:sz w:val="24"/>
                <w:lang w:val="sk-SK"/>
              </w:rPr>
              <w:t xml:space="preserve"> a </w:t>
            </w:r>
            <w:r w:rsidRPr="00023CBA">
              <w:rPr>
                <w:rFonts w:ascii="Times New Roman" w:hAnsi="Times New Roman" w:cs="Times New Roman"/>
                <w:spacing w:val="-4"/>
                <w:sz w:val="24"/>
                <w:lang w:val="sk-SK"/>
              </w:rPr>
              <w:t>článok 428k ods. 3 písm. c)</w:t>
            </w:r>
            <w:r w:rsidR="00A3389E" w:rsidRPr="00023CBA">
              <w:rPr>
                <w:rFonts w:ascii="Times New Roman" w:hAnsi="Times New Roman" w:cs="Times New Roman"/>
                <w:spacing w:val="-4"/>
                <w:sz w:val="24"/>
                <w:lang w:val="sk-SK"/>
              </w:rPr>
              <w:t xml:space="preserve"> a </w:t>
            </w:r>
            <w:r w:rsidRPr="00023CBA">
              <w:rPr>
                <w:rFonts w:ascii="Times New Roman" w:hAnsi="Times New Roman" w:cs="Times New Roman"/>
                <w:spacing w:val="-4"/>
                <w:sz w:val="24"/>
                <w:lang w:val="sk-SK"/>
              </w:rPr>
              <w:t>d) CRR.</w:t>
            </w:r>
          </w:p>
          <w:p w14:paraId="63E609AB" w14:textId="6488AB18"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veľkoobchodné financovanie iné než suma prevádzkových vkladov, ktoré je potrebné na poskytovanie prevádzkových služieb. Patria sem záväzky poskytnuté ústrednými vládami, regionálnymi vládami, miestnymi orgánmi, subjektmi verejného sektora, multilaterálnymi rozvojovými bankami, medzinárodnými organizáciami, centrálnymi bankami</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akýmikoľvek inými nefinančnými alebo finančnými klientmi, ako aj záväzky, pri ktorých nemožno určiť protistranu, vrátane emitovaných cenných papierov, pri ktorých nemožno identifikovať držiteľa.</w:t>
            </w:r>
          </w:p>
        </w:tc>
      </w:tr>
      <w:tr w:rsidR="001E06A3" w:rsidRPr="00A3389E" w14:paraId="51A93DB5" w14:textId="77777777" w:rsidTr="00CB5E7D">
        <w:tc>
          <w:tcPr>
            <w:tcW w:w="1355" w:type="dxa"/>
          </w:tcPr>
          <w:p w14:paraId="2AB6E5C8"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10</w:t>
            </w:r>
          </w:p>
        </w:tc>
        <w:tc>
          <w:tcPr>
            <w:tcW w:w="7705" w:type="dxa"/>
          </w:tcPr>
          <w:p w14:paraId="166296B5" w14:textId="77777777" w:rsidR="00A3389E"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Vzájomne závislé záväzky</w:t>
            </w:r>
          </w:p>
          <w:p w14:paraId="3C911E55" w14:textId="1E71FF79"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428k ods. 3 písm. b) CRR.</w:t>
            </w:r>
          </w:p>
          <w:p w14:paraId="26457514" w14:textId="3EBB14E0" w:rsidR="001E06A3" w:rsidRPr="00A3389E" w:rsidRDefault="001E06A3" w:rsidP="001E06A3">
            <w:pPr>
              <w:pStyle w:val="TableParagraph"/>
              <w:spacing w:after="240"/>
              <w:jc w:val="both"/>
              <w:rPr>
                <w:rFonts w:ascii="Times New Roman" w:hAnsi="Times New Roman" w:cs="Times New Roman"/>
                <w:sz w:val="24"/>
                <w:lang w:val="sk-SK"/>
              </w:rPr>
            </w:pPr>
            <w:r w:rsidRPr="00A3389E">
              <w:rPr>
                <w:rFonts w:ascii="Times New Roman" w:hAnsi="Times New Roman" w:cs="Times New Roman"/>
                <w:sz w:val="24"/>
                <w:szCs w:val="24"/>
                <w:lang w:val="sk-SK"/>
              </w:rPr>
              <w:t>Inštitúcie zverejňujú záväzky,</w:t>
            </w:r>
            <w:r w:rsidR="00A3389E">
              <w:rPr>
                <w:rFonts w:ascii="Times New Roman" w:hAnsi="Times New Roman" w:cs="Times New Roman"/>
                <w:sz w:val="24"/>
                <w:szCs w:val="24"/>
                <w:lang w:val="sk-SK"/>
              </w:rPr>
              <w:t xml:space="preserve"> s </w:t>
            </w:r>
            <w:r w:rsidRPr="00A3389E">
              <w:rPr>
                <w:rFonts w:ascii="Times New Roman" w:hAnsi="Times New Roman" w:cs="Times New Roman"/>
                <w:sz w:val="24"/>
                <w:szCs w:val="24"/>
                <w:lang w:val="sk-SK"/>
              </w:rPr>
              <w:t>ktorými sa po schválení dotknutým príslušným orgánom zaobchádza ako so vzájomne závislými aktívami</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súlade</w:t>
            </w:r>
            <w:r w:rsidR="00A3389E">
              <w:rPr>
                <w:rFonts w:ascii="Times New Roman" w:hAnsi="Times New Roman" w:cs="Times New Roman"/>
                <w:sz w:val="24"/>
                <w:szCs w:val="24"/>
                <w:lang w:val="sk-SK"/>
              </w:rPr>
              <w:t xml:space="preserve"> s </w:t>
            </w:r>
            <w:r w:rsidRPr="00A3389E">
              <w:rPr>
                <w:rFonts w:ascii="Times New Roman" w:hAnsi="Times New Roman" w:cs="Times New Roman"/>
                <w:sz w:val="24"/>
                <w:szCs w:val="24"/>
                <w:lang w:val="sk-SK"/>
              </w:rPr>
              <w:t>článkom 428f CRR.</w:t>
            </w:r>
          </w:p>
        </w:tc>
      </w:tr>
      <w:tr w:rsidR="001E06A3" w:rsidRPr="00A3389E" w14:paraId="7798E2F7" w14:textId="77777777" w:rsidTr="00CB5E7D">
        <w:tc>
          <w:tcPr>
            <w:tcW w:w="1355" w:type="dxa"/>
          </w:tcPr>
          <w:p w14:paraId="64B1207E"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lastRenderedPageBreak/>
              <w:t>11</w:t>
            </w:r>
          </w:p>
        </w:tc>
        <w:tc>
          <w:tcPr>
            <w:tcW w:w="7705" w:type="dxa"/>
          </w:tcPr>
          <w:p w14:paraId="28FF2ADB" w14:textId="77777777" w:rsidR="00A3389E"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Ostatné záväzky</w:t>
            </w:r>
          </w:p>
          <w:p w14:paraId="63275947" w14:textId="4F2CC33C"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súčet hodnôt</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riadkoch 12</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13 tohto vzoru.</w:t>
            </w:r>
          </w:p>
        </w:tc>
      </w:tr>
      <w:tr w:rsidR="001E06A3" w:rsidRPr="00A3389E" w14:paraId="43B6E696" w14:textId="77777777" w:rsidTr="00CB5E7D">
        <w:tc>
          <w:tcPr>
            <w:tcW w:w="1355" w:type="dxa"/>
          </w:tcPr>
          <w:p w14:paraId="3F480655"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12</w:t>
            </w:r>
          </w:p>
        </w:tc>
        <w:tc>
          <w:tcPr>
            <w:tcW w:w="7705" w:type="dxa"/>
          </w:tcPr>
          <w:p w14:paraId="4927B43C" w14:textId="77777777" w:rsidR="001E06A3" w:rsidRPr="00A3389E" w:rsidRDefault="001E06A3" w:rsidP="001E06A3">
            <w:pPr>
              <w:spacing w:after="240"/>
              <w:jc w:val="both"/>
              <w:rPr>
                <w:rFonts w:ascii="Times New Roman" w:hAnsi="Times New Roman" w:cs="Times New Roman"/>
                <w:b/>
                <w:sz w:val="24"/>
                <w:u w:val="single"/>
                <w:lang w:val="sk-SK"/>
              </w:rPr>
            </w:pPr>
            <w:r w:rsidRPr="00A3389E">
              <w:rPr>
                <w:rFonts w:ascii="Times New Roman" w:hAnsi="Times New Roman" w:cs="Times New Roman"/>
                <w:b/>
                <w:sz w:val="24"/>
                <w:lang w:val="sk-SK"/>
              </w:rPr>
              <w:t>Derivátové záväzky NSFR</w:t>
            </w:r>
          </w:p>
          <w:p w14:paraId="133A34F8" w14:textId="77777777"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428k ods. 4 CRR.</w:t>
            </w:r>
          </w:p>
          <w:p w14:paraId="3B0ED966" w14:textId="499CD443" w:rsidR="001E06A3" w:rsidRPr="00023CBA" w:rsidRDefault="001E06A3" w:rsidP="001E06A3">
            <w:pPr>
              <w:spacing w:after="240"/>
              <w:jc w:val="both"/>
              <w:rPr>
                <w:rFonts w:ascii="Times New Roman" w:hAnsi="Times New Roman" w:cs="Times New Roman"/>
                <w:spacing w:val="-4"/>
                <w:sz w:val="24"/>
                <w:lang w:val="sk-SK"/>
              </w:rPr>
            </w:pPr>
            <w:r w:rsidRPr="00023CBA">
              <w:rPr>
                <w:rFonts w:ascii="Times New Roman" w:hAnsi="Times New Roman" w:cs="Times New Roman"/>
                <w:spacing w:val="-4"/>
                <w:sz w:val="24"/>
                <w:lang w:val="sk-SK"/>
              </w:rPr>
              <w:t>Inštitúcie zverejňujú absolútnu hodnotu záporného rozdielu medzi súbormi vzájomného započítavania vypočítaného</w:t>
            </w:r>
            <w:r w:rsidR="00A3389E" w:rsidRPr="00023CBA">
              <w:rPr>
                <w:rFonts w:ascii="Times New Roman" w:hAnsi="Times New Roman" w:cs="Times New Roman"/>
                <w:spacing w:val="-4"/>
                <w:sz w:val="24"/>
                <w:lang w:val="sk-SK"/>
              </w:rPr>
              <w:t xml:space="preserve"> v </w:t>
            </w:r>
            <w:r w:rsidRPr="00023CBA">
              <w:rPr>
                <w:rFonts w:ascii="Times New Roman" w:hAnsi="Times New Roman" w:cs="Times New Roman"/>
                <w:spacing w:val="-4"/>
                <w:sz w:val="24"/>
                <w:lang w:val="sk-SK"/>
              </w:rPr>
              <w:t>súlade</w:t>
            </w:r>
            <w:r w:rsidR="00A3389E" w:rsidRPr="00023CBA">
              <w:rPr>
                <w:rFonts w:ascii="Times New Roman" w:hAnsi="Times New Roman" w:cs="Times New Roman"/>
                <w:spacing w:val="-4"/>
                <w:sz w:val="24"/>
                <w:lang w:val="sk-SK"/>
              </w:rPr>
              <w:t xml:space="preserve"> s </w:t>
            </w:r>
            <w:r w:rsidRPr="00023CBA">
              <w:rPr>
                <w:rFonts w:ascii="Times New Roman" w:hAnsi="Times New Roman" w:cs="Times New Roman"/>
                <w:spacing w:val="-4"/>
                <w:sz w:val="24"/>
                <w:lang w:val="sk-SK"/>
              </w:rPr>
              <w:t>článkom 428k ods. 4 CRR.</w:t>
            </w:r>
          </w:p>
        </w:tc>
      </w:tr>
      <w:tr w:rsidR="001E06A3" w:rsidRPr="00A3389E" w14:paraId="544A711E" w14:textId="77777777" w:rsidTr="00CB5E7D">
        <w:tc>
          <w:tcPr>
            <w:tcW w:w="1355" w:type="dxa"/>
          </w:tcPr>
          <w:p w14:paraId="5AB8DBBC"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13</w:t>
            </w:r>
          </w:p>
        </w:tc>
        <w:tc>
          <w:tcPr>
            <w:tcW w:w="7705" w:type="dxa"/>
          </w:tcPr>
          <w:p w14:paraId="00D2B3F0" w14:textId="66A10C4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Všetky ostatné záväzky</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kapitálové nástroje nezahrnuté do vyššie uvedených kategórií</w:t>
            </w:r>
          </w:p>
          <w:p w14:paraId="2E4D9C3C" w14:textId="5F057374"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Článok 428k ods. 1</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článok 428k ods. 3 CRR.</w:t>
            </w:r>
          </w:p>
          <w:p w14:paraId="726F7D6A"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súčet týchto položiek:</w:t>
            </w:r>
          </w:p>
          <w:p w14:paraId="3A2B4C1F" w14:textId="636862F6"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záväzky so zúčtovaním</w:t>
            </w:r>
            <w:r>
              <w:rPr>
                <w:rFonts w:ascii="Times New Roman" w:hAnsi="Times New Roman"/>
                <w:sz w:val="24"/>
                <w:lang w:val="sk-SK"/>
              </w:rPr>
              <w:t xml:space="preserve"> v </w:t>
            </w:r>
            <w:r w:rsidR="001E06A3" w:rsidRPr="00A3389E">
              <w:rPr>
                <w:rFonts w:ascii="Times New Roman" w:hAnsi="Times New Roman"/>
                <w:sz w:val="24"/>
                <w:lang w:val="sk-SK"/>
              </w:rPr>
              <w:t>deň uzavretia obchodu vyplývajúce</w:t>
            </w:r>
            <w:r>
              <w:rPr>
                <w:rFonts w:ascii="Times New Roman" w:hAnsi="Times New Roman"/>
                <w:sz w:val="24"/>
                <w:lang w:val="sk-SK"/>
              </w:rPr>
              <w:t xml:space="preserve"> z </w:t>
            </w:r>
            <w:r w:rsidR="001E06A3" w:rsidRPr="00A3389E">
              <w:rPr>
                <w:rFonts w:ascii="Times New Roman" w:hAnsi="Times New Roman"/>
                <w:sz w:val="24"/>
                <w:lang w:val="sk-SK"/>
              </w:rPr>
              <w:t>nákupu finančných nástrojov, cudzích mien</w:t>
            </w:r>
            <w:r>
              <w:rPr>
                <w:rFonts w:ascii="Times New Roman" w:hAnsi="Times New Roman"/>
                <w:sz w:val="24"/>
                <w:lang w:val="sk-SK"/>
              </w:rPr>
              <w:t xml:space="preserve"> a </w:t>
            </w:r>
            <w:r w:rsidR="001E06A3" w:rsidRPr="00A3389E">
              <w:rPr>
                <w:rFonts w:ascii="Times New Roman" w:hAnsi="Times New Roman"/>
                <w:sz w:val="24"/>
                <w:lang w:val="sk-SK"/>
              </w:rPr>
              <w:t>komodít,</w:t>
            </w:r>
            <w:r>
              <w:rPr>
                <w:rFonts w:ascii="Times New Roman" w:hAnsi="Times New Roman"/>
                <w:sz w:val="24"/>
                <w:lang w:val="sk-SK"/>
              </w:rPr>
              <w:t xml:space="preserve"> u </w:t>
            </w:r>
            <w:r w:rsidR="001E06A3" w:rsidRPr="00A3389E">
              <w:rPr>
                <w:rFonts w:ascii="Times New Roman" w:hAnsi="Times New Roman"/>
                <w:sz w:val="24"/>
                <w:lang w:val="sk-SK"/>
              </w:rPr>
              <w:t>ktorých sa očakáva, že sa vyrovnajú</w:t>
            </w:r>
            <w:r>
              <w:rPr>
                <w:rFonts w:ascii="Times New Roman" w:hAnsi="Times New Roman"/>
                <w:sz w:val="24"/>
                <w:lang w:val="sk-SK"/>
              </w:rPr>
              <w:t xml:space="preserve"> v </w:t>
            </w:r>
            <w:r w:rsidR="001E06A3" w:rsidRPr="00A3389E">
              <w:rPr>
                <w:rFonts w:ascii="Times New Roman" w:hAnsi="Times New Roman"/>
                <w:sz w:val="24"/>
                <w:lang w:val="sk-SK"/>
              </w:rPr>
              <w:t>rámci štandardného cyklu vyrovnania alebo</w:t>
            </w:r>
            <w:r>
              <w:rPr>
                <w:rFonts w:ascii="Times New Roman" w:hAnsi="Times New Roman"/>
                <w:sz w:val="24"/>
                <w:lang w:val="sk-SK"/>
              </w:rPr>
              <w:t xml:space="preserve"> v </w:t>
            </w:r>
            <w:r w:rsidR="001E06A3" w:rsidRPr="00A3389E">
              <w:rPr>
                <w:rFonts w:ascii="Times New Roman" w:hAnsi="Times New Roman"/>
                <w:sz w:val="24"/>
                <w:lang w:val="sk-SK"/>
              </w:rPr>
              <w:t>období, ktoré je obvyklé pre príslušnú výmenu alebo typ transakcií, alebo ktoré neboli vyrovnané, pričom ich vyrovnanie sa stále očakáva,</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428k ods. 3 písm. a) CRR,</w:t>
            </w:r>
          </w:p>
          <w:p w14:paraId="2A142631" w14:textId="127D77FA"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odložené daňové záväzky so zohľadnením najbližšieho možného dátumu, ku ktorému sa ich suma môže realizovať ako zostatková splatnosť,</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428k ods. 2 písm. a) CRR,</w:t>
            </w:r>
          </w:p>
          <w:p w14:paraId="6209F2FA" w14:textId="5D60C0FA"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menšinové účasti, pričom trvanie nástroja sa považuje za zostatkovú splatnosť,</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428k ods. 1 písm. b) CRR, a</w:t>
            </w:r>
          </w:p>
          <w:p w14:paraId="32BB3E1B" w14:textId="004EEF2B"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ostatné záväzky, napríklad krátke pozície</w:t>
            </w:r>
            <w:r>
              <w:rPr>
                <w:rFonts w:ascii="Times New Roman" w:hAnsi="Times New Roman"/>
                <w:sz w:val="24"/>
                <w:lang w:val="sk-SK"/>
              </w:rPr>
              <w:t xml:space="preserve"> a </w:t>
            </w:r>
            <w:r w:rsidR="001E06A3" w:rsidRPr="00A3389E">
              <w:rPr>
                <w:rFonts w:ascii="Times New Roman" w:hAnsi="Times New Roman"/>
                <w:sz w:val="24"/>
                <w:lang w:val="sk-SK"/>
              </w:rPr>
              <w:t>pozície</w:t>
            </w:r>
            <w:r>
              <w:rPr>
                <w:rFonts w:ascii="Times New Roman" w:hAnsi="Times New Roman"/>
                <w:sz w:val="24"/>
                <w:lang w:val="sk-SK"/>
              </w:rPr>
              <w:t xml:space="preserve"> s </w:t>
            </w:r>
            <w:r w:rsidR="001E06A3" w:rsidRPr="00A3389E">
              <w:rPr>
                <w:rFonts w:ascii="Times New Roman" w:hAnsi="Times New Roman"/>
                <w:sz w:val="24"/>
                <w:lang w:val="sk-SK"/>
              </w:rPr>
              <w:t>otvorenou splatnosťou,</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428k ods. 1</w:t>
            </w:r>
            <w:r>
              <w:rPr>
                <w:rFonts w:ascii="Times New Roman" w:hAnsi="Times New Roman"/>
                <w:sz w:val="24"/>
                <w:lang w:val="sk-SK"/>
              </w:rPr>
              <w:t xml:space="preserve"> a </w:t>
            </w:r>
            <w:r w:rsidR="001E06A3" w:rsidRPr="00A3389E">
              <w:rPr>
                <w:rFonts w:ascii="Times New Roman" w:hAnsi="Times New Roman"/>
                <w:sz w:val="24"/>
                <w:lang w:val="sk-SK"/>
              </w:rPr>
              <w:t>3 CRR.</w:t>
            </w:r>
          </w:p>
        </w:tc>
      </w:tr>
      <w:tr w:rsidR="001E06A3" w:rsidRPr="00A3389E" w14:paraId="034F79BB" w14:textId="77777777" w:rsidTr="00CB5E7D">
        <w:tc>
          <w:tcPr>
            <w:tcW w:w="1355" w:type="dxa"/>
          </w:tcPr>
          <w:p w14:paraId="46E26789"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14</w:t>
            </w:r>
          </w:p>
        </w:tc>
        <w:tc>
          <w:tcPr>
            <w:tcW w:w="7705" w:type="dxa"/>
          </w:tcPr>
          <w:p w14:paraId="76AAD23A"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Celkové dostupné stabilné financovanie (ASF</w:t>
            </w:r>
            <w:r w:rsidRPr="00A3389E">
              <w:rPr>
                <w:rFonts w:ascii="Times New Roman" w:hAnsi="Times New Roman" w:cs="Times New Roman"/>
                <w:sz w:val="24"/>
                <w:lang w:val="sk-SK"/>
              </w:rPr>
              <w:t>)</w:t>
            </w:r>
          </w:p>
          <w:p w14:paraId="124FE4A6" w14:textId="77777777" w:rsidR="001E06A3" w:rsidRPr="00A3389E" w:rsidRDefault="001E06A3" w:rsidP="001E06A3">
            <w:pPr>
              <w:pStyle w:val="TableParagraph"/>
              <w:spacing w:after="240"/>
              <w:jc w:val="both"/>
              <w:rPr>
                <w:rFonts w:ascii="Times New Roman" w:eastAsia="Times New Roman" w:hAnsi="Times New Roman" w:cs="Times New Roman"/>
                <w:sz w:val="24"/>
                <w:szCs w:val="24"/>
                <w:lang w:val="sk-SK"/>
              </w:rPr>
            </w:pPr>
            <w:r w:rsidRPr="00A3389E">
              <w:rPr>
                <w:rFonts w:ascii="Times New Roman" w:hAnsi="Times New Roman" w:cs="Times New Roman"/>
                <w:sz w:val="24"/>
                <w:szCs w:val="24"/>
                <w:lang w:val="sk-SK"/>
              </w:rPr>
              <w:t>Šiesta časť hlava IV kapitola 3 CRR.</w:t>
            </w:r>
          </w:p>
          <w:p w14:paraId="1E03653C" w14:textId="203A0E60" w:rsidR="001E06A3" w:rsidRPr="00A3389E" w:rsidRDefault="001E06A3" w:rsidP="001E06A3">
            <w:pPr>
              <w:pStyle w:val="TableParagraph"/>
              <w:spacing w:after="240"/>
              <w:jc w:val="both"/>
              <w:rPr>
                <w:rFonts w:ascii="Times New Roman" w:hAnsi="Times New Roman" w:cs="Times New Roman"/>
                <w:sz w:val="24"/>
                <w:lang w:val="sk-SK"/>
              </w:rPr>
            </w:pPr>
            <w:r w:rsidRPr="00A3389E">
              <w:rPr>
                <w:rFonts w:ascii="Times New Roman" w:hAnsi="Times New Roman" w:cs="Times New Roman"/>
                <w:sz w:val="24"/>
                <w:szCs w:val="24"/>
                <w:lang w:val="sk-SK"/>
              </w:rPr>
              <w:t>Inštitúcie tu zverejňujú súčet položiek poskytujúcich dostupné stabilné financovanie</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súlade so šiestou časťou hlavou IV kapitolou 3 CRR (súčet</w:t>
            </w:r>
            <w:r w:rsidRPr="00A3389E">
              <w:rPr>
                <w:rFonts w:ascii="Times New Roman" w:hAnsi="Times New Roman" w:cs="Times New Roman"/>
                <w:sz w:val="24"/>
                <w:lang w:val="sk-SK"/>
              </w:rPr>
              <w:t xml:space="preserve"> hodnôt</w:t>
            </w:r>
            <w:r w:rsidR="00A3389E">
              <w:rPr>
                <w:rFonts w:ascii="Times New Roman" w:hAnsi="Times New Roman" w:cs="Times New Roman"/>
                <w:sz w:val="24"/>
                <w:lang w:val="sk-SK"/>
              </w:rPr>
              <w:t xml:space="preserve"> v </w:t>
            </w:r>
            <w:r w:rsidRPr="00A3389E">
              <w:rPr>
                <w:rFonts w:ascii="Times New Roman" w:hAnsi="Times New Roman" w:cs="Times New Roman"/>
                <w:sz w:val="24"/>
                <w:szCs w:val="24"/>
                <w:lang w:val="sk-SK"/>
              </w:rPr>
              <w:t>riadkoch 1, 4, 7, 10</w:t>
            </w:r>
            <w:r w:rsidR="00A3389E">
              <w:rPr>
                <w:rFonts w:ascii="Times New Roman" w:hAnsi="Times New Roman" w:cs="Times New Roman"/>
                <w:sz w:val="24"/>
                <w:szCs w:val="24"/>
                <w:lang w:val="sk-SK"/>
              </w:rPr>
              <w:t xml:space="preserve"> a </w:t>
            </w:r>
            <w:r w:rsidRPr="00A3389E">
              <w:rPr>
                <w:rFonts w:ascii="Times New Roman" w:hAnsi="Times New Roman" w:cs="Times New Roman"/>
                <w:sz w:val="24"/>
                <w:szCs w:val="24"/>
                <w:lang w:val="sk-SK"/>
              </w:rPr>
              <w:t>11</w:t>
            </w:r>
            <w:r w:rsidRPr="00A3389E">
              <w:rPr>
                <w:rFonts w:ascii="Times New Roman" w:hAnsi="Times New Roman" w:cs="Times New Roman"/>
                <w:sz w:val="24"/>
                <w:lang w:val="sk-SK"/>
              </w:rPr>
              <w:t xml:space="preserve"> tohto vzoru</w:t>
            </w:r>
            <w:r w:rsidRPr="00A3389E">
              <w:rPr>
                <w:rFonts w:ascii="Times New Roman" w:hAnsi="Times New Roman" w:cs="Times New Roman"/>
                <w:sz w:val="24"/>
                <w:szCs w:val="24"/>
                <w:lang w:val="sk-SK"/>
              </w:rPr>
              <w:t>).</w:t>
            </w:r>
          </w:p>
        </w:tc>
      </w:tr>
      <w:tr w:rsidR="001E06A3" w:rsidRPr="00A3389E" w14:paraId="3B80FD70" w14:textId="77777777" w:rsidTr="00CB5E7D">
        <w:trPr>
          <w:trHeight w:val="567"/>
        </w:trPr>
        <w:tc>
          <w:tcPr>
            <w:tcW w:w="1355" w:type="dxa"/>
            <w:shd w:val="clear" w:color="auto" w:fill="D0CECE"/>
          </w:tcPr>
          <w:p w14:paraId="1AFDA0A0" w14:textId="77777777" w:rsidR="001E06A3" w:rsidRPr="00A3389E" w:rsidRDefault="001E06A3" w:rsidP="001E06A3">
            <w:pPr>
              <w:spacing w:after="240"/>
              <w:rPr>
                <w:rFonts w:ascii="Times New Roman" w:hAnsi="Times New Roman" w:cs="Times New Roman"/>
                <w:color w:val="000000" w:themeColor="text1"/>
                <w:sz w:val="24"/>
                <w:lang w:val="sk-SK"/>
              </w:rPr>
            </w:pPr>
          </w:p>
        </w:tc>
        <w:tc>
          <w:tcPr>
            <w:tcW w:w="7705" w:type="dxa"/>
            <w:shd w:val="clear" w:color="auto" w:fill="D0CECE"/>
          </w:tcPr>
          <w:p w14:paraId="0F07DB9E" w14:textId="77777777" w:rsidR="001E06A3" w:rsidRPr="00A3389E" w:rsidRDefault="001E06A3" w:rsidP="001E06A3">
            <w:pPr>
              <w:spacing w:after="240"/>
              <w:rPr>
                <w:rFonts w:ascii="Times New Roman" w:hAnsi="Times New Roman" w:cs="Times New Roman"/>
                <w:b/>
                <w:color w:val="000000" w:themeColor="text1"/>
                <w:sz w:val="24"/>
                <w:lang w:val="sk-SK"/>
              </w:rPr>
            </w:pPr>
            <w:r w:rsidRPr="00A3389E">
              <w:rPr>
                <w:rFonts w:ascii="Times New Roman" w:hAnsi="Times New Roman" w:cs="Times New Roman"/>
                <w:b/>
                <w:color w:val="000000" w:themeColor="text1"/>
                <w:sz w:val="24"/>
                <w:lang w:val="sk-SK"/>
              </w:rPr>
              <w:t>Položky požadovaného stabilného financovania (RSF)</w:t>
            </w:r>
          </w:p>
        </w:tc>
      </w:tr>
      <w:tr w:rsidR="001E06A3" w:rsidRPr="00A3389E" w14:paraId="30D38A5D" w14:textId="77777777" w:rsidTr="00CB5E7D">
        <w:tc>
          <w:tcPr>
            <w:tcW w:w="1355" w:type="dxa"/>
          </w:tcPr>
          <w:p w14:paraId="5E877EA3"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lastRenderedPageBreak/>
              <w:t>15</w:t>
            </w:r>
          </w:p>
        </w:tc>
        <w:tc>
          <w:tcPr>
            <w:tcW w:w="7705" w:type="dxa"/>
          </w:tcPr>
          <w:p w14:paraId="0F1221F6"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Vysokokvalitné likvidné aktíva (HQLA) spolu</w:t>
            </w:r>
          </w:p>
          <w:p w14:paraId="45AD9FAD" w14:textId="0CF077FF" w:rsidR="001E06A3" w:rsidRPr="00023CBA" w:rsidRDefault="001E06A3" w:rsidP="001E06A3">
            <w:pPr>
              <w:spacing w:after="240"/>
              <w:jc w:val="both"/>
              <w:rPr>
                <w:rFonts w:ascii="Times New Roman" w:hAnsi="Times New Roman" w:cs="Times New Roman"/>
                <w:spacing w:val="-4"/>
                <w:sz w:val="24"/>
                <w:lang w:val="sk-SK"/>
              </w:rPr>
            </w:pPr>
            <w:r w:rsidRPr="00023CBA">
              <w:rPr>
                <w:rFonts w:ascii="Times New Roman" w:hAnsi="Times New Roman" w:cs="Times New Roman"/>
                <w:spacing w:val="-4"/>
                <w:sz w:val="24"/>
                <w:lang w:val="sk-SK"/>
              </w:rPr>
              <w:t>Inštitúcie tu zverejňujú aj zaťažené</w:t>
            </w:r>
            <w:r w:rsidR="00A3389E" w:rsidRPr="00023CBA">
              <w:rPr>
                <w:rFonts w:ascii="Times New Roman" w:hAnsi="Times New Roman" w:cs="Times New Roman"/>
                <w:spacing w:val="-4"/>
                <w:sz w:val="24"/>
                <w:lang w:val="sk-SK"/>
              </w:rPr>
              <w:t xml:space="preserve"> a </w:t>
            </w:r>
            <w:r w:rsidRPr="00023CBA">
              <w:rPr>
                <w:rFonts w:ascii="Times New Roman" w:hAnsi="Times New Roman" w:cs="Times New Roman"/>
                <w:spacing w:val="-4"/>
                <w:sz w:val="24"/>
                <w:lang w:val="sk-SK"/>
              </w:rPr>
              <w:t>nezaťažené vysokokvalitné likvidné aktíva podľa delegovaného nariadenia Komisie (EÚ) 2015/61,</w:t>
            </w:r>
            <w:r w:rsidR="00A3389E" w:rsidRPr="00023CBA">
              <w:rPr>
                <w:rFonts w:ascii="Times New Roman" w:hAnsi="Times New Roman" w:cs="Times New Roman"/>
                <w:spacing w:val="-4"/>
                <w:sz w:val="24"/>
                <w:lang w:val="sk-SK"/>
              </w:rPr>
              <w:t xml:space="preserve"> a </w:t>
            </w:r>
            <w:r w:rsidRPr="00023CBA">
              <w:rPr>
                <w:rFonts w:ascii="Times New Roman" w:hAnsi="Times New Roman" w:cs="Times New Roman"/>
                <w:spacing w:val="-4"/>
                <w:sz w:val="24"/>
                <w:lang w:val="sk-SK"/>
              </w:rPr>
              <w:t>to bez ohľadu na to, či spĺňajú prevádzkové požiadavky uvedené</w:t>
            </w:r>
            <w:r w:rsidR="00A3389E" w:rsidRPr="00023CBA">
              <w:rPr>
                <w:rFonts w:ascii="Times New Roman" w:hAnsi="Times New Roman" w:cs="Times New Roman"/>
                <w:spacing w:val="-4"/>
                <w:sz w:val="24"/>
                <w:lang w:val="sk-SK"/>
              </w:rPr>
              <w:t xml:space="preserve"> v </w:t>
            </w:r>
            <w:r w:rsidRPr="00023CBA">
              <w:rPr>
                <w:rFonts w:ascii="Times New Roman" w:hAnsi="Times New Roman" w:cs="Times New Roman"/>
                <w:spacing w:val="-4"/>
                <w:sz w:val="24"/>
                <w:lang w:val="sk-SK"/>
              </w:rPr>
              <w:t>článku 8 uvedeného delegovaného nariadenia,</w:t>
            </w:r>
            <w:r w:rsidR="00A3389E" w:rsidRPr="00023CBA">
              <w:rPr>
                <w:rFonts w:ascii="Times New Roman" w:hAnsi="Times New Roman" w:cs="Times New Roman"/>
                <w:spacing w:val="-4"/>
                <w:sz w:val="24"/>
                <w:lang w:val="sk-SK"/>
              </w:rPr>
              <w:t xml:space="preserve"> v </w:t>
            </w:r>
            <w:r w:rsidRPr="00023CBA">
              <w:rPr>
                <w:rFonts w:ascii="Times New Roman" w:hAnsi="Times New Roman" w:cs="Times New Roman"/>
                <w:spacing w:val="-4"/>
                <w:sz w:val="24"/>
                <w:lang w:val="sk-SK"/>
              </w:rPr>
              <w:t>súlade</w:t>
            </w:r>
            <w:r w:rsidR="00A3389E" w:rsidRPr="00023CBA">
              <w:rPr>
                <w:rFonts w:ascii="Times New Roman" w:hAnsi="Times New Roman" w:cs="Times New Roman"/>
                <w:spacing w:val="-4"/>
                <w:sz w:val="24"/>
                <w:lang w:val="sk-SK"/>
              </w:rPr>
              <w:t xml:space="preserve"> s </w:t>
            </w:r>
            <w:r w:rsidRPr="00023CBA">
              <w:rPr>
                <w:rFonts w:ascii="Times New Roman" w:hAnsi="Times New Roman" w:cs="Times New Roman"/>
                <w:spacing w:val="-4"/>
                <w:sz w:val="24"/>
                <w:lang w:val="sk-SK"/>
              </w:rPr>
              <w:t>článkami 428r až 428ae CRR.</w:t>
            </w:r>
          </w:p>
        </w:tc>
      </w:tr>
      <w:tr w:rsidR="001E06A3" w:rsidRPr="00A3389E" w14:paraId="3B88071A" w14:textId="77777777" w:rsidTr="00CB5E7D">
        <w:tc>
          <w:tcPr>
            <w:tcW w:w="1355" w:type="dxa"/>
          </w:tcPr>
          <w:p w14:paraId="3E6FD572"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EU-15a</w:t>
            </w:r>
          </w:p>
        </w:tc>
        <w:tc>
          <w:tcPr>
            <w:tcW w:w="7705" w:type="dxa"/>
          </w:tcPr>
          <w:p w14:paraId="635C5113" w14:textId="5AAE167E"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Aktíva zaťažené počas zostatkovej splatnosti jeden rok alebo viac</w:t>
            </w:r>
            <w:r w:rsidR="00A3389E">
              <w:rPr>
                <w:rFonts w:ascii="Times New Roman" w:hAnsi="Times New Roman" w:cs="Times New Roman"/>
                <w:b/>
                <w:sz w:val="24"/>
                <w:lang w:val="sk-SK"/>
              </w:rPr>
              <w:t xml:space="preserve"> v </w:t>
            </w:r>
            <w:r w:rsidRPr="00A3389E">
              <w:rPr>
                <w:rFonts w:ascii="Times New Roman" w:hAnsi="Times New Roman" w:cs="Times New Roman"/>
                <w:b/>
                <w:sz w:val="24"/>
                <w:lang w:val="sk-SK"/>
              </w:rPr>
              <w:t>krycom súbore</w:t>
            </w:r>
          </w:p>
          <w:p w14:paraId="679F3DDC" w14:textId="77777777"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428ag písm. h) CRR.</w:t>
            </w:r>
          </w:p>
          <w:p w14:paraId="631519B4" w14:textId="07F138CF" w:rsidR="001E06A3" w:rsidRPr="00023CBA" w:rsidRDefault="001E06A3" w:rsidP="001E06A3">
            <w:pPr>
              <w:pStyle w:val="TableParagraph"/>
              <w:spacing w:after="240"/>
              <w:jc w:val="both"/>
              <w:rPr>
                <w:rFonts w:ascii="Times New Roman" w:hAnsi="Times New Roman" w:cs="Times New Roman"/>
                <w:spacing w:val="-4"/>
                <w:sz w:val="24"/>
                <w:lang w:val="sk-SK"/>
              </w:rPr>
            </w:pPr>
            <w:r w:rsidRPr="00023CBA">
              <w:rPr>
                <w:rFonts w:ascii="Times New Roman" w:hAnsi="Times New Roman" w:cs="Times New Roman"/>
                <w:spacing w:val="-4"/>
                <w:sz w:val="24"/>
                <w:szCs w:val="24"/>
                <w:lang w:val="sk-SK"/>
              </w:rPr>
              <w:t>Inštitúcie tu zverejňujú sumu peňazí splatných</w:t>
            </w:r>
            <w:r w:rsidR="00A3389E" w:rsidRPr="00023CBA">
              <w:rPr>
                <w:rFonts w:ascii="Times New Roman" w:hAnsi="Times New Roman" w:cs="Times New Roman"/>
                <w:spacing w:val="-4"/>
                <w:sz w:val="24"/>
                <w:szCs w:val="24"/>
                <w:lang w:val="sk-SK"/>
              </w:rPr>
              <w:t xml:space="preserve"> z </w:t>
            </w:r>
            <w:r w:rsidRPr="00023CBA">
              <w:rPr>
                <w:rFonts w:ascii="Times New Roman" w:hAnsi="Times New Roman" w:cs="Times New Roman"/>
                <w:spacing w:val="-4"/>
                <w:sz w:val="24"/>
                <w:szCs w:val="24"/>
                <w:lang w:val="sk-SK"/>
              </w:rPr>
              <w:t>úverov, ktoré nie sú</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stave zlyhania</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súlade</w:t>
            </w:r>
            <w:r w:rsidR="00A3389E" w:rsidRPr="00023CBA">
              <w:rPr>
                <w:rFonts w:ascii="Times New Roman" w:hAnsi="Times New Roman" w:cs="Times New Roman"/>
                <w:spacing w:val="-4"/>
                <w:sz w:val="24"/>
                <w:szCs w:val="24"/>
                <w:lang w:val="sk-SK"/>
              </w:rPr>
              <w:t xml:space="preserve"> s </w:t>
            </w:r>
            <w:r w:rsidRPr="00023CBA">
              <w:rPr>
                <w:rFonts w:ascii="Times New Roman" w:hAnsi="Times New Roman" w:cs="Times New Roman"/>
                <w:spacing w:val="-4"/>
                <w:sz w:val="24"/>
                <w:szCs w:val="24"/>
                <w:lang w:val="sk-SK"/>
              </w:rPr>
              <w:t>článkom 178 CRR,</w:t>
            </w:r>
            <w:r w:rsidR="00A3389E" w:rsidRPr="00023CBA">
              <w:rPr>
                <w:rFonts w:ascii="Times New Roman" w:hAnsi="Times New Roman" w:cs="Times New Roman"/>
                <w:spacing w:val="-4"/>
                <w:sz w:val="24"/>
                <w:szCs w:val="24"/>
                <w:lang w:val="sk-SK"/>
              </w:rPr>
              <w:t xml:space="preserve"> a </w:t>
            </w:r>
            <w:r w:rsidRPr="00023CBA">
              <w:rPr>
                <w:rFonts w:ascii="Times New Roman" w:hAnsi="Times New Roman" w:cs="Times New Roman"/>
                <w:spacing w:val="-4"/>
                <w:sz w:val="24"/>
                <w:szCs w:val="24"/>
                <w:lang w:val="sk-SK"/>
              </w:rPr>
              <w:t>likvidné aktíva, ktoré sú zaťažené počas zostatkovej splatnosti jeden rok alebo viac</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krycom súbore financovanom krytými dlhopismi uvedenými</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článku 52 ods. 4 smernice 2009/65/ES</w:t>
            </w:r>
            <w:r w:rsidRPr="00023CBA">
              <w:rPr>
                <w:rStyle w:val="FootnoteReference"/>
                <w:rFonts w:ascii="Times New Roman" w:eastAsia="Times New Roman" w:hAnsi="Times New Roman" w:cs="Times New Roman"/>
                <w:spacing w:val="-4"/>
                <w:sz w:val="24"/>
                <w:szCs w:val="24"/>
                <w:lang w:val="sk-SK" w:eastAsia="sv-SE"/>
              </w:rPr>
              <w:footnoteReference w:id="27"/>
            </w:r>
            <w:r w:rsidRPr="00023CBA">
              <w:rPr>
                <w:rFonts w:ascii="Times New Roman" w:hAnsi="Times New Roman" w:cs="Times New Roman"/>
                <w:spacing w:val="-4"/>
                <w:sz w:val="24"/>
                <w:szCs w:val="24"/>
                <w:lang w:val="sk-SK"/>
              </w:rPr>
              <w:t xml:space="preserve"> alebo krytými dlhopismi, ktoré spĺňajú požiadavky na prípustnosť pre zaobchádzanie stanovené</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článku 129 ods. 4 alebo 5 CRR.</w:t>
            </w:r>
          </w:p>
        </w:tc>
      </w:tr>
      <w:tr w:rsidR="001E06A3" w:rsidRPr="00A3389E" w14:paraId="0EAD5EF9" w14:textId="77777777" w:rsidTr="00CB5E7D">
        <w:tc>
          <w:tcPr>
            <w:tcW w:w="1355" w:type="dxa"/>
          </w:tcPr>
          <w:p w14:paraId="6C853BD2"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16</w:t>
            </w:r>
          </w:p>
        </w:tc>
        <w:tc>
          <w:tcPr>
            <w:tcW w:w="7705" w:type="dxa"/>
          </w:tcPr>
          <w:p w14:paraId="4E54DD27" w14:textId="06BAD66B"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Vklady držané</w:t>
            </w:r>
            <w:r w:rsidR="00A3389E">
              <w:rPr>
                <w:rFonts w:ascii="Times New Roman" w:hAnsi="Times New Roman" w:cs="Times New Roman"/>
                <w:b/>
                <w:sz w:val="24"/>
                <w:lang w:val="sk-SK"/>
              </w:rPr>
              <w:t xml:space="preserve"> v </w:t>
            </w:r>
            <w:r w:rsidRPr="00A3389E">
              <w:rPr>
                <w:rFonts w:ascii="Times New Roman" w:hAnsi="Times New Roman" w:cs="Times New Roman"/>
                <w:b/>
                <w:sz w:val="24"/>
                <w:lang w:val="sk-SK"/>
              </w:rPr>
              <w:t>iných finančných inštitúciách na prevádzkové účely</w:t>
            </w:r>
          </w:p>
          <w:p w14:paraId="28B4F05E"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Článok 428ad písm. b) CRR.</w:t>
            </w:r>
          </w:p>
          <w:p w14:paraId="40761FC3" w14:textId="1477017B"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sumy peňazí splatných</w:t>
            </w:r>
            <w:r w:rsidR="00A3389E">
              <w:rPr>
                <w:rFonts w:ascii="Times New Roman" w:hAnsi="Times New Roman" w:cs="Times New Roman"/>
                <w:sz w:val="24"/>
                <w:lang w:val="sk-SK"/>
              </w:rPr>
              <w:t xml:space="preserve"> z </w:t>
            </w:r>
            <w:r w:rsidRPr="00A3389E">
              <w:rPr>
                <w:rFonts w:ascii="Times New Roman" w:hAnsi="Times New Roman" w:cs="Times New Roman"/>
                <w:sz w:val="24"/>
                <w:lang w:val="sk-SK"/>
              </w:rPr>
              <w:t>úverov, ktoré nie sú</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stave zlyhania</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178 CRR, ktoré sú prevádzkovými vkladmi podľa delegovaného nariadenia Komisie (EÚ) 2015/61</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ktoré sú potrebné na poskytovanie prevádzkových služieb.</w:t>
            </w:r>
          </w:p>
        </w:tc>
      </w:tr>
      <w:tr w:rsidR="001E06A3" w:rsidRPr="00A3389E" w14:paraId="6BF89581" w14:textId="77777777" w:rsidTr="00023CBA">
        <w:trPr>
          <w:trHeight w:val="790"/>
        </w:trPr>
        <w:tc>
          <w:tcPr>
            <w:tcW w:w="1355" w:type="dxa"/>
          </w:tcPr>
          <w:p w14:paraId="2C2135D9"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17</w:t>
            </w:r>
          </w:p>
        </w:tc>
        <w:tc>
          <w:tcPr>
            <w:tcW w:w="7705" w:type="dxa"/>
          </w:tcPr>
          <w:p w14:paraId="111B92F0" w14:textId="4494ABC9"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Bezproblémové úvery</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cenné papiere:</w:t>
            </w:r>
          </w:p>
          <w:p w14:paraId="69E0B124" w14:textId="0A59A72F" w:rsidR="001E06A3" w:rsidRPr="00023CBA" w:rsidRDefault="001E06A3" w:rsidP="001E06A3">
            <w:pPr>
              <w:spacing w:after="240"/>
              <w:jc w:val="both"/>
              <w:rPr>
                <w:rFonts w:ascii="Times New Roman" w:hAnsi="Times New Roman" w:cs="Times New Roman"/>
                <w:spacing w:val="-4"/>
                <w:sz w:val="24"/>
                <w:szCs w:val="24"/>
                <w:lang w:val="sk-SK"/>
              </w:rPr>
            </w:pPr>
            <w:r w:rsidRPr="00023CBA">
              <w:rPr>
                <w:rFonts w:ascii="Times New Roman" w:hAnsi="Times New Roman" w:cs="Times New Roman"/>
                <w:spacing w:val="-4"/>
                <w:sz w:val="24"/>
                <w:szCs w:val="24"/>
                <w:lang w:val="sk-SK"/>
              </w:rPr>
              <w:t>Inštitúcie tu zverejňujú súčet hodnôt</w:t>
            </w:r>
            <w:r w:rsidR="00A3389E" w:rsidRPr="00023CBA">
              <w:rPr>
                <w:rFonts w:ascii="Times New Roman" w:hAnsi="Times New Roman" w:cs="Times New Roman"/>
                <w:spacing w:val="-4"/>
                <w:sz w:val="24"/>
                <w:szCs w:val="24"/>
                <w:lang w:val="sk-SK"/>
              </w:rPr>
              <w:t xml:space="preserve"> v </w:t>
            </w:r>
            <w:r w:rsidRPr="00023CBA">
              <w:rPr>
                <w:rFonts w:ascii="Times New Roman" w:hAnsi="Times New Roman" w:cs="Times New Roman"/>
                <w:spacing w:val="-4"/>
                <w:sz w:val="24"/>
                <w:szCs w:val="24"/>
                <w:lang w:val="sk-SK"/>
              </w:rPr>
              <w:t>riadkoch 18, 19, 20, 22</w:t>
            </w:r>
            <w:r w:rsidR="00A3389E" w:rsidRPr="00023CBA">
              <w:rPr>
                <w:rFonts w:ascii="Times New Roman" w:hAnsi="Times New Roman" w:cs="Times New Roman"/>
                <w:spacing w:val="-4"/>
                <w:sz w:val="24"/>
                <w:szCs w:val="24"/>
                <w:lang w:val="sk-SK"/>
              </w:rPr>
              <w:t xml:space="preserve"> a </w:t>
            </w:r>
            <w:r w:rsidRPr="00023CBA">
              <w:rPr>
                <w:rFonts w:ascii="Times New Roman" w:hAnsi="Times New Roman" w:cs="Times New Roman"/>
                <w:spacing w:val="-4"/>
                <w:sz w:val="24"/>
                <w:szCs w:val="24"/>
                <w:lang w:val="sk-SK"/>
              </w:rPr>
              <w:t>24 tohto vzoru.</w:t>
            </w:r>
          </w:p>
        </w:tc>
      </w:tr>
      <w:tr w:rsidR="001E06A3" w:rsidRPr="00A3389E" w14:paraId="57AA25FE" w14:textId="77777777" w:rsidTr="00CB5E7D">
        <w:tc>
          <w:tcPr>
            <w:tcW w:w="1355" w:type="dxa"/>
          </w:tcPr>
          <w:p w14:paraId="3A8C777D"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18</w:t>
            </w:r>
          </w:p>
        </w:tc>
        <w:tc>
          <w:tcPr>
            <w:tcW w:w="7705" w:type="dxa"/>
          </w:tcPr>
          <w:p w14:paraId="39D0D98A" w14:textId="3C033CC4"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Bezproblémové transakcie financovania prostredníctvom cenných papierov</w:t>
            </w:r>
            <w:r w:rsidR="00A3389E">
              <w:rPr>
                <w:rFonts w:ascii="Times New Roman" w:hAnsi="Times New Roman" w:cs="Times New Roman"/>
                <w:b/>
                <w:sz w:val="24"/>
                <w:lang w:val="sk-SK"/>
              </w:rPr>
              <w:t xml:space="preserve"> s </w:t>
            </w:r>
            <w:r w:rsidRPr="00A3389E">
              <w:rPr>
                <w:rFonts w:ascii="Times New Roman" w:hAnsi="Times New Roman" w:cs="Times New Roman"/>
                <w:b/>
                <w:sz w:val="24"/>
                <w:lang w:val="sk-SK"/>
              </w:rPr>
              <w:t>finančnými klientmi zabezpečené kolaterálom vo forme HQLA úrovne 1, na ktoré sa uplatňuje 0</w:t>
            </w:r>
            <w:r w:rsidR="00A3389E">
              <w:rPr>
                <w:rFonts w:ascii="Times New Roman" w:hAnsi="Times New Roman" w:cs="Times New Roman"/>
                <w:b/>
                <w:sz w:val="24"/>
                <w:lang w:val="sk-SK"/>
              </w:rPr>
              <w:t> %</w:t>
            </w:r>
            <w:r w:rsidRPr="00A3389E">
              <w:rPr>
                <w:rFonts w:ascii="Times New Roman" w:hAnsi="Times New Roman" w:cs="Times New Roman"/>
                <w:b/>
                <w:sz w:val="24"/>
                <w:lang w:val="sk-SK"/>
              </w:rPr>
              <w:t xml:space="preserve"> haircut</w:t>
            </w:r>
          </w:p>
          <w:p w14:paraId="1C3668E3" w14:textId="49FA4ED7" w:rsidR="001E06A3" w:rsidRPr="00A3389E" w:rsidRDefault="001E06A3" w:rsidP="001E06A3">
            <w:pPr>
              <w:spacing w:after="240"/>
              <w:jc w:val="both"/>
              <w:rPr>
                <w:rFonts w:ascii="Times New Roman" w:hAnsi="Times New Roman" w:cs="Times New Roman"/>
                <w:lang w:val="sk-SK"/>
              </w:rPr>
            </w:pPr>
            <w:r w:rsidRPr="00A3389E">
              <w:rPr>
                <w:rFonts w:ascii="Times New Roman" w:hAnsi="Times New Roman" w:cs="Times New Roman"/>
                <w:sz w:val="24"/>
                <w:lang w:val="sk-SK"/>
              </w:rPr>
              <w:t>Článok 428e, článok 428r ods. 1 písm. g)</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článok 428s písm. b) CRR.</w:t>
            </w:r>
          </w:p>
          <w:p w14:paraId="6E629990" w14:textId="00A09771"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sumu peňazí splatných</w:t>
            </w:r>
            <w:r w:rsidR="00A3389E">
              <w:rPr>
                <w:rFonts w:ascii="Times New Roman" w:hAnsi="Times New Roman" w:cs="Times New Roman"/>
                <w:sz w:val="24"/>
                <w:lang w:val="sk-SK"/>
              </w:rPr>
              <w:t xml:space="preserve"> z </w:t>
            </w:r>
            <w:r w:rsidRPr="00A3389E">
              <w:rPr>
                <w:rFonts w:ascii="Times New Roman" w:hAnsi="Times New Roman" w:cs="Times New Roman"/>
                <w:sz w:val="24"/>
                <w:lang w:val="sk-SK"/>
              </w:rPr>
              <w:t>transakcií financovania prostredníctvom cenných papierov, ktoré nie sú</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stave zlyhania</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178 CRR,</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finančnými klientmi</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ktoré sú zabezpečené kolaterálom vo forme aktív úrovne 1 prípustných pre 0</w:t>
            </w:r>
            <w:r w:rsidR="00A3389E">
              <w:rPr>
                <w:rFonts w:ascii="Times New Roman" w:hAnsi="Times New Roman" w:cs="Times New Roman"/>
                <w:sz w:val="24"/>
                <w:lang w:val="sk-SK"/>
              </w:rPr>
              <w:t> %</w:t>
            </w:r>
            <w:r w:rsidRPr="00A3389E">
              <w:rPr>
                <w:rFonts w:ascii="Times New Roman" w:hAnsi="Times New Roman" w:cs="Times New Roman"/>
                <w:sz w:val="24"/>
                <w:lang w:val="sk-SK"/>
              </w:rPr>
              <w:t xml:space="preserve"> haircut podľa delegovaného nariadenia Komisie (EÚ) 2015/61.</w:t>
            </w:r>
          </w:p>
        </w:tc>
      </w:tr>
      <w:tr w:rsidR="001E06A3" w:rsidRPr="00A3389E" w14:paraId="2BD49200" w14:textId="77777777" w:rsidTr="00CB5E7D">
        <w:tc>
          <w:tcPr>
            <w:tcW w:w="1355" w:type="dxa"/>
          </w:tcPr>
          <w:p w14:paraId="358064B4"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lastRenderedPageBreak/>
              <w:t>19</w:t>
            </w:r>
          </w:p>
        </w:tc>
        <w:tc>
          <w:tcPr>
            <w:tcW w:w="7705" w:type="dxa"/>
          </w:tcPr>
          <w:p w14:paraId="19A428A8" w14:textId="426FA197" w:rsidR="001E06A3" w:rsidRPr="00A3389E" w:rsidRDefault="001E06A3" w:rsidP="001E06A3">
            <w:pPr>
              <w:pStyle w:val="TableParagraph"/>
              <w:spacing w:after="240"/>
              <w:ind w:right="96"/>
              <w:jc w:val="both"/>
              <w:rPr>
                <w:rFonts w:ascii="Times New Roman" w:hAnsi="Times New Roman" w:cs="Times New Roman"/>
                <w:sz w:val="24"/>
                <w:szCs w:val="24"/>
                <w:lang w:val="sk-SK"/>
              </w:rPr>
            </w:pPr>
            <w:r w:rsidRPr="00A3389E">
              <w:rPr>
                <w:rFonts w:ascii="Times New Roman" w:hAnsi="Times New Roman" w:cs="Times New Roman"/>
                <w:b/>
                <w:sz w:val="24"/>
                <w:szCs w:val="24"/>
                <w:lang w:val="sk-SK"/>
              </w:rPr>
              <w:t>Bezproblémové transakcie financovania prostredníctvom cenných papierov</w:t>
            </w:r>
            <w:r w:rsidR="00A3389E">
              <w:rPr>
                <w:rFonts w:ascii="Times New Roman" w:hAnsi="Times New Roman" w:cs="Times New Roman"/>
                <w:b/>
                <w:sz w:val="24"/>
                <w:szCs w:val="24"/>
                <w:lang w:val="sk-SK"/>
              </w:rPr>
              <w:t xml:space="preserve"> s </w:t>
            </w:r>
            <w:r w:rsidRPr="00A3389E">
              <w:rPr>
                <w:rFonts w:ascii="Times New Roman" w:hAnsi="Times New Roman" w:cs="Times New Roman"/>
                <w:b/>
                <w:sz w:val="24"/>
                <w:szCs w:val="24"/>
                <w:lang w:val="sk-SK"/>
              </w:rPr>
              <w:t>finančnými klientmi zabezpečené kolaterálom vo forme iných aktív</w:t>
            </w:r>
            <w:r w:rsidR="00A3389E">
              <w:rPr>
                <w:rFonts w:ascii="Times New Roman" w:hAnsi="Times New Roman" w:cs="Times New Roman"/>
                <w:b/>
                <w:sz w:val="24"/>
                <w:szCs w:val="24"/>
                <w:lang w:val="sk-SK"/>
              </w:rPr>
              <w:t xml:space="preserve"> a </w:t>
            </w:r>
            <w:r w:rsidRPr="00A3389E">
              <w:rPr>
                <w:rFonts w:ascii="Times New Roman" w:hAnsi="Times New Roman" w:cs="Times New Roman"/>
                <w:b/>
                <w:sz w:val="24"/>
                <w:szCs w:val="24"/>
                <w:lang w:val="sk-SK"/>
              </w:rPr>
              <w:t>iných úverov</w:t>
            </w:r>
            <w:r w:rsidR="00A3389E">
              <w:rPr>
                <w:rFonts w:ascii="Times New Roman" w:hAnsi="Times New Roman" w:cs="Times New Roman"/>
                <w:b/>
                <w:sz w:val="24"/>
                <w:szCs w:val="24"/>
                <w:lang w:val="sk-SK"/>
              </w:rPr>
              <w:t xml:space="preserve"> a </w:t>
            </w:r>
            <w:r w:rsidRPr="00A3389E">
              <w:rPr>
                <w:rFonts w:ascii="Times New Roman" w:hAnsi="Times New Roman" w:cs="Times New Roman"/>
                <w:b/>
                <w:sz w:val="24"/>
                <w:szCs w:val="24"/>
                <w:lang w:val="sk-SK"/>
              </w:rPr>
              <w:t>preddavkov poskytnutých finančným inštitúciám</w:t>
            </w:r>
          </w:p>
          <w:p w14:paraId="49B871A6" w14:textId="6D197FCD" w:rsidR="001E06A3" w:rsidRPr="00A3389E" w:rsidRDefault="001E06A3" w:rsidP="001E06A3">
            <w:pPr>
              <w:pStyle w:val="TableParagraph"/>
              <w:spacing w:after="240"/>
              <w:ind w:right="96"/>
              <w:jc w:val="both"/>
              <w:rPr>
                <w:rFonts w:ascii="Times New Roman" w:hAnsi="Times New Roman" w:cs="Times New Roman"/>
                <w:sz w:val="24"/>
                <w:lang w:val="sk-SK"/>
              </w:rPr>
            </w:pPr>
            <w:r w:rsidRPr="00A3389E">
              <w:rPr>
                <w:rFonts w:ascii="Times New Roman" w:hAnsi="Times New Roman" w:cs="Times New Roman"/>
                <w:sz w:val="24"/>
                <w:szCs w:val="24"/>
                <w:lang w:val="sk-SK"/>
              </w:rPr>
              <w:t>Článok 428s písm. b), článok 428ad písm. d), článok 428ah ods. 1 písm. b)</w:t>
            </w:r>
            <w:r w:rsidR="00A3389E">
              <w:rPr>
                <w:rFonts w:ascii="Times New Roman" w:hAnsi="Times New Roman" w:cs="Times New Roman"/>
                <w:sz w:val="24"/>
                <w:szCs w:val="24"/>
                <w:lang w:val="sk-SK"/>
              </w:rPr>
              <w:t xml:space="preserve"> a </w:t>
            </w:r>
            <w:r w:rsidRPr="00A3389E">
              <w:rPr>
                <w:rFonts w:ascii="Times New Roman" w:hAnsi="Times New Roman" w:cs="Times New Roman"/>
                <w:sz w:val="24"/>
                <w:szCs w:val="24"/>
                <w:lang w:val="sk-SK"/>
              </w:rPr>
              <w:t>článok 428v písm. a) CRR.</w:t>
            </w:r>
          </w:p>
          <w:p w14:paraId="43ECC51F"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súčet týchto položiek:</w:t>
            </w:r>
          </w:p>
          <w:p w14:paraId="6D530B9A" w14:textId="121DAEBC"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suma peňazí splatných</w:t>
            </w:r>
            <w:r>
              <w:rPr>
                <w:rFonts w:ascii="Times New Roman" w:hAnsi="Times New Roman"/>
                <w:sz w:val="24"/>
                <w:lang w:val="sk-SK"/>
              </w:rPr>
              <w:t xml:space="preserve"> z </w:t>
            </w:r>
            <w:r w:rsidR="001E06A3" w:rsidRPr="00A3389E">
              <w:rPr>
                <w:rFonts w:ascii="Times New Roman" w:hAnsi="Times New Roman"/>
                <w:sz w:val="24"/>
                <w:lang w:val="sk-SK"/>
              </w:rPr>
              <w:t>transakcií financovania prostredníctvom cenných papierov, ktoré nie sú</w:t>
            </w:r>
            <w:r>
              <w:rPr>
                <w:rFonts w:ascii="Times New Roman" w:hAnsi="Times New Roman"/>
                <w:sz w:val="24"/>
                <w:lang w:val="sk-SK"/>
              </w:rPr>
              <w:t xml:space="preserve"> v </w:t>
            </w:r>
            <w:r w:rsidR="001E06A3" w:rsidRPr="00A3389E">
              <w:rPr>
                <w:rFonts w:ascii="Times New Roman" w:hAnsi="Times New Roman"/>
                <w:sz w:val="24"/>
                <w:lang w:val="sk-SK"/>
              </w:rPr>
              <w:t>stave zlyhania</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178 CRR,</w:t>
            </w:r>
            <w:r>
              <w:rPr>
                <w:rFonts w:ascii="Times New Roman" w:hAnsi="Times New Roman"/>
                <w:sz w:val="24"/>
                <w:lang w:val="sk-SK"/>
              </w:rPr>
              <w:t xml:space="preserve"> s </w:t>
            </w:r>
            <w:r w:rsidR="001E06A3" w:rsidRPr="00A3389E">
              <w:rPr>
                <w:rFonts w:ascii="Times New Roman" w:hAnsi="Times New Roman"/>
                <w:sz w:val="24"/>
                <w:lang w:val="sk-SK"/>
              </w:rPr>
              <w:t>finančnými klientmi</w:t>
            </w:r>
            <w:r>
              <w:rPr>
                <w:rFonts w:ascii="Times New Roman" w:hAnsi="Times New Roman"/>
                <w:sz w:val="24"/>
                <w:lang w:val="sk-SK"/>
              </w:rPr>
              <w:t xml:space="preserve"> a </w:t>
            </w:r>
            <w:r w:rsidR="001E06A3" w:rsidRPr="00A3389E">
              <w:rPr>
                <w:rFonts w:ascii="Times New Roman" w:hAnsi="Times New Roman"/>
                <w:sz w:val="24"/>
                <w:lang w:val="sk-SK"/>
              </w:rPr>
              <w:t>ktoré sú zabezpečené kolaterálom vo forme aktív iných než aktíva úrovne 1 prípustné pre 0</w:t>
            </w:r>
            <w:r>
              <w:rPr>
                <w:rFonts w:ascii="Times New Roman" w:hAnsi="Times New Roman"/>
                <w:sz w:val="24"/>
                <w:lang w:val="sk-SK"/>
              </w:rPr>
              <w:t> %</w:t>
            </w:r>
            <w:r w:rsidR="001E06A3" w:rsidRPr="00A3389E">
              <w:rPr>
                <w:rFonts w:ascii="Times New Roman" w:hAnsi="Times New Roman"/>
                <w:sz w:val="24"/>
                <w:lang w:val="sk-SK"/>
              </w:rPr>
              <w:t xml:space="preserve"> haircut podľa delegovaného nariadenia Komisie (EÚ) 2015/61; a</w:t>
            </w:r>
          </w:p>
          <w:p w14:paraId="25F10EE1" w14:textId="30537E39"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023CBA">
              <w:rPr>
                <w:rFonts w:ascii="Times New Roman" w:hAnsi="Times New Roman"/>
                <w:spacing w:val="-6"/>
                <w:sz w:val="24"/>
                <w:lang w:val="sk-SK"/>
              </w:rPr>
              <w:t>suma peňazí splatných</w:t>
            </w:r>
            <w:r w:rsidRPr="00023CBA">
              <w:rPr>
                <w:rFonts w:ascii="Times New Roman" w:hAnsi="Times New Roman"/>
                <w:spacing w:val="-6"/>
                <w:sz w:val="24"/>
                <w:lang w:val="sk-SK"/>
              </w:rPr>
              <w:t xml:space="preserve"> z </w:t>
            </w:r>
            <w:r w:rsidR="001E06A3" w:rsidRPr="00023CBA">
              <w:rPr>
                <w:rFonts w:ascii="Times New Roman" w:hAnsi="Times New Roman"/>
                <w:spacing w:val="-6"/>
                <w:sz w:val="24"/>
                <w:lang w:val="sk-SK"/>
              </w:rPr>
              <w:t>iných úverov</w:t>
            </w:r>
            <w:r w:rsidRPr="00023CBA">
              <w:rPr>
                <w:rFonts w:ascii="Times New Roman" w:hAnsi="Times New Roman"/>
                <w:spacing w:val="-6"/>
                <w:sz w:val="24"/>
                <w:lang w:val="sk-SK"/>
              </w:rPr>
              <w:t xml:space="preserve"> a </w:t>
            </w:r>
            <w:r w:rsidR="001E06A3" w:rsidRPr="00023CBA">
              <w:rPr>
                <w:rFonts w:ascii="Times New Roman" w:hAnsi="Times New Roman"/>
                <w:spacing w:val="-6"/>
                <w:sz w:val="24"/>
                <w:lang w:val="sk-SK"/>
              </w:rPr>
              <w:t>preddavkov, ktoré nie sú</w:t>
            </w:r>
            <w:r w:rsidRPr="00023CBA">
              <w:rPr>
                <w:rFonts w:ascii="Times New Roman" w:hAnsi="Times New Roman"/>
                <w:spacing w:val="-6"/>
                <w:sz w:val="24"/>
                <w:lang w:val="sk-SK"/>
              </w:rPr>
              <w:t xml:space="preserve"> v </w:t>
            </w:r>
            <w:r w:rsidR="001E06A3" w:rsidRPr="00023CBA">
              <w:rPr>
                <w:rFonts w:ascii="Times New Roman" w:hAnsi="Times New Roman"/>
                <w:spacing w:val="-6"/>
                <w:sz w:val="24"/>
                <w:lang w:val="sk-SK"/>
              </w:rPr>
              <w:t>stave zlyhania</w:t>
            </w:r>
            <w:r w:rsidRPr="00023CBA">
              <w:rPr>
                <w:rFonts w:ascii="Times New Roman" w:hAnsi="Times New Roman"/>
                <w:spacing w:val="-6"/>
                <w:sz w:val="24"/>
                <w:lang w:val="sk-SK"/>
              </w:rPr>
              <w:t xml:space="preserve"> v </w:t>
            </w:r>
            <w:r w:rsidR="001E06A3" w:rsidRPr="00023CBA">
              <w:rPr>
                <w:rFonts w:ascii="Times New Roman" w:hAnsi="Times New Roman"/>
                <w:spacing w:val="-6"/>
                <w:sz w:val="24"/>
                <w:lang w:val="sk-SK"/>
              </w:rPr>
              <w:t>súlade</w:t>
            </w:r>
            <w:r w:rsidRPr="00023CBA">
              <w:rPr>
                <w:rFonts w:ascii="Times New Roman" w:hAnsi="Times New Roman"/>
                <w:spacing w:val="-6"/>
                <w:sz w:val="24"/>
                <w:lang w:val="sk-SK"/>
              </w:rPr>
              <w:t xml:space="preserve"> s </w:t>
            </w:r>
            <w:r w:rsidR="001E06A3" w:rsidRPr="00023CBA">
              <w:rPr>
                <w:rFonts w:ascii="Times New Roman" w:hAnsi="Times New Roman"/>
                <w:spacing w:val="-6"/>
                <w:sz w:val="24"/>
                <w:lang w:val="sk-SK"/>
              </w:rPr>
              <w:t>článkom 178 CRR, finančným klientom</w:t>
            </w:r>
            <w:r w:rsidRPr="00023CBA">
              <w:rPr>
                <w:rFonts w:ascii="Times New Roman" w:hAnsi="Times New Roman"/>
                <w:spacing w:val="-6"/>
                <w:sz w:val="24"/>
                <w:lang w:val="sk-SK"/>
              </w:rPr>
              <w:t xml:space="preserve"> v </w:t>
            </w:r>
            <w:r w:rsidR="001E06A3" w:rsidRPr="00023CBA">
              <w:rPr>
                <w:rFonts w:ascii="Times New Roman" w:hAnsi="Times New Roman"/>
                <w:spacing w:val="-6"/>
                <w:sz w:val="24"/>
                <w:lang w:val="sk-SK"/>
              </w:rPr>
              <w:t>súlade</w:t>
            </w:r>
            <w:r w:rsidRPr="00023CBA">
              <w:rPr>
                <w:rFonts w:ascii="Times New Roman" w:hAnsi="Times New Roman"/>
                <w:spacing w:val="-6"/>
                <w:sz w:val="24"/>
                <w:lang w:val="sk-SK"/>
              </w:rPr>
              <w:t xml:space="preserve"> s </w:t>
            </w:r>
            <w:r w:rsidR="001E06A3" w:rsidRPr="00023CBA">
              <w:rPr>
                <w:rFonts w:ascii="Times New Roman" w:hAnsi="Times New Roman"/>
                <w:spacing w:val="-6"/>
                <w:sz w:val="24"/>
                <w:lang w:val="sk-SK"/>
              </w:rPr>
              <w:t>článkom 428v písm. a)</w:t>
            </w:r>
            <w:r w:rsidRPr="00023CBA">
              <w:rPr>
                <w:rFonts w:ascii="Times New Roman" w:hAnsi="Times New Roman"/>
                <w:spacing w:val="-6"/>
                <w:sz w:val="24"/>
                <w:lang w:val="sk-SK"/>
              </w:rPr>
              <w:t xml:space="preserve"> a </w:t>
            </w:r>
            <w:r w:rsidR="001E06A3" w:rsidRPr="00023CBA">
              <w:rPr>
                <w:rFonts w:ascii="Times New Roman" w:hAnsi="Times New Roman"/>
                <w:spacing w:val="-6"/>
                <w:sz w:val="24"/>
                <w:lang w:val="sk-SK"/>
              </w:rPr>
              <w:t>článkom 428ad písm. d) bodom iii) CRR.</w:t>
            </w:r>
          </w:p>
        </w:tc>
      </w:tr>
      <w:tr w:rsidR="001E06A3" w:rsidRPr="00A3389E" w14:paraId="23D883F8" w14:textId="77777777" w:rsidTr="00CB5E7D">
        <w:tc>
          <w:tcPr>
            <w:tcW w:w="1355" w:type="dxa"/>
          </w:tcPr>
          <w:p w14:paraId="14F1CFB0"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20</w:t>
            </w:r>
          </w:p>
        </w:tc>
        <w:tc>
          <w:tcPr>
            <w:tcW w:w="7705" w:type="dxa"/>
          </w:tcPr>
          <w:p w14:paraId="1BB94392" w14:textId="1A30C34D"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Bezproblémové úvery nefinančným podnikovým klientom, úvery retailovým klientom</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malým podnikateľom</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úvery štátom</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subjektom verejného sektora,</w:t>
            </w:r>
            <w:r w:rsidR="00A3389E">
              <w:rPr>
                <w:rFonts w:ascii="Times New Roman" w:hAnsi="Times New Roman" w:cs="Times New Roman"/>
                <w:b/>
                <w:sz w:val="24"/>
                <w:lang w:val="sk-SK"/>
              </w:rPr>
              <w:t xml:space="preserve"> z </w:t>
            </w:r>
            <w:r w:rsidRPr="00A3389E">
              <w:rPr>
                <w:rFonts w:ascii="Times New Roman" w:hAnsi="Times New Roman" w:cs="Times New Roman"/>
                <w:b/>
                <w:sz w:val="24"/>
                <w:lang w:val="sk-SK"/>
              </w:rPr>
              <w:t>čoho:</w:t>
            </w:r>
          </w:p>
          <w:p w14:paraId="2D61E718" w14:textId="18F8346D"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Článok 428ad písm. c), článok 428af</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článok 428ag písm. c) CRR.</w:t>
            </w:r>
          </w:p>
          <w:p w14:paraId="1FEB6042" w14:textId="6BDA452E" w:rsidR="001E06A3" w:rsidRPr="00023CBA" w:rsidRDefault="001E06A3" w:rsidP="001E06A3">
            <w:pPr>
              <w:spacing w:after="240"/>
              <w:jc w:val="both"/>
              <w:rPr>
                <w:rFonts w:ascii="Times New Roman" w:hAnsi="Times New Roman"/>
                <w:spacing w:val="-6"/>
                <w:sz w:val="24"/>
                <w:lang w:val="sk-SK"/>
              </w:rPr>
            </w:pPr>
            <w:r w:rsidRPr="00023CBA">
              <w:rPr>
                <w:rFonts w:ascii="Times New Roman" w:hAnsi="Times New Roman"/>
                <w:spacing w:val="-6"/>
                <w:sz w:val="24"/>
                <w:lang w:val="sk-SK"/>
              </w:rPr>
              <w:t>Inštitúcie tu zverejňujú sumy peňazí splatných</w:t>
            </w:r>
            <w:r w:rsidR="00A3389E" w:rsidRPr="00023CBA">
              <w:rPr>
                <w:rFonts w:ascii="Times New Roman" w:hAnsi="Times New Roman"/>
                <w:spacing w:val="-6"/>
                <w:sz w:val="24"/>
                <w:lang w:val="sk-SK"/>
              </w:rPr>
              <w:t xml:space="preserve"> z </w:t>
            </w:r>
            <w:r w:rsidRPr="00023CBA">
              <w:rPr>
                <w:rFonts w:ascii="Times New Roman" w:hAnsi="Times New Roman"/>
                <w:spacing w:val="-6"/>
                <w:sz w:val="24"/>
                <w:lang w:val="sk-SK"/>
              </w:rPr>
              <w:t>úverov, ktoré nie sú</w:t>
            </w:r>
            <w:r w:rsidR="00A3389E" w:rsidRPr="00023CBA">
              <w:rPr>
                <w:rFonts w:ascii="Times New Roman" w:hAnsi="Times New Roman"/>
                <w:spacing w:val="-6"/>
                <w:sz w:val="24"/>
                <w:lang w:val="sk-SK"/>
              </w:rPr>
              <w:t xml:space="preserve"> v </w:t>
            </w:r>
            <w:r w:rsidRPr="00023CBA">
              <w:rPr>
                <w:rFonts w:ascii="Times New Roman" w:hAnsi="Times New Roman"/>
                <w:spacing w:val="-6"/>
                <w:sz w:val="24"/>
                <w:lang w:val="sk-SK"/>
              </w:rPr>
              <w:t>stave zlyhania</w:t>
            </w:r>
            <w:r w:rsidR="00A3389E" w:rsidRPr="00023CBA">
              <w:rPr>
                <w:rFonts w:ascii="Times New Roman" w:hAnsi="Times New Roman"/>
                <w:spacing w:val="-6"/>
                <w:sz w:val="24"/>
                <w:lang w:val="sk-SK"/>
              </w:rPr>
              <w:t xml:space="preserve"> v </w:t>
            </w:r>
            <w:r w:rsidRPr="00023CBA">
              <w:rPr>
                <w:rFonts w:ascii="Times New Roman" w:hAnsi="Times New Roman"/>
                <w:spacing w:val="-6"/>
                <w:sz w:val="24"/>
                <w:lang w:val="sk-SK"/>
              </w:rPr>
              <w:t>súlade</w:t>
            </w:r>
            <w:r w:rsidR="00A3389E" w:rsidRPr="00023CBA">
              <w:rPr>
                <w:rFonts w:ascii="Times New Roman" w:hAnsi="Times New Roman"/>
                <w:spacing w:val="-6"/>
                <w:sz w:val="24"/>
                <w:lang w:val="sk-SK"/>
              </w:rPr>
              <w:t xml:space="preserve"> s </w:t>
            </w:r>
            <w:r w:rsidRPr="00023CBA">
              <w:rPr>
                <w:rFonts w:ascii="Times New Roman" w:hAnsi="Times New Roman"/>
                <w:spacing w:val="-6"/>
                <w:sz w:val="24"/>
                <w:lang w:val="sk-SK"/>
              </w:rPr>
              <w:t>článkom 178 CRR, ktoré sú úvermi na nehnuteľný majetok určený na bývanie plne zaručenými oprávneným poskytovateľom zabezpečenia, ako sa uvádza</w:t>
            </w:r>
            <w:r w:rsidR="00A3389E" w:rsidRPr="00023CBA">
              <w:rPr>
                <w:rFonts w:ascii="Times New Roman" w:hAnsi="Times New Roman"/>
                <w:spacing w:val="-6"/>
                <w:sz w:val="24"/>
                <w:lang w:val="sk-SK"/>
              </w:rPr>
              <w:t xml:space="preserve"> v </w:t>
            </w:r>
            <w:r w:rsidRPr="00023CBA">
              <w:rPr>
                <w:rFonts w:ascii="Times New Roman" w:hAnsi="Times New Roman"/>
                <w:spacing w:val="-6"/>
                <w:sz w:val="24"/>
                <w:lang w:val="sk-SK"/>
              </w:rPr>
              <w:t>článku 129 ods. 1 písm. e) CRR, alebo úvermi</w:t>
            </w:r>
            <w:r w:rsidR="00A3389E" w:rsidRPr="00023CBA">
              <w:rPr>
                <w:rFonts w:ascii="Times New Roman" w:hAnsi="Times New Roman"/>
                <w:spacing w:val="-6"/>
                <w:sz w:val="24"/>
                <w:lang w:val="sk-SK"/>
              </w:rPr>
              <w:t xml:space="preserve"> s </w:t>
            </w:r>
            <w:r w:rsidRPr="00023CBA">
              <w:rPr>
                <w:rFonts w:ascii="Times New Roman" w:hAnsi="Times New Roman"/>
                <w:spacing w:val="-6"/>
                <w:sz w:val="24"/>
                <w:lang w:val="sk-SK"/>
              </w:rPr>
              <w:t>výnimkou úverov poskytnutých finančným klientom</w:t>
            </w:r>
            <w:r w:rsidR="00A3389E" w:rsidRPr="00023CBA">
              <w:rPr>
                <w:rFonts w:ascii="Times New Roman" w:hAnsi="Times New Roman"/>
                <w:spacing w:val="-6"/>
                <w:sz w:val="24"/>
                <w:lang w:val="sk-SK"/>
              </w:rPr>
              <w:t xml:space="preserve"> a </w:t>
            </w:r>
            <w:r w:rsidRPr="00023CBA">
              <w:rPr>
                <w:rFonts w:ascii="Times New Roman" w:hAnsi="Times New Roman"/>
                <w:spacing w:val="-6"/>
                <w:sz w:val="24"/>
                <w:lang w:val="sk-SK"/>
              </w:rPr>
              <w:t>úverov uvedených</w:t>
            </w:r>
            <w:r w:rsidR="00A3389E" w:rsidRPr="00023CBA">
              <w:rPr>
                <w:rFonts w:ascii="Times New Roman" w:hAnsi="Times New Roman"/>
                <w:spacing w:val="-6"/>
                <w:sz w:val="24"/>
                <w:lang w:val="sk-SK"/>
              </w:rPr>
              <w:t xml:space="preserve"> v </w:t>
            </w:r>
            <w:r w:rsidRPr="00023CBA">
              <w:rPr>
                <w:rFonts w:ascii="Times New Roman" w:hAnsi="Times New Roman"/>
                <w:spacing w:val="-6"/>
                <w:sz w:val="24"/>
                <w:lang w:val="sk-SK"/>
              </w:rPr>
              <w:t>článkoch 428r až 428ad</w:t>
            </w:r>
            <w:r w:rsidR="00A3389E" w:rsidRPr="00023CBA">
              <w:rPr>
                <w:rFonts w:ascii="Times New Roman" w:hAnsi="Times New Roman"/>
                <w:spacing w:val="-6"/>
                <w:sz w:val="24"/>
                <w:lang w:val="sk-SK"/>
              </w:rPr>
              <w:t xml:space="preserve"> s </w:t>
            </w:r>
            <w:r w:rsidRPr="00023CBA">
              <w:rPr>
                <w:rFonts w:ascii="Times New Roman" w:hAnsi="Times New Roman"/>
                <w:spacing w:val="-6"/>
                <w:sz w:val="24"/>
                <w:lang w:val="sk-SK"/>
              </w:rPr>
              <w:t>výnimkou článku 428ad písm. c) CRR, bez ohľadu na rizikové váhy priradené týmto úverom. Táto hodnota nezahŕňa expozície zabezpečené hypotékami na nehnuteľný majetok určený na bývanie.</w:t>
            </w:r>
          </w:p>
        </w:tc>
      </w:tr>
      <w:tr w:rsidR="001E06A3" w:rsidRPr="00A3389E" w14:paraId="640960C5" w14:textId="77777777" w:rsidTr="00CB5E7D">
        <w:tc>
          <w:tcPr>
            <w:tcW w:w="1355" w:type="dxa"/>
          </w:tcPr>
          <w:p w14:paraId="444B7937"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21</w:t>
            </w:r>
          </w:p>
        </w:tc>
        <w:tc>
          <w:tcPr>
            <w:tcW w:w="7705" w:type="dxa"/>
          </w:tcPr>
          <w:p w14:paraId="1E760EB2" w14:textId="01AE4E5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S rizikovou váhou nižšou alebo rovnajúcou sa 35</w:t>
            </w:r>
            <w:r w:rsidR="00A3389E">
              <w:rPr>
                <w:rFonts w:ascii="Times New Roman" w:hAnsi="Times New Roman" w:cs="Times New Roman"/>
                <w:b/>
                <w:sz w:val="24"/>
                <w:lang w:val="sk-SK"/>
              </w:rPr>
              <w:t> %</w:t>
            </w:r>
            <w:r w:rsidRPr="00A3389E">
              <w:rPr>
                <w:rFonts w:ascii="Times New Roman" w:hAnsi="Times New Roman" w:cs="Times New Roman"/>
                <w:b/>
                <w:sz w:val="24"/>
                <w:lang w:val="sk-SK"/>
              </w:rPr>
              <w:t xml:space="preserve"> podľa štandardizovaného prístupu Bazilej II pre kreditné riziko</w:t>
            </w:r>
          </w:p>
          <w:p w14:paraId="321E82BB" w14:textId="321A549F" w:rsidR="001E06A3" w:rsidRPr="00A3389E" w:rsidRDefault="001E06A3" w:rsidP="001E06A3">
            <w:pPr>
              <w:pStyle w:val="TableParagraph"/>
              <w:spacing w:after="240"/>
              <w:ind w:right="99"/>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428ad písm. c)</w:t>
            </w:r>
            <w:r w:rsidR="00A3389E">
              <w:rPr>
                <w:rFonts w:ascii="Times New Roman" w:hAnsi="Times New Roman" w:cs="Times New Roman"/>
                <w:sz w:val="24"/>
                <w:szCs w:val="24"/>
                <w:lang w:val="sk-SK"/>
              </w:rPr>
              <w:t xml:space="preserve"> a </w:t>
            </w:r>
            <w:r w:rsidRPr="00A3389E">
              <w:rPr>
                <w:rFonts w:ascii="Times New Roman" w:hAnsi="Times New Roman" w:cs="Times New Roman"/>
                <w:sz w:val="24"/>
                <w:szCs w:val="24"/>
                <w:lang w:val="sk-SK"/>
              </w:rPr>
              <w:t>článok 428af CRR.</w:t>
            </w:r>
          </w:p>
          <w:p w14:paraId="5789FF06" w14:textId="771B830F"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tie hodnoty úverov</w:t>
            </w:r>
            <w:r w:rsidR="00A3389E">
              <w:rPr>
                <w:rFonts w:ascii="Times New Roman" w:hAnsi="Times New Roman" w:cs="Times New Roman"/>
                <w:sz w:val="24"/>
                <w:lang w:val="sk-SK"/>
              </w:rPr>
              <w:t xml:space="preserve"> z </w:t>
            </w:r>
            <w:r w:rsidRPr="00A3389E">
              <w:rPr>
                <w:rFonts w:ascii="Times New Roman" w:hAnsi="Times New Roman" w:cs="Times New Roman"/>
                <w:sz w:val="24"/>
                <w:lang w:val="sk-SK"/>
              </w:rPr>
              <w:t>riadku 21 tohto vzoru, ktorým je</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treťou časťou hlavou II kapitolou 2 CRR priradená riziková váha nižšia alebo rovnajúca sa 35</w:t>
            </w:r>
            <w:r w:rsidR="00A3389E">
              <w:rPr>
                <w:rFonts w:ascii="Times New Roman" w:hAnsi="Times New Roman" w:cs="Times New Roman"/>
                <w:sz w:val="24"/>
                <w:lang w:val="sk-SK"/>
              </w:rPr>
              <w:t> %</w:t>
            </w:r>
            <w:r w:rsidRPr="00A3389E">
              <w:rPr>
                <w:rFonts w:ascii="Times New Roman" w:hAnsi="Times New Roman" w:cs="Times New Roman"/>
                <w:sz w:val="24"/>
                <w:lang w:val="sk-SK"/>
              </w:rPr>
              <w:t>.</w:t>
            </w:r>
          </w:p>
        </w:tc>
      </w:tr>
      <w:tr w:rsidR="001E06A3" w:rsidRPr="00A3389E" w14:paraId="752E7570" w14:textId="77777777" w:rsidTr="00CB5E7D">
        <w:tc>
          <w:tcPr>
            <w:tcW w:w="1355" w:type="dxa"/>
          </w:tcPr>
          <w:p w14:paraId="56D24C5E"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22</w:t>
            </w:r>
          </w:p>
        </w:tc>
        <w:tc>
          <w:tcPr>
            <w:tcW w:w="7705" w:type="dxa"/>
          </w:tcPr>
          <w:p w14:paraId="5CC89414" w14:textId="739BA590"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Poskytovanie hypotekárnych úverov na bývanie,</w:t>
            </w:r>
            <w:r w:rsidR="00A3389E">
              <w:rPr>
                <w:rFonts w:ascii="Times New Roman" w:hAnsi="Times New Roman" w:cs="Times New Roman"/>
                <w:b/>
                <w:sz w:val="24"/>
                <w:lang w:val="sk-SK"/>
              </w:rPr>
              <w:t xml:space="preserve"> z </w:t>
            </w:r>
            <w:r w:rsidRPr="00A3389E">
              <w:rPr>
                <w:rFonts w:ascii="Times New Roman" w:hAnsi="Times New Roman" w:cs="Times New Roman"/>
                <w:b/>
                <w:sz w:val="24"/>
                <w:lang w:val="sk-SK"/>
              </w:rPr>
              <w:t>čoho:</w:t>
            </w:r>
          </w:p>
          <w:p w14:paraId="15E5AC9E" w14:textId="5C2DCE9B"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sz w:val="24"/>
                <w:lang w:val="sk-SK"/>
              </w:rPr>
              <w:t>Článok 428ad písm. c), článok 428af písm. a)</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článok 428ag písm. c) CRR.</w:t>
            </w:r>
          </w:p>
          <w:p w14:paraId="271BEBB6" w14:textId="38FB39E5" w:rsidR="001E06A3" w:rsidRPr="00A3389E" w:rsidRDefault="001E06A3" w:rsidP="001E06A3">
            <w:pPr>
              <w:pStyle w:val="TableParagraph"/>
              <w:spacing w:after="240"/>
              <w:ind w:right="99"/>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lastRenderedPageBreak/>
              <w:t>Inštitúcie tu zverejňujú sumy peňazí splatných</w:t>
            </w:r>
            <w:r w:rsidR="00A3389E">
              <w:rPr>
                <w:rFonts w:ascii="Times New Roman" w:hAnsi="Times New Roman" w:cs="Times New Roman"/>
                <w:sz w:val="24"/>
                <w:szCs w:val="24"/>
                <w:lang w:val="sk-SK"/>
              </w:rPr>
              <w:t xml:space="preserve"> z </w:t>
            </w:r>
            <w:r w:rsidRPr="00A3389E">
              <w:rPr>
                <w:rFonts w:ascii="Times New Roman" w:hAnsi="Times New Roman" w:cs="Times New Roman"/>
                <w:sz w:val="24"/>
                <w:szCs w:val="24"/>
                <w:lang w:val="sk-SK"/>
              </w:rPr>
              <w:t>úverov, ktoré nie sú</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stave zlyhania</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súlade</w:t>
            </w:r>
            <w:r w:rsidR="00A3389E">
              <w:rPr>
                <w:rFonts w:ascii="Times New Roman" w:hAnsi="Times New Roman" w:cs="Times New Roman"/>
                <w:sz w:val="24"/>
                <w:szCs w:val="24"/>
                <w:lang w:val="sk-SK"/>
              </w:rPr>
              <w:t xml:space="preserve"> s </w:t>
            </w:r>
            <w:r w:rsidRPr="00A3389E">
              <w:rPr>
                <w:rFonts w:ascii="Times New Roman" w:hAnsi="Times New Roman" w:cs="Times New Roman"/>
                <w:sz w:val="24"/>
                <w:szCs w:val="24"/>
                <w:lang w:val="sk-SK"/>
              </w:rPr>
              <w:t>článkom 178 CRR, ktoré sú úvermi zaručenými hypotékami na nehnuteľný majetok určený na bývanie</w:t>
            </w:r>
            <w:r w:rsidR="00A3389E">
              <w:rPr>
                <w:rFonts w:ascii="Times New Roman" w:hAnsi="Times New Roman" w:cs="Times New Roman"/>
                <w:sz w:val="24"/>
                <w:szCs w:val="24"/>
                <w:lang w:val="sk-SK"/>
              </w:rPr>
              <w:t xml:space="preserve"> s </w:t>
            </w:r>
            <w:r w:rsidRPr="00A3389E">
              <w:rPr>
                <w:rFonts w:ascii="Times New Roman" w:hAnsi="Times New Roman" w:cs="Times New Roman"/>
                <w:sz w:val="24"/>
                <w:szCs w:val="24"/>
                <w:lang w:val="sk-SK"/>
              </w:rPr>
              <w:t>výnimkou úverov poskytnutých finančným klientom</w:t>
            </w:r>
            <w:r w:rsidR="00A3389E">
              <w:rPr>
                <w:rFonts w:ascii="Times New Roman" w:hAnsi="Times New Roman" w:cs="Times New Roman"/>
                <w:sz w:val="24"/>
                <w:szCs w:val="24"/>
                <w:lang w:val="sk-SK"/>
              </w:rPr>
              <w:t xml:space="preserve"> a </w:t>
            </w:r>
            <w:r w:rsidRPr="00A3389E">
              <w:rPr>
                <w:rFonts w:ascii="Times New Roman" w:hAnsi="Times New Roman" w:cs="Times New Roman"/>
                <w:sz w:val="24"/>
                <w:szCs w:val="24"/>
                <w:lang w:val="sk-SK"/>
              </w:rPr>
              <w:t>úverov uvedených</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článkoch 428r až 428ad</w:t>
            </w:r>
            <w:r w:rsidR="00A3389E">
              <w:rPr>
                <w:rFonts w:ascii="Times New Roman" w:hAnsi="Times New Roman" w:cs="Times New Roman"/>
                <w:sz w:val="24"/>
                <w:szCs w:val="24"/>
                <w:lang w:val="sk-SK"/>
              </w:rPr>
              <w:t xml:space="preserve"> s </w:t>
            </w:r>
            <w:r w:rsidRPr="00A3389E">
              <w:rPr>
                <w:rFonts w:ascii="Times New Roman" w:hAnsi="Times New Roman" w:cs="Times New Roman"/>
                <w:sz w:val="24"/>
                <w:szCs w:val="24"/>
                <w:lang w:val="sk-SK"/>
              </w:rPr>
              <w:t>výnimkou článku 428ad písm. c) CRR, bez ohľadu na rizikové váhy priradené týmto úverom.</w:t>
            </w:r>
          </w:p>
        </w:tc>
      </w:tr>
      <w:tr w:rsidR="001E06A3" w:rsidRPr="00A3389E" w14:paraId="16C048BA" w14:textId="77777777" w:rsidTr="00CB5E7D">
        <w:tc>
          <w:tcPr>
            <w:tcW w:w="1355" w:type="dxa"/>
          </w:tcPr>
          <w:p w14:paraId="125C3F1A"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lastRenderedPageBreak/>
              <w:t>23</w:t>
            </w:r>
          </w:p>
        </w:tc>
        <w:tc>
          <w:tcPr>
            <w:tcW w:w="7705" w:type="dxa"/>
          </w:tcPr>
          <w:p w14:paraId="77ED9432" w14:textId="407F32CD"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S rizikovou váhou nižšou alebo rovnajúcou sa 35</w:t>
            </w:r>
            <w:r w:rsidR="00A3389E">
              <w:rPr>
                <w:rFonts w:ascii="Times New Roman" w:hAnsi="Times New Roman" w:cs="Times New Roman"/>
                <w:b/>
                <w:sz w:val="24"/>
                <w:lang w:val="sk-SK"/>
              </w:rPr>
              <w:t> %</w:t>
            </w:r>
            <w:r w:rsidRPr="00A3389E">
              <w:rPr>
                <w:rFonts w:ascii="Times New Roman" w:hAnsi="Times New Roman" w:cs="Times New Roman"/>
                <w:b/>
                <w:sz w:val="24"/>
                <w:lang w:val="sk-SK"/>
              </w:rPr>
              <w:t xml:space="preserve"> podľa štandardizovaného prístupu Bazilej II pre kreditné riziko</w:t>
            </w:r>
          </w:p>
          <w:p w14:paraId="705B3481" w14:textId="37AE12AD"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Článok 428ad písm. c)</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článok 428af písm. a) CRR.</w:t>
            </w:r>
          </w:p>
          <w:p w14:paraId="75FA19E4" w14:textId="4B445C0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sem zahrnú tie hodnoty úverov</w:t>
            </w:r>
            <w:r w:rsidR="00A3389E">
              <w:rPr>
                <w:rFonts w:ascii="Times New Roman" w:hAnsi="Times New Roman" w:cs="Times New Roman"/>
                <w:sz w:val="24"/>
                <w:lang w:val="sk-SK"/>
              </w:rPr>
              <w:t xml:space="preserve"> z </w:t>
            </w:r>
            <w:r w:rsidRPr="00A3389E">
              <w:rPr>
                <w:rFonts w:ascii="Times New Roman" w:hAnsi="Times New Roman" w:cs="Times New Roman"/>
                <w:sz w:val="24"/>
                <w:lang w:val="sk-SK"/>
              </w:rPr>
              <w:t>riadku 22 tohto vzoru, ktorým je</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treťou časťou hlavou II kapitolou 2 CRR priradená riziková váha nižšia alebo rovnajúca sa 35</w:t>
            </w:r>
            <w:r w:rsidR="00A3389E">
              <w:rPr>
                <w:rFonts w:ascii="Times New Roman" w:hAnsi="Times New Roman" w:cs="Times New Roman"/>
                <w:sz w:val="24"/>
                <w:lang w:val="sk-SK"/>
              </w:rPr>
              <w:t> %</w:t>
            </w:r>
            <w:r w:rsidRPr="00A3389E">
              <w:rPr>
                <w:rFonts w:ascii="Times New Roman" w:hAnsi="Times New Roman" w:cs="Times New Roman"/>
                <w:sz w:val="24"/>
                <w:lang w:val="sk-SK"/>
              </w:rPr>
              <w:t>.</w:t>
            </w:r>
          </w:p>
        </w:tc>
      </w:tr>
      <w:tr w:rsidR="001E06A3" w:rsidRPr="00A3389E" w14:paraId="4A951DDA" w14:textId="77777777" w:rsidTr="00CB5E7D">
        <w:tc>
          <w:tcPr>
            <w:tcW w:w="1355" w:type="dxa"/>
          </w:tcPr>
          <w:p w14:paraId="69B2B5A6"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24</w:t>
            </w:r>
          </w:p>
        </w:tc>
        <w:tc>
          <w:tcPr>
            <w:tcW w:w="7705" w:type="dxa"/>
          </w:tcPr>
          <w:p w14:paraId="07EF9659" w14:textId="18806572"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Ostatné úvery</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cenné papiere, ktoré nie sú</w:t>
            </w:r>
            <w:r w:rsidR="00A3389E">
              <w:rPr>
                <w:rFonts w:ascii="Times New Roman" w:hAnsi="Times New Roman" w:cs="Times New Roman"/>
                <w:b/>
                <w:sz w:val="24"/>
                <w:lang w:val="sk-SK"/>
              </w:rPr>
              <w:t xml:space="preserve"> v </w:t>
            </w:r>
            <w:r w:rsidRPr="00A3389E">
              <w:rPr>
                <w:rFonts w:ascii="Times New Roman" w:hAnsi="Times New Roman" w:cs="Times New Roman"/>
                <w:b/>
                <w:sz w:val="24"/>
                <w:lang w:val="sk-SK"/>
              </w:rPr>
              <w:t>stave zlyhania</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nespĺňajú kritériá HQLA, vrátane akcií obchodovaných na burze</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produktov súvahového obchodného financovania</w:t>
            </w:r>
          </w:p>
          <w:p w14:paraId="0D677D2C"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súčet:</w:t>
            </w:r>
          </w:p>
          <w:p w14:paraId="5639B43C" w14:textId="0BDC909D"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podľa článku 428ag písm. e)</w:t>
            </w:r>
            <w:r>
              <w:rPr>
                <w:rFonts w:ascii="Times New Roman" w:hAnsi="Times New Roman"/>
                <w:sz w:val="24"/>
                <w:lang w:val="sk-SK"/>
              </w:rPr>
              <w:t xml:space="preserve"> a </w:t>
            </w:r>
            <w:r w:rsidR="001E06A3" w:rsidRPr="00A3389E">
              <w:rPr>
                <w:rFonts w:ascii="Times New Roman" w:hAnsi="Times New Roman"/>
                <w:sz w:val="24"/>
                <w:lang w:val="sk-SK"/>
              </w:rPr>
              <w:t>f) CRR, cenných papierov, ktoré nie sú</w:t>
            </w:r>
            <w:r>
              <w:rPr>
                <w:rFonts w:ascii="Times New Roman" w:hAnsi="Times New Roman"/>
                <w:sz w:val="24"/>
                <w:lang w:val="sk-SK"/>
              </w:rPr>
              <w:t xml:space="preserve"> v </w:t>
            </w:r>
            <w:r w:rsidR="001E06A3" w:rsidRPr="00A3389E">
              <w:rPr>
                <w:rFonts w:ascii="Times New Roman" w:hAnsi="Times New Roman"/>
                <w:sz w:val="24"/>
                <w:lang w:val="sk-SK"/>
              </w:rPr>
              <w:t>stave zlyhania</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178 CRR</w:t>
            </w:r>
            <w:r>
              <w:rPr>
                <w:rFonts w:ascii="Times New Roman" w:hAnsi="Times New Roman"/>
                <w:sz w:val="24"/>
                <w:lang w:val="sk-SK"/>
              </w:rPr>
              <w:t xml:space="preserve"> a </w:t>
            </w:r>
            <w:r w:rsidR="001E06A3" w:rsidRPr="00A3389E">
              <w:rPr>
                <w:rFonts w:ascii="Times New Roman" w:hAnsi="Times New Roman"/>
                <w:sz w:val="24"/>
                <w:lang w:val="sk-SK"/>
              </w:rPr>
              <w:t>ktoré nie sú likvidnými aktívami podľa delegovaného nariadenia Komisie (EÚ) 2015/61,</w:t>
            </w:r>
            <w:r>
              <w:rPr>
                <w:rFonts w:ascii="Times New Roman" w:hAnsi="Times New Roman"/>
                <w:sz w:val="24"/>
                <w:lang w:val="sk-SK"/>
              </w:rPr>
              <w:t xml:space="preserve"> a </w:t>
            </w:r>
            <w:r w:rsidR="001E06A3" w:rsidRPr="00A3389E">
              <w:rPr>
                <w:rFonts w:ascii="Times New Roman" w:hAnsi="Times New Roman"/>
                <w:sz w:val="24"/>
                <w:lang w:val="sk-SK"/>
              </w:rPr>
              <w:t>to bez ohľadu na to, či spĺňajú tam stanovené prevádzkové požiadavky, a</w:t>
            </w:r>
          </w:p>
          <w:p w14:paraId="7EC444EC" w14:textId="71A42FC1" w:rsidR="001E06A3" w:rsidRPr="00A3389E" w:rsidRDefault="00A3389E" w:rsidP="00A3389E">
            <w:pPr>
              <w:spacing w:after="240"/>
              <w:ind w:left="720" w:hanging="360"/>
              <w:contextualSpacing/>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produktov súvahového obchodného financovania</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428v písm. b), článkom 428ad písm. e)</w:t>
            </w:r>
            <w:r>
              <w:rPr>
                <w:rFonts w:ascii="Times New Roman" w:hAnsi="Times New Roman"/>
                <w:sz w:val="24"/>
                <w:lang w:val="sk-SK"/>
              </w:rPr>
              <w:t xml:space="preserve"> a </w:t>
            </w:r>
            <w:r w:rsidR="001E06A3" w:rsidRPr="00A3389E">
              <w:rPr>
                <w:rFonts w:ascii="Times New Roman" w:hAnsi="Times New Roman"/>
                <w:sz w:val="24"/>
                <w:lang w:val="sk-SK"/>
              </w:rPr>
              <w:t>článkom 428ag písm. d) CRR.</w:t>
            </w:r>
          </w:p>
        </w:tc>
      </w:tr>
      <w:tr w:rsidR="001E06A3" w:rsidRPr="00A3389E" w14:paraId="086F2410" w14:textId="77777777" w:rsidTr="00CB5E7D">
        <w:tc>
          <w:tcPr>
            <w:tcW w:w="1355" w:type="dxa"/>
          </w:tcPr>
          <w:p w14:paraId="55A70172"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25</w:t>
            </w:r>
          </w:p>
        </w:tc>
        <w:tc>
          <w:tcPr>
            <w:tcW w:w="7705" w:type="dxa"/>
          </w:tcPr>
          <w:p w14:paraId="02EF56AC"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Vzájomne závislé aktíva</w:t>
            </w:r>
          </w:p>
          <w:p w14:paraId="32DCB94F" w14:textId="33062309" w:rsidR="001E06A3" w:rsidRPr="00A3389E" w:rsidRDefault="001E06A3" w:rsidP="001E06A3">
            <w:pPr>
              <w:pStyle w:val="TableParagraph"/>
              <w:spacing w:after="240"/>
              <w:ind w:right="99"/>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428f</w:t>
            </w:r>
            <w:r w:rsidR="00A3389E">
              <w:rPr>
                <w:rFonts w:ascii="Times New Roman" w:hAnsi="Times New Roman" w:cs="Times New Roman"/>
                <w:sz w:val="24"/>
                <w:szCs w:val="24"/>
                <w:lang w:val="sk-SK"/>
              </w:rPr>
              <w:t xml:space="preserve"> a </w:t>
            </w:r>
            <w:r w:rsidRPr="00A3389E">
              <w:rPr>
                <w:rFonts w:ascii="Times New Roman" w:hAnsi="Times New Roman" w:cs="Times New Roman"/>
                <w:sz w:val="24"/>
                <w:szCs w:val="24"/>
                <w:lang w:val="sk-SK"/>
              </w:rPr>
              <w:t>článok 428r ods. 1 písm. f) CRR.</w:t>
            </w:r>
          </w:p>
          <w:p w14:paraId="58BDE7B6" w14:textId="3B6618CD"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aktíva, ktoré sú po schválení príslušnými orgánmi vzájomne závislé so záväzkami</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428f CRR.</w:t>
            </w:r>
          </w:p>
        </w:tc>
      </w:tr>
      <w:tr w:rsidR="001E06A3" w:rsidRPr="00A3389E" w14:paraId="2DFEA855" w14:textId="77777777" w:rsidTr="00CB5E7D">
        <w:tc>
          <w:tcPr>
            <w:tcW w:w="1355" w:type="dxa"/>
          </w:tcPr>
          <w:p w14:paraId="2AC71F5A"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26</w:t>
            </w:r>
          </w:p>
        </w:tc>
        <w:tc>
          <w:tcPr>
            <w:tcW w:w="7705" w:type="dxa"/>
          </w:tcPr>
          <w:p w14:paraId="340A999C"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Iné aktíva:</w:t>
            </w:r>
          </w:p>
          <w:p w14:paraId="15B3CE51" w14:textId="4090990A"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súčet hodnôt</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riadkoch 27, 28, 29, 30</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31 tohto vzoru.</w:t>
            </w:r>
          </w:p>
        </w:tc>
      </w:tr>
      <w:tr w:rsidR="001E06A3" w:rsidRPr="00A3389E" w14:paraId="64BFB991" w14:textId="77777777" w:rsidTr="00CB5E7D">
        <w:tc>
          <w:tcPr>
            <w:tcW w:w="1355" w:type="dxa"/>
          </w:tcPr>
          <w:p w14:paraId="1D8C937B"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27</w:t>
            </w:r>
          </w:p>
        </w:tc>
        <w:tc>
          <w:tcPr>
            <w:tcW w:w="7705" w:type="dxa"/>
          </w:tcPr>
          <w:p w14:paraId="35029DEA"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Fyzicky obchodované komodity</w:t>
            </w:r>
          </w:p>
          <w:p w14:paraId="4070F7BE" w14:textId="77777777" w:rsidR="001E06A3" w:rsidRPr="00A3389E" w:rsidRDefault="001E06A3" w:rsidP="001E06A3">
            <w:pPr>
              <w:pStyle w:val="TableParagraph"/>
              <w:spacing w:after="240"/>
              <w:ind w:right="99"/>
              <w:jc w:val="both"/>
              <w:rPr>
                <w:rFonts w:ascii="Times New Roman" w:hAnsi="Times New Roman" w:cs="Times New Roman"/>
                <w:sz w:val="24"/>
                <w:lang w:val="sk-SK"/>
              </w:rPr>
            </w:pPr>
            <w:r w:rsidRPr="00A3389E">
              <w:rPr>
                <w:rFonts w:ascii="Times New Roman" w:hAnsi="Times New Roman" w:cs="Times New Roman"/>
                <w:sz w:val="24"/>
                <w:szCs w:val="24"/>
                <w:lang w:val="sk-SK"/>
              </w:rPr>
              <w:t>Článok 428ag písm. g) CRR.</w:t>
            </w:r>
          </w:p>
          <w:p w14:paraId="48DD16C7"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hodnotu fyzicky obchodovaných komodít. Táto suma nezahŕňa komoditné deriváty.</w:t>
            </w:r>
          </w:p>
        </w:tc>
      </w:tr>
      <w:tr w:rsidR="001E06A3" w:rsidRPr="00A3389E" w14:paraId="4322E562" w14:textId="77777777" w:rsidTr="00CB5E7D">
        <w:tc>
          <w:tcPr>
            <w:tcW w:w="1355" w:type="dxa"/>
          </w:tcPr>
          <w:p w14:paraId="2A3ED162"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lastRenderedPageBreak/>
              <w:t>28</w:t>
            </w:r>
          </w:p>
        </w:tc>
        <w:tc>
          <w:tcPr>
            <w:tcW w:w="7705" w:type="dxa"/>
          </w:tcPr>
          <w:p w14:paraId="46F3710C" w14:textId="2C10B239"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Aktíva zložené ako počiatočná marža pre zmluvy</w:t>
            </w:r>
            <w:r w:rsidR="00A3389E">
              <w:rPr>
                <w:rFonts w:ascii="Times New Roman" w:hAnsi="Times New Roman" w:cs="Times New Roman"/>
                <w:b/>
                <w:sz w:val="24"/>
                <w:lang w:val="sk-SK"/>
              </w:rPr>
              <w:t xml:space="preserve"> o </w:t>
            </w:r>
            <w:r w:rsidRPr="00A3389E">
              <w:rPr>
                <w:rFonts w:ascii="Times New Roman" w:hAnsi="Times New Roman" w:cs="Times New Roman"/>
                <w:b/>
                <w:sz w:val="24"/>
                <w:lang w:val="sk-SK"/>
              </w:rPr>
              <w:t>derivátoch</w:t>
            </w:r>
            <w:r w:rsidR="00A3389E">
              <w:rPr>
                <w:rFonts w:ascii="Times New Roman" w:hAnsi="Times New Roman" w:cs="Times New Roman"/>
                <w:b/>
                <w:sz w:val="24"/>
                <w:lang w:val="sk-SK"/>
              </w:rPr>
              <w:t xml:space="preserve"> a </w:t>
            </w:r>
            <w:r w:rsidRPr="00A3389E">
              <w:rPr>
                <w:rFonts w:ascii="Times New Roman" w:hAnsi="Times New Roman" w:cs="Times New Roman"/>
                <w:b/>
                <w:sz w:val="24"/>
                <w:lang w:val="sk-SK"/>
              </w:rPr>
              <w:t>príspevky do fondov centrálnych protistrán pre prípad zlyhania</w:t>
            </w:r>
          </w:p>
          <w:p w14:paraId="0444A80A" w14:textId="77777777" w:rsidR="001E06A3" w:rsidRPr="00A3389E" w:rsidRDefault="001E06A3" w:rsidP="001E06A3">
            <w:pPr>
              <w:pStyle w:val="TableParagraph"/>
              <w:spacing w:after="240"/>
              <w:ind w:right="99"/>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Inštitúcie tu zverejňujú súčet týchto hodnôt:</w:t>
            </w:r>
          </w:p>
          <w:p w14:paraId="58EF3078" w14:textId="56A720AA" w:rsidR="001E06A3" w:rsidRPr="00A3389E" w:rsidRDefault="00A3389E" w:rsidP="00A3389E">
            <w:pPr>
              <w:ind w:left="720" w:hanging="360"/>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hodnota požadovaného stabilného financovania vyplývajúceho</w:t>
            </w:r>
            <w:r>
              <w:rPr>
                <w:rFonts w:ascii="Times New Roman" w:hAnsi="Times New Roman"/>
                <w:sz w:val="24"/>
                <w:lang w:val="sk-SK"/>
              </w:rPr>
              <w:t xml:space="preserve"> z </w:t>
            </w:r>
            <w:r w:rsidR="001E06A3" w:rsidRPr="00A3389E">
              <w:rPr>
                <w:rFonts w:ascii="Times New Roman" w:hAnsi="Times New Roman"/>
                <w:sz w:val="24"/>
                <w:lang w:val="sk-SK"/>
              </w:rPr>
              <w:t>derivátov</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428d, článkom 428s ods. 2, článkom 428ag písm. a)</w:t>
            </w:r>
            <w:r>
              <w:rPr>
                <w:rFonts w:ascii="Times New Roman" w:hAnsi="Times New Roman"/>
                <w:sz w:val="24"/>
                <w:lang w:val="sk-SK"/>
              </w:rPr>
              <w:t xml:space="preserve"> a </w:t>
            </w:r>
            <w:r w:rsidR="001E06A3" w:rsidRPr="00A3389E">
              <w:rPr>
                <w:rFonts w:ascii="Times New Roman" w:hAnsi="Times New Roman"/>
                <w:sz w:val="24"/>
                <w:lang w:val="sk-SK"/>
              </w:rPr>
              <w:t>článkom 428ah ods. 2 CRR, ktoré sa týka počiatočných marží pre zmluvy</w:t>
            </w:r>
            <w:r>
              <w:rPr>
                <w:rFonts w:ascii="Times New Roman" w:hAnsi="Times New Roman"/>
                <w:sz w:val="24"/>
                <w:lang w:val="sk-SK"/>
              </w:rPr>
              <w:t xml:space="preserve"> o </w:t>
            </w:r>
            <w:r w:rsidR="001E06A3" w:rsidRPr="00A3389E">
              <w:rPr>
                <w:rFonts w:ascii="Times New Roman" w:hAnsi="Times New Roman"/>
                <w:sz w:val="24"/>
                <w:lang w:val="sk-SK"/>
              </w:rPr>
              <w:t>derivátoch; a</w:t>
            </w:r>
          </w:p>
          <w:p w14:paraId="6B234535" w14:textId="7A8537FF" w:rsidR="001E06A3" w:rsidRPr="00A3389E" w:rsidRDefault="00A3389E" w:rsidP="00A3389E">
            <w:pPr>
              <w:spacing w:after="240"/>
              <w:ind w:left="720" w:hanging="360"/>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suma súvisiaca</w:t>
            </w:r>
            <w:r>
              <w:rPr>
                <w:rFonts w:ascii="Times New Roman" w:hAnsi="Times New Roman"/>
                <w:sz w:val="24"/>
                <w:lang w:val="sk-SK"/>
              </w:rPr>
              <w:t xml:space="preserve"> s </w:t>
            </w:r>
            <w:r w:rsidR="001E06A3" w:rsidRPr="00A3389E">
              <w:rPr>
                <w:rFonts w:ascii="Times New Roman" w:hAnsi="Times New Roman"/>
                <w:sz w:val="24"/>
                <w:lang w:val="sk-SK"/>
              </w:rPr>
              <w:t>položkami poskytnutými ako príspevok do fondu centrálnej protistrany pre prípad zlyhania</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428ag písm. b) CRR.</w:t>
            </w:r>
          </w:p>
        </w:tc>
      </w:tr>
      <w:tr w:rsidR="001E06A3" w:rsidRPr="00A3389E" w14:paraId="66BC96FD" w14:textId="77777777" w:rsidTr="00CB5E7D">
        <w:tc>
          <w:tcPr>
            <w:tcW w:w="1355" w:type="dxa"/>
          </w:tcPr>
          <w:p w14:paraId="2CC6C66E"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29</w:t>
            </w:r>
          </w:p>
        </w:tc>
        <w:tc>
          <w:tcPr>
            <w:tcW w:w="7705" w:type="dxa"/>
          </w:tcPr>
          <w:p w14:paraId="60B73E07"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Derivátové aktíva ovplyvňujúce NSFR</w:t>
            </w:r>
          </w:p>
          <w:p w14:paraId="70D38B1A" w14:textId="7453E516" w:rsidR="001E06A3" w:rsidRPr="00A3389E" w:rsidRDefault="001E06A3" w:rsidP="001E06A3">
            <w:pPr>
              <w:pStyle w:val="TableParagraph"/>
              <w:spacing w:after="240"/>
              <w:ind w:right="99"/>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428d</w:t>
            </w:r>
            <w:r w:rsidR="00A3389E">
              <w:rPr>
                <w:rFonts w:ascii="Times New Roman" w:hAnsi="Times New Roman" w:cs="Times New Roman"/>
                <w:sz w:val="24"/>
                <w:szCs w:val="24"/>
                <w:lang w:val="sk-SK"/>
              </w:rPr>
              <w:t xml:space="preserve"> a </w:t>
            </w:r>
            <w:r w:rsidRPr="00A3389E">
              <w:rPr>
                <w:rFonts w:ascii="Times New Roman" w:hAnsi="Times New Roman" w:cs="Times New Roman"/>
                <w:sz w:val="24"/>
                <w:szCs w:val="24"/>
                <w:lang w:val="sk-SK"/>
              </w:rPr>
              <w:t>článok 428ah ods. 2 CRR.</w:t>
            </w:r>
          </w:p>
          <w:p w14:paraId="7E8C483F" w14:textId="7C57578F" w:rsidR="001E06A3" w:rsidRPr="00A3389E" w:rsidRDefault="001E06A3" w:rsidP="001E06A3">
            <w:pPr>
              <w:pStyle w:val="TableParagraph"/>
              <w:spacing w:after="240"/>
              <w:ind w:right="99"/>
              <w:jc w:val="both"/>
              <w:rPr>
                <w:rFonts w:ascii="Times New Roman" w:hAnsi="Times New Roman" w:cs="Times New Roman"/>
                <w:sz w:val="24"/>
                <w:lang w:val="sk-SK"/>
              </w:rPr>
            </w:pPr>
            <w:r w:rsidRPr="00A3389E">
              <w:rPr>
                <w:rFonts w:ascii="Times New Roman" w:hAnsi="Times New Roman" w:cs="Times New Roman"/>
                <w:sz w:val="24"/>
                <w:szCs w:val="24"/>
                <w:lang w:val="sk-SK"/>
              </w:rPr>
              <w:t>Inštitúcie sem zahrnú hodnotu požadovaného stabilného financovania vyplývajúceho</w:t>
            </w:r>
            <w:r w:rsidR="00A3389E">
              <w:rPr>
                <w:rFonts w:ascii="Times New Roman" w:hAnsi="Times New Roman" w:cs="Times New Roman"/>
                <w:sz w:val="24"/>
                <w:szCs w:val="24"/>
                <w:lang w:val="sk-SK"/>
              </w:rPr>
              <w:t xml:space="preserve"> z </w:t>
            </w:r>
            <w:r w:rsidRPr="00A3389E">
              <w:rPr>
                <w:rFonts w:ascii="Times New Roman" w:hAnsi="Times New Roman" w:cs="Times New Roman"/>
                <w:sz w:val="24"/>
                <w:szCs w:val="24"/>
                <w:lang w:val="sk-SK"/>
              </w:rPr>
              <w:t>derivátov</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súlade</w:t>
            </w:r>
            <w:r w:rsidR="00A3389E">
              <w:rPr>
                <w:rFonts w:ascii="Times New Roman" w:hAnsi="Times New Roman" w:cs="Times New Roman"/>
                <w:sz w:val="24"/>
                <w:szCs w:val="24"/>
                <w:lang w:val="sk-SK"/>
              </w:rPr>
              <w:t xml:space="preserve"> s </w:t>
            </w:r>
            <w:r w:rsidRPr="00A3389E">
              <w:rPr>
                <w:rFonts w:ascii="Times New Roman" w:hAnsi="Times New Roman" w:cs="Times New Roman"/>
                <w:sz w:val="24"/>
                <w:szCs w:val="24"/>
                <w:lang w:val="sk-SK"/>
              </w:rPr>
              <w:t>článkom 428d, článkom 428s ods. 2, článkom 428ag písm. a)</w:t>
            </w:r>
            <w:r w:rsidR="00A3389E">
              <w:rPr>
                <w:rFonts w:ascii="Times New Roman" w:hAnsi="Times New Roman" w:cs="Times New Roman"/>
                <w:sz w:val="24"/>
                <w:szCs w:val="24"/>
                <w:lang w:val="sk-SK"/>
              </w:rPr>
              <w:t xml:space="preserve"> a </w:t>
            </w:r>
            <w:r w:rsidRPr="00A3389E">
              <w:rPr>
                <w:rFonts w:ascii="Times New Roman" w:hAnsi="Times New Roman" w:cs="Times New Roman"/>
                <w:sz w:val="24"/>
                <w:szCs w:val="24"/>
                <w:lang w:val="sk-SK"/>
              </w:rPr>
              <w:t>článkom 428ah ods. 2 CRR, ktoré sa vypočítava ako absolútna hodnota kladného rozdielu medzi súbormi vzájomného započítavania vypočítanými</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súlade</w:t>
            </w:r>
            <w:r w:rsidR="00A3389E">
              <w:rPr>
                <w:rFonts w:ascii="Times New Roman" w:hAnsi="Times New Roman" w:cs="Times New Roman"/>
                <w:sz w:val="24"/>
                <w:szCs w:val="24"/>
                <w:lang w:val="sk-SK"/>
              </w:rPr>
              <w:t xml:space="preserve"> s </w:t>
            </w:r>
            <w:r w:rsidRPr="00A3389E">
              <w:rPr>
                <w:rFonts w:ascii="Times New Roman" w:hAnsi="Times New Roman" w:cs="Times New Roman"/>
                <w:sz w:val="24"/>
                <w:szCs w:val="24"/>
                <w:lang w:val="sk-SK"/>
              </w:rPr>
              <w:t>článkom 428ah ods. 2 CRR.</w:t>
            </w:r>
          </w:p>
        </w:tc>
      </w:tr>
      <w:tr w:rsidR="001E06A3" w:rsidRPr="00A3389E" w14:paraId="5702ED11" w14:textId="77777777" w:rsidTr="00CB5E7D">
        <w:tc>
          <w:tcPr>
            <w:tcW w:w="1355" w:type="dxa"/>
          </w:tcPr>
          <w:p w14:paraId="6BF95CB9"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30</w:t>
            </w:r>
          </w:p>
        </w:tc>
        <w:tc>
          <w:tcPr>
            <w:tcW w:w="7705" w:type="dxa"/>
          </w:tcPr>
          <w:p w14:paraId="586705DD"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NSFR derivátových záväzkov pred odpočítaním poskytnutej variačnej marže</w:t>
            </w:r>
          </w:p>
          <w:p w14:paraId="0358D56B" w14:textId="77777777" w:rsidR="001E06A3" w:rsidRPr="00A3389E" w:rsidRDefault="001E06A3" w:rsidP="001E06A3">
            <w:pPr>
              <w:pStyle w:val="TableParagraph"/>
              <w:spacing w:after="240"/>
              <w:ind w:right="99"/>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Článok 428s ods. 2 CRR.</w:t>
            </w:r>
          </w:p>
          <w:p w14:paraId="02000D17" w14:textId="18B103BE"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hodnotu požadovaného stabilného financovania súvisiaceho</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derivátovými záväzkami</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428d, článkom 428s ods. 2, článkom 428ag písm. a)</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článkom 428ah ods. 2 CRR, čo je absolútna reálna hodnota súborov vzájomného započítavania so zápornou reálnou hodnotou vypočítanou</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428s ods. 2 CRR.</w:t>
            </w:r>
          </w:p>
        </w:tc>
      </w:tr>
      <w:tr w:rsidR="001E06A3" w:rsidRPr="00A3389E" w14:paraId="04BE9D64" w14:textId="77777777" w:rsidTr="00CB5E7D">
        <w:tc>
          <w:tcPr>
            <w:tcW w:w="1355" w:type="dxa"/>
          </w:tcPr>
          <w:p w14:paraId="264D8A7C"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31</w:t>
            </w:r>
          </w:p>
        </w:tc>
        <w:tc>
          <w:tcPr>
            <w:tcW w:w="7705" w:type="dxa"/>
          </w:tcPr>
          <w:p w14:paraId="07C67158"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Všetky ostatné aktíva nezahrnuté do vyššie uvedených kategórií</w:t>
            </w:r>
          </w:p>
          <w:p w14:paraId="62F6FC95" w14:textId="77777777" w:rsidR="001E06A3" w:rsidRPr="00A3389E" w:rsidRDefault="001E06A3" w:rsidP="001E06A3">
            <w:pPr>
              <w:jc w:val="both"/>
              <w:rPr>
                <w:rFonts w:ascii="Times New Roman" w:hAnsi="Times New Roman" w:cs="Times New Roman"/>
                <w:sz w:val="24"/>
                <w:lang w:val="sk-SK"/>
              </w:rPr>
            </w:pPr>
            <w:r w:rsidRPr="00A3389E">
              <w:rPr>
                <w:rFonts w:ascii="Times New Roman" w:hAnsi="Times New Roman" w:cs="Times New Roman"/>
                <w:sz w:val="24"/>
                <w:lang w:val="sk-SK"/>
              </w:rPr>
              <w:t>Inštitúcie tu uvedú súčet týchto položiek:</w:t>
            </w:r>
          </w:p>
          <w:p w14:paraId="3844C223" w14:textId="2FAAD15D" w:rsidR="001E06A3" w:rsidRPr="00A3389E" w:rsidRDefault="00A3389E" w:rsidP="00A3389E">
            <w:pPr>
              <w:ind w:left="720" w:hanging="360"/>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pohľadávky so zúčtovaním</w:t>
            </w:r>
            <w:r>
              <w:rPr>
                <w:rFonts w:ascii="Times New Roman" w:hAnsi="Times New Roman"/>
                <w:sz w:val="24"/>
                <w:lang w:val="sk-SK"/>
              </w:rPr>
              <w:t xml:space="preserve"> v </w:t>
            </w:r>
            <w:r w:rsidR="001E06A3" w:rsidRPr="00A3389E">
              <w:rPr>
                <w:rFonts w:ascii="Times New Roman" w:hAnsi="Times New Roman"/>
                <w:sz w:val="24"/>
                <w:lang w:val="sk-SK"/>
              </w:rPr>
              <w:t>deň uzavretia obchodu</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428r ods. 1 písm. e) CRR,</w:t>
            </w:r>
          </w:p>
          <w:p w14:paraId="40D882AB" w14:textId="62DC6F6E" w:rsidR="001E06A3" w:rsidRPr="00A3389E" w:rsidRDefault="00A3389E" w:rsidP="00A3389E">
            <w:pPr>
              <w:ind w:left="720" w:hanging="360"/>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problémové aktíva</w:t>
            </w:r>
            <w:r>
              <w:rPr>
                <w:rFonts w:ascii="Times New Roman" w:hAnsi="Times New Roman"/>
                <w:sz w:val="24"/>
                <w:lang w:val="sk-SK"/>
              </w:rPr>
              <w:t xml:space="preserve"> v </w:t>
            </w:r>
            <w:r w:rsidR="001E06A3" w:rsidRPr="00A3389E">
              <w:rPr>
                <w:rFonts w:ascii="Times New Roman" w:hAnsi="Times New Roman"/>
                <w:sz w:val="24"/>
                <w:lang w:val="sk-SK"/>
              </w:rPr>
              <w:t>súlade</w:t>
            </w:r>
            <w:r>
              <w:rPr>
                <w:rFonts w:ascii="Times New Roman" w:hAnsi="Times New Roman"/>
                <w:sz w:val="24"/>
                <w:lang w:val="sk-SK"/>
              </w:rPr>
              <w:t xml:space="preserve"> s </w:t>
            </w:r>
            <w:r w:rsidR="001E06A3" w:rsidRPr="00A3389E">
              <w:rPr>
                <w:rFonts w:ascii="Times New Roman" w:hAnsi="Times New Roman"/>
                <w:sz w:val="24"/>
                <w:lang w:val="sk-SK"/>
              </w:rPr>
              <w:t>článkom 428ah ods. 1 písm. b) CRR,</w:t>
            </w:r>
          </w:p>
          <w:p w14:paraId="4D19BEAD" w14:textId="7EE4A1B7" w:rsidR="001E06A3" w:rsidRPr="00A3389E" w:rsidRDefault="00A3389E" w:rsidP="00A3389E">
            <w:pPr>
              <w:ind w:left="720" w:hanging="360"/>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rezervy</w:t>
            </w:r>
            <w:r>
              <w:rPr>
                <w:rFonts w:ascii="Times New Roman" w:hAnsi="Times New Roman"/>
                <w:sz w:val="24"/>
                <w:lang w:val="sk-SK"/>
              </w:rPr>
              <w:t xml:space="preserve"> v </w:t>
            </w:r>
            <w:r w:rsidR="001E06A3" w:rsidRPr="00A3389E">
              <w:rPr>
                <w:rFonts w:ascii="Times New Roman" w:hAnsi="Times New Roman"/>
                <w:sz w:val="24"/>
                <w:lang w:val="sk-SK"/>
              </w:rPr>
              <w:t>centrálnych bankách, ktoré sa nepovažujú za HQLA, a</w:t>
            </w:r>
          </w:p>
          <w:p w14:paraId="6FB4C38B" w14:textId="063A795C" w:rsidR="001E06A3" w:rsidRPr="00A3389E" w:rsidRDefault="00A3389E" w:rsidP="00A3389E">
            <w:pPr>
              <w:spacing w:after="240"/>
              <w:ind w:left="720" w:hanging="360"/>
              <w:jc w:val="both"/>
              <w:rPr>
                <w:rFonts w:ascii="Times New Roman" w:hAnsi="Times New Roman"/>
                <w:sz w:val="24"/>
                <w:lang w:val="sk-SK"/>
              </w:rPr>
            </w:pPr>
            <w:r w:rsidRPr="00A3389E">
              <w:rPr>
                <w:rFonts w:ascii="Symbol" w:eastAsia="Calibri" w:hAnsi="Symbol" w:cs="Times New Roman"/>
                <w:sz w:val="24"/>
                <w:szCs w:val="22"/>
                <w:lang w:val="sk-SK"/>
              </w:rPr>
              <w:t></w:t>
            </w:r>
            <w:r w:rsidRPr="00A3389E">
              <w:rPr>
                <w:rFonts w:ascii="Symbol" w:eastAsia="Calibri" w:hAnsi="Symbol" w:cs="Times New Roman"/>
                <w:sz w:val="24"/>
                <w:szCs w:val="22"/>
                <w:lang w:val="sk-SK"/>
              </w:rPr>
              <w:tab/>
            </w:r>
            <w:r w:rsidR="001E06A3" w:rsidRPr="00A3389E">
              <w:rPr>
                <w:rFonts w:ascii="Times New Roman" w:hAnsi="Times New Roman"/>
                <w:sz w:val="24"/>
                <w:lang w:val="sk-SK"/>
              </w:rPr>
              <w:t>ostatné aktíva, ktoré nie sú uvedené</w:t>
            </w:r>
            <w:r>
              <w:rPr>
                <w:rFonts w:ascii="Times New Roman" w:hAnsi="Times New Roman"/>
                <w:sz w:val="24"/>
                <w:lang w:val="sk-SK"/>
              </w:rPr>
              <w:t xml:space="preserve"> v </w:t>
            </w:r>
            <w:r w:rsidR="001E06A3" w:rsidRPr="00A3389E">
              <w:rPr>
                <w:rFonts w:ascii="Times New Roman" w:hAnsi="Times New Roman"/>
                <w:sz w:val="24"/>
                <w:lang w:val="sk-SK"/>
              </w:rPr>
              <w:t>predchádzajúcich položkách uvedených vyššie.</w:t>
            </w:r>
          </w:p>
        </w:tc>
      </w:tr>
      <w:tr w:rsidR="001E06A3" w:rsidRPr="00A3389E" w14:paraId="5CF2D15B" w14:textId="77777777" w:rsidTr="00CB5E7D">
        <w:tc>
          <w:tcPr>
            <w:tcW w:w="1355" w:type="dxa"/>
          </w:tcPr>
          <w:p w14:paraId="1FA8BC67"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32</w:t>
            </w:r>
          </w:p>
        </w:tc>
        <w:tc>
          <w:tcPr>
            <w:tcW w:w="7705" w:type="dxa"/>
          </w:tcPr>
          <w:p w14:paraId="2750824D" w14:textId="77777777" w:rsidR="001E06A3" w:rsidRPr="00A3389E" w:rsidRDefault="001E06A3" w:rsidP="001E06A3">
            <w:pPr>
              <w:spacing w:after="240"/>
              <w:jc w:val="both"/>
              <w:rPr>
                <w:rFonts w:ascii="Times New Roman" w:hAnsi="Times New Roman" w:cs="Times New Roman"/>
                <w:b/>
                <w:sz w:val="24"/>
                <w:lang w:val="sk-SK"/>
              </w:rPr>
            </w:pPr>
            <w:r w:rsidRPr="00A3389E">
              <w:rPr>
                <w:rFonts w:ascii="Times New Roman" w:hAnsi="Times New Roman" w:cs="Times New Roman"/>
                <w:b/>
                <w:sz w:val="24"/>
                <w:lang w:val="sk-SK"/>
              </w:rPr>
              <w:t>Podsúvahové položky</w:t>
            </w:r>
          </w:p>
          <w:p w14:paraId="56A3975E"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Inštitúcie tu zverejňujú sumu podsúvahových položiek, na ktoré sa vzťahujú požiadavky na požadované stabilné financovanie.</w:t>
            </w:r>
          </w:p>
        </w:tc>
      </w:tr>
      <w:tr w:rsidR="001E06A3" w:rsidRPr="00A3389E" w14:paraId="761DE446" w14:textId="77777777" w:rsidTr="00CB5E7D">
        <w:tc>
          <w:tcPr>
            <w:tcW w:w="1355" w:type="dxa"/>
          </w:tcPr>
          <w:p w14:paraId="6A567296"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lastRenderedPageBreak/>
              <w:t>33</w:t>
            </w:r>
          </w:p>
        </w:tc>
        <w:tc>
          <w:tcPr>
            <w:tcW w:w="7705" w:type="dxa"/>
          </w:tcPr>
          <w:p w14:paraId="1176DF3A"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Celkové požadované stabilné financovanie (RSF)</w:t>
            </w:r>
          </w:p>
          <w:p w14:paraId="185E7BC8" w14:textId="77777777" w:rsidR="001E06A3" w:rsidRPr="00A3389E" w:rsidRDefault="001E06A3" w:rsidP="001E06A3">
            <w:pPr>
              <w:pStyle w:val="TableParagraph"/>
              <w:spacing w:after="240"/>
              <w:jc w:val="both"/>
              <w:rPr>
                <w:rFonts w:ascii="Times New Roman" w:eastAsia="Times New Roman" w:hAnsi="Times New Roman" w:cs="Times New Roman"/>
                <w:sz w:val="24"/>
                <w:szCs w:val="24"/>
                <w:lang w:val="sk-SK"/>
              </w:rPr>
            </w:pPr>
            <w:r w:rsidRPr="00A3389E">
              <w:rPr>
                <w:rFonts w:ascii="Times New Roman" w:hAnsi="Times New Roman" w:cs="Times New Roman"/>
                <w:sz w:val="24"/>
                <w:szCs w:val="24"/>
                <w:lang w:val="sk-SK"/>
              </w:rPr>
              <w:t>Šiesta časť hlava IV kapitola 4 CRR.</w:t>
            </w:r>
          </w:p>
          <w:p w14:paraId="7BBF549C" w14:textId="64D7F6C8"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Inštitúcie sem zahrnú</w:t>
            </w:r>
            <w:r w:rsidRPr="00A3389E">
              <w:rPr>
                <w:rFonts w:ascii="Times New Roman" w:hAnsi="Times New Roman" w:cs="Times New Roman"/>
                <w:lang w:val="sk-SK"/>
              </w:rPr>
              <w:t xml:space="preserve"> </w:t>
            </w:r>
            <w:r w:rsidRPr="00A3389E">
              <w:rPr>
                <w:rFonts w:ascii="Times New Roman" w:hAnsi="Times New Roman" w:cs="Times New Roman"/>
                <w:sz w:val="24"/>
                <w:szCs w:val="24"/>
                <w:lang w:val="sk-SK"/>
              </w:rPr>
              <w:t>súčet položiek, na ktoré sa vzťahuje požadované stabilné financovanie</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súlade so šiestou časťou hlavou IV kapitolou 4 CRR (súčet hodnôt</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riadkoch 15, EU-15a, 16, 17, 25, 26</w:t>
            </w:r>
            <w:r w:rsidR="00A3389E">
              <w:rPr>
                <w:rFonts w:ascii="Times New Roman" w:hAnsi="Times New Roman" w:cs="Times New Roman"/>
                <w:sz w:val="24"/>
                <w:szCs w:val="24"/>
                <w:lang w:val="sk-SK"/>
              </w:rPr>
              <w:t xml:space="preserve"> a </w:t>
            </w:r>
            <w:r w:rsidRPr="00A3389E">
              <w:rPr>
                <w:rFonts w:ascii="Times New Roman" w:hAnsi="Times New Roman" w:cs="Times New Roman"/>
                <w:sz w:val="24"/>
                <w:szCs w:val="24"/>
                <w:lang w:val="sk-SK"/>
              </w:rPr>
              <w:t>32 tohto vzoru).</w:t>
            </w:r>
          </w:p>
        </w:tc>
      </w:tr>
      <w:tr w:rsidR="001E06A3" w:rsidRPr="00A3389E" w14:paraId="5E612895" w14:textId="77777777" w:rsidTr="00CB5E7D">
        <w:trPr>
          <w:trHeight w:val="274"/>
        </w:trPr>
        <w:tc>
          <w:tcPr>
            <w:tcW w:w="1355" w:type="dxa"/>
          </w:tcPr>
          <w:p w14:paraId="73CB3827"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sz w:val="24"/>
                <w:lang w:val="sk-SK"/>
              </w:rPr>
              <w:t>34</w:t>
            </w:r>
          </w:p>
        </w:tc>
        <w:tc>
          <w:tcPr>
            <w:tcW w:w="7705" w:type="dxa"/>
          </w:tcPr>
          <w:p w14:paraId="56363191" w14:textId="77777777" w:rsidR="001E06A3" w:rsidRPr="00A3389E" w:rsidRDefault="001E06A3" w:rsidP="001E06A3">
            <w:pPr>
              <w:spacing w:after="240"/>
              <w:jc w:val="both"/>
              <w:rPr>
                <w:rFonts w:ascii="Times New Roman" w:hAnsi="Times New Roman" w:cs="Times New Roman"/>
                <w:sz w:val="24"/>
                <w:lang w:val="sk-SK"/>
              </w:rPr>
            </w:pPr>
            <w:r w:rsidRPr="00A3389E">
              <w:rPr>
                <w:rFonts w:ascii="Times New Roman" w:hAnsi="Times New Roman" w:cs="Times New Roman"/>
                <w:b/>
                <w:sz w:val="24"/>
                <w:lang w:val="sk-SK"/>
              </w:rPr>
              <w:t>Ukazovateľ čistého stabilného financovania (%)</w:t>
            </w:r>
          </w:p>
          <w:p w14:paraId="78187C30" w14:textId="00C2E928" w:rsidR="001E06A3" w:rsidRPr="00A3389E" w:rsidRDefault="001E06A3" w:rsidP="001E06A3">
            <w:pPr>
              <w:pStyle w:val="TableParagraph"/>
              <w:spacing w:after="240"/>
              <w:jc w:val="both"/>
              <w:rPr>
                <w:rFonts w:ascii="Times New Roman" w:hAnsi="Times New Roman" w:cs="Times New Roman"/>
                <w:sz w:val="24"/>
                <w:szCs w:val="24"/>
                <w:lang w:val="sk-SK"/>
              </w:rPr>
            </w:pPr>
            <w:r w:rsidRPr="00A3389E">
              <w:rPr>
                <w:rFonts w:ascii="Times New Roman" w:hAnsi="Times New Roman" w:cs="Times New Roman"/>
                <w:sz w:val="24"/>
                <w:szCs w:val="24"/>
                <w:lang w:val="sk-SK"/>
              </w:rPr>
              <w:t>NSFR vypočítaný</w:t>
            </w:r>
            <w:r w:rsidR="00A3389E">
              <w:rPr>
                <w:rFonts w:ascii="Times New Roman" w:hAnsi="Times New Roman" w:cs="Times New Roman"/>
                <w:sz w:val="24"/>
                <w:szCs w:val="24"/>
                <w:lang w:val="sk-SK"/>
              </w:rPr>
              <w:t xml:space="preserve"> v </w:t>
            </w:r>
            <w:r w:rsidRPr="00A3389E">
              <w:rPr>
                <w:rFonts w:ascii="Times New Roman" w:hAnsi="Times New Roman" w:cs="Times New Roman"/>
                <w:sz w:val="24"/>
                <w:szCs w:val="24"/>
                <w:lang w:val="sk-SK"/>
              </w:rPr>
              <w:t>súlade</w:t>
            </w:r>
            <w:r w:rsidR="00A3389E">
              <w:rPr>
                <w:rFonts w:ascii="Times New Roman" w:hAnsi="Times New Roman" w:cs="Times New Roman"/>
                <w:sz w:val="24"/>
                <w:szCs w:val="24"/>
                <w:lang w:val="sk-SK"/>
              </w:rPr>
              <w:t xml:space="preserve"> s </w:t>
            </w:r>
            <w:r w:rsidRPr="00A3389E">
              <w:rPr>
                <w:rFonts w:ascii="Times New Roman" w:hAnsi="Times New Roman" w:cs="Times New Roman"/>
                <w:sz w:val="24"/>
                <w:szCs w:val="24"/>
                <w:lang w:val="sk-SK"/>
              </w:rPr>
              <w:t>článkom 428b ods. 1 CRR.</w:t>
            </w:r>
          </w:p>
        </w:tc>
      </w:tr>
    </w:tbl>
    <w:p w14:paraId="7C272ABF" w14:textId="77777777" w:rsidR="0081579E" w:rsidRPr="00A3389E"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A3389E" w:rsidSect="00155C96">
          <w:pgSz w:w="11900" w:h="16840"/>
          <w:pgMar w:top="2268" w:right="1418" w:bottom="1134" w:left="1701" w:header="709" w:footer="709" w:gutter="0"/>
          <w:pgNumType w:start="1" w:chapStyle="1"/>
          <w:cols w:space="708"/>
          <w:docGrid w:linePitch="299"/>
        </w:sectPr>
      </w:pPr>
    </w:p>
    <w:p w14:paraId="01443745" w14:textId="2A88225A" w:rsidR="000A7015" w:rsidRPr="00A3389E" w:rsidRDefault="000A7015" w:rsidP="00E258D8">
      <w:pPr>
        <w:tabs>
          <w:tab w:val="left" w:pos="1430"/>
        </w:tabs>
        <w:rPr>
          <w:rFonts w:ascii="Times New Roman" w:hAnsi="Times New Roman" w:cs="Times New Roman"/>
          <w:b/>
          <w:sz w:val="24"/>
        </w:rPr>
      </w:pPr>
    </w:p>
    <w:p w14:paraId="2021E2BE" w14:textId="22143B3A" w:rsidR="004E71F4" w:rsidRPr="00A3389E" w:rsidRDefault="004E71F4" w:rsidP="004E71F4">
      <w:pPr>
        <w:pStyle w:val="Annexetitre"/>
        <w:spacing w:before="0"/>
      </w:pPr>
      <w:r w:rsidRPr="00A3389E">
        <w:t>PRÍLOHA XVI – Pokyny na zverejňovanie cieľov</w:t>
      </w:r>
      <w:r w:rsidR="00A3389E">
        <w:t xml:space="preserve"> a </w:t>
      </w:r>
      <w:r w:rsidRPr="00A3389E">
        <w:t>politík riadenia rizík, expozícií voči kreditnému riziku, rizika zníženia kvality pohľadávok</w:t>
      </w:r>
      <w:r w:rsidR="00A3389E">
        <w:t xml:space="preserve"> z </w:t>
      </w:r>
      <w:r w:rsidRPr="00A3389E">
        <w:t>iných ako kreditných dôvodov</w:t>
      </w:r>
      <w:r w:rsidR="00A3389E">
        <w:t xml:space="preserve"> a </w:t>
      </w:r>
      <w:r w:rsidRPr="00A3389E">
        <w:t>kreditnej kvality</w:t>
      </w:r>
    </w:p>
    <w:p w14:paraId="4F04453A" w14:textId="103FE2BC" w:rsidR="004E71F4" w:rsidRPr="00023CBA" w:rsidRDefault="00A3389E" w:rsidP="00A3389E">
      <w:pPr>
        <w:spacing w:after="120"/>
        <w:ind w:left="720" w:hanging="360"/>
        <w:jc w:val="both"/>
        <w:rPr>
          <w:rFonts w:ascii="Times New Roman" w:hAnsi="Times New Roman"/>
          <w:bCs/>
          <w:spacing w:val="-6"/>
          <w:sz w:val="24"/>
        </w:rPr>
      </w:pPr>
      <w:r w:rsidRPr="00A3389E">
        <w:rPr>
          <w:rFonts w:ascii="Times New Roman" w:eastAsia="Calibri" w:hAnsi="Times New Roman" w:cs="Times New Roman"/>
          <w:bCs/>
          <w:sz w:val="24"/>
          <w:szCs w:val="22"/>
        </w:rPr>
        <w:t>1.</w:t>
      </w:r>
      <w:r w:rsidRPr="00A3389E">
        <w:rPr>
          <w:rFonts w:ascii="Times New Roman" w:eastAsia="Calibri" w:hAnsi="Times New Roman" w:cs="Times New Roman"/>
          <w:bCs/>
          <w:sz w:val="24"/>
          <w:szCs w:val="22"/>
        </w:rPr>
        <w:tab/>
      </w:r>
      <w:r w:rsidR="004E71F4" w:rsidRPr="00023CBA">
        <w:rPr>
          <w:rFonts w:ascii="Times New Roman" w:hAnsi="Times New Roman"/>
          <w:spacing w:val="-6"/>
          <w:sz w:val="24"/>
        </w:rPr>
        <w:t>Príloha XV</w:t>
      </w:r>
      <w:r w:rsidRPr="00023CBA">
        <w:rPr>
          <w:rFonts w:ascii="Times New Roman" w:hAnsi="Times New Roman"/>
          <w:spacing w:val="-6"/>
          <w:sz w:val="24"/>
        </w:rPr>
        <w:t xml:space="preserve"> k </w:t>
      </w:r>
      <w:r w:rsidR="004E71F4" w:rsidRPr="00023CBA">
        <w:rPr>
          <w:rFonts w:ascii="Times New Roman" w:hAnsi="Times New Roman"/>
          <w:spacing w:val="-6"/>
          <w:sz w:val="24"/>
        </w:rPr>
        <w:t>tomuto vykonávaciemu nariadeniu obsahuje súbor vzorov, ktoré sú uplatniteľné na všetky inštitúcie, na ktoré sa vzťahuje článok 442 CRR. Zahŕňa aj niektoré dodatočné vzory požadované pri veľkých inštitúciách</w:t>
      </w:r>
      <w:r w:rsidRPr="00023CBA">
        <w:rPr>
          <w:rFonts w:ascii="Times New Roman" w:hAnsi="Times New Roman"/>
          <w:spacing w:val="-6"/>
          <w:sz w:val="24"/>
        </w:rPr>
        <w:t xml:space="preserve"> s </w:t>
      </w:r>
      <w:r w:rsidR="004E71F4" w:rsidRPr="00023CBA">
        <w:rPr>
          <w:rFonts w:ascii="Times New Roman" w:hAnsi="Times New Roman"/>
          <w:spacing w:val="-6"/>
          <w:sz w:val="24"/>
        </w:rPr>
        <w:t>pomerom hrubej účtovnej hodnoty úverov</w:t>
      </w:r>
      <w:r w:rsidRPr="00023CBA">
        <w:rPr>
          <w:rFonts w:ascii="Times New Roman" w:hAnsi="Times New Roman"/>
          <w:spacing w:val="-6"/>
          <w:sz w:val="24"/>
        </w:rPr>
        <w:t xml:space="preserve"> a </w:t>
      </w:r>
      <w:r w:rsidR="004E71F4" w:rsidRPr="00023CBA">
        <w:rPr>
          <w:rFonts w:ascii="Times New Roman" w:hAnsi="Times New Roman"/>
          <w:spacing w:val="-6"/>
          <w:sz w:val="24"/>
        </w:rPr>
        <w:t xml:space="preserve">preddavkov, ktoré patria do rozsahu pôsobnosti článku 47a ods. 3 nariadenia (EÚ) </w:t>
      </w:r>
      <w:r w:rsidRPr="00023CBA">
        <w:rPr>
          <w:rFonts w:ascii="Times New Roman" w:hAnsi="Times New Roman"/>
          <w:spacing w:val="-6"/>
          <w:sz w:val="24"/>
        </w:rPr>
        <w:t>č. </w:t>
      </w:r>
      <w:r w:rsidR="004E71F4" w:rsidRPr="00023CBA">
        <w:rPr>
          <w:rFonts w:ascii="Times New Roman" w:hAnsi="Times New Roman"/>
          <w:spacing w:val="-6"/>
          <w:sz w:val="24"/>
        </w:rPr>
        <w:t>575/2013,</w:t>
      </w:r>
      <w:r w:rsidRPr="00023CBA">
        <w:rPr>
          <w:rFonts w:ascii="Times New Roman" w:hAnsi="Times New Roman"/>
          <w:spacing w:val="-6"/>
          <w:sz w:val="24"/>
        </w:rPr>
        <w:t xml:space="preserve"> k </w:t>
      </w:r>
      <w:r w:rsidR="004E71F4" w:rsidRPr="00023CBA">
        <w:rPr>
          <w:rFonts w:ascii="Times New Roman" w:hAnsi="Times New Roman"/>
          <w:spacing w:val="-6"/>
          <w:sz w:val="24"/>
        </w:rPr>
        <w:t>celkovej hrubej účtovnej hodnote úverov</w:t>
      </w:r>
      <w:r w:rsidRPr="00023CBA">
        <w:rPr>
          <w:rFonts w:ascii="Times New Roman" w:hAnsi="Times New Roman"/>
          <w:spacing w:val="-6"/>
          <w:sz w:val="24"/>
        </w:rPr>
        <w:t xml:space="preserve"> a </w:t>
      </w:r>
      <w:r w:rsidR="004E71F4" w:rsidRPr="00023CBA">
        <w:rPr>
          <w:rFonts w:ascii="Times New Roman" w:hAnsi="Times New Roman"/>
          <w:spacing w:val="-6"/>
          <w:sz w:val="24"/>
        </w:rPr>
        <w:t xml:space="preserve">preddavkov, ktoré patria do rozsahu pôsobnosti článku 47a ods. 1 nariadenia (EÚ) </w:t>
      </w:r>
      <w:r w:rsidRPr="00023CBA">
        <w:rPr>
          <w:rFonts w:ascii="Times New Roman" w:hAnsi="Times New Roman"/>
          <w:spacing w:val="-6"/>
          <w:sz w:val="24"/>
        </w:rPr>
        <w:t>č. </w:t>
      </w:r>
      <w:r w:rsidR="004E71F4" w:rsidRPr="00023CBA">
        <w:rPr>
          <w:rFonts w:ascii="Times New Roman" w:hAnsi="Times New Roman"/>
          <w:spacing w:val="-6"/>
          <w:sz w:val="24"/>
        </w:rPr>
        <w:t>575/2013, ktorý sa rovná alebo je vyšší ako 5</w:t>
      </w:r>
      <w:r w:rsidRPr="00023CBA">
        <w:rPr>
          <w:rFonts w:ascii="Times New Roman" w:hAnsi="Times New Roman"/>
          <w:spacing w:val="-6"/>
          <w:sz w:val="24"/>
        </w:rPr>
        <w:t> %</w:t>
      </w:r>
      <w:r w:rsidR="004E71F4" w:rsidRPr="00023CBA">
        <w:rPr>
          <w:rFonts w:ascii="Times New Roman" w:hAnsi="Times New Roman"/>
          <w:spacing w:val="-6"/>
          <w:sz w:val="24"/>
        </w:rPr>
        <w:t>. Na účely tohto pomeru</w:t>
      </w:r>
      <w:r w:rsidRPr="00023CBA">
        <w:rPr>
          <w:rFonts w:ascii="Times New Roman" w:hAnsi="Times New Roman"/>
          <w:spacing w:val="-6"/>
          <w:sz w:val="24"/>
        </w:rPr>
        <w:t xml:space="preserve"> a </w:t>
      </w:r>
      <w:r w:rsidR="004E71F4" w:rsidRPr="00023CBA">
        <w:rPr>
          <w:rFonts w:ascii="Times New Roman" w:hAnsi="Times New Roman"/>
          <w:spacing w:val="-6"/>
          <w:sz w:val="24"/>
        </w:rPr>
        <w:t>vzorov uvedených</w:t>
      </w:r>
      <w:r w:rsidRPr="00023CBA">
        <w:rPr>
          <w:rFonts w:ascii="Times New Roman" w:hAnsi="Times New Roman"/>
          <w:spacing w:val="-6"/>
          <w:sz w:val="24"/>
        </w:rPr>
        <w:t xml:space="preserve"> v </w:t>
      </w:r>
      <w:r w:rsidR="004E71F4" w:rsidRPr="00023CBA">
        <w:rPr>
          <w:rFonts w:ascii="Times New Roman" w:hAnsi="Times New Roman"/>
          <w:spacing w:val="-6"/>
          <w:sz w:val="24"/>
        </w:rPr>
        <w:t>prílohe XV sa úvery</w:t>
      </w:r>
      <w:r w:rsidRPr="00023CBA">
        <w:rPr>
          <w:rFonts w:ascii="Times New Roman" w:hAnsi="Times New Roman"/>
          <w:spacing w:val="-6"/>
          <w:sz w:val="24"/>
        </w:rPr>
        <w:t xml:space="preserve"> a </w:t>
      </w:r>
      <w:r w:rsidR="004E71F4" w:rsidRPr="00023CBA">
        <w:rPr>
          <w:rFonts w:ascii="Times New Roman" w:hAnsi="Times New Roman"/>
          <w:spacing w:val="-6"/>
          <w:sz w:val="24"/>
        </w:rPr>
        <w:t>preddavky klasifikované ako držané na predaj, pokladničné zostatky</w:t>
      </w:r>
      <w:r w:rsidRPr="00023CBA">
        <w:rPr>
          <w:rFonts w:ascii="Times New Roman" w:hAnsi="Times New Roman"/>
          <w:spacing w:val="-6"/>
          <w:sz w:val="24"/>
        </w:rPr>
        <w:t xml:space="preserve"> v </w:t>
      </w:r>
      <w:r w:rsidR="004E71F4" w:rsidRPr="00023CBA">
        <w:rPr>
          <w:rFonts w:ascii="Times New Roman" w:hAnsi="Times New Roman"/>
          <w:spacing w:val="-6"/>
          <w:sz w:val="24"/>
        </w:rPr>
        <w:t>centrálnych bankách</w:t>
      </w:r>
      <w:r w:rsidRPr="00023CBA">
        <w:rPr>
          <w:rFonts w:ascii="Times New Roman" w:hAnsi="Times New Roman"/>
          <w:spacing w:val="-6"/>
          <w:sz w:val="24"/>
        </w:rPr>
        <w:t xml:space="preserve"> a </w:t>
      </w:r>
      <w:r w:rsidR="004E71F4" w:rsidRPr="00023CBA">
        <w:rPr>
          <w:rFonts w:ascii="Times New Roman" w:hAnsi="Times New Roman"/>
          <w:spacing w:val="-6"/>
          <w:sz w:val="24"/>
        </w:rPr>
        <w:t>ostatné vklady splatné na požiadanie vylúčia tak</w:t>
      </w:r>
      <w:r w:rsidRPr="00023CBA">
        <w:rPr>
          <w:rFonts w:ascii="Times New Roman" w:hAnsi="Times New Roman"/>
          <w:spacing w:val="-6"/>
          <w:sz w:val="24"/>
        </w:rPr>
        <w:t xml:space="preserve"> z </w:t>
      </w:r>
      <w:r w:rsidR="004E71F4" w:rsidRPr="00023CBA">
        <w:rPr>
          <w:rFonts w:ascii="Times New Roman" w:hAnsi="Times New Roman"/>
          <w:spacing w:val="-6"/>
          <w:sz w:val="24"/>
        </w:rPr>
        <w:t>menovateľa, ako aj</w:t>
      </w:r>
      <w:r w:rsidRPr="00023CBA">
        <w:rPr>
          <w:rFonts w:ascii="Times New Roman" w:hAnsi="Times New Roman"/>
          <w:spacing w:val="-6"/>
          <w:sz w:val="24"/>
        </w:rPr>
        <w:t xml:space="preserve"> z </w:t>
      </w:r>
      <w:r w:rsidR="004E71F4" w:rsidRPr="00023CBA">
        <w:rPr>
          <w:rFonts w:ascii="Times New Roman" w:hAnsi="Times New Roman"/>
          <w:spacing w:val="-6"/>
          <w:sz w:val="24"/>
        </w:rPr>
        <w:t>čitateľa pomerov</w:t>
      </w:r>
      <w:r w:rsidRPr="00023CBA">
        <w:rPr>
          <w:rFonts w:ascii="Times New Roman" w:hAnsi="Times New Roman"/>
          <w:spacing w:val="-6"/>
          <w:sz w:val="24"/>
        </w:rPr>
        <w:t xml:space="preserve"> a z </w:t>
      </w:r>
      <w:r w:rsidR="004E71F4" w:rsidRPr="00023CBA">
        <w:rPr>
          <w:rFonts w:ascii="Times New Roman" w:hAnsi="Times New Roman"/>
          <w:spacing w:val="-6"/>
          <w:sz w:val="24"/>
        </w:rPr>
        <w:t>riadkov úverov</w:t>
      </w:r>
      <w:r w:rsidRPr="00023CBA">
        <w:rPr>
          <w:rFonts w:ascii="Times New Roman" w:hAnsi="Times New Roman"/>
          <w:spacing w:val="-6"/>
          <w:sz w:val="24"/>
        </w:rPr>
        <w:t xml:space="preserve"> a </w:t>
      </w:r>
      <w:r w:rsidR="004E71F4" w:rsidRPr="00023CBA">
        <w:rPr>
          <w:rFonts w:ascii="Times New Roman" w:hAnsi="Times New Roman"/>
          <w:spacing w:val="-6"/>
          <w:sz w:val="24"/>
        </w:rPr>
        <w:t>preddavkov zahrnutých vo vzoroch. Informácie</w:t>
      </w:r>
      <w:r w:rsidRPr="00023CBA">
        <w:rPr>
          <w:rFonts w:ascii="Times New Roman" w:hAnsi="Times New Roman"/>
          <w:spacing w:val="-6"/>
          <w:sz w:val="24"/>
        </w:rPr>
        <w:t xml:space="preserve"> o </w:t>
      </w:r>
      <w:r w:rsidR="004E71F4" w:rsidRPr="00023CBA">
        <w:rPr>
          <w:rFonts w:ascii="Times New Roman" w:hAnsi="Times New Roman"/>
          <w:spacing w:val="-6"/>
          <w:sz w:val="24"/>
        </w:rPr>
        <w:t>pokladničných zostatkoch</w:t>
      </w:r>
      <w:r w:rsidRPr="00023CBA">
        <w:rPr>
          <w:rFonts w:ascii="Times New Roman" w:hAnsi="Times New Roman"/>
          <w:spacing w:val="-6"/>
          <w:sz w:val="24"/>
        </w:rPr>
        <w:t xml:space="preserve"> v </w:t>
      </w:r>
      <w:r w:rsidR="004E71F4" w:rsidRPr="00023CBA">
        <w:rPr>
          <w:rFonts w:ascii="Times New Roman" w:hAnsi="Times New Roman"/>
          <w:spacing w:val="-6"/>
          <w:sz w:val="24"/>
        </w:rPr>
        <w:t>centrálnych bankách</w:t>
      </w:r>
      <w:r w:rsidRPr="00023CBA">
        <w:rPr>
          <w:rFonts w:ascii="Times New Roman" w:hAnsi="Times New Roman"/>
          <w:spacing w:val="-6"/>
          <w:sz w:val="24"/>
        </w:rPr>
        <w:t xml:space="preserve"> a </w:t>
      </w:r>
      <w:r w:rsidR="004E71F4" w:rsidRPr="00023CBA">
        <w:rPr>
          <w:rFonts w:ascii="Times New Roman" w:hAnsi="Times New Roman"/>
          <w:spacing w:val="-6"/>
          <w:sz w:val="24"/>
        </w:rPr>
        <w:t>ostatných vkladoch splatných na požiadanie sa</w:t>
      </w:r>
      <w:r w:rsidRPr="00023CBA">
        <w:rPr>
          <w:rFonts w:ascii="Times New Roman" w:hAnsi="Times New Roman"/>
          <w:spacing w:val="-6"/>
          <w:sz w:val="24"/>
        </w:rPr>
        <w:t xml:space="preserve"> v </w:t>
      </w:r>
      <w:r w:rsidR="004E71F4" w:rsidRPr="00023CBA">
        <w:rPr>
          <w:rFonts w:ascii="Times New Roman" w:hAnsi="Times New Roman"/>
          <w:spacing w:val="-6"/>
          <w:sz w:val="24"/>
        </w:rPr>
        <w:t>niektorých</w:t>
      </w:r>
      <w:r w:rsidRPr="00023CBA">
        <w:rPr>
          <w:rFonts w:ascii="Times New Roman" w:hAnsi="Times New Roman"/>
          <w:spacing w:val="-6"/>
          <w:sz w:val="24"/>
        </w:rPr>
        <w:t xml:space="preserve"> z </w:t>
      </w:r>
      <w:r w:rsidR="004E71F4" w:rsidRPr="00023CBA">
        <w:rPr>
          <w:rFonts w:ascii="Times New Roman" w:hAnsi="Times New Roman"/>
          <w:spacing w:val="-6"/>
          <w:sz w:val="24"/>
        </w:rPr>
        <w:t>nich zverejňujú osobitne.</w:t>
      </w:r>
    </w:p>
    <w:p w14:paraId="71E0905E" w14:textId="77FFCA7A" w:rsidR="004E71F4" w:rsidRPr="00A3389E" w:rsidRDefault="00A3389E" w:rsidP="00A3389E">
      <w:pPr>
        <w:spacing w:after="120"/>
        <w:ind w:left="720" w:hanging="360"/>
        <w:jc w:val="both"/>
        <w:rPr>
          <w:rFonts w:ascii="Times New Roman" w:hAnsi="Times New Roman"/>
          <w:bCs/>
          <w:sz w:val="24"/>
        </w:rPr>
      </w:pPr>
      <w:r w:rsidRPr="00A3389E">
        <w:rPr>
          <w:rFonts w:ascii="Times New Roman" w:eastAsia="Calibri" w:hAnsi="Times New Roman" w:cs="Times New Roman"/>
          <w:bCs/>
          <w:sz w:val="24"/>
          <w:szCs w:val="22"/>
        </w:rPr>
        <w:t>2.</w:t>
      </w:r>
      <w:r w:rsidRPr="00A3389E">
        <w:rPr>
          <w:rFonts w:ascii="Times New Roman" w:eastAsia="Calibri" w:hAnsi="Times New Roman" w:cs="Times New Roman"/>
          <w:bCs/>
          <w:sz w:val="24"/>
          <w:szCs w:val="22"/>
        </w:rPr>
        <w:tab/>
      </w:r>
      <w:r w:rsidR="004E71F4" w:rsidRPr="00A3389E">
        <w:rPr>
          <w:rFonts w:ascii="Times New Roman" w:hAnsi="Times New Roman"/>
          <w:sz w:val="24"/>
        </w:rPr>
        <w:t>S cieľom poskytnúť dostatočne komplexné</w:t>
      </w:r>
      <w:r>
        <w:rPr>
          <w:rFonts w:ascii="Times New Roman" w:hAnsi="Times New Roman"/>
          <w:sz w:val="24"/>
        </w:rPr>
        <w:t xml:space="preserve"> a </w:t>
      </w:r>
      <w:r w:rsidR="004E71F4" w:rsidRPr="00A3389E">
        <w:rPr>
          <w:rFonts w:ascii="Times New Roman" w:hAnsi="Times New Roman"/>
          <w:sz w:val="24"/>
        </w:rPr>
        <w:t>porovnateľné informácie používateľom týchto informácií na to, aby dokázali posúdiť rizikové profily inštitúcií, sú potrebné dodatočné vzory.</w:t>
      </w:r>
      <w:r>
        <w:rPr>
          <w:rFonts w:ascii="Times New Roman" w:hAnsi="Times New Roman"/>
          <w:sz w:val="24"/>
        </w:rPr>
        <w:t xml:space="preserve"> Z </w:t>
      </w:r>
      <w:r w:rsidR="004E71F4" w:rsidRPr="00A3389E">
        <w:rPr>
          <w:rFonts w:ascii="Times New Roman" w:hAnsi="Times New Roman"/>
          <w:sz w:val="24"/>
        </w:rPr>
        <w:t>tohto dôvodu inštitúcie pri čítaní týchto pokynov zohľadňujú kritériá proporcionality uvedené</w:t>
      </w:r>
      <w:r>
        <w:rPr>
          <w:rFonts w:ascii="Times New Roman" w:hAnsi="Times New Roman"/>
          <w:sz w:val="24"/>
        </w:rPr>
        <w:t xml:space="preserve"> v </w:t>
      </w:r>
      <w:r w:rsidR="004E71F4" w:rsidRPr="00A3389E">
        <w:rPr>
          <w:rFonts w:ascii="Times New Roman" w:hAnsi="Times New Roman"/>
          <w:sz w:val="24"/>
        </w:rPr>
        <w:t>článku 9 tohto vykonávacieho nariadenia.</w:t>
      </w:r>
    </w:p>
    <w:p w14:paraId="4F0F5F3B" w14:textId="7BF515C9" w:rsidR="004E71F4" w:rsidRPr="00A3389E" w:rsidRDefault="00D95507" w:rsidP="004E71F4">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Tabuľka EU CRA: Všeobecné kvalitatívne informácie</w:t>
      </w:r>
      <w:r w:rsidR="00A3389E">
        <w:rPr>
          <w:rFonts w:ascii="Times New Roman" w:hAnsi="Times New Roman" w:cs="Times New Roman"/>
          <w:b/>
          <w:sz w:val="24"/>
        </w:rPr>
        <w:t xml:space="preserve"> o </w:t>
      </w:r>
      <w:r w:rsidRPr="00A3389E">
        <w:rPr>
          <w:rFonts w:ascii="Times New Roman" w:hAnsi="Times New Roman" w:cs="Times New Roman"/>
          <w:b/>
          <w:sz w:val="24"/>
        </w:rPr>
        <w:t>kreditnom riziku</w:t>
      </w:r>
    </w:p>
    <w:p w14:paraId="1BC548A8" w14:textId="1322FDFC" w:rsidR="004E71F4" w:rsidRPr="00023CBA" w:rsidRDefault="00A3389E" w:rsidP="00A3389E">
      <w:pPr>
        <w:spacing w:after="120"/>
        <w:ind w:left="720" w:hanging="360"/>
        <w:jc w:val="both"/>
        <w:rPr>
          <w:rFonts w:ascii="Times New Roman" w:hAnsi="Times New Roman"/>
          <w:bCs/>
          <w:spacing w:val="-6"/>
          <w:sz w:val="24"/>
        </w:rPr>
      </w:pPr>
      <w:r w:rsidRPr="00A3389E">
        <w:rPr>
          <w:rFonts w:ascii="Times New Roman" w:eastAsia="Calibri" w:hAnsi="Times New Roman" w:cs="Times New Roman"/>
          <w:bCs/>
          <w:sz w:val="24"/>
          <w:szCs w:val="22"/>
        </w:rPr>
        <w:t>3.</w:t>
      </w:r>
      <w:r w:rsidRPr="00A3389E">
        <w:rPr>
          <w:rFonts w:ascii="Times New Roman" w:eastAsia="Calibri" w:hAnsi="Times New Roman" w:cs="Times New Roman"/>
          <w:bCs/>
          <w:sz w:val="24"/>
          <w:szCs w:val="22"/>
        </w:rPr>
        <w:tab/>
      </w:r>
      <w:r w:rsidR="004E71F4" w:rsidRPr="00023CBA">
        <w:rPr>
          <w:rFonts w:ascii="Times New Roman" w:hAnsi="Times New Roman"/>
          <w:bCs/>
          <w:spacing w:val="-6"/>
          <w:sz w:val="24"/>
        </w:rPr>
        <w:t xml:space="preserve">Inštitúcie </w:t>
      </w:r>
      <w:r w:rsidR="004E71F4" w:rsidRPr="00023CBA">
        <w:rPr>
          <w:rFonts w:ascii="Times New Roman" w:hAnsi="Times New Roman"/>
          <w:spacing w:val="-6"/>
          <w:sz w:val="24"/>
        </w:rPr>
        <w:t>zverejňujú informácie uvedené</w:t>
      </w:r>
      <w:r w:rsidRPr="00023CBA">
        <w:rPr>
          <w:rFonts w:ascii="Times New Roman" w:hAnsi="Times New Roman"/>
          <w:spacing w:val="-6"/>
          <w:sz w:val="24"/>
        </w:rPr>
        <w:t xml:space="preserve"> v </w:t>
      </w:r>
      <w:r w:rsidR="004E71F4" w:rsidRPr="00023CBA">
        <w:rPr>
          <w:rFonts w:ascii="Times New Roman" w:hAnsi="Times New Roman"/>
          <w:bCs/>
          <w:spacing w:val="-6"/>
          <w:sz w:val="24"/>
        </w:rPr>
        <w:t>článku 435 ods. 1 písm. a), b), d)</w:t>
      </w:r>
      <w:r w:rsidRPr="00023CBA">
        <w:rPr>
          <w:rFonts w:ascii="Times New Roman" w:hAnsi="Times New Roman"/>
          <w:bCs/>
          <w:spacing w:val="-6"/>
          <w:sz w:val="24"/>
        </w:rPr>
        <w:t xml:space="preserve"> a </w:t>
      </w:r>
      <w:r w:rsidR="004E71F4" w:rsidRPr="00023CBA">
        <w:rPr>
          <w:rFonts w:ascii="Times New Roman" w:hAnsi="Times New Roman"/>
          <w:bCs/>
          <w:spacing w:val="-6"/>
          <w:sz w:val="24"/>
        </w:rPr>
        <w:t xml:space="preserve">f) </w:t>
      </w:r>
      <w:r w:rsidR="004E71F4" w:rsidRPr="00023CBA">
        <w:rPr>
          <w:rFonts w:ascii="Times New Roman" w:hAnsi="Times New Roman"/>
          <w:color w:val="000000"/>
          <w:spacing w:val="-6"/>
          <w:sz w:val="24"/>
        </w:rPr>
        <w:t xml:space="preserve">nariadenia (EÚ) </w:t>
      </w:r>
      <w:r w:rsidRPr="00023CBA">
        <w:rPr>
          <w:rFonts w:ascii="Times New Roman" w:hAnsi="Times New Roman"/>
          <w:color w:val="000000"/>
          <w:spacing w:val="-6"/>
          <w:sz w:val="24"/>
        </w:rPr>
        <w:t>č. </w:t>
      </w:r>
      <w:r w:rsidR="004E71F4" w:rsidRPr="00023CBA">
        <w:rPr>
          <w:rFonts w:ascii="Times New Roman" w:hAnsi="Times New Roman"/>
          <w:color w:val="000000"/>
          <w:spacing w:val="-6"/>
          <w:sz w:val="24"/>
        </w:rPr>
        <w:t>575/2013</w:t>
      </w:r>
      <w:r w:rsidR="004E71F4" w:rsidRPr="00023CBA">
        <w:rPr>
          <w:rStyle w:val="FootnoteReference"/>
          <w:rFonts w:ascii="Times New Roman" w:hAnsi="Times New Roman" w:cs="Times New Roman"/>
          <w:color w:val="000000"/>
          <w:spacing w:val="-6"/>
        </w:rPr>
        <w:footnoteReference w:id="28"/>
      </w:r>
      <w:r w:rsidR="004E71F4" w:rsidRPr="00023CBA">
        <w:rPr>
          <w:rFonts w:ascii="Times New Roman" w:hAnsi="Times New Roman"/>
          <w:color w:val="000000"/>
          <w:spacing w:val="-6"/>
          <w:sz w:val="24"/>
        </w:rPr>
        <w:t xml:space="preserve"> („CRR“)</w:t>
      </w:r>
      <w:r w:rsidRPr="00023CBA">
        <w:rPr>
          <w:rFonts w:ascii="Times New Roman" w:hAnsi="Times New Roman"/>
          <w:bCs/>
          <w:spacing w:val="-6"/>
          <w:sz w:val="24"/>
        </w:rPr>
        <w:t xml:space="preserve"> o </w:t>
      </w:r>
      <w:r w:rsidR="004E71F4" w:rsidRPr="00023CBA">
        <w:rPr>
          <w:rFonts w:ascii="Times New Roman" w:hAnsi="Times New Roman"/>
          <w:bCs/>
          <w:spacing w:val="-6"/>
          <w:sz w:val="24"/>
        </w:rPr>
        <w:t>svojich cieľoch</w:t>
      </w:r>
      <w:r w:rsidRPr="00023CBA">
        <w:rPr>
          <w:rFonts w:ascii="Times New Roman" w:hAnsi="Times New Roman"/>
          <w:bCs/>
          <w:spacing w:val="-6"/>
          <w:sz w:val="24"/>
        </w:rPr>
        <w:t xml:space="preserve"> a </w:t>
      </w:r>
      <w:r w:rsidR="004E71F4" w:rsidRPr="00023CBA">
        <w:rPr>
          <w:rFonts w:ascii="Times New Roman" w:hAnsi="Times New Roman"/>
          <w:bCs/>
          <w:spacing w:val="-6"/>
          <w:sz w:val="24"/>
        </w:rPr>
        <w:t>politikách riadenia rizík pre kreditné riziko podľa pokynov uvedených</w:t>
      </w:r>
      <w:r w:rsidRPr="00023CBA">
        <w:rPr>
          <w:rFonts w:ascii="Times New Roman" w:hAnsi="Times New Roman"/>
          <w:bCs/>
          <w:spacing w:val="-6"/>
          <w:sz w:val="24"/>
        </w:rPr>
        <w:t xml:space="preserve"> v </w:t>
      </w:r>
      <w:r w:rsidR="004E71F4" w:rsidRPr="00023CBA">
        <w:rPr>
          <w:rFonts w:ascii="Times New Roman" w:hAnsi="Times New Roman"/>
          <w:bCs/>
          <w:spacing w:val="-6"/>
          <w:sz w:val="24"/>
        </w:rPr>
        <w:t>tejto prílohe</w:t>
      </w:r>
      <w:r w:rsidRPr="00023CBA">
        <w:rPr>
          <w:rFonts w:ascii="Times New Roman" w:hAnsi="Times New Roman"/>
          <w:bCs/>
          <w:spacing w:val="-6"/>
          <w:sz w:val="24"/>
        </w:rPr>
        <w:t xml:space="preserve"> s </w:t>
      </w:r>
      <w:r w:rsidR="004E71F4" w:rsidRPr="00023CBA">
        <w:rPr>
          <w:rFonts w:ascii="Times New Roman" w:hAnsi="Times New Roman"/>
          <w:bCs/>
          <w:spacing w:val="-6"/>
          <w:sz w:val="24"/>
        </w:rPr>
        <w:t>cieľom vyplniť tabuľku EU CRA, ktorá je uvedená</w:t>
      </w:r>
      <w:r w:rsidRPr="00023CBA">
        <w:rPr>
          <w:rFonts w:ascii="Times New Roman" w:hAnsi="Times New Roman"/>
          <w:bCs/>
          <w:spacing w:val="-6"/>
          <w:sz w:val="24"/>
        </w:rPr>
        <w:t xml:space="preserve"> v </w:t>
      </w:r>
      <w:r w:rsidR="004E71F4" w:rsidRPr="00023CBA">
        <w:rPr>
          <w:rFonts w:ascii="Times New Roman" w:hAnsi="Times New Roman"/>
          <w:bCs/>
          <w:spacing w:val="-6"/>
          <w:sz w:val="24"/>
        </w:rPr>
        <w:t>prílohe XV</w:t>
      </w:r>
      <w:r w:rsidRPr="00023CBA">
        <w:rPr>
          <w:rFonts w:ascii="Times New Roman" w:hAnsi="Times New Roman"/>
          <w:bCs/>
          <w:spacing w:val="-6"/>
          <w:sz w:val="24"/>
        </w:rPr>
        <w:t xml:space="preserve"> k </w:t>
      </w:r>
      <w:r w:rsidR="004E71F4" w:rsidRPr="00023CBA">
        <w:rPr>
          <w:rFonts w:ascii="Times New Roman" w:hAnsi="Times New Roman"/>
          <w:bCs/>
          <w:spacing w:val="-6"/>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286F29EA"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0DD24241" w14:textId="77777777" w:rsidTr="00155C96">
        <w:trPr>
          <w:trHeight w:val="238"/>
        </w:trPr>
        <w:tc>
          <w:tcPr>
            <w:tcW w:w="1384" w:type="dxa"/>
            <w:shd w:val="clear" w:color="auto" w:fill="D9D9D9" w:themeFill="background1" w:themeFillShade="D9"/>
          </w:tcPr>
          <w:p w14:paraId="50A52832"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6B03DA15"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08E28A42" w14:textId="77777777" w:rsidTr="00155C96">
        <w:trPr>
          <w:trHeight w:val="935"/>
        </w:trPr>
        <w:tc>
          <w:tcPr>
            <w:tcW w:w="1384" w:type="dxa"/>
          </w:tcPr>
          <w:p w14:paraId="56447D5F" w14:textId="303A538F" w:rsidR="004E71F4" w:rsidRPr="00A3389E" w:rsidRDefault="00555DE1" w:rsidP="00555DE1">
            <w:pPr>
              <w:pStyle w:val="Applicationdirecte"/>
              <w:spacing w:before="0"/>
              <w:jc w:val="center"/>
            </w:pPr>
            <w:r w:rsidRPr="00A3389E">
              <w:t>a)</w:t>
            </w:r>
          </w:p>
        </w:tc>
        <w:tc>
          <w:tcPr>
            <w:tcW w:w="7655" w:type="dxa"/>
          </w:tcPr>
          <w:p w14:paraId="1C8A8379" w14:textId="6C373A08" w:rsidR="004E71F4" w:rsidRPr="00A3389E" w:rsidRDefault="004E71F4" w:rsidP="00155C96">
            <w:pPr>
              <w:pStyle w:val="Applicationdirecte"/>
              <w:spacing w:before="0"/>
            </w:pPr>
            <w:r w:rsidRPr="00A3389E">
              <w:t>V stručnom vyhlásení</w:t>
            </w:r>
            <w:r w:rsidR="00A3389E">
              <w:t xml:space="preserve"> o </w:t>
            </w:r>
            <w:r w:rsidRPr="00A3389E">
              <w:t>riziku</w:t>
            </w:r>
            <w:r w:rsidR="00A3389E">
              <w:t xml:space="preserve"> v </w:t>
            </w:r>
            <w:r w:rsidRPr="00A3389E">
              <w:t>súlade</w:t>
            </w:r>
            <w:r w:rsidR="00A3389E">
              <w:t xml:space="preserve"> s </w:t>
            </w:r>
            <w:r w:rsidRPr="00A3389E">
              <w:t>článkom 435 ods. 1 písm. f) CRR spôsob, akým sa obchodný model premieta do zložiek profilu kreditného rizika inštitúcie.</w:t>
            </w:r>
          </w:p>
        </w:tc>
      </w:tr>
      <w:tr w:rsidR="004E71F4" w:rsidRPr="00A3389E" w14:paraId="1B71C28C" w14:textId="77777777" w:rsidTr="00155C96">
        <w:trPr>
          <w:trHeight w:val="1403"/>
        </w:trPr>
        <w:tc>
          <w:tcPr>
            <w:tcW w:w="1384" w:type="dxa"/>
          </w:tcPr>
          <w:p w14:paraId="75DEBC85" w14:textId="498C5810" w:rsidR="004E71F4" w:rsidRPr="00A3389E" w:rsidRDefault="00555DE1" w:rsidP="00555DE1">
            <w:pPr>
              <w:pStyle w:val="Applicationdirecte"/>
              <w:spacing w:before="0"/>
              <w:jc w:val="center"/>
            </w:pPr>
            <w:r w:rsidRPr="00A3389E">
              <w:t>b)</w:t>
            </w:r>
          </w:p>
        </w:tc>
        <w:tc>
          <w:tcPr>
            <w:tcW w:w="7655" w:type="dxa"/>
          </w:tcPr>
          <w:p w14:paraId="7CF34382" w14:textId="172B60A3" w:rsidR="004E71F4" w:rsidRPr="00A3389E" w:rsidRDefault="004E71F4" w:rsidP="00155C96">
            <w:pPr>
              <w:pStyle w:val="Fait"/>
              <w:spacing w:before="0" w:after="120"/>
            </w:pPr>
            <w:r w:rsidRPr="00A3389E">
              <w:t>Pri diskusii</w:t>
            </w:r>
            <w:r w:rsidR="00A3389E">
              <w:t xml:space="preserve"> o </w:t>
            </w:r>
            <w:r w:rsidRPr="00A3389E">
              <w:t>svojich stratégiách</w:t>
            </w:r>
            <w:r w:rsidR="00A3389E">
              <w:t xml:space="preserve"> a </w:t>
            </w:r>
            <w:r w:rsidRPr="00A3389E">
              <w:t>postupoch riadenia kreditného rizika</w:t>
            </w:r>
            <w:r w:rsidR="00A3389E">
              <w:t xml:space="preserve"> a </w:t>
            </w:r>
            <w:r w:rsidRPr="00A3389E">
              <w:t>politikách týkajúcich sa hedžingu</w:t>
            </w:r>
            <w:r w:rsidR="00A3389E">
              <w:t xml:space="preserve"> a </w:t>
            </w:r>
            <w:r w:rsidRPr="00A3389E">
              <w:t>zmierňovania tohto rizika</w:t>
            </w:r>
            <w:r w:rsidR="00A3389E">
              <w:t xml:space="preserve"> v </w:t>
            </w:r>
            <w:r w:rsidRPr="00A3389E">
              <w:t>súlade</w:t>
            </w:r>
            <w:r w:rsidR="00A3389E">
              <w:t xml:space="preserve"> s </w:t>
            </w:r>
            <w:r w:rsidRPr="00A3389E">
              <w:t>článkom 435 ods. 1 písm. a)</w:t>
            </w:r>
            <w:r w:rsidR="00A3389E">
              <w:t xml:space="preserve"> a </w:t>
            </w:r>
            <w:r w:rsidRPr="00A3389E">
              <w:t>d) CRR kritériá</w:t>
            </w:r>
            <w:r w:rsidR="00A3389E">
              <w:t xml:space="preserve"> a </w:t>
            </w:r>
            <w:r w:rsidRPr="00A3389E">
              <w:t>prístup použité na vymedzenie politiky riadenia kreditného rizika</w:t>
            </w:r>
            <w:r w:rsidR="00A3389E">
              <w:t xml:space="preserve"> a </w:t>
            </w:r>
            <w:r w:rsidRPr="00A3389E">
              <w:t>na stanovenie limitov kreditného rizika.</w:t>
            </w:r>
          </w:p>
        </w:tc>
      </w:tr>
      <w:tr w:rsidR="004E71F4" w:rsidRPr="00A3389E" w14:paraId="178A46CE" w14:textId="77777777" w:rsidTr="00155C96">
        <w:trPr>
          <w:trHeight w:val="755"/>
        </w:trPr>
        <w:tc>
          <w:tcPr>
            <w:tcW w:w="1384" w:type="dxa"/>
          </w:tcPr>
          <w:p w14:paraId="7641331F" w14:textId="40CA5622" w:rsidR="004E71F4" w:rsidRPr="00A3389E" w:rsidRDefault="00555DE1" w:rsidP="00555DE1">
            <w:pPr>
              <w:pStyle w:val="Applicationdirecte"/>
              <w:spacing w:before="0"/>
              <w:jc w:val="center"/>
            </w:pPr>
            <w:r w:rsidRPr="00A3389E">
              <w:t>c)</w:t>
            </w:r>
          </w:p>
        </w:tc>
        <w:tc>
          <w:tcPr>
            <w:tcW w:w="7655" w:type="dxa"/>
          </w:tcPr>
          <w:p w14:paraId="3E532A4B" w14:textId="21083956" w:rsidR="004E71F4" w:rsidRPr="00A3389E" w:rsidRDefault="004E71F4" w:rsidP="00155C96">
            <w:pPr>
              <w:pStyle w:val="Applicationdirecte"/>
              <w:spacing w:before="0"/>
            </w:pPr>
            <w:r w:rsidRPr="00A3389E">
              <w:t>Pri informovaní</w:t>
            </w:r>
            <w:r w:rsidR="00A3389E">
              <w:t xml:space="preserve"> o </w:t>
            </w:r>
            <w:r w:rsidRPr="00A3389E">
              <w:t>štruktúre</w:t>
            </w:r>
            <w:r w:rsidR="00A3389E">
              <w:t xml:space="preserve"> a </w:t>
            </w:r>
            <w:r w:rsidRPr="00A3389E">
              <w:t>organizácii funkcie riadenia rizík</w:t>
            </w:r>
            <w:r w:rsidR="00A3389E">
              <w:t xml:space="preserve"> v </w:t>
            </w:r>
            <w:r w:rsidRPr="00A3389E">
              <w:t>súlade</w:t>
            </w:r>
            <w:r w:rsidR="00A3389E">
              <w:t xml:space="preserve"> s </w:t>
            </w:r>
            <w:r w:rsidRPr="00A3389E">
              <w:t>článkom 435 ods. 1 písm. b) CRR štruktúra</w:t>
            </w:r>
            <w:r w:rsidR="00A3389E">
              <w:t xml:space="preserve"> a </w:t>
            </w:r>
            <w:r w:rsidRPr="00A3389E">
              <w:t>organizácia funkcie riadenia</w:t>
            </w:r>
            <w:r w:rsidR="00A3389E">
              <w:t xml:space="preserve"> a </w:t>
            </w:r>
            <w:r w:rsidRPr="00A3389E">
              <w:t>kontroly kreditného rizika.</w:t>
            </w:r>
          </w:p>
        </w:tc>
      </w:tr>
      <w:tr w:rsidR="004E71F4" w:rsidRPr="00A3389E" w14:paraId="31DFB78E" w14:textId="77777777" w:rsidTr="00155C96">
        <w:trPr>
          <w:trHeight w:val="755"/>
        </w:trPr>
        <w:tc>
          <w:tcPr>
            <w:tcW w:w="1384" w:type="dxa"/>
          </w:tcPr>
          <w:p w14:paraId="2ECB1239" w14:textId="73A34545" w:rsidR="004E71F4" w:rsidRPr="00A3389E" w:rsidRDefault="00555DE1" w:rsidP="00555DE1">
            <w:pPr>
              <w:pStyle w:val="Applicationdirecte"/>
              <w:spacing w:before="0"/>
              <w:jc w:val="center"/>
            </w:pPr>
            <w:r w:rsidRPr="00A3389E">
              <w:lastRenderedPageBreak/>
              <w:t>d)</w:t>
            </w:r>
          </w:p>
        </w:tc>
        <w:tc>
          <w:tcPr>
            <w:tcW w:w="7655" w:type="dxa"/>
          </w:tcPr>
          <w:p w14:paraId="3F86CFD3" w14:textId="1521D5CB" w:rsidR="004E71F4" w:rsidRPr="00A3389E" w:rsidRDefault="004E71F4" w:rsidP="00155C96">
            <w:pPr>
              <w:pStyle w:val="Applicationdirecte"/>
              <w:spacing w:before="0"/>
            </w:pPr>
            <w:r w:rsidRPr="00A3389E">
              <w:t>Pri informovaní</w:t>
            </w:r>
            <w:r w:rsidR="00A3389E">
              <w:t xml:space="preserve"> o </w:t>
            </w:r>
            <w:r w:rsidRPr="00A3389E">
              <w:t>právomoci, statuse</w:t>
            </w:r>
            <w:r w:rsidR="00A3389E">
              <w:t xml:space="preserve"> a </w:t>
            </w:r>
            <w:r w:rsidRPr="00A3389E">
              <w:t>iných opatreniach týkajúcich sa funkcie riadenia rizík</w:t>
            </w:r>
            <w:r w:rsidR="00A3389E">
              <w:t xml:space="preserve"> v </w:t>
            </w:r>
            <w:r w:rsidRPr="00A3389E">
              <w:t>súlade</w:t>
            </w:r>
            <w:r w:rsidR="00A3389E">
              <w:t xml:space="preserve"> s </w:t>
            </w:r>
            <w:r w:rsidRPr="00A3389E">
              <w:t>článkom 435 ods. 1 písm. b) CRR vzťahy medzi funkciami riadenia kreditného rizika, kontroly rizika, dodržiavania súladu</w:t>
            </w:r>
            <w:r w:rsidR="00A3389E">
              <w:t xml:space="preserve"> a </w:t>
            </w:r>
            <w:r w:rsidRPr="00A3389E">
              <w:t>interného auditu.</w:t>
            </w:r>
          </w:p>
        </w:tc>
      </w:tr>
    </w:tbl>
    <w:p w14:paraId="6E919D9F" w14:textId="715B2898" w:rsidR="004E71F4" w:rsidRPr="00A3389E" w:rsidRDefault="00D95507" w:rsidP="004E71F4">
      <w:pPr>
        <w:autoSpaceDE w:val="0"/>
        <w:autoSpaceDN w:val="0"/>
        <w:adjustRightInd w:val="0"/>
        <w:spacing w:before="240" w:after="120"/>
        <w:rPr>
          <w:rFonts w:ascii="Times New Roman" w:hAnsi="Times New Roman" w:cs="Times New Roman"/>
          <w:b/>
          <w:sz w:val="24"/>
        </w:rPr>
      </w:pPr>
      <w:r w:rsidRPr="00A3389E">
        <w:rPr>
          <w:rFonts w:ascii="Times New Roman" w:hAnsi="Times New Roman" w:cs="Times New Roman"/>
          <w:b/>
          <w:sz w:val="24"/>
        </w:rPr>
        <w:t>Tabuľka EU CRB: Doplňujúce zverejnenie informácií, ktoré sa týkajú kreditnej kvality aktív</w:t>
      </w:r>
    </w:p>
    <w:p w14:paraId="6358D133" w14:textId="5C1CA889" w:rsidR="004E71F4" w:rsidRPr="00A3389E" w:rsidRDefault="00A3389E" w:rsidP="00A3389E">
      <w:pPr>
        <w:autoSpaceDE w:val="0"/>
        <w:autoSpaceDN w:val="0"/>
        <w:adjustRightInd w:val="0"/>
        <w:spacing w:after="120"/>
        <w:ind w:left="720" w:hanging="360"/>
        <w:jc w:val="both"/>
        <w:rPr>
          <w:rFonts w:ascii="Times New Roman" w:hAnsi="Times New Roman"/>
          <w:sz w:val="24"/>
        </w:rPr>
      </w:pPr>
      <w:r w:rsidRPr="00A3389E">
        <w:rPr>
          <w:rFonts w:ascii="Times New Roman" w:eastAsia="Calibri" w:hAnsi="Times New Roman" w:cs="Times New Roman"/>
          <w:sz w:val="24"/>
          <w:szCs w:val="22"/>
        </w:rPr>
        <w:t>4.</w:t>
      </w:r>
      <w:r w:rsidRPr="00A3389E">
        <w:rPr>
          <w:rFonts w:ascii="Times New Roman" w:eastAsia="Calibri" w:hAnsi="Times New Roman" w:cs="Times New Roman"/>
          <w:sz w:val="24"/>
          <w:szCs w:val="22"/>
        </w:rPr>
        <w:tab/>
      </w:r>
      <w:r w:rsidR="004E71F4" w:rsidRPr="00A3389E">
        <w:rPr>
          <w:rFonts w:ascii="Times New Roman" w:hAnsi="Times New Roman"/>
          <w:bCs/>
          <w:sz w:val="24"/>
        </w:rPr>
        <w:t>Inštitúcie</w:t>
      </w:r>
      <w:r w:rsidR="004E71F4" w:rsidRPr="00A3389E">
        <w:rPr>
          <w:rFonts w:ascii="Times New Roman" w:hAnsi="Times New Roman"/>
          <w:sz w:val="24"/>
        </w:rPr>
        <w:t xml:space="preserve"> zverejňujú informácie uvedené</w:t>
      </w:r>
      <w:r>
        <w:rPr>
          <w:rFonts w:ascii="Times New Roman" w:hAnsi="Times New Roman"/>
          <w:sz w:val="24"/>
        </w:rPr>
        <w:t xml:space="preserve"> v </w:t>
      </w:r>
      <w:r w:rsidR="004E71F4" w:rsidRPr="00A3389E">
        <w:rPr>
          <w:rFonts w:ascii="Times New Roman" w:hAnsi="Times New Roman"/>
          <w:bCs/>
          <w:sz w:val="24"/>
        </w:rPr>
        <w:t>článku 442 písm. a)</w:t>
      </w:r>
      <w:r>
        <w:rPr>
          <w:rFonts w:ascii="Times New Roman" w:hAnsi="Times New Roman"/>
          <w:bCs/>
          <w:sz w:val="24"/>
        </w:rPr>
        <w:t xml:space="preserve"> a </w:t>
      </w:r>
      <w:r w:rsidR="004E71F4" w:rsidRPr="00A3389E">
        <w:rPr>
          <w:rFonts w:ascii="Times New Roman" w:hAnsi="Times New Roman"/>
          <w:bCs/>
          <w:sz w:val="24"/>
        </w:rPr>
        <w:t xml:space="preserve">b) </w:t>
      </w:r>
      <w:r w:rsidR="004E71F4" w:rsidRPr="00A3389E">
        <w:rPr>
          <w:rFonts w:ascii="Times New Roman" w:hAnsi="Times New Roman"/>
          <w:color w:val="000000"/>
          <w:sz w:val="24"/>
        </w:rPr>
        <w:t>CRR</w:t>
      </w:r>
      <w:r w:rsidR="004E71F4" w:rsidRPr="00A3389E">
        <w:rPr>
          <w:rFonts w:ascii="Times New Roman" w:hAnsi="Times New Roman"/>
          <w:bCs/>
          <w:sz w:val="24"/>
        </w:rPr>
        <w:t xml:space="preserve"> podľa pokynov uvedených nižšie</w:t>
      </w:r>
      <w:r>
        <w:rPr>
          <w:rFonts w:ascii="Times New Roman" w:hAnsi="Times New Roman"/>
          <w:bCs/>
          <w:sz w:val="24"/>
        </w:rPr>
        <w:t xml:space="preserve"> s </w:t>
      </w:r>
      <w:r w:rsidR="004E71F4" w:rsidRPr="00A3389E">
        <w:rPr>
          <w:rFonts w:ascii="Times New Roman" w:hAnsi="Times New Roman"/>
          <w:bCs/>
          <w:sz w:val="24"/>
        </w:rPr>
        <w:t>cieľom vyplniť tabuľku EU CRB, ktorá je uvedená</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r w:rsidR="004E71F4" w:rsidRPr="00A3389E">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3DB0D1A7"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26556FF9" w14:textId="77777777" w:rsidTr="00155C96">
        <w:trPr>
          <w:trHeight w:val="238"/>
        </w:trPr>
        <w:tc>
          <w:tcPr>
            <w:tcW w:w="1384" w:type="dxa"/>
            <w:shd w:val="clear" w:color="auto" w:fill="D9D9D9" w:themeFill="background1" w:themeFillShade="D9"/>
          </w:tcPr>
          <w:p w14:paraId="3DDF285F"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351CA0E6"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6C4B59" w:rsidRPr="00A3389E" w14:paraId="4A0466B8" w14:textId="77777777" w:rsidTr="00155C96">
        <w:trPr>
          <w:trHeight w:val="710"/>
        </w:trPr>
        <w:tc>
          <w:tcPr>
            <w:tcW w:w="1384" w:type="dxa"/>
          </w:tcPr>
          <w:p w14:paraId="36B563D2" w14:textId="64D5D3DD" w:rsidR="006C4B59" w:rsidRPr="00A3389E" w:rsidRDefault="006C4B59" w:rsidP="006C4B59">
            <w:pPr>
              <w:pStyle w:val="Applicationdirecte"/>
              <w:spacing w:before="0"/>
              <w:jc w:val="center"/>
            </w:pPr>
            <w:r w:rsidRPr="00A3389E">
              <w:t>a)</w:t>
            </w:r>
          </w:p>
        </w:tc>
        <w:tc>
          <w:tcPr>
            <w:tcW w:w="7655" w:type="dxa"/>
          </w:tcPr>
          <w:p w14:paraId="67C34A40" w14:textId="089F3B6A" w:rsidR="006C4B59" w:rsidRPr="00A3389E" w:rsidRDefault="006C4B59" w:rsidP="006C4B59">
            <w:pPr>
              <w:pStyle w:val="Applicationdirecte"/>
              <w:spacing w:before="0"/>
            </w:pPr>
            <w:r w:rsidRPr="00A3389E">
              <w:t>Rozsah</w:t>
            </w:r>
            <w:r w:rsidR="00A3389E">
              <w:t xml:space="preserve"> a </w:t>
            </w:r>
            <w:r w:rsidRPr="00A3389E">
              <w:t>vymedzenie pojmov expozícia „po splatnosti“</w:t>
            </w:r>
            <w:r w:rsidR="00A3389E">
              <w:t xml:space="preserve"> a </w:t>
            </w:r>
            <w:r w:rsidRPr="00A3389E">
              <w:t>expozícia so „zníženou hodnotou“ používaných na účtovné účely</w:t>
            </w:r>
            <w:r w:rsidR="00A3389E">
              <w:t xml:space="preserve"> a </w:t>
            </w:r>
            <w:r w:rsidRPr="00A3389E">
              <w:t>prípadné rozdiely medzi vymedzeniami pojmov po splatnosti</w:t>
            </w:r>
            <w:r w:rsidR="00A3389E">
              <w:t xml:space="preserve"> a </w:t>
            </w:r>
            <w:r w:rsidRPr="00A3389E">
              <w:t>zlyhanie na účtovné</w:t>
            </w:r>
            <w:r w:rsidR="00A3389E">
              <w:t xml:space="preserve"> a </w:t>
            </w:r>
            <w:r w:rsidRPr="00A3389E">
              <w:t>regulačné účely</w:t>
            </w:r>
            <w:r w:rsidR="00A3389E">
              <w:t xml:space="preserve"> v </w:t>
            </w:r>
            <w:r w:rsidRPr="00A3389E">
              <w:t>súlade</w:t>
            </w:r>
            <w:r w:rsidR="00A3389E">
              <w:t xml:space="preserve"> s </w:t>
            </w:r>
            <w:r w:rsidRPr="00A3389E">
              <w:t>článkom 178 CRR.</w:t>
            </w:r>
          </w:p>
        </w:tc>
      </w:tr>
      <w:tr w:rsidR="006C4B59" w:rsidRPr="00A3389E" w14:paraId="193BE82D" w14:textId="77777777" w:rsidTr="00155C96">
        <w:trPr>
          <w:trHeight w:val="800"/>
        </w:trPr>
        <w:tc>
          <w:tcPr>
            <w:tcW w:w="1384" w:type="dxa"/>
          </w:tcPr>
          <w:p w14:paraId="25E58925" w14:textId="458E85A8" w:rsidR="006C4B59" w:rsidRPr="00A3389E" w:rsidRDefault="006C4B59" w:rsidP="006C4B59">
            <w:pPr>
              <w:pStyle w:val="Applicationdirecte"/>
              <w:spacing w:before="0"/>
              <w:jc w:val="center"/>
            </w:pPr>
            <w:r w:rsidRPr="00A3389E">
              <w:t>b)</w:t>
            </w:r>
          </w:p>
        </w:tc>
        <w:tc>
          <w:tcPr>
            <w:tcW w:w="7655" w:type="dxa"/>
          </w:tcPr>
          <w:p w14:paraId="71CB2449" w14:textId="0B32EA21" w:rsidR="006C4B59" w:rsidRPr="00A3389E" w:rsidRDefault="006C4B59" w:rsidP="006C4B59">
            <w:pPr>
              <w:pStyle w:val="Fait"/>
              <w:spacing w:before="0" w:after="120"/>
            </w:pPr>
            <w:r w:rsidRPr="00A3389E">
              <w:t>Rozsah expozícií po splatnosti (viac než 90 dní), ktoré sa nepovažujú za expozície so zníženou hodnotou,</w:t>
            </w:r>
            <w:r w:rsidR="00A3389E">
              <w:t xml:space="preserve"> a </w:t>
            </w:r>
            <w:r w:rsidRPr="00A3389E">
              <w:t>príslušné dôvody.</w:t>
            </w:r>
          </w:p>
        </w:tc>
      </w:tr>
      <w:tr w:rsidR="006C4B59" w:rsidRPr="00A3389E" w14:paraId="3C7E51BE" w14:textId="77777777" w:rsidTr="00155C96">
        <w:trPr>
          <w:trHeight w:val="755"/>
        </w:trPr>
        <w:tc>
          <w:tcPr>
            <w:tcW w:w="1384" w:type="dxa"/>
          </w:tcPr>
          <w:p w14:paraId="2A46D04E" w14:textId="2C2AE0FF" w:rsidR="006C4B59" w:rsidRPr="00A3389E" w:rsidRDefault="006C4B59" w:rsidP="006C4B59">
            <w:pPr>
              <w:pStyle w:val="Applicationdirecte"/>
              <w:spacing w:before="0"/>
              <w:jc w:val="center"/>
            </w:pPr>
            <w:r w:rsidRPr="00A3389E">
              <w:t>c)</w:t>
            </w:r>
          </w:p>
        </w:tc>
        <w:tc>
          <w:tcPr>
            <w:tcW w:w="7655" w:type="dxa"/>
          </w:tcPr>
          <w:p w14:paraId="79B1FE86" w14:textId="0543031B" w:rsidR="006C4B59" w:rsidRPr="00A3389E" w:rsidRDefault="006C4B59" w:rsidP="006C4B59">
            <w:pPr>
              <w:pStyle w:val="Applicationdirecte"/>
              <w:spacing w:before="0"/>
            </w:pPr>
            <w:r w:rsidRPr="00A3389E">
              <w:t>Opis metód použitých na stanovenie všeobecných</w:t>
            </w:r>
            <w:r w:rsidR="00A3389E">
              <w:t xml:space="preserve"> a </w:t>
            </w:r>
            <w:r w:rsidRPr="00A3389E">
              <w:t>špecifických úprav kreditného rizika.</w:t>
            </w:r>
          </w:p>
        </w:tc>
      </w:tr>
      <w:tr w:rsidR="006C4B59" w:rsidRPr="00A3389E" w14:paraId="17D3C32C" w14:textId="77777777" w:rsidTr="00155C96">
        <w:trPr>
          <w:trHeight w:val="755"/>
        </w:trPr>
        <w:tc>
          <w:tcPr>
            <w:tcW w:w="1384" w:type="dxa"/>
          </w:tcPr>
          <w:p w14:paraId="5512B1A0" w14:textId="047D9C5C" w:rsidR="006C4B59" w:rsidRPr="00A3389E" w:rsidRDefault="006C4B59" w:rsidP="006C4B59">
            <w:pPr>
              <w:pStyle w:val="Applicationdirecte"/>
              <w:spacing w:before="0"/>
              <w:jc w:val="center"/>
            </w:pPr>
            <w:r w:rsidRPr="00A3389E">
              <w:t>d)</w:t>
            </w:r>
          </w:p>
        </w:tc>
        <w:tc>
          <w:tcPr>
            <w:tcW w:w="7655" w:type="dxa"/>
          </w:tcPr>
          <w:p w14:paraId="49352B87" w14:textId="28E5A6AD" w:rsidR="006C4B59" w:rsidRPr="00A3389E" w:rsidRDefault="006C4B59" w:rsidP="006C4B59">
            <w:pPr>
              <w:pStyle w:val="Applicationdirecte"/>
              <w:spacing w:before="0"/>
            </w:pPr>
            <w:r w:rsidRPr="00A3389E">
              <w:t>Vlastné vymedzenie inštitúcie týkajúce sa reštruktúrovanej expozície, ktoré sa používa na vykonávanie článku 178 ods. 3 písm. d) CRR</w:t>
            </w:r>
            <w:r w:rsidR="00A3389E">
              <w:t xml:space="preserve"> v </w:t>
            </w:r>
            <w:r w:rsidRPr="00A3389E">
              <w:t>súlade</w:t>
            </w:r>
            <w:r w:rsidR="00A3389E">
              <w:t xml:space="preserve"> s </w:t>
            </w:r>
            <w:r w:rsidRPr="00A3389E">
              <w:t>článkom 178 CRR, keď sa líši od vymedzenia expozícií</w:t>
            </w:r>
            <w:r w:rsidR="00A3389E">
              <w:t xml:space="preserve"> s </w:t>
            </w:r>
            <w:r w:rsidRPr="00A3389E">
              <w:t>opatreniami týkajúcimi sa úľavy podľa vymedzenia</w:t>
            </w:r>
            <w:r w:rsidR="00A3389E">
              <w:t xml:space="preserve"> v </w:t>
            </w:r>
            <w:r w:rsidRPr="00A3389E">
              <w:t>článku 47b CRR.</w:t>
            </w:r>
          </w:p>
        </w:tc>
      </w:tr>
    </w:tbl>
    <w:p w14:paraId="31F31C64" w14:textId="77777777" w:rsidR="004E71F4" w:rsidRPr="00A3389E" w:rsidRDefault="004E71F4" w:rsidP="004E71F4">
      <w:pPr>
        <w:autoSpaceDE w:val="0"/>
        <w:autoSpaceDN w:val="0"/>
        <w:adjustRightInd w:val="0"/>
        <w:spacing w:after="120"/>
        <w:jc w:val="both"/>
        <w:rPr>
          <w:rFonts w:ascii="Times New Roman" w:hAnsi="Times New Roman" w:cs="Times New Roman"/>
          <w:b/>
          <w:sz w:val="24"/>
        </w:rPr>
      </w:pPr>
    </w:p>
    <w:p w14:paraId="56950503" w14:textId="7B127F7C" w:rsidR="004E71F4" w:rsidRPr="00A3389E" w:rsidRDefault="00CD362D" w:rsidP="004E71F4">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Vzor EU CR1: Bezproblémové</w:t>
      </w:r>
      <w:r w:rsidR="00A3389E">
        <w:rPr>
          <w:rFonts w:ascii="Times New Roman" w:hAnsi="Times New Roman" w:cs="Times New Roman"/>
          <w:b/>
          <w:sz w:val="24"/>
        </w:rPr>
        <w:t xml:space="preserve"> a </w:t>
      </w:r>
      <w:r w:rsidRPr="00A3389E">
        <w:rPr>
          <w:rFonts w:ascii="Times New Roman" w:hAnsi="Times New Roman" w:cs="Times New Roman"/>
          <w:b/>
          <w:sz w:val="24"/>
        </w:rPr>
        <w:t>problémové expozície</w:t>
      </w:r>
      <w:r w:rsidR="00A3389E">
        <w:rPr>
          <w:rFonts w:ascii="Times New Roman" w:hAnsi="Times New Roman" w:cs="Times New Roman"/>
          <w:b/>
          <w:sz w:val="24"/>
        </w:rPr>
        <w:t xml:space="preserve"> a </w:t>
      </w:r>
      <w:r w:rsidRPr="00A3389E">
        <w:rPr>
          <w:rFonts w:ascii="Times New Roman" w:hAnsi="Times New Roman" w:cs="Times New Roman"/>
          <w:b/>
          <w:sz w:val="24"/>
        </w:rPr>
        <w:t>súvisiace rezervy</w:t>
      </w:r>
    </w:p>
    <w:p w14:paraId="2DEE3861" w14:textId="2D8F1CAD" w:rsidR="004E71F4" w:rsidRPr="00A3389E" w:rsidRDefault="00A3389E" w:rsidP="00A3389E">
      <w:pPr>
        <w:autoSpaceDE w:val="0"/>
        <w:autoSpaceDN w:val="0"/>
        <w:adjustRightInd w:val="0"/>
        <w:spacing w:after="120"/>
        <w:ind w:left="720" w:hanging="360"/>
        <w:contextualSpacing/>
        <w:jc w:val="both"/>
        <w:rPr>
          <w:rFonts w:ascii="Times New Roman" w:hAnsi="Times New Roman"/>
          <w:sz w:val="24"/>
        </w:rPr>
      </w:pPr>
      <w:r w:rsidRPr="00A3389E">
        <w:rPr>
          <w:rFonts w:ascii="Times New Roman" w:eastAsia="Calibri" w:hAnsi="Times New Roman" w:cs="Times New Roman"/>
          <w:sz w:val="24"/>
          <w:szCs w:val="22"/>
        </w:rPr>
        <w:t>5.</w:t>
      </w:r>
      <w:r w:rsidRPr="00A3389E">
        <w:rPr>
          <w:rFonts w:ascii="Times New Roman" w:eastAsia="Calibri" w:hAnsi="Times New Roman" w:cs="Times New Roman"/>
          <w:sz w:val="24"/>
          <w:szCs w:val="22"/>
        </w:rPr>
        <w:tab/>
      </w:r>
      <w:r w:rsidR="004E71F4" w:rsidRPr="00A3389E">
        <w:rPr>
          <w:rFonts w:ascii="Times New Roman" w:hAnsi="Times New Roman"/>
          <w:bCs/>
          <w:sz w:val="24"/>
        </w:rPr>
        <w:t>Inštitúcie zverejňujú informácie uvedené</w:t>
      </w:r>
      <w:r>
        <w:rPr>
          <w:rFonts w:ascii="Times New Roman" w:hAnsi="Times New Roman"/>
          <w:bCs/>
          <w:sz w:val="24"/>
        </w:rPr>
        <w:t xml:space="preserve"> v </w:t>
      </w:r>
      <w:r w:rsidR="004E71F4" w:rsidRPr="00A3389E">
        <w:rPr>
          <w:rFonts w:ascii="Times New Roman" w:hAnsi="Times New Roman"/>
          <w:bCs/>
          <w:sz w:val="24"/>
        </w:rPr>
        <w:t>článku 442 písm. c)</w:t>
      </w:r>
      <w:r>
        <w:rPr>
          <w:rFonts w:ascii="Times New Roman" w:hAnsi="Times New Roman"/>
          <w:bCs/>
          <w:sz w:val="24"/>
        </w:rPr>
        <w:t xml:space="preserve"> a </w:t>
      </w:r>
      <w:r w:rsidR="004E71F4" w:rsidRPr="00A3389E">
        <w:rPr>
          <w:rFonts w:ascii="Times New Roman" w:hAnsi="Times New Roman"/>
          <w:bCs/>
          <w:sz w:val="24"/>
        </w:rPr>
        <w:t xml:space="preserve">e) </w:t>
      </w:r>
      <w:r w:rsidR="004E71F4" w:rsidRPr="00A3389E">
        <w:rPr>
          <w:rFonts w:ascii="Times New Roman" w:hAnsi="Times New Roman"/>
          <w:color w:val="000000"/>
          <w:sz w:val="24"/>
        </w:rPr>
        <w:t>CRR</w:t>
      </w:r>
      <w:r w:rsidR="004E71F4" w:rsidRPr="00A3389E">
        <w:rPr>
          <w:rFonts w:ascii="Times New Roman" w:hAnsi="Times New Roman"/>
          <w:bCs/>
          <w:sz w:val="24"/>
        </w:rPr>
        <w:t xml:space="preserve"> podľa pokynov uvedených nižšie</w:t>
      </w:r>
      <w:r>
        <w:rPr>
          <w:rFonts w:ascii="Times New Roman" w:hAnsi="Times New Roman"/>
          <w:bCs/>
          <w:sz w:val="24"/>
        </w:rPr>
        <w:t xml:space="preserve"> v </w:t>
      </w:r>
      <w:r w:rsidR="004E71F4" w:rsidRPr="00A3389E">
        <w:rPr>
          <w:rFonts w:ascii="Times New Roman" w:hAnsi="Times New Roman"/>
          <w:bCs/>
          <w:sz w:val="24"/>
        </w:rPr>
        <w:t>tejto prílohe</w:t>
      </w:r>
      <w:r>
        <w:rPr>
          <w:rFonts w:ascii="Times New Roman" w:hAnsi="Times New Roman"/>
          <w:bCs/>
          <w:sz w:val="24"/>
        </w:rPr>
        <w:t xml:space="preserve"> s </w:t>
      </w:r>
      <w:r w:rsidR="004E71F4" w:rsidRPr="00A3389E">
        <w:rPr>
          <w:rFonts w:ascii="Times New Roman" w:hAnsi="Times New Roman"/>
          <w:bCs/>
          <w:sz w:val="24"/>
        </w:rPr>
        <w:t>cieľom vyplniť vzor EU CR1,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05D3335A"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5B8EB450" w14:textId="77777777" w:rsidTr="00155C96">
        <w:trPr>
          <w:trHeight w:val="238"/>
        </w:trPr>
        <w:tc>
          <w:tcPr>
            <w:tcW w:w="1384" w:type="dxa"/>
            <w:shd w:val="clear" w:color="auto" w:fill="D9D9D9" w:themeFill="background1" w:themeFillShade="D9"/>
          </w:tcPr>
          <w:p w14:paraId="229A58D4"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164E7943"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28F735B5" w14:textId="77777777" w:rsidTr="00155C96">
        <w:trPr>
          <w:trHeight w:val="845"/>
        </w:trPr>
        <w:tc>
          <w:tcPr>
            <w:tcW w:w="1384" w:type="dxa"/>
          </w:tcPr>
          <w:p w14:paraId="0CA84B04" w14:textId="77777777" w:rsidR="004E71F4" w:rsidRPr="00A3389E" w:rsidRDefault="004E71F4" w:rsidP="00155C96">
            <w:pPr>
              <w:pStyle w:val="Applicationdirecte"/>
              <w:spacing w:before="0"/>
            </w:pPr>
            <w:r w:rsidRPr="00A3389E">
              <w:t>005</w:t>
            </w:r>
          </w:p>
        </w:tc>
        <w:tc>
          <w:tcPr>
            <w:tcW w:w="7655" w:type="dxa"/>
          </w:tcPr>
          <w:p w14:paraId="2F5285C9" w14:textId="64D771A5" w:rsidR="004E71F4" w:rsidRPr="00A3389E" w:rsidRDefault="004E71F4" w:rsidP="00155C96">
            <w:pPr>
              <w:pStyle w:val="Applicationdirecte"/>
              <w:spacing w:before="0"/>
              <w:rPr>
                <w:b/>
              </w:rPr>
            </w:pPr>
            <w:r w:rsidRPr="00A3389E">
              <w:rPr>
                <w:b/>
              </w:rPr>
              <w:t>Pokladničné zostatky</w:t>
            </w:r>
            <w:r w:rsidR="00A3389E">
              <w:rPr>
                <w:b/>
              </w:rPr>
              <w:t xml:space="preserve"> v </w:t>
            </w:r>
            <w:r w:rsidRPr="00A3389E">
              <w:rPr>
                <w:b/>
              </w:rPr>
              <w:t>centrálnych bankách</w:t>
            </w:r>
            <w:r w:rsidR="00A3389E">
              <w:rPr>
                <w:b/>
              </w:rPr>
              <w:t xml:space="preserve"> a </w:t>
            </w:r>
            <w:r w:rsidRPr="00A3389E">
              <w:rPr>
                <w:b/>
              </w:rPr>
              <w:t>ostatné vklady splatné na požiadanie</w:t>
            </w:r>
          </w:p>
          <w:p w14:paraId="0BE345BE" w14:textId="1ADDFA5E" w:rsidR="004E71F4" w:rsidRPr="00A3389E" w:rsidRDefault="004E71F4" w:rsidP="00155C96">
            <w:pPr>
              <w:pStyle w:val="Applicationdirecte"/>
              <w:spacing w:before="0"/>
            </w:pPr>
            <w:r w:rsidRPr="00A3389E">
              <w:t>Inštitúcie zverejňujú tieto informácie</w:t>
            </w:r>
            <w:r w:rsidR="00A3389E">
              <w:t xml:space="preserve"> v </w:t>
            </w:r>
            <w:r w:rsidRPr="00A3389E">
              <w:t>súlade</w:t>
            </w:r>
            <w:r w:rsidR="00A3389E">
              <w:t xml:space="preserve"> s </w:t>
            </w:r>
            <w:r w:rsidRPr="00A3389E">
              <w:t>informáciami vykázanými</w:t>
            </w:r>
            <w:r w:rsidR="00A3389E">
              <w:t xml:space="preserve"> v </w:t>
            </w:r>
            <w:r w:rsidRPr="00A3389E">
              <w:t>prílohách III</w:t>
            </w:r>
            <w:r w:rsidR="00A3389E">
              <w:t xml:space="preserve"> a </w:t>
            </w:r>
            <w:r w:rsidRPr="00A3389E">
              <w:t>IV</w:t>
            </w:r>
            <w:r w:rsidR="00A3389E">
              <w:t xml:space="preserve"> k </w:t>
            </w:r>
            <w:r w:rsidRPr="00A3389E">
              <w:t xml:space="preserve">vykonávaciemu nariadeniu Komisie (EÚ) </w:t>
            </w:r>
            <w:r w:rsidR="00A3389E">
              <w:t>č. </w:t>
            </w:r>
            <w:r w:rsidRPr="00A3389E">
              <w:t>680/2014</w:t>
            </w:r>
            <w:r w:rsidRPr="00A3389E">
              <w:rPr>
                <w:rStyle w:val="FootnoteReference"/>
                <w:rFonts w:ascii="Times New Roman" w:hAnsi="Times New Roman"/>
              </w:rPr>
              <w:footnoteReference w:id="29"/>
            </w:r>
            <w:r w:rsidRPr="00A3389E">
              <w:t>.</w:t>
            </w:r>
          </w:p>
        </w:tc>
      </w:tr>
      <w:tr w:rsidR="004E71F4" w:rsidRPr="00A3389E" w14:paraId="4A9485D2" w14:textId="77777777" w:rsidTr="00155C96">
        <w:trPr>
          <w:trHeight w:val="845"/>
        </w:trPr>
        <w:tc>
          <w:tcPr>
            <w:tcW w:w="1384" w:type="dxa"/>
          </w:tcPr>
          <w:p w14:paraId="2ED436A0" w14:textId="77777777" w:rsidR="004E71F4" w:rsidRPr="00A3389E" w:rsidRDefault="004E71F4" w:rsidP="00155C96">
            <w:pPr>
              <w:pStyle w:val="Applicationdirecte"/>
              <w:spacing w:before="0"/>
            </w:pPr>
            <w:r w:rsidRPr="00A3389E">
              <w:lastRenderedPageBreak/>
              <w:t>010</w:t>
            </w:r>
          </w:p>
        </w:tc>
        <w:tc>
          <w:tcPr>
            <w:tcW w:w="7655" w:type="dxa"/>
          </w:tcPr>
          <w:p w14:paraId="1E4051BF" w14:textId="56AB43FC" w:rsidR="004E71F4" w:rsidRPr="00A3389E" w:rsidRDefault="004E71F4" w:rsidP="00155C96">
            <w:pPr>
              <w:pStyle w:val="Applicationdirecte"/>
              <w:spacing w:before="0"/>
              <w:rPr>
                <w:b/>
              </w:rPr>
            </w:pPr>
            <w:r w:rsidRPr="00A3389E">
              <w:rPr>
                <w:b/>
              </w:rPr>
              <w:t>Úvery</w:t>
            </w:r>
            <w:r w:rsidR="00A3389E">
              <w:rPr>
                <w:b/>
              </w:rPr>
              <w:t xml:space="preserve"> a </w:t>
            </w:r>
            <w:r w:rsidRPr="00A3389E">
              <w:rPr>
                <w:b/>
              </w:rPr>
              <w:t>preddavky</w:t>
            </w:r>
          </w:p>
          <w:p w14:paraId="248CDA04" w14:textId="3E9ED94E" w:rsidR="004E71F4" w:rsidRPr="00023CBA" w:rsidRDefault="004E71F4" w:rsidP="00155C96">
            <w:pPr>
              <w:pStyle w:val="Applicationdirecte"/>
              <w:spacing w:before="0"/>
              <w:rPr>
                <w:spacing w:val="-6"/>
              </w:rPr>
            </w:pPr>
            <w:r w:rsidRPr="00023CBA">
              <w:rPr>
                <w:spacing w:val="-6"/>
              </w:rPr>
              <w:t>Úvery</w:t>
            </w:r>
            <w:r w:rsidR="00A3389E" w:rsidRPr="00023CBA">
              <w:rPr>
                <w:spacing w:val="-6"/>
              </w:rPr>
              <w:t xml:space="preserve"> a </w:t>
            </w:r>
            <w:r w:rsidRPr="00023CBA">
              <w:rPr>
                <w:spacing w:val="-6"/>
              </w:rPr>
              <w:t>preddavky sú dlhové nástroje držané inštitúciami, ktoré nie sú cennými papiermi; táto položka zahŕňa „úvery“</w:t>
            </w:r>
            <w:r w:rsidR="00A3389E" w:rsidRPr="00023CBA">
              <w:rPr>
                <w:spacing w:val="-6"/>
              </w:rPr>
              <w:t xml:space="preserve"> v </w:t>
            </w:r>
            <w:r w:rsidRPr="00023CBA">
              <w:rPr>
                <w:spacing w:val="-6"/>
              </w:rPr>
              <w:t>súlade</w:t>
            </w:r>
            <w:r w:rsidR="00A3389E" w:rsidRPr="00023CBA">
              <w:rPr>
                <w:spacing w:val="-6"/>
              </w:rPr>
              <w:t xml:space="preserve"> s </w:t>
            </w:r>
            <w:r w:rsidRPr="00023CBA">
              <w:rPr>
                <w:spacing w:val="-6"/>
              </w:rPr>
              <w:t xml:space="preserve">nariadením (EÚ) </w:t>
            </w:r>
            <w:r w:rsidR="00A3389E" w:rsidRPr="00023CBA">
              <w:rPr>
                <w:spacing w:val="-6"/>
              </w:rPr>
              <w:t>č. </w:t>
            </w:r>
            <w:r w:rsidRPr="00023CBA">
              <w:rPr>
                <w:spacing w:val="-6"/>
              </w:rPr>
              <w:t>1071/2013 („nariadenie ECB</w:t>
            </w:r>
            <w:r w:rsidR="00A3389E" w:rsidRPr="00023CBA">
              <w:rPr>
                <w:spacing w:val="-6"/>
              </w:rPr>
              <w:t xml:space="preserve"> o </w:t>
            </w:r>
            <w:r w:rsidRPr="00023CBA">
              <w:rPr>
                <w:spacing w:val="-6"/>
              </w:rPr>
              <w:t>bilancii sektora peňažných finančných inštitúcií“)</w:t>
            </w:r>
            <w:r w:rsidRPr="00023CBA">
              <w:rPr>
                <w:rStyle w:val="FootnoteReference"/>
                <w:rFonts w:ascii="Times New Roman" w:hAnsi="Times New Roman"/>
                <w:spacing w:val="-6"/>
              </w:rPr>
              <w:footnoteReference w:id="30"/>
            </w:r>
            <w:r w:rsidRPr="00023CBA">
              <w:rPr>
                <w:spacing w:val="-6"/>
              </w:rPr>
              <w:t>, ako aj preddavky, ktoré nemožno klasifikovať ako „úvery“</w:t>
            </w:r>
            <w:r w:rsidR="00A3389E" w:rsidRPr="00023CBA">
              <w:rPr>
                <w:spacing w:val="-6"/>
              </w:rPr>
              <w:t xml:space="preserve"> v </w:t>
            </w:r>
            <w:r w:rsidRPr="00023CBA">
              <w:rPr>
                <w:spacing w:val="-6"/>
              </w:rPr>
              <w:t>súlade</w:t>
            </w:r>
            <w:r w:rsidR="00A3389E" w:rsidRPr="00023CBA">
              <w:rPr>
                <w:spacing w:val="-6"/>
              </w:rPr>
              <w:t xml:space="preserve"> s </w:t>
            </w:r>
            <w:r w:rsidRPr="00023CBA">
              <w:rPr>
                <w:spacing w:val="-6"/>
              </w:rPr>
              <w:t>nariadením ECB</w:t>
            </w:r>
            <w:r w:rsidR="00A3389E" w:rsidRPr="00023CBA">
              <w:rPr>
                <w:spacing w:val="-6"/>
              </w:rPr>
              <w:t xml:space="preserve"> o </w:t>
            </w:r>
            <w:r w:rsidRPr="00023CBA">
              <w:rPr>
                <w:spacing w:val="-6"/>
              </w:rPr>
              <w:t>bilancii sektora peňažných finančných inštitúcií, ako sa vymedzuje</w:t>
            </w:r>
            <w:r w:rsidR="00A3389E" w:rsidRPr="00023CBA">
              <w:rPr>
                <w:spacing w:val="-6"/>
              </w:rPr>
              <w:t xml:space="preserve"> v </w:t>
            </w:r>
            <w:r w:rsidRPr="00023CBA">
              <w:rPr>
                <w:spacing w:val="-6"/>
              </w:rPr>
              <w:t>časti 1 odseku 32 prílohy</w:t>
            </w:r>
            <w:r w:rsidR="00A3389E" w:rsidRPr="00023CBA">
              <w:rPr>
                <w:spacing w:val="-6"/>
              </w:rPr>
              <w:t xml:space="preserve"> V k </w:t>
            </w:r>
            <w:r w:rsidRPr="00023CBA">
              <w:rPr>
                <w:spacing w:val="-6"/>
              </w:rPr>
              <w:t xml:space="preserve">vykonávaciemu nariadeniu Komisie (EÚ) </w:t>
            </w:r>
            <w:r w:rsidR="00A3389E" w:rsidRPr="00023CBA">
              <w:rPr>
                <w:spacing w:val="-6"/>
              </w:rPr>
              <w:t>č. </w:t>
            </w:r>
            <w:r w:rsidRPr="00023CBA">
              <w:rPr>
                <w:spacing w:val="-6"/>
              </w:rPr>
              <w:t>680/2014, no okrem úverov</w:t>
            </w:r>
            <w:r w:rsidR="00A3389E" w:rsidRPr="00023CBA">
              <w:rPr>
                <w:spacing w:val="-6"/>
              </w:rPr>
              <w:t xml:space="preserve"> a </w:t>
            </w:r>
            <w:r w:rsidRPr="00023CBA">
              <w:rPr>
                <w:spacing w:val="-6"/>
              </w:rPr>
              <w:t>preddavkov klasifikovaných ako držané na predaj, pokladničných zostatkov</w:t>
            </w:r>
            <w:r w:rsidR="00A3389E" w:rsidRPr="00023CBA">
              <w:rPr>
                <w:spacing w:val="-6"/>
              </w:rPr>
              <w:t xml:space="preserve"> v </w:t>
            </w:r>
            <w:r w:rsidRPr="00023CBA">
              <w:rPr>
                <w:spacing w:val="-6"/>
              </w:rPr>
              <w:t>centrálnych bankách</w:t>
            </w:r>
            <w:r w:rsidR="00A3389E" w:rsidRPr="00023CBA">
              <w:rPr>
                <w:spacing w:val="-6"/>
              </w:rPr>
              <w:t xml:space="preserve"> a </w:t>
            </w:r>
            <w:r w:rsidRPr="00023CBA">
              <w:rPr>
                <w:spacing w:val="-6"/>
              </w:rPr>
              <w:t>ostatných vkladov splatných na požiadanie</w:t>
            </w:r>
            <w:r w:rsidRPr="00023CBA">
              <w:rPr>
                <w:spacing w:val="-6"/>
                <w:sz w:val="22"/>
                <w:szCs w:val="22"/>
              </w:rPr>
              <w:t>.</w:t>
            </w:r>
          </w:p>
        </w:tc>
      </w:tr>
      <w:tr w:rsidR="004E71F4" w:rsidRPr="00A3389E" w14:paraId="2E905633" w14:textId="77777777" w:rsidTr="00023CBA">
        <w:trPr>
          <w:trHeight w:val="2935"/>
        </w:trPr>
        <w:tc>
          <w:tcPr>
            <w:tcW w:w="1384" w:type="dxa"/>
          </w:tcPr>
          <w:p w14:paraId="3EDEB63C" w14:textId="77777777" w:rsidR="004E71F4" w:rsidRPr="00A3389E" w:rsidRDefault="004E71F4" w:rsidP="00155C96">
            <w:pPr>
              <w:pStyle w:val="Applicationdirecte"/>
              <w:spacing w:before="0"/>
            </w:pPr>
            <w:r w:rsidRPr="00A3389E">
              <w:t>020 – 060, 080, 100 – 140, 160 – 210</w:t>
            </w:r>
          </w:p>
        </w:tc>
        <w:tc>
          <w:tcPr>
            <w:tcW w:w="7655" w:type="dxa"/>
          </w:tcPr>
          <w:p w14:paraId="0101F9B0" w14:textId="77777777" w:rsidR="004E71F4" w:rsidRPr="00A3389E" w:rsidRDefault="004E71F4" w:rsidP="00155C96">
            <w:pPr>
              <w:pStyle w:val="Applicationdirecte"/>
              <w:spacing w:before="0"/>
              <w:rPr>
                <w:b/>
              </w:rPr>
            </w:pPr>
            <w:r w:rsidRPr="00A3389E">
              <w:rPr>
                <w:b/>
              </w:rPr>
              <w:t>Rozčlenenie protistrán</w:t>
            </w:r>
          </w:p>
          <w:p w14:paraId="43D478E7" w14:textId="6C845441" w:rsidR="004E71F4" w:rsidRPr="00A3389E" w:rsidRDefault="004E71F4" w:rsidP="00155C96">
            <w:pPr>
              <w:pStyle w:val="Applicationdirecte"/>
              <w:spacing w:before="0"/>
            </w:pPr>
            <w:r w:rsidRPr="00A3389E">
              <w:t>Inštitúcie uplatňujú rozčlenenie podľa protistrán, ako sa vymedzuje</w:t>
            </w:r>
            <w:r w:rsidR="00A3389E">
              <w:t xml:space="preserve"> v </w:t>
            </w:r>
            <w:r w:rsidRPr="00A3389E">
              <w:t>časti 1 odseku 42 prílohy</w:t>
            </w:r>
            <w:r w:rsidR="00A3389E">
              <w:t xml:space="preserve"> V k </w:t>
            </w:r>
            <w:r w:rsidRPr="00A3389E">
              <w:t xml:space="preserve">vykonávaciemu nariadeniu Komisie (EÚ) </w:t>
            </w:r>
            <w:r w:rsidR="00A3389E">
              <w:t>č. </w:t>
            </w:r>
            <w:r w:rsidRPr="00A3389E">
              <w:t>680/2014.</w:t>
            </w:r>
          </w:p>
          <w:p w14:paraId="492F16F3" w14:textId="1D6A4198" w:rsidR="004E71F4" w:rsidRPr="00A3389E" w:rsidRDefault="004E71F4" w:rsidP="00155C96">
            <w:pPr>
              <w:pStyle w:val="Fait"/>
              <w:spacing w:before="0" w:after="120"/>
            </w:pPr>
            <w:r w:rsidRPr="00A3389E">
              <w:t>Priradenie sektora protistrany sa zakladá výhradne na povahe bezprostrednej protistrany. Klasifikácia expozícií, ktoré vznikli spoločne viac než jednému dlžníkovi, sa vykonáva na základe vlastností dlžníka, ktorý bol pre rozhodnutie inštitúcie udeliť expozíciu relevantnejší alebo rozhodujúci. Popri iných klasifikáciách musí byť rozdelenie spoločne vzniknutých expozícií podľa sektora protistrany, krajiny sídla</w:t>
            </w:r>
            <w:r w:rsidR="00A3389E">
              <w:t xml:space="preserve"> a </w:t>
            </w:r>
            <w:r w:rsidRPr="00A3389E">
              <w:t>kódu NACE motivované vlastnosťami relevantnejšieho alebo rozhodujúcejšieho dlžníka.</w:t>
            </w:r>
          </w:p>
        </w:tc>
      </w:tr>
      <w:tr w:rsidR="004E71F4" w:rsidRPr="00A3389E" w14:paraId="41D8B1F4" w14:textId="77777777" w:rsidTr="00155C96">
        <w:trPr>
          <w:trHeight w:val="316"/>
        </w:trPr>
        <w:tc>
          <w:tcPr>
            <w:tcW w:w="1384" w:type="dxa"/>
          </w:tcPr>
          <w:p w14:paraId="7247A7E8"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sz w:val="24"/>
              </w:rPr>
              <w:t>070</w:t>
            </w:r>
          </w:p>
        </w:tc>
        <w:tc>
          <w:tcPr>
            <w:tcW w:w="7655" w:type="dxa"/>
          </w:tcPr>
          <w:p w14:paraId="42017720"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MSP</w:t>
            </w:r>
          </w:p>
          <w:p w14:paraId="4D43EC9A" w14:textId="62169B50"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Ako sa vymedzuje</w:t>
            </w:r>
            <w:r w:rsidR="00A3389E">
              <w:rPr>
                <w:rFonts w:ascii="Times New Roman" w:hAnsi="Times New Roman" w:cs="Times New Roman"/>
                <w:sz w:val="24"/>
              </w:rPr>
              <w:t xml:space="preserve"> v </w:t>
            </w:r>
            <w:r w:rsidRPr="00A3389E">
              <w:rPr>
                <w:rFonts w:ascii="Times New Roman" w:hAnsi="Times New Roman" w:cs="Times New Roman"/>
                <w:sz w:val="24"/>
              </w:rPr>
              <w:t>časti 1 odseku 5 písm. i) prílohy</w:t>
            </w:r>
            <w:r w:rsidR="00A3389E">
              <w:rPr>
                <w:rFonts w:ascii="Times New Roman" w:hAnsi="Times New Roman" w:cs="Times New Roman"/>
                <w:sz w:val="24"/>
              </w:rPr>
              <w:t xml:space="preserve"> V k </w:t>
            </w:r>
            <w:r w:rsidRPr="00A3389E">
              <w:rPr>
                <w:rFonts w:ascii="Times New Roman" w:hAnsi="Times New Roman" w:cs="Times New Roman"/>
                <w:sz w:val="24"/>
              </w:rPr>
              <w:t xml:space="preserve">vykonávaciemu nariadeniu Komisie (EÚ) </w:t>
            </w:r>
            <w:r w:rsidR="00A3389E">
              <w:rPr>
                <w:rFonts w:ascii="Times New Roman" w:hAnsi="Times New Roman" w:cs="Times New Roman"/>
                <w:sz w:val="24"/>
              </w:rPr>
              <w:t>č. </w:t>
            </w:r>
            <w:r w:rsidRPr="00A3389E">
              <w:rPr>
                <w:rFonts w:ascii="Times New Roman" w:hAnsi="Times New Roman" w:cs="Times New Roman"/>
                <w:sz w:val="24"/>
              </w:rPr>
              <w:t>680/2014.</w:t>
            </w:r>
          </w:p>
        </w:tc>
      </w:tr>
      <w:tr w:rsidR="004E71F4" w:rsidRPr="00A3389E" w14:paraId="56A27E04" w14:textId="77777777" w:rsidTr="00155C96">
        <w:trPr>
          <w:trHeight w:val="530"/>
        </w:trPr>
        <w:tc>
          <w:tcPr>
            <w:tcW w:w="1384" w:type="dxa"/>
          </w:tcPr>
          <w:p w14:paraId="312FA799"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090</w:t>
            </w:r>
          </w:p>
        </w:tc>
        <w:tc>
          <w:tcPr>
            <w:tcW w:w="7655" w:type="dxa"/>
          </w:tcPr>
          <w:p w14:paraId="0C3D56C7"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Dlhové cenné papiere</w:t>
            </w:r>
          </w:p>
          <w:p w14:paraId="2836BAA1" w14:textId="7DDFACCD" w:rsidR="004E71F4" w:rsidRPr="00A3389E" w:rsidRDefault="004E71F4" w:rsidP="00155C96">
            <w:pPr>
              <w:pStyle w:val="Applicationdirecte"/>
              <w:spacing w:before="0"/>
            </w:pPr>
            <w:r w:rsidRPr="00A3389E">
              <w:t>Dlhové cenné papiere sú dlhové nástroje držané inštitúciou emitované ako cenné papiere, ktoré nie sú úvermi</w:t>
            </w:r>
            <w:r w:rsidR="00A3389E">
              <w:t xml:space="preserve"> v </w:t>
            </w:r>
            <w:r w:rsidRPr="00A3389E">
              <w:t>súlade</w:t>
            </w:r>
            <w:r w:rsidR="00A3389E">
              <w:t xml:space="preserve"> s </w:t>
            </w:r>
            <w:r w:rsidRPr="00A3389E">
              <w:t>nariadením ECB</w:t>
            </w:r>
            <w:r w:rsidR="00A3389E">
              <w:t xml:space="preserve"> o </w:t>
            </w:r>
            <w:r w:rsidRPr="00A3389E">
              <w:t>bilancii sektora peňažných finančných inštitúcií, ako sa vymedzuje</w:t>
            </w:r>
            <w:r w:rsidR="00A3389E">
              <w:t xml:space="preserve"> v </w:t>
            </w:r>
            <w:r w:rsidRPr="00A3389E">
              <w:t>časti 1 odseku 31 prílohy</w:t>
            </w:r>
            <w:r w:rsidR="00A3389E">
              <w:t xml:space="preserve"> V k </w:t>
            </w:r>
            <w:r w:rsidRPr="00A3389E">
              <w:t xml:space="preserve">vykonávaciemu nariadeniu Komisie (EÚ) </w:t>
            </w:r>
            <w:r w:rsidR="00A3389E">
              <w:t>č. </w:t>
            </w:r>
            <w:r w:rsidRPr="00A3389E">
              <w:t>680/2014.</w:t>
            </w:r>
          </w:p>
        </w:tc>
      </w:tr>
      <w:tr w:rsidR="004E71F4" w:rsidRPr="00A3389E" w14:paraId="63FDFBDF" w14:textId="77777777" w:rsidTr="00155C96">
        <w:trPr>
          <w:trHeight w:val="620"/>
        </w:trPr>
        <w:tc>
          <w:tcPr>
            <w:tcW w:w="1384" w:type="dxa"/>
          </w:tcPr>
          <w:p w14:paraId="32C93CE4"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150</w:t>
            </w:r>
          </w:p>
        </w:tc>
        <w:tc>
          <w:tcPr>
            <w:tcW w:w="7655" w:type="dxa"/>
          </w:tcPr>
          <w:p w14:paraId="6D31BDB5"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Podsúvahové expozície</w:t>
            </w:r>
          </w:p>
          <w:p w14:paraId="2847C284" w14:textId="3CEF572C" w:rsidR="004E71F4" w:rsidRPr="00023CBA" w:rsidRDefault="004E71F4" w:rsidP="00155C96">
            <w:pPr>
              <w:pStyle w:val="Applicationdirecte"/>
              <w:spacing w:before="0"/>
              <w:rPr>
                <w:spacing w:val="-6"/>
              </w:rPr>
            </w:pPr>
            <w:r w:rsidRPr="00023CBA">
              <w:rPr>
                <w:spacing w:val="-6"/>
              </w:rPr>
              <w:t>Podsúvahové expozície zahŕňajú podsúvahové položky uvedené</w:t>
            </w:r>
            <w:r w:rsidR="00A3389E" w:rsidRPr="00023CBA">
              <w:rPr>
                <w:spacing w:val="-6"/>
              </w:rPr>
              <w:t xml:space="preserve"> v </w:t>
            </w:r>
            <w:r w:rsidRPr="00023CBA">
              <w:rPr>
                <w:spacing w:val="-6"/>
              </w:rPr>
              <w:t>prílohe I</w:t>
            </w:r>
            <w:r w:rsidR="00A3389E" w:rsidRPr="00023CBA">
              <w:rPr>
                <w:spacing w:val="-6"/>
              </w:rPr>
              <w:t xml:space="preserve"> k </w:t>
            </w:r>
            <w:r w:rsidRPr="00023CBA">
              <w:rPr>
                <w:spacing w:val="-6"/>
              </w:rPr>
              <w:t>CRR.</w:t>
            </w:r>
          </w:p>
        </w:tc>
      </w:tr>
      <w:tr w:rsidR="004E71F4" w:rsidRPr="00A3389E" w14:paraId="3F2DE830" w14:textId="77777777" w:rsidTr="00155C96">
        <w:trPr>
          <w:trHeight w:val="144"/>
        </w:trPr>
        <w:tc>
          <w:tcPr>
            <w:tcW w:w="1384" w:type="dxa"/>
          </w:tcPr>
          <w:p w14:paraId="21B48383"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220</w:t>
            </w:r>
          </w:p>
        </w:tc>
        <w:tc>
          <w:tcPr>
            <w:tcW w:w="7655" w:type="dxa"/>
          </w:tcPr>
          <w:p w14:paraId="252608D7"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Spolu</w:t>
            </w:r>
          </w:p>
        </w:tc>
      </w:tr>
    </w:tbl>
    <w:p w14:paraId="5F31493C"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4A27ED45" w14:textId="77777777" w:rsidTr="00155C96">
        <w:trPr>
          <w:trHeight w:val="238"/>
        </w:trPr>
        <w:tc>
          <w:tcPr>
            <w:tcW w:w="9039" w:type="dxa"/>
            <w:gridSpan w:val="2"/>
            <w:shd w:val="clear" w:color="auto" w:fill="D9D9D9" w:themeFill="background1" w:themeFillShade="D9"/>
          </w:tcPr>
          <w:p w14:paraId="00D36DCC" w14:textId="4967D899"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74A0F8A2" w14:textId="77777777" w:rsidTr="00155C96">
        <w:trPr>
          <w:trHeight w:val="238"/>
        </w:trPr>
        <w:tc>
          <w:tcPr>
            <w:tcW w:w="1384" w:type="dxa"/>
            <w:shd w:val="clear" w:color="auto" w:fill="D9D9D9" w:themeFill="background1" w:themeFillShade="D9"/>
          </w:tcPr>
          <w:p w14:paraId="78C658D0"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6C4A2CAE"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49D8844E" w14:textId="77777777" w:rsidTr="00023CBA">
        <w:trPr>
          <w:trHeight w:val="554"/>
        </w:trPr>
        <w:tc>
          <w:tcPr>
            <w:tcW w:w="1384" w:type="dxa"/>
          </w:tcPr>
          <w:p w14:paraId="5E6F4E91" w14:textId="77777777" w:rsidR="004E71F4" w:rsidRPr="00A3389E" w:rsidRDefault="004E71F4" w:rsidP="00155C96">
            <w:pPr>
              <w:pStyle w:val="Applicationdirecte"/>
              <w:spacing w:before="0"/>
            </w:pPr>
            <w:r w:rsidRPr="00A3389E">
              <w:lastRenderedPageBreak/>
              <w:t>a</w:t>
            </w:r>
          </w:p>
        </w:tc>
        <w:tc>
          <w:tcPr>
            <w:tcW w:w="7655" w:type="dxa"/>
          </w:tcPr>
          <w:p w14:paraId="6F260A48" w14:textId="77777777" w:rsidR="004E71F4" w:rsidRPr="00A3389E" w:rsidRDefault="004E71F4" w:rsidP="00155C96">
            <w:pPr>
              <w:pStyle w:val="Fait"/>
              <w:spacing w:before="0" w:after="120"/>
              <w:rPr>
                <w:rFonts w:eastAsiaTheme="minorEastAsia"/>
                <w:b/>
              </w:rPr>
            </w:pPr>
            <w:r w:rsidRPr="00A3389E">
              <w:rPr>
                <w:b/>
              </w:rPr>
              <w:t>Hrubá účtovná hodnota/nominálna hodnota pri bezproblémových expozíciách</w:t>
            </w:r>
          </w:p>
          <w:p w14:paraId="216564CB" w14:textId="03FE8055" w:rsidR="004E71F4" w:rsidRPr="00A3389E" w:rsidRDefault="004E71F4" w:rsidP="00155C96">
            <w:pPr>
              <w:pStyle w:val="Fait"/>
              <w:spacing w:before="0" w:after="120"/>
            </w:pPr>
            <w:r w:rsidRPr="00A3389E">
              <w:t>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 xml:space="preserve">680/2014; nominálna </w:t>
            </w:r>
            <w:r w:rsidRPr="00A3389E">
              <w:rPr>
                <w:i/>
              </w:rPr>
              <w:t>hodnota, ako sa vymedzuje</w:t>
            </w:r>
            <w:r w:rsidR="00A3389E">
              <w:rPr>
                <w:i/>
              </w:rPr>
              <w:t xml:space="preserve"> v </w:t>
            </w:r>
            <w:r w:rsidRPr="00A3389E">
              <w:rPr>
                <w:i/>
              </w:rPr>
              <w:t>časti 2 odseku 118 prílohy</w:t>
            </w:r>
            <w:r w:rsidR="00A3389E">
              <w:rPr>
                <w:i/>
              </w:rPr>
              <w:t xml:space="preserve"> V k </w:t>
            </w:r>
            <w:r w:rsidRPr="00A3389E">
              <w:rPr>
                <w:i/>
              </w:rPr>
              <w:t xml:space="preserve">vykonávaciemu nariadeniu Komisie (EÚ) </w:t>
            </w:r>
            <w:r w:rsidR="00A3389E">
              <w:rPr>
                <w:i/>
              </w:rPr>
              <w:t>č. </w:t>
            </w:r>
            <w:r w:rsidRPr="00A3389E">
              <w:rPr>
                <w:i/>
              </w:rPr>
              <w:t>680/2014.</w:t>
            </w:r>
          </w:p>
        </w:tc>
      </w:tr>
      <w:tr w:rsidR="004E71F4" w:rsidRPr="00A3389E" w14:paraId="742E1384" w14:textId="77777777" w:rsidTr="00155C96">
        <w:trPr>
          <w:trHeight w:val="841"/>
        </w:trPr>
        <w:tc>
          <w:tcPr>
            <w:tcW w:w="1384" w:type="dxa"/>
          </w:tcPr>
          <w:p w14:paraId="125885E5" w14:textId="3E41C5E7" w:rsidR="004E71F4" w:rsidRPr="00A3389E" w:rsidRDefault="004E71F4" w:rsidP="00155C96">
            <w:pPr>
              <w:pStyle w:val="Applicationdirecte"/>
              <w:spacing w:before="0"/>
            </w:pPr>
            <w:r w:rsidRPr="00A3389E">
              <w:rPr>
                <w:color w:val="000000"/>
              </w:rPr>
              <w:t>b, c, e, f, h, i,</w:t>
            </w:r>
            <w:r w:rsidR="00A3389E">
              <w:rPr>
                <w:color w:val="000000"/>
              </w:rPr>
              <w:t xml:space="preserve"> k a </w:t>
            </w:r>
            <w:r w:rsidRPr="00A3389E">
              <w:rPr>
                <w:color w:val="000000"/>
              </w:rPr>
              <w:t>l</w:t>
            </w:r>
          </w:p>
        </w:tc>
        <w:tc>
          <w:tcPr>
            <w:tcW w:w="7655" w:type="dxa"/>
          </w:tcPr>
          <w:p w14:paraId="691568B2"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Z čoho etapa 1/etapa 2/etapa 3</w:t>
            </w:r>
          </w:p>
          <w:p w14:paraId="755E71F1" w14:textId="045CB54D" w:rsidR="004E71F4" w:rsidRPr="00A3389E" w:rsidRDefault="004E71F4" w:rsidP="00155C96">
            <w:pPr>
              <w:pStyle w:val="Fait"/>
              <w:spacing w:before="0" w:after="120"/>
            </w:pPr>
            <w:r w:rsidRPr="00A3389E">
              <w:t>Pre inštitúcie, ktoré uplatňujú IFRS, kategórie zníženia hodnoty, ako sa vymedzuje</w:t>
            </w:r>
            <w:r w:rsidR="00A3389E">
              <w:t xml:space="preserve"> v </w:t>
            </w:r>
            <w:r w:rsidRPr="00A3389E">
              <w:t>IFRS 9 odseku 5.5. „Etapa 1“ sa vzťahuje na zníženie hodnoty ocenené</w:t>
            </w:r>
            <w:r w:rsidR="00A3389E">
              <w:t xml:space="preserve"> v </w:t>
            </w:r>
            <w:r w:rsidRPr="00A3389E">
              <w:t>súlade</w:t>
            </w:r>
            <w:r w:rsidR="00A3389E">
              <w:t xml:space="preserve"> s </w:t>
            </w:r>
            <w:r w:rsidRPr="00A3389E">
              <w:t>IFRS 9 odsekom 5.5.5. „Etapa 2“ sa vzťahuje na zníženie hodnoty ocenené</w:t>
            </w:r>
            <w:r w:rsidR="00A3389E">
              <w:t xml:space="preserve"> v </w:t>
            </w:r>
            <w:r w:rsidRPr="00A3389E">
              <w:t>súlade</w:t>
            </w:r>
            <w:r w:rsidR="00A3389E">
              <w:t xml:space="preserve"> s </w:t>
            </w:r>
            <w:r w:rsidRPr="00A3389E">
              <w:t>IFRS 9 odsekom 5.5.3. „Etapa 3“ sa vzťahuje na zníženie hodnoty úverovo znehodnotených aktív, ako sa vymedzuje</w:t>
            </w:r>
            <w:r w:rsidR="00A3389E">
              <w:t xml:space="preserve"> v </w:t>
            </w:r>
            <w:r w:rsidRPr="00A3389E">
              <w:t>dodatku A</w:t>
            </w:r>
            <w:r w:rsidR="00A3389E">
              <w:t xml:space="preserve"> k </w:t>
            </w:r>
            <w:r w:rsidRPr="00A3389E">
              <w:t>štandardu IFRS 9.</w:t>
            </w:r>
          </w:p>
          <w:p w14:paraId="43461F5D" w14:textId="7576B52F" w:rsidR="004E71F4" w:rsidRPr="00A3389E" w:rsidRDefault="004E71F4" w:rsidP="006127E4">
            <w:pPr>
              <w:pStyle w:val="Fait"/>
              <w:spacing w:before="0" w:after="120"/>
              <w:rPr>
                <w:rFonts w:eastAsiaTheme="minorEastAsia"/>
              </w:rPr>
            </w:pPr>
            <w:r w:rsidRPr="00A3389E">
              <w:t>Stĺpce „Z čoho etapa 1“, „Z čoho etapa 2“</w:t>
            </w:r>
            <w:r w:rsidR="00A3389E">
              <w:t xml:space="preserve"> a </w:t>
            </w:r>
            <w:r w:rsidRPr="00A3389E">
              <w:t>„Z čoho etapa 3“ nezverejňujú inštitúcie, ktoré uplatňujú vnútroštátne všeobecne uznávané účtovné zásady založené na smernici Rady 86/635/EHS</w:t>
            </w:r>
            <w:r w:rsidRPr="00A3389E">
              <w:rPr>
                <w:rStyle w:val="FootnoteReference"/>
                <w:rFonts w:ascii="Times New Roman" w:hAnsi="Times New Roman"/>
              </w:rPr>
              <w:footnoteReference w:id="31"/>
            </w:r>
            <w:r w:rsidR="00A3389E">
              <w:t xml:space="preserve"> o </w:t>
            </w:r>
            <w:r w:rsidRPr="00A3389E">
              <w:t>ročnej účtovnej závierke</w:t>
            </w:r>
            <w:r w:rsidR="00A3389E">
              <w:t xml:space="preserve"> a </w:t>
            </w:r>
            <w:r w:rsidRPr="00A3389E">
              <w:t>konsolidovaných účtoch bánk</w:t>
            </w:r>
            <w:r w:rsidR="00A3389E">
              <w:t xml:space="preserve"> a </w:t>
            </w:r>
            <w:r w:rsidRPr="00A3389E">
              <w:t>iných finančných inštitúcií.</w:t>
            </w:r>
          </w:p>
        </w:tc>
      </w:tr>
      <w:tr w:rsidR="004E71F4" w:rsidRPr="00A3389E" w14:paraId="235B370E" w14:textId="77777777" w:rsidTr="00155C96">
        <w:trPr>
          <w:trHeight w:val="841"/>
        </w:trPr>
        <w:tc>
          <w:tcPr>
            <w:tcW w:w="1384" w:type="dxa"/>
          </w:tcPr>
          <w:p w14:paraId="26AF9BE7" w14:textId="77777777" w:rsidR="004E71F4" w:rsidRPr="00A3389E" w:rsidRDefault="004E71F4" w:rsidP="00155C96">
            <w:pPr>
              <w:pStyle w:val="Applicationdirecte"/>
              <w:spacing w:before="0"/>
            </w:pPr>
            <w:r w:rsidRPr="00A3389E">
              <w:t>d</w:t>
            </w:r>
          </w:p>
        </w:tc>
        <w:tc>
          <w:tcPr>
            <w:tcW w:w="7655" w:type="dxa"/>
          </w:tcPr>
          <w:p w14:paraId="39FCA497" w14:textId="77777777" w:rsidR="004E71F4" w:rsidRPr="00A3389E" w:rsidRDefault="004E71F4" w:rsidP="00155C96">
            <w:pPr>
              <w:pStyle w:val="Fait"/>
              <w:spacing w:before="0" w:after="120"/>
              <w:rPr>
                <w:rFonts w:eastAsiaTheme="minorEastAsia"/>
                <w:b/>
              </w:rPr>
            </w:pPr>
            <w:r w:rsidRPr="00A3389E">
              <w:rPr>
                <w:b/>
              </w:rPr>
              <w:t>Hrubá účtovná hodnota/nominálna hodnota pri problémových expozíciách</w:t>
            </w:r>
          </w:p>
          <w:p w14:paraId="2C430D1F" w14:textId="213F03B8" w:rsidR="004E71F4" w:rsidRPr="00A3389E" w:rsidRDefault="004E71F4" w:rsidP="00155C96">
            <w:pPr>
              <w:pStyle w:val="Fait"/>
              <w:spacing w:before="0" w:after="120"/>
              <w:rPr>
                <w:b/>
              </w:rPr>
            </w:pPr>
            <w:r w:rsidRPr="00A3389E">
              <w:t>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 xml:space="preserve">680/2014; nominálna </w:t>
            </w:r>
            <w:r w:rsidRPr="00A3389E">
              <w:rPr>
                <w:i/>
              </w:rPr>
              <w:t>hodnota, ako sa vymedzuje</w:t>
            </w:r>
            <w:r w:rsidR="00A3389E">
              <w:rPr>
                <w:i/>
              </w:rPr>
              <w:t xml:space="preserve"> v </w:t>
            </w:r>
            <w:r w:rsidRPr="00A3389E">
              <w:rPr>
                <w:i/>
              </w:rPr>
              <w:t>časti 2 odseku 118 prílohy</w:t>
            </w:r>
            <w:r w:rsidR="00A3389E">
              <w:rPr>
                <w:i/>
              </w:rPr>
              <w:t xml:space="preserve"> V k </w:t>
            </w:r>
            <w:r w:rsidRPr="00A3389E">
              <w:rPr>
                <w:i/>
              </w:rPr>
              <w:t xml:space="preserve">vykonávaciemu nariadeniu Komisie (EÚ) </w:t>
            </w:r>
            <w:r w:rsidR="00A3389E">
              <w:rPr>
                <w:i/>
              </w:rPr>
              <w:t>č. </w:t>
            </w:r>
            <w:r w:rsidRPr="00A3389E">
              <w:rPr>
                <w:i/>
              </w:rPr>
              <w:t>680/2014</w:t>
            </w:r>
            <w:r w:rsidRPr="00A3389E">
              <w:t>; problémové expozície podľa vymedzenia</w:t>
            </w:r>
            <w:r w:rsidR="00A3389E">
              <w:t xml:space="preserve"> v </w:t>
            </w:r>
            <w:r w:rsidRPr="00A3389E">
              <w:t>článku 47a CRR.</w:t>
            </w:r>
          </w:p>
        </w:tc>
      </w:tr>
      <w:tr w:rsidR="004E71F4" w:rsidRPr="00A3389E" w14:paraId="54D6AAA1" w14:textId="77777777" w:rsidTr="00155C96">
        <w:trPr>
          <w:trHeight w:val="316"/>
        </w:trPr>
        <w:tc>
          <w:tcPr>
            <w:tcW w:w="1384" w:type="dxa"/>
          </w:tcPr>
          <w:p w14:paraId="7D5BD0ED"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g</w:t>
            </w:r>
          </w:p>
        </w:tc>
        <w:tc>
          <w:tcPr>
            <w:tcW w:w="7655" w:type="dxa"/>
          </w:tcPr>
          <w:p w14:paraId="466B00D2" w14:textId="5260E25A"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Bezproblémové expozície – akumulovaná znížená hodnota</w:t>
            </w:r>
            <w:r w:rsidR="00A3389E">
              <w:rPr>
                <w:rFonts w:ascii="Times New Roman" w:hAnsi="Times New Roman" w:cs="Times New Roman"/>
                <w:b/>
                <w:sz w:val="24"/>
              </w:rPr>
              <w:t xml:space="preserve"> a </w:t>
            </w:r>
            <w:r w:rsidRPr="00A3389E">
              <w:rPr>
                <w:rFonts w:ascii="Times New Roman" w:hAnsi="Times New Roman" w:cs="Times New Roman"/>
                <w:b/>
                <w:sz w:val="24"/>
              </w:rPr>
              <w:t>rezervy</w:t>
            </w:r>
          </w:p>
          <w:p w14:paraId="120B4159" w14:textId="54D0EAC8" w:rsidR="004E71F4" w:rsidRPr="00A3389E" w:rsidRDefault="004E71F4" w:rsidP="00155C96">
            <w:pPr>
              <w:pStyle w:val="Fait"/>
              <w:spacing w:before="0" w:after="120"/>
            </w:pPr>
            <w:r w:rsidRPr="00A3389E">
              <w:t>To zahŕňa sumy určené</w:t>
            </w:r>
            <w:r w:rsidR="00A3389E">
              <w:t xml:space="preserve"> v </w:t>
            </w:r>
            <w:r w:rsidRPr="00A3389E">
              <w:t>súlade</w:t>
            </w:r>
            <w:r w:rsidR="00A3389E">
              <w:t xml:space="preserve"> s </w:t>
            </w:r>
            <w:r w:rsidRPr="00A3389E">
              <w:t>časťou 2 odsekmi 11, 69 až 71, 106</w:t>
            </w:r>
            <w:r w:rsidR="00A3389E">
              <w:t xml:space="preserve"> a </w:t>
            </w:r>
            <w:r w:rsidRPr="00A3389E">
              <w:t>110 prílohy</w:t>
            </w:r>
            <w:r w:rsidR="00A3389E">
              <w:t xml:space="preserve"> V k </w:t>
            </w:r>
            <w:r w:rsidRPr="00A3389E">
              <w:t xml:space="preserve">vykonávaciemu nariadeniu Komisie (EÚ) </w:t>
            </w:r>
            <w:r w:rsidR="00A3389E">
              <w:t>č. </w:t>
            </w:r>
            <w:r w:rsidRPr="00A3389E">
              <w:t>680/2014.</w:t>
            </w:r>
          </w:p>
        </w:tc>
      </w:tr>
      <w:tr w:rsidR="004E71F4" w:rsidRPr="00A3389E" w14:paraId="66A5BADE" w14:textId="77777777" w:rsidTr="00155C96">
        <w:trPr>
          <w:trHeight w:val="316"/>
        </w:trPr>
        <w:tc>
          <w:tcPr>
            <w:tcW w:w="1384" w:type="dxa"/>
          </w:tcPr>
          <w:p w14:paraId="4A5CBE46"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j</w:t>
            </w:r>
          </w:p>
        </w:tc>
        <w:tc>
          <w:tcPr>
            <w:tcW w:w="7655" w:type="dxa"/>
          </w:tcPr>
          <w:p w14:paraId="62FC70D3" w14:textId="0FCF1445"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Problémové expozície – akumulované zníženie hodnoty, akumulované záporné zmeny reálnej hodnoty</w:t>
            </w:r>
            <w:r w:rsidR="00A3389E">
              <w:rPr>
                <w:rFonts w:ascii="Times New Roman" w:hAnsi="Times New Roman" w:cs="Times New Roman"/>
                <w:b/>
                <w:sz w:val="24"/>
              </w:rPr>
              <w:t xml:space="preserve"> z </w:t>
            </w:r>
            <w:r w:rsidRPr="00A3389E">
              <w:rPr>
                <w:rFonts w:ascii="Times New Roman" w:hAnsi="Times New Roman" w:cs="Times New Roman"/>
                <w:b/>
                <w:sz w:val="24"/>
              </w:rPr>
              <w:t>dôvodu kreditného rizika</w:t>
            </w:r>
            <w:r w:rsidR="00A3389E">
              <w:rPr>
                <w:rFonts w:ascii="Times New Roman" w:hAnsi="Times New Roman" w:cs="Times New Roman"/>
                <w:b/>
                <w:sz w:val="24"/>
              </w:rPr>
              <w:t xml:space="preserve"> a </w:t>
            </w:r>
            <w:r w:rsidRPr="00A3389E">
              <w:rPr>
                <w:rFonts w:ascii="Times New Roman" w:hAnsi="Times New Roman" w:cs="Times New Roman"/>
                <w:b/>
                <w:sz w:val="24"/>
              </w:rPr>
              <w:t>rezervy</w:t>
            </w:r>
          </w:p>
          <w:p w14:paraId="09812FFD" w14:textId="31782A22" w:rsidR="004E71F4" w:rsidRPr="00A3389E" w:rsidRDefault="004E71F4" w:rsidP="00155C96">
            <w:pPr>
              <w:pStyle w:val="Fait"/>
              <w:spacing w:before="0" w:after="120"/>
            </w:pPr>
            <w:r w:rsidRPr="00A3389E">
              <w:t>Problémové expozície podľa vymedzenia</w:t>
            </w:r>
            <w:r w:rsidR="00A3389E">
              <w:t xml:space="preserve"> v </w:t>
            </w:r>
            <w:r w:rsidRPr="00A3389E">
              <w:t>článku 47a CRR.</w:t>
            </w:r>
          </w:p>
          <w:p w14:paraId="3C1AAE83" w14:textId="4016D8A3" w:rsidR="004E71F4" w:rsidRPr="00A3389E" w:rsidRDefault="004E71F4" w:rsidP="00155C96">
            <w:pPr>
              <w:pStyle w:val="Fait"/>
              <w:spacing w:before="0" w:after="120"/>
              <w:rPr>
                <w:b/>
              </w:rPr>
            </w:pPr>
            <w:r w:rsidRPr="00A3389E">
              <w:t>To zahŕňa sumy určené</w:t>
            </w:r>
            <w:r w:rsidR="00A3389E">
              <w:t xml:space="preserve"> v </w:t>
            </w:r>
            <w:r w:rsidRPr="00A3389E">
              <w:t>súlade</w:t>
            </w:r>
            <w:r w:rsidR="00A3389E">
              <w:t xml:space="preserve"> s </w:t>
            </w:r>
            <w:r w:rsidRPr="00A3389E">
              <w:t>časťou 2 odsekmi 11, 69 až 71, 106</w:t>
            </w:r>
            <w:r w:rsidR="00A3389E">
              <w:t xml:space="preserve"> a </w:t>
            </w:r>
            <w:r w:rsidRPr="00A3389E">
              <w:t>110 prílohy</w:t>
            </w:r>
            <w:r w:rsidR="00A3389E">
              <w:t xml:space="preserve"> V k </w:t>
            </w:r>
            <w:r w:rsidRPr="00A3389E">
              <w:t xml:space="preserve">vykonávaciemu nariadeniu Komisie (EÚ) </w:t>
            </w:r>
            <w:r w:rsidR="00A3389E">
              <w:t>č. </w:t>
            </w:r>
            <w:r w:rsidRPr="00A3389E">
              <w:t>680/2014.</w:t>
            </w:r>
          </w:p>
        </w:tc>
      </w:tr>
      <w:tr w:rsidR="004E71F4" w:rsidRPr="00A3389E" w14:paraId="2A6D57F2" w14:textId="77777777" w:rsidTr="00155C96">
        <w:trPr>
          <w:trHeight w:val="316"/>
        </w:trPr>
        <w:tc>
          <w:tcPr>
            <w:tcW w:w="1384" w:type="dxa"/>
          </w:tcPr>
          <w:p w14:paraId="7EFECA56"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m</w:t>
            </w:r>
          </w:p>
        </w:tc>
        <w:tc>
          <w:tcPr>
            <w:tcW w:w="7655" w:type="dxa"/>
          </w:tcPr>
          <w:p w14:paraId="0FA53078"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Akumulované čiastočné odpisy</w:t>
            </w:r>
          </w:p>
          <w:p w14:paraId="4F411C5F" w14:textId="55CAE1EE" w:rsidR="004E71F4" w:rsidRPr="00A3389E" w:rsidRDefault="004E71F4"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To má zahŕňať,</w:t>
            </w:r>
            <w:r w:rsidR="00A3389E">
              <w:rPr>
                <w:rFonts w:ascii="Times New Roman" w:hAnsi="Times New Roman" w:cs="Times New Roman"/>
                <w:sz w:val="24"/>
              </w:rPr>
              <w:t xml:space="preserve"> k </w:t>
            </w:r>
            <w:r w:rsidRPr="00A3389E">
              <w:rPr>
                <w:rFonts w:ascii="Times New Roman" w:hAnsi="Times New Roman" w:cs="Times New Roman"/>
                <w:sz w:val="24"/>
              </w:rPr>
              <w:t>referenčnému dátumu, akumulovanú čiastočnú sumu istiny</w:t>
            </w:r>
            <w:r w:rsidR="00A3389E">
              <w:rPr>
                <w:rFonts w:ascii="Times New Roman" w:hAnsi="Times New Roman" w:cs="Times New Roman"/>
                <w:sz w:val="24"/>
              </w:rPr>
              <w:t xml:space="preserve"> a </w:t>
            </w:r>
            <w:r w:rsidRPr="00A3389E">
              <w:rPr>
                <w:rFonts w:ascii="Times New Roman" w:hAnsi="Times New Roman" w:cs="Times New Roman"/>
                <w:sz w:val="24"/>
              </w:rPr>
              <w:t>vzniknutých úrokov</w:t>
            </w:r>
            <w:r w:rsidR="00A3389E">
              <w:rPr>
                <w:rFonts w:ascii="Times New Roman" w:hAnsi="Times New Roman" w:cs="Times New Roman"/>
                <w:sz w:val="24"/>
              </w:rPr>
              <w:t xml:space="preserve"> a </w:t>
            </w:r>
            <w:r w:rsidRPr="00A3389E">
              <w:rPr>
                <w:rFonts w:ascii="Times New Roman" w:hAnsi="Times New Roman" w:cs="Times New Roman"/>
                <w:sz w:val="24"/>
              </w:rPr>
              <w:t>poplatkov po splatnosti za akýkoľvek dlhový nástroj, ktorého vykazovanie sa</w:t>
            </w:r>
            <w:r w:rsidR="00A3389E">
              <w:rPr>
                <w:rFonts w:ascii="Times New Roman" w:hAnsi="Times New Roman" w:cs="Times New Roman"/>
                <w:sz w:val="24"/>
              </w:rPr>
              <w:t xml:space="preserve"> k </w:t>
            </w:r>
            <w:r w:rsidRPr="00A3389E">
              <w:rPr>
                <w:rFonts w:ascii="Times New Roman" w:hAnsi="Times New Roman" w:cs="Times New Roman"/>
                <w:sz w:val="24"/>
              </w:rPr>
              <w:t>danému dátumu ukončilo,</w:t>
            </w:r>
            <w:r w:rsidR="00A3389E">
              <w:rPr>
                <w:rFonts w:ascii="Times New Roman" w:hAnsi="Times New Roman" w:cs="Times New Roman"/>
                <w:sz w:val="24"/>
              </w:rPr>
              <w:t xml:space="preserve"> s </w:t>
            </w:r>
            <w:r w:rsidRPr="00A3389E">
              <w:rPr>
                <w:rFonts w:ascii="Times New Roman" w:hAnsi="Times New Roman" w:cs="Times New Roman"/>
                <w:sz w:val="24"/>
              </w:rPr>
              <w:t>použitím ktorejkoľvek</w:t>
            </w:r>
            <w:r w:rsidR="00A3389E">
              <w:rPr>
                <w:rFonts w:ascii="Times New Roman" w:hAnsi="Times New Roman" w:cs="Times New Roman"/>
                <w:sz w:val="24"/>
              </w:rPr>
              <w:t xml:space="preserve"> z </w:t>
            </w:r>
            <w:r w:rsidRPr="00A3389E">
              <w:rPr>
                <w:rFonts w:ascii="Times New Roman" w:hAnsi="Times New Roman" w:cs="Times New Roman"/>
                <w:sz w:val="24"/>
              </w:rPr>
              <w:t>metód opísaných</w:t>
            </w:r>
            <w:r w:rsidR="00A3389E">
              <w:rPr>
                <w:rFonts w:ascii="Times New Roman" w:hAnsi="Times New Roman" w:cs="Times New Roman"/>
                <w:sz w:val="24"/>
              </w:rPr>
              <w:t xml:space="preserve"> v </w:t>
            </w:r>
            <w:r w:rsidRPr="00A3389E">
              <w:rPr>
                <w:rFonts w:ascii="Times New Roman" w:hAnsi="Times New Roman" w:cs="Times New Roman"/>
                <w:sz w:val="24"/>
              </w:rPr>
              <w:t>časti 2 odseku 74 prílohy</w:t>
            </w:r>
            <w:r w:rsidR="00A3389E">
              <w:rPr>
                <w:rFonts w:ascii="Times New Roman" w:hAnsi="Times New Roman" w:cs="Times New Roman"/>
                <w:sz w:val="24"/>
              </w:rPr>
              <w:t xml:space="preserve"> V k </w:t>
            </w:r>
            <w:r w:rsidRPr="00A3389E">
              <w:rPr>
                <w:rFonts w:ascii="Times New Roman" w:hAnsi="Times New Roman" w:cs="Times New Roman"/>
                <w:sz w:val="24"/>
              </w:rPr>
              <w:t xml:space="preserve">vykonávaciemu nariadeniu Komisie (EÚ) </w:t>
            </w:r>
            <w:r w:rsidR="00A3389E">
              <w:rPr>
                <w:rFonts w:ascii="Times New Roman" w:hAnsi="Times New Roman" w:cs="Times New Roman"/>
                <w:sz w:val="24"/>
              </w:rPr>
              <w:t>č. </w:t>
            </w:r>
            <w:r w:rsidRPr="00A3389E">
              <w:rPr>
                <w:rFonts w:ascii="Times New Roman" w:hAnsi="Times New Roman" w:cs="Times New Roman"/>
                <w:sz w:val="24"/>
              </w:rPr>
              <w:t xml:space="preserve">680/2014, ktoré sa majú zverejniť, pretože inštitúcia nemá opodstatnené očakávanie, že vymôže zmluvné peňažné toky. Tieto sumy sa majú zverejňovať až do úplného zániku všetkých práv inštitúcie – uplynutím </w:t>
            </w:r>
            <w:r w:rsidRPr="00A3389E">
              <w:rPr>
                <w:rFonts w:ascii="Times New Roman" w:hAnsi="Times New Roman" w:cs="Times New Roman"/>
                <w:sz w:val="24"/>
              </w:rPr>
              <w:lastRenderedPageBreak/>
              <w:t>premlčacej lehoty, odpustením alebo</w:t>
            </w:r>
            <w:r w:rsidR="00A3389E">
              <w:rPr>
                <w:rFonts w:ascii="Times New Roman" w:hAnsi="Times New Roman" w:cs="Times New Roman"/>
                <w:sz w:val="24"/>
              </w:rPr>
              <w:t xml:space="preserve"> z </w:t>
            </w:r>
            <w:r w:rsidRPr="00A3389E">
              <w:rPr>
                <w:rFonts w:ascii="Times New Roman" w:hAnsi="Times New Roman" w:cs="Times New Roman"/>
                <w:sz w:val="24"/>
              </w:rPr>
              <w:t>iných príčin – alebo až do vymoženia. Ak sa preto odpísané sumy nevymôžu, majú sa zverejniť</w:t>
            </w:r>
            <w:r w:rsidR="00A3389E">
              <w:rPr>
                <w:rFonts w:ascii="Times New Roman" w:hAnsi="Times New Roman" w:cs="Times New Roman"/>
                <w:sz w:val="24"/>
              </w:rPr>
              <w:t xml:space="preserve"> v </w:t>
            </w:r>
            <w:r w:rsidRPr="00A3389E">
              <w:rPr>
                <w:rFonts w:ascii="Times New Roman" w:hAnsi="Times New Roman" w:cs="Times New Roman"/>
                <w:sz w:val="24"/>
              </w:rPr>
              <w:t>takom období, počas ktorého sú predmetom vymáhania.</w:t>
            </w:r>
          </w:p>
          <w:p w14:paraId="0FEA4BDF" w14:textId="320EDD0B" w:rsidR="004E71F4" w:rsidRPr="00A3389E" w:rsidRDefault="004E71F4"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Odpisy predstavujú udalosť ukončenia vykazovania</w:t>
            </w:r>
            <w:r w:rsidR="00A3389E">
              <w:rPr>
                <w:rFonts w:ascii="Times New Roman" w:hAnsi="Times New Roman" w:cs="Times New Roman"/>
                <w:sz w:val="24"/>
              </w:rPr>
              <w:t xml:space="preserve"> a </w:t>
            </w:r>
            <w:r w:rsidRPr="00A3389E">
              <w:rPr>
                <w:rFonts w:ascii="Times New Roman" w:hAnsi="Times New Roman" w:cs="Times New Roman"/>
                <w:sz w:val="24"/>
              </w:rPr>
              <w:t>vzťahujú sa na finančné aktívum ako celok alebo (v prípade čiastočného odpisu) na jeho časť vrátane prípadov, keď zmena</w:t>
            </w:r>
            <w:r w:rsidR="00A3389E">
              <w:rPr>
                <w:rFonts w:ascii="Times New Roman" w:hAnsi="Times New Roman" w:cs="Times New Roman"/>
                <w:sz w:val="24"/>
              </w:rPr>
              <w:t xml:space="preserve"> v </w:t>
            </w:r>
            <w:r w:rsidRPr="00A3389E">
              <w:rPr>
                <w:rFonts w:ascii="Times New Roman" w:hAnsi="Times New Roman" w:cs="Times New Roman"/>
                <w:sz w:val="24"/>
              </w:rPr>
              <w:t>aktíve vedie</w:t>
            </w:r>
            <w:r w:rsidR="00A3389E">
              <w:rPr>
                <w:rFonts w:ascii="Times New Roman" w:hAnsi="Times New Roman" w:cs="Times New Roman"/>
                <w:sz w:val="24"/>
              </w:rPr>
              <w:t xml:space="preserve"> k </w:t>
            </w:r>
            <w:r w:rsidRPr="00A3389E">
              <w:rPr>
                <w:rFonts w:ascii="Times New Roman" w:hAnsi="Times New Roman" w:cs="Times New Roman"/>
                <w:sz w:val="24"/>
              </w:rPr>
              <w:t>tomu, že inštitúcia sa vzdá práva na výber peňažných tokov plynúcich buď</w:t>
            </w:r>
            <w:r w:rsidR="00A3389E">
              <w:rPr>
                <w:rFonts w:ascii="Times New Roman" w:hAnsi="Times New Roman" w:cs="Times New Roman"/>
                <w:sz w:val="24"/>
              </w:rPr>
              <w:t xml:space="preserve"> z </w:t>
            </w:r>
            <w:r w:rsidRPr="00A3389E">
              <w:rPr>
                <w:rFonts w:ascii="Times New Roman" w:hAnsi="Times New Roman" w:cs="Times New Roman"/>
                <w:sz w:val="24"/>
              </w:rPr>
              <w:t>časti alebo</w:t>
            </w:r>
            <w:r w:rsidR="00A3389E">
              <w:rPr>
                <w:rFonts w:ascii="Times New Roman" w:hAnsi="Times New Roman" w:cs="Times New Roman"/>
                <w:sz w:val="24"/>
              </w:rPr>
              <w:t xml:space="preserve"> z </w:t>
            </w:r>
            <w:r w:rsidRPr="00A3389E">
              <w:rPr>
                <w:rFonts w:ascii="Times New Roman" w:hAnsi="Times New Roman" w:cs="Times New Roman"/>
                <w:sz w:val="24"/>
              </w:rPr>
              <w:t>celého tohto aktíva.</w:t>
            </w:r>
          </w:p>
        </w:tc>
      </w:tr>
      <w:tr w:rsidR="004E71F4" w:rsidRPr="00A3389E" w14:paraId="7FDCAB70" w14:textId="77777777" w:rsidTr="00155C96">
        <w:trPr>
          <w:trHeight w:val="695"/>
        </w:trPr>
        <w:tc>
          <w:tcPr>
            <w:tcW w:w="1384" w:type="dxa"/>
          </w:tcPr>
          <w:p w14:paraId="3FD39FA7"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lastRenderedPageBreak/>
              <w:t>n</w:t>
            </w:r>
          </w:p>
        </w:tc>
        <w:tc>
          <w:tcPr>
            <w:tcW w:w="7655" w:type="dxa"/>
          </w:tcPr>
          <w:p w14:paraId="34A0A11C" w14:textId="40226B49"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Kolaterál</w:t>
            </w:r>
            <w:r w:rsidR="00A3389E">
              <w:rPr>
                <w:rFonts w:ascii="Times New Roman" w:hAnsi="Times New Roman" w:cs="Times New Roman"/>
                <w:b/>
                <w:sz w:val="24"/>
              </w:rPr>
              <w:t xml:space="preserve"> a </w:t>
            </w:r>
            <w:r w:rsidRPr="00A3389E">
              <w:rPr>
                <w:rFonts w:ascii="Times New Roman" w:hAnsi="Times New Roman" w:cs="Times New Roman"/>
                <w:b/>
                <w:sz w:val="24"/>
              </w:rPr>
              <w:t>finančné záruky prijaté pri bezproblémových expozíciách</w:t>
            </w:r>
          </w:p>
          <w:p w14:paraId="1151880A" w14:textId="3702073E" w:rsidR="004E71F4" w:rsidRPr="00A3389E" w:rsidRDefault="004E71F4" w:rsidP="00155C96">
            <w:pPr>
              <w:pStyle w:val="Fait"/>
              <w:spacing w:before="0" w:after="120"/>
            </w:pPr>
            <w:r w:rsidRPr="00A3389E">
              <w:t>Sumy prijatého kolaterálu</w:t>
            </w:r>
            <w:r w:rsidR="00A3389E">
              <w:t xml:space="preserve"> a </w:t>
            </w:r>
            <w:r w:rsidRPr="00A3389E">
              <w:t>prijatých záruk sa vypočítavajú</w:t>
            </w:r>
            <w:r w:rsidR="00A3389E">
              <w:t xml:space="preserve"> v </w:t>
            </w:r>
            <w:r w:rsidRPr="00A3389E">
              <w:t>súlade</w:t>
            </w:r>
            <w:r w:rsidR="00A3389E">
              <w:t xml:space="preserve"> s </w:t>
            </w:r>
            <w:r w:rsidRPr="00A3389E">
              <w:t>časťou 2 odsekom 239 prílohy</w:t>
            </w:r>
            <w:r w:rsidR="00A3389E">
              <w:t xml:space="preserve"> V k </w:t>
            </w:r>
            <w:r w:rsidRPr="00A3389E">
              <w:t xml:space="preserve">vykonávaciemu nariadeniu Komisie (EÚ) </w:t>
            </w:r>
            <w:r w:rsidR="00A3389E">
              <w:t>č. </w:t>
            </w:r>
            <w:r w:rsidRPr="00A3389E">
              <w:t>680/2014. Súčet súm kolaterálu aj záruk sa má zhora ohraničiť účtovnou hodnotou súvisiacej expozície.</w:t>
            </w:r>
          </w:p>
        </w:tc>
      </w:tr>
      <w:tr w:rsidR="004E71F4" w:rsidRPr="00A3389E" w14:paraId="6E9D1787" w14:textId="77777777" w:rsidTr="00155C96">
        <w:trPr>
          <w:trHeight w:val="695"/>
        </w:trPr>
        <w:tc>
          <w:tcPr>
            <w:tcW w:w="1384" w:type="dxa"/>
          </w:tcPr>
          <w:p w14:paraId="4FA9F6A6"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o</w:t>
            </w:r>
          </w:p>
        </w:tc>
        <w:tc>
          <w:tcPr>
            <w:tcW w:w="7655" w:type="dxa"/>
          </w:tcPr>
          <w:p w14:paraId="28612B65" w14:textId="5CD39E3B" w:rsidR="00A3389E"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Kolaterál</w:t>
            </w:r>
            <w:r w:rsidR="00A3389E">
              <w:rPr>
                <w:rFonts w:ascii="Times New Roman" w:hAnsi="Times New Roman" w:cs="Times New Roman"/>
                <w:b/>
                <w:sz w:val="24"/>
              </w:rPr>
              <w:t xml:space="preserve"> a </w:t>
            </w:r>
            <w:r w:rsidRPr="00A3389E">
              <w:rPr>
                <w:rFonts w:ascii="Times New Roman" w:hAnsi="Times New Roman" w:cs="Times New Roman"/>
                <w:b/>
                <w:sz w:val="24"/>
              </w:rPr>
              <w:t>finančné záruky prijaté pri problémových expozíciách</w:t>
            </w:r>
          </w:p>
          <w:p w14:paraId="25BA6F5A" w14:textId="0FA54F94" w:rsidR="004E71F4" w:rsidRPr="00A3389E" w:rsidRDefault="004E71F4" w:rsidP="00155C96">
            <w:pPr>
              <w:pStyle w:val="Fait"/>
              <w:spacing w:before="0" w:after="120"/>
            </w:pPr>
            <w:r w:rsidRPr="00A3389E">
              <w:t>Problémové expozície podľa vymedzenia</w:t>
            </w:r>
            <w:r w:rsidR="00A3389E">
              <w:t xml:space="preserve"> v </w:t>
            </w:r>
            <w:r w:rsidRPr="00A3389E">
              <w:t>článku 47a CRR.</w:t>
            </w:r>
          </w:p>
          <w:p w14:paraId="7C4E9AFF" w14:textId="23FB5790" w:rsidR="004E71F4" w:rsidRPr="00A3389E" w:rsidRDefault="004E71F4" w:rsidP="00155C96">
            <w:pPr>
              <w:pStyle w:val="Fait"/>
              <w:spacing w:before="0" w:after="120"/>
              <w:rPr>
                <w:b/>
              </w:rPr>
            </w:pPr>
            <w:r w:rsidRPr="00A3389E">
              <w:t>Sumy prijatého kolaterálu</w:t>
            </w:r>
            <w:r w:rsidR="00A3389E">
              <w:t xml:space="preserve"> a </w:t>
            </w:r>
            <w:r w:rsidRPr="00A3389E">
              <w:t>prijatých záruk sa vypočítavajú</w:t>
            </w:r>
            <w:r w:rsidR="00A3389E">
              <w:t xml:space="preserve"> v </w:t>
            </w:r>
            <w:r w:rsidRPr="00A3389E">
              <w:t>súlade</w:t>
            </w:r>
            <w:r w:rsidR="00A3389E">
              <w:t xml:space="preserve"> s </w:t>
            </w:r>
            <w:r w:rsidRPr="00A3389E">
              <w:t>časťou 2 odsekom 239 prílohy</w:t>
            </w:r>
            <w:r w:rsidR="00A3389E">
              <w:t xml:space="preserve"> V k </w:t>
            </w:r>
            <w:r w:rsidRPr="00A3389E">
              <w:t xml:space="preserve">vykonávaciemu nariadeniu Komisie (EÚ) </w:t>
            </w:r>
            <w:r w:rsidR="00A3389E">
              <w:t>č. </w:t>
            </w:r>
            <w:r w:rsidRPr="00A3389E">
              <w:t>680/2014. Súčet súm kolaterálu aj záruk sa má zhora ohraničiť účtovnou hodnotou súvisiacej expozície.</w:t>
            </w:r>
          </w:p>
        </w:tc>
      </w:tr>
    </w:tbl>
    <w:p w14:paraId="1B9C8FA7" w14:textId="77777777" w:rsidR="004E71F4" w:rsidRPr="00A3389E" w:rsidRDefault="004E71F4" w:rsidP="004E71F4">
      <w:pPr>
        <w:spacing w:after="120"/>
        <w:jc w:val="both"/>
        <w:rPr>
          <w:rFonts w:ascii="Times New Roman" w:hAnsi="Times New Roman" w:cs="Times New Roman"/>
          <w:bCs/>
          <w:sz w:val="24"/>
        </w:rPr>
      </w:pPr>
    </w:p>
    <w:p w14:paraId="603FCC03" w14:textId="27D08FEB" w:rsidR="004E71F4" w:rsidRPr="00A3389E" w:rsidRDefault="00CD362D" w:rsidP="004E71F4">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Vzor EU CR1-A: Splatnosť expozícií</w:t>
      </w:r>
    </w:p>
    <w:p w14:paraId="0A8280D6" w14:textId="028E4626" w:rsidR="004E71F4" w:rsidRPr="00A3389E" w:rsidRDefault="00A3389E" w:rsidP="00A3389E">
      <w:pPr>
        <w:autoSpaceDE w:val="0"/>
        <w:autoSpaceDN w:val="0"/>
        <w:adjustRightInd w:val="0"/>
        <w:spacing w:after="120"/>
        <w:ind w:left="720" w:hanging="360"/>
        <w:jc w:val="both"/>
        <w:rPr>
          <w:rFonts w:ascii="Times New Roman" w:hAnsi="Times New Roman"/>
          <w:b/>
          <w:sz w:val="24"/>
        </w:rPr>
      </w:pPr>
      <w:r w:rsidRPr="00A3389E">
        <w:rPr>
          <w:rFonts w:ascii="Times New Roman" w:eastAsia="Calibri" w:hAnsi="Times New Roman" w:cs="Times New Roman"/>
          <w:b/>
          <w:sz w:val="24"/>
          <w:szCs w:val="22"/>
        </w:rPr>
        <w:t>6.</w:t>
      </w:r>
      <w:r w:rsidRPr="00A3389E">
        <w:rPr>
          <w:rFonts w:ascii="Times New Roman" w:eastAsia="Calibri" w:hAnsi="Times New Roman" w:cs="Times New Roman"/>
          <w:b/>
          <w:sz w:val="24"/>
          <w:szCs w:val="22"/>
        </w:rPr>
        <w:tab/>
      </w:r>
      <w:r w:rsidR="004E71F4" w:rsidRPr="00A3389E">
        <w:rPr>
          <w:rFonts w:ascii="Times New Roman" w:hAnsi="Times New Roman"/>
          <w:bCs/>
          <w:sz w:val="24"/>
        </w:rPr>
        <w:t>Inštitúcie</w:t>
      </w:r>
      <w:r w:rsidR="004E71F4" w:rsidRPr="00A3389E">
        <w:rPr>
          <w:rFonts w:ascii="Times New Roman" w:hAnsi="Times New Roman"/>
          <w:sz w:val="24"/>
        </w:rPr>
        <w:t xml:space="preserve"> zverejňujú informácie uvedené</w:t>
      </w:r>
      <w:r>
        <w:rPr>
          <w:rFonts w:ascii="Times New Roman" w:hAnsi="Times New Roman"/>
          <w:sz w:val="24"/>
        </w:rPr>
        <w:t xml:space="preserve"> v </w:t>
      </w:r>
      <w:r w:rsidR="004E71F4" w:rsidRPr="00A3389E">
        <w:rPr>
          <w:rFonts w:ascii="Times New Roman" w:hAnsi="Times New Roman"/>
          <w:bCs/>
          <w:sz w:val="24"/>
        </w:rPr>
        <w:t xml:space="preserve">článku 442 písm. g) </w:t>
      </w:r>
      <w:r w:rsidR="004E71F4" w:rsidRPr="00A3389E">
        <w:rPr>
          <w:rFonts w:ascii="Times New Roman" w:hAnsi="Times New Roman"/>
          <w:color w:val="000000"/>
          <w:sz w:val="24"/>
        </w:rPr>
        <w:t>CRR</w:t>
      </w:r>
      <w:r w:rsidR="004E71F4" w:rsidRPr="00A3389E">
        <w:rPr>
          <w:rFonts w:ascii="Times New Roman" w:hAnsi="Times New Roman"/>
          <w:bCs/>
          <w:sz w:val="24"/>
        </w:rPr>
        <w:t xml:space="preserve"> podľa pokynov uvedených nižšie</w:t>
      </w:r>
      <w:r>
        <w:rPr>
          <w:rFonts w:ascii="Times New Roman" w:hAnsi="Times New Roman"/>
          <w:bCs/>
          <w:sz w:val="24"/>
        </w:rPr>
        <w:t xml:space="preserve"> s </w:t>
      </w:r>
      <w:r w:rsidR="004E71F4" w:rsidRPr="00A3389E">
        <w:rPr>
          <w:rFonts w:ascii="Times New Roman" w:hAnsi="Times New Roman"/>
          <w:bCs/>
          <w:sz w:val="24"/>
        </w:rPr>
        <w:t>cieľom vyplniť vzor EU CR1-A,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r w:rsidR="004E71F4" w:rsidRPr="00A3389E">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4F96EE91"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5457407F" w14:textId="77777777" w:rsidTr="00155C96">
        <w:trPr>
          <w:trHeight w:val="238"/>
        </w:trPr>
        <w:tc>
          <w:tcPr>
            <w:tcW w:w="1384" w:type="dxa"/>
            <w:shd w:val="clear" w:color="auto" w:fill="D9D9D9" w:themeFill="background1" w:themeFillShade="D9"/>
          </w:tcPr>
          <w:p w14:paraId="2CF528EF"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543019B6"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1FB6AC8C" w14:textId="77777777" w:rsidTr="00155C96">
        <w:trPr>
          <w:trHeight w:val="316"/>
        </w:trPr>
        <w:tc>
          <w:tcPr>
            <w:tcW w:w="1384" w:type="dxa"/>
          </w:tcPr>
          <w:p w14:paraId="325218C3"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010</w:t>
            </w:r>
          </w:p>
        </w:tc>
        <w:tc>
          <w:tcPr>
            <w:tcW w:w="7655" w:type="dxa"/>
          </w:tcPr>
          <w:p w14:paraId="128CB567" w14:textId="1601BA13"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Úvery</w:t>
            </w:r>
            <w:r w:rsidR="00A3389E">
              <w:rPr>
                <w:rFonts w:ascii="Times New Roman" w:hAnsi="Times New Roman" w:cs="Times New Roman"/>
                <w:b/>
                <w:sz w:val="24"/>
              </w:rPr>
              <w:t xml:space="preserve"> a </w:t>
            </w:r>
            <w:r w:rsidRPr="00A3389E">
              <w:rPr>
                <w:rFonts w:ascii="Times New Roman" w:hAnsi="Times New Roman" w:cs="Times New Roman"/>
                <w:b/>
                <w:sz w:val="24"/>
              </w:rPr>
              <w:t>preddavky</w:t>
            </w:r>
          </w:p>
          <w:p w14:paraId="3B17EB9D" w14:textId="48FCCB8D" w:rsidR="004E71F4" w:rsidRPr="00A3389E" w:rsidRDefault="004E71F4" w:rsidP="00155C96">
            <w:pPr>
              <w:pStyle w:val="Fait"/>
              <w:spacing w:before="0" w:after="120"/>
              <w:rPr>
                <w:b/>
              </w:rPr>
            </w:pPr>
            <w:r w:rsidRPr="00A3389E">
              <w:t>Úvery</w:t>
            </w:r>
            <w:r w:rsidR="00A3389E">
              <w:t xml:space="preserve"> a </w:t>
            </w:r>
            <w:r w:rsidRPr="00A3389E">
              <w:t>preddavky sú dlhové nástroje držané inštitúciami, ktoré nie sú cennými papiermi; táto položka zahŕňa „úvery“</w:t>
            </w:r>
            <w:r w:rsidR="00A3389E">
              <w:t xml:space="preserve"> v </w:t>
            </w:r>
            <w:r w:rsidRPr="00A3389E">
              <w:t>súlade</w:t>
            </w:r>
            <w:r w:rsidR="00A3389E">
              <w:t xml:space="preserve"> s </w:t>
            </w:r>
            <w:r w:rsidRPr="00A3389E">
              <w:t>nariadením ECB</w:t>
            </w:r>
            <w:r w:rsidR="00A3389E">
              <w:t xml:space="preserve"> o </w:t>
            </w:r>
            <w:r w:rsidRPr="00A3389E">
              <w:t>bilancii sektora peňažných finančných inštitúcií, ako aj preddavky, ktoré nemožno klasifikovať ako „úvery“</w:t>
            </w:r>
            <w:r w:rsidR="00A3389E">
              <w:t xml:space="preserve"> v </w:t>
            </w:r>
            <w:r w:rsidRPr="00A3389E">
              <w:t>súlade</w:t>
            </w:r>
            <w:r w:rsidR="00A3389E">
              <w:t xml:space="preserve"> s </w:t>
            </w:r>
            <w:r w:rsidRPr="00A3389E">
              <w:t>nariadením ECB</w:t>
            </w:r>
            <w:r w:rsidR="00A3389E">
              <w:t xml:space="preserve"> o </w:t>
            </w:r>
            <w:r w:rsidRPr="00A3389E">
              <w:t>bilancii sektora peňažných finančných inštitúcií, ako sa vymedzuje</w:t>
            </w:r>
            <w:r w:rsidR="00A3389E">
              <w:t xml:space="preserve"> v </w:t>
            </w:r>
            <w:r w:rsidRPr="00A3389E">
              <w:t>časti 1 odseku 32 prílohy</w:t>
            </w:r>
            <w:r w:rsidR="00A3389E">
              <w:t xml:space="preserve"> V k </w:t>
            </w:r>
            <w:r w:rsidRPr="00A3389E">
              <w:t xml:space="preserve">vykonávaciemu nariadeniu Komisie (EÚ) </w:t>
            </w:r>
            <w:r w:rsidR="00A3389E">
              <w:t>č. </w:t>
            </w:r>
            <w:r w:rsidRPr="00A3389E">
              <w:t>680/2014, no okrem úverov</w:t>
            </w:r>
            <w:r w:rsidR="00A3389E">
              <w:t xml:space="preserve"> a </w:t>
            </w:r>
            <w:r w:rsidRPr="00A3389E">
              <w:t>preddavkov klasifikovaných ako držané na predaj, pokladničných zostatkov</w:t>
            </w:r>
            <w:r w:rsidR="00A3389E">
              <w:t xml:space="preserve"> v </w:t>
            </w:r>
            <w:r w:rsidRPr="00A3389E">
              <w:t>centrálnych bankách</w:t>
            </w:r>
            <w:r w:rsidR="00A3389E">
              <w:t xml:space="preserve"> a </w:t>
            </w:r>
            <w:r w:rsidRPr="00A3389E">
              <w:t>ostatných vkladov splatných na požiadanie.</w:t>
            </w:r>
          </w:p>
        </w:tc>
      </w:tr>
      <w:tr w:rsidR="004E71F4" w:rsidRPr="00A3389E" w14:paraId="49A1075F" w14:textId="77777777" w:rsidTr="00155C96">
        <w:trPr>
          <w:trHeight w:val="316"/>
        </w:trPr>
        <w:tc>
          <w:tcPr>
            <w:tcW w:w="1384" w:type="dxa"/>
          </w:tcPr>
          <w:p w14:paraId="3E06276A"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020</w:t>
            </w:r>
          </w:p>
        </w:tc>
        <w:tc>
          <w:tcPr>
            <w:tcW w:w="7655" w:type="dxa"/>
          </w:tcPr>
          <w:p w14:paraId="0D22DBF6"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Dlhové cenné papiere</w:t>
            </w:r>
          </w:p>
          <w:p w14:paraId="0D5D26AA" w14:textId="66125459" w:rsidR="004E71F4" w:rsidRPr="00A3389E" w:rsidRDefault="004E71F4" w:rsidP="00155C96">
            <w:pPr>
              <w:pStyle w:val="Fait"/>
              <w:spacing w:before="0" w:after="120"/>
              <w:rPr>
                <w:b/>
              </w:rPr>
            </w:pPr>
            <w:r w:rsidRPr="00A3389E">
              <w:t>Dlhové cenné papiere sú dlhové nástroje držané inštitúciou emitované ako cenné papiere, ktoré nie sú úvermi</w:t>
            </w:r>
            <w:r w:rsidR="00A3389E">
              <w:t xml:space="preserve"> v </w:t>
            </w:r>
            <w:r w:rsidRPr="00A3389E">
              <w:t>súlade</w:t>
            </w:r>
            <w:r w:rsidR="00A3389E">
              <w:t xml:space="preserve"> s </w:t>
            </w:r>
            <w:r w:rsidRPr="00A3389E">
              <w:t>nariadením ECB</w:t>
            </w:r>
            <w:r w:rsidR="00A3389E">
              <w:t xml:space="preserve"> o </w:t>
            </w:r>
            <w:r w:rsidRPr="00A3389E">
              <w:t>bilancii sektora peňažných finančných inštitúcií, ako sa vymedzuje</w:t>
            </w:r>
            <w:r w:rsidR="00A3389E">
              <w:t xml:space="preserve"> v </w:t>
            </w:r>
            <w:r w:rsidRPr="00A3389E">
              <w:t>časti 1 odseku 31 prílohy</w:t>
            </w:r>
            <w:r w:rsidR="00A3389E">
              <w:t xml:space="preserve"> V k </w:t>
            </w:r>
            <w:r w:rsidRPr="00A3389E">
              <w:t xml:space="preserve">vykonávaciemu nariadeniu Komisie (EÚ) </w:t>
            </w:r>
            <w:r w:rsidR="00A3389E">
              <w:t>č. </w:t>
            </w:r>
            <w:r w:rsidRPr="00A3389E">
              <w:t>680/2014.</w:t>
            </w:r>
          </w:p>
        </w:tc>
      </w:tr>
      <w:tr w:rsidR="004E71F4" w:rsidRPr="00A3389E" w14:paraId="0357C4A0" w14:textId="77777777" w:rsidTr="00155C96">
        <w:trPr>
          <w:trHeight w:val="316"/>
        </w:trPr>
        <w:tc>
          <w:tcPr>
            <w:tcW w:w="1384" w:type="dxa"/>
          </w:tcPr>
          <w:p w14:paraId="41A4A985"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lastRenderedPageBreak/>
              <w:t>030</w:t>
            </w:r>
          </w:p>
        </w:tc>
        <w:tc>
          <w:tcPr>
            <w:tcW w:w="7655" w:type="dxa"/>
          </w:tcPr>
          <w:p w14:paraId="65081D45"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 xml:space="preserve">Spolu </w:t>
            </w:r>
          </w:p>
        </w:tc>
      </w:tr>
    </w:tbl>
    <w:p w14:paraId="591ED875"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61F9EA20" w14:textId="77777777" w:rsidTr="00155C96">
        <w:trPr>
          <w:trHeight w:val="238"/>
        </w:trPr>
        <w:tc>
          <w:tcPr>
            <w:tcW w:w="9039" w:type="dxa"/>
            <w:gridSpan w:val="2"/>
            <w:shd w:val="clear" w:color="auto" w:fill="D9D9D9" w:themeFill="background1" w:themeFillShade="D9"/>
          </w:tcPr>
          <w:p w14:paraId="0F62F266" w14:textId="1C19C6AF"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7C9005FC" w14:textId="77777777" w:rsidTr="00155C96">
        <w:trPr>
          <w:trHeight w:val="238"/>
        </w:trPr>
        <w:tc>
          <w:tcPr>
            <w:tcW w:w="1384" w:type="dxa"/>
            <w:shd w:val="clear" w:color="auto" w:fill="D9D9D9" w:themeFill="background1" w:themeFillShade="D9"/>
          </w:tcPr>
          <w:p w14:paraId="4B97BADF"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16E8D069"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447C7898" w14:textId="77777777" w:rsidTr="00155C96">
        <w:trPr>
          <w:trHeight w:val="841"/>
        </w:trPr>
        <w:tc>
          <w:tcPr>
            <w:tcW w:w="1384" w:type="dxa"/>
          </w:tcPr>
          <w:p w14:paraId="3C429D71" w14:textId="77777777" w:rsidR="004E71F4" w:rsidRPr="00A3389E" w:rsidRDefault="004E71F4" w:rsidP="00155C96">
            <w:pPr>
              <w:pStyle w:val="Applicationdirecte"/>
              <w:spacing w:before="0"/>
            </w:pPr>
            <w:r w:rsidRPr="00A3389E">
              <w:t>a – e</w:t>
            </w:r>
          </w:p>
        </w:tc>
        <w:tc>
          <w:tcPr>
            <w:tcW w:w="7655" w:type="dxa"/>
          </w:tcPr>
          <w:p w14:paraId="1FB5397D" w14:textId="77777777" w:rsidR="00A3389E"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Čisté hodnoty expozícií</w:t>
            </w:r>
          </w:p>
          <w:p w14:paraId="0117F2D1" w14:textId="32CA8DF8" w:rsidR="004E71F4" w:rsidRPr="00A3389E" w:rsidRDefault="004E71F4" w:rsidP="00155C96">
            <w:pPr>
              <w:pStyle w:val="Fait"/>
              <w:spacing w:before="0" w:after="120"/>
            </w:pPr>
            <w:r w:rsidRPr="00A3389E">
              <w:t>Čisté hodnoty sa zverejňujú podľa zostatkových zmluvných splatností.</w:t>
            </w:r>
          </w:p>
          <w:p w14:paraId="590B6CAE" w14:textId="4D768A93" w:rsidR="00A3389E" w:rsidRPr="00476DE3" w:rsidRDefault="004E71F4" w:rsidP="00155C96">
            <w:pPr>
              <w:pStyle w:val="Fait"/>
              <w:spacing w:before="0" w:after="120"/>
              <w:rPr>
                <w:spacing w:val="-8"/>
              </w:rPr>
            </w:pPr>
            <w:r w:rsidRPr="00476DE3">
              <w:rPr>
                <w:spacing w:val="-8"/>
              </w:rPr>
              <w:t>Čistá hodnota expozície: Pri súvahových položkách je čistou hodnotou hrubá účtovná hodnota expozície znížená</w:t>
            </w:r>
            <w:r w:rsidR="00A3389E" w:rsidRPr="00476DE3">
              <w:rPr>
                <w:spacing w:val="-8"/>
              </w:rPr>
              <w:t xml:space="preserve"> o </w:t>
            </w:r>
            <w:r w:rsidRPr="00476DE3">
              <w:rPr>
                <w:spacing w:val="-8"/>
              </w:rPr>
              <w:t>opravné položky/zníženie hodnoty. Pri podsúvahových položkách je čistou hodnotou hrubá účtovná hodnota expozície znížená</w:t>
            </w:r>
            <w:r w:rsidR="00A3389E" w:rsidRPr="00476DE3">
              <w:rPr>
                <w:spacing w:val="-8"/>
              </w:rPr>
              <w:t xml:space="preserve"> o </w:t>
            </w:r>
            <w:r w:rsidRPr="00476DE3">
              <w:rPr>
                <w:spacing w:val="-8"/>
              </w:rPr>
              <w:t>rezervy</w:t>
            </w:r>
            <w:r w:rsidR="00A3389E" w:rsidRPr="00476DE3">
              <w:rPr>
                <w:spacing w:val="-8"/>
              </w:rPr>
              <w:t>.</w:t>
            </w:r>
          </w:p>
          <w:p w14:paraId="18B6E675" w14:textId="30117B8A" w:rsidR="004E71F4" w:rsidRPr="00A3389E" w:rsidRDefault="004E71F4" w:rsidP="00155C96">
            <w:pPr>
              <w:pStyle w:val="Fait"/>
              <w:spacing w:before="0" w:after="120"/>
            </w:pPr>
            <w:r w:rsidRPr="00A3389E">
              <w:t>Expozícia:</w:t>
            </w:r>
            <w:r w:rsidR="00A3389E">
              <w:t xml:space="preserve"> V </w:t>
            </w:r>
            <w:r w:rsidRPr="00A3389E">
              <w:t>súlade</w:t>
            </w:r>
            <w:r w:rsidR="00A3389E">
              <w:t xml:space="preserve"> s </w:t>
            </w:r>
            <w:r w:rsidRPr="00A3389E">
              <w:t>článkom 5 CRR sa expozícia vzťahuje na aktívum alebo podsúvahovú položku, na základe ktorej vzniká expozícia voči kreditnému riziku</w:t>
            </w:r>
            <w:r w:rsidR="00A3389E">
              <w:t xml:space="preserve"> v </w:t>
            </w:r>
            <w:r w:rsidRPr="00A3389E">
              <w:t>súlade</w:t>
            </w:r>
            <w:r w:rsidR="00A3389E">
              <w:t xml:space="preserve"> s </w:t>
            </w:r>
            <w:r w:rsidRPr="00A3389E">
              <w:t>CRR.</w:t>
            </w:r>
          </w:p>
          <w:p w14:paraId="3BB3DEC6" w14:textId="514A64AB" w:rsidR="004E71F4" w:rsidRPr="00476DE3" w:rsidRDefault="004E71F4" w:rsidP="00155C96">
            <w:pPr>
              <w:pStyle w:val="Fait"/>
              <w:spacing w:before="0" w:after="120"/>
              <w:rPr>
                <w:spacing w:val="-8"/>
              </w:rPr>
            </w:pPr>
            <w:r w:rsidRPr="00476DE3">
              <w:rPr>
                <w:spacing w:val="-8"/>
              </w:rPr>
              <w:t>Hrubé účtovné hodnoty: Účtovná hodnota pred akoukoľvek opravnou položkou/znížením hodnoty, ale po zohľadnení odpisov. Inštitúcie nezohľadňujú žiadny postup zmierňova</w:t>
            </w:r>
            <w:r w:rsidR="00476DE3">
              <w:rPr>
                <w:spacing w:val="-8"/>
              </w:rPr>
              <w:t xml:space="preserve"> </w:t>
            </w:r>
            <w:r w:rsidRPr="00476DE3">
              <w:rPr>
                <w:spacing w:val="-8"/>
              </w:rPr>
              <w:t>nia kreditného rizika pri uplatňovaní tretej časti hlavy II kapitoly 4 CRR. Podsúvahové položky sa zverejňujú</w:t>
            </w:r>
            <w:r w:rsidR="00A3389E" w:rsidRPr="00476DE3">
              <w:rPr>
                <w:spacing w:val="-8"/>
              </w:rPr>
              <w:t xml:space="preserve"> v </w:t>
            </w:r>
            <w:r w:rsidRPr="00476DE3">
              <w:rPr>
                <w:spacing w:val="-8"/>
              </w:rPr>
              <w:t>ich nominálnej hodnote bez odpočítania akéhokoľvek konverzného faktora úverov (CCF) uplatniteľného</w:t>
            </w:r>
            <w:r w:rsidR="00A3389E" w:rsidRPr="00476DE3">
              <w:rPr>
                <w:spacing w:val="-8"/>
              </w:rPr>
              <w:t xml:space="preserve"> v </w:t>
            </w:r>
            <w:r w:rsidRPr="00476DE3">
              <w:rPr>
                <w:spacing w:val="-8"/>
              </w:rPr>
              <w:t>súlade</w:t>
            </w:r>
            <w:r w:rsidR="00A3389E" w:rsidRPr="00476DE3">
              <w:rPr>
                <w:spacing w:val="-8"/>
              </w:rPr>
              <w:t xml:space="preserve"> s </w:t>
            </w:r>
            <w:r w:rsidRPr="00476DE3">
              <w:rPr>
                <w:spacing w:val="-8"/>
              </w:rPr>
              <w:t>článkami 111</w:t>
            </w:r>
            <w:r w:rsidR="00A3389E" w:rsidRPr="00476DE3">
              <w:rPr>
                <w:spacing w:val="-8"/>
              </w:rPr>
              <w:t xml:space="preserve"> a </w:t>
            </w:r>
            <w:r w:rsidRPr="00476DE3">
              <w:rPr>
                <w:spacing w:val="-8"/>
              </w:rPr>
              <w:t>166 CRR alebo postupov zmierňovania kreditného rizika</w:t>
            </w:r>
            <w:r w:rsidR="00A3389E" w:rsidRPr="00476DE3">
              <w:rPr>
                <w:spacing w:val="-8"/>
              </w:rPr>
              <w:t xml:space="preserve"> a </w:t>
            </w:r>
            <w:r w:rsidRPr="00476DE3">
              <w:rPr>
                <w:spacing w:val="-8"/>
              </w:rPr>
              <w:t>bez odpočítania akejkoľvek rezervy, najmä a) poskytnutých záruk (maximálna suma, ktorú by inštitúcia musela zaplatiť, ak by došlo</w:t>
            </w:r>
            <w:r w:rsidR="00A3389E" w:rsidRPr="00476DE3">
              <w:rPr>
                <w:spacing w:val="-8"/>
              </w:rPr>
              <w:t xml:space="preserve"> k </w:t>
            </w:r>
            <w:r w:rsidRPr="00476DE3">
              <w:rPr>
                <w:spacing w:val="-8"/>
              </w:rPr>
              <w:t>uplatneniu záruky)</w:t>
            </w:r>
            <w:r w:rsidR="00A3389E" w:rsidRPr="00476DE3">
              <w:rPr>
                <w:spacing w:val="-8"/>
              </w:rPr>
              <w:t xml:space="preserve"> a </w:t>
            </w:r>
            <w:r w:rsidRPr="00476DE3">
              <w:rPr>
                <w:spacing w:val="-8"/>
              </w:rPr>
              <w:t>b) úverových prísľubov</w:t>
            </w:r>
            <w:r w:rsidR="00A3389E" w:rsidRPr="00476DE3">
              <w:rPr>
                <w:spacing w:val="-8"/>
              </w:rPr>
              <w:t xml:space="preserve"> a </w:t>
            </w:r>
            <w:r w:rsidRPr="00476DE3">
              <w:rPr>
                <w:spacing w:val="-8"/>
              </w:rPr>
              <w:t>iných prísľubov (celková suma, ktorú inštitúcia prisľúbila požičať).</w:t>
            </w:r>
          </w:p>
          <w:p w14:paraId="7E761FF7" w14:textId="77777777" w:rsidR="004E71F4" w:rsidRPr="00A3389E" w:rsidRDefault="004E71F4" w:rsidP="00155C96">
            <w:pPr>
              <w:pStyle w:val="Fait"/>
              <w:spacing w:before="0" w:after="120"/>
            </w:pPr>
            <w:r w:rsidRPr="00A3389E">
              <w:t>V tomto zverejnení:</w:t>
            </w:r>
          </w:p>
          <w:p w14:paraId="14B53A93" w14:textId="388A3037" w:rsidR="004E71F4" w:rsidRPr="00A3389E" w:rsidRDefault="004E71F4" w:rsidP="00155C96">
            <w:pPr>
              <w:pStyle w:val="Fait"/>
              <w:spacing w:before="0" w:after="120"/>
            </w:pPr>
            <w:r w:rsidRPr="00A3389E">
              <w:t xml:space="preserve"> – ak si protistrana môže vybrať, kedy bude suma splatená, táto suma sa priradí do stĺpca „na požiadanie“. Stĺpec zahŕňa zostatky pohľadávok splatné na požiadanie (výzva na splatenie),</w:t>
            </w:r>
            <w:r w:rsidR="00A3389E">
              <w:t xml:space="preserve"> v </w:t>
            </w:r>
            <w:r w:rsidRPr="00A3389E">
              <w:t>krátkej lehote, bežné účty</w:t>
            </w:r>
            <w:r w:rsidR="00A3389E">
              <w:t xml:space="preserve"> a </w:t>
            </w:r>
            <w:r w:rsidRPr="00A3389E">
              <w:t>podobné zostatky (ktoré môžu zahŕňať pôžičky, ktoré sú jednodňovými vkladmi pre dlžníka bez ohľadu na ich právnu formu). Patria sem aj „prečerpania“, ktoré sú debetnými zostatkami na zostatkoch bežného účtu;</w:t>
            </w:r>
          </w:p>
          <w:p w14:paraId="0794C5FD" w14:textId="76AC7719" w:rsidR="004E71F4" w:rsidRPr="00A3389E" w:rsidRDefault="004E71F4" w:rsidP="00155C96">
            <w:pPr>
              <w:pStyle w:val="Fait"/>
              <w:spacing w:before="0" w:after="120"/>
            </w:pPr>
            <w:r w:rsidRPr="00A3389E">
              <w:t xml:space="preserve"> – ak expozícia nemá určenú splatnosť</w:t>
            </w:r>
            <w:r w:rsidR="00A3389E">
              <w:t xml:space="preserve"> z </w:t>
            </w:r>
            <w:r w:rsidRPr="00A3389E">
              <w:t>iných dôvodov, než je to, že protistrana má možnosť vybrať si dátum splatenia, suma tejto expozície sa zverejňuje</w:t>
            </w:r>
            <w:r w:rsidR="00A3389E">
              <w:t xml:space="preserve"> v </w:t>
            </w:r>
            <w:r w:rsidRPr="00A3389E">
              <w:t>stĺpci „neuvedená splatnosť“.</w:t>
            </w:r>
          </w:p>
          <w:p w14:paraId="717C314E" w14:textId="72800CC3" w:rsidR="004E71F4" w:rsidRPr="00A3389E" w:rsidRDefault="004E71F4" w:rsidP="00155C96">
            <w:pPr>
              <w:pStyle w:val="Fait"/>
              <w:spacing w:before="0" w:after="120"/>
              <w:rPr>
                <w:rFonts w:eastAsiaTheme="minorEastAsia"/>
                <w:i/>
              </w:rPr>
            </w:pPr>
            <w:r w:rsidRPr="00A3389E">
              <w:t xml:space="preserve"> – ak sa suma spláca</w:t>
            </w:r>
            <w:r w:rsidR="00A3389E">
              <w:t xml:space="preserve"> v </w:t>
            </w:r>
            <w:r w:rsidRPr="00A3389E">
              <w:t>splátkach, expozícia sa priradí do skupiny splatností, ktorá zodpovedá poslednej splátke.</w:t>
            </w:r>
          </w:p>
        </w:tc>
      </w:tr>
      <w:tr w:rsidR="004E71F4" w:rsidRPr="00A3389E" w14:paraId="74073BCD" w14:textId="77777777" w:rsidTr="00155C96">
        <w:trPr>
          <w:trHeight w:val="274"/>
        </w:trPr>
        <w:tc>
          <w:tcPr>
            <w:tcW w:w="1384" w:type="dxa"/>
          </w:tcPr>
          <w:p w14:paraId="762B3169" w14:textId="77777777" w:rsidR="004E71F4" w:rsidRPr="00A3389E" w:rsidRDefault="004E71F4" w:rsidP="00155C96">
            <w:pPr>
              <w:pStyle w:val="Applicationdirecte"/>
              <w:spacing w:before="0"/>
            </w:pPr>
            <w:r w:rsidRPr="00A3389E">
              <w:t>f</w:t>
            </w:r>
          </w:p>
        </w:tc>
        <w:tc>
          <w:tcPr>
            <w:tcW w:w="7655" w:type="dxa"/>
          </w:tcPr>
          <w:p w14:paraId="7213934F" w14:textId="77777777" w:rsidR="004E71F4" w:rsidRPr="00A3389E" w:rsidRDefault="004E71F4" w:rsidP="00155C96">
            <w:pPr>
              <w:autoSpaceDE w:val="0"/>
              <w:autoSpaceDN w:val="0"/>
              <w:adjustRightInd w:val="0"/>
              <w:spacing w:after="120"/>
              <w:rPr>
                <w:rFonts w:ascii="Times New Roman" w:hAnsi="Times New Roman" w:cs="Times New Roman"/>
              </w:rPr>
            </w:pPr>
            <w:r w:rsidRPr="00A3389E">
              <w:rPr>
                <w:rFonts w:ascii="Times New Roman" w:hAnsi="Times New Roman" w:cs="Times New Roman"/>
                <w:b/>
                <w:sz w:val="24"/>
              </w:rPr>
              <w:t>Spolu</w:t>
            </w:r>
          </w:p>
        </w:tc>
      </w:tr>
    </w:tbl>
    <w:p w14:paraId="548E1C49" w14:textId="77777777" w:rsidR="004E71F4" w:rsidRPr="00A3389E" w:rsidRDefault="004E71F4" w:rsidP="004E71F4">
      <w:pPr>
        <w:spacing w:after="120"/>
        <w:jc w:val="both"/>
        <w:rPr>
          <w:rFonts w:ascii="Times New Roman" w:hAnsi="Times New Roman" w:cs="Times New Roman"/>
          <w:bCs/>
          <w:sz w:val="24"/>
        </w:rPr>
      </w:pPr>
    </w:p>
    <w:p w14:paraId="6ADFFD40" w14:textId="493B827C" w:rsidR="004E71F4" w:rsidRPr="00A3389E" w:rsidRDefault="00CD362D" w:rsidP="004E71F4">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Vzor EU CR2: Zmeny stavu problémových úverov</w:t>
      </w:r>
      <w:r w:rsidR="00A3389E">
        <w:rPr>
          <w:rFonts w:ascii="Times New Roman" w:hAnsi="Times New Roman" w:cs="Times New Roman"/>
          <w:b/>
          <w:sz w:val="24"/>
        </w:rPr>
        <w:t xml:space="preserve"> a </w:t>
      </w:r>
      <w:r w:rsidRPr="00A3389E">
        <w:rPr>
          <w:rFonts w:ascii="Times New Roman" w:hAnsi="Times New Roman" w:cs="Times New Roman"/>
          <w:b/>
          <w:sz w:val="24"/>
        </w:rPr>
        <w:t>preddavkov</w:t>
      </w:r>
    </w:p>
    <w:p w14:paraId="2E036D32" w14:textId="0B7BAB55" w:rsidR="004E71F4" w:rsidRPr="00A3389E" w:rsidRDefault="00A3389E" w:rsidP="00A3389E">
      <w:pPr>
        <w:spacing w:after="120"/>
        <w:ind w:left="720" w:hanging="360"/>
        <w:jc w:val="both"/>
        <w:rPr>
          <w:rFonts w:ascii="Times New Roman" w:hAnsi="Times New Roman"/>
          <w:sz w:val="24"/>
        </w:rPr>
      </w:pPr>
      <w:r w:rsidRPr="00A3389E">
        <w:rPr>
          <w:rFonts w:ascii="Times New Roman" w:eastAsia="Calibri" w:hAnsi="Times New Roman" w:cs="Times New Roman"/>
          <w:sz w:val="24"/>
          <w:szCs w:val="22"/>
        </w:rPr>
        <w:t>1.</w:t>
      </w:r>
      <w:r w:rsidRPr="00A3389E">
        <w:rPr>
          <w:rFonts w:ascii="Times New Roman" w:eastAsia="Calibri" w:hAnsi="Times New Roman" w:cs="Times New Roman"/>
          <w:sz w:val="24"/>
          <w:szCs w:val="22"/>
        </w:rPr>
        <w:tab/>
      </w:r>
      <w:r w:rsidR="004E71F4" w:rsidRPr="00A3389E">
        <w:rPr>
          <w:rFonts w:ascii="Times New Roman" w:hAnsi="Times New Roman"/>
          <w:bCs/>
          <w:sz w:val="24"/>
        </w:rPr>
        <w:t>Inštitúcie</w:t>
      </w:r>
      <w:r w:rsidR="004E71F4" w:rsidRPr="00A3389E">
        <w:rPr>
          <w:rFonts w:ascii="Times New Roman" w:hAnsi="Times New Roman"/>
          <w:sz w:val="24"/>
        </w:rPr>
        <w:t xml:space="preserve"> zverejňujú informácie uvedené</w:t>
      </w:r>
      <w:r>
        <w:rPr>
          <w:rFonts w:ascii="Times New Roman" w:hAnsi="Times New Roman"/>
          <w:sz w:val="24"/>
        </w:rPr>
        <w:t xml:space="preserve"> v </w:t>
      </w:r>
      <w:r w:rsidR="004E71F4" w:rsidRPr="00A3389E">
        <w:rPr>
          <w:rFonts w:ascii="Times New Roman" w:hAnsi="Times New Roman"/>
          <w:bCs/>
          <w:sz w:val="24"/>
        </w:rPr>
        <w:t xml:space="preserve">článku 442 písm. f) </w:t>
      </w:r>
      <w:r w:rsidR="004E71F4" w:rsidRPr="00A3389E">
        <w:rPr>
          <w:rFonts w:ascii="Times New Roman" w:hAnsi="Times New Roman"/>
          <w:color w:val="000000"/>
          <w:sz w:val="24"/>
        </w:rPr>
        <w:t>CRR</w:t>
      </w:r>
      <w:r w:rsidR="004E71F4" w:rsidRPr="00A3389E">
        <w:rPr>
          <w:rFonts w:ascii="Times New Roman" w:hAnsi="Times New Roman"/>
          <w:bCs/>
          <w:sz w:val="24"/>
        </w:rPr>
        <w:t xml:space="preserve"> podľa pokynov uvedených nižšie</w:t>
      </w:r>
      <w:r>
        <w:rPr>
          <w:rFonts w:ascii="Times New Roman" w:hAnsi="Times New Roman"/>
          <w:bCs/>
          <w:sz w:val="24"/>
        </w:rPr>
        <w:t xml:space="preserve"> s </w:t>
      </w:r>
      <w:r w:rsidR="004E71F4" w:rsidRPr="00A3389E">
        <w:rPr>
          <w:rFonts w:ascii="Times New Roman" w:hAnsi="Times New Roman"/>
          <w:bCs/>
          <w:sz w:val="24"/>
        </w:rPr>
        <w:t>cieľom vyplniť vzor EU CR2,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 Inštitúcie vysvetlia</w:t>
      </w:r>
      <w:r>
        <w:rPr>
          <w:rFonts w:ascii="Times New Roman" w:hAnsi="Times New Roman"/>
          <w:bCs/>
          <w:sz w:val="24"/>
        </w:rPr>
        <w:t xml:space="preserve"> v </w:t>
      </w:r>
      <w:r w:rsidR="004E71F4" w:rsidRPr="00A3389E">
        <w:rPr>
          <w:rFonts w:ascii="Times New Roman" w:hAnsi="Times New Roman"/>
          <w:bCs/>
          <w:sz w:val="24"/>
        </w:rPr>
        <w:t>opise sprevádzajúcom tieto vzory akýkoľvek významný rozdiel medzi problémovými hodnotami zverejňovanými</w:t>
      </w:r>
      <w:r>
        <w:rPr>
          <w:rFonts w:ascii="Times New Roman" w:hAnsi="Times New Roman"/>
          <w:bCs/>
          <w:sz w:val="24"/>
        </w:rPr>
        <w:t xml:space="preserve"> v </w:t>
      </w:r>
      <w:r w:rsidR="004E71F4" w:rsidRPr="00A3389E">
        <w:rPr>
          <w:rFonts w:ascii="Times New Roman" w:hAnsi="Times New Roman"/>
          <w:bCs/>
          <w:sz w:val="24"/>
        </w:rPr>
        <w:t>každom riadku</w:t>
      </w:r>
      <w:r>
        <w:rPr>
          <w:rFonts w:ascii="Times New Roman" w:hAnsi="Times New Roman"/>
          <w:bCs/>
          <w:sz w:val="24"/>
        </w:rPr>
        <w:t xml:space="preserve"> a </w:t>
      </w:r>
      <w:r w:rsidR="004E71F4" w:rsidRPr="00A3389E">
        <w:rPr>
          <w:rFonts w:ascii="Times New Roman" w:hAnsi="Times New Roman"/>
          <w:bCs/>
          <w:sz w:val="24"/>
        </w:rPr>
        <w:t>príslušnými hodnotami, akoby sa uplatnilo vymedzenie zlyhania</w:t>
      </w:r>
      <w:r>
        <w:rPr>
          <w:rFonts w:ascii="Times New Roman" w:hAnsi="Times New Roman"/>
          <w:bCs/>
          <w:sz w:val="24"/>
        </w:rPr>
        <w:t xml:space="preserve"> v </w:t>
      </w:r>
      <w:r w:rsidR="004E71F4" w:rsidRPr="00A3389E">
        <w:rPr>
          <w:rFonts w:ascii="Times New Roman" w:hAnsi="Times New Roman"/>
          <w:bCs/>
          <w:sz w:val="24"/>
        </w:rPr>
        <w:t>súlade</w:t>
      </w:r>
      <w:r>
        <w:rPr>
          <w:rFonts w:ascii="Times New Roman" w:hAnsi="Times New Roman"/>
          <w:bCs/>
          <w:sz w:val="24"/>
        </w:rPr>
        <w:t xml:space="preserve"> s </w:t>
      </w:r>
      <w:r w:rsidR="004E71F4" w:rsidRPr="00A3389E">
        <w:rPr>
          <w:rFonts w:ascii="Times New Roman" w:hAnsi="Times New Roman"/>
          <w:bCs/>
          <w:sz w:val="24"/>
        </w:rPr>
        <w:t>článkom 178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1FFFEB5B"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2A62740D" w14:textId="77777777" w:rsidTr="00155C96">
        <w:trPr>
          <w:trHeight w:val="238"/>
        </w:trPr>
        <w:tc>
          <w:tcPr>
            <w:tcW w:w="1384" w:type="dxa"/>
            <w:shd w:val="clear" w:color="auto" w:fill="D9D9D9" w:themeFill="background1" w:themeFillShade="D9"/>
          </w:tcPr>
          <w:p w14:paraId="5525AD89"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217F440D"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638CB5A3" w14:textId="77777777" w:rsidTr="00155C96">
        <w:trPr>
          <w:trHeight w:val="971"/>
        </w:trPr>
        <w:tc>
          <w:tcPr>
            <w:tcW w:w="1384" w:type="dxa"/>
          </w:tcPr>
          <w:p w14:paraId="1E0ADB96" w14:textId="77777777" w:rsidR="004E71F4" w:rsidRPr="00A3389E" w:rsidRDefault="004E71F4" w:rsidP="00155C96">
            <w:pPr>
              <w:pStyle w:val="Applicationdirecte"/>
              <w:spacing w:before="0"/>
            </w:pPr>
            <w:r w:rsidRPr="00A3389E">
              <w:t>010</w:t>
            </w:r>
          </w:p>
        </w:tc>
        <w:tc>
          <w:tcPr>
            <w:tcW w:w="7655" w:type="dxa"/>
          </w:tcPr>
          <w:p w14:paraId="2196BA33" w14:textId="41DF5AB3"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Prvotný stav problémových úverov</w:t>
            </w:r>
            <w:r w:rsidR="00A3389E">
              <w:rPr>
                <w:rFonts w:ascii="Times New Roman" w:hAnsi="Times New Roman" w:cs="Times New Roman"/>
                <w:b/>
                <w:sz w:val="24"/>
              </w:rPr>
              <w:t xml:space="preserve"> a </w:t>
            </w:r>
            <w:r w:rsidRPr="00A3389E">
              <w:rPr>
                <w:rFonts w:ascii="Times New Roman" w:hAnsi="Times New Roman" w:cs="Times New Roman"/>
                <w:b/>
                <w:sz w:val="24"/>
              </w:rPr>
              <w:t>preddavkov</w:t>
            </w:r>
          </w:p>
          <w:p w14:paraId="2E71EC8D" w14:textId="211A2EDF"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Hrubá účtovná hodnota objemu problémových úverov</w:t>
            </w:r>
            <w:r w:rsidR="00A3389E">
              <w:rPr>
                <w:rFonts w:ascii="Times New Roman" w:hAnsi="Times New Roman" w:cs="Times New Roman"/>
                <w:sz w:val="24"/>
              </w:rPr>
              <w:t xml:space="preserve"> a </w:t>
            </w:r>
            <w:r w:rsidRPr="00A3389E">
              <w:rPr>
                <w:rFonts w:ascii="Times New Roman" w:hAnsi="Times New Roman" w:cs="Times New Roman"/>
                <w:sz w:val="24"/>
              </w:rPr>
              <w:t>preddavkov ku koncu posledného finančného roka.</w:t>
            </w:r>
          </w:p>
        </w:tc>
      </w:tr>
      <w:tr w:rsidR="004E71F4" w:rsidRPr="00A3389E" w14:paraId="6FED36BF" w14:textId="77777777" w:rsidTr="00155C96">
        <w:trPr>
          <w:trHeight w:val="316"/>
        </w:trPr>
        <w:tc>
          <w:tcPr>
            <w:tcW w:w="1384" w:type="dxa"/>
          </w:tcPr>
          <w:p w14:paraId="282114F1" w14:textId="77777777" w:rsidR="004E71F4" w:rsidRPr="00A3389E" w:rsidRDefault="004E71F4" w:rsidP="00155C96">
            <w:pPr>
              <w:autoSpaceDE w:val="0"/>
              <w:autoSpaceDN w:val="0"/>
              <w:adjustRightInd w:val="0"/>
              <w:spacing w:after="120"/>
              <w:jc w:val="both"/>
              <w:rPr>
                <w:rFonts w:ascii="Times New Roman" w:hAnsi="Times New Roman" w:cs="Times New Roman"/>
                <w:color w:val="000000"/>
                <w:sz w:val="24"/>
              </w:rPr>
            </w:pPr>
            <w:r w:rsidRPr="00A3389E">
              <w:rPr>
                <w:rFonts w:ascii="Times New Roman" w:hAnsi="Times New Roman" w:cs="Times New Roman"/>
                <w:color w:val="000000"/>
                <w:sz w:val="24"/>
              </w:rPr>
              <w:t>020</w:t>
            </w:r>
          </w:p>
        </w:tc>
        <w:tc>
          <w:tcPr>
            <w:tcW w:w="7655" w:type="dxa"/>
          </w:tcPr>
          <w:p w14:paraId="182D3C84" w14:textId="77777777"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Kladné peňažné toky do problémových portfólií</w:t>
            </w:r>
          </w:p>
          <w:p w14:paraId="1A775B10" w14:textId="7B8A1B05" w:rsidR="004E71F4" w:rsidRPr="00A3389E" w:rsidRDefault="004E71F4"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Hrubá účtovná hodnota úverov</w:t>
            </w:r>
            <w:r w:rsidR="00A3389E">
              <w:rPr>
                <w:rFonts w:ascii="Times New Roman" w:hAnsi="Times New Roman" w:cs="Times New Roman"/>
                <w:sz w:val="24"/>
              </w:rPr>
              <w:t xml:space="preserve"> a </w:t>
            </w:r>
            <w:r w:rsidRPr="00A3389E">
              <w:rPr>
                <w:rFonts w:ascii="Times New Roman" w:hAnsi="Times New Roman" w:cs="Times New Roman"/>
                <w:sz w:val="24"/>
              </w:rPr>
              <w:t>preddavkov, ktoré sa počas obdobia (od konca posledného finančného roka) dostali do problémového stavu.</w:t>
            </w:r>
          </w:p>
        </w:tc>
      </w:tr>
      <w:tr w:rsidR="004E71F4" w:rsidRPr="00A3389E" w14:paraId="77F3A129" w14:textId="77777777" w:rsidTr="00155C96">
        <w:trPr>
          <w:trHeight w:val="316"/>
        </w:trPr>
        <w:tc>
          <w:tcPr>
            <w:tcW w:w="1384" w:type="dxa"/>
          </w:tcPr>
          <w:p w14:paraId="7A5A3797" w14:textId="77777777" w:rsidR="004E71F4" w:rsidRPr="00A3389E" w:rsidRDefault="004E71F4" w:rsidP="00155C96">
            <w:pPr>
              <w:autoSpaceDE w:val="0"/>
              <w:autoSpaceDN w:val="0"/>
              <w:adjustRightInd w:val="0"/>
              <w:spacing w:after="120"/>
              <w:jc w:val="both"/>
              <w:rPr>
                <w:rFonts w:ascii="Times New Roman" w:hAnsi="Times New Roman" w:cs="Times New Roman"/>
                <w:color w:val="000000"/>
                <w:sz w:val="24"/>
              </w:rPr>
            </w:pPr>
            <w:r w:rsidRPr="00A3389E">
              <w:rPr>
                <w:rFonts w:ascii="Times New Roman" w:hAnsi="Times New Roman" w:cs="Times New Roman"/>
                <w:color w:val="000000"/>
                <w:sz w:val="24"/>
              </w:rPr>
              <w:t>030</w:t>
            </w:r>
          </w:p>
        </w:tc>
        <w:tc>
          <w:tcPr>
            <w:tcW w:w="7655" w:type="dxa"/>
          </w:tcPr>
          <w:p w14:paraId="7213A5F2" w14:textId="36727834"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Záporné peňažné toky</w:t>
            </w:r>
            <w:r w:rsidR="00A3389E">
              <w:rPr>
                <w:rFonts w:ascii="Times New Roman" w:hAnsi="Times New Roman" w:cs="Times New Roman"/>
                <w:b/>
                <w:sz w:val="24"/>
              </w:rPr>
              <w:t xml:space="preserve"> z </w:t>
            </w:r>
            <w:r w:rsidRPr="00A3389E">
              <w:rPr>
                <w:rFonts w:ascii="Times New Roman" w:hAnsi="Times New Roman" w:cs="Times New Roman"/>
                <w:b/>
                <w:sz w:val="24"/>
              </w:rPr>
              <w:t>problémových portfólií</w:t>
            </w:r>
          </w:p>
          <w:p w14:paraId="76D22C1F" w14:textId="1468FEE0"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Hrubá účtovná hodnota úverov</w:t>
            </w:r>
            <w:r w:rsidR="00A3389E">
              <w:rPr>
                <w:rFonts w:ascii="Times New Roman" w:hAnsi="Times New Roman" w:cs="Times New Roman"/>
                <w:sz w:val="24"/>
              </w:rPr>
              <w:t xml:space="preserve"> a </w:t>
            </w:r>
            <w:r w:rsidRPr="00A3389E">
              <w:rPr>
                <w:rFonts w:ascii="Times New Roman" w:hAnsi="Times New Roman" w:cs="Times New Roman"/>
                <w:sz w:val="24"/>
              </w:rPr>
              <w:t>preddavkov, pri ktorých sa ukončil problémový stav.</w:t>
            </w:r>
          </w:p>
        </w:tc>
      </w:tr>
      <w:tr w:rsidR="004E71F4" w:rsidRPr="00A3389E" w14:paraId="32B7AFDC" w14:textId="77777777" w:rsidTr="00155C96">
        <w:trPr>
          <w:trHeight w:val="316"/>
        </w:trPr>
        <w:tc>
          <w:tcPr>
            <w:tcW w:w="1384" w:type="dxa"/>
          </w:tcPr>
          <w:p w14:paraId="587AA47E" w14:textId="77777777" w:rsidR="004E71F4" w:rsidRPr="00A3389E" w:rsidRDefault="004E71F4" w:rsidP="00155C96">
            <w:pPr>
              <w:autoSpaceDE w:val="0"/>
              <w:autoSpaceDN w:val="0"/>
              <w:adjustRightInd w:val="0"/>
              <w:spacing w:after="120"/>
              <w:jc w:val="both"/>
              <w:rPr>
                <w:rFonts w:ascii="Times New Roman" w:hAnsi="Times New Roman" w:cs="Times New Roman"/>
                <w:color w:val="000000"/>
                <w:sz w:val="24"/>
              </w:rPr>
            </w:pPr>
            <w:r w:rsidRPr="00A3389E">
              <w:rPr>
                <w:rFonts w:ascii="Times New Roman" w:hAnsi="Times New Roman" w:cs="Times New Roman"/>
                <w:color w:val="000000"/>
                <w:sz w:val="24"/>
              </w:rPr>
              <w:t>040</w:t>
            </w:r>
          </w:p>
        </w:tc>
        <w:tc>
          <w:tcPr>
            <w:tcW w:w="7655" w:type="dxa"/>
          </w:tcPr>
          <w:p w14:paraId="59C7D08E" w14:textId="488D70BD"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w:t>
            </w:r>
            <w:r w:rsidR="00A3389E">
              <w:rPr>
                <w:rFonts w:ascii="Times New Roman" w:hAnsi="Times New Roman" w:cs="Times New Roman"/>
                <w:b/>
                <w:sz w:val="24"/>
              </w:rPr>
              <w:t xml:space="preserve"> z </w:t>
            </w:r>
            <w:r w:rsidRPr="00A3389E">
              <w:rPr>
                <w:rFonts w:ascii="Times New Roman" w:hAnsi="Times New Roman" w:cs="Times New Roman"/>
                <w:b/>
                <w:sz w:val="24"/>
              </w:rPr>
              <w:t>dôvodu odpisov</w:t>
            </w:r>
          </w:p>
          <w:p w14:paraId="0E4163E1" w14:textId="67990161" w:rsidR="004E71F4" w:rsidRPr="00A3389E" w:rsidRDefault="004E71F4"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Úplné alebo čiastočné odpisy celkových úverov</w:t>
            </w:r>
            <w:r w:rsidR="00A3389E">
              <w:rPr>
                <w:rFonts w:ascii="Times New Roman" w:hAnsi="Times New Roman" w:cs="Times New Roman"/>
                <w:sz w:val="24"/>
              </w:rPr>
              <w:t xml:space="preserve"> a </w:t>
            </w:r>
            <w:r w:rsidRPr="00A3389E">
              <w:rPr>
                <w:rFonts w:ascii="Times New Roman" w:hAnsi="Times New Roman" w:cs="Times New Roman"/>
                <w:sz w:val="24"/>
              </w:rPr>
              <w:t>preddavkov zaznamenané počas referenčného obdobia.</w:t>
            </w:r>
          </w:p>
          <w:p w14:paraId="7DA15E9D" w14:textId="136DB017" w:rsidR="004E71F4" w:rsidRPr="00476DE3" w:rsidRDefault="004E71F4" w:rsidP="00155C96">
            <w:pPr>
              <w:autoSpaceDE w:val="0"/>
              <w:autoSpaceDN w:val="0"/>
              <w:adjustRightInd w:val="0"/>
              <w:spacing w:after="120"/>
              <w:jc w:val="both"/>
              <w:rPr>
                <w:rFonts w:ascii="Times New Roman" w:hAnsi="Times New Roman" w:cs="Times New Roman"/>
                <w:b/>
                <w:spacing w:val="-6"/>
                <w:sz w:val="24"/>
              </w:rPr>
            </w:pPr>
            <w:r w:rsidRPr="00476DE3">
              <w:rPr>
                <w:rFonts w:ascii="Times New Roman" w:hAnsi="Times New Roman" w:cs="Times New Roman"/>
                <w:spacing w:val="-6"/>
                <w:sz w:val="24"/>
              </w:rPr>
              <w:t>Odpísanie (úplné alebo čiastočné) predstavuje udalosť ukončenia vykazovania. Hrubá účtovná hodnota úverov</w:t>
            </w:r>
            <w:r w:rsidR="00A3389E" w:rsidRPr="00476DE3">
              <w:rPr>
                <w:rFonts w:ascii="Times New Roman" w:hAnsi="Times New Roman" w:cs="Times New Roman"/>
                <w:spacing w:val="-6"/>
                <w:sz w:val="24"/>
              </w:rPr>
              <w:t xml:space="preserve"> a </w:t>
            </w:r>
            <w:r w:rsidRPr="00476DE3">
              <w:rPr>
                <w:rFonts w:ascii="Times New Roman" w:hAnsi="Times New Roman" w:cs="Times New Roman"/>
                <w:spacing w:val="-6"/>
                <w:sz w:val="24"/>
              </w:rPr>
              <w:t>preddavkov sa preto znižuje</w:t>
            </w:r>
            <w:r w:rsidR="00A3389E" w:rsidRPr="00476DE3">
              <w:rPr>
                <w:rFonts w:ascii="Times New Roman" w:hAnsi="Times New Roman" w:cs="Times New Roman"/>
                <w:spacing w:val="-6"/>
                <w:sz w:val="24"/>
              </w:rPr>
              <w:t xml:space="preserve"> o </w:t>
            </w:r>
            <w:r w:rsidRPr="00476DE3">
              <w:rPr>
                <w:rFonts w:ascii="Times New Roman" w:hAnsi="Times New Roman" w:cs="Times New Roman"/>
                <w:spacing w:val="-6"/>
                <w:sz w:val="24"/>
              </w:rPr>
              <w:t>sumu odpisov. Do tejto kategórie sa okrem toho má zahrnúť aj odpustenie dlhu</w:t>
            </w:r>
            <w:r w:rsidR="00A3389E" w:rsidRPr="00476DE3">
              <w:rPr>
                <w:rFonts w:ascii="Times New Roman" w:hAnsi="Times New Roman" w:cs="Times New Roman"/>
                <w:spacing w:val="-6"/>
                <w:sz w:val="24"/>
              </w:rPr>
              <w:t xml:space="preserve"> v </w:t>
            </w:r>
            <w:r w:rsidRPr="00476DE3">
              <w:rPr>
                <w:rFonts w:ascii="Times New Roman" w:hAnsi="Times New Roman" w:cs="Times New Roman"/>
                <w:spacing w:val="-6"/>
                <w:sz w:val="24"/>
              </w:rPr>
              <w:t>súvislosti</w:t>
            </w:r>
            <w:r w:rsidR="00A3389E" w:rsidRPr="00476DE3">
              <w:rPr>
                <w:rFonts w:ascii="Times New Roman" w:hAnsi="Times New Roman" w:cs="Times New Roman"/>
                <w:spacing w:val="-6"/>
                <w:sz w:val="24"/>
              </w:rPr>
              <w:t xml:space="preserve"> s </w:t>
            </w:r>
            <w:r w:rsidRPr="00476DE3">
              <w:rPr>
                <w:rFonts w:ascii="Times New Roman" w:hAnsi="Times New Roman" w:cs="Times New Roman"/>
                <w:spacing w:val="-6"/>
                <w:sz w:val="24"/>
              </w:rPr>
              <w:t>opatreniami týkajúcimi sa úľavy, t. j. odpisy, pri ktorých bola suma nesplateného dlhu od dlžníka zrušená (inštitúcia stráca právo na jeho právne vymáhanie).</w:t>
            </w:r>
          </w:p>
        </w:tc>
      </w:tr>
      <w:tr w:rsidR="004E71F4" w:rsidRPr="00A3389E" w14:paraId="6452F6F0" w14:textId="77777777" w:rsidTr="00155C96">
        <w:trPr>
          <w:trHeight w:val="316"/>
        </w:trPr>
        <w:tc>
          <w:tcPr>
            <w:tcW w:w="1384" w:type="dxa"/>
          </w:tcPr>
          <w:p w14:paraId="4BE26A74" w14:textId="77777777" w:rsidR="004E71F4" w:rsidRPr="00A3389E" w:rsidRDefault="004E71F4" w:rsidP="00155C96">
            <w:pPr>
              <w:autoSpaceDE w:val="0"/>
              <w:autoSpaceDN w:val="0"/>
              <w:adjustRightInd w:val="0"/>
              <w:spacing w:after="120"/>
              <w:jc w:val="both"/>
              <w:rPr>
                <w:rFonts w:ascii="Times New Roman" w:hAnsi="Times New Roman" w:cs="Times New Roman"/>
                <w:color w:val="000000"/>
                <w:sz w:val="24"/>
              </w:rPr>
            </w:pPr>
            <w:r w:rsidRPr="00A3389E">
              <w:rPr>
                <w:rFonts w:ascii="Times New Roman" w:hAnsi="Times New Roman" w:cs="Times New Roman"/>
                <w:color w:val="000000"/>
                <w:sz w:val="24"/>
              </w:rPr>
              <w:t>050</w:t>
            </w:r>
          </w:p>
        </w:tc>
        <w:tc>
          <w:tcPr>
            <w:tcW w:w="7655" w:type="dxa"/>
          </w:tcPr>
          <w:p w14:paraId="3B4883D9" w14:textId="0B1A2C7E"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w:t>
            </w:r>
            <w:r w:rsidR="00A3389E">
              <w:rPr>
                <w:rFonts w:ascii="Times New Roman" w:hAnsi="Times New Roman" w:cs="Times New Roman"/>
                <w:b/>
                <w:sz w:val="24"/>
              </w:rPr>
              <w:t xml:space="preserve"> z </w:t>
            </w:r>
            <w:r w:rsidRPr="00A3389E">
              <w:rPr>
                <w:rFonts w:ascii="Times New Roman" w:hAnsi="Times New Roman" w:cs="Times New Roman"/>
                <w:b/>
                <w:sz w:val="24"/>
              </w:rPr>
              <w:t>dôvodu iných situácií</w:t>
            </w:r>
          </w:p>
          <w:p w14:paraId="2CA1830F" w14:textId="65A22F7E" w:rsidR="00A3389E" w:rsidRPr="00476DE3" w:rsidRDefault="004E71F4" w:rsidP="00155C96">
            <w:pPr>
              <w:autoSpaceDE w:val="0"/>
              <w:autoSpaceDN w:val="0"/>
              <w:adjustRightInd w:val="0"/>
              <w:spacing w:after="120"/>
              <w:jc w:val="both"/>
              <w:rPr>
                <w:rFonts w:ascii="Times New Roman" w:hAnsi="Times New Roman" w:cs="Times New Roman"/>
                <w:spacing w:val="-4"/>
                <w:sz w:val="24"/>
              </w:rPr>
            </w:pPr>
            <w:r w:rsidRPr="00476DE3">
              <w:rPr>
                <w:rFonts w:ascii="Times New Roman" w:hAnsi="Times New Roman" w:cs="Times New Roman"/>
                <w:spacing w:val="-4"/>
                <w:sz w:val="24"/>
              </w:rPr>
              <w:t>Do tohto riadku sa zahŕňajú akékoľvek iné zníženia účtovnej hodnoty úverov</w:t>
            </w:r>
            <w:r w:rsidR="00A3389E" w:rsidRPr="00476DE3">
              <w:rPr>
                <w:rFonts w:ascii="Times New Roman" w:hAnsi="Times New Roman" w:cs="Times New Roman"/>
                <w:spacing w:val="-4"/>
                <w:sz w:val="24"/>
              </w:rPr>
              <w:t xml:space="preserve"> a </w:t>
            </w:r>
            <w:r w:rsidRPr="00476DE3">
              <w:rPr>
                <w:rFonts w:ascii="Times New Roman" w:hAnsi="Times New Roman" w:cs="Times New Roman"/>
                <w:spacing w:val="-4"/>
                <w:sz w:val="24"/>
              </w:rPr>
              <w:t>preddavkov iné než odpisy. Uvedené úpravy môžu zahŕňať napríklad záporný peňažný tok</w:t>
            </w:r>
            <w:r w:rsidR="00A3389E" w:rsidRPr="00476DE3">
              <w:rPr>
                <w:rFonts w:ascii="Times New Roman" w:hAnsi="Times New Roman" w:cs="Times New Roman"/>
                <w:spacing w:val="-4"/>
                <w:sz w:val="24"/>
              </w:rPr>
              <w:t xml:space="preserve"> z </w:t>
            </w:r>
            <w:r w:rsidRPr="00476DE3">
              <w:rPr>
                <w:rFonts w:ascii="Times New Roman" w:hAnsi="Times New Roman" w:cs="Times New Roman"/>
                <w:spacing w:val="-4"/>
                <w:sz w:val="24"/>
              </w:rPr>
              <w:t>dôvodu: i) čiastočného alebo úplného splatenia úveru; ii) likvidácií kolaterálu; iii) nadobudnutia vlastníctva kolaterálu; iv) predaja nástrojov; v) prenosov rizika; vi) devízových zmien; vii) iných opatrení na uzavretie expozície; viii) reklasifikácií medzi triedami aktív atď. Úpravy navyše zahŕňajú záporný peňažný tok</w:t>
            </w:r>
            <w:r w:rsidR="00A3389E" w:rsidRPr="00476DE3">
              <w:rPr>
                <w:rFonts w:ascii="Times New Roman" w:hAnsi="Times New Roman" w:cs="Times New Roman"/>
                <w:spacing w:val="-4"/>
                <w:sz w:val="24"/>
              </w:rPr>
              <w:t xml:space="preserve"> z </w:t>
            </w:r>
            <w:r w:rsidRPr="00476DE3">
              <w:rPr>
                <w:rFonts w:ascii="Times New Roman" w:hAnsi="Times New Roman" w:cs="Times New Roman"/>
                <w:spacing w:val="-4"/>
                <w:sz w:val="24"/>
              </w:rPr>
              <w:t>dôvodu reklasifikácie na držaný na predaj</w:t>
            </w:r>
            <w:r w:rsidR="00A3389E" w:rsidRPr="00476DE3">
              <w:rPr>
                <w:rFonts w:ascii="Times New Roman" w:hAnsi="Times New Roman" w:cs="Times New Roman"/>
                <w:spacing w:val="-4"/>
                <w:sz w:val="24"/>
              </w:rPr>
              <w:t>.</w:t>
            </w:r>
          </w:p>
          <w:p w14:paraId="5BB25AD1" w14:textId="5D88C3B2"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Ak je suma pre túto kategóriu významná, inštitúcie sa vyzývajú, aby poskytli dodatočné informácie</w:t>
            </w:r>
            <w:r w:rsidR="00A3389E">
              <w:rPr>
                <w:rFonts w:ascii="Times New Roman" w:hAnsi="Times New Roman" w:cs="Times New Roman"/>
                <w:sz w:val="24"/>
              </w:rPr>
              <w:t xml:space="preserve"> v </w:t>
            </w:r>
            <w:r w:rsidRPr="00A3389E">
              <w:rPr>
                <w:rFonts w:ascii="Times New Roman" w:hAnsi="Times New Roman" w:cs="Times New Roman"/>
                <w:sz w:val="24"/>
              </w:rPr>
              <w:t>opise sprevádzajúcom tento vzor.</w:t>
            </w:r>
          </w:p>
        </w:tc>
      </w:tr>
      <w:tr w:rsidR="004E71F4" w:rsidRPr="00A3389E" w14:paraId="0CCFE3B3" w14:textId="77777777" w:rsidTr="00155C96">
        <w:trPr>
          <w:trHeight w:val="316"/>
        </w:trPr>
        <w:tc>
          <w:tcPr>
            <w:tcW w:w="1384" w:type="dxa"/>
          </w:tcPr>
          <w:p w14:paraId="5DD84E6C" w14:textId="77777777" w:rsidR="004E71F4" w:rsidRPr="00A3389E" w:rsidRDefault="004E71F4" w:rsidP="00155C96">
            <w:pPr>
              <w:autoSpaceDE w:val="0"/>
              <w:autoSpaceDN w:val="0"/>
              <w:adjustRightInd w:val="0"/>
              <w:spacing w:after="120"/>
              <w:jc w:val="both"/>
              <w:rPr>
                <w:rFonts w:ascii="Times New Roman" w:hAnsi="Times New Roman" w:cs="Times New Roman"/>
                <w:color w:val="000000"/>
                <w:sz w:val="24"/>
              </w:rPr>
            </w:pPr>
            <w:r w:rsidRPr="00A3389E">
              <w:rPr>
                <w:rFonts w:ascii="Times New Roman" w:hAnsi="Times New Roman" w:cs="Times New Roman"/>
                <w:color w:val="000000"/>
                <w:sz w:val="24"/>
              </w:rPr>
              <w:t>060</w:t>
            </w:r>
          </w:p>
        </w:tc>
        <w:tc>
          <w:tcPr>
            <w:tcW w:w="7655" w:type="dxa"/>
          </w:tcPr>
          <w:p w14:paraId="4E455B07" w14:textId="474E997F"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Konečný stav problémových úverov</w:t>
            </w:r>
            <w:r w:rsidR="00A3389E">
              <w:rPr>
                <w:rFonts w:ascii="Times New Roman" w:hAnsi="Times New Roman" w:cs="Times New Roman"/>
                <w:b/>
                <w:sz w:val="24"/>
              </w:rPr>
              <w:t xml:space="preserve"> a </w:t>
            </w:r>
            <w:r w:rsidRPr="00A3389E">
              <w:rPr>
                <w:rFonts w:ascii="Times New Roman" w:hAnsi="Times New Roman" w:cs="Times New Roman"/>
                <w:b/>
                <w:sz w:val="24"/>
              </w:rPr>
              <w:t>preddavkov</w:t>
            </w:r>
          </w:p>
          <w:p w14:paraId="55C1F48F" w14:textId="5DFA4DEB"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Hrubá účtovná hodnota objemu problémových úverov</w:t>
            </w:r>
            <w:r w:rsidR="00A3389E">
              <w:rPr>
                <w:rFonts w:ascii="Times New Roman" w:hAnsi="Times New Roman" w:cs="Times New Roman"/>
                <w:sz w:val="24"/>
              </w:rPr>
              <w:t xml:space="preserve"> a </w:t>
            </w:r>
            <w:r w:rsidRPr="00A3389E">
              <w:rPr>
                <w:rFonts w:ascii="Times New Roman" w:hAnsi="Times New Roman" w:cs="Times New Roman"/>
                <w:sz w:val="24"/>
              </w:rPr>
              <w:t>preddavkov</w:t>
            </w:r>
            <w:r w:rsidR="00A3389E">
              <w:rPr>
                <w:rFonts w:ascii="Times New Roman" w:hAnsi="Times New Roman" w:cs="Times New Roman"/>
                <w:sz w:val="24"/>
              </w:rPr>
              <w:t xml:space="preserve"> k </w:t>
            </w:r>
            <w:r w:rsidRPr="00A3389E">
              <w:rPr>
                <w:rFonts w:ascii="Times New Roman" w:hAnsi="Times New Roman" w:cs="Times New Roman"/>
                <w:sz w:val="24"/>
              </w:rPr>
              <w:t>referenčnému dátumu zverejňovania.</w:t>
            </w:r>
          </w:p>
        </w:tc>
      </w:tr>
    </w:tbl>
    <w:p w14:paraId="1E5F0406" w14:textId="77777777" w:rsidR="004E71F4" w:rsidRPr="00A3389E"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71BED0A5" w14:textId="77777777" w:rsidTr="00155C96">
        <w:trPr>
          <w:trHeight w:val="238"/>
        </w:trPr>
        <w:tc>
          <w:tcPr>
            <w:tcW w:w="9039" w:type="dxa"/>
            <w:gridSpan w:val="2"/>
            <w:shd w:val="clear" w:color="auto" w:fill="D9D9D9" w:themeFill="background1" w:themeFillShade="D9"/>
          </w:tcPr>
          <w:p w14:paraId="3E2A2449" w14:textId="28C36503"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lastRenderedPageBreak/>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66E8FE29" w14:textId="77777777" w:rsidTr="00155C96">
        <w:trPr>
          <w:trHeight w:val="238"/>
        </w:trPr>
        <w:tc>
          <w:tcPr>
            <w:tcW w:w="1384" w:type="dxa"/>
            <w:shd w:val="clear" w:color="auto" w:fill="D9D9D9" w:themeFill="background1" w:themeFillShade="D9"/>
          </w:tcPr>
          <w:p w14:paraId="405738C3" w14:textId="77777777"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6D295D30" w14:textId="77777777"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26011557" w14:textId="77777777" w:rsidTr="00155C96">
        <w:trPr>
          <w:trHeight w:val="841"/>
        </w:trPr>
        <w:tc>
          <w:tcPr>
            <w:tcW w:w="1384" w:type="dxa"/>
          </w:tcPr>
          <w:p w14:paraId="136B5153" w14:textId="77777777" w:rsidR="004E71F4" w:rsidRPr="00A3389E" w:rsidRDefault="004E71F4" w:rsidP="00155C96">
            <w:pPr>
              <w:pStyle w:val="Applicationdirecte"/>
              <w:spacing w:before="0"/>
            </w:pPr>
            <w:r w:rsidRPr="00A3389E">
              <w:t>a</w:t>
            </w:r>
          </w:p>
        </w:tc>
        <w:tc>
          <w:tcPr>
            <w:tcW w:w="7655" w:type="dxa"/>
          </w:tcPr>
          <w:p w14:paraId="0478A47C" w14:textId="77777777" w:rsidR="00A3389E" w:rsidRPr="00A3389E" w:rsidRDefault="004E71F4" w:rsidP="00155C96">
            <w:pPr>
              <w:pStyle w:val="Fait"/>
              <w:spacing w:before="0" w:after="120"/>
              <w:rPr>
                <w:b/>
              </w:rPr>
            </w:pPr>
            <w:r w:rsidRPr="00A3389E">
              <w:rPr>
                <w:b/>
              </w:rPr>
              <w:t>Hrubá účtovná hodnota</w:t>
            </w:r>
          </w:p>
          <w:p w14:paraId="1945CE1E" w14:textId="2F300CE2" w:rsidR="004E71F4" w:rsidRPr="00A3389E" w:rsidRDefault="004E71F4" w:rsidP="00155C96">
            <w:pPr>
              <w:autoSpaceDE w:val="0"/>
              <w:autoSpaceDN w:val="0"/>
              <w:adjustRightInd w:val="0"/>
              <w:spacing w:after="120"/>
              <w:jc w:val="both"/>
              <w:rPr>
                <w:rFonts w:ascii="Times New Roman" w:hAnsi="Times New Roman" w:cs="Times New Roman"/>
              </w:rPr>
            </w:pPr>
            <w:r w:rsidRPr="00A3389E">
              <w:rPr>
                <w:rFonts w:ascii="Times New Roman" w:hAnsi="Times New Roman" w:cs="Times New Roman"/>
                <w:sz w:val="24"/>
              </w:rPr>
              <w:t>Hrubá účtovná hodnota, ako sa vymedzuje</w:t>
            </w:r>
            <w:r w:rsidR="00A3389E">
              <w:rPr>
                <w:rFonts w:ascii="Times New Roman" w:hAnsi="Times New Roman" w:cs="Times New Roman"/>
                <w:sz w:val="24"/>
              </w:rPr>
              <w:t xml:space="preserve"> v </w:t>
            </w:r>
            <w:r w:rsidRPr="00A3389E">
              <w:rPr>
                <w:rFonts w:ascii="Times New Roman" w:hAnsi="Times New Roman" w:cs="Times New Roman"/>
                <w:sz w:val="24"/>
              </w:rPr>
              <w:t>časti 1 odseku 34 prílohy</w:t>
            </w:r>
            <w:r w:rsidR="00A3389E">
              <w:rPr>
                <w:rFonts w:ascii="Times New Roman" w:hAnsi="Times New Roman" w:cs="Times New Roman"/>
                <w:sz w:val="24"/>
              </w:rPr>
              <w:t xml:space="preserve"> V k </w:t>
            </w:r>
            <w:r w:rsidRPr="00A3389E">
              <w:rPr>
                <w:rFonts w:ascii="Times New Roman" w:hAnsi="Times New Roman" w:cs="Times New Roman"/>
                <w:sz w:val="24"/>
              </w:rPr>
              <w:t xml:space="preserve">vykonávaciemu nariadeniu Komisie (EÚ) </w:t>
            </w:r>
            <w:r w:rsidR="00A3389E">
              <w:rPr>
                <w:rFonts w:ascii="Times New Roman" w:hAnsi="Times New Roman" w:cs="Times New Roman"/>
                <w:sz w:val="24"/>
              </w:rPr>
              <w:t>č. </w:t>
            </w:r>
            <w:r w:rsidRPr="00A3389E">
              <w:rPr>
                <w:rFonts w:ascii="Times New Roman" w:hAnsi="Times New Roman" w:cs="Times New Roman"/>
                <w:sz w:val="24"/>
              </w:rPr>
              <w:t>680/2014.</w:t>
            </w:r>
          </w:p>
        </w:tc>
      </w:tr>
    </w:tbl>
    <w:p w14:paraId="129C662D" w14:textId="77777777" w:rsidR="004E71F4" w:rsidRPr="00A3389E" w:rsidRDefault="004E71F4" w:rsidP="004E71F4">
      <w:pPr>
        <w:spacing w:after="120"/>
        <w:jc w:val="both"/>
        <w:rPr>
          <w:rFonts w:ascii="Times New Roman" w:hAnsi="Times New Roman" w:cs="Times New Roman"/>
          <w:bCs/>
          <w:sz w:val="24"/>
        </w:rPr>
      </w:pPr>
    </w:p>
    <w:p w14:paraId="15088F56" w14:textId="01726D4F" w:rsidR="004E71F4" w:rsidRPr="00A3389E" w:rsidRDefault="00CD362D" w:rsidP="004E71F4">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Vzor EU CR2a: Zmeny stavu problémových úverov</w:t>
      </w:r>
      <w:r w:rsidR="00A3389E">
        <w:rPr>
          <w:rFonts w:ascii="Times New Roman" w:hAnsi="Times New Roman" w:cs="Times New Roman"/>
          <w:b/>
          <w:sz w:val="24"/>
        </w:rPr>
        <w:t xml:space="preserve"> a </w:t>
      </w:r>
      <w:r w:rsidRPr="00A3389E">
        <w:rPr>
          <w:rFonts w:ascii="Times New Roman" w:hAnsi="Times New Roman" w:cs="Times New Roman"/>
          <w:b/>
          <w:sz w:val="24"/>
        </w:rPr>
        <w:t>preddavkov</w:t>
      </w:r>
      <w:r w:rsidR="00A3389E">
        <w:rPr>
          <w:rFonts w:ascii="Times New Roman" w:hAnsi="Times New Roman" w:cs="Times New Roman"/>
          <w:b/>
          <w:sz w:val="24"/>
        </w:rPr>
        <w:t xml:space="preserve"> a </w:t>
      </w:r>
      <w:r w:rsidRPr="00A3389E">
        <w:rPr>
          <w:rFonts w:ascii="Times New Roman" w:hAnsi="Times New Roman" w:cs="Times New Roman"/>
          <w:b/>
          <w:sz w:val="24"/>
        </w:rPr>
        <w:t>súvisiacich čistých kumulovaných náhrad</w:t>
      </w:r>
    </w:p>
    <w:p w14:paraId="046F988F" w14:textId="48FACED2" w:rsidR="004E71F4" w:rsidRPr="00476DE3" w:rsidRDefault="00A3389E" w:rsidP="00A3389E">
      <w:pPr>
        <w:autoSpaceDE w:val="0"/>
        <w:autoSpaceDN w:val="0"/>
        <w:adjustRightInd w:val="0"/>
        <w:spacing w:after="120"/>
        <w:ind w:left="720" w:hanging="360"/>
        <w:jc w:val="both"/>
        <w:rPr>
          <w:rFonts w:ascii="Times New Roman" w:hAnsi="Times New Roman"/>
          <w:b/>
          <w:spacing w:val="-4"/>
          <w:sz w:val="24"/>
        </w:rPr>
      </w:pPr>
      <w:r w:rsidRPr="00A3389E">
        <w:rPr>
          <w:rFonts w:ascii="Times New Roman" w:eastAsia="Calibri" w:hAnsi="Times New Roman" w:cs="Times New Roman"/>
          <w:b/>
          <w:sz w:val="24"/>
          <w:szCs w:val="22"/>
        </w:rPr>
        <w:t>2.</w:t>
      </w:r>
      <w:r w:rsidRPr="00A3389E">
        <w:rPr>
          <w:rFonts w:ascii="Times New Roman" w:eastAsia="Calibri" w:hAnsi="Times New Roman" w:cs="Times New Roman"/>
          <w:b/>
          <w:sz w:val="24"/>
          <w:szCs w:val="22"/>
        </w:rPr>
        <w:tab/>
      </w:r>
      <w:r w:rsidR="004E71F4" w:rsidRPr="00476DE3">
        <w:rPr>
          <w:rFonts w:ascii="Times New Roman" w:hAnsi="Times New Roman"/>
          <w:bCs/>
          <w:spacing w:val="-4"/>
          <w:sz w:val="24"/>
        </w:rPr>
        <w:t>Inštitúcie</w:t>
      </w:r>
      <w:r w:rsidR="004E71F4" w:rsidRPr="00476DE3">
        <w:rPr>
          <w:rFonts w:ascii="Times New Roman" w:hAnsi="Times New Roman"/>
          <w:spacing w:val="-4"/>
          <w:sz w:val="24"/>
        </w:rPr>
        <w:t xml:space="preserve"> zverejňujú informácie uvedené</w:t>
      </w:r>
      <w:r w:rsidRPr="00476DE3">
        <w:rPr>
          <w:rFonts w:ascii="Times New Roman" w:hAnsi="Times New Roman"/>
          <w:spacing w:val="-4"/>
          <w:sz w:val="24"/>
        </w:rPr>
        <w:t xml:space="preserve"> v </w:t>
      </w:r>
      <w:r w:rsidR="004E71F4" w:rsidRPr="00476DE3">
        <w:rPr>
          <w:rFonts w:ascii="Times New Roman" w:hAnsi="Times New Roman"/>
          <w:bCs/>
          <w:spacing w:val="-4"/>
          <w:sz w:val="24"/>
        </w:rPr>
        <w:t>článku 442 písm. c)</w:t>
      </w:r>
      <w:r w:rsidRPr="00476DE3">
        <w:rPr>
          <w:rFonts w:ascii="Times New Roman" w:hAnsi="Times New Roman"/>
          <w:bCs/>
          <w:spacing w:val="-4"/>
          <w:sz w:val="24"/>
        </w:rPr>
        <w:t xml:space="preserve"> a </w:t>
      </w:r>
      <w:r w:rsidR="004E71F4" w:rsidRPr="00476DE3">
        <w:rPr>
          <w:rFonts w:ascii="Times New Roman" w:hAnsi="Times New Roman"/>
          <w:bCs/>
          <w:spacing w:val="-4"/>
          <w:sz w:val="24"/>
        </w:rPr>
        <w:t xml:space="preserve">f) </w:t>
      </w:r>
      <w:r w:rsidR="004E71F4" w:rsidRPr="00476DE3">
        <w:rPr>
          <w:rFonts w:ascii="Times New Roman" w:hAnsi="Times New Roman"/>
          <w:color w:val="000000"/>
          <w:spacing w:val="-4"/>
          <w:sz w:val="24"/>
        </w:rPr>
        <w:t>CRR</w:t>
      </w:r>
      <w:r w:rsidR="004E71F4" w:rsidRPr="00476DE3">
        <w:rPr>
          <w:rFonts w:ascii="Times New Roman" w:hAnsi="Times New Roman"/>
          <w:bCs/>
          <w:spacing w:val="-4"/>
          <w:sz w:val="24"/>
        </w:rPr>
        <w:t xml:space="preserve"> podľa pokynov uvedených nižšie</w:t>
      </w:r>
      <w:r w:rsidRPr="00476DE3">
        <w:rPr>
          <w:rFonts w:ascii="Times New Roman" w:hAnsi="Times New Roman"/>
          <w:bCs/>
          <w:spacing w:val="-4"/>
          <w:sz w:val="24"/>
        </w:rPr>
        <w:t xml:space="preserve"> s </w:t>
      </w:r>
      <w:r w:rsidR="004E71F4" w:rsidRPr="00476DE3">
        <w:rPr>
          <w:rFonts w:ascii="Times New Roman" w:hAnsi="Times New Roman"/>
          <w:bCs/>
          <w:spacing w:val="-4"/>
          <w:sz w:val="24"/>
        </w:rPr>
        <w:t>cieľom vyplniť vzor EU CR2a, ktorý je uvedený</w:t>
      </w:r>
      <w:r w:rsidRPr="00476DE3">
        <w:rPr>
          <w:rFonts w:ascii="Times New Roman" w:hAnsi="Times New Roman"/>
          <w:bCs/>
          <w:spacing w:val="-4"/>
          <w:sz w:val="24"/>
        </w:rPr>
        <w:t xml:space="preserve"> v </w:t>
      </w:r>
      <w:r w:rsidR="004E71F4" w:rsidRPr="00476DE3">
        <w:rPr>
          <w:rFonts w:ascii="Times New Roman" w:hAnsi="Times New Roman"/>
          <w:bCs/>
          <w:spacing w:val="-4"/>
          <w:sz w:val="24"/>
        </w:rPr>
        <w:t>prílohe XV</w:t>
      </w:r>
      <w:r w:rsidRPr="00476DE3">
        <w:rPr>
          <w:rFonts w:ascii="Times New Roman" w:hAnsi="Times New Roman"/>
          <w:bCs/>
          <w:spacing w:val="-4"/>
          <w:sz w:val="24"/>
        </w:rPr>
        <w:t xml:space="preserve"> k </w:t>
      </w:r>
      <w:r w:rsidR="004E71F4" w:rsidRPr="00476DE3">
        <w:rPr>
          <w:rFonts w:ascii="Times New Roman" w:hAnsi="Times New Roman"/>
          <w:bCs/>
          <w:spacing w:val="-4"/>
          <w:sz w:val="24"/>
        </w:rPr>
        <w:t>tomuto vykonávaciemu nariadeniu. Inštitúcie vysvetlia</w:t>
      </w:r>
      <w:r w:rsidRPr="00476DE3">
        <w:rPr>
          <w:rFonts w:ascii="Times New Roman" w:hAnsi="Times New Roman"/>
          <w:bCs/>
          <w:spacing w:val="-4"/>
          <w:sz w:val="24"/>
        </w:rPr>
        <w:t xml:space="preserve"> v </w:t>
      </w:r>
      <w:r w:rsidR="004E71F4" w:rsidRPr="00476DE3">
        <w:rPr>
          <w:rFonts w:ascii="Times New Roman" w:hAnsi="Times New Roman"/>
          <w:bCs/>
          <w:spacing w:val="-4"/>
          <w:sz w:val="24"/>
        </w:rPr>
        <w:t>opise sprevádzajúcom tieto vzory akýkoľvek významný rozdiel medzi problémovými hodnotami zverejňovanými</w:t>
      </w:r>
      <w:r w:rsidRPr="00476DE3">
        <w:rPr>
          <w:rFonts w:ascii="Times New Roman" w:hAnsi="Times New Roman"/>
          <w:bCs/>
          <w:spacing w:val="-4"/>
          <w:sz w:val="24"/>
        </w:rPr>
        <w:t xml:space="preserve"> v </w:t>
      </w:r>
      <w:r w:rsidR="004E71F4" w:rsidRPr="00476DE3">
        <w:rPr>
          <w:rFonts w:ascii="Times New Roman" w:hAnsi="Times New Roman"/>
          <w:bCs/>
          <w:spacing w:val="-4"/>
          <w:sz w:val="24"/>
        </w:rPr>
        <w:t>každom riadku</w:t>
      </w:r>
      <w:r w:rsidRPr="00476DE3">
        <w:rPr>
          <w:rFonts w:ascii="Times New Roman" w:hAnsi="Times New Roman"/>
          <w:bCs/>
          <w:spacing w:val="-4"/>
          <w:sz w:val="24"/>
        </w:rPr>
        <w:t xml:space="preserve"> a </w:t>
      </w:r>
      <w:r w:rsidR="004E71F4" w:rsidRPr="00476DE3">
        <w:rPr>
          <w:rFonts w:ascii="Times New Roman" w:hAnsi="Times New Roman"/>
          <w:bCs/>
          <w:spacing w:val="-4"/>
          <w:sz w:val="24"/>
        </w:rPr>
        <w:t>príslušnými hodnotami, akoby sa uplatnilo vymedzenie zlyhania</w:t>
      </w:r>
      <w:r w:rsidRPr="00476DE3">
        <w:rPr>
          <w:rFonts w:ascii="Times New Roman" w:hAnsi="Times New Roman"/>
          <w:bCs/>
          <w:spacing w:val="-4"/>
          <w:sz w:val="24"/>
        </w:rPr>
        <w:t xml:space="preserve"> v </w:t>
      </w:r>
      <w:r w:rsidR="004E71F4" w:rsidRPr="00476DE3">
        <w:rPr>
          <w:rFonts w:ascii="Times New Roman" w:hAnsi="Times New Roman"/>
          <w:bCs/>
          <w:spacing w:val="-4"/>
          <w:sz w:val="24"/>
        </w:rPr>
        <w:t>súlade</w:t>
      </w:r>
      <w:r w:rsidRPr="00476DE3">
        <w:rPr>
          <w:rFonts w:ascii="Times New Roman" w:hAnsi="Times New Roman"/>
          <w:bCs/>
          <w:spacing w:val="-4"/>
          <w:sz w:val="24"/>
        </w:rPr>
        <w:t xml:space="preserve"> s </w:t>
      </w:r>
      <w:r w:rsidR="004E71F4" w:rsidRPr="00476DE3">
        <w:rPr>
          <w:rFonts w:ascii="Times New Roman" w:hAnsi="Times New Roman"/>
          <w:bCs/>
          <w:spacing w:val="-4"/>
          <w:sz w:val="24"/>
        </w:rPr>
        <w:t>článkom 178 CRR,</w:t>
      </w:r>
      <w:r w:rsidRPr="00476DE3">
        <w:rPr>
          <w:rFonts w:ascii="Times New Roman" w:hAnsi="Times New Roman"/>
          <w:bCs/>
          <w:spacing w:val="-4"/>
          <w:sz w:val="24"/>
        </w:rPr>
        <w:t xml:space="preserve"> a </w:t>
      </w:r>
      <w:r w:rsidR="004E71F4" w:rsidRPr="00476DE3">
        <w:rPr>
          <w:rFonts w:ascii="Times New Roman" w:hAnsi="Times New Roman"/>
          <w:bCs/>
          <w:spacing w:val="-4"/>
          <w:sz w:val="24"/>
        </w:rPr>
        <w:t>to najmä pre riadky 010, 030, 100</w:t>
      </w:r>
      <w:r w:rsidRPr="00476DE3">
        <w:rPr>
          <w:rFonts w:ascii="Times New Roman" w:hAnsi="Times New Roman"/>
          <w:bCs/>
          <w:spacing w:val="-4"/>
          <w:sz w:val="24"/>
        </w:rPr>
        <w:t xml:space="preserve"> a </w:t>
      </w:r>
      <w:r w:rsidR="004E71F4" w:rsidRPr="00476DE3">
        <w:rPr>
          <w:rFonts w:ascii="Times New Roman" w:hAnsi="Times New Roman"/>
          <w:bCs/>
          <w:spacing w:val="-4"/>
          <w:sz w:val="24"/>
        </w:rPr>
        <w:t>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378FE934"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33E953D3" w14:textId="77777777" w:rsidTr="00155C96">
        <w:trPr>
          <w:trHeight w:val="238"/>
        </w:trPr>
        <w:tc>
          <w:tcPr>
            <w:tcW w:w="1384" w:type="dxa"/>
            <w:shd w:val="clear" w:color="auto" w:fill="D9D9D9" w:themeFill="background1" w:themeFillShade="D9"/>
          </w:tcPr>
          <w:p w14:paraId="3FA0B458"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133358FB"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7B41F9A6" w14:textId="77777777" w:rsidTr="00155C96">
        <w:trPr>
          <w:trHeight w:val="971"/>
        </w:trPr>
        <w:tc>
          <w:tcPr>
            <w:tcW w:w="1384" w:type="dxa"/>
          </w:tcPr>
          <w:p w14:paraId="194199CD" w14:textId="77777777" w:rsidR="004E71F4" w:rsidRPr="00A3389E" w:rsidRDefault="004E71F4" w:rsidP="00155C96">
            <w:pPr>
              <w:pStyle w:val="Applicationdirecte"/>
              <w:spacing w:before="0"/>
            </w:pPr>
            <w:r w:rsidRPr="00A3389E">
              <w:t>010</w:t>
            </w:r>
          </w:p>
        </w:tc>
        <w:tc>
          <w:tcPr>
            <w:tcW w:w="7655" w:type="dxa"/>
          </w:tcPr>
          <w:p w14:paraId="04B60047" w14:textId="37B5C019"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Prvotný stav problémových úverov</w:t>
            </w:r>
            <w:r w:rsidR="00A3389E">
              <w:rPr>
                <w:rFonts w:ascii="Times New Roman" w:hAnsi="Times New Roman" w:cs="Times New Roman"/>
                <w:b/>
                <w:sz w:val="24"/>
              </w:rPr>
              <w:t xml:space="preserve"> a </w:t>
            </w:r>
            <w:r w:rsidRPr="00A3389E">
              <w:rPr>
                <w:rFonts w:ascii="Times New Roman" w:hAnsi="Times New Roman" w:cs="Times New Roman"/>
                <w:b/>
                <w:sz w:val="24"/>
              </w:rPr>
              <w:t>preddavkov</w:t>
            </w:r>
          </w:p>
          <w:p w14:paraId="55355D1D" w14:textId="12974EC8"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Hrubá účtovná hodnota objemu problémových úverov</w:t>
            </w:r>
            <w:r w:rsidR="00A3389E">
              <w:rPr>
                <w:rFonts w:ascii="Times New Roman" w:hAnsi="Times New Roman" w:cs="Times New Roman"/>
                <w:sz w:val="24"/>
              </w:rPr>
              <w:t xml:space="preserve"> a </w:t>
            </w:r>
            <w:r w:rsidRPr="00A3389E">
              <w:rPr>
                <w:rFonts w:ascii="Times New Roman" w:hAnsi="Times New Roman" w:cs="Times New Roman"/>
                <w:sz w:val="24"/>
              </w:rPr>
              <w:t>preddavkov ku koncu posledného finančného roka.</w:t>
            </w:r>
          </w:p>
        </w:tc>
      </w:tr>
      <w:tr w:rsidR="004E71F4" w:rsidRPr="00A3389E" w14:paraId="3F29387A" w14:textId="77777777" w:rsidTr="00155C96">
        <w:trPr>
          <w:trHeight w:val="316"/>
        </w:trPr>
        <w:tc>
          <w:tcPr>
            <w:tcW w:w="1384" w:type="dxa"/>
          </w:tcPr>
          <w:p w14:paraId="2D134686"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020</w:t>
            </w:r>
          </w:p>
        </w:tc>
        <w:tc>
          <w:tcPr>
            <w:tcW w:w="7655" w:type="dxa"/>
          </w:tcPr>
          <w:p w14:paraId="578547D6" w14:textId="77777777"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Kladné peňažné toky do problémových portfólií</w:t>
            </w:r>
          </w:p>
          <w:p w14:paraId="2F21CFAF" w14:textId="4F207CA7" w:rsidR="004E71F4" w:rsidRPr="00A3389E" w:rsidRDefault="004E71F4"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Hrubá účtovná hodnota úverov</w:t>
            </w:r>
            <w:r w:rsidR="00A3389E">
              <w:rPr>
                <w:rFonts w:ascii="Times New Roman" w:hAnsi="Times New Roman" w:cs="Times New Roman"/>
                <w:sz w:val="24"/>
              </w:rPr>
              <w:t xml:space="preserve"> a </w:t>
            </w:r>
            <w:r w:rsidRPr="00A3389E">
              <w:rPr>
                <w:rFonts w:ascii="Times New Roman" w:hAnsi="Times New Roman" w:cs="Times New Roman"/>
                <w:sz w:val="24"/>
              </w:rPr>
              <w:t>preddavkov, ktoré sa počas obdobia (od konca posledného finančného roka) dostali do problémového stavu.</w:t>
            </w:r>
          </w:p>
        </w:tc>
      </w:tr>
      <w:tr w:rsidR="004E71F4" w:rsidRPr="00A3389E" w14:paraId="6DBEF69A" w14:textId="77777777" w:rsidTr="00155C96">
        <w:trPr>
          <w:trHeight w:val="316"/>
        </w:trPr>
        <w:tc>
          <w:tcPr>
            <w:tcW w:w="1384" w:type="dxa"/>
          </w:tcPr>
          <w:p w14:paraId="2B687A3C"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030</w:t>
            </w:r>
          </w:p>
        </w:tc>
        <w:tc>
          <w:tcPr>
            <w:tcW w:w="7655" w:type="dxa"/>
          </w:tcPr>
          <w:p w14:paraId="6226286F" w14:textId="1258FD6C"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Záporné peňažné toky</w:t>
            </w:r>
            <w:r w:rsidR="00A3389E">
              <w:rPr>
                <w:rFonts w:ascii="Times New Roman" w:hAnsi="Times New Roman" w:cs="Times New Roman"/>
                <w:b/>
                <w:sz w:val="24"/>
              </w:rPr>
              <w:t xml:space="preserve"> z </w:t>
            </w:r>
            <w:r w:rsidRPr="00A3389E">
              <w:rPr>
                <w:rFonts w:ascii="Times New Roman" w:hAnsi="Times New Roman" w:cs="Times New Roman"/>
                <w:b/>
                <w:sz w:val="24"/>
              </w:rPr>
              <w:t>problémových portfólií</w:t>
            </w:r>
          </w:p>
          <w:p w14:paraId="6CEA25F4" w14:textId="3669B1D3"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Hrubá účtovná hodnota úverov</w:t>
            </w:r>
            <w:r w:rsidR="00A3389E">
              <w:rPr>
                <w:rFonts w:ascii="Times New Roman" w:hAnsi="Times New Roman" w:cs="Times New Roman"/>
                <w:sz w:val="24"/>
              </w:rPr>
              <w:t xml:space="preserve"> a </w:t>
            </w:r>
            <w:r w:rsidRPr="00A3389E">
              <w:rPr>
                <w:rFonts w:ascii="Times New Roman" w:hAnsi="Times New Roman" w:cs="Times New Roman"/>
                <w:sz w:val="24"/>
              </w:rPr>
              <w:t>preddavkov, pri ktorých sa ukončil problémový stav.</w:t>
            </w:r>
          </w:p>
        </w:tc>
      </w:tr>
      <w:tr w:rsidR="004E71F4" w:rsidRPr="00A3389E" w14:paraId="095740CA" w14:textId="77777777" w:rsidTr="00155C96">
        <w:trPr>
          <w:trHeight w:val="316"/>
        </w:trPr>
        <w:tc>
          <w:tcPr>
            <w:tcW w:w="1384" w:type="dxa"/>
          </w:tcPr>
          <w:p w14:paraId="5207609D"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040</w:t>
            </w:r>
          </w:p>
        </w:tc>
        <w:tc>
          <w:tcPr>
            <w:tcW w:w="7655" w:type="dxa"/>
          </w:tcPr>
          <w:p w14:paraId="00124BD1" w14:textId="77777777"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 do bezproblémového portfólia</w:t>
            </w:r>
          </w:p>
          <w:p w14:paraId="58F3502A" w14:textId="720458CF"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Hrubá účtovná hodnota úverov</w:t>
            </w:r>
            <w:r w:rsidR="00A3389E">
              <w:rPr>
                <w:rFonts w:ascii="Times New Roman" w:hAnsi="Times New Roman" w:cs="Times New Roman"/>
                <w:sz w:val="24"/>
              </w:rPr>
              <w:t xml:space="preserve"> a </w:t>
            </w:r>
            <w:r w:rsidRPr="00A3389E">
              <w:rPr>
                <w:rFonts w:ascii="Times New Roman" w:hAnsi="Times New Roman" w:cs="Times New Roman"/>
                <w:sz w:val="24"/>
              </w:rPr>
              <w:t>preddavkov, pri ktorých sa ukončil problémový stav</w:t>
            </w:r>
            <w:r w:rsidR="00A3389E">
              <w:rPr>
                <w:rFonts w:ascii="Times New Roman" w:hAnsi="Times New Roman" w:cs="Times New Roman"/>
                <w:sz w:val="24"/>
              </w:rPr>
              <w:t xml:space="preserve"> a </w:t>
            </w:r>
            <w:r w:rsidRPr="00A3389E">
              <w:rPr>
                <w:rFonts w:ascii="Times New Roman" w:hAnsi="Times New Roman" w:cs="Times New Roman"/>
                <w:sz w:val="24"/>
              </w:rPr>
              <w:t>ktoré sa počas obdobia (od konca posledného finančného roka) stali bezproblémovými.</w:t>
            </w:r>
          </w:p>
        </w:tc>
      </w:tr>
      <w:tr w:rsidR="004E71F4" w:rsidRPr="00A3389E" w14:paraId="40CAD972" w14:textId="77777777" w:rsidTr="00155C96">
        <w:trPr>
          <w:trHeight w:val="316"/>
        </w:trPr>
        <w:tc>
          <w:tcPr>
            <w:tcW w:w="1384" w:type="dxa"/>
          </w:tcPr>
          <w:p w14:paraId="735D4B37"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050</w:t>
            </w:r>
          </w:p>
        </w:tc>
        <w:tc>
          <w:tcPr>
            <w:tcW w:w="7655" w:type="dxa"/>
          </w:tcPr>
          <w:p w14:paraId="5D1B61E8" w14:textId="5BCC22B7" w:rsidR="004E71F4" w:rsidRPr="00476DE3" w:rsidRDefault="004E71F4" w:rsidP="00155C96">
            <w:pPr>
              <w:autoSpaceDE w:val="0"/>
              <w:autoSpaceDN w:val="0"/>
              <w:adjustRightInd w:val="0"/>
              <w:spacing w:after="120"/>
              <w:jc w:val="both"/>
              <w:rPr>
                <w:rFonts w:ascii="Times New Roman" w:hAnsi="Times New Roman" w:cs="Times New Roman"/>
                <w:b/>
                <w:spacing w:val="-4"/>
                <w:sz w:val="24"/>
              </w:rPr>
            </w:pPr>
            <w:r w:rsidRPr="00476DE3">
              <w:rPr>
                <w:rFonts w:ascii="Times New Roman" w:hAnsi="Times New Roman" w:cs="Times New Roman"/>
                <w:b/>
                <w:spacing w:val="-4"/>
                <w:sz w:val="24"/>
              </w:rPr>
              <w:t>Záporný peňažný tok</w:t>
            </w:r>
            <w:r w:rsidR="00A3389E" w:rsidRPr="00476DE3">
              <w:rPr>
                <w:rFonts w:ascii="Times New Roman" w:hAnsi="Times New Roman" w:cs="Times New Roman"/>
                <w:b/>
                <w:spacing w:val="-4"/>
                <w:sz w:val="24"/>
              </w:rPr>
              <w:t xml:space="preserve"> v </w:t>
            </w:r>
            <w:r w:rsidRPr="00476DE3">
              <w:rPr>
                <w:rFonts w:ascii="Times New Roman" w:hAnsi="Times New Roman" w:cs="Times New Roman"/>
                <w:b/>
                <w:spacing w:val="-4"/>
                <w:sz w:val="24"/>
              </w:rPr>
              <w:t>dôsledku čiastočného alebo úplného splatenia úveru</w:t>
            </w:r>
          </w:p>
          <w:p w14:paraId="7E87F4E4" w14:textId="25C8E35A" w:rsidR="004E71F4" w:rsidRPr="00476DE3" w:rsidRDefault="004E71F4" w:rsidP="00155C96">
            <w:pPr>
              <w:autoSpaceDE w:val="0"/>
              <w:autoSpaceDN w:val="0"/>
              <w:adjustRightInd w:val="0"/>
              <w:spacing w:after="120"/>
              <w:jc w:val="both"/>
              <w:rPr>
                <w:rFonts w:ascii="Times New Roman" w:hAnsi="Times New Roman" w:cs="Times New Roman"/>
                <w:b/>
                <w:spacing w:val="-6"/>
                <w:sz w:val="24"/>
              </w:rPr>
            </w:pPr>
            <w:r w:rsidRPr="00476DE3">
              <w:rPr>
                <w:rFonts w:ascii="Times New Roman" w:hAnsi="Times New Roman" w:cs="Times New Roman"/>
                <w:spacing w:val="-6"/>
                <w:sz w:val="24"/>
              </w:rPr>
              <w:t>Zníženie hrubej účtovnej hodnoty problémových úverov</w:t>
            </w:r>
            <w:r w:rsidR="00A3389E" w:rsidRPr="00476DE3">
              <w:rPr>
                <w:rFonts w:ascii="Times New Roman" w:hAnsi="Times New Roman" w:cs="Times New Roman"/>
                <w:spacing w:val="-6"/>
                <w:sz w:val="24"/>
              </w:rPr>
              <w:t xml:space="preserve"> a </w:t>
            </w:r>
            <w:r w:rsidRPr="00476DE3">
              <w:rPr>
                <w:rFonts w:ascii="Times New Roman" w:hAnsi="Times New Roman" w:cs="Times New Roman"/>
                <w:spacing w:val="-6"/>
                <w:sz w:val="24"/>
              </w:rPr>
              <w:t>preddavkov</w:t>
            </w:r>
            <w:r w:rsidR="00A3389E" w:rsidRPr="00476DE3">
              <w:rPr>
                <w:rFonts w:ascii="Times New Roman" w:hAnsi="Times New Roman" w:cs="Times New Roman"/>
                <w:spacing w:val="-6"/>
                <w:sz w:val="24"/>
              </w:rPr>
              <w:t xml:space="preserve"> v </w:t>
            </w:r>
            <w:r w:rsidRPr="00476DE3">
              <w:rPr>
                <w:rFonts w:ascii="Times New Roman" w:hAnsi="Times New Roman" w:cs="Times New Roman"/>
                <w:spacing w:val="-6"/>
                <w:sz w:val="24"/>
              </w:rPr>
              <w:t>dôsledku platieb</w:t>
            </w:r>
            <w:r w:rsidR="00A3389E" w:rsidRPr="00476DE3">
              <w:rPr>
                <w:rFonts w:ascii="Times New Roman" w:hAnsi="Times New Roman" w:cs="Times New Roman"/>
                <w:spacing w:val="-6"/>
                <w:sz w:val="24"/>
              </w:rPr>
              <w:t xml:space="preserve"> v </w:t>
            </w:r>
            <w:r w:rsidRPr="00476DE3">
              <w:rPr>
                <w:rFonts w:ascii="Times New Roman" w:hAnsi="Times New Roman" w:cs="Times New Roman"/>
                <w:spacing w:val="-6"/>
                <w:sz w:val="24"/>
              </w:rPr>
              <w:t>hotovosti, konkrétne pravidelných platieb kapitálu</w:t>
            </w:r>
            <w:r w:rsidR="00A3389E" w:rsidRPr="00476DE3">
              <w:rPr>
                <w:rFonts w:ascii="Times New Roman" w:hAnsi="Times New Roman" w:cs="Times New Roman"/>
                <w:spacing w:val="-6"/>
                <w:sz w:val="24"/>
              </w:rPr>
              <w:t xml:space="preserve"> a </w:t>
            </w:r>
            <w:r w:rsidRPr="00476DE3">
              <w:rPr>
                <w:rFonts w:ascii="Times New Roman" w:hAnsi="Times New Roman" w:cs="Times New Roman"/>
                <w:spacing w:val="-6"/>
                <w:sz w:val="24"/>
              </w:rPr>
              <w:t xml:space="preserve">akýchkoľvek </w:t>
            </w:r>
            <w:r w:rsidRPr="00476DE3">
              <w:rPr>
                <w:rFonts w:ascii="Times New Roman" w:hAnsi="Times New Roman" w:cs="Times New Roman"/>
                <w:i/>
                <w:spacing w:val="-6"/>
                <w:sz w:val="24"/>
              </w:rPr>
              <w:t>ad hoc</w:t>
            </w:r>
            <w:r w:rsidRPr="00476DE3">
              <w:rPr>
                <w:rFonts w:ascii="Times New Roman" w:hAnsi="Times New Roman" w:cs="Times New Roman"/>
                <w:spacing w:val="-6"/>
                <w:sz w:val="24"/>
              </w:rPr>
              <w:t xml:space="preserve"> splátok počas obdobia (od konca posledného finančného roka).</w:t>
            </w:r>
          </w:p>
        </w:tc>
      </w:tr>
      <w:tr w:rsidR="004E71F4" w:rsidRPr="00A3389E" w14:paraId="64211CFF" w14:textId="77777777" w:rsidTr="00155C96">
        <w:trPr>
          <w:trHeight w:val="316"/>
        </w:trPr>
        <w:tc>
          <w:tcPr>
            <w:tcW w:w="1384" w:type="dxa"/>
          </w:tcPr>
          <w:p w14:paraId="4104C5C0"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060</w:t>
            </w:r>
          </w:p>
        </w:tc>
        <w:tc>
          <w:tcPr>
            <w:tcW w:w="7655" w:type="dxa"/>
          </w:tcPr>
          <w:p w14:paraId="09D57409" w14:textId="1DF35E9C"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w:t>
            </w:r>
            <w:r w:rsidR="00A3389E">
              <w:rPr>
                <w:rFonts w:ascii="Times New Roman" w:hAnsi="Times New Roman" w:cs="Times New Roman"/>
                <w:b/>
                <w:sz w:val="24"/>
              </w:rPr>
              <w:t xml:space="preserve"> z </w:t>
            </w:r>
            <w:r w:rsidRPr="00A3389E">
              <w:rPr>
                <w:rFonts w:ascii="Times New Roman" w:hAnsi="Times New Roman" w:cs="Times New Roman"/>
                <w:b/>
                <w:sz w:val="24"/>
              </w:rPr>
              <w:t>dôvodu likvidácií kolaterálu</w:t>
            </w:r>
          </w:p>
          <w:p w14:paraId="3675E6B9" w14:textId="7C2DE45C"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V tomto riadku sa zverejňuje vplyv likvidácie akéhokoľvek druhu kolaterálu na hrubú účtovnú hodnotu nástroja. Do tohto riadku sa zahrnú aj záporné peňažné toky</w:t>
            </w:r>
            <w:r w:rsidR="00A3389E">
              <w:rPr>
                <w:rFonts w:ascii="Times New Roman" w:hAnsi="Times New Roman" w:cs="Times New Roman"/>
                <w:sz w:val="24"/>
              </w:rPr>
              <w:t xml:space="preserve"> v </w:t>
            </w:r>
            <w:r w:rsidRPr="00A3389E">
              <w:rPr>
                <w:rFonts w:ascii="Times New Roman" w:hAnsi="Times New Roman" w:cs="Times New Roman"/>
                <w:sz w:val="24"/>
              </w:rPr>
              <w:t>dôsledku iných likvidačných alebo právnych postupov</w:t>
            </w:r>
            <w:r w:rsidR="00A3389E">
              <w:rPr>
                <w:rFonts w:ascii="Times New Roman" w:hAnsi="Times New Roman" w:cs="Times New Roman"/>
                <w:sz w:val="24"/>
              </w:rPr>
              <w:t xml:space="preserve"> a </w:t>
            </w:r>
            <w:r w:rsidRPr="00A3389E">
              <w:rPr>
                <w:rFonts w:ascii="Times New Roman" w:hAnsi="Times New Roman" w:cs="Times New Roman"/>
                <w:sz w:val="24"/>
              </w:rPr>
              <w:t>dobrovoľného predaja majetku. Aby sa predišlo pochybnostiam, treba pripomenúť, že sa zverejňuje hrubá účtovná hodnota nástroja vrátane akéhokoľvek prípadného sprievodného čiastočného odpisu. Takisto treba pripomenúť, že záporné peňažné toky sa nemusia rovnať súčtu čistých kumulovaných náhrad</w:t>
            </w:r>
            <w:r w:rsidR="00A3389E">
              <w:rPr>
                <w:rFonts w:ascii="Times New Roman" w:hAnsi="Times New Roman" w:cs="Times New Roman"/>
                <w:sz w:val="24"/>
              </w:rPr>
              <w:t xml:space="preserve"> a </w:t>
            </w:r>
            <w:r w:rsidRPr="00A3389E">
              <w:rPr>
                <w:rFonts w:ascii="Times New Roman" w:hAnsi="Times New Roman" w:cs="Times New Roman"/>
                <w:sz w:val="24"/>
              </w:rPr>
              <w:t>čiastočných odpisov.</w:t>
            </w:r>
          </w:p>
        </w:tc>
      </w:tr>
      <w:tr w:rsidR="004E71F4" w:rsidRPr="00A3389E" w14:paraId="153EAF92" w14:textId="77777777" w:rsidTr="00155C96">
        <w:trPr>
          <w:trHeight w:val="316"/>
        </w:trPr>
        <w:tc>
          <w:tcPr>
            <w:tcW w:w="1384" w:type="dxa"/>
          </w:tcPr>
          <w:p w14:paraId="65626203"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lastRenderedPageBreak/>
              <w:t xml:space="preserve">060 stĺpec </w:t>
            </w:r>
            <w:r w:rsidRPr="00A3389E">
              <w:rPr>
                <w:rFonts w:ascii="Times New Roman" w:hAnsi="Times New Roman" w:cs="Times New Roman"/>
                <w:i/>
                <w:color w:val="000000"/>
                <w:sz w:val="24"/>
              </w:rPr>
              <w:t>b</w:t>
            </w:r>
          </w:p>
        </w:tc>
        <w:tc>
          <w:tcPr>
            <w:tcW w:w="7655" w:type="dxa"/>
          </w:tcPr>
          <w:p w14:paraId="627E2794" w14:textId="77777777"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Súvisiace čisté kumulované náhrady</w:t>
            </w:r>
          </w:p>
          <w:p w14:paraId="476F55E3" w14:textId="20802DEC"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V tomto riadku sa majú zverejniť náhrady peňažných prostriedkov alebo peňažné ekvivalenty vybrané</w:t>
            </w:r>
            <w:r w:rsidR="00A3389E">
              <w:rPr>
                <w:rFonts w:ascii="Times New Roman" w:hAnsi="Times New Roman" w:cs="Times New Roman"/>
                <w:sz w:val="24"/>
              </w:rPr>
              <w:t xml:space="preserve"> v </w:t>
            </w:r>
            <w:r w:rsidRPr="00A3389E">
              <w:rPr>
                <w:rFonts w:ascii="Times New Roman" w:hAnsi="Times New Roman" w:cs="Times New Roman"/>
                <w:sz w:val="24"/>
              </w:rPr>
              <w:t>dôsledku likvidácie kolaterálu (po odpočítaní príslušných nákladov na likvidáciu kolaterálu).</w:t>
            </w:r>
          </w:p>
        </w:tc>
      </w:tr>
      <w:tr w:rsidR="004E71F4" w:rsidRPr="00A3389E" w14:paraId="285633E4" w14:textId="77777777" w:rsidTr="00155C96">
        <w:trPr>
          <w:trHeight w:val="316"/>
        </w:trPr>
        <w:tc>
          <w:tcPr>
            <w:tcW w:w="1384" w:type="dxa"/>
          </w:tcPr>
          <w:p w14:paraId="20E2402B"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070</w:t>
            </w:r>
          </w:p>
        </w:tc>
        <w:tc>
          <w:tcPr>
            <w:tcW w:w="7655" w:type="dxa"/>
          </w:tcPr>
          <w:p w14:paraId="3F7F1F47" w14:textId="2410DBF2"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w:t>
            </w:r>
            <w:r w:rsidR="00A3389E">
              <w:rPr>
                <w:rFonts w:ascii="Times New Roman" w:hAnsi="Times New Roman" w:cs="Times New Roman"/>
                <w:b/>
                <w:sz w:val="24"/>
              </w:rPr>
              <w:t xml:space="preserve"> z </w:t>
            </w:r>
            <w:r w:rsidRPr="00A3389E">
              <w:rPr>
                <w:rFonts w:ascii="Times New Roman" w:hAnsi="Times New Roman" w:cs="Times New Roman"/>
                <w:b/>
                <w:sz w:val="24"/>
              </w:rPr>
              <w:t>dôvodu nadobudnutia vlastníctva kolaterálu</w:t>
            </w:r>
          </w:p>
          <w:p w14:paraId="668C1D8A" w14:textId="01F4D0DF"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V tomto riadku sa zverejňuje vplyv zabavenia akéhokoľvek druhu kolaterálu na hrubú účtovnú hodnotu nástroja. Nadobudnutie vlastníctva sa vzťahuje na nadobudnutie nepeňažného kolaterálu, ktorého vlastníctvo nadobudla inštitúcia alebo dcérska spoločnosť skupiny</w:t>
            </w:r>
            <w:r w:rsidR="00A3389E">
              <w:rPr>
                <w:rFonts w:ascii="Times New Roman" w:hAnsi="Times New Roman" w:cs="Times New Roman"/>
                <w:sz w:val="24"/>
              </w:rPr>
              <w:t xml:space="preserve"> a </w:t>
            </w:r>
            <w:r w:rsidRPr="00A3389E">
              <w:rPr>
                <w:rFonts w:ascii="Times New Roman" w:hAnsi="Times New Roman" w:cs="Times New Roman"/>
                <w:sz w:val="24"/>
              </w:rPr>
              <w:t>ktorý ešte nepredala tretej strane. Do tejto kategórie sa majú zahrnúť aj swapy na dlhové aktíva, dobrovoľné odovzdanie</w:t>
            </w:r>
            <w:r w:rsidR="00A3389E">
              <w:rPr>
                <w:rFonts w:ascii="Times New Roman" w:hAnsi="Times New Roman" w:cs="Times New Roman"/>
                <w:sz w:val="24"/>
              </w:rPr>
              <w:t xml:space="preserve"> a </w:t>
            </w:r>
            <w:r w:rsidRPr="00A3389E">
              <w:rPr>
                <w:rFonts w:ascii="Times New Roman" w:hAnsi="Times New Roman" w:cs="Times New Roman"/>
                <w:sz w:val="24"/>
              </w:rPr>
              <w:t>konverzie dlhu na vlastné imanie. Aby sa predišlo pochybnostiam, treba pripomenúť, že sa zverejňuje hrubá účtovná hodnota nástroja vrátane akýchkoľvek prípadných sprievodných čiastočných odpisov. Treba tiež pripomenúť, že záporné peňažné toky sa nemusia rovnať súčtu čistých kumulovaných náhrad</w:t>
            </w:r>
            <w:r w:rsidR="00A3389E">
              <w:rPr>
                <w:rFonts w:ascii="Times New Roman" w:hAnsi="Times New Roman" w:cs="Times New Roman"/>
                <w:sz w:val="24"/>
              </w:rPr>
              <w:t xml:space="preserve"> a </w:t>
            </w:r>
            <w:r w:rsidRPr="00A3389E">
              <w:rPr>
                <w:rFonts w:ascii="Times New Roman" w:hAnsi="Times New Roman" w:cs="Times New Roman"/>
                <w:sz w:val="24"/>
              </w:rPr>
              <w:t>čiastočných odpisov.</w:t>
            </w:r>
          </w:p>
        </w:tc>
      </w:tr>
      <w:tr w:rsidR="004E71F4" w:rsidRPr="00A3389E" w14:paraId="33D462F0" w14:textId="77777777" w:rsidTr="00155C96">
        <w:trPr>
          <w:trHeight w:val="316"/>
        </w:trPr>
        <w:tc>
          <w:tcPr>
            <w:tcW w:w="1384" w:type="dxa"/>
          </w:tcPr>
          <w:p w14:paraId="0E1175DE"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 xml:space="preserve">070 stĺpec </w:t>
            </w:r>
            <w:r w:rsidRPr="00A3389E">
              <w:rPr>
                <w:rFonts w:ascii="Times New Roman" w:hAnsi="Times New Roman" w:cs="Times New Roman"/>
                <w:i/>
                <w:color w:val="000000"/>
                <w:sz w:val="24"/>
              </w:rPr>
              <w:t>b</w:t>
            </w:r>
            <w:r w:rsidRPr="00A3389E">
              <w:rPr>
                <w:rFonts w:ascii="Times New Roman" w:hAnsi="Times New Roman" w:cs="Times New Roman"/>
                <w:color w:val="000000"/>
                <w:sz w:val="24"/>
              </w:rPr>
              <w:t xml:space="preserve"> </w:t>
            </w:r>
          </w:p>
        </w:tc>
        <w:tc>
          <w:tcPr>
            <w:tcW w:w="7655" w:type="dxa"/>
          </w:tcPr>
          <w:p w14:paraId="4255D666" w14:textId="77777777"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Súvisiace čisté kumulované náhrady</w:t>
            </w:r>
          </w:p>
          <w:p w14:paraId="074316F5" w14:textId="106E61AB"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V tomto riadku sa má zverejniť prvotné vykázanie reálnej hodnoty kolaterálu</w:t>
            </w:r>
            <w:r w:rsidR="00A3389E">
              <w:rPr>
                <w:rFonts w:ascii="Times New Roman" w:hAnsi="Times New Roman" w:cs="Times New Roman"/>
                <w:sz w:val="24"/>
              </w:rPr>
              <w:t xml:space="preserve"> v </w:t>
            </w:r>
            <w:r w:rsidRPr="00A3389E">
              <w:rPr>
                <w:rFonts w:ascii="Times New Roman" w:hAnsi="Times New Roman" w:cs="Times New Roman"/>
                <w:sz w:val="24"/>
              </w:rPr>
              <w:t>súvahe inštitúcie</w:t>
            </w:r>
            <w:r w:rsidR="00A3389E">
              <w:rPr>
                <w:rFonts w:ascii="Times New Roman" w:hAnsi="Times New Roman" w:cs="Times New Roman"/>
                <w:sz w:val="24"/>
              </w:rPr>
              <w:t xml:space="preserve"> v </w:t>
            </w:r>
            <w:r w:rsidRPr="00A3389E">
              <w:rPr>
                <w:rFonts w:ascii="Times New Roman" w:hAnsi="Times New Roman" w:cs="Times New Roman"/>
                <w:sz w:val="24"/>
              </w:rPr>
              <w:t>čase nadobudnutia vlastníctva. Náhrady peňažných prostriedkov alebo peňažné ekvivalenty vybrané</w:t>
            </w:r>
            <w:r w:rsidR="00A3389E">
              <w:rPr>
                <w:rFonts w:ascii="Times New Roman" w:hAnsi="Times New Roman" w:cs="Times New Roman"/>
                <w:sz w:val="24"/>
              </w:rPr>
              <w:t xml:space="preserve"> v </w:t>
            </w:r>
            <w:r w:rsidRPr="00A3389E">
              <w:rPr>
                <w:rFonts w:ascii="Times New Roman" w:hAnsi="Times New Roman" w:cs="Times New Roman"/>
                <w:sz w:val="24"/>
              </w:rPr>
              <w:t>kontexte nadobudnutia vlastníctva kolaterálu po odpočítaní nákladov sa do tohto riadku nezahŕňajú, ale zverejňujú sa</w:t>
            </w:r>
            <w:r w:rsidR="00A3389E">
              <w:rPr>
                <w:rFonts w:ascii="Times New Roman" w:hAnsi="Times New Roman" w:cs="Times New Roman"/>
                <w:sz w:val="24"/>
              </w:rPr>
              <w:t xml:space="preserve"> v </w:t>
            </w:r>
            <w:r w:rsidRPr="00A3389E">
              <w:rPr>
                <w:rFonts w:ascii="Times New Roman" w:hAnsi="Times New Roman" w:cs="Times New Roman"/>
                <w:sz w:val="24"/>
              </w:rPr>
              <w:t>rámci záporného peňažného toku</w:t>
            </w:r>
            <w:r w:rsidR="00A3389E">
              <w:rPr>
                <w:rFonts w:ascii="Times New Roman" w:hAnsi="Times New Roman" w:cs="Times New Roman"/>
                <w:sz w:val="24"/>
              </w:rPr>
              <w:t xml:space="preserve"> v </w:t>
            </w:r>
            <w:r w:rsidRPr="00A3389E">
              <w:rPr>
                <w:rFonts w:ascii="Times New Roman" w:hAnsi="Times New Roman" w:cs="Times New Roman"/>
                <w:sz w:val="24"/>
              </w:rPr>
              <w:t>dôsledku čiastočného alebo úplného splatenia úveru.</w:t>
            </w:r>
          </w:p>
        </w:tc>
      </w:tr>
      <w:tr w:rsidR="004E71F4" w:rsidRPr="00A3389E" w14:paraId="150C15B1" w14:textId="77777777" w:rsidTr="00155C96">
        <w:trPr>
          <w:trHeight w:val="316"/>
        </w:trPr>
        <w:tc>
          <w:tcPr>
            <w:tcW w:w="1384" w:type="dxa"/>
          </w:tcPr>
          <w:p w14:paraId="75E451EC"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080</w:t>
            </w:r>
          </w:p>
        </w:tc>
        <w:tc>
          <w:tcPr>
            <w:tcW w:w="7655" w:type="dxa"/>
          </w:tcPr>
          <w:p w14:paraId="3EB42FED" w14:textId="6A8B6434"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w:t>
            </w:r>
            <w:r w:rsidR="00A3389E">
              <w:rPr>
                <w:rFonts w:ascii="Times New Roman" w:hAnsi="Times New Roman" w:cs="Times New Roman"/>
                <w:b/>
                <w:sz w:val="24"/>
              </w:rPr>
              <w:t xml:space="preserve"> z </w:t>
            </w:r>
            <w:r w:rsidRPr="00A3389E">
              <w:rPr>
                <w:rFonts w:ascii="Times New Roman" w:hAnsi="Times New Roman" w:cs="Times New Roman"/>
                <w:b/>
                <w:sz w:val="24"/>
              </w:rPr>
              <w:t>dôvodu predaja nástrojov</w:t>
            </w:r>
          </w:p>
          <w:p w14:paraId="38452F13" w14:textId="4977EA75" w:rsidR="004E71F4" w:rsidRPr="00A3389E" w:rsidRDefault="004E71F4"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Zmeny celkového zostatku vyplývajúce</w:t>
            </w:r>
            <w:r w:rsidR="00A3389E">
              <w:rPr>
                <w:rFonts w:ascii="Times New Roman" w:hAnsi="Times New Roman" w:cs="Times New Roman"/>
                <w:sz w:val="24"/>
              </w:rPr>
              <w:t xml:space="preserve"> z </w:t>
            </w:r>
            <w:r w:rsidRPr="00A3389E">
              <w:rPr>
                <w:rFonts w:ascii="Times New Roman" w:hAnsi="Times New Roman" w:cs="Times New Roman"/>
                <w:sz w:val="24"/>
              </w:rPr>
              <w:t>úverov</w:t>
            </w:r>
            <w:r w:rsidR="00A3389E">
              <w:rPr>
                <w:rFonts w:ascii="Times New Roman" w:hAnsi="Times New Roman" w:cs="Times New Roman"/>
                <w:sz w:val="24"/>
              </w:rPr>
              <w:t xml:space="preserve"> a </w:t>
            </w:r>
            <w:r w:rsidRPr="00A3389E">
              <w:rPr>
                <w:rFonts w:ascii="Times New Roman" w:hAnsi="Times New Roman" w:cs="Times New Roman"/>
                <w:sz w:val="24"/>
              </w:rPr>
              <w:t>preddavkov predaných iným inštitúciám, okrem vnútroskupinových transakcií.</w:t>
            </w:r>
          </w:p>
          <w:p w14:paraId="512BB6AE" w14:textId="4A3CCC52"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Aby sa predišlo pochybnostiam, inštitúcie uvedú, že sa má zverejniť hrubá účtovná hodnota predaných úverov</w:t>
            </w:r>
            <w:r w:rsidR="00A3389E">
              <w:rPr>
                <w:rFonts w:ascii="Times New Roman" w:hAnsi="Times New Roman" w:cs="Times New Roman"/>
                <w:sz w:val="24"/>
              </w:rPr>
              <w:t xml:space="preserve"> a </w:t>
            </w:r>
            <w:r w:rsidRPr="00A3389E">
              <w:rPr>
                <w:rFonts w:ascii="Times New Roman" w:hAnsi="Times New Roman" w:cs="Times New Roman"/>
                <w:sz w:val="24"/>
              </w:rPr>
              <w:t>preddavkov (vrátane akýchkoľvek prípadných sprievodných čiastočných odpisov),</w:t>
            </w:r>
            <w:r w:rsidR="00A3389E">
              <w:rPr>
                <w:rFonts w:ascii="Times New Roman" w:hAnsi="Times New Roman" w:cs="Times New Roman"/>
                <w:sz w:val="24"/>
              </w:rPr>
              <w:t xml:space="preserve"> a </w:t>
            </w:r>
            <w:r w:rsidRPr="00A3389E">
              <w:rPr>
                <w:rFonts w:ascii="Times New Roman" w:hAnsi="Times New Roman" w:cs="Times New Roman"/>
                <w:sz w:val="24"/>
              </w:rPr>
              <w:t>nie jej ocenenie alebo cena počas transakcie. Inštitúcie takisto uvedú, že záporné peňažné toky sa nemusia rovnať súčtu čistých kumulovaných náhrad</w:t>
            </w:r>
            <w:r w:rsidR="00A3389E">
              <w:rPr>
                <w:rFonts w:ascii="Times New Roman" w:hAnsi="Times New Roman" w:cs="Times New Roman"/>
                <w:sz w:val="24"/>
              </w:rPr>
              <w:t xml:space="preserve"> a </w:t>
            </w:r>
            <w:r w:rsidRPr="00A3389E">
              <w:rPr>
                <w:rFonts w:ascii="Times New Roman" w:hAnsi="Times New Roman" w:cs="Times New Roman"/>
                <w:sz w:val="24"/>
              </w:rPr>
              <w:t>čiastočných odpisov.</w:t>
            </w:r>
          </w:p>
        </w:tc>
      </w:tr>
      <w:tr w:rsidR="004E71F4" w:rsidRPr="00A3389E" w14:paraId="74F305DB" w14:textId="77777777" w:rsidTr="00155C96">
        <w:trPr>
          <w:trHeight w:val="316"/>
        </w:trPr>
        <w:tc>
          <w:tcPr>
            <w:tcW w:w="1384" w:type="dxa"/>
          </w:tcPr>
          <w:p w14:paraId="0BA8F109"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 xml:space="preserve">080 stĺpec </w:t>
            </w:r>
            <w:r w:rsidRPr="00A3389E">
              <w:rPr>
                <w:rFonts w:ascii="Times New Roman" w:hAnsi="Times New Roman" w:cs="Times New Roman"/>
                <w:i/>
                <w:color w:val="000000"/>
                <w:sz w:val="24"/>
              </w:rPr>
              <w:t>b</w:t>
            </w:r>
            <w:r w:rsidRPr="00A3389E">
              <w:rPr>
                <w:rFonts w:ascii="Times New Roman" w:hAnsi="Times New Roman" w:cs="Times New Roman"/>
                <w:color w:val="000000"/>
                <w:sz w:val="24"/>
              </w:rPr>
              <w:t xml:space="preserve"> </w:t>
            </w:r>
          </w:p>
        </w:tc>
        <w:tc>
          <w:tcPr>
            <w:tcW w:w="7655" w:type="dxa"/>
          </w:tcPr>
          <w:p w14:paraId="7BD0C376" w14:textId="77777777"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Súvisiace čisté kumulované náhrady</w:t>
            </w:r>
          </w:p>
          <w:p w14:paraId="341717A6" w14:textId="0E9757C0"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Do tohto riadku sa zahrnú náhrady peňažných prostriedkov alebo peňažné ekvivalenty vybrané</w:t>
            </w:r>
            <w:r w:rsidR="00A3389E">
              <w:rPr>
                <w:rFonts w:ascii="Times New Roman" w:hAnsi="Times New Roman" w:cs="Times New Roman"/>
                <w:sz w:val="24"/>
              </w:rPr>
              <w:t xml:space="preserve"> v </w:t>
            </w:r>
            <w:r w:rsidRPr="00A3389E">
              <w:rPr>
                <w:rFonts w:ascii="Times New Roman" w:hAnsi="Times New Roman" w:cs="Times New Roman"/>
                <w:sz w:val="24"/>
              </w:rPr>
              <w:t>kontexte predaja úverov</w:t>
            </w:r>
            <w:r w:rsidR="00A3389E">
              <w:rPr>
                <w:rFonts w:ascii="Times New Roman" w:hAnsi="Times New Roman" w:cs="Times New Roman"/>
                <w:sz w:val="24"/>
              </w:rPr>
              <w:t xml:space="preserve"> a </w:t>
            </w:r>
            <w:r w:rsidRPr="00A3389E">
              <w:rPr>
                <w:rFonts w:ascii="Times New Roman" w:hAnsi="Times New Roman" w:cs="Times New Roman"/>
                <w:sz w:val="24"/>
              </w:rPr>
              <w:t>preddavkov, po odpočítaní predajných nákladov.</w:t>
            </w:r>
          </w:p>
        </w:tc>
      </w:tr>
      <w:tr w:rsidR="004E71F4" w:rsidRPr="00A3389E" w14:paraId="3F2F03C0" w14:textId="77777777" w:rsidTr="00155C96">
        <w:trPr>
          <w:trHeight w:val="316"/>
        </w:trPr>
        <w:tc>
          <w:tcPr>
            <w:tcW w:w="1384" w:type="dxa"/>
          </w:tcPr>
          <w:p w14:paraId="2A34987F"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lastRenderedPageBreak/>
              <w:t>090</w:t>
            </w:r>
          </w:p>
        </w:tc>
        <w:tc>
          <w:tcPr>
            <w:tcW w:w="7655" w:type="dxa"/>
          </w:tcPr>
          <w:p w14:paraId="55E43FBC" w14:textId="116BF1DF"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w:t>
            </w:r>
            <w:r w:rsidR="00A3389E">
              <w:rPr>
                <w:rFonts w:ascii="Times New Roman" w:hAnsi="Times New Roman" w:cs="Times New Roman"/>
                <w:b/>
                <w:sz w:val="24"/>
              </w:rPr>
              <w:t xml:space="preserve"> z </w:t>
            </w:r>
            <w:r w:rsidRPr="00A3389E">
              <w:rPr>
                <w:rFonts w:ascii="Times New Roman" w:hAnsi="Times New Roman" w:cs="Times New Roman"/>
                <w:b/>
                <w:sz w:val="24"/>
              </w:rPr>
              <w:t>dôvodu prenosov rizika</w:t>
            </w:r>
          </w:p>
          <w:p w14:paraId="102663B4" w14:textId="3AF3FDB1" w:rsidR="004E71F4" w:rsidRPr="00A3389E" w:rsidRDefault="004E71F4"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Hrubé zníženie problémových úverov</w:t>
            </w:r>
            <w:r w:rsidR="00A3389E">
              <w:rPr>
                <w:rFonts w:ascii="Times New Roman" w:hAnsi="Times New Roman" w:cs="Times New Roman"/>
                <w:sz w:val="24"/>
              </w:rPr>
              <w:t xml:space="preserve"> a </w:t>
            </w:r>
            <w:r w:rsidRPr="00A3389E">
              <w:rPr>
                <w:rFonts w:ascii="Times New Roman" w:hAnsi="Times New Roman" w:cs="Times New Roman"/>
                <w:sz w:val="24"/>
              </w:rPr>
              <w:t>preddavkov</w:t>
            </w:r>
            <w:r w:rsidR="00A3389E">
              <w:rPr>
                <w:rFonts w:ascii="Times New Roman" w:hAnsi="Times New Roman" w:cs="Times New Roman"/>
                <w:sz w:val="24"/>
              </w:rPr>
              <w:t xml:space="preserve"> v </w:t>
            </w:r>
            <w:r w:rsidRPr="00A3389E">
              <w:rPr>
                <w:rFonts w:ascii="Times New Roman" w:hAnsi="Times New Roman" w:cs="Times New Roman"/>
                <w:sz w:val="24"/>
              </w:rPr>
              <w:t>dôsledku sekuritizácie alebo iných prenosov rizika, ktoré spĺňajú podmienky na ukončenie vykazovania</w:t>
            </w:r>
            <w:r w:rsidR="00A3389E">
              <w:rPr>
                <w:rFonts w:ascii="Times New Roman" w:hAnsi="Times New Roman" w:cs="Times New Roman"/>
                <w:sz w:val="24"/>
              </w:rPr>
              <w:t xml:space="preserve"> v </w:t>
            </w:r>
            <w:r w:rsidRPr="00A3389E">
              <w:rPr>
                <w:rFonts w:ascii="Times New Roman" w:hAnsi="Times New Roman" w:cs="Times New Roman"/>
                <w:sz w:val="24"/>
              </w:rPr>
              <w:t>súvahe.</w:t>
            </w:r>
          </w:p>
          <w:p w14:paraId="2BCBA96A" w14:textId="7BECDEEC"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Inštitúcie uvedú, že záporné peňažné toky sa nemusia rovnať súčtu čistých kumulovaných náhrad</w:t>
            </w:r>
            <w:r w:rsidR="00A3389E">
              <w:rPr>
                <w:rFonts w:ascii="Times New Roman" w:hAnsi="Times New Roman" w:cs="Times New Roman"/>
                <w:sz w:val="24"/>
              </w:rPr>
              <w:t xml:space="preserve"> a </w:t>
            </w:r>
            <w:r w:rsidRPr="00A3389E">
              <w:rPr>
                <w:rFonts w:ascii="Times New Roman" w:hAnsi="Times New Roman" w:cs="Times New Roman"/>
                <w:sz w:val="24"/>
              </w:rPr>
              <w:t>čiastočných odpisov.</w:t>
            </w:r>
          </w:p>
        </w:tc>
      </w:tr>
      <w:tr w:rsidR="004E71F4" w:rsidRPr="00A3389E" w14:paraId="21AD089B" w14:textId="77777777" w:rsidTr="00155C96">
        <w:trPr>
          <w:trHeight w:val="316"/>
        </w:trPr>
        <w:tc>
          <w:tcPr>
            <w:tcW w:w="1384" w:type="dxa"/>
          </w:tcPr>
          <w:p w14:paraId="09AFB817"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 xml:space="preserve">090 stĺpec </w:t>
            </w:r>
            <w:r w:rsidRPr="00A3389E">
              <w:rPr>
                <w:rFonts w:ascii="Times New Roman" w:hAnsi="Times New Roman" w:cs="Times New Roman"/>
                <w:i/>
                <w:color w:val="000000"/>
                <w:sz w:val="24"/>
              </w:rPr>
              <w:t>b</w:t>
            </w:r>
            <w:r w:rsidRPr="00A3389E">
              <w:rPr>
                <w:rFonts w:ascii="Times New Roman" w:hAnsi="Times New Roman" w:cs="Times New Roman"/>
                <w:color w:val="000000"/>
                <w:sz w:val="24"/>
              </w:rPr>
              <w:t xml:space="preserve"> </w:t>
            </w:r>
          </w:p>
        </w:tc>
        <w:tc>
          <w:tcPr>
            <w:tcW w:w="7655" w:type="dxa"/>
          </w:tcPr>
          <w:p w14:paraId="058CBEC2" w14:textId="77777777"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Súvisiace čisté kumulované náhrady</w:t>
            </w:r>
          </w:p>
          <w:p w14:paraId="75C1AA3E" w14:textId="042967BF"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Do tohto riadku sa majú zahrnúť náhrady peňažných prostriedkov alebo peňažné ekvivalenty vybrané</w:t>
            </w:r>
            <w:r w:rsidR="00A3389E">
              <w:rPr>
                <w:rFonts w:ascii="Times New Roman" w:hAnsi="Times New Roman" w:cs="Times New Roman"/>
                <w:sz w:val="24"/>
              </w:rPr>
              <w:t xml:space="preserve"> v </w:t>
            </w:r>
            <w:r w:rsidRPr="00A3389E">
              <w:rPr>
                <w:rFonts w:ascii="Times New Roman" w:hAnsi="Times New Roman" w:cs="Times New Roman"/>
                <w:sz w:val="24"/>
              </w:rPr>
              <w:t>kontexte záporných peňažných tokov vyplývajúcich</w:t>
            </w:r>
            <w:r w:rsidR="00A3389E">
              <w:rPr>
                <w:rFonts w:ascii="Times New Roman" w:hAnsi="Times New Roman" w:cs="Times New Roman"/>
                <w:sz w:val="24"/>
              </w:rPr>
              <w:t xml:space="preserve"> z </w:t>
            </w:r>
            <w:r w:rsidRPr="00A3389E">
              <w:rPr>
                <w:rFonts w:ascii="Times New Roman" w:hAnsi="Times New Roman" w:cs="Times New Roman"/>
                <w:sz w:val="24"/>
              </w:rPr>
              <w:t>prenosu významných rizík.</w:t>
            </w:r>
          </w:p>
        </w:tc>
      </w:tr>
      <w:tr w:rsidR="004E71F4" w:rsidRPr="00A3389E" w14:paraId="725FD537" w14:textId="77777777" w:rsidTr="00155C96">
        <w:trPr>
          <w:trHeight w:val="316"/>
        </w:trPr>
        <w:tc>
          <w:tcPr>
            <w:tcW w:w="1384" w:type="dxa"/>
          </w:tcPr>
          <w:p w14:paraId="062FF45C"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100</w:t>
            </w:r>
          </w:p>
        </w:tc>
        <w:tc>
          <w:tcPr>
            <w:tcW w:w="7655" w:type="dxa"/>
          </w:tcPr>
          <w:p w14:paraId="3379F4C5" w14:textId="48CA25E4"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w:t>
            </w:r>
            <w:r w:rsidR="00A3389E">
              <w:rPr>
                <w:rFonts w:ascii="Times New Roman" w:hAnsi="Times New Roman" w:cs="Times New Roman"/>
                <w:b/>
                <w:sz w:val="24"/>
              </w:rPr>
              <w:t xml:space="preserve"> z </w:t>
            </w:r>
            <w:r w:rsidRPr="00A3389E">
              <w:rPr>
                <w:rFonts w:ascii="Times New Roman" w:hAnsi="Times New Roman" w:cs="Times New Roman"/>
                <w:b/>
                <w:sz w:val="24"/>
              </w:rPr>
              <w:t>dôvodu odpisov</w:t>
            </w:r>
          </w:p>
          <w:p w14:paraId="30689015" w14:textId="79A19239" w:rsidR="004E71F4" w:rsidRPr="00A3389E" w:rsidRDefault="004E71F4"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Úplné alebo čiastočné odpisy celkových úverov</w:t>
            </w:r>
            <w:r w:rsidR="00A3389E">
              <w:rPr>
                <w:rFonts w:ascii="Times New Roman" w:hAnsi="Times New Roman" w:cs="Times New Roman"/>
                <w:sz w:val="24"/>
              </w:rPr>
              <w:t xml:space="preserve"> a </w:t>
            </w:r>
            <w:r w:rsidRPr="00A3389E">
              <w:rPr>
                <w:rFonts w:ascii="Times New Roman" w:hAnsi="Times New Roman" w:cs="Times New Roman"/>
                <w:sz w:val="24"/>
              </w:rPr>
              <w:t>preddavkov zaznamenané počas referenčného obdobia.</w:t>
            </w:r>
          </w:p>
          <w:p w14:paraId="366C4355" w14:textId="06135135"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Odpísanie (úplné alebo čiastočné) predstavuje udalosť ukončenia vykazovania. Hrubá účtovná hodnota úverov</w:t>
            </w:r>
            <w:r w:rsidR="00A3389E">
              <w:rPr>
                <w:rFonts w:ascii="Times New Roman" w:hAnsi="Times New Roman" w:cs="Times New Roman"/>
                <w:sz w:val="24"/>
              </w:rPr>
              <w:t xml:space="preserve"> a </w:t>
            </w:r>
            <w:r w:rsidRPr="00A3389E">
              <w:rPr>
                <w:rFonts w:ascii="Times New Roman" w:hAnsi="Times New Roman" w:cs="Times New Roman"/>
                <w:sz w:val="24"/>
              </w:rPr>
              <w:t>preddavkov sa preto znižuje</w:t>
            </w:r>
            <w:r w:rsidR="00A3389E">
              <w:rPr>
                <w:rFonts w:ascii="Times New Roman" w:hAnsi="Times New Roman" w:cs="Times New Roman"/>
                <w:sz w:val="24"/>
              </w:rPr>
              <w:t xml:space="preserve"> o </w:t>
            </w:r>
            <w:r w:rsidRPr="00A3389E">
              <w:rPr>
                <w:rFonts w:ascii="Times New Roman" w:hAnsi="Times New Roman" w:cs="Times New Roman"/>
                <w:sz w:val="24"/>
              </w:rPr>
              <w:t>sumu odpisov. Aby sa predišlo pochybnostiam, treba pripomenúť, že tento riadok odzrkadľuje zmeny hrubej účtovnej hodnoty úverov</w:t>
            </w:r>
            <w:r w:rsidR="00A3389E">
              <w:rPr>
                <w:rFonts w:ascii="Times New Roman" w:hAnsi="Times New Roman" w:cs="Times New Roman"/>
                <w:sz w:val="24"/>
              </w:rPr>
              <w:t xml:space="preserve"> a </w:t>
            </w:r>
            <w:r w:rsidRPr="00A3389E">
              <w:rPr>
                <w:rFonts w:ascii="Times New Roman" w:hAnsi="Times New Roman" w:cs="Times New Roman"/>
                <w:sz w:val="24"/>
              </w:rPr>
              <w:t>preddavkov</w:t>
            </w:r>
            <w:r w:rsidR="00A3389E">
              <w:rPr>
                <w:rFonts w:ascii="Times New Roman" w:hAnsi="Times New Roman" w:cs="Times New Roman"/>
                <w:sz w:val="24"/>
              </w:rPr>
              <w:t xml:space="preserve"> a </w:t>
            </w:r>
            <w:r w:rsidRPr="00A3389E">
              <w:rPr>
                <w:rFonts w:ascii="Times New Roman" w:hAnsi="Times New Roman" w:cs="Times New Roman"/>
                <w:sz w:val="24"/>
              </w:rPr>
              <w:t>akékoľvek prípadné čiastočné odpisy, ktoré už boli zverejnené</w:t>
            </w:r>
            <w:r w:rsidR="00A3389E">
              <w:rPr>
                <w:rFonts w:ascii="Times New Roman" w:hAnsi="Times New Roman" w:cs="Times New Roman"/>
                <w:sz w:val="24"/>
              </w:rPr>
              <w:t xml:space="preserve"> v </w:t>
            </w:r>
            <w:r w:rsidRPr="00A3389E">
              <w:rPr>
                <w:rFonts w:ascii="Times New Roman" w:hAnsi="Times New Roman" w:cs="Times New Roman"/>
                <w:sz w:val="24"/>
              </w:rPr>
              <w:t>predchádzajúcich riadkoch (napr. sprievodný predaj úverov</w:t>
            </w:r>
            <w:r w:rsidR="00A3389E">
              <w:rPr>
                <w:rFonts w:ascii="Times New Roman" w:hAnsi="Times New Roman" w:cs="Times New Roman"/>
                <w:sz w:val="24"/>
              </w:rPr>
              <w:t xml:space="preserve"> a </w:t>
            </w:r>
            <w:r w:rsidRPr="00A3389E">
              <w:rPr>
                <w:rFonts w:ascii="Times New Roman" w:hAnsi="Times New Roman" w:cs="Times New Roman"/>
                <w:sz w:val="24"/>
              </w:rPr>
              <w:t>preddavkov, likvidácia kolaterálu, nadobudnutie vlastníctva kolaterálu alebo prenos významného rizika), sa do tohto riadku nezahŕňajú. Do tejto kategórie sa okrem toho má zahrnúť aj odpustenie dlhu</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opatreniami týkajúcimi sa úľavy, t. j. odpisy, pri ktorých bola suma nesplateného dlhu od dlžníka zrušená (inštitúcia stráca právo na jeho právne vymáhanie).</w:t>
            </w:r>
          </w:p>
        </w:tc>
      </w:tr>
      <w:tr w:rsidR="004E71F4" w:rsidRPr="00A3389E" w14:paraId="631DBA25" w14:textId="77777777" w:rsidTr="00155C96">
        <w:trPr>
          <w:trHeight w:val="316"/>
        </w:trPr>
        <w:tc>
          <w:tcPr>
            <w:tcW w:w="1384" w:type="dxa"/>
          </w:tcPr>
          <w:p w14:paraId="618387CE"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110</w:t>
            </w:r>
          </w:p>
        </w:tc>
        <w:tc>
          <w:tcPr>
            <w:tcW w:w="7655" w:type="dxa"/>
          </w:tcPr>
          <w:p w14:paraId="41043B09" w14:textId="734E44A3"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w:t>
            </w:r>
            <w:r w:rsidR="00A3389E">
              <w:rPr>
                <w:rFonts w:ascii="Times New Roman" w:hAnsi="Times New Roman" w:cs="Times New Roman"/>
                <w:b/>
                <w:sz w:val="24"/>
              </w:rPr>
              <w:t xml:space="preserve"> z </w:t>
            </w:r>
            <w:r w:rsidRPr="00A3389E">
              <w:rPr>
                <w:rFonts w:ascii="Times New Roman" w:hAnsi="Times New Roman" w:cs="Times New Roman"/>
                <w:b/>
                <w:sz w:val="24"/>
              </w:rPr>
              <w:t>dôvodu iných situácií</w:t>
            </w:r>
          </w:p>
          <w:p w14:paraId="5BF50DC2" w14:textId="7AFA8D74"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Do tohto riadku sa zahŕňajú akékoľvek iné zníženia účtovnej hodnoty úverov</w:t>
            </w:r>
            <w:r w:rsidR="00A3389E">
              <w:rPr>
                <w:rFonts w:ascii="Times New Roman" w:hAnsi="Times New Roman" w:cs="Times New Roman"/>
                <w:sz w:val="24"/>
              </w:rPr>
              <w:t xml:space="preserve"> a </w:t>
            </w:r>
            <w:r w:rsidRPr="00A3389E">
              <w:rPr>
                <w:rFonts w:ascii="Times New Roman" w:hAnsi="Times New Roman" w:cs="Times New Roman"/>
                <w:sz w:val="24"/>
              </w:rPr>
              <w:t>preddavkov, ktoré nie sú obsiahnuté</w:t>
            </w:r>
            <w:r w:rsidR="00A3389E">
              <w:rPr>
                <w:rFonts w:ascii="Times New Roman" w:hAnsi="Times New Roman" w:cs="Times New Roman"/>
                <w:sz w:val="24"/>
              </w:rPr>
              <w:t xml:space="preserve"> v </w:t>
            </w:r>
            <w:r w:rsidRPr="00A3389E">
              <w:rPr>
                <w:rFonts w:ascii="Times New Roman" w:hAnsi="Times New Roman" w:cs="Times New Roman"/>
                <w:sz w:val="24"/>
              </w:rPr>
              <w:t>udalostiach uvedených vyššie. Tieto úpravy môžu zahŕňať napríklad devízové zmeny, iné opatrenia na uzavretie expozície, reklasifikácie medzi triedami aktív atď. Ak je hodnota tejto kategórie významná, inštitúcie sa vyzývajú, aby poskytli dodatočné informácie</w:t>
            </w:r>
            <w:r w:rsidR="00A3389E">
              <w:rPr>
                <w:rFonts w:ascii="Times New Roman" w:hAnsi="Times New Roman" w:cs="Times New Roman"/>
                <w:sz w:val="24"/>
              </w:rPr>
              <w:t xml:space="preserve"> v </w:t>
            </w:r>
            <w:r w:rsidRPr="00A3389E">
              <w:rPr>
                <w:rFonts w:ascii="Times New Roman" w:hAnsi="Times New Roman" w:cs="Times New Roman"/>
                <w:sz w:val="24"/>
              </w:rPr>
              <w:t>opise sprevádzajúcom tento vzor.</w:t>
            </w:r>
          </w:p>
        </w:tc>
      </w:tr>
      <w:tr w:rsidR="004E71F4" w:rsidRPr="00A3389E" w14:paraId="1655BD69" w14:textId="77777777" w:rsidTr="00155C96">
        <w:trPr>
          <w:trHeight w:val="316"/>
        </w:trPr>
        <w:tc>
          <w:tcPr>
            <w:tcW w:w="1384" w:type="dxa"/>
          </w:tcPr>
          <w:p w14:paraId="067B0226"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120</w:t>
            </w:r>
          </w:p>
        </w:tc>
        <w:tc>
          <w:tcPr>
            <w:tcW w:w="7655" w:type="dxa"/>
          </w:tcPr>
          <w:p w14:paraId="3A1D4FD2" w14:textId="1176E409" w:rsidR="00A3389E"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Záporný peňažný tok</w:t>
            </w:r>
            <w:r w:rsidR="00A3389E">
              <w:rPr>
                <w:rFonts w:ascii="Times New Roman" w:hAnsi="Times New Roman" w:cs="Times New Roman"/>
                <w:b/>
                <w:sz w:val="24"/>
              </w:rPr>
              <w:t xml:space="preserve"> z </w:t>
            </w:r>
            <w:r w:rsidRPr="00A3389E">
              <w:rPr>
                <w:rFonts w:ascii="Times New Roman" w:hAnsi="Times New Roman" w:cs="Times New Roman"/>
                <w:b/>
                <w:sz w:val="24"/>
              </w:rPr>
              <w:t>dôvodu reklasifikácie na držané na predaj</w:t>
            </w:r>
          </w:p>
          <w:p w14:paraId="118AD68E" w14:textId="321FC08D"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Zníženia účtovnej hodnoty problémových úverov</w:t>
            </w:r>
            <w:r w:rsidR="00A3389E">
              <w:rPr>
                <w:rFonts w:ascii="Times New Roman" w:hAnsi="Times New Roman" w:cs="Times New Roman"/>
                <w:sz w:val="24"/>
              </w:rPr>
              <w:t xml:space="preserve"> a </w:t>
            </w:r>
            <w:r w:rsidRPr="00A3389E">
              <w:rPr>
                <w:rFonts w:ascii="Times New Roman" w:hAnsi="Times New Roman" w:cs="Times New Roman"/>
                <w:sz w:val="24"/>
              </w:rPr>
              <w:t>preddavkov</w:t>
            </w:r>
            <w:r w:rsidR="00A3389E">
              <w:rPr>
                <w:rFonts w:ascii="Times New Roman" w:hAnsi="Times New Roman" w:cs="Times New Roman"/>
                <w:sz w:val="24"/>
              </w:rPr>
              <w:t xml:space="preserve"> z </w:t>
            </w:r>
            <w:r w:rsidRPr="00A3389E">
              <w:rPr>
                <w:rFonts w:ascii="Times New Roman" w:hAnsi="Times New Roman" w:cs="Times New Roman"/>
                <w:sz w:val="24"/>
              </w:rPr>
              <w:t>dôvodu ich reklasifikácie na nástroje držané na predaj.</w:t>
            </w:r>
          </w:p>
        </w:tc>
      </w:tr>
      <w:tr w:rsidR="004E71F4" w:rsidRPr="00A3389E" w14:paraId="04398009" w14:textId="77777777" w:rsidTr="00155C96">
        <w:trPr>
          <w:trHeight w:val="316"/>
        </w:trPr>
        <w:tc>
          <w:tcPr>
            <w:tcW w:w="1384" w:type="dxa"/>
          </w:tcPr>
          <w:p w14:paraId="725024FB"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130</w:t>
            </w:r>
          </w:p>
        </w:tc>
        <w:tc>
          <w:tcPr>
            <w:tcW w:w="7655" w:type="dxa"/>
          </w:tcPr>
          <w:p w14:paraId="07A7A819" w14:textId="08C25B41"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Konečný stav problémových úverov</w:t>
            </w:r>
            <w:r w:rsidR="00A3389E">
              <w:rPr>
                <w:rFonts w:ascii="Times New Roman" w:hAnsi="Times New Roman" w:cs="Times New Roman"/>
                <w:b/>
                <w:sz w:val="24"/>
              </w:rPr>
              <w:t xml:space="preserve"> a </w:t>
            </w:r>
            <w:r w:rsidRPr="00A3389E">
              <w:rPr>
                <w:rFonts w:ascii="Times New Roman" w:hAnsi="Times New Roman" w:cs="Times New Roman"/>
                <w:b/>
                <w:sz w:val="24"/>
              </w:rPr>
              <w:t>preddavkov</w:t>
            </w:r>
          </w:p>
          <w:p w14:paraId="45E884BF" w14:textId="08B79030"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Hrubá účtovná hodnota objemu problémových úverov</w:t>
            </w:r>
            <w:r w:rsidR="00A3389E">
              <w:rPr>
                <w:rFonts w:ascii="Times New Roman" w:hAnsi="Times New Roman" w:cs="Times New Roman"/>
                <w:sz w:val="24"/>
              </w:rPr>
              <w:t xml:space="preserve"> a </w:t>
            </w:r>
            <w:r w:rsidRPr="00A3389E">
              <w:rPr>
                <w:rFonts w:ascii="Times New Roman" w:hAnsi="Times New Roman" w:cs="Times New Roman"/>
                <w:sz w:val="24"/>
              </w:rPr>
              <w:t>preddavkov</w:t>
            </w:r>
            <w:r w:rsidR="00A3389E">
              <w:rPr>
                <w:rFonts w:ascii="Times New Roman" w:hAnsi="Times New Roman" w:cs="Times New Roman"/>
                <w:sz w:val="24"/>
              </w:rPr>
              <w:t xml:space="preserve"> k </w:t>
            </w:r>
            <w:r w:rsidRPr="00A3389E">
              <w:rPr>
                <w:rFonts w:ascii="Times New Roman" w:hAnsi="Times New Roman" w:cs="Times New Roman"/>
                <w:sz w:val="24"/>
              </w:rPr>
              <w:t>referenčnému dátumu zverejňovania.</w:t>
            </w:r>
          </w:p>
        </w:tc>
      </w:tr>
    </w:tbl>
    <w:p w14:paraId="2CF19B48"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434250A1" w14:textId="77777777" w:rsidTr="00155C96">
        <w:trPr>
          <w:trHeight w:val="238"/>
        </w:trPr>
        <w:tc>
          <w:tcPr>
            <w:tcW w:w="9039" w:type="dxa"/>
            <w:gridSpan w:val="2"/>
            <w:shd w:val="clear" w:color="auto" w:fill="D9D9D9" w:themeFill="background1" w:themeFillShade="D9"/>
          </w:tcPr>
          <w:p w14:paraId="4BDEF3F8" w14:textId="333040FE"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62A839AD" w14:textId="77777777" w:rsidTr="00155C96">
        <w:trPr>
          <w:trHeight w:val="238"/>
        </w:trPr>
        <w:tc>
          <w:tcPr>
            <w:tcW w:w="1384" w:type="dxa"/>
            <w:shd w:val="clear" w:color="auto" w:fill="D9D9D9" w:themeFill="background1" w:themeFillShade="D9"/>
          </w:tcPr>
          <w:p w14:paraId="621BFAAA"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lastRenderedPageBreak/>
              <w:t>Číslo stĺpca</w:t>
            </w:r>
          </w:p>
        </w:tc>
        <w:tc>
          <w:tcPr>
            <w:tcW w:w="7655" w:type="dxa"/>
            <w:shd w:val="clear" w:color="auto" w:fill="D9D9D9" w:themeFill="background1" w:themeFillShade="D9"/>
          </w:tcPr>
          <w:p w14:paraId="666C4537"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5AA76A3E" w14:textId="77777777" w:rsidTr="00155C96">
        <w:trPr>
          <w:trHeight w:val="841"/>
        </w:trPr>
        <w:tc>
          <w:tcPr>
            <w:tcW w:w="1384" w:type="dxa"/>
          </w:tcPr>
          <w:p w14:paraId="6AB994DC" w14:textId="77777777" w:rsidR="004E71F4" w:rsidRPr="00A3389E" w:rsidRDefault="004E71F4" w:rsidP="00155C96">
            <w:pPr>
              <w:pStyle w:val="Applicationdirecte"/>
              <w:spacing w:before="0"/>
            </w:pPr>
            <w:r w:rsidRPr="00A3389E">
              <w:t>a</w:t>
            </w:r>
          </w:p>
        </w:tc>
        <w:tc>
          <w:tcPr>
            <w:tcW w:w="7655" w:type="dxa"/>
          </w:tcPr>
          <w:p w14:paraId="4337B9F6" w14:textId="77777777" w:rsidR="00A3389E" w:rsidRPr="00A3389E" w:rsidRDefault="004E71F4" w:rsidP="00155C96">
            <w:pPr>
              <w:pStyle w:val="Fait"/>
              <w:spacing w:before="0" w:after="120"/>
              <w:rPr>
                <w:b/>
              </w:rPr>
            </w:pPr>
            <w:r w:rsidRPr="00A3389E">
              <w:rPr>
                <w:b/>
              </w:rPr>
              <w:t>Hrubá účtovná hodnota</w:t>
            </w:r>
          </w:p>
          <w:p w14:paraId="06829554" w14:textId="602301AD" w:rsidR="004E71F4" w:rsidRPr="00A3389E" w:rsidRDefault="004E71F4" w:rsidP="00155C96">
            <w:pPr>
              <w:autoSpaceDE w:val="0"/>
              <w:autoSpaceDN w:val="0"/>
              <w:adjustRightInd w:val="0"/>
              <w:spacing w:after="120"/>
              <w:rPr>
                <w:rFonts w:ascii="Times New Roman" w:hAnsi="Times New Roman" w:cs="Times New Roman"/>
              </w:rPr>
            </w:pPr>
            <w:r w:rsidRPr="00A3389E">
              <w:rPr>
                <w:rFonts w:ascii="Times New Roman" w:hAnsi="Times New Roman" w:cs="Times New Roman"/>
                <w:sz w:val="24"/>
              </w:rPr>
              <w:t>Hrubá účtovná hodnota, ako sa vymedzuje</w:t>
            </w:r>
            <w:r w:rsidR="00A3389E">
              <w:rPr>
                <w:rFonts w:ascii="Times New Roman" w:hAnsi="Times New Roman" w:cs="Times New Roman"/>
                <w:sz w:val="24"/>
              </w:rPr>
              <w:t xml:space="preserve"> v </w:t>
            </w:r>
            <w:r w:rsidRPr="00A3389E">
              <w:rPr>
                <w:rFonts w:ascii="Times New Roman" w:hAnsi="Times New Roman" w:cs="Times New Roman"/>
                <w:sz w:val="24"/>
              </w:rPr>
              <w:t>časti 1 odseku 34 prílohy</w:t>
            </w:r>
            <w:r w:rsidR="00A3389E">
              <w:rPr>
                <w:rFonts w:ascii="Times New Roman" w:hAnsi="Times New Roman" w:cs="Times New Roman"/>
                <w:sz w:val="24"/>
              </w:rPr>
              <w:t xml:space="preserve"> V k </w:t>
            </w:r>
            <w:r w:rsidRPr="00A3389E">
              <w:rPr>
                <w:rFonts w:ascii="Times New Roman" w:hAnsi="Times New Roman" w:cs="Times New Roman"/>
                <w:sz w:val="24"/>
              </w:rPr>
              <w:t xml:space="preserve">vykonávaciemu nariadeniu Komisie (EÚ) </w:t>
            </w:r>
            <w:r w:rsidR="00A3389E">
              <w:rPr>
                <w:rFonts w:ascii="Times New Roman" w:hAnsi="Times New Roman" w:cs="Times New Roman"/>
                <w:sz w:val="24"/>
              </w:rPr>
              <w:t>č. </w:t>
            </w:r>
            <w:r w:rsidRPr="00A3389E">
              <w:rPr>
                <w:rFonts w:ascii="Times New Roman" w:hAnsi="Times New Roman" w:cs="Times New Roman"/>
                <w:sz w:val="24"/>
              </w:rPr>
              <w:t>680/2014.</w:t>
            </w:r>
          </w:p>
        </w:tc>
      </w:tr>
      <w:tr w:rsidR="004E71F4" w:rsidRPr="00A3389E" w14:paraId="6B86705F" w14:textId="77777777" w:rsidTr="00155C96">
        <w:trPr>
          <w:trHeight w:val="841"/>
        </w:trPr>
        <w:tc>
          <w:tcPr>
            <w:tcW w:w="1384" w:type="dxa"/>
          </w:tcPr>
          <w:p w14:paraId="63A3A53D" w14:textId="77777777" w:rsidR="004E71F4" w:rsidRPr="00A3389E" w:rsidRDefault="004E71F4" w:rsidP="00155C96">
            <w:pPr>
              <w:pStyle w:val="Applicationdirecte"/>
              <w:spacing w:before="0"/>
            </w:pPr>
            <w:r w:rsidRPr="00A3389E">
              <w:t>b</w:t>
            </w:r>
          </w:p>
        </w:tc>
        <w:tc>
          <w:tcPr>
            <w:tcW w:w="7655" w:type="dxa"/>
          </w:tcPr>
          <w:p w14:paraId="1806F166" w14:textId="77777777" w:rsidR="004E71F4" w:rsidRPr="00A3389E" w:rsidRDefault="004E71F4" w:rsidP="00155C96">
            <w:pPr>
              <w:pStyle w:val="Fait"/>
              <w:spacing w:before="0" w:after="120"/>
              <w:rPr>
                <w:rFonts w:eastAsiaTheme="minorEastAsia"/>
                <w:b/>
              </w:rPr>
            </w:pPr>
            <w:r w:rsidRPr="00A3389E">
              <w:rPr>
                <w:b/>
              </w:rPr>
              <w:t>Súvisiace čisté kumulované náhrady</w:t>
            </w:r>
          </w:p>
          <w:p w14:paraId="5D67A088" w14:textId="64928D76" w:rsidR="004E71F4" w:rsidRPr="00A3389E" w:rsidRDefault="004E71F4" w:rsidP="00155C96">
            <w:pPr>
              <w:autoSpaceDE w:val="0"/>
              <w:autoSpaceDN w:val="0"/>
              <w:adjustRightInd w:val="0"/>
              <w:spacing w:after="120"/>
              <w:rPr>
                <w:rFonts w:ascii="Times New Roman" w:hAnsi="Times New Roman" w:cs="Times New Roman"/>
              </w:rPr>
            </w:pPr>
            <w:r w:rsidRPr="00A3389E">
              <w:rPr>
                <w:rFonts w:ascii="Times New Roman" w:hAnsi="Times New Roman" w:cs="Times New Roman"/>
                <w:sz w:val="24"/>
              </w:rPr>
              <w:t>Pozri vymedzenia týkajúce sa riadkov</w:t>
            </w:r>
            <w:r w:rsidR="00A3389E">
              <w:rPr>
                <w:rFonts w:ascii="Times New Roman" w:hAnsi="Times New Roman" w:cs="Times New Roman"/>
                <w:sz w:val="24"/>
              </w:rPr>
              <w:t xml:space="preserve"> v </w:t>
            </w:r>
            <w:r w:rsidRPr="00A3389E">
              <w:rPr>
                <w:rFonts w:ascii="Times New Roman" w:hAnsi="Times New Roman" w:cs="Times New Roman"/>
                <w:sz w:val="24"/>
              </w:rPr>
              <w:t>tomto vzore.</w:t>
            </w:r>
          </w:p>
        </w:tc>
      </w:tr>
    </w:tbl>
    <w:p w14:paraId="1F91ED17" w14:textId="77777777" w:rsidR="004E71F4" w:rsidRPr="00A3389E" w:rsidRDefault="004E71F4" w:rsidP="004E71F4">
      <w:pPr>
        <w:autoSpaceDE w:val="0"/>
        <w:autoSpaceDN w:val="0"/>
        <w:adjustRightInd w:val="0"/>
        <w:spacing w:after="120"/>
        <w:rPr>
          <w:rFonts w:ascii="Times New Roman" w:hAnsi="Times New Roman" w:cs="Times New Roman"/>
          <w:b/>
          <w:sz w:val="24"/>
        </w:rPr>
      </w:pPr>
    </w:p>
    <w:p w14:paraId="3C415982" w14:textId="5C966378" w:rsidR="004E71F4" w:rsidRPr="00A3389E" w:rsidRDefault="00CD362D" w:rsidP="004E71F4">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Vzor EU CQ1: Kreditná kvalita expozícií</w:t>
      </w:r>
      <w:r w:rsidR="00A3389E">
        <w:rPr>
          <w:rFonts w:ascii="Times New Roman" w:hAnsi="Times New Roman" w:cs="Times New Roman"/>
          <w:b/>
          <w:sz w:val="24"/>
        </w:rPr>
        <w:t xml:space="preserve"> s </w:t>
      </w:r>
      <w:r w:rsidRPr="00A3389E">
        <w:rPr>
          <w:rFonts w:ascii="Times New Roman" w:hAnsi="Times New Roman" w:cs="Times New Roman"/>
          <w:b/>
          <w:sz w:val="24"/>
        </w:rPr>
        <w:t>úľavou</w:t>
      </w:r>
    </w:p>
    <w:p w14:paraId="32139503" w14:textId="3CF69E63" w:rsidR="004E71F4" w:rsidRPr="00A3389E" w:rsidRDefault="00A3389E" w:rsidP="00A3389E">
      <w:pPr>
        <w:spacing w:after="120"/>
        <w:ind w:left="720" w:hanging="360"/>
        <w:contextualSpacing/>
        <w:jc w:val="both"/>
        <w:rPr>
          <w:rFonts w:ascii="Times New Roman" w:hAnsi="Times New Roman"/>
          <w:sz w:val="24"/>
        </w:rPr>
      </w:pPr>
      <w:r w:rsidRPr="00A3389E">
        <w:rPr>
          <w:rFonts w:ascii="Times New Roman" w:eastAsia="Calibri" w:hAnsi="Times New Roman" w:cs="Times New Roman"/>
          <w:sz w:val="24"/>
          <w:szCs w:val="22"/>
        </w:rPr>
        <w:t>3.</w:t>
      </w:r>
      <w:r w:rsidRPr="00A3389E">
        <w:rPr>
          <w:rFonts w:ascii="Times New Roman" w:eastAsia="Calibri" w:hAnsi="Times New Roman" w:cs="Times New Roman"/>
          <w:sz w:val="24"/>
          <w:szCs w:val="22"/>
        </w:rPr>
        <w:tab/>
      </w:r>
      <w:r w:rsidR="004E71F4" w:rsidRPr="00A3389E">
        <w:rPr>
          <w:rFonts w:ascii="Times New Roman" w:hAnsi="Times New Roman"/>
          <w:bCs/>
          <w:sz w:val="24"/>
        </w:rPr>
        <w:t>Inštitúcie</w:t>
      </w:r>
      <w:r w:rsidR="004E71F4" w:rsidRPr="00A3389E">
        <w:rPr>
          <w:rFonts w:ascii="Times New Roman" w:hAnsi="Times New Roman"/>
          <w:sz w:val="24"/>
        </w:rPr>
        <w:t xml:space="preserve"> zverejňujú informácie uvedené</w:t>
      </w:r>
      <w:r>
        <w:rPr>
          <w:rFonts w:ascii="Times New Roman" w:hAnsi="Times New Roman"/>
          <w:sz w:val="24"/>
        </w:rPr>
        <w:t xml:space="preserve"> v </w:t>
      </w:r>
      <w:r w:rsidR="004E71F4" w:rsidRPr="00A3389E">
        <w:rPr>
          <w:rFonts w:ascii="Times New Roman" w:hAnsi="Times New Roman"/>
          <w:bCs/>
          <w:sz w:val="24"/>
        </w:rPr>
        <w:t>článku 442 písm. c) CRR podľa pokynov uvedených nižšie</w:t>
      </w:r>
      <w:r>
        <w:rPr>
          <w:rFonts w:ascii="Times New Roman" w:hAnsi="Times New Roman"/>
          <w:bCs/>
          <w:sz w:val="24"/>
        </w:rPr>
        <w:t xml:space="preserve"> s </w:t>
      </w:r>
      <w:r w:rsidR="004E71F4" w:rsidRPr="00A3389E">
        <w:rPr>
          <w:rFonts w:ascii="Times New Roman" w:hAnsi="Times New Roman"/>
          <w:bCs/>
          <w:sz w:val="24"/>
        </w:rPr>
        <w:t>cieľom vyplniť vzor EU CQ1,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172FDD18"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1AC37209" w14:textId="77777777" w:rsidTr="00155C96">
        <w:trPr>
          <w:trHeight w:val="238"/>
        </w:trPr>
        <w:tc>
          <w:tcPr>
            <w:tcW w:w="1384" w:type="dxa"/>
            <w:shd w:val="clear" w:color="auto" w:fill="D9D9D9" w:themeFill="background1" w:themeFillShade="D9"/>
          </w:tcPr>
          <w:p w14:paraId="06ABCCF5"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07E296E5"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16EA0564" w14:textId="77777777" w:rsidTr="00155C96">
        <w:trPr>
          <w:trHeight w:val="935"/>
        </w:trPr>
        <w:tc>
          <w:tcPr>
            <w:tcW w:w="1384" w:type="dxa"/>
          </w:tcPr>
          <w:p w14:paraId="56FA8881" w14:textId="77777777" w:rsidR="004E71F4" w:rsidRPr="00A3389E" w:rsidRDefault="004E71F4" w:rsidP="00155C96">
            <w:pPr>
              <w:pStyle w:val="Applicationdirecte"/>
              <w:spacing w:before="0"/>
            </w:pPr>
            <w:r w:rsidRPr="00A3389E">
              <w:t>005</w:t>
            </w:r>
          </w:p>
        </w:tc>
        <w:tc>
          <w:tcPr>
            <w:tcW w:w="7655" w:type="dxa"/>
          </w:tcPr>
          <w:p w14:paraId="64539068" w14:textId="4C6F4985" w:rsidR="004E71F4" w:rsidRPr="00A3389E" w:rsidRDefault="004E71F4" w:rsidP="00155C96">
            <w:pPr>
              <w:pStyle w:val="Applicationdirecte"/>
              <w:spacing w:before="0"/>
              <w:rPr>
                <w:b/>
              </w:rPr>
            </w:pPr>
            <w:r w:rsidRPr="00A3389E">
              <w:rPr>
                <w:b/>
              </w:rPr>
              <w:t>Pokladničné zostatky</w:t>
            </w:r>
            <w:r w:rsidR="00A3389E">
              <w:rPr>
                <w:b/>
              </w:rPr>
              <w:t xml:space="preserve"> v </w:t>
            </w:r>
            <w:r w:rsidRPr="00A3389E">
              <w:rPr>
                <w:b/>
              </w:rPr>
              <w:t>centrálnych bankách</w:t>
            </w:r>
            <w:r w:rsidR="00A3389E">
              <w:rPr>
                <w:b/>
              </w:rPr>
              <w:t xml:space="preserve"> a </w:t>
            </w:r>
            <w:r w:rsidRPr="00A3389E">
              <w:rPr>
                <w:b/>
              </w:rPr>
              <w:t>ostatné vklady splatné na požiadanie</w:t>
            </w:r>
          </w:p>
          <w:p w14:paraId="74D7D3EC" w14:textId="4C52A32D" w:rsidR="004E71F4" w:rsidRPr="00A3389E" w:rsidRDefault="004E71F4" w:rsidP="00155C96">
            <w:pPr>
              <w:pStyle w:val="Applicationdirecte"/>
              <w:spacing w:before="0"/>
            </w:pPr>
            <w:r w:rsidRPr="00A3389E">
              <w:t>Inštitúcie zverejňujú tieto informácie</w:t>
            </w:r>
            <w:r w:rsidR="00A3389E">
              <w:t xml:space="preserve"> v </w:t>
            </w:r>
            <w:r w:rsidRPr="00A3389E">
              <w:t>súlade</w:t>
            </w:r>
            <w:r w:rsidR="00A3389E">
              <w:t xml:space="preserve"> s </w:t>
            </w:r>
            <w:r w:rsidRPr="00A3389E">
              <w:t>informáciami vykázanými</w:t>
            </w:r>
            <w:r w:rsidR="00A3389E">
              <w:t xml:space="preserve"> v </w:t>
            </w:r>
            <w:r w:rsidRPr="00A3389E">
              <w:t>prílohách III</w:t>
            </w:r>
            <w:r w:rsidR="00A3389E">
              <w:t xml:space="preserve"> a </w:t>
            </w:r>
            <w:r w:rsidRPr="00A3389E">
              <w:t>IV</w:t>
            </w:r>
            <w:r w:rsidR="00A3389E">
              <w:t xml:space="preserve"> k </w:t>
            </w:r>
            <w:r w:rsidRPr="00A3389E">
              <w:t xml:space="preserve">vykonávaciemu nariadeniu Komisie (EÚ) </w:t>
            </w:r>
            <w:r w:rsidR="00A3389E">
              <w:t>č. </w:t>
            </w:r>
            <w:r w:rsidRPr="00A3389E">
              <w:t>680/2014.</w:t>
            </w:r>
          </w:p>
        </w:tc>
      </w:tr>
      <w:tr w:rsidR="004E71F4" w:rsidRPr="00A3389E" w14:paraId="3E70430D" w14:textId="77777777" w:rsidTr="00155C96">
        <w:trPr>
          <w:trHeight w:val="935"/>
        </w:trPr>
        <w:tc>
          <w:tcPr>
            <w:tcW w:w="1384" w:type="dxa"/>
          </w:tcPr>
          <w:p w14:paraId="2ADD7C29" w14:textId="77777777" w:rsidR="004E71F4" w:rsidRPr="00A3389E" w:rsidRDefault="004E71F4" w:rsidP="00155C96">
            <w:pPr>
              <w:pStyle w:val="Applicationdirecte"/>
              <w:spacing w:before="0"/>
            </w:pPr>
            <w:r w:rsidRPr="00A3389E">
              <w:t>010</w:t>
            </w:r>
          </w:p>
        </w:tc>
        <w:tc>
          <w:tcPr>
            <w:tcW w:w="7655" w:type="dxa"/>
          </w:tcPr>
          <w:p w14:paraId="0DF0F888" w14:textId="510F3FED" w:rsidR="004E71F4" w:rsidRPr="00A3389E" w:rsidRDefault="004E71F4" w:rsidP="00155C96">
            <w:pPr>
              <w:pStyle w:val="Applicationdirecte"/>
              <w:spacing w:before="0"/>
              <w:rPr>
                <w:b/>
              </w:rPr>
            </w:pPr>
            <w:r w:rsidRPr="00A3389E">
              <w:rPr>
                <w:b/>
              </w:rPr>
              <w:t>Úvery</w:t>
            </w:r>
            <w:r w:rsidR="00A3389E">
              <w:rPr>
                <w:b/>
              </w:rPr>
              <w:t xml:space="preserve"> a </w:t>
            </w:r>
            <w:r w:rsidRPr="00A3389E">
              <w:rPr>
                <w:b/>
              </w:rPr>
              <w:t>preddavky</w:t>
            </w:r>
          </w:p>
          <w:p w14:paraId="707B1F64" w14:textId="650385FB" w:rsidR="004E71F4" w:rsidRPr="00A3389E" w:rsidRDefault="004E71F4" w:rsidP="00155C96">
            <w:pPr>
              <w:pStyle w:val="Applicationdirecte"/>
              <w:spacing w:before="0"/>
            </w:pPr>
            <w:r w:rsidRPr="00A3389E">
              <w:t>Pozri vymedzenie</w:t>
            </w:r>
            <w:r w:rsidR="00A3389E">
              <w:t xml:space="preserve"> v </w:t>
            </w:r>
            <w:r w:rsidRPr="00A3389E">
              <w:t>EU-CR1: Bezproblémové</w:t>
            </w:r>
            <w:r w:rsidR="00A3389E">
              <w:t xml:space="preserve"> a </w:t>
            </w:r>
            <w:r w:rsidRPr="00A3389E">
              <w:t>problémové expozície</w:t>
            </w:r>
            <w:r w:rsidR="00A3389E">
              <w:t xml:space="preserve"> a </w:t>
            </w:r>
            <w:r w:rsidRPr="00A3389E">
              <w:t>súvisiace rezervy.</w:t>
            </w:r>
          </w:p>
        </w:tc>
      </w:tr>
      <w:tr w:rsidR="004E71F4" w:rsidRPr="00A3389E" w14:paraId="04F37130" w14:textId="77777777" w:rsidTr="00476DE3">
        <w:trPr>
          <w:trHeight w:val="2903"/>
        </w:trPr>
        <w:tc>
          <w:tcPr>
            <w:tcW w:w="1384" w:type="dxa"/>
          </w:tcPr>
          <w:p w14:paraId="73C93026" w14:textId="77777777" w:rsidR="004E71F4" w:rsidRPr="00A3389E" w:rsidRDefault="004E71F4" w:rsidP="00155C96">
            <w:pPr>
              <w:pStyle w:val="Applicationdirecte"/>
              <w:spacing w:before="0"/>
            </w:pPr>
            <w:r w:rsidRPr="00A3389E">
              <w:t>020 – 070</w:t>
            </w:r>
          </w:p>
        </w:tc>
        <w:tc>
          <w:tcPr>
            <w:tcW w:w="7655" w:type="dxa"/>
          </w:tcPr>
          <w:p w14:paraId="08490743" w14:textId="77777777" w:rsidR="004E71F4" w:rsidRPr="00A3389E" w:rsidRDefault="004E71F4" w:rsidP="00155C96">
            <w:pPr>
              <w:pStyle w:val="Applicationdirecte"/>
              <w:spacing w:before="0"/>
              <w:rPr>
                <w:b/>
              </w:rPr>
            </w:pPr>
            <w:r w:rsidRPr="00A3389E">
              <w:rPr>
                <w:b/>
              </w:rPr>
              <w:t>Rozčlenenie protistrán</w:t>
            </w:r>
          </w:p>
          <w:p w14:paraId="74A846B7" w14:textId="68B8968D" w:rsidR="004E71F4" w:rsidRPr="00A3389E" w:rsidRDefault="004E71F4" w:rsidP="00155C96">
            <w:pPr>
              <w:pStyle w:val="Applicationdirecte"/>
              <w:spacing w:before="0"/>
            </w:pPr>
            <w:r w:rsidRPr="00A3389E">
              <w:t>Inštitúcie uplatňujú rozčlenenie podľa protistrán, ako sa vymedzuje</w:t>
            </w:r>
            <w:r w:rsidR="00A3389E">
              <w:t xml:space="preserve"> v </w:t>
            </w:r>
            <w:r w:rsidRPr="00A3389E">
              <w:t>časti 1 odseku 42 prílohy</w:t>
            </w:r>
            <w:r w:rsidR="00A3389E">
              <w:t xml:space="preserve"> V k </w:t>
            </w:r>
            <w:r w:rsidRPr="00A3389E">
              <w:t xml:space="preserve">vykonávaciemu nariadeniu Komisie (EÚ) </w:t>
            </w:r>
            <w:r w:rsidR="00A3389E">
              <w:t>č. </w:t>
            </w:r>
            <w:r w:rsidRPr="00A3389E">
              <w:t>680/2014.</w:t>
            </w:r>
          </w:p>
          <w:p w14:paraId="76ADCF37" w14:textId="22AA4A2F" w:rsidR="004E71F4" w:rsidRPr="00A3389E" w:rsidRDefault="004E71F4" w:rsidP="00155C96">
            <w:pPr>
              <w:pStyle w:val="Fait"/>
              <w:spacing w:before="0" w:after="120"/>
            </w:pPr>
            <w:r w:rsidRPr="00A3389E">
              <w:t>Priradenie sektora protistrany sa zakladá výhradne na povahe bezprostrednej protistrany. Klasifikácia expozícií, ktoré vznikli spoločne viac než jednému dlžníkovi, sa vykonáva na základe vlastností dlžníka, ktorý bol pre rozhodnutie inštitúcie udeliť expozíciu relevantnejší alebo rozhodujúci. Popri iných klasifikáciách musí byť rozdelenie spoločne vzniknutých expozícií podľa sektora protistrany, krajiny sídla</w:t>
            </w:r>
            <w:r w:rsidR="00A3389E">
              <w:t xml:space="preserve"> a </w:t>
            </w:r>
            <w:r w:rsidRPr="00A3389E">
              <w:t>kódu NACE motivované vlastnosťami relevantnejšieho alebo rozhodujúcejšieho dlžníka.</w:t>
            </w:r>
          </w:p>
        </w:tc>
      </w:tr>
      <w:tr w:rsidR="004E71F4" w:rsidRPr="00A3389E" w14:paraId="4649EF46" w14:textId="77777777" w:rsidTr="00155C96">
        <w:trPr>
          <w:trHeight w:val="755"/>
        </w:trPr>
        <w:tc>
          <w:tcPr>
            <w:tcW w:w="1384" w:type="dxa"/>
          </w:tcPr>
          <w:p w14:paraId="0A49E9D3" w14:textId="77777777" w:rsidR="004E71F4" w:rsidRPr="00A3389E" w:rsidRDefault="004E71F4" w:rsidP="00155C96">
            <w:pPr>
              <w:pStyle w:val="Applicationdirecte"/>
              <w:spacing w:before="0"/>
            </w:pPr>
            <w:r w:rsidRPr="00A3389E">
              <w:t>080</w:t>
            </w:r>
          </w:p>
        </w:tc>
        <w:tc>
          <w:tcPr>
            <w:tcW w:w="7655" w:type="dxa"/>
          </w:tcPr>
          <w:p w14:paraId="509BFDA5" w14:textId="77777777" w:rsidR="004E71F4" w:rsidRPr="00A3389E" w:rsidRDefault="004E71F4" w:rsidP="00155C96">
            <w:pPr>
              <w:pStyle w:val="Applicationdirecte"/>
              <w:spacing w:before="0"/>
              <w:rPr>
                <w:b/>
              </w:rPr>
            </w:pPr>
            <w:r w:rsidRPr="00A3389E">
              <w:rPr>
                <w:b/>
              </w:rPr>
              <w:t>Dlhové cenné papiere</w:t>
            </w:r>
          </w:p>
          <w:p w14:paraId="0B5E936A" w14:textId="36C1E09B" w:rsidR="004E71F4" w:rsidRPr="00A3389E" w:rsidRDefault="004E71F4" w:rsidP="00155C96">
            <w:pPr>
              <w:pStyle w:val="Applicationdirecte"/>
              <w:spacing w:before="0"/>
            </w:pPr>
            <w:r w:rsidRPr="00A3389E">
              <w:t>Pozri vymedzenie</w:t>
            </w:r>
            <w:r w:rsidR="00A3389E">
              <w:t xml:space="preserve"> v </w:t>
            </w:r>
            <w:r w:rsidRPr="00A3389E">
              <w:t>EU-CR1: Bezproblémové</w:t>
            </w:r>
            <w:r w:rsidR="00A3389E">
              <w:t xml:space="preserve"> a </w:t>
            </w:r>
            <w:r w:rsidRPr="00A3389E">
              <w:t>problémové expozície</w:t>
            </w:r>
            <w:r w:rsidR="00A3389E">
              <w:t xml:space="preserve"> a </w:t>
            </w:r>
            <w:r w:rsidRPr="00A3389E">
              <w:t>súvisiace rezervy.</w:t>
            </w:r>
          </w:p>
        </w:tc>
      </w:tr>
      <w:tr w:rsidR="004E71F4" w:rsidRPr="00A3389E" w14:paraId="480B47FB" w14:textId="77777777" w:rsidTr="00155C96">
        <w:trPr>
          <w:trHeight w:val="890"/>
        </w:trPr>
        <w:tc>
          <w:tcPr>
            <w:tcW w:w="1384" w:type="dxa"/>
          </w:tcPr>
          <w:p w14:paraId="1D6D18E3" w14:textId="77777777" w:rsidR="004E71F4" w:rsidRPr="00A3389E" w:rsidRDefault="004E71F4" w:rsidP="00155C96">
            <w:pPr>
              <w:pStyle w:val="Applicationdirecte"/>
              <w:spacing w:before="0"/>
            </w:pPr>
            <w:r w:rsidRPr="00A3389E">
              <w:lastRenderedPageBreak/>
              <w:t>090</w:t>
            </w:r>
          </w:p>
        </w:tc>
        <w:tc>
          <w:tcPr>
            <w:tcW w:w="7655" w:type="dxa"/>
          </w:tcPr>
          <w:p w14:paraId="7D6088BD" w14:textId="77777777" w:rsidR="004E71F4" w:rsidRPr="00A3389E" w:rsidRDefault="004E71F4" w:rsidP="00155C96">
            <w:pPr>
              <w:pStyle w:val="Applicationdirecte"/>
              <w:spacing w:before="0"/>
              <w:rPr>
                <w:b/>
              </w:rPr>
            </w:pPr>
            <w:r w:rsidRPr="00A3389E">
              <w:rPr>
                <w:b/>
              </w:rPr>
              <w:t>Poskytnuté úverové prísľuby</w:t>
            </w:r>
          </w:p>
          <w:p w14:paraId="7B6AB76A" w14:textId="6FCD3903" w:rsidR="004E71F4" w:rsidRPr="00A3389E" w:rsidRDefault="004E71F4" w:rsidP="00155C96">
            <w:pPr>
              <w:pStyle w:val="Fait"/>
              <w:spacing w:before="0" w:after="120"/>
            </w:pPr>
            <w:r w:rsidRPr="00A3389E">
              <w:t>Pre poskytnuté úverové prísľuby sa zverejňuje nominálna hodnota, ako sa vymedzuje</w:t>
            </w:r>
            <w:r w:rsidR="00A3389E">
              <w:t xml:space="preserve"> v </w:t>
            </w:r>
            <w:r w:rsidRPr="00A3389E">
              <w:t>časti 2 odseku 118 prílohy</w:t>
            </w:r>
            <w:r w:rsidR="00A3389E">
              <w:t xml:space="preserve"> V k </w:t>
            </w:r>
            <w:r w:rsidRPr="00A3389E">
              <w:t xml:space="preserve">vykonávaciemu nariadeniu Komisie (EÚ) </w:t>
            </w:r>
            <w:r w:rsidR="00A3389E">
              <w:t>č. </w:t>
            </w:r>
            <w:r w:rsidRPr="00A3389E">
              <w:t>680/2014.</w:t>
            </w:r>
          </w:p>
        </w:tc>
      </w:tr>
      <w:tr w:rsidR="004E71F4" w:rsidRPr="00A3389E" w14:paraId="1671CF3F" w14:textId="77777777" w:rsidTr="00155C96">
        <w:trPr>
          <w:trHeight w:val="274"/>
        </w:trPr>
        <w:tc>
          <w:tcPr>
            <w:tcW w:w="1384" w:type="dxa"/>
          </w:tcPr>
          <w:p w14:paraId="73D5465E"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sz w:val="24"/>
              </w:rPr>
              <w:t>100</w:t>
            </w:r>
          </w:p>
        </w:tc>
        <w:tc>
          <w:tcPr>
            <w:tcW w:w="7655" w:type="dxa"/>
          </w:tcPr>
          <w:p w14:paraId="57F96A59"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Spolu</w:t>
            </w:r>
          </w:p>
        </w:tc>
      </w:tr>
    </w:tbl>
    <w:p w14:paraId="2728617B"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0385A523" w14:textId="77777777" w:rsidTr="00155C96">
        <w:trPr>
          <w:trHeight w:val="238"/>
        </w:trPr>
        <w:tc>
          <w:tcPr>
            <w:tcW w:w="9039" w:type="dxa"/>
            <w:gridSpan w:val="2"/>
            <w:shd w:val="clear" w:color="auto" w:fill="D9D9D9" w:themeFill="background1" w:themeFillShade="D9"/>
          </w:tcPr>
          <w:p w14:paraId="53306AFF" w14:textId="0EF31331"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6A006A78" w14:textId="77777777" w:rsidTr="00155C96">
        <w:trPr>
          <w:trHeight w:val="238"/>
        </w:trPr>
        <w:tc>
          <w:tcPr>
            <w:tcW w:w="1384" w:type="dxa"/>
            <w:shd w:val="clear" w:color="auto" w:fill="D9D9D9" w:themeFill="background1" w:themeFillShade="D9"/>
          </w:tcPr>
          <w:p w14:paraId="391CE3CA"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245B9F71"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66D72C9F" w14:textId="77777777" w:rsidTr="00155C96">
        <w:trPr>
          <w:trHeight w:val="841"/>
        </w:trPr>
        <w:tc>
          <w:tcPr>
            <w:tcW w:w="1384" w:type="dxa"/>
          </w:tcPr>
          <w:p w14:paraId="2D01752E" w14:textId="77777777" w:rsidR="004E71F4" w:rsidRPr="00A3389E" w:rsidRDefault="004E71F4" w:rsidP="00155C96">
            <w:pPr>
              <w:pStyle w:val="Applicationdirecte"/>
              <w:spacing w:before="0"/>
            </w:pPr>
            <w:r w:rsidRPr="00A3389E">
              <w:t>a</w:t>
            </w:r>
          </w:p>
        </w:tc>
        <w:tc>
          <w:tcPr>
            <w:tcW w:w="7655" w:type="dxa"/>
          </w:tcPr>
          <w:p w14:paraId="2BF93BA8" w14:textId="1343396B" w:rsidR="004E71F4" w:rsidRPr="00A3389E" w:rsidRDefault="004E71F4" w:rsidP="00155C96">
            <w:pPr>
              <w:pStyle w:val="Fait"/>
              <w:spacing w:before="0" w:after="120"/>
              <w:rPr>
                <w:rFonts w:eastAsiaTheme="minorEastAsia"/>
                <w:b/>
              </w:rPr>
            </w:pPr>
            <w:r w:rsidRPr="00A3389E">
              <w:rPr>
                <w:b/>
              </w:rPr>
              <w:t>Hrubá účtovná hodnota/nominálna hodnota expozícií</w:t>
            </w:r>
            <w:r w:rsidR="00A3389E">
              <w:rPr>
                <w:b/>
              </w:rPr>
              <w:t xml:space="preserve"> s </w:t>
            </w:r>
            <w:r w:rsidRPr="00A3389E">
              <w:rPr>
                <w:b/>
              </w:rPr>
              <w:t>opatreniami týkajúcimi sa úľavy –</w:t>
            </w:r>
            <w:r w:rsidR="00A3389E">
              <w:rPr>
                <w:b/>
              </w:rPr>
              <w:t xml:space="preserve"> z </w:t>
            </w:r>
            <w:r w:rsidRPr="00A3389E">
              <w:rPr>
                <w:b/>
              </w:rPr>
              <w:t>čoho bezproblémové expozície</w:t>
            </w:r>
            <w:r w:rsidR="00A3389E">
              <w:rPr>
                <w:b/>
              </w:rPr>
              <w:t xml:space="preserve"> s </w:t>
            </w:r>
            <w:r w:rsidRPr="00A3389E">
              <w:rPr>
                <w:b/>
              </w:rPr>
              <w:t>úľavou</w:t>
            </w:r>
          </w:p>
          <w:p w14:paraId="13725C9F" w14:textId="443A3779" w:rsidR="004E71F4" w:rsidRPr="00A3389E" w:rsidRDefault="004E71F4" w:rsidP="00155C96">
            <w:pPr>
              <w:pStyle w:val="Institutionquisigne"/>
              <w:spacing w:before="0" w:after="120"/>
            </w:pPr>
            <w:r w:rsidRPr="00A3389E">
              <w:rPr>
                <w:i w:val="0"/>
              </w:rPr>
              <w:t>Hrubá účtovná hodnota, ako sa vymedzuje</w:t>
            </w:r>
            <w:r w:rsidR="00A3389E">
              <w:rPr>
                <w:i w:val="0"/>
              </w:rPr>
              <w:t xml:space="preserve"> v </w:t>
            </w:r>
            <w:r w:rsidRPr="00A3389E">
              <w:rPr>
                <w:i w:val="0"/>
              </w:rPr>
              <w:t>časti 1 odseku 34 prílohy</w:t>
            </w:r>
            <w:r w:rsidR="00A3389E">
              <w:rPr>
                <w:i w:val="0"/>
              </w:rPr>
              <w:t xml:space="preserve"> V k </w:t>
            </w:r>
            <w:r w:rsidRPr="00A3389E">
              <w:rPr>
                <w:i w:val="0"/>
              </w:rPr>
              <w:t xml:space="preserve">vykonávaciemu nariadeniu Komisie (EÚ) </w:t>
            </w:r>
            <w:r w:rsidR="00A3389E">
              <w:rPr>
                <w:i w:val="0"/>
              </w:rPr>
              <w:t>č. </w:t>
            </w:r>
            <w:r w:rsidRPr="00A3389E">
              <w:rPr>
                <w:i w:val="0"/>
              </w:rPr>
              <w:t>680/2014; nominálna hodnota, ako sa vymedzuje</w:t>
            </w:r>
            <w:r w:rsidR="00A3389E">
              <w:rPr>
                <w:i w:val="0"/>
              </w:rPr>
              <w:t xml:space="preserve"> v </w:t>
            </w:r>
            <w:r w:rsidRPr="00A3389E">
              <w:rPr>
                <w:i w:val="0"/>
              </w:rPr>
              <w:t>časti 2 odseku 118 prílohy</w:t>
            </w:r>
            <w:r w:rsidR="00A3389E">
              <w:rPr>
                <w:i w:val="0"/>
              </w:rPr>
              <w:t xml:space="preserve"> V k </w:t>
            </w:r>
            <w:r w:rsidRPr="00A3389E">
              <w:rPr>
                <w:i w:val="0"/>
              </w:rPr>
              <w:t xml:space="preserve">vykonávaciemu nariadeniu Komisie (EÚ) </w:t>
            </w:r>
            <w:r w:rsidR="00A3389E">
              <w:rPr>
                <w:i w:val="0"/>
              </w:rPr>
              <w:t>č. </w:t>
            </w:r>
            <w:r w:rsidRPr="00A3389E">
              <w:rPr>
                <w:i w:val="0"/>
              </w:rPr>
              <w:t>680/2014; expozície</w:t>
            </w:r>
            <w:r w:rsidR="00A3389E">
              <w:rPr>
                <w:i w:val="0"/>
              </w:rPr>
              <w:t xml:space="preserve"> s </w:t>
            </w:r>
            <w:r w:rsidRPr="00A3389E">
              <w:rPr>
                <w:i w:val="0"/>
              </w:rPr>
              <w:t>opatreniami týkajúcimi sa úľavy</w:t>
            </w:r>
            <w:r w:rsidR="00A3389E">
              <w:rPr>
                <w:i w:val="0"/>
              </w:rPr>
              <w:t xml:space="preserve"> v </w:t>
            </w:r>
            <w:r w:rsidRPr="00A3389E">
              <w:rPr>
                <w:i w:val="0"/>
              </w:rPr>
              <w:t>zmysle vymedzenia</w:t>
            </w:r>
            <w:r w:rsidR="00A3389E">
              <w:rPr>
                <w:i w:val="0"/>
              </w:rPr>
              <w:t xml:space="preserve"> v </w:t>
            </w:r>
            <w:r w:rsidRPr="00A3389E">
              <w:rPr>
                <w:i w:val="0"/>
              </w:rPr>
              <w:t>článku 47b CRR.</w:t>
            </w:r>
          </w:p>
          <w:p w14:paraId="25580945" w14:textId="4B974BCF" w:rsidR="004E71F4" w:rsidRPr="00A3389E" w:rsidRDefault="004E71F4" w:rsidP="00155C96">
            <w:pPr>
              <w:pStyle w:val="Fait"/>
              <w:spacing w:before="0" w:after="120"/>
            </w:pPr>
            <w:r w:rsidRPr="00A3389E">
              <w:t>Hrubá účtovná hodnota súvisiaca</w:t>
            </w:r>
            <w:r w:rsidR="00A3389E">
              <w:t xml:space="preserve"> s </w:t>
            </w:r>
            <w:r w:rsidRPr="00A3389E">
              <w:t>expozíciami, ktoré podliehajú zníženiu hodnoty, je po odpočítaní akumulovaného čiastočného</w:t>
            </w:r>
            <w:r w:rsidR="00A3389E">
              <w:t xml:space="preserve"> a </w:t>
            </w:r>
            <w:r w:rsidRPr="00A3389E">
              <w:t>celkového odpisu.</w:t>
            </w:r>
          </w:p>
          <w:p w14:paraId="3D6856D0" w14:textId="676F3181" w:rsidR="004E71F4" w:rsidRPr="00A3389E" w:rsidRDefault="004E71F4" w:rsidP="00155C96">
            <w:pPr>
              <w:pStyle w:val="Institutionquisigne"/>
              <w:spacing w:before="0" w:after="120"/>
              <w:rPr>
                <w:rFonts w:eastAsiaTheme="minorEastAsia"/>
                <w:i w:val="0"/>
              </w:rPr>
            </w:pPr>
            <w:r w:rsidRPr="00A3389E">
              <w:rPr>
                <w:i w:val="0"/>
              </w:rPr>
              <w:t>V závislosti od toho, či expozície</w:t>
            </w:r>
            <w:r w:rsidR="00A3389E">
              <w:rPr>
                <w:i w:val="0"/>
              </w:rPr>
              <w:t xml:space="preserve"> s </w:t>
            </w:r>
            <w:r w:rsidRPr="00A3389E">
              <w:rPr>
                <w:i w:val="0"/>
              </w:rPr>
              <w:t>úľavou spĺňajú požadované podmienky stanovené</w:t>
            </w:r>
            <w:r w:rsidR="00A3389E">
              <w:rPr>
                <w:i w:val="0"/>
              </w:rPr>
              <w:t xml:space="preserve"> v </w:t>
            </w:r>
            <w:r w:rsidRPr="00A3389E">
              <w:rPr>
                <w:i w:val="0"/>
              </w:rPr>
              <w:t>článku 47a CRR, môžu byť označené za bezproblémové alebo problémové.</w:t>
            </w:r>
          </w:p>
        </w:tc>
      </w:tr>
      <w:tr w:rsidR="004E71F4" w:rsidRPr="00A3389E" w14:paraId="0D7DFE39" w14:textId="77777777" w:rsidTr="00155C96">
        <w:trPr>
          <w:trHeight w:val="841"/>
        </w:trPr>
        <w:tc>
          <w:tcPr>
            <w:tcW w:w="1384" w:type="dxa"/>
          </w:tcPr>
          <w:p w14:paraId="67D7BF67" w14:textId="77777777" w:rsidR="004E71F4" w:rsidRPr="00A3389E" w:rsidRDefault="004E71F4" w:rsidP="00155C96">
            <w:pPr>
              <w:pStyle w:val="Applicationdirecte"/>
              <w:spacing w:before="0"/>
            </w:pPr>
            <w:r w:rsidRPr="00A3389E">
              <w:t>b</w:t>
            </w:r>
          </w:p>
        </w:tc>
        <w:tc>
          <w:tcPr>
            <w:tcW w:w="7655" w:type="dxa"/>
          </w:tcPr>
          <w:p w14:paraId="5AD6C4FB" w14:textId="0012D7B9" w:rsidR="004E71F4" w:rsidRPr="00A3389E" w:rsidRDefault="004E71F4" w:rsidP="00155C96">
            <w:pPr>
              <w:pStyle w:val="Fait"/>
              <w:spacing w:before="0" w:after="120"/>
              <w:rPr>
                <w:rFonts w:eastAsiaTheme="minorEastAsia"/>
                <w:b/>
              </w:rPr>
            </w:pPr>
            <w:r w:rsidRPr="00A3389E">
              <w:rPr>
                <w:b/>
              </w:rPr>
              <w:t>Hrubá účtovná hodnota/nominálna hodnota expozícií</w:t>
            </w:r>
            <w:r w:rsidR="00A3389E">
              <w:rPr>
                <w:b/>
              </w:rPr>
              <w:t xml:space="preserve"> s </w:t>
            </w:r>
            <w:r w:rsidRPr="00A3389E">
              <w:rPr>
                <w:b/>
              </w:rPr>
              <w:t>opatreniami týkajúcimi sa úľavy –</w:t>
            </w:r>
            <w:r w:rsidR="00A3389E">
              <w:rPr>
                <w:b/>
              </w:rPr>
              <w:t xml:space="preserve"> z </w:t>
            </w:r>
            <w:r w:rsidRPr="00A3389E">
              <w:rPr>
                <w:b/>
              </w:rPr>
              <w:t>čoho problémové expozície</w:t>
            </w:r>
            <w:r w:rsidR="00A3389E">
              <w:rPr>
                <w:b/>
              </w:rPr>
              <w:t xml:space="preserve"> s </w:t>
            </w:r>
            <w:r w:rsidRPr="00A3389E">
              <w:rPr>
                <w:b/>
              </w:rPr>
              <w:t>úľavou</w:t>
            </w:r>
          </w:p>
          <w:p w14:paraId="7C4FC6F8" w14:textId="355B96DB" w:rsidR="004E71F4" w:rsidRPr="00A3389E" w:rsidRDefault="004E71F4" w:rsidP="00155C96">
            <w:pPr>
              <w:pStyle w:val="Institutionquisigne"/>
              <w:spacing w:before="0" w:after="120"/>
              <w:rPr>
                <w:i w:val="0"/>
              </w:rPr>
            </w:pPr>
            <w:r w:rsidRPr="00A3389E">
              <w:rPr>
                <w:i w:val="0"/>
              </w:rPr>
              <w:t>Hrubá účtovná hodnota, ako sa vymedzuje</w:t>
            </w:r>
            <w:r w:rsidR="00A3389E">
              <w:rPr>
                <w:i w:val="0"/>
              </w:rPr>
              <w:t xml:space="preserve"> v </w:t>
            </w:r>
            <w:r w:rsidRPr="00A3389E">
              <w:rPr>
                <w:i w:val="0"/>
              </w:rPr>
              <w:t>časti 1 odseku 34 prílohy</w:t>
            </w:r>
            <w:r w:rsidR="00A3389E">
              <w:rPr>
                <w:i w:val="0"/>
              </w:rPr>
              <w:t xml:space="preserve"> V k </w:t>
            </w:r>
            <w:r w:rsidRPr="00A3389E">
              <w:rPr>
                <w:i w:val="0"/>
              </w:rPr>
              <w:t xml:space="preserve">vykonávaciemu nariadeniu Komisie (EÚ) </w:t>
            </w:r>
            <w:r w:rsidR="00A3389E">
              <w:rPr>
                <w:i w:val="0"/>
              </w:rPr>
              <w:t>č. </w:t>
            </w:r>
            <w:r w:rsidRPr="00A3389E">
              <w:rPr>
                <w:i w:val="0"/>
              </w:rPr>
              <w:t>680/2014; nominálna hodnota, ako sa vymedzuje</w:t>
            </w:r>
            <w:r w:rsidR="00A3389E">
              <w:rPr>
                <w:i w:val="0"/>
              </w:rPr>
              <w:t xml:space="preserve"> v </w:t>
            </w:r>
            <w:r w:rsidRPr="00A3389E">
              <w:rPr>
                <w:i w:val="0"/>
              </w:rPr>
              <w:t>časti 2 odseku 118 prílohy</w:t>
            </w:r>
            <w:r w:rsidR="00A3389E">
              <w:rPr>
                <w:i w:val="0"/>
              </w:rPr>
              <w:t xml:space="preserve"> V k </w:t>
            </w:r>
            <w:r w:rsidRPr="00A3389E">
              <w:rPr>
                <w:i w:val="0"/>
              </w:rPr>
              <w:t xml:space="preserve">vykonávaciemu nariadeniu Komisie (EÚ) </w:t>
            </w:r>
            <w:r w:rsidR="00A3389E">
              <w:rPr>
                <w:i w:val="0"/>
              </w:rPr>
              <w:t>č. </w:t>
            </w:r>
            <w:r w:rsidRPr="00A3389E">
              <w:rPr>
                <w:i w:val="0"/>
              </w:rPr>
              <w:t>680/2014.</w:t>
            </w:r>
          </w:p>
          <w:p w14:paraId="1B91069E" w14:textId="7C4D0DCE" w:rsidR="004E71F4" w:rsidRPr="00A3389E" w:rsidRDefault="004E71F4" w:rsidP="00155C96">
            <w:pPr>
              <w:pStyle w:val="Fait"/>
              <w:spacing w:before="0" w:after="120"/>
            </w:pPr>
            <w:r w:rsidRPr="00A3389E">
              <w:t>Hrubá účtovná hodnota súvisiaca</w:t>
            </w:r>
            <w:r w:rsidR="00A3389E">
              <w:t xml:space="preserve"> s </w:t>
            </w:r>
            <w:r w:rsidRPr="00A3389E">
              <w:t>expozíciami, ktoré podliehajú zníženiu hodnoty, je po odpočítaní akumulovaného čiastočného</w:t>
            </w:r>
            <w:r w:rsidR="00A3389E">
              <w:t xml:space="preserve"> a </w:t>
            </w:r>
            <w:r w:rsidRPr="00A3389E">
              <w:t>celkového odpisu.</w:t>
            </w:r>
          </w:p>
          <w:p w14:paraId="25B78BE1" w14:textId="5E0C0C6E" w:rsidR="004E71F4" w:rsidRPr="00A3389E" w:rsidRDefault="004E71F4" w:rsidP="00155C96">
            <w:pPr>
              <w:pStyle w:val="Fait"/>
              <w:spacing w:before="0" w:after="120"/>
            </w:pPr>
            <w:r w:rsidRPr="00A3389E">
              <w:t>Problémové expozície</w:t>
            </w:r>
            <w:r w:rsidR="00A3389E">
              <w:t xml:space="preserve"> s </w:t>
            </w:r>
            <w:r w:rsidRPr="00A3389E">
              <w:t>opatreniami týkajúcimi sa úľavy (problémové expozície</w:t>
            </w:r>
            <w:r w:rsidR="00A3389E">
              <w:t xml:space="preserve"> s </w:t>
            </w:r>
            <w:r w:rsidRPr="00A3389E">
              <w:t>úľavou) pozostávajú</w:t>
            </w:r>
            <w:r w:rsidR="00A3389E">
              <w:t xml:space="preserve"> z </w:t>
            </w:r>
            <w:r w:rsidRPr="00A3389E">
              <w:t>expozícií</w:t>
            </w:r>
            <w:r w:rsidR="00A3389E">
              <w:t xml:space="preserve"> s </w:t>
            </w:r>
            <w:r w:rsidRPr="00A3389E">
              <w:t>úľavou, ktoré spĺňajú kritériá na klasifikáciu ako problémové</w:t>
            </w:r>
            <w:r w:rsidR="00A3389E">
              <w:t xml:space="preserve"> a </w:t>
            </w:r>
            <w:r w:rsidRPr="00A3389E">
              <w:t>ktoré sú zahrnuté do kategórie problémových expozícií. Medzi uvedené problémové expozície</w:t>
            </w:r>
            <w:r w:rsidR="00A3389E">
              <w:t xml:space="preserve"> s </w:t>
            </w:r>
            <w:r w:rsidRPr="00A3389E">
              <w:t>úľavou majú patriť: a) expozície, ktoré sa stali problémovými</w:t>
            </w:r>
            <w:r w:rsidR="00A3389E">
              <w:t xml:space="preserve"> v </w:t>
            </w:r>
            <w:r w:rsidRPr="00A3389E">
              <w:t>dôsledku uplatnenia opatrení týkajúcich sa úľavy; b) expozície, ktoré boli problémové pred predĺžením opatrení týkajúcich sa úľavy; c) expozície</w:t>
            </w:r>
            <w:r w:rsidR="00A3389E">
              <w:t xml:space="preserve"> s </w:t>
            </w:r>
            <w:r w:rsidRPr="00A3389E">
              <w:t>úľavou, ktoré boli reklasifikované</w:t>
            </w:r>
            <w:r w:rsidR="00A3389E">
              <w:t xml:space="preserve"> z </w:t>
            </w:r>
            <w:r w:rsidRPr="00A3389E">
              <w:t>kategórie bezproblémových expozícií,</w:t>
            </w:r>
            <w:r w:rsidR="00A3389E">
              <w:t xml:space="preserve"> a </w:t>
            </w:r>
            <w:r w:rsidRPr="00A3389E">
              <w:t>to vrátane expozícií reklasifikovaných podľa článku 47a CRR.</w:t>
            </w:r>
          </w:p>
        </w:tc>
      </w:tr>
      <w:tr w:rsidR="004E71F4" w:rsidRPr="00A3389E" w14:paraId="417D461F" w14:textId="77777777" w:rsidTr="00155C96">
        <w:trPr>
          <w:trHeight w:val="841"/>
        </w:trPr>
        <w:tc>
          <w:tcPr>
            <w:tcW w:w="1384" w:type="dxa"/>
          </w:tcPr>
          <w:p w14:paraId="358E8F20" w14:textId="77777777" w:rsidR="004E71F4" w:rsidRPr="00A3389E" w:rsidRDefault="004E71F4" w:rsidP="00155C96">
            <w:pPr>
              <w:pStyle w:val="Applicationdirecte"/>
              <w:spacing w:before="0"/>
            </w:pPr>
            <w:r w:rsidRPr="00A3389E">
              <w:t>c</w:t>
            </w:r>
          </w:p>
        </w:tc>
        <w:tc>
          <w:tcPr>
            <w:tcW w:w="7655" w:type="dxa"/>
          </w:tcPr>
          <w:p w14:paraId="39157DDD" w14:textId="527CFB04" w:rsidR="004E71F4" w:rsidRPr="00A3389E" w:rsidRDefault="004E71F4" w:rsidP="00155C96">
            <w:pPr>
              <w:pStyle w:val="Fait"/>
              <w:spacing w:before="0" w:after="120"/>
              <w:ind w:left="720"/>
              <w:rPr>
                <w:rFonts w:eastAsiaTheme="minorEastAsia"/>
                <w:b/>
              </w:rPr>
            </w:pPr>
            <w:r w:rsidRPr="00A3389E">
              <w:rPr>
                <w:b/>
              </w:rPr>
              <w:t>Z čoho</w:t>
            </w:r>
            <w:r w:rsidR="00A3389E">
              <w:rPr>
                <w:b/>
              </w:rPr>
              <w:t xml:space="preserve"> v </w:t>
            </w:r>
            <w:r w:rsidRPr="00A3389E">
              <w:rPr>
                <w:b/>
              </w:rPr>
              <w:t>stave zlyhania</w:t>
            </w:r>
          </w:p>
          <w:p w14:paraId="088A6CD1" w14:textId="18E62A00" w:rsidR="004E71F4" w:rsidRPr="00A3389E" w:rsidRDefault="004E71F4" w:rsidP="00155C96">
            <w:pPr>
              <w:pStyle w:val="Fait"/>
              <w:spacing w:before="0" w:after="120"/>
              <w:rPr>
                <w:rFonts w:eastAsiaTheme="minorEastAsia"/>
              </w:rPr>
            </w:pPr>
            <w:r w:rsidRPr="00A3389E">
              <w:t>Expozície</w:t>
            </w:r>
            <w:r w:rsidR="00A3389E">
              <w:t xml:space="preserve"> s </w:t>
            </w:r>
            <w:r w:rsidRPr="00A3389E">
              <w:t>úľavou, ktoré sú zároveň klasifikované ako expozície</w:t>
            </w:r>
            <w:r w:rsidR="00A3389E">
              <w:t xml:space="preserve"> v </w:t>
            </w:r>
            <w:r w:rsidRPr="00A3389E">
              <w:t>stave zlyhania</w:t>
            </w:r>
            <w:r w:rsidR="00A3389E">
              <w:t xml:space="preserve"> v </w:t>
            </w:r>
            <w:r w:rsidRPr="00A3389E">
              <w:t>súlade</w:t>
            </w:r>
            <w:r w:rsidR="00A3389E">
              <w:t xml:space="preserve"> s </w:t>
            </w:r>
            <w:r w:rsidRPr="00A3389E">
              <w:t>článkom 178 CRR.</w:t>
            </w:r>
          </w:p>
        </w:tc>
      </w:tr>
      <w:tr w:rsidR="004E71F4" w:rsidRPr="00A3389E" w14:paraId="26DC2509" w14:textId="77777777" w:rsidTr="00155C96">
        <w:trPr>
          <w:trHeight w:val="841"/>
        </w:trPr>
        <w:tc>
          <w:tcPr>
            <w:tcW w:w="1384" w:type="dxa"/>
          </w:tcPr>
          <w:p w14:paraId="7DF7F5F0" w14:textId="77777777" w:rsidR="004E71F4" w:rsidRPr="00A3389E" w:rsidRDefault="004E71F4" w:rsidP="00155C96">
            <w:pPr>
              <w:pStyle w:val="Applicationdirecte"/>
              <w:spacing w:before="0"/>
            </w:pPr>
            <w:r w:rsidRPr="00A3389E">
              <w:lastRenderedPageBreak/>
              <w:t>d</w:t>
            </w:r>
          </w:p>
        </w:tc>
        <w:tc>
          <w:tcPr>
            <w:tcW w:w="7655" w:type="dxa"/>
          </w:tcPr>
          <w:p w14:paraId="2CA300DC" w14:textId="77777777" w:rsidR="004E71F4" w:rsidRPr="00A3389E" w:rsidRDefault="004E71F4" w:rsidP="00155C96">
            <w:pPr>
              <w:pStyle w:val="Fait"/>
              <w:spacing w:before="0" w:after="120"/>
              <w:ind w:left="720"/>
              <w:rPr>
                <w:rFonts w:eastAsiaTheme="minorEastAsia"/>
                <w:b/>
              </w:rPr>
            </w:pPr>
            <w:r w:rsidRPr="00A3389E">
              <w:rPr>
                <w:b/>
              </w:rPr>
              <w:t>Z čoho so zníženou hodnotou</w:t>
            </w:r>
          </w:p>
          <w:p w14:paraId="0464B764" w14:textId="2FB054BC" w:rsidR="004E71F4" w:rsidRPr="00A3389E" w:rsidRDefault="004E71F4" w:rsidP="00155C96">
            <w:pPr>
              <w:pStyle w:val="Fait"/>
              <w:spacing w:before="0" w:after="120"/>
              <w:rPr>
                <w:rFonts w:eastAsiaTheme="minorEastAsia"/>
              </w:rPr>
            </w:pPr>
            <w:r w:rsidRPr="00A3389E">
              <w:t>Expozície</w:t>
            </w:r>
            <w:r w:rsidR="00A3389E">
              <w:t xml:space="preserve"> s </w:t>
            </w:r>
            <w:r w:rsidRPr="00A3389E">
              <w:t>úľavou, ktoré sú zároveň zníženej hodnoty</w:t>
            </w:r>
            <w:r w:rsidR="00A3389E">
              <w:t xml:space="preserve"> v </w:t>
            </w:r>
            <w:r w:rsidRPr="00A3389E">
              <w:t>súlade</w:t>
            </w:r>
            <w:r w:rsidR="00A3389E">
              <w:t xml:space="preserve"> s </w:t>
            </w:r>
            <w:r w:rsidRPr="00A3389E">
              <w:t>uplatniteľným účtovným rámcom podľa časti 2 odseku 215 prílohy</w:t>
            </w:r>
            <w:r w:rsidR="00A3389E">
              <w:t xml:space="preserve"> V k </w:t>
            </w:r>
            <w:r w:rsidRPr="00A3389E">
              <w:t xml:space="preserve">vykonávaciemu nariadeniu Komisie (EÚ) </w:t>
            </w:r>
            <w:r w:rsidR="00A3389E">
              <w:t>č. </w:t>
            </w:r>
            <w:r w:rsidRPr="00A3389E">
              <w:t>680/2014.</w:t>
            </w:r>
          </w:p>
        </w:tc>
      </w:tr>
      <w:tr w:rsidR="004E71F4" w:rsidRPr="00A3389E" w14:paraId="39E2CA79" w14:textId="77777777" w:rsidTr="00155C96">
        <w:trPr>
          <w:trHeight w:val="841"/>
        </w:trPr>
        <w:tc>
          <w:tcPr>
            <w:tcW w:w="1384" w:type="dxa"/>
          </w:tcPr>
          <w:p w14:paraId="66859C77" w14:textId="77777777" w:rsidR="004E71F4" w:rsidRPr="00A3389E" w:rsidRDefault="004E71F4" w:rsidP="00155C96">
            <w:pPr>
              <w:pStyle w:val="Applicationdirecte"/>
              <w:spacing w:before="0"/>
            </w:pPr>
            <w:r w:rsidRPr="00A3389E">
              <w:t>e</w:t>
            </w:r>
          </w:p>
        </w:tc>
        <w:tc>
          <w:tcPr>
            <w:tcW w:w="7655" w:type="dxa"/>
          </w:tcPr>
          <w:p w14:paraId="2ED06509" w14:textId="03C508FB"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Akumulované zníženia hodnoty, akumulované záporné zmeny reálnej hodnoty</w:t>
            </w:r>
            <w:r w:rsidR="00A3389E">
              <w:rPr>
                <w:rFonts w:ascii="Times New Roman" w:hAnsi="Times New Roman" w:cs="Times New Roman"/>
                <w:b/>
                <w:sz w:val="24"/>
              </w:rPr>
              <w:t xml:space="preserve"> z </w:t>
            </w:r>
            <w:r w:rsidRPr="00A3389E">
              <w:rPr>
                <w:rFonts w:ascii="Times New Roman" w:hAnsi="Times New Roman" w:cs="Times New Roman"/>
                <w:b/>
                <w:sz w:val="24"/>
              </w:rPr>
              <w:t>dôvodu kreditného rizika</w:t>
            </w:r>
            <w:r w:rsidR="00A3389E">
              <w:rPr>
                <w:rFonts w:ascii="Times New Roman" w:hAnsi="Times New Roman" w:cs="Times New Roman"/>
                <w:b/>
                <w:sz w:val="24"/>
              </w:rPr>
              <w:t xml:space="preserve"> a </w:t>
            </w:r>
            <w:r w:rsidRPr="00A3389E">
              <w:rPr>
                <w:rFonts w:ascii="Times New Roman" w:hAnsi="Times New Roman" w:cs="Times New Roman"/>
                <w:b/>
                <w:sz w:val="24"/>
              </w:rPr>
              <w:t>rezervy bezproblémových expozícií</w:t>
            </w:r>
            <w:r w:rsidR="00A3389E">
              <w:rPr>
                <w:rFonts w:ascii="Times New Roman" w:hAnsi="Times New Roman" w:cs="Times New Roman"/>
                <w:b/>
                <w:sz w:val="24"/>
              </w:rPr>
              <w:t xml:space="preserve"> s </w:t>
            </w:r>
            <w:r w:rsidRPr="00A3389E">
              <w:rPr>
                <w:rFonts w:ascii="Times New Roman" w:hAnsi="Times New Roman" w:cs="Times New Roman"/>
                <w:b/>
                <w:sz w:val="24"/>
              </w:rPr>
              <w:t>úľavou</w:t>
            </w:r>
          </w:p>
          <w:p w14:paraId="313B8ACA" w14:textId="7EAA2368" w:rsidR="00A3389E" w:rsidRPr="00A3389E" w:rsidRDefault="004E71F4" w:rsidP="00155C96">
            <w:pPr>
              <w:pStyle w:val="Fait"/>
              <w:spacing w:before="0" w:after="120"/>
            </w:pPr>
            <w:r w:rsidRPr="00A3389E">
              <w:t>Expozície</w:t>
            </w:r>
            <w:r w:rsidR="00A3389E">
              <w:t xml:space="preserve"> s </w:t>
            </w:r>
            <w:r w:rsidRPr="00A3389E">
              <w:t>opatreniami týkajúcimi sa úľavy</w:t>
            </w:r>
            <w:r w:rsidR="00A3389E">
              <w:t xml:space="preserve"> v </w:t>
            </w:r>
            <w:r w:rsidRPr="00A3389E">
              <w:t>zmysle vymedzenia</w:t>
            </w:r>
            <w:r w:rsidR="00A3389E">
              <w:t xml:space="preserve"> v </w:t>
            </w:r>
            <w:r w:rsidRPr="00A3389E">
              <w:t>článku 47b CRR</w:t>
            </w:r>
            <w:r w:rsidR="00A3389E" w:rsidRPr="00A3389E">
              <w:t>.</w:t>
            </w:r>
          </w:p>
          <w:p w14:paraId="01AB5B78" w14:textId="5A815BD4" w:rsidR="004E71F4" w:rsidRPr="00A3389E" w:rsidRDefault="004E71F4" w:rsidP="00155C96">
            <w:pPr>
              <w:pStyle w:val="Fait"/>
              <w:spacing w:before="0" w:after="120"/>
            </w:pPr>
            <w:r w:rsidRPr="00A3389E">
              <w:t>Inštitúcie zahŕňajú sumy určené</w:t>
            </w:r>
            <w:r w:rsidR="00A3389E">
              <w:t xml:space="preserve"> v </w:t>
            </w:r>
            <w:r w:rsidRPr="00A3389E">
              <w:t>súlade</w:t>
            </w:r>
            <w:r w:rsidR="00A3389E">
              <w:t xml:space="preserve"> s </w:t>
            </w:r>
            <w:r w:rsidRPr="00A3389E">
              <w:t>časťou 2 odsekmi 11, 69 až 71, 106</w:t>
            </w:r>
            <w:r w:rsidR="00A3389E">
              <w:t xml:space="preserve"> a </w:t>
            </w:r>
            <w:r w:rsidRPr="00A3389E">
              <w:t>110 prílohy</w:t>
            </w:r>
            <w:r w:rsidR="00A3389E">
              <w:t xml:space="preserve"> V k </w:t>
            </w:r>
            <w:r w:rsidRPr="00A3389E">
              <w:t xml:space="preserve">vykonávaciemu nariadeniu Komisie (EÚ) </w:t>
            </w:r>
            <w:r w:rsidR="00A3389E">
              <w:t>č. </w:t>
            </w:r>
            <w:r w:rsidRPr="00A3389E">
              <w:t>680/2014.</w:t>
            </w:r>
          </w:p>
          <w:p w14:paraId="25E0BDEC" w14:textId="0C656965" w:rsidR="004E71F4" w:rsidRPr="00A3389E" w:rsidRDefault="004E71F4" w:rsidP="00155C96">
            <w:pPr>
              <w:pStyle w:val="Fait"/>
              <w:spacing w:before="0" w:after="120"/>
              <w:rPr>
                <w:rFonts w:eastAsiaTheme="minorEastAsia"/>
              </w:rPr>
            </w:pPr>
            <w:r w:rsidRPr="00A3389E">
              <w:t>V závislosti od toho, či expozície</w:t>
            </w:r>
            <w:r w:rsidR="00A3389E">
              <w:t xml:space="preserve"> s </w:t>
            </w:r>
            <w:r w:rsidRPr="00A3389E">
              <w:t>úľavou spĺňajú požadované podmienky stanovené</w:t>
            </w:r>
            <w:r w:rsidR="00A3389E">
              <w:t xml:space="preserve"> v </w:t>
            </w:r>
            <w:r w:rsidRPr="00A3389E">
              <w:t>článku 47a</w:t>
            </w:r>
            <w:r w:rsidR="00A3389E">
              <w:t xml:space="preserve"> a </w:t>
            </w:r>
            <w:r w:rsidRPr="00A3389E">
              <w:t>článku 47b CRR, môžu byť označené za bezproblémové alebo problémové.</w:t>
            </w:r>
          </w:p>
        </w:tc>
      </w:tr>
      <w:tr w:rsidR="004E71F4" w:rsidRPr="00A3389E" w14:paraId="0D46FDFB" w14:textId="77777777" w:rsidTr="00155C96">
        <w:trPr>
          <w:trHeight w:val="841"/>
        </w:trPr>
        <w:tc>
          <w:tcPr>
            <w:tcW w:w="1384" w:type="dxa"/>
          </w:tcPr>
          <w:p w14:paraId="4C7E563A" w14:textId="77777777" w:rsidR="004E71F4" w:rsidRPr="00A3389E" w:rsidRDefault="004E71F4" w:rsidP="00155C96">
            <w:pPr>
              <w:pStyle w:val="Applicationdirecte"/>
              <w:spacing w:before="0"/>
            </w:pPr>
            <w:r w:rsidRPr="00A3389E">
              <w:t>f</w:t>
            </w:r>
          </w:p>
        </w:tc>
        <w:tc>
          <w:tcPr>
            <w:tcW w:w="7655" w:type="dxa"/>
          </w:tcPr>
          <w:p w14:paraId="25BED9D8" w14:textId="04E22BC6"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Akumulované zníženia hodnoty, akumulované záporné zmeny reálnej hodnoty</w:t>
            </w:r>
            <w:r w:rsidR="00A3389E">
              <w:rPr>
                <w:rFonts w:ascii="Times New Roman" w:hAnsi="Times New Roman" w:cs="Times New Roman"/>
                <w:b/>
                <w:sz w:val="24"/>
              </w:rPr>
              <w:t xml:space="preserve"> z </w:t>
            </w:r>
            <w:r w:rsidRPr="00A3389E">
              <w:rPr>
                <w:rFonts w:ascii="Times New Roman" w:hAnsi="Times New Roman" w:cs="Times New Roman"/>
                <w:b/>
                <w:sz w:val="24"/>
              </w:rPr>
              <w:t>dôvodu kreditného rizika</w:t>
            </w:r>
            <w:r w:rsidR="00A3389E">
              <w:rPr>
                <w:rFonts w:ascii="Times New Roman" w:hAnsi="Times New Roman" w:cs="Times New Roman"/>
                <w:b/>
                <w:sz w:val="24"/>
              </w:rPr>
              <w:t xml:space="preserve"> a </w:t>
            </w:r>
            <w:r w:rsidRPr="00A3389E">
              <w:rPr>
                <w:rFonts w:ascii="Times New Roman" w:hAnsi="Times New Roman" w:cs="Times New Roman"/>
                <w:b/>
                <w:sz w:val="24"/>
              </w:rPr>
              <w:t>rezervy problémových expozícií</w:t>
            </w:r>
            <w:r w:rsidR="00A3389E">
              <w:rPr>
                <w:rFonts w:ascii="Times New Roman" w:hAnsi="Times New Roman" w:cs="Times New Roman"/>
                <w:b/>
                <w:sz w:val="24"/>
              </w:rPr>
              <w:t xml:space="preserve"> s </w:t>
            </w:r>
            <w:r w:rsidRPr="00A3389E">
              <w:rPr>
                <w:rFonts w:ascii="Times New Roman" w:hAnsi="Times New Roman" w:cs="Times New Roman"/>
                <w:b/>
                <w:sz w:val="24"/>
              </w:rPr>
              <w:t>úľavou</w:t>
            </w:r>
          </w:p>
          <w:p w14:paraId="25B80717" w14:textId="0D9C677C" w:rsidR="004E71F4" w:rsidRPr="00A3389E" w:rsidRDefault="004E71F4" w:rsidP="00155C96">
            <w:pPr>
              <w:pStyle w:val="Fait"/>
              <w:spacing w:before="0" w:after="120"/>
            </w:pPr>
            <w:r w:rsidRPr="00A3389E">
              <w:t>To zahŕňa sumy určené</w:t>
            </w:r>
            <w:r w:rsidR="00A3389E">
              <w:t xml:space="preserve"> v </w:t>
            </w:r>
            <w:r w:rsidRPr="00A3389E">
              <w:t>súlade</w:t>
            </w:r>
            <w:r w:rsidR="00A3389E">
              <w:t xml:space="preserve"> s </w:t>
            </w:r>
            <w:r w:rsidRPr="00A3389E">
              <w:t>časťou 2 odsekmi 11, 69 až 71, 106</w:t>
            </w:r>
            <w:r w:rsidR="00A3389E">
              <w:t xml:space="preserve"> a </w:t>
            </w:r>
            <w:r w:rsidRPr="00A3389E">
              <w:t>110 prílohy</w:t>
            </w:r>
            <w:r w:rsidR="00A3389E">
              <w:t xml:space="preserve"> V k </w:t>
            </w:r>
            <w:r w:rsidRPr="00A3389E">
              <w:t xml:space="preserve">vykonávaciemu nariadeniu Komisie (EÚ) </w:t>
            </w:r>
            <w:r w:rsidR="00A3389E">
              <w:t>č. </w:t>
            </w:r>
            <w:r w:rsidRPr="00A3389E">
              <w:t>680/2014.</w:t>
            </w:r>
          </w:p>
          <w:p w14:paraId="1FF4CC1B" w14:textId="406B4B49" w:rsidR="004E71F4" w:rsidRPr="00A3389E" w:rsidRDefault="004E71F4" w:rsidP="00155C96">
            <w:pPr>
              <w:pStyle w:val="Fait"/>
              <w:spacing w:before="0" w:after="120"/>
              <w:rPr>
                <w:rFonts w:eastAsiaTheme="minorEastAsia"/>
              </w:rPr>
            </w:pPr>
            <w:r w:rsidRPr="00A3389E">
              <w:t>Problémové expozície</w:t>
            </w:r>
            <w:r w:rsidR="00A3389E">
              <w:t xml:space="preserve"> s </w:t>
            </w:r>
            <w:r w:rsidRPr="00A3389E">
              <w:t>opatreniami týkajúcimi sa úľavy (problémové expozície</w:t>
            </w:r>
            <w:r w:rsidR="00A3389E">
              <w:t xml:space="preserve"> s </w:t>
            </w:r>
            <w:r w:rsidRPr="00A3389E">
              <w:t>úľavou) pozostávajú</w:t>
            </w:r>
            <w:r w:rsidR="00A3389E">
              <w:t xml:space="preserve"> z </w:t>
            </w:r>
            <w:r w:rsidRPr="00A3389E">
              <w:t>expozícií</w:t>
            </w:r>
            <w:r w:rsidR="00A3389E">
              <w:t xml:space="preserve"> s </w:t>
            </w:r>
            <w:r w:rsidRPr="00A3389E">
              <w:t>úľavou, ktoré spĺňajú kritériá na klasifikáciu ako problémové</w:t>
            </w:r>
            <w:r w:rsidR="00A3389E">
              <w:t xml:space="preserve"> a </w:t>
            </w:r>
            <w:r w:rsidRPr="00A3389E">
              <w:t>ktoré sú zahrnuté do kategórie problémových expozícií. Medzi uvedené problémové expozície</w:t>
            </w:r>
            <w:r w:rsidR="00A3389E">
              <w:t xml:space="preserve"> s </w:t>
            </w:r>
            <w:r w:rsidRPr="00A3389E">
              <w:t>úľavou majú patriť: a) expozície, ktoré sa stali problémovými</w:t>
            </w:r>
            <w:r w:rsidR="00A3389E">
              <w:t xml:space="preserve"> v </w:t>
            </w:r>
            <w:r w:rsidRPr="00A3389E">
              <w:t>dôsledku uplatnenia opatrení týkajúcich sa úľavy; b) expozície, ktoré boli problémové pred predĺžením opatrení týkajúcich sa úľavy; c) expozície</w:t>
            </w:r>
            <w:r w:rsidR="00A3389E">
              <w:t xml:space="preserve"> s </w:t>
            </w:r>
            <w:r w:rsidRPr="00A3389E">
              <w:t>úľavou, ktoré boli reklasifikované</w:t>
            </w:r>
            <w:r w:rsidR="00A3389E">
              <w:t xml:space="preserve"> z </w:t>
            </w:r>
            <w:r w:rsidRPr="00A3389E">
              <w:t>kategórie bezproblémových expozícií,</w:t>
            </w:r>
            <w:r w:rsidR="00A3389E">
              <w:t xml:space="preserve"> a </w:t>
            </w:r>
            <w:r w:rsidRPr="00A3389E">
              <w:t>to vrátane expozícií reklasifikovaných podľa článku 47a CRR.</w:t>
            </w:r>
          </w:p>
        </w:tc>
      </w:tr>
      <w:tr w:rsidR="004E71F4" w:rsidRPr="00A3389E" w14:paraId="5BED3824" w14:textId="77777777" w:rsidTr="00155C96">
        <w:trPr>
          <w:trHeight w:val="841"/>
        </w:trPr>
        <w:tc>
          <w:tcPr>
            <w:tcW w:w="1384" w:type="dxa"/>
          </w:tcPr>
          <w:p w14:paraId="778A354F" w14:textId="77777777" w:rsidR="004E71F4" w:rsidRPr="00A3389E" w:rsidRDefault="004E71F4" w:rsidP="00155C96">
            <w:pPr>
              <w:pStyle w:val="Applicationdirecte"/>
              <w:spacing w:before="0"/>
            </w:pPr>
            <w:r w:rsidRPr="00A3389E">
              <w:t>g</w:t>
            </w:r>
          </w:p>
        </w:tc>
        <w:tc>
          <w:tcPr>
            <w:tcW w:w="7655" w:type="dxa"/>
          </w:tcPr>
          <w:p w14:paraId="0C2C2192" w14:textId="397D69EC" w:rsidR="004E71F4" w:rsidRPr="00A3389E" w:rsidRDefault="004E71F4" w:rsidP="00155C96">
            <w:pPr>
              <w:pStyle w:val="Fait"/>
              <w:spacing w:before="0" w:after="120"/>
              <w:rPr>
                <w:rFonts w:eastAsiaTheme="minorEastAsia"/>
                <w:b/>
              </w:rPr>
            </w:pPr>
            <w:r w:rsidRPr="00A3389E">
              <w:rPr>
                <w:b/>
              </w:rPr>
              <w:t>Kolaterál</w:t>
            </w:r>
            <w:r w:rsidR="00A3389E">
              <w:rPr>
                <w:b/>
              </w:rPr>
              <w:t xml:space="preserve"> a </w:t>
            </w:r>
            <w:r w:rsidRPr="00A3389E">
              <w:rPr>
                <w:b/>
              </w:rPr>
              <w:t>finančné záruky prijaté na expozície</w:t>
            </w:r>
            <w:r w:rsidR="00A3389E">
              <w:rPr>
                <w:b/>
              </w:rPr>
              <w:t xml:space="preserve"> s </w:t>
            </w:r>
            <w:r w:rsidRPr="00A3389E">
              <w:rPr>
                <w:b/>
              </w:rPr>
              <w:t>úľavou</w:t>
            </w:r>
          </w:p>
          <w:p w14:paraId="141099E9" w14:textId="1CF1773D" w:rsidR="004E71F4" w:rsidRPr="00A3389E" w:rsidRDefault="004E71F4" w:rsidP="00155C96">
            <w:pPr>
              <w:pStyle w:val="Fait"/>
              <w:spacing w:before="0" w:after="120"/>
              <w:rPr>
                <w:rFonts w:eastAsiaTheme="minorEastAsia"/>
              </w:rPr>
            </w:pPr>
            <w:r w:rsidRPr="00A3389E">
              <w:t>Tieto položky sa zverejňujú pre všetky expozície</w:t>
            </w:r>
            <w:r w:rsidR="00A3389E">
              <w:t xml:space="preserve"> s </w:t>
            </w:r>
            <w:r w:rsidRPr="00A3389E">
              <w:t>opatreniami týkajúcimi sa úľavy bez ohľadu na ich problémový alebo bezproblémový stav. Sumy prijatého kolaterálu</w:t>
            </w:r>
            <w:r w:rsidR="00A3389E">
              <w:t xml:space="preserve"> a </w:t>
            </w:r>
            <w:r w:rsidRPr="00A3389E">
              <w:t>prijatých záruk sa vypočítavajú</w:t>
            </w:r>
            <w:r w:rsidR="00A3389E">
              <w:t xml:space="preserve"> v </w:t>
            </w:r>
            <w:r w:rsidRPr="00A3389E">
              <w:t>súlade</w:t>
            </w:r>
            <w:r w:rsidR="00A3389E">
              <w:t xml:space="preserve"> s </w:t>
            </w:r>
            <w:r w:rsidRPr="00A3389E">
              <w:t>časťou 2 odsekom 239 prílohy</w:t>
            </w:r>
            <w:r w:rsidR="00A3389E">
              <w:t xml:space="preserve"> V k </w:t>
            </w:r>
            <w:r w:rsidRPr="00A3389E">
              <w:t xml:space="preserve">vykonávaciemu nariadeniu Komisie (EÚ) </w:t>
            </w:r>
            <w:r w:rsidR="00A3389E">
              <w:t>č. </w:t>
            </w:r>
            <w:r w:rsidRPr="00A3389E">
              <w:t>680/2014. Súčet súm kolaterálu aj záruk sa má zhora ohraničiť účtovnou hodnotou súvisiacej expozície.</w:t>
            </w:r>
          </w:p>
        </w:tc>
      </w:tr>
      <w:tr w:rsidR="004E71F4" w:rsidRPr="00A3389E" w14:paraId="3A548F70" w14:textId="77777777" w:rsidTr="00155C96">
        <w:trPr>
          <w:trHeight w:val="841"/>
        </w:trPr>
        <w:tc>
          <w:tcPr>
            <w:tcW w:w="1384" w:type="dxa"/>
          </w:tcPr>
          <w:p w14:paraId="368F9545" w14:textId="77777777" w:rsidR="004E71F4" w:rsidRPr="00A3389E" w:rsidRDefault="004E71F4" w:rsidP="00155C96">
            <w:pPr>
              <w:pStyle w:val="Applicationdirecte"/>
              <w:spacing w:before="0"/>
            </w:pPr>
            <w:r w:rsidRPr="00A3389E">
              <w:t>h</w:t>
            </w:r>
          </w:p>
        </w:tc>
        <w:tc>
          <w:tcPr>
            <w:tcW w:w="7655" w:type="dxa"/>
          </w:tcPr>
          <w:p w14:paraId="3D5E49E3" w14:textId="482CF2B1" w:rsidR="004E71F4" w:rsidRPr="00A3389E" w:rsidRDefault="004E71F4" w:rsidP="00155C96">
            <w:pPr>
              <w:pStyle w:val="Fait"/>
              <w:spacing w:before="0" w:after="120"/>
              <w:ind w:left="720"/>
              <w:rPr>
                <w:rFonts w:eastAsiaTheme="minorEastAsia"/>
                <w:b/>
              </w:rPr>
            </w:pPr>
            <w:r w:rsidRPr="00A3389E">
              <w:rPr>
                <w:b/>
              </w:rPr>
              <w:t>Z čoho kolaterál</w:t>
            </w:r>
            <w:r w:rsidR="00A3389E">
              <w:rPr>
                <w:b/>
              </w:rPr>
              <w:t xml:space="preserve"> a </w:t>
            </w:r>
            <w:r w:rsidRPr="00A3389E">
              <w:rPr>
                <w:b/>
              </w:rPr>
              <w:t>finančné záruky prijaté pri problémových expozíciách</w:t>
            </w:r>
            <w:r w:rsidR="00A3389E">
              <w:rPr>
                <w:b/>
              </w:rPr>
              <w:t xml:space="preserve"> s </w:t>
            </w:r>
            <w:r w:rsidRPr="00A3389E">
              <w:rPr>
                <w:b/>
              </w:rPr>
              <w:t>opatreniami týkajúcimi sa úľavy</w:t>
            </w:r>
          </w:p>
          <w:p w14:paraId="654570CA" w14:textId="7AFEFFE3" w:rsidR="004E71F4" w:rsidRPr="00A3389E" w:rsidRDefault="004E71F4" w:rsidP="00155C96">
            <w:pPr>
              <w:pStyle w:val="Fait"/>
              <w:spacing w:before="0" w:after="120"/>
            </w:pPr>
            <w:r w:rsidRPr="00A3389E">
              <w:t>Sumy prijatého kolaterálu</w:t>
            </w:r>
            <w:r w:rsidR="00A3389E">
              <w:t xml:space="preserve"> a </w:t>
            </w:r>
            <w:r w:rsidRPr="00A3389E">
              <w:t>prijatých záruk sa vypočítavajú</w:t>
            </w:r>
            <w:r w:rsidR="00A3389E">
              <w:t xml:space="preserve"> v </w:t>
            </w:r>
            <w:r w:rsidRPr="00A3389E">
              <w:t>súlade</w:t>
            </w:r>
            <w:r w:rsidR="00A3389E">
              <w:t xml:space="preserve"> s </w:t>
            </w:r>
            <w:r w:rsidRPr="00A3389E">
              <w:t>časťou 2 odsekom 239 prílohy</w:t>
            </w:r>
            <w:r w:rsidR="00A3389E">
              <w:t xml:space="preserve"> V k </w:t>
            </w:r>
            <w:r w:rsidRPr="00A3389E">
              <w:t xml:space="preserve">vykonávaciemu nariadeniu Komisie (EÚ) </w:t>
            </w:r>
            <w:r w:rsidR="00A3389E">
              <w:t>č. </w:t>
            </w:r>
            <w:r w:rsidRPr="00A3389E">
              <w:t>680/2014. Súčet súm kolaterálu aj záruk sa má zhora ohraničiť účtovnou hodnotou súvisiacej expozície.</w:t>
            </w:r>
          </w:p>
          <w:p w14:paraId="3404E1BB" w14:textId="149D56E5" w:rsidR="004E71F4" w:rsidRPr="00A3389E" w:rsidRDefault="004E71F4" w:rsidP="00155C96">
            <w:pPr>
              <w:pStyle w:val="Fait"/>
              <w:spacing w:before="0" w:after="120"/>
              <w:rPr>
                <w:rFonts w:eastAsiaTheme="minorEastAsia"/>
              </w:rPr>
            </w:pPr>
            <w:r w:rsidRPr="00A3389E">
              <w:t>Problémové expozície</w:t>
            </w:r>
            <w:r w:rsidR="00A3389E">
              <w:t xml:space="preserve"> s </w:t>
            </w:r>
            <w:r w:rsidRPr="00A3389E">
              <w:t>opatreniami týkajúcimi sa úľavy (problémové expozície</w:t>
            </w:r>
            <w:r w:rsidR="00A3389E">
              <w:t xml:space="preserve"> s </w:t>
            </w:r>
            <w:r w:rsidRPr="00A3389E">
              <w:t>úľavou) pozostávajú</w:t>
            </w:r>
            <w:r w:rsidR="00A3389E">
              <w:t xml:space="preserve"> z </w:t>
            </w:r>
            <w:r w:rsidRPr="00A3389E">
              <w:t>expozícií</w:t>
            </w:r>
            <w:r w:rsidR="00A3389E">
              <w:t xml:space="preserve"> s </w:t>
            </w:r>
            <w:r w:rsidRPr="00A3389E">
              <w:t>úľavou, ktoré spĺňajú kritériá na klasifikáciu ako problémové</w:t>
            </w:r>
            <w:r w:rsidR="00A3389E">
              <w:t xml:space="preserve"> a </w:t>
            </w:r>
            <w:r w:rsidRPr="00A3389E">
              <w:t>ktoré sú zahrnuté do kategórie problémových expozícií. Medzi uvedené problémové expozície</w:t>
            </w:r>
            <w:r w:rsidR="00A3389E">
              <w:t xml:space="preserve"> s </w:t>
            </w:r>
            <w:r w:rsidRPr="00A3389E">
              <w:t>úľavou majú patriť: a) expozície, ktoré sa stali problémovými</w:t>
            </w:r>
            <w:r w:rsidR="00A3389E">
              <w:t xml:space="preserve"> v </w:t>
            </w:r>
            <w:r w:rsidRPr="00A3389E">
              <w:t>dôsledku uplatnenia opatrení týkajúcich sa úľavy; b) expozície, ktoré boli problémové pred predĺžením opatrení týkajúcich sa úľavy; c) expozície</w:t>
            </w:r>
            <w:r w:rsidR="00A3389E">
              <w:t xml:space="preserve"> s </w:t>
            </w:r>
            <w:r w:rsidRPr="00A3389E">
              <w:t>úľavou, ktoré boli reklasifikované</w:t>
            </w:r>
            <w:r w:rsidR="00A3389E">
              <w:t xml:space="preserve"> z </w:t>
            </w:r>
            <w:r w:rsidRPr="00A3389E">
              <w:t>kategórie bezproblémových expozícií,</w:t>
            </w:r>
            <w:r w:rsidR="00A3389E">
              <w:t xml:space="preserve"> a </w:t>
            </w:r>
            <w:r w:rsidRPr="00A3389E">
              <w:t>to vrátane expozícií reklasifikovaných podľa článku 47a CRR.</w:t>
            </w:r>
          </w:p>
        </w:tc>
      </w:tr>
    </w:tbl>
    <w:p w14:paraId="590F809F" w14:textId="77777777" w:rsidR="004E71F4" w:rsidRPr="00A3389E"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A3389E" w:rsidRDefault="00CD362D" w:rsidP="004E71F4">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Vzor EU CQ2: Kvalita úľavy</w:t>
      </w:r>
    </w:p>
    <w:p w14:paraId="48713760" w14:textId="658A120E" w:rsidR="004E71F4" w:rsidRPr="00A3389E" w:rsidRDefault="00A3389E" w:rsidP="00A3389E">
      <w:pPr>
        <w:spacing w:after="120"/>
        <w:ind w:left="720" w:hanging="360"/>
        <w:jc w:val="both"/>
        <w:rPr>
          <w:rFonts w:ascii="Times New Roman" w:hAnsi="Times New Roman"/>
          <w:bCs/>
          <w:sz w:val="24"/>
        </w:rPr>
      </w:pPr>
      <w:r w:rsidRPr="00A3389E">
        <w:rPr>
          <w:rFonts w:ascii="Times New Roman" w:eastAsia="Calibri" w:hAnsi="Times New Roman" w:cs="Times New Roman"/>
          <w:bCs/>
          <w:sz w:val="24"/>
          <w:szCs w:val="22"/>
        </w:rPr>
        <w:t>1.</w:t>
      </w:r>
      <w:r w:rsidRPr="00A3389E">
        <w:rPr>
          <w:rFonts w:ascii="Times New Roman" w:eastAsia="Calibri" w:hAnsi="Times New Roman" w:cs="Times New Roman"/>
          <w:bCs/>
          <w:sz w:val="24"/>
          <w:szCs w:val="22"/>
        </w:rPr>
        <w:tab/>
      </w:r>
      <w:r w:rsidR="004E71F4" w:rsidRPr="00A3389E">
        <w:rPr>
          <w:rFonts w:ascii="Times New Roman" w:hAnsi="Times New Roman"/>
          <w:bCs/>
          <w:sz w:val="24"/>
        </w:rPr>
        <w:t>Inštitúcie</w:t>
      </w:r>
      <w:r w:rsidR="004E71F4" w:rsidRPr="00A3389E">
        <w:rPr>
          <w:rFonts w:ascii="Times New Roman" w:hAnsi="Times New Roman"/>
          <w:sz w:val="24"/>
        </w:rPr>
        <w:t xml:space="preserve"> zverejňujú informácie uvedené</w:t>
      </w:r>
      <w:r>
        <w:rPr>
          <w:rFonts w:ascii="Times New Roman" w:hAnsi="Times New Roman"/>
          <w:sz w:val="24"/>
        </w:rPr>
        <w:t xml:space="preserve"> v </w:t>
      </w:r>
      <w:r w:rsidR="004E71F4" w:rsidRPr="00A3389E">
        <w:rPr>
          <w:rFonts w:ascii="Times New Roman" w:hAnsi="Times New Roman"/>
          <w:bCs/>
          <w:sz w:val="24"/>
        </w:rPr>
        <w:t xml:space="preserve">článku 442 písm. c) </w:t>
      </w:r>
      <w:r w:rsidR="004E71F4" w:rsidRPr="00A3389E">
        <w:rPr>
          <w:rFonts w:ascii="Times New Roman" w:hAnsi="Times New Roman"/>
          <w:color w:val="000000"/>
          <w:sz w:val="24"/>
        </w:rPr>
        <w:t>CRR</w:t>
      </w:r>
      <w:r w:rsidR="004E71F4" w:rsidRPr="00A3389E">
        <w:rPr>
          <w:rFonts w:ascii="Times New Roman" w:hAnsi="Times New Roman"/>
          <w:bCs/>
          <w:sz w:val="24"/>
        </w:rPr>
        <w:t xml:space="preserve"> podľa pokynov uvedených nižšie</w:t>
      </w:r>
      <w:r>
        <w:rPr>
          <w:rFonts w:ascii="Times New Roman" w:hAnsi="Times New Roman"/>
          <w:bCs/>
          <w:sz w:val="24"/>
        </w:rPr>
        <w:t xml:space="preserve"> v </w:t>
      </w:r>
      <w:r w:rsidR="004E71F4" w:rsidRPr="00A3389E">
        <w:rPr>
          <w:rFonts w:ascii="Times New Roman" w:hAnsi="Times New Roman"/>
          <w:bCs/>
          <w:sz w:val="24"/>
        </w:rPr>
        <w:t>tejto prílohe</w:t>
      </w:r>
      <w:r>
        <w:rPr>
          <w:rFonts w:ascii="Times New Roman" w:hAnsi="Times New Roman"/>
          <w:bCs/>
          <w:sz w:val="24"/>
        </w:rPr>
        <w:t xml:space="preserve"> s </w:t>
      </w:r>
      <w:r w:rsidR="004E71F4" w:rsidRPr="00A3389E">
        <w:rPr>
          <w:rFonts w:ascii="Times New Roman" w:hAnsi="Times New Roman"/>
          <w:bCs/>
          <w:sz w:val="24"/>
        </w:rPr>
        <w:t>cieľom vyplniť vzor EU CQ2,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p>
    <w:p w14:paraId="3A6636AA" w14:textId="77777777" w:rsidR="004E71F4" w:rsidRPr="00A3389E" w:rsidRDefault="004E71F4" w:rsidP="004E71F4">
      <w:pPr>
        <w:spacing w:after="120"/>
        <w:contextualSpacing/>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926DCCA"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4CF8AE9F" w14:textId="77777777" w:rsidTr="00155C96">
        <w:trPr>
          <w:trHeight w:val="238"/>
        </w:trPr>
        <w:tc>
          <w:tcPr>
            <w:tcW w:w="1384" w:type="dxa"/>
            <w:shd w:val="clear" w:color="auto" w:fill="D9D9D9" w:themeFill="background1" w:themeFillShade="D9"/>
          </w:tcPr>
          <w:p w14:paraId="275BE76A"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0BC984CF"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51A2129F" w14:textId="77777777" w:rsidTr="00155C96">
        <w:trPr>
          <w:trHeight w:val="2033"/>
        </w:trPr>
        <w:tc>
          <w:tcPr>
            <w:tcW w:w="1384" w:type="dxa"/>
          </w:tcPr>
          <w:p w14:paraId="7B4FF727" w14:textId="77777777" w:rsidR="004E71F4" w:rsidRPr="00A3389E" w:rsidRDefault="004E71F4" w:rsidP="00155C96">
            <w:pPr>
              <w:pStyle w:val="Applicationdirecte"/>
              <w:spacing w:before="0"/>
            </w:pPr>
            <w:r w:rsidRPr="00A3389E">
              <w:t>010</w:t>
            </w:r>
          </w:p>
        </w:tc>
        <w:tc>
          <w:tcPr>
            <w:tcW w:w="7655" w:type="dxa"/>
          </w:tcPr>
          <w:p w14:paraId="45C99ADD" w14:textId="57563847" w:rsidR="004E71F4" w:rsidRPr="00A3389E" w:rsidRDefault="004E71F4" w:rsidP="00155C96">
            <w:pPr>
              <w:pStyle w:val="Applicationdirecte"/>
              <w:spacing w:before="0"/>
              <w:rPr>
                <w:b/>
              </w:rPr>
            </w:pPr>
            <w:r w:rsidRPr="00A3389E">
              <w:rPr>
                <w:b/>
              </w:rPr>
              <w:t>Úvery</w:t>
            </w:r>
            <w:r w:rsidR="00A3389E">
              <w:rPr>
                <w:b/>
              </w:rPr>
              <w:t xml:space="preserve"> a </w:t>
            </w:r>
            <w:r w:rsidRPr="00A3389E">
              <w:rPr>
                <w:b/>
              </w:rPr>
              <w:t>preddavky, pri ktorých sa úľava poskytla viac než dvakrát</w:t>
            </w:r>
          </w:p>
          <w:p w14:paraId="6246E853" w14:textId="07C722B3" w:rsidR="004E71F4" w:rsidRPr="00A3389E" w:rsidRDefault="004E71F4" w:rsidP="00155C96">
            <w:pPr>
              <w:pStyle w:val="Fait"/>
              <w:spacing w:before="0" w:after="120"/>
            </w:pPr>
            <w:r w:rsidRPr="00A3389E">
              <w:t>Hrubá účtovná hodnota úverov</w:t>
            </w:r>
            <w:r w:rsidR="00A3389E">
              <w:t xml:space="preserve"> a </w:t>
            </w:r>
            <w:r w:rsidRPr="00A3389E">
              <w:t>preddavkov, pri ktorých boli</w:t>
            </w:r>
            <w:r w:rsidR="00A3389E">
              <w:t xml:space="preserve"> v </w:t>
            </w:r>
            <w:r w:rsidRPr="00A3389E">
              <w:t>minulosti</w:t>
            </w:r>
            <w:r w:rsidR="00A3389E">
              <w:t xml:space="preserve"> a </w:t>
            </w:r>
            <w:r w:rsidRPr="00A3389E">
              <w:t>viac než dvakrát poskytnuté opatrenia týkajúce sa úľavy.</w:t>
            </w:r>
          </w:p>
          <w:p w14:paraId="554BA266" w14:textId="78FF2D17" w:rsidR="004E71F4" w:rsidRPr="00A3389E" w:rsidRDefault="004E71F4" w:rsidP="00155C96">
            <w:pPr>
              <w:pStyle w:val="Fait"/>
              <w:spacing w:before="0" w:after="120"/>
            </w:pPr>
            <w:r w:rsidRPr="00A3389E">
              <w:t>Úvery</w:t>
            </w:r>
            <w:r w:rsidR="00A3389E">
              <w:t xml:space="preserve"> a </w:t>
            </w:r>
            <w:r w:rsidRPr="00A3389E">
              <w:t>preddavky, pri ktorých bola udelená úľava</w:t>
            </w:r>
            <w:r w:rsidR="00A3389E">
              <w:t xml:space="preserve"> a </w:t>
            </w:r>
            <w:r w:rsidRPr="00A3389E">
              <w:t>ktoré prestali byť klasifikované</w:t>
            </w:r>
            <w:r w:rsidR="00A3389E">
              <w:t xml:space="preserve"> v </w:t>
            </w:r>
            <w:r w:rsidRPr="00A3389E">
              <w:t>kategórii úľav (t. j. úvery</w:t>
            </w:r>
            <w:r w:rsidR="00A3389E">
              <w:t xml:space="preserve"> a </w:t>
            </w:r>
            <w:r w:rsidRPr="00A3389E">
              <w:t>preddavky</w:t>
            </w:r>
            <w:r w:rsidR="00A3389E">
              <w:t xml:space="preserve"> s </w:t>
            </w:r>
            <w:r w:rsidRPr="00A3389E">
              <w:t>úľavou, ktoré boli vyliečené), sú tu zahrnuté aj vtedy, keď bolo poskytnuté nové opatrenie týkajúce sa úľavy.</w:t>
            </w:r>
          </w:p>
        </w:tc>
      </w:tr>
      <w:tr w:rsidR="004E71F4" w:rsidRPr="00A3389E" w14:paraId="7BA7E1A9" w14:textId="77777777" w:rsidTr="00155C96">
        <w:trPr>
          <w:trHeight w:val="316"/>
        </w:trPr>
        <w:tc>
          <w:tcPr>
            <w:tcW w:w="1384" w:type="dxa"/>
          </w:tcPr>
          <w:p w14:paraId="51B1495C"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sz w:val="24"/>
              </w:rPr>
              <w:t>020</w:t>
            </w:r>
          </w:p>
        </w:tc>
        <w:tc>
          <w:tcPr>
            <w:tcW w:w="7655" w:type="dxa"/>
          </w:tcPr>
          <w:p w14:paraId="195821F8" w14:textId="5A3EABD0"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Problémové úvery</w:t>
            </w:r>
            <w:r w:rsidR="00A3389E">
              <w:rPr>
                <w:rFonts w:ascii="Times New Roman" w:hAnsi="Times New Roman" w:cs="Times New Roman"/>
                <w:b/>
                <w:sz w:val="24"/>
              </w:rPr>
              <w:t xml:space="preserve"> a </w:t>
            </w:r>
            <w:r w:rsidRPr="00A3389E">
              <w:rPr>
                <w:rFonts w:ascii="Times New Roman" w:hAnsi="Times New Roman" w:cs="Times New Roman"/>
                <w:b/>
                <w:sz w:val="24"/>
              </w:rPr>
              <w:t>preddavky</w:t>
            </w:r>
            <w:r w:rsidR="00A3389E">
              <w:rPr>
                <w:rFonts w:ascii="Times New Roman" w:hAnsi="Times New Roman" w:cs="Times New Roman"/>
                <w:b/>
                <w:sz w:val="24"/>
              </w:rPr>
              <w:t xml:space="preserve"> s </w:t>
            </w:r>
            <w:r w:rsidRPr="00A3389E">
              <w:rPr>
                <w:rFonts w:ascii="Times New Roman" w:hAnsi="Times New Roman" w:cs="Times New Roman"/>
                <w:b/>
                <w:sz w:val="24"/>
              </w:rPr>
              <w:t>úľavou, ktoré nesplnili kritériá na to, aby prestali byť klasifikované ako problémové</w:t>
            </w:r>
          </w:p>
          <w:p w14:paraId="651BEEE0" w14:textId="48705BB6" w:rsidR="004E71F4" w:rsidRPr="00A3389E" w:rsidRDefault="004E71F4" w:rsidP="00155C96">
            <w:pPr>
              <w:pStyle w:val="Fait"/>
              <w:spacing w:before="0" w:after="120"/>
              <w:rPr>
                <w:b/>
              </w:rPr>
            </w:pPr>
            <w:r w:rsidRPr="00A3389E">
              <w:t>Hrubá účtovná hodnota problémových úverov</w:t>
            </w:r>
            <w:r w:rsidR="00A3389E">
              <w:t xml:space="preserve"> a </w:t>
            </w:r>
            <w:r w:rsidRPr="00A3389E">
              <w:t>preddavkov</w:t>
            </w:r>
            <w:r w:rsidR="00A3389E">
              <w:t xml:space="preserve"> s </w:t>
            </w:r>
            <w:r w:rsidRPr="00A3389E">
              <w:t>úľavou, ktoré sú</w:t>
            </w:r>
            <w:r w:rsidR="00A3389E">
              <w:t xml:space="preserve"> v </w:t>
            </w:r>
            <w:r w:rsidRPr="00A3389E">
              <w:t>kategórii problémových úverov</w:t>
            </w:r>
            <w:r w:rsidR="00A3389E">
              <w:t xml:space="preserve"> a </w:t>
            </w:r>
            <w:r w:rsidRPr="00A3389E">
              <w:t>preddavkov</w:t>
            </w:r>
            <w:r w:rsidR="00A3389E">
              <w:t xml:space="preserve"> s </w:t>
            </w:r>
            <w:r w:rsidRPr="00A3389E">
              <w:t>úľavou</w:t>
            </w:r>
            <w:r w:rsidR="00A3389E">
              <w:t xml:space="preserve"> v </w:t>
            </w:r>
            <w:r w:rsidRPr="00A3389E">
              <w:t>rámci obdobia liečenia</w:t>
            </w:r>
            <w:r w:rsidR="00A3389E">
              <w:t xml:space="preserve"> v </w:t>
            </w:r>
            <w:r w:rsidRPr="00A3389E">
              <w:t>trvaní 1 roka</w:t>
            </w:r>
            <w:r w:rsidR="00A3389E">
              <w:t xml:space="preserve"> a </w:t>
            </w:r>
            <w:r w:rsidRPr="00A3389E">
              <w:t>ktoré nesplnili opatrenia týkajúce sa úľavy po 12-mesačnom období liečenia,</w:t>
            </w:r>
            <w:r w:rsidR="00A3389E">
              <w:t xml:space="preserve"> a </w:t>
            </w:r>
            <w:r w:rsidRPr="00A3389E">
              <w:t>preto sa im nepodarilo prejsť</w:t>
            </w:r>
            <w:r w:rsidR="00A3389E">
              <w:t xml:space="preserve"> k </w:t>
            </w:r>
            <w:r w:rsidRPr="00A3389E">
              <w:t>bezproblémovému stavu</w:t>
            </w:r>
            <w:r w:rsidR="00A3389E">
              <w:t xml:space="preserve"> s </w:t>
            </w:r>
            <w:r w:rsidRPr="00A3389E">
              <w:t>úľavou, ale zostali</w:t>
            </w:r>
            <w:r w:rsidR="00A3389E">
              <w:t xml:space="preserve"> v </w:t>
            </w:r>
            <w:r w:rsidRPr="00A3389E">
              <w:t>stave problémových úverov</w:t>
            </w:r>
            <w:r w:rsidR="00A3389E">
              <w:t xml:space="preserve"> a </w:t>
            </w:r>
            <w:r w:rsidRPr="00A3389E">
              <w:t>preddavkov</w:t>
            </w:r>
            <w:r w:rsidR="00A3389E">
              <w:t xml:space="preserve"> s </w:t>
            </w:r>
            <w:r w:rsidRPr="00A3389E">
              <w:t>úľavou</w:t>
            </w:r>
            <w:r w:rsidR="00A3389E">
              <w:t xml:space="preserve"> v </w:t>
            </w:r>
            <w:r w:rsidRPr="00A3389E">
              <w:t>rámci obdobia liečenia.</w:t>
            </w:r>
          </w:p>
        </w:tc>
      </w:tr>
    </w:tbl>
    <w:p w14:paraId="72890BE0"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30867AF8" w14:textId="77777777" w:rsidTr="00155C96">
        <w:trPr>
          <w:trHeight w:val="238"/>
        </w:trPr>
        <w:tc>
          <w:tcPr>
            <w:tcW w:w="9039" w:type="dxa"/>
            <w:gridSpan w:val="2"/>
            <w:shd w:val="clear" w:color="auto" w:fill="D9D9D9" w:themeFill="background1" w:themeFillShade="D9"/>
          </w:tcPr>
          <w:p w14:paraId="0E997768" w14:textId="27660BED"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619087BF" w14:textId="77777777" w:rsidTr="00155C96">
        <w:trPr>
          <w:trHeight w:val="238"/>
        </w:trPr>
        <w:tc>
          <w:tcPr>
            <w:tcW w:w="1384" w:type="dxa"/>
            <w:shd w:val="clear" w:color="auto" w:fill="D9D9D9" w:themeFill="background1" w:themeFillShade="D9"/>
          </w:tcPr>
          <w:p w14:paraId="322839B0"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4C39D440"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1FE78F1D" w14:textId="77777777" w:rsidTr="00155C96">
        <w:trPr>
          <w:trHeight w:val="841"/>
        </w:trPr>
        <w:tc>
          <w:tcPr>
            <w:tcW w:w="1384" w:type="dxa"/>
          </w:tcPr>
          <w:p w14:paraId="00B484D4" w14:textId="77777777" w:rsidR="004E71F4" w:rsidRPr="00A3389E" w:rsidRDefault="004E71F4" w:rsidP="00155C96">
            <w:pPr>
              <w:pStyle w:val="Applicationdirecte"/>
              <w:spacing w:before="0"/>
            </w:pPr>
            <w:r w:rsidRPr="00A3389E">
              <w:lastRenderedPageBreak/>
              <w:t>a</w:t>
            </w:r>
          </w:p>
        </w:tc>
        <w:tc>
          <w:tcPr>
            <w:tcW w:w="7655" w:type="dxa"/>
          </w:tcPr>
          <w:p w14:paraId="285875B6" w14:textId="49FF8F47" w:rsidR="004E71F4" w:rsidRPr="00A3389E" w:rsidRDefault="004E71F4" w:rsidP="00155C96">
            <w:pPr>
              <w:pStyle w:val="Fait"/>
              <w:spacing w:before="0" w:after="120"/>
              <w:rPr>
                <w:rFonts w:eastAsiaTheme="minorEastAsia"/>
                <w:b/>
              </w:rPr>
            </w:pPr>
            <w:r w:rsidRPr="00A3389E">
              <w:rPr>
                <w:b/>
              </w:rPr>
              <w:t>Hrubá účtovná hodnota expozícií</w:t>
            </w:r>
            <w:r w:rsidR="00A3389E">
              <w:rPr>
                <w:b/>
              </w:rPr>
              <w:t xml:space="preserve"> s </w:t>
            </w:r>
            <w:r w:rsidRPr="00A3389E">
              <w:rPr>
                <w:b/>
              </w:rPr>
              <w:t>úľavou</w:t>
            </w:r>
          </w:p>
          <w:p w14:paraId="64A87F8A" w14:textId="0AF02103" w:rsidR="004E71F4" w:rsidRPr="00A3389E" w:rsidRDefault="004E71F4" w:rsidP="00155C96">
            <w:pPr>
              <w:pStyle w:val="Institutionquisigne"/>
              <w:spacing w:before="0" w:after="120"/>
              <w:rPr>
                <w:i w:val="0"/>
              </w:rPr>
            </w:pPr>
            <w:r w:rsidRPr="00A3389E">
              <w:rPr>
                <w:i w:val="0"/>
              </w:rPr>
              <w:t>Hrubá účtovná hodnota, ako sa vymedzuje</w:t>
            </w:r>
            <w:r w:rsidR="00A3389E">
              <w:rPr>
                <w:i w:val="0"/>
              </w:rPr>
              <w:t xml:space="preserve"> v </w:t>
            </w:r>
            <w:r w:rsidRPr="00A3389E">
              <w:rPr>
                <w:i w:val="0"/>
              </w:rPr>
              <w:t>časti 1 odseku 34 prílohy</w:t>
            </w:r>
            <w:r w:rsidR="00A3389E">
              <w:rPr>
                <w:i w:val="0"/>
              </w:rPr>
              <w:t xml:space="preserve"> V k </w:t>
            </w:r>
            <w:r w:rsidRPr="00A3389E">
              <w:rPr>
                <w:i w:val="0"/>
              </w:rPr>
              <w:t xml:space="preserve">vykonávaciemu nariadeniu Komisie (EÚ) </w:t>
            </w:r>
            <w:r w:rsidR="00A3389E">
              <w:rPr>
                <w:i w:val="0"/>
              </w:rPr>
              <w:t>č. </w:t>
            </w:r>
            <w:r w:rsidRPr="00A3389E">
              <w:rPr>
                <w:i w:val="0"/>
              </w:rPr>
              <w:t>680/2014; expozície</w:t>
            </w:r>
            <w:r w:rsidR="00A3389E">
              <w:rPr>
                <w:i w:val="0"/>
              </w:rPr>
              <w:t xml:space="preserve"> s </w:t>
            </w:r>
            <w:r w:rsidRPr="00A3389E">
              <w:rPr>
                <w:i w:val="0"/>
              </w:rPr>
              <w:t>opatreniami týkajúcimi sa úľavy</w:t>
            </w:r>
            <w:r w:rsidR="00A3389E">
              <w:rPr>
                <w:i w:val="0"/>
              </w:rPr>
              <w:t xml:space="preserve"> v </w:t>
            </w:r>
            <w:r w:rsidRPr="00A3389E">
              <w:rPr>
                <w:i w:val="0"/>
              </w:rPr>
              <w:t>zmysle vymedzenia</w:t>
            </w:r>
            <w:r w:rsidR="00A3389E">
              <w:rPr>
                <w:i w:val="0"/>
              </w:rPr>
              <w:t xml:space="preserve"> v </w:t>
            </w:r>
            <w:r w:rsidRPr="00A3389E">
              <w:rPr>
                <w:i w:val="0"/>
              </w:rPr>
              <w:t>článku 47b CRR.</w:t>
            </w:r>
          </w:p>
          <w:p w14:paraId="2F31ADDC" w14:textId="6B995FB3" w:rsidR="004E71F4" w:rsidRPr="00A3389E" w:rsidRDefault="004E71F4" w:rsidP="00155C96">
            <w:pPr>
              <w:pStyle w:val="Institutionquisigne"/>
              <w:spacing w:before="0" w:after="120"/>
            </w:pPr>
            <w:r w:rsidRPr="00A3389E">
              <w:rPr>
                <w:i w:val="0"/>
              </w:rPr>
              <w:t>V závislosti od toho, či expozície</w:t>
            </w:r>
            <w:r w:rsidR="00A3389E">
              <w:rPr>
                <w:i w:val="0"/>
              </w:rPr>
              <w:t xml:space="preserve"> s </w:t>
            </w:r>
            <w:r w:rsidRPr="00A3389E">
              <w:rPr>
                <w:i w:val="0"/>
              </w:rPr>
              <w:t>úľavou spĺňajú požadované podmienky stanovené</w:t>
            </w:r>
            <w:r w:rsidR="00A3389E">
              <w:rPr>
                <w:i w:val="0"/>
              </w:rPr>
              <w:t xml:space="preserve"> v </w:t>
            </w:r>
            <w:r w:rsidRPr="00A3389E">
              <w:rPr>
                <w:i w:val="0"/>
              </w:rPr>
              <w:t>článku 47a alebo 47b CRR, môžu byť označené za bezproblémové alebo problémové.</w:t>
            </w:r>
          </w:p>
        </w:tc>
      </w:tr>
    </w:tbl>
    <w:p w14:paraId="116A1C3C" w14:textId="77777777" w:rsidR="004E71F4" w:rsidRPr="00A3389E"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A3389E" w:rsidRDefault="004E71F4" w:rsidP="004E71F4">
      <w:pPr>
        <w:autoSpaceDE w:val="0"/>
        <w:autoSpaceDN w:val="0"/>
        <w:adjustRightInd w:val="0"/>
        <w:spacing w:after="120"/>
        <w:jc w:val="both"/>
        <w:rPr>
          <w:rFonts w:ascii="Times New Roman" w:hAnsi="Times New Roman" w:cs="Times New Roman"/>
          <w:b/>
          <w:sz w:val="24"/>
        </w:rPr>
      </w:pPr>
    </w:p>
    <w:p w14:paraId="14D54E97" w14:textId="206CFBCA" w:rsidR="004E71F4" w:rsidRPr="00A3389E" w:rsidRDefault="00CD362D" w:rsidP="00476DE3">
      <w:pPr>
        <w:keepNext/>
        <w:keepLines/>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Vzor EU CQ3: Kreditná kvalita bezproblémových</w:t>
      </w:r>
      <w:r w:rsidR="00A3389E">
        <w:rPr>
          <w:rFonts w:ascii="Times New Roman" w:hAnsi="Times New Roman" w:cs="Times New Roman"/>
          <w:b/>
          <w:sz w:val="24"/>
        </w:rPr>
        <w:t xml:space="preserve"> a </w:t>
      </w:r>
      <w:r w:rsidRPr="00A3389E">
        <w:rPr>
          <w:rFonts w:ascii="Times New Roman" w:hAnsi="Times New Roman" w:cs="Times New Roman"/>
          <w:b/>
          <w:sz w:val="24"/>
        </w:rPr>
        <w:t>problémových expozícií podľa dní po splatnosti</w:t>
      </w:r>
    </w:p>
    <w:p w14:paraId="5634BDBD" w14:textId="51BDECD2" w:rsidR="004E71F4" w:rsidRPr="00A3389E" w:rsidRDefault="00A3389E" w:rsidP="00476DE3">
      <w:pPr>
        <w:keepNext/>
        <w:keepLines/>
        <w:spacing w:after="120"/>
        <w:ind w:left="720" w:hanging="360"/>
        <w:jc w:val="both"/>
        <w:rPr>
          <w:rFonts w:ascii="Times New Roman" w:hAnsi="Times New Roman"/>
          <w:bCs/>
          <w:sz w:val="24"/>
        </w:rPr>
      </w:pPr>
      <w:r w:rsidRPr="00A3389E">
        <w:rPr>
          <w:rFonts w:ascii="Times New Roman" w:eastAsia="Calibri" w:hAnsi="Times New Roman" w:cs="Times New Roman"/>
          <w:bCs/>
          <w:sz w:val="24"/>
          <w:szCs w:val="22"/>
        </w:rPr>
        <w:t>4.</w:t>
      </w:r>
      <w:r w:rsidRPr="00A3389E">
        <w:rPr>
          <w:rFonts w:ascii="Times New Roman" w:eastAsia="Calibri" w:hAnsi="Times New Roman" w:cs="Times New Roman"/>
          <w:bCs/>
          <w:sz w:val="24"/>
          <w:szCs w:val="22"/>
        </w:rPr>
        <w:tab/>
      </w:r>
      <w:r w:rsidR="004E71F4" w:rsidRPr="00A3389E">
        <w:rPr>
          <w:rFonts w:ascii="Times New Roman" w:hAnsi="Times New Roman"/>
          <w:bCs/>
          <w:sz w:val="24"/>
        </w:rPr>
        <w:t>Inštitúcie</w:t>
      </w:r>
      <w:r w:rsidR="004E71F4" w:rsidRPr="00A3389E">
        <w:rPr>
          <w:rFonts w:ascii="Times New Roman" w:hAnsi="Times New Roman"/>
          <w:sz w:val="24"/>
        </w:rPr>
        <w:t xml:space="preserve"> zverejňujú informácie uvedené</w:t>
      </w:r>
      <w:r>
        <w:rPr>
          <w:rFonts w:ascii="Times New Roman" w:hAnsi="Times New Roman"/>
          <w:sz w:val="24"/>
        </w:rPr>
        <w:t xml:space="preserve"> v </w:t>
      </w:r>
      <w:r w:rsidR="004E71F4" w:rsidRPr="00A3389E">
        <w:rPr>
          <w:rFonts w:ascii="Times New Roman" w:hAnsi="Times New Roman"/>
          <w:bCs/>
          <w:sz w:val="24"/>
        </w:rPr>
        <w:t xml:space="preserve">článku 442 písm. d) </w:t>
      </w:r>
      <w:r w:rsidR="004E71F4" w:rsidRPr="00A3389E">
        <w:rPr>
          <w:rFonts w:ascii="Times New Roman" w:hAnsi="Times New Roman"/>
          <w:color w:val="000000"/>
          <w:sz w:val="24"/>
        </w:rPr>
        <w:t>CRR</w:t>
      </w:r>
      <w:r w:rsidR="004E71F4" w:rsidRPr="00A3389E">
        <w:rPr>
          <w:rFonts w:ascii="Times New Roman" w:hAnsi="Times New Roman"/>
          <w:bCs/>
          <w:sz w:val="24"/>
        </w:rPr>
        <w:t xml:space="preserve"> podľa pokynov uvedených nižšie</w:t>
      </w:r>
      <w:r>
        <w:rPr>
          <w:rFonts w:ascii="Times New Roman" w:hAnsi="Times New Roman"/>
          <w:bCs/>
          <w:sz w:val="24"/>
        </w:rPr>
        <w:t xml:space="preserve"> v </w:t>
      </w:r>
      <w:r w:rsidR="004E71F4" w:rsidRPr="00A3389E">
        <w:rPr>
          <w:rFonts w:ascii="Times New Roman" w:hAnsi="Times New Roman"/>
          <w:bCs/>
          <w:sz w:val="24"/>
        </w:rPr>
        <w:t>tejto prílohe</w:t>
      </w:r>
      <w:r>
        <w:rPr>
          <w:rFonts w:ascii="Times New Roman" w:hAnsi="Times New Roman"/>
          <w:bCs/>
          <w:sz w:val="24"/>
        </w:rPr>
        <w:t xml:space="preserve"> s </w:t>
      </w:r>
      <w:r w:rsidR="004E71F4" w:rsidRPr="00A3389E">
        <w:rPr>
          <w:rFonts w:ascii="Times New Roman" w:hAnsi="Times New Roman"/>
          <w:bCs/>
          <w:sz w:val="24"/>
        </w:rPr>
        <w:t>cieľom vyplniť vzor EU CQ3,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p>
    <w:p w14:paraId="405FCF0E" w14:textId="77777777" w:rsidR="004E71F4" w:rsidRPr="00A3389E" w:rsidRDefault="004E71F4" w:rsidP="004E71F4">
      <w:pPr>
        <w:spacing w:after="120"/>
        <w:contextualSpacing/>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0C543F42"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2184228E" w14:textId="77777777" w:rsidTr="00155C96">
        <w:trPr>
          <w:trHeight w:val="238"/>
        </w:trPr>
        <w:tc>
          <w:tcPr>
            <w:tcW w:w="1384" w:type="dxa"/>
            <w:shd w:val="clear" w:color="auto" w:fill="D9D9D9" w:themeFill="background1" w:themeFillShade="D9"/>
          </w:tcPr>
          <w:p w14:paraId="53B575A9"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736FC276"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4456E34A" w14:textId="77777777" w:rsidTr="00155C96">
        <w:trPr>
          <w:trHeight w:val="845"/>
        </w:trPr>
        <w:tc>
          <w:tcPr>
            <w:tcW w:w="1384" w:type="dxa"/>
          </w:tcPr>
          <w:p w14:paraId="652E5476" w14:textId="77777777" w:rsidR="004E71F4" w:rsidRPr="00A3389E" w:rsidRDefault="004E71F4" w:rsidP="00155C96">
            <w:pPr>
              <w:pStyle w:val="Applicationdirecte"/>
              <w:spacing w:before="0"/>
            </w:pPr>
            <w:r w:rsidRPr="00A3389E">
              <w:t>005</w:t>
            </w:r>
          </w:p>
        </w:tc>
        <w:tc>
          <w:tcPr>
            <w:tcW w:w="7655" w:type="dxa"/>
          </w:tcPr>
          <w:p w14:paraId="3D6B1985" w14:textId="2FE9945B" w:rsidR="004E71F4" w:rsidRPr="00A3389E" w:rsidRDefault="004E71F4" w:rsidP="00155C96">
            <w:pPr>
              <w:pStyle w:val="Applicationdirecte"/>
              <w:spacing w:before="0"/>
              <w:rPr>
                <w:b/>
              </w:rPr>
            </w:pPr>
            <w:r w:rsidRPr="00A3389E">
              <w:rPr>
                <w:b/>
              </w:rPr>
              <w:t>Pokladničné zostatky</w:t>
            </w:r>
            <w:r w:rsidR="00A3389E">
              <w:rPr>
                <w:b/>
              </w:rPr>
              <w:t xml:space="preserve"> v </w:t>
            </w:r>
            <w:r w:rsidRPr="00A3389E">
              <w:rPr>
                <w:b/>
              </w:rPr>
              <w:t>centrálnych bankách</w:t>
            </w:r>
            <w:r w:rsidR="00A3389E">
              <w:rPr>
                <w:b/>
              </w:rPr>
              <w:t xml:space="preserve"> a </w:t>
            </w:r>
            <w:r w:rsidRPr="00A3389E">
              <w:rPr>
                <w:b/>
              </w:rPr>
              <w:t>ostatné vklady splatné na požiadanie</w:t>
            </w:r>
          </w:p>
          <w:p w14:paraId="50BED74F" w14:textId="5E327D57" w:rsidR="004E71F4" w:rsidRPr="00A3389E" w:rsidRDefault="004E71F4" w:rsidP="00155C96">
            <w:pPr>
              <w:pStyle w:val="Applicationdirecte"/>
              <w:spacing w:before="0"/>
            </w:pPr>
            <w:r w:rsidRPr="00A3389E">
              <w:t>Inštitúcie zverejňujú tieto informácie</w:t>
            </w:r>
            <w:r w:rsidR="00A3389E">
              <w:t xml:space="preserve"> v </w:t>
            </w:r>
            <w:r w:rsidRPr="00A3389E">
              <w:t>súlade</w:t>
            </w:r>
            <w:r w:rsidR="00A3389E">
              <w:t xml:space="preserve"> s </w:t>
            </w:r>
            <w:r w:rsidRPr="00A3389E">
              <w:t>informáciami vykázanými</w:t>
            </w:r>
            <w:r w:rsidR="00A3389E">
              <w:t xml:space="preserve"> v </w:t>
            </w:r>
            <w:r w:rsidRPr="00A3389E">
              <w:t>prílohách III</w:t>
            </w:r>
            <w:r w:rsidR="00A3389E">
              <w:t xml:space="preserve"> a </w:t>
            </w:r>
            <w:r w:rsidRPr="00A3389E">
              <w:t>IV</w:t>
            </w:r>
            <w:r w:rsidR="00A3389E">
              <w:t xml:space="preserve"> k </w:t>
            </w:r>
            <w:r w:rsidRPr="00A3389E">
              <w:t xml:space="preserve">vykonávaciemu nariadeniu Komisie (EÚ) </w:t>
            </w:r>
            <w:r w:rsidR="00A3389E">
              <w:t>č. </w:t>
            </w:r>
            <w:r w:rsidRPr="00A3389E">
              <w:t>680/2014.</w:t>
            </w:r>
          </w:p>
        </w:tc>
      </w:tr>
      <w:tr w:rsidR="004E71F4" w:rsidRPr="00A3389E" w14:paraId="327FB056" w14:textId="77777777" w:rsidTr="00155C96">
        <w:trPr>
          <w:trHeight w:val="845"/>
        </w:trPr>
        <w:tc>
          <w:tcPr>
            <w:tcW w:w="1384" w:type="dxa"/>
          </w:tcPr>
          <w:p w14:paraId="545A75CF" w14:textId="77777777" w:rsidR="004E71F4" w:rsidRPr="00A3389E" w:rsidRDefault="004E71F4" w:rsidP="00155C96">
            <w:pPr>
              <w:pStyle w:val="Applicationdirecte"/>
              <w:spacing w:before="0"/>
            </w:pPr>
            <w:r w:rsidRPr="00A3389E">
              <w:t>010</w:t>
            </w:r>
          </w:p>
        </w:tc>
        <w:tc>
          <w:tcPr>
            <w:tcW w:w="7655" w:type="dxa"/>
          </w:tcPr>
          <w:p w14:paraId="2D665D91" w14:textId="7DAECAC3" w:rsidR="004E71F4" w:rsidRPr="00A3389E" w:rsidRDefault="004E71F4" w:rsidP="00155C96">
            <w:pPr>
              <w:pStyle w:val="Applicationdirecte"/>
              <w:spacing w:before="0"/>
              <w:rPr>
                <w:b/>
              </w:rPr>
            </w:pPr>
            <w:r w:rsidRPr="00A3389E">
              <w:rPr>
                <w:b/>
              </w:rPr>
              <w:t>Úvery</w:t>
            </w:r>
            <w:r w:rsidR="00A3389E">
              <w:rPr>
                <w:b/>
              </w:rPr>
              <w:t xml:space="preserve"> a </w:t>
            </w:r>
            <w:r w:rsidRPr="00A3389E">
              <w:rPr>
                <w:b/>
              </w:rPr>
              <w:t>preddavky</w:t>
            </w:r>
          </w:p>
          <w:p w14:paraId="4B205592" w14:textId="07E58D98" w:rsidR="004E71F4" w:rsidRPr="00A3389E" w:rsidRDefault="004E71F4" w:rsidP="00155C96">
            <w:pPr>
              <w:pStyle w:val="Applicationdirecte"/>
              <w:spacing w:before="0"/>
            </w:pPr>
            <w:r w:rsidRPr="00A3389E">
              <w:t>Pozri vymedzenie</w:t>
            </w:r>
            <w:r w:rsidR="00A3389E">
              <w:t xml:space="preserve"> v </w:t>
            </w:r>
            <w:r w:rsidRPr="00A3389E">
              <w:t>EU-CR1: Bezproblémové</w:t>
            </w:r>
            <w:r w:rsidR="00A3389E">
              <w:t xml:space="preserve"> a </w:t>
            </w:r>
            <w:r w:rsidRPr="00A3389E">
              <w:t>problémové expozície</w:t>
            </w:r>
            <w:r w:rsidR="00A3389E">
              <w:t xml:space="preserve"> a </w:t>
            </w:r>
            <w:r w:rsidRPr="00A3389E">
              <w:t>súvisiace rezervy.</w:t>
            </w:r>
          </w:p>
        </w:tc>
      </w:tr>
      <w:tr w:rsidR="004E71F4" w:rsidRPr="00A3389E" w14:paraId="1CF6B9A3" w14:textId="77777777" w:rsidTr="00476DE3">
        <w:trPr>
          <w:trHeight w:val="2927"/>
        </w:trPr>
        <w:tc>
          <w:tcPr>
            <w:tcW w:w="1384" w:type="dxa"/>
          </w:tcPr>
          <w:p w14:paraId="679C951A" w14:textId="77777777" w:rsidR="004E71F4" w:rsidRPr="00A3389E" w:rsidRDefault="004E71F4" w:rsidP="00155C96">
            <w:pPr>
              <w:pStyle w:val="Applicationdirecte"/>
              <w:spacing w:before="0"/>
            </w:pPr>
            <w:r w:rsidRPr="00A3389E">
              <w:t>020 – 060, 080, 100 – 140, 160 – 210</w:t>
            </w:r>
          </w:p>
        </w:tc>
        <w:tc>
          <w:tcPr>
            <w:tcW w:w="7655" w:type="dxa"/>
          </w:tcPr>
          <w:p w14:paraId="7D10F9AE" w14:textId="77777777" w:rsidR="004E71F4" w:rsidRPr="00A3389E" w:rsidRDefault="004E71F4" w:rsidP="00155C96">
            <w:pPr>
              <w:pStyle w:val="Applicationdirecte"/>
              <w:spacing w:before="0"/>
              <w:rPr>
                <w:b/>
              </w:rPr>
            </w:pPr>
            <w:r w:rsidRPr="00A3389E">
              <w:rPr>
                <w:b/>
              </w:rPr>
              <w:t>Rozčlenenie protistrán</w:t>
            </w:r>
          </w:p>
          <w:p w14:paraId="0F47965A" w14:textId="4D7A3CAD" w:rsidR="004E71F4" w:rsidRPr="00A3389E" w:rsidRDefault="004E71F4" w:rsidP="00155C96">
            <w:pPr>
              <w:pStyle w:val="Applicationdirecte"/>
              <w:spacing w:before="0"/>
            </w:pPr>
            <w:r w:rsidRPr="00A3389E">
              <w:t>Inštitúcie uplatňujú rozčlenenie podľa protistrán, ako sa vymedzuje</w:t>
            </w:r>
            <w:r w:rsidR="00A3389E">
              <w:t xml:space="preserve"> v </w:t>
            </w:r>
            <w:r w:rsidRPr="00A3389E">
              <w:t>časti 1 odseku 42 prílohy</w:t>
            </w:r>
            <w:r w:rsidR="00A3389E">
              <w:t xml:space="preserve"> V k </w:t>
            </w:r>
            <w:r w:rsidRPr="00A3389E">
              <w:t xml:space="preserve">vykonávaciemu nariadeniu Komisie (EÚ) </w:t>
            </w:r>
            <w:r w:rsidR="00A3389E">
              <w:t>č. </w:t>
            </w:r>
            <w:r w:rsidRPr="00A3389E">
              <w:t>680/2014.</w:t>
            </w:r>
          </w:p>
          <w:p w14:paraId="485FC433" w14:textId="1B19A9BA" w:rsidR="004E71F4" w:rsidRPr="00A3389E" w:rsidRDefault="004E71F4" w:rsidP="00155C96">
            <w:pPr>
              <w:pStyle w:val="Fait"/>
              <w:spacing w:before="0" w:after="120"/>
            </w:pPr>
            <w:r w:rsidRPr="00A3389E">
              <w:t>Priradenie sektora protistrany sa zakladá výhradne na povahe bezprostrednej protistrany. Klasifikácia expozícií, ktoré vznikli spoločne viac než jednému dlžníkovi, sa vykonáva na základe vlastností dlžníka, ktorý bol pre rozhodnutie inštitúcie udeliť expozíciu relevantnejší alebo rozhodujúci. Popri iných klasifikáciách musí byť rozdelenie spoločne vzniknutých expozícií podľa sektora protistrany, krajiny sídla</w:t>
            </w:r>
            <w:r w:rsidR="00A3389E">
              <w:t xml:space="preserve"> a </w:t>
            </w:r>
            <w:r w:rsidRPr="00A3389E">
              <w:t>kódu NACE motivované vlastnosťami relevantnejšieho alebo rozhodujúcejšieho dlžníka.</w:t>
            </w:r>
          </w:p>
        </w:tc>
      </w:tr>
      <w:tr w:rsidR="004E71F4" w:rsidRPr="00A3389E" w14:paraId="55315A3B" w14:textId="77777777" w:rsidTr="00155C96">
        <w:trPr>
          <w:trHeight w:val="316"/>
        </w:trPr>
        <w:tc>
          <w:tcPr>
            <w:tcW w:w="1384" w:type="dxa"/>
          </w:tcPr>
          <w:p w14:paraId="403C6547"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sz w:val="24"/>
              </w:rPr>
              <w:t>070</w:t>
            </w:r>
          </w:p>
        </w:tc>
        <w:tc>
          <w:tcPr>
            <w:tcW w:w="7655" w:type="dxa"/>
          </w:tcPr>
          <w:p w14:paraId="68061E12"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MSP</w:t>
            </w:r>
          </w:p>
          <w:p w14:paraId="4DBC8B1B" w14:textId="1161D60D"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Ako sa vymedzuje</w:t>
            </w:r>
            <w:r w:rsidR="00A3389E">
              <w:rPr>
                <w:rFonts w:ascii="Times New Roman" w:hAnsi="Times New Roman" w:cs="Times New Roman"/>
                <w:sz w:val="24"/>
              </w:rPr>
              <w:t xml:space="preserve"> v </w:t>
            </w:r>
            <w:r w:rsidRPr="00A3389E">
              <w:rPr>
                <w:rFonts w:ascii="Times New Roman" w:hAnsi="Times New Roman" w:cs="Times New Roman"/>
                <w:sz w:val="24"/>
              </w:rPr>
              <w:t>časti 1 odseku 5 písm. i) prílohy</w:t>
            </w:r>
            <w:r w:rsidR="00A3389E">
              <w:rPr>
                <w:rFonts w:ascii="Times New Roman" w:hAnsi="Times New Roman" w:cs="Times New Roman"/>
                <w:sz w:val="24"/>
              </w:rPr>
              <w:t xml:space="preserve"> V k </w:t>
            </w:r>
            <w:r w:rsidRPr="00A3389E">
              <w:rPr>
                <w:rFonts w:ascii="Times New Roman" w:hAnsi="Times New Roman" w:cs="Times New Roman"/>
                <w:sz w:val="24"/>
              </w:rPr>
              <w:t xml:space="preserve">vykonávaciemu nariadeniu Komisie (EÚ) </w:t>
            </w:r>
            <w:r w:rsidR="00A3389E">
              <w:rPr>
                <w:rFonts w:ascii="Times New Roman" w:hAnsi="Times New Roman" w:cs="Times New Roman"/>
                <w:sz w:val="24"/>
              </w:rPr>
              <w:t>č. </w:t>
            </w:r>
            <w:r w:rsidRPr="00A3389E">
              <w:rPr>
                <w:rFonts w:ascii="Times New Roman" w:hAnsi="Times New Roman" w:cs="Times New Roman"/>
                <w:sz w:val="24"/>
              </w:rPr>
              <w:t>680/2014.</w:t>
            </w:r>
          </w:p>
        </w:tc>
      </w:tr>
      <w:tr w:rsidR="004E71F4" w:rsidRPr="00A3389E" w14:paraId="6B9153EE" w14:textId="77777777" w:rsidTr="00155C96">
        <w:trPr>
          <w:trHeight w:val="530"/>
        </w:trPr>
        <w:tc>
          <w:tcPr>
            <w:tcW w:w="1384" w:type="dxa"/>
          </w:tcPr>
          <w:p w14:paraId="615F77F3"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lastRenderedPageBreak/>
              <w:t>090</w:t>
            </w:r>
          </w:p>
        </w:tc>
        <w:tc>
          <w:tcPr>
            <w:tcW w:w="7655" w:type="dxa"/>
          </w:tcPr>
          <w:p w14:paraId="2689A269"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Dlhové cenné papiere</w:t>
            </w:r>
          </w:p>
          <w:p w14:paraId="092856A9" w14:textId="32B0FBBA" w:rsidR="004E71F4" w:rsidRPr="00A3389E" w:rsidRDefault="004E71F4" w:rsidP="00155C96">
            <w:pPr>
              <w:pStyle w:val="Applicationdirecte"/>
              <w:spacing w:before="0"/>
            </w:pPr>
            <w:r w:rsidRPr="00A3389E">
              <w:t>Pozri vymedzenie</w:t>
            </w:r>
            <w:r w:rsidR="00A3389E">
              <w:t xml:space="preserve"> v </w:t>
            </w:r>
            <w:r w:rsidRPr="00A3389E">
              <w:t>EU-CR1: Bezproblémové</w:t>
            </w:r>
            <w:r w:rsidR="00A3389E">
              <w:t xml:space="preserve"> a </w:t>
            </w:r>
            <w:r w:rsidRPr="00A3389E">
              <w:t>problémové expozície</w:t>
            </w:r>
            <w:r w:rsidR="00A3389E">
              <w:t xml:space="preserve"> a </w:t>
            </w:r>
            <w:r w:rsidRPr="00A3389E">
              <w:t>súvisiace rezervy.</w:t>
            </w:r>
          </w:p>
        </w:tc>
      </w:tr>
      <w:tr w:rsidR="004E71F4" w:rsidRPr="00A3389E" w14:paraId="7A92C4D0" w14:textId="77777777" w:rsidTr="00155C96">
        <w:trPr>
          <w:trHeight w:val="620"/>
        </w:trPr>
        <w:tc>
          <w:tcPr>
            <w:tcW w:w="1384" w:type="dxa"/>
          </w:tcPr>
          <w:p w14:paraId="414DB6B0"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150</w:t>
            </w:r>
          </w:p>
        </w:tc>
        <w:tc>
          <w:tcPr>
            <w:tcW w:w="7655" w:type="dxa"/>
          </w:tcPr>
          <w:p w14:paraId="5D66670F"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Podsúvahové expozície</w:t>
            </w:r>
          </w:p>
          <w:p w14:paraId="3C8CA495" w14:textId="3A8E9C28" w:rsidR="004E71F4" w:rsidRPr="00A3389E" w:rsidRDefault="004E71F4" w:rsidP="00155C96">
            <w:pPr>
              <w:pStyle w:val="Applicationdirecte"/>
              <w:spacing w:before="0"/>
            </w:pPr>
            <w:r w:rsidRPr="00A3389E">
              <w:t>Pozri vymedzenie</w:t>
            </w:r>
            <w:r w:rsidR="00A3389E">
              <w:t xml:space="preserve"> v </w:t>
            </w:r>
            <w:r w:rsidRPr="00A3389E">
              <w:t>EU-CR1: Bezproblémové</w:t>
            </w:r>
            <w:r w:rsidR="00A3389E">
              <w:t xml:space="preserve"> a </w:t>
            </w:r>
            <w:r w:rsidRPr="00A3389E">
              <w:t>problémové expozície</w:t>
            </w:r>
            <w:r w:rsidR="00A3389E">
              <w:t xml:space="preserve"> a </w:t>
            </w:r>
            <w:r w:rsidRPr="00A3389E">
              <w:t>súvisiace rezervy.</w:t>
            </w:r>
          </w:p>
        </w:tc>
      </w:tr>
      <w:tr w:rsidR="004E71F4" w:rsidRPr="00A3389E" w14:paraId="5F50AD39" w14:textId="77777777" w:rsidTr="00155C96">
        <w:trPr>
          <w:trHeight w:val="273"/>
        </w:trPr>
        <w:tc>
          <w:tcPr>
            <w:tcW w:w="1384" w:type="dxa"/>
          </w:tcPr>
          <w:p w14:paraId="6B9553D9"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210</w:t>
            </w:r>
          </w:p>
        </w:tc>
        <w:tc>
          <w:tcPr>
            <w:tcW w:w="7655" w:type="dxa"/>
          </w:tcPr>
          <w:p w14:paraId="5ABEA870"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Spolu</w:t>
            </w:r>
          </w:p>
        </w:tc>
      </w:tr>
    </w:tbl>
    <w:p w14:paraId="35124A0F"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0FFA4F8A" w14:textId="77777777" w:rsidTr="00155C96">
        <w:trPr>
          <w:trHeight w:val="238"/>
        </w:trPr>
        <w:tc>
          <w:tcPr>
            <w:tcW w:w="9039" w:type="dxa"/>
            <w:gridSpan w:val="2"/>
            <w:shd w:val="clear" w:color="auto" w:fill="D9D9D9" w:themeFill="background1" w:themeFillShade="D9"/>
          </w:tcPr>
          <w:p w14:paraId="19AFFFF0" w14:textId="65C8CF6E"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004F64FE" w14:textId="77777777" w:rsidTr="00155C96">
        <w:trPr>
          <w:trHeight w:val="238"/>
        </w:trPr>
        <w:tc>
          <w:tcPr>
            <w:tcW w:w="1384" w:type="dxa"/>
            <w:shd w:val="clear" w:color="auto" w:fill="D9D9D9" w:themeFill="background1" w:themeFillShade="D9"/>
          </w:tcPr>
          <w:p w14:paraId="10CA2133"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3568609E"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4D1F4E45" w14:textId="77777777" w:rsidTr="00155C96">
        <w:trPr>
          <w:trHeight w:val="841"/>
        </w:trPr>
        <w:tc>
          <w:tcPr>
            <w:tcW w:w="1384" w:type="dxa"/>
          </w:tcPr>
          <w:p w14:paraId="00E224B7" w14:textId="77777777" w:rsidR="004E71F4" w:rsidRPr="00A3389E" w:rsidRDefault="004E71F4" w:rsidP="00155C96">
            <w:pPr>
              <w:pStyle w:val="Applicationdirecte"/>
              <w:spacing w:before="0"/>
            </w:pPr>
            <w:r w:rsidRPr="00A3389E">
              <w:t>a</w:t>
            </w:r>
          </w:p>
        </w:tc>
        <w:tc>
          <w:tcPr>
            <w:tcW w:w="7655" w:type="dxa"/>
          </w:tcPr>
          <w:p w14:paraId="50E544EE" w14:textId="77777777" w:rsidR="00A3389E" w:rsidRPr="00A3389E" w:rsidRDefault="004E71F4" w:rsidP="00155C96">
            <w:pPr>
              <w:pStyle w:val="Fait"/>
              <w:spacing w:before="0" w:after="120"/>
              <w:rPr>
                <w:b/>
              </w:rPr>
            </w:pPr>
            <w:r w:rsidRPr="00A3389E">
              <w:rPr>
                <w:b/>
              </w:rPr>
              <w:t>Hrubá účtovná hodnota/nominálna hodnota pri bezproblémových expozíciách</w:t>
            </w:r>
          </w:p>
          <w:p w14:paraId="70B79014" w14:textId="6CAB1ECA" w:rsidR="004E71F4" w:rsidRPr="00A3389E" w:rsidRDefault="004E71F4" w:rsidP="00155C96">
            <w:pPr>
              <w:pStyle w:val="Fait"/>
              <w:spacing w:before="0" w:after="120"/>
            </w:pPr>
            <w:r w:rsidRPr="00A3389E">
              <w:t>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680/2014; nominálna hodnota, ako sa vymedzuje</w:t>
            </w:r>
            <w:r w:rsidR="00A3389E">
              <w:t xml:space="preserve"> v </w:t>
            </w:r>
            <w:r w:rsidRPr="00A3389E">
              <w:t>časti 2 odseku 118 prílohy</w:t>
            </w:r>
            <w:r w:rsidR="00A3389E">
              <w:t xml:space="preserve"> V k </w:t>
            </w:r>
            <w:r w:rsidRPr="00A3389E">
              <w:t xml:space="preserve">vykonávaciemu nariadeniu Komisie (EÚ) </w:t>
            </w:r>
            <w:r w:rsidR="00A3389E">
              <w:t>č. </w:t>
            </w:r>
            <w:r w:rsidRPr="00A3389E">
              <w:t>680/2014.</w:t>
            </w:r>
          </w:p>
        </w:tc>
      </w:tr>
      <w:tr w:rsidR="004E71F4" w:rsidRPr="00A3389E" w14:paraId="341C51F7" w14:textId="77777777" w:rsidTr="00155C96">
        <w:trPr>
          <w:trHeight w:val="841"/>
        </w:trPr>
        <w:tc>
          <w:tcPr>
            <w:tcW w:w="1384" w:type="dxa"/>
          </w:tcPr>
          <w:p w14:paraId="450A8269" w14:textId="77777777" w:rsidR="004E71F4" w:rsidRPr="00A3389E" w:rsidRDefault="004E71F4" w:rsidP="00155C96">
            <w:pPr>
              <w:pStyle w:val="Applicationdirecte"/>
              <w:spacing w:before="0"/>
            </w:pPr>
            <w:r w:rsidRPr="00A3389E">
              <w:t>b</w:t>
            </w:r>
          </w:p>
        </w:tc>
        <w:tc>
          <w:tcPr>
            <w:tcW w:w="7655" w:type="dxa"/>
          </w:tcPr>
          <w:p w14:paraId="3F39CBB7" w14:textId="79977EBF" w:rsidR="004E71F4" w:rsidRPr="00A3389E" w:rsidRDefault="004E71F4" w:rsidP="00155C96">
            <w:pPr>
              <w:pStyle w:val="Fait"/>
              <w:spacing w:before="0" w:after="120"/>
              <w:ind w:left="720"/>
              <w:rPr>
                <w:rFonts w:eastAsiaTheme="minorEastAsia"/>
                <w:b/>
              </w:rPr>
            </w:pPr>
            <w:r w:rsidRPr="00A3389E">
              <w:rPr>
                <w:b/>
              </w:rPr>
              <w:t>Z čoho:</w:t>
            </w:r>
            <w:r w:rsidR="00A3389E">
              <w:rPr>
                <w:b/>
              </w:rPr>
              <w:t xml:space="preserve"> V </w:t>
            </w:r>
            <w:r w:rsidRPr="00A3389E">
              <w:rPr>
                <w:b/>
              </w:rPr>
              <w:t>rámci splatnosti alebo po splatnosti ≤ 30 dní</w:t>
            </w:r>
          </w:p>
          <w:p w14:paraId="2748EF98" w14:textId="77777777" w:rsidR="004E71F4" w:rsidRPr="00A3389E" w:rsidRDefault="004E71F4" w:rsidP="00155C96">
            <w:pPr>
              <w:pStyle w:val="Fait"/>
              <w:spacing w:before="0" w:after="120"/>
              <w:rPr>
                <w:rFonts w:eastAsiaTheme="minorEastAsia"/>
              </w:rPr>
            </w:pPr>
            <w:r w:rsidRPr="00A3389E">
              <w:t>Podkategória bezproblémových expozícií, ktoré nie sú po splatnosti alebo sú po splatnosti 1 až 30 dní.</w:t>
            </w:r>
          </w:p>
        </w:tc>
      </w:tr>
      <w:tr w:rsidR="004E71F4" w:rsidRPr="00A3389E" w14:paraId="045F8077" w14:textId="77777777" w:rsidTr="00155C96">
        <w:trPr>
          <w:trHeight w:val="841"/>
        </w:trPr>
        <w:tc>
          <w:tcPr>
            <w:tcW w:w="1384" w:type="dxa"/>
          </w:tcPr>
          <w:p w14:paraId="3D814FF7" w14:textId="77777777" w:rsidR="004E71F4" w:rsidRPr="00A3389E" w:rsidRDefault="004E71F4" w:rsidP="00155C96">
            <w:pPr>
              <w:pStyle w:val="Applicationdirecte"/>
              <w:spacing w:before="0"/>
            </w:pPr>
            <w:r w:rsidRPr="00A3389E">
              <w:t>c</w:t>
            </w:r>
          </w:p>
        </w:tc>
        <w:tc>
          <w:tcPr>
            <w:tcW w:w="7655" w:type="dxa"/>
          </w:tcPr>
          <w:p w14:paraId="24E58B67" w14:textId="77777777" w:rsidR="004E71F4" w:rsidRPr="00A3389E" w:rsidRDefault="004E71F4" w:rsidP="00155C96">
            <w:pPr>
              <w:pStyle w:val="Fait"/>
              <w:spacing w:before="0" w:after="120"/>
              <w:ind w:left="720"/>
              <w:rPr>
                <w:rFonts w:eastAsiaTheme="minorEastAsia"/>
                <w:b/>
              </w:rPr>
            </w:pPr>
            <w:r w:rsidRPr="00A3389E">
              <w:rPr>
                <w:b/>
              </w:rPr>
              <w:t>Z čoho: Po splatnosti &gt; 30 dní ≤ 90 dní</w:t>
            </w:r>
          </w:p>
          <w:p w14:paraId="1521ABA3" w14:textId="77777777" w:rsidR="004E71F4" w:rsidRPr="00A3389E" w:rsidRDefault="004E71F4" w:rsidP="00155C96">
            <w:pPr>
              <w:pStyle w:val="Fait"/>
              <w:spacing w:before="0" w:after="120"/>
            </w:pPr>
            <w:r w:rsidRPr="00A3389E">
              <w:t>Podkategória bezproblémových expozícií, ktoré sú 31 až 90 dní po splatnosti.</w:t>
            </w:r>
          </w:p>
          <w:p w14:paraId="47C24F0D" w14:textId="6E4D76DB" w:rsidR="004E71F4" w:rsidRPr="00A3389E" w:rsidRDefault="004E71F4" w:rsidP="00155C96">
            <w:pPr>
              <w:pStyle w:val="Fait"/>
              <w:spacing w:before="0" w:after="120"/>
              <w:rPr>
                <w:rFonts w:eastAsiaTheme="minorEastAsia"/>
              </w:rPr>
            </w:pPr>
            <w:r w:rsidRPr="00A3389E">
              <w:t>Okrem toho sa do tejto podkategórie zahŕňajú aj expozície, ktoré sú viac než 90 dní po splatnosti</w:t>
            </w:r>
            <w:r w:rsidR="00A3389E">
              <w:t xml:space="preserve"> a </w:t>
            </w:r>
            <w:r w:rsidRPr="00A3389E">
              <w:t>ktoré nie sú významné.</w:t>
            </w:r>
          </w:p>
        </w:tc>
      </w:tr>
      <w:tr w:rsidR="004E71F4" w:rsidRPr="00A3389E" w14:paraId="28287BB1" w14:textId="77777777" w:rsidTr="00155C96">
        <w:trPr>
          <w:trHeight w:val="841"/>
        </w:trPr>
        <w:tc>
          <w:tcPr>
            <w:tcW w:w="1384" w:type="dxa"/>
          </w:tcPr>
          <w:p w14:paraId="5ED0076E" w14:textId="77777777" w:rsidR="004E71F4" w:rsidRPr="00A3389E" w:rsidRDefault="004E71F4" w:rsidP="00155C96">
            <w:pPr>
              <w:pStyle w:val="Applicationdirecte"/>
              <w:spacing w:before="0"/>
            </w:pPr>
            <w:r w:rsidRPr="00A3389E">
              <w:t>d</w:t>
            </w:r>
          </w:p>
        </w:tc>
        <w:tc>
          <w:tcPr>
            <w:tcW w:w="7655" w:type="dxa"/>
          </w:tcPr>
          <w:p w14:paraId="6DB9FB9F" w14:textId="77777777" w:rsidR="004E71F4" w:rsidRPr="00A3389E" w:rsidRDefault="004E71F4" w:rsidP="00155C96">
            <w:pPr>
              <w:pStyle w:val="Fait"/>
              <w:spacing w:before="0" w:after="120"/>
              <w:rPr>
                <w:rFonts w:eastAsiaTheme="minorEastAsia"/>
                <w:b/>
              </w:rPr>
            </w:pPr>
            <w:r w:rsidRPr="00A3389E">
              <w:rPr>
                <w:b/>
              </w:rPr>
              <w:t>Hrubá účtovná hodnota/nominálna hodnota pri problémových expozíciách</w:t>
            </w:r>
          </w:p>
          <w:p w14:paraId="12F6FBD9" w14:textId="64DFFA34" w:rsidR="004E71F4" w:rsidRPr="00A3389E" w:rsidRDefault="004E71F4" w:rsidP="00155C96">
            <w:pPr>
              <w:pStyle w:val="Fait"/>
              <w:spacing w:before="0" w:after="120"/>
              <w:rPr>
                <w:b/>
              </w:rPr>
            </w:pPr>
            <w:r w:rsidRPr="00A3389E">
              <w:t>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 xml:space="preserve">680/2014; nominálna </w:t>
            </w:r>
            <w:r w:rsidRPr="00A3389E">
              <w:rPr>
                <w:i/>
              </w:rPr>
              <w:t>hodnota, ako sa vymedzuje</w:t>
            </w:r>
            <w:r w:rsidR="00A3389E">
              <w:rPr>
                <w:i/>
              </w:rPr>
              <w:t xml:space="preserve"> v </w:t>
            </w:r>
            <w:r w:rsidRPr="00A3389E">
              <w:rPr>
                <w:i/>
              </w:rPr>
              <w:t>časti 2 odseku 118 prílohy</w:t>
            </w:r>
            <w:r w:rsidR="00A3389E">
              <w:rPr>
                <w:i/>
              </w:rPr>
              <w:t xml:space="preserve"> V k </w:t>
            </w:r>
            <w:r w:rsidRPr="00A3389E">
              <w:rPr>
                <w:i/>
              </w:rPr>
              <w:t xml:space="preserve">vykonávaciemu nariadeniu Komisie (EÚ) </w:t>
            </w:r>
            <w:r w:rsidR="00A3389E">
              <w:rPr>
                <w:i/>
              </w:rPr>
              <w:t>č. </w:t>
            </w:r>
            <w:r w:rsidRPr="00A3389E">
              <w:rPr>
                <w:i/>
              </w:rPr>
              <w:t>680/2014</w:t>
            </w:r>
            <w:r w:rsidRPr="00A3389E">
              <w:t>; problémové expozície podľa vymedzenia</w:t>
            </w:r>
            <w:r w:rsidR="00A3389E">
              <w:t xml:space="preserve"> v </w:t>
            </w:r>
            <w:r w:rsidRPr="00A3389E">
              <w:t>článku 47a CRR.</w:t>
            </w:r>
          </w:p>
        </w:tc>
      </w:tr>
      <w:tr w:rsidR="004E71F4" w:rsidRPr="00A3389E" w14:paraId="2F264390" w14:textId="77777777" w:rsidTr="00155C96">
        <w:trPr>
          <w:trHeight w:val="316"/>
        </w:trPr>
        <w:tc>
          <w:tcPr>
            <w:tcW w:w="1384" w:type="dxa"/>
          </w:tcPr>
          <w:p w14:paraId="341DF032" w14:textId="77777777" w:rsidR="004E71F4" w:rsidRPr="00A3389E" w:rsidRDefault="004E71F4" w:rsidP="00155C96">
            <w:pPr>
              <w:pStyle w:val="Applicationdirecte"/>
              <w:spacing w:before="0"/>
            </w:pPr>
            <w:r w:rsidRPr="00A3389E">
              <w:t>e</w:t>
            </w:r>
          </w:p>
        </w:tc>
        <w:tc>
          <w:tcPr>
            <w:tcW w:w="7655" w:type="dxa"/>
          </w:tcPr>
          <w:p w14:paraId="7B947F29" w14:textId="3A7FDFDA" w:rsidR="004E71F4" w:rsidRPr="00A3389E" w:rsidRDefault="004E71F4" w:rsidP="00155C96">
            <w:pPr>
              <w:autoSpaceDE w:val="0"/>
              <w:autoSpaceDN w:val="0"/>
              <w:adjustRightInd w:val="0"/>
              <w:spacing w:after="120"/>
              <w:ind w:left="720"/>
              <w:jc w:val="both"/>
              <w:rPr>
                <w:rFonts w:ascii="Times New Roman" w:hAnsi="Times New Roman" w:cs="Times New Roman"/>
                <w:b/>
                <w:sz w:val="24"/>
              </w:rPr>
            </w:pPr>
            <w:r w:rsidRPr="00A3389E">
              <w:rPr>
                <w:rFonts w:ascii="Times New Roman" w:hAnsi="Times New Roman" w:cs="Times New Roman"/>
                <w:b/>
                <w:sz w:val="24"/>
              </w:rPr>
              <w:t>Z čoho: Splatenie nepravdepodobné, ktoré sú</w:t>
            </w:r>
            <w:r w:rsidR="00A3389E">
              <w:rPr>
                <w:rFonts w:ascii="Times New Roman" w:hAnsi="Times New Roman" w:cs="Times New Roman"/>
                <w:b/>
                <w:sz w:val="24"/>
              </w:rPr>
              <w:t xml:space="preserve"> v </w:t>
            </w:r>
            <w:r w:rsidRPr="00A3389E">
              <w:rPr>
                <w:rFonts w:ascii="Times New Roman" w:hAnsi="Times New Roman" w:cs="Times New Roman"/>
                <w:b/>
                <w:sz w:val="24"/>
              </w:rPr>
              <w:t>rámci splatnosti alebo po splatnosti ≤ 90 dní</w:t>
            </w:r>
          </w:p>
          <w:p w14:paraId="0ADF2F4D" w14:textId="77777777" w:rsidR="004E71F4" w:rsidRPr="00A3389E" w:rsidRDefault="004E71F4"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Podkategória expozícií, ktoré buď nie sú po splatnosti, alebo sú najviac 90 dní po splatnosti, ale napriek tomu sú identifikované ako problémové podľa článku 47a CRR.</w:t>
            </w:r>
          </w:p>
        </w:tc>
      </w:tr>
      <w:tr w:rsidR="004E71F4" w:rsidRPr="00A3389E" w14:paraId="24C98E1F" w14:textId="77777777" w:rsidTr="00155C96">
        <w:trPr>
          <w:trHeight w:val="316"/>
        </w:trPr>
        <w:tc>
          <w:tcPr>
            <w:tcW w:w="1384" w:type="dxa"/>
          </w:tcPr>
          <w:p w14:paraId="69FAB3B1"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f</w:t>
            </w:r>
          </w:p>
        </w:tc>
        <w:tc>
          <w:tcPr>
            <w:tcW w:w="7655" w:type="dxa"/>
          </w:tcPr>
          <w:p w14:paraId="51CC78F9" w14:textId="77777777" w:rsidR="004E71F4" w:rsidRPr="00A3389E" w:rsidRDefault="004E71F4" w:rsidP="00155C96">
            <w:pPr>
              <w:autoSpaceDE w:val="0"/>
              <w:autoSpaceDN w:val="0"/>
              <w:adjustRightInd w:val="0"/>
              <w:spacing w:after="120"/>
              <w:ind w:left="720"/>
              <w:jc w:val="both"/>
              <w:rPr>
                <w:rFonts w:ascii="Times New Roman" w:hAnsi="Times New Roman" w:cs="Times New Roman"/>
                <w:b/>
                <w:sz w:val="24"/>
              </w:rPr>
            </w:pPr>
            <w:r w:rsidRPr="00A3389E">
              <w:rPr>
                <w:rFonts w:ascii="Times New Roman" w:hAnsi="Times New Roman" w:cs="Times New Roman"/>
                <w:b/>
                <w:sz w:val="24"/>
              </w:rPr>
              <w:t>Z čoho: Po splatnosti &gt; 90 dní ≤ 180 dní</w:t>
            </w:r>
          </w:p>
          <w:p w14:paraId="2C49C2F9" w14:textId="77777777"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Podkategória problémových expozícií, ktoré sú po splatnosti viac než 90 dní, ale najviac 180 dní.</w:t>
            </w:r>
          </w:p>
        </w:tc>
      </w:tr>
      <w:tr w:rsidR="004E71F4" w:rsidRPr="00A3389E" w14:paraId="6F94FF85" w14:textId="77777777" w:rsidTr="00155C96">
        <w:trPr>
          <w:trHeight w:val="316"/>
        </w:trPr>
        <w:tc>
          <w:tcPr>
            <w:tcW w:w="1384" w:type="dxa"/>
          </w:tcPr>
          <w:p w14:paraId="635DEF8F"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lastRenderedPageBreak/>
              <w:t>g</w:t>
            </w:r>
          </w:p>
        </w:tc>
        <w:tc>
          <w:tcPr>
            <w:tcW w:w="7655" w:type="dxa"/>
          </w:tcPr>
          <w:p w14:paraId="25BC38E9" w14:textId="77777777" w:rsidR="004E71F4" w:rsidRPr="00A3389E" w:rsidRDefault="004E71F4" w:rsidP="00155C96">
            <w:pPr>
              <w:autoSpaceDE w:val="0"/>
              <w:autoSpaceDN w:val="0"/>
              <w:adjustRightInd w:val="0"/>
              <w:spacing w:after="120"/>
              <w:ind w:left="720"/>
              <w:jc w:val="both"/>
              <w:rPr>
                <w:rFonts w:ascii="Times New Roman" w:hAnsi="Times New Roman" w:cs="Times New Roman"/>
                <w:b/>
                <w:sz w:val="24"/>
              </w:rPr>
            </w:pPr>
            <w:r w:rsidRPr="00A3389E">
              <w:rPr>
                <w:rFonts w:ascii="Times New Roman" w:hAnsi="Times New Roman" w:cs="Times New Roman"/>
                <w:b/>
                <w:sz w:val="24"/>
              </w:rPr>
              <w:t>Z čoho: Po splatnosti &gt; 180 dní ≤ 1 rok</w:t>
            </w:r>
          </w:p>
          <w:p w14:paraId="40E01511" w14:textId="77777777" w:rsidR="004E71F4" w:rsidRPr="00A3389E" w:rsidRDefault="004E71F4"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Podkategória problémových expozícií, ktoré sú po splatnosti viac než 180 dní, ale najviac 1 rok.</w:t>
            </w:r>
          </w:p>
        </w:tc>
      </w:tr>
      <w:tr w:rsidR="004E71F4" w:rsidRPr="00A3389E" w14:paraId="370A57D9" w14:textId="77777777" w:rsidTr="00155C96">
        <w:trPr>
          <w:trHeight w:val="695"/>
        </w:trPr>
        <w:tc>
          <w:tcPr>
            <w:tcW w:w="1384" w:type="dxa"/>
          </w:tcPr>
          <w:p w14:paraId="421B830F"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h</w:t>
            </w:r>
          </w:p>
        </w:tc>
        <w:tc>
          <w:tcPr>
            <w:tcW w:w="7655" w:type="dxa"/>
          </w:tcPr>
          <w:p w14:paraId="34CE3964" w14:textId="77777777" w:rsidR="00A3389E" w:rsidRPr="00A3389E" w:rsidRDefault="004E71F4" w:rsidP="00155C96">
            <w:pPr>
              <w:autoSpaceDE w:val="0"/>
              <w:autoSpaceDN w:val="0"/>
              <w:adjustRightInd w:val="0"/>
              <w:spacing w:after="120"/>
              <w:ind w:left="720"/>
              <w:rPr>
                <w:rFonts w:ascii="Times New Roman" w:hAnsi="Times New Roman" w:cs="Times New Roman"/>
                <w:sz w:val="24"/>
              </w:rPr>
            </w:pPr>
            <w:r w:rsidRPr="00A3389E">
              <w:rPr>
                <w:rFonts w:ascii="Times New Roman" w:hAnsi="Times New Roman" w:cs="Times New Roman"/>
                <w:b/>
                <w:sz w:val="24"/>
              </w:rPr>
              <w:t>Z čoho: Po splatnosti &gt; 1 rok ≤ 2 roky</w:t>
            </w:r>
          </w:p>
          <w:p w14:paraId="2013EA25" w14:textId="06924784"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sz w:val="24"/>
              </w:rPr>
              <w:t>Podkategória problémových expozícií, ktoré sú po splatnosti viac než 1 rok, ale najviac 2 roky.</w:t>
            </w:r>
          </w:p>
        </w:tc>
      </w:tr>
      <w:tr w:rsidR="004E71F4" w:rsidRPr="00A3389E" w14:paraId="36F34A9E" w14:textId="77777777" w:rsidTr="00155C96">
        <w:trPr>
          <w:trHeight w:val="695"/>
        </w:trPr>
        <w:tc>
          <w:tcPr>
            <w:tcW w:w="1384" w:type="dxa"/>
          </w:tcPr>
          <w:p w14:paraId="22D8E179"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i</w:t>
            </w:r>
          </w:p>
        </w:tc>
        <w:tc>
          <w:tcPr>
            <w:tcW w:w="7655" w:type="dxa"/>
          </w:tcPr>
          <w:p w14:paraId="754E96ED"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Po splatnosti &gt; 2 roky ≤ 5 rokov</w:t>
            </w:r>
          </w:p>
          <w:p w14:paraId="6300F63C"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sz w:val="24"/>
              </w:rPr>
              <w:t>Podkategória problémových expozícií, ktoré sú po splatnosti viac než 2 roky, ale najviac 5 rokov.</w:t>
            </w:r>
          </w:p>
        </w:tc>
      </w:tr>
      <w:tr w:rsidR="004E71F4" w:rsidRPr="00A3389E" w14:paraId="65433D17" w14:textId="77777777" w:rsidTr="00155C96">
        <w:trPr>
          <w:trHeight w:val="695"/>
        </w:trPr>
        <w:tc>
          <w:tcPr>
            <w:tcW w:w="1384" w:type="dxa"/>
          </w:tcPr>
          <w:p w14:paraId="2E825BAD"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j</w:t>
            </w:r>
          </w:p>
        </w:tc>
        <w:tc>
          <w:tcPr>
            <w:tcW w:w="7655" w:type="dxa"/>
          </w:tcPr>
          <w:p w14:paraId="5A03D23D"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Po splatnosti &gt; 5 rokov ≤ 7 rokov</w:t>
            </w:r>
          </w:p>
          <w:p w14:paraId="5FA5588F"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sz w:val="24"/>
              </w:rPr>
              <w:t>Podkategória problémových expozícií, ktoré sú po splatnosti viac než 5 rokov, ale najviac 7 rokov.</w:t>
            </w:r>
          </w:p>
        </w:tc>
      </w:tr>
      <w:tr w:rsidR="004E71F4" w:rsidRPr="00A3389E" w14:paraId="3A875F54" w14:textId="77777777" w:rsidTr="00155C96">
        <w:trPr>
          <w:trHeight w:val="695"/>
        </w:trPr>
        <w:tc>
          <w:tcPr>
            <w:tcW w:w="1384" w:type="dxa"/>
          </w:tcPr>
          <w:p w14:paraId="5F8B7EB5"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k</w:t>
            </w:r>
          </w:p>
        </w:tc>
        <w:tc>
          <w:tcPr>
            <w:tcW w:w="7655" w:type="dxa"/>
          </w:tcPr>
          <w:p w14:paraId="0588E06A"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Po splatnosti &gt; 7 rokov</w:t>
            </w:r>
          </w:p>
          <w:p w14:paraId="6F16033E"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sz w:val="24"/>
              </w:rPr>
              <w:t>Podkategória problémových expozícií, ktoré sú po splatnosti viac než 7 rokov.</w:t>
            </w:r>
          </w:p>
        </w:tc>
      </w:tr>
      <w:tr w:rsidR="004E71F4" w:rsidRPr="00A3389E" w14:paraId="14A411B1" w14:textId="77777777" w:rsidTr="00155C96">
        <w:trPr>
          <w:trHeight w:val="695"/>
        </w:trPr>
        <w:tc>
          <w:tcPr>
            <w:tcW w:w="1384" w:type="dxa"/>
          </w:tcPr>
          <w:p w14:paraId="7660F274"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l</w:t>
            </w:r>
          </w:p>
        </w:tc>
        <w:tc>
          <w:tcPr>
            <w:tcW w:w="7655" w:type="dxa"/>
          </w:tcPr>
          <w:p w14:paraId="00423D49" w14:textId="73D18DC4"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w:t>
            </w:r>
            <w:r w:rsidR="00A3389E">
              <w:rPr>
                <w:rFonts w:ascii="Times New Roman" w:hAnsi="Times New Roman" w:cs="Times New Roman"/>
                <w:b/>
                <w:sz w:val="24"/>
              </w:rPr>
              <w:t xml:space="preserve"> v </w:t>
            </w:r>
            <w:r w:rsidRPr="00A3389E">
              <w:rPr>
                <w:rFonts w:ascii="Times New Roman" w:hAnsi="Times New Roman" w:cs="Times New Roman"/>
                <w:b/>
                <w:sz w:val="24"/>
              </w:rPr>
              <w:t>stave zlyhania</w:t>
            </w:r>
          </w:p>
          <w:p w14:paraId="0835D7CA" w14:textId="197573F7" w:rsidR="004E71F4" w:rsidRPr="00A3389E" w:rsidRDefault="004E71F4"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Expozície</w:t>
            </w:r>
            <w:r w:rsidR="00A3389E">
              <w:rPr>
                <w:rFonts w:ascii="Times New Roman" w:hAnsi="Times New Roman" w:cs="Times New Roman"/>
                <w:sz w:val="24"/>
              </w:rPr>
              <w:t xml:space="preserve"> v </w:t>
            </w:r>
            <w:r w:rsidRPr="00A3389E">
              <w:rPr>
                <w:rFonts w:ascii="Times New Roman" w:hAnsi="Times New Roman" w:cs="Times New Roman"/>
                <w:sz w:val="24"/>
              </w:rPr>
              <w:t>stave zlyhania podľa článku 178 CRR.</w:t>
            </w:r>
          </w:p>
        </w:tc>
      </w:tr>
    </w:tbl>
    <w:p w14:paraId="754762B8" w14:textId="77777777" w:rsidR="004E71F4" w:rsidRPr="00A3389E" w:rsidRDefault="004E71F4" w:rsidP="004E71F4">
      <w:pPr>
        <w:autoSpaceDE w:val="0"/>
        <w:autoSpaceDN w:val="0"/>
        <w:adjustRightInd w:val="0"/>
        <w:spacing w:after="120"/>
        <w:rPr>
          <w:rFonts w:ascii="Times New Roman" w:hAnsi="Times New Roman" w:cs="Times New Roman"/>
          <w:sz w:val="24"/>
        </w:rPr>
      </w:pPr>
    </w:p>
    <w:p w14:paraId="53FF1644" w14:textId="77777777" w:rsidR="00A3389E" w:rsidRPr="00A3389E" w:rsidRDefault="00CD362D" w:rsidP="004E71F4">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Vzor EU CQ4: Kvalita problémových expozícií podľa geografického členenia</w:t>
      </w:r>
    </w:p>
    <w:p w14:paraId="629B62E2" w14:textId="11926E02" w:rsidR="004E71F4" w:rsidRPr="00476DE3" w:rsidRDefault="00A3389E" w:rsidP="00A3389E">
      <w:pPr>
        <w:spacing w:after="120"/>
        <w:ind w:left="720" w:hanging="360"/>
        <w:jc w:val="both"/>
        <w:rPr>
          <w:rFonts w:ascii="Times New Roman" w:hAnsi="Times New Roman"/>
          <w:bCs/>
          <w:spacing w:val="-6"/>
          <w:sz w:val="24"/>
        </w:rPr>
      </w:pPr>
      <w:r w:rsidRPr="00A3389E">
        <w:rPr>
          <w:rFonts w:ascii="Times New Roman" w:eastAsia="Calibri" w:hAnsi="Times New Roman" w:cs="Times New Roman"/>
          <w:bCs/>
          <w:sz w:val="24"/>
          <w:szCs w:val="22"/>
        </w:rPr>
        <w:t>5.</w:t>
      </w:r>
      <w:r w:rsidRPr="00A3389E">
        <w:rPr>
          <w:rFonts w:ascii="Times New Roman" w:eastAsia="Calibri" w:hAnsi="Times New Roman" w:cs="Times New Roman"/>
          <w:bCs/>
          <w:sz w:val="24"/>
          <w:szCs w:val="22"/>
        </w:rPr>
        <w:tab/>
      </w:r>
      <w:r w:rsidR="004E71F4" w:rsidRPr="00476DE3">
        <w:rPr>
          <w:rFonts w:ascii="Times New Roman" w:hAnsi="Times New Roman"/>
          <w:bCs/>
          <w:spacing w:val="-6"/>
          <w:sz w:val="24"/>
        </w:rPr>
        <w:t>Ak sa zahraničné pôvodné expozície vo všetkých zahraničných krajinách vo všetkých triedach expozícií rovnajú alebo sú vyššie než 10</w:t>
      </w:r>
      <w:r w:rsidRPr="00476DE3">
        <w:rPr>
          <w:rFonts w:ascii="Times New Roman" w:hAnsi="Times New Roman"/>
          <w:bCs/>
          <w:spacing w:val="-6"/>
          <w:sz w:val="24"/>
        </w:rPr>
        <w:t> %</w:t>
      </w:r>
      <w:r w:rsidR="004E71F4" w:rsidRPr="00476DE3">
        <w:rPr>
          <w:rFonts w:ascii="Times New Roman" w:hAnsi="Times New Roman"/>
          <w:bCs/>
          <w:spacing w:val="-6"/>
          <w:sz w:val="24"/>
        </w:rPr>
        <w:t xml:space="preserve"> celkových (domácich</w:t>
      </w:r>
      <w:r w:rsidRPr="00476DE3">
        <w:rPr>
          <w:rFonts w:ascii="Times New Roman" w:hAnsi="Times New Roman"/>
          <w:bCs/>
          <w:spacing w:val="-6"/>
          <w:sz w:val="24"/>
        </w:rPr>
        <w:t xml:space="preserve"> a </w:t>
      </w:r>
      <w:r w:rsidR="004E71F4" w:rsidRPr="00476DE3">
        <w:rPr>
          <w:rFonts w:ascii="Times New Roman" w:hAnsi="Times New Roman"/>
          <w:bCs/>
          <w:spacing w:val="-6"/>
          <w:sz w:val="24"/>
        </w:rPr>
        <w:t>zahraničných) pôvodných expozícií, inštitúcie</w:t>
      </w:r>
      <w:r w:rsidR="004E71F4" w:rsidRPr="00476DE3">
        <w:rPr>
          <w:rFonts w:ascii="Times New Roman" w:hAnsi="Times New Roman"/>
          <w:spacing w:val="-6"/>
          <w:sz w:val="24"/>
        </w:rPr>
        <w:t xml:space="preserve"> zverejňujú informácie uvedené</w:t>
      </w:r>
      <w:r w:rsidRPr="00476DE3">
        <w:rPr>
          <w:rFonts w:ascii="Times New Roman" w:hAnsi="Times New Roman"/>
          <w:spacing w:val="-6"/>
          <w:sz w:val="24"/>
        </w:rPr>
        <w:t xml:space="preserve"> v </w:t>
      </w:r>
      <w:r w:rsidR="004E71F4" w:rsidRPr="00476DE3">
        <w:rPr>
          <w:rFonts w:ascii="Times New Roman" w:hAnsi="Times New Roman"/>
          <w:bCs/>
          <w:spacing w:val="-6"/>
          <w:sz w:val="24"/>
        </w:rPr>
        <w:t>článku 442 písm. c)</w:t>
      </w:r>
      <w:r w:rsidRPr="00476DE3">
        <w:rPr>
          <w:rFonts w:ascii="Times New Roman" w:hAnsi="Times New Roman"/>
          <w:bCs/>
          <w:spacing w:val="-6"/>
          <w:sz w:val="24"/>
        </w:rPr>
        <w:t xml:space="preserve"> a </w:t>
      </w:r>
      <w:r w:rsidR="004E71F4" w:rsidRPr="00476DE3">
        <w:rPr>
          <w:rFonts w:ascii="Times New Roman" w:hAnsi="Times New Roman"/>
          <w:bCs/>
          <w:spacing w:val="-6"/>
          <w:sz w:val="24"/>
        </w:rPr>
        <w:t xml:space="preserve">e) </w:t>
      </w:r>
      <w:r w:rsidR="004E71F4" w:rsidRPr="00476DE3">
        <w:rPr>
          <w:rFonts w:ascii="Times New Roman" w:hAnsi="Times New Roman"/>
          <w:color w:val="000000"/>
          <w:spacing w:val="-6"/>
          <w:sz w:val="24"/>
        </w:rPr>
        <w:t>CRR</w:t>
      </w:r>
      <w:r w:rsidR="004E71F4" w:rsidRPr="00476DE3">
        <w:rPr>
          <w:rFonts w:ascii="Times New Roman" w:hAnsi="Times New Roman"/>
          <w:bCs/>
          <w:spacing w:val="-6"/>
          <w:sz w:val="24"/>
        </w:rPr>
        <w:t xml:space="preserve"> podľa pokynov uvedených nižšie</w:t>
      </w:r>
      <w:r w:rsidRPr="00476DE3">
        <w:rPr>
          <w:rFonts w:ascii="Times New Roman" w:hAnsi="Times New Roman"/>
          <w:bCs/>
          <w:spacing w:val="-6"/>
          <w:sz w:val="24"/>
        </w:rPr>
        <w:t xml:space="preserve"> v </w:t>
      </w:r>
      <w:r w:rsidR="004E71F4" w:rsidRPr="00476DE3">
        <w:rPr>
          <w:rFonts w:ascii="Times New Roman" w:hAnsi="Times New Roman"/>
          <w:bCs/>
          <w:spacing w:val="-6"/>
          <w:sz w:val="24"/>
        </w:rPr>
        <w:t>tejto prílohe</w:t>
      </w:r>
      <w:r w:rsidRPr="00476DE3">
        <w:rPr>
          <w:rFonts w:ascii="Times New Roman" w:hAnsi="Times New Roman"/>
          <w:bCs/>
          <w:spacing w:val="-6"/>
          <w:sz w:val="24"/>
        </w:rPr>
        <w:t xml:space="preserve"> s </w:t>
      </w:r>
      <w:r w:rsidR="004E71F4" w:rsidRPr="00476DE3">
        <w:rPr>
          <w:rFonts w:ascii="Times New Roman" w:hAnsi="Times New Roman"/>
          <w:bCs/>
          <w:spacing w:val="-6"/>
          <w:sz w:val="24"/>
        </w:rPr>
        <w:t>cieľom vyplniť vzor EU CQ4, ktorý je uvedený</w:t>
      </w:r>
      <w:r w:rsidRPr="00476DE3">
        <w:rPr>
          <w:rFonts w:ascii="Times New Roman" w:hAnsi="Times New Roman"/>
          <w:bCs/>
          <w:spacing w:val="-6"/>
          <w:sz w:val="24"/>
        </w:rPr>
        <w:t xml:space="preserve"> v </w:t>
      </w:r>
      <w:r w:rsidR="004E71F4" w:rsidRPr="00476DE3">
        <w:rPr>
          <w:rFonts w:ascii="Times New Roman" w:hAnsi="Times New Roman"/>
          <w:bCs/>
          <w:spacing w:val="-6"/>
          <w:sz w:val="24"/>
        </w:rPr>
        <w:t>prílohe XV</w:t>
      </w:r>
      <w:r w:rsidRPr="00476DE3">
        <w:rPr>
          <w:rFonts w:ascii="Times New Roman" w:hAnsi="Times New Roman"/>
          <w:bCs/>
          <w:spacing w:val="-6"/>
          <w:sz w:val="24"/>
        </w:rPr>
        <w:t xml:space="preserve"> k </w:t>
      </w:r>
      <w:r w:rsidR="004E71F4" w:rsidRPr="00476DE3">
        <w:rPr>
          <w:rFonts w:ascii="Times New Roman" w:hAnsi="Times New Roman"/>
          <w:bCs/>
          <w:spacing w:val="-6"/>
          <w:sz w:val="24"/>
        </w:rPr>
        <w:t>tomuto vykonávaciemu nariadeniu.</w:t>
      </w:r>
    </w:p>
    <w:p w14:paraId="7E2D5D8D" w14:textId="77777777" w:rsidR="004E71F4" w:rsidRPr="00A3389E" w:rsidRDefault="004E71F4" w:rsidP="004E71F4">
      <w:pPr>
        <w:spacing w:after="120"/>
        <w:contextualSpacing/>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23303000"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31829FD2" w14:textId="77777777" w:rsidTr="00155C96">
        <w:trPr>
          <w:trHeight w:val="238"/>
        </w:trPr>
        <w:tc>
          <w:tcPr>
            <w:tcW w:w="1384" w:type="dxa"/>
            <w:shd w:val="clear" w:color="auto" w:fill="D9D9D9" w:themeFill="background1" w:themeFillShade="D9"/>
          </w:tcPr>
          <w:p w14:paraId="09EE8C9C"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1F94FB8A"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5725EA0A" w14:textId="77777777" w:rsidTr="00155C96">
        <w:trPr>
          <w:trHeight w:val="971"/>
        </w:trPr>
        <w:tc>
          <w:tcPr>
            <w:tcW w:w="1384" w:type="dxa"/>
          </w:tcPr>
          <w:p w14:paraId="7B3A0816" w14:textId="77777777" w:rsidR="004E71F4" w:rsidRPr="00A3389E" w:rsidRDefault="004E71F4" w:rsidP="00155C96">
            <w:pPr>
              <w:pStyle w:val="Applicationdirecte"/>
              <w:spacing w:before="0"/>
            </w:pPr>
            <w:r w:rsidRPr="00A3389E">
              <w:t>010</w:t>
            </w:r>
          </w:p>
        </w:tc>
        <w:tc>
          <w:tcPr>
            <w:tcW w:w="7655" w:type="dxa"/>
          </w:tcPr>
          <w:p w14:paraId="7C553B29" w14:textId="77777777" w:rsidR="004E71F4" w:rsidRPr="00A3389E" w:rsidRDefault="004E71F4" w:rsidP="00155C96">
            <w:pPr>
              <w:pStyle w:val="Applicationdirecte"/>
              <w:spacing w:before="0"/>
              <w:rPr>
                <w:b/>
              </w:rPr>
            </w:pPr>
            <w:r w:rsidRPr="00A3389E">
              <w:rPr>
                <w:b/>
              </w:rPr>
              <w:t>Súvahové expozície</w:t>
            </w:r>
          </w:p>
          <w:p w14:paraId="6CCB87CE" w14:textId="77777777" w:rsidR="004E71F4" w:rsidRPr="00A3389E" w:rsidRDefault="004E71F4" w:rsidP="00155C96">
            <w:pPr>
              <w:pStyle w:val="Fait"/>
              <w:spacing w:before="0" w:after="120"/>
            </w:pPr>
            <w:r w:rsidRPr="00A3389E">
              <w:t>Súvahové expozície spolu.</w:t>
            </w:r>
          </w:p>
        </w:tc>
      </w:tr>
      <w:tr w:rsidR="004E71F4" w:rsidRPr="00A3389E" w14:paraId="54474621" w14:textId="77777777" w:rsidTr="00476DE3">
        <w:trPr>
          <w:trHeight w:val="2887"/>
        </w:trPr>
        <w:tc>
          <w:tcPr>
            <w:tcW w:w="1384" w:type="dxa"/>
          </w:tcPr>
          <w:p w14:paraId="64905361" w14:textId="56F56116" w:rsidR="004E71F4" w:rsidRPr="00A3389E" w:rsidRDefault="004E71F4" w:rsidP="00155C96">
            <w:pPr>
              <w:pStyle w:val="Applicationdirecte"/>
              <w:spacing w:before="0"/>
            </w:pPr>
            <w:r w:rsidRPr="00A3389E">
              <w:lastRenderedPageBreak/>
              <w:t>020 – 070</w:t>
            </w:r>
            <w:r w:rsidR="00A3389E">
              <w:t xml:space="preserve"> a </w:t>
            </w:r>
            <w:r w:rsidRPr="00A3389E">
              <w:t>090 – 140</w:t>
            </w:r>
          </w:p>
        </w:tc>
        <w:tc>
          <w:tcPr>
            <w:tcW w:w="7655" w:type="dxa"/>
          </w:tcPr>
          <w:p w14:paraId="0FDB9099" w14:textId="77777777" w:rsidR="004E71F4" w:rsidRPr="00A3389E" w:rsidRDefault="004E71F4" w:rsidP="00155C96">
            <w:pPr>
              <w:pStyle w:val="Applicationdirecte"/>
              <w:spacing w:before="0"/>
              <w:rPr>
                <w:b/>
              </w:rPr>
            </w:pPr>
            <w:r w:rsidRPr="00A3389E">
              <w:rPr>
                <w:b/>
              </w:rPr>
              <w:t>Krajina</w:t>
            </w:r>
          </w:p>
          <w:p w14:paraId="754707AF" w14:textId="7D35BB42" w:rsidR="004E71F4" w:rsidRPr="00A3389E" w:rsidRDefault="004E71F4" w:rsidP="00155C96">
            <w:pPr>
              <w:pStyle w:val="Fait"/>
              <w:spacing w:before="0" w:after="120"/>
            </w:pPr>
            <w:r w:rsidRPr="00A3389E">
              <w:t>Krajina,</w:t>
            </w:r>
            <w:r w:rsidR="00A3389E">
              <w:t xml:space="preserve"> v </w:t>
            </w:r>
            <w:r w:rsidRPr="00A3389E">
              <w:t>ktorej sú expozície inštitúcie významné</w:t>
            </w:r>
            <w:r w:rsidR="00A3389E">
              <w:t xml:space="preserve"> v </w:t>
            </w:r>
            <w:r w:rsidRPr="00A3389E">
              <w:t>súlade</w:t>
            </w:r>
            <w:r w:rsidR="00A3389E">
              <w:t xml:space="preserve"> s </w:t>
            </w:r>
            <w:r w:rsidRPr="00A3389E">
              <w:t>článkom 432 CRR.</w:t>
            </w:r>
          </w:p>
          <w:p w14:paraId="40FEB711" w14:textId="57E8988B" w:rsidR="004E71F4" w:rsidRPr="00A3389E" w:rsidRDefault="004E71F4"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Ak sa významnosť krajín určuje</w:t>
            </w:r>
            <w:r w:rsidR="00A3389E">
              <w:rPr>
                <w:rFonts w:ascii="Times New Roman" w:hAnsi="Times New Roman" w:cs="Times New Roman"/>
                <w:sz w:val="24"/>
              </w:rPr>
              <w:t xml:space="preserve"> s </w:t>
            </w:r>
            <w:r w:rsidRPr="00A3389E">
              <w:rPr>
                <w:rFonts w:ascii="Times New Roman" w:hAnsi="Times New Roman" w:cs="Times New Roman"/>
                <w:sz w:val="24"/>
              </w:rPr>
              <w:t>použitím prahu významnosti, tento prah sa zverejňuje rovnako ako zoznam nevýznamných krajín zahrnutých</w:t>
            </w:r>
            <w:r w:rsidR="00A3389E">
              <w:rPr>
                <w:rFonts w:ascii="Times New Roman" w:hAnsi="Times New Roman" w:cs="Times New Roman"/>
                <w:sz w:val="24"/>
              </w:rPr>
              <w:t xml:space="preserve"> v </w:t>
            </w:r>
            <w:r w:rsidRPr="00A3389E">
              <w:rPr>
                <w:rFonts w:ascii="Times New Roman" w:hAnsi="Times New Roman" w:cs="Times New Roman"/>
                <w:sz w:val="24"/>
              </w:rPr>
              <w:t>riadkoch „Iné krajiny“.</w:t>
            </w:r>
          </w:p>
          <w:p w14:paraId="06C1CFA3" w14:textId="77777777" w:rsidR="004E71F4" w:rsidRPr="00A3389E" w:rsidRDefault="004E71F4" w:rsidP="00155C96">
            <w:pPr>
              <w:autoSpaceDE w:val="0"/>
              <w:autoSpaceDN w:val="0"/>
              <w:adjustRightInd w:val="0"/>
              <w:spacing w:after="120"/>
              <w:jc w:val="both"/>
              <w:rPr>
                <w:rFonts w:ascii="Times New Roman" w:hAnsi="Times New Roman" w:cs="Times New Roman"/>
              </w:rPr>
            </w:pPr>
            <w:r w:rsidRPr="00A3389E">
              <w:rPr>
                <w:rFonts w:ascii="Times New Roman" w:hAnsi="Times New Roman" w:cs="Times New Roman"/>
                <w:sz w:val="24"/>
              </w:rPr>
              <w:t>Inštitúcie prideľujú expozície významnej krajine na základe sídla priamej protistrany. Expozície voči nadnárodným organizáciám sa nepriraďujú ku krajine sídla inštitúcie, ale do položky „Iné krajiny“.</w:t>
            </w:r>
          </w:p>
        </w:tc>
      </w:tr>
      <w:tr w:rsidR="004E71F4" w:rsidRPr="00A3389E" w14:paraId="5823936A" w14:textId="77777777" w:rsidTr="00155C96">
        <w:trPr>
          <w:trHeight w:val="728"/>
        </w:trPr>
        <w:tc>
          <w:tcPr>
            <w:tcW w:w="1384" w:type="dxa"/>
          </w:tcPr>
          <w:p w14:paraId="4D5A3661" w14:textId="77777777" w:rsidR="004E71F4" w:rsidRPr="00A3389E" w:rsidRDefault="004E71F4" w:rsidP="00155C96">
            <w:pPr>
              <w:pStyle w:val="Applicationdirecte"/>
              <w:spacing w:before="0"/>
            </w:pPr>
            <w:r w:rsidRPr="00A3389E">
              <w:t>080</w:t>
            </w:r>
          </w:p>
        </w:tc>
        <w:tc>
          <w:tcPr>
            <w:tcW w:w="7655" w:type="dxa"/>
          </w:tcPr>
          <w:p w14:paraId="18E511A4" w14:textId="77777777" w:rsidR="004E71F4" w:rsidRPr="00A3389E" w:rsidRDefault="004E71F4" w:rsidP="00155C96">
            <w:pPr>
              <w:pStyle w:val="Applicationdirecte"/>
              <w:spacing w:before="0"/>
              <w:rPr>
                <w:b/>
              </w:rPr>
            </w:pPr>
            <w:r w:rsidRPr="00A3389E">
              <w:rPr>
                <w:b/>
              </w:rPr>
              <w:t>Podsúvahové expozície</w:t>
            </w:r>
          </w:p>
          <w:p w14:paraId="26E2715C" w14:textId="02AE8A72" w:rsidR="004E71F4" w:rsidRPr="00A3389E" w:rsidRDefault="004E71F4" w:rsidP="00155C96">
            <w:pPr>
              <w:autoSpaceDE w:val="0"/>
              <w:autoSpaceDN w:val="0"/>
              <w:adjustRightInd w:val="0"/>
              <w:spacing w:after="120"/>
              <w:jc w:val="both"/>
              <w:rPr>
                <w:rFonts w:ascii="Times New Roman" w:hAnsi="Times New Roman" w:cs="Times New Roman"/>
              </w:rPr>
            </w:pPr>
            <w:r w:rsidRPr="00A3389E">
              <w:rPr>
                <w:rFonts w:ascii="Times New Roman" w:hAnsi="Times New Roman" w:cs="Times New Roman"/>
                <w:sz w:val="24"/>
              </w:rPr>
              <w:t>Pozri vymedzenie</w:t>
            </w:r>
            <w:r w:rsidR="00A3389E">
              <w:rPr>
                <w:rFonts w:ascii="Times New Roman" w:hAnsi="Times New Roman" w:cs="Times New Roman"/>
                <w:sz w:val="24"/>
              </w:rPr>
              <w:t xml:space="preserve"> v </w:t>
            </w:r>
            <w:r w:rsidRPr="00A3389E">
              <w:rPr>
                <w:rFonts w:ascii="Times New Roman" w:hAnsi="Times New Roman" w:cs="Times New Roman"/>
                <w:sz w:val="24"/>
              </w:rPr>
              <w:t>EU-CR1: Bezproblémové</w:t>
            </w:r>
            <w:r w:rsidR="00A3389E">
              <w:rPr>
                <w:rFonts w:ascii="Times New Roman" w:hAnsi="Times New Roman" w:cs="Times New Roman"/>
                <w:sz w:val="24"/>
              </w:rPr>
              <w:t xml:space="preserve"> a </w:t>
            </w:r>
            <w:r w:rsidRPr="00A3389E">
              <w:rPr>
                <w:rFonts w:ascii="Times New Roman" w:hAnsi="Times New Roman" w:cs="Times New Roman"/>
                <w:sz w:val="24"/>
              </w:rPr>
              <w:t>problémové expozície</w:t>
            </w:r>
            <w:r w:rsidR="00A3389E">
              <w:rPr>
                <w:rFonts w:ascii="Times New Roman" w:hAnsi="Times New Roman" w:cs="Times New Roman"/>
                <w:sz w:val="24"/>
              </w:rPr>
              <w:t xml:space="preserve"> a </w:t>
            </w:r>
            <w:r w:rsidRPr="00A3389E">
              <w:rPr>
                <w:rFonts w:ascii="Times New Roman" w:hAnsi="Times New Roman" w:cs="Times New Roman"/>
                <w:sz w:val="24"/>
              </w:rPr>
              <w:t>súvisiace rezervy.</w:t>
            </w:r>
          </w:p>
        </w:tc>
      </w:tr>
      <w:tr w:rsidR="004E71F4" w:rsidRPr="00A3389E" w14:paraId="660866D7" w14:textId="77777777" w:rsidTr="00155C96">
        <w:trPr>
          <w:trHeight w:val="367"/>
        </w:trPr>
        <w:tc>
          <w:tcPr>
            <w:tcW w:w="1384" w:type="dxa"/>
          </w:tcPr>
          <w:p w14:paraId="67DB1DCD"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sz w:val="24"/>
              </w:rPr>
              <w:t>150</w:t>
            </w:r>
          </w:p>
        </w:tc>
        <w:tc>
          <w:tcPr>
            <w:tcW w:w="7655" w:type="dxa"/>
          </w:tcPr>
          <w:p w14:paraId="5C132893"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Spolu</w:t>
            </w:r>
          </w:p>
        </w:tc>
      </w:tr>
    </w:tbl>
    <w:p w14:paraId="6B5E4555"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231FB366" w14:textId="77777777" w:rsidTr="00155C96">
        <w:trPr>
          <w:trHeight w:val="238"/>
        </w:trPr>
        <w:tc>
          <w:tcPr>
            <w:tcW w:w="9039" w:type="dxa"/>
            <w:gridSpan w:val="2"/>
            <w:shd w:val="clear" w:color="auto" w:fill="D9D9D9" w:themeFill="background1" w:themeFillShade="D9"/>
          </w:tcPr>
          <w:p w14:paraId="1A96B80E" w14:textId="4EB3D1F5"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2E11FA90" w14:textId="77777777" w:rsidTr="00155C96">
        <w:trPr>
          <w:trHeight w:val="238"/>
        </w:trPr>
        <w:tc>
          <w:tcPr>
            <w:tcW w:w="1384" w:type="dxa"/>
            <w:shd w:val="clear" w:color="auto" w:fill="D9D9D9" w:themeFill="background1" w:themeFillShade="D9"/>
          </w:tcPr>
          <w:p w14:paraId="12322062"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2810F84A"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39269B3E" w14:textId="77777777" w:rsidTr="00155C96">
        <w:trPr>
          <w:trHeight w:val="841"/>
        </w:trPr>
        <w:tc>
          <w:tcPr>
            <w:tcW w:w="1384" w:type="dxa"/>
          </w:tcPr>
          <w:p w14:paraId="02C62B53" w14:textId="77777777" w:rsidR="004E71F4" w:rsidRPr="00A3389E" w:rsidRDefault="004E71F4" w:rsidP="00155C96">
            <w:pPr>
              <w:pStyle w:val="Applicationdirecte"/>
              <w:spacing w:before="0"/>
            </w:pPr>
            <w:r w:rsidRPr="00A3389E">
              <w:t>a</w:t>
            </w:r>
          </w:p>
        </w:tc>
        <w:tc>
          <w:tcPr>
            <w:tcW w:w="7655" w:type="dxa"/>
          </w:tcPr>
          <w:p w14:paraId="0E7FAE4D" w14:textId="77777777" w:rsidR="00A3389E" w:rsidRPr="00A3389E" w:rsidRDefault="004E71F4" w:rsidP="00155C96">
            <w:pPr>
              <w:pStyle w:val="Fait"/>
              <w:spacing w:before="0" w:after="120"/>
              <w:rPr>
                <w:b/>
              </w:rPr>
            </w:pPr>
            <w:r w:rsidRPr="00A3389E">
              <w:rPr>
                <w:b/>
              </w:rPr>
              <w:t>Hrubá účtovná hodnota/nominálna hodnota</w:t>
            </w:r>
          </w:p>
          <w:p w14:paraId="407BB8E5" w14:textId="0B4B1150" w:rsidR="004E71F4" w:rsidRPr="00A3389E" w:rsidRDefault="004E71F4" w:rsidP="00155C96">
            <w:pPr>
              <w:pStyle w:val="Fait"/>
              <w:spacing w:before="0" w:after="120"/>
            </w:pPr>
            <w:r w:rsidRPr="00A3389E">
              <w:t>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680/2014; nominálna hodnota, ako sa vymedzuje</w:t>
            </w:r>
            <w:r w:rsidR="00A3389E">
              <w:t xml:space="preserve"> v </w:t>
            </w:r>
            <w:r w:rsidRPr="00A3389E">
              <w:t>časti 2 odseku 118 prílohy</w:t>
            </w:r>
            <w:r w:rsidR="00A3389E">
              <w:t xml:space="preserve"> V k </w:t>
            </w:r>
            <w:r w:rsidRPr="00A3389E">
              <w:t xml:space="preserve">vykonávaciemu nariadeniu Komisie (EÚ) </w:t>
            </w:r>
            <w:r w:rsidR="00A3389E">
              <w:t>č. </w:t>
            </w:r>
            <w:r w:rsidRPr="00A3389E">
              <w:t>680/2014.</w:t>
            </w:r>
          </w:p>
          <w:p w14:paraId="6570F2FC" w14:textId="5401CE05" w:rsidR="004E71F4" w:rsidRPr="00A3389E" w:rsidRDefault="004E71F4" w:rsidP="00155C96">
            <w:pPr>
              <w:pStyle w:val="Fait"/>
              <w:spacing w:before="0" w:after="120"/>
            </w:pPr>
            <w:r w:rsidRPr="00A3389E">
              <w:t>Hrubá účtovná hodnota súvisiaca</w:t>
            </w:r>
            <w:r w:rsidR="00A3389E">
              <w:t xml:space="preserve"> s </w:t>
            </w:r>
            <w:r w:rsidRPr="00A3389E">
              <w:t>expozíciami, ktoré podliehajú zníženiu hodnoty, je po odpočítaní akumulovaného čiastočného</w:t>
            </w:r>
            <w:r w:rsidR="00A3389E">
              <w:t xml:space="preserve"> a </w:t>
            </w:r>
            <w:r w:rsidRPr="00A3389E">
              <w:t>celkového odpisu.</w:t>
            </w:r>
          </w:p>
        </w:tc>
      </w:tr>
      <w:tr w:rsidR="004E71F4" w:rsidRPr="00A3389E" w14:paraId="0BA09C4F" w14:textId="77777777" w:rsidTr="00155C96">
        <w:trPr>
          <w:trHeight w:val="841"/>
        </w:trPr>
        <w:tc>
          <w:tcPr>
            <w:tcW w:w="1384" w:type="dxa"/>
          </w:tcPr>
          <w:p w14:paraId="191E705E" w14:textId="77777777" w:rsidR="004E71F4" w:rsidRPr="00A3389E" w:rsidRDefault="004E71F4" w:rsidP="00155C96">
            <w:pPr>
              <w:pStyle w:val="Applicationdirecte"/>
              <w:spacing w:before="0"/>
            </w:pPr>
            <w:r w:rsidRPr="00A3389E">
              <w:t>b</w:t>
            </w:r>
          </w:p>
        </w:tc>
        <w:tc>
          <w:tcPr>
            <w:tcW w:w="7655" w:type="dxa"/>
          </w:tcPr>
          <w:p w14:paraId="3FC98DA1" w14:textId="14DFC07E" w:rsidR="004E71F4" w:rsidRPr="00A3389E" w:rsidRDefault="004E71F4" w:rsidP="00155C96">
            <w:pPr>
              <w:pStyle w:val="Fait"/>
              <w:spacing w:before="0" w:after="120"/>
              <w:rPr>
                <w:rFonts w:eastAsiaTheme="minorEastAsia"/>
                <w:b/>
              </w:rPr>
            </w:pPr>
            <w:r w:rsidRPr="00A3389E">
              <w:rPr>
                <w:b/>
              </w:rPr>
              <w:t>Hrubá účtovná hodnota/nominálna hodnota –</w:t>
            </w:r>
            <w:r w:rsidR="00A3389E">
              <w:rPr>
                <w:b/>
              </w:rPr>
              <w:t xml:space="preserve"> z </w:t>
            </w:r>
            <w:r w:rsidRPr="00A3389E">
              <w:rPr>
                <w:b/>
              </w:rPr>
              <w:t>čoho problémové</w:t>
            </w:r>
          </w:p>
          <w:p w14:paraId="324B3E45" w14:textId="21ACC6F7" w:rsidR="004E71F4" w:rsidRPr="00A3389E" w:rsidRDefault="004E71F4" w:rsidP="00155C96">
            <w:pPr>
              <w:pStyle w:val="Fait"/>
              <w:spacing w:before="0" w:after="120"/>
              <w:rPr>
                <w:b/>
              </w:rPr>
            </w:pPr>
            <w:r w:rsidRPr="00A3389E">
              <w:t>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680/2014; nominálna hodnota, ako sa vymedzuje</w:t>
            </w:r>
            <w:r w:rsidR="00A3389E">
              <w:t xml:space="preserve"> v </w:t>
            </w:r>
            <w:r w:rsidRPr="00A3389E">
              <w:t>časti 2 odseku 118 prílohy</w:t>
            </w:r>
            <w:r w:rsidR="00A3389E">
              <w:t xml:space="preserve"> V k </w:t>
            </w:r>
            <w:r w:rsidRPr="00A3389E">
              <w:t xml:space="preserve">vykonávaciemu nariadeniu Komisie (EÚ) </w:t>
            </w:r>
            <w:r w:rsidR="00A3389E">
              <w:t>č. </w:t>
            </w:r>
            <w:r w:rsidRPr="00A3389E">
              <w:t>680/2014; problémové expozície podľa vymedzenia</w:t>
            </w:r>
            <w:r w:rsidR="00A3389E">
              <w:t xml:space="preserve"> v </w:t>
            </w:r>
            <w:r w:rsidRPr="00A3389E">
              <w:t>článku 47a CRR.</w:t>
            </w:r>
          </w:p>
        </w:tc>
      </w:tr>
      <w:tr w:rsidR="004E71F4" w:rsidRPr="00A3389E" w14:paraId="2816521D" w14:textId="77777777" w:rsidTr="00155C96">
        <w:trPr>
          <w:trHeight w:val="316"/>
        </w:trPr>
        <w:tc>
          <w:tcPr>
            <w:tcW w:w="1384" w:type="dxa"/>
          </w:tcPr>
          <w:p w14:paraId="2B9941DE"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c</w:t>
            </w:r>
          </w:p>
        </w:tc>
        <w:tc>
          <w:tcPr>
            <w:tcW w:w="7655" w:type="dxa"/>
          </w:tcPr>
          <w:p w14:paraId="318099D9" w14:textId="7B0513F3"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w:t>
            </w:r>
            <w:r w:rsidR="00A3389E">
              <w:rPr>
                <w:rFonts w:ascii="Times New Roman" w:hAnsi="Times New Roman" w:cs="Times New Roman"/>
                <w:b/>
                <w:sz w:val="24"/>
              </w:rPr>
              <w:t xml:space="preserve"> v </w:t>
            </w:r>
            <w:r w:rsidRPr="00A3389E">
              <w:rPr>
                <w:rFonts w:ascii="Times New Roman" w:hAnsi="Times New Roman" w:cs="Times New Roman"/>
                <w:b/>
                <w:sz w:val="24"/>
              </w:rPr>
              <w:t>stave zlyhania</w:t>
            </w:r>
          </w:p>
          <w:p w14:paraId="2D9AD627" w14:textId="556726B4" w:rsidR="004E71F4" w:rsidRPr="00A3389E" w:rsidRDefault="004E71F4" w:rsidP="00155C96">
            <w:pPr>
              <w:pStyle w:val="Fait"/>
              <w:spacing w:before="0" w:after="120"/>
            </w:pPr>
            <w:r w:rsidRPr="00A3389E">
              <w:t>Expozície</w:t>
            </w:r>
            <w:r w:rsidR="00A3389E">
              <w:t xml:space="preserve"> v </w:t>
            </w:r>
            <w:r w:rsidRPr="00A3389E">
              <w:t>stave zlyhania podľa článku 178 CRR.</w:t>
            </w:r>
          </w:p>
        </w:tc>
      </w:tr>
      <w:tr w:rsidR="004E71F4" w:rsidRPr="00A3389E" w14:paraId="3E4CA1D8" w14:textId="77777777" w:rsidTr="00155C96">
        <w:trPr>
          <w:trHeight w:val="316"/>
        </w:trPr>
        <w:tc>
          <w:tcPr>
            <w:tcW w:w="1384" w:type="dxa"/>
          </w:tcPr>
          <w:p w14:paraId="7B58E1FF"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d</w:t>
            </w:r>
          </w:p>
        </w:tc>
        <w:tc>
          <w:tcPr>
            <w:tcW w:w="7655" w:type="dxa"/>
          </w:tcPr>
          <w:p w14:paraId="1BE2EE12" w14:textId="7C5A300E"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Hrubá účtovná hodnota/nominálna hodnota –</w:t>
            </w:r>
            <w:r w:rsidR="00A3389E">
              <w:rPr>
                <w:rFonts w:ascii="Times New Roman" w:hAnsi="Times New Roman" w:cs="Times New Roman"/>
                <w:b/>
                <w:sz w:val="24"/>
              </w:rPr>
              <w:t xml:space="preserve"> z </w:t>
            </w:r>
            <w:r w:rsidRPr="00A3389E">
              <w:rPr>
                <w:rFonts w:ascii="Times New Roman" w:hAnsi="Times New Roman" w:cs="Times New Roman"/>
                <w:b/>
                <w:sz w:val="24"/>
              </w:rPr>
              <w:t>čoho podliehajúce zníženiu hodnoty</w:t>
            </w:r>
          </w:p>
          <w:p w14:paraId="6BD3FAE2" w14:textId="74459F6F" w:rsidR="004E71F4" w:rsidRPr="00A3389E" w:rsidRDefault="004E71F4" w:rsidP="00155C96">
            <w:pPr>
              <w:pStyle w:val="Fait"/>
              <w:spacing w:before="0" w:after="120"/>
            </w:pPr>
            <w:r w:rsidRPr="00A3389E">
              <w:t>Hrubá účtovná alebo nominálna hodnota súvisiaca</w:t>
            </w:r>
            <w:r w:rsidR="00A3389E">
              <w:t xml:space="preserve"> s </w:t>
            </w:r>
            <w:r w:rsidRPr="00A3389E">
              <w:t>expozíciami, na ktoré sa vzťahujú požiadavky na zníženie hodnoty stanovené</w:t>
            </w:r>
            <w:r w:rsidR="00A3389E">
              <w:t xml:space="preserve"> v </w:t>
            </w:r>
            <w:r w:rsidRPr="00A3389E">
              <w:t>uplatniteľnom účtovnom rámci.</w:t>
            </w:r>
          </w:p>
        </w:tc>
      </w:tr>
      <w:tr w:rsidR="004E71F4" w:rsidRPr="00A3389E" w14:paraId="5FF5E291" w14:textId="77777777" w:rsidTr="00155C96">
        <w:trPr>
          <w:trHeight w:val="316"/>
        </w:trPr>
        <w:tc>
          <w:tcPr>
            <w:tcW w:w="1384" w:type="dxa"/>
          </w:tcPr>
          <w:p w14:paraId="1CE9AB1F"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lastRenderedPageBreak/>
              <w:t>e</w:t>
            </w:r>
          </w:p>
        </w:tc>
        <w:tc>
          <w:tcPr>
            <w:tcW w:w="7655" w:type="dxa"/>
          </w:tcPr>
          <w:p w14:paraId="4B567AF6"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Akumulované zníženie hodnoty</w:t>
            </w:r>
          </w:p>
          <w:p w14:paraId="4FB7F9C5" w14:textId="19DE08FE" w:rsidR="004E71F4" w:rsidRPr="00A3389E" w:rsidRDefault="004E71F4" w:rsidP="00155C96">
            <w:pPr>
              <w:pStyle w:val="Fait"/>
              <w:spacing w:before="0" w:after="120"/>
            </w:pPr>
            <w:r w:rsidRPr="00A3389E">
              <w:t>To zahŕňa sumy určené</w:t>
            </w:r>
            <w:r w:rsidR="00A3389E">
              <w:t xml:space="preserve"> v </w:t>
            </w:r>
            <w:r w:rsidRPr="00A3389E">
              <w:t>súlade</w:t>
            </w:r>
            <w:r w:rsidR="00A3389E">
              <w:t xml:space="preserve"> s </w:t>
            </w:r>
            <w:r w:rsidRPr="00A3389E">
              <w:t>časťou 2 odsekmi 11, 69 až 71, 106</w:t>
            </w:r>
            <w:r w:rsidR="00A3389E">
              <w:t xml:space="preserve"> a </w:t>
            </w:r>
            <w:r w:rsidRPr="00A3389E">
              <w:t>110 prílohy</w:t>
            </w:r>
            <w:r w:rsidR="00A3389E">
              <w:t xml:space="preserve"> V k </w:t>
            </w:r>
            <w:r w:rsidRPr="00A3389E">
              <w:t xml:space="preserve">vykonávaciemu nariadeniu Komisie (EÚ) </w:t>
            </w:r>
            <w:r w:rsidR="00A3389E">
              <w:t>č. </w:t>
            </w:r>
            <w:r w:rsidRPr="00A3389E">
              <w:t>680/2014.</w:t>
            </w:r>
          </w:p>
        </w:tc>
      </w:tr>
      <w:tr w:rsidR="004E71F4" w:rsidRPr="00A3389E" w14:paraId="46415016" w14:textId="77777777" w:rsidTr="00155C96">
        <w:trPr>
          <w:trHeight w:val="695"/>
        </w:trPr>
        <w:tc>
          <w:tcPr>
            <w:tcW w:w="1384" w:type="dxa"/>
          </w:tcPr>
          <w:p w14:paraId="7701B302"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f</w:t>
            </w:r>
          </w:p>
        </w:tc>
        <w:tc>
          <w:tcPr>
            <w:tcW w:w="7655" w:type="dxa"/>
          </w:tcPr>
          <w:p w14:paraId="173D47DE" w14:textId="6C279000"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Rezervy na podsúvahové prísľuby</w:t>
            </w:r>
            <w:r w:rsidR="00A3389E">
              <w:rPr>
                <w:rFonts w:ascii="Times New Roman" w:hAnsi="Times New Roman" w:cs="Times New Roman"/>
                <w:b/>
                <w:sz w:val="24"/>
              </w:rPr>
              <w:t xml:space="preserve"> a </w:t>
            </w:r>
            <w:r w:rsidRPr="00A3389E">
              <w:rPr>
                <w:rFonts w:ascii="Times New Roman" w:hAnsi="Times New Roman" w:cs="Times New Roman"/>
                <w:b/>
                <w:sz w:val="24"/>
              </w:rPr>
              <w:t>poskytnuté finančné záruky</w:t>
            </w:r>
          </w:p>
          <w:p w14:paraId="24FAD81B" w14:textId="6AACA966" w:rsidR="004E71F4" w:rsidRPr="00A3389E" w:rsidRDefault="004E71F4"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Tento riadok zahŕňa rezervy na podsúvahové prísľuby</w:t>
            </w:r>
            <w:r w:rsidR="00A3389E">
              <w:rPr>
                <w:rFonts w:ascii="Times New Roman" w:hAnsi="Times New Roman" w:cs="Times New Roman"/>
                <w:sz w:val="24"/>
              </w:rPr>
              <w:t xml:space="preserve"> a </w:t>
            </w:r>
            <w:r w:rsidRPr="00A3389E">
              <w:rPr>
                <w:rFonts w:ascii="Times New Roman" w:hAnsi="Times New Roman" w:cs="Times New Roman"/>
                <w:sz w:val="24"/>
              </w:rPr>
              <w:t>poskytnuté finančné záruky.</w:t>
            </w:r>
          </w:p>
        </w:tc>
      </w:tr>
      <w:tr w:rsidR="004E71F4" w:rsidRPr="00A3389E" w14:paraId="3067476F" w14:textId="77777777" w:rsidTr="00155C96">
        <w:trPr>
          <w:trHeight w:val="695"/>
        </w:trPr>
        <w:tc>
          <w:tcPr>
            <w:tcW w:w="1384" w:type="dxa"/>
          </w:tcPr>
          <w:p w14:paraId="52AA3262"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g</w:t>
            </w:r>
          </w:p>
        </w:tc>
        <w:tc>
          <w:tcPr>
            <w:tcW w:w="7655" w:type="dxa"/>
          </w:tcPr>
          <w:p w14:paraId="665BC3FF" w14:textId="32AF8E7B"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Akumulované záporné zmeny reálnej hodnoty</w:t>
            </w:r>
            <w:r w:rsidR="00A3389E">
              <w:rPr>
                <w:rFonts w:ascii="Times New Roman" w:hAnsi="Times New Roman" w:cs="Times New Roman"/>
                <w:b/>
                <w:sz w:val="24"/>
              </w:rPr>
              <w:t xml:space="preserve"> z </w:t>
            </w:r>
            <w:r w:rsidRPr="00A3389E">
              <w:rPr>
                <w:rFonts w:ascii="Times New Roman" w:hAnsi="Times New Roman" w:cs="Times New Roman"/>
                <w:b/>
                <w:sz w:val="24"/>
              </w:rPr>
              <w:t>dôvodu kreditného rizika problémových expozícií</w:t>
            </w:r>
          </w:p>
          <w:p w14:paraId="697B0B24" w14:textId="3AABA0B2" w:rsidR="004E71F4" w:rsidRPr="00A3389E" w:rsidRDefault="004E71F4" w:rsidP="00155C96">
            <w:pPr>
              <w:pStyle w:val="Fait"/>
              <w:spacing w:before="0" w:after="120"/>
            </w:pPr>
            <w:r w:rsidRPr="00A3389E">
              <w:t>To zahŕňa sumy určené</w:t>
            </w:r>
            <w:r w:rsidR="00A3389E">
              <w:t xml:space="preserve"> v </w:t>
            </w:r>
            <w:r w:rsidRPr="00A3389E">
              <w:t>súlade</w:t>
            </w:r>
            <w:r w:rsidR="00A3389E">
              <w:t xml:space="preserve"> s </w:t>
            </w:r>
            <w:r w:rsidRPr="00A3389E">
              <w:t>časťou 2 odsekmi 11, 69 až 71, 106</w:t>
            </w:r>
            <w:r w:rsidR="00A3389E">
              <w:t xml:space="preserve"> a </w:t>
            </w:r>
            <w:r w:rsidRPr="00A3389E">
              <w:t>110 prílohy</w:t>
            </w:r>
            <w:r w:rsidR="00A3389E">
              <w:t xml:space="preserve"> V k </w:t>
            </w:r>
            <w:r w:rsidRPr="00A3389E">
              <w:t xml:space="preserve">vykonávaciemu nariadeniu Komisie (EÚ) </w:t>
            </w:r>
            <w:r w:rsidR="00A3389E">
              <w:t>č. </w:t>
            </w:r>
            <w:r w:rsidRPr="00A3389E">
              <w:t>680/2014.</w:t>
            </w:r>
          </w:p>
        </w:tc>
      </w:tr>
    </w:tbl>
    <w:p w14:paraId="052C419F" w14:textId="77777777" w:rsidR="004E71F4" w:rsidRPr="00A3389E" w:rsidRDefault="004E71F4" w:rsidP="004E71F4">
      <w:pPr>
        <w:autoSpaceDE w:val="0"/>
        <w:autoSpaceDN w:val="0"/>
        <w:adjustRightInd w:val="0"/>
        <w:spacing w:after="120"/>
        <w:rPr>
          <w:rFonts w:ascii="Times New Roman" w:hAnsi="Times New Roman" w:cs="Times New Roman"/>
          <w:sz w:val="24"/>
        </w:rPr>
      </w:pPr>
    </w:p>
    <w:p w14:paraId="0DDE3181" w14:textId="3FAEFCF4" w:rsidR="004E71F4" w:rsidRPr="00A3389E" w:rsidRDefault="00CD362D" w:rsidP="004E71F4">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Vzor EU CQ5: Kreditná kvalita úverov</w:t>
      </w:r>
      <w:r w:rsidR="00A3389E">
        <w:rPr>
          <w:rFonts w:ascii="Times New Roman" w:hAnsi="Times New Roman" w:cs="Times New Roman"/>
          <w:b/>
          <w:sz w:val="24"/>
        </w:rPr>
        <w:t xml:space="preserve"> a </w:t>
      </w:r>
      <w:r w:rsidRPr="00A3389E">
        <w:rPr>
          <w:rFonts w:ascii="Times New Roman" w:hAnsi="Times New Roman" w:cs="Times New Roman"/>
          <w:b/>
          <w:sz w:val="24"/>
        </w:rPr>
        <w:t>preddavkov nefinančným korporáciám podľa odvetví</w:t>
      </w:r>
    </w:p>
    <w:p w14:paraId="201DD2F2" w14:textId="085DE5EB" w:rsidR="004E71F4" w:rsidRPr="00A3389E" w:rsidRDefault="00A3389E" w:rsidP="00A3389E">
      <w:pPr>
        <w:autoSpaceDE w:val="0"/>
        <w:autoSpaceDN w:val="0"/>
        <w:adjustRightInd w:val="0"/>
        <w:spacing w:after="120"/>
        <w:ind w:left="720" w:hanging="360"/>
        <w:jc w:val="both"/>
        <w:rPr>
          <w:rFonts w:ascii="Times New Roman" w:hAnsi="Times New Roman"/>
          <w:b/>
          <w:sz w:val="24"/>
        </w:rPr>
      </w:pPr>
      <w:r w:rsidRPr="00A3389E">
        <w:rPr>
          <w:rFonts w:ascii="Times New Roman" w:eastAsia="Calibri" w:hAnsi="Times New Roman" w:cs="Times New Roman"/>
          <w:b/>
          <w:sz w:val="24"/>
          <w:szCs w:val="22"/>
        </w:rPr>
        <w:t>6.</w:t>
      </w:r>
      <w:r w:rsidRPr="00A3389E">
        <w:rPr>
          <w:rFonts w:ascii="Times New Roman" w:eastAsia="Calibri" w:hAnsi="Times New Roman" w:cs="Times New Roman"/>
          <w:b/>
          <w:sz w:val="24"/>
          <w:szCs w:val="22"/>
        </w:rPr>
        <w:tab/>
      </w:r>
      <w:r w:rsidR="004E71F4" w:rsidRPr="00A3389E">
        <w:rPr>
          <w:rFonts w:ascii="Times New Roman" w:hAnsi="Times New Roman"/>
          <w:bCs/>
          <w:sz w:val="24"/>
        </w:rPr>
        <w:t>Inštitúcie zverejňujú informácie uvedené</w:t>
      </w:r>
      <w:r>
        <w:rPr>
          <w:rFonts w:ascii="Times New Roman" w:hAnsi="Times New Roman"/>
          <w:bCs/>
          <w:sz w:val="24"/>
        </w:rPr>
        <w:t xml:space="preserve"> v </w:t>
      </w:r>
      <w:r w:rsidR="004E71F4" w:rsidRPr="00A3389E">
        <w:rPr>
          <w:rFonts w:ascii="Times New Roman" w:hAnsi="Times New Roman"/>
          <w:bCs/>
          <w:sz w:val="24"/>
        </w:rPr>
        <w:t>článku 442 písm. c)</w:t>
      </w:r>
      <w:r>
        <w:rPr>
          <w:rFonts w:ascii="Times New Roman" w:hAnsi="Times New Roman"/>
          <w:bCs/>
          <w:sz w:val="24"/>
        </w:rPr>
        <w:t xml:space="preserve"> a </w:t>
      </w:r>
      <w:r w:rsidR="004E71F4" w:rsidRPr="00A3389E">
        <w:rPr>
          <w:rFonts w:ascii="Times New Roman" w:hAnsi="Times New Roman"/>
          <w:bCs/>
          <w:sz w:val="24"/>
        </w:rPr>
        <w:t xml:space="preserve">e) </w:t>
      </w:r>
      <w:r w:rsidR="004E71F4" w:rsidRPr="00A3389E">
        <w:rPr>
          <w:rFonts w:ascii="Times New Roman" w:hAnsi="Times New Roman"/>
          <w:color w:val="000000"/>
          <w:sz w:val="24"/>
        </w:rPr>
        <w:t>CRR</w:t>
      </w:r>
      <w:r w:rsidR="004E71F4" w:rsidRPr="00A3389E">
        <w:rPr>
          <w:rFonts w:ascii="Times New Roman" w:hAnsi="Times New Roman"/>
          <w:bCs/>
          <w:sz w:val="24"/>
        </w:rPr>
        <w:t xml:space="preserve"> podľa pokynov uvedených nižšie</w:t>
      </w:r>
      <w:r>
        <w:rPr>
          <w:rFonts w:ascii="Times New Roman" w:hAnsi="Times New Roman"/>
          <w:bCs/>
          <w:sz w:val="24"/>
        </w:rPr>
        <w:t xml:space="preserve"> v </w:t>
      </w:r>
      <w:r w:rsidR="004E71F4" w:rsidRPr="00A3389E">
        <w:rPr>
          <w:rFonts w:ascii="Times New Roman" w:hAnsi="Times New Roman"/>
          <w:bCs/>
          <w:sz w:val="24"/>
        </w:rPr>
        <w:t>tejto prílohe</w:t>
      </w:r>
      <w:r>
        <w:rPr>
          <w:rFonts w:ascii="Times New Roman" w:hAnsi="Times New Roman"/>
          <w:bCs/>
          <w:sz w:val="24"/>
        </w:rPr>
        <w:t xml:space="preserve"> s </w:t>
      </w:r>
      <w:r w:rsidR="004E71F4" w:rsidRPr="00A3389E">
        <w:rPr>
          <w:rFonts w:ascii="Times New Roman" w:hAnsi="Times New Roman"/>
          <w:bCs/>
          <w:sz w:val="24"/>
        </w:rPr>
        <w:t>cieľom vyplniť vzor EU CQ5,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554C5A53" w:rsidR="004E71F4" w:rsidRPr="00A3389E" w:rsidRDefault="004E71F4" w:rsidP="00476DE3">
            <w:pPr>
              <w:keepNext/>
              <w:keepLines/>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0CFFFD8C" w14:textId="77777777" w:rsidTr="00155C96">
        <w:trPr>
          <w:trHeight w:val="238"/>
        </w:trPr>
        <w:tc>
          <w:tcPr>
            <w:tcW w:w="1384" w:type="dxa"/>
            <w:shd w:val="clear" w:color="auto" w:fill="D9D9D9" w:themeFill="background1" w:themeFillShade="D9"/>
          </w:tcPr>
          <w:p w14:paraId="469957D0" w14:textId="77777777" w:rsidR="004E71F4" w:rsidRPr="00A3389E" w:rsidRDefault="004E71F4" w:rsidP="00476DE3">
            <w:pPr>
              <w:keepNext/>
              <w:keepLines/>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03CA8FEC" w14:textId="77777777" w:rsidR="004E71F4" w:rsidRPr="00A3389E" w:rsidRDefault="004E71F4" w:rsidP="00476DE3">
            <w:pPr>
              <w:keepNext/>
              <w:keepLines/>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621C4383" w14:textId="77777777" w:rsidTr="00155C96">
        <w:trPr>
          <w:trHeight w:val="971"/>
        </w:trPr>
        <w:tc>
          <w:tcPr>
            <w:tcW w:w="1384" w:type="dxa"/>
          </w:tcPr>
          <w:p w14:paraId="53AE88CC" w14:textId="77777777" w:rsidR="004E71F4" w:rsidRPr="00A3389E" w:rsidRDefault="004E71F4" w:rsidP="00155C96">
            <w:pPr>
              <w:pStyle w:val="Applicationdirecte"/>
              <w:spacing w:before="0"/>
            </w:pPr>
            <w:r w:rsidRPr="00A3389E">
              <w:t>010 – 190</w:t>
            </w:r>
          </w:p>
        </w:tc>
        <w:tc>
          <w:tcPr>
            <w:tcW w:w="7655" w:type="dxa"/>
          </w:tcPr>
          <w:p w14:paraId="69C2E900" w14:textId="77777777" w:rsidR="004E71F4" w:rsidRPr="00A3389E" w:rsidRDefault="004E71F4" w:rsidP="00155C96">
            <w:pPr>
              <w:pStyle w:val="Fait"/>
              <w:spacing w:before="0" w:after="120"/>
              <w:rPr>
                <w:b/>
              </w:rPr>
            </w:pPr>
            <w:r w:rsidRPr="00A3389E">
              <w:rPr>
                <w:b/>
              </w:rPr>
              <w:t>Rozčlenenie protistrán podľa odvetví</w:t>
            </w:r>
          </w:p>
          <w:p w14:paraId="75719E9B" w14:textId="7D59304E" w:rsidR="004E71F4" w:rsidRPr="00A3389E" w:rsidRDefault="004E71F4" w:rsidP="00155C96">
            <w:pPr>
              <w:pStyle w:val="Fait"/>
              <w:spacing w:before="0" w:after="120"/>
            </w:pPr>
            <w:r w:rsidRPr="00A3389E">
              <w:t>Priradenie sektora protistrany zahŕňa len sektory súvisiace</w:t>
            </w:r>
            <w:r w:rsidR="00A3389E">
              <w:t xml:space="preserve"> s </w:t>
            </w:r>
            <w:r w:rsidRPr="00A3389E">
              <w:t>protistranou, ktorá je nefinančnou korporáciou.</w:t>
            </w:r>
          </w:p>
          <w:p w14:paraId="22DE98F2" w14:textId="77777777" w:rsidR="004E71F4" w:rsidRPr="00A3389E" w:rsidRDefault="004E71F4" w:rsidP="00155C96">
            <w:pPr>
              <w:pStyle w:val="Fait"/>
              <w:spacing w:before="0" w:after="120"/>
            </w:pPr>
            <w:r w:rsidRPr="00A3389E">
              <w:t>Priradenie sektora protistrany sa zakladá výhradne na povahe bezprostrednej protistrany. Klasifikácia expozícií, ktoré vznikli spoločne viac než jednému dlžníkovi, sa vykonáva na základe vlastností dlžníka, ktorý bol pre rozhodnutie inštitúcie udeliť expozíciu relevantnejší alebo rozhodujúci.</w:t>
            </w:r>
          </w:p>
          <w:p w14:paraId="509E4079" w14:textId="333DDE32" w:rsidR="004E71F4" w:rsidRPr="00A3389E" w:rsidRDefault="004E71F4" w:rsidP="00155C96">
            <w:pPr>
              <w:pStyle w:val="Fait"/>
              <w:spacing w:before="0" w:after="120"/>
            </w:pPr>
            <w:r w:rsidRPr="00A3389E">
              <w:t>Riadky sa používajú na zverejnenie významných priemyselných odvetví alebo druhov protistrán, voči ktorým majú inštitúcie expozície. Významnosť sa posudzuje</w:t>
            </w:r>
            <w:r w:rsidR="00A3389E">
              <w:t xml:space="preserve"> v </w:t>
            </w:r>
            <w:r w:rsidRPr="00A3389E">
              <w:t>súlade</w:t>
            </w:r>
            <w:r w:rsidR="00A3389E">
              <w:t xml:space="preserve"> s </w:t>
            </w:r>
            <w:r w:rsidRPr="00A3389E">
              <w:t>článkom 432 CRR</w:t>
            </w:r>
            <w:r w:rsidR="00A3389E">
              <w:t xml:space="preserve"> a </w:t>
            </w:r>
            <w:r w:rsidRPr="00A3389E">
              <w:t>nevýznamné priemyselné odvetvia alebo druhy protistrán sa združujú</w:t>
            </w:r>
            <w:r w:rsidR="00A3389E">
              <w:t xml:space="preserve"> v </w:t>
            </w:r>
            <w:r w:rsidRPr="00A3389E">
              <w:t>riadku „Ostatné služby“.</w:t>
            </w:r>
          </w:p>
        </w:tc>
      </w:tr>
      <w:tr w:rsidR="004E71F4" w:rsidRPr="00A3389E" w14:paraId="7C4A0B77" w14:textId="77777777" w:rsidTr="00155C96">
        <w:trPr>
          <w:trHeight w:val="316"/>
        </w:trPr>
        <w:tc>
          <w:tcPr>
            <w:tcW w:w="1384" w:type="dxa"/>
          </w:tcPr>
          <w:p w14:paraId="7156E575"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200</w:t>
            </w:r>
          </w:p>
        </w:tc>
        <w:tc>
          <w:tcPr>
            <w:tcW w:w="7655" w:type="dxa"/>
          </w:tcPr>
          <w:p w14:paraId="2DADB6C9"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Spolu</w:t>
            </w:r>
          </w:p>
        </w:tc>
      </w:tr>
    </w:tbl>
    <w:p w14:paraId="3FA6DB40"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5785AED1" w14:textId="77777777" w:rsidTr="00155C96">
        <w:trPr>
          <w:trHeight w:val="238"/>
        </w:trPr>
        <w:tc>
          <w:tcPr>
            <w:tcW w:w="9039" w:type="dxa"/>
            <w:gridSpan w:val="2"/>
            <w:shd w:val="clear" w:color="auto" w:fill="D9D9D9" w:themeFill="background1" w:themeFillShade="D9"/>
          </w:tcPr>
          <w:p w14:paraId="7F360C60" w14:textId="7D9BE4D4"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076A6EC7" w14:textId="77777777" w:rsidTr="00155C96">
        <w:trPr>
          <w:trHeight w:val="238"/>
        </w:trPr>
        <w:tc>
          <w:tcPr>
            <w:tcW w:w="1384" w:type="dxa"/>
            <w:shd w:val="clear" w:color="auto" w:fill="D9D9D9" w:themeFill="background1" w:themeFillShade="D9"/>
          </w:tcPr>
          <w:p w14:paraId="3E907027"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462B550B"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1BB55FB9" w14:textId="77777777" w:rsidTr="00155C96">
        <w:trPr>
          <w:trHeight w:val="841"/>
        </w:trPr>
        <w:tc>
          <w:tcPr>
            <w:tcW w:w="1384" w:type="dxa"/>
          </w:tcPr>
          <w:p w14:paraId="19286B5D" w14:textId="77777777" w:rsidR="004E71F4" w:rsidRPr="00A3389E" w:rsidRDefault="004E71F4" w:rsidP="00155C96">
            <w:pPr>
              <w:pStyle w:val="Applicationdirecte"/>
              <w:spacing w:before="0"/>
            </w:pPr>
            <w:r w:rsidRPr="00A3389E">
              <w:lastRenderedPageBreak/>
              <w:t>a</w:t>
            </w:r>
          </w:p>
        </w:tc>
        <w:tc>
          <w:tcPr>
            <w:tcW w:w="7655" w:type="dxa"/>
          </w:tcPr>
          <w:p w14:paraId="043F8DFD" w14:textId="77777777" w:rsidR="00A3389E" w:rsidRPr="00A3389E" w:rsidRDefault="004E71F4" w:rsidP="00155C96">
            <w:pPr>
              <w:pStyle w:val="Fait"/>
              <w:spacing w:before="0" w:after="120"/>
              <w:rPr>
                <w:b/>
              </w:rPr>
            </w:pPr>
            <w:r w:rsidRPr="00A3389E">
              <w:rPr>
                <w:b/>
              </w:rPr>
              <w:t>Hrubá účtovná hodnota</w:t>
            </w:r>
          </w:p>
          <w:p w14:paraId="54BC957E" w14:textId="7BEFF827" w:rsidR="004E71F4" w:rsidRPr="00A3389E" w:rsidRDefault="004E71F4" w:rsidP="00155C96">
            <w:pPr>
              <w:pStyle w:val="Fait"/>
              <w:spacing w:before="0" w:after="120"/>
            </w:pPr>
            <w:r w:rsidRPr="00A3389E">
              <w:t>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680/2014.</w:t>
            </w:r>
          </w:p>
          <w:p w14:paraId="61BFF20A" w14:textId="738CFCDD" w:rsidR="004E71F4" w:rsidRPr="00A3389E" w:rsidRDefault="004E71F4" w:rsidP="00155C96">
            <w:pPr>
              <w:pStyle w:val="Fait"/>
              <w:spacing w:before="0" w:after="120"/>
            </w:pPr>
            <w:r w:rsidRPr="00A3389E">
              <w:t>Hrubá účtovná hodnota súvisiaca</w:t>
            </w:r>
            <w:r w:rsidR="00A3389E">
              <w:t xml:space="preserve"> s </w:t>
            </w:r>
            <w:r w:rsidRPr="00A3389E">
              <w:t>expozíciami, ktoré podliehajú zníženiu hodnoty, je po odpočítaní akumulovaného čiastočného</w:t>
            </w:r>
            <w:r w:rsidR="00A3389E">
              <w:t xml:space="preserve"> a </w:t>
            </w:r>
            <w:r w:rsidRPr="00A3389E">
              <w:t>celkového odpisu.</w:t>
            </w:r>
          </w:p>
        </w:tc>
      </w:tr>
      <w:tr w:rsidR="004E71F4" w:rsidRPr="00A3389E" w14:paraId="73F33D97" w14:textId="77777777" w:rsidTr="00155C96">
        <w:trPr>
          <w:trHeight w:val="841"/>
        </w:trPr>
        <w:tc>
          <w:tcPr>
            <w:tcW w:w="1384" w:type="dxa"/>
          </w:tcPr>
          <w:p w14:paraId="1825F9E0" w14:textId="77777777" w:rsidR="004E71F4" w:rsidRPr="00A3389E" w:rsidRDefault="004E71F4" w:rsidP="00155C96">
            <w:pPr>
              <w:pStyle w:val="Applicationdirecte"/>
              <w:spacing w:before="0"/>
            </w:pPr>
            <w:r w:rsidRPr="00A3389E">
              <w:t>b</w:t>
            </w:r>
          </w:p>
        </w:tc>
        <w:tc>
          <w:tcPr>
            <w:tcW w:w="7655" w:type="dxa"/>
          </w:tcPr>
          <w:p w14:paraId="7197FEFB" w14:textId="70B8906E" w:rsidR="00A3389E" w:rsidRPr="00A3389E" w:rsidRDefault="004E71F4" w:rsidP="00155C96">
            <w:pPr>
              <w:pStyle w:val="Fait"/>
              <w:spacing w:before="0" w:after="120"/>
              <w:rPr>
                <w:b/>
              </w:rPr>
            </w:pPr>
            <w:r w:rsidRPr="00A3389E">
              <w:rPr>
                <w:b/>
              </w:rPr>
              <w:t>Hrubá účtovná hodnota –</w:t>
            </w:r>
            <w:r w:rsidR="00A3389E">
              <w:rPr>
                <w:b/>
              </w:rPr>
              <w:t xml:space="preserve"> z </w:t>
            </w:r>
            <w:r w:rsidRPr="00A3389E">
              <w:rPr>
                <w:b/>
              </w:rPr>
              <w:t>čoho problémové</w:t>
            </w:r>
          </w:p>
          <w:p w14:paraId="218B3169" w14:textId="3E7F7E84" w:rsidR="004E71F4" w:rsidRPr="00A3389E" w:rsidRDefault="004E71F4" w:rsidP="00155C96">
            <w:pPr>
              <w:pStyle w:val="Fait"/>
              <w:spacing w:before="0" w:after="120"/>
              <w:rPr>
                <w:rFonts w:eastAsiaTheme="minorEastAsia"/>
              </w:rPr>
            </w:pPr>
            <w:r w:rsidRPr="00A3389E">
              <w:t>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680/2014; problémové expozície podľa vymedzenia</w:t>
            </w:r>
            <w:r w:rsidR="00A3389E">
              <w:t xml:space="preserve"> v </w:t>
            </w:r>
            <w:r w:rsidRPr="00A3389E">
              <w:t>článku 47a CRR.</w:t>
            </w:r>
          </w:p>
        </w:tc>
      </w:tr>
      <w:tr w:rsidR="004E71F4" w:rsidRPr="00A3389E" w14:paraId="371E1F32" w14:textId="77777777" w:rsidTr="00155C96">
        <w:trPr>
          <w:trHeight w:val="841"/>
        </w:trPr>
        <w:tc>
          <w:tcPr>
            <w:tcW w:w="1384" w:type="dxa"/>
          </w:tcPr>
          <w:p w14:paraId="558ECFC0" w14:textId="77777777" w:rsidR="004E71F4" w:rsidRPr="00A3389E" w:rsidRDefault="004E71F4" w:rsidP="00155C96">
            <w:pPr>
              <w:pStyle w:val="Applicationdirecte"/>
              <w:spacing w:before="0"/>
            </w:pPr>
            <w:r w:rsidRPr="00A3389E">
              <w:t>c</w:t>
            </w:r>
          </w:p>
        </w:tc>
        <w:tc>
          <w:tcPr>
            <w:tcW w:w="7655" w:type="dxa"/>
          </w:tcPr>
          <w:p w14:paraId="62C4E95E" w14:textId="75F15A8A" w:rsidR="004E71F4" w:rsidRPr="00A3389E" w:rsidRDefault="004E71F4" w:rsidP="00155C96">
            <w:pPr>
              <w:pStyle w:val="Fait"/>
              <w:spacing w:before="0" w:after="120"/>
              <w:ind w:left="720"/>
              <w:rPr>
                <w:rFonts w:eastAsiaTheme="minorEastAsia"/>
                <w:b/>
              </w:rPr>
            </w:pPr>
            <w:r w:rsidRPr="00A3389E">
              <w:rPr>
                <w:b/>
              </w:rPr>
              <w:t>Z čoho</w:t>
            </w:r>
            <w:r w:rsidR="00A3389E">
              <w:rPr>
                <w:b/>
              </w:rPr>
              <w:t xml:space="preserve"> v </w:t>
            </w:r>
            <w:r w:rsidRPr="00A3389E">
              <w:rPr>
                <w:b/>
              </w:rPr>
              <w:t>stave zlyhania</w:t>
            </w:r>
          </w:p>
          <w:p w14:paraId="37399537" w14:textId="64BFC4B6" w:rsidR="004E71F4" w:rsidRPr="00A3389E" w:rsidRDefault="004E71F4" w:rsidP="00155C96">
            <w:pPr>
              <w:pStyle w:val="Fait"/>
              <w:spacing w:before="0" w:after="120"/>
              <w:rPr>
                <w:rFonts w:eastAsiaTheme="minorEastAsia"/>
              </w:rPr>
            </w:pPr>
            <w:r w:rsidRPr="00A3389E">
              <w:t>Expozície</w:t>
            </w:r>
            <w:r w:rsidR="00A3389E">
              <w:t xml:space="preserve"> v </w:t>
            </w:r>
            <w:r w:rsidRPr="00A3389E">
              <w:t>stave zlyhania podľa článku 178 CRR.</w:t>
            </w:r>
          </w:p>
        </w:tc>
      </w:tr>
      <w:tr w:rsidR="004E71F4" w:rsidRPr="00A3389E" w14:paraId="213D77F3" w14:textId="77777777" w:rsidTr="00155C96">
        <w:trPr>
          <w:trHeight w:val="841"/>
        </w:trPr>
        <w:tc>
          <w:tcPr>
            <w:tcW w:w="1384" w:type="dxa"/>
          </w:tcPr>
          <w:p w14:paraId="199F8E31" w14:textId="77777777" w:rsidR="004E71F4" w:rsidRPr="00A3389E" w:rsidRDefault="004E71F4" w:rsidP="00155C96">
            <w:pPr>
              <w:pStyle w:val="Applicationdirecte"/>
              <w:spacing w:before="0"/>
            </w:pPr>
            <w:r w:rsidRPr="00A3389E">
              <w:t>d</w:t>
            </w:r>
          </w:p>
        </w:tc>
        <w:tc>
          <w:tcPr>
            <w:tcW w:w="7655" w:type="dxa"/>
          </w:tcPr>
          <w:p w14:paraId="191EBD27" w14:textId="235AD9E4" w:rsidR="004E71F4" w:rsidRPr="00A3389E" w:rsidRDefault="004E71F4" w:rsidP="00155C96">
            <w:pPr>
              <w:pStyle w:val="Fait"/>
              <w:spacing w:before="0" w:after="120"/>
              <w:rPr>
                <w:b/>
              </w:rPr>
            </w:pPr>
            <w:r w:rsidRPr="00A3389E">
              <w:rPr>
                <w:b/>
              </w:rPr>
              <w:t>Hrubá účtovná hodnota –</w:t>
            </w:r>
            <w:r w:rsidR="00A3389E">
              <w:rPr>
                <w:b/>
              </w:rPr>
              <w:t xml:space="preserve"> z </w:t>
            </w:r>
            <w:r w:rsidRPr="00A3389E">
              <w:rPr>
                <w:b/>
              </w:rPr>
              <w:t>čoho úvery</w:t>
            </w:r>
            <w:r w:rsidR="00A3389E">
              <w:rPr>
                <w:b/>
              </w:rPr>
              <w:t xml:space="preserve"> a </w:t>
            </w:r>
            <w:r w:rsidRPr="00A3389E">
              <w:rPr>
                <w:b/>
              </w:rPr>
              <w:t>preddavky podliehajúce zníženiu hodnoty</w:t>
            </w:r>
          </w:p>
          <w:p w14:paraId="4B4B425B" w14:textId="2EBE9BEE" w:rsidR="004E71F4" w:rsidRPr="00A3389E" w:rsidRDefault="004E71F4" w:rsidP="00155C96">
            <w:pPr>
              <w:pStyle w:val="Fait"/>
              <w:spacing w:before="0" w:after="120"/>
            </w:pPr>
            <w:r w:rsidRPr="00A3389E">
              <w:t>Hrubá účtovná hodnota súvisiaca</w:t>
            </w:r>
            <w:r w:rsidR="00A3389E">
              <w:t xml:space="preserve"> s </w:t>
            </w:r>
            <w:r w:rsidRPr="00A3389E">
              <w:t>úvermi</w:t>
            </w:r>
            <w:r w:rsidR="00A3389E">
              <w:t xml:space="preserve"> a </w:t>
            </w:r>
            <w:r w:rsidRPr="00A3389E">
              <w:t>preddavkami, na ktoré sa vzťahujú požiadavky na zníženie hodnoty stanovené</w:t>
            </w:r>
            <w:r w:rsidR="00A3389E">
              <w:t xml:space="preserve"> v </w:t>
            </w:r>
            <w:r w:rsidRPr="00A3389E">
              <w:t>uplatniteľnom účtovnom rámci.</w:t>
            </w:r>
          </w:p>
        </w:tc>
      </w:tr>
      <w:tr w:rsidR="004E71F4" w:rsidRPr="00A3389E" w14:paraId="3AE4B1A3" w14:textId="77777777" w:rsidTr="00155C96">
        <w:trPr>
          <w:trHeight w:val="316"/>
        </w:trPr>
        <w:tc>
          <w:tcPr>
            <w:tcW w:w="1384" w:type="dxa"/>
          </w:tcPr>
          <w:p w14:paraId="4E2F656A"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e</w:t>
            </w:r>
          </w:p>
        </w:tc>
        <w:tc>
          <w:tcPr>
            <w:tcW w:w="7655" w:type="dxa"/>
          </w:tcPr>
          <w:p w14:paraId="0B527FEF" w14:textId="77777777" w:rsidR="004E71F4" w:rsidRPr="00A3389E" w:rsidRDefault="004E71F4" w:rsidP="00155C96">
            <w:pPr>
              <w:pStyle w:val="Fait"/>
              <w:spacing w:before="0" w:after="120"/>
              <w:rPr>
                <w:b/>
              </w:rPr>
            </w:pPr>
            <w:r w:rsidRPr="00A3389E">
              <w:rPr>
                <w:b/>
              </w:rPr>
              <w:t>Akumulované zníženie hodnoty</w:t>
            </w:r>
          </w:p>
          <w:p w14:paraId="7702A0EE" w14:textId="0441EEF2" w:rsidR="004E71F4" w:rsidRPr="00A3389E" w:rsidRDefault="004E71F4" w:rsidP="00155C96">
            <w:pPr>
              <w:pStyle w:val="Fait"/>
              <w:spacing w:before="0" w:after="120"/>
            </w:pPr>
            <w:r w:rsidRPr="00A3389E">
              <w:t>To zahŕňa sumy určené</w:t>
            </w:r>
            <w:r w:rsidR="00A3389E">
              <w:t xml:space="preserve"> v </w:t>
            </w:r>
            <w:r w:rsidRPr="00A3389E">
              <w:t>súlade</w:t>
            </w:r>
            <w:r w:rsidR="00A3389E">
              <w:t xml:space="preserve"> s </w:t>
            </w:r>
            <w:r w:rsidRPr="00A3389E">
              <w:t>časťou 2 odsekmi 11, 69 až 71, 106</w:t>
            </w:r>
            <w:r w:rsidR="00A3389E">
              <w:t xml:space="preserve"> a </w:t>
            </w:r>
            <w:r w:rsidRPr="00A3389E">
              <w:t>110 prílohy</w:t>
            </w:r>
            <w:r w:rsidR="00A3389E">
              <w:t xml:space="preserve"> V k </w:t>
            </w:r>
            <w:r w:rsidRPr="00A3389E">
              <w:t xml:space="preserve">vykonávaciemu nariadeniu Komisie (EÚ) </w:t>
            </w:r>
            <w:r w:rsidR="00A3389E">
              <w:t>č. </w:t>
            </w:r>
            <w:r w:rsidRPr="00A3389E">
              <w:t>680/2014.</w:t>
            </w:r>
          </w:p>
        </w:tc>
      </w:tr>
      <w:tr w:rsidR="004E71F4" w:rsidRPr="00A3389E" w14:paraId="62C1F901" w14:textId="77777777" w:rsidTr="00155C96">
        <w:trPr>
          <w:trHeight w:val="316"/>
        </w:trPr>
        <w:tc>
          <w:tcPr>
            <w:tcW w:w="1384" w:type="dxa"/>
          </w:tcPr>
          <w:p w14:paraId="727F98B2"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f</w:t>
            </w:r>
          </w:p>
        </w:tc>
        <w:tc>
          <w:tcPr>
            <w:tcW w:w="7655" w:type="dxa"/>
          </w:tcPr>
          <w:p w14:paraId="2411E6BE" w14:textId="154A27D1" w:rsidR="004E71F4" w:rsidRPr="00A3389E" w:rsidRDefault="004E71F4" w:rsidP="00155C96">
            <w:pPr>
              <w:pStyle w:val="Fait"/>
              <w:spacing w:before="0" w:after="120"/>
              <w:rPr>
                <w:b/>
              </w:rPr>
            </w:pPr>
            <w:r w:rsidRPr="00A3389E">
              <w:rPr>
                <w:b/>
              </w:rPr>
              <w:t>Akumulované záporné zmeny reálnej hodnoty</w:t>
            </w:r>
            <w:r w:rsidR="00A3389E">
              <w:rPr>
                <w:b/>
              </w:rPr>
              <w:t xml:space="preserve"> z </w:t>
            </w:r>
            <w:r w:rsidRPr="00A3389E">
              <w:rPr>
                <w:b/>
              </w:rPr>
              <w:t>dôvodu kreditného rizika problémových expozícií</w:t>
            </w:r>
          </w:p>
          <w:p w14:paraId="5DCDC716" w14:textId="7FFA6312" w:rsidR="004E71F4" w:rsidRPr="00A3389E" w:rsidRDefault="004E71F4" w:rsidP="00155C96">
            <w:pPr>
              <w:pStyle w:val="Fait"/>
              <w:spacing w:before="0" w:after="120"/>
            </w:pPr>
            <w:r w:rsidRPr="00A3389E">
              <w:t>Problémové expozície podľa vymedzenia</w:t>
            </w:r>
            <w:r w:rsidR="00A3389E">
              <w:t xml:space="preserve"> v </w:t>
            </w:r>
            <w:r w:rsidRPr="00A3389E">
              <w:t>článku 47a CRR.</w:t>
            </w:r>
          </w:p>
          <w:p w14:paraId="3A5B7C72" w14:textId="56099282" w:rsidR="004E71F4" w:rsidRPr="00A3389E" w:rsidRDefault="004E71F4" w:rsidP="00155C96">
            <w:pPr>
              <w:pStyle w:val="Fait"/>
              <w:spacing w:before="0" w:after="120"/>
            </w:pPr>
            <w:r w:rsidRPr="00A3389E">
              <w:t>Inštitúcie zahŕňajú sumy určené</w:t>
            </w:r>
            <w:r w:rsidR="00A3389E">
              <w:t xml:space="preserve"> v </w:t>
            </w:r>
            <w:r w:rsidRPr="00A3389E">
              <w:t>súlade</w:t>
            </w:r>
            <w:r w:rsidR="00A3389E">
              <w:t xml:space="preserve"> s </w:t>
            </w:r>
            <w:r w:rsidRPr="00A3389E">
              <w:t>časťou 2 odsekmi 11, 69 až 71, 106</w:t>
            </w:r>
            <w:r w:rsidR="00A3389E">
              <w:t xml:space="preserve"> a </w:t>
            </w:r>
            <w:r w:rsidRPr="00A3389E">
              <w:t>110 prílohy</w:t>
            </w:r>
            <w:r w:rsidR="00A3389E">
              <w:t xml:space="preserve"> V k </w:t>
            </w:r>
            <w:r w:rsidRPr="00A3389E">
              <w:t xml:space="preserve">vykonávaciemu nariadeniu Komisie (EÚ) </w:t>
            </w:r>
            <w:r w:rsidR="00A3389E">
              <w:t>č. </w:t>
            </w:r>
            <w:r w:rsidRPr="00A3389E">
              <w:t>680/2014.</w:t>
            </w:r>
          </w:p>
        </w:tc>
      </w:tr>
    </w:tbl>
    <w:p w14:paraId="467A822A" w14:textId="77777777" w:rsidR="004E71F4" w:rsidRPr="00A3389E" w:rsidRDefault="004E71F4" w:rsidP="004E71F4">
      <w:pPr>
        <w:autoSpaceDE w:val="0"/>
        <w:autoSpaceDN w:val="0"/>
        <w:adjustRightInd w:val="0"/>
        <w:spacing w:after="120"/>
        <w:jc w:val="both"/>
        <w:rPr>
          <w:rFonts w:ascii="Times New Roman" w:hAnsi="Times New Roman" w:cs="Times New Roman"/>
          <w:b/>
          <w:sz w:val="24"/>
        </w:rPr>
      </w:pPr>
    </w:p>
    <w:p w14:paraId="64E06730" w14:textId="6C94D9C4" w:rsidR="004E71F4" w:rsidRPr="00A3389E" w:rsidRDefault="00CD362D" w:rsidP="004E71F4">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Vzor EU CQ6: Ocenenie kolaterálu – úvery</w:t>
      </w:r>
      <w:r w:rsidR="00A3389E">
        <w:rPr>
          <w:rFonts w:ascii="Times New Roman" w:hAnsi="Times New Roman" w:cs="Times New Roman"/>
          <w:b/>
          <w:sz w:val="24"/>
        </w:rPr>
        <w:t xml:space="preserve"> a </w:t>
      </w:r>
      <w:r w:rsidRPr="00A3389E">
        <w:rPr>
          <w:rFonts w:ascii="Times New Roman" w:hAnsi="Times New Roman" w:cs="Times New Roman"/>
          <w:b/>
          <w:sz w:val="24"/>
        </w:rPr>
        <w:t>preddavky</w:t>
      </w:r>
    </w:p>
    <w:p w14:paraId="0FE385CA" w14:textId="5CCDE682" w:rsidR="004E71F4" w:rsidRPr="00A3389E" w:rsidRDefault="00A3389E" w:rsidP="00A3389E">
      <w:pPr>
        <w:spacing w:after="120"/>
        <w:ind w:left="720" w:hanging="360"/>
        <w:jc w:val="both"/>
        <w:rPr>
          <w:rFonts w:ascii="Times New Roman" w:hAnsi="Times New Roman"/>
          <w:bCs/>
          <w:sz w:val="24"/>
        </w:rPr>
      </w:pPr>
      <w:r w:rsidRPr="00A3389E">
        <w:rPr>
          <w:rFonts w:ascii="Times New Roman" w:eastAsia="Calibri" w:hAnsi="Times New Roman" w:cs="Times New Roman"/>
          <w:bCs/>
          <w:sz w:val="24"/>
          <w:szCs w:val="22"/>
        </w:rPr>
        <w:t>7.</w:t>
      </w:r>
      <w:r w:rsidRPr="00A3389E">
        <w:rPr>
          <w:rFonts w:ascii="Times New Roman" w:eastAsia="Calibri" w:hAnsi="Times New Roman" w:cs="Times New Roman"/>
          <w:bCs/>
          <w:sz w:val="24"/>
          <w:szCs w:val="22"/>
        </w:rPr>
        <w:tab/>
      </w:r>
      <w:r w:rsidR="004E71F4" w:rsidRPr="00A3389E">
        <w:rPr>
          <w:rFonts w:ascii="Times New Roman" w:hAnsi="Times New Roman"/>
          <w:bCs/>
          <w:sz w:val="24"/>
        </w:rPr>
        <w:t xml:space="preserve">Inštitúcie </w:t>
      </w:r>
      <w:r w:rsidR="004E71F4" w:rsidRPr="00A3389E">
        <w:rPr>
          <w:rFonts w:ascii="Times New Roman" w:hAnsi="Times New Roman"/>
          <w:sz w:val="24"/>
        </w:rPr>
        <w:t>zverejňujú informácie uvedené</w:t>
      </w:r>
      <w:r>
        <w:rPr>
          <w:rFonts w:ascii="Times New Roman" w:hAnsi="Times New Roman"/>
          <w:sz w:val="24"/>
        </w:rPr>
        <w:t xml:space="preserve"> v </w:t>
      </w:r>
      <w:r w:rsidR="004E71F4" w:rsidRPr="00A3389E">
        <w:rPr>
          <w:rFonts w:ascii="Times New Roman" w:hAnsi="Times New Roman"/>
          <w:bCs/>
          <w:sz w:val="24"/>
        </w:rPr>
        <w:t xml:space="preserve">článku 442 písm. c) </w:t>
      </w:r>
      <w:r w:rsidR="004E71F4" w:rsidRPr="00A3389E">
        <w:rPr>
          <w:rFonts w:ascii="Times New Roman" w:hAnsi="Times New Roman"/>
          <w:color w:val="000000"/>
          <w:sz w:val="24"/>
        </w:rPr>
        <w:t>CRR</w:t>
      </w:r>
      <w:r w:rsidR="004E71F4" w:rsidRPr="00A3389E">
        <w:rPr>
          <w:rFonts w:ascii="Times New Roman" w:hAnsi="Times New Roman"/>
          <w:bCs/>
          <w:sz w:val="24"/>
        </w:rPr>
        <w:t xml:space="preserve"> podľa pokynov uvedených nižšie</w:t>
      </w:r>
      <w:r>
        <w:rPr>
          <w:rFonts w:ascii="Times New Roman" w:hAnsi="Times New Roman"/>
          <w:bCs/>
          <w:sz w:val="24"/>
        </w:rPr>
        <w:t xml:space="preserve"> v </w:t>
      </w:r>
      <w:r w:rsidR="004E71F4" w:rsidRPr="00A3389E">
        <w:rPr>
          <w:rFonts w:ascii="Times New Roman" w:hAnsi="Times New Roman"/>
          <w:bCs/>
          <w:sz w:val="24"/>
        </w:rPr>
        <w:t>tejto prílohe</w:t>
      </w:r>
      <w:r>
        <w:rPr>
          <w:rFonts w:ascii="Times New Roman" w:hAnsi="Times New Roman"/>
          <w:bCs/>
          <w:sz w:val="24"/>
        </w:rPr>
        <w:t xml:space="preserve"> s </w:t>
      </w:r>
      <w:r w:rsidR="004E71F4" w:rsidRPr="00A3389E">
        <w:rPr>
          <w:rFonts w:ascii="Times New Roman" w:hAnsi="Times New Roman"/>
          <w:bCs/>
          <w:sz w:val="24"/>
        </w:rPr>
        <w:t>cieľom vyplniť vzor EU CQ6,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r w:rsidR="004E71F4" w:rsidRPr="00A3389E">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4E105E27"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13BEB25F" w14:textId="77777777" w:rsidTr="00155C96">
        <w:trPr>
          <w:trHeight w:val="238"/>
        </w:trPr>
        <w:tc>
          <w:tcPr>
            <w:tcW w:w="1384" w:type="dxa"/>
            <w:shd w:val="clear" w:color="auto" w:fill="D9D9D9" w:themeFill="background1" w:themeFillShade="D9"/>
          </w:tcPr>
          <w:p w14:paraId="553FDCF5"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0E0C950C"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167093C2" w14:textId="77777777" w:rsidTr="00155C96">
        <w:trPr>
          <w:trHeight w:val="971"/>
        </w:trPr>
        <w:tc>
          <w:tcPr>
            <w:tcW w:w="1384" w:type="dxa"/>
          </w:tcPr>
          <w:p w14:paraId="15CDA528" w14:textId="77777777" w:rsidR="004E71F4" w:rsidRPr="00A3389E" w:rsidRDefault="004E71F4" w:rsidP="00155C96">
            <w:pPr>
              <w:pStyle w:val="Applicationdirecte"/>
              <w:spacing w:before="0"/>
            </w:pPr>
            <w:r w:rsidRPr="00A3389E">
              <w:t>010</w:t>
            </w:r>
          </w:p>
        </w:tc>
        <w:tc>
          <w:tcPr>
            <w:tcW w:w="7655" w:type="dxa"/>
          </w:tcPr>
          <w:p w14:paraId="68E85BDD" w14:textId="77777777" w:rsidR="00A3389E" w:rsidRPr="00A3389E" w:rsidRDefault="004E71F4" w:rsidP="00155C96">
            <w:pPr>
              <w:pStyle w:val="Fait"/>
              <w:spacing w:before="0" w:after="120"/>
              <w:rPr>
                <w:b/>
              </w:rPr>
            </w:pPr>
            <w:r w:rsidRPr="00A3389E">
              <w:rPr>
                <w:b/>
              </w:rPr>
              <w:t>Hrubá účtovná hodnota</w:t>
            </w:r>
          </w:p>
          <w:p w14:paraId="42B0DF3A" w14:textId="51E47C61" w:rsidR="004E71F4" w:rsidRPr="00A3389E" w:rsidRDefault="004E71F4" w:rsidP="00155C96">
            <w:pPr>
              <w:pStyle w:val="Fait"/>
              <w:spacing w:before="0" w:after="120"/>
            </w:pPr>
            <w:r w:rsidRPr="00A3389E">
              <w:t>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680/2014.</w:t>
            </w:r>
          </w:p>
        </w:tc>
      </w:tr>
      <w:tr w:rsidR="004E71F4" w:rsidRPr="00A3389E" w14:paraId="17DE3FE5" w14:textId="77777777" w:rsidTr="00155C96">
        <w:trPr>
          <w:trHeight w:val="971"/>
        </w:trPr>
        <w:tc>
          <w:tcPr>
            <w:tcW w:w="1384" w:type="dxa"/>
          </w:tcPr>
          <w:p w14:paraId="77E12B3A" w14:textId="77777777" w:rsidR="004E71F4" w:rsidRPr="00A3389E" w:rsidRDefault="004E71F4" w:rsidP="00155C96">
            <w:pPr>
              <w:pStyle w:val="Applicationdirecte"/>
              <w:spacing w:before="0"/>
            </w:pPr>
            <w:r w:rsidRPr="00A3389E">
              <w:lastRenderedPageBreak/>
              <w:t>020</w:t>
            </w:r>
          </w:p>
        </w:tc>
        <w:tc>
          <w:tcPr>
            <w:tcW w:w="7655" w:type="dxa"/>
          </w:tcPr>
          <w:p w14:paraId="20D932C2" w14:textId="77777777" w:rsidR="00A3389E" w:rsidRPr="00A3389E" w:rsidRDefault="004E71F4" w:rsidP="00155C96">
            <w:pPr>
              <w:pStyle w:val="Fait"/>
              <w:spacing w:before="0" w:after="120"/>
              <w:ind w:left="720"/>
              <w:rPr>
                <w:b/>
              </w:rPr>
            </w:pPr>
            <w:r w:rsidRPr="00A3389E">
              <w:rPr>
                <w:b/>
              </w:rPr>
              <w:t>Z čoho zabezpečené</w:t>
            </w:r>
          </w:p>
          <w:p w14:paraId="1989790B" w14:textId="02E5B81E" w:rsidR="004E71F4" w:rsidRPr="00A3389E" w:rsidRDefault="004E71F4" w:rsidP="00155C96">
            <w:pPr>
              <w:pStyle w:val="Fait"/>
              <w:spacing w:before="0" w:after="120"/>
            </w:pPr>
            <w:r w:rsidRPr="00A3389E">
              <w:t>V tomto riadku sa zverejňuje hrubá účtovná hodnota, ako sa vymedzuje</w:t>
            </w:r>
            <w:r w:rsidR="00A3389E">
              <w:t xml:space="preserve"> v </w:t>
            </w:r>
            <w:r w:rsidRPr="00A3389E">
              <w:t>časti 1 odseku 34 prílohy</w:t>
            </w:r>
            <w:r w:rsidR="00A3389E">
              <w:t xml:space="preserve"> V k </w:t>
            </w:r>
            <w:r w:rsidRPr="00A3389E">
              <w:t xml:space="preserve">vykonávaciemu nariadeniu Komisie (EÚ) </w:t>
            </w:r>
            <w:r w:rsidR="00A3389E">
              <w:t>č. </w:t>
            </w:r>
            <w:r w:rsidRPr="00A3389E">
              <w:t>680/2014, zabezpečených</w:t>
            </w:r>
            <w:r w:rsidR="00A3389E">
              <w:t xml:space="preserve"> a </w:t>
            </w:r>
            <w:r w:rsidRPr="00A3389E">
              <w:t>čiastočne zabezpečených úverov.</w:t>
            </w:r>
          </w:p>
          <w:p w14:paraId="49F56793" w14:textId="2386275D" w:rsidR="004E71F4" w:rsidRPr="00A3389E" w:rsidRDefault="004E71F4" w:rsidP="00155C96">
            <w:pPr>
              <w:pStyle w:val="Fait"/>
              <w:spacing w:before="0" w:after="120"/>
            </w:pPr>
            <w:r w:rsidRPr="00A3389E">
              <w:t>Nezabezpečené úvery</w:t>
            </w:r>
            <w:r w:rsidR="00A3389E">
              <w:t xml:space="preserve"> a </w:t>
            </w:r>
            <w:r w:rsidRPr="00A3389E">
              <w:t>preddavky zahŕňajú expozície, pre ktoré nebol zložený kolaterál ani neboli prijaté finančné záruky; do tohto riadku sa zahŕňa nezabezpečená časť čiastočne zabezpečenej alebo čiastočne zaručenej expozície</w:t>
            </w:r>
            <w:r w:rsidR="00A3389E">
              <w:t xml:space="preserve"> v </w:t>
            </w:r>
            <w:r w:rsidRPr="00A3389E">
              <w:t>súlade</w:t>
            </w:r>
            <w:r w:rsidR="00A3389E">
              <w:t xml:space="preserve"> s </w:t>
            </w:r>
            <w:r w:rsidRPr="00A3389E">
              <w:t>časťou 2 odsekom 323 prílohy</w:t>
            </w:r>
            <w:r w:rsidR="00A3389E">
              <w:t xml:space="preserve"> V k </w:t>
            </w:r>
            <w:r w:rsidRPr="00A3389E">
              <w:t xml:space="preserve">vykonávaciemu nariadeniu Komisie (EÚ) </w:t>
            </w:r>
            <w:r w:rsidR="00A3389E">
              <w:t>č. </w:t>
            </w:r>
            <w:r w:rsidRPr="00A3389E">
              <w:t>680/2014.</w:t>
            </w:r>
          </w:p>
          <w:p w14:paraId="66933E4D" w14:textId="6098EB21" w:rsidR="004E71F4" w:rsidRPr="00A3389E" w:rsidRDefault="004E71F4" w:rsidP="00155C96">
            <w:pPr>
              <w:pStyle w:val="Fait"/>
              <w:spacing w:before="0" w:after="120"/>
            </w:pPr>
            <w:r w:rsidRPr="00A3389E">
              <w:t>Zabezpečené úvery</w:t>
            </w:r>
            <w:r w:rsidR="00A3389E">
              <w:t xml:space="preserve"> a </w:t>
            </w:r>
            <w:r w:rsidRPr="00A3389E">
              <w:t>preddavky sa preto musia vypočítať ako rozdiel medzi hrubou účtovnou hodnotou všetkých úverov</w:t>
            </w:r>
            <w:r w:rsidR="00A3389E">
              <w:t xml:space="preserve"> a </w:t>
            </w:r>
            <w:r w:rsidRPr="00A3389E">
              <w:t>preddavkov</w:t>
            </w:r>
            <w:r w:rsidR="00A3389E">
              <w:t xml:space="preserve"> a </w:t>
            </w:r>
            <w:r w:rsidRPr="00A3389E">
              <w:t>hrubou účtovnou hodnotou nezabezpečených úverov</w:t>
            </w:r>
            <w:r w:rsidR="00A3389E">
              <w:t xml:space="preserve"> a </w:t>
            </w:r>
            <w:r w:rsidRPr="00A3389E">
              <w:t>preddavkov</w:t>
            </w:r>
            <w:r w:rsidR="00A3389E">
              <w:t xml:space="preserve"> a </w:t>
            </w:r>
            <w:r w:rsidRPr="00A3389E">
              <w:t>budú zahŕňať zabezpečenú aj nezabezpečenú časť úveru.</w:t>
            </w:r>
          </w:p>
          <w:p w14:paraId="39CA1040" w14:textId="77777777" w:rsidR="004E71F4" w:rsidRPr="00A3389E" w:rsidRDefault="004E71F4" w:rsidP="00155C96">
            <w:pPr>
              <w:pStyle w:val="Institutionquisigne"/>
              <w:spacing w:before="0" w:after="120"/>
            </w:pPr>
            <w:r w:rsidRPr="00A3389E">
              <w:rPr>
                <w:i w:val="0"/>
              </w:rPr>
              <w:t>V prípade nadmerného zabezpečenia kolaterálom sa zverejňuje hrubá účtovná hodnota úveru.</w:t>
            </w:r>
          </w:p>
        </w:tc>
      </w:tr>
      <w:tr w:rsidR="004E71F4" w:rsidRPr="00A3389E" w14:paraId="754A3D91" w14:textId="77777777" w:rsidTr="00155C96">
        <w:trPr>
          <w:trHeight w:val="971"/>
        </w:trPr>
        <w:tc>
          <w:tcPr>
            <w:tcW w:w="1384" w:type="dxa"/>
          </w:tcPr>
          <w:p w14:paraId="4445E319" w14:textId="77777777" w:rsidR="004E71F4" w:rsidRPr="00A3389E" w:rsidRDefault="004E71F4" w:rsidP="00155C96">
            <w:pPr>
              <w:pStyle w:val="Applicationdirecte"/>
              <w:spacing w:before="0"/>
            </w:pPr>
            <w:r w:rsidRPr="00A3389E">
              <w:t>030</w:t>
            </w:r>
          </w:p>
        </w:tc>
        <w:tc>
          <w:tcPr>
            <w:tcW w:w="7655" w:type="dxa"/>
          </w:tcPr>
          <w:p w14:paraId="482604AE" w14:textId="77777777" w:rsidR="004E71F4" w:rsidRPr="00A3389E" w:rsidRDefault="004E71F4" w:rsidP="00155C96">
            <w:pPr>
              <w:pStyle w:val="Fait"/>
              <w:spacing w:before="0" w:after="120"/>
              <w:ind w:left="1440"/>
              <w:rPr>
                <w:rFonts w:eastAsiaTheme="minorEastAsia"/>
                <w:b/>
              </w:rPr>
            </w:pPr>
            <w:r w:rsidRPr="00A3389E">
              <w:rPr>
                <w:b/>
              </w:rPr>
              <w:t>Z čoho zabezpečené nehnuteľným majetkom</w:t>
            </w:r>
          </w:p>
          <w:p w14:paraId="758E75CD" w14:textId="73432D69" w:rsidR="004E71F4" w:rsidRPr="00A3389E" w:rsidRDefault="004E71F4" w:rsidP="00155C96">
            <w:pPr>
              <w:pStyle w:val="Fait"/>
              <w:spacing w:before="0" w:after="120"/>
            </w:pPr>
            <w:r w:rsidRPr="00A3389E">
              <w:t>Úvery zabezpečené kolaterálom vo forme nehnuteľného majetku zahŕňajú úvery</w:t>
            </w:r>
            <w:r w:rsidR="00A3389E">
              <w:t xml:space="preserve"> a </w:t>
            </w:r>
            <w:r w:rsidRPr="00A3389E">
              <w:t>preddavky formálne zabezpečené kolaterálom vo forme nehnuteľného majetku určeného na bývanie alebo na podnikanie bez ohľadu na pomer úver/kolaterál (bežne označovaný ako „pomer výšky úveru</w:t>
            </w:r>
            <w:r w:rsidR="00A3389E">
              <w:t xml:space="preserve"> k </w:t>
            </w:r>
            <w:r w:rsidRPr="00A3389E">
              <w:t>hodnote zabezpečenia“)</w:t>
            </w:r>
            <w:r w:rsidR="00A3389E">
              <w:t xml:space="preserve"> a </w:t>
            </w:r>
            <w:r w:rsidRPr="00A3389E">
              <w:t>právnu formu kolaterálu, ako sa vymedzuje</w:t>
            </w:r>
            <w:r w:rsidR="00A3389E">
              <w:t xml:space="preserve"> v </w:t>
            </w:r>
            <w:r w:rsidRPr="00A3389E">
              <w:t>časti 2 odseku 86 písm. a) prílohy</w:t>
            </w:r>
            <w:r w:rsidR="00A3389E">
              <w:t xml:space="preserve"> V k </w:t>
            </w:r>
            <w:r w:rsidRPr="00A3389E">
              <w:t xml:space="preserve">vykonávaciemu nariadeniu Komisie (EÚ) </w:t>
            </w:r>
            <w:r w:rsidR="00A3389E">
              <w:t>č. </w:t>
            </w:r>
            <w:r w:rsidRPr="00A3389E">
              <w:t>680/2014.</w:t>
            </w:r>
          </w:p>
        </w:tc>
      </w:tr>
      <w:tr w:rsidR="004E71F4" w:rsidRPr="00A3389E" w14:paraId="4D807938" w14:textId="77777777" w:rsidTr="00155C96">
        <w:trPr>
          <w:trHeight w:val="971"/>
        </w:trPr>
        <w:tc>
          <w:tcPr>
            <w:tcW w:w="1384" w:type="dxa"/>
          </w:tcPr>
          <w:p w14:paraId="3C28ECDF" w14:textId="77777777" w:rsidR="004E71F4" w:rsidRPr="00A3389E" w:rsidRDefault="004E71F4" w:rsidP="00155C96">
            <w:pPr>
              <w:pStyle w:val="Applicationdirecte"/>
              <w:spacing w:before="0"/>
            </w:pPr>
            <w:r w:rsidRPr="00A3389E">
              <w:t>040</w:t>
            </w:r>
          </w:p>
        </w:tc>
        <w:tc>
          <w:tcPr>
            <w:tcW w:w="7655" w:type="dxa"/>
          </w:tcPr>
          <w:p w14:paraId="0913F0F8" w14:textId="20BFCAFD" w:rsidR="004E71F4" w:rsidRPr="00A3389E" w:rsidRDefault="004E71F4" w:rsidP="00155C96">
            <w:pPr>
              <w:pStyle w:val="Fait"/>
              <w:spacing w:before="0" w:after="120"/>
              <w:ind w:left="2160"/>
              <w:rPr>
                <w:rFonts w:eastAsiaTheme="minorEastAsia"/>
                <w:b/>
              </w:rPr>
            </w:pPr>
            <w:r w:rsidRPr="00A3389E">
              <w:rPr>
                <w:b/>
              </w:rPr>
              <w:t>Z čoho nástroje</w:t>
            </w:r>
            <w:r w:rsidR="00A3389E">
              <w:rPr>
                <w:b/>
              </w:rPr>
              <w:t xml:space="preserve"> s </w:t>
            </w:r>
            <w:r w:rsidRPr="00A3389E">
              <w:rPr>
                <w:b/>
              </w:rPr>
              <w:t>ukazovateľom LTV vyšším než 60</w:t>
            </w:r>
            <w:r w:rsidR="00A3389E">
              <w:rPr>
                <w:b/>
              </w:rPr>
              <w:t> % a </w:t>
            </w:r>
            <w:r w:rsidRPr="00A3389E">
              <w:rPr>
                <w:b/>
              </w:rPr>
              <w:t>nižším alebo rovným 80</w:t>
            </w:r>
            <w:r w:rsidR="00A3389E">
              <w:rPr>
                <w:b/>
              </w:rPr>
              <w:t> %</w:t>
            </w:r>
          </w:p>
          <w:p w14:paraId="5D101848" w14:textId="1D70CB69" w:rsidR="004E71F4" w:rsidRPr="00A3389E" w:rsidRDefault="004E71F4" w:rsidP="00155C96">
            <w:pPr>
              <w:pStyle w:val="Institutionquisigne"/>
              <w:spacing w:before="0" w:after="120"/>
              <w:rPr>
                <w:rFonts w:eastAsiaTheme="minorEastAsia"/>
              </w:rPr>
            </w:pPr>
            <w:r w:rsidRPr="00A3389E">
              <w:rPr>
                <w:i w:val="0"/>
              </w:rPr>
              <w:t>Pomer výšky úveru</w:t>
            </w:r>
            <w:r w:rsidR="00A3389E">
              <w:rPr>
                <w:i w:val="0"/>
              </w:rPr>
              <w:t xml:space="preserve"> k </w:t>
            </w:r>
            <w:r w:rsidRPr="00A3389E">
              <w:rPr>
                <w:i w:val="0"/>
              </w:rPr>
              <w:t>hodnote zabezpečenia (LTV) sa vypočítava pomocou metódy výpočtu stanovenej pre „súčasný LTV“ (LTV-C)</w:t>
            </w:r>
            <w:r w:rsidR="00A3389E">
              <w:rPr>
                <w:i w:val="0"/>
              </w:rPr>
              <w:t xml:space="preserve"> v </w:t>
            </w:r>
            <w:r w:rsidRPr="00A3389E">
              <w:rPr>
                <w:i w:val="0"/>
              </w:rPr>
              <w:t>odporúčaní Európskeho výboru pre systémové riziká</w:t>
            </w:r>
            <w:r w:rsidR="00A3389E">
              <w:rPr>
                <w:i w:val="0"/>
              </w:rPr>
              <w:t xml:space="preserve"> o </w:t>
            </w:r>
            <w:r w:rsidRPr="00A3389E">
              <w:rPr>
                <w:i w:val="0"/>
              </w:rPr>
              <w:t>doplnení chýbajúcich údajov</w:t>
            </w:r>
            <w:r w:rsidR="00A3389E">
              <w:rPr>
                <w:i w:val="0"/>
              </w:rPr>
              <w:t xml:space="preserve"> o </w:t>
            </w:r>
            <w:r w:rsidRPr="00A3389E">
              <w:rPr>
                <w:i w:val="0"/>
              </w:rPr>
              <w:t>nehnuteľnostiach (ESRB/2016/14)</w:t>
            </w:r>
            <w:r w:rsidRPr="00A3389E">
              <w:rPr>
                <w:rStyle w:val="FootnoteReference"/>
                <w:rFonts w:ascii="Times New Roman" w:hAnsi="Times New Roman"/>
                <w:i w:val="0"/>
              </w:rPr>
              <w:footnoteReference w:id="32"/>
            </w:r>
            <w:r w:rsidRPr="00A3389E">
              <w:rPr>
                <w:i w:val="0"/>
              </w:rPr>
              <w:t>. Inštitúcie zverejňujú hrubú účtovnú hodnotu úverov</w:t>
            </w:r>
            <w:r w:rsidR="00A3389E">
              <w:rPr>
                <w:i w:val="0"/>
              </w:rPr>
              <w:t xml:space="preserve"> a </w:t>
            </w:r>
            <w:r w:rsidRPr="00A3389E">
              <w:rPr>
                <w:i w:val="0"/>
              </w:rPr>
              <w:t>preddavkov, ktorých ukazovateľ LTV je vyšší ako 60</w:t>
            </w:r>
            <w:r w:rsidR="00A3389E">
              <w:rPr>
                <w:i w:val="0"/>
              </w:rPr>
              <w:t> % a </w:t>
            </w:r>
            <w:r w:rsidRPr="00A3389E">
              <w:rPr>
                <w:i w:val="0"/>
              </w:rPr>
              <w:t>nižší alebo rovný 80</w:t>
            </w:r>
            <w:r w:rsidR="00A3389E">
              <w:rPr>
                <w:i w:val="0"/>
              </w:rPr>
              <w:t> %</w:t>
            </w:r>
            <w:r w:rsidRPr="00A3389E">
              <w:rPr>
                <w:i w:val="0"/>
              </w:rPr>
              <w:t>.</w:t>
            </w:r>
          </w:p>
        </w:tc>
      </w:tr>
      <w:tr w:rsidR="004E71F4" w:rsidRPr="00A3389E" w14:paraId="0B8B1CCB" w14:textId="77777777" w:rsidTr="00155C96">
        <w:trPr>
          <w:trHeight w:val="971"/>
        </w:trPr>
        <w:tc>
          <w:tcPr>
            <w:tcW w:w="1384" w:type="dxa"/>
          </w:tcPr>
          <w:p w14:paraId="54B724DF" w14:textId="77777777" w:rsidR="004E71F4" w:rsidRPr="00A3389E" w:rsidRDefault="004E71F4" w:rsidP="00155C96">
            <w:pPr>
              <w:pStyle w:val="Applicationdirecte"/>
              <w:spacing w:before="0"/>
            </w:pPr>
            <w:r w:rsidRPr="00A3389E">
              <w:t>050</w:t>
            </w:r>
          </w:p>
        </w:tc>
        <w:tc>
          <w:tcPr>
            <w:tcW w:w="7655" w:type="dxa"/>
          </w:tcPr>
          <w:p w14:paraId="110E5C73" w14:textId="6C8AFD2F" w:rsidR="004E71F4" w:rsidRPr="00A3389E" w:rsidRDefault="004E71F4" w:rsidP="00155C96">
            <w:pPr>
              <w:pStyle w:val="Fait"/>
              <w:spacing w:before="0" w:after="120"/>
              <w:ind w:left="2160"/>
              <w:rPr>
                <w:rFonts w:eastAsiaTheme="minorEastAsia"/>
                <w:b/>
              </w:rPr>
            </w:pPr>
            <w:r w:rsidRPr="00A3389E">
              <w:rPr>
                <w:b/>
              </w:rPr>
              <w:t>Z čoho nástroje</w:t>
            </w:r>
            <w:r w:rsidR="00A3389E">
              <w:rPr>
                <w:b/>
              </w:rPr>
              <w:t xml:space="preserve"> s </w:t>
            </w:r>
            <w:r w:rsidRPr="00A3389E">
              <w:rPr>
                <w:b/>
              </w:rPr>
              <w:t>ukazovateľom LTV vyšším než 80</w:t>
            </w:r>
            <w:r w:rsidR="00A3389E">
              <w:rPr>
                <w:b/>
              </w:rPr>
              <w:t> % a </w:t>
            </w:r>
            <w:r w:rsidRPr="00A3389E">
              <w:rPr>
                <w:b/>
              </w:rPr>
              <w:t>nižším alebo rovným 100</w:t>
            </w:r>
            <w:r w:rsidR="00A3389E">
              <w:rPr>
                <w:b/>
              </w:rPr>
              <w:t> %</w:t>
            </w:r>
          </w:p>
          <w:p w14:paraId="6EFD6EA8" w14:textId="14C6E94C" w:rsidR="004E71F4" w:rsidRPr="00A3389E" w:rsidRDefault="004E71F4" w:rsidP="00155C96">
            <w:pPr>
              <w:pStyle w:val="Institutionquisigne"/>
              <w:spacing w:before="0" w:after="120"/>
              <w:rPr>
                <w:rFonts w:eastAsiaTheme="minorEastAsia"/>
              </w:rPr>
            </w:pPr>
            <w:r w:rsidRPr="00A3389E">
              <w:rPr>
                <w:i w:val="0"/>
              </w:rPr>
              <w:t>Inštitúcie zverejňujú hrubú účtovnú hodnotu úverov</w:t>
            </w:r>
            <w:r w:rsidR="00A3389E">
              <w:rPr>
                <w:i w:val="0"/>
              </w:rPr>
              <w:t xml:space="preserve"> a </w:t>
            </w:r>
            <w:r w:rsidRPr="00A3389E">
              <w:rPr>
                <w:i w:val="0"/>
              </w:rPr>
              <w:t>preddavkov, ktorých ukazovateľ LTV je vyšší ako 80</w:t>
            </w:r>
            <w:r w:rsidR="00A3389E">
              <w:rPr>
                <w:i w:val="0"/>
              </w:rPr>
              <w:t> % a </w:t>
            </w:r>
            <w:r w:rsidRPr="00A3389E">
              <w:rPr>
                <w:i w:val="0"/>
              </w:rPr>
              <w:t>nižší alebo rovný 100</w:t>
            </w:r>
            <w:r w:rsidR="00A3389E">
              <w:rPr>
                <w:i w:val="0"/>
              </w:rPr>
              <w:t> %</w:t>
            </w:r>
            <w:r w:rsidRPr="00A3389E">
              <w:rPr>
                <w:i w:val="0"/>
              </w:rPr>
              <w:t>.</w:t>
            </w:r>
          </w:p>
        </w:tc>
      </w:tr>
      <w:tr w:rsidR="004E71F4" w:rsidRPr="00A3389E" w14:paraId="76DD2D26" w14:textId="77777777" w:rsidTr="00155C96">
        <w:trPr>
          <w:trHeight w:val="971"/>
        </w:trPr>
        <w:tc>
          <w:tcPr>
            <w:tcW w:w="1384" w:type="dxa"/>
          </w:tcPr>
          <w:p w14:paraId="72DC51AA" w14:textId="77777777" w:rsidR="004E71F4" w:rsidRPr="00A3389E" w:rsidRDefault="004E71F4" w:rsidP="00155C96">
            <w:pPr>
              <w:pStyle w:val="Applicationdirecte"/>
              <w:spacing w:before="0"/>
            </w:pPr>
            <w:r w:rsidRPr="00A3389E">
              <w:t>060</w:t>
            </w:r>
          </w:p>
        </w:tc>
        <w:tc>
          <w:tcPr>
            <w:tcW w:w="7655" w:type="dxa"/>
          </w:tcPr>
          <w:p w14:paraId="0935D043" w14:textId="077F18D4" w:rsidR="004E71F4" w:rsidRPr="00A3389E" w:rsidRDefault="004E71F4" w:rsidP="00155C96">
            <w:pPr>
              <w:pStyle w:val="Fait"/>
              <w:spacing w:before="0" w:after="120"/>
              <w:ind w:left="2160"/>
              <w:rPr>
                <w:rFonts w:eastAsiaTheme="minorEastAsia"/>
                <w:b/>
              </w:rPr>
            </w:pPr>
            <w:r w:rsidRPr="00A3389E">
              <w:rPr>
                <w:b/>
              </w:rPr>
              <w:t>Z čoho nástroje</w:t>
            </w:r>
            <w:r w:rsidR="00A3389E">
              <w:rPr>
                <w:b/>
              </w:rPr>
              <w:t xml:space="preserve"> s </w:t>
            </w:r>
            <w:r w:rsidRPr="00A3389E">
              <w:rPr>
                <w:b/>
              </w:rPr>
              <w:t>ukazovateľom LTV vyšším než 100</w:t>
            </w:r>
            <w:r w:rsidR="00A3389E">
              <w:rPr>
                <w:b/>
              </w:rPr>
              <w:t> %</w:t>
            </w:r>
          </w:p>
          <w:p w14:paraId="70834439" w14:textId="32642159" w:rsidR="004E71F4" w:rsidRPr="00A3389E" w:rsidRDefault="004E71F4" w:rsidP="00155C96">
            <w:pPr>
              <w:pStyle w:val="Institutionquisigne"/>
              <w:spacing w:before="0" w:after="120"/>
              <w:rPr>
                <w:rFonts w:eastAsiaTheme="minorEastAsia"/>
              </w:rPr>
            </w:pPr>
            <w:r w:rsidRPr="00A3389E">
              <w:rPr>
                <w:i w:val="0"/>
              </w:rPr>
              <w:t>Hrubá účtovná hodnota úverov</w:t>
            </w:r>
            <w:r w:rsidR="00A3389E">
              <w:rPr>
                <w:i w:val="0"/>
              </w:rPr>
              <w:t xml:space="preserve"> a </w:t>
            </w:r>
            <w:r w:rsidRPr="00A3389E">
              <w:rPr>
                <w:i w:val="0"/>
              </w:rPr>
              <w:t>preddavkov</w:t>
            </w:r>
            <w:r w:rsidR="00A3389E">
              <w:rPr>
                <w:i w:val="0"/>
              </w:rPr>
              <w:t xml:space="preserve"> s </w:t>
            </w:r>
            <w:r w:rsidRPr="00A3389E">
              <w:rPr>
                <w:i w:val="0"/>
              </w:rPr>
              <w:t>ukazovateľom LTV vyšším ako 100</w:t>
            </w:r>
            <w:r w:rsidR="00A3389E">
              <w:rPr>
                <w:i w:val="0"/>
              </w:rPr>
              <w:t> %</w:t>
            </w:r>
            <w:r w:rsidRPr="00A3389E">
              <w:rPr>
                <w:i w:val="0"/>
              </w:rPr>
              <w:t>.</w:t>
            </w:r>
          </w:p>
        </w:tc>
      </w:tr>
      <w:tr w:rsidR="004E71F4" w:rsidRPr="00A3389E" w14:paraId="57A25CD3" w14:textId="77777777" w:rsidTr="00155C96">
        <w:trPr>
          <w:trHeight w:val="316"/>
        </w:trPr>
        <w:tc>
          <w:tcPr>
            <w:tcW w:w="1384" w:type="dxa"/>
          </w:tcPr>
          <w:p w14:paraId="1E1A011E"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070</w:t>
            </w:r>
          </w:p>
        </w:tc>
        <w:tc>
          <w:tcPr>
            <w:tcW w:w="7655" w:type="dxa"/>
          </w:tcPr>
          <w:p w14:paraId="66A9AE8B"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Akumulované zníženie hodnoty zabezpečených aktív</w:t>
            </w:r>
          </w:p>
          <w:p w14:paraId="1699F1C0" w14:textId="610E243C" w:rsidR="004E71F4" w:rsidRPr="00A3389E" w:rsidRDefault="004E71F4" w:rsidP="00155C96">
            <w:pPr>
              <w:pStyle w:val="Fait"/>
              <w:spacing w:before="0" w:after="120"/>
            </w:pPr>
            <w:r w:rsidRPr="00A3389E">
              <w:lastRenderedPageBreak/>
              <w:t>V prípade zabezpečených dlhových nástrojov sa akumulované zníženie hodnoty vypočítava ako kumulatívna suma strát zo zníženia hodnoty po odpočítaní použitia</w:t>
            </w:r>
            <w:r w:rsidR="00A3389E">
              <w:t xml:space="preserve"> a </w:t>
            </w:r>
            <w:r w:rsidRPr="00A3389E">
              <w:t>zrušení, ktorá bola vykázaná, ak je to vhodné, pre každú etapu znižovania hodnoty [časť 2 odsek 70 prílohy</w:t>
            </w:r>
            <w:r w:rsidR="00A3389E">
              <w:t xml:space="preserve"> V k </w:t>
            </w:r>
            <w:r w:rsidRPr="00A3389E">
              <w:t xml:space="preserve">vykonávaciemu nariadeniu Komisie (EÚ) </w:t>
            </w:r>
            <w:r w:rsidR="00A3389E">
              <w:t>č. </w:t>
            </w:r>
            <w:r w:rsidRPr="00A3389E">
              <w:t>680/2014].</w:t>
            </w:r>
          </w:p>
          <w:p w14:paraId="2ADC11C4" w14:textId="0A21A31C" w:rsidR="004E71F4" w:rsidRPr="00A3389E" w:rsidRDefault="004E71F4" w:rsidP="00155C96">
            <w:pPr>
              <w:pStyle w:val="Fait"/>
              <w:spacing w:before="0" w:after="120"/>
              <w:rPr>
                <w:b/>
              </w:rPr>
            </w:pPr>
            <w:r w:rsidRPr="00A3389E">
              <w:t>Do tohto riadku sa zahŕňa akumulované zníženie hodnoty súvisiace</w:t>
            </w:r>
            <w:r w:rsidR="00A3389E">
              <w:t xml:space="preserve"> s </w:t>
            </w:r>
            <w:r w:rsidRPr="00A3389E">
              <w:t>nezabezpečenou časťou čiastočne zabezpečenej alebo čiastočne zaručenej expozície.</w:t>
            </w:r>
          </w:p>
        </w:tc>
      </w:tr>
      <w:tr w:rsidR="004E71F4" w:rsidRPr="00A3389E" w14:paraId="2290904B" w14:textId="77777777" w:rsidTr="00155C96">
        <w:trPr>
          <w:trHeight w:val="316"/>
        </w:trPr>
        <w:tc>
          <w:tcPr>
            <w:tcW w:w="1384" w:type="dxa"/>
          </w:tcPr>
          <w:p w14:paraId="0ACFF594"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lastRenderedPageBreak/>
              <w:t>090</w:t>
            </w:r>
          </w:p>
        </w:tc>
        <w:tc>
          <w:tcPr>
            <w:tcW w:w="7655" w:type="dxa"/>
          </w:tcPr>
          <w:p w14:paraId="670CE9F5" w14:textId="149351CC"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Kolaterál –</w:t>
            </w:r>
            <w:r w:rsidR="00A3389E">
              <w:rPr>
                <w:rFonts w:ascii="Times New Roman" w:hAnsi="Times New Roman" w:cs="Times New Roman"/>
                <w:b/>
                <w:sz w:val="24"/>
              </w:rPr>
              <w:t xml:space="preserve"> z </w:t>
            </w:r>
            <w:r w:rsidRPr="00A3389E">
              <w:rPr>
                <w:rFonts w:ascii="Times New Roman" w:hAnsi="Times New Roman" w:cs="Times New Roman"/>
                <w:b/>
                <w:sz w:val="24"/>
              </w:rPr>
              <w:t>čoho hodnota zhora ohraničená hodnotou expozície</w:t>
            </w:r>
          </w:p>
          <w:p w14:paraId="757848DF" w14:textId="34DFAD85" w:rsidR="004E71F4" w:rsidRPr="00A3389E" w:rsidRDefault="004E71F4" w:rsidP="00155C96">
            <w:pPr>
              <w:pStyle w:val="Fait"/>
              <w:spacing w:before="0" w:after="120"/>
              <w:rPr>
                <w:b/>
              </w:rPr>
            </w:pPr>
            <w:r w:rsidRPr="00A3389E">
              <w:t>Sumy prijatého kolaterálu sa vypočítavajú</w:t>
            </w:r>
            <w:r w:rsidR="00A3389E">
              <w:t xml:space="preserve"> v </w:t>
            </w:r>
            <w:r w:rsidRPr="00A3389E">
              <w:t>súlade</w:t>
            </w:r>
            <w:r w:rsidR="00A3389E">
              <w:t xml:space="preserve"> s </w:t>
            </w:r>
            <w:r w:rsidRPr="00A3389E">
              <w:t>časťou 2 odsekom 239 prílohy</w:t>
            </w:r>
            <w:r w:rsidR="00A3389E">
              <w:t xml:space="preserve"> V k </w:t>
            </w:r>
            <w:r w:rsidRPr="00A3389E">
              <w:t xml:space="preserve">vykonávaciemu nariadeniu Komisie (EÚ) </w:t>
            </w:r>
            <w:r w:rsidR="00A3389E">
              <w:t>č. </w:t>
            </w:r>
            <w:r w:rsidRPr="00A3389E">
              <w:t>680/2014. Súčet súm kolaterálu</w:t>
            </w:r>
            <w:r w:rsidR="00A3389E">
              <w:t xml:space="preserve"> v </w:t>
            </w:r>
            <w:r w:rsidRPr="00A3389E">
              <w:t>tomto riadku sa zhora ohraničí účtovnou hodnotou súvisiacej expozície.</w:t>
            </w:r>
          </w:p>
        </w:tc>
      </w:tr>
      <w:tr w:rsidR="004E71F4" w:rsidRPr="00A3389E" w14:paraId="081E7193" w14:textId="77777777" w:rsidTr="00155C96">
        <w:trPr>
          <w:trHeight w:val="316"/>
        </w:trPr>
        <w:tc>
          <w:tcPr>
            <w:tcW w:w="1384" w:type="dxa"/>
          </w:tcPr>
          <w:p w14:paraId="1EFC5BB3"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100</w:t>
            </w:r>
          </w:p>
        </w:tc>
        <w:tc>
          <w:tcPr>
            <w:tcW w:w="7655" w:type="dxa"/>
          </w:tcPr>
          <w:p w14:paraId="52569C52"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nehnuteľný majetok</w:t>
            </w:r>
          </w:p>
          <w:p w14:paraId="5FB7DBC4" w14:textId="0BEF599F" w:rsidR="004E71F4" w:rsidRPr="00A3389E" w:rsidRDefault="004E71F4" w:rsidP="00155C96">
            <w:pPr>
              <w:pStyle w:val="Fait"/>
              <w:spacing w:before="0" w:after="120"/>
            </w:pPr>
            <w:r w:rsidRPr="00A3389E">
              <w:t>Časť kolaterálu pozostávajúca</w:t>
            </w:r>
            <w:r w:rsidR="00A3389E">
              <w:t xml:space="preserve"> z </w:t>
            </w:r>
            <w:r w:rsidRPr="00A3389E">
              <w:t>nehnuteľného majetku určeného na bývanie alebo na podnikanie [časť 2 odsek 173 písm. a) prílohy</w:t>
            </w:r>
            <w:r w:rsidR="00A3389E">
              <w:t xml:space="preserve"> V k </w:t>
            </w:r>
            <w:r w:rsidRPr="00A3389E">
              <w:t xml:space="preserve">vykonávaciemu nariadeniu Komisie (EÚ) </w:t>
            </w:r>
            <w:r w:rsidR="00A3389E">
              <w:t>č. </w:t>
            </w:r>
            <w:r w:rsidRPr="00A3389E">
              <w:t>680/2014].</w:t>
            </w:r>
          </w:p>
          <w:p w14:paraId="2B76D036" w14:textId="0A40E662" w:rsidR="004E71F4" w:rsidRPr="00A3389E" w:rsidRDefault="004E71F4" w:rsidP="00155C96">
            <w:pPr>
              <w:pStyle w:val="Fait"/>
              <w:spacing w:before="0" w:after="120"/>
              <w:rPr>
                <w:b/>
              </w:rPr>
            </w:pPr>
            <w:r w:rsidRPr="00A3389E">
              <w:t>Súčet súm kolaterálu</w:t>
            </w:r>
            <w:r w:rsidR="00A3389E">
              <w:t xml:space="preserve"> v </w:t>
            </w:r>
            <w:r w:rsidRPr="00A3389E">
              <w:t>tomto riadku sa zhora ohraničí účtovnou hodnotou súvisiacej expozície.</w:t>
            </w:r>
          </w:p>
        </w:tc>
      </w:tr>
      <w:tr w:rsidR="004E71F4" w:rsidRPr="00A3389E" w14:paraId="6B3FB7FD" w14:textId="77777777" w:rsidTr="00155C96">
        <w:trPr>
          <w:trHeight w:val="316"/>
        </w:trPr>
        <w:tc>
          <w:tcPr>
            <w:tcW w:w="1384" w:type="dxa"/>
          </w:tcPr>
          <w:p w14:paraId="12F7D299"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110</w:t>
            </w:r>
          </w:p>
        </w:tc>
        <w:tc>
          <w:tcPr>
            <w:tcW w:w="7655" w:type="dxa"/>
          </w:tcPr>
          <w:p w14:paraId="4856E1EB" w14:textId="33B56776"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Kolaterál –</w:t>
            </w:r>
            <w:r w:rsidR="00A3389E">
              <w:rPr>
                <w:rFonts w:ascii="Times New Roman" w:hAnsi="Times New Roman" w:cs="Times New Roman"/>
                <w:b/>
                <w:sz w:val="24"/>
              </w:rPr>
              <w:t xml:space="preserve"> z </w:t>
            </w:r>
            <w:r w:rsidRPr="00A3389E">
              <w:rPr>
                <w:rFonts w:ascii="Times New Roman" w:hAnsi="Times New Roman" w:cs="Times New Roman"/>
                <w:b/>
                <w:sz w:val="24"/>
              </w:rPr>
              <w:t>čoho hodnota nad horným ohraničením</w:t>
            </w:r>
          </w:p>
          <w:p w14:paraId="4825BFE6" w14:textId="5FC18DEA" w:rsidR="004E71F4" w:rsidRPr="00A3389E" w:rsidRDefault="004E71F4" w:rsidP="00155C96">
            <w:pPr>
              <w:pStyle w:val="Fait"/>
              <w:spacing w:before="0" w:after="120"/>
              <w:rPr>
                <w:b/>
              </w:rPr>
            </w:pPr>
            <w:r w:rsidRPr="00A3389E">
              <w:t>V tomto riadku sa zverejňuje rozdiel medzi skutočnou hodnotou kolaterálu</w:t>
            </w:r>
            <w:r w:rsidR="00A3389E">
              <w:t xml:space="preserve"> a </w:t>
            </w:r>
            <w:r w:rsidRPr="00A3389E">
              <w:t>zhora ohraničenou hodnotou kolaterálu (účtovná hodnota súvisiacej expozície) [inštitúcie na výpočet skutočnej hodnoty kolaterálu neuplatňujú časť 2 odsek 239 prílohy</w:t>
            </w:r>
            <w:r w:rsidR="00A3389E">
              <w:t xml:space="preserve"> V k </w:t>
            </w:r>
            <w:r w:rsidRPr="00A3389E">
              <w:t xml:space="preserve">vykonávaciemu nariadeniu Komisie (EÚ) </w:t>
            </w:r>
            <w:r w:rsidR="00A3389E">
              <w:t>č. </w:t>
            </w:r>
            <w:r w:rsidRPr="00A3389E">
              <w:t>680/2014].</w:t>
            </w:r>
          </w:p>
        </w:tc>
      </w:tr>
      <w:tr w:rsidR="004E71F4" w:rsidRPr="00A3389E" w14:paraId="22C06DA6" w14:textId="77777777" w:rsidTr="00155C96">
        <w:trPr>
          <w:trHeight w:val="316"/>
        </w:trPr>
        <w:tc>
          <w:tcPr>
            <w:tcW w:w="1384" w:type="dxa"/>
          </w:tcPr>
          <w:p w14:paraId="06825229"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120</w:t>
            </w:r>
          </w:p>
        </w:tc>
        <w:tc>
          <w:tcPr>
            <w:tcW w:w="7655" w:type="dxa"/>
          </w:tcPr>
          <w:p w14:paraId="50969C13"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nehnuteľný majetok</w:t>
            </w:r>
          </w:p>
          <w:p w14:paraId="3CEE730C" w14:textId="61F17004" w:rsidR="004E71F4" w:rsidRPr="00A3389E" w:rsidRDefault="004E71F4" w:rsidP="00155C96">
            <w:pPr>
              <w:pStyle w:val="Fait"/>
              <w:spacing w:before="0" w:after="120"/>
              <w:rPr>
                <w:b/>
              </w:rPr>
            </w:pPr>
            <w:r w:rsidRPr="00A3389E">
              <w:t>Rozdiel medzi skutočnou hodnotou</w:t>
            </w:r>
            <w:r w:rsidR="00A3389E">
              <w:t xml:space="preserve"> a </w:t>
            </w:r>
            <w:r w:rsidRPr="00A3389E">
              <w:t>zhora ohraničenou hodnotou časti kolaterálu pozostávajúcej</w:t>
            </w:r>
            <w:r w:rsidR="00A3389E">
              <w:t xml:space="preserve"> z </w:t>
            </w:r>
            <w:r w:rsidRPr="00A3389E">
              <w:t>nehnuteľného majetku určeného na bývanie alebo na podnikanie [časť 2 odsek 173 písm. a) prílohy</w:t>
            </w:r>
            <w:r w:rsidR="00A3389E">
              <w:t xml:space="preserve"> V k </w:t>
            </w:r>
            <w:r w:rsidRPr="00A3389E">
              <w:t xml:space="preserve">vykonávaciemu nariadeniu Komisie (EÚ) </w:t>
            </w:r>
            <w:r w:rsidR="00A3389E">
              <w:t>č. </w:t>
            </w:r>
            <w:r w:rsidRPr="00A3389E">
              <w:t>680/2014].</w:t>
            </w:r>
          </w:p>
        </w:tc>
      </w:tr>
      <w:tr w:rsidR="004E71F4" w:rsidRPr="00A3389E" w14:paraId="1B02068D" w14:textId="77777777" w:rsidTr="00155C96">
        <w:trPr>
          <w:trHeight w:val="316"/>
        </w:trPr>
        <w:tc>
          <w:tcPr>
            <w:tcW w:w="1384" w:type="dxa"/>
          </w:tcPr>
          <w:p w14:paraId="4B3B4E6C"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130</w:t>
            </w:r>
          </w:p>
        </w:tc>
        <w:tc>
          <w:tcPr>
            <w:tcW w:w="7655" w:type="dxa"/>
          </w:tcPr>
          <w:p w14:paraId="3D3C6C43"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Prijaté finančné záruky</w:t>
            </w:r>
          </w:p>
          <w:p w14:paraId="521216D0" w14:textId="2727E512" w:rsidR="004E71F4" w:rsidRPr="00A3389E" w:rsidRDefault="004E71F4" w:rsidP="00155C96">
            <w:pPr>
              <w:pStyle w:val="Fait"/>
              <w:spacing w:before="0" w:after="120"/>
              <w:rPr>
                <w:b/>
              </w:rPr>
            </w:pPr>
            <w:r w:rsidRPr="00A3389E">
              <w:t>Ako sa vymedzuje</w:t>
            </w:r>
            <w:r w:rsidR="00A3389E">
              <w:t xml:space="preserve"> v </w:t>
            </w:r>
            <w:r w:rsidRPr="00A3389E">
              <w:t>časti 2 odseku 114 prílohy</w:t>
            </w:r>
            <w:r w:rsidR="00A3389E">
              <w:t xml:space="preserve"> V k </w:t>
            </w:r>
            <w:r w:rsidRPr="00A3389E">
              <w:t xml:space="preserve">vykonávaciemu nariadeniu Komisie (EÚ) </w:t>
            </w:r>
            <w:r w:rsidR="00A3389E">
              <w:t>č. </w:t>
            </w:r>
            <w:r w:rsidRPr="00A3389E">
              <w:t>680/2014.</w:t>
            </w:r>
          </w:p>
        </w:tc>
      </w:tr>
      <w:tr w:rsidR="004E71F4" w:rsidRPr="00A3389E" w14:paraId="3081B96F" w14:textId="77777777" w:rsidTr="00155C96">
        <w:trPr>
          <w:trHeight w:val="316"/>
        </w:trPr>
        <w:tc>
          <w:tcPr>
            <w:tcW w:w="1384" w:type="dxa"/>
          </w:tcPr>
          <w:p w14:paraId="37C212A9"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140</w:t>
            </w:r>
          </w:p>
        </w:tc>
        <w:tc>
          <w:tcPr>
            <w:tcW w:w="7655" w:type="dxa"/>
          </w:tcPr>
          <w:p w14:paraId="2B52A328"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Akumulované čiastočné odpisy</w:t>
            </w:r>
          </w:p>
          <w:p w14:paraId="1C49ED21" w14:textId="4A381791" w:rsidR="004E71F4" w:rsidRPr="00A3389E" w:rsidRDefault="004E71F4" w:rsidP="00155C96">
            <w:pPr>
              <w:pStyle w:val="Fait"/>
              <w:spacing w:before="0" w:after="120"/>
            </w:pPr>
            <w:r w:rsidRPr="00A3389E">
              <w:t>To má zahŕňať,</w:t>
            </w:r>
            <w:r w:rsidR="00A3389E">
              <w:t xml:space="preserve"> k </w:t>
            </w:r>
            <w:r w:rsidRPr="00A3389E">
              <w:t>referenčnému dátumu, akumulovanú čiastočnú sumu istiny</w:t>
            </w:r>
            <w:r w:rsidR="00A3389E">
              <w:t xml:space="preserve"> a </w:t>
            </w:r>
            <w:r w:rsidRPr="00A3389E">
              <w:t>vzniknutých úrokov</w:t>
            </w:r>
            <w:r w:rsidR="00A3389E">
              <w:t xml:space="preserve"> a </w:t>
            </w:r>
            <w:r w:rsidRPr="00A3389E">
              <w:t>poplatkov po splatnosti za akýkoľvek dlhový nástroj, ktorého vykazovanie sa</w:t>
            </w:r>
            <w:r w:rsidR="00A3389E">
              <w:t xml:space="preserve"> k </w:t>
            </w:r>
            <w:r w:rsidRPr="00A3389E">
              <w:t>danému dátumu ukončilo,</w:t>
            </w:r>
            <w:r w:rsidR="00A3389E">
              <w:t xml:space="preserve"> s </w:t>
            </w:r>
            <w:r w:rsidRPr="00A3389E">
              <w:t>použitím ktorejkoľvek</w:t>
            </w:r>
            <w:r w:rsidR="00A3389E">
              <w:t xml:space="preserve"> z </w:t>
            </w:r>
            <w:r w:rsidRPr="00A3389E">
              <w:t>metód opísaných</w:t>
            </w:r>
            <w:r w:rsidR="00A3389E">
              <w:t xml:space="preserve"> v </w:t>
            </w:r>
            <w:r w:rsidRPr="00A3389E">
              <w:t>časti 2 odseku 74 prílohy</w:t>
            </w:r>
            <w:r w:rsidR="00A3389E">
              <w:t xml:space="preserve"> V k </w:t>
            </w:r>
            <w:r w:rsidRPr="00A3389E">
              <w:t xml:space="preserve">vykonávaciemu nariadeniu Komisie (EÚ) </w:t>
            </w:r>
            <w:r w:rsidR="00A3389E">
              <w:t>č. </w:t>
            </w:r>
            <w:r w:rsidRPr="00A3389E">
              <w:t>680/2014, ktoré sa majú zverejniť, pretože inštitúcia nemá opodstatnené očakávanie, že vymôže zmluvné peňažné toky. Tieto sumy sa majú zverejňovať až do úplného zániku všetkých práv inštitúcie – uplynutím premlčacej lehoty, odpustením alebo</w:t>
            </w:r>
            <w:r w:rsidR="00A3389E">
              <w:t xml:space="preserve"> z </w:t>
            </w:r>
            <w:r w:rsidRPr="00A3389E">
              <w:t xml:space="preserve">iných príčin – alebo až do vymoženia. </w:t>
            </w:r>
            <w:r w:rsidRPr="00A3389E">
              <w:lastRenderedPageBreak/>
              <w:t>Ak sa preto odpísané sumy nevymôžu, majú sa zverejniť</w:t>
            </w:r>
            <w:r w:rsidR="00A3389E">
              <w:t xml:space="preserve"> v </w:t>
            </w:r>
            <w:r w:rsidRPr="00A3389E">
              <w:t>takom období, počas ktorého sú predmetom vymáhania.</w:t>
            </w:r>
          </w:p>
          <w:p w14:paraId="5B1ADC49" w14:textId="66E619C6" w:rsidR="004E71F4" w:rsidRPr="00A3389E" w:rsidRDefault="004E71F4" w:rsidP="00155C96">
            <w:pPr>
              <w:pStyle w:val="Fait"/>
              <w:spacing w:before="0" w:after="120"/>
            </w:pPr>
            <w:r w:rsidRPr="00A3389E">
              <w:t>Odpisy predstavujú udalosť ukončenia vykazovania</w:t>
            </w:r>
            <w:r w:rsidR="00A3389E">
              <w:t xml:space="preserve"> a </w:t>
            </w:r>
            <w:r w:rsidRPr="00A3389E">
              <w:t>vzťahujú sa na finančné aktívum ako celok alebo (v prípade čiastočného odpisu) na jeho časť vrátane prípadov, keď zmena</w:t>
            </w:r>
            <w:r w:rsidR="00A3389E">
              <w:t xml:space="preserve"> v </w:t>
            </w:r>
            <w:r w:rsidRPr="00A3389E">
              <w:t>aktíve vedie</w:t>
            </w:r>
            <w:r w:rsidR="00A3389E">
              <w:t xml:space="preserve"> k </w:t>
            </w:r>
            <w:r w:rsidRPr="00A3389E">
              <w:t>tomu, že inštitúcia sa vzdá práva na výber peňažných tokov plynúcich buď</w:t>
            </w:r>
            <w:r w:rsidR="00A3389E">
              <w:t xml:space="preserve"> z </w:t>
            </w:r>
            <w:r w:rsidRPr="00A3389E">
              <w:t>časti alebo</w:t>
            </w:r>
            <w:r w:rsidR="00A3389E">
              <w:t xml:space="preserve"> z </w:t>
            </w:r>
            <w:r w:rsidRPr="00A3389E">
              <w:t>celého tohto aktíva.</w:t>
            </w:r>
          </w:p>
        </w:tc>
      </w:tr>
    </w:tbl>
    <w:p w14:paraId="7BB393CA"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443A83DC" w14:textId="77777777" w:rsidTr="00155C96">
        <w:trPr>
          <w:trHeight w:val="238"/>
        </w:trPr>
        <w:tc>
          <w:tcPr>
            <w:tcW w:w="9039" w:type="dxa"/>
            <w:gridSpan w:val="2"/>
            <w:shd w:val="clear" w:color="auto" w:fill="D9D9D9" w:themeFill="background1" w:themeFillShade="D9"/>
          </w:tcPr>
          <w:p w14:paraId="33399CA0" w14:textId="1BE0C496"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175FFDF9" w14:textId="77777777" w:rsidTr="00155C96">
        <w:trPr>
          <w:trHeight w:val="238"/>
        </w:trPr>
        <w:tc>
          <w:tcPr>
            <w:tcW w:w="1384" w:type="dxa"/>
            <w:shd w:val="clear" w:color="auto" w:fill="D9D9D9" w:themeFill="background1" w:themeFillShade="D9"/>
          </w:tcPr>
          <w:p w14:paraId="13E171AE"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4AD2E31F"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49E905AB" w14:textId="77777777" w:rsidTr="00155C96">
        <w:trPr>
          <w:trHeight w:val="841"/>
        </w:trPr>
        <w:tc>
          <w:tcPr>
            <w:tcW w:w="1384" w:type="dxa"/>
          </w:tcPr>
          <w:p w14:paraId="589EE789" w14:textId="77777777" w:rsidR="004E71F4" w:rsidRPr="00A3389E" w:rsidRDefault="004E71F4" w:rsidP="00155C96">
            <w:pPr>
              <w:pStyle w:val="Applicationdirecte"/>
              <w:spacing w:before="0"/>
            </w:pPr>
            <w:r w:rsidRPr="00A3389E">
              <w:t>a</w:t>
            </w:r>
          </w:p>
        </w:tc>
        <w:tc>
          <w:tcPr>
            <w:tcW w:w="7655" w:type="dxa"/>
          </w:tcPr>
          <w:p w14:paraId="632567CE" w14:textId="408770BF" w:rsidR="004E71F4" w:rsidRPr="00A3389E" w:rsidRDefault="004E71F4" w:rsidP="00155C96">
            <w:pPr>
              <w:pStyle w:val="Institutionquisigne"/>
              <w:spacing w:before="0" w:after="120"/>
              <w:rPr>
                <w:rFonts w:eastAsiaTheme="minorEastAsia"/>
                <w:b/>
                <w:i w:val="0"/>
              </w:rPr>
            </w:pPr>
            <w:r w:rsidRPr="00A3389E">
              <w:rPr>
                <w:b/>
                <w:i w:val="0"/>
              </w:rPr>
              <w:t>Úvery</w:t>
            </w:r>
            <w:r w:rsidR="00A3389E">
              <w:rPr>
                <w:b/>
                <w:i w:val="0"/>
              </w:rPr>
              <w:t xml:space="preserve"> a </w:t>
            </w:r>
            <w:r w:rsidRPr="00A3389E">
              <w:rPr>
                <w:b/>
                <w:i w:val="0"/>
              </w:rPr>
              <w:t>preddavky</w:t>
            </w:r>
          </w:p>
          <w:p w14:paraId="2D0C3F66" w14:textId="3E36FBCC" w:rsidR="004E71F4" w:rsidRPr="00A3389E" w:rsidRDefault="004E71F4" w:rsidP="00155C96">
            <w:pPr>
              <w:pStyle w:val="Fait"/>
              <w:spacing w:before="0" w:after="120"/>
              <w:rPr>
                <w:rFonts w:eastAsiaTheme="minorEastAsia"/>
              </w:rPr>
            </w:pPr>
            <w:r w:rsidRPr="00A3389E">
              <w:t>Pozri vymedzenie vo vzore EU CR1: Bezproblémové</w:t>
            </w:r>
            <w:r w:rsidR="00A3389E">
              <w:t xml:space="preserve"> a </w:t>
            </w:r>
            <w:r w:rsidRPr="00A3389E">
              <w:t>problémové expozície</w:t>
            </w:r>
            <w:r w:rsidR="00A3389E">
              <w:t xml:space="preserve"> a </w:t>
            </w:r>
            <w:r w:rsidRPr="00A3389E">
              <w:t>súvisiace rezervy.</w:t>
            </w:r>
          </w:p>
        </w:tc>
      </w:tr>
      <w:tr w:rsidR="004E71F4" w:rsidRPr="00A3389E" w14:paraId="4C2EBB9F" w14:textId="77777777" w:rsidTr="00155C96">
        <w:trPr>
          <w:trHeight w:val="841"/>
        </w:trPr>
        <w:tc>
          <w:tcPr>
            <w:tcW w:w="1384" w:type="dxa"/>
          </w:tcPr>
          <w:p w14:paraId="0B8B5441" w14:textId="77777777" w:rsidR="004E71F4" w:rsidRPr="00A3389E" w:rsidRDefault="004E71F4" w:rsidP="00155C96">
            <w:pPr>
              <w:pStyle w:val="Applicationdirecte"/>
              <w:spacing w:before="0"/>
            </w:pPr>
            <w:r w:rsidRPr="00A3389E">
              <w:t>b</w:t>
            </w:r>
          </w:p>
        </w:tc>
        <w:tc>
          <w:tcPr>
            <w:tcW w:w="7655" w:type="dxa"/>
          </w:tcPr>
          <w:p w14:paraId="2205132C" w14:textId="22899FFC" w:rsidR="00A3389E" w:rsidRPr="00A3389E" w:rsidRDefault="004E71F4" w:rsidP="00155C96">
            <w:pPr>
              <w:pStyle w:val="Institutionquisigne"/>
              <w:spacing w:before="0" w:after="120"/>
              <w:rPr>
                <w:b/>
                <w:i w:val="0"/>
              </w:rPr>
            </w:pPr>
            <w:r w:rsidRPr="00A3389E">
              <w:rPr>
                <w:b/>
                <w:i w:val="0"/>
              </w:rPr>
              <w:t>Úvery</w:t>
            </w:r>
            <w:r w:rsidR="00A3389E">
              <w:rPr>
                <w:b/>
                <w:i w:val="0"/>
              </w:rPr>
              <w:t xml:space="preserve"> a </w:t>
            </w:r>
            <w:r w:rsidRPr="00A3389E">
              <w:rPr>
                <w:b/>
                <w:i w:val="0"/>
              </w:rPr>
              <w:t>preddavky –</w:t>
            </w:r>
            <w:r w:rsidR="00A3389E">
              <w:rPr>
                <w:b/>
                <w:i w:val="0"/>
              </w:rPr>
              <w:t xml:space="preserve"> z </w:t>
            </w:r>
            <w:r w:rsidRPr="00A3389E">
              <w:rPr>
                <w:b/>
                <w:i w:val="0"/>
              </w:rPr>
              <w:t>čoho bezproblémové</w:t>
            </w:r>
          </w:p>
          <w:p w14:paraId="622F5076" w14:textId="2B7215DE" w:rsidR="004E71F4" w:rsidRPr="00A3389E" w:rsidRDefault="004E71F4" w:rsidP="00155C96">
            <w:pPr>
              <w:pStyle w:val="Fait"/>
              <w:spacing w:before="0" w:after="120"/>
              <w:rPr>
                <w:rFonts w:eastAsiaTheme="minorEastAsia"/>
              </w:rPr>
            </w:pPr>
            <w:r w:rsidRPr="00A3389E">
              <w:t>Pozri vymedzenie vo vzore EU CR1: Bezproblémové</w:t>
            </w:r>
            <w:r w:rsidR="00A3389E">
              <w:t xml:space="preserve"> a </w:t>
            </w:r>
            <w:r w:rsidRPr="00A3389E">
              <w:t>problémové expozície</w:t>
            </w:r>
            <w:r w:rsidR="00A3389E">
              <w:t xml:space="preserve"> a </w:t>
            </w:r>
            <w:r w:rsidRPr="00A3389E">
              <w:t>súvisiace rezervy.</w:t>
            </w:r>
          </w:p>
        </w:tc>
      </w:tr>
      <w:tr w:rsidR="004E71F4" w:rsidRPr="00A3389E" w14:paraId="0BB7D76C" w14:textId="77777777" w:rsidTr="00155C96">
        <w:trPr>
          <w:trHeight w:val="841"/>
        </w:trPr>
        <w:tc>
          <w:tcPr>
            <w:tcW w:w="1384" w:type="dxa"/>
          </w:tcPr>
          <w:p w14:paraId="37E0AD29" w14:textId="77777777" w:rsidR="004E71F4" w:rsidRPr="00A3389E" w:rsidRDefault="004E71F4" w:rsidP="00155C96">
            <w:pPr>
              <w:pStyle w:val="Applicationdirecte"/>
              <w:spacing w:before="0"/>
            </w:pPr>
            <w:r w:rsidRPr="00A3389E">
              <w:t>c</w:t>
            </w:r>
          </w:p>
        </w:tc>
        <w:tc>
          <w:tcPr>
            <w:tcW w:w="7655" w:type="dxa"/>
          </w:tcPr>
          <w:p w14:paraId="415FD509" w14:textId="77777777" w:rsidR="004E71F4" w:rsidRPr="00A3389E" w:rsidRDefault="004E71F4" w:rsidP="00155C96">
            <w:pPr>
              <w:pStyle w:val="Institutionquisigne"/>
              <w:spacing w:before="0" w:after="120"/>
              <w:ind w:left="720"/>
              <w:rPr>
                <w:rFonts w:eastAsiaTheme="minorEastAsia"/>
                <w:b/>
                <w:i w:val="0"/>
              </w:rPr>
            </w:pPr>
            <w:r w:rsidRPr="00A3389E">
              <w:rPr>
                <w:b/>
                <w:i w:val="0"/>
              </w:rPr>
              <w:t>Z čoho po splatnosti &gt; 30 dní ≤ 90 dní</w:t>
            </w:r>
          </w:p>
          <w:p w14:paraId="147C9DA1" w14:textId="5148D409" w:rsidR="004E71F4" w:rsidRPr="00A3389E" w:rsidRDefault="004E71F4" w:rsidP="00155C96">
            <w:pPr>
              <w:pStyle w:val="Fait"/>
              <w:spacing w:before="0" w:after="120"/>
              <w:rPr>
                <w:rFonts w:eastAsiaTheme="minorEastAsia"/>
              </w:rPr>
            </w:pPr>
            <w:r w:rsidRPr="00A3389E">
              <w:t>Podkategória bezproblémových úverov</w:t>
            </w:r>
            <w:r w:rsidR="00A3389E">
              <w:t xml:space="preserve"> a </w:t>
            </w:r>
            <w:r w:rsidRPr="00A3389E">
              <w:t>preddavkov, ktoré sú 31 až 90 dní po splatnosti.</w:t>
            </w:r>
          </w:p>
        </w:tc>
      </w:tr>
      <w:tr w:rsidR="004E71F4" w:rsidRPr="00A3389E" w14:paraId="362B92AC" w14:textId="77777777" w:rsidTr="00155C96">
        <w:trPr>
          <w:trHeight w:val="841"/>
        </w:trPr>
        <w:tc>
          <w:tcPr>
            <w:tcW w:w="1384" w:type="dxa"/>
          </w:tcPr>
          <w:p w14:paraId="26D00AF9" w14:textId="77777777" w:rsidR="004E71F4" w:rsidRPr="00A3389E" w:rsidRDefault="004E71F4" w:rsidP="00155C96">
            <w:pPr>
              <w:pStyle w:val="Applicationdirecte"/>
              <w:spacing w:before="0"/>
            </w:pPr>
            <w:r w:rsidRPr="00A3389E">
              <w:t>d</w:t>
            </w:r>
          </w:p>
        </w:tc>
        <w:tc>
          <w:tcPr>
            <w:tcW w:w="7655" w:type="dxa"/>
          </w:tcPr>
          <w:p w14:paraId="1641C9E7" w14:textId="4CA388AC" w:rsidR="004E71F4" w:rsidRPr="00A3389E" w:rsidRDefault="004E71F4" w:rsidP="00155C96">
            <w:pPr>
              <w:pStyle w:val="Fait"/>
              <w:spacing w:before="0" w:after="120"/>
              <w:rPr>
                <w:b/>
              </w:rPr>
            </w:pPr>
            <w:r w:rsidRPr="00A3389E">
              <w:rPr>
                <w:b/>
              </w:rPr>
              <w:t>Úvery</w:t>
            </w:r>
            <w:r w:rsidR="00A3389E">
              <w:rPr>
                <w:b/>
              </w:rPr>
              <w:t xml:space="preserve"> a </w:t>
            </w:r>
            <w:r w:rsidRPr="00A3389E">
              <w:rPr>
                <w:b/>
              </w:rPr>
              <w:t>preddavky –</w:t>
            </w:r>
            <w:r w:rsidR="00A3389E">
              <w:rPr>
                <w:b/>
              </w:rPr>
              <w:t xml:space="preserve"> z </w:t>
            </w:r>
            <w:r w:rsidRPr="00A3389E">
              <w:rPr>
                <w:b/>
              </w:rPr>
              <w:t>čoho problémové expozície</w:t>
            </w:r>
          </w:p>
          <w:p w14:paraId="74EB556B" w14:textId="34D097A6" w:rsidR="004E71F4" w:rsidRPr="00A3389E" w:rsidRDefault="004E71F4" w:rsidP="00155C96">
            <w:pPr>
              <w:pStyle w:val="Fait"/>
              <w:spacing w:before="0" w:after="120"/>
            </w:pPr>
            <w:r w:rsidRPr="00A3389E">
              <w:t>Problémové expozície podľa vymedzenia</w:t>
            </w:r>
            <w:r w:rsidR="00A3389E">
              <w:t xml:space="preserve"> v </w:t>
            </w:r>
            <w:r w:rsidRPr="00A3389E">
              <w:t>článku 47a CRR.</w:t>
            </w:r>
          </w:p>
          <w:p w14:paraId="0338D40C" w14:textId="78AB4D70" w:rsidR="004E71F4" w:rsidRPr="00A3389E" w:rsidRDefault="004E71F4" w:rsidP="00155C96">
            <w:pPr>
              <w:pStyle w:val="Fait"/>
              <w:spacing w:before="0" w:after="120"/>
            </w:pPr>
            <w:r w:rsidRPr="00A3389E">
              <w:t>Pozri vymedzenie vo vzore EU CR1: Bezproblémové</w:t>
            </w:r>
            <w:r w:rsidR="00A3389E">
              <w:t xml:space="preserve"> a </w:t>
            </w:r>
            <w:r w:rsidRPr="00A3389E">
              <w:t>problémové expozície</w:t>
            </w:r>
            <w:r w:rsidR="00A3389E">
              <w:t xml:space="preserve"> a </w:t>
            </w:r>
            <w:r w:rsidRPr="00A3389E">
              <w:t>súvisiace rezervy.</w:t>
            </w:r>
          </w:p>
        </w:tc>
      </w:tr>
      <w:tr w:rsidR="004E71F4" w:rsidRPr="00A3389E" w14:paraId="307D99E8" w14:textId="77777777" w:rsidTr="00155C96">
        <w:trPr>
          <w:trHeight w:val="316"/>
        </w:trPr>
        <w:tc>
          <w:tcPr>
            <w:tcW w:w="1384" w:type="dxa"/>
          </w:tcPr>
          <w:p w14:paraId="40A6A0CF"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e</w:t>
            </w:r>
          </w:p>
        </w:tc>
        <w:tc>
          <w:tcPr>
            <w:tcW w:w="7655" w:type="dxa"/>
          </w:tcPr>
          <w:p w14:paraId="53740B40" w14:textId="315401BC" w:rsidR="004E71F4" w:rsidRPr="00A3389E" w:rsidRDefault="004E71F4" w:rsidP="00155C96">
            <w:pPr>
              <w:pStyle w:val="Fait"/>
              <w:spacing w:before="0" w:after="120"/>
              <w:ind w:left="720"/>
              <w:rPr>
                <w:b/>
              </w:rPr>
            </w:pPr>
            <w:r w:rsidRPr="00A3389E">
              <w:rPr>
                <w:b/>
              </w:rPr>
              <w:t>Z čoho splatenie nepravdepodobné, ktoré sú</w:t>
            </w:r>
            <w:r w:rsidR="00A3389E">
              <w:rPr>
                <w:b/>
              </w:rPr>
              <w:t xml:space="preserve"> v </w:t>
            </w:r>
            <w:r w:rsidRPr="00A3389E">
              <w:rPr>
                <w:b/>
              </w:rPr>
              <w:t>rámci splatnosti alebo po splatnosti ≤ 90 dní</w:t>
            </w:r>
          </w:p>
          <w:p w14:paraId="25E07F3A" w14:textId="0BB28670" w:rsidR="004E71F4" w:rsidRPr="00A3389E" w:rsidRDefault="004E71F4" w:rsidP="00155C96">
            <w:pPr>
              <w:pStyle w:val="Fait"/>
              <w:spacing w:before="0" w:after="120"/>
            </w:pPr>
            <w:r w:rsidRPr="00A3389E">
              <w:t>Podkategória úverov</w:t>
            </w:r>
            <w:r w:rsidR="00A3389E">
              <w:t xml:space="preserve"> a </w:t>
            </w:r>
            <w:r w:rsidRPr="00A3389E">
              <w:t>preddavkov, ktoré buď nie sú po splatnosti, alebo sú najviac 90 dní po splatnosti, ale napriek tomu sú vzhľadom na pravdepodobnosť neúplného splatenia podľa článku 47a CRR identifikované ako problémové.</w:t>
            </w:r>
          </w:p>
        </w:tc>
      </w:tr>
      <w:tr w:rsidR="004E71F4" w:rsidRPr="00A3389E" w14:paraId="67C76979" w14:textId="77777777" w:rsidTr="00155C96">
        <w:trPr>
          <w:trHeight w:val="316"/>
        </w:trPr>
        <w:tc>
          <w:tcPr>
            <w:tcW w:w="1384" w:type="dxa"/>
          </w:tcPr>
          <w:p w14:paraId="5D8617D8"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f</w:t>
            </w:r>
          </w:p>
        </w:tc>
        <w:tc>
          <w:tcPr>
            <w:tcW w:w="7655" w:type="dxa"/>
          </w:tcPr>
          <w:p w14:paraId="7C4DAD01"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Po splatnosti &gt; 90 dní</w:t>
            </w:r>
          </w:p>
          <w:p w14:paraId="4AF30303" w14:textId="4CD9ECF4" w:rsidR="004E71F4" w:rsidRPr="00A3389E" w:rsidRDefault="004E71F4" w:rsidP="00155C96">
            <w:pPr>
              <w:pStyle w:val="Fait"/>
              <w:spacing w:before="0" w:after="120"/>
            </w:pPr>
            <w:r w:rsidRPr="00A3389E">
              <w:t>Podkategória úverov</w:t>
            </w:r>
            <w:r w:rsidR="00A3389E">
              <w:t xml:space="preserve"> a </w:t>
            </w:r>
            <w:r w:rsidRPr="00A3389E">
              <w:t>preddavkov, ktoré sú viac než 90 dní po splatnosti.</w:t>
            </w:r>
          </w:p>
        </w:tc>
      </w:tr>
      <w:tr w:rsidR="004E71F4" w:rsidRPr="00A3389E" w14:paraId="428FE74F" w14:textId="77777777" w:rsidTr="00155C96">
        <w:trPr>
          <w:trHeight w:val="316"/>
        </w:trPr>
        <w:tc>
          <w:tcPr>
            <w:tcW w:w="1384" w:type="dxa"/>
          </w:tcPr>
          <w:p w14:paraId="6826298F"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g</w:t>
            </w:r>
          </w:p>
        </w:tc>
        <w:tc>
          <w:tcPr>
            <w:tcW w:w="7655" w:type="dxa"/>
          </w:tcPr>
          <w:p w14:paraId="1B1554A7"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po splatnosti &gt; 90 dní ≤ 180 dní</w:t>
            </w:r>
          </w:p>
          <w:p w14:paraId="1C5D4E41" w14:textId="20786A9B" w:rsidR="004E71F4" w:rsidRPr="00A3389E" w:rsidRDefault="004E71F4"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Podkategória úverov</w:t>
            </w:r>
            <w:r w:rsidR="00A3389E">
              <w:rPr>
                <w:rFonts w:ascii="Times New Roman" w:hAnsi="Times New Roman" w:cs="Times New Roman"/>
                <w:sz w:val="24"/>
              </w:rPr>
              <w:t xml:space="preserve"> a </w:t>
            </w:r>
            <w:r w:rsidRPr="00A3389E">
              <w:rPr>
                <w:rFonts w:ascii="Times New Roman" w:hAnsi="Times New Roman" w:cs="Times New Roman"/>
                <w:sz w:val="24"/>
              </w:rPr>
              <w:t>preddavkov, ktoré sú 91 až 180 dní po splatnosti.</w:t>
            </w:r>
          </w:p>
        </w:tc>
      </w:tr>
      <w:tr w:rsidR="004E71F4" w:rsidRPr="00A3389E" w14:paraId="0959DA4C" w14:textId="77777777" w:rsidTr="00155C96">
        <w:trPr>
          <w:trHeight w:val="316"/>
        </w:trPr>
        <w:tc>
          <w:tcPr>
            <w:tcW w:w="1384" w:type="dxa"/>
          </w:tcPr>
          <w:p w14:paraId="25A9976B"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h</w:t>
            </w:r>
          </w:p>
        </w:tc>
        <w:tc>
          <w:tcPr>
            <w:tcW w:w="7655" w:type="dxa"/>
          </w:tcPr>
          <w:p w14:paraId="7622B5EA"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po splatnosti &gt; 180 dní ≤ 1 rok</w:t>
            </w:r>
          </w:p>
          <w:p w14:paraId="2CA9CE3E" w14:textId="4C3829E2" w:rsidR="004E71F4" w:rsidRPr="00A3389E" w:rsidRDefault="004E71F4"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Podkategória úverov</w:t>
            </w:r>
            <w:r w:rsidR="00A3389E">
              <w:rPr>
                <w:rFonts w:ascii="Times New Roman" w:hAnsi="Times New Roman" w:cs="Times New Roman"/>
                <w:sz w:val="24"/>
              </w:rPr>
              <w:t xml:space="preserve"> a </w:t>
            </w:r>
            <w:r w:rsidRPr="00A3389E">
              <w:rPr>
                <w:rFonts w:ascii="Times New Roman" w:hAnsi="Times New Roman" w:cs="Times New Roman"/>
                <w:sz w:val="24"/>
              </w:rPr>
              <w:t>preddavkov, ktoré sú 181 dní až 1 rok po splatnosti.</w:t>
            </w:r>
          </w:p>
        </w:tc>
      </w:tr>
      <w:tr w:rsidR="004E71F4" w:rsidRPr="00A3389E" w14:paraId="13BD0DB2" w14:textId="77777777" w:rsidTr="00155C96">
        <w:trPr>
          <w:trHeight w:val="316"/>
        </w:trPr>
        <w:tc>
          <w:tcPr>
            <w:tcW w:w="1384" w:type="dxa"/>
          </w:tcPr>
          <w:p w14:paraId="57184ACF"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i</w:t>
            </w:r>
          </w:p>
        </w:tc>
        <w:tc>
          <w:tcPr>
            <w:tcW w:w="7655" w:type="dxa"/>
          </w:tcPr>
          <w:p w14:paraId="59FABFB0"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po splatnosti &gt; 1 rok ≤ 2 roky</w:t>
            </w:r>
          </w:p>
          <w:p w14:paraId="0398B0A3" w14:textId="4F857D29"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sz w:val="24"/>
              </w:rPr>
              <w:t>Podkategória úverov</w:t>
            </w:r>
            <w:r w:rsidR="00A3389E">
              <w:rPr>
                <w:rFonts w:ascii="Times New Roman" w:hAnsi="Times New Roman" w:cs="Times New Roman"/>
                <w:sz w:val="24"/>
              </w:rPr>
              <w:t xml:space="preserve"> a </w:t>
            </w:r>
            <w:r w:rsidRPr="00A3389E">
              <w:rPr>
                <w:rFonts w:ascii="Times New Roman" w:hAnsi="Times New Roman" w:cs="Times New Roman"/>
                <w:sz w:val="24"/>
              </w:rPr>
              <w:t>preddavkov, ktoré sú 1 – 2 roky po splatnosti.</w:t>
            </w:r>
          </w:p>
        </w:tc>
      </w:tr>
      <w:tr w:rsidR="004E71F4" w:rsidRPr="00A3389E" w14:paraId="4CE47F71" w14:textId="77777777" w:rsidTr="00155C96">
        <w:trPr>
          <w:trHeight w:val="316"/>
        </w:trPr>
        <w:tc>
          <w:tcPr>
            <w:tcW w:w="1384" w:type="dxa"/>
          </w:tcPr>
          <w:p w14:paraId="56C32D25"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lastRenderedPageBreak/>
              <w:t>j</w:t>
            </w:r>
          </w:p>
        </w:tc>
        <w:tc>
          <w:tcPr>
            <w:tcW w:w="7655" w:type="dxa"/>
          </w:tcPr>
          <w:p w14:paraId="18A7C939"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po splatnosti &gt; 2 roky ≤ 5 rokov</w:t>
            </w:r>
          </w:p>
          <w:p w14:paraId="77DF4EF2" w14:textId="064DE145"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sz w:val="24"/>
              </w:rPr>
              <w:t>Podkategória úverov</w:t>
            </w:r>
            <w:r w:rsidR="00A3389E">
              <w:rPr>
                <w:rFonts w:ascii="Times New Roman" w:hAnsi="Times New Roman" w:cs="Times New Roman"/>
                <w:sz w:val="24"/>
              </w:rPr>
              <w:t xml:space="preserve"> a </w:t>
            </w:r>
            <w:r w:rsidRPr="00A3389E">
              <w:rPr>
                <w:rFonts w:ascii="Times New Roman" w:hAnsi="Times New Roman" w:cs="Times New Roman"/>
                <w:sz w:val="24"/>
              </w:rPr>
              <w:t>preddavkov, ktoré sú 2 – 5 rokov po splatnosti.</w:t>
            </w:r>
          </w:p>
        </w:tc>
      </w:tr>
      <w:tr w:rsidR="004E71F4" w:rsidRPr="00A3389E" w14:paraId="4F5EC3C5" w14:textId="77777777" w:rsidTr="00155C96">
        <w:trPr>
          <w:trHeight w:val="316"/>
        </w:trPr>
        <w:tc>
          <w:tcPr>
            <w:tcW w:w="1384" w:type="dxa"/>
          </w:tcPr>
          <w:p w14:paraId="74F9F0AF"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k</w:t>
            </w:r>
          </w:p>
        </w:tc>
        <w:tc>
          <w:tcPr>
            <w:tcW w:w="7655" w:type="dxa"/>
          </w:tcPr>
          <w:p w14:paraId="33935339"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po splatnosti &gt; 5 rokov ≤ 7 rokov</w:t>
            </w:r>
          </w:p>
          <w:p w14:paraId="35EC900B" w14:textId="2F4D5086"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sz w:val="24"/>
              </w:rPr>
              <w:t>Podkategória úverov</w:t>
            </w:r>
            <w:r w:rsidR="00A3389E">
              <w:rPr>
                <w:rFonts w:ascii="Times New Roman" w:hAnsi="Times New Roman" w:cs="Times New Roman"/>
                <w:sz w:val="24"/>
              </w:rPr>
              <w:t xml:space="preserve"> a </w:t>
            </w:r>
            <w:r w:rsidRPr="00A3389E">
              <w:rPr>
                <w:rFonts w:ascii="Times New Roman" w:hAnsi="Times New Roman" w:cs="Times New Roman"/>
                <w:sz w:val="24"/>
              </w:rPr>
              <w:t>preddavkov, ktoré sú 5 – 7 rokov po splatnosti.</w:t>
            </w:r>
          </w:p>
        </w:tc>
      </w:tr>
      <w:tr w:rsidR="004E71F4" w:rsidRPr="00A3389E" w14:paraId="5CF3AF80" w14:textId="77777777" w:rsidTr="00155C96">
        <w:trPr>
          <w:trHeight w:val="316"/>
        </w:trPr>
        <w:tc>
          <w:tcPr>
            <w:tcW w:w="1384" w:type="dxa"/>
          </w:tcPr>
          <w:p w14:paraId="01894B3D" w14:textId="77777777" w:rsidR="004E71F4" w:rsidRPr="00A3389E" w:rsidRDefault="004E71F4"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l</w:t>
            </w:r>
          </w:p>
        </w:tc>
        <w:tc>
          <w:tcPr>
            <w:tcW w:w="7655" w:type="dxa"/>
          </w:tcPr>
          <w:p w14:paraId="0B182181" w14:textId="77777777" w:rsidR="004E71F4" w:rsidRPr="00A3389E" w:rsidRDefault="004E71F4" w:rsidP="00155C96">
            <w:pPr>
              <w:autoSpaceDE w:val="0"/>
              <w:autoSpaceDN w:val="0"/>
              <w:adjustRightInd w:val="0"/>
              <w:spacing w:after="120"/>
              <w:ind w:left="720"/>
              <w:rPr>
                <w:rFonts w:ascii="Times New Roman" w:hAnsi="Times New Roman" w:cs="Times New Roman"/>
                <w:b/>
                <w:sz w:val="24"/>
              </w:rPr>
            </w:pPr>
            <w:r w:rsidRPr="00A3389E">
              <w:rPr>
                <w:rFonts w:ascii="Times New Roman" w:hAnsi="Times New Roman" w:cs="Times New Roman"/>
                <w:b/>
                <w:sz w:val="24"/>
              </w:rPr>
              <w:t>Z čoho po splatnosti &gt; 7 rokov</w:t>
            </w:r>
          </w:p>
          <w:p w14:paraId="37CA0A23" w14:textId="3E0A2A33"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sz w:val="24"/>
              </w:rPr>
              <w:t>Podkategória úverov</w:t>
            </w:r>
            <w:r w:rsidR="00A3389E">
              <w:rPr>
                <w:rFonts w:ascii="Times New Roman" w:hAnsi="Times New Roman" w:cs="Times New Roman"/>
                <w:sz w:val="24"/>
              </w:rPr>
              <w:t xml:space="preserve"> a </w:t>
            </w:r>
            <w:r w:rsidRPr="00A3389E">
              <w:rPr>
                <w:rFonts w:ascii="Times New Roman" w:hAnsi="Times New Roman" w:cs="Times New Roman"/>
                <w:sz w:val="24"/>
              </w:rPr>
              <w:t>preddavkov, ktoré sú viac než 7 rokov po splatnosti.</w:t>
            </w:r>
          </w:p>
        </w:tc>
      </w:tr>
    </w:tbl>
    <w:p w14:paraId="0BA0AE4D" w14:textId="77777777" w:rsidR="004E71F4" w:rsidRPr="00A3389E" w:rsidRDefault="004E71F4" w:rsidP="004E71F4">
      <w:pPr>
        <w:autoSpaceDE w:val="0"/>
        <w:autoSpaceDN w:val="0"/>
        <w:adjustRightInd w:val="0"/>
        <w:spacing w:after="120"/>
        <w:jc w:val="both"/>
        <w:rPr>
          <w:rFonts w:ascii="Times New Roman" w:hAnsi="Times New Roman" w:cs="Times New Roman"/>
          <w:b/>
          <w:sz w:val="24"/>
        </w:rPr>
      </w:pPr>
    </w:p>
    <w:p w14:paraId="2E4B698F" w14:textId="099F636D" w:rsidR="004E71F4" w:rsidRPr="00A3389E" w:rsidRDefault="00CD362D" w:rsidP="004E71F4">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Vzor EU CQ7: Kolaterál získaný nadobudnutím vlastníctva</w:t>
      </w:r>
      <w:r w:rsidR="00A3389E">
        <w:rPr>
          <w:rFonts w:ascii="Times New Roman" w:hAnsi="Times New Roman" w:cs="Times New Roman"/>
          <w:b/>
          <w:sz w:val="24"/>
        </w:rPr>
        <w:t xml:space="preserve"> a </w:t>
      </w:r>
      <w:r w:rsidRPr="00A3389E">
        <w:rPr>
          <w:rFonts w:ascii="Times New Roman" w:hAnsi="Times New Roman" w:cs="Times New Roman"/>
          <w:b/>
          <w:sz w:val="24"/>
        </w:rPr>
        <w:t>exekúciami</w:t>
      </w:r>
    </w:p>
    <w:p w14:paraId="1E1D6586" w14:textId="37D9EA98" w:rsidR="004E71F4" w:rsidRPr="00A3389E" w:rsidRDefault="00A3389E" w:rsidP="00A3389E">
      <w:pPr>
        <w:autoSpaceDE w:val="0"/>
        <w:autoSpaceDN w:val="0"/>
        <w:adjustRightInd w:val="0"/>
        <w:spacing w:after="120"/>
        <w:ind w:left="720" w:hanging="360"/>
        <w:jc w:val="both"/>
        <w:rPr>
          <w:rFonts w:ascii="Times New Roman" w:hAnsi="Times New Roman"/>
          <w:b/>
          <w:sz w:val="24"/>
        </w:rPr>
      </w:pPr>
      <w:r w:rsidRPr="00A3389E">
        <w:rPr>
          <w:rFonts w:ascii="Times New Roman" w:eastAsia="Calibri" w:hAnsi="Times New Roman" w:cs="Times New Roman"/>
          <w:b/>
          <w:sz w:val="24"/>
          <w:szCs w:val="22"/>
        </w:rPr>
        <w:t>8.</w:t>
      </w:r>
      <w:r w:rsidRPr="00A3389E">
        <w:rPr>
          <w:rFonts w:ascii="Times New Roman" w:eastAsia="Calibri" w:hAnsi="Times New Roman" w:cs="Times New Roman"/>
          <w:b/>
          <w:sz w:val="24"/>
          <w:szCs w:val="22"/>
        </w:rPr>
        <w:tab/>
      </w:r>
      <w:r w:rsidR="004E71F4" w:rsidRPr="00A3389E">
        <w:rPr>
          <w:rFonts w:ascii="Times New Roman" w:hAnsi="Times New Roman"/>
          <w:bCs/>
          <w:sz w:val="24"/>
        </w:rPr>
        <w:t>Inštitúcie zverejňujú informácie uvedené</w:t>
      </w:r>
      <w:r>
        <w:rPr>
          <w:rFonts w:ascii="Times New Roman" w:hAnsi="Times New Roman"/>
          <w:bCs/>
          <w:sz w:val="24"/>
        </w:rPr>
        <w:t xml:space="preserve"> v </w:t>
      </w:r>
      <w:r w:rsidR="004E71F4" w:rsidRPr="00A3389E">
        <w:rPr>
          <w:rFonts w:ascii="Times New Roman" w:hAnsi="Times New Roman"/>
          <w:bCs/>
          <w:sz w:val="24"/>
        </w:rPr>
        <w:t>článku 442 písm. c) CRR podľa pokynov uvedených nižšie</w:t>
      </w:r>
      <w:r>
        <w:rPr>
          <w:rFonts w:ascii="Times New Roman" w:hAnsi="Times New Roman"/>
          <w:bCs/>
          <w:sz w:val="24"/>
        </w:rPr>
        <w:t xml:space="preserve"> v </w:t>
      </w:r>
      <w:r w:rsidR="004E71F4" w:rsidRPr="00A3389E">
        <w:rPr>
          <w:rFonts w:ascii="Times New Roman" w:hAnsi="Times New Roman"/>
          <w:bCs/>
          <w:sz w:val="24"/>
        </w:rPr>
        <w:t>tejto prílohe</w:t>
      </w:r>
      <w:r>
        <w:rPr>
          <w:rFonts w:ascii="Times New Roman" w:hAnsi="Times New Roman"/>
          <w:bCs/>
          <w:sz w:val="24"/>
        </w:rPr>
        <w:t xml:space="preserve"> s </w:t>
      </w:r>
      <w:r w:rsidR="004E71F4" w:rsidRPr="00A3389E">
        <w:rPr>
          <w:rFonts w:ascii="Times New Roman" w:hAnsi="Times New Roman"/>
          <w:bCs/>
          <w:sz w:val="24"/>
        </w:rPr>
        <w:t>cieľom vyplniť vzor EU CQ7,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5D1C1454" w:rsidR="004E71F4" w:rsidRPr="00A3389E" w:rsidRDefault="004E71F4"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270AAA17" w14:textId="77777777" w:rsidTr="00155C96">
        <w:trPr>
          <w:trHeight w:val="238"/>
        </w:trPr>
        <w:tc>
          <w:tcPr>
            <w:tcW w:w="1384" w:type="dxa"/>
            <w:shd w:val="clear" w:color="auto" w:fill="D9D9D9" w:themeFill="background1" w:themeFillShade="D9"/>
          </w:tcPr>
          <w:p w14:paraId="4C51C7E0"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786DCAD1"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06463967" w14:textId="77777777" w:rsidTr="00155C96">
        <w:trPr>
          <w:trHeight w:val="1286"/>
        </w:trPr>
        <w:tc>
          <w:tcPr>
            <w:tcW w:w="1384" w:type="dxa"/>
          </w:tcPr>
          <w:p w14:paraId="5F2BF910"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010</w:t>
            </w:r>
          </w:p>
        </w:tc>
        <w:tc>
          <w:tcPr>
            <w:tcW w:w="7655" w:type="dxa"/>
          </w:tcPr>
          <w:p w14:paraId="34FECA4F" w14:textId="7EB8F6D8"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Nehnuteľnosti, stroje</w:t>
            </w:r>
            <w:r w:rsidR="00A3389E">
              <w:rPr>
                <w:rFonts w:ascii="Times New Roman" w:hAnsi="Times New Roman" w:cs="Times New Roman"/>
                <w:b/>
                <w:sz w:val="24"/>
              </w:rPr>
              <w:t xml:space="preserve"> a </w:t>
            </w:r>
            <w:r w:rsidRPr="00A3389E">
              <w:rPr>
                <w:rFonts w:ascii="Times New Roman" w:hAnsi="Times New Roman" w:cs="Times New Roman"/>
                <w:b/>
                <w:sz w:val="24"/>
              </w:rPr>
              <w:t>zariadenia (PP&amp;E)</w:t>
            </w:r>
          </w:p>
          <w:p w14:paraId="2DA3F6F7" w14:textId="4C86EE94" w:rsidR="004E71F4" w:rsidRPr="00A3389E" w:rsidRDefault="004E71F4" w:rsidP="00155C96">
            <w:pPr>
              <w:pStyle w:val="Institutionquisigne"/>
              <w:spacing w:before="0" w:after="120"/>
              <w:rPr>
                <w:i w:val="0"/>
              </w:rPr>
            </w:pPr>
            <w:r w:rsidRPr="00A3389E">
              <w:rPr>
                <w:i w:val="0"/>
              </w:rPr>
              <w:t>Inštitúcie zverejňujú objem kolaterálu získaného nadobudnutím vlastníctva, ktorý sa naďalej vykazuje</w:t>
            </w:r>
            <w:r w:rsidR="00A3389E">
              <w:rPr>
                <w:i w:val="0"/>
              </w:rPr>
              <w:t xml:space="preserve"> v </w:t>
            </w:r>
            <w:r w:rsidRPr="00A3389E">
              <w:rPr>
                <w:i w:val="0"/>
              </w:rPr>
              <w:t>súvahe</w:t>
            </w:r>
            <w:r w:rsidR="00A3389E">
              <w:rPr>
                <w:i w:val="0"/>
              </w:rPr>
              <w:t xml:space="preserve"> k </w:t>
            </w:r>
            <w:r w:rsidRPr="00A3389E">
              <w:rPr>
                <w:i w:val="0"/>
              </w:rPr>
              <w:t>referenčnému dátumu vykazovania</w:t>
            </w:r>
            <w:r w:rsidR="00A3389E">
              <w:rPr>
                <w:i w:val="0"/>
              </w:rPr>
              <w:t xml:space="preserve"> a </w:t>
            </w:r>
            <w:r w:rsidRPr="00A3389E">
              <w:rPr>
                <w:i w:val="0"/>
              </w:rPr>
              <w:t>ktorý je klasifikovaný ako PP&amp;E.</w:t>
            </w:r>
          </w:p>
        </w:tc>
      </w:tr>
      <w:tr w:rsidR="004E71F4" w:rsidRPr="00A3389E" w14:paraId="2CAA4945" w14:textId="77777777" w:rsidTr="00155C96">
        <w:trPr>
          <w:trHeight w:val="620"/>
        </w:trPr>
        <w:tc>
          <w:tcPr>
            <w:tcW w:w="1384" w:type="dxa"/>
          </w:tcPr>
          <w:p w14:paraId="4F14C576"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020</w:t>
            </w:r>
          </w:p>
        </w:tc>
        <w:tc>
          <w:tcPr>
            <w:tcW w:w="7655" w:type="dxa"/>
          </w:tcPr>
          <w:p w14:paraId="6AE81DAD"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Iné ako PP&amp;E</w:t>
            </w:r>
          </w:p>
          <w:p w14:paraId="65C75F92" w14:textId="0FF2AEB4" w:rsidR="004E71F4" w:rsidRPr="00A3389E" w:rsidRDefault="004E71F4" w:rsidP="00155C96">
            <w:pPr>
              <w:pStyle w:val="Institutionquisigne"/>
              <w:spacing w:before="0" w:after="120"/>
              <w:rPr>
                <w:b/>
              </w:rPr>
            </w:pPr>
            <w:r w:rsidRPr="00A3389E">
              <w:rPr>
                <w:i w:val="0"/>
              </w:rPr>
              <w:t>V tomto riadku sa automaticky zverejňuje objem kolaterálu získaného nadobudnutím vlastníctva, ktorý sa naďalej vykazuje</w:t>
            </w:r>
            <w:r w:rsidR="00A3389E">
              <w:rPr>
                <w:i w:val="0"/>
              </w:rPr>
              <w:t xml:space="preserve"> v </w:t>
            </w:r>
            <w:r w:rsidRPr="00A3389E">
              <w:rPr>
                <w:i w:val="0"/>
              </w:rPr>
              <w:t>súvahe</w:t>
            </w:r>
            <w:r w:rsidR="00A3389E">
              <w:rPr>
                <w:i w:val="0"/>
              </w:rPr>
              <w:t xml:space="preserve"> k </w:t>
            </w:r>
            <w:r w:rsidRPr="00A3389E">
              <w:rPr>
                <w:i w:val="0"/>
              </w:rPr>
              <w:t>referenčnému dátumu vykazovania</w:t>
            </w:r>
            <w:r w:rsidR="00A3389E">
              <w:rPr>
                <w:i w:val="0"/>
              </w:rPr>
              <w:t xml:space="preserve"> a </w:t>
            </w:r>
            <w:r w:rsidRPr="00A3389E">
              <w:rPr>
                <w:i w:val="0"/>
              </w:rPr>
              <w:t>ktorý nie je klasifikovaný ako PP&amp;E. Celkový objem sa vypočíta so zohľadnením prvotného stavu (od konca posledného finančného roka)</w:t>
            </w:r>
            <w:r w:rsidR="00A3389E">
              <w:rPr>
                <w:i w:val="0"/>
              </w:rPr>
              <w:t xml:space="preserve"> a </w:t>
            </w:r>
            <w:r w:rsidRPr="00A3389E">
              <w:rPr>
                <w:i w:val="0"/>
              </w:rPr>
              <w:t>kladných</w:t>
            </w:r>
            <w:r w:rsidR="00A3389E">
              <w:rPr>
                <w:i w:val="0"/>
              </w:rPr>
              <w:t xml:space="preserve"> a </w:t>
            </w:r>
            <w:r w:rsidRPr="00A3389E">
              <w:rPr>
                <w:i w:val="0"/>
              </w:rPr>
              <w:t>záporných peňažných tokov, ku ktorým došlo počas obdobia zverejňovania informácií (od konca posledného finančného roka). Kolaterál získaný nadobudnutím vlastníctva (iný než nehnuteľnosti, stroje</w:t>
            </w:r>
            <w:r w:rsidR="00A3389E">
              <w:rPr>
                <w:i w:val="0"/>
              </w:rPr>
              <w:t xml:space="preserve"> a </w:t>
            </w:r>
            <w:r w:rsidRPr="00A3389E">
              <w:rPr>
                <w:i w:val="0"/>
              </w:rPr>
              <w:t>zariadenia) je</w:t>
            </w:r>
            <w:r w:rsidR="00A3389E">
              <w:rPr>
                <w:i w:val="0"/>
              </w:rPr>
              <w:t xml:space="preserve"> v </w:t>
            </w:r>
            <w:r w:rsidRPr="00A3389E">
              <w:rPr>
                <w:i w:val="0"/>
              </w:rPr>
              <w:t>riadkoch podľa druhu kolaterálu.</w:t>
            </w:r>
          </w:p>
        </w:tc>
      </w:tr>
      <w:tr w:rsidR="004E71F4" w:rsidRPr="00A3389E" w14:paraId="4A563A7A" w14:textId="77777777" w:rsidTr="00155C96">
        <w:trPr>
          <w:trHeight w:val="1286"/>
        </w:trPr>
        <w:tc>
          <w:tcPr>
            <w:tcW w:w="1384" w:type="dxa"/>
          </w:tcPr>
          <w:p w14:paraId="1BC99EC1"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030</w:t>
            </w:r>
          </w:p>
        </w:tc>
        <w:tc>
          <w:tcPr>
            <w:tcW w:w="7655" w:type="dxa"/>
          </w:tcPr>
          <w:p w14:paraId="20DC1EEB"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Nehnuteľný majetok určený na bývanie</w:t>
            </w:r>
          </w:p>
          <w:p w14:paraId="379AD7D1" w14:textId="3F3DE754" w:rsidR="004E71F4" w:rsidRPr="00A3389E" w:rsidRDefault="004E71F4" w:rsidP="00155C96">
            <w:pPr>
              <w:pStyle w:val="Institutionquisigne"/>
              <w:spacing w:before="0" w:after="120"/>
              <w:rPr>
                <w:b/>
              </w:rPr>
            </w:pPr>
            <w:r w:rsidRPr="00A3389E">
              <w:rPr>
                <w:i w:val="0"/>
              </w:rPr>
              <w:t>Kolaterál získaný nadobudnutím vlastníctva nehnuteľného majetku určeného na bývanie (napr. domy, byty atď.) alebo nehnuteľného majetku</w:t>
            </w:r>
            <w:r w:rsidR="00A3389E">
              <w:rPr>
                <w:i w:val="0"/>
              </w:rPr>
              <w:t xml:space="preserve"> s </w:t>
            </w:r>
            <w:r w:rsidRPr="00A3389E">
              <w:rPr>
                <w:i w:val="0"/>
              </w:rPr>
              <w:t>takýmto potenciálnym použitím</w:t>
            </w:r>
            <w:r w:rsidR="00A3389E">
              <w:rPr>
                <w:i w:val="0"/>
              </w:rPr>
              <w:t xml:space="preserve"> v </w:t>
            </w:r>
            <w:r w:rsidRPr="00A3389E">
              <w:rPr>
                <w:i w:val="0"/>
              </w:rPr>
              <w:t>budúcnosti (napr. nedokončený nehnuteľný majetok určený na bývanie atď.)</w:t>
            </w:r>
          </w:p>
        </w:tc>
      </w:tr>
      <w:tr w:rsidR="004E71F4" w:rsidRPr="00A3389E" w14:paraId="06E88BCE" w14:textId="77777777" w:rsidTr="00155C96">
        <w:trPr>
          <w:trHeight w:val="1286"/>
        </w:trPr>
        <w:tc>
          <w:tcPr>
            <w:tcW w:w="1384" w:type="dxa"/>
          </w:tcPr>
          <w:p w14:paraId="690E3415"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040</w:t>
            </w:r>
          </w:p>
        </w:tc>
        <w:tc>
          <w:tcPr>
            <w:tcW w:w="7655" w:type="dxa"/>
            <w:shd w:val="clear" w:color="auto" w:fill="auto"/>
          </w:tcPr>
          <w:p w14:paraId="60F0FAB2"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Nehnuteľný majetok určený na podnikanie</w:t>
            </w:r>
          </w:p>
          <w:p w14:paraId="17CE5C2D" w14:textId="77777777" w:rsidR="004E71F4" w:rsidRPr="00A3389E" w:rsidRDefault="004E71F4" w:rsidP="00155C96">
            <w:pPr>
              <w:pStyle w:val="Institutionquisigne"/>
              <w:spacing w:before="0" w:after="120"/>
              <w:rPr>
                <w:i w:val="0"/>
              </w:rPr>
            </w:pPr>
            <w:r w:rsidRPr="00A3389E">
              <w:rPr>
                <w:i w:val="0"/>
              </w:rPr>
              <w:t>Kolaterál získaný nadobudnutím vlastníctva nehnuteľného majetku určeného na podnikanie alebo priemyselné využitie, ktorý možno použiť na obchodné a/alebo investičné účely, alebo akéhokoľvek nehnuteľného majetku, ktorý nie je nehnuteľným majetkom určeným na bývanie, ako sa uvádza vyššie.</w:t>
            </w:r>
          </w:p>
          <w:p w14:paraId="62B2F832" w14:textId="77777777" w:rsidR="004E71F4" w:rsidRPr="00A3389E" w:rsidRDefault="004E71F4" w:rsidP="00155C96">
            <w:pPr>
              <w:pStyle w:val="Institutionquisigne"/>
              <w:spacing w:before="0" w:after="120"/>
              <w:rPr>
                <w:b/>
              </w:rPr>
            </w:pPr>
            <w:r w:rsidRPr="00A3389E">
              <w:rPr>
                <w:i w:val="0"/>
              </w:rPr>
              <w:t>Do tejto kategórie sa zahrnie aj pôda (nepoľnohospodárska aj poľnohospodárska).</w:t>
            </w:r>
          </w:p>
        </w:tc>
      </w:tr>
      <w:tr w:rsidR="004E71F4" w:rsidRPr="00A3389E" w14:paraId="7CE04469" w14:textId="77777777" w:rsidTr="00155C96">
        <w:trPr>
          <w:trHeight w:val="1286"/>
        </w:trPr>
        <w:tc>
          <w:tcPr>
            <w:tcW w:w="1384" w:type="dxa"/>
          </w:tcPr>
          <w:p w14:paraId="2248180F"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lastRenderedPageBreak/>
              <w:t>050</w:t>
            </w:r>
          </w:p>
        </w:tc>
        <w:tc>
          <w:tcPr>
            <w:tcW w:w="7655" w:type="dxa"/>
            <w:shd w:val="clear" w:color="auto" w:fill="auto"/>
          </w:tcPr>
          <w:p w14:paraId="42CFB018"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Hnuteľný majetok (automobil, preprava atď.)</w:t>
            </w:r>
          </w:p>
          <w:p w14:paraId="34A36ED9" w14:textId="77777777" w:rsidR="004E71F4" w:rsidRPr="00A3389E" w:rsidRDefault="004E71F4" w:rsidP="00155C96">
            <w:pPr>
              <w:pStyle w:val="Institutionquisigne"/>
              <w:spacing w:before="0" w:after="120"/>
              <w:rPr>
                <w:b/>
              </w:rPr>
            </w:pPr>
            <w:r w:rsidRPr="00A3389E">
              <w:rPr>
                <w:i w:val="0"/>
              </w:rPr>
              <w:t>V tomto riadku sa zverejňuje kolaterál získaný nadobudnutím vlastníctva majetku iného než nehnuteľný majetok.</w:t>
            </w:r>
          </w:p>
        </w:tc>
      </w:tr>
      <w:tr w:rsidR="004E71F4" w:rsidRPr="00A3389E" w14:paraId="30FA7DF1" w14:textId="77777777" w:rsidTr="00155C96">
        <w:trPr>
          <w:trHeight w:val="1286"/>
        </w:trPr>
        <w:tc>
          <w:tcPr>
            <w:tcW w:w="1384" w:type="dxa"/>
          </w:tcPr>
          <w:p w14:paraId="42AD5838"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060</w:t>
            </w:r>
          </w:p>
        </w:tc>
        <w:tc>
          <w:tcPr>
            <w:tcW w:w="7655" w:type="dxa"/>
            <w:shd w:val="clear" w:color="auto" w:fill="auto"/>
          </w:tcPr>
          <w:p w14:paraId="0F1E41BA" w14:textId="602878E9"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Nástroje vlastného imania</w:t>
            </w:r>
            <w:r w:rsidR="00A3389E">
              <w:rPr>
                <w:rFonts w:ascii="Times New Roman" w:hAnsi="Times New Roman" w:cs="Times New Roman"/>
                <w:b/>
                <w:sz w:val="24"/>
              </w:rPr>
              <w:t xml:space="preserve"> a </w:t>
            </w:r>
            <w:r w:rsidRPr="00A3389E">
              <w:rPr>
                <w:rFonts w:ascii="Times New Roman" w:hAnsi="Times New Roman" w:cs="Times New Roman"/>
                <w:b/>
                <w:sz w:val="24"/>
              </w:rPr>
              <w:t>dlhové nástroje</w:t>
            </w:r>
          </w:p>
          <w:p w14:paraId="16CC26D5" w14:textId="77777777" w:rsidR="004E71F4" w:rsidRPr="00A3389E" w:rsidRDefault="004E71F4" w:rsidP="00155C96">
            <w:pPr>
              <w:pStyle w:val="Institutionquisigne"/>
              <w:spacing w:before="0" w:after="120"/>
              <w:rPr>
                <w:b/>
              </w:rPr>
            </w:pPr>
            <w:r w:rsidRPr="00A3389E">
              <w:rPr>
                <w:i w:val="0"/>
              </w:rPr>
              <w:t>V tomto riadku sa zverejňuje kolaterál získaný nadobudnutím vlastníctva nástrojov vlastného imania alebo dlhových nástrojov.</w:t>
            </w:r>
          </w:p>
        </w:tc>
      </w:tr>
      <w:tr w:rsidR="004E71F4" w:rsidRPr="00A3389E" w14:paraId="3011266C" w14:textId="77777777" w:rsidTr="00155C96">
        <w:trPr>
          <w:trHeight w:val="1286"/>
        </w:trPr>
        <w:tc>
          <w:tcPr>
            <w:tcW w:w="1384" w:type="dxa"/>
          </w:tcPr>
          <w:p w14:paraId="14BE41BF"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070</w:t>
            </w:r>
          </w:p>
        </w:tc>
        <w:tc>
          <w:tcPr>
            <w:tcW w:w="7655" w:type="dxa"/>
          </w:tcPr>
          <w:p w14:paraId="61ED02E4"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Iný kolaterál</w:t>
            </w:r>
          </w:p>
          <w:p w14:paraId="5C94E21B" w14:textId="77777777" w:rsidR="004E71F4" w:rsidRPr="00A3389E" w:rsidRDefault="004E71F4" w:rsidP="00155C96">
            <w:pPr>
              <w:pStyle w:val="Institutionquisigne"/>
              <w:spacing w:before="0" w:after="120"/>
              <w:rPr>
                <w:i w:val="0"/>
              </w:rPr>
            </w:pPr>
            <w:r w:rsidRPr="00A3389E">
              <w:rPr>
                <w:i w:val="0"/>
              </w:rPr>
              <w:t>Kolaterál získaný nadobudnutím vlastníctva, ktorý nepatrí do kategórií ostatných riadkov.</w:t>
            </w:r>
          </w:p>
          <w:p w14:paraId="56B31A9F" w14:textId="6AEC62FF" w:rsidR="004E71F4" w:rsidRPr="00A3389E" w:rsidRDefault="004E71F4" w:rsidP="00155C96">
            <w:pPr>
              <w:pStyle w:val="Institutionquisigne"/>
              <w:spacing w:before="0" w:after="120"/>
              <w:rPr>
                <w:b/>
              </w:rPr>
            </w:pPr>
            <w:r w:rsidRPr="00A3389E">
              <w:rPr>
                <w:i w:val="0"/>
              </w:rPr>
              <w:t>Ak je suma</w:t>
            </w:r>
            <w:r w:rsidR="00A3389E">
              <w:rPr>
                <w:i w:val="0"/>
              </w:rPr>
              <w:t xml:space="preserve"> v </w:t>
            </w:r>
            <w:r w:rsidRPr="00A3389E">
              <w:rPr>
                <w:i w:val="0"/>
              </w:rPr>
              <w:t>tomto riadku pomerne významná, inštitúcie poskytujú dodatočné informácie</w:t>
            </w:r>
            <w:r w:rsidR="00A3389E">
              <w:rPr>
                <w:i w:val="0"/>
              </w:rPr>
              <w:t xml:space="preserve"> v </w:t>
            </w:r>
            <w:r w:rsidRPr="00A3389E">
              <w:rPr>
                <w:i w:val="0"/>
              </w:rPr>
              <w:t>opise sprevádzajúcom tento vzor.</w:t>
            </w:r>
          </w:p>
        </w:tc>
      </w:tr>
      <w:tr w:rsidR="004E71F4" w:rsidRPr="00A3389E" w14:paraId="1741AC10" w14:textId="77777777" w:rsidTr="00155C96">
        <w:trPr>
          <w:trHeight w:val="316"/>
        </w:trPr>
        <w:tc>
          <w:tcPr>
            <w:tcW w:w="1384" w:type="dxa"/>
          </w:tcPr>
          <w:p w14:paraId="1CFBBCDA"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080</w:t>
            </w:r>
          </w:p>
        </w:tc>
        <w:tc>
          <w:tcPr>
            <w:tcW w:w="7655" w:type="dxa"/>
          </w:tcPr>
          <w:p w14:paraId="0088B2D8"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 xml:space="preserve">Spolu </w:t>
            </w:r>
          </w:p>
        </w:tc>
      </w:tr>
    </w:tbl>
    <w:p w14:paraId="4D72A001" w14:textId="77777777" w:rsidR="004E71F4" w:rsidRPr="00A3389E"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2C47C887" w14:textId="77777777" w:rsidTr="00155C96">
        <w:trPr>
          <w:trHeight w:val="238"/>
        </w:trPr>
        <w:tc>
          <w:tcPr>
            <w:tcW w:w="9039" w:type="dxa"/>
            <w:gridSpan w:val="2"/>
            <w:shd w:val="clear" w:color="auto" w:fill="D9D9D9" w:themeFill="background1" w:themeFillShade="D9"/>
          </w:tcPr>
          <w:p w14:paraId="41712290" w14:textId="7E14AE81"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24952D61" w14:textId="77777777" w:rsidTr="00155C96">
        <w:trPr>
          <w:trHeight w:val="238"/>
        </w:trPr>
        <w:tc>
          <w:tcPr>
            <w:tcW w:w="1384" w:type="dxa"/>
            <w:shd w:val="clear" w:color="auto" w:fill="D9D9D9" w:themeFill="background1" w:themeFillShade="D9"/>
          </w:tcPr>
          <w:p w14:paraId="58E4B131"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586E8FF2"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6C66025E" w14:textId="77777777" w:rsidTr="00155C96">
        <w:trPr>
          <w:trHeight w:val="841"/>
        </w:trPr>
        <w:tc>
          <w:tcPr>
            <w:tcW w:w="1384" w:type="dxa"/>
          </w:tcPr>
          <w:p w14:paraId="09FA9C63" w14:textId="77777777" w:rsidR="004E71F4" w:rsidRPr="00A3389E" w:rsidRDefault="004E71F4" w:rsidP="00155C96">
            <w:pPr>
              <w:pStyle w:val="Applicationdirecte"/>
              <w:spacing w:before="0"/>
            </w:pPr>
            <w:r w:rsidRPr="00A3389E">
              <w:t>a</w:t>
            </w:r>
          </w:p>
        </w:tc>
        <w:tc>
          <w:tcPr>
            <w:tcW w:w="7655" w:type="dxa"/>
          </w:tcPr>
          <w:p w14:paraId="6E4E33A4" w14:textId="77777777" w:rsidR="004E71F4" w:rsidRPr="00476DE3" w:rsidRDefault="004E71F4" w:rsidP="00155C96">
            <w:pPr>
              <w:pStyle w:val="Institutionquisigne"/>
              <w:spacing w:before="0" w:after="120"/>
              <w:rPr>
                <w:rFonts w:eastAsiaTheme="minorEastAsia"/>
                <w:b/>
                <w:i w:val="0"/>
                <w:spacing w:val="-4"/>
              </w:rPr>
            </w:pPr>
            <w:r w:rsidRPr="00476DE3">
              <w:rPr>
                <w:b/>
                <w:i w:val="0"/>
                <w:spacing w:val="-4"/>
              </w:rPr>
              <w:t>Kolaterál získaný nadobudnutím vlastníctva – hodnota pri prvotnom vykázaní</w:t>
            </w:r>
          </w:p>
          <w:p w14:paraId="492004D4" w14:textId="1EF68402" w:rsidR="004E71F4" w:rsidRPr="00A3389E" w:rsidRDefault="004E71F4" w:rsidP="00155C96">
            <w:pPr>
              <w:pStyle w:val="Institutionquisigne"/>
              <w:spacing w:before="0" w:after="120"/>
            </w:pPr>
            <w:r w:rsidRPr="00476DE3">
              <w:rPr>
                <w:i w:val="0"/>
                <w:spacing w:val="-4"/>
              </w:rPr>
              <w:t>Inštitúcie</w:t>
            </w:r>
            <w:r w:rsidR="00A3389E" w:rsidRPr="00476DE3">
              <w:rPr>
                <w:i w:val="0"/>
                <w:spacing w:val="-4"/>
              </w:rPr>
              <w:t xml:space="preserve"> v </w:t>
            </w:r>
            <w:r w:rsidRPr="00476DE3">
              <w:rPr>
                <w:i w:val="0"/>
                <w:spacing w:val="-4"/>
              </w:rPr>
              <w:t>tomto stĺpci zverejňujú hrubú účtovnú hodnotu kolaterálu získaného nadobudnutím vlastníctva pri prvotnom vykázaní</w:t>
            </w:r>
            <w:r w:rsidR="00A3389E" w:rsidRPr="00476DE3">
              <w:rPr>
                <w:i w:val="0"/>
                <w:spacing w:val="-4"/>
              </w:rPr>
              <w:t xml:space="preserve"> v </w:t>
            </w:r>
            <w:r w:rsidRPr="00476DE3">
              <w:rPr>
                <w:i w:val="0"/>
                <w:spacing w:val="-4"/>
              </w:rPr>
              <w:t>súvahe inštitúcie.</w:t>
            </w:r>
          </w:p>
        </w:tc>
      </w:tr>
      <w:tr w:rsidR="004E71F4" w:rsidRPr="00A3389E" w14:paraId="68455EBD" w14:textId="77777777" w:rsidTr="00155C96">
        <w:trPr>
          <w:trHeight w:val="841"/>
        </w:trPr>
        <w:tc>
          <w:tcPr>
            <w:tcW w:w="1384" w:type="dxa"/>
          </w:tcPr>
          <w:p w14:paraId="2075C9AF" w14:textId="77777777" w:rsidR="004E71F4" w:rsidRPr="00A3389E" w:rsidRDefault="004E71F4" w:rsidP="00155C96">
            <w:pPr>
              <w:pStyle w:val="Applicationdirecte"/>
              <w:spacing w:before="0"/>
            </w:pPr>
            <w:r w:rsidRPr="00A3389E">
              <w:t>b</w:t>
            </w:r>
          </w:p>
        </w:tc>
        <w:tc>
          <w:tcPr>
            <w:tcW w:w="7655" w:type="dxa"/>
          </w:tcPr>
          <w:p w14:paraId="61C70A06" w14:textId="77777777" w:rsidR="004E71F4" w:rsidRPr="00476DE3" w:rsidRDefault="004E71F4" w:rsidP="00155C96">
            <w:pPr>
              <w:pStyle w:val="Fait"/>
              <w:spacing w:before="0" w:after="120"/>
              <w:rPr>
                <w:b/>
                <w:spacing w:val="-4"/>
              </w:rPr>
            </w:pPr>
            <w:r w:rsidRPr="00476DE3">
              <w:rPr>
                <w:b/>
                <w:spacing w:val="-4"/>
              </w:rPr>
              <w:t>Kolaterál získaný nadobudnutím vlastníctva – akumulované záporné zmeny</w:t>
            </w:r>
          </w:p>
          <w:p w14:paraId="2BD88503" w14:textId="25CE0639" w:rsidR="004E71F4" w:rsidRPr="00A3389E" w:rsidRDefault="004E71F4" w:rsidP="00155C96">
            <w:pPr>
              <w:pStyle w:val="Institutionquisigne"/>
              <w:spacing w:before="0" w:after="120"/>
              <w:rPr>
                <w:i w:val="0"/>
              </w:rPr>
            </w:pPr>
            <w:r w:rsidRPr="00A3389E">
              <w:rPr>
                <w:i w:val="0"/>
              </w:rPr>
              <w:t>Akumulované zníženie hodnoty alebo akumulované záporné zmeny, pokiaľ ide</w:t>
            </w:r>
            <w:r w:rsidR="00A3389E">
              <w:rPr>
                <w:i w:val="0"/>
              </w:rPr>
              <w:t xml:space="preserve"> o </w:t>
            </w:r>
            <w:r w:rsidRPr="00A3389E">
              <w:rPr>
                <w:i w:val="0"/>
              </w:rPr>
              <w:t>hodnotu pri prvotnom vykázaní kolaterálu získaného nadobudnutím vlastníctva, ako je opísané vyššie.</w:t>
            </w:r>
          </w:p>
          <w:p w14:paraId="2C738F18" w14:textId="569AA2DF" w:rsidR="004E71F4" w:rsidRPr="00A3389E" w:rsidRDefault="004E71F4" w:rsidP="00155C96">
            <w:pPr>
              <w:pStyle w:val="Institutionquisigne"/>
              <w:spacing w:before="0" w:after="120"/>
            </w:pPr>
            <w:r w:rsidRPr="00A3389E">
              <w:rPr>
                <w:i w:val="0"/>
              </w:rPr>
              <w:t>Inštitúcie zahrnú aj akumulované záporné zmeny</w:t>
            </w:r>
            <w:r w:rsidR="00A3389E">
              <w:rPr>
                <w:i w:val="0"/>
              </w:rPr>
              <w:t xml:space="preserve"> z </w:t>
            </w:r>
            <w:r w:rsidRPr="00A3389E">
              <w:rPr>
                <w:i w:val="0"/>
              </w:rPr>
              <w:t>dôvodu amortizácie</w:t>
            </w:r>
            <w:r w:rsidR="00A3389E">
              <w:rPr>
                <w:i w:val="0"/>
              </w:rPr>
              <w:t xml:space="preserve"> v </w:t>
            </w:r>
            <w:r w:rsidRPr="00A3389E">
              <w:rPr>
                <w:i w:val="0"/>
              </w:rPr>
              <w:t>prípade PP&amp;E</w:t>
            </w:r>
            <w:r w:rsidR="00A3389E">
              <w:rPr>
                <w:i w:val="0"/>
              </w:rPr>
              <w:t xml:space="preserve"> a </w:t>
            </w:r>
            <w:r w:rsidRPr="00A3389E">
              <w:rPr>
                <w:i w:val="0"/>
              </w:rPr>
              <w:t>prípadne investičného nehnuteľného majetku.</w:t>
            </w:r>
          </w:p>
        </w:tc>
      </w:tr>
    </w:tbl>
    <w:p w14:paraId="48505C64" w14:textId="77777777" w:rsidR="004E71F4" w:rsidRPr="00A3389E" w:rsidRDefault="004E71F4" w:rsidP="004E71F4">
      <w:pPr>
        <w:autoSpaceDE w:val="0"/>
        <w:autoSpaceDN w:val="0"/>
        <w:adjustRightInd w:val="0"/>
        <w:spacing w:after="120"/>
        <w:jc w:val="both"/>
        <w:rPr>
          <w:rFonts w:ascii="Times New Roman" w:hAnsi="Times New Roman" w:cs="Times New Roman"/>
          <w:b/>
          <w:sz w:val="24"/>
        </w:rPr>
      </w:pPr>
    </w:p>
    <w:p w14:paraId="4DF5391A" w14:textId="60BE1B5D" w:rsidR="004E71F4" w:rsidRPr="00A3389E" w:rsidRDefault="00CD362D" w:rsidP="004E71F4">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Vzor EU CQ8: Kolaterál získaný nadobudnutím vlastníctva</w:t>
      </w:r>
      <w:r w:rsidR="00A3389E">
        <w:rPr>
          <w:rFonts w:ascii="Times New Roman" w:hAnsi="Times New Roman" w:cs="Times New Roman"/>
          <w:b/>
          <w:sz w:val="24"/>
        </w:rPr>
        <w:t xml:space="preserve"> a </w:t>
      </w:r>
      <w:r w:rsidRPr="00A3389E">
        <w:rPr>
          <w:rFonts w:ascii="Times New Roman" w:hAnsi="Times New Roman" w:cs="Times New Roman"/>
          <w:b/>
          <w:sz w:val="24"/>
        </w:rPr>
        <w:t>exekúciami – rozčlenenie podľa ročníka</w:t>
      </w:r>
    </w:p>
    <w:p w14:paraId="539C6CF1" w14:textId="16ED853E" w:rsidR="004E71F4" w:rsidRPr="00A3389E" w:rsidRDefault="00A3389E" w:rsidP="00A3389E">
      <w:pPr>
        <w:spacing w:after="120"/>
        <w:ind w:left="720" w:hanging="360"/>
        <w:jc w:val="both"/>
        <w:rPr>
          <w:rFonts w:ascii="Times New Roman" w:hAnsi="Times New Roman"/>
          <w:bCs/>
          <w:sz w:val="24"/>
        </w:rPr>
      </w:pPr>
      <w:r w:rsidRPr="00A3389E">
        <w:rPr>
          <w:rFonts w:ascii="Times New Roman" w:eastAsia="Calibri" w:hAnsi="Times New Roman" w:cs="Times New Roman"/>
          <w:bCs/>
          <w:sz w:val="24"/>
          <w:szCs w:val="22"/>
        </w:rPr>
        <w:t>9.</w:t>
      </w:r>
      <w:r w:rsidRPr="00A3389E">
        <w:rPr>
          <w:rFonts w:ascii="Times New Roman" w:eastAsia="Calibri" w:hAnsi="Times New Roman" w:cs="Times New Roman"/>
          <w:bCs/>
          <w:sz w:val="24"/>
          <w:szCs w:val="22"/>
        </w:rPr>
        <w:tab/>
      </w:r>
      <w:r w:rsidR="004E71F4" w:rsidRPr="00A3389E">
        <w:rPr>
          <w:rFonts w:ascii="Times New Roman" w:hAnsi="Times New Roman"/>
          <w:bCs/>
          <w:sz w:val="24"/>
        </w:rPr>
        <w:t>Inštitúcie</w:t>
      </w:r>
      <w:r w:rsidR="004E71F4" w:rsidRPr="00A3389E">
        <w:rPr>
          <w:rFonts w:ascii="Times New Roman" w:hAnsi="Times New Roman"/>
          <w:sz w:val="24"/>
        </w:rPr>
        <w:t xml:space="preserve"> zverejňujú informácie uvedené</w:t>
      </w:r>
      <w:r>
        <w:rPr>
          <w:rFonts w:ascii="Times New Roman" w:hAnsi="Times New Roman"/>
          <w:sz w:val="24"/>
        </w:rPr>
        <w:t xml:space="preserve"> v </w:t>
      </w:r>
      <w:r w:rsidR="004E71F4" w:rsidRPr="00A3389E">
        <w:rPr>
          <w:rFonts w:ascii="Times New Roman" w:hAnsi="Times New Roman"/>
          <w:bCs/>
          <w:sz w:val="24"/>
        </w:rPr>
        <w:t xml:space="preserve">článku 442 písm. c) </w:t>
      </w:r>
      <w:r w:rsidR="004E71F4" w:rsidRPr="00A3389E">
        <w:rPr>
          <w:rFonts w:ascii="Times New Roman" w:hAnsi="Times New Roman"/>
          <w:color w:val="000000"/>
          <w:sz w:val="24"/>
        </w:rPr>
        <w:t>CRR</w:t>
      </w:r>
      <w:r w:rsidR="004E71F4" w:rsidRPr="00A3389E">
        <w:rPr>
          <w:rFonts w:ascii="Times New Roman" w:hAnsi="Times New Roman"/>
          <w:bCs/>
          <w:sz w:val="24"/>
        </w:rPr>
        <w:t xml:space="preserve"> podľa pokynov uvedených nižšie</w:t>
      </w:r>
      <w:r>
        <w:rPr>
          <w:rFonts w:ascii="Times New Roman" w:hAnsi="Times New Roman"/>
          <w:bCs/>
          <w:sz w:val="24"/>
        </w:rPr>
        <w:t xml:space="preserve"> v </w:t>
      </w:r>
      <w:r w:rsidR="004E71F4" w:rsidRPr="00A3389E">
        <w:rPr>
          <w:rFonts w:ascii="Times New Roman" w:hAnsi="Times New Roman"/>
          <w:bCs/>
          <w:sz w:val="24"/>
        </w:rPr>
        <w:t>tejto prílohe</w:t>
      </w:r>
      <w:r>
        <w:rPr>
          <w:rFonts w:ascii="Times New Roman" w:hAnsi="Times New Roman"/>
          <w:bCs/>
          <w:sz w:val="24"/>
        </w:rPr>
        <w:t xml:space="preserve"> s </w:t>
      </w:r>
      <w:r w:rsidR="004E71F4" w:rsidRPr="00A3389E">
        <w:rPr>
          <w:rFonts w:ascii="Times New Roman" w:hAnsi="Times New Roman"/>
          <w:bCs/>
          <w:sz w:val="24"/>
        </w:rPr>
        <w:t>cieľom vyplniť vzor EU CQ8, ktorý je uvedený</w:t>
      </w:r>
      <w:r>
        <w:rPr>
          <w:rFonts w:ascii="Times New Roman" w:hAnsi="Times New Roman"/>
          <w:bCs/>
          <w:sz w:val="24"/>
        </w:rPr>
        <w:t xml:space="preserve"> v </w:t>
      </w:r>
      <w:r w:rsidR="004E71F4" w:rsidRPr="00A3389E">
        <w:rPr>
          <w:rFonts w:ascii="Times New Roman" w:hAnsi="Times New Roman"/>
          <w:bCs/>
          <w:sz w:val="24"/>
        </w:rPr>
        <w:t>prílohe XV</w:t>
      </w:r>
      <w:r>
        <w:rPr>
          <w:rFonts w:ascii="Times New Roman" w:hAnsi="Times New Roman"/>
          <w:bCs/>
          <w:sz w:val="24"/>
        </w:rPr>
        <w:t xml:space="preserve"> k </w:t>
      </w:r>
      <w:r w:rsidR="004E71F4" w:rsidRPr="00A3389E">
        <w:rPr>
          <w:rFonts w:ascii="Times New Roman" w:hAnsi="Times New Roman"/>
          <w:bCs/>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A3389E"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6643519E"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06175B80" w14:textId="77777777" w:rsidTr="00155C96">
        <w:trPr>
          <w:trHeight w:val="238"/>
        </w:trPr>
        <w:tc>
          <w:tcPr>
            <w:tcW w:w="1384" w:type="dxa"/>
            <w:shd w:val="clear" w:color="auto" w:fill="D9D9D9" w:themeFill="background1" w:themeFillShade="D9"/>
          </w:tcPr>
          <w:p w14:paraId="3408D528"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51E62B48"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4E71F4" w:rsidRPr="00A3389E" w14:paraId="3419B38B" w14:textId="77777777" w:rsidTr="00155C96">
        <w:trPr>
          <w:trHeight w:val="1286"/>
        </w:trPr>
        <w:tc>
          <w:tcPr>
            <w:tcW w:w="1384" w:type="dxa"/>
          </w:tcPr>
          <w:p w14:paraId="491DF805"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lastRenderedPageBreak/>
              <w:t>010</w:t>
            </w:r>
          </w:p>
        </w:tc>
        <w:tc>
          <w:tcPr>
            <w:tcW w:w="7655" w:type="dxa"/>
          </w:tcPr>
          <w:p w14:paraId="1DC0AC57" w14:textId="51D88524"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Nehnuteľnosti, stroje</w:t>
            </w:r>
            <w:r w:rsidR="00A3389E">
              <w:rPr>
                <w:rFonts w:ascii="Times New Roman" w:hAnsi="Times New Roman" w:cs="Times New Roman"/>
                <w:b/>
                <w:sz w:val="24"/>
              </w:rPr>
              <w:t xml:space="preserve"> a </w:t>
            </w:r>
            <w:r w:rsidRPr="00A3389E">
              <w:rPr>
                <w:rFonts w:ascii="Times New Roman" w:hAnsi="Times New Roman" w:cs="Times New Roman"/>
                <w:b/>
                <w:sz w:val="24"/>
              </w:rPr>
              <w:t>zariadenia (PP&amp;E)</w:t>
            </w:r>
          </w:p>
          <w:p w14:paraId="03A034E4" w14:textId="7D10C93B" w:rsidR="004E71F4" w:rsidRPr="00A3389E" w:rsidRDefault="004E71F4" w:rsidP="00155C96">
            <w:pPr>
              <w:pStyle w:val="Institutionquisigne"/>
              <w:spacing w:before="0" w:after="120"/>
              <w:rPr>
                <w:i w:val="0"/>
              </w:rPr>
            </w:pPr>
            <w:r w:rsidRPr="00A3389E">
              <w:rPr>
                <w:i w:val="0"/>
              </w:rPr>
              <w:t>Inštitúcie zverejňujú objem kolaterálu získaného nadobudnutím vlastníctva, ktorý sa naďalej vykazuje</w:t>
            </w:r>
            <w:r w:rsidR="00A3389E">
              <w:rPr>
                <w:i w:val="0"/>
              </w:rPr>
              <w:t xml:space="preserve"> v </w:t>
            </w:r>
            <w:r w:rsidRPr="00A3389E">
              <w:rPr>
                <w:i w:val="0"/>
              </w:rPr>
              <w:t>súvahe</w:t>
            </w:r>
            <w:r w:rsidR="00A3389E">
              <w:rPr>
                <w:i w:val="0"/>
              </w:rPr>
              <w:t xml:space="preserve"> k </w:t>
            </w:r>
            <w:r w:rsidRPr="00A3389E">
              <w:rPr>
                <w:i w:val="0"/>
              </w:rPr>
              <w:t>referenčnému dátumu vykazovania</w:t>
            </w:r>
            <w:r w:rsidR="00A3389E">
              <w:rPr>
                <w:i w:val="0"/>
              </w:rPr>
              <w:t xml:space="preserve"> a </w:t>
            </w:r>
            <w:r w:rsidRPr="00A3389E">
              <w:rPr>
                <w:i w:val="0"/>
              </w:rPr>
              <w:t>ktorý je klasifikovaný ako PP&amp;E.</w:t>
            </w:r>
          </w:p>
        </w:tc>
      </w:tr>
      <w:tr w:rsidR="004E71F4" w:rsidRPr="00A3389E" w14:paraId="2D8396B0" w14:textId="77777777" w:rsidTr="00155C96">
        <w:trPr>
          <w:trHeight w:val="620"/>
        </w:trPr>
        <w:tc>
          <w:tcPr>
            <w:tcW w:w="1384" w:type="dxa"/>
          </w:tcPr>
          <w:p w14:paraId="5909B57C"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020</w:t>
            </w:r>
          </w:p>
        </w:tc>
        <w:tc>
          <w:tcPr>
            <w:tcW w:w="7655" w:type="dxa"/>
          </w:tcPr>
          <w:p w14:paraId="648435A7"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Iné ako PP&amp;E</w:t>
            </w:r>
          </w:p>
          <w:p w14:paraId="3F0B3F2E" w14:textId="3796BA4A" w:rsidR="004E71F4" w:rsidRPr="00A3389E" w:rsidRDefault="004E71F4" w:rsidP="00155C96">
            <w:pPr>
              <w:pStyle w:val="Institutionquisigne"/>
              <w:spacing w:before="0" w:after="120"/>
              <w:rPr>
                <w:i w:val="0"/>
              </w:rPr>
            </w:pPr>
            <w:r w:rsidRPr="00A3389E">
              <w:rPr>
                <w:i w:val="0"/>
              </w:rPr>
              <w:t>V tomto riadku sa automaticky zverejňuje objem kolaterálu získaného nadobudnutím vlastníctva, ktorý sa naďalej vykazuje</w:t>
            </w:r>
            <w:r w:rsidR="00A3389E">
              <w:rPr>
                <w:i w:val="0"/>
              </w:rPr>
              <w:t xml:space="preserve"> v </w:t>
            </w:r>
            <w:r w:rsidRPr="00A3389E">
              <w:rPr>
                <w:i w:val="0"/>
              </w:rPr>
              <w:t>súvahe</w:t>
            </w:r>
            <w:r w:rsidR="00A3389E">
              <w:rPr>
                <w:i w:val="0"/>
              </w:rPr>
              <w:t xml:space="preserve"> k </w:t>
            </w:r>
            <w:r w:rsidRPr="00A3389E">
              <w:rPr>
                <w:i w:val="0"/>
              </w:rPr>
              <w:t>referenčnému dátumu vykazovania</w:t>
            </w:r>
            <w:r w:rsidR="00A3389E">
              <w:rPr>
                <w:i w:val="0"/>
              </w:rPr>
              <w:t xml:space="preserve"> a </w:t>
            </w:r>
            <w:r w:rsidRPr="00A3389E">
              <w:rPr>
                <w:i w:val="0"/>
              </w:rPr>
              <w:t>ktorý nie je klasifikovaný ako PP&amp;E. Celkový objem sa vypočíta so zohľadnením prvotného stavu (od konca posledného finančného roka)</w:t>
            </w:r>
            <w:r w:rsidR="00A3389E">
              <w:rPr>
                <w:i w:val="0"/>
              </w:rPr>
              <w:t xml:space="preserve"> a </w:t>
            </w:r>
            <w:r w:rsidRPr="00A3389E">
              <w:rPr>
                <w:i w:val="0"/>
              </w:rPr>
              <w:t>kladných</w:t>
            </w:r>
            <w:r w:rsidR="00A3389E">
              <w:rPr>
                <w:i w:val="0"/>
              </w:rPr>
              <w:t xml:space="preserve"> a </w:t>
            </w:r>
            <w:r w:rsidRPr="00A3389E">
              <w:rPr>
                <w:i w:val="0"/>
              </w:rPr>
              <w:t>záporných peňažných tokov, ku ktorým došlo počas obdobia zverejňovania informácií (od konca posledného finančného roka). Kolaterál získaný nadobudnutím vlastníctva (iný než nehnuteľnosti, stroje</w:t>
            </w:r>
            <w:r w:rsidR="00A3389E">
              <w:rPr>
                <w:i w:val="0"/>
              </w:rPr>
              <w:t xml:space="preserve"> a </w:t>
            </w:r>
            <w:r w:rsidRPr="00A3389E">
              <w:rPr>
                <w:i w:val="0"/>
              </w:rPr>
              <w:t>zariadenia) je</w:t>
            </w:r>
            <w:r w:rsidR="00A3389E">
              <w:rPr>
                <w:i w:val="0"/>
              </w:rPr>
              <w:t xml:space="preserve"> v </w:t>
            </w:r>
            <w:r w:rsidRPr="00A3389E">
              <w:rPr>
                <w:i w:val="0"/>
              </w:rPr>
              <w:t>riadkoch podľa druhu kolaterálu.</w:t>
            </w:r>
          </w:p>
        </w:tc>
      </w:tr>
      <w:tr w:rsidR="004E71F4" w:rsidRPr="00A3389E" w14:paraId="2DD0F14F" w14:textId="77777777" w:rsidTr="00155C96">
        <w:trPr>
          <w:trHeight w:val="1286"/>
        </w:trPr>
        <w:tc>
          <w:tcPr>
            <w:tcW w:w="1384" w:type="dxa"/>
          </w:tcPr>
          <w:p w14:paraId="2C38A2A6"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030</w:t>
            </w:r>
          </w:p>
        </w:tc>
        <w:tc>
          <w:tcPr>
            <w:tcW w:w="7655" w:type="dxa"/>
          </w:tcPr>
          <w:p w14:paraId="13C48370"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Nehnuteľný majetok určený na bývanie</w:t>
            </w:r>
          </w:p>
          <w:p w14:paraId="74F31DF3" w14:textId="32C1CB0F" w:rsidR="004E71F4" w:rsidRPr="00A3389E" w:rsidRDefault="004E71F4" w:rsidP="00155C96">
            <w:pPr>
              <w:pStyle w:val="Institutionquisigne"/>
              <w:spacing w:before="0" w:after="120"/>
              <w:rPr>
                <w:b/>
              </w:rPr>
            </w:pPr>
            <w:r w:rsidRPr="00A3389E">
              <w:rPr>
                <w:i w:val="0"/>
              </w:rPr>
              <w:t>Kolaterál získaný nadobudnutím vlastníctva nehnuteľného majetku určeného na bývanie (napr. domy, byty atď.) alebo nehnuteľného majetku</w:t>
            </w:r>
            <w:r w:rsidR="00A3389E">
              <w:rPr>
                <w:i w:val="0"/>
              </w:rPr>
              <w:t xml:space="preserve"> s </w:t>
            </w:r>
            <w:r w:rsidRPr="00A3389E">
              <w:rPr>
                <w:i w:val="0"/>
              </w:rPr>
              <w:t>takýmto potenciálnym použitím</w:t>
            </w:r>
            <w:r w:rsidR="00A3389E">
              <w:rPr>
                <w:i w:val="0"/>
              </w:rPr>
              <w:t xml:space="preserve"> v </w:t>
            </w:r>
            <w:r w:rsidRPr="00A3389E">
              <w:rPr>
                <w:i w:val="0"/>
              </w:rPr>
              <w:t>budúcnosti (napr. nedokončený nehnuteľný majetok určený na bývanie atď.)</w:t>
            </w:r>
          </w:p>
        </w:tc>
      </w:tr>
      <w:tr w:rsidR="004E71F4" w:rsidRPr="00A3389E" w14:paraId="4CE1CC54" w14:textId="77777777" w:rsidTr="007C38AF">
        <w:trPr>
          <w:trHeight w:val="554"/>
        </w:trPr>
        <w:tc>
          <w:tcPr>
            <w:tcW w:w="1384" w:type="dxa"/>
          </w:tcPr>
          <w:p w14:paraId="43C62B41"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040</w:t>
            </w:r>
          </w:p>
        </w:tc>
        <w:tc>
          <w:tcPr>
            <w:tcW w:w="7655" w:type="dxa"/>
          </w:tcPr>
          <w:p w14:paraId="4D828500" w14:textId="77777777" w:rsidR="00BE57B5" w:rsidRPr="00A3389E" w:rsidRDefault="004E71F4" w:rsidP="00BE57B5">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Nehnuteľný majetok určený na podnikanie</w:t>
            </w:r>
          </w:p>
          <w:p w14:paraId="68C2D2E7" w14:textId="78F44185" w:rsidR="004E71F4" w:rsidRPr="00A3389E" w:rsidRDefault="004E71F4" w:rsidP="00BE57B5">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Kolaterál získaný nadobudnutím vlastníctva nehnuteľného majetku určeného na podnikanie alebo priemyselné využitie, ktorý možno použiť na obchodné a/alebo investičné účely, alebo akéhokoľvek nehnuteľného majetku, ktorý nie je nehnuteľným majetkom určeným na bývanie, ako sa uvádza vyššie.</w:t>
            </w:r>
          </w:p>
          <w:p w14:paraId="1521CDD3" w14:textId="77777777" w:rsidR="004E71F4" w:rsidRPr="00A3389E" w:rsidRDefault="004E71F4" w:rsidP="00155C96">
            <w:pPr>
              <w:pStyle w:val="Institutionquisigne"/>
              <w:spacing w:before="0" w:after="120"/>
              <w:rPr>
                <w:b/>
              </w:rPr>
            </w:pPr>
            <w:r w:rsidRPr="00A3389E">
              <w:rPr>
                <w:i w:val="0"/>
              </w:rPr>
              <w:t>Do tejto kategórie sa zahrnie aj pôda (nepoľnohospodárska aj poľnohospodárska).</w:t>
            </w:r>
          </w:p>
        </w:tc>
      </w:tr>
      <w:tr w:rsidR="004E71F4" w:rsidRPr="00A3389E" w14:paraId="3412E18B" w14:textId="77777777" w:rsidTr="007C38AF">
        <w:trPr>
          <w:trHeight w:val="1003"/>
        </w:trPr>
        <w:tc>
          <w:tcPr>
            <w:tcW w:w="1384" w:type="dxa"/>
          </w:tcPr>
          <w:p w14:paraId="0D688098"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050</w:t>
            </w:r>
          </w:p>
        </w:tc>
        <w:tc>
          <w:tcPr>
            <w:tcW w:w="7655" w:type="dxa"/>
          </w:tcPr>
          <w:p w14:paraId="7D1A0508"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Hnuteľný majetok (automobil, preprava atď.)</w:t>
            </w:r>
          </w:p>
          <w:p w14:paraId="6A3FFE7D" w14:textId="77777777" w:rsidR="004E71F4" w:rsidRPr="00A3389E" w:rsidRDefault="004E71F4" w:rsidP="00155C96">
            <w:pPr>
              <w:pStyle w:val="Institutionquisigne"/>
              <w:spacing w:before="0" w:after="120"/>
              <w:rPr>
                <w:b/>
              </w:rPr>
            </w:pPr>
            <w:r w:rsidRPr="00A3389E">
              <w:rPr>
                <w:i w:val="0"/>
              </w:rPr>
              <w:t>V tomto riadku sa zverejňuje kolaterál získaný nadobudnutím vlastníctva majetku iného než nehnuteľný majetok.</w:t>
            </w:r>
          </w:p>
        </w:tc>
      </w:tr>
      <w:tr w:rsidR="004E71F4" w:rsidRPr="00A3389E" w14:paraId="6EB6B8F1" w14:textId="77777777" w:rsidTr="007C38AF">
        <w:trPr>
          <w:trHeight w:val="636"/>
        </w:trPr>
        <w:tc>
          <w:tcPr>
            <w:tcW w:w="1384" w:type="dxa"/>
          </w:tcPr>
          <w:p w14:paraId="53636D0F"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060</w:t>
            </w:r>
          </w:p>
        </w:tc>
        <w:tc>
          <w:tcPr>
            <w:tcW w:w="7655" w:type="dxa"/>
          </w:tcPr>
          <w:p w14:paraId="285BB0F1" w14:textId="3078A3A9"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Nástroje vlastného imania</w:t>
            </w:r>
            <w:r w:rsidR="00A3389E">
              <w:rPr>
                <w:rFonts w:ascii="Times New Roman" w:hAnsi="Times New Roman" w:cs="Times New Roman"/>
                <w:b/>
                <w:sz w:val="24"/>
              </w:rPr>
              <w:t xml:space="preserve"> a </w:t>
            </w:r>
            <w:r w:rsidRPr="00A3389E">
              <w:rPr>
                <w:rFonts w:ascii="Times New Roman" w:hAnsi="Times New Roman" w:cs="Times New Roman"/>
                <w:b/>
                <w:sz w:val="24"/>
              </w:rPr>
              <w:t>dlhové nástroje</w:t>
            </w:r>
          </w:p>
          <w:p w14:paraId="609FD4E1" w14:textId="77777777" w:rsidR="004E71F4" w:rsidRPr="00A3389E" w:rsidRDefault="004E71F4" w:rsidP="00155C96">
            <w:pPr>
              <w:pStyle w:val="Institutionquisigne"/>
              <w:spacing w:before="0" w:after="120"/>
              <w:rPr>
                <w:b/>
              </w:rPr>
            </w:pPr>
            <w:r w:rsidRPr="00A3389E">
              <w:rPr>
                <w:i w:val="0"/>
              </w:rPr>
              <w:t>V tomto riadku sa zverejňuje kolaterál získaný nadobudnutím vlastníctva nástrojov vlastného imania alebo dlhových nástrojov.</w:t>
            </w:r>
          </w:p>
        </w:tc>
      </w:tr>
      <w:tr w:rsidR="004E71F4" w:rsidRPr="00A3389E" w14:paraId="223F854F" w14:textId="77777777" w:rsidTr="00155C96">
        <w:trPr>
          <w:trHeight w:val="1286"/>
        </w:trPr>
        <w:tc>
          <w:tcPr>
            <w:tcW w:w="1384" w:type="dxa"/>
          </w:tcPr>
          <w:p w14:paraId="72E1E365" w14:textId="77777777" w:rsidR="004E71F4" w:rsidRPr="00A3389E" w:rsidRDefault="004E71F4" w:rsidP="00155C96">
            <w:pPr>
              <w:spacing w:after="120"/>
              <w:rPr>
                <w:rFonts w:ascii="Times New Roman" w:hAnsi="Times New Roman" w:cs="Times New Roman"/>
              </w:rPr>
            </w:pPr>
            <w:r w:rsidRPr="00A3389E">
              <w:rPr>
                <w:rFonts w:ascii="Times New Roman" w:hAnsi="Times New Roman" w:cs="Times New Roman"/>
              </w:rPr>
              <w:t>070</w:t>
            </w:r>
          </w:p>
        </w:tc>
        <w:tc>
          <w:tcPr>
            <w:tcW w:w="7655" w:type="dxa"/>
          </w:tcPr>
          <w:p w14:paraId="5EDD7E9E"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Iný kolaterál</w:t>
            </w:r>
          </w:p>
          <w:p w14:paraId="73C15074" w14:textId="77777777" w:rsidR="00A3389E" w:rsidRPr="00A3389E" w:rsidRDefault="004E71F4" w:rsidP="00155C96">
            <w:pPr>
              <w:pStyle w:val="Institutionquisigne"/>
              <w:spacing w:before="0" w:after="120"/>
              <w:rPr>
                <w:i w:val="0"/>
              </w:rPr>
            </w:pPr>
            <w:r w:rsidRPr="00A3389E">
              <w:rPr>
                <w:i w:val="0"/>
              </w:rPr>
              <w:t>Kolaterál získaný nadobudnutím vlastníctva, ktorý nepatrí do kategórií ostatných riadkov</w:t>
            </w:r>
            <w:r w:rsidR="00A3389E" w:rsidRPr="00A3389E">
              <w:rPr>
                <w:i w:val="0"/>
              </w:rPr>
              <w:t>.</w:t>
            </w:r>
          </w:p>
          <w:p w14:paraId="6B2FC257" w14:textId="169BFA81" w:rsidR="004E71F4" w:rsidRPr="00A3389E" w:rsidRDefault="004E71F4" w:rsidP="00155C96">
            <w:pPr>
              <w:pStyle w:val="Institutionquisigne"/>
              <w:spacing w:before="0" w:after="120"/>
              <w:rPr>
                <w:b/>
              </w:rPr>
            </w:pPr>
            <w:r w:rsidRPr="00A3389E">
              <w:rPr>
                <w:i w:val="0"/>
              </w:rPr>
              <w:t>Ak je suma</w:t>
            </w:r>
            <w:r w:rsidR="00A3389E">
              <w:rPr>
                <w:i w:val="0"/>
              </w:rPr>
              <w:t xml:space="preserve"> v </w:t>
            </w:r>
            <w:r w:rsidRPr="00A3389E">
              <w:rPr>
                <w:i w:val="0"/>
              </w:rPr>
              <w:t>tomto riadku pomerne významná, inštitúcie poskytujú dodatočné informácie</w:t>
            </w:r>
            <w:r w:rsidR="00A3389E">
              <w:rPr>
                <w:i w:val="0"/>
              </w:rPr>
              <w:t xml:space="preserve"> v </w:t>
            </w:r>
            <w:r w:rsidRPr="00A3389E">
              <w:rPr>
                <w:i w:val="0"/>
              </w:rPr>
              <w:t>opise sprevádzajúcom tento vzor.</w:t>
            </w:r>
          </w:p>
        </w:tc>
      </w:tr>
      <w:tr w:rsidR="004E71F4" w:rsidRPr="00A3389E" w14:paraId="283E34BE" w14:textId="77777777" w:rsidTr="00155C96">
        <w:trPr>
          <w:trHeight w:val="316"/>
        </w:trPr>
        <w:tc>
          <w:tcPr>
            <w:tcW w:w="1384" w:type="dxa"/>
          </w:tcPr>
          <w:p w14:paraId="79E9EB5B" w14:textId="77777777" w:rsidR="004E71F4" w:rsidRPr="00A3389E" w:rsidRDefault="004E71F4"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color w:val="000000"/>
                <w:sz w:val="24"/>
              </w:rPr>
              <w:t>080</w:t>
            </w:r>
          </w:p>
        </w:tc>
        <w:tc>
          <w:tcPr>
            <w:tcW w:w="7655" w:type="dxa"/>
          </w:tcPr>
          <w:p w14:paraId="1DF70316"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Spolu</w:t>
            </w:r>
          </w:p>
        </w:tc>
      </w:tr>
      <w:tr w:rsidR="004E71F4" w:rsidRPr="00A3389E" w14:paraId="67D1E4EB" w14:textId="77777777" w:rsidTr="00155C96">
        <w:trPr>
          <w:trHeight w:val="238"/>
        </w:trPr>
        <w:tc>
          <w:tcPr>
            <w:tcW w:w="9039" w:type="dxa"/>
            <w:gridSpan w:val="2"/>
            <w:shd w:val="clear" w:color="auto" w:fill="D9D9D9" w:themeFill="background1" w:themeFillShade="D9"/>
          </w:tcPr>
          <w:p w14:paraId="757A1704" w14:textId="5C21C0F4"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4E71F4" w:rsidRPr="00A3389E" w14:paraId="248EE231" w14:textId="77777777" w:rsidTr="00155C96">
        <w:trPr>
          <w:trHeight w:val="238"/>
        </w:trPr>
        <w:tc>
          <w:tcPr>
            <w:tcW w:w="1384" w:type="dxa"/>
            <w:shd w:val="clear" w:color="auto" w:fill="D9D9D9" w:themeFill="background1" w:themeFillShade="D9"/>
          </w:tcPr>
          <w:p w14:paraId="7A47FDEF"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stĺpca</w:t>
            </w:r>
          </w:p>
        </w:tc>
        <w:tc>
          <w:tcPr>
            <w:tcW w:w="7655" w:type="dxa"/>
            <w:shd w:val="clear" w:color="auto" w:fill="D9D9D9" w:themeFill="background1" w:themeFillShade="D9"/>
          </w:tcPr>
          <w:p w14:paraId="36E5AF9D" w14:textId="77777777" w:rsidR="004E71F4" w:rsidRPr="00A3389E" w:rsidRDefault="004E71F4"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4E71F4" w:rsidRPr="00A3389E" w14:paraId="14C68D76" w14:textId="77777777" w:rsidTr="00155C96">
        <w:trPr>
          <w:trHeight w:val="841"/>
        </w:trPr>
        <w:tc>
          <w:tcPr>
            <w:tcW w:w="1384" w:type="dxa"/>
          </w:tcPr>
          <w:p w14:paraId="18884892" w14:textId="77777777" w:rsidR="004E71F4" w:rsidRPr="00A3389E" w:rsidRDefault="004E71F4" w:rsidP="00155C96">
            <w:pPr>
              <w:pStyle w:val="Applicationdirecte"/>
              <w:spacing w:before="0"/>
            </w:pPr>
            <w:r w:rsidRPr="00A3389E">
              <w:lastRenderedPageBreak/>
              <w:t>a</w:t>
            </w:r>
          </w:p>
        </w:tc>
        <w:tc>
          <w:tcPr>
            <w:tcW w:w="7655" w:type="dxa"/>
          </w:tcPr>
          <w:p w14:paraId="3F54C98D" w14:textId="77777777" w:rsidR="004E71F4" w:rsidRPr="00A3389E" w:rsidRDefault="004E71F4" w:rsidP="00155C96">
            <w:pPr>
              <w:pStyle w:val="Institutionquisigne"/>
              <w:spacing w:before="0" w:after="120"/>
              <w:rPr>
                <w:rFonts w:eastAsiaTheme="minorEastAsia"/>
                <w:b/>
                <w:i w:val="0"/>
              </w:rPr>
            </w:pPr>
            <w:r w:rsidRPr="00A3389E">
              <w:rPr>
                <w:b/>
                <w:i w:val="0"/>
              </w:rPr>
              <w:t>Zníženie zostatku dlhu – hrubá účtovná hodnota</w:t>
            </w:r>
          </w:p>
          <w:p w14:paraId="32C50F20" w14:textId="274BF261" w:rsidR="004E71F4" w:rsidRPr="00A3389E" w:rsidRDefault="004E71F4" w:rsidP="00155C96">
            <w:pPr>
              <w:pStyle w:val="Institutionquisigne"/>
              <w:spacing w:before="0" w:after="120"/>
              <w:rPr>
                <w:i w:val="0"/>
              </w:rPr>
            </w:pPr>
            <w:r w:rsidRPr="00A3389E">
              <w:rPr>
                <w:i w:val="0"/>
              </w:rPr>
              <w:t>Hrubá suma dlhu, ktorý bol zrušený výmenou za kolaterál získaný nadobudnutím vlastníctva,</w:t>
            </w:r>
            <w:r w:rsidR="00A3389E">
              <w:rPr>
                <w:i w:val="0"/>
              </w:rPr>
              <w:t xml:space="preserve"> v </w:t>
            </w:r>
            <w:r w:rsidRPr="00A3389E">
              <w:rPr>
                <w:i w:val="0"/>
              </w:rPr>
              <w:t>presnom okamihu výmeny, prostredníctvom súdnych konaní alebo dvojstrannej dohody.</w:t>
            </w:r>
          </w:p>
          <w:p w14:paraId="4CE1FD7D" w14:textId="282FF332" w:rsidR="004E71F4" w:rsidRPr="00A3389E" w:rsidRDefault="004E71F4" w:rsidP="00155C96">
            <w:pPr>
              <w:pStyle w:val="Institutionquisigne"/>
              <w:spacing w:before="0" w:after="120"/>
            </w:pPr>
            <w:r w:rsidRPr="00A3389E">
              <w:rPr>
                <w:i w:val="0"/>
              </w:rPr>
              <w:t>Hrubá suma sa vypočítava ako hrubé zníženie zostatku nástroja, pričom sa nezohľadňujú žiadne rezervy. Aby sa predišlo pochybnostiam, zníženia zostatku</w:t>
            </w:r>
            <w:r w:rsidR="00A3389E">
              <w:rPr>
                <w:i w:val="0"/>
              </w:rPr>
              <w:t xml:space="preserve"> z </w:t>
            </w:r>
            <w:r w:rsidRPr="00A3389E">
              <w:rPr>
                <w:i w:val="0"/>
              </w:rPr>
              <w:t>iných dôvodov (napr. výber hotovosti) sa</w:t>
            </w:r>
            <w:r w:rsidR="00A3389E">
              <w:rPr>
                <w:i w:val="0"/>
              </w:rPr>
              <w:t xml:space="preserve"> v </w:t>
            </w:r>
            <w:r w:rsidRPr="00A3389E">
              <w:rPr>
                <w:i w:val="0"/>
              </w:rPr>
              <w:t>tomto stĺpci neuvádzajú.</w:t>
            </w:r>
          </w:p>
        </w:tc>
      </w:tr>
      <w:tr w:rsidR="004E71F4" w:rsidRPr="00A3389E" w14:paraId="2A837B98" w14:textId="77777777" w:rsidTr="00155C96">
        <w:trPr>
          <w:trHeight w:val="841"/>
        </w:trPr>
        <w:tc>
          <w:tcPr>
            <w:tcW w:w="1384" w:type="dxa"/>
          </w:tcPr>
          <w:p w14:paraId="202DB4AC" w14:textId="77777777" w:rsidR="004E71F4" w:rsidRPr="00A3389E" w:rsidRDefault="004E71F4" w:rsidP="00155C96">
            <w:pPr>
              <w:pStyle w:val="Applicationdirecte"/>
              <w:spacing w:before="0"/>
            </w:pPr>
            <w:r w:rsidRPr="00A3389E">
              <w:t>b</w:t>
            </w:r>
          </w:p>
        </w:tc>
        <w:tc>
          <w:tcPr>
            <w:tcW w:w="7655" w:type="dxa"/>
          </w:tcPr>
          <w:p w14:paraId="1478E4EE" w14:textId="77777777" w:rsidR="004E71F4" w:rsidRPr="00A3389E" w:rsidRDefault="004E71F4" w:rsidP="00155C96">
            <w:pPr>
              <w:pStyle w:val="Institutionquisigne"/>
              <w:spacing w:before="0" w:after="120"/>
              <w:rPr>
                <w:b/>
                <w:i w:val="0"/>
              </w:rPr>
            </w:pPr>
            <w:r w:rsidRPr="00A3389E">
              <w:rPr>
                <w:b/>
                <w:i w:val="0"/>
              </w:rPr>
              <w:t>Zníženie zostatku dlhu – akumulované záporné zmeny</w:t>
            </w:r>
          </w:p>
          <w:p w14:paraId="7CF34C02" w14:textId="5F2F9637" w:rsidR="004E71F4" w:rsidRPr="00A3389E" w:rsidRDefault="004E71F4" w:rsidP="00155C96">
            <w:pPr>
              <w:pStyle w:val="Institutionquisigne"/>
              <w:spacing w:before="0" w:after="120"/>
              <w:rPr>
                <w:i w:val="0"/>
              </w:rPr>
            </w:pPr>
            <w:r w:rsidRPr="00A3389E">
              <w:rPr>
                <w:i w:val="0"/>
              </w:rPr>
              <w:t>Akumulované zníženie hodnoty alebo akumulované záporné zmeny, pokiaľ ide</w:t>
            </w:r>
            <w:r w:rsidR="00A3389E">
              <w:rPr>
                <w:i w:val="0"/>
              </w:rPr>
              <w:t xml:space="preserve"> o </w:t>
            </w:r>
            <w:r w:rsidRPr="00A3389E">
              <w:rPr>
                <w:i w:val="0"/>
              </w:rPr>
              <w:t>hodnotu pri prvotnom vykázaní kolaterálu získaného nadobudnutím vlastníctva, ako je opísané vyššie.</w:t>
            </w:r>
          </w:p>
          <w:p w14:paraId="1CB7E8DB" w14:textId="55D1A28A" w:rsidR="004E71F4" w:rsidRPr="00A3389E" w:rsidRDefault="004E71F4" w:rsidP="00155C96">
            <w:pPr>
              <w:pStyle w:val="Institutionquisigne"/>
              <w:spacing w:before="0" w:after="120"/>
              <w:rPr>
                <w:i w:val="0"/>
              </w:rPr>
            </w:pPr>
            <w:r w:rsidRPr="00A3389E">
              <w:rPr>
                <w:i w:val="0"/>
              </w:rPr>
              <w:t>Pozri vymedzenie vo vzore CQ7, „Kolaterál získaný nadobudnutím vlastníctva</w:t>
            </w:r>
            <w:r w:rsidR="00A3389E">
              <w:rPr>
                <w:i w:val="0"/>
              </w:rPr>
              <w:t xml:space="preserve"> a </w:t>
            </w:r>
            <w:r w:rsidRPr="00A3389E">
              <w:rPr>
                <w:i w:val="0"/>
              </w:rPr>
              <w:t>exekúciami“.</w:t>
            </w:r>
          </w:p>
          <w:p w14:paraId="566CE469" w14:textId="77D839E1" w:rsidR="004E71F4" w:rsidRPr="00A3389E" w:rsidRDefault="004E71F4" w:rsidP="00155C96">
            <w:pPr>
              <w:pStyle w:val="Institutionquisigne"/>
              <w:spacing w:before="0" w:after="120"/>
            </w:pPr>
            <w:r w:rsidRPr="00A3389E">
              <w:rPr>
                <w:i w:val="0"/>
              </w:rPr>
              <w:t>Inštitúcie zahrnú akumulované záporné zmeny</w:t>
            </w:r>
            <w:r w:rsidR="00A3389E">
              <w:rPr>
                <w:i w:val="0"/>
              </w:rPr>
              <w:t xml:space="preserve"> z </w:t>
            </w:r>
            <w:r w:rsidRPr="00A3389E">
              <w:rPr>
                <w:i w:val="0"/>
              </w:rPr>
              <w:t>dôvodu amortizácie</w:t>
            </w:r>
            <w:r w:rsidR="00A3389E">
              <w:rPr>
                <w:i w:val="0"/>
              </w:rPr>
              <w:t xml:space="preserve"> v </w:t>
            </w:r>
            <w:r w:rsidRPr="00A3389E">
              <w:rPr>
                <w:i w:val="0"/>
              </w:rPr>
              <w:t>prípade PP&amp;E</w:t>
            </w:r>
            <w:r w:rsidR="00A3389E">
              <w:rPr>
                <w:i w:val="0"/>
              </w:rPr>
              <w:t xml:space="preserve"> a </w:t>
            </w:r>
            <w:r w:rsidRPr="00A3389E">
              <w:rPr>
                <w:i w:val="0"/>
              </w:rPr>
              <w:t>prípadne investičného nehnuteľného majetku.</w:t>
            </w:r>
          </w:p>
        </w:tc>
      </w:tr>
      <w:tr w:rsidR="004E71F4" w:rsidRPr="00A3389E" w14:paraId="2867ED39" w14:textId="77777777" w:rsidTr="00155C96">
        <w:trPr>
          <w:trHeight w:val="841"/>
        </w:trPr>
        <w:tc>
          <w:tcPr>
            <w:tcW w:w="1384" w:type="dxa"/>
          </w:tcPr>
          <w:p w14:paraId="11293BD5" w14:textId="77777777" w:rsidR="004E71F4" w:rsidRPr="00A3389E" w:rsidRDefault="004E71F4" w:rsidP="00155C96">
            <w:pPr>
              <w:pStyle w:val="Applicationdirecte"/>
              <w:spacing w:before="0"/>
            </w:pPr>
            <w:r w:rsidRPr="00A3389E">
              <w:t>c</w:t>
            </w:r>
          </w:p>
        </w:tc>
        <w:tc>
          <w:tcPr>
            <w:tcW w:w="7655" w:type="dxa"/>
          </w:tcPr>
          <w:p w14:paraId="75E90409" w14:textId="77777777" w:rsidR="004E71F4" w:rsidRPr="00A3389E" w:rsidRDefault="004E71F4" w:rsidP="00155C96">
            <w:pPr>
              <w:pStyle w:val="Institutionquisigne"/>
              <w:spacing w:before="0" w:after="120"/>
              <w:rPr>
                <w:b/>
                <w:i w:val="0"/>
              </w:rPr>
            </w:pPr>
            <w:r w:rsidRPr="00A3389E">
              <w:rPr>
                <w:b/>
                <w:i w:val="0"/>
              </w:rPr>
              <w:t>Celkový kolaterál získaný nadobudnutím vlastníctva – hodnota pri prvotnom vykázaní</w:t>
            </w:r>
          </w:p>
          <w:p w14:paraId="074CCD2D" w14:textId="497B5F40" w:rsidR="004E71F4" w:rsidRPr="00A3389E" w:rsidRDefault="004E71F4" w:rsidP="00155C96">
            <w:pPr>
              <w:pStyle w:val="Institutionquisigne"/>
              <w:spacing w:before="0" w:after="120"/>
              <w:rPr>
                <w:b/>
                <w:i w:val="0"/>
              </w:rPr>
            </w:pPr>
            <w:r w:rsidRPr="00A3389E">
              <w:rPr>
                <w:i w:val="0"/>
              </w:rPr>
              <w:t>V tomto stĺpci sa zverejňuje hrubá účtovná hodnota kolaterálu získaného nadobudnutím vlastníctva pri prvotnom vykázaní</w:t>
            </w:r>
            <w:r w:rsidR="00A3389E">
              <w:rPr>
                <w:i w:val="0"/>
              </w:rPr>
              <w:t xml:space="preserve"> v </w:t>
            </w:r>
            <w:r w:rsidRPr="00A3389E">
              <w:rPr>
                <w:i w:val="0"/>
              </w:rPr>
              <w:t>súvahe inštitúcie.</w:t>
            </w:r>
          </w:p>
        </w:tc>
      </w:tr>
      <w:tr w:rsidR="004E71F4" w:rsidRPr="00A3389E" w14:paraId="5135AB5A" w14:textId="77777777" w:rsidTr="00155C96">
        <w:trPr>
          <w:trHeight w:val="841"/>
        </w:trPr>
        <w:tc>
          <w:tcPr>
            <w:tcW w:w="1384" w:type="dxa"/>
          </w:tcPr>
          <w:p w14:paraId="36046E30" w14:textId="77777777" w:rsidR="004E71F4" w:rsidRPr="00A3389E" w:rsidRDefault="004E71F4" w:rsidP="00155C96">
            <w:pPr>
              <w:pStyle w:val="Applicationdirecte"/>
              <w:spacing w:before="0"/>
            </w:pPr>
            <w:r w:rsidRPr="00A3389E">
              <w:t>d</w:t>
            </w:r>
          </w:p>
        </w:tc>
        <w:tc>
          <w:tcPr>
            <w:tcW w:w="7655" w:type="dxa"/>
          </w:tcPr>
          <w:p w14:paraId="6303F00B" w14:textId="77777777" w:rsidR="004E71F4" w:rsidRPr="00A3389E" w:rsidRDefault="004E71F4" w:rsidP="00155C96">
            <w:pPr>
              <w:pStyle w:val="Institutionquisigne"/>
              <w:spacing w:before="0" w:after="120"/>
              <w:rPr>
                <w:b/>
                <w:i w:val="0"/>
              </w:rPr>
            </w:pPr>
            <w:r w:rsidRPr="00A3389E">
              <w:rPr>
                <w:b/>
                <w:i w:val="0"/>
              </w:rPr>
              <w:t>Celkový kolaterál získaný nadobudnutím vlastníctva – akumulované záporné zmeny</w:t>
            </w:r>
          </w:p>
          <w:p w14:paraId="4017A7DB" w14:textId="5D209687" w:rsidR="00A3389E" w:rsidRPr="00A3389E" w:rsidRDefault="004E71F4" w:rsidP="00155C96">
            <w:pPr>
              <w:pStyle w:val="Institutionquisigne"/>
              <w:spacing w:before="0" w:after="120"/>
              <w:rPr>
                <w:i w:val="0"/>
              </w:rPr>
            </w:pPr>
            <w:r w:rsidRPr="00A3389E">
              <w:rPr>
                <w:i w:val="0"/>
              </w:rPr>
              <w:t>Akumulované zníženie hodnoty alebo akumulované záporné zmeny, pokiaľ ide</w:t>
            </w:r>
            <w:r w:rsidR="00A3389E">
              <w:rPr>
                <w:i w:val="0"/>
              </w:rPr>
              <w:t xml:space="preserve"> o </w:t>
            </w:r>
            <w:r w:rsidRPr="00A3389E">
              <w:rPr>
                <w:i w:val="0"/>
              </w:rPr>
              <w:t>hodnotu pri prvotnom vykázaní kolaterálu získaného nadobudnutím vlastníctva, ako je opísané vyššie</w:t>
            </w:r>
            <w:r w:rsidR="00A3389E" w:rsidRPr="00A3389E">
              <w:rPr>
                <w:i w:val="0"/>
              </w:rPr>
              <w:t>.</w:t>
            </w:r>
          </w:p>
          <w:p w14:paraId="4CA0D5C4" w14:textId="2C77E7F0" w:rsidR="004E71F4" w:rsidRPr="00A3389E" w:rsidRDefault="004E71F4" w:rsidP="00155C96">
            <w:pPr>
              <w:pStyle w:val="Institutionquisigne"/>
              <w:spacing w:before="0" w:after="120"/>
            </w:pPr>
            <w:r w:rsidRPr="00A3389E">
              <w:rPr>
                <w:i w:val="0"/>
              </w:rPr>
              <w:t>Inštitúcie zahrnú akumulované záporné zmeny</w:t>
            </w:r>
            <w:r w:rsidR="00A3389E">
              <w:rPr>
                <w:i w:val="0"/>
              </w:rPr>
              <w:t xml:space="preserve"> z </w:t>
            </w:r>
            <w:r w:rsidRPr="00A3389E">
              <w:rPr>
                <w:i w:val="0"/>
              </w:rPr>
              <w:t>dôvodu amortizácie</w:t>
            </w:r>
            <w:r w:rsidR="00A3389E">
              <w:rPr>
                <w:i w:val="0"/>
              </w:rPr>
              <w:t xml:space="preserve"> v </w:t>
            </w:r>
            <w:r w:rsidRPr="00A3389E">
              <w:rPr>
                <w:i w:val="0"/>
              </w:rPr>
              <w:t>prípade PP&amp;E</w:t>
            </w:r>
            <w:r w:rsidR="00A3389E">
              <w:rPr>
                <w:i w:val="0"/>
              </w:rPr>
              <w:t xml:space="preserve"> a </w:t>
            </w:r>
            <w:r w:rsidRPr="00A3389E">
              <w:rPr>
                <w:i w:val="0"/>
              </w:rPr>
              <w:t>prípadne investičného nehnuteľného majetku.</w:t>
            </w:r>
          </w:p>
        </w:tc>
      </w:tr>
      <w:tr w:rsidR="004E71F4" w:rsidRPr="00A3389E" w14:paraId="4813D4EB" w14:textId="77777777" w:rsidTr="00155C96">
        <w:trPr>
          <w:trHeight w:val="841"/>
        </w:trPr>
        <w:tc>
          <w:tcPr>
            <w:tcW w:w="1384" w:type="dxa"/>
          </w:tcPr>
          <w:p w14:paraId="12FB6BCC" w14:textId="77777777" w:rsidR="004E71F4" w:rsidRPr="00A3389E" w:rsidRDefault="004E71F4" w:rsidP="00155C96">
            <w:pPr>
              <w:pStyle w:val="Applicationdirecte"/>
              <w:spacing w:before="0"/>
            </w:pPr>
            <w:r w:rsidRPr="00A3389E">
              <w:t>e</w:t>
            </w:r>
          </w:p>
        </w:tc>
        <w:tc>
          <w:tcPr>
            <w:tcW w:w="7655" w:type="dxa"/>
          </w:tcPr>
          <w:p w14:paraId="73E340E5" w14:textId="45ECB6E5" w:rsidR="00A3389E" w:rsidRPr="00A3389E" w:rsidRDefault="004E71F4" w:rsidP="00155C96">
            <w:pPr>
              <w:pStyle w:val="Institutionquisigne"/>
              <w:spacing w:before="0" w:after="120"/>
              <w:rPr>
                <w:b/>
                <w:i w:val="0"/>
              </w:rPr>
            </w:pPr>
            <w:r w:rsidRPr="00A3389E">
              <w:rPr>
                <w:b/>
                <w:i w:val="0"/>
              </w:rPr>
              <w:t>Celkový kolaterál získaný nadobudnutím vlastníctva – zabavený ≤ 2 roky –</w:t>
            </w:r>
            <w:r w:rsidR="00A3389E">
              <w:rPr>
                <w:b/>
                <w:i w:val="0"/>
              </w:rPr>
              <w:t xml:space="preserve"> z </w:t>
            </w:r>
            <w:r w:rsidRPr="00A3389E">
              <w:rPr>
                <w:b/>
                <w:i w:val="0"/>
              </w:rPr>
              <w:t>čoho hodnota pri prvotnom vykázaní</w:t>
            </w:r>
          </w:p>
          <w:p w14:paraId="417F34A7" w14:textId="7FEA3377" w:rsidR="004E71F4" w:rsidRPr="00A3389E" w:rsidRDefault="004E71F4" w:rsidP="00155C96">
            <w:pPr>
              <w:pStyle w:val="Institutionquisigne"/>
              <w:spacing w:before="0" w:after="120"/>
              <w:rPr>
                <w:i w:val="0"/>
              </w:rPr>
            </w:pPr>
            <w:r w:rsidRPr="00A3389E">
              <w:rPr>
                <w:i w:val="0"/>
              </w:rPr>
              <w:t>Hodnota pri prvotnom vykázaní kolaterálu získaného nadobudnutím vlastníctva</w:t>
            </w:r>
            <w:r w:rsidR="00A3389E">
              <w:rPr>
                <w:i w:val="0"/>
              </w:rPr>
              <w:t xml:space="preserve"> a </w:t>
            </w:r>
            <w:r w:rsidRPr="00A3389E">
              <w:rPr>
                <w:i w:val="0"/>
              </w:rPr>
              <w:t>vykazovaného</w:t>
            </w:r>
            <w:r w:rsidR="00A3389E">
              <w:rPr>
                <w:i w:val="0"/>
              </w:rPr>
              <w:t xml:space="preserve"> v </w:t>
            </w:r>
            <w:r w:rsidRPr="00A3389E">
              <w:rPr>
                <w:i w:val="0"/>
              </w:rPr>
              <w:t>súvahe počas dvoch rokov alebo menej</w:t>
            </w:r>
            <w:r w:rsidR="00A3389E">
              <w:rPr>
                <w:i w:val="0"/>
              </w:rPr>
              <w:t xml:space="preserve"> k </w:t>
            </w:r>
            <w:r w:rsidRPr="00A3389E">
              <w:rPr>
                <w:i w:val="0"/>
              </w:rPr>
              <w:t>referenčnému dátumu vykazovania.</w:t>
            </w:r>
          </w:p>
        </w:tc>
      </w:tr>
      <w:tr w:rsidR="004E71F4" w:rsidRPr="00A3389E" w14:paraId="196048A5" w14:textId="77777777" w:rsidTr="00155C96">
        <w:trPr>
          <w:trHeight w:val="841"/>
        </w:trPr>
        <w:tc>
          <w:tcPr>
            <w:tcW w:w="1384" w:type="dxa"/>
          </w:tcPr>
          <w:p w14:paraId="3BDC0494" w14:textId="77777777" w:rsidR="004E71F4" w:rsidRPr="00A3389E" w:rsidRDefault="004E71F4" w:rsidP="00155C96">
            <w:pPr>
              <w:pStyle w:val="Applicationdirecte"/>
              <w:spacing w:before="0"/>
            </w:pPr>
            <w:r w:rsidRPr="00A3389E">
              <w:t>f</w:t>
            </w:r>
          </w:p>
        </w:tc>
        <w:tc>
          <w:tcPr>
            <w:tcW w:w="7655" w:type="dxa"/>
          </w:tcPr>
          <w:p w14:paraId="02A86701" w14:textId="6DB1D640" w:rsidR="004E71F4" w:rsidRPr="00A3389E" w:rsidRDefault="004E71F4" w:rsidP="00155C96">
            <w:pPr>
              <w:pStyle w:val="Institutionquisigne"/>
              <w:spacing w:before="0" w:after="120"/>
              <w:rPr>
                <w:b/>
                <w:i w:val="0"/>
              </w:rPr>
            </w:pPr>
            <w:r w:rsidRPr="00A3389E">
              <w:rPr>
                <w:b/>
                <w:i w:val="0"/>
              </w:rPr>
              <w:t>Celkový kolaterál získaný nadobudnutím vlastníctva – zabavený ≤ 2 roky –</w:t>
            </w:r>
            <w:r w:rsidR="00A3389E">
              <w:rPr>
                <w:b/>
                <w:i w:val="0"/>
              </w:rPr>
              <w:t xml:space="preserve"> z </w:t>
            </w:r>
            <w:r w:rsidRPr="00A3389E">
              <w:rPr>
                <w:b/>
                <w:i w:val="0"/>
              </w:rPr>
              <w:t>čoho akumulované záporné zmeny</w:t>
            </w:r>
          </w:p>
          <w:p w14:paraId="11843E8C" w14:textId="6DF06F34" w:rsidR="004E71F4" w:rsidRPr="00A3389E" w:rsidRDefault="004E71F4" w:rsidP="00155C96">
            <w:pPr>
              <w:pStyle w:val="Institutionquisigne"/>
              <w:spacing w:before="0" w:after="120"/>
            </w:pPr>
            <w:r w:rsidRPr="00A3389E">
              <w:rPr>
                <w:i w:val="0"/>
              </w:rPr>
              <w:t>Akumulované záporné zmeny kolaterálu získaného nadobudnutím vlastníctva</w:t>
            </w:r>
            <w:r w:rsidR="00A3389E">
              <w:rPr>
                <w:i w:val="0"/>
              </w:rPr>
              <w:t xml:space="preserve"> a </w:t>
            </w:r>
            <w:r w:rsidRPr="00A3389E">
              <w:rPr>
                <w:i w:val="0"/>
              </w:rPr>
              <w:t>vykazovaného</w:t>
            </w:r>
            <w:r w:rsidR="00A3389E">
              <w:rPr>
                <w:i w:val="0"/>
              </w:rPr>
              <w:t xml:space="preserve"> v </w:t>
            </w:r>
            <w:r w:rsidRPr="00A3389E">
              <w:rPr>
                <w:i w:val="0"/>
              </w:rPr>
              <w:t>súvahe počas dvoch rokov alebo menej</w:t>
            </w:r>
            <w:r w:rsidR="00A3389E">
              <w:rPr>
                <w:i w:val="0"/>
              </w:rPr>
              <w:t xml:space="preserve"> k </w:t>
            </w:r>
            <w:r w:rsidRPr="00A3389E">
              <w:rPr>
                <w:i w:val="0"/>
              </w:rPr>
              <w:t>referenčnému dátumu vykazovania.</w:t>
            </w:r>
          </w:p>
        </w:tc>
      </w:tr>
      <w:tr w:rsidR="004E71F4" w:rsidRPr="00A3389E" w14:paraId="4B75CE28" w14:textId="77777777" w:rsidTr="00155C96">
        <w:trPr>
          <w:trHeight w:val="841"/>
        </w:trPr>
        <w:tc>
          <w:tcPr>
            <w:tcW w:w="1384" w:type="dxa"/>
          </w:tcPr>
          <w:p w14:paraId="1DCFACDF" w14:textId="77777777" w:rsidR="004E71F4" w:rsidRPr="00A3389E" w:rsidRDefault="004E71F4" w:rsidP="00155C96">
            <w:pPr>
              <w:pStyle w:val="Applicationdirecte"/>
              <w:spacing w:before="0"/>
            </w:pPr>
            <w:r w:rsidRPr="00A3389E">
              <w:lastRenderedPageBreak/>
              <w:t>g</w:t>
            </w:r>
          </w:p>
        </w:tc>
        <w:tc>
          <w:tcPr>
            <w:tcW w:w="7655" w:type="dxa"/>
          </w:tcPr>
          <w:p w14:paraId="018A4946" w14:textId="5F9334F5" w:rsidR="00A3389E" w:rsidRPr="00A3389E" w:rsidRDefault="004E71F4" w:rsidP="00155C96">
            <w:pPr>
              <w:pStyle w:val="Institutionquisigne"/>
              <w:spacing w:before="0" w:after="120"/>
              <w:rPr>
                <w:b/>
                <w:i w:val="0"/>
              </w:rPr>
            </w:pPr>
            <w:r w:rsidRPr="00A3389E">
              <w:rPr>
                <w:b/>
                <w:i w:val="0"/>
              </w:rPr>
              <w:t>Celkový kolaterál získaný nadobudnutím vlastníctva – zabavený &gt; 2 roky ≤ 5 rokov –</w:t>
            </w:r>
            <w:r w:rsidR="00A3389E">
              <w:rPr>
                <w:b/>
                <w:i w:val="0"/>
              </w:rPr>
              <w:t xml:space="preserve"> z </w:t>
            </w:r>
            <w:r w:rsidRPr="00A3389E">
              <w:rPr>
                <w:b/>
                <w:i w:val="0"/>
              </w:rPr>
              <w:t>čoho hodnota pri prvotnom vykázaní</w:t>
            </w:r>
          </w:p>
          <w:p w14:paraId="650D54A9" w14:textId="2855A043" w:rsidR="004E71F4" w:rsidRPr="00A3389E" w:rsidRDefault="004E71F4" w:rsidP="00155C96">
            <w:pPr>
              <w:pStyle w:val="Institutionquisigne"/>
              <w:spacing w:before="0" w:after="120"/>
              <w:rPr>
                <w:b/>
                <w:i w:val="0"/>
              </w:rPr>
            </w:pPr>
            <w:r w:rsidRPr="00A3389E">
              <w:rPr>
                <w:i w:val="0"/>
              </w:rPr>
              <w:t>Hodnota pri prvotnom vykázaní kolaterálu získaného nadobudnutím vlastníctva</w:t>
            </w:r>
            <w:r w:rsidR="00A3389E">
              <w:rPr>
                <w:i w:val="0"/>
              </w:rPr>
              <w:t xml:space="preserve"> a </w:t>
            </w:r>
            <w:r w:rsidRPr="00A3389E">
              <w:rPr>
                <w:i w:val="0"/>
              </w:rPr>
              <w:t>vykazovaného</w:t>
            </w:r>
            <w:r w:rsidR="00A3389E">
              <w:rPr>
                <w:i w:val="0"/>
              </w:rPr>
              <w:t xml:space="preserve"> v </w:t>
            </w:r>
            <w:r w:rsidRPr="00A3389E">
              <w:rPr>
                <w:i w:val="0"/>
              </w:rPr>
              <w:t>súvahe počas viac než dvoch rokov, ale najviac piatich rokov</w:t>
            </w:r>
            <w:r w:rsidR="00A3389E">
              <w:rPr>
                <w:i w:val="0"/>
              </w:rPr>
              <w:t xml:space="preserve"> k </w:t>
            </w:r>
            <w:r w:rsidRPr="00A3389E">
              <w:rPr>
                <w:i w:val="0"/>
              </w:rPr>
              <w:t>referenčnému dátumu vykazovania.</w:t>
            </w:r>
          </w:p>
        </w:tc>
      </w:tr>
      <w:tr w:rsidR="004E71F4" w:rsidRPr="00A3389E" w14:paraId="79BDEC9D" w14:textId="77777777" w:rsidTr="00155C96">
        <w:trPr>
          <w:trHeight w:val="841"/>
        </w:trPr>
        <w:tc>
          <w:tcPr>
            <w:tcW w:w="1384" w:type="dxa"/>
          </w:tcPr>
          <w:p w14:paraId="0172AA8E" w14:textId="77777777" w:rsidR="004E71F4" w:rsidRPr="00A3389E" w:rsidRDefault="004E71F4" w:rsidP="00155C96">
            <w:pPr>
              <w:pStyle w:val="Applicationdirecte"/>
              <w:spacing w:before="0"/>
            </w:pPr>
            <w:r w:rsidRPr="00A3389E">
              <w:t>h</w:t>
            </w:r>
          </w:p>
        </w:tc>
        <w:tc>
          <w:tcPr>
            <w:tcW w:w="7655" w:type="dxa"/>
          </w:tcPr>
          <w:p w14:paraId="2705AAC8" w14:textId="602F3E78" w:rsidR="004E71F4" w:rsidRPr="00A3389E" w:rsidRDefault="004E71F4" w:rsidP="00155C96">
            <w:pPr>
              <w:pStyle w:val="Institutionquisigne"/>
              <w:spacing w:before="0" w:after="120"/>
              <w:rPr>
                <w:b/>
                <w:i w:val="0"/>
              </w:rPr>
            </w:pPr>
            <w:r w:rsidRPr="00A3389E">
              <w:rPr>
                <w:b/>
                <w:i w:val="0"/>
              </w:rPr>
              <w:t>Celkový kolaterál získaný nadobudnutím vlastníctva – zabavený &gt; 2 roky ≤ 5 rokov –</w:t>
            </w:r>
            <w:r w:rsidR="00A3389E">
              <w:rPr>
                <w:b/>
                <w:i w:val="0"/>
              </w:rPr>
              <w:t xml:space="preserve"> z </w:t>
            </w:r>
            <w:r w:rsidRPr="00A3389E">
              <w:rPr>
                <w:b/>
                <w:i w:val="0"/>
              </w:rPr>
              <w:t>čoho akumulované záporné zmeny</w:t>
            </w:r>
          </w:p>
          <w:p w14:paraId="1F75800B" w14:textId="1A88CB08" w:rsidR="004E71F4" w:rsidRPr="00A3389E" w:rsidRDefault="004E71F4" w:rsidP="00155C96">
            <w:pPr>
              <w:pStyle w:val="Institutionquisigne"/>
              <w:spacing w:before="0" w:after="120"/>
            </w:pPr>
            <w:r w:rsidRPr="00A3389E">
              <w:rPr>
                <w:i w:val="0"/>
              </w:rPr>
              <w:t>Akumulované záporné zmeny kolaterálu získaného nadobudnutím vlastníctva</w:t>
            </w:r>
            <w:r w:rsidR="00A3389E">
              <w:rPr>
                <w:i w:val="0"/>
              </w:rPr>
              <w:t xml:space="preserve"> a </w:t>
            </w:r>
            <w:r w:rsidRPr="00A3389E">
              <w:rPr>
                <w:i w:val="0"/>
              </w:rPr>
              <w:t>vykazovaného</w:t>
            </w:r>
            <w:r w:rsidR="00A3389E">
              <w:rPr>
                <w:i w:val="0"/>
              </w:rPr>
              <w:t xml:space="preserve"> v </w:t>
            </w:r>
            <w:r w:rsidRPr="00A3389E">
              <w:rPr>
                <w:i w:val="0"/>
              </w:rPr>
              <w:t>súvahe počas viac než dvoch rokov, ale najviac piatich rokov</w:t>
            </w:r>
            <w:r w:rsidR="00A3389E">
              <w:rPr>
                <w:i w:val="0"/>
              </w:rPr>
              <w:t xml:space="preserve"> k </w:t>
            </w:r>
            <w:r w:rsidRPr="00A3389E">
              <w:rPr>
                <w:i w:val="0"/>
              </w:rPr>
              <w:t>referenčnému dátumu vykazovania.</w:t>
            </w:r>
          </w:p>
        </w:tc>
      </w:tr>
      <w:tr w:rsidR="004E71F4" w:rsidRPr="00A3389E" w14:paraId="7F1CB134" w14:textId="77777777" w:rsidTr="00155C96">
        <w:trPr>
          <w:trHeight w:val="841"/>
        </w:trPr>
        <w:tc>
          <w:tcPr>
            <w:tcW w:w="1384" w:type="dxa"/>
          </w:tcPr>
          <w:p w14:paraId="062B3797" w14:textId="77777777" w:rsidR="004E71F4" w:rsidRPr="00A3389E" w:rsidRDefault="004E71F4" w:rsidP="00155C96">
            <w:pPr>
              <w:pStyle w:val="Applicationdirecte"/>
              <w:spacing w:before="0"/>
            </w:pPr>
            <w:r w:rsidRPr="00A3389E">
              <w:t>i</w:t>
            </w:r>
          </w:p>
        </w:tc>
        <w:tc>
          <w:tcPr>
            <w:tcW w:w="7655" w:type="dxa"/>
          </w:tcPr>
          <w:p w14:paraId="430050FB" w14:textId="332547F8" w:rsidR="004E71F4" w:rsidRPr="00A3389E" w:rsidRDefault="004E71F4" w:rsidP="00155C96">
            <w:pPr>
              <w:pStyle w:val="Institutionquisigne"/>
              <w:spacing w:before="0" w:after="120"/>
              <w:rPr>
                <w:b/>
                <w:i w:val="0"/>
              </w:rPr>
            </w:pPr>
            <w:r w:rsidRPr="00A3389E">
              <w:rPr>
                <w:b/>
                <w:i w:val="0"/>
              </w:rPr>
              <w:t>Celkový kolaterál získaný nadobudnutím vlastníctva – zabavený &gt; 5 rokov –</w:t>
            </w:r>
            <w:r w:rsidR="00A3389E">
              <w:rPr>
                <w:b/>
                <w:i w:val="0"/>
              </w:rPr>
              <w:t xml:space="preserve"> z </w:t>
            </w:r>
            <w:r w:rsidRPr="00A3389E">
              <w:rPr>
                <w:b/>
                <w:i w:val="0"/>
              </w:rPr>
              <w:t>čoho hodnota pri prvotnom vykázaní</w:t>
            </w:r>
          </w:p>
          <w:p w14:paraId="7E2F7EB4" w14:textId="4A9A8F5B" w:rsidR="004E71F4" w:rsidRPr="00A3389E" w:rsidRDefault="004E71F4" w:rsidP="00155C96">
            <w:pPr>
              <w:pStyle w:val="Institutionquisigne"/>
              <w:spacing w:before="0" w:after="120"/>
              <w:rPr>
                <w:b/>
                <w:i w:val="0"/>
              </w:rPr>
            </w:pPr>
            <w:r w:rsidRPr="00A3389E">
              <w:rPr>
                <w:i w:val="0"/>
              </w:rPr>
              <w:t>Hodnota pri prvotnom vykázaní kolaterálu získaného nadobudnutím vlastníctva</w:t>
            </w:r>
            <w:r w:rsidR="00A3389E">
              <w:rPr>
                <w:i w:val="0"/>
              </w:rPr>
              <w:t xml:space="preserve"> a </w:t>
            </w:r>
            <w:r w:rsidRPr="00A3389E">
              <w:rPr>
                <w:i w:val="0"/>
              </w:rPr>
              <w:t>vykazovaného</w:t>
            </w:r>
            <w:r w:rsidR="00A3389E">
              <w:rPr>
                <w:i w:val="0"/>
              </w:rPr>
              <w:t xml:space="preserve"> v </w:t>
            </w:r>
            <w:r w:rsidRPr="00A3389E">
              <w:rPr>
                <w:i w:val="0"/>
              </w:rPr>
              <w:t>súvahe počas viac než piatich rokov</w:t>
            </w:r>
            <w:r w:rsidR="00A3389E">
              <w:rPr>
                <w:i w:val="0"/>
              </w:rPr>
              <w:t xml:space="preserve"> k </w:t>
            </w:r>
            <w:r w:rsidRPr="00A3389E">
              <w:rPr>
                <w:i w:val="0"/>
              </w:rPr>
              <w:t>referenčnému dátumu vykazovania.</w:t>
            </w:r>
          </w:p>
        </w:tc>
      </w:tr>
      <w:tr w:rsidR="004E71F4" w:rsidRPr="00A3389E" w14:paraId="6FD41509" w14:textId="77777777" w:rsidTr="00155C96">
        <w:trPr>
          <w:trHeight w:val="841"/>
        </w:trPr>
        <w:tc>
          <w:tcPr>
            <w:tcW w:w="1384" w:type="dxa"/>
          </w:tcPr>
          <w:p w14:paraId="0AC714CD" w14:textId="77777777" w:rsidR="004E71F4" w:rsidRPr="00A3389E" w:rsidRDefault="004E71F4" w:rsidP="00155C96">
            <w:pPr>
              <w:pStyle w:val="Applicationdirecte"/>
              <w:spacing w:before="0"/>
            </w:pPr>
            <w:r w:rsidRPr="00A3389E">
              <w:t>j</w:t>
            </w:r>
          </w:p>
        </w:tc>
        <w:tc>
          <w:tcPr>
            <w:tcW w:w="7655" w:type="dxa"/>
          </w:tcPr>
          <w:p w14:paraId="1275A829" w14:textId="0CD43726" w:rsidR="004E71F4" w:rsidRPr="00A3389E" w:rsidRDefault="004E71F4" w:rsidP="00155C96">
            <w:pPr>
              <w:pStyle w:val="Institutionquisigne"/>
              <w:spacing w:before="0" w:after="120"/>
              <w:rPr>
                <w:b/>
                <w:i w:val="0"/>
              </w:rPr>
            </w:pPr>
            <w:r w:rsidRPr="00A3389E">
              <w:rPr>
                <w:b/>
                <w:i w:val="0"/>
              </w:rPr>
              <w:t>Celkový kolaterál získaný nadobudnutím vlastníctva – zabavený &gt; 5 rokov –</w:t>
            </w:r>
            <w:r w:rsidR="00A3389E">
              <w:rPr>
                <w:b/>
                <w:i w:val="0"/>
              </w:rPr>
              <w:t xml:space="preserve"> z </w:t>
            </w:r>
            <w:r w:rsidRPr="00A3389E">
              <w:rPr>
                <w:b/>
                <w:i w:val="0"/>
              </w:rPr>
              <w:t>čoho akumulované záporné zmeny</w:t>
            </w:r>
          </w:p>
          <w:p w14:paraId="46C0DC66" w14:textId="420C9D43" w:rsidR="004E71F4" w:rsidRPr="00A3389E" w:rsidRDefault="004E71F4" w:rsidP="00155C96">
            <w:pPr>
              <w:pStyle w:val="Institutionquisigne"/>
              <w:spacing w:before="0" w:after="120"/>
            </w:pPr>
            <w:r w:rsidRPr="00A3389E">
              <w:rPr>
                <w:i w:val="0"/>
              </w:rPr>
              <w:t>Akumulované záporné zmeny kolaterálu získaného nadobudnutím vlastníctva</w:t>
            </w:r>
            <w:r w:rsidR="00A3389E">
              <w:rPr>
                <w:i w:val="0"/>
              </w:rPr>
              <w:t xml:space="preserve"> a </w:t>
            </w:r>
            <w:r w:rsidRPr="00A3389E">
              <w:rPr>
                <w:i w:val="0"/>
              </w:rPr>
              <w:t>vykazovaného</w:t>
            </w:r>
            <w:r w:rsidR="00A3389E">
              <w:rPr>
                <w:i w:val="0"/>
              </w:rPr>
              <w:t xml:space="preserve"> v </w:t>
            </w:r>
            <w:r w:rsidRPr="00A3389E">
              <w:rPr>
                <w:i w:val="0"/>
              </w:rPr>
              <w:t>súvahe počas viac než piatich rokov</w:t>
            </w:r>
            <w:r w:rsidR="00A3389E">
              <w:rPr>
                <w:i w:val="0"/>
              </w:rPr>
              <w:t xml:space="preserve"> k </w:t>
            </w:r>
            <w:r w:rsidRPr="00A3389E">
              <w:rPr>
                <w:i w:val="0"/>
              </w:rPr>
              <w:t>referenčnému dátumu vykazovania.</w:t>
            </w:r>
          </w:p>
        </w:tc>
      </w:tr>
      <w:tr w:rsidR="004E71F4" w:rsidRPr="00A3389E" w14:paraId="251796EA" w14:textId="77777777" w:rsidTr="00155C96">
        <w:trPr>
          <w:trHeight w:val="841"/>
        </w:trPr>
        <w:tc>
          <w:tcPr>
            <w:tcW w:w="1384" w:type="dxa"/>
          </w:tcPr>
          <w:p w14:paraId="3637EE42" w14:textId="77777777" w:rsidR="004E71F4" w:rsidRPr="00A3389E" w:rsidRDefault="004E71F4" w:rsidP="00155C96">
            <w:pPr>
              <w:pStyle w:val="Applicationdirecte"/>
              <w:spacing w:before="0"/>
            </w:pPr>
            <w:r w:rsidRPr="00A3389E">
              <w:t>k</w:t>
            </w:r>
          </w:p>
        </w:tc>
        <w:tc>
          <w:tcPr>
            <w:tcW w:w="7655" w:type="dxa"/>
          </w:tcPr>
          <w:p w14:paraId="1ABC3AB6" w14:textId="45A71B97" w:rsidR="004E71F4" w:rsidRPr="00A3389E" w:rsidRDefault="004E71F4" w:rsidP="00155C96">
            <w:pPr>
              <w:pStyle w:val="Institutionquisigne"/>
              <w:spacing w:before="0" w:after="120"/>
              <w:rPr>
                <w:b/>
                <w:i w:val="0"/>
              </w:rPr>
            </w:pPr>
            <w:r w:rsidRPr="00A3389E">
              <w:rPr>
                <w:b/>
                <w:i w:val="0"/>
              </w:rPr>
              <w:t>Celkový kolaterál získaný nadobudnutím vlastníctva –</w:t>
            </w:r>
            <w:r w:rsidR="00A3389E">
              <w:rPr>
                <w:b/>
                <w:i w:val="0"/>
              </w:rPr>
              <w:t xml:space="preserve"> z </w:t>
            </w:r>
            <w:r w:rsidRPr="00A3389E">
              <w:rPr>
                <w:b/>
                <w:i w:val="0"/>
              </w:rPr>
              <w:t>čoho dlhodobé aktíva držané na predaj –</w:t>
            </w:r>
            <w:r w:rsidR="00A3389E">
              <w:rPr>
                <w:b/>
                <w:i w:val="0"/>
              </w:rPr>
              <w:t xml:space="preserve"> z </w:t>
            </w:r>
            <w:r w:rsidRPr="00A3389E">
              <w:rPr>
                <w:b/>
                <w:i w:val="0"/>
              </w:rPr>
              <w:t>čoho hodnota pri prvotnom vykázaní</w:t>
            </w:r>
          </w:p>
          <w:p w14:paraId="42251EB3" w14:textId="3C500C1C" w:rsidR="004E71F4" w:rsidRPr="00A3389E" w:rsidRDefault="004E71F4" w:rsidP="00155C96">
            <w:pPr>
              <w:pStyle w:val="Institutionquisigne"/>
              <w:spacing w:before="0" w:after="120"/>
              <w:rPr>
                <w:b/>
                <w:i w:val="0"/>
              </w:rPr>
            </w:pPr>
            <w:r w:rsidRPr="00A3389E">
              <w:rPr>
                <w:i w:val="0"/>
              </w:rPr>
              <w:t>Zverejňuje sa počiatočná hodnota kolaterálu získaného nadobudnutím vlastníctva, ktorý sa klasifikuje ako dlhodobé aktíva držané na predaj. Ak táto klasifikácia nie je relevantná</w:t>
            </w:r>
            <w:r w:rsidR="00A3389E">
              <w:rPr>
                <w:i w:val="0"/>
              </w:rPr>
              <w:t xml:space="preserve"> v </w:t>
            </w:r>
            <w:r w:rsidRPr="00A3389E">
              <w:rPr>
                <w:i w:val="0"/>
              </w:rPr>
              <w:t>súlade</w:t>
            </w:r>
            <w:r w:rsidR="00A3389E">
              <w:rPr>
                <w:i w:val="0"/>
              </w:rPr>
              <w:t xml:space="preserve"> s </w:t>
            </w:r>
            <w:r w:rsidRPr="00A3389E">
              <w:rPr>
                <w:i w:val="0"/>
              </w:rPr>
              <w:t>účtovným rámcom uplatniteľným na inštitúciu, táto informácia sa neuvádza.</w:t>
            </w:r>
          </w:p>
        </w:tc>
      </w:tr>
      <w:tr w:rsidR="004E71F4" w:rsidRPr="00A3389E" w14:paraId="6557F5DD" w14:textId="77777777" w:rsidTr="00155C96">
        <w:trPr>
          <w:trHeight w:val="841"/>
        </w:trPr>
        <w:tc>
          <w:tcPr>
            <w:tcW w:w="1384" w:type="dxa"/>
          </w:tcPr>
          <w:p w14:paraId="15055957" w14:textId="77777777" w:rsidR="004E71F4" w:rsidRPr="00A3389E" w:rsidRDefault="004E71F4" w:rsidP="00155C96">
            <w:pPr>
              <w:pStyle w:val="Applicationdirecte"/>
              <w:spacing w:before="0"/>
            </w:pPr>
            <w:r w:rsidRPr="00A3389E">
              <w:t>l</w:t>
            </w:r>
          </w:p>
        </w:tc>
        <w:tc>
          <w:tcPr>
            <w:tcW w:w="7655" w:type="dxa"/>
          </w:tcPr>
          <w:p w14:paraId="09411947" w14:textId="5CD9A970" w:rsidR="004E71F4" w:rsidRPr="00A3389E" w:rsidRDefault="004E71F4" w:rsidP="00155C96">
            <w:pPr>
              <w:pStyle w:val="Institutionquisigne"/>
              <w:spacing w:before="0" w:after="120"/>
              <w:rPr>
                <w:b/>
                <w:i w:val="0"/>
              </w:rPr>
            </w:pPr>
            <w:r w:rsidRPr="00A3389E">
              <w:rPr>
                <w:b/>
                <w:i w:val="0"/>
              </w:rPr>
              <w:t>Celkový kolaterál získaný nadobudnutím vlastníctva –</w:t>
            </w:r>
            <w:r w:rsidR="00A3389E">
              <w:rPr>
                <w:b/>
                <w:i w:val="0"/>
              </w:rPr>
              <w:t xml:space="preserve"> z </w:t>
            </w:r>
            <w:r w:rsidRPr="00A3389E">
              <w:rPr>
                <w:b/>
                <w:i w:val="0"/>
              </w:rPr>
              <w:t>čoho dlhodobé aktíva držané na predaj –</w:t>
            </w:r>
            <w:r w:rsidR="00A3389E">
              <w:rPr>
                <w:b/>
                <w:i w:val="0"/>
              </w:rPr>
              <w:t xml:space="preserve"> z </w:t>
            </w:r>
            <w:r w:rsidRPr="00A3389E">
              <w:rPr>
                <w:b/>
                <w:i w:val="0"/>
              </w:rPr>
              <w:t>čoho akumulované záporné zmeny</w:t>
            </w:r>
          </w:p>
          <w:p w14:paraId="217374E3" w14:textId="601528C0" w:rsidR="004E71F4" w:rsidRPr="00A3389E" w:rsidRDefault="004E71F4" w:rsidP="00155C96">
            <w:pPr>
              <w:pStyle w:val="Personnequisigne"/>
              <w:spacing w:after="120"/>
              <w:jc w:val="both"/>
            </w:pPr>
            <w:r w:rsidRPr="00A3389E">
              <w:rPr>
                <w:i w:val="0"/>
              </w:rPr>
              <w:t>Zverejňujú sa akumulované záporné zmeny pre kolaterál získaný nadobudnutím vlastníctva, ktorý je klasifikovaný ako dlhodobé aktíva držané na predaj. Ak táto klasifikácia nie je relevantná</w:t>
            </w:r>
            <w:r w:rsidR="00A3389E">
              <w:rPr>
                <w:i w:val="0"/>
              </w:rPr>
              <w:t xml:space="preserve"> v </w:t>
            </w:r>
            <w:r w:rsidRPr="00A3389E">
              <w:rPr>
                <w:i w:val="0"/>
              </w:rPr>
              <w:t>súlade</w:t>
            </w:r>
            <w:r w:rsidR="00A3389E">
              <w:rPr>
                <w:i w:val="0"/>
              </w:rPr>
              <w:t xml:space="preserve"> s </w:t>
            </w:r>
            <w:r w:rsidRPr="00A3389E">
              <w:rPr>
                <w:i w:val="0"/>
              </w:rPr>
              <w:t>účtovným rámcom uplatniteľným na inštitúciu, táto informácia sa neuvádza.</w:t>
            </w:r>
          </w:p>
        </w:tc>
      </w:tr>
    </w:tbl>
    <w:p w14:paraId="7A801179" w14:textId="77777777" w:rsidR="004E71F4" w:rsidRPr="00A3389E"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A3389E" w:rsidRDefault="001C2E4C">
      <w:pPr>
        <w:rPr>
          <w:rFonts w:ascii="Times New Roman" w:hAnsi="Times New Roman" w:cs="Times New Roman"/>
          <w:b/>
          <w:sz w:val="24"/>
        </w:rPr>
        <w:sectPr w:rsidR="0081579E" w:rsidRPr="00A3389E" w:rsidSect="00155C96">
          <w:pgSz w:w="11900" w:h="16840"/>
          <w:pgMar w:top="2268" w:right="1418" w:bottom="1134" w:left="1701" w:header="709" w:footer="709" w:gutter="0"/>
          <w:pgNumType w:start="1" w:chapStyle="1"/>
          <w:cols w:space="708"/>
          <w:docGrid w:linePitch="299"/>
        </w:sectPr>
      </w:pPr>
      <w:r w:rsidRPr="00A3389E">
        <w:rPr>
          <w:rFonts w:ascii="Times New Roman" w:hAnsi="Times New Roman" w:cs="Times New Roman"/>
        </w:rPr>
        <w:br w:type="page"/>
      </w:r>
    </w:p>
    <w:p w14:paraId="5DD256D6" w14:textId="7695B8BC" w:rsidR="001C2E4C" w:rsidRPr="00A3389E" w:rsidRDefault="001C2E4C" w:rsidP="001C2E4C">
      <w:pPr>
        <w:pStyle w:val="Annexetitre"/>
        <w:spacing w:before="0"/>
      </w:pPr>
      <w:r w:rsidRPr="00A3389E">
        <w:lastRenderedPageBreak/>
        <w:t>PRÍLOHA XVIII – Zverejňovanie informácií</w:t>
      </w:r>
      <w:r w:rsidR="00A3389E">
        <w:t xml:space="preserve"> o </w:t>
      </w:r>
      <w:r w:rsidRPr="00A3389E">
        <w:t>používaní postupov zmierňovania kreditného rizika</w:t>
      </w:r>
    </w:p>
    <w:p w14:paraId="695A387D" w14:textId="77777777" w:rsidR="001C2E4C" w:rsidRPr="00A3389E" w:rsidRDefault="001C2E4C" w:rsidP="001C2E4C">
      <w:pPr>
        <w:spacing w:after="120"/>
        <w:rPr>
          <w:rFonts w:ascii="Times New Roman" w:hAnsi="Times New Roman" w:cs="Times New Roman"/>
          <w:sz w:val="24"/>
        </w:rPr>
      </w:pPr>
    </w:p>
    <w:p w14:paraId="45361111" w14:textId="741E2554" w:rsidR="001C2E4C" w:rsidRPr="00A3389E" w:rsidRDefault="00D95507" w:rsidP="001C2E4C">
      <w:pPr>
        <w:spacing w:after="120"/>
        <w:rPr>
          <w:rFonts w:ascii="Times New Roman" w:hAnsi="Times New Roman" w:cs="Times New Roman"/>
          <w:sz w:val="24"/>
        </w:rPr>
      </w:pPr>
      <w:r w:rsidRPr="00A3389E">
        <w:rPr>
          <w:rFonts w:ascii="Times New Roman" w:hAnsi="Times New Roman" w:cs="Times New Roman"/>
          <w:b/>
          <w:sz w:val="24"/>
        </w:rPr>
        <w:t>Tabuľka EU CRC – Požiadavky na zverejňovanie kvalitatívnych informácií týkajúcich sa postupov zmierňovania kreditného rizika. Flexibilná tabuľka</w:t>
      </w:r>
    </w:p>
    <w:p w14:paraId="4639841B" w14:textId="727F17AC" w:rsidR="001C2E4C" w:rsidRPr="00A3389E" w:rsidRDefault="001C2E4C" w:rsidP="001C2E4C">
      <w:pPr>
        <w:spacing w:after="120"/>
        <w:jc w:val="both"/>
        <w:rPr>
          <w:rFonts w:ascii="Times New Roman" w:hAnsi="Times New Roman" w:cs="Times New Roman"/>
          <w:sz w:val="24"/>
        </w:rPr>
      </w:pPr>
      <w:r w:rsidRPr="00A3389E">
        <w:rPr>
          <w:rFonts w:ascii="Times New Roman" w:hAnsi="Times New Roman" w:cs="Times New Roman"/>
          <w:sz w:val="24"/>
        </w:rPr>
        <w:t>Inštitúcie zverejňujú informácie uvedené</w:t>
      </w:r>
      <w:r w:rsidR="00A3389E">
        <w:rPr>
          <w:rFonts w:ascii="Times New Roman" w:hAnsi="Times New Roman" w:cs="Times New Roman"/>
          <w:sz w:val="24"/>
        </w:rPr>
        <w:t xml:space="preserve"> v </w:t>
      </w:r>
      <w:r w:rsidRPr="00A3389E">
        <w:rPr>
          <w:rFonts w:ascii="Times New Roman" w:hAnsi="Times New Roman" w:cs="Times New Roman"/>
          <w:sz w:val="24"/>
        </w:rPr>
        <w:t xml:space="preserve">článku 453 písm. a) až e) nariadenia (EÚ) </w:t>
      </w:r>
      <w:r w:rsidR="00A3389E">
        <w:rPr>
          <w:rFonts w:ascii="Times New Roman" w:hAnsi="Times New Roman" w:cs="Times New Roman"/>
          <w:sz w:val="24"/>
        </w:rPr>
        <w:t>č. </w:t>
      </w:r>
      <w:r w:rsidRPr="00A3389E">
        <w:rPr>
          <w:rFonts w:ascii="Times New Roman" w:hAnsi="Times New Roman" w:cs="Times New Roman"/>
          <w:sz w:val="24"/>
        </w:rPr>
        <w:t>575/2013</w:t>
      </w:r>
      <w:r w:rsidRPr="00A3389E">
        <w:rPr>
          <w:rStyle w:val="FootnoteReference"/>
          <w:rFonts w:ascii="Times New Roman" w:hAnsi="Times New Roman" w:cs="Times New Roman"/>
          <w:sz w:val="24"/>
          <w:szCs w:val="24"/>
        </w:rPr>
        <w:footnoteReference w:id="33"/>
      </w:r>
      <w:r w:rsidRPr="00A3389E">
        <w:rPr>
          <w:rFonts w:ascii="Times New Roman" w:hAnsi="Times New Roman" w:cs="Times New Roman"/>
          <w:sz w:val="24"/>
        </w:rPr>
        <w:t xml:space="preserve"> („CRR“) podľa pokynov uvedených nižšie</w:t>
      </w:r>
      <w:r w:rsidR="00A3389E">
        <w:rPr>
          <w:rFonts w:ascii="Times New Roman" w:hAnsi="Times New Roman" w:cs="Times New Roman"/>
          <w:sz w:val="24"/>
        </w:rPr>
        <w:t xml:space="preserve"> v </w:t>
      </w:r>
      <w:r w:rsidRPr="00A3389E">
        <w:rPr>
          <w:rFonts w:ascii="Times New Roman" w:hAnsi="Times New Roman" w:cs="Times New Roman"/>
          <w:sz w:val="24"/>
        </w:rPr>
        <w:t>tejto prílohe</w:t>
      </w:r>
      <w:r w:rsidR="00A3389E">
        <w:rPr>
          <w:rFonts w:ascii="Times New Roman" w:hAnsi="Times New Roman" w:cs="Times New Roman"/>
          <w:sz w:val="24"/>
        </w:rPr>
        <w:t xml:space="preserve"> s </w:t>
      </w:r>
      <w:r w:rsidRPr="00A3389E">
        <w:rPr>
          <w:rFonts w:ascii="Times New Roman" w:hAnsi="Times New Roman" w:cs="Times New Roman"/>
          <w:sz w:val="24"/>
        </w:rPr>
        <w:t>cieľom vyplniť tabuľku EU CRC, ktorá je uvedená</w:t>
      </w:r>
      <w:r w:rsidR="00A3389E">
        <w:rPr>
          <w:rFonts w:ascii="Times New Roman" w:hAnsi="Times New Roman" w:cs="Times New Roman"/>
          <w:sz w:val="24"/>
        </w:rPr>
        <w:t xml:space="preserve"> v </w:t>
      </w:r>
      <w:r w:rsidRPr="00A3389E">
        <w:rPr>
          <w:rFonts w:ascii="Times New Roman" w:hAnsi="Times New Roman" w:cs="Times New Roman"/>
          <w:sz w:val="24"/>
        </w:rPr>
        <w:t>prílohe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A3389E"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A3389E" w:rsidRDefault="001C2E4C"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Riadok</w:t>
            </w:r>
          </w:p>
          <w:p w14:paraId="05D29EC7" w14:textId="77777777" w:rsidR="001C2E4C" w:rsidRPr="00A3389E" w:rsidRDefault="001C2E4C"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262C9979" w:rsidR="001C2E4C" w:rsidRPr="00A3389E" w:rsidRDefault="001C2E4C"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1C2E4C" w:rsidRPr="00A3389E"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A3389E"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A3389E" w:rsidRDefault="001C2E4C" w:rsidP="00155C96">
            <w:pPr>
              <w:spacing w:after="120"/>
              <w:rPr>
                <w:rFonts w:ascii="Times New Roman" w:hAnsi="Times New Roman" w:cs="Times New Roman"/>
                <w:b/>
                <w:sz w:val="24"/>
              </w:rPr>
            </w:pPr>
            <w:r w:rsidRPr="00A3389E">
              <w:rPr>
                <w:rFonts w:ascii="Times New Roman" w:hAnsi="Times New Roman" w:cs="Times New Roman"/>
                <w:b/>
                <w:sz w:val="24"/>
              </w:rPr>
              <w:t>Vysvetlenie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87"/>
        <w:gridCol w:w="1003"/>
        <w:gridCol w:w="6682"/>
      </w:tblGrid>
      <w:tr w:rsidR="001C2E4C" w:rsidRPr="00A3389E"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color w:val="000000"/>
                <w:sz w:val="24"/>
                <w:lang w:val="sk-SK"/>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453 písm. a)</w:t>
            </w:r>
            <w:r w:rsidRPr="00A3389E">
              <w:rPr>
                <w:rFonts w:ascii="Times New Roman" w:hAnsi="Times New Roman" w:cs="Times New Roman"/>
                <w:sz w:val="24"/>
                <w:lang w:val="sk-SK"/>
              </w:rPr>
              <w:t xml:space="preserve">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3900A436"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Inštitúcie pri zverejňovaní informácií</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svojich politikách vzájomného započítavania</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využívaní vzájomného započítavania</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453 písm. a) CRR poskytujú jasný opis politík</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postupov zmierňovania kreditného rizika týkajúcich sa vzájomného započítavania</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súvahe</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podsúvahe</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rámcových dohôd</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vzájomnom započítavaní. Takisto uvádzajú, do akej miery sa vzájomné započítavanie</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súvahe</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podsúvahe</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rámcové dohody</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vzájomnom započítavaní využívali, ako aj ich dôležitosť</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súvislosti</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riadením kreditného rizika. Inštitúcie by mohli uvádzať najmä podrobnosti</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používaných postupoch, ako aj</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pozíciách, na ktoré sa vzťahujú dohody</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vzájomnom započítaní</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súvahe,</w:t>
            </w:r>
            <w:r w:rsidR="00A3389E">
              <w:rPr>
                <w:rFonts w:ascii="Times New Roman" w:hAnsi="Times New Roman" w:cs="Times New Roman"/>
                <w:sz w:val="24"/>
                <w:lang w:val="sk-SK"/>
              </w:rPr>
              <w:t xml:space="preserve"> a o </w:t>
            </w:r>
            <w:r w:rsidRPr="00A3389E">
              <w:rPr>
                <w:rFonts w:ascii="Times New Roman" w:hAnsi="Times New Roman" w:cs="Times New Roman"/>
                <w:sz w:val="24"/>
                <w:lang w:val="sk-SK"/>
              </w:rPr>
              <w:t>finančných nástrojoch zahrnutých do rámcových dohôd</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vzájomnom započítavaní. Okrem toho by sa mohli opísať aj podmienky potrebné na zabezpečenie účinnosti týchto postupov</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zavedených kontrol</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súvislosti</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právnym rizikom.</w:t>
            </w:r>
          </w:p>
        </w:tc>
      </w:tr>
      <w:tr w:rsidR="001C2E4C" w:rsidRPr="00A3389E" w14:paraId="6FBF74D8" w14:textId="77777777" w:rsidTr="00155C96">
        <w:trPr>
          <w:trHeight w:val="841"/>
        </w:trPr>
        <w:tc>
          <w:tcPr>
            <w:tcW w:w="1407" w:type="dxa"/>
          </w:tcPr>
          <w:p w14:paraId="1AB3C80B"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color w:val="000000"/>
                <w:sz w:val="24"/>
                <w:lang w:val="sk-SK"/>
              </w:rPr>
              <w:t>b)</w:t>
            </w:r>
          </w:p>
        </w:tc>
        <w:tc>
          <w:tcPr>
            <w:tcW w:w="883" w:type="dxa"/>
          </w:tcPr>
          <w:p w14:paraId="7E0E0ECE" w14:textId="77777777" w:rsidR="001C2E4C" w:rsidRPr="00A3389E" w:rsidRDefault="001C2E4C" w:rsidP="00155C96">
            <w:pPr>
              <w:spacing w:after="120"/>
              <w:jc w:val="both"/>
              <w:rPr>
                <w:rFonts w:ascii="Times New Roman" w:eastAsia="Times New Roman" w:hAnsi="Times New Roman" w:cs="Times New Roman"/>
                <w:iCs/>
                <w:sz w:val="24"/>
                <w:lang w:val="sk-SK"/>
              </w:rPr>
            </w:pPr>
            <w:r w:rsidRPr="00A3389E">
              <w:rPr>
                <w:rFonts w:ascii="Times New Roman" w:hAnsi="Times New Roman" w:cs="Times New Roman"/>
                <w:iCs/>
                <w:sz w:val="24"/>
                <w:lang w:val="sk-SK"/>
              </w:rPr>
              <w:t>Článok 453 písm. b)</w:t>
            </w:r>
          </w:p>
          <w:p w14:paraId="7C5AF99B"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CRR</w:t>
            </w:r>
          </w:p>
        </w:tc>
        <w:tc>
          <w:tcPr>
            <w:tcW w:w="6782" w:type="dxa"/>
          </w:tcPr>
          <w:p w14:paraId="4926AA6A" w14:textId="33225453"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V rámci zverejňovania informácií</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hlavných charakteristikách svojich politík</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postupov pre oceňovanie</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riadenie prípustného kolaterálu</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453 písm. b) CRR inštitúcie zverejňujú:</w:t>
            </w:r>
          </w:p>
          <w:p w14:paraId="6B648F21" w14:textId="5BFFD42A"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 základ pre posudzovanie</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oceňovanie založeného kolaterálu vrátane posudzovania právnej istoty postupov zmierňovania kreditného rizika,</w:t>
            </w:r>
          </w:p>
          <w:p w14:paraId="0BD3D10A"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 druh oceňovania (trhová hodnota, hodnota poskytnutého hypotekárneho financovania, iné druhy hodnôt),</w:t>
            </w:r>
          </w:p>
          <w:p w14:paraId="58071D69" w14:textId="66A4E8B2"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 do akej miery sa vypočítaná hodnota kolaterálu znižuje</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haircut,</w:t>
            </w:r>
          </w:p>
          <w:p w14:paraId="24002880" w14:textId="2F7545E6"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 postup, frekvencia</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metódy zavedené na monitorovanie hodnoty hypotekárneho kolaterálu</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iného fyzického kolaterálu.</w:t>
            </w:r>
          </w:p>
          <w:p w14:paraId="351E8ACC" w14:textId="53973B74"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Okrem toho by inštitúcie mohli takisto zverejniť, či je zavedený systém limitov pre expozície voči kreditnému riziku,</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vplyv prijatého kolaterálu pri kvantifikácii týchto limitov.</w:t>
            </w:r>
          </w:p>
        </w:tc>
      </w:tr>
      <w:tr w:rsidR="001C2E4C" w:rsidRPr="00A3389E" w:rsidDel="00915DC9" w14:paraId="2F808C5D" w14:textId="77777777" w:rsidTr="00155C96">
        <w:trPr>
          <w:trHeight w:val="973"/>
        </w:trPr>
        <w:tc>
          <w:tcPr>
            <w:tcW w:w="1407" w:type="dxa"/>
          </w:tcPr>
          <w:p w14:paraId="1EF28047"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color w:val="000000"/>
                <w:sz w:val="24"/>
                <w:lang w:val="sk-SK"/>
              </w:rPr>
              <w:lastRenderedPageBreak/>
              <w:t>c)</w:t>
            </w:r>
          </w:p>
        </w:tc>
        <w:tc>
          <w:tcPr>
            <w:tcW w:w="883" w:type="dxa"/>
          </w:tcPr>
          <w:p w14:paraId="582FD65E"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453 písm. c)</w:t>
            </w:r>
            <w:r w:rsidRPr="00A3389E">
              <w:rPr>
                <w:rFonts w:ascii="Times New Roman" w:hAnsi="Times New Roman" w:cs="Times New Roman"/>
                <w:sz w:val="24"/>
                <w:lang w:val="sk-SK"/>
              </w:rPr>
              <w:t xml:space="preserve"> CRR</w:t>
            </w:r>
          </w:p>
        </w:tc>
        <w:tc>
          <w:tcPr>
            <w:tcW w:w="6782" w:type="dxa"/>
          </w:tcPr>
          <w:p w14:paraId="3E3FC54A" w14:textId="3FA68C12" w:rsidR="001C2E4C" w:rsidRPr="00B2251E" w:rsidDel="00915DC9" w:rsidRDefault="001C2E4C" w:rsidP="00155C96">
            <w:pPr>
              <w:spacing w:after="120"/>
              <w:jc w:val="both"/>
              <w:rPr>
                <w:rFonts w:ascii="Times New Roman" w:hAnsi="Times New Roman" w:cs="Times New Roman"/>
                <w:spacing w:val="-4"/>
                <w:sz w:val="24"/>
                <w:lang w:val="sk-SK"/>
              </w:rPr>
            </w:pPr>
            <w:r w:rsidRPr="00B2251E">
              <w:rPr>
                <w:rFonts w:ascii="Times New Roman" w:hAnsi="Times New Roman" w:cs="Times New Roman"/>
                <w:spacing w:val="-4"/>
                <w:sz w:val="24"/>
                <w:lang w:val="sk-SK"/>
              </w:rPr>
              <w:t>Pri opise kolaterálu prijatého</w:t>
            </w:r>
            <w:r w:rsidR="00A3389E" w:rsidRPr="00B2251E">
              <w:rPr>
                <w:rFonts w:ascii="Times New Roman" w:hAnsi="Times New Roman" w:cs="Times New Roman"/>
                <w:spacing w:val="-4"/>
                <w:sz w:val="24"/>
                <w:lang w:val="sk-SK"/>
              </w:rPr>
              <w:t xml:space="preserve"> v </w:t>
            </w:r>
            <w:r w:rsidRPr="00B2251E">
              <w:rPr>
                <w:rFonts w:ascii="Times New Roman" w:hAnsi="Times New Roman" w:cs="Times New Roman"/>
                <w:spacing w:val="-4"/>
                <w:sz w:val="24"/>
                <w:lang w:val="sk-SK"/>
              </w:rPr>
              <w:t>súlade</w:t>
            </w:r>
            <w:r w:rsidR="00A3389E" w:rsidRPr="00B2251E">
              <w:rPr>
                <w:rFonts w:ascii="Times New Roman" w:hAnsi="Times New Roman" w:cs="Times New Roman"/>
                <w:spacing w:val="-4"/>
                <w:sz w:val="24"/>
                <w:lang w:val="sk-SK"/>
              </w:rPr>
              <w:t xml:space="preserve"> s </w:t>
            </w:r>
            <w:r w:rsidRPr="00B2251E">
              <w:rPr>
                <w:rFonts w:ascii="Times New Roman" w:hAnsi="Times New Roman" w:cs="Times New Roman"/>
                <w:spacing w:val="-4"/>
                <w:sz w:val="24"/>
                <w:lang w:val="sk-SK"/>
              </w:rPr>
              <w:t>článkom 453 písm. c) CRR inštitúcie poskytujú podrobný opis hlavných druhov kolaterálu, ktoré inštitúcia prijíma na zmiernenie kreditného rizika,</w:t>
            </w:r>
            <w:r w:rsidR="00A3389E" w:rsidRPr="00B2251E">
              <w:rPr>
                <w:rFonts w:ascii="Times New Roman" w:hAnsi="Times New Roman" w:cs="Times New Roman"/>
                <w:spacing w:val="-4"/>
                <w:sz w:val="24"/>
                <w:lang w:val="sk-SK"/>
              </w:rPr>
              <w:t xml:space="preserve"> a </w:t>
            </w:r>
            <w:r w:rsidRPr="00B2251E">
              <w:rPr>
                <w:rFonts w:ascii="Times New Roman" w:hAnsi="Times New Roman" w:cs="Times New Roman"/>
                <w:spacing w:val="-4"/>
                <w:sz w:val="24"/>
                <w:lang w:val="sk-SK"/>
              </w:rPr>
              <w:t>to podľa druhu expozícií.</w:t>
            </w:r>
          </w:p>
        </w:tc>
      </w:tr>
      <w:tr w:rsidR="001C2E4C" w:rsidRPr="00A3389E" w14:paraId="3549FC01" w14:textId="77777777" w:rsidTr="00155C96">
        <w:trPr>
          <w:trHeight w:val="1265"/>
        </w:trPr>
        <w:tc>
          <w:tcPr>
            <w:tcW w:w="1407" w:type="dxa"/>
          </w:tcPr>
          <w:p w14:paraId="71959583"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color w:val="000000"/>
                <w:sz w:val="24"/>
                <w:lang w:val="sk-SK"/>
              </w:rPr>
              <w:t>d)</w:t>
            </w:r>
          </w:p>
        </w:tc>
        <w:tc>
          <w:tcPr>
            <w:tcW w:w="883" w:type="dxa"/>
          </w:tcPr>
          <w:p w14:paraId="1295B89B"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453 písm. d) CRR</w:t>
            </w:r>
          </w:p>
        </w:tc>
        <w:tc>
          <w:tcPr>
            <w:tcW w:w="6782" w:type="dxa"/>
          </w:tcPr>
          <w:p w14:paraId="14D7C916" w14:textId="6F948A76" w:rsidR="001C2E4C" w:rsidRPr="00B2251E" w:rsidRDefault="001C2E4C" w:rsidP="00155C96">
            <w:pPr>
              <w:spacing w:after="120"/>
              <w:jc w:val="both"/>
              <w:rPr>
                <w:rFonts w:ascii="Times New Roman" w:hAnsi="Times New Roman" w:cs="Times New Roman"/>
                <w:spacing w:val="-4"/>
                <w:sz w:val="24"/>
                <w:lang w:val="sk-SK"/>
              </w:rPr>
            </w:pPr>
            <w:r w:rsidRPr="00B2251E">
              <w:rPr>
                <w:rFonts w:ascii="Times New Roman" w:hAnsi="Times New Roman" w:cs="Times New Roman"/>
                <w:spacing w:val="-4"/>
                <w:sz w:val="24"/>
                <w:lang w:val="sk-SK"/>
              </w:rPr>
              <w:t>Opis hlavných druhov ručiteľov</w:t>
            </w:r>
            <w:r w:rsidR="00A3389E" w:rsidRPr="00B2251E">
              <w:rPr>
                <w:rFonts w:ascii="Times New Roman" w:hAnsi="Times New Roman" w:cs="Times New Roman"/>
                <w:spacing w:val="-4"/>
                <w:sz w:val="24"/>
                <w:lang w:val="sk-SK"/>
              </w:rPr>
              <w:t xml:space="preserve"> a </w:t>
            </w:r>
            <w:r w:rsidRPr="00B2251E">
              <w:rPr>
                <w:rFonts w:ascii="Times New Roman" w:hAnsi="Times New Roman" w:cs="Times New Roman"/>
                <w:spacing w:val="-4"/>
                <w:sz w:val="24"/>
                <w:lang w:val="sk-SK"/>
              </w:rPr>
              <w:t>protistrán kreditných derivátov</w:t>
            </w:r>
            <w:r w:rsidR="00A3389E" w:rsidRPr="00B2251E">
              <w:rPr>
                <w:rFonts w:ascii="Times New Roman" w:hAnsi="Times New Roman" w:cs="Times New Roman"/>
                <w:spacing w:val="-4"/>
                <w:sz w:val="24"/>
                <w:lang w:val="sk-SK"/>
              </w:rPr>
              <w:t xml:space="preserve"> a </w:t>
            </w:r>
            <w:r w:rsidRPr="00B2251E">
              <w:rPr>
                <w:rFonts w:ascii="Times New Roman" w:hAnsi="Times New Roman" w:cs="Times New Roman"/>
                <w:spacing w:val="-4"/>
                <w:sz w:val="24"/>
                <w:lang w:val="sk-SK"/>
              </w:rPr>
              <w:t>ich úverovej bonity, ktoré sa majú zverejňovať</w:t>
            </w:r>
            <w:r w:rsidR="00A3389E" w:rsidRPr="00B2251E">
              <w:rPr>
                <w:rFonts w:ascii="Times New Roman" w:hAnsi="Times New Roman" w:cs="Times New Roman"/>
                <w:spacing w:val="-4"/>
                <w:sz w:val="24"/>
                <w:lang w:val="sk-SK"/>
              </w:rPr>
              <w:t xml:space="preserve"> v </w:t>
            </w:r>
            <w:r w:rsidRPr="00B2251E">
              <w:rPr>
                <w:rFonts w:ascii="Times New Roman" w:hAnsi="Times New Roman" w:cs="Times New Roman"/>
                <w:spacing w:val="-4"/>
                <w:sz w:val="24"/>
                <w:lang w:val="sk-SK"/>
              </w:rPr>
              <w:t>súlade</w:t>
            </w:r>
            <w:r w:rsidR="00A3389E" w:rsidRPr="00B2251E">
              <w:rPr>
                <w:rFonts w:ascii="Times New Roman" w:hAnsi="Times New Roman" w:cs="Times New Roman"/>
                <w:spacing w:val="-4"/>
                <w:sz w:val="24"/>
                <w:lang w:val="sk-SK"/>
              </w:rPr>
              <w:t xml:space="preserve"> s </w:t>
            </w:r>
            <w:r w:rsidRPr="00B2251E">
              <w:rPr>
                <w:rFonts w:ascii="Times New Roman" w:hAnsi="Times New Roman" w:cs="Times New Roman"/>
                <w:spacing w:val="-4"/>
                <w:sz w:val="24"/>
                <w:lang w:val="sk-SK"/>
              </w:rPr>
              <w:t>článkom 453 písm. d) CRR, zahŕňa kreditné deriváty použité na účely zníženia kapitálových požiadaviek okrem tých, ktoré sa používajú ako súčasť štruktúr syntetickej sekuritizácie. Inštitúcie by mohli zahŕňať aj opis metód používaných na vykazovanie účinkov záruk alebo kreditných derivátov poskytovaných hlavnými druhmi ručiteľov</w:t>
            </w:r>
            <w:r w:rsidR="00A3389E" w:rsidRPr="00B2251E">
              <w:rPr>
                <w:rFonts w:ascii="Times New Roman" w:hAnsi="Times New Roman" w:cs="Times New Roman"/>
                <w:spacing w:val="-4"/>
                <w:sz w:val="24"/>
                <w:lang w:val="sk-SK"/>
              </w:rPr>
              <w:t xml:space="preserve"> a </w:t>
            </w:r>
            <w:r w:rsidRPr="00B2251E">
              <w:rPr>
                <w:rFonts w:ascii="Times New Roman" w:hAnsi="Times New Roman" w:cs="Times New Roman"/>
                <w:spacing w:val="-4"/>
                <w:sz w:val="24"/>
                <w:lang w:val="sk-SK"/>
              </w:rPr>
              <w:t xml:space="preserve">protistrán. </w:t>
            </w:r>
          </w:p>
        </w:tc>
      </w:tr>
      <w:tr w:rsidR="001C2E4C" w:rsidRPr="00A3389E" w14:paraId="078F2BF9" w14:textId="77777777" w:rsidTr="00155C96">
        <w:trPr>
          <w:trHeight w:val="1405"/>
        </w:trPr>
        <w:tc>
          <w:tcPr>
            <w:tcW w:w="1407" w:type="dxa"/>
          </w:tcPr>
          <w:p w14:paraId="72556FE0"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color w:val="000000"/>
                <w:sz w:val="24"/>
                <w:lang w:val="sk-SK"/>
              </w:rPr>
              <w:t>e)</w:t>
            </w:r>
          </w:p>
        </w:tc>
        <w:tc>
          <w:tcPr>
            <w:tcW w:w="883" w:type="dxa"/>
          </w:tcPr>
          <w:p w14:paraId="52B1E972" w14:textId="0771456E"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453 písm. e) CRR</w:t>
            </w:r>
          </w:p>
        </w:tc>
        <w:tc>
          <w:tcPr>
            <w:tcW w:w="6782" w:type="dxa"/>
          </w:tcPr>
          <w:p w14:paraId="0E55AB09" w14:textId="2332073B" w:rsidR="001C2E4C" w:rsidRPr="00B2251E" w:rsidRDefault="001C2E4C" w:rsidP="00155C96">
            <w:pPr>
              <w:spacing w:after="120"/>
              <w:jc w:val="both"/>
              <w:rPr>
                <w:rFonts w:ascii="Times New Roman" w:hAnsi="Times New Roman" w:cs="Times New Roman"/>
                <w:spacing w:val="-4"/>
                <w:sz w:val="24"/>
                <w:lang w:val="sk-SK"/>
              </w:rPr>
            </w:pPr>
            <w:r w:rsidRPr="00B2251E">
              <w:rPr>
                <w:rFonts w:ascii="Times New Roman" w:hAnsi="Times New Roman" w:cs="Times New Roman"/>
                <w:spacing w:val="-4"/>
                <w:sz w:val="24"/>
                <w:lang w:val="sk-SK"/>
              </w:rPr>
              <w:t>Inštitúcie pri zverejňovaní informácií</w:t>
            </w:r>
            <w:r w:rsidR="00A3389E" w:rsidRPr="00B2251E">
              <w:rPr>
                <w:rFonts w:ascii="Times New Roman" w:hAnsi="Times New Roman" w:cs="Times New Roman"/>
                <w:spacing w:val="-4"/>
                <w:sz w:val="24"/>
                <w:lang w:val="sk-SK"/>
              </w:rPr>
              <w:t xml:space="preserve"> o </w:t>
            </w:r>
            <w:r w:rsidRPr="00B2251E">
              <w:rPr>
                <w:rFonts w:ascii="Times New Roman" w:hAnsi="Times New Roman" w:cs="Times New Roman"/>
                <w:spacing w:val="-4"/>
                <w:sz w:val="24"/>
                <w:lang w:val="sk-SK"/>
              </w:rPr>
              <w:t>koncentráciách trhového alebo kreditného rizika</w:t>
            </w:r>
            <w:r w:rsidR="00A3389E" w:rsidRPr="00B2251E">
              <w:rPr>
                <w:rFonts w:ascii="Times New Roman" w:hAnsi="Times New Roman" w:cs="Times New Roman"/>
                <w:spacing w:val="-4"/>
                <w:sz w:val="24"/>
                <w:lang w:val="sk-SK"/>
              </w:rPr>
              <w:t xml:space="preserve"> v </w:t>
            </w:r>
            <w:r w:rsidRPr="00B2251E">
              <w:rPr>
                <w:rFonts w:ascii="Times New Roman" w:hAnsi="Times New Roman" w:cs="Times New Roman"/>
                <w:spacing w:val="-4"/>
                <w:sz w:val="24"/>
                <w:lang w:val="sk-SK"/>
              </w:rPr>
              <w:t>rámci zmierňovania kreditného rizika</w:t>
            </w:r>
            <w:r w:rsidR="00A3389E" w:rsidRPr="00B2251E">
              <w:rPr>
                <w:rFonts w:ascii="Times New Roman" w:hAnsi="Times New Roman" w:cs="Times New Roman"/>
                <w:spacing w:val="-4"/>
                <w:sz w:val="24"/>
                <w:lang w:val="sk-SK"/>
              </w:rPr>
              <w:t xml:space="preserve"> v </w:t>
            </w:r>
            <w:r w:rsidRPr="00B2251E">
              <w:rPr>
                <w:rFonts w:ascii="Times New Roman" w:hAnsi="Times New Roman" w:cs="Times New Roman"/>
                <w:spacing w:val="-4"/>
                <w:sz w:val="24"/>
                <w:lang w:val="sk-SK"/>
              </w:rPr>
              <w:t>súlade</w:t>
            </w:r>
            <w:r w:rsidR="00A3389E" w:rsidRPr="00B2251E">
              <w:rPr>
                <w:rFonts w:ascii="Times New Roman" w:hAnsi="Times New Roman" w:cs="Times New Roman"/>
                <w:spacing w:val="-4"/>
                <w:sz w:val="24"/>
                <w:lang w:val="sk-SK"/>
              </w:rPr>
              <w:t xml:space="preserve"> s </w:t>
            </w:r>
            <w:r w:rsidRPr="00B2251E">
              <w:rPr>
                <w:rFonts w:ascii="Times New Roman" w:hAnsi="Times New Roman" w:cs="Times New Roman"/>
                <w:spacing w:val="-4"/>
                <w:sz w:val="24"/>
                <w:lang w:val="sk-SK"/>
              </w:rPr>
              <w:t>článkom 453 písm. e) CRR poskytujú analýzu akejkoľvek koncentrácie, ktorá vzniká</w:t>
            </w:r>
            <w:r w:rsidR="00A3389E" w:rsidRPr="00B2251E">
              <w:rPr>
                <w:rFonts w:ascii="Times New Roman" w:hAnsi="Times New Roman" w:cs="Times New Roman"/>
                <w:spacing w:val="-4"/>
                <w:sz w:val="24"/>
                <w:lang w:val="sk-SK"/>
              </w:rPr>
              <w:t xml:space="preserve"> v </w:t>
            </w:r>
            <w:r w:rsidRPr="00B2251E">
              <w:rPr>
                <w:rFonts w:ascii="Times New Roman" w:hAnsi="Times New Roman" w:cs="Times New Roman"/>
                <w:spacing w:val="-4"/>
                <w:sz w:val="24"/>
                <w:lang w:val="sk-SK"/>
              </w:rPr>
              <w:t>dôsledku opatrení zmierňovania kreditného rizika</w:t>
            </w:r>
            <w:r w:rsidR="00A3389E" w:rsidRPr="00B2251E">
              <w:rPr>
                <w:rFonts w:ascii="Times New Roman" w:hAnsi="Times New Roman" w:cs="Times New Roman"/>
                <w:spacing w:val="-4"/>
                <w:sz w:val="24"/>
                <w:lang w:val="sk-SK"/>
              </w:rPr>
              <w:t xml:space="preserve"> a </w:t>
            </w:r>
            <w:r w:rsidRPr="00B2251E">
              <w:rPr>
                <w:rFonts w:ascii="Times New Roman" w:hAnsi="Times New Roman" w:cs="Times New Roman"/>
                <w:spacing w:val="-4"/>
                <w:sz w:val="24"/>
                <w:lang w:val="sk-SK"/>
              </w:rPr>
              <w:t>ktorá môže brániť efektívnosti nástrojov zmierňovania kreditného rizika. Koncentrácie</w:t>
            </w:r>
            <w:r w:rsidR="00A3389E" w:rsidRPr="00B2251E">
              <w:rPr>
                <w:rFonts w:ascii="Times New Roman" w:hAnsi="Times New Roman" w:cs="Times New Roman"/>
                <w:spacing w:val="-4"/>
                <w:sz w:val="24"/>
                <w:lang w:val="sk-SK"/>
              </w:rPr>
              <w:t xml:space="preserve"> v </w:t>
            </w:r>
            <w:r w:rsidRPr="00B2251E">
              <w:rPr>
                <w:rFonts w:ascii="Times New Roman" w:hAnsi="Times New Roman" w:cs="Times New Roman"/>
                <w:spacing w:val="-4"/>
                <w:sz w:val="24"/>
                <w:lang w:val="sk-SK"/>
              </w:rPr>
              <w:t>rozsahu týchto zverejnení informácií by mohli zahŕňať koncentrácie podľa druhu nástroja použitého ako kolaterál, subjektu (koncentrácia podľa druhu ručiteľa</w:t>
            </w:r>
            <w:r w:rsidR="00A3389E" w:rsidRPr="00B2251E">
              <w:rPr>
                <w:rFonts w:ascii="Times New Roman" w:hAnsi="Times New Roman" w:cs="Times New Roman"/>
                <w:spacing w:val="-4"/>
                <w:sz w:val="24"/>
                <w:lang w:val="sk-SK"/>
              </w:rPr>
              <w:t xml:space="preserve"> a </w:t>
            </w:r>
            <w:r w:rsidRPr="00B2251E">
              <w:rPr>
                <w:rFonts w:ascii="Times New Roman" w:hAnsi="Times New Roman" w:cs="Times New Roman"/>
                <w:spacing w:val="-4"/>
                <w:sz w:val="24"/>
                <w:lang w:val="sk-SK"/>
              </w:rPr>
              <w:t>poskytovateľov kreditného derivátu), odvetvia, geografickej oblasti, meny, ratingu alebo iných faktorov, ktoré potenciálne vplývajú na hodnotu zabezpečenia,</w:t>
            </w:r>
            <w:r w:rsidR="00A3389E" w:rsidRPr="00B2251E">
              <w:rPr>
                <w:rFonts w:ascii="Times New Roman" w:hAnsi="Times New Roman" w:cs="Times New Roman"/>
                <w:spacing w:val="-4"/>
                <w:sz w:val="24"/>
                <w:lang w:val="sk-SK"/>
              </w:rPr>
              <w:t xml:space="preserve"> a </w:t>
            </w:r>
            <w:r w:rsidRPr="00B2251E">
              <w:rPr>
                <w:rFonts w:ascii="Times New Roman" w:hAnsi="Times New Roman" w:cs="Times New Roman"/>
                <w:spacing w:val="-4"/>
                <w:sz w:val="24"/>
                <w:lang w:val="sk-SK"/>
              </w:rPr>
              <w:t>tým toto zabezpečenie znižujú.</w:t>
            </w:r>
          </w:p>
        </w:tc>
      </w:tr>
    </w:tbl>
    <w:p w14:paraId="1A96AFAC" w14:textId="77777777" w:rsidR="001C2E4C" w:rsidRPr="00A3389E" w:rsidRDefault="001C2E4C" w:rsidP="00B2251E">
      <w:pPr>
        <w:rPr>
          <w:rFonts w:ascii="Times New Roman" w:hAnsi="Times New Roman" w:cs="Times New Roman"/>
          <w:sz w:val="24"/>
        </w:rPr>
      </w:pPr>
    </w:p>
    <w:p w14:paraId="21DE2683" w14:textId="63D3A990" w:rsidR="001C2E4C" w:rsidRPr="00B2251E" w:rsidRDefault="00CD362D" w:rsidP="001C2E4C">
      <w:pPr>
        <w:spacing w:after="120"/>
        <w:rPr>
          <w:rFonts w:ascii="Times New Roman Bold" w:hAnsi="Times New Roman Bold" w:cs="Times New Roman"/>
          <w:b/>
          <w:spacing w:val="-8"/>
          <w:sz w:val="24"/>
        </w:rPr>
      </w:pPr>
      <w:r w:rsidRPr="00B2251E">
        <w:rPr>
          <w:rFonts w:ascii="Times New Roman Bold" w:hAnsi="Times New Roman Bold" w:cs="Times New Roman"/>
          <w:b/>
          <w:spacing w:val="-8"/>
          <w:sz w:val="24"/>
        </w:rPr>
        <w:t>Vzor EU CR3 – Prehľad postupov zmierňovania kreditného rizika (CRM): Zverejňovanie informácií</w:t>
      </w:r>
      <w:r w:rsidR="00A3389E" w:rsidRPr="00B2251E">
        <w:rPr>
          <w:rFonts w:ascii="Times New Roman Bold" w:hAnsi="Times New Roman Bold" w:cs="Times New Roman"/>
          <w:b/>
          <w:spacing w:val="-8"/>
          <w:sz w:val="24"/>
        </w:rPr>
        <w:t xml:space="preserve"> o </w:t>
      </w:r>
      <w:r w:rsidRPr="00B2251E">
        <w:rPr>
          <w:rFonts w:ascii="Times New Roman Bold" w:hAnsi="Times New Roman Bold" w:cs="Times New Roman"/>
          <w:b/>
          <w:spacing w:val="-8"/>
          <w:sz w:val="24"/>
        </w:rPr>
        <w:t>používaní postupov zmierňovania kreditného rizika. Vzor</w:t>
      </w:r>
      <w:r w:rsidR="00A3389E" w:rsidRPr="00B2251E">
        <w:rPr>
          <w:rFonts w:ascii="Times New Roman Bold" w:hAnsi="Times New Roman Bold" w:cs="Times New Roman"/>
          <w:b/>
          <w:spacing w:val="-8"/>
          <w:sz w:val="24"/>
        </w:rPr>
        <w:t xml:space="preserve"> s </w:t>
      </w:r>
      <w:r w:rsidRPr="00B2251E">
        <w:rPr>
          <w:rFonts w:ascii="Times New Roman Bold" w:hAnsi="Times New Roman Bold" w:cs="Times New Roman"/>
          <w:b/>
          <w:spacing w:val="-8"/>
          <w:sz w:val="24"/>
        </w:rPr>
        <w:t>pevným formátom.</w:t>
      </w:r>
    </w:p>
    <w:p w14:paraId="62783EF0" w14:textId="0402D34E" w:rsidR="001C2E4C" w:rsidRPr="00A3389E" w:rsidRDefault="001C2E4C" w:rsidP="001C2E4C">
      <w:pPr>
        <w:spacing w:after="120"/>
        <w:jc w:val="both"/>
        <w:rPr>
          <w:rFonts w:ascii="Times New Roman" w:hAnsi="Times New Roman" w:cs="Times New Roman"/>
          <w:sz w:val="24"/>
        </w:rPr>
      </w:pPr>
      <w:r w:rsidRPr="00A3389E">
        <w:rPr>
          <w:rFonts w:ascii="Times New Roman" w:hAnsi="Times New Roman" w:cs="Times New Roman"/>
          <w:sz w:val="24"/>
        </w:rPr>
        <w:t>Inštitúcie zverejňujú 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453 písm. f) CRR podľa pokynov uvedených nižšie</w:t>
      </w:r>
      <w:r w:rsidR="00A3389E">
        <w:rPr>
          <w:rFonts w:ascii="Times New Roman" w:hAnsi="Times New Roman" w:cs="Times New Roman"/>
          <w:sz w:val="24"/>
        </w:rPr>
        <w:t xml:space="preserve"> v </w:t>
      </w:r>
      <w:r w:rsidRPr="00A3389E">
        <w:rPr>
          <w:rFonts w:ascii="Times New Roman" w:hAnsi="Times New Roman" w:cs="Times New Roman"/>
          <w:sz w:val="24"/>
        </w:rPr>
        <w:t>tejto prílohe</w:t>
      </w:r>
      <w:r w:rsidR="00A3389E">
        <w:rPr>
          <w:rFonts w:ascii="Times New Roman" w:hAnsi="Times New Roman" w:cs="Times New Roman"/>
          <w:sz w:val="24"/>
        </w:rPr>
        <w:t xml:space="preserve"> s </w:t>
      </w:r>
      <w:r w:rsidRPr="00A3389E">
        <w:rPr>
          <w:rFonts w:ascii="Times New Roman" w:hAnsi="Times New Roman" w:cs="Times New Roman"/>
          <w:sz w:val="24"/>
        </w:rPr>
        <w:t>cieľom vyplniť vzor EU CR3, ktorý je uvedený</w:t>
      </w:r>
      <w:r w:rsidR="00A3389E">
        <w:rPr>
          <w:rFonts w:ascii="Times New Roman" w:hAnsi="Times New Roman" w:cs="Times New Roman"/>
          <w:sz w:val="24"/>
        </w:rPr>
        <w:t xml:space="preserve"> v </w:t>
      </w:r>
      <w:r w:rsidRPr="00A3389E">
        <w:rPr>
          <w:rFonts w:ascii="Times New Roman" w:hAnsi="Times New Roman" w:cs="Times New Roman"/>
          <w:sz w:val="24"/>
        </w:rPr>
        <w:t>prílohe XVII</w:t>
      </w:r>
      <w:r w:rsidR="00A3389E">
        <w:rPr>
          <w:rFonts w:ascii="Times New Roman" w:hAnsi="Times New Roman" w:cs="Times New Roman"/>
          <w:sz w:val="24"/>
        </w:rPr>
        <w:t xml:space="preserve"> k </w:t>
      </w:r>
      <w:r w:rsidRPr="00A3389E">
        <w:rPr>
          <w:rFonts w:ascii="Times New Roman" w:hAnsi="Times New Roman" w:cs="Times New Roman"/>
          <w:sz w:val="24"/>
        </w:rPr>
        <w:t>tomuto vykonávaciemu nariadeniu.</w:t>
      </w:r>
    </w:p>
    <w:p w14:paraId="3A1364BD" w14:textId="10B8CBF0" w:rsidR="001C2E4C" w:rsidRPr="00B2251E" w:rsidRDefault="001C2E4C" w:rsidP="00B2251E">
      <w:pPr>
        <w:jc w:val="both"/>
        <w:rPr>
          <w:rFonts w:ascii="Times New Roman" w:eastAsia="Times New Roman" w:hAnsi="Times New Roman" w:cs="Times New Roman"/>
          <w:b/>
          <w:iCs/>
          <w:spacing w:val="-4"/>
          <w:sz w:val="24"/>
        </w:rPr>
      </w:pPr>
      <w:r w:rsidRPr="00B2251E">
        <w:rPr>
          <w:rFonts w:ascii="Times New Roman" w:hAnsi="Times New Roman" w:cs="Times New Roman"/>
          <w:spacing w:val="-4"/>
          <w:sz w:val="24"/>
        </w:rPr>
        <w:t>Tento vzor sa týka všetkých postupov zmierňovania kreditného rizika uznaných podľa uplatniteľného účtovného rámca bez ohľadu na to, či sú tieto postupy uznané podľa CRR,</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to aj vrátane, okrem iného, všetkých druhov kolaterálu, finančných záruk</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kreditných derivátov použitých pri všetkých zabezpečených expozíciách bez ohľadu na to, či sa na výpočet hodnôt rizikovo vážených expozícií (RWEA) používa štandardizovaný prístup alebo prístup IRB.</w:t>
      </w:r>
      <w:r w:rsidRPr="00B2251E">
        <w:rPr>
          <w:rFonts w:ascii="Times New Roman" w:hAnsi="Times New Roman" w:cs="Times New Roman"/>
          <w:iCs/>
          <w:spacing w:val="-4"/>
          <w:sz w:val="24"/>
        </w:rPr>
        <w:t xml:space="preserve"> Inštitúcie dopĺňajú vzor slovným komentárom na vysvetlenie akýchkoľvek významných zmien za obdobie zverejňovania informácií, ako aj kľúčových faktorov takýchto zmien.</w:t>
      </w:r>
    </w:p>
    <w:p w14:paraId="150C818D" w14:textId="77777777" w:rsidR="001C2E4C" w:rsidRPr="00A3389E" w:rsidRDefault="001C2E4C" w:rsidP="00B2251E">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A3389E"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A3389E" w:rsidRDefault="001C2E4C"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3A8A7EF9" w:rsidR="001C2E4C" w:rsidRPr="00A3389E" w:rsidRDefault="001C2E4C"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1C2E4C" w:rsidRPr="00A3389E"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A3389E"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A3389E" w:rsidRDefault="001C2E4C" w:rsidP="00155C96">
            <w:pPr>
              <w:spacing w:after="120"/>
              <w:rPr>
                <w:rFonts w:ascii="Times New Roman" w:hAnsi="Times New Roman" w:cs="Times New Roman"/>
                <w:b/>
                <w:sz w:val="24"/>
              </w:rPr>
            </w:pPr>
            <w:r w:rsidRPr="00A3389E">
              <w:rPr>
                <w:rFonts w:ascii="Times New Roman" w:hAnsi="Times New Roman" w:cs="Times New Roman"/>
                <w:b/>
                <w:sz w:val="24"/>
              </w:rPr>
              <w:t>Vysvetlenie</w:t>
            </w:r>
          </w:p>
        </w:tc>
      </w:tr>
      <w:tr w:rsidR="001C2E4C" w:rsidRPr="00A3389E" w14:paraId="33083224" w14:textId="77777777" w:rsidTr="00155C96">
        <w:trPr>
          <w:trHeight w:val="316"/>
        </w:trPr>
        <w:tc>
          <w:tcPr>
            <w:tcW w:w="1413" w:type="dxa"/>
          </w:tcPr>
          <w:p w14:paraId="51124D3C" w14:textId="77777777" w:rsidR="001C2E4C" w:rsidRPr="00A3389E" w:rsidRDefault="001C2E4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a</w:t>
            </w:r>
          </w:p>
        </w:tc>
        <w:tc>
          <w:tcPr>
            <w:tcW w:w="7654" w:type="dxa"/>
          </w:tcPr>
          <w:p w14:paraId="032CB142" w14:textId="77777777" w:rsidR="00A3389E" w:rsidRPr="00A3389E" w:rsidRDefault="001C2E4C"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Nezabezpečená účtovná hodnota</w:t>
            </w:r>
            <w:r w:rsidR="00A3389E" w:rsidRPr="00A3389E">
              <w:rPr>
                <w:rFonts w:ascii="Times New Roman" w:hAnsi="Times New Roman" w:cs="Times New Roman"/>
                <w:b/>
                <w:iCs/>
                <w:sz w:val="24"/>
              </w:rPr>
              <w:t>:</w:t>
            </w:r>
          </w:p>
          <w:p w14:paraId="22010F1A" w14:textId="3C4DED00" w:rsidR="00A3389E" w:rsidRPr="00A3389E" w:rsidRDefault="001C2E4C" w:rsidP="00155C96">
            <w:pPr>
              <w:autoSpaceDE w:val="0"/>
              <w:autoSpaceDN w:val="0"/>
              <w:adjustRightInd w:val="0"/>
              <w:spacing w:after="120"/>
              <w:jc w:val="both"/>
              <w:rPr>
                <w:rFonts w:ascii="Times New Roman" w:hAnsi="Times New Roman" w:cs="Times New Roman"/>
                <w:iCs/>
                <w:sz w:val="24"/>
              </w:rPr>
            </w:pPr>
            <w:r w:rsidRPr="00A3389E">
              <w:rPr>
                <w:rFonts w:ascii="Times New Roman" w:hAnsi="Times New Roman" w:cs="Times New Roman"/>
                <w:iCs/>
                <w:sz w:val="24"/>
              </w:rPr>
              <w:t>Účtovná hodnota expozícií (po odpočítaní opravných položiek/znížení hodnôt),</w:t>
            </w:r>
            <w:r w:rsidR="00A3389E">
              <w:rPr>
                <w:rFonts w:ascii="Times New Roman" w:hAnsi="Times New Roman" w:cs="Times New Roman"/>
                <w:iCs/>
                <w:sz w:val="24"/>
              </w:rPr>
              <w:t xml:space="preserve"> v </w:t>
            </w:r>
            <w:r w:rsidRPr="00A3389E">
              <w:rPr>
                <w:rFonts w:ascii="Times New Roman" w:hAnsi="Times New Roman" w:cs="Times New Roman"/>
                <w:iCs/>
                <w:sz w:val="24"/>
              </w:rPr>
              <w:t>prípade ktorých sa nevyužíva žiadny postup zmierňovania kreditného rizika, bez ohľadu na to, či je tento postup uznaný podľa CRR</w:t>
            </w:r>
            <w:r w:rsidR="00A3389E" w:rsidRPr="00A3389E">
              <w:rPr>
                <w:rFonts w:ascii="Times New Roman" w:hAnsi="Times New Roman" w:cs="Times New Roman"/>
                <w:iCs/>
                <w:sz w:val="24"/>
              </w:rPr>
              <w:t>.</w:t>
            </w:r>
          </w:p>
          <w:p w14:paraId="43B5DDBB" w14:textId="668F496F" w:rsidR="001C2E4C" w:rsidRPr="00A3389E" w:rsidRDefault="001C2E4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iCs/>
                <w:sz w:val="24"/>
              </w:rPr>
              <w:t>Vzťahuje sa najmä na expozície, pri ktorých nebol založený kolaterál ani nebola prijatá finančná záruka. Nezabezpečená časť čiastočne zabezpečenej alebo čiastočne zaručenej expozície sa nezahŕňa.</w:t>
            </w:r>
          </w:p>
        </w:tc>
      </w:tr>
      <w:tr w:rsidR="001C2E4C" w:rsidRPr="00A3389E" w14:paraId="58BFB6E3" w14:textId="77777777" w:rsidTr="00155C96">
        <w:trPr>
          <w:trHeight w:val="316"/>
        </w:trPr>
        <w:tc>
          <w:tcPr>
            <w:tcW w:w="1413" w:type="dxa"/>
          </w:tcPr>
          <w:p w14:paraId="5C78556F" w14:textId="77777777" w:rsidR="001C2E4C" w:rsidRPr="00A3389E" w:rsidRDefault="001C2E4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b</w:t>
            </w:r>
          </w:p>
        </w:tc>
        <w:tc>
          <w:tcPr>
            <w:tcW w:w="7654" w:type="dxa"/>
          </w:tcPr>
          <w:p w14:paraId="5AFC4B3C" w14:textId="77777777" w:rsidR="00A3389E" w:rsidRPr="00A3389E" w:rsidRDefault="001C2E4C"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Zabezpečená účtovná hodnota</w:t>
            </w:r>
            <w:r w:rsidR="00A3389E" w:rsidRPr="00A3389E">
              <w:rPr>
                <w:rFonts w:ascii="Times New Roman" w:hAnsi="Times New Roman" w:cs="Times New Roman"/>
                <w:b/>
                <w:iCs/>
                <w:sz w:val="24"/>
              </w:rPr>
              <w:t>:</w:t>
            </w:r>
          </w:p>
          <w:p w14:paraId="34A5E0D0" w14:textId="5602AC94" w:rsidR="001C2E4C" w:rsidRPr="00A3389E" w:rsidRDefault="001C2E4C"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Účtovná hodnota expozícií,</w:t>
            </w:r>
            <w:r w:rsidR="00A3389E">
              <w:rPr>
                <w:rFonts w:ascii="Times New Roman" w:hAnsi="Times New Roman" w:cs="Times New Roman"/>
                <w:iCs/>
                <w:sz w:val="24"/>
              </w:rPr>
              <w:t xml:space="preserve"> s </w:t>
            </w:r>
            <w:r w:rsidRPr="00A3389E">
              <w:rPr>
                <w:rFonts w:ascii="Times New Roman" w:hAnsi="Times New Roman" w:cs="Times New Roman"/>
                <w:iCs/>
                <w:sz w:val="24"/>
              </w:rPr>
              <w:t>ktorými sa spája aspoň jeden postup zmierňovania kreditného rizika (kolaterál, finančné záruky, kreditné deriváty).</w:t>
            </w:r>
          </w:p>
          <w:p w14:paraId="5AAE6B78" w14:textId="5C36C7A0" w:rsidR="001C2E4C" w:rsidRPr="00B2251E" w:rsidRDefault="001C2E4C" w:rsidP="00155C96">
            <w:pPr>
              <w:autoSpaceDE w:val="0"/>
              <w:autoSpaceDN w:val="0"/>
              <w:adjustRightInd w:val="0"/>
              <w:spacing w:after="120"/>
              <w:jc w:val="both"/>
              <w:rPr>
                <w:rFonts w:ascii="Times New Roman" w:eastAsia="Times New Roman" w:hAnsi="Times New Roman" w:cs="Times New Roman"/>
                <w:iCs/>
                <w:spacing w:val="-6"/>
                <w:sz w:val="24"/>
              </w:rPr>
            </w:pPr>
            <w:r w:rsidRPr="00B2251E">
              <w:rPr>
                <w:rFonts w:ascii="Times New Roman" w:hAnsi="Times New Roman" w:cs="Times New Roman"/>
                <w:iCs/>
                <w:spacing w:val="-6"/>
                <w:sz w:val="24"/>
              </w:rPr>
              <w:t>Ak hodnota kolaterálu, finančných záruk</w:t>
            </w:r>
            <w:r w:rsidR="00A3389E" w:rsidRPr="00B2251E">
              <w:rPr>
                <w:rFonts w:ascii="Times New Roman" w:hAnsi="Times New Roman" w:cs="Times New Roman"/>
                <w:iCs/>
                <w:spacing w:val="-6"/>
                <w:sz w:val="24"/>
              </w:rPr>
              <w:t xml:space="preserve"> a </w:t>
            </w:r>
            <w:r w:rsidRPr="00B2251E">
              <w:rPr>
                <w:rFonts w:ascii="Times New Roman" w:hAnsi="Times New Roman" w:cs="Times New Roman"/>
                <w:iCs/>
                <w:spacing w:val="-6"/>
                <w:sz w:val="24"/>
              </w:rPr>
              <w:t>kreditných derivátov zabezpečujúcich expozíciu presahuje účtovnú hodnotu uvedenej expozície, zahŕňajú sa len hodnoty do výšky účtovnej hodnoty uvedenej expozície. Ak účtovná hodnota expozície presahuje hodnotu kolaterálu, finančných záruk</w:t>
            </w:r>
            <w:r w:rsidR="00A3389E" w:rsidRPr="00B2251E">
              <w:rPr>
                <w:rFonts w:ascii="Times New Roman" w:hAnsi="Times New Roman" w:cs="Times New Roman"/>
                <w:iCs/>
                <w:spacing w:val="-6"/>
                <w:sz w:val="24"/>
              </w:rPr>
              <w:t xml:space="preserve"> a </w:t>
            </w:r>
            <w:r w:rsidRPr="00B2251E">
              <w:rPr>
                <w:rFonts w:ascii="Times New Roman" w:hAnsi="Times New Roman" w:cs="Times New Roman"/>
                <w:iCs/>
                <w:spacing w:val="-6"/>
                <w:sz w:val="24"/>
              </w:rPr>
              <w:t>kreditných derivátov zabezpečujúcich uvedenú expozíciu, zahŕňa sa celá účtovná hodnota uvedenej expozície.</w:t>
            </w:r>
          </w:p>
          <w:p w14:paraId="705DC79D" w14:textId="06CFF3C6" w:rsidR="001C2E4C" w:rsidRPr="00A3389E" w:rsidRDefault="001C2E4C" w:rsidP="00155C96">
            <w:pPr>
              <w:autoSpaceDE w:val="0"/>
              <w:autoSpaceDN w:val="0"/>
              <w:adjustRightInd w:val="0"/>
              <w:spacing w:after="120"/>
              <w:jc w:val="both"/>
              <w:rPr>
                <w:rFonts w:ascii="Times New Roman" w:eastAsia="Times New Roman" w:hAnsi="Times New Roman" w:cs="Times New Roman"/>
                <w:sz w:val="24"/>
              </w:rPr>
            </w:pPr>
            <w:r w:rsidRPr="00B2251E">
              <w:rPr>
                <w:rFonts w:ascii="Times New Roman" w:hAnsi="Times New Roman" w:cs="Times New Roman"/>
                <w:iCs/>
                <w:spacing w:val="-6"/>
                <w:sz w:val="24"/>
              </w:rPr>
              <w:t xml:space="preserve">Na účely nasledujúcich stĺpcov </w:t>
            </w:r>
            <w:r w:rsidRPr="00B2251E">
              <w:rPr>
                <w:rFonts w:ascii="Times New Roman" w:hAnsi="Times New Roman" w:cs="Times New Roman"/>
                <w:i/>
                <w:iCs/>
                <w:spacing w:val="-6"/>
                <w:sz w:val="24"/>
              </w:rPr>
              <w:t>c</w:t>
            </w:r>
            <w:r w:rsidRPr="00B2251E">
              <w:rPr>
                <w:rFonts w:ascii="Times New Roman" w:hAnsi="Times New Roman" w:cs="Times New Roman"/>
                <w:iCs/>
                <w:spacing w:val="-6"/>
                <w:sz w:val="24"/>
              </w:rPr>
              <w:t xml:space="preserve">, </w:t>
            </w:r>
            <w:r w:rsidRPr="00B2251E">
              <w:rPr>
                <w:rFonts w:ascii="Times New Roman" w:hAnsi="Times New Roman" w:cs="Times New Roman"/>
                <w:i/>
                <w:iCs/>
                <w:spacing w:val="-6"/>
                <w:sz w:val="24"/>
              </w:rPr>
              <w:t>d</w:t>
            </w:r>
            <w:r w:rsidR="00A3389E" w:rsidRPr="00B2251E">
              <w:rPr>
                <w:rFonts w:ascii="Times New Roman" w:hAnsi="Times New Roman" w:cs="Times New Roman"/>
                <w:iCs/>
                <w:spacing w:val="-6"/>
                <w:sz w:val="24"/>
              </w:rPr>
              <w:t xml:space="preserve"> a </w:t>
            </w:r>
            <w:r w:rsidRPr="00B2251E">
              <w:rPr>
                <w:rFonts w:ascii="Times New Roman" w:hAnsi="Times New Roman" w:cs="Times New Roman"/>
                <w:i/>
                <w:iCs/>
                <w:spacing w:val="-6"/>
                <w:sz w:val="24"/>
              </w:rPr>
              <w:t>e</w:t>
            </w:r>
            <w:r w:rsidRPr="00B2251E">
              <w:rPr>
                <w:rFonts w:ascii="Times New Roman" w:hAnsi="Times New Roman" w:cs="Times New Roman"/>
                <w:iCs/>
                <w:spacing w:val="-6"/>
                <w:sz w:val="24"/>
              </w:rPr>
              <w:t xml:space="preserve"> sa účtovná hodnota viacnásobne zabezpečených expozícií priraďuje</w:t>
            </w:r>
            <w:r w:rsidR="00A3389E" w:rsidRPr="00B2251E">
              <w:rPr>
                <w:rFonts w:ascii="Times New Roman" w:hAnsi="Times New Roman" w:cs="Times New Roman"/>
                <w:iCs/>
                <w:spacing w:val="-6"/>
                <w:sz w:val="24"/>
              </w:rPr>
              <w:t xml:space="preserve"> k </w:t>
            </w:r>
            <w:r w:rsidRPr="00B2251E">
              <w:rPr>
                <w:rFonts w:ascii="Times New Roman" w:hAnsi="Times New Roman" w:cs="Times New Roman"/>
                <w:iCs/>
                <w:spacing w:val="-6"/>
                <w:sz w:val="24"/>
              </w:rPr>
              <w:t>ich jednotlivým postupom zmierňovania kreditného rizika podľa priority, pričom sa začína postupom zmierňovania kreditného rizika, pri ktorom sa očakáva, že bude</w:t>
            </w:r>
            <w:r w:rsidR="00A3389E" w:rsidRPr="00B2251E">
              <w:rPr>
                <w:rFonts w:ascii="Times New Roman" w:hAnsi="Times New Roman" w:cs="Times New Roman"/>
                <w:iCs/>
                <w:spacing w:val="-6"/>
                <w:sz w:val="24"/>
              </w:rPr>
              <w:t xml:space="preserve"> v </w:t>
            </w:r>
            <w:r w:rsidRPr="00B2251E">
              <w:rPr>
                <w:rFonts w:ascii="Times New Roman" w:hAnsi="Times New Roman" w:cs="Times New Roman"/>
                <w:iCs/>
                <w:spacing w:val="-6"/>
                <w:sz w:val="24"/>
              </w:rPr>
              <w:t>prípade neuskutočnenia platby uplatnený ako prvý,</w:t>
            </w:r>
            <w:r w:rsidR="00A3389E" w:rsidRPr="00B2251E">
              <w:rPr>
                <w:rFonts w:ascii="Times New Roman" w:hAnsi="Times New Roman" w:cs="Times New Roman"/>
                <w:iCs/>
                <w:spacing w:val="-6"/>
                <w:sz w:val="24"/>
              </w:rPr>
              <w:t xml:space="preserve"> a v </w:t>
            </w:r>
            <w:r w:rsidRPr="00B2251E">
              <w:rPr>
                <w:rFonts w:ascii="Times New Roman" w:hAnsi="Times New Roman" w:cs="Times New Roman"/>
                <w:iCs/>
                <w:spacing w:val="-6"/>
                <w:sz w:val="24"/>
              </w:rPr>
              <w:t xml:space="preserve">rámci limitov účtovnej hodnoty zabezpečených expozícií. Každá časť expozície sa zahŕňa len do jedného zo stĺpcov </w:t>
            </w:r>
            <w:r w:rsidRPr="00B2251E">
              <w:rPr>
                <w:rFonts w:ascii="Times New Roman" w:hAnsi="Times New Roman" w:cs="Times New Roman"/>
                <w:i/>
                <w:iCs/>
                <w:spacing w:val="-6"/>
                <w:sz w:val="24"/>
              </w:rPr>
              <w:t>c</w:t>
            </w:r>
            <w:r w:rsidRPr="00B2251E">
              <w:rPr>
                <w:rFonts w:ascii="Times New Roman" w:hAnsi="Times New Roman" w:cs="Times New Roman"/>
                <w:iCs/>
                <w:spacing w:val="-6"/>
                <w:sz w:val="24"/>
              </w:rPr>
              <w:t xml:space="preserve">, </w:t>
            </w:r>
            <w:r w:rsidRPr="00B2251E">
              <w:rPr>
                <w:rFonts w:ascii="Times New Roman" w:hAnsi="Times New Roman" w:cs="Times New Roman"/>
                <w:i/>
                <w:iCs/>
                <w:spacing w:val="-6"/>
                <w:sz w:val="24"/>
              </w:rPr>
              <w:t>d</w:t>
            </w:r>
            <w:r w:rsidRPr="00B2251E">
              <w:rPr>
                <w:rFonts w:ascii="Times New Roman" w:hAnsi="Times New Roman" w:cs="Times New Roman"/>
                <w:iCs/>
                <w:spacing w:val="-6"/>
                <w:sz w:val="24"/>
              </w:rPr>
              <w:t xml:space="preserve"> alebo </w:t>
            </w:r>
            <w:r w:rsidRPr="00B2251E">
              <w:rPr>
                <w:rFonts w:ascii="Times New Roman" w:hAnsi="Times New Roman" w:cs="Times New Roman"/>
                <w:i/>
                <w:iCs/>
                <w:spacing w:val="-6"/>
                <w:sz w:val="24"/>
              </w:rPr>
              <w:t>e</w:t>
            </w:r>
            <w:r w:rsidRPr="00B2251E">
              <w:rPr>
                <w:rFonts w:ascii="Times New Roman" w:hAnsi="Times New Roman" w:cs="Times New Roman"/>
                <w:iCs/>
                <w:spacing w:val="-6"/>
                <w:sz w:val="24"/>
              </w:rPr>
              <w:t xml:space="preserve"> tohto vzoru.</w:t>
            </w:r>
            <w:r w:rsidRPr="00A3389E">
              <w:rPr>
                <w:rFonts w:ascii="Times New Roman" w:hAnsi="Times New Roman" w:cs="Times New Roman"/>
                <w:iCs/>
                <w:sz w:val="24"/>
              </w:rPr>
              <w:t xml:space="preserve"> </w:t>
            </w:r>
          </w:p>
        </w:tc>
      </w:tr>
      <w:tr w:rsidR="001C2E4C" w:rsidRPr="00A3389E" w14:paraId="73EB0C4B" w14:textId="77777777" w:rsidTr="00155C96">
        <w:trPr>
          <w:trHeight w:val="316"/>
        </w:trPr>
        <w:tc>
          <w:tcPr>
            <w:tcW w:w="1413" w:type="dxa"/>
          </w:tcPr>
          <w:p w14:paraId="4DD80F2F" w14:textId="77777777" w:rsidR="001C2E4C" w:rsidRPr="00A3389E" w:rsidRDefault="001C2E4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c</w:t>
            </w:r>
          </w:p>
        </w:tc>
        <w:tc>
          <w:tcPr>
            <w:tcW w:w="7654" w:type="dxa"/>
          </w:tcPr>
          <w:p w14:paraId="579406F9" w14:textId="77777777" w:rsidR="00A3389E" w:rsidRPr="00A3389E" w:rsidRDefault="001C2E4C"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Z čoho zabezpečené kolaterálom</w:t>
            </w:r>
            <w:r w:rsidR="00A3389E" w:rsidRPr="00A3389E">
              <w:rPr>
                <w:rFonts w:ascii="Times New Roman" w:hAnsi="Times New Roman" w:cs="Times New Roman"/>
                <w:b/>
                <w:iCs/>
                <w:sz w:val="24"/>
              </w:rPr>
              <w:t>:</w:t>
            </w:r>
          </w:p>
          <w:p w14:paraId="3B317890" w14:textId="71A665AC" w:rsidR="001C2E4C" w:rsidRPr="00A3389E" w:rsidRDefault="001C2E4C"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Ide</w:t>
            </w:r>
            <w:r w:rsidR="00A3389E">
              <w:rPr>
                <w:rFonts w:ascii="Times New Roman" w:hAnsi="Times New Roman" w:cs="Times New Roman"/>
                <w:iCs/>
                <w:sz w:val="24"/>
              </w:rPr>
              <w:t xml:space="preserve"> o </w:t>
            </w:r>
            <w:r w:rsidRPr="00A3389E">
              <w:rPr>
                <w:rFonts w:ascii="Times New Roman" w:hAnsi="Times New Roman" w:cs="Times New Roman"/>
                <w:iCs/>
                <w:sz w:val="24"/>
              </w:rPr>
              <w:t xml:space="preserve">podmnožinu stĺpca </w:t>
            </w:r>
            <w:r w:rsidRPr="00A3389E">
              <w:rPr>
                <w:rFonts w:ascii="Times New Roman" w:hAnsi="Times New Roman" w:cs="Times New Roman"/>
                <w:i/>
                <w:iCs/>
                <w:sz w:val="24"/>
              </w:rPr>
              <w:t>b</w:t>
            </w:r>
            <w:r w:rsidRPr="00A3389E">
              <w:rPr>
                <w:rFonts w:ascii="Times New Roman" w:hAnsi="Times New Roman" w:cs="Times New Roman"/>
                <w:iCs/>
                <w:sz w:val="24"/>
              </w:rPr>
              <w:t xml:space="preserve"> tohto vzoru, ktorá predstavuje účtovnú hodnotu expozícií (po odpočítaní opravných položiek/znížení hodnôt) alebo častí expozícií zabezpečených kolaterálom. Ak je expozícia zabezpečená kolaterálom</w:t>
            </w:r>
            <w:r w:rsidR="00A3389E">
              <w:rPr>
                <w:rFonts w:ascii="Times New Roman" w:hAnsi="Times New Roman" w:cs="Times New Roman"/>
                <w:iCs/>
                <w:sz w:val="24"/>
              </w:rPr>
              <w:t xml:space="preserve"> a </w:t>
            </w:r>
            <w:r w:rsidRPr="00A3389E">
              <w:rPr>
                <w:rFonts w:ascii="Times New Roman" w:hAnsi="Times New Roman" w:cs="Times New Roman"/>
                <w:iCs/>
                <w:sz w:val="24"/>
              </w:rPr>
              <w:t>iným postupom/postupmi zmierňovania kreditného rizika, pri ktorých sa očakáva, že budú</w:t>
            </w:r>
            <w:r w:rsidR="00A3389E">
              <w:rPr>
                <w:rFonts w:ascii="Times New Roman" w:hAnsi="Times New Roman" w:cs="Times New Roman"/>
                <w:iCs/>
                <w:sz w:val="24"/>
              </w:rPr>
              <w:t xml:space="preserve"> v </w:t>
            </w:r>
            <w:r w:rsidRPr="00A3389E">
              <w:rPr>
                <w:rFonts w:ascii="Times New Roman" w:hAnsi="Times New Roman" w:cs="Times New Roman"/>
                <w:iCs/>
                <w:sz w:val="24"/>
              </w:rPr>
              <w:t>prípade neuskutočnenia platby uplatnené ako prvé, účtovná hodnota expozície zabezpečenej kolaterálom zodpovedá zostávajúcemu podielu expozície po zohľadnení podielov expozícií, ktoré už sú zabezpečené inými postupmi zmierňovania kreditného rizika, až do výšky účtovnej hodnoty uvedenej expozície.</w:t>
            </w:r>
          </w:p>
        </w:tc>
      </w:tr>
      <w:tr w:rsidR="001C2E4C" w:rsidRPr="00A3389E" w14:paraId="729301CB" w14:textId="77777777" w:rsidTr="00155C96">
        <w:trPr>
          <w:trHeight w:val="316"/>
        </w:trPr>
        <w:tc>
          <w:tcPr>
            <w:tcW w:w="1413" w:type="dxa"/>
          </w:tcPr>
          <w:p w14:paraId="1B438D3D" w14:textId="77777777" w:rsidR="001C2E4C" w:rsidRPr="00A3389E" w:rsidRDefault="001C2E4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d</w:t>
            </w:r>
          </w:p>
        </w:tc>
        <w:tc>
          <w:tcPr>
            <w:tcW w:w="7654" w:type="dxa"/>
          </w:tcPr>
          <w:p w14:paraId="765094F7" w14:textId="77777777" w:rsidR="00A3389E" w:rsidRPr="00A3389E" w:rsidRDefault="001C2E4C"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Z čoho zabezpečené finančnými zárukami</w:t>
            </w:r>
            <w:r w:rsidR="00A3389E" w:rsidRPr="00A3389E">
              <w:rPr>
                <w:rFonts w:ascii="Times New Roman" w:hAnsi="Times New Roman" w:cs="Times New Roman"/>
                <w:b/>
                <w:iCs/>
                <w:sz w:val="24"/>
              </w:rPr>
              <w:t>:</w:t>
            </w:r>
          </w:p>
          <w:p w14:paraId="2B2982FE" w14:textId="282AF472" w:rsidR="001C2E4C" w:rsidRPr="00B2251E" w:rsidRDefault="001C2E4C" w:rsidP="00155C96">
            <w:pPr>
              <w:autoSpaceDE w:val="0"/>
              <w:autoSpaceDN w:val="0"/>
              <w:adjustRightInd w:val="0"/>
              <w:spacing w:after="120"/>
              <w:jc w:val="both"/>
              <w:rPr>
                <w:rFonts w:ascii="Times New Roman" w:eastAsia="Times New Roman" w:hAnsi="Times New Roman" w:cs="Times New Roman"/>
                <w:iCs/>
                <w:spacing w:val="-6"/>
                <w:sz w:val="24"/>
              </w:rPr>
            </w:pPr>
            <w:r w:rsidRPr="00B2251E">
              <w:rPr>
                <w:rFonts w:ascii="Times New Roman" w:hAnsi="Times New Roman" w:cs="Times New Roman"/>
                <w:iCs/>
                <w:spacing w:val="-6"/>
                <w:sz w:val="24"/>
              </w:rPr>
              <w:t>Ide</w:t>
            </w:r>
            <w:r w:rsidR="00A3389E" w:rsidRPr="00B2251E">
              <w:rPr>
                <w:rFonts w:ascii="Times New Roman" w:hAnsi="Times New Roman" w:cs="Times New Roman"/>
                <w:iCs/>
                <w:spacing w:val="-6"/>
                <w:sz w:val="24"/>
              </w:rPr>
              <w:t xml:space="preserve"> o </w:t>
            </w:r>
            <w:r w:rsidRPr="00B2251E">
              <w:rPr>
                <w:rFonts w:ascii="Times New Roman" w:hAnsi="Times New Roman" w:cs="Times New Roman"/>
                <w:iCs/>
                <w:spacing w:val="-6"/>
                <w:sz w:val="24"/>
              </w:rPr>
              <w:t xml:space="preserve">podmnožinu stĺpca </w:t>
            </w:r>
            <w:r w:rsidRPr="00B2251E">
              <w:rPr>
                <w:rFonts w:ascii="Times New Roman" w:hAnsi="Times New Roman" w:cs="Times New Roman"/>
                <w:i/>
                <w:iCs/>
                <w:spacing w:val="-6"/>
                <w:sz w:val="24"/>
              </w:rPr>
              <w:t>b</w:t>
            </w:r>
            <w:r w:rsidRPr="00B2251E">
              <w:rPr>
                <w:rFonts w:ascii="Times New Roman" w:hAnsi="Times New Roman" w:cs="Times New Roman"/>
                <w:iCs/>
                <w:spacing w:val="-6"/>
                <w:sz w:val="24"/>
              </w:rPr>
              <w:t xml:space="preserve"> tohto vzoru, ktorá predstavuje účtovnú hodnotu expozícií (po odpočítaní opravných položiek/znížení hodnôt) alebo častí expozícií zabezpečených zárukami. Ak je expozícia zabezpečená zárukami</w:t>
            </w:r>
            <w:r w:rsidR="00A3389E" w:rsidRPr="00B2251E">
              <w:rPr>
                <w:rFonts w:ascii="Times New Roman" w:hAnsi="Times New Roman" w:cs="Times New Roman"/>
                <w:iCs/>
                <w:spacing w:val="-6"/>
                <w:sz w:val="24"/>
              </w:rPr>
              <w:t xml:space="preserve"> a </w:t>
            </w:r>
            <w:r w:rsidRPr="00B2251E">
              <w:rPr>
                <w:rFonts w:ascii="Times New Roman" w:hAnsi="Times New Roman" w:cs="Times New Roman"/>
                <w:iCs/>
                <w:spacing w:val="-6"/>
                <w:sz w:val="24"/>
              </w:rPr>
              <w:t>inými postupmi zmierňovania kreditného rizika, pri ktorých sa očakáva, že budú</w:t>
            </w:r>
            <w:r w:rsidR="00A3389E" w:rsidRPr="00B2251E">
              <w:rPr>
                <w:rFonts w:ascii="Times New Roman" w:hAnsi="Times New Roman" w:cs="Times New Roman"/>
                <w:iCs/>
                <w:spacing w:val="-6"/>
                <w:sz w:val="24"/>
              </w:rPr>
              <w:t xml:space="preserve"> v </w:t>
            </w:r>
            <w:r w:rsidRPr="00B2251E">
              <w:rPr>
                <w:rFonts w:ascii="Times New Roman" w:hAnsi="Times New Roman" w:cs="Times New Roman"/>
                <w:iCs/>
                <w:spacing w:val="-6"/>
                <w:sz w:val="24"/>
              </w:rPr>
              <w:t>prípade neuskutočnenia platby uplatnené ako prvé, účtovná hodnota expozície zabezpečenej zárukami zodpovedá zostávajúcej časti expozície po zohľadnení podielov expozície, ktoré už sú zabezpečené inými postupmi zmierňovania kreditného rizika, až do výšky účtovnej hodnoty uvedenej expozície.</w:t>
            </w:r>
          </w:p>
        </w:tc>
      </w:tr>
      <w:tr w:rsidR="001C2E4C" w:rsidRPr="00A3389E" w14:paraId="4C5B2660" w14:textId="77777777" w:rsidTr="00155C96">
        <w:trPr>
          <w:trHeight w:val="316"/>
        </w:trPr>
        <w:tc>
          <w:tcPr>
            <w:tcW w:w="1413" w:type="dxa"/>
          </w:tcPr>
          <w:p w14:paraId="0CB8B971" w14:textId="77777777" w:rsidR="001C2E4C" w:rsidRPr="00A3389E" w:rsidRDefault="001C2E4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e</w:t>
            </w:r>
          </w:p>
        </w:tc>
        <w:tc>
          <w:tcPr>
            <w:tcW w:w="7654" w:type="dxa"/>
          </w:tcPr>
          <w:p w14:paraId="36253B48" w14:textId="77777777" w:rsidR="00A3389E" w:rsidRPr="00A3389E" w:rsidRDefault="001C2E4C"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Z čoho zabezpečené kreditnými derivátmi</w:t>
            </w:r>
            <w:r w:rsidR="00A3389E" w:rsidRPr="00A3389E">
              <w:rPr>
                <w:rFonts w:ascii="Times New Roman" w:hAnsi="Times New Roman" w:cs="Times New Roman"/>
                <w:b/>
                <w:iCs/>
                <w:sz w:val="24"/>
              </w:rPr>
              <w:t>:</w:t>
            </w:r>
          </w:p>
          <w:p w14:paraId="40A31B4D" w14:textId="3017AFC3" w:rsidR="001C2E4C" w:rsidRPr="00A3389E" w:rsidRDefault="001C2E4C"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Ide</w:t>
            </w:r>
            <w:r w:rsidR="00A3389E">
              <w:rPr>
                <w:rFonts w:ascii="Times New Roman" w:hAnsi="Times New Roman" w:cs="Times New Roman"/>
                <w:iCs/>
                <w:sz w:val="24"/>
              </w:rPr>
              <w:t xml:space="preserve"> o </w:t>
            </w:r>
            <w:r w:rsidRPr="00A3389E">
              <w:rPr>
                <w:rFonts w:ascii="Times New Roman" w:hAnsi="Times New Roman" w:cs="Times New Roman"/>
                <w:iCs/>
                <w:sz w:val="24"/>
              </w:rPr>
              <w:t xml:space="preserve">podmnožinu stĺpca </w:t>
            </w:r>
            <w:r w:rsidRPr="00A3389E">
              <w:rPr>
                <w:rFonts w:ascii="Times New Roman" w:hAnsi="Times New Roman" w:cs="Times New Roman"/>
                <w:i/>
                <w:iCs/>
                <w:sz w:val="24"/>
              </w:rPr>
              <w:t>d</w:t>
            </w:r>
            <w:r w:rsidRPr="00A3389E">
              <w:rPr>
                <w:rFonts w:ascii="Times New Roman" w:hAnsi="Times New Roman" w:cs="Times New Roman"/>
                <w:iCs/>
                <w:sz w:val="24"/>
              </w:rPr>
              <w:t xml:space="preserve"> (finančné záruky) tohto vzoru, ktorá predstavuje účtovnú hodnotu expozícií (po odpočítaní opravných položiek/znížení hodnôt) alebo častí expozícií zabezpečených kreditnými derivátmi. Ak je expozícia zabezpečená kreditnými derivátmi</w:t>
            </w:r>
            <w:r w:rsidR="00A3389E">
              <w:rPr>
                <w:rFonts w:ascii="Times New Roman" w:hAnsi="Times New Roman" w:cs="Times New Roman"/>
                <w:iCs/>
                <w:sz w:val="24"/>
              </w:rPr>
              <w:t xml:space="preserve"> a </w:t>
            </w:r>
            <w:r w:rsidRPr="00A3389E">
              <w:rPr>
                <w:rFonts w:ascii="Times New Roman" w:hAnsi="Times New Roman" w:cs="Times New Roman"/>
                <w:iCs/>
                <w:sz w:val="24"/>
              </w:rPr>
              <w:t>inými postupmi zmierňovania kreditného rizika, pri ktorých sa očakáva, že budú</w:t>
            </w:r>
            <w:r w:rsidR="00A3389E">
              <w:rPr>
                <w:rFonts w:ascii="Times New Roman" w:hAnsi="Times New Roman" w:cs="Times New Roman"/>
                <w:iCs/>
                <w:sz w:val="24"/>
              </w:rPr>
              <w:t xml:space="preserve"> v </w:t>
            </w:r>
            <w:r w:rsidRPr="00A3389E">
              <w:rPr>
                <w:rFonts w:ascii="Times New Roman" w:hAnsi="Times New Roman" w:cs="Times New Roman"/>
                <w:iCs/>
                <w:sz w:val="24"/>
              </w:rPr>
              <w:t xml:space="preserve">prípade neuskutočnenia platby uplatnené ako prvé, účtovná hodnota expozície zabezpečenej kreditnými derivátmi zodpovedá zostávajúcemu podielu expozície po zohľadnení podielov expozície, ktoré už sú zabezpečené inými postupmi zmierňovania kreditného rizika, až do výšky účtovnej hodnoty uvedenej expozície. </w:t>
            </w:r>
          </w:p>
        </w:tc>
      </w:tr>
    </w:tbl>
    <w:p w14:paraId="5FDBFCB3" w14:textId="77777777" w:rsidR="001C2E4C" w:rsidRPr="00A3389E"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A3389E"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A3389E" w:rsidRDefault="001C2E4C"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riadok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08C42BEE" w:rsidR="001C2E4C" w:rsidRPr="00A3389E" w:rsidRDefault="001C2E4C"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1C2E4C" w:rsidRPr="00A3389E"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A3389E"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A3389E" w:rsidRDefault="001C2E4C" w:rsidP="00155C96">
            <w:pPr>
              <w:spacing w:after="120"/>
              <w:rPr>
                <w:rFonts w:ascii="Times New Roman" w:hAnsi="Times New Roman" w:cs="Times New Roman"/>
                <w:b/>
                <w:sz w:val="24"/>
              </w:rPr>
            </w:pPr>
            <w:r w:rsidRPr="00A3389E">
              <w:rPr>
                <w:rFonts w:ascii="Times New Roman" w:hAnsi="Times New Roman" w:cs="Times New Roman"/>
                <w:b/>
                <w:sz w:val="24"/>
              </w:rPr>
              <w:t>Vysvetlenie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A3389E"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2B4879C" w:rsidR="001C2E4C" w:rsidRPr="00A3389E" w:rsidRDefault="001C2E4C" w:rsidP="00155C96">
            <w:pPr>
              <w:spacing w:after="120"/>
              <w:jc w:val="both"/>
              <w:rPr>
                <w:rFonts w:ascii="Times New Roman" w:hAnsi="Times New Roman" w:cs="Times New Roman"/>
                <w:b/>
                <w:sz w:val="24"/>
                <w:u w:val="single"/>
                <w:lang w:val="sk-SK"/>
              </w:rPr>
            </w:pPr>
            <w:r w:rsidRPr="00A3389E">
              <w:rPr>
                <w:rFonts w:ascii="Times New Roman" w:hAnsi="Times New Roman" w:cs="Times New Roman"/>
                <w:b/>
                <w:sz w:val="24"/>
                <w:u w:val="single"/>
                <w:lang w:val="sk-SK"/>
              </w:rPr>
              <w:t>Úvery</w:t>
            </w:r>
            <w:r w:rsidR="00A3389E">
              <w:rPr>
                <w:rFonts w:ascii="Times New Roman" w:hAnsi="Times New Roman" w:cs="Times New Roman"/>
                <w:b/>
                <w:sz w:val="24"/>
                <w:u w:val="single"/>
                <w:lang w:val="sk-SK"/>
              </w:rPr>
              <w:t xml:space="preserve"> a </w:t>
            </w:r>
            <w:r w:rsidRPr="00A3389E">
              <w:rPr>
                <w:rFonts w:ascii="Times New Roman" w:hAnsi="Times New Roman" w:cs="Times New Roman"/>
                <w:b/>
                <w:sz w:val="24"/>
                <w:u w:val="single"/>
                <w:lang w:val="sk-SK"/>
              </w:rPr>
              <w:t>preddavky</w:t>
            </w:r>
          </w:p>
          <w:p w14:paraId="32C72B69" w14:textId="5B4F62F1"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„Úvery</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preddavky“ sú dlhové nástroje držané inštitúciami, ktoré nie sú cennými papiermi; táto položka zahŕňa „úvery“</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 xml:space="preserve">nariadením (EÚ) </w:t>
            </w:r>
            <w:r w:rsidR="00A3389E">
              <w:rPr>
                <w:rFonts w:ascii="Times New Roman" w:hAnsi="Times New Roman" w:cs="Times New Roman"/>
                <w:sz w:val="24"/>
                <w:lang w:val="sk-SK"/>
              </w:rPr>
              <w:t>č. </w:t>
            </w:r>
            <w:r w:rsidRPr="00A3389E">
              <w:rPr>
                <w:rFonts w:ascii="Times New Roman" w:hAnsi="Times New Roman" w:cs="Times New Roman"/>
                <w:sz w:val="24"/>
                <w:lang w:val="sk-SK"/>
              </w:rPr>
              <w:t>1071/2013 („nariadenie ECB</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bilancii sektora peňažných finančných inštitúcií“)</w:t>
            </w:r>
            <w:r w:rsidRPr="00A3389E">
              <w:rPr>
                <w:rStyle w:val="FootnoteReference"/>
                <w:rFonts w:ascii="Times New Roman" w:hAnsi="Times New Roman" w:cs="Times New Roman"/>
                <w:sz w:val="24"/>
                <w:szCs w:val="24"/>
                <w:lang w:val="sk-SK"/>
              </w:rPr>
              <w:footnoteReference w:id="34"/>
            </w:r>
            <w:r w:rsidRPr="00A3389E">
              <w:rPr>
                <w:rFonts w:ascii="Times New Roman" w:hAnsi="Times New Roman" w:cs="Times New Roman"/>
                <w:sz w:val="24"/>
                <w:lang w:val="sk-SK"/>
              </w:rPr>
              <w:t>, ako aj preddavky, ktoré nemožno klasifikovať ako „úvery“</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nariadením ECB</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bilancii sektora peňažných finančných inštitúcií, ako sa vymedzuje</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časti 1 odseku 32 prílohy</w:t>
            </w:r>
            <w:r w:rsidR="00A3389E">
              <w:rPr>
                <w:rFonts w:ascii="Times New Roman" w:hAnsi="Times New Roman" w:cs="Times New Roman"/>
                <w:sz w:val="24"/>
                <w:lang w:val="sk-SK"/>
              </w:rPr>
              <w:t xml:space="preserve"> V k </w:t>
            </w:r>
            <w:r w:rsidRPr="00A3389E">
              <w:rPr>
                <w:rFonts w:ascii="Times New Roman" w:hAnsi="Times New Roman" w:cs="Times New Roman"/>
                <w:sz w:val="24"/>
                <w:lang w:val="sk-SK"/>
              </w:rPr>
              <w:t xml:space="preserve">vykonávaciemu nariadeniu Komisie (EÚ) </w:t>
            </w:r>
            <w:r w:rsidR="00A3389E">
              <w:rPr>
                <w:rFonts w:ascii="Times New Roman" w:hAnsi="Times New Roman" w:cs="Times New Roman"/>
                <w:sz w:val="24"/>
                <w:lang w:val="sk-SK"/>
              </w:rPr>
              <w:t>č. </w:t>
            </w:r>
            <w:r w:rsidRPr="00A3389E">
              <w:rPr>
                <w:rFonts w:ascii="Times New Roman" w:hAnsi="Times New Roman" w:cs="Times New Roman"/>
                <w:sz w:val="24"/>
                <w:lang w:val="sk-SK"/>
              </w:rPr>
              <w:t>680/2014</w:t>
            </w:r>
            <w:r w:rsidRPr="00A3389E">
              <w:rPr>
                <w:rStyle w:val="FootnoteReference"/>
                <w:rFonts w:ascii="Times New Roman" w:hAnsi="Times New Roman" w:cs="Times New Roman"/>
                <w:sz w:val="24"/>
                <w:szCs w:val="24"/>
                <w:lang w:val="sk-SK"/>
              </w:rPr>
              <w:footnoteReference w:id="35"/>
            </w:r>
            <w:r w:rsidRPr="00A3389E">
              <w:rPr>
                <w:rFonts w:ascii="Times New Roman" w:hAnsi="Times New Roman" w:cs="Times New Roman"/>
                <w:sz w:val="24"/>
                <w:lang w:val="sk-SK"/>
              </w:rPr>
              <w:t>.</w:t>
            </w:r>
          </w:p>
        </w:tc>
      </w:tr>
      <w:tr w:rsidR="001C2E4C" w:rsidRPr="00A3389E"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2</w:t>
            </w:r>
          </w:p>
        </w:tc>
        <w:tc>
          <w:tcPr>
            <w:tcW w:w="8266" w:type="dxa"/>
            <w:tcBorders>
              <w:top w:val="single" w:sz="4" w:space="0" w:color="auto"/>
              <w:left w:val="single" w:sz="4" w:space="0" w:color="auto"/>
              <w:right w:val="single" w:sz="4" w:space="0" w:color="auto"/>
            </w:tcBorders>
          </w:tcPr>
          <w:p w14:paraId="610F1F0B" w14:textId="77777777" w:rsidR="001C2E4C" w:rsidRPr="00A3389E" w:rsidRDefault="001C2E4C" w:rsidP="00155C96">
            <w:pPr>
              <w:spacing w:after="120"/>
              <w:jc w:val="both"/>
              <w:rPr>
                <w:rFonts w:ascii="Times New Roman" w:hAnsi="Times New Roman" w:cs="Times New Roman"/>
                <w:b/>
                <w:sz w:val="24"/>
                <w:u w:val="single"/>
                <w:lang w:val="sk-SK"/>
              </w:rPr>
            </w:pPr>
            <w:r w:rsidRPr="00A3389E">
              <w:rPr>
                <w:rFonts w:ascii="Times New Roman" w:hAnsi="Times New Roman" w:cs="Times New Roman"/>
                <w:b/>
                <w:sz w:val="24"/>
                <w:u w:val="single"/>
                <w:lang w:val="sk-SK"/>
              </w:rPr>
              <w:t>Dlhové cenné papiere</w:t>
            </w:r>
          </w:p>
          <w:p w14:paraId="1C26E60E" w14:textId="2BD5D426"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Dlhové cenné papiere sú dlhové nástroje držané inštitúciou emitované ako cenné papiere, ktoré nie sú úvermi</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nariadením ECB</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bilancii sektora peňažných finančných inštitúcií, ako sa vymedzuje</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časti 1 odseku 31 prílohy</w:t>
            </w:r>
            <w:r w:rsidR="00A3389E">
              <w:rPr>
                <w:rFonts w:ascii="Times New Roman" w:hAnsi="Times New Roman" w:cs="Times New Roman"/>
                <w:sz w:val="24"/>
                <w:lang w:val="sk-SK"/>
              </w:rPr>
              <w:t xml:space="preserve"> V k </w:t>
            </w:r>
            <w:r w:rsidRPr="00A3389E">
              <w:rPr>
                <w:rFonts w:ascii="Times New Roman" w:hAnsi="Times New Roman" w:cs="Times New Roman"/>
                <w:sz w:val="24"/>
                <w:lang w:val="sk-SK"/>
              </w:rPr>
              <w:t xml:space="preserve">vykonávaciemu nariadeniu Komisie (EÚ) </w:t>
            </w:r>
            <w:r w:rsidR="00A3389E">
              <w:rPr>
                <w:rFonts w:ascii="Times New Roman" w:hAnsi="Times New Roman" w:cs="Times New Roman"/>
                <w:sz w:val="24"/>
                <w:lang w:val="sk-SK"/>
              </w:rPr>
              <w:t>č. </w:t>
            </w:r>
            <w:r w:rsidRPr="00A3389E">
              <w:rPr>
                <w:rFonts w:ascii="Times New Roman" w:hAnsi="Times New Roman" w:cs="Times New Roman"/>
                <w:sz w:val="24"/>
                <w:lang w:val="sk-SK"/>
              </w:rPr>
              <w:t>680/2014.</w:t>
            </w:r>
          </w:p>
        </w:tc>
      </w:tr>
      <w:tr w:rsidR="001C2E4C" w:rsidRPr="00A3389E"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3</w:t>
            </w:r>
          </w:p>
        </w:tc>
        <w:tc>
          <w:tcPr>
            <w:tcW w:w="8266" w:type="dxa"/>
            <w:tcBorders>
              <w:top w:val="single" w:sz="4" w:space="0" w:color="auto"/>
              <w:left w:val="single" w:sz="4" w:space="0" w:color="auto"/>
              <w:right w:val="single" w:sz="4" w:space="0" w:color="auto"/>
            </w:tcBorders>
          </w:tcPr>
          <w:p w14:paraId="57A37914" w14:textId="77777777" w:rsidR="001C2E4C" w:rsidRPr="00A3389E" w:rsidRDefault="001C2E4C" w:rsidP="00155C96">
            <w:pPr>
              <w:spacing w:after="120"/>
              <w:jc w:val="both"/>
              <w:rPr>
                <w:rFonts w:ascii="Times New Roman" w:hAnsi="Times New Roman" w:cs="Times New Roman"/>
                <w:b/>
                <w:sz w:val="24"/>
                <w:u w:val="single"/>
                <w:lang w:val="sk-SK"/>
              </w:rPr>
            </w:pPr>
            <w:r w:rsidRPr="00A3389E">
              <w:rPr>
                <w:rFonts w:ascii="Times New Roman" w:hAnsi="Times New Roman" w:cs="Times New Roman"/>
                <w:b/>
                <w:sz w:val="24"/>
                <w:u w:val="single"/>
                <w:lang w:val="sk-SK"/>
              </w:rPr>
              <w:t>Spolu</w:t>
            </w:r>
          </w:p>
          <w:p w14:paraId="3568E0D6" w14:textId="6A6B79E8"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Súčet hodnôt</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riadkoch 1</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2 tohto vzoru</w:t>
            </w:r>
          </w:p>
        </w:tc>
      </w:tr>
      <w:tr w:rsidR="001C2E4C" w:rsidRPr="00A3389E"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4</w:t>
            </w:r>
          </w:p>
        </w:tc>
        <w:tc>
          <w:tcPr>
            <w:tcW w:w="8266" w:type="dxa"/>
            <w:tcBorders>
              <w:top w:val="single" w:sz="4" w:space="0" w:color="auto"/>
              <w:left w:val="single" w:sz="4" w:space="0" w:color="auto"/>
              <w:right w:val="single" w:sz="4" w:space="0" w:color="auto"/>
            </w:tcBorders>
          </w:tcPr>
          <w:p w14:paraId="1F05ACD2" w14:textId="77777777" w:rsidR="001C2E4C" w:rsidRPr="00A3389E" w:rsidRDefault="001C2E4C" w:rsidP="00155C96">
            <w:pPr>
              <w:spacing w:after="120"/>
              <w:jc w:val="both"/>
              <w:rPr>
                <w:rFonts w:ascii="Times New Roman" w:hAnsi="Times New Roman" w:cs="Times New Roman"/>
                <w:b/>
                <w:sz w:val="24"/>
                <w:u w:val="single"/>
                <w:lang w:val="sk-SK"/>
              </w:rPr>
            </w:pPr>
            <w:r w:rsidRPr="00A3389E">
              <w:rPr>
                <w:rFonts w:ascii="Times New Roman" w:hAnsi="Times New Roman" w:cs="Times New Roman"/>
                <w:b/>
                <w:sz w:val="24"/>
                <w:u w:val="single"/>
                <w:lang w:val="sk-SK"/>
              </w:rPr>
              <w:t>Z čoho problémové expozície</w:t>
            </w:r>
          </w:p>
          <w:p w14:paraId="37C3C1FE"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Problémové expozície podľa článku 47a CRR</w:t>
            </w:r>
          </w:p>
        </w:tc>
      </w:tr>
      <w:tr w:rsidR="001C2E4C" w:rsidRPr="00A3389E"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EU-5</w:t>
            </w:r>
          </w:p>
        </w:tc>
        <w:tc>
          <w:tcPr>
            <w:tcW w:w="8266" w:type="dxa"/>
            <w:tcBorders>
              <w:top w:val="single" w:sz="4" w:space="0" w:color="auto"/>
              <w:left w:val="single" w:sz="4" w:space="0" w:color="auto"/>
              <w:right w:val="single" w:sz="4" w:space="0" w:color="auto"/>
            </w:tcBorders>
          </w:tcPr>
          <w:p w14:paraId="40F24979" w14:textId="529B1098" w:rsidR="001C2E4C" w:rsidRPr="00A3389E" w:rsidRDefault="001C2E4C" w:rsidP="00155C96">
            <w:pPr>
              <w:spacing w:after="120"/>
              <w:jc w:val="both"/>
              <w:rPr>
                <w:rFonts w:ascii="Times New Roman" w:hAnsi="Times New Roman" w:cs="Times New Roman"/>
                <w:b/>
                <w:sz w:val="24"/>
                <w:u w:val="single"/>
                <w:lang w:val="sk-SK"/>
              </w:rPr>
            </w:pPr>
            <w:r w:rsidRPr="00A3389E">
              <w:rPr>
                <w:rFonts w:ascii="Times New Roman" w:hAnsi="Times New Roman" w:cs="Times New Roman"/>
                <w:b/>
                <w:sz w:val="24"/>
                <w:u w:val="single"/>
                <w:lang w:val="sk-SK"/>
              </w:rPr>
              <w:t>Z čoho</w:t>
            </w:r>
            <w:r w:rsidR="00A3389E">
              <w:rPr>
                <w:rFonts w:ascii="Times New Roman" w:hAnsi="Times New Roman" w:cs="Times New Roman"/>
                <w:b/>
                <w:sz w:val="24"/>
                <w:u w:val="single"/>
                <w:lang w:val="sk-SK"/>
              </w:rPr>
              <w:t xml:space="preserve"> v </w:t>
            </w:r>
            <w:r w:rsidRPr="00A3389E">
              <w:rPr>
                <w:rFonts w:ascii="Times New Roman" w:hAnsi="Times New Roman" w:cs="Times New Roman"/>
                <w:b/>
                <w:sz w:val="24"/>
                <w:u w:val="single"/>
                <w:lang w:val="sk-SK"/>
              </w:rPr>
              <w:t>stave zlyhania</w:t>
            </w:r>
          </w:p>
          <w:p w14:paraId="29F974BC" w14:textId="080017EB" w:rsidR="001C2E4C" w:rsidRPr="00A3389E" w:rsidRDefault="001C2E4C"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Expozície</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stave zlyhania podľa článku 178 CRR.</w:t>
            </w:r>
          </w:p>
        </w:tc>
      </w:tr>
    </w:tbl>
    <w:p w14:paraId="38BCB0A6" w14:textId="77777777" w:rsidR="001C2E4C" w:rsidRPr="00A3389E" w:rsidRDefault="001C2E4C" w:rsidP="001C2E4C">
      <w:pPr>
        <w:spacing w:after="120"/>
        <w:rPr>
          <w:rFonts w:ascii="Times New Roman" w:hAnsi="Times New Roman" w:cs="Times New Roman"/>
          <w:sz w:val="24"/>
          <w:highlight w:val="yellow"/>
        </w:rPr>
      </w:pPr>
    </w:p>
    <w:p w14:paraId="39D1AEF1" w14:textId="77777777" w:rsidR="001C2E4C" w:rsidRPr="00A3389E" w:rsidRDefault="001C2E4C" w:rsidP="001C2E4C">
      <w:pPr>
        <w:spacing w:after="120"/>
        <w:rPr>
          <w:rFonts w:ascii="Times New Roman" w:hAnsi="Times New Roman" w:cs="Times New Roman"/>
          <w:sz w:val="24"/>
          <w:highlight w:val="yellow"/>
        </w:rPr>
      </w:pPr>
    </w:p>
    <w:p w14:paraId="075BB84F" w14:textId="77777777" w:rsidR="0081579E" w:rsidRPr="00A3389E" w:rsidRDefault="001C2E4C">
      <w:pPr>
        <w:rPr>
          <w:rFonts w:ascii="Times New Roman" w:hAnsi="Times New Roman" w:cs="Times New Roman"/>
          <w:b/>
          <w:sz w:val="24"/>
        </w:rPr>
        <w:sectPr w:rsidR="0081579E" w:rsidRPr="00A3389E" w:rsidSect="00155C96">
          <w:pgSz w:w="11900" w:h="16840"/>
          <w:pgMar w:top="2268" w:right="1418" w:bottom="1134" w:left="1701" w:header="709" w:footer="709" w:gutter="0"/>
          <w:pgNumType w:start="1" w:chapStyle="1"/>
          <w:cols w:space="708"/>
          <w:docGrid w:linePitch="299"/>
        </w:sectPr>
      </w:pPr>
      <w:r w:rsidRPr="00A3389E">
        <w:rPr>
          <w:rFonts w:ascii="Times New Roman" w:hAnsi="Times New Roman" w:cs="Times New Roman"/>
        </w:rPr>
        <w:br w:type="page"/>
      </w:r>
    </w:p>
    <w:p w14:paraId="577DF1A2" w14:textId="3D37DF06" w:rsidR="00563C4F" w:rsidRPr="00A3389E" w:rsidRDefault="00563C4F" w:rsidP="00563C4F">
      <w:pPr>
        <w:pStyle w:val="Annexetitre"/>
        <w:spacing w:before="0"/>
      </w:pPr>
      <w:r w:rsidRPr="00A3389E">
        <w:lastRenderedPageBreak/>
        <w:t>PRÍLOHA XX – Pokyny týkajúce sa zverejňovania informácií</w:t>
      </w:r>
      <w:r w:rsidR="00A3389E">
        <w:t xml:space="preserve"> o </w:t>
      </w:r>
      <w:r w:rsidRPr="00A3389E">
        <w:t>používaní štandardizovaného prístupu pre kreditné riziko (okrem kreditného rizika protistrany</w:t>
      </w:r>
      <w:r w:rsidR="00A3389E">
        <w:t xml:space="preserve"> a </w:t>
      </w:r>
      <w:r w:rsidRPr="00A3389E">
        <w:t>sekuritizačných pozícií)</w:t>
      </w:r>
    </w:p>
    <w:p w14:paraId="15ABB962" w14:textId="77777777" w:rsidR="00563C4F" w:rsidRPr="00A3389E" w:rsidRDefault="00563C4F" w:rsidP="00563C4F">
      <w:pPr>
        <w:spacing w:after="120"/>
        <w:rPr>
          <w:rFonts w:ascii="Times New Roman" w:hAnsi="Times New Roman" w:cs="Times New Roman"/>
          <w:sz w:val="24"/>
        </w:rPr>
      </w:pPr>
    </w:p>
    <w:p w14:paraId="77F39CCB" w14:textId="196732A1" w:rsidR="00563C4F" w:rsidRPr="00A3389E" w:rsidRDefault="00A3389E" w:rsidP="00A3389E">
      <w:pPr>
        <w:spacing w:after="120"/>
        <w:ind w:left="425" w:hanging="357"/>
        <w:jc w:val="both"/>
        <w:rPr>
          <w:rFonts w:ascii="Times New Roman" w:hAnsi="Times New Roman"/>
          <w:sz w:val="24"/>
        </w:rPr>
      </w:pPr>
      <w:r w:rsidRPr="00A3389E">
        <w:rPr>
          <w:rFonts w:ascii="Times New Roman" w:eastAsia="Calibri" w:hAnsi="Times New Roman" w:cs="Times New Roman"/>
          <w:sz w:val="24"/>
          <w:szCs w:val="22"/>
        </w:rPr>
        <w:t>1.</w:t>
      </w:r>
      <w:r w:rsidRPr="00A3389E">
        <w:rPr>
          <w:rFonts w:ascii="Times New Roman" w:eastAsia="Calibri" w:hAnsi="Times New Roman" w:cs="Times New Roman"/>
          <w:sz w:val="24"/>
          <w:szCs w:val="22"/>
        </w:rPr>
        <w:tab/>
      </w:r>
      <w:r w:rsidR="00563C4F" w:rsidRPr="00A3389E">
        <w:rPr>
          <w:rFonts w:ascii="Times New Roman" w:hAnsi="Times New Roman"/>
          <w:sz w:val="24"/>
        </w:rPr>
        <w:t>Vzory, ku ktorým sú</w:t>
      </w:r>
      <w:r>
        <w:rPr>
          <w:rFonts w:ascii="Times New Roman" w:hAnsi="Times New Roman"/>
          <w:sz w:val="24"/>
        </w:rPr>
        <w:t xml:space="preserve"> v </w:t>
      </w:r>
      <w:r w:rsidR="00563C4F" w:rsidRPr="00A3389E">
        <w:rPr>
          <w:rFonts w:ascii="Times New Roman" w:hAnsi="Times New Roman"/>
          <w:sz w:val="24"/>
        </w:rPr>
        <w:t>tejto prílohe uvedené pokyny, sa nevzťahujú na nástroje, na ktoré sa vzťahuje tretia časť hlava II kapitola 6 CRR (expozície voči kreditnému riziku protistrany), ani na nástroje, na ktoré sa vzťahujú požiadavky tretej časti hlavy II kapitoly 5 CRR (sekuritizačné expozície).</w:t>
      </w:r>
    </w:p>
    <w:p w14:paraId="57D320CA" w14:textId="46AF2B49" w:rsidR="00563C4F" w:rsidRPr="00A3389E" w:rsidRDefault="00D95507" w:rsidP="00563C4F">
      <w:pPr>
        <w:spacing w:after="120"/>
        <w:rPr>
          <w:rFonts w:ascii="Times New Roman" w:hAnsi="Times New Roman" w:cs="Times New Roman"/>
          <w:b/>
          <w:sz w:val="24"/>
        </w:rPr>
      </w:pPr>
      <w:r w:rsidRPr="00A3389E">
        <w:rPr>
          <w:rFonts w:ascii="Times New Roman" w:hAnsi="Times New Roman" w:cs="Times New Roman"/>
          <w:b/>
          <w:sz w:val="24"/>
        </w:rPr>
        <w:t xml:space="preserve">Tabuľka EU CRD – Požiadavky na zverejňovanie kvalitatívnych informácií týkajúcich sa štandardizovaného prístupu. </w:t>
      </w:r>
      <w:r w:rsidRPr="00A3389E">
        <w:rPr>
          <w:rFonts w:ascii="Times New Roman" w:hAnsi="Times New Roman" w:cs="Times New Roman"/>
          <w:sz w:val="24"/>
        </w:rPr>
        <w:t>Flexibilný formát</w:t>
      </w:r>
    </w:p>
    <w:p w14:paraId="599DC7C3" w14:textId="21DDCD4D" w:rsidR="00563C4F" w:rsidRPr="00A3389E" w:rsidRDefault="00A3389E" w:rsidP="00A3389E">
      <w:pPr>
        <w:spacing w:after="120"/>
        <w:ind w:left="425" w:hanging="357"/>
        <w:jc w:val="both"/>
        <w:rPr>
          <w:rFonts w:ascii="Times New Roman" w:hAnsi="Times New Roman"/>
          <w:sz w:val="24"/>
        </w:rPr>
      </w:pPr>
      <w:r w:rsidRPr="00A3389E">
        <w:rPr>
          <w:rFonts w:ascii="Times New Roman" w:eastAsia="Calibri" w:hAnsi="Times New Roman" w:cs="Times New Roman"/>
          <w:sz w:val="24"/>
          <w:szCs w:val="22"/>
        </w:rPr>
        <w:t>2.</w:t>
      </w:r>
      <w:r w:rsidRPr="00A3389E">
        <w:rPr>
          <w:rFonts w:ascii="Times New Roman" w:eastAsia="Calibri" w:hAnsi="Times New Roman" w:cs="Times New Roman"/>
          <w:sz w:val="24"/>
          <w:szCs w:val="22"/>
        </w:rPr>
        <w:tab/>
      </w:r>
      <w:r w:rsidR="00563C4F" w:rsidRPr="00A3389E">
        <w:rPr>
          <w:rFonts w:ascii="Times New Roman" w:hAnsi="Times New Roman"/>
          <w:sz w:val="24"/>
        </w:rPr>
        <w:t>Inštitúcie zverejňujú informácie uvedené</w:t>
      </w:r>
      <w:r>
        <w:rPr>
          <w:rFonts w:ascii="Times New Roman" w:hAnsi="Times New Roman"/>
          <w:sz w:val="24"/>
        </w:rPr>
        <w:t xml:space="preserve"> v </w:t>
      </w:r>
      <w:r w:rsidR="00563C4F" w:rsidRPr="00A3389E">
        <w:rPr>
          <w:rFonts w:ascii="Times New Roman" w:hAnsi="Times New Roman"/>
          <w:sz w:val="24"/>
        </w:rPr>
        <w:t xml:space="preserve">článku 444 písm. a) až d) nariadenia (EÚ) </w:t>
      </w:r>
      <w:r>
        <w:rPr>
          <w:rFonts w:ascii="Times New Roman" w:hAnsi="Times New Roman"/>
          <w:sz w:val="24"/>
        </w:rPr>
        <w:t>č. </w:t>
      </w:r>
      <w:r w:rsidR="00563C4F" w:rsidRPr="00A3389E">
        <w:rPr>
          <w:rFonts w:ascii="Times New Roman" w:hAnsi="Times New Roman"/>
          <w:sz w:val="24"/>
        </w:rPr>
        <w:t>575/2013</w:t>
      </w:r>
      <w:r w:rsidR="00563C4F" w:rsidRPr="00A3389E">
        <w:rPr>
          <w:rStyle w:val="FootnoteReference"/>
          <w:rFonts w:ascii="Times New Roman" w:hAnsi="Times New Roman" w:cs="Times New Roman"/>
        </w:rPr>
        <w:footnoteReference w:id="36"/>
      </w:r>
      <w:r w:rsidR="00563C4F" w:rsidRPr="00A3389E">
        <w:rPr>
          <w:rFonts w:ascii="Times New Roman" w:hAnsi="Times New Roman"/>
          <w:sz w:val="24"/>
        </w:rPr>
        <w:t xml:space="preserve"> („CRR“) podľa pokynov uvedených nižšie</w:t>
      </w:r>
      <w:r>
        <w:rPr>
          <w:rFonts w:ascii="Times New Roman" w:hAnsi="Times New Roman"/>
          <w:sz w:val="24"/>
        </w:rPr>
        <w:t xml:space="preserve"> v </w:t>
      </w:r>
      <w:r w:rsidR="00563C4F" w:rsidRPr="00A3389E">
        <w:rPr>
          <w:rFonts w:ascii="Times New Roman" w:hAnsi="Times New Roman"/>
          <w:sz w:val="24"/>
        </w:rPr>
        <w:t>tejto prílohe</w:t>
      </w:r>
      <w:r>
        <w:rPr>
          <w:rFonts w:ascii="Times New Roman" w:hAnsi="Times New Roman"/>
          <w:sz w:val="24"/>
        </w:rPr>
        <w:t xml:space="preserve"> s </w:t>
      </w:r>
      <w:r w:rsidR="00563C4F" w:rsidRPr="00A3389E">
        <w:rPr>
          <w:rFonts w:ascii="Times New Roman" w:hAnsi="Times New Roman"/>
          <w:sz w:val="24"/>
        </w:rPr>
        <w:t>cieľom vyplniť tabuľku EU CRD, ktorá je uvedená</w:t>
      </w:r>
      <w:r>
        <w:rPr>
          <w:rFonts w:ascii="Times New Roman" w:hAnsi="Times New Roman"/>
          <w:sz w:val="24"/>
        </w:rPr>
        <w:t xml:space="preserve"> v </w:t>
      </w:r>
      <w:r w:rsidR="00563C4F" w:rsidRPr="00A3389E">
        <w:rPr>
          <w:rFonts w:ascii="Times New Roman" w:hAnsi="Times New Roman"/>
          <w:sz w:val="24"/>
        </w:rPr>
        <w:t>prílohe XIX</w:t>
      </w:r>
      <w:r>
        <w:rPr>
          <w:rFonts w:ascii="Times New Roman" w:hAnsi="Times New Roman"/>
          <w:sz w:val="24"/>
        </w:rPr>
        <w:t xml:space="preserve"> k </w:t>
      </w:r>
      <w:r w:rsidR="00563C4F" w:rsidRPr="00A3389E">
        <w:rPr>
          <w:rFonts w:ascii="Times New Roman" w:hAnsi="Times New Roman"/>
          <w:sz w:val="24"/>
        </w:rPr>
        <w:t>tomuto vykonávaciemu nariadeniu.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A3389E"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A3389E" w:rsidRDefault="00563C4F"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Riadok</w:t>
            </w:r>
          </w:p>
          <w:p w14:paraId="0CBEED2B" w14:textId="77777777" w:rsidR="00563C4F" w:rsidRPr="00A3389E" w:rsidRDefault="00563C4F"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2CDC33AB" w:rsidR="00563C4F" w:rsidRPr="00A3389E" w:rsidRDefault="00563C4F"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63C4F" w:rsidRPr="00A3389E"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A3389E"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A3389E" w:rsidRDefault="00563C4F" w:rsidP="00155C96">
            <w:pPr>
              <w:spacing w:after="120"/>
              <w:rPr>
                <w:rFonts w:ascii="Times New Roman" w:hAnsi="Times New Roman" w:cs="Times New Roman"/>
                <w:b/>
                <w:sz w:val="24"/>
              </w:rPr>
            </w:pPr>
            <w:r w:rsidRPr="00A3389E">
              <w:rPr>
                <w:rFonts w:ascii="Times New Roman" w:hAnsi="Times New Roman" w:cs="Times New Roman"/>
                <w:b/>
                <w:sz w:val="24"/>
              </w:rPr>
              <w:t>Vysvetlenie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2"/>
        <w:gridCol w:w="910"/>
        <w:gridCol w:w="6760"/>
      </w:tblGrid>
      <w:tr w:rsidR="00563C4F" w:rsidRPr="00A3389E"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A3389E" w:rsidRDefault="00563C4F" w:rsidP="00155C96">
            <w:pPr>
              <w:spacing w:after="120"/>
              <w:jc w:val="center"/>
              <w:rPr>
                <w:rFonts w:ascii="Times New Roman" w:hAnsi="Times New Roman" w:cs="Times New Roman"/>
                <w:sz w:val="24"/>
                <w:lang w:val="sk-SK"/>
              </w:rPr>
            </w:pPr>
            <w:r w:rsidRPr="00A3389E">
              <w:rPr>
                <w:rFonts w:ascii="Times New Roman" w:hAnsi="Times New Roman" w:cs="Times New Roman"/>
                <w:lang w:val="sk-SK"/>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A3389E" w:rsidRDefault="00563C4F"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444 písm. a)</w:t>
            </w:r>
            <w:r w:rsidRPr="00A3389E">
              <w:rPr>
                <w:rFonts w:ascii="Times New Roman" w:hAnsi="Times New Roman" w:cs="Times New Roman"/>
                <w:sz w:val="24"/>
                <w:lang w:val="sk-SK"/>
              </w:rPr>
              <w:t xml:space="preserve">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0D754093" w:rsidR="00563C4F" w:rsidRPr="00A3389E" w:rsidRDefault="00563C4F"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Inštitúcie zverejňujú názvy nominovaných externých ratingových agentúr (ECAI)</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agentúr na podporu exportu (ECA), ktoré boli použité,</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dôvody akýchkoľvek zmien</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 xml:space="preserve">daných nomináciách počas obdobia zverejňovania informácií. </w:t>
            </w:r>
          </w:p>
        </w:tc>
      </w:tr>
      <w:tr w:rsidR="00563C4F" w:rsidRPr="00A3389E" w14:paraId="2C10014A" w14:textId="77777777" w:rsidTr="00155C96">
        <w:trPr>
          <w:trHeight w:val="1492"/>
        </w:trPr>
        <w:tc>
          <w:tcPr>
            <w:tcW w:w="1406" w:type="dxa"/>
            <w:vAlign w:val="top"/>
          </w:tcPr>
          <w:p w14:paraId="574F04C4" w14:textId="77777777" w:rsidR="00563C4F" w:rsidRPr="00A3389E" w:rsidRDefault="00563C4F" w:rsidP="00155C96">
            <w:pPr>
              <w:spacing w:after="120"/>
              <w:jc w:val="center"/>
              <w:rPr>
                <w:rFonts w:ascii="Times New Roman" w:hAnsi="Times New Roman" w:cs="Times New Roman"/>
                <w:sz w:val="24"/>
                <w:lang w:val="sk-SK"/>
              </w:rPr>
            </w:pPr>
            <w:r w:rsidRPr="00A3389E">
              <w:rPr>
                <w:rFonts w:ascii="Times New Roman" w:hAnsi="Times New Roman" w:cs="Times New Roman"/>
                <w:lang w:val="sk-SK"/>
              </w:rPr>
              <w:t>b)</w:t>
            </w:r>
          </w:p>
        </w:tc>
        <w:tc>
          <w:tcPr>
            <w:tcW w:w="883" w:type="dxa"/>
          </w:tcPr>
          <w:p w14:paraId="0D76C480" w14:textId="3D36EAB8" w:rsidR="00563C4F" w:rsidRPr="00A3389E" w:rsidRDefault="00563C4F"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444 písm. b)</w:t>
            </w:r>
            <w:r w:rsidRPr="00A3389E">
              <w:rPr>
                <w:rFonts w:ascii="Times New Roman" w:hAnsi="Times New Roman" w:cs="Times New Roman"/>
                <w:sz w:val="24"/>
                <w:lang w:val="sk-SK"/>
              </w:rPr>
              <w:t xml:space="preserve"> CRR</w:t>
            </w:r>
          </w:p>
        </w:tc>
        <w:tc>
          <w:tcPr>
            <w:tcW w:w="6783" w:type="dxa"/>
          </w:tcPr>
          <w:p w14:paraId="205D0831" w14:textId="6AF4B4BE" w:rsidR="00563C4F" w:rsidRPr="00A3389E" w:rsidRDefault="00563C4F"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Inštitúcie uvádzajú triedy expozícií uvedené</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článku 112 CRR, pre ktoré inštitúcie vypočítavajú hodnoty rizikovo vážených expozícií</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treťou časťou hlavou II kapitolou 2 CRR</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 xml:space="preserve">použitím ratingového hodnotenia nominovanej ECAI alebo ECA. </w:t>
            </w:r>
          </w:p>
        </w:tc>
      </w:tr>
      <w:tr w:rsidR="00563C4F" w:rsidRPr="00A3389E" w:rsidDel="00915DC9" w14:paraId="1018CEAB" w14:textId="77777777" w:rsidTr="00155C96">
        <w:trPr>
          <w:trHeight w:val="973"/>
        </w:trPr>
        <w:tc>
          <w:tcPr>
            <w:tcW w:w="1406" w:type="dxa"/>
            <w:vAlign w:val="top"/>
          </w:tcPr>
          <w:p w14:paraId="7D0E4447" w14:textId="77777777" w:rsidR="00563C4F" w:rsidRPr="00A3389E" w:rsidRDefault="00563C4F" w:rsidP="00155C96">
            <w:pPr>
              <w:spacing w:after="120"/>
              <w:jc w:val="center"/>
              <w:rPr>
                <w:rFonts w:ascii="Times New Roman" w:hAnsi="Times New Roman" w:cs="Times New Roman"/>
                <w:sz w:val="24"/>
                <w:lang w:val="sk-SK"/>
              </w:rPr>
            </w:pPr>
            <w:r w:rsidRPr="00A3389E">
              <w:rPr>
                <w:rFonts w:ascii="Times New Roman" w:hAnsi="Times New Roman" w:cs="Times New Roman"/>
                <w:lang w:val="sk-SK"/>
              </w:rPr>
              <w:t>c)</w:t>
            </w:r>
          </w:p>
        </w:tc>
        <w:tc>
          <w:tcPr>
            <w:tcW w:w="883" w:type="dxa"/>
          </w:tcPr>
          <w:p w14:paraId="275E542D" w14:textId="2100047A" w:rsidR="00563C4F" w:rsidRPr="00A3389E" w:rsidRDefault="00563C4F"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444 písm. c)</w:t>
            </w:r>
            <w:r w:rsidRPr="00A3389E">
              <w:rPr>
                <w:rFonts w:ascii="Times New Roman" w:hAnsi="Times New Roman" w:cs="Times New Roman"/>
                <w:sz w:val="24"/>
                <w:lang w:val="sk-SK"/>
              </w:rPr>
              <w:t xml:space="preserve"> CRR</w:t>
            </w:r>
          </w:p>
        </w:tc>
        <w:tc>
          <w:tcPr>
            <w:tcW w:w="6783" w:type="dxa"/>
          </w:tcPr>
          <w:p w14:paraId="68D009E7" w14:textId="7F1A5116" w:rsidR="00563C4F" w:rsidRPr="00A3389E" w:rsidDel="00915DC9" w:rsidRDefault="00563C4F"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Ak sa na určenie rizikovej váhy, ktorá sa má priradiť</w:t>
            </w:r>
            <w:r w:rsidR="00A3389E">
              <w:rPr>
                <w:rFonts w:ascii="Times New Roman" w:hAnsi="Times New Roman" w:cs="Times New Roman"/>
                <w:sz w:val="24"/>
                <w:lang w:val="sk-SK"/>
              </w:rPr>
              <w:t xml:space="preserve"> k </w:t>
            </w:r>
            <w:r w:rsidRPr="00A3389E">
              <w:rPr>
                <w:rFonts w:ascii="Times New Roman" w:hAnsi="Times New Roman" w:cs="Times New Roman"/>
                <w:sz w:val="24"/>
                <w:lang w:val="sk-SK"/>
              </w:rPr>
              <w:t>expozícii, ktorá nie je zahrnutá</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obchodnej knihe, používa</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treťou časťou hlavou II kapitolou 2 článkom 139 CRR ratingové hodnotenie emitenta alebo emisie, inštitúcie opisujú použitý postup.</w:t>
            </w:r>
          </w:p>
        </w:tc>
      </w:tr>
      <w:tr w:rsidR="00563C4F" w:rsidRPr="00A3389E" w14:paraId="11E18846" w14:textId="77777777" w:rsidTr="00155C96">
        <w:trPr>
          <w:trHeight w:val="1265"/>
        </w:trPr>
        <w:tc>
          <w:tcPr>
            <w:tcW w:w="1406" w:type="dxa"/>
            <w:vAlign w:val="top"/>
          </w:tcPr>
          <w:p w14:paraId="22BD313E" w14:textId="77777777" w:rsidR="00563C4F" w:rsidRPr="00A3389E" w:rsidRDefault="00563C4F" w:rsidP="00155C96">
            <w:pPr>
              <w:spacing w:after="120"/>
              <w:jc w:val="center"/>
              <w:rPr>
                <w:rFonts w:ascii="Times New Roman" w:hAnsi="Times New Roman" w:cs="Times New Roman"/>
                <w:sz w:val="24"/>
                <w:lang w:val="sk-SK"/>
              </w:rPr>
            </w:pPr>
            <w:r w:rsidRPr="00A3389E">
              <w:rPr>
                <w:rFonts w:ascii="Times New Roman" w:hAnsi="Times New Roman" w:cs="Times New Roman"/>
                <w:lang w:val="sk-SK"/>
              </w:rPr>
              <w:t>d)</w:t>
            </w:r>
          </w:p>
        </w:tc>
        <w:tc>
          <w:tcPr>
            <w:tcW w:w="883" w:type="dxa"/>
          </w:tcPr>
          <w:p w14:paraId="4F16D710" w14:textId="6583FF88" w:rsidR="00563C4F" w:rsidRPr="00A3389E" w:rsidRDefault="00563C4F"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444 písm. d) CRR</w:t>
            </w:r>
          </w:p>
        </w:tc>
        <w:tc>
          <w:tcPr>
            <w:tcW w:w="6783" w:type="dxa"/>
          </w:tcPr>
          <w:p w14:paraId="3A455BDA" w14:textId="0F5E60E2" w:rsidR="00563C4F" w:rsidRPr="00A3389E" w:rsidRDefault="00563C4F"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Pre každú</w:t>
            </w:r>
            <w:r w:rsidR="00A3389E">
              <w:rPr>
                <w:rFonts w:ascii="Times New Roman" w:hAnsi="Times New Roman" w:cs="Times New Roman"/>
                <w:sz w:val="24"/>
                <w:lang w:val="sk-SK"/>
              </w:rPr>
              <w:t xml:space="preserve"> z </w:t>
            </w:r>
            <w:r w:rsidRPr="00A3389E">
              <w:rPr>
                <w:rFonts w:ascii="Times New Roman" w:hAnsi="Times New Roman" w:cs="Times New Roman"/>
                <w:sz w:val="24"/>
                <w:lang w:val="sk-SK"/>
              </w:rPr>
              <w:t>tried expozícií uvedených</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článku 112 CRR inštitúcie uvádzajú alfanumerickú stupnicu každej nominovanej ECAI/ECA [ako sa uvádza</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riadku a) tohto vzoru]</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rizikovými váhami, ktoré zodpovedajú stupňom kreditnej kvality, ako sa stanovuje</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 xml:space="preserve">tretej časti hlave II kapitole 2 CRR, okrem situácií, keď inštitúcia dodržiava postupy štandardného priradenia, ktoré uverejnil orgán EBA. </w:t>
            </w:r>
          </w:p>
        </w:tc>
      </w:tr>
    </w:tbl>
    <w:p w14:paraId="1435A340" w14:textId="77777777" w:rsidR="00563C4F" w:rsidRPr="00B2251E" w:rsidRDefault="00563C4F" w:rsidP="00563C4F">
      <w:pPr>
        <w:spacing w:after="120"/>
        <w:rPr>
          <w:rFonts w:ascii="Times New Roman" w:hAnsi="Times New Roman" w:cs="Times New Roman"/>
          <w:sz w:val="12"/>
          <w:szCs w:val="12"/>
        </w:rPr>
      </w:pPr>
    </w:p>
    <w:p w14:paraId="68C47C1B" w14:textId="77777777" w:rsidR="00563C4F" w:rsidRPr="00B2251E" w:rsidRDefault="00563C4F" w:rsidP="00563C4F">
      <w:pPr>
        <w:spacing w:after="120"/>
        <w:rPr>
          <w:rFonts w:ascii="Times New Roman" w:hAnsi="Times New Roman" w:cs="Times New Roman"/>
          <w:sz w:val="12"/>
          <w:szCs w:val="12"/>
        </w:rPr>
      </w:pPr>
    </w:p>
    <w:p w14:paraId="54D9F7F1" w14:textId="7FF9786F" w:rsidR="00563C4F" w:rsidRPr="00A3389E" w:rsidRDefault="00CD362D" w:rsidP="00563C4F">
      <w:pPr>
        <w:spacing w:after="120"/>
        <w:rPr>
          <w:rFonts w:ascii="Times New Roman" w:hAnsi="Times New Roman" w:cs="Times New Roman"/>
          <w:sz w:val="24"/>
        </w:rPr>
      </w:pPr>
      <w:r w:rsidRPr="00A3389E">
        <w:rPr>
          <w:rFonts w:ascii="Times New Roman" w:hAnsi="Times New Roman" w:cs="Times New Roman"/>
          <w:b/>
          <w:sz w:val="24"/>
        </w:rPr>
        <w:lastRenderedPageBreak/>
        <w:t>Vzor EU CR4 – Účinky expozície voči kreditnému riziku</w:t>
      </w:r>
      <w:r w:rsidR="00A3389E">
        <w:rPr>
          <w:rFonts w:ascii="Times New Roman" w:hAnsi="Times New Roman" w:cs="Times New Roman"/>
          <w:b/>
          <w:sz w:val="24"/>
        </w:rPr>
        <w:t xml:space="preserve"> a </w:t>
      </w:r>
      <w:r w:rsidRPr="00A3389E">
        <w:rPr>
          <w:rFonts w:ascii="Times New Roman" w:hAnsi="Times New Roman" w:cs="Times New Roman"/>
          <w:b/>
          <w:sz w:val="24"/>
        </w:rPr>
        <w:t>zmierňovania kreditného rizika (CRM).</w:t>
      </w:r>
      <w:r w:rsidRPr="00A3389E">
        <w:rPr>
          <w:rFonts w:ascii="Times New Roman" w:hAnsi="Times New Roman" w:cs="Times New Roman"/>
          <w:sz w:val="24"/>
        </w:rPr>
        <w:t xml:space="preserve"> Pevný formát</w:t>
      </w:r>
    </w:p>
    <w:p w14:paraId="4909B41D" w14:textId="79517626" w:rsidR="00563C4F" w:rsidRPr="00A3389E" w:rsidRDefault="00A3389E" w:rsidP="00A3389E">
      <w:pPr>
        <w:spacing w:after="120"/>
        <w:ind w:left="425" w:hanging="357"/>
        <w:jc w:val="both"/>
        <w:rPr>
          <w:rFonts w:ascii="Times New Roman" w:hAnsi="Times New Roman"/>
          <w:sz w:val="24"/>
        </w:rPr>
      </w:pPr>
      <w:r w:rsidRPr="00A3389E">
        <w:rPr>
          <w:rFonts w:ascii="Times New Roman" w:eastAsia="Calibri" w:hAnsi="Times New Roman" w:cs="Times New Roman"/>
          <w:sz w:val="24"/>
          <w:szCs w:val="22"/>
        </w:rPr>
        <w:t>3.</w:t>
      </w:r>
      <w:r w:rsidRPr="00A3389E">
        <w:rPr>
          <w:rFonts w:ascii="Times New Roman" w:eastAsia="Calibri" w:hAnsi="Times New Roman" w:cs="Times New Roman"/>
          <w:sz w:val="24"/>
          <w:szCs w:val="22"/>
        </w:rPr>
        <w:tab/>
      </w:r>
      <w:r w:rsidR="00563C4F" w:rsidRPr="00A3389E">
        <w:rPr>
          <w:rFonts w:ascii="Times New Roman" w:hAnsi="Times New Roman"/>
          <w:sz w:val="24"/>
        </w:rPr>
        <w:t>Inštitúcie, ktoré vypočítavajú hodnoty rizikovo vážených expozícií pre kreditné riziko</w:t>
      </w:r>
      <w:r>
        <w:rPr>
          <w:rFonts w:ascii="Times New Roman" w:hAnsi="Times New Roman"/>
          <w:sz w:val="24"/>
        </w:rPr>
        <w:t xml:space="preserve"> v </w:t>
      </w:r>
      <w:r w:rsidR="00563C4F" w:rsidRPr="00A3389E">
        <w:rPr>
          <w:rFonts w:ascii="Times New Roman" w:hAnsi="Times New Roman"/>
          <w:sz w:val="24"/>
        </w:rPr>
        <w:t>súlade</w:t>
      </w:r>
      <w:r>
        <w:rPr>
          <w:rFonts w:ascii="Times New Roman" w:hAnsi="Times New Roman"/>
          <w:sz w:val="24"/>
        </w:rPr>
        <w:t xml:space="preserve"> s </w:t>
      </w:r>
      <w:r w:rsidR="00563C4F" w:rsidRPr="00A3389E">
        <w:rPr>
          <w:rFonts w:ascii="Times New Roman" w:hAnsi="Times New Roman"/>
          <w:sz w:val="24"/>
        </w:rPr>
        <w:t>treťou časťou hlavou II kapitolou 2 CRR, zverejňujú informácie uvedené</w:t>
      </w:r>
      <w:r>
        <w:rPr>
          <w:rFonts w:ascii="Times New Roman" w:hAnsi="Times New Roman"/>
          <w:sz w:val="24"/>
        </w:rPr>
        <w:t xml:space="preserve"> v </w:t>
      </w:r>
      <w:r w:rsidR="00563C4F" w:rsidRPr="00A3389E">
        <w:rPr>
          <w:rFonts w:ascii="Times New Roman" w:hAnsi="Times New Roman"/>
          <w:sz w:val="24"/>
        </w:rPr>
        <w:t>článku 453 písm. g), h)</w:t>
      </w:r>
      <w:r>
        <w:rPr>
          <w:rFonts w:ascii="Times New Roman" w:hAnsi="Times New Roman"/>
          <w:sz w:val="24"/>
        </w:rPr>
        <w:t xml:space="preserve"> a </w:t>
      </w:r>
      <w:r w:rsidR="00563C4F" w:rsidRPr="00A3389E">
        <w:rPr>
          <w:rFonts w:ascii="Times New Roman" w:hAnsi="Times New Roman"/>
          <w:sz w:val="24"/>
        </w:rPr>
        <w:t>i) CRR</w:t>
      </w:r>
      <w:r>
        <w:rPr>
          <w:rFonts w:ascii="Times New Roman" w:hAnsi="Times New Roman"/>
          <w:sz w:val="24"/>
        </w:rPr>
        <w:t xml:space="preserve"> a </w:t>
      </w:r>
      <w:r w:rsidR="00563C4F" w:rsidRPr="00A3389E">
        <w:rPr>
          <w:rFonts w:ascii="Times New Roman" w:hAnsi="Times New Roman"/>
          <w:sz w:val="24"/>
        </w:rPr>
        <w:t>článku 444 písm. e) CRR podľa pokynov uvedených nižšie</w:t>
      </w:r>
      <w:r>
        <w:rPr>
          <w:rFonts w:ascii="Times New Roman" w:hAnsi="Times New Roman"/>
          <w:sz w:val="24"/>
        </w:rPr>
        <w:t xml:space="preserve"> v </w:t>
      </w:r>
      <w:r w:rsidR="00563C4F" w:rsidRPr="00A3389E">
        <w:rPr>
          <w:rFonts w:ascii="Times New Roman" w:hAnsi="Times New Roman"/>
          <w:sz w:val="24"/>
        </w:rPr>
        <w:t>tejto prílohe</w:t>
      </w:r>
      <w:r>
        <w:rPr>
          <w:rFonts w:ascii="Times New Roman" w:hAnsi="Times New Roman"/>
          <w:sz w:val="24"/>
        </w:rPr>
        <w:t xml:space="preserve"> s </w:t>
      </w:r>
      <w:r w:rsidR="00563C4F" w:rsidRPr="00A3389E">
        <w:rPr>
          <w:rFonts w:ascii="Times New Roman" w:hAnsi="Times New Roman"/>
          <w:sz w:val="24"/>
        </w:rPr>
        <w:t>cieľom vyplniť vzor EU CR4, ktorý sa uvádza</w:t>
      </w:r>
      <w:r>
        <w:rPr>
          <w:rFonts w:ascii="Times New Roman" w:hAnsi="Times New Roman"/>
          <w:sz w:val="24"/>
        </w:rPr>
        <w:t xml:space="preserve"> v </w:t>
      </w:r>
      <w:r w:rsidR="00563C4F" w:rsidRPr="00A3389E">
        <w:rPr>
          <w:rFonts w:ascii="Times New Roman" w:hAnsi="Times New Roman"/>
          <w:sz w:val="24"/>
        </w:rPr>
        <w:t>prílohe XIX</w:t>
      </w:r>
      <w:r>
        <w:rPr>
          <w:rFonts w:ascii="Times New Roman" w:hAnsi="Times New Roman"/>
          <w:sz w:val="24"/>
        </w:rPr>
        <w:t xml:space="preserve"> k </w:t>
      </w:r>
      <w:r w:rsidR="00563C4F" w:rsidRPr="00A3389E">
        <w:rPr>
          <w:rFonts w:ascii="Times New Roman" w:hAnsi="Times New Roman"/>
          <w:sz w:val="24"/>
        </w:rPr>
        <w:t>tomuto vykonávaciemu nariadeniu.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A3389E"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A3389E" w:rsidRDefault="00563C4F"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281ABA19" w:rsidR="00563C4F" w:rsidRPr="00A3389E" w:rsidRDefault="00563C4F"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63C4F" w:rsidRPr="00A3389E"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A3389E"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A3389E" w:rsidRDefault="00563C4F" w:rsidP="00155C96">
            <w:pPr>
              <w:spacing w:after="120"/>
              <w:rPr>
                <w:rFonts w:ascii="Times New Roman" w:hAnsi="Times New Roman" w:cs="Times New Roman"/>
                <w:b/>
                <w:sz w:val="24"/>
              </w:rPr>
            </w:pPr>
            <w:r w:rsidRPr="00A3389E">
              <w:rPr>
                <w:rFonts w:ascii="Times New Roman" w:hAnsi="Times New Roman" w:cs="Times New Roman"/>
                <w:b/>
                <w:sz w:val="24"/>
              </w:rPr>
              <w:t>Vysvetlenie</w:t>
            </w:r>
          </w:p>
        </w:tc>
      </w:tr>
      <w:tr w:rsidR="00563C4F" w:rsidRPr="00A3389E" w14:paraId="72EF60FE" w14:textId="77777777" w:rsidTr="00155C96">
        <w:trPr>
          <w:trHeight w:val="316"/>
        </w:trPr>
        <w:tc>
          <w:tcPr>
            <w:tcW w:w="1413" w:type="dxa"/>
            <w:vAlign w:val="center"/>
          </w:tcPr>
          <w:p w14:paraId="4A3134D7" w14:textId="77777777" w:rsidR="00563C4F" w:rsidRPr="00A3389E" w:rsidRDefault="00563C4F"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a</w:t>
            </w:r>
          </w:p>
        </w:tc>
        <w:tc>
          <w:tcPr>
            <w:tcW w:w="7654" w:type="dxa"/>
          </w:tcPr>
          <w:p w14:paraId="77390FAA" w14:textId="600ACB79" w:rsidR="00A3389E" w:rsidRPr="00A3389E" w:rsidRDefault="00563C4F"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Expozície pred uplatnením CCF</w:t>
            </w:r>
            <w:r w:rsidR="00A3389E">
              <w:rPr>
                <w:rFonts w:ascii="Times New Roman" w:hAnsi="Times New Roman" w:cs="Times New Roman"/>
                <w:b/>
                <w:iCs/>
                <w:sz w:val="24"/>
              </w:rPr>
              <w:t xml:space="preserve"> a </w:t>
            </w:r>
            <w:r w:rsidRPr="00A3389E">
              <w:rPr>
                <w:rFonts w:ascii="Times New Roman" w:hAnsi="Times New Roman" w:cs="Times New Roman"/>
                <w:b/>
                <w:iCs/>
                <w:sz w:val="24"/>
              </w:rPr>
              <w:t>pred zmierňovaním kreditného rizika – súvahové expozície</w:t>
            </w:r>
            <w:r w:rsidR="00A3389E" w:rsidRPr="00A3389E">
              <w:rPr>
                <w:rFonts w:ascii="Times New Roman" w:hAnsi="Times New Roman" w:cs="Times New Roman"/>
                <w:b/>
                <w:iCs/>
                <w:sz w:val="24"/>
              </w:rPr>
              <w:t>:</w:t>
            </w:r>
          </w:p>
          <w:p w14:paraId="0BD12E71" w14:textId="3CBE3C4B" w:rsidR="00563C4F" w:rsidRPr="00B2251E" w:rsidRDefault="00563C4F" w:rsidP="00155C96">
            <w:pPr>
              <w:autoSpaceDE w:val="0"/>
              <w:autoSpaceDN w:val="0"/>
              <w:adjustRightInd w:val="0"/>
              <w:spacing w:after="120"/>
              <w:jc w:val="both"/>
              <w:rPr>
                <w:rFonts w:ascii="Times New Roman" w:eastAsia="Times New Roman" w:hAnsi="Times New Roman" w:cs="Times New Roman"/>
                <w:iCs/>
                <w:spacing w:val="-6"/>
                <w:sz w:val="24"/>
              </w:rPr>
            </w:pPr>
            <w:r w:rsidRPr="00B2251E">
              <w:rPr>
                <w:rFonts w:ascii="Times New Roman" w:hAnsi="Times New Roman" w:cs="Times New Roman"/>
                <w:spacing w:val="-6"/>
                <w:sz w:val="24"/>
              </w:rPr>
              <w:t>Inštitúcie zverejňujú hodnotu súvahovej expozície</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rámci prudenciálneho rozsahu konsolidácie</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súlade</w:t>
            </w:r>
            <w:r w:rsidR="00A3389E" w:rsidRPr="00B2251E">
              <w:rPr>
                <w:rFonts w:ascii="Times New Roman" w:hAnsi="Times New Roman" w:cs="Times New Roman"/>
                <w:spacing w:val="-6"/>
                <w:sz w:val="24"/>
              </w:rPr>
              <w:t xml:space="preserve"> s </w:t>
            </w:r>
            <w:r w:rsidRPr="00B2251E">
              <w:rPr>
                <w:rFonts w:ascii="Times New Roman" w:hAnsi="Times New Roman" w:cs="Times New Roman"/>
                <w:spacing w:val="-6"/>
                <w:sz w:val="24"/>
              </w:rPr>
              <w:t>článkom 111 CRR po špecifických úpravách kreditného rizika</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súlade</w:t>
            </w:r>
            <w:r w:rsidR="00A3389E" w:rsidRPr="00B2251E">
              <w:rPr>
                <w:rFonts w:ascii="Times New Roman" w:hAnsi="Times New Roman" w:cs="Times New Roman"/>
                <w:spacing w:val="-6"/>
                <w:sz w:val="24"/>
              </w:rPr>
              <w:t xml:space="preserve"> s </w:t>
            </w:r>
            <w:r w:rsidRPr="00B2251E">
              <w:rPr>
                <w:rFonts w:ascii="Times New Roman" w:hAnsi="Times New Roman" w:cs="Times New Roman"/>
                <w:spacing w:val="-6"/>
                <w:sz w:val="24"/>
              </w:rPr>
              <w:t>článkom 110 CRR, dodatočných úpravách ocenenia</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súlade</w:t>
            </w:r>
            <w:r w:rsidR="00A3389E" w:rsidRPr="00B2251E">
              <w:rPr>
                <w:rFonts w:ascii="Times New Roman" w:hAnsi="Times New Roman" w:cs="Times New Roman"/>
                <w:spacing w:val="-6"/>
                <w:sz w:val="24"/>
              </w:rPr>
              <w:t xml:space="preserve"> s </w:t>
            </w:r>
            <w:r w:rsidRPr="00B2251E">
              <w:rPr>
                <w:rFonts w:ascii="Times New Roman" w:hAnsi="Times New Roman" w:cs="Times New Roman"/>
                <w:spacing w:val="-6"/>
                <w:sz w:val="24"/>
              </w:rPr>
              <w:t>článkami 34</w:t>
            </w:r>
            <w:r w:rsidR="00A3389E" w:rsidRPr="00B2251E">
              <w:rPr>
                <w:rFonts w:ascii="Times New Roman" w:hAnsi="Times New Roman" w:cs="Times New Roman"/>
                <w:spacing w:val="-6"/>
                <w:sz w:val="24"/>
              </w:rPr>
              <w:t xml:space="preserve"> a </w:t>
            </w:r>
            <w:r w:rsidRPr="00B2251E">
              <w:rPr>
                <w:rFonts w:ascii="Times New Roman" w:hAnsi="Times New Roman" w:cs="Times New Roman"/>
                <w:spacing w:val="-6"/>
                <w:sz w:val="24"/>
              </w:rPr>
              <w:t>105 CRR, uplatnení súm odpočítaných</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súlade</w:t>
            </w:r>
            <w:r w:rsidR="00A3389E" w:rsidRPr="00B2251E">
              <w:rPr>
                <w:rFonts w:ascii="Times New Roman" w:hAnsi="Times New Roman" w:cs="Times New Roman"/>
                <w:spacing w:val="-6"/>
                <w:sz w:val="24"/>
              </w:rPr>
              <w:t xml:space="preserve"> s </w:t>
            </w:r>
            <w:r w:rsidRPr="00B2251E">
              <w:rPr>
                <w:rFonts w:ascii="Times New Roman" w:hAnsi="Times New Roman" w:cs="Times New Roman"/>
                <w:spacing w:val="-6"/>
                <w:sz w:val="24"/>
              </w:rPr>
              <w:t>článkom 36 ods. 1 písm. m) CRR, iných zníženiach vlastných zdrojov</w:t>
            </w:r>
            <w:r w:rsidR="00A3389E" w:rsidRPr="00B2251E">
              <w:rPr>
                <w:rFonts w:ascii="Times New Roman" w:hAnsi="Times New Roman" w:cs="Times New Roman"/>
                <w:spacing w:val="-6"/>
                <w:sz w:val="24"/>
              </w:rPr>
              <w:t xml:space="preserve"> a </w:t>
            </w:r>
            <w:r w:rsidRPr="00B2251E">
              <w:rPr>
                <w:rFonts w:ascii="Times New Roman" w:hAnsi="Times New Roman" w:cs="Times New Roman"/>
                <w:spacing w:val="-6"/>
                <w:sz w:val="24"/>
              </w:rPr>
              <w:t>odpisoch (podľa vymedzenia</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uplatniteľnom účtovnom rámci), ale pred i) uplatnením konverzných faktorov úverov, ako sa uvádza</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tom istom článku,</w:t>
            </w:r>
            <w:r w:rsidR="00A3389E" w:rsidRPr="00B2251E">
              <w:rPr>
                <w:rFonts w:ascii="Times New Roman" w:hAnsi="Times New Roman" w:cs="Times New Roman"/>
                <w:spacing w:val="-6"/>
                <w:sz w:val="24"/>
              </w:rPr>
              <w:t xml:space="preserve"> a </w:t>
            </w:r>
            <w:r w:rsidRPr="00B2251E">
              <w:rPr>
                <w:rFonts w:ascii="Times New Roman" w:hAnsi="Times New Roman" w:cs="Times New Roman"/>
                <w:spacing w:val="-6"/>
                <w:sz w:val="24"/>
              </w:rPr>
              <w:t>ii) uplatnením postupov zmierňovania kreditného rizika uvedených</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tretej časti hlave II kapitole 4 CRR.</w:t>
            </w:r>
            <w:r w:rsidRPr="00B2251E">
              <w:rPr>
                <w:rFonts w:ascii="Times New Roman" w:hAnsi="Times New Roman" w:cs="Times New Roman"/>
                <w:iCs/>
                <w:spacing w:val="-6"/>
                <w:sz w:val="24"/>
              </w:rPr>
              <w:t xml:space="preserve"> Na hodnoty expozícií</w:t>
            </w:r>
            <w:r w:rsidR="00A3389E" w:rsidRPr="00B2251E">
              <w:rPr>
                <w:rFonts w:ascii="Times New Roman" w:hAnsi="Times New Roman" w:cs="Times New Roman"/>
                <w:iCs/>
                <w:spacing w:val="-6"/>
                <w:sz w:val="24"/>
              </w:rPr>
              <w:t xml:space="preserve"> z </w:t>
            </w:r>
            <w:r w:rsidRPr="00B2251E">
              <w:rPr>
                <w:rFonts w:ascii="Times New Roman" w:hAnsi="Times New Roman" w:cs="Times New Roman"/>
                <w:iCs/>
                <w:spacing w:val="-6"/>
                <w:sz w:val="24"/>
              </w:rPr>
              <w:t>prenájmu sa vzťahuje článok 134 ods. 7 CRR.</w:t>
            </w:r>
            <w:r w:rsidRPr="00B2251E">
              <w:rPr>
                <w:rFonts w:ascii="Times New Roman" w:hAnsi="Times New Roman" w:cs="Times New Roman"/>
                <w:spacing w:val="-6"/>
                <w:sz w:val="24"/>
                <w:highlight w:val="yellow"/>
              </w:rPr>
              <w:t xml:space="preserve"> </w:t>
            </w:r>
          </w:p>
        </w:tc>
      </w:tr>
      <w:tr w:rsidR="00563C4F" w:rsidRPr="00A3389E" w14:paraId="19FF6081" w14:textId="77777777" w:rsidTr="00155C96">
        <w:trPr>
          <w:trHeight w:val="316"/>
        </w:trPr>
        <w:tc>
          <w:tcPr>
            <w:tcW w:w="1413" w:type="dxa"/>
            <w:vAlign w:val="center"/>
          </w:tcPr>
          <w:p w14:paraId="6468D619" w14:textId="77777777" w:rsidR="00563C4F" w:rsidRPr="00A3389E" w:rsidRDefault="00563C4F"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b</w:t>
            </w:r>
          </w:p>
        </w:tc>
        <w:tc>
          <w:tcPr>
            <w:tcW w:w="7654" w:type="dxa"/>
          </w:tcPr>
          <w:p w14:paraId="24EA7797" w14:textId="6C2EA852" w:rsidR="00563C4F" w:rsidRPr="00A3389E" w:rsidRDefault="00563C4F" w:rsidP="00155C96">
            <w:pPr>
              <w:autoSpaceDE w:val="0"/>
              <w:autoSpaceDN w:val="0"/>
              <w:adjustRightInd w:val="0"/>
              <w:spacing w:after="120"/>
              <w:jc w:val="both"/>
              <w:rPr>
                <w:rFonts w:ascii="Times New Roman" w:eastAsia="Times New Roman" w:hAnsi="Times New Roman" w:cs="Times New Roman"/>
                <w:b/>
                <w:iCs/>
                <w:sz w:val="24"/>
              </w:rPr>
            </w:pPr>
            <w:r w:rsidRPr="00A3389E">
              <w:rPr>
                <w:rFonts w:ascii="Times New Roman" w:hAnsi="Times New Roman" w:cs="Times New Roman"/>
                <w:b/>
                <w:iCs/>
                <w:sz w:val="24"/>
              </w:rPr>
              <w:t>Expozície pred uplatnením CCF</w:t>
            </w:r>
            <w:r w:rsidR="00A3389E">
              <w:rPr>
                <w:rFonts w:ascii="Times New Roman" w:hAnsi="Times New Roman" w:cs="Times New Roman"/>
                <w:b/>
                <w:iCs/>
                <w:sz w:val="24"/>
              </w:rPr>
              <w:t xml:space="preserve"> a </w:t>
            </w:r>
            <w:r w:rsidRPr="00A3389E">
              <w:rPr>
                <w:rFonts w:ascii="Times New Roman" w:hAnsi="Times New Roman" w:cs="Times New Roman"/>
                <w:b/>
                <w:iCs/>
                <w:sz w:val="24"/>
              </w:rPr>
              <w:t>pred zmierňovaním kreditného rizika – podsúvahové expozície:</w:t>
            </w:r>
          </w:p>
          <w:p w14:paraId="51FAB505" w14:textId="0774087D" w:rsidR="00563C4F" w:rsidRPr="00A3389E" w:rsidRDefault="00563C4F"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Inštitúcie zverejňujú hodnotu podsúvahových expozícií</w:t>
            </w:r>
            <w:r w:rsidR="00A3389E">
              <w:rPr>
                <w:rFonts w:ascii="Times New Roman" w:hAnsi="Times New Roman" w:cs="Times New Roman"/>
                <w:sz w:val="24"/>
              </w:rPr>
              <w:t xml:space="preserve"> v </w:t>
            </w:r>
            <w:r w:rsidRPr="00A3389E">
              <w:rPr>
                <w:rFonts w:ascii="Times New Roman" w:hAnsi="Times New Roman" w:cs="Times New Roman"/>
                <w:sz w:val="24"/>
              </w:rPr>
              <w:t>rámci prudenciálneho rozsahu konsolidácie po znížení špecifických úprav kreditného rizika</w:t>
            </w:r>
            <w:r w:rsidR="00A3389E">
              <w:rPr>
                <w:rFonts w:ascii="Times New Roman" w:hAnsi="Times New Roman" w:cs="Times New Roman"/>
                <w:sz w:val="24"/>
              </w:rPr>
              <w:t xml:space="preserve"> a </w:t>
            </w:r>
            <w:r w:rsidRPr="00A3389E">
              <w:rPr>
                <w:rFonts w:ascii="Times New Roman" w:hAnsi="Times New Roman" w:cs="Times New Roman"/>
                <w:sz w:val="24"/>
              </w:rPr>
              <w:t>uplatnení súm odpočítaných</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 ods. 1 písm. m) CRR, ale pred uplatnením konverzných faktorov úverov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111 CRR</w:t>
            </w:r>
            <w:r w:rsidR="00A3389E">
              <w:rPr>
                <w:rFonts w:ascii="Times New Roman" w:hAnsi="Times New Roman" w:cs="Times New Roman"/>
                <w:sz w:val="24"/>
              </w:rPr>
              <w:t xml:space="preserve"> a </w:t>
            </w:r>
            <w:r w:rsidRPr="00A3389E">
              <w:rPr>
                <w:rFonts w:ascii="Times New Roman" w:hAnsi="Times New Roman" w:cs="Times New Roman"/>
                <w:sz w:val="24"/>
              </w:rPr>
              <w:t>pred účinkom postupov zmierňovania kreditného rizika (pri uplatňovaní tretej časti hlavy II kapitoly 4 CRR).</w:t>
            </w:r>
          </w:p>
        </w:tc>
      </w:tr>
      <w:tr w:rsidR="00563C4F" w:rsidRPr="00A3389E" w14:paraId="054B6883" w14:textId="77777777" w:rsidTr="00155C96">
        <w:trPr>
          <w:trHeight w:val="316"/>
        </w:trPr>
        <w:tc>
          <w:tcPr>
            <w:tcW w:w="1413" w:type="dxa"/>
            <w:vAlign w:val="center"/>
          </w:tcPr>
          <w:p w14:paraId="7525E69D" w14:textId="77777777" w:rsidR="00563C4F" w:rsidRPr="00A3389E" w:rsidRDefault="00563C4F"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c</w:t>
            </w:r>
          </w:p>
        </w:tc>
        <w:tc>
          <w:tcPr>
            <w:tcW w:w="7654" w:type="dxa"/>
          </w:tcPr>
          <w:p w14:paraId="1766B4B5" w14:textId="1A9FC345" w:rsidR="00A3389E" w:rsidRPr="00A3389E" w:rsidRDefault="00563C4F"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Expozície po uplatnení CCF</w:t>
            </w:r>
            <w:r w:rsidR="00A3389E">
              <w:rPr>
                <w:rFonts w:ascii="Times New Roman" w:hAnsi="Times New Roman" w:cs="Times New Roman"/>
                <w:b/>
                <w:iCs/>
                <w:sz w:val="24"/>
              </w:rPr>
              <w:t xml:space="preserve"> a </w:t>
            </w:r>
            <w:r w:rsidRPr="00A3389E">
              <w:rPr>
                <w:rFonts w:ascii="Times New Roman" w:hAnsi="Times New Roman" w:cs="Times New Roman"/>
                <w:b/>
                <w:iCs/>
                <w:sz w:val="24"/>
              </w:rPr>
              <w:t>po zmierňovaní kreditného rizika – súvahové expozície</w:t>
            </w:r>
            <w:r w:rsidR="00A3389E" w:rsidRPr="00A3389E">
              <w:rPr>
                <w:rFonts w:ascii="Times New Roman" w:hAnsi="Times New Roman" w:cs="Times New Roman"/>
                <w:b/>
                <w:iCs/>
                <w:sz w:val="24"/>
              </w:rPr>
              <w:t>:</w:t>
            </w:r>
          </w:p>
          <w:p w14:paraId="70B5B0C5" w14:textId="763C4DF6" w:rsidR="00563C4F" w:rsidRPr="00B2251E" w:rsidRDefault="00563C4F" w:rsidP="00155C96">
            <w:pPr>
              <w:autoSpaceDE w:val="0"/>
              <w:autoSpaceDN w:val="0"/>
              <w:adjustRightInd w:val="0"/>
              <w:spacing w:after="120"/>
              <w:jc w:val="both"/>
              <w:rPr>
                <w:rFonts w:ascii="Times New Roman" w:eastAsia="Times New Roman" w:hAnsi="Times New Roman" w:cs="Times New Roman"/>
                <w:iCs/>
                <w:spacing w:val="-4"/>
                <w:sz w:val="24"/>
              </w:rPr>
            </w:pPr>
            <w:r w:rsidRPr="00B2251E">
              <w:rPr>
                <w:rFonts w:ascii="Times New Roman" w:hAnsi="Times New Roman" w:cs="Times New Roman"/>
                <w:spacing w:val="-4"/>
                <w:sz w:val="24"/>
              </w:rPr>
              <w:t>Inštitúcie zverejňujú hodnotu súvahovej expozície</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rámci prudenciálneho rozsahu konsolidácie (v súlade</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článkom 111 CRR) po špecifických úpravách kreditného rizika</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súlade</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článkom 110 CRR, dodatočných úpravách ocenenia</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súlade</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článkami 34</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105 CRR, uplatnení súm odpočítaných</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súlade</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článkom 36 ods. 1 písm. m) CRR, iných zníženiach vlastných zdrojov</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odpisoch podľa vymedzenia</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uplatniteľnom účtovnom rámci, po uplatnení všetkých zmiernení kreditného rizika</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konverzných faktorov úverov.</w:t>
            </w:r>
            <w:r w:rsidRPr="00B2251E">
              <w:rPr>
                <w:rFonts w:ascii="Times New Roman" w:hAnsi="Times New Roman" w:cs="Times New Roman"/>
                <w:iCs/>
                <w:spacing w:val="-4"/>
                <w:sz w:val="24"/>
              </w:rPr>
              <w:t xml:space="preserve"> Ide</w:t>
            </w:r>
            <w:r w:rsidR="00A3389E" w:rsidRPr="00B2251E">
              <w:rPr>
                <w:rFonts w:ascii="Times New Roman" w:hAnsi="Times New Roman" w:cs="Times New Roman"/>
                <w:iCs/>
                <w:spacing w:val="-4"/>
                <w:sz w:val="24"/>
              </w:rPr>
              <w:t xml:space="preserve"> o </w:t>
            </w:r>
            <w:r w:rsidRPr="00B2251E">
              <w:rPr>
                <w:rFonts w:ascii="Times New Roman" w:hAnsi="Times New Roman" w:cs="Times New Roman"/>
                <w:iCs/>
                <w:spacing w:val="-4"/>
                <w:sz w:val="24"/>
              </w:rPr>
              <w:t>hodnotu, na ktorú sa uplatňujú rizikové váhy (v súlade</w:t>
            </w:r>
            <w:r w:rsidR="00A3389E" w:rsidRPr="00B2251E">
              <w:rPr>
                <w:rFonts w:ascii="Times New Roman" w:hAnsi="Times New Roman" w:cs="Times New Roman"/>
                <w:iCs/>
                <w:spacing w:val="-4"/>
                <w:sz w:val="24"/>
              </w:rPr>
              <w:t xml:space="preserve"> s </w:t>
            </w:r>
            <w:r w:rsidRPr="00B2251E">
              <w:rPr>
                <w:rFonts w:ascii="Times New Roman" w:hAnsi="Times New Roman" w:cs="Times New Roman"/>
                <w:iCs/>
                <w:spacing w:val="-4"/>
                <w:sz w:val="24"/>
              </w:rPr>
              <w:t>článkom 113 CRR</w:t>
            </w:r>
            <w:r w:rsidR="00A3389E" w:rsidRPr="00B2251E">
              <w:rPr>
                <w:rFonts w:ascii="Times New Roman" w:hAnsi="Times New Roman" w:cs="Times New Roman"/>
                <w:iCs/>
                <w:spacing w:val="-4"/>
                <w:sz w:val="24"/>
              </w:rPr>
              <w:t xml:space="preserve"> a </w:t>
            </w:r>
            <w:r w:rsidRPr="00B2251E">
              <w:rPr>
                <w:rFonts w:ascii="Times New Roman" w:hAnsi="Times New Roman" w:cs="Times New Roman"/>
                <w:iCs/>
                <w:spacing w:val="-4"/>
                <w:sz w:val="24"/>
              </w:rPr>
              <w:t>treťou časťou hlavou II kapitolou 2 oddielom 1 CRR). Je to čistá ekvivalentná výška úveru po uplatnení postupov zmierňovania kreditného rizika</w:t>
            </w:r>
            <w:r w:rsidR="00A3389E" w:rsidRPr="00B2251E">
              <w:rPr>
                <w:rFonts w:ascii="Times New Roman" w:hAnsi="Times New Roman" w:cs="Times New Roman"/>
                <w:iCs/>
                <w:spacing w:val="-4"/>
                <w:sz w:val="24"/>
              </w:rPr>
              <w:t xml:space="preserve"> a </w:t>
            </w:r>
            <w:r w:rsidRPr="00B2251E">
              <w:rPr>
                <w:rFonts w:ascii="Times New Roman" w:hAnsi="Times New Roman" w:cs="Times New Roman"/>
                <w:iCs/>
                <w:spacing w:val="-4"/>
                <w:sz w:val="24"/>
              </w:rPr>
              <w:t>CCF.</w:t>
            </w:r>
          </w:p>
        </w:tc>
      </w:tr>
      <w:tr w:rsidR="00563C4F" w:rsidRPr="00A3389E" w14:paraId="53D56F9F" w14:textId="77777777" w:rsidTr="00155C96">
        <w:trPr>
          <w:trHeight w:val="316"/>
        </w:trPr>
        <w:tc>
          <w:tcPr>
            <w:tcW w:w="1413" w:type="dxa"/>
            <w:vAlign w:val="center"/>
          </w:tcPr>
          <w:p w14:paraId="38F50F48" w14:textId="77777777" w:rsidR="00563C4F" w:rsidRPr="00A3389E" w:rsidRDefault="00563C4F"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d</w:t>
            </w:r>
          </w:p>
        </w:tc>
        <w:tc>
          <w:tcPr>
            <w:tcW w:w="7654" w:type="dxa"/>
          </w:tcPr>
          <w:p w14:paraId="5F724F19" w14:textId="2C06A16A" w:rsidR="00A3389E" w:rsidRPr="00A3389E" w:rsidRDefault="00563C4F"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Expozície po uplatnení CCF</w:t>
            </w:r>
            <w:r w:rsidR="00A3389E">
              <w:rPr>
                <w:rFonts w:ascii="Times New Roman" w:hAnsi="Times New Roman" w:cs="Times New Roman"/>
                <w:b/>
                <w:iCs/>
                <w:sz w:val="24"/>
              </w:rPr>
              <w:t xml:space="preserve"> a </w:t>
            </w:r>
            <w:r w:rsidRPr="00A3389E">
              <w:rPr>
                <w:rFonts w:ascii="Times New Roman" w:hAnsi="Times New Roman" w:cs="Times New Roman"/>
                <w:b/>
                <w:iCs/>
                <w:sz w:val="24"/>
              </w:rPr>
              <w:t>po zmierňovaní kreditného rizika – podsúvahové expozície</w:t>
            </w:r>
            <w:r w:rsidR="00A3389E" w:rsidRPr="00A3389E">
              <w:rPr>
                <w:rFonts w:ascii="Times New Roman" w:hAnsi="Times New Roman" w:cs="Times New Roman"/>
                <w:b/>
                <w:iCs/>
                <w:sz w:val="24"/>
              </w:rPr>
              <w:t>:</w:t>
            </w:r>
          </w:p>
          <w:p w14:paraId="46D0D057" w14:textId="5AE2D89F" w:rsidR="00563C4F" w:rsidRPr="00A3389E" w:rsidRDefault="00563C4F"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Inštitúcie zverejňujú hodnotu podsúvahovej expozície po zohľadnení špecifických úprav kreditného rizika vymedzených</w:t>
            </w:r>
            <w:r w:rsidR="00A3389E">
              <w:rPr>
                <w:rFonts w:ascii="Times New Roman" w:hAnsi="Times New Roman" w:cs="Times New Roman"/>
                <w:iCs/>
                <w:sz w:val="24"/>
              </w:rPr>
              <w:t xml:space="preserve"> v </w:t>
            </w:r>
            <w:r w:rsidRPr="00A3389E">
              <w:rPr>
                <w:rFonts w:ascii="Times New Roman" w:hAnsi="Times New Roman" w:cs="Times New Roman"/>
                <w:iCs/>
                <w:sz w:val="24"/>
              </w:rPr>
              <w:t xml:space="preserve">delegovanom nariadení Komisie (EÚ) </w:t>
            </w:r>
            <w:r w:rsidR="00A3389E">
              <w:rPr>
                <w:rFonts w:ascii="Times New Roman" w:hAnsi="Times New Roman" w:cs="Times New Roman"/>
                <w:iCs/>
                <w:sz w:val="24"/>
              </w:rPr>
              <w:t>č. </w:t>
            </w:r>
            <w:r w:rsidRPr="00A3389E">
              <w:rPr>
                <w:rFonts w:ascii="Times New Roman" w:hAnsi="Times New Roman" w:cs="Times New Roman"/>
                <w:iCs/>
                <w:sz w:val="24"/>
              </w:rPr>
              <w:t>183/2014</w:t>
            </w:r>
            <w:r w:rsidRPr="00A3389E">
              <w:rPr>
                <w:rStyle w:val="FootnoteReference"/>
                <w:rFonts w:ascii="Times New Roman" w:eastAsia="Times New Roman" w:hAnsi="Times New Roman" w:cs="Times New Roman"/>
                <w:iCs/>
              </w:rPr>
              <w:footnoteReference w:id="37"/>
            </w:r>
            <w:r w:rsidRPr="00A3389E">
              <w:rPr>
                <w:rFonts w:ascii="Times New Roman" w:hAnsi="Times New Roman" w:cs="Times New Roman"/>
                <w:iCs/>
                <w:sz w:val="24"/>
              </w:rPr>
              <w:t>, dodatočných úprav ocenenia</w:t>
            </w:r>
            <w:r w:rsidR="00A3389E">
              <w:rPr>
                <w:rFonts w:ascii="Times New Roman" w:hAnsi="Times New Roman" w:cs="Times New Roman"/>
                <w:iCs/>
                <w:sz w:val="24"/>
              </w:rPr>
              <w:t xml:space="preserve"> a </w:t>
            </w:r>
            <w:r w:rsidRPr="00A3389E">
              <w:rPr>
                <w:rFonts w:ascii="Times New Roman" w:hAnsi="Times New Roman" w:cs="Times New Roman"/>
                <w:iCs/>
                <w:sz w:val="24"/>
              </w:rPr>
              <w:t>iných znížení vlastných zdrojov po uplatnení všetkých zmiernení kreditného rizika</w:t>
            </w:r>
            <w:r w:rsidR="00A3389E">
              <w:rPr>
                <w:rFonts w:ascii="Times New Roman" w:hAnsi="Times New Roman" w:cs="Times New Roman"/>
                <w:iCs/>
                <w:sz w:val="24"/>
              </w:rPr>
              <w:t xml:space="preserve"> a </w:t>
            </w:r>
            <w:r w:rsidRPr="00A3389E">
              <w:rPr>
                <w:rFonts w:ascii="Times New Roman" w:hAnsi="Times New Roman" w:cs="Times New Roman"/>
                <w:iCs/>
                <w:sz w:val="24"/>
              </w:rPr>
              <w:t>konverzných faktorov úverov. Ide</w:t>
            </w:r>
            <w:r w:rsidR="00A3389E">
              <w:rPr>
                <w:rFonts w:ascii="Times New Roman" w:hAnsi="Times New Roman" w:cs="Times New Roman"/>
                <w:iCs/>
                <w:sz w:val="24"/>
              </w:rPr>
              <w:t xml:space="preserve"> o </w:t>
            </w:r>
            <w:r w:rsidRPr="00A3389E">
              <w:rPr>
                <w:rFonts w:ascii="Times New Roman" w:hAnsi="Times New Roman" w:cs="Times New Roman"/>
                <w:iCs/>
                <w:sz w:val="24"/>
              </w:rPr>
              <w:t>hodnotu, na ktorú sa uplatňujú rizikové váhy (v 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113 CRR</w:t>
            </w:r>
            <w:r w:rsidR="00A3389E">
              <w:rPr>
                <w:rFonts w:ascii="Times New Roman" w:hAnsi="Times New Roman" w:cs="Times New Roman"/>
                <w:iCs/>
                <w:sz w:val="24"/>
              </w:rPr>
              <w:t xml:space="preserve"> a </w:t>
            </w:r>
            <w:r w:rsidRPr="00A3389E">
              <w:rPr>
                <w:rFonts w:ascii="Times New Roman" w:hAnsi="Times New Roman" w:cs="Times New Roman"/>
                <w:iCs/>
                <w:sz w:val="24"/>
              </w:rPr>
              <w:t>treťou časťou hlavou II kapitolou 2 oddielom 1 CRR). Je to čistá ekvivalentná výška úveru po uplatnení postupov zmierňovania kreditného rizika</w:t>
            </w:r>
            <w:r w:rsidR="00A3389E">
              <w:rPr>
                <w:rFonts w:ascii="Times New Roman" w:hAnsi="Times New Roman" w:cs="Times New Roman"/>
                <w:iCs/>
                <w:sz w:val="24"/>
              </w:rPr>
              <w:t xml:space="preserve"> a </w:t>
            </w:r>
            <w:r w:rsidRPr="00A3389E">
              <w:rPr>
                <w:rFonts w:ascii="Times New Roman" w:hAnsi="Times New Roman" w:cs="Times New Roman"/>
                <w:iCs/>
                <w:sz w:val="24"/>
              </w:rPr>
              <w:t>CCF.</w:t>
            </w:r>
          </w:p>
        </w:tc>
      </w:tr>
      <w:tr w:rsidR="00563C4F" w:rsidRPr="00A3389E" w14:paraId="783F84F2" w14:textId="77777777" w:rsidTr="00155C96">
        <w:trPr>
          <w:trHeight w:val="316"/>
        </w:trPr>
        <w:tc>
          <w:tcPr>
            <w:tcW w:w="1413" w:type="dxa"/>
            <w:vAlign w:val="center"/>
          </w:tcPr>
          <w:p w14:paraId="3E2814AF" w14:textId="77777777" w:rsidR="00563C4F" w:rsidRPr="00A3389E" w:rsidRDefault="00563C4F"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lastRenderedPageBreak/>
              <w:t>e</w:t>
            </w:r>
          </w:p>
        </w:tc>
        <w:tc>
          <w:tcPr>
            <w:tcW w:w="7654" w:type="dxa"/>
          </w:tcPr>
          <w:p w14:paraId="22AE42F6" w14:textId="77777777" w:rsidR="00563C4F" w:rsidRPr="00A3389E" w:rsidRDefault="00563C4F" w:rsidP="00155C96">
            <w:pPr>
              <w:autoSpaceDE w:val="0"/>
              <w:autoSpaceDN w:val="0"/>
              <w:adjustRightInd w:val="0"/>
              <w:spacing w:after="120"/>
              <w:jc w:val="both"/>
              <w:rPr>
                <w:rFonts w:ascii="Times New Roman" w:eastAsia="Times New Roman" w:hAnsi="Times New Roman" w:cs="Times New Roman"/>
                <w:b/>
                <w:iCs/>
                <w:sz w:val="24"/>
              </w:rPr>
            </w:pPr>
            <w:r w:rsidRPr="00A3389E">
              <w:rPr>
                <w:rFonts w:ascii="Times New Roman" w:hAnsi="Times New Roman" w:cs="Times New Roman"/>
                <w:b/>
                <w:iCs/>
                <w:sz w:val="24"/>
              </w:rPr>
              <w:t>RWEA</w:t>
            </w:r>
          </w:p>
          <w:p w14:paraId="124B927D" w14:textId="4ED60F6E" w:rsidR="00563C4F" w:rsidRPr="00A3389E" w:rsidRDefault="00563C4F"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sz w:val="24"/>
              </w:rPr>
              <w:t>Hodnoty rizikovo vážených expozícií (RWEA)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2 oddielom 1 CRR.</w:t>
            </w:r>
          </w:p>
        </w:tc>
      </w:tr>
      <w:tr w:rsidR="00563C4F" w:rsidRPr="00A3389E" w14:paraId="25CBF74C" w14:textId="77777777" w:rsidTr="00155C96">
        <w:trPr>
          <w:trHeight w:val="316"/>
        </w:trPr>
        <w:tc>
          <w:tcPr>
            <w:tcW w:w="1413" w:type="dxa"/>
            <w:vAlign w:val="center"/>
          </w:tcPr>
          <w:p w14:paraId="37DC3951" w14:textId="77777777" w:rsidR="00563C4F" w:rsidRPr="00A3389E" w:rsidRDefault="00563C4F"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f</w:t>
            </w:r>
          </w:p>
        </w:tc>
        <w:tc>
          <w:tcPr>
            <w:tcW w:w="7654" w:type="dxa"/>
          </w:tcPr>
          <w:p w14:paraId="168FA694" w14:textId="2CAE5917" w:rsidR="00563C4F" w:rsidRPr="00A3389E" w:rsidRDefault="00644661" w:rsidP="00155C96">
            <w:pPr>
              <w:autoSpaceDE w:val="0"/>
              <w:autoSpaceDN w:val="0"/>
              <w:adjustRightInd w:val="0"/>
              <w:spacing w:after="120"/>
              <w:jc w:val="both"/>
              <w:rPr>
                <w:rFonts w:ascii="Times New Roman" w:eastAsia="Times New Roman" w:hAnsi="Times New Roman" w:cs="Times New Roman"/>
                <w:b/>
                <w:iCs/>
                <w:sz w:val="24"/>
              </w:rPr>
            </w:pPr>
            <w:r w:rsidRPr="00A3389E">
              <w:rPr>
                <w:rFonts w:ascii="Times New Roman" w:hAnsi="Times New Roman" w:cs="Times New Roman"/>
                <w:b/>
                <w:iCs/>
                <w:sz w:val="24"/>
              </w:rPr>
              <w:t>Hustota RWEA</w:t>
            </w:r>
          </w:p>
          <w:p w14:paraId="1FF6408D" w14:textId="77777777" w:rsidR="00563C4F" w:rsidRPr="00A3389E" w:rsidRDefault="00563C4F"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sz w:val="24"/>
              </w:rPr>
              <w:t xml:space="preserve">[Stĺpec </w:t>
            </w:r>
            <w:r w:rsidRPr="00A3389E">
              <w:rPr>
                <w:rFonts w:ascii="Times New Roman" w:hAnsi="Times New Roman" w:cs="Times New Roman"/>
                <w:i/>
                <w:sz w:val="24"/>
              </w:rPr>
              <w:t>e</w:t>
            </w:r>
            <w:r w:rsidRPr="00A3389E">
              <w:rPr>
                <w:rFonts w:ascii="Times New Roman" w:hAnsi="Times New Roman" w:cs="Times New Roman"/>
                <w:sz w:val="24"/>
              </w:rPr>
              <w:t>/stĺpce(</w:t>
            </w:r>
            <w:r w:rsidRPr="00A3389E">
              <w:rPr>
                <w:rFonts w:ascii="Times New Roman" w:hAnsi="Times New Roman" w:cs="Times New Roman"/>
                <w:i/>
                <w:sz w:val="24"/>
              </w:rPr>
              <w:t>c</w:t>
            </w:r>
            <w:r w:rsidRPr="00A3389E">
              <w:rPr>
                <w:rFonts w:ascii="Times New Roman" w:hAnsi="Times New Roman" w:cs="Times New Roman"/>
                <w:sz w:val="24"/>
              </w:rPr>
              <w:t xml:space="preserve"> + </w:t>
            </w:r>
            <w:r w:rsidRPr="00A3389E">
              <w:rPr>
                <w:rFonts w:ascii="Times New Roman" w:hAnsi="Times New Roman" w:cs="Times New Roman"/>
                <w:i/>
                <w:sz w:val="24"/>
              </w:rPr>
              <w:t>d</w:t>
            </w:r>
            <w:r w:rsidRPr="00A3389E">
              <w:rPr>
                <w:rFonts w:ascii="Times New Roman" w:hAnsi="Times New Roman" w:cs="Times New Roman"/>
                <w:sz w:val="24"/>
              </w:rPr>
              <w:t>) tohto vzoru]</w:t>
            </w:r>
          </w:p>
          <w:p w14:paraId="45173152" w14:textId="297E8690" w:rsidR="00563C4F" w:rsidRPr="00A3389E" w:rsidRDefault="00563C4F"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sz w:val="24"/>
              </w:rPr>
              <w:t xml:space="preserve">Tento pomer sa vypočíta vydelením RWEA príslušnej triedy expozícií (stĺpec </w:t>
            </w:r>
            <w:r w:rsidRPr="00A3389E">
              <w:rPr>
                <w:rFonts w:ascii="Times New Roman" w:hAnsi="Times New Roman" w:cs="Times New Roman"/>
                <w:i/>
                <w:sz w:val="24"/>
              </w:rPr>
              <w:t>e</w:t>
            </w:r>
            <w:r w:rsidRPr="00A3389E">
              <w:rPr>
                <w:rFonts w:ascii="Times New Roman" w:hAnsi="Times New Roman" w:cs="Times New Roman"/>
                <w:sz w:val="24"/>
              </w:rPr>
              <w:t xml:space="preserve"> tohto vzoru) hodnotou príslušných expozícií po zohľadnení všetkých zmiernení kreditného rizika</w:t>
            </w:r>
            <w:r w:rsidR="00A3389E">
              <w:rPr>
                <w:rFonts w:ascii="Times New Roman" w:hAnsi="Times New Roman" w:cs="Times New Roman"/>
                <w:sz w:val="24"/>
              </w:rPr>
              <w:t xml:space="preserve"> a </w:t>
            </w:r>
            <w:r w:rsidRPr="00A3389E">
              <w:rPr>
                <w:rFonts w:ascii="Times New Roman" w:hAnsi="Times New Roman" w:cs="Times New Roman"/>
                <w:sz w:val="24"/>
              </w:rPr>
              <w:t>konverzných faktorov úverov (súčet hodnôt</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stĺpcoch </w:t>
            </w:r>
            <w:r w:rsidRPr="00A3389E">
              <w:rPr>
                <w:rFonts w:ascii="Times New Roman" w:hAnsi="Times New Roman" w:cs="Times New Roman"/>
                <w:i/>
                <w:sz w:val="24"/>
              </w:rPr>
              <w:t>c</w:t>
            </w:r>
            <w:r w:rsidR="00A3389E">
              <w:rPr>
                <w:rFonts w:ascii="Times New Roman" w:hAnsi="Times New Roman" w:cs="Times New Roman"/>
                <w:sz w:val="24"/>
              </w:rPr>
              <w:t xml:space="preserve"> a </w:t>
            </w:r>
            <w:r w:rsidRPr="00A3389E">
              <w:rPr>
                <w:rFonts w:ascii="Times New Roman" w:hAnsi="Times New Roman" w:cs="Times New Roman"/>
                <w:i/>
                <w:sz w:val="24"/>
              </w:rPr>
              <w:t>d</w:t>
            </w:r>
            <w:r w:rsidRPr="00A3389E">
              <w:rPr>
                <w:rFonts w:ascii="Times New Roman" w:hAnsi="Times New Roman" w:cs="Times New Roman"/>
                <w:sz w:val="24"/>
              </w:rPr>
              <w:t xml:space="preserve"> tohto vzoru).</w:t>
            </w:r>
          </w:p>
        </w:tc>
      </w:tr>
    </w:tbl>
    <w:p w14:paraId="1CDAF6A7" w14:textId="77777777" w:rsidR="00563C4F" w:rsidRPr="00A3389E"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A3389E"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A3389E" w:rsidRDefault="00563C4F"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06E67B9B" w:rsidR="00563C4F" w:rsidRPr="00A3389E" w:rsidRDefault="00563C4F"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63C4F" w:rsidRPr="00A3389E"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A3389E"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A3389E" w:rsidRDefault="00563C4F"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563C4F" w:rsidRPr="00A3389E" w14:paraId="18C002DC" w14:textId="77777777" w:rsidTr="00155C96">
        <w:trPr>
          <w:trHeight w:val="699"/>
        </w:trPr>
        <w:tc>
          <w:tcPr>
            <w:tcW w:w="1413" w:type="dxa"/>
            <w:shd w:val="clear" w:color="auto" w:fill="auto"/>
          </w:tcPr>
          <w:p w14:paraId="6599D5AF" w14:textId="77777777" w:rsidR="00563C4F" w:rsidRPr="00A3389E" w:rsidRDefault="00563C4F"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1 – 16</w:t>
            </w:r>
          </w:p>
        </w:tc>
        <w:tc>
          <w:tcPr>
            <w:tcW w:w="7654" w:type="dxa"/>
            <w:shd w:val="clear" w:color="auto" w:fill="auto"/>
          </w:tcPr>
          <w:p w14:paraId="59A78199" w14:textId="27E1EB2F" w:rsidR="00563C4F" w:rsidRPr="00A3389E" w:rsidRDefault="00563C4F" w:rsidP="00155C96">
            <w:pPr>
              <w:spacing w:after="120"/>
              <w:jc w:val="both"/>
              <w:rPr>
                <w:rFonts w:ascii="Times New Roman" w:hAnsi="Times New Roman" w:cs="Times New Roman"/>
                <w:sz w:val="24"/>
              </w:rPr>
            </w:pPr>
            <w:r w:rsidRPr="00A3389E">
              <w:rPr>
                <w:rFonts w:ascii="Times New Roman" w:hAnsi="Times New Roman" w:cs="Times New Roman"/>
                <w:sz w:val="24"/>
              </w:rPr>
              <w:t>Triedy expozícií vymedzené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112 CRR.</w:t>
            </w:r>
          </w:p>
          <w:p w14:paraId="0A23C16C" w14:textId="5153C585" w:rsidR="00563C4F" w:rsidRPr="00A3389E" w:rsidRDefault="00563C4F" w:rsidP="00631845">
            <w:pPr>
              <w:spacing w:after="120"/>
              <w:jc w:val="both"/>
              <w:rPr>
                <w:rFonts w:ascii="Times New Roman" w:eastAsia="Times New Roman" w:hAnsi="Times New Roman" w:cs="Times New Roman"/>
                <w:sz w:val="24"/>
              </w:rPr>
            </w:pPr>
            <w:r w:rsidRPr="00A3389E">
              <w:rPr>
                <w:rFonts w:ascii="Times New Roman" w:hAnsi="Times New Roman" w:cs="Times New Roman"/>
                <w:sz w:val="24"/>
              </w:rPr>
              <w:t>Expozície zaradené do triedy expozícií „položky predstavujúce sekuritizačné pozície“,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112 písm. m) CRR, nie sú zahrnuté.</w:t>
            </w:r>
          </w:p>
        </w:tc>
      </w:tr>
      <w:tr w:rsidR="00563C4F" w:rsidRPr="00A3389E" w14:paraId="2B66124F" w14:textId="77777777" w:rsidTr="00155C96">
        <w:trPr>
          <w:trHeight w:val="558"/>
        </w:trPr>
        <w:tc>
          <w:tcPr>
            <w:tcW w:w="1413" w:type="dxa"/>
          </w:tcPr>
          <w:p w14:paraId="193A755C" w14:textId="77777777" w:rsidR="00563C4F" w:rsidRPr="00A3389E" w:rsidRDefault="00563C4F"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16</w:t>
            </w:r>
          </w:p>
        </w:tc>
        <w:tc>
          <w:tcPr>
            <w:tcW w:w="7654" w:type="dxa"/>
          </w:tcPr>
          <w:p w14:paraId="72B5102D" w14:textId="77777777" w:rsidR="00563C4F" w:rsidRPr="00A3389E" w:rsidRDefault="00563C4F" w:rsidP="00155C96">
            <w:pPr>
              <w:spacing w:after="120"/>
              <w:jc w:val="both"/>
              <w:rPr>
                <w:rFonts w:ascii="Times New Roman" w:eastAsiaTheme="minorHAnsi" w:hAnsi="Times New Roman" w:cs="Times New Roman"/>
                <w:sz w:val="24"/>
              </w:rPr>
            </w:pPr>
            <w:r w:rsidRPr="00A3389E">
              <w:rPr>
                <w:rFonts w:ascii="Times New Roman" w:hAnsi="Times New Roman" w:cs="Times New Roman"/>
                <w:sz w:val="24"/>
              </w:rPr>
              <w:t>Trieda expozícií „ostatné položky“ sa vzťahuje na:</w:t>
            </w:r>
          </w:p>
          <w:p w14:paraId="273A92AC" w14:textId="04352A70" w:rsidR="00563C4F" w:rsidRPr="00A3389E" w:rsidRDefault="00563C4F" w:rsidP="00155C96">
            <w:pPr>
              <w:spacing w:after="120"/>
              <w:jc w:val="both"/>
              <w:rPr>
                <w:rFonts w:ascii="Times New Roman" w:eastAsiaTheme="minorHAnsi" w:hAnsi="Times New Roman" w:cs="Times New Roman"/>
                <w:sz w:val="24"/>
              </w:rPr>
            </w:pPr>
            <w:r w:rsidRPr="00A3389E">
              <w:rPr>
                <w:rFonts w:ascii="Times New Roman" w:hAnsi="Times New Roman" w:cs="Times New Roman"/>
                <w:sz w:val="24"/>
              </w:rPr>
              <w:t>– aktíva, na ktoré sa vzťahuje špecifická riziková váha stanovená</w:t>
            </w:r>
            <w:r w:rsidR="00A3389E">
              <w:rPr>
                <w:rFonts w:ascii="Times New Roman" w:hAnsi="Times New Roman" w:cs="Times New Roman"/>
                <w:sz w:val="24"/>
              </w:rPr>
              <w:t xml:space="preserve"> v </w:t>
            </w:r>
            <w:r w:rsidRPr="00A3389E">
              <w:rPr>
                <w:rFonts w:ascii="Times New Roman" w:hAnsi="Times New Roman" w:cs="Times New Roman"/>
                <w:sz w:val="24"/>
              </w:rPr>
              <w:t>článku 134 CRR,</w:t>
            </w:r>
          </w:p>
          <w:p w14:paraId="0D19A1EF" w14:textId="72E6F043" w:rsidR="00563C4F" w:rsidRPr="00A3389E" w:rsidRDefault="00563C4F" w:rsidP="00155C96">
            <w:pPr>
              <w:spacing w:after="120"/>
              <w:jc w:val="both"/>
              <w:rPr>
                <w:rFonts w:ascii="Times New Roman" w:hAnsi="Times New Roman" w:cs="Times New Roman"/>
                <w:sz w:val="24"/>
              </w:rPr>
            </w:pPr>
            <w:r w:rsidRPr="00A3389E">
              <w:rPr>
                <w:rFonts w:ascii="Times New Roman" w:hAnsi="Times New Roman" w:cs="Times New Roman"/>
                <w:sz w:val="24"/>
              </w:rPr>
              <w:t xml:space="preserve">– </w:t>
            </w:r>
            <w:r w:rsidRPr="00B2251E">
              <w:rPr>
                <w:rFonts w:ascii="Times New Roman" w:hAnsi="Times New Roman" w:cs="Times New Roman"/>
                <w:spacing w:val="-4"/>
                <w:sz w:val="24"/>
              </w:rPr>
              <w:t>aktíva neodpočítané pri uplatňovaní článku 39 CRR (daňové preplatky, prenos daňových strát do predchádzajúcich rokov</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odložené daňové pohľadávky, ktoré nezávisia od budúcej ziskovosti), článku 41 CRR (majetok dôchodkového fondu so stanovenými požitkami), článku 46 CRR (nevýznamné investície do CET1 subjektov finančného sektora), článku 48 CRR (odložené daňové pohľadávky</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priame, nepriame</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syntetické investície do nástrojov CET1 subjektov finančného sektora do výšky stanovenej prahovej hodnoty), článku 49 CRR</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článku 471 CRR (účasti</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poisťovacích subjektoch bez ohľadu na to, či poisťovacie subjekty podliehajú dohľadu podľa smernice</w:t>
            </w:r>
            <w:r w:rsidR="00A3389E" w:rsidRPr="00B2251E">
              <w:rPr>
                <w:rFonts w:ascii="Times New Roman" w:hAnsi="Times New Roman" w:cs="Times New Roman"/>
                <w:spacing w:val="-4"/>
                <w:sz w:val="24"/>
              </w:rPr>
              <w:t xml:space="preserve"> o </w:t>
            </w:r>
            <w:r w:rsidRPr="00B2251E">
              <w:rPr>
                <w:rFonts w:ascii="Times New Roman" w:hAnsi="Times New Roman" w:cs="Times New Roman"/>
                <w:spacing w:val="-4"/>
                <w:sz w:val="24"/>
              </w:rPr>
              <w:t>konglomerátoch), článku 60 CRR</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článku 475 CRR [nevýznamné</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významné priame, nepriame</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syntetické investície do nástrojov CET1</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nástrojov dodatočného kapitálu Tier 1 (AT1)</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 xml:space="preserve">Tier 2 (T2) </w:t>
            </w:r>
            <w:r w:rsidRPr="00B2251E">
              <w:rPr>
                <w:rFonts w:ascii="Times New Roman" w:hAnsi="Times New Roman" w:cs="Times New Roman"/>
                <w:spacing w:val="-4"/>
                <w:sz w:val="24"/>
              </w:rPr>
              <w:lastRenderedPageBreak/>
              <w:t>emitovaných subjektmi finančného sektora], článku 70 CRR [nevýznamné</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významné priame, nepriame</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syntetické podiely na kapitáli T2 (T2) emitovanom subjektmi finančného sektora], ak nie sú priradené do iných tried expozícií,</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na kvalifikované účasti mimo finančného sektora, ak sa na ne neuplatňuje riziková váha 1 250</w:t>
            </w:r>
            <w:r w:rsidR="00A3389E" w:rsidRPr="00B2251E">
              <w:rPr>
                <w:rFonts w:ascii="Times New Roman" w:hAnsi="Times New Roman" w:cs="Times New Roman"/>
                <w:spacing w:val="-4"/>
                <w:sz w:val="24"/>
              </w:rPr>
              <w:t> %</w:t>
            </w:r>
            <w:r w:rsidRPr="00B2251E">
              <w:rPr>
                <w:rFonts w:ascii="Times New Roman" w:hAnsi="Times New Roman" w:cs="Times New Roman"/>
                <w:spacing w:val="-4"/>
                <w:sz w:val="24"/>
              </w:rPr>
              <w:t xml:space="preserve"> [pri uplatňovaní druhej časti hlavy I kapitoly 1 článku 36 písm. k) CRR].</w:t>
            </w:r>
          </w:p>
        </w:tc>
      </w:tr>
    </w:tbl>
    <w:p w14:paraId="05D93B4B" w14:textId="77777777" w:rsidR="00563C4F" w:rsidRPr="00A3389E" w:rsidRDefault="00563C4F" w:rsidP="00563C4F">
      <w:pPr>
        <w:spacing w:after="120"/>
        <w:rPr>
          <w:rFonts w:ascii="Times New Roman" w:hAnsi="Times New Roman" w:cs="Times New Roman"/>
          <w:sz w:val="24"/>
        </w:rPr>
      </w:pPr>
    </w:p>
    <w:p w14:paraId="79C45082" w14:textId="33F986C4" w:rsidR="00563C4F" w:rsidRPr="00A3389E" w:rsidRDefault="00CD362D" w:rsidP="00563C4F">
      <w:pPr>
        <w:spacing w:after="120"/>
        <w:rPr>
          <w:rFonts w:ascii="Times New Roman" w:hAnsi="Times New Roman" w:cs="Times New Roman"/>
          <w:sz w:val="24"/>
        </w:rPr>
      </w:pPr>
      <w:r w:rsidRPr="00A3389E">
        <w:rPr>
          <w:rFonts w:ascii="Times New Roman" w:hAnsi="Times New Roman" w:cs="Times New Roman"/>
          <w:b/>
          <w:sz w:val="24"/>
        </w:rPr>
        <w:t>Vzor EU CR5 – Štandardizovaný prístup</w:t>
      </w:r>
      <w:r w:rsidRPr="00A3389E">
        <w:rPr>
          <w:rFonts w:ascii="Times New Roman" w:hAnsi="Times New Roman" w:cs="Times New Roman"/>
          <w:sz w:val="24"/>
        </w:rPr>
        <w:t>. Pevný formát</w:t>
      </w:r>
    </w:p>
    <w:p w14:paraId="7B518821" w14:textId="59C4F39E" w:rsidR="00563C4F" w:rsidRPr="00A3389E" w:rsidRDefault="00A3389E" w:rsidP="00A3389E">
      <w:pPr>
        <w:spacing w:after="120"/>
        <w:ind w:left="425" w:hanging="357"/>
        <w:jc w:val="both"/>
        <w:rPr>
          <w:rFonts w:ascii="Times New Roman" w:hAnsi="Times New Roman"/>
          <w:sz w:val="24"/>
        </w:rPr>
      </w:pPr>
      <w:r w:rsidRPr="00A3389E">
        <w:rPr>
          <w:rFonts w:ascii="Times New Roman" w:eastAsia="Calibri" w:hAnsi="Times New Roman" w:cs="Times New Roman"/>
          <w:sz w:val="24"/>
          <w:szCs w:val="22"/>
        </w:rPr>
        <w:t>4.</w:t>
      </w:r>
      <w:r w:rsidRPr="00A3389E">
        <w:rPr>
          <w:rFonts w:ascii="Times New Roman" w:eastAsia="Calibri" w:hAnsi="Times New Roman" w:cs="Times New Roman"/>
          <w:sz w:val="24"/>
          <w:szCs w:val="22"/>
        </w:rPr>
        <w:tab/>
      </w:r>
      <w:r w:rsidR="00563C4F" w:rsidRPr="00A3389E">
        <w:rPr>
          <w:rFonts w:ascii="Times New Roman" w:hAnsi="Times New Roman"/>
          <w:sz w:val="24"/>
        </w:rPr>
        <w:t>Inštitúcie zverejňujú informácie uvedené</w:t>
      </w:r>
      <w:r>
        <w:rPr>
          <w:rFonts w:ascii="Times New Roman" w:hAnsi="Times New Roman"/>
          <w:sz w:val="24"/>
        </w:rPr>
        <w:t xml:space="preserve"> v </w:t>
      </w:r>
      <w:r w:rsidR="00563C4F" w:rsidRPr="00A3389E">
        <w:rPr>
          <w:rFonts w:ascii="Times New Roman" w:hAnsi="Times New Roman"/>
          <w:sz w:val="24"/>
        </w:rPr>
        <w:t>článku 444 písm. e) CRR podľa pokynov uvedených nižšie</w:t>
      </w:r>
      <w:r>
        <w:rPr>
          <w:rFonts w:ascii="Times New Roman" w:hAnsi="Times New Roman"/>
          <w:sz w:val="24"/>
        </w:rPr>
        <w:t xml:space="preserve"> v </w:t>
      </w:r>
      <w:r w:rsidR="00563C4F" w:rsidRPr="00A3389E">
        <w:rPr>
          <w:rFonts w:ascii="Times New Roman" w:hAnsi="Times New Roman"/>
          <w:sz w:val="24"/>
        </w:rPr>
        <w:t>tejto prílohe</w:t>
      </w:r>
      <w:r>
        <w:rPr>
          <w:rFonts w:ascii="Times New Roman" w:hAnsi="Times New Roman"/>
          <w:sz w:val="24"/>
        </w:rPr>
        <w:t xml:space="preserve"> s </w:t>
      </w:r>
      <w:r w:rsidR="00563C4F" w:rsidRPr="00A3389E">
        <w:rPr>
          <w:rFonts w:ascii="Times New Roman" w:hAnsi="Times New Roman"/>
          <w:sz w:val="24"/>
        </w:rPr>
        <w:t>cieľom vyplniť vzor EU CR5, ktorý je uvedený</w:t>
      </w:r>
      <w:r>
        <w:rPr>
          <w:rFonts w:ascii="Times New Roman" w:hAnsi="Times New Roman"/>
          <w:sz w:val="24"/>
        </w:rPr>
        <w:t xml:space="preserve"> v </w:t>
      </w:r>
      <w:r w:rsidR="00563C4F" w:rsidRPr="00A3389E">
        <w:rPr>
          <w:rFonts w:ascii="Times New Roman" w:hAnsi="Times New Roman"/>
          <w:sz w:val="24"/>
        </w:rPr>
        <w:t>prílohe XIX</w:t>
      </w:r>
      <w:r>
        <w:rPr>
          <w:rFonts w:ascii="Times New Roman" w:hAnsi="Times New Roman"/>
          <w:sz w:val="24"/>
        </w:rPr>
        <w:t xml:space="preserve"> k </w:t>
      </w:r>
      <w:r w:rsidR="00563C4F" w:rsidRPr="00A3389E">
        <w:rPr>
          <w:rFonts w:ascii="Times New Roman" w:hAnsi="Times New Roman"/>
          <w:sz w:val="24"/>
        </w:rPr>
        <w:t>tomuto vykonávaciemu nariadeniu.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A3389E"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A3389E" w:rsidRDefault="00563C4F"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07ED4891" w:rsidR="00563C4F" w:rsidRPr="00A3389E" w:rsidRDefault="00563C4F"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63C4F" w:rsidRPr="00A3389E"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A3389E"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A3389E" w:rsidRDefault="00563C4F" w:rsidP="00155C96">
            <w:pPr>
              <w:spacing w:after="120"/>
              <w:rPr>
                <w:rFonts w:ascii="Times New Roman" w:hAnsi="Times New Roman" w:cs="Times New Roman"/>
                <w:b/>
                <w:sz w:val="24"/>
              </w:rPr>
            </w:pPr>
            <w:r w:rsidRPr="00A3389E">
              <w:rPr>
                <w:rFonts w:ascii="Times New Roman" w:hAnsi="Times New Roman" w:cs="Times New Roman"/>
                <w:b/>
                <w:sz w:val="24"/>
              </w:rPr>
              <w:t>Vysvetlenie</w:t>
            </w:r>
          </w:p>
        </w:tc>
      </w:tr>
      <w:tr w:rsidR="00563C4F" w:rsidRPr="00A3389E" w14:paraId="4B4D2444" w14:textId="77777777" w:rsidTr="00155C96">
        <w:trPr>
          <w:trHeight w:val="316"/>
        </w:trPr>
        <w:tc>
          <w:tcPr>
            <w:tcW w:w="1413" w:type="dxa"/>
            <w:vAlign w:val="center"/>
          </w:tcPr>
          <w:p w14:paraId="47F5081F" w14:textId="77777777" w:rsidR="00563C4F" w:rsidRPr="00A3389E" w:rsidRDefault="00563C4F"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a – o</w:t>
            </w:r>
          </w:p>
        </w:tc>
        <w:tc>
          <w:tcPr>
            <w:tcW w:w="7654" w:type="dxa"/>
          </w:tcPr>
          <w:p w14:paraId="2D89C685" w14:textId="77777777" w:rsidR="00A3389E" w:rsidRPr="00A3389E" w:rsidRDefault="00563C4F"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Riziková váha</w:t>
            </w:r>
            <w:r w:rsidR="00A3389E" w:rsidRPr="00A3389E">
              <w:rPr>
                <w:rFonts w:ascii="Times New Roman" w:hAnsi="Times New Roman" w:cs="Times New Roman"/>
                <w:b/>
                <w:iCs/>
                <w:sz w:val="24"/>
              </w:rPr>
              <w:t>:</w:t>
            </w:r>
          </w:p>
          <w:p w14:paraId="6A3D4356" w14:textId="132F8EAE" w:rsidR="00563C4F" w:rsidRPr="00A3389E" w:rsidRDefault="00563C4F"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Inštitúcie zverejňujú informácie</w:t>
            </w:r>
            <w:r w:rsidR="00A3389E">
              <w:rPr>
                <w:rFonts w:ascii="Times New Roman" w:hAnsi="Times New Roman" w:cs="Times New Roman"/>
                <w:sz w:val="24"/>
              </w:rPr>
              <w:t xml:space="preserve"> o </w:t>
            </w:r>
            <w:r w:rsidRPr="00A3389E">
              <w:rPr>
                <w:rFonts w:ascii="Times New Roman" w:hAnsi="Times New Roman" w:cs="Times New Roman"/>
                <w:sz w:val="24"/>
              </w:rPr>
              <w:t>priradení rizikových váh</w:t>
            </w:r>
            <w:r w:rsidR="00A3389E">
              <w:rPr>
                <w:rFonts w:ascii="Times New Roman" w:hAnsi="Times New Roman" w:cs="Times New Roman"/>
                <w:sz w:val="24"/>
              </w:rPr>
              <w:t xml:space="preserve"> v </w:t>
            </w:r>
            <w:r w:rsidRPr="00A3389E">
              <w:rPr>
                <w:rFonts w:ascii="Times New Roman" w:hAnsi="Times New Roman" w:cs="Times New Roman"/>
                <w:sz w:val="24"/>
              </w:rPr>
              <w:t>rámci príslušnej triedy expozícií podľa tretej časti hlavy II kapitoly 2 oddielu 2 CRR.</w:t>
            </w:r>
          </w:p>
        </w:tc>
      </w:tr>
      <w:tr w:rsidR="00563C4F" w:rsidRPr="00A3389E" w14:paraId="0D2F3586" w14:textId="77777777" w:rsidTr="00155C96">
        <w:trPr>
          <w:trHeight w:val="316"/>
        </w:trPr>
        <w:tc>
          <w:tcPr>
            <w:tcW w:w="1413" w:type="dxa"/>
            <w:vAlign w:val="center"/>
          </w:tcPr>
          <w:p w14:paraId="69751F5D" w14:textId="77777777" w:rsidR="00563C4F" w:rsidRPr="00A3389E" w:rsidRDefault="00563C4F"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p</w:t>
            </w:r>
          </w:p>
        </w:tc>
        <w:tc>
          <w:tcPr>
            <w:tcW w:w="7654" w:type="dxa"/>
          </w:tcPr>
          <w:p w14:paraId="02C73395" w14:textId="77777777" w:rsidR="00A3389E" w:rsidRPr="00A3389E" w:rsidRDefault="00563C4F" w:rsidP="00155C96">
            <w:pPr>
              <w:autoSpaceDE w:val="0"/>
              <w:autoSpaceDN w:val="0"/>
              <w:adjustRightInd w:val="0"/>
              <w:spacing w:after="120"/>
              <w:jc w:val="both"/>
              <w:rPr>
                <w:rFonts w:ascii="Times New Roman" w:hAnsi="Times New Roman" w:cs="Times New Roman"/>
                <w:b/>
                <w:iCs/>
                <w:sz w:val="24"/>
              </w:rPr>
            </w:pPr>
            <w:r w:rsidRPr="00A3389E">
              <w:rPr>
                <w:rFonts w:ascii="Times New Roman" w:hAnsi="Times New Roman" w:cs="Times New Roman"/>
                <w:b/>
                <w:iCs/>
                <w:sz w:val="24"/>
              </w:rPr>
              <w:t>Spolu</w:t>
            </w:r>
            <w:r w:rsidR="00A3389E" w:rsidRPr="00A3389E">
              <w:rPr>
                <w:rFonts w:ascii="Times New Roman" w:hAnsi="Times New Roman" w:cs="Times New Roman"/>
                <w:b/>
                <w:iCs/>
                <w:sz w:val="24"/>
              </w:rPr>
              <w:t>:</w:t>
            </w:r>
          </w:p>
          <w:p w14:paraId="76267FC8" w14:textId="31F3CCA0" w:rsidR="00A3389E" w:rsidRPr="00A3389E" w:rsidRDefault="00563C4F" w:rsidP="00155C96">
            <w:pPr>
              <w:autoSpaceDE w:val="0"/>
              <w:autoSpaceDN w:val="0"/>
              <w:adjustRightInd w:val="0"/>
              <w:spacing w:after="120"/>
              <w:jc w:val="both"/>
              <w:rPr>
                <w:rFonts w:ascii="Times New Roman" w:hAnsi="Times New Roman" w:cs="Times New Roman"/>
                <w:iCs/>
                <w:sz w:val="24"/>
              </w:rPr>
            </w:pPr>
            <w:r w:rsidRPr="00A3389E">
              <w:rPr>
                <w:rFonts w:ascii="Times New Roman" w:hAnsi="Times New Roman" w:cs="Times New Roman"/>
                <w:iCs/>
                <w:sz w:val="24"/>
              </w:rPr>
              <w:t>Celková hodnota súvahových</w:t>
            </w:r>
            <w:r w:rsidR="00A3389E">
              <w:rPr>
                <w:rFonts w:ascii="Times New Roman" w:hAnsi="Times New Roman" w:cs="Times New Roman"/>
                <w:iCs/>
                <w:sz w:val="24"/>
              </w:rPr>
              <w:t xml:space="preserve"> a </w:t>
            </w:r>
            <w:r w:rsidRPr="00A3389E">
              <w:rPr>
                <w:rFonts w:ascii="Times New Roman" w:hAnsi="Times New Roman" w:cs="Times New Roman"/>
                <w:iCs/>
                <w:sz w:val="24"/>
              </w:rPr>
              <w:t>podsúvahových expozícií</w:t>
            </w:r>
            <w:r w:rsidR="00A3389E">
              <w:rPr>
                <w:rFonts w:ascii="Times New Roman" w:hAnsi="Times New Roman" w:cs="Times New Roman"/>
                <w:iCs/>
                <w:sz w:val="24"/>
              </w:rPr>
              <w:t xml:space="preserve"> v </w:t>
            </w:r>
            <w:r w:rsidRPr="00A3389E">
              <w:rPr>
                <w:rFonts w:ascii="Times New Roman" w:hAnsi="Times New Roman" w:cs="Times New Roman"/>
                <w:iCs/>
                <w:sz w:val="24"/>
              </w:rPr>
              <w:t>rámci prudenciálneho rozsahu konsolidácie</w:t>
            </w:r>
            <w:r w:rsidR="00A3389E" w:rsidRPr="00A3389E">
              <w:rPr>
                <w:rFonts w:ascii="Times New Roman" w:hAnsi="Times New Roman" w:cs="Times New Roman"/>
                <w:iCs/>
                <w:sz w:val="24"/>
              </w:rPr>
              <w:t>:</w:t>
            </w:r>
          </w:p>
          <w:p w14:paraId="3A2BDE8C" w14:textId="0C89CF72" w:rsidR="00563C4F" w:rsidRPr="00B2251E" w:rsidRDefault="00563C4F" w:rsidP="00155C96">
            <w:pPr>
              <w:autoSpaceDE w:val="0"/>
              <w:autoSpaceDN w:val="0"/>
              <w:adjustRightInd w:val="0"/>
              <w:spacing w:after="120"/>
              <w:jc w:val="both"/>
              <w:rPr>
                <w:rFonts w:ascii="Times New Roman" w:eastAsia="Times New Roman" w:hAnsi="Times New Roman" w:cs="Times New Roman"/>
                <w:spacing w:val="-4"/>
                <w:sz w:val="24"/>
              </w:rPr>
            </w:pPr>
            <w:r w:rsidRPr="00B2251E">
              <w:rPr>
                <w:rFonts w:ascii="Times New Roman" w:hAnsi="Times New Roman" w:cs="Times New Roman"/>
                <w:spacing w:val="-4"/>
                <w:sz w:val="24"/>
              </w:rPr>
              <w:t>– po špecifických úpravách kreditného rizika</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súlade</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článkom 110 CRR, dodatočných úpravách ocenenia</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súlade</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článkami 34</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105 CRR, uplatnení súm odpočítaných</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súlade</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článkom 36 ods. 1 písm. m) CRR, iných zníženiach vlastných zdrojov</w:t>
            </w:r>
            <w:r w:rsidR="00A3389E" w:rsidRPr="00B2251E">
              <w:rPr>
                <w:rFonts w:ascii="Times New Roman" w:hAnsi="Times New Roman" w:cs="Times New Roman"/>
                <w:spacing w:val="-4"/>
                <w:sz w:val="24"/>
              </w:rPr>
              <w:t xml:space="preserve"> a </w:t>
            </w:r>
            <w:r w:rsidRPr="00B2251E">
              <w:rPr>
                <w:rFonts w:ascii="Times New Roman" w:hAnsi="Times New Roman" w:cs="Times New Roman"/>
                <w:spacing w:val="-4"/>
                <w:sz w:val="24"/>
              </w:rPr>
              <w:t>odpisoch (podľa vymedzenia</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uplatniteľnom účtovnom rámci)</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prípade súvahových expozícií</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súlade</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článkom 111 CRR,</w:t>
            </w:r>
          </w:p>
          <w:p w14:paraId="40056C3D" w14:textId="6943D9A7" w:rsidR="00563C4F" w:rsidRPr="00A3389E" w:rsidRDefault="00563C4F"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 po znížení špecifických úprav kreditného rizika</w:t>
            </w:r>
            <w:r w:rsidR="00A3389E">
              <w:rPr>
                <w:rFonts w:ascii="Times New Roman" w:hAnsi="Times New Roman" w:cs="Times New Roman"/>
                <w:iCs/>
                <w:sz w:val="24"/>
              </w:rPr>
              <w:t xml:space="preserve"> a </w:t>
            </w:r>
            <w:r w:rsidRPr="00A3389E">
              <w:rPr>
                <w:rFonts w:ascii="Times New Roman" w:hAnsi="Times New Roman" w:cs="Times New Roman"/>
                <w:iCs/>
                <w:sz w:val="24"/>
              </w:rPr>
              <w:t>uplatnení súm odpočítaných</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36 ods. 1 písm. m) CRR</w:t>
            </w:r>
            <w:r w:rsidR="00A3389E">
              <w:rPr>
                <w:rFonts w:ascii="Times New Roman" w:hAnsi="Times New Roman" w:cs="Times New Roman"/>
                <w:iCs/>
                <w:sz w:val="24"/>
              </w:rPr>
              <w:t xml:space="preserve"> v </w:t>
            </w:r>
            <w:r w:rsidRPr="00A3389E">
              <w:rPr>
                <w:rFonts w:ascii="Times New Roman" w:hAnsi="Times New Roman" w:cs="Times New Roman"/>
                <w:iCs/>
                <w:sz w:val="24"/>
              </w:rPr>
              <w:t>prípade podsúvahových expozícií,</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111 CRR,</w:t>
            </w:r>
          </w:p>
          <w:p w14:paraId="2B162FA9" w14:textId="3C8E8309" w:rsidR="00563C4F" w:rsidRPr="00A3389E" w:rsidRDefault="00563C4F"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sz w:val="24"/>
              </w:rPr>
              <w:t>– po i) uplatnení konverzných faktorov stanovených</w:t>
            </w:r>
            <w:r w:rsidR="00A3389E">
              <w:rPr>
                <w:rFonts w:ascii="Times New Roman" w:hAnsi="Times New Roman" w:cs="Times New Roman"/>
                <w:sz w:val="24"/>
              </w:rPr>
              <w:t xml:space="preserve"> v </w:t>
            </w:r>
            <w:r w:rsidRPr="00A3389E">
              <w:rPr>
                <w:rFonts w:ascii="Times New Roman" w:hAnsi="Times New Roman" w:cs="Times New Roman"/>
                <w:sz w:val="24"/>
              </w:rPr>
              <w:t>tom istom článku</w:t>
            </w:r>
            <w:r w:rsidR="00A3389E">
              <w:rPr>
                <w:rFonts w:ascii="Times New Roman" w:hAnsi="Times New Roman" w:cs="Times New Roman"/>
                <w:sz w:val="24"/>
              </w:rPr>
              <w:t xml:space="preserve"> a </w:t>
            </w:r>
            <w:r w:rsidRPr="00A3389E">
              <w:rPr>
                <w:rFonts w:ascii="Times New Roman" w:hAnsi="Times New Roman" w:cs="Times New Roman"/>
                <w:sz w:val="24"/>
              </w:rPr>
              <w:t>ii) uplatnení postupov zmierňovania kreditného rizika uvedených</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4 CRR</w:t>
            </w:r>
            <w:r w:rsidR="00A3389E">
              <w:rPr>
                <w:rFonts w:ascii="Times New Roman" w:hAnsi="Times New Roman" w:cs="Times New Roman"/>
                <w:sz w:val="24"/>
              </w:rPr>
              <w:t xml:space="preserve"> v </w:t>
            </w:r>
            <w:r w:rsidRPr="00A3389E">
              <w:rPr>
                <w:rFonts w:ascii="Times New Roman" w:hAnsi="Times New Roman" w:cs="Times New Roman"/>
                <w:sz w:val="24"/>
              </w:rPr>
              <w:t>prípade súvahových aj podsúvahových expozícií</w:t>
            </w:r>
          </w:p>
        </w:tc>
      </w:tr>
      <w:tr w:rsidR="00563C4F" w:rsidRPr="00A3389E" w14:paraId="786795EA" w14:textId="77777777" w:rsidTr="00155C96">
        <w:trPr>
          <w:trHeight w:val="316"/>
        </w:trPr>
        <w:tc>
          <w:tcPr>
            <w:tcW w:w="1413" w:type="dxa"/>
            <w:vAlign w:val="center"/>
          </w:tcPr>
          <w:p w14:paraId="672501F6" w14:textId="77777777" w:rsidR="00563C4F" w:rsidRPr="00A3389E" w:rsidRDefault="00563C4F"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q</w:t>
            </w:r>
          </w:p>
        </w:tc>
        <w:tc>
          <w:tcPr>
            <w:tcW w:w="7654" w:type="dxa"/>
          </w:tcPr>
          <w:p w14:paraId="11C9219F" w14:textId="77777777" w:rsidR="00563C4F" w:rsidRPr="00A3389E" w:rsidRDefault="00563C4F" w:rsidP="00155C96">
            <w:pPr>
              <w:autoSpaceDE w:val="0"/>
              <w:autoSpaceDN w:val="0"/>
              <w:adjustRightInd w:val="0"/>
              <w:spacing w:after="120"/>
              <w:jc w:val="both"/>
              <w:rPr>
                <w:rFonts w:ascii="Times New Roman" w:eastAsia="Times New Roman" w:hAnsi="Times New Roman" w:cs="Times New Roman"/>
                <w:b/>
                <w:iCs/>
                <w:sz w:val="24"/>
              </w:rPr>
            </w:pPr>
            <w:r w:rsidRPr="00A3389E">
              <w:rPr>
                <w:rFonts w:ascii="Times New Roman" w:hAnsi="Times New Roman" w:cs="Times New Roman"/>
                <w:b/>
                <w:iCs/>
                <w:sz w:val="24"/>
              </w:rPr>
              <w:t>Z čoho bez ratingu:</w:t>
            </w:r>
          </w:p>
          <w:p w14:paraId="6C1B8FC6" w14:textId="0A3967EB" w:rsidR="00563C4F" w:rsidRPr="00A3389E" w:rsidRDefault="00563C4F"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sz w:val="24"/>
              </w:rPr>
              <w:t>Expozície, pre ktoré nie je</w:t>
            </w:r>
            <w:r w:rsidR="00A3389E">
              <w:rPr>
                <w:rFonts w:ascii="Times New Roman" w:hAnsi="Times New Roman" w:cs="Times New Roman"/>
                <w:sz w:val="24"/>
              </w:rPr>
              <w:t xml:space="preserve"> k </w:t>
            </w:r>
            <w:r w:rsidRPr="00A3389E">
              <w:rPr>
                <w:rFonts w:ascii="Times New Roman" w:hAnsi="Times New Roman" w:cs="Times New Roman"/>
                <w:sz w:val="24"/>
              </w:rPr>
              <w:t>dispozícii ratingové hodnotenie nominovanou ECAI</w:t>
            </w:r>
            <w:r w:rsidR="00A3389E">
              <w:rPr>
                <w:rFonts w:ascii="Times New Roman" w:hAnsi="Times New Roman" w:cs="Times New Roman"/>
                <w:sz w:val="24"/>
              </w:rPr>
              <w:t xml:space="preserve"> a </w:t>
            </w:r>
            <w:r w:rsidRPr="00A3389E">
              <w:rPr>
                <w:rFonts w:ascii="Times New Roman" w:hAnsi="Times New Roman" w:cs="Times New Roman"/>
                <w:sz w:val="24"/>
              </w:rPr>
              <w:t>na ktoré sa uplatňujú špecifické rizikové váhy</w:t>
            </w:r>
            <w:r w:rsidR="00A3389E">
              <w:rPr>
                <w:rFonts w:ascii="Times New Roman" w:hAnsi="Times New Roman" w:cs="Times New Roman"/>
                <w:sz w:val="24"/>
              </w:rPr>
              <w:t xml:space="preserve"> v </w:t>
            </w:r>
            <w:r w:rsidRPr="00A3389E">
              <w:rPr>
                <w:rFonts w:ascii="Times New Roman" w:hAnsi="Times New Roman" w:cs="Times New Roman"/>
                <w:sz w:val="24"/>
              </w:rPr>
              <w:t>závislosti od ich triedy expozícií, ako je stanovené</w:t>
            </w:r>
            <w:r w:rsidR="00A3389E">
              <w:rPr>
                <w:rFonts w:ascii="Times New Roman" w:hAnsi="Times New Roman" w:cs="Times New Roman"/>
                <w:sz w:val="24"/>
              </w:rPr>
              <w:t xml:space="preserve"> v </w:t>
            </w:r>
            <w:r w:rsidRPr="00A3389E">
              <w:rPr>
                <w:rFonts w:ascii="Times New Roman" w:hAnsi="Times New Roman" w:cs="Times New Roman"/>
                <w:sz w:val="24"/>
              </w:rPr>
              <w:t>článkoch 113 až 134 CRR.</w:t>
            </w:r>
          </w:p>
        </w:tc>
      </w:tr>
    </w:tbl>
    <w:p w14:paraId="38EF1CEE" w14:textId="77777777" w:rsidR="00563C4F" w:rsidRPr="00A3389E"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A3389E"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A3389E" w:rsidRDefault="00563C4F"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57BF0AE7" w:rsidR="00563C4F" w:rsidRPr="00A3389E" w:rsidRDefault="00563C4F"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63C4F" w:rsidRPr="00A3389E"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A3389E"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A3389E" w:rsidRDefault="00563C4F"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563C4F" w:rsidRPr="00A3389E" w14:paraId="473F79FF" w14:textId="77777777" w:rsidTr="00155C96">
        <w:trPr>
          <w:trHeight w:val="507"/>
        </w:trPr>
        <w:tc>
          <w:tcPr>
            <w:tcW w:w="1413" w:type="dxa"/>
            <w:shd w:val="clear" w:color="auto" w:fill="auto"/>
          </w:tcPr>
          <w:p w14:paraId="50315820" w14:textId="77777777" w:rsidR="00563C4F" w:rsidRPr="00A3389E" w:rsidRDefault="00563C4F"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1 – 16</w:t>
            </w:r>
          </w:p>
        </w:tc>
        <w:tc>
          <w:tcPr>
            <w:tcW w:w="7654" w:type="dxa"/>
            <w:shd w:val="clear" w:color="auto" w:fill="auto"/>
          </w:tcPr>
          <w:p w14:paraId="100EA329" w14:textId="2CA4838D" w:rsidR="00563C4F" w:rsidRPr="00A3389E" w:rsidRDefault="00563C4F" w:rsidP="00155C96">
            <w:pPr>
              <w:spacing w:after="120"/>
              <w:jc w:val="both"/>
              <w:rPr>
                <w:rFonts w:ascii="Times New Roman" w:hAnsi="Times New Roman" w:cs="Times New Roman"/>
                <w:sz w:val="24"/>
              </w:rPr>
            </w:pPr>
            <w:r w:rsidRPr="00A3389E">
              <w:rPr>
                <w:rFonts w:ascii="Times New Roman" w:hAnsi="Times New Roman" w:cs="Times New Roman"/>
                <w:sz w:val="24"/>
              </w:rPr>
              <w:t>Triedy expozícií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112 CRR</w:t>
            </w:r>
          </w:p>
          <w:p w14:paraId="1C962613" w14:textId="3EFBB376" w:rsidR="00563C4F" w:rsidRPr="00A3389E" w:rsidRDefault="00563C4F" w:rsidP="00631845">
            <w:pPr>
              <w:spacing w:after="120"/>
              <w:jc w:val="both"/>
              <w:rPr>
                <w:rFonts w:ascii="Times New Roman" w:hAnsi="Times New Roman" w:cs="Times New Roman"/>
                <w:sz w:val="24"/>
              </w:rPr>
            </w:pPr>
            <w:r w:rsidRPr="00A3389E">
              <w:rPr>
                <w:rFonts w:ascii="Times New Roman" w:hAnsi="Times New Roman" w:cs="Times New Roman"/>
                <w:sz w:val="24"/>
              </w:rPr>
              <w:lastRenderedPageBreak/>
              <w:t>Expozície zaradené do triedy expozícií „položky predstavujúce sekuritizačné pozície“,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112 písm. m) CRR, nie sú zahrnuté.</w:t>
            </w:r>
          </w:p>
        </w:tc>
      </w:tr>
      <w:tr w:rsidR="00563C4F" w:rsidRPr="00A3389E" w14:paraId="40E22753" w14:textId="77777777" w:rsidTr="00155C96">
        <w:trPr>
          <w:trHeight w:val="4791"/>
        </w:trPr>
        <w:tc>
          <w:tcPr>
            <w:tcW w:w="1413" w:type="dxa"/>
          </w:tcPr>
          <w:p w14:paraId="69381655" w14:textId="77777777" w:rsidR="00563C4F" w:rsidRPr="00A3389E" w:rsidRDefault="00563C4F"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16</w:t>
            </w:r>
          </w:p>
        </w:tc>
        <w:tc>
          <w:tcPr>
            <w:tcW w:w="7654" w:type="dxa"/>
          </w:tcPr>
          <w:p w14:paraId="27BDADE5" w14:textId="77777777" w:rsidR="00563C4F" w:rsidRPr="00A3389E" w:rsidRDefault="00563C4F" w:rsidP="00155C96">
            <w:pPr>
              <w:spacing w:after="120"/>
              <w:jc w:val="both"/>
              <w:rPr>
                <w:rFonts w:ascii="Times New Roman" w:eastAsiaTheme="minorHAnsi" w:hAnsi="Times New Roman" w:cs="Times New Roman"/>
                <w:sz w:val="24"/>
              </w:rPr>
            </w:pPr>
            <w:r w:rsidRPr="00A3389E">
              <w:rPr>
                <w:rFonts w:ascii="Times New Roman" w:hAnsi="Times New Roman" w:cs="Times New Roman"/>
                <w:sz w:val="24"/>
              </w:rPr>
              <w:t>Trieda expozícií „ostatné položky“ sa vzťahuje na:</w:t>
            </w:r>
          </w:p>
          <w:p w14:paraId="32C4FD10" w14:textId="50C009BA" w:rsidR="00563C4F" w:rsidRPr="00A3389E" w:rsidRDefault="00563C4F" w:rsidP="00155C96">
            <w:pPr>
              <w:spacing w:after="120"/>
              <w:jc w:val="both"/>
              <w:rPr>
                <w:rFonts w:ascii="Times New Roman" w:eastAsiaTheme="minorHAnsi" w:hAnsi="Times New Roman" w:cs="Times New Roman"/>
                <w:sz w:val="24"/>
              </w:rPr>
            </w:pPr>
            <w:r w:rsidRPr="00A3389E">
              <w:rPr>
                <w:rFonts w:ascii="Times New Roman" w:hAnsi="Times New Roman" w:cs="Times New Roman"/>
                <w:sz w:val="24"/>
              </w:rPr>
              <w:t>– aktíva, na ktoré sa vzťahuje špecifická riziková váha stanovená</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4 článku 134 CRR,</w:t>
            </w:r>
          </w:p>
          <w:p w14:paraId="4A2D249B" w14:textId="21A1B926" w:rsidR="00563C4F" w:rsidRPr="00A3389E" w:rsidRDefault="00563C4F" w:rsidP="00155C96">
            <w:pPr>
              <w:spacing w:after="120"/>
              <w:jc w:val="both"/>
              <w:rPr>
                <w:rFonts w:ascii="Times New Roman" w:hAnsi="Times New Roman" w:cs="Times New Roman"/>
                <w:sz w:val="24"/>
              </w:rPr>
            </w:pPr>
            <w:r w:rsidRPr="00A3389E">
              <w:rPr>
                <w:rFonts w:ascii="Times New Roman" w:hAnsi="Times New Roman" w:cs="Times New Roman"/>
                <w:sz w:val="24"/>
              </w:rPr>
              <w:t>– aktíva neodpočítané pri uplatňovaní článku 39 CRR (daňové preplatky, prenos daňových strát do predchádzajúcich rokov</w:t>
            </w:r>
            <w:r w:rsidR="00A3389E">
              <w:rPr>
                <w:rFonts w:ascii="Times New Roman" w:hAnsi="Times New Roman" w:cs="Times New Roman"/>
                <w:sz w:val="24"/>
              </w:rPr>
              <w:t xml:space="preserve"> a </w:t>
            </w:r>
            <w:r w:rsidRPr="00A3389E">
              <w:rPr>
                <w:rFonts w:ascii="Times New Roman" w:hAnsi="Times New Roman" w:cs="Times New Roman"/>
                <w:sz w:val="24"/>
              </w:rPr>
              <w:t>odložené daňové pohľadávky, ktoré nezávisia od budúcej ziskovosti), článku 41 CRR (majetok dôchodkového fondu so stanovenými požitkami), článkov 46</w:t>
            </w:r>
            <w:r w:rsidR="00A3389E">
              <w:rPr>
                <w:rFonts w:ascii="Times New Roman" w:hAnsi="Times New Roman" w:cs="Times New Roman"/>
                <w:sz w:val="24"/>
              </w:rPr>
              <w:t xml:space="preserve"> a </w:t>
            </w:r>
            <w:r w:rsidRPr="00A3389E">
              <w:rPr>
                <w:rFonts w:ascii="Times New Roman" w:hAnsi="Times New Roman" w:cs="Times New Roman"/>
                <w:sz w:val="24"/>
              </w:rPr>
              <w:t>469 CRR (nevýznamné investície do CET1 subjektov finančného sektora), článkov 49</w:t>
            </w:r>
            <w:r w:rsidR="00A3389E">
              <w:rPr>
                <w:rFonts w:ascii="Times New Roman" w:hAnsi="Times New Roman" w:cs="Times New Roman"/>
                <w:sz w:val="24"/>
              </w:rPr>
              <w:t xml:space="preserve"> a </w:t>
            </w:r>
            <w:r w:rsidRPr="00A3389E">
              <w:rPr>
                <w:rFonts w:ascii="Times New Roman" w:hAnsi="Times New Roman" w:cs="Times New Roman"/>
                <w:sz w:val="24"/>
              </w:rPr>
              <w:t>471 CRR (účasti</w:t>
            </w:r>
            <w:r w:rsidR="00A3389E">
              <w:rPr>
                <w:rFonts w:ascii="Times New Roman" w:hAnsi="Times New Roman" w:cs="Times New Roman"/>
                <w:sz w:val="24"/>
              </w:rPr>
              <w:t xml:space="preserve"> v </w:t>
            </w:r>
            <w:r w:rsidRPr="00A3389E">
              <w:rPr>
                <w:rFonts w:ascii="Times New Roman" w:hAnsi="Times New Roman" w:cs="Times New Roman"/>
                <w:sz w:val="24"/>
              </w:rPr>
              <w:t>poisťovacích subjektoch bez ohľadu na to, či poisťovacie subjekty podliehajú dohľadu podľa smernice</w:t>
            </w:r>
            <w:r w:rsidR="00A3389E">
              <w:rPr>
                <w:rFonts w:ascii="Times New Roman" w:hAnsi="Times New Roman" w:cs="Times New Roman"/>
                <w:sz w:val="24"/>
              </w:rPr>
              <w:t xml:space="preserve"> o </w:t>
            </w:r>
            <w:r w:rsidRPr="00A3389E">
              <w:rPr>
                <w:rFonts w:ascii="Times New Roman" w:hAnsi="Times New Roman" w:cs="Times New Roman"/>
                <w:sz w:val="24"/>
              </w:rPr>
              <w:t>konglomerátoch), článkov 60</w:t>
            </w:r>
            <w:r w:rsidR="00A3389E">
              <w:rPr>
                <w:rFonts w:ascii="Times New Roman" w:hAnsi="Times New Roman" w:cs="Times New Roman"/>
                <w:sz w:val="24"/>
              </w:rPr>
              <w:t xml:space="preserve"> a </w:t>
            </w:r>
            <w:r w:rsidRPr="00A3389E">
              <w:rPr>
                <w:rFonts w:ascii="Times New Roman" w:hAnsi="Times New Roman" w:cs="Times New Roman"/>
                <w:sz w:val="24"/>
              </w:rPr>
              <w:t>475 CRR [nevýznamné</w:t>
            </w:r>
            <w:r w:rsidR="00A3389E">
              <w:rPr>
                <w:rFonts w:ascii="Times New Roman" w:hAnsi="Times New Roman" w:cs="Times New Roman"/>
                <w:sz w:val="24"/>
              </w:rPr>
              <w:t xml:space="preserve"> a </w:t>
            </w:r>
            <w:r w:rsidRPr="00A3389E">
              <w:rPr>
                <w:rFonts w:ascii="Times New Roman" w:hAnsi="Times New Roman" w:cs="Times New Roman"/>
                <w:sz w:val="24"/>
              </w:rPr>
              <w:t>významné 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investície do dodatočného kapitálu Tier 1 (AT1) subjektov finančného sektora], článkov 70</w:t>
            </w:r>
            <w:r w:rsidR="00A3389E">
              <w:rPr>
                <w:rFonts w:ascii="Times New Roman" w:hAnsi="Times New Roman" w:cs="Times New Roman"/>
                <w:sz w:val="24"/>
              </w:rPr>
              <w:t xml:space="preserve"> a </w:t>
            </w:r>
            <w:r w:rsidRPr="00A3389E">
              <w:rPr>
                <w:rFonts w:ascii="Times New Roman" w:hAnsi="Times New Roman" w:cs="Times New Roman"/>
                <w:sz w:val="24"/>
              </w:rPr>
              <w:t>477 CRR (nevýznamné</w:t>
            </w:r>
            <w:r w:rsidR="00A3389E">
              <w:rPr>
                <w:rFonts w:ascii="Times New Roman" w:hAnsi="Times New Roman" w:cs="Times New Roman"/>
                <w:sz w:val="24"/>
              </w:rPr>
              <w:t xml:space="preserve"> a </w:t>
            </w:r>
            <w:r w:rsidRPr="00A3389E">
              <w:rPr>
                <w:rFonts w:ascii="Times New Roman" w:hAnsi="Times New Roman" w:cs="Times New Roman"/>
                <w:sz w:val="24"/>
              </w:rPr>
              <w:t>významné priame,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na kapitáli T2 subjektu finančného sektora), ak nie sú priradené do iných tried expozícií,</w:t>
            </w:r>
            <w:r w:rsidR="00A3389E">
              <w:rPr>
                <w:rFonts w:ascii="Times New Roman" w:hAnsi="Times New Roman" w:cs="Times New Roman"/>
                <w:sz w:val="24"/>
              </w:rPr>
              <w:t xml:space="preserve"> a </w:t>
            </w:r>
            <w:r w:rsidRPr="00A3389E">
              <w:rPr>
                <w:rFonts w:ascii="Times New Roman" w:hAnsi="Times New Roman" w:cs="Times New Roman"/>
                <w:sz w:val="24"/>
              </w:rPr>
              <w:t>na kvalifikované účasti mimo finančného sektora, ak sa na ne neuplatňuje riziková váha 1 250</w:t>
            </w:r>
            <w:r w:rsidR="00A3389E">
              <w:rPr>
                <w:rFonts w:ascii="Times New Roman" w:hAnsi="Times New Roman" w:cs="Times New Roman"/>
                <w:sz w:val="24"/>
              </w:rPr>
              <w:t> %</w:t>
            </w:r>
            <w:r w:rsidRPr="00A3389E">
              <w:rPr>
                <w:rFonts w:ascii="Times New Roman" w:hAnsi="Times New Roman" w:cs="Times New Roman"/>
                <w:sz w:val="24"/>
              </w:rPr>
              <w:t xml:space="preserve"> [pri uplatňovaní druhej časti hlavy I kapitoly 1 článku 36 písm. k) CRR].</w:t>
            </w:r>
          </w:p>
        </w:tc>
      </w:tr>
    </w:tbl>
    <w:p w14:paraId="3F0B6CE6" w14:textId="77777777" w:rsidR="00563C4F" w:rsidRPr="00A3389E" w:rsidRDefault="00563C4F" w:rsidP="00563C4F">
      <w:pPr>
        <w:spacing w:after="120"/>
        <w:rPr>
          <w:rFonts w:ascii="Times New Roman" w:hAnsi="Times New Roman" w:cs="Times New Roman"/>
          <w:sz w:val="24"/>
        </w:rPr>
      </w:pPr>
    </w:p>
    <w:p w14:paraId="3A67C2F0" w14:textId="1A142E21" w:rsidR="0081579E" w:rsidRPr="00A3389E" w:rsidRDefault="0081579E">
      <w:pPr>
        <w:rPr>
          <w:rFonts w:ascii="Times New Roman" w:hAnsi="Times New Roman" w:cs="Times New Roman"/>
          <w:b/>
          <w:sz w:val="24"/>
        </w:rPr>
        <w:sectPr w:rsidR="0081579E" w:rsidRPr="00A3389E" w:rsidSect="00155C96">
          <w:pgSz w:w="11900" w:h="16840"/>
          <w:pgMar w:top="2268" w:right="1418" w:bottom="1134" w:left="1701" w:header="709" w:footer="709" w:gutter="0"/>
          <w:pgNumType w:start="1" w:chapStyle="1"/>
          <w:cols w:space="708"/>
          <w:docGrid w:linePitch="299"/>
        </w:sectPr>
      </w:pPr>
    </w:p>
    <w:p w14:paraId="7C07F769" w14:textId="45086169" w:rsidR="000646F8" w:rsidRPr="00A3389E" w:rsidRDefault="000646F8" w:rsidP="000646F8">
      <w:pPr>
        <w:pStyle w:val="Annexetitre"/>
        <w:spacing w:before="0"/>
      </w:pPr>
      <w:r w:rsidRPr="00A3389E">
        <w:lastRenderedPageBreak/>
        <w:t>PRÍLOHA XXII – Zverejňovanie informácií</w:t>
      </w:r>
      <w:r w:rsidR="00A3389E">
        <w:t xml:space="preserve"> o </w:t>
      </w:r>
      <w:r w:rsidRPr="00A3389E">
        <w:t>používaní prístupu IRB ku kreditnému riziku (okrem kreditného rizika protistrany)</w:t>
      </w:r>
    </w:p>
    <w:p w14:paraId="58AB8056" w14:textId="77777777" w:rsidR="000646F8" w:rsidRPr="00A3389E" w:rsidRDefault="000646F8" w:rsidP="000646F8">
      <w:pPr>
        <w:spacing w:after="120"/>
        <w:rPr>
          <w:rFonts w:ascii="Times New Roman" w:hAnsi="Times New Roman" w:cs="Times New Roman"/>
          <w:sz w:val="24"/>
        </w:rPr>
      </w:pPr>
    </w:p>
    <w:p w14:paraId="4667538F" w14:textId="74407A0B" w:rsidR="000646F8" w:rsidRPr="00A3389E" w:rsidRDefault="00D95507" w:rsidP="000646F8">
      <w:pPr>
        <w:spacing w:after="120"/>
        <w:rPr>
          <w:rFonts w:ascii="Times New Roman" w:hAnsi="Times New Roman" w:cs="Times New Roman"/>
          <w:sz w:val="24"/>
        </w:rPr>
      </w:pPr>
      <w:r w:rsidRPr="00A3389E">
        <w:rPr>
          <w:rFonts w:ascii="Times New Roman" w:hAnsi="Times New Roman" w:cs="Times New Roman"/>
          <w:b/>
          <w:sz w:val="24"/>
        </w:rPr>
        <w:t>Tabuľka EU CRE – Požiadavky na zverejňovanie kvalitatívnych informácií týkajúcich sa prístupu IRB. Flexibilná tabuľka</w:t>
      </w:r>
      <w:r w:rsidRPr="00A3389E">
        <w:rPr>
          <w:rFonts w:ascii="Times New Roman" w:hAnsi="Times New Roman" w:cs="Times New Roman"/>
          <w:sz w:val="24"/>
        </w:rPr>
        <w:t>.</w:t>
      </w:r>
    </w:p>
    <w:p w14:paraId="04FD7982" w14:textId="6B27C388" w:rsidR="000646F8" w:rsidRPr="00A3389E" w:rsidRDefault="00A3389E" w:rsidP="00A3389E">
      <w:pPr>
        <w:spacing w:after="120"/>
        <w:ind w:left="720" w:hanging="360"/>
        <w:jc w:val="both"/>
        <w:rPr>
          <w:rFonts w:ascii="Times New Roman" w:hAnsi="Times New Roman"/>
          <w:sz w:val="24"/>
        </w:rPr>
      </w:pPr>
      <w:r w:rsidRPr="00A3389E">
        <w:rPr>
          <w:rFonts w:ascii="Times New Roman" w:eastAsia="Calibri" w:hAnsi="Times New Roman" w:cs="Times New Roman"/>
          <w:sz w:val="24"/>
          <w:szCs w:val="22"/>
        </w:rPr>
        <w:t>1.</w:t>
      </w:r>
      <w:r w:rsidRPr="00A3389E">
        <w:rPr>
          <w:rFonts w:ascii="Times New Roman" w:eastAsia="Calibri" w:hAnsi="Times New Roman" w:cs="Times New Roman"/>
          <w:sz w:val="24"/>
          <w:szCs w:val="22"/>
        </w:rPr>
        <w:tab/>
      </w:r>
      <w:r w:rsidR="000646F8" w:rsidRPr="00A3389E">
        <w:rPr>
          <w:rFonts w:ascii="Times New Roman" w:hAnsi="Times New Roman"/>
          <w:sz w:val="24"/>
        </w:rPr>
        <w:t>Inštitúcie zverejňujú informácie uvedené</w:t>
      </w:r>
      <w:r>
        <w:rPr>
          <w:rFonts w:ascii="Times New Roman" w:hAnsi="Times New Roman"/>
          <w:sz w:val="24"/>
        </w:rPr>
        <w:t xml:space="preserve"> v </w:t>
      </w:r>
      <w:r w:rsidR="000646F8" w:rsidRPr="00A3389E">
        <w:rPr>
          <w:rFonts w:ascii="Times New Roman" w:hAnsi="Times New Roman"/>
          <w:sz w:val="24"/>
        </w:rPr>
        <w:t xml:space="preserve">článku 452 písm. a) až f) nariadenia (EÚ) </w:t>
      </w:r>
      <w:r>
        <w:rPr>
          <w:rFonts w:ascii="Times New Roman" w:hAnsi="Times New Roman"/>
          <w:sz w:val="24"/>
        </w:rPr>
        <w:t>č. </w:t>
      </w:r>
      <w:r w:rsidR="000646F8" w:rsidRPr="00A3389E">
        <w:rPr>
          <w:rFonts w:ascii="Times New Roman" w:hAnsi="Times New Roman"/>
          <w:sz w:val="24"/>
        </w:rPr>
        <w:t>575/2013</w:t>
      </w:r>
      <w:r w:rsidR="000646F8" w:rsidRPr="00A3389E">
        <w:rPr>
          <w:rStyle w:val="FootnoteReference"/>
          <w:rFonts w:ascii="Times New Roman" w:hAnsi="Times New Roman" w:cs="Times New Roman"/>
        </w:rPr>
        <w:footnoteReference w:id="38"/>
      </w:r>
      <w:r w:rsidR="000646F8" w:rsidRPr="00A3389E">
        <w:rPr>
          <w:rFonts w:ascii="Times New Roman" w:hAnsi="Times New Roman"/>
          <w:sz w:val="24"/>
        </w:rPr>
        <w:t xml:space="preserve"> („CRR“) podľa pokynov uvedených nižšie</w:t>
      </w:r>
      <w:r>
        <w:rPr>
          <w:rFonts w:ascii="Times New Roman" w:hAnsi="Times New Roman"/>
          <w:sz w:val="24"/>
        </w:rPr>
        <w:t xml:space="preserve"> v </w:t>
      </w:r>
      <w:r w:rsidR="000646F8" w:rsidRPr="00A3389E">
        <w:rPr>
          <w:rFonts w:ascii="Times New Roman" w:hAnsi="Times New Roman"/>
          <w:sz w:val="24"/>
        </w:rPr>
        <w:t>tejto prílohe</w:t>
      </w:r>
      <w:r>
        <w:rPr>
          <w:rFonts w:ascii="Times New Roman" w:hAnsi="Times New Roman"/>
          <w:sz w:val="24"/>
        </w:rPr>
        <w:t xml:space="preserve"> s </w:t>
      </w:r>
      <w:r w:rsidR="000646F8" w:rsidRPr="00A3389E">
        <w:rPr>
          <w:rFonts w:ascii="Times New Roman" w:hAnsi="Times New Roman"/>
          <w:sz w:val="24"/>
        </w:rPr>
        <w:t>cieľom vyplniť tabuľku EU CRE, ktorá je uvedená</w:t>
      </w:r>
      <w:r>
        <w:rPr>
          <w:rFonts w:ascii="Times New Roman" w:hAnsi="Times New Roman"/>
          <w:sz w:val="24"/>
        </w:rPr>
        <w:t xml:space="preserve"> v </w:t>
      </w:r>
      <w:r w:rsidR="000646F8" w:rsidRPr="00A3389E">
        <w:rPr>
          <w:rFonts w:ascii="Times New Roman" w:hAnsi="Times New Roman"/>
          <w:sz w:val="24"/>
        </w:rPr>
        <w:t>prílohe XXI</w:t>
      </w:r>
      <w:r>
        <w:rPr>
          <w:rFonts w:ascii="Times New Roman" w:hAnsi="Times New Roman"/>
          <w:sz w:val="24"/>
        </w:rPr>
        <w:t xml:space="preserve"> k </w:t>
      </w:r>
      <w:r w:rsidR="000646F8" w:rsidRPr="00A3389E">
        <w:rPr>
          <w:rFonts w:ascii="Times New Roman" w:hAnsi="Times New Roman"/>
          <w:sz w:val="24"/>
        </w:rPr>
        <w:t>tomuto vykonávaciemu nariadeniu.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A3389E"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riadok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059A9201"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Vysvetlenie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646F8" w:rsidRPr="00A3389E"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452 písm. 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220C67A6"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Inštitúcie pri zverejňovaní informácií</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rozsahu povolenia prístupu alebo odsúhlaseného prechodu zo strany príslušného orgánu</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452 písm. a) CRR opisujú hlavné charakteristiky ratingových systémov používaných</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rámci prístupu IRB, pre ktoré príslušný orgán udelil povolenie,</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druhy expozícií, na ktoré sa tieto ratingové systémy vzťahujú. Inštitúcie opisujú aj druhy expozícií, pre ktoré majú povolenie uplatňovať trvalé čiastočné používanie štandardizovaného prístupu</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150 CRR</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ktoré sú zahrnuté do ich plánov zavádzania prístupu IRB</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148 CRR. Opis sa poskytuje na úrovni skupiny.</w:t>
            </w:r>
          </w:p>
        </w:tc>
      </w:tr>
      <w:tr w:rsidR="000646F8" w:rsidRPr="00A3389E" w14:paraId="1564FC55" w14:textId="77777777" w:rsidTr="00155C96">
        <w:trPr>
          <w:trHeight w:val="557"/>
        </w:trPr>
        <w:tc>
          <w:tcPr>
            <w:tcW w:w="1363" w:type="dxa"/>
            <w:vAlign w:val="top"/>
          </w:tcPr>
          <w:p w14:paraId="14A340DD" w14:textId="77777777"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b)</w:t>
            </w:r>
          </w:p>
        </w:tc>
        <w:tc>
          <w:tcPr>
            <w:tcW w:w="1179" w:type="dxa"/>
          </w:tcPr>
          <w:p w14:paraId="55FC216B" w14:textId="70D5E8F5"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452 písm. c) body i) až iv) CRR</w:t>
            </w:r>
          </w:p>
        </w:tc>
        <w:tc>
          <w:tcPr>
            <w:tcW w:w="7087" w:type="dxa"/>
          </w:tcPr>
          <w:p w14:paraId="15F96884" w14:textId="1708A497" w:rsidR="00A3389E"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Opis kontrolných mechanizmov pre ratingové systémy zahŕňa odhad rizikových parametrov vrátane vývoja</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kalibrácie interných modelov, ako aj kontroly pri uplatňovaní modelov</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zmeny ratingových systémov</w:t>
            </w:r>
            <w:r w:rsidR="00A3389E" w:rsidRPr="00A3389E">
              <w:rPr>
                <w:rFonts w:ascii="Times New Roman" w:hAnsi="Times New Roman" w:cs="Times New Roman"/>
                <w:sz w:val="24"/>
                <w:lang w:val="sk-SK"/>
              </w:rPr>
              <w:t>.</w:t>
            </w:r>
          </w:p>
          <w:p w14:paraId="08D4E922" w14:textId="00A16C74"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V súlade</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článkom 452 písm. c) bodmi i) až iv) CRR opis úlohy pracovníkov</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uvedených funkciách zahŕňa aj:</w:t>
            </w:r>
          </w:p>
          <w:p w14:paraId="497D2EA6" w14:textId="074CA1AD" w:rsidR="00A3389E" w:rsidRPr="00A3389E" w:rsidRDefault="00A3389E" w:rsidP="00A3389E">
            <w:pPr>
              <w:spacing w:after="120"/>
              <w:ind w:left="1080" w:hanging="720"/>
              <w:jc w:val="both"/>
              <w:rPr>
                <w:rFonts w:ascii="Times New Roman" w:hAnsi="Times New Roman"/>
                <w:sz w:val="24"/>
                <w:szCs w:val="24"/>
                <w:lang w:val="sk-SK"/>
              </w:rPr>
            </w:pPr>
            <w:r w:rsidRPr="00A3389E">
              <w:rPr>
                <w:rFonts w:ascii="Times New Roman" w:eastAsia="Calibri" w:hAnsi="Times New Roman" w:cs="Times New Roman"/>
                <w:sz w:val="24"/>
                <w:szCs w:val="24"/>
                <w:lang w:val="sk-SK"/>
              </w:rPr>
              <w:t>i)</w:t>
            </w:r>
            <w:r w:rsidRPr="00A3389E">
              <w:rPr>
                <w:rFonts w:ascii="Times New Roman" w:eastAsia="Calibri" w:hAnsi="Times New Roman" w:cs="Times New Roman"/>
                <w:sz w:val="24"/>
                <w:szCs w:val="24"/>
                <w:lang w:val="sk-SK"/>
              </w:rPr>
              <w:tab/>
            </w:r>
            <w:r w:rsidR="000646F8" w:rsidRPr="00A3389E">
              <w:rPr>
                <w:rFonts w:ascii="Times New Roman" w:hAnsi="Times New Roman"/>
                <w:sz w:val="24"/>
                <w:szCs w:val="24"/>
                <w:lang w:val="sk-SK"/>
              </w:rPr>
              <w:t>vzťahy medzi funkciou riadenia rizika</w:t>
            </w:r>
            <w:r>
              <w:rPr>
                <w:rFonts w:ascii="Times New Roman" w:hAnsi="Times New Roman"/>
                <w:sz w:val="24"/>
                <w:szCs w:val="24"/>
                <w:lang w:val="sk-SK"/>
              </w:rPr>
              <w:t xml:space="preserve"> a </w:t>
            </w:r>
            <w:r w:rsidR="000646F8" w:rsidRPr="00A3389E">
              <w:rPr>
                <w:rFonts w:ascii="Times New Roman" w:hAnsi="Times New Roman"/>
                <w:sz w:val="24"/>
                <w:szCs w:val="24"/>
                <w:lang w:val="sk-SK"/>
              </w:rPr>
              <w:t>funkciou interného auditu</w:t>
            </w:r>
            <w:r w:rsidRPr="00A3389E">
              <w:rPr>
                <w:rFonts w:ascii="Times New Roman" w:hAnsi="Times New Roman"/>
                <w:sz w:val="24"/>
                <w:szCs w:val="24"/>
                <w:lang w:val="sk-SK"/>
              </w:rPr>
              <w:t>;</w:t>
            </w:r>
          </w:p>
          <w:p w14:paraId="0190CDE5" w14:textId="7C82FDBD" w:rsidR="00A3389E" w:rsidRPr="00A3389E" w:rsidRDefault="00A3389E" w:rsidP="00A3389E">
            <w:pPr>
              <w:spacing w:after="120"/>
              <w:ind w:left="1080" w:hanging="720"/>
              <w:jc w:val="both"/>
              <w:rPr>
                <w:rFonts w:ascii="Times New Roman" w:hAnsi="Times New Roman"/>
                <w:sz w:val="24"/>
                <w:szCs w:val="24"/>
                <w:lang w:val="sk-SK"/>
              </w:rPr>
            </w:pPr>
            <w:r w:rsidRPr="00A3389E">
              <w:rPr>
                <w:rFonts w:ascii="Times New Roman" w:eastAsia="Calibri" w:hAnsi="Times New Roman" w:cs="Times New Roman"/>
                <w:sz w:val="24"/>
                <w:szCs w:val="24"/>
                <w:lang w:val="sk-SK"/>
              </w:rPr>
              <w:t>ii)</w:t>
            </w:r>
            <w:r w:rsidRPr="00A3389E">
              <w:rPr>
                <w:rFonts w:ascii="Times New Roman" w:eastAsia="Calibri" w:hAnsi="Times New Roman" w:cs="Times New Roman"/>
                <w:sz w:val="24"/>
                <w:szCs w:val="24"/>
                <w:lang w:val="sk-SK"/>
              </w:rPr>
              <w:tab/>
            </w:r>
            <w:r w:rsidR="000646F8" w:rsidRPr="00A3389E">
              <w:rPr>
                <w:rFonts w:ascii="Times New Roman" w:hAnsi="Times New Roman"/>
                <w:sz w:val="24"/>
                <w:szCs w:val="24"/>
                <w:lang w:val="sk-SK"/>
              </w:rPr>
              <w:t>postupy</w:t>
            </w:r>
            <w:r>
              <w:rPr>
                <w:rFonts w:ascii="Times New Roman" w:hAnsi="Times New Roman"/>
                <w:sz w:val="24"/>
                <w:szCs w:val="24"/>
                <w:lang w:val="sk-SK"/>
              </w:rPr>
              <w:t xml:space="preserve"> a </w:t>
            </w:r>
            <w:r w:rsidR="000646F8" w:rsidRPr="00A3389E">
              <w:rPr>
                <w:rFonts w:ascii="Times New Roman" w:hAnsi="Times New Roman"/>
                <w:sz w:val="24"/>
                <w:szCs w:val="24"/>
                <w:lang w:val="sk-SK"/>
              </w:rPr>
              <w:t>metódy preskúmania ratingových systémov vrátane pravidelných revízií odhadov</w:t>
            </w:r>
            <w:r>
              <w:rPr>
                <w:rFonts w:ascii="Times New Roman" w:hAnsi="Times New Roman"/>
                <w:sz w:val="24"/>
                <w:szCs w:val="24"/>
                <w:lang w:val="sk-SK"/>
              </w:rPr>
              <w:t xml:space="preserve"> v </w:t>
            </w:r>
            <w:r w:rsidR="000646F8" w:rsidRPr="00A3389E">
              <w:rPr>
                <w:rFonts w:ascii="Times New Roman" w:hAnsi="Times New Roman"/>
                <w:sz w:val="24"/>
                <w:szCs w:val="24"/>
                <w:lang w:val="sk-SK"/>
              </w:rPr>
              <w:t>súlade</w:t>
            </w:r>
            <w:r>
              <w:rPr>
                <w:rFonts w:ascii="Times New Roman" w:hAnsi="Times New Roman"/>
                <w:sz w:val="24"/>
                <w:szCs w:val="24"/>
                <w:lang w:val="sk-SK"/>
              </w:rPr>
              <w:t xml:space="preserve"> s </w:t>
            </w:r>
            <w:r w:rsidR="000646F8" w:rsidRPr="00A3389E">
              <w:rPr>
                <w:rFonts w:ascii="Times New Roman" w:hAnsi="Times New Roman"/>
                <w:sz w:val="24"/>
                <w:szCs w:val="24"/>
                <w:lang w:val="sk-SK"/>
              </w:rPr>
              <w:t>článkom 179 ods. 1 písm. c) CRR</w:t>
            </w:r>
            <w:r>
              <w:rPr>
                <w:rFonts w:ascii="Times New Roman" w:hAnsi="Times New Roman"/>
                <w:sz w:val="24"/>
                <w:szCs w:val="24"/>
                <w:lang w:val="sk-SK"/>
              </w:rPr>
              <w:t xml:space="preserve"> a </w:t>
            </w:r>
            <w:r w:rsidR="000646F8" w:rsidRPr="00A3389E">
              <w:rPr>
                <w:rFonts w:ascii="Times New Roman" w:hAnsi="Times New Roman"/>
                <w:sz w:val="24"/>
                <w:szCs w:val="24"/>
                <w:lang w:val="sk-SK"/>
              </w:rPr>
              <w:t>validácií</w:t>
            </w:r>
            <w:r w:rsidRPr="00A3389E">
              <w:rPr>
                <w:rFonts w:ascii="Times New Roman" w:hAnsi="Times New Roman"/>
                <w:sz w:val="24"/>
                <w:szCs w:val="24"/>
                <w:lang w:val="sk-SK"/>
              </w:rPr>
              <w:t>;</w:t>
            </w:r>
          </w:p>
          <w:p w14:paraId="08C0731C" w14:textId="1D7EF730" w:rsidR="00A3389E" w:rsidRPr="00A3389E" w:rsidRDefault="00A3389E" w:rsidP="00A3389E">
            <w:pPr>
              <w:spacing w:after="120"/>
              <w:ind w:left="1080" w:hanging="720"/>
              <w:jc w:val="both"/>
              <w:rPr>
                <w:rFonts w:ascii="Times New Roman" w:hAnsi="Times New Roman"/>
                <w:sz w:val="24"/>
                <w:szCs w:val="24"/>
                <w:lang w:val="sk-SK"/>
              </w:rPr>
            </w:pPr>
            <w:r w:rsidRPr="00A3389E">
              <w:rPr>
                <w:rFonts w:ascii="Times New Roman" w:eastAsia="Calibri" w:hAnsi="Times New Roman" w:cs="Times New Roman"/>
                <w:sz w:val="24"/>
                <w:szCs w:val="24"/>
                <w:lang w:val="sk-SK"/>
              </w:rPr>
              <w:t>iii)</w:t>
            </w:r>
            <w:r w:rsidRPr="00A3389E">
              <w:rPr>
                <w:rFonts w:ascii="Times New Roman" w:eastAsia="Calibri" w:hAnsi="Times New Roman" w:cs="Times New Roman"/>
                <w:sz w:val="24"/>
                <w:szCs w:val="24"/>
                <w:lang w:val="sk-SK"/>
              </w:rPr>
              <w:tab/>
            </w:r>
            <w:r w:rsidR="000646F8" w:rsidRPr="00A3389E">
              <w:rPr>
                <w:rFonts w:ascii="Times New Roman" w:hAnsi="Times New Roman"/>
                <w:sz w:val="24"/>
                <w:szCs w:val="24"/>
                <w:lang w:val="sk-SK"/>
              </w:rPr>
              <w:t>postupy</w:t>
            </w:r>
            <w:r>
              <w:rPr>
                <w:rFonts w:ascii="Times New Roman" w:hAnsi="Times New Roman"/>
                <w:sz w:val="24"/>
                <w:szCs w:val="24"/>
                <w:lang w:val="sk-SK"/>
              </w:rPr>
              <w:t xml:space="preserve"> a </w:t>
            </w:r>
            <w:r w:rsidR="000646F8" w:rsidRPr="00A3389E">
              <w:rPr>
                <w:rFonts w:ascii="Times New Roman" w:hAnsi="Times New Roman"/>
                <w:sz w:val="24"/>
                <w:szCs w:val="24"/>
                <w:lang w:val="sk-SK"/>
              </w:rPr>
              <w:t>organizačné opatrenia na zabezpečenie nezávislosti pracovníka povereného preskúmaním modelov (validačný pracovník) od pracovníkov zodpovedných za vývoj</w:t>
            </w:r>
            <w:r>
              <w:rPr>
                <w:rFonts w:ascii="Times New Roman" w:hAnsi="Times New Roman"/>
                <w:sz w:val="24"/>
                <w:szCs w:val="24"/>
                <w:lang w:val="sk-SK"/>
              </w:rPr>
              <w:t xml:space="preserve"> a </w:t>
            </w:r>
            <w:r w:rsidR="000646F8" w:rsidRPr="00A3389E">
              <w:rPr>
                <w:rFonts w:ascii="Times New Roman" w:hAnsi="Times New Roman"/>
                <w:sz w:val="24"/>
                <w:szCs w:val="24"/>
                <w:lang w:val="sk-SK"/>
              </w:rPr>
              <w:t>kalibráciu modelov</w:t>
            </w:r>
            <w:r w:rsidRPr="00A3389E">
              <w:rPr>
                <w:rFonts w:ascii="Times New Roman" w:hAnsi="Times New Roman"/>
                <w:sz w:val="24"/>
                <w:szCs w:val="24"/>
                <w:lang w:val="sk-SK"/>
              </w:rPr>
              <w:t>;</w:t>
            </w:r>
          </w:p>
          <w:p w14:paraId="7A1F1491" w14:textId="15776CB9" w:rsidR="000646F8" w:rsidRPr="00A3389E" w:rsidRDefault="00A3389E" w:rsidP="00A3389E">
            <w:pPr>
              <w:spacing w:after="120"/>
              <w:ind w:left="1080" w:hanging="720"/>
              <w:jc w:val="both"/>
              <w:rPr>
                <w:rFonts w:ascii="Times New Roman" w:hAnsi="Times New Roman"/>
                <w:sz w:val="24"/>
                <w:szCs w:val="24"/>
                <w:lang w:val="sk-SK"/>
              </w:rPr>
            </w:pPr>
            <w:r w:rsidRPr="00A3389E">
              <w:rPr>
                <w:rFonts w:ascii="Times New Roman" w:eastAsia="Calibri" w:hAnsi="Times New Roman" w:cs="Times New Roman"/>
                <w:sz w:val="24"/>
                <w:szCs w:val="24"/>
                <w:lang w:val="sk-SK"/>
              </w:rPr>
              <w:t>iv)</w:t>
            </w:r>
            <w:r w:rsidRPr="00A3389E">
              <w:rPr>
                <w:rFonts w:ascii="Times New Roman" w:eastAsia="Calibri" w:hAnsi="Times New Roman" w:cs="Times New Roman"/>
                <w:sz w:val="24"/>
                <w:szCs w:val="24"/>
                <w:lang w:val="sk-SK"/>
              </w:rPr>
              <w:tab/>
            </w:r>
            <w:r w:rsidR="000646F8" w:rsidRPr="00A3389E">
              <w:rPr>
                <w:rFonts w:ascii="Times New Roman" w:hAnsi="Times New Roman"/>
                <w:sz w:val="24"/>
                <w:szCs w:val="24"/>
                <w:lang w:val="sk-SK"/>
              </w:rPr>
              <w:t>postup zabezpečenia zodpovednosti pracovníkov poverených vývojom</w:t>
            </w:r>
            <w:r>
              <w:rPr>
                <w:rFonts w:ascii="Times New Roman" w:hAnsi="Times New Roman"/>
                <w:sz w:val="24"/>
                <w:szCs w:val="24"/>
                <w:lang w:val="sk-SK"/>
              </w:rPr>
              <w:t xml:space="preserve"> a </w:t>
            </w:r>
            <w:r w:rsidR="000646F8" w:rsidRPr="00A3389E">
              <w:rPr>
                <w:rFonts w:ascii="Times New Roman" w:hAnsi="Times New Roman"/>
                <w:sz w:val="24"/>
                <w:szCs w:val="24"/>
                <w:lang w:val="sk-SK"/>
              </w:rPr>
              <w:t>preskúmaním modelov.</w:t>
            </w:r>
          </w:p>
        </w:tc>
      </w:tr>
      <w:tr w:rsidR="000646F8" w:rsidRPr="00A3389E" w:rsidDel="00915DC9" w14:paraId="40E4A10C" w14:textId="77777777" w:rsidTr="00155C96">
        <w:trPr>
          <w:trHeight w:val="973"/>
        </w:trPr>
        <w:tc>
          <w:tcPr>
            <w:tcW w:w="1363" w:type="dxa"/>
            <w:vAlign w:val="top"/>
          </w:tcPr>
          <w:p w14:paraId="5E3113E1" w14:textId="77777777"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lastRenderedPageBreak/>
              <w:t>c)</w:t>
            </w:r>
          </w:p>
        </w:tc>
        <w:tc>
          <w:tcPr>
            <w:tcW w:w="1179" w:type="dxa"/>
          </w:tcPr>
          <w:p w14:paraId="1BD49820" w14:textId="0333EDD4"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452 písm. d) CRR</w:t>
            </w:r>
          </w:p>
        </w:tc>
        <w:tc>
          <w:tcPr>
            <w:tcW w:w="7087" w:type="dxa"/>
          </w:tcPr>
          <w:p w14:paraId="45DCC0FE" w14:textId="13D6A24F" w:rsidR="000646F8" w:rsidRPr="00A3389E" w:rsidDel="00915DC9"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Inštitúcie špecifikujú úlohu týchto pracovníkov pri vývoji modelov, kalibrácii, schvaľovaní</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následných zmenách ratingových systémov.</w:t>
            </w:r>
          </w:p>
        </w:tc>
      </w:tr>
      <w:tr w:rsidR="000646F8" w:rsidRPr="00A3389E" w14:paraId="038F0FCE" w14:textId="77777777" w:rsidTr="00155C96">
        <w:trPr>
          <w:trHeight w:val="1265"/>
        </w:trPr>
        <w:tc>
          <w:tcPr>
            <w:tcW w:w="1363" w:type="dxa"/>
            <w:vAlign w:val="top"/>
          </w:tcPr>
          <w:p w14:paraId="1E031BDC" w14:textId="77777777"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d)</w:t>
            </w:r>
          </w:p>
        </w:tc>
        <w:tc>
          <w:tcPr>
            <w:tcW w:w="1179" w:type="dxa"/>
          </w:tcPr>
          <w:p w14:paraId="785079DF" w14:textId="083E5989"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452 písm. e) CRR</w:t>
            </w:r>
          </w:p>
        </w:tc>
        <w:tc>
          <w:tcPr>
            <w:tcW w:w="7087" w:type="dxa"/>
          </w:tcPr>
          <w:p w14:paraId="42604DA2" w14:textId="4848DFE9"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Inštitúcie zverejňujú rozsah</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hlavný obsah podávania správ zo strany manažmentu</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súvislosti</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modelmi IRB, ako sa uvádza</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článku 189 CRR, ako aj adresátov</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 xml:space="preserve">frekvenciu takéhoto podávania správ. </w:t>
            </w:r>
          </w:p>
        </w:tc>
      </w:tr>
      <w:tr w:rsidR="000646F8" w:rsidRPr="00A3389E" w14:paraId="394C27F8" w14:textId="77777777" w:rsidTr="00155C96">
        <w:trPr>
          <w:trHeight w:val="1405"/>
        </w:trPr>
        <w:tc>
          <w:tcPr>
            <w:tcW w:w="1363" w:type="dxa"/>
            <w:vAlign w:val="top"/>
          </w:tcPr>
          <w:p w14:paraId="225DFE0C" w14:textId="77777777"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e)</w:t>
            </w:r>
          </w:p>
        </w:tc>
        <w:tc>
          <w:tcPr>
            <w:tcW w:w="1179" w:type="dxa"/>
          </w:tcPr>
          <w:p w14:paraId="0AE7CC48" w14:textId="1B213852"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iCs/>
                <w:sz w:val="24"/>
                <w:lang w:val="sk-SK"/>
              </w:rPr>
              <w:t>Článok 452 písm. f) CRR</w:t>
            </w:r>
          </w:p>
        </w:tc>
        <w:tc>
          <w:tcPr>
            <w:tcW w:w="7087" w:type="dxa"/>
          </w:tcPr>
          <w:p w14:paraId="4A37E872" w14:textId="15592F7D" w:rsidR="00A3389E"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Zverejňovanie interných ratingových systémov podľa tried expozícií zahŕňa počet kľúčových modelov používaných</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každej triede expozícií pre jednotlivé druhy expozícií, so stručným opisom hlavných rozdielov medzi modelmi</w:t>
            </w:r>
            <w:r w:rsidR="00A3389E">
              <w:rPr>
                <w:rFonts w:ascii="Times New Roman" w:hAnsi="Times New Roman" w:cs="Times New Roman"/>
                <w:sz w:val="24"/>
                <w:lang w:val="sk-SK"/>
              </w:rPr>
              <w:t xml:space="preserve"> v </w:t>
            </w:r>
            <w:r w:rsidRPr="00A3389E">
              <w:rPr>
                <w:rFonts w:ascii="Times New Roman" w:hAnsi="Times New Roman" w:cs="Times New Roman"/>
                <w:sz w:val="24"/>
                <w:lang w:val="sk-SK"/>
              </w:rPr>
              <w:t>rámci rovnakej triedy expozícií. Obsahuje aj opis hlavných charakteristík kľúčových schválených modelov, najmä</w:t>
            </w:r>
            <w:r w:rsidR="00A3389E" w:rsidRPr="00A3389E">
              <w:rPr>
                <w:rFonts w:ascii="Times New Roman" w:hAnsi="Times New Roman" w:cs="Times New Roman"/>
                <w:sz w:val="24"/>
                <w:lang w:val="sk-SK"/>
              </w:rPr>
              <w:t>:</w:t>
            </w:r>
          </w:p>
          <w:p w14:paraId="360F9DF8" w14:textId="4B19E4E4" w:rsidR="00A3389E"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i) vymedzení, metód</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údajov pre odhad</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validáciu PD vrátane odhadu</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validácie PD pre portfóliá</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nízkym rizikom zlyhania, uplatniteľných regulačných dolných ohraničení</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faktorov pre rozdiely sledované medzi PD</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skutočnými mierami zlyhania aspoň za tri posledné tri roky</w:t>
            </w:r>
            <w:r w:rsidR="00A3389E" w:rsidRPr="00A3389E">
              <w:rPr>
                <w:rFonts w:ascii="Times New Roman" w:hAnsi="Times New Roman" w:cs="Times New Roman"/>
                <w:sz w:val="24"/>
                <w:lang w:val="sk-SK"/>
              </w:rPr>
              <w:t>;</w:t>
            </w:r>
          </w:p>
          <w:p w14:paraId="04666518" w14:textId="3AE9A03D" w:rsidR="00A3389E"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ii) ak je to uplatniteľné, vymedzení, metód</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údajov pre odhad</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validáciu LGD vrátane odhadu</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validácie LGD pri hospodárskom poklese, informácií</w:t>
            </w:r>
            <w:r w:rsidR="00A3389E">
              <w:rPr>
                <w:rFonts w:ascii="Times New Roman" w:hAnsi="Times New Roman" w:cs="Times New Roman"/>
                <w:sz w:val="24"/>
                <w:lang w:val="sk-SK"/>
              </w:rPr>
              <w:t xml:space="preserve"> o </w:t>
            </w:r>
            <w:r w:rsidRPr="00A3389E">
              <w:rPr>
                <w:rFonts w:ascii="Times New Roman" w:hAnsi="Times New Roman" w:cs="Times New Roman"/>
                <w:sz w:val="24"/>
                <w:lang w:val="sk-SK"/>
              </w:rPr>
              <w:t>tom, ako sa LGD odhadujú pre portfólio</w:t>
            </w:r>
            <w:r w:rsidR="00A3389E">
              <w:rPr>
                <w:rFonts w:ascii="Times New Roman" w:hAnsi="Times New Roman" w:cs="Times New Roman"/>
                <w:sz w:val="24"/>
                <w:lang w:val="sk-SK"/>
              </w:rPr>
              <w:t xml:space="preserve"> s </w:t>
            </w:r>
            <w:r w:rsidRPr="00A3389E">
              <w:rPr>
                <w:rFonts w:ascii="Times New Roman" w:hAnsi="Times New Roman" w:cs="Times New Roman"/>
                <w:sz w:val="24"/>
                <w:lang w:val="sk-SK"/>
              </w:rPr>
              <w:t>nízkym rizikom zlyhania,</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priemerný čas uplynutý medzi zlyhaním</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uzavretím expozície</w:t>
            </w:r>
            <w:r w:rsidR="00A3389E" w:rsidRPr="00A3389E">
              <w:rPr>
                <w:rFonts w:ascii="Times New Roman" w:hAnsi="Times New Roman" w:cs="Times New Roman"/>
                <w:sz w:val="24"/>
                <w:lang w:val="sk-SK"/>
              </w:rPr>
              <w:t>;</w:t>
            </w:r>
          </w:p>
          <w:p w14:paraId="37F12604" w14:textId="5D2BAF92" w:rsidR="000646F8" w:rsidRPr="00A3389E" w:rsidRDefault="000646F8" w:rsidP="00155C96">
            <w:pPr>
              <w:spacing w:after="120"/>
              <w:jc w:val="both"/>
              <w:rPr>
                <w:rFonts w:ascii="Times New Roman" w:hAnsi="Times New Roman" w:cs="Times New Roman"/>
                <w:sz w:val="24"/>
                <w:lang w:val="sk-SK"/>
              </w:rPr>
            </w:pPr>
            <w:r w:rsidRPr="00A3389E">
              <w:rPr>
                <w:rFonts w:ascii="Times New Roman" w:hAnsi="Times New Roman" w:cs="Times New Roman"/>
                <w:sz w:val="24"/>
                <w:lang w:val="sk-SK"/>
              </w:rPr>
              <w:t>iii) vymedzení, metód</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údajov pre odhad</w:t>
            </w:r>
            <w:r w:rsidR="00A3389E">
              <w:rPr>
                <w:rFonts w:ascii="Times New Roman" w:hAnsi="Times New Roman" w:cs="Times New Roman"/>
                <w:sz w:val="24"/>
                <w:lang w:val="sk-SK"/>
              </w:rPr>
              <w:t xml:space="preserve"> a </w:t>
            </w:r>
            <w:r w:rsidRPr="00A3389E">
              <w:rPr>
                <w:rFonts w:ascii="Times New Roman" w:hAnsi="Times New Roman" w:cs="Times New Roman"/>
                <w:sz w:val="24"/>
                <w:lang w:val="sk-SK"/>
              </w:rPr>
              <w:t>validáciu konverzných faktorov vrátane predpokladov použitých pri odvodzovaní týchto odhadov.</w:t>
            </w:r>
          </w:p>
        </w:tc>
      </w:tr>
    </w:tbl>
    <w:p w14:paraId="39A617A1" w14:textId="77777777" w:rsidR="000646F8" w:rsidRPr="00A3389E" w:rsidRDefault="000646F8" w:rsidP="000646F8">
      <w:pPr>
        <w:spacing w:after="120"/>
        <w:rPr>
          <w:rFonts w:ascii="Times New Roman" w:hAnsi="Times New Roman" w:cs="Times New Roman"/>
          <w:sz w:val="24"/>
        </w:rPr>
      </w:pPr>
    </w:p>
    <w:p w14:paraId="33E560B8" w14:textId="1A121DF1" w:rsidR="000646F8" w:rsidRPr="00A3389E" w:rsidRDefault="00CD362D" w:rsidP="000646F8">
      <w:pPr>
        <w:spacing w:after="120"/>
        <w:rPr>
          <w:rFonts w:ascii="Times New Roman" w:hAnsi="Times New Roman" w:cs="Times New Roman"/>
          <w:sz w:val="24"/>
        </w:rPr>
      </w:pPr>
      <w:r w:rsidRPr="00A3389E">
        <w:rPr>
          <w:rFonts w:ascii="Times New Roman" w:hAnsi="Times New Roman" w:cs="Times New Roman"/>
          <w:b/>
          <w:sz w:val="24"/>
        </w:rPr>
        <w:t>Vzor EU CR6 – Prístup IRB – Expozície voči kreditnému riziku podľa tried expozícií</w:t>
      </w:r>
      <w:r w:rsidR="00A3389E">
        <w:rPr>
          <w:rFonts w:ascii="Times New Roman" w:hAnsi="Times New Roman" w:cs="Times New Roman"/>
          <w:b/>
          <w:sz w:val="24"/>
        </w:rPr>
        <w:t xml:space="preserve"> a </w:t>
      </w:r>
      <w:r w:rsidRPr="00A3389E">
        <w:rPr>
          <w:rFonts w:ascii="Times New Roman" w:hAnsi="Times New Roman" w:cs="Times New Roman"/>
          <w:b/>
          <w:sz w:val="24"/>
        </w:rPr>
        <w:t>rozsahu PD. Vzor</w:t>
      </w:r>
      <w:r w:rsidR="00A3389E">
        <w:rPr>
          <w:rFonts w:ascii="Times New Roman" w:hAnsi="Times New Roman" w:cs="Times New Roman"/>
          <w:b/>
          <w:sz w:val="24"/>
        </w:rPr>
        <w:t xml:space="preserve"> s </w:t>
      </w:r>
      <w:r w:rsidRPr="00A3389E">
        <w:rPr>
          <w:rFonts w:ascii="Times New Roman" w:hAnsi="Times New Roman" w:cs="Times New Roman"/>
          <w:b/>
          <w:sz w:val="24"/>
        </w:rPr>
        <w:t>pevným formátom.</w:t>
      </w:r>
    </w:p>
    <w:p w14:paraId="01BC3589" w14:textId="3970E22D" w:rsidR="000646F8" w:rsidRPr="00A3389E" w:rsidRDefault="00A3389E" w:rsidP="00A3389E">
      <w:pPr>
        <w:spacing w:after="120"/>
        <w:ind w:left="720" w:hanging="360"/>
        <w:jc w:val="both"/>
        <w:rPr>
          <w:rFonts w:ascii="Times New Roman" w:hAnsi="Times New Roman"/>
          <w:sz w:val="24"/>
        </w:rPr>
      </w:pPr>
      <w:r w:rsidRPr="00A3389E">
        <w:rPr>
          <w:rFonts w:ascii="Times New Roman" w:eastAsia="Calibri" w:hAnsi="Times New Roman" w:cs="Times New Roman"/>
          <w:sz w:val="24"/>
          <w:szCs w:val="22"/>
        </w:rPr>
        <w:t>2.</w:t>
      </w:r>
      <w:r w:rsidRPr="00A3389E">
        <w:rPr>
          <w:rFonts w:ascii="Times New Roman" w:eastAsia="Calibri" w:hAnsi="Times New Roman" w:cs="Times New Roman"/>
          <w:sz w:val="24"/>
          <w:szCs w:val="22"/>
        </w:rPr>
        <w:tab/>
      </w:r>
      <w:r w:rsidR="000646F8" w:rsidRPr="00A3389E">
        <w:rPr>
          <w:rFonts w:ascii="Times New Roman" w:hAnsi="Times New Roman"/>
          <w:sz w:val="24"/>
        </w:rPr>
        <w:t>Inštitúcie zverejňujú informácie</w:t>
      </w:r>
      <w:r>
        <w:rPr>
          <w:rFonts w:ascii="Times New Roman" w:hAnsi="Times New Roman"/>
          <w:sz w:val="24"/>
        </w:rPr>
        <w:t xml:space="preserve"> o </w:t>
      </w:r>
      <w:r w:rsidR="000646F8" w:rsidRPr="00A3389E">
        <w:rPr>
          <w:rFonts w:ascii="Times New Roman" w:hAnsi="Times New Roman"/>
          <w:sz w:val="24"/>
        </w:rPr>
        <w:t>hlavných parametroch používaných na výpočet kapitálových požiadaviek pre prístup IRB uvedené</w:t>
      </w:r>
      <w:r>
        <w:rPr>
          <w:rFonts w:ascii="Times New Roman" w:hAnsi="Times New Roman"/>
          <w:sz w:val="24"/>
        </w:rPr>
        <w:t xml:space="preserve"> v </w:t>
      </w:r>
      <w:r w:rsidR="000646F8" w:rsidRPr="00A3389E">
        <w:rPr>
          <w:rFonts w:ascii="Times New Roman" w:hAnsi="Times New Roman"/>
          <w:sz w:val="24"/>
        </w:rPr>
        <w:t>článku 452 písm. g) bodoch i) až v) CRR podľa pokynov uvedených nižšie</w:t>
      </w:r>
      <w:r>
        <w:rPr>
          <w:rFonts w:ascii="Times New Roman" w:hAnsi="Times New Roman"/>
          <w:sz w:val="24"/>
        </w:rPr>
        <w:t xml:space="preserve"> v </w:t>
      </w:r>
      <w:r w:rsidR="000646F8" w:rsidRPr="00A3389E">
        <w:rPr>
          <w:rFonts w:ascii="Times New Roman" w:hAnsi="Times New Roman"/>
          <w:sz w:val="24"/>
        </w:rPr>
        <w:t>tejto prílohe</w:t>
      </w:r>
      <w:r>
        <w:rPr>
          <w:rFonts w:ascii="Times New Roman" w:hAnsi="Times New Roman"/>
          <w:sz w:val="24"/>
        </w:rPr>
        <w:t xml:space="preserve"> s </w:t>
      </w:r>
      <w:r w:rsidR="000646F8" w:rsidRPr="00A3389E">
        <w:rPr>
          <w:rFonts w:ascii="Times New Roman" w:hAnsi="Times New Roman"/>
          <w:sz w:val="24"/>
        </w:rPr>
        <w:t>cieľom vyplniť vzor EU CR6, ktorý je uvedený</w:t>
      </w:r>
      <w:r>
        <w:rPr>
          <w:rFonts w:ascii="Times New Roman" w:hAnsi="Times New Roman"/>
          <w:sz w:val="24"/>
        </w:rPr>
        <w:t xml:space="preserve"> v </w:t>
      </w:r>
      <w:r w:rsidR="000646F8" w:rsidRPr="00A3389E">
        <w:rPr>
          <w:rFonts w:ascii="Times New Roman" w:hAnsi="Times New Roman"/>
          <w:sz w:val="24"/>
        </w:rPr>
        <w:t>prílohe XXI</w:t>
      </w:r>
      <w:r>
        <w:rPr>
          <w:rFonts w:ascii="Times New Roman" w:hAnsi="Times New Roman"/>
          <w:sz w:val="24"/>
        </w:rPr>
        <w:t xml:space="preserve"> k </w:t>
      </w:r>
      <w:r w:rsidR="000646F8" w:rsidRPr="00A3389E">
        <w:rPr>
          <w:rFonts w:ascii="Times New Roman" w:hAnsi="Times New Roman"/>
          <w:sz w:val="24"/>
        </w:rPr>
        <w:t>tomuto vykonávaciemu nariadeniu. Informácie zverejňované</w:t>
      </w:r>
      <w:r>
        <w:rPr>
          <w:rFonts w:ascii="Times New Roman" w:hAnsi="Times New Roman"/>
          <w:sz w:val="24"/>
        </w:rPr>
        <w:t xml:space="preserve"> v </w:t>
      </w:r>
      <w:r w:rsidR="000646F8" w:rsidRPr="00A3389E">
        <w:rPr>
          <w:rFonts w:ascii="Times New Roman" w:hAnsi="Times New Roman"/>
          <w:sz w:val="24"/>
        </w:rPr>
        <w:t>tomto vzore nezahŕňajú údaje</w:t>
      </w:r>
      <w:r>
        <w:rPr>
          <w:rFonts w:ascii="Times New Roman" w:hAnsi="Times New Roman"/>
          <w:sz w:val="24"/>
        </w:rPr>
        <w:t xml:space="preserve"> o </w:t>
      </w:r>
      <w:r w:rsidR="000646F8" w:rsidRPr="00A3389E">
        <w:rPr>
          <w:rFonts w:ascii="Times New Roman" w:hAnsi="Times New Roman"/>
          <w:sz w:val="24"/>
        </w:rPr>
        <w:t>špecializovanom financovaní uvedené</w:t>
      </w:r>
      <w:r>
        <w:rPr>
          <w:rFonts w:ascii="Times New Roman" w:hAnsi="Times New Roman"/>
          <w:sz w:val="24"/>
        </w:rPr>
        <w:t xml:space="preserve"> v </w:t>
      </w:r>
      <w:r w:rsidR="000646F8" w:rsidRPr="00A3389E">
        <w:rPr>
          <w:rFonts w:ascii="Times New Roman" w:hAnsi="Times New Roman"/>
          <w:sz w:val="24"/>
        </w:rPr>
        <w:t>článku 153 ods. 4 CRR.</w:t>
      </w:r>
      <w:r>
        <w:rPr>
          <w:rFonts w:ascii="Times New Roman" w:hAnsi="Times New Roman"/>
          <w:sz w:val="24"/>
        </w:rPr>
        <w:t xml:space="preserve"> Z </w:t>
      </w:r>
      <w:r w:rsidR="000646F8" w:rsidRPr="00A3389E">
        <w:rPr>
          <w:rFonts w:ascii="Times New Roman" w:hAnsi="Times New Roman"/>
          <w:sz w:val="24"/>
        </w:rPr>
        <w:t>tohto vzoru sú vylúčené expozície voči kreditnému riziku protistrany (CCR) (tretia časť hlava II kapitola 6 CRR), sekuritizačné expozície</w:t>
      </w:r>
      <w:r>
        <w:rPr>
          <w:rFonts w:ascii="Times New Roman" w:hAnsi="Times New Roman"/>
          <w:sz w:val="24"/>
        </w:rPr>
        <w:t xml:space="preserve"> a </w:t>
      </w:r>
      <w:r w:rsidR="000646F8" w:rsidRPr="00A3389E">
        <w:rPr>
          <w:rFonts w:ascii="Times New Roman" w:hAnsi="Times New Roman"/>
          <w:sz w:val="24"/>
        </w:rPr>
        <w:t>kapitálové expozície.</w:t>
      </w:r>
    </w:p>
    <w:p w14:paraId="2C5E6F36" w14:textId="77777777" w:rsidR="000646F8" w:rsidRPr="00A3389E" w:rsidRDefault="000646F8" w:rsidP="000646F8">
      <w:pPr>
        <w:spacing w:after="120"/>
        <w:rPr>
          <w:rFonts w:ascii="Times New Roman" w:hAnsi="Times New Roman" w:cs="Times New Roman"/>
          <w:sz w:val="24"/>
        </w:rPr>
      </w:pPr>
    </w:p>
    <w:p w14:paraId="3DDD2510" w14:textId="77777777" w:rsidR="000646F8" w:rsidRPr="00A3389E" w:rsidRDefault="000646F8" w:rsidP="000646F8">
      <w:pPr>
        <w:spacing w:after="120"/>
        <w:rPr>
          <w:rFonts w:ascii="Times New Roman" w:hAnsi="Times New Roman" w:cs="Times New Roman"/>
          <w:sz w:val="24"/>
        </w:rPr>
      </w:pPr>
    </w:p>
    <w:p w14:paraId="67E3BB5D" w14:textId="77777777" w:rsidR="000646F8" w:rsidRPr="00A3389E"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A3389E"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A3389E" w:rsidRDefault="000646F8" w:rsidP="00B2251E">
            <w:pPr>
              <w:keepNext/>
              <w:keepLines/>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stĺpec</w:t>
            </w:r>
          </w:p>
        </w:tc>
        <w:tc>
          <w:tcPr>
            <w:tcW w:w="7483" w:type="dxa"/>
            <w:shd w:val="clear" w:color="auto" w:fill="D9D9D9" w:themeFill="background1" w:themeFillShade="D9"/>
          </w:tcPr>
          <w:p w14:paraId="29F3B15D" w14:textId="66C7FDEB" w:rsidR="000646F8" w:rsidRPr="00A3389E" w:rsidRDefault="000646F8" w:rsidP="00B2251E">
            <w:pPr>
              <w:keepNext/>
              <w:keepLines/>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6BF14EA4" w14:textId="77777777" w:rsidTr="00155C96">
        <w:trPr>
          <w:trHeight w:val="238"/>
        </w:trPr>
        <w:tc>
          <w:tcPr>
            <w:tcW w:w="1555" w:type="dxa"/>
            <w:vMerge/>
            <w:shd w:val="clear" w:color="auto" w:fill="D9D9D9" w:themeFill="background1" w:themeFillShade="D9"/>
          </w:tcPr>
          <w:p w14:paraId="518305CE" w14:textId="77777777" w:rsidR="000646F8" w:rsidRPr="00A3389E" w:rsidRDefault="000646F8" w:rsidP="00B2251E">
            <w:pPr>
              <w:keepNext/>
              <w:keepLines/>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A3389E" w:rsidRDefault="000646F8" w:rsidP="00B2251E">
            <w:pPr>
              <w:keepNext/>
              <w:keepLines/>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Vysvetlenie</w:t>
            </w:r>
          </w:p>
        </w:tc>
      </w:tr>
      <w:tr w:rsidR="000646F8" w:rsidRPr="00A3389E" w14:paraId="79FE9B93" w14:textId="77777777" w:rsidTr="00155C96">
        <w:trPr>
          <w:trHeight w:val="841"/>
        </w:trPr>
        <w:tc>
          <w:tcPr>
            <w:tcW w:w="1555" w:type="dxa"/>
          </w:tcPr>
          <w:p w14:paraId="2362CC1C" w14:textId="77777777" w:rsidR="000646F8" w:rsidRPr="00A3389E" w:rsidRDefault="000646F8" w:rsidP="00B2251E">
            <w:pPr>
              <w:pStyle w:val="Applicationdirecte"/>
              <w:keepNext/>
              <w:keepLines/>
              <w:spacing w:before="0"/>
              <w:rPr>
                <w:highlight w:val="yellow"/>
              </w:rPr>
            </w:pPr>
            <w:r w:rsidRPr="00A3389E">
              <w:lastRenderedPageBreak/>
              <w:t>a</w:t>
            </w:r>
          </w:p>
        </w:tc>
        <w:tc>
          <w:tcPr>
            <w:tcW w:w="7483" w:type="dxa"/>
          </w:tcPr>
          <w:p w14:paraId="203D229E" w14:textId="240581FA" w:rsidR="000646F8" w:rsidRPr="00A3389E" w:rsidRDefault="000646F8" w:rsidP="00B2251E">
            <w:pPr>
              <w:pStyle w:val="Applicationdirecte"/>
              <w:keepNext/>
              <w:keepLines/>
              <w:spacing w:before="0"/>
              <w:rPr>
                <w:b/>
              </w:rPr>
            </w:pPr>
            <w:r w:rsidRPr="00A3389E">
              <w:rPr>
                <w:b/>
              </w:rPr>
              <w:t>Rozsah PD</w:t>
            </w:r>
          </w:p>
          <w:p w14:paraId="6465D612" w14:textId="3017CEF2" w:rsidR="000646F8" w:rsidRPr="00A3389E" w:rsidRDefault="000646F8" w:rsidP="00B2251E">
            <w:pPr>
              <w:keepNext/>
              <w:keepLines/>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Ide</w:t>
            </w:r>
            <w:r w:rsidR="00A3389E">
              <w:rPr>
                <w:rFonts w:ascii="Times New Roman" w:hAnsi="Times New Roman" w:cs="Times New Roman"/>
                <w:sz w:val="24"/>
              </w:rPr>
              <w:t xml:space="preserve"> o </w:t>
            </w:r>
            <w:r w:rsidRPr="00A3389E">
              <w:rPr>
                <w:rFonts w:ascii="Times New Roman" w:hAnsi="Times New Roman" w:cs="Times New Roman"/>
                <w:sz w:val="24"/>
              </w:rPr>
              <w:t>pevný rozsah PD, ktorý sa nesmie meniť.</w:t>
            </w:r>
          </w:p>
          <w:p w14:paraId="31D2661A" w14:textId="3F5A7C2E" w:rsidR="000646F8" w:rsidRPr="00A3389E" w:rsidRDefault="000646F8" w:rsidP="00B2251E">
            <w:pPr>
              <w:pStyle w:val="Fait"/>
              <w:keepLines/>
              <w:spacing w:before="0" w:after="120"/>
            </w:pPr>
            <w:r w:rsidRPr="00A3389E">
              <w:t>Ak sú údaje</w:t>
            </w:r>
            <w:r w:rsidR="00A3389E">
              <w:t xml:space="preserve"> o </w:t>
            </w:r>
            <w:r w:rsidRPr="00A3389E">
              <w:t>expozíciách</w:t>
            </w:r>
            <w:r w:rsidR="00A3389E">
              <w:t xml:space="preserve"> v </w:t>
            </w:r>
            <w:r w:rsidRPr="00A3389E">
              <w:t>stave zlyhania</w:t>
            </w:r>
            <w:r w:rsidR="00A3389E">
              <w:t xml:space="preserve"> v </w:t>
            </w:r>
            <w:r w:rsidRPr="00A3389E">
              <w:t>súlade</w:t>
            </w:r>
            <w:r w:rsidR="00A3389E">
              <w:t xml:space="preserve"> s </w:t>
            </w:r>
            <w:r w:rsidRPr="00A3389E">
              <w:t>článkom 178 CRR ďalej rozčlenené</w:t>
            </w:r>
            <w:r w:rsidR="00A3389E">
              <w:t xml:space="preserve"> v </w:t>
            </w:r>
            <w:r w:rsidRPr="00A3389E">
              <w:t>súlade</w:t>
            </w:r>
            <w:r w:rsidR="00A3389E">
              <w:t xml:space="preserve"> s </w:t>
            </w:r>
            <w:r w:rsidRPr="00A3389E">
              <w:t>možnými vymedzeniami kategórií expozícií</w:t>
            </w:r>
            <w:r w:rsidR="00A3389E">
              <w:t xml:space="preserve"> v </w:t>
            </w:r>
            <w:r w:rsidRPr="00A3389E">
              <w:t>stave zlyhania, vymedzenia kategórií expozícií</w:t>
            </w:r>
            <w:r w:rsidR="00A3389E">
              <w:t xml:space="preserve"> v </w:t>
            </w:r>
            <w:r w:rsidRPr="00A3389E">
              <w:t>stave zlyhania</w:t>
            </w:r>
            <w:r w:rsidR="00A3389E">
              <w:t xml:space="preserve"> a </w:t>
            </w:r>
            <w:r w:rsidRPr="00A3389E">
              <w:t>príslušné hodnoty sa vysvetľujú</w:t>
            </w:r>
            <w:r w:rsidR="00A3389E">
              <w:t xml:space="preserve"> v </w:t>
            </w:r>
            <w:r w:rsidRPr="00A3389E">
              <w:t>sprievodnom opise.</w:t>
            </w:r>
          </w:p>
          <w:p w14:paraId="6FA3CD0F" w14:textId="0284149D" w:rsidR="000646F8" w:rsidRPr="00A3389E" w:rsidRDefault="000646F8" w:rsidP="00B2251E">
            <w:pPr>
              <w:pStyle w:val="Fait"/>
              <w:keepLines/>
              <w:spacing w:before="0" w:after="120"/>
            </w:pPr>
            <w:r w:rsidRPr="00A3389E">
              <w:t>Expozície sa zaraďujú do príslušnej skupiny pevného rozsahu PD na základe PD odhadovanej pre každého dlžníka zaradeného do tejto triedy expozícií (bez zohľadnenia substitučných účinkov</w:t>
            </w:r>
            <w:r w:rsidR="00A3389E">
              <w:t xml:space="preserve"> v </w:t>
            </w:r>
            <w:r w:rsidRPr="00A3389E">
              <w:t>dôsledku zmierňovania kreditného rizika). Všetky expozície</w:t>
            </w:r>
            <w:r w:rsidR="00A3389E">
              <w:t xml:space="preserve"> v </w:t>
            </w:r>
            <w:r w:rsidRPr="00A3389E">
              <w:t>stave zlyhania sa zahŕňajú do skupiny predstavujúcej PD na úrovni 100</w:t>
            </w:r>
            <w:r w:rsidR="00A3389E">
              <w:t> %</w:t>
            </w:r>
            <w:r w:rsidRPr="00A3389E">
              <w:t>.</w:t>
            </w:r>
          </w:p>
        </w:tc>
      </w:tr>
      <w:tr w:rsidR="000646F8" w:rsidRPr="00A3389E" w14:paraId="15394B7C" w14:textId="77777777" w:rsidTr="00155C96">
        <w:trPr>
          <w:trHeight w:val="1320"/>
        </w:trPr>
        <w:tc>
          <w:tcPr>
            <w:tcW w:w="1555" w:type="dxa"/>
          </w:tcPr>
          <w:p w14:paraId="37A36298" w14:textId="77777777" w:rsidR="000646F8" w:rsidRPr="00A3389E" w:rsidRDefault="000646F8" w:rsidP="00155C96">
            <w:pPr>
              <w:pStyle w:val="Applicationdirecte"/>
              <w:spacing w:before="0"/>
            </w:pPr>
            <w:r w:rsidRPr="00A3389E">
              <w:t>b</w:t>
            </w:r>
          </w:p>
          <w:p w14:paraId="120A355E" w14:textId="77777777" w:rsidR="000646F8" w:rsidRPr="00A3389E" w:rsidRDefault="000646F8" w:rsidP="00155C96">
            <w:pPr>
              <w:pStyle w:val="Applicationdirecte"/>
              <w:spacing w:before="0"/>
              <w:rPr>
                <w:highlight w:val="yellow"/>
              </w:rPr>
            </w:pPr>
          </w:p>
        </w:tc>
        <w:tc>
          <w:tcPr>
            <w:tcW w:w="7483" w:type="dxa"/>
          </w:tcPr>
          <w:p w14:paraId="2CAE09F4" w14:textId="0915112F" w:rsidR="000646F8" w:rsidRPr="00A3389E" w:rsidRDefault="000646F8" w:rsidP="00155C96">
            <w:pPr>
              <w:pStyle w:val="Fait"/>
              <w:spacing w:before="0" w:after="120"/>
              <w:rPr>
                <w:b/>
              </w:rPr>
            </w:pPr>
            <w:r w:rsidRPr="00A3389E">
              <w:rPr>
                <w:b/>
              </w:rPr>
              <w:t>Súvahové expozície</w:t>
            </w:r>
          </w:p>
          <w:p w14:paraId="2BC08EF6" w14:textId="6C9B319A" w:rsidR="000646F8" w:rsidRPr="00A3389E" w:rsidRDefault="000646F8" w:rsidP="00155C96">
            <w:pPr>
              <w:pStyle w:val="Fait"/>
              <w:spacing w:before="0" w:after="120"/>
            </w:pPr>
            <w:r w:rsidRPr="00A3389E">
              <w:t>Hodnota expozície vypočítaná</w:t>
            </w:r>
            <w:r w:rsidR="00A3389E">
              <w:t xml:space="preserve"> v </w:t>
            </w:r>
            <w:r w:rsidRPr="00A3389E">
              <w:t>súlade</w:t>
            </w:r>
            <w:r w:rsidR="00A3389E">
              <w:t xml:space="preserve"> s </w:t>
            </w:r>
            <w:r w:rsidRPr="00A3389E">
              <w:t>článkom 166 ods. 1 až 7 CRR bez zohľadnenia akýchkoľvek úprav kreditného rizika</w:t>
            </w:r>
            <w:r w:rsidR="00A3389E">
              <w:t xml:space="preserve"> a </w:t>
            </w:r>
            <w:r w:rsidRPr="00A3389E">
              <w:t>akýchkoľvek konverzných faktorov.</w:t>
            </w:r>
          </w:p>
        </w:tc>
      </w:tr>
      <w:tr w:rsidR="000646F8" w:rsidRPr="00A3389E" w14:paraId="05F1583A" w14:textId="77777777" w:rsidTr="00155C96">
        <w:trPr>
          <w:trHeight w:val="316"/>
        </w:trPr>
        <w:tc>
          <w:tcPr>
            <w:tcW w:w="1555" w:type="dxa"/>
          </w:tcPr>
          <w:p w14:paraId="52119EE6" w14:textId="77777777" w:rsidR="000646F8" w:rsidRPr="00A3389E" w:rsidRDefault="000646F8" w:rsidP="00155C96">
            <w:pPr>
              <w:autoSpaceDE w:val="0"/>
              <w:autoSpaceDN w:val="0"/>
              <w:adjustRightInd w:val="0"/>
              <w:spacing w:after="120"/>
              <w:rPr>
                <w:rFonts w:ascii="Times New Roman" w:hAnsi="Times New Roman" w:cs="Times New Roman"/>
                <w:color w:val="000000"/>
                <w:sz w:val="24"/>
                <w:highlight w:val="yellow"/>
              </w:rPr>
            </w:pPr>
            <w:r w:rsidRPr="00A3389E">
              <w:rPr>
                <w:rFonts w:ascii="Times New Roman" w:hAnsi="Times New Roman" w:cs="Times New Roman"/>
                <w:sz w:val="24"/>
              </w:rPr>
              <w:t>c</w:t>
            </w:r>
          </w:p>
        </w:tc>
        <w:tc>
          <w:tcPr>
            <w:tcW w:w="7483" w:type="dxa"/>
          </w:tcPr>
          <w:p w14:paraId="0909C901" w14:textId="13D3608F"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Podsúvahové expozície pred uplatnením konverzných faktorov (CCF)</w:t>
            </w:r>
          </w:p>
          <w:p w14:paraId="5770F0F8" w14:textId="393ACB6A" w:rsidR="000646F8" w:rsidRPr="00B2251E" w:rsidRDefault="000646F8" w:rsidP="00155C96">
            <w:pPr>
              <w:autoSpaceDE w:val="0"/>
              <w:autoSpaceDN w:val="0"/>
              <w:adjustRightInd w:val="0"/>
              <w:spacing w:after="120"/>
              <w:jc w:val="both"/>
              <w:rPr>
                <w:rFonts w:ascii="Times New Roman" w:hAnsi="Times New Roman" w:cs="Times New Roman"/>
                <w:spacing w:val="-10"/>
                <w:sz w:val="24"/>
              </w:rPr>
            </w:pPr>
            <w:r w:rsidRPr="00B2251E">
              <w:rPr>
                <w:rFonts w:ascii="Times New Roman" w:hAnsi="Times New Roman" w:cs="Times New Roman"/>
                <w:spacing w:val="-10"/>
                <w:sz w:val="24"/>
              </w:rPr>
              <w:t>Hodnota expozície</w:t>
            </w:r>
            <w:r w:rsidR="00A3389E" w:rsidRPr="00B2251E">
              <w:rPr>
                <w:rFonts w:ascii="Times New Roman" w:hAnsi="Times New Roman" w:cs="Times New Roman"/>
                <w:spacing w:val="-10"/>
                <w:sz w:val="24"/>
              </w:rPr>
              <w:t xml:space="preserve"> v </w:t>
            </w:r>
            <w:r w:rsidRPr="00B2251E">
              <w:rPr>
                <w:rFonts w:ascii="Times New Roman" w:hAnsi="Times New Roman" w:cs="Times New Roman"/>
                <w:spacing w:val="-10"/>
                <w:sz w:val="24"/>
              </w:rPr>
              <w:t>súlade</w:t>
            </w:r>
            <w:r w:rsidR="00A3389E" w:rsidRPr="00B2251E">
              <w:rPr>
                <w:rFonts w:ascii="Times New Roman" w:hAnsi="Times New Roman" w:cs="Times New Roman"/>
                <w:spacing w:val="-10"/>
                <w:sz w:val="24"/>
              </w:rPr>
              <w:t xml:space="preserve"> s </w:t>
            </w:r>
            <w:r w:rsidRPr="00B2251E">
              <w:rPr>
                <w:rFonts w:ascii="Times New Roman" w:hAnsi="Times New Roman" w:cs="Times New Roman"/>
                <w:spacing w:val="-10"/>
                <w:sz w:val="24"/>
              </w:rPr>
              <w:t>článkom 166 ods. 1 až 7 CRR bez zohľadnenia akýchkoľvek úprav kreditného rizika</w:t>
            </w:r>
            <w:r w:rsidR="00A3389E" w:rsidRPr="00B2251E">
              <w:rPr>
                <w:rFonts w:ascii="Times New Roman" w:hAnsi="Times New Roman" w:cs="Times New Roman"/>
                <w:spacing w:val="-10"/>
                <w:sz w:val="24"/>
              </w:rPr>
              <w:t xml:space="preserve"> a </w:t>
            </w:r>
            <w:r w:rsidRPr="00B2251E">
              <w:rPr>
                <w:rFonts w:ascii="Times New Roman" w:hAnsi="Times New Roman" w:cs="Times New Roman"/>
                <w:spacing w:val="-10"/>
                <w:sz w:val="24"/>
              </w:rPr>
              <w:t>akýchkoľvek konverzných faktorov, vlastných odhadov či konverzných faktorov uvedených</w:t>
            </w:r>
            <w:r w:rsidR="00A3389E" w:rsidRPr="00B2251E">
              <w:rPr>
                <w:rFonts w:ascii="Times New Roman" w:hAnsi="Times New Roman" w:cs="Times New Roman"/>
                <w:spacing w:val="-10"/>
                <w:sz w:val="24"/>
              </w:rPr>
              <w:t xml:space="preserve"> v </w:t>
            </w:r>
            <w:r w:rsidRPr="00B2251E">
              <w:rPr>
                <w:rFonts w:ascii="Times New Roman" w:hAnsi="Times New Roman" w:cs="Times New Roman"/>
                <w:spacing w:val="-10"/>
                <w:sz w:val="24"/>
              </w:rPr>
              <w:t>článku 166 ods. 8 CRR alebo akýchkoľvek percentuálnych podielov uvedených</w:t>
            </w:r>
            <w:r w:rsidR="00A3389E" w:rsidRPr="00B2251E">
              <w:rPr>
                <w:rFonts w:ascii="Times New Roman" w:hAnsi="Times New Roman" w:cs="Times New Roman"/>
                <w:spacing w:val="-10"/>
                <w:sz w:val="24"/>
              </w:rPr>
              <w:t xml:space="preserve"> v </w:t>
            </w:r>
            <w:r w:rsidRPr="00B2251E">
              <w:rPr>
                <w:rFonts w:ascii="Times New Roman" w:hAnsi="Times New Roman" w:cs="Times New Roman"/>
                <w:spacing w:val="-10"/>
                <w:sz w:val="24"/>
              </w:rPr>
              <w:t>článku 166 ods. 10 CRR.</w:t>
            </w:r>
          </w:p>
          <w:p w14:paraId="22D9507C" w14:textId="05976A34" w:rsidR="000646F8" w:rsidRPr="00A3389E" w:rsidRDefault="000646F8" w:rsidP="00155C96">
            <w:pPr>
              <w:autoSpaceDE w:val="0"/>
              <w:autoSpaceDN w:val="0"/>
              <w:adjustRightInd w:val="0"/>
              <w:spacing w:after="120"/>
              <w:jc w:val="both"/>
              <w:rPr>
                <w:rFonts w:ascii="Times New Roman" w:hAnsi="Times New Roman" w:cs="Times New Roman"/>
                <w:sz w:val="24"/>
                <w:highlight w:val="yellow"/>
              </w:rPr>
            </w:pPr>
            <w:r w:rsidRPr="00A3389E">
              <w:rPr>
                <w:rFonts w:ascii="Times New Roman" w:hAnsi="Times New Roman" w:cs="Times New Roman"/>
                <w:sz w:val="24"/>
              </w:rPr>
              <w:t>Podsúvahové expozície zahŕňajú všetky záväzné, ale nečerpané sumy</w:t>
            </w:r>
            <w:r w:rsidR="00A3389E">
              <w:rPr>
                <w:rFonts w:ascii="Times New Roman" w:hAnsi="Times New Roman" w:cs="Times New Roman"/>
                <w:sz w:val="24"/>
              </w:rPr>
              <w:t xml:space="preserve"> a </w:t>
            </w:r>
            <w:r w:rsidRPr="00A3389E">
              <w:rPr>
                <w:rFonts w:ascii="Times New Roman" w:hAnsi="Times New Roman" w:cs="Times New Roman"/>
                <w:sz w:val="24"/>
              </w:rPr>
              <w:t>všetky podsúvahové položky uvedené</w:t>
            </w:r>
            <w:r w:rsidR="00A3389E">
              <w:rPr>
                <w:rFonts w:ascii="Times New Roman" w:hAnsi="Times New Roman" w:cs="Times New Roman"/>
                <w:sz w:val="24"/>
              </w:rPr>
              <w:t xml:space="preserve"> v </w:t>
            </w:r>
            <w:r w:rsidRPr="00A3389E">
              <w:rPr>
                <w:rFonts w:ascii="Times New Roman" w:hAnsi="Times New Roman" w:cs="Times New Roman"/>
                <w:sz w:val="24"/>
              </w:rPr>
              <w:t>prílohe I</w:t>
            </w:r>
            <w:r w:rsidR="00A3389E">
              <w:rPr>
                <w:rFonts w:ascii="Times New Roman" w:hAnsi="Times New Roman" w:cs="Times New Roman"/>
                <w:sz w:val="24"/>
              </w:rPr>
              <w:t xml:space="preserve"> k </w:t>
            </w:r>
            <w:r w:rsidRPr="00A3389E">
              <w:rPr>
                <w:rFonts w:ascii="Times New Roman" w:hAnsi="Times New Roman" w:cs="Times New Roman"/>
                <w:sz w:val="24"/>
              </w:rPr>
              <w:t>CRR.</w:t>
            </w:r>
          </w:p>
        </w:tc>
      </w:tr>
      <w:tr w:rsidR="000646F8" w:rsidRPr="00A3389E" w14:paraId="5E38209E" w14:textId="77777777" w:rsidTr="00155C96">
        <w:trPr>
          <w:trHeight w:val="316"/>
        </w:trPr>
        <w:tc>
          <w:tcPr>
            <w:tcW w:w="1555" w:type="dxa"/>
          </w:tcPr>
          <w:p w14:paraId="16D25EDF"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highlight w:val="yellow"/>
              </w:rPr>
            </w:pPr>
            <w:r w:rsidRPr="00A3389E">
              <w:rPr>
                <w:rFonts w:ascii="Times New Roman" w:hAnsi="Times New Roman" w:cs="Times New Roman"/>
                <w:sz w:val="24"/>
              </w:rPr>
              <w:t>d</w:t>
            </w:r>
          </w:p>
        </w:tc>
        <w:tc>
          <w:tcPr>
            <w:tcW w:w="7483" w:type="dxa"/>
          </w:tcPr>
          <w:p w14:paraId="1F8E5486" w14:textId="42D232D4"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Expozíciami vážený priemerný CCF</w:t>
            </w:r>
          </w:p>
          <w:p w14:paraId="324D6568" w14:textId="6C48A592" w:rsidR="000646F8" w:rsidRPr="00B2251E" w:rsidRDefault="000646F8" w:rsidP="00155C96">
            <w:pPr>
              <w:autoSpaceDE w:val="0"/>
              <w:autoSpaceDN w:val="0"/>
              <w:adjustRightInd w:val="0"/>
              <w:spacing w:after="120"/>
              <w:jc w:val="both"/>
              <w:rPr>
                <w:rFonts w:ascii="Times New Roman" w:hAnsi="Times New Roman" w:cs="Times New Roman"/>
                <w:spacing w:val="-4"/>
                <w:sz w:val="24"/>
                <w:highlight w:val="yellow"/>
              </w:rPr>
            </w:pPr>
            <w:r w:rsidRPr="00B2251E">
              <w:rPr>
                <w:rFonts w:ascii="Times New Roman" w:hAnsi="Times New Roman" w:cs="Times New Roman"/>
                <w:spacing w:val="-4"/>
                <w:sz w:val="24"/>
              </w:rPr>
              <w:t>Pri všetkých expozíciách zahrnutých</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každej skupine pevnej stupnice PD priemerný konverzný faktor použitý inštitúciami pri ich výpočte hodnôt rizikovo vážených expozícií vážený podsúvahovou expozíciou pred uplatnením konverzného faktora úverov, ako sa uvádza</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 xml:space="preserve">stĺpci </w:t>
            </w:r>
            <w:r w:rsidRPr="00B2251E">
              <w:rPr>
                <w:rFonts w:ascii="Times New Roman" w:hAnsi="Times New Roman" w:cs="Times New Roman"/>
                <w:i/>
                <w:spacing w:val="-4"/>
                <w:sz w:val="24"/>
              </w:rPr>
              <w:t>c</w:t>
            </w:r>
            <w:r w:rsidRPr="00B2251E">
              <w:rPr>
                <w:rFonts w:ascii="Times New Roman" w:hAnsi="Times New Roman" w:cs="Times New Roman"/>
                <w:spacing w:val="-4"/>
                <w:sz w:val="24"/>
              </w:rPr>
              <w:t xml:space="preserve"> tohto vzoru.</w:t>
            </w:r>
          </w:p>
        </w:tc>
      </w:tr>
      <w:tr w:rsidR="000646F8" w:rsidRPr="00A3389E" w14:paraId="5A58EC34" w14:textId="77777777" w:rsidTr="00155C96">
        <w:trPr>
          <w:trHeight w:val="316"/>
        </w:trPr>
        <w:tc>
          <w:tcPr>
            <w:tcW w:w="1555" w:type="dxa"/>
          </w:tcPr>
          <w:p w14:paraId="2A48456F"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highlight w:val="yellow"/>
              </w:rPr>
            </w:pPr>
            <w:r w:rsidRPr="00A3389E">
              <w:rPr>
                <w:rFonts w:ascii="Times New Roman" w:hAnsi="Times New Roman" w:cs="Times New Roman"/>
                <w:sz w:val="24"/>
              </w:rPr>
              <w:t>e</w:t>
            </w:r>
          </w:p>
        </w:tc>
        <w:tc>
          <w:tcPr>
            <w:tcW w:w="7483" w:type="dxa"/>
          </w:tcPr>
          <w:p w14:paraId="319C8CB7" w14:textId="416D306A" w:rsidR="000646F8" w:rsidRPr="00A3389E" w:rsidRDefault="000646F8" w:rsidP="00155C96">
            <w:pPr>
              <w:autoSpaceDE w:val="0"/>
              <w:autoSpaceDN w:val="0"/>
              <w:adjustRightInd w:val="0"/>
              <w:spacing w:after="120"/>
              <w:rPr>
                <w:rFonts w:ascii="Times New Roman" w:eastAsia="Times New Roman" w:hAnsi="Times New Roman" w:cs="Times New Roman"/>
                <w:b/>
                <w:sz w:val="24"/>
              </w:rPr>
            </w:pPr>
            <w:r w:rsidRPr="00A3389E">
              <w:rPr>
                <w:rFonts w:ascii="Times New Roman" w:hAnsi="Times New Roman" w:cs="Times New Roman"/>
                <w:b/>
                <w:sz w:val="24"/>
              </w:rPr>
              <w:t>Hodnota expozície po uplatnení CCF</w:t>
            </w:r>
            <w:r w:rsidR="00A3389E">
              <w:rPr>
                <w:rFonts w:ascii="Times New Roman" w:hAnsi="Times New Roman" w:cs="Times New Roman"/>
                <w:b/>
                <w:sz w:val="24"/>
              </w:rPr>
              <w:t xml:space="preserve"> a </w:t>
            </w:r>
            <w:r w:rsidRPr="00A3389E">
              <w:rPr>
                <w:rFonts w:ascii="Times New Roman" w:hAnsi="Times New Roman" w:cs="Times New Roman"/>
                <w:b/>
                <w:sz w:val="24"/>
              </w:rPr>
              <w:t>po zmierňovaní kreditného rizika</w:t>
            </w:r>
          </w:p>
          <w:p w14:paraId="45BAA29F" w14:textId="62AF8C8D" w:rsidR="00A3389E" w:rsidRPr="00A3389E" w:rsidRDefault="000646F8"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Hodnota expozície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166 CRR</w:t>
            </w:r>
            <w:r w:rsidR="00A3389E" w:rsidRPr="00A3389E">
              <w:rPr>
                <w:rFonts w:ascii="Times New Roman" w:hAnsi="Times New Roman" w:cs="Times New Roman"/>
                <w:sz w:val="24"/>
              </w:rPr>
              <w:t>.</w:t>
            </w:r>
          </w:p>
          <w:p w14:paraId="6CA6E981" w14:textId="123CA219" w:rsidR="000646F8" w:rsidRPr="00A3389E" w:rsidRDefault="000646F8" w:rsidP="00155C96">
            <w:pPr>
              <w:autoSpaceDE w:val="0"/>
              <w:autoSpaceDN w:val="0"/>
              <w:adjustRightInd w:val="0"/>
              <w:spacing w:after="120"/>
              <w:rPr>
                <w:rFonts w:ascii="Times New Roman" w:hAnsi="Times New Roman" w:cs="Times New Roman"/>
                <w:sz w:val="24"/>
                <w:highlight w:val="yellow"/>
              </w:rPr>
            </w:pPr>
            <w:r w:rsidRPr="00A3389E">
              <w:rPr>
                <w:rFonts w:ascii="Times New Roman" w:hAnsi="Times New Roman" w:cs="Times New Roman"/>
                <w:sz w:val="24"/>
              </w:rPr>
              <w:t>Tento stĺpec zahŕňa súčet hodnoty expozície</w:t>
            </w:r>
            <w:r w:rsidR="00A3389E">
              <w:rPr>
                <w:rFonts w:ascii="Times New Roman" w:hAnsi="Times New Roman" w:cs="Times New Roman"/>
                <w:sz w:val="24"/>
              </w:rPr>
              <w:t xml:space="preserve"> v </w:t>
            </w:r>
            <w:r w:rsidRPr="00A3389E">
              <w:rPr>
                <w:rFonts w:ascii="Times New Roman" w:hAnsi="Times New Roman" w:cs="Times New Roman"/>
                <w:sz w:val="24"/>
              </w:rPr>
              <w:t>prípade súvahových expozícií</w:t>
            </w:r>
            <w:r w:rsidR="00A3389E">
              <w:rPr>
                <w:rFonts w:ascii="Times New Roman" w:hAnsi="Times New Roman" w:cs="Times New Roman"/>
                <w:sz w:val="24"/>
              </w:rPr>
              <w:t xml:space="preserve"> a </w:t>
            </w:r>
            <w:r w:rsidRPr="00A3389E">
              <w:rPr>
                <w:rFonts w:ascii="Times New Roman" w:hAnsi="Times New Roman" w:cs="Times New Roman"/>
                <w:sz w:val="24"/>
              </w:rPr>
              <w:t>podsúvahových expozícií po uplatnení konverzných faktorov</w:t>
            </w:r>
            <w:r w:rsidR="00A3389E">
              <w:rPr>
                <w:rFonts w:ascii="Times New Roman" w:hAnsi="Times New Roman" w:cs="Times New Roman"/>
                <w:sz w:val="24"/>
              </w:rPr>
              <w:t xml:space="preserve"> a </w:t>
            </w:r>
            <w:r w:rsidRPr="00A3389E">
              <w:rPr>
                <w:rFonts w:ascii="Times New Roman" w:hAnsi="Times New Roman" w:cs="Times New Roman"/>
                <w:sz w:val="24"/>
              </w:rPr>
              <w:t>percentuálnych podielov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166 ods. 8 až 10 CRR.</w:t>
            </w:r>
          </w:p>
        </w:tc>
      </w:tr>
      <w:tr w:rsidR="000646F8" w:rsidRPr="00A3389E" w14:paraId="4E924AB8" w14:textId="77777777" w:rsidTr="00155C96">
        <w:trPr>
          <w:trHeight w:val="695"/>
        </w:trPr>
        <w:tc>
          <w:tcPr>
            <w:tcW w:w="1555" w:type="dxa"/>
          </w:tcPr>
          <w:p w14:paraId="206A67ED"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highlight w:val="yellow"/>
              </w:rPr>
            </w:pPr>
            <w:r w:rsidRPr="00A3389E">
              <w:rPr>
                <w:rFonts w:ascii="Times New Roman" w:hAnsi="Times New Roman" w:cs="Times New Roman"/>
                <w:sz w:val="24"/>
              </w:rPr>
              <w:t>f</w:t>
            </w:r>
          </w:p>
        </w:tc>
        <w:tc>
          <w:tcPr>
            <w:tcW w:w="7483" w:type="dxa"/>
          </w:tcPr>
          <w:p w14:paraId="2D21AB31" w14:textId="370CC9A2"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Expozíciami vážená priemerná PD (%)</w:t>
            </w:r>
          </w:p>
          <w:p w14:paraId="7FB14433" w14:textId="56144669" w:rsidR="000646F8" w:rsidRPr="00A3389E" w:rsidRDefault="000646F8" w:rsidP="00155C96">
            <w:pPr>
              <w:autoSpaceDE w:val="0"/>
              <w:autoSpaceDN w:val="0"/>
              <w:adjustRightInd w:val="0"/>
              <w:spacing w:after="120"/>
              <w:jc w:val="both"/>
              <w:rPr>
                <w:rFonts w:ascii="Times New Roman" w:hAnsi="Times New Roman" w:cs="Times New Roman"/>
                <w:sz w:val="24"/>
                <w:highlight w:val="yellow"/>
              </w:rPr>
            </w:pPr>
            <w:r w:rsidRPr="00A3389E">
              <w:rPr>
                <w:rFonts w:ascii="Times New Roman" w:hAnsi="Times New Roman" w:cs="Times New Roman"/>
                <w:sz w:val="24"/>
              </w:rPr>
              <w:t>Pri všetkých expozíciách zahrnutých</w:t>
            </w:r>
            <w:r w:rsidR="00A3389E">
              <w:rPr>
                <w:rFonts w:ascii="Times New Roman" w:hAnsi="Times New Roman" w:cs="Times New Roman"/>
                <w:sz w:val="24"/>
              </w:rPr>
              <w:t xml:space="preserve"> v </w:t>
            </w:r>
            <w:r w:rsidRPr="00A3389E">
              <w:rPr>
                <w:rFonts w:ascii="Times New Roman" w:hAnsi="Times New Roman" w:cs="Times New Roman"/>
                <w:sz w:val="24"/>
              </w:rPr>
              <w:t>každej skupine pevného rozsahu PD odhad priemernej PD každého dlžníka vážený hodnotou expozície po uplatnení konverzných faktorov úverov</w:t>
            </w:r>
            <w:r w:rsidR="00A3389E">
              <w:rPr>
                <w:rFonts w:ascii="Times New Roman" w:hAnsi="Times New Roman" w:cs="Times New Roman"/>
                <w:sz w:val="24"/>
              </w:rPr>
              <w:t xml:space="preserve"> a </w:t>
            </w:r>
            <w:r w:rsidRPr="00A3389E">
              <w:rPr>
                <w:rFonts w:ascii="Times New Roman" w:hAnsi="Times New Roman" w:cs="Times New Roman"/>
                <w:sz w:val="24"/>
              </w:rPr>
              <w:t>zmierňovania kreditného rizika, ako sa uvádza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e</w:t>
            </w:r>
            <w:r w:rsidRPr="00A3389E">
              <w:rPr>
                <w:rFonts w:ascii="Times New Roman" w:hAnsi="Times New Roman" w:cs="Times New Roman"/>
                <w:sz w:val="24"/>
              </w:rPr>
              <w:t xml:space="preserve"> tohto vzoru.</w:t>
            </w:r>
          </w:p>
        </w:tc>
      </w:tr>
      <w:tr w:rsidR="000646F8" w:rsidRPr="00A3389E" w14:paraId="7B688E9E" w14:textId="77777777" w:rsidTr="00155C96">
        <w:trPr>
          <w:trHeight w:val="316"/>
        </w:trPr>
        <w:tc>
          <w:tcPr>
            <w:tcW w:w="1555" w:type="dxa"/>
          </w:tcPr>
          <w:p w14:paraId="5D4947CA"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highlight w:val="yellow"/>
              </w:rPr>
            </w:pPr>
            <w:r w:rsidRPr="00A3389E">
              <w:rPr>
                <w:rFonts w:ascii="Times New Roman" w:hAnsi="Times New Roman" w:cs="Times New Roman"/>
                <w:sz w:val="24"/>
              </w:rPr>
              <w:t>g</w:t>
            </w:r>
          </w:p>
        </w:tc>
        <w:tc>
          <w:tcPr>
            <w:tcW w:w="7483" w:type="dxa"/>
          </w:tcPr>
          <w:p w14:paraId="5F53ED24" w14:textId="2E8B0E64" w:rsidR="000646F8" w:rsidRPr="00A3389E" w:rsidRDefault="004B15A9" w:rsidP="00155C96">
            <w:pPr>
              <w:autoSpaceDE w:val="0"/>
              <w:autoSpaceDN w:val="0"/>
              <w:adjustRightInd w:val="0"/>
              <w:spacing w:after="120"/>
              <w:rPr>
                <w:rFonts w:ascii="Times New Roman" w:eastAsia="Times New Roman" w:hAnsi="Times New Roman" w:cs="Times New Roman"/>
                <w:b/>
                <w:sz w:val="24"/>
              </w:rPr>
            </w:pPr>
            <w:r w:rsidRPr="00A3389E">
              <w:rPr>
                <w:rFonts w:ascii="Times New Roman" w:hAnsi="Times New Roman" w:cs="Times New Roman"/>
                <w:b/>
                <w:sz w:val="24"/>
              </w:rPr>
              <w:t>Počet dlžníkov</w:t>
            </w:r>
          </w:p>
          <w:p w14:paraId="31BD7956" w14:textId="77777777"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lastRenderedPageBreak/>
              <w:t>Počet právnych subjektov alebo dlžníkov priradených ku každej skupine pevného rozsahu PD, ktorí boli osobitne ohodnotení, bez ohľadu na počet jednotlivých poskytnutých úverov alebo expozícií.</w:t>
            </w:r>
          </w:p>
          <w:p w14:paraId="4CE4AA5D" w14:textId="10B185AF" w:rsidR="000646F8" w:rsidRPr="00A3389E" w:rsidRDefault="000646F8" w:rsidP="00155C96">
            <w:pPr>
              <w:spacing w:after="120"/>
              <w:jc w:val="both"/>
              <w:rPr>
                <w:rFonts w:ascii="Times New Roman" w:hAnsi="Times New Roman" w:cs="Times New Roman"/>
                <w:b/>
                <w:sz w:val="24"/>
                <w:highlight w:val="yellow"/>
              </w:rPr>
            </w:pPr>
            <w:r w:rsidRPr="00A3389E">
              <w:rPr>
                <w:rFonts w:ascii="Times New Roman" w:hAnsi="Times New Roman" w:cs="Times New Roman"/>
                <w:sz w:val="24"/>
              </w:rPr>
              <w:t>So spoločnými dlžníkmi sa zaobchádza rovnako ako na účely kalibrácie PD. Ak sa jednotlivé expozície voči tomu istému dlžníkovi ohodnocujú osobitne, spočítavajú sa osobitne. Takáto situácia sa môže vyskytnúť</w:t>
            </w:r>
            <w:r w:rsidR="00A3389E">
              <w:rPr>
                <w:rFonts w:ascii="Times New Roman" w:hAnsi="Times New Roman" w:cs="Times New Roman"/>
                <w:sz w:val="24"/>
              </w:rPr>
              <w:t xml:space="preserve"> v </w:t>
            </w:r>
            <w:r w:rsidRPr="00A3389E">
              <w:rPr>
                <w:rFonts w:ascii="Times New Roman" w:hAnsi="Times New Roman" w:cs="Times New Roman"/>
                <w:sz w:val="24"/>
              </w:rPr>
              <w:t>rámci triedy retailových expozícií, ak sa vymedzenie zlyhania uplatňuje na úrovni individuálnych kreditných facilít</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178 ods. 1 poslednou vetou CRR, alebo ak sa samostatné expozície voči tomu istému dlžníkovi zaradia do rôznych ratingových stupňov dlžníkov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172 ods. 1 písm. e) druhou vetou CRR</w:t>
            </w:r>
            <w:r w:rsidR="00A3389E">
              <w:rPr>
                <w:rFonts w:ascii="Times New Roman" w:hAnsi="Times New Roman" w:cs="Times New Roman"/>
                <w:sz w:val="24"/>
              </w:rPr>
              <w:t xml:space="preserve"> v </w:t>
            </w:r>
            <w:r w:rsidRPr="00A3389E">
              <w:rPr>
                <w:rFonts w:ascii="Times New Roman" w:hAnsi="Times New Roman" w:cs="Times New Roman"/>
                <w:sz w:val="24"/>
              </w:rPr>
              <w:t>iných triedach expozícií.</w:t>
            </w:r>
          </w:p>
        </w:tc>
      </w:tr>
      <w:tr w:rsidR="000646F8" w:rsidRPr="00A3389E" w14:paraId="01C6B3D8" w14:textId="77777777" w:rsidTr="00155C96">
        <w:trPr>
          <w:trHeight w:val="695"/>
        </w:trPr>
        <w:tc>
          <w:tcPr>
            <w:tcW w:w="1555" w:type="dxa"/>
          </w:tcPr>
          <w:p w14:paraId="7534459F"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highlight w:val="yellow"/>
              </w:rPr>
            </w:pPr>
            <w:r w:rsidRPr="00A3389E">
              <w:rPr>
                <w:rFonts w:ascii="Times New Roman" w:hAnsi="Times New Roman" w:cs="Times New Roman"/>
                <w:sz w:val="24"/>
              </w:rPr>
              <w:lastRenderedPageBreak/>
              <w:t>h</w:t>
            </w:r>
          </w:p>
        </w:tc>
        <w:tc>
          <w:tcPr>
            <w:tcW w:w="7483" w:type="dxa"/>
          </w:tcPr>
          <w:p w14:paraId="715FD946" w14:textId="16C95439" w:rsidR="000646F8" w:rsidRPr="00A3389E" w:rsidRDefault="000646F8" w:rsidP="00155C96">
            <w:pPr>
              <w:pStyle w:val="Fait"/>
              <w:spacing w:before="0" w:after="120"/>
              <w:rPr>
                <w:b/>
              </w:rPr>
            </w:pPr>
            <w:r w:rsidRPr="00A3389E">
              <w:rPr>
                <w:b/>
              </w:rPr>
              <w:t>Expozíciami vážená priemerná LGD (%)</w:t>
            </w:r>
          </w:p>
          <w:p w14:paraId="051F3DA8" w14:textId="7C6DD3A5"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Pri všetkých expozíciách zahrnutých</w:t>
            </w:r>
            <w:r w:rsidR="00A3389E">
              <w:rPr>
                <w:rFonts w:ascii="Times New Roman" w:hAnsi="Times New Roman" w:cs="Times New Roman"/>
                <w:sz w:val="24"/>
              </w:rPr>
              <w:t xml:space="preserve"> v </w:t>
            </w:r>
            <w:r w:rsidRPr="00A3389E">
              <w:rPr>
                <w:rFonts w:ascii="Times New Roman" w:hAnsi="Times New Roman" w:cs="Times New Roman"/>
                <w:sz w:val="24"/>
              </w:rPr>
              <w:t>každej skupine pevného rozsahu PD priemer odhadov LGD pre každú expozíciu vážený hodnotou expozície po uplatnení konverzných faktorov úverov</w:t>
            </w:r>
            <w:r w:rsidR="00A3389E">
              <w:rPr>
                <w:rFonts w:ascii="Times New Roman" w:hAnsi="Times New Roman" w:cs="Times New Roman"/>
                <w:sz w:val="24"/>
              </w:rPr>
              <w:t xml:space="preserve"> a </w:t>
            </w:r>
            <w:r w:rsidRPr="00A3389E">
              <w:rPr>
                <w:rFonts w:ascii="Times New Roman" w:hAnsi="Times New Roman" w:cs="Times New Roman"/>
                <w:sz w:val="24"/>
              </w:rPr>
              <w:t>po zmierňovaní kreditného rizika, ako sa uvádza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e</w:t>
            </w:r>
            <w:r w:rsidRPr="00A3389E">
              <w:rPr>
                <w:rFonts w:ascii="Times New Roman" w:hAnsi="Times New Roman" w:cs="Times New Roman"/>
                <w:sz w:val="24"/>
              </w:rPr>
              <w:t xml:space="preserve"> tohto vzoru.</w:t>
            </w:r>
          </w:p>
          <w:p w14:paraId="1A8D06D0" w14:textId="42F7B61F" w:rsidR="000646F8" w:rsidRPr="00B2251E" w:rsidRDefault="000646F8" w:rsidP="00155C96">
            <w:pPr>
              <w:spacing w:after="120"/>
              <w:jc w:val="both"/>
              <w:rPr>
                <w:rFonts w:ascii="Times New Roman" w:hAnsi="Times New Roman" w:cs="Times New Roman"/>
                <w:spacing w:val="-6"/>
                <w:sz w:val="24"/>
              </w:rPr>
            </w:pPr>
            <w:r w:rsidRPr="00B2251E">
              <w:rPr>
                <w:rFonts w:ascii="Times New Roman" w:hAnsi="Times New Roman" w:cs="Times New Roman"/>
                <w:spacing w:val="-6"/>
                <w:sz w:val="24"/>
              </w:rPr>
              <w:t>Zverejňovaná LGD zodpovedá konečnému odhadu LGD použitému pri výpočte rizikovo vážených hodnôt získaných po zohľadnení všetkých účinkov zmierňovania kreditného rizika</w:t>
            </w:r>
            <w:r w:rsidR="00A3389E" w:rsidRPr="00B2251E">
              <w:rPr>
                <w:rFonts w:ascii="Times New Roman" w:hAnsi="Times New Roman" w:cs="Times New Roman"/>
                <w:spacing w:val="-6"/>
                <w:sz w:val="24"/>
              </w:rPr>
              <w:t xml:space="preserve"> a </w:t>
            </w:r>
            <w:r w:rsidRPr="00B2251E">
              <w:rPr>
                <w:rFonts w:ascii="Times New Roman" w:hAnsi="Times New Roman" w:cs="Times New Roman"/>
                <w:spacing w:val="-6"/>
                <w:sz w:val="24"/>
              </w:rPr>
              <w:t>prípadne podmienok poklesu. Pri retailových expozíciách zabezpečených nehnuteľným majetkom sa</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prípade zverejňovanej LGD zohľadňujú dolné ohraničenia uvedené</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článku 164 ods. 4 CRR.</w:t>
            </w:r>
          </w:p>
          <w:p w14:paraId="2F4B168E" w14:textId="0F261366" w:rsidR="000646F8" w:rsidRPr="00B2251E" w:rsidRDefault="000646F8" w:rsidP="00155C96">
            <w:pPr>
              <w:spacing w:after="120"/>
              <w:jc w:val="both"/>
              <w:rPr>
                <w:rFonts w:ascii="Times New Roman" w:hAnsi="Times New Roman" w:cs="Times New Roman"/>
                <w:spacing w:val="-8"/>
                <w:sz w:val="24"/>
              </w:rPr>
            </w:pPr>
            <w:r w:rsidRPr="00B2251E">
              <w:rPr>
                <w:rFonts w:ascii="Times New Roman" w:hAnsi="Times New Roman" w:cs="Times New Roman"/>
                <w:spacing w:val="-8"/>
                <w:sz w:val="24"/>
              </w:rPr>
              <w:t>V prípade expozícií, na ktoré sa vzťahuje prístup dvojnásobného zlyhania, zverejňovaná LGD zodpovedá LGD zvolenej</w:t>
            </w:r>
            <w:r w:rsidR="00A3389E" w:rsidRPr="00B2251E">
              <w:rPr>
                <w:rFonts w:ascii="Times New Roman" w:hAnsi="Times New Roman" w:cs="Times New Roman"/>
                <w:spacing w:val="-8"/>
                <w:sz w:val="24"/>
              </w:rPr>
              <w:t xml:space="preserve"> v </w:t>
            </w:r>
            <w:r w:rsidRPr="00B2251E">
              <w:rPr>
                <w:rFonts w:ascii="Times New Roman" w:hAnsi="Times New Roman" w:cs="Times New Roman"/>
                <w:spacing w:val="-8"/>
                <w:sz w:val="24"/>
              </w:rPr>
              <w:t>súlade</w:t>
            </w:r>
            <w:r w:rsidR="00A3389E" w:rsidRPr="00B2251E">
              <w:rPr>
                <w:rFonts w:ascii="Times New Roman" w:hAnsi="Times New Roman" w:cs="Times New Roman"/>
                <w:spacing w:val="-8"/>
                <w:sz w:val="24"/>
              </w:rPr>
              <w:t xml:space="preserve"> s </w:t>
            </w:r>
            <w:r w:rsidRPr="00B2251E">
              <w:rPr>
                <w:rFonts w:ascii="Times New Roman" w:hAnsi="Times New Roman" w:cs="Times New Roman"/>
                <w:spacing w:val="-8"/>
                <w:sz w:val="24"/>
              </w:rPr>
              <w:t>článkom 161 ods. 4 CRR.</w:t>
            </w:r>
          </w:p>
          <w:p w14:paraId="6EAD19E1" w14:textId="2D24C314" w:rsidR="000646F8" w:rsidRPr="00A3389E" w:rsidRDefault="000646F8" w:rsidP="00155C96">
            <w:pPr>
              <w:spacing w:after="120"/>
              <w:jc w:val="both"/>
              <w:rPr>
                <w:rFonts w:ascii="Times New Roman" w:hAnsi="Times New Roman" w:cs="Times New Roman"/>
                <w:sz w:val="24"/>
                <w:highlight w:val="yellow"/>
              </w:rPr>
            </w:pPr>
            <w:r w:rsidRPr="00B2251E">
              <w:rPr>
                <w:rFonts w:ascii="Times New Roman" w:hAnsi="Times New Roman" w:cs="Times New Roman"/>
                <w:spacing w:val="-8"/>
                <w:sz w:val="24"/>
              </w:rPr>
              <w:t>Pri expozíciách</w:t>
            </w:r>
            <w:r w:rsidR="00A3389E" w:rsidRPr="00B2251E">
              <w:rPr>
                <w:rFonts w:ascii="Times New Roman" w:hAnsi="Times New Roman" w:cs="Times New Roman"/>
                <w:spacing w:val="-8"/>
                <w:sz w:val="24"/>
              </w:rPr>
              <w:t xml:space="preserve"> v </w:t>
            </w:r>
            <w:r w:rsidRPr="00B2251E">
              <w:rPr>
                <w:rFonts w:ascii="Times New Roman" w:hAnsi="Times New Roman" w:cs="Times New Roman"/>
                <w:spacing w:val="-8"/>
                <w:sz w:val="24"/>
              </w:rPr>
              <w:t>stave zlyhania podľa prístupu A-IRB sa zohľadňujú ustanovenia uvedené</w:t>
            </w:r>
            <w:r w:rsidR="00A3389E" w:rsidRPr="00B2251E">
              <w:rPr>
                <w:rFonts w:ascii="Times New Roman" w:hAnsi="Times New Roman" w:cs="Times New Roman"/>
                <w:spacing w:val="-8"/>
                <w:sz w:val="24"/>
              </w:rPr>
              <w:t xml:space="preserve"> v </w:t>
            </w:r>
            <w:r w:rsidRPr="00B2251E">
              <w:rPr>
                <w:rFonts w:ascii="Times New Roman" w:hAnsi="Times New Roman" w:cs="Times New Roman"/>
                <w:spacing w:val="-8"/>
                <w:sz w:val="24"/>
              </w:rPr>
              <w:t>článku 181 ods. 1 písm. h) CRR. Zverejňovaná LGD zodpovedá odhadu LGD</w:t>
            </w:r>
            <w:r w:rsidR="00A3389E" w:rsidRPr="00B2251E">
              <w:rPr>
                <w:rFonts w:ascii="Times New Roman" w:hAnsi="Times New Roman" w:cs="Times New Roman"/>
                <w:spacing w:val="-8"/>
                <w:sz w:val="24"/>
              </w:rPr>
              <w:t xml:space="preserve"> v </w:t>
            </w:r>
            <w:r w:rsidRPr="00B2251E">
              <w:rPr>
                <w:rFonts w:ascii="Times New Roman" w:hAnsi="Times New Roman" w:cs="Times New Roman"/>
                <w:spacing w:val="-8"/>
                <w:sz w:val="24"/>
              </w:rPr>
              <w:t>stave zlyhania</w:t>
            </w:r>
            <w:r w:rsidR="00A3389E" w:rsidRPr="00B2251E">
              <w:rPr>
                <w:rFonts w:ascii="Times New Roman" w:hAnsi="Times New Roman" w:cs="Times New Roman"/>
                <w:spacing w:val="-8"/>
                <w:sz w:val="24"/>
              </w:rPr>
              <w:t xml:space="preserve"> v </w:t>
            </w:r>
            <w:r w:rsidRPr="00B2251E">
              <w:rPr>
                <w:rFonts w:ascii="Times New Roman" w:hAnsi="Times New Roman" w:cs="Times New Roman"/>
                <w:spacing w:val="-8"/>
                <w:sz w:val="24"/>
              </w:rPr>
              <w:t>súlade</w:t>
            </w:r>
            <w:r w:rsidR="00A3389E" w:rsidRPr="00B2251E">
              <w:rPr>
                <w:rFonts w:ascii="Times New Roman" w:hAnsi="Times New Roman" w:cs="Times New Roman"/>
                <w:spacing w:val="-8"/>
                <w:sz w:val="24"/>
              </w:rPr>
              <w:t xml:space="preserve"> s </w:t>
            </w:r>
            <w:r w:rsidRPr="00B2251E">
              <w:rPr>
                <w:rFonts w:ascii="Times New Roman" w:hAnsi="Times New Roman" w:cs="Times New Roman"/>
                <w:spacing w:val="-8"/>
                <w:sz w:val="24"/>
              </w:rPr>
              <w:t>príslušnými metodikami pre odhad.</w:t>
            </w:r>
          </w:p>
        </w:tc>
      </w:tr>
      <w:tr w:rsidR="000646F8" w:rsidRPr="00A3389E" w14:paraId="28DA65DE" w14:textId="77777777" w:rsidTr="00155C96">
        <w:trPr>
          <w:trHeight w:val="695"/>
        </w:trPr>
        <w:tc>
          <w:tcPr>
            <w:tcW w:w="1555" w:type="dxa"/>
          </w:tcPr>
          <w:p w14:paraId="3EEE168C"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highlight w:val="yellow"/>
              </w:rPr>
            </w:pPr>
            <w:r w:rsidRPr="00A3389E">
              <w:rPr>
                <w:rFonts w:ascii="Times New Roman" w:hAnsi="Times New Roman" w:cs="Times New Roman"/>
                <w:sz w:val="24"/>
              </w:rPr>
              <w:t>i</w:t>
            </w:r>
          </w:p>
        </w:tc>
        <w:tc>
          <w:tcPr>
            <w:tcW w:w="7483" w:type="dxa"/>
          </w:tcPr>
          <w:p w14:paraId="14F1A763" w14:textId="2F788C74"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Expozíciami vážená priemerná splatnosť (v rokoch)</w:t>
            </w:r>
          </w:p>
          <w:p w14:paraId="15AF3A23" w14:textId="51CCE252"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Pri všetkých expozíciách zahrnutých</w:t>
            </w:r>
            <w:r w:rsidR="00A3389E">
              <w:rPr>
                <w:rFonts w:ascii="Times New Roman" w:hAnsi="Times New Roman" w:cs="Times New Roman"/>
                <w:sz w:val="24"/>
              </w:rPr>
              <w:t xml:space="preserve"> v </w:t>
            </w:r>
            <w:r w:rsidRPr="00A3389E">
              <w:rPr>
                <w:rFonts w:ascii="Times New Roman" w:hAnsi="Times New Roman" w:cs="Times New Roman"/>
                <w:sz w:val="24"/>
              </w:rPr>
              <w:t>každej skupine pevného rozsahu PD priemerná splatnosť každej expozície vážená hodnotou expozície po uplatnení konverzných faktorov úverov, ako sa uvádza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e</w:t>
            </w:r>
            <w:r w:rsidRPr="00A3389E">
              <w:rPr>
                <w:rFonts w:ascii="Times New Roman" w:hAnsi="Times New Roman" w:cs="Times New Roman"/>
                <w:sz w:val="24"/>
              </w:rPr>
              <w:t xml:space="preserve"> tohto vzoru.</w:t>
            </w:r>
          </w:p>
          <w:p w14:paraId="4EC3E213" w14:textId="77777777" w:rsidR="00A3389E" w:rsidRPr="00A3389E" w:rsidRDefault="000646F8" w:rsidP="00155C96">
            <w:pPr>
              <w:spacing w:after="120"/>
              <w:rPr>
                <w:rFonts w:ascii="Times New Roman" w:hAnsi="Times New Roman" w:cs="Times New Roman"/>
                <w:sz w:val="24"/>
              </w:rPr>
            </w:pPr>
            <w:r w:rsidRPr="00A3389E">
              <w:rPr>
                <w:rFonts w:ascii="Times New Roman" w:hAnsi="Times New Roman" w:cs="Times New Roman"/>
                <w:sz w:val="24"/>
              </w:rPr>
              <w:t>Zverejnená hodnota splatnosti odzrkadľuje článok 162 CRR</w:t>
            </w:r>
            <w:r w:rsidR="00A3389E" w:rsidRPr="00A3389E">
              <w:rPr>
                <w:rFonts w:ascii="Times New Roman" w:hAnsi="Times New Roman" w:cs="Times New Roman"/>
                <w:sz w:val="24"/>
              </w:rPr>
              <w:t>.</w:t>
            </w:r>
          </w:p>
          <w:p w14:paraId="48529649" w14:textId="49471A20" w:rsidR="000646F8" w:rsidRPr="00A3389E" w:rsidRDefault="000646F8" w:rsidP="00155C96">
            <w:pPr>
              <w:spacing w:after="120"/>
              <w:rPr>
                <w:rFonts w:ascii="Times New Roman" w:hAnsi="Times New Roman" w:cs="Times New Roman"/>
                <w:sz w:val="24"/>
              </w:rPr>
            </w:pPr>
            <w:r w:rsidRPr="00A3389E">
              <w:rPr>
                <w:rFonts w:ascii="Times New Roman" w:hAnsi="Times New Roman" w:cs="Times New Roman"/>
                <w:sz w:val="24"/>
              </w:rPr>
              <w:t>Priemerná splatnosť sa zverejňuje</w:t>
            </w:r>
            <w:r w:rsidR="00A3389E">
              <w:rPr>
                <w:rFonts w:ascii="Times New Roman" w:hAnsi="Times New Roman" w:cs="Times New Roman"/>
                <w:sz w:val="24"/>
              </w:rPr>
              <w:t xml:space="preserve"> v </w:t>
            </w:r>
            <w:r w:rsidRPr="00A3389E">
              <w:rPr>
                <w:rFonts w:ascii="Times New Roman" w:hAnsi="Times New Roman" w:cs="Times New Roman"/>
                <w:sz w:val="24"/>
              </w:rPr>
              <w:t>rokoch.</w:t>
            </w:r>
          </w:p>
          <w:p w14:paraId="235C594B" w14:textId="240E5662" w:rsidR="000646F8" w:rsidRPr="00A3389E" w:rsidRDefault="000646F8" w:rsidP="00155C96">
            <w:pPr>
              <w:autoSpaceDE w:val="0"/>
              <w:autoSpaceDN w:val="0"/>
              <w:adjustRightInd w:val="0"/>
              <w:spacing w:after="120"/>
              <w:jc w:val="both"/>
              <w:rPr>
                <w:rFonts w:ascii="Times New Roman" w:hAnsi="Times New Roman" w:cs="Times New Roman"/>
                <w:sz w:val="24"/>
                <w:highlight w:val="yellow"/>
              </w:rPr>
            </w:pPr>
            <w:r w:rsidRPr="00A3389E">
              <w:rPr>
                <w:rFonts w:ascii="Times New Roman" w:hAnsi="Times New Roman" w:cs="Times New Roman"/>
                <w:sz w:val="24"/>
              </w:rPr>
              <w:t>Tieto údaje sa nezverejňujú pri hodnotách expozícií,</w:t>
            </w:r>
            <w:r w:rsidR="00A3389E">
              <w:rPr>
                <w:rFonts w:ascii="Times New Roman" w:hAnsi="Times New Roman" w:cs="Times New Roman"/>
                <w:sz w:val="24"/>
              </w:rPr>
              <w:t xml:space="preserve"> v </w:t>
            </w:r>
            <w:r w:rsidRPr="00A3389E">
              <w:rPr>
                <w:rFonts w:ascii="Times New Roman" w:hAnsi="Times New Roman" w:cs="Times New Roman"/>
                <w:sz w:val="24"/>
              </w:rPr>
              <w:t xml:space="preserve">prípade ktorých splatnosť nie je prvkom vo výpočte </w:t>
            </w:r>
            <w:r w:rsidRPr="00A3389E">
              <w:rPr>
                <w:rStyle w:val="InstructionsTabelleText"/>
                <w:rFonts w:ascii="Times New Roman" w:hAnsi="Times New Roman"/>
                <w:sz w:val="24"/>
              </w:rPr>
              <w:t>hodnôt rizikovo vážených expozícií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3 CRR. Znamená to, že pre triedu expozícií „retail“ sa tento stĺpec nevypĺňa.</w:t>
            </w:r>
          </w:p>
        </w:tc>
      </w:tr>
      <w:tr w:rsidR="000646F8" w:rsidRPr="00A3389E" w14:paraId="2AC15C02" w14:textId="77777777" w:rsidTr="00155C96">
        <w:trPr>
          <w:trHeight w:val="695"/>
        </w:trPr>
        <w:tc>
          <w:tcPr>
            <w:tcW w:w="1555" w:type="dxa"/>
          </w:tcPr>
          <w:p w14:paraId="5D82C466" w14:textId="77777777" w:rsidR="000646F8" w:rsidRPr="00A3389E" w:rsidDel="00F079B2"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j</w:t>
            </w:r>
          </w:p>
        </w:tc>
        <w:tc>
          <w:tcPr>
            <w:tcW w:w="7483" w:type="dxa"/>
          </w:tcPr>
          <w:p w14:paraId="7CB55338" w14:textId="501B7367"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Hodnota rizikovo váženej expozície po uplatnení podporných faktorov</w:t>
            </w:r>
          </w:p>
          <w:p w14:paraId="53468733" w14:textId="0FA473D7"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Pri expozíciách voči ústredným vládam</w:t>
            </w:r>
            <w:r w:rsidR="00A3389E">
              <w:rPr>
                <w:rFonts w:ascii="Times New Roman" w:hAnsi="Times New Roman" w:cs="Times New Roman"/>
                <w:sz w:val="24"/>
              </w:rPr>
              <w:t xml:space="preserve"> a </w:t>
            </w:r>
            <w:r w:rsidRPr="00A3389E">
              <w:rPr>
                <w:rFonts w:ascii="Times New Roman" w:hAnsi="Times New Roman" w:cs="Times New Roman"/>
                <w:sz w:val="24"/>
              </w:rPr>
              <w:t>centrálnym bankám, inštitúciám</w:t>
            </w:r>
            <w:r w:rsidR="00A3389E">
              <w:rPr>
                <w:rFonts w:ascii="Times New Roman" w:hAnsi="Times New Roman" w:cs="Times New Roman"/>
                <w:sz w:val="24"/>
              </w:rPr>
              <w:t xml:space="preserve"> a </w:t>
            </w:r>
            <w:r w:rsidRPr="00A3389E">
              <w:rPr>
                <w:rFonts w:ascii="Times New Roman" w:hAnsi="Times New Roman" w:cs="Times New Roman"/>
                <w:sz w:val="24"/>
              </w:rPr>
              <w:t xml:space="preserve">podnikateľským subjektom hodnota rizikovo váženej expozície </w:t>
            </w:r>
            <w:r w:rsidRPr="00A3389E">
              <w:rPr>
                <w:rFonts w:ascii="Times New Roman" w:hAnsi="Times New Roman" w:cs="Times New Roman"/>
                <w:sz w:val="24"/>
              </w:rPr>
              <w:lastRenderedPageBreak/>
              <w:t>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153 ods. 1 až 4 CRR; pri retailových expozíciách hodnota rizikovo váženej expozície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154 CRR.</w:t>
            </w:r>
          </w:p>
          <w:p w14:paraId="53BD931B" w14:textId="18F06B0F"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Zohľadňujú sa faktory na podporu MSP</w:t>
            </w:r>
            <w:r w:rsidR="00A3389E">
              <w:rPr>
                <w:rFonts w:ascii="Times New Roman" w:hAnsi="Times New Roman" w:cs="Times New Roman"/>
                <w:sz w:val="24"/>
              </w:rPr>
              <w:t xml:space="preserve"> a </w:t>
            </w:r>
            <w:r w:rsidRPr="00A3389E">
              <w:rPr>
                <w:rFonts w:ascii="Times New Roman" w:hAnsi="Times New Roman" w:cs="Times New Roman"/>
                <w:sz w:val="24"/>
              </w:rPr>
              <w:t>infraštruktúry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501</w:t>
            </w:r>
            <w:r w:rsidR="00A3389E">
              <w:rPr>
                <w:rFonts w:ascii="Times New Roman" w:hAnsi="Times New Roman" w:cs="Times New Roman"/>
                <w:sz w:val="24"/>
              </w:rPr>
              <w:t xml:space="preserve"> a </w:t>
            </w:r>
            <w:r w:rsidRPr="00A3389E">
              <w:rPr>
                <w:rFonts w:ascii="Times New Roman" w:hAnsi="Times New Roman" w:cs="Times New Roman"/>
                <w:sz w:val="24"/>
              </w:rPr>
              <w:t xml:space="preserve">501a CRR. </w:t>
            </w:r>
          </w:p>
        </w:tc>
      </w:tr>
      <w:tr w:rsidR="000646F8" w:rsidRPr="00A3389E" w14:paraId="148722DE" w14:textId="77777777" w:rsidTr="00155C96">
        <w:trPr>
          <w:trHeight w:val="695"/>
        </w:trPr>
        <w:tc>
          <w:tcPr>
            <w:tcW w:w="1555" w:type="dxa"/>
          </w:tcPr>
          <w:p w14:paraId="56F39377"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highlight w:val="yellow"/>
              </w:rPr>
            </w:pPr>
            <w:r w:rsidRPr="00A3389E">
              <w:rPr>
                <w:rFonts w:ascii="Times New Roman" w:hAnsi="Times New Roman" w:cs="Times New Roman"/>
                <w:sz w:val="24"/>
              </w:rPr>
              <w:lastRenderedPageBreak/>
              <w:t>k</w:t>
            </w:r>
          </w:p>
        </w:tc>
        <w:tc>
          <w:tcPr>
            <w:tcW w:w="7483" w:type="dxa"/>
          </w:tcPr>
          <w:p w14:paraId="596D14CB" w14:textId="38D0B3C8"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b/>
                <w:sz w:val="24"/>
              </w:rPr>
              <w:t>Hustota hodnôt rizikovo vážených expozícií</w:t>
            </w:r>
          </w:p>
          <w:p w14:paraId="48C3A469" w14:textId="0F7E4C16" w:rsidR="000646F8" w:rsidRPr="00A3389E" w:rsidRDefault="000646F8" w:rsidP="00155C96">
            <w:pPr>
              <w:autoSpaceDE w:val="0"/>
              <w:autoSpaceDN w:val="0"/>
              <w:adjustRightInd w:val="0"/>
              <w:spacing w:after="120"/>
              <w:jc w:val="both"/>
              <w:rPr>
                <w:rFonts w:ascii="Times New Roman" w:hAnsi="Times New Roman" w:cs="Times New Roman"/>
                <w:b/>
                <w:sz w:val="24"/>
                <w:highlight w:val="yellow"/>
              </w:rPr>
            </w:pPr>
            <w:r w:rsidRPr="00A3389E">
              <w:rPr>
                <w:rFonts w:ascii="Times New Roman" w:hAnsi="Times New Roman" w:cs="Times New Roman"/>
                <w:sz w:val="24"/>
              </w:rPr>
              <w:t>Pomer medzi súčtom hodnôt rizikovo vážených expozícií po uplatnení podporných faktorov, ako sa uvádza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j</w:t>
            </w:r>
            <w:r w:rsidRPr="00A3389E">
              <w:rPr>
                <w:rFonts w:ascii="Times New Roman" w:hAnsi="Times New Roman" w:cs="Times New Roman"/>
                <w:sz w:val="24"/>
              </w:rPr>
              <w:t xml:space="preserve"> tohto vzoru,</w:t>
            </w:r>
            <w:r w:rsidR="00A3389E">
              <w:rPr>
                <w:rFonts w:ascii="Times New Roman" w:hAnsi="Times New Roman" w:cs="Times New Roman"/>
                <w:sz w:val="24"/>
              </w:rPr>
              <w:t xml:space="preserve"> a </w:t>
            </w:r>
            <w:r w:rsidRPr="00A3389E">
              <w:rPr>
                <w:rFonts w:ascii="Times New Roman" w:hAnsi="Times New Roman" w:cs="Times New Roman"/>
                <w:sz w:val="24"/>
              </w:rPr>
              <w:t>hodnotou expozície, ako sa uvádza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e</w:t>
            </w:r>
            <w:r w:rsidRPr="00A3389E">
              <w:rPr>
                <w:rFonts w:ascii="Times New Roman" w:hAnsi="Times New Roman" w:cs="Times New Roman"/>
                <w:sz w:val="24"/>
              </w:rPr>
              <w:t xml:space="preserve"> tohto vzoru.</w:t>
            </w:r>
          </w:p>
        </w:tc>
      </w:tr>
      <w:tr w:rsidR="000646F8" w:rsidRPr="00A3389E" w14:paraId="48A80F30" w14:textId="77777777" w:rsidTr="00155C96">
        <w:trPr>
          <w:trHeight w:val="695"/>
        </w:trPr>
        <w:tc>
          <w:tcPr>
            <w:tcW w:w="1555" w:type="dxa"/>
          </w:tcPr>
          <w:p w14:paraId="1F516682"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highlight w:val="yellow"/>
              </w:rPr>
            </w:pPr>
            <w:r w:rsidRPr="00A3389E">
              <w:rPr>
                <w:rFonts w:ascii="Times New Roman" w:hAnsi="Times New Roman" w:cs="Times New Roman"/>
                <w:sz w:val="24"/>
              </w:rPr>
              <w:t>l</w:t>
            </w:r>
          </w:p>
        </w:tc>
        <w:tc>
          <w:tcPr>
            <w:tcW w:w="7483" w:type="dxa"/>
          </w:tcPr>
          <w:p w14:paraId="10D64420"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Výška očakávanej straty</w:t>
            </w:r>
          </w:p>
          <w:p w14:paraId="07002A43" w14:textId="2C9A47EF" w:rsidR="000646F8" w:rsidRPr="00A3389E" w:rsidRDefault="000646F8"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Výška očakávanej straty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158 CRR.</w:t>
            </w:r>
          </w:p>
          <w:p w14:paraId="2C620D61" w14:textId="1535FF21" w:rsidR="000646F8" w:rsidRPr="00A3389E" w:rsidRDefault="000646F8" w:rsidP="00155C96">
            <w:pPr>
              <w:autoSpaceDE w:val="0"/>
              <w:autoSpaceDN w:val="0"/>
              <w:adjustRightInd w:val="0"/>
              <w:spacing w:after="120"/>
              <w:rPr>
                <w:rFonts w:ascii="Times New Roman" w:hAnsi="Times New Roman" w:cs="Times New Roman"/>
                <w:b/>
                <w:sz w:val="24"/>
                <w:highlight w:val="yellow"/>
              </w:rPr>
            </w:pPr>
            <w:r w:rsidRPr="00A3389E">
              <w:rPr>
                <w:rFonts w:ascii="Times New Roman" w:hAnsi="Times New Roman" w:cs="Times New Roman"/>
                <w:sz w:val="24"/>
              </w:rPr>
              <w:t>Zverejňovaná výška očakávanej straty je založená na skutočných parametroch rizika, ktoré sa používajú</w:t>
            </w:r>
            <w:r w:rsidR="00A3389E">
              <w:rPr>
                <w:rFonts w:ascii="Times New Roman" w:hAnsi="Times New Roman" w:cs="Times New Roman"/>
                <w:sz w:val="24"/>
              </w:rPr>
              <w:t xml:space="preserve"> v </w:t>
            </w:r>
            <w:r w:rsidRPr="00A3389E">
              <w:rPr>
                <w:rFonts w:ascii="Times New Roman" w:hAnsi="Times New Roman" w:cs="Times New Roman"/>
                <w:sz w:val="24"/>
              </w:rPr>
              <w:t>internom ratingovom systéme schválenom dotknutým príslušným orgánom.</w:t>
            </w:r>
          </w:p>
        </w:tc>
      </w:tr>
      <w:tr w:rsidR="000646F8" w:rsidRPr="00A3389E" w14:paraId="32CD3BD6" w14:textId="77777777" w:rsidTr="00155C96">
        <w:trPr>
          <w:trHeight w:val="695"/>
        </w:trPr>
        <w:tc>
          <w:tcPr>
            <w:tcW w:w="1555" w:type="dxa"/>
          </w:tcPr>
          <w:p w14:paraId="725B932E"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highlight w:val="yellow"/>
              </w:rPr>
            </w:pPr>
            <w:r w:rsidRPr="00A3389E">
              <w:rPr>
                <w:rFonts w:ascii="Times New Roman" w:hAnsi="Times New Roman" w:cs="Times New Roman"/>
                <w:sz w:val="24"/>
              </w:rPr>
              <w:t>m</w:t>
            </w:r>
          </w:p>
        </w:tc>
        <w:tc>
          <w:tcPr>
            <w:tcW w:w="7483" w:type="dxa"/>
          </w:tcPr>
          <w:p w14:paraId="3E2A3762" w14:textId="6A75EEA1" w:rsidR="000646F8" w:rsidRPr="00A3389E" w:rsidRDefault="000646F8"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Úpravy ocenenia</w:t>
            </w:r>
            <w:r w:rsidR="00A3389E">
              <w:rPr>
                <w:rFonts w:ascii="Times New Roman" w:hAnsi="Times New Roman" w:cs="Times New Roman"/>
                <w:b/>
                <w:sz w:val="24"/>
              </w:rPr>
              <w:t xml:space="preserve"> a </w:t>
            </w:r>
            <w:r w:rsidRPr="00A3389E">
              <w:rPr>
                <w:rFonts w:ascii="Times New Roman" w:hAnsi="Times New Roman" w:cs="Times New Roman"/>
                <w:b/>
                <w:sz w:val="24"/>
              </w:rPr>
              <w:t>rezervy</w:t>
            </w:r>
          </w:p>
          <w:p w14:paraId="749B8530" w14:textId="624D07B3"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Špecifické</w:t>
            </w:r>
            <w:r w:rsidR="00A3389E">
              <w:rPr>
                <w:rFonts w:ascii="Times New Roman" w:hAnsi="Times New Roman" w:cs="Times New Roman"/>
                <w:sz w:val="24"/>
              </w:rPr>
              <w:t xml:space="preserve"> a </w:t>
            </w:r>
            <w:r w:rsidRPr="00A3389E">
              <w:rPr>
                <w:rFonts w:ascii="Times New Roman" w:hAnsi="Times New Roman" w:cs="Times New Roman"/>
                <w:sz w:val="24"/>
              </w:rPr>
              <w:t>všeobecné úpravy kreditného rizika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delegovaným nariadením Komisie (EÚ) </w:t>
            </w:r>
            <w:r w:rsidR="00A3389E">
              <w:rPr>
                <w:rFonts w:ascii="Times New Roman" w:hAnsi="Times New Roman" w:cs="Times New Roman"/>
                <w:sz w:val="24"/>
              </w:rPr>
              <w:t>č. </w:t>
            </w:r>
            <w:r w:rsidRPr="00A3389E">
              <w:rPr>
                <w:rFonts w:ascii="Times New Roman" w:hAnsi="Times New Roman" w:cs="Times New Roman"/>
                <w:sz w:val="24"/>
              </w:rPr>
              <w:t>183/2014</w:t>
            </w:r>
            <w:r w:rsidRPr="00A3389E">
              <w:rPr>
                <w:rStyle w:val="FootnoteReference"/>
                <w:rFonts w:ascii="Times New Roman" w:hAnsi="Times New Roman" w:cs="Times New Roman"/>
              </w:rPr>
              <w:footnoteReference w:id="39"/>
            </w:r>
            <w:r w:rsidRPr="00A3389E">
              <w:rPr>
                <w:rFonts w:ascii="Times New Roman" w:hAnsi="Times New Roman" w:cs="Times New Roman"/>
                <w:sz w:val="24"/>
              </w:rPr>
              <w:t>, dodatočné úpravy ocenenia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34</w:t>
            </w:r>
            <w:r w:rsidR="00A3389E">
              <w:rPr>
                <w:rFonts w:ascii="Times New Roman" w:hAnsi="Times New Roman" w:cs="Times New Roman"/>
                <w:sz w:val="24"/>
              </w:rPr>
              <w:t xml:space="preserve"> a </w:t>
            </w:r>
            <w:r w:rsidRPr="00A3389E">
              <w:rPr>
                <w:rFonts w:ascii="Times New Roman" w:hAnsi="Times New Roman" w:cs="Times New Roman"/>
                <w:sz w:val="24"/>
              </w:rPr>
              <w:t>110 CRR, ako aj iné zníženia vlastných zdrojov súvisiace</w:t>
            </w:r>
            <w:r w:rsidR="00A3389E">
              <w:rPr>
                <w:rFonts w:ascii="Times New Roman" w:hAnsi="Times New Roman" w:cs="Times New Roman"/>
                <w:sz w:val="24"/>
              </w:rPr>
              <w:t xml:space="preserve"> s </w:t>
            </w:r>
            <w:r w:rsidRPr="00A3389E">
              <w:rPr>
                <w:rFonts w:ascii="Times New Roman" w:hAnsi="Times New Roman" w:cs="Times New Roman"/>
                <w:sz w:val="24"/>
              </w:rPr>
              <w:t>expozíciami priradenými ku každej skupine pevného rozsahu PD.</w:t>
            </w:r>
          </w:p>
          <w:p w14:paraId="5AC0E63C" w14:textId="29CB12C3" w:rsidR="00A3389E"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Tieto úpravy ocenenia</w:t>
            </w:r>
            <w:r w:rsidR="00A3389E">
              <w:rPr>
                <w:rFonts w:ascii="Times New Roman" w:hAnsi="Times New Roman" w:cs="Times New Roman"/>
                <w:sz w:val="24"/>
              </w:rPr>
              <w:t xml:space="preserve"> a </w:t>
            </w:r>
            <w:r w:rsidRPr="00A3389E">
              <w:rPr>
                <w:rFonts w:ascii="Times New Roman" w:hAnsi="Times New Roman" w:cs="Times New Roman"/>
                <w:sz w:val="24"/>
              </w:rPr>
              <w:t>rezervy sú tie úpravy ocenenia</w:t>
            </w:r>
            <w:r w:rsidR="00A3389E">
              <w:rPr>
                <w:rFonts w:ascii="Times New Roman" w:hAnsi="Times New Roman" w:cs="Times New Roman"/>
                <w:sz w:val="24"/>
              </w:rPr>
              <w:t xml:space="preserve"> a </w:t>
            </w:r>
            <w:r w:rsidRPr="00A3389E">
              <w:rPr>
                <w:rFonts w:ascii="Times New Roman" w:hAnsi="Times New Roman" w:cs="Times New Roman"/>
                <w:sz w:val="24"/>
              </w:rPr>
              <w:t>rezervy, ktoré sa zohľadňujú pri vykonávaní článku 159 CRR</w:t>
            </w:r>
            <w:r w:rsidR="00A3389E" w:rsidRPr="00A3389E">
              <w:rPr>
                <w:rFonts w:ascii="Times New Roman" w:hAnsi="Times New Roman" w:cs="Times New Roman"/>
                <w:sz w:val="24"/>
              </w:rPr>
              <w:t>.</w:t>
            </w:r>
          </w:p>
          <w:p w14:paraId="08C61982" w14:textId="2086807F" w:rsidR="000646F8" w:rsidRPr="00A3389E" w:rsidRDefault="000646F8"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Všeobecné rezervy sa zverejňujú priradením hodnoty na pomernom základe –</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očakávanou stratou rôznych ratingových stupňov dlžníkov.</w:t>
            </w:r>
          </w:p>
        </w:tc>
      </w:tr>
    </w:tbl>
    <w:p w14:paraId="067D4FA5" w14:textId="77777777" w:rsidR="000646F8" w:rsidRPr="00A3389E" w:rsidRDefault="000646F8" w:rsidP="000646F8">
      <w:pPr>
        <w:spacing w:after="120"/>
        <w:rPr>
          <w:rFonts w:ascii="Times New Roman" w:hAnsi="Times New Roman" w:cs="Times New Roman"/>
          <w:sz w:val="24"/>
        </w:rPr>
      </w:pPr>
    </w:p>
    <w:p w14:paraId="10652AB0" w14:textId="77777777" w:rsidR="000646F8" w:rsidRPr="00A3389E"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A3389E"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riadok</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622A18A4"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646F8" w:rsidRPr="00A3389E" w14:paraId="4AE5C990" w14:textId="77777777" w:rsidTr="00155C96">
        <w:trPr>
          <w:trHeight w:val="1601"/>
        </w:trPr>
        <w:tc>
          <w:tcPr>
            <w:tcW w:w="1555" w:type="dxa"/>
          </w:tcPr>
          <w:p w14:paraId="6B2065A5" w14:textId="77777777" w:rsidR="000646F8" w:rsidRPr="00A3389E" w:rsidRDefault="000646F8" w:rsidP="00155C96">
            <w:pPr>
              <w:spacing w:after="120"/>
              <w:jc w:val="both"/>
              <w:rPr>
                <w:rFonts w:ascii="Times New Roman" w:hAnsi="Times New Roman" w:cs="Times New Roman"/>
                <w:b/>
                <w:sz w:val="24"/>
              </w:rPr>
            </w:pPr>
            <w:r w:rsidRPr="00A3389E">
              <w:rPr>
                <w:rFonts w:ascii="Times New Roman" w:hAnsi="Times New Roman" w:cs="Times New Roman"/>
                <w:b/>
                <w:sz w:val="24"/>
              </w:rPr>
              <w:t>Trieda expozícií X</w:t>
            </w:r>
          </w:p>
          <w:p w14:paraId="54E86A05"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4560BC1C"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Ak inštitúcie dostali povolenie používať vlastné LGD</w:t>
            </w:r>
            <w:r w:rsidR="00A3389E">
              <w:rPr>
                <w:rFonts w:ascii="Times New Roman" w:hAnsi="Times New Roman" w:cs="Times New Roman"/>
                <w:sz w:val="24"/>
              </w:rPr>
              <w:t xml:space="preserve"> a </w:t>
            </w:r>
            <w:r w:rsidRPr="00A3389E">
              <w:rPr>
                <w:rFonts w:ascii="Times New Roman" w:hAnsi="Times New Roman" w:cs="Times New Roman"/>
                <w:sz w:val="24"/>
              </w:rPr>
              <w:t>konverzné faktory na výpočet hodnôt rizikovo vážených expozícií, informácie vyžadované</w:t>
            </w:r>
            <w:r w:rsidR="00A3389E">
              <w:rPr>
                <w:rFonts w:ascii="Times New Roman" w:hAnsi="Times New Roman" w:cs="Times New Roman"/>
                <w:sz w:val="24"/>
              </w:rPr>
              <w:t xml:space="preserve"> v </w:t>
            </w:r>
            <w:r w:rsidRPr="00A3389E">
              <w:rPr>
                <w:rFonts w:ascii="Times New Roman" w:hAnsi="Times New Roman" w:cs="Times New Roman"/>
                <w:sz w:val="24"/>
              </w:rPr>
              <w:t>tomto vzore zverejňujú samostatne pre triedy expozícií, na ktoré sa vzťahuje dané povolenie (A-IRB). Pri triedach expozícií, pre ktoré inštitúcia nemá povolenie používať vlastné odhady LGD</w:t>
            </w:r>
            <w:r w:rsidR="00A3389E">
              <w:rPr>
                <w:rFonts w:ascii="Times New Roman" w:hAnsi="Times New Roman" w:cs="Times New Roman"/>
                <w:sz w:val="24"/>
              </w:rPr>
              <w:t xml:space="preserve"> a </w:t>
            </w:r>
            <w:r w:rsidRPr="00A3389E">
              <w:rPr>
                <w:rFonts w:ascii="Times New Roman" w:hAnsi="Times New Roman" w:cs="Times New Roman"/>
                <w:sz w:val="24"/>
              </w:rPr>
              <w:t>konverzných faktorov (F-IRB), inštitúcia zverejňuje informácie</w:t>
            </w:r>
            <w:r w:rsidR="00A3389E">
              <w:rPr>
                <w:rFonts w:ascii="Times New Roman" w:hAnsi="Times New Roman" w:cs="Times New Roman"/>
                <w:sz w:val="24"/>
              </w:rPr>
              <w:t xml:space="preserve"> o </w:t>
            </w:r>
            <w:r w:rsidRPr="00A3389E">
              <w:rPr>
                <w:rFonts w:ascii="Times New Roman" w:hAnsi="Times New Roman" w:cs="Times New Roman"/>
                <w:sz w:val="24"/>
              </w:rPr>
              <w:t>príslušných expozíciách samostatne</w:t>
            </w:r>
            <w:r w:rsidR="00A3389E">
              <w:rPr>
                <w:rFonts w:ascii="Times New Roman" w:hAnsi="Times New Roman" w:cs="Times New Roman"/>
                <w:sz w:val="24"/>
              </w:rPr>
              <w:t xml:space="preserve"> s </w:t>
            </w:r>
            <w:r w:rsidRPr="00A3389E">
              <w:rPr>
                <w:rFonts w:ascii="Times New Roman" w:hAnsi="Times New Roman" w:cs="Times New Roman"/>
                <w:sz w:val="24"/>
              </w:rPr>
              <w:t xml:space="preserve">použitím vzoru F-IRB. </w:t>
            </w:r>
          </w:p>
        </w:tc>
      </w:tr>
      <w:tr w:rsidR="000646F8" w:rsidRPr="00A3389E" w14:paraId="136A8E66" w14:textId="77777777" w:rsidTr="00155C96">
        <w:trPr>
          <w:trHeight w:val="1124"/>
        </w:trPr>
        <w:tc>
          <w:tcPr>
            <w:tcW w:w="1555" w:type="dxa"/>
          </w:tcPr>
          <w:p w14:paraId="6C72886E" w14:textId="77777777" w:rsidR="000646F8" w:rsidRPr="00A3389E" w:rsidRDefault="000646F8" w:rsidP="00155C96">
            <w:pPr>
              <w:autoSpaceDE w:val="0"/>
              <w:autoSpaceDN w:val="0"/>
              <w:adjustRightInd w:val="0"/>
              <w:spacing w:after="120"/>
              <w:jc w:val="both"/>
              <w:rPr>
                <w:rFonts w:ascii="Times New Roman" w:hAnsi="Times New Roman" w:cs="Times New Roman"/>
                <w:sz w:val="24"/>
                <w:highlight w:val="yellow"/>
              </w:rPr>
            </w:pPr>
            <w:r w:rsidRPr="00A3389E">
              <w:rPr>
                <w:rFonts w:ascii="Times New Roman" w:hAnsi="Times New Roman" w:cs="Times New Roman"/>
                <w:iCs/>
                <w:sz w:val="24"/>
              </w:rPr>
              <w:lastRenderedPageBreak/>
              <w:t>A-IRB</w:t>
            </w:r>
          </w:p>
        </w:tc>
        <w:tc>
          <w:tcPr>
            <w:tcW w:w="7484" w:type="dxa"/>
          </w:tcPr>
          <w:p w14:paraId="00E8CC1E" w14:textId="77777777"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b/>
                <w:sz w:val="24"/>
              </w:rPr>
              <w:t>Trieda expozícií X</w:t>
            </w:r>
          </w:p>
          <w:p w14:paraId="0C32D80E" w14:textId="71784E8D" w:rsidR="00A3389E" w:rsidRPr="00A3389E" w:rsidRDefault="000646F8" w:rsidP="00155C96">
            <w:pPr>
              <w:spacing w:after="120"/>
              <w:jc w:val="both"/>
              <w:rPr>
                <w:rFonts w:ascii="Times New Roman" w:hAnsi="Times New Roman" w:cs="Times New Roman"/>
                <w:iCs/>
                <w:sz w:val="24"/>
              </w:rPr>
            </w:pPr>
            <w:r w:rsidRPr="00A3389E">
              <w:rPr>
                <w:rFonts w:ascii="Times New Roman" w:hAnsi="Times New Roman" w:cs="Times New Roman"/>
                <w:iCs/>
                <w:sz w:val="24"/>
              </w:rPr>
              <w:t>Pre každú triedu expozícií uvedenú</w:t>
            </w:r>
            <w:r w:rsidR="00A3389E">
              <w:rPr>
                <w:rFonts w:ascii="Times New Roman" w:hAnsi="Times New Roman" w:cs="Times New Roman"/>
                <w:iCs/>
                <w:sz w:val="24"/>
              </w:rPr>
              <w:t xml:space="preserve"> v </w:t>
            </w:r>
            <w:r w:rsidRPr="00A3389E">
              <w:rPr>
                <w:rFonts w:ascii="Times New Roman" w:hAnsi="Times New Roman" w:cs="Times New Roman"/>
                <w:iCs/>
                <w:sz w:val="24"/>
              </w:rPr>
              <w:t>článku 147 ods. 2 CRR, okrem výnimiek uvedených vyššie, inštitúcie zverejňujú samostatný vzor</w:t>
            </w:r>
            <w:r w:rsidR="00A3389E">
              <w:rPr>
                <w:rFonts w:ascii="Times New Roman" w:hAnsi="Times New Roman" w:cs="Times New Roman"/>
                <w:iCs/>
                <w:sz w:val="24"/>
              </w:rPr>
              <w:t xml:space="preserve"> s </w:t>
            </w:r>
            <w:r w:rsidRPr="00A3389E">
              <w:rPr>
                <w:rFonts w:ascii="Times New Roman" w:hAnsi="Times New Roman" w:cs="Times New Roman"/>
                <w:iCs/>
                <w:sz w:val="24"/>
              </w:rPr>
              <w:t>ďalším rozčlenením týchto tried expozícií</w:t>
            </w:r>
            <w:r w:rsidR="00A3389E" w:rsidRPr="00A3389E">
              <w:rPr>
                <w:rFonts w:ascii="Times New Roman" w:hAnsi="Times New Roman" w:cs="Times New Roman"/>
                <w:iCs/>
                <w:sz w:val="24"/>
              </w:rPr>
              <w:t>:</w:t>
            </w:r>
          </w:p>
          <w:p w14:paraId="4433ACB1" w14:textId="1E30137E"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w:t>
            </w:r>
            <w:r w:rsidR="00A3389E">
              <w:rPr>
                <w:rFonts w:ascii="Times New Roman" w:hAnsi="Times New Roman" w:cs="Times New Roman"/>
                <w:iCs/>
                <w:sz w:val="24"/>
              </w:rPr>
              <w:t xml:space="preserve"> v </w:t>
            </w:r>
            <w:r w:rsidRPr="00A3389E">
              <w:rPr>
                <w:rFonts w:ascii="Times New Roman" w:hAnsi="Times New Roman" w:cs="Times New Roman"/>
                <w:iCs/>
                <w:sz w:val="24"/>
              </w:rPr>
              <w:t>rámci triedy expozícií „expozície voči podnikateľským subjektom“ [článok 147 ods. 2 písm. c) CRR] rozčlenenie na:</w:t>
            </w:r>
          </w:p>
          <w:p w14:paraId="0D74CEA8" w14:textId="04651593" w:rsidR="000646F8" w:rsidRPr="00A3389E"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expozície voči podnikateľským subjektom – MSP</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internou klasifikáciou expozícií voči podnikateľským subjektom na základe politík riadenia rizík;</w:t>
            </w:r>
          </w:p>
          <w:p w14:paraId="5528BA07" w14:textId="5A8C17D6" w:rsidR="000646F8" w:rsidRPr="00A3389E"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A3389E">
              <w:rPr>
                <w:rFonts w:ascii="Times New Roman" w:hAnsi="Times New Roman" w:cs="Times New Roman"/>
                <w:iCs/>
                <w:sz w:val="24"/>
              </w:rPr>
              <w:t>b)</w:t>
            </w:r>
            <w:r w:rsidRPr="00A3389E">
              <w:rPr>
                <w:rFonts w:ascii="Times New Roman" w:hAnsi="Times New Roman" w:cs="Times New Roman"/>
              </w:rPr>
              <w:tab/>
            </w:r>
            <w:r w:rsidRPr="00A3389E">
              <w:rPr>
                <w:rFonts w:ascii="Times New Roman" w:hAnsi="Times New Roman" w:cs="Times New Roman"/>
                <w:iCs/>
                <w:sz w:val="24"/>
              </w:rPr>
              <w:t>expozície voči podnikateľským subjektom – špecializované financovanie</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147 ods. 8 CRR;</w:t>
            </w:r>
          </w:p>
          <w:p w14:paraId="167584D3" w14:textId="77777777" w:rsidR="000646F8" w:rsidRPr="00A3389E"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expozície voči podnikateľským subjektom – iné;</w:t>
            </w:r>
          </w:p>
          <w:p w14:paraId="357543CE" w14:textId="202DB81C"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w:t>
            </w:r>
            <w:r w:rsidR="00A3389E">
              <w:rPr>
                <w:rFonts w:ascii="Times New Roman" w:hAnsi="Times New Roman" w:cs="Times New Roman"/>
                <w:iCs/>
                <w:sz w:val="24"/>
              </w:rPr>
              <w:t xml:space="preserve"> v </w:t>
            </w:r>
            <w:r w:rsidRPr="00A3389E">
              <w:rPr>
                <w:rFonts w:ascii="Times New Roman" w:hAnsi="Times New Roman" w:cs="Times New Roman"/>
                <w:iCs/>
                <w:sz w:val="24"/>
              </w:rPr>
              <w:t>rámci triedy expozícií „retailové expozície“ [článok 147 ods. 2 písm. d)</w:t>
            </w:r>
            <w:r w:rsidR="00A3389E">
              <w:rPr>
                <w:rFonts w:ascii="Times New Roman" w:hAnsi="Times New Roman" w:cs="Times New Roman"/>
                <w:iCs/>
                <w:sz w:val="24"/>
              </w:rPr>
              <w:t xml:space="preserve"> a </w:t>
            </w:r>
            <w:r w:rsidRPr="00A3389E">
              <w:rPr>
                <w:rFonts w:ascii="Times New Roman" w:hAnsi="Times New Roman" w:cs="Times New Roman"/>
                <w:iCs/>
                <w:sz w:val="24"/>
              </w:rPr>
              <w:t>článok 147 ods. 5 CRR] rozčlenenie na:</w:t>
            </w:r>
          </w:p>
          <w:p w14:paraId="6EB715AB" w14:textId="3FB692F5"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retailové expozície – MSP zabezpečené kolaterálom vo forme nehnuteľného majetku [článok 147 ods. 2 písm. d) CRR</w:t>
            </w:r>
            <w:r w:rsidR="00A3389E">
              <w:rPr>
                <w:rFonts w:ascii="Times New Roman" w:hAnsi="Times New Roman" w:cs="Times New Roman"/>
                <w:iCs/>
                <w:sz w:val="24"/>
              </w:rPr>
              <w:t xml:space="preserve"> v </w:t>
            </w:r>
            <w:r w:rsidRPr="00A3389E">
              <w:rPr>
                <w:rFonts w:ascii="Times New Roman" w:hAnsi="Times New Roman" w:cs="Times New Roman"/>
                <w:iCs/>
                <w:sz w:val="24"/>
              </w:rPr>
              <w:t>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2</w:t>
            </w:r>
            <w:r w:rsidR="00A3389E">
              <w:rPr>
                <w:rFonts w:ascii="Times New Roman" w:hAnsi="Times New Roman" w:cs="Times New Roman"/>
                <w:iCs/>
                <w:sz w:val="24"/>
              </w:rPr>
              <w:t xml:space="preserve"> a </w:t>
            </w:r>
            <w:r w:rsidRPr="00A3389E">
              <w:rPr>
                <w:rFonts w:ascii="Times New Roman" w:hAnsi="Times New Roman" w:cs="Times New Roman"/>
                <w:iCs/>
                <w:sz w:val="24"/>
              </w:rPr>
              <w:t>3 CRR];</w:t>
            </w:r>
          </w:p>
          <w:p w14:paraId="00C7272D" w14:textId="77777777"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b) retailové expozície – MSP iné;</w:t>
            </w:r>
          </w:p>
          <w:p w14:paraId="7336AC1B" w14:textId="5F60E16B"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retailové expozície – iné než MSP, zabezpečené kolaterálom vo forme nehnuteľného majetku [článok 147 ods. 2 písm. d) CRR</w:t>
            </w:r>
            <w:r w:rsidR="00A3389E">
              <w:rPr>
                <w:rFonts w:ascii="Times New Roman" w:hAnsi="Times New Roman" w:cs="Times New Roman"/>
                <w:iCs/>
                <w:sz w:val="24"/>
              </w:rPr>
              <w:t xml:space="preserve"> v </w:t>
            </w:r>
            <w:r w:rsidRPr="00A3389E">
              <w:rPr>
                <w:rFonts w:ascii="Times New Roman" w:hAnsi="Times New Roman" w:cs="Times New Roman"/>
                <w:iCs/>
                <w:sz w:val="24"/>
              </w:rPr>
              <w:t>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3 CRR];</w:t>
            </w:r>
          </w:p>
          <w:p w14:paraId="137581F2" w14:textId="08820239"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d)</w:t>
            </w:r>
            <w:r w:rsidRPr="00A3389E">
              <w:rPr>
                <w:rFonts w:ascii="Times New Roman" w:hAnsi="Times New Roman" w:cs="Times New Roman"/>
              </w:rPr>
              <w:tab/>
            </w:r>
            <w:r w:rsidRPr="00A3389E">
              <w:rPr>
                <w:rFonts w:ascii="Times New Roman" w:hAnsi="Times New Roman" w:cs="Times New Roman"/>
                <w:iCs/>
                <w:sz w:val="24"/>
              </w:rPr>
              <w:t>retailové expozície – kvalifikovaný revolving [článok 147 ods. 2 písm. d) CRR</w:t>
            </w:r>
            <w:r w:rsidR="00A3389E">
              <w:rPr>
                <w:rFonts w:ascii="Times New Roman" w:hAnsi="Times New Roman" w:cs="Times New Roman"/>
                <w:iCs/>
                <w:sz w:val="24"/>
              </w:rPr>
              <w:t xml:space="preserve"> v </w:t>
            </w:r>
            <w:r w:rsidRPr="00A3389E">
              <w:rPr>
                <w:rFonts w:ascii="Times New Roman" w:hAnsi="Times New Roman" w:cs="Times New Roman"/>
                <w:iCs/>
                <w:sz w:val="24"/>
              </w:rPr>
              <w:t>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4 CRR];</w:t>
            </w:r>
          </w:p>
          <w:p w14:paraId="1E06E2C7" w14:textId="6F5BDF97"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e)</w:t>
            </w:r>
            <w:r w:rsidRPr="00A3389E">
              <w:rPr>
                <w:rFonts w:ascii="Times New Roman" w:hAnsi="Times New Roman" w:cs="Times New Roman"/>
                <w:iCs/>
                <w:sz w:val="24"/>
              </w:rPr>
              <w:tab/>
              <w:t>retailové expozície – iné než MSP, iné.</w:t>
            </w:r>
          </w:p>
          <w:p w14:paraId="0936B92C" w14:textId="77777777" w:rsidR="000646F8" w:rsidRPr="00A3389E" w:rsidRDefault="000646F8" w:rsidP="00155C96">
            <w:pPr>
              <w:autoSpaceDE w:val="0"/>
              <w:autoSpaceDN w:val="0"/>
              <w:adjustRightInd w:val="0"/>
              <w:spacing w:after="120"/>
              <w:jc w:val="both"/>
              <w:rPr>
                <w:rFonts w:ascii="Times New Roman" w:hAnsi="Times New Roman" w:cs="Times New Roman"/>
                <w:sz w:val="24"/>
                <w:highlight w:val="yellow"/>
              </w:rPr>
            </w:pPr>
            <w:r w:rsidRPr="00A3389E">
              <w:rPr>
                <w:rFonts w:ascii="Times New Roman" w:hAnsi="Times New Roman" w:cs="Times New Roman"/>
                <w:iCs/>
                <w:sz w:val="24"/>
              </w:rPr>
              <w:t>Riadok pre celkové expozície sa zahŕňa na konci každého samostatného vzoru pre každú triedu expozícií.</w:t>
            </w:r>
          </w:p>
        </w:tc>
      </w:tr>
      <w:tr w:rsidR="000646F8" w:rsidRPr="00A3389E" w14:paraId="52820316" w14:textId="77777777" w:rsidTr="00155C96">
        <w:trPr>
          <w:trHeight w:val="316"/>
        </w:trPr>
        <w:tc>
          <w:tcPr>
            <w:tcW w:w="1555" w:type="dxa"/>
          </w:tcPr>
          <w:p w14:paraId="79E5A87B" w14:textId="77777777" w:rsidR="000646F8" w:rsidRPr="00A3389E" w:rsidRDefault="000646F8" w:rsidP="00155C96">
            <w:pPr>
              <w:autoSpaceDE w:val="0"/>
              <w:autoSpaceDN w:val="0"/>
              <w:adjustRightInd w:val="0"/>
              <w:spacing w:after="120"/>
              <w:rPr>
                <w:rFonts w:ascii="Times New Roman" w:hAnsi="Times New Roman" w:cs="Times New Roman"/>
                <w:color w:val="000000"/>
                <w:sz w:val="24"/>
                <w:highlight w:val="yellow"/>
              </w:rPr>
            </w:pPr>
            <w:r w:rsidRPr="00A3389E">
              <w:rPr>
                <w:rFonts w:ascii="Times New Roman" w:hAnsi="Times New Roman" w:cs="Times New Roman"/>
                <w:color w:val="000000"/>
                <w:sz w:val="24"/>
              </w:rPr>
              <w:t>F-IRB</w:t>
            </w:r>
          </w:p>
        </w:tc>
        <w:tc>
          <w:tcPr>
            <w:tcW w:w="7484" w:type="dxa"/>
          </w:tcPr>
          <w:p w14:paraId="29AFC5E3" w14:textId="77777777" w:rsidR="00A3389E" w:rsidRPr="00A3389E" w:rsidRDefault="000646F8" w:rsidP="00155C96">
            <w:pPr>
              <w:spacing w:after="120"/>
              <w:jc w:val="both"/>
              <w:rPr>
                <w:rFonts w:ascii="Times New Roman" w:hAnsi="Times New Roman" w:cs="Times New Roman"/>
                <w:b/>
                <w:sz w:val="24"/>
              </w:rPr>
            </w:pPr>
            <w:r w:rsidRPr="00A3389E">
              <w:rPr>
                <w:rFonts w:ascii="Times New Roman" w:hAnsi="Times New Roman" w:cs="Times New Roman"/>
                <w:b/>
                <w:sz w:val="24"/>
              </w:rPr>
              <w:t>Trieda expozícií X</w:t>
            </w:r>
          </w:p>
          <w:p w14:paraId="3A5233B2" w14:textId="3E2010AE" w:rsidR="000646F8" w:rsidRPr="00A3389E" w:rsidRDefault="000646F8" w:rsidP="00155C96">
            <w:pPr>
              <w:spacing w:after="120"/>
              <w:jc w:val="both"/>
              <w:rPr>
                <w:rFonts w:ascii="Times New Roman" w:eastAsia="Times New Roman" w:hAnsi="Times New Roman" w:cs="Times New Roman"/>
                <w:iCs/>
                <w:sz w:val="24"/>
              </w:rPr>
            </w:pPr>
            <w:r w:rsidRPr="00A3389E">
              <w:rPr>
                <w:rFonts w:ascii="Times New Roman" w:hAnsi="Times New Roman" w:cs="Times New Roman"/>
                <w:iCs/>
                <w:sz w:val="24"/>
              </w:rPr>
              <w:t>Pre každú triedu expozícií uvedenú</w:t>
            </w:r>
            <w:r w:rsidR="00A3389E">
              <w:rPr>
                <w:rFonts w:ascii="Times New Roman" w:hAnsi="Times New Roman" w:cs="Times New Roman"/>
                <w:iCs/>
                <w:sz w:val="24"/>
              </w:rPr>
              <w:t xml:space="preserve"> v </w:t>
            </w:r>
            <w:r w:rsidRPr="00A3389E">
              <w:rPr>
                <w:rFonts w:ascii="Times New Roman" w:hAnsi="Times New Roman" w:cs="Times New Roman"/>
                <w:iCs/>
                <w:sz w:val="24"/>
              </w:rPr>
              <w:t>článku 147 ods. 2 CRR, okrem výnimiek uvedených vyššie, inštitúcie zverejňujú samostatný vzor</w:t>
            </w:r>
            <w:r w:rsidR="00A3389E">
              <w:rPr>
                <w:rFonts w:ascii="Times New Roman" w:hAnsi="Times New Roman" w:cs="Times New Roman"/>
                <w:iCs/>
                <w:sz w:val="24"/>
              </w:rPr>
              <w:t xml:space="preserve"> s </w:t>
            </w:r>
            <w:r w:rsidRPr="00A3389E">
              <w:rPr>
                <w:rFonts w:ascii="Times New Roman" w:hAnsi="Times New Roman" w:cs="Times New Roman"/>
                <w:iCs/>
                <w:sz w:val="24"/>
              </w:rPr>
              <w:t>ďalším rozčlenením týchto tried expozícií:</w:t>
            </w:r>
          </w:p>
          <w:p w14:paraId="7E96039C" w14:textId="237CE077"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w:t>
            </w:r>
            <w:r w:rsidR="00A3389E">
              <w:rPr>
                <w:rFonts w:ascii="Times New Roman" w:hAnsi="Times New Roman" w:cs="Times New Roman"/>
                <w:iCs/>
                <w:sz w:val="24"/>
              </w:rPr>
              <w:t xml:space="preserve"> v </w:t>
            </w:r>
            <w:r w:rsidRPr="00A3389E">
              <w:rPr>
                <w:rFonts w:ascii="Times New Roman" w:hAnsi="Times New Roman" w:cs="Times New Roman"/>
                <w:iCs/>
                <w:sz w:val="24"/>
              </w:rPr>
              <w:t>rámci triedy expozícií „expozície voči podnikateľským subjektom“ [článok 147 ods. 2 písm. c) CRR] rozčlenenie na:</w:t>
            </w:r>
          </w:p>
          <w:p w14:paraId="5C15709B" w14:textId="2D4B28E0"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expozície voči podnikateľským subjektom – MSP</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internou klasifikáciou expozícií voči podnikateľským subjektom na základe politík riadenia rizík;</w:t>
            </w:r>
          </w:p>
          <w:p w14:paraId="3D8DCABE" w14:textId="3EFD4917"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b)</w:t>
            </w:r>
            <w:r w:rsidRPr="00A3389E">
              <w:rPr>
                <w:rFonts w:ascii="Times New Roman" w:hAnsi="Times New Roman" w:cs="Times New Roman"/>
              </w:rPr>
              <w:tab/>
            </w:r>
            <w:r w:rsidRPr="00A3389E">
              <w:rPr>
                <w:rFonts w:ascii="Times New Roman" w:hAnsi="Times New Roman" w:cs="Times New Roman"/>
                <w:iCs/>
                <w:sz w:val="24"/>
              </w:rPr>
              <w:t>expozície voči podnikateľským subjektom – špecializované financovanie</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147 ods. 8 CRR;</w:t>
            </w:r>
          </w:p>
          <w:p w14:paraId="03A7AC1A" w14:textId="77777777"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expozície voči podnikateľským subjektom – iné.</w:t>
            </w:r>
          </w:p>
        </w:tc>
      </w:tr>
    </w:tbl>
    <w:p w14:paraId="60BD522F" w14:textId="77777777" w:rsidR="000646F8" w:rsidRPr="00A3389E" w:rsidRDefault="000646F8" w:rsidP="000646F8">
      <w:pPr>
        <w:spacing w:after="120"/>
        <w:rPr>
          <w:rFonts w:ascii="Times New Roman" w:hAnsi="Times New Roman" w:cs="Times New Roman"/>
          <w:sz w:val="24"/>
          <w:highlight w:val="yellow"/>
        </w:rPr>
      </w:pPr>
    </w:p>
    <w:p w14:paraId="5A06C431" w14:textId="77777777" w:rsidR="000646F8" w:rsidRPr="00A3389E" w:rsidRDefault="000646F8" w:rsidP="000646F8">
      <w:pPr>
        <w:spacing w:after="120"/>
        <w:rPr>
          <w:rFonts w:ascii="Times New Roman" w:hAnsi="Times New Roman" w:cs="Times New Roman"/>
          <w:sz w:val="24"/>
          <w:highlight w:val="yellow"/>
        </w:rPr>
      </w:pPr>
    </w:p>
    <w:p w14:paraId="50A173F3" w14:textId="17940C6B" w:rsidR="000646F8" w:rsidRPr="00A3389E" w:rsidRDefault="00CD362D" w:rsidP="000646F8">
      <w:pPr>
        <w:spacing w:after="120"/>
        <w:rPr>
          <w:rFonts w:ascii="Times New Roman" w:hAnsi="Times New Roman" w:cs="Times New Roman"/>
          <w:b/>
          <w:sz w:val="24"/>
        </w:rPr>
      </w:pPr>
      <w:r w:rsidRPr="00A3389E">
        <w:rPr>
          <w:rFonts w:ascii="Times New Roman" w:hAnsi="Times New Roman" w:cs="Times New Roman"/>
          <w:b/>
          <w:sz w:val="24"/>
        </w:rPr>
        <w:t>Vzor EU CR6-A – Prístup IRB – Rozsah použitia prístupov IRB</w:t>
      </w:r>
      <w:r w:rsidR="00A3389E">
        <w:rPr>
          <w:rFonts w:ascii="Times New Roman" w:hAnsi="Times New Roman" w:cs="Times New Roman"/>
          <w:b/>
          <w:sz w:val="24"/>
        </w:rPr>
        <w:t xml:space="preserve"> a </w:t>
      </w:r>
      <w:r w:rsidRPr="00A3389E">
        <w:rPr>
          <w:rFonts w:ascii="Times New Roman" w:hAnsi="Times New Roman" w:cs="Times New Roman"/>
          <w:b/>
          <w:sz w:val="24"/>
        </w:rPr>
        <w:t>SA. Vzor</w:t>
      </w:r>
      <w:r w:rsidR="00A3389E">
        <w:rPr>
          <w:rFonts w:ascii="Times New Roman" w:hAnsi="Times New Roman" w:cs="Times New Roman"/>
          <w:b/>
          <w:sz w:val="24"/>
        </w:rPr>
        <w:t xml:space="preserve"> s </w:t>
      </w:r>
      <w:r w:rsidRPr="00A3389E">
        <w:rPr>
          <w:rFonts w:ascii="Times New Roman" w:hAnsi="Times New Roman" w:cs="Times New Roman"/>
          <w:b/>
          <w:sz w:val="24"/>
        </w:rPr>
        <w:t>pevným formátom.</w:t>
      </w:r>
    </w:p>
    <w:p w14:paraId="5CEA1D8C" w14:textId="77777777" w:rsidR="000646F8" w:rsidRPr="00A3389E" w:rsidRDefault="000646F8" w:rsidP="000646F8">
      <w:pPr>
        <w:spacing w:after="120"/>
        <w:rPr>
          <w:rFonts w:ascii="Times New Roman" w:hAnsi="Times New Roman" w:cs="Times New Roman"/>
          <w:sz w:val="24"/>
        </w:rPr>
      </w:pPr>
    </w:p>
    <w:p w14:paraId="1C7C6FC2" w14:textId="4677A9FB" w:rsidR="000646F8" w:rsidRPr="00A3389E" w:rsidRDefault="00A3389E" w:rsidP="00A3389E">
      <w:pPr>
        <w:spacing w:after="120"/>
        <w:ind w:left="720" w:hanging="360"/>
        <w:jc w:val="both"/>
        <w:rPr>
          <w:rFonts w:ascii="Times New Roman" w:hAnsi="Times New Roman"/>
          <w:sz w:val="24"/>
        </w:rPr>
      </w:pPr>
      <w:r w:rsidRPr="00A3389E">
        <w:rPr>
          <w:rFonts w:ascii="Times New Roman" w:eastAsia="Calibri" w:hAnsi="Times New Roman" w:cs="Times New Roman"/>
          <w:sz w:val="24"/>
          <w:szCs w:val="22"/>
        </w:rPr>
        <w:t>3.</w:t>
      </w:r>
      <w:r w:rsidRPr="00A3389E">
        <w:rPr>
          <w:rFonts w:ascii="Times New Roman" w:eastAsia="Calibri" w:hAnsi="Times New Roman" w:cs="Times New Roman"/>
          <w:sz w:val="24"/>
          <w:szCs w:val="22"/>
        </w:rPr>
        <w:tab/>
      </w:r>
      <w:r w:rsidR="000646F8" w:rsidRPr="00A3389E">
        <w:rPr>
          <w:rFonts w:ascii="Times New Roman" w:hAnsi="Times New Roman"/>
          <w:sz w:val="24"/>
        </w:rPr>
        <w:t>Inštitúcie, ktoré vypočítavajú hodnoty rizikovo vážených expozícií podľa prístupu IRB ku kreditnému riziku, zverejňujú informácie uvedené</w:t>
      </w:r>
      <w:r>
        <w:rPr>
          <w:rFonts w:ascii="Times New Roman" w:hAnsi="Times New Roman"/>
          <w:sz w:val="24"/>
        </w:rPr>
        <w:t xml:space="preserve"> v </w:t>
      </w:r>
      <w:r w:rsidR="000646F8" w:rsidRPr="00A3389E">
        <w:rPr>
          <w:rFonts w:ascii="Times New Roman" w:hAnsi="Times New Roman"/>
          <w:sz w:val="24"/>
        </w:rPr>
        <w:t>článku 452 písm. b) CRR podľa pokynov uvedených nižšie</w:t>
      </w:r>
      <w:r>
        <w:rPr>
          <w:rFonts w:ascii="Times New Roman" w:hAnsi="Times New Roman"/>
          <w:sz w:val="24"/>
        </w:rPr>
        <w:t xml:space="preserve"> v </w:t>
      </w:r>
      <w:r w:rsidR="000646F8" w:rsidRPr="00A3389E">
        <w:rPr>
          <w:rFonts w:ascii="Times New Roman" w:hAnsi="Times New Roman"/>
          <w:sz w:val="24"/>
        </w:rPr>
        <w:t>tejto prílohe</w:t>
      </w:r>
      <w:r>
        <w:rPr>
          <w:rFonts w:ascii="Times New Roman" w:hAnsi="Times New Roman"/>
          <w:sz w:val="24"/>
        </w:rPr>
        <w:t xml:space="preserve"> s </w:t>
      </w:r>
      <w:r w:rsidR="000646F8" w:rsidRPr="00A3389E">
        <w:rPr>
          <w:rFonts w:ascii="Times New Roman" w:hAnsi="Times New Roman"/>
          <w:sz w:val="24"/>
        </w:rPr>
        <w:t>cieľom vyplniť vzor EU CR6-A, ktorý je uvedený</w:t>
      </w:r>
      <w:r>
        <w:rPr>
          <w:rFonts w:ascii="Times New Roman" w:hAnsi="Times New Roman"/>
          <w:sz w:val="24"/>
        </w:rPr>
        <w:t xml:space="preserve"> v </w:t>
      </w:r>
      <w:r w:rsidR="000646F8" w:rsidRPr="00A3389E">
        <w:rPr>
          <w:rFonts w:ascii="Times New Roman" w:hAnsi="Times New Roman"/>
          <w:sz w:val="24"/>
        </w:rPr>
        <w:t>prílohe XXI</w:t>
      </w:r>
      <w:r>
        <w:rPr>
          <w:rFonts w:ascii="Times New Roman" w:hAnsi="Times New Roman"/>
          <w:sz w:val="24"/>
        </w:rPr>
        <w:t xml:space="preserve"> k </w:t>
      </w:r>
      <w:r w:rsidR="000646F8" w:rsidRPr="00A3389E">
        <w:rPr>
          <w:rFonts w:ascii="Times New Roman" w:hAnsi="Times New Roman"/>
          <w:sz w:val="24"/>
        </w:rPr>
        <w:t>tomuto vykonávaciemu nariadeniu.</w:t>
      </w:r>
    </w:p>
    <w:p w14:paraId="6CD82E87" w14:textId="7C35A3E1" w:rsidR="000646F8" w:rsidRPr="00A3389E" w:rsidRDefault="00A3389E" w:rsidP="00A3389E">
      <w:pPr>
        <w:spacing w:after="120"/>
        <w:ind w:left="720" w:hanging="360"/>
        <w:jc w:val="both"/>
        <w:rPr>
          <w:rFonts w:ascii="Times New Roman" w:hAnsi="Times New Roman"/>
          <w:sz w:val="24"/>
        </w:rPr>
      </w:pPr>
      <w:r w:rsidRPr="00A3389E">
        <w:rPr>
          <w:rFonts w:ascii="Times New Roman" w:eastAsia="Calibri" w:hAnsi="Times New Roman" w:cs="Times New Roman"/>
          <w:sz w:val="24"/>
          <w:szCs w:val="22"/>
        </w:rPr>
        <w:t>4.</w:t>
      </w:r>
      <w:r w:rsidRPr="00A3389E">
        <w:rPr>
          <w:rFonts w:ascii="Times New Roman" w:eastAsia="Calibri" w:hAnsi="Times New Roman" w:cs="Times New Roman"/>
          <w:sz w:val="24"/>
          <w:szCs w:val="22"/>
        </w:rPr>
        <w:tab/>
      </w:r>
      <w:r w:rsidR="000646F8" w:rsidRPr="00A3389E">
        <w:rPr>
          <w:rFonts w:ascii="Times New Roman" w:hAnsi="Times New Roman"/>
          <w:sz w:val="24"/>
        </w:rPr>
        <w:t>Na účely tohto vzoru inštitúcie zaraďujú svoje expozície, na ktoré sa vzťahuje štandardizovaný prístup stanovený</w:t>
      </w:r>
      <w:r>
        <w:rPr>
          <w:rFonts w:ascii="Times New Roman" w:hAnsi="Times New Roman"/>
          <w:sz w:val="24"/>
        </w:rPr>
        <w:t xml:space="preserve"> v </w:t>
      </w:r>
      <w:r w:rsidR="000646F8" w:rsidRPr="00A3389E">
        <w:rPr>
          <w:rFonts w:ascii="Times New Roman" w:hAnsi="Times New Roman"/>
          <w:sz w:val="24"/>
        </w:rPr>
        <w:t>tretej časti hlave II kapitole 2 alebo prístup IRB stanovený</w:t>
      </w:r>
      <w:r>
        <w:rPr>
          <w:rFonts w:ascii="Times New Roman" w:hAnsi="Times New Roman"/>
          <w:sz w:val="24"/>
        </w:rPr>
        <w:t xml:space="preserve"> v </w:t>
      </w:r>
      <w:r w:rsidR="000646F8" w:rsidRPr="00A3389E">
        <w:rPr>
          <w:rFonts w:ascii="Times New Roman" w:hAnsi="Times New Roman"/>
          <w:sz w:val="24"/>
        </w:rPr>
        <w:t>tretej časti hlave II kapitole 3, do tried expozícií vymedzených podľa prístupu IRB.</w:t>
      </w:r>
      <w:r>
        <w:rPr>
          <w:rFonts w:ascii="Times New Roman" w:hAnsi="Times New Roman"/>
          <w:sz w:val="24"/>
        </w:rPr>
        <w:t xml:space="preserve"> Z </w:t>
      </w:r>
      <w:r w:rsidR="000646F8" w:rsidRPr="00A3389E">
        <w:rPr>
          <w:rFonts w:ascii="Times New Roman" w:hAnsi="Times New Roman"/>
          <w:sz w:val="24"/>
        </w:rPr>
        <w:t>tohto vzoru sú vylúčené expozície voči kreditnému riziku protistrany (CCR) (tretia časť hlava II kapitola 6 CRR)</w:t>
      </w:r>
      <w:r>
        <w:rPr>
          <w:rFonts w:ascii="Times New Roman" w:hAnsi="Times New Roman"/>
          <w:sz w:val="24"/>
        </w:rPr>
        <w:t xml:space="preserve"> a </w:t>
      </w:r>
      <w:r w:rsidR="000646F8" w:rsidRPr="00A3389E">
        <w:rPr>
          <w:rFonts w:ascii="Times New Roman" w:hAnsi="Times New Roman"/>
          <w:sz w:val="24"/>
        </w:rPr>
        <w:t>sekuritizačné expozície.</w:t>
      </w:r>
    </w:p>
    <w:p w14:paraId="3C7DF511" w14:textId="03F13763" w:rsidR="000646F8" w:rsidRPr="00A3389E" w:rsidRDefault="00A3389E" w:rsidP="00A3389E">
      <w:pPr>
        <w:spacing w:after="120"/>
        <w:ind w:left="714" w:hanging="357"/>
        <w:jc w:val="both"/>
        <w:rPr>
          <w:rFonts w:ascii="Times New Roman" w:hAnsi="Times New Roman"/>
          <w:sz w:val="24"/>
        </w:rPr>
      </w:pPr>
      <w:r w:rsidRPr="00A3389E">
        <w:rPr>
          <w:rFonts w:ascii="Times New Roman" w:eastAsia="Calibri" w:hAnsi="Times New Roman" w:cs="Times New Roman"/>
          <w:sz w:val="24"/>
          <w:szCs w:val="22"/>
        </w:rPr>
        <w:t>5.</w:t>
      </w:r>
      <w:r w:rsidRPr="00A3389E">
        <w:rPr>
          <w:rFonts w:ascii="Times New Roman" w:eastAsia="Calibri" w:hAnsi="Times New Roman" w:cs="Times New Roman"/>
          <w:sz w:val="24"/>
          <w:szCs w:val="22"/>
        </w:rPr>
        <w:tab/>
      </w:r>
      <w:r w:rsidR="000646F8" w:rsidRPr="00A3389E">
        <w:rPr>
          <w:rFonts w:ascii="Times New Roman" w:hAnsi="Times New Roman"/>
          <w:sz w:val="24"/>
        </w:rPr>
        <w:t>Inštitúcie vysvetľujú</w:t>
      </w:r>
      <w:r>
        <w:rPr>
          <w:rFonts w:ascii="Times New Roman" w:hAnsi="Times New Roman"/>
          <w:sz w:val="24"/>
        </w:rPr>
        <w:t xml:space="preserve"> v </w:t>
      </w:r>
      <w:r w:rsidR="000646F8" w:rsidRPr="00A3389E">
        <w:rPr>
          <w:rFonts w:ascii="Times New Roman" w:hAnsi="Times New Roman"/>
          <w:sz w:val="24"/>
        </w:rPr>
        <w:t>sprievodnom opise</w:t>
      </w:r>
      <w:r>
        <w:rPr>
          <w:rFonts w:ascii="Times New Roman" w:hAnsi="Times New Roman"/>
          <w:sz w:val="24"/>
        </w:rPr>
        <w:t xml:space="preserve"> k </w:t>
      </w:r>
      <w:r w:rsidR="000646F8" w:rsidRPr="00A3389E">
        <w:rPr>
          <w:rFonts w:ascii="Times New Roman" w:hAnsi="Times New Roman"/>
          <w:sz w:val="24"/>
        </w:rPr>
        <w:t>danému vzoru akýkoľvek významný rozdiel medzi hodnotou expozície</w:t>
      </w:r>
      <w:r>
        <w:rPr>
          <w:rFonts w:ascii="Times New Roman" w:hAnsi="Times New Roman"/>
          <w:sz w:val="24"/>
        </w:rPr>
        <w:t xml:space="preserve"> v </w:t>
      </w:r>
      <w:r w:rsidR="000646F8" w:rsidRPr="00A3389E">
        <w:rPr>
          <w:rFonts w:ascii="Times New Roman" w:hAnsi="Times New Roman"/>
          <w:sz w:val="24"/>
        </w:rPr>
        <w:t>zmysle vymedzenia</w:t>
      </w:r>
      <w:r>
        <w:rPr>
          <w:rFonts w:ascii="Times New Roman" w:hAnsi="Times New Roman"/>
          <w:sz w:val="24"/>
        </w:rPr>
        <w:t xml:space="preserve"> v </w:t>
      </w:r>
      <w:r w:rsidR="000646F8" w:rsidRPr="00A3389E">
        <w:rPr>
          <w:rFonts w:ascii="Times New Roman" w:hAnsi="Times New Roman"/>
          <w:sz w:val="24"/>
        </w:rPr>
        <w:t>článku 166 pre expozície podľa IRB, ako sa uvádza</w:t>
      </w:r>
      <w:r>
        <w:rPr>
          <w:rFonts w:ascii="Times New Roman" w:hAnsi="Times New Roman"/>
          <w:sz w:val="24"/>
        </w:rPr>
        <w:t xml:space="preserve"> v </w:t>
      </w:r>
      <w:r w:rsidR="000646F8" w:rsidRPr="00A3389E">
        <w:rPr>
          <w:rFonts w:ascii="Times New Roman" w:hAnsi="Times New Roman"/>
          <w:sz w:val="24"/>
        </w:rPr>
        <w:t>stĺpci</w:t>
      </w:r>
      <w:r>
        <w:rPr>
          <w:rFonts w:ascii="Times New Roman" w:hAnsi="Times New Roman"/>
          <w:sz w:val="24"/>
        </w:rPr>
        <w:t xml:space="preserve"> a </w:t>
      </w:r>
      <w:r w:rsidR="000646F8" w:rsidRPr="00A3389E">
        <w:rPr>
          <w:rFonts w:ascii="Times New Roman" w:hAnsi="Times New Roman"/>
          <w:sz w:val="24"/>
        </w:rPr>
        <w:t>vzoru,</w:t>
      </w:r>
      <w:r>
        <w:rPr>
          <w:rFonts w:ascii="Times New Roman" w:hAnsi="Times New Roman"/>
          <w:sz w:val="24"/>
        </w:rPr>
        <w:t xml:space="preserve"> a </w:t>
      </w:r>
      <w:r w:rsidR="000646F8" w:rsidRPr="00A3389E">
        <w:rPr>
          <w:rFonts w:ascii="Times New Roman" w:hAnsi="Times New Roman"/>
          <w:sz w:val="24"/>
        </w:rPr>
        <w:t>hodnotou expozície pre tie isté expozície</w:t>
      </w:r>
      <w:r>
        <w:rPr>
          <w:rFonts w:ascii="Times New Roman" w:hAnsi="Times New Roman"/>
          <w:sz w:val="24"/>
        </w:rPr>
        <w:t xml:space="preserve"> v </w:t>
      </w:r>
      <w:r w:rsidR="000646F8" w:rsidRPr="00A3389E">
        <w:rPr>
          <w:rFonts w:ascii="Times New Roman" w:hAnsi="Times New Roman"/>
          <w:sz w:val="24"/>
        </w:rPr>
        <w:t>súlade</w:t>
      </w:r>
      <w:r>
        <w:rPr>
          <w:rFonts w:ascii="Times New Roman" w:hAnsi="Times New Roman"/>
          <w:sz w:val="24"/>
        </w:rPr>
        <w:t xml:space="preserve"> s </w:t>
      </w:r>
      <w:r w:rsidR="000646F8" w:rsidRPr="00A3389E">
        <w:rPr>
          <w:rFonts w:ascii="Times New Roman" w:hAnsi="Times New Roman"/>
          <w:sz w:val="24"/>
        </w:rPr>
        <w:t>článkom 429 ods. 4 CRR, ako sa uvádza</w:t>
      </w:r>
      <w:r>
        <w:rPr>
          <w:rFonts w:ascii="Times New Roman" w:hAnsi="Times New Roman"/>
          <w:sz w:val="24"/>
        </w:rPr>
        <w:t xml:space="preserve"> v </w:t>
      </w:r>
      <w:r w:rsidR="000646F8" w:rsidRPr="00A3389E">
        <w:rPr>
          <w:rFonts w:ascii="Times New Roman" w:hAnsi="Times New Roman"/>
          <w:sz w:val="24"/>
        </w:rPr>
        <w:t xml:space="preserve">stĺpcoch </w:t>
      </w:r>
      <w:r w:rsidR="000646F8" w:rsidRPr="00A3389E">
        <w:rPr>
          <w:rFonts w:ascii="Times New Roman" w:hAnsi="Times New Roman"/>
          <w:i/>
          <w:sz w:val="24"/>
        </w:rPr>
        <w:t>b</w:t>
      </w:r>
      <w:r>
        <w:rPr>
          <w:rFonts w:ascii="Times New Roman" w:hAnsi="Times New Roman"/>
          <w:sz w:val="24"/>
        </w:rPr>
        <w:t xml:space="preserve"> a </w:t>
      </w:r>
      <w:r w:rsidR="000646F8" w:rsidRPr="00A3389E">
        <w:rPr>
          <w:rFonts w:ascii="Times New Roman" w:hAnsi="Times New Roman"/>
          <w:i/>
          <w:sz w:val="24"/>
        </w:rPr>
        <w:t>d</w:t>
      </w:r>
      <w:r w:rsidR="000646F8" w:rsidRPr="00A3389E">
        <w:rPr>
          <w:rFonts w:ascii="Times New Roman" w:hAnsi="Times New Roman"/>
          <w:sz w:val="24"/>
        </w:rPr>
        <w:t xml:space="preserve"> tohto vzoru.</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A3389E"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40FDDA06" w:rsidR="000646F8" w:rsidRPr="00A3389E" w:rsidRDefault="000646F8" w:rsidP="00155C96">
            <w:pPr>
              <w:spacing w:after="120"/>
              <w:rPr>
                <w:rFonts w:ascii="Times New Roman" w:hAnsi="Times New Roman" w:cs="Times New Roman"/>
                <w:b/>
                <w:sz w:val="24"/>
                <w:highlight w:val="yellow"/>
              </w:rPr>
            </w:pPr>
            <w:r w:rsidRPr="00A3389E">
              <w:rPr>
                <w:rFonts w:ascii="Times New Roman" w:hAnsi="Times New Roman" w:cs="Times New Roman"/>
                <w:b/>
                <w:sz w:val="24"/>
                <w:highlight w:val="lightGray"/>
              </w:rPr>
              <w:t>Odkazy na právne predpisy</w:t>
            </w:r>
            <w:r w:rsidR="00A3389E">
              <w:rPr>
                <w:rFonts w:ascii="Times New Roman" w:hAnsi="Times New Roman" w:cs="Times New Roman"/>
                <w:b/>
                <w:sz w:val="24"/>
                <w:highlight w:val="lightGray"/>
              </w:rPr>
              <w:t xml:space="preserve"> a </w:t>
            </w:r>
            <w:r w:rsidRPr="00A3389E">
              <w:rPr>
                <w:rFonts w:ascii="Times New Roman" w:hAnsi="Times New Roman" w:cs="Times New Roman"/>
                <w:b/>
                <w:sz w:val="24"/>
                <w:highlight w:val="lightGray"/>
              </w:rPr>
              <w:t>pokyny</w:t>
            </w:r>
          </w:p>
        </w:tc>
      </w:tr>
      <w:tr w:rsidR="000646F8" w:rsidRPr="00A3389E"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A3389E" w:rsidRDefault="000646F8" w:rsidP="00155C96">
            <w:pPr>
              <w:autoSpaceDE w:val="0"/>
              <w:autoSpaceDN w:val="0"/>
              <w:adjustRightInd w:val="0"/>
              <w:spacing w:after="120"/>
              <w:rPr>
                <w:rFonts w:ascii="Times New Roman" w:hAnsi="Times New Roman" w:cs="Times New Roman"/>
                <w:b/>
                <w:sz w:val="24"/>
                <w:highlight w:val="lightGray"/>
              </w:rPr>
            </w:pPr>
            <w:r w:rsidRPr="00A3389E">
              <w:rPr>
                <w:rFonts w:ascii="Times New Roman" w:hAnsi="Times New Roman" w:cs="Times New Roman"/>
                <w:b/>
                <w:sz w:val="24"/>
                <w:highlight w:val="lightGray"/>
              </w:rPr>
              <w:t>Odkaz na stĺpec</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A3389E" w:rsidRDefault="000646F8" w:rsidP="00155C96">
            <w:pPr>
              <w:autoSpaceDE w:val="0"/>
              <w:autoSpaceDN w:val="0"/>
              <w:adjustRightInd w:val="0"/>
              <w:spacing w:after="120"/>
              <w:rPr>
                <w:rFonts w:ascii="Times New Roman" w:hAnsi="Times New Roman" w:cs="Times New Roman"/>
                <w:color w:val="000000"/>
                <w:sz w:val="24"/>
                <w:highlight w:val="lightGray"/>
              </w:rPr>
            </w:pPr>
            <w:r w:rsidRPr="00A3389E">
              <w:rPr>
                <w:rFonts w:ascii="Times New Roman" w:hAnsi="Times New Roman" w:cs="Times New Roman"/>
                <w:b/>
                <w:sz w:val="24"/>
                <w:highlight w:val="lightGray"/>
              </w:rPr>
              <w:t>Vysvetlenie</w:t>
            </w:r>
          </w:p>
        </w:tc>
      </w:tr>
      <w:tr w:rsidR="000646F8" w:rsidRPr="00A3389E"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21ACCBC" w:rsidR="000646F8" w:rsidRPr="00A3389E" w:rsidRDefault="000646F8" w:rsidP="00155C96">
            <w:pPr>
              <w:autoSpaceDE w:val="0"/>
              <w:autoSpaceDN w:val="0"/>
              <w:adjustRightInd w:val="0"/>
              <w:spacing w:after="120"/>
              <w:jc w:val="both"/>
              <w:rPr>
                <w:rFonts w:ascii="Times New Roman" w:hAnsi="Times New Roman" w:cs="Times New Roman"/>
                <w:b/>
                <w:spacing w:val="-2"/>
                <w:sz w:val="24"/>
              </w:rPr>
            </w:pPr>
            <w:r w:rsidRPr="00A3389E">
              <w:rPr>
                <w:rFonts w:ascii="Times New Roman" w:hAnsi="Times New Roman" w:cs="Times New Roman"/>
                <w:b/>
                <w:sz w:val="24"/>
              </w:rPr>
              <w:t>Hodnota expozície</w:t>
            </w:r>
            <w:r w:rsidR="00A3389E">
              <w:rPr>
                <w:rFonts w:ascii="Times New Roman" w:hAnsi="Times New Roman" w:cs="Times New Roman"/>
                <w:b/>
                <w:sz w:val="24"/>
              </w:rPr>
              <w:t xml:space="preserve"> v </w:t>
            </w:r>
            <w:r w:rsidRPr="00A3389E">
              <w:rPr>
                <w:rFonts w:ascii="Times New Roman" w:hAnsi="Times New Roman" w:cs="Times New Roman"/>
                <w:b/>
                <w:sz w:val="24"/>
              </w:rPr>
              <w:t>zmysle vymedzenia</w:t>
            </w:r>
            <w:r w:rsidR="00A3389E">
              <w:rPr>
                <w:rFonts w:ascii="Times New Roman" w:hAnsi="Times New Roman" w:cs="Times New Roman"/>
                <w:b/>
                <w:sz w:val="24"/>
              </w:rPr>
              <w:t xml:space="preserve"> v </w:t>
            </w:r>
            <w:r w:rsidRPr="00A3389E">
              <w:rPr>
                <w:rFonts w:ascii="Times New Roman" w:hAnsi="Times New Roman" w:cs="Times New Roman"/>
                <w:b/>
                <w:sz w:val="24"/>
              </w:rPr>
              <w:t>článku 166 CRR pre expozície, na ktoré sa uplatňuje prístup IRB</w:t>
            </w:r>
          </w:p>
          <w:p w14:paraId="25F0B59B" w14:textId="495667DA" w:rsidR="000646F8" w:rsidRPr="00A3389E" w:rsidRDefault="000646F8" w:rsidP="00155C96">
            <w:pPr>
              <w:autoSpaceDE w:val="0"/>
              <w:autoSpaceDN w:val="0"/>
              <w:adjustRightInd w:val="0"/>
              <w:spacing w:after="120"/>
              <w:jc w:val="both"/>
              <w:rPr>
                <w:rFonts w:ascii="Times New Roman" w:hAnsi="Times New Roman" w:cs="Times New Roman"/>
                <w:spacing w:val="-2"/>
                <w:sz w:val="24"/>
              </w:rPr>
            </w:pPr>
            <w:r w:rsidRPr="00A3389E">
              <w:rPr>
                <w:rFonts w:ascii="Times New Roman" w:hAnsi="Times New Roman" w:cs="Times New Roman"/>
                <w:sz w:val="24"/>
              </w:rPr>
              <w:t>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tomto stĺpci hodnotu expozície</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166 CRR len pre tie expozície, na ktoré sa uplatňuje prístup IRB.</w:t>
            </w:r>
          </w:p>
        </w:tc>
      </w:tr>
      <w:tr w:rsidR="000646F8" w:rsidRPr="00A3389E"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1310417F" w:rsidR="000646F8" w:rsidRPr="00A3389E" w:rsidRDefault="000646F8" w:rsidP="00155C96">
            <w:pPr>
              <w:autoSpaceDE w:val="0"/>
              <w:autoSpaceDN w:val="0"/>
              <w:adjustRightInd w:val="0"/>
              <w:spacing w:after="120"/>
              <w:jc w:val="both"/>
              <w:rPr>
                <w:rFonts w:ascii="Times New Roman" w:hAnsi="Times New Roman" w:cs="Times New Roman"/>
                <w:b/>
                <w:spacing w:val="-2"/>
                <w:sz w:val="24"/>
              </w:rPr>
            </w:pPr>
            <w:r w:rsidRPr="00A3389E">
              <w:rPr>
                <w:rFonts w:ascii="Times New Roman" w:hAnsi="Times New Roman" w:cs="Times New Roman"/>
                <w:b/>
                <w:sz w:val="24"/>
              </w:rPr>
              <w:t>Celková hodnota expozície pre expozície, na ktoré sa uplatňuje štandardizovaný prístup</w:t>
            </w:r>
            <w:r w:rsidR="00A3389E">
              <w:rPr>
                <w:rFonts w:ascii="Times New Roman" w:hAnsi="Times New Roman" w:cs="Times New Roman"/>
                <w:b/>
                <w:sz w:val="24"/>
              </w:rPr>
              <w:t xml:space="preserve"> a </w:t>
            </w:r>
            <w:r w:rsidRPr="00A3389E">
              <w:rPr>
                <w:rFonts w:ascii="Times New Roman" w:hAnsi="Times New Roman" w:cs="Times New Roman"/>
                <w:b/>
                <w:sz w:val="24"/>
              </w:rPr>
              <w:t>prístup IRB</w:t>
            </w:r>
          </w:p>
          <w:p w14:paraId="14EC010D" w14:textId="2474D675"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používajú hodnotu expozície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429 ods. 4 CRR</w:t>
            </w:r>
            <w:r w:rsidR="00A3389E">
              <w:rPr>
                <w:rFonts w:ascii="Times New Roman" w:hAnsi="Times New Roman" w:cs="Times New Roman"/>
                <w:sz w:val="24"/>
              </w:rPr>
              <w:t xml:space="preserve"> s </w:t>
            </w:r>
            <w:r w:rsidRPr="00A3389E">
              <w:rPr>
                <w:rFonts w:ascii="Times New Roman" w:hAnsi="Times New Roman" w:cs="Times New Roman"/>
                <w:sz w:val="24"/>
              </w:rPr>
              <w:t>cieľom zverejňovať celkovú hodnotu expozície,</w:t>
            </w:r>
            <w:r w:rsidR="00A3389E">
              <w:rPr>
                <w:rFonts w:ascii="Times New Roman" w:hAnsi="Times New Roman" w:cs="Times New Roman"/>
                <w:sz w:val="24"/>
              </w:rPr>
              <w:t xml:space="preserve"> a </w:t>
            </w:r>
            <w:r w:rsidRPr="00A3389E">
              <w:rPr>
                <w:rFonts w:ascii="Times New Roman" w:hAnsi="Times New Roman" w:cs="Times New Roman"/>
                <w:sz w:val="24"/>
              </w:rPr>
              <w:t xml:space="preserve">to vrátane expozícií podľa štandardizovaného prístupu, ako aj expozícií podľa prístupu IRB. </w:t>
            </w:r>
          </w:p>
        </w:tc>
      </w:tr>
      <w:tr w:rsidR="000646F8" w:rsidRPr="00A3389E"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A3389E" w:rsidRDefault="000646F8" w:rsidP="00155C96">
            <w:pPr>
              <w:autoSpaceDE w:val="0"/>
              <w:autoSpaceDN w:val="0"/>
              <w:adjustRightInd w:val="0"/>
              <w:spacing w:after="120"/>
              <w:jc w:val="both"/>
              <w:rPr>
                <w:rFonts w:ascii="Times New Roman" w:hAnsi="Times New Roman" w:cs="Times New Roman"/>
                <w:b/>
                <w:spacing w:val="-2"/>
                <w:sz w:val="24"/>
              </w:rPr>
            </w:pPr>
            <w:r w:rsidRPr="00A3389E">
              <w:rPr>
                <w:rFonts w:ascii="Times New Roman" w:hAnsi="Times New Roman" w:cs="Times New Roman"/>
                <w:b/>
                <w:sz w:val="24"/>
              </w:rPr>
              <w:t>Percentuálny podiel celkovej hodnoty expozície, na ktorú sa uplatňuje trvalé čiastočné používanie prístupu SA (%)</w:t>
            </w:r>
          </w:p>
          <w:p w14:paraId="488DCA7D" w14:textId="078CEB32"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Časť expozície pri každej triede expozícií, na ktorú sa vzťahuje štandardizovaný prístup (expozícia, na ktorú sa vzťahuje štandardizovaný prístup stanovený</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2</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rozsahom povolenia na trvalé čiastočné používanie štandardizovaného prístupu, ktoré udelil príslušný orgán</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150 CRR),</w:t>
            </w:r>
            <w:r w:rsidR="00A3389E">
              <w:rPr>
                <w:rFonts w:ascii="Times New Roman" w:hAnsi="Times New Roman" w:cs="Times New Roman"/>
                <w:sz w:val="24"/>
              </w:rPr>
              <w:t xml:space="preserve"> v </w:t>
            </w:r>
            <w:r w:rsidRPr="00A3389E">
              <w:rPr>
                <w:rFonts w:ascii="Times New Roman" w:hAnsi="Times New Roman" w:cs="Times New Roman"/>
                <w:sz w:val="24"/>
              </w:rPr>
              <w:t>pomere</w:t>
            </w:r>
            <w:r w:rsidR="00A3389E">
              <w:rPr>
                <w:rFonts w:ascii="Times New Roman" w:hAnsi="Times New Roman" w:cs="Times New Roman"/>
                <w:sz w:val="24"/>
              </w:rPr>
              <w:t xml:space="preserve"> k </w:t>
            </w:r>
            <w:r w:rsidRPr="00A3389E">
              <w:rPr>
                <w:rFonts w:ascii="Times New Roman" w:hAnsi="Times New Roman" w:cs="Times New Roman"/>
                <w:sz w:val="24"/>
              </w:rPr>
              <w:t>celkovej expozícii</w:t>
            </w:r>
            <w:r w:rsidR="00A3389E">
              <w:rPr>
                <w:rFonts w:ascii="Times New Roman" w:hAnsi="Times New Roman" w:cs="Times New Roman"/>
                <w:sz w:val="24"/>
              </w:rPr>
              <w:t xml:space="preserve"> v </w:t>
            </w:r>
            <w:r w:rsidRPr="00A3389E">
              <w:rPr>
                <w:rFonts w:ascii="Times New Roman" w:hAnsi="Times New Roman" w:cs="Times New Roman"/>
                <w:sz w:val="24"/>
              </w:rPr>
              <w:t>danej triede expozícií, ako sa uvádza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b</w:t>
            </w:r>
            <w:r w:rsidRPr="00A3389E">
              <w:rPr>
                <w:rFonts w:ascii="Times New Roman" w:hAnsi="Times New Roman" w:cs="Times New Roman"/>
                <w:sz w:val="24"/>
              </w:rPr>
              <w:t xml:space="preserve"> tohto vzoru.</w:t>
            </w:r>
          </w:p>
        </w:tc>
      </w:tr>
      <w:tr w:rsidR="000646F8" w:rsidRPr="00A3389E"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A3389E" w:rsidRDefault="000646F8" w:rsidP="00155C96">
            <w:pPr>
              <w:autoSpaceDE w:val="0"/>
              <w:autoSpaceDN w:val="0"/>
              <w:adjustRightInd w:val="0"/>
              <w:spacing w:after="120"/>
              <w:rPr>
                <w:rFonts w:ascii="Times New Roman" w:hAnsi="Times New Roman" w:cs="Times New Roman"/>
                <w:b/>
                <w:spacing w:val="-2"/>
                <w:sz w:val="24"/>
              </w:rPr>
            </w:pPr>
            <w:r w:rsidRPr="00A3389E">
              <w:rPr>
                <w:rFonts w:ascii="Times New Roman" w:hAnsi="Times New Roman" w:cs="Times New Roman"/>
                <w:b/>
                <w:sz w:val="24"/>
              </w:rPr>
              <w:t>Percentuálny podiel celkovej hodnoty expozície, na ktorú sa uplatňuje prístup IRB (%)</w:t>
            </w:r>
          </w:p>
          <w:p w14:paraId="76473BF7" w14:textId="5B1E916B" w:rsidR="000646F8" w:rsidRPr="00A3389E" w:rsidRDefault="000646F8" w:rsidP="00155C96">
            <w:pPr>
              <w:autoSpaceDE w:val="0"/>
              <w:autoSpaceDN w:val="0"/>
              <w:adjustRightInd w:val="0"/>
              <w:spacing w:after="120"/>
              <w:jc w:val="both"/>
              <w:rPr>
                <w:rFonts w:ascii="Times New Roman" w:hAnsi="Times New Roman" w:cs="Times New Roman"/>
                <w:spacing w:val="-2"/>
                <w:sz w:val="24"/>
              </w:rPr>
            </w:pPr>
            <w:r w:rsidRPr="00A3389E">
              <w:rPr>
                <w:rFonts w:ascii="Times New Roman" w:hAnsi="Times New Roman" w:cs="Times New Roman"/>
                <w:sz w:val="24"/>
              </w:rPr>
              <w:t>Časť expozície pri každej triede expozícií, na ktorú sa uplatňuje prístup IRB (expozícia, na ktorú sa uplatňuje prístup IRB stanovený</w:t>
            </w:r>
            <w:r w:rsidR="00A3389E">
              <w:rPr>
                <w:rFonts w:ascii="Times New Roman" w:hAnsi="Times New Roman" w:cs="Times New Roman"/>
                <w:sz w:val="24"/>
              </w:rPr>
              <w:t xml:space="preserve"> v </w:t>
            </w:r>
            <w:r w:rsidRPr="00A3389E">
              <w:rPr>
                <w:rFonts w:ascii="Times New Roman" w:hAnsi="Times New Roman" w:cs="Times New Roman"/>
                <w:sz w:val="24"/>
              </w:rPr>
              <w:t xml:space="preserve">tretej časti hlave II </w:t>
            </w:r>
            <w:r w:rsidRPr="00A3389E">
              <w:rPr>
                <w:rFonts w:ascii="Times New Roman" w:hAnsi="Times New Roman" w:cs="Times New Roman"/>
                <w:sz w:val="24"/>
              </w:rPr>
              <w:lastRenderedPageBreak/>
              <w:t>kapitole 3,</w:t>
            </w:r>
            <w:r w:rsidR="00A3389E">
              <w:rPr>
                <w:rFonts w:ascii="Times New Roman" w:hAnsi="Times New Roman" w:cs="Times New Roman"/>
                <w:sz w:val="24"/>
              </w:rPr>
              <w:t xml:space="preserve"> v </w:t>
            </w:r>
            <w:r w:rsidRPr="00A3389E">
              <w:rPr>
                <w:rFonts w:ascii="Times New Roman" w:hAnsi="Times New Roman" w:cs="Times New Roman"/>
                <w:sz w:val="24"/>
              </w:rPr>
              <w:t>pomere</w:t>
            </w:r>
            <w:r w:rsidR="00A3389E">
              <w:rPr>
                <w:rFonts w:ascii="Times New Roman" w:hAnsi="Times New Roman" w:cs="Times New Roman"/>
                <w:sz w:val="24"/>
              </w:rPr>
              <w:t xml:space="preserve"> k </w:t>
            </w:r>
            <w:r w:rsidRPr="00A3389E">
              <w:rPr>
                <w:rFonts w:ascii="Times New Roman" w:hAnsi="Times New Roman" w:cs="Times New Roman"/>
                <w:sz w:val="24"/>
              </w:rPr>
              <w:t>celkovej expozícii</w:t>
            </w:r>
            <w:r w:rsidR="00A3389E">
              <w:rPr>
                <w:rFonts w:ascii="Times New Roman" w:hAnsi="Times New Roman" w:cs="Times New Roman"/>
                <w:sz w:val="24"/>
              </w:rPr>
              <w:t xml:space="preserve"> v </w:t>
            </w:r>
            <w:r w:rsidRPr="00A3389E">
              <w:rPr>
                <w:rFonts w:ascii="Times New Roman" w:hAnsi="Times New Roman" w:cs="Times New Roman"/>
                <w:sz w:val="24"/>
              </w:rPr>
              <w:t>danej triede expozícií), pri zohľadnení rozsahu povolenia, ktoré udelil príslušný orgán na používanie prístupu IRB</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143 CRR,</w:t>
            </w:r>
            <w:r w:rsidR="00A3389E">
              <w:rPr>
                <w:rFonts w:ascii="Times New Roman" w:hAnsi="Times New Roman" w:cs="Times New Roman"/>
                <w:sz w:val="24"/>
              </w:rPr>
              <w:t xml:space="preserve"> v </w:t>
            </w:r>
            <w:r w:rsidRPr="00A3389E">
              <w:rPr>
                <w:rFonts w:ascii="Times New Roman" w:hAnsi="Times New Roman" w:cs="Times New Roman"/>
                <w:sz w:val="24"/>
              </w:rPr>
              <w:t>pomere</w:t>
            </w:r>
            <w:r w:rsidR="00A3389E">
              <w:rPr>
                <w:rFonts w:ascii="Times New Roman" w:hAnsi="Times New Roman" w:cs="Times New Roman"/>
                <w:sz w:val="24"/>
              </w:rPr>
              <w:t xml:space="preserve"> k </w:t>
            </w:r>
            <w:r w:rsidRPr="00A3389E">
              <w:rPr>
                <w:rFonts w:ascii="Times New Roman" w:hAnsi="Times New Roman" w:cs="Times New Roman"/>
                <w:sz w:val="24"/>
              </w:rPr>
              <w:t>celkovej expozícii</w:t>
            </w:r>
            <w:r w:rsidR="00A3389E">
              <w:rPr>
                <w:rFonts w:ascii="Times New Roman" w:hAnsi="Times New Roman" w:cs="Times New Roman"/>
                <w:sz w:val="24"/>
              </w:rPr>
              <w:t xml:space="preserve"> v </w:t>
            </w:r>
            <w:r w:rsidRPr="00A3389E">
              <w:rPr>
                <w:rFonts w:ascii="Times New Roman" w:hAnsi="Times New Roman" w:cs="Times New Roman"/>
                <w:sz w:val="24"/>
              </w:rPr>
              <w:t>danej triede expozícií, ako sa uvádza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b</w:t>
            </w:r>
            <w:r w:rsidRPr="00A3389E">
              <w:rPr>
                <w:rFonts w:ascii="Times New Roman" w:hAnsi="Times New Roman" w:cs="Times New Roman"/>
                <w:sz w:val="24"/>
              </w:rPr>
              <w:t xml:space="preserve"> tohto vzoru. To zahŕňa expozície, pri ktorých inštitúcie majú povolenie používať alebo nepoužívať svoje vlastné odhady LGD</w:t>
            </w:r>
            <w:r w:rsidR="00A3389E">
              <w:rPr>
                <w:rFonts w:ascii="Times New Roman" w:hAnsi="Times New Roman" w:cs="Times New Roman"/>
                <w:sz w:val="24"/>
              </w:rPr>
              <w:t xml:space="preserve"> a </w:t>
            </w:r>
            <w:r w:rsidRPr="00A3389E">
              <w:rPr>
                <w:rFonts w:ascii="Times New Roman" w:hAnsi="Times New Roman" w:cs="Times New Roman"/>
                <w:sz w:val="24"/>
              </w:rPr>
              <w:t>konverzných faktorov (F-IRB</w:t>
            </w:r>
            <w:r w:rsidR="00A3389E">
              <w:rPr>
                <w:rFonts w:ascii="Times New Roman" w:hAnsi="Times New Roman" w:cs="Times New Roman"/>
                <w:sz w:val="24"/>
              </w:rPr>
              <w:t xml:space="preserve"> a </w:t>
            </w:r>
            <w:r w:rsidRPr="00A3389E">
              <w:rPr>
                <w:rFonts w:ascii="Times New Roman" w:hAnsi="Times New Roman" w:cs="Times New Roman"/>
                <w:sz w:val="24"/>
              </w:rPr>
              <w:t>A-IRB), vrátane prístupu orgánov dohľadu spočívajúceho</w:t>
            </w:r>
            <w:r w:rsidR="00A3389E">
              <w:rPr>
                <w:rFonts w:ascii="Times New Roman" w:hAnsi="Times New Roman" w:cs="Times New Roman"/>
                <w:sz w:val="24"/>
              </w:rPr>
              <w:t xml:space="preserve"> v </w:t>
            </w:r>
            <w:r w:rsidRPr="00A3389E">
              <w:rPr>
                <w:rFonts w:ascii="Times New Roman" w:hAnsi="Times New Roman" w:cs="Times New Roman"/>
                <w:sz w:val="24"/>
              </w:rPr>
              <w:t>zaradení expozícií vo forme špecializovaného financovania</w:t>
            </w:r>
            <w:r w:rsidR="00A3389E">
              <w:rPr>
                <w:rFonts w:ascii="Times New Roman" w:hAnsi="Times New Roman" w:cs="Times New Roman"/>
                <w:sz w:val="24"/>
              </w:rPr>
              <w:t xml:space="preserve"> a </w:t>
            </w:r>
            <w:r w:rsidRPr="00A3389E">
              <w:rPr>
                <w:rFonts w:ascii="Times New Roman" w:hAnsi="Times New Roman" w:cs="Times New Roman"/>
                <w:sz w:val="24"/>
              </w:rPr>
              <w:t>kapitálových expozícií</w:t>
            </w:r>
            <w:r w:rsidR="00A3389E">
              <w:rPr>
                <w:rFonts w:ascii="Times New Roman" w:hAnsi="Times New Roman" w:cs="Times New Roman"/>
                <w:sz w:val="24"/>
              </w:rPr>
              <w:t xml:space="preserve"> v </w:t>
            </w:r>
            <w:r w:rsidRPr="00A3389E">
              <w:rPr>
                <w:rFonts w:ascii="Times New Roman" w:hAnsi="Times New Roman" w:cs="Times New Roman"/>
                <w:sz w:val="24"/>
              </w:rPr>
              <w:t>rámci jednoduchého prístupu založeného na použití rizikovej váhy.</w:t>
            </w:r>
          </w:p>
        </w:tc>
      </w:tr>
      <w:tr w:rsidR="000646F8" w:rsidRPr="00A3389E"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A3389E" w:rsidRDefault="000646F8" w:rsidP="00155C96">
            <w:pPr>
              <w:autoSpaceDE w:val="0"/>
              <w:autoSpaceDN w:val="0"/>
              <w:adjustRightInd w:val="0"/>
              <w:spacing w:after="120"/>
              <w:jc w:val="both"/>
              <w:rPr>
                <w:rFonts w:ascii="Times New Roman" w:hAnsi="Times New Roman" w:cs="Times New Roman"/>
                <w:b/>
                <w:spacing w:val="-2"/>
                <w:sz w:val="24"/>
              </w:rPr>
            </w:pPr>
            <w:r w:rsidRPr="00A3389E">
              <w:rPr>
                <w:rFonts w:ascii="Times New Roman" w:hAnsi="Times New Roman" w:cs="Times New Roman"/>
                <w:b/>
                <w:sz w:val="24"/>
              </w:rPr>
              <w:t>Percentuálny podiel celkovej hodnoty expozície, na ktorú sa vzťahuje plán zavádzania (%)</w:t>
            </w:r>
          </w:p>
          <w:p w14:paraId="0A1E83BC" w14:textId="24664710" w:rsidR="000646F8" w:rsidRPr="00A3389E" w:rsidRDefault="000646F8" w:rsidP="00155C96">
            <w:pPr>
              <w:autoSpaceDE w:val="0"/>
              <w:autoSpaceDN w:val="0"/>
              <w:adjustRightInd w:val="0"/>
              <w:spacing w:after="120"/>
              <w:jc w:val="both"/>
              <w:rPr>
                <w:rFonts w:ascii="Times New Roman" w:hAnsi="Times New Roman" w:cs="Times New Roman"/>
                <w:spacing w:val="-2"/>
                <w:sz w:val="24"/>
              </w:rPr>
            </w:pPr>
            <w:r w:rsidRPr="00A3389E">
              <w:rPr>
                <w:rFonts w:ascii="Times New Roman" w:hAnsi="Times New Roman" w:cs="Times New Roman"/>
                <w:sz w:val="24"/>
              </w:rPr>
              <w:t>Časť expozície pri každej triede aktív, na ktorú sa vzťahuje postupná implementácia prístupu IRB podľa článku 148 CRR,</w:t>
            </w:r>
            <w:r w:rsidR="00A3389E">
              <w:rPr>
                <w:rFonts w:ascii="Times New Roman" w:hAnsi="Times New Roman" w:cs="Times New Roman"/>
                <w:sz w:val="24"/>
              </w:rPr>
              <w:t xml:space="preserve"> v </w:t>
            </w:r>
            <w:r w:rsidRPr="00A3389E">
              <w:rPr>
                <w:rFonts w:ascii="Times New Roman" w:hAnsi="Times New Roman" w:cs="Times New Roman"/>
                <w:sz w:val="24"/>
              </w:rPr>
              <w:t>pomere</w:t>
            </w:r>
            <w:r w:rsidR="00A3389E">
              <w:rPr>
                <w:rFonts w:ascii="Times New Roman" w:hAnsi="Times New Roman" w:cs="Times New Roman"/>
                <w:sz w:val="24"/>
              </w:rPr>
              <w:t xml:space="preserve"> k </w:t>
            </w:r>
            <w:r w:rsidRPr="00A3389E">
              <w:rPr>
                <w:rFonts w:ascii="Times New Roman" w:hAnsi="Times New Roman" w:cs="Times New Roman"/>
                <w:sz w:val="24"/>
              </w:rPr>
              <w:t>celkovej expozícii</w:t>
            </w:r>
            <w:r w:rsidR="00A3389E">
              <w:rPr>
                <w:rFonts w:ascii="Times New Roman" w:hAnsi="Times New Roman" w:cs="Times New Roman"/>
                <w:sz w:val="24"/>
              </w:rPr>
              <w:t xml:space="preserve"> v </w:t>
            </w:r>
            <w:r w:rsidRPr="00A3389E">
              <w:rPr>
                <w:rFonts w:ascii="Times New Roman" w:hAnsi="Times New Roman" w:cs="Times New Roman"/>
                <w:sz w:val="24"/>
              </w:rPr>
              <w:t>danej triede expozícií, ako sa uvádza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b</w:t>
            </w:r>
            <w:r w:rsidRPr="00A3389E">
              <w:rPr>
                <w:rFonts w:ascii="Times New Roman" w:hAnsi="Times New Roman" w:cs="Times New Roman"/>
                <w:sz w:val="24"/>
              </w:rPr>
              <w:t>. Patria sem:</w:t>
            </w:r>
          </w:p>
          <w:p w14:paraId="4FB079D8" w14:textId="086D343C" w:rsidR="000646F8" w:rsidRPr="00A3389E" w:rsidRDefault="00A3389E" w:rsidP="00A3389E">
            <w:pPr>
              <w:autoSpaceDE w:val="0"/>
              <w:autoSpaceDN w:val="0"/>
              <w:adjustRightInd w:val="0"/>
              <w:spacing w:after="120"/>
              <w:ind w:left="720" w:hanging="360"/>
              <w:jc w:val="both"/>
              <w:rPr>
                <w:rFonts w:ascii="Times New Roman" w:hAnsi="Times New Roman"/>
                <w:spacing w:val="-2"/>
                <w:sz w:val="24"/>
              </w:rPr>
            </w:pPr>
            <w:r w:rsidRPr="00A3389E">
              <w:rPr>
                <w:rFonts w:ascii="Times New Roman" w:hAnsi="Times New Roman" w:cs="Times New Roman"/>
                <w:spacing w:val="-2"/>
                <w:sz w:val="24"/>
                <w:szCs w:val="22"/>
              </w:rPr>
              <w:t>-</w:t>
            </w:r>
            <w:r w:rsidRPr="00A3389E">
              <w:rPr>
                <w:rFonts w:ascii="Times New Roman" w:hAnsi="Times New Roman" w:cs="Times New Roman"/>
                <w:spacing w:val="-2"/>
                <w:sz w:val="24"/>
                <w:szCs w:val="22"/>
              </w:rPr>
              <w:tab/>
            </w:r>
            <w:r w:rsidR="000646F8" w:rsidRPr="00A3389E">
              <w:rPr>
                <w:rFonts w:ascii="Times New Roman" w:hAnsi="Times New Roman"/>
                <w:sz w:val="24"/>
              </w:rPr>
              <w:t>expozície, pri ktorých inštitúcie plánujú uplatniť prístup IRB so svojimi vlastnými odhadmi LGD</w:t>
            </w:r>
            <w:r>
              <w:rPr>
                <w:rFonts w:ascii="Times New Roman" w:hAnsi="Times New Roman"/>
                <w:sz w:val="24"/>
              </w:rPr>
              <w:t xml:space="preserve"> a </w:t>
            </w:r>
            <w:r w:rsidR="000646F8" w:rsidRPr="00A3389E">
              <w:rPr>
                <w:rFonts w:ascii="Times New Roman" w:hAnsi="Times New Roman"/>
                <w:sz w:val="24"/>
              </w:rPr>
              <w:t>konverzných faktorov alebo bez nich (F-IRB alebo A-IRB),</w:t>
            </w:r>
          </w:p>
          <w:p w14:paraId="403F364D" w14:textId="32665B5B" w:rsidR="000646F8" w:rsidRPr="00A3389E" w:rsidRDefault="00A3389E" w:rsidP="00A3389E">
            <w:pPr>
              <w:autoSpaceDE w:val="0"/>
              <w:autoSpaceDN w:val="0"/>
              <w:adjustRightInd w:val="0"/>
              <w:spacing w:after="120"/>
              <w:ind w:left="720" w:hanging="360"/>
              <w:jc w:val="both"/>
              <w:rPr>
                <w:rFonts w:ascii="Times New Roman" w:hAnsi="Times New Roman"/>
                <w:spacing w:val="-2"/>
                <w:sz w:val="24"/>
              </w:rPr>
            </w:pPr>
            <w:r w:rsidRPr="00A3389E">
              <w:rPr>
                <w:rFonts w:ascii="Times New Roman" w:hAnsi="Times New Roman" w:cs="Times New Roman"/>
                <w:spacing w:val="-2"/>
                <w:sz w:val="24"/>
                <w:szCs w:val="22"/>
              </w:rPr>
              <w:t>-</w:t>
            </w:r>
            <w:r w:rsidRPr="00A3389E">
              <w:rPr>
                <w:rFonts w:ascii="Times New Roman" w:hAnsi="Times New Roman" w:cs="Times New Roman"/>
                <w:spacing w:val="-2"/>
                <w:sz w:val="24"/>
                <w:szCs w:val="22"/>
              </w:rPr>
              <w:tab/>
            </w:r>
            <w:r w:rsidR="000646F8" w:rsidRPr="00A3389E">
              <w:rPr>
                <w:rFonts w:ascii="Times New Roman" w:hAnsi="Times New Roman"/>
                <w:sz w:val="24"/>
              </w:rPr>
              <w:t>nevýznamné kapitálové expozície nezahrnuté</w:t>
            </w:r>
            <w:r>
              <w:rPr>
                <w:rFonts w:ascii="Times New Roman" w:hAnsi="Times New Roman"/>
                <w:sz w:val="24"/>
              </w:rPr>
              <w:t xml:space="preserve"> v </w:t>
            </w:r>
            <w:r w:rsidR="000646F8" w:rsidRPr="00A3389E">
              <w:rPr>
                <w:rFonts w:ascii="Times New Roman" w:hAnsi="Times New Roman"/>
                <w:sz w:val="24"/>
              </w:rPr>
              <w:t xml:space="preserve">stĺpcoch </w:t>
            </w:r>
            <w:r w:rsidR="000646F8" w:rsidRPr="00A3389E">
              <w:rPr>
                <w:rFonts w:ascii="Times New Roman" w:hAnsi="Times New Roman"/>
                <w:i/>
                <w:sz w:val="24"/>
              </w:rPr>
              <w:t>c</w:t>
            </w:r>
            <w:r>
              <w:rPr>
                <w:rFonts w:ascii="Times New Roman" w:hAnsi="Times New Roman"/>
                <w:sz w:val="24"/>
              </w:rPr>
              <w:t xml:space="preserve"> a </w:t>
            </w:r>
            <w:r w:rsidR="000646F8" w:rsidRPr="00A3389E">
              <w:rPr>
                <w:rFonts w:ascii="Times New Roman" w:hAnsi="Times New Roman"/>
                <w:i/>
                <w:sz w:val="24"/>
              </w:rPr>
              <w:t>d</w:t>
            </w:r>
            <w:r w:rsidR="000646F8" w:rsidRPr="00A3389E">
              <w:rPr>
                <w:rFonts w:ascii="Times New Roman" w:hAnsi="Times New Roman"/>
                <w:sz w:val="24"/>
              </w:rPr>
              <w:t xml:space="preserve"> tohto vzoru,</w:t>
            </w:r>
          </w:p>
          <w:p w14:paraId="5412F1DA" w14:textId="4ED4C8B6" w:rsidR="000646F8" w:rsidRPr="00A3389E" w:rsidRDefault="00A3389E" w:rsidP="00A3389E">
            <w:pPr>
              <w:autoSpaceDE w:val="0"/>
              <w:autoSpaceDN w:val="0"/>
              <w:adjustRightInd w:val="0"/>
              <w:spacing w:after="120"/>
              <w:ind w:left="720" w:hanging="360"/>
              <w:jc w:val="both"/>
              <w:rPr>
                <w:rFonts w:ascii="Times New Roman" w:hAnsi="Times New Roman"/>
                <w:spacing w:val="-2"/>
                <w:sz w:val="24"/>
              </w:rPr>
            </w:pPr>
            <w:r w:rsidRPr="00A3389E">
              <w:rPr>
                <w:rFonts w:ascii="Times New Roman" w:hAnsi="Times New Roman" w:cs="Times New Roman"/>
                <w:spacing w:val="-2"/>
                <w:sz w:val="24"/>
                <w:szCs w:val="22"/>
              </w:rPr>
              <w:t>-</w:t>
            </w:r>
            <w:r w:rsidRPr="00A3389E">
              <w:rPr>
                <w:rFonts w:ascii="Times New Roman" w:hAnsi="Times New Roman" w:cs="Times New Roman"/>
                <w:spacing w:val="-2"/>
                <w:sz w:val="24"/>
                <w:szCs w:val="22"/>
              </w:rPr>
              <w:tab/>
            </w:r>
            <w:r w:rsidR="000646F8" w:rsidRPr="00A3389E">
              <w:rPr>
                <w:rFonts w:ascii="Times New Roman" w:hAnsi="Times New Roman"/>
                <w:sz w:val="24"/>
              </w:rPr>
              <w:t>expozície, na ktoré sa už uplatňuje prístup F-IRB, ak inštitúcia plánuje</w:t>
            </w:r>
            <w:r>
              <w:rPr>
                <w:rFonts w:ascii="Times New Roman" w:hAnsi="Times New Roman"/>
                <w:sz w:val="24"/>
              </w:rPr>
              <w:t xml:space="preserve"> v </w:t>
            </w:r>
            <w:r w:rsidR="000646F8" w:rsidRPr="00A3389E">
              <w:rPr>
                <w:rFonts w:ascii="Times New Roman" w:hAnsi="Times New Roman"/>
                <w:sz w:val="24"/>
              </w:rPr>
              <w:t>budúcnosti uplatňovať prístup A-IRB,</w:t>
            </w:r>
          </w:p>
          <w:p w14:paraId="75D515C7" w14:textId="66EE9453" w:rsidR="000646F8" w:rsidRPr="00A3389E" w:rsidRDefault="00A3389E" w:rsidP="00A3389E">
            <w:pPr>
              <w:spacing w:after="120"/>
              <w:ind w:left="720" w:hanging="360"/>
              <w:jc w:val="both"/>
              <w:rPr>
                <w:rFonts w:ascii="Times New Roman" w:hAnsi="Times New Roman"/>
                <w:sz w:val="24"/>
              </w:rPr>
            </w:pPr>
            <w:r w:rsidRPr="00A3389E">
              <w:rPr>
                <w:rFonts w:ascii="Times New Roman" w:hAnsi="Times New Roman" w:cs="Times New Roman"/>
                <w:sz w:val="24"/>
                <w:szCs w:val="22"/>
              </w:rPr>
              <w:t>-</w:t>
            </w:r>
            <w:r w:rsidRPr="00A3389E">
              <w:rPr>
                <w:rFonts w:ascii="Times New Roman" w:hAnsi="Times New Roman" w:cs="Times New Roman"/>
                <w:sz w:val="24"/>
                <w:szCs w:val="22"/>
              </w:rPr>
              <w:tab/>
            </w:r>
            <w:r w:rsidR="000646F8" w:rsidRPr="00A3389E">
              <w:rPr>
                <w:rFonts w:ascii="Times New Roman" w:hAnsi="Times New Roman"/>
                <w:sz w:val="24"/>
              </w:rPr>
              <w:t>expozície vo forme špecializovaného financovania, pri ktorých sa uplatňuje prístup orgánov dohľadu spočívajúci</w:t>
            </w:r>
            <w:r>
              <w:rPr>
                <w:rFonts w:ascii="Times New Roman" w:hAnsi="Times New Roman"/>
                <w:sz w:val="24"/>
              </w:rPr>
              <w:t xml:space="preserve"> v </w:t>
            </w:r>
            <w:r w:rsidR="000646F8" w:rsidRPr="00A3389E">
              <w:rPr>
                <w:rFonts w:ascii="Times New Roman" w:hAnsi="Times New Roman"/>
                <w:sz w:val="24"/>
              </w:rPr>
              <w:t>zaradení</w:t>
            </w:r>
            <w:r>
              <w:rPr>
                <w:rFonts w:ascii="Times New Roman" w:hAnsi="Times New Roman"/>
                <w:sz w:val="24"/>
              </w:rPr>
              <w:t xml:space="preserve"> a </w:t>
            </w:r>
            <w:r w:rsidR="000646F8" w:rsidRPr="00A3389E">
              <w:rPr>
                <w:rFonts w:ascii="Times New Roman" w:hAnsi="Times New Roman"/>
                <w:sz w:val="24"/>
              </w:rPr>
              <w:t>ktoré nie sú zahrnuté</w:t>
            </w:r>
            <w:r>
              <w:rPr>
                <w:rFonts w:ascii="Times New Roman" w:hAnsi="Times New Roman"/>
                <w:sz w:val="24"/>
              </w:rPr>
              <w:t xml:space="preserve"> v </w:t>
            </w:r>
            <w:r w:rsidR="000646F8" w:rsidRPr="00A3389E">
              <w:rPr>
                <w:rFonts w:ascii="Times New Roman" w:hAnsi="Times New Roman"/>
                <w:sz w:val="24"/>
              </w:rPr>
              <w:t xml:space="preserve">stĺpci </w:t>
            </w:r>
            <w:r w:rsidR="000646F8" w:rsidRPr="00A3389E">
              <w:rPr>
                <w:rFonts w:ascii="Times New Roman" w:hAnsi="Times New Roman"/>
                <w:i/>
                <w:sz w:val="24"/>
              </w:rPr>
              <w:t>d</w:t>
            </w:r>
            <w:r w:rsidR="000646F8" w:rsidRPr="00A3389E">
              <w:rPr>
                <w:rFonts w:ascii="Times New Roman" w:hAnsi="Times New Roman"/>
                <w:sz w:val="24"/>
              </w:rPr>
              <w:t xml:space="preserve"> tohto vzoru.</w:t>
            </w:r>
          </w:p>
        </w:tc>
      </w:tr>
    </w:tbl>
    <w:p w14:paraId="53E80979" w14:textId="77777777" w:rsidR="000646F8" w:rsidRPr="00A3389E"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A3389E"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185DD1F4"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646F8" w:rsidRPr="00A3389E" w14:paraId="4A04EB84" w14:textId="77777777" w:rsidTr="00155C96">
        <w:trPr>
          <w:trHeight w:val="316"/>
        </w:trPr>
        <w:tc>
          <w:tcPr>
            <w:tcW w:w="1413" w:type="dxa"/>
          </w:tcPr>
          <w:p w14:paraId="08EE6AD8"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Triedy expozícií</w:t>
            </w:r>
          </w:p>
        </w:tc>
        <w:tc>
          <w:tcPr>
            <w:tcW w:w="7654" w:type="dxa"/>
          </w:tcPr>
          <w:p w14:paraId="3D859DD6" w14:textId="032953E9" w:rsidR="000646F8" w:rsidRPr="00A3389E" w:rsidRDefault="000646F8" w:rsidP="00155C96">
            <w:pPr>
              <w:spacing w:after="120"/>
              <w:jc w:val="both"/>
              <w:rPr>
                <w:rFonts w:ascii="Times New Roman" w:eastAsiaTheme="minorHAnsi" w:hAnsi="Times New Roman" w:cs="Times New Roman"/>
                <w:sz w:val="24"/>
              </w:rPr>
            </w:pPr>
            <w:r w:rsidRPr="00A3389E">
              <w:rPr>
                <w:rFonts w:ascii="Times New Roman" w:hAnsi="Times New Roman" w:cs="Times New Roman"/>
                <w:sz w:val="24"/>
              </w:rPr>
              <w:t>Inštitúcie do vzoru CR 6-A zahŕňajú informácie podľa tried expozícií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rozčlenením tried expozícií uvedeným</w:t>
            </w:r>
            <w:r w:rsidR="00A3389E">
              <w:rPr>
                <w:rFonts w:ascii="Times New Roman" w:hAnsi="Times New Roman" w:cs="Times New Roman"/>
                <w:sz w:val="24"/>
              </w:rPr>
              <w:t xml:space="preserve"> v </w:t>
            </w:r>
            <w:r w:rsidRPr="00A3389E">
              <w:rPr>
                <w:rFonts w:ascii="Times New Roman" w:hAnsi="Times New Roman" w:cs="Times New Roman"/>
                <w:sz w:val="24"/>
              </w:rPr>
              <w:t>riadkoch vzoru.</w:t>
            </w:r>
          </w:p>
        </w:tc>
      </w:tr>
    </w:tbl>
    <w:p w14:paraId="39CBF973" w14:textId="77777777" w:rsidR="000646F8" w:rsidRPr="00A3389E" w:rsidRDefault="000646F8" w:rsidP="000646F8">
      <w:pPr>
        <w:spacing w:after="120"/>
        <w:rPr>
          <w:rFonts w:ascii="Times New Roman" w:hAnsi="Times New Roman" w:cs="Times New Roman"/>
          <w:sz w:val="24"/>
        </w:rPr>
      </w:pPr>
    </w:p>
    <w:p w14:paraId="612D8A17" w14:textId="6C443150" w:rsidR="000646F8" w:rsidRPr="00A3389E" w:rsidRDefault="00CD362D" w:rsidP="000646F8">
      <w:pPr>
        <w:spacing w:after="120"/>
        <w:rPr>
          <w:rFonts w:ascii="Times New Roman" w:hAnsi="Times New Roman" w:cs="Times New Roman"/>
          <w:b/>
          <w:sz w:val="24"/>
        </w:rPr>
      </w:pPr>
      <w:r w:rsidRPr="00A3389E">
        <w:rPr>
          <w:rFonts w:ascii="Times New Roman" w:hAnsi="Times New Roman" w:cs="Times New Roman"/>
          <w:b/>
          <w:sz w:val="24"/>
        </w:rPr>
        <w:t>Vzor EU CR7 – Prístup IRB – Vplyv kreditných derivátov používaných ako postupy zmierňovania kreditného rizika na hodnoty rizikovo vážených expozícií. Vzor</w:t>
      </w:r>
      <w:r w:rsidR="00A3389E">
        <w:rPr>
          <w:rFonts w:ascii="Times New Roman" w:hAnsi="Times New Roman" w:cs="Times New Roman"/>
          <w:b/>
          <w:sz w:val="24"/>
        </w:rPr>
        <w:t xml:space="preserve"> s </w:t>
      </w:r>
      <w:r w:rsidRPr="00A3389E">
        <w:rPr>
          <w:rFonts w:ascii="Times New Roman" w:hAnsi="Times New Roman" w:cs="Times New Roman"/>
          <w:b/>
          <w:sz w:val="24"/>
        </w:rPr>
        <w:t>pevným formátom.</w:t>
      </w:r>
    </w:p>
    <w:p w14:paraId="2B1781FA" w14:textId="1FA641D7" w:rsidR="000646F8" w:rsidRPr="00A3389E" w:rsidRDefault="00A3389E" w:rsidP="00A3389E">
      <w:pPr>
        <w:spacing w:after="120"/>
        <w:ind w:left="720" w:hanging="360"/>
        <w:jc w:val="both"/>
        <w:rPr>
          <w:rFonts w:ascii="Times New Roman" w:hAnsi="Times New Roman"/>
          <w:sz w:val="24"/>
        </w:rPr>
      </w:pPr>
      <w:r w:rsidRPr="00A3389E">
        <w:rPr>
          <w:rFonts w:ascii="Times New Roman" w:eastAsia="Calibri" w:hAnsi="Times New Roman" w:cs="Times New Roman"/>
          <w:sz w:val="24"/>
          <w:szCs w:val="22"/>
        </w:rPr>
        <w:t>6.</w:t>
      </w:r>
      <w:r w:rsidRPr="00A3389E">
        <w:rPr>
          <w:rFonts w:ascii="Times New Roman" w:eastAsia="Calibri" w:hAnsi="Times New Roman" w:cs="Times New Roman"/>
          <w:sz w:val="24"/>
          <w:szCs w:val="22"/>
        </w:rPr>
        <w:tab/>
      </w:r>
      <w:r w:rsidR="000646F8" w:rsidRPr="00A3389E">
        <w:rPr>
          <w:rFonts w:ascii="Times New Roman" w:hAnsi="Times New Roman"/>
          <w:sz w:val="24"/>
        </w:rPr>
        <w:t>Inštitúcie zverejňujú informácie uvedené</w:t>
      </w:r>
      <w:r>
        <w:rPr>
          <w:rFonts w:ascii="Times New Roman" w:hAnsi="Times New Roman"/>
          <w:sz w:val="24"/>
        </w:rPr>
        <w:t xml:space="preserve"> v </w:t>
      </w:r>
      <w:r w:rsidR="000646F8" w:rsidRPr="00A3389E">
        <w:rPr>
          <w:rFonts w:ascii="Times New Roman" w:hAnsi="Times New Roman"/>
          <w:sz w:val="24"/>
        </w:rPr>
        <w:t>článku 453 písm. j) CRR podľa pokynov uvedených nižšie</w:t>
      </w:r>
      <w:r>
        <w:rPr>
          <w:rFonts w:ascii="Times New Roman" w:hAnsi="Times New Roman"/>
          <w:sz w:val="24"/>
        </w:rPr>
        <w:t xml:space="preserve"> v </w:t>
      </w:r>
      <w:r w:rsidR="000646F8" w:rsidRPr="00A3389E">
        <w:rPr>
          <w:rFonts w:ascii="Times New Roman" w:hAnsi="Times New Roman"/>
          <w:sz w:val="24"/>
        </w:rPr>
        <w:t>tejto prílohe</w:t>
      </w:r>
      <w:r>
        <w:rPr>
          <w:rFonts w:ascii="Times New Roman" w:hAnsi="Times New Roman"/>
          <w:sz w:val="24"/>
        </w:rPr>
        <w:t xml:space="preserve"> s </w:t>
      </w:r>
      <w:r w:rsidR="000646F8" w:rsidRPr="00A3389E">
        <w:rPr>
          <w:rFonts w:ascii="Times New Roman" w:hAnsi="Times New Roman"/>
          <w:sz w:val="24"/>
        </w:rPr>
        <w:t>cieľom vyplniť vzor EU CR7 uvedený</w:t>
      </w:r>
      <w:r>
        <w:rPr>
          <w:rFonts w:ascii="Times New Roman" w:hAnsi="Times New Roman"/>
          <w:sz w:val="24"/>
        </w:rPr>
        <w:t xml:space="preserve"> v </w:t>
      </w:r>
      <w:r w:rsidR="000646F8" w:rsidRPr="00A3389E">
        <w:rPr>
          <w:rFonts w:ascii="Times New Roman" w:hAnsi="Times New Roman"/>
          <w:sz w:val="24"/>
        </w:rPr>
        <w:t>prílohe XXI</w:t>
      </w:r>
      <w:r>
        <w:rPr>
          <w:rFonts w:ascii="Times New Roman" w:hAnsi="Times New Roman"/>
          <w:sz w:val="24"/>
        </w:rPr>
        <w:t xml:space="preserve"> k </w:t>
      </w:r>
      <w:r w:rsidR="000646F8" w:rsidRPr="00A3389E">
        <w:rPr>
          <w:rFonts w:ascii="Times New Roman" w:hAnsi="Times New Roman"/>
          <w:sz w:val="24"/>
        </w:rPr>
        <w:t>tomuto vykonávaciemu nariadeniu. Inštitúcie dopĺňajú vzor opisom na vysvetlenie účinku kreditných derivátov na hodnoty rizikovo vážených expozícií.</w:t>
      </w:r>
      <w:r>
        <w:rPr>
          <w:rFonts w:ascii="Times New Roman" w:hAnsi="Times New Roman"/>
          <w:sz w:val="24"/>
        </w:rPr>
        <w:t xml:space="preserve"> Z </w:t>
      </w:r>
      <w:r w:rsidR="000646F8" w:rsidRPr="00A3389E">
        <w:rPr>
          <w:rFonts w:ascii="Times New Roman" w:hAnsi="Times New Roman"/>
          <w:sz w:val="24"/>
        </w:rPr>
        <w:t>tohto vzoru sú vylúčené expozície voči kreditnému riziku protistrany (CCR) (tretia časť hlava II kapitola 6 CRR), sekuritizačné expozície, iné aktíva, ktoré nemajú povahu kreditného záväzku,</w:t>
      </w:r>
      <w:r>
        <w:rPr>
          <w:rFonts w:ascii="Times New Roman" w:hAnsi="Times New Roman"/>
          <w:sz w:val="24"/>
        </w:rPr>
        <w:t xml:space="preserve"> a </w:t>
      </w:r>
      <w:r w:rsidR="000646F8" w:rsidRPr="00A3389E">
        <w:rPr>
          <w:rFonts w:ascii="Times New Roman" w:hAnsi="Times New Roman"/>
          <w:sz w:val="24"/>
        </w:rPr>
        <w:t>kapitálové expozície.</w:t>
      </w:r>
    </w:p>
    <w:p w14:paraId="3FE223B2" w14:textId="77777777" w:rsidR="000646F8" w:rsidRPr="00A3389E"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A3389E"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lastRenderedPageBreak/>
              <w:t>Odkaz na stĺpec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3EED4A7F"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646F8" w:rsidRPr="00A3389E" w14:paraId="4F6A3256" w14:textId="77777777" w:rsidTr="00155C96">
        <w:trPr>
          <w:trHeight w:val="316"/>
        </w:trPr>
        <w:tc>
          <w:tcPr>
            <w:tcW w:w="1413" w:type="dxa"/>
          </w:tcPr>
          <w:p w14:paraId="49F03C7F"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a</w:t>
            </w:r>
          </w:p>
        </w:tc>
        <w:tc>
          <w:tcPr>
            <w:tcW w:w="7654" w:type="dxa"/>
          </w:tcPr>
          <w:p w14:paraId="204DB09A" w14:textId="51A52C8E" w:rsidR="000646F8" w:rsidRPr="00A3389E" w:rsidRDefault="000646F8" w:rsidP="00155C96">
            <w:pPr>
              <w:pStyle w:val="Default"/>
              <w:spacing w:after="120"/>
              <w:rPr>
                <w:rFonts w:ascii="Times New Roman" w:hAnsi="Times New Roman" w:cs="Times New Roman"/>
                <w:b/>
                <w:color w:val="auto"/>
              </w:rPr>
            </w:pPr>
            <w:r w:rsidRPr="00A3389E">
              <w:rPr>
                <w:rFonts w:ascii="Times New Roman" w:hAnsi="Times New Roman" w:cs="Times New Roman"/>
                <w:b/>
                <w:color w:val="auto"/>
              </w:rPr>
              <w:t>Hodnota rizikovo váženej expozície pred uznaním kreditných derivátov</w:t>
            </w:r>
          </w:p>
          <w:p w14:paraId="5F7CBCF7" w14:textId="393CB27A" w:rsidR="000646F8" w:rsidRPr="00A3389E" w:rsidRDefault="000646F8" w:rsidP="00155C96">
            <w:pPr>
              <w:pStyle w:val="Default"/>
              <w:spacing w:after="120"/>
              <w:rPr>
                <w:rFonts w:ascii="Times New Roman" w:hAnsi="Times New Roman" w:cs="Times New Roman"/>
              </w:rPr>
            </w:pPr>
            <w:r w:rsidRPr="00A3389E">
              <w:rPr>
                <w:rFonts w:ascii="Times New Roman" w:hAnsi="Times New Roman" w:cs="Times New Roman"/>
                <w:color w:val="auto"/>
              </w:rPr>
              <w:t>Hypotetická hodnota rizikovo váženej expozície vypočítaná ako skutočná RWEA za predpokladu, že kreditný derivát nebol uznaný ako postup zmierňovania kreditného rizika, ako sa uvádza</w:t>
            </w:r>
            <w:r w:rsidR="00A3389E">
              <w:rPr>
                <w:rFonts w:ascii="Times New Roman" w:hAnsi="Times New Roman" w:cs="Times New Roman"/>
                <w:color w:val="auto"/>
              </w:rPr>
              <w:t xml:space="preserve"> v </w:t>
            </w:r>
            <w:r w:rsidRPr="00A3389E">
              <w:rPr>
                <w:rFonts w:ascii="Times New Roman" w:hAnsi="Times New Roman" w:cs="Times New Roman"/>
                <w:color w:val="auto"/>
              </w:rPr>
              <w:t>článku 204 CRR. Hodnoty sa uvádzajú</w:t>
            </w:r>
            <w:r w:rsidR="00A3389E">
              <w:rPr>
                <w:rFonts w:ascii="Times New Roman" w:hAnsi="Times New Roman" w:cs="Times New Roman"/>
                <w:color w:val="auto"/>
              </w:rPr>
              <w:t xml:space="preserve"> v </w:t>
            </w:r>
            <w:r w:rsidRPr="00A3389E">
              <w:rPr>
                <w:rFonts w:ascii="Times New Roman" w:hAnsi="Times New Roman" w:cs="Times New Roman"/>
                <w:color w:val="auto"/>
              </w:rPr>
              <w:t>triedach expozícií, ktoré sú relevantné pre expozície voči pôvodnému dlžníkovi.</w:t>
            </w:r>
          </w:p>
        </w:tc>
      </w:tr>
      <w:tr w:rsidR="000646F8" w:rsidRPr="00A3389E" w14:paraId="5F7C6B10" w14:textId="77777777" w:rsidTr="00155C96">
        <w:trPr>
          <w:trHeight w:val="316"/>
        </w:trPr>
        <w:tc>
          <w:tcPr>
            <w:tcW w:w="1413" w:type="dxa"/>
          </w:tcPr>
          <w:p w14:paraId="3819E895"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b</w:t>
            </w:r>
          </w:p>
        </w:tc>
        <w:tc>
          <w:tcPr>
            <w:tcW w:w="7654" w:type="dxa"/>
          </w:tcPr>
          <w:p w14:paraId="54FC5FB7" w14:textId="257AA22A" w:rsidR="000646F8" w:rsidRPr="00A3389E" w:rsidRDefault="000646F8" w:rsidP="00155C96">
            <w:pPr>
              <w:spacing w:after="120"/>
              <w:jc w:val="both"/>
              <w:rPr>
                <w:rFonts w:ascii="Times New Roman" w:hAnsi="Times New Roman" w:cs="Times New Roman"/>
                <w:b/>
                <w:sz w:val="24"/>
              </w:rPr>
            </w:pPr>
            <w:r w:rsidRPr="00A3389E">
              <w:rPr>
                <w:rFonts w:ascii="Times New Roman" w:hAnsi="Times New Roman" w:cs="Times New Roman"/>
                <w:b/>
                <w:sz w:val="24"/>
              </w:rPr>
              <w:t>Skutočná hodnota rizikovo váženej expozície</w:t>
            </w:r>
          </w:p>
          <w:p w14:paraId="70F0C32C" w14:textId="1F4157F2"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Hodnota rizikovo váženej expozície vypočítaná</w:t>
            </w:r>
            <w:r w:rsidR="00A3389E">
              <w:rPr>
                <w:rFonts w:ascii="Times New Roman" w:hAnsi="Times New Roman" w:cs="Times New Roman"/>
                <w:sz w:val="24"/>
              </w:rPr>
              <w:t xml:space="preserve"> s </w:t>
            </w:r>
            <w:r w:rsidRPr="00A3389E">
              <w:rPr>
                <w:rFonts w:ascii="Times New Roman" w:hAnsi="Times New Roman" w:cs="Times New Roman"/>
                <w:sz w:val="24"/>
              </w:rPr>
              <w:t>prihliadnutím na vplyv kreditných derivátov. Ak inštitúcie nahradia rizikovú váhu alebo parametre rizika dlžníka rizikovou váhou alebo parametrami rizika poskytovateľa zabezpečenia, hodnoty rizikovo vážených expozícií sa uvádzajú</w:t>
            </w:r>
            <w:r w:rsidR="00A3389E">
              <w:rPr>
                <w:rFonts w:ascii="Times New Roman" w:hAnsi="Times New Roman" w:cs="Times New Roman"/>
                <w:sz w:val="24"/>
              </w:rPr>
              <w:t xml:space="preserve"> v </w:t>
            </w:r>
            <w:r w:rsidRPr="00A3389E">
              <w:rPr>
                <w:rFonts w:ascii="Times New Roman" w:hAnsi="Times New Roman" w:cs="Times New Roman"/>
                <w:sz w:val="24"/>
              </w:rPr>
              <w:t>triede expozícií relevantnej pre priame expozície voči poskytovateľovi zabezpečenia.</w:t>
            </w:r>
          </w:p>
        </w:tc>
      </w:tr>
    </w:tbl>
    <w:p w14:paraId="43243D39" w14:textId="77777777" w:rsidR="000646F8" w:rsidRPr="00A3389E"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A3389E"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riadok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D2CD5DD"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646F8" w:rsidRPr="00A3389E" w14:paraId="7B016DBA" w14:textId="77777777" w:rsidTr="00155C96">
        <w:trPr>
          <w:trHeight w:val="316"/>
        </w:trPr>
        <w:tc>
          <w:tcPr>
            <w:tcW w:w="1413" w:type="dxa"/>
          </w:tcPr>
          <w:p w14:paraId="34D7D2BB"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1 až 9</w:t>
            </w:r>
          </w:p>
        </w:tc>
        <w:tc>
          <w:tcPr>
            <w:tcW w:w="7654" w:type="dxa"/>
          </w:tcPr>
          <w:p w14:paraId="56BC30F7" w14:textId="0866E09A" w:rsidR="000646F8" w:rsidRPr="00A3389E" w:rsidRDefault="000646F8" w:rsidP="00155C96">
            <w:pPr>
              <w:pStyle w:val="Default"/>
              <w:spacing w:after="120"/>
              <w:jc w:val="both"/>
              <w:rPr>
                <w:rFonts w:ascii="Times New Roman" w:hAnsi="Times New Roman" w:cs="Times New Roman"/>
                <w:color w:val="auto"/>
              </w:rPr>
            </w:pPr>
            <w:r w:rsidRPr="00A3389E">
              <w:rPr>
                <w:rFonts w:ascii="Times New Roman" w:hAnsi="Times New Roman" w:cs="Times New Roman"/>
              </w:rPr>
              <w:t>Inštitúcie zahŕňajú rozčlenenie hodnoty rizikovo váženej expozície pred uznaním kreditných derivátov</w:t>
            </w:r>
            <w:r w:rsidR="00A3389E">
              <w:rPr>
                <w:rFonts w:ascii="Times New Roman" w:hAnsi="Times New Roman" w:cs="Times New Roman"/>
              </w:rPr>
              <w:t xml:space="preserve"> a </w:t>
            </w:r>
            <w:r w:rsidRPr="00A3389E">
              <w:rPr>
                <w:rFonts w:ascii="Times New Roman" w:hAnsi="Times New Roman" w:cs="Times New Roman"/>
              </w:rPr>
              <w:t>skutočnej rizikovo váženej expozície podľa triedy expozícií</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triedami expozícií uvedenými</w:t>
            </w:r>
            <w:r w:rsidR="00A3389E">
              <w:rPr>
                <w:rFonts w:ascii="Times New Roman" w:hAnsi="Times New Roman" w:cs="Times New Roman"/>
              </w:rPr>
              <w:t xml:space="preserve"> v </w:t>
            </w:r>
            <w:r w:rsidRPr="00A3389E">
              <w:rPr>
                <w:rFonts w:ascii="Times New Roman" w:hAnsi="Times New Roman" w:cs="Times New Roman"/>
              </w:rPr>
              <w:t>článku 147 CRR</w:t>
            </w:r>
            <w:r w:rsidR="00A3389E">
              <w:rPr>
                <w:rFonts w:ascii="Times New Roman" w:hAnsi="Times New Roman" w:cs="Times New Roman"/>
              </w:rPr>
              <w:t xml:space="preserve"> s </w:t>
            </w:r>
            <w:r w:rsidRPr="00A3389E">
              <w:rPr>
                <w:rFonts w:ascii="Times New Roman" w:hAnsi="Times New Roman" w:cs="Times New Roman"/>
              </w:rPr>
              <w:t>ďalším rozčlenením, ako sa uvádza vo vzore,</w:t>
            </w:r>
            <w:r w:rsidR="00A3389E">
              <w:rPr>
                <w:rFonts w:ascii="Times New Roman" w:hAnsi="Times New Roman" w:cs="Times New Roman"/>
              </w:rPr>
              <w:t xml:space="preserve"> a </w:t>
            </w:r>
            <w:r w:rsidRPr="00A3389E">
              <w:rPr>
                <w:rFonts w:ascii="Times New Roman" w:hAnsi="Times New Roman" w:cs="Times New Roman"/>
              </w:rPr>
              <w:t>osobitne pre expozície podľa prístupu F-IRB</w:t>
            </w:r>
            <w:r w:rsidR="00A3389E">
              <w:rPr>
                <w:rFonts w:ascii="Times New Roman" w:hAnsi="Times New Roman" w:cs="Times New Roman"/>
              </w:rPr>
              <w:t xml:space="preserve"> a </w:t>
            </w:r>
            <w:r w:rsidRPr="00A3389E">
              <w:rPr>
                <w:rFonts w:ascii="Times New Roman" w:hAnsi="Times New Roman" w:cs="Times New Roman"/>
              </w:rPr>
              <w:t>expozície podľa prístupu A-IRB.</w:t>
            </w:r>
            <w:r w:rsidRPr="00A3389E">
              <w:rPr>
                <w:rFonts w:ascii="Times New Roman" w:hAnsi="Times New Roman" w:cs="Times New Roman"/>
                <w:color w:val="auto"/>
              </w:rPr>
              <w:t xml:space="preserve"> </w:t>
            </w:r>
            <w:r w:rsidRPr="00A3389E">
              <w:rPr>
                <w:rFonts w:ascii="Times New Roman" w:hAnsi="Times New Roman" w:cs="Times New Roman"/>
              </w:rPr>
              <w:t>Inštitúcie zverejňujú</w:t>
            </w:r>
            <w:r w:rsidR="00A3389E">
              <w:rPr>
                <w:rFonts w:ascii="Times New Roman" w:hAnsi="Times New Roman" w:cs="Times New Roman"/>
              </w:rPr>
              <w:t xml:space="preserve"> v </w:t>
            </w:r>
            <w:r w:rsidRPr="00A3389E">
              <w:rPr>
                <w:rFonts w:ascii="Times New Roman" w:hAnsi="Times New Roman" w:cs="Times New Roman"/>
              </w:rPr>
              <w:t>riadkoch 1</w:t>
            </w:r>
            <w:r w:rsidR="00A3389E">
              <w:rPr>
                <w:rFonts w:ascii="Times New Roman" w:hAnsi="Times New Roman" w:cs="Times New Roman"/>
              </w:rPr>
              <w:t xml:space="preserve"> a </w:t>
            </w:r>
            <w:r w:rsidRPr="00A3389E">
              <w:rPr>
                <w:rFonts w:ascii="Times New Roman" w:hAnsi="Times New Roman" w:cs="Times New Roman"/>
              </w:rPr>
              <w:t>6 tohto vzoru medzisúčty pre expozície podľa F-IRB</w:t>
            </w:r>
            <w:r w:rsidR="00A3389E">
              <w:rPr>
                <w:rFonts w:ascii="Times New Roman" w:hAnsi="Times New Roman" w:cs="Times New Roman"/>
              </w:rPr>
              <w:t xml:space="preserve"> a </w:t>
            </w:r>
            <w:r w:rsidRPr="00A3389E">
              <w:rPr>
                <w:rFonts w:ascii="Times New Roman" w:hAnsi="Times New Roman" w:cs="Times New Roman"/>
              </w:rPr>
              <w:t>pre expozície podľa A-IRB.</w:t>
            </w:r>
          </w:p>
          <w:p w14:paraId="0CAF5631"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Inštitúcie zverejňujú ďalšie rozčlenenie pre triedu expozícií „expozície voči podnikateľským subjektom“ [článok 147 ods. 2 písm. c) CRR] takto:</w:t>
            </w:r>
          </w:p>
          <w:p w14:paraId="3D8A3CD7" w14:textId="79183609"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expozície voči podnikateľským subjektom – MSP</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internou klasifikáciou expozícií voči podnikateľským subjektom na základe politík riadenia rizík;</w:t>
            </w:r>
          </w:p>
          <w:p w14:paraId="7B4CCFEE" w14:textId="707646CE"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b)</w:t>
            </w:r>
            <w:r w:rsidRPr="00A3389E">
              <w:rPr>
                <w:rFonts w:ascii="Times New Roman" w:hAnsi="Times New Roman" w:cs="Times New Roman"/>
              </w:rPr>
              <w:tab/>
            </w:r>
            <w:r w:rsidRPr="00A3389E">
              <w:rPr>
                <w:rFonts w:ascii="Times New Roman" w:hAnsi="Times New Roman" w:cs="Times New Roman"/>
                <w:iCs/>
                <w:sz w:val="24"/>
              </w:rPr>
              <w:t>expozície voči podnikateľským subjektom – špecializované financovanie</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147 ods. 8 CRR,</w:t>
            </w:r>
            <w:r w:rsidR="00A3389E">
              <w:rPr>
                <w:rFonts w:ascii="Times New Roman" w:hAnsi="Times New Roman" w:cs="Times New Roman"/>
                <w:iCs/>
                <w:sz w:val="24"/>
              </w:rPr>
              <w:t xml:space="preserve"> a </w:t>
            </w:r>
            <w:r w:rsidRPr="00A3389E">
              <w:rPr>
                <w:rFonts w:ascii="Times New Roman" w:hAnsi="Times New Roman" w:cs="Times New Roman"/>
                <w:iCs/>
                <w:sz w:val="24"/>
              </w:rPr>
              <w:t>to okrem expozícií vo forme špecializovaného financovania, pri ktorých sa uplatňuje prístup spočívajúci</w:t>
            </w:r>
            <w:r w:rsidR="00A3389E">
              <w:rPr>
                <w:rFonts w:ascii="Times New Roman" w:hAnsi="Times New Roman" w:cs="Times New Roman"/>
                <w:iCs/>
                <w:sz w:val="24"/>
              </w:rPr>
              <w:t xml:space="preserve"> v </w:t>
            </w:r>
            <w:r w:rsidRPr="00A3389E">
              <w:rPr>
                <w:rFonts w:ascii="Times New Roman" w:hAnsi="Times New Roman" w:cs="Times New Roman"/>
                <w:iCs/>
                <w:sz w:val="24"/>
              </w:rPr>
              <w:t>zaradení;</w:t>
            </w:r>
          </w:p>
          <w:p w14:paraId="4CD1D6C5" w14:textId="77777777"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expozície voči podnikateľským subjektom – iné.</w:t>
            </w:r>
          </w:p>
          <w:p w14:paraId="29292067" w14:textId="51D1F65A"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Pri triede expozícií „retailové expozície“ [článok 147 ods. 2 písm. d)</w:t>
            </w:r>
            <w:r w:rsidR="00A3389E">
              <w:rPr>
                <w:rFonts w:ascii="Times New Roman" w:hAnsi="Times New Roman" w:cs="Times New Roman"/>
                <w:iCs/>
                <w:sz w:val="24"/>
              </w:rPr>
              <w:t xml:space="preserve"> a </w:t>
            </w:r>
            <w:r w:rsidRPr="00A3389E">
              <w:rPr>
                <w:rFonts w:ascii="Times New Roman" w:hAnsi="Times New Roman" w:cs="Times New Roman"/>
                <w:iCs/>
                <w:sz w:val="24"/>
              </w:rPr>
              <w:t>článok 147 ods. 5 CRR] inštitúcie zverejňujú ďalšie rozčlenenie pre:</w:t>
            </w:r>
          </w:p>
          <w:p w14:paraId="29CCEB48" w14:textId="252B71BF"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lastRenderedPageBreak/>
              <w:t>a)</w:t>
            </w:r>
            <w:r w:rsidRPr="00A3389E">
              <w:rPr>
                <w:rFonts w:ascii="Times New Roman" w:hAnsi="Times New Roman" w:cs="Times New Roman"/>
              </w:rPr>
              <w:tab/>
            </w:r>
            <w:r w:rsidRPr="00A3389E">
              <w:rPr>
                <w:rFonts w:ascii="Times New Roman" w:hAnsi="Times New Roman" w:cs="Times New Roman"/>
                <w:iCs/>
                <w:sz w:val="24"/>
              </w:rPr>
              <w:t>retailové expozície – MSP zabezpečené kolaterálom vo forme nehnuteľného majetku (v 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2</w:t>
            </w:r>
            <w:r w:rsidR="00A3389E">
              <w:rPr>
                <w:rFonts w:ascii="Times New Roman" w:hAnsi="Times New Roman" w:cs="Times New Roman"/>
                <w:iCs/>
                <w:sz w:val="24"/>
              </w:rPr>
              <w:t xml:space="preserve"> a </w:t>
            </w:r>
            <w:r w:rsidRPr="00A3389E">
              <w:rPr>
                <w:rFonts w:ascii="Times New Roman" w:hAnsi="Times New Roman" w:cs="Times New Roman"/>
                <w:iCs/>
                <w:sz w:val="24"/>
              </w:rPr>
              <w:t>3 CRR);</w:t>
            </w:r>
          </w:p>
          <w:p w14:paraId="356AF728" w14:textId="6D0B50E5"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b)</w:t>
            </w:r>
            <w:r w:rsidRPr="00A3389E">
              <w:rPr>
                <w:rFonts w:ascii="Times New Roman" w:hAnsi="Times New Roman" w:cs="Times New Roman"/>
              </w:rPr>
              <w:tab/>
            </w:r>
            <w:r w:rsidRPr="00A3389E">
              <w:rPr>
                <w:rFonts w:ascii="Times New Roman" w:hAnsi="Times New Roman" w:cs="Times New Roman"/>
                <w:iCs/>
                <w:sz w:val="24"/>
              </w:rPr>
              <w:t>retailové expozície – iné než MSP, zabezpečené kolaterálom vo forme nehnuteľného majetku (v 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3 CRR);</w:t>
            </w:r>
          </w:p>
          <w:p w14:paraId="639896BD" w14:textId="24F1834E"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retailové expozície – kvalifikovaný revolving (v 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4 CRR);</w:t>
            </w:r>
          </w:p>
          <w:p w14:paraId="6FDBCF5C" w14:textId="77777777"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d)</w:t>
            </w:r>
            <w:r w:rsidRPr="00A3389E">
              <w:rPr>
                <w:rFonts w:ascii="Times New Roman" w:hAnsi="Times New Roman" w:cs="Times New Roman"/>
                <w:iCs/>
                <w:sz w:val="24"/>
              </w:rPr>
              <w:tab/>
              <w:t>retailové expozície – MSP iné;</w:t>
            </w:r>
          </w:p>
          <w:p w14:paraId="5EAF028B" w14:textId="77777777" w:rsidR="000646F8" w:rsidRPr="00A3389E" w:rsidRDefault="000646F8" w:rsidP="00155C96">
            <w:pPr>
              <w:autoSpaceDE w:val="0"/>
              <w:autoSpaceDN w:val="0"/>
              <w:adjustRightInd w:val="0"/>
              <w:spacing w:after="120"/>
              <w:ind w:left="720"/>
              <w:jc w:val="both"/>
              <w:rPr>
                <w:rFonts w:ascii="Times New Roman" w:hAnsi="Times New Roman" w:cs="Times New Roman"/>
                <w:sz w:val="24"/>
              </w:rPr>
            </w:pPr>
            <w:r w:rsidRPr="00A3389E">
              <w:rPr>
                <w:rFonts w:ascii="Times New Roman" w:hAnsi="Times New Roman" w:cs="Times New Roman"/>
                <w:iCs/>
                <w:sz w:val="24"/>
              </w:rPr>
              <w:t>e)</w:t>
            </w:r>
            <w:r w:rsidRPr="00A3389E">
              <w:rPr>
                <w:rFonts w:ascii="Times New Roman" w:hAnsi="Times New Roman" w:cs="Times New Roman"/>
                <w:iCs/>
                <w:sz w:val="24"/>
              </w:rPr>
              <w:tab/>
              <w:t>retailové expozície – iné než MSP, iné.</w:t>
            </w:r>
          </w:p>
        </w:tc>
      </w:tr>
      <w:tr w:rsidR="000646F8" w:rsidRPr="00A3389E" w14:paraId="1CFE88CD" w14:textId="77777777" w:rsidTr="00155C96">
        <w:trPr>
          <w:trHeight w:val="316"/>
        </w:trPr>
        <w:tc>
          <w:tcPr>
            <w:tcW w:w="1413" w:type="dxa"/>
          </w:tcPr>
          <w:p w14:paraId="00DB739B"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10</w:t>
            </w:r>
          </w:p>
        </w:tc>
        <w:tc>
          <w:tcPr>
            <w:tcW w:w="7654" w:type="dxa"/>
          </w:tcPr>
          <w:p w14:paraId="7DEEBEAC" w14:textId="30D07A50"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CELKOVÉ EXPOZÍCIE (vrátane expozícií podľa F-IRB</w:t>
            </w:r>
            <w:r w:rsidR="00A3389E">
              <w:rPr>
                <w:rFonts w:ascii="Times New Roman" w:hAnsi="Times New Roman" w:cs="Times New Roman"/>
                <w:sz w:val="24"/>
              </w:rPr>
              <w:t xml:space="preserve"> a </w:t>
            </w:r>
            <w:r w:rsidRPr="00A3389E">
              <w:rPr>
                <w:rFonts w:ascii="Times New Roman" w:hAnsi="Times New Roman" w:cs="Times New Roman"/>
                <w:sz w:val="24"/>
              </w:rPr>
              <w:t>expozícií podľa A-IRB)</w:t>
            </w:r>
          </w:p>
          <w:p w14:paraId="4B15C39F" w14:textId="4BB2799F"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Celková hodnota rizikovo váženej expozície pred uznaním kreditných derivátov</w:t>
            </w:r>
            <w:r w:rsidR="00A3389E">
              <w:rPr>
                <w:rFonts w:ascii="Times New Roman" w:hAnsi="Times New Roman" w:cs="Times New Roman"/>
                <w:sz w:val="24"/>
              </w:rPr>
              <w:t xml:space="preserve"> a </w:t>
            </w:r>
            <w:r w:rsidRPr="00A3389E">
              <w:rPr>
                <w:rFonts w:ascii="Times New Roman" w:hAnsi="Times New Roman" w:cs="Times New Roman"/>
                <w:sz w:val="24"/>
              </w:rPr>
              <w:t>celková skutočná hodnota rizikovo váženej expozície pre všetky expozície podľa IRB (vrátane F-IRB</w:t>
            </w:r>
            <w:r w:rsidR="00A3389E">
              <w:rPr>
                <w:rFonts w:ascii="Times New Roman" w:hAnsi="Times New Roman" w:cs="Times New Roman"/>
                <w:sz w:val="24"/>
              </w:rPr>
              <w:t xml:space="preserve"> a </w:t>
            </w:r>
            <w:r w:rsidRPr="00A3389E">
              <w:rPr>
                <w:rFonts w:ascii="Times New Roman" w:hAnsi="Times New Roman" w:cs="Times New Roman"/>
                <w:sz w:val="24"/>
              </w:rPr>
              <w:t>A-IRB).</w:t>
            </w:r>
          </w:p>
        </w:tc>
      </w:tr>
    </w:tbl>
    <w:p w14:paraId="6BD2D25F" w14:textId="77777777" w:rsidR="000646F8" w:rsidRPr="00A3389E" w:rsidRDefault="000646F8" w:rsidP="000646F8">
      <w:pPr>
        <w:spacing w:after="120"/>
        <w:rPr>
          <w:rFonts w:ascii="Times New Roman" w:hAnsi="Times New Roman" w:cs="Times New Roman"/>
          <w:sz w:val="24"/>
        </w:rPr>
      </w:pPr>
    </w:p>
    <w:p w14:paraId="6565A00B" w14:textId="77777777" w:rsidR="00A3389E" w:rsidRPr="00A3389E" w:rsidRDefault="00CD362D" w:rsidP="000646F8">
      <w:pPr>
        <w:spacing w:after="120"/>
        <w:rPr>
          <w:rFonts w:ascii="Times New Roman" w:hAnsi="Times New Roman" w:cs="Times New Roman"/>
          <w:b/>
          <w:sz w:val="24"/>
        </w:rPr>
      </w:pPr>
      <w:r w:rsidRPr="00A3389E">
        <w:rPr>
          <w:rFonts w:ascii="Times New Roman" w:hAnsi="Times New Roman" w:cs="Times New Roman"/>
          <w:b/>
          <w:sz w:val="24"/>
        </w:rPr>
        <w:t>Vzor EU CR7-A – Prístup IRB – Zverejňovanie rozsahu používania postupov zmierňovania kreditného rizika</w:t>
      </w:r>
    </w:p>
    <w:p w14:paraId="7A5DAE09" w14:textId="65E219DA" w:rsidR="000646F8" w:rsidRPr="00A3389E" w:rsidRDefault="00A3389E" w:rsidP="00A3389E">
      <w:pPr>
        <w:spacing w:after="120"/>
        <w:ind w:left="714" w:hanging="357"/>
        <w:jc w:val="both"/>
        <w:rPr>
          <w:rFonts w:ascii="Times New Roman" w:hAnsi="Times New Roman"/>
          <w:sz w:val="24"/>
        </w:rPr>
      </w:pPr>
      <w:r w:rsidRPr="00A3389E">
        <w:rPr>
          <w:rFonts w:ascii="Times New Roman" w:eastAsia="Calibri" w:hAnsi="Times New Roman" w:cs="Times New Roman"/>
          <w:sz w:val="24"/>
          <w:szCs w:val="22"/>
        </w:rPr>
        <w:t>7.</w:t>
      </w:r>
      <w:r w:rsidRPr="00A3389E">
        <w:rPr>
          <w:rFonts w:ascii="Times New Roman" w:eastAsia="Calibri" w:hAnsi="Times New Roman" w:cs="Times New Roman"/>
          <w:sz w:val="24"/>
          <w:szCs w:val="22"/>
        </w:rPr>
        <w:tab/>
      </w:r>
      <w:r w:rsidR="000646F8" w:rsidRPr="00A3389E">
        <w:rPr>
          <w:rFonts w:ascii="Times New Roman" w:hAnsi="Times New Roman"/>
          <w:sz w:val="24"/>
        </w:rPr>
        <w:t>Inštitúcie zverejňujú informácie uvedené</w:t>
      </w:r>
      <w:r>
        <w:rPr>
          <w:rFonts w:ascii="Times New Roman" w:hAnsi="Times New Roman"/>
          <w:sz w:val="24"/>
        </w:rPr>
        <w:t xml:space="preserve"> v </w:t>
      </w:r>
      <w:r w:rsidR="000646F8" w:rsidRPr="00A3389E">
        <w:rPr>
          <w:rFonts w:ascii="Times New Roman" w:hAnsi="Times New Roman"/>
          <w:sz w:val="24"/>
        </w:rPr>
        <w:t>článku 453 písm. g) CRR osobitne pre expozície podľa prístupov A-IRB</w:t>
      </w:r>
      <w:r>
        <w:rPr>
          <w:rFonts w:ascii="Times New Roman" w:hAnsi="Times New Roman"/>
          <w:sz w:val="24"/>
        </w:rPr>
        <w:t xml:space="preserve"> a </w:t>
      </w:r>
      <w:r w:rsidR="000646F8" w:rsidRPr="00A3389E">
        <w:rPr>
          <w:rFonts w:ascii="Times New Roman" w:hAnsi="Times New Roman"/>
          <w:sz w:val="24"/>
        </w:rPr>
        <w:t>F-IRB podľa pokynov uvedených nižšie</w:t>
      </w:r>
      <w:r>
        <w:rPr>
          <w:rFonts w:ascii="Times New Roman" w:hAnsi="Times New Roman"/>
          <w:sz w:val="24"/>
        </w:rPr>
        <w:t xml:space="preserve"> v </w:t>
      </w:r>
      <w:r w:rsidR="000646F8" w:rsidRPr="00A3389E">
        <w:rPr>
          <w:rFonts w:ascii="Times New Roman" w:hAnsi="Times New Roman"/>
          <w:sz w:val="24"/>
        </w:rPr>
        <w:t>tejto prílohe</w:t>
      </w:r>
      <w:r>
        <w:rPr>
          <w:rFonts w:ascii="Times New Roman" w:hAnsi="Times New Roman"/>
          <w:sz w:val="24"/>
        </w:rPr>
        <w:t xml:space="preserve"> s </w:t>
      </w:r>
      <w:r w:rsidR="000646F8" w:rsidRPr="00A3389E">
        <w:rPr>
          <w:rFonts w:ascii="Times New Roman" w:hAnsi="Times New Roman"/>
          <w:sz w:val="24"/>
        </w:rPr>
        <w:t>cieľom vyplniť vzor EU CR7-A, ktorý je uvedený</w:t>
      </w:r>
      <w:r>
        <w:rPr>
          <w:rFonts w:ascii="Times New Roman" w:hAnsi="Times New Roman"/>
          <w:sz w:val="24"/>
        </w:rPr>
        <w:t xml:space="preserve"> v </w:t>
      </w:r>
      <w:r w:rsidR="000646F8" w:rsidRPr="00A3389E">
        <w:rPr>
          <w:rFonts w:ascii="Times New Roman" w:hAnsi="Times New Roman"/>
          <w:sz w:val="24"/>
        </w:rPr>
        <w:t>prílohe XXI</w:t>
      </w:r>
      <w:r>
        <w:rPr>
          <w:rFonts w:ascii="Times New Roman" w:hAnsi="Times New Roman"/>
          <w:sz w:val="24"/>
        </w:rPr>
        <w:t xml:space="preserve"> k </w:t>
      </w:r>
      <w:r w:rsidR="000646F8" w:rsidRPr="00A3389E">
        <w:rPr>
          <w:rFonts w:ascii="Times New Roman" w:hAnsi="Times New Roman"/>
          <w:sz w:val="24"/>
        </w:rPr>
        <w:t>tomuto vykonávaciemu nariadeniu. Ak sa položka financovaného zabezpečenia vzťahuje na viac ako jednu expozíciu, súčet expozícií, ktoré sa považujú za zabezpečené touto položkou, nesmie presiahnuť hodnotu položky zabezpečenia.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A3389E"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51E233D1"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646F8" w:rsidRPr="00A3389E" w14:paraId="64CA6538" w14:textId="77777777" w:rsidTr="00155C96">
        <w:trPr>
          <w:trHeight w:val="2388"/>
        </w:trPr>
        <w:tc>
          <w:tcPr>
            <w:tcW w:w="1413" w:type="dxa"/>
          </w:tcPr>
          <w:p w14:paraId="0F41D8A4" w14:textId="77777777"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a</w:t>
            </w:r>
          </w:p>
        </w:tc>
        <w:tc>
          <w:tcPr>
            <w:tcW w:w="7654" w:type="dxa"/>
          </w:tcPr>
          <w:p w14:paraId="6C20BE14" w14:textId="4AA60E28" w:rsidR="000646F8" w:rsidRPr="00A3389E" w:rsidRDefault="009674E9" w:rsidP="00155C96">
            <w:pPr>
              <w:spacing w:after="120"/>
              <w:jc w:val="both"/>
              <w:rPr>
                <w:rFonts w:ascii="Times New Roman" w:hAnsi="Times New Roman" w:cs="Times New Roman"/>
                <w:b/>
                <w:sz w:val="24"/>
              </w:rPr>
            </w:pPr>
            <w:r w:rsidRPr="00A3389E">
              <w:rPr>
                <w:rFonts w:ascii="Times New Roman" w:hAnsi="Times New Roman" w:cs="Times New Roman"/>
                <w:b/>
                <w:sz w:val="24"/>
              </w:rPr>
              <w:t>Celkové expozície</w:t>
            </w:r>
          </w:p>
          <w:p w14:paraId="3F28EF70" w14:textId="5BD4D22F"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Hodnota expozície (po uplatnení konverzných faktorov)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166 až 167 CRR.</w:t>
            </w:r>
          </w:p>
          <w:p w14:paraId="2076845D" w14:textId="7594DEB4" w:rsidR="000646F8" w:rsidRPr="00B2251E" w:rsidRDefault="000646F8" w:rsidP="00155C96">
            <w:pPr>
              <w:spacing w:after="120"/>
              <w:jc w:val="both"/>
              <w:rPr>
                <w:rFonts w:ascii="Times New Roman" w:hAnsi="Times New Roman" w:cs="Times New Roman"/>
                <w:spacing w:val="-4"/>
                <w:sz w:val="24"/>
              </w:rPr>
            </w:pPr>
            <w:r w:rsidRPr="00B2251E">
              <w:rPr>
                <w:rFonts w:ascii="Times New Roman" w:hAnsi="Times New Roman" w:cs="Times New Roman"/>
                <w:spacing w:val="-4"/>
                <w:sz w:val="24"/>
              </w:rPr>
              <w:t>Expozície sa zverejňujú</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súlade</w:t>
            </w:r>
            <w:r w:rsidR="00A3389E" w:rsidRPr="00B2251E">
              <w:rPr>
                <w:rFonts w:ascii="Times New Roman" w:hAnsi="Times New Roman" w:cs="Times New Roman"/>
                <w:spacing w:val="-4"/>
                <w:sz w:val="24"/>
              </w:rPr>
              <w:t xml:space="preserve"> s </w:t>
            </w:r>
            <w:r w:rsidRPr="00B2251E">
              <w:rPr>
                <w:rFonts w:ascii="Times New Roman" w:hAnsi="Times New Roman" w:cs="Times New Roman"/>
                <w:spacing w:val="-4"/>
                <w:sz w:val="24"/>
              </w:rPr>
              <w:t>triedou expozícií uplatniteľnou na dlžníka bez zohľadnenia akýchkoľvek substitučných účinkov</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dôsledku existencie záruky.</w:t>
            </w:r>
          </w:p>
          <w:p w14:paraId="7DC0B41B" w14:textId="40ACDB51" w:rsidR="000646F8" w:rsidRPr="00A3389E" w:rsidRDefault="000646F8" w:rsidP="00155C96">
            <w:pPr>
              <w:spacing w:after="120"/>
              <w:jc w:val="both"/>
              <w:rPr>
                <w:rFonts w:ascii="Times New Roman" w:hAnsi="Times New Roman" w:cs="Times New Roman"/>
                <w:sz w:val="24"/>
              </w:rPr>
            </w:pPr>
            <w:r w:rsidRPr="00B2251E">
              <w:rPr>
                <w:rFonts w:ascii="Times New Roman" w:hAnsi="Times New Roman" w:cs="Times New Roman"/>
                <w:spacing w:val="-4"/>
                <w:sz w:val="24"/>
              </w:rPr>
              <w:t>Inštitúcie, ktoré uplatňujú jednoduchý prístup založený na použití rizikovej váhy, zohľadňujú aj ustanovenia</w:t>
            </w:r>
            <w:r w:rsidR="00A3389E" w:rsidRPr="00B2251E">
              <w:rPr>
                <w:rFonts w:ascii="Times New Roman" w:hAnsi="Times New Roman" w:cs="Times New Roman"/>
                <w:spacing w:val="-4"/>
                <w:sz w:val="24"/>
              </w:rPr>
              <w:t xml:space="preserve"> o </w:t>
            </w:r>
            <w:r w:rsidRPr="00B2251E">
              <w:rPr>
                <w:rFonts w:ascii="Times New Roman" w:hAnsi="Times New Roman" w:cs="Times New Roman"/>
                <w:spacing w:val="-4"/>
                <w:sz w:val="24"/>
              </w:rPr>
              <w:t>kompenzácii uvedené</w:t>
            </w:r>
            <w:r w:rsidR="00A3389E" w:rsidRPr="00B2251E">
              <w:rPr>
                <w:rFonts w:ascii="Times New Roman" w:hAnsi="Times New Roman" w:cs="Times New Roman"/>
                <w:spacing w:val="-4"/>
                <w:sz w:val="24"/>
              </w:rPr>
              <w:t xml:space="preserve"> v </w:t>
            </w:r>
            <w:r w:rsidRPr="00B2251E">
              <w:rPr>
                <w:rFonts w:ascii="Times New Roman" w:hAnsi="Times New Roman" w:cs="Times New Roman"/>
                <w:spacing w:val="-4"/>
                <w:sz w:val="24"/>
              </w:rPr>
              <w:t>článku 155 ods. 2 CRR.</w:t>
            </w:r>
          </w:p>
        </w:tc>
      </w:tr>
      <w:tr w:rsidR="000646F8" w:rsidRPr="00A3389E" w14:paraId="20E39548" w14:textId="77777777" w:rsidTr="00155C96">
        <w:trPr>
          <w:trHeight w:val="316"/>
        </w:trPr>
        <w:tc>
          <w:tcPr>
            <w:tcW w:w="1413" w:type="dxa"/>
          </w:tcPr>
          <w:p w14:paraId="439A0776"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b</w:t>
            </w:r>
          </w:p>
        </w:tc>
        <w:tc>
          <w:tcPr>
            <w:tcW w:w="7654" w:type="dxa"/>
          </w:tcPr>
          <w:p w14:paraId="071D05D9" w14:textId="3C8375D6"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FCP – Časť expozícií krytá finančným kolaterálom (%)</w:t>
            </w:r>
          </w:p>
          <w:p w14:paraId="7F761059" w14:textId="5EDBE641"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finančným kolaterálom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p w14:paraId="6F5E2136" w14:textId="63950518"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Ak sú splnené všetky požiadavky stanovené</w:t>
            </w:r>
            <w:r w:rsidR="00A3389E">
              <w:rPr>
                <w:rFonts w:ascii="Times New Roman" w:hAnsi="Times New Roman" w:cs="Times New Roman"/>
                <w:sz w:val="24"/>
              </w:rPr>
              <w:t xml:space="preserve"> v </w:t>
            </w:r>
            <w:r w:rsidRPr="00A3389E">
              <w:rPr>
                <w:rFonts w:ascii="Times New Roman" w:hAnsi="Times New Roman" w:cs="Times New Roman"/>
                <w:sz w:val="24"/>
              </w:rPr>
              <w:t>článku 207 ods. 2 až 4 CRR, do čitateľa sa zahŕňa finančný kolaterál vrátane peňažného kolaterálu, dlhových cenných papierov</w:t>
            </w:r>
            <w:r w:rsidR="00A3389E">
              <w:rPr>
                <w:rFonts w:ascii="Times New Roman" w:hAnsi="Times New Roman" w:cs="Times New Roman"/>
                <w:sz w:val="24"/>
              </w:rPr>
              <w:t xml:space="preserve"> a </w:t>
            </w:r>
            <w:r w:rsidRPr="00A3389E">
              <w:rPr>
                <w:rFonts w:ascii="Times New Roman" w:hAnsi="Times New Roman" w:cs="Times New Roman"/>
                <w:sz w:val="24"/>
              </w:rPr>
              <w:t>zlata,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článkoch 197</w:t>
            </w:r>
            <w:r w:rsidR="00A3389E">
              <w:rPr>
                <w:rFonts w:ascii="Times New Roman" w:hAnsi="Times New Roman" w:cs="Times New Roman"/>
                <w:sz w:val="24"/>
              </w:rPr>
              <w:t xml:space="preserve"> a </w:t>
            </w:r>
            <w:r w:rsidRPr="00A3389E">
              <w:rPr>
                <w:rFonts w:ascii="Times New Roman" w:hAnsi="Times New Roman" w:cs="Times New Roman"/>
                <w:sz w:val="24"/>
              </w:rPr>
              <w:t xml:space="preserve">198 CRR. Hodnota </w:t>
            </w:r>
            <w:r w:rsidRPr="00A3389E">
              <w:rPr>
                <w:rFonts w:ascii="Times New Roman" w:hAnsi="Times New Roman" w:cs="Times New Roman"/>
                <w:sz w:val="24"/>
              </w:rPr>
              <w:lastRenderedPageBreak/>
              <w:t>zverejňovaného kolaterálu je obmedzená na hodnotu expozície na úrovni jednotlivej expozície.</w:t>
            </w:r>
          </w:p>
          <w:p w14:paraId="092D10A1" w14:textId="54C46810"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Ak sa používajú vlastné odhady LGD: finančný kolaterál zohľadnený</w:t>
            </w:r>
            <w:r w:rsidR="00A3389E">
              <w:rPr>
                <w:rFonts w:ascii="Times New Roman" w:hAnsi="Times New Roman" w:cs="Times New Roman"/>
                <w:sz w:val="24"/>
              </w:rPr>
              <w:t xml:space="preserve"> v </w:t>
            </w:r>
            <w:r w:rsidRPr="00A3389E">
              <w:rPr>
                <w:rFonts w:ascii="Times New Roman" w:hAnsi="Times New Roman" w:cs="Times New Roman"/>
                <w:sz w:val="24"/>
              </w:rPr>
              <w:t>odhadoch LGD</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181 ods. 1 písm. e)</w:t>
            </w:r>
            <w:r w:rsidR="00A3389E">
              <w:rPr>
                <w:rFonts w:ascii="Times New Roman" w:hAnsi="Times New Roman" w:cs="Times New Roman"/>
                <w:sz w:val="24"/>
              </w:rPr>
              <w:t xml:space="preserve"> a </w:t>
            </w:r>
            <w:r w:rsidRPr="00A3389E">
              <w:rPr>
                <w:rFonts w:ascii="Times New Roman" w:hAnsi="Times New Roman" w:cs="Times New Roman"/>
                <w:sz w:val="24"/>
              </w:rPr>
              <w:t xml:space="preserve">f) CRR. Zverejňovanou hodnotou je odhadovaná trhová hodnota kolaterálu. </w:t>
            </w:r>
          </w:p>
        </w:tc>
      </w:tr>
      <w:tr w:rsidR="000646F8" w:rsidRPr="00A3389E" w14:paraId="5EB574BD" w14:textId="77777777" w:rsidTr="00155C96">
        <w:trPr>
          <w:trHeight w:val="316"/>
        </w:trPr>
        <w:tc>
          <w:tcPr>
            <w:tcW w:w="1413" w:type="dxa"/>
          </w:tcPr>
          <w:p w14:paraId="55E2A5C0"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c</w:t>
            </w:r>
          </w:p>
        </w:tc>
        <w:tc>
          <w:tcPr>
            <w:tcW w:w="7654" w:type="dxa"/>
          </w:tcPr>
          <w:p w14:paraId="72FD923C"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FCP – Časť expozícií krytá iným prípustným kolaterálom (%)</w:t>
            </w:r>
          </w:p>
          <w:p w14:paraId="04DFFFB0" w14:textId="5BD90E63"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iným prípustným kolaterálom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p w14:paraId="2060A807" w14:textId="0D187ED1" w:rsidR="000646F8" w:rsidRPr="00B2251E" w:rsidRDefault="000646F8" w:rsidP="00155C96">
            <w:pPr>
              <w:autoSpaceDE w:val="0"/>
              <w:autoSpaceDN w:val="0"/>
              <w:adjustRightInd w:val="0"/>
              <w:spacing w:after="120"/>
              <w:jc w:val="both"/>
              <w:rPr>
                <w:rFonts w:ascii="Times New Roman" w:hAnsi="Times New Roman" w:cs="Times New Roman"/>
                <w:spacing w:val="-8"/>
                <w:sz w:val="24"/>
              </w:rPr>
            </w:pPr>
            <w:r w:rsidRPr="00B2251E">
              <w:rPr>
                <w:rFonts w:ascii="Times New Roman" w:hAnsi="Times New Roman" w:cs="Times New Roman"/>
                <w:spacing w:val="-8"/>
                <w:sz w:val="24"/>
              </w:rPr>
              <w:t>Hodnoty zverejňované</w:t>
            </w:r>
            <w:r w:rsidR="00A3389E" w:rsidRPr="00B2251E">
              <w:rPr>
                <w:rFonts w:ascii="Times New Roman" w:hAnsi="Times New Roman" w:cs="Times New Roman"/>
                <w:spacing w:val="-8"/>
                <w:sz w:val="24"/>
              </w:rPr>
              <w:t xml:space="preserve"> v </w:t>
            </w:r>
            <w:r w:rsidRPr="00B2251E">
              <w:rPr>
                <w:rFonts w:ascii="Times New Roman" w:hAnsi="Times New Roman" w:cs="Times New Roman"/>
                <w:spacing w:val="-8"/>
                <w:sz w:val="24"/>
              </w:rPr>
              <w:t>tomto stĺpci sú súčtom hodnôt</w:t>
            </w:r>
            <w:r w:rsidR="00A3389E" w:rsidRPr="00B2251E">
              <w:rPr>
                <w:rFonts w:ascii="Times New Roman" w:hAnsi="Times New Roman" w:cs="Times New Roman"/>
                <w:spacing w:val="-8"/>
                <w:sz w:val="24"/>
              </w:rPr>
              <w:t xml:space="preserve"> v </w:t>
            </w:r>
            <w:r w:rsidRPr="00B2251E">
              <w:rPr>
                <w:rFonts w:ascii="Times New Roman" w:hAnsi="Times New Roman" w:cs="Times New Roman"/>
                <w:spacing w:val="-8"/>
                <w:sz w:val="24"/>
              </w:rPr>
              <w:t>stĺpcoch d až f tohto vzoru.</w:t>
            </w:r>
          </w:p>
          <w:p w14:paraId="371AEB03" w14:textId="62549AB5" w:rsidR="000646F8" w:rsidRPr="00B2251E" w:rsidRDefault="000646F8" w:rsidP="00155C96">
            <w:pPr>
              <w:spacing w:after="120"/>
              <w:rPr>
                <w:rFonts w:ascii="Times New Roman" w:hAnsi="Times New Roman" w:cs="Times New Roman"/>
                <w:spacing w:val="-8"/>
                <w:sz w:val="24"/>
              </w:rPr>
            </w:pPr>
            <w:r w:rsidRPr="00B2251E">
              <w:rPr>
                <w:rFonts w:ascii="Times New Roman" w:hAnsi="Times New Roman" w:cs="Times New Roman"/>
                <w:spacing w:val="-8"/>
                <w:sz w:val="24"/>
              </w:rPr>
              <w:t>Keď sa nepoužívajú vlastné odhady LGD: článok 199 ods. 1 až 8</w:t>
            </w:r>
            <w:r w:rsidR="00A3389E" w:rsidRPr="00B2251E">
              <w:rPr>
                <w:rFonts w:ascii="Times New Roman" w:hAnsi="Times New Roman" w:cs="Times New Roman"/>
                <w:spacing w:val="-8"/>
                <w:sz w:val="24"/>
              </w:rPr>
              <w:t xml:space="preserve"> a </w:t>
            </w:r>
            <w:r w:rsidRPr="00B2251E">
              <w:rPr>
                <w:rFonts w:ascii="Times New Roman" w:hAnsi="Times New Roman" w:cs="Times New Roman"/>
                <w:spacing w:val="-8"/>
                <w:sz w:val="24"/>
              </w:rPr>
              <w:t>článok 229 CRR.</w:t>
            </w:r>
          </w:p>
          <w:p w14:paraId="1EB69D18" w14:textId="7C1F0573"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Keď sa používajú vlastné odhady LGD: iný kolaterál zohľadnený</w:t>
            </w:r>
            <w:r w:rsidR="00A3389E">
              <w:rPr>
                <w:rFonts w:ascii="Times New Roman" w:hAnsi="Times New Roman" w:cs="Times New Roman"/>
                <w:sz w:val="24"/>
              </w:rPr>
              <w:t xml:space="preserve"> v </w:t>
            </w:r>
            <w:r w:rsidRPr="00A3389E">
              <w:rPr>
                <w:rFonts w:ascii="Times New Roman" w:hAnsi="Times New Roman" w:cs="Times New Roman"/>
                <w:sz w:val="24"/>
              </w:rPr>
              <w:t>odhadoch LGD</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181 ods. 1 písm. e)</w:t>
            </w:r>
            <w:r w:rsidR="00A3389E">
              <w:rPr>
                <w:rFonts w:ascii="Times New Roman" w:hAnsi="Times New Roman" w:cs="Times New Roman"/>
                <w:sz w:val="24"/>
              </w:rPr>
              <w:t xml:space="preserve"> a </w:t>
            </w:r>
            <w:r w:rsidRPr="00A3389E">
              <w:rPr>
                <w:rFonts w:ascii="Times New Roman" w:hAnsi="Times New Roman" w:cs="Times New Roman"/>
                <w:sz w:val="24"/>
              </w:rPr>
              <w:t>f) CRR.</w:t>
            </w:r>
          </w:p>
        </w:tc>
      </w:tr>
      <w:tr w:rsidR="000646F8" w:rsidRPr="00A3389E" w14:paraId="39BA0574" w14:textId="77777777" w:rsidTr="00155C96">
        <w:trPr>
          <w:trHeight w:val="316"/>
        </w:trPr>
        <w:tc>
          <w:tcPr>
            <w:tcW w:w="1413" w:type="dxa"/>
          </w:tcPr>
          <w:p w14:paraId="724C5A63"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d</w:t>
            </w:r>
          </w:p>
        </w:tc>
        <w:tc>
          <w:tcPr>
            <w:tcW w:w="7654" w:type="dxa"/>
          </w:tcPr>
          <w:p w14:paraId="76347F19" w14:textId="655FCE6B"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FCP – Časť expozícií krytá kolaterálom vo forme nehnuteľného majetku (%)</w:t>
            </w:r>
          </w:p>
          <w:p w14:paraId="56FCDB17" w14:textId="0885C4BA"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kolaterálom vo forme nehnuteľného majetku vrátane prenájmu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199 ods. 7 CRR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p w14:paraId="75664E34" w14:textId="005B32AF" w:rsidR="00A3389E" w:rsidRPr="00A3389E" w:rsidRDefault="000646F8" w:rsidP="00155C96">
            <w:pPr>
              <w:spacing w:after="120"/>
              <w:rPr>
                <w:rFonts w:ascii="Times New Roman" w:hAnsi="Times New Roman" w:cs="Times New Roman"/>
                <w:sz w:val="24"/>
              </w:rPr>
            </w:pPr>
            <w:r w:rsidRPr="00A3389E">
              <w:rPr>
                <w:rFonts w:ascii="Times New Roman" w:hAnsi="Times New Roman" w:cs="Times New Roman"/>
                <w:sz w:val="24"/>
              </w:rPr>
              <w:t>Kolaterál vo forme nehnuteľného majetku sa zahŕňa do čitateľa, ak spĺňa všetky požiadavky prípustnosti stanovené</w:t>
            </w:r>
            <w:r w:rsidR="00A3389E">
              <w:rPr>
                <w:rFonts w:ascii="Times New Roman" w:hAnsi="Times New Roman" w:cs="Times New Roman"/>
                <w:sz w:val="24"/>
              </w:rPr>
              <w:t xml:space="preserve"> v </w:t>
            </w:r>
            <w:r w:rsidRPr="00A3389E">
              <w:rPr>
                <w:rFonts w:ascii="Times New Roman" w:hAnsi="Times New Roman" w:cs="Times New Roman"/>
                <w:sz w:val="24"/>
              </w:rPr>
              <w:t>článku 208 ods. 2 až 5 CRR</w:t>
            </w:r>
            <w:r w:rsidR="00A3389E" w:rsidRPr="00A3389E">
              <w:rPr>
                <w:rFonts w:ascii="Times New Roman" w:hAnsi="Times New Roman" w:cs="Times New Roman"/>
                <w:sz w:val="24"/>
              </w:rPr>
              <w:t>.</w:t>
            </w:r>
          </w:p>
          <w:p w14:paraId="3C84478F" w14:textId="27752FF4" w:rsidR="000646F8" w:rsidRPr="00A3389E" w:rsidRDefault="000646F8" w:rsidP="00155C96">
            <w:pPr>
              <w:autoSpaceDE w:val="0"/>
              <w:autoSpaceDN w:val="0"/>
              <w:adjustRightInd w:val="0"/>
              <w:spacing w:after="120"/>
              <w:jc w:val="both"/>
              <w:rPr>
                <w:rFonts w:ascii="Times New Roman" w:hAnsi="Times New Roman" w:cs="Times New Roman"/>
              </w:rPr>
            </w:pPr>
            <w:r w:rsidRPr="00A3389E">
              <w:rPr>
                <w:rFonts w:ascii="Times New Roman" w:hAnsi="Times New Roman" w:cs="Times New Roman"/>
                <w:sz w:val="24"/>
              </w:rPr>
              <w:t>Prenájom nehnuteľného majetku sa zahŕňa do čitateľa, ak spĺňa všetky podmienky prípustnosti stanovené</w:t>
            </w:r>
            <w:r w:rsidR="00A3389E">
              <w:rPr>
                <w:rFonts w:ascii="Times New Roman" w:hAnsi="Times New Roman" w:cs="Times New Roman"/>
                <w:sz w:val="24"/>
              </w:rPr>
              <w:t xml:space="preserve"> v </w:t>
            </w:r>
            <w:r w:rsidRPr="00A3389E">
              <w:rPr>
                <w:rFonts w:ascii="Times New Roman" w:hAnsi="Times New Roman" w:cs="Times New Roman"/>
                <w:sz w:val="24"/>
              </w:rPr>
              <w:t>článku 211 CRR. Zverejňovaná hodnota kolaterálu je obmedzená na hodnotu expozície na úrovni jednotlivej expozície.</w:t>
            </w:r>
          </w:p>
        </w:tc>
      </w:tr>
      <w:tr w:rsidR="000646F8" w:rsidRPr="00A3389E" w14:paraId="2C9D2CBE" w14:textId="77777777" w:rsidTr="00155C96">
        <w:trPr>
          <w:trHeight w:val="316"/>
        </w:trPr>
        <w:tc>
          <w:tcPr>
            <w:tcW w:w="1413" w:type="dxa"/>
          </w:tcPr>
          <w:p w14:paraId="306FF813"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e</w:t>
            </w:r>
          </w:p>
        </w:tc>
        <w:tc>
          <w:tcPr>
            <w:tcW w:w="7654" w:type="dxa"/>
          </w:tcPr>
          <w:p w14:paraId="528CCEF0"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Časť expozícií krytá pohľadávkami (%)</w:t>
            </w:r>
          </w:p>
          <w:p w14:paraId="7EEBA573" w14:textId="2D6D0821"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pohľadávkami</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199 ods. 5 CRR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p w14:paraId="31372BEF" w14:textId="052EE35C"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Pohľadávky sa zahŕňajú do čitateľa, ak spĺňajú všetky požiadavky prípustnosti stanovené</w:t>
            </w:r>
            <w:r w:rsidR="00A3389E">
              <w:rPr>
                <w:rFonts w:ascii="Times New Roman" w:hAnsi="Times New Roman" w:cs="Times New Roman"/>
                <w:sz w:val="24"/>
              </w:rPr>
              <w:t xml:space="preserve"> v </w:t>
            </w:r>
            <w:r w:rsidRPr="00A3389E">
              <w:rPr>
                <w:rFonts w:ascii="Times New Roman" w:hAnsi="Times New Roman" w:cs="Times New Roman"/>
                <w:sz w:val="24"/>
              </w:rPr>
              <w:t>článku 209 CRR. Zverejňovaná hodnota kolaterálu je obmedzená na hodnotu expozície na úrovni jednotlivej expozície.</w:t>
            </w:r>
          </w:p>
        </w:tc>
      </w:tr>
      <w:tr w:rsidR="000646F8" w:rsidRPr="00A3389E" w14:paraId="3E72DD3E" w14:textId="77777777" w:rsidTr="00155C96">
        <w:trPr>
          <w:trHeight w:val="316"/>
        </w:trPr>
        <w:tc>
          <w:tcPr>
            <w:tcW w:w="1413" w:type="dxa"/>
          </w:tcPr>
          <w:p w14:paraId="24CA425A"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f</w:t>
            </w:r>
          </w:p>
        </w:tc>
        <w:tc>
          <w:tcPr>
            <w:tcW w:w="7654" w:type="dxa"/>
          </w:tcPr>
          <w:p w14:paraId="7E603B8D"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Časť expozícií krytá iným fyzickým kolaterálom (%)</w:t>
            </w:r>
          </w:p>
          <w:p w14:paraId="4CD98DA7" w14:textId="1F2CDF76"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iným fyzickým kolaterálom vrátane prenájmu uvedených kolaterálov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199 ods. 6</w:t>
            </w:r>
            <w:r w:rsidR="00A3389E">
              <w:rPr>
                <w:rFonts w:ascii="Times New Roman" w:hAnsi="Times New Roman" w:cs="Times New Roman"/>
                <w:sz w:val="24"/>
              </w:rPr>
              <w:t xml:space="preserve"> a </w:t>
            </w:r>
            <w:r w:rsidRPr="00A3389E">
              <w:rPr>
                <w:rFonts w:ascii="Times New Roman" w:hAnsi="Times New Roman" w:cs="Times New Roman"/>
                <w:sz w:val="24"/>
              </w:rPr>
              <w:t>8 CRR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p w14:paraId="511C1C34" w14:textId="3861E611" w:rsidR="000646F8" w:rsidRPr="00A3389E" w:rsidRDefault="000646F8" w:rsidP="00155C96">
            <w:pPr>
              <w:spacing w:after="120"/>
              <w:rPr>
                <w:rFonts w:ascii="Times New Roman" w:eastAsia="Times New Roman" w:hAnsi="Times New Roman" w:cs="Times New Roman"/>
                <w:sz w:val="24"/>
              </w:rPr>
            </w:pPr>
            <w:r w:rsidRPr="00A3389E">
              <w:rPr>
                <w:rFonts w:ascii="Times New Roman" w:hAnsi="Times New Roman" w:cs="Times New Roman"/>
                <w:sz w:val="24"/>
              </w:rPr>
              <w:t>Iný fyzický kolaterál sa zahŕňa do čitateľa, ak spĺňa všetky požiadavky prípustnosti stanovené</w:t>
            </w:r>
            <w:r w:rsidR="00A3389E">
              <w:rPr>
                <w:rFonts w:ascii="Times New Roman" w:hAnsi="Times New Roman" w:cs="Times New Roman"/>
                <w:sz w:val="24"/>
              </w:rPr>
              <w:t xml:space="preserve"> v </w:t>
            </w:r>
            <w:r w:rsidRPr="00A3389E">
              <w:rPr>
                <w:rFonts w:ascii="Times New Roman" w:hAnsi="Times New Roman" w:cs="Times New Roman"/>
                <w:sz w:val="24"/>
              </w:rPr>
              <w:t>článku 210 CRR. Zverejňovaná hodnota kolaterálu je obmedzená na hodnotu expozície na úrovni jednotlivej expozície.</w:t>
            </w:r>
          </w:p>
        </w:tc>
      </w:tr>
      <w:tr w:rsidR="000646F8" w:rsidRPr="00A3389E" w14:paraId="13C30B60" w14:textId="77777777" w:rsidTr="00155C96">
        <w:trPr>
          <w:trHeight w:val="316"/>
        </w:trPr>
        <w:tc>
          <w:tcPr>
            <w:tcW w:w="1413" w:type="dxa"/>
          </w:tcPr>
          <w:p w14:paraId="579E7202"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g</w:t>
            </w:r>
          </w:p>
        </w:tc>
        <w:tc>
          <w:tcPr>
            <w:tcW w:w="7654" w:type="dxa"/>
          </w:tcPr>
          <w:p w14:paraId="74889270"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FCP – Časť expozícií krytá iným financovaným zabezpečením (%)</w:t>
            </w:r>
          </w:p>
          <w:p w14:paraId="3666B91E" w14:textId="5ADD3882"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lastRenderedPageBreak/>
              <w:t>Percentuálny podiel expozícií zabezpečených iným financovaným zabezpečením (FCP)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a</w:t>
            </w:r>
            <w:r w:rsidRPr="00A3389E">
              <w:rPr>
                <w:rFonts w:ascii="Times New Roman" w:hAnsi="Times New Roman" w:cs="Times New Roman"/>
                <w:sz w:val="24"/>
              </w:rPr>
              <w:t>.</w:t>
            </w:r>
          </w:p>
          <w:p w14:paraId="1DD87311" w14:textId="7692EFD9"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Hodnoty uvedené</w:t>
            </w:r>
            <w:r w:rsidR="00A3389E">
              <w:rPr>
                <w:rFonts w:ascii="Times New Roman" w:hAnsi="Times New Roman" w:cs="Times New Roman"/>
                <w:sz w:val="24"/>
              </w:rPr>
              <w:t xml:space="preserve"> v </w:t>
            </w:r>
            <w:r w:rsidRPr="00A3389E">
              <w:rPr>
                <w:rFonts w:ascii="Times New Roman" w:hAnsi="Times New Roman" w:cs="Times New Roman"/>
                <w:sz w:val="24"/>
              </w:rPr>
              <w:t>tomto stĺpci sú súčtom hodnôt</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stĺpcoch </w:t>
            </w:r>
            <w:r w:rsidRPr="00A3389E">
              <w:rPr>
                <w:rFonts w:ascii="Times New Roman" w:hAnsi="Times New Roman" w:cs="Times New Roman"/>
                <w:i/>
                <w:sz w:val="24"/>
              </w:rPr>
              <w:t>h</w:t>
            </w:r>
            <w:r w:rsidRPr="00A3389E">
              <w:rPr>
                <w:rFonts w:ascii="Times New Roman" w:hAnsi="Times New Roman" w:cs="Times New Roman"/>
                <w:sz w:val="24"/>
              </w:rPr>
              <w:t>,</w:t>
            </w:r>
            <w:r w:rsidR="00A3389E">
              <w:rPr>
                <w:rFonts w:ascii="Times New Roman" w:hAnsi="Times New Roman" w:cs="Times New Roman"/>
                <w:sz w:val="24"/>
              </w:rPr>
              <w:t xml:space="preserve"> i a </w:t>
            </w:r>
            <w:r w:rsidRPr="00A3389E">
              <w:rPr>
                <w:rFonts w:ascii="Times New Roman" w:hAnsi="Times New Roman" w:cs="Times New Roman"/>
                <w:i/>
                <w:sz w:val="24"/>
              </w:rPr>
              <w:t>j</w:t>
            </w:r>
            <w:r w:rsidRPr="00A3389E">
              <w:rPr>
                <w:rFonts w:ascii="Times New Roman" w:hAnsi="Times New Roman" w:cs="Times New Roman"/>
                <w:sz w:val="24"/>
              </w:rPr>
              <w:t xml:space="preserve"> tohto vzoru.</w:t>
            </w:r>
          </w:p>
        </w:tc>
      </w:tr>
      <w:tr w:rsidR="000646F8" w:rsidRPr="00A3389E" w14:paraId="6224A848" w14:textId="77777777" w:rsidTr="00155C96">
        <w:trPr>
          <w:trHeight w:val="316"/>
        </w:trPr>
        <w:tc>
          <w:tcPr>
            <w:tcW w:w="1413" w:type="dxa"/>
          </w:tcPr>
          <w:p w14:paraId="3C981E31"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h</w:t>
            </w:r>
          </w:p>
          <w:p w14:paraId="32CB201C"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FCP – Časť expozícií krytá peňažnými vkladmi (%)</w:t>
            </w:r>
          </w:p>
          <w:p w14:paraId="6C50A291" w14:textId="441B68F5" w:rsidR="00A3389E"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peňažnými prostriedkami alebo nástrojmi hotovostného typu</w:t>
            </w:r>
            <w:r w:rsidR="00A3389E">
              <w:rPr>
                <w:rFonts w:ascii="Times New Roman" w:hAnsi="Times New Roman" w:cs="Times New Roman"/>
                <w:sz w:val="24"/>
              </w:rPr>
              <w:t xml:space="preserve"> v </w:t>
            </w:r>
            <w:r w:rsidRPr="00A3389E">
              <w:rPr>
                <w:rFonts w:ascii="Times New Roman" w:hAnsi="Times New Roman" w:cs="Times New Roman"/>
                <w:sz w:val="24"/>
              </w:rPr>
              <w:t>držbe tretej strany, ktorá je inštitúciou,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 iné financované zabezpečenie zahŕňa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200 písm. a) CRR peňažný vklad alebo nástroje hotovostného typu</w:t>
            </w:r>
            <w:r w:rsidR="00A3389E">
              <w:rPr>
                <w:rFonts w:ascii="Times New Roman" w:hAnsi="Times New Roman" w:cs="Times New Roman"/>
                <w:sz w:val="24"/>
              </w:rPr>
              <w:t xml:space="preserve"> v </w:t>
            </w:r>
            <w:r w:rsidRPr="00A3389E">
              <w:rPr>
                <w:rFonts w:ascii="Times New Roman" w:hAnsi="Times New Roman" w:cs="Times New Roman"/>
                <w:sz w:val="24"/>
              </w:rPr>
              <w:t>držbe tretej strany, ktorá je inštitúciou, na základe inej dohody než dohoda</w:t>
            </w:r>
            <w:r w:rsidR="00A3389E">
              <w:rPr>
                <w:rFonts w:ascii="Times New Roman" w:hAnsi="Times New Roman" w:cs="Times New Roman"/>
                <w:sz w:val="24"/>
              </w:rPr>
              <w:t xml:space="preserve"> o </w:t>
            </w:r>
            <w:r w:rsidRPr="00A3389E">
              <w:rPr>
                <w:rFonts w:ascii="Times New Roman" w:hAnsi="Times New Roman" w:cs="Times New Roman"/>
                <w:sz w:val="24"/>
              </w:rPr>
              <w:t>správe</w:t>
            </w:r>
            <w:r w:rsidR="00A3389E">
              <w:rPr>
                <w:rFonts w:ascii="Times New Roman" w:hAnsi="Times New Roman" w:cs="Times New Roman"/>
                <w:sz w:val="24"/>
              </w:rPr>
              <w:t xml:space="preserve"> a </w:t>
            </w:r>
            <w:r w:rsidRPr="00A3389E">
              <w:rPr>
                <w:rFonts w:ascii="Times New Roman" w:hAnsi="Times New Roman" w:cs="Times New Roman"/>
                <w:sz w:val="24"/>
              </w:rPr>
              <w:t>založené</w:t>
            </w:r>
            <w:r w:rsidR="00A3389E">
              <w:rPr>
                <w:rFonts w:ascii="Times New Roman" w:hAnsi="Times New Roman" w:cs="Times New Roman"/>
                <w:sz w:val="24"/>
              </w:rPr>
              <w:t xml:space="preserve"> v </w:t>
            </w:r>
            <w:r w:rsidRPr="00A3389E">
              <w:rPr>
                <w:rFonts w:ascii="Times New Roman" w:hAnsi="Times New Roman" w:cs="Times New Roman"/>
                <w:sz w:val="24"/>
              </w:rPr>
              <w:t>prospech požičiavajúcej inštitúcie</w:t>
            </w:r>
            <w:r w:rsidR="00A3389E" w:rsidRPr="00A3389E">
              <w:rPr>
                <w:rFonts w:ascii="Times New Roman" w:hAnsi="Times New Roman" w:cs="Times New Roman"/>
                <w:sz w:val="24"/>
              </w:rPr>
              <w:t>.</w:t>
            </w:r>
          </w:p>
          <w:p w14:paraId="1F7838B8" w14:textId="70D3116E"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Zverejňovaná hodnota kolaterálu je obmedzená na hodnotu expozície na úrovni jednotlivej expozície.</w:t>
            </w:r>
          </w:p>
        </w:tc>
      </w:tr>
      <w:tr w:rsidR="000646F8" w:rsidRPr="00A3389E" w14:paraId="28666159" w14:textId="77777777" w:rsidTr="00155C96">
        <w:trPr>
          <w:trHeight w:val="316"/>
        </w:trPr>
        <w:tc>
          <w:tcPr>
            <w:tcW w:w="1413" w:type="dxa"/>
          </w:tcPr>
          <w:p w14:paraId="3358D043"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i</w:t>
            </w:r>
          </w:p>
        </w:tc>
        <w:tc>
          <w:tcPr>
            <w:tcW w:w="7654" w:type="dxa"/>
          </w:tcPr>
          <w:p w14:paraId="713A68B6" w14:textId="10944047"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FCP – Časť expozícií krytá životnými poistkami (%)</w:t>
            </w:r>
          </w:p>
          <w:p w14:paraId="68D00E2B" w14:textId="262E58E2"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životnými poistkami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p w14:paraId="10BC71CC" w14:textId="155CB478"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Iné financované zabezpečenie zahŕňa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200 písm. b) CRR životné poistky založené</w:t>
            </w:r>
            <w:r w:rsidR="00A3389E">
              <w:rPr>
                <w:rFonts w:ascii="Times New Roman" w:hAnsi="Times New Roman" w:cs="Times New Roman"/>
                <w:sz w:val="24"/>
              </w:rPr>
              <w:t xml:space="preserve"> v </w:t>
            </w:r>
            <w:r w:rsidRPr="00A3389E">
              <w:rPr>
                <w:rFonts w:ascii="Times New Roman" w:hAnsi="Times New Roman" w:cs="Times New Roman"/>
                <w:sz w:val="24"/>
              </w:rPr>
              <w:t>prospech požičiavajúcej inštitúcie. Zverejňovaná hodnota kolaterálu je obmedzená na hodnotu expozície na úrovni jednotlivej expozície.</w:t>
            </w:r>
          </w:p>
        </w:tc>
      </w:tr>
      <w:tr w:rsidR="000646F8" w:rsidRPr="00A3389E" w14:paraId="33EEEDB9" w14:textId="77777777" w:rsidTr="00155C96">
        <w:trPr>
          <w:trHeight w:val="316"/>
        </w:trPr>
        <w:tc>
          <w:tcPr>
            <w:tcW w:w="1413" w:type="dxa"/>
          </w:tcPr>
          <w:p w14:paraId="7AB15CAF"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j</w:t>
            </w:r>
          </w:p>
        </w:tc>
        <w:tc>
          <w:tcPr>
            <w:tcW w:w="7654" w:type="dxa"/>
          </w:tcPr>
          <w:p w14:paraId="013D9F1D" w14:textId="0771B8FB"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FCP – Časť expozícií krytá nástrojom</w:t>
            </w:r>
            <w:r w:rsidR="00A3389E">
              <w:rPr>
                <w:rFonts w:ascii="Times New Roman" w:hAnsi="Times New Roman" w:cs="Times New Roman"/>
                <w:b/>
                <w:sz w:val="24"/>
              </w:rPr>
              <w:t xml:space="preserve"> v </w:t>
            </w:r>
            <w:r w:rsidRPr="00A3389E">
              <w:rPr>
                <w:rFonts w:ascii="Times New Roman" w:hAnsi="Times New Roman" w:cs="Times New Roman"/>
                <w:b/>
                <w:sz w:val="24"/>
              </w:rPr>
              <w:t>držbe tretej strany (%)</w:t>
            </w:r>
          </w:p>
          <w:p w14:paraId="340DC0A0" w14:textId="3FBAAFBF"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kolaterálom vo forme nástrojov</w:t>
            </w:r>
            <w:r w:rsidR="00A3389E">
              <w:rPr>
                <w:rFonts w:ascii="Times New Roman" w:hAnsi="Times New Roman" w:cs="Times New Roman"/>
                <w:sz w:val="24"/>
              </w:rPr>
              <w:t xml:space="preserve"> v </w:t>
            </w:r>
            <w:r w:rsidRPr="00A3389E">
              <w:rPr>
                <w:rFonts w:ascii="Times New Roman" w:hAnsi="Times New Roman" w:cs="Times New Roman"/>
                <w:sz w:val="24"/>
              </w:rPr>
              <w:t>držbe tretej strany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 časť expozícií krytá nástrojmi emitovanými treťou stranou</w:t>
            </w:r>
            <w:r w:rsidR="00A3389E">
              <w:rPr>
                <w:rFonts w:ascii="Times New Roman" w:hAnsi="Times New Roman" w:cs="Times New Roman"/>
                <w:sz w:val="24"/>
              </w:rPr>
              <w:t xml:space="preserve"> v </w:t>
            </w:r>
            <w:r w:rsidRPr="00A3389E">
              <w:rPr>
                <w:rFonts w:ascii="Times New Roman" w:hAnsi="Times New Roman" w:cs="Times New Roman"/>
                <w:sz w:val="24"/>
              </w:rPr>
              <w:t>pomere</w:t>
            </w:r>
            <w:r w:rsidR="00A3389E">
              <w:rPr>
                <w:rFonts w:ascii="Times New Roman" w:hAnsi="Times New Roman" w:cs="Times New Roman"/>
                <w:sz w:val="24"/>
              </w:rPr>
              <w:t xml:space="preserve"> k </w:t>
            </w:r>
            <w:r w:rsidRPr="00A3389E">
              <w:rPr>
                <w:rFonts w:ascii="Times New Roman" w:hAnsi="Times New Roman" w:cs="Times New Roman"/>
                <w:sz w:val="24"/>
              </w:rPr>
              <w:t>celkovým expozíciám.</w:t>
            </w:r>
          </w:p>
          <w:p w14:paraId="0EA39099" w14:textId="37E9C9AA"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Zverejňovaná hodnota zahŕňa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200 písm. c) CRR nástroje emitované treťou stranou, ktorá je inštitúciou, ktoré táto inštitúcia na požiadanie spätne odkúpi. Hodnota kolaterálu je obmedzená na hodnotu expozície na úrovni jednotlivej expozície.</w:t>
            </w:r>
            <w:r w:rsidR="00A3389E">
              <w:rPr>
                <w:rFonts w:ascii="Times New Roman" w:hAnsi="Times New Roman" w:cs="Times New Roman"/>
                <w:sz w:val="24"/>
              </w:rPr>
              <w:t xml:space="preserve"> Z </w:t>
            </w:r>
            <w:r w:rsidRPr="00A3389E">
              <w:rPr>
                <w:rFonts w:ascii="Times New Roman" w:hAnsi="Times New Roman" w:cs="Times New Roman"/>
                <w:sz w:val="24"/>
              </w:rPr>
              <w:t>percentuálneho podielu sú vylúčené tie expozície, na ktoré sa vzťahujú nástroje</w:t>
            </w:r>
            <w:r w:rsidR="00A3389E">
              <w:rPr>
                <w:rFonts w:ascii="Times New Roman" w:hAnsi="Times New Roman" w:cs="Times New Roman"/>
                <w:sz w:val="24"/>
              </w:rPr>
              <w:t xml:space="preserve"> v </w:t>
            </w:r>
            <w:r w:rsidRPr="00A3389E">
              <w:rPr>
                <w:rFonts w:ascii="Times New Roman" w:hAnsi="Times New Roman" w:cs="Times New Roman"/>
                <w:sz w:val="24"/>
              </w:rPr>
              <w:t>držbe tretej strany, ak</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článkom 232 ods. 4 CRR inštitúcie považujú nástroje spätne odkúpené na požiadanie, ktoré sú prípustné podľa článku 200 písm. c), za záruku emitujúcej inštitúcie. </w:t>
            </w:r>
          </w:p>
        </w:tc>
      </w:tr>
      <w:tr w:rsidR="000646F8" w:rsidRPr="00A3389E" w14:paraId="21700143" w14:textId="77777777" w:rsidTr="00155C96">
        <w:trPr>
          <w:trHeight w:val="316"/>
        </w:trPr>
        <w:tc>
          <w:tcPr>
            <w:tcW w:w="1413" w:type="dxa"/>
          </w:tcPr>
          <w:p w14:paraId="7022B3E0"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k</w:t>
            </w:r>
          </w:p>
        </w:tc>
        <w:tc>
          <w:tcPr>
            <w:tcW w:w="7654" w:type="dxa"/>
          </w:tcPr>
          <w:p w14:paraId="7E5B7C83" w14:textId="704B6B34"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UFCP – Časť expozícií krytá zárukami (%)</w:t>
            </w:r>
          </w:p>
          <w:p w14:paraId="0E31DA6C" w14:textId="0DBDABF0" w:rsidR="00A3389E"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zárukami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r w:rsidR="00A3389E" w:rsidRPr="00A3389E">
              <w:rPr>
                <w:rFonts w:ascii="Times New Roman" w:hAnsi="Times New Roman" w:cs="Times New Roman"/>
                <w:sz w:val="24"/>
              </w:rPr>
              <w:t>.</w:t>
            </w:r>
          </w:p>
          <w:p w14:paraId="13D304E8" w14:textId="10E0363F"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Záruky musia spĺňať požiadavku stanovenú</w:t>
            </w:r>
            <w:r w:rsidR="00A3389E">
              <w:rPr>
                <w:rFonts w:ascii="Times New Roman" w:hAnsi="Times New Roman" w:cs="Times New Roman"/>
                <w:sz w:val="24"/>
              </w:rPr>
              <w:t xml:space="preserve"> v </w:t>
            </w:r>
            <w:r w:rsidRPr="00A3389E">
              <w:rPr>
                <w:rFonts w:ascii="Times New Roman" w:hAnsi="Times New Roman" w:cs="Times New Roman"/>
                <w:sz w:val="24"/>
              </w:rPr>
              <w:t>článkoch 213, 214, 215</w:t>
            </w:r>
            <w:r w:rsidR="00A3389E">
              <w:rPr>
                <w:rFonts w:ascii="Times New Roman" w:hAnsi="Times New Roman" w:cs="Times New Roman"/>
                <w:sz w:val="24"/>
              </w:rPr>
              <w:t xml:space="preserve"> a </w:t>
            </w:r>
            <w:r w:rsidRPr="00A3389E">
              <w:rPr>
                <w:rFonts w:ascii="Times New Roman" w:hAnsi="Times New Roman" w:cs="Times New Roman"/>
                <w:sz w:val="24"/>
              </w:rPr>
              <w:t>prípadne 217</w:t>
            </w:r>
            <w:r w:rsidR="00A3389E">
              <w:rPr>
                <w:rFonts w:ascii="Times New Roman" w:hAnsi="Times New Roman" w:cs="Times New Roman"/>
                <w:sz w:val="24"/>
              </w:rPr>
              <w:t xml:space="preserve"> a </w:t>
            </w:r>
            <w:r w:rsidRPr="00A3389E">
              <w:rPr>
                <w:rFonts w:ascii="Times New Roman" w:hAnsi="Times New Roman" w:cs="Times New Roman"/>
                <w:sz w:val="24"/>
              </w:rPr>
              <w:t>232 ods. 4 CRR. Hodnota záruk je obmedzená na hodnotu expozície na úrovni jednotlivej expozície.</w:t>
            </w:r>
          </w:p>
        </w:tc>
      </w:tr>
      <w:tr w:rsidR="000646F8" w:rsidRPr="00A3389E" w14:paraId="514C2F0C" w14:textId="77777777" w:rsidTr="00155C96">
        <w:trPr>
          <w:trHeight w:val="316"/>
        </w:trPr>
        <w:tc>
          <w:tcPr>
            <w:tcW w:w="1413" w:type="dxa"/>
          </w:tcPr>
          <w:p w14:paraId="60ED3E08"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l</w:t>
            </w:r>
          </w:p>
        </w:tc>
        <w:tc>
          <w:tcPr>
            <w:tcW w:w="7654" w:type="dxa"/>
          </w:tcPr>
          <w:p w14:paraId="1D3AE3A1" w14:textId="77777777" w:rsidR="00A3389E"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UFCP – Časť expozícií krytá kreditnými derivátmi (%)</w:t>
            </w:r>
          </w:p>
          <w:p w14:paraId="09005096" w14:textId="4E912E02"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Percentuálny podiel expozícií zabezpečených kreditnými derivátmi na celkových expozíciách, ako sú uvedené</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p w14:paraId="6C2048FB" w14:textId="3CEB8B43"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Kreditné deriváty zahŕňajú:</w:t>
            </w:r>
          </w:p>
          <w:p w14:paraId="393ED153" w14:textId="77777777" w:rsidR="00A3389E"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 swapy na kreditné zlyhanie,</w:t>
            </w:r>
          </w:p>
          <w:p w14:paraId="6F5C1A98" w14:textId="773B4E7C"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 swapy na celkový výnos,</w:t>
            </w:r>
          </w:p>
          <w:p w14:paraId="3B751F1F" w14:textId="5E79659E"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 dlhové nástroje viazané na úver</w:t>
            </w:r>
            <w:r w:rsidR="00A3389E">
              <w:rPr>
                <w:rFonts w:ascii="Times New Roman" w:hAnsi="Times New Roman" w:cs="Times New Roman"/>
                <w:sz w:val="24"/>
              </w:rPr>
              <w:t xml:space="preserve"> v </w:t>
            </w:r>
            <w:r w:rsidRPr="00A3389E">
              <w:rPr>
                <w:rFonts w:ascii="Times New Roman" w:hAnsi="Times New Roman" w:cs="Times New Roman"/>
                <w:sz w:val="24"/>
              </w:rPr>
              <w:t>rozsahu ich hotovostného krytia.</w:t>
            </w:r>
          </w:p>
          <w:p w14:paraId="1737C34D" w14:textId="51165F5F"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Tieto nástroje musia spĺňať požiadavku stanovenú</w:t>
            </w:r>
            <w:r w:rsidR="00A3389E">
              <w:rPr>
                <w:rFonts w:ascii="Times New Roman" w:hAnsi="Times New Roman" w:cs="Times New Roman"/>
                <w:sz w:val="24"/>
              </w:rPr>
              <w:t xml:space="preserve"> v </w:t>
            </w:r>
            <w:r w:rsidRPr="00A3389E">
              <w:rPr>
                <w:rFonts w:ascii="Times New Roman" w:hAnsi="Times New Roman" w:cs="Times New Roman"/>
                <w:sz w:val="24"/>
              </w:rPr>
              <w:t>článku 204 ods. 1</w:t>
            </w:r>
            <w:r w:rsidR="00A3389E">
              <w:rPr>
                <w:rFonts w:ascii="Times New Roman" w:hAnsi="Times New Roman" w:cs="Times New Roman"/>
                <w:sz w:val="24"/>
              </w:rPr>
              <w:t xml:space="preserve"> a </w:t>
            </w:r>
            <w:r w:rsidRPr="00A3389E">
              <w:rPr>
                <w:rFonts w:ascii="Times New Roman" w:hAnsi="Times New Roman" w:cs="Times New Roman"/>
                <w:sz w:val="24"/>
              </w:rPr>
              <w:t>2, článkoch 213, 216</w:t>
            </w:r>
            <w:r w:rsidR="00A3389E">
              <w:rPr>
                <w:rFonts w:ascii="Times New Roman" w:hAnsi="Times New Roman" w:cs="Times New Roman"/>
                <w:sz w:val="24"/>
              </w:rPr>
              <w:t xml:space="preserve"> a </w:t>
            </w:r>
            <w:r w:rsidRPr="00A3389E">
              <w:rPr>
                <w:rFonts w:ascii="Times New Roman" w:hAnsi="Times New Roman" w:cs="Times New Roman"/>
                <w:sz w:val="24"/>
              </w:rPr>
              <w:t>prípadne článku 217 CRR. Hodnota kreditných derivátov je obmedzená na hodnotu expozície na úrovni jednotlivej expozície.</w:t>
            </w:r>
          </w:p>
        </w:tc>
      </w:tr>
      <w:tr w:rsidR="000646F8" w:rsidRPr="00A3389E" w14:paraId="5C95ED94" w14:textId="77777777" w:rsidTr="00155C96">
        <w:trPr>
          <w:trHeight w:val="316"/>
        </w:trPr>
        <w:tc>
          <w:tcPr>
            <w:tcW w:w="1413" w:type="dxa"/>
          </w:tcPr>
          <w:p w14:paraId="72B5C389"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m</w:t>
            </w:r>
          </w:p>
        </w:tc>
        <w:tc>
          <w:tcPr>
            <w:tcW w:w="7654" w:type="dxa"/>
          </w:tcPr>
          <w:p w14:paraId="421B595A" w14:textId="525B35D8" w:rsidR="000646F8" w:rsidRPr="00A3389E" w:rsidRDefault="000646F8"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RWEA bez substitučných účinkov (len účinky zníženia)</w:t>
            </w:r>
          </w:p>
          <w:p w14:paraId="2E3FB1D4" w14:textId="3DEC0ADD"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Hodnoty rizikovo vážených expozícií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3 písm. a)</w:t>
            </w:r>
            <w:r w:rsidR="00A3389E">
              <w:rPr>
                <w:rFonts w:ascii="Times New Roman" w:hAnsi="Times New Roman" w:cs="Times New Roman"/>
                <w:sz w:val="24"/>
              </w:rPr>
              <w:t xml:space="preserve"> a </w:t>
            </w:r>
            <w:r w:rsidRPr="00A3389E">
              <w:rPr>
                <w:rFonts w:ascii="Times New Roman" w:hAnsi="Times New Roman" w:cs="Times New Roman"/>
                <w:sz w:val="24"/>
              </w:rPr>
              <w:t>f) CRR vrátane akéhokoľvek zníženia RWEA</w:t>
            </w:r>
            <w:r w:rsidR="00A3389E">
              <w:rPr>
                <w:rFonts w:ascii="Times New Roman" w:hAnsi="Times New Roman" w:cs="Times New Roman"/>
                <w:sz w:val="24"/>
              </w:rPr>
              <w:t xml:space="preserve"> v </w:t>
            </w:r>
            <w:r w:rsidRPr="00A3389E">
              <w:rPr>
                <w:rFonts w:ascii="Times New Roman" w:hAnsi="Times New Roman" w:cs="Times New Roman"/>
                <w:sz w:val="24"/>
              </w:rPr>
              <w:t>dôsledku existencie financovaného alebo nefinancovaného zabezpečenia,</w:t>
            </w:r>
            <w:r w:rsidR="00A3389E">
              <w:rPr>
                <w:rFonts w:ascii="Times New Roman" w:hAnsi="Times New Roman" w:cs="Times New Roman"/>
                <w:sz w:val="24"/>
              </w:rPr>
              <w:t xml:space="preserve"> a </w:t>
            </w:r>
            <w:r w:rsidRPr="00A3389E">
              <w:rPr>
                <w:rFonts w:ascii="Times New Roman" w:hAnsi="Times New Roman" w:cs="Times New Roman"/>
                <w:sz w:val="24"/>
              </w:rPr>
              <w:t>to vrátane prípadov, keď sa PD</w:t>
            </w:r>
            <w:r w:rsidR="00A3389E">
              <w:rPr>
                <w:rFonts w:ascii="Times New Roman" w:hAnsi="Times New Roman" w:cs="Times New Roman"/>
                <w:sz w:val="24"/>
              </w:rPr>
              <w:t xml:space="preserve"> a </w:t>
            </w:r>
            <w:r w:rsidRPr="00A3389E">
              <w:rPr>
                <w:rFonts w:ascii="Times New Roman" w:hAnsi="Times New Roman" w:cs="Times New Roman"/>
                <w:sz w:val="24"/>
              </w:rPr>
              <w:t>LGD alebo riziková váha nahrádzajú</w:t>
            </w:r>
            <w:r w:rsidR="00A3389E">
              <w:rPr>
                <w:rFonts w:ascii="Times New Roman" w:hAnsi="Times New Roman" w:cs="Times New Roman"/>
                <w:sz w:val="24"/>
              </w:rPr>
              <w:t xml:space="preserve"> v </w:t>
            </w:r>
            <w:r w:rsidRPr="00A3389E">
              <w:rPr>
                <w:rFonts w:ascii="Times New Roman" w:hAnsi="Times New Roman" w:cs="Times New Roman"/>
                <w:sz w:val="24"/>
              </w:rPr>
              <w:t>dôsledku existencie nefinancovaného zabezpečenia. Napriek tomu sa expozície vo všetkých prípadoch vrátane prípadov, keď sa používa substitučný prístup, zverejňujú</w:t>
            </w:r>
            <w:r w:rsidR="00A3389E">
              <w:rPr>
                <w:rFonts w:ascii="Times New Roman" w:hAnsi="Times New Roman" w:cs="Times New Roman"/>
                <w:sz w:val="24"/>
              </w:rPr>
              <w:t xml:space="preserve"> v </w:t>
            </w:r>
            <w:r w:rsidRPr="00A3389E">
              <w:rPr>
                <w:rFonts w:ascii="Times New Roman" w:hAnsi="Times New Roman" w:cs="Times New Roman"/>
                <w:sz w:val="24"/>
              </w:rPr>
              <w:t>pôvodných triedach expozícií uplatniteľných na dlžníka.</w:t>
            </w:r>
          </w:p>
        </w:tc>
      </w:tr>
      <w:tr w:rsidR="000646F8" w:rsidRPr="00A3389E" w14:paraId="11F252FB" w14:textId="77777777" w:rsidTr="00155C96">
        <w:trPr>
          <w:trHeight w:val="316"/>
        </w:trPr>
        <w:tc>
          <w:tcPr>
            <w:tcW w:w="1413" w:type="dxa"/>
          </w:tcPr>
          <w:p w14:paraId="7EC81F41"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n</w:t>
            </w:r>
          </w:p>
        </w:tc>
        <w:tc>
          <w:tcPr>
            <w:tcW w:w="7654" w:type="dxa"/>
          </w:tcPr>
          <w:p w14:paraId="5E63EE4F" w14:textId="2091D7EB"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RWEA so substitučnými účinkami (účinky zníženia aj substitučné účinky)</w:t>
            </w:r>
          </w:p>
          <w:p w14:paraId="3ABA238B" w14:textId="24C37561"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Hodnoty rizikovo vážených expozícií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153 až 157 CRR vrátane akéhokoľvek zníženia RWEA</w:t>
            </w:r>
            <w:r w:rsidR="00A3389E">
              <w:rPr>
                <w:rFonts w:ascii="Times New Roman" w:hAnsi="Times New Roman" w:cs="Times New Roman"/>
                <w:sz w:val="24"/>
              </w:rPr>
              <w:t xml:space="preserve"> v </w:t>
            </w:r>
            <w:r w:rsidRPr="00A3389E">
              <w:rPr>
                <w:rFonts w:ascii="Times New Roman" w:hAnsi="Times New Roman" w:cs="Times New Roman"/>
                <w:sz w:val="24"/>
              </w:rPr>
              <w:t>dôsledku existencie financovaného alebo nefinancovaného zabezpečenia. Ak sa PD</w:t>
            </w:r>
            <w:r w:rsidR="00A3389E">
              <w:rPr>
                <w:rFonts w:ascii="Times New Roman" w:hAnsi="Times New Roman" w:cs="Times New Roman"/>
                <w:sz w:val="24"/>
              </w:rPr>
              <w:t xml:space="preserve"> a </w:t>
            </w:r>
            <w:r w:rsidRPr="00A3389E">
              <w:rPr>
                <w:rFonts w:ascii="Times New Roman" w:hAnsi="Times New Roman" w:cs="Times New Roman"/>
                <w:sz w:val="24"/>
              </w:rPr>
              <w:t>LGD alebo riziková váha nahrádzajú</w:t>
            </w:r>
            <w:r w:rsidR="00A3389E">
              <w:rPr>
                <w:rFonts w:ascii="Times New Roman" w:hAnsi="Times New Roman" w:cs="Times New Roman"/>
                <w:sz w:val="24"/>
              </w:rPr>
              <w:t xml:space="preserve"> v </w:t>
            </w:r>
            <w:r w:rsidRPr="00A3389E">
              <w:rPr>
                <w:rFonts w:ascii="Times New Roman" w:hAnsi="Times New Roman" w:cs="Times New Roman"/>
                <w:sz w:val="24"/>
              </w:rPr>
              <w:t>dôsledku existencie nefinancovaného zabezpečenia, expozície sa zverejňujú</w:t>
            </w:r>
            <w:r w:rsidR="00A3389E">
              <w:rPr>
                <w:rFonts w:ascii="Times New Roman" w:hAnsi="Times New Roman" w:cs="Times New Roman"/>
                <w:sz w:val="24"/>
              </w:rPr>
              <w:t xml:space="preserve"> v </w:t>
            </w:r>
            <w:r w:rsidRPr="00A3389E">
              <w:rPr>
                <w:rFonts w:ascii="Times New Roman" w:hAnsi="Times New Roman" w:cs="Times New Roman"/>
                <w:sz w:val="24"/>
              </w:rPr>
              <w:t>triede expozícií uplatniteľnej na poskytovateľa zabezpečenia.</w:t>
            </w:r>
          </w:p>
        </w:tc>
      </w:tr>
    </w:tbl>
    <w:p w14:paraId="1866259A" w14:textId="77777777" w:rsidR="000646F8" w:rsidRPr="00A3389E"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A3389E"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riadok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50384B1"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646F8" w:rsidRPr="00A3389E" w14:paraId="00F7D46C" w14:textId="77777777" w:rsidTr="00155C96">
        <w:trPr>
          <w:trHeight w:val="316"/>
        </w:trPr>
        <w:tc>
          <w:tcPr>
            <w:tcW w:w="1413" w:type="dxa"/>
          </w:tcPr>
          <w:p w14:paraId="1793C373"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 xml:space="preserve"> </w:t>
            </w:r>
          </w:p>
        </w:tc>
        <w:tc>
          <w:tcPr>
            <w:tcW w:w="7654" w:type="dxa"/>
          </w:tcPr>
          <w:p w14:paraId="1ABDDDEF" w14:textId="78955FC5" w:rsidR="000646F8" w:rsidRPr="00A3389E" w:rsidRDefault="000646F8" w:rsidP="00155C96">
            <w:pPr>
              <w:pStyle w:val="Default"/>
              <w:spacing w:after="120"/>
              <w:jc w:val="both"/>
              <w:rPr>
                <w:rFonts w:ascii="Times New Roman" w:hAnsi="Times New Roman" w:cs="Times New Roman"/>
              </w:rPr>
            </w:pPr>
            <w:r w:rsidRPr="00A3389E">
              <w:rPr>
                <w:rFonts w:ascii="Times New Roman" w:hAnsi="Times New Roman" w:cs="Times New Roman"/>
                <w:iCs/>
              </w:rPr>
              <w:t>Toto zverejnenie sa vykonáva osobitne pre expozície podľa prístupu A-IRB, prístupu F-IRB, ako aj špecializované financovanie, pri ktorom sa uplatňuje prístup spočívajúci</w:t>
            </w:r>
            <w:r w:rsidR="00A3389E">
              <w:rPr>
                <w:rFonts w:ascii="Times New Roman" w:hAnsi="Times New Roman" w:cs="Times New Roman"/>
                <w:iCs/>
              </w:rPr>
              <w:t xml:space="preserve"> v </w:t>
            </w:r>
            <w:r w:rsidRPr="00A3389E">
              <w:rPr>
                <w:rFonts w:ascii="Times New Roman" w:hAnsi="Times New Roman" w:cs="Times New Roman"/>
                <w:iCs/>
              </w:rPr>
              <w:t>zaradení,</w:t>
            </w:r>
            <w:r w:rsidR="00A3389E">
              <w:rPr>
                <w:rFonts w:ascii="Times New Roman" w:hAnsi="Times New Roman" w:cs="Times New Roman"/>
                <w:iCs/>
              </w:rPr>
              <w:t xml:space="preserve"> a </w:t>
            </w:r>
            <w:r w:rsidRPr="00A3389E">
              <w:rPr>
                <w:rFonts w:ascii="Times New Roman" w:hAnsi="Times New Roman" w:cs="Times New Roman"/>
                <w:iCs/>
              </w:rPr>
              <w:t>kapitálové expozíci</w:t>
            </w:r>
            <w:r w:rsidR="00A60806" w:rsidRPr="00A3389E">
              <w:rPr>
                <w:rFonts w:ascii="Times New Roman" w:hAnsi="Times New Roman" w:cs="Times New Roman"/>
                <w:iCs/>
              </w:rPr>
              <w:t>e</w:t>
            </w:r>
            <w:r w:rsidR="00A60806">
              <w:rPr>
                <w:rFonts w:ascii="Times New Roman" w:hAnsi="Times New Roman" w:cs="Times New Roman"/>
                <w:iCs/>
              </w:rPr>
              <w:t>)</w:t>
            </w:r>
            <w:r w:rsidR="00A60806" w:rsidRPr="00A3389E">
              <w:rPr>
                <w:rFonts w:ascii="Times New Roman" w:hAnsi="Times New Roman" w:cs="Times New Roman"/>
              </w:rPr>
              <w:tab/>
            </w:r>
          </w:p>
        </w:tc>
      </w:tr>
      <w:tr w:rsidR="000646F8" w:rsidRPr="00A3389E" w14:paraId="70E1B28D" w14:textId="77777777" w:rsidTr="00155C96">
        <w:trPr>
          <w:trHeight w:val="316"/>
        </w:trPr>
        <w:tc>
          <w:tcPr>
            <w:tcW w:w="1413" w:type="dxa"/>
          </w:tcPr>
          <w:p w14:paraId="3E9CE85C"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 xml:space="preserve"> A-IRB</w:t>
            </w:r>
          </w:p>
        </w:tc>
        <w:tc>
          <w:tcPr>
            <w:tcW w:w="7654" w:type="dxa"/>
          </w:tcPr>
          <w:p w14:paraId="7F3134D4" w14:textId="674C14F7" w:rsidR="000646F8" w:rsidRPr="00A3389E" w:rsidRDefault="000646F8" w:rsidP="00155C96">
            <w:pPr>
              <w:pStyle w:val="Default"/>
              <w:spacing w:after="120"/>
              <w:rPr>
                <w:rFonts w:ascii="Times New Roman" w:eastAsia="Times New Roman" w:hAnsi="Times New Roman" w:cs="Times New Roman"/>
                <w:iCs/>
              </w:rPr>
            </w:pPr>
            <w:r w:rsidRPr="00A3389E">
              <w:rPr>
                <w:rFonts w:ascii="Times New Roman" w:hAnsi="Times New Roman" w:cs="Times New Roman"/>
                <w:iCs/>
              </w:rPr>
              <w:t>Inštitúcie zahŕňajú informácie</w:t>
            </w:r>
            <w:r w:rsidR="00A3389E">
              <w:rPr>
                <w:rFonts w:ascii="Times New Roman" w:hAnsi="Times New Roman" w:cs="Times New Roman"/>
                <w:iCs/>
              </w:rPr>
              <w:t xml:space="preserve"> o </w:t>
            </w:r>
            <w:r w:rsidRPr="00A3389E">
              <w:rPr>
                <w:rFonts w:ascii="Times New Roman" w:hAnsi="Times New Roman" w:cs="Times New Roman"/>
                <w:iCs/>
              </w:rPr>
              <w:t>postupoch zmierňovania kreditného rizika zahrnutých</w:t>
            </w:r>
            <w:r w:rsidR="00A3389E">
              <w:rPr>
                <w:rFonts w:ascii="Times New Roman" w:hAnsi="Times New Roman" w:cs="Times New Roman"/>
                <w:iCs/>
              </w:rPr>
              <w:t xml:space="preserve"> v </w:t>
            </w:r>
            <w:r w:rsidRPr="00A3389E">
              <w:rPr>
                <w:rFonts w:ascii="Times New Roman" w:hAnsi="Times New Roman" w:cs="Times New Roman"/>
                <w:iCs/>
              </w:rPr>
              <w:t>tomto vzore podľa triedy expozícií</w:t>
            </w:r>
            <w:r w:rsidR="00A3389E">
              <w:rPr>
                <w:rFonts w:ascii="Times New Roman" w:hAnsi="Times New Roman" w:cs="Times New Roman"/>
                <w:iCs/>
              </w:rPr>
              <w:t xml:space="preserve"> v </w:t>
            </w:r>
            <w:r w:rsidRPr="00A3389E">
              <w:rPr>
                <w:rFonts w:ascii="Times New Roman" w:hAnsi="Times New Roman" w:cs="Times New Roman"/>
                <w:iCs/>
              </w:rPr>
              <w:t>súlade</w:t>
            </w:r>
            <w:r w:rsidR="00A3389E">
              <w:rPr>
                <w:rFonts w:ascii="Times New Roman" w:hAnsi="Times New Roman" w:cs="Times New Roman"/>
                <w:iCs/>
              </w:rPr>
              <w:t xml:space="preserve"> s </w:t>
            </w:r>
            <w:r w:rsidRPr="00A3389E">
              <w:rPr>
                <w:rFonts w:ascii="Times New Roman" w:hAnsi="Times New Roman" w:cs="Times New Roman"/>
                <w:iCs/>
              </w:rPr>
              <w:t>triedami expozícií uvedenými</w:t>
            </w:r>
            <w:r w:rsidR="00A3389E">
              <w:rPr>
                <w:rFonts w:ascii="Times New Roman" w:hAnsi="Times New Roman" w:cs="Times New Roman"/>
                <w:iCs/>
              </w:rPr>
              <w:t xml:space="preserve"> v </w:t>
            </w:r>
            <w:r w:rsidRPr="00A3389E">
              <w:rPr>
                <w:rFonts w:ascii="Times New Roman" w:hAnsi="Times New Roman" w:cs="Times New Roman"/>
                <w:iCs/>
              </w:rPr>
              <w:t>článku 147 CRR</w:t>
            </w:r>
            <w:r w:rsidR="00A3389E">
              <w:rPr>
                <w:rFonts w:ascii="Times New Roman" w:hAnsi="Times New Roman" w:cs="Times New Roman"/>
                <w:iCs/>
              </w:rPr>
              <w:t xml:space="preserve"> s </w:t>
            </w:r>
            <w:r w:rsidRPr="00A3389E">
              <w:rPr>
                <w:rFonts w:ascii="Times New Roman" w:hAnsi="Times New Roman" w:cs="Times New Roman"/>
                <w:iCs/>
              </w:rPr>
              <w:t>ďalším rozčlenením pre triedu expozícií „podnikateľské subjekty“ [článok 147 ods. 2 písm. c) CRR] takto:</w:t>
            </w:r>
          </w:p>
          <w:p w14:paraId="1DC49DD5" w14:textId="19E5F228"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expozície voči podnikateľským subjektom – MSP</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internou klasifikáciou expozícií voči podnikateľským subjektom na základe politík riadenia rizík;</w:t>
            </w:r>
          </w:p>
          <w:p w14:paraId="1AE7AEC0" w14:textId="31DBACBD"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b)</w:t>
            </w:r>
            <w:r w:rsidRPr="00A3389E">
              <w:rPr>
                <w:rFonts w:ascii="Times New Roman" w:hAnsi="Times New Roman" w:cs="Times New Roman"/>
              </w:rPr>
              <w:tab/>
            </w:r>
            <w:r w:rsidRPr="00A3389E">
              <w:rPr>
                <w:rFonts w:ascii="Times New Roman" w:hAnsi="Times New Roman" w:cs="Times New Roman"/>
                <w:iCs/>
                <w:sz w:val="24"/>
              </w:rPr>
              <w:t>expozície voči podnikateľským subjektom – špecializované financovanie</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147 ods. 8 CRR,</w:t>
            </w:r>
            <w:r w:rsidR="00A3389E">
              <w:rPr>
                <w:rFonts w:ascii="Times New Roman" w:hAnsi="Times New Roman" w:cs="Times New Roman"/>
                <w:iCs/>
                <w:sz w:val="24"/>
              </w:rPr>
              <w:t xml:space="preserve"> a </w:t>
            </w:r>
            <w:r w:rsidRPr="00A3389E">
              <w:rPr>
                <w:rFonts w:ascii="Times New Roman" w:hAnsi="Times New Roman" w:cs="Times New Roman"/>
                <w:iCs/>
                <w:sz w:val="24"/>
              </w:rPr>
              <w:t xml:space="preserve">to okrem expozícií </w:t>
            </w:r>
            <w:r w:rsidRPr="00A3389E">
              <w:rPr>
                <w:rFonts w:ascii="Times New Roman" w:hAnsi="Times New Roman" w:cs="Times New Roman"/>
                <w:iCs/>
                <w:sz w:val="24"/>
              </w:rPr>
              <w:lastRenderedPageBreak/>
              <w:t>vo forme špecializovaného financovania, pri ktorých sa uplatňuje prístup spočívajúci</w:t>
            </w:r>
            <w:r w:rsidR="00A3389E">
              <w:rPr>
                <w:rFonts w:ascii="Times New Roman" w:hAnsi="Times New Roman" w:cs="Times New Roman"/>
                <w:iCs/>
                <w:sz w:val="24"/>
              </w:rPr>
              <w:t xml:space="preserve"> v </w:t>
            </w:r>
            <w:r w:rsidRPr="00A3389E">
              <w:rPr>
                <w:rFonts w:ascii="Times New Roman" w:hAnsi="Times New Roman" w:cs="Times New Roman"/>
                <w:iCs/>
                <w:sz w:val="24"/>
              </w:rPr>
              <w:t>zaradení;</w:t>
            </w:r>
          </w:p>
          <w:p w14:paraId="4527C255" w14:textId="31C23D9C"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expozície voči podnikateľským subjektom – iné.</w:t>
            </w:r>
          </w:p>
          <w:p w14:paraId="215714C4" w14:textId="3D3E263C"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Pri triede expozícií „retailové expozície“ [článok 147 ods. 2 písm. d)</w:t>
            </w:r>
            <w:r w:rsidR="00A3389E">
              <w:rPr>
                <w:rFonts w:ascii="Times New Roman" w:hAnsi="Times New Roman" w:cs="Times New Roman"/>
                <w:iCs/>
                <w:sz w:val="24"/>
              </w:rPr>
              <w:t xml:space="preserve"> a </w:t>
            </w:r>
            <w:r w:rsidRPr="00A3389E">
              <w:rPr>
                <w:rFonts w:ascii="Times New Roman" w:hAnsi="Times New Roman" w:cs="Times New Roman"/>
                <w:iCs/>
                <w:sz w:val="24"/>
              </w:rPr>
              <w:t>článok 147 ods. 5 CRR] inštitúcie zverejňujú ďalšie rozčlenenie pre:</w:t>
            </w:r>
          </w:p>
          <w:p w14:paraId="24C46D89" w14:textId="7E433923"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retailové expozície – MSP zabezpečené kolaterálom vo forme nehnuteľného majetku (v 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2</w:t>
            </w:r>
            <w:r w:rsidR="00A3389E">
              <w:rPr>
                <w:rFonts w:ascii="Times New Roman" w:hAnsi="Times New Roman" w:cs="Times New Roman"/>
                <w:iCs/>
                <w:sz w:val="24"/>
              </w:rPr>
              <w:t xml:space="preserve"> a </w:t>
            </w:r>
            <w:r w:rsidRPr="00A3389E">
              <w:rPr>
                <w:rFonts w:ascii="Times New Roman" w:hAnsi="Times New Roman" w:cs="Times New Roman"/>
                <w:iCs/>
                <w:sz w:val="24"/>
              </w:rPr>
              <w:t>3 CRR);</w:t>
            </w:r>
          </w:p>
          <w:p w14:paraId="1EAADB71" w14:textId="731758B4"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b)</w:t>
            </w:r>
            <w:r w:rsidRPr="00A3389E">
              <w:rPr>
                <w:rFonts w:ascii="Times New Roman" w:hAnsi="Times New Roman" w:cs="Times New Roman"/>
              </w:rPr>
              <w:tab/>
            </w:r>
            <w:r w:rsidRPr="00A3389E">
              <w:rPr>
                <w:rFonts w:ascii="Times New Roman" w:hAnsi="Times New Roman" w:cs="Times New Roman"/>
                <w:iCs/>
                <w:sz w:val="24"/>
              </w:rPr>
              <w:t>retailové expozície – iné než MSP, zabezpečené kolaterálom vo forme nehnuteľného majetku (v 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3 CRR);</w:t>
            </w:r>
          </w:p>
          <w:p w14:paraId="1BB13A25" w14:textId="28C8A785"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retailové expozície – kvalifikovaný revolving (v 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4 CRR);</w:t>
            </w:r>
          </w:p>
          <w:p w14:paraId="79106AD7" w14:textId="77777777"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d)</w:t>
            </w:r>
            <w:r w:rsidRPr="00A3389E">
              <w:rPr>
                <w:rFonts w:ascii="Times New Roman" w:hAnsi="Times New Roman" w:cs="Times New Roman"/>
                <w:iCs/>
                <w:sz w:val="24"/>
              </w:rPr>
              <w:tab/>
              <w:t>Retailové expozície – MSP iné;</w:t>
            </w:r>
          </w:p>
          <w:p w14:paraId="05DFAC4D" w14:textId="77777777" w:rsidR="000646F8" w:rsidRPr="00A3389E" w:rsidRDefault="000646F8" w:rsidP="00155C96">
            <w:pPr>
              <w:autoSpaceDE w:val="0"/>
              <w:autoSpaceDN w:val="0"/>
              <w:adjustRightInd w:val="0"/>
              <w:spacing w:after="120"/>
              <w:ind w:left="720"/>
              <w:jc w:val="both"/>
              <w:rPr>
                <w:rFonts w:ascii="Times New Roman" w:hAnsi="Times New Roman" w:cs="Times New Roman"/>
                <w:sz w:val="24"/>
              </w:rPr>
            </w:pPr>
            <w:r w:rsidRPr="00A3389E">
              <w:rPr>
                <w:rFonts w:ascii="Times New Roman" w:hAnsi="Times New Roman" w:cs="Times New Roman"/>
                <w:iCs/>
                <w:sz w:val="24"/>
              </w:rPr>
              <w:t>e)</w:t>
            </w:r>
            <w:r w:rsidRPr="00A3389E">
              <w:rPr>
                <w:rFonts w:ascii="Times New Roman" w:hAnsi="Times New Roman" w:cs="Times New Roman"/>
                <w:iCs/>
                <w:sz w:val="24"/>
              </w:rPr>
              <w:tab/>
              <w:t>Retailové expozície – iné než MSP, iné.</w:t>
            </w:r>
          </w:p>
        </w:tc>
      </w:tr>
      <w:tr w:rsidR="000646F8" w:rsidRPr="00A3389E" w14:paraId="7E87A8DB" w14:textId="77777777" w:rsidTr="00155C96">
        <w:trPr>
          <w:trHeight w:val="316"/>
        </w:trPr>
        <w:tc>
          <w:tcPr>
            <w:tcW w:w="1413" w:type="dxa"/>
          </w:tcPr>
          <w:p w14:paraId="1D8BCE59"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F-IRB</w:t>
            </w:r>
          </w:p>
        </w:tc>
        <w:tc>
          <w:tcPr>
            <w:tcW w:w="7654" w:type="dxa"/>
          </w:tcPr>
          <w:p w14:paraId="758143D2" w14:textId="17BB2F80" w:rsidR="00A3389E" w:rsidRPr="00A3389E" w:rsidRDefault="000646F8" w:rsidP="00155C96">
            <w:pPr>
              <w:pStyle w:val="Default"/>
              <w:spacing w:after="120"/>
              <w:rPr>
                <w:rFonts w:ascii="Times New Roman" w:hAnsi="Times New Roman" w:cs="Times New Roman"/>
                <w:iCs/>
              </w:rPr>
            </w:pPr>
            <w:r w:rsidRPr="00A3389E">
              <w:rPr>
                <w:rFonts w:ascii="Times New Roman" w:hAnsi="Times New Roman" w:cs="Times New Roman"/>
                <w:iCs/>
              </w:rPr>
              <w:t>Inštitúcie zahŕňajú informácie</w:t>
            </w:r>
            <w:r w:rsidR="00A3389E">
              <w:rPr>
                <w:rFonts w:ascii="Times New Roman" w:hAnsi="Times New Roman" w:cs="Times New Roman"/>
                <w:iCs/>
              </w:rPr>
              <w:t xml:space="preserve"> o </w:t>
            </w:r>
            <w:r w:rsidRPr="00A3389E">
              <w:rPr>
                <w:rFonts w:ascii="Times New Roman" w:hAnsi="Times New Roman" w:cs="Times New Roman"/>
                <w:iCs/>
              </w:rPr>
              <w:t>postupoch zmierňovania kreditného rizika zahrnutých</w:t>
            </w:r>
            <w:r w:rsidR="00A3389E">
              <w:rPr>
                <w:rFonts w:ascii="Times New Roman" w:hAnsi="Times New Roman" w:cs="Times New Roman"/>
                <w:iCs/>
              </w:rPr>
              <w:t xml:space="preserve"> v </w:t>
            </w:r>
            <w:r w:rsidRPr="00A3389E">
              <w:rPr>
                <w:rFonts w:ascii="Times New Roman" w:hAnsi="Times New Roman" w:cs="Times New Roman"/>
                <w:iCs/>
              </w:rPr>
              <w:t>tomto vzore podľa triedy expozícií</w:t>
            </w:r>
            <w:r w:rsidR="00A3389E">
              <w:rPr>
                <w:rFonts w:ascii="Times New Roman" w:hAnsi="Times New Roman" w:cs="Times New Roman"/>
                <w:iCs/>
              </w:rPr>
              <w:t xml:space="preserve"> v </w:t>
            </w:r>
            <w:r w:rsidRPr="00A3389E">
              <w:rPr>
                <w:rFonts w:ascii="Times New Roman" w:hAnsi="Times New Roman" w:cs="Times New Roman"/>
                <w:iCs/>
              </w:rPr>
              <w:t>súlade</w:t>
            </w:r>
            <w:r w:rsidR="00A3389E">
              <w:rPr>
                <w:rFonts w:ascii="Times New Roman" w:hAnsi="Times New Roman" w:cs="Times New Roman"/>
                <w:iCs/>
              </w:rPr>
              <w:t xml:space="preserve"> s </w:t>
            </w:r>
            <w:r w:rsidRPr="00A3389E">
              <w:rPr>
                <w:rFonts w:ascii="Times New Roman" w:hAnsi="Times New Roman" w:cs="Times New Roman"/>
                <w:iCs/>
              </w:rPr>
              <w:t>triedami expozícií uvedenými</w:t>
            </w:r>
            <w:r w:rsidR="00A3389E">
              <w:rPr>
                <w:rFonts w:ascii="Times New Roman" w:hAnsi="Times New Roman" w:cs="Times New Roman"/>
                <w:iCs/>
              </w:rPr>
              <w:t xml:space="preserve"> v </w:t>
            </w:r>
            <w:r w:rsidRPr="00A3389E">
              <w:rPr>
                <w:rFonts w:ascii="Times New Roman" w:hAnsi="Times New Roman" w:cs="Times New Roman"/>
                <w:iCs/>
              </w:rPr>
              <w:t>článku 147 CRR</w:t>
            </w:r>
            <w:r w:rsidR="00A3389E">
              <w:rPr>
                <w:rFonts w:ascii="Times New Roman" w:hAnsi="Times New Roman" w:cs="Times New Roman"/>
                <w:iCs/>
              </w:rPr>
              <w:t xml:space="preserve"> s </w:t>
            </w:r>
            <w:r w:rsidRPr="00A3389E">
              <w:rPr>
                <w:rFonts w:ascii="Times New Roman" w:hAnsi="Times New Roman" w:cs="Times New Roman"/>
                <w:iCs/>
              </w:rPr>
              <w:t>ďalším rozčlenením pre triedu expozícií</w:t>
            </w:r>
          </w:p>
          <w:p w14:paraId="44D9686B" w14:textId="39F134BF" w:rsidR="000646F8" w:rsidRPr="00A3389E" w:rsidRDefault="000646F8" w:rsidP="00155C96">
            <w:pPr>
              <w:pStyle w:val="Default"/>
              <w:spacing w:after="120"/>
              <w:rPr>
                <w:rFonts w:ascii="Times New Roman" w:eastAsia="Times New Roman" w:hAnsi="Times New Roman" w:cs="Times New Roman"/>
                <w:iCs/>
              </w:rPr>
            </w:pPr>
            <w:r w:rsidRPr="00A3389E">
              <w:rPr>
                <w:rFonts w:ascii="Times New Roman" w:hAnsi="Times New Roman" w:cs="Times New Roman"/>
                <w:iCs/>
              </w:rPr>
              <w:t>„podnikateľské subjekty“ [článok 147 ods. 2 písm. c) CRR] takto:</w:t>
            </w:r>
          </w:p>
          <w:p w14:paraId="6387AD8E" w14:textId="1841F0B1"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expozície voči podnikateľským subjektom – MSP</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internou klasifikáciou expozícií voči podnikateľským subjektom na základe politík riadenia rizík;</w:t>
            </w:r>
          </w:p>
          <w:p w14:paraId="671A14DF" w14:textId="7259DF40"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b)</w:t>
            </w:r>
            <w:r w:rsidRPr="00A3389E">
              <w:rPr>
                <w:rFonts w:ascii="Times New Roman" w:hAnsi="Times New Roman" w:cs="Times New Roman"/>
              </w:rPr>
              <w:tab/>
            </w:r>
            <w:r w:rsidRPr="00A3389E">
              <w:rPr>
                <w:rFonts w:ascii="Times New Roman" w:hAnsi="Times New Roman" w:cs="Times New Roman"/>
                <w:iCs/>
                <w:sz w:val="24"/>
              </w:rPr>
              <w:t>expozície voči podnikateľským subjektom – špecializované financovanie</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147 ods. 8 CRR,</w:t>
            </w:r>
            <w:r w:rsidR="00A3389E">
              <w:rPr>
                <w:rFonts w:ascii="Times New Roman" w:hAnsi="Times New Roman" w:cs="Times New Roman"/>
                <w:iCs/>
                <w:sz w:val="24"/>
              </w:rPr>
              <w:t xml:space="preserve"> a </w:t>
            </w:r>
            <w:r w:rsidRPr="00A3389E">
              <w:rPr>
                <w:rFonts w:ascii="Times New Roman" w:hAnsi="Times New Roman" w:cs="Times New Roman"/>
                <w:iCs/>
                <w:sz w:val="24"/>
              </w:rPr>
              <w:t>to okrem expozícií vo forme špecializovaného financovania, pri ktorých sa uplatňuje prístup spočívajúci</w:t>
            </w:r>
            <w:r w:rsidR="00A3389E">
              <w:rPr>
                <w:rFonts w:ascii="Times New Roman" w:hAnsi="Times New Roman" w:cs="Times New Roman"/>
                <w:iCs/>
                <w:sz w:val="24"/>
              </w:rPr>
              <w:t xml:space="preserve"> v </w:t>
            </w:r>
            <w:r w:rsidRPr="00A3389E">
              <w:rPr>
                <w:rFonts w:ascii="Times New Roman" w:hAnsi="Times New Roman" w:cs="Times New Roman"/>
                <w:iCs/>
                <w:sz w:val="24"/>
              </w:rPr>
              <w:t>zaradení;</w:t>
            </w:r>
          </w:p>
          <w:p w14:paraId="6E9FAB9D" w14:textId="24F374B6"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expozície voči podnikateľským subjektom – iné.</w:t>
            </w:r>
          </w:p>
        </w:tc>
      </w:tr>
    </w:tbl>
    <w:p w14:paraId="56C9E17A" w14:textId="21B6ECAA" w:rsidR="00A3389E" w:rsidRPr="00A3389E" w:rsidRDefault="00CD362D" w:rsidP="000646F8">
      <w:pPr>
        <w:spacing w:before="240" w:after="120"/>
        <w:rPr>
          <w:rFonts w:ascii="Times New Roman" w:hAnsi="Times New Roman" w:cs="Times New Roman"/>
          <w:b/>
          <w:sz w:val="24"/>
        </w:rPr>
      </w:pPr>
      <w:r w:rsidRPr="00A3389E">
        <w:rPr>
          <w:rFonts w:ascii="Times New Roman" w:hAnsi="Times New Roman" w:cs="Times New Roman"/>
          <w:b/>
          <w:sz w:val="24"/>
        </w:rPr>
        <w:t>Vzor EU CR8 – Výkazy peňažných tokov RWEA expozícií voči kreditnému riziku</w:t>
      </w:r>
      <w:r w:rsidR="00A3389E">
        <w:rPr>
          <w:rFonts w:ascii="Times New Roman" w:hAnsi="Times New Roman" w:cs="Times New Roman"/>
          <w:b/>
          <w:sz w:val="24"/>
        </w:rPr>
        <w:t xml:space="preserve"> v </w:t>
      </w:r>
      <w:r w:rsidRPr="00A3389E">
        <w:rPr>
          <w:rFonts w:ascii="Times New Roman" w:hAnsi="Times New Roman" w:cs="Times New Roman"/>
          <w:b/>
          <w:sz w:val="24"/>
        </w:rPr>
        <w:t>rámci prístupu IRB. Vzor</w:t>
      </w:r>
      <w:r w:rsidR="00A3389E">
        <w:rPr>
          <w:rFonts w:ascii="Times New Roman" w:hAnsi="Times New Roman" w:cs="Times New Roman"/>
          <w:b/>
          <w:sz w:val="24"/>
        </w:rPr>
        <w:t xml:space="preserve"> s </w:t>
      </w:r>
      <w:r w:rsidRPr="00A3389E">
        <w:rPr>
          <w:rFonts w:ascii="Times New Roman" w:hAnsi="Times New Roman" w:cs="Times New Roman"/>
          <w:b/>
          <w:sz w:val="24"/>
        </w:rPr>
        <w:t>pevným formátom</w:t>
      </w:r>
      <w:r w:rsidR="00A3389E" w:rsidRPr="00A3389E">
        <w:rPr>
          <w:rFonts w:ascii="Times New Roman" w:hAnsi="Times New Roman" w:cs="Times New Roman"/>
          <w:b/>
          <w:sz w:val="24"/>
        </w:rPr>
        <w:t>.</w:t>
      </w:r>
    </w:p>
    <w:p w14:paraId="203A55C3" w14:textId="205E2B5C" w:rsidR="000646F8" w:rsidRPr="00A3389E" w:rsidRDefault="00A3389E" w:rsidP="00A3389E">
      <w:pPr>
        <w:spacing w:after="120"/>
        <w:ind w:left="714" w:hanging="357"/>
        <w:jc w:val="both"/>
        <w:rPr>
          <w:rFonts w:ascii="Times New Roman" w:hAnsi="Times New Roman"/>
          <w:sz w:val="24"/>
        </w:rPr>
      </w:pPr>
      <w:r w:rsidRPr="00A3389E">
        <w:rPr>
          <w:rFonts w:ascii="Times New Roman" w:eastAsia="Calibri" w:hAnsi="Times New Roman" w:cs="Times New Roman"/>
          <w:sz w:val="24"/>
          <w:szCs w:val="22"/>
        </w:rPr>
        <w:t>8.</w:t>
      </w:r>
      <w:r w:rsidRPr="00A3389E">
        <w:rPr>
          <w:rFonts w:ascii="Times New Roman" w:eastAsia="Calibri" w:hAnsi="Times New Roman" w:cs="Times New Roman"/>
          <w:sz w:val="24"/>
          <w:szCs w:val="22"/>
        </w:rPr>
        <w:tab/>
      </w:r>
      <w:r w:rsidR="000646F8" w:rsidRPr="00A3389E">
        <w:rPr>
          <w:rFonts w:ascii="Times New Roman" w:hAnsi="Times New Roman"/>
          <w:sz w:val="24"/>
        </w:rPr>
        <w:t>Inštitúcie zverejňujú informácie uvedené</w:t>
      </w:r>
      <w:r>
        <w:rPr>
          <w:rFonts w:ascii="Times New Roman" w:hAnsi="Times New Roman"/>
          <w:sz w:val="24"/>
        </w:rPr>
        <w:t xml:space="preserve"> v </w:t>
      </w:r>
      <w:r w:rsidR="000646F8" w:rsidRPr="00A3389E">
        <w:rPr>
          <w:rFonts w:ascii="Times New Roman" w:hAnsi="Times New Roman"/>
          <w:sz w:val="24"/>
        </w:rPr>
        <w:t>článku 438 písm. h) CRR podľa pokynov uvedených nižšie</w:t>
      </w:r>
      <w:r>
        <w:rPr>
          <w:rFonts w:ascii="Times New Roman" w:hAnsi="Times New Roman"/>
          <w:sz w:val="24"/>
        </w:rPr>
        <w:t xml:space="preserve"> v </w:t>
      </w:r>
      <w:r w:rsidR="000646F8" w:rsidRPr="00A3389E">
        <w:rPr>
          <w:rFonts w:ascii="Times New Roman" w:hAnsi="Times New Roman"/>
          <w:sz w:val="24"/>
        </w:rPr>
        <w:t>tejto prílohe</w:t>
      </w:r>
      <w:r>
        <w:rPr>
          <w:rFonts w:ascii="Times New Roman" w:hAnsi="Times New Roman"/>
          <w:sz w:val="24"/>
        </w:rPr>
        <w:t xml:space="preserve"> s </w:t>
      </w:r>
      <w:r w:rsidR="000646F8" w:rsidRPr="00A3389E">
        <w:rPr>
          <w:rFonts w:ascii="Times New Roman" w:hAnsi="Times New Roman"/>
          <w:sz w:val="24"/>
        </w:rPr>
        <w:t>cieľom vyplniť vzor EU CR8, ktorý je uvedený</w:t>
      </w:r>
      <w:r>
        <w:rPr>
          <w:rFonts w:ascii="Times New Roman" w:hAnsi="Times New Roman"/>
          <w:sz w:val="24"/>
        </w:rPr>
        <w:t xml:space="preserve"> v </w:t>
      </w:r>
      <w:r w:rsidR="000646F8" w:rsidRPr="00A3389E">
        <w:rPr>
          <w:rFonts w:ascii="Times New Roman" w:hAnsi="Times New Roman"/>
          <w:sz w:val="24"/>
        </w:rPr>
        <w:t>prílohe XXI</w:t>
      </w:r>
      <w:r>
        <w:rPr>
          <w:rFonts w:ascii="Times New Roman" w:hAnsi="Times New Roman"/>
          <w:sz w:val="24"/>
        </w:rPr>
        <w:t xml:space="preserve"> k </w:t>
      </w:r>
      <w:r w:rsidR="000646F8" w:rsidRPr="00A3389E">
        <w:rPr>
          <w:rFonts w:ascii="Times New Roman" w:hAnsi="Times New Roman"/>
          <w:sz w:val="24"/>
        </w:rPr>
        <w:t>tomuto vykonávaciemu nariadeniu.</w:t>
      </w:r>
      <w:r>
        <w:rPr>
          <w:rFonts w:ascii="Times New Roman" w:hAnsi="Times New Roman"/>
          <w:sz w:val="24"/>
        </w:rPr>
        <w:t xml:space="preserve"> Z </w:t>
      </w:r>
      <w:r w:rsidR="000646F8" w:rsidRPr="00A3389E">
        <w:rPr>
          <w:rFonts w:ascii="Times New Roman" w:hAnsi="Times New Roman"/>
          <w:sz w:val="24"/>
        </w:rPr>
        <w:t>informácií</w:t>
      </w:r>
      <w:r>
        <w:rPr>
          <w:rFonts w:ascii="Times New Roman" w:hAnsi="Times New Roman"/>
          <w:sz w:val="24"/>
        </w:rPr>
        <w:t xml:space="preserve"> v </w:t>
      </w:r>
      <w:r w:rsidR="000646F8" w:rsidRPr="00A3389E">
        <w:rPr>
          <w:rFonts w:ascii="Times New Roman" w:hAnsi="Times New Roman"/>
          <w:sz w:val="24"/>
        </w:rPr>
        <w:t>tomto vzore sú vylúčené expozície voči kreditnému riziku protistrany (CCR) (tretia časť hlava II kapitola 6 CRR).</w:t>
      </w:r>
    </w:p>
    <w:p w14:paraId="78F8CD8A" w14:textId="4BCE557B" w:rsidR="000646F8" w:rsidRPr="00A3389E" w:rsidRDefault="00A3389E" w:rsidP="00A3389E">
      <w:pPr>
        <w:spacing w:after="120"/>
        <w:ind w:left="720" w:hanging="360"/>
        <w:jc w:val="both"/>
        <w:rPr>
          <w:rFonts w:ascii="Times New Roman" w:hAnsi="Times New Roman"/>
          <w:sz w:val="24"/>
        </w:rPr>
      </w:pPr>
      <w:r w:rsidRPr="00A3389E">
        <w:rPr>
          <w:rFonts w:ascii="Times New Roman" w:eastAsia="Calibri" w:hAnsi="Times New Roman" w:cs="Times New Roman"/>
          <w:sz w:val="24"/>
        </w:rPr>
        <w:t>9.</w:t>
      </w:r>
      <w:r w:rsidRPr="00A3389E">
        <w:rPr>
          <w:rFonts w:ascii="Times New Roman" w:eastAsia="Calibri" w:hAnsi="Times New Roman" w:cs="Times New Roman"/>
          <w:sz w:val="24"/>
        </w:rPr>
        <w:tab/>
      </w:r>
      <w:r w:rsidR="000646F8" w:rsidRPr="00A3389E">
        <w:rPr>
          <w:rFonts w:ascii="Times New Roman" w:hAnsi="Times New Roman"/>
          <w:sz w:val="24"/>
        </w:rPr>
        <w:t>Inštitúcie zverejňujú peňažné toky RWEA ako zmeny medzi hodnotami rizikovo vážených expozícií ku koncu referenčného obdobia zverejňovania informácií (ako sa uvádza nižšie</w:t>
      </w:r>
      <w:r>
        <w:rPr>
          <w:rFonts w:ascii="Times New Roman" w:hAnsi="Times New Roman"/>
          <w:sz w:val="24"/>
        </w:rPr>
        <w:t xml:space="preserve"> v </w:t>
      </w:r>
      <w:r w:rsidR="000646F8" w:rsidRPr="00A3389E">
        <w:rPr>
          <w:rFonts w:ascii="Times New Roman" w:hAnsi="Times New Roman"/>
          <w:sz w:val="24"/>
        </w:rPr>
        <w:t>riadku 9 tohto vzoru)</w:t>
      </w:r>
      <w:r>
        <w:rPr>
          <w:rFonts w:ascii="Times New Roman" w:hAnsi="Times New Roman"/>
          <w:sz w:val="24"/>
        </w:rPr>
        <w:t xml:space="preserve"> a </w:t>
      </w:r>
      <w:r w:rsidR="000646F8" w:rsidRPr="00A3389E">
        <w:rPr>
          <w:rFonts w:ascii="Times New Roman" w:hAnsi="Times New Roman"/>
          <w:sz w:val="24"/>
        </w:rPr>
        <w:t>hodnotami vážených expozícií ku koncu predchádzajúceho referenčného obdobia zverejňovania informácií (ako sa uvádza nižšie</w:t>
      </w:r>
      <w:r>
        <w:rPr>
          <w:rFonts w:ascii="Times New Roman" w:hAnsi="Times New Roman"/>
          <w:sz w:val="24"/>
        </w:rPr>
        <w:t xml:space="preserve"> v </w:t>
      </w:r>
      <w:r w:rsidR="000646F8" w:rsidRPr="00A3389E">
        <w:rPr>
          <w:rFonts w:ascii="Times New Roman" w:hAnsi="Times New Roman"/>
          <w:sz w:val="24"/>
        </w:rPr>
        <w:t>riadku 1 tohto vzoru;</w:t>
      </w:r>
      <w:r>
        <w:rPr>
          <w:rFonts w:ascii="Times New Roman" w:hAnsi="Times New Roman"/>
          <w:bCs/>
          <w:color w:val="000000"/>
          <w:sz w:val="24"/>
        </w:rPr>
        <w:t xml:space="preserve"> v </w:t>
      </w:r>
      <w:r w:rsidR="000646F8" w:rsidRPr="00A3389E">
        <w:rPr>
          <w:rFonts w:ascii="Times New Roman" w:hAnsi="Times New Roman"/>
          <w:color w:val="000000"/>
          <w:sz w:val="24"/>
        </w:rPr>
        <w:t xml:space="preserve">prípade štvrťročného zverejňovania informácií je to koniec štvrťroka pred štvrťrokom referenčného obdobia zverejňovania informácií). </w:t>
      </w:r>
      <w:r w:rsidR="000646F8" w:rsidRPr="00A3389E">
        <w:rPr>
          <w:rFonts w:ascii="Times New Roman" w:hAnsi="Times New Roman"/>
          <w:color w:val="000000"/>
          <w:sz w:val="24"/>
        </w:rPr>
        <w:lastRenderedPageBreak/>
        <w:t>Inštitúcie môžu svoje zverejnenia</w:t>
      </w:r>
      <w:r>
        <w:rPr>
          <w:rFonts w:ascii="Times New Roman" w:hAnsi="Times New Roman"/>
          <w:color w:val="000000"/>
          <w:sz w:val="24"/>
        </w:rPr>
        <w:t xml:space="preserve"> v </w:t>
      </w:r>
      <w:r w:rsidR="000646F8" w:rsidRPr="00A3389E">
        <w:rPr>
          <w:rFonts w:ascii="Times New Roman" w:hAnsi="Times New Roman"/>
          <w:color w:val="000000"/>
          <w:sz w:val="24"/>
        </w:rPr>
        <w:t>rámci piliera 3 doplniť zverejnením rovnakých informácií za tri predchádzajúce štvrťroky.</w:t>
      </w:r>
    </w:p>
    <w:p w14:paraId="7BF20DB5" w14:textId="38FD39F6" w:rsidR="000646F8" w:rsidRPr="00A3389E" w:rsidRDefault="00A3389E" w:rsidP="00A3389E">
      <w:pPr>
        <w:spacing w:after="120"/>
        <w:ind w:left="714" w:hanging="357"/>
        <w:jc w:val="both"/>
        <w:rPr>
          <w:rFonts w:ascii="Times New Roman" w:hAnsi="Times New Roman"/>
          <w:sz w:val="24"/>
        </w:rPr>
      </w:pPr>
      <w:r w:rsidRPr="00A3389E">
        <w:rPr>
          <w:rFonts w:ascii="Times New Roman" w:eastAsia="Calibri" w:hAnsi="Times New Roman" w:cs="Times New Roman"/>
          <w:sz w:val="24"/>
          <w:szCs w:val="22"/>
        </w:rPr>
        <w:t>10.</w:t>
      </w:r>
      <w:r w:rsidRPr="00A3389E">
        <w:rPr>
          <w:rFonts w:ascii="Times New Roman" w:eastAsia="Calibri" w:hAnsi="Times New Roman" w:cs="Times New Roman"/>
          <w:sz w:val="24"/>
          <w:szCs w:val="22"/>
        </w:rPr>
        <w:tab/>
      </w:r>
      <w:r w:rsidR="000646F8" w:rsidRPr="00A3389E">
        <w:rPr>
          <w:rFonts w:ascii="Times New Roman" w:hAnsi="Times New Roman"/>
          <w:sz w:val="24"/>
        </w:rPr>
        <w:t>Inštitúcie dopĺňajú vzor slovným komentárom na vysvetlenie číselných údajov uvedených</w:t>
      </w:r>
      <w:r>
        <w:rPr>
          <w:rFonts w:ascii="Times New Roman" w:hAnsi="Times New Roman"/>
          <w:sz w:val="24"/>
        </w:rPr>
        <w:t xml:space="preserve"> v </w:t>
      </w:r>
      <w:r w:rsidR="000646F8" w:rsidRPr="00A3389E">
        <w:rPr>
          <w:rFonts w:ascii="Times New Roman" w:hAnsi="Times New Roman"/>
          <w:sz w:val="24"/>
        </w:rPr>
        <w:t>riadku 8 tohto vzoru, t. j. akýchkoľvek iných faktorov, ktoré významne prispievajú</w:t>
      </w:r>
      <w:r>
        <w:rPr>
          <w:rFonts w:ascii="Times New Roman" w:hAnsi="Times New Roman"/>
          <w:sz w:val="24"/>
        </w:rPr>
        <w:t xml:space="preserve"> k </w:t>
      </w:r>
      <w:r w:rsidR="000646F8" w:rsidRPr="00A3389E">
        <w:rPr>
          <w:rFonts w:ascii="Times New Roman" w:hAnsi="Times New Roman"/>
          <w:sz w:val="24"/>
        </w:rPr>
        <w:t xml:space="preserve">zmenám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A3389E"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5D3ADF02"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646F8" w:rsidRPr="00A3389E" w14:paraId="579F295F" w14:textId="77777777" w:rsidTr="00155C96">
        <w:trPr>
          <w:trHeight w:val="741"/>
        </w:trPr>
        <w:tc>
          <w:tcPr>
            <w:tcW w:w="1413" w:type="dxa"/>
            <w:shd w:val="clear" w:color="auto" w:fill="auto"/>
          </w:tcPr>
          <w:p w14:paraId="1AC43A96"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a</w:t>
            </w:r>
          </w:p>
        </w:tc>
        <w:tc>
          <w:tcPr>
            <w:tcW w:w="7654" w:type="dxa"/>
            <w:shd w:val="clear" w:color="auto" w:fill="auto"/>
          </w:tcPr>
          <w:p w14:paraId="2E02EE38" w14:textId="7520E353" w:rsidR="00D74376" w:rsidRPr="00A3389E" w:rsidRDefault="00D74376"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Hodnota rizikovo váženej expozície</w:t>
            </w:r>
          </w:p>
          <w:p w14:paraId="750839D2" w14:textId="6F3B1C65"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Celková hodnota rizikovo váženej expozície pre kreditné riziko vypočítaná podľa prístupu IRB</w:t>
            </w:r>
            <w:r w:rsidR="00A3389E">
              <w:rPr>
                <w:rFonts w:ascii="Times New Roman" w:hAnsi="Times New Roman" w:cs="Times New Roman"/>
                <w:sz w:val="24"/>
              </w:rPr>
              <w:t xml:space="preserve"> s </w:t>
            </w:r>
            <w:r w:rsidRPr="00A3389E">
              <w:rPr>
                <w:rFonts w:ascii="Times New Roman" w:hAnsi="Times New Roman" w:cs="Times New Roman"/>
                <w:sz w:val="24"/>
              </w:rPr>
              <w:t>prihliadnutím na podporné faktory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501</w:t>
            </w:r>
            <w:r w:rsidR="00A3389E">
              <w:rPr>
                <w:rFonts w:ascii="Times New Roman" w:hAnsi="Times New Roman" w:cs="Times New Roman"/>
                <w:sz w:val="24"/>
              </w:rPr>
              <w:t xml:space="preserve"> a </w:t>
            </w:r>
            <w:r w:rsidRPr="00A3389E">
              <w:rPr>
                <w:rFonts w:ascii="Times New Roman" w:hAnsi="Times New Roman" w:cs="Times New Roman"/>
                <w:sz w:val="24"/>
              </w:rPr>
              <w:t>501a CRR.</w:t>
            </w:r>
          </w:p>
        </w:tc>
      </w:tr>
    </w:tbl>
    <w:p w14:paraId="1002F390" w14:textId="77777777" w:rsidR="000646F8" w:rsidRPr="00A3389E"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A3389E"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C27145A"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646F8" w:rsidRPr="00A3389E" w14:paraId="0DE36E2F" w14:textId="77777777" w:rsidTr="00155C96">
        <w:trPr>
          <w:trHeight w:val="741"/>
        </w:trPr>
        <w:tc>
          <w:tcPr>
            <w:tcW w:w="1413" w:type="dxa"/>
            <w:shd w:val="clear" w:color="auto" w:fill="auto"/>
          </w:tcPr>
          <w:p w14:paraId="2E6151CA"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1</w:t>
            </w:r>
          </w:p>
        </w:tc>
        <w:tc>
          <w:tcPr>
            <w:tcW w:w="7654" w:type="dxa"/>
            <w:shd w:val="clear" w:color="auto" w:fill="auto"/>
          </w:tcPr>
          <w:p w14:paraId="668B6D0D"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Hodnota rizikovo vážených expozícií ku koncu predchádzajúceho obdobia zverejňovania informácií</w:t>
            </w:r>
          </w:p>
        </w:tc>
      </w:tr>
      <w:tr w:rsidR="000646F8" w:rsidRPr="00A3389E" w14:paraId="5546C98F" w14:textId="77777777" w:rsidTr="00155C96">
        <w:trPr>
          <w:trHeight w:val="316"/>
        </w:trPr>
        <w:tc>
          <w:tcPr>
            <w:tcW w:w="1413" w:type="dxa"/>
          </w:tcPr>
          <w:p w14:paraId="6906A81C"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2</w:t>
            </w:r>
          </w:p>
        </w:tc>
        <w:tc>
          <w:tcPr>
            <w:tcW w:w="7654" w:type="dxa"/>
          </w:tcPr>
          <w:p w14:paraId="3F6C2C5D" w14:textId="14FB8FB9" w:rsidR="000646F8" w:rsidRPr="00A3389E" w:rsidRDefault="00D74376" w:rsidP="00155C96">
            <w:pPr>
              <w:spacing w:after="120"/>
              <w:jc w:val="both"/>
              <w:rPr>
                <w:rFonts w:ascii="Times New Roman" w:eastAsiaTheme="minorHAnsi" w:hAnsi="Times New Roman" w:cs="Times New Roman"/>
                <w:b/>
                <w:sz w:val="24"/>
              </w:rPr>
            </w:pPr>
            <w:r w:rsidRPr="00A3389E">
              <w:rPr>
                <w:rFonts w:ascii="Times New Roman" w:hAnsi="Times New Roman" w:cs="Times New Roman"/>
                <w:b/>
                <w:sz w:val="24"/>
              </w:rPr>
              <w:t>Objem aktív (+/–)</w:t>
            </w:r>
          </w:p>
          <w:p w14:paraId="33EEBEBB" w14:textId="72602A17" w:rsidR="000646F8" w:rsidRPr="00A3389E" w:rsidRDefault="000646F8" w:rsidP="00155C96">
            <w:pPr>
              <w:spacing w:after="120"/>
              <w:jc w:val="both"/>
              <w:rPr>
                <w:rFonts w:ascii="Times New Roman" w:eastAsiaTheme="minorHAnsi" w:hAnsi="Times New Roman" w:cs="Times New Roman"/>
                <w:sz w:val="24"/>
              </w:rPr>
            </w:pPr>
            <w:r w:rsidRPr="00A3389E">
              <w:rPr>
                <w:rFonts w:ascii="Times New Roman" w:hAnsi="Times New Roman" w:cs="Times New Roman"/>
                <w:sz w:val="24"/>
              </w:rPr>
              <w:t>Zmena hodnoty rizikovo váženej expozície medzi koncom predchádzajúceho obdobia zverejňovania informácií</w:t>
            </w:r>
            <w:r w:rsidR="00A3389E">
              <w:rPr>
                <w:rFonts w:ascii="Times New Roman" w:hAnsi="Times New Roman" w:cs="Times New Roman"/>
                <w:sz w:val="24"/>
              </w:rPr>
              <w:t xml:space="preserve"> a </w:t>
            </w:r>
            <w:r w:rsidRPr="00A3389E">
              <w:rPr>
                <w:rFonts w:ascii="Times New Roman" w:hAnsi="Times New Roman" w:cs="Times New Roman"/>
                <w:sz w:val="24"/>
              </w:rPr>
              <w:t>koncom bežného obdobia zverejňovania informácií</w:t>
            </w:r>
            <w:r w:rsidR="00A3389E">
              <w:rPr>
                <w:rFonts w:ascii="Times New Roman" w:hAnsi="Times New Roman" w:cs="Times New Roman"/>
                <w:sz w:val="24"/>
              </w:rPr>
              <w:t xml:space="preserve"> z </w:t>
            </w:r>
            <w:r w:rsidRPr="00A3389E">
              <w:rPr>
                <w:rFonts w:ascii="Times New Roman" w:hAnsi="Times New Roman" w:cs="Times New Roman"/>
                <w:sz w:val="24"/>
              </w:rPr>
              <w:t>dôvodu objemu aktív, t. j. organické zmeny rozsahu</w:t>
            </w:r>
            <w:r w:rsidR="00A3389E">
              <w:rPr>
                <w:rFonts w:ascii="Times New Roman" w:hAnsi="Times New Roman" w:cs="Times New Roman"/>
                <w:sz w:val="24"/>
              </w:rPr>
              <w:t xml:space="preserve"> a </w:t>
            </w:r>
            <w:r w:rsidRPr="00A3389E">
              <w:rPr>
                <w:rFonts w:ascii="Times New Roman" w:hAnsi="Times New Roman" w:cs="Times New Roman"/>
                <w:sz w:val="24"/>
              </w:rPr>
              <w:t>zloženia knihy (vrátane vzniku nových podnikov</w:t>
            </w:r>
            <w:r w:rsidR="00A3389E">
              <w:rPr>
                <w:rFonts w:ascii="Times New Roman" w:hAnsi="Times New Roman" w:cs="Times New Roman"/>
                <w:sz w:val="24"/>
              </w:rPr>
              <w:t xml:space="preserve"> a </w:t>
            </w:r>
            <w:r w:rsidRPr="00A3389E">
              <w:rPr>
                <w:rFonts w:ascii="Times New Roman" w:hAnsi="Times New Roman" w:cs="Times New Roman"/>
                <w:sz w:val="24"/>
              </w:rPr>
              <w:t>splatných úverov), ale bez zmien rozsahu knihy</w:t>
            </w:r>
            <w:r w:rsidR="00A3389E">
              <w:rPr>
                <w:rFonts w:ascii="Times New Roman" w:hAnsi="Times New Roman" w:cs="Times New Roman"/>
                <w:sz w:val="24"/>
              </w:rPr>
              <w:t xml:space="preserve"> z </w:t>
            </w:r>
            <w:r w:rsidRPr="00A3389E">
              <w:rPr>
                <w:rFonts w:ascii="Times New Roman" w:hAnsi="Times New Roman" w:cs="Times New Roman"/>
                <w:sz w:val="24"/>
              </w:rPr>
              <w:t>dôvodu nadobudnutia</w:t>
            </w:r>
            <w:r w:rsidR="00A3389E">
              <w:rPr>
                <w:rFonts w:ascii="Times New Roman" w:hAnsi="Times New Roman" w:cs="Times New Roman"/>
                <w:sz w:val="24"/>
              </w:rPr>
              <w:t xml:space="preserve"> a </w:t>
            </w:r>
            <w:r w:rsidRPr="00A3389E">
              <w:rPr>
                <w:rFonts w:ascii="Times New Roman" w:hAnsi="Times New Roman" w:cs="Times New Roman"/>
                <w:sz w:val="24"/>
              </w:rPr>
              <w:t>odpredaja subjektov.</w:t>
            </w:r>
          </w:p>
          <w:p w14:paraId="6917E8B1" w14:textId="03512649"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Zvýšenia hodnôt rizikovo vážených expozícií sa zverejňujú ako kladná hodnota</w:t>
            </w:r>
            <w:r w:rsidR="00A3389E">
              <w:rPr>
                <w:rFonts w:ascii="Times New Roman" w:hAnsi="Times New Roman" w:cs="Times New Roman"/>
                <w:sz w:val="24"/>
              </w:rPr>
              <w:t xml:space="preserve"> a </w:t>
            </w:r>
            <w:r w:rsidRPr="00A3389E">
              <w:rPr>
                <w:rFonts w:ascii="Times New Roman" w:hAnsi="Times New Roman" w:cs="Times New Roman"/>
                <w:sz w:val="24"/>
              </w:rPr>
              <w:t>zníženia hodnôt rizikovo vážených expozícií sa zverejňujú ako záporná hodnota.</w:t>
            </w:r>
          </w:p>
        </w:tc>
      </w:tr>
      <w:tr w:rsidR="000646F8" w:rsidRPr="00A3389E" w14:paraId="41E09E9B" w14:textId="77777777" w:rsidTr="00155C96">
        <w:trPr>
          <w:trHeight w:val="316"/>
        </w:trPr>
        <w:tc>
          <w:tcPr>
            <w:tcW w:w="1413" w:type="dxa"/>
          </w:tcPr>
          <w:p w14:paraId="17AF4513"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3</w:t>
            </w:r>
          </w:p>
        </w:tc>
        <w:tc>
          <w:tcPr>
            <w:tcW w:w="7654" w:type="dxa"/>
          </w:tcPr>
          <w:p w14:paraId="39F9A060" w14:textId="437E97BA" w:rsidR="000646F8" w:rsidRPr="00A3389E" w:rsidRDefault="00D74376" w:rsidP="00155C96">
            <w:pPr>
              <w:autoSpaceDE w:val="0"/>
              <w:autoSpaceDN w:val="0"/>
              <w:adjustRightInd w:val="0"/>
              <w:spacing w:after="120"/>
              <w:jc w:val="both"/>
              <w:rPr>
                <w:rFonts w:ascii="Times New Roman" w:eastAsiaTheme="minorHAnsi" w:hAnsi="Times New Roman" w:cs="Times New Roman"/>
                <w:b/>
                <w:sz w:val="24"/>
              </w:rPr>
            </w:pPr>
            <w:r w:rsidRPr="00A3389E">
              <w:rPr>
                <w:rFonts w:ascii="Times New Roman" w:hAnsi="Times New Roman" w:cs="Times New Roman"/>
                <w:b/>
                <w:sz w:val="24"/>
              </w:rPr>
              <w:t>Kvalita aktív (+/–)</w:t>
            </w:r>
          </w:p>
          <w:p w14:paraId="388A5EBD" w14:textId="5497801A"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Zmena hodnoty rizikovo váženej expozície medzi koncom predchádzajúceho obdobia zverejňovania informácií</w:t>
            </w:r>
            <w:r w:rsidR="00A3389E">
              <w:rPr>
                <w:rFonts w:ascii="Times New Roman" w:hAnsi="Times New Roman" w:cs="Times New Roman"/>
                <w:sz w:val="24"/>
              </w:rPr>
              <w:t xml:space="preserve"> a </w:t>
            </w:r>
            <w:r w:rsidRPr="00A3389E">
              <w:rPr>
                <w:rFonts w:ascii="Times New Roman" w:hAnsi="Times New Roman" w:cs="Times New Roman"/>
                <w:sz w:val="24"/>
              </w:rPr>
              <w:t>koncom bežného obdobia zverejňovania informácií</w:t>
            </w:r>
            <w:r w:rsidR="00A3389E">
              <w:rPr>
                <w:rFonts w:ascii="Times New Roman" w:hAnsi="Times New Roman" w:cs="Times New Roman"/>
                <w:sz w:val="24"/>
              </w:rPr>
              <w:t xml:space="preserve"> z </w:t>
            </w:r>
            <w:r w:rsidRPr="00A3389E">
              <w:rPr>
                <w:rFonts w:ascii="Times New Roman" w:hAnsi="Times New Roman" w:cs="Times New Roman"/>
                <w:sz w:val="24"/>
              </w:rPr>
              <w:t>dôvodu kvality aktív, t. j. zmeny posudzovanej kvality aktív inštitúcie</w:t>
            </w:r>
            <w:r w:rsidR="00A3389E">
              <w:rPr>
                <w:rFonts w:ascii="Times New Roman" w:hAnsi="Times New Roman" w:cs="Times New Roman"/>
                <w:sz w:val="24"/>
              </w:rPr>
              <w:t xml:space="preserve"> z </w:t>
            </w:r>
            <w:r w:rsidRPr="00A3389E">
              <w:rPr>
                <w:rFonts w:ascii="Times New Roman" w:hAnsi="Times New Roman" w:cs="Times New Roman"/>
                <w:sz w:val="24"/>
              </w:rPr>
              <w:t>dôvodu zmien rizika dlžníka, ako je napríklad migrácia ratingových stupňov alebo podobné účinky.</w:t>
            </w:r>
          </w:p>
          <w:p w14:paraId="2F6146A9" w14:textId="30CF8722"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Zvýšenia hodnôt rizikovo vážených expozícií sa zverejňujú ako kladná hodnota</w:t>
            </w:r>
            <w:r w:rsidR="00A3389E">
              <w:rPr>
                <w:rFonts w:ascii="Times New Roman" w:hAnsi="Times New Roman" w:cs="Times New Roman"/>
                <w:sz w:val="24"/>
              </w:rPr>
              <w:t xml:space="preserve"> a </w:t>
            </w:r>
            <w:r w:rsidRPr="00A3389E">
              <w:rPr>
                <w:rFonts w:ascii="Times New Roman" w:hAnsi="Times New Roman" w:cs="Times New Roman"/>
                <w:sz w:val="24"/>
              </w:rPr>
              <w:t>zníženia hodnôt rizikovo vážených expozícií sa zverejňujú ako záporná hodnota.</w:t>
            </w:r>
          </w:p>
        </w:tc>
      </w:tr>
      <w:tr w:rsidR="000646F8" w:rsidRPr="00A3389E" w14:paraId="450D7E57" w14:textId="77777777" w:rsidTr="00155C96">
        <w:trPr>
          <w:trHeight w:val="316"/>
        </w:trPr>
        <w:tc>
          <w:tcPr>
            <w:tcW w:w="1413" w:type="dxa"/>
          </w:tcPr>
          <w:p w14:paraId="613178A6"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4</w:t>
            </w:r>
          </w:p>
        </w:tc>
        <w:tc>
          <w:tcPr>
            <w:tcW w:w="7654" w:type="dxa"/>
          </w:tcPr>
          <w:p w14:paraId="41EE5810" w14:textId="05783F36" w:rsidR="000646F8" w:rsidRPr="00A3389E" w:rsidRDefault="00D74376" w:rsidP="00155C96">
            <w:pPr>
              <w:autoSpaceDE w:val="0"/>
              <w:autoSpaceDN w:val="0"/>
              <w:adjustRightInd w:val="0"/>
              <w:spacing w:after="120"/>
              <w:jc w:val="both"/>
              <w:rPr>
                <w:rFonts w:ascii="Times New Roman" w:eastAsiaTheme="minorHAnsi" w:hAnsi="Times New Roman" w:cs="Times New Roman"/>
                <w:b/>
                <w:sz w:val="24"/>
              </w:rPr>
            </w:pPr>
            <w:r w:rsidRPr="00A3389E">
              <w:rPr>
                <w:rFonts w:ascii="Times New Roman" w:hAnsi="Times New Roman" w:cs="Times New Roman"/>
                <w:b/>
                <w:sz w:val="24"/>
              </w:rPr>
              <w:t>Aktualizácie modelu (+/–)</w:t>
            </w:r>
          </w:p>
          <w:p w14:paraId="6FB53CE5" w14:textId="5AD3CCFC"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Zmena hodnoty rizikovo váženej expozície medzi koncom predchádzajúceho obdobia zverejňovania informácií</w:t>
            </w:r>
            <w:r w:rsidR="00A3389E">
              <w:rPr>
                <w:rFonts w:ascii="Times New Roman" w:hAnsi="Times New Roman" w:cs="Times New Roman"/>
                <w:sz w:val="24"/>
              </w:rPr>
              <w:t xml:space="preserve"> a </w:t>
            </w:r>
            <w:r w:rsidRPr="00A3389E">
              <w:rPr>
                <w:rFonts w:ascii="Times New Roman" w:hAnsi="Times New Roman" w:cs="Times New Roman"/>
                <w:sz w:val="24"/>
              </w:rPr>
              <w:t>koncom bežného obdobia zverejňovania informácií</w:t>
            </w:r>
            <w:r w:rsidR="00A3389E">
              <w:rPr>
                <w:rFonts w:ascii="Times New Roman" w:hAnsi="Times New Roman" w:cs="Times New Roman"/>
                <w:sz w:val="24"/>
              </w:rPr>
              <w:t xml:space="preserve"> z </w:t>
            </w:r>
            <w:r w:rsidRPr="00A3389E">
              <w:rPr>
                <w:rFonts w:ascii="Times New Roman" w:hAnsi="Times New Roman" w:cs="Times New Roman"/>
                <w:sz w:val="24"/>
              </w:rPr>
              <w:t>dôvodu aktualizácií modelu, t. j. zmeny</w:t>
            </w:r>
            <w:r w:rsidR="00A3389E">
              <w:rPr>
                <w:rFonts w:ascii="Times New Roman" w:hAnsi="Times New Roman" w:cs="Times New Roman"/>
                <w:sz w:val="24"/>
              </w:rPr>
              <w:t xml:space="preserve"> z </w:t>
            </w:r>
            <w:r w:rsidRPr="00A3389E">
              <w:rPr>
                <w:rFonts w:ascii="Times New Roman" w:hAnsi="Times New Roman" w:cs="Times New Roman"/>
                <w:sz w:val="24"/>
              </w:rPr>
              <w:t>dôvodu zavádzania nových modelov, zmien modelov, zmien</w:t>
            </w:r>
            <w:r w:rsidR="00A3389E">
              <w:rPr>
                <w:rFonts w:ascii="Times New Roman" w:hAnsi="Times New Roman" w:cs="Times New Roman"/>
                <w:sz w:val="24"/>
              </w:rPr>
              <w:t xml:space="preserve"> v </w:t>
            </w:r>
            <w:r w:rsidRPr="00A3389E">
              <w:rPr>
                <w:rFonts w:ascii="Times New Roman" w:hAnsi="Times New Roman" w:cs="Times New Roman"/>
                <w:sz w:val="24"/>
              </w:rPr>
              <w:t>rozsahu modelu alebo akýchkoľvek iných zmien zameraných na riešenie nedostatkov modelu.</w:t>
            </w:r>
          </w:p>
          <w:p w14:paraId="16EE0A4A" w14:textId="61C23BFD"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lastRenderedPageBreak/>
              <w:t>Zvýšenia hodnôt rizikovo vážených expozícií sa zverejňujú ako kladná hodnota</w:t>
            </w:r>
            <w:r w:rsidR="00A3389E">
              <w:rPr>
                <w:rFonts w:ascii="Times New Roman" w:hAnsi="Times New Roman" w:cs="Times New Roman"/>
                <w:sz w:val="24"/>
              </w:rPr>
              <w:t xml:space="preserve"> a </w:t>
            </w:r>
            <w:r w:rsidRPr="00A3389E">
              <w:rPr>
                <w:rFonts w:ascii="Times New Roman" w:hAnsi="Times New Roman" w:cs="Times New Roman"/>
                <w:sz w:val="24"/>
              </w:rPr>
              <w:t>zníženia hodnôt rizikovo vážených expozícií sa zverejňujú ako záporná hodnota.</w:t>
            </w:r>
          </w:p>
        </w:tc>
      </w:tr>
      <w:tr w:rsidR="000646F8" w:rsidRPr="00A3389E" w14:paraId="08C38FBA" w14:textId="77777777" w:rsidTr="00155C96">
        <w:trPr>
          <w:trHeight w:val="316"/>
        </w:trPr>
        <w:tc>
          <w:tcPr>
            <w:tcW w:w="1413" w:type="dxa"/>
          </w:tcPr>
          <w:p w14:paraId="31B4B80F"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5</w:t>
            </w:r>
          </w:p>
        </w:tc>
        <w:tc>
          <w:tcPr>
            <w:tcW w:w="7654" w:type="dxa"/>
          </w:tcPr>
          <w:p w14:paraId="7D05D2DD" w14:textId="3433C38C" w:rsidR="000646F8" w:rsidRPr="00A3389E" w:rsidRDefault="00D74376" w:rsidP="00155C96">
            <w:pPr>
              <w:autoSpaceDE w:val="0"/>
              <w:autoSpaceDN w:val="0"/>
              <w:adjustRightInd w:val="0"/>
              <w:spacing w:after="120"/>
              <w:jc w:val="both"/>
              <w:rPr>
                <w:rFonts w:ascii="Times New Roman" w:eastAsiaTheme="minorHAnsi" w:hAnsi="Times New Roman" w:cs="Times New Roman"/>
                <w:b/>
                <w:sz w:val="24"/>
              </w:rPr>
            </w:pPr>
            <w:r w:rsidRPr="00A3389E">
              <w:rPr>
                <w:rFonts w:ascii="Times New Roman" w:hAnsi="Times New Roman" w:cs="Times New Roman"/>
                <w:b/>
                <w:sz w:val="24"/>
              </w:rPr>
              <w:t>Metodika</w:t>
            </w:r>
            <w:r w:rsidR="00A3389E">
              <w:rPr>
                <w:rFonts w:ascii="Times New Roman" w:hAnsi="Times New Roman" w:cs="Times New Roman"/>
                <w:b/>
                <w:sz w:val="24"/>
              </w:rPr>
              <w:t xml:space="preserve"> a </w:t>
            </w:r>
            <w:r w:rsidRPr="00A3389E">
              <w:rPr>
                <w:rFonts w:ascii="Times New Roman" w:hAnsi="Times New Roman" w:cs="Times New Roman"/>
                <w:b/>
                <w:sz w:val="24"/>
              </w:rPr>
              <w:t>politika (+/–)</w:t>
            </w:r>
          </w:p>
          <w:p w14:paraId="27290A3C" w14:textId="42FCE360" w:rsidR="00A3389E"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Zmena hodnoty rizikovo váženej expozície medzi koncom predchádzajúceho obdobia zverejňovania informácií</w:t>
            </w:r>
            <w:r w:rsidR="00A3389E">
              <w:rPr>
                <w:rFonts w:ascii="Times New Roman" w:hAnsi="Times New Roman" w:cs="Times New Roman"/>
                <w:sz w:val="24"/>
              </w:rPr>
              <w:t xml:space="preserve"> a </w:t>
            </w:r>
            <w:r w:rsidRPr="00A3389E">
              <w:rPr>
                <w:rFonts w:ascii="Times New Roman" w:hAnsi="Times New Roman" w:cs="Times New Roman"/>
                <w:sz w:val="24"/>
              </w:rPr>
              <w:t>koncom bežného obdobia zverejňovania informácií</w:t>
            </w:r>
            <w:r w:rsidR="00A3389E">
              <w:rPr>
                <w:rFonts w:ascii="Times New Roman" w:hAnsi="Times New Roman" w:cs="Times New Roman"/>
                <w:sz w:val="24"/>
              </w:rPr>
              <w:t xml:space="preserve"> z </w:t>
            </w:r>
            <w:r w:rsidRPr="00A3389E">
              <w:rPr>
                <w:rFonts w:ascii="Times New Roman" w:hAnsi="Times New Roman" w:cs="Times New Roman"/>
                <w:sz w:val="24"/>
              </w:rPr>
              <w:t>dôvodu metodiky</w:t>
            </w:r>
            <w:r w:rsidR="00A3389E">
              <w:rPr>
                <w:rFonts w:ascii="Times New Roman" w:hAnsi="Times New Roman" w:cs="Times New Roman"/>
                <w:sz w:val="24"/>
              </w:rPr>
              <w:t xml:space="preserve"> a </w:t>
            </w:r>
            <w:r w:rsidRPr="00A3389E">
              <w:rPr>
                <w:rFonts w:ascii="Times New Roman" w:hAnsi="Times New Roman" w:cs="Times New Roman"/>
                <w:sz w:val="24"/>
              </w:rPr>
              <w:t>politiky, t. j. zmeny</w:t>
            </w:r>
            <w:r w:rsidR="00A3389E">
              <w:rPr>
                <w:rFonts w:ascii="Times New Roman" w:hAnsi="Times New Roman" w:cs="Times New Roman"/>
                <w:sz w:val="24"/>
              </w:rPr>
              <w:t xml:space="preserve"> z </w:t>
            </w:r>
            <w:r w:rsidRPr="00A3389E">
              <w:rPr>
                <w:rFonts w:ascii="Times New Roman" w:hAnsi="Times New Roman" w:cs="Times New Roman"/>
                <w:sz w:val="24"/>
              </w:rPr>
              <w:t>dôvodu zmien</w:t>
            </w:r>
            <w:r w:rsidR="00A3389E">
              <w:rPr>
                <w:rFonts w:ascii="Times New Roman" w:hAnsi="Times New Roman" w:cs="Times New Roman"/>
                <w:sz w:val="24"/>
              </w:rPr>
              <w:t xml:space="preserve"> v </w:t>
            </w:r>
            <w:r w:rsidRPr="00A3389E">
              <w:rPr>
                <w:rFonts w:ascii="Times New Roman" w:hAnsi="Times New Roman" w:cs="Times New Roman"/>
                <w:sz w:val="24"/>
              </w:rPr>
              <w:t>metodike výpočtov, ktoré boli vyvolané zmenami regulačnej politiky vrátane revízií existujúcich právnych predpisov</w:t>
            </w:r>
            <w:r w:rsidR="00A3389E">
              <w:rPr>
                <w:rFonts w:ascii="Times New Roman" w:hAnsi="Times New Roman" w:cs="Times New Roman"/>
                <w:sz w:val="24"/>
              </w:rPr>
              <w:t xml:space="preserve"> a </w:t>
            </w:r>
            <w:r w:rsidRPr="00A3389E">
              <w:rPr>
                <w:rFonts w:ascii="Times New Roman" w:hAnsi="Times New Roman" w:cs="Times New Roman"/>
                <w:sz w:val="24"/>
              </w:rPr>
              <w:t>nových právnych predpisov, okrem zmien modelov, ktoré sú zahrnuté</w:t>
            </w:r>
            <w:r w:rsidR="00A3389E">
              <w:rPr>
                <w:rFonts w:ascii="Times New Roman" w:hAnsi="Times New Roman" w:cs="Times New Roman"/>
                <w:sz w:val="24"/>
              </w:rPr>
              <w:t xml:space="preserve"> v </w:t>
            </w:r>
            <w:r w:rsidRPr="00A3389E">
              <w:rPr>
                <w:rFonts w:ascii="Times New Roman" w:hAnsi="Times New Roman" w:cs="Times New Roman"/>
                <w:sz w:val="24"/>
              </w:rPr>
              <w:t>riadku 4 tohto vzoru</w:t>
            </w:r>
            <w:r w:rsidR="00A3389E" w:rsidRPr="00A3389E">
              <w:rPr>
                <w:rFonts w:ascii="Times New Roman" w:hAnsi="Times New Roman" w:cs="Times New Roman"/>
                <w:sz w:val="24"/>
              </w:rPr>
              <w:t>.</w:t>
            </w:r>
          </w:p>
          <w:p w14:paraId="772CB25D" w14:textId="26B8B510"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Zvýšenia hodnôt rizikovo vážených expozícií sa zverejňujú ako kladná hodnota</w:t>
            </w:r>
            <w:r w:rsidR="00A3389E">
              <w:rPr>
                <w:rFonts w:ascii="Times New Roman" w:hAnsi="Times New Roman" w:cs="Times New Roman"/>
                <w:sz w:val="24"/>
              </w:rPr>
              <w:t xml:space="preserve"> a </w:t>
            </w:r>
            <w:r w:rsidRPr="00A3389E">
              <w:rPr>
                <w:rFonts w:ascii="Times New Roman" w:hAnsi="Times New Roman" w:cs="Times New Roman"/>
                <w:sz w:val="24"/>
              </w:rPr>
              <w:t>zníženia hodnôt rizikovo vážených expozícií sa zverejňujú ako záporná hodnota.</w:t>
            </w:r>
          </w:p>
        </w:tc>
      </w:tr>
      <w:tr w:rsidR="000646F8" w:rsidRPr="00A3389E" w14:paraId="550810A7" w14:textId="77777777" w:rsidTr="00155C96">
        <w:trPr>
          <w:trHeight w:val="316"/>
        </w:trPr>
        <w:tc>
          <w:tcPr>
            <w:tcW w:w="1413" w:type="dxa"/>
          </w:tcPr>
          <w:p w14:paraId="516D8273"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6</w:t>
            </w:r>
          </w:p>
        </w:tc>
        <w:tc>
          <w:tcPr>
            <w:tcW w:w="7654" w:type="dxa"/>
          </w:tcPr>
          <w:p w14:paraId="7132523C" w14:textId="7E1C0D1A" w:rsidR="000646F8" w:rsidRPr="00A3389E" w:rsidRDefault="000646F8" w:rsidP="00155C96">
            <w:pPr>
              <w:autoSpaceDE w:val="0"/>
              <w:autoSpaceDN w:val="0"/>
              <w:adjustRightInd w:val="0"/>
              <w:spacing w:after="120"/>
              <w:jc w:val="both"/>
              <w:rPr>
                <w:rFonts w:ascii="Times New Roman" w:eastAsiaTheme="minorHAnsi" w:hAnsi="Times New Roman" w:cs="Times New Roman"/>
                <w:b/>
                <w:sz w:val="24"/>
              </w:rPr>
            </w:pPr>
            <w:r w:rsidRPr="00A3389E">
              <w:rPr>
                <w:rFonts w:ascii="Times New Roman" w:hAnsi="Times New Roman" w:cs="Times New Roman"/>
                <w:b/>
                <w:sz w:val="24"/>
              </w:rPr>
              <w:t>Nadobudnutia</w:t>
            </w:r>
            <w:r w:rsidR="00A3389E">
              <w:rPr>
                <w:rFonts w:ascii="Times New Roman" w:hAnsi="Times New Roman" w:cs="Times New Roman"/>
                <w:b/>
                <w:sz w:val="24"/>
              </w:rPr>
              <w:t xml:space="preserve"> a </w:t>
            </w:r>
            <w:r w:rsidRPr="00A3389E">
              <w:rPr>
                <w:rFonts w:ascii="Times New Roman" w:hAnsi="Times New Roman" w:cs="Times New Roman"/>
                <w:b/>
                <w:sz w:val="24"/>
              </w:rPr>
              <w:t>odpredaje (+/–)</w:t>
            </w:r>
          </w:p>
          <w:p w14:paraId="3289CD8C" w14:textId="371FFBAC"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Zmena hodnoty rizikovo váženej expozície medzi koncom predchádzajúceho obdobia zverejňovania informácií</w:t>
            </w:r>
            <w:r w:rsidR="00A3389E">
              <w:rPr>
                <w:rFonts w:ascii="Times New Roman" w:hAnsi="Times New Roman" w:cs="Times New Roman"/>
                <w:sz w:val="24"/>
              </w:rPr>
              <w:t xml:space="preserve"> a </w:t>
            </w:r>
            <w:r w:rsidRPr="00A3389E">
              <w:rPr>
                <w:rFonts w:ascii="Times New Roman" w:hAnsi="Times New Roman" w:cs="Times New Roman"/>
                <w:sz w:val="24"/>
              </w:rPr>
              <w:t>koncom bežného obdobia zverejňovania informácií</w:t>
            </w:r>
            <w:r w:rsidR="00A3389E">
              <w:rPr>
                <w:rFonts w:ascii="Times New Roman" w:hAnsi="Times New Roman" w:cs="Times New Roman"/>
                <w:sz w:val="24"/>
              </w:rPr>
              <w:t xml:space="preserve"> z </w:t>
            </w:r>
            <w:r w:rsidRPr="00A3389E">
              <w:rPr>
                <w:rFonts w:ascii="Times New Roman" w:hAnsi="Times New Roman" w:cs="Times New Roman"/>
                <w:sz w:val="24"/>
              </w:rPr>
              <w:t>dôvodu nadobudnutí</w:t>
            </w:r>
            <w:r w:rsidR="00A3389E">
              <w:rPr>
                <w:rFonts w:ascii="Times New Roman" w:hAnsi="Times New Roman" w:cs="Times New Roman"/>
                <w:sz w:val="24"/>
              </w:rPr>
              <w:t xml:space="preserve"> a </w:t>
            </w:r>
            <w:r w:rsidRPr="00A3389E">
              <w:rPr>
                <w:rFonts w:ascii="Times New Roman" w:hAnsi="Times New Roman" w:cs="Times New Roman"/>
                <w:sz w:val="24"/>
              </w:rPr>
              <w:t>odpredajov, t. j. zmeny rozsahu knihy</w:t>
            </w:r>
            <w:r w:rsidR="00A3389E">
              <w:rPr>
                <w:rFonts w:ascii="Times New Roman" w:hAnsi="Times New Roman" w:cs="Times New Roman"/>
                <w:sz w:val="24"/>
              </w:rPr>
              <w:t xml:space="preserve"> z </w:t>
            </w:r>
            <w:r w:rsidRPr="00A3389E">
              <w:rPr>
                <w:rFonts w:ascii="Times New Roman" w:hAnsi="Times New Roman" w:cs="Times New Roman"/>
                <w:sz w:val="24"/>
              </w:rPr>
              <w:t>dôvodu nadobudnutí a/alebo odpredajov.</w:t>
            </w:r>
          </w:p>
          <w:p w14:paraId="6B9F302D" w14:textId="5EDC02D9"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Zvýšenia hodnôt rizikovo vážených expozícií sa zverejňujú ako kladná hodnota</w:t>
            </w:r>
            <w:r w:rsidR="00A3389E">
              <w:rPr>
                <w:rFonts w:ascii="Times New Roman" w:hAnsi="Times New Roman" w:cs="Times New Roman"/>
                <w:sz w:val="24"/>
              </w:rPr>
              <w:t xml:space="preserve"> a </w:t>
            </w:r>
            <w:r w:rsidRPr="00A3389E">
              <w:rPr>
                <w:rFonts w:ascii="Times New Roman" w:hAnsi="Times New Roman" w:cs="Times New Roman"/>
                <w:sz w:val="24"/>
              </w:rPr>
              <w:t>zníženia hodnôt rizikovo vážených expozícií sa zverejňujú ako záporná hodnota.</w:t>
            </w:r>
          </w:p>
        </w:tc>
      </w:tr>
      <w:tr w:rsidR="000646F8" w:rsidRPr="00A3389E" w14:paraId="319251DF" w14:textId="77777777" w:rsidTr="00155C96">
        <w:trPr>
          <w:trHeight w:val="316"/>
        </w:trPr>
        <w:tc>
          <w:tcPr>
            <w:tcW w:w="1413" w:type="dxa"/>
          </w:tcPr>
          <w:p w14:paraId="3173BC7F"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7</w:t>
            </w:r>
          </w:p>
        </w:tc>
        <w:tc>
          <w:tcPr>
            <w:tcW w:w="7654" w:type="dxa"/>
          </w:tcPr>
          <w:p w14:paraId="40132835" w14:textId="2D13FE88" w:rsidR="000646F8" w:rsidRPr="00A3389E" w:rsidRDefault="000646F8" w:rsidP="00155C96">
            <w:pPr>
              <w:autoSpaceDE w:val="0"/>
              <w:autoSpaceDN w:val="0"/>
              <w:adjustRightInd w:val="0"/>
              <w:spacing w:after="120"/>
              <w:jc w:val="both"/>
              <w:rPr>
                <w:rFonts w:ascii="Times New Roman" w:eastAsiaTheme="minorHAnsi" w:hAnsi="Times New Roman" w:cs="Times New Roman"/>
                <w:b/>
                <w:sz w:val="24"/>
              </w:rPr>
            </w:pPr>
            <w:r w:rsidRPr="00A3389E">
              <w:rPr>
                <w:rFonts w:ascii="Times New Roman" w:hAnsi="Times New Roman" w:cs="Times New Roman"/>
                <w:b/>
                <w:sz w:val="24"/>
              </w:rPr>
              <w:t>Pohyby výmenných kurzov (+/–)</w:t>
            </w:r>
          </w:p>
          <w:p w14:paraId="39FA4B73" w14:textId="1D20AC69"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Zmena hodnoty rizikovo váženej expozície medzi koncom predchádzajúceho obdobia zverejňovania informácií</w:t>
            </w:r>
            <w:r w:rsidR="00A3389E">
              <w:rPr>
                <w:rFonts w:ascii="Times New Roman" w:hAnsi="Times New Roman" w:cs="Times New Roman"/>
                <w:sz w:val="24"/>
              </w:rPr>
              <w:t xml:space="preserve"> a </w:t>
            </w:r>
            <w:r w:rsidRPr="00A3389E">
              <w:rPr>
                <w:rFonts w:ascii="Times New Roman" w:hAnsi="Times New Roman" w:cs="Times New Roman"/>
                <w:sz w:val="24"/>
              </w:rPr>
              <w:t>koncom bežného obdobia zverejňovania informácií</w:t>
            </w:r>
            <w:r w:rsidR="00A3389E">
              <w:rPr>
                <w:rFonts w:ascii="Times New Roman" w:hAnsi="Times New Roman" w:cs="Times New Roman"/>
                <w:sz w:val="24"/>
              </w:rPr>
              <w:t xml:space="preserve"> z </w:t>
            </w:r>
            <w:r w:rsidRPr="00A3389E">
              <w:rPr>
                <w:rFonts w:ascii="Times New Roman" w:hAnsi="Times New Roman" w:cs="Times New Roman"/>
                <w:sz w:val="24"/>
              </w:rPr>
              <w:t>dôvodu pohybov výmenných kurzov, t. j. zmeny vyplývajúce</w:t>
            </w:r>
            <w:r w:rsidR="00A3389E">
              <w:rPr>
                <w:rFonts w:ascii="Times New Roman" w:hAnsi="Times New Roman" w:cs="Times New Roman"/>
                <w:sz w:val="24"/>
              </w:rPr>
              <w:t xml:space="preserve"> z </w:t>
            </w:r>
            <w:r w:rsidRPr="00A3389E">
              <w:rPr>
                <w:rFonts w:ascii="Times New Roman" w:hAnsi="Times New Roman" w:cs="Times New Roman"/>
                <w:sz w:val="24"/>
              </w:rPr>
              <w:t>pohybov</w:t>
            </w:r>
            <w:r w:rsidR="00A3389E">
              <w:rPr>
                <w:rFonts w:ascii="Times New Roman" w:hAnsi="Times New Roman" w:cs="Times New Roman"/>
                <w:sz w:val="24"/>
              </w:rPr>
              <w:t xml:space="preserve"> v </w:t>
            </w:r>
            <w:r w:rsidRPr="00A3389E">
              <w:rPr>
                <w:rFonts w:ascii="Times New Roman" w:hAnsi="Times New Roman" w:cs="Times New Roman"/>
                <w:sz w:val="24"/>
              </w:rPr>
              <w:t>prepočte cudzích mien.</w:t>
            </w:r>
          </w:p>
          <w:p w14:paraId="522D5E95" w14:textId="7DDB2CD6"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Zvýšenia hodnôt rizikovo vážených expozícií sa zverejňujú ako kladná hodnota</w:t>
            </w:r>
            <w:r w:rsidR="00A3389E">
              <w:rPr>
                <w:rFonts w:ascii="Times New Roman" w:hAnsi="Times New Roman" w:cs="Times New Roman"/>
                <w:sz w:val="24"/>
              </w:rPr>
              <w:t xml:space="preserve"> a </w:t>
            </w:r>
            <w:r w:rsidRPr="00A3389E">
              <w:rPr>
                <w:rFonts w:ascii="Times New Roman" w:hAnsi="Times New Roman" w:cs="Times New Roman"/>
                <w:sz w:val="24"/>
              </w:rPr>
              <w:t>zníženia hodnôt rizikovo vážených expozícií sa zverejňujú ako záporná hodnota.</w:t>
            </w:r>
          </w:p>
        </w:tc>
      </w:tr>
      <w:tr w:rsidR="000646F8" w:rsidRPr="00A3389E" w14:paraId="30E9B74A" w14:textId="77777777" w:rsidTr="00155C96">
        <w:trPr>
          <w:trHeight w:val="316"/>
        </w:trPr>
        <w:tc>
          <w:tcPr>
            <w:tcW w:w="1413" w:type="dxa"/>
          </w:tcPr>
          <w:p w14:paraId="555BA663"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8</w:t>
            </w:r>
          </w:p>
        </w:tc>
        <w:tc>
          <w:tcPr>
            <w:tcW w:w="7654" w:type="dxa"/>
          </w:tcPr>
          <w:p w14:paraId="380AFDA8" w14:textId="04DDABC8" w:rsidR="000646F8" w:rsidRPr="00A3389E" w:rsidRDefault="00D74376" w:rsidP="00155C96">
            <w:pPr>
              <w:autoSpaceDE w:val="0"/>
              <w:autoSpaceDN w:val="0"/>
              <w:adjustRightInd w:val="0"/>
              <w:spacing w:after="120"/>
              <w:jc w:val="both"/>
              <w:rPr>
                <w:rFonts w:ascii="Times New Roman" w:eastAsiaTheme="minorHAnsi" w:hAnsi="Times New Roman" w:cs="Times New Roman"/>
                <w:b/>
                <w:sz w:val="24"/>
              </w:rPr>
            </w:pPr>
            <w:r w:rsidRPr="00A3389E">
              <w:rPr>
                <w:rFonts w:ascii="Times New Roman" w:hAnsi="Times New Roman" w:cs="Times New Roman"/>
                <w:b/>
                <w:sz w:val="24"/>
              </w:rPr>
              <w:t>Ostatné (+/–)</w:t>
            </w:r>
          </w:p>
          <w:p w14:paraId="18B1D9C5" w14:textId="1F7CB087"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Zmena hodnoty rizikovo váženej expozície medzi koncom predchádzajúceho obdobia zverejňovania informácií</w:t>
            </w:r>
            <w:r w:rsidR="00A3389E">
              <w:rPr>
                <w:rFonts w:ascii="Times New Roman" w:hAnsi="Times New Roman" w:cs="Times New Roman"/>
                <w:sz w:val="24"/>
              </w:rPr>
              <w:t xml:space="preserve"> a </w:t>
            </w:r>
            <w:r w:rsidRPr="00A3389E">
              <w:rPr>
                <w:rFonts w:ascii="Times New Roman" w:hAnsi="Times New Roman" w:cs="Times New Roman"/>
                <w:sz w:val="24"/>
              </w:rPr>
              <w:t>koncom bežného obdobia zverejňovania informácií</w:t>
            </w:r>
            <w:r w:rsidR="00A3389E">
              <w:rPr>
                <w:rFonts w:ascii="Times New Roman" w:hAnsi="Times New Roman" w:cs="Times New Roman"/>
                <w:sz w:val="24"/>
              </w:rPr>
              <w:t xml:space="preserve"> z </w:t>
            </w:r>
            <w:r w:rsidRPr="00A3389E">
              <w:rPr>
                <w:rFonts w:ascii="Times New Roman" w:hAnsi="Times New Roman" w:cs="Times New Roman"/>
                <w:sz w:val="24"/>
              </w:rPr>
              <w:t>dôvodu iných faktorov.</w:t>
            </w:r>
          </w:p>
          <w:p w14:paraId="79FC15D5" w14:textId="638AF1D5"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Táto kategória sa používa na zachytenie zmien, ktoré nemožno zaradiť do žiadnej inej kategórie.</w:t>
            </w:r>
            <w:r w:rsidR="00A3389E">
              <w:rPr>
                <w:rFonts w:ascii="Times New Roman" w:hAnsi="Times New Roman" w:cs="Times New Roman"/>
                <w:sz w:val="24"/>
              </w:rPr>
              <w:t xml:space="preserve"> V </w:t>
            </w:r>
            <w:r w:rsidRPr="00A3389E">
              <w:rPr>
                <w:rFonts w:ascii="Times New Roman" w:hAnsi="Times New Roman" w:cs="Times New Roman"/>
                <w:sz w:val="24"/>
              </w:rPr>
              <w:t>sprievodnom opise</w:t>
            </w:r>
            <w:r w:rsidR="00A3389E">
              <w:rPr>
                <w:rFonts w:ascii="Times New Roman" w:hAnsi="Times New Roman" w:cs="Times New Roman"/>
                <w:sz w:val="24"/>
              </w:rPr>
              <w:t xml:space="preserve"> k </w:t>
            </w:r>
            <w:r w:rsidRPr="00A3389E">
              <w:rPr>
                <w:rFonts w:ascii="Times New Roman" w:hAnsi="Times New Roman" w:cs="Times New Roman"/>
                <w:sz w:val="24"/>
              </w:rPr>
              <w:t>tomuto vzoru inštitúcie podrobnejšie opisujú akékoľvek iné významné faktory pohybov rizikovo vážených hodnôt za obdobie zverejňovania informácií, ktoré sú zahrnuté</w:t>
            </w:r>
            <w:r w:rsidR="00A3389E">
              <w:rPr>
                <w:rFonts w:ascii="Times New Roman" w:hAnsi="Times New Roman" w:cs="Times New Roman"/>
                <w:sz w:val="24"/>
              </w:rPr>
              <w:t xml:space="preserve"> v </w:t>
            </w:r>
            <w:r w:rsidRPr="00A3389E">
              <w:rPr>
                <w:rFonts w:ascii="Times New Roman" w:hAnsi="Times New Roman" w:cs="Times New Roman"/>
                <w:sz w:val="24"/>
              </w:rPr>
              <w:t>tomto riadku.</w:t>
            </w:r>
          </w:p>
          <w:p w14:paraId="56DE8038" w14:textId="73B3DE48"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Zvýšenia hodnôt rizikovo vážených expozícií sa zverejňujú ako kladná hodnota</w:t>
            </w:r>
            <w:r w:rsidR="00A3389E">
              <w:rPr>
                <w:rFonts w:ascii="Times New Roman" w:hAnsi="Times New Roman" w:cs="Times New Roman"/>
                <w:sz w:val="24"/>
              </w:rPr>
              <w:t xml:space="preserve"> a </w:t>
            </w:r>
            <w:r w:rsidRPr="00A3389E">
              <w:rPr>
                <w:rFonts w:ascii="Times New Roman" w:hAnsi="Times New Roman" w:cs="Times New Roman"/>
                <w:sz w:val="24"/>
              </w:rPr>
              <w:t>zníženia hodnôt rizikovo vážených expozícií sa zverejňujú ako záporná hodnota.</w:t>
            </w:r>
          </w:p>
        </w:tc>
      </w:tr>
      <w:tr w:rsidR="000646F8" w:rsidRPr="00A3389E" w14:paraId="2CA2D7DD" w14:textId="77777777" w:rsidTr="00155C96">
        <w:trPr>
          <w:trHeight w:val="316"/>
        </w:trPr>
        <w:tc>
          <w:tcPr>
            <w:tcW w:w="1413" w:type="dxa"/>
          </w:tcPr>
          <w:p w14:paraId="11296EA6" w14:textId="77777777"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9</w:t>
            </w:r>
          </w:p>
        </w:tc>
        <w:tc>
          <w:tcPr>
            <w:tcW w:w="7654" w:type="dxa"/>
          </w:tcPr>
          <w:p w14:paraId="7D8684D5" w14:textId="77777777" w:rsidR="000646F8" w:rsidRPr="00A3389E" w:rsidRDefault="000646F8"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Hodnota rizikovo vážených expozícií ku koncu obdobia zverejňovania informácií</w:t>
            </w:r>
          </w:p>
        </w:tc>
      </w:tr>
    </w:tbl>
    <w:p w14:paraId="7E40161E" w14:textId="77777777" w:rsidR="000646F8" w:rsidRPr="00A3389E" w:rsidRDefault="000646F8" w:rsidP="000646F8">
      <w:pPr>
        <w:spacing w:after="120"/>
        <w:rPr>
          <w:rFonts w:ascii="Times New Roman" w:hAnsi="Times New Roman" w:cs="Times New Roman"/>
          <w:sz w:val="24"/>
        </w:rPr>
      </w:pPr>
    </w:p>
    <w:p w14:paraId="7B9D7F1F" w14:textId="5226927A" w:rsidR="000646F8" w:rsidRPr="00A3389E" w:rsidRDefault="00CD362D" w:rsidP="000646F8">
      <w:pPr>
        <w:spacing w:after="120"/>
        <w:rPr>
          <w:rFonts w:ascii="Times New Roman" w:hAnsi="Times New Roman" w:cs="Times New Roman"/>
          <w:sz w:val="24"/>
        </w:rPr>
      </w:pPr>
      <w:r w:rsidRPr="00A3389E">
        <w:rPr>
          <w:rFonts w:ascii="Times New Roman" w:hAnsi="Times New Roman" w:cs="Times New Roman"/>
          <w:b/>
          <w:sz w:val="24"/>
        </w:rPr>
        <w:t xml:space="preserve">Vzor EU CR9 </w:t>
      </w:r>
      <w:r w:rsidRPr="00A3389E">
        <w:rPr>
          <w:rFonts w:ascii="Times New Roman" w:hAnsi="Times New Roman" w:cs="Times New Roman"/>
        </w:rPr>
        <w:tab/>
      </w:r>
      <w:r w:rsidRPr="00A3389E">
        <w:rPr>
          <w:rFonts w:ascii="Times New Roman" w:hAnsi="Times New Roman" w:cs="Times New Roman"/>
          <w:b/>
          <w:sz w:val="24"/>
        </w:rPr>
        <w:t xml:space="preserve"> – prístup IRB – spätné testovanie PD podľa tried expozícií. Vzor</w:t>
      </w:r>
      <w:r w:rsidR="00A3389E">
        <w:rPr>
          <w:rFonts w:ascii="Times New Roman" w:hAnsi="Times New Roman" w:cs="Times New Roman"/>
          <w:b/>
          <w:sz w:val="24"/>
        </w:rPr>
        <w:t xml:space="preserve"> s </w:t>
      </w:r>
      <w:r w:rsidRPr="00A3389E">
        <w:rPr>
          <w:rFonts w:ascii="Times New Roman" w:hAnsi="Times New Roman" w:cs="Times New Roman"/>
          <w:b/>
          <w:sz w:val="24"/>
        </w:rPr>
        <w:t>pevným formátom.</w:t>
      </w:r>
    </w:p>
    <w:p w14:paraId="2FB6499D" w14:textId="3FE8AA73" w:rsidR="00A3389E" w:rsidRPr="00A3389E" w:rsidRDefault="00A3389E" w:rsidP="00A3389E">
      <w:pPr>
        <w:spacing w:after="120"/>
        <w:ind w:left="714" w:hanging="357"/>
        <w:jc w:val="both"/>
        <w:rPr>
          <w:rFonts w:ascii="Times New Roman" w:hAnsi="Times New Roman"/>
          <w:sz w:val="24"/>
        </w:rPr>
      </w:pPr>
      <w:r w:rsidRPr="00A3389E">
        <w:rPr>
          <w:rFonts w:ascii="Times New Roman" w:eastAsia="Calibri" w:hAnsi="Times New Roman" w:cs="Times New Roman"/>
          <w:sz w:val="24"/>
          <w:szCs w:val="22"/>
        </w:rPr>
        <w:t>11.</w:t>
      </w:r>
      <w:r w:rsidRPr="00A3389E">
        <w:rPr>
          <w:rFonts w:ascii="Times New Roman" w:eastAsia="Calibri" w:hAnsi="Times New Roman" w:cs="Times New Roman"/>
          <w:sz w:val="24"/>
          <w:szCs w:val="22"/>
        </w:rPr>
        <w:tab/>
      </w:r>
      <w:r w:rsidR="000646F8" w:rsidRPr="00A3389E">
        <w:rPr>
          <w:rFonts w:ascii="Times New Roman" w:hAnsi="Times New Roman"/>
          <w:sz w:val="24"/>
        </w:rPr>
        <w:t>Inštitúcie zverejňujú informácie uvedené</w:t>
      </w:r>
      <w:r>
        <w:rPr>
          <w:rFonts w:ascii="Times New Roman" w:hAnsi="Times New Roman"/>
          <w:sz w:val="24"/>
        </w:rPr>
        <w:t xml:space="preserve"> v </w:t>
      </w:r>
      <w:r w:rsidR="000646F8" w:rsidRPr="00A3389E">
        <w:rPr>
          <w:rFonts w:ascii="Times New Roman" w:hAnsi="Times New Roman"/>
          <w:sz w:val="24"/>
        </w:rPr>
        <w:t>článku 452 písm. h) CRR podľa pokynov uvedených nižšie</w:t>
      </w:r>
      <w:r>
        <w:rPr>
          <w:rFonts w:ascii="Times New Roman" w:hAnsi="Times New Roman"/>
          <w:sz w:val="24"/>
        </w:rPr>
        <w:t xml:space="preserve"> v </w:t>
      </w:r>
      <w:r w:rsidR="000646F8" w:rsidRPr="00A3389E">
        <w:rPr>
          <w:rFonts w:ascii="Times New Roman" w:hAnsi="Times New Roman"/>
          <w:sz w:val="24"/>
        </w:rPr>
        <w:t>tejto prílohe</w:t>
      </w:r>
      <w:r>
        <w:rPr>
          <w:rFonts w:ascii="Times New Roman" w:hAnsi="Times New Roman"/>
          <w:sz w:val="24"/>
        </w:rPr>
        <w:t xml:space="preserve"> s </w:t>
      </w:r>
      <w:r w:rsidR="000646F8" w:rsidRPr="00A3389E">
        <w:rPr>
          <w:rFonts w:ascii="Times New Roman" w:hAnsi="Times New Roman"/>
          <w:sz w:val="24"/>
        </w:rPr>
        <w:t>cieľom vyplniť vzor EU CR9, ktorý je uvedený</w:t>
      </w:r>
      <w:r>
        <w:rPr>
          <w:rFonts w:ascii="Times New Roman" w:hAnsi="Times New Roman"/>
          <w:sz w:val="24"/>
        </w:rPr>
        <w:t xml:space="preserve"> v </w:t>
      </w:r>
      <w:r w:rsidR="000646F8" w:rsidRPr="00A3389E">
        <w:rPr>
          <w:rFonts w:ascii="Times New Roman" w:hAnsi="Times New Roman"/>
          <w:sz w:val="24"/>
        </w:rPr>
        <w:t>prílohe XXI</w:t>
      </w:r>
      <w:r>
        <w:rPr>
          <w:rFonts w:ascii="Times New Roman" w:hAnsi="Times New Roman"/>
          <w:sz w:val="24"/>
        </w:rPr>
        <w:t xml:space="preserve"> k </w:t>
      </w:r>
      <w:r w:rsidR="000646F8" w:rsidRPr="00A3389E">
        <w:rPr>
          <w:rFonts w:ascii="Times New Roman" w:hAnsi="Times New Roman"/>
          <w:sz w:val="24"/>
        </w:rPr>
        <w:t>tomuto vykonávaciemu nariadeniu. Keď inštitúcia používa prístup F-IRB aj prístup A-IRB, zverejňuje dva samostatné súbory vzorov, jeden pre F-IRB</w:t>
      </w:r>
      <w:r>
        <w:rPr>
          <w:rFonts w:ascii="Times New Roman" w:hAnsi="Times New Roman"/>
          <w:sz w:val="24"/>
        </w:rPr>
        <w:t xml:space="preserve"> a </w:t>
      </w:r>
      <w:r w:rsidR="000646F8" w:rsidRPr="00A3389E">
        <w:rPr>
          <w:rFonts w:ascii="Times New Roman" w:hAnsi="Times New Roman"/>
          <w:sz w:val="24"/>
        </w:rPr>
        <w:t>druhý pre A-IRB,</w:t>
      </w:r>
      <w:r>
        <w:rPr>
          <w:rFonts w:ascii="Times New Roman" w:hAnsi="Times New Roman"/>
          <w:sz w:val="24"/>
        </w:rPr>
        <w:t xml:space="preserve"> s </w:t>
      </w:r>
      <w:r w:rsidR="000646F8" w:rsidRPr="00A3389E">
        <w:rPr>
          <w:rFonts w:ascii="Times New Roman" w:hAnsi="Times New Roman"/>
          <w:sz w:val="24"/>
        </w:rPr>
        <w:t>jedným vzorom pre každú triedu expozícií</w:t>
      </w:r>
      <w:r>
        <w:rPr>
          <w:rFonts w:ascii="Times New Roman" w:hAnsi="Times New Roman"/>
          <w:sz w:val="24"/>
        </w:rPr>
        <w:t xml:space="preserve"> v </w:t>
      </w:r>
      <w:r w:rsidR="000646F8" w:rsidRPr="00A3389E">
        <w:rPr>
          <w:rFonts w:ascii="Times New Roman" w:hAnsi="Times New Roman"/>
          <w:sz w:val="24"/>
        </w:rPr>
        <w:t>každom súbore</w:t>
      </w:r>
      <w:r w:rsidRPr="00A3389E">
        <w:rPr>
          <w:rFonts w:ascii="Times New Roman" w:hAnsi="Times New Roman"/>
          <w:sz w:val="24"/>
        </w:rPr>
        <w:t>.</w:t>
      </w:r>
    </w:p>
    <w:p w14:paraId="23B0E327" w14:textId="0275D8B6" w:rsidR="000646F8" w:rsidRPr="00A3389E" w:rsidRDefault="00A3389E" w:rsidP="00A3389E">
      <w:pPr>
        <w:spacing w:after="120"/>
        <w:ind w:left="714" w:hanging="357"/>
        <w:jc w:val="both"/>
        <w:rPr>
          <w:rFonts w:ascii="Times New Roman" w:hAnsi="Times New Roman"/>
          <w:sz w:val="24"/>
        </w:rPr>
      </w:pPr>
      <w:r w:rsidRPr="00A3389E">
        <w:rPr>
          <w:rFonts w:ascii="Times New Roman" w:eastAsia="Calibri" w:hAnsi="Times New Roman" w:cs="Times New Roman"/>
          <w:sz w:val="24"/>
          <w:szCs w:val="22"/>
        </w:rPr>
        <w:t>12.</w:t>
      </w:r>
      <w:r w:rsidRPr="00A3389E">
        <w:rPr>
          <w:rFonts w:ascii="Times New Roman" w:eastAsia="Calibri" w:hAnsi="Times New Roman" w:cs="Times New Roman"/>
          <w:sz w:val="24"/>
          <w:szCs w:val="22"/>
        </w:rPr>
        <w:tab/>
      </w:r>
      <w:r w:rsidR="000646F8" w:rsidRPr="00A3389E">
        <w:rPr>
          <w:rFonts w:ascii="Times New Roman" w:hAnsi="Times New Roman"/>
          <w:sz w:val="24"/>
        </w:rPr>
        <w:t>Inštitúcia zohľadňuje modely použité</w:t>
      </w:r>
      <w:r>
        <w:rPr>
          <w:rFonts w:ascii="Times New Roman" w:hAnsi="Times New Roman"/>
          <w:sz w:val="24"/>
        </w:rPr>
        <w:t xml:space="preserve"> v </w:t>
      </w:r>
      <w:r w:rsidR="000646F8" w:rsidRPr="00A3389E">
        <w:rPr>
          <w:rFonts w:ascii="Times New Roman" w:hAnsi="Times New Roman"/>
          <w:sz w:val="24"/>
        </w:rPr>
        <w:t>rámci každej triedy expozícií</w:t>
      </w:r>
      <w:r>
        <w:rPr>
          <w:rFonts w:ascii="Times New Roman" w:hAnsi="Times New Roman"/>
          <w:sz w:val="24"/>
        </w:rPr>
        <w:t xml:space="preserve"> a </w:t>
      </w:r>
      <w:r w:rsidR="000646F8" w:rsidRPr="00A3389E">
        <w:rPr>
          <w:rFonts w:ascii="Times New Roman" w:hAnsi="Times New Roman"/>
          <w:sz w:val="24"/>
        </w:rPr>
        <w:t>vysvetľuje percentuálny podiel hodnoty rizikovo váženej expozície príslušnej triedy expozícií, na ktorú sa modely vzťahujú</w:t>
      </w:r>
      <w:r>
        <w:rPr>
          <w:rFonts w:ascii="Times New Roman" w:hAnsi="Times New Roman"/>
          <w:sz w:val="24"/>
        </w:rPr>
        <w:t xml:space="preserve"> a v </w:t>
      </w:r>
      <w:r w:rsidR="000646F8" w:rsidRPr="00A3389E">
        <w:rPr>
          <w:rFonts w:ascii="Times New Roman" w:hAnsi="Times New Roman"/>
          <w:sz w:val="24"/>
        </w:rPr>
        <w:t>súvislosti</w:t>
      </w:r>
      <w:r>
        <w:rPr>
          <w:rFonts w:ascii="Times New Roman" w:hAnsi="Times New Roman"/>
          <w:sz w:val="24"/>
        </w:rPr>
        <w:t xml:space="preserve"> s </w:t>
      </w:r>
      <w:r w:rsidR="000646F8" w:rsidRPr="00A3389E">
        <w:rPr>
          <w:rFonts w:ascii="Times New Roman" w:hAnsi="Times New Roman"/>
          <w:sz w:val="24"/>
        </w:rPr>
        <w:t>ktorou sa tu zverejňujú výsledky spätného testovania.</w:t>
      </w:r>
    </w:p>
    <w:p w14:paraId="5407263C" w14:textId="477E21C0" w:rsidR="000646F8" w:rsidRPr="00A3389E" w:rsidRDefault="00A3389E" w:rsidP="00A3389E">
      <w:pPr>
        <w:spacing w:after="120"/>
        <w:ind w:left="714" w:hanging="357"/>
        <w:jc w:val="both"/>
        <w:rPr>
          <w:rFonts w:ascii="Times New Roman" w:hAnsi="Times New Roman"/>
          <w:sz w:val="24"/>
        </w:rPr>
      </w:pPr>
      <w:r w:rsidRPr="00A3389E">
        <w:rPr>
          <w:rFonts w:ascii="Times New Roman" w:eastAsia="Calibri" w:hAnsi="Times New Roman" w:cs="Times New Roman"/>
          <w:sz w:val="24"/>
          <w:szCs w:val="22"/>
        </w:rPr>
        <w:t>13.</w:t>
      </w:r>
      <w:r w:rsidRPr="00A3389E">
        <w:rPr>
          <w:rFonts w:ascii="Times New Roman" w:eastAsia="Calibri" w:hAnsi="Times New Roman" w:cs="Times New Roman"/>
          <w:sz w:val="24"/>
          <w:szCs w:val="22"/>
        </w:rPr>
        <w:tab/>
      </w:r>
      <w:r w:rsidR="000646F8" w:rsidRPr="00A3389E">
        <w:rPr>
          <w:rFonts w:ascii="Times New Roman" w:hAnsi="Times New Roman"/>
          <w:sz w:val="24"/>
        </w:rPr>
        <w:t>Inštitúcie</w:t>
      </w:r>
      <w:r>
        <w:rPr>
          <w:rFonts w:ascii="Times New Roman" w:hAnsi="Times New Roman"/>
          <w:sz w:val="24"/>
        </w:rPr>
        <w:t xml:space="preserve"> v </w:t>
      </w:r>
      <w:r w:rsidR="000646F8" w:rsidRPr="00A3389E">
        <w:rPr>
          <w:rFonts w:ascii="Times New Roman" w:hAnsi="Times New Roman"/>
          <w:sz w:val="24"/>
        </w:rPr>
        <w:t>sprievodnom opise vysvetľujú celkový počet dlžníkov, ktorí majú</w:t>
      </w:r>
      <w:r>
        <w:rPr>
          <w:rFonts w:ascii="Times New Roman" w:hAnsi="Times New Roman"/>
          <w:sz w:val="24"/>
        </w:rPr>
        <w:t xml:space="preserve"> k </w:t>
      </w:r>
      <w:r w:rsidR="000646F8" w:rsidRPr="00A3389E">
        <w:rPr>
          <w:rFonts w:ascii="Times New Roman" w:hAnsi="Times New Roman"/>
          <w:sz w:val="24"/>
        </w:rPr>
        <w:t>dátumu zverejnenia krátkodobé zmluvy, pričom uvádzajú, ktoré triedy expozícií zahŕňajú väčší počet dlžníkov</w:t>
      </w:r>
      <w:r>
        <w:rPr>
          <w:rFonts w:ascii="Times New Roman" w:hAnsi="Times New Roman"/>
          <w:sz w:val="24"/>
        </w:rPr>
        <w:t xml:space="preserve"> s </w:t>
      </w:r>
      <w:r w:rsidR="000646F8" w:rsidRPr="00A3389E">
        <w:rPr>
          <w:rFonts w:ascii="Times New Roman" w:hAnsi="Times New Roman"/>
          <w:sz w:val="24"/>
        </w:rPr>
        <w:t>krátkodobými zmluvami. Krátkodobé zmluvy sa vzťahujú na zmluvy, ktorých zostatková splatnosť je kratšia ako 12 mesiacov. Inštitúcie takisto vysvetľujú, či výpočet dlhodobých priemerných mier PD zahŕňa prekrývajúce sa intervaly.</w:t>
      </w:r>
    </w:p>
    <w:p w14:paraId="3152A82F" w14:textId="01132993" w:rsidR="000646F8" w:rsidRPr="00A3389E" w:rsidRDefault="00A3389E" w:rsidP="00A3389E">
      <w:pPr>
        <w:spacing w:after="120"/>
        <w:ind w:left="720" w:hanging="360"/>
        <w:jc w:val="both"/>
        <w:rPr>
          <w:rFonts w:ascii="Times New Roman" w:hAnsi="Times New Roman"/>
          <w:sz w:val="24"/>
        </w:rPr>
      </w:pPr>
      <w:r w:rsidRPr="00A3389E">
        <w:rPr>
          <w:rFonts w:ascii="Times New Roman" w:eastAsia="Calibri" w:hAnsi="Times New Roman" w:cs="Times New Roman"/>
          <w:sz w:val="24"/>
          <w:szCs w:val="22"/>
        </w:rPr>
        <w:t>14.</w:t>
      </w:r>
      <w:r w:rsidRPr="00A3389E">
        <w:rPr>
          <w:rFonts w:ascii="Times New Roman" w:eastAsia="Calibri" w:hAnsi="Times New Roman" w:cs="Times New Roman"/>
          <w:sz w:val="24"/>
          <w:szCs w:val="22"/>
        </w:rPr>
        <w:tab/>
      </w:r>
      <w:r w:rsidR="000646F8" w:rsidRPr="00A3389E">
        <w:rPr>
          <w:rFonts w:ascii="Times New Roman" w:hAnsi="Times New Roman"/>
          <w:sz w:val="24"/>
        </w:rPr>
        <w:t>Z tohto vzoru sú vylúčené expozície voči kreditnému riziku protistrany (CCR) (tretia časť hlava II kapitola 6 CRR), sekuritizačné pozície, iné aktíva, ktoré nemajú povahu kreditného záväzku,</w:t>
      </w:r>
      <w:r>
        <w:rPr>
          <w:rFonts w:ascii="Times New Roman" w:hAnsi="Times New Roman"/>
          <w:sz w:val="24"/>
        </w:rPr>
        <w:t xml:space="preserve"> a </w:t>
      </w:r>
      <w:r w:rsidR="000646F8" w:rsidRPr="00A3389E">
        <w:rPr>
          <w:rFonts w:ascii="Times New Roman" w:hAnsi="Times New Roman"/>
          <w:sz w:val="24"/>
        </w:rPr>
        <w:t>kapitálové expozície.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A3389E"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A3389E" w:rsidRDefault="000646F8"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33144846" w:rsidR="000646F8" w:rsidRPr="00A3389E" w:rsidRDefault="000646F8"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0646F8" w:rsidRPr="00A3389E"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A3389E"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A3389E" w:rsidRDefault="000646F8"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0646F8" w:rsidRPr="00A3389E" w14:paraId="72280A41" w14:textId="77777777" w:rsidTr="00155C96">
        <w:trPr>
          <w:gridAfter w:val="1"/>
          <w:wAfter w:w="28" w:type="dxa"/>
          <w:trHeight w:val="841"/>
        </w:trPr>
        <w:tc>
          <w:tcPr>
            <w:tcW w:w="1413" w:type="dxa"/>
          </w:tcPr>
          <w:p w14:paraId="40491275" w14:textId="77777777" w:rsidR="000646F8" w:rsidRPr="00A3389E" w:rsidRDefault="000646F8" w:rsidP="00155C96">
            <w:pPr>
              <w:pStyle w:val="Applicationdirecte"/>
              <w:spacing w:before="0"/>
              <w:rPr>
                <w:highlight w:val="yellow"/>
              </w:rPr>
            </w:pPr>
            <w:r w:rsidRPr="00A3389E">
              <w:t>a (A-IRB)</w:t>
            </w:r>
          </w:p>
        </w:tc>
        <w:tc>
          <w:tcPr>
            <w:tcW w:w="7626" w:type="dxa"/>
          </w:tcPr>
          <w:p w14:paraId="4E55FC01" w14:textId="5901D489" w:rsidR="000646F8" w:rsidRPr="00A3389E" w:rsidRDefault="00D74376" w:rsidP="00155C96">
            <w:pPr>
              <w:spacing w:after="120"/>
              <w:jc w:val="both"/>
              <w:rPr>
                <w:rFonts w:ascii="Times New Roman" w:hAnsi="Times New Roman" w:cs="Times New Roman"/>
                <w:b/>
                <w:sz w:val="24"/>
              </w:rPr>
            </w:pPr>
            <w:r w:rsidRPr="00A3389E">
              <w:rPr>
                <w:rFonts w:ascii="Times New Roman" w:hAnsi="Times New Roman" w:cs="Times New Roman"/>
                <w:b/>
                <w:sz w:val="24"/>
              </w:rPr>
              <w:t>Triedy expozícií</w:t>
            </w:r>
          </w:p>
          <w:p w14:paraId="66454475" w14:textId="04753339" w:rsidR="00A3389E" w:rsidRPr="00A3389E" w:rsidRDefault="000646F8" w:rsidP="00155C96">
            <w:pPr>
              <w:spacing w:after="120"/>
              <w:rPr>
                <w:rFonts w:ascii="Times New Roman" w:hAnsi="Times New Roman" w:cs="Times New Roman"/>
                <w:iCs/>
                <w:sz w:val="24"/>
              </w:rPr>
            </w:pPr>
            <w:r w:rsidRPr="00A3389E">
              <w:rPr>
                <w:rFonts w:ascii="Times New Roman" w:hAnsi="Times New Roman" w:cs="Times New Roman"/>
                <w:iCs/>
                <w:sz w:val="24"/>
              </w:rPr>
              <w:t>Inštitúcie zverejňujú pre každú triedu expozícií uvedenú</w:t>
            </w:r>
            <w:r w:rsidR="00A3389E">
              <w:rPr>
                <w:rFonts w:ascii="Times New Roman" w:hAnsi="Times New Roman" w:cs="Times New Roman"/>
                <w:iCs/>
                <w:sz w:val="24"/>
              </w:rPr>
              <w:t xml:space="preserve"> v </w:t>
            </w:r>
            <w:r w:rsidRPr="00A3389E">
              <w:rPr>
                <w:rFonts w:ascii="Times New Roman" w:hAnsi="Times New Roman" w:cs="Times New Roman"/>
                <w:iCs/>
                <w:sz w:val="24"/>
              </w:rPr>
              <w:t>článku 147 ods. 2 CRR samostatný vzor</w:t>
            </w:r>
            <w:r w:rsidR="00A3389E">
              <w:rPr>
                <w:rFonts w:ascii="Times New Roman" w:hAnsi="Times New Roman" w:cs="Times New Roman"/>
                <w:iCs/>
                <w:sz w:val="24"/>
              </w:rPr>
              <w:t xml:space="preserve"> s </w:t>
            </w:r>
            <w:r w:rsidRPr="00A3389E">
              <w:rPr>
                <w:rFonts w:ascii="Times New Roman" w:hAnsi="Times New Roman" w:cs="Times New Roman"/>
                <w:iCs/>
                <w:sz w:val="24"/>
              </w:rPr>
              <w:t>ďalším rozčlenením týchto tried expozícií</w:t>
            </w:r>
            <w:r w:rsidR="00A3389E" w:rsidRPr="00A3389E">
              <w:rPr>
                <w:rFonts w:ascii="Times New Roman" w:hAnsi="Times New Roman" w:cs="Times New Roman"/>
                <w:iCs/>
                <w:sz w:val="24"/>
              </w:rPr>
              <w:t>:</w:t>
            </w:r>
          </w:p>
          <w:p w14:paraId="5BEC891D" w14:textId="2DAE221C"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w:t>
            </w:r>
            <w:r w:rsidR="00A3389E">
              <w:rPr>
                <w:rFonts w:ascii="Times New Roman" w:hAnsi="Times New Roman" w:cs="Times New Roman"/>
                <w:iCs/>
                <w:sz w:val="24"/>
              </w:rPr>
              <w:t xml:space="preserve"> v </w:t>
            </w:r>
            <w:r w:rsidRPr="00A3389E">
              <w:rPr>
                <w:rFonts w:ascii="Times New Roman" w:hAnsi="Times New Roman" w:cs="Times New Roman"/>
                <w:iCs/>
                <w:sz w:val="24"/>
              </w:rPr>
              <w:t>rámci triedy expozícií „expozície voči podnikateľským subjektom“ [článok 147 ods. 2 písm. c) CRR] rozčlenenie na:</w:t>
            </w:r>
          </w:p>
          <w:p w14:paraId="1C5513B3" w14:textId="3EF0FFC4"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expozície voči podnikateľským subjektom – MSP</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internou klasifikáciou expozícií voči podnikateľským subjektom na základe politík riadenia rizík;</w:t>
            </w:r>
          </w:p>
          <w:p w14:paraId="06E17EAA" w14:textId="58788B18"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b)</w:t>
            </w:r>
            <w:r w:rsidRPr="00A3389E">
              <w:rPr>
                <w:rFonts w:ascii="Times New Roman" w:hAnsi="Times New Roman" w:cs="Times New Roman"/>
              </w:rPr>
              <w:tab/>
            </w:r>
            <w:r w:rsidRPr="00A3389E">
              <w:rPr>
                <w:rFonts w:ascii="Times New Roman" w:hAnsi="Times New Roman" w:cs="Times New Roman"/>
                <w:iCs/>
                <w:sz w:val="24"/>
              </w:rPr>
              <w:t>expozície voči podnikateľským subjektom – špecializované financovanie</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147 ods. 8 CRR;</w:t>
            </w:r>
          </w:p>
          <w:p w14:paraId="13C501EC" w14:textId="77777777"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expozície voči podnikateľským subjektom – iné;</w:t>
            </w:r>
          </w:p>
          <w:p w14:paraId="07E77D20" w14:textId="34B2F5B3"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w:t>
            </w:r>
            <w:r w:rsidR="00A3389E">
              <w:rPr>
                <w:rFonts w:ascii="Times New Roman" w:hAnsi="Times New Roman" w:cs="Times New Roman"/>
                <w:iCs/>
                <w:sz w:val="24"/>
              </w:rPr>
              <w:t xml:space="preserve"> v </w:t>
            </w:r>
            <w:r w:rsidRPr="00A3389E">
              <w:rPr>
                <w:rFonts w:ascii="Times New Roman" w:hAnsi="Times New Roman" w:cs="Times New Roman"/>
                <w:iCs/>
                <w:sz w:val="24"/>
              </w:rPr>
              <w:t>rámci triedy expozícií „retailové expozície“ [článok 147 ods. 2 písm. d)</w:t>
            </w:r>
            <w:r w:rsidR="00A3389E">
              <w:rPr>
                <w:rFonts w:ascii="Times New Roman" w:hAnsi="Times New Roman" w:cs="Times New Roman"/>
                <w:iCs/>
                <w:sz w:val="24"/>
              </w:rPr>
              <w:t xml:space="preserve"> a </w:t>
            </w:r>
            <w:r w:rsidRPr="00A3389E">
              <w:rPr>
                <w:rFonts w:ascii="Times New Roman" w:hAnsi="Times New Roman" w:cs="Times New Roman"/>
                <w:iCs/>
                <w:sz w:val="24"/>
              </w:rPr>
              <w:t>článok 147 ods. 5 CRR] rozčlenenie na:</w:t>
            </w:r>
          </w:p>
          <w:p w14:paraId="56B7E58D" w14:textId="22418056"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retailové expozície – MSP zabezpečené kolaterálom vo forme nehnuteľného majetku [článok 147 ods. 2 písm. d) CRR</w:t>
            </w:r>
            <w:r w:rsidR="00A3389E">
              <w:rPr>
                <w:rFonts w:ascii="Times New Roman" w:hAnsi="Times New Roman" w:cs="Times New Roman"/>
                <w:iCs/>
                <w:sz w:val="24"/>
              </w:rPr>
              <w:t xml:space="preserve"> v </w:t>
            </w:r>
            <w:r w:rsidRPr="00A3389E">
              <w:rPr>
                <w:rFonts w:ascii="Times New Roman" w:hAnsi="Times New Roman" w:cs="Times New Roman"/>
                <w:iCs/>
                <w:sz w:val="24"/>
              </w:rPr>
              <w:t>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2</w:t>
            </w:r>
            <w:r w:rsidR="00A3389E">
              <w:rPr>
                <w:rFonts w:ascii="Times New Roman" w:hAnsi="Times New Roman" w:cs="Times New Roman"/>
                <w:iCs/>
                <w:sz w:val="24"/>
              </w:rPr>
              <w:t xml:space="preserve"> a </w:t>
            </w:r>
            <w:r w:rsidRPr="00A3389E">
              <w:rPr>
                <w:rFonts w:ascii="Times New Roman" w:hAnsi="Times New Roman" w:cs="Times New Roman"/>
                <w:iCs/>
                <w:sz w:val="24"/>
              </w:rPr>
              <w:t>3 CRR];</w:t>
            </w:r>
          </w:p>
          <w:p w14:paraId="67EE4383" w14:textId="2DDBF6B3"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lastRenderedPageBreak/>
              <w:t>b)</w:t>
            </w:r>
            <w:r w:rsidRPr="00A3389E">
              <w:rPr>
                <w:rFonts w:ascii="Times New Roman" w:hAnsi="Times New Roman" w:cs="Times New Roman"/>
              </w:rPr>
              <w:tab/>
            </w:r>
            <w:r w:rsidRPr="00A3389E">
              <w:rPr>
                <w:rFonts w:ascii="Times New Roman" w:hAnsi="Times New Roman" w:cs="Times New Roman"/>
                <w:iCs/>
                <w:sz w:val="24"/>
              </w:rPr>
              <w:t>retailové expozície – iné než MSP, zabezpečené kolaterálom vo forme nehnuteľného majetku [článok 147 ods. 2 písm. d) CRR</w:t>
            </w:r>
            <w:r w:rsidR="00A3389E">
              <w:rPr>
                <w:rFonts w:ascii="Times New Roman" w:hAnsi="Times New Roman" w:cs="Times New Roman"/>
                <w:iCs/>
                <w:sz w:val="24"/>
              </w:rPr>
              <w:t xml:space="preserve"> v </w:t>
            </w:r>
            <w:r w:rsidRPr="00A3389E">
              <w:rPr>
                <w:rFonts w:ascii="Times New Roman" w:hAnsi="Times New Roman" w:cs="Times New Roman"/>
                <w:iCs/>
                <w:sz w:val="24"/>
              </w:rPr>
              <w:t>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3 CRR];</w:t>
            </w:r>
          </w:p>
          <w:p w14:paraId="3AA0EB02" w14:textId="4A5B1060"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retailové expozície – kvalifikovaný revolving [článok 147 ods. 2 písm. d) CRR</w:t>
            </w:r>
            <w:r w:rsidR="00A3389E">
              <w:rPr>
                <w:rFonts w:ascii="Times New Roman" w:hAnsi="Times New Roman" w:cs="Times New Roman"/>
                <w:iCs/>
                <w:sz w:val="24"/>
              </w:rPr>
              <w:t xml:space="preserve"> v </w:t>
            </w:r>
            <w:r w:rsidRPr="00A3389E">
              <w:rPr>
                <w:rFonts w:ascii="Times New Roman" w:hAnsi="Times New Roman" w:cs="Times New Roman"/>
                <w:iCs/>
                <w:sz w:val="24"/>
              </w:rPr>
              <w:t>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154 ods. 4 CRR];</w:t>
            </w:r>
          </w:p>
          <w:p w14:paraId="4A646D37" w14:textId="77777777"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d)</w:t>
            </w:r>
            <w:r w:rsidRPr="00A3389E">
              <w:rPr>
                <w:rFonts w:ascii="Times New Roman" w:hAnsi="Times New Roman" w:cs="Times New Roman"/>
                <w:iCs/>
                <w:sz w:val="24"/>
              </w:rPr>
              <w:tab/>
              <w:t>retailové expozície – MSP iné;</w:t>
            </w:r>
          </w:p>
          <w:p w14:paraId="09BEA762" w14:textId="77777777" w:rsidR="000646F8" w:rsidRPr="00A3389E" w:rsidRDefault="000646F8" w:rsidP="00155C96">
            <w:pPr>
              <w:autoSpaceDE w:val="0"/>
              <w:autoSpaceDN w:val="0"/>
              <w:adjustRightInd w:val="0"/>
              <w:spacing w:after="120"/>
              <w:ind w:left="720"/>
              <w:jc w:val="both"/>
              <w:rPr>
                <w:rFonts w:ascii="Times New Roman" w:hAnsi="Times New Roman" w:cs="Times New Roman"/>
                <w:sz w:val="24"/>
                <w:highlight w:val="yellow"/>
              </w:rPr>
            </w:pPr>
            <w:r w:rsidRPr="00A3389E">
              <w:rPr>
                <w:rFonts w:ascii="Times New Roman" w:hAnsi="Times New Roman" w:cs="Times New Roman"/>
                <w:iCs/>
                <w:sz w:val="24"/>
              </w:rPr>
              <w:t>e)</w:t>
            </w:r>
            <w:r w:rsidRPr="00A3389E">
              <w:rPr>
                <w:rFonts w:ascii="Times New Roman" w:hAnsi="Times New Roman" w:cs="Times New Roman"/>
                <w:iCs/>
                <w:sz w:val="24"/>
              </w:rPr>
              <w:tab/>
              <w:t>retailové expozície – iné než MSP, iné.</w:t>
            </w:r>
          </w:p>
        </w:tc>
      </w:tr>
      <w:tr w:rsidR="000646F8" w:rsidRPr="00A3389E" w14:paraId="03E52636" w14:textId="77777777" w:rsidTr="00155C96">
        <w:trPr>
          <w:gridAfter w:val="1"/>
          <w:wAfter w:w="28" w:type="dxa"/>
          <w:trHeight w:val="841"/>
        </w:trPr>
        <w:tc>
          <w:tcPr>
            <w:tcW w:w="1413" w:type="dxa"/>
          </w:tcPr>
          <w:p w14:paraId="051E4D89" w14:textId="77777777" w:rsidR="000646F8" w:rsidRPr="00A3389E" w:rsidRDefault="000646F8" w:rsidP="00155C96">
            <w:pPr>
              <w:pStyle w:val="Applicationdirecte"/>
              <w:spacing w:before="0"/>
            </w:pPr>
            <w:r w:rsidRPr="00A3389E">
              <w:lastRenderedPageBreak/>
              <w:t>a (F-IRB)</w:t>
            </w:r>
          </w:p>
        </w:tc>
        <w:tc>
          <w:tcPr>
            <w:tcW w:w="7626" w:type="dxa"/>
          </w:tcPr>
          <w:p w14:paraId="7691463A" w14:textId="77777777" w:rsidR="000646F8" w:rsidRPr="00A3389E" w:rsidRDefault="000646F8" w:rsidP="008E292A">
            <w:pPr>
              <w:spacing w:after="120"/>
              <w:jc w:val="both"/>
              <w:rPr>
                <w:rFonts w:ascii="Times New Roman" w:hAnsi="Times New Roman" w:cs="Times New Roman"/>
                <w:b/>
                <w:sz w:val="24"/>
              </w:rPr>
            </w:pPr>
            <w:r w:rsidRPr="00A3389E">
              <w:rPr>
                <w:rFonts w:ascii="Times New Roman" w:hAnsi="Times New Roman" w:cs="Times New Roman"/>
                <w:b/>
                <w:sz w:val="24"/>
              </w:rPr>
              <w:t>Triedy expozícií</w:t>
            </w:r>
          </w:p>
          <w:p w14:paraId="3E400785" w14:textId="0B169C3A"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Inštitúcie zverejňujú pre každú triedu expozícií uvedenú</w:t>
            </w:r>
            <w:r w:rsidR="00A3389E">
              <w:rPr>
                <w:rFonts w:ascii="Times New Roman" w:hAnsi="Times New Roman" w:cs="Times New Roman"/>
                <w:iCs/>
                <w:sz w:val="24"/>
              </w:rPr>
              <w:t xml:space="preserve"> v </w:t>
            </w:r>
            <w:r w:rsidRPr="00A3389E">
              <w:rPr>
                <w:rFonts w:ascii="Times New Roman" w:hAnsi="Times New Roman" w:cs="Times New Roman"/>
                <w:iCs/>
                <w:sz w:val="24"/>
              </w:rPr>
              <w:t>článku 147 ods. 2 CRR samostatný vzor</w:t>
            </w:r>
            <w:r w:rsidR="00A3389E">
              <w:rPr>
                <w:rFonts w:ascii="Times New Roman" w:hAnsi="Times New Roman" w:cs="Times New Roman"/>
                <w:iCs/>
                <w:sz w:val="24"/>
              </w:rPr>
              <w:t xml:space="preserve"> s </w:t>
            </w:r>
            <w:r w:rsidRPr="00A3389E">
              <w:rPr>
                <w:rFonts w:ascii="Times New Roman" w:hAnsi="Times New Roman" w:cs="Times New Roman"/>
                <w:iCs/>
                <w:sz w:val="24"/>
              </w:rPr>
              <w:t>ďalším rozčlenením týchto tried expozícií:</w:t>
            </w:r>
          </w:p>
          <w:p w14:paraId="396D5B40" w14:textId="66FC6FEE" w:rsidR="000646F8" w:rsidRPr="00A3389E" w:rsidRDefault="000646F8" w:rsidP="00155C96">
            <w:pPr>
              <w:autoSpaceDE w:val="0"/>
              <w:autoSpaceDN w:val="0"/>
              <w:adjustRightInd w:val="0"/>
              <w:spacing w:after="120"/>
              <w:jc w:val="both"/>
              <w:rPr>
                <w:rFonts w:ascii="Times New Roman" w:eastAsia="Times New Roman" w:hAnsi="Times New Roman" w:cs="Times New Roman"/>
                <w:iCs/>
                <w:sz w:val="24"/>
              </w:rPr>
            </w:pPr>
            <w:r w:rsidRPr="00A3389E">
              <w:rPr>
                <w:rFonts w:ascii="Times New Roman" w:hAnsi="Times New Roman" w:cs="Times New Roman"/>
                <w:iCs/>
                <w:sz w:val="24"/>
              </w:rPr>
              <w:t>–</w:t>
            </w:r>
            <w:r w:rsidR="00A3389E">
              <w:rPr>
                <w:rFonts w:ascii="Times New Roman" w:hAnsi="Times New Roman" w:cs="Times New Roman"/>
                <w:iCs/>
                <w:sz w:val="24"/>
              </w:rPr>
              <w:t xml:space="preserve"> v </w:t>
            </w:r>
            <w:r w:rsidRPr="00A3389E">
              <w:rPr>
                <w:rFonts w:ascii="Times New Roman" w:hAnsi="Times New Roman" w:cs="Times New Roman"/>
                <w:iCs/>
                <w:sz w:val="24"/>
              </w:rPr>
              <w:t>rámci triedy expozícií „expozície voči podnikateľským subjektom“ [článok 147 ods. 2 písm. c) CRR] rozčlenenie na:</w:t>
            </w:r>
          </w:p>
          <w:p w14:paraId="3352693D" w14:textId="3B0BEFEC"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a)</w:t>
            </w:r>
            <w:r w:rsidRPr="00A3389E">
              <w:rPr>
                <w:rFonts w:ascii="Times New Roman" w:hAnsi="Times New Roman" w:cs="Times New Roman"/>
              </w:rPr>
              <w:tab/>
            </w:r>
            <w:r w:rsidRPr="00A3389E">
              <w:rPr>
                <w:rFonts w:ascii="Times New Roman" w:hAnsi="Times New Roman" w:cs="Times New Roman"/>
                <w:iCs/>
                <w:sz w:val="24"/>
              </w:rPr>
              <w:t>expozície voči podnikateľským subjektom – MSP</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internou klasifikáciou expozícií voči podnikateľským subjektom na základe politík riadenia rizík;</w:t>
            </w:r>
          </w:p>
          <w:p w14:paraId="7B9C0B78" w14:textId="1D38A264" w:rsidR="000646F8" w:rsidRPr="00A3389E"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A3389E">
              <w:rPr>
                <w:rFonts w:ascii="Times New Roman" w:hAnsi="Times New Roman" w:cs="Times New Roman"/>
                <w:iCs/>
                <w:sz w:val="24"/>
              </w:rPr>
              <w:t>b)</w:t>
            </w:r>
            <w:r w:rsidRPr="00A3389E">
              <w:rPr>
                <w:rFonts w:ascii="Times New Roman" w:hAnsi="Times New Roman" w:cs="Times New Roman"/>
              </w:rPr>
              <w:tab/>
            </w:r>
            <w:r w:rsidRPr="00A3389E">
              <w:rPr>
                <w:rFonts w:ascii="Times New Roman" w:hAnsi="Times New Roman" w:cs="Times New Roman"/>
                <w:iCs/>
                <w:sz w:val="24"/>
              </w:rPr>
              <w:t>expozície voči podnikateľským subjektom – špecializované financovanie</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147 ods. 8 CRR;</w:t>
            </w:r>
          </w:p>
          <w:p w14:paraId="2C70F148" w14:textId="77777777" w:rsidR="000646F8" w:rsidRPr="00A3389E" w:rsidRDefault="000646F8" w:rsidP="00155C96">
            <w:pPr>
              <w:autoSpaceDE w:val="0"/>
              <w:autoSpaceDN w:val="0"/>
              <w:adjustRightInd w:val="0"/>
              <w:spacing w:after="120"/>
              <w:ind w:left="720"/>
              <w:jc w:val="both"/>
              <w:rPr>
                <w:rFonts w:ascii="Times New Roman" w:hAnsi="Times New Roman" w:cs="Times New Roman"/>
                <w:sz w:val="24"/>
                <w:highlight w:val="yellow"/>
              </w:rPr>
            </w:pPr>
            <w:r w:rsidRPr="00A3389E">
              <w:rPr>
                <w:rFonts w:ascii="Times New Roman" w:hAnsi="Times New Roman" w:cs="Times New Roman"/>
                <w:iCs/>
                <w:sz w:val="24"/>
              </w:rPr>
              <w:t>c)</w:t>
            </w:r>
            <w:r w:rsidRPr="00A3389E">
              <w:rPr>
                <w:rFonts w:ascii="Times New Roman" w:hAnsi="Times New Roman" w:cs="Times New Roman"/>
              </w:rPr>
              <w:tab/>
            </w:r>
            <w:r w:rsidRPr="00A3389E">
              <w:rPr>
                <w:rFonts w:ascii="Times New Roman" w:hAnsi="Times New Roman" w:cs="Times New Roman"/>
                <w:iCs/>
                <w:sz w:val="24"/>
              </w:rPr>
              <w:t>expozície voči podnikateľským subjektom – iné.</w:t>
            </w:r>
          </w:p>
        </w:tc>
      </w:tr>
      <w:tr w:rsidR="000646F8" w:rsidRPr="00A3389E" w14:paraId="1B51F2A1" w14:textId="77777777" w:rsidTr="00155C96">
        <w:trPr>
          <w:gridAfter w:val="1"/>
          <w:wAfter w:w="28" w:type="dxa"/>
          <w:trHeight w:val="841"/>
        </w:trPr>
        <w:tc>
          <w:tcPr>
            <w:tcW w:w="1413" w:type="dxa"/>
          </w:tcPr>
          <w:p w14:paraId="08F78AEF" w14:textId="77777777" w:rsidR="000646F8" w:rsidRPr="00A3389E" w:rsidRDefault="000646F8" w:rsidP="00155C96">
            <w:pPr>
              <w:pStyle w:val="Applicationdirecte"/>
              <w:spacing w:before="0"/>
            </w:pPr>
            <w:r w:rsidRPr="00A3389E">
              <w:t xml:space="preserve"> b</w:t>
            </w:r>
          </w:p>
        </w:tc>
        <w:tc>
          <w:tcPr>
            <w:tcW w:w="7626" w:type="dxa"/>
          </w:tcPr>
          <w:p w14:paraId="1B99B7D6" w14:textId="3632C72B" w:rsidR="000646F8" w:rsidRPr="00A3389E" w:rsidRDefault="000646F8" w:rsidP="00155C96">
            <w:pPr>
              <w:pStyle w:val="Applicationdirecte"/>
              <w:spacing w:before="0"/>
              <w:rPr>
                <w:b/>
              </w:rPr>
            </w:pPr>
            <w:r w:rsidRPr="00A3389E">
              <w:rPr>
                <w:b/>
              </w:rPr>
              <w:t>Rozsah PD</w:t>
            </w:r>
          </w:p>
          <w:p w14:paraId="732E4B61" w14:textId="63EFBFCF"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Ide</w:t>
            </w:r>
            <w:r w:rsidR="00A3389E">
              <w:rPr>
                <w:rFonts w:ascii="Times New Roman" w:hAnsi="Times New Roman" w:cs="Times New Roman"/>
                <w:sz w:val="24"/>
              </w:rPr>
              <w:t xml:space="preserve"> o </w:t>
            </w:r>
            <w:r w:rsidRPr="00A3389E">
              <w:rPr>
                <w:rFonts w:ascii="Times New Roman" w:hAnsi="Times New Roman" w:cs="Times New Roman"/>
                <w:sz w:val="24"/>
              </w:rPr>
              <w:t>pevný rozsah PD, ktorý sa nesmie meniť.</w:t>
            </w:r>
          </w:p>
          <w:p w14:paraId="520EC2BF" w14:textId="5B0DB9FA"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Expozície sa zaraďujú do príslušnej skupiny pevného rozsahu PD na základe PD odhadovanej na začiatku obdobia zverejňovania informácií pre každého dlžníka zaradeného do tejto triedy expozícií (bez zohľadnenia substitučných účinkov</w:t>
            </w:r>
            <w:r w:rsidR="00A3389E">
              <w:rPr>
                <w:rFonts w:ascii="Times New Roman" w:hAnsi="Times New Roman" w:cs="Times New Roman"/>
                <w:sz w:val="24"/>
              </w:rPr>
              <w:t xml:space="preserve"> z </w:t>
            </w:r>
            <w:r w:rsidRPr="00A3389E">
              <w:rPr>
                <w:rFonts w:ascii="Times New Roman" w:hAnsi="Times New Roman" w:cs="Times New Roman"/>
                <w:sz w:val="24"/>
              </w:rPr>
              <w:t>dôvodu zmierňovania kreditného rizika).</w:t>
            </w:r>
            <w:r w:rsidR="00A60806">
              <w:rPr>
                <w:rFonts w:ascii="Times New Roman" w:hAnsi="Times New Roman" w:cs="Times New Roman"/>
                <w:sz w:val="24"/>
              </w:rPr>
              <w:t xml:space="preserve"> </w:t>
            </w:r>
            <w:r w:rsidRPr="00A3389E">
              <w:rPr>
                <w:rFonts w:ascii="Times New Roman" w:hAnsi="Times New Roman" w:cs="Times New Roman"/>
                <w:sz w:val="24"/>
              </w:rPr>
              <w:t>Všetky expozície</w:t>
            </w:r>
            <w:r w:rsidR="00A3389E">
              <w:rPr>
                <w:rFonts w:ascii="Times New Roman" w:hAnsi="Times New Roman" w:cs="Times New Roman"/>
                <w:sz w:val="24"/>
              </w:rPr>
              <w:t xml:space="preserve"> v </w:t>
            </w:r>
            <w:r w:rsidRPr="00A3389E">
              <w:rPr>
                <w:rFonts w:ascii="Times New Roman" w:hAnsi="Times New Roman" w:cs="Times New Roman"/>
                <w:sz w:val="24"/>
              </w:rPr>
              <w:t>stave zlyhania sa zahŕňajú do skupiny predstavujúcej PD na úrovni 100</w:t>
            </w:r>
            <w:r w:rsidR="00A3389E">
              <w:rPr>
                <w:rFonts w:ascii="Times New Roman" w:hAnsi="Times New Roman" w:cs="Times New Roman"/>
                <w:sz w:val="24"/>
              </w:rPr>
              <w:t> %</w:t>
            </w:r>
            <w:r w:rsidRPr="00A3389E">
              <w:rPr>
                <w:rFonts w:ascii="Times New Roman" w:hAnsi="Times New Roman" w:cs="Times New Roman"/>
                <w:sz w:val="24"/>
              </w:rPr>
              <w:t>.</w:t>
            </w:r>
          </w:p>
        </w:tc>
      </w:tr>
      <w:tr w:rsidR="000646F8" w:rsidRPr="00A3389E" w14:paraId="36A8DE5A" w14:textId="77777777" w:rsidTr="00155C96">
        <w:trPr>
          <w:gridAfter w:val="1"/>
          <w:wAfter w:w="28" w:type="dxa"/>
          <w:trHeight w:val="554"/>
        </w:trPr>
        <w:tc>
          <w:tcPr>
            <w:tcW w:w="1413" w:type="dxa"/>
          </w:tcPr>
          <w:p w14:paraId="31D5CAC7"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c, d</w:t>
            </w:r>
          </w:p>
        </w:tc>
        <w:tc>
          <w:tcPr>
            <w:tcW w:w="7626" w:type="dxa"/>
          </w:tcPr>
          <w:p w14:paraId="71D10849" w14:textId="7AC60C3F" w:rsidR="000646F8" w:rsidRPr="00A3389E" w:rsidRDefault="000646F8"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Počet dlžníkov ku koncu predchádzajúceho roka</w:t>
            </w:r>
          </w:p>
          <w:p w14:paraId="273CB1FE" w14:textId="77777777" w:rsidR="00A3389E"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zverejňujú tieto dva súbory informácií</w:t>
            </w:r>
            <w:r w:rsidR="00A3389E" w:rsidRPr="00A3389E">
              <w:rPr>
                <w:rFonts w:ascii="Times New Roman" w:hAnsi="Times New Roman" w:cs="Times New Roman"/>
                <w:sz w:val="24"/>
              </w:rPr>
              <w:t>:</w:t>
            </w:r>
          </w:p>
          <w:p w14:paraId="26517C19" w14:textId="6DA7BBBD" w:rsidR="000646F8" w:rsidRPr="00A3389E" w:rsidRDefault="00A3389E" w:rsidP="00A3389E">
            <w:pPr>
              <w:autoSpaceDE w:val="0"/>
              <w:autoSpaceDN w:val="0"/>
              <w:adjustRightInd w:val="0"/>
              <w:spacing w:after="120"/>
              <w:ind w:left="1080" w:hanging="720"/>
              <w:jc w:val="both"/>
              <w:rPr>
                <w:rFonts w:ascii="Times New Roman" w:hAnsi="Times New Roman"/>
                <w:sz w:val="24"/>
              </w:rPr>
            </w:pPr>
            <w:r w:rsidRPr="00A3389E">
              <w:rPr>
                <w:rFonts w:ascii="Times New Roman" w:eastAsia="Calibri" w:hAnsi="Times New Roman" w:cs="Times New Roman"/>
                <w:sz w:val="24"/>
                <w:szCs w:val="22"/>
              </w:rPr>
              <w:t>i)</w:t>
            </w:r>
            <w:r w:rsidRPr="00A3389E">
              <w:rPr>
                <w:rFonts w:ascii="Times New Roman" w:eastAsia="Calibri" w:hAnsi="Times New Roman" w:cs="Times New Roman"/>
                <w:sz w:val="24"/>
                <w:szCs w:val="22"/>
              </w:rPr>
              <w:tab/>
            </w:r>
            <w:r w:rsidR="000646F8" w:rsidRPr="00A3389E">
              <w:rPr>
                <w:rFonts w:ascii="Times New Roman" w:hAnsi="Times New Roman"/>
                <w:sz w:val="24"/>
              </w:rPr>
              <w:t>počet dlžníkov ku koncu predchádzajúceho roka (stĺpec C tohto vzoru);</w:t>
            </w:r>
          </w:p>
          <w:p w14:paraId="5EE31175" w14:textId="77777777" w:rsidR="00A3389E" w:rsidRPr="00A3389E" w:rsidRDefault="000646F8" w:rsidP="00155C96">
            <w:pPr>
              <w:pStyle w:val="ListParagraph"/>
              <w:autoSpaceDE w:val="0"/>
              <w:autoSpaceDN w:val="0"/>
              <w:adjustRightInd w:val="0"/>
              <w:spacing w:after="120"/>
              <w:ind w:left="1080"/>
              <w:jc w:val="both"/>
              <w:rPr>
                <w:rFonts w:ascii="Times New Roman" w:hAnsi="Times New Roman"/>
                <w:sz w:val="24"/>
                <w:szCs w:val="24"/>
              </w:rPr>
            </w:pPr>
            <w:r w:rsidRPr="00A3389E">
              <w:rPr>
                <w:rFonts w:ascii="Times New Roman" w:hAnsi="Times New Roman"/>
                <w:sz w:val="24"/>
                <w:szCs w:val="24"/>
              </w:rPr>
              <w:t>počet dlžníkov, ktorí podliehajú zverejňovaniu, ku koncu predchádzajúceho roka</w:t>
            </w:r>
            <w:r w:rsidR="00A3389E" w:rsidRPr="00A3389E">
              <w:rPr>
                <w:rFonts w:ascii="Times New Roman" w:hAnsi="Times New Roman"/>
                <w:sz w:val="24"/>
                <w:szCs w:val="24"/>
              </w:rPr>
              <w:t>.</w:t>
            </w:r>
          </w:p>
          <w:p w14:paraId="28F1C78C" w14:textId="32A43F8A" w:rsidR="000646F8" w:rsidRPr="00A3389E"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sidRPr="00A3389E">
              <w:rPr>
                <w:rFonts w:ascii="Times New Roman" w:hAnsi="Times New Roman"/>
                <w:sz w:val="24"/>
                <w:szCs w:val="24"/>
              </w:rPr>
              <w:t>V oboch prípadoch sa zahŕňajú všetci dlžníci, ktorí majú</w:t>
            </w:r>
            <w:r w:rsidR="00A3389E">
              <w:rPr>
                <w:rFonts w:ascii="Times New Roman" w:hAnsi="Times New Roman"/>
                <w:sz w:val="24"/>
                <w:szCs w:val="24"/>
              </w:rPr>
              <w:t xml:space="preserve"> v </w:t>
            </w:r>
            <w:r w:rsidRPr="00A3389E">
              <w:rPr>
                <w:rFonts w:ascii="Times New Roman" w:hAnsi="Times New Roman"/>
                <w:sz w:val="24"/>
                <w:szCs w:val="24"/>
              </w:rPr>
              <w:t>príslušnom čase kreditný záväzok.</w:t>
            </w:r>
          </w:p>
          <w:p w14:paraId="4F5EBCC5" w14:textId="77777777" w:rsidR="00A3389E" w:rsidRPr="00A3389E" w:rsidRDefault="000646F8" w:rsidP="00155C96">
            <w:pPr>
              <w:pStyle w:val="ListParagraph"/>
              <w:autoSpaceDE w:val="0"/>
              <w:autoSpaceDN w:val="0"/>
              <w:adjustRightInd w:val="0"/>
              <w:spacing w:after="120"/>
              <w:ind w:left="1080"/>
              <w:jc w:val="both"/>
              <w:rPr>
                <w:rFonts w:ascii="Times New Roman" w:hAnsi="Times New Roman"/>
                <w:sz w:val="24"/>
                <w:szCs w:val="24"/>
              </w:rPr>
            </w:pPr>
            <w:r w:rsidRPr="00A3389E">
              <w:rPr>
                <w:rFonts w:ascii="Times New Roman" w:hAnsi="Times New Roman"/>
                <w:sz w:val="24"/>
                <w:szCs w:val="24"/>
              </w:rPr>
              <w:t>Inštitúcie zverejňujú počet právnych subjektov alebo dlžníkov priradených ku koncu predchádzajúceho roka ku každej skupine pevného rozsahu PD, ktorí boli osobitne ohodnotení, bez ohľadu na počet jednotlivých poskytnutých úverov alebo expozícií</w:t>
            </w:r>
            <w:r w:rsidR="00A3389E" w:rsidRPr="00A3389E">
              <w:rPr>
                <w:rFonts w:ascii="Times New Roman" w:hAnsi="Times New Roman"/>
                <w:sz w:val="24"/>
                <w:szCs w:val="24"/>
              </w:rPr>
              <w:t>.</w:t>
            </w:r>
          </w:p>
          <w:p w14:paraId="175CCDB9" w14:textId="0B885232" w:rsidR="000646F8" w:rsidRPr="00A3389E" w:rsidRDefault="000646F8" w:rsidP="00155C96">
            <w:pPr>
              <w:pStyle w:val="ListParagraph"/>
              <w:autoSpaceDE w:val="0"/>
              <w:autoSpaceDN w:val="0"/>
              <w:adjustRightInd w:val="0"/>
              <w:spacing w:after="120"/>
              <w:ind w:left="1080"/>
              <w:jc w:val="both"/>
              <w:rPr>
                <w:rFonts w:ascii="Times New Roman" w:hAnsi="Times New Roman"/>
                <w:sz w:val="24"/>
              </w:rPr>
            </w:pPr>
            <w:r w:rsidRPr="00A3389E">
              <w:rPr>
                <w:rFonts w:ascii="Times New Roman" w:hAnsi="Times New Roman"/>
                <w:sz w:val="24"/>
              </w:rPr>
              <w:t>So spoločnými dlžníkmi sa zaobchádza rovnako ako na účely kalibrácie PD.</w:t>
            </w:r>
            <w:r w:rsidRPr="00A3389E">
              <w:rPr>
                <w:rFonts w:ascii="Times New Roman" w:hAnsi="Times New Roman"/>
                <w:sz w:val="24"/>
                <w:szCs w:val="24"/>
              </w:rPr>
              <w:t xml:space="preserve"> Ak sa jednotlivé expozície voči tomu istému dlžníkovi ohodnocujú osobitne, spočítavajú sa osobitne. Takáto </w:t>
            </w:r>
            <w:r w:rsidRPr="00A3389E">
              <w:rPr>
                <w:rFonts w:ascii="Times New Roman" w:hAnsi="Times New Roman"/>
                <w:sz w:val="24"/>
                <w:szCs w:val="24"/>
              </w:rPr>
              <w:lastRenderedPageBreak/>
              <w:t>situácia môže nastať</w:t>
            </w:r>
            <w:r w:rsidR="00A3389E">
              <w:rPr>
                <w:rFonts w:ascii="Times New Roman" w:hAnsi="Times New Roman"/>
                <w:sz w:val="24"/>
                <w:szCs w:val="24"/>
              </w:rPr>
              <w:t xml:space="preserve"> v </w:t>
            </w:r>
            <w:r w:rsidRPr="00A3389E">
              <w:rPr>
                <w:rFonts w:ascii="Times New Roman" w:hAnsi="Times New Roman"/>
                <w:sz w:val="24"/>
                <w:szCs w:val="24"/>
              </w:rPr>
              <w:t>rámci triedy retailových expozícií, ak sa vymedzenie zlyhania uplatňuje na úrovni individuálnych kreditných facilít</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178 ods. 1 poslednou vetou CRR. Takáto situácia môže nastať aj vtedy, ak sa samostatné expozície voči tomu istému dlžníkovi zaradia do rôznych ratingových stupňov dlžníkov</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172 ods. 1 písm. e) druhou vetou CRR</w:t>
            </w:r>
            <w:r w:rsidR="00A3389E">
              <w:rPr>
                <w:rFonts w:ascii="Times New Roman" w:hAnsi="Times New Roman"/>
                <w:sz w:val="24"/>
                <w:szCs w:val="24"/>
              </w:rPr>
              <w:t xml:space="preserve"> v </w:t>
            </w:r>
            <w:r w:rsidRPr="00A3389E">
              <w:rPr>
                <w:rFonts w:ascii="Times New Roman" w:hAnsi="Times New Roman"/>
                <w:sz w:val="24"/>
                <w:szCs w:val="24"/>
              </w:rPr>
              <w:t>iných triedach expozícií;</w:t>
            </w:r>
          </w:p>
          <w:p w14:paraId="4D211FEA" w14:textId="4402CAA2" w:rsidR="00A3389E" w:rsidRPr="00A3389E" w:rsidRDefault="00A3389E" w:rsidP="00A3389E">
            <w:pPr>
              <w:spacing w:after="120"/>
              <w:ind w:left="1080" w:hanging="720"/>
              <w:jc w:val="both"/>
              <w:rPr>
                <w:rFonts w:ascii="Times New Roman" w:hAnsi="Times New Roman"/>
                <w:sz w:val="24"/>
              </w:rPr>
            </w:pPr>
            <w:r w:rsidRPr="00A3389E">
              <w:rPr>
                <w:rFonts w:ascii="Times New Roman" w:eastAsia="Calibri" w:hAnsi="Times New Roman" w:cs="Times New Roman"/>
                <w:sz w:val="24"/>
                <w:szCs w:val="22"/>
              </w:rPr>
              <w:t>ii)</w:t>
            </w:r>
            <w:r w:rsidRPr="00A3389E">
              <w:rPr>
                <w:rFonts w:ascii="Times New Roman" w:eastAsia="Calibri" w:hAnsi="Times New Roman" w:cs="Times New Roman"/>
                <w:sz w:val="24"/>
                <w:szCs w:val="22"/>
              </w:rPr>
              <w:tab/>
            </w:r>
            <w:r w:rsidR="000646F8" w:rsidRPr="00A3389E">
              <w:rPr>
                <w:rFonts w:ascii="Times New Roman" w:hAnsi="Times New Roman"/>
                <w:sz w:val="24"/>
              </w:rPr>
              <w:t xml:space="preserve">z čoho počet dlžníkov, ktorí zlyhali počas roka predchádzajúceho dátumu zverejnenia (stĺpec </w:t>
            </w:r>
            <w:r w:rsidR="000646F8" w:rsidRPr="00A3389E">
              <w:rPr>
                <w:rFonts w:ascii="Times New Roman" w:hAnsi="Times New Roman"/>
                <w:i/>
                <w:sz w:val="24"/>
              </w:rPr>
              <w:t>d</w:t>
            </w:r>
            <w:r w:rsidR="000646F8" w:rsidRPr="00A3389E">
              <w:rPr>
                <w:rFonts w:ascii="Times New Roman" w:hAnsi="Times New Roman"/>
                <w:sz w:val="24"/>
              </w:rPr>
              <w:t xml:space="preserve"> tohto vzoru)</w:t>
            </w:r>
            <w:r w:rsidRPr="00A3389E">
              <w:rPr>
                <w:rFonts w:ascii="Times New Roman" w:hAnsi="Times New Roman"/>
                <w:sz w:val="24"/>
              </w:rPr>
              <w:t>.</w:t>
            </w:r>
          </w:p>
          <w:p w14:paraId="4A5B967C" w14:textId="2712E5FD" w:rsidR="000646F8" w:rsidRPr="00A3389E" w:rsidRDefault="000646F8" w:rsidP="00155C96">
            <w:pPr>
              <w:pStyle w:val="ListParagraph"/>
              <w:spacing w:after="120"/>
              <w:ind w:left="1080"/>
              <w:jc w:val="both"/>
              <w:rPr>
                <w:rFonts w:ascii="Times New Roman" w:hAnsi="Times New Roman"/>
                <w:sz w:val="24"/>
              </w:rPr>
            </w:pPr>
            <w:r w:rsidRPr="00A3389E">
              <w:rPr>
                <w:rFonts w:ascii="Times New Roman" w:hAnsi="Times New Roman"/>
                <w:sz w:val="24"/>
              </w:rPr>
              <w:t>Ide</w:t>
            </w:r>
            <w:r w:rsidR="00A3389E">
              <w:rPr>
                <w:rFonts w:ascii="Times New Roman" w:hAnsi="Times New Roman"/>
                <w:sz w:val="24"/>
              </w:rPr>
              <w:t xml:space="preserve"> o </w:t>
            </w:r>
            <w:r w:rsidRPr="00A3389E">
              <w:rPr>
                <w:rFonts w:ascii="Times New Roman" w:hAnsi="Times New Roman"/>
                <w:sz w:val="24"/>
              </w:rPr>
              <w:t>podmnožinu stĺpca C tohto vzoru, ktorá predstavuje počet dlžníkov, ktorí počas roka zlyhali. Zlyhania sa určujú</w:t>
            </w:r>
            <w:r w:rsidR="00A3389E">
              <w:rPr>
                <w:rFonts w:ascii="Times New Roman" w:hAnsi="Times New Roman"/>
                <w:sz w:val="24"/>
              </w:rPr>
              <w:t xml:space="preserve"> v </w:t>
            </w:r>
            <w:r w:rsidRPr="00A3389E">
              <w:rPr>
                <w:rFonts w:ascii="Times New Roman" w:hAnsi="Times New Roman"/>
                <w:sz w:val="24"/>
              </w:rPr>
              <w:t>súlade</w:t>
            </w:r>
            <w:r w:rsidR="00A3389E">
              <w:rPr>
                <w:rFonts w:ascii="Times New Roman" w:hAnsi="Times New Roman"/>
                <w:sz w:val="24"/>
              </w:rPr>
              <w:t xml:space="preserve"> s </w:t>
            </w:r>
            <w:r w:rsidRPr="00A3389E">
              <w:rPr>
                <w:rFonts w:ascii="Times New Roman" w:hAnsi="Times New Roman"/>
                <w:sz w:val="24"/>
              </w:rPr>
              <w:t>článkom 178 CRR. Každý dlžník, ktorý zlyhal, sa započítava do čitateľa</w:t>
            </w:r>
            <w:r w:rsidR="00A3389E">
              <w:rPr>
                <w:rFonts w:ascii="Times New Roman" w:hAnsi="Times New Roman"/>
                <w:sz w:val="24"/>
              </w:rPr>
              <w:t xml:space="preserve"> a </w:t>
            </w:r>
            <w:r w:rsidRPr="00A3389E">
              <w:rPr>
                <w:rFonts w:ascii="Times New Roman" w:hAnsi="Times New Roman"/>
                <w:sz w:val="24"/>
              </w:rPr>
              <w:t>menovateľa pri výpočte jednoročnej miery zlyhania len raz,</w:t>
            </w:r>
            <w:r w:rsidR="00A3389E">
              <w:rPr>
                <w:rFonts w:ascii="Times New Roman" w:hAnsi="Times New Roman"/>
                <w:sz w:val="24"/>
              </w:rPr>
              <w:t xml:space="preserve"> a </w:t>
            </w:r>
            <w:r w:rsidRPr="00A3389E">
              <w:rPr>
                <w:rFonts w:ascii="Times New Roman" w:hAnsi="Times New Roman"/>
                <w:sz w:val="24"/>
              </w:rPr>
              <w:t>to aj vtedy, ak dlžník počas príslušného jednoročného obdobia zlyhal viac ako raz.</w:t>
            </w:r>
          </w:p>
        </w:tc>
      </w:tr>
      <w:tr w:rsidR="000646F8" w:rsidRPr="00A3389E" w14:paraId="37AC228F" w14:textId="77777777" w:rsidTr="00155C96">
        <w:trPr>
          <w:gridAfter w:val="1"/>
          <w:wAfter w:w="28" w:type="dxa"/>
          <w:trHeight w:val="316"/>
        </w:trPr>
        <w:tc>
          <w:tcPr>
            <w:tcW w:w="1413" w:type="dxa"/>
          </w:tcPr>
          <w:p w14:paraId="0766EB3B"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lastRenderedPageBreak/>
              <w:t>e</w:t>
            </w:r>
          </w:p>
        </w:tc>
        <w:tc>
          <w:tcPr>
            <w:tcW w:w="7626" w:type="dxa"/>
          </w:tcPr>
          <w:p w14:paraId="125AE352" w14:textId="5BE5FDFC" w:rsidR="000646F8" w:rsidRPr="00A3389E" w:rsidRDefault="000646F8"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Pozorovaná priemerná miera zlyhania</w:t>
            </w:r>
          </w:p>
          <w:p w14:paraId="43CF6CB2" w14:textId="3A09BF17"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Aritmetický priemer jednoročných mier zlyhania</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4 ods. 1 bode 78 CRR pozorovaných</w:t>
            </w:r>
            <w:r w:rsidR="00A3389E">
              <w:rPr>
                <w:rFonts w:ascii="Times New Roman" w:hAnsi="Times New Roman" w:cs="Times New Roman"/>
                <w:sz w:val="24"/>
              </w:rPr>
              <w:t xml:space="preserve"> v </w:t>
            </w:r>
            <w:r w:rsidRPr="00A3389E">
              <w:rPr>
                <w:rFonts w:ascii="Times New Roman" w:hAnsi="Times New Roman" w:cs="Times New Roman"/>
                <w:sz w:val="24"/>
              </w:rPr>
              <w:t>rámci dostupného súboru údajov.</w:t>
            </w:r>
          </w:p>
          <w:p w14:paraId="0789D371" w14:textId="77777777"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pri výpočte jednoročných mier zlyhania zabezpečujú obe tieto skutočnosti:</w:t>
            </w:r>
          </w:p>
          <w:p w14:paraId="4D81434F" w14:textId="7F98F0C2"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a) že menovateľ pozostáva</w:t>
            </w:r>
            <w:r w:rsidR="00A3389E">
              <w:rPr>
                <w:rFonts w:ascii="Times New Roman" w:hAnsi="Times New Roman" w:cs="Times New Roman"/>
                <w:sz w:val="24"/>
              </w:rPr>
              <w:t xml:space="preserve"> z </w:t>
            </w:r>
            <w:r w:rsidRPr="00A3389E">
              <w:rPr>
                <w:rFonts w:ascii="Times New Roman" w:hAnsi="Times New Roman" w:cs="Times New Roman"/>
                <w:sz w:val="24"/>
              </w:rPr>
              <w:t>počtu dlžníkov, ktorí nezlyhali,</w:t>
            </w:r>
            <w:r w:rsidR="00A3389E">
              <w:rPr>
                <w:rFonts w:ascii="Times New Roman" w:hAnsi="Times New Roman" w:cs="Times New Roman"/>
                <w:sz w:val="24"/>
              </w:rPr>
              <w:t xml:space="preserve"> s </w:t>
            </w:r>
            <w:r w:rsidRPr="00A3389E">
              <w:rPr>
                <w:rFonts w:ascii="Times New Roman" w:hAnsi="Times New Roman" w:cs="Times New Roman"/>
                <w:sz w:val="24"/>
              </w:rPr>
              <w:t>akýmkoľvek kreditným záväzkom pozorovaným na začiatku jednoročného obdobia pozorovania (začiatok predchádzajúceho obdobia zverejňovania informácií, t. j. začiatok roka pred referenčným dátumom zverejňovania informácií);</w:t>
            </w:r>
            <w:r w:rsidR="00A3389E">
              <w:rPr>
                <w:rFonts w:ascii="Times New Roman" w:hAnsi="Times New Roman" w:cs="Times New Roman"/>
                <w:sz w:val="24"/>
              </w:rPr>
              <w:t xml:space="preserve"> v </w:t>
            </w:r>
            <w:r w:rsidRPr="00A3389E">
              <w:rPr>
                <w:rFonts w:ascii="Times New Roman" w:hAnsi="Times New Roman" w:cs="Times New Roman"/>
                <w:sz w:val="24"/>
              </w:rPr>
              <w:t>tejto súvislosti sa kreditný záväzok vzťahuje na obe tieto položky: i) každú súvahovú položku vrátane akejkoľvek hodnoty istiny, úroku</w:t>
            </w:r>
            <w:r w:rsidR="00A3389E">
              <w:rPr>
                <w:rFonts w:ascii="Times New Roman" w:hAnsi="Times New Roman" w:cs="Times New Roman"/>
                <w:sz w:val="24"/>
              </w:rPr>
              <w:t xml:space="preserve"> a </w:t>
            </w:r>
            <w:r w:rsidRPr="00A3389E">
              <w:rPr>
                <w:rFonts w:ascii="Times New Roman" w:hAnsi="Times New Roman" w:cs="Times New Roman"/>
                <w:sz w:val="24"/>
              </w:rPr>
              <w:t>poplatkov; ii) všetky podsúvahové položky vrátane záruk vydaných inštitúciou ako ručiteľom;</w:t>
            </w:r>
          </w:p>
          <w:p w14:paraId="72FFFC72" w14:textId="3BAB1831" w:rsidR="000646F8" w:rsidRPr="00A3389E" w:rsidRDefault="000646F8"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b) že do čitateľa sú zahrnutí všetci tí dlžníci zohľadnení</w:t>
            </w:r>
            <w:r w:rsidR="00A3389E">
              <w:rPr>
                <w:rFonts w:ascii="Times New Roman" w:hAnsi="Times New Roman" w:cs="Times New Roman"/>
                <w:sz w:val="24"/>
              </w:rPr>
              <w:t xml:space="preserve"> v </w:t>
            </w:r>
            <w:r w:rsidRPr="00A3389E">
              <w:rPr>
                <w:rFonts w:ascii="Times New Roman" w:hAnsi="Times New Roman" w:cs="Times New Roman"/>
                <w:sz w:val="24"/>
              </w:rPr>
              <w:t>menovateli,</w:t>
            </w:r>
            <w:r w:rsidR="00A3389E">
              <w:rPr>
                <w:rFonts w:ascii="Times New Roman" w:hAnsi="Times New Roman" w:cs="Times New Roman"/>
                <w:sz w:val="24"/>
              </w:rPr>
              <w:t xml:space="preserve"> v </w:t>
            </w:r>
            <w:r w:rsidRPr="00A3389E">
              <w:rPr>
                <w:rFonts w:ascii="Times New Roman" w:hAnsi="Times New Roman" w:cs="Times New Roman"/>
                <w:sz w:val="24"/>
              </w:rPr>
              <w:t>prípade ktorých došlo počas jednoročného obdobia pozorovania (rok pred referenčným dátumom zverejňovania informácií) aspoň</w:t>
            </w:r>
            <w:r w:rsidR="00A3389E">
              <w:rPr>
                <w:rFonts w:ascii="Times New Roman" w:hAnsi="Times New Roman" w:cs="Times New Roman"/>
                <w:sz w:val="24"/>
              </w:rPr>
              <w:t xml:space="preserve"> k </w:t>
            </w:r>
            <w:r w:rsidRPr="00A3389E">
              <w:rPr>
                <w:rFonts w:ascii="Times New Roman" w:hAnsi="Times New Roman" w:cs="Times New Roman"/>
                <w:sz w:val="24"/>
              </w:rPr>
              <w:t>jednému zlyhaniu.</w:t>
            </w:r>
          </w:p>
          <w:p w14:paraId="61849DF1" w14:textId="199B6B32"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Inštitúcie si na výpočet pozorovanej priemernej miery zlyhania zvolia vhodný prístup,</w:t>
            </w:r>
            <w:r w:rsidR="00A3389E">
              <w:rPr>
                <w:rFonts w:ascii="Times New Roman" w:hAnsi="Times New Roman" w:cs="Times New Roman"/>
                <w:sz w:val="24"/>
              </w:rPr>
              <w:t xml:space="preserve"> a </w:t>
            </w:r>
            <w:r w:rsidRPr="00A3389E">
              <w:rPr>
                <w:rFonts w:ascii="Times New Roman" w:hAnsi="Times New Roman" w:cs="Times New Roman"/>
                <w:sz w:val="24"/>
              </w:rPr>
              <w:t>to spomedzi prístupu založeného na prekrývajúcich sa jednoročných intervaloch</w:t>
            </w:r>
            <w:r w:rsidR="00A3389E">
              <w:rPr>
                <w:rFonts w:ascii="Times New Roman" w:hAnsi="Times New Roman" w:cs="Times New Roman"/>
                <w:sz w:val="24"/>
              </w:rPr>
              <w:t xml:space="preserve"> a </w:t>
            </w:r>
            <w:r w:rsidRPr="00A3389E">
              <w:rPr>
                <w:rFonts w:ascii="Times New Roman" w:hAnsi="Times New Roman" w:cs="Times New Roman"/>
                <w:sz w:val="24"/>
              </w:rPr>
              <w:t>prístupu založeného na neprekrývajúcich sa jednoročných intervaloch.</w:t>
            </w:r>
          </w:p>
        </w:tc>
      </w:tr>
      <w:tr w:rsidR="000646F8" w:rsidRPr="00A3389E" w14:paraId="34E87C9A" w14:textId="77777777" w:rsidTr="00155C96">
        <w:trPr>
          <w:gridAfter w:val="1"/>
          <w:wAfter w:w="28" w:type="dxa"/>
          <w:trHeight w:val="316"/>
        </w:trPr>
        <w:tc>
          <w:tcPr>
            <w:tcW w:w="1413" w:type="dxa"/>
          </w:tcPr>
          <w:p w14:paraId="61B69307"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f</w:t>
            </w:r>
          </w:p>
        </w:tc>
        <w:tc>
          <w:tcPr>
            <w:tcW w:w="7626" w:type="dxa"/>
          </w:tcPr>
          <w:p w14:paraId="34334D88" w14:textId="7C9B9B00" w:rsidR="000646F8" w:rsidRPr="00A3389E" w:rsidRDefault="000646F8" w:rsidP="00155C96">
            <w:pPr>
              <w:autoSpaceDE w:val="0"/>
              <w:autoSpaceDN w:val="0"/>
              <w:adjustRightInd w:val="0"/>
              <w:spacing w:after="120"/>
              <w:jc w:val="both"/>
              <w:rPr>
                <w:rFonts w:ascii="Times New Roman" w:eastAsia="Times New Roman" w:hAnsi="Times New Roman" w:cs="Times New Roman"/>
                <w:b/>
                <w:sz w:val="24"/>
              </w:rPr>
            </w:pPr>
            <w:r w:rsidRPr="00A3389E">
              <w:rPr>
                <w:rFonts w:ascii="Times New Roman" w:hAnsi="Times New Roman" w:cs="Times New Roman"/>
                <w:b/>
                <w:sz w:val="24"/>
              </w:rPr>
              <w:t>Expozíciami vážená priemerná PD (%)</w:t>
            </w:r>
          </w:p>
          <w:p w14:paraId="2F323A04" w14:textId="1F820CD9"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Expozíciami vážená priemerná PD (%), ako sa uvádza</w:t>
            </w:r>
            <w:r w:rsidR="00A3389E">
              <w:rPr>
                <w:rFonts w:ascii="Times New Roman" w:hAnsi="Times New Roman" w:cs="Times New Roman"/>
                <w:sz w:val="24"/>
              </w:rPr>
              <w:t xml:space="preserve"> v </w:t>
            </w:r>
            <w:r w:rsidRPr="00A3389E">
              <w:rPr>
                <w:rFonts w:ascii="Times New Roman" w:hAnsi="Times New Roman" w:cs="Times New Roman"/>
                <w:sz w:val="24"/>
              </w:rPr>
              <w:t>stĺpci f vzoru EU CR6; pri všetkých expozíciách zahrnutých</w:t>
            </w:r>
            <w:r w:rsidR="00A3389E">
              <w:rPr>
                <w:rFonts w:ascii="Times New Roman" w:hAnsi="Times New Roman" w:cs="Times New Roman"/>
                <w:sz w:val="24"/>
              </w:rPr>
              <w:t xml:space="preserve"> v </w:t>
            </w:r>
            <w:r w:rsidRPr="00A3389E">
              <w:rPr>
                <w:rFonts w:ascii="Times New Roman" w:hAnsi="Times New Roman" w:cs="Times New Roman"/>
                <w:sz w:val="24"/>
              </w:rPr>
              <w:t>každej skupine pevného rozsahu PD odhad priemernej PD každého dlžníka vážený hodnotou expozície po uplatnení konverzných faktorov úverov</w:t>
            </w:r>
            <w:r w:rsidR="00A3389E">
              <w:rPr>
                <w:rFonts w:ascii="Times New Roman" w:hAnsi="Times New Roman" w:cs="Times New Roman"/>
                <w:sz w:val="24"/>
              </w:rPr>
              <w:t xml:space="preserve"> a </w:t>
            </w:r>
            <w:r w:rsidRPr="00A3389E">
              <w:rPr>
                <w:rFonts w:ascii="Times New Roman" w:hAnsi="Times New Roman" w:cs="Times New Roman"/>
                <w:sz w:val="24"/>
              </w:rPr>
              <w:t>zmierňovania kreditného rizika, ako sa uvádza</w:t>
            </w:r>
            <w:r w:rsidR="00A3389E">
              <w:rPr>
                <w:rFonts w:ascii="Times New Roman" w:hAnsi="Times New Roman" w:cs="Times New Roman"/>
                <w:sz w:val="24"/>
              </w:rPr>
              <w:t xml:space="preserve"> v </w:t>
            </w:r>
            <w:r w:rsidRPr="00A3389E">
              <w:rPr>
                <w:rFonts w:ascii="Times New Roman" w:hAnsi="Times New Roman" w:cs="Times New Roman"/>
                <w:sz w:val="24"/>
              </w:rPr>
              <w:t>stĺpci e vzoru EU CR6.</w:t>
            </w:r>
          </w:p>
        </w:tc>
      </w:tr>
      <w:tr w:rsidR="000646F8" w:rsidRPr="00A3389E" w14:paraId="35C8B720" w14:textId="77777777" w:rsidTr="00155C96">
        <w:trPr>
          <w:gridAfter w:val="1"/>
          <w:wAfter w:w="28" w:type="dxa"/>
          <w:trHeight w:val="316"/>
        </w:trPr>
        <w:tc>
          <w:tcPr>
            <w:tcW w:w="1413" w:type="dxa"/>
          </w:tcPr>
          <w:p w14:paraId="5600EEEB"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t>g</w:t>
            </w:r>
          </w:p>
        </w:tc>
        <w:tc>
          <w:tcPr>
            <w:tcW w:w="7626" w:type="dxa"/>
          </w:tcPr>
          <w:p w14:paraId="7CDA9871" w14:textId="31B4106B" w:rsidR="000646F8" w:rsidRPr="00A3389E" w:rsidRDefault="000646F8" w:rsidP="00155C96">
            <w:pPr>
              <w:autoSpaceDE w:val="0"/>
              <w:autoSpaceDN w:val="0"/>
              <w:adjustRightInd w:val="0"/>
              <w:spacing w:after="120"/>
              <w:rPr>
                <w:rFonts w:ascii="Times New Roman" w:eastAsia="Times New Roman" w:hAnsi="Times New Roman" w:cs="Times New Roman"/>
                <w:b/>
                <w:sz w:val="24"/>
              </w:rPr>
            </w:pPr>
            <w:r w:rsidRPr="00A3389E">
              <w:rPr>
                <w:rFonts w:ascii="Times New Roman" w:hAnsi="Times New Roman" w:cs="Times New Roman"/>
                <w:b/>
                <w:sz w:val="24"/>
              </w:rPr>
              <w:t>Priemerná PD</w:t>
            </w:r>
            <w:r w:rsidR="00A3389E">
              <w:rPr>
                <w:rFonts w:ascii="Times New Roman" w:hAnsi="Times New Roman" w:cs="Times New Roman"/>
                <w:b/>
                <w:sz w:val="24"/>
              </w:rPr>
              <w:t xml:space="preserve"> k </w:t>
            </w:r>
            <w:r w:rsidRPr="00A3389E">
              <w:rPr>
                <w:rFonts w:ascii="Times New Roman" w:hAnsi="Times New Roman" w:cs="Times New Roman"/>
                <w:b/>
                <w:sz w:val="24"/>
              </w:rPr>
              <w:t>dátumu zverejnenia (%)</w:t>
            </w:r>
          </w:p>
          <w:p w14:paraId="6917168B" w14:textId="64D8EBDA" w:rsidR="000646F8" w:rsidRPr="00A3389E" w:rsidRDefault="000646F8"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Aritmetický priemer PD na začiatku obdobia zverejňovania informácií dlžníkov, ktorí patria do skupiny pevného rozsahu PD</w:t>
            </w:r>
            <w:r w:rsidR="00A3389E">
              <w:rPr>
                <w:rFonts w:ascii="Times New Roman" w:hAnsi="Times New Roman" w:cs="Times New Roman"/>
                <w:sz w:val="24"/>
              </w:rPr>
              <w:t xml:space="preserve"> a </w:t>
            </w:r>
            <w:r w:rsidRPr="00A3389E">
              <w:rPr>
                <w:rFonts w:ascii="Times New Roman" w:hAnsi="Times New Roman" w:cs="Times New Roman"/>
                <w:sz w:val="24"/>
              </w:rPr>
              <w:t>sú započítaní</w:t>
            </w:r>
            <w:r w:rsidR="00A3389E">
              <w:rPr>
                <w:rFonts w:ascii="Times New Roman" w:hAnsi="Times New Roman" w:cs="Times New Roman"/>
                <w:sz w:val="24"/>
              </w:rPr>
              <w:t xml:space="preserve"> v </w:t>
            </w:r>
            <w:r w:rsidRPr="00A3389E">
              <w:rPr>
                <w:rFonts w:ascii="Times New Roman" w:hAnsi="Times New Roman" w:cs="Times New Roman"/>
                <w:sz w:val="24"/>
              </w:rPr>
              <w:t>stĺpci d (priemer vážený počtom dlžníkov).</w:t>
            </w:r>
          </w:p>
        </w:tc>
      </w:tr>
      <w:tr w:rsidR="000646F8" w:rsidRPr="00A3389E" w14:paraId="26F2C08B" w14:textId="77777777" w:rsidTr="00155C96">
        <w:trPr>
          <w:gridAfter w:val="1"/>
          <w:wAfter w:w="28" w:type="dxa"/>
          <w:trHeight w:val="316"/>
        </w:trPr>
        <w:tc>
          <w:tcPr>
            <w:tcW w:w="1413" w:type="dxa"/>
          </w:tcPr>
          <w:p w14:paraId="70261E4A" w14:textId="77777777" w:rsidR="000646F8" w:rsidRPr="00A3389E" w:rsidRDefault="000646F8" w:rsidP="00155C96">
            <w:pPr>
              <w:autoSpaceDE w:val="0"/>
              <w:autoSpaceDN w:val="0"/>
              <w:adjustRightInd w:val="0"/>
              <w:spacing w:after="120"/>
              <w:rPr>
                <w:rFonts w:ascii="Times New Roman" w:eastAsia="Times New Roman" w:hAnsi="Times New Roman" w:cs="Times New Roman"/>
                <w:sz w:val="24"/>
              </w:rPr>
            </w:pPr>
            <w:r w:rsidRPr="00A3389E">
              <w:rPr>
                <w:rFonts w:ascii="Times New Roman" w:hAnsi="Times New Roman" w:cs="Times New Roman"/>
                <w:sz w:val="24"/>
              </w:rPr>
              <w:lastRenderedPageBreak/>
              <w:t>h</w:t>
            </w:r>
          </w:p>
        </w:tc>
        <w:tc>
          <w:tcPr>
            <w:tcW w:w="7626" w:type="dxa"/>
          </w:tcPr>
          <w:p w14:paraId="0164EAA8" w14:textId="19B3621F" w:rsidR="000646F8" w:rsidRPr="00A3389E" w:rsidRDefault="000646F8" w:rsidP="00155C96">
            <w:pPr>
              <w:spacing w:after="120"/>
              <w:rPr>
                <w:rFonts w:ascii="Times New Roman" w:eastAsia="Times New Roman" w:hAnsi="Times New Roman" w:cs="Times New Roman"/>
                <w:b/>
                <w:sz w:val="24"/>
              </w:rPr>
            </w:pPr>
            <w:r w:rsidRPr="00A3389E">
              <w:rPr>
                <w:rFonts w:ascii="Times New Roman" w:hAnsi="Times New Roman" w:cs="Times New Roman"/>
                <w:b/>
                <w:sz w:val="24"/>
              </w:rPr>
              <w:t>Priemerná historická ročná miera zlyhania (%)</w:t>
            </w:r>
          </w:p>
          <w:p w14:paraId="178AE68E" w14:textId="77777777" w:rsidR="000646F8" w:rsidRPr="00A3389E" w:rsidRDefault="000646F8" w:rsidP="00155C96">
            <w:pPr>
              <w:spacing w:after="120"/>
              <w:jc w:val="both"/>
              <w:rPr>
                <w:rFonts w:ascii="Times New Roman" w:eastAsia="Times New Roman" w:hAnsi="Times New Roman" w:cs="Times New Roman"/>
                <w:sz w:val="24"/>
              </w:rPr>
            </w:pPr>
            <w:r w:rsidRPr="00A3389E">
              <w:rPr>
                <w:rFonts w:ascii="Times New Roman" w:hAnsi="Times New Roman" w:cs="Times New Roman"/>
                <w:sz w:val="24"/>
              </w:rPr>
              <w:t>Jednoduchý priemer ročnej miery zlyhania aspoň za posledných päť rokov (dlžníci na začiatku každého roka, ktorí počas daného roka zlyhali/celkový počet dlžníkov na začiatku roka).</w:t>
            </w:r>
          </w:p>
          <w:p w14:paraId="46BB9FEA" w14:textId="685B19F4" w:rsidR="000646F8" w:rsidRPr="00A3389E" w:rsidRDefault="000646F8" w:rsidP="00155C96">
            <w:pPr>
              <w:spacing w:after="120"/>
              <w:jc w:val="both"/>
              <w:rPr>
                <w:rFonts w:ascii="Times New Roman" w:hAnsi="Times New Roman" w:cs="Times New Roman"/>
                <w:sz w:val="24"/>
              </w:rPr>
            </w:pPr>
            <w:r w:rsidRPr="00A3389E">
              <w:rPr>
                <w:rFonts w:ascii="Times New Roman" w:hAnsi="Times New Roman" w:cs="Times New Roman"/>
                <w:sz w:val="24"/>
              </w:rPr>
              <w:t>Inštitúcia môže použiť dlhšie historické obdobie, ktoré je</w:t>
            </w:r>
            <w:r w:rsidR="00A3389E">
              <w:rPr>
                <w:rFonts w:ascii="Times New Roman" w:hAnsi="Times New Roman" w:cs="Times New Roman"/>
                <w:sz w:val="24"/>
              </w:rPr>
              <w:t xml:space="preserve"> v </w:t>
            </w:r>
            <w:r w:rsidRPr="00A3389E">
              <w:rPr>
                <w:rFonts w:ascii="Times New Roman" w:hAnsi="Times New Roman" w:cs="Times New Roman"/>
                <w:sz w:val="24"/>
              </w:rPr>
              <w:t>súlade so skutočnou praxou inštitúcie</w:t>
            </w:r>
            <w:r w:rsidR="00A3389E">
              <w:rPr>
                <w:rFonts w:ascii="Times New Roman" w:hAnsi="Times New Roman" w:cs="Times New Roman"/>
                <w:sz w:val="24"/>
              </w:rPr>
              <w:t xml:space="preserve"> v </w:t>
            </w:r>
            <w:r w:rsidRPr="00A3389E">
              <w:rPr>
                <w:rFonts w:ascii="Times New Roman" w:hAnsi="Times New Roman" w:cs="Times New Roman"/>
                <w:sz w:val="24"/>
              </w:rPr>
              <w:t>oblasti riadenia rizík. Ak inštitúcia používa dlhšie historické obdobie, vysvetlí</w:t>
            </w:r>
            <w:r w:rsidR="00A3389E">
              <w:rPr>
                <w:rFonts w:ascii="Times New Roman" w:hAnsi="Times New Roman" w:cs="Times New Roman"/>
                <w:sz w:val="24"/>
              </w:rPr>
              <w:t xml:space="preserve"> a </w:t>
            </w:r>
            <w:r w:rsidRPr="00A3389E">
              <w:rPr>
                <w:rFonts w:ascii="Times New Roman" w:hAnsi="Times New Roman" w:cs="Times New Roman"/>
                <w:sz w:val="24"/>
              </w:rPr>
              <w:t>objasní to</w:t>
            </w:r>
            <w:r w:rsidR="00A3389E">
              <w:rPr>
                <w:rFonts w:ascii="Times New Roman" w:hAnsi="Times New Roman" w:cs="Times New Roman"/>
                <w:sz w:val="24"/>
              </w:rPr>
              <w:t xml:space="preserve"> v </w:t>
            </w:r>
            <w:r w:rsidRPr="00A3389E">
              <w:rPr>
                <w:rFonts w:ascii="Times New Roman" w:hAnsi="Times New Roman" w:cs="Times New Roman"/>
                <w:sz w:val="24"/>
              </w:rPr>
              <w:t>sprievodnom opise</w:t>
            </w:r>
            <w:r w:rsidR="00A3389E">
              <w:rPr>
                <w:rFonts w:ascii="Times New Roman" w:hAnsi="Times New Roman" w:cs="Times New Roman"/>
                <w:sz w:val="24"/>
              </w:rPr>
              <w:t xml:space="preserve"> k </w:t>
            </w:r>
            <w:r w:rsidRPr="00A3389E">
              <w:rPr>
                <w:rFonts w:ascii="Times New Roman" w:hAnsi="Times New Roman" w:cs="Times New Roman"/>
                <w:sz w:val="24"/>
              </w:rPr>
              <w:t>danému vzoru.</w:t>
            </w:r>
          </w:p>
        </w:tc>
      </w:tr>
    </w:tbl>
    <w:p w14:paraId="49D15F46" w14:textId="77777777" w:rsidR="000646F8" w:rsidRPr="00A3389E" w:rsidRDefault="000646F8" w:rsidP="000646F8">
      <w:pPr>
        <w:spacing w:after="120"/>
        <w:rPr>
          <w:rFonts w:ascii="Times New Roman" w:hAnsi="Times New Roman" w:cs="Times New Roman"/>
          <w:sz w:val="24"/>
        </w:rPr>
      </w:pPr>
    </w:p>
    <w:p w14:paraId="0040E4EA" w14:textId="77777777" w:rsidR="000646F8" w:rsidRPr="00A3389E" w:rsidRDefault="000646F8" w:rsidP="000646F8">
      <w:pPr>
        <w:spacing w:after="120"/>
        <w:rPr>
          <w:rFonts w:ascii="Times New Roman" w:hAnsi="Times New Roman" w:cs="Times New Roman"/>
          <w:sz w:val="24"/>
        </w:rPr>
      </w:pPr>
    </w:p>
    <w:p w14:paraId="549A885F" w14:textId="2B888610" w:rsidR="000646F8" w:rsidRPr="00A3389E" w:rsidRDefault="00CD362D" w:rsidP="000646F8">
      <w:pPr>
        <w:spacing w:after="120"/>
        <w:rPr>
          <w:rFonts w:ascii="Times New Roman" w:hAnsi="Times New Roman" w:cs="Times New Roman"/>
          <w:b/>
          <w:sz w:val="24"/>
        </w:rPr>
      </w:pPr>
      <w:r w:rsidRPr="00A3389E">
        <w:rPr>
          <w:rFonts w:ascii="Times New Roman" w:hAnsi="Times New Roman" w:cs="Times New Roman"/>
          <w:b/>
          <w:sz w:val="24"/>
        </w:rPr>
        <w:t>Vzor EU CR9.1 – Prístup IRB – Spätné testovanie PD podľa tried expozícií [len pre odhady PD</w:t>
      </w:r>
      <w:r w:rsidR="00A3389E">
        <w:rPr>
          <w:rFonts w:ascii="Times New Roman" w:hAnsi="Times New Roman" w:cs="Times New Roman"/>
          <w:b/>
          <w:sz w:val="24"/>
        </w:rPr>
        <w:t xml:space="preserve"> v </w:t>
      </w:r>
      <w:r w:rsidRPr="00A3389E">
        <w:rPr>
          <w:rFonts w:ascii="Times New Roman" w:hAnsi="Times New Roman" w:cs="Times New Roman"/>
          <w:b/>
          <w:sz w:val="24"/>
        </w:rPr>
        <w:t>súlade</w:t>
      </w:r>
      <w:r w:rsidR="00A3389E">
        <w:rPr>
          <w:rFonts w:ascii="Times New Roman" w:hAnsi="Times New Roman" w:cs="Times New Roman"/>
          <w:b/>
          <w:sz w:val="24"/>
        </w:rPr>
        <w:t xml:space="preserve"> s </w:t>
      </w:r>
      <w:r w:rsidRPr="00A3389E">
        <w:rPr>
          <w:rFonts w:ascii="Times New Roman" w:hAnsi="Times New Roman" w:cs="Times New Roman"/>
          <w:b/>
          <w:sz w:val="24"/>
        </w:rPr>
        <w:t>článkom 180 ods. 1 písm. f) CRR].</w:t>
      </w:r>
    </w:p>
    <w:p w14:paraId="476E9A86" w14:textId="77777777" w:rsidR="000646F8" w:rsidRPr="00A3389E" w:rsidRDefault="000646F8" w:rsidP="000646F8">
      <w:pPr>
        <w:spacing w:after="120"/>
        <w:rPr>
          <w:rFonts w:ascii="Times New Roman" w:hAnsi="Times New Roman" w:cs="Times New Roman"/>
          <w:sz w:val="24"/>
        </w:rPr>
      </w:pPr>
    </w:p>
    <w:p w14:paraId="792AF220" w14:textId="2B5151C5" w:rsidR="000646F8" w:rsidRPr="00A3389E" w:rsidRDefault="00A3389E" w:rsidP="00A3389E">
      <w:pPr>
        <w:spacing w:after="120"/>
        <w:ind w:left="714" w:hanging="357"/>
        <w:jc w:val="both"/>
        <w:rPr>
          <w:rFonts w:ascii="Times New Roman" w:hAnsi="Times New Roman"/>
          <w:sz w:val="24"/>
        </w:rPr>
      </w:pPr>
      <w:r w:rsidRPr="00A3389E">
        <w:rPr>
          <w:rFonts w:ascii="Times New Roman" w:eastAsia="Calibri" w:hAnsi="Times New Roman" w:cs="Times New Roman"/>
          <w:sz w:val="24"/>
          <w:szCs w:val="22"/>
        </w:rPr>
        <w:t>15.</w:t>
      </w:r>
      <w:r w:rsidRPr="00A3389E">
        <w:rPr>
          <w:rFonts w:ascii="Times New Roman" w:eastAsia="Calibri" w:hAnsi="Times New Roman" w:cs="Times New Roman"/>
          <w:sz w:val="24"/>
          <w:szCs w:val="22"/>
        </w:rPr>
        <w:tab/>
      </w:r>
      <w:r w:rsidR="000646F8" w:rsidRPr="00A3389E">
        <w:rPr>
          <w:rFonts w:ascii="Times New Roman" w:hAnsi="Times New Roman"/>
          <w:sz w:val="24"/>
        </w:rPr>
        <w:t>V prípade, že inštitúcie pri odhade PD uplatňujú článok 180 ods. 1 písm. f) CRR, zverejňujú popri vzore EU CR9 aj informácie vo vzore EU CR9.1,</w:t>
      </w:r>
      <w:r>
        <w:rPr>
          <w:rFonts w:ascii="Times New Roman" w:hAnsi="Times New Roman"/>
          <w:sz w:val="24"/>
        </w:rPr>
        <w:t xml:space="preserve"> a </w:t>
      </w:r>
      <w:r w:rsidR="000646F8" w:rsidRPr="00A3389E">
        <w:rPr>
          <w:rFonts w:ascii="Times New Roman" w:hAnsi="Times New Roman"/>
          <w:sz w:val="24"/>
        </w:rPr>
        <w:t>to len pre odhady PD</w:t>
      </w:r>
      <w:r>
        <w:rPr>
          <w:rFonts w:ascii="Times New Roman" w:hAnsi="Times New Roman"/>
          <w:sz w:val="24"/>
        </w:rPr>
        <w:t xml:space="preserve"> v </w:t>
      </w:r>
      <w:r w:rsidR="000646F8" w:rsidRPr="00A3389E">
        <w:rPr>
          <w:rFonts w:ascii="Times New Roman" w:hAnsi="Times New Roman"/>
          <w:sz w:val="24"/>
        </w:rPr>
        <w:t>súlade</w:t>
      </w:r>
      <w:r>
        <w:rPr>
          <w:rFonts w:ascii="Times New Roman" w:hAnsi="Times New Roman"/>
          <w:sz w:val="24"/>
        </w:rPr>
        <w:t xml:space="preserve"> s </w:t>
      </w:r>
      <w:r w:rsidR="000646F8" w:rsidRPr="00A3389E">
        <w:rPr>
          <w:rFonts w:ascii="Times New Roman" w:hAnsi="Times New Roman"/>
          <w:sz w:val="24"/>
        </w:rPr>
        <w:t>tým istým článkom. Inštrukcie sú rovnaké ako pri vzore EU CR9</w:t>
      </w:r>
      <w:r>
        <w:rPr>
          <w:rFonts w:ascii="Times New Roman" w:hAnsi="Times New Roman"/>
          <w:sz w:val="24"/>
        </w:rPr>
        <w:t xml:space="preserve"> s </w:t>
      </w:r>
      <w:r w:rsidR="000646F8" w:rsidRPr="00A3389E">
        <w:rPr>
          <w:rFonts w:ascii="Times New Roman" w:hAnsi="Times New Roman"/>
          <w:sz w:val="24"/>
        </w:rPr>
        <w:t>týmito výnimkami:</w:t>
      </w:r>
    </w:p>
    <w:p w14:paraId="7F97A198" w14:textId="3FCE85DB" w:rsidR="000646F8" w:rsidRPr="00A3389E" w:rsidRDefault="00A60806" w:rsidP="00A3389E">
      <w:pPr>
        <w:spacing w:after="120"/>
        <w:ind w:left="1440" w:hanging="360"/>
        <w:rPr>
          <w:rFonts w:ascii="Times New Roman" w:hAnsi="Times New Roman"/>
          <w:sz w:val="24"/>
        </w:rPr>
      </w:pPr>
      <w:r w:rsidRPr="00A3389E">
        <w:rPr>
          <w:rFonts w:ascii="Times New Roman" w:eastAsia="Calibri" w:hAnsi="Times New Roman" w:cs="Times New Roman"/>
          <w:sz w:val="24"/>
          <w:szCs w:val="22"/>
        </w:rPr>
        <w:t>a</w:t>
      </w:r>
      <w:r>
        <w:rPr>
          <w:rFonts w:ascii="Times New Roman" w:eastAsia="Calibri" w:hAnsi="Times New Roman" w:cs="Times New Roman"/>
          <w:sz w:val="24"/>
          <w:szCs w:val="22"/>
        </w:rPr>
        <w:t>)</w:t>
      </w:r>
      <w:r w:rsidRPr="00A3389E">
        <w:rPr>
          <w:rFonts w:ascii="Times New Roman" w:eastAsia="Calibri" w:hAnsi="Times New Roman" w:cs="Times New Roman"/>
          <w:sz w:val="24"/>
          <w:szCs w:val="22"/>
        </w:rPr>
        <w:tab/>
      </w:r>
      <w:r w:rsidR="000646F8" w:rsidRPr="00A3389E">
        <w:rPr>
          <w:rFonts w:ascii="Times New Roman" w:hAnsi="Times New Roman"/>
          <w:sz w:val="24"/>
        </w:rPr>
        <w:t>inštitúcie zverejňujú</w:t>
      </w:r>
      <w:r w:rsidR="00A3389E">
        <w:rPr>
          <w:rFonts w:ascii="Times New Roman" w:hAnsi="Times New Roman"/>
          <w:sz w:val="24"/>
        </w:rPr>
        <w:t xml:space="preserve"> v </w:t>
      </w:r>
      <w:r w:rsidR="000646F8" w:rsidRPr="00A3389E">
        <w:rPr>
          <w:rFonts w:ascii="Times New Roman" w:hAnsi="Times New Roman"/>
          <w:sz w:val="24"/>
        </w:rPr>
        <w:t xml:space="preserve">stĺpci </w:t>
      </w:r>
      <w:r w:rsidR="000646F8" w:rsidRPr="00A3389E">
        <w:rPr>
          <w:rFonts w:ascii="Times New Roman" w:hAnsi="Times New Roman"/>
          <w:i/>
          <w:sz w:val="24"/>
        </w:rPr>
        <w:t>b</w:t>
      </w:r>
      <w:r w:rsidR="000646F8" w:rsidRPr="00A3389E">
        <w:rPr>
          <w:rFonts w:ascii="Times New Roman" w:hAnsi="Times New Roman"/>
          <w:sz w:val="24"/>
        </w:rPr>
        <w:t xml:space="preserve"> tohto vzoru rozsahy PD</w:t>
      </w:r>
      <w:r w:rsidR="00A3389E">
        <w:rPr>
          <w:rFonts w:ascii="Times New Roman" w:hAnsi="Times New Roman"/>
          <w:sz w:val="24"/>
        </w:rPr>
        <w:t xml:space="preserve"> v </w:t>
      </w:r>
      <w:r w:rsidR="000646F8" w:rsidRPr="00A3389E">
        <w:rPr>
          <w:rFonts w:ascii="Times New Roman" w:hAnsi="Times New Roman"/>
          <w:sz w:val="24"/>
        </w:rPr>
        <w:t>súlade so svojimi internými stupňami, ktoré priraďujú</w:t>
      </w:r>
      <w:r w:rsidR="00A3389E">
        <w:rPr>
          <w:rFonts w:ascii="Times New Roman" w:hAnsi="Times New Roman"/>
          <w:sz w:val="24"/>
        </w:rPr>
        <w:t xml:space="preserve"> k </w:t>
      </w:r>
      <w:r w:rsidR="000646F8" w:rsidRPr="00A3389E">
        <w:rPr>
          <w:rFonts w:ascii="Times New Roman" w:hAnsi="Times New Roman"/>
          <w:sz w:val="24"/>
        </w:rPr>
        <w:t>stupnici používanej externou ECAI, namiesto pevného externého rozsahu PD;</w:t>
      </w:r>
    </w:p>
    <w:p w14:paraId="771F3AAD" w14:textId="198E3F8F" w:rsidR="000646F8" w:rsidRPr="00A3389E" w:rsidRDefault="00A60806" w:rsidP="00A3389E">
      <w:pPr>
        <w:spacing w:after="120"/>
        <w:ind w:left="1440" w:hanging="360"/>
        <w:rPr>
          <w:rFonts w:ascii="Times New Roman" w:hAnsi="Times New Roman"/>
          <w:sz w:val="24"/>
        </w:rPr>
      </w:pPr>
      <w:r w:rsidRPr="00A3389E">
        <w:rPr>
          <w:rFonts w:ascii="Times New Roman" w:eastAsia="Calibri" w:hAnsi="Times New Roman" w:cs="Times New Roman"/>
          <w:sz w:val="24"/>
          <w:szCs w:val="22"/>
        </w:rPr>
        <w:t>b</w:t>
      </w:r>
      <w:r>
        <w:rPr>
          <w:rFonts w:ascii="Times New Roman" w:eastAsia="Calibri" w:hAnsi="Times New Roman" w:cs="Times New Roman"/>
          <w:sz w:val="24"/>
          <w:szCs w:val="22"/>
        </w:rPr>
        <w:t>)</w:t>
      </w:r>
      <w:r w:rsidRPr="00A3389E">
        <w:rPr>
          <w:rFonts w:ascii="Times New Roman" w:eastAsia="Calibri" w:hAnsi="Times New Roman" w:cs="Times New Roman"/>
          <w:sz w:val="24"/>
          <w:szCs w:val="22"/>
        </w:rPr>
        <w:tab/>
      </w:r>
      <w:r w:rsidR="000646F8" w:rsidRPr="00A3389E">
        <w:rPr>
          <w:rFonts w:ascii="Times New Roman" w:hAnsi="Times New Roman"/>
          <w:sz w:val="24"/>
        </w:rPr>
        <w:t>inštitúcie zverejňujú jeden stĺpec za každú zohľadnenú ECAI podľa článku 180 ods. 1 písm. f) CRR. Inštitúcie zahŕňajú do týchto stĺpcov externý rating, ku ktorému sa priraďujú ich interné rozsahy PD.</w:t>
      </w:r>
      <w:r w:rsidR="000646F8" w:rsidRPr="00A3389E">
        <w:rPr>
          <w:rFonts w:ascii="Times New Roman" w:hAnsi="Times New Roman"/>
        </w:rPr>
        <w:tab/>
      </w:r>
    </w:p>
    <w:p w14:paraId="041B05CC" w14:textId="77777777" w:rsidR="000646F8" w:rsidRPr="00A3389E" w:rsidRDefault="000646F8" w:rsidP="000646F8">
      <w:pPr>
        <w:spacing w:after="120"/>
        <w:rPr>
          <w:rFonts w:ascii="Times New Roman" w:hAnsi="Times New Roman" w:cs="Times New Roman"/>
          <w:sz w:val="24"/>
        </w:rPr>
      </w:pPr>
    </w:p>
    <w:p w14:paraId="4014185A" w14:textId="77777777" w:rsidR="0081579E" w:rsidRPr="00A3389E" w:rsidRDefault="0081579E">
      <w:pPr>
        <w:rPr>
          <w:rFonts w:ascii="Times New Roman" w:hAnsi="Times New Roman" w:cs="Times New Roman"/>
          <w:b/>
          <w:sz w:val="24"/>
        </w:rPr>
        <w:sectPr w:rsidR="0081579E" w:rsidRPr="00A3389E" w:rsidSect="00155C96">
          <w:pgSz w:w="11900" w:h="16840"/>
          <w:pgMar w:top="2268" w:right="1418" w:bottom="1134" w:left="1701" w:header="709" w:footer="709" w:gutter="0"/>
          <w:pgNumType w:start="1" w:chapStyle="1"/>
          <w:cols w:space="708"/>
          <w:docGrid w:linePitch="299"/>
        </w:sectPr>
      </w:pPr>
    </w:p>
    <w:p w14:paraId="61BA9C7E" w14:textId="3AAE6C94" w:rsidR="00F75FFC" w:rsidRPr="00A3389E" w:rsidRDefault="00F75FFC" w:rsidP="00F75FFC">
      <w:pPr>
        <w:pStyle w:val="Annexetitre"/>
        <w:spacing w:before="0"/>
      </w:pPr>
      <w:r w:rsidRPr="00A3389E">
        <w:lastRenderedPageBreak/>
        <w:t>PRÍLOHA XXIV – Zverejňovanie informácií</w:t>
      </w:r>
      <w:r w:rsidR="00A3389E">
        <w:t xml:space="preserve"> o </w:t>
      </w:r>
      <w:r w:rsidRPr="00A3389E">
        <w:t>expozíciách vo forme špecializovaného financovania</w:t>
      </w:r>
      <w:r w:rsidR="00A3389E">
        <w:t xml:space="preserve"> a </w:t>
      </w:r>
      <w:r w:rsidRPr="00A3389E">
        <w:t>kapitálových expozíciách</w:t>
      </w:r>
      <w:r w:rsidR="00A3389E">
        <w:t xml:space="preserve"> v </w:t>
      </w:r>
      <w:r w:rsidRPr="00A3389E">
        <w:t>rámci jednoduchého prístupu založeného na použití rizikovej váhy</w:t>
      </w:r>
    </w:p>
    <w:p w14:paraId="4F127519" w14:textId="77777777" w:rsidR="00F75FFC" w:rsidRPr="00A3389E" w:rsidRDefault="00F75FFC" w:rsidP="00F75FFC">
      <w:pPr>
        <w:spacing w:after="120"/>
        <w:rPr>
          <w:rFonts w:ascii="Times New Roman" w:hAnsi="Times New Roman" w:cs="Times New Roman"/>
          <w:sz w:val="24"/>
        </w:rPr>
      </w:pPr>
    </w:p>
    <w:p w14:paraId="12232C6E" w14:textId="1770D928" w:rsidR="00F75FFC" w:rsidRPr="00A3389E" w:rsidRDefault="00CD362D" w:rsidP="00F75FFC">
      <w:pPr>
        <w:spacing w:after="120"/>
        <w:ind w:left="3"/>
        <w:rPr>
          <w:rFonts w:ascii="Times New Roman" w:hAnsi="Times New Roman" w:cs="Times New Roman"/>
          <w:sz w:val="24"/>
        </w:rPr>
      </w:pPr>
      <w:r w:rsidRPr="00A3389E">
        <w:rPr>
          <w:rFonts w:ascii="Times New Roman" w:hAnsi="Times New Roman" w:cs="Times New Roman"/>
          <w:b/>
          <w:sz w:val="24"/>
        </w:rPr>
        <w:t>Vzor EU CR10 – Expozície vo forme špecializovaného financovania</w:t>
      </w:r>
      <w:r w:rsidR="00A3389E">
        <w:rPr>
          <w:rFonts w:ascii="Times New Roman" w:hAnsi="Times New Roman" w:cs="Times New Roman"/>
          <w:b/>
          <w:sz w:val="24"/>
        </w:rPr>
        <w:t xml:space="preserve"> a </w:t>
      </w:r>
      <w:r w:rsidRPr="00A3389E">
        <w:rPr>
          <w:rFonts w:ascii="Times New Roman" w:hAnsi="Times New Roman" w:cs="Times New Roman"/>
          <w:b/>
          <w:sz w:val="24"/>
        </w:rPr>
        <w:t>kapitálové expozície</w:t>
      </w:r>
      <w:r w:rsidR="00A3389E">
        <w:rPr>
          <w:rFonts w:ascii="Times New Roman" w:hAnsi="Times New Roman" w:cs="Times New Roman"/>
          <w:b/>
          <w:sz w:val="24"/>
        </w:rPr>
        <w:t xml:space="preserve"> v </w:t>
      </w:r>
      <w:r w:rsidRPr="00A3389E">
        <w:rPr>
          <w:rFonts w:ascii="Times New Roman" w:hAnsi="Times New Roman" w:cs="Times New Roman"/>
          <w:b/>
          <w:sz w:val="24"/>
        </w:rPr>
        <w:t>rámci jednoduchého prístupu založeného na použití rizikovej váhy.</w:t>
      </w:r>
      <w:r w:rsidRPr="00A3389E">
        <w:rPr>
          <w:rFonts w:ascii="Times New Roman" w:hAnsi="Times New Roman" w:cs="Times New Roman"/>
          <w:sz w:val="24"/>
        </w:rPr>
        <w:t xml:space="preserve"> Vzor</w:t>
      </w:r>
      <w:r w:rsidR="00A3389E">
        <w:rPr>
          <w:rFonts w:ascii="Times New Roman" w:hAnsi="Times New Roman" w:cs="Times New Roman"/>
          <w:sz w:val="24"/>
        </w:rPr>
        <w:t xml:space="preserve"> s </w:t>
      </w:r>
      <w:r w:rsidRPr="00A3389E">
        <w:rPr>
          <w:rFonts w:ascii="Times New Roman" w:hAnsi="Times New Roman" w:cs="Times New Roman"/>
          <w:sz w:val="24"/>
        </w:rPr>
        <w:t>pevným formátom.</w:t>
      </w:r>
    </w:p>
    <w:p w14:paraId="6A6C4476" w14:textId="23ECF87E" w:rsidR="00F75FFC" w:rsidRPr="00A3389E" w:rsidRDefault="00A3389E" w:rsidP="00A3389E">
      <w:pPr>
        <w:spacing w:after="120"/>
        <w:ind w:left="720" w:hanging="357"/>
        <w:jc w:val="both"/>
        <w:rPr>
          <w:rFonts w:ascii="Times New Roman" w:hAnsi="Times New Roman"/>
          <w:sz w:val="24"/>
        </w:rPr>
      </w:pPr>
      <w:r w:rsidRPr="00A3389E">
        <w:rPr>
          <w:rFonts w:ascii="Times New Roman" w:eastAsia="Calibri" w:hAnsi="Times New Roman" w:cs="Times New Roman"/>
          <w:sz w:val="24"/>
          <w:szCs w:val="22"/>
        </w:rPr>
        <w:t>1.</w:t>
      </w:r>
      <w:r w:rsidRPr="00A3389E">
        <w:rPr>
          <w:rFonts w:ascii="Times New Roman" w:eastAsia="Calibri" w:hAnsi="Times New Roman" w:cs="Times New Roman"/>
          <w:sz w:val="24"/>
          <w:szCs w:val="22"/>
        </w:rPr>
        <w:tab/>
      </w:r>
      <w:r w:rsidR="00F75FFC" w:rsidRPr="00A3389E">
        <w:rPr>
          <w:rFonts w:ascii="Times New Roman" w:hAnsi="Times New Roman"/>
          <w:sz w:val="24"/>
        </w:rPr>
        <w:t>Inštitúcie zverejňujú informácie uvedené</w:t>
      </w:r>
      <w:r>
        <w:rPr>
          <w:rFonts w:ascii="Times New Roman" w:hAnsi="Times New Roman"/>
          <w:sz w:val="24"/>
        </w:rPr>
        <w:t xml:space="preserve"> v </w:t>
      </w:r>
      <w:r w:rsidR="00F75FFC" w:rsidRPr="00A3389E">
        <w:rPr>
          <w:rFonts w:ascii="Times New Roman" w:hAnsi="Times New Roman"/>
          <w:sz w:val="24"/>
        </w:rPr>
        <w:t xml:space="preserve">článku 438 písm. e) nariadenia (EÚ) </w:t>
      </w:r>
      <w:r>
        <w:rPr>
          <w:rFonts w:ascii="Times New Roman" w:hAnsi="Times New Roman"/>
          <w:sz w:val="24"/>
        </w:rPr>
        <w:t>č. </w:t>
      </w:r>
      <w:r w:rsidR="00F75FFC" w:rsidRPr="00A3389E">
        <w:rPr>
          <w:rFonts w:ascii="Times New Roman" w:hAnsi="Times New Roman"/>
          <w:sz w:val="24"/>
        </w:rPr>
        <w:t>575/2013</w:t>
      </w:r>
      <w:r w:rsidR="00F75FFC" w:rsidRPr="00A3389E">
        <w:rPr>
          <w:rStyle w:val="FootnoteReference"/>
          <w:rFonts w:ascii="Times New Roman" w:hAnsi="Times New Roman" w:cs="Times New Roman"/>
        </w:rPr>
        <w:footnoteReference w:id="40"/>
      </w:r>
      <w:r w:rsidR="00F75FFC" w:rsidRPr="00A3389E">
        <w:rPr>
          <w:rFonts w:ascii="Times New Roman" w:hAnsi="Times New Roman"/>
          <w:sz w:val="24"/>
        </w:rPr>
        <w:t xml:space="preserve"> („CRR“) podľa pokynov uvedených nižšie</w:t>
      </w:r>
      <w:r>
        <w:rPr>
          <w:rFonts w:ascii="Times New Roman" w:hAnsi="Times New Roman"/>
          <w:sz w:val="24"/>
        </w:rPr>
        <w:t xml:space="preserve"> v </w:t>
      </w:r>
      <w:r w:rsidR="00F75FFC" w:rsidRPr="00A3389E">
        <w:rPr>
          <w:rFonts w:ascii="Times New Roman" w:hAnsi="Times New Roman"/>
          <w:sz w:val="24"/>
        </w:rPr>
        <w:t>tejto prílohe</w:t>
      </w:r>
      <w:r>
        <w:rPr>
          <w:rFonts w:ascii="Times New Roman" w:hAnsi="Times New Roman"/>
          <w:sz w:val="24"/>
        </w:rPr>
        <w:t xml:space="preserve"> s </w:t>
      </w:r>
      <w:r w:rsidR="00F75FFC" w:rsidRPr="00A3389E">
        <w:rPr>
          <w:rFonts w:ascii="Times New Roman" w:hAnsi="Times New Roman"/>
          <w:sz w:val="24"/>
        </w:rPr>
        <w:t>cieľom vyplniť vzor EU CR10, ktorý je uvedený</w:t>
      </w:r>
      <w:r>
        <w:rPr>
          <w:rFonts w:ascii="Times New Roman" w:hAnsi="Times New Roman"/>
          <w:sz w:val="24"/>
        </w:rPr>
        <w:t xml:space="preserve"> v </w:t>
      </w:r>
      <w:r w:rsidR="00F75FFC" w:rsidRPr="00A3389E">
        <w:rPr>
          <w:rFonts w:ascii="Times New Roman" w:hAnsi="Times New Roman"/>
          <w:sz w:val="24"/>
        </w:rPr>
        <w:t>prílohe XXIII</w:t>
      </w:r>
      <w:r>
        <w:rPr>
          <w:rFonts w:ascii="Times New Roman" w:hAnsi="Times New Roman"/>
          <w:sz w:val="24"/>
        </w:rPr>
        <w:t xml:space="preserve"> k </w:t>
      </w:r>
      <w:r w:rsidR="00F75FFC" w:rsidRPr="00A3389E">
        <w:rPr>
          <w:rFonts w:ascii="Times New Roman" w:hAnsi="Times New Roman"/>
          <w:sz w:val="24"/>
        </w:rPr>
        <w:t>tomuto vykonávaciemu nariadeniu. Inštitúcie zverejňujú:</w:t>
      </w:r>
    </w:p>
    <w:p w14:paraId="568B4E2A" w14:textId="40DCCA2D" w:rsidR="00F75FFC" w:rsidRPr="00A3389E" w:rsidRDefault="00A60806" w:rsidP="00A3389E">
      <w:pPr>
        <w:spacing w:after="120"/>
        <w:ind w:left="1440" w:hanging="360"/>
        <w:rPr>
          <w:rFonts w:ascii="Times New Roman" w:hAnsi="Times New Roman"/>
          <w:sz w:val="24"/>
        </w:rPr>
      </w:pPr>
      <w:r w:rsidRPr="00A3389E">
        <w:rPr>
          <w:rFonts w:ascii="Times New Roman" w:eastAsia="Calibri" w:hAnsi="Times New Roman" w:cs="Times New Roman"/>
          <w:sz w:val="24"/>
        </w:rPr>
        <w:t>a</w:t>
      </w:r>
      <w:r>
        <w:rPr>
          <w:rFonts w:ascii="Times New Roman" w:eastAsia="Calibri" w:hAnsi="Times New Roman" w:cs="Times New Roman"/>
          <w:sz w:val="24"/>
        </w:rPr>
        <w:t>)</w:t>
      </w:r>
      <w:r w:rsidRPr="00A3389E">
        <w:rPr>
          <w:rFonts w:ascii="Times New Roman" w:eastAsia="Calibri" w:hAnsi="Times New Roman" w:cs="Times New Roman"/>
          <w:sz w:val="24"/>
        </w:rPr>
        <w:tab/>
      </w:r>
      <w:r w:rsidR="00F75FFC" w:rsidRPr="00A3389E">
        <w:rPr>
          <w:rFonts w:ascii="Times New Roman" w:hAnsi="Times New Roman"/>
          <w:sz w:val="24"/>
        </w:rPr>
        <w:t>informácie</w:t>
      </w:r>
      <w:r w:rsidR="00A3389E">
        <w:rPr>
          <w:rFonts w:ascii="Times New Roman" w:hAnsi="Times New Roman"/>
          <w:sz w:val="24"/>
        </w:rPr>
        <w:t xml:space="preserve"> o </w:t>
      </w:r>
      <w:r w:rsidR="00F75FFC" w:rsidRPr="00A3389E">
        <w:rPr>
          <w:rFonts w:ascii="Times New Roman" w:hAnsi="Times New Roman"/>
          <w:sz w:val="24"/>
        </w:rPr>
        <w:t>týchto druhoch expozícií vo forme špecializovaného financovania uvedených</w:t>
      </w:r>
      <w:r w:rsidR="00A3389E">
        <w:rPr>
          <w:rFonts w:ascii="Times New Roman" w:hAnsi="Times New Roman"/>
          <w:sz w:val="24"/>
        </w:rPr>
        <w:t xml:space="preserve"> v </w:t>
      </w:r>
      <w:r w:rsidR="00F75FFC" w:rsidRPr="00A3389E">
        <w:rPr>
          <w:rFonts w:ascii="Times New Roman" w:hAnsi="Times New Roman"/>
          <w:sz w:val="24"/>
        </w:rPr>
        <w:t>tabuľke 1</w:t>
      </w:r>
      <w:r w:rsidR="00A3389E">
        <w:rPr>
          <w:rFonts w:ascii="Times New Roman" w:hAnsi="Times New Roman"/>
          <w:sz w:val="24"/>
        </w:rPr>
        <w:t xml:space="preserve"> v </w:t>
      </w:r>
      <w:r w:rsidR="00F75FFC" w:rsidRPr="00A3389E">
        <w:rPr>
          <w:rFonts w:ascii="Times New Roman" w:hAnsi="Times New Roman"/>
          <w:sz w:val="24"/>
        </w:rPr>
        <w:t>článku 153 ods. 5:</w:t>
      </w:r>
    </w:p>
    <w:p w14:paraId="39427F4B" w14:textId="58DDD597" w:rsidR="00F75FFC" w:rsidRPr="00A3389E" w:rsidRDefault="00A3389E" w:rsidP="00A3389E">
      <w:pPr>
        <w:spacing w:after="120"/>
        <w:ind w:left="1800" w:hanging="357"/>
        <w:rPr>
          <w:rFonts w:ascii="Times New Roman" w:hAnsi="Times New Roman"/>
          <w:sz w:val="24"/>
        </w:rPr>
      </w:pPr>
      <w:r w:rsidRPr="00A3389E">
        <w:rPr>
          <w:rFonts w:ascii="Times New Roman" w:hAnsi="Times New Roman" w:cs="Times New Roman"/>
          <w:sz w:val="24"/>
        </w:rPr>
        <w:t>-</w:t>
      </w:r>
      <w:r w:rsidRPr="00A3389E">
        <w:rPr>
          <w:rFonts w:ascii="Times New Roman" w:hAnsi="Times New Roman" w:cs="Times New Roman"/>
          <w:sz w:val="24"/>
        </w:rPr>
        <w:tab/>
      </w:r>
      <w:r w:rsidR="00F75FFC" w:rsidRPr="00A3389E">
        <w:rPr>
          <w:rFonts w:ascii="Times New Roman" w:hAnsi="Times New Roman"/>
          <w:sz w:val="24"/>
        </w:rPr>
        <w:t>„projektové financovanie“ vo vzore EU CR10.1,</w:t>
      </w:r>
    </w:p>
    <w:p w14:paraId="471A3883" w14:textId="55107509" w:rsidR="00F75FFC" w:rsidRPr="00A3389E" w:rsidRDefault="00A3389E" w:rsidP="00A3389E">
      <w:pPr>
        <w:spacing w:after="120"/>
        <w:ind w:left="1800" w:hanging="357"/>
        <w:rPr>
          <w:rFonts w:ascii="Times New Roman" w:hAnsi="Times New Roman"/>
          <w:sz w:val="24"/>
        </w:rPr>
      </w:pPr>
      <w:r w:rsidRPr="00A3389E">
        <w:rPr>
          <w:rFonts w:ascii="Times New Roman" w:hAnsi="Times New Roman" w:cs="Times New Roman"/>
          <w:sz w:val="24"/>
        </w:rPr>
        <w:t>-</w:t>
      </w:r>
      <w:r w:rsidRPr="00A3389E">
        <w:rPr>
          <w:rFonts w:ascii="Times New Roman" w:hAnsi="Times New Roman" w:cs="Times New Roman"/>
          <w:sz w:val="24"/>
        </w:rPr>
        <w:tab/>
      </w:r>
      <w:r w:rsidR="00F75FFC" w:rsidRPr="00A3389E">
        <w:rPr>
          <w:rFonts w:ascii="Times New Roman" w:hAnsi="Times New Roman"/>
          <w:sz w:val="24"/>
        </w:rPr>
        <w:t>„nehnuteľný majetok vytvárajúci príjem</w:t>
      </w:r>
      <w:r>
        <w:rPr>
          <w:rFonts w:ascii="Times New Roman" w:hAnsi="Times New Roman"/>
          <w:sz w:val="24"/>
        </w:rPr>
        <w:t xml:space="preserve"> a </w:t>
      </w:r>
      <w:r w:rsidR="00F75FFC" w:rsidRPr="00A3389E">
        <w:rPr>
          <w:rFonts w:ascii="Times New Roman" w:hAnsi="Times New Roman"/>
          <w:sz w:val="24"/>
        </w:rPr>
        <w:t>nehnuteľný majetok</w:t>
      </w:r>
      <w:r>
        <w:rPr>
          <w:rFonts w:ascii="Times New Roman" w:hAnsi="Times New Roman"/>
          <w:sz w:val="24"/>
        </w:rPr>
        <w:t xml:space="preserve"> s </w:t>
      </w:r>
      <w:r w:rsidR="00F75FFC" w:rsidRPr="00A3389E">
        <w:rPr>
          <w:rFonts w:ascii="Times New Roman" w:hAnsi="Times New Roman"/>
          <w:sz w:val="24"/>
        </w:rPr>
        <w:t>vysokou volatilitou určený na podnikanie“ vo vzore EU CR10.2,</w:t>
      </w:r>
    </w:p>
    <w:p w14:paraId="53F6D261" w14:textId="44E42875" w:rsidR="00F75FFC" w:rsidRPr="00A3389E" w:rsidRDefault="00A3389E" w:rsidP="00A3389E">
      <w:pPr>
        <w:spacing w:after="120"/>
        <w:ind w:left="1800" w:hanging="357"/>
        <w:rPr>
          <w:rFonts w:ascii="Times New Roman" w:hAnsi="Times New Roman"/>
          <w:sz w:val="24"/>
        </w:rPr>
      </w:pPr>
      <w:r w:rsidRPr="00A3389E">
        <w:rPr>
          <w:rFonts w:ascii="Times New Roman" w:hAnsi="Times New Roman" w:cs="Times New Roman"/>
          <w:sz w:val="24"/>
        </w:rPr>
        <w:t>-</w:t>
      </w:r>
      <w:r w:rsidRPr="00A3389E">
        <w:rPr>
          <w:rFonts w:ascii="Times New Roman" w:hAnsi="Times New Roman" w:cs="Times New Roman"/>
          <w:sz w:val="24"/>
        </w:rPr>
        <w:tab/>
      </w:r>
      <w:r w:rsidR="00F75FFC" w:rsidRPr="00A3389E">
        <w:rPr>
          <w:rFonts w:ascii="Times New Roman" w:hAnsi="Times New Roman"/>
          <w:sz w:val="24"/>
        </w:rPr>
        <w:t>„financovanie predmetov“ vo vzore EU CR10.3,</w:t>
      </w:r>
    </w:p>
    <w:p w14:paraId="3EF1B672" w14:textId="18D4B1C8" w:rsidR="00F75FFC" w:rsidRPr="00A3389E" w:rsidRDefault="00A3389E" w:rsidP="00A3389E">
      <w:pPr>
        <w:spacing w:after="120"/>
        <w:ind w:left="1800" w:hanging="357"/>
        <w:rPr>
          <w:rFonts w:ascii="Times New Roman" w:hAnsi="Times New Roman"/>
          <w:sz w:val="24"/>
        </w:rPr>
      </w:pPr>
      <w:r w:rsidRPr="00A3389E">
        <w:rPr>
          <w:rFonts w:ascii="Times New Roman" w:hAnsi="Times New Roman" w:cs="Times New Roman"/>
          <w:sz w:val="24"/>
        </w:rPr>
        <w:t>-</w:t>
      </w:r>
      <w:r w:rsidRPr="00A3389E">
        <w:rPr>
          <w:rFonts w:ascii="Times New Roman" w:hAnsi="Times New Roman" w:cs="Times New Roman"/>
          <w:sz w:val="24"/>
        </w:rPr>
        <w:tab/>
      </w:r>
      <w:r w:rsidR="00F75FFC" w:rsidRPr="00A3389E">
        <w:rPr>
          <w:rFonts w:ascii="Times New Roman" w:hAnsi="Times New Roman"/>
          <w:sz w:val="24"/>
        </w:rPr>
        <w:t>„financovanie komodít“ vo vzore EU CR10.4;</w:t>
      </w:r>
    </w:p>
    <w:p w14:paraId="59F0F9C5" w14:textId="46478575" w:rsidR="00F75FFC" w:rsidRPr="00A3389E" w:rsidRDefault="00A60806" w:rsidP="00A3389E">
      <w:pPr>
        <w:spacing w:after="120"/>
        <w:ind w:left="1440" w:hanging="357"/>
        <w:rPr>
          <w:rFonts w:ascii="Times New Roman" w:hAnsi="Times New Roman"/>
          <w:sz w:val="24"/>
        </w:rPr>
      </w:pPr>
      <w:r w:rsidRPr="00A3389E">
        <w:rPr>
          <w:rFonts w:ascii="Times New Roman" w:eastAsia="Calibri" w:hAnsi="Times New Roman" w:cs="Times New Roman"/>
          <w:sz w:val="24"/>
        </w:rPr>
        <w:t>b</w:t>
      </w:r>
      <w:r>
        <w:rPr>
          <w:rFonts w:ascii="Times New Roman" w:eastAsia="Calibri" w:hAnsi="Times New Roman" w:cs="Times New Roman"/>
          <w:sz w:val="24"/>
        </w:rPr>
        <w:t>)</w:t>
      </w:r>
      <w:r w:rsidRPr="00A3389E">
        <w:rPr>
          <w:rFonts w:ascii="Times New Roman" w:eastAsia="Calibri" w:hAnsi="Times New Roman" w:cs="Times New Roman"/>
          <w:sz w:val="24"/>
        </w:rPr>
        <w:tab/>
      </w:r>
      <w:r w:rsidR="00F75FFC" w:rsidRPr="00A3389E">
        <w:rPr>
          <w:rFonts w:ascii="Times New Roman" w:hAnsi="Times New Roman"/>
          <w:sz w:val="24"/>
        </w:rPr>
        <w:t>informácie</w:t>
      </w:r>
      <w:r w:rsidR="00A3389E">
        <w:rPr>
          <w:rFonts w:ascii="Times New Roman" w:hAnsi="Times New Roman"/>
          <w:sz w:val="24"/>
        </w:rPr>
        <w:t xml:space="preserve"> o </w:t>
      </w:r>
      <w:r w:rsidR="00F75FFC" w:rsidRPr="00A3389E">
        <w:rPr>
          <w:rFonts w:ascii="Times New Roman" w:hAnsi="Times New Roman"/>
          <w:sz w:val="24"/>
        </w:rPr>
        <w:t>kapitálových expozíciách</w:t>
      </w:r>
      <w:r w:rsidR="00A3389E">
        <w:rPr>
          <w:rFonts w:ascii="Times New Roman" w:hAnsi="Times New Roman"/>
          <w:sz w:val="24"/>
        </w:rPr>
        <w:t xml:space="preserve"> v </w:t>
      </w:r>
      <w:r w:rsidR="00F75FFC" w:rsidRPr="00A3389E">
        <w:rPr>
          <w:rFonts w:ascii="Times New Roman" w:hAnsi="Times New Roman"/>
          <w:sz w:val="24"/>
        </w:rPr>
        <w:t>rámci jednoduchého prístupu založeného na použití rizikovej váhy vo vzore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A3389E"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A3389E" w:rsidRDefault="00F75FFC"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49DE3C64" w:rsidR="00F75FFC" w:rsidRPr="00A3389E" w:rsidRDefault="00F75FFC"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F75FFC" w:rsidRPr="00A3389E"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A3389E"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A3389E" w:rsidRDefault="00F75FFC"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F75FFC" w:rsidRPr="00A3389E" w14:paraId="158AE7C6" w14:textId="77777777" w:rsidTr="00155C96">
        <w:trPr>
          <w:trHeight w:val="316"/>
        </w:trPr>
        <w:tc>
          <w:tcPr>
            <w:tcW w:w="1413" w:type="dxa"/>
          </w:tcPr>
          <w:p w14:paraId="6B61B2BB" w14:textId="77777777" w:rsidR="00F75FFC" w:rsidRPr="00A3389E" w:rsidRDefault="00F75FF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a</w:t>
            </w:r>
          </w:p>
        </w:tc>
        <w:tc>
          <w:tcPr>
            <w:tcW w:w="7654" w:type="dxa"/>
          </w:tcPr>
          <w:p w14:paraId="1E128EDF" w14:textId="041BD017" w:rsidR="00F75FFC" w:rsidRPr="00A3389E" w:rsidRDefault="00F75FFC" w:rsidP="00155C96">
            <w:pPr>
              <w:spacing w:after="120"/>
              <w:jc w:val="both"/>
              <w:rPr>
                <w:rFonts w:ascii="Times New Roman" w:eastAsiaTheme="minorHAnsi" w:hAnsi="Times New Roman" w:cs="Times New Roman"/>
                <w:b/>
                <w:sz w:val="24"/>
              </w:rPr>
            </w:pPr>
            <w:r w:rsidRPr="00A3389E">
              <w:rPr>
                <w:rFonts w:ascii="Times New Roman" w:hAnsi="Times New Roman" w:cs="Times New Roman"/>
                <w:b/>
                <w:sz w:val="24"/>
              </w:rPr>
              <w:t>Súvahové expozície</w:t>
            </w:r>
          </w:p>
          <w:p w14:paraId="48FFB9E2" w14:textId="6B27A404" w:rsidR="00F75FFC" w:rsidRPr="00A3389E" w:rsidRDefault="00F75FFC" w:rsidP="00155C96">
            <w:pPr>
              <w:spacing w:after="120"/>
              <w:jc w:val="both"/>
              <w:rPr>
                <w:rFonts w:ascii="Times New Roman" w:hAnsi="Times New Roman" w:cs="Times New Roman"/>
                <w:sz w:val="24"/>
              </w:rPr>
            </w:pPr>
            <w:r w:rsidRPr="00A3389E">
              <w:rPr>
                <w:rFonts w:ascii="Times New Roman" w:hAnsi="Times New Roman" w:cs="Times New Roman"/>
                <w:sz w:val="24"/>
              </w:rPr>
              <w:t>Inštitúcie zverejňujú hodnotu expozície súvahových expozícií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166 ods. 1 až 7</w:t>
            </w:r>
            <w:r w:rsidR="00A3389E">
              <w:rPr>
                <w:rFonts w:ascii="Times New Roman" w:hAnsi="Times New Roman" w:cs="Times New Roman"/>
                <w:sz w:val="24"/>
              </w:rPr>
              <w:t xml:space="preserve"> a </w:t>
            </w:r>
            <w:r w:rsidRPr="00A3389E">
              <w:rPr>
                <w:rFonts w:ascii="Times New Roman" w:hAnsi="Times New Roman" w:cs="Times New Roman"/>
                <w:sz w:val="24"/>
              </w:rPr>
              <w:t>článkom 167 ods. 1 CRR.</w:t>
            </w:r>
          </w:p>
        </w:tc>
      </w:tr>
      <w:tr w:rsidR="00F75FFC" w:rsidRPr="00A3389E" w14:paraId="0E3843BA" w14:textId="77777777" w:rsidTr="00155C96">
        <w:trPr>
          <w:trHeight w:val="316"/>
        </w:trPr>
        <w:tc>
          <w:tcPr>
            <w:tcW w:w="1413" w:type="dxa"/>
          </w:tcPr>
          <w:p w14:paraId="0CEA5426" w14:textId="77777777" w:rsidR="00F75FFC" w:rsidRPr="00A3389E" w:rsidRDefault="00F75FF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b</w:t>
            </w:r>
          </w:p>
        </w:tc>
        <w:tc>
          <w:tcPr>
            <w:tcW w:w="7654" w:type="dxa"/>
          </w:tcPr>
          <w:p w14:paraId="14AAF8A5" w14:textId="29C8E1C6" w:rsidR="00F75FFC" w:rsidRPr="00A3389E" w:rsidRDefault="00F75FFC"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Podsúvahové expozície</w:t>
            </w:r>
          </w:p>
          <w:p w14:paraId="7E118650" w14:textId="339373B7" w:rsidR="00F75FFC" w:rsidRPr="00A3389E" w:rsidRDefault="00F75FFC"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zverejňujú hodnotu expozície podsúvahových expozícií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166</w:t>
            </w:r>
            <w:r w:rsidR="00A3389E">
              <w:rPr>
                <w:rFonts w:ascii="Times New Roman" w:hAnsi="Times New Roman" w:cs="Times New Roman"/>
                <w:sz w:val="24"/>
              </w:rPr>
              <w:t xml:space="preserve"> a </w:t>
            </w:r>
            <w:r w:rsidRPr="00A3389E">
              <w:rPr>
                <w:rFonts w:ascii="Times New Roman" w:hAnsi="Times New Roman" w:cs="Times New Roman"/>
                <w:sz w:val="24"/>
              </w:rPr>
              <w:t>článkom 167 ods. 2 CRR bez zohľadnenia akýchkoľvek konverzných faktorov uvedených</w:t>
            </w:r>
            <w:r w:rsidR="00A3389E">
              <w:rPr>
                <w:rFonts w:ascii="Times New Roman" w:hAnsi="Times New Roman" w:cs="Times New Roman"/>
                <w:sz w:val="24"/>
              </w:rPr>
              <w:t xml:space="preserve"> v </w:t>
            </w:r>
            <w:r w:rsidRPr="00A3389E">
              <w:rPr>
                <w:rFonts w:ascii="Times New Roman" w:hAnsi="Times New Roman" w:cs="Times New Roman"/>
                <w:sz w:val="24"/>
              </w:rPr>
              <w:t>článku 166 ods. 8 alebo 9 CRR alebo akýchkoľvek percentuálnych podielov uvedených</w:t>
            </w:r>
            <w:r w:rsidR="00A3389E">
              <w:rPr>
                <w:rFonts w:ascii="Times New Roman" w:hAnsi="Times New Roman" w:cs="Times New Roman"/>
                <w:sz w:val="24"/>
              </w:rPr>
              <w:t xml:space="preserve"> v </w:t>
            </w:r>
            <w:r w:rsidRPr="00A3389E">
              <w:rPr>
                <w:rFonts w:ascii="Times New Roman" w:hAnsi="Times New Roman" w:cs="Times New Roman"/>
                <w:sz w:val="24"/>
              </w:rPr>
              <w:t>článku 166 ods. 10 CRR.</w:t>
            </w:r>
          </w:p>
          <w:p w14:paraId="015AA9FF" w14:textId="1732FDD9" w:rsidR="00F75FFC" w:rsidRPr="00A3389E" w:rsidRDefault="00F75FFC"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Podsúvahové expozície zahŕňajú všetky záväzné, ale nečerpané sumy</w:t>
            </w:r>
            <w:r w:rsidR="00A3389E">
              <w:rPr>
                <w:rFonts w:ascii="Times New Roman" w:hAnsi="Times New Roman" w:cs="Times New Roman"/>
                <w:sz w:val="24"/>
              </w:rPr>
              <w:t xml:space="preserve"> a </w:t>
            </w:r>
            <w:r w:rsidRPr="00A3389E">
              <w:rPr>
                <w:rFonts w:ascii="Times New Roman" w:hAnsi="Times New Roman" w:cs="Times New Roman"/>
                <w:sz w:val="24"/>
              </w:rPr>
              <w:t>všetky podsúvahové položky uvedené</w:t>
            </w:r>
            <w:r w:rsidR="00A3389E">
              <w:rPr>
                <w:rFonts w:ascii="Times New Roman" w:hAnsi="Times New Roman" w:cs="Times New Roman"/>
                <w:sz w:val="24"/>
              </w:rPr>
              <w:t xml:space="preserve"> v </w:t>
            </w:r>
            <w:r w:rsidRPr="00A3389E">
              <w:rPr>
                <w:rFonts w:ascii="Times New Roman" w:hAnsi="Times New Roman" w:cs="Times New Roman"/>
                <w:sz w:val="24"/>
              </w:rPr>
              <w:t>prílohe I</w:t>
            </w:r>
            <w:r w:rsidR="00A3389E">
              <w:rPr>
                <w:rFonts w:ascii="Times New Roman" w:hAnsi="Times New Roman" w:cs="Times New Roman"/>
                <w:sz w:val="24"/>
              </w:rPr>
              <w:t xml:space="preserve"> k </w:t>
            </w:r>
            <w:r w:rsidRPr="00A3389E">
              <w:rPr>
                <w:rFonts w:ascii="Times New Roman" w:hAnsi="Times New Roman" w:cs="Times New Roman"/>
                <w:sz w:val="24"/>
              </w:rPr>
              <w:t>CRR.</w:t>
            </w:r>
          </w:p>
        </w:tc>
      </w:tr>
      <w:tr w:rsidR="00F75FFC" w:rsidRPr="00A3389E" w14:paraId="41D6DC3C" w14:textId="77777777" w:rsidTr="00155C96">
        <w:trPr>
          <w:trHeight w:val="316"/>
        </w:trPr>
        <w:tc>
          <w:tcPr>
            <w:tcW w:w="1413" w:type="dxa"/>
          </w:tcPr>
          <w:p w14:paraId="1F8AF0DE" w14:textId="77777777" w:rsidR="00F75FFC" w:rsidRPr="00A3389E" w:rsidRDefault="00F75FF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c</w:t>
            </w:r>
          </w:p>
        </w:tc>
        <w:tc>
          <w:tcPr>
            <w:tcW w:w="7654" w:type="dxa"/>
          </w:tcPr>
          <w:p w14:paraId="30473FC4" w14:textId="27B6D291" w:rsidR="00F75FFC" w:rsidRPr="00A3389E" w:rsidRDefault="00F75FFC"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Riziková váha</w:t>
            </w:r>
          </w:p>
          <w:p w14:paraId="3C133C85" w14:textId="5220BDFD" w:rsidR="00A3389E" w:rsidRPr="00A3389E" w:rsidRDefault="00F75FFC"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Tento stĺpec má pevný formát. Nesmú sa</w:t>
            </w:r>
            <w:r w:rsidR="00A3389E">
              <w:rPr>
                <w:rFonts w:ascii="Times New Roman" w:hAnsi="Times New Roman" w:cs="Times New Roman"/>
                <w:sz w:val="24"/>
              </w:rPr>
              <w:t xml:space="preserve"> v </w:t>
            </w:r>
            <w:r w:rsidRPr="00A3389E">
              <w:rPr>
                <w:rFonts w:ascii="Times New Roman" w:hAnsi="Times New Roman" w:cs="Times New Roman"/>
                <w:sz w:val="24"/>
              </w:rPr>
              <w:t>ňom vykonávať žiadne zmeny</w:t>
            </w:r>
            <w:r w:rsidR="00A3389E" w:rsidRPr="00A3389E">
              <w:rPr>
                <w:rFonts w:ascii="Times New Roman" w:hAnsi="Times New Roman" w:cs="Times New Roman"/>
                <w:sz w:val="24"/>
              </w:rPr>
              <w:t>.</w:t>
            </w:r>
          </w:p>
          <w:p w14:paraId="3DFA2E81" w14:textId="51BE4D51" w:rsidR="00F75FFC" w:rsidRPr="00B2251E" w:rsidRDefault="00F75FFC" w:rsidP="00155C96">
            <w:pPr>
              <w:autoSpaceDE w:val="0"/>
              <w:autoSpaceDN w:val="0"/>
              <w:adjustRightInd w:val="0"/>
              <w:spacing w:after="120"/>
              <w:jc w:val="both"/>
              <w:rPr>
                <w:rFonts w:ascii="Times New Roman" w:hAnsi="Times New Roman" w:cs="Times New Roman"/>
                <w:spacing w:val="-6"/>
                <w:sz w:val="24"/>
              </w:rPr>
            </w:pPr>
            <w:r w:rsidRPr="00B2251E">
              <w:rPr>
                <w:rFonts w:ascii="Times New Roman" w:hAnsi="Times New Roman" w:cs="Times New Roman"/>
                <w:spacing w:val="-6"/>
                <w:sz w:val="24"/>
              </w:rPr>
              <w:t>Tento stĺpec bol stanovený</w:t>
            </w:r>
            <w:r w:rsidR="00A3389E" w:rsidRPr="00B2251E">
              <w:rPr>
                <w:rFonts w:ascii="Times New Roman" w:hAnsi="Times New Roman" w:cs="Times New Roman"/>
                <w:spacing w:val="-6"/>
                <w:sz w:val="24"/>
              </w:rPr>
              <w:t xml:space="preserve"> v </w:t>
            </w:r>
            <w:r w:rsidRPr="00B2251E">
              <w:rPr>
                <w:rFonts w:ascii="Times New Roman" w:hAnsi="Times New Roman" w:cs="Times New Roman"/>
                <w:spacing w:val="-6"/>
                <w:sz w:val="24"/>
              </w:rPr>
              <w:t>súlade</w:t>
            </w:r>
            <w:r w:rsidR="00A3389E" w:rsidRPr="00B2251E">
              <w:rPr>
                <w:rFonts w:ascii="Times New Roman" w:hAnsi="Times New Roman" w:cs="Times New Roman"/>
                <w:spacing w:val="-6"/>
                <w:sz w:val="24"/>
              </w:rPr>
              <w:t xml:space="preserve"> s </w:t>
            </w:r>
            <w:r w:rsidRPr="00B2251E">
              <w:rPr>
                <w:rFonts w:ascii="Times New Roman" w:hAnsi="Times New Roman" w:cs="Times New Roman"/>
                <w:spacing w:val="-6"/>
                <w:sz w:val="24"/>
              </w:rPr>
              <w:t>článkom 153 ods. 5 CRR pre vzory EU CR10.1 až EU CR10.4</w:t>
            </w:r>
            <w:r w:rsidR="00A3389E" w:rsidRPr="00B2251E">
              <w:rPr>
                <w:rFonts w:ascii="Times New Roman" w:hAnsi="Times New Roman" w:cs="Times New Roman"/>
                <w:spacing w:val="-6"/>
                <w:sz w:val="24"/>
              </w:rPr>
              <w:t xml:space="preserve"> a v </w:t>
            </w:r>
            <w:r w:rsidRPr="00B2251E">
              <w:rPr>
                <w:rFonts w:ascii="Times New Roman" w:hAnsi="Times New Roman" w:cs="Times New Roman"/>
                <w:spacing w:val="-6"/>
                <w:sz w:val="24"/>
              </w:rPr>
              <w:t>súlade</w:t>
            </w:r>
            <w:r w:rsidR="00A3389E" w:rsidRPr="00B2251E">
              <w:rPr>
                <w:rFonts w:ascii="Times New Roman" w:hAnsi="Times New Roman" w:cs="Times New Roman"/>
                <w:spacing w:val="-6"/>
                <w:sz w:val="24"/>
              </w:rPr>
              <w:t xml:space="preserve"> s </w:t>
            </w:r>
            <w:r w:rsidRPr="00B2251E">
              <w:rPr>
                <w:rFonts w:ascii="Times New Roman" w:hAnsi="Times New Roman" w:cs="Times New Roman"/>
                <w:spacing w:val="-6"/>
                <w:sz w:val="24"/>
              </w:rPr>
              <w:t>článkom 155 ods. 2 CRR pre vzor EU CR10.5.</w:t>
            </w:r>
          </w:p>
        </w:tc>
      </w:tr>
      <w:tr w:rsidR="00F75FFC" w:rsidRPr="00A3389E" w14:paraId="5276575E" w14:textId="77777777" w:rsidTr="00155C96">
        <w:trPr>
          <w:trHeight w:val="316"/>
        </w:trPr>
        <w:tc>
          <w:tcPr>
            <w:tcW w:w="1413" w:type="dxa"/>
          </w:tcPr>
          <w:p w14:paraId="6ACBCDAD" w14:textId="77777777" w:rsidR="00F75FFC" w:rsidRPr="00A3389E" w:rsidRDefault="00F75FF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lastRenderedPageBreak/>
              <w:t>d</w:t>
            </w:r>
          </w:p>
        </w:tc>
        <w:tc>
          <w:tcPr>
            <w:tcW w:w="7654" w:type="dxa"/>
          </w:tcPr>
          <w:p w14:paraId="279E448F" w14:textId="5A8F6B30" w:rsidR="00F75FFC" w:rsidRPr="00A3389E" w:rsidRDefault="00F75FFC"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Hodnota expozície</w:t>
            </w:r>
          </w:p>
          <w:p w14:paraId="7DB8EC33" w14:textId="67CA7167" w:rsidR="00F75FFC" w:rsidRPr="00A3389E" w:rsidRDefault="00F75FFC"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Hodnota expozície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166 alebo článkom 167 CRR.</w:t>
            </w:r>
          </w:p>
          <w:p w14:paraId="3A4A60F5" w14:textId="4D1C6BBD" w:rsidR="00F75FFC" w:rsidRPr="00A3389E" w:rsidRDefault="00F75FFC" w:rsidP="00155C96">
            <w:pPr>
              <w:spacing w:after="120"/>
              <w:jc w:val="both"/>
              <w:rPr>
                <w:rFonts w:ascii="Times New Roman" w:hAnsi="Times New Roman" w:cs="Times New Roman"/>
                <w:sz w:val="24"/>
              </w:rPr>
            </w:pPr>
            <w:r w:rsidRPr="00A3389E">
              <w:rPr>
                <w:rFonts w:ascii="Times New Roman" w:hAnsi="Times New Roman" w:cs="Times New Roman"/>
                <w:sz w:val="24"/>
              </w:rPr>
              <w:t>Tento stĺpec zahŕňa súčet hodnoty expozície</w:t>
            </w:r>
            <w:r w:rsidR="00A3389E">
              <w:rPr>
                <w:rFonts w:ascii="Times New Roman" w:hAnsi="Times New Roman" w:cs="Times New Roman"/>
                <w:sz w:val="24"/>
              </w:rPr>
              <w:t xml:space="preserve"> v </w:t>
            </w:r>
            <w:r w:rsidRPr="00A3389E">
              <w:rPr>
                <w:rFonts w:ascii="Times New Roman" w:hAnsi="Times New Roman" w:cs="Times New Roman"/>
                <w:sz w:val="24"/>
              </w:rPr>
              <w:t>prípade súvahových expozícií</w:t>
            </w:r>
            <w:r w:rsidR="00A3389E">
              <w:rPr>
                <w:rFonts w:ascii="Times New Roman" w:hAnsi="Times New Roman" w:cs="Times New Roman"/>
                <w:sz w:val="24"/>
              </w:rPr>
              <w:t xml:space="preserve"> a </w:t>
            </w:r>
            <w:r w:rsidRPr="00A3389E">
              <w:rPr>
                <w:rFonts w:ascii="Times New Roman" w:hAnsi="Times New Roman" w:cs="Times New Roman"/>
                <w:sz w:val="24"/>
              </w:rPr>
              <w:t>hodnoty expozície</w:t>
            </w:r>
            <w:r w:rsidR="00A3389E">
              <w:rPr>
                <w:rFonts w:ascii="Times New Roman" w:hAnsi="Times New Roman" w:cs="Times New Roman"/>
                <w:sz w:val="24"/>
              </w:rPr>
              <w:t xml:space="preserve"> v </w:t>
            </w:r>
            <w:r w:rsidRPr="00A3389E">
              <w:rPr>
                <w:rFonts w:ascii="Times New Roman" w:hAnsi="Times New Roman" w:cs="Times New Roman"/>
                <w:sz w:val="24"/>
              </w:rPr>
              <w:t>prípade podsúvahových expozícií po uplatnení konverzných faktorov</w:t>
            </w:r>
            <w:r w:rsidR="00A3389E">
              <w:rPr>
                <w:rFonts w:ascii="Times New Roman" w:hAnsi="Times New Roman" w:cs="Times New Roman"/>
                <w:sz w:val="24"/>
              </w:rPr>
              <w:t xml:space="preserve"> a </w:t>
            </w:r>
            <w:r w:rsidRPr="00A3389E">
              <w:rPr>
                <w:rFonts w:ascii="Times New Roman" w:hAnsi="Times New Roman" w:cs="Times New Roman"/>
                <w:sz w:val="24"/>
              </w:rPr>
              <w:t>percentuálnych podielov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článkom 166 ods. 8 až 10 CRR. </w:t>
            </w:r>
          </w:p>
        </w:tc>
      </w:tr>
      <w:tr w:rsidR="00F75FFC" w:rsidRPr="00A3389E" w14:paraId="13CF4D96" w14:textId="77777777" w:rsidTr="00155C96">
        <w:trPr>
          <w:trHeight w:val="316"/>
        </w:trPr>
        <w:tc>
          <w:tcPr>
            <w:tcW w:w="1413" w:type="dxa"/>
            <w:tcBorders>
              <w:bottom w:val="single" w:sz="4" w:space="0" w:color="auto"/>
            </w:tcBorders>
          </w:tcPr>
          <w:p w14:paraId="21028C1D" w14:textId="6F9A8F50" w:rsidR="00F75FFC" w:rsidRPr="00A3389E" w:rsidRDefault="00F75FFC" w:rsidP="00D95507">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e (vzory EU CR10.1 až EU CR10.4)</w:t>
            </w:r>
          </w:p>
        </w:tc>
        <w:tc>
          <w:tcPr>
            <w:tcW w:w="7654" w:type="dxa"/>
          </w:tcPr>
          <w:p w14:paraId="79C5FBA4" w14:textId="4D4836D3" w:rsidR="00F75FFC" w:rsidRPr="00A3389E" w:rsidRDefault="00F75FFC"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Hodnota rizikovo váženej expozície (expozície vo forme špecializovaného financovania, pri ktorom sa uplatňuje prístup spočívajúci</w:t>
            </w:r>
            <w:r w:rsidR="00A3389E">
              <w:rPr>
                <w:rFonts w:ascii="Times New Roman" w:hAnsi="Times New Roman" w:cs="Times New Roman"/>
                <w:b/>
                <w:sz w:val="24"/>
              </w:rPr>
              <w:t xml:space="preserve"> v </w:t>
            </w:r>
            <w:r w:rsidRPr="00A3389E">
              <w:rPr>
                <w:rFonts w:ascii="Times New Roman" w:hAnsi="Times New Roman" w:cs="Times New Roman"/>
                <w:b/>
                <w:sz w:val="24"/>
              </w:rPr>
              <w:t>zaradení)</w:t>
            </w:r>
          </w:p>
          <w:p w14:paraId="3B53AAE1" w14:textId="7272ED95" w:rsidR="00F75FFC" w:rsidRPr="00A3389E" w:rsidRDefault="00F75FFC"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Hodnota rizikovo váženej expozície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153 ods. 5 CRR,</w:t>
            </w:r>
            <w:r w:rsidR="00A3389E">
              <w:rPr>
                <w:rFonts w:ascii="Times New Roman" w:hAnsi="Times New Roman" w:cs="Times New Roman"/>
                <w:sz w:val="24"/>
              </w:rPr>
              <w:t xml:space="preserve"> v </w:t>
            </w:r>
            <w:r w:rsidRPr="00A3389E">
              <w:rPr>
                <w:rFonts w:ascii="Times New Roman" w:hAnsi="Times New Roman" w:cs="Times New Roman"/>
                <w:sz w:val="24"/>
              </w:rPr>
              <w:t>náležitých prípadoch po uplatnení podporných faktorov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501</w:t>
            </w:r>
            <w:r w:rsidR="00A3389E">
              <w:rPr>
                <w:rFonts w:ascii="Times New Roman" w:hAnsi="Times New Roman" w:cs="Times New Roman"/>
                <w:sz w:val="24"/>
              </w:rPr>
              <w:t xml:space="preserve"> a </w:t>
            </w:r>
            <w:r w:rsidRPr="00A3389E">
              <w:rPr>
                <w:rFonts w:ascii="Times New Roman" w:hAnsi="Times New Roman" w:cs="Times New Roman"/>
                <w:sz w:val="24"/>
              </w:rPr>
              <w:t>501a CRR.</w:t>
            </w:r>
          </w:p>
        </w:tc>
      </w:tr>
      <w:tr w:rsidR="00F75FFC" w:rsidRPr="00A3389E" w14:paraId="4174C902" w14:textId="77777777" w:rsidTr="00155C96">
        <w:trPr>
          <w:trHeight w:val="316"/>
        </w:trPr>
        <w:tc>
          <w:tcPr>
            <w:tcW w:w="1413" w:type="dxa"/>
            <w:tcBorders>
              <w:bottom w:val="single" w:sz="4" w:space="0" w:color="auto"/>
            </w:tcBorders>
          </w:tcPr>
          <w:p w14:paraId="12E030C9" w14:textId="02CCA531" w:rsidR="00F75FFC" w:rsidRPr="00A3389E" w:rsidRDefault="00F75FF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e (vzor EU CR10.5)</w:t>
            </w:r>
          </w:p>
        </w:tc>
        <w:tc>
          <w:tcPr>
            <w:tcW w:w="7654" w:type="dxa"/>
          </w:tcPr>
          <w:p w14:paraId="3DBC58D3" w14:textId="2146985C" w:rsidR="00F75FFC" w:rsidRPr="00A3389E" w:rsidRDefault="00F75FFC"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Hodnota rizikovo váženej expozície (kapitálové expozície</w:t>
            </w:r>
            <w:r w:rsidR="00A3389E">
              <w:rPr>
                <w:rFonts w:ascii="Times New Roman" w:hAnsi="Times New Roman" w:cs="Times New Roman"/>
                <w:b/>
                <w:sz w:val="24"/>
              </w:rPr>
              <w:t xml:space="preserve"> v </w:t>
            </w:r>
            <w:r w:rsidRPr="00A3389E">
              <w:rPr>
                <w:rFonts w:ascii="Times New Roman" w:hAnsi="Times New Roman" w:cs="Times New Roman"/>
                <w:b/>
                <w:sz w:val="24"/>
              </w:rPr>
              <w:t>rámci jednoduchého prístupu založeného na použití rizikovej váhy)</w:t>
            </w:r>
          </w:p>
          <w:p w14:paraId="7DA86D44" w14:textId="087FB15E" w:rsidR="00F75FFC" w:rsidRPr="00A3389E" w:rsidRDefault="00F75FFC"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Hodnota rizikovo váženej expozície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155 ods. 2 CRR.</w:t>
            </w:r>
          </w:p>
        </w:tc>
      </w:tr>
      <w:tr w:rsidR="00F75FFC" w:rsidRPr="00A3389E" w14:paraId="32ABB4F4" w14:textId="77777777" w:rsidTr="00155C96">
        <w:trPr>
          <w:trHeight w:val="316"/>
        </w:trPr>
        <w:tc>
          <w:tcPr>
            <w:tcW w:w="1413" w:type="dxa"/>
            <w:tcBorders>
              <w:bottom w:val="nil"/>
            </w:tcBorders>
          </w:tcPr>
          <w:p w14:paraId="38501C95" w14:textId="50678C40" w:rsidR="00F75FFC" w:rsidRPr="00A3389E" w:rsidRDefault="00F75FFC" w:rsidP="00D95507">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f (vzory EU CR10.1 až EU CR10.4)</w:t>
            </w:r>
          </w:p>
        </w:tc>
        <w:tc>
          <w:tcPr>
            <w:tcW w:w="7654" w:type="dxa"/>
          </w:tcPr>
          <w:p w14:paraId="74654536" w14:textId="71176D9A" w:rsidR="00F75FFC" w:rsidRPr="00A3389E" w:rsidRDefault="00F75FFC"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Výška očakávanej straty (expozície vo forme špecializovaného financovania, pri ktorom sa uplatňuje prístup spočívajúci</w:t>
            </w:r>
            <w:r w:rsidR="00A3389E">
              <w:rPr>
                <w:rFonts w:ascii="Times New Roman" w:hAnsi="Times New Roman" w:cs="Times New Roman"/>
                <w:b/>
                <w:sz w:val="24"/>
              </w:rPr>
              <w:t xml:space="preserve"> v </w:t>
            </w:r>
            <w:r w:rsidRPr="00A3389E">
              <w:rPr>
                <w:rFonts w:ascii="Times New Roman" w:hAnsi="Times New Roman" w:cs="Times New Roman"/>
                <w:b/>
                <w:sz w:val="24"/>
              </w:rPr>
              <w:t>zaradení)</w:t>
            </w:r>
          </w:p>
          <w:p w14:paraId="6C1D1496" w14:textId="398AF901" w:rsidR="00F75FFC" w:rsidRPr="00A3389E" w:rsidRDefault="00F75FFC"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Výška očakávanej straty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158 ods. 6 CRR.</w:t>
            </w:r>
          </w:p>
        </w:tc>
      </w:tr>
      <w:tr w:rsidR="00F75FFC" w:rsidRPr="00A3389E" w14:paraId="1D239CA4" w14:textId="77777777" w:rsidTr="00155C96">
        <w:trPr>
          <w:trHeight w:val="316"/>
        </w:trPr>
        <w:tc>
          <w:tcPr>
            <w:tcW w:w="1413" w:type="dxa"/>
            <w:tcBorders>
              <w:top w:val="nil"/>
            </w:tcBorders>
          </w:tcPr>
          <w:p w14:paraId="0049D53A" w14:textId="0B537F48" w:rsidR="00F75FFC" w:rsidRPr="00A3389E" w:rsidRDefault="00F75FF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f (vzor EU CR10.5)</w:t>
            </w:r>
          </w:p>
        </w:tc>
        <w:tc>
          <w:tcPr>
            <w:tcW w:w="7654" w:type="dxa"/>
          </w:tcPr>
          <w:p w14:paraId="2B85CAB8" w14:textId="6A9DCA9F" w:rsidR="00F75FFC" w:rsidRPr="00A3389E" w:rsidRDefault="00F75FFC"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Výška očakávanej straty (kapitálové expozície</w:t>
            </w:r>
            <w:r w:rsidR="00A3389E">
              <w:rPr>
                <w:rFonts w:ascii="Times New Roman" w:hAnsi="Times New Roman" w:cs="Times New Roman"/>
                <w:b/>
                <w:sz w:val="24"/>
              </w:rPr>
              <w:t xml:space="preserve"> v </w:t>
            </w:r>
            <w:r w:rsidRPr="00A3389E">
              <w:rPr>
                <w:rFonts w:ascii="Times New Roman" w:hAnsi="Times New Roman" w:cs="Times New Roman"/>
                <w:b/>
                <w:sz w:val="24"/>
              </w:rPr>
              <w:t>rámci jednoduchého prístupu založeného na použití rizikovej váhy)</w:t>
            </w:r>
          </w:p>
          <w:p w14:paraId="46BEB49C" w14:textId="57FB8123" w:rsidR="00F75FFC" w:rsidRPr="00A3389E" w:rsidRDefault="00F75FFC"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Výška očakávanej straty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158 ods. 7 CRR.</w:t>
            </w:r>
          </w:p>
        </w:tc>
      </w:tr>
    </w:tbl>
    <w:p w14:paraId="7A3CFC7E" w14:textId="77777777" w:rsidR="00F75FFC" w:rsidRPr="00A3389E" w:rsidRDefault="00F75FFC" w:rsidP="00F75FFC">
      <w:pPr>
        <w:spacing w:after="120"/>
        <w:rPr>
          <w:rFonts w:ascii="Times New Roman" w:hAnsi="Times New Roman" w:cs="Times New Roman"/>
          <w:sz w:val="24"/>
        </w:rPr>
      </w:pPr>
    </w:p>
    <w:p w14:paraId="10AF6177" w14:textId="77777777" w:rsidR="00F75FFC" w:rsidRPr="00A3389E"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A3389E"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A3389E" w:rsidRDefault="00F75FFC"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Číslo riadku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3A0A10C1" w:rsidR="00F75FFC" w:rsidRPr="00A3389E" w:rsidRDefault="00F75FFC" w:rsidP="00155C96">
            <w:pPr>
              <w:spacing w:after="12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F75FFC" w:rsidRPr="00A3389E"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A3389E"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A3389E" w:rsidRDefault="00F75FFC"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F75FFC" w:rsidRPr="00A3389E" w14:paraId="6D67A769" w14:textId="77777777" w:rsidTr="00155C96">
        <w:trPr>
          <w:trHeight w:val="316"/>
        </w:trPr>
        <w:tc>
          <w:tcPr>
            <w:tcW w:w="1413" w:type="dxa"/>
          </w:tcPr>
          <w:p w14:paraId="5C9D44D9" w14:textId="77777777" w:rsidR="00F75FFC" w:rsidRPr="00A3389E" w:rsidRDefault="00F75FF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Regulačná kategória</w:t>
            </w:r>
          </w:p>
        </w:tc>
        <w:tc>
          <w:tcPr>
            <w:tcW w:w="7654" w:type="dxa"/>
          </w:tcPr>
          <w:p w14:paraId="18671DFD" w14:textId="1BE8AC3A" w:rsidR="00F75FFC" w:rsidRPr="00A3389E" w:rsidRDefault="00D95507" w:rsidP="00155C96">
            <w:pPr>
              <w:spacing w:after="120"/>
              <w:jc w:val="both"/>
              <w:rPr>
                <w:rFonts w:ascii="Times New Roman" w:eastAsiaTheme="minorHAnsi" w:hAnsi="Times New Roman" w:cs="Times New Roman"/>
                <w:b/>
                <w:sz w:val="24"/>
              </w:rPr>
            </w:pPr>
            <w:r w:rsidRPr="00A3389E">
              <w:rPr>
                <w:rFonts w:ascii="Times New Roman" w:hAnsi="Times New Roman" w:cs="Times New Roman"/>
                <w:b/>
                <w:sz w:val="24"/>
              </w:rPr>
              <w:t>Vzory EU CR10.1 – EU CR10.4</w:t>
            </w:r>
          </w:p>
          <w:p w14:paraId="46F62EA1" w14:textId="18788FAD" w:rsidR="00F75FFC" w:rsidRPr="00A3389E" w:rsidRDefault="00F75FFC" w:rsidP="00155C96">
            <w:pPr>
              <w:spacing w:after="120"/>
              <w:jc w:val="both"/>
              <w:rPr>
                <w:rFonts w:ascii="Times New Roman" w:hAnsi="Times New Roman" w:cs="Times New Roman"/>
                <w:sz w:val="24"/>
              </w:rPr>
            </w:pPr>
            <w:r w:rsidRPr="00A3389E">
              <w:rPr>
                <w:rFonts w:ascii="Times New Roman" w:hAnsi="Times New Roman" w:cs="Times New Roman"/>
                <w:sz w:val="24"/>
              </w:rPr>
              <w:t>Regulačné kategórie uplatniteľné na špecializované financovanie, pri ktorom sa uplatňuje prístup spočívajúci</w:t>
            </w:r>
            <w:r w:rsidR="00A3389E">
              <w:rPr>
                <w:rFonts w:ascii="Times New Roman" w:hAnsi="Times New Roman" w:cs="Times New Roman"/>
                <w:sz w:val="24"/>
              </w:rPr>
              <w:t xml:space="preserve"> v </w:t>
            </w:r>
            <w:r w:rsidRPr="00A3389E">
              <w:rPr>
                <w:rFonts w:ascii="Times New Roman" w:hAnsi="Times New Roman" w:cs="Times New Roman"/>
                <w:sz w:val="24"/>
              </w:rPr>
              <w:t>zaradení, pre každú triedu expozícií vo forme špecializovaného financovania;</w:t>
            </w:r>
            <w:r w:rsidRPr="00A3389E">
              <w:rPr>
                <w:rFonts w:ascii="Times New Roman" w:hAnsi="Times New Roman" w:cs="Times New Roman"/>
                <w:iCs/>
                <w:sz w:val="24"/>
              </w:rPr>
              <w:t xml:space="preserve"> </w:t>
            </w:r>
            <w:r w:rsidRPr="00A3389E">
              <w:rPr>
                <w:rFonts w:ascii="Times New Roman" w:hAnsi="Times New Roman" w:cs="Times New Roman"/>
                <w:sz w:val="24"/>
              </w:rPr>
              <w:t>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153 ods. 5 CRR</w:t>
            </w:r>
            <w:r w:rsidR="00A3389E">
              <w:rPr>
                <w:rFonts w:ascii="Times New Roman" w:hAnsi="Times New Roman" w:cs="Times New Roman"/>
                <w:sz w:val="24"/>
              </w:rPr>
              <w:t xml:space="preserve"> a v </w:t>
            </w:r>
            <w:r w:rsidRPr="00A3389E">
              <w:rPr>
                <w:rFonts w:ascii="Times New Roman" w:hAnsi="Times New Roman" w:cs="Times New Roman"/>
                <w:sz w:val="24"/>
              </w:rPr>
              <w:t>konečnom návrhu regulačných technických predpisov</w:t>
            </w:r>
            <w:r w:rsidR="00A3389E">
              <w:rPr>
                <w:rFonts w:ascii="Times New Roman" w:hAnsi="Times New Roman" w:cs="Times New Roman"/>
                <w:sz w:val="24"/>
              </w:rPr>
              <w:t xml:space="preserve"> o </w:t>
            </w:r>
            <w:r w:rsidRPr="00A3389E">
              <w:rPr>
                <w:rFonts w:ascii="Times New Roman" w:hAnsi="Times New Roman" w:cs="Times New Roman"/>
                <w:sz w:val="24"/>
              </w:rPr>
              <w:t>prístupe spočívajúcom</w:t>
            </w:r>
            <w:r w:rsidR="00A3389E">
              <w:rPr>
                <w:rFonts w:ascii="Times New Roman" w:hAnsi="Times New Roman" w:cs="Times New Roman"/>
                <w:sz w:val="24"/>
              </w:rPr>
              <w:t xml:space="preserve"> v </w:t>
            </w:r>
            <w:r w:rsidRPr="00A3389E">
              <w:rPr>
                <w:rFonts w:ascii="Times New Roman" w:hAnsi="Times New Roman" w:cs="Times New Roman"/>
                <w:sz w:val="24"/>
              </w:rPr>
              <w:t>zaradení.</w:t>
            </w:r>
          </w:p>
        </w:tc>
      </w:tr>
      <w:tr w:rsidR="00F75FFC" w:rsidRPr="00A3389E" w14:paraId="17EF5C42" w14:textId="77777777" w:rsidTr="00155C96">
        <w:trPr>
          <w:trHeight w:val="316"/>
        </w:trPr>
        <w:tc>
          <w:tcPr>
            <w:tcW w:w="1413" w:type="dxa"/>
          </w:tcPr>
          <w:p w14:paraId="3C8E4794" w14:textId="77777777" w:rsidR="00F75FFC" w:rsidRPr="00A3389E" w:rsidRDefault="00F75FFC" w:rsidP="00155C96">
            <w:pPr>
              <w:autoSpaceDE w:val="0"/>
              <w:autoSpaceDN w:val="0"/>
              <w:adjustRightInd w:val="0"/>
              <w:spacing w:after="120"/>
              <w:jc w:val="both"/>
              <w:rPr>
                <w:rFonts w:ascii="Times New Roman" w:eastAsia="Times New Roman" w:hAnsi="Times New Roman" w:cs="Times New Roman"/>
                <w:sz w:val="24"/>
              </w:rPr>
            </w:pPr>
            <w:r w:rsidRPr="00A3389E">
              <w:rPr>
                <w:rFonts w:ascii="Times New Roman" w:hAnsi="Times New Roman" w:cs="Times New Roman"/>
                <w:sz w:val="24"/>
              </w:rPr>
              <w:t>Kategórie</w:t>
            </w:r>
          </w:p>
        </w:tc>
        <w:tc>
          <w:tcPr>
            <w:tcW w:w="7654" w:type="dxa"/>
          </w:tcPr>
          <w:p w14:paraId="395CC9EA" w14:textId="2B31B271" w:rsidR="00F75FFC" w:rsidRPr="00A3389E" w:rsidRDefault="00CD362D" w:rsidP="00155C96">
            <w:pPr>
              <w:spacing w:after="120"/>
              <w:jc w:val="both"/>
              <w:rPr>
                <w:rFonts w:ascii="Times New Roman" w:eastAsiaTheme="minorHAnsi" w:hAnsi="Times New Roman" w:cs="Times New Roman"/>
                <w:b/>
                <w:sz w:val="24"/>
              </w:rPr>
            </w:pPr>
            <w:r w:rsidRPr="00A3389E">
              <w:rPr>
                <w:rFonts w:ascii="Times New Roman" w:hAnsi="Times New Roman" w:cs="Times New Roman"/>
                <w:b/>
                <w:sz w:val="24"/>
              </w:rPr>
              <w:t>Vzor EU CR10.5</w:t>
            </w:r>
          </w:p>
          <w:p w14:paraId="37BAE4FC" w14:textId="6A6AD740" w:rsidR="00F75FFC" w:rsidRPr="00A3389E" w:rsidRDefault="00F75FFC" w:rsidP="00155C96">
            <w:pPr>
              <w:spacing w:after="120"/>
              <w:jc w:val="both"/>
              <w:rPr>
                <w:rFonts w:ascii="Times New Roman" w:eastAsiaTheme="minorHAnsi" w:hAnsi="Times New Roman" w:cs="Times New Roman"/>
                <w:sz w:val="24"/>
              </w:rPr>
            </w:pPr>
            <w:r w:rsidRPr="00A3389E">
              <w:rPr>
                <w:rFonts w:ascii="Times New Roman" w:hAnsi="Times New Roman" w:cs="Times New Roman"/>
                <w:sz w:val="24"/>
              </w:rPr>
              <w:t>Regulačné kategórie uplatniteľné na kapitálové cenné papiere</w:t>
            </w:r>
            <w:r w:rsidR="00A3389E">
              <w:rPr>
                <w:rFonts w:ascii="Times New Roman" w:hAnsi="Times New Roman" w:cs="Times New Roman"/>
                <w:sz w:val="24"/>
              </w:rPr>
              <w:t xml:space="preserve"> v </w:t>
            </w:r>
            <w:r w:rsidRPr="00A3389E">
              <w:rPr>
                <w:rFonts w:ascii="Times New Roman" w:hAnsi="Times New Roman" w:cs="Times New Roman"/>
                <w:sz w:val="24"/>
              </w:rPr>
              <w:t>rámci jednoduchého prístupu založeného na použití rizikovej váhy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155 ods. 2 CRR.</w:t>
            </w:r>
          </w:p>
        </w:tc>
      </w:tr>
    </w:tbl>
    <w:p w14:paraId="27F8CEE0" w14:textId="4AC3B6D6" w:rsidR="005710A4" w:rsidRPr="00A3389E" w:rsidRDefault="005710A4" w:rsidP="00E258D8">
      <w:pPr>
        <w:tabs>
          <w:tab w:val="left" w:pos="1430"/>
        </w:tabs>
        <w:rPr>
          <w:rFonts w:ascii="Times New Roman" w:hAnsi="Times New Roman" w:cs="Times New Roman"/>
          <w:sz w:val="24"/>
        </w:rPr>
      </w:pPr>
    </w:p>
    <w:p w14:paraId="5ECE1EAB" w14:textId="77777777" w:rsidR="0081579E" w:rsidRPr="00A3389E" w:rsidRDefault="005710A4">
      <w:pPr>
        <w:rPr>
          <w:rFonts w:ascii="Times New Roman" w:hAnsi="Times New Roman" w:cs="Times New Roman"/>
          <w:sz w:val="24"/>
        </w:rPr>
        <w:sectPr w:rsidR="0081579E" w:rsidRPr="00A3389E" w:rsidSect="00155C96">
          <w:pgSz w:w="11900" w:h="16840"/>
          <w:pgMar w:top="2268" w:right="1418" w:bottom="1134" w:left="1701" w:header="709" w:footer="709" w:gutter="0"/>
          <w:pgNumType w:start="1" w:chapStyle="1"/>
          <w:cols w:space="708"/>
          <w:docGrid w:linePitch="299"/>
        </w:sectPr>
      </w:pPr>
      <w:r w:rsidRPr="00A3389E">
        <w:rPr>
          <w:rFonts w:ascii="Times New Roman" w:hAnsi="Times New Roman" w:cs="Times New Roman"/>
        </w:rPr>
        <w:lastRenderedPageBreak/>
        <w:br w:type="page"/>
      </w:r>
    </w:p>
    <w:p w14:paraId="54A04FC2" w14:textId="1C2853D2" w:rsidR="005710A4" w:rsidRPr="00A3389E" w:rsidRDefault="005710A4" w:rsidP="005710A4">
      <w:pPr>
        <w:pStyle w:val="Titlelevel2"/>
        <w:spacing w:before="0"/>
        <w:jc w:val="center"/>
        <w:rPr>
          <w:rFonts w:ascii="Times New Roman" w:hAnsi="Times New Roman" w:cs="Times New Roman"/>
          <w:b/>
          <w:color w:val="auto"/>
          <w:sz w:val="24"/>
          <w:u w:val="single"/>
        </w:rPr>
      </w:pPr>
      <w:r w:rsidRPr="00A3389E">
        <w:rPr>
          <w:rFonts w:ascii="Times New Roman" w:hAnsi="Times New Roman" w:cs="Times New Roman"/>
          <w:b/>
          <w:color w:val="auto"/>
          <w:sz w:val="24"/>
          <w:u w:val="single"/>
        </w:rPr>
        <w:lastRenderedPageBreak/>
        <w:t>PRÍLOHA XXVI – Tabuľky</w:t>
      </w:r>
      <w:r w:rsidR="00A3389E">
        <w:rPr>
          <w:rFonts w:ascii="Times New Roman" w:hAnsi="Times New Roman" w:cs="Times New Roman"/>
          <w:b/>
          <w:color w:val="auto"/>
          <w:sz w:val="24"/>
          <w:u w:val="single"/>
        </w:rPr>
        <w:t xml:space="preserve"> a </w:t>
      </w:r>
      <w:r w:rsidRPr="00A3389E">
        <w:rPr>
          <w:rFonts w:ascii="Times New Roman" w:hAnsi="Times New Roman" w:cs="Times New Roman"/>
          <w:b/>
          <w:color w:val="auto"/>
          <w:sz w:val="24"/>
          <w:u w:val="single"/>
        </w:rPr>
        <w:t>vzory na zverejňovanie informácií</w:t>
      </w:r>
      <w:r w:rsidR="00A3389E">
        <w:rPr>
          <w:rFonts w:ascii="Times New Roman" w:hAnsi="Times New Roman" w:cs="Times New Roman"/>
          <w:b/>
          <w:color w:val="auto"/>
          <w:sz w:val="24"/>
          <w:u w:val="single"/>
        </w:rPr>
        <w:t xml:space="preserve"> o </w:t>
      </w:r>
      <w:r w:rsidRPr="00A3389E">
        <w:rPr>
          <w:rFonts w:ascii="Times New Roman" w:hAnsi="Times New Roman" w:cs="Times New Roman"/>
          <w:b/>
          <w:color w:val="auto"/>
          <w:sz w:val="24"/>
          <w:u w:val="single"/>
        </w:rPr>
        <w:t>kreditnom riziku protistrany: pokyny</w:t>
      </w:r>
    </w:p>
    <w:p w14:paraId="76762FAC" w14:textId="57EAE9DE" w:rsidR="00A3389E" w:rsidRPr="00A3389E" w:rsidRDefault="00A3389E" w:rsidP="00A3389E">
      <w:pPr>
        <w:pStyle w:val="Titlelevel2"/>
        <w:spacing w:before="0"/>
        <w:ind w:left="720" w:hanging="360"/>
        <w:jc w:val="both"/>
        <w:rPr>
          <w:rFonts w:ascii="Times New Roman" w:hAnsi="Times New Roman" w:cs="Times New Roman"/>
          <w:color w:val="auto"/>
          <w:sz w:val="24"/>
        </w:rPr>
      </w:pPr>
      <w:r w:rsidRPr="00A3389E">
        <w:rPr>
          <w:rFonts w:ascii="Times New Roman" w:hAnsi="Times New Roman" w:cs="Times New Roman"/>
          <w:color w:val="auto"/>
          <w:sz w:val="24"/>
        </w:rPr>
        <w:t>1.</w:t>
      </w:r>
      <w:r w:rsidRPr="00A3389E">
        <w:rPr>
          <w:rFonts w:ascii="Times New Roman" w:hAnsi="Times New Roman" w:cs="Times New Roman"/>
          <w:color w:val="auto"/>
          <w:sz w:val="24"/>
        </w:rPr>
        <w:tab/>
      </w:r>
      <w:r w:rsidR="005710A4" w:rsidRPr="00A3389E">
        <w:rPr>
          <w:rFonts w:ascii="Times New Roman" w:hAnsi="Times New Roman" w:cs="Times New Roman"/>
          <w:color w:val="auto"/>
          <w:sz w:val="24"/>
        </w:rPr>
        <w:t>Inštitúcie zverejňujú informácie uvedené</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článku 439 CRR týkajúce sa ich expozície voči kreditnému riziku protistrany, ako sa uvádza</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 xml:space="preserve">tretej časti hlave II kapitole 6 nariadenia (EÚ) </w:t>
      </w:r>
      <w:r>
        <w:rPr>
          <w:rFonts w:ascii="Times New Roman" w:hAnsi="Times New Roman" w:cs="Times New Roman"/>
          <w:color w:val="auto"/>
          <w:sz w:val="24"/>
        </w:rPr>
        <w:t>č. </w:t>
      </w:r>
      <w:r w:rsidR="005710A4" w:rsidRPr="00A3389E">
        <w:rPr>
          <w:rFonts w:ascii="Times New Roman" w:hAnsi="Times New Roman" w:cs="Times New Roman"/>
          <w:color w:val="auto"/>
          <w:sz w:val="24"/>
        </w:rPr>
        <w:t>575/2013</w:t>
      </w:r>
      <w:r w:rsidR="005710A4" w:rsidRPr="00A3389E">
        <w:rPr>
          <w:rStyle w:val="FootnoteReference"/>
          <w:rFonts w:ascii="Times New Roman" w:hAnsi="Times New Roman" w:cs="Times New Roman"/>
          <w:color w:val="auto"/>
        </w:rPr>
        <w:footnoteReference w:id="41"/>
      </w:r>
      <w:r w:rsidR="005710A4" w:rsidRPr="00A3389E">
        <w:rPr>
          <w:rFonts w:ascii="Times New Roman" w:hAnsi="Times New Roman" w:cs="Times New Roman"/>
          <w:color w:val="auto"/>
          <w:sz w:val="24"/>
        </w:rPr>
        <w:t xml:space="preserve"> („CRR“), podľa pokynov uvedených</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tejto prílohe</w:t>
      </w:r>
      <w:r>
        <w:rPr>
          <w:rFonts w:ascii="Times New Roman" w:hAnsi="Times New Roman" w:cs="Times New Roman"/>
          <w:color w:val="auto"/>
          <w:sz w:val="24"/>
        </w:rPr>
        <w:t xml:space="preserve"> s </w:t>
      </w:r>
      <w:r w:rsidR="005710A4" w:rsidRPr="00A3389E">
        <w:rPr>
          <w:rFonts w:ascii="Times New Roman" w:hAnsi="Times New Roman" w:cs="Times New Roman"/>
          <w:color w:val="auto"/>
          <w:sz w:val="24"/>
        </w:rPr>
        <w:t>cieľom vyplniť tabuľky</w:t>
      </w:r>
      <w:r>
        <w:rPr>
          <w:rFonts w:ascii="Times New Roman" w:hAnsi="Times New Roman" w:cs="Times New Roman"/>
          <w:color w:val="auto"/>
          <w:sz w:val="24"/>
        </w:rPr>
        <w:t xml:space="preserve"> a </w:t>
      </w:r>
      <w:r w:rsidR="005710A4" w:rsidRPr="00A3389E">
        <w:rPr>
          <w:rFonts w:ascii="Times New Roman" w:hAnsi="Times New Roman" w:cs="Times New Roman"/>
          <w:color w:val="auto"/>
          <w:sz w:val="24"/>
        </w:rPr>
        <w:t>vzory, ktoré sú uvedené</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prílohe XXV</w:t>
      </w:r>
      <w:r>
        <w:rPr>
          <w:rFonts w:ascii="Times New Roman" w:hAnsi="Times New Roman" w:cs="Times New Roman"/>
          <w:color w:val="auto"/>
          <w:sz w:val="24"/>
        </w:rPr>
        <w:t xml:space="preserve"> k </w:t>
      </w:r>
      <w:r w:rsidR="005710A4" w:rsidRPr="00A3389E">
        <w:rPr>
          <w:rFonts w:ascii="Times New Roman" w:hAnsi="Times New Roman" w:cs="Times New Roman"/>
          <w:color w:val="auto"/>
          <w:sz w:val="24"/>
        </w:rPr>
        <w:t>tomuto vykonávaciemu nariadeniu</w:t>
      </w:r>
      <w:r w:rsidRPr="00A3389E">
        <w:rPr>
          <w:rFonts w:ascii="Times New Roman" w:hAnsi="Times New Roman" w:cs="Times New Roman"/>
          <w:color w:val="auto"/>
          <w:sz w:val="24"/>
        </w:rPr>
        <w:t>.</w:t>
      </w:r>
    </w:p>
    <w:p w14:paraId="4342588E" w14:textId="40291D3D" w:rsidR="00A3389E" w:rsidRPr="00A3389E" w:rsidRDefault="00D95507" w:rsidP="005710A4">
      <w:pPr>
        <w:pStyle w:val="Titlelevel2"/>
        <w:spacing w:before="0"/>
        <w:rPr>
          <w:rFonts w:ascii="Times New Roman" w:hAnsi="Times New Roman" w:cs="Times New Roman"/>
          <w:bCs w:val="0"/>
          <w:color w:val="000000"/>
          <w:sz w:val="24"/>
        </w:rPr>
      </w:pPr>
      <w:r w:rsidRPr="00A3389E">
        <w:rPr>
          <w:rFonts w:ascii="Times New Roman" w:hAnsi="Times New Roman" w:cs="Times New Roman"/>
          <w:b/>
          <w:color w:val="auto"/>
          <w:sz w:val="24"/>
        </w:rPr>
        <w:t>Tabuľka EU CCRA – Požiadavky na zverejňovanie kvalitatívnych informácií týkajúcich sa kreditného rizika protistrany (CCR):</w:t>
      </w:r>
      <w:r w:rsidRPr="00A3389E">
        <w:rPr>
          <w:rFonts w:ascii="Times New Roman" w:hAnsi="Times New Roman" w:cs="Times New Roman"/>
          <w:sz w:val="24"/>
        </w:rPr>
        <w:t xml:space="preserve"> </w:t>
      </w:r>
      <w:r w:rsidRPr="00A3389E">
        <w:rPr>
          <w:rFonts w:ascii="Times New Roman" w:hAnsi="Times New Roman" w:cs="Times New Roman"/>
          <w:bCs w:val="0"/>
          <w:color w:val="000000"/>
          <w:sz w:val="24"/>
        </w:rPr>
        <w:t>Textové polia</w:t>
      </w:r>
      <w:r w:rsidR="00A3389E">
        <w:rPr>
          <w:rFonts w:ascii="Times New Roman" w:hAnsi="Times New Roman" w:cs="Times New Roman"/>
          <w:bCs w:val="0"/>
          <w:color w:val="000000"/>
          <w:sz w:val="24"/>
        </w:rPr>
        <w:t xml:space="preserve"> s </w:t>
      </w:r>
      <w:r w:rsidRPr="00A3389E">
        <w:rPr>
          <w:rFonts w:ascii="Times New Roman" w:hAnsi="Times New Roman" w:cs="Times New Roman"/>
          <w:bCs w:val="0"/>
          <w:color w:val="000000"/>
          <w:sz w:val="24"/>
        </w:rPr>
        <w:t>ľubovoľným formátom</w:t>
      </w:r>
    </w:p>
    <w:p w14:paraId="574B95B8" w14:textId="07240F5A" w:rsidR="005710A4" w:rsidRPr="00A3389E" w:rsidRDefault="00A3389E" w:rsidP="00A3389E">
      <w:pPr>
        <w:pStyle w:val="Titlelevel2"/>
        <w:spacing w:before="0"/>
        <w:ind w:left="720" w:hanging="360"/>
        <w:jc w:val="both"/>
        <w:rPr>
          <w:rFonts w:ascii="Times New Roman" w:hAnsi="Times New Roman" w:cs="Times New Roman"/>
          <w:sz w:val="24"/>
        </w:rPr>
      </w:pPr>
      <w:r w:rsidRPr="00A3389E">
        <w:rPr>
          <w:rFonts w:ascii="Times New Roman" w:hAnsi="Times New Roman" w:cs="Times New Roman"/>
          <w:color w:val="auto"/>
          <w:sz w:val="24"/>
        </w:rPr>
        <w:t>2.</w:t>
      </w:r>
      <w:r w:rsidRPr="00A3389E">
        <w:rPr>
          <w:rFonts w:ascii="Times New Roman" w:hAnsi="Times New Roman" w:cs="Times New Roman"/>
          <w:color w:val="auto"/>
          <w:sz w:val="24"/>
        </w:rPr>
        <w:tab/>
      </w:r>
      <w:r w:rsidR="005710A4" w:rsidRPr="00A3389E">
        <w:rPr>
          <w:rFonts w:ascii="Times New Roman" w:hAnsi="Times New Roman" w:cs="Times New Roman"/>
          <w:bCs w:val="0"/>
          <w:color w:val="auto"/>
          <w:sz w:val="24"/>
        </w:rPr>
        <w:t>Inštitúcie zverejňujú informácie uvedené</w:t>
      </w:r>
      <w:r>
        <w:rPr>
          <w:rFonts w:ascii="Times New Roman" w:hAnsi="Times New Roman" w:cs="Times New Roman"/>
          <w:bCs w:val="0"/>
          <w:color w:val="auto"/>
          <w:sz w:val="24"/>
        </w:rPr>
        <w:t xml:space="preserve"> v </w:t>
      </w:r>
      <w:r w:rsidR="005710A4" w:rsidRPr="00A3389E">
        <w:rPr>
          <w:rFonts w:ascii="Times New Roman" w:hAnsi="Times New Roman" w:cs="Times New Roman"/>
          <w:bCs w:val="0"/>
          <w:color w:val="000000"/>
          <w:sz w:val="24"/>
        </w:rPr>
        <w:t>článku 439 písm. a) až d) CRR</w:t>
      </w:r>
      <w:r w:rsidR="005710A4" w:rsidRPr="00A3389E">
        <w:rPr>
          <w:rFonts w:ascii="Times New Roman" w:hAnsi="Times New Roman" w:cs="Times New Roman"/>
          <w:bCs w:val="0"/>
          <w:color w:val="auto"/>
          <w:sz w:val="24"/>
        </w:rPr>
        <w:t xml:space="preserve"> podľa pokynov uvedených nižšie</w:t>
      </w:r>
      <w:r>
        <w:rPr>
          <w:rFonts w:ascii="Times New Roman" w:hAnsi="Times New Roman" w:cs="Times New Roman"/>
          <w:bCs w:val="0"/>
          <w:color w:val="auto"/>
          <w:sz w:val="24"/>
        </w:rPr>
        <w:t xml:space="preserve"> v </w:t>
      </w:r>
      <w:r w:rsidR="005710A4" w:rsidRPr="00A3389E">
        <w:rPr>
          <w:rFonts w:ascii="Times New Roman" w:hAnsi="Times New Roman" w:cs="Times New Roman"/>
          <w:bCs w:val="0"/>
          <w:color w:val="auto"/>
          <w:sz w:val="24"/>
        </w:rPr>
        <w:t>tejto prílohe</w:t>
      </w:r>
      <w:r>
        <w:rPr>
          <w:rFonts w:ascii="Times New Roman" w:hAnsi="Times New Roman" w:cs="Times New Roman"/>
          <w:bCs w:val="0"/>
          <w:color w:val="auto"/>
          <w:sz w:val="24"/>
        </w:rPr>
        <w:t xml:space="preserve"> s </w:t>
      </w:r>
      <w:r w:rsidR="005710A4" w:rsidRPr="00A3389E">
        <w:rPr>
          <w:rFonts w:ascii="Times New Roman" w:hAnsi="Times New Roman" w:cs="Times New Roman"/>
          <w:bCs w:val="0"/>
          <w:color w:val="auto"/>
          <w:sz w:val="24"/>
        </w:rPr>
        <w:t xml:space="preserve">cieľom vyplniť </w:t>
      </w:r>
      <w:r w:rsidR="005710A4" w:rsidRPr="00A3389E">
        <w:rPr>
          <w:rFonts w:ascii="Times New Roman" w:hAnsi="Times New Roman" w:cs="Times New Roman"/>
          <w:bCs w:val="0"/>
          <w:color w:val="000000"/>
          <w:sz w:val="24"/>
        </w:rPr>
        <w:t>tabuľku EU CCRA, ktorá je uvedená</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prílohe XXV</w:t>
      </w:r>
      <w:r>
        <w:rPr>
          <w:rFonts w:ascii="Times New Roman" w:hAnsi="Times New Roman" w:cs="Times New Roman"/>
          <w:bCs w:val="0"/>
          <w:color w:val="000000"/>
          <w:sz w:val="24"/>
        </w:rPr>
        <w:t xml:space="preserve"> k </w:t>
      </w:r>
      <w:r w:rsidR="005710A4" w:rsidRPr="00A3389E">
        <w:rPr>
          <w:rFonts w:ascii="Times New Roman" w:hAnsi="Times New Roman" w:cs="Times New Roman"/>
          <w:bCs w:val="0"/>
          <w:color w:val="000000"/>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A3389E"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024715CD"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710A4" w:rsidRPr="00A3389E" w14:paraId="0BFA88FC" w14:textId="77777777" w:rsidTr="00155C96">
        <w:trPr>
          <w:trHeight w:val="238"/>
        </w:trPr>
        <w:tc>
          <w:tcPr>
            <w:tcW w:w="1384" w:type="dxa"/>
            <w:shd w:val="clear" w:color="auto" w:fill="D9D9D9" w:themeFill="background1" w:themeFillShade="D9"/>
          </w:tcPr>
          <w:p w14:paraId="66B6CD5F" w14:textId="77777777" w:rsidR="005710A4" w:rsidRPr="00A3389E" w:rsidRDefault="005710A4" w:rsidP="00155C96">
            <w:pPr>
              <w:autoSpaceDE w:val="0"/>
              <w:autoSpaceDN w:val="0"/>
              <w:adjustRightInd w:val="0"/>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0DF1B006" w14:textId="77777777" w:rsidR="005710A4" w:rsidRPr="00A3389E" w:rsidRDefault="005710A4"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5710A4" w:rsidRPr="00A3389E" w14:paraId="05665A0F" w14:textId="77777777" w:rsidTr="00155C96">
        <w:trPr>
          <w:trHeight w:val="680"/>
        </w:trPr>
        <w:tc>
          <w:tcPr>
            <w:tcW w:w="1384" w:type="dxa"/>
          </w:tcPr>
          <w:p w14:paraId="2565E4DE" w14:textId="37B41AD5" w:rsidR="005710A4" w:rsidRPr="00A3389E" w:rsidRDefault="00CB5CCE" w:rsidP="00155C96">
            <w:pPr>
              <w:pStyle w:val="Applicationdirecte"/>
              <w:spacing w:before="0" w:after="240"/>
              <w:jc w:val="center"/>
            </w:pPr>
            <w:r w:rsidRPr="00A3389E">
              <w:t>a)</w:t>
            </w:r>
          </w:p>
        </w:tc>
        <w:tc>
          <w:tcPr>
            <w:tcW w:w="7655" w:type="dxa"/>
            <w:vAlign w:val="center"/>
          </w:tcPr>
          <w:p w14:paraId="5109F0C3" w14:textId="5B5A8140"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Inštitúcie pri zverejňovaní informácií vyžadovaných</w:t>
            </w:r>
            <w:r w:rsidR="00A3389E">
              <w:rPr>
                <w:rFonts w:ascii="Times New Roman" w:hAnsi="Times New Roman" w:cs="Times New Roman"/>
                <w:sz w:val="24"/>
              </w:rPr>
              <w:t xml:space="preserve"> v </w:t>
            </w:r>
            <w:r w:rsidRPr="00A3389E">
              <w:rPr>
                <w:rFonts w:ascii="Times New Roman" w:hAnsi="Times New Roman" w:cs="Times New Roman"/>
                <w:sz w:val="24"/>
              </w:rPr>
              <w:t>článku 439 písm. a) CRR poskytujú opis metodiky použitej na priradenie interného kapitálu</w:t>
            </w:r>
            <w:r w:rsidR="00A3389E">
              <w:rPr>
                <w:rFonts w:ascii="Times New Roman" w:hAnsi="Times New Roman" w:cs="Times New Roman"/>
                <w:sz w:val="24"/>
              </w:rPr>
              <w:t xml:space="preserve"> a </w:t>
            </w:r>
            <w:r w:rsidRPr="00A3389E">
              <w:rPr>
                <w:rFonts w:ascii="Times New Roman" w:hAnsi="Times New Roman" w:cs="Times New Roman"/>
                <w:sz w:val="24"/>
              </w:rPr>
              <w:t>kreditných limitov pre expozície voči kreditnému riziku protistrany vrátane metód na priradenie uvedených limitov expozíciám voči centrálnym protistranám.</w:t>
            </w:r>
          </w:p>
        </w:tc>
      </w:tr>
      <w:tr w:rsidR="005710A4" w:rsidRPr="00A3389E" w14:paraId="77B03842" w14:textId="77777777" w:rsidTr="00155C96">
        <w:trPr>
          <w:trHeight w:val="680"/>
        </w:trPr>
        <w:tc>
          <w:tcPr>
            <w:tcW w:w="1384" w:type="dxa"/>
          </w:tcPr>
          <w:p w14:paraId="4299B689" w14:textId="2744A6CA" w:rsidR="005710A4" w:rsidRPr="00A3389E" w:rsidRDefault="00CB5CCE" w:rsidP="00155C96">
            <w:pPr>
              <w:pStyle w:val="Applicationdirecte"/>
              <w:spacing w:before="0" w:after="240"/>
              <w:jc w:val="center"/>
            </w:pPr>
            <w:r w:rsidRPr="00A3389E">
              <w:t>b)</w:t>
            </w:r>
          </w:p>
        </w:tc>
        <w:tc>
          <w:tcPr>
            <w:tcW w:w="7655" w:type="dxa"/>
          </w:tcPr>
          <w:p w14:paraId="1DFC6B61" w14:textId="725DF45F"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Inštitúcie pri zverejňovaní informácií vyžadovaných</w:t>
            </w:r>
            <w:r w:rsidR="00A3389E">
              <w:rPr>
                <w:rFonts w:ascii="Times New Roman" w:hAnsi="Times New Roman" w:cs="Times New Roman"/>
                <w:sz w:val="24"/>
              </w:rPr>
              <w:t xml:space="preserve"> v </w:t>
            </w:r>
            <w:r w:rsidRPr="00A3389E">
              <w:rPr>
                <w:rFonts w:ascii="Times New Roman" w:hAnsi="Times New Roman" w:cs="Times New Roman"/>
                <w:sz w:val="24"/>
              </w:rPr>
              <w:t>článku 439 písm. b) CRR poskytujú opis politík týkajúcich sa záruk</w:t>
            </w:r>
            <w:r w:rsidR="00A3389E">
              <w:rPr>
                <w:rFonts w:ascii="Times New Roman" w:hAnsi="Times New Roman" w:cs="Times New Roman"/>
                <w:sz w:val="24"/>
              </w:rPr>
              <w:t xml:space="preserve"> a </w:t>
            </w:r>
            <w:r w:rsidRPr="00A3389E">
              <w:rPr>
                <w:rFonts w:ascii="Times New Roman" w:hAnsi="Times New Roman" w:cs="Times New Roman"/>
                <w:sz w:val="24"/>
              </w:rPr>
              <w:t>iných zmiernení kreditného rizika, ako sú politiky zabezpečenia kolaterálu</w:t>
            </w:r>
            <w:r w:rsidR="00A3389E">
              <w:rPr>
                <w:rFonts w:ascii="Times New Roman" w:hAnsi="Times New Roman" w:cs="Times New Roman"/>
                <w:sz w:val="24"/>
              </w:rPr>
              <w:t xml:space="preserve"> a </w:t>
            </w:r>
            <w:r w:rsidRPr="00A3389E">
              <w:rPr>
                <w:rFonts w:ascii="Times New Roman" w:hAnsi="Times New Roman" w:cs="Times New Roman"/>
                <w:sz w:val="24"/>
              </w:rPr>
              <w:t>zriaďovania kreditných rezerv.</w:t>
            </w:r>
          </w:p>
        </w:tc>
      </w:tr>
      <w:tr w:rsidR="005710A4" w:rsidRPr="00A3389E" w14:paraId="16AFFB4D" w14:textId="77777777" w:rsidTr="00155C96">
        <w:trPr>
          <w:trHeight w:val="436"/>
        </w:trPr>
        <w:tc>
          <w:tcPr>
            <w:tcW w:w="1384" w:type="dxa"/>
          </w:tcPr>
          <w:p w14:paraId="3E6B3BE1" w14:textId="30FE8EAD" w:rsidR="005710A4" w:rsidRPr="00A3389E" w:rsidRDefault="00CB5CCE" w:rsidP="00155C96">
            <w:pPr>
              <w:pStyle w:val="Applicationdirecte"/>
              <w:spacing w:before="0" w:after="240"/>
              <w:jc w:val="center"/>
            </w:pPr>
            <w:r w:rsidRPr="00A3389E">
              <w:t>c)</w:t>
            </w:r>
          </w:p>
        </w:tc>
        <w:tc>
          <w:tcPr>
            <w:tcW w:w="7655" w:type="dxa"/>
          </w:tcPr>
          <w:p w14:paraId="32E502FA" w14:textId="7927EB9B"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Inštitúcie pri zverejňovaní informácií vyžadovaných</w:t>
            </w:r>
            <w:r w:rsidR="00A3389E">
              <w:rPr>
                <w:rFonts w:ascii="Times New Roman" w:hAnsi="Times New Roman" w:cs="Times New Roman"/>
                <w:sz w:val="24"/>
              </w:rPr>
              <w:t xml:space="preserve"> v </w:t>
            </w:r>
            <w:r w:rsidRPr="00A3389E">
              <w:rPr>
                <w:rFonts w:ascii="Times New Roman" w:hAnsi="Times New Roman" w:cs="Times New Roman"/>
                <w:sz w:val="24"/>
              </w:rPr>
              <w:t>článku 439 písm. c) CRR poskytujú opis politík týkajúcich sa rizika nesprávnej voľby</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291 CRR.</w:t>
            </w:r>
          </w:p>
        </w:tc>
      </w:tr>
      <w:tr w:rsidR="005710A4" w:rsidRPr="00A3389E" w14:paraId="61203F55" w14:textId="77777777" w:rsidTr="00155C96">
        <w:trPr>
          <w:trHeight w:val="557"/>
        </w:trPr>
        <w:tc>
          <w:tcPr>
            <w:tcW w:w="1384" w:type="dxa"/>
          </w:tcPr>
          <w:p w14:paraId="78488193" w14:textId="7B1F25E0" w:rsidR="005710A4" w:rsidRPr="00A3389E" w:rsidRDefault="00CB5CCE" w:rsidP="00155C96">
            <w:pPr>
              <w:pStyle w:val="Applicationdirecte"/>
              <w:spacing w:before="0" w:after="240"/>
              <w:jc w:val="center"/>
            </w:pPr>
            <w:r w:rsidRPr="00A3389E">
              <w:t>d)</w:t>
            </w:r>
          </w:p>
        </w:tc>
        <w:tc>
          <w:tcPr>
            <w:tcW w:w="7655" w:type="dxa"/>
          </w:tcPr>
          <w:p w14:paraId="109FE4FC" w14:textId="1C802E57" w:rsidR="005710A4" w:rsidRPr="00A3389E" w:rsidRDefault="005710A4" w:rsidP="00155C96">
            <w:pPr>
              <w:spacing w:after="240"/>
              <w:jc w:val="both"/>
              <w:rPr>
                <w:rFonts w:ascii="Times New Roman" w:hAnsi="Times New Roman" w:cs="Times New Roman"/>
                <w:color w:val="000000"/>
                <w:sz w:val="24"/>
              </w:rPr>
            </w:pPr>
            <w:r w:rsidRPr="00A3389E">
              <w:rPr>
                <w:rFonts w:ascii="Times New Roman" w:hAnsi="Times New Roman" w:cs="Times New Roman"/>
                <w:color w:val="000000"/>
                <w:sz w:val="24"/>
              </w:rPr>
              <w:t>V súlade</w:t>
            </w:r>
            <w:r w:rsidR="00A3389E">
              <w:rPr>
                <w:rFonts w:ascii="Times New Roman" w:hAnsi="Times New Roman" w:cs="Times New Roman"/>
                <w:color w:val="000000"/>
                <w:sz w:val="24"/>
              </w:rPr>
              <w:t xml:space="preserve"> s </w:t>
            </w:r>
            <w:r w:rsidRPr="00A3389E">
              <w:rPr>
                <w:rFonts w:ascii="Times New Roman" w:hAnsi="Times New Roman" w:cs="Times New Roman"/>
                <w:color w:val="000000"/>
                <w:sz w:val="24"/>
              </w:rPr>
              <w:t>článkom 431 ods. 3</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4 CRR inštitúcie dopĺňajú uvedené informácie</w:t>
            </w:r>
            <w:r w:rsidR="00A3389E">
              <w:rPr>
                <w:rFonts w:ascii="Times New Roman" w:hAnsi="Times New Roman" w:cs="Times New Roman"/>
                <w:color w:val="000000"/>
                <w:sz w:val="24"/>
              </w:rPr>
              <w:t xml:space="preserve"> o </w:t>
            </w:r>
            <w:r w:rsidRPr="00A3389E">
              <w:rPr>
                <w:rFonts w:ascii="Times New Roman" w:hAnsi="Times New Roman" w:cs="Times New Roman"/>
                <w:color w:val="000000"/>
                <w:sz w:val="24"/>
              </w:rPr>
              <w:t>všetky iné ciele riadenia rizík</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príslušné politiky týkajúce sa CCR.</w:t>
            </w:r>
          </w:p>
        </w:tc>
      </w:tr>
      <w:tr w:rsidR="005710A4" w:rsidRPr="00A3389E" w14:paraId="539DBB08" w14:textId="77777777" w:rsidTr="00155C96">
        <w:trPr>
          <w:trHeight w:val="557"/>
        </w:trPr>
        <w:tc>
          <w:tcPr>
            <w:tcW w:w="1384" w:type="dxa"/>
          </w:tcPr>
          <w:p w14:paraId="2D2A8B07" w14:textId="76794BB1" w:rsidR="005710A4" w:rsidRPr="00A3389E" w:rsidRDefault="00CB5CCE" w:rsidP="000561D1">
            <w:pPr>
              <w:pStyle w:val="Applicationdirecte"/>
              <w:spacing w:before="0" w:after="240"/>
              <w:jc w:val="center"/>
            </w:pPr>
            <w:r w:rsidRPr="00A3389E">
              <w:t>e)</w:t>
            </w:r>
          </w:p>
        </w:tc>
        <w:tc>
          <w:tcPr>
            <w:tcW w:w="7655" w:type="dxa"/>
          </w:tcPr>
          <w:p w14:paraId="0F6F577B" w14:textId="4409FBCA" w:rsidR="00A3389E" w:rsidRPr="00A3389E" w:rsidRDefault="005710A4" w:rsidP="00155C96">
            <w:pPr>
              <w:spacing w:after="240"/>
              <w:jc w:val="both"/>
              <w:rPr>
                <w:rFonts w:ascii="Times New Roman" w:hAnsi="Times New Roman" w:cs="Times New Roman"/>
                <w:color w:val="000000"/>
                <w:sz w:val="24"/>
              </w:rPr>
            </w:pPr>
            <w:r w:rsidRPr="00A3389E">
              <w:rPr>
                <w:rFonts w:ascii="Times New Roman" w:hAnsi="Times New Roman" w:cs="Times New Roman"/>
                <w:color w:val="000000"/>
                <w:sz w:val="24"/>
              </w:rPr>
              <w:t>Inštitúcie pri zverejňovaní informácií vyžadovaných</w:t>
            </w:r>
            <w:r w:rsidR="00A3389E">
              <w:rPr>
                <w:rFonts w:ascii="Times New Roman" w:hAnsi="Times New Roman" w:cs="Times New Roman"/>
                <w:color w:val="000000"/>
                <w:sz w:val="24"/>
              </w:rPr>
              <w:t xml:space="preserve"> v </w:t>
            </w:r>
            <w:r w:rsidRPr="00A3389E">
              <w:rPr>
                <w:rFonts w:ascii="Times New Roman" w:hAnsi="Times New Roman" w:cs="Times New Roman"/>
                <w:color w:val="000000"/>
                <w:sz w:val="24"/>
              </w:rPr>
              <w:t>článku 439 písm. d) CRR uvádzajú hodnotu kolaterálu, ktorý by inštitúcie museli poskytnúť, ak by sa ich úverový rating znížil</w:t>
            </w:r>
            <w:r w:rsidR="00A3389E" w:rsidRPr="00A3389E">
              <w:rPr>
                <w:rFonts w:ascii="Times New Roman" w:hAnsi="Times New Roman" w:cs="Times New Roman"/>
                <w:color w:val="000000"/>
                <w:sz w:val="24"/>
              </w:rPr>
              <w:t>.</w:t>
            </w:r>
          </w:p>
          <w:p w14:paraId="11DC8317" w14:textId="1A9E97F7"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color w:val="000000"/>
                <w:sz w:val="24"/>
              </w:rPr>
              <w:t>Ak centrálna banka členského štátu poskytne pomoc na zabezpečenie likvidity vo forme transakcií so swapmi na kolaterál, príslušný orgán môže inštitúciám udeliť výnimku</w:t>
            </w:r>
            <w:r w:rsidR="00A3389E">
              <w:rPr>
                <w:rFonts w:ascii="Times New Roman" w:hAnsi="Times New Roman" w:cs="Times New Roman"/>
                <w:color w:val="000000"/>
                <w:sz w:val="24"/>
              </w:rPr>
              <w:t xml:space="preserve"> z </w:t>
            </w:r>
            <w:r w:rsidRPr="00A3389E">
              <w:rPr>
                <w:rFonts w:ascii="Times New Roman" w:hAnsi="Times New Roman" w:cs="Times New Roman"/>
                <w:color w:val="000000"/>
                <w:sz w:val="24"/>
              </w:rPr>
              <w:t>poskytovania týchto informácií, ak sa tento príslušný orgán domnieva, že zverejnenie informácií uvedených vo vzoroch by mohlo odhaliť poskytnutie núdzovej pomoci na zabezpečenie likvidity. Na tieto účely príslušný orgán stanovuje primerané prahové hodnoty</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objektívne kritériá.</w:t>
            </w:r>
          </w:p>
        </w:tc>
      </w:tr>
    </w:tbl>
    <w:p w14:paraId="651D0C27" w14:textId="77777777" w:rsidR="005710A4" w:rsidRPr="00A3389E" w:rsidRDefault="005710A4" w:rsidP="005710A4">
      <w:pPr>
        <w:pStyle w:val="Titlelevel2"/>
        <w:spacing w:before="0"/>
        <w:rPr>
          <w:rFonts w:ascii="Times New Roman" w:hAnsi="Times New Roman" w:cs="Times New Roman"/>
          <w:b/>
          <w:color w:val="auto"/>
          <w:sz w:val="24"/>
        </w:rPr>
      </w:pPr>
    </w:p>
    <w:p w14:paraId="266823BD" w14:textId="4A597791" w:rsidR="005710A4" w:rsidRPr="00A3389E" w:rsidRDefault="00CD362D" w:rsidP="005710A4">
      <w:pPr>
        <w:pStyle w:val="Titlelevel2"/>
        <w:spacing w:before="0"/>
        <w:rPr>
          <w:rFonts w:ascii="Times New Roman" w:hAnsi="Times New Roman" w:cs="Times New Roman"/>
          <w:color w:val="auto"/>
          <w:sz w:val="24"/>
        </w:rPr>
      </w:pPr>
      <w:r w:rsidRPr="00A3389E">
        <w:rPr>
          <w:rFonts w:ascii="Times New Roman" w:hAnsi="Times New Roman" w:cs="Times New Roman"/>
          <w:b/>
          <w:color w:val="auto"/>
          <w:sz w:val="24"/>
        </w:rPr>
        <w:t xml:space="preserve">Vzor EU CCR1 – Analýza expozície voči CCR podľa prístupu: </w:t>
      </w:r>
      <w:r w:rsidRPr="00A3389E">
        <w:rPr>
          <w:rFonts w:ascii="Times New Roman" w:hAnsi="Times New Roman" w:cs="Times New Roman"/>
          <w:color w:val="auto"/>
          <w:sz w:val="24"/>
        </w:rPr>
        <w:t>Pevný formát</w:t>
      </w:r>
    </w:p>
    <w:p w14:paraId="042FCEE6" w14:textId="067B1CD2"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4"/>
        </w:rPr>
        <w:t>3.</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článku 439 písm. f), g)</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k) CRR podľa pokynov uvedených nižšie</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cieľom vyplniť vzor EU CCR1, ktorý je uvedený</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prílohe XXV</w:t>
      </w:r>
      <w:r>
        <w:rPr>
          <w:rFonts w:ascii="Times New Roman" w:hAnsi="Times New Roman" w:cs="Times New Roman"/>
          <w:bCs w:val="0"/>
          <w:color w:val="000000"/>
          <w:sz w:val="24"/>
        </w:rPr>
        <w:t xml:space="preserve"> k </w:t>
      </w:r>
      <w:r w:rsidR="005710A4" w:rsidRPr="00A3389E">
        <w:rPr>
          <w:rFonts w:ascii="Times New Roman" w:hAnsi="Times New Roman" w:cs="Times New Roman"/>
          <w:bCs w:val="0"/>
          <w:color w:val="000000"/>
          <w:sz w:val="24"/>
        </w:rPr>
        <w:t>tomuto vykonávaciemu nariadeniu.</w:t>
      </w:r>
    </w:p>
    <w:p w14:paraId="3920FABD" w14:textId="45F95168" w:rsidR="005710A4" w:rsidRPr="00A3389E" w:rsidRDefault="00A3389E" w:rsidP="00A3389E">
      <w:pPr>
        <w:pStyle w:val="Titlelevel2"/>
        <w:spacing w:before="0"/>
        <w:ind w:left="720" w:hanging="360"/>
        <w:jc w:val="both"/>
        <w:rPr>
          <w:rFonts w:ascii="Times New Roman" w:hAnsi="Times New Roman" w:cs="Times New Roman"/>
          <w:color w:val="auto"/>
          <w:sz w:val="24"/>
        </w:rPr>
      </w:pPr>
      <w:r w:rsidRPr="00A3389E">
        <w:rPr>
          <w:rFonts w:ascii="Times New Roman" w:hAnsi="Times New Roman" w:cs="Times New Roman"/>
          <w:color w:val="auto"/>
          <w:sz w:val="24"/>
        </w:rPr>
        <w:t>4.</w:t>
      </w:r>
      <w:r w:rsidRPr="00A3389E">
        <w:rPr>
          <w:rFonts w:ascii="Times New Roman" w:hAnsi="Times New Roman" w:cs="Times New Roman"/>
          <w:color w:val="auto"/>
          <w:sz w:val="24"/>
        </w:rPr>
        <w:tab/>
      </w:r>
      <w:r w:rsidR="005710A4" w:rsidRPr="00A3389E">
        <w:rPr>
          <w:rFonts w:ascii="Times New Roman" w:hAnsi="Times New Roman" w:cs="Times New Roman"/>
          <w:bCs w:val="0"/>
          <w:color w:val="000000"/>
          <w:sz w:val="24"/>
        </w:rPr>
        <w:t>Z tohto vzoru sú vylúčené požiadavky na vlastné zdroje pre riziko úpravy ocenenia pohľadávok (tretia časť hlava VI CRR)</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expozície voči centrálnej protistrane (tretia časť hlava II kapitola 6 oddiel 9 CRR), ako sú vymedzené na účely vzoru EU CCR8.</w:t>
      </w:r>
      <w:r>
        <w:rPr>
          <w:rFonts w:ascii="Times New Roman" w:hAnsi="Times New Roman" w:cs="Times New Roman"/>
        </w:rPr>
        <w:t xml:space="preserve"> V </w:t>
      </w:r>
      <w:r w:rsidR="005710A4" w:rsidRPr="00A3389E">
        <w:rPr>
          <w:rFonts w:ascii="Times New Roman" w:hAnsi="Times New Roman" w:cs="Times New Roman"/>
          <w:bCs w:val="0"/>
          <w:color w:val="000000"/>
          <w:sz w:val="24"/>
        </w:rPr>
        <w:t>prípade transakcií financovania prostredníctvom cenných papierov zahŕňa vzor</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súlade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článkom 439 písm. g) CRR hodnoty expozície pred vplyvom zmierňovania kreditného rizika</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po tomto vplyve, ako je určené podľa metód stanovených</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tretej časti hlave II kapitolách 4</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6 CRR, bez ohľadu na to, ktorá metóda je použitá,</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súvisiace hodnoty rizikových expozícií</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rozčlenení podľa príslušnej metódy.</w:t>
      </w:r>
    </w:p>
    <w:p w14:paraId="413FEC71" w14:textId="07D5C120" w:rsidR="005710A4" w:rsidRPr="00A3389E" w:rsidRDefault="00A3389E" w:rsidP="00A3389E">
      <w:pPr>
        <w:pStyle w:val="Titlelevel2"/>
        <w:spacing w:before="0"/>
        <w:ind w:left="720" w:hanging="360"/>
        <w:jc w:val="both"/>
        <w:rPr>
          <w:rFonts w:ascii="Times New Roman" w:hAnsi="Times New Roman" w:cs="Times New Roman"/>
          <w:color w:val="auto"/>
          <w:sz w:val="24"/>
        </w:rPr>
      </w:pPr>
      <w:r w:rsidRPr="00A3389E">
        <w:rPr>
          <w:rFonts w:ascii="Times New Roman" w:hAnsi="Times New Roman" w:cs="Times New Roman"/>
          <w:color w:val="auto"/>
          <w:sz w:val="24"/>
        </w:rPr>
        <w:t>5.</w:t>
      </w:r>
      <w:r w:rsidRPr="00A3389E">
        <w:rPr>
          <w:rFonts w:ascii="Times New Roman" w:hAnsi="Times New Roman" w:cs="Times New Roman"/>
          <w:color w:val="auto"/>
          <w:sz w:val="24"/>
        </w:rPr>
        <w:tab/>
      </w:r>
      <w:r w:rsidR="005710A4" w:rsidRPr="00A3389E">
        <w:rPr>
          <w:rFonts w:ascii="Times New Roman" w:hAnsi="Times New Roman" w:cs="Times New Roman"/>
          <w:color w:val="auto"/>
          <w:sz w:val="24"/>
        </w:rPr>
        <w:t>Inštitúcie, ktoré používajú metódy stanovené</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tretej časti hlave II kapitole 6 oddieloch 4</w:t>
      </w:r>
      <w:r>
        <w:rPr>
          <w:rFonts w:ascii="Times New Roman" w:hAnsi="Times New Roman" w:cs="Times New Roman"/>
          <w:color w:val="auto"/>
          <w:sz w:val="24"/>
        </w:rPr>
        <w:t xml:space="preserve"> a </w:t>
      </w:r>
      <w:r w:rsidR="005710A4" w:rsidRPr="00A3389E">
        <w:rPr>
          <w:rFonts w:ascii="Times New Roman" w:hAnsi="Times New Roman" w:cs="Times New Roman"/>
          <w:color w:val="auto"/>
          <w:sz w:val="24"/>
        </w:rPr>
        <w:t>5 CRR, pri uplatňovaní článku 439 písm. m) CRR uvádzajú</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opise sprevádzajúcom daný vzor veľkosť svojich súvahových</w:t>
      </w:r>
      <w:r>
        <w:rPr>
          <w:rFonts w:ascii="Times New Roman" w:hAnsi="Times New Roman" w:cs="Times New Roman"/>
          <w:color w:val="auto"/>
          <w:sz w:val="24"/>
        </w:rPr>
        <w:t xml:space="preserve"> a </w:t>
      </w:r>
      <w:r w:rsidR="005710A4" w:rsidRPr="00A3389E">
        <w:rPr>
          <w:rFonts w:ascii="Times New Roman" w:hAnsi="Times New Roman" w:cs="Times New Roman"/>
          <w:color w:val="auto"/>
          <w:sz w:val="24"/>
        </w:rPr>
        <w:t>podsúvahových derivátových činností na základe výpočtu podľa článku 273a ods. 1 alebo 2 CRR, podľa toho, čo je uplatniteľné.</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A3389E"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DCE2C2B"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710A4" w:rsidRPr="00A3389E" w14:paraId="173B950E" w14:textId="77777777" w:rsidTr="00155C96">
        <w:trPr>
          <w:trHeight w:val="238"/>
        </w:trPr>
        <w:tc>
          <w:tcPr>
            <w:tcW w:w="1384" w:type="dxa"/>
            <w:shd w:val="clear" w:color="auto" w:fill="D9D9D9" w:themeFill="background1" w:themeFillShade="D9"/>
          </w:tcPr>
          <w:p w14:paraId="43E9B33C" w14:textId="77777777" w:rsidR="005710A4" w:rsidRPr="00A3389E" w:rsidRDefault="005710A4" w:rsidP="00155C96">
            <w:pPr>
              <w:autoSpaceDE w:val="0"/>
              <w:autoSpaceDN w:val="0"/>
              <w:adjustRightInd w:val="0"/>
              <w:spacing w:after="240"/>
              <w:jc w:val="center"/>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778DD544" w14:textId="77777777" w:rsidR="005710A4" w:rsidRPr="00A3389E" w:rsidRDefault="005710A4"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5710A4" w:rsidRPr="00A3389E" w14:paraId="19C03A61" w14:textId="77777777" w:rsidTr="00155C96">
        <w:trPr>
          <w:trHeight w:val="680"/>
        </w:trPr>
        <w:tc>
          <w:tcPr>
            <w:tcW w:w="1384" w:type="dxa"/>
          </w:tcPr>
          <w:p w14:paraId="63D1FD98" w14:textId="472B2F5C" w:rsidR="005710A4" w:rsidRPr="00A3389E" w:rsidRDefault="005710A4" w:rsidP="00155C96">
            <w:pPr>
              <w:pStyle w:val="Applicationdirecte"/>
              <w:spacing w:before="0" w:after="240"/>
              <w:jc w:val="center"/>
            </w:pPr>
            <w:r w:rsidRPr="00A3389E">
              <w:t>EU-1</w:t>
            </w:r>
          </w:p>
        </w:tc>
        <w:tc>
          <w:tcPr>
            <w:tcW w:w="7655" w:type="dxa"/>
          </w:tcPr>
          <w:p w14:paraId="09FAA350" w14:textId="77777777" w:rsidR="005710A4" w:rsidRPr="00A3389E" w:rsidRDefault="005710A4" w:rsidP="00155C96">
            <w:pPr>
              <w:pStyle w:val="TableMainHeading"/>
              <w:spacing w:before="0" w:after="240"/>
              <w:jc w:val="both"/>
              <w:rPr>
                <w:rFonts w:ascii="Times New Roman" w:hAnsi="Times New Roman"/>
                <w:b/>
                <w:sz w:val="24"/>
                <w:szCs w:val="24"/>
              </w:rPr>
            </w:pPr>
            <w:r w:rsidRPr="00A3389E">
              <w:rPr>
                <w:rFonts w:ascii="Times New Roman" w:hAnsi="Times New Roman"/>
                <w:b/>
                <w:sz w:val="24"/>
                <w:szCs w:val="24"/>
              </w:rPr>
              <w:t>Metóda pôvodnej expozície (pre deriváty)</w:t>
            </w:r>
          </w:p>
          <w:p w14:paraId="6F57E789" w14:textId="1136904B"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rPr>
              <w:t>Deriváty</w:t>
            </w:r>
            <w:r w:rsidR="00A3389E">
              <w:rPr>
                <w:rFonts w:ascii="Times New Roman" w:hAnsi="Times New Roman"/>
                <w:sz w:val="24"/>
              </w:rPr>
              <w:t xml:space="preserve"> a </w:t>
            </w:r>
            <w:r w:rsidRPr="00A3389E">
              <w:rPr>
                <w:rFonts w:ascii="Times New Roman" w:hAnsi="Times New Roman"/>
                <w:sz w:val="24"/>
              </w:rPr>
              <w:t>transakcie</w:t>
            </w:r>
            <w:r w:rsidR="00A3389E">
              <w:rPr>
                <w:rFonts w:ascii="Times New Roman" w:hAnsi="Times New Roman"/>
                <w:sz w:val="24"/>
              </w:rPr>
              <w:t xml:space="preserve"> s </w:t>
            </w:r>
            <w:r w:rsidRPr="00A3389E">
              <w:rPr>
                <w:rFonts w:ascii="Times New Roman" w:hAnsi="Times New Roman"/>
                <w:sz w:val="24"/>
              </w:rPr>
              <w:t>dlhou dobou vyrovnania, pri ktorých sa inštitúcie rozhodli vypočítavať hodnotu expozície ako alfa * (RC + PFE), pričom α = 1,4</w:t>
            </w:r>
            <w:r w:rsidR="00A3389E">
              <w:rPr>
                <w:rFonts w:ascii="Times New Roman" w:hAnsi="Times New Roman"/>
                <w:sz w:val="24"/>
              </w:rPr>
              <w:t xml:space="preserve"> a </w:t>
            </w:r>
            <w:r w:rsidRPr="00A3389E">
              <w:rPr>
                <w:rFonts w:ascii="Times New Roman" w:hAnsi="Times New Roman"/>
                <w:sz w:val="24"/>
              </w:rPr>
              <w:t>RC</w:t>
            </w:r>
            <w:r w:rsidR="00A3389E">
              <w:rPr>
                <w:rFonts w:ascii="Times New Roman" w:hAnsi="Times New Roman"/>
                <w:sz w:val="24"/>
              </w:rPr>
              <w:t xml:space="preserve"> a </w:t>
            </w:r>
            <w:r w:rsidRPr="00A3389E">
              <w:rPr>
                <w:rFonts w:ascii="Times New Roman" w:hAnsi="Times New Roman"/>
                <w:sz w:val="24"/>
              </w:rPr>
              <w:t>PFE sa vypočítavajú</w:t>
            </w:r>
            <w:r w:rsidR="00A3389E">
              <w:rPr>
                <w:rFonts w:ascii="Times New Roman" w:hAnsi="Times New Roman"/>
                <w:sz w:val="24"/>
              </w:rPr>
              <w:t xml:space="preserve"> v </w:t>
            </w:r>
            <w:r w:rsidRPr="00A3389E">
              <w:rPr>
                <w:rFonts w:ascii="Times New Roman" w:hAnsi="Times New Roman"/>
                <w:sz w:val="24"/>
              </w:rPr>
              <w:t>súlade</w:t>
            </w:r>
            <w:r w:rsidR="00A3389E">
              <w:rPr>
                <w:rFonts w:ascii="Times New Roman" w:hAnsi="Times New Roman"/>
                <w:sz w:val="24"/>
              </w:rPr>
              <w:t xml:space="preserve"> s </w:t>
            </w:r>
            <w:r w:rsidRPr="00A3389E">
              <w:rPr>
                <w:rFonts w:ascii="Times New Roman" w:hAnsi="Times New Roman"/>
                <w:sz w:val="24"/>
              </w:rPr>
              <w:t>treťou časťou hlavou II kapitolou 6 oddielom 5 článkom 282 CRR.</w:t>
            </w:r>
          </w:p>
          <w:p w14:paraId="1A5A6ACF" w14:textId="25D204A4"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Túto zjednodušenú metódu na výpočet hodnoty expozície derivátových pozícií môžu používať len inštitúcie, ktoré spĺňajú podmienky stanovené</w:t>
            </w:r>
            <w:r w:rsidR="00A3389E">
              <w:rPr>
                <w:rFonts w:ascii="Times New Roman" w:hAnsi="Times New Roman"/>
                <w:sz w:val="24"/>
                <w:szCs w:val="24"/>
              </w:rPr>
              <w:t xml:space="preserve"> v </w:t>
            </w:r>
            <w:r w:rsidRPr="00A3389E">
              <w:rPr>
                <w:rFonts w:ascii="Times New Roman" w:hAnsi="Times New Roman"/>
                <w:sz w:val="24"/>
                <w:szCs w:val="24"/>
              </w:rPr>
              <w:t>tretej časti hlave II kapitole 6 článku 273a ods. 2 alebo 4 CRR.</w:t>
            </w:r>
          </w:p>
        </w:tc>
      </w:tr>
      <w:tr w:rsidR="005710A4" w:rsidRPr="00A3389E" w14:paraId="7AACB16D" w14:textId="77777777" w:rsidTr="00155C96">
        <w:trPr>
          <w:trHeight w:val="680"/>
        </w:trPr>
        <w:tc>
          <w:tcPr>
            <w:tcW w:w="1384" w:type="dxa"/>
          </w:tcPr>
          <w:p w14:paraId="7E8C5109" w14:textId="3C38B04C" w:rsidR="005710A4" w:rsidRPr="00A3389E" w:rsidRDefault="005710A4" w:rsidP="00155C96">
            <w:pPr>
              <w:pStyle w:val="Applicationdirecte"/>
              <w:spacing w:before="0" w:after="240"/>
              <w:jc w:val="center"/>
            </w:pPr>
            <w:r w:rsidRPr="00A3389E">
              <w:t>EU-2</w:t>
            </w:r>
          </w:p>
        </w:tc>
        <w:tc>
          <w:tcPr>
            <w:tcW w:w="7655" w:type="dxa"/>
          </w:tcPr>
          <w:p w14:paraId="680DB024" w14:textId="77777777" w:rsidR="005710A4" w:rsidRPr="00A3389E" w:rsidRDefault="005710A4" w:rsidP="00155C96">
            <w:pPr>
              <w:pStyle w:val="TableMainHeading"/>
              <w:spacing w:before="0" w:after="240"/>
              <w:jc w:val="both"/>
              <w:rPr>
                <w:rFonts w:ascii="Times New Roman" w:hAnsi="Times New Roman"/>
                <w:b/>
                <w:sz w:val="24"/>
                <w:szCs w:val="24"/>
              </w:rPr>
            </w:pPr>
            <w:r w:rsidRPr="00A3389E">
              <w:rPr>
                <w:rFonts w:ascii="Times New Roman" w:hAnsi="Times New Roman"/>
                <w:b/>
                <w:sz w:val="24"/>
                <w:szCs w:val="24"/>
              </w:rPr>
              <w:t>Zjednodušený štandardizovaný prístup pre kreditné riziko protistrany (zjednodušený prístup SA-CCR pre deriváty)</w:t>
            </w:r>
          </w:p>
          <w:p w14:paraId="702B483E" w14:textId="7293C91A"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rPr>
              <w:lastRenderedPageBreak/>
              <w:t>Deriváty</w:t>
            </w:r>
            <w:r w:rsidR="00A3389E">
              <w:rPr>
                <w:rFonts w:ascii="Times New Roman" w:hAnsi="Times New Roman"/>
                <w:sz w:val="24"/>
              </w:rPr>
              <w:t xml:space="preserve"> a </w:t>
            </w:r>
            <w:r w:rsidRPr="00A3389E">
              <w:rPr>
                <w:rFonts w:ascii="Times New Roman" w:hAnsi="Times New Roman"/>
                <w:sz w:val="24"/>
              </w:rPr>
              <w:t>transakcie</w:t>
            </w:r>
            <w:r w:rsidR="00A3389E">
              <w:rPr>
                <w:rFonts w:ascii="Times New Roman" w:hAnsi="Times New Roman"/>
                <w:sz w:val="24"/>
              </w:rPr>
              <w:t xml:space="preserve"> s </w:t>
            </w:r>
            <w:r w:rsidRPr="00A3389E">
              <w:rPr>
                <w:rFonts w:ascii="Times New Roman" w:hAnsi="Times New Roman"/>
                <w:sz w:val="24"/>
              </w:rPr>
              <w:t>dlhou dobou vyrovnania, pri ktorých sa inštitúcie rozhodli vypočítavať hodnotu expozície ako alfa * (RC + PFE), pričom α = 1,4</w:t>
            </w:r>
            <w:r w:rsidR="00A3389E">
              <w:rPr>
                <w:rFonts w:ascii="Times New Roman" w:hAnsi="Times New Roman"/>
                <w:sz w:val="24"/>
              </w:rPr>
              <w:t xml:space="preserve"> a </w:t>
            </w:r>
            <w:r w:rsidRPr="00A3389E">
              <w:rPr>
                <w:rFonts w:ascii="Times New Roman" w:hAnsi="Times New Roman"/>
                <w:sz w:val="24"/>
              </w:rPr>
              <w:t>RC</w:t>
            </w:r>
            <w:r w:rsidR="00A3389E">
              <w:rPr>
                <w:rFonts w:ascii="Times New Roman" w:hAnsi="Times New Roman"/>
                <w:sz w:val="24"/>
              </w:rPr>
              <w:t xml:space="preserve"> a </w:t>
            </w:r>
            <w:r w:rsidRPr="00A3389E">
              <w:rPr>
                <w:rFonts w:ascii="Times New Roman" w:hAnsi="Times New Roman"/>
                <w:sz w:val="24"/>
              </w:rPr>
              <w:t>PFE sa vypočítavajú</w:t>
            </w:r>
            <w:r w:rsidR="00A3389E">
              <w:rPr>
                <w:rFonts w:ascii="Times New Roman" w:hAnsi="Times New Roman"/>
                <w:sz w:val="24"/>
              </w:rPr>
              <w:t xml:space="preserve"> v </w:t>
            </w:r>
            <w:r w:rsidRPr="00A3389E">
              <w:rPr>
                <w:rFonts w:ascii="Times New Roman" w:hAnsi="Times New Roman"/>
                <w:sz w:val="24"/>
              </w:rPr>
              <w:t>súlade</w:t>
            </w:r>
            <w:r w:rsidR="00A3389E">
              <w:rPr>
                <w:rFonts w:ascii="Times New Roman" w:hAnsi="Times New Roman"/>
                <w:sz w:val="24"/>
              </w:rPr>
              <w:t xml:space="preserve"> s </w:t>
            </w:r>
            <w:r w:rsidRPr="00A3389E">
              <w:rPr>
                <w:rFonts w:ascii="Times New Roman" w:hAnsi="Times New Roman"/>
                <w:sz w:val="24"/>
              </w:rPr>
              <w:t>treťou časťou hlavou II kapitolou 6 oddielom 4 článkom 281 CRR.</w:t>
            </w:r>
          </w:p>
          <w:p w14:paraId="477F5355" w14:textId="199BE9A9" w:rsidR="005710A4" w:rsidRPr="00A3389E" w:rsidRDefault="005710A4" w:rsidP="00155C96">
            <w:pPr>
              <w:pStyle w:val="TableMainHeading"/>
              <w:spacing w:before="0" w:after="240"/>
              <w:jc w:val="both"/>
              <w:rPr>
                <w:rFonts w:ascii="Times New Roman" w:hAnsi="Times New Roman"/>
                <w:i/>
                <w:sz w:val="24"/>
                <w:szCs w:val="24"/>
              </w:rPr>
            </w:pPr>
            <w:r w:rsidRPr="00A3389E">
              <w:rPr>
                <w:rFonts w:ascii="Times New Roman" w:hAnsi="Times New Roman"/>
                <w:sz w:val="24"/>
                <w:szCs w:val="24"/>
              </w:rPr>
              <w:t>Tento zjednodušený štandardizovaný prístup na výpočet hodnoty expozície derivátových pozícií môžu používať len inštitúcie, ktoré spĺňajú podmienky stanovené</w:t>
            </w:r>
            <w:r w:rsidR="00A3389E">
              <w:rPr>
                <w:rFonts w:ascii="Times New Roman" w:hAnsi="Times New Roman"/>
                <w:sz w:val="24"/>
                <w:szCs w:val="24"/>
              </w:rPr>
              <w:t xml:space="preserve"> v </w:t>
            </w:r>
            <w:r w:rsidRPr="00A3389E">
              <w:rPr>
                <w:rFonts w:ascii="Times New Roman" w:hAnsi="Times New Roman"/>
                <w:sz w:val="24"/>
                <w:szCs w:val="24"/>
              </w:rPr>
              <w:t xml:space="preserve">tretej časti hlave II kapitole 6 článku 273a ods. 1 alebo 4 CRR. </w:t>
            </w:r>
          </w:p>
        </w:tc>
      </w:tr>
      <w:tr w:rsidR="005710A4" w:rsidRPr="00A3389E" w14:paraId="3833152F" w14:textId="77777777" w:rsidTr="00155C96">
        <w:trPr>
          <w:trHeight w:val="680"/>
        </w:trPr>
        <w:tc>
          <w:tcPr>
            <w:tcW w:w="1384" w:type="dxa"/>
          </w:tcPr>
          <w:p w14:paraId="4E1FA2B9" w14:textId="3B523E47" w:rsidR="005710A4" w:rsidRPr="00A3389E" w:rsidRDefault="00A03D37" w:rsidP="00155C96">
            <w:pPr>
              <w:pStyle w:val="Applicationdirecte"/>
              <w:spacing w:before="0" w:after="240"/>
              <w:jc w:val="center"/>
            </w:pPr>
            <w:r w:rsidRPr="00A3389E">
              <w:lastRenderedPageBreak/>
              <w:t>1</w:t>
            </w:r>
          </w:p>
        </w:tc>
        <w:tc>
          <w:tcPr>
            <w:tcW w:w="7655" w:type="dxa"/>
          </w:tcPr>
          <w:p w14:paraId="2EB2846D" w14:textId="77777777" w:rsidR="005710A4" w:rsidRPr="00A3389E" w:rsidRDefault="005710A4" w:rsidP="00155C96">
            <w:pPr>
              <w:pStyle w:val="Default"/>
              <w:spacing w:after="240"/>
              <w:jc w:val="both"/>
              <w:rPr>
                <w:rFonts w:ascii="Times New Roman" w:hAnsi="Times New Roman" w:cs="Times New Roman"/>
                <w:b/>
              </w:rPr>
            </w:pPr>
            <w:r w:rsidRPr="00A3389E">
              <w:rPr>
                <w:rFonts w:ascii="Times New Roman" w:hAnsi="Times New Roman" w:cs="Times New Roman"/>
                <w:b/>
              </w:rPr>
              <w:t>Štandardizovaný prístup pre kreditné riziko protistrany (prístup SA-CCR pre deriváty)</w:t>
            </w:r>
          </w:p>
          <w:p w14:paraId="118F0EAF" w14:textId="2E8D5375" w:rsidR="005710A4" w:rsidRPr="00A3389E" w:rsidRDefault="005710A4" w:rsidP="00155C96">
            <w:pPr>
              <w:pStyle w:val="Default"/>
              <w:spacing w:after="240"/>
              <w:jc w:val="both"/>
              <w:rPr>
                <w:rFonts w:ascii="Times New Roman" w:hAnsi="Times New Roman" w:cs="Times New Roman"/>
                <w:i/>
              </w:rPr>
            </w:pPr>
            <w:r w:rsidRPr="00A3389E">
              <w:rPr>
                <w:rFonts w:ascii="Times New Roman" w:hAnsi="Times New Roman" w:cs="Times New Roman"/>
              </w:rPr>
              <w:t>Deriváty</w:t>
            </w:r>
            <w:r w:rsidR="00A3389E">
              <w:rPr>
                <w:rFonts w:ascii="Times New Roman" w:hAnsi="Times New Roman" w:cs="Times New Roman"/>
              </w:rPr>
              <w:t xml:space="preserve"> a </w:t>
            </w:r>
            <w:r w:rsidRPr="00A3389E">
              <w:rPr>
                <w:rFonts w:ascii="Times New Roman" w:hAnsi="Times New Roman" w:cs="Times New Roman"/>
              </w:rPr>
              <w:t>transakcie</w:t>
            </w:r>
            <w:r w:rsidR="00A3389E">
              <w:rPr>
                <w:rFonts w:ascii="Times New Roman" w:hAnsi="Times New Roman" w:cs="Times New Roman"/>
              </w:rPr>
              <w:t xml:space="preserve"> s </w:t>
            </w:r>
            <w:r w:rsidRPr="00A3389E">
              <w:rPr>
                <w:rFonts w:ascii="Times New Roman" w:hAnsi="Times New Roman" w:cs="Times New Roman"/>
              </w:rPr>
              <w:t>dlhou dobou vyrovnania, pri ktorých sa inštitúcie rozhodli vypočítavať hodnotu expozície ako alfa * (RC + PFE), pričom α = 1,4</w:t>
            </w:r>
            <w:r w:rsidR="00A3389E">
              <w:rPr>
                <w:rFonts w:ascii="Times New Roman" w:hAnsi="Times New Roman" w:cs="Times New Roman"/>
              </w:rPr>
              <w:t xml:space="preserve"> a </w:t>
            </w:r>
            <w:r w:rsidRPr="00A3389E">
              <w:rPr>
                <w:rFonts w:ascii="Times New Roman" w:hAnsi="Times New Roman" w:cs="Times New Roman"/>
              </w:rPr>
              <w:t>RC</w:t>
            </w:r>
            <w:r w:rsidR="00A3389E">
              <w:rPr>
                <w:rFonts w:ascii="Times New Roman" w:hAnsi="Times New Roman" w:cs="Times New Roman"/>
              </w:rPr>
              <w:t xml:space="preserve"> a </w:t>
            </w:r>
            <w:r w:rsidRPr="00A3389E">
              <w:rPr>
                <w:rFonts w:ascii="Times New Roman" w:hAnsi="Times New Roman" w:cs="Times New Roman"/>
              </w:rPr>
              <w:t>PFE sa vypočítavajú</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treťou časťou hlavou II kapitolou 6 oddielom 3 CRR.</w:t>
            </w:r>
          </w:p>
        </w:tc>
      </w:tr>
      <w:tr w:rsidR="005710A4" w:rsidRPr="00A3389E" w14:paraId="6C5F9E9B" w14:textId="77777777" w:rsidTr="00155C96">
        <w:trPr>
          <w:trHeight w:val="680"/>
        </w:trPr>
        <w:tc>
          <w:tcPr>
            <w:tcW w:w="1384" w:type="dxa"/>
          </w:tcPr>
          <w:p w14:paraId="1AC07C1A" w14:textId="3194BA3B" w:rsidR="005710A4" w:rsidRPr="00A3389E" w:rsidRDefault="00A03D37" w:rsidP="00155C96">
            <w:pPr>
              <w:pStyle w:val="Applicationdirecte"/>
              <w:spacing w:before="0" w:after="240"/>
              <w:jc w:val="center"/>
              <w:rPr>
                <w:highlight w:val="yellow"/>
              </w:rPr>
            </w:pPr>
            <w:r w:rsidRPr="00A3389E">
              <w:t>2</w:t>
            </w:r>
          </w:p>
        </w:tc>
        <w:tc>
          <w:tcPr>
            <w:tcW w:w="7655" w:type="dxa"/>
          </w:tcPr>
          <w:p w14:paraId="6565A49F" w14:textId="456BC37B" w:rsidR="005710A4" w:rsidRPr="00A3389E" w:rsidRDefault="005710A4" w:rsidP="00155C96">
            <w:pPr>
              <w:pStyle w:val="Default"/>
              <w:spacing w:after="240"/>
              <w:jc w:val="both"/>
              <w:rPr>
                <w:rFonts w:ascii="Times New Roman" w:hAnsi="Times New Roman" w:cs="Times New Roman"/>
                <w:b/>
              </w:rPr>
            </w:pPr>
            <w:r w:rsidRPr="00A3389E">
              <w:rPr>
                <w:rFonts w:ascii="Times New Roman" w:hAnsi="Times New Roman" w:cs="Times New Roman"/>
                <w:b/>
              </w:rPr>
              <w:t>IMM (pre deriváty</w:t>
            </w:r>
            <w:r w:rsidR="00A3389E">
              <w:rPr>
                <w:rFonts w:ascii="Times New Roman" w:hAnsi="Times New Roman" w:cs="Times New Roman"/>
                <w:b/>
              </w:rPr>
              <w:t xml:space="preserve"> a </w:t>
            </w:r>
            <w:r w:rsidRPr="00A3389E">
              <w:rPr>
                <w:rFonts w:ascii="Times New Roman" w:hAnsi="Times New Roman" w:cs="Times New Roman"/>
                <w:b/>
              </w:rPr>
              <w:t>SFT)</w:t>
            </w:r>
          </w:p>
          <w:p w14:paraId="076943ED" w14:textId="68FAC38A" w:rsidR="005710A4" w:rsidRPr="00A3389E" w:rsidRDefault="005710A4" w:rsidP="00155C96">
            <w:pPr>
              <w:autoSpaceDE w:val="0"/>
              <w:autoSpaceDN w:val="0"/>
              <w:adjustRightInd w:val="0"/>
              <w:spacing w:after="240"/>
              <w:jc w:val="both"/>
              <w:rPr>
                <w:rFonts w:ascii="Times New Roman" w:hAnsi="Times New Roman" w:cs="Times New Roman"/>
                <w:i/>
                <w:sz w:val="24"/>
              </w:rPr>
            </w:pPr>
            <w:r w:rsidRPr="00A3389E">
              <w:rPr>
                <w:rFonts w:ascii="Times New Roman" w:hAnsi="Times New Roman" w:cs="Times New Roman"/>
                <w:sz w:val="24"/>
              </w:rPr>
              <w:t>Deriváty</w:t>
            </w:r>
            <w:r w:rsidR="00A3389E">
              <w:rPr>
                <w:rFonts w:ascii="Times New Roman" w:hAnsi="Times New Roman" w:cs="Times New Roman"/>
                <w:sz w:val="24"/>
              </w:rPr>
              <w:t xml:space="preserve"> a </w:t>
            </w:r>
            <w:r w:rsidRPr="00A3389E">
              <w:rPr>
                <w:rFonts w:ascii="Times New Roman" w:hAnsi="Times New Roman" w:cs="Times New Roman"/>
                <w:sz w:val="24"/>
              </w:rPr>
              <w:t>transakcie</w:t>
            </w:r>
            <w:r w:rsidR="00A3389E">
              <w:rPr>
                <w:rFonts w:ascii="Times New Roman" w:hAnsi="Times New Roman" w:cs="Times New Roman"/>
                <w:sz w:val="24"/>
              </w:rPr>
              <w:t xml:space="preserve"> s </w:t>
            </w:r>
            <w:r w:rsidRPr="00A3389E">
              <w:rPr>
                <w:rFonts w:ascii="Times New Roman" w:hAnsi="Times New Roman" w:cs="Times New Roman"/>
                <w:sz w:val="24"/>
              </w:rPr>
              <w:t>dlhou dobou vyrovnania</w:t>
            </w:r>
            <w:r w:rsidR="00A3389E">
              <w:rPr>
                <w:rFonts w:ascii="Times New Roman" w:hAnsi="Times New Roman" w:cs="Times New Roman"/>
                <w:sz w:val="24"/>
              </w:rPr>
              <w:t xml:space="preserve"> a </w:t>
            </w:r>
            <w:r w:rsidRPr="00A3389E">
              <w:rPr>
                <w:rFonts w:ascii="Times New Roman" w:hAnsi="Times New Roman" w:cs="Times New Roman"/>
                <w:sz w:val="24"/>
              </w:rPr>
              <w:t>SFT,</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ktorými sa inštitúciám povolilo vypočítavať hodnotu expozície pomocou metódy interných modelov (IMM)</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6 oddielom 6 CRR.</w:t>
            </w:r>
          </w:p>
        </w:tc>
      </w:tr>
      <w:tr w:rsidR="005710A4" w:rsidRPr="00A3389E" w14:paraId="7B08E2AC" w14:textId="77777777" w:rsidTr="00155C96">
        <w:trPr>
          <w:trHeight w:val="680"/>
        </w:trPr>
        <w:tc>
          <w:tcPr>
            <w:tcW w:w="1384" w:type="dxa"/>
          </w:tcPr>
          <w:p w14:paraId="2B549366" w14:textId="77777777" w:rsidR="005710A4" w:rsidRPr="00A3389E" w:rsidRDefault="005710A4" w:rsidP="00155C96">
            <w:pPr>
              <w:pStyle w:val="Applicationdirecte"/>
              <w:spacing w:before="0" w:after="240"/>
              <w:jc w:val="center"/>
            </w:pPr>
            <w:r w:rsidRPr="00A3389E">
              <w:t>EU-2a</w:t>
            </w:r>
          </w:p>
        </w:tc>
        <w:tc>
          <w:tcPr>
            <w:tcW w:w="7655" w:type="dxa"/>
          </w:tcPr>
          <w:p w14:paraId="66A789E4" w14:textId="77777777" w:rsidR="005710A4" w:rsidRPr="00A3389E" w:rsidRDefault="005710A4" w:rsidP="00155C96">
            <w:pPr>
              <w:pStyle w:val="Default"/>
              <w:spacing w:after="240"/>
              <w:jc w:val="both"/>
              <w:rPr>
                <w:rFonts w:ascii="Times New Roman" w:hAnsi="Times New Roman" w:cs="Times New Roman"/>
                <w:b/>
              </w:rPr>
            </w:pPr>
            <w:r w:rsidRPr="00A3389E">
              <w:rPr>
                <w:rFonts w:ascii="Times New Roman" w:hAnsi="Times New Roman" w:cs="Times New Roman"/>
                <w:b/>
              </w:rPr>
              <w:t>Z čoho súbory vzájomného započítavania transakcií financovania prostredníctvom cenných papierov</w:t>
            </w:r>
          </w:p>
          <w:p w14:paraId="4461E7DD" w14:textId="5180B53C" w:rsidR="005710A4" w:rsidRPr="00A3389E" w:rsidRDefault="005710A4" w:rsidP="00155C96">
            <w:pPr>
              <w:pStyle w:val="Default"/>
              <w:spacing w:after="240"/>
              <w:jc w:val="both"/>
              <w:rPr>
                <w:rFonts w:ascii="Times New Roman" w:hAnsi="Times New Roman" w:cs="Times New Roman"/>
              </w:rPr>
            </w:pPr>
            <w:r w:rsidRPr="00A3389E">
              <w:rPr>
                <w:rFonts w:ascii="Times New Roman" w:hAnsi="Times New Roman" w:cs="Times New Roman"/>
              </w:rPr>
              <w:t>Súbory vzájomného započítavania obsahujúce len SFT</w:t>
            </w:r>
            <w:r w:rsidR="00A3389E">
              <w:rPr>
                <w:rFonts w:ascii="Times New Roman" w:hAnsi="Times New Roman" w:cs="Times New Roman"/>
              </w:rPr>
              <w:t xml:space="preserve"> v </w:t>
            </w:r>
            <w:r w:rsidRPr="00A3389E">
              <w:rPr>
                <w:rFonts w:ascii="Times New Roman" w:hAnsi="Times New Roman" w:cs="Times New Roman"/>
              </w:rPr>
              <w:t>zmysle vymedzenia</w:t>
            </w:r>
            <w:r w:rsidR="00A3389E">
              <w:rPr>
                <w:rFonts w:ascii="Times New Roman" w:hAnsi="Times New Roman" w:cs="Times New Roman"/>
              </w:rPr>
              <w:t xml:space="preserve"> v </w:t>
            </w:r>
            <w:r w:rsidRPr="00A3389E">
              <w:rPr>
                <w:rFonts w:ascii="Times New Roman" w:hAnsi="Times New Roman" w:cs="Times New Roman"/>
              </w:rPr>
              <w:t>článku 4 ods. 1 bode 139 CRR,</w:t>
            </w:r>
            <w:r w:rsidR="00A3389E">
              <w:rPr>
                <w:rFonts w:ascii="Times New Roman" w:hAnsi="Times New Roman" w:cs="Times New Roman"/>
              </w:rPr>
              <w:t xml:space="preserve"> v </w:t>
            </w:r>
            <w:r w:rsidRPr="00A3389E">
              <w:rPr>
                <w:rFonts w:ascii="Times New Roman" w:hAnsi="Times New Roman" w:cs="Times New Roman"/>
              </w:rPr>
              <w:t>súvislosti</w:t>
            </w:r>
            <w:r w:rsidR="00A3389E">
              <w:rPr>
                <w:rFonts w:ascii="Times New Roman" w:hAnsi="Times New Roman" w:cs="Times New Roman"/>
              </w:rPr>
              <w:t xml:space="preserve"> s </w:t>
            </w:r>
            <w:r w:rsidRPr="00A3389E">
              <w:rPr>
                <w:rFonts w:ascii="Times New Roman" w:hAnsi="Times New Roman" w:cs="Times New Roman"/>
              </w:rPr>
              <w:t>ktorými sa inštitúciám povolilo určovať hodnotu expozície pomocou IMM.</w:t>
            </w:r>
          </w:p>
        </w:tc>
      </w:tr>
      <w:tr w:rsidR="005710A4" w:rsidRPr="00A3389E" w14:paraId="72328FC2" w14:textId="77777777" w:rsidTr="00155C96">
        <w:trPr>
          <w:trHeight w:val="680"/>
        </w:trPr>
        <w:tc>
          <w:tcPr>
            <w:tcW w:w="1384" w:type="dxa"/>
          </w:tcPr>
          <w:p w14:paraId="1EECD513" w14:textId="77777777" w:rsidR="005710A4" w:rsidRPr="00A3389E" w:rsidRDefault="005710A4" w:rsidP="00155C96">
            <w:pPr>
              <w:pStyle w:val="Applicationdirecte"/>
              <w:spacing w:before="0" w:after="240"/>
              <w:jc w:val="center"/>
            </w:pPr>
            <w:r w:rsidRPr="00A3389E">
              <w:t>EU-2b</w:t>
            </w:r>
          </w:p>
        </w:tc>
        <w:tc>
          <w:tcPr>
            <w:tcW w:w="7655" w:type="dxa"/>
          </w:tcPr>
          <w:p w14:paraId="7EB705A7" w14:textId="7D6F3AAD" w:rsidR="005710A4" w:rsidRPr="00A3389E" w:rsidRDefault="005710A4" w:rsidP="00155C96">
            <w:pPr>
              <w:pStyle w:val="Default"/>
              <w:spacing w:after="240"/>
              <w:jc w:val="both"/>
              <w:rPr>
                <w:rFonts w:ascii="Times New Roman" w:hAnsi="Times New Roman" w:cs="Times New Roman"/>
                <w:b/>
              </w:rPr>
            </w:pPr>
            <w:r w:rsidRPr="00A3389E">
              <w:rPr>
                <w:rFonts w:ascii="Times New Roman" w:hAnsi="Times New Roman" w:cs="Times New Roman"/>
                <w:b/>
              </w:rPr>
              <w:t>Z čoho súbory vzájomného započítavania derivátov</w:t>
            </w:r>
            <w:r w:rsidR="00A3389E">
              <w:rPr>
                <w:rFonts w:ascii="Times New Roman" w:hAnsi="Times New Roman" w:cs="Times New Roman"/>
                <w:b/>
              </w:rPr>
              <w:t xml:space="preserve"> a </w:t>
            </w:r>
            <w:r w:rsidRPr="00A3389E">
              <w:rPr>
                <w:rFonts w:ascii="Times New Roman" w:hAnsi="Times New Roman" w:cs="Times New Roman"/>
                <w:b/>
              </w:rPr>
              <w:t>transakcií</w:t>
            </w:r>
            <w:r w:rsidR="00A3389E">
              <w:rPr>
                <w:rFonts w:ascii="Times New Roman" w:hAnsi="Times New Roman" w:cs="Times New Roman"/>
                <w:b/>
              </w:rPr>
              <w:t xml:space="preserve"> s </w:t>
            </w:r>
            <w:r w:rsidRPr="00A3389E">
              <w:rPr>
                <w:rFonts w:ascii="Times New Roman" w:hAnsi="Times New Roman" w:cs="Times New Roman"/>
                <w:b/>
              </w:rPr>
              <w:t>dlhou dobou vyrovnania</w:t>
            </w:r>
          </w:p>
          <w:p w14:paraId="4E60CA02" w14:textId="1E7EF35F" w:rsidR="005710A4" w:rsidRPr="00A3389E" w:rsidRDefault="005710A4" w:rsidP="00155C96">
            <w:pPr>
              <w:pStyle w:val="Default"/>
              <w:spacing w:after="240"/>
              <w:jc w:val="both"/>
              <w:rPr>
                <w:rFonts w:ascii="Times New Roman" w:hAnsi="Times New Roman" w:cs="Times New Roman"/>
                <w:i/>
              </w:rPr>
            </w:pPr>
            <w:r w:rsidRPr="00A3389E">
              <w:rPr>
                <w:rFonts w:ascii="Times New Roman" w:hAnsi="Times New Roman" w:cs="Times New Roman"/>
              </w:rPr>
              <w:t>Súbory vzájomného započítavania obsahujúce len derivátové nástroje uvedené</w:t>
            </w:r>
            <w:r w:rsidR="00A3389E">
              <w:rPr>
                <w:rFonts w:ascii="Times New Roman" w:hAnsi="Times New Roman" w:cs="Times New Roman"/>
              </w:rPr>
              <w:t xml:space="preserve"> v </w:t>
            </w:r>
            <w:r w:rsidRPr="00A3389E">
              <w:rPr>
                <w:rFonts w:ascii="Times New Roman" w:hAnsi="Times New Roman" w:cs="Times New Roman"/>
              </w:rPr>
              <w:t>prílohe II</w:t>
            </w:r>
            <w:r w:rsidR="00A3389E">
              <w:rPr>
                <w:rFonts w:ascii="Times New Roman" w:hAnsi="Times New Roman" w:cs="Times New Roman"/>
              </w:rPr>
              <w:t xml:space="preserve"> k </w:t>
            </w:r>
            <w:r w:rsidRPr="00A3389E">
              <w:rPr>
                <w:rFonts w:ascii="Times New Roman" w:hAnsi="Times New Roman" w:cs="Times New Roman"/>
              </w:rPr>
              <w:t>CRR</w:t>
            </w:r>
            <w:r w:rsidR="00A3389E">
              <w:rPr>
                <w:rFonts w:ascii="Times New Roman" w:hAnsi="Times New Roman" w:cs="Times New Roman"/>
              </w:rPr>
              <w:t xml:space="preserve"> a </w:t>
            </w:r>
            <w:r w:rsidRPr="00A3389E">
              <w:rPr>
                <w:rFonts w:ascii="Times New Roman" w:hAnsi="Times New Roman" w:cs="Times New Roman"/>
              </w:rPr>
              <w:t>transakcie</w:t>
            </w:r>
            <w:r w:rsidR="00A3389E">
              <w:rPr>
                <w:rFonts w:ascii="Times New Roman" w:hAnsi="Times New Roman" w:cs="Times New Roman"/>
              </w:rPr>
              <w:t xml:space="preserve"> s </w:t>
            </w:r>
            <w:r w:rsidRPr="00A3389E">
              <w:rPr>
                <w:rFonts w:ascii="Times New Roman" w:hAnsi="Times New Roman" w:cs="Times New Roman"/>
              </w:rPr>
              <w:t>dlhou dobou vyrovnania</w:t>
            </w:r>
            <w:r w:rsidR="00A3389E">
              <w:rPr>
                <w:rFonts w:ascii="Times New Roman" w:hAnsi="Times New Roman" w:cs="Times New Roman"/>
              </w:rPr>
              <w:t xml:space="preserve"> v </w:t>
            </w:r>
            <w:r w:rsidRPr="00A3389E">
              <w:rPr>
                <w:rFonts w:ascii="Times New Roman" w:hAnsi="Times New Roman" w:cs="Times New Roman"/>
              </w:rPr>
              <w:t>zmysle vymedzenia</w:t>
            </w:r>
            <w:r w:rsidR="00A3389E">
              <w:rPr>
                <w:rFonts w:ascii="Times New Roman" w:hAnsi="Times New Roman" w:cs="Times New Roman"/>
              </w:rPr>
              <w:t xml:space="preserve"> v </w:t>
            </w:r>
            <w:r w:rsidRPr="00A3389E">
              <w:rPr>
                <w:rFonts w:ascii="Times New Roman" w:hAnsi="Times New Roman" w:cs="Times New Roman"/>
              </w:rPr>
              <w:t>článku 272 bode 2 CRR,</w:t>
            </w:r>
            <w:r w:rsidR="00A3389E">
              <w:rPr>
                <w:rFonts w:ascii="Times New Roman" w:hAnsi="Times New Roman" w:cs="Times New Roman"/>
              </w:rPr>
              <w:t xml:space="preserve"> v </w:t>
            </w:r>
            <w:r w:rsidRPr="00A3389E">
              <w:rPr>
                <w:rFonts w:ascii="Times New Roman" w:hAnsi="Times New Roman" w:cs="Times New Roman"/>
              </w:rPr>
              <w:t>súvislosti</w:t>
            </w:r>
            <w:r w:rsidR="00A3389E">
              <w:rPr>
                <w:rFonts w:ascii="Times New Roman" w:hAnsi="Times New Roman" w:cs="Times New Roman"/>
              </w:rPr>
              <w:t xml:space="preserve"> s </w:t>
            </w:r>
            <w:r w:rsidRPr="00A3389E">
              <w:rPr>
                <w:rFonts w:ascii="Times New Roman" w:hAnsi="Times New Roman" w:cs="Times New Roman"/>
              </w:rPr>
              <w:t>ktorými sa inštitúciám povolilo určovať hodnotu expozície pomocou IMM.</w:t>
            </w:r>
          </w:p>
        </w:tc>
      </w:tr>
      <w:tr w:rsidR="005710A4" w:rsidRPr="00A3389E" w14:paraId="7C05BB47" w14:textId="77777777" w:rsidTr="00155C96">
        <w:trPr>
          <w:trHeight w:val="680"/>
        </w:trPr>
        <w:tc>
          <w:tcPr>
            <w:tcW w:w="1384" w:type="dxa"/>
          </w:tcPr>
          <w:p w14:paraId="18C1E7EF" w14:textId="77777777" w:rsidR="005710A4" w:rsidRPr="00A3389E" w:rsidRDefault="005710A4" w:rsidP="00155C96">
            <w:pPr>
              <w:pStyle w:val="Applicationdirecte"/>
              <w:spacing w:before="0" w:after="240"/>
              <w:jc w:val="center"/>
            </w:pPr>
            <w:r w:rsidRPr="00A3389E">
              <w:t>EU-2c</w:t>
            </w:r>
          </w:p>
        </w:tc>
        <w:tc>
          <w:tcPr>
            <w:tcW w:w="7655" w:type="dxa"/>
          </w:tcPr>
          <w:p w14:paraId="61EB8960" w14:textId="77777777" w:rsidR="005710A4" w:rsidRPr="00A3389E" w:rsidRDefault="005710A4" w:rsidP="00155C96">
            <w:pPr>
              <w:pStyle w:val="Default"/>
              <w:spacing w:after="240"/>
              <w:jc w:val="both"/>
              <w:rPr>
                <w:rFonts w:ascii="Times New Roman" w:hAnsi="Times New Roman" w:cs="Times New Roman"/>
                <w:b/>
              </w:rPr>
            </w:pPr>
            <w:r w:rsidRPr="00A3389E">
              <w:rPr>
                <w:rFonts w:ascii="Times New Roman" w:hAnsi="Times New Roman" w:cs="Times New Roman"/>
                <w:b/>
              </w:rPr>
              <w:t>Z čoho zo súborov vzájomného krížového započítavania produktov</w:t>
            </w:r>
          </w:p>
          <w:p w14:paraId="240201A4" w14:textId="452E6C04" w:rsidR="005710A4" w:rsidRPr="00A3389E" w:rsidRDefault="005710A4" w:rsidP="00155C96">
            <w:pPr>
              <w:pStyle w:val="Default"/>
              <w:spacing w:after="240"/>
              <w:jc w:val="both"/>
              <w:rPr>
                <w:rFonts w:ascii="Times New Roman" w:hAnsi="Times New Roman" w:cs="Times New Roman"/>
                <w:i/>
              </w:rPr>
            </w:pPr>
            <w:r w:rsidRPr="00A3389E">
              <w:rPr>
                <w:rFonts w:ascii="Times New Roman" w:hAnsi="Times New Roman" w:cs="Times New Roman"/>
              </w:rPr>
              <w:t>Súbory vzájomného započítavania obsahujúce transakcie rôznych kategórií produktov (článok 272 bod 11 CRR), t. j. deriváty</w:t>
            </w:r>
            <w:r w:rsidR="00A3389E">
              <w:rPr>
                <w:rFonts w:ascii="Times New Roman" w:hAnsi="Times New Roman" w:cs="Times New Roman"/>
              </w:rPr>
              <w:t xml:space="preserve"> a </w:t>
            </w:r>
            <w:r w:rsidRPr="00A3389E">
              <w:rPr>
                <w:rFonts w:ascii="Times New Roman" w:hAnsi="Times New Roman" w:cs="Times New Roman"/>
              </w:rPr>
              <w:t>SFT, pre ktoré existuje dohoda</w:t>
            </w:r>
            <w:r w:rsidR="00A3389E">
              <w:rPr>
                <w:rFonts w:ascii="Times New Roman" w:hAnsi="Times New Roman" w:cs="Times New Roman"/>
              </w:rPr>
              <w:t xml:space="preserve"> o </w:t>
            </w:r>
            <w:r w:rsidRPr="00A3389E">
              <w:rPr>
                <w:rFonts w:ascii="Times New Roman" w:hAnsi="Times New Roman" w:cs="Times New Roman"/>
              </w:rPr>
              <w:t>vzájomnom krížovom započítavaní produktov</w:t>
            </w:r>
            <w:r w:rsidR="00A3389E">
              <w:rPr>
                <w:rFonts w:ascii="Times New Roman" w:hAnsi="Times New Roman" w:cs="Times New Roman"/>
              </w:rPr>
              <w:t xml:space="preserve"> v </w:t>
            </w:r>
            <w:r w:rsidRPr="00A3389E">
              <w:rPr>
                <w:rFonts w:ascii="Times New Roman" w:hAnsi="Times New Roman" w:cs="Times New Roman"/>
              </w:rPr>
              <w:t>zmysle vymedzenia</w:t>
            </w:r>
            <w:r w:rsidR="00A3389E">
              <w:rPr>
                <w:rFonts w:ascii="Times New Roman" w:hAnsi="Times New Roman" w:cs="Times New Roman"/>
              </w:rPr>
              <w:t xml:space="preserve"> v </w:t>
            </w:r>
            <w:r w:rsidRPr="00A3389E">
              <w:rPr>
                <w:rFonts w:ascii="Times New Roman" w:hAnsi="Times New Roman" w:cs="Times New Roman"/>
              </w:rPr>
              <w:t>článku 272 bode 25 CRR</w:t>
            </w:r>
            <w:r w:rsidR="00A3389E">
              <w:rPr>
                <w:rFonts w:ascii="Times New Roman" w:hAnsi="Times New Roman" w:cs="Times New Roman"/>
              </w:rPr>
              <w:t xml:space="preserve"> a v </w:t>
            </w:r>
            <w:r w:rsidRPr="00A3389E">
              <w:rPr>
                <w:rFonts w:ascii="Times New Roman" w:hAnsi="Times New Roman" w:cs="Times New Roman"/>
              </w:rPr>
              <w:t>súvislosti</w:t>
            </w:r>
            <w:r w:rsidR="00A3389E">
              <w:rPr>
                <w:rFonts w:ascii="Times New Roman" w:hAnsi="Times New Roman" w:cs="Times New Roman"/>
              </w:rPr>
              <w:t xml:space="preserve"> s </w:t>
            </w:r>
            <w:r w:rsidRPr="00A3389E">
              <w:rPr>
                <w:rFonts w:ascii="Times New Roman" w:hAnsi="Times New Roman" w:cs="Times New Roman"/>
              </w:rPr>
              <w:t>ktorými sa inštitúciám povolilo určovať hodnotu expozície pomocou IMM.</w:t>
            </w:r>
          </w:p>
        </w:tc>
      </w:tr>
      <w:tr w:rsidR="005710A4" w:rsidRPr="00A3389E" w14:paraId="0575C386" w14:textId="77777777" w:rsidTr="00155C96">
        <w:trPr>
          <w:trHeight w:val="680"/>
        </w:trPr>
        <w:tc>
          <w:tcPr>
            <w:tcW w:w="1384" w:type="dxa"/>
          </w:tcPr>
          <w:p w14:paraId="02EE96AC" w14:textId="411FD751" w:rsidR="005710A4" w:rsidRPr="00A3389E" w:rsidRDefault="00A03D37" w:rsidP="00A03D37">
            <w:pPr>
              <w:pStyle w:val="Applicationdirecte"/>
              <w:spacing w:before="0" w:after="240"/>
              <w:jc w:val="center"/>
            </w:pPr>
            <w:r w:rsidRPr="00A3389E">
              <w:t>3, 4</w:t>
            </w:r>
          </w:p>
        </w:tc>
        <w:tc>
          <w:tcPr>
            <w:tcW w:w="7655" w:type="dxa"/>
          </w:tcPr>
          <w:p w14:paraId="1616EBF9" w14:textId="1A1EB7B4" w:rsidR="005710A4" w:rsidRPr="00A3389E" w:rsidRDefault="005710A4" w:rsidP="00155C96">
            <w:pPr>
              <w:pStyle w:val="TableMainHeading"/>
              <w:spacing w:before="0" w:after="240"/>
              <w:jc w:val="both"/>
              <w:rPr>
                <w:rFonts w:ascii="Times New Roman" w:hAnsi="Times New Roman"/>
                <w:b/>
                <w:sz w:val="24"/>
                <w:szCs w:val="24"/>
              </w:rPr>
            </w:pPr>
            <w:r w:rsidRPr="00A3389E">
              <w:rPr>
                <w:rFonts w:ascii="Times New Roman" w:hAnsi="Times New Roman"/>
                <w:b/>
                <w:sz w:val="24"/>
                <w:szCs w:val="24"/>
              </w:rPr>
              <w:t>Jednoduchá metóda nakladania</w:t>
            </w:r>
            <w:r w:rsidR="00A3389E">
              <w:rPr>
                <w:rFonts w:ascii="Times New Roman" w:hAnsi="Times New Roman"/>
                <w:b/>
                <w:sz w:val="24"/>
                <w:szCs w:val="24"/>
              </w:rPr>
              <w:t xml:space="preserve"> s </w:t>
            </w:r>
            <w:r w:rsidRPr="00A3389E">
              <w:rPr>
                <w:rFonts w:ascii="Times New Roman" w:hAnsi="Times New Roman"/>
                <w:b/>
                <w:sz w:val="24"/>
                <w:szCs w:val="24"/>
              </w:rPr>
              <w:t>finančným kolaterálom (pre SFT)</w:t>
            </w:r>
            <w:r w:rsidR="00A3389E">
              <w:rPr>
                <w:rFonts w:ascii="Times New Roman" w:hAnsi="Times New Roman"/>
                <w:b/>
                <w:sz w:val="24"/>
                <w:szCs w:val="24"/>
              </w:rPr>
              <w:t xml:space="preserve"> a </w:t>
            </w:r>
            <w:r w:rsidRPr="00A3389E">
              <w:rPr>
                <w:rFonts w:ascii="Times New Roman" w:hAnsi="Times New Roman"/>
                <w:b/>
                <w:sz w:val="24"/>
                <w:szCs w:val="24"/>
              </w:rPr>
              <w:t>súhrnná metóda nakladania</w:t>
            </w:r>
            <w:r w:rsidR="00A3389E">
              <w:rPr>
                <w:rFonts w:ascii="Times New Roman" w:hAnsi="Times New Roman"/>
                <w:b/>
                <w:sz w:val="24"/>
                <w:szCs w:val="24"/>
              </w:rPr>
              <w:t xml:space="preserve"> s </w:t>
            </w:r>
            <w:r w:rsidRPr="00A3389E">
              <w:rPr>
                <w:rFonts w:ascii="Times New Roman" w:hAnsi="Times New Roman"/>
                <w:b/>
                <w:sz w:val="24"/>
                <w:szCs w:val="24"/>
              </w:rPr>
              <w:t>finančným kolaterálom (pre SFT)</w:t>
            </w:r>
          </w:p>
          <w:p w14:paraId="08677EBD" w14:textId="4447107C" w:rsidR="005710A4" w:rsidRPr="00A3389E" w:rsidRDefault="005710A4" w:rsidP="00155C96">
            <w:pPr>
              <w:pStyle w:val="TableMainHeading"/>
              <w:spacing w:before="0" w:after="240"/>
              <w:jc w:val="both"/>
              <w:rPr>
                <w:rFonts w:ascii="Times New Roman" w:hAnsi="Times New Roman"/>
                <w:i/>
                <w:sz w:val="24"/>
                <w:szCs w:val="24"/>
              </w:rPr>
            </w:pPr>
            <w:r w:rsidRPr="00A3389E">
              <w:rPr>
                <w:rFonts w:ascii="Times New Roman" w:hAnsi="Times New Roman"/>
                <w:sz w:val="24"/>
                <w:szCs w:val="24"/>
              </w:rPr>
              <w:lastRenderedPageBreak/>
              <w:t>Repo transakcie, transakcie požičiavania alebo vypožičiavania cenných papierov alebo komodít</w:t>
            </w:r>
            <w:r w:rsidR="00A3389E">
              <w:rPr>
                <w:rFonts w:ascii="Times New Roman" w:hAnsi="Times New Roman"/>
                <w:sz w:val="24"/>
                <w:szCs w:val="24"/>
              </w:rPr>
              <w:t xml:space="preserve"> a </w:t>
            </w:r>
            <w:r w:rsidRPr="00A3389E">
              <w:rPr>
                <w:rFonts w:ascii="Times New Roman" w:hAnsi="Times New Roman"/>
                <w:sz w:val="24"/>
                <w:szCs w:val="24"/>
              </w:rPr>
              <w:t>transakcie požičiavania</w:t>
            </w:r>
            <w:r w:rsidR="00A3389E">
              <w:rPr>
                <w:rFonts w:ascii="Times New Roman" w:hAnsi="Times New Roman"/>
                <w:sz w:val="24"/>
                <w:szCs w:val="24"/>
              </w:rPr>
              <w:t xml:space="preserve"> s </w:t>
            </w:r>
            <w:r w:rsidRPr="00A3389E">
              <w:rPr>
                <w:rFonts w:ascii="Times New Roman" w:hAnsi="Times New Roman"/>
                <w:sz w:val="24"/>
                <w:szCs w:val="24"/>
              </w:rPr>
              <w:t>dozabezpečením, pri ktorých sa inštitúcie rozhodli určovať hodnotu expozície</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treťou časťou hlavou II kapitolou 4 článkami 222</w:t>
            </w:r>
            <w:r w:rsidR="00A3389E">
              <w:rPr>
                <w:rFonts w:ascii="Times New Roman" w:hAnsi="Times New Roman"/>
                <w:sz w:val="24"/>
                <w:szCs w:val="24"/>
              </w:rPr>
              <w:t xml:space="preserve"> a </w:t>
            </w:r>
            <w:r w:rsidRPr="00A3389E">
              <w:rPr>
                <w:rFonts w:ascii="Times New Roman" w:hAnsi="Times New Roman"/>
                <w:sz w:val="24"/>
                <w:szCs w:val="24"/>
              </w:rPr>
              <w:t>223 CRR,</w:t>
            </w:r>
            <w:r w:rsidR="00A3389E">
              <w:rPr>
                <w:rFonts w:ascii="Times New Roman" w:hAnsi="Times New Roman"/>
                <w:sz w:val="24"/>
                <w:szCs w:val="24"/>
              </w:rPr>
              <w:t xml:space="preserve"> a </w:t>
            </w:r>
            <w:r w:rsidRPr="00A3389E">
              <w:rPr>
                <w:rFonts w:ascii="Times New Roman" w:hAnsi="Times New Roman"/>
                <w:sz w:val="24"/>
                <w:szCs w:val="24"/>
              </w:rPr>
              <w:t>nie</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treťou časťou hlavou II kapitolou 6 článkom 271 ods. 2 CRR.</w:t>
            </w:r>
          </w:p>
        </w:tc>
      </w:tr>
      <w:tr w:rsidR="005710A4" w:rsidRPr="00A3389E" w14:paraId="5E414CD6" w14:textId="77777777" w:rsidTr="00155C96">
        <w:trPr>
          <w:trHeight w:val="680"/>
        </w:trPr>
        <w:tc>
          <w:tcPr>
            <w:tcW w:w="1384" w:type="dxa"/>
          </w:tcPr>
          <w:p w14:paraId="11DA9B43" w14:textId="315F2872" w:rsidR="005710A4" w:rsidRPr="00A3389E" w:rsidRDefault="005F3D92" w:rsidP="00155C96">
            <w:pPr>
              <w:pStyle w:val="Applicationdirecte"/>
              <w:spacing w:before="0" w:after="240"/>
              <w:jc w:val="center"/>
              <w:rPr>
                <w:highlight w:val="yellow"/>
              </w:rPr>
            </w:pPr>
            <w:r w:rsidRPr="00A3389E">
              <w:lastRenderedPageBreak/>
              <w:t>5</w:t>
            </w:r>
          </w:p>
        </w:tc>
        <w:tc>
          <w:tcPr>
            <w:tcW w:w="7655" w:type="dxa"/>
          </w:tcPr>
          <w:p w14:paraId="0A8319EE" w14:textId="77777777" w:rsidR="005710A4" w:rsidRPr="00A3389E" w:rsidRDefault="005710A4" w:rsidP="00155C96">
            <w:pPr>
              <w:pStyle w:val="TableMainHeading"/>
              <w:spacing w:before="0" w:after="240"/>
              <w:jc w:val="both"/>
              <w:rPr>
                <w:rFonts w:ascii="Times New Roman" w:hAnsi="Times New Roman"/>
                <w:b/>
                <w:sz w:val="24"/>
                <w:szCs w:val="24"/>
              </w:rPr>
            </w:pPr>
            <w:r w:rsidRPr="00A3389E">
              <w:rPr>
                <w:rFonts w:ascii="Times New Roman" w:hAnsi="Times New Roman"/>
                <w:b/>
                <w:sz w:val="24"/>
                <w:szCs w:val="24"/>
              </w:rPr>
              <w:t>VaR pre SFT</w:t>
            </w:r>
          </w:p>
          <w:p w14:paraId="628688F7" w14:textId="7931C2D0" w:rsidR="005710A4" w:rsidRPr="00A3389E" w:rsidRDefault="005710A4" w:rsidP="00155C96">
            <w:pPr>
              <w:pStyle w:val="TableMainHeading"/>
              <w:spacing w:before="0" w:after="240"/>
              <w:jc w:val="both"/>
              <w:rPr>
                <w:rFonts w:ascii="Times New Roman" w:hAnsi="Times New Roman"/>
                <w:i/>
                <w:sz w:val="24"/>
                <w:szCs w:val="24"/>
              </w:rPr>
            </w:pPr>
            <w:r w:rsidRPr="00A3389E">
              <w:rPr>
                <w:rFonts w:ascii="Times New Roman" w:hAnsi="Times New Roman"/>
                <w:sz w:val="24"/>
                <w:szCs w:val="24"/>
              </w:rPr>
              <w:t>Repo transakcie, transakcie požičiavania alebo vypožičiavania cenných papierov alebo komodít, transakcie požičiavania</w:t>
            </w:r>
            <w:r w:rsidR="00A3389E">
              <w:rPr>
                <w:rFonts w:ascii="Times New Roman" w:hAnsi="Times New Roman"/>
                <w:sz w:val="24"/>
                <w:szCs w:val="24"/>
              </w:rPr>
              <w:t xml:space="preserve"> s </w:t>
            </w:r>
            <w:r w:rsidRPr="00A3389E">
              <w:rPr>
                <w:rFonts w:ascii="Times New Roman" w:hAnsi="Times New Roman"/>
                <w:sz w:val="24"/>
                <w:szCs w:val="24"/>
              </w:rPr>
              <w:t>dozabezpečením alebo iné transakcie kapitálového trhu</w:t>
            </w:r>
            <w:r w:rsidR="00A3389E">
              <w:rPr>
                <w:rFonts w:ascii="Times New Roman" w:hAnsi="Times New Roman"/>
                <w:sz w:val="24"/>
                <w:szCs w:val="24"/>
              </w:rPr>
              <w:t xml:space="preserve"> s </w:t>
            </w:r>
            <w:r w:rsidRPr="00A3389E">
              <w:rPr>
                <w:rFonts w:ascii="Times New Roman" w:hAnsi="Times New Roman"/>
                <w:sz w:val="24"/>
                <w:szCs w:val="24"/>
              </w:rPr>
              <w:t>výnimkou derivátových transakcií, pri ktorých sa</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221 CRR hodnota expozície vypočítava</w:t>
            </w:r>
            <w:r w:rsidR="00A3389E">
              <w:rPr>
                <w:rFonts w:ascii="Times New Roman" w:hAnsi="Times New Roman"/>
                <w:sz w:val="24"/>
                <w:szCs w:val="24"/>
              </w:rPr>
              <w:t xml:space="preserve"> s </w:t>
            </w:r>
            <w:r w:rsidRPr="00A3389E">
              <w:rPr>
                <w:rFonts w:ascii="Times New Roman" w:hAnsi="Times New Roman"/>
                <w:sz w:val="24"/>
                <w:szCs w:val="24"/>
              </w:rPr>
              <w:t>použitím prístupu interného modelu (IMA), ktorý zohľadňuje účinky korelácie medzi pozíciami cenných papierov</w:t>
            </w:r>
            <w:r w:rsidR="00A3389E">
              <w:rPr>
                <w:rFonts w:ascii="Times New Roman" w:hAnsi="Times New Roman"/>
                <w:sz w:val="24"/>
                <w:szCs w:val="24"/>
              </w:rPr>
              <w:t xml:space="preserve"> v </w:t>
            </w:r>
            <w:r w:rsidRPr="00A3389E">
              <w:rPr>
                <w:rFonts w:ascii="Times New Roman" w:hAnsi="Times New Roman"/>
                <w:sz w:val="24"/>
                <w:szCs w:val="24"/>
              </w:rPr>
              <w:t>zmysle rámcovej dohody</w:t>
            </w:r>
            <w:r w:rsidR="00A3389E">
              <w:rPr>
                <w:rFonts w:ascii="Times New Roman" w:hAnsi="Times New Roman"/>
                <w:sz w:val="24"/>
                <w:szCs w:val="24"/>
              </w:rPr>
              <w:t xml:space="preserve"> o </w:t>
            </w:r>
            <w:r w:rsidRPr="00A3389E">
              <w:rPr>
                <w:rFonts w:ascii="Times New Roman" w:hAnsi="Times New Roman"/>
                <w:sz w:val="24"/>
                <w:szCs w:val="24"/>
              </w:rPr>
              <w:t>vzájomnom započítavaní, ako aj likviditu príslušných nástrojov.</w:t>
            </w:r>
          </w:p>
        </w:tc>
      </w:tr>
      <w:tr w:rsidR="005710A4" w:rsidRPr="00A3389E" w14:paraId="1B0E0B1F" w14:textId="77777777" w:rsidTr="00155C96">
        <w:trPr>
          <w:trHeight w:val="680"/>
        </w:trPr>
        <w:tc>
          <w:tcPr>
            <w:tcW w:w="1384" w:type="dxa"/>
          </w:tcPr>
          <w:p w14:paraId="0A2D972B" w14:textId="6094552B" w:rsidR="005710A4" w:rsidRPr="00A3389E" w:rsidRDefault="005F3D92" w:rsidP="00155C96">
            <w:pPr>
              <w:pStyle w:val="Applicationdirecte"/>
              <w:spacing w:before="0" w:after="240"/>
              <w:jc w:val="center"/>
            </w:pPr>
            <w:r w:rsidRPr="00A3389E">
              <w:t>6</w:t>
            </w:r>
          </w:p>
        </w:tc>
        <w:tc>
          <w:tcPr>
            <w:tcW w:w="7655" w:type="dxa"/>
          </w:tcPr>
          <w:p w14:paraId="120D15E7" w14:textId="77777777" w:rsidR="005710A4" w:rsidRPr="00A3389E" w:rsidRDefault="005710A4" w:rsidP="00155C96">
            <w:pPr>
              <w:pStyle w:val="TableMainHeading"/>
              <w:spacing w:before="0" w:after="240"/>
              <w:jc w:val="both"/>
              <w:rPr>
                <w:rFonts w:ascii="Times New Roman" w:hAnsi="Times New Roman"/>
                <w:b/>
                <w:sz w:val="24"/>
                <w:szCs w:val="24"/>
              </w:rPr>
            </w:pPr>
            <w:r w:rsidRPr="00A3389E">
              <w:rPr>
                <w:rFonts w:ascii="Times New Roman" w:hAnsi="Times New Roman"/>
                <w:b/>
                <w:sz w:val="24"/>
                <w:szCs w:val="24"/>
              </w:rPr>
              <w:t>Spolu</w:t>
            </w:r>
          </w:p>
        </w:tc>
      </w:tr>
      <w:tr w:rsidR="005710A4" w:rsidRPr="00A3389E"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A3389E" w:rsidRDefault="005710A4" w:rsidP="00155C96">
            <w:pPr>
              <w:pStyle w:val="Applicationdirecte"/>
              <w:spacing w:before="0" w:after="240"/>
              <w:jc w:val="center"/>
              <w:rPr>
                <w:b/>
              </w:rPr>
            </w:pPr>
            <w:r w:rsidRPr="00A3389E">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Vysvetlenie</w:t>
            </w:r>
          </w:p>
        </w:tc>
      </w:tr>
      <w:tr w:rsidR="005710A4" w:rsidRPr="00A3389E"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A3389E" w:rsidRDefault="005F3D92" w:rsidP="00155C96">
            <w:pPr>
              <w:pStyle w:val="Applicationdirecte"/>
              <w:spacing w:before="0" w:after="240"/>
              <w:jc w:val="center"/>
            </w:pPr>
            <w:r w:rsidRPr="00A3389E">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FFD8B8" w14:textId="20FF8DDB" w:rsidR="00A3389E" w:rsidRPr="00A3389E" w:rsidRDefault="005710A4" w:rsidP="00155C96">
            <w:pPr>
              <w:pStyle w:val="TableMainHeading"/>
              <w:spacing w:before="0" w:after="240"/>
              <w:jc w:val="both"/>
              <w:rPr>
                <w:rFonts w:ascii="Times New Roman" w:hAnsi="Times New Roman"/>
                <w:b/>
                <w:sz w:val="24"/>
                <w:szCs w:val="24"/>
              </w:rPr>
            </w:pPr>
            <w:r w:rsidRPr="00A3389E">
              <w:rPr>
                <w:rFonts w:ascii="Times New Roman" w:hAnsi="Times New Roman"/>
                <w:b/>
                <w:sz w:val="24"/>
                <w:szCs w:val="24"/>
              </w:rPr>
              <w:t>Reprodukčné náklady (RC)</w:t>
            </w:r>
            <w:r w:rsidR="00A3389E">
              <w:rPr>
                <w:rFonts w:ascii="Times New Roman" w:hAnsi="Times New Roman"/>
                <w:b/>
                <w:sz w:val="24"/>
                <w:szCs w:val="24"/>
              </w:rPr>
              <w:t xml:space="preserve"> a </w:t>
            </w:r>
            <w:r w:rsidRPr="00A3389E">
              <w:rPr>
                <w:rFonts w:ascii="Times New Roman" w:hAnsi="Times New Roman"/>
                <w:b/>
                <w:sz w:val="24"/>
                <w:szCs w:val="24"/>
              </w:rPr>
              <w:t>potenciálna budúca expozícia (PFE)</w:t>
            </w:r>
          </w:p>
          <w:p w14:paraId="385A7715" w14:textId="0724C221"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RC</w:t>
            </w:r>
            <w:r w:rsidR="00A3389E">
              <w:rPr>
                <w:rFonts w:ascii="Times New Roman" w:hAnsi="Times New Roman"/>
                <w:sz w:val="24"/>
                <w:szCs w:val="24"/>
              </w:rPr>
              <w:t xml:space="preserve"> a </w:t>
            </w:r>
            <w:r w:rsidRPr="00A3389E">
              <w:rPr>
                <w:rFonts w:ascii="Times New Roman" w:hAnsi="Times New Roman"/>
                <w:sz w:val="24"/>
                <w:szCs w:val="24"/>
              </w:rPr>
              <w:t>PFE sa vypočítajú takto:</w:t>
            </w:r>
          </w:p>
          <w:p w14:paraId="75C8F631" w14:textId="0CB1632E" w:rsidR="00A3389E"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treťou časťou hlavou II kapitolou 6 oddielom 5 článkom 282 ods. 3</w:t>
            </w:r>
            <w:r w:rsidR="00A3389E">
              <w:rPr>
                <w:rFonts w:ascii="Times New Roman" w:hAnsi="Times New Roman"/>
                <w:sz w:val="24"/>
                <w:szCs w:val="24"/>
              </w:rPr>
              <w:t xml:space="preserve"> a </w:t>
            </w:r>
            <w:r w:rsidRPr="00A3389E">
              <w:rPr>
                <w:rFonts w:ascii="Times New Roman" w:hAnsi="Times New Roman"/>
                <w:sz w:val="24"/>
                <w:szCs w:val="24"/>
              </w:rPr>
              <w:t>4 CRR pre metódu pôvodnej expozície (riadok EU-1 tohto vzoru),</w:t>
            </w:r>
          </w:p>
          <w:p w14:paraId="1E32A73B" w14:textId="255437D0"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treťou časťou hlavou II kapitolou 6 oddielom 5 článkom 281 CRR pre zjednodušený prístup SA-CCR (riadok EU-2 tohto vzoru),</w:t>
            </w:r>
          </w:p>
          <w:p w14:paraId="18463CE2" w14:textId="26701B78"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treťou časťou hlavou II kapitolou 6 oddielom 4 článkom 275</w:t>
            </w:r>
            <w:r w:rsidR="00A3389E">
              <w:rPr>
                <w:rFonts w:ascii="Times New Roman" w:hAnsi="Times New Roman"/>
                <w:sz w:val="24"/>
                <w:szCs w:val="24"/>
              </w:rPr>
              <w:t xml:space="preserve"> a </w:t>
            </w:r>
            <w:r w:rsidRPr="00A3389E">
              <w:rPr>
                <w:rFonts w:ascii="Times New Roman" w:hAnsi="Times New Roman"/>
                <w:sz w:val="24"/>
                <w:szCs w:val="24"/>
              </w:rPr>
              <w:t>oddielom 5 článkom 278 CRR pre prístup SA-CCR (riadok 1 tohto vzoru).</w:t>
            </w:r>
          </w:p>
          <w:p w14:paraId="599A5CCA" w14:textId="319E9C7D" w:rsidR="005710A4" w:rsidRPr="00A3389E" w:rsidRDefault="005710A4" w:rsidP="00155C96">
            <w:pPr>
              <w:spacing w:after="240"/>
              <w:rPr>
                <w:rFonts w:ascii="Times New Roman" w:hAnsi="Times New Roman" w:cs="Times New Roman"/>
              </w:rPr>
            </w:pPr>
            <w:r w:rsidRPr="00A3389E">
              <w:rPr>
                <w:rFonts w:ascii="Times New Roman" w:hAnsi="Times New Roman" w:cs="Times New Roman"/>
                <w:sz w:val="24"/>
              </w:rPr>
              <w:t>Inštitúcie zverejňujú</w:t>
            </w:r>
            <w:r w:rsidR="00A3389E">
              <w:rPr>
                <w:rFonts w:ascii="Times New Roman" w:hAnsi="Times New Roman" w:cs="Times New Roman"/>
                <w:sz w:val="24"/>
              </w:rPr>
              <w:t xml:space="preserve"> v </w:t>
            </w:r>
            <w:r w:rsidRPr="00A3389E">
              <w:rPr>
                <w:rFonts w:ascii="Times New Roman" w:hAnsi="Times New Roman" w:cs="Times New Roman"/>
                <w:sz w:val="24"/>
              </w:rPr>
              <w:t>príslušných riadkoch súčet reprodukčných nákladov všetkých súborov vzájomného započítavania.</w:t>
            </w:r>
          </w:p>
        </w:tc>
      </w:tr>
      <w:tr w:rsidR="005710A4" w:rsidRPr="00A3389E"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A3389E" w:rsidRDefault="005710A4" w:rsidP="005F3D92">
            <w:pPr>
              <w:pStyle w:val="Applicationdirecte"/>
              <w:spacing w:before="0" w:after="240"/>
              <w:jc w:val="center"/>
            </w:pPr>
            <w:r w:rsidRPr="00A3389E">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A3389E" w:rsidRDefault="005710A4" w:rsidP="00155C96">
            <w:pPr>
              <w:pStyle w:val="Default"/>
              <w:spacing w:after="240"/>
              <w:jc w:val="both"/>
              <w:rPr>
                <w:rFonts w:ascii="Times New Roman" w:hAnsi="Times New Roman" w:cs="Times New Roman"/>
                <w:b/>
              </w:rPr>
            </w:pPr>
            <w:r w:rsidRPr="00A3389E">
              <w:rPr>
                <w:rFonts w:ascii="Times New Roman" w:hAnsi="Times New Roman" w:cs="Times New Roman"/>
                <w:b/>
              </w:rPr>
              <w:t>Efektívna očakávaná pozitívna expozícia (EEPE)</w:t>
            </w:r>
          </w:p>
          <w:p w14:paraId="42C53635" w14:textId="1F14114F" w:rsidR="005710A4" w:rsidRPr="00A3389E" w:rsidRDefault="005710A4" w:rsidP="00155C96">
            <w:pPr>
              <w:pStyle w:val="Default"/>
              <w:spacing w:after="240"/>
              <w:jc w:val="both"/>
              <w:rPr>
                <w:rFonts w:ascii="Times New Roman" w:hAnsi="Times New Roman" w:cs="Times New Roman"/>
              </w:rPr>
            </w:pPr>
            <w:r w:rsidRPr="00A3389E">
              <w:rPr>
                <w:rFonts w:ascii="Times New Roman" w:hAnsi="Times New Roman" w:cs="Times New Roman"/>
              </w:rPr>
              <w:t>Efektívna očakávaná pozitívna expozícia (EEPE) súboru vzájomného započítavania je vymedzená</w:t>
            </w:r>
            <w:r w:rsidR="00A3389E">
              <w:rPr>
                <w:rFonts w:ascii="Times New Roman" w:hAnsi="Times New Roman" w:cs="Times New Roman"/>
              </w:rPr>
              <w:t xml:space="preserve"> v </w:t>
            </w:r>
            <w:r w:rsidRPr="00A3389E">
              <w:rPr>
                <w:rFonts w:ascii="Times New Roman" w:hAnsi="Times New Roman" w:cs="Times New Roman"/>
              </w:rPr>
              <w:t>článku 272 bode 22</w:t>
            </w:r>
            <w:r w:rsidR="00A3389E">
              <w:rPr>
                <w:rFonts w:ascii="Times New Roman" w:hAnsi="Times New Roman" w:cs="Times New Roman"/>
              </w:rPr>
              <w:t xml:space="preserve"> a </w:t>
            </w:r>
            <w:r w:rsidRPr="00A3389E">
              <w:rPr>
                <w:rFonts w:ascii="Times New Roman" w:hAnsi="Times New Roman" w:cs="Times New Roman"/>
              </w:rPr>
              <w:t>vypočítava sa</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článkom 284 ods. 6 CRR.</w:t>
            </w:r>
          </w:p>
          <w:p w14:paraId="22BD6067" w14:textId="679BBD93" w:rsidR="005710A4" w:rsidRPr="00A3389E" w:rsidRDefault="005710A4" w:rsidP="00155C96">
            <w:pPr>
              <w:pStyle w:val="Default"/>
              <w:spacing w:after="240"/>
              <w:jc w:val="both"/>
              <w:rPr>
                <w:rFonts w:ascii="Times New Roman" w:hAnsi="Times New Roman" w:cs="Times New Roman"/>
              </w:rPr>
            </w:pPr>
            <w:r w:rsidRPr="00A3389E">
              <w:rPr>
                <w:rFonts w:ascii="Times New Roman" w:hAnsi="Times New Roman" w:cs="Times New Roman"/>
              </w:rPr>
              <w:t>EEPE, ktorá sa tu má zverejňovať, je EEPE použitá na určenie požiadaviek na vlastné zdroje</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článkom 284 ods. 3 CRR, t. j. buď EEPE vypočítaná pomocou aktuálnych trhových údajov, alebo EEPE vypočítaná pomocou stresovej kalibrácie, podľa toho, čo vedie</w:t>
            </w:r>
            <w:r w:rsidR="00A3389E">
              <w:rPr>
                <w:rFonts w:ascii="Times New Roman" w:hAnsi="Times New Roman" w:cs="Times New Roman"/>
              </w:rPr>
              <w:t xml:space="preserve"> k </w:t>
            </w:r>
            <w:r w:rsidRPr="00A3389E">
              <w:rPr>
                <w:rFonts w:ascii="Times New Roman" w:hAnsi="Times New Roman" w:cs="Times New Roman"/>
              </w:rPr>
              <w:t>vyššej požiadavke na vlastné zdroje.</w:t>
            </w:r>
          </w:p>
          <w:p w14:paraId="56281E64" w14:textId="7C8D8BF5" w:rsidR="005710A4" w:rsidRPr="00A3389E" w:rsidRDefault="005710A4" w:rsidP="00155C96">
            <w:pPr>
              <w:pStyle w:val="Default"/>
              <w:spacing w:after="240"/>
              <w:jc w:val="both"/>
              <w:rPr>
                <w:rFonts w:ascii="Times New Roman" w:hAnsi="Times New Roman" w:cs="Times New Roman"/>
                <w:b/>
              </w:rPr>
            </w:pPr>
            <w:r w:rsidRPr="00A3389E">
              <w:rPr>
                <w:rFonts w:ascii="Times New Roman" w:hAnsi="Times New Roman" w:cs="Times New Roman"/>
              </w:rPr>
              <w:lastRenderedPageBreak/>
              <w:t>Inštitúcie</w:t>
            </w:r>
            <w:r w:rsidR="00A3389E">
              <w:rPr>
                <w:rFonts w:ascii="Times New Roman" w:hAnsi="Times New Roman" w:cs="Times New Roman"/>
              </w:rPr>
              <w:t xml:space="preserve"> v </w:t>
            </w:r>
            <w:r w:rsidRPr="00A3389E">
              <w:rPr>
                <w:rFonts w:ascii="Times New Roman" w:hAnsi="Times New Roman" w:cs="Times New Roman"/>
              </w:rPr>
              <w:t xml:space="preserve">opise sprevádzajúcom tento vzor špecifikujú, ktorú EEPE uviedli. </w:t>
            </w:r>
          </w:p>
        </w:tc>
      </w:tr>
      <w:tr w:rsidR="005710A4" w:rsidRPr="00A3389E"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A3389E" w:rsidRDefault="005710A4" w:rsidP="005F3D92">
            <w:pPr>
              <w:pStyle w:val="Applicationdirecte"/>
              <w:spacing w:before="0" w:after="240"/>
              <w:jc w:val="center"/>
            </w:pPr>
            <w:r w:rsidRPr="00A3389E">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A3389E" w:rsidRDefault="005710A4" w:rsidP="00155C96">
            <w:pPr>
              <w:pStyle w:val="Default"/>
              <w:spacing w:after="240"/>
              <w:jc w:val="both"/>
              <w:rPr>
                <w:rFonts w:ascii="Times New Roman" w:hAnsi="Times New Roman" w:cs="Times New Roman"/>
                <w:b/>
              </w:rPr>
            </w:pPr>
            <w:r w:rsidRPr="00A3389E">
              <w:rPr>
                <w:rFonts w:ascii="Times New Roman" w:hAnsi="Times New Roman" w:cs="Times New Roman"/>
                <w:b/>
              </w:rPr>
              <w:t>Alfa použitá na výpočet regulatórnej hodnoty expozície</w:t>
            </w:r>
          </w:p>
          <w:p w14:paraId="57DD8F13" w14:textId="5F36E281" w:rsidR="005710A4" w:rsidRPr="00A3389E" w:rsidRDefault="005710A4" w:rsidP="00155C96">
            <w:pPr>
              <w:pStyle w:val="Default"/>
              <w:spacing w:after="240"/>
              <w:jc w:val="both"/>
              <w:rPr>
                <w:rFonts w:ascii="Times New Roman" w:hAnsi="Times New Roman" w:cs="Times New Roman"/>
              </w:rPr>
            </w:pPr>
            <w:r w:rsidRPr="00A3389E">
              <w:rPr>
                <w:rFonts w:ascii="Times New Roman" w:hAnsi="Times New Roman" w:cs="Times New Roman"/>
              </w:rPr>
              <w:t>Hodnota α je</w:t>
            </w:r>
            <w:r w:rsidR="00A3389E">
              <w:rPr>
                <w:rFonts w:ascii="Times New Roman" w:hAnsi="Times New Roman" w:cs="Times New Roman"/>
              </w:rPr>
              <w:t xml:space="preserve"> v </w:t>
            </w:r>
            <w:r w:rsidRPr="00A3389E">
              <w:rPr>
                <w:rFonts w:ascii="Times New Roman" w:hAnsi="Times New Roman" w:cs="Times New Roman"/>
              </w:rPr>
              <w:t>riadkoch EU-1, EU-2</w:t>
            </w:r>
            <w:r w:rsidR="00A3389E">
              <w:rPr>
                <w:rFonts w:ascii="Times New Roman" w:hAnsi="Times New Roman" w:cs="Times New Roman"/>
              </w:rPr>
              <w:t xml:space="preserve"> a </w:t>
            </w:r>
            <w:r w:rsidRPr="00A3389E">
              <w:rPr>
                <w:rFonts w:ascii="Times New Roman" w:hAnsi="Times New Roman" w:cs="Times New Roman"/>
              </w:rPr>
              <w:t>1 tohto vzoru pevne stanovená na úrovni 1,4</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článkom 282 ods. 2, článkom 281 ods. 1</w:t>
            </w:r>
            <w:r w:rsidR="00A3389E">
              <w:rPr>
                <w:rFonts w:ascii="Times New Roman" w:hAnsi="Times New Roman" w:cs="Times New Roman"/>
              </w:rPr>
              <w:t xml:space="preserve"> a </w:t>
            </w:r>
            <w:r w:rsidRPr="00A3389E">
              <w:rPr>
                <w:rFonts w:ascii="Times New Roman" w:hAnsi="Times New Roman" w:cs="Times New Roman"/>
              </w:rPr>
              <w:t>článkom 274 ods. 2 CRR.</w:t>
            </w:r>
          </w:p>
          <w:p w14:paraId="69C6B9AC" w14:textId="4F90A429" w:rsidR="005710A4" w:rsidRPr="00A3389E" w:rsidRDefault="005710A4" w:rsidP="00155C96">
            <w:pPr>
              <w:pStyle w:val="Default"/>
              <w:spacing w:after="240"/>
              <w:jc w:val="both"/>
              <w:rPr>
                <w:rFonts w:ascii="Times New Roman" w:hAnsi="Times New Roman" w:cs="Times New Roman"/>
                <w:b/>
              </w:rPr>
            </w:pPr>
            <w:r w:rsidRPr="00A3389E">
              <w:rPr>
                <w:rFonts w:ascii="Times New Roman" w:hAnsi="Times New Roman" w:cs="Times New Roman"/>
              </w:rPr>
              <w:t>Na účely metódy interných modelov (IMM) môže mať α štandardnú hodnotu 1,4 alebo inú hodnotu, ak príslušné orgány požadujú vyššie α</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článkom 284 ods. 4 CRR alebo ak inštitúciám povolia, aby použili vlastné odhady</w:t>
            </w:r>
            <w:r w:rsidR="00A3389E">
              <w:rPr>
                <w:rFonts w:ascii="Times New Roman" w:hAnsi="Times New Roman" w:cs="Times New Roman"/>
              </w:rPr>
              <w:t xml:space="preserve"> v </w:t>
            </w:r>
            <w:r w:rsidRPr="00A3389E">
              <w:rPr>
                <w:rFonts w:ascii="Times New Roman" w:hAnsi="Times New Roman" w:cs="Times New Roman"/>
              </w:rPr>
              <w:t>súlade</w:t>
            </w:r>
            <w:r w:rsidR="00A3389E">
              <w:rPr>
                <w:rFonts w:ascii="Times New Roman" w:hAnsi="Times New Roman" w:cs="Times New Roman"/>
              </w:rPr>
              <w:t xml:space="preserve"> s </w:t>
            </w:r>
            <w:r w:rsidRPr="00A3389E">
              <w:rPr>
                <w:rFonts w:ascii="Times New Roman" w:hAnsi="Times New Roman" w:cs="Times New Roman"/>
              </w:rPr>
              <w:t>treťou časťou hlavou II kapitolou 6 oddielom 6 článkom 284 ods. 9 CRR.</w:t>
            </w:r>
          </w:p>
        </w:tc>
      </w:tr>
      <w:tr w:rsidR="005710A4" w:rsidRPr="00A3389E"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A3389E" w:rsidRDefault="005F3D92" w:rsidP="00155C96">
            <w:pPr>
              <w:pStyle w:val="Applicationdirecte"/>
              <w:spacing w:before="0" w:after="240"/>
              <w:jc w:val="center"/>
            </w:pPr>
            <w:r w:rsidRPr="00A3389E">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Hodnota expozície pred zmierňovaním kreditného rizika</w:t>
            </w:r>
          </w:p>
          <w:p w14:paraId="3210D91E" w14:textId="2327C159"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Hodnota expozície pred zmierňovaním kreditného rizika pri obchodných činnostiach, na ktoré sa vzťahuje CCR, sa vypočítava</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metódami stanovenými</w:t>
            </w:r>
            <w:r w:rsidR="00A3389E">
              <w:rPr>
                <w:rFonts w:ascii="Times New Roman" w:hAnsi="Times New Roman"/>
                <w:sz w:val="24"/>
                <w:szCs w:val="24"/>
              </w:rPr>
              <w:t xml:space="preserve"> v </w:t>
            </w:r>
            <w:r w:rsidRPr="00A3389E">
              <w:rPr>
                <w:rFonts w:ascii="Times New Roman" w:hAnsi="Times New Roman"/>
                <w:sz w:val="24"/>
                <w:szCs w:val="24"/>
              </w:rPr>
              <w:t>tretej časti hlave II kapitolách 4</w:t>
            </w:r>
            <w:r w:rsidR="00A3389E">
              <w:rPr>
                <w:rFonts w:ascii="Times New Roman" w:hAnsi="Times New Roman"/>
                <w:sz w:val="24"/>
                <w:szCs w:val="24"/>
              </w:rPr>
              <w:t xml:space="preserve"> a </w:t>
            </w:r>
            <w:r w:rsidRPr="00A3389E">
              <w:rPr>
                <w:rFonts w:ascii="Times New Roman" w:hAnsi="Times New Roman"/>
                <w:sz w:val="24"/>
                <w:szCs w:val="24"/>
              </w:rPr>
              <w:t>6 CRR, pričom sa zohľadňuje účinok vzájomného započítavania, ale nezohľadňujú sa žiadne iné postupy zmierňovania kreditného rizika (napr. prostredníctvom maržového kolaterálu).</w:t>
            </w:r>
          </w:p>
          <w:p w14:paraId="517EA3C3" w14:textId="453A32E5" w:rsidR="00A3389E"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V prípade SFT sa časť týkajúca sa cenných papierov nezohľadňuje pri určovaní hodnoty expozície pred zmierňovaním kreditného rizika, keď sa kolaterál prijíma,</w:t>
            </w:r>
            <w:r w:rsidR="00A3389E">
              <w:rPr>
                <w:rFonts w:ascii="Times New Roman" w:hAnsi="Times New Roman"/>
                <w:sz w:val="24"/>
                <w:szCs w:val="24"/>
              </w:rPr>
              <w:t xml:space="preserve"> a </w:t>
            </w:r>
            <w:r w:rsidRPr="00A3389E">
              <w:rPr>
                <w:rFonts w:ascii="Times New Roman" w:hAnsi="Times New Roman"/>
                <w:sz w:val="24"/>
                <w:szCs w:val="24"/>
              </w:rPr>
              <w:t>preto neznižuje hodnotu expozície. Naopak, časť SFT týkajúca sa cenných papierov sa riadne zohľadňuje pri určovaní hodnoty expozície pred zmierňovaním kreditného rizika, keď sa kolaterál poskytuje</w:t>
            </w:r>
            <w:r w:rsidR="00A3389E" w:rsidRPr="00A3389E">
              <w:rPr>
                <w:rFonts w:ascii="Times New Roman" w:hAnsi="Times New Roman"/>
                <w:sz w:val="24"/>
                <w:szCs w:val="24"/>
              </w:rPr>
              <w:t>.</w:t>
            </w:r>
          </w:p>
          <w:p w14:paraId="2AB614AB" w14:textId="01F7265A"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Okrem toho sa</w:t>
            </w:r>
            <w:r w:rsidR="00A3389E">
              <w:rPr>
                <w:rFonts w:ascii="Times New Roman" w:hAnsi="Times New Roman"/>
                <w:sz w:val="24"/>
                <w:szCs w:val="24"/>
              </w:rPr>
              <w:t xml:space="preserve"> s </w:t>
            </w:r>
            <w:r w:rsidRPr="00A3389E">
              <w:rPr>
                <w:rFonts w:ascii="Times New Roman" w:hAnsi="Times New Roman"/>
                <w:sz w:val="24"/>
                <w:szCs w:val="24"/>
              </w:rPr>
              <w:t>obchodnou činnosťou, ktorá je zabezpečená kolaterálom, zaobchádza ako</w:t>
            </w:r>
            <w:r w:rsidR="00A3389E">
              <w:rPr>
                <w:rFonts w:ascii="Times New Roman" w:hAnsi="Times New Roman"/>
                <w:sz w:val="24"/>
                <w:szCs w:val="24"/>
              </w:rPr>
              <w:t xml:space="preserve"> s </w:t>
            </w:r>
            <w:r w:rsidRPr="00A3389E">
              <w:rPr>
                <w:rFonts w:ascii="Times New Roman" w:hAnsi="Times New Roman"/>
                <w:sz w:val="24"/>
                <w:szCs w:val="24"/>
              </w:rPr>
              <w:t>obchodnou činnosťou, ktorá nie je zabezpečená kolaterálom, t. j. neuplatňujú sa žiadne účinky dozabezpečenia.</w:t>
            </w:r>
          </w:p>
          <w:p w14:paraId="2643B5F2" w14:textId="5FDCA827"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V prípade transakcií, pri ktorých sa zistilo špecifické riziko nesprávnej voľby, sa hodnota expozície pred zmierňovaním kreditného rizika musí určiť</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291 CRR.</w:t>
            </w:r>
          </w:p>
          <w:p w14:paraId="0EA7C5E1" w14:textId="44C3BA6A"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V hodnote expozície pred zmierňovaním kreditného rizika sa nezohľadňuje odpočet vzniknutej straty</w:t>
            </w:r>
            <w:r w:rsidR="00A3389E">
              <w:rPr>
                <w:rFonts w:ascii="Times New Roman" w:hAnsi="Times New Roman" w:cs="Times New Roman"/>
                <w:sz w:val="24"/>
              </w:rPr>
              <w:t xml:space="preserve"> z </w:t>
            </w:r>
            <w:r w:rsidRPr="00A3389E">
              <w:rPr>
                <w:rFonts w:ascii="Times New Roman" w:hAnsi="Times New Roman" w:cs="Times New Roman"/>
                <w:sz w:val="24"/>
              </w:rPr>
              <w:t>úpravy ocenenia pohľadávok</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273 ods. 6 CRR.</w:t>
            </w:r>
          </w:p>
          <w:p w14:paraId="555F0EB8" w14:textId="2226F282" w:rsidR="005710A4" w:rsidRPr="00A3389E" w:rsidRDefault="005710A4" w:rsidP="00155C96">
            <w:pPr>
              <w:spacing w:after="240"/>
              <w:rPr>
                <w:rFonts w:ascii="Times New Roman" w:hAnsi="Times New Roman" w:cs="Times New Roman"/>
                <w:sz w:val="24"/>
              </w:rPr>
            </w:pPr>
            <w:r w:rsidRPr="00A3389E">
              <w:rPr>
                <w:rFonts w:ascii="Times New Roman" w:hAnsi="Times New Roman" w:cs="Times New Roman"/>
                <w:sz w:val="24"/>
              </w:rPr>
              <w:t>Inštitúcia zverejňuje</w:t>
            </w:r>
            <w:r w:rsidR="00A3389E">
              <w:rPr>
                <w:rFonts w:ascii="Times New Roman" w:hAnsi="Times New Roman" w:cs="Times New Roman"/>
                <w:sz w:val="24"/>
              </w:rPr>
              <w:t xml:space="preserve"> v </w:t>
            </w:r>
            <w:r w:rsidRPr="00A3389E">
              <w:rPr>
                <w:rFonts w:ascii="Times New Roman" w:hAnsi="Times New Roman" w:cs="Times New Roman"/>
                <w:sz w:val="24"/>
              </w:rPr>
              <w:t>príslušnom riadku súčet všetkých hodnôt expozície pred zmierňovaním kreditného rizika.</w:t>
            </w:r>
          </w:p>
        </w:tc>
      </w:tr>
      <w:tr w:rsidR="005710A4" w:rsidRPr="00A3389E"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A3389E" w:rsidRDefault="005710A4" w:rsidP="005F3D92">
            <w:pPr>
              <w:pStyle w:val="Applicationdirecte"/>
              <w:spacing w:before="0" w:after="240"/>
              <w:jc w:val="center"/>
            </w:pPr>
            <w:r w:rsidRPr="00A3389E">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Hodnota expozície (po zmierňovaní kreditného rizika)</w:t>
            </w:r>
          </w:p>
          <w:p w14:paraId="39EA24BE" w14:textId="1D953AA4"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Hodnota expozície po zmierňovaní kreditného rizika pri obchodných činnostiach, na ktoré sa vzťahuje CCR, sa vypočítava</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metódami stanovenými</w:t>
            </w:r>
            <w:r w:rsidR="00A3389E">
              <w:rPr>
                <w:rFonts w:ascii="Times New Roman" w:hAnsi="Times New Roman"/>
                <w:sz w:val="24"/>
                <w:szCs w:val="24"/>
              </w:rPr>
              <w:t xml:space="preserve"> v </w:t>
            </w:r>
            <w:r w:rsidRPr="00A3389E">
              <w:rPr>
                <w:rFonts w:ascii="Times New Roman" w:hAnsi="Times New Roman"/>
                <w:sz w:val="24"/>
                <w:szCs w:val="24"/>
              </w:rPr>
              <w:t>tretej časti hlave II kapitolách 4</w:t>
            </w:r>
            <w:r w:rsidR="00A3389E">
              <w:rPr>
                <w:rFonts w:ascii="Times New Roman" w:hAnsi="Times New Roman"/>
                <w:sz w:val="24"/>
                <w:szCs w:val="24"/>
              </w:rPr>
              <w:t xml:space="preserve"> a </w:t>
            </w:r>
            <w:r w:rsidRPr="00A3389E">
              <w:rPr>
                <w:rFonts w:ascii="Times New Roman" w:hAnsi="Times New Roman"/>
                <w:sz w:val="24"/>
                <w:szCs w:val="24"/>
              </w:rPr>
              <w:t xml:space="preserve">6 CRR po uplatnení postupov </w:t>
            </w:r>
            <w:r w:rsidRPr="00A3389E">
              <w:rPr>
                <w:rFonts w:ascii="Times New Roman" w:hAnsi="Times New Roman"/>
                <w:sz w:val="24"/>
                <w:szCs w:val="24"/>
              </w:rPr>
              <w:lastRenderedPageBreak/>
              <w:t>zmierňovania kreditného rizika, ktoré sú uplatniteľné</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treťou časťou hlavou II kapitolami 4</w:t>
            </w:r>
            <w:r w:rsidR="00A3389E">
              <w:rPr>
                <w:rFonts w:ascii="Times New Roman" w:hAnsi="Times New Roman"/>
                <w:sz w:val="24"/>
                <w:szCs w:val="24"/>
              </w:rPr>
              <w:t xml:space="preserve"> a </w:t>
            </w:r>
            <w:r w:rsidRPr="00A3389E">
              <w:rPr>
                <w:rFonts w:ascii="Times New Roman" w:hAnsi="Times New Roman"/>
                <w:sz w:val="24"/>
                <w:szCs w:val="24"/>
              </w:rPr>
              <w:t>6 CRR.</w:t>
            </w:r>
          </w:p>
          <w:p w14:paraId="669065D0" w14:textId="2A245B55"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V prípade transakcií, pri ktorých sa zistilo špecifické riziko nesprávnej voľby, sa hodnota expozície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291 CRR.</w:t>
            </w:r>
          </w:p>
          <w:p w14:paraId="4C9EBFC4" w14:textId="7CADDB49"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V súlade</w:t>
            </w:r>
            <w:r w:rsidR="00A3389E">
              <w:rPr>
                <w:rFonts w:ascii="Times New Roman" w:hAnsi="Times New Roman" w:cs="Times New Roman"/>
                <w:sz w:val="24"/>
              </w:rPr>
              <w:t xml:space="preserve"> s </w:t>
            </w:r>
            <w:r w:rsidRPr="00A3389E">
              <w:rPr>
                <w:rFonts w:ascii="Times New Roman" w:hAnsi="Times New Roman" w:cs="Times New Roman"/>
                <w:sz w:val="24"/>
              </w:rPr>
              <w:t>článkom 273 ods. 6 CRR sa vzniknutá strata</w:t>
            </w:r>
            <w:r w:rsidR="00A3389E">
              <w:rPr>
                <w:rFonts w:ascii="Times New Roman" w:hAnsi="Times New Roman" w:cs="Times New Roman"/>
                <w:sz w:val="24"/>
              </w:rPr>
              <w:t xml:space="preserve"> z </w:t>
            </w:r>
            <w:r w:rsidRPr="00A3389E">
              <w:rPr>
                <w:rFonts w:ascii="Times New Roman" w:hAnsi="Times New Roman" w:cs="Times New Roman"/>
                <w:sz w:val="24"/>
              </w:rPr>
              <w:t>úpravy ocenenia pohľadávok neodpočítava od hodnoty expozície po zmierňovaní kreditného rizika.</w:t>
            </w:r>
          </w:p>
          <w:p w14:paraId="012FAEEE" w14:textId="0E25670D" w:rsidR="005710A4" w:rsidRPr="00A3389E" w:rsidRDefault="005710A4" w:rsidP="00155C96">
            <w:pPr>
              <w:spacing w:after="240"/>
              <w:rPr>
                <w:rFonts w:ascii="Times New Roman" w:hAnsi="Times New Roman" w:cs="Times New Roman"/>
                <w:sz w:val="24"/>
              </w:rPr>
            </w:pPr>
            <w:r w:rsidRPr="00A3389E">
              <w:rPr>
                <w:rFonts w:ascii="Times New Roman" w:hAnsi="Times New Roman" w:cs="Times New Roman"/>
                <w:sz w:val="24"/>
              </w:rPr>
              <w:t>Inštitúcia zverejňuje</w:t>
            </w:r>
            <w:r w:rsidR="00A3389E">
              <w:rPr>
                <w:rFonts w:ascii="Times New Roman" w:hAnsi="Times New Roman" w:cs="Times New Roman"/>
                <w:sz w:val="24"/>
              </w:rPr>
              <w:t xml:space="preserve"> v </w:t>
            </w:r>
            <w:r w:rsidRPr="00A3389E">
              <w:rPr>
                <w:rFonts w:ascii="Times New Roman" w:hAnsi="Times New Roman" w:cs="Times New Roman"/>
                <w:sz w:val="24"/>
              </w:rPr>
              <w:t>príslušnom riadku súčet všetkých hodnôt expozície po zmierňovaní kreditného rizika.</w:t>
            </w:r>
          </w:p>
        </w:tc>
      </w:tr>
      <w:tr w:rsidR="005710A4" w:rsidRPr="00A3389E"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A3389E" w:rsidRDefault="005710A4" w:rsidP="005F3D92">
            <w:pPr>
              <w:pStyle w:val="Applicationdirecte"/>
              <w:spacing w:before="0" w:after="240"/>
              <w:jc w:val="center"/>
            </w:pPr>
            <w:r w:rsidRPr="00A3389E">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Hodnota expozície</w:t>
            </w:r>
          </w:p>
          <w:p w14:paraId="56E85DD0" w14:textId="5E829177"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Hodnota expozície pri obchodných činnostiach, na ktoré sa vzťahuje CCR, vypočítaná</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metódami stanovenými</w:t>
            </w:r>
            <w:r w:rsidR="00A3389E">
              <w:rPr>
                <w:rFonts w:ascii="Times New Roman" w:hAnsi="Times New Roman"/>
                <w:sz w:val="24"/>
                <w:szCs w:val="24"/>
              </w:rPr>
              <w:t xml:space="preserve"> v </w:t>
            </w:r>
            <w:r w:rsidRPr="00A3389E">
              <w:rPr>
                <w:rFonts w:ascii="Times New Roman" w:hAnsi="Times New Roman"/>
                <w:sz w:val="24"/>
                <w:szCs w:val="24"/>
              </w:rPr>
              <w:t>tretej časti hlave II kapitolách 4</w:t>
            </w:r>
            <w:r w:rsidR="00A3389E">
              <w:rPr>
                <w:rFonts w:ascii="Times New Roman" w:hAnsi="Times New Roman"/>
                <w:sz w:val="24"/>
                <w:szCs w:val="24"/>
              </w:rPr>
              <w:t xml:space="preserve"> a </w:t>
            </w:r>
            <w:r w:rsidRPr="00A3389E">
              <w:rPr>
                <w:rFonts w:ascii="Times New Roman" w:hAnsi="Times New Roman"/>
                <w:sz w:val="24"/>
                <w:szCs w:val="24"/>
              </w:rPr>
              <w:t>6 CRR, ktorá je relevantnou hodnotou na výpočet požiadavky na vlastné zdroje, t. j. po uplatnení príslušných postupov zmierňovania kreditného rizika</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treťou časťou hlavou II kapitolami 4</w:t>
            </w:r>
            <w:r w:rsidR="00A3389E">
              <w:rPr>
                <w:rFonts w:ascii="Times New Roman" w:hAnsi="Times New Roman"/>
                <w:sz w:val="24"/>
                <w:szCs w:val="24"/>
              </w:rPr>
              <w:t xml:space="preserve"> a </w:t>
            </w:r>
            <w:r w:rsidRPr="00A3389E">
              <w:rPr>
                <w:rFonts w:ascii="Times New Roman" w:hAnsi="Times New Roman"/>
                <w:sz w:val="24"/>
                <w:szCs w:val="24"/>
              </w:rPr>
              <w:t>6 CRR</w:t>
            </w:r>
            <w:r w:rsidR="00A3389E">
              <w:rPr>
                <w:rFonts w:ascii="Times New Roman" w:hAnsi="Times New Roman"/>
                <w:sz w:val="24"/>
                <w:szCs w:val="24"/>
              </w:rPr>
              <w:t xml:space="preserve"> a </w:t>
            </w:r>
            <w:r w:rsidRPr="00A3389E">
              <w:rPr>
                <w:rFonts w:ascii="Times New Roman" w:hAnsi="Times New Roman"/>
                <w:sz w:val="24"/>
                <w:szCs w:val="24"/>
              </w:rPr>
              <w:t>po zohľadnení odpočtu vzniknutej straty</w:t>
            </w:r>
            <w:r w:rsidR="00A3389E">
              <w:rPr>
                <w:rFonts w:ascii="Times New Roman" w:hAnsi="Times New Roman"/>
                <w:sz w:val="24"/>
                <w:szCs w:val="24"/>
              </w:rPr>
              <w:t xml:space="preserve"> z </w:t>
            </w:r>
            <w:r w:rsidRPr="00A3389E">
              <w:rPr>
                <w:rFonts w:ascii="Times New Roman" w:hAnsi="Times New Roman"/>
                <w:sz w:val="24"/>
                <w:szCs w:val="24"/>
              </w:rPr>
              <w:t>úpravy ocenenia pohľadávok</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273 ods. 6 CRR.</w:t>
            </w:r>
          </w:p>
          <w:p w14:paraId="2B63D9F1" w14:textId="5BB1D0D9"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Hodnota expozície</w:t>
            </w:r>
            <w:r w:rsidR="00A3389E">
              <w:rPr>
                <w:rFonts w:ascii="Times New Roman" w:hAnsi="Times New Roman" w:cs="Times New Roman"/>
                <w:sz w:val="24"/>
              </w:rPr>
              <w:t xml:space="preserve"> v </w:t>
            </w:r>
            <w:r w:rsidRPr="00A3389E">
              <w:rPr>
                <w:rFonts w:ascii="Times New Roman" w:hAnsi="Times New Roman" w:cs="Times New Roman"/>
                <w:sz w:val="24"/>
              </w:rPr>
              <w:t>prípade transakcií, pri ktorých sa zistilo špecifické riziko nesprávnej voľby,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291 CRR.</w:t>
            </w:r>
          </w:p>
          <w:p w14:paraId="30ACC32D" w14:textId="5BF32A37"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V prípadoch, keď sa pre jednu protistranu používa viac ako jeden prístup pre CCR, vzniknutá strata</w:t>
            </w:r>
            <w:r w:rsidR="00A3389E">
              <w:rPr>
                <w:rFonts w:ascii="Times New Roman" w:hAnsi="Times New Roman" w:cs="Times New Roman"/>
                <w:sz w:val="24"/>
              </w:rPr>
              <w:t xml:space="preserve"> z </w:t>
            </w:r>
            <w:r w:rsidRPr="00A3389E">
              <w:rPr>
                <w:rFonts w:ascii="Times New Roman" w:hAnsi="Times New Roman" w:cs="Times New Roman"/>
                <w:sz w:val="24"/>
              </w:rPr>
              <w:t>úpravy ocenenia pohľadávok, ktorá sa odpočítava na úrovni protistrany, sa</w:t>
            </w:r>
            <w:r w:rsidR="00A3389E">
              <w:rPr>
                <w:rFonts w:ascii="Times New Roman" w:hAnsi="Times New Roman" w:cs="Times New Roman"/>
                <w:sz w:val="24"/>
              </w:rPr>
              <w:t xml:space="preserve"> v </w:t>
            </w:r>
            <w:r w:rsidRPr="00A3389E">
              <w:rPr>
                <w:rFonts w:ascii="Times New Roman" w:hAnsi="Times New Roman" w:cs="Times New Roman"/>
                <w:sz w:val="24"/>
              </w:rPr>
              <w:t>rámci každého prístupu pre CCR priraďuje</w:t>
            </w:r>
            <w:r w:rsidR="00A3389E">
              <w:rPr>
                <w:rFonts w:ascii="Times New Roman" w:hAnsi="Times New Roman" w:cs="Times New Roman"/>
                <w:sz w:val="24"/>
              </w:rPr>
              <w:t xml:space="preserve"> k </w:t>
            </w:r>
            <w:r w:rsidRPr="00A3389E">
              <w:rPr>
                <w:rFonts w:ascii="Times New Roman" w:hAnsi="Times New Roman" w:cs="Times New Roman"/>
                <w:sz w:val="24"/>
              </w:rPr>
              <w:t>hodnote expozície rôznych súborov vzájomného započítavania, ktoré odrážajú pomer hodnoty expozície po zmierňovaní kreditného rizika príslušných súborov vzájomného započítavania</w:t>
            </w:r>
            <w:r w:rsidR="00A3389E">
              <w:rPr>
                <w:rFonts w:ascii="Times New Roman" w:hAnsi="Times New Roman" w:cs="Times New Roman"/>
                <w:sz w:val="24"/>
              </w:rPr>
              <w:t xml:space="preserve"> k </w:t>
            </w:r>
            <w:r w:rsidRPr="00A3389E">
              <w:rPr>
                <w:rFonts w:ascii="Times New Roman" w:hAnsi="Times New Roman" w:cs="Times New Roman"/>
                <w:sz w:val="24"/>
              </w:rPr>
              <w:t>celkovej hodnote expozície po zmierňovaní kreditného rizika protistrany.</w:t>
            </w:r>
          </w:p>
          <w:p w14:paraId="6EC859E8" w14:textId="4BCDF400" w:rsidR="005710A4" w:rsidRPr="00A3389E" w:rsidRDefault="005710A4" w:rsidP="00155C96">
            <w:pPr>
              <w:spacing w:after="240"/>
              <w:rPr>
                <w:rFonts w:ascii="Times New Roman" w:hAnsi="Times New Roman" w:cs="Times New Roman"/>
                <w:sz w:val="24"/>
              </w:rPr>
            </w:pPr>
            <w:r w:rsidRPr="00A3389E">
              <w:rPr>
                <w:rFonts w:ascii="Times New Roman" w:hAnsi="Times New Roman" w:cs="Times New Roman"/>
                <w:sz w:val="24"/>
              </w:rPr>
              <w:t>Inštitúcia zverejňuje</w:t>
            </w:r>
            <w:r w:rsidR="00A3389E">
              <w:rPr>
                <w:rFonts w:ascii="Times New Roman" w:hAnsi="Times New Roman" w:cs="Times New Roman"/>
                <w:sz w:val="24"/>
              </w:rPr>
              <w:t xml:space="preserve"> v </w:t>
            </w:r>
            <w:r w:rsidRPr="00A3389E">
              <w:rPr>
                <w:rFonts w:ascii="Times New Roman" w:hAnsi="Times New Roman" w:cs="Times New Roman"/>
                <w:sz w:val="24"/>
              </w:rPr>
              <w:t>príslušnom riadku súčet všetkých hodnôt expozície po zmierňovaní kreditného rizika.</w:t>
            </w:r>
          </w:p>
        </w:tc>
      </w:tr>
      <w:tr w:rsidR="005710A4" w:rsidRPr="00A3389E"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A3389E" w:rsidRDefault="005F3D92" w:rsidP="00155C96">
            <w:pPr>
              <w:pStyle w:val="Applicationdirecte"/>
              <w:spacing w:before="0" w:after="240"/>
              <w:jc w:val="center"/>
            </w:pPr>
            <w:r w:rsidRPr="00A3389E">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RWEA</w:t>
            </w:r>
          </w:p>
          <w:p w14:paraId="36D14BDF" w14:textId="26FE638E" w:rsidR="005710A4" w:rsidRPr="00A3389E" w:rsidRDefault="005710A4" w:rsidP="00155C96">
            <w:pPr>
              <w:pStyle w:val="TableMainHeading"/>
              <w:spacing w:before="0" w:after="240"/>
              <w:jc w:val="both"/>
              <w:rPr>
                <w:rFonts w:ascii="Times New Roman" w:hAnsi="Times New Roman"/>
                <w:sz w:val="24"/>
                <w:szCs w:val="24"/>
              </w:rPr>
            </w:pPr>
            <w:r w:rsidRPr="00A3389E">
              <w:rPr>
                <w:rFonts w:ascii="Times New Roman" w:hAnsi="Times New Roman"/>
                <w:sz w:val="24"/>
                <w:szCs w:val="24"/>
              </w:rPr>
              <w:t>Hodnoty rizikovo vážených expozícií</w:t>
            </w:r>
            <w:r w:rsidR="00A3389E">
              <w:rPr>
                <w:rFonts w:ascii="Times New Roman" w:hAnsi="Times New Roman"/>
                <w:sz w:val="24"/>
                <w:szCs w:val="24"/>
              </w:rPr>
              <w:t xml:space="preserve"> v </w:t>
            </w:r>
            <w:r w:rsidRPr="00A3389E">
              <w:rPr>
                <w:rFonts w:ascii="Times New Roman" w:hAnsi="Times New Roman"/>
                <w:sz w:val="24"/>
                <w:szCs w:val="24"/>
              </w:rPr>
              <w:t>zmysle vymedzenia</w:t>
            </w:r>
            <w:r w:rsidR="00A3389E">
              <w:rPr>
                <w:rFonts w:ascii="Times New Roman" w:hAnsi="Times New Roman"/>
                <w:sz w:val="24"/>
                <w:szCs w:val="24"/>
              </w:rPr>
              <w:t xml:space="preserve"> v </w:t>
            </w:r>
            <w:r w:rsidRPr="00A3389E">
              <w:rPr>
                <w:rFonts w:ascii="Times New Roman" w:hAnsi="Times New Roman"/>
                <w:sz w:val="24"/>
                <w:szCs w:val="24"/>
              </w:rPr>
              <w:t>článku 92 ods. 3</w:t>
            </w:r>
            <w:r w:rsidR="00A3389E">
              <w:rPr>
                <w:rFonts w:ascii="Times New Roman" w:hAnsi="Times New Roman"/>
                <w:sz w:val="24"/>
                <w:szCs w:val="24"/>
              </w:rPr>
              <w:t xml:space="preserve"> a </w:t>
            </w:r>
            <w:r w:rsidRPr="00A3389E">
              <w:rPr>
                <w:rFonts w:ascii="Times New Roman" w:hAnsi="Times New Roman"/>
                <w:sz w:val="24"/>
                <w:szCs w:val="24"/>
              </w:rPr>
              <w:t>4 CRR vypočítané</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107 CRR pre prvky, ktorých rizikové váhy sa odhadujú na základe požiadaviek uvedených</w:t>
            </w:r>
            <w:r w:rsidR="00A3389E">
              <w:rPr>
                <w:rFonts w:ascii="Times New Roman" w:hAnsi="Times New Roman"/>
                <w:sz w:val="24"/>
                <w:szCs w:val="24"/>
              </w:rPr>
              <w:t xml:space="preserve"> v </w:t>
            </w:r>
            <w:r w:rsidRPr="00A3389E">
              <w:rPr>
                <w:rFonts w:ascii="Times New Roman" w:hAnsi="Times New Roman"/>
                <w:sz w:val="24"/>
                <w:szCs w:val="24"/>
              </w:rPr>
              <w:t>tretej časti hlave II kapitolách 2</w:t>
            </w:r>
            <w:r w:rsidR="00A3389E">
              <w:rPr>
                <w:rFonts w:ascii="Times New Roman" w:hAnsi="Times New Roman"/>
                <w:sz w:val="24"/>
                <w:szCs w:val="24"/>
              </w:rPr>
              <w:t xml:space="preserve"> a </w:t>
            </w:r>
            <w:r w:rsidRPr="00A3389E">
              <w:rPr>
                <w:rFonts w:ascii="Times New Roman" w:hAnsi="Times New Roman"/>
                <w:sz w:val="24"/>
                <w:szCs w:val="24"/>
              </w:rPr>
              <w:t>3 CRR</w:t>
            </w:r>
            <w:r w:rsidR="00A3389E">
              <w:rPr>
                <w:rFonts w:ascii="Times New Roman" w:hAnsi="Times New Roman"/>
                <w:sz w:val="24"/>
                <w:szCs w:val="24"/>
              </w:rPr>
              <w:t xml:space="preserve"> a </w:t>
            </w:r>
            <w:r w:rsidRPr="00A3389E">
              <w:rPr>
                <w:rFonts w:ascii="Times New Roman" w:hAnsi="Times New Roman"/>
                <w:sz w:val="24"/>
                <w:szCs w:val="24"/>
              </w:rPr>
              <w:t>pri ktorých sa hodnota expozície pre obchodné činnosti, na ktoré sa vzťahuje CCR, vypočítava</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treťou časťou hlavou II kapitolami 4</w:t>
            </w:r>
            <w:r w:rsidR="00A3389E">
              <w:rPr>
                <w:rFonts w:ascii="Times New Roman" w:hAnsi="Times New Roman"/>
                <w:sz w:val="24"/>
                <w:szCs w:val="24"/>
              </w:rPr>
              <w:t xml:space="preserve"> a </w:t>
            </w:r>
            <w:r w:rsidRPr="00A3389E">
              <w:rPr>
                <w:rFonts w:ascii="Times New Roman" w:hAnsi="Times New Roman"/>
                <w:sz w:val="24"/>
                <w:szCs w:val="24"/>
              </w:rPr>
              <w:t>6 CRR.</w:t>
            </w:r>
          </w:p>
        </w:tc>
      </w:tr>
    </w:tbl>
    <w:p w14:paraId="3999B661" w14:textId="77777777" w:rsidR="00A3389E" w:rsidRPr="00A3389E" w:rsidRDefault="00A3389E" w:rsidP="005710A4">
      <w:pPr>
        <w:pStyle w:val="Titlelevel2"/>
        <w:spacing w:before="0"/>
        <w:rPr>
          <w:rFonts w:ascii="Times New Roman" w:hAnsi="Times New Roman" w:cs="Times New Roman"/>
          <w:b/>
          <w:color w:val="auto"/>
          <w:sz w:val="24"/>
        </w:rPr>
      </w:pPr>
    </w:p>
    <w:p w14:paraId="5E19CBFE" w14:textId="632C5883" w:rsidR="005710A4" w:rsidRPr="00A3389E" w:rsidRDefault="00CD362D" w:rsidP="005710A4">
      <w:pPr>
        <w:spacing w:after="240"/>
        <w:jc w:val="both"/>
        <w:rPr>
          <w:rFonts w:ascii="Times New Roman" w:hAnsi="Times New Roman" w:cs="Times New Roman"/>
          <w:sz w:val="24"/>
        </w:rPr>
      </w:pPr>
      <w:r w:rsidRPr="00A3389E">
        <w:rPr>
          <w:rFonts w:ascii="Times New Roman" w:hAnsi="Times New Roman" w:cs="Times New Roman"/>
          <w:b/>
          <w:sz w:val="24"/>
        </w:rPr>
        <w:t xml:space="preserve">Vzor EU CCR2 – Transakcie, na ktoré sa vzťahujú požiadavky na vlastné zdroje pre riziko úpravy ocenenia pohľadávok: </w:t>
      </w:r>
      <w:r w:rsidRPr="00A3389E">
        <w:rPr>
          <w:rFonts w:ascii="Times New Roman" w:hAnsi="Times New Roman" w:cs="Times New Roman"/>
          <w:sz w:val="24"/>
        </w:rPr>
        <w:t>Pevný formát</w:t>
      </w:r>
    </w:p>
    <w:p w14:paraId="1EB3C357" w14:textId="651DA834"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lastRenderedPageBreak/>
        <w:t>6.</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Inštitúcie</w:t>
      </w:r>
      <w:r w:rsidR="005710A4" w:rsidRPr="00A3389E">
        <w:rPr>
          <w:rFonts w:ascii="Times New Roman" w:hAnsi="Times New Roman" w:cs="Times New Roman"/>
          <w:bCs w:val="0"/>
          <w:color w:val="auto"/>
          <w:sz w:val="24"/>
        </w:rPr>
        <w:t xml:space="preserve"> zverejňujú informácie uvedené</w:t>
      </w:r>
      <w:r>
        <w:rPr>
          <w:rFonts w:ascii="Times New Roman" w:hAnsi="Times New Roman" w:cs="Times New Roman"/>
          <w:bCs w:val="0"/>
          <w:color w:val="auto"/>
          <w:sz w:val="24"/>
        </w:rPr>
        <w:t xml:space="preserve"> v </w:t>
      </w:r>
      <w:r w:rsidR="005710A4" w:rsidRPr="00A3389E">
        <w:rPr>
          <w:rFonts w:ascii="Times New Roman" w:hAnsi="Times New Roman" w:cs="Times New Roman"/>
          <w:bCs w:val="0"/>
          <w:color w:val="auto"/>
          <w:sz w:val="24"/>
        </w:rPr>
        <w:t>článku 439</w:t>
      </w:r>
      <w:r w:rsidR="005710A4" w:rsidRPr="00A3389E">
        <w:rPr>
          <w:rFonts w:ascii="Times New Roman" w:hAnsi="Times New Roman" w:cs="Times New Roman"/>
          <w:bCs w:val="0"/>
          <w:color w:val="000000"/>
          <w:sz w:val="24"/>
        </w:rPr>
        <w:t xml:space="preserve"> písm. h) CRR podľa pokynov uvedených nižšie</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cieľom vyplniť vzor EU CCR2, ktorý je uvedený</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prílohe XXV</w:t>
      </w:r>
      <w:r>
        <w:rPr>
          <w:rFonts w:ascii="Times New Roman" w:hAnsi="Times New Roman" w:cs="Times New Roman"/>
          <w:bCs w:val="0"/>
          <w:color w:val="000000"/>
          <w:sz w:val="24"/>
        </w:rPr>
        <w:t xml:space="preserve"> k </w:t>
      </w:r>
      <w:r w:rsidR="005710A4" w:rsidRPr="00A3389E">
        <w:rPr>
          <w:rFonts w:ascii="Times New Roman" w:hAnsi="Times New Roman" w:cs="Times New Roman"/>
          <w:bCs w:val="0"/>
          <w:color w:val="000000"/>
          <w:sz w:val="24"/>
        </w:rPr>
        <w:t>tomuto vykonávaciemu nariadeniu</w:t>
      </w:r>
      <w:r w:rsidR="005710A4" w:rsidRPr="00A3389E">
        <w:rPr>
          <w:rFonts w:ascii="Times New Roman" w:hAnsi="Times New Roman" w:cs="Times New Roman"/>
          <w:bCs w:val="0"/>
          <w:color w:val="auto"/>
          <w:sz w:val="24"/>
        </w:rPr>
        <w:t>.</w:t>
      </w:r>
    </w:p>
    <w:p w14:paraId="7159A1F1" w14:textId="1706EF9F" w:rsidR="005710A4" w:rsidRPr="00A3389E" w:rsidRDefault="00A3389E" w:rsidP="00A3389E">
      <w:pPr>
        <w:pStyle w:val="Titlelevel2"/>
        <w:spacing w:before="0"/>
        <w:ind w:left="720" w:hanging="360"/>
        <w:jc w:val="both"/>
        <w:rPr>
          <w:rFonts w:ascii="Times New Roman" w:hAnsi="Times New Roman" w:cs="Times New Roman"/>
          <w:b/>
          <w:color w:val="auto"/>
          <w:sz w:val="24"/>
        </w:rPr>
      </w:pPr>
      <w:r w:rsidRPr="00A3389E">
        <w:rPr>
          <w:rFonts w:ascii="Times New Roman" w:hAnsi="Times New Roman" w:cs="Times New Roman"/>
          <w:b/>
          <w:color w:val="auto"/>
          <w:sz w:val="24"/>
        </w:rPr>
        <w:t>7.</w:t>
      </w:r>
      <w:r w:rsidRPr="00A3389E">
        <w:rPr>
          <w:rFonts w:ascii="Times New Roman" w:hAnsi="Times New Roman" w:cs="Times New Roman"/>
          <w:b/>
          <w:color w:val="auto"/>
          <w:sz w:val="24"/>
        </w:rPr>
        <w:tab/>
      </w:r>
      <w:r w:rsidR="005710A4" w:rsidRPr="00A3389E">
        <w:rPr>
          <w:rFonts w:ascii="Times New Roman" w:hAnsi="Times New Roman" w:cs="Times New Roman"/>
          <w:color w:val="auto"/>
          <w:sz w:val="24"/>
        </w:rPr>
        <w:t>V tomto vzore sa vypĺňajú regulačné informácie</w:t>
      </w:r>
      <w:r>
        <w:rPr>
          <w:rFonts w:ascii="Times New Roman" w:hAnsi="Times New Roman" w:cs="Times New Roman"/>
          <w:color w:val="auto"/>
          <w:sz w:val="24"/>
        </w:rPr>
        <w:t xml:space="preserve"> o </w:t>
      </w:r>
      <w:r w:rsidR="005710A4" w:rsidRPr="00A3389E">
        <w:rPr>
          <w:rFonts w:ascii="Times New Roman" w:hAnsi="Times New Roman" w:cs="Times New Roman"/>
          <w:color w:val="auto"/>
          <w:sz w:val="24"/>
        </w:rPr>
        <w:t xml:space="preserve">úprave ocenenia pohľadávok pre všetky transakcie, na ktoré sa vzťahujú požiadavky na vlastné zdroje pre riziko úpravy ocenenia pohľadávok (tretia časť hlava VI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A3389E"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4ED4BAF2"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710A4" w:rsidRPr="00A3389E" w14:paraId="6682226A" w14:textId="77777777" w:rsidTr="00155C96">
        <w:trPr>
          <w:trHeight w:val="238"/>
        </w:trPr>
        <w:tc>
          <w:tcPr>
            <w:tcW w:w="1384" w:type="dxa"/>
            <w:shd w:val="clear" w:color="auto" w:fill="D9D9D9" w:themeFill="background1" w:themeFillShade="D9"/>
          </w:tcPr>
          <w:p w14:paraId="74155D64" w14:textId="77777777" w:rsidR="005710A4" w:rsidRPr="00A3389E" w:rsidRDefault="005710A4" w:rsidP="00155C96">
            <w:pPr>
              <w:autoSpaceDE w:val="0"/>
              <w:autoSpaceDN w:val="0"/>
              <w:adjustRightInd w:val="0"/>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72ACB3FF" w14:textId="77777777" w:rsidR="005710A4" w:rsidRPr="00A3389E" w:rsidRDefault="005710A4"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5710A4" w:rsidRPr="00A3389E" w14:paraId="0F42B361" w14:textId="77777777" w:rsidTr="00155C96">
        <w:trPr>
          <w:trHeight w:val="680"/>
        </w:trPr>
        <w:tc>
          <w:tcPr>
            <w:tcW w:w="1384" w:type="dxa"/>
          </w:tcPr>
          <w:p w14:paraId="296F2230" w14:textId="4EFDDC0D" w:rsidR="005710A4" w:rsidRPr="00A3389E" w:rsidRDefault="005F3D92" w:rsidP="00155C96">
            <w:pPr>
              <w:pStyle w:val="Applicationdirecte"/>
              <w:spacing w:before="0" w:after="240"/>
              <w:jc w:val="center"/>
            </w:pPr>
            <w:r w:rsidRPr="00A3389E">
              <w:t>1</w:t>
            </w:r>
          </w:p>
        </w:tc>
        <w:tc>
          <w:tcPr>
            <w:tcW w:w="7655" w:type="dxa"/>
            <w:vAlign w:val="center"/>
          </w:tcPr>
          <w:p w14:paraId="277F5192" w14:textId="62C28F77" w:rsidR="005710A4" w:rsidRPr="00A3389E" w:rsidRDefault="005710A4" w:rsidP="00155C96">
            <w:pPr>
              <w:pStyle w:val="TableNote"/>
              <w:spacing w:before="0" w:after="240"/>
              <w:rPr>
                <w:rFonts w:ascii="Times New Roman" w:hAnsi="Times New Roman"/>
                <w:b/>
                <w:sz w:val="24"/>
                <w:szCs w:val="24"/>
              </w:rPr>
            </w:pPr>
            <w:r w:rsidRPr="00A3389E">
              <w:rPr>
                <w:rFonts w:ascii="Times New Roman" w:hAnsi="Times New Roman"/>
                <w:b/>
                <w:sz w:val="24"/>
                <w:szCs w:val="24"/>
              </w:rPr>
              <w:t>Celkové transakcie, na ktoré sa vzťahuje pokročilá metóda</w:t>
            </w:r>
          </w:p>
          <w:p w14:paraId="5A69287A" w14:textId="274AE5D3" w:rsidR="005710A4" w:rsidRPr="00A3389E" w:rsidRDefault="005710A4" w:rsidP="00155C96">
            <w:pPr>
              <w:pStyle w:val="TableNote"/>
              <w:spacing w:before="0" w:after="240"/>
              <w:rPr>
                <w:rFonts w:ascii="Times New Roman" w:hAnsi="Times New Roman"/>
                <w:i/>
                <w:sz w:val="24"/>
                <w:szCs w:val="24"/>
              </w:rPr>
            </w:pPr>
            <w:r w:rsidRPr="00A3389E">
              <w:rPr>
                <w:rFonts w:ascii="Times New Roman" w:hAnsi="Times New Roman"/>
                <w:sz w:val="24"/>
                <w:szCs w:val="24"/>
              </w:rPr>
              <w:t>Transakcie, na ktoré sa vzťahuje pokročilá metóda výpočtu požiadaviek na vlastné zdroje pre riziko úpravy ocenenia pohľadávok</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383 CRR.</w:t>
            </w:r>
          </w:p>
        </w:tc>
      </w:tr>
      <w:tr w:rsidR="005710A4" w:rsidRPr="00A3389E" w14:paraId="4D09BE9A" w14:textId="77777777" w:rsidTr="00155C96">
        <w:trPr>
          <w:trHeight w:val="680"/>
        </w:trPr>
        <w:tc>
          <w:tcPr>
            <w:tcW w:w="1384" w:type="dxa"/>
          </w:tcPr>
          <w:p w14:paraId="0CE848AA" w14:textId="108606B7" w:rsidR="005710A4" w:rsidRPr="00A3389E" w:rsidRDefault="005F3D92" w:rsidP="00155C96">
            <w:pPr>
              <w:pStyle w:val="Applicationdirecte"/>
              <w:spacing w:before="0" w:after="240"/>
              <w:jc w:val="center"/>
            </w:pPr>
            <w:r w:rsidRPr="00A3389E">
              <w:t>2</w:t>
            </w:r>
          </w:p>
        </w:tc>
        <w:tc>
          <w:tcPr>
            <w:tcW w:w="7655" w:type="dxa"/>
            <w:vAlign w:val="center"/>
          </w:tcPr>
          <w:p w14:paraId="46384C9E" w14:textId="13BC9B09" w:rsidR="005710A4" w:rsidRPr="00A3389E" w:rsidRDefault="005710A4" w:rsidP="00155C96">
            <w:pPr>
              <w:pStyle w:val="TableNote"/>
              <w:spacing w:before="0" w:after="240"/>
              <w:rPr>
                <w:rFonts w:ascii="Times New Roman" w:hAnsi="Times New Roman"/>
                <w:b/>
                <w:sz w:val="24"/>
                <w:szCs w:val="24"/>
              </w:rPr>
            </w:pPr>
            <w:r w:rsidRPr="00A3389E">
              <w:rPr>
                <w:rFonts w:ascii="Times New Roman" w:hAnsi="Times New Roman"/>
                <w:b/>
                <w:sz w:val="24"/>
                <w:szCs w:val="24"/>
              </w:rPr>
              <w:t>Komponent hodnoty</w:t>
            </w:r>
            <w:r w:rsidR="00A3389E">
              <w:rPr>
                <w:rFonts w:ascii="Times New Roman" w:hAnsi="Times New Roman"/>
                <w:b/>
                <w:sz w:val="24"/>
                <w:szCs w:val="24"/>
              </w:rPr>
              <w:t xml:space="preserve"> v </w:t>
            </w:r>
            <w:r w:rsidRPr="00A3389E">
              <w:rPr>
                <w:rFonts w:ascii="Times New Roman" w:hAnsi="Times New Roman"/>
                <w:b/>
                <w:sz w:val="24"/>
                <w:szCs w:val="24"/>
              </w:rPr>
              <w:t>riziku (vrátane multiplikátora 3×)</w:t>
            </w:r>
          </w:p>
          <w:p w14:paraId="4F4250FF" w14:textId="7E84D255" w:rsidR="00A3389E" w:rsidRPr="00A3389E" w:rsidRDefault="005710A4" w:rsidP="00155C96">
            <w:pPr>
              <w:pStyle w:val="TableNote"/>
              <w:spacing w:before="0" w:after="240"/>
              <w:rPr>
                <w:rFonts w:ascii="Times New Roman" w:hAnsi="Times New Roman"/>
                <w:sz w:val="24"/>
                <w:szCs w:val="24"/>
              </w:rPr>
            </w:pPr>
            <w:r w:rsidRPr="00A3389E">
              <w:rPr>
                <w:rFonts w:ascii="Times New Roman" w:hAnsi="Times New Roman"/>
                <w:sz w:val="24"/>
                <w:szCs w:val="24"/>
              </w:rPr>
              <w:t>Transakcie, na ktoré sa vzťahujú požiadavky na vlastné zdroje pre riziko úpravy ocenenia pohľadávok</w:t>
            </w:r>
            <w:r w:rsidR="00A3389E">
              <w:rPr>
                <w:rFonts w:ascii="Times New Roman" w:hAnsi="Times New Roman"/>
                <w:sz w:val="24"/>
                <w:szCs w:val="24"/>
              </w:rPr>
              <w:t xml:space="preserve"> a </w:t>
            </w:r>
            <w:r w:rsidRPr="00A3389E">
              <w:rPr>
                <w:rFonts w:ascii="Times New Roman" w:hAnsi="Times New Roman"/>
                <w:sz w:val="24"/>
                <w:szCs w:val="24"/>
              </w:rPr>
              <w:t>pri ktorých sa hodnoty rizikovo vážených expozícií získavajú pomocou vzorca uvedeného</w:t>
            </w:r>
            <w:r w:rsidR="00A3389E">
              <w:rPr>
                <w:rFonts w:ascii="Times New Roman" w:hAnsi="Times New Roman"/>
                <w:sz w:val="24"/>
                <w:szCs w:val="24"/>
              </w:rPr>
              <w:t xml:space="preserve"> v </w:t>
            </w:r>
            <w:r w:rsidRPr="00A3389E">
              <w:rPr>
                <w:rFonts w:ascii="Times New Roman" w:hAnsi="Times New Roman"/>
                <w:sz w:val="24"/>
                <w:szCs w:val="24"/>
              </w:rPr>
              <w:t>článku 383 CRR</w:t>
            </w:r>
            <w:r w:rsidR="00A3389E">
              <w:rPr>
                <w:rFonts w:ascii="Times New Roman" w:hAnsi="Times New Roman"/>
                <w:sz w:val="24"/>
                <w:szCs w:val="24"/>
              </w:rPr>
              <w:t xml:space="preserve"> s </w:t>
            </w:r>
            <w:r w:rsidRPr="00A3389E">
              <w:rPr>
                <w:rFonts w:ascii="Times New Roman" w:hAnsi="Times New Roman"/>
                <w:sz w:val="24"/>
                <w:szCs w:val="24"/>
              </w:rPr>
              <w:t>použitím výpočtu VaR založeného na interných modeloch pre trhové riziko (s aktuálnymi kalibráciami parametrov pre očakávanú expozíciu, ako sa uvádza</w:t>
            </w:r>
            <w:r w:rsidR="00A3389E">
              <w:rPr>
                <w:rFonts w:ascii="Times New Roman" w:hAnsi="Times New Roman"/>
                <w:sz w:val="24"/>
                <w:szCs w:val="24"/>
              </w:rPr>
              <w:t xml:space="preserve"> v </w:t>
            </w:r>
            <w:r w:rsidRPr="00A3389E">
              <w:rPr>
                <w:rFonts w:ascii="Times New Roman" w:hAnsi="Times New Roman"/>
                <w:sz w:val="24"/>
                <w:szCs w:val="24"/>
              </w:rPr>
              <w:t>článku 292 ods. 2 prvom pododseku CRR)</w:t>
            </w:r>
            <w:r w:rsidR="00A3389E" w:rsidRPr="00A3389E">
              <w:rPr>
                <w:rFonts w:ascii="Times New Roman" w:hAnsi="Times New Roman"/>
                <w:sz w:val="24"/>
                <w:szCs w:val="24"/>
              </w:rPr>
              <w:t>.</w:t>
            </w:r>
          </w:p>
          <w:p w14:paraId="491F338F" w14:textId="6E368A47" w:rsidR="005710A4" w:rsidRPr="00A3389E" w:rsidRDefault="005710A4" w:rsidP="00155C96">
            <w:pPr>
              <w:pStyle w:val="TableNote"/>
              <w:spacing w:before="0" w:after="240"/>
              <w:rPr>
                <w:rFonts w:ascii="Times New Roman" w:hAnsi="Times New Roman"/>
                <w:i/>
                <w:sz w:val="24"/>
                <w:szCs w:val="24"/>
              </w:rPr>
            </w:pPr>
            <w:r w:rsidRPr="00A3389E">
              <w:rPr>
                <w:rFonts w:ascii="Times New Roman" w:hAnsi="Times New Roman"/>
                <w:sz w:val="24"/>
                <w:szCs w:val="24"/>
              </w:rPr>
              <w:t>Výpočet zahŕňa použitie multiplikátora</w:t>
            </w:r>
            <w:r w:rsidR="00A3389E">
              <w:rPr>
                <w:rFonts w:ascii="Times New Roman" w:hAnsi="Times New Roman"/>
                <w:sz w:val="24"/>
                <w:szCs w:val="24"/>
              </w:rPr>
              <w:t xml:space="preserve"> s </w:t>
            </w:r>
            <w:r w:rsidRPr="00A3389E">
              <w:rPr>
                <w:rFonts w:ascii="Times New Roman" w:hAnsi="Times New Roman"/>
                <w:sz w:val="24"/>
                <w:szCs w:val="24"/>
              </w:rPr>
              <w:t xml:space="preserve">hodnotou minimálne 3 (stanoveného orgánom dohľadu). </w:t>
            </w:r>
          </w:p>
        </w:tc>
      </w:tr>
      <w:tr w:rsidR="005710A4" w:rsidRPr="00A3389E" w14:paraId="24504A39" w14:textId="77777777" w:rsidTr="00155C96">
        <w:trPr>
          <w:trHeight w:val="680"/>
        </w:trPr>
        <w:tc>
          <w:tcPr>
            <w:tcW w:w="1384" w:type="dxa"/>
          </w:tcPr>
          <w:p w14:paraId="09E208FE" w14:textId="6660F7AA" w:rsidR="005710A4" w:rsidRPr="00A3389E" w:rsidRDefault="005F3D92" w:rsidP="005F3D92">
            <w:pPr>
              <w:pStyle w:val="Applicationdirecte"/>
              <w:spacing w:before="0" w:after="240"/>
              <w:jc w:val="center"/>
            </w:pPr>
            <w:r w:rsidRPr="00A3389E">
              <w:t>3</w:t>
            </w:r>
          </w:p>
        </w:tc>
        <w:tc>
          <w:tcPr>
            <w:tcW w:w="7655" w:type="dxa"/>
            <w:vAlign w:val="center"/>
          </w:tcPr>
          <w:p w14:paraId="3F7FB318" w14:textId="72A9FA17" w:rsidR="005710A4" w:rsidRPr="00A3389E" w:rsidRDefault="005710A4" w:rsidP="00155C96">
            <w:pPr>
              <w:pStyle w:val="TableNote"/>
              <w:spacing w:before="0" w:after="240"/>
              <w:rPr>
                <w:rFonts w:ascii="Times New Roman" w:hAnsi="Times New Roman"/>
                <w:b/>
                <w:sz w:val="24"/>
                <w:szCs w:val="24"/>
              </w:rPr>
            </w:pPr>
            <w:r w:rsidRPr="00A3389E">
              <w:rPr>
                <w:rFonts w:ascii="Times New Roman" w:hAnsi="Times New Roman"/>
                <w:b/>
                <w:sz w:val="24"/>
                <w:szCs w:val="24"/>
              </w:rPr>
              <w:t>Komponent stresovanej hodnoty</w:t>
            </w:r>
            <w:r w:rsidR="00A3389E">
              <w:rPr>
                <w:rFonts w:ascii="Times New Roman" w:hAnsi="Times New Roman"/>
                <w:b/>
                <w:sz w:val="24"/>
                <w:szCs w:val="24"/>
              </w:rPr>
              <w:t xml:space="preserve"> v </w:t>
            </w:r>
            <w:r w:rsidRPr="00A3389E">
              <w:rPr>
                <w:rFonts w:ascii="Times New Roman" w:hAnsi="Times New Roman"/>
                <w:b/>
                <w:sz w:val="24"/>
                <w:szCs w:val="24"/>
              </w:rPr>
              <w:t>riziku (vrátane multiplikátora 3×)</w:t>
            </w:r>
          </w:p>
          <w:p w14:paraId="709477D9" w14:textId="5A62B003" w:rsidR="00A3389E" w:rsidRPr="00A3389E" w:rsidRDefault="005710A4" w:rsidP="00155C96">
            <w:pPr>
              <w:pStyle w:val="TableNote"/>
              <w:spacing w:before="0" w:after="240"/>
              <w:rPr>
                <w:rFonts w:ascii="Times New Roman" w:hAnsi="Times New Roman"/>
                <w:sz w:val="24"/>
                <w:szCs w:val="24"/>
              </w:rPr>
            </w:pPr>
            <w:r w:rsidRPr="00A3389E">
              <w:rPr>
                <w:rFonts w:ascii="Times New Roman" w:hAnsi="Times New Roman"/>
                <w:sz w:val="24"/>
                <w:szCs w:val="24"/>
              </w:rPr>
              <w:t>Transakcie, na ktoré sa vzťahujú požiadavky na vlastné zdroje pre riziko úpravy ocenenia pohľadávok</w:t>
            </w:r>
            <w:r w:rsidR="00A3389E">
              <w:rPr>
                <w:rFonts w:ascii="Times New Roman" w:hAnsi="Times New Roman"/>
                <w:sz w:val="24"/>
                <w:szCs w:val="24"/>
              </w:rPr>
              <w:t xml:space="preserve"> a </w:t>
            </w:r>
            <w:r w:rsidRPr="00A3389E">
              <w:rPr>
                <w:rFonts w:ascii="Times New Roman" w:hAnsi="Times New Roman"/>
                <w:sz w:val="24"/>
                <w:szCs w:val="24"/>
              </w:rPr>
              <w:t>pri ktorých sa hodnoty rizikovo vážených expozícií získavajú pomocou vzorca uvedeného</w:t>
            </w:r>
            <w:r w:rsidR="00A3389E">
              <w:rPr>
                <w:rFonts w:ascii="Times New Roman" w:hAnsi="Times New Roman"/>
                <w:sz w:val="24"/>
                <w:szCs w:val="24"/>
              </w:rPr>
              <w:t xml:space="preserve"> v </w:t>
            </w:r>
            <w:r w:rsidRPr="00A3389E">
              <w:rPr>
                <w:rFonts w:ascii="Times New Roman" w:hAnsi="Times New Roman"/>
                <w:sz w:val="24"/>
                <w:szCs w:val="24"/>
              </w:rPr>
              <w:t>článku 383 CRR</w:t>
            </w:r>
            <w:r w:rsidR="00A3389E">
              <w:rPr>
                <w:rFonts w:ascii="Times New Roman" w:hAnsi="Times New Roman"/>
                <w:sz w:val="24"/>
                <w:szCs w:val="24"/>
              </w:rPr>
              <w:t xml:space="preserve"> s </w:t>
            </w:r>
            <w:r w:rsidRPr="00A3389E">
              <w:rPr>
                <w:rFonts w:ascii="Times New Roman" w:hAnsi="Times New Roman"/>
                <w:sz w:val="24"/>
                <w:szCs w:val="24"/>
              </w:rPr>
              <w:t>použitím výpočtu stresovanej hodnoty</w:t>
            </w:r>
            <w:r w:rsidR="00A3389E">
              <w:rPr>
                <w:rFonts w:ascii="Times New Roman" w:hAnsi="Times New Roman"/>
                <w:sz w:val="24"/>
                <w:szCs w:val="24"/>
              </w:rPr>
              <w:t xml:space="preserve"> v </w:t>
            </w:r>
            <w:r w:rsidRPr="00A3389E">
              <w:rPr>
                <w:rFonts w:ascii="Times New Roman" w:hAnsi="Times New Roman"/>
                <w:sz w:val="24"/>
                <w:szCs w:val="24"/>
              </w:rPr>
              <w:t>riziku založeného na interných modeloch pre trhové riziko (so stresovými parametrami na kalibráciu vzorca, ako sa uvádza</w:t>
            </w:r>
            <w:r w:rsidR="00A3389E">
              <w:rPr>
                <w:rFonts w:ascii="Times New Roman" w:hAnsi="Times New Roman"/>
                <w:sz w:val="24"/>
                <w:szCs w:val="24"/>
              </w:rPr>
              <w:t xml:space="preserve"> v </w:t>
            </w:r>
            <w:r w:rsidRPr="00A3389E">
              <w:rPr>
                <w:rFonts w:ascii="Times New Roman" w:hAnsi="Times New Roman"/>
                <w:sz w:val="24"/>
                <w:szCs w:val="24"/>
              </w:rPr>
              <w:t>článku 292 ods. 2 prvom pododseku CRR)</w:t>
            </w:r>
            <w:r w:rsidR="00A3389E" w:rsidRPr="00A3389E">
              <w:rPr>
                <w:rFonts w:ascii="Times New Roman" w:hAnsi="Times New Roman"/>
                <w:sz w:val="24"/>
                <w:szCs w:val="24"/>
              </w:rPr>
              <w:t>.</w:t>
            </w:r>
          </w:p>
          <w:p w14:paraId="0E13AFEA" w14:textId="373159F4" w:rsidR="005710A4" w:rsidRPr="00A3389E" w:rsidRDefault="005710A4" w:rsidP="00155C96">
            <w:pPr>
              <w:pStyle w:val="TableNote"/>
              <w:spacing w:before="0" w:after="240"/>
              <w:rPr>
                <w:rFonts w:ascii="Times New Roman" w:hAnsi="Times New Roman"/>
                <w:i/>
                <w:sz w:val="24"/>
                <w:szCs w:val="24"/>
              </w:rPr>
            </w:pPr>
            <w:r w:rsidRPr="00A3389E">
              <w:rPr>
                <w:rFonts w:ascii="Times New Roman" w:hAnsi="Times New Roman"/>
                <w:sz w:val="24"/>
                <w:szCs w:val="24"/>
              </w:rPr>
              <w:t>Výpočet zahŕňa použitie multiplikátora</w:t>
            </w:r>
            <w:r w:rsidR="00A3389E">
              <w:rPr>
                <w:rFonts w:ascii="Times New Roman" w:hAnsi="Times New Roman"/>
                <w:sz w:val="24"/>
                <w:szCs w:val="24"/>
              </w:rPr>
              <w:t xml:space="preserve"> s </w:t>
            </w:r>
            <w:r w:rsidRPr="00A3389E">
              <w:rPr>
                <w:rFonts w:ascii="Times New Roman" w:hAnsi="Times New Roman"/>
                <w:sz w:val="24"/>
                <w:szCs w:val="24"/>
              </w:rPr>
              <w:t xml:space="preserve">hodnotou minimálne 3 (stanoveného orgánom dohľadu). </w:t>
            </w:r>
          </w:p>
        </w:tc>
      </w:tr>
      <w:tr w:rsidR="005710A4" w:rsidRPr="00A3389E" w14:paraId="5169B69F" w14:textId="77777777" w:rsidTr="00155C96">
        <w:trPr>
          <w:trHeight w:val="680"/>
        </w:trPr>
        <w:tc>
          <w:tcPr>
            <w:tcW w:w="1384" w:type="dxa"/>
          </w:tcPr>
          <w:p w14:paraId="373C389C" w14:textId="0EDF2B53" w:rsidR="005710A4" w:rsidRPr="00A3389E" w:rsidRDefault="005710A4" w:rsidP="005F3D92">
            <w:pPr>
              <w:pStyle w:val="Applicationdirecte"/>
              <w:spacing w:before="0" w:after="240"/>
              <w:jc w:val="center"/>
            </w:pPr>
            <w:r w:rsidRPr="00A3389E">
              <w:t>4</w:t>
            </w:r>
          </w:p>
        </w:tc>
        <w:tc>
          <w:tcPr>
            <w:tcW w:w="7655" w:type="dxa"/>
            <w:vAlign w:val="center"/>
          </w:tcPr>
          <w:p w14:paraId="1C549297" w14:textId="3E781B28" w:rsidR="005710A4" w:rsidRPr="00A3389E" w:rsidRDefault="005710A4" w:rsidP="00155C96">
            <w:pPr>
              <w:pStyle w:val="TableNote"/>
              <w:spacing w:before="0" w:after="240"/>
              <w:rPr>
                <w:rFonts w:ascii="Times New Roman" w:hAnsi="Times New Roman"/>
                <w:b/>
                <w:sz w:val="24"/>
                <w:szCs w:val="24"/>
              </w:rPr>
            </w:pPr>
            <w:r w:rsidRPr="00A3389E">
              <w:rPr>
                <w:rFonts w:ascii="Times New Roman" w:hAnsi="Times New Roman"/>
                <w:b/>
                <w:sz w:val="24"/>
                <w:szCs w:val="24"/>
              </w:rPr>
              <w:t>Transakcie, na ktoré sa vzťahuje štandardizovaná metóda</w:t>
            </w:r>
          </w:p>
          <w:p w14:paraId="73885D21" w14:textId="6206EB0A" w:rsidR="005710A4" w:rsidRPr="00A3389E" w:rsidRDefault="005710A4" w:rsidP="00155C96">
            <w:pPr>
              <w:pStyle w:val="TableNote"/>
              <w:spacing w:before="0" w:after="240"/>
              <w:rPr>
                <w:rFonts w:ascii="Times New Roman" w:hAnsi="Times New Roman"/>
                <w:i/>
                <w:sz w:val="24"/>
                <w:szCs w:val="24"/>
              </w:rPr>
            </w:pPr>
            <w:r w:rsidRPr="00A3389E">
              <w:rPr>
                <w:rFonts w:ascii="Times New Roman" w:hAnsi="Times New Roman"/>
                <w:sz w:val="24"/>
                <w:szCs w:val="24"/>
              </w:rPr>
              <w:t>Transakcie, na ktoré sa vzťahuje štandardizovaná metóda výpočtu požiadaviek na vlastné zdroje pre riziko úpravy ocenenia pohľadávok</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384 CRR.</w:t>
            </w:r>
          </w:p>
        </w:tc>
      </w:tr>
      <w:tr w:rsidR="005710A4" w:rsidRPr="00A3389E" w14:paraId="2ADC279A" w14:textId="77777777" w:rsidTr="00155C96">
        <w:trPr>
          <w:trHeight w:val="680"/>
        </w:trPr>
        <w:tc>
          <w:tcPr>
            <w:tcW w:w="1384" w:type="dxa"/>
          </w:tcPr>
          <w:p w14:paraId="5F8FC082" w14:textId="65EC5F52" w:rsidR="005710A4" w:rsidRPr="00A3389E" w:rsidRDefault="005710A4" w:rsidP="00155C96">
            <w:pPr>
              <w:pStyle w:val="Applicationdirecte"/>
              <w:spacing w:before="0" w:after="240"/>
              <w:jc w:val="center"/>
            </w:pPr>
            <w:r w:rsidRPr="00A3389E">
              <w:lastRenderedPageBreak/>
              <w:t>EU-4</w:t>
            </w:r>
          </w:p>
        </w:tc>
        <w:tc>
          <w:tcPr>
            <w:tcW w:w="7655" w:type="dxa"/>
            <w:vAlign w:val="center"/>
          </w:tcPr>
          <w:p w14:paraId="28D937C2" w14:textId="7A3E57E2"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Transakcie, na ktoré sa vzťahuje alternatívny prístup (založený na metóde pôvodnej expozície)</w:t>
            </w:r>
          </w:p>
          <w:p w14:paraId="303CE2F9" w14:textId="78C94801" w:rsidR="005710A4" w:rsidRPr="00A3389E" w:rsidRDefault="005710A4" w:rsidP="00155C96">
            <w:pPr>
              <w:spacing w:after="240"/>
              <w:jc w:val="both"/>
              <w:rPr>
                <w:rFonts w:ascii="Times New Roman" w:hAnsi="Times New Roman" w:cs="Times New Roman"/>
                <w:i/>
                <w:sz w:val="24"/>
              </w:rPr>
            </w:pPr>
            <w:r w:rsidRPr="00A3389E">
              <w:rPr>
                <w:rFonts w:ascii="Times New Roman" w:hAnsi="Times New Roman" w:cs="Times New Roman"/>
                <w:sz w:val="24"/>
              </w:rPr>
              <w:t>Transakcie, na ktoré sa vzťahuje alternatívny prístup</w:t>
            </w:r>
            <w:r w:rsidR="00A3389E">
              <w:rPr>
                <w:rFonts w:ascii="Times New Roman" w:hAnsi="Times New Roman" w:cs="Times New Roman"/>
                <w:sz w:val="24"/>
              </w:rPr>
              <w:t xml:space="preserve"> k </w:t>
            </w:r>
            <w:r w:rsidRPr="00A3389E">
              <w:rPr>
                <w:rFonts w:ascii="Times New Roman" w:hAnsi="Times New Roman" w:cs="Times New Roman"/>
                <w:sz w:val="24"/>
              </w:rPr>
              <w:t>výpočtu požiadaviek na vlastné zdroje pre riziko úpravy ocenenia pohľadávok</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385 CRR.</w:t>
            </w:r>
          </w:p>
        </w:tc>
      </w:tr>
      <w:tr w:rsidR="005710A4" w:rsidRPr="00A3389E" w14:paraId="2D4DF36D" w14:textId="77777777" w:rsidTr="00155C96">
        <w:trPr>
          <w:trHeight w:val="680"/>
        </w:trPr>
        <w:tc>
          <w:tcPr>
            <w:tcW w:w="1384" w:type="dxa"/>
          </w:tcPr>
          <w:p w14:paraId="5AE7FAD0" w14:textId="1F4F3595" w:rsidR="005710A4" w:rsidRPr="00A3389E" w:rsidRDefault="005710A4" w:rsidP="005F3D92">
            <w:pPr>
              <w:pStyle w:val="Applicationdirecte"/>
              <w:spacing w:before="0" w:after="240"/>
              <w:jc w:val="center"/>
            </w:pPr>
            <w:r w:rsidRPr="00A3389E">
              <w:t>5</w:t>
            </w:r>
          </w:p>
        </w:tc>
        <w:tc>
          <w:tcPr>
            <w:tcW w:w="7655" w:type="dxa"/>
          </w:tcPr>
          <w:p w14:paraId="108DDC6D" w14:textId="77777777"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Transakcie, na ktoré sa vzťahujú požiadavky na vlastné zdroje pre riziko úpravy ocenenia pohľadávok</w:t>
            </w:r>
          </w:p>
        </w:tc>
      </w:tr>
      <w:tr w:rsidR="005710A4" w:rsidRPr="00A3389E"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A3389E" w:rsidRDefault="005710A4" w:rsidP="00155C96">
            <w:pPr>
              <w:pStyle w:val="Applicationdirecte"/>
              <w:spacing w:before="0" w:after="240"/>
              <w:jc w:val="center"/>
              <w:rPr>
                <w:b/>
              </w:rPr>
            </w:pPr>
            <w:r w:rsidRPr="00A3389E">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Vysvetlenie</w:t>
            </w:r>
          </w:p>
        </w:tc>
      </w:tr>
      <w:tr w:rsidR="005710A4" w:rsidRPr="00A3389E" w14:paraId="1B792DD3" w14:textId="77777777" w:rsidTr="00155C96">
        <w:trPr>
          <w:trHeight w:val="680"/>
        </w:trPr>
        <w:tc>
          <w:tcPr>
            <w:tcW w:w="1384" w:type="dxa"/>
          </w:tcPr>
          <w:p w14:paraId="5CA18617" w14:textId="4222C7A3" w:rsidR="005710A4" w:rsidRPr="00A3389E" w:rsidRDefault="005F3D92" w:rsidP="00155C96">
            <w:pPr>
              <w:pStyle w:val="Applicationdirecte"/>
              <w:spacing w:before="0" w:after="240"/>
              <w:jc w:val="center"/>
            </w:pPr>
            <w:r w:rsidRPr="00A3389E">
              <w:t>a</w:t>
            </w:r>
          </w:p>
        </w:tc>
        <w:tc>
          <w:tcPr>
            <w:tcW w:w="7655" w:type="dxa"/>
            <w:vAlign w:val="center"/>
          </w:tcPr>
          <w:p w14:paraId="3BA20BA7" w14:textId="28BABF0D" w:rsidR="005710A4" w:rsidRPr="00A3389E" w:rsidRDefault="005710A4" w:rsidP="00155C96">
            <w:pPr>
              <w:pStyle w:val="TableNote"/>
              <w:spacing w:before="0" w:after="240"/>
              <w:rPr>
                <w:rFonts w:ascii="Times New Roman" w:hAnsi="Times New Roman"/>
                <w:b/>
                <w:sz w:val="24"/>
                <w:szCs w:val="24"/>
              </w:rPr>
            </w:pPr>
            <w:r w:rsidRPr="00A3389E">
              <w:rPr>
                <w:rFonts w:ascii="Times New Roman" w:hAnsi="Times New Roman"/>
                <w:b/>
                <w:sz w:val="24"/>
                <w:szCs w:val="24"/>
              </w:rPr>
              <w:t>Hodnota expozície</w:t>
            </w:r>
          </w:p>
          <w:p w14:paraId="52A5E3B4" w14:textId="0933678D"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Hodnota expozície, ktorá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6 CRR (alebo</w:t>
            </w:r>
            <w:r w:rsidR="00A3389E">
              <w:rPr>
                <w:rFonts w:ascii="Times New Roman" w:hAnsi="Times New Roman" w:cs="Times New Roman"/>
                <w:sz w:val="24"/>
              </w:rPr>
              <w:t xml:space="preserve"> v </w:t>
            </w:r>
            <w:r w:rsidRPr="00A3389E">
              <w:rPr>
                <w:rFonts w:ascii="Times New Roman" w:hAnsi="Times New Roman" w:cs="Times New Roman"/>
                <w:sz w:val="24"/>
              </w:rPr>
              <w:t>prípade transakcií patriacich do rozsahu pôsobnosti článku 271 ods. 2 CRR</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4 CRR) pre transakcie, ktoré patria do rozsahu pôsobnosti tretej časti hlavy VI CRR.</w:t>
            </w:r>
          </w:p>
          <w:p w14:paraId="411D48A8" w14:textId="4005CD04"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Hodnota expozície je hodnota použitá pri výpočte požiadaviek na vlastné zdroje pre riziko úpravy ocenenia pohľadávok pri zohľadnení účinkov zmierňovania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VI CRR.</w:t>
            </w:r>
            <w:r w:rsidR="00A3389E">
              <w:rPr>
                <w:rFonts w:ascii="Times New Roman" w:hAnsi="Times New Roman" w:cs="Times New Roman"/>
                <w:sz w:val="24"/>
              </w:rPr>
              <w:t xml:space="preserve"> V </w:t>
            </w:r>
            <w:r w:rsidRPr="00A3389E">
              <w:rPr>
                <w:rFonts w:ascii="Times New Roman" w:hAnsi="Times New Roman" w:cs="Times New Roman"/>
                <w:sz w:val="24"/>
              </w:rPr>
              <w:t>prípade transakcií,</w:t>
            </w:r>
            <w:r w:rsidR="00A3389E">
              <w:rPr>
                <w:rFonts w:ascii="Times New Roman" w:hAnsi="Times New Roman" w:cs="Times New Roman"/>
                <w:sz w:val="24"/>
              </w:rPr>
              <w:t xml:space="preserve"> s </w:t>
            </w:r>
            <w:r w:rsidRPr="00A3389E">
              <w:rPr>
                <w:rFonts w:ascii="Times New Roman" w:hAnsi="Times New Roman" w:cs="Times New Roman"/>
                <w:sz w:val="24"/>
              </w:rPr>
              <w:t>ktorými sa zaobchádza podľa metódy pôvodnej expozície (alternatívny prístup), je hodnotou expozície hodnota, ktorá sa použila na výpočet hodnôt rizikovo vážených expozícií.</w:t>
            </w:r>
          </w:p>
        </w:tc>
      </w:tr>
      <w:tr w:rsidR="005710A4" w:rsidRPr="00A3389E" w14:paraId="26B38498" w14:textId="77777777" w:rsidTr="00155C96">
        <w:trPr>
          <w:trHeight w:val="412"/>
        </w:trPr>
        <w:tc>
          <w:tcPr>
            <w:tcW w:w="1384" w:type="dxa"/>
          </w:tcPr>
          <w:p w14:paraId="12DFB47F" w14:textId="601D650C" w:rsidR="005710A4" w:rsidRPr="00A3389E" w:rsidRDefault="005F3D92" w:rsidP="00155C96">
            <w:pPr>
              <w:pStyle w:val="Applicationdirecte"/>
              <w:spacing w:before="0" w:after="240"/>
              <w:jc w:val="center"/>
            </w:pPr>
            <w:r w:rsidRPr="00A3389E">
              <w:t>b</w:t>
            </w:r>
          </w:p>
        </w:tc>
        <w:tc>
          <w:tcPr>
            <w:tcW w:w="7655" w:type="dxa"/>
            <w:vAlign w:val="center"/>
          </w:tcPr>
          <w:p w14:paraId="2B1C327F" w14:textId="39DDED32" w:rsidR="005710A4" w:rsidRPr="00A3389E" w:rsidRDefault="005710A4" w:rsidP="00155C96">
            <w:pPr>
              <w:pStyle w:val="TableNote"/>
              <w:spacing w:before="0" w:after="240"/>
              <w:rPr>
                <w:rFonts w:ascii="Times New Roman" w:hAnsi="Times New Roman"/>
                <w:b/>
                <w:sz w:val="24"/>
                <w:szCs w:val="24"/>
              </w:rPr>
            </w:pPr>
            <w:r w:rsidRPr="00A3389E">
              <w:rPr>
                <w:rFonts w:ascii="Times New Roman" w:hAnsi="Times New Roman"/>
                <w:b/>
                <w:sz w:val="24"/>
                <w:szCs w:val="24"/>
              </w:rPr>
              <w:t>RWEA</w:t>
            </w:r>
          </w:p>
          <w:p w14:paraId="73C9FB1D" w14:textId="4343E388" w:rsidR="005710A4" w:rsidRPr="00A3389E" w:rsidRDefault="005710A4" w:rsidP="00155C96">
            <w:pPr>
              <w:pStyle w:val="TableNote"/>
              <w:spacing w:before="0" w:after="240"/>
              <w:rPr>
                <w:rFonts w:ascii="Times New Roman" w:hAnsi="Times New Roman"/>
                <w:sz w:val="24"/>
                <w:szCs w:val="24"/>
              </w:rPr>
            </w:pPr>
            <w:r w:rsidRPr="00A3389E">
              <w:rPr>
                <w:rFonts w:ascii="Times New Roman" w:hAnsi="Times New Roman"/>
                <w:sz w:val="24"/>
                <w:szCs w:val="24"/>
              </w:rPr>
              <w:t>Hodnoty rizikovo vážených expozícií</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438 písm. d)</w:t>
            </w:r>
            <w:r w:rsidR="00A3389E">
              <w:rPr>
                <w:rFonts w:ascii="Times New Roman" w:hAnsi="Times New Roman"/>
                <w:sz w:val="24"/>
                <w:szCs w:val="24"/>
              </w:rPr>
              <w:t xml:space="preserve"> a </w:t>
            </w:r>
            <w:r w:rsidRPr="00A3389E">
              <w:rPr>
                <w:rFonts w:ascii="Times New Roman" w:hAnsi="Times New Roman"/>
                <w:sz w:val="24"/>
                <w:szCs w:val="24"/>
              </w:rPr>
              <w:t>článkom 92 ods. 3 písm. d) CRR, t. j. požiadavky na vlastné zdroje pre riziko úpravy ocenenia pohľadávok vypočítané pomocou zvolenej metódy</w:t>
            </w:r>
            <w:r w:rsidR="00A3389E">
              <w:rPr>
                <w:rFonts w:ascii="Times New Roman" w:hAnsi="Times New Roman"/>
                <w:sz w:val="24"/>
                <w:szCs w:val="24"/>
              </w:rPr>
              <w:t xml:space="preserve"> a </w:t>
            </w:r>
            <w:r w:rsidRPr="00A3389E">
              <w:rPr>
                <w:rFonts w:ascii="Times New Roman" w:hAnsi="Times New Roman"/>
                <w:sz w:val="24"/>
                <w:szCs w:val="24"/>
              </w:rPr>
              <w:t>vynásobené koeficientom 12,5</w:t>
            </w:r>
            <w:r w:rsidR="00A3389E">
              <w:rPr>
                <w:rFonts w:ascii="Times New Roman" w:hAnsi="Times New Roman"/>
                <w:sz w:val="24"/>
                <w:szCs w:val="24"/>
              </w:rPr>
              <w:t xml:space="preserve"> v </w:t>
            </w:r>
            <w:r w:rsidRPr="00A3389E">
              <w:rPr>
                <w:rFonts w:ascii="Times New Roman" w:hAnsi="Times New Roman"/>
                <w:sz w:val="24"/>
                <w:szCs w:val="24"/>
              </w:rPr>
              <w:t>súlade</w:t>
            </w:r>
            <w:r w:rsidR="00A3389E">
              <w:rPr>
                <w:rFonts w:ascii="Times New Roman" w:hAnsi="Times New Roman"/>
                <w:sz w:val="24"/>
                <w:szCs w:val="24"/>
              </w:rPr>
              <w:t xml:space="preserve"> s </w:t>
            </w:r>
            <w:r w:rsidRPr="00A3389E">
              <w:rPr>
                <w:rFonts w:ascii="Times New Roman" w:hAnsi="Times New Roman"/>
                <w:sz w:val="24"/>
                <w:szCs w:val="24"/>
              </w:rPr>
              <w:t>článkom 92 ods. 4 písm. b) CRR.</w:t>
            </w:r>
          </w:p>
        </w:tc>
      </w:tr>
    </w:tbl>
    <w:p w14:paraId="4FF274D7" w14:textId="2E64E85D" w:rsidR="005710A4" w:rsidRPr="00A3389E" w:rsidRDefault="00CD362D" w:rsidP="005710A4">
      <w:pPr>
        <w:pStyle w:val="Titlelevel2"/>
        <w:jc w:val="both"/>
        <w:rPr>
          <w:rFonts w:ascii="Times New Roman" w:hAnsi="Times New Roman" w:cs="Times New Roman"/>
          <w:color w:val="auto"/>
          <w:sz w:val="24"/>
        </w:rPr>
      </w:pPr>
      <w:r w:rsidRPr="00A3389E">
        <w:rPr>
          <w:rFonts w:ascii="Times New Roman" w:hAnsi="Times New Roman" w:cs="Times New Roman"/>
          <w:b/>
          <w:color w:val="auto"/>
          <w:sz w:val="24"/>
        </w:rPr>
        <w:t>Vzor EU CCR3 – Štandardizovaný prístup – expozície voči CCR podľa regulačných tried expozícií</w:t>
      </w:r>
      <w:r w:rsidR="00A3389E">
        <w:rPr>
          <w:rFonts w:ascii="Times New Roman" w:hAnsi="Times New Roman" w:cs="Times New Roman"/>
          <w:b/>
          <w:color w:val="auto"/>
          <w:sz w:val="24"/>
        </w:rPr>
        <w:t xml:space="preserve"> a </w:t>
      </w:r>
      <w:r w:rsidRPr="00A3389E">
        <w:rPr>
          <w:rFonts w:ascii="Times New Roman" w:hAnsi="Times New Roman" w:cs="Times New Roman"/>
          <w:b/>
          <w:color w:val="auto"/>
          <w:sz w:val="24"/>
        </w:rPr>
        <w:t xml:space="preserve">rizikových váh: </w:t>
      </w:r>
      <w:r w:rsidRPr="00A3389E">
        <w:rPr>
          <w:rFonts w:ascii="Times New Roman" w:hAnsi="Times New Roman" w:cs="Times New Roman"/>
          <w:color w:val="auto"/>
          <w:sz w:val="24"/>
        </w:rPr>
        <w:t>Pevný formát</w:t>
      </w:r>
    </w:p>
    <w:p w14:paraId="237929BC" w14:textId="4985D87F"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4"/>
        </w:rPr>
        <w:t>8.</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článku 444 písm. e) CRR podľa pokynov uvedených nižšie</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cieľom vyplniť vzor EU CCR3, ktorý je uvedený</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prílohe XXV</w:t>
      </w:r>
      <w:r>
        <w:rPr>
          <w:rFonts w:ascii="Times New Roman" w:hAnsi="Times New Roman" w:cs="Times New Roman"/>
          <w:bCs w:val="0"/>
          <w:color w:val="000000"/>
          <w:sz w:val="24"/>
        </w:rPr>
        <w:t xml:space="preserve"> k </w:t>
      </w:r>
      <w:r w:rsidR="005710A4" w:rsidRPr="00A3389E">
        <w:rPr>
          <w:rFonts w:ascii="Times New Roman" w:hAnsi="Times New Roman" w:cs="Times New Roman"/>
          <w:bCs w:val="0"/>
          <w:color w:val="000000"/>
          <w:sz w:val="24"/>
        </w:rPr>
        <w:t>tomuto vykonávaciemu nariadeniu.</w:t>
      </w:r>
    </w:p>
    <w:p w14:paraId="02918FC0" w14:textId="73179D12" w:rsidR="00A3389E" w:rsidRPr="00A3389E" w:rsidRDefault="00A3389E" w:rsidP="00A3389E">
      <w:pPr>
        <w:pStyle w:val="Titlelevel2"/>
        <w:spacing w:before="0"/>
        <w:ind w:left="720" w:hanging="360"/>
        <w:jc w:val="both"/>
        <w:rPr>
          <w:rFonts w:ascii="Times New Roman" w:hAnsi="Times New Roman" w:cs="Times New Roman"/>
          <w:bCs w:val="0"/>
          <w:color w:val="auto"/>
          <w:sz w:val="24"/>
        </w:rPr>
      </w:pPr>
      <w:r w:rsidRPr="00A3389E">
        <w:rPr>
          <w:rFonts w:ascii="Times New Roman" w:hAnsi="Times New Roman" w:cs="Times New Roman"/>
          <w:bCs w:val="0"/>
          <w:color w:val="auto"/>
          <w:sz w:val="24"/>
        </w:rPr>
        <w:t>9.</w:t>
      </w:r>
      <w:r w:rsidRPr="00A3389E">
        <w:rPr>
          <w:rFonts w:ascii="Times New Roman" w:hAnsi="Times New Roman" w:cs="Times New Roman"/>
          <w:bCs w:val="0"/>
          <w:color w:val="auto"/>
          <w:sz w:val="24"/>
        </w:rPr>
        <w:tab/>
      </w:r>
      <w:r w:rsidR="005710A4" w:rsidRPr="00A3389E">
        <w:rPr>
          <w:rFonts w:ascii="Times New Roman" w:hAnsi="Times New Roman" w:cs="Times New Roman"/>
          <w:bCs w:val="0"/>
          <w:color w:val="000000"/>
          <w:sz w:val="24"/>
        </w:rPr>
        <w:t>Inštitúcie, ktoré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súlade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článkom 107 CRR používajú na výpočet hodnôt rizikovo vážených expozícií (okrem tých, ktoré sú odvodené od požiadaviek na vlastné zdroje pre riziko úpravy ocenenia pohľadávok</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pre expozície zúčtovávané prostredníctvom centrálnej protistrany) pri všetkých svojich expozíciách voči CCR alebo pri časti</w:t>
      </w:r>
      <w:r>
        <w:rPr>
          <w:rFonts w:ascii="Times New Roman" w:hAnsi="Times New Roman" w:cs="Times New Roman"/>
          <w:bCs w:val="0"/>
          <w:color w:val="000000"/>
          <w:sz w:val="24"/>
        </w:rPr>
        <w:t xml:space="preserve"> z </w:t>
      </w:r>
      <w:r w:rsidR="005710A4" w:rsidRPr="00A3389E">
        <w:rPr>
          <w:rFonts w:ascii="Times New Roman" w:hAnsi="Times New Roman" w:cs="Times New Roman"/>
          <w:bCs w:val="0"/>
          <w:color w:val="000000"/>
          <w:sz w:val="24"/>
        </w:rPr>
        <w:t>nich štandardizovaný prístup pre kreditné riziko,</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 xml:space="preserve">to bez ohľadu na prístup pre CCR použitý na určenie </w:t>
      </w:r>
      <w:r w:rsidR="005710A4" w:rsidRPr="00A3389E">
        <w:rPr>
          <w:rFonts w:ascii="Times New Roman" w:hAnsi="Times New Roman" w:cs="Times New Roman"/>
          <w:bCs w:val="0"/>
          <w:color w:val="auto"/>
          <w:sz w:val="24"/>
        </w:rPr>
        <w:t>hodnôt expozícií</w:t>
      </w:r>
      <w:r>
        <w:rPr>
          <w:rFonts w:ascii="Times New Roman" w:hAnsi="Times New Roman" w:cs="Times New Roman"/>
          <w:bCs w:val="0"/>
          <w:color w:val="auto"/>
          <w:sz w:val="24"/>
        </w:rPr>
        <w:t xml:space="preserve"> v </w:t>
      </w:r>
      <w:r w:rsidR="005710A4" w:rsidRPr="00A3389E">
        <w:rPr>
          <w:rFonts w:ascii="Times New Roman" w:hAnsi="Times New Roman" w:cs="Times New Roman"/>
          <w:bCs w:val="0"/>
          <w:color w:val="auto"/>
          <w:sz w:val="24"/>
        </w:rPr>
        <w:t>súlade</w:t>
      </w:r>
      <w:r>
        <w:rPr>
          <w:rFonts w:ascii="Times New Roman" w:hAnsi="Times New Roman" w:cs="Times New Roman"/>
          <w:bCs w:val="0"/>
          <w:color w:val="auto"/>
          <w:sz w:val="24"/>
        </w:rPr>
        <w:t xml:space="preserve"> s </w:t>
      </w:r>
      <w:r w:rsidR="005710A4" w:rsidRPr="00A3389E">
        <w:rPr>
          <w:rFonts w:ascii="Times New Roman" w:hAnsi="Times New Roman" w:cs="Times New Roman"/>
          <w:color w:val="auto"/>
          <w:sz w:val="24"/>
        </w:rPr>
        <w:t>treťou časťou hlavou II kapitolami 4</w:t>
      </w:r>
      <w:r>
        <w:rPr>
          <w:rFonts w:ascii="Times New Roman" w:hAnsi="Times New Roman" w:cs="Times New Roman"/>
          <w:color w:val="auto"/>
          <w:sz w:val="24"/>
        </w:rPr>
        <w:t xml:space="preserve"> a </w:t>
      </w:r>
      <w:r w:rsidR="005710A4" w:rsidRPr="00A3389E">
        <w:rPr>
          <w:rFonts w:ascii="Times New Roman" w:hAnsi="Times New Roman" w:cs="Times New Roman"/>
          <w:color w:val="auto"/>
          <w:sz w:val="24"/>
        </w:rPr>
        <w:t>6 CRR</w:t>
      </w:r>
      <w:r w:rsidR="005710A4" w:rsidRPr="00A3389E">
        <w:rPr>
          <w:rFonts w:ascii="Times New Roman" w:hAnsi="Times New Roman" w:cs="Times New Roman"/>
          <w:bCs w:val="0"/>
          <w:color w:val="auto"/>
          <w:sz w:val="24"/>
        </w:rPr>
        <w:t>, zverejňujú nasledujúce informácie</w:t>
      </w:r>
      <w:r w:rsidRPr="00A3389E">
        <w:rPr>
          <w:rFonts w:ascii="Times New Roman" w:hAnsi="Times New Roman" w:cs="Times New Roman"/>
          <w:bCs w:val="0"/>
          <w:color w:val="auto"/>
          <w:sz w:val="24"/>
        </w:rPr>
        <w:t>.</w:t>
      </w:r>
    </w:p>
    <w:p w14:paraId="6F8C25B3" w14:textId="3A3B5447"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4"/>
        </w:rPr>
        <w:t>10.</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Ak sa inštitúcia domnieva, že informácie požadované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tomto vzore nie sú zmysluplné, pretože hodnoty expozície</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rizikovo váženej expozície nie sú významné, inštitúcia sa môže rozhodnúť vzor nezverejniť. Od inštitúcie sa však vyžaduje, aby</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slovnom komentári vysvetlila, prečo sa domnieva, že informácie nie sú zmysluplné,</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to vrátane opisu expozícií</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príslušných portfóliách</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súhrnného súčtu hodnôt rizikovo vážených expozícií takýchto expozícií.</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A3389E"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2155CFB5"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710A4" w:rsidRPr="00A3389E" w14:paraId="196096A0" w14:textId="77777777" w:rsidTr="00155C96">
        <w:trPr>
          <w:trHeight w:val="238"/>
        </w:trPr>
        <w:tc>
          <w:tcPr>
            <w:tcW w:w="1384" w:type="dxa"/>
            <w:shd w:val="clear" w:color="auto" w:fill="D9D9D9" w:themeFill="background1" w:themeFillShade="D9"/>
          </w:tcPr>
          <w:p w14:paraId="181FB806" w14:textId="77777777" w:rsidR="005710A4" w:rsidRPr="00A3389E" w:rsidRDefault="005710A4" w:rsidP="00155C96">
            <w:pPr>
              <w:autoSpaceDE w:val="0"/>
              <w:autoSpaceDN w:val="0"/>
              <w:adjustRightInd w:val="0"/>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13E37DDF" w14:textId="77777777" w:rsidR="005710A4" w:rsidRPr="00A3389E" w:rsidRDefault="005710A4"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5710A4" w:rsidRPr="00A3389E" w14:paraId="4FB02749" w14:textId="77777777" w:rsidTr="00155C96">
        <w:trPr>
          <w:trHeight w:val="680"/>
        </w:trPr>
        <w:tc>
          <w:tcPr>
            <w:tcW w:w="1384" w:type="dxa"/>
          </w:tcPr>
          <w:p w14:paraId="297F3DF6" w14:textId="7358EF6E" w:rsidR="005710A4" w:rsidRPr="00A3389E" w:rsidRDefault="005F3D92" w:rsidP="00880BCD">
            <w:pPr>
              <w:pStyle w:val="Applicationdirecte"/>
              <w:spacing w:before="0" w:after="240"/>
              <w:jc w:val="center"/>
            </w:pPr>
            <w:r w:rsidRPr="00A3389E">
              <w:t>1 – 9</w:t>
            </w:r>
          </w:p>
        </w:tc>
        <w:tc>
          <w:tcPr>
            <w:tcW w:w="7655" w:type="dxa"/>
            <w:vAlign w:val="center"/>
          </w:tcPr>
          <w:p w14:paraId="1178C4EF" w14:textId="5B8432F1" w:rsidR="005710A4" w:rsidRPr="00A3389E" w:rsidRDefault="005710A4" w:rsidP="00155C96">
            <w:pPr>
              <w:spacing w:after="240"/>
              <w:jc w:val="both"/>
              <w:rPr>
                <w:rFonts w:ascii="Times New Roman" w:eastAsia="Times New Roman" w:hAnsi="Times New Roman" w:cs="Times New Roman"/>
                <w:b/>
                <w:sz w:val="24"/>
              </w:rPr>
            </w:pPr>
            <w:r w:rsidRPr="00A3389E">
              <w:rPr>
                <w:rFonts w:ascii="Times New Roman" w:hAnsi="Times New Roman" w:cs="Times New Roman"/>
                <w:b/>
                <w:sz w:val="24"/>
              </w:rPr>
              <w:t>Triedy expozícií</w:t>
            </w:r>
          </w:p>
          <w:p w14:paraId="6127D200" w14:textId="6F94A3A1"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Tieto riadky sa vzťahujú na regulačné triedy expozícií vymedzené</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4 článkoch 112 až 134 CRR.</w:t>
            </w:r>
            <w:r w:rsidR="00A3389E">
              <w:rPr>
                <w:rFonts w:ascii="Times New Roman" w:hAnsi="Times New Roman" w:cs="Times New Roman"/>
                <w:sz w:val="24"/>
              </w:rPr>
              <w:t xml:space="preserve"> V </w:t>
            </w:r>
            <w:r w:rsidRPr="00A3389E">
              <w:rPr>
                <w:rFonts w:ascii="Times New Roman" w:hAnsi="Times New Roman" w:cs="Times New Roman"/>
                <w:sz w:val="24"/>
              </w:rPr>
              <w:t>každom riadku sa zverejňujú zodpovedajúce hodnoty expozície (pozri definíciu uvedenú</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g vzoru EU CCR1). </w:t>
            </w:r>
          </w:p>
        </w:tc>
      </w:tr>
      <w:tr w:rsidR="005710A4" w:rsidRPr="00A3389E" w14:paraId="4CD3C533" w14:textId="77777777" w:rsidTr="00155C96">
        <w:trPr>
          <w:trHeight w:val="680"/>
        </w:trPr>
        <w:tc>
          <w:tcPr>
            <w:tcW w:w="1384" w:type="dxa"/>
          </w:tcPr>
          <w:p w14:paraId="33DFFAD4" w14:textId="4C7D7DD9" w:rsidR="005710A4" w:rsidRPr="00A3389E" w:rsidRDefault="005F3D92" w:rsidP="00880BCD">
            <w:pPr>
              <w:pStyle w:val="Applicationdirecte"/>
              <w:spacing w:before="0" w:after="240"/>
              <w:jc w:val="center"/>
            </w:pPr>
            <w:r w:rsidRPr="00A3389E">
              <w:t>10</w:t>
            </w:r>
          </w:p>
        </w:tc>
        <w:tc>
          <w:tcPr>
            <w:tcW w:w="7655" w:type="dxa"/>
            <w:vAlign w:val="center"/>
          </w:tcPr>
          <w:p w14:paraId="32A672A7" w14:textId="143FF4FE" w:rsidR="005710A4" w:rsidRPr="00A3389E" w:rsidRDefault="005710A4" w:rsidP="00155C96">
            <w:pPr>
              <w:spacing w:after="240"/>
              <w:jc w:val="both"/>
              <w:rPr>
                <w:rFonts w:ascii="Times New Roman" w:eastAsia="Times New Roman" w:hAnsi="Times New Roman" w:cs="Times New Roman"/>
                <w:b/>
                <w:sz w:val="24"/>
              </w:rPr>
            </w:pPr>
            <w:r w:rsidRPr="00A3389E">
              <w:rPr>
                <w:rFonts w:ascii="Times New Roman" w:hAnsi="Times New Roman" w:cs="Times New Roman"/>
                <w:b/>
                <w:sz w:val="24"/>
              </w:rPr>
              <w:t>Ostatné položky</w:t>
            </w:r>
          </w:p>
          <w:p w14:paraId="36895021" w14:textId="042718B8"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Ide</w:t>
            </w:r>
            <w:r w:rsidR="00A3389E">
              <w:rPr>
                <w:rFonts w:ascii="Times New Roman" w:hAnsi="Times New Roman" w:cs="Times New Roman"/>
                <w:sz w:val="24"/>
              </w:rPr>
              <w:t xml:space="preserve"> o </w:t>
            </w:r>
            <w:r w:rsidRPr="00A3389E">
              <w:rPr>
                <w:rFonts w:ascii="Times New Roman" w:hAnsi="Times New Roman" w:cs="Times New Roman"/>
                <w:sz w:val="24"/>
              </w:rPr>
              <w:t>aktíva, na ktoré sa vzťahuje špecifická riziková váha stanovená</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4 článku 134 CRR,</w:t>
            </w:r>
            <w:r w:rsidR="00A3389E">
              <w:rPr>
                <w:rFonts w:ascii="Times New Roman" w:hAnsi="Times New Roman" w:cs="Times New Roman"/>
                <w:sz w:val="24"/>
              </w:rPr>
              <w:t xml:space="preserve"> a </w:t>
            </w:r>
            <w:r w:rsidRPr="00A3389E">
              <w:rPr>
                <w:rFonts w:ascii="Times New Roman" w:hAnsi="Times New Roman" w:cs="Times New Roman"/>
                <w:sz w:val="24"/>
              </w:rPr>
              <w:t>všetky ostatné položky, na ktoré sa nevzťahujú riadky 1 až 9 tohto vzoru. Týka sa to aj aktív neodpočítaných pri uplatňovaní článku 39 CRR (daňové preplatky, prenos daňových strát do predchádzajúcich rokov</w:t>
            </w:r>
            <w:r w:rsidR="00A3389E">
              <w:rPr>
                <w:rFonts w:ascii="Times New Roman" w:hAnsi="Times New Roman" w:cs="Times New Roman"/>
                <w:sz w:val="24"/>
              </w:rPr>
              <w:t xml:space="preserve"> a </w:t>
            </w:r>
            <w:r w:rsidRPr="00A3389E">
              <w:rPr>
                <w:rFonts w:ascii="Times New Roman" w:hAnsi="Times New Roman" w:cs="Times New Roman"/>
                <w:sz w:val="24"/>
              </w:rPr>
              <w:t>odložené daňové pohľadávky, ktoré nezávisia od budúcej ziskovosti), článku 41 CRR (majetok dôchodkového fondu so stanovenými požitkami), článkov 46</w:t>
            </w:r>
            <w:r w:rsidR="00A3389E">
              <w:rPr>
                <w:rFonts w:ascii="Times New Roman" w:hAnsi="Times New Roman" w:cs="Times New Roman"/>
                <w:sz w:val="24"/>
              </w:rPr>
              <w:t xml:space="preserve"> a </w:t>
            </w:r>
            <w:r w:rsidRPr="00A3389E">
              <w:rPr>
                <w:rFonts w:ascii="Times New Roman" w:hAnsi="Times New Roman" w:cs="Times New Roman"/>
                <w:sz w:val="24"/>
              </w:rPr>
              <w:t>469 CRR (nevýznamné investície do CET1 subjektov finančného sektora), článkov 49</w:t>
            </w:r>
            <w:r w:rsidR="00A3389E">
              <w:rPr>
                <w:rFonts w:ascii="Times New Roman" w:hAnsi="Times New Roman" w:cs="Times New Roman"/>
                <w:sz w:val="24"/>
              </w:rPr>
              <w:t xml:space="preserve"> a </w:t>
            </w:r>
            <w:r w:rsidRPr="00A3389E">
              <w:rPr>
                <w:rFonts w:ascii="Times New Roman" w:hAnsi="Times New Roman" w:cs="Times New Roman"/>
                <w:sz w:val="24"/>
              </w:rPr>
              <w:t>471 CRR (účasti</w:t>
            </w:r>
            <w:r w:rsidR="00A3389E">
              <w:rPr>
                <w:rFonts w:ascii="Times New Roman" w:hAnsi="Times New Roman" w:cs="Times New Roman"/>
                <w:sz w:val="24"/>
              </w:rPr>
              <w:t xml:space="preserve"> v </w:t>
            </w:r>
            <w:r w:rsidRPr="00A3389E">
              <w:rPr>
                <w:rFonts w:ascii="Times New Roman" w:hAnsi="Times New Roman" w:cs="Times New Roman"/>
                <w:sz w:val="24"/>
              </w:rPr>
              <w:t>poisťovacích subjektoch bez ohľadu na to, či poisťovacie subjekty podliehajú dohľadu podľa smernice</w:t>
            </w:r>
            <w:r w:rsidR="00A3389E">
              <w:rPr>
                <w:rFonts w:ascii="Times New Roman" w:hAnsi="Times New Roman" w:cs="Times New Roman"/>
                <w:sz w:val="24"/>
              </w:rPr>
              <w:t xml:space="preserve"> o </w:t>
            </w:r>
            <w:r w:rsidRPr="00A3389E">
              <w:rPr>
                <w:rFonts w:ascii="Times New Roman" w:hAnsi="Times New Roman" w:cs="Times New Roman"/>
                <w:sz w:val="24"/>
              </w:rPr>
              <w:t>konglomerátoch), článkov 60</w:t>
            </w:r>
            <w:r w:rsidR="00A3389E">
              <w:rPr>
                <w:rFonts w:ascii="Times New Roman" w:hAnsi="Times New Roman" w:cs="Times New Roman"/>
                <w:sz w:val="24"/>
              </w:rPr>
              <w:t xml:space="preserve"> a </w:t>
            </w:r>
            <w:r w:rsidRPr="00A3389E">
              <w:rPr>
                <w:rFonts w:ascii="Times New Roman" w:hAnsi="Times New Roman" w:cs="Times New Roman"/>
                <w:sz w:val="24"/>
              </w:rPr>
              <w:t>475 CRR (nevýznamné</w:t>
            </w:r>
            <w:r w:rsidR="00A3389E">
              <w:rPr>
                <w:rFonts w:ascii="Times New Roman" w:hAnsi="Times New Roman" w:cs="Times New Roman"/>
                <w:sz w:val="24"/>
              </w:rPr>
              <w:t xml:space="preserve"> a </w:t>
            </w:r>
            <w:r w:rsidRPr="00A3389E">
              <w:rPr>
                <w:rFonts w:ascii="Times New Roman" w:hAnsi="Times New Roman" w:cs="Times New Roman"/>
                <w:sz w:val="24"/>
              </w:rPr>
              <w:t>významné nepriame investície</w:t>
            </w:r>
            <w:r w:rsidR="00A3389E">
              <w:rPr>
                <w:rFonts w:ascii="Times New Roman" w:hAnsi="Times New Roman" w:cs="Times New Roman"/>
                <w:sz w:val="24"/>
              </w:rPr>
              <w:t xml:space="preserve"> a </w:t>
            </w:r>
            <w:r w:rsidRPr="00A3389E">
              <w:rPr>
                <w:rFonts w:ascii="Times New Roman" w:hAnsi="Times New Roman" w:cs="Times New Roman"/>
                <w:sz w:val="24"/>
              </w:rPr>
              <w:t>investície do kapitálu AT1 subjektov finančného sektora), článkov 70</w:t>
            </w:r>
            <w:r w:rsidR="00A3389E">
              <w:rPr>
                <w:rFonts w:ascii="Times New Roman" w:hAnsi="Times New Roman" w:cs="Times New Roman"/>
                <w:sz w:val="24"/>
              </w:rPr>
              <w:t xml:space="preserve"> a </w:t>
            </w:r>
            <w:r w:rsidRPr="00A3389E">
              <w:rPr>
                <w:rFonts w:ascii="Times New Roman" w:hAnsi="Times New Roman" w:cs="Times New Roman"/>
                <w:sz w:val="24"/>
              </w:rPr>
              <w:t>477 CRR (nevýznamné</w:t>
            </w:r>
            <w:r w:rsidR="00A3389E">
              <w:rPr>
                <w:rFonts w:ascii="Times New Roman" w:hAnsi="Times New Roman" w:cs="Times New Roman"/>
                <w:sz w:val="24"/>
              </w:rPr>
              <w:t xml:space="preserve"> a </w:t>
            </w:r>
            <w:r w:rsidRPr="00A3389E">
              <w:rPr>
                <w:rFonts w:ascii="Times New Roman" w:hAnsi="Times New Roman" w:cs="Times New Roman"/>
                <w:sz w:val="24"/>
              </w:rPr>
              <w:t>významné nepriame</w:t>
            </w:r>
            <w:r w:rsidR="00A3389E">
              <w:rPr>
                <w:rFonts w:ascii="Times New Roman" w:hAnsi="Times New Roman" w:cs="Times New Roman"/>
                <w:sz w:val="24"/>
              </w:rPr>
              <w:t xml:space="preserve"> a </w:t>
            </w:r>
            <w:r w:rsidRPr="00A3389E">
              <w:rPr>
                <w:rFonts w:ascii="Times New Roman" w:hAnsi="Times New Roman" w:cs="Times New Roman"/>
                <w:sz w:val="24"/>
              </w:rPr>
              <w:t>syntetické podiely na kapitáli T2 subjektu finančného sektora), ak nie sú priradené do iných tried expozícií,</w:t>
            </w:r>
            <w:r w:rsidR="00A3389E">
              <w:rPr>
                <w:rFonts w:ascii="Times New Roman" w:hAnsi="Times New Roman" w:cs="Times New Roman"/>
                <w:sz w:val="24"/>
              </w:rPr>
              <w:t xml:space="preserve"> a </w:t>
            </w:r>
            <w:r w:rsidRPr="00A3389E">
              <w:rPr>
                <w:rFonts w:ascii="Times New Roman" w:hAnsi="Times New Roman" w:cs="Times New Roman"/>
                <w:sz w:val="24"/>
              </w:rPr>
              <w:t>kvalifikovaných účastí mimo finančného sektora, ak sa na ne pri uplatňovaní druhej časti hlavy I kapitoly 2 článku 36 písm. k) CRR neuplatňuje riziková váha 1 250</w:t>
            </w:r>
            <w:r w:rsidR="00A3389E">
              <w:rPr>
                <w:rFonts w:ascii="Times New Roman" w:hAnsi="Times New Roman" w:cs="Times New Roman"/>
                <w:sz w:val="24"/>
              </w:rPr>
              <w:t> %</w:t>
            </w:r>
            <w:r w:rsidRPr="00A3389E">
              <w:rPr>
                <w:rFonts w:ascii="Times New Roman" w:hAnsi="Times New Roman" w:cs="Times New Roman"/>
                <w:sz w:val="24"/>
              </w:rPr>
              <w:t>.</w:t>
            </w:r>
          </w:p>
        </w:tc>
      </w:tr>
      <w:tr w:rsidR="005710A4" w:rsidRPr="00A3389E" w14:paraId="15C38995" w14:textId="77777777" w:rsidTr="00155C96">
        <w:trPr>
          <w:trHeight w:val="680"/>
        </w:trPr>
        <w:tc>
          <w:tcPr>
            <w:tcW w:w="1384" w:type="dxa"/>
          </w:tcPr>
          <w:p w14:paraId="73410CBE" w14:textId="3B9F431A" w:rsidR="005710A4" w:rsidRPr="00A3389E" w:rsidRDefault="005F3D92" w:rsidP="00880BCD">
            <w:pPr>
              <w:pStyle w:val="Applicationdirecte"/>
              <w:spacing w:before="0" w:after="240"/>
              <w:jc w:val="center"/>
            </w:pPr>
            <w:r w:rsidRPr="00A3389E">
              <w:t>11</w:t>
            </w:r>
          </w:p>
        </w:tc>
        <w:tc>
          <w:tcPr>
            <w:tcW w:w="7655" w:type="dxa"/>
            <w:vAlign w:val="center"/>
          </w:tcPr>
          <w:p w14:paraId="2192BF59" w14:textId="77777777" w:rsidR="005710A4" w:rsidRPr="00A3389E" w:rsidRDefault="005710A4" w:rsidP="00155C96">
            <w:pPr>
              <w:spacing w:after="240"/>
              <w:jc w:val="both"/>
              <w:rPr>
                <w:rFonts w:ascii="Times New Roman" w:eastAsia="Times New Roman" w:hAnsi="Times New Roman" w:cs="Times New Roman"/>
                <w:b/>
                <w:sz w:val="24"/>
              </w:rPr>
            </w:pPr>
            <w:r w:rsidRPr="00A3389E">
              <w:rPr>
                <w:rFonts w:ascii="Times New Roman" w:hAnsi="Times New Roman" w:cs="Times New Roman"/>
                <w:b/>
                <w:sz w:val="24"/>
              </w:rPr>
              <w:t>Celková hodnota expozícií</w:t>
            </w:r>
          </w:p>
        </w:tc>
      </w:tr>
      <w:tr w:rsidR="005710A4" w:rsidRPr="00A3389E"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A3389E" w:rsidRDefault="005710A4" w:rsidP="00880BCD">
            <w:pPr>
              <w:pStyle w:val="Applicationdirecte"/>
              <w:spacing w:before="0" w:after="240"/>
              <w:jc w:val="center"/>
              <w:rPr>
                <w:b/>
              </w:rPr>
            </w:pPr>
            <w:r w:rsidRPr="00A3389E">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Vysvetlenie</w:t>
            </w:r>
          </w:p>
        </w:tc>
      </w:tr>
      <w:tr w:rsidR="005710A4" w:rsidRPr="00A3389E" w14:paraId="178F5DDC" w14:textId="77777777" w:rsidTr="00155C96">
        <w:trPr>
          <w:trHeight w:val="680"/>
        </w:trPr>
        <w:tc>
          <w:tcPr>
            <w:tcW w:w="1384" w:type="dxa"/>
          </w:tcPr>
          <w:p w14:paraId="604A7A63" w14:textId="01D6F08B" w:rsidR="005710A4" w:rsidRPr="00A3389E" w:rsidRDefault="005F3D92" w:rsidP="00880BCD">
            <w:pPr>
              <w:pStyle w:val="Applicationdirecte"/>
              <w:spacing w:before="0" w:after="240"/>
              <w:jc w:val="center"/>
            </w:pPr>
            <w:r w:rsidRPr="00A3389E">
              <w:t>a – k</w:t>
            </w:r>
          </w:p>
          <w:p w14:paraId="244610B7" w14:textId="77777777" w:rsidR="005710A4" w:rsidRPr="00A3389E" w:rsidRDefault="005710A4" w:rsidP="00880BCD">
            <w:pPr>
              <w:spacing w:after="240"/>
              <w:jc w:val="center"/>
              <w:rPr>
                <w:rFonts w:ascii="Times New Roman" w:hAnsi="Times New Roman" w:cs="Times New Roman"/>
                <w:sz w:val="24"/>
              </w:rPr>
            </w:pPr>
          </w:p>
        </w:tc>
        <w:tc>
          <w:tcPr>
            <w:tcW w:w="7655" w:type="dxa"/>
            <w:vAlign w:val="center"/>
          </w:tcPr>
          <w:p w14:paraId="2EFC13C6" w14:textId="3AF1186B" w:rsidR="005710A4" w:rsidRPr="00A3389E" w:rsidRDefault="005710A4" w:rsidP="00155C96">
            <w:pPr>
              <w:spacing w:after="240"/>
              <w:jc w:val="both"/>
              <w:rPr>
                <w:rFonts w:ascii="Times New Roman" w:eastAsia="Times New Roman" w:hAnsi="Times New Roman" w:cs="Times New Roman"/>
                <w:i/>
                <w:sz w:val="24"/>
              </w:rPr>
            </w:pPr>
            <w:r w:rsidRPr="00A3389E">
              <w:rPr>
                <w:rFonts w:ascii="Times New Roman" w:hAnsi="Times New Roman" w:cs="Times New Roman"/>
                <w:sz w:val="24"/>
              </w:rPr>
              <w:t>Tieto stĺpce sa vzťahujú na stupne kreditnej kvality/rizikové váhy stanovené</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2 CRR, pri ktorých sa zverejňujú zodpovedajúce hodnoty expozícií (pozri vymedzenie uvedené</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g vzoru EU CCR1). </w:t>
            </w:r>
          </w:p>
        </w:tc>
      </w:tr>
      <w:tr w:rsidR="005710A4" w:rsidRPr="00A3389E" w14:paraId="2B00EB40" w14:textId="77777777" w:rsidTr="00155C96">
        <w:trPr>
          <w:trHeight w:val="680"/>
        </w:trPr>
        <w:tc>
          <w:tcPr>
            <w:tcW w:w="1384" w:type="dxa"/>
          </w:tcPr>
          <w:p w14:paraId="72108CF9" w14:textId="0B5A0E37" w:rsidR="005710A4" w:rsidRPr="00A3389E" w:rsidRDefault="005710A4" w:rsidP="00880BCD">
            <w:pPr>
              <w:pStyle w:val="Applicationdirecte"/>
              <w:spacing w:before="0" w:after="240"/>
              <w:jc w:val="center"/>
            </w:pPr>
            <w:r w:rsidRPr="00A3389E">
              <w:lastRenderedPageBreak/>
              <w:t>l</w:t>
            </w:r>
          </w:p>
        </w:tc>
        <w:tc>
          <w:tcPr>
            <w:tcW w:w="7655" w:type="dxa"/>
            <w:vAlign w:val="center"/>
          </w:tcPr>
          <w:p w14:paraId="7FFD144E" w14:textId="77777777" w:rsidR="005710A4" w:rsidRPr="00A3389E" w:rsidRDefault="005710A4" w:rsidP="00155C96">
            <w:pPr>
              <w:spacing w:after="240"/>
              <w:jc w:val="both"/>
              <w:rPr>
                <w:rFonts w:ascii="Times New Roman" w:eastAsia="Times New Roman" w:hAnsi="Times New Roman" w:cs="Times New Roman"/>
                <w:b/>
                <w:sz w:val="24"/>
              </w:rPr>
            </w:pPr>
            <w:r w:rsidRPr="00A3389E">
              <w:rPr>
                <w:rFonts w:ascii="Times New Roman" w:hAnsi="Times New Roman" w:cs="Times New Roman"/>
                <w:b/>
                <w:sz w:val="24"/>
              </w:rPr>
              <w:t xml:space="preserve">Celková hodnota expozícií </w:t>
            </w:r>
          </w:p>
        </w:tc>
      </w:tr>
    </w:tbl>
    <w:p w14:paraId="5D4DB3EA" w14:textId="77777777" w:rsidR="005710A4" w:rsidRPr="00A3389E" w:rsidRDefault="005710A4" w:rsidP="005710A4">
      <w:pPr>
        <w:pStyle w:val="Titlelevel2"/>
        <w:spacing w:before="0"/>
        <w:rPr>
          <w:rFonts w:ascii="Times New Roman" w:hAnsi="Times New Roman" w:cs="Times New Roman"/>
          <w:color w:val="auto"/>
          <w:sz w:val="24"/>
        </w:rPr>
      </w:pPr>
    </w:p>
    <w:p w14:paraId="08FC04A8" w14:textId="1DFC34E1" w:rsidR="005710A4" w:rsidRPr="00A3389E" w:rsidRDefault="00CD362D" w:rsidP="005710A4">
      <w:pPr>
        <w:pStyle w:val="Titlelevel2"/>
        <w:spacing w:before="0"/>
        <w:jc w:val="both"/>
        <w:rPr>
          <w:rFonts w:ascii="Times New Roman" w:hAnsi="Times New Roman" w:cs="Times New Roman"/>
          <w:b/>
          <w:color w:val="auto"/>
          <w:sz w:val="24"/>
        </w:rPr>
      </w:pPr>
      <w:r w:rsidRPr="00A3389E">
        <w:rPr>
          <w:rFonts w:ascii="Times New Roman" w:hAnsi="Times New Roman" w:cs="Times New Roman"/>
          <w:b/>
          <w:color w:val="auto"/>
          <w:sz w:val="24"/>
        </w:rPr>
        <w:t>Vzor EU CCR4 – Prístup IRB – expozície voči CCR podľa triedy expozícií</w:t>
      </w:r>
      <w:r w:rsidR="00A3389E">
        <w:rPr>
          <w:rFonts w:ascii="Times New Roman" w:hAnsi="Times New Roman" w:cs="Times New Roman"/>
          <w:b/>
          <w:color w:val="auto"/>
          <w:sz w:val="24"/>
        </w:rPr>
        <w:t xml:space="preserve"> a </w:t>
      </w:r>
      <w:r w:rsidRPr="00A3389E">
        <w:rPr>
          <w:rFonts w:ascii="Times New Roman" w:hAnsi="Times New Roman" w:cs="Times New Roman"/>
          <w:b/>
          <w:color w:val="auto"/>
          <w:sz w:val="24"/>
        </w:rPr>
        <w:t xml:space="preserve">stupnice PD </w:t>
      </w:r>
      <w:r w:rsidRPr="00A3389E">
        <w:rPr>
          <w:rFonts w:ascii="Times New Roman" w:hAnsi="Times New Roman" w:cs="Times New Roman"/>
          <w:color w:val="auto"/>
          <w:sz w:val="24"/>
        </w:rPr>
        <w:t>Pevný formát</w:t>
      </w:r>
    </w:p>
    <w:p w14:paraId="4B1E7415" w14:textId="0B5D4CC9" w:rsidR="00A3389E" w:rsidRPr="00A3389E" w:rsidRDefault="00A3389E" w:rsidP="00A3389E">
      <w:pPr>
        <w:pStyle w:val="Titlelevel2"/>
        <w:spacing w:before="0"/>
        <w:ind w:left="720" w:hanging="360"/>
        <w:jc w:val="both"/>
        <w:rPr>
          <w:rFonts w:ascii="Times New Roman" w:hAnsi="Times New Roman" w:cs="Times New Roman"/>
          <w:bCs w:val="0"/>
          <w:color w:val="000000"/>
          <w:sz w:val="24"/>
        </w:rPr>
      </w:pPr>
      <w:r w:rsidRPr="00A3389E">
        <w:rPr>
          <w:rFonts w:ascii="Times New Roman" w:hAnsi="Times New Roman" w:cs="Times New Roman"/>
          <w:bCs w:val="0"/>
          <w:color w:val="auto"/>
          <w:sz w:val="24"/>
        </w:rPr>
        <w:t>11.</w:t>
      </w:r>
      <w:r w:rsidRPr="00A3389E">
        <w:rPr>
          <w:rFonts w:ascii="Times New Roman" w:hAnsi="Times New Roman" w:cs="Times New Roman"/>
          <w:bCs w:val="0"/>
          <w:color w:val="auto"/>
          <w:sz w:val="24"/>
        </w:rPr>
        <w:tab/>
      </w:r>
      <w:r w:rsidR="005710A4"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článku 452 písm. g) CRR podľa pokynov uvedených nižšie</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cieľom vyplniť vzor EU CCR4, ktorý je uvedený</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prílohe XXV</w:t>
      </w:r>
      <w:r>
        <w:rPr>
          <w:rFonts w:ascii="Times New Roman" w:hAnsi="Times New Roman" w:cs="Times New Roman"/>
          <w:bCs w:val="0"/>
          <w:color w:val="000000"/>
          <w:sz w:val="24"/>
        </w:rPr>
        <w:t xml:space="preserve"> k </w:t>
      </w:r>
      <w:r w:rsidR="005710A4" w:rsidRPr="00A3389E">
        <w:rPr>
          <w:rFonts w:ascii="Times New Roman" w:hAnsi="Times New Roman" w:cs="Times New Roman"/>
          <w:bCs w:val="0"/>
          <w:color w:val="000000"/>
          <w:sz w:val="24"/>
        </w:rPr>
        <w:t>tomuto vykonávaciemu nariadeniu</w:t>
      </w:r>
      <w:r w:rsidRPr="00A3389E">
        <w:rPr>
          <w:rFonts w:ascii="Times New Roman" w:hAnsi="Times New Roman" w:cs="Times New Roman"/>
          <w:bCs w:val="0"/>
          <w:color w:val="000000"/>
          <w:sz w:val="24"/>
        </w:rPr>
        <w:t>.</w:t>
      </w:r>
    </w:p>
    <w:p w14:paraId="322377CF" w14:textId="0ADD3093"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4"/>
        </w:rPr>
        <w:t>12.</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Inštitúcie, ktoré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súlade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článkom 107 CRR používajú na výpočet hodnôt rizikovo vážených expozícií (okrem tých, ktoré sú odvodené od požiadaviek na vlastné zdroje pre riziko úpravy ocenenia pohľadávok</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pre expozície zúčtovávané prostredníctvom centrálnej protistrany) pri všetkých svojich expozíciách voči CCR alebo pri časti</w:t>
      </w:r>
      <w:r>
        <w:rPr>
          <w:rFonts w:ascii="Times New Roman" w:hAnsi="Times New Roman" w:cs="Times New Roman"/>
          <w:bCs w:val="0"/>
          <w:color w:val="000000"/>
          <w:sz w:val="24"/>
        </w:rPr>
        <w:t xml:space="preserve"> z </w:t>
      </w:r>
      <w:r w:rsidR="005710A4" w:rsidRPr="00A3389E">
        <w:rPr>
          <w:rFonts w:ascii="Times New Roman" w:hAnsi="Times New Roman" w:cs="Times New Roman"/>
          <w:bCs w:val="0"/>
          <w:color w:val="000000"/>
          <w:sz w:val="24"/>
        </w:rPr>
        <w:t>nich buď pokročilý, alebo základný prístup IRB,</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 xml:space="preserve">to bez ohľadu na prístup pre CCR použitý na určenie </w:t>
      </w:r>
      <w:r w:rsidR="005710A4" w:rsidRPr="00A3389E">
        <w:rPr>
          <w:rFonts w:ascii="Times New Roman" w:hAnsi="Times New Roman" w:cs="Times New Roman"/>
          <w:bCs w:val="0"/>
          <w:color w:val="auto"/>
          <w:sz w:val="24"/>
        </w:rPr>
        <w:t>hodnôt expozícií</w:t>
      </w:r>
      <w:r>
        <w:rPr>
          <w:rFonts w:ascii="Times New Roman" w:hAnsi="Times New Roman" w:cs="Times New Roman"/>
          <w:bCs w:val="0"/>
          <w:color w:val="auto"/>
          <w:sz w:val="24"/>
        </w:rPr>
        <w:t xml:space="preserve"> v </w:t>
      </w:r>
      <w:r w:rsidR="005710A4" w:rsidRPr="00A3389E">
        <w:rPr>
          <w:rFonts w:ascii="Times New Roman" w:hAnsi="Times New Roman" w:cs="Times New Roman"/>
          <w:bCs w:val="0"/>
          <w:color w:val="auto"/>
          <w:sz w:val="24"/>
        </w:rPr>
        <w:t>súlade</w:t>
      </w:r>
      <w:r>
        <w:rPr>
          <w:rFonts w:ascii="Times New Roman" w:hAnsi="Times New Roman" w:cs="Times New Roman"/>
          <w:bCs w:val="0"/>
          <w:color w:val="auto"/>
          <w:sz w:val="24"/>
        </w:rPr>
        <w:t xml:space="preserve"> s </w:t>
      </w:r>
      <w:r w:rsidR="005710A4" w:rsidRPr="00A3389E">
        <w:rPr>
          <w:rFonts w:ascii="Times New Roman" w:hAnsi="Times New Roman" w:cs="Times New Roman"/>
          <w:color w:val="auto"/>
          <w:sz w:val="24"/>
        </w:rPr>
        <w:t>treťou časťou hlavou II kapitolami 4</w:t>
      </w:r>
      <w:r>
        <w:rPr>
          <w:rFonts w:ascii="Times New Roman" w:hAnsi="Times New Roman" w:cs="Times New Roman"/>
          <w:color w:val="auto"/>
          <w:sz w:val="24"/>
        </w:rPr>
        <w:t xml:space="preserve"> a </w:t>
      </w:r>
      <w:r w:rsidR="005710A4" w:rsidRPr="00A3389E">
        <w:rPr>
          <w:rFonts w:ascii="Times New Roman" w:hAnsi="Times New Roman" w:cs="Times New Roman"/>
          <w:color w:val="auto"/>
          <w:sz w:val="24"/>
        </w:rPr>
        <w:t>6 CRR</w:t>
      </w:r>
      <w:r w:rsidR="005710A4" w:rsidRPr="00A3389E">
        <w:rPr>
          <w:rFonts w:ascii="Times New Roman" w:hAnsi="Times New Roman" w:cs="Times New Roman"/>
          <w:bCs w:val="0"/>
          <w:color w:val="auto"/>
          <w:sz w:val="24"/>
        </w:rPr>
        <w:t xml:space="preserve">, zverejňujú nasledujúce informácie.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A3389E"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40F8FD21"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710A4" w:rsidRPr="00A3389E" w14:paraId="1C1B86E8" w14:textId="77777777" w:rsidTr="00155C96">
        <w:trPr>
          <w:trHeight w:val="238"/>
        </w:trPr>
        <w:tc>
          <w:tcPr>
            <w:tcW w:w="1384" w:type="dxa"/>
            <w:shd w:val="clear" w:color="auto" w:fill="D9D9D9" w:themeFill="background1" w:themeFillShade="D9"/>
          </w:tcPr>
          <w:p w14:paraId="2AF7D06B" w14:textId="77777777" w:rsidR="005710A4" w:rsidRPr="00A3389E" w:rsidRDefault="005710A4" w:rsidP="00155C96">
            <w:pPr>
              <w:autoSpaceDE w:val="0"/>
              <w:autoSpaceDN w:val="0"/>
              <w:adjustRightInd w:val="0"/>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00035D36" w14:textId="77777777" w:rsidR="005710A4" w:rsidRPr="00A3389E" w:rsidRDefault="005710A4"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5710A4" w:rsidRPr="00A3389E" w14:paraId="6597AE3D" w14:textId="77777777" w:rsidTr="00155C96">
        <w:trPr>
          <w:trHeight w:val="680"/>
        </w:trPr>
        <w:tc>
          <w:tcPr>
            <w:tcW w:w="1384" w:type="dxa"/>
          </w:tcPr>
          <w:p w14:paraId="67134527" w14:textId="1D505557" w:rsidR="005710A4" w:rsidRPr="00A3389E" w:rsidRDefault="005F3D92" w:rsidP="00155C96">
            <w:pPr>
              <w:pStyle w:val="Applicationdirecte"/>
              <w:spacing w:before="0" w:after="240"/>
              <w:jc w:val="center"/>
            </w:pPr>
            <w:r w:rsidRPr="00A3389E">
              <w:t>1 až 8</w:t>
            </w:r>
          </w:p>
        </w:tc>
        <w:tc>
          <w:tcPr>
            <w:tcW w:w="7655" w:type="dxa"/>
            <w:vAlign w:val="center"/>
          </w:tcPr>
          <w:p w14:paraId="6950CCC8" w14:textId="1F4E348B" w:rsidR="005710A4" w:rsidRPr="00A3389E" w:rsidRDefault="005710A4" w:rsidP="00155C96">
            <w:pPr>
              <w:spacing w:after="240"/>
              <w:jc w:val="both"/>
              <w:rPr>
                <w:rFonts w:ascii="Times New Roman" w:eastAsia="Times New Roman" w:hAnsi="Times New Roman" w:cs="Times New Roman"/>
                <w:b/>
                <w:sz w:val="24"/>
              </w:rPr>
            </w:pPr>
            <w:r w:rsidRPr="00A3389E">
              <w:rPr>
                <w:rFonts w:ascii="Times New Roman" w:hAnsi="Times New Roman" w:cs="Times New Roman"/>
                <w:b/>
                <w:sz w:val="24"/>
              </w:rPr>
              <w:t>Stupnica PD</w:t>
            </w:r>
          </w:p>
          <w:p w14:paraId="5BCD147C" w14:textId="78F5F390"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Expozície voči CCR sa zaraďujú do príslušnej skupiny pevnej stupnice PD na základe PD odhadovanej pre každého dlžníka zaradeného do tejto triedy expozícií (bez zohľadnenia akejkoľvek substitúcie</w:t>
            </w:r>
            <w:r w:rsidR="00A3389E">
              <w:rPr>
                <w:rFonts w:ascii="Times New Roman" w:hAnsi="Times New Roman" w:cs="Times New Roman"/>
                <w:sz w:val="24"/>
              </w:rPr>
              <w:t xml:space="preserve"> v </w:t>
            </w:r>
            <w:r w:rsidRPr="00A3389E">
              <w:rPr>
                <w:rFonts w:ascii="Times New Roman" w:hAnsi="Times New Roman" w:cs="Times New Roman"/>
                <w:sz w:val="24"/>
              </w:rPr>
              <w:t>dôsledku existencie záruky alebo kreditného derivátu). Inštitúcie priraďujú expozíciu za expozíciou</w:t>
            </w:r>
            <w:r w:rsidR="00A3389E">
              <w:rPr>
                <w:rFonts w:ascii="Times New Roman" w:hAnsi="Times New Roman" w:cs="Times New Roman"/>
                <w:sz w:val="24"/>
              </w:rPr>
              <w:t xml:space="preserve"> k </w:t>
            </w:r>
            <w:r w:rsidRPr="00A3389E">
              <w:rPr>
                <w:rFonts w:ascii="Times New Roman" w:hAnsi="Times New Roman" w:cs="Times New Roman"/>
                <w:sz w:val="24"/>
              </w:rPr>
              <w:t>stupnici PD uvedenej vo vzore, pričom zároveň zohľadňujú spojité stupnice. Všetky expozície</w:t>
            </w:r>
            <w:r w:rsidR="00A3389E">
              <w:rPr>
                <w:rFonts w:ascii="Times New Roman" w:hAnsi="Times New Roman" w:cs="Times New Roman"/>
                <w:sz w:val="24"/>
              </w:rPr>
              <w:t xml:space="preserve"> v </w:t>
            </w:r>
            <w:r w:rsidRPr="00A3389E">
              <w:rPr>
                <w:rFonts w:ascii="Times New Roman" w:hAnsi="Times New Roman" w:cs="Times New Roman"/>
                <w:sz w:val="24"/>
              </w:rPr>
              <w:t>stave zlyhania sa zahŕňajú do skupiny predstavujúcej PD na úrovni 100</w:t>
            </w:r>
            <w:r w:rsidR="00A3389E">
              <w:rPr>
                <w:rFonts w:ascii="Times New Roman" w:hAnsi="Times New Roman" w:cs="Times New Roman"/>
                <w:sz w:val="24"/>
              </w:rPr>
              <w:t> %</w:t>
            </w:r>
            <w:r w:rsidRPr="00A3389E">
              <w:rPr>
                <w:rFonts w:ascii="Times New Roman" w:hAnsi="Times New Roman" w:cs="Times New Roman"/>
                <w:sz w:val="24"/>
              </w:rPr>
              <w:t>.</w:t>
            </w:r>
          </w:p>
        </w:tc>
      </w:tr>
      <w:tr w:rsidR="005710A4" w:rsidRPr="00A3389E" w14:paraId="15128626" w14:textId="77777777" w:rsidTr="00155C96">
        <w:trPr>
          <w:trHeight w:val="680"/>
        </w:trPr>
        <w:tc>
          <w:tcPr>
            <w:tcW w:w="1384" w:type="dxa"/>
          </w:tcPr>
          <w:p w14:paraId="07044829" w14:textId="387085FA" w:rsidR="005710A4" w:rsidRPr="00A3389E" w:rsidRDefault="005F3D92" w:rsidP="00155C96">
            <w:pPr>
              <w:pStyle w:val="Applicationdirecte"/>
              <w:spacing w:before="0" w:after="240"/>
              <w:jc w:val="center"/>
            </w:pPr>
            <w:r w:rsidRPr="00A3389E">
              <w:t>1 až x</w:t>
            </w:r>
          </w:p>
        </w:tc>
        <w:tc>
          <w:tcPr>
            <w:tcW w:w="7655" w:type="dxa"/>
            <w:vAlign w:val="center"/>
          </w:tcPr>
          <w:p w14:paraId="4A50F2E2" w14:textId="631D17B4" w:rsidR="005710A4" w:rsidRPr="00A3389E" w:rsidRDefault="005710A4" w:rsidP="00155C96">
            <w:pPr>
              <w:spacing w:after="240"/>
              <w:jc w:val="both"/>
              <w:rPr>
                <w:rFonts w:ascii="Times New Roman" w:eastAsia="Times New Roman" w:hAnsi="Times New Roman" w:cs="Times New Roman"/>
                <w:b/>
                <w:sz w:val="24"/>
              </w:rPr>
            </w:pPr>
            <w:r w:rsidRPr="00A3389E">
              <w:rPr>
                <w:rFonts w:ascii="Times New Roman" w:hAnsi="Times New Roman" w:cs="Times New Roman"/>
                <w:b/>
                <w:sz w:val="24"/>
              </w:rPr>
              <w:t>Trieda expozícií X</w:t>
            </w:r>
          </w:p>
          <w:p w14:paraId="1E82A577" w14:textId="6E092E61"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Ide</w:t>
            </w:r>
            <w:r w:rsidR="00A3389E">
              <w:rPr>
                <w:rFonts w:ascii="Times New Roman" w:hAnsi="Times New Roman" w:cs="Times New Roman"/>
                <w:sz w:val="24"/>
              </w:rPr>
              <w:t xml:space="preserve"> o </w:t>
            </w:r>
            <w:r w:rsidRPr="00A3389E">
              <w:rPr>
                <w:rFonts w:ascii="Times New Roman" w:hAnsi="Times New Roman" w:cs="Times New Roman"/>
                <w:sz w:val="24"/>
              </w:rPr>
              <w:t>rôzne triedy expozícií uvedené</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3 článku 147 CRR.</w:t>
            </w:r>
          </w:p>
        </w:tc>
      </w:tr>
      <w:tr w:rsidR="005710A4" w:rsidRPr="00A3389E" w14:paraId="18CD3CBA" w14:textId="77777777" w:rsidTr="00155C96">
        <w:trPr>
          <w:trHeight w:val="680"/>
        </w:trPr>
        <w:tc>
          <w:tcPr>
            <w:tcW w:w="1384" w:type="dxa"/>
          </w:tcPr>
          <w:p w14:paraId="02B110F6" w14:textId="2C5AEE38" w:rsidR="005710A4" w:rsidRPr="00A3389E" w:rsidRDefault="005710A4" w:rsidP="00155C96">
            <w:pPr>
              <w:pStyle w:val="Applicationdirecte"/>
              <w:spacing w:before="0" w:after="240"/>
              <w:jc w:val="center"/>
            </w:pPr>
            <w:r w:rsidRPr="00A3389E">
              <w:t>x</w:t>
            </w:r>
            <w:r w:rsidR="00A3389E">
              <w:t xml:space="preserve"> a </w:t>
            </w:r>
            <w:r w:rsidRPr="00A3389E">
              <w:t>y</w:t>
            </w:r>
          </w:p>
        </w:tc>
        <w:tc>
          <w:tcPr>
            <w:tcW w:w="7655" w:type="dxa"/>
            <w:vAlign w:val="center"/>
          </w:tcPr>
          <w:p w14:paraId="5DE466D6" w14:textId="77777777" w:rsidR="005710A4" w:rsidRPr="00A3389E" w:rsidRDefault="005710A4" w:rsidP="00155C96">
            <w:pPr>
              <w:spacing w:after="240"/>
              <w:jc w:val="both"/>
              <w:rPr>
                <w:rFonts w:ascii="Times New Roman" w:eastAsia="Times New Roman" w:hAnsi="Times New Roman" w:cs="Times New Roman"/>
                <w:b/>
                <w:sz w:val="24"/>
              </w:rPr>
            </w:pPr>
            <w:r w:rsidRPr="00A3389E">
              <w:rPr>
                <w:rFonts w:ascii="Times New Roman" w:hAnsi="Times New Roman" w:cs="Times New Roman"/>
                <w:b/>
                <w:sz w:val="24"/>
              </w:rPr>
              <w:t>Medzisúčet (trieda expozícií X)/Spolu (všetky triedy expozícií relevantné pre CCR)</w:t>
            </w:r>
          </w:p>
          <w:p w14:paraId="1E4A05CD" w14:textId="3F2C9666"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(Medzi)súčet hodnôt expozícií, hodnôt rizikovo vážených expozícií</w:t>
            </w:r>
            <w:r w:rsidR="00A3389E">
              <w:rPr>
                <w:rFonts w:ascii="Times New Roman" w:hAnsi="Times New Roman" w:cs="Times New Roman"/>
                <w:sz w:val="24"/>
              </w:rPr>
              <w:t xml:space="preserve"> a </w:t>
            </w:r>
            <w:r w:rsidRPr="00A3389E">
              <w:rPr>
                <w:rFonts w:ascii="Times New Roman" w:hAnsi="Times New Roman" w:cs="Times New Roman"/>
                <w:sz w:val="24"/>
              </w:rPr>
              <w:t>počtu dlžníkov je len súčtom príslušných stĺpcov. Pokiaľ ide</w:t>
            </w:r>
            <w:r w:rsidR="00A3389E">
              <w:rPr>
                <w:rFonts w:ascii="Times New Roman" w:hAnsi="Times New Roman" w:cs="Times New Roman"/>
                <w:sz w:val="24"/>
              </w:rPr>
              <w:t xml:space="preserve"> o </w:t>
            </w:r>
            <w:r w:rsidRPr="00A3389E">
              <w:rPr>
                <w:rFonts w:ascii="Times New Roman" w:hAnsi="Times New Roman" w:cs="Times New Roman"/>
                <w:sz w:val="24"/>
              </w:rPr>
              <w:t>jednotlivé parametre, ktorými sú priemerná PD, priemerná LGD, priemerná splatnosť</w:t>
            </w:r>
            <w:r w:rsidR="00A3389E">
              <w:rPr>
                <w:rFonts w:ascii="Times New Roman" w:hAnsi="Times New Roman" w:cs="Times New Roman"/>
                <w:sz w:val="24"/>
              </w:rPr>
              <w:t xml:space="preserve"> a </w:t>
            </w:r>
            <w:r w:rsidRPr="00A3389E">
              <w:rPr>
                <w:rFonts w:ascii="Times New Roman" w:hAnsi="Times New Roman" w:cs="Times New Roman"/>
                <w:sz w:val="24"/>
              </w:rPr>
              <w:t>hustota RWEA, nižšie uvedené vymedzenia pojmov sa uplatňujú na vzorku triedy expozícií X alebo všetky triedy expozícií relevantné pre CCR.</w:t>
            </w:r>
          </w:p>
        </w:tc>
      </w:tr>
      <w:tr w:rsidR="005710A4" w:rsidRPr="00A3389E"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A3389E" w:rsidRDefault="005710A4" w:rsidP="00155C96">
            <w:pPr>
              <w:pStyle w:val="Applicationdirecte"/>
              <w:spacing w:before="0" w:after="240"/>
              <w:jc w:val="center"/>
              <w:rPr>
                <w:b/>
              </w:rPr>
            </w:pPr>
            <w:r w:rsidRPr="00A3389E">
              <w:rPr>
                <w:b/>
              </w:rPr>
              <w:lastRenderedPageBreak/>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Vysvetlenie</w:t>
            </w:r>
          </w:p>
        </w:tc>
      </w:tr>
      <w:tr w:rsidR="005710A4" w:rsidRPr="00A3389E" w14:paraId="3BE62392" w14:textId="77777777" w:rsidTr="00155C96">
        <w:trPr>
          <w:trHeight w:val="680"/>
        </w:trPr>
        <w:tc>
          <w:tcPr>
            <w:tcW w:w="1384" w:type="dxa"/>
          </w:tcPr>
          <w:p w14:paraId="3F664FFA" w14:textId="5E7016CE" w:rsidR="005710A4" w:rsidRPr="00A3389E" w:rsidRDefault="00880BCD" w:rsidP="00155C96">
            <w:pPr>
              <w:pStyle w:val="Applicationdirecte"/>
              <w:spacing w:before="0" w:after="240"/>
              <w:jc w:val="center"/>
            </w:pPr>
            <w:r w:rsidRPr="00A3389E">
              <w:t>a</w:t>
            </w:r>
          </w:p>
        </w:tc>
        <w:tc>
          <w:tcPr>
            <w:tcW w:w="7655" w:type="dxa"/>
            <w:vAlign w:val="center"/>
          </w:tcPr>
          <w:p w14:paraId="53170D40" w14:textId="63CB1E33" w:rsidR="005710A4" w:rsidRPr="00A3389E" w:rsidRDefault="005F3D92" w:rsidP="00155C96">
            <w:pPr>
              <w:spacing w:after="240"/>
              <w:jc w:val="both"/>
              <w:rPr>
                <w:rFonts w:ascii="Times New Roman" w:hAnsi="Times New Roman" w:cs="Times New Roman"/>
                <w:b/>
                <w:sz w:val="24"/>
              </w:rPr>
            </w:pPr>
            <w:r w:rsidRPr="00A3389E">
              <w:rPr>
                <w:rFonts w:ascii="Times New Roman" w:hAnsi="Times New Roman" w:cs="Times New Roman"/>
                <w:b/>
                <w:sz w:val="24"/>
              </w:rPr>
              <w:t>Hodnota expozície</w:t>
            </w:r>
          </w:p>
          <w:p w14:paraId="36642B83" w14:textId="0F1C6F69"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Hodnota expozície (pozri vymedzenie uvedené</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g</w:t>
            </w:r>
            <w:r w:rsidRPr="00A3389E">
              <w:rPr>
                <w:rFonts w:ascii="Times New Roman" w:hAnsi="Times New Roman" w:cs="Times New Roman"/>
                <w:sz w:val="24"/>
              </w:rPr>
              <w:t xml:space="preserve"> vzoru EU CCR1)</w:t>
            </w:r>
            <w:r w:rsidR="00A3389E">
              <w:rPr>
                <w:rFonts w:ascii="Times New Roman" w:hAnsi="Times New Roman" w:cs="Times New Roman"/>
                <w:sz w:val="24"/>
              </w:rPr>
              <w:t xml:space="preserve"> v </w:t>
            </w:r>
            <w:r w:rsidRPr="00A3389E">
              <w:rPr>
                <w:rFonts w:ascii="Times New Roman" w:hAnsi="Times New Roman" w:cs="Times New Roman"/>
                <w:sz w:val="24"/>
              </w:rPr>
              <w:t>rozčlenení podľa tried expozícií</w:t>
            </w:r>
            <w:r w:rsidR="00A3389E">
              <w:rPr>
                <w:rFonts w:ascii="Times New Roman" w:hAnsi="Times New Roman" w:cs="Times New Roman"/>
                <w:sz w:val="24"/>
              </w:rPr>
              <w:t xml:space="preserve"> a </w:t>
            </w:r>
            <w:r w:rsidRPr="00A3389E">
              <w:rPr>
                <w:rFonts w:ascii="Times New Roman" w:hAnsi="Times New Roman" w:cs="Times New Roman"/>
                <w:sz w:val="24"/>
              </w:rPr>
              <w:t>danej stupnice PD, ako sa stanovuje</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kapitole 3 CRR.</w:t>
            </w:r>
          </w:p>
        </w:tc>
      </w:tr>
      <w:tr w:rsidR="005710A4" w:rsidRPr="00A3389E" w14:paraId="1938C786" w14:textId="77777777" w:rsidTr="00155C96">
        <w:trPr>
          <w:trHeight w:val="680"/>
        </w:trPr>
        <w:tc>
          <w:tcPr>
            <w:tcW w:w="1384" w:type="dxa"/>
          </w:tcPr>
          <w:p w14:paraId="06EF6FDC" w14:textId="53550B7C" w:rsidR="005710A4" w:rsidRPr="00A3389E" w:rsidRDefault="00880BCD" w:rsidP="00155C96">
            <w:pPr>
              <w:pStyle w:val="Applicationdirecte"/>
              <w:spacing w:before="0" w:after="240"/>
              <w:jc w:val="center"/>
            </w:pPr>
            <w:r w:rsidRPr="00A3389E">
              <w:t>b</w:t>
            </w:r>
          </w:p>
        </w:tc>
        <w:tc>
          <w:tcPr>
            <w:tcW w:w="7655" w:type="dxa"/>
            <w:vAlign w:val="center"/>
          </w:tcPr>
          <w:p w14:paraId="2AA2F9E7" w14:textId="0211E49C" w:rsidR="005710A4" w:rsidRPr="00A3389E" w:rsidRDefault="005710A4" w:rsidP="00155C96">
            <w:pPr>
              <w:spacing w:after="240"/>
              <w:rPr>
                <w:rFonts w:ascii="Times New Roman" w:eastAsia="Times New Roman" w:hAnsi="Times New Roman" w:cs="Times New Roman"/>
                <w:b/>
                <w:sz w:val="24"/>
              </w:rPr>
            </w:pPr>
            <w:r w:rsidRPr="00A3389E">
              <w:rPr>
                <w:rFonts w:ascii="Times New Roman" w:hAnsi="Times New Roman" w:cs="Times New Roman"/>
                <w:b/>
                <w:sz w:val="24"/>
              </w:rPr>
              <w:t>Expozíciami vážená priemerná PD (%)</w:t>
            </w:r>
          </w:p>
          <w:p w14:paraId="4959E87C" w14:textId="5B91E467" w:rsidR="005710A4" w:rsidRPr="00A3389E" w:rsidRDefault="005710A4" w:rsidP="00155C96">
            <w:pPr>
              <w:spacing w:after="240"/>
              <w:rPr>
                <w:rFonts w:ascii="Times New Roman" w:eastAsia="Times New Roman" w:hAnsi="Times New Roman" w:cs="Times New Roman"/>
                <w:sz w:val="24"/>
              </w:rPr>
            </w:pPr>
            <w:r w:rsidRPr="00A3389E">
              <w:rPr>
                <w:rFonts w:ascii="Times New Roman" w:hAnsi="Times New Roman" w:cs="Times New Roman"/>
                <w:sz w:val="24"/>
              </w:rPr>
              <w:t>Priemer PD jednotlivých ratingových stupňov dlžníkov vážený ich zodpovedajúcou hodnotou expozície uvedenou</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tc>
      </w:tr>
      <w:tr w:rsidR="005710A4" w:rsidRPr="00A3389E" w14:paraId="1723FE64" w14:textId="77777777" w:rsidTr="00155C96">
        <w:trPr>
          <w:trHeight w:val="680"/>
        </w:trPr>
        <w:tc>
          <w:tcPr>
            <w:tcW w:w="1384" w:type="dxa"/>
          </w:tcPr>
          <w:p w14:paraId="324B176D" w14:textId="74955344" w:rsidR="005710A4" w:rsidRPr="00A3389E" w:rsidRDefault="00880BCD" w:rsidP="00155C96">
            <w:pPr>
              <w:pStyle w:val="Applicationdirecte"/>
              <w:spacing w:before="0" w:after="240"/>
              <w:jc w:val="center"/>
            </w:pPr>
            <w:r w:rsidRPr="00A3389E">
              <w:t>c</w:t>
            </w:r>
          </w:p>
        </w:tc>
        <w:tc>
          <w:tcPr>
            <w:tcW w:w="7655" w:type="dxa"/>
            <w:vAlign w:val="center"/>
          </w:tcPr>
          <w:p w14:paraId="05CE8FD6" w14:textId="1C071BC0" w:rsidR="005710A4" w:rsidRPr="00A3389E" w:rsidRDefault="005710A4" w:rsidP="00155C96">
            <w:pPr>
              <w:spacing w:after="240"/>
              <w:rPr>
                <w:rFonts w:ascii="Times New Roman" w:eastAsia="Times New Roman" w:hAnsi="Times New Roman" w:cs="Times New Roman"/>
                <w:b/>
                <w:sz w:val="24"/>
              </w:rPr>
            </w:pPr>
            <w:r w:rsidRPr="00A3389E">
              <w:rPr>
                <w:rFonts w:ascii="Times New Roman" w:hAnsi="Times New Roman" w:cs="Times New Roman"/>
                <w:b/>
                <w:sz w:val="24"/>
              </w:rPr>
              <w:t>Počet dlžníkov</w:t>
            </w:r>
          </w:p>
          <w:p w14:paraId="6070B30C" w14:textId="77777777"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Počet právnych subjektov alebo dlžníkov priradených ku každej skupine pevnej stupnice PD, ktorí boli osobitne ohodnotení, bez ohľadu na počet jednotlivých poskytnutých úverov alebo expozícií.</w:t>
            </w:r>
          </w:p>
          <w:p w14:paraId="5E91B6F0" w14:textId="3249C8B1"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Ak sa jednotlivé expozície voči tomu istému dlžníkovi ohodnocujú osobitne, spočítavajú sa osobitne. Takáto situácia môže nastať vtedy, ak sa samostatné expozície voči tomu istému dlžníkovi zaradia do rôznych ratingových stupňov dlžníkov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172 ods. 1 písm. e) druhou vetou CRR.</w:t>
            </w:r>
          </w:p>
        </w:tc>
      </w:tr>
      <w:tr w:rsidR="005710A4" w:rsidRPr="00A3389E" w14:paraId="14B36B38" w14:textId="77777777" w:rsidTr="00155C96">
        <w:trPr>
          <w:trHeight w:val="680"/>
        </w:trPr>
        <w:tc>
          <w:tcPr>
            <w:tcW w:w="1384" w:type="dxa"/>
          </w:tcPr>
          <w:p w14:paraId="5AE2F6B4" w14:textId="11276E8C" w:rsidR="005710A4" w:rsidRPr="00A3389E" w:rsidRDefault="00880BCD" w:rsidP="00155C96">
            <w:pPr>
              <w:pStyle w:val="Applicationdirecte"/>
              <w:spacing w:before="0" w:after="240"/>
              <w:jc w:val="center"/>
            </w:pPr>
            <w:r w:rsidRPr="00A3389E">
              <w:t>d</w:t>
            </w:r>
          </w:p>
        </w:tc>
        <w:tc>
          <w:tcPr>
            <w:tcW w:w="7655" w:type="dxa"/>
            <w:vAlign w:val="center"/>
          </w:tcPr>
          <w:p w14:paraId="501F2FF5" w14:textId="36D97957" w:rsidR="005710A4" w:rsidRPr="00A3389E" w:rsidRDefault="005710A4" w:rsidP="00155C96">
            <w:pPr>
              <w:spacing w:after="240"/>
              <w:rPr>
                <w:rFonts w:ascii="Times New Roman" w:eastAsia="Times New Roman" w:hAnsi="Times New Roman" w:cs="Times New Roman"/>
                <w:b/>
                <w:sz w:val="24"/>
              </w:rPr>
            </w:pPr>
            <w:r w:rsidRPr="00A3389E">
              <w:rPr>
                <w:rFonts w:ascii="Times New Roman" w:hAnsi="Times New Roman" w:cs="Times New Roman"/>
                <w:b/>
                <w:sz w:val="24"/>
              </w:rPr>
              <w:t>Expozíciami vážená priemerná LGD (%)</w:t>
            </w:r>
          </w:p>
          <w:p w14:paraId="577F984E" w14:textId="77777777"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Priemer LGD ratingových stupňov dlžníkov vážený ich zodpovedajúcou hodnotou expozície.</w:t>
            </w:r>
          </w:p>
          <w:p w14:paraId="54216F93" w14:textId="6129BB15" w:rsidR="00A3389E"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Zverejňovaná LGD zodpovedá konečnému odhadu LGD použitému pri výpočte požiadaviek na vlastné zdroje získaných po zohľadnení všetkých účinkov zmierňovania kreditného rizika</w:t>
            </w:r>
            <w:r w:rsidR="00A3389E">
              <w:rPr>
                <w:rFonts w:ascii="Times New Roman" w:hAnsi="Times New Roman" w:cs="Times New Roman"/>
                <w:sz w:val="24"/>
              </w:rPr>
              <w:t xml:space="preserve"> a </w:t>
            </w:r>
            <w:r w:rsidRPr="00A3389E">
              <w:rPr>
                <w:rFonts w:ascii="Times New Roman" w:hAnsi="Times New Roman" w:cs="Times New Roman"/>
                <w:sz w:val="24"/>
              </w:rPr>
              <w:t>prípadne podmienok poklesu</w:t>
            </w:r>
            <w:r w:rsidR="00A3389E" w:rsidRPr="00A3389E">
              <w:rPr>
                <w:rFonts w:ascii="Times New Roman" w:hAnsi="Times New Roman" w:cs="Times New Roman"/>
                <w:sz w:val="24"/>
              </w:rPr>
              <w:t>.</w:t>
            </w:r>
          </w:p>
          <w:p w14:paraId="64CEF64E" w14:textId="79EBE4A4"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V prípade expozícií, na ktoré sa vzťahuje prístup dvojnásobného zlyhania, zverejňovaná LGD zodpovedá LGD zvolenej</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161 ods. 4 CRR.</w:t>
            </w:r>
          </w:p>
          <w:p w14:paraId="72CBEF97" w14:textId="110C09E5"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Pri expozíciách</w:t>
            </w:r>
            <w:r w:rsidR="00A3389E">
              <w:rPr>
                <w:rFonts w:ascii="Times New Roman" w:hAnsi="Times New Roman" w:cs="Times New Roman"/>
                <w:sz w:val="24"/>
              </w:rPr>
              <w:t xml:space="preserve"> v </w:t>
            </w:r>
            <w:r w:rsidRPr="00A3389E">
              <w:rPr>
                <w:rFonts w:ascii="Times New Roman" w:hAnsi="Times New Roman" w:cs="Times New Roman"/>
                <w:sz w:val="24"/>
              </w:rPr>
              <w:t>stave zlyhania podľa prístupu A-IRB sa zohľadňujú ustanovenia uvedené</w:t>
            </w:r>
            <w:r w:rsidR="00A3389E">
              <w:rPr>
                <w:rFonts w:ascii="Times New Roman" w:hAnsi="Times New Roman" w:cs="Times New Roman"/>
                <w:sz w:val="24"/>
              </w:rPr>
              <w:t xml:space="preserve"> v </w:t>
            </w:r>
            <w:r w:rsidRPr="00A3389E">
              <w:rPr>
                <w:rFonts w:ascii="Times New Roman" w:hAnsi="Times New Roman" w:cs="Times New Roman"/>
                <w:sz w:val="24"/>
              </w:rPr>
              <w:t>článku 181 ods. 1 písm. h) CRR. Zverejňovaná LGD zodpovedá odhadu LGD</w:t>
            </w:r>
            <w:r w:rsidR="00A3389E">
              <w:rPr>
                <w:rFonts w:ascii="Times New Roman" w:hAnsi="Times New Roman" w:cs="Times New Roman"/>
                <w:sz w:val="24"/>
              </w:rPr>
              <w:t xml:space="preserve"> v </w:t>
            </w:r>
            <w:r w:rsidRPr="00A3389E">
              <w:rPr>
                <w:rFonts w:ascii="Times New Roman" w:hAnsi="Times New Roman" w:cs="Times New Roman"/>
                <w:sz w:val="24"/>
              </w:rPr>
              <w:t>stave zlyhania.</w:t>
            </w:r>
          </w:p>
        </w:tc>
      </w:tr>
      <w:tr w:rsidR="005710A4" w:rsidRPr="00A3389E" w14:paraId="29696B4D" w14:textId="77777777" w:rsidTr="00155C96">
        <w:trPr>
          <w:trHeight w:val="680"/>
        </w:trPr>
        <w:tc>
          <w:tcPr>
            <w:tcW w:w="1384" w:type="dxa"/>
          </w:tcPr>
          <w:p w14:paraId="42250475" w14:textId="63062378" w:rsidR="005710A4" w:rsidRPr="00A3389E" w:rsidRDefault="00880BCD" w:rsidP="00155C96">
            <w:pPr>
              <w:pStyle w:val="Applicationdirecte"/>
              <w:spacing w:before="0" w:after="240"/>
              <w:jc w:val="center"/>
            </w:pPr>
            <w:r w:rsidRPr="00A3389E">
              <w:t>e</w:t>
            </w:r>
          </w:p>
        </w:tc>
        <w:tc>
          <w:tcPr>
            <w:tcW w:w="7655" w:type="dxa"/>
            <w:vAlign w:val="center"/>
          </w:tcPr>
          <w:p w14:paraId="2128D06D" w14:textId="678AB02E" w:rsidR="005710A4" w:rsidRPr="00A3389E" w:rsidRDefault="005710A4" w:rsidP="00155C96">
            <w:pPr>
              <w:spacing w:after="240"/>
              <w:rPr>
                <w:rFonts w:ascii="Times New Roman" w:eastAsia="Times New Roman" w:hAnsi="Times New Roman" w:cs="Times New Roman"/>
                <w:b/>
                <w:sz w:val="24"/>
              </w:rPr>
            </w:pPr>
            <w:r w:rsidRPr="00A3389E">
              <w:rPr>
                <w:rFonts w:ascii="Times New Roman" w:hAnsi="Times New Roman" w:cs="Times New Roman"/>
                <w:b/>
                <w:sz w:val="24"/>
              </w:rPr>
              <w:t>Expozíciami vážená priemerná splatnosť (v rokoch)</w:t>
            </w:r>
          </w:p>
          <w:p w14:paraId="35D0A9DC" w14:textId="702D85A6"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Priemer splatností dlžníkov</w:t>
            </w:r>
            <w:r w:rsidR="00A3389E">
              <w:rPr>
                <w:rFonts w:ascii="Times New Roman" w:hAnsi="Times New Roman" w:cs="Times New Roman"/>
                <w:sz w:val="24"/>
              </w:rPr>
              <w:t xml:space="preserve"> v </w:t>
            </w:r>
            <w:r w:rsidRPr="00A3389E">
              <w:rPr>
                <w:rFonts w:ascii="Times New Roman" w:hAnsi="Times New Roman" w:cs="Times New Roman"/>
                <w:sz w:val="24"/>
              </w:rPr>
              <w:t>rokoch vážený ich zodpovedajúcou hodnotou expozície uvedenou</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p w14:paraId="2111229B" w14:textId="21C89DAE" w:rsidR="005710A4" w:rsidRPr="00A3389E" w:rsidRDefault="005710A4"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Zverejňovaná hodnota splatnosti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162 CRR.</w:t>
            </w:r>
          </w:p>
        </w:tc>
      </w:tr>
      <w:tr w:rsidR="005710A4" w:rsidRPr="00A3389E" w14:paraId="46988DB3" w14:textId="77777777" w:rsidTr="00155C96">
        <w:trPr>
          <w:trHeight w:val="680"/>
        </w:trPr>
        <w:tc>
          <w:tcPr>
            <w:tcW w:w="1384" w:type="dxa"/>
          </w:tcPr>
          <w:p w14:paraId="4C463E64" w14:textId="17AD2872" w:rsidR="005710A4" w:rsidRPr="00A3389E" w:rsidRDefault="00880BCD" w:rsidP="00155C96">
            <w:pPr>
              <w:pStyle w:val="Applicationdirecte"/>
              <w:spacing w:before="0" w:after="240"/>
              <w:jc w:val="center"/>
            </w:pPr>
            <w:r w:rsidRPr="00A3389E">
              <w:lastRenderedPageBreak/>
              <w:t>f</w:t>
            </w:r>
          </w:p>
        </w:tc>
        <w:tc>
          <w:tcPr>
            <w:tcW w:w="7655" w:type="dxa"/>
            <w:vAlign w:val="center"/>
          </w:tcPr>
          <w:p w14:paraId="3DD45EDD" w14:textId="77777777" w:rsidR="005710A4" w:rsidRPr="00A3389E" w:rsidRDefault="005710A4" w:rsidP="00155C96">
            <w:pPr>
              <w:spacing w:after="240"/>
              <w:rPr>
                <w:rFonts w:ascii="Times New Roman" w:eastAsia="Times New Roman" w:hAnsi="Times New Roman" w:cs="Times New Roman"/>
                <w:b/>
                <w:sz w:val="24"/>
              </w:rPr>
            </w:pPr>
            <w:r w:rsidRPr="00A3389E">
              <w:rPr>
                <w:rFonts w:ascii="Times New Roman" w:hAnsi="Times New Roman" w:cs="Times New Roman"/>
                <w:b/>
                <w:sz w:val="24"/>
              </w:rPr>
              <w:t>RWEA</w:t>
            </w:r>
          </w:p>
          <w:p w14:paraId="17482AA4" w14:textId="22F9F0F8" w:rsidR="005710A4" w:rsidRPr="00A3389E" w:rsidRDefault="005710A4" w:rsidP="00155C96">
            <w:pPr>
              <w:spacing w:after="240"/>
              <w:jc w:val="both"/>
              <w:rPr>
                <w:rFonts w:ascii="Times New Roman" w:eastAsia="Times New Roman" w:hAnsi="Times New Roman" w:cs="Times New Roman"/>
                <w:i/>
                <w:sz w:val="24"/>
              </w:rPr>
            </w:pPr>
            <w:r w:rsidRPr="00A3389E">
              <w:rPr>
                <w:rFonts w:ascii="Times New Roman" w:hAnsi="Times New Roman" w:cs="Times New Roman"/>
                <w:sz w:val="24"/>
              </w:rPr>
              <w:t>Hodnoty rizikovo vážených expozícií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3 CRR; pri expozíciách voči ústredným vládam</w:t>
            </w:r>
            <w:r w:rsidR="00A3389E">
              <w:rPr>
                <w:rFonts w:ascii="Times New Roman" w:hAnsi="Times New Roman" w:cs="Times New Roman"/>
                <w:sz w:val="24"/>
              </w:rPr>
              <w:t xml:space="preserve"> a </w:t>
            </w:r>
            <w:r w:rsidRPr="00A3389E">
              <w:rPr>
                <w:rFonts w:ascii="Times New Roman" w:hAnsi="Times New Roman" w:cs="Times New Roman"/>
                <w:sz w:val="24"/>
              </w:rPr>
              <w:t>centrálnym bankám, inštitúciám</w:t>
            </w:r>
            <w:r w:rsidR="00A3389E">
              <w:rPr>
                <w:rFonts w:ascii="Times New Roman" w:hAnsi="Times New Roman" w:cs="Times New Roman"/>
                <w:sz w:val="24"/>
              </w:rPr>
              <w:t xml:space="preserve"> a </w:t>
            </w:r>
            <w:r w:rsidRPr="00A3389E">
              <w:rPr>
                <w:rFonts w:ascii="Times New Roman" w:hAnsi="Times New Roman" w:cs="Times New Roman"/>
                <w:sz w:val="24"/>
              </w:rPr>
              <w:t>podnikateľským subjektom hodnota rizikovo váženej expozície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153 ods. 1 až 4 CRR; zohľadňujú sa faktory na podporu MSP</w:t>
            </w:r>
            <w:r w:rsidR="00A3389E">
              <w:rPr>
                <w:rFonts w:ascii="Times New Roman" w:hAnsi="Times New Roman" w:cs="Times New Roman"/>
                <w:sz w:val="24"/>
              </w:rPr>
              <w:t xml:space="preserve"> a </w:t>
            </w:r>
            <w:r w:rsidRPr="00A3389E">
              <w:rPr>
                <w:rFonts w:ascii="Times New Roman" w:hAnsi="Times New Roman" w:cs="Times New Roman"/>
                <w:sz w:val="24"/>
              </w:rPr>
              <w:t>infraštruktúry určené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501</w:t>
            </w:r>
            <w:r w:rsidR="00A3389E">
              <w:rPr>
                <w:rFonts w:ascii="Times New Roman" w:hAnsi="Times New Roman" w:cs="Times New Roman"/>
                <w:sz w:val="24"/>
              </w:rPr>
              <w:t xml:space="preserve"> a </w:t>
            </w:r>
            <w:r w:rsidRPr="00A3389E">
              <w:rPr>
                <w:rFonts w:ascii="Times New Roman" w:hAnsi="Times New Roman" w:cs="Times New Roman"/>
                <w:sz w:val="24"/>
              </w:rPr>
              <w:t>501a CRR; pri kapitálových expozíciách</w:t>
            </w:r>
            <w:r w:rsidR="00A3389E">
              <w:rPr>
                <w:rFonts w:ascii="Times New Roman" w:hAnsi="Times New Roman" w:cs="Times New Roman"/>
                <w:sz w:val="24"/>
              </w:rPr>
              <w:t xml:space="preserve"> v </w:t>
            </w:r>
            <w:r w:rsidRPr="00A3389E">
              <w:rPr>
                <w:rFonts w:ascii="Times New Roman" w:hAnsi="Times New Roman" w:cs="Times New Roman"/>
                <w:sz w:val="24"/>
              </w:rPr>
              <w:t>rámci prístupu PD/LGD hodnota rizikovo váženej expozície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155 ods. 3 CRR.</w:t>
            </w:r>
          </w:p>
        </w:tc>
      </w:tr>
      <w:tr w:rsidR="005710A4" w:rsidRPr="00A3389E" w14:paraId="35B4FE02" w14:textId="77777777" w:rsidTr="00155C96">
        <w:trPr>
          <w:trHeight w:val="680"/>
        </w:trPr>
        <w:tc>
          <w:tcPr>
            <w:tcW w:w="1384" w:type="dxa"/>
          </w:tcPr>
          <w:p w14:paraId="6580E7BD" w14:textId="48ADB11C" w:rsidR="005710A4" w:rsidRPr="00A3389E" w:rsidRDefault="00880BCD" w:rsidP="00155C96">
            <w:pPr>
              <w:pStyle w:val="Applicationdirecte"/>
              <w:spacing w:before="0" w:after="240"/>
              <w:jc w:val="center"/>
            </w:pPr>
            <w:r w:rsidRPr="00A3389E">
              <w:t>g</w:t>
            </w:r>
          </w:p>
        </w:tc>
        <w:tc>
          <w:tcPr>
            <w:tcW w:w="7655" w:type="dxa"/>
            <w:vAlign w:val="center"/>
          </w:tcPr>
          <w:p w14:paraId="1D472417" w14:textId="62FF1C48" w:rsidR="005710A4" w:rsidRPr="00A3389E" w:rsidRDefault="005710A4" w:rsidP="00155C96">
            <w:pPr>
              <w:spacing w:after="240"/>
              <w:rPr>
                <w:rFonts w:ascii="Times New Roman" w:eastAsia="Times New Roman" w:hAnsi="Times New Roman" w:cs="Times New Roman"/>
                <w:b/>
                <w:sz w:val="24"/>
              </w:rPr>
            </w:pPr>
            <w:r w:rsidRPr="00A3389E">
              <w:rPr>
                <w:rFonts w:ascii="Times New Roman" w:hAnsi="Times New Roman" w:cs="Times New Roman"/>
                <w:b/>
                <w:sz w:val="24"/>
              </w:rPr>
              <w:t>Hustota hodnôt rizikovo vážených expozícií</w:t>
            </w:r>
          </w:p>
          <w:p w14:paraId="4D404572" w14:textId="7252AAFD"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Pomer celkových hodnôt rizikovo vážených expozícií (uvedených</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f</w:t>
            </w:r>
            <w:r w:rsidRPr="00A3389E">
              <w:rPr>
                <w:rFonts w:ascii="Times New Roman" w:hAnsi="Times New Roman" w:cs="Times New Roman"/>
                <w:sz w:val="24"/>
              </w:rPr>
              <w:t xml:space="preserve"> tohto vzoru)</w:t>
            </w:r>
            <w:r w:rsidR="00A3389E">
              <w:rPr>
                <w:rFonts w:ascii="Times New Roman" w:hAnsi="Times New Roman" w:cs="Times New Roman"/>
                <w:sz w:val="24"/>
              </w:rPr>
              <w:t xml:space="preserve"> k </w:t>
            </w:r>
            <w:r w:rsidRPr="00A3389E">
              <w:rPr>
                <w:rFonts w:ascii="Times New Roman" w:hAnsi="Times New Roman" w:cs="Times New Roman"/>
                <w:sz w:val="24"/>
              </w:rPr>
              <w:t>hodnote expozície (uvedenej</w:t>
            </w:r>
            <w:r w:rsidR="00A3389E">
              <w:rPr>
                <w:rFonts w:ascii="Times New Roman" w:hAnsi="Times New Roman" w:cs="Times New Roman"/>
                <w:sz w:val="24"/>
              </w:rPr>
              <w:t xml:space="preserve"> v </w:t>
            </w:r>
            <w:r w:rsidRPr="00A3389E">
              <w:rPr>
                <w:rFonts w:ascii="Times New Roman" w:hAnsi="Times New Roman" w:cs="Times New Roman"/>
                <w:sz w:val="24"/>
              </w:rPr>
              <w:t>stĺpci</w:t>
            </w:r>
            <w:r w:rsidR="00A3389E">
              <w:rPr>
                <w:rFonts w:ascii="Times New Roman" w:hAnsi="Times New Roman" w:cs="Times New Roman"/>
                <w:sz w:val="24"/>
              </w:rPr>
              <w:t xml:space="preserve"> a </w:t>
            </w:r>
            <w:r w:rsidRPr="00A3389E">
              <w:rPr>
                <w:rFonts w:ascii="Times New Roman" w:hAnsi="Times New Roman" w:cs="Times New Roman"/>
                <w:sz w:val="24"/>
              </w:rPr>
              <w:t>tohto vzoru).</w:t>
            </w:r>
          </w:p>
        </w:tc>
      </w:tr>
    </w:tbl>
    <w:p w14:paraId="7B815329" w14:textId="77777777" w:rsidR="005710A4" w:rsidRPr="00A3389E" w:rsidRDefault="005710A4" w:rsidP="005710A4">
      <w:pPr>
        <w:pStyle w:val="Titlelevel2"/>
        <w:spacing w:before="0"/>
        <w:rPr>
          <w:rFonts w:ascii="Times New Roman" w:hAnsi="Times New Roman" w:cs="Times New Roman"/>
          <w:color w:val="auto"/>
          <w:sz w:val="24"/>
        </w:rPr>
      </w:pPr>
    </w:p>
    <w:p w14:paraId="2B605431" w14:textId="1351DAFA" w:rsidR="005710A4" w:rsidRPr="00A3389E" w:rsidRDefault="00CD362D" w:rsidP="005710A4">
      <w:pPr>
        <w:pStyle w:val="Titlelevel2"/>
        <w:spacing w:before="0"/>
        <w:rPr>
          <w:rFonts w:ascii="Times New Roman" w:hAnsi="Times New Roman" w:cs="Times New Roman"/>
          <w:color w:val="auto"/>
          <w:sz w:val="24"/>
        </w:rPr>
      </w:pPr>
      <w:r w:rsidRPr="00A3389E">
        <w:rPr>
          <w:rFonts w:ascii="Times New Roman" w:hAnsi="Times New Roman" w:cs="Times New Roman"/>
          <w:b/>
          <w:color w:val="auto"/>
          <w:sz w:val="24"/>
        </w:rPr>
        <w:t xml:space="preserve">Vzor EU CCR5 – Zloženie kolaterálu pre expozície voči CCR: </w:t>
      </w:r>
      <w:r w:rsidRPr="00A3389E">
        <w:rPr>
          <w:rFonts w:ascii="Times New Roman" w:hAnsi="Times New Roman" w:cs="Times New Roman"/>
          <w:color w:val="auto"/>
          <w:sz w:val="24"/>
        </w:rPr>
        <w:t>Pevné stĺpce</w:t>
      </w:r>
    </w:p>
    <w:p w14:paraId="298A9EDD" w14:textId="3FDA2451"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4"/>
        </w:rPr>
        <w:t>13.</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článku 439 písm. e) CRR podľa pokynov uvedených nižšie</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cieľom vyplniť vzor EU CCR5 uvedený</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prílohe XXV</w:t>
      </w:r>
      <w:r>
        <w:rPr>
          <w:rFonts w:ascii="Times New Roman" w:hAnsi="Times New Roman" w:cs="Times New Roman"/>
          <w:bCs w:val="0"/>
          <w:color w:val="000000"/>
          <w:sz w:val="24"/>
        </w:rPr>
        <w:t xml:space="preserve"> k </w:t>
      </w:r>
      <w:r w:rsidR="005710A4" w:rsidRPr="00A3389E">
        <w:rPr>
          <w:rFonts w:ascii="Times New Roman" w:hAnsi="Times New Roman" w:cs="Times New Roman"/>
          <w:bCs w:val="0"/>
          <w:color w:val="000000"/>
          <w:sz w:val="24"/>
        </w:rPr>
        <w:t>tomuto vykonávaciemu nariadeniu.</w:t>
      </w:r>
    </w:p>
    <w:p w14:paraId="3135CD63" w14:textId="2A9ED2E7" w:rsidR="00A3389E" w:rsidRPr="00A3389E" w:rsidRDefault="00A3389E" w:rsidP="00A3389E">
      <w:pPr>
        <w:pStyle w:val="Titlelevel2"/>
        <w:spacing w:before="0"/>
        <w:ind w:left="720" w:hanging="360"/>
        <w:jc w:val="both"/>
        <w:rPr>
          <w:rFonts w:ascii="Times New Roman" w:hAnsi="Times New Roman" w:cs="Times New Roman"/>
          <w:bCs w:val="0"/>
          <w:color w:val="000000"/>
          <w:sz w:val="24"/>
        </w:rPr>
      </w:pPr>
      <w:r w:rsidRPr="00A3389E">
        <w:rPr>
          <w:rFonts w:ascii="Times New Roman" w:hAnsi="Times New Roman" w:cs="Times New Roman"/>
          <w:bCs w:val="0"/>
          <w:color w:val="auto"/>
          <w:sz w:val="24"/>
        </w:rPr>
        <w:t>14.</w:t>
      </w:r>
      <w:r w:rsidRPr="00A3389E">
        <w:rPr>
          <w:rFonts w:ascii="Times New Roman" w:hAnsi="Times New Roman" w:cs="Times New Roman"/>
          <w:bCs w:val="0"/>
          <w:color w:val="auto"/>
          <w:sz w:val="24"/>
        </w:rPr>
        <w:tab/>
      </w:r>
      <w:r w:rsidR="005710A4" w:rsidRPr="00A3389E">
        <w:rPr>
          <w:rFonts w:ascii="Times New Roman" w:hAnsi="Times New Roman" w:cs="Times New Roman"/>
          <w:bCs w:val="0"/>
          <w:color w:val="000000"/>
          <w:sz w:val="24"/>
        </w:rPr>
        <w:t>V tomto vzore sa vypĺňajú reálne hodnoty kolaterálu (poskytnutého alebo prijatého), ktorý je použitý</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expozíciách voči CCR súvisiacich</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derivátovými transakciami alebo SFT, bez ohľadu na to, či sa transakcie zúčtovávajú prostredníctvom CCP alebo nie,</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bez ohľadu na to, či sa kolaterál poskytuje CCP alebo nie</w:t>
      </w:r>
      <w:r w:rsidRPr="00A3389E">
        <w:rPr>
          <w:rFonts w:ascii="Times New Roman" w:hAnsi="Times New Roman" w:cs="Times New Roman"/>
          <w:bCs w:val="0"/>
          <w:color w:val="000000"/>
          <w:sz w:val="24"/>
        </w:rPr>
        <w:t>.</w:t>
      </w:r>
    </w:p>
    <w:p w14:paraId="21957FE1" w14:textId="6B7EB047"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4"/>
        </w:rPr>
        <w:t>15.</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Ak centrálna banka členského štátu poskytne pomoc na zabezpečenie likvidity vo forme transakcií so swapmi na kolaterál, príslušný orgán môže inštitúciám udeliť výnimku</w:t>
      </w:r>
      <w:r>
        <w:rPr>
          <w:rFonts w:ascii="Times New Roman" w:hAnsi="Times New Roman" w:cs="Times New Roman"/>
          <w:bCs w:val="0"/>
          <w:color w:val="000000"/>
          <w:sz w:val="24"/>
        </w:rPr>
        <w:t xml:space="preserve"> z </w:t>
      </w:r>
      <w:r w:rsidR="005710A4" w:rsidRPr="00A3389E">
        <w:rPr>
          <w:rFonts w:ascii="Times New Roman" w:hAnsi="Times New Roman" w:cs="Times New Roman"/>
          <w:bCs w:val="0"/>
          <w:color w:val="000000"/>
          <w:sz w:val="24"/>
        </w:rPr>
        <w:t>poskytovania informácií</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tomto vzore, ak sa tento príslušný orgán domnieva, že zverejnenie týchto informácií by mohlo odhaliť poskytnutie núdzovej pomoci na zabezpečenie likvidity. Na tieto účely príslušný orgán stanovuje primerané prahové hodnoty</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objektívne kritériá.</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A3389E"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30D6ECAB"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710A4" w:rsidRPr="00A3389E" w14:paraId="7207C120" w14:textId="77777777" w:rsidTr="00155C96">
        <w:trPr>
          <w:trHeight w:val="238"/>
        </w:trPr>
        <w:tc>
          <w:tcPr>
            <w:tcW w:w="1384" w:type="dxa"/>
            <w:shd w:val="clear" w:color="auto" w:fill="D9D9D9" w:themeFill="background1" w:themeFillShade="D9"/>
          </w:tcPr>
          <w:p w14:paraId="50331A59" w14:textId="77777777" w:rsidR="005710A4" w:rsidRPr="00A3389E" w:rsidRDefault="005710A4" w:rsidP="00F40A8B">
            <w:pPr>
              <w:autoSpaceDE w:val="0"/>
              <w:autoSpaceDN w:val="0"/>
              <w:adjustRightInd w:val="0"/>
              <w:spacing w:after="240"/>
              <w:jc w:val="center"/>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5386B62D" w14:textId="77777777" w:rsidR="005710A4" w:rsidRPr="00A3389E" w:rsidRDefault="005710A4"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5710A4" w:rsidRPr="00A3389E" w14:paraId="78A82FC1" w14:textId="77777777" w:rsidTr="00155C96">
        <w:trPr>
          <w:trHeight w:val="680"/>
        </w:trPr>
        <w:tc>
          <w:tcPr>
            <w:tcW w:w="1384" w:type="dxa"/>
          </w:tcPr>
          <w:p w14:paraId="2E88CE3B" w14:textId="7340DC46" w:rsidR="005710A4" w:rsidRPr="00A3389E" w:rsidRDefault="00F40A8B" w:rsidP="00F40A8B">
            <w:pPr>
              <w:pStyle w:val="Applicationdirecte"/>
              <w:spacing w:before="0" w:after="240"/>
              <w:jc w:val="center"/>
            </w:pPr>
            <w:r w:rsidRPr="00A3389E">
              <w:t>1 – 8</w:t>
            </w:r>
          </w:p>
        </w:tc>
        <w:tc>
          <w:tcPr>
            <w:tcW w:w="7655" w:type="dxa"/>
            <w:vAlign w:val="center"/>
          </w:tcPr>
          <w:p w14:paraId="515C6C99" w14:textId="77777777" w:rsidR="005710A4" w:rsidRPr="00A3389E" w:rsidRDefault="005710A4" w:rsidP="00155C96">
            <w:pPr>
              <w:spacing w:after="240"/>
              <w:jc w:val="both"/>
              <w:rPr>
                <w:rFonts w:ascii="Times New Roman" w:eastAsia="Times New Roman" w:hAnsi="Times New Roman" w:cs="Times New Roman"/>
                <w:b/>
                <w:sz w:val="24"/>
              </w:rPr>
            </w:pPr>
            <w:r w:rsidRPr="00A3389E">
              <w:rPr>
                <w:rFonts w:ascii="Times New Roman" w:hAnsi="Times New Roman" w:cs="Times New Roman"/>
                <w:b/>
                <w:sz w:val="24"/>
              </w:rPr>
              <w:t>Druh kolaterálu</w:t>
            </w:r>
          </w:p>
          <w:p w14:paraId="61BF0824" w14:textId="77777777"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Rozčlenenie podľa druhu kolaterálu.</w:t>
            </w:r>
          </w:p>
        </w:tc>
      </w:tr>
      <w:tr w:rsidR="005710A4" w:rsidRPr="00A3389E" w14:paraId="2CBB8E1E" w14:textId="77777777" w:rsidTr="00155C96">
        <w:trPr>
          <w:trHeight w:val="680"/>
        </w:trPr>
        <w:tc>
          <w:tcPr>
            <w:tcW w:w="1384" w:type="dxa"/>
          </w:tcPr>
          <w:p w14:paraId="673D07C8" w14:textId="65FFDC33" w:rsidR="005710A4" w:rsidRPr="00A3389E" w:rsidRDefault="00F40A8B" w:rsidP="00F40A8B">
            <w:pPr>
              <w:pStyle w:val="Applicationdirecte"/>
              <w:spacing w:before="0" w:after="240"/>
              <w:jc w:val="center"/>
            </w:pPr>
            <w:r w:rsidRPr="00A3389E">
              <w:t>9</w:t>
            </w:r>
          </w:p>
        </w:tc>
        <w:tc>
          <w:tcPr>
            <w:tcW w:w="7655" w:type="dxa"/>
          </w:tcPr>
          <w:p w14:paraId="2B60697C" w14:textId="77777777" w:rsidR="005710A4" w:rsidRPr="00A3389E" w:rsidRDefault="005710A4" w:rsidP="00155C96">
            <w:pPr>
              <w:spacing w:after="240"/>
              <w:rPr>
                <w:rFonts w:ascii="Times New Roman" w:eastAsia="Times New Roman" w:hAnsi="Times New Roman" w:cs="Times New Roman"/>
                <w:b/>
                <w:sz w:val="24"/>
              </w:rPr>
            </w:pPr>
            <w:r w:rsidRPr="00A3389E">
              <w:rPr>
                <w:rFonts w:ascii="Times New Roman" w:hAnsi="Times New Roman" w:cs="Times New Roman"/>
                <w:b/>
                <w:sz w:val="24"/>
              </w:rPr>
              <w:t>Spolu</w:t>
            </w:r>
          </w:p>
        </w:tc>
      </w:tr>
      <w:tr w:rsidR="005710A4" w:rsidRPr="00A3389E"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A3389E" w:rsidRDefault="005710A4" w:rsidP="00F40A8B">
            <w:pPr>
              <w:pStyle w:val="Applicationdirecte"/>
              <w:spacing w:before="0" w:after="240"/>
              <w:jc w:val="center"/>
              <w:rPr>
                <w:b/>
              </w:rPr>
            </w:pPr>
            <w:r w:rsidRPr="00A3389E">
              <w:rPr>
                <w:b/>
              </w:rPr>
              <w:lastRenderedPageBreak/>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Vysvetlenie</w:t>
            </w:r>
          </w:p>
        </w:tc>
      </w:tr>
      <w:tr w:rsidR="005710A4" w:rsidRPr="00A3389E" w14:paraId="20BF58F3" w14:textId="77777777" w:rsidTr="00155C96">
        <w:trPr>
          <w:trHeight w:val="416"/>
        </w:trPr>
        <w:tc>
          <w:tcPr>
            <w:tcW w:w="1384" w:type="dxa"/>
          </w:tcPr>
          <w:p w14:paraId="5577989C" w14:textId="4385196C" w:rsidR="005710A4" w:rsidRPr="00A3389E" w:rsidRDefault="00F40A8B" w:rsidP="00F40A8B">
            <w:pPr>
              <w:pStyle w:val="Applicationdirecte"/>
              <w:spacing w:before="0" w:after="240"/>
              <w:jc w:val="center"/>
            </w:pPr>
            <w:r w:rsidRPr="00A3389E">
              <w:t>a, c, e</w:t>
            </w:r>
            <w:r w:rsidR="00A3389E">
              <w:t xml:space="preserve"> a </w:t>
            </w:r>
            <w:r w:rsidRPr="00A3389E">
              <w:t>g</w:t>
            </w:r>
          </w:p>
        </w:tc>
        <w:tc>
          <w:tcPr>
            <w:tcW w:w="7655" w:type="dxa"/>
            <w:vAlign w:val="center"/>
          </w:tcPr>
          <w:p w14:paraId="6826725C" w14:textId="31B3CC1A" w:rsidR="005710A4" w:rsidRPr="00A3389E" w:rsidRDefault="005710A4" w:rsidP="00155C96">
            <w:pPr>
              <w:spacing w:after="240"/>
              <w:jc w:val="both"/>
              <w:rPr>
                <w:rFonts w:ascii="Times New Roman" w:eastAsia="Calibri" w:hAnsi="Times New Roman" w:cs="Times New Roman"/>
                <w:b/>
                <w:sz w:val="24"/>
              </w:rPr>
            </w:pPr>
            <w:r w:rsidRPr="00A3389E">
              <w:rPr>
                <w:rFonts w:ascii="Times New Roman" w:hAnsi="Times New Roman" w:cs="Times New Roman"/>
                <w:b/>
                <w:sz w:val="24"/>
              </w:rPr>
              <w:t>Oddelený</w:t>
            </w:r>
          </w:p>
          <w:p w14:paraId="25FE1D86" w14:textId="0C48896E"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Kolaterál, ktorý je držaný spôsobom odolným voči konkurzu</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300 ods. 1 CRR.</w:t>
            </w:r>
          </w:p>
        </w:tc>
      </w:tr>
      <w:tr w:rsidR="005710A4" w:rsidRPr="00A3389E" w14:paraId="008426BC" w14:textId="77777777" w:rsidTr="00155C96">
        <w:trPr>
          <w:trHeight w:val="680"/>
        </w:trPr>
        <w:tc>
          <w:tcPr>
            <w:tcW w:w="1384" w:type="dxa"/>
          </w:tcPr>
          <w:p w14:paraId="67C42FC0" w14:textId="33FE3885" w:rsidR="005710A4" w:rsidRPr="00A3389E" w:rsidRDefault="00F40A8B" w:rsidP="00F40A8B">
            <w:pPr>
              <w:pStyle w:val="Applicationdirecte"/>
              <w:spacing w:before="0" w:after="240"/>
              <w:jc w:val="center"/>
            </w:pPr>
            <w:r w:rsidRPr="00A3389E">
              <w:t>b, d, f</w:t>
            </w:r>
            <w:r w:rsidR="00A3389E">
              <w:t xml:space="preserve"> a </w:t>
            </w:r>
            <w:r w:rsidRPr="00A3389E">
              <w:t>h</w:t>
            </w:r>
          </w:p>
        </w:tc>
        <w:tc>
          <w:tcPr>
            <w:tcW w:w="7655" w:type="dxa"/>
            <w:vAlign w:val="center"/>
          </w:tcPr>
          <w:p w14:paraId="6C68D1E8" w14:textId="11FA546F" w:rsidR="005710A4" w:rsidRPr="00A3389E" w:rsidRDefault="005710A4" w:rsidP="00155C96">
            <w:pPr>
              <w:spacing w:after="240"/>
              <w:jc w:val="both"/>
              <w:rPr>
                <w:rFonts w:ascii="Times New Roman" w:eastAsia="Calibri" w:hAnsi="Times New Roman" w:cs="Times New Roman"/>
                <w:b/>
                <w:sz w:val="24"/>
              </w:rPr>
            </w:pPr>
            <w:r w:rsidRPr="00A3389E">
              <w:rPr>
                <w:rFonts w:ascii="Times New Roman" w:hAnsi="Times New Roman" w:cs="Times New Roman"/>
                <w:b/>
                <w:sz w:val="24"/>
              </w:rPr>
              <w:t>Neoddelený</w:t>
            </w:r>
          </w:p>
          <w:p w14:paraId="0C49A679" w14:textId="6E6A9BAA"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Kolaterál, ktorý nie je držaný spôsobom odolným voči konkurzu</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300 ods. 1 CRR.</w:t>
            </w:r>
          </w:p>
        </w:tc>
      </w:tr>
      <w:tr w:rsidR="005710A4" w:rsidRPr="00A3389E" w14:paraId="6933B5C4" w14:textId="77777777" w:rsidTr="00155C96">
        <w:trPr>
          <w:trHeight w:val="680"/>
        </w:trPr>
        <w:tc>
          <w:tcPr>
            <w:tcW w:w="1384" w:type="dxa"/>
          </w:tcPr>
          <w:p w14:paraId="68CEA54E" w14:textId="3DBFC655" w:rsidR="005710A4" w:rsidRPr="00A3389E" w:rsidRDefault="00F40A8B" w:rsidP="00F40A8B">
            <w:pPr>
              <w:pStyle w:val="Applicationdirecte"/>
              <w:spacing w:before="0" w:after="240"/>
              <w:jc w:val="center"/>
            </w:pPr>
            <w:r w:rsidRPr="00A3389E">
              <w:t>a až d</w:t>
            </w:r>
          </w:p>
        </w:tc>
        <w:tc>
          <w:tcPr>
            <w:tcW w:w="7655" w:type="dxa"/>
            <w:vAlign w:val="center"/>
          </w:tcPr>
          <w:p w14:paraId="5AA88537" w14:textId="38A35E5B" w:rsidR="005710A4" w:rsidRPr="00A3389E" w:rsidRDefault="005710A4" w:rsidP="00155C96">
            <w:pPr>
              <w:pStyle w:val="numberedparagraph"/>
              <w:numPr>
                <w:ilvl w:val="0"/>
                <w:numId w:val="0"/>
              </w:numPr>
              <w:spacing w:before="0" w:after="240" w:line="240" w:lineRule="auto"/>
              <w:rPr>
                <w:rFonts w:ascii="Times New Roman" w:hAnsi="Times New Roman" w:cs="Times New Roman"/>
                <w:b/>
                <w:sz w:val="24"/>
              </w:rPr>
            </w:pPr>
            <w:r w:rsidRPr="00A3389E">
              <w:rPr>
                <w:rFonts w:ascii="Times New Roman" w:hAnsi="Times New Roman" w:cs="Times New Roman"/>
                <w:b/>
                <w:sz w:val="24"/>
              </w:rPr>
              <w:t>Kolaterál použitý</w:t>
            </w:r>
            <w:r w:rsidR="00A3389E">
              <w:rPr>
                <w:rFonts w:ascii="Times New Roman" w:hAnsi="Times New Roman" w:cs="Times New Roman"/>
                <w:b/>
                <w:sz w:val="24"/>
              </w:rPr>
              <w:t xml:space="preserve"> v </w:t>
            </w:r>
            <w:r w:rsidRPr="00A3389E">
              <w:rPr>
                <w:rFonts w:ascii="Times New Roman" w:hAnsi="Times New Roman" w:cs="Times New Roman"/>
                <w:b/>
                <w:sz w:val="24"/>
              </w:rPr>
              <w:t>derivátových transakciách</w:t>
            </w:r>
          </w:p>
          <w:p w14:paraId="0E0B7928" w14:textId="1DA8EFB0" w:rsidR="005710A4" w:rsidRPr="00A3389E" w:rsidRDefault="005710A4" w:rsidP="00155C96">
            <w:pPr>
              <w:pStyle w:val="numberedparagraph"/>
              <w:numPr>
                <w:ilvl w:val="0"/>
                <w:numId w:val="0"/>
              </w:numPr>
              <w:spacing w:before="0" w:after="240" w:line="240" w:lineRule="auto"/>
              <w:rPr>
                <w:rFonts w:ascii="Times New Roman" w:hAnsi="Times New Roman" w:cs="Times New Roman"/>
                <w:sz w:val="24"/>
              </w:rPr>
            </w:pPr>
            <w:r w:rsidRPr="00A3389E">
              <w:rPr>
                <w:rFonts w:ascii="Times New Roman" w:hAnsi="Times New Roman" w:cs="Times New Roman"/>
                <w:sz w:val="24"/>
              </w:rPr>
              <w:t>Kolaterál (vrátane kolaterálu počiatočnej marže</w:t>
            </w:r>
            <w:r w:rsidR="00A3389E">
              <w:rPr>
                <w:rFonts w:ascii="Times New Roman" w:hAnsi="Times New Roman" w:cs="Times New Roman"/>
                <w:sz w:val="24"/>
              </w:rPr>
              <w:t xml:space="preserve"> a </w:t>
            </w:r>
            <w:r w:rsidRPr="00A3389E">
              <w:rPr>
                <w:rFonts w:ascii="Times New Roman" w:hAnsi="Times New Roman" w:cs="Times New Roman"/>
                <w:sz w:val="24"/>
              </w:rPr>
              <w:t>kolaterálu variačnej marže), ktorý je použitý</w:t>
            </w:r>
            <w:r w:rsidR="00A3389E">
              <w:rPr>
                <w:rFonts w:ascii="Times New Roman" w:hAnsi="Times New Roman" w:cs="Times New Roman"/>
                <w:sz w:val="24"/>
              </w:rPr>
              <w:t xml:space="preserve"> v </w:t>
            </w:r>
            <w:r w:rsidRPr="00A3389E">
              <w:rPr>
                <w:rFonts w:ascii="Times New Roman" w:hAnsi="Times New Roman" w:cs="Times New Roman"/>
                <w:sz w:val="24"/>
              </w:rPr>
              <w:t>expozíciách voči CCR súvisiacich</w:t>
            </w:r>
            <w:r w:rsidR="00A3389E">
              <w:rPr>
                <w:rFonts w:ascii="Times New Roman" w:hAnsi="Times New Roman" w:cs="Times New Roman"/>
                <w:sz w:val="24"/>
              </w:rPr>
              <w:t xml:space="preserve"> s </w:t>
            </w:r>
            <w:r w:rsidRPr="00A3389E">
              <w:rPr>
                <w:rFonts w:ascii="Times New Roman" w:hAnsi="Times New Roman" w:cs="Times New Roman"/>
                <w:sz w:val="24"/>
              </w:rPr>
              <w:t>akýmkoľvek derivátovým nástrojom uvedeným</w:t>
            </w:r>
            <w:r w:rsidR="00A3389E">
              <w:rPr>
                <w:rFonts w:ascii="Times New Roman" w:hAnsi="Times New Roman" w:cs="Times New Roman"/>
                <w:sz w:val="24"/>
              </w:rPr>
              <w:t xml:space="preserve"> v </w:t>
            </w:r>
            <w:r w:rsidRPr="00A3389E">
              <w:rPr>
                <w:rFonts w:ascii="Times New Roman" w:hAnsi="Times New Roman" w:cs="Times New Roman"/>
                <w:sz w:val="24"/>
              </w:rPr>
              <w:t>prílohe II</w:t>
            </w:r>
            <w:r w:rsidR="00A3389E">
              <w:rPr>
                <w:rFonts w:ascii="Times New Roman" w:hAnsi="Times New Roman" w:cs="Times New Roman"/>
                <w:sz w:val="24"/>
              </w:rPr>
              <w:t xml:space="preserve"> k </w:t>
            </w:r>
            <w:r w:rsidRPr="00A3389E">
              <w:rPr>
                <w:rFonts w:ascii="Times New Roman" w:hAnsi="Times New Roman" w:cs="Times New Roman"/>
                <w:sz w:val="24"/>
              </w:rPr>
              <w:t>CRR alebo</w:t>
            </w:r>
            <w:r w:rsidR="00A3389E">
              <w:rPr>
                <w:rFonts w:ascii="Times New Roman" w:hAnsi="Times New Roman" w:cs="Times New Roman"/>
                <w:sz w:val="24"/>
              </w:rPr>
              <w:t xml:space="preserve"> s </w:t>
            </w:r>
            <w:r w:rsidRPr="00A3389E">
              <w:rPr>
                <w:rFonts w:ascii="Times New Roman" w:hAnsi="Times New Roman" w:cs="Times New Roman"/>
                <w:sz w:val="24"/>
              </w:rPr>
              <w:t>transakciou</w:t>
            </w:r>
            <w:r w:rsidR="00A3389E">
              <w:rPr>
                <w:rFonts w:ascii="Times New Roman" w:hAnsi="Times New Roman" w:cs="Times New Roman"/>
                <w:sz w:val="24"/>
              </w:rPr>
              <w:t xml:space="preserve"> s </w:t>
            </w:r>
            <w:r w:rsidRPr="00A3389E">
              <w:rPr>
                <w:rFonts w:ascii="Times New Roman" w:hAnsi="Times New Roman" w:cs="Times New Roman"/>
                <w:sz w:val="24"/>
              </w:rPr>
              <w:t>dlhou dobou vyrovnania podľa článku 271 ods. 2 CRR, ktorá sa nekvalifikuje ako SFT.</w:t>
            </w:r>
          </w:p>
        </w:tc>
      </w:tr>
      <w:tr w:rsidR="005710A4" w:rsidRPr="00A3389E" w14:paraId="76BCF0C3" w14:textId="77777777" w:rsidTr="00155C96">
        <w:trPr>
          <w:trHeight w:val="680"/>
        </w:trPr>
        <w:tc>
          <w:tcPr>
            <w:tcW w:w="1384" w:type="dxa"/>
          </w:tcPr>
          <w:p w14:paraId="7FD10FEB" w14:textId="031E578F" w:rsidR="005710A4" w:rsidRPr="00A3389E" w:rsidRDefault="00F40A8B" w:rsidP="00F40A8B">
            <w:pPr>
              <w:pStyle w:val="Applicationdirecte"/>
              <w:spacing w:before="0" w:after="240"/>
              <w:jc w:val="center"/>
            </w:pPr>
            <w:r w:rsidRPr="00A3389E">
              <w:t>e až h</w:t>
            </w:r>
          </w:p>
        </w:tc>
        <w:tc>
          <w:tcPr>
            <w:tcW w:w="7655" w:type="dxa"/>
            <w:vAlign w:val="center"/>
          </w:tcPr>
          <w:p w14:paraId="125CA3E8" w14:textId="2E81D040" w:rsidR="005710A4" w:rsidRPr="00A3389E" w:rsidRDefault="005710A4" w:rsidP="00155C96">
            <w:pPr>
              <w:pStyle w:val="numberedparagraph"/>
              <w:numPr>
                <w:ilvl w:val="0"/>
                <w:numId w:val="0"/>
              </w:numPr>
              <w:spacing w:before="0" w:after="240" w:line="240" w:lineRule="auto"/>
              <w:rPr>
                <w:rFonts w:ascii="Times New Roman" w:hAnsi="Times New Roman" w:cs="Times New Roman"/>
                <w:b/>
                <w:sz w:val="24"/>
              </w:rPr>
            </w:pPr>
            <w:r w:rsidRPr="00A3389E">
              <w:rPr>
                <w:rFonts w:ascii="Times New Roman" w:hAnsi="Times New Roman" w:cs="Times New Roman"/>
                <w:b/>
                <w:sz w:val="24"/>
              </w:rPr>
              <w:t>Kolaterál použitý</w:t>
            </w:r>
            <w:r w:rsidR="00A3389E">
              <w:rPr>
                <w:rFonts w:ascii="Times New Roman" w:hAnsi="Times New Roman" w:cs="Times New Roman"/>
                <w:b/>
                <w:sz w:val="24"/>
              </w:rPr>
              <w:t xml:space="preserve"> v </w:t>
            </w:r>
            <w:r w:rsidRPr="00A3389E">
              <w:rPr>
                <w:rFonts w:ascii="Times New Roman" w:hAnsi="Times New Roman" w:cs="Times New Roman"/>
                <w:b/>
                <w:sz w:val="24"/>
              </w:rPr>
              <w:t>SFT</w:t>
            </w:r>
          </w:p>
          <w:p w14:paraId="0708C6BD" w14:textId="1B6D5D32" w:rsidR="005710A4" w:rsidRPr="00A3389E" w:rsidRDefault="005710A4" w:rsidP="00155C96">
            <w:pPr>
              <w:pStyle w:val="numberedparagraph"/>
              <w:numPr>
                <w:ilvl w:val="0"/>
                <w:numId w:val="0"/>
              </w:numPr>
              <w:spacing w:before="0" w:after="240" w:line="240" w:lineRule="auto"/>
              <w:rPr>
                <w:rFonts w:ascii="Times New Roman" w:hAnsi="Times New Roman" w:cs="Times New Roman"/>
                <w:sz w:val="24"/>
              </w:rPr>
            </w:pPr>
            <w:r w:rsidRPr="00A3389E">
              <w:rPr>
                <w:rFonts w:ascii="Times New Roman" w:hAnsi="Times New Roman" w:cs="Times New Roman"/>
                <w:sz w:val="24"/>
              </w:rPr>
              <w:t>Kolaterál (vrátane kolaterálu počiatočnej marže</w:t>
            </w:r>
            <w:r w:rsidR="00A3389E">
              <w:rPr>
                <w:rFonts w:ascii="Times New Roman" w:hAnsi="Times New Roman" w:cs="Times New Roman"/>
                <w:sz w:val="24"/>
              </w:rPr>
              <w:t xml:space="preserve"> a </w:t>
            </w:r>
            <w:r w:rsidRPr="00A3389E">
              <w:rPr>
                <w:rFonts w:ascii="Times New Roman" w:hAnsi="Times New Roman" w:cs="Times New Roman"/>
                <w:sz w:val="24"/>
              </w:rPr>
              <w:t>kolaterálu variačnej marže, ako aj kolaterálu, ktorý sa vyskytuje</w:t>
            </w:r>
            <w:r w:rsidR="00A3389E">
              <w:rPr>
                <w:rFonts w:ascii="Times New Roman" w:hAnsi="Times New Roman" w:cs="Times New Roman"/>
                <w:sz w:val="24"/>
              </w:rPr>
              <w:t xml:space="preserve"> v </w:t>
            </w:r>
            <w:r w:rsidRPr="00A3389E">
              <w:rPr>
                <w:rFonts w:ascii="Times New Roman" w:hAnsi="Times New Roman" w:cs="Times New Roman"/>
                <w:sz w:val="24"/>
              </w:rPr>
              <w:t>časti SFT týkajúcej sa cenných papierov), ktorý je použitý</w:t>
            </w:r>
            <w:r w:rsidR="00A3389E">
              <w:rPr>
                <w:rFonts w:ascii="Times New Roman" w:hAnsi="Times New Roman" w:cs="Times New Roman"/>
                <w:sz w:val="24"/>
              </w:rPr>
              <w:t xml:space="preserve"> v </w:t>
            </w:r>
            <w:r w:rsidRPr="00A3389E">
              <w:rPr>
                <w:rFonts w:ascii="Times New Roman" w:hAnsi="Times New Roman" w:cs="Times New Roman"/>
                <w:sz w:val="24"/>
              </w:rPr>
              <w:t>expozíciách voči CCR súvisiacich</w:t>
            </w:r>
            <w:r w:rsidR="00A3389E">
              <w:rPr>
                <w:rFonts w:ascii="Times New Roman" w:hAnsi="Times New Roman" w:cs="Times New Roman"/>
                <w:sz w:val="24"/>
              </w:rPr>
              <w:t xml:space="preserve"> s </w:t>
            </w:r>
            <w:r w:rsidRPr="00A3389E">
              <w:rPr>
                <w:rFonts w:ascii="Times New Roman" w:hAnsi="Times New Roman" w:cs="Times New Roman"/>
                <w:sz w:val="24"/>
              </w:rPr>
              <w:t>akoukoľvek SFT alebo transakciou</w:t>
            </w:r>
            <w:r w:rsidR="00A3389E">
              <w:rPr>
                <w:rFonts w:ascii="Times New Roman" w:hAnsi="Times New Roman" w:cs="Times New Roman"/>
                <w:sz w:val="24"/>
              </w:rPr>
              <w:t xml:space="preserve"> s </w:t>
            </w:r>
            <w:r w:rsidRPr="00A3389E">
              <w:rPr>
                <w:rFonts w:ascii="Times New Roman" w:hAnsi="Times New Roman" w:cs="Times New Roman"/>
                <w:sz w:val="24"/>
              </w:rPr>
              <w:t>dlhou dobou vyrovnania, ktorá sa nekvalifikuje ako derivát.</w:t>
            </w:r>
          </w:p>
        </w:tc>
      </w:tr>
    </w:tbl>
    <w:p w14:paraId="496D5A35" w14:textId="77777777" w:rsidR="005710A4" w:rsidRPr="00A3389E" w:rsidRDefault="005710A4" w:rsidP="005710A4">
      <w:pPr>
        <w:pStyle w:val="Titlelevel2"/>
        <w:spacing w:before="0"/>
        <w:rPr>
          <w:rFonts w:ascii="Times New Roman" w:hAnsi="Times New Roman" w:cs="Times New Roman"/>
          <w:color w:val="auto"/>
          <w:sz w:val="24"/>
        </w:rPr>
      </w:pPr>
    </w:p>
    <w:p w14:paraId="032A765A" w14:textId="4B79948B" w:rsidR="005710A4" w:rsidRPr="00A3389E" w:rsidRDefault="00CD362D" w:rsidP="005710A4">
      <w:pPr>
        <w:pStyle w:val="Titlelevel2"/>
        <w:spacing w:before="0"/>
        <w:rPr>
          <w:rFonts w:ascii="Times New Roman" w:hAnsi="Times New Roman" w:cs="Times New Roman"/>
          <w:color w:val="auto"/>
          <w:sz w:val="24"/>
        </w:rPr>
      </w:pPr>
      <w:r w:rsidRPr="00A3389E">
        <w:rPr>
          <w:rFonts w:ascii="Times New Roman" w:hAnsi="Times New Roman" w:cs="Times New Roman"/>
          <w:b/>
          <w:color w:val="auto"/>
          <w:sz w:val="24"/>
        </w:rPr>
        <w:t xml:space="preserve">Vzor EU CCR6 – Expozície kreditných derivátov: </w:t>
      </w:r>
      <w:r w:rsidRPr="00A3389E">
        <w:rPr>
          <w:rFonts w:ascii="Times New Roman" w:hAnsi="Times New Roman" w:cs="Times New Roman"/>
          <w:color w:val="auto"/>
          <w:sz w:val="24"/>
        </w:rPr>
        <w:t>Pevný formát</w:t>
      </w:r>
    </w:p>
    <w:p w14:paraId="0F0B1F09" w14:textId="7EA84B4C"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4"/>
        </w:rPr>
        <w:t>16.</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článku 439 písm. j) CRR podľa pokynov uvedených nižšie</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cieľom vyplniť vzor EU CCR6, ktorý je uvedený</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prílohe XXV</w:t>
      </w:r>
      <w:r>
        <w:rPr>
          <w:rFonts w:ascii="Times New Roman" w:hAnsi="Times New Roman" w:cs="Times New Roman"/>
          <w:bCs w:val="0"/>
          <w:color w:val="000000"/>
          <w:sz w:val="24"/>
        </w:rPr>
        <w:t xml:space="preserve"> k </w:t>
      </w:r>
      <w:r w:rsidR="005710A4" w:rsidRPr="00A3389E">
        <w:rPr>
          <w:rFonts w:ascii="Times New Roman" w:hAnsi="Times New Roman" w:cs="Times New Roman"/>
          <w:bCs w:val="0"/>
          <w:color w:val="000000"/>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A3389E"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1BCF25AA"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710A4" w:rsidRPr="00A3389E" w14:paraId="4D4D6003" w14:textId="77777777" w:rsidTr="00155C96">
        <w:trPr>
          <w:trHeight w:val="238"/>
        </w:trPr>
        <w:tc>
          <w:tcPr>
            <w:tcW w:w="1384" w:type="dxa"/>
            <w:shd w:val="clear" w:color="auto" w:fill="D9D9D9" w:themeFill="background1" w:themeFillShade="D9"/>
          </w:tcPr>
          <w:p w14:paraId="6C3FD860" w14:textId="77777777" w:rsidR="005710A4" w:rsidRPr="00A3389E" w:rsidRDefault="005710A4" w:rsidP="00F40A8B">
            <w:pPr>
              <w:autoSpaceDE w:val="0"/>
              <w:autoSpaceDN w:val="0"/>
              <w:adjustRightInd w:val="0"/>
              <w:spacing w:after="240"/>
              <w:jc w:val="center"/>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685CDB13" w14:textId="77777777" w:rsidR="005710A4" w:rsidRPr="00A3389E" w:rsidRDefault="005710A4"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5710A4" w:rsidRPr="00A3389E"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A3389E" w:rsidRDefault="00F40A8B" w:rsidP="00F40A8B">
            <w:pPr>
              <w:autoSpaceDE w:val="0"/>
              <w:autoSpaceDN w:val="0"/>
              <w:adjustRightInd w:val="0"/>
              <w:spacing w:after="240"/>
              <w:jc w:val="center"/>
              <w:rPr>
                <w:rFonts w:ascii="Times New Roman" w:hAnsi="Times New Roman" w:cs="Times New Roman"/>
                <w:sz w:val="24"/>
              </w:rPr>
            </w:pPr>
            <w:r w:rsidRPr="00A3389E">
              <w:rPr>
                <w:rFonts w:ascii="Times New Roman" w:hAnsi="Times New Roman" w:cs="Times New Roman"/>
                <w:sz w:val="24"/>
              </w:rPr>
              <w:t>1 – 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202421E" w14:textId="77777777" w:rsidR="00A3389E" w:rsidRPr="00A3389E" w:rsidRDefault="005710A4" w:rsidP="00155C96">
            <w:pPr>
              <w:autoSpaceDE w:val="0"/>
              <w:autoSpaceDN w:val="0"/>
              <w:adjustRightInd w:val="0"/>
              <w:spacing w:after="240"/>
              <w:rPr>
                <w:rFonts w:ascii="Times New Roman" w:hAnsi="Times New Roman" w:cs="Times New Roman"/>
                <w:b/>
                <w:sz w:val="24"/>
              </w:rPr>
            </w:pPr>
            <w:r w:rsidRPr="00A3389E">
              <w:rPr>
                <w:rFonts w:ascii="Times New Roman" w:hAnsi="Times New Roman" w:cs="Times New Roman"/>
                <w:b/>
                <w:sz w:val="24"/>
              </w:rPr>
              <w:t>Pomyselné hodnoty</w:t>
            </w:r>
          </w:p>
          <w:p w14:paraId="0014863C" w14:textId="3686EAF8" w:rsidR="005710A4" w:rsidRPr="00A3389E" w:rsidRDefault="005710A4" w:rsidP="00155C96">
            <w:pPr>
              <w:autoSpaceDE w:val="0"/>
              <w:autoSpaceDN w:val="0"/>
              <w:adjustRightInd w:val="0"/>
              <w:spacing w:after="240"/>
              <w:rPr>
                <w:rFonts w:ascii="Times New Roman" w:hAnsi="Times New Roman" w:cs="Times New Roman"/>
                <w:sz w:val="24"/>
              </w:rPr>
            </w:pPr>
            <w:r w:rsidRPr="00A3389E">
              <w:rPr>
                <w:rFonts w:ascii="Times New Roman" w:hAnsi="Times New Roman" w:cs="Times New Roman"/>
                <w:sz w:val="24"/>
              </w:rPr>
              <w:t>Súčet absolútnych pomyselných hodnôt derivátov pred akýmkoľvek vzájomným započítavaním,</w:t>
            </w:r>
            <w:r w:rsidR="00A3389E">
              <w:rPr>
                <w:rFonts w:ascii="Times New Roman" w:hAnsi="Times New Roman" w:cs="Times New Roman"/>
                <w:sz w:val="24"/>
              </w:rPr>
              <w:t xml:space="preserve"> v </w:t>
            </w:r>
            <w:r w:rsidRPr="00A3389E">
              <w:rPr>
                <w:rFonts w:ascii="Times New Roman" w:hAnsi="Times New Roman" w:cs="Times New Roman"/>
                <w:sz w:val="24"/>
              </w:rPr>
              <w:t>rozčlenení podľa druhu produktu.</w:t>
            </w:r>
          </w:p>
        </w:tc>
      </w:tr>
      <w:tr w:rsidR="005710A4" w:rsidRPr="00A3389E"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A3389E" w:rsidRDefault="00F40A8B" w:rsidP="00F40A8B">
            <w:pPr>
              <w:autoSpaceDE w:val="0"/>
              <w:autoSpaceDN w:val="0"/>
              <w:adjustRightInd w:val="0"/>
              <w:spacing w:after="240"/>
              <w:jc w:val="center"/>
              <w:rPr>
                <w:rFonts w:ascii="Times New Roman" w:hAnsi="Times New Roman" w:cs="Times New Roman"/>
                <w:sz w:val="24"/>
              </w:rPr>
            </w:pPr>
            <w:r w:rsidRPr="00A3389E">
              <w:rPr>
                <w:rFonts w:ascii="Times New Roman" w:hAnsi="Times New Roman" w:cs="Times New Roman"/>
                <w:sz w:val="24"/>
              </w:rPr>
              <w:t>7 –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A3389E" w:rsidRDefault="005710A4" w:rsidP="00155C96">
            <w:pPr>
              <w:autoSpaceDE w:val="0"/>
              <w:autoSpaceDN w:val="0"/>
              <w:adjustRightInd w:val="0"/>
              <w:spacing w:after="240"/>
              <w:rPr>
                <w:rFonts w:ascii="Times New Roman" w:hAnsi="Times New Roman" w:cs="Times New Roman"/>
                <w:b/>
                <w:sz w:val="24"/>
              </w:rPr>
            </w:pPr>
            <w:r w:rsidRPr="00A3389E">
              <w:rPr>
                <w:rFonts w:ascii="Times New Roman" w:hAnsi="Times New Roman" w:cs="Times New Roman"/>
                <w:b/>
                <w:sz w:val="24"/>
              </w:rPr>
              <w:t>Reálne hodnoty</w:t>
            </w:r>
          </w:p>
          <w:p w14:paraId="4C584163" w14:textId="03C4DC62" w:rsidR="005710A4" w:rsidRPr="00A3389E" w:rsidRDefault="005710A4" w:rsidP="00155C96">
            <w:pPr>
              <w:autoSpaceDE w:val="0"/>
              <w:autoSpaceDN w:val="0"/>
              <w:adjustRightInd w:val="0"/>
              <w:spacing w:after="240"/>
              <w:rPr>
                <w:rFonts w:ascii="Times New Roman" w:hAnsi="Times New Roman" w:cs="Times New Roman"/>
                <w:i/>
                <w:sz w:val="24"/>
              </w:rPr>
            </w:pPr>
            <w:r w:rsidRPr="00A3389E">
              <w:rPr>
                <w:rFonts w:ascii="Times New Roman" w:hAnsi="Times New Roman" w:cs="Times New Roman"/>
                <w:sz w:val="24"/>
              </w:rPr>
              <w:lastRenderedPageBreak/>
              <w:t>Reálne hodnoty rozčlenené podľa aktív (kladné reálne hodnoty)</w:t>
            </w:r>
            <w:r w:rsidR="00A3389E">
              <w:rPr>
                <w:rFonts w:ascii="Times New Roman" w:hAnsi="Times New Roman" w:cs="Times New Roman"/>
                <w:sz w:val="24"/>
              </w:rPr>
              <w:t xml:space="preserve"> a </w:t>
            </w:r>
            <w:r w:rsidRPr="00A3389E">
              <w:rPr>
                <w:rFonts w:ascii="Times New Roman" w:hAnsi="Times New Roman" w:cs="Times New Roman"/>
                <w:sz w:val="24"/>
              </w:rPr>
              <w:t>záväzkov (záporné reálne hodnoty).</w:t>
            </w:r>
          </w:p>
        </w:tc>
      </w:tr>
      <w:tr w:rsidR="005710A4" w:rsidRPr="00A3389E"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A3389E" w:rsidRDefault="005710A4" w:rsidP="00F40A8B">
            <w:pPr>
              <w:pStyle w:val="Applicationdirecte"/>
              <w:spacing w:before="0" w:after="240"/>
              <w:jc w:val="center"/>
              <w:rPr>
                <w:b/>
              </w:rPr>
            </w:pPr>
            <w:r w:rsidRPr="00A3389E">
              <w:rPr>
                <w:b/>
              </w:rPr>
              <w:lastRenderedPageBreak/>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Vysvetlenie</w:t>
            </w:r>
          </w:p>
        </w:tc>
      </w:tr>
      <w:tr w:rsidR="005710A4" w:rsidRPr="00A3389E"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A3389E" w:rsidRDefault="00F40A8B" w:rsidP="00F40A8B">
            <w:pPr>
              <w:autoSpaceDE w:val="0"/>
              <w:autoSpaceDN w:val="0"/>
              <w:adjustRightInd w:val="0"/>
              <w:spacing w:after="240"/>
              <w:jc w:val="center"/>
              <w:rPr>
                <w:rFonts w:ascii="Times New Roman" w:hAnsi="Times New Roman" w:cs="Times New Roman"/>
                <w:sz w:val="24"/>
              </w:rPr>
            </w:pPr>
            <w:r w:rsidRPr="00A3389E">
              <w:rPr>
                <w:rFonts w:ascii="Times New Roman" w:hAnsi="Times New Roman" w:cs="Times New Roman"/>
                <w:sz w:val="24"/>
              </w:rPr>
              <w:t>a –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A3389E" w:rsidRDefault="005710A4" w:rsidP="00155C96">
            <w:pPr>
              <w:autoSpaceDE w:val="0"/>
              <w:autoSpaceDN w:val="0"/>
              <w:adjustRightInd w:val="0"/>
              <w:spacing w:after="240"/>
              <w:rPr>
                <w:rFonts w:ascii="Times New Roman" w:hAnsi="Times New Roman" w:cs="Times New Roman"/>
                <w:b/>
                <w:color w:val="000000"/>
                <w:sz w:val="24"/>
              </w:rPr>
            </w:pPr>
            <w:r w:rsidRPr="00A3389E">
              <w:rPr>
                <w:rFonts w:ascii="Times New Roman" w:hAnsi="Times New Roman" w:cs="Times New Roman"/>
                <w:b/>
                <w:color w:val="000000"/>
                <w:sz w:val="24"/>
              </w:rPr>
              <w:t>Zabezpečenie kreditných derivátov</w:t>
            </w:r>
          </w:p>
          <w:p w14:paraId="136A8655" w14:textId="669AB4BB" w:rsidR="005710A4" w:rsidRPr="00A3389E" w:rsidRDefault="005710A4" w:rsidP="00155C96">
            <w:pPr>
              <w:autoSpaceDE w:val="0"/>
              <w:autoSpaceDN w:val="0"/>
              <w:adjustRightInd w:val="0"/>
              <w:spacing w:after="240"/>
              <w:jc w:val="both"/>
              <w:rPr>
                <w:rFonts w:ascii="Times New Roman" w:hAnsi="Times New Roman" w:cs="Times New Roman"/>
                <w:b/>
                <w:sz w:val="24"/>
              </w:rPr>
            </w:pPr>
            <w:r w:rsidRPr="00A3389E">
              <w:rPr>
                <w:rFonts w:ascii="Times New Roman" w:hAnsi="Times New Roman" w:cs="Times New Roman"/>
                <w:sz w:val="24"/>
              </w:rPr>
              <w:t>Kúpené alebo predané zabezpečenie kreditných derivátov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6 CRR.</w:t>
            </w:r>
          </w:p>
        </w:tc>
      </w:tr>
    </w:tbl>
    <w:p w14:paraId="167E06C3" w14:textId="77777777" w:rsidR="005710A4" w:rsidRPr="00A3389E" w:rsidRDefault="005710A4" w:rsidP="005710A4">
      <w:pPr>
        <w:pStyle w:val="Titlelevel2"/>
        <w:spacing w:before="0"/>
        <w:rPr>
          <w:rFonts w:ascii="Times New Roman" w:hAnsi="Times New Roman" w:cs="Times New Roman"/>
          <w:color w:val="auto"/>
          <w:sz w:val="24"/>
        </w:rPr>
      </w:pPr>
    </w:p>
    <w:p w14:paraId="7BD61990" w14:textId="76B37AE9" w:rsidR="005710A4" w:rsidRPr="00A3389E" w:rsidRDefault="00CD362D" w:rsidP="005710A4">
      <w:pPr>
        <w:pStyle w:val="Titlelevel2"/>
        <w:spacing w:before="0"/>
        <w:rPr>
          <w:rFonts w:ascii="Times New Roman" w:hAnsi="Times New Roman" w:cs="Times New Roman"/>
          <w:b/>
          <w:color w:val="auto"/>
          <w:sz w:val="24"/>
        </w:rPr>
      </w:pPr>
      <w:r w:rsidRPr="00A3389E">
        <w:rPr>
          <w:rFonts w:ascii="Times New Roman" w:hAnsi="Times New Roman" w:cs="Times New Roman"/>
          <w:b/>
          <w:color w:val="auto"/>
          <w:sz w:val="24"/>
        </w:rPr>
        <w:t xml:space="preserve">Vzor EU CCR7 – Výkazy peňažných tokov RWEA expozícií voči kreditnému riziku podľa IMM: </w:t>
      </w:r>
      <w:r w:rsidRPr="00A3389E">
        <w:rPr>
          <w:rFonts w:ascii="Times New Roman" w:hAnsi="Times New Roman" w:cs="Times New Roman"/>
          <w:color w:val="auto"/>
          <w:sz w:val="24"/>
        </w:rPr>
        <w:t>Pevný formát</w:t>
      </w:r>
    </w:p>
    <w:p w14:paraId="5F9FA864" w14:textId="2AB414C2"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4"/>
        </w:rPr>
        <w:t>17.</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článku 438 písm. h) CRR podľa pokynov uvedených nižšie</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cieľom vyplniť vzor EU CCR7, ktorý je uvedený</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prílohe XXV</w:t>
      </w:r>
      <w:r>
        <w:rPr>
          <w:rFonts w:ascii="Times New Roman" w:hAnsi="Times New Roman" w:cs="Times New Roman"/>
          <w:bCs w:val="0"/>
          <w:color w:val="000000"/>
          <w:sz w:val="24"/>
        </w:rPr>
        <w:t xml:space="preserve"> k </w:t>
      </w:r>
      <w:r w:rsidR="005710A4" w:rsidRPr="00A3389E">
        <w:rPr>
          <w:rFonts w:ascii="Times New Roman" w:hAnsi="Times New Roman" w:cs="Times New Roman"/>
          <w:bCs w:val="0"/>
          <w:color w:val="000000"/>
          <w:sz w:val="24"/>
        </w:rPr>
        <w:t>tomuto vykonávaciemu nariadeniu.</w:t>
      </w:r>
    </w:p>
    <w:p w14:paraId="0B0BE092" w14:textId="1F7D367A"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18.</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color w:val="auto"/>
          <w:sz w:val="24"/>
        </w:rPr>
        <w:t>Inštitúcie, ktoré používajú IMM na výpočet hodnôt rizikovo vážených expozícií pre všetky svoje expozície voči CCR alebo pre časť</w:t>
      </w:r>
      <w:r>
        <w:rPr>
          <w:rFonts w:ascii="Times New Roman" w:hAnsi="Times New Roman" w:cs="Times New Roman"/>
          <w:color w:val="auto"/>
          <w:sz w:val="24"/>
        </w:rPr>
        <w:t xml:space="preserve"> z </w:t>
      </w:r>
      <w:r w:rsidR="005710A4" w:rsidRPr="00A3389E">
        <w:rPr>
          <w:rFonts w:ascii="Times New Roman" w:hAnsi="Times New Roman" w:cs="Times New Roman"/>
          <w:color w:val="auto"/>
          <w:sz w:val="24"/>
        </w:rPr>
        <w:t>nich</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súlade</w:t>
      </w:r>
      <w:r>
        <w:rPr>
          <w:rFonts w:ascii="Times New Roman" w:hAnsi="Times New Roman" w:cs="Times New Roman"/>
          <w:color w:val="auto"/>
          <w:sz w:val="24"/>
        </w:rPr>
        <w:t xml:space="preserve"> s </w:t>
      </w:r>
      <w:r w:rsidR="005710A4" w:rsidRPr="00A3389E">
        <w:rPr>
          <w:rFonts w:ascii="Times New Roman" w:hAnsi="Times New Roman" w:cs="Times New Roman"/>
          <w:color w:val="auto"/>
          <w:sz w:val="24"/>
        </w:rPr>
        <w:t>treťou časťou hlavou II kapitolou 6 CRR, bez ohľadu na prístup pre kreditné riziko použitý na určenie zodpovedajúcich rizikových váh, zverejňujú výkaz peňažných tokov,</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ktorom sú vysvetlené zmeny hodnôt rizikovo vážených expozícií derivátov</w:t>
      </w:r>
      <w:r>
        <w:rPr>
          <w:rFonts w:ascii="Times New Roman" w:hAnsi="Times New Roman" w:cs="Times New Roman"/>
          <w:color w:val="auto"/>
          <w:sz w:val="24"/>
        </w:rPr>
        <w:t xml:space="preserve"> a </w:t>
      </w:r>
      <w:r w:rsidR="005710A4" w:rsidRPr="00A3389E">
        <w:rPr>
          <w:rFonts w:ascii="Times New Roman" w:hAnsi="Times New Roman" w:cs="Times New Roman"/>
          <w:color w:val="auto"/>
          <w:sz w:val="24"/>
        </w:rPr>
        <w:t>SFT</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rámci IMM</w:t>
      </w:r>
      <w:r>
        <w:rPr>
          <w:rFonts w:ascii="Times New Roman" w:hAnsi="Times New Roman" w:cs="Times New Roman"/>
          <w:color w:val="auto"/>
          <w:sz w:val="24"/>
        </w:rPr>
        <w:t xml:space="preserve"> s </w:t>
      </w:r>
      <w:r w:rsidR="005710A4" w:rsidRPr="00A3389E">
        <w:rPr>
          <w:rFonts w:ascii="Times New Roman" w:hAnsi="Times New Roman" w:cs="Times New Roman"/>
          <w:color w:val="auto"/>
          <w:sz w:val="24"/>
        </w:rPr>
        <w:t>rozlíšením podľa kľúčových faktorov</w:t>
      </w:r>
      <w:r>
        <w:rPr>
          <w:rFonts w:ascii="Times New Roman" w:hAnsi="Times New Roman" w:cs="Times New Roman"/>
          <w:color w:val="auto"/>
          <w:sz w:val="24"/>
        </w:rPr>
        <w:t xml:space="preserve"> a </w:t>
      </w:r>
      <w:r w:rsidR="005710A4" w:rsidRPr="00A3389E">
        <w:rPr>
          <w:rFonts w:ascii="Times New Roman" w:hAnsi="Times New Roman" w:cs="Times New Roman"/>
          <w:color w:val="auto"/>
          <w:sz w:val="24"/>
        </w:rPr>
        <w:t>na základe racionálnych odhadov.</w:t>
      </w:r>
    </w:p>
    <w:p w14:paraId="61B2E527" w14:textId="07AD214E"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19.</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auto"/>
          <w:sz w:val="24"/>
        </w:rPr>
        <w:t>Z tohto vzoru sú vylúčené hodnoty rizikovo vážených expozícií pre riziko úpravy ocenenia pohľadávok (tretia časť hlava VI CRR)</w:t>
      </w:r>
      <w:r>
        <w:rPr>
          <w:rFonts w:ascii="Times New Roman" w:hAnsi="Times New Roman" w:cs="Times New Roman"/>
          <w:bCs w:val="0"/>
          <w:color w:val="auto"/>
          <w:sz w:val="24"/>
        </w:rPr>
        <w:t xml:space="preserve"> a </w:t>
      </w:r>
      <w:r w:rsidR="005710A4" w:rsidRPr="00A3389E">
        <w:rPr>
          <w:rFonts w:ascii="Times New Roman" w:hAnsi="Times New Roman" w:cs="Times New Roman"/>
          <w:bCs w:val="0"/>
          <w:color w:val="auto"/>
          <w:sz w:val="24"/>
        </w:rPr>
        <w:t>expozície voči centrálnej protistrane (tretia časť hlava II kapitola 6 oddiel 9 CRR).</w:t>
      </w:r>
    </w:p>
    <w:p w14:paraId="270DF823" w14:textId="08790393"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20.</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color w:val="auto"/>
          <w:sz w:val="24"/>
        </w:rPr>
        <w:t>Inštitúcie zverejňujú peňažné toky RWEA ako zmeny medzi hodnotami rizikovo vážených expozícií ku koncu referenčného obdobia zverejňovania informácií (ako sa uvádza nižšie</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riadku 9 tohto vzoru)</w:t>
      </w:r>
      <w:r>
        <w:rPr>
          <w:rFonts w:ascii="Times New Roman" w:hAnsi="Times New Roman" w:cs="Times New Roman"/>
          <w:color w:val="auto"/>
          <w:sz w:val="24"/>
        </w:rPr>
        <w:t xml:space="preserve"> a </w:t>
      </w:r>
      <w:r w:rsidR="005710A4" w:rsidRPr="00A3389E">
        <w:rPr>
          <w:rFonts w:ascii="Times New Roman" w:hAnsi="Times New Roman" w:cs="Times New Roman"/>
          <w:color w:val="auto"/>
          <w:sz w:val="24"/>
        </w:rPr>
        <w:t>hodnotami rizikovo vážených expozícií ku koncu predchádzajúceho referenčného obdobia zverejňovania informácií (ako sa uvádza nižšie</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riadku 1 tohto vzoru;</w:t>
      </w:r>
      <w:r>
        <w:rPr>
          <w:rFonts w:ascii="Times New Roman" w:hAnsi="Times New Roman" w:cs="Times New Roman"/>
          <w:bCs w:val="0"/>
          <w:color w:val="auto"/>
          <w:sz w:val="24"/>
        </w:rPr>
        <w:t xml:space="preserve"> v </w:t>
      </w:r>
      <w:r w:rsidR="005710A4" w:rsidRPr="00A3389E">
        <w:rPr>
          <w:rFonts w:ascii="Times New Roman" w:hAnsi="Times New Roman" w:cs="Times New Roman"/>
          <w:bCs w:val="0"/>
          <w:color w:val="auto"/>
          <w:sz w:val="24"/>
        </w:rPr>
        <w:t>prípade štvrťročného zverejňovania informácií je to koniec štvrťroka pred štvrťrokom referenčného obdobia zverejňovania informácií). Inštitúcie môžu svoje zverejnenia</w:t>
      </w:r>
      <w:r>
        <w:rPr>
          <w:rFonts w:ascii="Times New Roman" w:hAnsi="Times New Roman" w:cs="Times New Roman"/>
          <w:bCs w:val="0"/>
          <w:color w:val="auto"/>
          <w:sz w:val="24"/>
        </w:rPr>
        <w:t xml:space="preserve"> v </w:t>
      </w:r>
      <w:r w:rsidR="005710A4" w:rsidRPr="00A3389E">
        <w:rPr>
          <w:rFonts w:ascii="Times New Roman" w:hAnsi="Times New Roman" w:cs="Times New Roman"/>
          <w:bCs w:val="0"/>
          <w:color w:val="auto"/>
          <w:sz w:val="24"/>
        </w:rPr>
        <w:t>rámci piliera 3 doplniť zverejnením rovnakých informácií za tri predchádzajúce štvrťroky.</w:t>
      </w:r>
    </w:p>
    <w:p w14:paraId="5DF530ED" w14:textId="5DD27645" w:rsidR="005710A4" w:rsidRPr="00A3389E" w:rsidRDefault="00A3389E" w:rsidP="00A3389E">
      <w:pPr>
        <w:pStyle w:val="Titlelevel2"/>
        <w:spacing w:before="0"/>
        <w:ind w:left="720" w:hanging="360"/>
        <w:jc w:val="both"/>
        <w:rPr>
          <w:rFonts w:ascii="Times New Roman" w:hAnsi="Times New Roman" w:cs="Times New Roman"/>
          <w:color w:val="auto"/>
          <w:sz w:val="24"/>
        </w:rPr>
      </w:pPr>
      <w:r w:rsidRPr="00A3389E">
        <w:rPr>
          <w:rFonts w:ascii="Times New Roman" w:hAnsi="Times New Roman" w:cs="Times New Roman"/>
          <w:color w:val="auto"/>
          <w:sz w:val="24"/>
        </w:rPr>
        <w:t>21.</w:t>
      </w:r>
      <w:r w:rsidRPr="00A3389E">
        <w:rPr>
          <w:rFonts w:ascii="Times New Roman" w:hAnsi="Times New Roman" w:cs="Times New Roman"/>
          <w:color w:val="auto"/>
          <w:sz w:val="24"/>
        </w:rPr>
        <w:tab/>
      </w:r>
      <w:r w:rsidR="005710A4" w:rsidRPr="00A3389E">
        <w:rPr>
          <w:rFonts w:ascii="Times New Roman" w:hAnsi="Times New Roman" w:cs="Times New Roman"/>
          <w:color w:val="auto"/>
          <w:sz w:val="24"/>
        </w:rPr>
        <w:t>Inštitúcie</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sprievodnom opise</w:t>
      </w:r>
      <w:r>
        <w:rPr>
          <w:rFonts w:ascii="Times New Roman" w:hAnsi="Times New Roman" w:cs="Times New Roman"/>
          <w:color w:val="auto"/>
          <w:sz w:val="24"/>
        </w:rPr>
        <w:t xml:space="preserve"> k </w:t>
      </w:r>
      <w:r w:rsidR="005710A4" w:rsidRPr="00A3389E">
        <w:rPr>
          <w:rFonts w:ascii="Times New Roman" w:hAnsi="Times New Roman" w:cs="Times New Roman"/>
          <w:color w:val="auto"/>
          <w:sz w:val="24"/>
        </w:rPr>
        <w:t>danému vzoru vysvetľujú číselné údaje zverejnené</w:t>
      </w:r>
      <w:r>
        <w:rPr>
          <w:rFonts w:ascii="Times New Roman" w:hAnsi="Times New Roman" w:cs="Times New Roman"/>
          <w:color w:val="auto"/>
          <w:sz w:val="24"/>
        </w:rPr>
        <w:t xml:space="preserve"> v </w:t>
      </w:r>
      <w:r w:rsidR="005710A4" w:rsidRPr="00A3389E">
        <w:rPr>
          <w:rFonts w:ascii="Times New Roman" w:hAnsi="Times New Roman" w:cs="Times New Roman"/>
          <w:color w:val="auto"/>
          <w:sz w:val="24"/>
        </w:rPr>
        <w:t>riadku 8 tohto vzoru, t. j. akékoľvek iné faktory, ktoré významne prispievajú</w:t>
      </w:r>
      <w:r>
        <w:rPr>
          <w:rFonts w:ascii="Times New Roman" w:hAnsi="Times New Roman" w:cs="Times New Roman"/>
          <w:color w:val="auto"/>
          <w:sz w:val="24"/>
        </w:rPr>
        <w:t xml:space="preserve"> k </w:t>
      </w:r>
      <w:r w:rsidR="005710A4" w:rsidRPr="00A3389E">
        <w:rPr>
          <w:rFonts w:ascii="Times New Roman" w:hAnsi="Times New Roman" w:cs="Times New Roman"/>
          <w:color w:val="auto"/>
          <w:sz w:val="24"/>
        </w:rPr>
        <w:t>zmenám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A3389E"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5B1545BA"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710A4" w:rsidRPr="00A3389E" w14:paraId="61857EFF" w14:textId="77777777" w:rsidTr="00155C96">
        <w:trPr>
          <w:trHeight w:val="238"/>
        </w:trPr>
        <w:tc>
          <w:tcPr>
            <w:tcW w:w="1384" w:type="dxa"/>
            <w:shd w:val="clear" w:color="auto" w:fill="D9D9D9" w:themeFill="background1" w:themeFillShade="D9"/>
          </w:tcPr>
          <w:p w14:paraId="776DAF62" w14:textId="77777777" w:rsidR="005710A4" w:rsidRPr="00A3389E" w:rsidRDefault="005710A4" w:rsidP="00F40A8B">
            <w:pPr>
              <w:autoSpaceDE w:val="0"/>
              <w:autoSpaceDN w:val="0"/>
              <w:adjustRightInd w:val="0"/>
              <w:spacing w:after="240"/>
              <w:jc w:val="center"/>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45EE4979" w14:textId="77777777" w:rsidR="005710A4" w:rsidRPr="00A3389E" w:rsidRDefault="005710A4"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5710A4" w:rsidRPr="00A3389E"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A3389E" w:rsidRDefault="00F40A8B" w:rsidP="00F40A8B">
            <w:pPr>
              <w:pStyle w:val="Applicationdirecte"/>
              <w:spacing w:before="0" w:after="240"/>
              <w:jc w:val="center"/>
            </w:pPr>
            <w:r w:rsidRPr="00A3389E">
              <w:lastRenderedPageBreak/>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A3389E" w:rsidRDefault="005710A4" w:rsidP="00155C96">
            <w:pPr>
              <w:spacing w:after="240"/>
              <w:jc w:val="both"/>
              <w:rPr>
                <w:rFonts w:ascii="Times New Roman" w:hAnsi="Times New Roman" w:cs="Times New Roman"/>
                <w:b/>
                <w:sz w:val="24"/>
              </w:rPr>
            </w:pPr>
            <w:r w:rsidRPr="00A3389E">
              <w:rPr>
                <w:rFonts w:ascii="Times New Roman" w:hAnsi="Times New Roman" w:cs="Times New Roman"/>
                <w:b/>
                <w:sz w:val="24"/>
              </w:rPr>
              <w:t>RWEA ku koncu predchádzajúceho obdobia zverejňovania informácií</w:t>
            </w:r>
          </w:p>
          <w:p w14:paraId="73649AB7" w14:textId="77777777"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Hodnoty rizikovo vážených expozícií pre expozície voči CCR podľa IMM ku koncu predchádzajúceho obdobia zverejňovania informácií.</w:t>
            </w:r>
          </w:p>
        </w:tc>
      </w:tr>
      <w:tr w:rsidR="005710A4" w:rsidRPr="00A3389E"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A3389E" w:rsidRDefault="00F40A8B" w:rsidP="00F40A8B">
            <w:pPr>
              <w:pStyle w:val="Applicationdirecte"/>
              <w:spacing w:before="0" w:after="240"/>
              <w:jc w:val="center"/>
            </w:pPr>
            <w:r w:rsidRPr="00A3389E">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A3389E" w:rsidRDefault="005947B9" w:rsidP="00155C96">
            <w:pPr>
              <w:spacing w:after="240"/>
              <w:jc w:val="both"/>
              <w:rPr>
                <w:rFonts w:ascii="Times New Roman" w:hAnsi="Times New Roman" w:cs="Times New Roman"/>
                <w:b/>
                <w:sz w:val="24"/>
              </w:rPr>
            </w:pPr>
            <w:r w:rsidRPr="00A3389E">
              <w:rPr>
                <w:rFonts w:ascii="Times New Roman" w:hAnsi="Times New Roman" w:cs="Times New Roman"/>
                <w:b/>
                <w:sz w:val="24"/>
              </w:rPr>
              <w:t>Objem aktív</w:t>
            </w:r>
          </w:p>
          <w:p w14:paraId="0373C5C0" w14:textId="117DF6F2"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Zmeny RWEA (kladné alebo záporné)</w:t>
            </w:r>
            <w:r w:rsidR="00A3389E">
              <w:rPr>
                <w:rFonts w:ascii="Times New Roman" w:hAnsi="Times New Roman" w:cs="Times New Roman"/>
                <w:sz w:val="24"/>
              </w:rPr>
              <w:t xml:space="preserve"> z </w:t>
            </w:r>
            <w:r w:rsidRPr="00A3389E">
              <w:rPr>
                <w:rFonts w:ascii="Times New Roman" w:hAnsi="Times New Roman" w:cs="Times New Roman"/>
                <w:sz w:val="24"/>
              </w:rPr>
              <w:t>dôvodu organických zmien rozsahu</w:t>
            </w:r>
            <w:r w:rsidR="00A3389E">
              <w:rPr>
                <w:rFonts w:ascii="Times New Roman" w:hAnsi="Times New Roman" w:cs="Times New Roman"/>
                <w:sz w:val="24"/>
              </w:rPr>
              <w:t xml:space="preserve"> a </w:t>
            </w:r>
            <w:r w:rsidRPr="00A3389E">
              <w:rPr>
                <w:rFonts w:ascii="Times New Roman" w:hAnsi="Times New Roman" w:cs="Times New Roman"/>
                <w:sz w:val="24"/>
              </w:rPr>
              <w:t>zloženia knihy (vrátane vzniku nových podnikov</w:t>
            </w:r>
            <w:r w:rsidR="00A3389E">
              <w:rPr>
                <w:rFonts w:ascii="Times New Roman" w:hAnsi="Times New Roman" w:cs="Times New Roman"/>
                <w:sz w:val="24"/>
              </w:rPr>
              <w:t xml:space="preserve"> a </w:t>
            </w:r>
            <w:r w:rsidRPr="00A3389E">
              <w:rPr>
                <w:rFonts w:ascii="Times New Roman" w:hAnsi="Times New Roman" w:cs="Times New Roman"/>
                <w:sz w:val="24"/>
              </w:rPr>
              <w:t>splatných expozícií), ale bez zmien rozsahu knihy</w:t>
            </w:r>
            <w:r w:rsidR="00A3389E">
              <w:rPr>
                <w:rFonts w:ascii="Times New Roman" w:hAnsi="Times New Roman" w:cs="Times New Roman"/>
                <w:sz w:val="24"/>
              </w:rPr>
              <w:t xml:space="preserve"> z </w:t>
            </w:r>
            <w:r w:rsidRPr="00A3389E">
              <w:rPr>
                <w:rFonts w:ascii="Times New Roman" w:hAnsi="Times New Roman" w:cs="Times New Roman"/>
                <w:sz w:val="24"/>
              </w:rPr>
              <w:t>dôvodu nadobudnutia</w:t>
            </w:r>
            <w:r w:rsidR="00A3389E">
              <w:rPr>
                <w:rFonts w:ascii="Times New Roman" w:hAnsi="Times New Roman" w:cs="Times New Roman"/>
                <w:sz w:val="24"/>
              </w:rPr>
              <w:t xml:space="preserve"> a </w:t>
            </w:r>
            <w:r w:rsidRPr="00A3389E">
              <w:rPr>
                <w:rFonts w:ascii="Times New Roman" w:hAnsi="Times New Roman" w:cs="Times New Roman"/>
                <w:sz w:val="24"/>
              </w:rPr>
              <w:t>odpredaja subjektov.</w:t>
            </w:r>
          </w:p>
        </w:tc>
      </w:tr>
      <w:tr w:rsidR="005710A4" w:rsidRPr="00A3389E"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A3389E" w:rsidRDefault="00F40A8B" w:rsidP="00F40A8B">
            <w:pPr>
              <w:pStyle w:val="Applicationdirecte"/>
              <w:spacing w:before="0" w:after="240"/>
              <w:jc w:val="center"/>
            </w:pPr>
            <w:r w:rsidRPr="00A3389E">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A3389E" w:rsidRDefault="005710A4" w:rsidP="00155C96">
            <w:pPr>
              <w:spacing w:after="240"/>
              <w:jc w:val="both"/>
              <w:rPr>
                <w:rFonts w:ascii="Times New Roman" w:hAnsi="Times New Roman" w:cs="Times New Roman"/>
                <w:b/>
                <w:sz w:val="24"/>
              </w:rPr>
            </w:pPr>
            <w:r w:rsidRPr="00A3389E">
              <w:rPr>
                <w:rFonts w:ascii="Times New Roman" w:hAnsi="Times New Roman" w:cs="Times New Roman"/>
                <w:b/>
                <w:sz w:val="24"/>
              </w:rPr>
              <w:t>Kreditná kvalita protistrán</w:t>
            </w:r>
          </w:p>
          <w:p w14:paraId="0CD63849" w14:textId="6994CE8B"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Zmeny RWEA (kladné alebo záporné)</w:t>
            </w:r>
            <w:r w:rsidR="00A3389E">
              <w:rPr>
                <w:rFonts w:ascii="Times New Roman" w:hAnsi="Times New Roman" w:cs="Times New Roman"/>
                <w:sz w:val="24"/>
              </w:rPr>
              <w:t xml:space="preserve"> z </w:t>
            </w:r>
            <w:r w:rsidRPr="00A3389E">
              <w:rPr>
                <w:rFonts w:ascii="Times New Roman" w:hAnsi="Times New Roman" w:cs="Times New Roman"/>
                <w:sz w:val="24"/>
              </w:rPr>
              <w:t>dôvodu zmien</w:t>
            </w:r>
            <w:r w:rsidR="00A3389E">
              <w:rPr>
                <w:rFonts w:ascii="Times New Roman" w:hAnsi="Times New Roman" w:cs="Times New Roman"/>
                <w:sz w:val="24"/>
              </w:rPr>
              <w:t xml:space="preserve"> v </w:t>
            </w:r>
            <w:r w:rsidRPr="00A3389E">
              <w:rPr>
                <w:rFonts w:ascii="Times New Roman" w:hAnsi="Times New Roman" w:cs="Times New Roman"/>
                <w:sz w:val="24"/>
              </w:rPr>
              <w:t>hodnotenej kvalite protistrán inštitúcie, ktorá sa meria podľa rámca kreditného rizika, bez ohľadu na prístup, ktorý inštitúcia používa.</w:t>
            </w:r>
          </w:p>
          <w:p w14:paraId="1139FE8C" w14:textId="6FF22567"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Ak inštitúcia používa prístup IRB, tento riadok zahŕňa aj potenciálne zmeny RWEA</w:t>
            </w:r>
            <w:r w:rsidR="00A3389E">
              <w:rPr>
                <w:rFonts w:ascii="Times New Roman" w:hAnsi="Times New Roman" w:cs="Times New Roman"/>
                <w:sz w:val="24"/>
              </w:rPr>
              <w:t xml:space="preserve"> z </w:t>
            </w:r>
            <w:r w:rsidRPr="00A3389E">
              <w:rPr>
                <w:rFonts w:ascii="Times New Roman" w:hAnsi="Times New Roman" w:cs="Times New Roman"/>
                <w:sz w:val="24"/>
              </w:rPr>
              <w:t>dôvodu modelov IRB.</w:t>
            </w:r>
          </w:p>
        </w:tc>
      </w:tr>
      <w:tr w:rsidR="005710A4" w:rsidRPr="00A3389E"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A3389E" w:rsidRDefault="00F40A8B" w:rsidP="00F40A8B">
            <w:pPr>
              <w:pStyle w:val="Applicationdirecte"/>
              <w:spacing w:before="0" w:after="240"/>
              <w:jc w:val="center"/>
            </w:pPr>
            <w:r w:rsidRPr="00A3389E">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A3389E" w:rsidRDefault="005947B9" w:rsidP="00155C96">
            <w:pPr>
              <w:spacing w:after="240"/>
              <w:jc w:val="both"/>
              <w:rPr>
                <w:rFonts w:ascii="Times New Roman" w:hAnsi="Times New Roman" w:cs="Times New Roman"/>
                <w:b/>
                <w:sz w:val="24"/>
              </w:rPr>
            </w:pPr>
            <w:r w:rsidRPr="00A3389E">
              <w:rPr>
                <w:rFonts w:ascii="Times New Roman" w:hAnsi="Times New Roman" w:cs="Times New Roman"/>
                <w:b/>
                <w:sz w:val="24"/>
              </w:rPr>
              <w:t>Aktualizácie modelu (len IMM)</w:t>
            </w:r>
          </w:p>
          <w:p w14:paraId="4DCE1D4C" w14:textId="71E48B32"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Zmeny RWEA (kladné alebo záporné)</w:t>
            </w:r>
            <w:r w:rsidR="00A3389E">
              <w:rPr>
                <w:rFonts w:ascii="Times New Roman" w:hAnsi="Times New Roman" w:cs="Times New Roman"/>
                <w:sz w:val="24"/>
              </w:rPr>
              <w:t xml:space="preserve"> z </w:t>
            </w:r>
            <w:r w:rsidRPr="00A3389E">
              <w:rPr>
                <w:rFonts w:ascii="Times New Roman" w:hAnsi="Times New Roman" w:cs="Times New Roman"/>
                <w:sz w:val="24"/>
              </w:rPr>
              <w:t>dôvodu zavádzania modelu, zmien</w:t>
            </w:r>
            <w:r w:rsidR="00A3389E">
              <w:rPr>
                <w:rFonts w:ascii="Times New Roman" w:hAnsi="Times New Roman" w:cs="Times New Roman"/>
                <w:sz w:val="24"/>
              </w:rPr>
              <w:t xml:space="preserve"> v </w:t>
            </w:r>
            <w:r w:rsidRPr="00A3389E">
              <w:rPr>
                <w:rFonts w:ascii="Times New Roman" w:hAnsi="Times New Roman" w:cs="Times New Roman"/>
                <w:sz w:val="24"/>
              </w:rPr>
              <w:t>rozsahu modelu alebo akýchkoľvek zmien zameraných na riešenie nedostatkov modelu.</w:t>
            </w:r>
          </w:p>
          <w:p w14:paraId="7746D0C9" w14:textId="3C1BCA92"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Tento riadok odráža len zmeny</w:t>
            </w:r>
            <w:r w:rsidR="00A3389E">
              <w:rPr>
                <w:rFonts w:ascii="Times New Roman" w:hAnsi="Times New Roman" w:cs="Times New Roman"/>
                <w:sz w:val="24"/>
              </w:rPr>
              <w:t xml:space="preserve"> v </w:t>
            </w:r>
            <w:r w:rsidRPr="00A3389E">
              <w:rPr>
                <w:rFonts w:ascii="Times New Roman" w:hAnsi="Times New Roman" w:cs="Times New Roman"/>
                <w:sz w:val="24"/>
              </w:rPr>
              <w:t>IMM.</w:t>
            </w:r>
          </w:p>
        </w:tc>
      </w:tr>
      <w:tr w:rsidR="005710A4" w:rsidRPr="00A3389E"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A3389E" w:rsidRDefault="00F40A8B" w:rsidP="00F40A8B">
            <w:pPr>
              <w:pStyle w:val="Applicationdirecte"/>
              <w:spacing w:before="0" w:after="240"/>
              <w:jc w:val="center"/>
            </w:pPr>
            <w:r w:rsidRPr="00A3389E">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07B450BE" w:rsidR="005710A4" w:rsidRPr="00A3389E" w:rsidRDefault="005710A4" w:rsidP="00155C96">
            <w:pPr>
              <w:spacing w:after="240"/>
              <w:jc w:val="both"/>
              <w:rPr>
                <w:rFonts w:ascii="Times New Roman" w:hAnsi="Times New Roman" w:cs="Times New Roman"/>
                <w:b/>
                <w:sz w:val="24"/>
              </w:rPr>
            </w:pPr>
            <w:r w:rsidRPr="00A3389E">
              <w:rPr>
                <w:rFonts w:ascii="Times New Roman" w:hAnsi="Times New Roman" w:cs="Times New Roman"/>
                <w:b/>
                <w:sz w:val="24"/>
              </w:rPr>
              <w:t>Metodika</w:t>
            </w:r>
            <w:r w:rsidR="00A3389E">
              <w:rPr>
                <w:rFonts w:ascii="Times New Roman" w:hAnsi="Times New Roman" w:cs="Times New Roman"/>
                <w:b/>
                <w:sz w:val="24"/>
              </w:rPr>
              <w:t xml:space="preserve"> a </w:t>
            </w:r>
            <w:r w:rsidRPr="00A3389E">
              <w:rPr>
                <w:rFonts w:ascii="Times New Roman" w:hAnsi="Times New Roman" w:cs="Times New Roman"/>
                <w:b/>
                <w:sz w:val="24"/>
              </w:rPr>
              <w:t>politika (len IMM)</w:t>
            </w:r>
          </w:p>
          <w:p w14:paraId="5D8B9073" w14:textId="57B877D3"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Zmeny RWEA (kladné alebo záporné)</w:t>
            </w:r>
            <w:r w:rsidR="00A3389E">
              <w:rPr>
                <w:rFonts w:ascii="Times New Roman" w:hAnsi="Times New Roman" w:cs="Times New Roman"/>
                <w:sz w:val="24"/>
              </w:rPr>
              <w:t xml:space="preserve"> z </w:t>
            </w:r>
            <w:r w:rsidRPr="00A3389E">
              <w:rPr>
                <w:rFonts w:ascii="Times New Roman" w:hAnsi="Times New Roman" w:cs="Times New Roman"/>
                <w:sz w:val="24"/>
              </w:rPr>
              <w:t>dôvodu zmien</w:t>
            </w:r>
            <w:r w:rsidR="00A3389E">
              <w:rPr>
                <w:rFonts w:ascii="Times New Roman" w:hAnsi="Times New Roman" w:cs="Times New Roman"/>
                <w:sz w:val="24"/>
              </w:rPr>
              <w:t xml:space="preserve"> v </w:t>
            </w:r>
            <w:r w:rsidRPr="00A3389E">
              <w:rPr>
                <w:rFonts w:ascii="Times New Roman" w:hAnsi="Times New Roman" w:cs="Times New Roman"/>
                <w:sz w:val="24"/>
              </w:rPr>
              <w:t>metodike výpočtov, ktoré boli vyvolané zmenami regulačnej politiky, ako napríklad novými právnymi predpismi (len</w:t>
            </w:r>
            <w:r w:rsidR="00A3389E">
              <w:rPr>
                <w:rFonts w:ascii="Times New Roman" w:hAnsi="Times New Roman" w:cs="Times New Roman"/>
                <w:sz w:val="24"/>
              </w:rPr>
              <w:t xml:space="preserve"> v </w:t>
            </w:r>
            <w:r w:rsidRPr="00A3389E">
              <w:rPr>
                <w:rFonts w:ascii="Times New Roman" w:hAnsi="Times New Roman" w:cs="Times New Roman"/>
                <w:sz w:val="24"/>
              </w:rPr>
              <w:t>IMM)</w:t>
            </w:r>
          </w:p>
        </w:tc>
      </w:tr>
      <w:tr w:rsidR="005710A4" w:rsidRPr="00A3389E"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A3389E" w:rsidRDefault="00F40A8B" w:rsidP="00F40A8B">
            <w:pPr>
              <w:pStyle w:val="Applicationdirecte"/>
              <w:spacing w:before="0" w:after="240"/>
              <w:jc w:val="center"/>
            </w:pPr>
            <w:r w:rsidRPr="00A3389E">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706555FF" w:rsidR="005710A4" w:rsidRPr="00A3389E" w:rsidRDefault="005947B9" w:rsidP="00155C96">
            <w:pPr>
              <w:spacing w:after="240"/>
              <w:jc w:val="both"/>
              <w:rPr>
                <w:rFonts w:ascii="Times New Roman" w:hAnsi="Times New Roman" w:cs="Times New Roman"/>
                <w:b/>
                <w:sz w:val="24"/>
              </w:rPr>
            </w:pPr>
            <w:r w:rsidRPr="00A3389E">
              <w:rPr>
                <w:rFonts w:ascii="Times New Roman" w:hAnsi="Times New Roman" w:cs="Times New Roman"/>
                <w:b/>
                <w:sz w:val="24"/>
              </w:rPr>
              <w:t>Nadobudnutia</w:t>
            </w:r>
            <w:r w:rsidR="00A3389E">
              <w:rPr>
                <w:rFonts w:ascii="Times New Roman" w:hAnsi="Times New Roman" w:cs="Times New Roman"/>
                <w:b/>
                <w:sz w:val="24"/>
              </w:rPr>
              <w:t xml:space="preserve"> a </w:t>
            </w:r>
            <w:r w:rsidRPr="00A3389E">
              <w:rPr>
                <w:rFonts w:ascii="Times New Roman" w:hAnsi="Times New Roman" w:cs="Times New Roman"/>
                <w:b/>
                <w:sz w:val="24"/>
              </w:rPr>
              <w:t>odpredaje</w:t>
            </w:r>
          </w:p>
          <w:p w14:paraId="05149521" w14:textId="11FC9AC5"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Zmeny RWEA (kladné alebo záporné)</w:t>
            </w:r>
            <w:r w:rsidR="00A3389E">
              <w:rPr>
                <w:rFonts w:ascii="Times New Roman" w:hAnsi="Times New Roman" w:cs="Times New Roman"/>
                <w:sz w:val="24"/>
              </w:rPr>
              <w:t xml:space="preserve"> z </w:t>
            </w:r>
            <w:r w:rsidRPr="00A3389E">
              <w:rPr>
                <w:rFonts w:ascii="Times New Roman" w:hAnsi="Times New Roman" w:cs="Times New Roman"/>
                <w:sz w:val="24"/>
              </w:rPr>
              <w:t>dôvodu zmien</w:t>
            </w:r>
            <w:r w:rsidR="00A3389E">
              <w:rPr>
                <w:rFonts w:ascii="Times New Roman" w:hAnsi="Times New Roman" w:cs="Times New Roman"/>
                <w:sz w:val="24"/>
              </w:rPr>
              <w:t xml:space="preserve"> v </w:t>
            </w:r>
            <w:r w:rsidRPr="00A3389E">
              <w:rPr>
                <w:rFonts w:ascii="Times New Roman" w:hAnsi="Times New Roman" w:cs="Times New Roman"/>
                <w:sz w:val="24"/>
              </w:rPr>
              <w:t>rozsahu kníh</w:t>
            </w:r>
            <w:r w:rsidR="00A3389E">
              <w:rPr>
                <w:rFonts w:ascii="Times New Roman" w:hAnsi="Times New Roman" w:cs="Times New Roman"/>
                <w:sz w:val="24"/>
              </w:rPr>
              <w:t xml:space="preserve"> v </w:t>
            </w:r>
            <w:r w:rsidRPr="00A3389E">
              <w:rPr>
                <w:rFonts w:ascii="Times New Roman" w:hAnsi="Times New Roman" w:cs="Times New Roman"/>
                <w:sz w:val="24"/>
              </w:rPr>
              <w:t>dôsledku nadobudnutia</w:t>
            </w:r>
            <w:r w:rsidR="00A3389E">
              <w:rPr>
                <w:rFonts w:ascii="Times New Roman" w:hAnsi="Times New Roman" w:cs="Times New Roman"/>
                <w:sz w:val="24"/>
              </w:rPr>
              <w:t xml:space="preserve"> a </w:t>
            </w:r>
            <w:r w:rsidRPr="00A3389E">
              <w:rPr>
                <w:rFonts w:ascii="Times New Roman" w:hAnsi="Times New Roman" w:cs="Times New Roman"/>
                <w:sz w:val="24"/>
              </w:rPr>
              <w:t>odpredaja subjektov.</w:t>
            </w:r>
          </w:p>
        </w:tc>
      </w:tr>
      <w:tr w:rsidR="005710A4" w:rsidRPr="00A3389E"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A3389E" w:rsidRDefault="00F40A8B" w:rsidP="00F40A8B">
            <w:pPr>
              <w:pStyle w:val="Applicationdirecte"/>
              <w:spacing w:before="0" w:after="240"/>
              <w:jc w:val="center"/>
            </w:pPr>
            <w:r w:rsidRPr="00A3389E">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A3389E" w:rsidRDefault="005947B9" w:rsidP="00155C96">
            <w:pPr>
              <w:spacing w:after="240"/>
              <w:jc w:val="both"/>
              <w:rPr>
                <w:rFonts w:ascii="Times New Roman" w:hAnsi="Times New Roman" w:cs="Times New Roman"/>
                <w:b/>
                <w:sz w:val="24"/>
              </w:rPr>
            </w:pPr>
            <w:r w:rsidRPr="00A3389E">
              <w:rPr>
                <w:rFonts w:ascii="Times New Roman" w:hAnsi="Times New Roman" w:cs="Times New Roman"/>
                <w:b/>
                <w:sz w:val="24"/>
              </w:rPr>
              <w:t>Pohyby výmenných kurzov</w:t>
            </w:r>
          </w:p>
          <w:p w14:paraId="76E6FC87" w14:textId="578BAB80"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Zmeny RWEA (kladné alebo záporné)</w:t>
            </w:r>
            <w:r w:rsidR="00A3389E">
              <w:rPr>
                <w:rFonts w:ascii="Times New Roman" w:hAnsi="Times New Roman" w:cs="Times New Roman"/>
                <w:sz w:val="24"/>
              </w:rPr>
              <w:t xml:space="preserve"> z </w:t>
            </w:r>
            <w:r w:rsidRPr="00A3389E">
              <w:rPr>
                <w:rFonts w:ascii="Times New Roman" w:hAnsi="Times New Roman" w:cs="Times New Roman"/>
                <w:sz w:val="24"/>
              </w:rPr>
              <w:t>dôvodu zmien vyplývajúcich</w:t>
            </w:r>
            <w:r w:rsidR="00A3389E">
              <w:rPr>
                <w:rFonts w:ascii="Times New Roman" w:hAnsi="Times New Roman" w:cs="Times New Roman"/>
                <w:sz w:val="24"/>
              </w:rPr>
              <w:t xml:space="preserve"> z </w:t>
            </w:r>
            <w:r w:rsidRPr="00A3389E">
              <w:rPr>
                <w:rFonts w:ascii="Times New Roman" w:hAnsi="Times New Roman" w:cs="Times New Roman"/>
                <w:sz w:val="24"/>
              </w:rPr>
              <w:t>pohybov</w:t>
            </w:r>
            <w:r w:rsidR="00A3389E">
              <w:rPr>
                <w:rFonts w:ascii="Times New Roman" w:hAnsi="Times New Roman" w:cs="Times New Roman"/>
                <w:sz w:val="24"/>
              </w:rPr>
              <w:t xml:space="preserve"> v </w:t>
            </w:r>
            <w:r w:rsidRPr="00A3389E">
              <w:rPr>
                <w:rFonts w:ascii="Times New Roman" w:hAnsi="Times New Roman" w:cs="Times New Roman"/>
                <w:sz w:val="24"/>
              </w:rPr>
              <w:t>prepočte cudzích mien</w:t>
            </w:r>
          </w:p>
        </w:tc>
      </w:tr>
      <w:tr w:rsidR="005710A4" w:rsidRPr="00A3389E"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A3389E" w:rsidRDefault="00F40A8B" w:rsidP="00F40A8B">
            <w:pPr>
              <w:pStyle w:val="Applicationdirecte"/>
              <w:spacing w:before="0" w:after="240"/>
              <w:jc w:val="center"/>
            </w:pPr>
            <w:r w:rsidRPr="00A3389E">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A3389E" w:rsidRDefault="005947B9" w:rsidP="00155C96">
            <w:pPr>
              <w:spacing w:after="240"/>
              <w:jc w:val="both"/>
              <w:rPr>
                <w:rFonts w:ascii="Times New Roman" w:hAnsi="Times New Roman" w:cs="Times New Roman"/>
                <w:b/>
                <w:sz w:val="24"/>
              </w:rPr>
            </w:pPr>
            <w:r w:rsidRPr="00A3389E">
              <w:rPr>
                <w:rFonts w:ascii="Times New Roman" w:hAnsi="Times New Roman" w:cs="Times New Roman"/>
                <w:b/>
                <w:sz w:val="24"/>
              </w:rPr>
              <w:t>Iné</w:t>
            </w:r>
          </w:p>
          <w:p w14:paraId="4B517DAA" w14:textId="6ADA27CF" w:rsidR="005710A4" w:rsidRPr="00A3389E" w:rsidRDefault="005710A4" w:rsidP="00155C96">
            <w:pPr>
              <w:spacing w:after="240"/>
              <w:jc w:val="both"/>
              <w:rPr>
                <w:rFonts w:ascii="Times New Roman" w:hAnsi="Times New Roman" w:cs="Times New Roman"/>
                <w:sz w:val="24"/>
              </w:rPr>
            </w:pPr>
            <w:r w:rsidRPr="00A3389E">
              <w:rPr>
                <w:rFonts w:ascii="Times New Roman" w:hAnsi="Times New Roman" w:cs="Times New Roman"/>
                <w:sz w:val="24"/>
              </w:rPr>
              <w:t>Táto kategória sa používa na zachytenie zmien RWEA (kladných alebo záporných), ktoré nemožno priradiť</w:t>
            </w:r>
            <w:r w:rsidR="00A3389E">
              <w:rPr>
                <w:rFonts w:ascii="Times New Roman" w:hAnsi="Times New Roman" w:cs="Times New Roman"/>
                <w:sz w:val="24"/>
              </w:rPr>
              <w:t xml:space="preserve"> k </w:t>
            </w:r>
            <w:r w:rsidRPr="00A3389E">
              <w:rPr>
                <w:rFonts w:ascii="Times New Roman" w:hAnsi="Times New Roman" w:cs="Times New Roman"/>
                <w:sz w:val="24"/>
              </w:rPr>
              <w:t>uvedeným kategóriám. Inštitúcie do tohto riadku zahŕňajú súčet týchto zmien RWEA.</w:t>
            </w:r>
            <w:r w:rsidR="00A3389E">
              <w:rPr>
                <w:rFonts w:ascii="Times New Roman" w:hAnsi="Times New Roman" w:cs="Times New Roman"/>
                <w:sz w:val="24"/>
              </w:rPr>
              <w:t xml:space="preserve"> V </w:t>
            </w:r>
            <w:r w:rsidRPr="00A3389E">
              <w:rPr>
                <w:rFonts w:ascii="Times New Roman" w:hAnsi="Times New Roman" w:cs="Times New Roman"/>
                <w:sz w:val="24"/>
              </w:rPr>
              <w:t>sprievodnom opise</w:t>
            </w:r>
            <w:r w:rsidR="00A3389E">
              <w:rPr>
                <w:rFonts w:ascii="Times New Roman" w:hAnsi="Times New Roman" w:cs="Times New Roman"/>
                <w:sz w:val="24"/>
              </w:rPr>
              <w:t xml:space="preserve"> k </w:t>
            </w:r>
            <w:r w:rsidRPr="00A3389E">
              <w:rPr>
                <w:rFonts w:ascii="Times New Roman" w:hAnsi="Times New Roman" w:cs="Times New Roman"/>
                <w:sz w:val="24"/>
              </w:rPr>
              <w:t xml:space="preserve">tomuto vzoru inštitúcie podrobnejšie opisujú akékoľvek iné významné </w:t>
            </w:r>
            <w:r w:rsidRPr="00A3389E">
              <w:rPr>
                <w:rFonts w:ascii="Times New Roman" w:hAnsi="Times New Roman" w:cs="Times New Roman"/>
                <w:sz w:val="24"/>
              </w:rPr>
              <w:lastRenderedPageBreak/>
              <w:t>faktory pohybov rizikovo vážených hodnôt za obdobie zverejňovania informácií.</w:t>
            </w:r>
          </w:p>
        </w:tc>
      </w:tr>
      <w:tr w:rsidR="005710A4" w:rsidRPr="00A3389E"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A3389E" w:rsidRDefault="00F40A8B" w:rsidP="00F40A8B">
            <w:pPr>
              <w:pStyle w:val="Applicationdirecte"/>
              <w:spacing w:before="0" w:after="240"/>
              <w:jc w:val="center"/>
            </w:pPr>
            <w:r w:rsidRPr="00A3389E">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A3389E" w:rsidRDefault="005710A4" w:rsidP="00155C96">
            <w:pPr>
              <w:spacing w:after="240"/>
              <w:jc w:val="both"/>
              <w:rPr>
                <w:rFonts w:ascii="Times New Roman" w:hAnsi="Times New Roman" w:cs="Times New Roman"/>
                <w:b/>
                <w:sz w:val="24"/>
              </w:rPr>
            </w:pPr>
            <w:r w:rsidRPr="00A3389E">
              <w:rPr>
                <w:rFonts w:ascii="Times New Roman" w:hAnsi="Times New Roman" w:cs="Times New Roman"/>
                <w:b/>
                <w:sz w:val="24"/>
              </w:rPr>
              <w:t>RWEA ku koncu bežného obdobia zverejňovania informácií</w:t>
            </w:r>
          </w:p>
          <w:p w14:paraId="747E8477" w14:textId="77777777" w:rsidR="005710A4" w:rsidRPr="00A3389E" w:rsidRDefault="005710A4" w:rsidP="00155C96">
            <w:pPr>
              <w:spacing w:after="240"/>
              <w:jc w:val="both"/>
              <w:rPr>
                <w:rFonts w:ascii="Times New Roman" w:hAnsi="Times New Roman" w:cs="Times New Roman"/>
                <w:i/>
                <w:sz w:val="24"/>
              </w:rPr>
            </w:pPr>
            <w:r w:rsidRPr="00A3389E">
              <w:rPr>
                <w:rFonts w:ascii="Times New Roman" w:hAnsi="Times New Roman" w:cs="Times New Roman"/>
                <w:sz w:val="24"/>
              </w:rPr>
              <w:t>Hodnoty rizikovo vážených expozícií pre expozície voči CCR podľa IMM ku koncu bežného obdobia zverejňovania informácií.</w:t>
            </w:r>
          </w:p>
        </w:tc>
      </w:tr>
      <w:tr w:rsidR="005710A4" w:rsidRPr="00A3389E"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A3389E" w:rsidRDefault="005710A4" w:rsidP="00F40A8B">
            <w:pPr>
              <w:pStyle w:val="Applicationdirecte"/>
              <w:spacing w:before="0" w:after="240"/>
              <w:jc w:val="center"/>
              <w:rPr>
                <w:b/>
              </w:rPr>
            </w:pPr>
            <w:r w:rsidRPr="00A3389E">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A3389E" w:rsidRDefault="005710A4" w:rsidP="00155C96">
            <w:pPr>
              <w:spacing w:after="240"/>
              <w:jc w:val="both"/>
              <w:rPr>
                <w:rFonts w:ascii="Times New Roman" w:hAnsi="Times New Roman" w:cs="Times New Roman"/>
                <w:b/>
                <w:sz w:val="24"/>
              </w:rPr>
            </w:pPr>
            <w:r w:rsidRPr="00A3389E">
              <w:rPr>
                <w:rFonts w:ascii="Times New Roman" w:hAnsi="Times New Roman" w:cs="Times New Roman"/>
                <w:b/>
                <w:sz w:val="24"/>
              </w:rPr>
              <w:t>Vysvetlenie</w:t>
            </w:r>
          </w:p>
        </w:tc>
      </w:tr>
      <w:tr w:rsidR="005710A4" w:rsidRPr="00A3389E"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A3389E" w:rsidRDefault="00F40A8B" w:rsidP="00F40A8B">
            <w:pPr>
              <w:pStyle w:val="Applicationdirecte"/>
              <w:spacing w:before="0" w:after="240"/>
              <w:jc w:val="center"/>
            </w:pPr>
            <w:r w:rsidRPr="00A3389E">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A3389E" w:rsidRDefault="005710A4" w:rsidP="00155C96">
            <w:pPr>
              <w:spacing w:after="240"/>
              <w:jc w:val="both"/>
              <w:rPr>
                <w:rFonts w:ascii="Times New Roman" w:hAnsi="Times New Roman" w:cs="Times New Roman"/>
                <w:b/>
                <w:sz w:val="24"/>
              </w:rPr>
            </w:pPr>
            <w:r w:rsidRPr="00A3389E">
              <w:rPr>
                <w:rFonts w:ascii="Times New Roman" w:hAnsi="Times New Roman" w:cs="Times New Roman"/>
                <w:b/>
                <w:sz w:val="24"/>
              </w:rPr>
              <w:t>RWEA</w:t>
            </w:r>
          </w:p>
        </w:tc>
      </w:tr>
    </w:tbl>
    <w:p w14:paraId="2D919E84" w14:textId="77777777" w:rsidR="005710A4" w:rsidRPr="00A3389E" w:rsidRDefault="005710A4" w:rsidP="005710A4">
      <w:pPr>
        <w:pStyle w:val="Titlelevel2"/>
        <w:spacing w:before="0"/>
        <w:rPr>
          <w:rFonts w:ascii="Times New Roman" w:hAnsi="Times New Roman" w:cs="Times New Roman"/>
          <w:b/>
          <w:color w:val="auto"/>
          <w:sz w:val="24"/>
        </w:rPr>
      </w:pPr>
    </w:p>
    <w:p w14:paraId="78D0815C" w14:textId="77777777" w:rsidR="00A3389E" w:rsidRPr="00A3389E" w:rsidRDefault="00CD362D" w:rsidP="005710A4">
      <w:pPr>
        <w:pStyle w:val="Titlelevel2"/>
        <w:spacing w:before="0"/>
        <w:rPr>
          <w:rFonts w:ascii="Times New Roman" w:hAnsi="Times New Roman" w:cs="Times New Roman"/>
          <w:b/>
          <w:color w:val="auto"/>
          <w:sz w:val="24"/>
        </w:rPr>
      </w:pPr>
      <w:r w:rsidRPr="00A3389E">
        <w:rPr>
          <w:rFonts w:ascii="Times New Roman" w:hAnsi="Times New Roman" w:cs="Times New Roman"/>
          <w:b/>
          <w:color w:val="auto"/>
          <w:sz w:val="24"/>
        </w:rPr>
        <w:t xml:space="preserve">Vzor EU CCR8 – Expozície voči centrálnym protistranám: </w:t>
      </w:r>
      <w:r w:rsidRPr="00A3389E">
        <w:rPr>
          <w:rFonts w:ascii="Times New Roman" w:hAnsi="Times New Roman" w:cs="Times New Roman"/>
          <w:color w:val="auto"/>
          <w:sz w:val="24"/>
        </w:rPr>
        <w:t>Pevný formát</w:t>
      </w:r>
    </w:p>
    <w:p w14:paraId="7482DAFB" w14:textId="31B71B10" w:rsidR="005710A4" w:rsidRPr="00A3389E" w:rsidRDefault="00A3389E" w:rsidP="00A3389E">
      <w:pPr>
        <w:pStyle w:val="Titlelevel2"/>
        <w:spacing w:before="0"/>
        <w:ind w:left="72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4"/>
        </w:rPr>
        <w:t>22.</w:t>
      </w:r>
      <w:r w:rsidRPr="00A3389E">
        <w:rPr>
          <w:rFonts w:ascii="Times New Roman" w:eastAsiaTheme="minorEastAsia" w:hAnsi="Times New Roman" w:cs="Times New Roman"/>
          <w:bCs w:val="0"/>
          <w:color w:val="auto"/>
          <w:sz w:val="24"/>
        </w:rPr>
        <w:tab/>
      </w:r>
      <w:r w:rsidR="005710A4"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článku 439 písm. i) CRR podľa pokynov uvedených nižšie</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cieľom vyplniť vzor EU CCR8, ktorý je uvedený</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prílohe XXV</w:t>
      </w:r>
      <w:r>
        <w:rPr>
          <w:rFonts w:ascii="Times New Roman" w:hAnsi="Times New Roman" w:cs="Times New Roman"/>
          <w:bCs w:val="0"/>
          <w:color w:val="000000"/>
          <w:sz w:val="24"/>
        </w:rPr>
        <w:t xml:space="preserve"> k </w:t>
      </w:r>
      <w:r w:rsidR="005710A4" w:rsidRPr="00A3389E">
        <w:rPr>
          <w:rFonts w:ascii="Times New Roman" w:hAnsi="Times New Roman" w:cs="Times New Roman"/>
          <w:bCs w:val="0"/>
          <w:color w:val="000000"/>
          <w:sz w:val="24"/>
        </w:rPr>
        <w:t>tomuto vykonávaciemu nariadeniu.</w:t>
      </w:r>
    </w:p>
    <w:p w14:paraId="5B17CF03" w14:textId="3FB16460" w:rsidR="005710A4" w:rsidRPr="00A3389E" w:rsidRDefault="00A3389E" w:rsidP="00A3389E">
      <w:pPr>
        <w:pStyle w:val="Titlelevel2"/>
        <w:spacing w:before="0"/>
        <w:ind w:left="720" w:hanging="360"/>
        <w:jc w:val="both"/>
        <w:rPr>
          <w:rFonts w:ascii="Times New Roman" w:hAnsi="Times New Roman" w:cs="Times New Roman"/>
          <w:b/>
          <w:color w:val="auto"/>
          <w:sz w:val="24"/>
        </w:rPr>
      </w:pPr>
      <w:r w:rsidRPr="00A3389E">
        <w:rPr>
          <w:rFonts w:ascii="Times New Roman" w:hAnsi="Times New Roman" w:cs="Times New Roman"/>
          <w:b/>
          <w:color w:val="auto"/>
          <w:sz w:val="24"/>
        </w:rPr>
        <w:t>23.</w:t>
      </w:r>
      <w:r w:rsidRPr="00A3389E">
        <w:rPr>
          <w:rFonts w:ascii="Times New Roman" w:hAnsi="Times New Roman" w:cs="Times New Roman"/>
          <w:b/>
          <w:color w:val="auto"/>
          <w:sz w:val="24"/>
        </w:rPr>
        <w:tab/>
      </w:r>
      <w:r w:rsidR="005710A4" w:rsidRPr="00A3389E">
        <w:rPr>
          <w:rFonts w:ascii="Times New Roman" w:hAnsi="Times New Roman" w:cs="Times New Roman"/>
          <w:bCs w:val="0"/>
          <w:color w:val="000000"/>
          <w:sz w:val="24"/>
        </w:rPr>
        <w:t>Expozície voči centrálnym protistranám: zmluvy</w:t>
      </w:r>
      <w:r>
        <w:rPr>
          <w:rFonts w:ascii="Times New Roman" w:hAnsi="Times New Roman" w:cs="Times New Roman"/>
          <w:bCs w:val="0"/>
          <w:color w:val="000000"/>
          <w:sz w:val="24"/>
        </w:rPr>
        <w:t xml:space="preserve"> a </w:t>
      </w:r>
      <w:r w:rsidR="005710A4" w:rsidRPr="00A3389E">
        <w:rPr>
          <w:rFonts w:ascii="Times New Roman" w:hAnsi="Times New Roman" w:cs="Times New Roman"/>
          <w:bCs w:val="0"/>
          <w:color w:val="000000"/>
          <w:sz w:val="24"/>
        </w:rPr>
        <w:t>transakcie uvedené</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článku 301 ods. 1 CRR, pokiaľ sú nesplatené voči CCP, vrátane expozícií voči transakciám súvisiacim</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CCP</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súlade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článkom 300 ods. 2 CRR, pri ktorých sa požiadavky na vlastné zdroje vypočítavajú</w:t>
      </w:r>
      <w:r>
        <w:rPr>
          <w:rFonts w:ascii="Times New Roman" w:hAnsi="Times New Roman" w:cs="Times New Roman"/>
          <w:bCs w:val="0"/>
          <w:color w:val="000000"/>
          <w:sz w:val="24"/>
        </w:rPr>
        <w:t xml:space="preserve"> v </w:t>
      </w:r>
      <w:r w:rsidR="005710A4" w:rsidRPr="00A3389E">
        <w:rPr>
          <w:rFonts w:ascii="Times New Roman" w:hAnsi="Times New Roman" w:cs="Times New Roman"/>
          <w:bCs w:val="0"/>
          <w:color w:val="000000"/>
          <w:sz w:val="24"/>
        </w:rPr>
        <w:t>súlade</w:t>
      </w:r>
      <w:r>
        <w:rPr>
          <w:rFonts w:ascii="Times New Roman" w:hAnsi="Times New Roman" w:cs="Times New Roman"/>
          <w:bCs w:val="0"/>
          <w:color w:val="000000"/>
          <w:sz w:val="24"/>
        </w:rPr>
        <w:t xml:space="preserve"> s </w:t>
      </w:r>
      <w:r w:rsidR="005710A4" w:rsidRPr="00A3389E">
        <w:rPr>
          <w:rFonts w:ascii="Times New Roman" w:hAnsi="Times New Roman" w:cs="Times New Roman"/>
          <w:bCs w:val="0"/>
          <w:color w:val="000000"/>
          <w:sz w:val="24"/>
        </w:rPr>
        <w:t xml:space="preserve">treťou časťou hlavou II kapitolou 6 oddielom 9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A3389E"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16387553" w:rsidR="005710A4" w:rsidRPr="00A3389E" w:rsidRDefault="005710A4"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5710A4" w:rsidRPr="00A3389E" w14:paraId="6A42E7BB" w14:textId="77777777" w:rsidTr="00155C96">
        <w:trPr>
          <w:trHeight w:val="238"/>
        </w:trPr>
        <w:tc>
          <w:tcPr>
            <w:tcW w:w="1384" w:type="dxa"/>
            <w:shd w:val="clear" w:color="auto" w:fill="D9D9D9" w:themeFill="background1" w:themeFillShade="D9"/>
          </w:tcPr>
          <w:p w14:paraId="1651E34E" w14:textId="77777777" w:rsidR="005710A4" w:rsidRPr="00A3389E" w:rsidRDefault="005710A4" w:rsidP="00155C96">
            <w:pPr>
              <w:autoSpaceDE w:val="0"/>
              <w:autoSpaceDN w:val="0"/>
              <w:adjustRightInd w:val="0"/>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5E89DF28" w14:textId="77777777" w:rsidR="005710A4" w:rsidRPr="00A3389E" w:rsidRDefault="005710A4"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5710A4" w:rsidRPr="00A3389E" w14:paraId="10377025" w14:textId="77777777" w:rsidTr="00155C96">
        <w:trPr>
          <w:trHeight w:val="680"/>
        </w:trPr>
        <w:tc>
          <w:tcPr>
            <w:tcW w:w="1384" w:type="dxa"/>
          </w:tcPr>
          <w:p w14:paraId="23C0E7D9" w14:textId="0F786C5D" w:rsidR="005710A4" w:rsidRPr="00A3389E" w:rsidRDefault="00F40A8B" w:rsidP="00BC5D5C">
            <w:pPr>
              <w:pStyle w:val="Applicationdirecte"/>
              <w:spacing w:before="0" w:after="240"/>
              <w:jc w:val="center"/>
            </w:pPr>
            <w:r w:rsidRPr="00A3389E">
              <w:t>1 – 10</w:t>
            </w:r>
          </w:p>
        </w:tc>
        <w:tc>
          <w:tcPr>
            <w:tcW w:w="7655" w:type="dxa"/>
            <w:vAlign w:val="center"/>
          </w:tcPr>
          <w:p w14:paraId="3A8B2D6C" w14:textId="6B1DE91F" w:rsidR="005710A4" w:rsidRPr="00A3389E" w:rsidRDefault="005710A4" w:rsidP="00155C96">
            <w:pPr>
              <w:keepNext/>
              <w:spacing w:after="240"/>
              <w:jc w:val="both"/>
              <w:rPr>
                <w:rFonts w:ascii="Times New Roman" w:eastAsia="Times New Roman" w:hAnsi="Times New Roman" w:cs="Times New Roman"/>
                <w:b/>
                <w:sz w:val="24"/>
              </w:rPr>
            </w:pPr>
            <w:r w:rsidRPr="00A3389E">
              <w:rPr>
                <w:rFonts w:ascii="Times New Roman" w:hAnsi="Times New Roman" w:cs="Times New Roman"/>
                <w:b/>
                <w:bCs/>
                <w:sz w:val="24"/>
              </w:rPr>
              <w:t>Kvalifikovaná centrálna protistrana</w:t>
            </w:r>
            <w:r w:rsidRPr="00A3389E">
              <w:rPr>
                <w:rFonts w:ascii="Times New Roman" w:hAnsi="Times New Roman" w:cs="Times New Roman"/>
                <w:b/>
                <w:sz w:val="24"/>
              </w:rPr>
              <w:t xml:space="preserve"> (QCCP)</w:t>
            </w:r>
          </w:p>
          <w:p w14:paraId="085A6DEA" w14:textId="5EE83F9C" w:rsidR="005710A4" w:rsidRPr="00A3389E" w:rsidRDefault="005710A4" w:rsidP="00155C96">
            <w:pPr>
              <w:keepNext/>
              <w:spacing w:after="240"/>
              <w:jc w:val="both"/>
              <w:rPr>
                <w:rFonts w:ascii="Times New Roman" w:eastAsia="Times New Roman" w:hAnsi="Times New Roman" w:cs="Times New Roman"/>
                <w:sz w:val="24"/>
              </w:rPr>
            </w:pPr>
            <w:r w:rsidRPr="00A3389E">
              <w:rPr>
                <w:rFonts w:ascii="Times New Roman" w:hAnsi="Times New Roman" w:cs="Times New Roman"/>
                <w:sz w:val="24"/>
              </w:rPr>
              <w:t>Kvalifikovaná centrálna protistrana alebo „QCCP“</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4 ods. 1 bode 88 CRR.</w:t>
            </w:r>
          </w:p>
        </w:tc>
      </w:tr>
      <w:tr w:rsidR="005710A4" w:rsidRPr="00A3389E" w14:paraId="55CACFD0" w14:textId="77777777" w:rsidTr="00155C96">
        <w:trPr>
          <w:trHeight w:val="680"/>
        </w:trPr>
        <w:tc>
          <w:tcPr>
            <w:tcW w:w="1384" w:type="dxa"/>
          </w:tcPr>
          <w:p w14:paraId="39D5EF84" w14:textId="1C442E1C" w:rsidR="005710A4" w:rsidRPr="00A3389E" w:rsidRDefault="00F40A8B" w:rsidP="00BC5D5C">
            <w:pPr>
              <w:pStyle w:val="Applicationdirecte"/>
              <w:spacing w:before="0" w:after="240"/>
              <w:jc w:val="center"/>
            </w:pPr>
            <w:r w:rsidRPr="00A3389E">
              <w:t>7</w:t>
            </w:r>
            <w:r w:rsidR="00A3389E">
              <w:t xml:space="preserve"> a </w:t>
            </w:r>
            <w:r w:rsidRPr="00A3389E">
              <w:t>8</w:t>
            </w:r>
          </w:p>
          <w:p w14:paraId="5F527E02" w14:textId="4BD08075" w:rsidR="005710A4" w:rsidRPr="00A3389E" w:rsidRDefault="00F40A8B" w:rsidP="00BC5D5C">
            <w:pPr>
              <w:pStyle w:val="Fait"/>
              <w:spacing w:before="0" w:after="240"/>
              <w:jc w:val="center"/>
            </w:pPr>
            <w:r w:rsidRPr="00A3389E">
              <w:t>17</w:t>
            </w:r>
            <w:r w:rsidR="00A3389E">
              <w:t xml:space="preserve"> a </w:t>
            </w:r>
            <w:r w:rsidRPr="00A3389E">
              <w:t>18</w:t>
            </w:r>
          </w:p>
        </w:tc>
        <w:tc>
          <w:tcPr>
            <w:tcW w:w="7655" w:type="dxa"/>
            <w:vAlign w:val="center"/>
          </w:tcPr>
          <w:p w14:paraId="7AB8F182" w14:textId="457543FF" w:rsidR="005710A4" w:rsidRPr="00A3389E" w:rsidRDefault="005710A4" w:rsidP="00155C96">
            <w:pPr>
              <w:keepNext/>
              <w:spacing w:after="240"/>
              <w:jc w:val="both"/>
              <w:rPr>
                <w:rFonts w:ascii="Times New Roman" w:eastAsia="Times New Roman" w:hAnsi="Times New Roman" w:cs="Times New Roman"/>
                <w:b/>
                <w:bCs/>
                <w:sz w:val="24"/>
              </w:rPr>
            </w:pPr>
            <w:r w:rsidRPr="00A3389E">
              <w:rPr>
                <w:rFonts w:ascii="Times New Roman" w:hAnsi="Times New Roman" w:cs="Times New Roman"/>
                <w:b/>
                <w:bCs/>
                <w:sz w:val="24"/>
              </w:rPr>
              <w:t>Počiatočná marža</w:t>
            </w:r>
          </w:p>
          <w:p w14:paraId="2415FFD0" w14:textId="485E3D1D" w:rsidR="005710A4" w:rsidRPr="00A3389E" w:rsidRDefault="005710A4" w:rsidP="00155C96">
            <w:pPr>
              <w:keepNext/>
              <w:spacing w:after="240"/>
              <w:jc w:val="both"/>
              <w:rPr>
                <w:rFonts w:ascii="Times New Roman" w:eastAsia="Times New Roman" w:hAnsi="Times New Roman" w:cs="Times New Roman"/>
                <w:sz w:val="24"/>
              </w:rPr>
            </w:pPr>
            <w:r w:rsidRPr="00A3389E">
              <w:rPr>
                <w:rFonts w:ascii="Times New Roman" w:hAnsi="Times New Roman" w:cs="Times New Roman"/>
                <w:sz w:val="24"/>
              </w:rPr>
              <w:t>Inštitúcie zverejňujú reálne hodnoty kolaterálu prijatého alebo poskytnutého ako počiatočná marža</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4 ods. 1 bode 140 CRR.</w:t>
            </w:r>
          </w:p>
          <w:p w14:paraId="7B03A481" w14:textId="659985DF" w:rsidR="005710A4" w:rsidRPr="00A3389E" w:rsidRDefault="005710A4" w:rsidP="00155C96">
            <w:pPr>
              <w:keepNext/>
              <w:spacing w:after="240"/>
              <w:jc w:val="both"/>
              <w:rPr>
                <w:rFonts w:ascii="Times New Roman" w:eastAsia="Times New Roman" w:hAnsi="Times New Roman" w:cs="Times New Roman"/>
                <w:i/>
                <w:sz w:val="24"/>
              </w:rPr>
            </w:pPr>
            <w:r w:rsidRPr="00A3389E">
              <w:rPr>
                <w:rFonts w:ascii="Times New Roman" w:hAnsi="Times New Roman" w:cs="Times New Roman"/>
                <w:sz w:val="24"/>
              </w:rPr>
              <w:t>Na účely tohto vzoru počiatočná marža nezahŕňa príspevky do CCP na mutualizované mechanizmy rozdeľovania strát (t. j.</w:t>
            </w:r>
            <w:r w:rsidR="00A3389E">
              <w:rPr>
                <w:rFonts w:ascii="Times New Roman" w:hAnsi="Times New Roman" w:cs="Times New Roman"/>
                <w:sz w:val="24"/>
              </w:rPr>
              <w:t xml:space="preserve"> v </w:t>
            </w:r>
            <w:r w:rsidRPr="00A3389E">
              <w:rPr>
                <w:rFonts w:ascii="Times New Roman" w:hAnsi="Times New Roman" w:cs="Times New Roman"/>
                <w:sz w:val="24"/>
              </w:rPr>
              <w:t>prípadoch, keď CCP používa počiatočnú maržu na mutualizáciu strát medzi zúčtovacích členov, sa</w:t>
            </w:r>
            <w:r w:rsidR="00A3389E">
              <w:rPr>
                <w:rFonts w:ascii="Times New Roman" w:hAnsi="Times New Roman" w:cs="Times New Roman"/>
                <w:sz w:val="24"/>
              </w:rPr>
              <w:t xml:space="preserve"> s </w:t>
            </w:r>
            <w:r w:rsidRPr="00A3389E">
              <w:rPr>
                <w:rFonts w:ascii="Times New Roman" w:hAnsi="Times New Roman" w:cs="Times New Roman"/>
                <w:sz w:val="24"/>
              </w:rPr>
              <w:t>ňou bude zaobchádzať ako</w:t>
            </w:r>
            <w:r w:rsidR="00A3389E">
              <w:rPr>
                <w:rFonts w:ascii="Times New Roman" w:hAnsi="Times New Roman" w:cs="Times New Roman"/>
                <w:sz w:val="24"/>
              </w:rPr>
              <w:t xml:space="preserve"> s </w:t>
            </w:r>
            <w:r w:rsidRPr="00A3389E">
              <w:rPr>
                <w:rFonts w:ascii="Times New Roman" w:hAnsi="Times New Roman" w:cs="Times New Roman"/>
                <w:sz w:val="24"/>
              </w:rPr>
              <w:t xml:space="preserve">expozíciou voči fondu pre prípad zlyhania). </w:t>
            </w:r>
          </w:p>
        </w:tc>
      </w:tr>
      <w:tr w:rsidR="005710A4" w:rsidRPr="00A3389E" w14:paraId="468FD103" w14:textId="77777777" w:rsidTr="00155C96">
        <w:trPr>
          <w:trHeight w:val="680"/>
        </w:trPr>
        <w:tc>
          <w:tcPr>
            <w:tcW w:w="1384" w:type="dxa"/>
          </w:tcPr>
          <w:p w14:paraId="60934E94" w14:textId="701FF664" w:rsidR="005710A4" w:rsidRPr="00A3389E" w:rsidRDefault="00F40A8B" w:rsidP="00BC5D5C">
            <w:pPr>
              <w:pStyle w:val="Applicationdirecte"/>
              <w:spacing w:before="0" w:after="240"/>
              <w:jc w:val="center"/>
            </w:pPr>
            <w:r w:rsidRPr="00A3389E">
              <w:lastRenderedPageBreak/>
              <w:t>9</w:t>
            </w:r>
            <w:r w:rsidR="00A3389E">
              <w:t xml:space="preserve"> a </w:t>
            </w:r>
            <w:r w:rsidRPr="00A3389E">
              <w:t>19</w:t>
            </w:r>
          </w:p>
        </w:tc>
        <w:tc>
          <w:tcPr>
            <w:tcW w:w="7655" w:type="dxa"/>
            <w:vAlign w:val="center"/>
          </w:tcPr>
          <w:p w14:paraId="0E3A72D0" w14:textId="24F715D9" w:rsidR="005710A4" w:rsidRPr="00A3389E" w:rsidRDefault="005710A4" w:rsidP="00155C96">
            <w:pPr>
              <w:keepNext/>
              <w:spacing w:after="240"/>
              <w:jc w:val="both"/>
              <w:rPr>
                <w:rFonts w:ascii="Times New Roman" w:eastAsia="Times New Roman" w:hAnsi="Times New Roman" w:cs="Times New Roman"/>
                <w:b/>
                <w:sz w:val="24"/>
              </w:rPr>
            </w:pPr>
            <w:r w:rsidRPr="00A3389E">
              <w:rPr>
                <w:rFonts w:ascii="Times New Roman" w:hAnsi="Times New Roman" w:cs="Times New Roman"/>
                <w:b/>
                <w:sz w:val="24"/>
              </w:rPr>
              <w:t>Predfinancované príspevky do fondu pre prípad zlyhania</w:t>
            </w:r>
          </w:p>
          <w:p w14:paraId="73535061" w14:textId="77777777" w:rsidR="005710A4" w:rsidRPr="00A3389E" w:rsidRDefault="005710A4" w:rsidP="00155C96">
            <w:pPr>
              <w:keepNext/>
              <w:spacing w:after="240"/>
              <w:jc w:val="both"/>
              <w:rPr>
                <w:rFonts w:ascii="Times New Roman" w:eastAsia="Times New Roman" w:hAnsi="Times New Roman" w:cs="Times New Roman"/>
                <w:sz w:val="24"/>
              </w:rPr>
            </w:pPr>
            <w:r w:rsidRPr="00A3389E">
              <w:rPr>
                <w:rFonts w:ascii="Times New Roman" w:hAnsi="Times New Roman" w:cs="Times New Roman"/>
                <w:sz w:val="24"/>
              </w:rPr>
              <w:t>Príspevok do fondu centrálnej protistrany pre prípad zlyhania, ktorý platia inštitúcie.</w:t>
            </w:r>
          </w:p>
          <w:p w14:paraId="5E3F89A1" w14:textId="361B60D4" w:rsidR="005710A4" w:rsidRPr="00A3389E" w:rsidRDefault="005710A4" w:rsidP="00155C96">
            <w:pPr>
              <w:keepNext/>
              <w:spacing w:after="240"/>
              <w:jc w:val="both"/>
              <w:rPr>
                <w:rFonts w:ascii="Times New Roman" w:eastAsia="Times New Roman" w:hAnsi="Times New Roman" w:cs="Times New Roman"/>
                <w:sz w:val="24"/>
              </w:rPr>
            </w:pPr>
            <w:r w:rsidRPr="00A3389E">
              <w:rPr>
                <w:rFonts w:ascii="Times New Roman" w:hAnsi="Times New Roman" w:cs="Times New Roman"/>
                <w:sz w:val="24"/>
              </w:rPr>
              <w:t>„Fond pre prípad zlyhania“ je vymedzený</w:t>
            </w:r>
            <w:r w:rsidR="00A3389E">
              <w:rPr>
                <w:rFonts w:ascii="Times New Roman" w:hAnsi="Times New Roman" w:cs="Times New Roman"/>
                <w:sz w:val="24"/>
              </w:rPr>
              <w:t xml:space="preserve"> v </w:t>
            </w:r>
            <w:r w:rsidRPr="00A3389E">
              <w:rPr>
                <w:rFonts w:ascii="Times New Roman" w:hAnsi="Times New Roman" w:cs="Times New Roman"/>
                <w:sz w:val="24"/>
              </w:rPr>
              <w:t>článku 4 ods. 1 bode 89 CRR.</w:t>
            </w:r>
          </w:p>
        </w:tc>
      </w:tr>
      <w:tr w:rsidR="005710A4" w:rsidRPr="00A3389E" w14:paraId="2270D95C" w14:textId="77777777" w:rsidTr="00155C96">
        <w:trPr>
          <w:trHeight w:val="680"/>
        </w:trPr>
        <w:tc>
          <w:tcPr>
            <w:tcW w:w="1384" w:type="dxa"/>
          </w:tcPr>
          <w:p w14:paraId="16522CAB" w14:textId="76E2E973" w:rsidR="005710A4" w:rsidRPr="00A3389E" w:rsidRDefault="00F40A8B" w:rsidP="00BC5D5C">
            <w:pPr>
              <w:pStyle w:val="Applicationdirecte"/>
              <w:spacing w:before="0" w:after="240"/>
              <w:jc w:val="center"/>
            </w:pPr>
            <w:r w:rsidRPr="00A3389E">
              <w:t>20</w:t>
            </w:r>
          </w:p>
        </w:tc>
        <w:tc>
          <w:tcPr>
            <w:tcW w:w="7655" w:type="dxa"/>
            <w:vAlign w:val="center"/>
          </w:tcPr>
          <w:p w14:paraId="69886805" w14:textId="6AE9204F" w:rsidR="005710A4" w:rsidRPr="00A3389E" w:rsidRDefault="005710A4" w:rsidP="00155C96">
            <w:pPr>
              <w:keepNext/>
              <w:spacing w:after="240"/>
              <w:jc w:val="both"/>
              <w:rPr>
                <w:rFonts w:ascii="Times New Roman" w:eastAsia="Times New Roman" w:hAnsi="Times New Roman" w:cs="Times New Roman"/>
                <w:b/>
                <w:sz w:val="24"/>
              </w:rPr>
            </w:pPr>
            <w:r w:rsidRPr="00A3389E">
              <w:rPr>
                <w:rFonts w:ascii="Times New Roman" w:hAnsi="Times New Roman" w:cs="Times New Roman"/>
                <w:b/>
                <w:sz w:val="24"/>
              </w:rPr>
              <w:t>Nefinancované príspevky do fondu pre prípad zlyhania</w:t>
            </w:r>
          </w:p>
          <w:p w14:paraId="310B8818" w14:textId="658723AA" w:rsidR="005710A4" w:rsidRPr="00A3389E" w:rsidRDefault="005710A4" w:rsidP="00155C96">
            <w:pPr>
              <w:keepNext/>
              <w:spacing w:after="240"/>
              <w:jc w:val="both"/>
              <w:rPr>
                <w:rFonts w:ascii="Times New Roman" w:eastAsia="Times New Roman" w:hAnsi="Times New Roman" w:cs="Times New Roman"/>
                <w:sz w:val="24"/>
              </w:rPr>
            </w:pPr>
            <w:r w:rsidRPr="00A3389E">
              <w:rPr>
                <w:rFonts w:ascii="Times New Roman" w:hAnsi="Times New Roman" w:cs="Times New Roman"/>
                <w:sz w:val="24"/>
              </w:rPr>
              <w:t>Príspevky, ktoré sa inštitúcia konajúca ako zúčtovací člen zmluvne zaviazala poskytnúť CCP po tom, ako CCP vyčerpala svoj fond pre prípad zlyhania, na pokrytie strát, ktoré jej vznikli</w:t>
            </w:r>
            <w:r w:rsidR="00A3389E">
              <w:rPr>
                <w:rFonts w:ascii="Times New Roman" w:hAnsi="Times New Roman" w:cs="Times New Roman"/>
                <w:sz w:val="24"/>
              </w:rPr>
              <w:t xml:space="preserve"> v </w:t>
            </w:r>
            <w:r w:rsidRPr="00A3389E">
              <w:rPr>
                <w:rFonts w:ascii="Times New Roman" w:hAnsi="Times New Roman" w:cs="Times New Roman"/>
                <w:sz w:val="24"/>
              </w:rPr>
              <w:t>dôsledku zlyhania jedného alebo viacerých jej zúčtovacích členov. „Fond pre prípad zlyhania“ je vymedzený</w:t>
            </w:r>
            <w:r w:rsidR="00A3389E">
              <w:rPr>
                <w:rFonts w:ascii="Times New Roman" w:hAnsi="Times New Roman" w:cs="Times New Roman"/>
                <w:sz w:val="24"/>
              </w:rPr>
              <w:t xml:space="preserve"> v </w:t>
            </w:r>
            <w:r w:rsidRPr="00A3389E">
              <w:rPr>
                <w:rFonts w:ascii="Times New Roman" w:hAnsi="Times New Roman" w:cs="Times New Roman"/>
                <w:sz w:val="24"/>
              </w:rPr>
              <w:t>článku 4 ods. 1 bode 89 CRR.</w:t>
            </w:r>
          </w:p>
        </w:tc>
      </w:tr>
      <w:tr w:rsidR="005710A4" w:rsidRPr="00A3389E" w14:paraId="3DB8D08A" w14:textId="77777777" w:rsidTr="00155C96">
        <w:trPr>
          <w:trHeight w:val="680"/>
        </w:trPr>
        <w:tc>
          <w:tcPr>
            <w:tcW w:w="1384" w:type="dxa"/>
          </w:tcPr>
          <w:p w14:paraId="5E4F73B0" w14:textId="47B4A1CA" w:rsidR="005710A4" w:rsidRPr="00A3389E" w:rsidRDefault="00F40A8B" w:rsidP="00BC5D5C">
            <w:pPr>
              <w:pStyle w:val="Applicationdirecte"/>
              <w:spacing w:before="0" w:after="240"/>
              <w:jc w:val="center"/>
            </w:pPr>
            <w:r w:rsidRPr="00A3389E">
              <w:t>7</w:t>
            </w:r>
            <w:r w:rsidR="00A3389E">
              <w:t xml:space="preserve"> a </w:t>
            </w:r>
            <w:r w:rsidRPr="00A3389E">
              <w:t>17</w:t>
            </w:r>
          </w:p>
        </w:tc>
        <w:tc>
          <w:tcPr>
            <w:tcW w:w="7655" w:type="dxa"/>
            <w:vAlign w:val="center"/>
          </w:tcPr>
          <w:p w14:paraId="29161BE7" w14:textId="09DE421A" w:rsidR="005710A4" w:rsidRPr="00A3389E" w:rsidRDefault="005710A4" w:rsidP="00155C96">
            <w:pPr>
              <w:spacing w:after="240"/>
              <w:jc w:val="both"/>
              <w:rPr>
                <w:rFonts w:ascii="Times New Roman" w:eastAsia="Calibri" w:hAnsi="Times New Roman" w:cs="Times New Roman"/>
                <w:b/>
                <w:sz w:val="24"/>
              </w:rPr>
            </w:pPr>
            <w:r w:rsidRPr="00A3389E">
              <w:rPr>
                <w:rFonts w:ascii="Times New Roman" w:hAnsi="Times New Roman" w:cs="Times New Roman"/>
                <w:b/>
                <w:sz w:val="24"/>
              </w:rPr>
              <w:t>Oddelený</w:t>
            </w:r>
          </w:p>
          <w:p w14:paraId="50393526" w14:textId="672204C8" w:rsidR="005710A4" w:rsidRPr="00A3389E" w:rsidRDefault="005710A4" w:rsidP="00155C96">
            <w:pPr>
              <w:spacing w:after="240"/>
              <w:jc w:val="both"/>
              <w:rPr>
                <w:rFonts w:ascii="Times New Roman" w:eastAsia="Calibri" w:hAnsi="Times New Roman" w:cs="Times New Roman"/>
                <w:sz w:val="24"/>
              </w:rPr>
            </w:pPr>
            <w:r w:rsidRPr="00A3389E">
              <w:rPr>
                <w:rFonts w:ascii="Times New Roman" w:hAnsi="Times New Roman" w:cs="Times New Roman"/>
                <w:sz w:val="24"/>
              </w:rPr>
              <w:t>Pozri vymedzenie pojmu zahrnuté vo vzore EU CCR5.</w:t>
            </w:r>
          </w:p>
        </w:tc>
      </w:tr>
      <w:tr w:rsidR="005710A4" w:rsidRPr="00A3389E" w14:paraId="16586377" w14:textId="77777777" w:rsidTr="00155C96">
        <w:trPr>
          <w:trHeight w:val="680"/>
        </w:trPr>
        <w:tc>
          <w:tcPr>
            <w:tcW w:w="1384" w:type="dxa"/>
          </w:tcPr>
          <w:p w14:paraId="762520E3" w14:textId="2933CF6C" w:rsidR="005710A4" w:rsidRPr="00A3389E" w:rsidRDefault="00F40A8B" w:rsidP="00BC5D5C">
            <w:pPr>
              <w:pStyle w:val="Applicationdirecte"/>
              <w:spacing w:before="0" w:after="240"/>
              <w:jc w:val="center"/>
            </w:pPr>
            <w:r w:rsidRPr="00A3389E">
              <w:t>8</w:t>
            </w:r>
            <w:r w:rsidR="00A3389E">
              <w:t xml:space="preserve"> a </w:t>
            </w:r>
            <w:r w:rsidRPr="00A3389E">
              <w:t>18</w:t>
            </w:r>
          </w:p>
        </w:tc>
        <w:tc>
          <w:tcPr>
            <w:tcW w:w="7655" w:type="dxa"/>
            <w:vAlign w:val="center"/>
          </w:tcPr>
          <w:p w14:paraId="096B8DBE" w14:textId="26151CFC" w:rsidR="005710A4" w:rsidRPr="00A3389E" w:rsidRDefault="005710A4" w:rsidP="00155C96">
            <w:pPr>
              <w:spacing w:after="240"/>
              <w:jc w:val="both"/>
              <w:rPr>
                <w:rFonts w:ascii="Times New Roman" w:eastAsia="Calibri" w:hAnsi="Times New Roman" w:cs="Times New Roman"/>
                <w:b/>
                <w:sz w:val="24"/>
              </w:rPr>
            </w:pPr>
            <w:r w:rsidRPr="00A3389E">
              <w:rPr>
                <w:rFonts w:ascii="Times New Roman" w:hAnsi="Times New Roman" w:cs="Times New Roman"/>
                <w:b/>
                <w:sz w:val="24"/>
              </w:rPr>
              <w:t>Neoddelený</w:t>
            </w:r>
          </w:p>
          <w:p w14:paraId="7E296D70" w14:textId="5CF5909D" w:rsidR="005710A4" w:rsidRPr="00A3389E" w:rsidRDefault="005710A4" w:rsidP="00155C96">
            <w:pPr>
              <w:spacing w:after="240"/>
              <w:jc w:val="both"/>
              <w:rPr>
                <w:rFonts w:ascii="Times New Roman" w:eastAsia="Calibri" w:hAnsi="Times New Roman" w:cs="Times New Roman"/>
                <w:sz w:val="24"/>
              </w:rPr>
            </w:pPr>
            <w:r w:rsidRPr="00A3389E">
              <w:rPr>
                <w:rFonts w:ascii="Times New Roman" w:hAnsi="Times New Roman" w:cs="Times New Roman"/>
                <w:sz w:val="24"/>
              </w:rPr>
              <w:t>Pozri vymedzenie pojmu zahrnuté vo vzore EU CCR5.</w:t>
            </w:r>
          </w:p>
        </w:tc>
      </w:tr>
      <w:tr w:rsidR="005710A4" w:rsidRPr="00A3389E"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A3389E" w:rsidRDefault="005710A4" w:rsidP="00BC5D5C">
            <w:pPr>
              <w:pStyle w:val="Applicationdirecte"/>
              <w:spacing w:before="0" w:after="240"/>
              <w:jc w:val="center"/>
              <w:rPr>
                <w:b/>
              </w:rPr>
            </w:pPr>
            <w:r w:rsidRPr="00A3389E">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A3389E" w:rsidRDefault="005710A4" w:rsidP="00155C96">
            <w:pPr>
              <w:pStyle w:val="TableMainHeading"/>
              <w:spacing w:before="0" w:after="240"/>
              <w:rPr>
                <w:rFonts w:ascii="Times New Roman" w:hAnsi="Times New Roman"/>
                <w:b/>
                <w:sz w:val="24"/>
                <w:szCs w:val="24"/>
              </w:rPr>
            </w:pPr>
            <w:r w:rsidRPr="00A3389E">
              <w:rPr>
                <w:rFonts w:ascii="Times New Roman" w:hAnsi="Times New Roman"/>
                <w:b/>
                <w:sz w:val="24"/>
                <w:szCs w:val="24"/>
              </w:rPr>
              <w:t>Vysvetlenie</w:t>
            </w:r>
          </w:p>
        </w:tc>
      </w:tr>
      <w:tr w:rsidR="005710A4" w:rsidRPr="00A3389E" w14:paraId="321B8E92" w14:textId="77777777" w:rsidTr="00155C96">
        <w:trPr>
          <w:trHeight w:val="680"/>
        </w:trPr>
        <w:tc>
          <w:tcPr>
            <w:tcW w:w="1384" w:type="dxa"/>
          </w:tcPr>
          <w:p w14:paraId="0790A097" w14:textId="5CB523B9" w:rsidR="005710A4" w:rsidRPr="00A3389E" w:rsidRDefault="00F40A8B" w:rsidP="00BC5D5C">
            <w:pPr>
              <w:pStyle w:val="Applicationdirecte"/>
              <w:spacing w:before="0" w:after="240"/>
              <w:jc w:val="center"/>
            </w:pPr>
            <w:r w:rsidRPr="00A3389E">
              <w:t>a</w:t>
            </w:r>
          </w:p>
        </w:tc>
        <w:tc>
          <w:tcPr>
            <w:tcW w:w="7655" w:type="dxa"/>
            <w:vAlign w:val="center"/>
          </w:tcPr>
          <w:p w14:paraId="526D821E" w14:textId="5F6E4255" w:rsidR="005710A4" w:rsidRPr="00A3389E" w:rsidRDefault="005710A4" w:rsidP="00155C96">
            <w:pPr>
              <w:keepNext/>
              <w:spacing w:after="240"/>
              <w:jc w:val="both"/>
              <w:rPr>
                <w:rFonts w:ascii="Times New Roman" w:eastAsia="Times New Roman" w:hAnsi="Times New Roman" w:cs="Times New Roman"/>
                <w:b/>
                <w:sz w:val="24"/>
              </w:rPr>
            </w:pPr>
            <w:r w:rsidRPr="00A3389E">
              <w:rPr>
                <w:rFonts w:ascii="Times New Roman" w:hAnsi="Times New Roman" w:cs="Times New Roman"/>
                <w:b/>
                <w:sz w:val="24"/>
              </w:rPr>
              <w:t>Hodnota expozície</w:t>
            </w:r>
          </w:p>
          <w:p w14:paraId="5E7ABC21" w14:textId="61CC32EB" w:rsidR="00A3389E" w:rsidRPr="00A3389E" w:rsidRDefault="005710A4" w:rsidP="00155C96">
            <w:pPr>
              <w:keepNext/>
              <w:spacing w:after="240"/>
              <w:jc w:val="both"/>
              <w:rPr>
                <w:rFonts w:ascii="Times New Roman" w:hAnsi="Times New Roman" w:cs="Times New Roman"/>
                <w:sz w:val="24"/>
              </w:rPr>
            </w:pPr>
            <w:r w:rsidRPr="00A3389E">
              <w:rPr>
                <w:rFonts w:ascii="Times New Roman" w:hAnsi="Times New Roman" w:cs="Times New Roman"/>
                <w:sz w:val="24"/>
              </w:rPr>
              <w:t>Hodnota expozície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metódami stanovenými</w:t>
            </w:r>
            <w:r w:rsidR="00A3389E">
              <w:rPr>
                <w:rFonts w:ascii="Times New Roman" w:hAnsi="Times New Roman" w:cs="Times New Roman"/>
                <w:sz w:val="24"/>
              </w:rPr>
              <w:t xml:space="preserve"> v </w:t>
            </w:r>
            <w:r w:rsidRPr="00A3389E">
              <w:rPr>
                <w:rFonts w:ascii="Times New Roman" w:hAnsi="Times New Roman" w:cs="Times New Roman"/>
                <w:sz w:val="24"/>
              </w:rPr>
              <w:t>tretej časti hlave II kapitolách 4</w:t>
            </w:r>
            <w:r w:rsidR="00A3389E">
              <w:rPr>
                <w:rFonts w:ascii="Times New Roman" w:hAnsi="Times New Roman" w:cs="Times New Roman"/>
                <w:sz w:val="24"/>
              </w:rPr>
              <w:t xml:space="preserve"> a </w:t>
            </w:r>
            <w:r w:rsidRPr="00A3389E">
              <w:rPr>
                <w:rFonts w:ascii="Times New Roman" w:hAnsi="Times New Roman" w:cs="Times New Roman"/>
                <w:sz w:val="24"/>
              </w:rPr>
              <w:t>6 CRR pre transakcie</w:t>
            </w:r>
            <w:r w:rsidR="00A3389E">
              <w:rPr>
                <w:rFonts w:ascii="Times New Roman" w:hAnsi="Times New Roman" w:cs="Times New Roman"/>
                <w:sz w:val="24"/>
              </w:rPr>
              <w:t xml:space="preserve"> v </w:t>
            </w:r>
            <w:r w:rsidRPr="00A3389E">
              <w:rPr>
                <w:rFonts w:ascii="Times New Roman" w:hAnsi="Times New Roman" w:cs="Times New Roman"/>
                <w:sz w:val="24"/>
              </w:rPr>
              <w:t>rozsahu pôsobnosti tretej časti hlavy II kapitoly 6 oddielu 9 CRR po uplatnení príslušných úprav stanovených</w:t>
            </w:r>
            <w:r w:rsidR="00A3389E">
              <w:rPr>
                <w:rFonts w:ascii="Times New Roman" w:hAnsi="Times New Roman" w:cs="Times New Roman"/>
                <w:sz w:val="24"/>
              </w:rPr>
              <w:t xml:space="preserve"> v </w:t>
            </w:r>
            <w:r w:rsidRPr="00A3389E">
              <w:rPr>
                <w:rFonts w:ascii="Times New Roman" w:hAnsi="Times New Roman" w:cs="Times New Roman"/>
                <w:sz w:val="24"/>
              </w:rPr>
              <w:t>článkoch 304, 306</w:t>
            </w:r>
            <w:r w:rsidR="00A3389E">
              <w:rPr>
                <w:rFonts w:ascii="Times New Roman" w:hAnsi="Times New Roman" w:cs="Times New Roman"/>
                <w:sz w:val="24"/>
              </w:rPr>
              <w:t xml:space="preserve"> a </w:t>
            </w:r>
            <w:r w:rsidRPr="00A3389E">
              <w:rPr>
                <w:rFonts w:ascii="Times New Roman" w:hAnsi="Times New Roman" w:cs="Times New Roman"/>
                <w:sz w:val="24"/>
              </w:rPr>
              <w:t>308 uvedeného oddielu</w:t>
            </w:r>
            <w:r w:rsidR="00A3389E" w:rsidRPr="00A3389E">
              <w:rPr>
                <w:rFonts w:ascii="Times New Roman" w:hAnsi="Times New Roman" w:cs="Times New Roman"/>
                <w:sz w:val="24"/>
              </w:rPr>
              <w:t>.</w:t>
            </w:r>
          </w:p>
          <w:p w14:paraId="13AEC07F" w14:textId="6A605D4A" w:rsidR="005710A4" w:rsidRPr="00A3389E" w:rsidRDefault="005710A4" w:rsidP="00155C96">
            <w:pPr>
              <w:keepNext/>
              <w:spacing w:after="240"/>
              <w:jc w:val="both"/>
              <w:rPr>
                <w:rFonts w:ascii="Times New Roman" w:eastAsia="Times New Roman" w:hAnsi="Times New Roman" w:cs="Times New Roman"/>
                <w:i/>
                <w:sz w:val="24"/>
              </w:rPr>
            </w:pPr>
            <w:r w:rsidRPr="00A3389E">
              <w:rPr>
                <w:rFonts w:ascii="Times New Roman" w:hAnsi="Times New Roman" w:cs="Times New Roman"/>
                <w:sz w:val="24"/>
              </w:rPr>
              <w:t>Expozícia môže byť obchodnou expozíciou</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4 ods. 1 bode 91 CRR. Zverejňovaná hodnota expozície je hodnota relevantná pre výpočet požiadaviek na vlastné zdroje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6 oddielom 9 CRR,</w:t>
            </w:r>
            <w:r w:rsidR="00A3389E">
              <w:rPr>
                <w:rFonts w:ascii="Times New Roman" w:hAnsi="Times New Roman" w:cs="Times New Roman"/>
                <w:sz w:val="24"/>
              </w:rPr>
              <w:t xml:space="preserve"> s </w:t>
            </w:r>
            <w:r w:rsidRPr="00A3389E">
              <w:rPr>
                <w:rFonts w:ascii="Times New Roman" w:hAnsi="Times New Roman" w:cs="Times New Roman"/>
                <w:sz w:val="24"/>
              </w:rPr>
              <w:t>prihliadnutím na požiadavky</w:t>
            </w:r>
            <w:r w:rsidR="00A3389E">
              <w:rPr>
                <w:rFonts w:ascii="Times New Roman" w:hAnsi="Times New Roman" w:cs="Times New Roman"/>
                <w:sz w:val="24"/>
              </w:rPr>
              <w:t xml:space="preserve"> v </w:t>
            </w:r>
            <w:r w:rsidRPr="00A3389E">
              <w:rPr>
                <w:rFonts w:ascii="Times New Roman" w:hAnsi="Times New Roman" w:cs="Times New Roman"/>
                <w:sz w:val="24"/>
              </w:rPr>
              <w:t>článku 497 CRR počas prechodného obdobia stanoveného</w:t>
            </w:r>
            <w:r w:rsidR="00A3389E">
              <w:rPr>
                <w:rFonts w:ascii="Times New Roman" w:hAnsi="Times New Roman" w:cs="Times New Roman"/>
                <w:sz w:val="24"/>
              </w:rPr>
              <w:t xml:space="preserve"> v </w:t>
            </w:r>
            <w:r w:rsidRPr="00A3389E">
              <w:rPr>
                <w:rFonts w:ascii="Times New Roman" w:hAnsi="Times New Roman" w:cs="Times New Roman"/>
                <w:sz w:val="24"/>
              </w:rPr>
              <w:t>uvedenom článku.</w:t>
            </w:r>
          </w:p>
        </w:tc>
      </w:tr>
      <w:tr w:rsidR="005710A4" w:rsidRPr="00A3389E" w14:paraId="1E953D3B" w14:textId="77777777" w:rsidTr="00155C96">
        <w:trPr>
          <w:trHeight w:val="680"/>
        </w:trPr>
        <w:tc>
          <w:tcPr>
            <w:tcW w:w="1384" w:type="dxa"/>
          </w:tcPr>
          <w:p w14:paraId="663946FC" w14:textId="6141820A" w:rsidR="005710A4" w:rsidRPr="00A3389E" w:rsidRDefault="00F40A8B" w:rsidP="00BC5D5C">
            <w:pPr>
              <w:pStyle w:val="Applicationdirecte"/>
              <w:spacing w:before="0" w:after="240"/>
              <w:jc w:val="center"/>
            </w:pPr>
            <w:r w:rsidRPr="00A3389E">
              <w:t>b</w:t>
            </w:r>
          </w:p>
        </w:tc>
        <w:tc>
          <w:tcPr>
            <w:tcW w:w="7655" w:type="dxa"/>
            <w:vAlign w:val="center"/>
          </w:tcPr>
          <w:p w14:paraId="3E652A7B" w14:textId="77777777" w:rsidR="005710A4" w:rsidRPr="00A3389E" w:rsidRDefault="005710A4" w:rsidP="00155C96">
            <w:pPr>
              <w:keepNext/>
              <w:spacing w:after="240"/>
              <w:jc w:val="both"/>
              <w:rPr>
                <w:rFonts w:ascii="Times New Roman" w:eastAsia="Times New Roman" w:hAnsi="Times New Roman" w:cs="Times New Roman"/>
                <w:b/>
                <w:sz w:val="24"/>
              </w:rPr>
            </w:pPr>
            <w:r w:rsidRPr="00A3389E">
              <w:rPr>
                <w:rFonts w:ascii="Times New Roman" w:hAnsi="Times New Roman" w:cs="Times New Roman"/>
                <w:b/>
                <w:sz w:val="24"/>
              </w:rPr>
              <w:t>RWEA</w:t>
            </w:r>
          </w:p>
          <w:p w14:paraId="4A1B90F7" w14:textId="5F6432DE" w:rsidR="005710A4" w:rsidRPr="00A3389E" w:rsidRDefault="005710A4" w:rsidP="00155C96">
            <w:pPr>
              <w:keepNext/>
              <w:spacing w:after="240"/>
              <w:jc w:val="both"/>
              <w:rPr>
                <w:rFonts w:ascii="Times New Roman" w:eastAsia="Times New Roman" w:hAnsi="Times New Roman" w:cs="Times New Roman"/>
                <w:sz w:val="24"/>
              </w:rPr>
            </w:pPr>
            <w:r w:rsidRPr="00A3389E">
              <w:rPr>
                <w:rFonts w:ascii="Times New Roman" w:hAnsi="Times New Roman" w:cs="Times New Roman"/>
                <w:sz w:val="24"/>
              </w:rPr>
              <w:t>Hodnoty rizikovo vážených expozícií uvedené</w:t>
            </w:r>
            <w:r w:rsidR="00A3389E">
              <w:rPr>
                <w:rFonts w:ascii="Times New Roman" w:hAnsi="Times New Roman" w:cs="Times New Roman"/>
                <w:sz w:val="24"/>
              </w:rPr>
              <w:t xml:space="preserve"> v </w:t>
            </w:r>
            <w:r w:rsidRPr="00A3389E">
              <w:rPr>
                <w:rFonts w:ascii="Times New Roman" w:hAnsi="Times New Roman" w:cs="Times New Roman"/>
                <w:sz w:val="24"/>
              </w:rPr>
              <w:t>článku 92 ods. 3 písm. a) CRR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6 oddielom 9 článkom 107 CRR.</w:t>
            </w:r>
          </w:p>
        </w:tc>
      </w:tr>
    </w:tbl>
    <w:p w14:paraId="5E5AD0AE" w14:textId="77777777" w:rsidR="005710A4" w:rsidRPr="00A3389E" w:rsidRDefault="005710A4" w:rsidP="00297C61">
      <w:pPr>
        <w:pStyle w:val="Titlelevel2"/>
        <w:spacing w:before="0" w:after="0"/>
        <w:rPr>
          <w:rFonts w:ascii="Times New Roman" w:hAnsi="Times New Roman" w:cs="Times New Roman"/>
          <w:color w:val="auto"/>
          <w:sz w:val="24"/>
        </w:rPr>
      </w:pPr>
    </w:p>
    <w:p w14:paraId="5D0491A7" w14:textId="77777777" w:rsidR="005710A4" w:rsidRPr="00A3389E" w:rsidRDefault="005710A4" w:rsidP="00297C61">
      <w:pPr>
        <w:rPr>
          <w:rFonts w:ascii="Times New Roman" w:hAnsi="Times New Roman" w:cs="Times New Roman"/>
          <w:sz w:val="24"/>
        </w:rPr>
      </w:pPr>
    </w:p>
    <w:p w14:paraId="090C84CE" w14:textId="77777777" w:rsidR="0081579E" w:rsidRPr="00A3389E" w:rsidRDefault="00FD656A">
      <w:pPr>
        <w:rPr>
          <w:rFonts w:ascii="Times New Roman" w:hAnsi="Times New Roman" w:cs="Times New Roman"/>
          <w:b/>
          <w:sz w:val="24"/>
        </w:rPr>
        <w:sectPr w:rsidR="0081579E" w:rsidRPr="00A3389E" w:rsidSect="00155C96">
          <w:pgSz w:w="11900" w:h="16840"/>
          <w:pgMar w:top="2268" w:right="1418" w:bottom="1134" w:left="1701" w:header="709" w:footer="709" w:gutter="0"/>
          <w:pgNumType w:start="1" w:chapStyle="1"/>
          <w:cols w:space="708"/>
          <w:docGrid w:linePitch="299"/>
        </w:sectPr>
      </w:pPr>
      <w:r w:rsidRPr="00A3389E">
        <w:rPr>
          <w:rFonts w:ascii="Times New Roman" w:hAnsi="Times New Roman" w:cs="Times New Roman"/>
        </w:rPr>
        <w:br w:type="page"/>
      </w:r>
    </w:p>
    <w:p w14:paraId="292D1743" w14:textId="76AE634B" w:rsidR="00FD656A" w:rsidRPr="00A3389E" w:rsidRDefault="00FD656A" w:rsidP="00FD656A">
      <w:pPr>
        <w:pStyle w:val="Annexetitre"/>
        <w:spacing w:after="240"/>
      </w:pPr>
      <w:r w:rsidRPr="00A3389E">
        <w:lastRenderedPageBreak/>
        <w:t>PRÍLOHA XXVIII – Pokyny na zverejňovanie informácií</w:t>
      </w:r>
      <w:r w:rsidR="00A3389E">
        <w:t xml:space="preserve"> o </w:t>
      </w:r>
      <w:r w:rsidRPr="00A3389E">
        <w:t>expozíciách voči sekuritizačným pozíciám</w:t>
      </w:r>
    </w:p>
    <w:p w14:paraId="41E22AA6" w14:textId="7A137C60" w:rsidR="00FD656A" w:rsidRPr="00A3389E" w:rsidRDefault="00D95507" w:rsidP="00FD656A">
      <w:pPr>
        <w:rPr>
          <w:rFonts w:ascii="Times New Roman" w:hAnsi="Times New Roman" w:cs="Times New Roman"/>
          <w:b/>
          <w:sz w:val="24"/>
        </w:rPr>
      </w:pPr>
      <w:r w:rsidRPr="00A3389E">
        <w:rPr>
          <w:rFonts w:ascii="Times New Roman" w:hAnsi="Times New Roman" w:cs="Times New Roman"/>
          <w:b/>
          <w:sz w:val="24"/>
        </w:rPr>
        <w:t xml:space="preserve">Tabuľka EU SECA – Požiadavky na zverejňovanie kvalitatívnych informácií týkajúcich sa sekuritizačných expozícií. </w:t>
      </w:r>
      <w:r w:rsidRPr="00A3389E">
        <w:rPr>
          <w:rFonts w:ascii="Times New Roman" w:hAnsi="Times New Roman" w:cs="Times New Roman"/>
          <w:sz w:val="24"/>
        </w:rPr>
        <w:t>Textové polia</w:t>
      </w:r>
      <w:r w:rsidR="00A3389E">
        <w:rPr>
          <w:rFonts w:ascii="Times New Roman" w:hAnsi="Times New Roman" w:cs="Times New Roman"/>
          <w:sz w:val="24"/>
        </w:rPr>
        <w:t xml:space="preserve"> s </w:t>
      </w:r>
      <w:r w:rsidRPr="00A3389E">
        <w:rPr>
          <w:rFonts w:ascii="Times New Roman" w:hAnsi="Times New Roman" w:cs="Times New Roman"/>
          <w:sz w:val="24"/>
        </w:rPr>
        <w:t>ľubovoľným formátom na zverejňovanie kvalitatívnych informácií.</w:t>
      </w:r>
    </w:p>
    <w:p w14:paraId="1C8AFCD2" w14:textId="1FD5E391" w:rsidR="00FD656A" w:rsidRPr="00A3389E" w:rsidRDefault="00A3389E" w:rsidP="00A3389E">
      <w:pPr>
        <w:spacing w:before="120" w:after="120"/>
        <w:ind w:left="432" w:hanging="360"/>
        <w:jc w:val="both"/>
        <w:rPr>
          <w:rFonts w:ascii="Times New Roman" w:hAnsi="Times New Roman"/>
          <w:bCs/>
          <w:sz w:val="24"/>
        </w:rPr>
      </w:pPr>
      <w:r w:rsidRPr="00A3389E">
        <w:rPr>
          <w:rFonts w:ascii="Times New Roman" w:eastAsia="Calibri" w:hAnsi="Times New Roman" w:cs="Times New Roman"/>
          <w:bCs/>
          <w:sz w:val="24"/>
          <w:szCs w:val="22"/>
        </w:rPr>
        <w:t>1.</w:t>
      </w:r>
      <w:r w:rsidRPr="00A3389E">
        <w:rPr>
          <w:rFonts w:ascii="Times New Roman" w:eastAsia="Calibri" w:hAnsi="Times New Roman" w:cs="Times New Roman"/>
          <w:bCs/>
          <w:sz w:val="24"/>
          <w:szCs w:val="22"/>
        </w:rPr>
        <w:tab/>
      </w:r>
      <w:r w:rsidR="00FD656A" w:rsidRPr="00A3389E">
        <w:rPr>
          <w:rFonts w:ascii="Times New Roman" w:hAnsi="Times New Roman"/>
          <w:bCs/>
          <w:sz w:val="24"/>
        </w:rPr>
        <w:t>Inštitúcie zverejňujú informácie uvedené</w:t>
      </w:r>
      <w:r>
        <w:rPr>
          <w:rFonts w:ascii="Times New Roman" w:hAnsi="Times New Roman"/>
          <w:bCs/>
          <w:sz w:val="24"/>
        </w:rPr>
        <w:t xml:space="preserve"> v </w:t>
      </w:r>
      <w:r w:rsidR="00FD656A" w:rsidRPr="00A3389E">
        <w:rPr>
          <w:rFonts w:ascii="Times New Roman" w:hAnsi="Times New Roman"/>
          <w:bCs/>
          <w:sz w:val="24"/>
        </w:rPr>
        <w:t xml:space="preserve">článku 449 písm. a) až i) nariadenia (EÚ) </w:t>
      </w:r>
      <w:r>
        <w:rPr>
          <w:rFonts w:ascii="Times New Roman" w:hAnsi="Times New Roman"/>
          <w:bCs/>
          <w:sz w:val="24"/>
        </w:rPr>
        <w:t>č. </w:t>
      </w:r>
      <w:r w:rsidR="00FD656A" w:rsidRPr="00A3389E">
        <w:rPr>
          <w:rFonts w:ascii="Times New Roman" w:hAnsi="Times New Roman"/>
          <w:bCs/>
          <w:sz w:val="24"/>
        </w:rPr>
        <w:t>575/2013</w:t>
      </w:r>
      <w:r w:rsidR="00FD656A" w:rsidRPr="00A3389E">
        <w:rPr>
          <w:rStyle w:val="FootnoteReference"/>
          <w:rFonts w:ascii="Times New Roman" w:hAnsi="Times New Roman" w:cs="Times New Roman"/>
          <w:bCs/>
        </w:rPr>
        <w:footnoteReference w:id="42"/>
      </w:r>
      <w:r w:rsidR="00FD656A" w:rsidRPr="00A3389E">
        <w:rPr>
          <w:rFonts w:ascii="Times New Roman" w:hAnsi="Times New Roman"/>
          <w:bCs/>
          <w:sz w:val="24"/>
        </w:rPr>
        <w:t xml:space="preserve"> („CRR“) podľa pokynov uvedených nižšie</w:t>
      </w:r>
      <w:r>
        <w:rPr>
          <w:rFonts w:ascii="Times New Roman" w:hAnsi="Times New Roman"/>
          <w:bCs/>
          <w:sz w:val="24"/>
        </w:rPr>
        <w:t xml:space="preserve"> v </w:t>
      </w:r>
      <w:r w:rsidR="00FD656A" w:rsidRPr="00A3389E">
        <w:rPr>
          <w:rFonts w:ascii="Times New Roman" w:hAnsi="Times New Roman"/>
          <w:bCs/>
          <w:sz w:val="24"/>
        </w:rPr>
        <w:t>tejto prílohe</w:t>
      </w:r>
      <w:r>
        <w:rPr>
          <w:rFonts w:ascii="Times New Roman" w:hAnsi="Times New Roman"/>
          <w:bCs/>
          <w:sz w:val="24"/>
        </w:rPr>
        <w:t xml:space="preserve"> s </w:t>
      </w:r>
      <w:r w:rsidR="00FD656A" w:rsidRPr="00A3389E">
        <w:rPr>
          <w:rFonts w:ascii="Times New Roman" w:hAnsi="Times New Roman"/>
          <w:bCs/>
          <w:sz w:val="24"/>
        </w:rPr>
        <w:t>cieľom vyplniť tabuľku EU SECA, ktorá je uvedená</w:t>
      </w:r>
      <w:r>
        <w:rPr>
          <w:rFonts w:ascii="Times New Roman" w:hAnsi="Times New Roman"/>
          <w:bCs/>
          <w:sz w:val="24"/>
        </w:rPr>
        <w:t xml:space="preserve"> v </w:t>
      </w:r>
      <w:r w:rsidR="00FD656A" w:rsidRPr="00A3389E">
        <w:rPr>
          <w:rFonts w:ascii="Times New Roman" w:hAnsi="Times New Roman"/>
          <w:bCs/>
          <w:sz w:val="24"/>
        </w:rPr>
        <w:t>prílohe XXVII</w:t>
      </w:r>
      <w:r>
        <w:rPr>
          <w:rFonts w:ascii="Times New Roman" w:hAnsi="Times New Roman"/>
          <w:bCs/>
          <w:sz w:val="24"/>
        </w:rPr>
        <w:t xml:space="preserve"> k </w:t>
      </w:r>
      <w:r w:rsidR="00FD656A" w:rsidRPr="00A3389E">
        <w:rPr>
          <w:rFonts w:ascii="Times New Roman" w:hAnsi="Times New Roman"/>
          <w:bCs/>
          <w:sz w:val="24"/>
        </w:rPr>
        <w:t>tomuto vykonávaciemu nariadeniu.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A3389E"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9453625" w:rsidR="00FD656A" w:rsidRPr="00A3389E" w:rsidRDefault="00FD656A"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FD656A" w:rsidRPr="00A3389E" w14:paraId="2CF0E96B" w14:textId="77777777" w:rsidTr="00155C96">
        <w:trPr>
          <w:trHeight w:val="238"/>
        </w:trPr>
        <w:tc>
          <w:tcPr>
            <w:tcW w:w="1413" w:type="dxa"/>
            <w:shd w:val="clear" w:color="auto" w:fill="D9D9D9" w:themeFill="background1" w:themeFillShade="D9"/>
          </w:tcPr>
          <w:p w14:paraId="260EE226" w14:textId="77777777" w:rsidR="00FD656A" w:rsidRPr="00A3389E" w:rsidRDefault="00FD656A"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Odkaz na riadok</w:t>
            </w:r>
          </w:p>
        </w:tc>
        <w:tc>
          <w:tcPr>
            <w:tcW w:w="7654" w:type="dxa"/>
            <w:shd w:val="clear" w:color="auto" w:fill="D9D9D9" w:themeFill="background1" w:themeFillShade="D9"/>
          </w:tcPr>
          <w:p w14:paraId="24069E3A" w14:textId="77777777" w:rsidR="00FD656A" w:rsidRPr="00A3389E" w:rsidRDefault="00FD656A"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FD656A" w:rsidRPr="00A3389E" w14:paraId="2553A3E0" w14:textId="77777777" w:rsidTr="00155C96">
        <w:trPr>
          <w:trHeight w:val="316"/>
        </w:trPr>
        <w:tc>
          <w:tcPr>
            <w:tcW w:w="1413" w:type="dxa"/>
          </w:tcPr>
          <w:p w14:paraId="31377940" w14:textId="1605A211" w:rsidR="00FD656A" w:rsidRPr="00A3389E"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a)</w:t>
            </w:r>
          </w:p>
        </w:tc>
        <w:tc>
          <w:tcPr>
            <w:tcW w:w="7654" w:type="dxa"/>
          </w:tcPr>
          <w:p w14:paraId="38335BC0" w14:textId="6F950B95" w:rsidR="00FD656A" w:rsidRPr="00A3389E" w:rsidRDefault="00FD656A" w:rsidP="00850101">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Opis sekuritizačných</w:t>
            </w:r>
            <w:r w:rsidR="00A3389E">
              <w:rPr>
                <w:rFonts w:ascii="Times New Roman" w:hAnsi="Times New Roman" w:cs="Times New Roman"/>
                <w:sz w:val="24"/>
              </w:rPr>
              <w:t xml:space="preserve"> a </w:t>
            </w:r>
            <w:r w:rsidRPr="00A3389E">
              <w:rPr>
                <w:rFonts w:ascii="Times New Roman" w:hAnsi="Times New Roman" w:cs="Times New Roman"/>
                <w:sz w:val="24"/>
              </w:rPr>
              <w:t>resekuritizačných činností; vrátane cieľov riadenia rizík</w:t>
            </w:r>
            <w:r w:rsidR="00A3389E">
              <w:rPr>
                <w:rFonts w:ascii="Times New Roman" w:hAnsi="Times New Roman" w:cs="Times New Roman"/>
                <w:sz w:val="24"/>
              </w:rPr>
              <w:t xml:space="preserve"> a </w:t>
            </w:r>
            <w:r w:rsidRPr="00A3389E">
              <w:rPr>
                <w:rFonts w:ascii="Times New Roman" w:hAnsi="Times New Roman" w:cs="Times New Roman"/>
                <w:sz w:val="24"/>
              </w:rPr>
              <w:t>investičných cieľov</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uvedenými činnosťami, ich úlohy</w:t>
            </w:r>
            <w:r w:rsidR="00A3389E">
              <w:rPr>
                <w:rFonts w:ascii="Times New Roman" w:hAnsi="Times New Roman" w:cs="Times New Roman"/>
                <w:sz w:val="24"/>
              </w:rPr>
              <w:t xml:space="preserve"> v </w:t>
            </w:r>
            <w:r w:rsidRPr="00A3389E">
              <w:rPr>
                <w:rFonts w:ascii="Times New Roman" w:hAnsi="Times New Roman" w:cs="Times New Roman"/>
                <w:sz w:val="24"/>
              </w:rPr>
              <w:t>sekuritizačných</w:t>
            </w:r>
            <w:r w:rsidR="00A3389E">
              <w:rPr>
                <w:rFonts w:ascii="Times New Roman" w:hAnsi="Times New Roman" w:cs="Times New Roman"/>
                <w:sz w:val="24"/>
              </w:rPr>
              <w:t xml:space="preserve"> a </w:t>
            </w:r>
            <w:r w:rsidRPr="00A3389E">
              <w:rPr>
                <w:rFonts w:ascii="Times New Roman" w:hAnsi="Times New Roman" w:cs="Times New Roman"/>
                <w:sz w:val="24"/>
              </w:rPr>
              <w:t>resekuritizačných transakciách, informácie</w:t>
            </w:r>
            <w:r w:rsidR="00A3389E">
              <w:rPr>
                <w:rFonts w:ascii="Times New Roman" w:hAnsi="Times New Roman" w:cs="Times New Roman"/>
                <w:sz w:val="24"/>
              </w:rPr>
              <w:t xml:space="preserve"> o </w:t>
            </w:r>
            <w:r w:rsidRPr="00A3389E">
              <w:rPr>
                <w:rFonts w:ascii="Times New Roman" w:hAnsi="Times New Roman" w:cs="Times New Roman"/>
                <w:sz w:val="24"/>
              </w:rPr>
              <w:t>tom, či používajú rámec jednoduchej, transparentnej</w:t>
            </w:r>
            <w:r w:rsidR="00A3389E">
              <w:rPr>
                <w:rFonts w:ascii="Times New Roman" w:hAnsi="Times New Roman" w:cs="Times New Roman"/>
                <w:sz w:val="24"/>
              </w:rPr>
              <w:t xml:space="preserve"> a </w:t>
            </w:r>
            <w:r w:rsidRPr="00A3389E">
              <w:rPr>
                <w:rFonts w:ascii="Times New Roman" w:hAnsi="Times New Roman" w:cs="Times New Roman"/>
                <w:sz w:val="24"/>
              </w:rPr>
              <w:t>štandardizovanej sekuritizácie (STS),</w:t>
            </w:r>
            <w:r w:rsidR="00A3389E">
              <w:rPr>
                <w:rFonts w:ascii="Times New Roman" w:hAnsi="Times New Roman" w:cs="Times New Roman"/>
                <w:sz w:val="24"/>
              </w:rPr>
              <w:t xml:space="preserve"> a o </w:t>
            </w:r>
            <w:r w:rsidRPr="00A3389E">
              <w:rPr>
                <w:rFonts w:ascii="Times New Roman" w:hAnsi="Times New Roman" w:cs="Times New Roman"/>
                <w:sz w:val="24"/>
              </w:rPr>
              <w:t>tom,</w:t>
            </w:r>
            <w:r w:rsidR="00A3389E">
              <w:rPr>
                <w:rFonts w:ascii="Times New Roman" w:hAnsi="Times New Roman" w:cs="Times New Roman"/>
                <w:sz w:val="24"/>
              </w:rPr>
              <w:t xml:space="preserve"> v </w:t>
            </w:r>
            <w:r w:rsidRPr="00A3389E">
              <w:rPr>
                <w:rFonts w:ascii="Times New Roman" w:hAnsi="Times New Roman" w:cs="Times New Roman"/>
                <w:sz w:val="24"/>
              </w:rPr>
              <w:t>akom rozsahu používajú sekuritizačné transakcie na prenos kreditného rizika sekuritizovaných expozícií voči tretím stranám,</w:t>
            </w:r>
            <w:r w:rsidR="00A3389E">
              <w:rPr>
                <w:rFonts w:ascii="Times New Roman" w:hAnsi="Times New Roman" w:cs="Times New Roman"/>
                <w:sz w:val="24"/>
              </w:rPr>
              <w:t xml:space="preserve"> v </w:t>
            </w:r>
            <w:r w:rsidRPr="00A3389E">
              <w:rPr>
                <w:rFonts w:ascii="Times New Roman" w:hAnsi="Times New Roman" w:cs="Times New Roman"/>
                <w:sz w:val="24"/>
              </w:rPr>
              <w:t>uplatniteľných prípadoch aj so samostatným opisom ich politiky presunu rizika pri syntetickej sekuritizácii</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449 písm. a) CRR.</w:t>
            </w:r>
          </w:p>
        </w:tc>
      </w:tr>
      <w:tr w:rsidR="00FD656A" w:rsidRPr="00A3389E" w14:paraId="16B56EE8" w14:textId="77777777" w:rsidTr="00155C96">
        <w:trPr>
          <w:trHeight w:val="316"/>
        </w:trPr>
        <w:tc>
          <w:tcPr>
            <w:tcW w:w="1413" w:type="dxa"/>
          </w:tcPr>
          <w:p w14:paraId="14C29B06" w14:textId="183C86F9" w:rsidR="00FD656A" w:rsidRPr="00A3389E"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b)</w:t>
            </w:r>
          </w:p>
        </w:tc>
        <w:tc>
          <w:tcPr>
            <w:tcW w:w="7654" w:type="dxa"/>
          </w:tcPr>
          <w:p w14:paraId="08C1F612" w14:textId="6161EEF6" w:rsidR="00FD656A" w:rsidRPr="00C76D85" w:rsidRDefault="00FD656A" w:rsidP="00155C96">
            <w:pPr>
              <w:autoSpaceDE w:val="0"/>
              <w:autoSpaceDN w:val="0"/>
              <w:adjustRightInd w:val="0"/>
              <w:spacing w:before="120" w:after="120"/>
              <w:jc w:val="both"/>
              <w:rPr>
                <w:rFonts w:ascii="Times New Roman" w:eastAsia="Times New Roman" w:hAnsi="Times New Roman" w:cs="Times New Roman"/>
                <w:spacing w:val="-4"/>
                <w:sz w:val="24"/>
              </w:rPr>
            </w:pPr>
            <w:r w:rsidRPr="00C76D85">
              <w:rPr>
                <w:rFonts w:ascii="Times New Roman" w:hAnsi="Times New Roman" w:cs="Times New Roman"/>
                <w:spacing w:val="-4"/>
                <w:sz w:val="24"/>
              </w:rPr>
              <w:t>Druh rizika, ktorému sú inštitúcie vystavené vo svojich sekuritizačných</w:t>
            </w:r>
            <w:r w:rsidR="00A3389E" w:rsidRPr="00C76D85">
              <w:rPr>
                <w:rFonts w:ascii="Times New Roman" w:hAnsi="Times New Roman" w:cs="Times New Roman"/>
                <w:spacing w:val="-4"/>
                <w:sz w:val="24"/>
              </w:rPr>
              <w:t xml:space="preserve"> a </w:t>
            </w:r>
            <w:r w:rsidRPr="00C76D85">
              <w:rPr>
                <w:rFonts w:ascii="Times New Roman" w:hAnsi="Times New Roman" w:cs="Times New Roman"/>
                <w:spacing w:val="-4"/>
                <w:sz w:val="24"/>
              </w:rPr>
              <w:t>resekuritizačných činnostiach, podľa úrovne nadriadenosti príslušných sekuritizačných pozícií,</w:t>
            </w:r>
            <w:r w:rsidR="00A3389E" w:rsidRPr="00C76D85">
              <w:rPr>
                <w:rFonts w:ascii="Times New Roman" w:hAnsi="Times New Roman" w:cs="Times New Roman"/>
                <w:spacing w:val="-4"/>
                <w:sz w:val="24"/>
              </w:rPr>
              <w:t xml:space="preserve"> s </w:t>
            </w:r>
            <w:r w:rsidRPr="00C76D85">
              <w:rPr>
                <w:rFonts w:ascii="Times New Roman" w:hAnsi="Times New Roman" w:cs="Times New Roman"/>
                <w:spacing w:val="-4"/>
                <w:sz w:val="24"/>
              </w:rPr>
              <w:t>rozlíšením medzi pozíciami</w:t>
            </w:r>
            <w:r w:rsidR="00A3389E" w:rsidRPr="00C76D85">
              <w:rPr>
                <w:rFonts w:ascii="Times New Roman" w:hAnsi="Times New Roman" w:cs="Times New Roman"/>
                <w:spacing w:val="-4"/>
                <w:sz w:val="24"/>
              </w:rPr>
              <w:t xml:space="preserve"> v </w:t>
            </w:r>
            <w:r w:rsidRPr="00C76D85">
              <w:rPr>
                <w:rFonts w:ascii="Times New Roman" w:hAnsi="Times New Roman" w:cs="Times New Roman"/>
                <w:spacing w:val="-4"/>
                <w:sz w:val="24"/>
              </w:rPr>
              <w:t>rámci STS</w:t>
            </w:r>
            <w:r w:rsidR="00A3389E" w:rsidRPr="00C76D85">
              <w:rPr>
                <w:rFonts w:ascii="Times New Roman" w:hAnsi="Times New Roman" w:cs="Times New Roman"/>
                <w:spacing w:val="-4"/>
                <w:sz w:val="24"/>
              </w:rPr>
              <w:t xml:space="preserve"> a </w:t>
            </w:r>
            <w:r w:rsidRPr="00C76D85">
              <w:rPr>
                <w:rFonts w:ascii="Times New Roman" w:hAnsi="Times New Roman" w:cs="Times New Roman"/>
                <w:spacing w:val="-4"/>
                <w:sz w:val="24"/>
              </w:rPr>
              <w:t>pozíciami mimo STS a:</w:t>
            </w:r>
          </w:p>
          <w:p w14:paraId="1409CF8F" w14:textId="1B6A7D8B"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i) rizikom ponechaným</w:t>
            </w:r>
            <w:r w:rsidR="00A3389E">
              <w:rPr>
                <w:rFonts w:ascii="Times New Roman" w:hAnsi="Times New Roman" w:cs="Times New Roman"/>
                <w:sz w:val="24"/>
              </w:rPr>
              <w:t xml:space="preserve"> v </w:t>
            </w:r>
            <w:r w:rsidRPr="00A3389E">
              <w:rPr>
                <w:rFonts w:ascii="Times New Roman" w:hAnsi="Times New Roman" w:cs="Times New Roman"/>
                <w:sz w:val="24"/>
              </w:rPr>
              <w:t>transakciách, ktorých sú pôvodcami;</w:t>
            </w:r>
          </w:p>
          <w:p w14:paraId="576C4B35" w14:textId="5C65A30E"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ii) rizikom vzniknutým</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transakciami, ktorých pôvodcami sú tretie strany,</w:t>
            </w:r>
          </w:p>
          <w:p w14:paraId="708E1B2D" w14:textId="22A03DC8"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v súlade</w:t>
            </w:r>
            <w:r w:rsidR="00A3389E">
              <w:rPr>
                <w:rFonts w:ascii="Times New Roman" w:hAnsi="Times New Roman" w:cs="Times New Roman"/>
                <w:sz w:val="24"/>
              </w:rPr>
              <w:t xml:space="preserve"> s </w:t>
            </w:r>
            <w:r w:rsidRPr="00A3389E">
              <w:rPr>
                <w:rFonts w:ascii="Times New Roman" w:hAnsi="Times New Roman" w:cs="Times New Roman"/>
                <w:sz w:val="24"/>
              </w:rPr>
              <w:t>článkom 449 písm. b) CRR.</w:t>
            </w:r>
          </w:p>
        </w:tc>
      </w:tr>
      <w:tr w:rsidR="00FD656A" w:rsidRPr="00A3389E" w14:paraId="7D26D833" w14:textId="77777777" w:rsidTr="00155C96">
        <w:trPr>
          <w:trHeight w:val="316"/>
        </w:trPr>
        <w:tc>
          <w:tcPr>
            <w:tcW w:w="1413" w:type="dxa"/>
          </w:tcPr>
          <w:p w14:paraId="496C80F0" w14:textId="692EB3EE" w:rsidR="00FD656A" w:rsidRPr="00A3389E"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c)</w:t>
            </w:r>
          </w:p>
        </w:tc>
        <w:tc>
          <w:tcPr>
            <w:tcW w:w="7654" w:type="dxa"/>
          </w:tcPr>
          <w:p w14:paraId="629B5C0A" w14:textId="337D69B1" w:rsidR="00FD656A" w:rsidRPr="00C76D85" w:rsidRDefault="00FD656A" w:rsidP="00155C96">
            <w:pPr>
              <w:autoSpaceDE w:val="0"/>
              <w:autoSpaceDN w:val="0"/>
              <w:adjustRightInd w:val="0"/>
              <w:spacing w:before="120" w:after="120"/>
              <w:jc w:val="both"/>
              <w:rPr>
                <w:rFonts w:ascii="Times New Roman" w:eastAsia="Times New Roman" w:hAnsi="Times New Roman" w:cs="Times New Roman"/>
                <w:iCs/>
                <w:spacing w:val="-4"/>
                <w:sz w:val="24"/>
              </w:rPr>
            </w:pPr>
            <w:r w:rsidRPr="00C76D85">
              <w:rPr>
                <w:rFonts w:ascii="Times New Roman" w:hAnsi="Times New Roman" w:cs="Times New Roman"/>
                <w:iCs/>
                <w:spacing w:val="-4"/>
                <w:sz w:val="24"/>
              </w:rPr>
              <w:t>Prístupy inštitúcií</w:t>
            </w:r>
            <w:r w:rsidR="00A3389E" w:rsidRPr="00C76D85">
              <w:rPr>
                <w:rFonts w:ascii="Times New Roman" w:hAnsi="Times New Roman" w:cs="Times New Roman"/>
                <w:iCs/>
                <w:spacing w:val="-4"/>
                <w:sz w:val="24"/>
              </w:rPr>
              <w:t xml:space="preserve"> k </w:t>
            </w:r>
            <w:r w:rsidRPr="00C76D85">
              <w:rPr>
                <w:rFonts w:ascii="Times New Roman" w:hAnsi="Times New Roman" w:cs="Times New Roman"/>
                <w:iCs/>
                <w:spacing w:val="-4"/>
                <w:sz w:val="24"/>
              </w:rPr>
              <w:t>výpočtu hodnôt rizikovo vážených expozícií, ktoré používajú na svoje sekuritizačné činnosti, vrátane druhov sekuritizačných pozícií, na ktoré sa jednotlivé prístupy uplatňujú,</w:t>
            </w:r>
            <w:r w:rsidR="00A3389E" w:rsidRPr="00C76D85">
              <w:rPr>
                <w:rFonts w:ascii="Times New Roman" w:hAnsi="Times New Roman" w:cs="Times New Roman"/>
                <w:iCs/>
                <w:spacing w:val="-4"/>
                <w:sz w:val="24"/>
              </w:rPr>
              <w:t xml:space="preserve"> s </w:t>
            </w:r>
            <w:r w:rsidRPr="00C76D85">
              <w:rPr>
                <w:rFonts w:ascii="Times New Roman" w:hAnsi="Times New Roman" w:cs="Times New Roman"/>
                <w:iCs/>
                <w:spacing w:val="-4"/>
                <w:sz w:val="24"/>
              </w:rPr>
              <w:t>rozlíšením medzi pozíciami</w:t>
            </w:r>
            <w:r w:rsidR="00A3389E" w:rsidRPr="00C76D85">
              <w:rPr>
                <w:rFonts w:ascii="Times New Roman" w:hAnsi="Times New Roman" w:cs="Times New Roman"/>
                <w:iCs/>
                <w:spacing w:val="-4"/>
                <w:sz w:val="24"/>
              </w:rPr>
              <w:t xml:space="preserve"> v </w:t>
            </w:r>
            <w:r w:rsidRPr="00C76D85">
              <w:rPr>
                <w:rFonts w:ascii="Times New Roman" w:hAnsi="Times New Roman" w:cs="Times New Roman"/>
                <w:iCs/>
                <w:spacing w:val="-4"/>
                <w:sz w:val="24"/>
              </w:rPr>
              <w:t>rámci STS</w:t>
            </w:r>
            <w:r w:rsidR="00A3389E" w:rsidRPr="00C76D85">
              <w:rPr>
                <w:rFonts w:ascii="Times New Roman" w:hAnsi="Times New Roman" w:cs="Times New Roman"/>
                <w:iCs/>
                <w:spacing w:val="-4"/>
                <w:sz w:val="24"/>
              </w:rPr>
              <w:t xml:space="preserve"> a </w:t>
            </w:r>
            <w:r w:rsidRPr="00C76D85">
              <w:rPr>
                <w:rFonts w:ascii="Times New Roman" w:hAnsi="Times New Roman" w:cs="Times New Roman"/>
                <w:iCs/>
                <w:spacing w:val="-4"/>
                <w:sz w:val="24"/>
              </w:rPr>
              <w:t>pozíciami mimo STS,</w:t>
            </w:r>
            <w:r w:rsidR="00A3389E" w:rsidRPr="00C76D85">
              <w:rPr>
                <w:rFonts w:ascii="Times New Roman" w:hAnsi="Times New Roman" w:cs="Times New Roman"/>
                <w:iCs/>
                <w:spacing w:val="-4"/>
                <w:sz w:val="24"/>
              </w:rPr>
              <w:t xml:space="preserve"> v </w:t>
            </w:r>
            <w:r w:rsidRPr="00C76D85">
              <w:rPr>
                <w:rFonts w:ascii="Times New Roman" w:hAnsi="Times New Roman" w:cs="Times New Roman"/>
                <w:iCs/>
                <w:spacing w:val="-4"/>
                <w:sz w:val="24"/>
              </w:rPr>
              <w:t>súlade</w:t>
            </w:r>
            <w:r w:rsidR="00A3389E" w:rsidRPr="00C76D85">
              <w:rPr>
                <w:rFonts w:ascii="Times New Roman" w:hAnsi="Times New Roman" w:cs="Times New Roman"/>
                <w:iCs/>
                <w:spacing w:val="-4"/>
                <w:sz w:val="24"/>
              </w:rPr>
              <w:t xml:space="preserve"> s </w:t>
            </w:r>
            <w:r w:rsidRPr="00C76D85">
              <w:rPr>
                <w:rFonts w:ascii="Times New Roman" w:hAnsi="Times New Roman" w:cs="Times New Roman"/>
                <w:iCs/>
                <w:spacing w:val="-4"/>
                <w:sz w:val="24"/>
              </w:rPr>
              <w:t>článkom 449 písm. c) CRR.</w:t>
            </w:r>
          </w:p>
        </w:tc>
      </w:tr>
      <w:tr w:rsidR="00FD656A" w:rsidRPr="00A3389E" w14:paraId="72D476FA" w14:textId="77777777" w:rsidTr="00155C96">
        <w:trPr>
          <w:trHeight w:val="316"/>
        </w:trPr>
        <w:tc>
          <w:tcPr>
            <w:tcW w:w="1413" w:type="dxa"/>
          </w:tcPr>
          <w:p w14:paraId="5641244C" w14:textId="5EFA72AF" w:rsidR="00FD656A" w:rsidRPr="00A3389E"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d)</w:t>
            </w:r>
          </w:p>
        </w:tc>
        <w:tc>
          <w:tcPr>
            <w:tcW w:w="7654" w:type="dxa"/>
          </w:tcPr>
          <w:p w14:paraId="1C1A568C" w14:textId="279B31D8"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Zoznam účelových subjektov zaoberajúcich sa sekuritizáciou (SSPE), ktoré patria do niektorej</w:t>
            </w:r>
            <w:r w:rsidR="00A3389E">
              <w:rPr>
                <w:rFonts w:ascii="Times New Roman" w:hAnsi="Times New Roman" w:cs="Times New Roman"/>
                <w:iCs/>
                <w:sz w:val="24"/>
              </w:rPr>
              <w:t xml:space="preserve"> z </w:t>
            </w:r>
            <w:r w:rsidRPr="00A3389E">
              <w:rPr>
                <w:rFonts w:ascii="Times New Roman" w:hAnsi="Times New Roman" w:cs="Times New Roman"/>
                <w:iCs/>
                <w:sz w:val="24"/>
              </w:rPr>
              <w:t>nasledujúcich kategórií,</w:t>
            </w:r>
            <w:r w:rsidR="00A3389E">
              <w:rPr>
                <w:rFonts w:ascii="Times New Roman" w:hAnsi="Times New Roman" w:cs="Times New Roman"/>
                <w:iCs/>
                <w:sz w:val="24"/>
              </w:rPr>
              <w:t xml:space="preserve"> s </w:t>
            </w:r>
            <w:r w:rsidRPr="00A3389E">
              <w:rPr>
                <w:rFonts w:ascii="Times New Roman" w:hAnsi="Times New Roman" w:cs="Times New Roman"/>
                <w:iCs/>
                <w:sz w:val="24"/>
              </w:rPr>
              <w:t>opisom druhov expozícií inštitúcie voči týmto SSPE vrátane zmlúv</w:t>
            </w:r>
            <w:r w:rsidR="00A3389E">
              <w:rPr>
                <w:rFonts w:ascii="Times New Roman" w:hAnsi="Times New Roman" w:cs="Times New Roman"/>
                <w:iCs/>
                <w:sz w:val="24"/>
              </w:rPr>
              <w:t xml:space="preserve"> o </w:t>
            </w:r>
            <w:r w:rsidRPr="00A3389E">
              <w:rPr>
                <w:rFonts w:ascii="Times New Roman" w:hAnsi="Times New Roman" w:cs="Times New Roman"/>
                <w:iCs/>
                <w:sz w:val="24"/>
              </w:rPr>
              <w:t>derivátoch:</w:t>
            </w:r>
          </w:p>
          <w:p w14:paraId="3976F1A8" w14:textId="10E0A8D8"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i) SSPE, ktoré nadobúdajú expozície majúce pôvod</w:t>
            </w:r>
            <w:r w:rsidR="00A3389E">
              <w:rPr>
                <w:rFonts w:ascii="Times New Roman" w:hAnsi="Times New Roman" w:cs="Times New Roman"/>
                <w:iCs/>
                <w:sz w:val="24"/>
              </w:rPr>
              <w:t xml:space="preserve"> v </w:t>
            </w:r>
            <w:r w:rsidRPr="00A3389E">
              <w:rPr>
                <w:rFonts w:ascii="Times New Roman" w:hAnsi="Times New Roman" w:cs="Times New Roman"/>
                <w:iCs/>
                <w:sz w:val="24"/>
              </w:rPr>
              <w:t>inštitúciách;</w:t>
            </w:r>
          </w:p>
          <w:p w14:paraId="45ED39ED" w14:textId="77777777" w:rsidR="00A3389E" w:rsidRPr="00A3389E" w:rsidRDefault="00FD656A" w:rsidP="00155C96">
            <w:pPr>
              <w:autoSpaceDE w:val="0"/>
              <w:autoSpaceDN w:val="0"/>
              <w:adjustRightInd w:val="0"/>
              <w:spacing w:before="120" w:after="120"/>
              <w:jc w:val="both"/>
              <w:rPr>
                <w:rFonts w:ascii="Times New Roman" w:hAnsi="Times New Roman" w:cs="Times New Roman"/>
                <w:iCs/>
                <w:sz w:val="24"/>
              </w:rPr>
            </w:pPr>
            <w:r w:rsidRPr="00A3389E">
              <w:rPr>
                <w:rFonts w:ascii="Times New Roman" w:hAnsi="Times New Roman" w:cs="Times New Roman"/>
                <w:iCs/>
                <w:sz w:val="24"/>
              </w:rPr>
              <w:lastRenderedPageBreak/>
              <w:t>ii) SSPE sponzorované inštitúciami</w:t>
            </w:r>
            <w:r w:rsidR="00A3389E" w:rsidRPr="00A3389E">
              <w:rPr>
                <w:rFonts w:ascii="Times New Roman" w:hAnsi="Times New Roman" w:cs="Times New Roman"/>
                <w:iCs/>
                <w:sz w:val="24"/>
              </w:rPr>
              <w:t>;</w:t>
            </w:r>
          </w:p>
          <w:p w14:paraId="3CB61E0A" w14:textId="2AB3B23A" w:rsidR="00A3389E" w:rsidRPr="00C76D85" w:rsidRDefault="00FD656A" w:rsidP="00155C96">
            <w:pPr>
              <w:autoSpaceDE w:val="0"/>
              <w:autoSpaceDN w:val="0"/>
              <w:adjustRightInd w:val="0"/>
              <w:spacing w:before="120" w:after="120"/>
              <w:jc w:val="both"/>
              <w:rPr>
                <w:rFonts w:ascii="Times New Roman" w:hAnsi="Times New Roman" w:cs="Times New Roman"/>
                <w:iCs/>
                <w:spacing w:val="-6"/>
                <w:sz w:val="24"/>
              </w:rPr>
            </w:pPr>
            <w:r w:rsidRPr="00C76D85">
              <w:rPr>
                <w:rFonts w:ascii="Times New Roman" w:hAnsi="Times New Roman" w:cs="Times New Roman"/>
                <w:iCs/>
                <w:spacing w:val="-6"/>
                <w:sz w:val="24"/>
              </w:rPr>
              <w:t>iii) SSPE</w:t>
            </w:r>
            <w:r w:rsidR="00A3389E" w:rsidRPr="00C76D85">
              <w:rPr>
                <w:rFonts w:ascii="Times New Roman" w:hAnsi="Times New Roman" w:cs="Times New Roman"/>
                <w:iCs/>
                <w:spacing w:val="-6"/>
                <w:sz w:val="24"/>
              </w:rPr>
              <w:t xml:space="preserve"> a </w:t>
            </w:r>
            <w:r w:rsidRPr="00C76D85">
              <w:rPr>
                <w:rFonts w:ascii="Times New Roman" w:hAnsi="Times New Roman" w:cs="Times New Roman"/>
                <w:iCs/>
                <w:spacing w:val="-6"/>
                <w:sz w:val="24"/>
              </w:rPr>
              <w:t>iné právne subjekty, pre ktoré inštitúcie poskytujú služby súvisiace so sekuritizáciou, ako je napríklad poradenstvo, obsluha aktív alebo služby správy</w:t>
            </w:r>
            <w:r w:rsidR="00A3389E" w:rsidRPr="00C76D85">
              <w:rPr>
                <w:rFonts w:ascii="Times New Roman" w:hAnsi="Times New Roman" w:cs="Times New Roman"/>
                <w:iCs/>
                <w:spacing w:val="-6"/>
                <w:sz w:val="24"/>
              </w:rPr>
              <w:t>;</w:t>
            </w:r>
          </w:p>
          <w:p w14:paraId="1B2F47AE" w14:textId="38D41F00"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iv) SSPE zahrnuté do prudenciálneho rozsahu konsolidácie inštitúcií,</w:t>
            </w:r>
          </w:p>
          <w:p w14:paraId="7FDD961B" w14:textId="2187934F" w:rsidR="00FD656A" w:rsidRPr="00A3389E" w:rsidRDefault="00A3389E"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cs="Times New Roman"/>
                <w:sz w:val="24"/>
              </w:rPr>
              <w:t xml:space="preserve"> v </w:t>
            </w:r>
            <w:r w:rsidR="00FD656A" w:rsidRPr="00A3389E">
              <w:rPr>
                <w:rFonts w:ascii="Times New Roman" w:hAnsi="Times New Roman" w:cs="Times New Roman"/>
                <w:sz w:val="24"/>
              </w:rPr>
              <w:t>súlade</w:t>
            </w:r>
            <w:r>
              <w:rPr>
                <w:rFonts w:ascii="Times New Roman" w:hAnsi="Times New Roman" w:cs="Times New Roman"/>
                <w:sz w:val="24"/>
              </w:rPr>
              <w:t xml:space="preserve"> s </w:t>
            </w:r>
            <w:r w:rsidR="00FD656A" w:rsidRPr="00A3389E">
              <w:rPr>
                <w:rFonts w:ascii="Times New Roman" w:hAnsi="Times New Roman" w:cs="Times New Roman"/>
                <w:sz w:val="24"/>
              </w:rPr>
              <w:t>článkom 449 písm. d) CRR.</w:t>
            </w:r>
          </w:p>
        </w:tc>
      </w:tr>
      <w:tr w:rsidR="00FD656A" w:rsidRPr="00A3389E" w14:paraId="2D30FBEB" w14:textId="77777777" w:rsidTr="00155C96">
        <w:trPr>
          <w:trHeight w:val="316"/>
        </w:trPr>
        <w:tc>
          <w:tcPr>
            <w:tcW w:w="1413" w:type="dxa"/>
          </w:tcPr>
          <w:p w14:paraId="5BE547AF" w14:textId="2B72CF4F" w:rsidR="00FD656A" w:rsidRPr="00A3389E"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e)</w:t>
            </w:r>
          </w:p>
        </w:tc>
        <w:tc>
          <w:tcPr>
            <w:tcW w:w="7654" w:type="dxa"/>
          </w:tcPr>
          <w:p w14:paraId="05FBEFF3" w14:textId="2216BD35"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Zoznam všetkých právnych subjektov,</w:t>
            </w:r>
            <w:r w:rsidR="00A3389E">
              <w:rPr>
                <w:rFonts w:ascii="Times New Roman" w:hAnsi="Times New Roman" w:cs="Times New Roman"/>
                <w:iCs/>
                <w:sz w:val="24"/>
              </w:rPr>
              <w:t xml:space="preserve"> v </w:t>
            </w:r>
            <w:r w:rsidRPr="00A3389E">
              <w:rPr>
                <w:rFonts w:ascii="Times New Roman" w:hAnsi="Times New Roman" w:cs="Times New Roman"/>
                <w:iCs/>
                <w:sz w:val="24"/>
              </w:rPr>
              <w:t>súvislosti</w:t>
            </w:r>
            <w:r w:rsidR="00A3389E">
              <w:rPr>
                <w:rFonts w:ascii="Times New Roman" w:hAnsi="Times New Roman" w:cs="Times New Roman"/>
                <w:iCs/>
                <w:sz w:val="24"/>
              </w:rPr>
              <w:t xml:space="preserve"> s </w:t>
            </w:r>
            <w:r w:rsidRPr="00A3389E">
              <w:rPr>
                <w:rFonts w:ascii="Times New Roman" w:hAnsi="Times New Roman" w:cs="Times New Roman"/>
                <w:iCs/>
                <w:sz w:val="24"/>
              </w:rPr>
              <w:t>ktorými inštitúcie zverejnili, že poskytli podporu,</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treťou časťou hlavou II kapitolou 5 článkom 449 písm. e) CRR.</w:t>
            </w:r>
          </w:p>
        </w:tc>
      </w:tr>
      <w:tr w:rsidR="00FD656A" w:rsidRPr="00A3389E" w14:paraId="5AB66595" w14:textId="77777777" w:rsidTr="00155C96">
        <w:trPr>
          <w:trHeight w:val="316"/>
        </w:trPr>
        <w:tc>
          <w:tcPr>
            <w:tcW w:w="1413" w:type="dxa"/>
          </w:tcPr>
          <w:p w14:paraId="4B3D3A84" w14:textId="09EA4C33" w:rsidR="00FD656A" w:rsidRPr="00A3389E" w:rsidRDefault="003A2616" w:rsidP="004D58B3">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f)</w:t>
            </w:r>
          </w:p>
        </w:tc>
        <w:tc>
          <w:tcPr>
            <w:tcW w:w="7654" w:type="dxa"/>
          </w:tcPr>
          <w:p w14:paraId="06FAB31F" w14:textId="223974C1"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Zoznam právnych subjektov, ktoré sú pridružené</w:t>
            </w:r>
            <w:r w:rsidR="00A3389E">
              <w:rPr>
                <w:rFonts w:ascii="Times New Roman" w:hAnsi="Times New Roman" w:cs="Times New Roman"/>
                <w:iCs/>
                <w:sz w:val="24"/>
              </w:rPr>
              <w:t xml:space="preserve"> k </w:t>
            </w:r>
            <w:r w:rsidRPr="00A3389E">
              <w:rPr>
                <w:rFonts w:ascii="Times New Roman" w:hAnsi="Times New Roman" w:cs="Times New Roman"/>
                <w:iCs/>
                <w:sz w:val="24"/>
              </w:rPr>
              <w:t>inštitúciám</w:t>
            </w:r>
            <w:r w:rsidR="00A3389E">
              <w:rPr>
                <w:rFonts w:ascii="Times New Roman" w:hAnsi="Times New Roman" w:cs="Times New Roman"/>
                <w:iCs/>
                <w:sz w:val="24"/>
              </w:rPr>
              <w:t xml:space="preserve"> a </w:t>
            </w:r>
            <w:r w:rsidRPr="00A3389E">
              <w:rPr>
                <w:rFonts w:ascii="Times New Roman" w:hAnsi="Times New Roman" w:cs="Times New Roman"/>
                <w:iCs/>
                <w:sz w:val="24"/>
              </w:rPr>
              <w:t>ktoré investujú do sekuritizácií majúcich pôvod</w:t>
            </w:r>
            <w:r w:rsidR="00A3389E">
              <w:rPr>
                <w:rFonts w:ascii="Times New Roman" w:hAnsi="Times New Roman" w:cs="Times New Roman"/>
                <w:iCs/>
                <w:sz w:val="24"/>
              </w:rPr>
              <w:t xml:space="preserve"> v </w:t>
            </w:r>
            <w:r w:rsidRPr="00A3389E">
              <w:rPr>
                <w:rFonts w:ascii="Times New Roman" w:hAnsi="Times New Roman" w:cs="Times New Roman"/>
                <w:iCs/>
                <w:sz w:val="24"/>
              </w:rPr>
              <w:t>inštitúciách alebo do sekuritizačných pozícií emitovaných SSPE, ktoré sú sponzorované inštitúciami,</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449 písm. f) CRR.</w:t>
            </w:r>
          </w:p>
        </w:tc>
      </w:tr>
      <w:tr w:rsidR="00FD656A" w:rsidRPr="00A3389E" w14:paraId="5C90321B" w14:textId="77777777" w:rsidTr="00155C96">
        <w:trPr>
          <w:trHeight w:val="316"/>
        </w:trPr>
        <w:tc>
          <w:tcPr>
            <w:tcW w:w="1413" w:type="dxa"/>
          </w:tcPr>
          <w:p w14:paraId="2263DD3F" w14:textId="26FCF79D" w:rsidR="00FD656A" w:rsidRPr="00A3389E" w:rsidRDefault="00375DDC" w:rsidP="004D58B3">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g)</w:t>
            </w:r>
          </w:p>
        </w:tc>
        <w:tc>
          <w:tcPr>
            <w:tcW w:w="7654" w:type="dxa"/>
          </w:tcPr>
          <w:p w14:paraId="6C2B84BD" w14:textId="7C62CC1C"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Súhrn ich účtovných politík pre sekuritizačnú činnosť, prípadne aj vrátane rozlišovania medzi sekuritizačnými</w:t>
            </w:r>
            <w:r w:rsidR="00A3389E">
              <w:rPr>
                <w:rFonts w:ascii="Times New Roman" w:hAnsi="Times New Roman" w:cs="Times New Roman"/>
                <w:iCs/>
                <w:sz w:val="24"/>
              </w:rPr>
              <w:t xml:space="preserve"> a </w:t>
            </w:r>
            <w:r w:rsidRPr="00A3389E">
              <w:rPr>
                <w:rFonts w:ascii="Times New Roman" w:hAnsi="Times New Roman" w:cs="Times New Roman"/>
                <w:iCs/>
                <w:sz w:val="24"/>
              </w:rPr>
              <w:t>resekuritizačnými pozíciami,</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449 písm. g) CRR.</w:t>
            </w:r>
          </w:p>
        </w:tc>
      </w:tr>
      <w:tr w:rsidR="00FD656A" w:rsidRPr="00A3389E" w14:paraId="6B7C5187" w14:textId="77777777" w:rsidTr="00155C96">
        <w:trPr>
          <w:trHeight w:val="316"/>
        </w:trPr>
        <w:tc>
          <w:tcPr>
            <w:tcW w:w="1413" w:type="dxa"/>
          </w:tcPr>
          <w:p w14:paraId="22DF21EF" w14:textId="02A8CF17" w:rsidR="00FD656A" w:rsidRPr="00A3389E" w:rsidRDefault="00375DDC" w:rsidP="004D58B3">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h)</w:t>
            </w:r>
          </w:p>
        </w:tc>
        <w:tc>
          <w:tcPr>
            <w:tcW w:w="7654" w:type="dxa"/>
          </w:tcPr>
          <w:p w14:paraId="6525856B" w14:textId="4CBDC192"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Názvy ECAI použitých pre sekuritizácie</w:t>
            </w:r>
            <w:r w:rsidR="00A3389E">
              <w:rPr>
                <w:rFonts w:ascii="Times New Roman" w:hAnsi="Times New Roman" w:cs="Times New Roman"/>
                <w:iCs/>
                <w:sz w:val="24"/>
              </w:rPr>
              <w:t xml:space="preserve"> a </w:t>
            </w:r>
            <w:r w:rsidRPr="00A3389E">
              <w:rPr>
                <w:rFonts w:ascii="Times New Roman" w:hAnsi="Times New Roman" w:cs="Times New Roman"/>
                <w:iCs/>
                <w:sz w:val="24"/>
              </w:rPr>
              <w:t>druhy expozícií, pre ktoré sú jednotlivé agentúry použité,</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449 písm. h) CRR.</w:t>
            </w:r>
          </w:p>
        </w:tc>
      </w:tr>
      <w:tr w:rsidR="00FD656A" w:rsidRPr="00A3389E" w14:paraId="3FA71EDB" w14:textId="77777777" w:rsidTr="00155C96">
        <w:trPr>
          <w:trHeight w:val="316"/>
        </w:trPr>
        <w:tc>
          <w:tcPr>
            <w:tcW w:w="1413" w:type="dxa"/>
          </w:tcPr>
          <w:p w14:paraId="1B50AB52" w14:textId="62CEB549" w:rsidR="00FD656A" w:rsidRPr="00A3389E" w:rsidRDefault="00375DDC" w:rsidP="004D58B3">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i)</w:t>
            </w:r>
          </w:p>
        </w:tc>
        <w:tc>
          <w:tcPr>
            <w:tcW w:w="7654" w:type="dxa"/>
          </w:tcPr>
          <w:p w14:paraId="00C92543" w14:textId="11DDECEC" w:rsidR="00FD656A" w:rsidRPr="00C76D85" w:rsidRDefault="00FD656A" w:rsidP="00155C96">
            <w:pPr>
              <w:autoSpaceDE w:val="0"/>
              <w:autoSpaceDN w:val="0"/>
              <w:adjustRightInd w:val="0"/>
              <w:spacing w:before="120" w:after="120"/>
              <w:jc w:val="both"/>
              <w:rPr>
                <w:rFonts w:ascii="Times New Roman" w:eastAsia="Times New Roman" w:hAnsi="Times New Roman" w:cs="Times New Roman"/>
                <w:iCs/>
                <w:spacing w:val="-4"/>
                <w:sz w:val="24"/>
              </w:rPr>
            </w:pPr>
            <w:r w:rsidRPr="00C76D85">
              <w:rPr>
                <w:rFonts w:ascii="Times New Roman" w:hAnsi="Times New Roman" w:cs="Times New Roman"/>
                <w:iCs/>
                <w:spacing w:val="-4"/>
                <w:sz w:val="24"/>
              </w:rPr>
              <w:t>Prípadne opis prístupu interného hodnotenia, ako sa stanovuje</w:t>
            </w:r>
            <w:r w:rsidR="00A3389E" w:rsidRPr="00C76D85">
              <w:rPr>
                <w:rFonts w:ascii="Times New Roman" w:hAnsi="Times New Roman" w:cs="Times New Roman"/>
                <w:iCs/>
                <w:spacing w:val="-4"/>
                <w:sz w:val="24"/>
              </w:rPr>
              <w:t xml:space="preserve"> v </w:t>
            </w:r>
            <w:r w:rsidRPr="00C76D85">
              <w:rPr>
                <w:rFonts w:ascii="Times New Roman" w:hAnsi="Times New Roman" w:cs="Times New Roman"/>
                <w:iCs/>
                <w:spacing w:val="-4"/>
                <w:sz w:val="24"/>
              </w:rPr>
              <w:t>tretej časti hlave II kapitole 5 CRR, vrátane štruktúry procesu interného hodnotenia</w:t>
            </w:r>
            <w:r w:rsidR="00A3389E" w:rsidRPr="00C76D85">
              <w:rPr>
                <w:rFonts w:ascii="Times New Roman" w:hAnsi="Times New Roman" w:cs="Times New Roman"/>
                <w:iCs/>
                <w:spacing w:val="-4"/>
                <w:sz w:val="24"/>
              </w:rPr>
              <w:t xml:space="preserve"> a </w:t>
            </w:r>
            <w:r w:rsidRPr="00C76D85">
              <w:rPr>
                <w:rFonts w:ascii="Times New Roman" w:hAnsi="Times New Roman" w:cs="Times New Roman"/>
                <w:iCs/>
                <w:spacing w:val="-4"/>
                <w:sz w:val="24"/>
              </w:rPr>
              <w:t>vzťahu medzi interným hodnotením</w:t>
            </w:r>
            <w:r w:rsidR="00A3389E" w:rsidRPr="00C76D85">
              <w:rPr>
                <w:rFonts w:ascii="Times New Roman" w:hAnsi="Times New Roman" w:cs="Times New Roman"/>
                <w:iCs/>
                <w:spacing w:val="-4"/>
                <w:sz w:val="24"/>
              </w:rPr>
              <w:t xml:space="preserve"> a </w:t>
            </w:r>
            <w:r w:rsidRPr="00C76D85">
              <w:rPr>
                <w:rFonts w:ascii="Times New Roman" w:hAnsi="Times New Roman" w:cs="Times New Roman"/>
                <w:iCs/>
                <w:spacing w:val="-4"/>
                <w:sz w:val="24"/>
              </w:rPr>
              <w:t>externými ratingmi príslušnej ECAI zverejnených</w:t>
            </w:r>
            <w:r w:rsidR="00A3389E" w:rsidRPr="00C76D85">
              <w:rPr>
                <w:rFonts w:ascii="Times New Roman" w:hAnsi="Times New Roman" w:cs="Times New Roman"/>
                <w:iCs/>
                <w:spacing w:val="-4"/>
                <w:sz w:val="24"/>
              </w:rPr>
              <w:t xml:space="preserve"> v </w:t>
            </w:r>
            <w:r w:rsidRPr="00C76D85">
              <w:rPr>
                <w:rFonts w:ascii="Times New Roman" w:hAnsi="Times New Roman" w:cs="Times New Roman"/>
                <w:iCs/>
                <w:spacing w:val="-4"/>
                <w:sz w:val="24"/>
              </w:rPr>
              <w:t>súlade</w:t>
            </w:r>
            <w:r w:rsidR="00A3389E" w:rsidRPr="00C76D85">
              <w:rPr>
                <w:rFonts w:ascii="Times New Roman" w:hAnsi="Times New Roman" w:cs="Times New Roman"/>
                <w:iCs/>
                <w:spacing w:val="-4"/>
                <w:sz w:val="24"/>
              </w:rPr>
              <w:t xml:space="preserve"> s </w:t>
            </w:r>
            <w:r w:rsidRPr="00C76D85">
              <w:rPr>
                <w:rFonts w:ascii="Times New Roman" w:hAnsi="Times New Roman" w:cs="Times New Roman"/>
                <w:iCs/>
                <w:spacing w:val="-4"/>
                <w:sz w:val="24"/>
              </w:rPr>
              <w:t>písmenom h), kontrolných mechanizmov pre proces interného hodnotenia vrátane diskusie</w:t>
            </w:r>
            <w:r w:rsidR="00A3389E" w:rsidRPr="00C76D85">
              <w:rPr>
                <w:rFonts w:ascii="Times New Roman" w:hAnsi="Times New Roman" w:cs="Times New Roman"/>
                <w:iCs/>
                <w:spacing w:val="-4"/>
                <w:sz w:val="24"/>
              </w:rPr>
              <w:t xml:space="preserve"> o </w:t>
            </w:r>
            <w:r w:rsidRPr="00C76D85">
              <w:rPr>
                <w:rFonts w:ascii="Times New Roman" w:hAnsi="Times New Roman" w:cs="Times New Roman"/>
                <w:iCs/>
                <w:spacing w:val="-4"/>
                <w:sz w:val="24"/>
              </w:rPr>
              <w:t>nezávislosti, zodpovednosti</w:t>
            </w:r>
            <w:r w:rsidR="00A3389E" w:rsidRPr="00C76D85">
              <w:rPr>
                <w:rFonts w:ascii="Times New Roman" w:hAnsi="Times New Roman" w:cs="Times New Roman"/>
                <w:iCs/>
                <w:spacing w:val="-4"/>
                <w:sz w:val="24"/>
              </w:rPr>
              <w:t xml:space="preserve"> a </w:t>
            </w:r>
            <w:r w:rsidRPr="00C76D85">
              <w:rPr>
                <w:rFonts w:ascii="Times New Roman" w:hAnsi="Times New Roman" w:cs="Times New Roman"/>
                <w:iCs/>
                <w:spacing w:val="-4"/>
                <w:sz w:val="24"/>
              </w:rPr>
              <w:t>preskúmania procesu interného hodnotenia, druhov expozícií, na ktoré sa proces interného hodnotenia uplatňuje,</w:t>
            </w:r>
            <w:r w:rsidR="00A3389E" w:rsidRPr="00C76D85">
              <w:rPr>
                <w:rFonts w:ascii="Times New Roman" w:hAnsi="Times New Roman" w:cs="Times New Roman"/>
                <w:iCs/>
                <w:spacing w:val="-4"/>
                <w:sz w:val="24"/>
              </w:rPr>
              <w:t xml:space="preserve"> a </w:t>
            </w:r>
            <w:r w:rsidRPr="00C76D85">
              <w:rPr>
                <w:rFonts w:ascii="Times New Roman" w:hAnsi="Times New Roman" w:cs="Times New Roman"/>
                <w:iCs/>
                <w:spacing w:val="-4"/>
                <w:sz w:val="24"/>
              </w:rPr>
              <w:t>stresových faktorov používaných na určenie úrovní zvýšenia kreditnej kvality</w:t>
            </w:r>
            <w:r w:rsidR="00A3389E" w:rsidRPr="00C76D85">
              <w:rPr>
                <w:rFonts w:ascii="Times New Roman" w:hAnsi="Times New Roman" w:cs="Times New Roman"/>
                <w:iCs/>
                <w:spacing w:val="-4"/>
                <w:sz w:val="24"/>
              </w:rPr>
              <w:t xml:space="preserve"> v </w:t>
            </w:r>
            <w:r w:rsidRPr="00C76D85">
              <w:rPr>
                <w:rFonts w:ascii="Times New Roman" w:hAnsi="Times New Roman" w:cs="Times New Roman"/>
                <w:iCs/>
                <w:spacing w:val="-4"/>
                <w:sz w:val="24"/>
              </w:rPr>
              <w:t>súlade</w:t>
            </w:r>
            <w:r w:rsidR="00A3389E" w:rsidRPr="00C76D85">
              <w:rPr>
                <w:rFonts w:ascii="Times New Roman" w:hAnsi="Times New Roman" w:cs="Times New Roman"/>
                <w:iCs/>
                <w:spacing w:val="-4"/>
                <w:sz w:val="24"/>
              </w:rPr>
              <w:t xml:space="preserve"> s </w:t>
            </w:r>
            <w:r w:rsidRPr="00C76D85">
              <w:rPr>
                <w:rFonts w:ascii="Times New Roman" w:hAnsi="Times New Roman" w:cs="Times New Roman"/>
                <w:iCs/>
                <w:spacing w:val="-4"/>
                <w:sz w:val="24"/>
              </w:rPr>
              <w:t>článkom 449 písm. i) CRR.</w:t>
            </w:r>
          </w:p>
        </w:tc>
      </w:tr>
    </w:tbl>
    <w:p w14:paraId="09579526" w14:textId="77777777" w:rsidR="00FD656A" w:rsidRPr="00A3389E" w:rsidRDefault="00FD656A" w:rsidP="00FD656A">
      <w:pPr>
        <w:rPr>
          <w:rFonts w:ascii="Times New Roman" w:hAnsi="Times New Roman" w:cs="Times New Roman"/>
          <w:sz w:val="24"/>
        </w:rPr>
      </w:pPr>
    </w:p>
    <w:p w14:paraId="00018CBA" w14:textId="32AC80CD" w:rsidR="00FD656A" w:rsidRPr="00A3389E" w:rsidRDefault="00FD656A" w:rsidP="00FD656A">
      <w:pPr>
        <w:rPr>
          <w:rFonts w:ascii="Times New Roman" w:hAnsi="Times New Roman" w:cs="Times New Roman"/>
          <w:b/>
          <w:sz w:val="24"/>
        </w:rPr>
      </w:pPr>
      <w:r w:rsidRPr="00A3389E">
        <w:rPr>
          <w:rFonts w:ascii="Times New Roman" w:hAnsi="Times New Roman" w:cs="Times New Roman"/>
          <w:b/>
          <w:sz w:val="24"/>
        </w:rPr>
        <w:t>EU-SEC1 – Sekuritizačné expozície</w:t>
      </w:r>
      <w:r w:rsidR="00A3389E">
        <w:rPr>
          <w:rFonts w:ascii="Times New Roman" w:hAnsi="Times New Roman" w:cs="Times New Roman"/>
          <w:b/>
          <w:sz w:val="24"/>
        </w:rPr>
        <w:t xml:space="preserve"> v </w:t>
      </w:r>
      <w:r w:rsidRPr="00A3389E">
        <w:rPr>
          <w:rFonts w:ascii="Times New Roman" w:hAnsi="Times New Roman" w:cs="Times New Roman"/>
          <w:b/>
          <w:sz w:val="24"/>
        </w:rPr>
        <w:t xml:space="preserve">neobchodnej knihe. </w:t>
      </w:r>
      <w:r w:rsidRPr="00A3389E">
        <w:rPr>
          <w:rFonts w:ascii="Times New Roman" w:hAnsi="Times New Roman" w:cs="Times New Roman"/>
          <w:sz w:val="24"/>
        </w:rPr>
        <w:t>Pevný formát.</w:t>
      </w:r>
    </w:p>
    <w:p w14:paraId="56807EB4" w14:textId="12BBE913" w:rsidR="00FD656A" w:rsidRPr="00A3389E" w:rsidRDefault="00A3389E" w:rsidP="00A3389E">
      <w:pPr>
        <w:spacing w:before="120" w:after="120"/>
        <w:ind w:left="432" w:hanging="360"/>
        <w:jc w:val="both"/>
        <w:rPr>
          <w:rFonts w:ascii="Times New Roman" w:hAnsi="Times New Roman"/>
          <w:bCs/>
          <w:sz w:val="24"/>
        </w:rPr>
      </w:pPr>
      <w:r w:rsidRPr="00A3389E">
        <w:rPr>
          <w:rFonts w:ascii="Times New Roman" w:eastAsia="Calibri" w:hAnsi="Times New Roman" w:cs="Times New Roman"/>
          <w:bCs/>
          <w:sz w:val="24"/>
          <w:szCs w:val="22"/>
        </w:rPr>
        <w:t>2.</w:t>
      </w:r>
      <w:r w:rsidRPr="00A3389E">
        <w:rPr>
          <w:rFonts w:ascii="Times New Roman" w:eastAsia="Calibri" w:hAnsi="Times New Roman" w:cs="Times New Roman"/>
          <w:bCs/>
          <w:sz w:val="24"/>
          <w:szCs w:val="22"/>
        </w:rPr>
        <w:tab/>
      </w:r>
      <w:r w:rsidR="00FD656A" w:rsidRPr="00A3389E">
        <w:rPr>
          <w:rFonts w:ascii="Times New Roman" w:hAnsi="Times New Roman"/>
          <w:bCs/>
          <w:sz w:val="24"/>
        </w:rPr>
        <w:t>Inštitúcie zverejňujú informácie uvedené</w:t>
      </w:r>
      <w:r>
        <w:rPr>
          <w:rFonts w:ascii="Times New Roman" w:hAnsi="Times New Roman"/>
          <w:bCs/>
          <w:sz w:val="24"/>
        </w:rPr>
        <w:t xml:space="preserve"> v </w:t>
      </w:r>
      <w:r w:rsidR="00FD656A" w:rsidRPr="00A3389E">
        <w:rPr>
          <w:rFonts w:ascii="Times New Roman" w:hAnsi="Times New Roman"/>
          <w:bCs/>
          <w:sz w:val="24"/>
        </w:rPr>
        <w:t>článku 449 písm. j) CRR podľa pokynov uvedených nižšie</w:t>
      </w:r>
      <w:r>
        <w:rPr>
          <w:rFonts w:ascii="Times New Roman" w:hAnsi="Times New Roman"/>
          <w:bCs/>
          <w:sz w:val="24"/>
        </w:rPr>
        <w:t xml:space="preserve"> v </w:t>
      </w:r>
      <w:r w:rsidR="00FD656A" w:rsidRPr="00A3389E">
        <w:rPr>
          <w:rFonts w:ascii="Times New Roman" w:hAnsi="Times New Roman"/>
          <w:bCs/>
          <w:sz w:val="24"/>
        </w:rPr>
        <w:t>tejto prílohe</w:t>
      </w:r>
      <w:r>
        <w:rPr>
          <w:rFonts w:ascii="Times New Roman" w:hAnsi="Times New Roman"/>
          <w:bCs/>
          <w:sz w:val="24"/>
        </w:rPr>
        <w:t xml:space="preserve"> s </w:t>
      </w:r>
      <w:r w:rsidR="00FD656A" w:rsidRPr="00A3389E">
        <w:rPr>
          <w:rFonts w:ascii="Times New Roman" w:hAnsi="Times New Roman"/>
          <w:bCs/>
          <w:sz w:val="24"/>
        </w:rPr>
        <w:t>cieľom vyplniť vzor EU SEC1, ktorý je uvedený</w:t>
      </w:r>
      <w:r>
        <w:rPr>
          <w:rFonts w:ascii="Times New Roman" w:hAnsi="Times New Roman"/>
          <w:bCs/>
          <w:sz w:val="24"/>
        </w:rPr>
        <w:t xml:space="preserve"> v </w:t>
      </w:r>
      <w:r w:rsidR="00FD656A" w:rsidRPr="00A3389E">
        <w:rPr>
          <w:rFonts w:ascii="Times New Roman" w:hAnsi="Times New Roman"/>
          <w:bCs/>
          <w:sz w:val="24"/>
        </w:rPr>
        <w:t>prílohe XXVII</w:t>
      </w:r>
      <w:r>
        <w:rPr>
          <w:rFonts w:ascii="Times New Roman" w:hAnsi="Times New Roman"/>
          <w:bCs/>
          <w:sz w:val="24"/>
        </w:rPr>
        <w:t xml:space="preserve"> k </w:t>
      </w:r>
      <w:r w:rsidR="00FD656A" w:rsidRPr="00A3389E">
        <w:rPr>
          <w:rFonts w:ascii="Times New Roman" w:hAnsi="Times New Roman"/>
          <w:bCs/>
          <w:sz w:val="24"/>
        </w:rPr>
        <w:t>tomuto vykonávaciemu nariadeniu. Inštitúcie</w:t>
      </w:r>
      <w:r>
        <w:rPr>
          <w:rFonts w:ascii="Times New Roman" w:hAnsi="Times New Roman"/>
          <w:bCs/>
          <w:sz w:val="24"/>
        </w:rPr>
        <w:t xml:space="preserve"> v </w:t>
      </w:r>
      <w:r w:rsidR="00FD656A" w:rsidRPr="00A3389E">
        <w:rPr>
          <w:rFonts w:ascii="Times New Roman" w:hAnsi="Times New Roman"/>
          <w:bCs/>
          <w:sz w:val="24"/>
        </w:rPr>
        <w:t>opise sprevádzajúcom daný vzor vysvetľujú, či majú</w:t>
      </w:r>
      <w:r>
        <w:rPr>
          <w:rFonts w:ascii="Times New Roman" w:hAnsi="Times New Roman"/>
          <w:bCs/>
          <w:sz w:val="24"/>
        </w:rPr>
        <w:t xml:space="preserve"> v </w:t>
      </w:r>
      <w:r w:rsidR="00FD656A" w:rsidRPr="00A3389E">
        <w:rPr>
          <w:rFonts w:ascii="Times New Roman" w:hAnsi="Times New Roman"/>
          <w:bCs/>
          <w:sz w:val="24"/>
        </w:rPr>
        <w:t>rámci svojich tradičných sekuritizácií programy ABCP,</w:t>
      </w:r>
      <w:r>
        <w:rPr>
          <w:rFonts w:ascii="Times New Roman" w:hAnsi="Times New Roman"/>
          <w:bCs/>
          <w:sz w:val="24"/>
        </w:rPr>
        <w:t xml:space="preserve"> a </w:t>
      </w:r>
      <w:r w:rsidR="00FD656A" w:rsidRPr="00A3389E">
        <w:rPr>
          <w:rFonts w:ascii="Times New Roman" w:hAnsi="Times New Roman"/>
          <w:bCs/>
          <w:sz w:val="24"/>
        </w:rPr>
        <w:t>ak ich majú, uvádzajú objem transakcií ABCP.</w:t>
      </w:r>
    </w:p>
    <w:p w14:paraId="1A89B602" w14:textId="77777777" w:rsidR="00FD656A" w:rsidRPr="00A3389E"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A3389E"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06548533" w:rsidR="00FD656A" w:rsidRPr="00A3389E" w:rsidRDefault="00FD656A"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FD656A" w:rsidRPr="00A3389E" w14:paraId="000023F8" w14:textId="77777777" w:rsidTr="00155C96">
        <w:trPr>
          <w:trHeight w:val="238"/>
        </w:trPr>
        <w:tc>
          <w:tcPr>
            <w:tcW w:w="1413" w:type="dxa"/>
            <w:shd w:val="clear" w:color="auto" w:fill="D9D9D9" w:themeFill="background1" w:themeFillShade="D9"/>
          </w:tcPr>
          <w:p w14:paraId="0D8F2564" w14:textId="77777777" w:rsidR="00FD656A" w:rsidRPr="00A3389E" w:rsidRDefault="00FD656A"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shd w:val="clear" w:color="auto" w:fill="D9D9D9" w:themeFill="background1" w:themeFillShade="D9"/>
          </w:tcPr>
          <w:p w14:paraId="479A2812" w14:textId="77777777" w:rsidR="00FD656A" w:rsidRPr="00A3389E" w:rsidRDefault="00FD656A"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FD656A" w:rsidRPr="00A3389E" w14:paraId="7D06874C" w14:textId="77777777" w:rsidTr="00155C96">
        <w:trPr>
          <w:trHeight w:val="316"/>
        </w:trPr>
        <w:tc>
          <w:tcPr>
            <w:tcW w:w="1413" w:type="dxa"/>
          </w:tcPr>
          <w:p w14:paraId="20708403"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a – g</w:t>
            </w:r>
          </w:p>
        </w:tc>
        <w:tc>
          <w:tcPr>
            <w:tcW w:w="7654" w:type="dxa"/>
          </w:tcPr>
          <w:p w14:paraId="7515D78F" w14:textId="77777777" w:rsidR="00A3389E" w:rsidRPr="00A3389E" w:rsidRDefault="00FD656A" w:rsidP="00155C96">
            <w:pPr>
              <w:autoSpaceDE w:val="0"/>
              <w:autoSpaceDN w:val="0"/>
              <w:adjustRightInd w:val="0"/>
              <w:spacing w:before="120" w:after="120"/>
              <w:jc w:val="both"/>
              <w:rPr>
                <w:rFonts w:ascii="Times New Roman" w:hAnsi="Times New Roman" w:cs="Times New Roman"/>
                <w:b/>
                <w:iCs/>
                <w:sz w:val="24"/>
              </w:rPr>
            </w:pPr>
            <w:r w:rsidRPr="00A3389E">
              <w:rPr>
                <w:rFonts w:ascii="Times New Roman" w:hAnsi="Times New Roman" w:cs="Times New Roman"/>
                <w:b/>
                <w:iCs/>
                <w:sz w:val="24"/>
              </w:rPr>
              <w:t>Inštitúcia koná ako originátor</w:t>
            </w:r>
          </w:p>
          <w:p w14:paraId="6C0DA174" w14:textId="0E848EC2"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Keď „inštitúcia koná ako originátor“</w:t>
            </w:r>
            <w:r w:rsidR="00A3389E">
              <w:rPr>
                <w:rFonts w:ascii="Times New Roman" w:hAnsi="Times New Roman" w:cs="Times New Roman"/>
                <w:iCs/>
                <w:sz w:val="24"/>
              </w:rPr>
              <w:t xml:space="preserve"> v </w:t>
            </w:r>
            <w:r w:rsidRPr="00A3389E">
              <w:rPr>
                <w:rFonts w:ascii="Times New Roman" w:hAnsi="Times New Roman" w:cs="Times New Roman"/>
                <w:iCs/>
                <w:sz w:val="24"/>
              </w:rPr>
              <w:t>zmysle vymedzenia</w:t>
            </w:r>
            <w:r w:rsidR="00A3389E">
              <w:rPr>
                <w:rFonts w:ascii="Times New Roman" w:hAnsi="Times New Roman" w:cs="Times New Roman"/>
                <w:iCs/>
                <w:sz w:val="24"/>
              </w:rPr>
              <w:t xml:space="preserve"> v </w:t>
            </w:r>
            <w:r w:rsidRPr="00A3389E">
              <w:rPr>
                <w:rFonts w:ascii="Times New Roman" w:hAnsi="Times New Roman" w:cs="Times New Roman"/>
                <w:iCs/>
                <w:sz w:val="24"/>
              </w:rPr>
              <w:t>článku 4 ods. 1 bode 13 CRR, sekuritizačné expozície sú ponechané pozície,</w:t>
            </w:r>
            <w:r w:rsidR="00A3389E">
              <w:rPr>
                <w:rFonts w:ascii="Times New Roman" w:hAnsi="Times New Roman" w:cs="Times New Roman"/>
                <w:iCs/>
                <w:sz w:val="24"/>
              </w:rPr>
              <w:t xml:space="preserve"> a </w:t>
            </w:r>
            <w:r w:rsidRPr="00A3389E">
              <w:rPr>
                <w:rFonts w:ascii="Times New Roman" w:hAnsi="Times New Roman" w:cs="Times New Roman"/>
                <w:iCs/>
                <w:sz w:val="24"/>
              </w:rPr>
              <w:t>to aj vtedy, ak nie sú prípustné pre rámec sekuritizácie</w:t>
            </w:r>
            <w:r w:rsidR="00A3389E">
              <w:rPr>
                <w:rFonts w:ascii="Times New Roman" w:hAnsi="Times New Roman" w:cs="Times New Roman"/>
                <w:iCs/>
                <w:sz w:val="24"/>
              </w:rPr>
              <w:t xml:space="preserve"> z </w:t>
            </w:r>
            <w:r w:rsidRPr="00A3389E">
              <w:rPr>
                <w:rFonts w:ascii="Times New Roman" w:hAnsi="Times New Roman" w:cs="Times New Roman"/>
                <w:iCs/>
                <w:sz w:val="24"/>
              </w:rPr>
              <w:t>dôvodu absencie prenosu významného rizika. Sekuritizačné expozície</w:t>
            </w:r>
            <w:r w:rsidR="00A3389E">
              <w:rPr>
                <w:rFonts w:ascii="Times New Roman" w:hAnsi="Times New Roman" w:cs="Times New Roman"/>
                <w:iCs/>
                <w:sz w:val="24"/>
              </w:rPr>
              <w:t xml:space="preserve"> v </w:t>
            </w:r>
            <w:r w:rsidRPr="00A3389E">
              <w:rPr>
                <w:rFonts w:ascii="Times New Roman" w:hAnsi="Times New Roman" w:cs="Times New Roman"/>
                <w:iCs/>
                <w:sz w:val="24"/>
              </w:rPr>
              <w:t>transakciách, ktoré dosiahli prenos významného rizika (SRT), sa uvádzajú osobitne.</w:t>
            </w:r>
          </w:p>
          <w:p w14:paraId="61F7DDD8" w14:textId="1963A8F4"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Inštitúcie, ktoré sú originátormi, zverejňujú</w:t>
            </w:r>
            <w:r w:rsidR="00A3389E">
              <w:rPr>
                <w:rFonts w:ascii="Times New Roman" w:hAnsi="Times New Roman" w:cs="Times New Roman"/>
                <w:sz w:val="24"/>
              </w:rPr>
              <w:t xml:space="preserve"> k </w:t>
            </w:r>
            <w:r w:rsidRPr="00A3389E">
              <w:rPr>
                <w:rFonts w:ascii="Times New Roman" w:hAnsi="Times New Roman" w:cs="Times New Roman"/>
                <w:sz w:val="24"/>
              </w:rPr>
              <w:t>dátumu zverejnenia účtovnú hodnotu všetkých aktuálnych sekuritizačných expozícií, ktoré držia</w:t>
            </w:r>
            <w:r w:rsidR="00A3389E">
              <w:rPr>
                <w:rFonts w:ascii="Times New Roman" w:hAnsi="Times New Roman" w:cs="Times New Roman"/>
                <w:sz w:val="24"/>
              </w:rPr>
              <w:t xml:space="preserve"> v </w:t>
            </w:r>
            <w:r w:rsidRPr="00A3389E">
              <w:rPr>
                <w:rFonts w:ascii="Times New Roman" w:hAnsi="Times New Roman" w:cs="Times New Roman"/>
                <w:sz w:val="24"/>
              </w:rPr>
              <w:t>rámci sekuritizačných transakcií, ktorých pôvodcami sú tieto inštitúcie.</w:t>
            </w:r>
            <w:r w:rsidR="00A3389E">
              <w:rPr>
                <w:rFonts w:ascii="Times New Roman" w:hAnsi="Times New Roman" w:cs="Times New Roman"/>
                <w:sz w:val="24"/>
              </w:rPr>
              <w:t xml:space="preserve"> V </w:t>
            </w:r>
            <w:r w:rsidRPr="00A3389E">
              <w:rPr>
                <w:rFonts w:ascii="Times New Roman" w:hAnsi="Times New Roman" w:cs="Times New Roman"/>
                <w:sz w:val="24"/>
              </w:rPr>
              <w:t>rámci uvedených sekuritizácií sa zverejňujú súvahové sekuritizačné expozície (napr. dlhopisy, podriadené úvery)</w:t>
            </w:r>
            <w:r w:rsidR="00A3389E">
              <w:rPr>
                <w:rFonts w:ascii="Times New Roman" w:hAnsi="Times New Roman" w:cs="Times New Roman"/>
                <w:sz w:val="24"/>
              </w:rPr>
              <w:t xml:space="preserve"> a </w:t>
            </w:r>
            <w:r w:rsidRPr="00A3389E">
              <w:rPr>
                <w:rFonts w:ascii="Times New Roman" w:hAnsi="Times New Roman" w:cs="Times New Roman"/>
                <w:sz w:val="24"/>
              </w:rPr>
              <w:t>podsúvahové expozície</w:t>
            </w:r>
            <w:r w:rsidR="00A3389E">
              <w:rPr>
                <w:rFonts w:ascii="Times New Roman" w:hAnsi="Times New Roman" w:cs="Times New Roman"/>
                <w:sz w:val="24"/>
              </w:rPr>
              <w:t xml:space="preserve"> a </w:t>
            </w:r>
            <w:r w:rsidRPr="00A3389E">
              <w:rPr>
                <w:rFonts w:ascii="Times New Roman" w:hAnsi="Times New Roman" w:cs="Times New Roman"/>
                <w:sz w:val="24"/>
              </w:rPr>
              <w:t>deriváty (napr. podriadené úverové linky, nástroje likvidity, úrokové swapy, swapy na kreditné zlyhanie atď.).</w:t>
            </w:r>
          </w:p>
        </w:tc>
      </w:tr>
      <w:tr w:rsidR="00FD656A" w:rsidRPr="00A3389E" w14:paraId="78DDAA5D" w14:textId="77777777" w:rsidTr="00155C96">
        <w:trPr>
          <w:trHeight w:val="316"/>
        </w:trPr>
        <w:tc>
          <w:tcPr>
            <w:tcW w:w="1413" w:type="dxa"/>
          </w:tcPr>
          <w:p w14:paraId="7E817B06"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h – k</w:t>
            </w:r>
          </w:p>
        </w:tc>
        <w:tc>
          <w:tcPr>
            <w:tcW w:w="7654" w:type="dxa"/>
          </w:tcPr>
          <w:p w14:paraId="09847206" w14:textId="77777777" w:rsidR="00A3389E" w:rsidRPr="00A3389E" w:rsidRDefault="00FD656A" w:rsidP="00155C96">
            <w:pPr>
              <w:autoSpaceDE w:val="0"/>
              <w:autoSpaceDN w:val="0"/>
              <w:adjustRightInd w:val="0"/>
              <w:spacing w:before="120" w:after="120"/>
              <w:jc w:val="both"/>
              <w:rPr>
                <w:rFonts w:ascii="Times New Roman" w:hAnsi="Times New Roman" w:cs="Times New Roman"/>
                <w:b/>
                <w:iCs/>
                <w:sz w:val="24"/>
              </w:rPr>
            </w:pPr>
            <w:r w:rsidRPr="00A3389E">
              <w:rPr>
                <w:rFonts w:ascii="Times New Roman" w:hAnsi="Times New Roman" w:cs="Times New Roman"/>
                <w:b/>
                <w:iCs/>
                <w:sz w:val="24"/>
              </w:rPr>
              <w:t>Inštitúcia koná ako sponzor</w:t>
            </w:r>
          </w:p>
          <w:p w14:paraId="2C4F4A2F" w14:textId="1FE74B82"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iCs/>
                <w:sz w:val="24"/>
              </w:rPr>
              <w:t>Keď „inštitúcia koná ako sponzor“ (v zmysle vymedzenia</w:t>
            </w:r>
            <w:r w:rsidR="00A3389E">
              <w:rPr>
                <w:rFonts w:ascii="Times New Roman" w:hAnsi="Times New Roman" w:cs="Times New Roman"/>
                <w:iCs/>
                <w:sz w:val="24"/>
              </w:rPr>
              <w:t xml:space="preserve"> v </w:t>
            </w:r>
            <w:r w:rsidRPr="00A3389E">
              <w:rPr>
                <w:rFonts w:ascii="Times New Roman" w:hAnsi="Times New Roman" w:cs="Times New Roman"/>
                <w:iCs/>
                <w:sz w:val="24"/>
              </w:rPr>
              <w:t>článku 4 ods. 1 bode 14 CRR), sekuritizačné expozície zahŕňajú expozície voči účelovo vytvoreným subjektom (conduitom) držiacim obchodné cenné papiere, ktorým inštitúcia poskytuje zlepšenia</w:t>
            </w:r>
            <w:r w:rsidR="00A3389E">
              <w:rPr>
                <w:rFonts w:ascii="Times New Roman" w:hAnsi="Times New Roman" w:cs="Times New Roman"/>
                <w:iCs/>
                <w:sz w:val="24"/>
              </w:rPr>
              <w:t xml:space="preserve"> v </w:t>
            </w:r>
            <w:r w:rsidRPr="00A3389E">
              <w:rPr>
                <w:rFonts w:ascii="Times New Roman" w:hAnsi="Times New Roman" w:cs="Times New Roman"/>
                <w:iCs/>
                <w:sz w:val="24"/>
              </w:rPr>
              <w:t>rámci celého programu, nástroje likvidity</w:t>
            </w:r>
            <w:r w:rsidR="00A3389E">
              <w:rPr>
                <w:rFonts w:ascii="Times New Roman" w:hAnsi="Times New Roman" w:cs="Times New Roman"/>
                <w:iCs/>
                <w:sz w:val="24"/>
              </w:rPr>
              <w:t xml:space="preserve"> a </w:t>
            </w:r>
            <w:r w:rsidRPr="00A3389E">
              <w:rPr>
                <w:rFonts w:ascii="Times New Roman" w:hAnsi="Times New Roman" w:cs="Times New Roman"/>
                <w:iCs/>
                <w:sz w:val="24"/>
              </w:rPr>
              <w:t>iné facility. Ak inštitúcia koná ako originátor aj ako sponzor, vyhýba sa dvojitému započítavaniu.</w:t>
            </w:r>
            <w:r w:rsidR="00A3389E">
              <w:rPr>
                <w:rFonts w:ascii="Times New Roman" w:hAnsi="Times New Roman" w:cs="Times New Roman"/>
                <w:iCs/>
                <w:sz w:val="24"/>
              </w:rPr>
              <w:t xml:space="preserve"> V </w:t>
            </w:r>
            <w:r w:rsidRPr="00A3389E">
              <w:rPr>
                <w:rFonts w:ascii="Times New Roman" w:hAnsi="Times New Roman" w:cs="Times New Roman"/>
                <w:iCs/>
                <w:sz w:val="24"/>
              </w:rPr>
              <w:t>tejto súvislosti môže inštitúcia zlúčiť dva stĺpce „inštitúcia koná ako originátor“</w:t>
            </w:r>
            <w:r w:rsidR="00A3389E">
              <w:rPr>
                <w:rFonts w:ascii="Times New Roman" w:hAnsi="Times New Roman" w:cs="Times New Roman"/>
                <w:iCs/>
                <w:sz w:val="24"/>
              </w:rPr>
              <w:t xml:space="preserve"> a </w:t>
            </w:r>
            <w:r w:rsidRPr="00A3389E">
              <w:rPr>
                <w:rFonts w:ascii="Times New Roman" w:hAnsi="Times New Roman" w:cs="Times New Roman"/>
                <w:iCs/>
                <w:sz w:val="24"/>
              </w:rPr>
              <w:t>„inštitúcia koná ako sponzor“</w:t>
            </w:r>
            <w:r w:rsidR="00A3389E">
              <w:rPr>
                <w:rFonts w:ascii="Times New Roman" w:hAnsi="Times New Roman" w:cs="Times New Roman"/>
                <w:iCs/>
                <w:sz w:val="24"/>
              </w:rPr>
              <w:t xml:space="preserve"> a </w:t>
            </w:r>
            <w:r w:rsidRPr="00A3389E">
              <w:rPr>
                <w:rFonts w:ascii="Times New Roman" w:hAnsi="Times New Roman" w:cs="Times New Roman"/>
                <w:iCs/>
                <w:sz w:val="24"/>
              </w:rPr>
              <w:t>môže použiť stĺpce „inštitúcia koná ako originátor/sponzor“.</w:t>
            </w:r>
          </w:p>
        </w:tc>
      </w:tr>
      <w:tr w:rsidR="00FD656A" w:rsidRPr="00A3389E" w14:paraId="56B6C1D2" w14:textId="77777777" w:rsidTr="00155C96">
        <w:trPr>
          <w:trHeight w:val="316"/>
        </w:trPr>
        <w:tc>
          <w:tcPr>
            <w:tcW w:w="1413" w:type="dxa"/>
          </w:tcPr>
          <w:p w14:paraId="6ADDA1F3"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l – o</w:t>
            </w:r>
          </w:p>
        </w:tc>
        <w:tc>
          <w:tcPr>
            <w:tcW w:w="7654" w:type="dxa"/>
          </w:tcPr>
          <w:p w14:paraId="41814663" w14:textId="77777777" w:rsidR="00A3389E" w:rsidRPr="00A3389E" w:rsidRDefault="00FD656A" w:rsidP="00155C96">
            <w:pPr>
              <w:autoSpaceDE w:val="0"/>
              <w:autoSpaceDN w:val="0"/>
              <w:adjustRightInd w:val="0"/>
              <w:spacing w:before="120" w:after="120"/>
              <w:jc w:val="both"/>
              <w:rPr>
                <w:rFonts w:ascii="Times New Roman" w:hAnsi="Times New Roman" w:cs="Times New Roman"/>
                <w:b/>
                <w:iCs/>
                <w:sz w:val="24"/>
              </w:rPr>
            </w:pPr>
            <w:r w:rsidRPr="00A3389E">
              <w:rPr>
                <w:rFonts w:ascii="Times New Roman" w:hAnsi="Times New Roman" w:cs="Times New Roman"/>
                <w:b/>
                <w:iCs/>
                <w:sz w:val="24"/>
              </w:rPr>
              <w:t>Inštitúcia koná ako investor</w:t>
            </w:r>
          </w:p>
          <w:p w14:paraId="783670DC" w14:textId="211B0741"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Sekuritizačné expozície, keď „inštitúcia koná ako investor“, sú investičné pozície kúpené</w:t>
            </w:r>
            <w:r w:rsidR="00A3389E">
              <w:rPr>
                <w:rFonts w:ascii="Times New Roman" w:hAnsi="Times New Roman" w:cs="Times New Roman"/>
                <w:iCs/>
                <w:sz w:val="24"/>
              </w:rPr>
              <w:t xml:space="preserve"> v </w:t>
            </w:r>
            <w:r w:rsidRPr="00A3389E">
              <w:rPr>
                <w:rFonts w:ascii="Times New Roman" w:hAnsi="Times New Roman" w:cs="Times New Roman"/>
                <w:iCs/>
                <w:sz w:val="24"/>
              </w:rPr>
              <w:t>rámci obchodov</w:t>
            </w:r>
            <w:r w:rsidR="00A3389E">
              <w:rPr>
                <w:rFonts w:ascii="Times New Roman" w:hAnsi="Times New Roman" w:cs="Times New Roman"/>
                <w:iCs/>
                <w:sz w:val="24"/>
              </w:rPr>
              <w:t xml:space="preserve"> s </w:t>
            </w:r>
            <w:r w:rsidRPr="00A3389E">
              <w:rPr>
                <w:rFonts w:ascii="Times New Roman" w:hAnsi="Times New Roman" w:cs="Times New Roman"/>
                <w:iCs/>
                <w:sz w:val="24"/>
              </w:rPr>
              <w:t>tretími stranami.</w:t>
            </w:r>
          </w:p>
          <w:p w14:paraId="23EEF1B1" w14:textId="62F2B40F" w:rsidR="00A3389E" w:rsidRPr="00A3389E" w:rsidRDefault="00FD656A" w:rsidP="00155C96">
            <w:pPr>
              <w:autoSpaceDE w:val="0"/>
              <w:autoSpaceDN w:val="0"/>
              <w:adjustRightInd w:val="0"/>
              <w:spacing w:before="120" w:after="120"/>
              <w:jc w:val="both"/>
              <w:rPr>
                <w:rFonts w:ascii="Times New Roman" w:hAnsi="Times New Roman" w:cs="Times New Roman"/>
                <w:iCs/>
                <w:sz w:val="24"/>
              </w:rPr>
            </w:pPr>
            <w:r w:rsidRPr="00A3389E">
              <w:rPr>
                <w:rFonts w:ascii="Times New Roman" w:hAnsi="Times New Roman" w:cs="Times New Roman"/>
                <w:iCs/>
                <w:sz w:val="24"/>
              </w:rPr>
              <w:t>V CRR sa neuvádza jasné vymedzenie pojmu investor.</w:t>
            </w:r>
            <w:r w:rsidR="00A3389E">
              <w:rPr>
                <w:rFonts w:ascii="Times New Roman" w:hAnsi="Times New Roman" w:cs="Times New Roman"/>
                <w:iCs/>
                <w:sz w:val="24"/>
              </w:rPr>
              <w:t xml:space="preserve"> V </w:t>
            </w:r>
            <w:r w:rsidRPr="00A3389E">
              <w:rPr>
                <w:rFonts w:ascii="Times New Roman" w:hAnsi="Times New Roman" w:cs="Times New Roman"/>
                <w:iCs/>
                <w:sz w:val="24"/>
              </w:rPr>
              <w:t>tejto súvislosti sa preto pod týmto pojmom rozumie inštitúcia, ktorá drží sekuritizačnú pozíciu</w:t>
            </w:r>
            <w:r w:rsidR="00A3389E">
              <w:rPr>
                <w:rFonts w:ascii="Times New Roman" w:hAnsi="Times New Roman" w:cs="Times New Roman"/>
                <w:iCs/>
                <w:sz w:val="24"/>
              </w:rPr>
              <w:t xml:space="preserve"> v </w:t>
            </w:r>
            <w:r w:rsidRPr="00A3389E">
              <w:rPr>
                <w:rFonts w:ascii="Times New Roman" w:hAnsi="Times New Roman" w:cs="Times New Roman"/>
                <w:iCs/>
                <w:sz w:val="24"/>
              </w:rPr>
              <w:t>sekuritizačnej transakcii, pri ktorej nie je originátorom ani sponzorom</w:t>
            </w:r>
            <w:r w:rsidR="00A3389E" w:rsidRPr="00A3389E">
              <w:rPr>
                <w:rFonts w:ascii="Times New Roman" w:hAnsi="Times New Roman" w:cs="Times New Roman"/>
                <w:iCs/>
                <w:sz w:val="24"/>
              </w:rPr>
              <w:t>.</w:t>
            </w:r>
          </w:p>
          <w:p w14:paraId="6F2E1A60" w14:textId="259017D4"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V prípade, že skupinu sekuritizovaných expozícií tvorí zmes druhov sekuritizačných pozícií, inštitúcia uvádza najdôležitejší druh.</w:t>
            </w:r>
          </w:p>
        </w:tc>
      </w:tr>
      <w:tr w:rsidR="00FD656A" w:rsidRPr="00A3389E" w14:paraId="2F4A6C4E" w14:textId="77777777" w:rsidTr="00155C96">
        <w:trPr>
          <w:trHeight w:val="316"/>
        </w:trPr>
        <w:tc>
          <w:tcPr>
            <w:tcW w:w="1413" w:type="dxa"/>
          </w:tcPr>
          <w:p w14:paraId="3C367353"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a – d; h, i, l, m</w:t>
            </w:r>
          </w:p>
        </w:tc>
        <w:tc>
          <w:tcPr>
            <w:tcW w:w="7654" w:type="dxa"/>
          </w:tcPr>
          <w:p w14:paraId="287F23BA" w14:textId="77777777" w:rsidR="00A3389E" w:rsidRPr="00A3389E" w:rsidRDefault="00FD656A" w:rsidP="00155C96">
            <w:pPr>
              <w:autoSpaceDE w:val="0"/>
              <w:autoSpaceDN w:val="0"/>
              <w:adjustRightInd w:val="0"/>
              <w:spacing w:before="120" w:after="120"/>
              <w:jc w:val="both"/>
              <w:rPr>
                <w:rFonts w:ascii="Times New Roman" w:hAnsi="Times New Roman" w:cs="Times New Roman"/>
                <w:b/>
                <w:iCs/>
                <w:sz w:val="24"/>
              </w:rPr>
            </w:pPr>
            <w:r w:rsidRPr="00A3389E">
              <w:rPr>
                <w:rFonts w:ascii="Times New Roman" w:hAnsi="Times New Roman" w:cs="Times New Roman"/>
                <w:b/>
                <w:iCs/>
                <w:sz w:val="24"/>
              </w:rPr>
              <w:t>Tradičné transakcie</w:t>
            </w:r>
          </w:p>
          <w:p w14:paraId="7AA354A8" w14:textId="4FF68FD7"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V 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242 bodom 13 CRR</w:t>
            </w:r>
            <w:r w:rsidR="00A3389E">
              <w:rPr>
                <w:rFonts w:ascii="Times New Roman" w:hAnsi="Times New Roman" w:cs="Times New Roman"/>
                <w:iCs/>
                <w:sz w:val="24"/>
              </w:rPr>
              <w:t xml:space="preserve"> v </w:t>
            </w:r>
            <w:r w:rsidRPr="00A3389E">
              <w:rPr>
                <w:rFonts w:ascii="Times New Roman" w:hAnsi="Times New Roman" w:cs="Times New Roman"/>
                <w:iCs/>
                <w:sz w:val="24"/>
              </w:rPr>
              <w:t>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2 bodom 9 nariadenia (EÚ) 2017/2402</w:t>
            </w:r>
            <w:r w:rsidRPr="00A3389E">
              <w:rPr>
                <w:rStyle w:val="FootnoteReference"/>
                <w:rFonts w:ascii="Times New Roman" w:eastAsia="Times New Roman" w:hAnsi="Times New Roman" w:cs="Times New Roman"/>
                <w:iCs/>
              </w:rPr>
              <w:footnoteReference w:id="43"/>
            </w:r>
            <w:r w:rsidRPr="00A3389E">
              <w:rPr>
                <w:rFonts w:ascii="Times New Roman" w:hAnsi="Times New Roman" w:cs="Times New Roman"/>
                <w:iCs/>
                <w:sz w:val="24"/>
              </w:rPr>
              <w:t xml:space="preserve"> je „tradičná sekuritizácia“ sekuritizácia, ktorá zahŕňa prevod hospodárskeho podielu na sekuritizovaných expozíciách. Toto sa uskutočňuje prevodom vlastníctva sekuritizovaných expozícií</w:t>
            </w:r>
            <w:r w:rsidR="00A3389E">
              <w:rPr>
                <w:rFonts w:ascii="Times New Roman" w:hAnsi="Times New Roman" w:cs="Times New Roman"/>
                <w:iCs/>
                <w:sz w:val="24"/>
              </w:rPr>
              <w:t xml:space="preserve"> z </w:t>
            </w:r>
            <w:r w:rsidRPr="00A3389E">
              <w:rPr>
                <w:rFonts w:ascii="Times New Roman" w:hAnsi="Times New Roman" w:cs="Times New Roman"/>
                <w:iCs/>
                <w:sz w:val="24"/>
              </w:rPr>
              <w:t>inštitúcie, ktorá je originátorom, na SSPE alebo prostredníctvom spoluúčasti SSPE. Emitované cenné papiere nepredstavujú platobné záväzky inštitúcie, ktorá je originátorom.</w:t>
            </w:r>
          </w:p>
          <w:p w14:paraId="66F3BA99" w14:textId="4F2D5A16"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lastRenderedPageBreak/>
              <w:t>Originátor pri zverejňovaní tohto vzoru nezohľadňuje tradičné sekuritizácie,</w:t>
            </w:r>
            <w:r w:rsidR="00A3389E">
              <w:rPr>
                <w:rFonts w:ascii="Times New Roman" w:hAnsi="Times New Roman" w:cs="Times New Roman"/>
                <w:iCs/>
                <w:sz w:val="24"/>
              </w:rPr>
              <w:t xml:space="preserve"> v </w:t>
            </w:r>
            <w:r w:rsidRPr="00A3389E">
              <w:rPr>
                <w:rFonts w:ascii="Times New Roman" w:hAnsi="Times New Roman" w:cs="Times New Roman"/>
                <w:iCs/>
                <w:sz w:val="24"/>
              </w:rPr>
              <w:t xml:space="preserve">ktorých nedrží žiadnu pozíciu. </w:t>
            </w:r>
          </w:p>
        </w:tc>
      </w:tr>
      <w:tr w:rsidR="00FD656A" w:rsidRPr="00A3389E" w14:paraId="36EDEA6A" w14:textId="77777777" w:rsidTr="00155C96">
        <w:trPr>
          <w:trHeight w:val="316"/>
        </w:trPr>
        <w:tc>
          <w:tcPr>
            <w:tcW w:w="1413" w:type="dxa"/>
          </w:tcPr>
          <w:p w14:paraId="5529B551"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lastRenderedPageBreak/>
              <w:t>e, f, j, n</w:t>
            </w:r>
          </w:p>
        </w:tc>
        <w:tc>
          <w:tcPr>
            <w:tcW w:w="7654" w:type="dxa"/>
          </w:tcPr>
          <w:p w14:paraId="4702009B" w14:textId="77777777" w:rsidR="00A3389E" w:rsidRPr="00A3389E" w:rsidRDefault="00FD656A" w:rsidP="00155C96">
            <w:pPr>
              <w:autoSpaceDE w:val="0"/>
              <w:autoSpaceDN w:val="0"/>
              <w:adjustRightInd w:val="0"/>
              <w:spacing w:before="120" w:after="120"/>
              <w:jc w:val="both"/>
              <w:rPr>
                <w:rFonts w:ascii="Times New Roman" w:hAnsi="Times New Roman" w:cs="Times New Roman"/>
                <w:b/>
                <w:iCs/>
                <w:sz w:val="24"/>
              </w:rPr>
            </w:pPr>
            <w:r w:rsidRPr="00A3389E">
              <w:rPr>
                <w:rFonts w:ascii="Times New Roman" w:hAnsi="Times New Roman" w:cs="Times New Roman"/>
                <w:b/>
                <w:iCs/>
                <w:sz w:val="24"/>
              </w:rPr>
              <w:t>Syntetické transakcie</w:t>
            </w:r>
          </w:p>
          <w:p w14:paraId="5BA04DCE" w14:textId="21C995BA"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V 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242 bodom 14 CRR</w:t>
            </w:r>
            <w:r w:rsidR="00A3389E">
              <w:rPr>
                <w:rFonts w:ascii="Times New Roman" w:hAnsi="Times New Roman" w:cs="Times New Roman"/>
                <w:iCs/>
                <w:sz w:val="24"/>
              </w:rPr>
              <w:t xml:space="preserve"> v </w:t>
            </w:r>
            <w:r w:rsidRPr="00A3389E">
              <w:rPr>
                <w:rFonts w:ascii="Times New Roman" w:hAnsi="Times New Roman" w:cs="Times New Roman"/>
                <w:iCs/>
                <w:sz w:val="24"/>
              </w:rPr>
              <w:t>spojení</w:t>
            </w:r>
            <w:r w:rsidR="00A3389E">
              <w:rPr>
                <w:rFonts w:ascii="Times New Roman" w:hAnsi="Times New Roman" w:cs="Times New Roman"/>
                <w:iCs/>
                <w:sz w:val="24"/>
              </w:rPr>
              <w:t xml:space="preserve"> s </w:t>
            </w:r>
            <w:r w:rsidRPr="00A3389E">
              <w:rPr>
                <w:rFonts w:ascii="Times New Roman" w:hAnsi="Times New Roman" w:cs="Times New Roman"/>
                <w:iCs/>
                <w:sz w:val="24"/>
              </w:rPr>
              <w:t>článkom 2 bodom 10 nariadenia (EÚ) 2017/2402 je „syntetická sekuritizácia“ sekuritizácia, pri ktorej sa presun rizika dosiahne použitím kreditných derivátov alebo záruk, pričom expozície, ktoré sa sekuritizujú, zostanú expozíciami inštitúcie, ktorá je originátorom.</w:t>
            </w:r>
          </w:p>
          <w:p w14:paraId="2FD5C4DC" w14:textId="0209D408"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Ak inštitúcia kúpila zabezpečenie, zverejňuje čisté hodnoty expozícií, ktorým je vystavená</w:t>
            </w:r>
            <w:r w:rsidR="00A3389E">
              <w:rPr>
                <w:rFonts w:ascii="Times New Roman" w:hAnsi="Times New Roman" w:cs="Times New Roman"/>
                <w:iCs/>
                <w:sz w:val="24"/>
              </w:rPr>
              <w:t xml:space="preserve"> a </w:t>
            </w:r>
            <w:r w:rsidRPr="00A3389E">
              <w:rPr>
                <w:rFonts w:ascii="Times New Roman" w:hAnsi="Times New Roman" w:cs="Times New Roman"/>
                <w:iCs/>
                <w:sz w:val="24"/>
              </w:rPr>
              <w:t>na ktoré sa nevzťahuje kúpené zabezpečenie,</w:t>
            </w:r>
            <w:r w:rsidR="00A3389E">
              <w:rPr>
                <w:rFonts w:ascii="Times New Roman" w:hAnsi="Times New Roman" w:cs="Times New Roman"/>
                <w:iCs/>
                <w:sz w:val="24"/>
              </w:rPr>
              <w:t xml:space="preserve"> v </w:t>
            </w:r>
            <w:r w:rsidRPr="00A3389E">
              <w:rPr>
                <w:rFonts w:ascii="Times New Roman" w:hAnsi="Times New Roman" w:cs="Times New Roman"/>
                <w:iCs/>
                <w:sz w:val="24"/>
              </w:rPr>
              <w:t>stĺpcoch originátor/sponzor (t. j. hodnota, ktorá nie je zabezpečená) tohto vzoru. Ak inštitúcia predala zabezpečenie, hodnota expozície zabezpečenia sa zverejňuje</w:t>
            </w:r>
            <w:r w:rsidR="00A3389E">
              <w:rPr>
                <w:rFonts w:ascii="Times New Roman" w:hAnsi="Times New Roman" w:cs="Times New Roman"/>
                <w:iCs/>
                <w:sz w:val="24"/>
              </w:rPr>
              <w:t xml:space="preserve"> v </w:t>
            </w:r>
            <w:r w:rsidRPr="00A3389E">
              <w:rPr>
                <w:rFonts w:ascii="Times New Roman" w:hAnsi="Times New Roman" w:cs="Times New Roman"/>
                <w:iCs/>
                <w:sz w:val="24"/>
              </w:rPr>
              <w:t xml:space="preserve">stĺpci „investor“ tohto vzoru. </w:t>
            </w:r>
          </w:p>
        </w:tc>
      </w:tr>
      <w:tr w:rsidR="00FD656A" w:rsidRPr="00A3389E" w14:paraId="2B856637" w14:textId="77777777" w:rsidTr="00155C96">
        <w:trPr>
          <w:trHeight w:val="316"/>
        </w:trPr>
        <w:tc>
          <w:tcPr>
            <w:tcW w:w="1413" w:type="dxa"/>
          </w:tcPr>
          <w:p w14:paraId="6046AAB7" w14:textId="7ED2C6C3"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a, b, h, l,</w:t>
            </w:r>
          </w:p>
        </w:tc>
        <w:tc>
          <w:tcPr>
            <w:tcW w:w="7654" w:type="dxa"/>
          </w:tcPr>
          <w:p w14:paraId="0C0E2F1C" w14:textId="77777777" w:rsidR="00A3389E" w:rsidRPr="00A3389E" w:rsidRDefault="00FD656A" w:rsidP="00155C96">
            <w:pPr>
              <w:autoSpaceDE w:val="0"/>
              <w:autoSpaceDN w:val="0"/>
              <w:adjustRightInd w:val="0"/>
              <w:spacing w:before="120" w:after="120"/>
              <w:jc w:val="both"/>
              <w:rPr>
                <w:rFonts w:ascii="Times New Roman" w:hAnsi="Times New Roman" w:cs="Times New Roman"/>
                <w:b/>
                <w:iCs/>
                <w:sz w:val="24"/>
              </w:rPr>
            </w:pPr>
            <w:r w:rsidRPr="00A3389E">
              <w:rPr>
                <w:rFonts w:ascii="Times New Roman" w:hAnsi="Times New Roman" w:cs="Times New Roman"/>
                <w:b/>
                <w:iCs/>
                <w:sz w:val="24"/>
              </w:rPr>
              <w:t>Expozície STS</w:t>
            </w:r>
          </w:p>
          <w:p w14:paraId="0D3E5667" w14:textId="65953C52" w:rsidR="00FD656A" w:rsidRPr="00A3389E" w:rsidRDefault="00FD656A" w:rsidP="00155C96">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iCs/>
                <w:sz w:val="24"/>
              </w:rPr>
              <w:t>Celková hodnota STS sekuritizačných pozícií</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kritériami stanovenými</w:t>
            </w:r>
            <w:r w:rsidR="00A3389E">
              <w:rPr>
                <w:rFonts w:ascii="Times New Roman" w:hAnsi="Times New Roman" w:cs="Times New Roman"/>
                <w:iCs/>
                <w:sz w:val="24"/>
              </w:rPr>
              <w:t xml:space="preserve"> v </w:t>
            </w:r>
            <w:r w:rsidRPr="00A3389E">
              <w:rPr>
                <w:rFonts w:ascii="Times New Roman" w:hAnsi="Times New Roman" w:cs="Times New Roman"/>
                <w:iCs/>
                <w:sz w:val="24"/>
              </w:rPr>
              <w:t xml:space="preserve">článkoch 18 až 26 </w:t>
            </w:r>
            <w:r w:rsidRPr="00A3389E">
              <w:rPr>
                <w:rFonts w:ascii="Times New Roman" w:hAnsi="Times New Roman" w:cs="Times New Roman"/>
                <w:sz w:val="24"/>
              </w:rPr>
              <w:t>nariadenia (EÚ) 2017/2402.</w:t>
            </w:r>
          </w:p>
        </w:tc>
      </w:tr>
      <w:tr w:rsidR="00FD656A" w:rsidRPr="00A3389E" w14:paraId="2FF047DB" w14:textId="77777777" w:rsidTr="00155C96">
        <w:trPr>
          <w:trHeight w:val="316"/>
        </w:trPr>
        <w:tc>
          <w:tcPr>
            <w:tcW w:w="1413" w:type="dxa"/>
          </w:tcPr>
          <w:p w14:paraId="37AF19AF"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b, d, f</w:t>
            </w:r>
          </w:p>
        </w:tc>
        <w:tc>
          <w:tcPr>
            <w:tcW w:w="7654" w:type="dxa"/>
          </w:tcPr>
          <w:p w14:paraId="74FCD460" w14:textId="3ACDB979" w:rsidR="00A3389E" w:rsidRPr="00A3389E" w:rsidRDefault="00FD656A" w:rsidP="00155C96">
            <w:pPr>
              <w:autoSpaceDE w:val="0"/>
              <w:autoSpaceDN w:val="0"/>
              <w:adjustRightInd w:val="0"/>
              <w:spacing w:before="120" w:after="120"/>
              <w:jc w:val="both"/>
              <w:rPr>
                <w:rFonts w:ascii="Times New Roman" w:hAnsi="Times New Roman" w:cs="Times New Roman"/>
                <w:b/>
                <w:iCs/>
                <w:sz w:val="24"/>
              </w:rPr>
            </w:pPr>
            <w:r w:rsidRPr="00A3389E">
              <w:rPr>
                <w:rFonts w:ascii="Times New Roman" w:hAnsi="Times New Roman" w:cs="Times New Roman"/>
                <w:b/>
                <w:iCs/>
                <w:sz w:val="24"/>
              </w:rPr>
              <w:t>Expozície</w:t>
            </w:r>
            <w:r w:rsidR="00A3389E">
              <w:rPr>
                <w:rFonts w:ascii="Times New Roman" w:hAnsi="Times New Roman" w:cs="Times New Roman"/>
                <w:b/>
                <w:iCs/>
                <w:sz w:val="24"/>
              </w:rPr>
              <w:t xml:space="preserve"> s </w:t>
            </w:r>
            <w:r w:rsidRPr="00A3389E">
              <w:rPr>
                <w:rFonts w:ascii="Times New Roman" w:hAnsi="Times New Roman" w:cs="Times New Roman"/>
                <w:b/>
                <w:iCs/>
                <w:sz w:val="24"/>
              </w:rPr>
              <w:t>prenosom významného rizika (SRT)</w:t>
            </w:r>
          </w:p>
          <w:p w14:paraId="66644678" w14:textId="049ED944"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Celková hodnota sekuritizačných pozícií,</w:t>
            </w:r>
            <w:r w:rsidR="00A3389E">
              <w:rPr>
                <w:rFonts w:ascii="Times New Roman" w:hAnsi="Times New Roman" w:cs="Times New Roman"/>
                <w:iCs/>
                <w:sz w:val="24"/>
              </w:rPr>
              <w:t xml:space="preserve"> v </w:t>
            </w:r>
            <w:r w:rsidRPr="00A3389E">
              <w:rPr>
                <w:rFonts w:ascii="Times New Roman" w:hAnsi="Times New Roman" w:cs="Times New Roman"/>
                <w:iCs/>
                <w:sz w:val="24"/>
              </w:rPr>
              <w:t>súvislosti</w:t>
            </w:r>
            <w:r w:rsidR="00A3389E">
              <w:rPr>
                <w:rFonts w:ascii="Times New Roman" w:hAnsi="Times New Roman" w:cs="Times New Roman"/>
                <w:iCs/>
                <w:sz w:val="24"/>
              </w:rPr>
              <w:t xml:space="preserve"> s </w:t>
            </w:r>
            <w:r w:rsidRPr="00A3389E">
              <w:rPr>
                <w:rFonts w:ascii="Times New Roman" w:hAnsi="Times New Roman" w:cs="Times New Roman"/>
                <w:iCs/>
                <w:sz w:val="24"/>
              </w:rPr>
              <w:t>ktorými inštitúcia, ktorá je originátorom, dosiahla presun významného rizika (SRT)</w:t>
            </w:r>
            <w:r w:rsidR="00A3389E">
              <w:rPr>
                <w:rFonts w:ascii="Times New Roman" w:hAnsi="Times New Roman" w:cs="Times New Roman"/>
                <w:iCs/>
                <w:sz w:val="24"/>
              </w:rPr>
              <w:t xml:space="preserve"> v </w:t>
            </w:r>
            <w:r w:rsidRPr="00A3389E">
              <w:rPr>
                <w:rFonts w:ascii="Times New Roman" w:hAnsi="Times New Roman" w:cs="Times New Roman"/>
                <w:iCs/>
                <w:sz w:val="24"/>
              </w:rPr>
              <w:t>súlade</w:t>
            </w:r>
            <w:r w:rsidR="00A3389E">
              <w:rPr>
                <w:rFonts w:ascii="Times New Roman" w:hAnsi="Times New Roman" w:cs="Times New Roman"/>
                <w:iCs/>
                <w:sz w:val="24"/>
              </w:rPr>
              <w:t xml:space="preserve"> s </w:t>
            </w:r>
            <w:r w:rsidRPr="00A3389E">
              <w:rPr>
                <w:rFonts w:ascii="Times New Roman" w:hAnsi="Times New Roman" w:cs="Times New Roman"/>
                <w:iCs/>
                <w:sz w:val="24"/>
              </w:rPr>
              <w:t>článkom 244 (tradičná sekuritizácia)</w:t>
            </w:r>
            <w:r w:rsidR="00A3389E">
              <w:rPr>
                <w:rFonts w:ascii="Times New Roman" w:hAnsi="Times New Roman" w:cs="Times New Roman"/>
                <w:iCs/>
                <w:sz w:val="24"/>
              </w:rPr>
              <w:t xml:space="preserve"> a </w:t>
            </w:r>
            <w:r w:rsidRPr="00A3389E">
              <w:rPr>
                <w:rFonts w:ascii="Times New Roman" w:hAnsi="Times New Roman" w:cs="Times New Roman"/>
                <w:iCs/>
                <w:sz w:val="24"/>
              </w:rPr>
              <w:t>článkom 245 (syntetická sekuritizácia) CRR</w:t>
            </w:r>
          </w:p>
        </w:tc>
      </w:tr>
    </w:tbl>
    <w:p w14:paraId="3001635E" w14:textId="77777777" w:rsidR="00FD656A" w:rsidRPr="00A3389E" w:rsidRDefault="00FD656A" w:rsidP="00FD656A">
      <w:pPr>
        <w:rPr>
          <w:rFonts w:ascii="Times New Roman" w:hAnsi="Times New Roman" w:cs="Times New Roman"/>
          <w:sz w:val="24"/>
        </w:rPr>
      </w:pPr>
    </w:p>
    <w:p w14:paraId="404DD993" w14:textId="77777777" w:rsidR="00FD656A" w:rsidRPr="00A3389E"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A3389E"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254C9558" w:rsidR="00FD656A" w:rsidRPr="00A3389E" w:rsidRDefault="00FD656A"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FD656A" w:rsidRPr="00A3389E" w14:paraId="3891E7FA" w14:textId="77777777" w:rsidTr="00155C96">
        <w:trPr>
          <w:trHeight w:val="238"/>
        </w:trPr>
        <w:tc>
          <w:tcPr>
            <w:tcW w:w="1384" w:type="dxa"/>
            <w:shd w:val="clear" w:color="auto" w:fill="D9D9D9" w:themeFill="background1" w:themeFillShade="D9"/>
          </w:tcPr>
          <w:p w14:paraId="6453523F" w14:textId="77777777" w:rsidR="00FD656A" w:rsidRPr="00A3389E" w:rsidRDefault="00FD656A"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6B871733" w14:textId="77777777" w:rsidR="00FD656A" w:rsidRPr="00A3389E" w:rsidRDefault="00FD656A"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FD656A" w:rsidRPr="00A3389E" w14:paraId="2710BE65" w14:textId="77777777" w:rsidTr="00155C96">
        <w:trPr>
          <w:trHeight w:val="2195"/>
        </w:trPr>
        <w:tc>
          <w:tcPr>
            <w:tcW w:w="1384" w:type="dxa"/>
          </w:tcPr>
          <w:p w14:paraId="507D43C0" w14:textId="77777777" w:rsidR="00FD656A" w:rsidRPr="00A3389E" w:rsidRDefault="00FD656A" w:rsidP="00764687">
            <w:pPr>
              <w:pStyle w:val="Applicationdirecte"/>
              <w:spacing w:before="120"/>
              <w:jc w:val="center"/>
              <w:rPr>
                <w:highlight w:val="yellow"/>
              </w:rPr>
            </w:pPr>
            <w:r w:rsidRPr="00A3389E">
              <w:t>06, 12</w:t>
            </w:r>
          </w:p>
        </w:tc>
        <w:tc>
          <w:tcPr>
            <w:tcW w:w="7655" w:type="dxa"/>
          </w:tcPr>
          <w:p w14:paraId="709D0619" w14:textId="77777777" w:rsidR="00FD656A" w:rsidRPr="00A3389E" w:rsidRDefault="00FD656A" w:rsidP="00155C96">
            <w:pPr>
              <w:jc w:val="both"/>
              <w:rPr>
                <w:rFonts w:ascii="Times New Roman" w:hAnsi="Times New Roman" w:cs="Times New Roman"/>
                <w:b/>
                <w:sz w:val="24"/>
              </w:rPr>
            </w:pPr>
            <w:r w:rsidRPr="00A3389E">
              <w:rPr>
                <w:rFonts w:ascii="Times New Roman" w:hAnsi="Times New Roman" w:cs="Times New Roman"/>
                <w:b/>
                <w:sz w:val="24"/>
              </w:rPr>
              <w:t>Resekuritizácia</w:t>
            </w:r>
          </w:p>
          <w:p w14:paraId="52FFD5C2" w14:textId="4AD7A9E3"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A3389E">
              <w:rPr>
                <w:rFonts w:ascii="Times New Roman" w:hAnsi="Times New Roman" w:cs="Times New Roman"/>
                <w:iCs/>
                <w:sz w:val="24"/>
              </w:rPr>
              <w:t>Celková hodnota nesplatených resekuritizačných pozícií</w:t>
            </w:r>
            <w:r w:rsidR="00A3389E">
              <w:rPr>
                <w:rFonts w:ascii="Times New Roman" w:hAnsi="Times New Roman" w:cs="Times New Roman"/>
                <w:iCs/>
                <w:sz w:val="24"/>
              </w:rPr>
              <w:t xml:space="preserve"> v </w:t>
            </w:r>
            <w:r w:rsidRPr="00A3389E">
              <w:rPr>
                <w:rFonts w:ascii="Times New Roman" w:hAnsi="Times New Roman" w:cs="Times New Roman"/>
                <w:iCs/>
                <w:sz w:val="24"/>
              </w:rPr>
              <w:t>zmysle vymedzenia</w:t>
            </w:r>
            <w:r w:rsidR="00A3389E">
              <w:rPr>
                <w:rFonts w:ascii="Times New Roman" w:hAnsi="Times New Roman" w:cs="Times New Roman"/>
                <w:iCs/>
                <w:sz w:val="24"/>
              </w:rPr>
              <w:t xml:space="preserve"> v </w:t>
            </w:r>
            <w:r w:rsidRPr="00A3389E">
              <w:rPr>
                <w:rFonts w:ascii="Times New Roman" w:hAnsi="Times New Roman" w:cs="Times New Roman"/>
                <w:iCs/>
                <w:sz w:val="24"/>
              </w:rPr>
              <w:t>článku 4 ods. 1 bode 63</w:t>
            </w:r>
            <w:r w:rsidR="00A3389E">
              <w:rPr>
                <w:rFonts w:ascii="Times New Roman" w:hAnsi="Times New Roman" w:cs="Times New Roman"/>
                <w:iCs/>
                <w:sz w:val="24"/>
              </w:rPr>
              <w:t xml:space="preserve"> a </w:t>
            </w:r>
            <w:r w:rsidRPr="00A3389E">
              <w:rPr>
                <w:rFonts w:ascii="Times New Roman" w:hAnsi="Times New Roman" w:cs="Times New Roman"/>
                <w:iCs/>
                <w:sz w:val="24"/>
              </w:rPr>
              <w:t>64 CRR.</w:t>
            </w:r>
          </w:p>
          <w:p w14:paraId="3BB843E0" w14:textId="00740CCD" w:rsidR="00FD656A" w:rsidRPr="00A3389E" w:rsidRDefault="00FD656A" w:rsidP="00155C96">
            <w:pPr>
              <w:jc w:val="both"/>
              <w:rPr>
                <w:rFonts w:ascii="Times New Roman" w:hAnsi="Times New Roman" w:cs="Times New Roman"/>
                <w:sz w:val="24"/>
                <w:highlight w:val="yellow"/>
              </w:rPr>
            </w:pPr>
            <w:r w:rsidRPr="00A3389E">
              <w:rPr>
                <w:rFonts w:ascii="Times New Roman" w:hAnsi="Times New Roman" w:cs="Times New Roman"/>
                <w:iCs/>
                <w:sz w:val="24"/>
              </w:rPr>
              <w:t>Všetky sekuritizačné expozície týkajúce sa resekuritizácie sa vypĺňajú</w:t>
            </w:r>
            <w:r w:rsidR="00A3389E">
              <w:rPr>
                <w:rFonts w:ascii="Times New Roman" w:hAnsi="Times New Roman" w:cs="Times New Roman"/>
                <w:iCs/>
                <w:sz w:val="24"/>
              </w:rPr>
              <w:t xml:space="preserve"> v </w:t>
            </w:r>
            <w:r w:rsidRPr="00A3389E">
              <w:rPr>
                <w:rFonts w:ascii="Times New Roman" w:hAnsi="Times New Roman" w:cs="Times New Roman"/>
                <w:iCs/>
                <w:sz w:val="24"/>
              </w:rPr>
              <w:t>riadkoch „resekuritizácia“,</w:t>
            </w:r>
            <w:r w:rsidR="00A3389E">
              <w:rPr>
                <w:rFonts w:ascii="Times New Roman" w:hAnsi="Times New Roman" w:cs="Times New Roman"/>
                <w:iCs/>
                <w:sz w:val="24"/>
              </w:rPr>
              <w:t xml:space="preserve"> a </w:t>
            </w:r>
            <w:r w:rsidRPr="00A3389E">
              <w:rPr>
                <w:rFonts w:ascii="Times New Roman" w:hAnsi="Times New Roman" w:cs="Times New Roman"/>
                <w:iCs/>
                <w:sz w:val="24"/>
              </w:rPr>
              <w:t>nie</w:t>
            </w:r>
            <w:r w:rsidR="00A3389E">
              <w:rPr>
                <w:rFonts w:ascii="Times New Roman" w:hAnsi="Times New Roman" w:cs="Times New Roman"/>
                <w:iCs/>
                <w:sz w:val="24"/>
              </w:rPr>
              <w:t xml:space="preserve"> v </w:t>
            </w:r>
            <w:r w:rsidRPr="00A3389E">
              <w:rPr>
                <w:rFonts w:ascii="Times New Roman" w:hAnsi="Times New Roman" w:cs="Times New Roman"/>
                <w:iCs/>
                <w:sz w:val="24"/>
              </w:rPr>
              <w:t>predchádzajúcich riadkoch (podľa druhu podkladového aktíva), ktoré obsahujú len sekuritizačné expozície iné ako resekuritizácia.</w:t>
            </w:r>
          </w:p>
        </w:tc>
      </w:tr>
    </w:tbl>
    <w:p w14:paraId="4864F03F" w14:textId="77777777" w:rsidR="00FD656A" w:rsidRPr="00A3389E" w:rsidRDefault="00FD656A" w:rsidP="00FD656A">
      <w:pPr>
        <w:rPr>
          <w:rFonts w:ascii="Times New Roman" w:hAnsi="Times New Roman" w:cs="Times New Roman"/>
          <w:sz w:val="24"/>
        </w:rPr>
      </w:pPr>
    </w:p>
    <w:p w14:paraId="63618CA2" w14:textId="77777777" w:rsidR="00FD656A" w:rsidRPr="00A3389E" w:rsidRDefault="00FD656A" w:rsidP="00FD656A">
      <w:pPr>
        <w:rPr>
          <w:rFonts w:ascii="Times New Roman" w:hAnsi="Times New Roman" w:cs="Times New Roman"/>
          <w:sz w:val="24"/>
        </w:rPr>
      </w:pPr>
    </w:p>
    <w:p w14:paraId="305D0456" w14:textId="515C838A" w:rsidR="00FD656A" w:rsidRPr="00A3389E" w:rsidRDefault="00D95507" w:rsidP="00FD656A">
      <w:pPr>
        <w:rPr>
          <w:rFonts w:ascii="Times New Roman" w:hAnsi="Times New Roman" w:cs="Times New Roman"/>
          <w:sz w:val="24"/>
        </w:rPr>
      </w:pPr>
      <w:r w:rsidRPr="00A3389E">
        <w:rPr>
          <w:rFonts w:ascii="Times New Roman" w:hAnsi="Times New Roman" w:cs="Times New Roman"/>
          <w:b/>
          <w:sz w:val="24"/>
        </w:rPr>
        <w:t>Vzor EU SEC2 – Sekuritizačné expozície</w:t>
      </w:r>
      <w:r w:rsidR="00A3389E">
        <w:rPr>
          <w:rFonts w:ascii="Times New Roman" w:hAnsi="Times New Roman" w:cs="Times New Roman"/>
          <w:b/>
          <w:sz w:val="24"/>
        </w:rPr>
        <w:t xml:space="preserve"> v </w:t>
      </w:r>
      <w:r w:rsidRPr="00A3389E">
        <w:rPr>
          <w:rFonts w:ascii="Times New Roman" w:hAnsi="Times New Roman" w:cs="Times New Roman"/>
          <w:b/>
          <w:sz w:val="24"/>
        </w:rPr>
        <w:t xml:space="preserve">obchodnej knihe. </w:t>
      </w:r>
      <w:r w:rsidRPr="00A3389E">
        <w:rPr>
          <w:rFonts w:ascii="Times New Roman" w:hAnsi="Times New Roman" w:cs="Times New Roman"/>
          <w:sz w:val="24"/>
        </w:rPr>
        <w:t>Pevný formát.</w:t>
      </w:r>
    </w:p>
    <w:p w14:paraId="7B7C16C7" w14:textId="60A514B8" w:rsidR="00FD656A" w:rsidRPr="00A3389E" w:rsidRDefault="00A3389E" w:rsidP="00A3389E">
      <w:pPr>
        <w:spacing w:before="120" w:after="120"/>
        <w:ind w:left="432" w:hanging="360"/>
        <w:jc w:val="both"/>
        <w:rPr>
          <w:rFonts w:ascii="Times New Roman" w:hAnsi="Times New Roman"/>
          <w:bCs/>
          <w:sz w:val="24"/>
        </w:rPr>
      </w:pPr>
      <w:r w:rsidRPr="00A3389E">
        <w:rPr>
          <w:rFonts w:ascii="Times New Roman" w:eastAsia="Calibri" w:hAnsi="Times New Roman" w:cs="Times New Roman"/>
          <w:bCs/>
          <w:sz w:val="24"/>
          <w:szCs w:val="22"/>
        </w:rPr>
        <w:t>3.</w:t>
      </w:r>
      <w:r w:rsidRPr="00A3389E">
        <w:rPr>
          <w:rFonts w:ascii="Times New Roman" w:eastAsia="Calibri" w:hAnsi="Times New Roman" w:cs="Times New Roman"/>
          <w:bCs/>
          <w:sz w:val="24"/>
          <w:szCs w:val="22"/>
        </w:rPr>
        <w:tab/>
      </w:r>
      <w:r w:rsidR="00FD656A" w:rsidRPr="00A3389E">
        <w:rPr>
          <w:rFonts w:ascii="Times New Roman" w:hAnsi="Times New Roman"/>
          <w:bCs/>
          <w:sz w:val="24"/>
        </w:rPr>
        <w:t>Inštitúcie zverejňujú informácie uvedené</w:t>
      </w:r>
      <w:r>
        <w:rPr>
          <w:rFonts w:ascii="Times New Roman" w:hAnsi="Times New Roman"/>
          <w:bCs/>
          <w:sz w:val="24"/>
        </w:rPr>
        <w:t xml:space="preserve"> v </w:t>
      </w:r>
      <w:r w:rsidR="00FD656A" w:rsidRPr="00A3389E">
        <w:rPr>
          <w:rFonts w:ascii="Times New Roman" w:hAnsi="Times New Roman"/>
          <w:bCs/>
          <w:sz w:val="24"/>
        </w:rPr>
        <w:t>článku 449 písm. j) CRR podľa pokynov uvedených nižšie</w:t>
      </w:r>
      <w:r>
        <w:rPr>
          <w:rFonts w:ascii="Times New Roman" w:hAnsi="Times New Roman"/>
          <w:bCs/>
          <w:sz w:val="24"/>
        </w:rPr>
        <w:t xml:space="preserve"> v </w:t>
      </w:r>
      <w:r w:rsidR="00FD656A" w:rsidRPr="00A3389E">
        <w:rPr>
          <w:rFonts w:ascii="Times New Roman" w:hAnsi="Times New Roman"/>
          <w:bCs/>
          <w:sz w:val="24"/>
        </w:rPr>
        <w:t>tejto prílohe</w:t>
      </w:r>
      <w:r>
        <w:rPr>
          <w:rFonts w:ascii="Times New Roman" w:hAnsi="Times New Roman"/>
          <w:bCs/>
          <w:sz w:val="24"/>
        </w:rPr>
        <w:t xml:space="preserve"> s </w:t>
      </w:r>
      <w:r w:rsidR="00FD656A" w:rsidRPr="00A3389E">
        <w:rPr>
          <w:rFonts w:ascii="Times New Roman" w:hAnsi="Times New Roman"/>
          <w:bCs/>
          <w:sz w:val="24"/>
        </w:rPr>
        <w:t>cieľom vyplniť vzor EU SEC2, ktorý je uvedený</w:t>
      </w:r>
      <w:r>
        <w:rPr>
          <w:rFonts w:ascii="Times New Roman" w:hAnsi="Times New Roman"/>
          <w:bCs/>
          <w:sz w:val="24"/>
        </w:rPr>
        <w:t xml:space="preserve"> v </w:t>
      </w:r>
      <w:r w:rsidR="00FD656A" w:rsidRPr="00A3389E">
        <w:rPr>
          <w:rFonts w:ascii="Times New Roman" w:hAnsi="Times New Roman"/>
          <w:bCs/>
          <w:sz w:val="24"/>
        </w:rPr>
        <w:t>prílohe XXVII</w:t>
      </w:r>
      <w:r>
        <w:rPr>
          <w:rFonts w:ascii="Times New Roman" w:hAnsi="Times New Roman"/>
          <w:bCs/>
          <w:sz w:val="24"/>
        </w:rPr>
        <w:t xml:space="preserve"> k </w:t>
      </w:r>
      <w:r w:rsidR="00FD656A" w:rsidRPr="00A3389E">
        <w:rPr>
          <w:rFonts w:ascii="Times New Roman" w:hAnsi="Times New Roman"/>
          <w:bCs/>
          <w:sz w:val="24"/>
        </w:rPr>
        <w:t>tomuto vykonávaciemu nariadeniu.</w:t>
      </w:r>
    </w:p>
    <w:p w14:paraId="6282D1B1" w14:textId="28C89E05" w:rsidR="00FD656A" w:rsidRPr="00A3389E" w:rsidRDefault="00A3389E" w:rsidP="00A3389E">
      <w:pPr>
        <w:spacing w:before="120" w:after="120"/>
        <w:ind w:left="432" w:hanging="360"/>
        <w:jc w:val="both"/>
        <w:rPr>
          <w:rFonts w:ascii="Times New Roman" w:hAnsi="Times New Roman"/>
          <w:bCs/>
          <w:sz w:val="24"/>
        </w:rPr>
      </w:pPr>
      <w:r w:rsidRPr="00A3389E">
        <w:rPr>
          <w:rFonts w:ascii="Times New Roman" w:eastAsia="Calibri" w:hAnsi="Times New Roman" w:cs="Times New Roman"/>
          <w:bCs/>
          <w:sz w:val="24"/>
          <w:szCs w:val="22"/>
        </w:rPr>
        <w:t>4.</w:t>
      </w:r>
      <w:r w:rsidRPr="00A3389E">
        <w:rPr>
          <w:rFonts w:ascii="Times New Roman" w:eastAsia="Calibri" w:hAnsi="Times New Roman" w:cs="Times New Roman"/>
          <w:bCs/>
          <w:sz w:val="24"/>
          <w:szCs w:val="22"/>
        </w:rPr>
        <w:tab/>
      </w:r>
      <w:r w:rsidR="00FD656A" w:rsidRPr="00A3389E">
        <w:rPr>
          <w:rFonts w:ascii="Times New Roman" w:hAnsi="Times New Roman"/>
          <w:bCs/>
          <w:sz w:val="24"/>
        </w:rPr>
        <w:t>Inštitúcie sa riadia pokynmi</w:t>
      </w:r>
      <w:r>
        <w:rPr>
          <w:rFonts w:ascii="Times New Roman" w:hAnsi="Times New Roman"/>
          <w:bCs/>
          <w:sz w:val="24"/>
        </w:rPr>
        <w:t xml:space="preserve"> k </w:t>
      </w:r>
      <w:r w:rsidR="00FD656A" w:rsidRPr="00A3389E">
        <w:rPr>
          <w:rFonts w:ascii="Times New Roman" w:hAnsi="Times New Roman"/>
          <w:bCs/>
          <w:sz w:val="24"/>
        </w:rPr>
        <w:t>vzoru EU SEC1 – Sekuritizačné expozície</w:t>
      </w:r>
      <w:r>
        <w:rPr>
          <w:rFonts w:ascii="Times New Roman" w:hAnsi="Times New Roman"/>
          <w:bCs/>
          <w:sz w:val="24"/>
        </w:rPr>
        <w:t xml:space="preserve"> v </w:t>
      </w:r>
      <w:r w:rsidR="00FD656A" w:rsidRPr="00A3389E">
        <w:rPr>
          <w:rFonts w:ascii="Times New Roman" w:hAnsi="Times New Roman"/>
          <w:bCs/>
          <w:sz w:val="24"/>
        </w:rPr>
        <w:t>neobchodnej knihe.</w:t>
      </w:r>
    </w:p>
    <w:p w14:paraId="4FB367D0" w14:textId="77777777" w:rsidR="00FD656A" w:rsidRPr="00A3389E" w:rsidRDefault="00FD656A" w:rsidP="00FD656A">
      <w:pPr>
        <w:rPr>
          <w:rFonts w:ascii="Times New Roman" w:hAnsi="Times New Roman" w:cs="Times New Roman"/>
          <w:sz w:val="24"/>
        </w:rPr>
      </w:pPr>
    </w:p>
    <w:p w14:paraId="30A281B6" w14:textId="64828D19" w:rsidR="00FD656A" w:rsidRPr="00A3389E" w:rsidRDefault="00D95507" w:rsidP="00FD656A">
      <w:pPr>
        <w:rPr>
          <w:rFonts w:ascii="Times New Roman" w:hAnsi="Times New Roman" w:cs="Times New Roman"/>
          <w:sz w:val="24"/>
        </w:rPr>
      </w:pPr>
      <w:r w:rsidRPr="00A3389E">
        <w:rPr>
          <w:rFonts w:ascii="Times New Roman" w:hAnsi="Times New Roman" w:cs="Times New Roman"/>
          <w:b/>
          <w:sz w:val="24"/>
        </w:rPr>
        <w:t>Vzor EU SEC3 – Sekuritizačné expozície</w:t>
      </w:r>
      <w:r w:rsidR="00A3389E">
        <w:rPr>
          <w:rFonts w:ascii="Times New Roman" w:hAnsi="Times New Roman" w:cs="Times New Roman"/>
          <w:b/>
          <w:sz w:val="24"/>
        </w:rPr>
        <w:t xml:space="preserve"> v </w:t>
      </w:r>
      <w:r w:rsidRPr="00A3389E">
        <w:rPr>
          <w:rFonts w:ascii="Times New Roman" w:hAnsi="Times New Roman" w:cs="Times New Roman"/>
          <w:b/>
          <w:sz w:val="24"/>
        </w:rPr>
        <w:t>neobchodnej knihe</w:t>
      </w:r>
      <w:r w:rsidR="00A3389E">
        <w:rPr>
          <w:rFonts w:ascii="Times New Roman" w:hAnsi="Times New Roman" w:cs="Times New Roman"/>
          <w:b/>
          <w:sz w:val="24"/>
        </w:rPr>
        <w:t xml:space="preserve"> a </w:t>
      </w:r>
      <w:r w:rsidRPr="00A3389E">
        <w:rPr>
          <w:rFonts w:ascii="Times New Roman" w:hAnsi="Times New Roman" w:cs="Times New Roman"/>
          <w:b/>
          <w:sz w:val="24"/>
        </w:rPr>
        <w:t xml:space="preserve">súvisiace regulačné kapitálové požiadavky – inštitúcia konajúca ako originátor alebo sponzor. </w:t>
      </w:r>
      <w:r w:rsidRPr="00A3389E">
        <w:rPr>
          <w:rFonts w:ascii="Times New Roman" w:hAnsi="Times New Roman" w:cs="Times New Roman"/>
          <w:sz w:val="24"/>
        </w:rPr>
        <w:t>Pevný formát.</w:t>
      </w:r>
    </w:p>
    <w:p w14:paraId="385752BE" w14:textId="7B84DCEF" w:rsidR="00A3389E" w:rsidRPr="00A3389E" w:rsidRDefault="00A3389E" w:rsidP="00A3389E">
      <w:pPr>
        <w:spacing w:before="120" w:after="120"/>
        <w:ind w:left="432" w:hanging="360"/>
        <w:jc w:val="both"/>
        <w:rPr>
          <w:rFonts w:ascii="Times New Roman" w:hAnsi="Times New Roman"/>
          <w:bCs/>
          <w:sz w:val="24"/>
        </w:rPr>
      </w:pPr>
      <w:r w:rsidRPr="00A3389E">
        <w:rPr>
          <w:rFonts w:ascii="Times New Roman" w:eastAsia="Calibri" w:hAnsi="Times New Roman" w:cs="Times New Roman"/>
          <w:bCs/>
          <w:sz w:val="24"/>
          <w:szCs w:val="22"/>
        </w:rPr>
        <w:t>5.</w:t>
      </w:r>
      <w:r w:rsidRPr="00A3389E">
        <w:rPr>
          <w:rFonts w:ascii="Times New Roman" w:eastAsia="Calibri" w:hAnsi="Times New Roman" w:cs="Times New Roman"/>
          <w:bCs/>
          <w:sz w:val="24"/>
          <w:szCs w:val="22"/>
        </w:rPr>
        <w:tab/>
      </w:r>
      <w:r w:rsidR="00FD656A" w:rsidRPr="00A3389E">
        <w:rPr>
          <w:rFonts w:ascii="Times New Roman" w:hAnsi="Times New Roman"/>
          <w:bCs/>
          <w:sz w:val="24"/>
        </w:rPr>
        <w:t>Inštitúcie zverejňujú informácie uvedené</w:t>
      </w:r>
      <w:r>
        <w:rPr>
          <w:rFonts w:ascii="Times New Roman" w:hAnsi="Times New Roman"/>
          <w:bCs/>
          <w:sz w:val="24"/>
        </w:rPr>
        <w:t xml:space="preserve"> v </w:t>
      </w:r>
      <w:r w:rsidR="00FD656A" w:rsidRPr="00A3389E">
        <w:rPr>
          <w:rFonts w:ascii="Times New Roman" w:hAnsi="Times New Roman"/>
          <w:bCs/>
          <w:sz w:val="24"/>
        </w:rPr>
        <w:t>článku 449 písm. k) bode i) CRR podľa pokynov uvedených nižšie</w:t>
      </w:r>
      <w:r>
        <w:rPr>
          <w:rFonts w:ascii="Times New Roman" w:hAnsi="Times New Roman"/>
          <w:bCs/>
          <w:sz w:val="24"/>
        </w:rPr>
        <w:t xml:space="preserve"> v </w:t>
      </w:r>
      <w:r w:rsidR="00FD656A" w:rsidRPr="00A3389E">
        <w:rPr>
          <w:rFonts w:ascii="Times New Roman" w:hAnsi="Times New Roman"/>
          <w:bCs/>
          <w:sz w:val="24"/>
        </w:rPr>
        <w:t>tejto prílohe</w:t>
      </w:r>
      <w:r>
        <w:rPr>
          <w:rFonts w:ascii="Times New Roman" w:hAnsi="Times New Roman"/>
          <w:bCs/>
          <w:sz w:val="24"/>
        </w:rPr>
        <w:t xml:space="preserve"> s </w:t>
      </w:r>
      <w:r w:rsidR="00FD656A" w:rsidRPr="00A3389E">
        <w:rPr>
          <w:rFonts w:ascii="Times New Roman" w:hAnsi="Times New Roman"/>
          <w:bCs/>
          <w:sz w:val="24"/>
        </w:rPr>
        <w:t>cieľom vyplniť vzor EU SEC3, ktorý je uvedený</w:t>
      </w:r>
      <w:r>
        <w:rPr>
          <w:rFonts w:ascii="Times New Roman" w:hAnsi="Times New Roman"/>
          <w:bCs/>
          <w:sz w:val="24"/>
        </w:rPr>
        <w:t xml:space="preserve"> v </w:t>
      </w:r>
      <w:r w:rsidR="00FD656A" w:rsidRPr="00A3389E">
        <w:rPr>
          <w:rFonts w:ascii="Times New Roman" w:hAnsi="Times New Roman"/>
          <w:bCs/>
          <w:sz w:val="24"/>
        </w:rPr>
        <w:t>prílohe XXVII</w:t>
      </w:r>
      <w:r>
        <w:rPr>
          <w:rFonts w:ascii="Times New Roman" w:hAnsi="Times New Roman"/>
          <w:bCs/>
          <w:sz w:val="24"/>
        </w:rPr>
        <w:t xml:space="preserve"> k </w:t>
      </w:r>
      <w:r w:rsidR="00FD656A" w:rsidRPr="00A3389E">
        <w:rPr>
          <w:rFonts w:ascii="Times New Roman" w:hAnsi="Times New Roman"/>
          <w:bCs/>
          <w:sz w:val="24"/>
        </w:rPr>
        <w:t>tomuto vykonávaciemu nariadeniu</w:t>
      </w:r>
      <w:r w:rsidRPr="00A3389E">
        <w:rPr>
          <w:rFonts w:ascii="Times New Roman" w:hAnsi="Times New Roman"/>
          <w:bCs/>
          <w:sz w:val="24"/>
        </w:rPr>
        <w:t>.</w:t>
      </w:r>
    </w:p>
    <w:p w14:paraId="53BD657D" w14:textId="20BAC654" w:rsidR="00FD656A" w:rsidRPr="00A3389E"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A3389E"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6C041B7B" w:rsidR="00FD656A" w:rsidRPr="00A3389E" w:rsidRDefault="00FD656A"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FD656A" w:rsidRPr="00A3389E" w14:paraId="65983817" w14:textId="77777777" w:rsidTr="00155C96">
        <w:trPr>
          <w:trHeight w:val="741"/>
        </w:trPr>
        <w:tc>
          <w:tcPr>
            <w:tcW w:w="1413" w:type="dxa"/>
            <w:shd w:val="clear" w:color="auto" w:fill="D9D9D9" w:themeFill="background1" w:themeFillShade="D9"/>
          </w:tcPr>
          <w:p w14:paraId="0F9207C0" w14:textId="77777777" w:rsidR="00FD656A" w:rsidRPr="00A3389E" w:rsidRDefault="00FD656A"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shd w:val="clear" w:color="auto" w:fill="D9D9D9" w:themeFill="background1" w:themeFillShade="D9"/>
          </w:tcPr>
          <w:p w14:paraId="704015FB" w14:textId="77777777" w:rsidR="00FD656A" w:rsidRPr="00A3389E" w:rsidRDefault="00FD656A"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FD656A" w:rsidRPr="00A3389E" w14:paraId="6F1EB7BA" w14:textId="77777777" w:rsidTr="00155C96">
        <w:trPr>
          <w:trHeight w:val="741"/>
        </w:trPr>
        <w:tc>
          <w:tcPr>
            <w:tcW w:w="1413" w:type="dxa"/>
            <w:shd w:val="clear" w:color="auto" w:fill="auto"/>
          </w:tcPr>
          <w:p w14:paraId="1BACB894"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a až d</w:t>
            </w:r>
          </w:p>
        </w:tc>
        <w:tc>
          <w:tcPr>
            <w:tcW w:w="7654" w:type="dxa"/>
            <w:shd w:val="clear" w:color="auto" w:fill="auto"/>
          </w:tcPr>
          <w:p w14:paraId="4C31C0A9" w14:textId="77777777"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A3389E">
              <w:rPr>
                <w:rFonts w:ascii="Times New Roman" w:hAnsi="Times New Roman" w:cs="Times New Roman"/>
                <w:b/>
                <w:sz w:val="24"/>
              </w:rPr>
              <w:t>Hodnoty expozícií (podľa pásiem rizikových váh/odpočtov)</w:t>
            </w:r>
          </w:p>
          <w:p w14:paraId="2BB8E465" w14:textId="0A26F807"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Hodnoty, ktoré sa majú zverejňovať</w:t>
            </w:r>
            <w:r w:rsidR="00A3389E">
              <w:rPr>
                <w:rFonts w:ascii="Times New Roman" w:hAnsi="Times New Roman" w:cs="Times New Roman"/>
                <w:sz w:val="24"/>
              </w:rPr>
              <w:t xml:space="preserve"> v </w:t>
            </w:r>
            <w:r w:rsidRPr="00A3389E">
              <w:rPr>
                <w:rFonts w:ascii="Times New Roman" w:hAnsi="Times New Roman" w:cs="Times New Roman"/>
                <w:sz w:val="24"/>
              </w:rPr>
              <w:t>stĺpcoch a) až d) tohto vzoru</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regulačnými rizikovými váhami, sa určujú</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5 CRR.</w:t>
            </w:r>
          </w:p>
        </w:tc>
      </w:tr>
      <w:tr w:rsidR="00FD656A" w:rsidRPr="00A3389E" w14:paraId="2FB338A2" w14:textId="77777777" w:rsidTr="00155C96">
        <w:trPr>
          <w:trHeight w:val="741"/>
        </w:trPr>
        <w:tc>
          <w:tcPr>
            <w:tcW w:w="1413" w:type="dxa"/>
            <w:shd w:val="clear" w:color="auto" w:fill="auto"/>
          </w:tcPr>
          <w:p w14:paraId="087B4DE4"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f až h</w:t>
            </w:r>
          </w:p>
        </w:tc>
        <w:tc>
          <w:tcPr>
            <w:tcW w:w="7654" w:type="dxa"/>
            <w:shd w:val="clear" w:color="auto" w:fill="auto"/>
          </w:tcPr>
          <w:p w14:paraId="7D67C5EB" w14:textId="77777777"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A3389E">
              <w:rPr>
                <w:rFonts w:ascii="Times New Roman" w:hAnsi="Times New Roman" w:cs="Times New Roman"/>
                <w:b/>
                <w:sz w:val="24"/>
              </w:rPr>
              <w:t>Hodnoty expozícií (podľa regulačného prístupu)</w:t>
            </w:r>
          </w:p>
          <w:p w14:paraId="1120BB04" w14:textId="41DDAB3A"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Stĺpce f) až h) tohto vzoru zodpovedajúce regulačnému prístupu použitému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hierarchiou prístupov podľa článku 254 CRR.</w:t>
            </w:r>
          </w:p>
        </w:tc>
      </w:tr>
      <w:tr w:rsidR="00FD656A" w:rsidRPr="00A3389E"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A3389E">
              <w:rPr>
                <w:rFonts w:ascii="Times New Roman" w:hAnsi="Times New Roman" w:cs="Times New Roman"/>
                <w:b/>
                <w:sz w:val="24"/>
              </w:rPr>
              <w:t>RWEA (podľa regulačného prístupu)</w:t>
            </w:r>
          </w:p>
          <w:p w14:paraId="478B8E54" w14:textId="16EEAB26"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Hodnota rizikovo váženej expozície (RWEA) podľa regulačného prístupu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II kapitolou 5 CRR pred uplatnením horného ohraničenia</w:t>
            </w:r>
          </w:p>
        </w:tc>
      </w:tr>
      <w:tr w:rsidR="00FD656A" w:rsidRPr="00A3389E" w14:paraId="201AC600" w14:textId="77777777" w:rsidTr="00155C96">
        <w:trPr>
          <w:trHeight w:val="741"/>
        </w:trPr>
        <w:tc>
          <w:tcPr>
            <w:tcW w:w="1413" w:type="dxa"/>
            <w:shd w:val="clear" w:color="auto" w:fill="auto"/>
          </w:tcPr>
          <w:p w14:paraId="5E7DB875" w14:textId="02688B19"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n až EU-p</w:t>
            </w:r>
          </w:p>
        </w:tc>
        <w:tc>
          <w:tcPr>
            <w:tcW w:w="7654" w:type="dxa"/>
            <w:shd w:val="clear" w:color="auto" w:fill="auto"/>
          </w:tcPr>
          <w:p w14:paraId="181A3BB2" w14:textId="77777777"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A3389E">
              <w:rPr>
                <w:rFonts w:ascii="Times New Roman" w:hAnsi="Times New Roman" w:cs="Times New Roman"/>
                <w:b/>
                <w:sz w:val="24"/>
              </w:rPr>
              <w:t>Kapitálová požiadavka po hornom ohraničení</w:t>
            </w:r>
          </w:p>
          <w:p w14:paraId="4170D150" w14:textId="1C71FB13"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Tieto stĺpce odkazujú na kapitálovú požiadavku po uplatnení horného ohraničenia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článkami 267</w:t>
            </w:r>
            <w:r w:rsidR="00A3389E">
              <w:rPr>
                <w:rFonts w:ascii="Times New Roman" w:hAnsi="Times New Roman" w:cs="Times New Roman"/>
                <w:sz w:val="24"/>
              </w:rPr>
              <w:t xml:space="preserve"> a </w:t>
            </w:r>
            <w:r w:rsidRPr="00A3389E">
              <w:rPr>
                <w:rFonts w:ascii="Times New Roman" w:hAnsi="Times New Roman" w:cs="Times New Roman"/>
                <w:sz w:val="24"/>
              </w:rPr>
              <w:t>268 CRR.</w:t>
            </w:r>
          </w:p>
        </w:tc>
      </w:tr>
      <w:tr w:rsidR="00FD656A" w:rsidRPr="00A3389E" w14:paraId="4F32B6B1" w14:textId="77777777" w:rsidTr="00155C96">
        <w:trPr>
          <w:trHeight w:val="741"/>
        </w:trPr>
        <w:tc>
          <w:tcPr>
            <w:tcW w:w="1413" w:type="dxa"/>
            <w:shd w:val="clear" w:color="auto" w:fill="auto"/>
          </w:tcPr>
          <w:p w14:paraId="3E2AC2F8" w14:textId="7FAD00FD"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e, i, m, EU-q</w:t>
            </w:r>
          </w:p>
        </w:tc>
        <w:tc>
          <w:tcPr>
            <w:tcW w:w="7654" w:type="dxa"/>
            <w:shd w:val="clear" w:color="auto" w:fill="auto"/>
          </w:tcPr>
          <w:p w14:paraId="09867D30" w14:textId="735926A1"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A3389E">
              <w:rPr>
                <w:rFonts w:ascii="Times New Roman" w:hAnsi="Times New Roman" w:cs="Times New Roman"/>
                <w:b/>
                <w:sz w:val="24"/>
              </w:rPr>
              <w:t>riziková váha 1 250</w:t>
            </w:r>
            <w:r w:rsidR="00A3389E">
              <w:rPr>
                <w:rFonts w:ascii="Times New Roman" w:hAnsi="Times New Roman" w:cs="Times New Roman"/>
                <w:b/>
                <w:sz w:val="24"/>
              </w:rPr>
              <w:t> %</w:t>
            </w:r>
            <w:r w:rsidRPr="00A3389E">
              <w:rPr>
                <w:rFonts w:ascii="Times New Roman" w:hAnsi="Times New Roman" w:cs="Times New Roman"/>
                <w:b/>
                <w:sz w:val="24"/>
              </w:rPr>
              <w:t>/odpočty</w:t>
            </w:r>
          </w:p>
          <w:p w14:paraId="077D4CCB" w14:textId="77777777"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Stĺpce sa vzťahujú na položky:</w:t>
            </w:r>
          </w:p>
          <w:p w14:paraId="6CF7BD9E" w14:textId="33491277" w:rsidR="00FD656A" w:rsidRPr="00A3389E" w:rsidRDefault="00A3389E" w:rsidP="00A3389E">
            <w:pPr>
              <w:autoSpaceDE w:val="0"/>
              <w:autoSpaceDN w:val="0"/>
              <w:adjustRightInd w:val="0"/>
              <w:spacing w:before="120" w:after="120"/>
              <w:ind w:left="720" w:hanging="360"/>
              <w:jc w:val="both"/>
              <w:rPr>
                <w:rFonts w:ascii="Times New Roman" w:eastAsia="Times New Roman" w:hAnsi="Times New Roman"/>
                <w:sz w:val="24"/>
              </w:rPr>
            </w:pPr>
            <w:r w:rsidRPr="00A3389E">
              <w:rPr>
                <w:rFonts w:ascii="Symbol" w:eastAsia="Times New Roman" w:hAnsi="Symbol" w:cs="Times New Roman"/>
                <w:sz w:val="24"/>
              </w:rPr>
              <w:t></w:t>
            </w:r>
            <w:r w:rsidRPr="00A3389E">
              <w:rPr>
                <w:rFonts w:ascii="Symbol" w:eastAsia="Times New Roman" w:hAnsi="Symbol" w:cs="Times New Roman"/>
                <w:sz w:val="24"/>
              </w:rPr>
              <w:tab/>
            </w:r>
            <w:r w:rsidR="00FD656A" w:rsidRPr="00A3389E">
              <w:rPr>
                <w:rFonts w:ascii="Times New Roman" w:hAnsi="Times New Roman"/>
                <w:sz w:val="24"/>
              </w:rPr>
              <w:t>podliehajúce rizikovej váhe 1 250</w:t>
            </w:r>
            <w:r>
              <w:rPr>
                <w:rFonts w:ascii="Times New Roman" w:hAnsi="Times New Roman"/>
                <w:sz w:val="24"/>
              </w:rPr>
              <w:t> %</w:t>
            </w:r>
            <w:r w:rsidR="00FD656A" w:rsidRPr="00A3389E">
              <w:rPr>
                <w:rFonts w:ascii="Times New Roman" w:hAnsi="Times New Roman"/>
                <w:sz w:val="24"/>
              </w:rPr>
              <w:t xml:space="preserve"> alebo odpočítané</w:t>
            </w:r>
            <w:r>
              <w:rPr>
                <w:rFonts w:ascii="Times New Roman" w:hAnsi="Times New Roman"/>
                <w:sz w:val="24"/>
              </w:rPr>
              <w:t xml:space="preserve"> v </w:t>
            </w:r>
            <w:r w:rsidR="00FD656A" w:rsidRPr="00A3389E">
              <w:rPr>
                <w:rFonts w:ascii="Times New Roman" w:hAnsi="Times New Roman"/>
                <w:sz w:val="24"/>
              </w:rPr>
              <w:t>súlade</w:t>
            </w:r>
            <w:r>
              <w:rPr>
                <w:rFonts w:ascii="Times New Roman" w:hAnsi="Times New Roman"/>
                <w:sz w:val="24"/>
              </w:rPr>
              <w:t xml:space="preserve"> s </w:t>
            </w:r>
            <w:r w:rsidR="00FD656A" w:rsidRPr="00A3389E">
              <w:rPr>
                <w:rFonts w:ascii="Times New Roman" w:hAnsi="Times New Roman"/>
                <w:sz w:val="24"/>
              </w:rPr>
              <w:t>treťou časťou hlavou II kapitolou 5 CRR,</w:t>
            </w:r>
          </w:p>
          <w:p w14:paraId="7732473D" w14:textId="252EF7DD" w:rsidR="00FD656A" w:rsidRPr="00A3389E" w:rsidRDefault="00A3389E" w:rsidP="00A3389E">
            <w:pPr>
              <w:autoSpaceDE w:val="0"/>
              <w:autoSpaceDN w:val="0"/>
              <w:adjustRightInd w:val="0"/>
              <w:spacing w:before="120" w:after="120"/>
              <w:ind w:left="720" w:hanging="360"/>
              <w:jc w:val="both"/>
              <w:rPr>
                <w:rFonts w:ascii="Times New Roman" w:eastAsia="Times New Roman" w:hAnsi="Times New Roman"/>
                <w:sz w:val="24"/>
              </w:rPr>
            </w:pPr>
            <w:r w:rsidRPr="00A3389E">
              <w:rPr>
                <w:rFonts w:ascii="Symbol" w:eastAsia="Times New Roman" w:hAnsi="Symbol" w:cs="Times New Roman"/>
                <w:sz w:val="24"/>
              </w:rPr>
              <w:t></w:t>
            </w:r>
            <w:r w:rsidRPr="00A3389E">
              <w:rPr>
                <w:rFonts w:ascii="Symbol" w:eastAsia="Times New Roman" w:hAnsi="Symbol" w:cs="Times New Roman"/>
                <w:sz w:val="24"/>
              </w:rPr>
              <w:tab/>
            </w:r>
            <w:r w:rsidR="00FD656A" w:rsidRPr="00A3389E">
              <w:rPr>
                <w:rFonts w:ascii="Times New Roman" w:hAnsi="Times New Roman"/>
                <w:sz w:val="24"/>
              </w:rPr>
              <w:t>podliehajúce rizikovej váhe 1 250</w:t>
            </w:r>
            <w:r>
              <w:rPr>
                <w:rFonts w:ascii="Times New Roman" w:hAnsi="Times New Roman"/>
                <w:sz w:val="24"/>
              </w:rPr>
              <w:t> %</w:t>
            </w:r>
            <w:r w:rsidR="00FD656A" w:rsidRPr="00A3389E">
              <w:rPr>
                <w:rFonts w:ascii="Times New Roman" w:hAnsi="Times New Roman"/>
                <w:sz w:val="24"/>
              </w:rPr>
              <w:t xml:space="preserve"> alebo odpočítané</w:t>
            </w:r>
            <w:r>
              <w:rPr>
                <w:rFonts w:ascii="Times New Roman" w:hAnsi="Times New Roman"/>
                <w:sz w:val="24"/>
              </w:rPr>
              <w:t xml:space="preserve"> v </w:t>
            </w:r>
            <w:r w:rsidR="00FD656A" w:rsidRPr="00A3389E">
              <w:rPr>
                <w:rFonts w:ascii="Times New Roman" w:hAnsi="Times New Roman"/>
                <w:sz w:val="24"/>
              </w:rPr>
              <w:t>súlade</w:t>
            </w:r>
            <w:r>
              <w:rPr>
                <w:rFonts w:ascii="Times New Roman" w:hAnsi="Times New Roman"/>
                <w:sz w:val="24"/>
              </w:rPr>
              <w:t xml:space="preserve"> s </w:t>
            </w:r>
            <w:r w:rsidR="00FD656A" w:rsidRPr="00A3389E">
              <w:rPr>
                <w:rFonts w:ascii="Times New Roman" w:hAnsi="Times New Roman"/>
                <w:sz w:val="24"/>
              </w:rPr>
              <w:t>článkom 244 ods. 1 písm. b) alebo</w:t>
            </w:r>
            <w:r>
              <w:rPr>
                <w:rFonts w:ascii="Times New Roman" w:hAnsi="Times New Roman"/>
                <w:sz w:val="24"/>
              </w:rPr>
              <w:t xml:space="preserve"> v </w:t>
            </w:r>
            <w:r w:rsidR="00FD656A" w:rsidRPr="00A3389E">
              <w:rPr>
                <w:rFonts w:ascii="Times New Roman" w:hAnsi="Times New Roman"/>
                <w:sz w:val="24"/>
              </w:rPr>
              <w:t>súlade</w:t>
            </w:r>
            <w:r>
              <w:rPr>
                <w:rFonts w:ascii="Times New Roman" w:hAnsi="Times New Roman"/>
                <w:sz w:val="24"/>
              </w:rPr>
              <w:t xml:space="preserve"> s </w:t>
            </w:r>
            <w:r w:rsidR="00FD656A" w:rsidRPr="00A3389E">
              <w:rPr>
                <w:rFonts w:ascii="Times New Roman" w:hAnsi="Times New Roman"/>
                <w:sz w:val="24"/>
              </w:rPr>
              <w:t>článkom 245 ods. 1 písm. b) CRR,</w:t>
            </w:r>
          </w:p>
          <w:p w14:paraId="5EE3DE47" w14:textId="71A228E5" w:rsidR="00FD656A" w:rsidRPr="00A3389E" w:rsidRDefault="00A3389E" w:rsidP="00A3389E">
            <w:pPr>
              <w:autoSpaceDE w:val="0"/>
              <w:autoSpaceDN w:val="0"/>
              <w:adjustRightInd w:val="0"/>
              <w:spacing w:before="120" w:after="120"/>
              <w:ind w:left="720" w:hanging="360"/>
              <w:jc w:val="both"/>
              <w:rPr>
                <w:rFonts w:ascii="Times New Roman" w:eastAsia="Times New Roman" w:hAnsi="Times New Roman"/>
                <w:sz w:val="24"/>
              </w:rPr>
            </w:pPr>
            <w:r w:rsidRPr="00A3389E">
              <w:rPr>
                <w:rFonts w:ascii="Symbol" w:eastAsia="Times New Roman" w:hAnsi="Symbol" w:cs="Times New Roman"/>
                <w:sz w:val="24"/>
              </w:rPr>
              <w:t></w:t>
            </w:r>
            <w:r w:rsidRPr="00A3389E">
              <w:rPr>
                <w:rFonts w:ascii="Symbol" w:eastAsia="Times New Roman" w:hAnsi="Symbol" w:cs="Times New Roman"/>
                <w:sz w:val="24"/>
              </w:rPr>
              <w:tab/>
            </w:r>
            <w:r w:rsidR="00FD656A" w:rsidRPr="00A3389E">
              <w:rPr>
                <w:rFonts w:ascii="Times New Roman" w:hAnsi="Times New Roman"/>
                <w:sz w:val="24"/>
              </w:rPr>
              <w:t>podliehajúce rizikovej váhe 1 250</w:t>
            </w:r>
            <w:r>
              <w:rPr>
                <w:rFonts w:ascii="Times New Roman" w:hAnsi="Times New Roman"/>
                <w:sz w:val="24"/>
              </w:rPr>
              <w:t> % v </w:t>
            </w:r>
            <w:r w:rsidR="00FD656A" w:rsidRPr="00A3389E">
              <w:rPr>
                <w:rFonts w:ascii="Times New Roman" w:hAnsi="Times New Roman"/>
                <w:sz w:val="24"/>
              </w:rPr>
              <w:t>súlade</w:t>
            </w:r>
            <w:r>
              <w:rPr>
                <w:rFonts w:ascii="Times New Roman" w:hAnsi="Times New Roman"/>
                <w:sz w:val="24"/>
              </w:rPr>
              <w:t xml:space="preserve"> s </w:t>
            </w:r>
            <w:r w:rsidR="00FD656A" w:rsidRPr="00A3389E">
              <w:rPr>
                <w:rFonts w:ascii="Times New Roman" w:hAnsi="Times New Roman"/>
                <w:sz w:val="24"/>
              </w:rPr>
              <w:t>článkom 254 ods. 7 CRR,</w:t>
            </w:r>
          </w:p>
          <w:p w14:paraId="66D33204" w14:textId="029CC5DD" w:rsidR="00FD656A" w:rsidRPr="00A3389E" w:rsidRDefault="00A3389E" w:rsidP="00A3389E">
            <w:pPr>
              <w:autoSpaceDE w:val="0"/>
              <w:autoSpaceDN w:val="0"/>
              <w:adjustRightInd w:val="0"/>
              <w:spacing w:before="120" w:after="120"/>
              <w:ind w:left="720" w:hanging="360"/>
              <w:jc w:val="both"/>
              <w:rPr>
                <w:rFonts w:ascii="Times New Roman" w:eastAsia="Times New Roman" w:hAnsi="Times New Roman"/>
                <w:sz w:val="24"/>
              </w:rPr>
            </w:pPr>
            <w:r w:rsidRPr="00A3389E">
              <w:rPr>
                <w:rFonts w:ascii="Symbol" w:eastAsia="Times New Roman" w:hAnsi="Symbol" w:cs="Times New Roman"/>
                <w:sz w:val="24"/>
              </w:rPr>
              <w:t></w:t>
            </w:r>
            <w:r w:rsidRPr="00A3389E">
              <w:rPr>
                <w:rFonts w:ascii="Symbol" w:eastAsia="Times New Roman" w:hAnsi="Symbol" w:cs="Times New Roman"/>
                <w:sz w:val="24"/>
              </w:rPr>
              <w:tab/>
            </w:r>
            <w:r w:rsidR="00FD656A" w:rsidRPr="00A3389E">
              <w:rPr>
                <w:rFonts w:ascii="Times New Roman" w:hAnsi="Times New Roman"/>
                <w:sz w:val="24"/>
              </w:rPr>
              <w:t>alebo odpočítané</w:t>
            </w:r>
            <w:r>
              <w:rPr>
                <w:rFonts w:ascii="Times New Roman" w:hAnsi="Times New Roman"/>
                <w:sz w:val="24"/>
              </w:rPr>
              <w:t xml:space="preserve"> v </w:t>
            </w:r>
            <w:r w:rsidR="00FD656A" w:rsidRPr="00A3389E">
              <w:rPr>
                <w:rFonts w:ascii="Times New Roman" w:hAnsi="Times New Roman"/>
                <w:sz w:val="24"/>
              </w:rPr>
              <w:t>súlade</w:t>
            </w:r>
            <w:r>
              <w:rPr>
                <w:rFonts w:ascii="Times New Roman" w:hAnsi="Times New Roman"/>
                <w:sz w:val="24"/>
              </w:rPr>
              <w:t xml:space="preserve"> s </w:t>
            </w:r>
            <w:r w:rsidR="00FD656A" w:rsidRPr="00A3389E">
              <w:rPr>
                <w:rFonts w:ascii="Times New Roman" w:hAnsi="Times New Roman"/>
                <w:sz w:val="24"/>
              </w:rPr>
              <w:t xml:space="preserve">článkom 253 CRR. </w:t>
            </w:r>
          </w:p>
        </w:tc>
      </w:tr>
    </w:tbl>
    <w:p w14:paraId="67978C13" w14:textId="77777777" w:rsidR="00FD656A" w:rsidRPr="00A3389E" w:rsidRDefault="00FD656A" w:rsidP="00FD656A">
      <w:pPr>
        <w:rPr>
          <w:rFonts w:ascii="Times New Roman" w:hAnsi="Times New Roman" w:cs="Times New Roman"/>
          <w:sz w:val="24"/>
        </w:rPr>
      </w:pPr>
    </w:p>
    <w:p w14:paraId="3BE5A4B2" w14:textId="77777777" w:rsidR="00FD656A" w:rsidRPr="00A3389E"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A3389E"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038F194A" w:rsidR="00FD656A" w:rsidRPr="00A3389E" w:rsidRDefault="00FD656A"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FD656A" w:rsidRPr="00A3389E" w14:paraId="62700A45" w14:textId="77777777" w:rsidTr="00155C96">
        <w:trPr>
          <w:trHeight w:val="741"/>
        </w:trPr>
        <w:tc>
          <w:tcPr>
            <w:tcW w:w="1413" w:type="dxa"/>
            <w:shd w:val="clear" w:color="auto" w:fill="D9D9D9" w:themeFill="background1" w:themeFillShade="D9"/>
          </w:tcPr>
          <w:p w14:paraId="2E1F40DF" w14:textId="77777777" w:rsidR="00FD656A" w:rsidRPr="00A3389E" w:rsidRDefault="00FD656A"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lastRenderedPageBreak/>
              <w:t>Číslo riadku</w:t>
            </w:r>
          </w:p>
        </w:tc>
        <w:tc>
          <w:tcPr>
            <w:tcW w:w="7654" w:type="dxa"/>
            <w:shd w:val="clear" w:color="auto" w:fill="D9D9D9" w:themeFill="background1" w:themeFillShade="D9"/>
          </w:tcPr>
          <w:p w14:paraId="000888AD" w14:textId="77777777" w:rsidR="00FD656A" w:rsidRPr="00A3389E" w:rsidRDefault="00FD656A"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FD656A" w:rsidRPr="00A3389E" w14:paraId="1F6C8707" w14:textId="77777777" w:rsidTr="00155C96">
        <w:trPr>
          <w:trHeight w:val="741"/>
        </w:trPr>
        <w:tc>
          <w:tcPr>
            <w:tcW w:w="1413" w:type="dxa"/>
            <w:shd w:val="clear" w:color="auto" w:fill="auto"/>
          </w:tcPr>
          <w:p w14:paraId="7F46E676"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1</w:t>
            </w:r>
          </w:p>
        </w:tc>
        <w:tc>
          <w:tcPr>
            <w:tcW w:w="7654" w:type="dxa"/>
            <w:shd w:val="clear" w:color="auto" w:fill="auto"/>
          </w:tcPr>
          <w:p w14:paraId="340318B5" w14:textId="77777777" w:rsidR="00A3389E" w:rsidRPr="00A3389E" w:rsidRDefault="00FD656A" w:rsidP="00155C96">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Celkové expozície</w:t>
            </w:r>
          </w:p>
          <w:p w14:paraId="61128B07" w14:textId="29857674"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Celkové expozície sa vzťahujú na celkovú hodnotu sekuritizačných</w:t>
            </w:r>
            <w:r w:rsidR="00A3389E">
              <w:rPr>
                <w:rFonts w:ascii="Times New Roman" w:hAnsi="Times New Roman" w:cs="Times New Roman"/>
                <w:sz w:val="24"/>
              </w:rPr>
              <w:t xml:space="preserve"> a </w:t>
            </w:r>
            <w:r w:rsidRPr="00A3389E">
              <w:rPr>
                <w:rFonts w:ascii="Times New Roman" w:hAnsi="Times New Roman" w:cs="Times New Roman"/>
                <w:sz w:val="24"/>
              </w:rPr>
              <w:t>resekuritizačných pozícií držaných inštitúciou konajúcou ako originátor alebo sponzor.</w:t>
            </w:r>
            <w:r w:rsidR="00A3389E">
              <w:rPr>
                <w:rFonts w:ascii="Times New Roman" w:hAnsi="Times New Roman" w:cs="Times New Roman"/>
                <w:sz w:val="24"/>
              </w:rPr>
              <w:t xml:space="preserve"> V </w:t>
            </w:r>
            <w:r w:rsidRPr="00A3389E">
              <w:rPr>
                <w:rFonts w:ascii="Times New Roman" w:hAnsi="Times New Roman" w:cs="Times New Roman"/>
                <w:sz w:val="24"/>
              </w:rPr>
              <w:t>tomto riadku sa sumarizujú informácie</w:t>
            </w:r>
            <w:r w:rsidR="00A3389E">
              <w:rPr>
                <w:rFonts w:ascii="Times New Roman" w:hAnsi="Times New Roman" w:cs="Times New Roman"/>
                <w:sz w:val="24"/>
              </w:rPr>
              <w:t xml:space="preserve"> o </w:t>
            </w:r>
            <w:r w:rsidRPr="00A3389E">
              <w:rPr>
                <w:rFonts w:ascii="Times New Roman" w:hAnsi="Times New Roman" w:cs="Times New Roman"/>
                <w:sz w:val="24"/>
              </w:rPr>
              <w:t>tradičnej</w:t>
            </w:r>
            <w:r w:rsidR="00A3389E">
              <w:rPr>
                <w:rFonts w:ascii="Times New Roman" w:hAnsi="Times New Roman" w:cs="Times New Roman"/>
                <w:sz w:val="24"/>
              </w:rPr>
              <w:t xml:space="preserve"> a </w:t>
            </w:r>
            <w:r w:rsidRPr="00A3389E">
              <w:rPr>
                <w:rFonts w:ascii="Times New Roman" w:hAnsi="Times New Roman" w:cs="Times New Roman"/>
                <w:sz w:val="24"/>
              </w:rPr>
              <w:t>syntetickej sekuritizácii zverejňované originátormi</w:t>
            </w:r>
            <w:r w:rsidR="00A3389E">
              <w:rPr>
                <w:rFonts w:ascii="Times New Roman" w:hAnsi="Times New Roman" w:cs="Times New Roman"/>
                <w:sz w:val="24"/>
              </w:rPr>
              <w:t xml:space="preserve"> a </w:t>
            </w:r>
            <w:r w:rsidRPr="00A3389E">
              <w:rPr>
                <w:rFonts w:ascii="Times New Roman" w:hAnsi="Times New Roman" w:cs="Times New Roman"/>
                <w:sz w:val="24"/>
              </w:rPr>
              <w:t>sponzormi</w:t>
            </w:r>
            <w:r w:rsidR="00A3389E">
              <w:rPr>
                <w:rFonts w:ascii="Times New Roman" w:hAnsi="Times New Roman" w:cs="Times New Roman"/>
                <w:sz w:val="24"/>
              </w:rPr>
              <w:t xml:space="preserve"> v </w:t>
            </w:r>
            <w:r w:rsidRPr="00A3389E">
              <w:rPr>
                <w:rFonts w:ascii="Times New Roman" w:hAnsi="Times New Roman" w:cs="Times New Roman"/>
                <w:sz w:val="24"/>
              </w:rPr>
              <w:t>nasledujúcich riadkoch.</w:t>
            </w:r>
          </w:p>
        </w:tc>
      </w:tr>
      <w:tr w:rsidR="00FD656A" w:rsidRPr="00A3389E" w14:paraId="11F73E64" w14:textId="77777777" w:rsidTr="00155C96">
        <w:trPr>
          <w:trHeight w:val="741"/>
        </w:trPr>
        <w:tc>
          <w:tcPr>
            <w:tcW w:w="1413" w:type="dxa"/>
            <w:shd w:val="clear" w:color="auto" w:fill="auto"/>
          </w:tcPr>
          <w:p w14:paraId="2184D835"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2</w:t>
            </w:r>
          </w:p>
        </w:tc>
        <w:tc>
          <w:tcPr>
            <w:tcW w:w="7654" w:type="dxa"/>
            <w:shd w:val="clear" w:color="auto" w:fill="auto"/>
          </w:tcPr>
          <w:p w14:paraId="6AC2B40F" w14:textId="77777777" w:rsidR="00A3389E" w:rsidRPr="00A3389E" w:rsidRDefault="00FD656A" w:rsidP="00155C96">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Tradičné transakcie</w:t>
            </w:r>
          </w:p>
          <w:p w14:paraId="131E718F" w14:textId="5AC106A3"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Pozri vysvetlenie</w:t>
            </w:r>
            <w:r w:rsidR="00A3389E">
              <w:rPr>
                <w:rFonts w:ascii="Times New Roman" w:hAnsi="Times New Roman" w:cs="Times New Roman"/>
                <w:sz w:val="24"/>
              </w:rPr>
              <w:t xml:space="preserve"> k </w:t>
            </w:r>
            <w:r w:rsidRPr="00A3389E">
              <w:rPr>
                <w:rFonts w:ascii="Times New Roman" w:hAnsi="Times New Roman" w:cs="Times New Roman"/>
                <w:sz w:val="24"/>
              </w:rPr>
              <w:t>vzoru EU SEC1.</w:t>
            </w:r>
          </w:p>
        </w:tc>
      </w:tr>
      <w:tr w:rsidR="00FD656A" w:rsidRPr="00A3389E" w14:paraId="572C0D34" w14:textId="77777777" w:rsidTr="00155C96">
        <w:trPr>
          <w:trHeight w:val="316"/>
        </w:trPr>
        <w:tc>
          <w:tcPr>
            <w:tcW w:w="1413" w:type="dxa"/>
          </w:tcPr>
          <w:p w14:paraId="55213017"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3, 10</w:t>
            </w:r>
          </w:p>
        </w:tc>
        <w:tc>
          <w:tcPr>
            <w:tcW w:w="7654" w:type="dxa"/>
          </w:tcPr>
          <w:p w14:paraId="0D017B0E" w14:textId="77777777" w:rsidR="00A3389E" w:rsidRPr="00A3389E" w:rsidRDefault="00FD656A" w:rsidP="00155C96">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Sekuritizácia</w:t>
            </w:r>
          </w:p>
          <w:p w14:paraId="03D9D77A" w14:textId="4D01A34A" w:rsidR="00FD656A" w:rsidRPr="00A3389E" w:rsidRDefault="00FD656A" w:rsidP="00155C96">
            <w:pPr>
              <w:jc w:val="both"/>
              <w:rPr>
                <w:rFonts w:ascii="Times New Roman" w:hAnsi="Times New Roman" w:cs="Times New Roman"/>
                <w:sz w:val="24"/>
              </w:rPr>
            </w:pPr>
            <w:r w:rsidRPr="00A3389E">
              <w:rPr>
                <w:rFonts w:ascii="Times New Roman" w:hAnsi="Times New Roman" w:cs="Times New Roman"/>
                <w:sz w:val="24"/>
              </w:rPr>
              <w:t>Celková hodnota nesplatených sekuritizačných pozícií, ako sú vymedzené</w:t>
            </w:r>
            <w:r w:rsidR="00A3389E">
              <w:rPr>
                <w:rFonts w:ascii="Times New Roman" w:hAnsi="Times New Roman" w:cs="Times New Roman"/>
                <w:sz w:val="24"/>
              </w:rPr>
              <w:t xml:space="preserve"> v </w:t>
            </w:r>
            <w:r w:rsidRPr="00A3389E">
              <w:rPr>
                <w:rFonts w:ascii="Times New Roman" w:hAnsi="Times New Roman" w:cs="Times New Roman"/>
                <w:sz w:val="24"/>
              </w:rPr>
              <w:t>článku 4 ods. 1 bode 62 CRR, ktoré nie sú resekuritizačnými pozíciami</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4 ods. 1 bode 64 CRR.</w:t>
            </w:r>
          </w:p>
        </w:tc>
      </w:tr>
      <w:tr w:rsidR="00FD656A" w:rsidRPr="00A3389E" w14:paraId="17935004" w14:textId="77777777" w:rsidTr="00155C96">
        <w:trPr>
          <w:trHeight w:val="316"/>
        </w:trPr>
        <w:tc>
          <w:tcPr>
            <w:tcW w:w="1413" w:type="dxa"/>
          </w:tcPr>
          <w:p w14:paraId="50037256"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5, 7</w:t>
            </w:r>
          </w:p>
        </w:tc>
        <w:tc>
          <w:tcPr>
            <w:tcW w:w="7654" w:type="dxa"/>
          </w:tcPr>
          <w:p w14:paraId="36780154" w14:textId="77777777" w:rsidR="00A3389E" w:rsidRPr="00A3389E" w:rsidRDefault="00FD656A" w:rsidP="00155C96">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STS</w:t>
            </w:r>
          </w:p>
          <w:p w14:paraId="2FD4F3A2" w14:textId="3D75A7E1" w:rsidR="00FD656A" w:rsidRPr="00A3389E" w:rsidRDefault="00FD656A" w:rsidP="00155C96">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Pozri vysvetlenie</w:t>
            </w:r>
            <w:r w:rsidR="00A3389E">
              <w:rPr>
                <w:rFonts w:ascii="Times New Roman" w:hAnsi="Times New Roman" w:cs="Times New Roman"/>
                <w:sz w:val="24"/>
              </w:rPr>
              <w:t xml:space="preserve"> k </w:t>
            </w:r>
            <w:r w:rsidRPr="00A3389E">
              <w:rPr>
                <w:rFonts w:ascii="Times New Roman" w:hAnsi="Times New Roman" w:cs="Times New Roman"/>
                <w:sz w:val="24"/>
              </w:rPr>
              <w:t>vzoru EU SEC1.</w:t>
            </w:r>
          </w:p>
        </w:tc>
      </w:tr>
      <w:tr w:rsidR="00FD656A" w:rsidRPr="00A3389E" w14:paraId="667A5499" w14:textId="77777777" w:rsidTr="00155C96">
        <w:trPr>
          <w:trHeight w:val="316"/>
        </w:trPr>
        <w:tc>
          <w:tcPr>
            <w:tcW w:w="1413" w:type="dxa"/>
          </w:tcPr>
          <w:p w14:paraId="09716BD8"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8, 13</w:t>
            </w:r>
          </w:p>
        </w:tc>
        <w:tc>
          <w:tcPr>
            <w:tcW w:w="7654" w:type="dxa"/>
          </w:tcPr>
          <w:p w14:paraId="5F42EE65" w14:textId="77777777" w:rsidR="00FD656A" w:rsidRPr="00A3389E" w:rsidRDefault="00FD656A" w:rsidP="00155C96">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Resekuritizácia</w:t>
            </w:r>
          </w:p>
          <w:p w14:paraId="25C089FC" w14:textId="19E5DAF6" w:rsidR="00FD656A" w:rsidRPr="00A3389E" w:rsidRDefault="00FD656A" w:rsidP="00155C96">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Pozri vysvetlenie</w:t>
            </w:r>
            <w:r w:rsidR="00A3389E">
              <w:rPr>
                <w:rFonts w:ascii="Times New Roman" w:hAnsi="Times New Roman" w:cs="Times New Roman"/>
                <w:sz w:val="24"/>
              </w:rPr>
              <w:t xml:space="preserve"> k </w:t>
            </w:r>
            <w:r w:rsidRPr="00A3389E">
              <w:rPr>
                <w:rFonts w:ascii="Times New Roman" w:hAnsi="Times New Roman" w:cs="Times New Roman"/>
                <w:sz w:val="24"/>
              </w:rPr>
              <w:t>vzoru EU SEC1.</w:t>
            </w:r>
          </w:p>
        </w:tc>
      </w:tr>
      <w:tr w:rsidR="00FD656A" w:rsidRPr="00A3389E" w14:paraId="0A1C8A80" w14:textId="77777777" w:rsidTr="00155C96">
        <w:trPr>
          <w:trHeight w:val="316"/>
        </w:trPr>
        <w:tc>
          <w:tcPr>
            <w:tcW w:w="1413" w:type="dxa"/>
          </w:tcPr>
          <w:p w14:paraId="7E0C596E"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9</w:t>
            </w:r>
          </w:p>
        </w:tc>
        <w:tc>
          <w:tcPr>
            <w:tcW w:w="7654" w:type="dxa"/>
          </w:tcPr>
          <w:p w14:paraId="3ACFC7B9" w14:textId="77777777" w:rsidR="00FD656A" w:rsidRPr="00A3389E" w:rsidRDefault="00FD656A" w:rsidP="00155C96">
            <w:pPr>
              <w:autoSpaceDE w:val="0"/>
              <w:autoSpaceDN w:val="0"/>
              <w:adjustRightInd w:val="0"/>
              <w:spacing w:before="120" w:after="120"/>
              <w:jc w:val="both"/>
              <w:rPr>
                <w:rFonts w:ascii="Times New Roman" w:hAnsi="Times New Roman" w:cs="Times New Roman"/>
                <w:b/>
                <w:sz w:val="24"/>
              </w:rPr>
            </w:pPr>
            <w:r w:rsidRPr="00A3389E">
              <w:rPr>
                <w:rFonts w:ascii="Times New Roman" w:hAnsi="Times New Roman" w:cs="Times New Roman"/>
                <w:b/>
                <w:sz w:val="24"/>
              </w:rPr>
              <w:t>Syntetické transakcie</w:t>
            </w:r>
          </w:p>
          <w:p w14:paraId="502DDA4D" w14:textId="0446722A" w:rsidR="00FD656A" w:rsidRPr="00A3389E" w:rsidRDefault="00FD656A" w:rsidP="00155C96">
            <w:pPr>
              <w:autoSpaceDE w:val="0"/>
              <w:autoSpaceDN w:val="0"/>
              <w:adjustRightInd w:val="0"/>
              <w:spacing w:before="120" w:after="120"/>
              <w:jc w:val="both"/>
              <w:rPr>
                <w:rFonts w:ascii="Times New Roman" w:hAnsi="Times New Roman" w:cs="Times New Roman"/>
                <w:sz w:val="24"/>
              </w:rPr>
            </w:pPr>
            <w:r w:rsidRPr="00A3389E">
              <w:rPr>
                <w:rFonts w:ascii="Times New Roman" w:hAnsi="Times New Roman" w:cs="Times New Roman"/>
                <w:sz w:val="24"/>
              </w:rPr>
              <w:t>Pozri vysvetlenie</w:t>
            </w:r>
            <w:r w:rsidR="00A3389E">
              <w:rPr>
                <w:rFonts w:ascii="Times New Roman" w:hAnsi="Times New Roman" w:cs="Times New Roman"/>
                <w:sz w:val="24"/>
              </w:rPr>
              <w:t xml:space="preserve"> k </w:t>
            </w:r>
            <w:r w:rsidRPr="00A3389E">
              <w:rPr>
                <w:rFonts w:ascii="Times New Roman" w:hAnsi="Times New Roman" w:cs="Times New Roman"/>
                <w:sz w:val="24"/>
              </w:rPr>
              <w:t>vzoru EU SEC1.</w:t>
            </w:r>
          </w:p>
        </w:tc>
      </w:tr>
    </w:tbl>
    <w:p w14:paraId="03FA11C4" w14:textId="77777777" w:rsidR="00FD656A" w:rsidRPr="00A3389E" w:rsidRDefault="00FD656A" w:rsidP="00FD656A">
      <w:pPr>
        <w:rPr>
          <w:rFonts w:ascii="Times New Roman" w:hAnsi="Times New Roman" w:cs="Times New Roman"/>
          <w:sz w:val="24"/>
        </w:rPr>
      </w:pPr>
    </w:p>
    <w:p w14:paraId="2B8847B3" w14:textId="77777777" w:rsidR="00FD656A" w:rsidRPr="00A3389E" w:rsidRDefault="00FD656A" w:rsidP="00FD656A">
      <w:pPr>
        <w:rPr>
          <w:rFonts w:ascii="Times New Roman" w:hAnsi="Times New Roman" w:cs="Times New Roman"/>
          <w:sz w:val="24"/>
        </w:rPr>
      </w:pPr>
    </w:p>
    <w:p w14:paraId="26335A0C" w14:textId="1A8A69E1" w:rsidR="00FD656A" w:rsidRPr="00A3389E" w:rsidRDefault="00D95507" w:rsidP="00FD656A">
      <w:pPr>
        <w:rPr>
          <w:rFonts w:ascii="Times New Roman" w:hAnsi="Times New Roman" w:cs="Times New Roman"/>
          <w:sz w:val="24"/>
        </w:rPr>
      </w:pPr>
      <w:r w:rsidRPr="00A3389E">
        <w:rPr>
          <w:rFonts w:ascii="Times New Roman" w:hAnsi="Times New Roman" w:cs="Times New Roman"/>
          <w:b/>
          <w:sz w:val="24"/>
        </w:rPr>
        <w:t>Vzor EU SEC4 – Sekuritizačné expozície</w:t>
      </w:r>
      <w:r w:rsidR="00A3389E">
        <w:rPr>
          <w:rFonts w:ascii="Times New Roman" w:hAnsi="Times New Roman" w:cs="Times New Roman"/>
          <w:b/>
          <w:sz w:val="24"/>
        </w:rPr>
        <w:t xml:space="preserve"> v </w:t>
      </w:r>
      <w:r w:rsidRPr="00A3389E">
        <w:rPr>
          <w:rFonts w:ascii="Times New Roman" w:hAnsi="Times New Roman" w:cs="Times New Roman"/>
          <w:b/>
          <w:sz w:val="24"/>
        </w:rPr>
        <w:t>neobchodnej knihe</w:t>
      </w:r>
      <w:r w:rsidR="00A3389E">
        <w:rPr>
          <w:rFonts w:ascii="Times New Roman" w:hAnsi="Times New Roman" w:cs="Times New Roman"/>
          <w:b/>
          <w:sz w:val="24"/>
        </w:rPr>
        <w:t xml:space="preserve"> a </w:t>
      </w:r>
      <w:r w:rsidRPr="00A3389E">
        <w:rPr>
          <w:rFonts w:ascii="Times New Roman" w:hAnsi="Times New Roman" w:cs="Times New Roman"/>
          <w:b/>
          <w:sz w:val="24"/>
        </w:rPr>
        <w:t xml:space="preserve">súvisiace regulačné kapitálové požiadavky – inštitúcia konajúca ako investor. </w:t>
      </w:r>
      <w:r w:rsidRPr="00A3389E">
        <w:rPr>
          <w:rFonts w:ascii="Times New Roman" w:hAnsi="Times New Roman" w:cs="Times New Roman"/>
          <w:sz w:val="24"/>
        </w:rPr>
        <w:t>Pevný formát.</w:t>
      </w:r>
    </w:p>
    <w:p w14:paraId="1B1244CB" w14:textId="19C073B7" w:rsidR="00FD656A" w:rsidRPr="00A3389E" w:rsidRDefault="00A3389E" w:rsidP="00A3389E">
      <w:pPr>
        <w:spacing w:before="120" w:after="120"/>
        <w:ind w:left="432" w:hanging="360"/>
        <w:jc w:val="both"/>
        <w:rPr>
          <w:rFonts w:ascii="Times New Roman" w:hAnsi="Times New Roman"/>
          <w:bCs/>
          <w:sz w:val="24"/>
        </w:rPr>
      </w:pPr>
      <w:r w:rsidRPr="00A3389E">
        <w:rPr>
          <w:rFonts w:ascii="Times New Roman" w:eastAsia="Calibri" w:hAnsi="Times New Roman" w:cs="Times New Roman"/>
          <w:bCs/>
          <w:sz w:val="24"/>
          <w:szCs w:val="22"/>
        </w:rPr>
        <w:t>6.</w:t>
      </w:r>
      <w:r w:rsidRPr="00A3389E">
        <w:rPr>
          <w:rFonts w:ascii="Times New Roman" w:eastAsia="Calibri" w:hAnsi="Times New Roman" w:cs="Times New Roman"/>
          <w:bCs/>
          <w:sz w:val="24"/>
          <w:szCs w:val="22"/>
        </w:rPr>
        <w:tab/>
      </w:r>
      <w:r w:rsidR="00FD656A" w:rsidRPr="00A3389E">
        <w:rPr>
          <w:rFonts w:ascii="Times New Roman" w:hAnsi="Times New Roman"/>
          <w:bCs/>
          <w:sz w:val="24"/>
        </w:rPr>
        <w:t>Inštitúcie zverejňujú informácie uvedené</w:t>
      </w:r>
      <w:r>
        <w:rPr>
          <w:rFonts w:ascii="Times New Roman" w:hAnsi="Times New Roman"/>
          <w:bCs/>
          <w:sz w:val="24"/>
        </w:rPr>
        <w:t xml:space="preserve"> v </w:t>
      </w:r>
      <w:r w:rsidR="00FD656A" w:rsidRPr="00A3389E">
        <w:rPr>
          <w:rFonts w:ascii="Times New Roman" w:hAnsi="Times New Roman"/>
          <w:bCs/>
          <w:sz w:val="24"/>
        </w:rPr>
        <w:t>článku 449 písm. k) bode ii) CRR podľa pokynov uvedených nižšie</w:t>
      </w:r>
      <w:r>
        <w:rPr>
          <w:rFonts w:ascii="Times New Roman" w:hAnsi="Times New Roman"/>
          <w:bCs/>
          <w:sz w:val="24"/>
        </w:rPr>
        <w:t xml:space="preserve"> v </w:t>
      </w:r>
      <w:r w:rsidR="00FD656A" w:rsidRPr="00A3389E">
        <w:rPr>
          <w:rFonts w:ascii="Times New Roman" w:hAnsi="Times New Roman"/>
          <w:bCs/>
          <w:sz w:val="24"/>
        </w:rPr>
        <w:t>tejto prílohe</w:t>
      </w:r>
      <w:r>
        <w:rPr>
          <w:rFonts w:ascii="Times New Roman" w:hAnsi="Times New Roman"/>
          <w:bCs/>
          <w:sz w:val="24"/>
        </w:rPr>
        <w:t xml:space="preserve"> s </w:t>
      </w:r>
      <w:r w:rsidR="00FD656A" w:rsidRPr="00A3389E">
        <w:rPr>
          <w:rFonts w:ascii="Times New Roman" w:hAnsi="Times New Roman"/>
          <w:bCs/>
          <w:sz w:val="24"/>
        </w:rPr>
        <w:t>cieľom vyplniť vzor EU SEC4, ktorý je uvedený</w:t>
      </w:r>
      <w:r>
        <w:rPr>
          <w:rFonts w:ascii="Times New Roman" w:hAnsi="Times New Roman"/>
          <w:bCs/>
          <w:sz w:val="24"/>
        </w:rPr>
        <w:t xml:space="preserve"> v </w:t>
      </w:r>
      <w:r w:rsidR="00FD656A" w:rsidRPr="00A3389E">
        <w:rPr>
          <w:rFonts w:ascii="Times New Roman" w:hAnsi="Times New Roman"/>
          <w:bCs/>
          <w:sz w:val="24"/>
        </w:rPr>
        <w:t>prílohe XXVII</w:t>
      </w:r>
      <w:r>
        <w:rPr>
          <w:rFonts w:ascii="Times New Roman" w:hAnsi="Times New Roman"/>
          <w:bCs/>
          <w:sz w:val="24"/>
        </w:rPr>
        <w:t xml:space="preserve"> k </w:t>
      </w:r>
      <w:r w:rsidR="00FD656A" w:rsidRPr="00A3389E">
        <w:rPr>
          <w:rFonts w:ascii="Times New Roman" w:hAnsi="Times New Roman"/>
          <w:bCs/>
          <w:sz w:val="24"/>
        </w:rPr>
        <w:t>tomuto vykonávaciemu nariadeniu.</w:t>
      </w:r>
    </w:p>
    <w:p w14:paraId="26E5EFB2" w14:textId="3F4CC842" w:rsidR="00FD656A" w:rsidRPr="00A3389E" w:rsidRDefault="00A3389E" w:rsidP="00A3389E">
      <w:pPr>
        <w:spacing w:before="120" w:after="120"/>
        <w:ind w:left="432" w:hanging="360"/>
        <w:jc w:val="both"/>
        <w:rPr>
          <w:rFonts w:ascii="Times New Roman" w:hAnsi="Times New Roman"/>
          <w:bCs/>
          <w:sz w:val="24"/>
        </w:rPr>
      </w:pPr>
      <w:r w:rsidRPr="00A3389E">
        <w:rPr>
          <w:rFonts w:ascii="Times New Roman" w:eastAsia="Calibri" w:hAnsi="Times New Roman" w:cs="Times New Roman"/>
          <w:bCs/>
          <w:sz w:val="24"/>
          <w:szCs w:val="22"/>
        </w:rPr>
        <w:t>7.</w:t>
      </w:r>
      <w:r w:rsidRPr="00A3389E">
        <w:rPr>
          <w:rFonts w:ascii="Times New Roman" w:eastAsia="Calibri" w:hAnsi="Times New Roman" w:cs="Times New Roman"/>
          <w:bCs/>
          <w:sz w:val="24"/>
          <w:szCs w:val="22"/>
        </w:rPr>
        <w:tab/>
      </w:r>
      <w:r w:rsidR="00FD656A" w:rsidRPr="00A3389E">
        <w:rPr>
          <w:rFonts w:ascii="Times New Roman" w:hAnsi="Times New Roman"/>
          <w:sz w:val="24"/>
        </w:rPr>
        <w:t>Inštitúcie vychádzajú</w:t>
      </w:r>
      <w:r>
        <w:rPr>
          <w:rFonts w:ascii="Times New Roman" w:hAnsi="Times New Roman"/>
          <w:sz w:val="24"/>
        </w:rPr>
        <w:t xml:space="preserve"> z </w:t>
      </w:r>
      <w:r w:rsidR="00FD656A" w:rsidRPr="00A3389E">
        <w:rPr>
          <w:rFonts w:ascii="Times New Roman" w:hAnsi="Times New Roman"/>
          <w:sz w:val="24"/>
        </w:rPr>
        <w:t>pokynov</w:t>
      </w:r>
      <w:r>
        <w:rPr>
          <w:rFonts w:ascii="Times New Roman" w:hAnsi="Times New Roman"/>
          <w:sz w:val="24"/>
        </w:rPr>
        <w:t xml:space="preserve"> k </w:t>
      </w:r>
      <w:r w:rsidR="00FD656A" w:rsidRPr="00A3389E">
        <w:rPr>
          <w:rFonts w:ascii="Times New Roman" w:hAnsi="Times New Roman"/>
          <w:sz w:val="24"/>
        </w:rPr>
        <w:t>vzoru EU SEC3 – Sekuritizačné expozície</w:t>
      </w:r>
      <w:r>
        <w:rPr>
          <w:rFonts w:ascii="Times New Roman" w:hAnsi="Times New Roman"/>
          <w:sz w:val="24"/>
        </w:rPr>
        <w:t xml:space="preserve"> v </w:t>
      </w:r>
      <w:r w:rsidR="00FD656A" w:rsidRPr="00A3389E">
        <w:rPr>
          <w:rFonts w:ascii="Times New Roman" w:hAnsi="Times New Roman"/>
          <w:sz w:val="24"/>
        </w:rPr>
        <w:t>neobchodnej knihe</w:t>
      </w:r>
      <w:r>
        <w:rPr>
          <w:rFonts w:ascii="Times New Roman" w:hAnsi="Times New Roman"/>
          <w:sz w:val="24"/>
        </w:rPr>
        <w:t xml:space="preserve"> a </w:t>
      </w:r>
      <w:r w:rsidR="00FD656A" w:rsidRPr="00A3389E">
        <w:rPr>
          <w:rFonts w:ascii="Times New Roman" w:hAnsi="Times New Roman"/>
          <w:sz w:val="24"/>
        </w:rPr>
        <w:t>súvisiace regulačné kapitálové požiadavky – inštitúcia konajúca ako originátor alebo sponzor.</w:t>
      </w:r>
    </w:p>
    <w:p w14:paraId="5E29523C" w14:textId="77777777" w:rsidR="00FD656A" w:rsidRPr="00A3389E" w:rsidRDefault="00FD656A" w:rsidP="00FD656A">
      <w:pPr>
        <w:rPr>
          <w:rFonts w:ascii="Times New Roman" w:hAnsi="Times New Roman" w:cs="Times New Roman"/>
          <w:sz w:val="24"/>
        </w:rPr>
      </w:pPr>
    </w:p>
    <w:p w14:paraId="7244A814" w14:textId="6BB60862" w:rsidR="00FD656A" w:rsidRPr="00A3389E" w:rsidRDefault="00D95507" w:rsidP="00FD656A">
      <w:pPr>
        <w:rPr>
          <w:rFonts w:ascii="Times New Roman" w:hAnsi="Times New Roman" w:cs="Times New Roman"/>
          <w:b/>
          <w:sz w:val="24"/>
        </w:rPr>
      </w:pPr>
      <w:r w:rsidRPr="00A3389E">
        <w:rPr>
          <w:rFonts w:ascii="Times New Roman" w:hAnsi="Times New Roman" w:cs="Times New Roman"/>
          <w:b/>
          <w:sz w:val="24"/>
        </w:rPr>
        <w:t>Vzor EU SEC5 – Expozície sekuritizované inštitúciou – expozície</w:t>
      </w:r>
      <w:r w:rsidR="00A3389E">
        <w:rPr>
          <w:rFonts w:ascii="Times New Roman" w:hAnsi="Times New Roman" w:cs="Times New Roman"/>
          <w:b/>
          <w:sz w:val="24"/>
        </w:rPr>
        <w:t xml:space="preserve"> v </w:t>
      </w:r>
      <w:r w:rsidRPr="00A3389E">
        <w:rPr>
          <w:rFonts w:ascii="Times New Roman" w:hAnsi="Times New Roman" w:cs="Times New Roman"/>
          <w:b/>
          <w:sz w:val="24"/>
        </w:rPr>
        <w:t>stave zlyhania</w:t>
      </w:r>
      <w:r w:rsidR="00A3389E">
        <w:rPr>
          <w:rFonts w:ascii="Times New Roman" w:hAnsi="Times New Roman" w:cs="Times New Roman"/>
          <w:b/>
          <w:sz w:val="24"/>
        </w:rPr>
        <w:t xml:space="preserve"> a </w:t>
      </w:r>
      <w:r w:rsidRPr="00A3389E">
        <w:rPr>
          <w:rFonts w:ascii="Times New Roman" w:hAnsi="Times New Roman" w:cs="Times New Roman"/>
          <w:b/>
          <w:sz w:val="24"/>
        </w:rPr>
        <w:t xml:space="preserve">špecifické úpravy kreditného rizika. </w:t>
      </w:r>
      <w:r w:rsidRPr="00A3389E">
        <w:rPr>
          <w:rFonts w:ascii="Times New Roman" w:hAnsi="Times New Roman" w:cs="Times New Roman"/>
          <w:sz w:val="24"/>
        </w:rPr>
        <w:t>Pevný formát.</w:t>
      </w:r>
    </w:p>
    <w:p w14:paraId="4EF0F0C4" w14:textId="0013BB58" w:rsidR="00FD656A" w:rsidRPr="00A3389E" w:rsidRDefault="00A3389E" w:rsidP="00A3389E">
      <w:pPr>
        <w:spacing w:before="120" w:after="120"/>
        <w:ind w:left="432" w:hanging="360"/>
        <w:jc w:val="both"/>
        <w:rPr>
          <w:rFonts w:ascii="Times New Roman" w:hAnsi="Times New Roman"/>
          <w:bCs/>
          <w:sz w:val="24"/>
        </w:rPr>
      </w:pPr>
      <w:r w:rsidRPr="00A3389E">
        <w:rPr>
          <w:rFonts w:ascii="Times New Roman" w:eastAsia="Calibri" w:hAnsi="Times New Roman" w:cs="Times New Roman"/>
          <w:bCs/>
          <w:sz w:val="24"/>
          <w:szCs w:val="22"/>
        </w:rPr>
        <w:t>8.</w:t>
      </w:r>
      <w:r w:rsidRPr="00A3389E">
        <w:rPr>
          <w:rFonts w:ascii="Times New Roman" w:eastAsia="Calibri" w:hAnsi="Times New Roman" w:cs="Times New Roman"/>
          <w:bCs/>
          <w:sz w:val="24"/>
          <w:szCs w:val="22"/>
        </w:rPr>
        <w:tab/>
      </w:r>
      <w:r w:rsidR="00FD656A" w:rsidRPr="00A3389E">
        <w:rPr>
          <w:rFonts w:ascii="Times New Roman" w:hAnsi="Times New Roman"/>
          <w:bCs/>
          <w:sz w:val="24"/>
        </w:rPr>
        <w:t>Inštitúcie zverejňujú informácie uvedené</w:t>
      </w:r>
      <w:r>
        <w:rPr>
          <w:rFonts w:ascii="Times New Roman" w:hAnsi="Times New Roman"/>
          <w:bCs/>
          <w:sz w:val="24"/>
        </w:rPr>
        <w:t xml:space="preserve"> v </w:t>
      </w:r>
      <w:r w:rsidR="00FD656A" w:rsidRPr="00A3389E">
        <w:rPr>
          <w:rFonts w:ascii="Times New Roman" w:hAnsi="Times New Roman"/>
          <w:bCs/>
          <w:sz w:val="24"/>
        </w:rPr>
        <w:t>článku 449 písm. l) CRR podľa druhu sekuritizačnej expozície</w:t>
      </w:r>
      <w:r>
        <w:rPr>
          <w:rFonts w:ascii="Times New Roman" w:hAnsi="Times New Roman"/>
          <w:bCs/>
          <w:sz w:val="24"/>
        </w:rPr>
        <w:t xml:space="preserve"> v </w:t>
      </w:r>
      <w:r w:rsidR="00FD656A" w:rsidRPr="00A3389E">
        <w:rPr>
          <w:rFonts w:ascii="Times New Roman" w:hAnsi="Times New Roman"/>
          <w:bCs/>
          <w:sz w:val="24"/>
        </w:rPr>
        <w:t>súlade</w:t>
      </w:r>
      <w:r>
        <w:rPr>
          <w:rFonts w:ascii="Times New Roman" w:hAnsi="Times New Roman"/>
          <w:bCs/>
          <w:sz w:val="24"/>
        </w:rPr>
        <w:t xml:space="preserve"> s </w:t>
      </w:r>
      <w:r w:rsidR="00FD656A" w:rsidRPr="00A3389E">
        <w:rPr>
          <w:rFonts w:ascii="Times New Roman" w:hAnsi="Times New Roman"/>
          <w:bCs/>
          <w:sz w:val="24"/>
        </w:rPr>
        <w:t>pokynmi uvedenými nižšie</w:t>
      </w:r>
      <w:r>
        <w:rPr>
          <w:rFonts w:ascii="Times New Roman" w:hAnsi="Times New Roman"/>
          <w:bCs/>
          <w:sz w:val="24"/>
        </w:rPr>
        <w:t xml:space="preserve"> v </w:t>
      </w:r>
      <w:r w:rsidR="00FD656A" w:rsidRPr="00A3389E">
        <w:rPr>
          <w:rFonts w:ascii="Times New Roman" w:hAnsi="Times New Roman"/>
          <w:bCs/>
          <w:sz w:val="24"/>
        </w:rPr>
        <w:t>tejto prílohe</w:t>
      </w:r>
      <w:r>
        <w:rPr>
          <w:rFonts w:ascii="Times New Roman" w:hAnsi="Times New Roman"/>
          <w:bCs/>
          <w:sz w:val="24"/>
        </w:rPr>
        <w:t xml:space="preserve"> s </w:t>
      </w:r>
      <w:r w:rsidR="00FD656A" w:rsidRPr="00A3389E">
        <w:rPr>
          <w:rFonts w:ascii="Times New Roman" w:hAnsi="Times New Roman"/>
          <w:bCs/>
          <w:sz w:val="24"/>
        </w:rPr>
        <w:t>cieľom vyplniť vzor EU SEC5, ktorý je uvedený</w:t>
      </w:r>
      <w:r>
        <w:rPr>
          <w:rFonts w:ascii="Times New Roman" w:hAnsi="Times New Roman"/>
          <w:bCs/>
          <w:sz w:val="24"/>
        </w:rPr>
        <w:t xml:space="preserve"> v </w:t>
      </w:r>
      <w:r w:rsidR="00FD656A" w:rsidRPr="00A3389E">
        <w:rPr>
          <w:rFonts w:ascii="Times New Roman" w:hAnsi="Times New Roman"/>
          <w:bCs/>
          <w:sz w:val="24"/>
        </w:rPr>
        <w:t>prílohe XXVII</w:t>
      </w:r>
      <w:r>
        <w:rPr>
          <w:rFonts w:ascii="Times New Roman" w:hAnsi="Times New Roman"/>
          <w:bCs/>
          <w:sz w:val="24"/>
        </w:rPr>
        <w:t xml:space="preserve"> k </w:t>
      </w:r>
      <w:r w:rsidR="00FD656A" w:rsidRPr="00A3389E">
        <w:rPr>
          <w:rFonts w:ascii="Times New Roman" w:hAnsi="Times New Roman"/>
          <w:bCs/>
          <w:sz w:val="24"/>
        </w:rPr>
        <w:t>tomuto vykonávaciemu nariadeniu.</w:t>
      </w:r>
    </w:p>
    <w:p w14:paraId="0C515F74" w14:textId="77777777" w:rsidR="00FD656A" w:rsidRPr="00A3389E"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A3389E"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ABB719A" w:rsidR="00FD656A" w:rsidRPr="00A3389E" w:rsidRDefault="00FD656A" w:rsidP="00155C96">
            <w:pPr>
              <w:rPr>
                <w:rFonts w:ascii="Times New Roman" w:hAnsi="Times New Roman" w:cs="Times New Roman"/>
                <w:b/>
                <w:sz w:val="24"/>
              </w:rPr>
            </w:pPr>
            <w:r w:rsidRPr="00A3389E">
              <w:rPr>
                <w:rFonts w:ascii="Times New Roman" w:hAnsi="Times New Roman" w:cs="Times New Roman"/>
                <w:b/>
                <w:sz w:val="24"/>
              </w:rPr>
              <w:lastRenderedPageBreak/>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FD656A" w:rsidRPr="00A3389E" w14:paraId="0B36D42B" w14:textId="77777777" w:rsidTr="00155C96">
        <w:trPr>
          <w:trHeight w:val="741"/>
        </w:trPr>
        <w:tc>
          <w:tcPr>
            <w:tcW w:w="1413" w:type="dxa"/>
            <w:shd w:val="clear" w:color="auto" w:fill="D9D9D9" w:themeFill="background1" w:themeFillShade="D9"/>
          </w:tcPr>
          <w:p w14:paraId="1FBDC6DD" w14:textId="77777777" w:rsidR="00FD656A" w:rsidRPr="00A3389E" w:rsidRDefault="00FD656A"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Odkaz na stĺpec</w:t>
            </w:r>
          </w:p>
        </w:tc>
        <w:tc>
          <w:tcPr>
            <w:tcW w:w="7654" w:type="dxa"/>
            <w:shd w:val="clear" w:color="auto" w:fill="D9D9D9" w:themeFill="background1" w:themeFillShade="D9"/>
          </w:tcPr>
          <w:p w14:paraId="4E82CE72" w14:textId="77777777" w:rsidR="00FD656A" w:rsidRPr="00A3389E" w:rsidRDefault="00FD656A"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FD656A" w:rsidRPr="00A3389E" w14:paraId="590FEA31" w14:textId="77777777" w:rsidTr="00155C96">
        <w:trPr>
          <w:trHeight w:val="741"/>
        </w:trPr>
        <w:tc>
          <w:tcPr>
            <w:tcW w:w="1413" w:type="dxa"/>
            <w:shd w:val="clear" w:color="auto" w:fill="auto"/>
          </w:tcPr>
          <w:p w14:paraId="5176268C"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a</w:t>
            </w:r>
          </w:p>
        </w:tc>
        <w:tc>
          <w:tcPr>
            <w:tcW w:w="7654" w:type="dxa"/>
            <w:shd w:val="clear" w:color="auto" w:fill="auto"/>
          </w:tcPr>
          <w:p w14:paraId="3CB1BA27" w14:textId="77777777"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A3389E">
              <w:rPr>
                <w:rFonts w:ascii="Times New Roman" w:hAnsi="Times New Roman" w:cs="Times New Roman"/>
                <w:b/>
                <w:sz w:val="24"/>
              </w:rPr>
              <w:t>Celková nesplatená nominálna hodnota</w:t>
            </w:r>
          </w:p>
          <w:p w14:paraId="093F3639" w14:textId="73145672"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Celková nesplatená nominálna hodnota expozícií sekuritizovaných inštitúciou (inštitúcia koná ako originátor alebo sponzor)</w:t>
            </w:r>
            <w:r w:rsidR="00A3389E">
              <w:rPr>
                <w:rFonts w:ascii="Times New Roman" w:hAnsi="Times New Roman" w:cs="Times New Roman"/>
                <w:sz w:val="24"/>
              </w:rPr>
              <w:t xml:space="preserve"> v </w:t>
            </w:r>
            <w:r w:rsidRPr="00A3389E">
              <w:rPr>
                <w:rFonts w:ascii="Times New Roman" w:hAnsi="Times New Roman" w:cs="Times New Roman"/>
                <w:sz w:val="24"/>
              </w:rPr>
              <w:t>rozčlenení podľa druhu sekuritizačnej expozície.</w:t>
            </w:r>
          </w:p>
        </w:tc>
      </w:tr>
      <w:tr w:rsidR="00FD656A" w:rsidRPr="00A3389E" w14:paraId="14BB4C13" w14:textId="77777777" w:rsidTr="00155C96">
        <w:trPr>
          <w:trHeight w:val="741"/>
        </w:trPr>
        <w:tc>
          <w:tcPr>
            <w:tcW w:w="1413" w:type="dxa"/>
            <w:shd w:val="clear" w:color="auto" w:fill="auto"/>
          </w:tcPr>
          <w:p w14:paraId="52985090"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b</w:t>
            </w:r>
          </w:p>
        </w:tc>
        <w:tc>
          <w:tcPr>
            <w:tcW w:w="7654" w:type="dxa"/>
            <w:shd w:val="clear" w:color="auto" w:fill="auto"/>
          </w:tcPr>
          <w:p w14:paraId="38577A55" w14:textId="1CE28CD8"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A3389E">
              <w:rPr>
                <w:rFonts w:ascii="Times New Roman" w:hAnsi="Times New Roman" w:cs="Times New Roman"/>
                <w:b/>
                <w:sz w:val="24"/>
              </w:rPr>
              <w:t>Celková nesplatená nominálna hodnota –</w:t>
            </w:r>
            <w:r w:rsidR="00A3389E">
              <w:rPr>
                <w:rFonts w:ascii="Times New Roman" w:hAnsi="Times New Roman" w:cs="Times New Roman"/>
                <w:b/>
                <w:sz w:val="24"/>
              </w:rPr>
              <w:t xml:space="preserve"> z </w:t>
            </w:r>
            <w:r w:rsidRPr="00A3389E">
              <w:rPr>
                <w:rFonts w:ascii="Times New Roman" w:hAnsi="Times New Roman" w:cs="Times New Roman"/>
                <w:b/>
                <w:sz w:val="24"/>
              </w:rPr>
              <w:t>čoho expozície</w:t>
            </w:r>
            <w:r w:rsidR="00A3389E">
              <w:rPr>
                <w:rFonts w:ascii="Times New Roman" w:hAnsi="Times New Roman" w:cs="Times New Roman"/>
                <w:b/>
                <w:sz w:val="24"/>
              </w:rPr>
              <w:t xml:space="preserve"> v </w:t>
            </w:r>
            <w:r w:rsidRPr="00A3389E">
              <w:rPr>
                <w:rFonts w:ascii="Times New Roman" w:hAnsi="Times New Roman" w:cs="Times New Roman"/>
                <w:b/>
                <w:sz w:val="24"/>
              </w:rPr>
              <w:t>stave zlyhania</w:t>
            </w:r>
          </w:p>
          <w:p w14:paraId="0EFCD670" w14:textId="6070927D"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Style w:val="InstructionsTabelleText"/>
                <w:rFonts w:ascii="Times New Roman" w:hAnsi="Times New Roman"/>
                <w:sz w:val="24"/>
              </w:rPr>
              <w:t>Celková nesplatená nominálna hodnota</w:t>
            </w:r>
            <w:r w:rsidRPr="00A3389E">
              <w:rPr>
                <w:rFonts w:ascii="Times New Roman" w:hAnsi="Times New Roman" w:cs="Times New Roman"/>
                <w:sz w:val="24"/>
              </w:rPr>
              <w:t xml:space="preserve"> expozícií sekuritizovaných inštitúciou (inštitúcia koná ako originátor alebo sponzor)</w:t>
            </w:r>
            <w:r w:rsidRPr="00A3389E">
              <w:rPr>
                <w:rStyle w:val="InstructionsTabelleText"/>
                <w:rFonts w:ascii="Times New Roman" w:hAnsi="Times New Roman"/>
                <w:sz w:val="24"/>
              </w:rPr>
              <w:t>, ktoré boli klasifikované ako „expozície</w:t>
            </w:r>
            <w:r w:rsidR="00A3389E">
              <w:rPr>
                <w:rStyle w:val="InstructionsTabelleText"/>
                <w:rFonts w:ascii="Times New Roman" w:hAnsi="Times New Roman"/>
                <w:sz w:val="24"/>
              </w:rPr>
              <w:t xml:space="preserve"> v </w:t>
            </w:r>
            <w:r w:rsidRPr="00A3389E">
              <w:rPr>
                <w:rStyle w:val="InstructionsTabelleText"/>
                <w:rFonts w:ascii="Times New Roman" w:hAnsi="Times New Roman"/>
                <w:sz w:val="24"/>
              </w:rPr>
              <w:t>stave zlyhania“</w:t>
            </w:r>
            <w:r w:rsidR="00A3389E">
              <w:rPr>
                <w:rStyle w:val="InstructionsTabelleText"/>
                <w:rFonts w:ascii="Times New Roman" w:hAnsi="Times New Roman"/>
                <w:sz w:val="24"/>
              </w:rPr>
              <w:t xml:space="preserve"> v </w:t>
            </w:r>
            <w:r w:rsidRPr="00A3389E">
              <w:rPr>
                <w:rStyle w:val="InstructionsTabelleText"/>
                <w:rFonts w:ascii="Times New Roman" w:hAnsi="Times New Roman"/>
                <w:sz w:val="24"/>
              </w:rPr>
              <w:t>súlade</w:t>
            </w:r>
            <w:r w:rsidR="00A3389E">
              <w:rPr>
                <w:rStyle w:val="InstructionsTabelleText"/>
                <w:rFonts w:ascii="Times New Roman" w:hAnsi="Times New Roman"/>
                <w:sz w:val="24"/>
              </w:rPr>
              <w:t xml:space="preserve"> s </w:t>
            </w:r>
            <w:r w:rsidRPr="00A3389E">
              <w:rPr>
                <w:rStyle w:val="InstructionsTabelleText"/>
                <w:rFonts w:ascii="Times New Roman" w:hAnsi="Times New Roman"/>
                <w:sz w:val="24"/>
              </w:rPr>
              <w:t>článkom 178 CRR,</w:t>
            </w:r>
            <w:r w:rsidR="00A3389E">
              <w:rPr>
                <w:rFonts w:ascii="Times New Roman" w:hAnsi="Times New Roman" w:cs="Times New Roman"/>
                <w:sz w:val="24"/>
              </w:rPr>
              <w:t xml:space="preserve"> v </w:t>
            </w:r>
            <w:r w:rsidRPr="00A3389E">
              <w:rPr>
                <w:rFonts w:ascii="Times New Roman" w:hAnsi="Times New Roman" w:cs="Times New Roman"/>
                <w:sz w:val="24"/>
              </w:rPr>
              <w:t>rozčlenení podľa druhu sekuritizačnej expozície.</w:t>
            </w:r>
          </w:p>
        </w:tc>
      </w:tr>
      <w:tr w:rsidR="00FD656A" w:rsidRPr="00A3389E" w14:paraId="5BFEC22E" w14:textId="77777777" w:rsidTr="00155C96">
        <w:trPr>
          <w:trHeight w:val="741"/>
        </w:trPr>
        <w:tc>
          <w:tcPr>
            <w:tcW w:w="1413" w:type="dxa"/>
            <w:shd w:val="clear" w:color="auto" w:fill="auto"/>
          </w:tcPr>
          <w:p w14:paraId="70623005" w14:textId="77777777" w:rsidR="00FD656A" w:rsidRPr="00A3389E"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A3389E">
              <w:rPr>
                <w:rFonts w:ascii="Times New Roman" w:hAnsi="Times New Roman" w:cs="Times New Roman"/>
                <w:sz w:val="24"/>
              </w:rPr>
              <w:t>c</w:t>
            </w:r>
          </w:p>
        </w:tc>
        <w:tc>
          <w:tcPr>
            <w:tcW w:w="7654" w:type="dxa"/>
            <w:shd w:val="clear" w:color="auto" w:fill="auto"/>
          </w:tcPr>
          <w:p w14:paraId="01D915B9" w14:textId="77777777" w:rsidR="00FD656A" w:rsidRPr="00A3389E" w:rsidRDefault="00FD656A" w:rsidP="00155C96">
            <w:pPr>
              <w:rPr>
                <w:rFonts w:ascii="Times New Roman" w:eastAsia="Times New Roman" w:hAnsi="Times New Roman" w:cs="Times New Roman"/>
                <w:b/>
                <w:sz w:val="24"/>
              </w:rPr>
            </w:pPr>
            <w:r w:rsidRPr="00A3389E">
              <w:rPr>
                <w:rFonts w:ascii="Times New Roman" w:hAnsi="Times New Roman" w:cs="Times New Roman"/>
                <w:b/>
                <w:sz w:val="24"/>
              </w:rPr>
              <w:t>Špecifické úpravy kreditného rizika vykonané počas obdobia</w:t>
            </w:r>
          </w:p>
          <w:p w14:paraId="00230EE3" w14:textId="0EA5EE89" w:rsidR="00FD656A" w:rsidRPr="00A3389E"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A3389E">
              <w:rPr>
                <w:rFonts w:ascii="Times New Roman" w:hAnsi="Times New Roman" w:cs="Times New Roman"/>
                <w:sz w:val="24"/>
              </w:rPr>
              <w:t>Hodnota špecifických úprav kreditného rizika vykonaných počas daného obdobia</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110 CRR</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expozíciami sekuritizovanými inštitúciou (inštitúcia koná ako originátor alebo sponzor),</w:t>
            </w:r>
            <w:r w:rsidR="00A3389E">
              <w:rPr>
                <w:rFonts w:ascii="Times New Roman" w:hAnsi="Times New Roman" w:cs="Times New Roman"/>
                <w:sz w:val="24"/>
              </w:rPr>
              <w:t xml:space="preserve"> v </w:t>
            </w:r>
            <w:r w:rsidRPr="00A3389E">
              <w:rPr>
                <w:rFonts w:ascii="Times New Roman" w:hAnsi="Times New Roman" w:cs="Times New Roman"/>
                <w:sz w:val="24"/>
              </w:rPr>
              <w:t>rozčlenení podľa druhu sekuritizačnej expozície.</w:t>
            </w:r>
          </w:p>
        </w:tc>
      </w:tr>
    </w:tbl>
    <w:p w14:paraId="576C3386" w14:textId="77777777" w:rsidR="00FD656A" w:rsidRPr="00A3389E" w:rsidRDefault="00FD656A" w:rsidP="00FD656A">
      <w:pPr>
        <w:rPr>
          <w:rFonts w:ascii="Times New Roman" w:hAnsi="Times New Roman" w:cs="Times New Roman"/>
          <w:sz w:val="24"/>
        </w:rPr>
      </w:pPr>
    </w:p>
    <w:p w14:paraId="3D9E91DC" w14:textId="27D5E86D" w:rsidR="0081579E" w:rsidRPr="00A3389E" w:rsidRDefault="0081579E">
      <w:pPr>
        <w:rPr>
          <w:rFonts w:ascii="Times New Roman" w:hAnsi="Times New Roman" w:cs="Times New Roman"/>
          <w:b/>
          <w:sz w:val="24"/>
        </w:rPr>
        <w:sectPr w:rsidR="0081579E" w:rsidRPr="00A3389E" w:rsidSect="00155C96">
          <w:pgSz w:w="11900" w:h="16840"/>
          <w:pgMar w:top="2268" w:right="1418" w:bottom="1134" w:left="1701" w:header="709" w:footer="709" w:gutter="0"/>
          <w:pgNumType w:start="1" w:chapStyle="1"/>
          <w:cols w:space="708"/>
          <w:docGrid w:linePitch="299"/>
        </w:sectPr>
      </w:pPr>
    </w:p>
    <w:p w14:paraId="10DD1F8C" w14:textId="46797C33" w:rsidR="00203C1C" w:rsidRPr="00A3389E" w:rsidRDefault="00203C1C">
      <w:pPr>
        <w:rPr>
          <w:rFonts w:ascii="Times New Roman" w:hAnsi="Times New Roman" w:cs="Times New Roman"/>
          <w:b/>
          <w:sz w:val="24"/>
        </w:rPr>
      </w:pPr>
    </w:p>
    <w:p w14:paraId="53F9C43B" w14:textId="0B93C798" w:rsidR="00A3389E" w:rsidRPr="00A3389E" w:rsidRDefault="00203C1C" w:rsidP="00203C1C">
      <w:pPr>
        <w:pStyle w:val="Titlelevel2"/>
        <w:spacing w:before="0"/>
        <w:rPr>
          <w:rFonts w:ascii="Times New Roman" w:hAnsi="Times New Roman" w:cs="Times New Roman"/>
          <w:b/>
          <w:color w:val="auto"/>
          <w:sz w:val="24"/>
        </w:rPr>
      </w:pPr>
      <w:r w:rsidRPr="00A3389E">
        <w:rPr>
          <w:rFonts w:ascii="Times New Roman" w:hAnsi="Times New Roman" w:cs="Times New Roman"/>
          <w:b/>
          <w:color w:val="auto"/>
          <w:sz w:val="24"/>
        </w:rPr>
        <w:t>PRÍLOHA XXX – Tabuľky</w:t>
      </w:r>
      <w:r w:rsidR="00A3389E">
        <w:rPr>
          <w:rFonts w:ascii="Times New Roman" w:hAnsi="Times New Roman" w:cs="Times New Roman"/>
          <w:b/>
          <w:color w:val="auto"/>
          <w:sz w:val="24"/>
        </w:rPr>
        <w:t xml:space="preserve"> a </w:t>
      </w:r>
      <w:r w:rsidRPr="00A3389E">
        <w:rPr>
          <w:rFonts w:ascii="Times New Roman" w:hAnsi="Times New Roman" w:cs="Times New Roman"/>
          <w:b/>
          <w:color w:val="auto"/>
          <w:sz w:val="24"/>
        </w:rPr>
        <w:t>vzory na zverejňovanie informácií</w:t>
      </w:r>
      <w:r w:rsidR="00A3389E">
        <w:rPr>
          <w:rFonts w:ascii="Times New Roman" w:hAnsi="Times New Roman" w:cs="Times New Roman"/>
          <w:b/>
          <w:color w:val="auto"/>
          <w:sz w:val="24"/>
        </w:rPr>
        <w:t xml:space="preserve"> o </w:t>
      </w:r>
      <w:r w:rsidRPr="00A3389E">
        <w:rPr>
          <w:rFonts w:ascii="Times New Roman" w:hAnsi="Times New Roman" w:cs="Times New Roman"/>
          <w:b/>
          <w:color w:val="auto"/>
          <w:sz w:val="24"/>
        </w:rPr>
        <w:t>štandardizovanom prístupe</w:t>
      </w:r>
      <w:r w:rsidR="00A3389E">
        <w:rPr>
          <w:rFonts w:ascii="Times New Roman" w:hAnsi="Times New Roman" w:cs="Times New Roman"/>
          <w:b/>
          <w:color w:val="auto"/>
          <w:sz w:val="24"/>
        </w:rPr>
        <w:t xml:space="preserve"> a </w:t>
      </w:r>
      <w:r w:rsidRPr="00A3389E">
        <w:rPr>
          <w:rFonts w:ascii="Times New Roman" w:hAnsi="Times New Roman" w:cs="Times New Roman"/>
          <w:b/>
          <w:color w:val="auto"/>
          <w:sz w:val="24"/>
        </w:rPr>
        <w:t>internom prístupe pre trhové riziko: pokyny</w:t>
      </w:r>
    </w:p>
    <w:p w14:paraId="7B59B444" w14:textId="5AA4F5DA" w:rsidR="00A3389E" w:rsidRPr="00A3389E" w:rsidRDefault="00A3389E" w:rsidP="00A3389E">
      <w:pPr>
        <w:pStyle w:val="Titlelevel2"/>
        <w:spacing w:before="0"/>
        <w:ind w:left="1070" w:hanging="360"/>
        <w:jc w:val="both"/>
        <w:rPr>
          <w:rFonts w:ascii="Times New Roman" w:hAnsi="Times New Roman" w:cs="Times New Roman"/>
          <w:color w:val="auto"/>
          <w:sz w:val="24"/>
        </w:rPr>
      </w:pPr>
      <w:r w:rsidRPr="00A3389E">
        <w:rPr>
          <w:rFonts w:ascii="Times New Roman" w:hAnsi="Times New Roman" w:cs="Times New Roman"/>
          <w:color w:val="auto"/>
          <w:sz w:val="22"/>
          <w:szCs w:val="22"/>
        </w:rPr>
        <w:t>1.</w:t>
      </w:r>
      <w:r w:rsidRPr="00A3389E">
        <w:rPr>
          <w:rFonts w:ascii="Times New Roman" w:hAnsi="Times New Roman" w:cs="Times New Roman"/>
          <w:color w:val="auto"/>
          <w:sz w:val="22"/>
          <w:szCs w:val="22"/>
        </w:rPr>
        <w:tab/>
      </w:r>
      <w:r w:rsidR="00203C1C" w:rsidRPr="00A3389E">
        <w:rPr>
          <w:rFonts w:ascii="Times New Roman" w:hAnsi="Times New Roman" w:cs="Times New Roman"/>
          <w:color w:val="auto"/>
          <w:sz w:val="24"/>
        </w:rPr>
        <w:t>Táto príloha obsahuje pokyny, ktoré musia inštitúcie dodržiavať pri zverejňovaní informácií uvedených</w:t>
      </w:r>
      <w:r>
        <w:rPr>
          <w:rFonts w:ascii="Times New Roman" w:hAnsi="Times New Roman" w:cs="Times New Roman"/>
          <w:color w:val="auto"/>
          <w:sz w:val="24"/>
        </w:rPr>
        <w:t xml:space="preserve"> v </w:t>
      </w:r>
      <w:r w:rsidR="00203C1C" w:rsidRPr="00A3389E">
        <w:rPr>
          <w:rFonts w:ascii="Times New Roman" w:hAnsi="Times New Roman" w:cs="Times New Roman"/>
          <w:color w:val="auto"/>
          <w:sz w:val="24"/>
        </w:rPr>
        <w:t>článkoch 435, 445</w:t>
      </w:r>
      <w:r>
        <w:rPr>
          <w:rFonts w:ascii="Times New Roman" w:hAnsi="Times New Roman" w:cs="Times New Roman"/>
          <w:color w:val="auto"/>
          <w:sz w:val="24"/>
        </w:rPr>
        <w:t xml:space="preserve"> a </w:t>
      </w:r>
      <w:r w:rsidR="00203C1C" w:rsidRPr="00A3389E">
        <w:rPr>
          <w:rFonts w:ascii="Times New Roman" w:hAnsi="Times New Roman" w:cs="Times New Roman"/>
          <w:color w:val="auto"/>
          <w:sz w:val="24"/>
        </w:rPr>
        <w:t xml:space="preserve">455 nariadenia (EÚ) </w:t>
      </w:r>
      <w:r>
        <w:rPr>
          <w:rFonts w:ascii="Times New Roman" w:hAnsi="Times New Roman" w:cs="Times New Roman"/>
          <w:color w:val="auto"/>
          <w:sz w:val="24"/>
        </w:rPr>
        <w:t>č. </w:t>
      </w:r>
      <w:r w:rsidR="00203C1C" w:rsidRPr="00A3389E">
        <w:rPr>
          <w:rFonts w:ascii="Times New Roman" w:hAnsi="Times New Roman" w:cs="Times New Roman"/>
          <w:color w:val="auto"/>
          <w:sz w:val="24"/>
        </w:rPr>
        <w:t>575/2013</w:t>
      </w:r>
      <w:r w:rsidR="00203C1C" w:rsidRPr="00A3389E">
        <w:rPr>
          <w:rStyle w:val="FootnoteReference"/>
          <w:rFonts w:ascii="Times New Roman" w:hAnsi="Times New Roman" w:cs="Times New Roman"/>
          <w:color w:val="auto"/>
        </w:rPr>
        <w:footnoteReference w:id="44"/>
      </w:r>
      <w:r w:rsidR="00203C1C" w:rsidRPr="00A3389E">
        <w:rPr>
          <w:rFonts w:ascii="Times New Roman" w:hAnsi="Times New Roman" w:cs="Times New Roman"/>
          <w:color w:val="auto"/>
          <w:sz w:val="24"/>
        </w:rPr>
        <w:t xml:space="preserve"> („CRR“)</w:t>
      </w:r>
      <w:r>
        <w:rPr>
          <w:rFonts w:ascii="Times New Roman" w:hAnsi="Times New Roman" w:cs="Times New Roman"/>
          <w:color w:val="auto"/>
          <w:sz w:val="24"/>
        </w:rPr>
        <w:t xml:space="preserve"> s </w:t>
      </w:r>
      <w:r w:rsidR="00203C1C" w:rsidRPr="00A3389E">
        <w:rPr>
          <w:rFonts w:ascii="Times New Roman" w:hAnsi="Times New Roman" w:cs="Times New Roman"/>
          <w:color w:val="auto"/>
          <w:sz w:val="24"/>
        </w:rPr>
        <w:t>cieľom vyplniť tabuľky</w:t>
      </w:r>
      <w:r>
        <w:rPr>
          <w:rFonts w:ascii="Times New Roman" w:hAnsi="Times New Roman" w:cs="Times New Roman"/>
          <w:color w:val="auto"/>
          <w:sz w:val="24"/>
        </w:rPr>
        <w:t xml:space="preserve"> a </w:t>
      </w:r>
      <w:r w:rsidR="00203C1C" w:rsidRPr="00A3389E">
        <w:rPr>
          <w:rFonts w:ascii="Times New Roman" w:hAnsi="Times New Roman" w:cs="Times New Roman"/>
          <w:color w:val="auto"/>
          <w:sz w:val="24"/>
        </w:rPr>
        <w:t>vzory na zverejňovanie informácií</w:t>
      </w:r>
      <w:r>
        <w:rPr>
          <w:rFonts w:ascii="Times New Roman" w:hAnsi="Times New Roman" w:cs="Times New Roman"/>
          <w:color w:val="auto"/>
          <w:sz w:val="24"/>
        </w:rPr>
        <w:t xml:space="preserve"> o </w:t>
      </w:r>
      <w:r w:rsidR="00203C1C" w:rsidRPr="00A3389E">
        <w:rPr>
          <w:rFonts w:ascii="Times New Roman" w:hAnsi="Times New Roman" w:cs="Times New Roman"/>
          <w:color w:val="auto"/>
          <w:sz w:val="24"/>
        </w:rPr>
        <w:t>trhovom riziku, ktoré sú uvedené</w:t>
      </w:r>
      <w:r>
        <w:rPr>
          <w:rFonts w:ascii="Times New Roman" w:hAnsi="Times New Roman" w:cs="Times New Roman"/>
          <w:color w:val="auto"/>
          <w:sz w:val="24"/>
        </w:rPr>
        <w:t xml:space="preserve"> v </w:t>
      </w:r>
      <w:r w:rsidR="00203C1C" w:rsidRPr="00A3389E">
        <w:rPr>
          <w:rFonts w:ascii="Times New Roman" w:hAnsi="Times New Roman" w:cs="Times New Roman"/>
          <w:color w:val="auto"/>
          <w:sz w:val="24"/>
        </w:rPr>
        <w:t>prílohe XXIX</w:t>
      </w:r>
      <w:r>
        <w:rPr>
          <w:rFonts w:ascii="Times New Roman" w:hAnsi="Times New Roman" w:cs="Times New Roman"/>
          <w:color w:val="auto"/>
          <w:sz w:val="24"/>
        </w:rPr>
        <w:t xml:space="preserve"> k </w:t>
      </w:r>
      <w:r w:rsidR="00203C1C" w:rsidRPr="00A3389E">
        <w:rPr>
          <w:rFonts w:ascii="Times New Roman" w:hAnsi="Times New Roman" w:cs="Times New Roman"/>
          <w:color w:val="auto"/>
          <w:sz w:val="24"/>
        </w:rPr>
        <w:t>tomuto vykonávaciemu nariadeniu</w:t>
      </w:r>
      <w:r w:rsidRPr="00A3389E">
        <w:rPr>
          <w:rFonts w:ascii="Times New Roman" w:hAnsi="Times New Roman" w:cs="Times New Roman"/>
          <w:color w:val="auto"/>
          <w:sz w:val="24"/>
        </w:rPr>
        <w:t>.</w:t>
      </w:r>
    </w:p>
    <w:p w14:paraId="43D7A3F8" w14:textId="53DBFA9F" w:rsidR="00203C1C" w:rsidRPr="00A3389E" w:rsidRDefault="00203C1C" w:rsidP="00203C1C">
      <w:pPr>
        <w:spacing w:after="240"/>
        <w:jc w:val="both"/>
        <w:rPr>
          <w:rFonts w:ascii="Times New Roman" w:hAnsi="Times New Roman" w:cs="Times New Roman"/>
          <w:sz w:val="24"/>
        </w:rPr>
      </w:pPr>
      <w:r w:rsidRPr="00A3389E">
        <w:rPr>
          <w:rFonts w:ascii="Times New Roman" w:hAnsi="Times New Roman" w:cs="Times New Roman"/>
          <w:b/>
          <w:sz w:val="24"/>
        </w:rPr>
        <w:t>Tabuľka EU MRA</w:t>
      </w:r>
      <w:r w:rsidRPr="00A3389E">
        <w:rPr>
          <w:rFonts w:ascii="Times New Roman" w:hAnsi="Times New Roman" w:cs="Times New Roman"/>
          <w:sz w:val="24"/>
        </w:rPr>
        <w:t xml:space="preserve"> </w:t>
      </w:r>
      <w:r w:rsidRPr="00A3389E">
        <w:rPr>
          <w:rFonts w:ascii="Times New Roman" w:hAnsi="Times New Roman" w:cs="Times New Roman"/>
          <w:b/>
          <w:sz w:val="24"/>
        </w:rPr>
        <w:t>– Požiadavky na zverejňovanie kvalitatívnych informácií týkajúcich sa trhového rizika:</w:t>
      </w:r>
      <w:r w:rsidRPr="00A3389E">
        <w:rPr>
          <w:rFonts w:ascii="Times New Roman" w:hAnsi="Times New Roman" w:cs="Times New Roman"/>
          <w:sz w:val="24"/>
        </w:rPr>
        <w:t xml:space="preserve"> Textové polia</w:t>
      </w:r>
      <w:r w:rsidR="00A3389E">
        <w:rPr>
          <w:rFonts w:ascii="Times New Roman" w:hAnsi="Times New Roman" w:cs="Times New Roman"/>
          <w:sz w:val="24"/>
        </w:rPr>
        <w:t xml:space="preserve"> s </w:t>
      </w:r>
      <w:r w:rsidRPr="00A3389E">
        <w:rPr>
          <w:rFonts w:ascii="Times New Roman" w:hAnsi="Times New Roman" w:cs="Times New Roman"/>
          <w:sz w:val="24"/>
        </w:rPr>
        <w:t>ľubovoľným formátom</w:t>
      </w:r>
    </w:p>
    <w:p w14:paraId="42BA3085" w14:textId="233B633E" w:rsidR="00203C1C" w:rsidRPr="00A3389E" w:rsidRDefault="00A3389E" w:rsidP="00A3389E">
      <w:pPr>
        <w:pStyle w:val="Titlelevel2"/>
        <w:spacing w:before="0"/>
        <w:ind w:left="1070" w:hanging="360"/>
        <w:jc w:val="both"/>
        <w:rPr>
          <w:rFonts w:ascii="Times New Roman" w:hAnsi="Times New Roman" w:cs="Times New Roman"/>
          <w:sz w:val="24"/>
        </w:rPr>
      </w:pPr>
      <w:r w:rsidRPr="00A3389E">
        <w:rPr>
          <w:rFonts w:ascii="Times New Roman" w:hAnsi="Times New Roman" w:cs="Times New Roman"/>
          <w:color w:val="auto"/>
          <w:sz w:val="22"/>
          <w:szCs w:val="22"/>
        </w:rPr>
        <w:t>2.</w:t>
      </w:r>
      <w:r w:rsidRPr="00A3389E">
        <w:rPr>
          <w:rFonts w:ascii="Times New Roman" w:hAnsi="Times New Roman" w:cs="Times New Roman"/>
          <w:color w:val="auto"/>
          <w:sz w:val="22"/>
          <w:szCs w:val="22"/>
        </w:rPr>
        <w:tab/>
      </w:r>
      <w:r w:rsidR="00203C1C"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článku 435 ods. 1 písm. a) až d) CRR</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súvislosti</w:t>
      </w:r>
      <w:r>
        <w:rPr>
          <w:rFonts w:ascii="Times New Roman" w:hAnsi="Times New Roman" w:cs="Times New Roman"/>
          <w:bCs w:val="0"/>
          <w:color w:val="000000"/>
          <w:sz w:val="24"/>
        </w:rPr>
        <w:t xml:space="preserve"> s </w:t>
      </w:r>
      <w:r w:rsidR="00203C1C" w:rsidRPr="00A3389E">
        <w:rPr>
          <w:rFonts w:ascii="Times New Roman" w:hAnsi="Times New Roman" w:cs="Times New Roman"/>
          <w:bCs w:val="0"/>
          <w:color w:val="000000"/>
          <w:sz w:val="24"/>
        </w:rPr>
        <w:t>trhovým rizikom podľa pokynov uvedených nižšie</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203C1C" w:rsidRPr="00A3389E">
        <w:rPr>
          <w:rFonts w:ascii="Times New Roman" w:hAnsi="Times New Roman" w:cs="Times New Roman"/>
          <w:bCs w:val="0"/>
          <w:color w:val="000000"/>
          <w:sz w:val="24"/>
        </w:rPr>
        <w:t>cieľom vyplniť tabuľku EU MRA, ktorá je uvedená</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prílohe XXIX</w:t>
      </w:r>
      <w:r>
        <w:rPr>
          <w:rFonts w:ascii="Times New Roman" w:hAnsi="Times New Roman" w:cs="Times New Roman"/>
          <w:bCs w:val="0"/>
          <w:color w:val="000000"/>
          <w:sz w:val="24"/>
        </w:rPr>
        <w:t xml:space="preserve"> k </w:t>
      </w:r>
      <w:r w:rsidR="00203C1C" w:rsidRPr="00A3389E">
        <w:rPr>
          <w:rFonts w:ascii="Times New Roman" w:hAnsi="Times New Roman" w:cs="Times New Roman"/>
          <w:bCs w:val="0"/>
          <w:color w:val="000000"/>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A3389E"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5BEEA3DA"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203C1C" w:rsidRPr="00A3389E" w14:paraId="318767ED" w14:textId="77777777" w:rsidTr="00155C96">
        <w:trPr>
          <w:trHeight w:val="238"/>
        </w:trPr>
        <w:tc>
          <w:tcPr>
            <w:tcW w:w="1384" w:type="dxa"/>
            <w:shd w:val="clear" w:color="auto" w:fill="D9D9D9" w:themeFill="background1" w:themeFillShade="D9"/>
          </w:tcPr>
          <w:p w14:paraId="1E688E3C" w14:textId="77777777" w:rsidR="00203C1C" w:rsidRPr="00A3389E" w:rsidRDefault="00203C1C" w:rsidP="00155C96">
            <w:pPr>
              <w:autoSpaceDE w:val="0"/>
              <w:autoSpaceDN w:val="0"/>
              <w:adjustRightInd w:val="0"/>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2C256459" w14:textId="77777777" w:rsidR="00203C1C" w:rsidRPr="00A3389E" w:rsidRDefault="00203C1C" w:rsidP="00155C96">
            <w:pPr>
              <w:autoSpaceDE w:val="0"/>
              <w:autoSpaceDN w:val="0"/>
              <w:adjustRightInd w:val="0"/>
              <w:spacing w:after="240"/>
              <w:rPr>
                <w:rFonts w:ascii="Times New Roman" w:hAnsi="Times New Roman" w:cs="Times New Roman"/>
                <w:color w:val="000000"/>
                <w:sz w:val="24"/>
              </w:rPr>
            </w:pPr>
            <w:r w:rsidRPr="00A3389E">
              <w:rPr>
                <w:rFonts w:ascii="Times New Roman" w:hAnsi="Times New Roman" w:cs="Times New Roman"/>
                <w:b/>
                <w:sz w:val="24"/>
              </w:rPr>
              <w:t>Vysvetlenie</w:t>
            </w:r>
          </w:p>
        </w:tc>
      </w:tr>
      <w:tr w:rsidR="00203C1C" w:rsidRPr="00A3389E" w14:paraId="53C1F101" w14:textId="77777777" w:rsidTr="00155C96">
        <w:trPr>
          <w:trHeight w:val="680"/>
        </w:trPr>
        <w:tc>
          <w:tcPr>
            <w:tcW w:w="1384" w:type="dxa"/>
          </w:tcPr>
          <w:p w14:paraId="32AAAE6A" w14:textId="25546F83" w:rsidR="00203C1C" w:rsidRPr="00A3389E" w:rsidRDefault="006E02CE" w:rsidP="00155C96">
            <w:pPr>
              <w:pStyle w:val="Applicationdirecte"/>
              <w:spacing w:before="0" w:after="240"/>
              <w:jc w:val="center"/>
            </w:pPr>
            <w:r w:rsidRPr="00A3389E">
              <w:t>a)</w:t>
            </w:r>
          </w:p>
        </w:tc>
        <w:tc>
          <w:tcPr>
            <w:tcW w:w="7655" w:type="dxa"/>
            <w:vAlign w:val="center"/>
          </w:tcPr>
          <w:p w14:paraId="58F1DEA4" w14:textId="78E36F4B" w:rsidR="00203C1C" w:rsidRPr="00A3389E" w:rsidRDefault="00203C1C"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435 ods. 1 písm. a)</w:t>
            </w:r>
            <w:r w:rsidR="00A3389E">
              <w:rPr>
                <w:rFonts w:ascii="Times New Roman" w:hAnsi="Times New Roman" w:cs="Times New Roman"/>
                <w:sz w:val="24"/>
              </w:rPr>
              <w:t xml:space="preserve"> a </w:t>
            </w:r>
            <w:r w:rsidRPr="00A3389E">
              <w:rPr>
                <w:rFonts w:ascii="Times New Roman" w:hAnsi="Times New Roman" w:cs="Times New Roman"/>
                <w:sz w:val="24"/>
              </w:rPr>
              <w:t>d) CRR</w:t>
            </w:r>
            <w:r w:rsidR="00A3389E">
              <w:rPr>
                <w:rFonts w:ascii="Times New Roman" w:hAnsi="Times New Roman" w:cs="Times New Roman"/>
                <w:sz w:val="24"/>
              </w:rPr>
              <w:t xml:space="preserve"> o </w:t>
            </w:r>
            <w:r w:rsidRPr="00A3389E">
              <w:rPr>
                <w:rFonts w:ascii="Times New Roman" w:hAnsi="Times New Roman" w:cs="Times New Roman"/>
                <w:sz w:val="24"/>
              </w:rPr>
              <w:t>cieľoch riadenia rizík</w:t>
            </w:r>
            <w:r w:rsidR="00A3389E">
              <w:rPr>
                <w:rFonts w:ascii="Times New Roman" w:hAnsi="Times New Roman" w:cs="Times New Roman"/>
                <w:sz w:val="24"/>
              </w:rPr>
              <w:t xml:space="preserve"> a </w:t>
            </w:r>
            <w:r w:rsidRPr="00A3389E">
              <w:rPr>
                <w:rFonts w:ascii="Times New Roman" w:hAnsi="Times New Roman" w:cs="Times New Roman"/>
                <w:sz w:val="24"/>
              </w:rPr>
              <w:t>politikách na riadenie trhového rizika zahŕňajú:</w:t>
            </w:r>
          </w:p>
          <w:p w14:paraId="3EF5D319" w14:textId="219A5C4D" w:rsidR="00A3389E" w:rsidRPr="00A3389E" w:rsidRDefault="00A3389E" w:rsidP="00A3389E">
            <w:pPr>
              <w:spacing w:after="240"/>
              <w:ind w:left="720" w:hanging="360"/>
              <w:jc w:val="both"/>
              <w:rPr>
                <w:rFonts w:ascii="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vysvetlenie strategických cieľov svojho manažmentu pri vykonávaní obchodných činností,</w:t>
            </w:r>
          </w:p>
          <w:p w14:paraId="0EC7C083" w14:textId="303A60A1" w:rsidR="00203C1C" w:rsidRPr="00A3389E" w:rsidRDefault="00A3389E" w:rsidP="00A3389E">
            <w:pPr>
              <w:spacing w:after="240"/>
              <w:ind w:left="720" w:hanging="360"/>
              <w:jc w:val="both"/>
              <w:rPr>
                <w:rFonts w:ascii="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postupy zavedené na identifikáciu, meranie, monitorovanie</w:t>
            </w:r>
            <w:r>
              <w:rPr>
                <w:rFonts w:ascii="Times New Roman" w:hAnsi="Times New Roman"/>
                <w:sz w:val="24"/>
              </w:rPr>
              <w:t xml:space="preserve"> a </w:t>
            </w:r>
            <w:r w:rsidR="00203C1C" w:rsidRPr="00A3389E">
              <w:rPr>
                <w:rFonts w:ascii="Times New Roman" w:hAnsi="Times New Roman"/>
                <w:sz w:val="24"/>
              </w:rPr>
              <w:t>kontrolu trhových rizík inštitúcie,</w:t>
            </w:r>
          </w:p>
          <w:p w14:paraId="20311A03" w14:textId="09E6CAE0" w:rsidR="00203C1C" w:rsidRPr="00A3389E" w:rsidRDefault="00A3389E" w:rsidP="00A3389E">
            <w:pPr>
              <w:spacing w:after="240"/>
              <w:ind w:left="720" w:hanging="360"/>
              <w:jc w:val="both"/>
              <w:rPr>
                <w:rFonts w:ascii="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politiky týkajúce sa hedžingu</w:t>
            </w:r>
            <w:r>
              <w:rPr>
                <w:rFonts w:ascii="Times New Roman" w:hAnsi="Times New Roman"/>
                <w:sz w:val="24"/>
              </w:rPr>
              <w:t xml:space="preserve"> a </w:t>
            </w:r>
            <w:r w:rsidR="00203C1C" w:rsidRPr="00A3389E">
              <w:rPr>
                <w:rFonts w:ascii="Times New Roman" w:hAnsi="Times New Roman"/>
                <w:sz w:val="24"/>
              </w:rPr>
              <w:t>zmierňovania rizika,</w:t>
            </w:r>
          </w:p>
          <w:p w14:paraId="16BFB651" w14:textId="3787B516" w:rsidR="00203C1C" w:rsidRPr="00A3389E" w:rsidRDefault="00A3389E" w:rsidP="00A3389E">
            <w:pPr>
              <w:spacing w:after="240"/>
              <w:ind w:left="720" w:hanging="360"/>
              <w:jc w:val="both"/>
              <w:rPr>
                <w:rFonts w:ascii="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stratégie</w:t>
            </w:r>
            <w:r>
              <w:rPr>
                <w:rFonts w:ascii="Times New Roman" w:hAnsi="Times New Roman"/>
                <w:sz w:val="24"/>
              </w:rPr>
              <w:t xml:space="preserve"> a </w:t>
            </w:r>
            <w:r w:rsidR="00203C1C" w:rsidRPr="00A3389E">
              <w:rPr>
                <w:rFonts w:ascii="Times New Roman" w:hAnsi="Times New Roman"/>
                <w:sz w:val="24"/>
              </w:rPr>
              <w:t>postupy monitorovania trvalej účinnosti hedžingov.</w:t>
            </w:r>
          </w:p>
        </w:tc>
      </w:tr>
      <w:tr w:rsidR="00203C1C" w:rsidRPr="00A3389E" w14:paraId="3F01BBBA" w14:textId="77777777" w:rsidTr="00155C96">
        <w:trPr>
          <w:trHeight w:val="680"/>
        </w:trPr>
        <w:tc>
          <w:tcPr>
            <w:tcW w:w="1384" w:type="dxa"/>
          </w:tcPr>
          <w:p w14:paraId="52479A50" w14:textId="6847904F" w:rsidR="00203C1C" w:rsidRPr="00A3389E" w:rsidRDefault="006E02CE" w:rsidP="00155C96">
            <w:pPr>
              <w:pStyle w:val="Applicationdirecte"/>
              <w:spacing w:before="0" w:after="240"/>
              <w:jc w:val="center"/>
            </w:pPr>
            <w:r w:rsidRPr="00A3389E">
              <w:t>b)</w:t>
            </w:r>
          </w:p>
        </w:tc>
        <w:tc>
          <w:tcPr>
            <w:tcW w:w="7655" w:type="dxa"/>
          </w:tcPr>
          <w:p w14:paraId="1FF7DEEF" w14:textId="27B3EDB6" w:rsidR="00203C1C" w:rsidRPr="00A3389E" w:rsidRDefault="00203C1C"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435 ods. 1 písm. b) CRR</w:t>
            </w:r>
            <w:r w:rsidR="00A3389E">
              <w:rPr>
                <w:rFonts w:ascii="Times New Roman" w:hAnsi="Times New Roman" w:cs="Times New Roman"/>
                <w:sz w:val="24"/>
              </w:rPr>
              <w:t xml:space="preserve"> o </w:t>
            </w:r>
            <w:r w:rsidRPr="00A3389E">
              <w:rPr>
                <w:rFonts w:ascii="Times New Roman" w:hAnsi="Times New Roman" w:cs="Times New Roman"/>
                <w:sz w:val="24"/>
              </w:rPr>
              <w:t>štruktúre</w:t>
            </w:r>
            <w:r w:rsidR="00A3389E">
              <w:rPr>
                <w:rFonts w:ascii="Times New Roman" w:hAnsi="Times New Roman" w:cs="Times New Roman"/>
                <w:sz w:val="24"/>
              </w:rPr>
              <w:t xml:space="preserve"> a </w:t>
            </w:r>
            <w:r w:rsidRPr="00A3389E">
              <w:rPr>
                <w:rFonts w:ascii="Times New Roman" w:hAnsi="Times New Roman" w:cs="Times New Roman"/>
                <w:sz w:val="24"/>
              </w:rPr>
              <w:t>organizácii funkcie riadenia trhového rizika zahŕňajú:</w:t>
            </w:r>
          </w:p>
          <w:p w14:paraId="3D4C6C88" w14:textId="415AEF29" w:rsidR="00A3389E" w:rsidRPr="00A3389E" w:rsidRDefault="00A3389E" w:rsidP="00A3389E">
            <w:pPr>
              <w:spacing w:after="240"/>
              <w:ind w:left="720" w:hanging="360"/>
              <w:jc w:val="both"/>
              <w:rPr>
                <w:rFonts w:ascii="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opis štruktúry riadenia trhového rizika vytvorenej na implementáciu stratégií</w:t>
            </w:r>
            <w:r>
              <w:rPr>
                <w:rFonts w:ascii="Times New Roman" w:hAnsi="Times New Roman"/>
                <w:sz w:val="24"/>
              </w:rPr>
              <w:t xml:space="preserve"> a </w:t>
            </w:r>
            <w:r w:rsidR="00203C1C" w:rsidRPr="00A3389E">
              <w:rPr>
                <w:rFonts w:ascii="Times New Roman" w:hAnsi="Times New Roman"/>
                <w:sz w:val="24"/>
              </w:rPr>
              <w:t>postupov inštitúcie uvedených</w:t>
            </w:r>
            <w:r>
              <w:rPr>
                <w:rFonts w:ascii="Times New Roman" w:hAnsi="Times New Roman"/>
                <w:sz w:val="24"/>
              </w:rPr>
              <w:t xml:space="preserve"> v </w:t>
            </w:r>
            <w:r w:rsidR="00203C1C" w:rsidRPr="00A3389E">
              <w:rPr>
                <w:rFonts w:ascii="Times New Roman" w:hAnsi="Times New Roman"/>
                <w:sz w:val="24"/>
              </w:rPr>
              <w:t>písmene a),</w:t>
            </w:r>
          </w:p>
          <w:p w14:paraId="6AEA7119" w14:textId="06B8A9AE" w:rsidR="00203C1C" w:rsidRPr="00A3389E" w:rsidRDefault="00A3389E" w:rsidP="00A3389E">
            <w:pPr>
              <w:spacing w:after="240"/>
              <w:ind w:left="720" w:hanging="360"/>
              <w:jc w:val="both"/>
              <w:rPr>
                <w:rFonts w:ascii="Times New Roman" w:eastAsia="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opis vzťahov</w:t>
            </w:r>
            <w:r>
              <w:rPr>
                <w:rFonts w:ascii="Times New Roman" w:hAnsi="Times New Roman"/>
                <w:sz w:val="24"/>
              </w:rPr>
              <w:t xml:space="preserve"> a </w:t>
            </w:r>
            <w:r w:rsidR="00203C1C" w:rsidRPr="00A3389E">
              <w:rPr>
                <w:rFonts w:ascii="Times New Roman" w:hAnsi="Times New Roman"/>
                <w:sz w:val="24"/>
              </w:rPr>
              <w:t xml:space="preserve">komunikačných mechanizmov medzi jednotlivými stranami zapojenými do riadenia trhového rizika. </w:t>
            </w:r>
          </w:p>
        </w:tc>
      </w:tr>
      <w:tr w:rsidR="00203C1C" w:rsidRPr="00A3389E" w14:paraId="0E940734" w14:textId="77777777" w:rsidTr="00155C96">
        <w:trPr>
          <w:trHeight w:val="436"/>
        </w:trPr>
        <w:tc>
          <w:tcPr>
            <w:tcW w:w="1384" w:type="dxa"/>
          </w:tcPr>
          <w:p w14:paraId="408BB1DA" w14:textId="1DB814BE" w:rsidR="00203C1C" w:rsidRPr="00A3389E" w:rsidRDefault="006E02CE" w:rsidP="00155C96">
            <w:pPr>
              <w:pStyle w:val="Applicationdirecte"/>
              <w:spacing w:before="0" w:after="240"/>
              <w:jc w:val="center"/>
            </w:pPr>
            <w:r w:rsidRPr="00A3389E">
              <w:lastRenderedPageBreak/>
              <w:t>c)</w:t>
            </w:r>
          </w:p>
          <w:p w14:paraId="4A32C585" w14:textId="77777777" w:rsidR="00203C1C" w:rsidRPr="00A3389E" w:rsidRDefault="00203C1C" w:rsidP="00155C96">
            <w:pPr>
              <w:pStyle w:val="Fait"/>
              <w:spacing w:before="0" w:after="240"/>
            </w:pPr>
          </w:p>
        </w:tc>
        <w:tc>
          <w:tcPr>
            <w:tcW w:w="7655" w:type="dxa"/>
          </w:tcPr>
          <w:p w14:paraId="18D06A8B" w14:textId="0DE79748" w:rsidR="00203C1C" w:rsidRPr="00A3389E" w:rsidRDefault="00203C1C"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435 ods. 1 písm. c) CRR</w:t>
            </w:r>
            <w:r w:rsidR="00A3389E">
              <w:rPr>
                <w:rFonts w:ascii="Times New Roman" w:hAnsi="Times New Roman" w:cs="Times New Roman"/>
                <w:sz w:val="24"/>
              </w:rPr>
              <w:t xml:space="preserve"> o </w:t>
            </w:r>
            <w:r w:rsidRPr="00A3389E">
              <w:rPr>
                <w:rFonts w:ascii="Times New Roman" w:hAnsi="Times New Roman" w:cs="Times New Roman"/>
                <w:sz w:val="24"/>
              </w:rPr>
              <w:t>rozsahu</w:t>
            </w:r>
            <w:r w:rsidR="00A3389E">
              <w:rPr>
                <w:rFonts w:ascii="Times New Roman" w:hAnsi="Times New Roman" w:cs="Times New Roman"/>
                <w:sz w:val="24"/>
              </w:rPr>
              <w:t xml:space="preserve"> a </w:t>
            </w:r>
            <w:r w:rsidRPr="00A3389E">
              <w:rPr>
                <w:rFonts w:ascii="Times New Roman" w:hAnsi="Times New Roman" w:cs="Times New Roman"/>
                <w:sz w:val="24"/>
              </w:rPr>
              <w:t>charaktere systémov zverejňovania</w:t>
            </w:r>
            <w:r w:rsidR="00A3389E">
              <w:rPr>
                <w:rFonts w:ascii="Times New Roman" w:hAnsi="Times New Roman" w:cs="Times New Roman"/>
                <w:sz w:val="24"/>
              </w:rPr>
              <w:t xml:space="preserve"> a </w:t>
            </w:r>
            <w:r w:rsidRPr="00A3389E">
              <w:rPr>
                <w:rFonts w:ascii="Times New Roman" w:hAnsi="Times New Roman" w:cs="Times New Roman"/>
                <w:sz w:val="24"/>
              </w:rPr>
              <w:t>merania trhového rizika poskytujú opis rozsahu</w:t>
            </w:r>
            <w:r w:rsidR="00A3389E">
              <w:rPr>
                <w:rFonts w:ascii="Times New Roman" w:hAnsi="Times New Roman" w:cs="Times New Roman"/>
                <w:sz w:val="24"/>
              </w:rPr>
              <w:t xml:space="preserve"> a </w:t>
            </w:r>
            <w:r w:rsidRPr="00A3389E">
              <w:rPr>
                <w:rFonts w:ascii="Times New Roman" w:hAnsi="Times New Roman" w:cs="Times New Roman"/>
                <w:sz w:val="24"/>
              </w:rPr>
              <w:t>charakteru systémov zverejňovania</w:t>
            </w:r>
            <w:r w:rsidR="00A3389E">
              <w:rPr>
                <w:rFonts w:ascii="Times New Roman" w:hAnsi="Times New Roman" w:cs="Times New Roman"/>
                <w:sz w:val="24"/>
              </w:rPr>
              <w:t xml:space="preserve"> a </w:t>
            </w:r>
            <w:r w:rsidRPr="00A3389E">
              <w:rPr>
                <w:rFonts w:ascii="Times New Roman" w:hAnsi="Times New Roman" w:cs="Times New Roman"/>
                <w:sz w:val="24"/>
              </w:rPr>
              <w:t xml:space="preserve">merania trhového rizika. </w:t>
            </w:r>
          </w:p>
        </w:tc>
      </w:tr>
    </w:tbl>
    <w:p w14:paraId="5FE50BEA" w14:textId="77777777" w:rsidR="00203C1C" w:rsidRPr="00A3389E" w:rsidRDefault="00203C1C" w:rsidP="00203C1C">
      <w:pPr>
        <w:pStyle w:val="Titlelevel2"/>
        <w:spacing w:before="0"/>
        <w:rPr>
          <w:rFonts w:ascii="Times New Roman" w:hAnsi="Times New Roman" w:cs="Times New Roman"/>
          <w:b/>
          <w:sz w:val="24"/>
        </w:rPr>
      </w:pPr>
    </w:p>
    <w:p w14:paraId="7106E86C" w14:textId="2EF38FA4" w:rsidR="00203C1C" w:rsidRPr="00A3389E" w:rsidRDefault="00203C1C" w:rsidP="00203C1C">
      <w:pPr>
        <w:pStyle w:val="Titlelevel2"/>
        <w:spacing w:before="0"/>
        <w:rPr>
          <w:rFonts w:ascii="Times New Roman" w:hAnsi="Times New Roman" w:cs="Times New Roman"/>
          <w:color w:val="auto"/>
          <w:sz w:val="24"/>
        </w:rPr>
      </w:pPr>
      <w:r w:rsidRPr="00A3389E">
        <w:rPr>
          <w:rFonts w:ascii="Times New Roman" w:hAnsi="Times New Roman" w:cs="Times New Roman"/>
          <w:b/>
          <w:color w:val="auto"/>
          <w:sz w:val="24"/>
        </w:rPr>
        <w:t>Vzor EU MR1 – Trhové riziko podľa štandardizovaného prístupu</w:t>
      </w:r>
      <w:r w:rsidRPr="00A3389E">
        <w:rPr>
          <w:rFonts w:ascii="Times New Roman" w:hAnsi="Times New Roman" w:cs="Times New Roman"/>
          <w:color w:val="auto"/>
          <w:sz w:val="24"/>
        </w:rPr>
        <w:t>: pevný formát</w:t>
      </w:r>
    </w:p>
    <w:p w14:paraId="310F5DF6" w14:textId="2985231C" w:rsidR="00203C1C" w:rsidRPr="00A3389E" w:rsidRDefault="00A3389E" w:rsidP="00A3389E">
      <w:pPr>
        <w:pStyle w:val="Titlelevel2"/>
        <w:spacing w:before="0"/>
        <w:ind w:left="1070" w:hanging="360"/>
        <w:jc w:val="both"/>
        <w:rPr>
          <w:rFonts w:ascii="Times New Roman" w:hAnsi="Times New Roman" w:cs="Times New Roman"/>
          <w:b/>
          <w:color w:val="auto"/>
          <w:sz w:val="24"/>
        </w:rPr>
      </w:pPr>
      <w:r w:rsidRPr="00A3389E">
        <w:rPr>
          <w:rFonts w:ascii="Times New Roman" w:hAnsi="Times New Roman" w:cs="Times New Roman"/>
          <w:color w:val="auto"/>
          <w:sz w:val="22"/>
          <w:szCs w:val="22"/>
        </w:rPr>
        <w:t>3.</w:t>
      </w:r>
      <w:r w:rsidRPr="00A3389E">
        <w:rPr>
          <w:rFonts w:ascii="Times New Roman" w:hAnsi="Times New Roman" w:cs="Times New Roman"/>
          <w:color w:val="auto"/>
          <w:sz w:val="22"/>
          <w:szCs w:val="22"/>
        </w:rPr>
        <w:tab/>
      </w:r>
      <w:r w:rsidR="00203C1C"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článku 445 CRR podľa pokynov uvedených nižšie</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203C1C" w:rsidRPr="00A3389E">
        <w:rPr>
          <w:rFonts w:ascii="Times New Roman" w:hAnsi="Times New Roman" w:cs="Times New Roman"/>
          <w:bCs w:val="0"/>
          <w:color w:val="000000"/>
          <w:sz w:val="24"/>
        </w:rPr>
        <w:t>cieľom vyplniť vzor EU MR1, ktorý je uvedený</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prílohe XXIX</w:t>
      </w:r>
      <w:r>
        <w:rPr>
          <w:rFonts w:ascii="Times New Roman" w:hAnsi="Times New Roman" w:cs="Times New Roman"/>
          <w:bCs w:val="0"/>
          <w:color w:val="000000"/>
          <w:sz w:val="24"/>
        </w:rPr>
        <w:t xml:space="preserve"> k </w:t>
      </w:r>
      <w:r w:rsidR="00203C1C" w:rsidRPr="00A3389E">
        <w:rPr>
          <w:rFonts w:ascii="Times New Roman" w:hAnsi="Times New Roman" w:cs="Times New Roman"/>
          <w:bCs w:val="0"/>
          <w:color w:val="000000"/>
          <w:sz w:val="24"/>
        </w:rPr>
        <w:t>tomuto vykonávaciemu nariadeniu.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A3389E"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00776EE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203C1C" w:rsidRPr="00A3389E"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A3389E"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A3389E" w:rsidRDefault="00203C1C" w:rsidP="00155C96">
            <w:pPr>
              <w:spacing w:after="240"/>
              <w:rPr>
                <w:rFonts w:ascii="Times New Roman" w:hAnsi="Times New Roman" w:cs="Times New Roman"/>
                <w:b/>
                <w:i/>
                <w:sz w:val="24"/>
              </w:rPr>
            </w:pPr>
            <w:r w:rsidRPr="00A3389E">
              <w:rPr>
                <w:rFonts w:ascii="Times New Roman" w:hAnsi="Times New Roman" w:cs="Times New Roman"/>
                <w:b/>
                <w:i/>
                <w:sz w:val="24"/>
              </w:rPr>
              <w:t>Priame produkty</w:t>
            </w:r>
          </w:p>
        </w:tc>
      </w:tr>
      <w:tr w:rsidR="00203C1C" w:rsidRPr="00A3389E"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A3389E" w:rsidRDefault="00076626" w:rsidP="00155C96">
            <w:pPr>
              <w:spacing w:after="240"/>
              <w:jc w:val="center"/>
              <w:rPr>
                <w:rFonts w:ascii="Times New Roman" w:hAnsi="Times New Roman" w:cs="Times New Roman"/>
                <w:sz w:val="24"/>
              </w:rPr>
            </w:pPr>
            <w:r w:rsidRPr="00A3389E">
              <w:rPr>
                <w:rFonts w:ascii="Times New Roman" w:hAnsi="Times New Roman" w:cs="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03DB9241" w14:textId="1DA3FB7D" w:rsidR="00A3389E"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Úrokové riziko (všeobecné</w:t>
            </w:r>
            <w:r w:rsidR="00A3389E">
              <w:rPr>
                <w:rFonts w:ascii="Times New Roman" w:hAnsi="Times New Roman" w:cs="Times New Roman"/>
                <w:b/>
                <w:sz w:val="24"/>
              </w:rPr>
              <w:t xml:space="preserve"> a </w:t>
            </w:r>
            <w:r w:rsidRPr="00A3389E">
              <w:rPr>
                <w:rFonts w:ascii="Times New Roman" w:hAnsi="Times New Roman" w:cs="Times New Roman"/>
                <w:b/>
                <w:sz w:val="24"/>
              </w:rPr>
              <w:t>špecifické)</w:t>
            </w:r>
          </w:p>
          <w:p w14:paraId="41EBBFD3" w14:textId="3B5D13CD" w:rsidR="00203C1C" w:rsidRPr="00A3389E" w:rsidRDefault="00203C1C" w:rsidP="00155C96">
            <w:pPr>
              <w:autoSpaceDE w:val="0"/>
              <w:autoSpaceDN w:val="0"/>
              <w:adjustRightInd w:val="0"/>
              <w:spacing w:after="240"/>
              <w:jc w:val="both"/>
              <w:rPr>
                <w:rFonts w:ascii="Times New Roman" w:hAnsi="Times New Roman" w:cs="Times New Roman"/>
                <w:sz w:val="24"/>
              </w:rPr>
            </w:pPr>
            <w:r w:rsidRPr="00A3389E">
              <w:rPr>
                <w:rFonts w:ascii="Times New Roman" w:hAnsi="Times New Roman" w:cs="Times New Roman"/>
                <w:sz w:val="24"/>
              </w:rPr>
              <w:t>Všeobecné</w:t>
            </w:r>
            <w:r w:rsidR="00A3389E">
              <w:rPr>
                <w:rFonts w:ascii="Times New Roman" w:hAnsi="Times New Roman" w:cs="Times New Roman"/>
                <w:sz w:val="24"/>
              </w:rPr>
              <w:t xml:space="preserve"> a </w:t>
            </w:r>
            <w:r w:rsidRPr="00A3389E">
              <w:rPr>
                <w:rFonts w:ascii="Times New Roman" w:hAnsi="Times New Roman" w:cs="Times New Roman"/>
                <w:sz w:val="24"/>
              </w:rPr>
              <w:t>špecifické riziko pozícií</w:t>
            </w:r>
            <w:r w:rsidR="00A3389E">
              <w:rPr>
                <w:rFonts w:ascii="Times New Roman" w:hAnsi="Times New Roman" w:cs="Times New Roman"/>
                <w:sz w:val="24"/>
              </w:rPr>
              <w:t xml:space="preserve"> v </w:t>
            </w:r>
            <w:r w:rsidRPr="00A3389E">
              <w:rPr>
                <w:rFonts w:ascii="Times New Roman" w:hAnsi="Times New Roman" w:cs="Times New Roman"/>
                <w:sz w:val="24"/>
              </w:rPr>
              <w:t>obchodovaných dlhových nástrojoch</w:t>
            </w:r>
            <w:r w:rsidR="00A3389E">
              <w:rPr>
                <w:rFonts w:ascii="Times New Roman" w:hAnsi="Times New Roman" w:cs="Times New Roman"/>
                <w:sz w:val="24"/>
              </w:rPr>
              <w:t xml:space="preserve"> v </w:t>
            </w:r>
            <w:r w:rsidRPr="00A3389E">
              <w:rPr>
                <w:rFonts w:ascii="Times New Roman" w:hAnsi="Times New Roman" w:cs="Times New Roman"/>
                <w:sz w:val="24"/>
              </w:rPr>
              <w:t>obchodnej knihe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2 CRR,</w:t>
            </w:r>
            <w:r w:rsidR="00A3389E">
              <w:rPr>
                <w:rFonts w:ascii="Times New Roman" w:hAnsi="Times New Roman" w:cs="Times New Roman"/>
                <w:sz w:val="24"/>
              </w:rPr>
              <w:t xml:space="preserve"> s </w:t>
            </w:r>
            <w:r w:rsidRPr="00A3389E">
              <w:rPr>
                <w:rFonts w:ascii="Times New Roman" w:hAnsi="Times New Roman" w:cs="Times New Roman"/>
                <w:sz w:val="24"/>
              </w:rPr>
              <w:t>výnimkou špecifického rizika súvisiaceho so sekuritizáciou, ktoré nie sú voliteľné.</w:t>
            </w:r>
          </w:p>
        </w:tc>
      </w:tr>
      <w:tr w:rsidR="00203C1C" w:rsidRPr="00A3389E"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A3389E" w:rsidRDefault="00076626" w:rsidP="00155C96">
            <w:pPr>
              <w:spacing w:after="240"/>
              <w:jc w:val="center"/>
              <w:rPr>
                <w:rFonts w:ascii="Times New Roman" w:hAnsi="Times New Roman" w:cs="Times New Roman"/>
                <w:b/>
                <w:sz w:val="24"/>
              </w:rPr>
            </w:pPr>
            <w:r w:rsidRPr="00A3389E">
              <w:rPr>
                <w:rFonts w:ascii="Times New Roman" w:hAnsi="Times New Roman" w:cs="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26E9B53"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Akciové riziko (všeobecné</w:t>
            </w:r>
            <w:r w:rsidR="00A3389E">
              <w:rPr>
                <w:rFonts w:ascii="Times New Roman" w:hAnsi="Times New Roman" w:cs="Times New Roman"/>
                <w:b/>
                <w:sz w:val="24"/>
              </w:rPr>
              <w:t xml:space="preserve"> a </w:t>
            </w:r>
            <w:r w:rsidRPr="00A3389E">
              <w:rPr>
                <w:rFonts w:ascii="Times New Roman" w:hAnsi="Times New Roman" w:cs="Times New Roman"/>
                <w:b/>
                <w:sz w:val="24"/>
              </w:rPr>
              <w:t>špecifické)</w:t>
            </w:r>
          </w:p>
          <w:p w14:paraId="31F702CB" w14:textId="604A5749"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Všeobecné</w:t>
            </w:r>
            <w:r w:rsidR="00A3389E">
              <w:rPr>
                <w:rFonts w:ascii="Times New Roman" w:hAnsi="Times New Roman" w:cs="Times New Roman"/>
                <w:sz w:val="24"/>
              </w:rPr>
              <w:t xml:space="preserve"> a </w:t>
            </w:r>
            <w:r w:rsidRPr="00A3389E">
              <w:rPr>
                <w:rFonts w:ascii="Times New Roman" w:hAnsi="Times New Roman" w:cs="Times New Roman"/>
                <w:sz w:val="24"/>
              </w:rPr>
              <w:t>špecifické riziko pozícií</w:t>
            </w:r>
            <w:r w:rsidR="00A3389E">
              <w:rPr>
                <w:rFonts w:ascii="Times New Roman" w:hAnsi="Times New Roman" w:cs="Times New Roman"/>
                <w:sz w:val="24"/>
              </w:rPr>
              <w:t xml:space="preserve"> v </w:t>
            </w:r>
            <w:r w:rsidRPr="00A3389E">
              <w:rPr>
                <w:rFonts w:ascii="Times New Roman" w:hAnsi="Times New Roman" w:cs="Times New Roman"/>
                <w:sz w:val="24"/>
              </w:rPr>
              <w:t>kapitálových cenných papieroch</w:t>
            </w:r>
            <w:r w:rsidR="00A3389E">
              <w:rPr>
                <w:rFonts w:ascii="Times New Roman" w:hAnsi="Times New Roman" w:cs="Times New Roman"/>
                <w:sz w:val="24"/>
              </w:rPr>
              <w:t xml:space="preserve"> v </w:t>
            </w:r>
            <w:r w:rsidRPr="00A3389E">
              <w:rPr>
                <w:rFonts w:ascii="Times New Roman" w:hAnsi="Times New Roman" w:cs="Times New Roman"/>
                <w:sz w:val="24"/>
              </w:rPr>
              <w:t>obchodnej knihe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2 CRR bez voliteľných nástrojov.</w:t>
            </w:r>
          </w:p>
        </w:tc>
      </w:tr>
      <w:tr w:rsidR="00203C1C" w:rsidRPr="00A3389E"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A3389E" w:rsidRDefault="00076626" w:rsidP="00155C96">
            <w:pPr>
              <w:spacing w:after="240"/>
              <w:jc w:val="center"/>
              <w:rPr>
                <w:rFonts w:ascii="Times New Roman" w:hAnsi="Times New Roman" w:cs="Times New Roman"/>
                <w:b/>
                <w:sz w:val="24"/>
              </w:rPr>
            </w:pPr>
            <w:r w:rsidRPr="00A3389E">
              <w:rPr>
                <w:rFonts w:ascii="Times New Roman" w:hAnsi="Times New Roman" w:cs="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Devízové riziko</w:t>
            </w:r>
          </w:p>
          <w:p w14:paraId="7628F8C1" w14:textId="5EB74E3A"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Riziko devízových pozícií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3 CRR okrem voliteľných nástrojov.</w:t>
            </w:r>
          </w:p>
        </w:tc>
      </w:tr>
      <w:tr w:rsidR="00203C1C" w:rsidRPr="00A3389E"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A3389E" w:rsidRDefault="00076626" w:rsidP="00155C96">
            <w:pPr>
              <w:spacing w:after="240"/>
              <w:jc w:val="center"/>
              <w:rPr>
                <w:rFonts w:ascii="Times New Roman" w:hAnsi="Times New Roman" w:cs="Times New Roman"/>
                <w:b/>
                <w:sz w:val="24"/>
              </w:rPr>
            </w:pPr>
            <w:r w:rsidRPr="00A3389E">
              <w:rPr>
                <w:rFonts w:ascii="Times New Roman" w:hAnsi="Times New Roman" w:cs="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Komoditné riziko</w:t>
            </w:r>
          </w:p>
          <w:p w14:paraId="049FF5D5" w14:textId="035C51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Riziko pozícií</w:t>
            </w:r>
            <w:r w:rsidR="00A3389E">
              <w:rPr>
                <w:rFonts w:ascii="Times New Roman" w:hAnsi="Times New Roman" w:cs="Times New Roman"/>
                <w:sz w:val="24"/>
              </w:rPr>
              <w:t xml:space="preserve"> v </w:t>
            </w:r>
            <w:r w:rsidRPr="00A3389E">
              <w:rPr>
                <w:rFonts w:ascii="Times New Roman" w:hAnsi="Times New Roman" w:cs="Times New Roman"/>
                <w:sz w:val="24"/>
              </w:rPr>
              <w:t>komoditách</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4 CRR okrem voliteľných nástrojov.</w:t>
            </w:r>
          </w:p>
        </w:tc>
      </w:tr>
      <w:tr w:rsidR="00203C1C" w:rsidRPr="00A3389E"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A3389E"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Opcie</w:t>
            </w:r>
          </w:p>
        </w:tc>
      </w:tr>
      <w:tr w:rsidR="00203C1C" w:rsidRPr="00A3389E"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A3389E" w:rsidRDefault="00076626" w:rsidP="00155C96">
            <w:pPr>
              <w:spacing w:after="240"/>
              <w:jc w:val="center"/>
              <w:rPr>
                <w:rFonts w:ascii="Times New Roman" w:hAnsi="Times New Roman" w:cs="Times New Roman"/>
                <w:b/>
                <w:sz w:val="24"/>
              </w:rPr>
            </w:pPr>
            <w:r w:rsidRPr="00A3389E">
              <w:rPr>
                <w:rFonts w:ascii="Times New Roman" w:hAnsi="Times New Roman" w:cs="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b/>
                <w:sz w:val="24"/>
              </w:rPr>
              <w:t>Zjednodušený prístup</w:t>
            </w:r>
          </w:p>
          <w:p w14:paraId="3C1371D3" w14:textId="2A253D0F"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sz w:val="24"/>
              </w:rPr>
              <w:t>Opcie alebo waranty</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 xml:space="preserve">tretej časti hlave IV kapitole 2 článku 329 ods. 3 CRR, pre ktoré inštitúcie vypočítavajú požiadavky na </w:t>
            </w:r>
            <w:r w:rsidRPr="00A3389E">
              <w:rPr>
                <w:rFonts w:ascii="Times New Roman" w:hAnsi="Times New Roman" w:cs="Times New Roman"/>
                <w:sz w:val="24"/>
              </w:rPr>
              <w:lastRenderedPageBreak/>
              <w:t>vlastné zdroje súvisiace</w:t>
            </w:r>
            <w:r w:rsidR="00A3389E">
              <w:rPr>
                <w:rFonts w:ascii="Times New Roman" w:hAnsi="Times New Roman" w:cs="Times New Roman"/>
                <w:sz w:val="24"/>
              </w:rPr>
              <w:t xml:space="preserve"> s </w:t>
            </w:r>
            <w:r w:rsidRPr="00A3389E">
              <w:rPr>
                <w:rFonts w:ascii="Times New Roman" w:hAnsi="Times New Roman" w:cs="Times New Roman"/>
                <w:sz w:val="24"/>
              </w:rPr>
              <w:t>rizikom iným než delta pomocou zjednodušeného prístupu</w:t>
            </w:r>
            <w:r w:rsidRPr="00A3389E">
              <w:rPr>
                <w:rStyle w:val="FootnoteReference"/>
                <w:rFonts w:ascii="Times New Roman" w:eastAsia="Times New Roman" w:hAnsi="Times New Roman" w:cs="Times New Roman"/>
              </w:rPr>
              <w:footnoteReference w:id="45"/>
            </w:r>
            <w:r w:rsidRPr="00A3389E">
              <w:rPr>
                <w:rFonts w:ascii="Times New Roman" w:hAnsi="Times New Roman" w:cs="Times New Roman"/>
              </w:rPr>
              <w:t>.</w:t>
            </w:r>
          </w:p>
        </w:tc>
      </w:tr>
      <w:tr w:rsidR="00203C1C" w:rsidRPr="00A3389E"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A3389E" w:rsidRDefault="00076626" w:rsidP="00155C96">
            <w:pPr>
              <w:spacing w:after="240"/>
              <w:jc w:val="center"/>
              <w:rPr>
                <w:rFonts w:ascii="Times New Roman" w:hAnsi="Times New Roman" w:cs="Times New Roman"/>
                <w:b/>
                <w:sz w:val="24"/>
              </w:rPr>
            </w:pPr>
            <w:r w:rsidRPr="00A3389E">
              <w:rPr>
                <w:rFonts w:ascii="Times New Roman" w:hAnsi="Times New Roman" w:cs="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b/>
                <w:sz w:val="24"/>
              </w:rPr>
              <w:t>Prístup delta plus</w:t>
            </w:r>
          </w:p>
          <w:p w14:paraId="11A872D3" w14:textId="233CE803"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sz w:val="24"/>
              </w:rPr>
              <w:t>Opcie alebo waranty</w:t>
            </w:r>
            <w:r w:rsidR="00A3389E">
              <w:rPr>
                <w:rFonts w:ascii="Times New Roman" w:hAnsi="Times New Roman" w:cs="Times New Roman"/>
                <w:sz w:val="24"/>
              </w:rPr>
              <w:t xml:space="preserve"> v </w:t>
            </w:r>
            <w:r w:rsidRPr="00A3389E">
              <w:rPr>
                <w:rFonts w:ascii="Times New Roman" w:hAnsi="Times New Roman" w:cs="Times New Roman"/>
                <w:sz w:val="24"/>
              </w:rPr>
              <w:t>obchodnej knihe</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tretej časti hlave IV kapitole 2 článku 329 ods. 3 CRR, pre ktoré inštitúcie vypočítavajú požiadavky na vlastné zdroje súvisiace</w:t>
            </w:r>
            <w:r w:rsidR="00A3389E">
              <w:rPr>
                <w:rFonts w:ascii="Times New Roman" w:hAnsi="Times New Roman" w:cs="Times New Roman"/>
                <w:sz w:val="24"/>
              </w:rPr>
              <w:t xml:space="preserve"> s </w:t>
            </w:r>
            <w:r w:rsidRPr="00A3389E">
              <w:rPr>
                <w:rFonts w:ascii="Times New Roman" w:hAnsi="Times New Roman" w:cs="Times New Roman"/>
                <w:sz w:val="24"/>
              </w:rPr>
              <w:t>rizikom iným než delta pomocou prístupu delta plus</w:t>
            </w:r>
            <w:r w:rsidRPr="00A3389E">
              <w:rPr>
                <w:rStyle w:val="FootnoteReference"/>
                <w:rFonts w:ascii="Times New Roman" w:eastAsia="Times New Roman" w:hAnsi="Times New Roman" w:cs="Times New Roman"/>
              </w:rPr>
              <w:footnoteReference w:id="46"/>
            </w:r>
            <w:r w:rsidRPr="00A3389E">
              <w:rPr>
                <w:rFonts w:ascii="Times New Roman" w:hAnsi="Times New Roman" w:cs="Times New Roman"/>
                <w:sz w:val="24"/>
              </w:rPr>
              <w:t>.</w:t>
            </w:r>
          </w:p>
        </w:tc>
      </w:tr>
      <w:tr w:rsidR="00203C1C" w:rsidRPr="00A3389E"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A3389E" w:rsidRDefault="00076626" w:rsidP="00155C96">
            <w:pPr>
              <w:spacing w:after="240"/>
              <w:jc w:val="center"/>
              <w:rPr>
                <w:rFonts w:ascii="Times New Roman" w:hAnsi="Times New Roman" w:cs="Times New Roman"/>
                <w:b/>
                <w:sz w:val="24"/>
              </w:rPr>
            </w:pPr>
            <w:r w:rsidRPr="00A3389E">
              <w:rPr>
                <w:rFonts w:ascii="Times New Roman" w:hAnsi="Times New Roman" w:cs="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b/>
                <w:sz w:val="24"/>
              </w:rPr>
              <w:t>Prístup na základe scenárov</w:t>
            </w:r>
          </w:p>
          <w:p w14:paraId="34E43048" w14:textId="3CCCBA86"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sz w:val="24"/>
              </w:rPr>
              <w:t>Opcie alebo waranty</w:t>
            </w:r>
            <w:r w:rsidR="00A3389E">
              <w:rPr>
                <w:rFonts w:ascii="Times New Roman" w:hAnsi="Times New Roman" w:cs="Times New Roman"/>
                <w:sz w:val="24"/>
              </w:rPr>
              <w:t xml:space="preserve"> v </w:t>
            </w:r>
            <w:r w:rsidRPr="00A3389E">
              <w:rPr>
                <w:rFonts w:ascii="Times New Roman" w:hAnsi="Times New Roman" w:cs="Times New Roman"/>
                <w:sz w:val="24"/>
              </w:rPr>
              <w:t>obchodnej knihe</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tretej časti hlave IV kapitole 2 článku 329 ods. 3 CRR, pre ktoré inštitúcie vypočítavajú požiadavky na vlastné zdroje súvisiace</w:t>
            </w:r>
            <w:r w:rsidR="00A3389E">
              <w:rPr>
                <w:rFonts w:ascii="Times New Roman" w:hAnsi="Times New Roman" w:cs="Times New Roman"/>
                <w:sz w:val="24"/>
              </w:rPr>
              <w:t xml:space="preserve"> s </w:t>
            </w:r>
            <w:r w:rsidRPr="00A3389E">
              <w:rPr>
                <w:rFonts w:ascii="Times New Roman" w:hAnsi="Times New Roman" w:cs="Times New Roman"/>
                <w:sz w:val="24"/>
              </w:rPr>
              <w:t>rizikom iným než delta pomocou prístupu na základe scenárov</w:t>
            </w:r>
            <w:r w:rsidRPr="00A3389E">
              <w:rPr>
                <w:rStyle w:val="FootnoteReference"/>
                <w:rFonts w:ascii="Times New Roman" w:eastAsia="Times New Roman" w:hAnsi="Times New Roman" w:cs="Times New Roman"/>
              </w:rPr>
              <w:footnoteReference w:id="47"/>
            </w:r>
            <w:r w:rsidRPr="00A3389E">
              <w:rPr>
                <w:rFonts w:ascii="Times New Roman" w:hAnsi="Times New Roman" w:cs="Times New Roman"/>
                <w:sz w:val="24"/>
              </w:rPr>
              <w:t>.</w:t>
            </w:r>
          </w:p>
        </w:tc>
      </w:tr>
      <w:tr w:rsidR="00203C1C" w:rsidRPr="00A3389E"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A3389E" w:rsidRDefault="00076626" w:rsidP="00155C96">
            <w:pPr>
              <w:spacing w:after="240"/>
              <w:jc w:val="center"/>
              <w:rPr>
                <w:rFonts w:ascii="Times New Roman" w:hAnsi="Times New Roman" w:cs="Times New Roman"/>
                <w:sz w:val="24"/>
              </w:rPr>
            </w:pPr>
            <w:r w:rsidRPr="00A3389E">
              <w:rPr>
                <w:rFonts w:ascii="Times New Roman" w:hAnsi="Times New Roman" w:cs="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Sekuritizácia (špecifické riziko)</w:t>
            </w:r>
          </w:p>
          <w:p w14:paraId="4C3784F6" w14:textId="6495BB14" w:rsidR="00203C1C" w:rsidRPr="00A3389E" w:rsidRDefault="00203C1C" w:rsidP="006C27A8">
            <w:pPr>
              <w:spacing w:after="240"/>
              <w:jc w:val="both"/>
              <w:rPr>
                <w:rFonts w:ascii="Times New Roman" w:hAnsi="Times New Roman" w:cs="Times New Roman"/>
                <w:sz w:val="24"/>
              </w:rPr>
            </w:pPr>
            <w:r w:rsidRPr="00A3389E">
              <w:rPr>
                <w:rFonts w:ascii="Times New Roman" w:hAnsi="Times New Roman" w:cs="Times New Roman"/>
                <w:sz w:val="24"/>
              </w:rPr>
              <w:t>Špecifické riziko sekuritizačných pozícií</w:t>
            </w:r>
            <w:r w:rsidR="00A3389E">
              <w:rPr>
                <w:rFonts w:ascii="Times New Roman" w:hAnsi="Times New Roman" w:cs="Times New Roman"/>
                <w:sz w:val="24"/>
              </w:rPr>
              <w:t xml:space="preserve"> v </w:t>
            </w:r>
            <w:r w:rsidRPr="00A3389E">
              <w:rPr>
                <w:rFonts w:ascii="Times New Roman" w:hAnsi="Times New Roman" w:cs="Times New Roman"/>
                <w:sz w:val="24"/>
              </w:rPr>
              <w:t>obchodnej knihe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2 článkami 337</w:t>
            </w:r>
            <w:r w:rsidR="00A3389E">
              <w:rPr>
                <w:rFonts w:ascii="Times New Roman" w:hAnsi="Times New Roman" w:cs="Times New Roman"/>
                <w:sz w:val="24"/>
              </w:rPr>
              <w:t xml:space="preserve"> a </w:t>
            </w:r>
            <w:r w:rsidRPr="00A3389E">
              <w:rPr>
                <w:rFonts w:ascii="Times New Roman" w:hAnsi="Times New Roman" w:cs="Times New Roman"/>
                <w:sz w:val="24"/>
              </w:rPr>
              <w:t>338 CRR.</w:t>
            </w:r>
          </w:p>
        </w:tc>
      </w:tr>
      <w:tr w:rsidR="00203C1C" w:rsidRPr="00A3389E"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A3389E" w:rsidRDefault="00076626" w:rsidP="00155C96">
            <w:pPr>
              <w:spacing w:after="240"/>
              <w:jc w:val="center"/>
              <w:rPr>
                <w:rFonts w:ascii="Times New Roman" w:hAnsi="Times New Roman" w:cs="Times New Roman"/>
                <w:sz w:val="24"/>
              </w:rPr>
            </w:pPr>
            <w:r w:rsidRPr="00A3389E">
              <w:rPr>
                <w:rFonts w:ascii="Times New Roman" w:hAnsi="Times New Roman" w:cs="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Spolu</w:t>
            </w:r>
          </w:p>
          <w:p w14:paraId="0B091741" w14:textId="635540DA" w:rsidR="00203C1C" w:rsidRPr="00A3389E" w:rsidRDefault="00203C1C" w:rsidP="00155C96">
            <w:pPr>
              <w:spacing w:after="240"/>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1 až 8 tohto vzoru.</w:t>
            </w:r>
          </w:p>
        </w:tc>
      </w:tr>
      <w:tr w:rsidR="00203C1C" w:rsidRPr="00A3389E"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Písmeno stĺpca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A3389E" w:rsidRDefault="009E7E40" w:rsidP="00155C96">
            <w:pPr>
              <w:spacing w:after="240"/>
              <w:jc w:val="center"/>
              <w:rPr>
                <w:rFonts w:ascii="Times New Roman" w:hAnsi="Times New Roman" w:cs="Times New Roman"/>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RWEA</w:t>
            </w:r>
          </w:p>
          <w:p w14:paraId="56F10A61" w14:textId="51C359F5"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Zverejňovanie rizikovo vážených expozícií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438 písm. d) CRR, ktoré sa vypočítavajú ako hodnota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b</w:t>
            </w:r>
            <w:r w:rsidRPr="00A3389E">
              <w:rPr>
                <w:rFonts w:ascii="Times New Roman" w:hAnsi="Times New Roman" w:cs="Times New Roman"/>
                <w:sz w:val="24"/>
              </w:rPr>
              <w:t xml:space="preserve"> vynásobená koeficientom 12,5</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4 písm. b) CRR.</w:t>
            </w:r>
          </w:p>
        </w:tc>
      </w:tr>
    </w:tbl>
    <w:p w14:paraId="349F27AF" w14:textId="77777777" w:rsidR="00203C1C" w:rsidRPr="00A3389E" w:rsidRDefault="00203C1C" w:rsidP="00C76D85">
      <w:pPr>
        <w:pStyle w:val="Titlelevel2"/>
        <w:spacing w:before="0" w:after="0"/>
        <w:rPr>
          <w:rFonts w:ascii="Times New Roman" w:hAnsi="Times New Roman" w:cs="Times New Roman"/>
          <w:b/>
          <w:color w:val="auto"/>
          <w:sz w:val="24"/>
        </w:rPr>
      </w:pPr>
    </w:p>
    <w:p w14:paraId="58C24575" w14:textId="77777777" w:rsidR="00203C1C" w:rsidRPr="00A3389E" w:rsidRDefault="00203C1C" w:rsidP="00C76D85">
      <w:pPr>
        <w:rPr>
          <w:rFonts w:ascii="Times New Roman" w:hAnsi="Times New Roman" w:cs="Times New Roman"/>
          <w:b/>
          <w:sz w:val="24"/>
        </w:rPr>
      </w:pPr>
    </w:p>
    <w:p w14:paraId="2FEF6E06" w14:textId="77777777" w:rsidR="00203C1C" w:rsidRPr="00A3389E" w:rsidRDefault="00203C1C" w:rsidP="00C76D85">
      <w:pPr>
        <w:rPr>
          <w:rFonts w:ascii="Times New Roman" w:hAnsi="Times New Roman" w:cs="Times New Roman"/>
          <w:b/>
          <w:sz w:val="24"/>
        </w:rPr>
      </w:pPr>
    </w:p>
    <w:p w14:paraId="0F5CB1D3" w14:textId="7DE181F9" w:rsidR="00203C1C" w:rsidRPr="00A3389E" w:rsidRDefault="00203C1C" w:rsidP="00203C1C">
      <w:pPr>
        <w:spacing w:after="240"/>
        <w:rPr>
          <w:rFonts w:ascii="Times New Roman" w:hAnsi="Times New Roman" w:cs="Times New Roman"/>
          <w:b/>
          <w:sz w:val="24"/>
        </w:rPr>
      </w:pPr>
      <w:r w:rsidRPr="00A3389E">
        <w:rPr>
          <w:rFonts w:ascii="Times New Roman" w:hAnsi="Times New Roman" w:cs="Times New Roman"/>
          <w:b/>
          <w:sz w:val="24"/>
        </w:rPr>
        <w:lastRenderedPageBreak/>
        <w:t>Tabuľka EU MRB: Požiadavky na zverejňovanie kvalitatívnych informácií pre inštitúcie, ktoré používajú interné modely trhového rizika</w:t>
      </w:r>
      <w:r w:rsidRPr="00A3389E">
        <w:rPr>
          <w:rFonts w:ascii="Times New Roman" w:hAnsi="Times New Roman" w:cs="Times New Roman"/>
          <w:sz w:val="24"/>
        </w:rPr>
        <w:t>: formát</w:t>
      </w:r>
      <w:r w:rsidR="00A3389E">
        <w:rPr>
          <w:rFonts w:ascii="Times New Roman" w:hAnsi="Times New Roman" w:cs="Times New Roman"/>
          <w:sz w:val="24"/>
        </w:rPr>
        <w:t xml:space="preserve"> s </w:t>
      </w:r>
      <w:r w:rsidRPr="00A3389E">
        <w:rPr>
          <w:rFonts w:ascii="Times New Roman" w:hAnsi="Times New Roman" w:cs="Times New Roman"/>
          <w:sz w:val="24"/>
        </w:rPr>
        <w:t>ľubovoľným textom</w:t>
      </w:r>
    </w:p>
    <w:p w14:paraId="721EB6BA" w14:textId="553CD33F" w:rsidR="00203C1C" w:rsidRPr="00A3389E" w:rsidRDefault="00A3389E" w:rsidP="00A3389E">
      <w:pPr>
        <w:pStyle w:val="Titlelevel2"/>
        <w:spacing w:before="0"/>
        <w:ind w:left="1070" w:hanging="360"/>
        <w:jc w:val="both"/>
        <w:rPr>
          <w:rFonts w:ascii="Times New Roman" w:hAnsi="Times New Roman" w:cs="Times New Roman"/>
          <w:b/>
          <w:sz w:val="24"/>
        </w:rPr>
      </w:pPr>
      <w:r w:rsidRPr="00A3389E">
        <w:rPr>
          <w:rFonts w:ascii="Times New Roman" w:hAnsi="Times New Roman" w:cs="Times New Roman"/>
          <w:color w:val="auto"/>
          <w:sz w:val="22"/>
          <w:szCs w:val="22"/>
        </w:rPr>
        <w:t>4.</w:t>
      </w:r>
      <w:r w:rsidRPr="00A3389E">
        <w:rPr>
          <w:rFonts w:ascii="Times New Roman" w:hAnsi="Times New Roman" w:cs="Times New Roman"/>
          <w:color w:val="auto"/>
          <w:sz w:val="22"/>
          <w:szCs w:val="22"/>
        </w:rPr>
        <w:tab/>
      </w:r>
      <w:r w:rsidR="00203C1C"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článku 455 písm. a), b), c)</w:t>
      </w:r>
      <w:r>
        <w:rPr>
          <w:rFonts w:ascii="Times New Roman" w:hAnsi="Times New Roman" w:cs="Times New Roman"/>
          <w:bCs w:val="0"/>
          <w:color w:val="000000"/>
          <w:sz w:val="24"/>
        </w:rPr>
        <w:t xml:space="preserve"> a </w:t>
      </w:r>
      <w:r w:rsidR="00203C1C" w:rsidRPr="00A3389E">
        <w:rPr>
          <w:rFonts w:ascii="Times New Roman" w:hAnsi="Times New Roman" w:cs="Times New Roman"/>
          <w:bCs w:val="0"/>
          <w:color w:val="000000"/>
          <w:sz w:val="24"/>
        </w:rPr>
        <w:t>f) CRR podľa pokynov uvedených nižšie</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203C1C" w:rsidRPr="00A3389E">
        <w:rPr>
          <w:rFonts w:ascii="Times New Roman" w:hAnsi="Times New Roman" w:cs="Times New Roman"/>
          <w:bCs w:val="0"/>
          <w:color w:val="000000"/>
          <w:sz w:val="24"/>
        </w:rPr>
        <w:t>cieľom vyplniť vzor EU MRB, ktorý je uvedený</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prílohe XXIX</w:t>
      </w:r>
      <w:r>
        <w:rPr>
          <w:rFonts w:ascii="Times New Roman" w:hAnsi="Times New Roman" w:cs="Times New Roman"/>
          <w:bCs w:val="0"/>
          <w:color w:val="000000"/>
          <w:sz w:val="24"/>
        </w:rPr>
        <w:t xml:space="preserve"> k </w:t>
      </w:r>
      <w:r w:rsidR="00203C1C" w:rsidRPr="00A3389E">
        <w:rPr>
          <w:rFonts w:ascii="Times New Roman" w:hAnsi="Times New Roman" w:cs="Times New Roman"/>
          <w:bCs w:val="0"/>
          <w:color w:val="000000"/>
          <w:sz w:val="24"/>
        </w:rPr>
        <w:t>tomuto vykonávaciemu nariadeniu.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A3389E"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01DD68B9"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203C1C" w:rsidRPr="00A3389E"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A3389E" w:rsidRDefault="00B77F75" w:rsidP="00B77F75">
            <w:pPr>
              <w:spacing w:after="240"/>
              <w:jc w:val="center"/>
              <w:rPr>
                <w:rFonts w:ascii="Times New Roman" w:hAnsi="Times New Roman" w:cs="Times New Roman"/>
                <w:b/>
                <w:sz w:val="24"/>
              </w:rPr>
            </w:pPr>
            <w:r w:rsidRPr="00A3389E">
              <w:rPr>
                <w:rFonts w:ascii="Times New Roman" w:hAnsi="Times New Roman" w:cs="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BB3E3CF" w:rsidR="00203C1C" w:rsidRPr="00A3389E" w:rsidRDefault="00203C1C"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455 písm. c) CRR</w:t>
            </w:r>
            <w:r w:rsidR="00A3389E">
              <w:rPr>
                <w:rFonts w:ascii="Times New Roman" w:hAnsi="Times New Roman" w:cs="Times New Roman"/>
                <w:sz w:val="24"/>
              </w:rPr>
              <w:t xml:space="preserve"> o </w:t>
            </w:r>
            <w:r w:rsidRPr="00A3389E">
              <w:rPr>
                <w:rFonts w:ascii="Times New Roman" w:hAnsi="Times New Roman" w:cs="Times New Roman"/>
                <w:sz w:val="24"/>
              </w:rPr>
              <w:t>miere</w:t>
            </w:r>
            <w:r w:rsidR="00A3389E">
              <w:rPr>
                <w:rFonts w:ascii="Times New Roman" w:hAnsi="Times New Roman" w:cs="Times New Roman"/>
                <w:sz w:val="24"/>
              </w:rPr>
              <w:t xml:space="preserve"> a </w:t>
            </w:r>
            <w:r w:rsidRPr="00A3389E">
              <w:rPr>
                <w:rFonts w:ascii="Times New Roman" w:hAnsi="Times New Roman" w:cs="Times New Roman"/>
                <w:sz w:val="24"/>
              </w:rPr>
              <w:t>metodikách na spĺňanie požiadaviek článku 104 CRR zahŕňajú:</w:t>
            </w:r>
          </w:p>
          <w:p w14:paraId="506D32A6" w14:textId="4CC3A326" w:rsidR="00203C1C" w:rsidRPr="00A3389E" w:rsidRDefault="00A3389E" w:rsidP="00A3389E">
            <w:pPr>
              <w:spacing w:after="240"/>
              <w:ind w:left="720" w:hanging="360"/>
              <w:jc w:val="both"/>
              <w:rPr>
                <w:rFonts w:ascii="Times New Roman" w:hAnsi="Times New Roman"/>
                <w:b/>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opis postupov</w:t>
            </w:r>
            <w:r>
              <w:rPr>
                <w:rFonts w:ascii="Times New Roman" w:hAnsi="Times New Roman"/>
                <w:sz w:val="24"/>
              </w:rPr>
              <w:t xml:space="preserve"> a </w:t>
            </w:r>
            <w:r w:rsidR="00203C1C" w:rsidRPr="00A3389E">
              <w:rPr>
                <w:rFonts w:ascii="Times New Roman" w:hAnsi="Times New Roman"/>
                <w:sz w:val="24"/>
              </w:rPr>
              <w:t>systémov zavedených na zaistenie obchodovateľnosti pozícií zahrnutých</w:t>
            </w:r>
            <w:r>
              <w:rPr>
                <w:rFonts w:ascii="Times New Roman" w:hAnsi="Times New Roman"/>
                <w:sz w:val="24"/>
              </w:rPr>
              <w:t xml:space="preserve"> v </w:t>
            </w:r>
            <w:r w:rsidR="00203C1C" w:rsidRPr="00A3389E">
              <w:rPr>
                <w:rFonts w:ascii="Times New Roman" w:hAnsi="Times New Roman"/>
                <w:sz w:val="24"/>
              </w:rPr>
              <w:t>obchodnej knihe</w:t>
            </w:r>
            <w:r>
              <w:rPr>
                <w:rFonts w:ascii="Times New Roman" w:hAnsi="Times New Roman"/>
                <w:sz w:val="24"/>
              </w:rPr>
              <w:t xml:space="preserve"> s </w:t>
            </w:r>
            <w:r w:rsidR="00203C1C" w:rsidRPr="00A3389E">
              <w:rPr>
                <w:rFonts w:ascii="Times New Roman" w:hAnsi="Times New Roman"/>
                <w:sz w:val="24"/>
              </w:rPr>
              <w:t>cieľom spĺňať požiadavky článku 104 CRR,</w:t>
            </w:r>
          </w:p>
          <w:p w14:paraId="083CE678" w14:textId="05F14909" w:rsidR="00203C1C" w:rsidRPr="00A3389E" w:rsidRDefault="00A3389E" w:rsidP="00A3389E">
            <w:pPr>
              <w:spacing w:after="240"/>
              <w:ind w:left="720" w:hanging="360"/>
              <w:jc w:val="both"/>
              <w:rPr>
                <w:rFonts w:ascii="Times New Roman" w:hAnsi="Times New Roman"/>
                <w:b/>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opis metodiky použitej na zabezpečenie vhodnosti politík</w:t>
            </w:r>
            <w:r>
              <w:rPr>
                <w:rFonts w:ascii="Times New Roman" w:hAnsi="Times New Roman"/>
                <w:sz w:val="24"/>
              </w:rPr>
              <w:t xml:space="preserve"> a </w:t>
            </w:r>
            <w:r w:rsidR="00203C1C" w:rsidRPr="00A3389E">
              <w:rPr>
                <w:rFonts w:ascii="Times New Roman" w:hAnsi="Times New Roman"/>
                <w:sz w:val="24"/>
              </w:rPr>
              <w:t>postupov zavedených na celkové riadenie obchodnej knihy.</w:t>
            </w:r>
          </w:p>
        </w:tc>
      </w:tr>
      <w:tr w:rsidR="00203C1C" w:rsidRPr="00A3389E"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A3389E" w:rsidRDefault="00B77F75" w:rsidP="00B77F75">
            <w:pPr>
              <w:spacing w:after="240"/>
              <w:jc w:val="center"/>
              <w:rPr>
                <w:rFonts w:ascii="Times New Roman" w:hAnsi="Times New Roman" w:cs="Times New Roman"/>
                <w:b/>
                <w:sz w:val="24"/>
              </w:rPr>
            </w:pPr>
            <w:r w:rsidRPr="00A3389E">
              <w:rPr>
                <w:rFonts w:ascii="Times New Roman" w:hAnsi="Times New Roman" w:cs="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4AD02DA2" w:rsidR="00203C1C" w:rsidRPr="00A3389E" w:rsidRDefault="00203C1C"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455 písm. c) CRR</w:t>
            </w:r>
            <w:r w:rsidR="00A3389E">
              <w:rPr>
                <w:rFonts w:ascii="Times New Roman" w:hAnsi="Times New Roman" w:cs="Times New Roman"/>
                <w:sz w:val="24"/>
              </w:rPr>
              <w:t xml:space="preserve"> o </w:t>
            </w:r>
            <w:r w:rsidRPr="00A3389E">
              <w:rPr>
                <w:rFonts w:ascii="Times New Roman" w:hAnsi="Times New Roman" w:cs="Times New Roman"/>
                <w:sz w:val="24"/>
              </w:rPr>
              <w:t>miere</w:t>
            </w:r>
            <w:r w:rsidR="00A3389E">
              <w:rPr>
                <w:rFonts w:ascii="Times New Roman" w:hAnsi="Times New Roman" w:cs="Times New Roman"/>
                <w:sz w:val="24"/>
              </w:rPr>
              <w:t xml:space="preserve"> a </w:t>
            </w:r>
            <w:r w:rsidRPr="00A3389E">
              <w:rPr>
                <w:rFonts w:ascii="Times New Roman" w:hAnsi="Times New Roman" w:cs="Times New Roman"/>
                <w:sz w:val="24"/>
              </w:rPr>
              <w:t>metodikách na spĺňanie požiadaviek článku 105 CRR zahŕňajú:</w:t>
            </w:r>
          </w:p>
          <w:p w14:paraId="366F8858" w14:textId="7E0D1614" w:rsidR="00203C1C" w:rsidRPr="00A3389E" w:rsidRDefault="00A3389E" w:rsidP="00A3389E">
            <w:pPr>
              <w:spacing w:after="240"/>
              <w:ind w:left="720" w:hanging="360"/>
              <w:jc w:val="both"/>
              <w:rPr>
                <w:rFonts w:ascii="Times New Roman" w:eastAsia="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opis metód oceňovania vrátane vysvetlenia toho, do akej miery sa používa metóda oceňovania trhovou cenou</w:t>
            </w:r>
            <w:r>
              <w:rPr>
                <w:rFonts w:ascii="Times New Roman" w:hAnsi="Times New Roman"/>
                <w:sz w:val="24"/>
              </w:rPr>
              <w:t xml:space="preserve"> a </w:t>
            </w:r>
            <w:r w:rsidR="00203C1C" w:rsidRPr="00A3389E">
              <w:rPr>
                <w:rFonts w:ascii="Times New Roman" w:hAnsi="Times New Roman"/>
                <w:sz w:val="24"/>
              </w:rPr>
              <w:t>metóda oceňovania na základe modelu,</w:t>
            </w:r>
          </w:p>
          <w:p w14:paraId="6FCE715B" w14:textId="47347820" w:rsidR="00203C1C" w:rsidRPr="00A3389E" w:rsidRDefault="00A3389E" w:rsidP="00A3389E">
            <w:pPr>
              <w:spacing w:after="240"/>
              <w:ind w:left="720" w:hanging="360"/>
              <w:jc w:val="both"/>
              <w:rPr>
                <w:rFonts w:ascii="Times New Roman" w:eastAsia="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opis postupu nezávislého overovania cien,</w:t>
            </w:r>
          </w:p>
          <w:p w14:paraId="5DDFA4A5" w14:textId="5B275818" w:rsidR="00203C1C" w:rsidRPr="00A3389E" w:rsidRDefault="00A3389E" w:rsidP="00A3389E">
            <w:pPr>
              <w:spacing w:after="240"/>
              <w:ind w:left="720" w:hanging="360"/>
              <w:jc w:val="both"/>
              <w:rPr>
                <w:rFonts w:ascii="Times New Roman" w:hAnsi="Times New Roman"/>
                <w:b/>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postupy úprav ocenenia alebo rezerv (vrátane opisu postupu</w:t>
            </w:r>
            <w:r>
              <w:rPr>
                <w:rFonts w:ascii="Times New Roman" w:hAnsi="Times New Roman"/>
                <w:sz w:val="24"/>
              </w:rPr>
              <w:t xml:space="preserve"> a </w:t>
            </w:r>
            <w:r w:rsidR="00203C1C" w:rsidRPr="00A3389E">
              <w:rPr>
                <w:rFonts w:ascii="Times New Roman" w:hAnsi="Times New Roman"/>
                <w:sz w:val="24"/>
              </w:rPr>
              <w:t>metódy oceňovania obchodných pozícií podľa druhu nástroja).</w:t>
            </w:r>
          </w:p>
        </w:tc>
      </w:tr>
      <w:tr w:rsidR="00203C1C" w:rsidRPr="00A3389E"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A3389E" w:rsidRDefault="00B77F75" w:rsidP="00155C96">
            <w:pPr>
              <w:spacing w:after="240"/>
              <w:jc w:val="center"/>
              <w:rPr>
                <w:rFonts w:ascii="Times New Roman" w:hAnsi="Times New Roman" w:cs="Times New Roman"/>
                <w:b/>
                <w:sz w:val="24"/>
              </w:rPr>
            </w:pPr>
            <w:r w:rsidRPr="00A3389E">
              <w:rPr>
                <w:rFonts w:ascii="Times New Roman" w:hAnsi="Times New Roman" w:cs="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2B30B017"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b/>
                <w:sz w:val="24"/>
              </w:rPr>
              <w:t>Inštitúcie, ktoré používajú modely VaR</w:t>
            </w:r>
            <w:r w:rsidR="00A3389E">
              <w:rPr>
                <w:rFonts w:ascii="Times New Roman" w:hAnsi="Times New Roman" w:cs="Times New Roman"/>
                <w:b/>
                <w:sz w:val="24"/>
              </w:rPr>
              <w:t xml:space="preserve"> a </w:t>
            </w:r>
            <w:r w:rsidRPr="00A3389E">
              <w:rPr>
                <w:rFonts w:ascii="Times New Roman" w:hAnsi="Times New Roman" w:cs="Times New Roman"/>
                <w:b/>
                <w:sz w:val="24"/>
              </w:rPr>
              <w:t>modely stresovanej VaR (SVaR)</w:t>
            </w:r>
            <w:r w:rsidR="00A3389E">
              <w:rPr>
                <w:rFonts w:ascii="Times New Roman" w:hAnsi="Times New Roman" w:cs="Times New Roman"/>
                <w:b/>
                <w:sz w:val="24"/>
              </w:rPr>
              <w:t xml:space="preserve"> v </w:t>
            </w:r>
            <w:r w:rsidRPr="00A3389E">
              <w:rPr>
                <w:rFonts w:ascii="Times New Roman" w:hAnsi="Times New Roman" w:cs="Times New Roman"/>
                <w:b/>
                <w:sz w:val="24"/>
              </w:rPr>
              <w:t>zmysle vymedzenia</w:t>
            </w:r>
            <w:r w:rsidR="00A3389E">
              <w:rPr>
                <w:rFonts w:ascii="Times New Roman" w:hAnsi="Times New Roman" w:cs="Times New Roman"/>
                <w:b/>
                <w:sz w:val="24"/>
              </w:rPr>
              <w:t xml:space="preserve"> v </w:t>
            </w:r>
            <w:r w:rsidRPr="00A3389E">
              <w:rPr>
                <w:rFonts w:ascii="Times New Roman" w:hAnsi="Times New Roman" w:cs="Times New Roman"/>
                <w:b/>
                <w:sz w:val="24"/>
              </w:rPr>
              <w:t>článku 365 CRR.</w:t>
            </w:r>
          </w:p>
        </w:tc>
      </w:tr>
      <w:tr w:rsidR="00203C1C" w:rsidRPr="00A3389E"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A3389E" w:rsidRDefault="00B77F75" w:rsidP="00155C96">
            <w:pPr>
              <w:spacing w:after="240"/>
              <w:jc w:val="center"/>
              <w:rPr>
                <w:rFonts w:ascii="Times New Roman" w:hAnsi="Times New Roman" w:cs="Times New Roman"/>
                <w:b/>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3E95C1AF"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w:t>
            </w:r>
            <w:r w:rsidR="00A3389E">
              <w:rPr>
                <w:rFonts w:ascii="Times New Roman" w:hAnsi="Times New Roman" w:cs="Times New Roman"/>
                <w:sz w:val="24"/>
              </w:rPr>
              <w:t xml:space="preserve"> a </w:t>
            </w:r>
            <w:r w:rsidRPr="00A3389E">
              <w:rPr>
                <w:rFonts w:ascii="Times New Roman" w:hAnsi="Times New Roman" w:cs="Times New Roman"/>
                <w:sz w:val="24"/>
              </w:rPr>
              <w:t>článku 455 písm. b) CRR zahŕňajú opis činností</w:t>
            </w:r>
            <w:r w:rsidR="00A3389E">
              <w:rPr>
                <w:rFonts w:ascii="Times New Roman" w:hAnsi="Times New Roman" w:cs="Times New Roman"/>
                <w:sz w:val="24"/>
              </w:rPr>
              <w:t xml:space="preserve"> a </w:t>
            </w:r>
            <w:r w:rsidRPr="00A3389E">
              <w:rPr>
                <w:rFonts w:ascii="Times New Roman" w:hAnsi="Times New Roman" w:cs="Times New Roman"/>
                <w:sz w:val="24"/>
              </w:rPr>
              <w:t>rizík, na ktoré sa vzťahujú modely VaR</w:t>
            </w:r>
            <w:r w:rsidR="00A3389E">
              <w:rPr>
                <w:rFonts w:ascii="Times New Roman" w:hAnsi="Times New Roman" w:cs="Times New Roman"/>
                <w:sz w:val="24"/>
              </w:rPr>
              <w:t xml:space="preserve"> a </w:t>
            </w:r>
            <w:r w:rsidRPr="00A3389E">
              <w:rPr>
                <w:rFonts w:ascii="Times New Roman" w:hAnsi="Times New Roman" w:cs="Times New Roman"/>
                <w:sz w:val="24"/>
              </w:rPr>
              <w:t>SVaR, pričom špecifikujú, ako sú rozdelené</w:t>
            </w:r>
            <w:r w:rsidR="00A3389E">
              <w:rPr>
                <w:rFonts w:ascii="Times New Roman" w:hAnsi="Times New Roman" w:cs="Times New Roman"/>
                <w:sz w:val="24"/>
              </w:rPr>
              <w:t xml:space="preserve"> v </w:t>
            </w:r>
            <w:r w:rsidRPr="00A3389E">
              <w:rPr>
                <w:rFonts w:ascii="Times New Roman" w:hAnsi="Times New Roman" w:cs="Times New Roman"/>
                <w:sz w:val="24"/>
              </w:rPr>
              <w:t>portfóliách/subportfóliách, pre ktoré príslušný orgán udelil povolenie.</w:t>
            </w:r>
          </w:p>
        </w:tc>
      </w:tr>
      <w:tr w:rsidR="00203C1C" w:rsidRPr="00A3389E"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pri zverejňovaní informácií podľa článku 455 písm. b) CRR zahŕňajú:</w:t>
            </w:r>
          </w:p>
          <w:p w14:paraId="582FA763" w14:textId="79122E94" w:rsidR="00A3389E" w:rsidRPr="00A3389E" w:rsidRDefault="00A3389E" w:rsidP="00A3389E">
            <w:pPr>
              <w:spacing w:after="240"/>
              <w:ind w:left="720" w:hanging="360"/>
              <w:jc w:val="both"/>
              <w:rPr>
                <w:rFonts w:ascii="Times New Roman" w:hAnsi="Times New Roman"/>
                <w:sz w:val="24"/>
              </w:rPr>
            </w:pPr>
            <w:r w:rsidRPr="00A3389E">
              <w:rPr>
                <w:rFonts w:ascii="Times New Roman" w:eastAsia="Times New Roman" w:hAnsi="Times New Roman" w:cs="Times New Roman"/>
                <w:sz w:val="24"/>
              </w:rPr>
              <w:lastRenderedPageBreak/>
              <w:t>-</w:t>
            </w:r>
            <w:r w:rsidRPr="00A3389E">
              <w:rPr>
                <w:rFonts w:ascii="Times New Roman" w:eastAsia="Times New Roman" w:hAnsi="Times New Roman" w:cs="Times New Roman"/>
                <w:sz w:val="24"/>
              </w:rPr>
              <w:tab/>
            </w:r>
            <w:r w:rsidR="00203C1C" w:rsidRPr="00A3389E">
              <w:rPr>
                <w:rFonts w:ascii="Times New Roman" w:hAnsi="Times New Roman"/>
                <w:sz w:val="24"/>
              </w:rPr>
              <w:t>opis rozsahu uplatňovania modelov VaR</w:t>
            </w:r>
            <w:r>
              <w:rPr>
                <w:rFonts w:ascii="Times New Roman" w:hAnsi="Times New Roman"/>
                <w:sz w:val="24"/>
              </w:rPr>
              <w:t xml:space="preserve"> a </w:t>
            </w:r>
            <w:r w:rsidR="00203C1C" w:rsidRPr="00A3389E">
              <w:rPr>
                <w:rFonts w:ascii="Times New Roman" w:hAnsi="Times New Roman"/>
                <w:sz w:val="24"/>
              </w:rPr>
              <w:t>SVaR, pre ktoré príslušný orgán udelil povolenie,</w:t>
            </w:r>
          </w:p>
          <w:p w14:paraId="364F19DC" w14:textId="7D2B4F87" w:rsidR="00203C1C" w:rsidRPr="00A3389E" w:rsidRDefault="00A3389E" w:rsidP="00A3389E">
            <w:pPr>
              <w:spacing w:after="240"/>
              <w:ind w:left="720" w:hanging="360"/>
              <w:jc w:val="both"/>
              <w:rPr>
                <w:rFonts w:ascii="Times New Roman" w:hAnsi="Times New Roman"/>
                <w:sz w:val="24"/>
              </w:rPr>
            </w:pPr>
            <w:r w:rsidRPr="00A3389E">
              <w:rPr>
                <w:rFonts w:ascii="Times New Roman" w:eastAsia="Times New Roman" w:hAnsi="Times New Roman" w:cs="Times New Roman"/>
                <w:sz w:val="24"/>
              </w:rPr>
              <w:t>-</w:t>
            </w:r>
            <w:r w:rsidRPr="00A3389E">
              <w:rPr>
                <w:rFonts w:ascii="Times New Roman" w:eastAsia="Times New Roman" w:hAnsi="Times New Roman" w:cs="Times New Roman"/>
                <w:sz w:val="24"/>
              </w:rPr>
              <w:tab/>
            </w:r>
            <w:r w:rsidR="00203C1C" w:rsidRPr="00A3389E">
              <w:rPr>
                <w:rFonts w:ascii="Times New Roman" w:hAnsi="Times New Roman"/>
                <w:sz w:val="24"/>
              </w:rPr>
              <w:t>ak je to relevantné, informácie</w:t>
            </w:r>
            <w:r>
              <w:rPr>
                <w:rFonts w:ascii="Times New Roman" w:hAnsi="Times New Roman"/>
                <w:sz w:val="24"/>
              </w:rPr>
              <w:t xml:space="preserve"> o </w:t>
            </w:r>
            <w:r w:rsidR="00203C1C" w:rsidRPr="00A3389E">
              <w:rPr>
                <w:rFonts w:ascii="Times New Roman" w:hAnsi="Times New Roman"/>
                <w:sz w:val="24"/>
              </w:rPr>
              <w:t>tom, ktoré subjekty</w:t>
            </w:r>
            <w:r>
              <w:rPr>
                <w:rFonts w:ascii="Times New Roman" w:hAnsi="Times New Roman"/>
                <w:sz w:val="24"/>
              </w:rPr>
              <w:t xml:space="preserve"> v </w:t>
            </w:r>
            <w:r w:rsidR="00203C1C" w:rsidRPr="00A3389E">
              <w:rPr>
                <w:rFonts w:ascii="Times New Roman" w:hAnsi="Times New Roman"/>
                <w:sz w:val="24"/>
              </w:rPr>
              <w:t>skupine používajú tieto modely</w:t>
            </w:r>
            <w:r>
              <w:rPr>
                <w:rFonts w:ascii="Times New Roman" w:hAnsi="Times New Roman"/>
                <w:sz w:val="24"/>
              </w:rPr>
              <w:t xml:space="preserve"> a </w:t>
            </w:r>
            <w:r w:rsidR="00203C1C" w:rsidRPr="00A3389E">
              <w:rPr>
                <w:rFonts w:ascii="Times New Roman" w:hAnsi="Times New Roman"/>
                <w:sz w:val="24"/>
              </w:rPr>
              <w:t>ako modely reprezentujú všetky modely používané na úrovni skupiny, ako aj percentuálny podiel požiadaviek na vlastné zdroje, na ktoré sa modely vzťahujú/alebo informácie, či sa tie isté modely VaR/SVaR používajú pre všetky subjekty</w:t>
            </w:r>
            <w:r>
              <w:rPr>
                <w:rFonts w:ascii="Times New Roman" w:hAnsi="Times New Roman"/>
                <w:sz w:val="24"/>
              </w:rPr>
              <w:t xml:space="preserve"> s </w:t>
            </w:r>
            <w:r w:rsidR="00203C1C" w:rsidRPr="00A3389E">
              <w:rPr>
                <w:rFonts w:ascii="Times New Roman" w:hAnsi="Times New Roman"/>
                <w:sz w:val="24"/>
              </w:rPr>
              <w:t>expozíciou voči trhovému riziku.</w:t>
            </w:r>
          </w:p>
        </w:tc>
      </w:tr>
      <w:tr w:rsidR="00203C1C" w:rsidRPr="00A3389E"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A3389E"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34B12241"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Zverejňovanie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 CRR týkajúcich sa charakteristík použitého modelu zahŕňa:</w:t>
            </w:r>
          </w:p>
        </w:tc>
      </w:tr>
      <w:tr w:rsidR="00203C1C" w:rsidRPr="00A3389E"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A3389E" w:rsidRDefault="00B77F75" w:rsidP="00155C96">
            <w:pPr>
              <w:spacing w:after="240"/>
              <w:jc w:val="center"/>
              <w:rPr>
                <w:rFonts w:ascii="Times New Roman" w:hAnsi="Times New Roman" w:cs="Times New Roman"/>
                <w:b/>
                <w:sz w:val="24"/>
              </w:rPr>
            </w:pPr>
            <w:r w:rsidRPr="00A3389E">
              <w:rPr>
                <w:rFonts w:ascii="Times New Roman" w:hAnsi="Times New Roman" w:cs="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17FC44AA"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Všeobecný opis regulačných modelov VaR</w:t>
            </w:r>
            <w:r w:rsidR="00A3389E">
              <w:rPr>
                <w:rFonts w:ascii="Times New Roman" w:hAnsi="Times New Roman" w:cs="Times New Roman"/>
                <w:sz w:val="24"/>
              </w:rPr>
              <w:t xml:space="preserve"> a </w:t>
            </w:r>
            <w:r w:rsidRPr="00A3389E">
              <w:rPr>
                <w:rFonts w:ascii="Times New Roman" w:hAnsi="Times New Roman" w:cs="Times New Roman"/>
                <w:sz w:val="24"/>
              </w:rPr>
              <w:t xml:space="preserve">SVaR. </w:t>
            </w:r>
          </w:p>
        </w:tc>
      </w:tr>
      <w:tr w:rsidR="00203C1C" w:rsidRPr="00A3389E"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A3389E" w:rsidRDefault="00B77F75" w:rsidP="00155C96">
            <w:pPr>
              <w:spacing w:after="240"/>
              <w:jc w:val="center"/>
              <w:rPr>
                <w:rFonts w:ascii="Times New Roman" w:hAnsi="Times New Roman" w:cs="Times New Roman"/>
                <w:b/>
                <w:sz w:val="24"/>
              </w:rPr>
            </w:pPr>
            <w:r w:rsidRPr="00A3389E">
              <w:rPr>
                <w:rFonts w:ascii="Times New Roman" w:hAnsi="Times New Roman" w:cs="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45A811FE"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Opis prípadných hlavných rozdielov medzi modelmi použitými na účely riadenia</w:t>
            </w:r>
            <w:r w:rsidR="00A3389E">
              <w:rPr>
                <w:rFonts w:ascii="Times New Roman" w:hAnsi="Times New Roman" w:cs="Times New Roman"/>
                <w:sz w:val="24"/>
              </w:rPr>
              <w:t xml:space="preserve"> a </w:t>
            </w:r>
            <w:r w:rsidRPr="00A3389E">
              <w:rPr>
                <w:rFonts w:ascii="Times New Roman" w:hAnsi="Times New Roman" w:cs="Times New Roman"/>
                <w:sz w:val="24"/>
              </w:rPr>
              <w:t>modelom použitým na regulačné účely (10-dňová hodnota pri 99</w:t>
            </w:r>
            <w:r w:rsidR="00A3389E">
              <w:rPr>
                <w:rFonts w:ascii="Times New Roman" w:hAnsi="Times New Roman" w:cs="Times New Roman"/>
                <w:sz w:val="24"/>
              </w:rPr>
              <w:t> %</w:t>
            </w:r>
            <w:r w:rsidRPr="00A3389E">
              <w:rPr>
                <w:rFonts w:ascii="Times New Roman" w:hAnsi="Times New Roman" w:cs="Times New Roman"/>
                <w:sz w:val="24"/>
              </w:rPr>
              <w:t>)</w:t>
            </w:r>
            <w:r w:rsidR="00A3389E">
              <w:rPr>
                <w:rFonts w:ascii="Times New Roman" w:hAnsi="Times New Roman" w:cs="Times New Roman"/>
                <w:sz w:val="24"/>
              </w:rPr>
              <w:t xml:space="preserve"> v </w:t>
            </w:r>
            <w:r w:rsidRPr="00A3389E">
              <w:rPr>
                <w:rFonts w:ascii="Times New Roman" w:hAnsi="Times New Roman" w:cs="Times New Roman"/>
                <w:sz w:val="24"/>
              </w:rPr>
              <w:t>prípade modelov VaR</w:t>
            </w:r>
            <w:r w:rsidR="00A3389E">
              <w:rPr>
                <w:rFonts w:ascii="Times New Roman" w:hAnsi="Times New Roman" w:cs="Times New Roman"/>
                <w:sz w:val="24"/>
              </w:rPr>
              <w:t xml:space="preserve"> a </w:t>
            </w:r>
            <w:r w:rsidRPr="00A3389E">
              <w:rPr>
                <w:rFonts w:ascii="Times New Roman" w:hAnsi="Times New Roman" w:cs="Times New Roman"/>
                <w:sz w:val="24"/>
              </w:rPr>
              <w:t>SVaR.</w:t>
            </w:r>
          </w:p>
        </w:tc>
      </w:tr>
      <w:tr w:rsidR="00203C1C" w:rsidRPr="00A3389E"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A3389E" w:rsidRDefault="00B77F75" w:rsidP="00155C96">
            <w:pPr>
              <w:spacing w:after="240"/>
              <w:jc w:val="center"/>
              <w:rPr>
                <w:rFonts w:ascii="Times New Roman" w:hAnsi="Times New Roman" w:cs="Times New Roman"/>
                <w:b/>
                <w:sz w:val="24"/>
              </w:rPr>
            </w:pPr>
            <w:r w:rsidRPr="00A3389E">
              <w:rPr>
                <w:rFonts w:ascii="Times New Roman" w:hAnsi="Times New Roman" w:cs="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Pri modeloch VaR:</w:t>
            </w:r>
          </w:p>
        </w:tc>
      </w:tr>
      <w:tr w:rsidR="00203C1C" w:rsidRPr="00A3389E"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A3389E" w:rsidRDefault="00B77F75" w:rsidP="00155C96">
            <w:pPr>
              <w:spacing w:after="240"/>
              <w:jc w:val="right"/>
              <w:rPr>
                <w:rFonts w:ascii="Times New Roman" w:hAnsi="Times New Roman" w:cs="Times New Roman"/>
                <w:b/>
                <w:sz w:val="24"/>
              </w:rPr>
            </w:pPr>
            <w:r w:rsidRPr="00A3389E">
              <w:rPr>
                <w:rFonts w:ascii="Times New Roman" w:hAnsi="Times New Roman" w:cs="Times New Roman"/>
                <w:sz w:val="24"/>
              </w:rPr>
              <w:t>i)</w:t>
            </w:r>
          </w:p>
        </w:tc>
        <w:tc>
          <w:tcPr>
            <w:tcW w:w="7242" w:type="dxa"/>
            <w:tcBorders>
              <w:top w:val="nil"/>
              <w:left w:val="single" w:sz="4" w:space="0" w:color="auto"/>
              <w:bottom w:val="nil"/>
              <w:right w:val="single" w:sz="4" w:space="0" w:color="auto"/>
            </w:tcBorders>
          </w:tcPr>
          <w:p w14:paraId="3681D9C8" w14:textId="77777777"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frekvenciu aktualizácie údajov;</w:t>
            </w:r>
          </w:p>
        </w:tc>
      </w:tr>
      <w:tr w:rsidR="00203C1C" w:rsidRPr="00A3389E"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A3389E" w:rsidRDefault="00B77F75" w:rsidP="00155C96">
            <w:pPr>
              <w:spacing w:after="240"/>
              <w:jc w:val="right"/>
              <w:rPr>
                <w:rFonts w:ascii="Times New Roman" w:hAnsi="Times New Roman" w:cs="Times New Roman"/>
                <w:b/>
                <w:sz w:val="24"/>
              </w:rPr>
            </w:pPr>
            <w:r w:rsidRPr="00A3389E">
              <w:rPr>
                <w:rFonts w:ascii="Times New Roman" w:hAnsi="Times New Roman" w:cs="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dĺžku časového rozsahu údajov, ktorá sa používa na kalibráciu modelu. Opis systému váženia, ktorý sa (prípadne) používa;</w:t>
            </w:r>
          </w:p>
        </w:tc>
      </w:tr>
      <w:tr w:rsidR="00203C1C" w:rsidRPr="00A3389E"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A3389E" w:rsidRDefault="00B77F75" w:rsidP="00155C96">
            <w:pPr>
              <w:spacing w:after="240"/>
              <w:jc w:val="right"/>
              <w:rPr>
                <w:rFonts w:ascii="Times New Roman" w:hAnsi="Times New Roman" w:cs="Times New Roman"/>
                <w:b/>
                <w:sz w:val="24"/>
              </w:rPr>
            </w:pPr>
            <w:r w:rsidRPr="00A3389E">
              <w:rPr>
                <w:rFonts w:ascii="Times New Roman" w:hAnsi="Times New Roman" w:cs="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opis toho, ako inštitúcia určuje 10-dňové obdobie držby (napríklad či škáluje 1-dňovú VaR druhou odmocninou 10 alebo priamo modeluje 10-dňovú VaR);</w:t>
            </w:r>
          </w:p>
        </w:tc>
      </w:tr>
      <w:tr w:rsidR="00203C1C" w:rsidRPr="00A3389E"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A3389E" w:rsidRDefault="00B77F75" w:rsidP="00155C96">
            <w:pPr>
              <w:spacing w:after="240"/>
              <w:jc w:val="right"/>
              <w:rPr>
                <w:rFonts w:ascii="Times New Roman" w:hAnsi="Times New Roman" w:cs="Times New Roman"/>
                <w:b/>
                <w:sz w:val="24"/>
              </w:rPr>
            </w:pPr>
            <w:r w:rsidRPr="00A3389E">
              <w:rPr>
                <w:rFonts w:ascii="Times New Roman" w:hAnsi="Times New Roman" w:cs="Times New Roman"/>
                <w:sz w:val="24"/>
              </w:rPr>
              <w:t>iv)</w:t>
            </w:r>
          </w:p>
        </w:tc>
        <w:tc>
          <w:tcPr>
            <w:tcW w:w="7242" w:type="dxa"/>
            <w:tcBorders>
              <w:top w:val="nil"/>
              <w:left w:val="single" w:sz="4" w:space="0" w:color="auto"/>
              <w:bottom w:val="nil"/>
              <w:right w:val="single" w:sz="4" w:space="0" w:color="auto"/>
            </w:tcBorders>
          </w:tcPr>
          <w:p w14:paraId="4939E928" w14:textId="7C6AD1E7"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opis prístupu agregácie, čo je metóda na agregovanie špecifického</w:t>
            </w:r>
            <w:r w:rsidR="00A3389E">
              <w:rPr>
                <w:rFonts w:ascii="Times New Roman" w:hAnsi="Times New Roman" w:cs="Times New Roman"/>
                <w:sz w:val="24"/>
              </w:rPr>
              <w:t xml:space="preserve"> a </w:t>
            </w:r>
            <w:r w:rsidRPr="00A3389E">
              <w:rPr>
                <w:rFonts w:ascii="Times New Roman" w:hAnsi="Times New Roman" w:cs="Times New Roman"/>
                <w:sz w:val="24"/>
              </w:rPr>
              <w:t>všeobecného rizika (t. j. počítajú inštitúcie špecifickú požiadavku ako samostatnú požiadavku pomocou odlišnej metódy, než je metóda používaná na výpočet všeobecného rizika, alebo používajú inštitúcie jednoduchý model,</w:t>
            </w:r>
            <w:r w:rsidR="00A3389E">
              <w:rPr>
                <w:rFonts w:ascii="Times New Roman" w:hAnsi="Times New Roman" w:cs="Times New Roman"/>
                <w:sz w:val="24"/>
              </w:rPr>
              <w:t xml:space="preserve"> v </w:t>
            </w:r>
            <w:r w:rsidRPr="00A3389E">
              <w:rPr>
                <w:rFonts w:ascii="Times New Roman" w:hAnsi="Times New Roman" w:cs="Times New Roman"/>
                <w:sz w:val="24"/>
              </w:rPr>
              <w:t>ktorom sa rozlišuje všeobecné</w:t>
            </w:r>
            <w:r w:rsidR="00A3389E">
              <w:rPr>
                <w:rFonts w:ascii="Times New Roman" w:hAnsi="Times New Roman" w:cs="Times New Roman"/>
                <w:sz w:val="24"/>
              </w:rPr>
              <w:t xml:space="preserve"> a </w:t>
            </w:r>
            <w:r w:rsidRPr="00A3389E">
              <w:rPr>
                <w:rFonts w:ascii="Times New Roman" w:hAnsi="Times New Roman" w:cs="Times New Roman"/>
                <w:sz w:val="24"/>
              </w:rPr>
              <w:t>špecifické riziko?);</w:t>
            </w:r>
          </w:p>
        </w:tc>
      </w:tr>
      <w:tr w:rsidR="00203C1C" w:rsidRPr="00A3389E"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A3389E" w:rsidRDefault="00B77F75" w:rsidP="00155C96">
            <w:pPr>
              <w:spacing w:after="240"/>
              <w:jc w:val="right"/>
              <w:rPr>
                <w:rFonts w:ascii="Times New Roman" w:hAnsi="Times New Roman" w:cs="Times New Roman"/>
                <w:b/>
                <w:sz w:val="24"/>
              </w:rPr>
            </w:pPr>
            <w:r w:rsidRPr="00A3389E">
              <w:rPr>
                <w:rFonts w:ascii="Times New Roman" w:hAnsi="Times New Roman" w:cs="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spôsob oceňovania (úplné precenenie alebo použitie aproximácií);</w:t>
            </w:r>
          </w:p>
        </w:tc>
      </w:tr>
      <w:tr w:rsidR="00203C1C" w:rsidRPr="00A3389E"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A3389E" w:rsidRDefault="00B77F75" w:rsidP="00155C96">
            <w:pPr>
              <w:spacing w:after="240"/>
              <w:jc w:val="right"/>
              <w:rPr>
                <w:rFonts w:ascii="Times New Roman" w:hAnsi="Times New Roman" w:cs="Times New Roman"/>
                <w:b/>
                <w:sz w:val="24"/>
              </w:rPr>
            </w:pPr>
            <w:r w:rsidRPr="00A3389E">
              <w:rPr>
                <w:rFonts w:ascii="Times New Roman" w:hAnsi="Times New Roman" w:cs="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či sa pri simulovaní potenciálnych pohybov rizikových faktorov používajú absolútne alebo relatívne výnosy (alebo zmiešaný prístup) (t. j. pomerná zmena cien či sadzieb alebo absolútna zmena cien či sadzieb).</w:t>
            </w:r>
          </w:p>
        </w:tc>
      </w:tr>
      <w:tr w:rsidR="00203C1C" w:rsidRPr="00A3389E"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A3389E" w:rsidRDefault="00B77F75" w:rsidP="00155C96">
            <w:pPr>
              <w:spacing w:after="240"/>
              <w:jc w:val="center"/>
              <w:rPr>
                <w:rFonts w:ascii="Times New Roman" w:hAnsi="Times New Roman" w:cs="Times New Roman"/>
                <w:b/>
                <w:sz w:val="24"/>
              </w:rPr>
            </w:pPr>
            <w:r w:rsidRPr="00A3389E">
              <w:rPr>
                <w:rFonts w:ascii="Times New Roman" w:hAnsi="Times New Roman" w:cs="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Pri modeloch SVaR:</w:t>
            </w:r>
          </w:p>
        </w:tc>
      </w:tr>
      <w:tr w:rsidR="00203C1C" w:rsidRPr="00A3389E"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A3389E" w:rsidRDefault="00B77F75" w:rsidP="00155C96">
            <w:pPr>
              <w:spacing w:after="240"/>
              <w:jc w:val="right"/>
              <w:rPr>
                <w:rFonts w:ascii="Times New Roman" w:hAnsi="Times New Roman" w:cs="Times New Roman"/>
                <w:b/>
                <w:sz w:val="24"/>
              </w:rPr>
            </w:pPr>
            <w:r w:rsidRPr="00A3389E">
              <w:rPr>
                <w:rFonts w:ascii="Times New Roman" w:hAnsi="Times New Roman" w:cs="Times New Roman"/>
                <w:sz w:val="24"/>
              </w:rPr>
              <w:t>i)</w:t>
            </w:r>
          </w:p>
        </w:tc>
        <w:tc>
          <w:tcPr>
            <w:tcW w:w="7242" w:type="dxa"/>
            <w:tcBorders>
              <w:top w:val="nil"/>
              <w:left w:val="single" w:sz="4" w:space="0" w:color="auto"/>
              <w:bottom w:val="nil"/>
              <w:right w:val="single" w:sz="4" w:space="0" w:color="auto"/>
            </w:tcBorders>
          </w:tcPr>
          <w:p w14:paraId="18B8D5CF" w14:textId="0910F523"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opis toho, ako sa určuje 10-dňové obdobie držby. Napríklad či inštitúcia škáluje 1-dňovú VaR druhou odmocninou 10 alebo či priamo modeluje 10-dňovú VaR. Ak je prístup rovnaký ako</w:t>
            </w:r>
            <w:r w:rsidR="00A3389E">
              <w:rPr>
                <w:rFonts w:ascii="Times New Roman" w:hAnsi="Times New Roman" w:cs="Times New Roman"/>
                <w:sz w:val="24"/>
              </w:rPr>
              <w:t xml:space="preserve"> v </w:t>
            </w:r>
            <w:r w:rsidRPr="00A3389E">
              <w:rPr>
                <w:rFonts w:ascii="Times New Roman" w:hAnsi="Times New Roman" w:cs="Times New Roman"/>
                <w:sz w:val="24"/>
              </w:rPr>
              <w:t xml:space="preserve">prípade modelov </w:t>
            </w:r>
            <w:r w:rsidRPr="00A3389E">
              <w:rPr>
                <w:rFonts w:ascii="Times New Roman" w:hAnsi="Times New Roman" w:cs="Times New Roman"/>
                <w:sz w:val="24"/>
              </w:rPr>
              <w:lastRenderedPageBreak/>
              <w:t>VaR, inštitúcie to môžu potvrdiť</w:t>
            </w:r>
            <w:r w:rsidR="00A3389E">
              <w:rPr>
                <w:rFonts w:ascii="Times New Roman" w:hAnsi="Times New Roman" w:cs="Times New Roman"/>
                <w:sz w:val="24"/>
              </w:rPr>
              <w:t xml:space="preserve"> a </w:t>
            </w:r>
            <w:r w:rsidRPr="00A3389E">
              <w:rPr>
                <w:rFonts w:ascii="Times New Roman" w:hAnsi="Times New Roman" w:cs="Times New Roman"/>
                <w:sz w:val="24"/>
              </w:rPr>
              <w:t>odvolať sa na zverejnenie informácií podľa písmena e) bodu iii);</w:t>
            </w:r>
          </w:p>
        </w:tc>
      </w:tr>
      <w:tr w:rsidR="00203C1C" w:rsidRPr="00A3389E"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A3389E" w:rsidRDefault="00B77F75" w:rsidP="00155C96">
            <w:pPr>
              <w:spacing w:after="240"/>
              <w:jc w:val="right"/>
              <w:rPr>
                <w:rFonts w:ascii="Times New Roman" w:hAnsi="Times New Roman" w:cs="Times New Roman"/>
                <w:b/>
                <w:sz w:val="24"/>
              </w:rPr>
            </w:pPr>
            <w:r w:rsidRPr="00A3389E">
              <w:rPr>
                <w:rFonts w:ascii="Times New Roman" w:hAnsi="Times New Roman" w:cs="Times New Roman"/>
                <w:sz w:val="24"/>
              </w:rPr>
              <w:lastRenderedPageBreak/>
              <w:t>ii)</w:t>
            </w:r>
          </w:p>
        </w:tc>
        <w:tc>
          <w:tcPr>
            <w:tcW w:w="7242" w:type="dxa"/>
            <w:tcBorders>
              <w:top w:val="nil"/>
              <w:left w:val="single" w:sz="4" w:space="0" w:color="auto"/>
              <w:bottom w:val="nil"/>
              <w:right w:val="single" w:sz="4" w:space="0" w:color="auto"/>
            </w:tcBorders>
          </w:tcPr>
          <w:p w14:paraId="3255ED75" w14:textId="07BC5BBA"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opis stresového obdobia zvoleného inštitúciou</w:t>
            </w:r>
            <w:r w:rsidR="00A3389E">
              <w:rPr>
                <w:rFonts w:ascii="Times New Roman" w:hAnsi="Times New Roman" w:cs="Times New Roman"/>
                <w:sz w:val="24"/>
              </w:rPr>
              <w:t xml:space="preserve"> a </w:t>
            </w:r>
            <w:r w:rsidRPr="00A3389E">
              <w:rPr>
                <w:rFonts w:ascii="Times New Roman" w:hAnsi="Times New Roman" w:cs="Times New Roman"/>
                <w:sz w:val="24"/>
              </w:rPr>
              <w:t>odôvodnenie tejto voľby;</w:t>
            </w:r>
          </w:p>
        </w:tc>
      </w:tr>
      <w:tr w:rsidR="00203C1C" w:rsidRPr="00A3389E"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A3389E" w:rsidRDefault="00B77F75" w:rsidP="00155C96">
            <w:pPr>
              <w:spacing w:after="240"/>
              <w:jc w:val="right"/>
              <w:rPr>
                <w:rFonts w:ascii="Times New Roman" w:hAnsi="Times New Roman" w:cs="Times New Roman"/>
                <w:b/>
                <w:sz w:val="24"/>
              </w:rPr>
            </w:pPr>
            <w:r w:rsidRPr="00A3389E">
              <w:rPr>
                <w:rFonts w:ascii="Times New Roman" w:hAnsi="Times New Roman" w:cs="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opis spôsobu oceňovania (úplné precenenie alebo použitie aproximácií);</w:t>
            </w:r>
          </w:p>
        </w:tc>
      </w:tr>
      <w:tr w:rsidR="00203C1C" w:rsidRPr="00A3389E"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011A5883"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iii) CRR zahŕňajú opis stresového testovania uplatneného na parametre modelovania,</w:t>
            </w:r>
            <w:r w:rsidR="00A3389E">
              <w:rPr>
                <w:rFonts w:ascii="Times New Roman" w:hAnsi="Times New Roman" w:cs="Times New Roman"/>
                <w:sz w:val="24"/>
              </w:rPr>
              <w:t xml:space="preserve"> a </w:t>
            </w:r>
            <w:r w:rsidRPr="00A3389E">
              <w:rPr>
                <w:rFonts w:ascii="Times New Roman" w:hAnsi="Times New Roman" w:cs="Times New Roman"/>
                <w:sz w:val="24"/>
              </w:rPr>
              <w:t>to</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informáciami zverejnenými</w:t>
            </w:r>
            <w:r w:rsidR="00A3389E">
              <w:rPr>
                <w:rFonts w:ascii="Times New Roman" w:hAnsi="Times New Roman" w:cs="Times New Roman"/>
                <w:sz w:val="24"/>
              </w:rPr>
              <w:t xml:space="preserve"> v </w:t>
            </w:r>
            <w:r w:rsidRPr="00A3389E">
              <w:rPr>
                <w:rFonts w:ascii="Times New Roman" w:hAnsi="Times New Roman" w:cs="Times New Roman"/>
                <w:sz w:val="24"/>
              </w:rPr>
              <w:t>riadku A) písm. a) (hlavné scenáre vypracované</w:t>
            </w:r>
            <w:r w:rsidR="00A3389E">
              <w:rPr>
                <w:rFonts w:ascii="Times New Roman" w:hAnsi="Times New Roman" w:cs="Times New Roman"/>
                <w:sz w:val="24"/>
              </w:rPr>
              <w:t xml:space="preserve"> s </w:t>
            </w:r>
            <w:r w:rsidRPr="00A3389E">
              <w:rPr>
                <w:rFonts w:ascii="Times New Roman" w:hAnsi="Times New Roman" w:cs="Times New Roman"/>
                <w:sz w:val="24"/>
              </w:rPr>
              <w:t>cieľom zachytiť charakteristiky portfólií, na ktoré sa na úrovni skupiny uplatňujú modely VaR</w:t>
            </w:r>
            <w:r w:rsidR="00A3389E">
              <w:rPr>
                <w:rFonts w:ascii="Times New Roman" w:hAnsi="Times New Roman" w:cs="Times New Roman"/>
                <w:sz w:val="24"/>
              </w:rPr>
              <w:t xml:space="preserve"> a </w:t>
            </w:r>
            <w:r w:rsidRPr="00A3389E">
              <w:rPr>
                <w:rFonts w:ascii="Times New Roman" w:hAnsi="Times New Roman" w:cs="Times New Roman"/>
                <w:sz w:val="24"/>
              </w:rPr>
              <w:t>SVaR).</w:t>
            </w:r>
          </w:p>
        </w:tc>
      </w:tr>
      <w:tr w:rsidR="00203C1C" w:rsidRPr="00A3389E"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39D118DB"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iv) CRR zverejňujú opis prístupu použitého na spätné testovanie/validáciu presnosti</w:t>
            </w:r>
            <w:r w:rsidR="00A3389E">
              <w:rPr>
                <w:rFonts w:ascii="Times New Roman" w:hAnsi="Times New Roman" w:cs="Times New Roman"/>
                <w:sz w:val="24"/>
              </w:rPr>
              <w:t xml:space="preserve"> a </w:t>
            </w:r>
            <w:r w:rsidRPr="00A3389E">
              <w:rPr>
                <w:rFonts w:ascii="Times New Roman" w:hAnsi="Times New Roman" w:cs="Times New Roman"/>
                <w:sz w:val="24"/>
              </w:rPr>
              <w:t>vnútornej konzistentnosti údajov</w:t>
            </w:r>
            <w:r w:rsidR="00A3389E">
              <w:rPr>
                <w:rFonts w:ascii="Times New Roman" w:hAnsi="Times New Roman" w:cs="Times New Roman"/>
                <w:sz w:val="24"/>
              </w:rPr>
              <w:t xml:space="preserve"> a </w:t>
            </w:r>
            <w:r w:rsidRPr="00A3389E">
              <w:rPr>
                <w:rFonts w:ascii="Times New Roman" w:hAnsi="Times New Roman" w:cs="Times New Roman"/>
                <w:sz w:val="24"/>
              </w:rPr>
              <w:t>parametrov použitých pre interné modely</w:t>
            </w:r>
            <w:r w:rsidR="00A3389E">
              <w:rPr>
                <w:rFonts w:ascii="Times New Roman" w:hAnsi="Times New Roman" w:cs="Times New Roman"/>
                <w:sz w:val="24"/>
              </w:rPr>
              <w:t xml:space="preserve"> a </w:t>
            </w:r>
            <w:r w:rsidRPr="00A3389E">
              <w:rPr>
                <w:rFonts w:ascii="Times New Roman" w:hAnsi="Times New Roman" w:cs="Times New Roman"/>
                <w:sz w:val="24"/>
              </w:rPr>
              <w:t>postupy modelovania.</w:t>
            </w:r>
          </w:p>
        </w:tc>
      </w:tr>
      <w:tr w:rsidR="00203C1C" w:rsidRPr="00A3389E"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A3389E" w:rsidRDefault="00B77F75" w:rsidP="00155C96">
            <w:pPr>
              <w:spacing w:after="240"/>
              <w:jc w:val="center"/>
              <w:rPr>
                <w:rFonts w:ascii="Times New Roman" w:hAnsi="Times New Roman" w:cs="Times New Roman"/>
                <w:b/>
                <w:sz w:val="24"/>
              </w:rPr>
            </w:pPr>
            <w:r w:rsidRPr="00A3389E">
              <w:rPr>
                <w:rFonts w:ascii="Times New Roman" w:hAnsi="Times New Roman" w:cs="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4F440B99"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b/>
                <w:sz w:val="24"/>
              </w:rPr>
              <w:t>Inštitúcie, ktoré na meranie požiadaviek na vlastné zdroje pre inkrementálne riziko zlyhania</w:t>
            </w:r>
            <w:r w:rsidR="00A3389E">
              <w:rPr>
                <w:rFonts w:ascii="Times New Roman" w:hAnsi="Times New Roman" w:cs="Times New Roman"/>
                <w:b/>
                <w:sz w:val="24"/>
              </w:rPr>
              <w:t xml:space="preserve"> a </w:t>
            </w:r>
            <w:r w:rsidRPr="00A3389E">
              <w:rPr>
                <w:rFonts w:ascii="Times New Roman" w:hAnsi="Times New Roman" w:cs="Times New Roman"/>
                <w:b/>
                <w:sz w:val="24"/>
              </w:rPr>
              <w:t>riziko migrácie (IRC) používajú interné modely</w:t>
            </w:r>
            <w:r w:rsidR="00A3389E">
              <w:rPr>
                <w:rFonts w:ascii="Times New Roman" w:hAnsi="Times New Roman" w:cs="Times New Roman"/>
                <w:b/>
                <w:sz w:val="24"/>
              </w:rPr>
              <w:t xml:space="preserve"> v </w:t>
            </w:r>
            <w:r w:rsidRPr="00A3389E">
              <w:rPr>
                <w:rFonts w:ascii="Times New Roman" w:hAnsi="Times New Roman" w:cs="Times New Roman"/>
                <w:b/>
                <w:sz w:val="24"/>
              </w:rPr>
              <w:t>súlade</w:t>
            </w:r>
            <w:r w:rsidR="00A3389E">
              <w:rPr>
                <w:rFonts w:ascii="Times New Roman" w:hAnsi="Times New Roman" w:cs="Times New Roman"/>
                <w:b/>
                <w:sz w:val="24"/>
              </w:rPr>
              <w:t xml:space="preserve"> s </w:t>
            </w:r>
            <w:r w:rsidRPr="00A3389E">
              <w:rPr>
                <w:rFonts w:ascii="Times New Roman" w:hAnsi="Times New Roman" w:cs="Times New Roman"/>
                <w:b/>
                <w:sz w:val="24"/>
              </w:rPr>
              <w:t>treťou časťou hlavou IV kapitolou 5 oddielmi 3</w:t>
            </w:r>
            <w:r w:rsidR="00A3389E">
              <w:rPr>
                <w:rFonts w:ascii="Times New Roman" w:hAnsi="Times New Roman" w:cs="Times New Roman"/>
                <w:b/>
                <w:sz w:val="24"/>
              </w:rPr>
              <w:t xml:space="preserve"> a </w:t>
            </w:r>
            <w:r w:rsidRPr="00A3389E">
              <w:rPr>
                <w:rFonts w:ascii="Times New Roman" w:hAnsi="Times New Roman" w:cs="Times New Roman"/>
                <w:b/>
                <w:sz w:val="24"/>
              </w:rPr>
              <w:t>4 CRR</w:t>
            </w:r>
          </w:p>
        </w:tc>
      </w:tr>
      <w:tr w:rsidR="00203C1C" w:rsidRPr="00A3389E"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45D0CF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ii)</w:t>
            </w:r>
            <w:r w:rsidR="00A3389E">
              <w:rPr>
                <w:rFonts w:ascii="Times New Roman" w:hAnsi="Times New Roman" w:cs="Times New Roman"/>
                <w:sz w:val="24"/>
              </w:rPr>
              <w:t xml:space="preserve"> a </w:t>
            </w:r>
            <w:r w:rsidRPr="00A3389E">
              <w:rPr>
                <w:rFonts w:ascii="Times New Roman" w:hAnsi="Times New Roman" w:cs="Times New Roman"/>
                <w:sz w:val="24"/>
              </w:rPr>
              <w:t>článku 455 písm. b) CRR zahŕňajú opis rizík, na ktoré sa vzťahujú modely IRC, pričom špecifikujú, ako sú rozdelené</w:t>
            </w:r>
            <w:r w:rsidR="00A3389E">
              <w:rPr>
                <w:rFonts w:ascii="Times New Roman" w:hAnsi="Times New Roman" w:cs="Times New Roman"/>
                <w:sz w:val="24"/>
              </w:rPr>
              <w:t xml:space="preserve"> v </w:t>
            </w:r>
            <w:r w:rsidRPr="00A3389E">
              <w:rPr>
                <w:rFonts w:ascii="Times New Roman" w:hAnsi="Times New Roman" w:cs="Times New Roman"/>
                <w:sz w:val="24"/>
              </w:rPr>
              <w:t>portfóliách/subportfóliách, pre ktoré príslušný orgán udelil povolenie.</w:t>
            </w:r>
          </w:p>
        </w:tc>
      </w:tr>
      <w:tr w:rsidR="00203C1C" w:rsidRPr="00A3389E"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0D4595C0"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455 písm. b) CRR zahŕňajú opis rozsahu uplatňovania modelu IRC, pre ktorý príslušný orgán udelil povolenie,</w:t>
            </w:r>
            <w:r w:rsidR="00A3389E">
              <w:rPr>
                <w:rFonts w:ascii="Times New Roman" w:hAnsi="Times New Roman" w:cs="Times New Roman"/>
                <w:sz w:val="24"/>
              </w:rPr>
              <w:t xml:space="preserve"> a </w:t>
            </w:r>
            <w:r w:rsidRPr="00A3389E">
              <w:rPr>
                <w:rFonts w:ascii="Times New Roman" w:hAnsi="Times New Roman" w:cs="Times New Roman"/>
                <w:sz w:val="24"/>
              </w:rPr>
              <w:t>dopĺňajú sa informáciami</w:t>
            </w:r>
            <w:r w:rsidR="00A3389E">
              <w:rPr>
                <w:rFonts w:ascii="Times New Roman" w:hAnsi="Times New Roman" w:cs="Times New Roman"/>
                <w:sz w:val="24"/>
              </w:rPr>
              <w:t xml:space="preserve"> o </w:t>
            </w:r>
            <w:r w:rsidRPr="00A3389E">
              <w:rPr>
                <w:rFonts w:ascii="Times New Roman" w:hAnsi="Times New Roman" w:cs="Times New Roman"/>
                <w:sz w:val="24"/>
              </w:rPr>
              <w:t>tom, ktoré subjekty</w:t>
            </w:r>
            <w:r w:rsidR="00A3389E">
              <w:rPr>
                <w:rFonts w:ascii="Times New Roman" w:hAnsi="Times New Roman" w:cs="Times New Roman"/>
                <w:sz w:val="24"/>
              </w:rPr>
              <w:t xml:space="preserve"> v </w:t>
            </w:r>
            <w:r w:rsidRPr="00A3389E">
              <w:rPr>
                <w:rFonts w:ascii="Times New Roman" w:hAnsi="Times New Roman" w:cs="Times New Roman"/>
                <w:sz w:val="24"/>
              </w:rPr>
              <w:t>skupine používajú tieto modely</w:t>
            </w:r>
            <w:r w:rsidR="00A3389E">
              <w:rPr>
                <w:rFonts w:ascii="Times New Roman" w:hAnsi="Times New Roman" w:cs="Times New Roman"/>
                <w:sz w:val="24"/>
              </w:rPr>
              <w:t xml:space="preserve"> a </w:t>
            </w:r>
            <w:r w:rsidRPr="00A3389E">
              <w:rPr>
                <w:rFonts w:ascii="Times New Roman" w:hAnsi="Times New Roman" w:cs="Times New Roman"/>
                <w:sz w:val="24"/>
              </w:rPr>
              <w:t>ako modely reprezentujú všetky modely používané na úrovni skupiny, vrátane percentuálneho podielu požiadaviek na vlastné zdroje, na ktoré sa tieto modely vzťahujú, alebo informácie, či sa tie isté modely IRC používajú pre všetky subjekty</w:t>
            </w:r>
            <w:r w:rsidR="00A3389E">
              <w:rPr>
                <w:rFonts w:ascii="Times New Roman" w:hAnsi="Times New Roman" w:cs="Times New Roman"/>
                <w:sz w:val="24"/>
              </w:rPr>
              <w:t xml:space="preserve"> s </w:t>
            </w:r>
            <w:r w:rsidRPr="00A3389E">
              <w:rPr>
                <w:rFonts w:ascii="Times New Roman" w:hAnsi="Times New Roman" w:cs="Times New Roman"/>
                <w:sz w:val="24"/>
              </w:rPr>
              <w:t>expozíciou voči trhovému riziku.</w:t>
            </w:r>
          </w:p>
        </w:tc>
      </w:tr>
      <w:tr w:rsidR="00203C1C" w:rsidRPr="00A3389E"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A3389E"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3E64FB1D"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ii) CRR týkajúce sa charakteristík použitých modelov IRC zahŕňajú:</w:t>
            </w:r>
          </w:p>
        </w:tc>
      </w:tr>
      <w:tr w:rsidR="00203C1C" w:rsidRPr="00A3389E"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192978F1"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Všeobecný opis metodiky použitej pre interné modely pre inkrementálne riziko zlyhania</w:t>
            </w:r>
            <w:r w:rsidR="00A3389E">
              <w:rPr>
                <w:rFonts w:ascii="Times New Roman" w:hAnsi="Times New Roman" w:cs="Times New Roman"/>
                <w:sz w:val="24"/>
              </w:rPr>
              <w:t xml:space="preserve"> a </w:t>
            </w:r>
            <w:r w:rsidRPr="00A3389E">
              <w:rPr>
                <w:rFonts w:ascii="Times New Roman" w:hAnsi="Times New Roman" w:cs="Times New Roman"/>
                <w:sz w:val="24"/>
              </w:rPr>
              <w:t>riziko migrácie vrátane:</w:t>
            </w:r>
          </w:p>
        </w:tc>
      </w:tr>
      <w:tr w:rsidR="00203C1C" w:rsidRPr="00A3389E"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A3389E" w:rsidRDefault="00B77F75" w:rsidP="00155C96">
            <w:pPr>
              <w:spacing w:after="240"/>
              <w:jc w:val="right"/>
              <w:rPr>
                <w:rFonts w:ascii="Times New Roman" w:hAnsi="Times New Roman" w:cs="Times New Roman"/>
                <w:sz w:val="24"/>
              </w:rPr>
            </w:pPr>
            <w:r w:rsidRPr="00A3389E">
              <w:rPr>
                <w:rFonts w:ascii="Times New Roman" w:hAnsi="Times New Roman" w:cs="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0DA352C8"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informácií</w:t>
            </w:r>
            <w:r w:rsidR="00A3389E">
              <w:rPr>
                <w:rFonts w:ascii="Times New Roman" w:hAnsi="Times New Roman" w:cs="Times New Roman"/>
                <w:sz w:val="24"/>
              </w:rPr>
              <w:t xml:space="preserve"> o </w:t>
            </w:r>
            <w:r w:rsidRPr="00A3389E">
              <w:rPr>
                <w:rFonts w:ascii="Times New Roman" w:hAnsi="Times New Roman" w:cs="Times New Roman"/>
                <w:sz w:val="24"/>
              </w:rPr>
              <w:t>celkovom prístupe</w:t>
            </w:r>
            <w:r w:rsidR="00A3389E">
              <w:rPr>
                <w:rFonts w:ascii="Times New Roman" w:hAnsi="Times New Roman" w:cs="Times New Roman"/>
                <w:sz w:val="24"/>
              </w:rPr>
              <w:t xml:space="preserve"> k </w:t>
            </w:r>
            <w:r w:rsidRPr="00A3389E">
              <w:rPr>
                <w:rFonts w:ascii="Times New Roman" w:hAnsi="Times New Roman" w:cs="Times New Roman"/>
                <w:sz w:val="24"/>
              </w:rPr>
              <w:t>modelovaniu (najmä používanie modelov založených na rozpätiach alebo modelov založených na prechodovej matici);</w:t>
            </w:r>
          </w:p>
        </w:tc>
      </w:tr>
      <w:tr w:rsidR="00203C1C" w:rsidRPr="00A3389E"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A3389E" w:rsidRDefault="00B77F75" w:rsidP="00155C96">
            <w:pPr>
              <w:spacing w:after="240"/>
              <w:jc w:val="right"/>
              <w:rPr>
                <w:rFonts w:ascii="Times New Roman" w:hAnsi="Times New Roman" w:cs="Times New Roman"/>
                <w:sz w:val="24"/>
              </w:rPr>
            </w:pPr>
            <w:r w:rsidRPr="00A3389E">
              <w:rPr>
                <w:rFonts w:ascii="Times New Roman" w:hAnsi="Times New Roman" w:cs="Times New Roman"/>
                <w:sz w:val="24"/>
              </w:rPr>
              <w:lastRenderedPageBreak/>
              <w:t>ii)</w:t>
            </w:r>
          </w:p>
        </w:tc>
        <w:tc>
          <w:tcPr>
            <w:tcW w:w="7242" w:type="dxa"/>
            <w:tcBorders>
              <w:top w:val="single" w:sz="4" w:space="0" w:color="auto"/>
              <w:left w:val="single" w:sz="4" w:space="0" w:color="auto"/>
              <w:bottom w:val="single" w:sz="4" w:space="0" w:color="auto"/>
              <w:right w:val="single" w:sz="4" w:space="0" w:color="auto"/>
            </w:tcBorders>
          </w:tcPr>
          <w:p w14:paraId="210F7E57" w14:textId="6D11EB2B"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informácií</w:t>
            </w:r>
            <w:r w:rsidR="00A3389E">
              <w:rPr>
                <w:rFonts w:ascii="Times New Roman" w:hAnsi="Times New Roman" w:cs="Times New Roman"/>
                <w:sz w:val="24"/>
              </w:rPr>
              <w:t xml:space="preserve"> o </w:t>
            </w:r>
            <w:r w:rsidRPr="00A3389E">
              <w:rPr>
                <w:rFonts w:ascii="Times New Roman" w:hAnsi="Times New Roman" w:cs="Times New Roman"/>
                <w:sz w:val="24"/>
              </w:rPr>
              <w:t>kalibrácii prechodovej matice;</w:t>
            </w:r>
          </w:p>
        </w:tc>
      </w:tr>
      <w:tr w:rsidR="00203C1C" w:rsidRPr="00A3389E"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A3389E" w:rsidRDefault="00B77F75" w:rsidP="00155C96">
            <w:pPr>
              <w:spacing w:after="240"/>
              <w:jc w:val="right"/>
              <w:rPr>
                <w:rFonts w:ascii="Times New Roman" w:hAnsi="Times New Roman" w:cs="Times New Roman"/>
                <w:sz w:val="24"/>
              </w:rPr>
            </w:pPr>
            <w:r w:rsidRPr="00A3389E">
              <w:rPr>
                <w:rFonts w:ascii="Times New Roman" w:hAnsi="Times New Roman" w:cs="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03B32183"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informácií</w:t>
            </w:r>
            <w:r w:rsidR="00A3389E">
              <w:rPr>
                <w:rFonts w:ascii="Times New Roman" w:hAnsi="Times New Roman" w:cs="Times New Roman"/>
                <w:sz w:val="24"/>
              </w:rPr>
              <w:t xml:space="preserve"> o </w:t>
            </w:r>
            <w:r w:rsidRPr="00A3389E">
              <w:rPr>
                <w:rFonts w:ascii="Times New Roman" w:hAnsi="Times New Roman" w:cs="Times New Roman"/>
                <w:sz w:val="24"/>
              </w:rPr>
              <w:t>korelačných predpokladoch;</w:t>
            </w:r>
          </w:p>
        </w:tc>
      </w:tr>
      <w:tr w:rsidR="00203C1C" w:rsidRPr="00A3389E"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zahŕňajú opis prístupu použitého na určenie horizontov likvidity.</w:t>
            </w:r>
          </w:p>
        </w:tc>
      </w:tr>
      <w:tr w:rsidR="00203C1C" w:rsidRPr="00A3389E"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4C4A7DF6"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zahŕňajú opis metodiky použitej na dosiahnutie hodnotenia kapitálu, ktoré 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požadovaným štandardom správnosti.</w:t>
            </w:r>
          </w:p>
        </w:tc>
      </w:tr>
      <w:tr w:rsidR="00203C1C" w:rsidRPr="00A3389E"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zahŕňajú opis prístupu použitého pri validácii modelov.</w:t>
            </w:r>
          </w:p>
        </w:tc>
      </w:tr>
      <w:tr w:rsidR="00203C1C" w:rsidRPr="00A3389E"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A3389E" w:rsidRDefault="00B77F75" w:rsidP="00B77F75">
            <w:pPr>
              <w:spacing w:after="240"/>
              <w:jc w:val="center"/>
              <w:rPr>
                <w:rFonts w:ascii="Times New Roman" w:hAnsi="Times New Roman" w:cs="Times New Roman"/>
                <w:sz w:val="24"/>
              </w:rPr>
            </w:pPr>
            <w:r w:rsidRPr="00A3389E">
              <w:rPr>
                <w:rFonts w:ascii="Times New Roman" w:hAnsi="Times New Roman" w:cs="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158EA54"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iii) CRR zahŕňajú opis stresového testovania uplatneného na parametre modelovania,</w:t>
            </w:r>
            <w:r w:rsidR="00A3389E">
              <w:rPr>
                <w:rFonts w:ascii="Times New Roman" w:hAnsi="Times New Roman" w:cs="Times New Roman"/>
                <w:sz w:val="24"/>
              </w:rPr>
              <w:t xml:space="preserve"> a </w:t>
            </w:r>
            <w:r w:rsidRPr="00A3389E">
              <w:rPr>
                <w:rFonts w:ascii="Times New Roman" w:hAnsi="Times New Roman" w:cs="Times New Roman"/>
                <w:sz w:val="24"/>
              </w:rPr>
              <w:t>to</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informáciami zverejnenými</w:t>
            </w:r>
            <w:r w:rsidR="00A3389E">
              <w:rPr>
                <w:rFonts w:ascii="Times New Roman" w:hAnsi="Times New Roman" w:cs="Times New Roman"/>
                <w:sz w:val="24"/>
              </w:rPr>
              <w:t xml:space="preserve"> v </w:t>
            </w:r>
            <w:r w:rsidRPr="00A3389E">
              <w:rPr>
                <w:rFonts w:ascii="Times New Roman" w:hAnsi="Times New Roman" w:cs="Times New Roman"/>
                <w:sz w:val="24"/>
              </w:rPr>
              <w:t>riadku B) písm. a) (hlavné scenáre vypracované</w:t>
            </w:r>
            <w:r w:rsidR="00A3389E">
              <w:rPr>
                <w:rFonts w:ascii="Times New Roman" w:hAnsi="Times New Roman" w:cs="Times New Roman"/>
                <w:sz w:val="24"/>
              </w:rPr>
              <w:t xml:space="preserve"> s </w:t>
            </w:r>
            <w:r w:rsidRPr="00A3389E">
              <w:rPr>
                <w:rFonts w:ascii="Times New Roman" w:hAnsi="Times New Roman" w:cs="Times New Roman"/>
                <w:sz w:val="24"/>
              </w:rPr>
              <w:t>cieľom zachytiť charakteristiky portfólií, na ktoré sa na úrovni skupiny uplatňujú modely IRC).</w:t>
            </w:r>
          </w:p>
        </w:tc>
      </w:tr>
      <w:tr w:rsidR="00203C1C" w:rsidRPr="00A3389E"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33351D6A"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iv) CRR zahŕňajú opis prístupu použitého na spätné testovanie/validáciu presnosti</w:t>
            </w:r>
            <w:r w:rsidR="00A3389E">
              <w:rPr>
                <w:rFonts w:ascii="Times New Roman" w:hAnsi="Times New Roman" w:cs="Times New Roman"/>
                <w:sz w:val="24"/>
              </w:rPr>
              <w:t xml:space="preserve"> a </w:t>
            </w:r>
            <w:r w:rsidRPr="00A3389E">
              <w:rPr>
                <w:rFonts w:ascii="Times New Roman" w:hAnsi="Times New Roman" w:cs="Times New Roman"/>
                <w:sz w:val="24"/>
              </w:rPr>
              <w:t>vnútornej konzistentnosti údajov</w:t>
            </w:r>
            <w:r w:rsidR="00A3389E">
              <w:rPr>
                <w:rFonts w:ascii="Times New Roman" w:hAnsi="Times New Roman" w:cs="Times New Roman"/>
                <w:sz w:val="24"/>
              </w:rPr>
              <w:t xml:space="preserve"> a </w:t>
            </w:r>
            <w:r w:rsidRPr="00A3389E">
              <w:rPr>
                <w:rFonts w:ascii="Times New Roman" w:hAnsi="Times New Roman" w:cs="Times New Roman"/>
                <w:sz w:val="24"/>
              </w:rPr>
              <w:t>parametrov použitých pre interné modely IRC</w:t>
            </w:r>
            <w:r w:rsidR="00A3389E">
              <w:rPr>
                <w:rFonts w:ascii="Times New Roman" w:hAnsi="Times New Roman" w:cs="Times New Roman"/>
                <w:sz w:val="24"/>
              </w:rPr>
              <w:t xml:space="preserve"> a </w:t>
            </w:r>
            <w:r w:rsidRPr="00A3389E">
              <w:rPr>
                <w:rFonts w:ascii="Times New Roman" w:hAnsi="Times New Roman" w:cs="Times New Roman"/>
                <w:sz w:val="24"/>
              </w:rPr>
              <w:t>postupy modelovania.</w:t>
            </w:r>
          </w:p>
        </w:tc>
      </w:tr>
      <w:tr w:rsidR="00203C1C" w:rsidRPr="00A3389E"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A3389E" w:rsidRDefault="00B77F75" w:rsidP="00155C96">
            <w:pPr>
              <w:spacing w:after="240"/>
              <w:jc w:val="center"/>
              <w:rPr>
                <w:rFonts w:ascii="Times New Roman" w:hAnsi="Times New Roman" w:cs="Times New Roman"/>
                <w:b/>
                <w:sz w:val="24"/>
              </w:rPr>
            </w:pPr>
            <w:r w:rsidRPr="00A3389E">
              <w:rPr>
                <w:rFonts w:ascii="Times New Roman" w:hAnsi="Times New Roman" w:cs="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45E9D19B"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b/>
                <w:sz w:val="24"/>
              </w:rPr>
              <w:t>Inštitúcie, ktoré používajú interné modely na meranie požiadaviek na vlastné zdroje pre korelačné obchodné portfólio (meranie komplexného rizika)</w:t>
            </w:r>
            <w:r w:rsidR="00A3389E">
              <w:rPr>
                <w:rFonts w:ascii="Times New Roman" w:hAnsi="Times New Roman" w:cs="Times New Roman"/>
                <w:b/>
                <w:sz w:val="24"/>
              </w:rPr>
              <w:t xml:space="preserve"> v </w:t>
            </w:r>
            <w:r w:rsidRPr="00A3389E">
              <w:rPr>
                <w:rFonts w:ascii="Times New Roman" w:hAnsi="Times New Roman" w:cs="Times New Roman"/>
                <w:b/>
                <w:sz w:val="24"/>
              </w:rPr>
              <w:t>súlade</w:t>
            </w:r>
            <w:r w:rsidR="00A3389E">
              <w:rPr>
                <w:rFonts w:ascii="Times New Roman" w:hAnsi="Times New Roman" w:cs="Times New Roman"/>
                <w:b/>
                <w:sz w:val="24"/>
              </w:rPr>
              <w:t xml:space="preserve"> s </w:t>
            </w:r>
            <w:r w:rsidRPr="00A3389E">
              <w:rPr>
                <w:rFonts w:ascii="Times New Roman" w:hAnsi="Times New Roman" w:cs="Times New Roman"/>
                <w:b/>
                <w:sz w:val="24"/>
              </w:rPr>
              <w:t>treťou časťou hlavou IV kapitolou 5 oddielom 5 CRR</w:t>
            </w:r>
          </w:p>
        </w:tc>
      </w:tr>
      <w:tr w:rsidR="00203C1C" w:rsidRPr="00A3389E"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43B530DB"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pri zverejňovaní informácií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ii)</w:t>
            </w:r>
            <w:r w:rsidR="00A3389E">
              <w:rPr>
                <w:rFonts w:ascii="Times New Roman" w:hAnsi="Times New Roman" w:cs="Times New Roman"/>
                <w:sz w:val="24"/>
              </w:rPr>
              <w:t xml:space="preserve"> a </w:t>
            </w:r>
            <w:r w:rsidRPr="00A3389E">
              <w:rPr>
                <w:rFonts w:ascii="Times New Roman" w:hAnsi="Times New Roman" w:cs="Times New Roman"/>
                <w:sz w:val="24"/>
              </w:rPr>
              <w:t>článku 455 písm. b) CRR zahŕňajú opis rizík, na ktoré sa vzťahujú modely merania komplexného rizika, pričom špecifikujú, ako sú rozdelené</w:t>
            </w:r>
            <w:r w:rsidR="00A3389E">
              <w:rPr>
                <w:rFonts w:ascii="Times New Roman" w:hAnsi="Times New Roman" w:cs="Times New Roman"/>
                <w:sz w:val="24"/>
              </w:rPr>
              <w:t xml:space="preserve"> v </w:t>
            </w:r>
            <w:r w:rsidRPr="00A3389E">
              <w:rPr>
                <w:rFonts w:ascii="Times New Roman" w:hAnsi="Times New Roman" w:cs="Times New Roman"/>
                <w:sz w:val="24"/>
              </w:rPr>
              <w:t>portfóliách/subportfóliách, pre ktoré príslušný orgán udelil povolenie.</w:t>
            </w:r>
          </w:p>
        </w:tc>
      </w:tr>
      <w:tr w:rsidR="00203C1C" w:rsidRPr="00A3389E"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7FFE8744"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455 písm. b) CRR zahŕňajú opis rozsahu uplatňovania modelov merania komplexného rizika, pre ktoré príslušný orgán udelil povolenie. Dopĺňajú sa informáciami</w:t>
            </w:r>
            <w:r w:rsidR="00A3389E">
              <w:rPr>
                <w:rFonts w:ascii="Times New Roman" w:hAnsi="Times New Roman" w:cs="Times New Roman"/>
                <w:sz w:val="24"/>
              </w:rPr>
              <w:t xml:space="preserve"> o </w:t>
            </w:r>
            <w:r w:rsidRPr="00A3389E">
              <w:rPr>
                <w:rFonts w:ascii="Times New Roman" w:hAnsi="Times New Roman" w:cs="Times New Roman"/>
                <w:sz w:val="24"/>
              </w:rPr>
              <w:t>tom, ktoré subjekty</w:t>
            </w:r>
            <w:r w:rsidR="00A3389E">
              <w:rPr>
                <w:rFonts w:ascii="Times New Roman" w:hAnsi="Times New Roman" w:cs="Times New Roman"/>
                <w:sz w:val="24"/>
              </w:rPr>
              <w:t xml:space="preserve"> v </w:t>
            </w:r>
            <w:r w:rsidRPr="00A3389E">
              <w:rPr>
                <w:rFonts w:ascii="Times New Roman" w:hAnsi="Times New Roman" w:cs="Times New Roman"/>
                <w:sz w:val="24"/>
              </w:rPr>
              <w:t>skupine používajú tieto modely</w:t>
            </w:r>
            <w:r w:rsidR="00A3389E">
              <w:rPr>
                <w:rFonts w:ascii="Times New Roman" w:hAnsi="Times New Roman" w:cs="Times New Roman"/>
                <w:sz w:val="24"/>
              </w:rPr>
              <w:t xml:space="preserve"> a </w:t>
            </w:r>
            <w:r w:rsidRPr="00A3389E">
              <w:rPr>
                <w:rFonts w:ascii="Times New Roman" w:hAnsi="Times New Roman" w:cs="Times New Roman"/>
                <w:sz w:val="24"/>
              </w:rPr>
              <w:t>ako modely reprezentujú všetky modely používané na úrovni skupiny, vrátane percentuálneho podielu požiadaviek na vlastné zdroje, na ktoré sa modely vzťahujú, alebo informácie, či sa tie isté modely IRC používajú pre všetky subjekty</w:t>
            </w:r>
            <w:r w:rsidR="00A3389E">
              <w:rPr>
                <w:rFonts w:ascii="Times New Roman" w:hAnsi="Times New Roman" w:cs="Times New Roman"/>
                <w:sz w:val="24"/>
              </w:rPr>
              <w:t xml:space="preserve"> s </w:t>
            </w:r>
            <w:r w:rsidRPr="00A3389E">
              <w:rPr>
                <w:rFonts w:ascii="Times New Roman" w:hAnsi="Times New Roman" w:cs="Times New Roman"/>
                <w:sz w:val="24"/>
              </w:rPr>
              <w:t>expozíciou voči trhovému riziku.</w:t>
            </w:r>
          </w:p>
        </w:tc>
      </w:tr>
      <w:tr w:rsidR="00203C1C" w:rsidRPr="00A3389E"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A3389E"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550477E3"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ii) CRR týkajúce sa charakteristík použitých modelov merania komplexného rizika zahŕňajú:</w:t>
            </w:r>
          </w:p>
        </w:tc>
      </w:tr>
      <w:tr w:rsidR="00203C1C" w:rsidRPr="00A3389E"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Všeobecný opis metodiky použitej na korelačné obchodovanie vrátane:</w:t>
            </w:r>
          </w:p>
        </w:tc>
      </w:tr>
      <w:tr w:rsidR="00203C1C" w:rsidRPr="00A3389E"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A3389E" w:rsidRDefault="00B77F75" w:rsidP="00155C96">
            <w:pPr>
              <w:spacing w:after="240"/>
              <w:jc w:val="right"/>
              <w:rPr>
                <w:rFonts w:ascii="Times New Roman" w:hAnsi="Times New Roman" w:cs="Times New Roman"/>
                <w:sz w:val="24"/>
              </w:rPr>
            </w:pPr>
            <w:r w:rsidRPr="00A3389E">
              <w:rPr>
                <w:rFonts w:ascii="Times New Roman" w:hAnsi="Times New Roman" w:cs="Times New Roman"/>
                <w:sz w:val="24"/>
              </w:rPr>
              <w:lastRenderedPageBreak/>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191F31A9"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informácií</w:t>
            </w:r>
            <w:r w:rsidR="00A3389E">
              <w:rPr>
                <w:rFonts w:ascii="Times New Roman" w:hAnsi="Times New Roman" w:cs="Times New Roman"/>
                <w:sz w:val="24"/>
              </w:rPr>
              <w:t xml:space="preserve"> o </w:t>
            </w:r>
            <w:r w:rsidRPr="00A3389E">
              <w:rPr>
                <w:rFonts w:ascii="Times New Roman" w:hAnsi="Times New Roman" w:cs="Times New Roman"/>
                <w:sz w:val="24"/>
              </w:rPr>
              <w:t>celkovom prístupe</w:t>
            </w:r>
            <w:r w:rsidR="00A3389E">
              <w:rPr>
                <w:rFonts w:ascii="Times New Roman" w:hAnsi="Times New Roman" w:cs="Times New Roman"/>
                <w:sz w:val="24"/>
              </w:rPr>
              <w:t xml:space="preserve"> k </w:t>
            </w:r>
            <w:r w:rsidRPr="00A3389E">
              <w:rPr>
                <w:rFonts w:ascii="Times New Roman" w:hAnsi="Times New Roman" w:cs="Times New Roman"/>
                <w:sz w:val="24"/>
              </w:rPr>
              <w:t>modelovaniu (voľba korelácie modelu medzi zlyhaním/migráciami</w:t>
            </w:r>
            <w:r w:rsidR="00A3389E">
              <w:rPr>
                <w:rFonts w:ascii="Times New Roman" w:hAnsi="Times New Roman" w:cs="Times New Roman"/>
                <w:sz w:val="24"/>
              </w:rPr>
              <w:t xml:space="preserve"> a </w:t>
            </w:r>
            <w:r w:rsidRPr="00A3389E">
              <w:rPr>
                <w:rFonts w:ascii="Times New Roman" w:hAnsi="Times New Roman" w:cs="Times New Roman"/>
                <w:sz w:val="24"/>
              </w:rPr>
              <w:t>rozpätím: i) samostatné, ale korelované stochastické procesy, ktoré stimulujú pohyb migrácie/zlyhania</w:t>
            </w:r>
            <w:r w:rsidR="00A3389E">
              <w:rPr>
                <w:rFonts w:ascii="Times New Roman" w:hAnsi="Times New Roman" w:cs="Times New Roman"/>
                <w:sz w:val="24"/>
              </w:rPr>
              <w:t xml:space="preserve"> a </w:t>
            </w:r>
            <w:r w:rsidRPr="00A3389E">
              <w:rPr>
                <w:rFonts w:ascii="Times New Roman" w:hAnsi="Times New Roman" w:cs="Times New Roman"/>
                <w:sz w:val="24"/>
              </w:rPr>
              <w:t>rozpätia; ii) zmeny</w:t>
            </w:r>
            <w:r w:rsidR="00A3389E">
              <w:rPr>
                <w:rFonts w:ascii="Times New Roman" w:hAnsi="Times New Roman" w:cs="Times New Roman"/>
                <w:sz w:val="24"/>
              </w:rPr>
              <w:t xml:space="preserve"> v </w:t>
            </w:r>
            <w:r w:rsidRPr="00A3389E">
              <w:rPr>
                <w:rFonts w:ascii="Times New Roman" w:hAnsi="Times New Roman" w:cs="Times New Roman"/>
                <w:sz w:val="24"/>
              </w:rPr>
              <w:t>rozpätí, ktoré stimulujú migráciu/zlyhanie; alebo iii) zlyhanie/migrácie, ktoré stimulujú zmeny rozpätia);</w:t>
            </w:r>
          </w:p>
        </w:tc>
      </w:tr>
      <w:tr w:rsidR="00203C1C" w:rsidRPr="00A3389E"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A3389E" w:rsidRDefault="00B77F75" w:rsidP="00155C96">
            <w:pPr>
              <w:spacing w:after="240"/>
              <w:jc w:val="right"/>
              <w:rPr>
                <w:rFonts w:ascii="Times New Roman" w:hAnsi="Times New Roman" w:cs="Times New Roman"/>
                <w:sz w:val="24"/>
              </w:rPr>
            </w:pPr>
            <w:r w:rsidRPr="00A3389E">
              <w:rPr>
                <w:rFonts w:ascii="Times New Roman" w:hAnsi="Times New Roman" w:cs="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informácií používaných na kalibrovanie parametrov základnej korelácie: oceňovanie LGD tranží (konštantné alebo stochastické);</w:t>
            </w:r>
          </w:p>
        </w:tc>
      </w:tr>
      <w:tr w:rsidR="00203C1C" w:rsidRPr="00A3389E"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A3389E" w:rsidRDefault="00B77F75" w:rsidP="00155C96">
            <w:pPr>
              <w:spacing w:after="240"/>
              <w:jc w:val="right"/>
              <w:rPr>
                <w:rFonts w:ascii="Times New Roman" w:hAnsi="Times New Roman" w:cs="Times New Roman"/>
                <w:sz w:val="24"/>
              </w:rPr>
            </w:pPr>
            <w:r w:rsidRPr="00A3389E">
              <w:rPr>
                <w:rFonts w:ascii="Times New Roman" w:hAnsi="Times New Roman" w:cs="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6D30BC4F" w:rsidR="00203C1C" w:rsidRPr="00A3389E" w:rsidRDefault="00203C1C" w:rsidP="00155C96">
            <w:pPr>
              <w:spacing w:after="240"/>
              <w:ind w:left="280"/>
              <w:jc w:val="both"/>
              <w:rPr>
                <w:rFonts w:ascii="Times New Roman" w:hAnsi="Times New Roman" w:cs="Times New Roman"/>
                <w:sz w:val="24"/>
              </w:rPr>
            </w:pPr>
            <w:r w:rsidRPr="00A3389E">
              <w:rPr>
                <w:rFonts w:ascii="Times New Roman" w:hAnsi="Times New Roman" w:cs="Times New Roman"/>
                <w:sz w:val="24"/>
              </w:rPr>
              <w:t>informácií</w:t>
            </w:r>
            <w:r w:rsidR="00A3389E">
              <w:rPr>
                <w:rFonts w:ascii="Times New Roman" w:hAnsi="Times New Roman" w:cs="Times New Roman"/>
                <w:sz w:val="24"/>
              </w:rPr>
              <w:t xml:space="preserve"> o </w:t>
            </w:r>
            <w:r w:rsidRPr="00A3389E">
              <w:rPr>
                <w:rFonts w:ascii="Times New Roman" w:hAnsi="Times New Roman" w:cs="Times New Roman"/>
                <w:sz w:val="24"/>
              </w:rPr>
              <w:t>voľbe týkajúcej sa zrenia pozícií (zisky</w:t>
            </w:r>
            <w:r w:rsidR="00A3389E">
              <w:rPr>
                <w:rFonts w:ascii="Times New Roman" w:hAnsi="Times New Roman" w:cs="Times New Roman"/>
                <w:sz w:val="24"/>
              </w:rPr>
              <w:t xml:space="preserve"> a </w:t>
            </w:r>
            <w:r w:rsidRPr="00A3389E">
              <w:rPr>
                <w:rFonts w:ascii="Times New Roman" w:hAnsi="Times New Roman" w:cs="Times New Roman"/>
                <w:sz w:val="24"/>
              </w:rPr>
              <w:t>straty založené na simulovanom pohybe trhu</w:t>
            </w:r>
            <w:r w:rsidR="00A3389E">
              <w:rPr>
                <w:rFonts w:ascii="Times New Roman" w:hAnsi="Times New Roman" w:cs="Times New Roman"/>
                <w:sz w:val="24"/>
              </w:rPr>
              <w:t xml:space="preserve"> v </w:t>
            </w:r>
            <w:r w:rsidRPr="00A3389E">
              <w:rPr>
                <w:rFonts w:ascii="Times New Roman" w:hAnsi="Times New Roman" w:cs="Times New Roman"/>
                <w:sz w:val="24"/>
              </w:rPr>
              <w:t>modeli vypočítané na základe času do uplynutia platnosti každej pozície na konci 1-ročného kapitálového horizontu alebo</w:t>
            </w:r>
            <w:r w:rsidR="00A3389E">
              <w:rPr>
                <w:rFonts w:ascii="Times New Roman" w:hAnsi="Times New Roman" w:cs="Times New Roman"/>
                <w:sz w:val="24"/>
              </w:rPr>
              <w:t xml:space="preserve"> s </w:t>
            </w:r>
            <w:r w:rsidRPr="00A3389E">
              <w:rPr>
                <w:rFonts w:ascii="Times New Roman" w:hAnsi="Times New Roman" w:cs="Times New Roman"/>
                <w:sz w:val="24"/>
              </w:rPr>
              <w:t>použitím ich času do uplynutia platnosti</w:t>
            </w:r>
            <w:r w:rsidR="00A3389E">
              <w:rPr>
                <w:rFonts w:ascii="Times New Roman" w:hAnsi="Times New Roman" w:cs="Times New Roman"/>
                <w:sz w:val="24"/>
              </w:rPr>
              <w:t xml:space="preserve"> k </w:t>
            </w:r>
            <w:r w:rsidRPr="00A3389E">
              <w:rPr>
                <w:rFonts w:ascii="Times New Roman" w:hAnsi="Times New Roman" w:cs="Times New Roman"/>
                <w:sz w:val="24"/>
              </w:rPr>
              <w:t>dátumu výpočtu);</w:t>
            </w:r>
          </w:p>
        </w:tc>
      </w:tr>
      <w:tr w:rsidR="00203C1C" w:rsidRPr="00A3389E"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zahŕňajú opis prístupu použitého na určenie horizontov likvidity.</w:t>
            </w:r>
          </w:p>
        </w:tc>
      </w:tr>
      <w:tr w:rsidR="00203C1C" w:rsidRPr="00A3389E"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4396049B"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zahŕňajú opis metodiky použitej na dosiahnutie hodnotenia kapitálu, ktoré 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požadovaným štandardom správnosti.</w:t>
            </w:r>
          </w:p>
        </w:tc>
      </w:tr>
      <w:tr w:rsidR="00203C1C" w:rsidRPr="00A3389E"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Inštitúcie zahŕňajú opis prístupu použitého pri validácii modelov.</w:t>
            </w:r>
          </w:p>
        </w:tc>
      </w:tr>
      <w:tr w:rsidR="00203C1C" w:rsidRPr="00A3389E"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A3389E" w:rsidRDefault="00B77F75" w:rsidP="00B77F75">
            <w:pPr>
              <w:spacing w:after="240"/>
              <w:jc w:val="center"/>
              <w:rPr>
                <w:rFonts w:ascii="Times New Roman" w:hAnsi="Times New Roman" w:cs="Times New Roman"/>
                <w:sz w:val="24"/>
              </w:rPr>
            </w:pPr>
            <w:r w:rsidRPr="00A3389E">
              <w:rPr>
                <w:rFonts w:ascii="Times New Roman" w:hAnsi="Times New Roman" w:cs="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21C2F5E2"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iii) CRR zahŕňajú opis stresového testovania uplatneného na parametre modelovania (hlavné scenáre vypracované</w:t>
            </w:r>
            <w:r w:rsidR="00A3389E">
              <w:rPr>
                <w:rFonts w:ascii="Times New Roman" w:hAnsi="Times New Roman" w:cs="Times New Roman"/>
                <w:sz w:val="24"/>
              </w:rPr>
              <w:t xml:space="preserve"> s </w:t>
            </w:r>
            <w:r w:rsidRPr="00A3389E">
              <w:rPr>
                <w:rFonts w:ascii="Times New Roman" w:hAnsi="Times New Roman" w:cs="Times New Roman"/>
                <w:sz w:val="24"/>
              </w:rPr>
              <w:t>cieľom zachytiť charakteristiky portfólií, na ktoré sa na úrovni skupiny uplatňujú modely merania komplexného rizika).</w:t>
            </w:r>
          </w:p>
        </w:tc>
      </w:tr>
      <w:tr w:rsidR="00203C1C" w:rsidRPr="00A3389E"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1FD38B91"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455 písm. a) bode iv) CRR zahŕňajú opis prístupu použitého na spätné testovanie alebo validáciu presnosti</w:t>
            </w:r>
            <w:r w:rsidR="00A3389E">
              <w:rPr>
                <w:rFonts w:ascii="Times New Roman" w:hAnsi="Times New Roman" w:cs="Times New Roman"/>
                <w:sz w:val="24"/>
              </w:rPr>
              <w:t xml:space="preserve"> a </w:t>
            </w:r>
            <w:r w:rsidRPr="00A3389E">
              <w:rPr>
                <w:rFonts w:ascii="Times New Roman" w:hAnsi="Times New Roman" w:cs="Times New Roman"/>
                <w:sz w:val="24"/>
              </w:rPr>
              <w:t>vnútornej konzistentnosti údajov</w:t>
            </w:r>
            <w:r w:rsidR="00A3389E">
              <w:rPr>
                <w:rFonts w:ascii="Times New Roman" w:hAnsi="Times New Roman" w:cs="Times New Roman"/>
                <w:sz w:val="24"/>
              </w:rPr>
              <w:t xml:space="preserve"> a </w:t>
            </w:r>
            <w:r w:rsidRPr="00A3389E">
              <w:rPr>
                <w:rFonts w:ascii="Times New Roman" w:hAnsi="Times New Roman" w:cs="Times New Roman"/>
                <w:sz w:val="24"/>
              </w:rPr>
              <w:t>parametrov použitých pre interné modely merania komplexného rizika</w:t>
            </w:r>
            <w:r w:rsidR="00A3389E">
              <w:rPr>
                <w:rFonts w:ascii="Times New Roman" w:hAnsi="Times New Roman" w:cs="Times New Roman"/>
                <w:sz w:val="24"/>
              </w:rPr>
              <w:t xml:space="preserve"> a </w:t>
            </w:r>
            <w:r w:rsidRPr="00A3389E">
              <w:rPr>
                <w:rFonts w:ascii="Times New Roman" w:hAnsi="Times New Roman" w:cs="Times New Roman"/>
                <w:sz w:val="24"/>
              </w:rPr>
              <w:t>postupy modelovania.</w:t>
            </w:r>
          </w:p>
        </w:tc>
      </w:tr>
      <w:tr w:rsidR="00203C1C" w:rsidRPr="00A3389E"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A3389E" w:rsidRDefault="00B77F75" w:rsidP="00155C96">
            <w:pPr>
              <w:spacing w:after="240"/>
              <w:jc w:val="center"/>
              <w:rPr>
                <w:rFonts w:ascii="Times New Roman" w:hAnsi="Times New Roman" w:cs="Times New Roman"/>
                <w:sz w:val="24"/>
              </w:rPr>
            </w:pPr>
            <w:r w:rsidRPr="00A3389E">
              <w:rPr>
                <w:rFonts w:ascii="Times New Roman" w:hAnsi="Times New Roman" w:cs="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74B748FA" w:rsidR="00203C1C" w:rsidRPr="00A3389E" w:rsidRDefault="00203C1C" w:rsidP="00B66069">
            <w:pPr>
              <w:spacing w:after="240"/>
              <w:jc w:val="both"/>
              <w:rPr>
                <w:rFonts w:ascii="Times New Roman" w:hAnsi="Times New Roman" w:cs="Times New Roman"/>
                <w:sz w:val="24"/>
              </w:rPr>
            </w:pPr>
            <w:r w:rsidRPr="00A3389E">
              <w:rPr>
                <w:rFonts w:ascii="Times New Roman" w:hAnsi="Times New Roman" w:cs="Times New Roman"/>
                <w:sz w:val="24"/>
              </w:rPr>
              <w:t>Inštitúcie dopĺňajú zverejňované informácie týkajúce sa interných modelov pre inkrementálne riziko zlyhania</w:t>
            </w:r>
            <w:r w:rsidR="00A3389E">
              <w:rPr>
                <w:rFonts w:ascii="Times New Roman" w:hAnsi="Times New Roman" w:cs="Times New Roman"/>
                <w:sz w:val="24"/>
              </w:rPr>
              <w:t xml:space="preserve"> a </w:t>
            </w:r>
            <w:r w:rsidRPr="00A3389E">
              <w:rPr>
                <w:rFonts w:ascii="Times New Roman" w:hAnsi="Times New Roman" w:cs="Times New Roman"/>
                <w:sz w:val="24"/>
              </w:rPr>
              <w:t>riziko migrácie</w:t>
            </w:r>
            <w:r w:rsidR="00A3389E">
              <w:rPr>
                <w:rFonts w:ascii="Times New Roman" w:hAnsi="Times New Roman" w:cs="Times New Roman"/>
                <w:sz w:val="24"/>
              </w:rPr>
              <w:t xml:space="preserve"> a </w:t>
            </w:r>
            <w:r w:rsidRPr="00A3389E">
              <w:rPr>
                <w:rFonts w:ascii="Times New Roman" w:hAnsi="Times New Roman" w:cs="Times New Roman"/>
                <w:sz w:val="24"/>
              </w:rPr>
              <w:t>pre korelačné obchodné portfóliá informáciami uvedenými</w:t>
            </w:r>
            <w:r w:rsidR="00A3389E">
              <w:rPr>
                <w:rFonts w:ascii="Times New Roman" w:hAnsi="Times New Roman" w:cs="Times New Roman"/>
                <w:sz w:val="24"/>
              </w:rPr>
              <w:t xml:space="preserve"> v </w:t>
            </w:r>
            <w:r w:rsidRPr="00A3389E">
              <w:rPr>
                <w:rFonts w:ascii="Times New Roman" w:hAnsi="Times New Roman" w:cs="Times New Roman"/>
                <w:sz w:val="24"/>
              </w:rPr>
              <w:t>článku 455 písm. f)</w:t>
            </w:r>
            <w:r w:rsidR="00A3389E">
              <w:rPr>
                <w:rFonts w:ascii="Times New Roman" w:hAnsi="Times New Roman" w:cs="Times New Roman"/>
                <w:sz w:val="24"/>
              </w:rPr>
              <w:t xml:space="preserve"> o </w:t>
            </w:r>
            <w:r w:rsidRPr="00A3389E">
              <w:rPr>
                <w:rFonts w:ascii="Times New Roman" w:hAnsi="Times New Roman" w:cs="Times New Roman"/>
                <w:sz w:val="24"/>
              </w:rPr>
              <w:t>váženom priemernom horizonte likvidity pre subportfóliá,</w:t>
            </w:r>
            <w:r w:rsidR="00A3389E">
              <w:rPr>
                <w:rFonts w:ascii="Times New Roman" w:hAnsi="Times New Roman" w:cs="Times New Roman"/>
                <w:sz w:val="24"/>
              </w:rPr>
              <w:t xml:space="preserve"> a </w:t>
            </w:r>
            <w:r w:rsidRPr="00A3389E">
              <w:rPr>
                <w:rFonts w:ascii="Times New Roman" w:hAnsi="Times New Roman" w:cs="Times New Roman"/>
                <w:sz w:val="24"/>
              </w:rPr>
              <w:t>to</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opisom uvedeným</w:t>
            </w:r>
            <w:r w:rsidR="00A3389E">
              <w:rPr>
                <w:rFonts w:ascii="Times New Roman" w:hAnsi="Times New Roman" w:cs="Times New Roman"/>
                <w:sz w:val="24"/>
              </w:rPr>
              <w:t xml:space="preserve"> v </w:t>
            </w:r>
            <w:r w:rsidRPr="00A3389E">
              <w:rPr>
                <w:rFonts w:ascii="Times New Roman" w:hAnsi="Times New Roman" w:cs="Times New Roman"/>
                <w:sz w:val="24"/>
              </w:rPr>
              <w:t>riadku B) písm. a)</w:t>
            </w:r>
            <w:r w:rsidR="00A3389E">
              <w:rPr>
                <w:rFonts w:ascii="Times New Roman" w:hAnsi="Times New Roman" w:cs="Times New Roman"/>
                <w:sz w:val="24"/>
              </w:rPr>
              <w:t xml:space="preserve"> a </w:t>
            </w:r>
            <w:r w:rsidRPr="00A3389E">
              <w:rPr>
                <w:rFonts w:ascii="Times New Roman" w:hAnsi="Times New Roman" w:cs="Times New Roman"/>
                <w:sz w:val="24"/>
              </w:rPr>
              <w:t>d)</w:t>
            </w:r>
            <w:r w:rsidR="00A3389E">
              <w:rPr>
                <w:rFonts w:ascii="Times New Roman" w:hAnsi="Times New Roman" w:cs="Times New Roman"/>
                <w:sz w:val="24"/>
              </w:rPr>
              <w:t xml:space="preserve"> a </w:t>
            </w:r>
            <w:r w:rsidRPr="00A3389E">
              <w:rPr>
                <w:rFonts w:ascii="Times New Roman" w:hAnsi="Times New Roman" w:cs="Times New Roman"/>
                <w:sz w:val="24"/>
              </w:rPr>
              <w:t>riadku C) písm. a)</w:t>
            </w:r>
            <w:r w:rsidR="00A3389E">
              <w:rPr>
                <w:rFonts w:ascii="Times New Roman" w:hAnsi="Times New Roman" w:cs="Times New Roman"/>
                <w:sz w:val="24"/>
              </w:rPr>
              <w:t xml:space="preserve"> a </w:t>
            </w:r>
            <w:r w:rsidRPr="00A3389E">
              <w:rPr>
                <w:rFonts w:ascii="Times New Roman" w:hAnsi="Times New Roman" w:cs="Times New Roman"/>
                <w:sz w:val="24"/>
              </w:rPr>
              <w:t>d) tabuľky EU MRB.</w:t>
            </w:r>
          </w:p>
        </w:tc>
      </w:tr>
    </w:tbl>
    <w:p w14:paraId="5AD1417E" w14:textId="04D46EF3" w:rsidR="00203C1C" w:rsidRPr="00A3389E" w:rsidRDefault="00203C1C" w:rsidP="00C76D85">
      <w:pPr>
        <w:pStyle w:val="Titlelevel2"/>
        <w:keepNext/>
        <w:keepLines/>
        <w:spacing w:before="0"/>
        <w:rPr>
          <w:rFonts w:ascii="Times New Roman" w:hAnsi="Times New Roman" w:cs="Times New Roman"/>
          <w:color w:val="auto"/>
          <w:sz w:val="24"/>
        </w:rPr>
      </w:pPr>
      <w:r w:rsidRPr="00A3389E">
        <w:rPr>
          <w:rFonts w:ascii="Times New Roman" w:hAnsi="Times New Roman" w:cs="Times New Roman"/>
          <w:b/>
          <w:color w:val="auto"/>
          <w:sz w:val="24"/>
        </w:rPr>
        <w:t>Vzor EU MR2-A – Trhové riziko podľa prístupu interného modelu (IMA):</w:t>
      </w:r>
      <w:r w:rsidRPr="00A3389E">
        <w:rPr>
          <w:rFonts w:ascii="Times New Roman" w:hAnsi="Times New Roman" w:cs="Times New Roman"/>
          <w:color w:val="auto"/>
          <w:sz w:val="24"/>
        </w:rPr>
        <w:t xml:space="preserve"> pevný formát</w:t>
      </w:r>
    </w:p>
    <w:p w14:paraId="28CA69C6" w14:textId="6C785C34" w:rsidR="00203C1C" w:rsidRPr="00A3389E" w:rsidRDefault="00A3389E" w:rsidP="00C76D85">
      <w:pPr>
        <w:pStyle w:val="Titlelevel2"/>
        <w:keepNext/>
        <w:keepLines/>
        <w:spacing w:before="0"/>
        <w:ind w:left="1070" w:hanging="360"/>
        <w:jc w:val="both"/>
        <w:rPr>
          <w:rFonts w:ascii="Times New Roman" w:hAnsi="Times New Roman" w:cs="Times New Roman"/>
          <w:b/>
          <w:color w:val="auto"/>
          <w:sz w:val="24"/>
        </w:rPr>
      </w:pPr>
      <w:r w:rsidRPr="00A3389E">
        <w:rPr>
          <w:rFonts w:ascii="Times New Roman" w:hAnsi="Times New Roman" w:cs="Times New Roman"/>
          <w:color w:val="auto"/>
          <w:sz w:val="22"/>
          <w:szCs w:val="22"/>
        </w:rPr>
        <w:t>5.</w:t>
      </w:r>
      <w:r w:rsidRPr="00A3389E">
        <w:rPr>
          <w:rFonts w:ascii="Times New Roman" w:hAnsi="Times New Roman" w:cs="Times New Roman"/>
          <w:color w:val="auto"/>
          <w:sz w:val="22"/>
          <w:szCs w:val="22"/>
        </w:rPr>
        <w:tab/>
      </w:r>
      <w:r w:rsidR="00203C1C"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článku 455 písm. e) CRR podľa pokynov uvedených nižšie</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203C1C" w:rsidRPr="00A3389E">
        <w:rPr>
          <w:rFonts w:ascii="Times New Roman" w:hAnsi="Times New Roman" w:cs="Times New Roman"/>
          <w:bCs w:val="0"/>
          <w:color w:val="000000"/>
          <w:sz w:val="24"/>
        </w:rPr>
        <w:t>cieľom vyplniť vzor EU MR2-A, ktorý je uvedený</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prílohe XXIX</w:t>
      </w:r>
      <w:r>
        <w:rPr>
          <w:rFonts w:ascii="Times New Roman" w:hAnsi="Times New Roman" w:cs="Times New Roman"/>
          <w:bCs w:val="0"/>
          <w:color w:val="000000"/>
          <w:sz w:val="24"/>
        </w:rPr>
        <w:t xml:space="preserve"> k </w:t>
      </w:r>
      <w:r w:rsidR="00203C1C" w:rsidRPr="00A3389E">
        <w:rPr>
          <w:rFonts w:ascii="Times New Roman" w:hAnsi="Times New Roman" w:cs="Times New Roman"/>
          <w:bCs w:val="0"/>
          <w:color w:val="000000"/>
          <w:sz w:val="24"/>
        </w:rPr>
        <w:t>tomuto vykonávaciemu nariadeniu.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A3389E"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24872D3D"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lastRenderedPageBreak/>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203C1C" w:rsidRPr="00A3389E"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A3389E" w:rsidRDefault="00305345" w:rsidP="00155C96">
            <w:pPr>
              <w:spacing w:after="240"/>
              <w:jc w:val="center"/>
              <w:rPr>
                <w:rFonts w:ascii="Times New Roman" w:hAnsi="Times New Roman" w:cs="Times New Roman"/>
                <w:b/>
                <w:sz w:val="24"/>
              </w:rPr>
            </w:pPr>
            <w:r w:rsidRPr="00A3389E">
              <w:rPr>
                <w:rFonts w:ascii="Times New Roman" w:hAnsi="Times New Roman" w:cs="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4036ADE9"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VaR</w:t>
            </w:r>
            <w:r w:rsidRPr="00A3389E">
              <w:rPr>
                <w:rFonts w:ascii="Times New Roman" w:hAnsi="Times New Roman" w:cs="Times New Roman"/>
                <w:sz w:val="24"/>
              </w:rPr>
              <w:t xml:space="preserve"> (vyššia spomedzi hodnôt</w:t>
            </w:r>
            <w:r w:rsidR="00A3389E">
              <w:rPr>
                <w:rFonts w:ascii="Times New Roman" w:hAnsi="Times New Roman" w:cs="Times New Roman"/>
                <w:sz w:val="24"/>
              </w:rPr>
              <w:t xml:space="preserve"> a </w:t>
            </w:r>
            <w:r w:rsidRPr="00A3389E">
              <w:rPr>
                <w:rFonts w:ascii="Times New Roman" w:hAnsi="Times New Roman" w:cs="Times New Roman"/>
                <w:sz w:val="24"/>
              </w:rPr>
              <w:t xml:space="preserve">a </w:t>
            </w:r>
            <w:r w:rsidRPr="00A3389E">
              <w:rPr>
                <w:rFonts w:ascii="Times New Roman" w:hAnsi="Times New Roman" w:cs="Times New Roman"/>
                <w:i/>
                <w:sz w:val="24"/>
              </w:rPr>
              <w:t>b</w:t>
            </w:r>
            <w:r w:rsidRPr="00A3389E">
              <w:rPr>
                <w:rFonts w:ascii="Times New Roman" w:hAnsi="Times New Roman" w:cs="Times New Roman"/>
                <w:sz w:val="24"/>
              </w:rPr>
              <w:t>)</w:t>
            </w:r>
          </w:p>
        </w:tc>
      </w:tr>
      <w:tr w:rsidR="00203C1C" w:rsidRPr="00A3389E"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A3389E" w:rsidRDefault="00203C1C" w:rsidP="005F06BF">
            <w:pPr>
              <w:spacing w:after="240"/>
              <w:jc w:val="right"/>
              <w:rPr>
                <w:rFonts w:ascii="Times New Roman" w:hAnsi="Times New Roman" w:cs="Times New Roman"/>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12CA3B1E" w:rsidR="008D4828" w:rsidRPr="00A3389E" w:rsidRDefault="008D4828" w:rsidP="00EE0AA4">
            <w:pPr>
              <w:autoSpaceDE w:val="0"/>
              <w:autoSpaceDN w:val="0"/>
              <w:adjustRightInd w:val="0"/>
              <w:spacing w:after="240"/>
              <w:jc w:val="both"/>
              <w:rPr>
                <w:rFonts w:ascii="Times New Roman" w:hAnsi="Times New Roman" w:cs="Times New Roman"/>
                <w:i/>
                <w:sz w:val="24"/>
              </w:rPr>
            </w:pPr>
            <w:r w:rsidRPr="00A3389E">
              <w:rPr>
                <w:rFonts w:ascii="Times New Roman" w:hAnsi="Times New Roman" w:cs="Times New Roman"/>
                <w:i/>
                <w:sz w:val="24"/>
              </w:rPr>
              <w:t>Hodnota</w:t>
            </w:r>
            <w:r w:rsidR="00A3389E">
              <w:rPr>
                <w:rFonts w:ascii="Times New Roman" w:hAnsi="Times New Roman" w:cs="Times New Roman"/>
                <w:i/>
                <w:sz w:val="24"/>
              </w:rPr>
              <w:t xml:space="preserve"> v </w:t>
            </w:r>
            <w:r w:rsidRPr="00A3389E">
              <w:rPr>
                <w:rFonts w:ascii="Times New Roman" w:hAnsi="Times New Roman" w:cs="Times New Roman"/>
                <w:i/>
                <w:sz w:val="24"/>
              </w:rPr>
              <w:t>riziku</w:t>
            </w:r>
            <w:r w:rsidR="00A3389E">
              <w:rPr>
                <w:rFonts w:ascii="Times New Roman" w:hAnsi="Times New Roman" w:cs="Times New Roman"/>
                <w:i/>
                <w:sz w:val="24"/>
              </w:rPr>
              <w:t xml:space="preserve"> z </w:t>
            </w:r>
            <w:r w:rsidRPr="00A3389E">
              <w:rPr>
                <w:rFonts w:ascii="Times New Roman" w:hAnsi="Times New Roman" w:cs="Times New Roman"/>
                <w:i/>
                <w:sz w:val="24"/>
              </w:rPr>
              <w:t>predchádzajúceho dňa (VaRt-1)</w:t>
            </w:r>
          </w:p>
          <w:p w14:paraId="2904A28F" w14:textId="1276A208" w:rsidR="00203C1C" w:rsidRPr="00A3389E" w:rsidRDefault="00203C1C" w:rsidP="00EE0AA4">
            <w:pPr>
              <w:autoSpaceDE w:val="0"/>
              <w:autoSpaceDN w:val="0"/>
              <w:adjustRightInd w:val="0"/>
              <w:spacing w:after="240"/>
              <w:jc w:val="both"/>
              <w:rPr>
                <w:rFonts w:ascii="Times New Roman" w:hAnsi="Times New Roman" w:cs="Times New Roman"/>
                <w:sz w:val="24"/>
              </w:rPr>
            </w:pPr>
            <w:r w:rsidRPr="00A3389E">
              <w:rPr>
                <w:rFonts w:ascii="Times New Roman" w:hAnsi="Times New Roman" w:cs="Times New Roman"/>
                <w:sz w:val="24"/>
              </w:rPr>
              <w:t>Hodnota</w:t>
            </w:r>
            <w:r w:rsidR="00A3389E">
              <w:rPr>
                <w:rFonts w:ascii="Times New Roman" w:hAnsi="Times New Roman" w:cs="Times New Roman"/>
                <w:sz w:val="24"/>
              </w:rPr>
              <w:t xml:space="preserve"> v </w:t>
            </w:r>
            <w:r w:rsidRPr="00A3389E">
              <w:rPr>
                <w:rFonts w:ascii="Times New Roman" w:hAnsi="Times New Roman" w:cs="Times New Roman"/>
                <w:sz w:val="24"/>
              </w:rPr>
              <w:t>riziku</w:t>
            </w:r>
            <w:r w:rsidR="00A3389E">
              <w:rPr>
                <w:rFonts w:ascii="Times New Roman" w:hAnsi="Times New Roman" w:cs="Times New Roman"/>
                <w:sz w:val="24"/>
              </w:rPr>
              <w:t xml:space="preserve"> z </w:t>
            </w:r>
            <w:r w:rsidRPr="00A3389E">
              <w:rPr>
                <w:rFonts w:ascii="Times New Roman" w:hAnsi="Times New Roman" w:cs="Times New Roman"/>
                <w:sz w:val="24"/>
              </w:rPr>
              <w:t>predchádzajúceho dňa (VaR</w:t>
            </w:r>
            <w:r w:rsidRPr="00A3389E">
              <w:rPr>
                <w:rFonts w:ascii="Times New Roman" w:hAnsi="Times New Roman" w:cs="Times New Roman"/>
                <w:sz w:val="24"/>
                <w:vertAlign w:val="subscript"/>
              </w:rPr>
              <w:t>t-1</w:t>
            </w:r>
            <w:r w:rsidRPr="00A3389E">
              <w:rPr>
                <w:rFonts w:ascii="Times New Roman" w:hAnsi="Times New Roman" w:cs="Times New Roman"/>
                <w:sz w:val="24"/>
              </w:rPr>
              <w:t>) vypočítaná podľa článku 365 ods. 1 CRR.</w:t>
            </w:r>
          </w:p>
        </w:tc>
      </w:tr>
      <w:tr w:rsidR="00203C1C" w:rsidRPr="00A3389E"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A3389E" w:rsidRDefault="00203C1C" w:rsidP="005F06BF">
            <w:pPr>
              <w:spacing w:after="240"/>
              <w:jc w:val="right"/>
              <w:rPr>
                <w:rFonts w:ascii="Times New Roman" w:hAnsi="Times New Roman" w:cs="Times New Roman"/>
                <w:b/>
                <w:sz w:val="24"/>
              </w:rPr>
            </w:pPr>
            <w:r w:rsidRPr="00A3389E">
              <w:rPr>
                <w:rFonts w:ascii="Times New Roman" w:hAnsi="Times New Roman" w:cs="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A3389E" w:rsidRDefault="008D4828" w:rsidP="00155C96">
            <w:pPr>
              <w:spacing w:after="240"/>
              <w:jc w:val="both"/>
              <w:rPr>
                <w:rFonts w:ascii="Times New Roman" w:hAnsi="Times New Roman" w:cs="Times New Roman"/>
                <w:i/>
                <w:sz w:val="24"/>
              </w:rPr>
            </w:pPr>
            <w:r w:rsidRPr="00A3389E">
              <w:rPr>
                <w:rFonts w:ascii="Times New Roman" w:hAnsi="Times New Roman" w:cs="Times New Roman"/>
                <w:i/>
                <w:sz w:val="24"/>
              </w:rPr>
              <w:t>Multiplikačný koeficient (mc) x priemer za predchádzajúcich 60 pracovných dní (VaRavg)</w:t>
            </w:r>
          </w:p>
          <w:p w14:paraId="0F358415" w14:textId="72A0BA8C"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Priemer hodnôt denných meraní hodnoty</w:t>
            </w:r>
            <w:r w:rsidR="00A3389E">
              <w:rPr>
                <w:rFonts w:ascii="Times New Roman" w:hAnsi="Times New Roman" w:cs="Times New Roman"/>
                <w:sz w:val="24"/>
              </w:rPr>
              <w:t xml:space="preserve"> v </w:t>
            </w:r>
            <w:r w:rsidRPr="00A3389E">
              <w:rPr>
                <w:rFonts w:ascii="Times New Roman" w:hAnsi="Times New Roman" w:cs="Times New Roman"/>
                <w:sz w:val="24"/>
              </w:rPr>
              <w:t>riziku vypočítaných podľa článku 365 ods. 1 CRR</w:t>
            </w:r>
            <w:r w:rsidR="00A3389E">
              <w:rPr>
                <w:rFonts w:ascii="Times New Roman" w:hAnsi="Times New Roman" w:cs="Times New Roman"/>
                <w:sz w:val="24"/>
              </w:rPr>
              <w:t xml:space="preserve"> v </w:t>
            </w:r>
            <w:r w:rsidRPr="00A3389E">
              <w:rPr>
                <w:rFonts w:ascii="Times New Roman" w:hAnsi="Times New Roman" w:cs="Times New Roman"/>
                <w:sz w:val="24"/>
              </w:rPr>
              <w:t>každom</w:t>
            </w:r>
            <w:r w:rsidR="00A3389E">
              <w:rPr>
                <w:rFonts w:ascii="Times New Roman" w:hAnsi="Times New Roman" w:cs="Times New Roman"/>
                <w:sz w:val="24"/>
              </w:rPr>
              <w:t xml:space="preserve"> z </w:t>
            </w:r>
            <w:r w:rsidRPr="00A3389E">
              <w:rPr>
                <w:rFonts w:ascii="Times New Roman" w:hAnsi="Times New Roman" w:cs="Times New Roman"/>
                <w:sz w:val="24"/>
              </w:rPr>
              <w:t>predchádzajúcich 60 obchodných dní (VaR</w:t>
            </w:r>
            <w:r w:rsidRPr="00A3389E">
              <w:rPr>
                <w:rFonts w:ascii="Times New Roman" w:hAnsi="Times New Roman" w:cs="Times New Roman"/>
                <w:sz w:val="24"/>
                <w:vertAlign w:val="subscript"/>
              </w:rPr>
              <w:t>avg</w:t>
            </w:r>
            <w:r w:rsidRPr="00A3389E">
              <w:rPr>
                <w:rFonts w:ascii="Times New Roman" w:hAnsi="Times New Roman" w:cs="Times New Roman"/>
                <w:sz w:val="24"/>
              </w:rPr>
              <w:t>), vynásobený multiplikačným koeficientom (mc)</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366 CRR.</w:t>
            </w:r>
          </w:p>
        </w:tc>
      </w:tr>
      <w:tr w:rsidR="00203C1C" w:rsidRPr="00A3389E"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A3389E" w:rsidRDefault="00305345" w:rsidP="00155C96">
            <w:pPr>
              <w:spacing w:after="240"/>
              <w:jc w:val="center"/>
              <w:rPr>
                <w:rFonts w:ascii="Times New Roman" w:hAnsi="Times New Roman" w:cs="Times New Roman"/>
                <w:b/>
                <w:sz w:val="24"/>
              </w:rPr>
            </w:pPr>
            <w:r w:rsidRPr="00A3389E">
              <w:rPr>
                <w:rFonts w:ascii="Times New Roman" w:hAnsi="Times New Roman" w:cs="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6BE84A5C"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 xml:space="preserve">SVaR </w:t>
            </w:r>
            <w:r w:rsidRPr="00A3389E">
              <w:rPr>
                <w:rFonts w:ascii="Times New Roman" w:hAnsi="Times New Roman" w:cs="Times New Roman"/>
                <w:sz w:val="24"/>
              </w:rPr>
              <w:t>(vyššia spomedzi hodnôt</w:t>
            </w:r>
            <w:r w:rsidR="00A3389E">
              <w:rPr>
                <w:rFonts w:ascii="Times New Roman" w:hAnsi="Times New Roman" w:cs="Times New Roman"/>
                <w:sz w:val="24"/>
              </w:rPr>
              <w:t xml:space="preserve"> a </w:t>
            </w:r>
            <w:r w:rsidRPr="00A3389E">
              <w:rPr>
                <w:rFonts w:ascii="Times New Roman" w:hAnsi="Times New Roman" w:cs="Times New Roman"/>
                <w:sz w:val="24"/>
              </w:rPr>
              <w:t xml:space="preserve">a </w:t>
            </w:r>
            <w:r w:rsidRPr="00A3389E">
              <w:rPr>
                <w:rFonts w:ascii="Times New Roman" w:hAnsi="Times New Roman" w:cs="Times New Roman"/>
                <w:i/>
                <w:sz w:val="24"/>
              </w:rPr>
              <w:t>b</w:t>
            </w:r>
            <w:r w:rsidRPr="00A3389E">
              <w:rPr>
                <w:rFonts w:ascii="Times New Roman" w:hAnsi="Times New Roman" w:cs="Times New Roman"/>
                <w:sz w:val="24"/>
              </w:rPr>
              <w:t>)</w:t>
            </w:r>
          </w:p>
        </w:tc>
      </w:tr>
      <w:tr w:rsidR="00203C1C" w:rsidRPr="00A3389E"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A3389E" w:rsidRDefault="00203C1C" w:rsidP="005F06BF">
            <w:pPr>
              <w:spacing w:after="240"/>
              <w:jc w:val="right"/>
              <w:rPr>
                <w:rFonts w:ascii="Times New Roman" w:hAnsi="Times New Roman" w:cs="Times New Roman"/>
                <w:b/>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60E809DF" w:rsidR="008D4828" w:rsidRPr="00A3389E" w:rsidRDefault="008D4828" w:rsidP="00155C96">
            <w:pPr>
              <w:autoSpaceDE w:val="0"/>
              <w:autoSpaceDN w:val="0"/>
              <w:adjustRightInd w:val="0"/>
              <w:spacing w:after="240"/>
              <w:jc w:val="both"/>
              <w:rPr>
                <w:rFonts w:ascii="Times New Roman" w:hAnsi="Times New Roman" w:cs="Times New Roman"/>
                <w:i/>
                <w:sz w:val="24"/>
              </w:rPr>
            </w:pPr>
            <w:r w:rsidRPr="00A3389E">
              <w:rPr>
                <w:rFonts w:ascii="Times New Roman" w:hAnsi="Times New Roman" w:cs="Times New Roman"/>
                <w:i/>
                <w:sz w:val="24"/>
              </w:rPr>
              <w:t>Najnovšia dostupná hodnota stresovanej hodnoty</w:t>
            </w:r>
            <w:r w:rsidR="00A3389E">
              <w:rPr>
                <w:rFonts w:ascii="Times New Roman" w:hAnsi="Times New Roman" w:cs="Times New Roman"/>
                <w:i/>
                <w:sz w:val="24"/>
              </w:rPr>
              <w:t xml:space="preserve"> v </w:t>
            </w:r>
            <w:r w:rsidRPr="00A3389E">
              <w:rPr>
                <w:rFonts w:ascii="Times New Roman" w:hAnsi="Times New Roman" w:cs="Times New Roman"/>
                <w:i/>
                <w:sz w:val="24"/>
              </w:rPr>
              <w:t>riziku (SVaRt-1)</w:t>
            </w:r>
          </w:p>
          <w:p w14:paraId="06B35619" w14:textId="787778DE" w:rsidR="00203C1C" w:rsidRPr="00A3389E" w:rsidRDefault="00203C1C" w:rsidP="00155C96">
            <w:pPr>
              <w:autoSpaceDE w:val="0"/>
              <w:autoSpaceDN w:val="0"/>
              <w:adjustRightInd w:val="0"/>
              <w:spacing w:after="240"/>
              <w:jc w:val="both"/>
              <w:rPr>
                <w:rFonts w:ascii="Times New Roman" w:hAnsi="Times New Roman" w:cs="Times New Roman"/>
                <w:b/>
                <w:sz w:val="24"/>
              </w:rPr>
            </w:pPr>
            <w:r w:rsidRPr="00A3389E">
              <w:rPr>
                <w:rFonts w:ascii="Times New Roman" w:hAnsi="Times New Roman" w:cs="Times New Roman"/>
                <w:sz w:val="24"/>
              </w:rPr>
              <w:t>Najnovšia dostupná hodnota stresovanej hodnoty</w:t>
            </w:r>
            <w:r w:rsidR="00A3389E">
              <w:rPr>
                <w:rFonts w:ascii="Times New Roman" w:hAnsi="Times New Roman" w:cs="Times New Roman"/>
                <w:sz w:val="24"/>
              </w:rPr>
              <w:t xml:space="preserve"> v </w:t>
            </w:r>
            <w:r w:rsidRPr="00A3389E">
              <w:rPr>
                <w:rFonts w:ascii="Times New Roman" w:hAnsi="Times New Roman" w:cs="Times New Roman"/>
                <w:sz w:val="24"/>
              </w:rPr>
              <w:t>riziku (sVaR</w:t>
            </w:r>
            <w:r w:rsidRPr="00A3389E">
              <w:rPr>
                <w:rFonts w:ascii="Times New Roman" w:hAnsi="Times New Roman" w:cs="Times New Roman"/>
                <w:sz w:val="24"/>
                <w:vertAlign w:val="subscript"/>
              </w:rPr>
              <w:t>t-1</w:t>
            </w:r>
            <w:r w:rsidRPr="00A3389E">
              <w:rPr>
                <w:rFonts w:ascii="Times New Roman" w:hAnsi="Times New Roman" w:cs="Times New Roman"/>
                <w:sz w:val="24"/>
              </w:rPr>
              <w:t>) vypočítaná podľa článku 365 ods. 2 CRR.</w:t>
            </w:r>
          </w:p>
        </w:tc>
      </w:tr>
      <w:tr w:rsidR="00203C1C" w:rsidRPr="00A3389E"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A3389E" w:rsidRDefault="00203C1C" w:rsidP="005F06BF">
            <w:pPr>
              <w:spacing w:after="240"/>
              <w:jc w:val="right"/>
              <w:rPr>
                <w:rFonts w:ascii="Times New Roman" w:hAnsi="Times New Roman" w:cs="Times New Roman"/>
                <w:b/>
                <w:sz w:val="24"/>
              </w:rPr>
            </w:pPr>
            <w:r w:rsidRPr="00A3389E">
              <w:rPr>
                <w:rFonts w:ascii="Times New Roman" w:hAnsi="Times New Roman" w:cs="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A3389E" w:rsidRDefault="008D4828" w:rsidP="00155C96">
            <w:pPr>
              <w:autoSpaceDE w:val="0"/>
              <w:autoSpaceDN w:val="0"/>
              <w:adjustRightInd w:val="0"/>
              <w:spacing w:after="240"/>
              <w:jc w:val="both"/>
              <w:rPr>
                <w:rFonts w:ascii="Times New Roman" w:hAnsi="Times New Roman" w:cs="Times New Roman"/>
                <w:i/>
                <w:sz w:val="24"/>
              </w:rPr>
            </w:pPr>
            <w:r w:rsidRPr="00A3389E">
              <w:rPr>
                <w:rFonts w:ascii="Times New Roman" w:hAnsi="Times New Roman" w:cs="Times New Roman"/>
                <w:i/>
                <w:sz w:val="24"/>
              </w:rPr>
              <w:t>Multiplikačný koeficient (ms) x priemer za predchádzajúcich 60 pracovných dní (sVaRavg)</w:t>
            </w:r>
          </w:p>
          <w:p w14:paraId="3C1AEA07" w14:textId="56A6A553" w:rsidR="00203C1C" w:rsidRPr="00A3389E" w:rsidRDefault="00203C1C" w:rsidP="00155C96">
            <w:pPr>
              <w:autoSpaceDE w:val="0"/>
              <w:autoSpaceDN w:val="0"/>
              <w:adjustRightInd w:val="0"/>
              <w:spacing w:after="240"/>
              <w:jc w:val="both"/>
              <w:rPr>
                <w:rFonts w:ascii="Times New Roman" w:hAnsi="Times New Roman" w:cs="Times New Roman"/>
                <w:sz w:val="24"/>
              </w:rPr>
            </w:pPr>
            <w:r w:rsidRPr="00A3389E">
              <w:rPr>
                <w:rFonts w:ascii="Times New Roman" w:hAnsi="Times New Roman" w:cs="Times New Roman"/>
                <w:sz w:val="24"/>
              </w:rPr>
              <w:t>Priemer stresovaných hodnôt</w:t>
            </w:r>
            <w:r w:rsidR="00A3389E">
              <w:rPr>
                <w:rFonts w:ascii="Times New Roman" w:hAnsi="Times New Roman" w:cs="Times New Roman"/>
                <w:sz w:val="24"/>
              </w:rPr>
              <w:t xml:space="preserve"> v </w:t>
            </w:r>
            <w:r w:rsidRPr="00A3389E">
              <w:rPr>
                <w:rFonts w:ascii="Times New Roman" w:hAnsi="Times New Roman" w:cs="Times New Roman"/>
                <w:sz w:val="24"/>
              </w:rPr>
              <w:t>riziku vypočítaných spôsobom</w:t>
            </w:r>
            <w:r w:rsidR="00A3389E">
              <w:rPr>
                <w:rFonts w:ascii="Times New Roman" w:hAnsi="Times New Roman" w:cs="Times New Roman"/>
                <w:sz w:val="24"/>
              </w:rPr>
              <w:t xml:space="preserve"> a s </w:t>
            </w:r>
            <w:r w:rsidRPr="00A3389E">
              <w:rPr>
                <w:rFonts w:ascii="Times New Roman" w:hAnsi="Times New Roman" w:cs="Times New Roman"/>
                <w:sz w:val="24"/>
              </w:rPr>
              <w:t>periodickosťou uvedenou</w:t>
            </w:r>
            <w:r w:rsidR="00A3389E">
              <w:rPr>
                <w:rFonts w:ascii="Times New Roman" w:hAnsi="Times New Roman" w:cs="Times New Roman"/>
                <w:sz w:val="24"/>
              </w:rPr>
              <w:t xml:space="preserve"> v </w:t>
            </w:r>
            <w:r w:rsidRPr="00A3389E">
              <w:rPr>
                <w:rFonts w:ascii="Times New Roman" w:hAnsi="Times New Roman" w:cs="Times New Roman"/>
                <w:sz w:val="24"/>
              </w:rPr>
              <w:t>článku 365 ods. 2 CRR počas predchádzajúcich šesťdesiatich obchodných dní (sVaR</w:t>
            </w:r>
            <w:r w:rsidRPr="00A3389E">
              <w:rPr>
                <w:rFonts w:ascii="Times New Roman" w:hAnsi="Times New Roman" w:cs="Times New Roman"/>
                <w:sz w:val="24"/>
                <w:vertAlign w:val="subscript"/>
              </w:rPr>
              <w:t>avg</w:t>
            </w:r>
            <w:r w:rsidRPr="00A3389E">
              <w:rPr>
                <w:rFonts w:ascii="Times New Roman" w:hAnsi="Times New Roman" w:cs="Times New Roman"/>
                <w:sz w:val="24"/>
              </w:rPr>
              <w:t>), vynásobený multiplikačným koeficientom (ms)</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366 CRR.</w:t>
            </w:r>
          </w:p>
        </w:tc>
      </w:tr>
      <w:tr w:rsidR="00203C1C" w:rsidRPr="00A3389E"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A3389E" w:rsidRDefault="00305345" w:rsidP="00155C96">
            <w:pPr>
              <w:spacing w:after="240"/>
              <w:jc w:val="center"/>
              <w:rPr>
                <w:rFonts w:ascii="Times New Roman" w:hAnsi="Times New Roman" w:cs="Times New Roman"/>
                <w:b/>
                <w:sz w:val="24"/>
              </w:rPr>
            </w:pPr>
            <w:r w:rsidRPr="00A3389E">
              <w:rPr>
                <w:rFonts w:ascii="Times New Roman" w:hAnsi="Times New Roman" w:cs="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640B63F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IRC</w:t>
            </w:r>
            <w:r w:rsidRPr="00A3389E">
              <w:rPr>
                <w:rFonts w:ascii="Times New Roman" w:hAnsi="Times New Roman" w:cs="Times New Roman"/>
                <w:sz w:val="24"/>
              </w:rPr>
              <w:t xml:space="preserve"> (vyššia spomedzi hodnôt</w:t>
            </w:r>
            <w:r w:rsidR="00A3389E">
              <w:rPr>
                <w:rFonts w:ascii="Times New Roman" w:hAnsi="Times New Roman" w:cs="Times New Roman"/>
                <w:sz w:val="24"/>
              </w:rPr>
              <w:t xml:space="preserve"> a </w:t>
            </w:r>
            <w:r w:rsidRPr="00A3389E">
              <w:rPr>
                <w:rFonts w:ascii="Times New Roman" w:hAnsi="Times New Roman" w:cs="Times New Roman"/>
                <w:sz w:val="24"/>
              </w:rPr>
              <w:t xml:space="preserve">a </w:t>
            </w:r>
            <w:r w:rsidRPr="00A3389E">
              <w:rPr>
                <w:rFonts w:ascii="Times New Roman" w:hAnsi="Times New Roman" w:cs="Times New Roman"/>
                <w:i/>
                <w:sz w:val="24"/>
              </w:rPr>
              <w:t>b</w:t>
            </w:r>
            <w:r w:rsidRPr="00A3389E">
              <w:rPr>
                <w:rFonts w:ascii="Times New Roman" w:hAnsi="Times New Roman" w:cs="Times New Roman"/>
                <w:sz w:val="24"/>
              </w:rPr>
              <w:t>)</w:t>
            </w:r>
          </w:p>
        </w:tc>
      </w:tr>
      <w:tr w:rsidR="00203C1C" w:rsidRPr="00A3389E"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A3389E" w:rsidRDefault="00203C1C" w:rsidP="005F06BF">
            <w:pPr>
              <w:spacing w:after="240"/>
              <w:jc w:val="right"/>
              <w:rPr>
                <w:rFonts w:ascii="Times New Roman" w:hAnsi="Times New Roman" w:cs="Times New Roman"/>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A3389E" w:rsidRDefault="008D4828" w:rsidP="00155C96">
            <w:pPr>
              <w:autoSpaceDE w:val="0"/>
              <w:autoSpaceDN w:val="0"/>
              <w:adjustRightInd w:val="0"/>
              <w:spacing w:after="240"/>
              <w:jc w:val="both"/>
              <w:rPr>
                <w:rFonts w:ascii="Times New Roman" w:hAnsi="Times New Roman" w:cs="Times New Roman"/>
                <w:i/>
                <w:sz w:val="24"/>
              </w:rPr>
            </w:pPr>
            <w:r w:rsidRPr="00A3389E">
              <w:rPr>
                <w:rFonts w:ascii="Times New Roman" w:hAnsi="Times New Roman" w:cs="Times New Roman"/>
                <w:i/>
                <w:sz w:val="24"/>
              </w:rPr>
              <w:t>Najnovšia miera IRC</w:t>
            </w:r>
          </w:p>
          <w:p w14:paraId="43020B50" w14:textId="35DC0DCA" w:rsidR="00203C1C" w:rsidRPr="00A3389E" w:rsidRDefault="00203C1C" w:rsidP="00155C96">
            <w:pPr>
              <w:autoSpaceDE w:val="0"/>
              <w:autoSpaceDN w:val="0"/>
              <w:adjustRightInd w:val="0"/>
              <w:spacing w:after="240"/>
              <w:jc w:val="both"/>
              <w:rPr>
                <w:rFonts w:ascii="Times New Roman" w:hAnsi="Times New Roman" w:cs="Times New Roman"/>
                <w:b/>
                <w:sz w:val="24"/>
              </w:rPr>
            </w:pPr>
            <w:r w:rsidRPr="00A3389E">
              <w:rPr>
                <w:rFonts w:ascii="Times New Roman" w:hAnsi="Times New Roman" w:cs="Times New Roman"/>
                <w:sz w:val="24"/>
              </w:rPr>
              <w:t>Najnovšia hodnota rizika pre inkrementálne riziko zlyhania</w:t>
            </w:r>
            <w:r w:rsidR="00A3389E">
              <w:rPr>
                <w:rFonts w:ascii="Times New Roman" w:hAnsi="Times New Roman" w:cs="Times New Roman"/>
                <w:sz w:val="24"/>
              </w:rPr>
              <w:t xml:space="preserve"> a </w:t>
            </w:r>
            <w:r w:rsidRPr="00A3389E">
              <w:rPr>
                <w:rFonts w:ascii="Times New Roman" w:hAnsi="Times New Roman" w:cs="Times New Roman"/>
                <w:sz w:val="24"/>
              </w:rPr>
              <w:t>riziko migrácie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5 oddielom 3 CRR.</w:t>
            </w:r>
          </w:p>
        </w:tc>
      </w:tr>
      <w:tr w:rsidR="00203C1C" w:rsidRPr="00A3389E"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A3389E" w:rsidRDefault="00203C1C" w:rsidP="005F06BF">
            <w:pPr>
              <w:spacing w:after="240"/>
              <w:jc w:val="right"/>
              <w:rPr>
                <w:rFonts w:ascii="Times New Roman" w:hAnsi="Times New Roman" w:cs="Times New Roman"/>
                <w:sz w:val="24"/>
              </w:rPr>
            </w:pPr>
            <w:r w:rsidRPr="00A3389E">
              <w:rPr>
                <w:rFonts w:ascii="Times New Roman" w:hAnsi="Times New Roman" w:cs="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A3389E" w:rsidRDefault="008D4828" w:rsidP="00155C96">
            <w:pPr>
              <w:autoSpaceDE w:val="0"/>
              <w:autoSpaceDN w:val="0"/>
              <w:adjustRightInd w:val="0"/>
              <w:spacing w:after="240"/>
              <w:jc w:val="both"/>
              <w:rPr>
                <w:rFonts w:ascii="Times New Roman" w:hAnsi="Times New Roman" w:cs="Times New Roman"/>
                <w:i/>
                <w:sz w:val="24"/>
              </w:rPr>
            </w:pPr>
            <w:r w:rsidRPr="00A3389E">
              <w:rPr>
                <w:rFonts w:ascii="Times New Roman" w:hAnsi="Times New Roman" w:cs="Times New Roman"/>
                <w:i/>
                <w:sz w:val="24"/>
              </w:rPr>
              <w:t>Priemerná miera IRC za obdobie 12 týždňov</w:t>
            </w:r>
          </w:p>
          <w:p w14:paraId="680EDF24" w14:textId="50491071" w:rsidR="00203C1C" w:rsidRPr="00A3389E" w:rsidRDefault="00203C1C" w:rsidP="00155C96">
            <w:pPr>
              <w:autoSpaceDE w:val="0"/>
              <w:autoSpaceDN w:val="0"/>
              <w:adjustRightInd w:val="0"/>
              <w:spacing w:after="240"/>
              <w:jc w:val="both"/>
              <w:rPr>
                <w:rFonts w:ascii="Times New Roman" w:hAnsi="Times New Roman" w:cs="Times New Roman"/>
                <w:b/>
                <w:sz w:val="24"/>
              </w:rPr>
            </w:pPr>
            <w:r w:rsidRPr="00A3389E">
              <w:rPr>
                <w:rFonts w:ascii="Times New Roman" w:hAnsi="Times New Roman" w:cs="Times New Roman"/>
                <w:sz w:val="24"/>
              </w:rPr>
              <w:t>Priemer hodnôt rizika pre inkrementálne riziko zlyhania</w:t>
            </w:r>
            <w:r w:rsidR="00A3389E">
              <w:rPr>
                <w:rFonts w:ascii="Times New Roman" w:hAnsi="Times New Roman" w:cs="Times New Roman"/>
                <w:sz w:val="24"/>
              </w:rPr>
              <w:t xml:space="preserve"> a </w:t>
            </w:r>
            <w:r w:rsidRPr="00A3389E">
              <w:rPr>
                <w:rFonts w:ascii="Times New Roman" w:hAnsi="Times New Roman" w:cs="Times New Roman"/>
                <w:sz w:val="24"/>
              </w:rPr>
              <w:t>riziko migrácie vypočítaný</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5 oddielom 3 CRR za predchádzajúcich 12 týždňov.</w:t>
            </w:r>
          </w:p>
        </w:tc>
      </w:tr>
      <w:tr w:rsidR="00203C1C" w:rsidRPr="00A3389E"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A3389E" w:rsidRDefault="00305345" w:rsidP="00155C96">
            <w:pPr>
              <w:spacing w:after="240"/>
              <w:jc w:val="center"/>
              <w:rPr>
                <w:rFonts w:ascii="Times New Roman" w:hAnsi="Times New Roman" w:cs="Times New Roman"/>
                <w:b/>
                <w:sz w:val="24"/>
              </w:rPr>
            </w:pPr>
            <w:r w:rsidRPr="00A3389E">
              <w:rPr>
                <w:rFonts w:ascii="Times New Roman" w:hAnsi="Times New Roman" w:cs="Times New Roman"/>
                <w:b/>
                <w:sz w:val="24"/>
              </w:rPr>
              <w:lastRenderedPageBreak/>
              <w:t>4</w:t>
            </w:r>
          </w:p>
        </w:tc>
        <w:tc>
          <w:tcPr>
            <w:tcW w:w="7242" w:type="dxa"/>
            <w:tcBorders>
              <w:top w:val="single" w:sz="4" w:space="0" w:color="auto"/>
              <w:left w:val="single" w:sz="4" w:space="0" w:color="auto"/>
              <w:bottom w:val="single" w:sz="4" w:space="0" w:color="auto"/>
              <w:right w:val="single" w:sz="4" w:space="0" w:color="auto"/>
            </w:tcBorders>
          </w:tcPr>
          <w:p w14:paraId="45F6E496" w14:textId="4C9600B6"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Miera komplexného rizika</w:t>
            </w:r>
            <w:r w:rsidRPr="00A3389E">
              <w:rPr>
                <w:rFonts w:ascii="Times New Roman" w:hAnsi="Times New Roman" w:cs="Times New Roman"/>
                <w:sz w:val="24"/>
              </w:rPr>
              <w:t xml:space="preserve"> (vyššia spomedzi hodnôt a, b</w:t>
            </w:r>
            <w:r w:rsidR="00A3389E">
              <w:rPr>
                <w:rFonts w:ascii="Times New Roman" w:hAnsi="Times New Roman" w:cs="Times New Roman"/>
                <w:sz w:val="24"/>
              </w:rPr>
              <w:t xml:space="preserve"> a </w:t>
            </w:r>
            <w:r w:rsidRPr="00A3389E">
              <w:rPr>
                <w:rFonts w:ascii="Times New Roman" w:hAnsi="Times New Roman" w:cs="Times New Roman"/>
                <w:sz w:val="24"/>
              </w:rPr>
              <w:t>c)</w:t>
            </w:r>
          </w:p>
        </w:tc>
      </w:tr>
      <w:tr w:rsidR="00203C1C" w:rsidRPr="00A3389E"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A3389E" w:rsidRDefault="00203C1C" w:rsidP="005F06BF">
            <w:pPr>
              <w:spacing w:after="240"/>
              <w:jc w:val="right"/>
              <w:rPr>
                <w:rFonts w:ascii="Times New Roman" w:hAnsi="Times New Roman" w:cs="Times New Roman"/>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A3389E" w:rsidRDefault="00D51CB3" w:rsidP="00155C96">
            <w:pPr>
              <w:autoSpaceDE w:val="0"/>
              <w:autoSpaceDN w:val="0"/>
              <w:adjustRightInd w:val="0"/>
              <w:spacing w:after="240"/>
              <w:jc w:val="both"/>
              <w:rPr>
                <w:rFonts w:ascii="Times New Roman" w:hAnsi="Times New Roman" w:cs="Times New Roman"/>
                <w:i/>
                <w:sz w:val="24"/>
              </w:rPr>
            </w:pPr>
            <w:r w:rsidRPr="00A3389E">
              <w:rPr>
                <w:rFonts w:ascii="Times New Roman" w:hAnsi="Times New Roman" w:cs="Times New Roman"/>
                <w:i/>
                <w:sz w:val="24"/>
              </w:rPr>
              <w:t>Najnovšia miera rizika miery komplexného rizika</w:t>
            </w:r>
          </w:p>
          <w:p w14:paraId="33A8F77F" w14:textId="40104367" w:rsidR="00203C1C" w:rsidRPr="00A3389E" w:rsidRDefault="00203C1C" w:rsidP="00155C96">
            <w:pPr>
              <w:autoSpaceDE w:val="0"/>
              <w:autoSpaceDN w:val="0"/>
              <w:adjustRightInd w:val="0"/>
              <w:spacing w:after="240"/>
              <w:jc w:val="both"/>
              <w:rPr>
                <w:rFonts w:ascii="Times New Roman" w:hAnsi="Times New Roman" w:cs="Times New Roman"/>
                <w:b/>
                <w:sz w:val="24"/>
              </w:rPr>
            </w:pPr>
            <w:r w:rsidRPr="00A3389E">
              <w:rPr>
                <w:rFonts w:ascii="Times New Roman" w:hAnsi="Times New Roman" w:cs="Times New Roman"/>
                <w:sz w:val="24"/>
              </w:rPr>
              <w:t>Najnovšia hodnota rizika pre korelačné obchodné portfólio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5 oddielom 5 CRR.</w:t>
            </w:r>
          </w:p>
        </w:tc>
      </w:tr>
      <w:tr w:rsidR="00203C1C" w:rsidRPr="00A3389E"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A3389E" w:rsidRDefault="00203C1C" w:rsidP="005F06BF">
            <w:pPr>
              <w:spacing w:after="240"/>
              <w:jc w:val="right"/>
              <w:rPr>
                <w:rFonts w:ascii="Times New Roman" w:hAnsi="Times New Roman" w:cs="Times New Roman"/>
                <w:sz w:val="24"/>
              </w:rPr>
            </w:pPr>
            <w:r w:rsidRPr="00A3389E">
              <w:rPr>
                <w:rFonts w:ascii="Times New Roman" w:hAnsi="Times New Roman" w:cs="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A3389E" w:rsidRDefault="00D51CB3" w:rsidP="00155C96">
            <w:pPr>
              <w:spacing w:after="240"/>
              <w:jc w:val="both"/>
              <w:rPr>
                <w:rFonts w:ascii="Times New Roman" w:hAnsi="Times New Roman" w:cs="Times New Roman"/>
                <w:i/>
                <w:sz w:val="24"/>
              </w:rPr>
            </w:pPr>
            <w:r w:rsidRPr="00A3389E">
              <w:rPr>
                <w:rFonts w:ascii="Times New Roman" w:hAnsi="Times New Roman" w:cs="Times New Roman"/>
                <w:i/>
                <w:sz w:val="24"/>
              </w:rPr>
              <w:t>Priemerná miera komplexného rizika za obdobie 12 týždňov</w:t>
            </w:r>
          </w:p>
          <w:p w14:paraId="33D5CC91" w14:textId="70554DD4"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sz w:val="24"/>
              </w:rPr>
              <w:t>Priemer hodnôt rizika pre korelačné obchodné portfólio vypočítaný</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5 oddielom 5 CRR za predchádzajúcich 12 týždňov.</w:t>
            </w:r>
          </w:p>
        </w:tc>
      </w:tr>
      <w:tr w:rsidR="00203C1C" w:rsidRPr="00A3389E"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A3389E" w:rsidRDefault="00203C1C" w:rsidP="005F06BF">
            <w:pPr>
              <w:spacing w:after="240"/>
              <w:jc w:val="right"/>
              <w:rPr>
                <w:rFonts w:ascii="Times New Roman" w:hAnsi="Times New Roman" w:cs="Times New Roman"/>
                <w:b/>
                <w:sz w:val="24"/>
              </w:rPr>
            </w:pPr>
            <w:r w:rsidRPr="00A3389E">
              <w:rPr>
                <w:rFonts w:ascii="Times New Roman" w:hAnsi="Times New Roman" w:cs="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A3389E" w:rsidRDefault="00D51CB3" w:rsidP="00155C96">
            <w:pPr>
              <w:autoSpaceDE w:val="0"/>
              <w:autoSpaceDN w:val="0"/>
              <w:adjustRightInd w:val="0"/>
              <w:spacing w:after="240"/>
              <w:jc w:val="both"/>
              <w:rPr>
                <w:rFonts w:ascii="Times New Roman" w:hAnsi="Times New Roman" w:cs="Times New Roman"/>
                <w:i/>
                <w:sz w:val="24"/>
              </w:rPr>
            </w:pPr>
            <w:r w:rsidRPr="00A3389E">
              <w:rPr>
                <w:rFonts w:ascii="Times New Roman" w:hAnsi="Times New Roman" w:cs="Times New Roman"/>
                <w:i/>
                <w:sz w:val="24"/>
              </w:rPr>
              <w:t>Miera komplexného rizika – dolné ohraničenie</w:t>
            </w:r>
          </w:p>
          <w:p w14:paraId="4A95667F" w14:textId="7FAC06C1" w:rsidR="00203C1C" w:rsidRPr="00A3389E" w:rsidRDefault="00203C1C" w:rsidP="00155C96">
            <w:pPr>
              <w:autoSpaceDE w:val="0"/>
              <w:autoSpaceDN w:val="0"/>
              <w:adjustRightInd w:val="0"/>
              <w:spacing w:after="240"/>
              <w:jc w:val="both"/>
              <w:rPr>
                <w:rFonts w:ascii="Times New Roman" w:hAnsi="Times New Roman" w:cs="Times New Roman"/>
                <w:b/>
                <w:sz w:val="24"/>
              </w:rPr>
            </w:pPr>
            <w:r w:rsidRPr="00A3389E">
              <w:rPr>
                <w:rFonts w:ascii="Times New Roman" w:hAnsi="Times New Roman" w:cs="Times New Roman"/>
                <w:sz w:val="24"/>
              </w:rPr>
              <w:t>8</w:t>
            </w:r>
            <w:r w:rsidR="00A3389E">
              <w:rPr>
                <w:rFonts w:ascii="Times New Roman" w:hAnsi="Times New Roman" w:cs="Times New Roman"/>
                <w:sz w:val="24"/>
              </w:rPr>
              <w:t> % z </w:t>
            </w:r>
            <w:r w:rsidRPr="00A3389E">
              <w:rPr>
                <w:rFonts w:ascii="Times New Roman" w:hAnsi="Times New Roman" w:cs="Times New Roman"/>
                <w:sz w:val="24"/>
              </w:rPr>
              <w:t>požiadavky na vlastné zdroje, ktorá by sa</w:t>
            </w:r>
            <w:r w:rsidR="00A3389E">
              <w:rPr>
                <w:rFonts w:ascii="Times New Roman" w:hAnsi="Times New Roman" w:cs="Times New Roman"/>
                <w:sz w:val="24"/>
              </w:rPr>
              <w:t xml:space="preserve"> v </w:t>
            </w:r>
            <w:r w:rsidRPr="00A3389E">
              <w:rPr>
                <w:rFonts w:ascii="Times New Roman" w:hAnsi="Times New Roman" w:cs="Times New Roman"/>
                <w:sz w:val="24"/>
              </w:rPr>
              <w:t>čase výpočtu najnovšej hodnoty rizika uvedenej</w:t>
            </w:r>
            <w:r w:rsidR="00A3389E">
              <w:rPr>
                <w:rFonts w:ascii="Times New Roman" w:hAnsi="Times New Roman" w:cs="Times New Roman"/>
                <w:sz w:val="24"/>
              </w:rPr>
              <w:t xml:space="preserve"> v </w:t>
            </w:r>
            <w:r w:rsidRPr="00A3389E">
              <w:rPr>
                <w:rFonts w:ascii="Times New Roman" w:hAnsi="Times New Roman" w:cs="Times New Roman"/>
                <w:sz w:val="24"/>
              </w:rPr>
              <w:t>riadku a) tohto vzoru vypočítala podľa článku 338 ods. 4 CRR pre všetky pozície, ktoré sú zahrnuté do interného modelu pre korelačné obchodné portfólio.</w:t>
            </w:r>
          </w:p>
        </w:tc>
      </w:tr>
      <w:tr w:rsidR="00203C1C" w:rsidRPr="00A3389E"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A3389E" w:rsidRDefault="00305345" w:rsidP="00155C96">
            <w:pPr>
              <w:spacing w:after="240"/>
              <w:jc w:val="center"/>
              <w:rPr>
                <w:rFonts w:ascii="Times New Roman" w:hAnsi="Times New Roman" w:cs="Times New Roman"/>
                <w:b/>
                <w:sz w:val="24"/>
              </w:rPr>
            </w:pPr>
            <w:r w:rsidRPr="00A3389E">
              <w:rPr>
                <w:rFonts w:ascii="Times New Roman" w:hAnsi="Times New Roman" w:cs="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A3389E" w:rsidRDefault="00203C1C" w:rsidP="00155C96">
            <w:pPr>
              <w:autoSpaceDE w:val="0"/>
              <w:autoSpaceDN w:val="0"/>
              <w:adjustRightInd w:val="0"/>
              <w:spacing w:after="240"/>
              <w:jc w:val="both"/>
              <w:rPr>
                <w:rFonts w:ascii="Times New Roman" w:hAnsi="Times New Roman" w:cs="Times New Roman"/>
                <w:b/>
                <w:sz w:val="24"/>
              </w:rPr>
            </w:pPr>
            <w:r w:rsidRPr="00A3389E">
              <w:rPr>
                <w:rFonts w:ascii="Times New Roman" w:hAnsi="Times New Roman" w:cs="Times New Roman"/>
                <w:b/>
                <w:sz w:val="24"/>
              </w:rPr>
              <w:t>Iné</w:t>
            </w:r>
          </w:p>
          <w:p w14:paraId="6505B9DC" w14:textId="77777777" w:rsidR="00203C1C" w:rsidRPr="00A3389E" w:rsidRDefault="00203C1C" w:rsidP="00155C96">
            <w:pPr>
              <w:autoSpaceDE w:val="0"/>
              <w:autoSpaceDN w:val="0"/>
              <w:adjustRightInd w:val="0"/>
              <w:spacing w:after="240"/>
              <w:jc w:val="both"/>
              <w:rPr>
                <w:rFonts w:ascii="Times New Roman" w:hAnsi="Times New Roman" w:cs="Times New Roman"/>
                <w:sz w:val="24"/>
              </w:rPr>
            </w:pPr>
            <w:r w:rsidRPr="00A3389E">
              <w:rPr>
                <w:rFonts w:ascii="Times New Roman" w:hAnsi="Times New Roman" w:cs="Times New Roman"/>
                <w:sz w:val="24"/>
              </w:rPr>
              <w:t>Položka „iné“ sa vzťahuje na dodatočné vlastné zdroje požadované orgánmi dohľadu pri inštitúciách, ktoré používajú prístup interného modelu pre trhové riziko (napr. dodatočný kapitál podľa článku 101 smernice 2013/36/EÚ).</w:t>
            </w:r>
          </w:p>
        </w:tc>
      </w:tr>
      <w:tr w:rsidR="00203C1C" w:rsidRPr="00A3389E"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A3389E" w:rsidRDefault="00305345" w:rsidP="00155C96">
            <w:pPr>
              <w:spacing w:after="240"/>
              <w:jc w:val="center"/>
              <w:rPr>
                <w:rFonts w:ascii="Times New Roman" w:hAnsi="Times New Roman" w:cs="Times New Roman"/>
                <w:b/>
                <w:sz w:val="24"/>
              </w:rPr>
            </w:pPr>
            <w:r w:rsidRPr="00A3389E">
              <w:rPr>
                <w:rFonts w:ascii="Times New Roman" w:hAnsi="Times New Roman" w:cs="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A3389E" w:rsidRDefault="00203C1C" w:rsidP="00155C96">
            <w:pPr>
              <w:autoSpaceDE w:val="0"/>
              <w:autoSpaceDN w:val="0"/>
              <w:adjustRightInd w:val="0"/>
              <w:spacing w:after="240"/>
              <w:jc w:val="both"/>
              <w:rPr>
                <w:rFonts w:ascii="Times New Roman" w:hAnsi="Times New Roman" w:cs="Times New Roman"/>
                <w:sz w:val="24"/>
              </w:rPr>
            </w:pPr>
            <w:r w:rsidRPr="00A3389E">
              <w:rPr>
                <w:rFonts w:ascii="Times New Roman" w:hAnsi="Times New Roman" w:cs="Times New Roman"/>
                <w:b/>
                <w:sz w:val="24"/>
              </w:rPr>
              <w:t>Spolu</w:t>
            </w:r>
            <w:r w:rsidRPr="00A3389E">
              <w:rPr>
                <w:rFonts w:ascii="Times New Roman" w:hAnsi="Times New Roman" w:cs="Times New Roman"/>
                <w:sz w:val="24"/>
              </w:rPr>
              <w:t xml:space="preserve"> (1 + 2 + 3 + 4 + 5)</w:t>
            </w:r>
          </w:p>
        </w:tc>
      </w:tr>
      <w:tr w:rsidR="00203C1C" w:rsidRPr="00A3389E"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Písmeno stĺpca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A3389E" w:rsidRDefault="00203C1C" w:rsidP="00155C96">
            <w:pPr>
              <w:spacing w:after="240"/>
              <w:jc w:val="center"/>
              <w:rPr>
                <w:rFonts w:ascii="Times New Roman" w:hAnsi="Times New Roman" w:cs="Times New Roman"/>
                <w:b/>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RWEA</w:t>
            </w:r>
          </w:p>
          <w:p w14:paraId="7AA133AC" w14:textId="4DC56828"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sz w:val="24"/>
              </w:rPr>
              <w:t>Zverejňovanie rizikovo vážených expozícií uvedených</w:t>
            </w:r>
            <w:r w:rsidR="00A3389E">
              <w:rPr>
                <w:rFonts w:ascii="Times New Roman" w:hAnsi="Times New Roman" w:cs="Times New Roman"/>
                <w:sz w:val="24"/>
              </w:rPr>
              <w:t xml:space="preserve"> v </w:t>
            </w:r>
            <w:r w:rsidRPr="00A3389E">
              <w:rPr>
                <w:rFonts w:ascii="Times New Roman" w:hAnsi="Times New Roman" w:cs="Times New Roman"/>
                <w:sz w:val="24"/>
              </w:rPr>
              <w:t>článku 438 písm. d) CRR, ktoré sa vypočítavajú ako hodnota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b</w:t>
            </w:r>
            <w:r w:rsidRPr="00A3389E">
              <w:rPr>
                <w:rFonts w:ascii="Times New Roman" w:hAnsi="Times New Roman" w:cs="Times New Roman"/>
                <w:sz w:val="24"/>
              </w:rPr>
              <w:t xml:space="preserve"> vynásobená koeficientom 12,5</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ods. 4 písm. b) CRR.</w:t>
            </w:r>
          </w:p>
        </w:tc>
      </w:tr>
      <w:tr w:rsidR="00203C1C" w:rsidRPr="00A3389E"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A3389E" w:rsidRDefault="00203C1C" w:rsidP="00155C96">
            <w:pPr>
              <w:spacing w:after="240"/>
              <w:jc w:val="center"/>
              <w:rPr>
                <w:rFonts w:ascii="Times New Roman" w:hAnsi="Times New Roman" w:cs="Times New Roman"/>
                <w:b/>
                <w:sz w:val="24"/>
              </w:rPr>
            </w:pPr>
            <w:r w:rsidRPr="00A3389E">
              <w:rPr>
                <w:rFonts w:ascii="Times New Roman" w:hAnsi="Times New Roman" w:cs="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A3389E" w:rsidRDefault="00596AB8" w:rsidP="00155C96">
            <w:pPr>
              <w:spacing w:after="240"/>
              <w:jc w:val="both"/>
              <w:rPr>
                <w:rFonts w:ascii="Times New Roman" w:eastAsia="Times New Roman" w:hAnsi="Times New Roman" w:cs="Times New Roman"/>
                <w:b/>
                <w:sz w:val="24"/>
              </w:rPr>
            </w:pPr>
            <w:r w:rsidRPr="00A3389E">
              <w:rPr>
                <w:rFonts w:ascii="Times New Roman" w:hAnsi="Times New Roman" w:cs="Times New Roman"/>
                <w:b/>
                <w:sz w:val="24"/>
              </w:rPr>
              <w:t>Požiadavky na vlastné zdroje</w:t>
            </w:r>
          </w:p>
          <w:p w14:paraId="7B42FEEB" w14:textId="57742554" w:rsidR="00203C1C" w:rsidRPr="00C76D85" w:rsidRDefault="00203C1C" w:rsidP="00155C96">
            <w:pPr>
              <w:spacing w:after="240"/>
              <w:jc w:val="both"/>
              <w:rPr>
                <w:rFonts w:ascii="Times New Roman" w:hAnsi="Times New Roman" w:cs="Times New Roman"/>
                <w:b/>
                <w:spacing w:val="-4"/>
                <w:sz w:val="24"/>
              </w:rPr>
            </w:pPr>
            <w:r w:rsidRPr="00C76D85">
              <w:rPr>
                <w:rFonts w:ascii="Times New Roman" w:hAnsi="Times New Roman" w:cs="Times New Roman"/>
                <w:spacing w:val="-4"/>
                <w:sz w:val="24"/>
              </w:rPr>
              <w:t>Požiadavky na vlastné zdroje pre trhové riziko stanovené</w:t>
            </w:r>
            <w:r w:rsidR="00A3389E" w:rsidRPr="00C76D85">
              <w:rPr>
                <w:rFonts w:ascii="Times New Roman" w:hAnsi="Times New Roman" w:cs="Times New Roman"/>
                <w:spacing w:val="-4"/>
                <w:sz w:val="24"/>
              </w:rPr>
              <w:t xml:space="preserve"> v </w:t>
            </w:r>
            <w:r w:rsidRPr="00C76D85">
              <w:rPr>
                <w:rFonts w:ascii="Times New Roman" w:hAnsi="Times New Roman" w:cs="Times New Roman"/>
                <w:spacing w:val="-4"/>
                <w:sz w:val="24"/>
              </w:rPr>
              <w:t>tretej časti hlave IV kapitole 5 CRR</w:t>
            </w:r>
            <w:r w:rsidR="00A3389E" w:rsidRPr="00C76D85">
              <w:rPr>
                <w:rFonts w:ascii="Times New Roman" w:hAnsi="Times New Roman" w:cs="Times New Roman"/>
                <w:spacing w:val="-4"/>
                <w:sz w:val="24"/>
              </w:rPr>
              <w:t xml:space="preserve"> v </w:t>
            </w:r>
            <w:r w:rsidRPr="00C76D85">
              <w:rPr>
                <w:rFonts w:ascii="Times New Roman" w:hAnsi="Times New Roman" w:cs="Times New Roman"/>
                <w:spacing w:val="-4"/>
                <w:sz w:val="24"/>
              </w:rPr>
              <w:t>súlade</w:t>
            </w:r>
            <w:r w:rsidR="00A3389E" w:rsidRPr="00C76D85">
              <w:rPr>
                <w:rFonts w:ascii="Times New Roman" w:hAnsi="Times New Roman" w:cs="Times New Roman"/>
                <w:spacing w:val="-4"/>
                <w:sz w:val="24"/>
              </w:rPr>
              <w:t xml:space="preserve"> s </w:t>
            </w:r>
            <w:r w:rsidRPr="00C76D85">
              <w:rPr>
                <w:rFonts w:ascii="Times New Roman" w:hAnsi="Times New Roman" w:cs="Times New Roman"/>
                <w:spacing w:val="-4"/>
                <w:sz w:val="24"/>
              </w:rPr>
              <w:t>pokynmi</w:t>
            </w:r>
            <w:r w:rsidR="00A3389E" w:rsidRPr="00C76D85">
              <w:rPr>
                <w:rFonts w:ascii="Times New Roman" w:hAnsi="Times New Roman" w:cs="Times New Roman"/>
                <w:spacing w:val="-4"/>
                <w:sz w:val="24"/>
              </w:rPr>
              <w:t xml:space="preserve"> v </w:t>
            </w:r>
            <w:r w:rsidRPr="00C76D85">
              <w:rPr>
                <w:rFonts w:ascii="Times New Roman" w:hAnsi="Times New Roman" w:cs="Times New Roman"/>
                <w:spacing w:val="-4"/>
                <w:sz w:val="24"/>
              </w:rPr>
              <w:t>riadkoch 1 až 4 uvedených vyššie.</w:t>
            </w:r>
          </w:p>
        </w:tc>
      </w:tr>
    </w:tbl>
    <w:p w14:paraId="5FDCA595" w14:textId="77777777" w:rsidR="00203C1C" w:rsidRPr="00A3389E" w:rsidRDefault="00203C1C" w:rsidP="00203C1C">
      <w:pPr>
        <w:pStyle w:val="Titlelevel2"/>
        <w:spacing w:before="0"/>
        <w:rPr>
          <w:rFonts w:ascii="Times New Roman" w:hAnsi="Times New Roman" w:cs="Times New Roman"/>
          <w:b/>
          <w:color w:val="auto"/>
          <w:sz w:val="24"/>
        </w:rPr>
      </w:pPr>
    </w:p>
    <w:p w14:paraId="2EC9361F" w14:textId="3E68FDF9" w:rsidR="00203C1C" w:rsidRPr="00A3389E" w:rsidRDefault="00203C1C" w:rsidP="00203C1C">
      <w:pPr>
        <w:pStyle w:val="Titlelevel2"/>
        <w:spacing w:before="0"/>
        <w:rPr>
          <w:rFonts w:ascii="Times New Roman" w:hAnsi="Times New Roman" w:cs="Times New Roman"/>
          <w:color w:val="auto"/>
          <w:sz w:val="24"/>
        </w:rPr>
      </w:pPr>
      <w:r w:rsidRPr="00A3389E">
        <w:rPr>
          <w:rFonts w:ascii="Times New Roman" w:hAnsi="Times New Roman" w:cs="Times New Roman"/>
          <w:b/>
          <w:color w:val="auto"/>
          <w:sz w:val="24"/>
        </w:rPr>
        <w:t>Vzor EU MR2-B – Výkazy peňažných tokov RWEA expozícií voči trhovému riziku</w:t>
      </w:r>
      <w:r w:rsidR="00A3389E">
        <w:rPr>
          <w:rFonts w:ascii="Times New Roman" w:hAnsi="Times New Roman" w:cs="Times New Roman"/>
          <w:b/>
          <w:color w:val="auto"/>
          <w:sz w:val="24"/>
        </w:rPr>
        <w:t xml:space="preserve"> v </w:t>
      </w:r>
      <w:r w:rsidRPr="00A3389E">
        <w:rPr>
          <w:rFonts w:ascii="Times New Roman" w:hAnsi="Times New Roman" w:cs="Times New Roman"/>
          <w:b/>
          <w:color w:val="auto"/>
          <w:sz w:val="24"/>
        </w:rPr>
        <w:t>rámci prístupu IMA:</w:t>
      </w:r>
      <w:r w:rsidRPr="00A3389E">
        <w:rPr>
          <w:rFonts w:ascii="Times New Roman" w:hAnsi="Times New Roman" w:cs="Times New Roman"/>
          <w:color w:val="auto"/>
          <w:sz w:val="24"/>
        </w:rPr>
        <w:t xml:space="preserve"> pevný formát</w:t>
      </w:r>
    </w:p>
    <w:p w14:paraId="441C8DDF" w14:textId="568168D6" w:rsidR="00A3389E" w:rsidRPr="00A3389E" w:rsidRDefault="00A3389E" w:rsidP="00A3389E">
      <w:pPr>
        <w:pStyle w:val="Titlelevel2"/>
        <w:spacing w:before="0"/>
        <w:ind w:left="1066" w:hanging="357"/>
        <w:jc w:val="both"/>
        <w:rPr>
          <w:rFonts w:ascii="Times New Roman" w:hAnsi="Times New Roman" w:cs="Times New Roman"/>
          <w:bCs w:val="0"/>
          <w:color w:val="000000"/>
          <w:sz w:val="24"/>
        </w:rPr>
      </w:pPr>
      <w:r w:rsidRPr="00A3389E">
        <w:rPr>
          <w:rFonts w:ascii="Times New Roman" w:hAnsi="Times New Roman" w:cs="Times New Roman"/>
          <w:bCs w:val="0"/>
          <w:color w:val="auto"/>
          <w:sz w:val="22"/>
          <w:szCs w:val="22"/>
        </w:rPr>
        <w:lastRenderedPageBreak/>
        <w:t>6.</w:t>
      </w:r>
      <w:r w:rsidRPr="00A3389E">
        <w:rPr>
          <w:rFonts w:ascii="Times New Roman" w:hAnsi="Times New Roman" w:cs="Times New Roman"/>
          <w:bCs w:val="0"/>
          <w:color w:val="auto"/>
          <w:sz w:val="22"/>
          <w:szCs w:val="22"/>
        </w:rPr>
        <w:tab/>
      </w:r>
      <w:r w:rsidR="00203C1C"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článku 438 písm. h) CRR podľa pokynov uvedených nižšie</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203C1C" w:rsidRPr="00A3389E">
        <w:rPr>
          <w:rFonts w:ascii="Times New Roman" w:hAnsi="Times New Roman" w:cs="Times New Roman"/>
          <w:bCs w:val="0"/>
          <w:color w:val="000000"/>
          <w:sz w:val="24"/>
        </w:rPr>
        <w:t>cieľom vyplniť vzor EU MR2-B, ktorý je uvedený</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prílohe XXIX</w:t>
      </w:r>
      <w:r>
        <w:rPr>
          <w:rFonts w:ascii="Times New Roman" w:hAnsi="Times New Roman" w:cs="Times New Roman"/>
          <w:bCs w:val="0"/>
          <w:color w:val="000000"/>
          <w:sz w:val="24"/>
        </w:rPr>
        <w:t xml:space="preserve"> k </w:t>
      </w:r>
      <w:r w:rsidR="00203C1C" w:rsidRPr="00A3389E">
        <w:rPr>
          <w:rFonts w:ascii="Times New Roman" w:hAnsi="Times New Roman" w:cs="Times New Roman"/>
          <w:bCs w:val="0"/>
          <w:color w:val="000000"/>
          <w:sz w:val="24"/>
        </w:rPr>
        <w:t>tomuto vykonávaciemu nariadeniu</w:t>
      </w:r>
      <w:r w:rsidRPr="00A3389E">
        <w:rPr>
          <w:rFonts w:ascii="Times New Roman" w:hAnsi="Times New Roman" w:cs="Times New Roman"/>
          <w:bCs w:val="0"/>
          <w:color w:val="000000"/>
          <w:sz w:val="24"/>
        </w:rPr>
        <w:t>.</w:t>
      </w:r>
    </w:p>
    <w:p w14:paraId="1BA0C5CF" w14:textId="50524713" w:rsidR="00203C1C" w:rsidRPr="00A3389E" w:rsidRDefault="00A3389E" w:rsidP="00A3389E">
      <w:pPr>
        <w:pStyle w:val="Titlelevel2"/>
        <w:spacing w:before="0"/>
        <w:ind w:left="107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2"/>
          <w:szCs w:val="22"/>
        </w:rPr>
        <w:t>7.</w:t>
      </w:r>
      <w:r w:rsidRPr="00A3389E">
        <w:rPr>
          <w:rFonts w:ascii="Times New Roman" w:eastAsiaTheme="minorEastAsia" w:hAnsi="Times New Roman" w:cs="Times New Roman"/>
          <w:bCs w:val="0"/>
          <w:color w:val="auto"/>
          <w:sz w:val="22"/>
          <w:szCs w:val="22"/>
        </w:rPr>
        <w:tab/>
      </w:r>
      <w:r w:rsidR="00203C1C" w:rsidRPr="00A3389E">
        <w:rPr>
          <w:rFonts w:ascii="Times New Roman" w:hAnsi="Times New Roman" w:cs="Times New Roman"/>
          <w:color w:val="auto"/>
          <w:sz w:val="24"/>
        </w:rPr>
        <w:t>Inštitúcie zverejňujú peňažné toky RWEA ako zmeny medzi hodnotami rizikovo vážených expozícií ku koncu referenčného obdobia zverejňovania informácií (ako sa uvádza nižšie</w:t>
      </w:r>
      <w:r>
        <w:rPr>
          <w:rFonts w:ascii="Times New Roman" w:hAnsi="Times New Roman" w:cs="Times New Roman"/>
          <w:color w:val="auto"/>
          <w:sz w:val="24"/>
        </w:rPr>
        <w:t xml:space="preserve"> v </w:t>
      </w:r>
      <w:r w:rsidR="00203C1C" w:rsidRPr="00A3389E">
        <w:rPr>
          <w:rFonts w:ascii="Times New Roman" w:hAnsi="Times New Roman" w:cs="Times New Roman"/>
          <w:color w:val="auto"/>
          <w:sz w:val="24"/>
        </w:rPr>
        <w:t>riadku 8)</w:t>
      </w:r>
      <w:r>
        <w:rPr>
          <w:rFonts w:ascii="Times New Roman" w:hAnsi="Times New Roman" w:cs="Times New Roman"/>
          <w:color w:val="auto"/>
          <w:sz w:val="24"/>
        </w:rPr>
        <w:t xml:space="preserve"> a </w:t>
      </w:r>
      <w:r w:rsidR="00203C1C" w:rsidRPr="00A3389E">
        <w:rPr>
          <w:rFonts w:ascii="Times New Roman" w:hAnsi="Times New Roman" w:cs="Times New Roman"/>
          <w:color w:val="auto"/>
          <w:sz w:val="24"/>
        </w:rPr>
        <w:t>hodnotami rizikovo vážených expozícií ku koncu predchádzajúceho referenčného obdobia zverejňovania informácií (ako sa uvádza nižšie</w:t>
      </w:r>
      <w:r>
        <w:rPr>
          <w:rFonts w:ascii="Times New Roman" w:hAnsi="Times New Roman" w:cs="Times New Roman"/>
          <w:color w:val="auto"/>
          <w:sz w:val="24"/>
        </w:rPr>
        <w:t xml:space="preserve"> v </w:t>
      </w:r>
      <w:r w:rsidR="00203C1C" w:rsidRPr="00A3389E">
        <w:rPr>
          <w:rFonts w:ascii="Times New Roman" w:hAnsi="Times New Roman" w:cs="Times New Roman"/>
          <w:color w:val="auto"/>
          <w:sz w:val="24"/>
        </w:rPr>
        <w:t>riadku 1;</w:t>
      </w:r>
      <w:r>
        <w:rPr>
          <w:rFonts w:ascii="Times New Roman" w:hAnsi="Times New Roman" w:cs="Times New Roman"/>
          <w:bCs w:val="0"/>
          <w:color w:val="auto"/>
          <w:sz w:val="24"/>
        </w:rPr>
        <w:t xml:space="preserve"> v </w:t>
      </w:r>
      <w:r w:rsidR="00203C1C" w:rsidRPr="00A3389E">
        <w:rPr>
          <w:rFonts w:ascii="Times New Roman" w:hAnsi="Times New Roman" w:cs="Times New Roman"/>
          <w:bCs w:val="0"/>
          <w:color w:val="auto"/>
          <w:sz w:val="24"/>
        </w:rPr>
        <w:t>prípade štvrťročného zverejňovania informácií je to koniec štvrťroka pred štvrťrokom referenčného obdobia zverejňovania informácií). Inštitúcie môžu svoje zverejnenia</w:t>
      </w:r>
      <w:r>
        <w:rPr>
          <w:rFonts w:ascii="Times New Roman" w:hAnsi="Times New Roman" w:cs="Times New Roman"/>
          <w:bCs w:val="0"/>
          <w:color w:val="auto"/>
          <w:sz w:val="24"/>
        </w:rPr>
        <w:t xml:space="preserve"> v </w:t>
      </w:r>
      <w:r w:rsidR="00203C1C" w:rsidRPr="00A3389E">
        <w:rPr>
          <w:rFonts w:ascii="Times New Roman" w:hAnsi="Times New Roman" w:cs="Times New Roman"/>
          <w:bCs w:val="0"/>
          <w:color w:val="auto"/>
          <w:sz w:val="24"/>
        </w:rPr>
        <w:t>rámci piliera 3 doplniť zverejnením rovnakých informácií za tri predchádzajúce štvrťroky.</w:t>
      </w:r>
    </w:p>
    <w:p w14:paraId="01D16541" w14:textId="370A2680" w:rsidR="00203C1C" w:rsidRPr="00A3389E" w:rsidRDefault="00A3389E" w:rsidP="00A3389E">
      <w:pPr>
        <w:pStyle w:val="Titlelevel2"/>
        <w:spacing w:before="0"/>
        <w:ind w:left="107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2"/>
          <w:szCs w:val="22"/>
        </w:rPr>
        <w:t>8.</w:t>
      </w:r>
      <w:r w:rsidRPr="00A3389E">
        <w:rPr>
          <w:rFonts w:ascii="Times New Roman" w:eastAsiaTheme="minorEastAsia" w:hAnsi="Times New Roman" w:cs="Times New Roman"/>
          <w:bCs w:val="0"/>
          <w:color w:val="auto"/>
          <w:sz w:val="22"/>
          <w:szCs w:val="22"/>
        </w:rPr>
        <w:tab/>
      </w:r>
      <w:r w:rsidR="00203C1C" w:rsidRPr="00A3389E">
        <w:rPr>
          <w:rFonts w:ascii="Times New Roman" w:hAnsi="Times New Roman" w:cs="Times New Roman"/>
          <w:color w:val="auto"/>
          <w:sz w:val="24"/>
        </w:rPr>
        <w:t>Inštitúcie</w:t>
      </w:r>
      <w:r>
        <w:rPr>
          <w:rFonts w:ascii="Times New Roman" w:hAnsi="Times New Roman" w:cs="Times New Roman"/>
          <w:color w:val="auto"/>
          <w:sz w:val="24"/>
        </w:rPr>
        <w:t xml:space="preserve"> v </w:t>
      </w:r>
      <w:r w:rsidR="00203C1C" w:rsidRPr="00A3389E">
        <w:rPr>
          <w:rFonts w:ascii="Times New Roman" w:hAnsi="Times New Roman" w:cs="Times New Roman"/>
          <w:color w:val="auto"/>
          <w:sz w:val="24"/>
        </w:rPr>
        <w:t>sprievodnom opise</w:t>
      </w:r>
      <w:r>
        <w:rPr>
          <w:rFonts w:ascii="Times New Roman" w:hAnsi="Times New Roman" w:cs="Times New Roman"/>
          <w:color w:val="auto"/>
          <w:sz w:val="24"/>
        </w:rPr>
        <w:t xml:space="preserve"> k </w:t>
      </w:r>
      <w:r w:rsidR="00203C1C" w:rsidRPr="00A3389E">
        <w:rPr>
          <w:rFonts w:ascii="Times New Roman" w:hAnsi="Times New Roman" w:cs="Times New Roman"/>
          <w:color w:val="auto"/>
          <w:sz w:val="24"/>
        </w:rPr>
        <w:t>danému vzoru vysvetľujú číselné údaje zverejnené</w:t>
      </w:r>
      <w:r>
        <w:rPr>
          <w:rFonts w:ascii="Times New Roman" w:hAnsi="Times New Roman" w:cs="Times New Roman"/>
          <w:color w:val="auto"/>
          <w:sz w:val="24"/>
        </w:rPr>
        <w:t xml:space="preserve"> v </w:t>
      </w:r>
      <w:r w:rsidR="00203C1C" w:rsidRPr="00A3389E">
        <w:rPr>
          <w:rFonts w:ascii="Times New Roman" w:hAnsi="Times New Roman" w:cs="Times New Roman"/>
          <w:color w:val="auto"/>
          <w:sz w:val="24"/>
        </w:rPr>
        <w:t>riadku 8 tohto vzoru, t. j. akékoľvek iné faktory, ktoré významne prispievajú</w:t>
      </w:r>
      <w:r>
        <w:rPr>
          <w:rFonts w:ascii="Times New Roman" w:hAnsi="Times New Roman" w:cs="Times New Roman"/>
          <w:color w:val="auto"/>
          <w:sz w:val="24"/>
        </w:rPr>
        <w:t xml:space="preserve"> k </w:t>
      </w:r>
      <w:r w:rsidR="00203C1C" w:rsidRPr="00A3389E">
        <w:rPr>
          <w:rFonts w:ascii="Times New Roman" w:hAnsi="Times New Roman" w:cs="Times New Roman"/>
          <w:color w:val="auto"/>
          <w:sz w:val="24"/>
        </w:rPr>
        <w:t>zmenám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7064"/>
      </w:tblGrid>
      <w:tr w:rsidR="00203C1C" w:rsidRPr="00A3389E"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0FAEECC5"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203C1C" w:rsidRPr="00A3389E"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79571341" w14:textId="77777777" w:rsidTr="00C76D85">
        <w:trPr>
          <w:trHeight w:val="1797"/>
        </w:trPr>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A3389E" w:rsidRDefault="00203C1C" w:rsidP="00350FB6">
            <w:pPr>
              <w:spacing w:after="240"/>
              <w:jc w:val="center"/>
              <w:rPr>
                <w:rFonts w:ascii="Times New Roman" w:hAnsi="Times New Roman" w:cs="Times New Roman"/>
                <w:b/>
                <w:sz w:val="24"/>
              </w:rPr>
            </w:pPr>
            <w:r w:rsidRPr="00A3389E">
              <w:rPr>
                <w:rFonts w:ascii="Times New Roman" w:hAnsi="Times New Roman" w:cs="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RWEA ku koncu predchádzajúceho obdobia</w:t>
            </w:r>
          </w:p>
          <w:p w14:paraId="17BE4483" w14:textId="4A344D37" w:rsidR="00203C1C" w:rsidRPr="00C76D85" w:rsidRDefault="00203C1C" w:rsidP="00C76D85">
            <w:pPr>
              <w:spacing w:after="120"/>
              <w:jc w:val="both"/>
              <w:rPr>
                <w:rFonts w:ascii="Times New Roman" w:hAnsi="Times New Roman" w:cs="Times New Roman"/>
                <w:b/>
                <w:spacing w:val="-8"/>
                <w:sz w:val="24"/>
              </w:rPr>
            </w:pPr>
            <w:r w:rsidRPr="00C76D85">
              <w:rPr>
                <w:rFonts w:ascii="Times New Roman" w:hAnsi="Times New Roman" w:cs="Times New Roman"/>
                <w:spacing w:val="-8"/>
                <w:sz w:val="24"/>
              </w:rPr>
              <w:t>Hodnoty rizikovo vážených expozícií na konci predchádzajúceho obdobia odvodené od súčtu požiadaviek na vlastné zdroje</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súlade</w:t>
            </w:r>
            <w:r w:rsidR="00A3389E" w:rsidRPr="00C76D85">
              <w:rPr>
                <w:rFonts w:ascii="Times New Roman" w:hAnsi="Times New Roman" w:cs="Times New Roman"/>
                <w:spacing w:val="-8"/>
                <w:sz w:val="24"/>
              </w:rPr>
              <w:t xml:space="preserve"> s </w:t>
            </w:r>
            <w:r w:rsidRPr="00C76D85">
              <w:rPr>
                <w:rFonts w:ascii="Times New Roman" w:hAnsi="Times New Roman" w:cs="Times New Roman"/>
                <w:spacing w:val="-8"/>
                <w:sz w:val="24"/>
              </w:rPr>
              <w:t>článkom 364 CRR</w:t>
            </w:r>
            <w:r w:rsidR="00A3389E" w:rsidRPr="00C76D85">
              <w:rPr>
                <w:rFonts w:ascii="Times New Roman" w:hAnsi="Times New Roman" w:cs="Times New Roman"/>
                <w:spacing w:val="-8"/>
                <w:sz w:val="24"/>
              </w:rPr>
              <w:t xml:space="preserve"> s </w:t>
            </w:r>
            <w:r w:rsidRPr="00C76D85">
              <w:rPr>
                <w:rFonts w:ascii="Times New Roman" w:hAnsi="Times New Roman" w:cs="Times New Roman"/>
                <w:spacing w:val="-8"/>
                <w:sz w:val="24"/>
              </w:rPr>
              <w:t>výnimkou článku 364 ods. 2 písm. a) CRR</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akýchkoľvek dodatočných vlastných zdrojov požadovaných orgánmi dohľadu pri inštitúciách, ktoré používajú prístup interného modelu pre trhové riziko, ktorý je vynásobený koeficientom 12,5</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súlade</w:t>
            </w:r>
            <w:r w:rsidR="00A3389E" w:rsidRPr="00C76D85">
              <w:rPr>
                <w:rFonts w:ascii="Times New Roman" w:hAnsi="Times New Roman" w:cs="Times New Roman"/>
                <w:spacing w:val="-8"/>
                <w:sz w:val="24"/>
              </w:rPr>
              <w:t xml:space="preserve"> s </w:t>
            </w:r>
            <w:r w:rsidRPr="00C76D85">
              <w:rPr>
                <w:rFonts w:ascii="Times New Roman" w:hAnsi="Times New Roman" w:cs="Times New Roman"/>
                <w:spacing w:val="-8"/>
                <w:sz w:val="24"/>
              </w:rPr>
              <w:t>článkom 92 ods. 4 písm. b) CRR.</w:t>
            </w:r>
          </w:p>
        </w:tc>
      </w:tr>
      <w:tr w:rsidR="00203C1C" w:rsidRPr="00A3389E"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A3389E" w:rsidRDefault="00203C1C" w:rsidP="00350FB6">
            <w:pPr>
              <w:spacing w:after="240"/>
              <w:jc w:val="center"/>
              <w:rPr>
                <w:rFonts w:ascii="Times New Roman" w:hAnsi="Times New Roman" w:cs="Times New Roman"/>
                <w:b/>
                <w:sz w:val="24"/>
              </w:rPr>
            </w:pPr>
            <w:r w:rsidRPr="00A3389E">
              <w:rPr>
                <w:rFonts w:ascii="Times New Roman" w:hAnsi="Times New Roman" w:cs="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4D84B02E" w:rsidR="00203C1C" w:rsidRPr="00A3389E" w:rsidRDefault="00203C1C" w:rsidP="00155C96">
            <w:pPr>
              <w:autoSpaceDE w:val="0"/>
              <w:autoSpaceDN w:val="0"/>
              <w:adjustRightInd w:val="0"/>
              <w:spacing w:after="240"/>
              <w:jc w:val="both"/>
              <w:rPr>
                <w:rFonts w:ascii="Times New Roman" w:hAnsi="Times New Roman" w:cs="Times New Roman"/>
                <w:color w:val="000000"/>
                <w:sz w:val="24"/>
              </w:rPr>
            </w:pPr>
            <w:r w:rsidRPr="00A3389E">
              <w:rPr>
                <w:rFonts w:ascii="Times New Roman" w:hAnsi="Times New Roman" w:cs="Times New Roman"/>
                <w:i/>
                <w:iCs/>
                <w:color w:val="000000"/>
                <w:sz w:val="24"/>
              </w:rPr>
              <w:t>Pohyb</w:t>
            </w:r>
            <w:r w:rsidR="00A3389E">
              <w:rPr>
                <w:rFonts w:ascii="Times New Roman" w:hAnsi="Times New Roman" w:cs="Times New Roman"/>
                <w:i/>
                <w:iCs/>
                <w:color w:val="000000"/>
                <w:sz w:val="24"/>
              </w:rPr>
              <w:t xml:space="preserve"> v </w:t>
            </w:r>
            <w:r w:rsidRPr="00A3389E">
              <w:rPr>
                <w:rFonts w:ascii="Times New Roman" w:hAnsi="Times New Roman" w:cs="Times New Roman"/>
                <w:i/>
                <w:iCs/>
                <w:color w:val="000000"/>
                <w:sz w:val="24"/>
              </w:rPr>
              <w:t>úrovniach rizika</w:t>
            </w:r>
          </w:p>
          <w:p w14:paraId="39890C40" w14:textId="3DD76646" w:rsidR="00203C1C" w:rsidRPr="00A3389E" w:rsidRDefault="00203C1C" w:rsidP="00C76D85">
            <w:pPr>
              <w:spacing w:after="120"/>
              <w:jc w:val="both"/>
              <w:rPr>
                <w:rFonts w:ascii="Times New Roman" w:hAnsi="Times New Roman" w:cs="Times New Roman"/>
                <w:b/>
                <w:sz w:val="24"/>
              </w:rPr>
            </w:pPr>
            <w:r w:rsidRPr="00A3389E">
              <w:rPr>
                <w:rFonts w:ascii="Times New Roman" w:hAnsi="Times New Roman" w:cs="Times New Roman"/>
                <w:color w:val="000000"/>
                <w:sz w:val="24"/>
              </w:rPr>
              <w:t>Zmeny</w:t>
            </w:r>
            <w:r w:rsidR="00A3389E">
              <w:rPr>
                <w:rFonts w:ascii="Times New Roman" w:hAnsi="Times New Roman" w:cs="Times New Roman"/>
                <w:color w:val="000000"/>
                <w:sz w:val="24"/>
              </w:rPr>
              <w:t xml:space="preserve"> v </w:t>
            </w:r>
            <w:r w:rsidRPr="00A3389E">
              <w:rPr>
                <w:rFonts w:ascii="Times New Roman" w:hAnsi="Times New Roman" w:cs="Times New Roman"/>
                <w:color w:val="000000"/>
                <w:sz w:val="24"/>
              </w:rPr>
              <w:t>dôsledku zmien pozícií iné ako zmeny</w:t>
            </w:r>
            <w:r w:rsidR="00A3389E">
              <w:rPr>
                <w:rFonts w:ascii="Times New Roman" w:hAnsi="Times New Roman" w:cs="Times New Roman"/>
                <w:color w:val="000000"/>
                <w:sz w:val="24"/>
              </w:rPr>
              <w:t xml:space="preserve"> v </w:t>
            </w:r>
            <w:r w:rsidRPr="00A3389E">
              <w:rPr>
                <w:rFonts w:ascii="Times New Roman" w:hAnsi="Times New Roman" w:cs="Times New Roman"/>
                <w:color w:val="000000"/>
                <w:sz w:val="24"/>
              </w:rPr>
              <w:t>dôsledku zmien regulačnej politiky.</w:t>
            </w:r>
          </w:p>
        </w:tc>
      </w:tr>
      <w:tr w:rsidR="00203C1C" w:rsidRPr="00A3389E"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A3389E" w:rsidRDefault="00203C1C" w:rsidP="00350FB6">
            <w:pPr>
              <w:spacing w:after="240"/>
              <w:jc w:val="center"/>
              <w:rPr>
                <w:rFonts w:ascii="Times New Roman" w:hAnsi="Times New Roman" w:cs="Times New Roman"/>
                <w:b/>
                <w:sz w:val="24"/>
              </w:rPr>
            </w:pPr>
            <w:r w:rsidRPr="00A3389E">
              <w:rPr>
                <w:rFonts w:ascii="Times New Roman" w:hAnsi="Times New Roman" w:cs="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A3389E" w:rsidRDefault="00203C1C" w:rsidP="00155C96">
            <w:pPr>
              <w:spacing w:after="240"/>
              <w:rPr>
                <w:rFonts w:ascii="Times New Roman" w:hAnsi="Times New Roman" w:cs="Times New Roman"/>
                <w:i/>
                <w:iCs/>
                <w:color w:val="000000"/>
                <w:sz w:val="24"/>
              </w:rPr>
            </w:pPr>
            <w:r w:rsidRPr="00A3389E">
              <w:rPr>
                <w:rFonts w:ascii="Times New Roman" w:hAnsi="Times New Roman" w:cs="Times New Roman"/>
                <w:i/>
                <w:iCs/>
                <w:color w:val="000000"/>
                <w:sz w:val="24"/>
              </w:rPr>
              <w:t>Zmeny modelov</w:t>
            </w:r>
          </w:p>
          <w:p w14:paraId="5C808E27" w14:textId="17D4BAA5" w:rsidR="00203C1C" w:rsidRPr="00A3389E" w:rsidRDefault="00203C1C" w:rsidP="00C76D85">
            <w:pPr>
              <w:spacing w:after="120"/>
              <w:jc w:val="both"/>
              <w:rPr>
                <w:rFonts w:ascii="Times New Roman" w:hAnsi="Times New Roman" w:cs="Times New Roman"/>
                <w:b/>
                <w:sz w:val="24"/>
              </w:rPr>
            </w:pPr>
            <w:r w:rsidRPr="00A3389E">
              <w:rPr>
                <w:rFonts w:ascii="Times New Roman" w:hAnsi="Times New Roman" w:cs="Times New Roman"/>
                <w:color w:val="000000"/>
                <w:sz w:val="24"/>
              </w:rPr>
              <w:t>Významné aktualizácie modelu</w:t>
            </w:r>
            <w:r w:rsidR="00A3389E">
              <w:rPr>
                <w:rFonts w:ascii="Times New Roman" w:hAnsi="Times New Roman" w:cs="Times New Roman"/>
                <w:color w:val="000000"/>
                <w:sz w:val="24"/>
              </w:rPr>
              <w:t xml:space="preserve"> s </w:t>
            </w:r>
            <w:r w:rsidRPr="00A3389E">
              <w:rPr>
                <w:rFonts w:ascii="Times New Roman" w:hAnsi="Times New Roman" w:cs="Times New Roman"/>
                <w:color w:val="000000"/>
                <w:sz w:val="24"/>
              </w:rPr>
              <w:t>cieľom zohľadniť nedávne skúsenosti (napr. opätovná kalibrácia), ako aj významné zmeny</w:t>
            </w:r>
            <w:r w:rsidR="00A3389E">
              <w:rPr>
                <w:rFonts w:ascii="Times New Roman" w:hAnsi="Times New Roman" w:cs="Times New Roman"/>
                <w:color w:val="000000"/>
                <w:sz w:val="24"/>
              </w:rPr>
              <w:t xml:space="preserve"> v </w:t>
            </w:r>
            <w:r w:rsidRPr="00A3389E">
              <w:rPr>
                <w:rFonts w:ascii="Times New Roman" w:hAnsi="Times New Roman" w:cs="Times New Roman"/>
                <w:color w:val="000000"/>
                <w:sz w:val="24"/>
              </w:rPr>
              <w:t>rozsahu modelu. Ak sa vykonala viac ako jedna aktualizácia modelu, môžu byť potrebné ďalšie riadky.</w:t>
            </w:r>
          </w:p>
        </w:tc>
      </w:tr>
      <w:tr w:rsidR="00203C1C" w:rsidRPr="00A3389E"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A3389E" w:rsidRDefault="00203C1C" w:rsidP="00350FB6">
            <w:pPr>
              <w:spacing w:after="240"/>
              <w:jc w:val="center"/>
              <w:rPr>
                <w:rFonts w:ascii="Times New Roman" w:hAnsi="Times New Roman" w:cs="Times New Roman"/>
                <w:b/>
                <w:sz w:val="24"/>
              </w:rPr>
            </w:pPr>
            <w:r w:rsidRPr="00A3389E">
              <w:rPr>
                <w:rFonts w:ascii="Times New Roman" w:hAnsi="Times New Roman" w:cs="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658DE0F1" w:rsidR="00203C1C" w:rsidRPr="00A3389E" w:rsidRDefault="00203C1C" w:rsidP="00155C96">
            <w:pPr>
              <w:pStyle w:val="Default"/>
              <w:spacing w:after="240"/>
              <w:jc w:val="both"/>
              <w:rPr>
                <w:rFonts w:ascii="Times New Roman" w:hAnsi="Times New Roman" w:cs="Times New Roman"/>
              </w:rPr>
            </w:pPr>
            <w:r w:rsidRPr="00A3389E">
              <w:rPr>
                <w:rFonts w:ascii="Times New Roman" w:hAnsi="Times New Roman" w:cs="Times New Roman"/>
                <w:i/>
                <w:iCs/>
              </w:rPr>
              <w:t>Metodika</w:t>
            </w:r>
            <w:r w:rsidR="00A3389E">
              <w:rPr>
                <w:rFonts w:ascii="Times New Roman" w:hAnsi="Times New Roman" w:cs="Times New Roman"/>
                <w:i/>
                <w:iCs/>
              </w:rPr>
              <w:t xml:space="preserve"> a </w:t>
            </w:r>
            <w:r w:rsidRPr="00A3389E">
              <w:rPr>
                <w:rFonts w:ascii="Times New Roman" w:hAnsi="Times New Roman" w:cs="Times New Roman"/>
                <w:i/>
                <w:iCs/>
              </w:rPr>
              <w:t>politika</w:t>
            </w:r>
          </w:p>
          <w:p w14:paraId="4601C250" w14:textId="137CEC88" w:rsidR="00203C1C" w:rsidRPr="00A3389E" w:rsidRDefault="00203C1C" w:rsidP="00C76D85">
            <w:pPr>
              <w:pStyle w:val="Default"/>
              <w:autoSpaceDE/>
              <w:autoSpaceDN/>
              <w:adjustRightInd/>
              <w:spacing w:after="120"/>
              <w:jc w:val="both"/>
              <w:rPr>
                <w:rFonts w:ascii="Times New Roman" w:hAnsi="Times New Roman" w:cs="Times New Roman"/>
                <w:b/>
              </w:rPr>
            </w:pPr>
            <w:r w:rsidRPr="00A3389E">
              <w:rPr>
                <w:rFonts w:ascii="Times New Roman" w:hAnsi="Times New Roman" w:cs="Times New Roman"/>
              </w:rPr>
              <w:t>Zmeny metodiky výpočtov</w:t>
            </w:r>
            <w:r w:rsidR="00A3389E">
              <w:rPr>
                <w:rFonts w:ascii="Times New Roman" w:hAnsi="Times New Roman" w:cs="Times New Roman"/>
              </w:rPr>
              <w:t xml:space="preserve"> v </w:t>
            </w:r>
            <w:r w:rsidRPr="00A3389E">
              <w:rPr>
                <w:rFonts w:ascii="Times New Roman" w:hAnsi="Times New Roman" w:cs="Times New Roman"/>
              </w:rPr>
              <w:t>dôsledku zmien regulačnej politiky.</w:t>
            </w:r>
          </w:p>
        </w:tc>
      </w:tr>
      <w:tr w:rsidR="00203C1C" w:rsidRPr="00A3389E"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A3389E" w:rsidRDefault="00203C1C" w:rsidP="00350FB6">
            <w:pPr>
              <w:spacing w:after="240"/>
              <w:jc w:val="center"/>
              <w:rPr>
                <w:rFonts w:ascii="Times New Roman" w:hAnsi="Times New Roman" w:cs="Times New Roman"/>
                <w:b/>
                <w:sz w:val="24"/>
              </w:rPr>
            </w:pPr>
            <w:r w:rsidRPr="00A3389E">
              <w:rPr>
                <w:rFonts w:ascii="Times New Roman" w:hAnsi="Times New Roman" w:cs="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5FDDB4C0" w:rsidR="00203C1C" w:rsidRPr="00A3389E" w:rsidRDefault="00203C1C" w:rsidP="00155C96">
            <w:pPr>
              <w:pStyle w:val="Default"/>
              <w:spacing w:after="240"/>
              <w:jc w:val="both"/>
              <w:rPr>
                <w:rFonts w:ascii="Times New Roman" w:hAnsi="Times New Roman" w:cs="Times New Roman"/>
              </w:rPr>
            </w:pPr>
            <w:r w:rsidRPr="00A3389E">
              <w:rPr>
                <w:rFonts w:ascii="Times New Roman" w:hAnsi="Times New Roman" w:cs="Times New Roman"/>
                <w:i/>
                <w:iCs/>
              </w:rPr>
              <w:t>Nadobudnutia</w:t>
            </w:r>
            <w:r w:rsidR="00A3389E">
              <w:rPr>
                <w:rFonts w:ascii="Times New Roman" w:hAnsi="Times New Roman" w:cs="Times New Roman"/>
                <w:i/>
                <w:iCs/>
              </w:rPr>
              <w:t xml:space="preserve"> a </w:t>
            </w:r>
            <w:r w:rsidRPr="00A3389E">
              <w:rPr>
                <w:rFonts w:ascii="Times New Roman" w:hAnsi="Times New Roman" w:cs="Times New Roman"/>
                <w:i/>
                <w:iCs/>
              </w:rPr>
              <w:t>odpredaje</w:t>
            </w:r>
          </w:p>
          <w:p w14:paraId="70D2C9BB" w14:textId="7C118D89" w:rsidR="00203C1C" w:rsidRPr="00A3389E" w:rsidRDefault="00203C1C" w:rsidP="00C76D85">
            <w:pPr>
              <w:pStyle w:val="Default"/>
              <w:autoSpaceDE/>
              <w:autoSpaceDN/>
              <w:adjustRightInd/>
              <w:spacing w:after="120"/>
              <w:jc w:val="both"/>
              <w:rPr>
                <w:rFonts w:ascii="Times New Roman" w:hAnsi="Times New Roman" w:cs="Times New Roman"/>
              </w:rPr>
            </w:pPr>
            <w:r w:rsidRPr="00A3389E">
              <w:rPr>
                <w:rFonts w:ascii="Times New Roman" w:hAnsi="Times New Roman" w:cs="Times New Roman"/>
              </w:rPr>
              <w:lastRenderedPageBreak/>
              <w:t>Modifikácie</w:t>
            </w:r>
            <w:r w:rsidR="00A3389E">
              <w:rPr>
                <w:rFonts w:ascii="Times New Roman" w:hAnsi="Times New Roman" w:cs="Times New Roman"/>
              </w:rPr>
              <w:t xml:space="preserve"> v </w:t>
            </w:r>
            <w:r w:rsidRPr="00A3389E">
              <w:rPr>
                <w:rFonts w:ascii="Times New Roman" w:hAnsi="Times New Roman" w:cs="Times New Roman"/>
              </w:rPr>
              <w:t>dôsledku nadobudnutia alebo odpredaja podniku/sortimentov alebo subjektov.</w:t>
            </w:r>
          </w:p>
        </w:tc>
      </w:tr>
      <w:tr w:rsidR="00203C1C" w:rsidRPr="00A3389E"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A3389E" w:rsidRDefault="00203C1C" w:rsidP="00350FB6">
            <w:pPr>
              <w:spacing w:after="240"/>
              <w:jc w:val="center"/>
              <w:rPr>
                <w:rFonts w:ascii="Times New Roman" w:hAnsi="Times New Roman" w:cs="Times New Roman"/>
                <w:b/>
                <w:sz w:val="24"/>
              </w:rPr>
            </w:pPr>
            <w:r w:rsidRPr="00A3389E">
              <w:rPr>
                <w:rFonts w:ascii="Times New Roman" w:hAnsi="Times New Roman" w:cs="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A3389E" w:rsidRDefault="00203C1C" w:rsidP="00155C96">
            <w:pPr>
              <w:pStyle w:val="Default"/>
              <w:spacing w:after="240"/>
              <w:jc w:val="both"/>
              <w:rPr>
                <w:rFonts w:ascii="Times New Roman" w:hAnsi="Times New Roman" w:cs="Times New Roman"/>
              </w:rPr>
            </w:pPr>
            <w:r w:rsidRPr="00A3389E">
              <w:rPr>
                <w:rFonts w:ascii="Times New Roman" w:hAnsi="Times New Roman" w:cs="Times New Roman"/>
                <w:i/>
                <w:iCs/>
              </w:rPr>
              <w:t>Pohyby výmenných kurzov</w:t>
            </w:r>
          </w:p>
          <w:p w14:paraId="6B59EAA1" w14:textId="1BE0A951" w:rsidR="00203C1C" w:rsidRPr="00A3389E" w:rsidRDefault="00203C1C" w:rsidP="00C76D85">
            <w:pPr>
              <w:pStyle w:val="Default"/>
              <w:autoSpaceDE/>
              <w:autoSpaceDN/>
              <w:adjustRightInd/>
              <w:spacing w:after="120"/>
              <w:jc w:val="both"/>
              <w:rPr>
                <w:rFonts w:ascii="Times New Roman" w:hAnsi="Times New Roman" w:cs="Times New Roman"/>
              </w:rPr>
            </w:pPr>
            <w:r w:rsidRPr="00A3389E">
              <w:rPr>
                <w:rFonts w:ascii="Times New Roman" w:hAnsi="Times New Roman" w:cs="Times New Roman"/>
              </w:rPr>
              <w:t>Zmeny vyplývajúce</w:t>
            </w:r>
            <w:r w:rsidR="00A3389E">
              <w:rPr>
                <w:rFonts w:ascii="Times New Roman" w:hAnsi="Times New Roman" w:cs="Times New Roman"/>
              </w:rPr>
              <w:t xml:space="preserve"> z </w:t>
            </w:r>
            <w:r w:rsidRPr="00A3389E">
              <w:rPr>
                <w:rFonts w:ascii="Times New Roman" w:hAnsi="Times New Roman" w:cs="Times New Roman"/>
              </w:rPr>
              <w:t>pohybov</w:t>
            </w:r>
            <w:r w:rsidR="00A3389E">
              <w:rPr>
                <w:rFonts w:ascii="Times New Roman" w:hAnsi="Times New Roman" w:cs="Times New Roman"/>
              </w:rPr>
              <w:t xml:space="preserve"> v </w:t>
            </w:r>
            <w:r w:rsidRPr="00A3389E">
              <w:rPr>
                <w:rFonts w:ascii="Times New Roman" w:hAnsi="Times New Roman" w:cs="Times New Roman"/>
              </w:rPr>
              <w:t>prepočte cudzích mien.</w:t>
            </w:r>
          </w:p>
        </w:tc>
      </w:tr>
      <w:tr w:rsidR="00203C1C" w:rsidRPr="00A3389E"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A3389E" w:rsidRDefault="00203C1C" w:rsidP="00350FB6">
            <w:pPr>
              <w:spacing w:after="240"/>
              <w:jc w:val="center"/>
              <w:rPr>
                <w:rFonts w:ascii="Times New Roman" w:hAnsi="Times New Roman" w:cs="Times New Roman"/>
                <w:b/>
                <w:sz w:val="24"/>
              </w:rPr>
            </w:pPr>
            <w:r w:rsidRPr="00A3389E">
              <w:rPr>
                <w:rFonts w:ascii="Times New Roman" w:hAnsi="Times New Roman" w:cs="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i/>
                <w:iCs/>
                <w:sz w:val="24"/>
              </w:rPr>
              <w:t>Iné</w:t>
            </w:r>
          </w:p>
          <w:p w14:paraId="54C3644D" w14:textId="076636FE" w:rsidR="00203C1C" w:rsidRPr="00A3389E" w:rsidRDefault="00203C1C" w:rsidP="00C76D85">
            <w:pPr>
              <w:spacing w:after="120"/>
              <w:jc w:val="both"/>
              <w:rPr>
                <w:rFonts w:ascii="Times New Roman" w:hAnsi="Times New Roman" w:cs="Times New Roman"/>
                <w:b/>
                <w:sz w:val="24"/>
              </w:rPr>
            </w:pPr>
            <w:r w:rsidRPr="00A3389E">
              <w:rPr>
                <w:rFonts w:ascii="Times New Roman" w:hAnsi="Times New Roman" w:cs="Times New Roman"/>
                <w:sz w:val="24"/>
              </w:rPr>
              <w:t>Táto kategória sa používa na zachytenie zmien, ktoré nemožno priradiť</w:t>
            </w:r>
            <w:r w:rsidR="00A3389E">
              <w:rPr>
                <w:rFonts w:ascii="Times New Roman" w:hAnsi="Times New Roman" w:cs="Times New Roman"/>
                <w:sz w:val="24"/>
              </w:rPr>
              <w:t xml:space="preserve"> k </w:t>
            </w:r>
            <w:r w:rsidRPr="00A3389E">
              <w:rPr>
                <w:rFonts w:ascii="Times New Roman" w:hAnsi="Times New Roman" w:cs="Times New Roman"/>
                <w:sz w:val="24"/>
              </w:rPr>
              <w:t>žiadnej kategórii faktorov uvedených</w:t>
            </w:r>
            <w:r w:rsidR="00A3389E">
              <w:rPr>
                <w:rFonts w:ascii="Times New Roman" w:hAnsi="Times New Roman" w:cs="Times New Roman"/>
                <w:sz w:val="24"/>
              </w:rPr>
              <w:t xml:space="preserve"> v </w:t>
            </w:r>
            <w:r w:rsidRPr="00A3389E">
              <w:rPr>
                <w:rFonts w:ascii="Times New Roman" w:hAnsi="Times New Roman" w:cs="Times New Roman"/>
                <w:sz w:val="24"/>
              </w:rPr>
              <w:t>riadkoch 2 až 6 tohto vzoru, pričom vysvetlenia týkajúce sa faktorov týchto zmien sa musia uviesť</w:t>
            </w:r>
            <w:r w:rsidR="00A3389E">
              <w:rPr>
                <w:rFonts w:ascii="Times New Roman" w:hAnsi="Times New Roman" w:cs="Times New Roman"/>
                <w:sz w:val="24"/>
              </w:rPr>
              <w:t xml:space="preserve"> v </w:t>
            </w:r>
            <w:r w:rsidRPr="00A3389E">
              <w:rPr>
                <w:rFonts w:ascii="Times New Roman" w:hAnsi="Times New Roman" w:cs="Times New Roman"/>
                <w:sz w:val="24"/>
              </w:rPr>
              <w:t xml:space="preserve">sprievodnom opise. </w:t>
            </w:r>
          </w:p>
        </w:tc>
      </w:tr>
      <w:tr w:rsidR="00203C1C" w:rsidRPr="00A3389E"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A3389E" w:rsidRDefault="00203C1C" w:rsidP="00350FB6">
            <w:pPr>
              <w:spacing w:after="240"/>
              <w:jc w:val="center"/>
              <w:rPr>
                <w:rFonts w:ascii="Times New Roman" w:hAnsi="Times New Roman" w:cs="Times New Roman"/>
                <w:b/>
                <w:i/>
                <w:sz w:val="24"/>
              </w:rPr>
            </w:pPr>
            <w:r w:rsidRPr="00A3389E">
              <w:rPr>
                <w:rFonts w:ascii="Times New Roman" w:hAnsi="Times New Roman" w:cs="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RWEA ku koncu obdobia zverejňovania informácií</w:t>
            </w:r>
          </w:p>
          <w:p w14:paraId="12A5EFE7" w14:textId="1F39ED4B" w:rsidR="00203C1C" w:rsidRPr="00C76D85" w:rsidRDefault="00203C1C" w:rsidP="00155C96">
            <w:pPr>
              <w:spacing w:after="240"/>
              <w:jc w:val="both"/>
              <w:rPr>
                <w:rFonts w:ascii="Times New Roman" w:hAnsi="Times New Roman" w:cs="Times New Roman"/>
                <w:b/>
                <w:spacing w:val="-4"/>
                <w:sz w:val="24"/>
              </w:rPr>
            </w:pPr>
            <w:r w:rsidRPr="00C76D85">
              <w:rPr>
                <w:rFonts w:ascii="Times New Roman" w:hAnsi="Times New Roman" w:cs="Times New Roman"/>
                <w:spacing w:val="-4"/>
                <w:sz w:val="24"/>
              </w:rPr>
              <w:t>Hodnoty rizikovo vážených expozícií na konci obdobia odvodené od súčtu požiadaviek na vlastné zdroje</w:t>
            </w:r>
            <w:r w:rsidR="00A3389E" w:rsidRPr="00C76D85">
              <w:rPr>
                <w:rFonts w:ascii="Times New Roman" w:hAnsi="Times New Roman" w:cs="Times New Roman"/>
                <w:spacing w:val="-4"/>
                <w:sz w:val="24"/>
              </w:rPr>
              <w:t xml:space="preserve"> v </w:t>
            </w:r>
            <w:r w:rsidRPr="00C76D85">
              <w:rPr>
                <w:rFonts w:ascii="Times New Roman" w:hAnsi="Times New Roman" w:cs="Times New Roman"/>
                <w:spacing w:val="-4"/>
                <w:sz w:val="24"/>
              </w:rPr>
              <w:t>súlade</w:t>
            </w:r>
            <w:r w:rsidR="00A3389E" w:rsidRPr="00C76D85">
              <w:rPr>
                <w:rFonts w:ascii="Times New Roman" w:hAnsi="Times New Roman" w:cs="Times New Roman"/>
                <w:spacing w:val="-4"/>
                <w:sz w:val="24"/>
              </w:rPr>
              <w:t xml:space="preserve"> s </w:t>
            </w:r>
            <w:r w:rsidRPr="00C76D85">
              <w:rPr>
                <w:rFonts w:ascii="Times New Roman" w:hAnsi="Times New Roman" w:cs="Times New Roman"/>
                <w:spacing w:val="-4"/>
                <w:sz w:val="24"/>
              </w:rPr>
              <w:t>článkom 364 CRR</w:t>
            </w:r>
            <w:r w:rsidR="00A3389E" w:rsidRPr="00C76D85">
              <w:rPr>
                <w:rFonts w:ascii="Times New Roman" w:hAnsi="Times New Roman" w:cs="Times New Roman"/>
                <w:spacing w:val="-4"/>
                <w:sz w:val="24"/>
              </w:rPr>
              <w:t xml:space="preserve"> s </w:t>
            </w:r>
            <w:r w:rsidRPr="00C76D85">
              <w:rPr>
                <w:rFonts w:ascii="Times New Roman" w:hAnsi="Times New Roman" w:cs="Times New Roman"/>
                <w:spacing w:val="-4"/>
                <w:sz w:val="24"/>
              </w:rPr>
              <w:t>výnimkou článku 364 ods. 2 písm. a) CRR, ako aj akýchkoľvek dodatočných vlastných zdrojov požadovaných orgánmi dohľadu pri inštitúciách, ktoré používajú prístup interného modelu pre trhové riziko, ktorý je vynásobený koeficientom 12,5</w:t>
            </w:r>
            <w:r w:rsidR="00A3389E" w:rsidRPr="00C76D85">
              <w:rPr>
                <w:rFonts w:ascii="Times New Roman" w:hAnsi="Times New Roman" w:cs="Times New Roman"/>
                <w:spacing w:val="-4"/>
                <w:sz w:val="24"/>
              </w:rPr>
              <w:t xml:space="preserve"> v </w:t>
            </w:r>
            <w:r w:rsidRPr="00C76D85">
              <w:rPr>
                <w:rFonts w:ascii="Times New Roman" w:hAnsi="Times New Roman" w:cs="Times New Roman"/>
                <w:spacing w:val="-4"/>
                <w:sz w:val="24"/>
              </w:rPr>
              <w:t>súlade</w:t>
            </w:r>
            <w:r w:rsidR="00A3389E" w:rsidRPr="00C76D85">
              <w:rPr>
                <w:rFonts w:ascii="Times New Roman" w:hAnsi="Times New Roman" w:cs="Times New Roman"/>
                <w:spacing w:val="-4"/>
                <w:sz w:val="24"/>
              </w:rPr>
              <w:t xml:space="preserve"> s </w:t>
            </w:r>
            <w:r w:rsidRPr="00C76D85">
              <w:rPr>
                <w:rFonts w:ascii="Times New Roman" w:hAnsi="Times New Roman" w:cs="Times New Roman"/>
                <w:spacing w:val="-4"/>
                <w:sz w:val="24"/>
              </w:rPr>
              <w:t>článkom 92 ods. 4 písm. b) CRR.</w:t>
            </w:r>
          </w:p>
        </w:tc>
      </w:tr>
      <w:tr w:rsidR="00203C1C" w:rsidRPr="00A3389E"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A3389E" w:rsidRDefault="00203C1C" w:rsidP="00350FB6">
            <w:pPr>
              <w:spacing w:after="240"/>
              <w:jc w:val="center"/>
              <w:rPr>
                <w:rFonts w:ascii="Times New Roman" w:hAnsi="Times New Roman" w:cs="Times New Roman"/>
                <w:sz w:val="24"/>
              </w:rPr>
            </w:pPr>
            <w:r w:rsidRPr="00A3389E">
              <w:rPr>
                <w:rFonts w:ascii="Times New Roman" w:hAnsi="Times New Roman" w:cs="Times New Roman"/>
                <w:sz w:val="24"/>
              </w:rPr>
              <w:t>1a/1b/8a/8b</w:t>
            </w:r>
          </w:p>
        </w:tc>
        <w:tc>
          <w:tcPr>
            <w:tcW w:w="7242" w:type="dxa"/>
            <w:tcBorders>
              <w:top w:val="single" w:sz="4" w:space="0" w:color="auto"/>
              <w:left w:val="single" w:sz="4" w:space="0" w:color="auto"/>
              <w:bottom w:val="single" w:sz="4" w:space="0" w:color="auto"/>
              <w:right w:val="single" w:sz="4" w:space="0" w:color="auto"/>
            </w:tcBorders>
          </w:tcPr>
          <w:p w14:paraId="456AC99A" w14:textId="654081F4" w:rsidR="00203C1C" w:rsidRPr="00C76D85" w:rsidRDefault="00203C1C" w:rsidP="00155C96">
            <w:pPr>
              <w:spacing w:after="240"/>
              <w:jc w:val="both"/>
              <w:rPr>
                <w:rFonts w:ascii="Times New Roman" w:hAnsi="Times New Roman" w:cs="Times New Roman"/>
                <w:spacing w:val="-8"/>
                <w:sz w:val="24"/>
              </w:rPr>
            </w:pPr>
            <w:r w:rsidRPr="00C76D85">
              <w:rPr>
                <w:rFonts w:ascii="Times New Roman" w:hAnsi="Times New Roman" w:cs="Times New Roman"/>
                <w:spacing w:val="-8"/>
                <w:sz w:val="24"/>
              </w:rPr>
              <w:t>Riadky 1a/1b</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8a/8b tohto vzoru sa používajú, keď požiadavka na RWEA/vlastné zdroje pre ktorýkoľvek zo stĺpcov</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až d tohto vzoru predstavuje 60-dňový priemer (v prípade VaR</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SVaR) alebo 12-týždňovú priemernú mieru alebo minimálnu mieru (pre IRC</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meranie komplexného rizika),</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nie požiadavku na RWEA/vlastné zdroje na konci obdobia (predchádzajúceho obdobia alebo obdobia zverejňovania informácií)</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súlade</w:t>
            </w:r>
            <w:r w:rsidR="00A3389E" w:rsidRPr="00C76D85">
              <w:rPr>
                <w:rFonts w:ascii="Times New Roman" w:hAnsi="Times New Roman" w:cs="Times New Roman"/>
                <w:spacing w:val="-8"/>
                <w:sz w:val="24"/>
              </w:rPr>
              <w:t xml:space="preserve"> s </w:t>
            </w:r>
            <w:r w:rsidRPr="00C76D85">
              <w:rPr>
                <w:rFonts w:ascii="Times New Roman" w:hAnsi="Times New Roman" w:cs="Times New Roman"/>
                <w:spacing w:val="-8"/>
                <w:sz w:val="24"/>
              </w:rPr>
              <w:t>článkom 364 ods. 1 písm. a) bodom i), článkom 364 ods. 1 písm. b) bodom i), článkom 364 ods. 2 písm. b) bodom i)</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článkom 364 ods. 3 písm. a) CRR. Hodnota</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dodatočných riadkoch 1a</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8b je rozdielom medzi konečnou odvodenou RWEA na základe priemerných mier, ako sa zverejňuje</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riadku 1, resp.</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riadku 8 tohto vzoru,</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RWEA na základe mier odvodených priamo</w:t>
            </w:r>
            <w:r w:rsidR="00A3389E" w:rsidRPr="00C76D85">
              <w:rPr>
                <w:rFonts w:ascii="Times New Roman" w:hAnsi="Times New Roman" w:cs="Times New Roman"/>
                <w:spacing w:val="-8"/>
                <w:sz w:val="24"/>
              </w:rPr>
              <w:t xml:space="preserve"> z </w:t>
            </w:r>
            <w:r w:rsidRPr="00C76D85">
              <w:rPr>
                <w:rFonts w:ascii="Times New Roman" w:hAnsi="Times New Roman" w:cs="Times New Roman"/>
                <w:spacing w:val="-8"/>
                <w:sz w:val="24"/>
              </w:rPr>
              <w:t>modelov</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riadkoch 1b/8a tohto vzoru.</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týchto prípadoch sa ďalšími riadkami pre regulačnú úpravu (1a</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8b tohto vzoru) zabezpečuje, aby inštitúcia mohla uvádzať zdroj zmien</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požiadavke na RWEA/vlastné zdroje na základe posledného merania požiadavky na RWEA/vlastné zdroje na konci obdobia (predchádzajúceho obdobia alebo obdobia zverejňovania informácií)</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riadkoch 1b</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8a tohto vzoru.</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tomto prípade sa</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riadkoch 2, 3, 4, 5, 6, 7 tohto vzoru zosúlaďuje hodnota uvedená</w:t>
            </w:r>
            <w:r w:rsidR="00A3389E" w:rsidRPr="00C76D85">
              <w:rPr>
                <w:rFonts w:ascii="Times New Roman" w:hAnsi="Times New Roman" w:cs="Times New Roman"/>
                <w:spacing w:val="-8"/>
                <w:sz w:val="24"/>
              </w:rPr>
              <w:t xml:space="preserve"> v </w:t>
            </w:r>
            <w:r w:rsidRPr="00C76D85">
              <w:rPr>
                <w:rFonts w:ascii="Times New Roman" w:hAnsi="Times New Roman" w:cs="Times New Roman"/>
                <w:spacing w:val="-8"/>
                <w:sz w:val="24"/>
              </w:rPr>
              <w:t>riadku 1b</w:t>
            </w:r>
            <w:r w:rsidR="00A3389E" w:rsidRPr="00C76D85">
              <w:rPr>
                <w:rFonts w:ascii="Times New Roman" w:hAnsi="Times New Roman" w:cs="Times New Roman"/>
                <w:spacing w:val="-8"/>
                <w:sz w:val="24"/>
              </w:rPr>
              <w:t xml:space="preserve"> a </w:t>
            </w:r>
            <w:r w:rsidRPr="00C76D85">
              <w:rPr>
                <w:rFonts w:ascii="Times New Roman" w:hAnsi="Times New Roman" w:cs="Times New Roman"/>
                <w:spacing w:val="-8"/>
                <w:sz w:val="24"/>
              </w:rPr>
              <w:t>8a</w:t>
            </w:r>
            <w:r w:rsidRPr="00C76D85">
              <w:rPr>
                <w:rStyle w:val="FootnoteReference"/>
                <w:rFonts w:ascii="Times New Roman" w:hAnsi="Times New Roman" w:cs="Times New Roman"/>
                <w:spacing w:val="-8"/>
                <w:sz w:val="24"/>
                <w:szCs w:val="24"/>
              </w:rPr>
              <w:footnoteReference w:id="48"/>
            </w:r>
            <w:r w:rsidRPr="00C76D85">
              <w:rPr>
                <w:rFonts w:ascii="Times New Roman" w:hAnsi="Times New Roman" w:cs="Times New Roman"/>
                <w:spacing w:val="-8"/>
                <w:sz w:val="24"/>
              </w:rPr>
              <w:t xml:space="preserve"> tohto vzoru. </w:t>
            </w:r>
          </w:p>
        </w:tc>
      </w:tr>
      <w:tr w:rsidR="00203C1C" w:rsidRPr="00A3389E"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lastRenderedPageBreak/>
              <w:t>Písmeno stĺpca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A3389E" w:rsidRDefault="00203C1C" w:rsidP="00940268">
            <w:pPr>
              <w:spacing w:after="240"/>
              <w:jc w:val="center"/>
              <w:rPr>
                <w:rFonts w:ascii="Times New Roman" w:hAnsi="Times New Roman" w:cs="Times New Roman"/>
                <w:b/>
                <w:sz w:val="24"/>
              </w:rPr>
            </w:pPr>
            <w:r w:rsidRPr="00A3389E">
              <w:rPr>
                <w:rFonts w:ascii="Times New Roman" w:hAnsi="Times New Roman" w:cs="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02B53D01"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i/>
                <w:sz w:val="24"/>
              </w:rPr>
              <w:t xml:space="preserve">VaR </w:t>
            </w:r>
            <w:r w:rsidRPr="00A3389E">
              <w:rPr>
                <w:rFonts w:ascii="Times New Roman" w:hAnsi="Times New Roman" w:cs="Times New Roman"/>
                <w:sz w:val="24"/>
              </w:rPr>
              <w:t>Kľúčové faktory zmien za dané obdobie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riadkami 2 až 7 tohto vzoru (na základe racionálneho odhadu), pokiaľ ide</w:t>
            </w:r>
            <w:r w:rsidR="00A3389E">
              <w:rPr>
                <w:rFonts w:ascii="Times New Roman" w:hAnsi="Times New Roman" w:cs="Times New Roman"/>
                <w:sz w:val="24"/>
              </w:rPr>
              <w:t xml:space="preserve"> o </w:t>
            </w:r>
            <w:r w:rsidRPr="00A3389E">
              <w:rPr>
                <w:rFonts w:ascii="Times New Roman" w:hAnsi="Times New Roman" w:cs="Times New Roman"/>
                <w:sz w:val="24"/>
              </w:rPr>
              <w:t>RWEA vážené hodnotou</w:t>
            </w:r>
            <w:r w:rsidR="00A3389E">
              <w:rPr>
                <w:rFonts w:ascii="Times New Roman" w:hAnsi="Times New Roman" w:cs="Times New Roman"/>
                <w:sz w:val="24"/>
              </w:rPr>
              <w:t xml:space="preserve"> v </w:t>
            </w:r>
            <w:r w:rsidRPr="00A3389E">
              <w:rPr>
                <w:rFonts w:ascii="Times New Roman" w:hAnsi="Times New Roman" w:cs="Times New Roman"/>
                <w:sz w:val="24"/>
              </w:rPr>
              <w:t>riziku odvodené od požiadaviek na vlastné zdroje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 xml:space="preserve">článkom 364 ods. 1 písm. a) CRR. </w:t>
            </w:r>
          </w:p>
        </w:tc>
      </w:tr>
      <w:tr w:rsidR="00203C1C" w:rsidRPr="00A3389E"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A3389E" w:rsidRDefault="00203C1C" w:rsidP="00940268">
            <w:pPr>
              <w:spacing w:after="240"/>
              <w:jc w:val="center"/>
              <w:rPr>
                <w:rFonts w:ascii="Times New Roman" w:hAnsi="Times New Roman" w:cs="Times New Roman"/>
                <w:b/>
                <w:sz w:val="24"/>
              </w:rPr>
            </w:pPr>
            <w:r w:rsidRPr="00A3389E">
              <w:rPr>
                <w:rFonts w:ascii="Times New Roman" w:hAnsi="Times New Roman" w:cs="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A3389E" w:rsidRDefault="00203C1C" w:rsidP="00155C96">
            <w:pPr>
              <w:spacing w:after="240"/>
              <w:rPr>
                <w:rFonts w:ascii="Times New Roman" w:hAnsi="Times New Roman" w:cs="Times New Roman"/>
                <w:i/>
                <w:sz w:val="24"/>
              </w:rPr>
            </w:pPr>
            <w:r w:rsidRPr="00A3389E">
              <w:rPr>
                <w:rFonts w:ascii="Times New Roman" w:hAnsi="Times New Roman" w:cs="Times New Roman"/>
                <w:i/>
                <w:sz w:val="24"/>
              </w:rPr>
              <w:t>SVaR</w:t>
            </w:r>
          </w:p>
          <w:p w14:paraId="2F882761" w14:textId="317A16CB" w:rsidR="00203C1C" w:rsidRPr="00A3389E" w:rsidRDefault="00203C1C" w:rsidP="00155C96">
            <w:pPr>
              <w:spacing w:after="240"/>
              <w:jc w:val="both"/>
              <w:rPr>
                <w:rFonts w:ascii="Times New Roman" w:hAnsi="Times New Roman" w:cs="Times New Roman"/>
                <w:b/>
                <w:sz w:val="24"/>
              </w:rPr>
            </w:pPr>
            <w:r w:rsidRPr="00A3389E">
              <w:rPr>
                <w:rFonts w:ascii="Times New Roman" w:hAnsi="Times New Roman" w:cs="Times New Roman"/>
                <w:sz w:val="24"/>
              </w:rPr>
              <w:t>Kľúčové faktory zmien za dané obdobie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riadkami 2 až 7 tohto vzoru (na základe racionálneho odhadu), pokiaľ ide</w:t>
            </w:r>
            <w:r w:rsidR="00A3389E">
              <w:rPr>
                <w:rFonts w:ascii="Times New Roman" w:hAnsi="Times New Roman" w:cs="Times New Roman"/>
                <w:sz w:val="24"/>
              </w:rPr>
              <w:t xml:space="preserve"> o </w:t>
            </w:r>
            <w:r w:rsidRPr="00A3389E">
              <w:rPr>
                <w:rFonts w:ascii="Times New Roman" w:hAnsi="Times New Roman" w:cs="Times New Roman"/>
                <w:sz w:val="24"/>
              </w:rPr>
              <w:t>RWEA stresovanej hodnoty</w:t>
            </w:r>
            <w:r w:rsidR="00A3389E">
              <w:rPr>
                <w:rFonts w:ascii="Times New Roman" w:hAnsi="Times New Roman" w:cs="Times New Roman"/>
                <w:sz w:val="24"/>
              </w:rPr>
              <w:t xml:space="preserve"> v </w:t>
            </w:r>
            <w:r w:rsidRPr="00A3389E">
              <w:rPr>
                <w:rFonts w:ascii="Times New Roman" w:hAnsi="Times New Roman" w:cs="Times New Roman"/>
                <w:sz w:val="24"/>
              </w:rPr>
              <w:t>riziku odvodené od požiadaviek na vlastné zdroje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364 ods. 1 písm. b) CRR</w:t>
            </w:r>
            <w:r w:rsidR="00A3389E">
              <w:rPr>
                <w:rFonts w:ascii="Times New Roman" w:hAnsi="Times New Roman" w:cs="Times New Roman"/>
                <w:sz w:val="24"/>
              </w:rPr>
              <w:t xml:space="preserve"> a </w:t>
            </w:r>
            <w:r w:rsidRPr="00A3389E">
              <w:rPr>
                <w:rFonts w:ascii="Times New Roman" w:hAnsi="Times New Roman" w:cs="Times New Roman"/>
                <w:sz w:val="24"/>
              </w:rPr>
              <w:t>akýchkoľvek dodatočných vlastných zdrojov požadovaných orgánmi dohľadu.</w:t>
            </w:r>
          </w:p>
        </w:tc>
      </w:tr>
      <w:tr w:rsidR="00203C1C" w:rsidRPr="00A3389E"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A3389E" w:rsidRDefault="00203C1C" w:rsidP="00940268">
            <w:pPr>
              <w:spacing w:after="240"/>
              <w:jc w:val="center"/>
              <w:rPr>
                <w:rFonts w:ascii="Times New Roman" w:hAnsi="Times New Roman" w:cs="Times New Roman"/>
                <w:sz w:val="24"/>
              </w:rPr>
            </w:pPr>
            <w:r w:rsidRPr="00A3389E">
              <w:rPr>
                <w:rFonts w:ascii="Times New Roman" w:hAnsi="Times New Roman" w:cs="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A3389E" w:rsidRDefault="00203C1C" w:rsidP="00155C96">
            <w:pPr>
              <w:spacing w:after="240"/>
              <w:rPr>
                <w:rFonts w:ascii="Times New Roman" w:hAnsi="Times New Roman" w:cs="Times New Roman"/>
                <w:i/>
                <w:sz w:val="24"/>
              </w:rPr>
            </w:pPr>
            <w:r w:rsidRPr="00A3389E">
              <w:rPr>
                <w:rFonts w:ascii="Times New Roman" w:hAnsi="Times New Roman" w:cs="Times New Roman"/>
                <w:i/>
                <w:sz w:val="24"/>
              </w:rPr>
              <w:t>IRC</w:t>
            </w:r>
          </w:p>
          <w:p w14:paraId="2EF6A068" w14:textId="3AD45434" w:rsidR="00203C1C" w:rsidRPr="00A3389E" w:rsidRDefault="00203C1C" w:rsidP="00155C96">
            <w:pPr>
              <w:autoSpaceDE w:val="0"/>
              <w:autoSpaceDN w:val="0"/>
              <w:adjustRightInd w:val="0"/>
              <w:spacing w:after="240"/>
              <w:jc w:val="both"/>
              <w:rPr>
                <w:rFonts w:ascii="Times New Roman" w:hAnsi="Times New Roman" w:cs="Times New Roman"/>
                <w:sz w:val="24"/>
              </w:rPr>
            </w:pPr>
            <w:r w:rsidRPr="00A3389E">
              <w:rPr>
                <w:rFonts w:ascii="Times New Roman" w:hAnsi="Times New Roman" w:cs="Times New Roman"/>
                <w:sz w:val="24"/>
              </w:rPr>
              <w:t>Kľúčové faktory zmien za dané obdobie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riadkami 2 až 7 tohto vzoru (na základe racionálneho odhadu), pokiaľ ide</w:t>
            </w:r>
            <w:r w:rsidR="00A3389E">
              <w:rPr>
                <w:rFonts w:ascii="Times New Roman" w:hAnsi="Times New Roman" w:cs="Times New Roman"/>
                <w:sz w:val="24"/>
              </w:rPr>
              <w:t xml:space="preserve"> o </w:t>
            </w:r>
            <w:r w:rsidRPr="00A3389E">
              <w:rPr>
                <w:rFonts w:ascii="Times New Roman" w:hAnsi="Times New Roman" w:cs="Times New Roman"/>
                <w:sz w:val="24"/>
              </w:rPr>
              <w:t>RWEA inkrementálneho rizika zlyhania</w:t>
            </w:r>
            <w:r w:rsidR="00A3389E">
              <w:rPr>
                <w:rFonts w:ascii="Times New Roman" w:hAnsi="Times New Roman" w:cs="Times New Roman"/>
                <w:sz w:val="24"/>
              </w:rPr>
              <w:t xml:space="preserve"> a </w:t>
            </w:r>
            <w:r w:rsidRPr="00A3389E">
              <w:rPr>
                <w:rFonts w:ascii="Times New Roman" w:hAnsi="Times New Roman" w:cs="Times New Roman"/>
                <w:sz w:val="24"/>
              </w:rPr>
              <w:t>rizika migrácie odvodené od požiadaviek na vlastné zdroje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364 ods. 2 písm. b) CRR</w:t>
            </w:r>
            <w:r w:rsidR="00A3389E">
              <w:rPr>
                <w:rFonts w:ascii="Times New Roman" w:hAnsi="Times New Roman" w:cs="Times New Roman"/>
                <w:sz w:val="24"/>
              </w:rPr>
              <w:t xml:space="preserve"> a </w:t>
            </w:r>
            <w:r w:rsidRPr="00A3389E">
              <w:rPr>
                <w:rFonts w:ascii="Times New Roman" w:hAnsi="Times New Roman" w:cs="Times New Roman"/>
                <w:sz w:val="24"/>
              </w:rPr>
              <w:t>akýchkoľvek dodatočných vlastných zdrojov požadovaných orgánmi dohľadu.</w:t>
            </w:r>
          </w:p>
        </w:tc>
      </w:tr>
      <w:tr w:rsidR="00203C1C" w:rsidRPr="00A3389E"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A3389E" w:rsidRDefault="00203C1C" w:rsidP="00940268">
            <w:pPr>
              <w:spacing w:after="240"/>
              <w:jc w:val="center"/>
              <w:rPr>
                <w:rFonts w:ascii="Times New Roman" w:hAnsi="Times New Roman" w:cs="Times New Roman"/>
                <w:sz w:val="24"/>
              </w:rPr>
            </w:pPr>
            <w:r w:rsidRPr="00A3389E">
              <w:rPr>
                <w:rFonts w:ascii="Times New Roman" w:hAnsi="Times New Roman" w:cs="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A3389E" w:rsidRDefault="00203C1C" w:rsidP="00155C96">
            <w:pPr>
              <w:spacing w:after="240"/>
              <w:jc w:val="both"/>
              <w:rPr>
                <w:rFonts w:ascii="Times New Roman" w:hAnsi="Times New Roman" w:cs="Times New Roman"/>
                <w:i/>
                <w:sz w:val="24"/>
              </w:rPr>
            </w:pPr>
            <w:r w:rsidRPr="00A3389E">
              <w:rPr>
                <w:rFonts w:ascii="Times New Roman" w:hAnsi="Times New Roman" w:cs="Times New Roman"/>
                <w:i/>
                <w:sz w:val="24"/>
              </w:rPr>
              <w:t>Miera komplexného rizika</w:t>
            </w:r>
          </w:p>
          <w:p w14:paraId="73C1B72E" w14:textId="1FE5A92E"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Kľúčové faktory zmien za dané obdobie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riadkami 2 až 7 tohto vzoru (na základe racionálneho odhadu), pokiaľ ide</w:t>
            </w:r>
            <w:r w:rsidR="00A3389E">
              <w:rPr>
                <w:rFonts w:ascii="Times New Roman" w:hAnsi="Times New Roman" w:cs="Times New Roman"/>
                <w:sz w:val="24"/>
              </w:rPr>
              <w:t xml:space="preserve"> o </w:t>
            </w:r>
            <w:r w:rsidRPr="00A3389E">
              <w:rPr>
                <w:rFonts w:ascii="Times New Roman" w:hAnsi="Times New Roman" w:cs="Times New Roman"/>
                <w:sz w:val="24"/>
              </w:rPr>
              <w:t>RWEA korelačného obchodného portfólia odvodené od požiadaviek na vlastné zdroje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364 ods. 3 CRR</w:t>
            </w:r>
            <w:r w:rsidR="00A3389E">
              <w:rPr>
                <w:rFonts w:ascii="Times New Roman" w:hAnsi="Times New Roman" w:cs="Times New Roman"/>
                <w:sz w:val="24"/>
              </w:rPr>
              <w:t xml:space="preserve"> a </w:t>
            </w:r>
            <w:r w:rsidRPr="00A3389E">
              <w:rPr>
                <w:rFonts w:ascii="Times New Roman" w:hAnsi="Times New Roman" w:cs="Times New Roman"/>
                <w:sz w:val="24"/>
              </w:rPr>
              <w:t>akýchkoľvek dodatočných vlastných zdrojov požadovaných orgánmi dohľadu.</w:t>
            </w:r>
          </w:p>
        </w:tc>
      </w:tr>
      <w:tr w:rsidR="00203C1C" w:rsidRPr="00A3389E"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A3389E" w:rsidRDefault="00203C1C" w:rsidP="00940268">
            <w:pPr>
              <w:spacing w:after="240"/>
              <w:jc w:val="center"/>
              <w:rPr>
                <w:rFonts w:ascii="Times New Roman" w:hAnsi="Times New Roman" w:cs="Times New Roman"/>
                <w:sz w:val="24"/>
              </w:rPr>
            </w:pPr>
            <w:r w:rsidRPr="00A3389E">
              <w:rPr>
                <w:rFonts w:ascii="Times New Roman" w:hAnsi="Times New Roman" w:cs="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A3389E" w:rsidRDefault="00203C1C" w:rsidP="00155C96">
            <w:pPr>
              <w:spacing w:after="240"/>
              <w:rPr>
                <w:rFonts w:ascii="Times New Roman" w:hAnsi="Times New Roman" w:cs="Times New Roman"/>
                <w:i/>
                <w:sz w:val="24"/>
              </w:rPr>
            </w:pPr>
            <w:r w:rsidRPr="00A3389E">
              <w:rPr>
                <w:rFonts w:ascii="Times New Roman" w:hAnsi="Times New Roman" w:cs="Times New Roman"/>
                <w:i/>
                <w:sz w:val="24"/>
              </w:rPr>
              <w:t>Iné</w:t>
            </w:r>
          </w:p>
          <w:p w14:paraId="3C5E8F71" w14:textId="1E690AF4"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Kľúčové faktory zmien RWEA za dané obdobie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riadkami 2 až 7 tohto vzoru na základe prístupov modelov, ktoré sa nevykazujú</w:t>
            </w:r>
            <w:r w:rsidR="00A3389E">
              <w:rPr>
                <w:rFonts w:ascii="Times New Roman" w:hAnsi="Times New Roman" w:cs="Times New Roman"/>
                <w:sz w:val="24"/>
              </w:rPr>
              <w:t xml:space="preserve"> v </w:t>
            </w:r>
            <w:r w:rsidRPr="00A3389E">
              <w:rPr>
                <w:rFonts w:ascii="Times New Roman" w:hAnsi="Times New Roman" w:cs="Times New Roman"/>
                <w:sz w:val="24"/>
              </w:rPr>
              <w:t>stĺpcoch a) až d).</w:t>
            </w:r>
          </w:p>
        </w:tc>
      </w:tr>
      <w:tr w:rsidR="00203C1C" w:rsidRPr="00A3389E"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A3389E" w:rsidRDefault="00203C1C" w:rsidP="00940268">
            <w:pPr>
              <w:spacing w:after="240"/>
              <w:jc w:val="center"/>
              <w:rPr>
                <w:rFonts w:ascii="Times New Roman" w:hAnsi="Times New Roman" w:cs="Times New Roman"/>
                <w:sz w:val="24"/>
              </w:rPr>
            </w:pPr>
            <w:r w:rsidRPr="00A3389E">
              <w:rPr>
                <w:rFonts w:ascii="Times New Roman" w:hAnsi="Times New Roman" w:cs="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A3389E" w:rsidRDefault="00203C1C" w:rsidP="00155C96">
            <w:pPr>
              <w:spacing w:after="240"/>
              <w:rPr>
                <w:rFonts w:ascii="Times New Roman" w:hAnsi="Times New Roman" w:cs="Times New Roman"/>
                <w:sz w:val="24"/>
              </w:rPr>
            </w:pPr>
            <w:r w:rsidRPr="00A3389E">
              <w:rPr>
                <w:rFonts w:ascii="Times New Roman" w:hAnsi="Times New Roman" w:cs="Times New Roman"/>
                <w:sz w:val="24"/>
              </w:rPr>
              <w:t>RWEA spolu (a + b + c + d + e)</w:t>
            </w:r>
          </w:p>
        </w:tc>
      </w:tr>
      <w:tr w:rsidR="00203C1C" w:rsidRPr="00A3389E"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A3389E" w:rsidRDefault="00203C1C" w:rsidP="00940268">
            <w:pPr>
              <w:spacing w:after="240"/>
              <w:jc w:val="center"/>
              <w:rPr>
                <w:rFonts w:ascii="Times New Roman" w:hAnsi="Times New Roman" w:cs="Times New Roman"/>
                <w:sz w:val="24"/>
              </w:rPr>
            </w:pPr>
            <w:r w:rsidRPr="00A3389E">
              <w:rPr>
                <w:rFonts w:ascii="Times New Roman" w:hAnsi="Times New Roman" w:cs="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6C7294CE"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sz w:val="24"/>
              </w:rPr>
              <w:t>Požiadavky na celkové vlastné zdroje (f x 8</w:t>
            </w:r>
            <w:r w:rsidR="00A3389E">
              <w:rPr>
                <w:rFonts w:ascii="Times New Roman" w:hAnsi="Times New Roman" w:cs="Times New Roman"/>
                <w:sz w:val="24"/>
              </w:rPr>
              <w:t> %</w:t>
            </w:r>
            <w:r w:rsidRPr="00A3389E">
              <w:rPr>
                <w:rFonts w:ascii="Times New Roman" w:hAnsi="Times New Roman" w:cs="Times New Roman"/>
                <w:sz w:val="24"/>
              </w:rPr>
              <w:t>)</w:t>
            </w:r>
          </w:p>
        </w:tc>
      </w:tr>
    </w:tbl>
    <w:p w14:paraId="77BEF27F" w14:textId="77777777" w:rsidR="00203C1C" w:rsidRPr="00A3389E" w:rsidRDefault="00203C1C" w:rsidP="00203C1C">
      <w:pPr>
        <w:pStyle w:val="Titlelevel2"/>
        <w:spacing w:before="0"/>
        <w:rPr>
          <w:rFonts w:ascii="Times New Roman" w:hAnsi="Times New Roman" w:cs="Times New Roman"/>
          <w:b/>
          <w:color w:val="auto"/>
          <w:sz w:val="24"/>
        </w:rPr>
      </w:pPr>
    </w:p>
    <w:p w14:paraId="7369DA49" w14:textId="390F4D52" w:rsidR="00203C1C" w:rsidRPr="00A3389E" w:rsidRDefault="00203C1C" w:rsidP="00203C1C">
      <w:pPr>
        <w:pStyle w:val="Titlelevel2"/>
        <w:spacing w:before="0"/>
        <w:rPr>
          <w:rFonts w:ascii="Times New Roman" w:hAnsi="Times New Roman" w:cs="Times New Roman"/>
          <w:color w:val="auto"/>
          <w:sz w:val="24"/>
        </w:rPr>
      </w:pPr>
      <w:r w:rsidRPr="00A3389E">
        <w:rPr>
          <w:rFonts w:ascii="Times New Roman" w:hAnsi="Times New Roman" w:cs="Times New Roman"/>
          <w:b/>
          <w:color w:val="auto"/>
          <w:sz w:val="24"/>
        </w:rPr>
        <w:t>Vzor EU MR3 – Hodnoty IMA pre obchodné portfóliá:</w:t>
      </w:r>
      <w:r w:rsidRPr="00A3389E">
        <w:rPr>
          <w:rFonts w:ascii="Times New Roman" w:hAnsi="Times New Roman" w:cs="Times New Roman"/>
          <w:color w:val="auto"/>
          <w:sz w:val="24"/>
        </w:rPr>
        <w:t xml:space="preserve"> pevný formát</w:t>
      </w:r>
    </w:p>
    <w:p w14:paraId="3EE80EF1" w14:textId="1FD79D73" w:rsidR="00203C1C" w:rsidRPr="00A3389E" w:rsidRDefault="00A3389E" w:rsidP="00A3389E">
      <w:pPr>
        <w:pStyle w:val="Titlelevel2"/>
        <w:spacing w:before="0"/>
        <w:ind w:left="1070" w:hanging="360"/>
        <w:jc w:val="both"/>
        <w:rPr>
          <w:rFonts w:ascii="Times New Roman" w:eastAsiaTheme="minorEastAsia" w:hAnsi="Times New Roman" w:cs="Times New Roman"/>
          <w:bCs w:val="0"/>
          <w:color w:val="000000"/>
          <w:sz w:val="24"/>
        </w:rPr>
      </w:pPr>
      <w:r w:rsidRPr="00A3389E">
        <w:rPr>
          <w:rFonts w:ascii="Times New Roman" w:eastAsiaTheme="minorEastAsia" w:hAnsi="Times New Roman" w:cs="Times New Roman"/>
          <w:bCs w:val="0"/>
          <w:color w:val="auto"/>
          <w:sz w:val="22"/>
          <w:szCs w:val="22"/>
        </w:rPr>
        <w:t>9.</w:t>
      </w:r>
      <w:r w:rsidRPr="00A3389E">
        <w:rPr>
          <w:rFonts w:ascii="Times New Roman" w:eastAsiaTheme="minorEastAsia" w:hAnsi="Times New Roman" w:cs="Times New Roman"/>
          <w:bCs w:val="0"/>
          <w:color w:val="auto"/>
          <w:sz w:val="22"/>
          <w:szCs w:val="22"/>
        </w:rPr>
        <w:tab/>
      </w:r>
      <w:r w:rsidR="00203C1C" w:rsidRPr="00A3389E">
        <w:rPr>
          <w:rFonts w:ascii="Times New Roman" w:hAnsi="Times New Roman" w:cs="Times New Roman"/>
          <w:bCs w:val="0"/>
          <w:color w:val="000000"/>
          <w:sz w:val="24"/>
        </w:rPr>
        <w:t>Inštitúcie zverejňujú informácie uvedené</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článku 455 písm. d) CRR podľa pokynov uvedených nižšie</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tejto prílohe</w:t>
      </w:r>
      <w:r>
        <w:rPr>
          <w:rFonts w:ascii="Times New Roman" w:hAnsi="Times New Roman" w:cs="Times New Roman"/>
          <w:bCs w:val="0"/>
          <w:color w:val="000000"/>
          <w:sz w:val="24"/>
        </w:rPr>
        <w:t xml:space="preserve"> s </w:t>
      </w:r>
      <w:r w:rsidR="00203C1C" w:rsidRPr="00A3389E">
        <w:rPr>
          <w:rFonts w:ascii="Times New Roman" w:hAnsi="Times New Roman" w:cs="Times New Roman"/>
          <w:bCs w:val="0"/>
          <w:color w:val="000000"/>
          <w:sz w:val="24"/>
        </w:rPr>
        <w:t>cieľom vyplniť vzor EU MR3, ktorý je uvedený</w:t>
      </w:r>
      <w:r>
        <w:rPr>
          <w:rFonts w:ascii="Times New Roman" w:hAnsi="Times New Roman" w:cs="Times New Roman"/>
          <w:bCs w:val="0"/>
          <w:color w:val="000000"/>
          <w:sz w:val="24"/>
        </w:rPr>
        <w:t xml:space="preserve"> v </w:t>
      </w:r>
      <w:r w:rsidR="00203C1C" w:rsidRPr="00A3389E">
        <w:rPr>
          <w:rFonts w:ascii="Times New Roman" w:hAnsi="Times New Roman" w:cs="Times New Roman"/>
          <w:bCs w:val="0"/>
          <w:color w:val="000000"/>
          <w:sz w:val="24"/>
        </w:rPr>
        <w:t>prílohe XXIX</w:t>
      </w:r>
      <w:r>
        <w:rPr>
          <w:rFonts w:ascii="Times New Roman" w:hAnsi="Times New Roman" w:cs="Times New Roman"/>
          <w:bCs w:val="0"/>
          <w:color w:val="000000"/>
          <w:sz w:val="24"/>
        </w:rPr>
        <w:t xml:space="preserve"> k </w:t>
      </w:r>
      <w:r w:rsidR="00203C1C" w:rsidRPr="00A3389E">
        <w:rPr>
          <w:rFonts w:ascii="Times New Roman" w:hAnsi="Times New Roman" w:cs="Times New Roman"/>
          <w:bCs w:val="0"/>
          <w:color w:val="000000"/>
          <w:sz w:val="24"/>
        </w:rPr>
        <w:t>tomuto vykonávaciemu nariadeniu.</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A3389E"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097CF040"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lastRenderedPageBreak/>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203C1C" w:rsidRPr="00A3389E"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Číslo riadku</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A3389E"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25D6EDDE" w:rsidR="00203C1C" w:rsidRPr="00A3389E" w:rsidRDefault="00203C1C" w:rsidP="00155C96">
            <w:pPr>
              <w:spacing w:after="240"/>
              <w:jc w:val="both"/>
              <w:rPr>
                <w:rFonts w:ascii="Times New Roman" w:hAnsi="Times New Roman" w:cs="Times New Roman"/>
                <w:b/>
                <w:i/>
                <w:sz w:val="24"/>
              </w:rPr>
            </w:pPr>
            <w:r w:rsidRPr="00A3389E">
              <w:rPr>
                <w:rFonts w:ascii="Times New Roman" w:hAnsi="Times New Roman" w:cs="Times New Roman"/>
                <w:b/>
                <w:i/>
                <w:sz w:val="24"/>
              </w:rPr>
              <w:t>VaR (10-dňová pri 99</w:t>
            </w:r>
            <w:r w:rsidR="00A3389E">
              <w:rPr>
                <w:rFonts w:ascii="Times New Roman" w:hAnsi="Times New Roman" w:cs="Times New Roman"/>
                <w:b/>
                <w:i/>
                <w:sz w:val="24"/>
              </w:rPr>
              <w:t> %</w:t>
            </w:r>
            <w:r w:rsidRPr="00A3389E">
              <w:rPr>
                <w:rFonts w:ascii="Times New Roman" w:hAnsi="Times New Roman" w:cs="Times New Roman"/>
                <w:b/>
                <w:i/>
                <w:sz w:val="24"/>
              </w:rPr>
              <w:t>)</w:t>
            </w:r>
          </w:p>
          <w:p w14:paraId="7FE86511" w14:textId="74BD9DB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Miera hodnoty</w:t>
            </w:r>
            <w:r w:rsidR="00A3389E">
              <w:rPr>
                <w:rFonts w:ascii="Times New Roman" w:hAnsi="Times New Roman" w:cs="Times New Roman"/>
                <w:sz w:val="24"/>
              </w:rPr>
              <w:t xml:space="preserve"> v </w:t>
            </w:r>
            <w:r w:rsidRPr="00A3389E">
              <w:rPr>
                <w:rFonts w:ascii="Times New Roman" w:hAnsi="Times New Roman" w:cs="Times New Roman"/>
                <w:sz w:val="24"/>
              </w:rPr>
              <w:t>riziku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365 ods. 1 CRR.</w:t>
            </w:r>
          </w:p>
          <w:p w14:paraId="117A294D" w14:textId="4048DC19"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Hodnoty nezahŕňajú dodatočné požiadavky na vlastné zdroje podľa rozhodnutia orgánu dohľadu (napríklad</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multiplikátorom).</w:t>
            </w:r>
          </w:p>
        </w:tc>
      </w:tr>
      <w:tr w:rsidR="00203C1C" w:rsidRPr="00A3389E"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A3389E" w:rsidRDefault="00203C1C" w:rsidP="00DB1F94">
            <w:pPr>
              <w:spacing w:after="240"/>
              <w:jc w:val="center"/>
              <w:rPr>
                <w:rFonts w:ascii="Times New Roman" w:hAnsi="Times New Roman" w:cs="Times New Roman"/>
                <w:sz w:val="24"/>
              </w:rPr>
            </w:pPr>
            <w:r w:rsidRPr="00A3389E">
              <w:rPr>
                <w:rFonts w:ascii="Times New Roman" w:hAnsi="Times New Roman" w:cs="Times New Roman"/>
                <w:sz w:val="24"/>
              </w:rPr>
              <w:t>1 až 4</w:t>
            </w:r>
          </w:p>
        </w:tc>
        <w:tc>
          <w:tcPr>
            <w:tcW w:w="7070" w:type="dxa"/>
            <w:tcBorders>
              <w:top w:val="single" w:sz="4" w:space="0" w:color="auto"/>
              <w:left w:val="single" w:sz="4" w:space="0" w:color="auto"/>
              <w:bottom w:val="single" w:sz="4" w:space="0" w:color="auto"/>
              <w:right w:val="single" w:sz="4" w:space="0" w:color="auto"/>
            </w:tcBorders>
          </w:tcPr>
          <w:p w14:paraId="4AD9AA0B" w14:textId="03F8A70E"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Najvyššie/najnižšie/stredné denné miery hodnoty</w:t>
            </w:r>
            <w:r w:rsidR="00A3389E">
              <w:rPr>
                <w:rFonts w:ascii="Times New Roman" w:hAnsi="Times New Roman" w:cs="Times New Roman"/>
                <w:sz w:val="24"/>
              </w:rPr>
              <w:t xml:space="preserve"> v </w:t>
            </w:r>
            <w:r w:rsidRPr="00A3389E">
              <w:rPr>
                <w:rFonts w:ascii="Times New Roman" w:hAnsi="Times New Roman" w:cs="Times New Roman"/>
                <w:sz w:val="24"/>
              </w:rPr>
              <w:t>riziku za dané obdobie</w:t>
            </w:r>
            <w:r w:rsidR="00A3389E">
              <w:rPr>
                <w:rFonts w:ascii="Times New Roman" w:hAnsi="Times New Roman" w:cs="Times New Roman"/>
                <w:sz w:val="24"/>
              </w:rPr>
              <w:t xml:space="preserve"> a </w:t>
            </w:r>
            <w:r w:rsidRPr="00A3389E">
              <w:rPr>
                <w:rFonts w:ascii="Times New Roman" w:hAnsi="Times New Roman" w:cs="Times New Roman"/>
                <w:sz w:val="24"/>
              </w:rPr>
              <w:t>denná miera hodnoty</w:t>
            </w:r>
            <w:r w:rsidR="00A3389E">
              <w:rPr>
                <w:rFonts w:ascii="Times New Roman" w:hAnsi="Times New Roman" w:cs="Times New Roman"/>
                <w:sz w:val="24"/>
              </w:rPr>
              <w:t xml:space="preserve"> v </w:t>
            </w:r>
            <w:r w:rsidRPr="00A3389E">
              <w:rPr>
                <w:rFonts w:ascii="Times New Roman" w:hAnsi="Times New Roman" w:cs="Times New Roman"/>
                <w:sz w:val="24"/>
              </w:rPr>
              <w:t>riziku na konci daného obdobia.</w:t>
            </w:r>
          </w:p>
        </w:tc>
      </w:tr>
      <w:tr w:rsidR="00203C1C" w:rsidRPr="00A3389E"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A3389E"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06CBD915" w:rsidR="00203C1C" w:rsidRPr="00A3389E" w:rsidRDefault="00203C1C" w:rsidP="00155C96">
            <w:pPr>
              <w:spacing w:after="240"/>
              <w:jc w:val="both"/>
              <w:rPr>
                <w:rFonts w:ascii="Times New Roman" w:hAnsi="Times New Roman" w:cs="Times New Roman"/>
                <w:b/>
                <w:i/>
                <w:sz w:val="24"/>
              </w:rPr>
            </w:pPr>
            <w:r w:rsidRPr="00A3389E">
              <w:rPr>
                <w:rFonts w:ascii="Times New Roman" w:hAnsi="Times New Roman" w:cs="Times New Roman"/>
                <w:b/>
                <w:i/>
                <w:sz w:val="24"/>
              </w:rPr>
              <w:t>SVaR (10-dňová pri 99</w:t>
            </w:r>
            <w:r w:rsidR="00A3389E">
              <w:rPr>
                <w:rFonts w:ascii="Times New Roman" w:hAnsi="Times New Roman" w:cs="Times New Roman"/>
                <w:b/>
                <w:i/>
                <w:sz w:val="24"/>
              </w:rPr>
              <w:t> %</w:t>
            </w:r>
            <w:r w:rsidRPr="00A3389E">
              <w:rPr>
                <w:rFonts w:ascii="Times New Roman" w:hAnsi="Times New Roman" w:cs="Times New Roman"/>
                <w:b/>
                <w:i/>
                <w:sz w:val="24"/>
              </w:rPr>
              <w:t>)</w:t>
            </w:r>
          </w:p>
          <w:p w14:paraId="2213DE21" w14:textId="2E9226ED" w:rsidR="00203C1C" w:rsidRPr="00A3389E" w:rsidRDefault="00203C1C"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Miera stresovanej hodnoty</w:t>
            </w:r>
            <w:r w:rsidR="00A3389E">
              <w:rPr>
                <w:rFonts w:ascii="Times New Roman" w:hAnsi="Times New Roman" w:cs="Times New Roman"/>
                <w:sz w:val="24"/>
              </w:rPr>
              <w:t xml:space="preserve"> v </w:t>
            </w:r>
            <w:r w:rsidRPr="00A3389E">
              <w:rPr>
                <w:rFonts w:ascii="Times New Roman" w:hAnsi="Times New Roman" w:cs="Times New Roman"/>
                <w:sz w:val="24"/>
              </w:rPr>
              <w:t>riziku</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365 ods. 2 CRR.</w:t>
            </w:r>
          </w:p>
          <w:p w14:paraId="6F3D5188"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Hodnoty nezahŕňajú dodatočné požiadavky na vlastné zdroje podľa rozhodnutia orgánu dohľadu (multiplikátor).</w:t>
            </w:r>
          </w:p>
        </w:tc>
      </w:tr>
      <w:tr w:rsidR="00203C1C" w:rsidRPr="00A3389E"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A3389E" w:rsidRDefault="00203C1C" w:rsidP="00DB1F94">
            <w:pPr>
              <w:spacing w:after="240"/>
              <w:jc w:val="center"/>
              <w:rPr>
                <w:rFonts w:ascii="Times New Roman" w:hAnsi="Times New Roman" w:cs="Times New Roman"/>
                <w:sz w:val="24"/>
              </w:rPr>
            </w:pPr>
            <w:r w:rsidRPr="00A3389E">
              <w:rPr>
                <w:rFonts w:ascii="Times New Roman" w:hAnsi="Times New Roman" w:cs="Times New Roman"/>
                <w:sz w:val="24"/>
              </w:rPr>
              <w:t>5 až 8</w:t>
            </w:r>
          </w:p>
        </w:tc>
        <w:tc>
          <w:tcPr>
            <w:tcW w:w="7070" w:type="dxa"/>
            <w:tcBorders>
              <w:top w:val="single" w:sz="4" w:space="0" w:color="auto"/>
              <w:left w:val="single" w:sz="4" w:space="0" w:color="auto"/>
              <w:bottom w:val="single" w:sz="4" w:space="0" w:color="auto"/>
              <w:right w:val="single" w:sz="4" w:space="0" w:color="auto"/>
            </w:tcBorders>
          </w:tcPr>
          <w:p w14:paraId="3791ED38" w14:textId="69D83D6F"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Najvyššia/najnižšia/stredná denná miera stresovanej hodnoty</w:t>
            </w:r>
            <w:r w:rsidR="00A3389E">
              <w:rPr>
                <w:rFonts w:ascii="Times New Roman" w:hAnsi="Times New Roman" w:cs="Times New Roman"/>
                <w:sz w:val="24"/>
              </w:rPr>
              <w:t xml:space="preserve"> v </w:t>
            </w:r>
            <w:r w:rsidRPr="00A3389E">
              <w:rPr>
                <w:rFonts w:ascii="Times New Roman" w:hAnsi="Times New Roman" w:cs="Times New Roman"/>
                <w:sz w:val="24"/>
              </w:rPr>
              <w:t>riziku za dané obdobie</w:t>
            </w:r>
            <w:r w:rsidR="00A3389E">
              <w:rPr>
                <w:rFonts w:ascii="Times New Roman" w:hAnsi="Times New Roman" w:cs="Times New Roman"/>
                <w:sz w:val="24"/>
              </w:rPr>
              <w:t xml:space="preserve"> a </w:t>
            </w:r>
            <w:r w:rsidRPr="00A3389E">
              <w:rPr>
                <w:rFonts w:ascii="Times New Roman" w:hAnsi="Times New Roman" w:cs="Times New Roman"/>
                <w:sz w:val="24"/>
              </w:rPr>
              <w:t>denná miera hodnoty</w:t>
            </w:r>
            <w:r w:rsidR="00A3389E">
              <w:rPr>
                <w:rFonts w:ascii="Times New Roman" w:hAnsi="Times New Roman" w:cs="Times New Roman"/>
                <w:sz w:val="24"/>
              </w:rPr>
              <w:t xml:space="preserve"> v </w:t>
            </w:r>
            <w:r w:rsidRPr="00A3389E">
              <w:rPr>
                <w:rFonts w:ascii="Times New Roman" w:hAnsi="Times New Roman" w:cs="Times New Roman"/>
                <w:sz w:val="24"/>
              </w:rPr>
              <w:t>riziku na konci obdobia.</w:t>
            </w:r>
          </w:p>
        </w:tc>
      </w:tr>
      <w:tr w:rsidR="00203C1C" w:rsidRPr="00A3389E"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A3389E"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0844FCB9" w:rsidR="00203C1C" w:rsidRPr="00A3389E" w:rsidRDefault="00203C1C" w:rsidP="00155C96">
            <w:pPr>
              <w:spacing w:after="240"/>
              <w:jc w:val="both"/>
              <w:rPr>
                <w:rFonts w:ascii="Times New Roman" w:hAnsi="Times New Roman" w:cs="Times New Roman"/>
                <w:b/>
                <w:i/>
                <w:sz w:val="24"/>
              </w:rPr>
            </w:pPr>
            <w:r w:rsidRPr="00A3389E">
              <w:rPr>
                <w:rFonts w:ascii="Times New Roman" w:hAnsi="Times New Roman" w:cs="Times New Roman"/>
                <w:b/>
                <w:i/>
                <w:sz w:val="24"/>
              </w:rPr>
              <w:t>IRC (99,9</w:t>
            </w:r>
            <w:r w:rsidR="00A3389E">
              <w:rPr>
                <w:rFonts w:ascii="Times New Roman" w:hAnsi="Times New Roman" w:cs="Times New Roman"/>
                <w:b/>
                <w:i/>
                <w:sz w:val="24"/>
              </w:rPr>
              <w:t> %</w:t>
            </w:r>
            <w:r w:rsidRPr="00A3389E">
              <w:rPr>
                <w:rFonts w:ascii="Times New Roman" w:hAnsi="Times New Roman" w:cs="Times New Roman"/>
                <w:b/>
                <w:i/>
                <w:sz w:val="24"/>
              </w:rPr>
              <w:t>)</w:t>
            </w:r>
          </w:p>
          <w:p w14:paraId="3DBB70FE" w14:textId="1B99E48C" w:rsidR="00203C1C" w:rsidRPr="00A3389E" w:rsidRDefault="00203C1C" w:rsidP="00155C96">
            <w:pPr>
              <w:spacing w:after="240"/>
              <w:jc w:val="both"/>
              <w:rPr>
                <w:rFonts w:ascii="Times New Roman" w:eastAsia="Times New Roman" w:hAnsi="Times New Roman" w:cs="Times New Roman"/>
                <w:sz w:val="24"/>
              </w:rPr>
            </w:pPr>
            <w:r w:rsidRPr="00A3389E">
              <w:rPr>
                <w:rFonts w:ascii="Times New Roman" w:hAnsi="Times New Roman" w:cs="Times New Roman"/>
                <w:sz w:val="24"/>
              </w:rPr>
              <w:t>Hodnota inkrementálneho rizika zlyhania</w:t>
            </w:r>
            <w:r w:rsidR="00A3389E">
              <w:rPr>
                <w:rFonts w:ascii="Times New Roman" w:hAnsi="Times New Roman" w:cs="Times New Roman"/>
                <w:sz w:val="24"/>
              </w:rPr>
              <w:t xml:space="preserve"> a </w:t>
            </w:r>
            <w:r w:rsidRPr="00A3389E">
              <w:rPr>
                <w:rFonts w:ascii="Times New Roman" w:hAnsi="Times New Roman" w:cs="Times New Roman"/>
                <w:sz w:val="24"/>
              </w:rPr>
              <w:t>rizika migrácie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5 oddielom 3 CRR.</w:t>
            </w:r>
          </w:p>
          <w:p w14:paraId="5AEA9A90" w14:textId="77777777"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Hodnoty nezahŕňajú dodatočné požiadavky na vlastné zdroje podľa rozhodnutia orgánu dohľadu (multiplikátor).</w:t>
            </w:r>
          </w:p>
        </w:tc>
      </w:tr>
      <w:tr w:rsidR="00203C1C" w:rsidRPr="00A3389E"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A3389E" w:rsidRDefault="00203C1C" w:rsidP="00DB1F94">
            <w:pPr>
              <w:spacing w:after="240"/>
              <w:jc w:val="center"/>
              <w:rPr>
                <w:rFonts w:ascii="Times New Roman" w:hAnsi="Times New Roman" w:cs="Times New Roman"/>
                <w:sz w:val="24"/>
              </w:rPr>
            </w:pPr>
            <w:r w:rsidRPr="00A3389E">
              <w:rPr>
                <w:rFonts w:ascii="Times New Roman" w:hAnsi="Times New Roman" w:cs="Times New Roman"/>
                <w:sz w:val="24"/>
              </w:rPr>
              <w:t>9 až 12</w:t>
            </w:r>
          </w:p>
        </w:tc>
        <w:tc>
          <w:tcPr>
            <w:tcW w:w="7070" w:type="dxa"/>
            <w:tcBorders>
              <w:top w:val="single" w:sz="4" w:space="0" w:color="auto"/>
              <w:left w:val="single" w:sz="4" w:space="0" w:color="auto"/>
              <w:bottom w:val="single" w:sz="4" w:space="0" w:color="auto"/>
              <w:right w:val="single" w:sz="4" w:space="0" w:color="auto"/>
            </w:tcBorders>
          </w:tcPr>
          <w:p w14:paraId="5AD9C775" w14:textId="5ED8864E"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Najvyššie/najnižšie/stredné miery IRC za dané obdobie</w:t>
            </w:r>
            <w:r w:rsidR="00A3389E">
              <w:rPr>
                <w:rFonts w:ascii="Times New Roman" w:hAnsi="Times New Roman" w:cs="Times New Roman"/>
                <w:sz w:val="24"/>
              </w:rPr>
              <w:t xml:space="preserve"> a </w:t>
            </w:r>
            <w:r w:rsidRPr="00A3389E">
              <w:rPr>
                <w:rFonts w:ascii="Times New Roman" w:hAnsi="Times New Roman" w:cs="Times New Roman"/>
                <w:sz w:val="24"/>
              </w:rPr>
              <w:t>denná miera hodnoty</w:t>
            </w:r>
            <w:r w:rsidR="00A3389E">
              <w:rPr>
                <w:rFonts w:ascii="Times New Roman" w:hAnsi="Times New Roman" w:cs="Times New Roman"/>
                <w:sz w:val="24"/>
              </w:rPr>
              <w:t xml:space="preserve"> v </w:t>
            </w:r>
            <w:r w:rsidRPr="00A3389E">
              <w:rPr>
                <w:rFonts w:ascii="Times New Roman" w:hAnsi="Times New Roman" w:cs="Times New Roman"/>
                <w:sz w:val="24"/>
              </w:rPr>
              <w:t>riziku na konci daného obdobia.</w:t>
            </w:r>
          </w:p>
        </w:tc>
      </w:tr>
      <w:tr w:rsidR="00203C1C" w:rsidRPr="00A3389E"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A3389E"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698CDDD0" w:rsidR="00203C1C" w:rsidRPr="00A3389E" w:rsidRDefault="00203C1C" w:rsidP="00155C96">
            <w:pPr>
              <w:spacing w:after="240"/>
              <w:jc w:val="both"/>
              <w:rPr>
                <w:rFonts w:ascii="Times New Roman" w:hAnsi="Times New Roman" w:cs="Times New Roman"/>
                <w:b/>
                <w:i/>
                <w:sz w:val="24"/>
              </w:rPr>
            </w:pPr>
            <w:r w:rsidRPr="00A3389E">
              <w:rPr>
                <w:rFonts w:ascii="Times New Roman" w:hAnsi="Times New Roman" w:cs="Times New Roman"/>
                <w:b/>
                <w:i/>
                <w:sz w:val="24"/>
              </w:rPr>
              <w:t>Miera komplexného rizika (99,9</w:t>
            </w:r>
            <w:r w:rsidR="00A3389E">
              <w:rPr>
                <w:rFonts w:ascii="Times New Roman" w:hAnsi="Times New Roman" w:cs="Times New Roman"/>
                <w:b/>
                <w:i/>
                <w:sz w:val="24"/>
              </w:rPr>
              <w:t> %</w:t>
            </w:r>
            <w:r w:rsidRPr="00A3389E">
              <w:rPr>
                <w:rFonts w:ascii="Times New Roman" w:hAnsi="Times New Roman" w:cs="Times New Roman"/>
                <w:b/>
                <w:i/>
                <w:sz w:val="24"/>
              </w:rPr>
              <w:t>)</w:t>
            </w:r>
          </w:p>
          <w:p w14:paraId="313F8990" w14:textId="68418C5D"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Hodnota korelačných obchodných portfólií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treťou časťou hlavou IV kapitolou 5 oddielom 5 CRR.</w:t>
            </w:r>
          </w:p>
        </w:tc>
      </w:tr>
      <w:tr w:rsidR="00203C1C" w:rsidRPr="00A3389E"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A3389E" w:rsidRDefault="00203C1C" w:rsidP="00DB1F94">
            <w:pPr>
              <w:spacing w:after="240"/>
              <w:jc w:val="center"/>
              <w:rPr>
                <w:rFonts w:ascii="Times New Roman" w:hAnsi="Times New Roman" w:cs="Times New Roman"/>
                <w:sz w:val="24"/>
              </w:rPr>
            </w:pPr>
            <w:r w:rsidRPr="00A3389E">
              <w:rPr>
                <w:rFonts w:ascii="Times New Roman" w:hAnsi="Times New Roman" w:cs="Times New Roman"/>
                <w:sz w:val="24"/>
              </w:rPr>
              <w:t>13 až 16</w:t>
            </w:r>
          </w:p>
        </w:tc>
        <w:tc>
          <w:tcPr>
            <w:tcW w:w="7070" w:type="dxa"/>
            <w:tcBorders>
              <w:top w:val="single" w:sz="4" w:space="0" w:color="auto"/>
              <w:left w:val="single" w:sz="4" w:space="0" w:color="auto"/>
              <w:bottom w:val="single" w:sz="4" w:space="0" w:color="auto"/>
              <w:right w:val="single" w:sz="4" w:space="0" w:color="auto"/>
            </w:tcBorders>
          </w:tcPr>
          <w:p w14:paraId="5042A236" w14:textId="65E456F2" w:rsidR="00203C1C" w:rsidRPr="00A3389E" w:rsidRDefault="00203C1C" w:rsidP="00155C96">
            <w:pPr>
              <w:spacing w:after="240"/>
              <w:jc w:val="both"/>
              <w:rPr>
                <w:rFonts w:ascii="Times New Roman" w:hAnsi="Times New Roman" w:cs="Times New Roman"/>
                <w:sz w:val="24"/>
              </w:rPr>
            </w:pPr>
            <w:r w:rsidRPr="00A3389E">
              <w:rPr>
                <w:rFonts w:ascii="Times New Roman" w:hAnsi="Times New Roman" w:cs="Times New Roman"/>
                <w:sz w:val="24"/>
              </w:rPr>
              <w:t>Najvyššie/najnižšie/stredné miery korelačného obchodného portfólia za dané obdobie</w:t>
            </w:r>
            <w:r w:rsidR="00A3389E">
              <w:rPr>
                <w:rFonts w:ascii="Times New Roman" w:hAnsi="Times New Roman" w:cs="Times New Roman"/>
                <w:sz w:val="24"/>
              </w:rPr>
              <w:t xml:space="preserve"> a </w:t>
            </w:r>
            <w:r w:rsidRPr="00A3389E">
              <w:rPr>
                <w:rFonts w:ascii="Times New Roman" w:hAnsi="Times New Roman" w:cs="Times New Roman"/>
                <w:sz w:val="24"/>
              </w:rPr>
              <w:t>denná miera hodnoty</w:t>
            </w:r>
            <w:r w:rsidR="00A3389E">
              <w:rPr>
                <w:rFonts w:ascii="Times New Roman" w:hAnsi="Times New Roman" w:cs="Times New Roman"/>
                <w:sz w:val="24"/>
              </w:rPr>
              <w:t xml:space="preserve"> v </w:t>
            </w:r>
            <w:r w:rsidRPr="00A3389E">
              <w:rPr>
                <w:rFonts w:ascii="Times New Roman" w:hAnsi="Times New Roman" w:cs="Times New Roman"/>
                <w:sz w:val="24"/>
              </w:rPr>
              <w:t>riziku na konci daného obdobia.</w:t>
            </w:r>
          </w:p>
        </w:tc>
      </w:tr>
      <w:tr w:rsidR="00203C1C" w:rsidRPr="00A3389E"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Písmeno stĺpca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A3389E" w:rsidRDefault="00203C1C" w:rsidP="00DB1F94">
            <w:pPr>
              <w:spacing w:after="240"/>
              <w:jc w:val="center"/>
              <w:rPr>
                <w:rFonts w:ascii="Times New Roman" w:hAnsi="Times New Roman" w:cs="Times New Roman"/>
                <w:b/>
                <w:sz w:val="24"/>
              </w:rPr>
            </w:pPr>
            <w:r w:rsidRPr="00A3389E">
              <w:rPr>
                <w:rFonts w:ascii="Times New Roman" w:hAnsi="Times New Roman" w:cs="Times New Roman"/>
                <w:sz w:val="24"/>
              </w:rPr>
              <w:lastRenderedPageBreak/>
              <w:t>a</w:t>
            </w:r>
          </w:p>
        </w:tc>
        <w:tc>
          <w:tcPr>
            <w:tcW w:w="7070" w:type="dxa"/>
            <w:tcBorders>
              <w:top w:val="single" w:sz="4" w:space="0" w:color="auto"/>
              <w:left w:val="single" w:sz="4" w:space="0" w:color="auto"/>
              <w:bottom w:val="single" w:sz="4" w:space="0" w:color="auto"/>
              <w:right w:val="single" w:sz="4" w:space="0" w:color="auto"/>
            </w:tcBorders>
          </w:tcPr>
          <w:p w14:paraId="676662A9" w14:textId="08BAD73F" w:rsidR="00203C1C" w:rsidRPr="00A3389E" w:rsidRDefault="00203C1C" w:rsidP="00155C96">
            <w:pPr>
              <w:spacing w:after="240"/>
              <w:rPr>
                <w:rFonts w:ascii="Times New Roman" w:hAnsi="Times New Roman" w:cs="Times New Roman"/>
                <w:sz w:val="24"/>
              </w:rPr>
            </w:pPr>
            <w:r w:rsidRPr="00A3389E">
              <w:rPr>
                <w:rFonts w:ascii="Times New Roman" w:hAnsi="Times New Roman" w:cs="Times New Roman"/>
                <w:sz w:val="24"/>
              </w:rPr>
              <w:t>Najvyššie/najnižšie/stredné hodnoty za obdobie zverejňovania informácií</w:t>
            </w:r>
            <w:r w:rsidR="00A3389E">
              <w:rPr>
                <w:rFonts w:ascii="Times New Roman" w:hAnsi="Times New Roman" w:cs="Times New Roman"/>
                <w:sz w:val="24"/>
              </w:rPr>
              <w:t xml:space="preserve"> a </w:t>
            </w:r>
            <w:r w:rsidRPr="00A3389E">
              <w:rPr>
                <w:rFonts w:ascii="Times New Roman" w:hAnsi="Times New Roman" w:cs="Times New Roman"/>
                <w:sz w:val="24"/>
              </w:rPr>
              <w:t>hodnoty na konci obdobia zodpovedajúce riadkom 1 až 16 tohto vzoru.</w:t>
            </w:r>
          </w:p>
        </w:tc>
      </w:tr>
    </w:tbl>
    <w:p w14:paraId="0A2D8EA1" w14:textId="77777777" w:rsidR="00203C1C" w:rsidRPr="00A3389E" w:rsidRDefault="00203C1C" w:rsidP="00203C1C">
      <w:pPr>
        <w:pStyle w:val="Titlelevel2"/>
        <w:spacing w:before="0"/>
        <w:rPr>
          <w:rFonts w:ascii="Times New Roman" w:hAnsi="Times New Roman" w:cs="Times New Roman"/>
          <w:b/>
          <w:color w:val="auto"/>
          <w:sz w:val="24"/>
        </w:rPr>
      </w:pPr>
    </w:p>
    <w:p w14:paraId="16C0CD4D" w14:textId="74CAA90E" w:rsidR="00A3389E" w:rsidRPr="00A3389E" w:rsidRDefault="00203C1C" w:rsidP="00203C1C">
      <w:pPr>
        <w:pStyle w:val="Titlelevel2"/>
        <w:spacing w:before="0"/>
        <w:rPr>
          <w:rFonts w:ascii="Times New Roman" w:hAnsi="Times New Roman" w:cs="Times New Roman"/>
          <w:b/>
          <w:color w:val="auto"/>
          <w:sz w:val="24"/>
        </w:rPr>
      </w:pPr>
      <w:r w:rsidRPr="00A3389E">
        <w:rPr>
          <w:rFonts w:ascii="Times New Roman" w:hAnsi="Times New Roman" w:cs="Times New Roman"/>
          <w:b/>
          <w:color w:val="auto"/>
          <w:sz w:val="24"/>
        </w:rPr>
        <w:t>Vzor EU MR4 – Porovnanie odhadov VaR so ziskmi/stratami: Vzor</w:t>
      </w:r>
      <w:r w:rsidR="00A3389E">
        <w:rPr>
          <w:rFonts w:ascii="Times New Roman" w:hAnsi="Times New Roman" w:cs="Times New Roman"/>
          <w:b/>
          <w:color w:val="auto"/>
          <w:sz w:val="24"/>
        </w:rPr>
        <w:t xml:space="preserve"> s </w:t>
      </w:r>
      <w:r w:rsidRPr="00A3389E">
        <w:rPr>
          <w:rFonts w:ascii="Times New Roman" w:hAnsi="Times New Roman" w:cs="Times New Roman"/>
          <w:b/>
          <w:color w:val="auto"/>
          <w:sz w:val="24"/>
        </w:rPr>
        <w:t>flexibilným formátom</w:t>
      </w:r>
    </w:p>
    <w:p w14:paraId="03C93484" w14:textId="011D769F" w:rsidR="00203C1C" w:rsidRPr="00A3389E" w:rsidRDefault="00A3389E" w:rsidP="00A3389E">
      <w:pPr>
        <w:pStyle w:val="Titlelevel2"/>
        <w:spacing w:before="0"/>
        <w:ind w:left="1070" w:hanging="360"/>
        <w:jc w:val="both"/>
        <w:rPr>
          <w:rFonts w:ascii="Times New Roman" w:hAnsi="Times New Roman" w:cs="Times New Roman"/>
          <w:color w:val="auto"/>
          <w:sz w:val="24"/>
        </w:rPr>
      </w:pPr>
      <w:r w:rsidRPr="00A3389E">
        <w:rPr>
          <w:rFonts w:ascii="Times New Roman" w:hAnsi="Times New Roman" w:cs="Times New Roman"/>
          <w:color w:val="auto"/>
          <w:sz w:val="22"/>
          <w:szCs w:val="22"/>
        </w:rPr>
        <w:t>10.</w:t>
      </w:r>
      <w:r w:rsidRPr="00A3389E">
        <w:rPr>
          <w:rFonts w:ascii="Times New Roman" w:hAnsi="Times New Roman" w:cs="Times New Roman"/>
          <w:color w:val="auto"/>
          <w:sz w:val="22"/>
          <w:szCs w:val="22"/>
        </w:rPr>
        <w:tab/>
      </w:r>
      <w:r w:rsidR="00203C1C" w:rsidRPr="00A3389E">
        <w:rPr>
          <w:rFonts w:ascii="Times New Roman" w:hAnsi="Times New Roman" w:cs="Times New Roman"/>
          <w:color w:val="auto"/>
          <w:sz w:val="24"/>
        </w:rPr>
        <w:t>Pokiaľ ide</w:t>
      </w:r>
      <w:r>
        <w:rPr>
          <w:rFonts w:ascii="Times New Roman" w:hAnsi="Times New Roman" w:cs="Times New Roman"/>
          <w:color w:val="auto"/>
          <w:sz w:val="24"/>
        </w:rPr>
        <w:t xml:space="preserve"> o </w:t>
      </w:r>
      <w:r w:rsidR="00203C1C" w:rsidRPr="00A3389E">
        <w:rPr>
          <w:rFonts w:ascii="Times New Roman" w:hAnsi="Times New Roman" w:cs="Times New Roman"/>
          <w:color w:val="auto"/>
          <w:sz w:val="24"/>
        </w:rPr>
        <w:t>informácie uvedené</w:t>
      </w:r>
      <w:r>
        <w:rPr>
          <w:rFonts w:ascii="Times New Roman" w:hAnsi="Times New Roman" w:cs="Times New Roman"/>
          <w:color w:val="auto"/>
          <w:sz w:val="24"/>
        </w:rPr>
        <w:t xml:space="preserve"> v </w:t>
      </w:r>
      <w:r w:rsidR="00203C1C" w:rsidRPr="00A3389E">
        <w:rPr>
          <w:rFonts w:ascii="Times New Roman" w:hAnsi="Times New Roman" w:cs="Times New Roman"/>
          <w:color w:val="auto"/>
          <w:sz w:val="24"/>
        </w:rPr>
        <w:t>článku 455 písm. g) CRR, inštitúcie zverejňujú graf, ktorý je uvedený</w:t>
      </w:r>
      <w:r>
        <w:rPr>
          <w:rFonts w:ascii="Times New Roman" w:hAnsi="Times New Roman" w:cs="Times New Roman"/>
          <w:color w:val="auto"/>
          <w:sz w:val="24"/>
        </w:rPr>
        <w:t xml:space="preserve"> v </w:t>
      </w:r>
      <w:r w:rsidR="00203C1C" w:rsidRPr="00A3389E">
        <w:rPr>
          <w:rFonts w:ascii="Times New Roman" w:hAnsi="Times New Roman" w:cs="Times New Roman"/>
          <w:color w:val="auto"/>
          <w:sz w:val="24"/>
        </w:rPr>
        <w:t>prílohe XXIX</w:t>
      </w:r>
      <w:r>
        <w:rPr>
          <w:rFonts w:ascii="Times New Roman" w:hAnsi="Times New Roman" w:cs="Times New Roman"/>
          <w:color w:val="auto"/>
          <w:sz w:val="24"/>
        </w:rPr>
        <w:t xml:space="preserve"> k </w:t>
      </w:r>
      <w:r w:rsidR="00203C1C" w:rsidRPr="00A3389E">
        <w:rPr>
          <w:rFonts w:ascii="Times New Roman" w:hAnsi="Times New Roman" w:cs="Times New Roman"/>
          <w:color w:val="auto"/>
          <w:sz w:val="24"/>
        </w:rPr>
        <w:t>tomuto vykonávaciemu nariadeniu, vrátane informácií uvedených</w:t>
      </w:r>
      <w:r>
        <w:rPr>
          <w:rFonts w:ascii="Times New Roman" w:hAnsi="Times New Roman" w:cs="Times New Roman"/>
          <w:color w:val="auto"/>
          <w:sz w:val="24"/>
        </w:rPr>
        <w:t xml:space="preserve"> v </w:t>
      </w:r>
      <w:r w:rsidR="00203C1C" w:rsidRPr="00A3389E">
        <w:rPr>
          <w:rFonts w:ascii="Times New Roman" w:hAnsi="Times New Roman" w:cs="Times New Roman"/>
          <w:color w:val="auto"/>
          <w:sz w:val="24"/>
        </w:rPr>
        <w:t>tejto tabuľke.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A3389E"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2E28250"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203C1C" w:rsidRPr="00A3389E"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A3389E"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A3389E" w:rsidRDefault="00203C1C" w:rsidP="00155C96">
            <w:pPr>
              <w:spacing w:after="240"/>
              <w:rPr>
                <w:rFonts w:ascii="Times New Roman" w:hAnsi="Times New Roman" w:cs="Times New Roman"/>
                <w:b/>
                <w:sz w:val="24"/>
              </w:rPr>
            </w:pPr>
            <w:r w:rsidRPr="00A3389E">
              <w:rPr>
                <w:rFonts w:ascii="Times New Roman" w:hAnsi="Times New Roman" w:cs="Times New Roman"/>
                <w:b/>
                <w:sz w:val="24"/>
              </w:rPr>
              <w:t>Vysvetlenie</w:t>
            </w:r>
          </w:p>
        </w:tc>
      </w:tr>
      <w:tr w:rsidR="00203C1C" w:rsidRPr="00A3389E"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A3389E"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4757F789" w:rsidR="00203C1C" w:rsidRPr="00A3389E" w:rsidRDefault="00203C1C" w:rsidP="00A9116C">
            <w:pPr>
              <w:spacing w:after="240"/>
              <w:jc w:val="both"/>
              <w:rPr>
                <w:rFonts w:ascii="Times New Roman" w:hAnsi="Times New Roman" w:cs="Times New Roman"/>
                <w:sz w:val="24"/>
              </w:rPr>
            </w:pPr>
            <w:r w:rsidRPr="00A3389E">
              <w:rPr>
                <w:rFonts w:ascii="Times New Roman" w:hAnsi="Times New Roman" w:cs="Times New Roman"/>
                <w:sz w:val="24"/>
              </w:rPr>
              <w:t>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455 písm. g) CRR zahŕňajú mieru hodnoty</w:t>
            </w:r>
            <w:r w:rsidR="00A3389E">
              <w:rPr>
                <w:rFonts w:ascii="Times New Roman" w:hAnsi="Times New Roman" w:cs="Times New Roman"/>
                <w:sz w:val="24"/>
              </w:rPr>
              <w:t xml:space="preserve"> v </w:t>
            </w:r>
            <w:r w:rsidRPr="00A3389E">
              <w:rPr>
                <w:rFonts w:ascii="Times New Roman" w:hAnsi="Times New Roman" w:cs="Times New Roman"/>
                <w:sz w:val="24"/>
              </w:rPr>
              <w:t>riziku použitú na regulačné účely</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365 ods. 1 CRR, kalibrovanú na jednodňové obdobie držby, aby ju bolo možné</w:t>
            </w:r>
            <w:r w:rsidR="00A3389E">
              <w:rPr>
                <w:rFonts w:ascii="Times New Roman" w:hAnsi="Times New Roman" w:cs="Times New Roman"/>
                <w:sz w:val="24"/>
              </w:rPr>
              <w:t xml:space="preserve"> s </w:t>
            </w:r>
            <w:r w:rsidRPr="00A3389E">
              <w:rPr>
                <w:rFonts w:ascii="Times New Roman" w:hAnsi="Times New Roman" w:cs="Times New Roman"/>
                <w:sz w:val="24"/>
              </w:rPr>
              <w:t>99</w:t>
            </w:r>
            <w:r w:rsidR="00A3389E">
              <w:rPr>
                <w:rFonts w:ascii="Times New Roman" w:hAnsi="Times New Roman" w:cs="Times New Roman"/>
                <w:sz w:val="24"/>
              </w:rPr>
              <w:t> %</w:t>
            </w:r>
            <w:r w:rsidRPr="00A3389E">
              <w:rPr>
                <w:rFonts w:ascii="Times New Roman" w:hAnsi="Times New Roman" w:cs="Times New Roman"/>
                <w:sz w:val="24"/>
              </w:rPr>
              <w:t xml:space="preserve"> úrovňou spoľahlivosti porovnať</w:t>
            </w:r>
            <w:r w:rsidR="00A3389E">
              <w:rPr>
                <w:rFonts w:ascii="Times New Roman" w:hAnsi="Times New Roman" w:cs="Times New Roman"/>
                <w:sz w:val="24"/>
              </w:rPr>
              <w:t xml:space="preserve"> s </w:t>
            </w:r>
            <w:r w:rsidRPr="00A3389E">
              <w:rPr>
                <w:rFonts w:ascii="Times New Roman" w:hAnsi="Times New Roman" w:cs="Times New Roman"/>
                <w:sz w:val="24"/>
              </w:rPr>
              <w:t>výsledkami obchodovania inštitúcie.</w:t>
            </w:r>
          </w:p>
        </w:tc>
      </w:tr>
      <w:tr w:rsidR="00203C1C" w:rsidRPr="00A3389E"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A3389E"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1B024116" w14:textId="4B9DC5B5" w:rsidR="00A3389E" w:rsidRPr="00A3389E" w:rsidRDefault="00203C1C" w:rsidP="00155C96">
            <w:pPr>
              <w:pStyle w:val="Default"/>
              <w:spacing w:after="240"/>
              <w:jc w:val="both"/>
              <w:rPr>
                <w:rFonts w:ascii="Times New Roman" w:hAnsi="Times New Roman" w:cs="Times New Roman"/>
              </w:rPr>
            </w:pPr>
            <w:r w:rsidRPr="00A3389E">
              <w:rPr>
                <w:rFonts w:ascii="Times New Roman" w:hAnsi="Times New Roman" w:cs="Times New Roman"/>
              </w:rPr>
              <w:t>Inštitúcie predkladajú analýzu „odľahlých hodnôt“ (výnimky spätného testovania podľa článku 366 CRR) vo výsledkoch spätného testovania, pričom uvádzajú dátumy</w:t>
            </w:r>
            <w:r w:rsidR="00A3389E">
              <w:rPr>
                <w:rFonts w:ascii="Times New Roman" w:hAnsi="Times New Roman" w:cs="Times New Roman"/>
              </w:rPr>
              <w:t xml:space="preserve"> a </w:t>
            </w:r>
            <w:r w:rsidRPr="00A3389E">
              <w:rPr>
                <w:rFonts w:ascii="Times New Roman" w:hAnsi="Times New Roman" w:cs="Times New Roman"/>
              </w:rPr>
              <w:t>zodpovedajúci prebytok (VaR – zisky</w:t>
            </w:r>
            <w:r w:rsidR="00A3389E">
              <w:rPr>
                <w:rFonts w:ascii="Times New Roman" w:hAnsi="Times New Roman" w:cs="Times New Roman"/>
              </w:rPr>
              <w:t xml:space="preserve"> a </w:t>
            </w:r>
            <w:r w:rsidRPr="00A3389E">
              <w:rPr>
                <w:rFonts w:ascii="Times New Roman" w:hAnsi="Times New Roman" w:cs="Times New Roman"/>
              </w:rPr>
              <w:t>straty). Analýzou by sa mali špecifikovať aspoň kľúčové faktory výnimiek</w:t>
            </w:r>
            <w:r w:rsidR="00A3389E" w:rsidRPr="00A3389E">
              <w:rPr>
                <w:rFonts w:ascii="Times New Roman" w:hAnsi="Times New Roman" w:cs="Times New Roman"/>
              </w:rPr>
              <w:t>.</w:t>
            </w:r>
          </w:p>
          <w:p w14:paraId="2D9E985D" w14:textId="6E412F68" w:rsidR="00A3389E" w:rsidRPr="00A3389E" w:rsidRDefault="00203C1C" w:rsidP="00155C96">
            <w:pPr>
              <w:pStyle w:val="Default"/>
              <w:spacing w:after="240"/>
              <w:jc w:val="both"/>
              <w:rPr>
                <w:rFonts w:ascii="Times New Roman" w:hAnsi="Times New Roman" w:cs="Times New Roman"/>
              </w:rPr>
            </w:pPr>
            <w:r w:rsidRPr="00A3389E">
              <w:rPr>
                <w:rFonts w:ascii="Times New Roman" w:hAnsi="Times New Roman" w:cs="Times New Roman"/>
              </w:rPr>
              <w:t>Inštitúcie zverejňujú podobné porovnania skutočných ziskov</w:t>
            </w:r>
            <w:r w:rsidR="00A3389E">
              <w:rPr>
                <w:rFonts w:ascii="Times New Roman" w:hAnsi="Times New Roman" w:cs="Times New Roman"/>
              </w:rPr>
              <w:t xml:space="preserve"> a </w:t>
            </w:r>
            <w:r w:rsidRPr="00A3389E">
              <w:rPr>
                <w:rFonts w:ascii="Times New Roman" w:hAnsi="Times New Roman" w:cs="Times New Roman"/>
              </w:rPr>
              <w:t>strát</w:t>
            </w:r>
            <w:r w:rsidR="00A3389E">
              <w:rPr>
                <w:rFonts w:ascii="Times New Roman" w:hAnsi="Times New Roman" w:cs="Times New Roman"/>
              </w:rPr>
              <w:t xml:space="preserve"> a </w:t>
            </w:r>
            <w:r w:rsidRPr="00A3389E">
              <w:rPr>
                <w:rFonts w:ascii="Times New Roman" w:hAnsi="Times New Roman" w:cs="Times New Roman"/>
              </w:rPr>
              <w:t>hypotetických ziskov</w:t>
            </w:r>
            <w:r w:rsidR="00A3389E">
              <w:rPr>
                <w:rFonts w:ascii="Times New Roman" w:hAnsi="Times New Roman" w:cs="Times New Roman"/>
              </w:rPr>
              <w:t xml:space="preserve"> a </w:t>
            </w:r>
            <w:r w:rsidRPr="00A3389E">
              <w:rPr>
                <w:rFonts w:ascii="Times New Roman" w:hAnsi="Times New Roman" w:cs="Times New Roman"/>
              </w:rPr>
              <w:t>strát (t. j. na základe hypotetických zmien</w:t>
            </w:r>
            <w:r w:rsidR="00A3389E">
              <w:rPr>
                <w:rFonts w:ascii="Times New Roman" w:hAnsi="Times New Roman" w:cs="Times New Roman"/>
              </w:rPr>
              <w:t xml:space="preserve"> v </w:t>
            </w:r>
            <w:r w:rsidRPr="00A3389E">
              <w:rPr>
                <w:rFonts w:ascii="Times New Roman" w:hAnsi="Times New Roman" w:cs="Times New Roman"/>
              </w:rPr>
              <w:t>hodnotách portfólia, ku ktorým by došlo, ak by pozície na konci dňa zostali nezmenené) podľa článku 366 CRR</w:t>
            </w:r>
            <w:r w:rsidR="00A3389E" w:rsidRPr="00A3389E">
              <w:rPr>
                <w:rFonts w:ascii="Times New Roman" w:hAnsi="Times New Roman" w:cs="Times New Roman"/>
              </w:rPr>
              <w:t>.</w:t>
            </w:r>
          </w:p>
          <w:p w14:paraId="4855ABA2" w14:textId="70944B55" w:rsidR="00203C1C" w:rsidRPr="00A3389E" w:rsidRDefault="00203C1C" w:rsidP="00830C7A">
            <w:pPr>
              <w:spacing w:after="240"/>
              <w:jc w:val="both"/>
              <w:rPr>
                <w:rFonts w:ascii="Times New Roman" w:hAnsi="Times New Roman" w:cs="Times New Roman"/>
                <w:b/>
                <w:sz w:val="24"/>
              </w:rPr>
            </w:pPr>
            <w:r w:rsidRPr="00A3389E">
              <w:rPr>
                <w:rFonts w:ascii="Times New Roman" w:hAnsi="Times New Roman" w:cs="Times New Roman"/>
                <w:sz w:val="24"/>
              </w:rPr>
              <w:t>Inštitúcie tieto informácie dopĺňajú informáciami</w:t>
            </w:r>
            <w:r w:rsidR="00A3389E">
              <w:rPr>
                <w:rFonts w:ascii="Times New Roman" w:hAnsi="Times New Roman" w:cs="Times New Roman"/>
                <w:sz w:val="24"/>
              </w:rPr>
              <w:t xml:space="preserve"> o </w:t>
            </w:r>
            <w:r w:rsidRPr="00A3389E">
              <w:rPr>
                <w:rFonts w:ascii="Times New Roman" w:hAnsi="Times New Roman" w:cs="Times New Roman"/>
                <w:sz w:val="24"/>
              </w:rPr>
              <w:t>skutočných ziskoch/stratách, pričom najmä objasňujú, či zahŕňajú rezervy,</w:t>
            </w:r>
            <w:r w:rsidR="00A3389E">
              <w:rPr>
                <w:rFonts w:ascii="Times New Roman" w:hAnsi="Times New Roman" w:cs="Times New Roman"/>
                <w:sz w:val="24"/>
              </w:rPr>
              <w:t xml:space="preserve"> a </w:t>
            </w:r>
            <w:r w:rsidRPr="00A3389E">
              <w:rPr>
                <w:rFonts w:ascii="Times New Roman" w:hAnsi="Times New Roman" w:cs="Times New Roman"/>
                <w:sz w:val="24"/>
              </w:rPr>
              <w:t xml:space="preserve">ak nie, ako sú rezervy začlenené do postupu spätného testovania. </w:t>
            </w:r>
          </w:p>
        </w:tc>
      </w:tr>
    </w:tbl>
    <w:p w14:paraId="191D0407" w14:textId="77777777" w:rsidR="00203C1C" w:rsidRPr="00A3389E"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A3389E" w:rsidRDefault="00203C1C" w:rsidP="00203C1C">
      <w:pPr>
        <w:spacing w:after="240"/>
        <w:rPr>
          <w:rFonts w:ascii="Times New Roman" w:hAnsi="Times New Roman" w:cs="Times New Roman"/>
        </w:rPr>
      </w:pPr>
    </w:p>
    <w:p w14:paraId="05B93B34" w14:textId="77777777" w:rsidR="003D6F47" w:rsidRPr="00A3389E" w:rsidRDefault="00FA02BC">
      <w:pPr>
        <w:rPr>
          <w:rFonts w:ascii="Times New Roman" w:hAnsi="Times New Roman" w:cs="Times New Roman"/>
          <w:b/>
          <w:sz w:val="24"/>
        </w:rPr>
        <w:sectPr w:rsidR="003D6F47" w:rsidRPr="00A3389E" w:rsidSect="00155C96">
          <w:pgSz w:w="11900" w:h="16840"/>
          <w:pgMar w:top="2268" w:right="1418" w:bottom="1134" w:left="1701" w:header="709" w:footer="709" w:gutter="0"/>
          <w:pgNumType w:start="1" w:chapStyle="1"/>
          <w:cols w:space="708"/>
          <w:docGrid w:linePitch="299"/>
        </w:sectPr>
      </w:pPr>
      <w:r w:rsidRPr="00A3389E">
        <w:rPr>
          <w:rFonts w:ascii="Times New Roman" w:hAnsi="Times New Roman" w:cs="Times New Roman"/>
        </w:rPr>
        <w:br w:type="page"/>
      </w:r>
    </w:p>
    <w:p w14:paraId="04365699" w14:textId="5CDA1805" w:rsidR="00FA02BC" w:rsidRPr="0086713D" w:rsidRDefault="00FA02BC" w:rsidP="00FA02BC">
      <w:pPr>
        <w:pStyle w:val="Annexetitre"/>
        <w:spacing w:before="0"/>
        <w:rPr>
          <w:rFonts w:ascii="Times New Roman Bold" w:hAnsi="Times New Roman Bold"/>
          <w:spacing w:val="-4"/>
        </w:rPr>
      </w:pPr>
      <w:r w:rsidRPr="0086713D">
        <w:rPr>
          <w:rFonts w:ascii="Times New Roman Bold" w:hAnsi="Times New Roman Bold"/>
          <w:spacing w:val="-4"/>
        </w:rPr>
        <w:lastRenderedPageBreak/>
        <w:t>PRÍLOHA XXXII – Pokyny pre vzory na zverejňovanie informácií</w:t>
      </w:r>
      <w:r w:rsidR="00A3389E" w:rsidRPr="0086713D">
        <w:rPr>
          <w:rFonts w:ascii="Times New Roman Bold" w:hAnsi="Times New Roman Bold"/>
          <w:spacing w:val="-4"/>
        </w:rPr>
        <w:t xml:space="preserve"> o </w:t>
      </w:r>
      <w:r w:rsidRPr="0086713D">
        <w:rPr>
          <w:rFonts w:ascii="Times New Roman Bold" w:hAnsi="Times New Roman Bold"/>
          <w:spacing w:val="-4"/>
        </w:rPr>
        <w:t>operačnom riziku</w:t>
      </w:r>
    </w:p>
    <w:p w14:paraId="33A4E9C6" w14:textId="77777777" w:rsidR="00FA02BC" w:rsidRPr="00A3389E" w:rsidRDefault="00FA02BC" w:rsidP="0086713D">
      <w:pPr>
        <w:jc w:val="both"/>
        <w:rPr>
          <w:rFonts w:ascii="Times New Roman" w:hAnsi="Times New Roman" w:cs="Times New Roman"/>
          <w:b/>
          <w:bCs/>
          <w:sz w:val="24"/>
        </w:rPr>
      </w:pPr>
    </w:p>
    <w:p w14:paraId="58A921A0" w14:textId="486238F3" w:rsidR="00FA02BC" w:rsidRPr="00A3389E" w:rsidRDefault="00D95507" w:rsidP="00FA02BC">
      <w:pPr>
        <w:spacing w:after="120"/>
        <w:rPr>
          <w:rFonts w:ascii="Times New Roman" w:hAnsi="Times New Roman" w:cs="Times New Roman"/>
          <w:bCs/>
          <w:sz w:val="24"/>
        </w:rPr>
      </w:pPr>
      <w:r w:rsidRPr="00A3389E">
        <w:rPr>
          <w:rFonts w:ascii="Times New Roman" w:hAnsi="Times New Roman" w:cs="Times New Roman"/>
          <w:b/>
          <w:bCs/>
          <w:sz w:val="24"/>
        </w:rPr>
        <w:t>Tabuľka EU ORA – Kvalitatívne informácie</w:t>
      </w:r>
      <w:r w:rsidR="00A3389E">
        <w:rPr>
          <w:rFonts w:ascii="Times New Roman" w:hAnsi="Times New Roman" w:cs="Times New Roman"/>
          <w:b/>
          <w:bCs/>
          <w:sz w:val="24"/>
        </w:rPr>
        <w:t xml:space="preserve"> o </w:t>
      </w:r>
      <w:r w:rsidRPr="00A3389E">
        <w:rPr>
          <w:rFonts w:ascii="Times New Roman" w:hAnsi="Times New Roman" w:cs="Times New Roman"/>
          <w:b/>
          <w:bCs/>
          <w:sz w:val="24"/>
        </w:rPr>
        <w:t xml:space="preserve">operačnom riziku. </w:t>
      </w:r>
      <w:r w:rsidRPr="00A3389E">
        <w:rPr>
          <w:rFonts w:ascii="Times New Roman" w:hAnsi="Times New Roman" w:cs="Times New Roman"/>
          <w:bCs/>
          <w:sz w:val="24"/>
        </w:rPr>
        <w:t>Flexibilná tabuľka</w:t>
      </w:r>
    </w:p>
    <w:p w14:paraId="6B7BE904" w14:textId="7D41C75A" w:rsidR="00FA02BC" w:rsidRPr="00A3389E" w:rsidRDefault="00A3389E" w:rsidP="00A3389E">
      <w:pPr>
        <w:tabs>
          <w:tab w:val="left" w:pos="360"/>
        </w:tabs>
        <w:spacing w:after="120"/>
        <w:ind w:left="360" w:hanging="360"/>
        <w:jc w:val="both"/>
        <w:rPr>
          <w:rFonts w:ascii="Times New Roman" w:eastAsia="Times New Roman" w:hAnsi="Times New Roman" w:cs="Times New Roman"/>
          <w:color w:val="000000"/>
          <w:szCs w:val="22"/>
        </w:rPr>
      </w:pPr>
      <w:r w:rsidRPr="00A3389E">
        <w:rPr>
          <w:rFonts w:ascii="Times New Roman" w:eastAsia="Times New Roman" w:hAnsi="Times New Roman" w:cs="Times New Roman"/>
          <w:color w:val="000000"/>
          <w:szCs w:val="22"/>
        </w:rPr>
        <w:t>14.</w:t>
      </w:r>
      <w:r w:rsidRPr="00A3389E">
        <w:rPr>
          <w:rFonts w:ascii="Times New Roman" w:eastAsia="Times New Roman" w:hAnsi="Times New Roman" w:cs="Times New Roman"/>
          <w:color w:val="000000"/>
          <w:szCs w:val="22"/>
        </w:rPr>
        <w:tab/>
      </w:r>
      <w:r w:rsidR="00FA02BC" w:rsidRPr="00A3389E">
        <w:rPr>
          <w:rFonts w:ascii="Times New Roman" w:hAnsi="Times New Roman" w:cs="Times New Roman"/>
          <w:bCs/>
          <w:sz w:val="24"/>
        </w:rPr>
        <w:t>Inštitúcie zverejňujú informácie uvedené</w:t>
      </w:r>
      <w:r>
        <w:rPr>
          <w:rFonts w:ascii="Times New Roman" w:hAnsi="Times New Roman" w:cs="Times New Roman"/>
          <w:bCs/>
          <w:sz w:val="24"/>
        </w:rPr>
        <w:t xml:space="preserve"> v </w:t>
      </w:r>
      <w:r w:rsidR="00FA02BC" w:rsidRPr="00A3389E">
        <w:rPr>
          <w:rFonts w:ascii="Times New Roman" w:hAnsi="Times New Roman" w:cs="Times New Roman"/>
          <w:bCs/>
          <w:sz w:val="24"/>
        </w:rPr>
        <w:t>tejto tabuľke pri uplatňovaní článku 435 ods. 1, článku 446</w:t>
      </w:r>
      <w:r>
        <w:rPr>
          <w:rFonts w:ascii="Times New Roman" w:hAnsi="Times New Roman" w:cs="Times New Roman"/>
          <w:bCs/>
          <w:sz w:val="24"/>
        </w:rPr>
        <w:t xml:space="preserve"> a </w:t>
      </w:r>
      <w:r w:rsidR="00FA02BC" w:rsidRPr="00A3389E">
        <w:rPr>
          <w:rFonts w:ascii="Times New Roman" w:hAnsi="Times New Roman" w:cs="Times New Roman"/>
          <w:bCs/>
          <w:sz w:val="24"/>
        </w:rPr>
        <w:t xml:space="preserve">článku 454 nariadenia (EÚ) </w:t>
      </w:r>
      <w:r>
        <w:rPr>
          <w:rFonts w:ascii="Times New Roman" w:hAnsi="Times New Roman" w:cs="Times New Roman"/>
          <w:bCs/>
          <w:sz w:val="24"/>
        </w:rPr>
        <w:t>č. </w:t>
      </w:r>
      <w:r w:rsidR="00FA02BC" w:rsidRPr="00A3389E">
        <w:rPr>
          <w:rFonts w:ascii="Times New Roman" w:hAnsi="Times New Roman" w:cs="Times New Roman"/>
          <w:bCs/>
          <w:sz w:val="24"/>
        </w:rPr>
        <w:t>575/2013</w:t>
      </w:r>
      <w:r w:rsidR="00FA02BC" w:rsidRPr="00A3389E">
        <w:rPr>
          <w:rStyle w:val="FootnoteReference"/>
          <w:rFonts w:ascii="Times New Roman" w:hAnsi="Times New Roman" w:cs="Times New Roman"/>
          <w:bCs/>
          <w:sz w:val="24"/>
        </w:rPr>
        <w:footnoteReference w:id="49"/>
      </w:r>
      <w:r w:rsidR="00FA02BC" w:rsidRPr="00A3389E">
        <w:rPr>
          <w:rFonts w:ascii="Times New Roman" w:hAnsi="Times New Roman" w:cs="Times New Roman"/>
          <w:bCs/>
          <w:sz w:val="24"/>
        </w:rPr>
        <w:t xml:space="preserve"> („CRR“).</w:t>
      </w:r>
    </w:p>
    <w:p w14:paraId="0BA71BE4" w14:textId="773AC93B" w:rsidR="00FA02BC" w:rsidRPr="00A3389E" w:rsidRDefault="00A3389E" w:rsidP="00A3389E">
      <w:pPr>
        <w:tabs>
          <w:tab w:val="left" w:pos="360"/>
        </w:tabs>
        <w:spacing w:after="120"/>
        <w:ind w:left="360" w:hanging="360"/>
        <w:jc w:val="both"/>
        <w:rPr>
          <w:rFonts w:ascii="Times New Roman" w:hAnsi="Times New Roman" w:cs="Times New Roman"/>
          <w:bCs/>
          <w:sz w:val="24"/>
        </w:rPr>
      </w:pPr>
      <w:r w:rsidRPr="00A3389E">
        <w:rPr>
          <w:rFonts w:ascii="Times New Roman" w:hAnsi="Times New Roman" w:cs="Times New Roman"/>
          <w:bCs/>
          <w:sz w:val="24"/>
        </w:rPr>
        <w:t>15.</w:t>
      </w:r>
      <w:r w:rsidRPr="00A3389E">
        <w:rPr>
          <w:rFonts w:ascii="Times New Roman" w:hAnsi="Times New Roman" w:cs="Times New Roman"/>
          <w:bCs/>
          <w:sz w:val="24"/>
        </w:rPr>
        <w:tab/>
      </w:r>
      <w:r w:rsidR="00FA02BC" w:rsidRPr="00A3389E">
        <w:rPr>
          <w:rFonts w:ascii="Times New Roman" w:hAnsi="Times New Roman" w:cs="Times New Roman"/>
          <w:bCs/>
          <w:sz w:val="24"/>
        </w:rPr>
        <w:t>Inštitúcie sa pri vypĺňaní tabuľky na zverejňovanie informácií</w:t>
      </w:r>
      <w:r>
        <w:rPr>
          <w:rFonts w:ascii="Times New Roman" w:hAnsi="Times New Roman" w:cs="Times New Roman"/>
          <w:bCs/>
          <w:sz w:val="24"/>
        </w:rPr>
        <w:t xml:space="preserve"> o </w:t>
      </w:r>
      <w:r w:rsidR="00FA02BC" w:rsidRPr="00A3389E">
        <w:rPr>
          <w:rFonts w:ascii="Times New Roman" w:hAnsi="Times New Roman" w:cs="Times New Roman"/>
          <w:bCs/>
          <w:sz w:val="24"/>
        </w:rPr>
        <w:t>operačnom riziku EU ORA uvedenej</w:t>
      </w:r>
      <w:r>
        <w:rPr>
          <w:rFonts w:ascii="Times New Roman" w:hAnsi="Times New Roman" w:cs="Times New Roman"/>
          <w:bCs/>
          <w:sz w:val="24"/>
        </w:rPr>
        <w:t xml:space="preserve"> v </w:t>
      </w:r>
      <w:r w:rsidR="00FA02BC" w:rsidRPr="00A3389E">
        <w:rPr>
          <w:rFonts w:ascii="Times New Roman" w:hAnsi="Times New Roman" w:cs="Times New Roman"/>
          <w:bCs/>
          <w:sz w:val="24"/>
        </w:rPr>
        <w:t>prílohe XXXI</w:t>
      </w:r>
      <w:r>
        <w:rPr>
          <w:rFonts w:ascii="Times New Roman" w:hAnsi="Times New Roman" w:cs="Times New Roman"/>
          <w:bCs/>
          <w:sz w:val="24"/>
        </w:rPr>
        <w:t xml:space="preserve"> k </w:t>
      </w:r>
      <w:r w:rsidR="00FA02BC" w:rsidRPr="00A3389E">
        <w:rPr>
          <w:rFonts w:ascii="Times New Roman" w:hAnsi="Times New Roman" w:cs="Times New Roman"/>
          <w:bCs/>
          <w:sz w:val="24"/>
        </w:rPr>
        <w:t>tomuto vykonávaciemu nariadeniu riadia pokynmi uvedenými</w:t>
      </w:r>
      <w:r>
        <w:rPr>
          <w:rFonts w:ascii="Times New Roman" w:hAnsi="Times New Roman" w:cs="Times New Roman"/>
          <w:bCs/>
          <w:sz w:val="24"/>
        </w:rPr>
        <w:t xml:space="preserve"> v </w:t>
      </w:r>
      <w:r w:rsidR="00FA02BC" w:rsidRPr="00A3389E">
        <w:rPr>
          <w:rFonts w:ascii="Times New Roman" w:hAnsi="Times New Roman" w:cs="Times New Roman"/>
          <w:bCs/>
          <w:sz w:val="24"/>
        </w:rPr>
        <w:t>tejto prílohe.</w:t>
      </w:r>
    </w:p>
    <w:tbl>
      <w:tblPr>
        <w:tblW w:w="8926" w:type="dxa"/>
        <w:tblLook w:val="04A0" w:firstRow="1" w:lastRow="0" w:firstColumn="1" w:lastColumn="0" w:noHBand="0" w:noVBand="1"/>
      </w:tblPr>
      <w:tblGrid>
        <w:gridCol w:w="1555"/>
        <w:gridCol w:w="7371"/>
      </w:tblGrid>
      <w:tr w:rsidR="00FA02BC" w:rsidRPr="00A3389E"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3CC616C2" w:rsidR="00FA02BC" w:rsidRPr="00A3389E" w:rsidRDefault="00FA02BC" w:rsidP="00155C96">
            <w:pPr>
              <w:spacing w:after="120"/>
              <w:rPr>
                <w:rFonts w:ascii="Times New Roman" w:eastAsia="Times New Roman" w:hAnsi="Times New Roman" w:cs="Times New Roman"/>
                <w:b/>
                <w:bCs/>
                <w:color w:val="000000"/>
                <w:sz w:val="24"/>
              </w:rPr>
            </w:pPr>
            <w:r w:rsidRPr="00A3389E">
              <w:rPr>
                <w:rFonts w:ascii="Times New Roman" w:hAnsi="Times New Roman" w:cs="Times New Roman"/>
                <w:b/>
                <w:bCs/>
                <w:color w:val="000000"/>
                <w:sz w:val="24"/>
              </w:rPr>
              <w:t>Odkazy na právne predpisy</w:t>
            </w:r>
            <w:r w:rsidR="00A3389E">
              <w:rPr>
                <w:rFonts w:ascii="Times New Roman" w:hAnsi="Times New Roman" w:cs="Times New Roman"/>
                <w:b/>
                <w:bCs/>
                <w:color w:val="000000"/>
                <w:sz w:val="24"/>
              </w:rPr>
              <w:t xml:space="preserve"> a </w:t>
            </w:r>
            <w:r w:rsidRPr="00A3389E">
              <w:rPr>
                <w:rFonts w:ascii="Times New Roman" w:hAnsi="Times New Roman" w:cs="Times New Roman"/>
                <w:b/>
                <w:bCs/>
                <w:color w:val="000000"/>
                <w:sz w:val="24"/>
              </w:rPr>
              <w:t>pokyny</w:t>
            </w:r>
          </w:p>
        </w:tc>
      </w:tr>
      <w:tr w:rsidR="00FA02BC" w:rsidRPr="00A3389E"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A3389E" w:rsidRDefault="00FA02BC" w:rsidP="00155C96">
            <w:pPr>
              <w:spacing w:after="120"/>
              <w:rPr>
                <w:rFonts w:ascii="Times New Roman" w:eastAsia="Times New Roman" w:hAnsi="Times New Roman" w:cs="Times New Roman"/>
                <w:b/>
                <w:bCs/>
                <w:color w:val="000000"/>
                <w:sz w:val="24"/>
              </w:rPr>
            </w:pPr>
            <w:r w:rsidRPr="00A3389E">
              <w:rPr>
                <w:rFonts w:ascii="Times New Roman" w:hAnsi="Times New Roman" w:cs="Times New Roman"/>
                <w:b/>
                <w:bCs/>
                <w:color w:val="000000"/>
                <w:sz w:val="24"/>
              </w:rPr>
              <w:t>Číslo riadku</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A3389E" w:rsidRDefault="00FA02BC" w:rsidP="00155C96">
            <w:pPr>
              <w:spacing w:after="120"/>
              <w:rPr>
                <w:rFonts w:ascii="Times New Roman" w:eastAsia="Times New Roman" w:hAnsi="Times New Roman" w:cs="Times New Roman"/>
                <w:b/>
                <w:bCs/>
                <w:color w:val="000000"/>
                <w:sz w:val="24"/>
              </w:rPr>
            </w:pPr>
            <w:r w:rsidRPr="00A3389E">
              <w:rPr>
                <w:rFonts w:ascii="Times New Roman" w:hAnsi="Times New Roman" w:cs="Times New Roman"/>
                <w:b/>
                <w:bCs/>
                <w:color w:val="000000"/>
                <w:sz w:val="24"/>
              </w:rPr>
              <w:t>Vysvetlenie</w:t>
            </w:r>
          </w:p>
        </w:tc>
      </w:tr>
      <w:tr w:rsidR="00FA02BC" w:rsidRPr="00A3389E"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A3389E" w:rsidRDefault="00FA02BC" w:rsidP="00155C96">
            <w:pPr>
              <w:spacing w:after="120"/>
              <w:jc w:val="center"/>
              <w:rPr>
                <w:rFonts w:ascii="Times New Roman" w:eastAsia="Times New Roman" w:hAnsi="Times New Roman" w:cs="Times New Roman"/>
                <w:color w:val="000000"/>
                <w:sz w:val="24"/>
              </w:rPr>
            </w:pPr>
            <w:r w:rsidRPr="00A3389E">
              <w:rPr>
                <w:rFonts w:ascii="Times New Roman" w:hAnsi="Times New Roman" w:cs="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13C1C459" w:rsidR="00FA02BC" w:rsidRPr="00A3389E" w:rsidRDefault="00FA02BC" w:rsidP="00155C96">
            <w:pPr>
              <w:spacing w:after="120"/>
              <w:jc w:val="both"/>
              <w:rPr>
                <w:rFonts w:ascii="Times New Roman" w:eastAsia="Times New Roman" w:hAnsi="Times New Roman" w:cs="Times New Roman"/>
                <w:b/>
                <w:color w:val="000000"/>
                <w:sz w:val="24"/>
              </w:rPr>
            </w:pPr>
            <w:r w:rsidRPr="00A3389E">
              <w:rPr>
                <w:rFonts w:ascii="Times New Roman" w:hAnsi="Times New Roman" w:cs="Times New Roman"/>
                <w:b/>
                <w:color w:val="000000"/>
                <w:sz w:val="24"/>
              </w:rPr>
              <w:t>Zverejňovanie informácií</w:t>
            </w:r>
            <w:r w:rsidR="00A3389E">
              <w:rPr>
                <w:rFonts w:ascii="Times New Roman" w:hAnsi="Times New Roman" w:cs="Times New Roman"/>
                <w:b/>
                <w:color w:val="000000"/>
                <w:sz w:val="24"/>
              </w:rPr>
              <w:t xml:space="preserve"> o </w:t>
            </w:r>
            <w:r w:rsidRPr="00A3389E">
              <w:rPr>
                <w:rFonts w:ascii="Times New Roman" w:hAnsi="Times New Roman" w:cs="Times New Roman"/>
                <w:b/>
                <w:color w:val="000000"/>
                <w:sz w:val="24"/>
              </w:rPr>
              <w:t>cieľoch</w:t>
            </w:r>
            <w:r w:rsidR="00A3389E">
              <w:rPr>
                <w:rFonts w:ascii="Times New Roman" w:hAnsi="Times New Roman" w:cs="Times New Roman"/>
                <w:b/>
                <w:color w:val="000000"/>
                <w:sz w:val="24"/>
              </w:rPr>
              <w:t xml:space="preserve"> a </w:t>
            </w:r>
            <w:r w:rsidRPr="00A3389E">
              <w:rPr>
                <w:rFonts w:ascii="Times New Roman" w:hAnsi="Times New Roman" w:cs="Times New Roman"/>
                <w:b/>
                <w:color w:val="000000"/>
                <w:sz w:val="24"/>
              </w:rPr>
              <w:t>politikách riadenia rizík</w:t>
            </w:r>
          </w:p>
          <w:p w14:paraId="222E16D0" w14:textId="202C8496" w:rsidR="00FA02BC" w:rsidRPr="00A3389E" w:rsidRDefault="00FA02BC" w:rsidP="00155C96">
            <w:pPr>
              <w:spacing w:after="120"/>
              <w:jc w:val="both"/>
              <w:rPr>
                <w:rFonts w:ascii="Times New Roman" w:eastAsia="Times New Roman" w:hAnsi="Times New Roman" w:cs="Times New Roman"/>
                <w:color w:val="000000"/>
                <w:sz w:val="24"/>
              </w:rPr>
            </w:pPr>
            <w:r w:rsidRPr="00A3389E">
              <w:rPr>
                <w:rFonts w:ascii="Times New Roman" w:hAnsi="Times New Roman" w:cs="Times New Roman"/>
                <w:color w:val="000000"/>
                <w:sz w:val="24"/>
              </w:rPr>
              <w:t>V súlade</w:t>
            </w:r>
            <w:r w:rsidR="00A3389E">
              <w:rPr>
                <w:rFonts w:ascii="Times New Roman" w:hAnsi="Times New Roman" w:cs="Times New Roman"/>
                <w:color w:val="000000"/>
                <w:sz w:val="24"/>
              </w:rPr>
              <w:t xml:space="preserve"> s </w:t>
            </w:r>
            <w:r w:rsidRPr="00A3389E">
              <w:rPr>
                <w:rFonts w:ascii="Times New Roman" w:hAnsi="Times New Roman" w:cs="Times New Roman"/>
                <w:color w:val="000000"/>
                <w:sz w:val="24"/>
              </w:rPr>
              <w:t>článkom 435 ods. 1 CRR inštitúcie zverejňujú svoje ciele</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politiky riadenia rizík pre operačné riziko vrátane:</w:t>
            </w:r>
          </w:p>
          <w:p w14:paraId="5D2DF5EA" w14:textId="337BF310" w:rsidR="00FA02BC" w:rsidRPr="00A3389E" w:rsidRDefault="00FA02BC" w:rsidP="00155C96">
            <w:pPr>
              <w:spacing w:after="120"/>
              <w:rPr>
                <w:rFonts w:ascii="Times New Roman" w:eastAsia="Times New Roman" w:hAnsi="Times New Roman" w:cs="Times New Roman"/>
                <w:color w:val="000000"/>
                <w:sz w:val="24"/>
              </w:rPr>
            </w:pPr>
            <w:r w:rsidRPr="00A3389E">
              <w:rPr>
                <w:rFonts w:ascii="Times New Roman" w:hAnsi="Times New Roman" w:cs="Times New Roman"/>
                <w:color w:val="000000"/>
                <w:sz w:val="24"/>
              </w:rPr>
              <w:t>– stratégií</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postupov,</w:t>
            </w:r>
            <w:r w:rsidRPr="00A3389E">
              <w:rPr>
                <w:rFonts w:ascii="Times New Roman" w:hAnsi="Times New Roman" w:cs="Times New Roman"/>
              </w:rPr>
              <w:t xml:space="preserve"> </w:t>
            </w:r>
            <w:r w:rsidRPr="00A3389E">
              <w:rPr>
                <w:rFonts w:ascii="Times New Roman" w:hAnsi="Times New Roman" w:cs="Times New Roman"/>
              </w:rPr>
              <w:br/>
            </w:r>
            <w:r w:rsidRPr="00A3389E">
              <w:rPr>
                <w:rFonts w:ascii="Times New Roman" w:hAnsi="Times New Roman" w:cs="Times New Roman"/>
                <w:color w:val="000000"/>
                <w:sz w:val="24"/>
              </w:rPr>
              <w:t>– štruktúry</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organizácie funkcie riadenia rizík, pokiaľ ide</w:t>
            </w:r>
            <w:r w:rsidR="00A3389E">
              <w:rPr>
                <w:rFonts w:ascii="Times New Roman" w:hAnsi="Times New Roman" w:cs="Times New Roman"/>
                <w:color w:val="000000"/>
                <w:sz w:val="24"/>
              </w:rPr>
              <w:t xml:space="preserve"> o </w:t>
            </w:r>
            <w:r w:rsidRPr="00A3389E">
              <w:rPr>
                <w:rFonts w:ascii="Times New Roman" w:hAnsi="Times New Roman" w:cs="Times New Roman"/>
                <w:color w:val="000000"/>
                <w:sz w:val="24"/>
              </w:rPr>
              <w:t>operačné riziko,</w:t>
            </w:r>
            <w:r w:rsidRPr="00A3389E">
              <w:rPr>
                <w:rFonts w:ascii="Times New Roman" w:hAnsi="Times New Roman" w:cs="Times New Roman"/>
              </w:rPr>
              <w:t xml:space="preserve"> </w:t>
            </w:r>
            <w:r w:rsidRPr="00A3389E">
              <w:rPr>
                <w:rFonts w:ascii="Times New Roman" w:hAnsi="Times New Roman" w:cs="Times New Roman"/>
              </w:rPr>
              <w:br/>
            </w:r>
            <w:r w:rsidRPr="00A3389E">
              <w:rPr>
                <w:rFonts w:ascii="Times New Roman" w:hAnsi="Times New Roman" w:cs="Times New Roman"/>
                <w:color w:val="000000"/>
                <w:sz w:val="24"/>
              </w:rPr>
              <w:t>– merania</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kontroly rizika,</w:t>
            </w:r>
            <w:r w:rsidRPr="00A3389E">
              <w:rPr>
                <w:rFonts w:ascii="Times New Roman" w:hAnsi="Times New Roman" w:cs="Times New Roman"/>
              </w:rPr>
              <w:t xml:space="preserve"> </w:t>
            </w:r>
            <w:r w:rsidRPr="00A3389E">
              <w:rPr>
                <w:rFonts w:ascii="Times New Roman" w:hAnsi="Times New Roman" w:cs="Times New Roman"/>
              </w:rPr>
              <w:br/>
            </w:r>
            <w:r w:rsidRPr="00A3389E">
              <w:rPr>
                <w:rFonts w:ascii="Times New Roman" w:hAnsi="Times New Roman" w:cs="Times New Roman"/>
                <w:color w:val="000000"/>
                <w:sz w:val="24"/>
              </w:rPr>
              <w:t>– vykazovania operačného rizika,</w:t>
            </w:r>
            <w:r w:rsidRPr="00A3389E">
              <w:rPr>
                <w:rFonts w:ascii="Times New Roman" w:hAnsi="Times New Roman" w:cs="Times New Roman"/>
              </w:rPr>
              <w:t xml:space="preserve"> </w:t>
            </w:r>
            <w:r w:rsidRPr="00A3389E">
              <w:rPr>
                <w:rFonts w:ascii="Times New Roman" w:hAnsi="Times New Roman" w:cs="Times New Roman"/>
              </w:rPr>
              <w:br/>
            </w:r>
            <w:r w:rsidRPr="00A3389E">
              <w:rPr>
                <w:rFonts w:ascii="Times New Roman" w:hAnsi="Times New Roman" w:cs="Times New Roman"/>
                <w:color w:val="000000"/>
                <w:sz w:val="24"/>
              </w:rPr>
              <w:t>– politík týkajúcich sa hedžingu</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zmierňovania operačného rizika.</w:t>
            </w:r>
          </w:p>
        </w:tc>
      </w:tr>
      <w:tr w:rsidR="00FA02BC" w:rsidRPr="00A3389E"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A3389E" w:rsidRDefault="00FA02BC" w:rsidP="00155C96">
            <w:pPr>
              <w:spacing w:after="120"/>
              <w:jc w:val="center"/>
              <w:rPr>
                <w:rFonts w:ascii="Times New Roman" w:eastAsia="Times New Roman" w:hAnsi="Times New Roman" w:cs="Times New Roman"/>
                <w:color w:val="000000"/>
                <w:sz w:val="24"/>
              </w:rPr>
            </w:pPr>
            <w:r w:rsidRPr="00A3389E">
              <w:rPr>
                <w:rFonts w:ascii="Times New Roman" w:hAnsi="Times New Roman" w:cs="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2FF7DEEB" w:rsidR="00FA02BC" w:rsidRPr="00A3389E" w:rsidRDefault="00FA02BC" w:rsidP="00155C96">
            <w:pPr>
              <w:spacing w:after="120"/>
              <w:jc w:val="both"/>
              <w:rPr>
                <w:rFonts w:ascii="Times New Roman" w:eastAsia="Times New Roman" w:hAnsi="Times New Roman" w:cs="Times New Roman"/>
                <w:b/>
                <w:color w:val="000000"/>
                <w:sz w:val="24"/>
              </w:rPr>
            </w:pPr>
            <w:r w:rsidRPr="00A3389E">
              <w:rPr>
                <w:rFonts w:ascii="Times New Roman" w:hAnsi="Times New Roman" w:cs="Times New Roman"/>
                <w:b/>
                <w:color w:val="000000"/>
                <w:sz w:val="24"/>
              </w:rPr>
              <w:t>Zverejňovanie informácií</w:t>
            </w:r>
            <w:r w:rsidR="00A3389E">
              <w:rPr>
                <w:rFonts w:ascii="Times New Roman" w:hAnsi="Times New Roman" w:cs="Times New Roman"/>
                <w:b/>
                <w:color w:val="000000"/>
                <w:sz w:val="24"/>
              </w:rPr>
              <w:t xml:space="preserve"> o </w:t>
            </w:r>
            <w:r w:rsidRPr="00A3389E">
              <w:rPr>
                <w:rFonts w:ascii="Times New Roman" w:hAnsi="Times New Roman" w:cs="Times New Roman"/>
                <w:b/>
                <w:color w:val="000000"/>
                <w:sz w:val="24"/>
              </w:rPr>
              <w:t>prístupoch hodnotenia minimálnych požiadaviek na vlastné zdroje</w:t>
            </w:r>
          </w:p>
          <w:p w14:paraId="558C185E" w14:textId="5D874DB1" w:rsidR="00FA02BC" w:rsidRPr="00A3389E" w:rsidRDefault="00FA02BC" w:rsidP="00155C96">
            <w:pPr>
              <w:spacing w:after="120"/>
              <w:jc w:val="both"/>
              <w:rPr>
                <w:rFonts w:ascii="Times New Roman" w:eastAsia="Times New Roman" w:hAnsi="Times New Roman" w:cs="Times New Roman"/>
                <w:color w:val="000000"/>
                <w:sz w:val="24"/>
              </w:rPr>
            </w:pPr>
            <w:r w:rsidRPr="00A3389E">
              <w:rPr>
                <w:rFonts w:ascii="Times New Roman" w:hAnsi="Times New Roman" w:cs="Times New Roman"/>
                <w:color w:val="000000"/>
                <w:sz w:val="24"/>
              </w:rPr>
              <w:t>Inštitúcie uvádzajú opis metód používaných na výpočet požiadaviek na vlastné zdroje pre operačné riziko</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metód identifikácie, posudzovania</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riadenia operačného rizika.</w:t>
            </w:r>
          </w:p>
          <w:p w14:paraId="7A8FB446" w14:textId="19E20727" w:rsidR="00FA02BC" w:rsidRPr="00A3389E" w:rsidRDefault="00FA02BC" w:rsidP="00155C96">
            <w:pPr>
              <w:spacing w:after="120"/>
              <w:jc w:val="both"/>
              <w:rPr>
                <w:rFonts w:ascii="Times New Roman" w:eastAsia="Times New Roman" w:hAnsi="Times New Roman" w:cs="Times New Roman"/>
                <w:color w:val="000000"/>
                <w:sz w:val="24"/>
              </w:rPr>
            </w:pPr>
            <w:r w:rsidRPr="00A3389E">
              <w:rPr>
                <w:rFonts w:ascii="Times New Roman" w:hAnsi="Times New Roman" w:cs="Times New Roman"/>
                <w:color w:val="000000"/>
                <w:sz w:val="24"/>
              </w:rPr>
              <w:t>V prípade čiastočného použitia metodík zverejňujú inštitúcie rozsah</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pokrytie jednotlivých používaných metodík.</w:t>
            </w:r>
          </w:p>
        </w:tc>
      </w:tr>
      <w:tr w:rsidR="00FA02BC" w:rsidRPr="00A3389E"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A3389E" w:rsidRDefault="00FA02BC" w:rsidP="00155C96">
            <w:pPr>
              <w:spacing w:after="120"/>
              <w:jc w:val="center"/>
              <w:rPr>
                <w:rFonts w:ascii="Times New Roman" w:eastAsia="Times New Roman" w:hAnsi="Times New Roman" w:cs="Times New Roman"/>
                <w:color w:val="000000"/>
                <w:sz w:val="24"/>
              </w:rPr>
            </w:pPr>
            <w:r w:rsidRPr="00A3389E">
              <w:rPr>
                <w:rFonts w:ascii="Times New Roman" w:hAnsi="Times New Roman" w:cs="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A3389E" w:rsidRDefault="00FA02BC" w:rsidP="00155C96">
            <w:pPr>
              <w:spacing w:after="120"/>
              <w:jc w:val="both"/>
              <w:rPr>
                <w:rFonts w:ascii="Times New Roman" w:eastAsia="Times New Roman" w:hAnsi="Times New Roman" w:cs="Times New Roman"/>
                <w:b/>
                <w:color w:val="000000"/>
                <w:sz w:val="24"/>
              </w:rPr>
            </w:pPr>
            <w:r w:rsidRPr="00A3389E">
              <w:rPr>
                <w:rFonts w:ascii="Times New Roman" w:hAnsi="Times New Roman" w:cs="Times New Roman"/>
                <w:b/>
                <w:color w:val="000000"/>
                <w:sz w:val="24"/>
              </w:rPr>
              <w:t xml:space="preserve">Opis použitého metodického prístupu AMA </w:t>
            </w:r>
            <w:r w:rsidRPr="00A3389E">
              <w:rPr>
                <w:rFonts w:ascii="Times New Roman" w:hAnsi="Times New Roman" w:cs="Times New Roman"/>
                <w:color w:val="000000"/>
                <w:sz w:val="24"/>
              </w:rPr>
              <w:t>(v relevantných prípadoch)</w:t>
            </w:r>
          </w:p>
          <w:p w14:paraId="4DECEB6A" w14:textId="02B4E1DC" w:rsidR="00FA02BC" w:rsidRPr="00A3389E" w:rsidRDefault="00FA02BC" w:rsidP="00155C96">
            <w:pPr>
              <w:spacing w:after="120"/>
              <w:jc w:val="both"/>
              <w:rPr>
                <w:rFonts w:ascii="Times New Roman" w:eastAsia="Times New Roman" w:hAnsi="Times New Roman" w:cs="Times New Roman"/>
                <w:color w:val="000000"/>
                <w:sz w:val="24"/>
              </w:rPr>
            </w:pPr>
            <w:r w:rsidRPr="00A3389E">
              <w:rPr>
                <w:rFonts w:ascii="Times New Roman" w:hAnsi="Times New Roman" w:cs="Times New Roman"/>
                <w:color w:val="000000"/>
                <w:sz w:val="24"/>
              </w:rPr>
              <w:t>Inštitúcie, ktoré zverejňujú informácie</w:t>
            </w:r>
            <w:r w:rsidR="00A3389E">
              <w:rPr>
                <w:rFonts w:ascii="Times New Roman" w:hAnsi="Times New Roman" w:cs="Times New Roman"/>
                <w:color w:val="000000"/>
                <w:sz w:val="24"/>
              </w:rPr>
              <w:t xml:space="preserve"> o </w:t>
            </w:r>
            <w:r w:rsidRPr="00A3389E">
              <w:rPr>
                <w:rFonts w:ascii="Times New Roman" w:hAnsi="Times New Roman" w:cs="Times New Roman"/>
                <w:color w:val="000000"/>
                <w:sz w:val="24"/>
              </w:rPr>
              <w:t>operačnom riziku</w:t>
            </w:r>
            <w:r w:rsidR="00A3389E">
              <w:rPr>
                <w:rFonts w:ascii="Times New Roman" w:hAnsi="Times New Roman" w:cs="Times New Roman"/>
                <w:color w:val="000000"/>
                <w:sz w:val="24"/>
              </w:rPr>
              <w:t xml:space="preserve"> v </w:t>
            </w:r>
            <w:r w:rsidRPr="00A3389E">
              <w:rPr>
                <w:rFonts w:ascii="Times New Roman" w:hAnsi="Times New Roman" w:cs="Times New Roman"/>
                <w:color w:val="000000"/>
                <w:sz w:val="24"/>
              </w:rPr>
              <w:t>súlade</w:t>
            </w:r>
            <w:r w:rsidR="00A3389E">
              <w:rPr>
                <w:rFonts w:ascii="Times New Roman" w:hAnsi="Times New Roman" w:cs="Times New Roman"/>
                <w:color w:val="000000"/>
                <w:sz w:val="24"/>
              </w:rPr>
              <w:t xml:space="preserve"> s </w:t>
            </w:r>
            <w:r w:rsidRPr="00A3389E">
              <w:rPr>
                <w:rFonts w:ascii="Times New Roman" w:hAnsi="Times New Roman" w:cs="Times New Roman"/>
                <w:color w:val="000000"/>
                <w:sz w:val="24"/>
              </w:rPr>
              <w:t>článkom 312 ods. 2 CRR, zverejňujú opis použitej metodiky vrátane opisu štandardov týkajúcich sa externých</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interných údajov uvedených</w:t>
            </w:r>
            <w:r w:rsidR="00A3389E">
              <w:rPr>
                <w:rFonts w:ascii="Times New Roman" w:hAnsi="Times New Roman" w:cs="Times New Roman"/>
                <w:color w:val="000000"/>
                <w:sz w:val="24"/>
              </w:rPr>
              <w:t xml:space="preserve"> v </w:t>
            </w:r>
            <w:r w:rsidRPr="00A3389E">
              <w:rPr>
                <w:rFonts w:ascii="Times New Roman" w:hAnsi="Times New Roman" w:cs="Times New Roman"/>
                <w:color w:val="000000"/>
                <w:sz w:val="24"/>
              </w:rPr>
              <w:t>článku 322 ods. 3</w:t>
            </w:r>
            <w:r w:rsidR="00A3389E">
              <w:rPr>
                <w:rFonts w:ascii="Times New Roman" w:hAnsi="Times New Roman" w:cs="Times New Roman"/>
                <w:color w:val="000000"/>
                <w:sz w:val="24"/>
              </w:rPr>
              <w:t xml:space="preserve"> a </w:t>
            </w:r>
            <w:r w:rsidRPr="00A3389E">
              <w:rPr>
                <w:rFonts w:ascii="Times New Roman" w:hAnsi="Times New Roman" w:cs="Times New Roman"/>
                <w:color w:val="000000"/>
                <w:sz w:val="24"/>
              </w:rPr>
              <w:t>4 CRR.</w:t>
            </w:r>
          </w:p>
        </w:tc>
      </w:tr>
      <w:tr w:rsidR="00FA02BC" w:rsidRPr="00A3389E" w14:paraId="66A3AB54" w14:textId="77777777" w:rsidTr="0086713D">
        <w:trPr>
          <w:trHeight w:val="554"/>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A3389E" w:rsidRDefault="00FA02BC" w:rsidP="00155C96">
            <w:pPr>
              <w:spacing w:after="120"/>
              <w:jc w:val="center"/>
              <w:rPr>
                <w:rFonts w:ascii="Times New Roman" w:eastAsia="Times New Roman" w:hAnsi="Times New Roman" w:cs="Times New Roman"/>
                <w:color w:val="000000"/>
                <w:sz w:val="24"/>
              </w:rPr>
            </w:pPr>
            <w:r w:rsidRPr="00A3389E">
              <w:rPr>
                <w:rFonts w:ascii="Times New Roman" w:hAnsi="Times New Roman" w:cs="Times New Roman"/>
                <w:color w:val="000000"/>
                <w:sz w:val="24"/>
              </w:rPr>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A36D79E" w:rsidR="00FA02BC" w:rsidRPr="00A3389E" w:rsidRDefault="00FA02BC" w:rsidP="00155C96">
            <w:pPr>
              <w:spacing w:after="120"/>
              <w:jc w:val="both"/>
              <w:rPr>
                <w:rFonts w:ascii="Times New Roman" w:eastAsia="Times New Roman" w:hAnsi="Times New Roman" w:cs="Times New Roman"/>
                <w:color w:val="000000"/>
                <w:sz w:val="24"/>
              </w:rPr>
            </w:pPr>
            <w:r w:rsidRPr="00A3389E">
              <w:rPr>
                <w:rFonts w:ascii="Times New Roman" w:hAnsi="Times New Roman" w:cs="Times New Roman"/>
                <w:b/>
                <w:color w:val="000000"/>
                <w:sz w:val="24"/>
              </w:rPr>
              <w:t>Zverejňovanie informácií</w:t>
            </w:r>
            <w:r w:rsidR="00A3389E">
              <w:rPr>
                <w:rFonts w:ascii="Times New Roman" w:hAnsi="Times New Roman" w:cs="Times New Roman"/>
                <w:b/>
                <w:color w:val="000000"/>
                <w:sz w:val="24"/>
              </w:rPr>
              <w:t xml:space="preserve"> o </w:t>
            </w:r>
            <w:r w:rsidRPr="00A3389E">
              <w:rPr>
                <w:rFonts w:ascii="Times New Roman" w:hAnsi="Times New Roman" w:cs="Times New Roman"/>
                <w:b/>
                <w:color w:val="000000"/>
                <w:sz w:val="24"/>
              </w:rPr>
              <w:t>používaní poistenia na účely zmierňovania rizika</w:t>
            </w:r>
            <w:r w:rsidR="00A3389E">
              <w:rPr>
                <w:rFonts w:ascii="Times New Roman" w:hAnsi="Times New Roman" w:cs="Times New Roman"/>
                <w:b/>
                <w:color w:val="000000"/>
                <w:sz w:val="24"/>
              </w:rPr>
              <w:t xml:space="preserve"> v </w:t>
            </w:r>
            <w:r w:rsidRPr="00A3389E">
              <w:rPr>
                <w:rFonts w:ascii="Times New Roman" w:hAnsi="Times New Roman" w:cs="Times New Roman"/>
                <w:b/>
                <w:color w:val="000000"/>
                <w:sz w:val="24"/>
              </w:rPr>
              <w:t>rámci pokročilého prístupu merania</w:t>
            </w:r>
            <w:r w:rsidRPr="00A3389E">
              <w:rPr>
                <w:rFonts w:ascii="Times New Roman" w:hAnsi="Times New Roman" w:cs="Times New Roman"/>
                <w:color w:val="000000"/>
                <w:sz w:val="24"/>
              </w:rPr>
              <w:t xml:space="preserve"> (v relevantných prípadoch)</w:t>
            </w:r>
          </w:p>
          <w:p w14:paraId="1C28DC99" w14:textId="4B39C299" w:rsidR="00FA02BC" w:rsidRPr="0086713D" w:rsidRDefault="00FA02BC" w:rsidP="00155C96">
            <w:pPr>
              <w:spacing w:after="120"/>
              <w:jc w:val="both"/>
              <w:rPr>
                <w:rFonts w:ascii="Times New Roman" w:eastAsia="Times New Roman" w:hAnsi="Times New Roman" w:cs="Times New Roman"/>
                <w:color w:val="000000"/>
                <w:spacing w:val="-4"/>
                <w:sz w:val="24"/>
              </w:rPr>
            </w:pPr>
            <w:r w:rsidRPr="0086713D">
              <w:rPr>
                <w:rFonts w:ascii="Times New Roman" w:hAnsi="Times New Roman" w:cs="Times New Roman"/>
                <w:color w:val="000000"/>
                <w:spacing w:val="-4"/>
                <w:sz w:val="24"/>
              </w:rPr>
              <w:t>V súlade</w:t>
            </w:r>
            <w:r w:rsidR="00A3389E" w:rsidRPr="0086713D">
              <w:rPr>
                <w:rFonts w:ascii="Times New Roman" w:hAnsi="Times New Roman" w:cs="Times New Roman"/>
                <w:color w:val="000000"/>
                <w:spacing w:val="-4"/>
                <w:sz w:val="24"/>
              </w:rPr>
              <w:t xml:space="preserve"> s </w:t>
            </w:r>
            <w:r w:rsidRPr="0086713D">
              <w:rPr>
                <w:rFonts w:ascii="Times New Roman" w:hAnsi="Times New Roman" w:cs="Times New Roman"/>
                <w:color w:val="000000"/>
                <w:spacing w:val="-4"/>
                <w:sz w:val="24"/>
              </w:rPr>
              <w:t>článkom 454 CRR by inštitúcie pri používaní pokročilých postupov merania mali poskytovať informácie</w:t>
            </w:r>
            <w:r w:rsidR="00A3389E" w:rsidRPr="0086713D">
              <w:rPr>
                <w:rFonts w:ascii="Times New Roman" w:hAnsi="Times New Roman" w:cs="Times New Roman"/>
                <w:color w:val="000000"/>
                <w:spacing w:val="-4"/>
                <w:sz w:val="24"/>
              </w:rPr>
              <w:t xml:space="preserve"> o </w:t>
            </w:r>
            <w:r w:rsidRPr="0086713D">
              <w:rPr>
                <w:rFonts w:ascii="Times New Roman" w:hAnsi="Times New Roman" w:cs="Times New Roman"/>
                <w:color w:val="000000"/>
                <w:spacing w:val="-4"/>
                <w:sz w:val="24"/>
              </w:rPr>
              <w:t>používaní poistenia</w:t>
            </w:r>
            <w:r w:rsidR="00A3389E" w:rsidRPr="0086713D">
              <w:rPr>
                <w:rFonts w:ascii="Times New Roman" w:hAnsi="Times New Roman" w:cs="Times New Roman"/>
                <w:color w:val="000000"/>
                <w:spacing w:val="-4"/>
                <w:sz w:val="24"/>
              </w:rPr>
              <w:t xml:space="preserve"> a </w:t>
            </w:r>
            <w:r w:rsidRPr="0086713D">
              <w:rPr>
                <w:rFonts w:ascii="Times New Roman" w:hAnsi="Times New Roman" w:cs="Times New Roman"/>
                <w:color w:val="000000"/>
                <w:spacing w:val="-4"/>
                <w:sz w:val="24"/>
              </w:rPr>
              <w:t>ďalších mechanizmov prenosu rizika na účely zmierňovania operačného rizika.</w:t>
            </w:r>
          </w:p>
        </w:tc>
      </w:tr>
    </w:tbl>
    <w:p w14:paraId="2FF095E0" w14:textId="77777777" w:rsidR="00FA02BC" w:rsidRPr="00A3389E" w:rsidRDefault="00FA02BC" w:rsidP="00FA02BC">
      <w:pPr>
        <w:spacing w:after="120"/>
        <w:jc w:val="both"/>
        <w:rPr>
          <w:rFonts w:ascii="Times New Roman" w:hAnsi="Times New Roman" w:cs="Times New Roman"/>
          <w:b/>
          <w:bCs/>
          <w:sz w:val="24"/>
        </w:rPr>
      </w:pPr>
    </w:p>
    <w:p w14:paraId="3BB27C7B" w14:textId="3BFCBE18" w:rsidR="00FA02BC" w:rsidRPr="00A3389E" w:rsidRDefault="00D95507" w:rsidP="00FA02BC">
      <w:pPr>
        <w:spacing w:after="120"/>
        <w:jc w:val="both"/>
        <w:rPr>
          <w:rFonts w:ascii="Times New Roman" w:hAnsi="Times New Roman" w:cs="Times New Roman"/>
          <w:bCs/>
          <w:sz w:val="24"/>
        </w:rPr>
      </w:pPr>
      <w:r w:rsidRPr="00A3389E">
        <w:rPr>
          <w:rFonts w:ascii="Times New Roman" w:hAnsi="Times New Roman" w:cs="Times New Roman"/>
          <w:b/>
          <w:bCs/>
          <w:sz w:val="24"/>
        </w:rPr>
        <w:t>Vzor EU OR1 – Požiadavky na vlastné zdroje pre operačné riziko</w:t>
      </w:r>
      <w:r w:rsidR="00A3389E">
        <w:rPr>
          <w:rFonts w:ascii="Times New Roman" w:hAnsi="Times New Roman" w:cs="Times New Roman"/>
          <w:b/>
          <w:bCs/>
          <w:sz w:val="24"/>
        </w:rPr>
        <w:t xml:space="preserve"> a </w:t>
      </w:r>
      <w:r w:rsidRPr="00A3389E">
        <w:rPr>
          <w:rFonts w:ascii="Times New Roman" w:hAnsi="Times New Roman" w:cs="Times New Roman"/>
          <w:b/>
          <w:bCs/>
          <w:sz w:val="24"/>
        </w:rPr>
        <w:t xml:space="preserve">hodnoty rizikovo vážených expozícií. </w:t>
      </w:r>
      <w:r w:rsidRPr="00A3389E">
        <w:rPr>
          <w:rFonts w:ascii="Times New Roman" w:hAnsi="Times New Roman" w:cs="Times New Roman"/>
          <w:bCs/>
          <w:sz w:val="24"/>
        </w:rPr>
        <w:t>Vzor</w:t>
      </w:r>
      <w:r w:rsidR="00A3389E">
        <w:rPr>
          <w:rFonts w:ascii="Times New Roman" w:hAnsi="Times New Roman" w:cs="Times New Roman"/>
          <w:bCs/>
          <w:sz w:val="24"/>
        </w:rPr>
        <w:t xml:space="preserve"> s </w:t>
      </w:r>
      <w:r w:rsidRPr="00A3389E">
        <w:rPr>
          <w:rFonts w:ascii="Times New Roman" w:hAnsi="Times New Roman" w:cs="Times New Roman"/>
          <w:bCs/>
          <w:sz w:val="24"/>
        </w:rPr>
        <w:t>pevným formátom.</w:t>
      </w:r>
    </w:p>
    <w:p w14:paraId="495E46CF" w14:textId="77777777" w:rsidR="00FA02BC" w:rsidRPr="00A3389E" w:rsidRDefault="00FA02BC" w:rsidP="00FA02BC">
      <w:pPr>
        <w:spacing w:after="120"/>
        <w:ind w:left="360"/>
        <w:jc w:val="both"/>
        <w:rPr>
          <w:rFonts w:ascii="Times New Roman" w:hAnsi="Times New Roman" w:cs="Times New Roman"/>
          <w:bCs/>
          <w:sz w:val="24"/>
        </w:rPr>
      </w:pPr>
    </w:p>
    <w:p w14:paraId="390F3B5D" w14:textId="1C501D69" w:rsidR="00A3389E" w:rsidRPr="00A3389E" w:rsidRDefault="00A3389E" w:rsidP="00A3389E">
      <w:pPr>
        <w:tabs>
          <w:tab w:val="left" w:pos="360"/>
        </w:tabs>
        <w:spacing w:after="120"/>
        <w:ind w:left="360" w:hanging="360"/>
        <w:jc w:val="both"/>
        <w:rPr>
          <w:rFonts w:ascii="Times New Roman" w:hAnsi="Times New Roman" w:cs="Times New Roman"/>
          <w:bCs/>
          <w:sz w:val="24"/>
        </w:rPr>
      </w:pPr>
      <w:r w:rsidRPr="00A3389E">
        <w:rPr>
          <w:rFonts w:ascii="Times New Roman" w:hAnsi="Times New Roman" w:cs="Times New Roman"/>
          <w:bCs/>
          <w:sz w:val="24"/>
        </w:rPr>
        <w:t>16.</w:t>
      </w:r>
      <w:r w:rsidRPr="00A3389E">
        <w:rPr>
          <w:rFonts w:ascii="Times New Roman" w:hAnsi="Times New Roman" w:cs="Times New Roman"/>
          <w:bCs/>
          <w:sz w:val="24"/>
        </w:rPr>
        <w:tab/>
      </w:r>
      <w:r w:rsidR="00FA02BC" w:rsidRPr="00A3389E">
        <w:rPr>
          <w:rFonts w:ascii="Times New Roman" w:hAnsi="Times New Roman" w:cs="Times New Roman"/>
          <w:bCs/>
          <w:sz w:val="24"/>
        </w:rPr>
        <w:t>Inštitúcie zverejňujú informácie uvedené</w:t>
      </w:r>
      <w:r>
        <w:rPr>
          <w:rFonts w:ascii="Times New Roman" w:hAnsi="Times New Roman" w:cs="Times New Roman"/>
          <w:bCs/>
          <w:sz w:val="24"/>
        </w:rPr>
        <w:t xml:space="preserve"> v </w:t>
      </w:r>
      <w:r w:rsidR="00FA02BC" w:rsidRPr="00A3389E">
        <w:rPr>
          <w:rFonts w:ascii="Times New Roman" w:hAnsi="Times New Roman" w:cs="Times New Roman"/>
          <w:bCs/>
          <w:sz w:val="24"/>
        </w:rPr>
        <w:t>článkoch 446</w:t>
      </w:r>
      <w:r>
        <w:rPr>
          <w:rFonts w:ascii="Times New Roman" w:hAnsi="Times New Roman" w:cs="Times New Roman"/>
          <w:bCs/>
          <w:sz w:val="24"/>
        </w:rPr>
        <w:t xml:space="preserve"> a </w:t>
      </w:r>
      <w:r w:rsidR="00FA02BC" w:rsidRPr="00A3389E">
        <w:rPr>
          <w:rFonts w:ascii="Times New Roman" w:hAnsi="Times New Roman" w:cs="Times New Roman"/>
          <w:bCs/>
          <w:sz w:val="24"/>
        </w:rPr>
        <w:t>454 CRR podľa pokynov uvedených nižšie</w:t>
      </w:r>
      <w:r>
        <w:rPr>
          <w:rFonts w:ascii="Times New Roman" w:hAnsi="Times New Roman" w:cs="Times New Roman"/>
          <w:bCs/>
          <w:sz w:val="24"/>
        </w:rPr>
        <w:t xml:space="preserve"> v </w:t>
      </w:r>
      <w:r w:rsidR="00FA02BC" w:rsidRPr="00A3389E">
        <w:rPr>
          <w:rFonts w:ascii="Times New Roman" w:hAnsi="Times New Roman" w:cs="Times New Roman"/>
          <w:bCs/>
          <w:sz w:val="24"/>
        </w:rPr>
        <w:t>tejto prílohe</w:t>
      </w:r>
      <w:r>
        <w:rPr>
          <w:rFonts w:ascii="Times New Roman" w:hAnsi="Times New Roman" w:cs="Times New Roman"/>
          <w:bCs/>
          <w:sz w:val="24"/>
        </w:rPr>
        <w:t xml:space="preserve"> s </w:t>
      </w:r>
      <w:r w:rsidR="00FA02BC" w:rsidRPr="00A3389E">
        <w:rPr>
          <w:rFonts w:ascii="Times New Roman" w:hAnsi="Times New Roman" w:cs="Times New Roman"/>
          <w:bCs/>
          <w:sz w:val="24"/>
        </w:rPr>
        <w:t>cieľom vyplniť vzor na zverejňovanie informácií</w:t>
      </w:r>
      <w:r>
        <w:rPr>
          <w:rFonts w:ascii="Times New Roman" w:hAnsi="Times New Roman" w:cs="Times New Roman"/>
          <w:bCs/>
          <w:sz w:val="24"/>
        </w:rPr>
        <w:t xml:space="preserve"> o </w:t>
      </w:r>
      <w:r w:rsidR="00FA02BC" w:rsidRPr="00A3389E">
        <w:rPr>
          <w:rFonts w:ascii="Times New Roman" w:hAnsi="Times New Roman" w:cs="Times New Roman"/>
          <w:bCs/>
          <w:sz w:val="24"/>
        </w:rPr>
        <w:t>operačnom riziku EU OR1, ktorý je uvedený</w:t>
      </w:r>
      <w:r>
        <w:rPr>
          <w:rFonts w:ascii="Times New Roman" w:hAnsi="Times New Roman" w:cs="Times New Roman"/>
          <w:bCs/>
          <w:sz w:val="24"/>
        </w:rPr>
        <w:t xml:space="preserve"> v </w:t>
      </w:r>
      <w:r w:rsidR="00FA02BC" w:rsidRPr="00A3389E">
        <w:rPr>
          <w:rFonts w:ascii="Times New Roman" w:hAnsi="Times New Roman" w:cs="Times New Roman"/>
          <w:bCs/>
          <w:sz w:val="24"/>
        </w:rPr>
        <w:t>prílohe XXXI</w:t>
      </w:r>
      <w:r>
        <w:rPr>
          <w:rFonts w:ascii="Times New Roman" w:hAnsi="Times New Roman" w:cs="Times New Roman"/>
          <w:bCs/>
          <w:sz w:val="24"/>
        </w:rPr>
        <w:t xml:space="preserve"> k </w:t>
      </w:r>
      <w:r w:rsidR="00FA02BC" w:rsidRPr="00A3389E">
        <w:rPr>
          <w:rFonts w:ascii="Times New Roman" w:hAnsi="Times New Roman" w:cs="Times New Roman"/>
          <w:bCs/>
          <w:sz w:val="24"/>
        </w:rPr>
        <w:t>tomuto vykonávaciemu nariadeniu.</w:t>
      </w:r>
      <w:r>
        <w:rPr>
          <w:rFonts w:ascii="Times New Roman" w:hAnsi="Times New Roman" w:cs="Times New Roman"/>
          <w:bCs/>
          <w:sz w:val="24"/>
        </w:rPr>
        <w:t xml:space="preserve"> V </w:t>
      </w:r>
      <w:r w:rsidR="00FA02BC" w:rsidRPr="00A3389E">
        <w:rPr>
          <w:rFonts w:ascii="Times New Roman" w:hAnsi="Times New Roman" w:cs="Times New Roman"/>
          <w:bCs/>
          <w:sz w:val="24"/>
        </w:rPr>
        <w:t>tomto vzore sa uvádzajú informácie</w:t>
      </w:r>
      <w:r>
        <w:rPr>
          <w:rFonts w:ascii="Times New Roman" w:hAnsi="Times New Roman" w:cs="Times New Roman"/>
          <w:bCs/>
          <w:sz w:val="24"/>
        </w:rPr>
        <w:t xml:space="preserve"> o </w:t>
      </w:r>
      <w:r w:rsidR="00FA02BC" w:rsidRPr="00A3389E">
        <w:rPr>
          <w:rFonts w:ascii="Times New Roman" w:hAnsi="Times New Roman" w:cs="Times New Roman"/>
          <w:bCs/>
          <w:sz w:val="24"/>
        </w:rPr>
        <w:t>výpočte požiadaviek na vlastné zdroje</w:t>
      </w:r>
      <w:r>
        <w:rPr>
          <w:rFonts w:ascii="Times New Roman" w:hAnsi="Times New Roman" w:cs="Times New Roman"/>
          <w:bCs/>
          <w:sz w:val="24"/>
        </w:rPr>
        <w:t xml:space="preserve"> v </w:t>
      </w:r>
      <w:r w:rsidR="00FA02BC" w:rsidRPr="00A3389E">
        <w:rPr>
          <w:rFonts w:ascii="Times New Roman" w:hAnsi="Times New Roman" w:cs="Times New Roman"/>
          <w:bCs/>
          <w:sz w:val="24"/>
        </w:rPr>
        <w:t>súlade</w:t>
      </w:r>
      <w:r>
        <w:rPr>
          <w:rFonts w:ascii="Times New Roman" w:hAnsi="Times New Roman" w:cs="Times New Roman"/>
          <w:bCs/>
          <w:sz w:val="24"/>
        </w:rPr>
        <w:t xml:space="preserve"> s </w:t>
      </w:r>
      <w:r w:rsidR="00FA02BC" w:rsidRPr="00A3389E">
        <w:rPr>
          <w:rFonts w:ascii="Times New Roman" w:hAnsi="Times New Roman" w:cs="Times New Roman"/>
          <w:bCs/>
          <w:sz w:val="24"/>
        </w:rPr>
        <w:t>treťou časťou hlavou III článkami 312 až 324 CRR [pre operačné riziko</w:t>
      </w:r>
      <w:r>
        <w:rPr>
          <w:rFonts w:ascii="Times New Roman" w:hAnsi="Times New Roman" w:cs="Times New Roman"/>
          <w:bCs/>
          <w:sz w:val="24"/>
        </w:rPr>
        <w:t xml:space="preserve"> v </w:t>
      </w:r>
      <w:r w:rsidR="00FA02BC" w:rsidRPr="00A3389E">
        <w:rPr>
          <w:rFonts w:ascii="Times New Roman" w:hAnsi="Times New Roman" w:cs="Times New Roman"/>
          <w:bCs/>
          <w:sz w:val="24"/>
        </w:rPr>
        <w:t>rámci prístupu základného ukazovateľa (BIA), štandardizovaného prístupu (TSA), alternatívneho štandardizovaného prístupu (ASA)</w:t>
      </w:r>
      <w:r>
        <w:rPr>
          <w:rFonts w:ascii="Times New Roman" w:hAnsi="Times New Roman" w:cs="Times New Roman"/>
          <w:bCs/>
          <w:sz w:val="24"/>
        </w:rPr>
        <w:t xml:space="preserve"> a </w:t>
      </w:r>
      <w:r w:rsidR="00FA02BC" w:rsidRPr="00A3389E">
        <w:rPr>
          <w:rFonts w:ascii="Times New Roman" w:hAnsi="Times New Roman" w:cs="Times New Roman"/>
          <w:bCs/>
          <w:sz w:val="24"/>
        </w:rPr>
        <w:t>pokročilých prístupov merania (AMA)]</w:t>
      </w:r>
      <w:r w:rsidRPr="00A3389E">
        <w:rPr>
          <w:rFonts w:ascii="Times New Roman" w:hAnsi="Times New Roman" w:cs="Times New Roman"/>
          <w:bCs/>
          <w:sz w:val="24"/>
        </w:rPr>
        <w:t>.</w:t>
      </w:r>
    </w:p>
    <w:p w14:paraId="6EF02617" w14:textId="149539D0" w:rsidR="00FA02BC" w:rsidRPr="00A3389E" w:rsidRDefault="00A3389E" w:rsidP="00A3389E">
      <w:pPr>
        <w:pStyle w:val="InstructionsText2"/>
        <w:numPr>
          <w:ilvl w:val="0"/>
          <w:numId w:val="0"/>
        </w:numPr>
        <w:tabs>
          <w:tab w:val="left" w:pos="360"/>
        </w:tabs>
        <w:spacing w:after="120"/>
        <w:ind w:left="360" w:hanging="360"/>
      </w:pPr>
      <w:r w:rsidRPr="00A3389E">
        <w:t>17.</w:t>
      </w:r>
      <w:r w:rsidRPr="00A3389E">
        <w:tab/>
      </w:r>
      <w:r w:rsidR="00FA02BC" w:rsidRPr="00A3389E">
        <w:t>Inštitúcie, ktoré používajú prístupy BIA, TSA a/alebo ASA,</w:t>
      </w:r>
      <w:r>
        <w:t xml:space="preserve"> v </w:t>
      </w:r>
      <w:r w:rsidR="00FA02BC" w:rsidRPr="00A3389E">
        <w:t>opise sprevádzajúcom daný vzor uvádzajú, či informácie ku koncu finančného roka, ktoré používajú na výpočet požiadaviek na vlastné zdroje: a) vychádzajú</w:t>
      </w:r>
      <w:r>
        <w:t xml:space="preserve"> z </w:t>
      </w:r>
      <w:r w:rsidR="00FA02BC" w:rsidRPr="00A3389E">
        <w:t>auditovaných údajov alebo: b)</w:t>
      </w:r>
      <w:r>
        <w:t xml:space="preserve"> v </w:t>
      </w:r>
      <w:r w:rsidR="00FA02BC" w:rsidRPr="00A3389E">
        <w:t>prípade, že auditované údaje nie sú</w:t>
      </w:r>
      <w:r>
        <w:t xml:space="preserve"> k </w:t>
      </w:r>
      <w:r w:rsidR="00FA02BC" w:rsidRPr="00A3389E">
        <w:t>dispozícii, vychádzajú</w:t>
      </w:r>
      <w:r>
        <w:t xml:space="preserve"> z </w:t>
      </w:r>
      <w:r w:rsidR="00FA02BC" w:rsidRPr="00A3389E">
        <w:t>obchodných odhadov.</w:t>
      </w:r>
      <w:r>
        <w:t xml:space="preserve"> V </w:t>
      </w:r>
      <w:r w:rsidR="00FA02BC" w:rsidRPr="00A3389E">
        <w:t>druhom uvedenom prípade inštitúcie špecifikujú všetky výnimočné okolnosti, ktoré viedli</w:t>
      </w:r>
      <w:r>
        <w:t xml:space="preserve"> k </w:t>
      </w:r>
      <w:r w:rsidR="00FA02BC" w:rsidRPr="00A3389E">
        <w:t>zmenám</w:t>
      </w:r>
      <w:r>
        <w:t xml:space="preserve"> v </w:t>
      </w:r>
      <w:r w:rsidR="00FA02BC" w:rsidRPr="00A3389E">
        <w:t>týchto údajoch (napr. nedávne nadobudnutia alebo odpredaje subjektov alebo činností).</w:t>
      </w:r>
    </w:p>
    <w:p w14:paraId="0DF23D1D" w14:textId="77777777" w:rsidR="00FA02BC" w:rsidRPr="00A3389E"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A3389E"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A3389E" w:rsidRDefault="00FA02BC" w:rsidP="00155C96">
            <w:pPr>
              <w:pStyle w:val="TableTitle"/>
              <w:spacing w:before="0" w:after="120"/>
              <w:jc w:val="left"/>
              <w:rPr>
                <w:rFonts w:ascii="Times New Roman" w:hAnsi="Times New Roman"/>
                <w:noProof w:val="0"/>
                <w:sz w:val="24"/>
                <w:szCs w:val="24"/>
              </w:rPr>
            </w:pPr>
            <w:r w:rsidRPr="00A3389E">
              <w:rPr>
                <w:rFonts w:ascii="Times New Roman" w:hAnsi="Times New Roman"/>
                <w:noProof w:val="0"/>
                <w:sz w:val="24"/>
                <w:szCs w:val="24"/>
              </w:rPr>
              <w:t>Pokyny na vypĺňanie vzoru na zverejňovanie informácií EU OR1</w:t>
            </w:r>
          </w:p>
        </w:tc>
      </w:tr>
      <w:tr w:rsidR="00FA02BC" w:rsidRPr="00A3389E"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A3389E" w:rsidRDefault="00FA02BC"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Stĺpec</w:t>
            </w:r>
          </w:p>
        </w:tc>
        <w:tc>
          <w:tcPr>
            <w:tcW w:w="7768" w:type="dxa"/>
            <w:tcBorders>
              <w:bottom w:val="nil"/>
            </w:tcBorders>
            <w:shd w:val="clear" w:color="auto" w:fill="D9D9D9" w:themeFill="background1" w:themeFillShade="D9"/>
          </w:tcPr>
          <w:p w14:paraId="0EDA29AD" w14:textId="77777777" w:rsidR="00FA02BC" w:rsidRPr="00A3389E" w:rsidRDefault="00FA02BC" w:rsidP="00155C96">
            <w:pPr>
              <w:autoSpaceDE w:val="0"/>
              <w:autoSpaceDN w:val="0"/>
              <w:adjustRightInd w:val="0"/>
              <w:spacing w:after="120"/>
              <w:rPr>
                <w:rFonts w:ascii="Times New Roman" w:hAnsi="Times New Roman" w:cs="Times New Roman"/>
                <w:color w:val="000000"/>
                <w:sz w:val="24"/>
              </w:rPr>
            </w:pPr>
            <w:r w:rsidRPr="00A3389E">
              <w:rPr>
                <w:rFonts w:ascii="Times New Roman" w:hAnsi="Times New Roman" w:cs="Times New Roman"/>
                <w:b/>
                <w:sz w:val="24"/>
              </w:rPr>
              <w:t>Vysvetlenie</w:t>
            </w:r>
          </w:p>
        </w:tc>
      </w:tr>
      <w:tr w:rsidR="00FA02BC" w:rsidRPr="00A3389E" w14:paraId="436F41A0" w14:textId="77777777" w:rsidTr="00155C96">
        <w:trPr>
          <w:trHeight w:val="238"/>
        </w:trPr>
        <w:tc>
          <w:tcPr>
            <w:tcW w:w="1271" w:type="dxa"/>
            <w:shd w:val="clear" w:color="auto" w:fill="FFFFFF" w:themeFill="background1"/>
          </w:tcPr>
          <w:p w14:paraId="05E64204" w14:textId="77777777" w:rsidR="00FA02BC" w:rsidRPr="00A3389E" w:rsidRDefault="00FA02BC" w:rsidP="00155C96">
            <w:pPr>
              <w:autoSpaceDE w:val="0"/>
              <w:autoSpaceDN w:val="0"/>
              <w:adjustRightInd w:val="0"/>
              <w:spacing w:after="120"/>
              <w:jc w:val="center"/>
              <w:rPr>
                <w:rFonts w:ascii="Times New Roman" w:hAnsi="Times New Roman" w:cs="Times New Roman"/>
                <w:b/>
                <w:sz w:val="24"/>
              </w:rPr>
            </w:pPr>
            <w:r w:rsidRPr="00A3389E">
              <w:rPr>
                <w:rFonts w:ascii="Times New Roman" w:hAnsi="Times New Roman" w:cs="Times New Roman"/>
                <w:b/>
                <w:sz w:val="24"/>
              </w:rPr>
              <w:t>a, b, c</w:t>
            </w:r>
          </w:p>
        </w:tc>
        <w:tc>
          <w:tcPr>
            <w:tcW w:w="7768" w:type="dxa"/>
            <w:shd w:val="clear" w:color="auto" w:fill="FFFFFF" w:themeFill="background1"/>
          </w:tcPr>
          <w:p w14:paraId="6D7F47D3" w14:textId="77777777" w:rsidR="00FA02BC" w:rsidRPr="00A3389E" w:rsidRDefault="00FA02BC" w:rsidP="00155C96">
            <w:pPr>
              <w:spacing w:after="120"/>
              <w:jc w:val="both"/>
              <w:rPr>
                <w:rFonts w:ascii="Times New Roman" w:eastAsia="Times New Roman" w:hAnsi="Times New Roman" w:cs="Times New Roman"/>
                <w:b/>
                <w:sz w:val="24"/>
              </w:rPr>
            </w:pPr>
            <w:r w:rsidRPr="00A3389E">
              <w:rPr>
                <w:rFonts w:ascii="Times New Roman" w:hAnsi="Times New Roman" w:cs="Times New Roman"/>
                <w:b/>
                <w:sz w:val="24"/>
              </w:rPr>
              <w:t>Príslušný ukazovateľ</w:t>
            </w:r>
          </w:p>
          <w:p w14:paraId="7E2BC471" w14:textId="6214CF59" w:rsidR="00A3389E" w:rsidRPr="00A3389E" w:rsidRDefault="00FA02BC" w:rsidP="00155C96">
            <w:pPr>
              <w:spacing w:after="120"/>
              <w:jc w:val="both"/>
              <w:rPr>
                <w:rFonts w:ascii="Times New Roman" w:hAnsi="Times New Roman" w:cs="Times New Roman"/>
                <w:sz w:val="24"/>
              </w:rPr>
            </w:pPr>
            <w:r w:rsidRPr="00A3389E">
              <w:rPr>
                <w:rFonts w:ascii="Times New Roman" w:hAnsi="Times New Roman" w:cs="Times New Roman"/>
                <w:sz w:val="24"/>
              </w:rPr>
              <w:t>Výraz „príslušný ukazovateľ“ sa vzťahuje na „súčet položiek“ na konci finančného roka</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tabuľke 1 (pri inštitúciách, ktoré používajú prístup BIA) zahrnutej</w:t>
            </w:r>
            <w:r w:rsidR="00A3389E">
              <w:rPr>
                <w:rFonts w:ascii="Times New Roman" w:hAnsi="Times New Roman" w:cs="Times New Roman"/>
                <w:sz w:val="24"/>
              </w:rPr>
              <w:t xml:space="preserve"> v </w:t>
            </w:r>
            <w:r w:rsidRPr="00A3389E">
              <w:rPr>
                <w:rFonts w:ascii="Times New Roman" w:hAnsi="Times New Roman" w:cs="Times New Roman"/>
                <w:sz w:val="24"/>
              </w:rPr>
              <w:t>článku 316 ods. 1 CRR. Pri inštitúciách, ktoré používajú prístup TSA alebo ASA, „príslušný ukazovateľ“ na konci finančného roka</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článkoch 317 až 319 CRR</w:t>
            </w:r>
            <w:r w:rsidR="00A3389E" w:rsidRPr="00A3389E">
              <w:rPr>
                <w:rFonts w:ascii="Times New Roman" w:hAnsi="Times New Roman" w:cs="Times New Roman"/>
                <w:sz w:val="24"/>
              </w:rPr>
              <w:t>.</w:t>
            </w:r>
          </w:p>
          <w:p w14:paraId="02FFEA95" w14:textId="489252C7" w:rsidR="00FA02BC" w:rsidRPr="00A3389E" w:rsidRDefault="00FA02BC" w:rsidP="00155C96">
            <w:pPr>
              <w:spacing w:after="120"/>
              <w:jc w:val="both"/>
              <w:rPr>
                <w:rFonts w:ascii="Times New Roman" w:eastAsia="Times New Roman" w:hAnsi="Times New Roman" w:cs="Times New Roman"/>
                <w:sz w:val="24"/>
              </w:rPr>
            </w:pPr>
            <w:r w:rsidRPr="00A3389E">
              <w:rPr>
                <w:rFonts w:ascii="Times New Roman" w:hAnsi="Times New Roman" w:cs="Times New Roman"/>
                <w:sz w:val="24"/>
              </w:rPr>
              <w:t>Inštitúcie, ktoré používajú príslušný ukazovateľ na výpočet požiadaviek na vlastné zdroje pre operačné riziko (prístupy BIA, TSA</w:t>
            </w:r>
            <w:r w:rsidR="00A3389E">
              <w:rPr>
                <w:rFonts w:ascii="Times New Roman" w:hAnsi="Times New Roman" w:cs="Times New Roman"/>
                <w:sz w:val="24"/>
              </w:rPr>
              <w:t xml:space="preserve"> a </w:t>
            </w:r>
            <w:r w:rsidRPr="00A3389E">
              <w:rPr>
                <w:rFonts w:ascii="Times New Roman" w:hAnsi="Times New Roman" w:cs="Times New Roman"/>
                <w:sz w:val="24"/>
              </w:rPr>
              <w:t>ASA), zverejňujú tento príslušný ukazovateľ za príslušné roky</w:t>
            </w:r>
            <w:r w:rsidR="00A3389E">
              <w:rPr>
                <w:rFonts w:ascii="Times New Roman" w:hAnsi="Times New Roman" w:cs="Times New Roman"/>
                <w:sz w:val="24"/>
              </w:rPr>
              <w:t xml:space="preserve"> v </w:t>
            </w:r>
            <w:r w:rsidRPr="00A3389E">
              <w:rPr>
                <w:rFonts w:ascii="Times New Roman" w:hAnsi="Times New Roman" w:cs="Times New Roman"/>
                <w:sz w:val="24"/>
              </w:rPr>
              <w:t>stĺpcoch</w:t>
            </w:r>
            <w:r w:rsidR="00A3389E">
              <w:rPr>
                <w:rFonts w:ascii="Times New Roman" w:hAnsi="Times New Roman" w:cs="Times New Roman"/>
                <w:sz w:val="24"/>
              </w:rPr>
              <w:t xml:space="preserve"> a </w:t>
            </w:r>
            <w:r w:rsidRPr="00A3389E">
              <w:rPr>
                <w:rFonts w:ascii="Times New Roman" w:hAnsi="Times New Roman" w:cs="Times New Roman"/>
                <w:sz w:val="24"/>
              </w:rPr>
              <w:t xml:space="preserve">až </w:t>
            </w:r>
            <w:r w:rsidRPr="00A3389E">
              <w:rPr>
                <w:rFonts w:ascii="Times New Roman" w:hAnsi="Times New Roman" w:cs="Times New Roman"/>
                <w:i/>
                <w:sz w:val="24"/>
              </w:rPr>
              <w:t>c</w:t>
            </w:r>
            <w:r w:rsidRPr="00A3389E">
              <w:rPr>
                <w:rFonts w:ascii="Times New Roman" w:hAnsi="Times New Roman" w:cs="Times New Roman"/>
                <w:sz w:val="24"/>
              </w:rPr>
              <w:t xml:space="preserve"> tohto vzoru. Okrem toho</w:t>
            </w:r>
            <w:r w:rsidR="00A3389E">
              <w:rPr>
                <w:rFonts w:ascii="Times New Roman" w:hAnsi="Times New Roman" w:cs="Times New Roman"/>
                <w:sz w:val="24"/>
              </w:rPr>
              <w:t xml:space="preserve"> v </w:t>
            </w:r>
            <w:r w:rsidRPr="00A3389E">
              <w:rPr>
                <w:rFonts w:ascii="Times New Roman" w:hAnsi="Times New Roman" w:cs="Times New Roman"/>
                <w:sz w:val="24"/>
              </w:rPr>
              <w:t>prípade kombinovaného používania rôznych prístupov podľa článku 314 CRR inštitúcie zverejňujú príslušný ukazovateľ aj pre činnosti, na ktoré sa vzťahuje prístup AMA. Banky uplatňujúce prístup AMA zverejňujú aj príslušný ukazovateľ pre činnosti, na ktoré sa vzťahuje prístup AMA.</w:t>
            </w:r>
          </w:p>
          <w:p w14:paraId="2ED7106D" w14:textId="232182D7" w:rsidR="00FA02BC" w:rsidRPr="00A3389E" w:rsidRDefault="00FA02BC" w:rsidP="00155C96">
            <w:pPr>
              <w:spacing w:after="120"/>
              <w:jc w:val="both"/>
              <w:rPr>
                <w:rFonts w:ascii="Times New Roman" w:hAnsi="Times New Roman" w:cs="Times New Roman"/>
                <w:sz w:val="24"/>
              </w:rPr>
            </w:pPr>
            <w:r w:rsidRPr="00A3389E">
              <w:rPr>
                <w:rFonts w:ascii="Times New Roman" w:hAnsi="Times New Roman" w:cs="Times New Roman"/>
                <w:sz w:val="24"/>
              </w:rPr>
              <w:t>Ak má inštitúcia</w:t>
            </w:r>
            <w:r w:rsidR="00A3389E">
              <w:rPr>
                <w:rFonts w:ascii="Times New Roman" w:hAnsi="Times New Roman" w:cs="Times New Roman"/>
                <w:sz w:val="24"/>
              </w:rPr>
              <w:t xml:space="preserve"> k </w:t>
            </w:r>
            <w:r w:rsidRPr="00A3389E">
              <w:rPr>
                <w:rFonts w:ascii="Times New Roman" w:hAnsi="Times New Roman" w:cs="Times New Roman"/>
                <w:sz w:val="24"/>
              </w:rPr>
              <w:t>dispozícii údaje</w:t>
            </w:r>
            <w:r w:rsidR="00A3389E">
              <w:rPr>
                <w:rFonts w:ascii="Times New Roman" w:hAnsi="Times New Roman" w:cs="Times New Roman"/>
                <w:sz w:val="24"/>
              </w:rPr>
              <w:t xml:space="preserve"> o </w:t>
            </w:r>
            <w:r w:rsidRPr="00A3389E">
              <w:rPr>
                <w:rFonts w:ascii="Times New Roman" w:hAnsi="Times New Roman" w:cs="Times New Roman"/>
                <w:sz w:val="24"/>
              </w:rPr>
              <w:t xml:space="preserve">„príslušnom ukazovateli“ za obdobie kratšie než tri roky, dostupné historické údaje (údaje overené audítorom) sa zaradia do príslušných stĺpcov vo vzore podľa priority. Ak sú napríklad </w:t>
            </w:r>
            <w:r w:rsidRPr="00A3389E">
              <w:rPr>
                <w:rFonts w:ascii="Times New Roman" w:hAnsi="Times New Roman" w:cs="Times New Roman"/>
                <w:sz w:val="24"/>
              </w:rPr>
              <w:lastRenderedPageBreak/>
              <w:t>historické údaje</w:t>
            </w:r>
            <w:r w:rsidR="00A3389E">
              <w:rPr>
                <w:rFonts w:ascii="Times New Roman" w:hAnsi="Times New Roman" w:cs="Times New Roman"/>
                <w:sz w:val="24"/>
              </w:rPr>
              <w:t xml:space="preserve"> k </w:t>
            </w:r>
            <w:r w:rsidRPr="00A3389E">
              <w:rPr>
                <w:rFonts w:ascii="Times New Roman" w:hAnsi="Times New Roman" w:cs="Times New Roman"/>
                <w:sz w:val="24"/>
              </w:rPr>
              <w:t>dispozícii len za jeden rok, zverejňujú sa</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c</w:t>
            </w:r>
            <w:r w:rsidRPr="00A3389E">
              <w:rPr>
                <w:rFonts w:ascii="Times New Roman" w:hAnsi="Times New Roman" w:cs="Times New Roman"/>
                <w:sz w:val="24"/>
              </w:rPr>
              <w:t xml:space="preserve"> tohto vzoru. Ak sa to zdá vhodné, tak sa do stĺpca </w:t>
            </w:r>
            <w:r w:rsidRPr="00A3389E">
              <w:rPr>
                <w:rFonts w:ascii="Times New Roman" w:hAnsi="Times New Roman" w:cs="Times New Roman"/>
                <w:i/>
                <w:sz w:val="24"/>
              </w:rPr>
              <w:t>b</w:t>
            </w:r>
            <w:r w:rsidRPr="00A3389E">
              <w:rPr>
                <w:rFonts w:ascii="Times New Roman" w:hAnsi="Times New Roman" w:cs="Times New Roman"/>
                <w:sz w:val="24"/>
              </w:rPr>
              <w:t xml:space="preserve"> (odhad na nasledujúci rok)</w:t>
            </w:r>
            <w:r w:rsidR="00A3389E">
              <w:rPr>
                <w:rFonts w:ascii="Times New Roman" w:hAnsi="Times New Roman" w:cs="Times New Roman"/>
                <w:sz w:val="24"/>
              </w:rPr>
              <w:t xml:space="preserve"> a </w:t>
            </w:r>
            <w:r w:rsidRPr="00A3389E">
              <w:rPr>
                <w:rFonts w:ascii="Times New Roman" w:hAnsi="Times New Roman" w:cs="Times New Roman"/>
                <w:sz w:val="24"/>
              </w:rPr>
              <w:t>do stĺpca</w:t>
            </w:r>
            <w:r w:rsidR="00A3389E">
              <w:rPr>
                <w:rFonts w:ascii="Times New Roman" w:hAnsi="Times New Roman" w:cs="Times New Roman"/>
                <w:sz w:val="24"/>
              </w:rPr>
              <w:t xml:space="preserve"> a </w:t>
            </w:r>
            <w:r w:rsidRPr="00A3389E">
              <w:rPr>
                <w:rFonts w:ascii="Times New Roman" w:hAnsi="Times New Roman" w:cs="Times New Roman"/>
                <w:sz w:val="24"/>
              </w:rPr>
              <w:t>(odhad na rok +2) tohto vzoru zahŕňajú výhľadové odhady.</w:t>
            </w:r>
          </w:p>
          <w:p w14:paraId="0B9DE538" w14:textId="57EA969E" w:rsidR="00FA02BC" w:rsidRPr="00A3389E" w:rsidRDefault="00FA02BC" w:rsidP="00155C96">
            <w:pPr>
              <w:spacing w:after="120"/>
              <w:jc w:val="both"/>
              <w:rPr>
                <w:rFonts w:ascii="Times New Roman" w:hAnsi="Times New Roman" w:cs="Times New Roman"/>
                <w:sz w:val="24"/>
              </w:rPr>
            </w:pPr>
            <w:r w:rsidRPr="00A3389E">
              <w:rPr>
                <w:rFonts w:ascii="Times New Roman" w:hAnsi="Times New Roman" w:cs="Times New Roman"/>
                <w:sz w:val="24"/>
              </w:rPr>
              <w:t>Navyše, ak nie sú</w:t>
            </w:r>
            <w:r w:rsidR="00A3389E">
              <w:rPr>
                <w:rFonts w:ascii="Times New Roman" w:hAnsi="Times New Roman" w:cs="Times New Roman"/>
                <w:sz w:val="24"/>
              </w:rPr>
              <w:t xml:space="preserve"> k </w:t>
            </w:r>
            <w:r w:rsidRPr="00A3389E">
              <w:rPr>
                <w:rFonts w:ascii="Times New Roman" w:hAnsi="Times New Roman" w:cs="Times New Roman"/>
                <w:sz w:val="24"/>
              </w:rPr>
              <w:t>dispozícii žiadne historické údaje</w:t>
            </w:r>
            <w:r w:rsidR="00A3389E">
              <w:rPr>
                <w:rFonts w:ascii="Times New Roman" w:hAnsi="Times New Roman" w:cs="Times New Roman"/>
                <w:sz w:val="24"/>
              </w:rPr>
              <w:t xml:space="preserve"> o </w:t>
            </w:r>
            <w:r w:rsidRPr="00A3389E">
              <w:rPr>
                <w:rFonts w:ascii="Times New Roman" w:hAnsi="Times New Roman" w:cs="Times New Roman"/>
                <w:sz w:val="24"/>
              </w:rPr>
              <w:t>„príslušnom ukazovateli“, inštitúcia môže zverejniť výhľadové obchodné odhady použité na výpočet požiadaviek na vlastné zdroje.</w:t>
            </w:r>
          </w:p>
        </w:tc>
      </w:tr>
      <w:tr w:rsidR="00FA02BC" w:rsidRPr="00A3389E" w14:paraId="2B6A7CB9" w14:textId="77777777" w:rsidTr="00155C96">
        <w:trPr>
          <w:trHeight w:val="238"/>
        </w:trPr>
        <w:tc>
          <w:tcPr>
            <w:tcW w:w="1271" w:type="dxa"/>
            <w:shd w:val="clear" w:color="auto" w:fill="FFFFFF" w:themeFill="background1"/>
          </w:tcPr>
          <w:p w14:paraId="1E357E61" w14:textId="77777777" w:rsidR="00FA02BC" w:rsidRPr="00A3389E" w:rsidRDefault="00FA02BC" w:rsidP="00155C96">
            <w:pPr>
              <w:autoSpaceDE w:val="0"/>
              <w:autoSpaceDN w:val="0"/>
              <w:adjustRightInd w:val="0"/>
              <w:spacing w:after="120"/>
              <w:jc w:val="center"/>
              <w:rPr>
                <w:rFonts w:ascii="Times New Roman" w:hAnsi="Times New Roman" w:cs="Times New Roman"/>
                <w:b/>
                <w:sz w:val="24"/>
              </w:rPr>
            </w:pPr>
            <w:r w:rsidRPr="00A3389E">
              <w:rPr>
                <w:rFonts w:ascii="Times New Roman" w:hAnsi="Times New Roman" w:cs="Times New Roman"/>
                <w:b/>
                <w:sz w:val="24"/>
              </w:rPr>
              <w:lastRenderedPageBreak/>
              <w:t>d</w:t>
            </w:r>
          </w:p>
        </w:tc>
        <w:tc>
          <w:tcPr>
            <w:tcW w:w="7768" w:type="dxa"/>
            <w:shd w:val="clear" w:color="auto" w:fill="FFFFFF" w:themeFill="background1"/>
          </w:tcPr>
          <w:p w14:paraId="053E0E42" w14:textId="77777777" w:rsidR="00FA02BC" w:rsidRPr="00A3389E" w:rsidRDefault="00FA02BC" w:rsidP="00155C96">
            <w:pPr>
              <w:spacing w:after="120"/>
              <w:jc w:val="both"/>
              <w:rPr>
                <w:rFonts w:ascii="Times New Roman" w:eastAsia="Times New Roman" w:hAnsi="Times New Roman" w:cs="Times New Roman"/>
                <w:b/>
                <w:sz w:val="24"/>
              </w:rPr>
            </w:pPr>
            <w:r w:rsidRPr="00A3389E">
              <w:rPr>
                <w:rFonts w:ascii="Times New Roman" w:hAnsi="Times New Roman" w:cs="Times New Roman"/>
                <w:b/>
                <w:sz w:val="24"/>
              </w:rPr>
              <w:t>Požiadavky na vlastné zdroje</w:t>
            </w:r>
          </w:p>
          <w:p w14:paraId="38B5A43D" w14:textId="4C45E9AC" w:rsidR="00FA02BC" w:rsidRPr="00A3389E" w:rsidRDefault="00FA02BC" w:rsidP="00155C96">
            <w:pPr>
              <w:spacing w:after="120"/>
              <w:jc w:val="both"/>
              <w:rPr>
                <w:rFonts w:ascii="Times New Roman" w:hAnsi="Times New Roman" w:cs="Times New Roman"/>
                <w:sz w:val="24"/>
              </w:rPr>
            </w:pPr>
            <w:r w:rsidRPr="00A3389E">
              <w:rPr>
                <w:rFonts w:ascii="Times New Roman" w:hAnsi="Times New Roman" w:cs="Times New Roman"/>
                <w:sz w:val="24"/>
              </w:rPr>
              <w:t>Požiadavky na vlastné zdroje, ktoré sa vypočítavajú</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použitým prístupom podľa článkov 312 až 324 CRR. Výsledná suma sa zverejňuje</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d</w:t>
            </w:r>
            <w:r w:rsidRPr="00A3389E">
              <w:rPr>
                <w:rFonts w:ascii="Times New Roman" w:hAnsi="Times New Roman" w:cs="Times New Roman"/>
                <w:sz w:val="24"/>
              </w:rPr>
              <w:t xml:space="preserve"> tohto vzoru.</w:t>
            </w:r>
          </w:p>
        </w:tc>
      </w:tr>
      <w:tr w:rsidR="00FA02BC" w:rsidRPr="00A3389E" w14:paraId="58A493E7" w14:textId="77777777" w:rsidTr="00155C96">
        <w:trPr>
          <w:trHeight w:val="238"/>
        </w:trPr>
        <w:tc>
          <w:tcPr>
            <w:tcW w:w="1271" w:type="dxa"/>
            <w:shd w:val="clear" w:color="auto" w:fill="FFFFFF" w:themeFill="background1"/>
          </w:tcPr>
          <w:p w14:paraId="2F3F8067" w14:textId="77777777" w:rsidR="00FA02BC" w:rsidRPr="00A3389E" w:rsidRDefault="00FA02BC" w:rsidP="00155C96">
            <w:pPr>
              <w:autoSpaceDE w:val="0"/>
              <w:autoSpaceDN w:val="0"/>
              <w:adjustRightInd w:val="0"/>
              <w:spacing w:after="120"/>
              <w:jc w:val="center"/>
              <w:rPr>
                <w:rFonts w:ascii="Times New Roman" w:hAnsi="Times New Roman" w:cs="Times New Roman"/>
                <w:b/>
                <w:sz w:val="24"/>
              </w:rPr>
            </w:pPr>
            <w:r w:rsidRPr="00A3389E">
              <w:rPr>
                <w:rFonts w:ascii="Times New Roman" w:hAnsi="Times New Roman" w:cs="Times New Roman"/>
                <w:b/>
                <w:sz w:val="24"/>
              </w:rPr>
              <w:t>e</w:t>
            </w:r>
          </w:p>
        </w:tc>
        <w:tc>
          <w:tcPr>
            <w:tcW w:w="7768" w:type="dxa"/>
            <w:shd w:val="clear" w:color="auto" w:fill="FFFFFF" w:themeFill="background1"/>
          </w:tcPr>
          <w:p w14:paraId="322DB5ED" w14:textId="77777777" w:rsidR="00FA02BC" w:rsidRPr="00A3389E" w:rsidRDefault="00FA02BC" w:rsidP="00155C96">
            <w:pPr>
              <w:spacing w:after="120"/>
              <w:jc w:val="both"/>
              <w:rPr>
                <w:rFonts w:ascii="Times New Roman" w:eastAsia="Times New Roman" w:hAnsi="Times New Roman" w:cs="Times New Roman"/>
                <w:b/>
                <w:sz w:val="24"/>
              </w:rPr>
            </w:pPr>
            <w:r w:rsidRPr="00A3389E">
              <w:rPr>
                <w:rFonts w:ascii="Times New Roman" w:hAnsi="Times New Roman" w:cs="Times New Roman"/>
                <w:b/>
                <w:sz w:val="24"/>
              </w:rPr>
              <w:t>Hodnota rizikovej expozície</w:t>
            </w:r>
          </w:p>
          <w:p w14:paraId="1EA91C04" w14:textId="77770197" w:rsidR="00FA02BC" w:rsidRPr="00A3389E" w:rsidRDefault="00FA02BC" w:rsidP="00155C96">
            <w:pPr>
              <w:spacing w:after="120"/>
              <w:jc w:val="both"/>
              <w:rPr>
                <w:rFonts w:ascii="Times New Roman" w:hAnsi="Times New Roman" w:cs="Times New Roman"/>
                <w:b/>
                <w:sz w:val="24"/>
              </w:rPr>
            </w:pPr>
            <w:r w:rsidRPr="00A3389E">
              <w:rPr>
                <w:rFonts w:ascii="Times New Roman" w:hAnsi="Times New Roman" w:cs="Times New Roman"/>
                <w:sz w:val="24"/>
              </w:rPr>
              <w:t>Článok 92 ods. 3 písm. e)</w:t>
            </w:r>
            <w:r w:rsidR="00A3389E">
              <w:rPr>
                <w:rFonts w:ascii="Times New Roman" w:hAnsi="Times New Roman" w:cs="Times New Roman"/>
                <w:sz w:val="24"/>
              </w:rPr>
              <w:t xml:space="preserve"> a </w:t>
            </w:r>
            <w:r w:rsidRPr="00A3389E">
              <w:rPr>
                <w:rFonts w:ascii="Times New Roman" w:hAnsi="Times New Roman" w:cs="Times New Roman"/>
                <w:sz w:val="24"/>
              </w:rPr>
              <w:t>článok 92 ods. 4 CRR. Požiadavky na vlastné zdroje</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stĺpci </w:t>
            </w:r>
            <w:r w:rsidRPr="00A3389E">
              <w:rPr>
                <w:rFonts w:ascii="Times New Roman" w:hAnsi="Times New Roman" w:cs="Times New Roman"/>
                <w:i/>
                <w:sz w:val="24"/>
              </w:rPr>
              <w:t>d</w:t>
            </w:r>
            <w:r w:rsidRPr="00A3389E">
              <w:rPr>
                <w:rFonts w:ascii="Times New Roman" w:hAnsi="Times New Roman" w:cs="Times New Roman"/>
                <w:sz w:val="24"/>
              </w:rPr>
              <w:t xml:space="preserve"> tohto vzoru vynásobené koeficientom 12,5.</w:t>
            </w:r>
          </w:p>
        </w:tc>
      </w:tr>
      <w:tr w:rsidR="00FA02BC" w:rsidRPr="00A3389E"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A3389E" w:rsidRDefault="00FA02BC"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 xml:space="preserve">Riadok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A3389E" w:rsidRDefault="00FA02BC" w:rsidP="00155C96">
            <w:pPr>
              <w:spacing w:after="120"/>
              <w:rPr>
                <w:rFonts w:ascii="Times New Roman" w:hAnsi="Times New Roman" w:cs="Times New Roman"/>
                <w:b/>
                <w:sz w:val="24"/>
              </w:rPr>
            </w:pPr>
            <w:r w:rsidRPr="00A3389E">
              <w:rPr>
                <w:rFonts w:ascii="Times New Roman" w:hAnsi="Times New Roman" w:cs="Times New Roman"/>
                <w:b/>
                <w:sz w:val="24"/>
              </w:rPr>
              <w:t>Vysvetlenie</w:t>
            </w:r>
          </w:p>
        </w:tc>
      </w:tr>
      <w:tr w:rsidR="00FA02BC" w:rsidRPr="00A3389E"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A3389E" w:rsidRDefault="00FA02BC" w:rsidP="00155C96">
            <w:pPr>
              <w:autoSpaceDE w:val="0"/>
              <w:autoSpaceDN w:val="0"/>
              <w:adjustRightInd w:val="0"/>
              <w:spacing w:after="120"/>
              <w:jc w:val="center"/>
              <w:rPr>
                <w:rFonts w:ascii="Times New Roman" w:hAnsi="Times New Roman" w:cs="Times New Roman"/>
                <w:b/>
                <w:sz w:val="24"/>
              </w:rPr>
            </w:pPr>
            <w:r w:rsidRPr="00A3389E">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A3389E" w:rsidRDefault="00FA02BC" w:rsidP="00155C96">
            <w:pPr>
              <w:spacing w:after="120"/>
              <w:jc w:val="both"/>
              <w:rPr>
                <w:rFonts w:ascii="Times New Roman" w:eastAsia="Times New Roman" w:hAnsi="Times New Roman" w:cs="Times New Roman"/>
                <w:b/>
                <w:sz w:val="24"/>
              </w:rPr>
            </w:pPr>
            <w:r w:rsidRPr="00A3389E">
              <w:rPr>
                <w:rFonts w:ascii="Times New Roman" w:hAnsi="Times New Roman" w:cs="Times New Roman"/>
                <w:b/>
                <w:sz w:val="24"/>
              </w:rPr>
              <w:t>Bankové činnosti, na ktoré sa uplatňuje prístup základného ukazovateľa (BIA)</w:t>
            </w:r>
          </w:p>
          <w:p w14:paraId="06F86F19" w14:textId="2475C0D7" w:rsidR="00FA02BC" w:rsidRPr="00A3389E" w:rsidRDefault="00FA02BC" w:rsidP="00155C96">
            <w:pPr>
              <w:spacing w:after="120"/>
              <w:jc w:val="both"/>
              <w:rPr>
                <w:rFonts w:ascii="Times New Roman" w:eastAsia="Times New Roman" w:hAnsi="Times New Roman" w:cs="Times New Roman"/>
                <w:sz w:val="24"/>
              </w:rPr>
            </w:pPr>
            <w:r w:rsidRPr="00A3389E">
              <w:rPr>
                <w:rFonts w:ascii="Times New Roman" w:hAnsi="Times New Roman" w:cs="Times New Roman"/>
                <w:sz w:val="24"/>
              </w:rPr>
              <w:t>V tomto riadku sa uvádzajú hodnoty zodpovedajúce činnostiam, na ktoré sa uplatňuje prístup BIA na výpočet požiadaviek na vlastné zdroje pre operačné riziko (články 315</w:t>
            </w:r>
            <w:r w:rsidR="00A3389E">
              <w:rPr>
                <w:rFonts w:ascii="Times New Roman" w:hAnsi="Times New Roman" w:cs="Times New Roman"/>
                <w:sz w:val="24"/>
              </w:rPr>
              <w:t xml:space="preserve"> a </w:t>
            </w:r>
            <w:r w:rsidRPr="00A3389E">
              <w:rPr>
                <w:rFonts w:ascii="Times New Roman" w:hAnsi="Times New Roman" w:cs="Times New Roman"/>
                <w:sz w:val="24"/>
              </w:rPr>
              <w:t>316 CRR).</w:t>
            </w:r>
          </w:p>
        </w:tc>
      </w:tr>
      <w:tr w:rsidR="00FA02BC" w:rsidRPr="00A3389E"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A3389E" w:rsidRDefault="00FA02BC" w:rsidP="00155C96">
            <w:pPr>
              <w:autoSpaceDE w:val="0"/>
              <w:autoSpaceDN w:val="0"/>
              <w:adjustRightInd w:val="0"/>
              <w:spacing w:after="120"/>
              <w:jc w:val="center"/>
              <w:rPr>
                <w:rFonts w:ascii="Times New Roman" w:hAnsi="Times New Roman" w:cs="Times New Roman"/>
                <w:b/>
                <w:sz w:val="24"/>
              </w:rPr>
            </w:pPr>
            <w:r w:rsidRPr="00A3389E">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A3389E" w:rsidRDefault="00FA02BC" w:rsidP="00155C96">
            <w:pPr>
              <w:spacing w:after="120"/>
              <w:jc w:val="both"/>
              <w:rPr>
                <w:rFonts w:ascii="Times New Roman" w:eastAsia="Times New Roman" w:hAnsi="Times New Roman" w:cs="Times New Roman"/>
                <w:b/>
                <w:sz w:val="24"/>
              </w:rPr>
            </w:pPr>
            <w:r w:rsidRPr="00A3389E">
              <w:rPr>
                <w:rFonts w:ascii="Times New Roman" w:hAnsi="Times New Roman" w:cs="Times New Roman"/>
                <w:b/>
                <w:sz w:val="24"/>
              </w:rPr>
              <w:t>Bankové činnosti, na ktoré sa uplatňuje štandardizovaný prístup (TSA)/alternatívny štandardizovaný prístup (ASA)</w:t>
            </w:r>
          </w:p>
          <w:p w14:paraId="6667F8AA" w14:textId="78E8727D" w:rsidR="00FA02BC" w:rsidRPr="00A3389E" w:rsidRDefault="00FA02BC" w:rsidP="00155C96">
            <w:pPr>
              <w:spacing w:after="120"/>
              <w:jc w:val="both"/>
              <w:rPr>
                <w:rFonts w:ascii="Times New Roman" w:eastAsia="Times New Roman" w:hAnsi="Times New Roman" w:cs="Times New Roman"/>
                <w:sz w:val="24"/>
              </w:rPr>
            </w:pPr>
            <w:r w:rsidRPr="00A3389E">
              <w:rPr>
                <w:rFonts w:ascii="Times New Roman" w:hAnsi="Times New Roman" w:cs="Times New Roman"/>
                <w:sz w:val="24"/>
              </w:rPr>
              <w:t>V tomto riadku sa uvádzajú požiadavky na vlastné zdroje vypočítané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prístupmi TSA</w:t>
            </w:r>
            <w:r w:rsidR="00A3389E">
              <w:rPr>
                <w:rFonts w:ascii="Times New Roman" w:hAnsi="Times New Roman" w:cs="Times New Roman"/>
                <w:sz w:val="24"/>
              </w:rPr>
              <w:t xml:space="preserve"> a </w:t>
            </w:r>
            <w:r w:rsidRPr="00A3389E">
              <w:rPr>
                <w:rFonts w:ascii="Times New Roman" w:hAnsi="Times New Roman" w:cs="Times New Roman"/>
                <w:sz w:val="24"/>
              </w:rPr>
              <w:t>ASA (články 317 až 320 CRR).</w:t>
            </w:r>
          </w:p>
        </w:tc>
      </w:tr>
      <w:tr w:rsidR="00FA02BC" w:rsidRPr="00A3389E"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A3389E" w:rsidRDefault="00FA02BC" w:rsidP="00155C96">
            <w:pPr>
              <w:autoSpaceDE w:val="0"/>
              <w:autoSpaceDN w:val="0"/>
              <w:adjustRightInd w:val="0"/>
              <w:spacing w:after="120"/>
              <w:jc w:val="center"/>
              <w:rPr>
                <w:rFonts w:ascii="Times New Roman" w:hAnsi="Times New Roman" w:cs="Times New Roman"/>
                <w:b/>
                <w:sz w:val="24"/>
              </w:rPr>
            </w:pPr>
            <w:r w:rsidRPr="00A3389E">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A3389E" w:rsidRDefault="00FA02BC" w:rsidP="00155C96">
            <w:pPr>
              <w:spacing w:after="120"/>
              <w:jc w:val="both"/>
              <w:rPr>
                <w:rStyle w:val="InstructionsTabelleberschrift"/>
                <w:rFonts w:ascii="Times New Roman" w:eastAsia="Times New Roman" w:hAnsi="Times New Roman"/>
                <w:bCs w:val="0"/>
                <w:sz w:val="24"/>
              </w:rPr>
            </w:pPr>
            <w:r w:rsidRPr="00A3389E">
              <w:rPr>
                <w:rStyle w:val="InstructionsTabelleberschrift"/>
                <w:rFonts w:ascii="Times New Roman" w:hAnsi="Times New Roman"/>
                <w:sz w:val="24"/>
              </w:rPr>
              <w:t>Uplatňovanie prístupu TSA</w:t>
            </w:r>
          </w:p>
          <w:p w14:paraId="6DA3CF06" w14:textId="0B7B3C12" w:rsidR="00FA02BC" w:rsidRPr="00A3389E" w:rsidRDefault="00FA02BC" w:rsidP="00155C96">
            <w:pPr>
              <w:spacing w:after="120"/>
              <w:jc w:val="both"/>
              <w:rPr>
                <w:rFonts w:ascii="Times New Roman" w:eastAsia="Times New Roman" w:hAnsi="Times New Roman" w:cs="Times New Roman"/>
                <w:sz w:val="24"/>
              </w:rPr>
            </w:pPr>
            <w:r w:rsidRPr="00A3389E">
              <w:rPr>
                <w:rFonts w:ascii="Times New Roman" w:hAnsi="Times New Roman" w:cs="Times New Roman"/>
                <w:sz w:val="24"/>
              </w:rPr>
              <w:t>V prípade používania prístupu TSA príslušný ukazovateľ za každý príslušný rok zahŕňa všetky obchodné línie vymedzené</w:t>
            </w:r>
            <w:r w:rsidR="00A3389E">
              <w:rPr>
                <w:rFonts w:ascii="Times New Roman" w:hAnsi="Times New Roman" w:cs="Times New Roman"/>
                <w:sz w:val="24"/>
              </w:rPr>
              <w:t xml:space="preserve"> v </w:t>
            </w:r>
            <w:r w:rsidRPr="00A3389E">
              <w:rPr>
                <w:rFonts w:ascii="Times New Roman" w:hAnsi="Times New Roman" w:cs="Times New Roman"/>
                <w:sz w:val="24"/>
              </w:rPr>
              <w:t>tabuľke 2 zahrnutej</w:t>
            </w:r>
            <w:r w:rsidR="00A3389E">
              <w:rPr>
                <w:rFonts w:ascii="Times New Roman" w:hAnsi="Times New Roman" w:cs="Times New Roman"/>
                <w:sz w:val="24"/>
              </w:rPr>
              <w:t xml:space="preserve"> v </w:t>
            </w:r>
            <w:r w:rsidRPr="00A3389E">
              <w:rPr>
                <w:rFonts w:ascii="Times New Roman" w:hAnsi="Times New Roman" w:cs="Times New Roman"/>
                <w:sz w:val="24"/>
              </w:rPr>
              <w:t xml:space="preserve">článku 317 CRR. </w:t>
            </w:r>
          </w:p>
        </w:tc>
      </w:tr>
      <w:tr w:rsidR="00FA02BC" w:rsidRPr="00A3389E"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A3389E" w:rsidRDefault="00FA02BC" w:rsidP="00155C96">
            <w:pPr>
              <w:autoSpaceDE w:val="0"/>
              <w:autoSpaceDN w:val="0"/>
              <w:adjustRightInd w:val="0"/>
              <w:spacing w:after="120"/>
              <w:jc w:val="center"/>
              <w:rPr>
                <w:rFonts w:ascii="Times New Roman" w:hAnsi="Times New Roman" w:cs="Times New Roman"/>
                <w:b/>
                <w:sz w:val="24"/>
              </w:rPr>
            </w:pPr>
            <w:r w:rsidRPr="00A3389E">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A3389E" w:rsidRDefault="00FA02BC" w:rsidP="00155C96">
            <w:pPr>
              <w:spacing w:after="120"/>
              <w:jc w:val="both"/>
              <w:rPr>
                <w:rStyle w:val="InstructionsTabelleberschrift"/>
                <w:rFonts w:ascii="Times New Roman" w:eastAsia="Times New Roman" w:hAnsi="Times New Roman"/>
                <w:bCs w:val="0"/>
                <w:sz w:val="24"/>
              </w:rPr>
            </w:pPr>
            <w:r w:rsidRPr="00A3389E">
              <w:rPr>
                <w:rStyle w:val="InstructionsTabelleberschrift"/>
                <w:rFonts w:ascii="Times New Roman" w:hAnsi="Times New Roman"/>
                <w:sz w:val="24"/>
              </w:rPr>
              <w:t>Uplatňovanie prístupu ASA</w:t>
            </w:r>
          </w:p>
          <w:p w14:paraId="3A2759CA" w14:textId="77777777" w:rsidR="00FA02BC" w:rsidRPr="00A3389E" w:rsidRDefault="00FA02BC" w:rsidP="00155C96">
            <w:pPr>
              <w:spacing w:after="120"/>
              <w:jc w:val="both"/>
              <w:rPr>
                <w:rFonts w:ascii="Times New Roman" w:eastAsia="Times New Roman" w:hAnsi="Times New Roman" w:cs="Times New Roman"/>
                <w:sz w:val="24"/>
              </w:rPr>
            </w:pPr>
            <w:r w:rsidRPr="00A3389E">
              <w:rPr>
                <w:rFonts w:ascii="Times New Roman" w:hAnsi="Times New Roman" w:cs="Times New Roman"/>
                <w:sz w:val="24"/>
              </w:rPr>
              <w:t xml:space="preserve">Inštitúcie, ktoré používajú prístup ASA (článok 319 CRR), zverejňujú príslušný ukazovateľ za príslušné roky. </w:t>
            </w:r>
          </w:p>
        </w:tc>
      </w:tr>
      <w:tr w:rsidR="00FA02BC" w:rsidRPr="00A3389E"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A3389E" w:rsidRDefault="00FA02BC" w:rsidP="00155C96">
            <w:pPr>
              <w:autoSpaceDE w:val="0"/>
              <w:autoSpaceDN w:val="0"/>
              <w:adjustRightInd w:val="0"/>
              <w:spacing w:after="120"/>
              <w:jc w:val="center"/>
              <w:rPr>
                <w:rFonts w:ascii="Times New Roman" w:hAnsi="Times New Roman" w:cs="Times New Roman"/>
                <w:b/>
                <w:sz w:val="24"/>
              </w:rPr>
            </w:pPr>
            <w:r w:rsidRPr="00A3389E">
              <w:rPr>
                <w:rFonts w:ascii="Times New Roman" w:hAnsi="Times New Roman" w:cs="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A3389E" w:rsidRDefault="00FA02BC" w:rsidP="00155C96">
            <w:pPr>
              <w:spacing w:after="120"/>
              <w:jc w:val="both"/>
              <w:rPr>
                <w:rFonts w:ascii="Times New Roman" w:eastAsia="Times New Roman" w:hAnsi="Times New Roman" w:cs="Times New Roman"/>
                <w:b/>
                <w:sz w:val="24"/>
              </w:rPr>
            </w:pPr>
            <w:r w:rsidRPr="00A3389E">
              <w:rPr>
                <w:rFonts w:ascii="Times New Roman" w:hAnsi="Times New Roman" w:cs="Times New Roman"/>
                <w:b/>
                <w:sz w:val="24"/>
              </w:rPr>
              <w:t>Bankové činnosti, na ktoré sa uplatňujú pokročilé prístupy merania (AMA)</w:t>
            </w:r>
          </w:p>
          <w:p w14:paraId="7FC6C5B5" w14:textId="4540DC89" w:rsidR="00A3389E" w:rsidRPr="00A3389E" w:rsidRDefault="00FA02BC" w:rsidP="00155C96">
            <w:pPr>
              <w:spacing w:after="120"/>
              <w:jc w:val="both"/>
              <w:rPr>
                <w:rFonts w:ascii="Times New Roman" w:hAnsi="Times New Roman" w:cs="Times New Roman"/>
                <w:sz w:val="24"/>
              </w:rPr>
            </w:pPr>
            <w:r w:rsidRPr="00A3389E">
              <w:rPr>
                <w:rFonts w:ascii="Times New Roman" w:hAnsi="Times New Roman" w:cs="Times New Roman"/>
                <w:sz w:val="24"/>
              </w:rPr>
              <w:t>Zverejňujú sa príslušné údaje pre inštitúcie používajúce prístupy AMA (článok 312 ods. 2</w:t>
            </w:r>
            <w:r w:rsidR="00A3389E">
              <w:rPr>
                <w:rFonts w:ascii="Times New Roman" w:hAnsi="Times New Roman" w:cs="Times New Roman"/>
                <w:sz w:val="24"/>
              </w:rPr>
              <w:t xml:space="preserve"> a </w:t>
            </w:r>
            <w:r w:rsidRPr="00A3389E">
              <w:rPr>
                <w:rFonts w:ascii="Times New Roman" w:hAnsi="Times New Roman" w:cs="Times New Roman"/>
                <w:sz w:val="24"/>
              </w:rPr>
              <w:t>články 321 až 323 CRR)</w:t>
            </w:r>
            <w:r w:rsidR="00A3389E" w:rsidRPr="00A3389E">
              <w:rPr>
                <w:rFonts w:ascii="Times New Roman" w:hAnsi="Times New Roman" w:cs="Times New Roman"/>
                <w:sz w:val="24"/>
              </w:rPr>
              <w:t>.</w:t>
            </w:r>
          </w:p>
          <w:p w14:paraId="539E2E99" w14:textId="7DF11CF0" w:rsidR="00FA02BC" w:rsidRPr="00A3389E" w:rsidRDefault="00FA02BC" w:rsidP="00155C96">
            <w:pPr>
              <w:spacing w:after="120"/>
              <w:jc w:val="both"/>
              <w:rPr>
                <w:rFonts w:ascii="Times New Roman" w:eastAsia="Times New Roman" w:hAnsi="Times New Roman" w:cs="Times New Roman"/>
                <w:b/>
                <w:sz w:val="24"/>
              </w:rPr>
            </w:pPr>
            <w:r w:rsidRPr="00A3389E">
              <w:rPr>
                <w:rFonts w:ascii="Times New Roman" w:hAnsi="Times New Roman" w:cs="Times New Roman"/>
                <w:sz w:val="24"/>
              </w:rPr>
              <w:t>V prípade kombinovaného používania rôznych prístupov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314 CRR sa zverejňuje aj príslušný ukazovateľ pre činnosti, na ktoré sa uplatňujú AMA. Banky uplatňujúce prístup AMA zverejňujú aj príslušný ukazovateľ pre činnosti, na ktoré sa vzťahuje prístup AMA.</w:t>
            </w:r>
          </w:p>
        </w:tc>
      </w:tr>
    </w:tbl>
    <w:p w14:paraId="0AC547C5" w14:textId="77777777" w:rsidR="00FA02BC" w:rsidRPr="00A3389E"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A3389E"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A3389E" w:rsidRDefault="003D6F47" w:rsidP="00FA02BC">
      <w:pPr>
        <w:spacing w:after="120"/>
        <w:jc w:val="both"/>
        <w:rPr>
          <w:rFonts w:ascii="Times New Roman" w:eastAsia="Times New Roman" w:hAnsi="Times New Roman" w:cs="Times New Roman"/>
          <w:color w:val="000000"/>
          <w:sz w:val="24"/>
          <w:lang w:eastAsia="en-GB"/>
        </w:rPr>
        <w:sectPr w:rsidR="003D6F47" w:rsidRPr="00A3389E" w:rsidSect="00155C96">
          <w:pgSz w:w="11900" w:h="16840"/>
          <w:pgMar w:top="2268" w:right="1418" w:bottom="1134" w:left="1701" w:header="709" w:footer="709" w:gutter="0"/>
          <w:pgNumType w:start="1" w:chapStyle="1"/>
          <w:cols w:space="708"/>
          <w:docGrid w:linePitch="299"/>
        </w:sectPr>
      </w:pPr>
    </w:p>
    <w:p w14:paraId="7F17C8F9" w14:textId="5E01C06B" w:rsidR="009360C9" w:rsidRPr="00A3389E" w:rsidRDefault="009360C9" w:rsidP="009360C9">
      <w:pPr>
        <w:pStyle w:val="Annexetitre"/>
        <w:spacing w:after="240"/>
        <w:rPr>
          <w:u w:val="none"/>
        </w:rPr>
      </w:pPr>
      <w:r w:rsidRPr="00A3389E">
        <w:rPr>
          <w:u w:val="none"/>
        </w:rPr>
        <w:lastRenderedPageBreak/>
        <w:t>PRÍLOHA XXXIV – Pokyny na zverejňovanie vzorov týkajúcich sa politiky odmeňovania</w:t>
      </w:r>
    </w:p>
    <w:p w14:paraId="4E85F73C" w14:textId="77777777" w:rsidR="009360C9" w:rsidRPr="00A3389E" w:rsidRDefault="009360C9" w:rsidP="009360C9">
      <w:pPr>
        <w:pStyle w:val="Titlelevel2"/>
        <w:spacing w:before="120" w:after="120"/>
        <w:rPr>
          <w:rFonts w:ascii="Times New Roman" w:hAnsi="Times New Roman" w:cs="Times New Roman"/>
          <w:b/>
          <w:color w:val="auto"/>
          <w:sz w:val="22"/>
        </w:rPr>
      </w:pPr>
    </w:p>
    <w:p w14:paraId="046A9F87" w14:textId="0EE10F08" w:rsidR="009360C9" w:rsidRPr="00A3389E" w:rsidRDefault="00D95507" w:rsidP="009360C9">
      <w:pPr>
        <w:pStyle w:val="Titlelevel2"/>
        <w:spacing w:before="120" w:after="120"/>
        <w:rPr>
          <w:rFonts w:ascii="Times New Roman" w:hAnsi="Times New Roman" w:cs="Times New Roman"/>
          <w:b/>
          <w:color w:val="auto"/>
          <w:sz w:val="24"/>
        </w:rPr>
      </w:pPr>
      <w:r w:rsidRPr="00A3389E">
        <w:rPr>
          <w:rFonts w:ascii="Times New Roman" w:hAnsi="Times New Roman" w:cs="Times New Roman"/>
          <w:b/>
          <w:color w:val="auto"/>
          <w:sz w:val="24"/>
        </w:rPr>
        <w:t xml:space="preserve">Tabuľka EU REMA – Politika odmeňovania: </w:t>
      </w:r>
      <w:r w:rsidRPr="00A3389E">
        <w:rPr>
          <w:rFonts w:ascii="Times New Roman" w:hAnsi="Times New Roman" w:cs="Times New Roman"/>
          <w:color w:val="auto"/>
          <w:sz w:val="24"/>
        </w:rPr>
        <w:t>Flexibilný formát</w:t>
      </w:r>
    </w:p>
    <w:p w14:paraId="0976B2A5" w14:textId="3CF3AD74" w:rsidR="009360C9" w:rsidRPr="00A3389E" w:rsidRDefault="00A3389E" w:rsidP="00A3389E">
      <w:pPr>
        <w:pStyle w:val="Titlelevel2"/>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1.</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Inštitúcie zverejňujú informácie uvedené</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článku 450 ods. 1 písm. a), b), c), d), e), f), j)</w:t>
      </w:r>
      <w:r>
        <w:rPr>
          <w:rFonts w:ascii="Times New Roman" w:hAnsi="Times New Roman" w:cs="Times New Roman"/>
          <w:bCs w:val="0"/>
          <w:color w:val="auto"/>
          <w:sz w:val="24"/>
        </w:rPr>
        <w:t xml:space="preserve"> a </w:t>
      </w:r>
      <w:r w:rsidR="009360C9" w:rsidRPr="00A3389E">
        <w:rPr>
          <w:rFonts w:ascii="Times New Roman" w:hAnsi="Times New Roman" w:cs="Times New Roman"/>
          <w:bCs w:val="0"/>
          <w:color w:val="auto"/>
          <w:sz w:val="24"/>
        </w:rPr>
        <w:t>k)</w:t>
      </w:r>
      <w:r>
        <w:rPr>
          <w:rFonts w:ascii="Times New Roman" w:hAnsi="Times New Roman" w:cs="Times New Roman"/>
          <w:bCs w:val="0"/>
          <w:color w:val="auto"/>
          <w:sz w:val="24"/>
        </w:rPr>
        <w:t xml:space="preserve"> a v </w:t>
      </w:r>
      <w:r w:rsidR="009360C9" w:rsidRPr="00A3389E">
        <w:rPr>
          <w:rFonts w:ascii="Times New Roman" w:hAnsi="Times New Roman" w:cs="Times New Roman"/>
          <w:bCs w:val="0"/>
          <w:color w:val="auto"/>
          <w:sz w:val="24"/>
        </w:rPr>
        <w:t>článku 450 ods. 2 CRR</w:t>
      </w:r>
      <w:r w:rsidR="009360C9" w:rsidRPr="00A3389E">
        <w:rPr>
          <w:rStyle w:val="FootnoteReference"/>
          <w:rFonts w:ascii="Times New Roman" w:eastAsiaTheme="minorEastAsia" w:hAnsi="Times New Roman" w:cs="Times New Roman"/>
          <w:bCs w:val="0"/>
          <w:color w:val="auto"/>
          <w:sz w:val="24"/>
          <w:szCs w:val="24"/>
        </w:rPr>
        <w:footnoteReference w:id="50"/>
      </w:r>
      <w:r w:rsidR="009360C9" w:rsidRPr="00A3389E">
        <w:rPr>
          <w:rFonts w:ascii="Times New Roman" w:hAnsi="Times New Roman" w:cs="Times New Roman"/>
          <w:bCs w:val="0"/>
          <w:color w:val="auto"/>
          <w:sz w:val="24"/>
        </w:rPr>
        <w:t xml:space="preserve"> podľa pokynov uvedených nižšie</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tejto prílohe</w:t>
      </w:r>
      <w:r>
        <w:rPr>
          <w:rFonts w:ascii="Times New Roman" w:hAnsi="Times New Roman" w:cs="Times New Roman"/>
          <w:bCs w:val="0"/>
          <w:color w:val="auto"/>
          <w:sz w:val="24"/>
        </w:rPr>
        <w:t xml:space="preserve"> s </w:t>
      </w:r>
      <w:r w:rsidR="009360C9" w:rsidRPr="00A3389E">
        <w:rPr>
          <w:rFonts w:ascii="Times New Roman" w:hAnsi="Times New Roman" w:cs="Times New Roman"/>
          <w:bCs w:val="0"/>
          <w:color w:val="auto"/>
          <w:sz w:val="24"/>
        </w:rPr>
        <w:t>cieľom vyplniť vzor EU REMA, ktorý je uvedený</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prílohe XXXIII</w:t>
      </w:r>
      <w:r>
        <w:rPr>
          <w:rFonts w:ascii="Times New Roman" w:hAnsi="Times New Roman" w:cs="Times New Roman"/>
          <w:bCs w:val="0"/>
          <w:color w:val="auto"/>
          <w:sz w:val="24"/>
        </w:rPr>
        <w:t xml:space="preserve"> k </w:t>
      </w:r>
      <w:r w:rsidR="009360C9" w:rsidRPr="00A3389E">
        <w:rPr>
          <w:rFonts w:ascii="Times New Roman" w:hAnsi="Times New Roman" w:cs="Times New Roman"/>
          <w:bCs w:val="0"/>
          <w:color w:val="auto"/>
          <w:sz w:val="24"/>
        </w:rPr>
        <w:t>tomuto vykonávaciemu nariadeniu.</w:t>
      </w:r>
    </w:p>
    <w:p w14:paraId="29B02B0D" w14:textId="47C7C9AC" w:rsidR="009360C9" w:rsidRPr="00A3389E" w:rsidRDefault="00A3389E" w:rsidP="00A3389E">
      <w:pPr>
        <w:pStyle w:val="Titlelevel2"/>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2.</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Táto tabuľka má flexibilný formát. Ak inštitúcie uplatňujú iný formát, poskytujú informácie porovnateľné</w:t>
      </w:r>
      <w:r>
        <w:rPr>
          <w:rFonts w:ascii="Times New Roman" w:hAnsi="Times New Roman" w:cs="Times New Roman"/>
          <w:bCs w:val="0"/>
          <w:color w:val="auto"/>
          <w:sz w:val="24"/>
        </w:rPr>
        <w:t xml:space="preserve"> s </w:t>
      </w:r>
      <w:r w:rsidR="009360C9" w:rsidRPr="00A3389E">
        <w:rPr>
          <w:rFonts w:ascii="Times New Roman" w:hAnsi="Times New Roman" w:cs="Times New Roman"/>
          <w:bCs w:val="0"/>
          <w:color w:val="auto"/>
          <w:sz w:val="24"/>
        </w:rPr>
        <w:t>informáciami požadovanými</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tejto tabuľke,</w:t>
      </w:r>
      <w:r>
        <w:rPr>
          <w:rFonts w:ascii="Times New Roman" w:hAnsi="Times New Roman" w:cs="Times New Roman"/>
          <w:bCs w:val="0"/>
          <w:color w:val="auto"/>
          <w:sz w:val="24"/>
        </w:rPr>
        <w:t xml:space="preserve"> s </w:t>
      </w:r>
      <w:r w:rsidR="009360C9" w:rsidRPr="00A3389E">
        <w:rPr>
          <w:rFonts w:ascii="Times New Roman" w:hAnsi="Times New Roman" w:cs="Times New Roman"/>
          <w:bCs w:val="0"/>
          <w:color w:val="auto"/>
          <w:sz w:val="24"/>
        </w:rPr>
        <w:t>podobnou úrovňou podrobnosti</w:t>
      </w:r>
      <w:r>
        <w:rPr>
          <w:rFonts w:ascii="Times New Roman" w:hAnsi="Times New Roman" w:cs="Times New Roman"/>
          <w:bCs w:val="0"/>
          <w:color w:val="auto"/>
          <w:sz w:val="24"/>
        </w:rPr>
        <w:t xml:space="preserve"> a </w:t>
      </w:r>
      <w:r w:rsidR="009360C9" w:rsidRPr="00A3389E">
        <w:rPr>
          <w:rFonts w:ascii="Times New Roman" w:hAnsi="Times New Roman" w:cs="Times New Roman"/>
          <w:bCs w:val="0"/>
          <w:color w:val="auto"/>
          <w:sz w:val="24"/>
        </w:rPr>
        <w:t>vrátane všetkých požadovaných podstatných informácií.</w:t>
      </w:r>
    </w:p>
    <w:p w14:paraId="667053A8" w14:textId="0839DAC6" w:rsidR="009360C9" w:rsidRPr="00A3389E" w:rsidRDefault="00A3389E" w:rsidP="00A3389E">
      <w:pPr>
        <w:pStyle w:val="Titlelevel2"/>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3.</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Na účely tejto tabuľky</w:t>
      </w:r>
      <w:r>
        <w:rPr>
          <w:rFonts w:ascii="Times New Roman" w:hAnsi="Times New Roman" w:cs="Times New Roman"/>
          <w:bCs w:val="0"/>
          <w:color w:val="auto"/>
          <w:sz w:val="24"/>
        </w:rPr>
        <w:t xml:space="preserve"> a </w:t>
      </w:r>
      <w:r w:rsidR="009360C9" w:rsidRPr="00A3389E">
        <w:rPr>
          <w:rFonts w:ascii="Times New Roman" w:hAnsi="Times New Roman" w:cs="Times New Roman"/>
          <w:bCs w:val="0"/>
          <w:color w:val="auto"/>
          <w:sz w:val="24"/>
        </w:rPr>
        <w:t>vzorov vysvetlených</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tejto prílohe sa pod priznaním rozumie udelenie pohyblivej odmeny za konkrétne akruálne obdobie, bez ohľadu na skutočný časový bod,</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ktorom sa priznaná suma vypláca.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A3389E"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150493F0" w:rsidR="009360C9" w:rsidRPr="00A3389E" w:rsidRDefault="009360C9"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9360C9" w:rsidRPr="00A3389E" w14:paraId="136CBE19" w14:textId="77777777" w:rsidTr="00155C96">
        <w:trPr>
          <w:trHeight w:val="238"/>
        </w:trPr>
        <w:tc>
          <w:tcPr>
            <w:tcW w:w="1384" w:type="dxa"/>
            <w:shd w:val="clear" w:color="auto" w:fill="D9D9D9" w:themeFill="background1" w:themeFillShade="D9"/>
          </w:tcPr>
          <w:p w14:paraId="75FFE4E1" w14:textId="77777777" w:rsidR="009360C9" w:rsidRPr="00A3389E" w:rsidRDefault="009360C9"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74FC704A" w14:textId="77777777" w:rsidR="009360C9" w:rsidRPr="00A3389E" w:rsidRDefault="009360C9"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9360C9" w:rsidRPr="00A3389E"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A3389E" w:rsidRDefault="00933038" w:rsidP="006D005E">
            <w:pPr>
              <w:pStyle w:val="Applicationdirecte"/>
              <w:spacing w:before="0" w:after="0"/>
              <w:jc w:val="center"/>
            </w:pPr>
            <w:r w:rsidRPr="00A3389E">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Informácie týkajúce sa orgánov, ktoré vykonávajú dohľad nad odmeňovaním. Zverejňovanie informácií zahŕňa:</w:t>
            </w:r>
          </w:p>
          <w:p w14:paraId="34792097" w14:textId="14B5FDEA"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názov, zloženie</w:t>
            </w:r>
            <w:r>
              <w:rPr>
                <w:rFonts w:ascii="Times New Roman" w:hAnsi="Times New Roman"/>
                <w:sz w:val="24"/>
              </w:rPr>
              <w:t xml:space="preserve"> a </w:t>
            </w:r>
            <w:r w:rsidR="009360C9" w:rsidRPr="00A3389E">
              <w:rPr>
                <w:rFonts w:ascii="Times New Roman" w:hAnsi="Times New Roman"/>
                <w:sz w:val="24"/>
              </w:rPr>
              <w:t>mandát hlavného orgánu (riadiaceho orgánu</w:t>
            </w:r>
            <w:r>
              <w:rPr>
                <w:rFonts w:ascii="Times New Roman" w:hAnsi="Times New Roman"/>
                <w:sz w:val="24"/>
              </w:rPr>
              <w:t xml:space="preserve"> a </w:t>
            </w:r>
            <w:r w:rsidR="009360C9" w:rsidRPr="00A3389E">
              <w:rPr>
                <w:rFonts w:ascii="Times New Roman" w:hAnsi="Times New Roman"/>
                <w:sz w:val="24"/>
              </w:rPr>
              <w:t>výboru pre odmeňovanie, ak je zriadený), ktorý vykonáva dohľad nad politikou odmeňovania, ako aj počet zasadnutí tohto hlavného orgánu počas účtovného roka,</w:t>
            </w:r>
          </w:p>
          <w:p w14:paraId="25E40D95" w14:textId="766BE6A0"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externých poradcov, ktorí boli požiadaní</w:t>
            </w:r>
            <w:r>
              <w:rPr>
                <w:rFonts w:ascii="Times New Roman" w:hAnsi="Times New Roman"/>
                <w:sz w:val="24"/>
              </w:rPr>
              <w:t xml:space="preserve"> o </w:t>
            </w:r>
            <w:r w:rsidR="009360C9" w:rsidRPr="00A3389E">
              <w:rPr>
                <w:rFonts w:ascii="Times New Roman" w:hAnsi="Times New Roman"/>
                <w:sz w:val="24"/>
              </w:rPr>
              <w:t>poradenstvo, orgán, ktorý ich poveril,</w:t>
            </w:r>
            <w:r>
              <w:rPr>
                <w:rFonts w:ascii="Times New Roman" w:hAnsi="Times New Roman"/>
                <w:sz w:val="24"/>
              </w:rPr>
              <w:t xml:space="preserve"> a v </w:t>
            </w:r>
            <w:r w:rsidR="009360C9" w:rsidRPr="00A3389E">
              <w:rPr>
                <w:rFonts w:ascii="Times New Roman" w:hAnsi="Times New Roman"/>
                <w:sz w:val="24"/>
              </w:rPr>
              <w:t>ktorých oblastiach rámca odmeňovania,</w:t>
            </w:r>
          </w:p>
          <w:p w14:paraId="38E9E6F8" w14:textId="3304466F"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opis rozsahu politiky odmeňovania inštitúcie (napr. podľa regiónov, obchodných línií) vrátane rozsahu,</w:t>
            </w:r>
            <w:r>
              <w:rPr>
                <w:rFonts w:ascii="Times New Roman" w:hAnsi="Times New Roman"/>
                <w:sz w:val="24"/>
              </w:rPr>
              <w:t xml:space="preserve"> v </w:t>
            </w:r>
            <w:r w:rsidR="009360C9" w:rsidRPr="00A3389E">
              <w:rPr>
                <w:rFonts w:ascii="Times New Roman" w:hAnsi="Times New Roman"/>
                <w:sz w:val="24"/>
              </w:rPr>
              <w:t>akom sa uplatňuje na dcérske spoločnosti</w:t>
            </w:r>
            <w:r>
              <w:rPr>
                <w:rFonts w:ascii="Times New Roman" w:hAnsi="Times New Roman"/>
                <w:sz w:val="24"/>
              </w:rPr>
              <w:t xml:space="preserve"> a </w:t>
            </w:r>
            <w:r w:rsidR="009360C9" w:rsidRPr="00A3389E">
              <w:rPr>
                <w:rFonts w:ascii="Times New Roman" w:hAnsi="Times New Roman"/>
                <w:sz w:val="24"/>
              </w:rPr>
              <w:t>pobočky, ktoré sa nachádzajú</w:t>
            </w:r>
            <w:r>
              <w:rPr>
                <w:rFonts w:ascii="Times New Roman" w:hAnsi="Times New Roman"/>
                <w:sz w:val="24"/>
              </w:rPr>
              <w:t xml:space="preserve"> v </w:t>
            </w:r>
            <w:r w:rsidR="009360C9" w:rsidRPr="00A3389E">
              <w:rPr>
                <w:rFonts w:ascii="Times New Roman" w:hAnsi="Times New Roman"/>
                <w:sz w:val="24"/>
              </w:rPr>
              <w:t>tretích krajinách,</w:t>
            </w:r>
          </w:p>
          <w:p w14:paraId="004E89C5" w14:textId="2C4727E6"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9360C9" w:rsidRPr="00A3389E">
              <w:rPr>
                <w:rFonts w:ascii="Times New Roman" w:hAnsi="Times New Roman"/>
                <w:sz w:val="24"/>
              </w:rPr>
              <w:t>opis zamestnancov alebo kategórií zamestnancov, ktorých pracovné činnosti majú významný vplyv na rizikový profil inštitúcií (určení zamestnanci).</w:t>
            </w:r>
          </w:p>
        </w:tc>
      </w:tr>
      <w:tr w:rsidR="009360C9" w:rsidRPr="00A3389E"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A3389E" w:rsidRDefault="00933038" w:rsidP="006D005E">
            <w:pPr>
              <w:pStyle w:val="Applicationdirecte"/>
              <w:spacing w:before="0" w:after="0"/>
              <w:jc w:val="center"/>
            </w:pPr>
            <w:r w:rsidRPr="00A3389E">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4542BE8B"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Informácie týkajúce sa koncepcie</w:t>
            </w:r>
            <w:r w:rsidR="00A3389E">
              <w:rPr>
                <w:rFonts w:ascii="Times New Roman" w:hAnsi="Times New Roman" w:cs="Times New Roman"/>
                <w:sz w:val="24"/>
              </w:rPr>
              <w:t xml:space="preserve"> a </w:t>
            </w:r>
            <w:r w:rsidRPr="00A3389E">
              <w:rPr>
                <w:rFonts w:ascii="Times New Roman" w:hAnsi="Times New Roman" w:cs="Times New Roman"/>
                <w:sz w:val="24"/>
              </w:rPr>
              <w:t>štruktúry systému odmeňovania určených zamestnancov. Zverejňovanie informácií zahŕňa:</w:t>
            </w:r>
          </w:p>
          <w:p w14:paraId="4A3CCFC4" w14:textId="639B5F9E"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prehľad kľúčových prvkov</w:t>
            </w:r>
            <w:r>
              <w:rPr>
                <w:rFonts w:ascii="Times New Roman" w:hAnsi="Times New Roman"/>
                <w:sz w:val="24"/>
              </w:rPr>
              <w:t xml:space="preserve"> a </w:t>
            </w:r>
            <w:r w:rsidR="009360C9" w:rsidRPr="00A3389E">
              <w:rPr>
                <w:rFonts w:ascii="Times New Roman" w:hAnsi="Times New Roman"/>
                <w:sz w:val="24"/>
              </w:rPr>
              <w:t>cieľov politiky odmeňovania</w:t>
            </w:r>
            <w:r>
              <w:rPr>
                <w:rFonts w:ascii="Times New Roman" w:hAnsi="Times New Roman"/>
                <w:sz w:val="24"/>
              </w:rPr>
              <w:t xml:space="preserve"> a </w:t>
            </w:r>
            <w:r w:rsidR="009360C9" w:rsidRPr="00A3389E">
              <w:rPr>
                <w:rFonts w:ascii="Times New Roman" w:hAnsi="Times New Roman"/>
                <w:sz w:val="24"/>
              </w:rPr>
              <w:t>informácie</w:t>
            </w:r>
            <w:r>
              <w:rPr>
                <w:rFonts w:ascii="Times New Roman" w:hAnsi="Times New Roman"/>
                <w:sz w:val="24"/>
              </w:rPr>
              <w:t xml:space="preserve"> o </w:t>
            </w:r>
            <w:r w:rsidR="009360C9" w:rsidRPr="00A3389E">
              <w:rPr>
                <w:rFonts w:ascii="Times New Roman" w:hAnsi="Times New Roman"/>
                <w:sz w:val="24"/>
              </w:rPr>
              <w:t>rozhodovacom procese používanom na určenie politiky odmeňovania</w:t>
            </w:r>
            <w:r>
              <w:rPr>
                <w:rFonts w:ascii="Times New Roman" w:hAnsi="Times New Roman"/>
                <w:sz w:val="24"/>
              </w:rPr>
              <w:t xml:space="preserve"> a o </w:t>
            </w:r>
            <w:r w:rsidR="009360C9" w:rsidRPr="00A3389E">
              <w:rPr>
                <w:rFonts w:ascii="Times New Roman" w:hAnsi="Times New Roman"/>
                <w:sz w:val="24"/>
              </w:rPr>
              <w:t>úlohe príslušných zainteresovaných strán (napr. zasadnutie akcionárov),</w:t>
            </w:r>
          </w:p>
          <w:p w14:paraId="19FB8179" w14:textId="702DDD5F"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lastRenderedPageBreak/>
              <w:t></w:t>
            </w:r>
            <w:r w:rsidRPr="00A3389E">
              <w:rPr>
                <w:rFonts w:ascii="Symbol" w:eastAsia="Calibri" w:hAnsi="Symbol" w:cs="Times New Roman"/>
                <w:sz w:val="24"/>
              </w:rPr>
              <w:tab/>
            </w:r>
            <w:r w:rsidR="009360C9" w:rsidRPr="00A3389E">
              <w:rPr>
                <w:rFonts w:ascii="Times New Roman" w:hAnsi="Times New Roman"/>
                <w:sz w:val="24"/>
              </w:rPr>
              <w:t>informácie</w:t>
            </w:r>
            <w:r>
              <w:rPr>
                <w:rFonts w:ascii="Times New Roman" w:hAnsi="Times New Roman"/>
                <w:sz w:val="24"/>
              </w:rPr>
              <w:t xml:space="preserve"> o </w:t>
            </w:r>
            <w:r w:rsidR="009360C9" w:rsidRPr="00A3389E">
              <w:rPr>
                <w:rFonts w:ascii="Times New Roman" w:hAnsi="Times New Roman"/>
                <w:sz w:val="24"/>
              </w:rPr>
              <w:t>kritériách používaných na meranie výkonnosti</w:t>
            </w:r>
            <w:r>
              <w:rPr>
                <w:rFonts w:ascii="Times New Roman" w:hAnsi="Times New Roman"/>
                <w:sz w:val="24"/>
              </w:rPr>
              <w:t xml:space="preserve"> a </w:t>
            </w:r>
            <w:r w:rsidR="009360C9" w:rsidRPr="00A3389E">
              <w:rPr>
                <w:rFonts w:ascii="Times New Roman" w:hAnsi="Times New Roman"/>
                <w:sz w:val="24"/>
              </w:rPr>
              <w:t xml:space="preserve">úpravu rizika </w:t>
            </w:r>
            <w:r w:rsidR="009360C9" w:rsidRPr="00A3389E">
              <w:rPr>
                <w:rFonts w:ascii="Times New Roman" w:hAnsi="Times New Roman"/>
                <w:i/>
                <w:sz w:val="24"/>
              </w:rPr>
              <w:t>ex ante</w:t>
            </w:r>
            <w:r>
              <w:rPr>
                <w:rFonts w:ascii="Times New Roman" w:hAnsi="Times New Roman"/>
                <w:sz w:val="24"/>
              </w:rPr>
              <w:t xml:space="preserve"> a </w:t>
            </w:r>
            <w:r w:rsidR="009360C9" w:rsidRPr="00A3389E">
              <w:rPr>
                <w:rFonts w:ascii="Times New Roman" w:hAnsi="Times New Roman"/>
                <w:i/>
                <w:sz w:val="24"/>
              </w:rPr>
              <w:t>ex post</w:t>
            </w:r>
            <w:r w:rsidR="009360C9" w:rsidRPr="00A3389E">
              <w:rPr>
                <w:rFonts w:ascii="Times New Roman" w:hAnsi="Times New Roman"/>
                <w:sz w:val="24"/>
              </w:rPr>
              <w:t>,</w:t>
            </w:r>
          </w:p>
          <w:p w14:paraId="60A2CEAE" w14:textId="0C664A34"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to, či riadiaci orgán</w:t>
            </w:r>
            <w:r>
              <w:rPr>
                <w:rFonts w:ascii="Times New Roman" w:hAnsi="Times New Roman"/>
                <w:sz w:val="24"/>
              </w:rPr>
              <w:t xml:space="preserve"> a </w:t>
            </w:r>
            <w:r w:rsidR="009360C9" w:rsidRPr="00A3389E">
              <w:rPr>
                <w:rFonts w:ascii="Times New Roman" w:hAnsi="Times New Roman"/>
                <w:sz w:val="24"/>
              </w:rPr>
              <w:t>výbor pre odmeňovanie, ak je zriadený, preskúmali politiku odmeňovania inštitúcie počas uplynulého roka,</w:t>
            </w:r>
            <w:r>
              <w:rPr>
                <w:rFonts w:ascii="Times New Roman" w:hAnsi="Times New Roman"/>
                <w:sz w:val="24"/>
              </w:rPr>
              <w:t xml:space="preserve"> a </w:t>
            </w:r>
            <w:r w:rsidR="009360C9" w:rsidRPr="00A3389E">
              <w:rPr>
                <w:rFonts w:ascii="Times New Roman" w:hAnsi="Times New Roman"/>
                <w:sz w:val="24"/>
              </w:rPr>
              <w:t>ak áno, prehľad všetkých zmien, ktoré sa vykonali, dôvody týchto zmien</w:t>
            </w:r>
            <w:r>
              <w:rPr>
                <w:rFonts w:ascii="Times New Roman" w:hAnsi="Times New Roman"/>
                <w:sz w:val="24"/>
              </w:rPr>
              <w:t xml:space="preserve"> a </w:t>
            </w:r>
            <w:r w:rsidR="009360C9" w:rsidRPr="00A3389E">
              <w:rPr>
                <w:rFonts w:ascii="Times New Roman" w:hAnsi="Times New Roman"/>
                <w:sz w:val="24"/>
              </w:rPr>
              <w:t>ich vplyv na odmeňovanie,</w:t>
            </w:r>
          </w:p>
          <w:p w14:paraId="60DFCD3D" w14:textId="507AD7C3"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informácie</w:t>
            </w:r>
            <w:r>
              <w:rPr>
                <w:rFonts w:ascii="Times New Roman" w:hAnsi="Times New Roman"/>
                <w:sz w:val="24"/>
              </w:rPr>
              <w:t xml:space="preserve"> o </w:t>
            </w:r>
            <w:r w:rsidR="009360C9" w:rsidRPr="00A3389E">
              <w:rPr>
                <w:rFonts w:ascii="Times New Roman" w:hAnsi="Times New Roman"/>
                <w:sz w:val="24"/>
              </w:rPr>
              <w:t>tom, ako inštitúcia zabezpečuje, aby zamestnanci vo funkciách vnútornej kontroly boli odmeňovaní nezávisle od podnikov, nad ktorými vykonávajú dohľad,</w:t>
            </w:r>
          </w:p>
          <w:p w14:paraId="04D189CF" w14:textId="73C33D3B"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politiky</w:t>
            </w:r>
            <w:r>
              <w:rPr>
                <w:rFonts w:ascii="Times New Roman" w:hAnsi="Times New Roman"/>
                <w:sz w:val="24"/>
              </w:rPr>
              <w:t xml:space="preserve"> a </w:t>
            </w:r>
            <w:r w:rsidR="009360C9" w:rsidRPr="00A3389E">
              <w:rPr>
                <w:rFonts w:ascii="Times New Roman" w:hAnsi="Times New Roman"/>
                <w:sz w:val="24"/>
              </w:rPr>
              <w:t>kritériá uplatňované</w:t>
            </w:r>
            <w:r>
              <w:rPr>
                <w:rFonts w:ascii="Times New Roman" w:hAnsi="Times New Roman"/>
                <w:sz w:val="24"/>
              </w:rPr>
              <w:t xml:space="preserve"> v </w:t>
            </w:r>
            <w:r w:rsidR="009360C9" w:rsidRPr="00A3389E">
              <w:rPr>
                <w:rFonts w:ascii="Times New Roman" w:hAnsi="Times New Roman"/>
                <w:sz w:val="24"/>
              </w:rPr>
              <w:t>súvislosti</w:t>
            </w:r>
            <w:r>
              <w:rPr>
                <w:rFonts w:ascii="Times New Roman" w:hAnsi="Times New Roman"/>
                <w:sz w:val="24"/>
              </w:rPr>
              <w:t xml:space="preserve"> s </w:t>
            </w:r>
            <w:r w:rsidR="009360C9" w:rsidRPr="00A3389E">
              <w:rPr>
                <w:rFonts w:ascii="Times New Roman" w:hAnsi="Times New Roman"/>
                <w:sz w:val="24"/>
              </w:rPr>
              <w:t>priznaním zaručenej pohyblivej odmeny</w:t>
            </w:r>
            <w:r>
              <w:rPr>
                <w:rFonts w:ascii="Times New Roman" w:hAnsi="Times New Roman"/>
                <w:sz w:val="24"/>
              </w:rPr>
              <w:t xml:space="preserve"> a </w:t>
            </w:r>
            <w:r w:rsidR="009360C9" w:rsidRPr="00A3389E">
              <w:rPr>
                <w:rFonts w:ascii="Times New Roman" w:hAnsi="Times New Roman"/>
                <w:sz w:val="24"/>
              </w:rPr>
              <w:t>odstupného.</w:t>
            </w:r>
          </w:p>
        </w:tc>
      </w:tr>
      <w:tr w:rsidR="009360C9" w:rsidRPr="00A3389E"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A3389E" w:rsidRDefault="00933038" w:rsidP="006D005E">
            <w:pPr>
              <w:pStyle w:val="Applicationdirecte"/>
              <w:spacing w:before="0" w:after="0"/>
              <w:jc w:val="center"/>
            </w:pPr>
            <w:r w:rsidRPr="00A3389E">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7B6A728A" w14:textId="39BCF146" w:rsidR="00A3389E"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Opis spôsobov, akými sa súčasné</w:t>
            </w:r>
            <w:r w:rsidR="00A3389E">
              <w:rPr>
                <w:rFonts w:ascii="Times New Roman" w:hAnsi="Times New Roman" w:cs="Times New Roman"/>
                <w:sz w:val="24"/>
              </w:rPr>
              <w:t xml:space="preserve"> a </w:t>
            </w:r>
            <w:r w:rsidRPr="00A3389E">
              <w:rPr>
                <w:rFonts w:ascii="Times New Roman" w:hAnsi="Times New Roman" w:cs="Times New Roman"/>
                <w:sz w:val="24"/>
              </w:rPr>
              <w:t>budúce riziká zohľadňujú</w:t>
            </w:r>
            <w:r w:rsidR="00A3389E">
              <w:rPr>
                <w:rFonts w:ascii="Times New Roman" w:hAnsi="Times New Roman" w:cs="Times New Roman"/>
                <w:sz w:val="24"/>
              </w:rPr>
              <w:t xml:space="preserve"> v </w:t>
            </w:r>
            <w:r w:rsidRPr="00A3389E">
              <w:rPr>
                <w:rFonts w:ascii="Times New Roman" w:hAnsi="Times New Roman" w:cs="Times New Roman"/>
                <w:sz w:val="24"/>
              </w:rPr>
              <w:t>procesoch odmeňovania</w:t>
            </w:r>
            <w:r w:rsidR="00A3389E" w:rsidRPr="00A3389E">
              <w:rPr>
                <w:rFonts w:ascii="Times New Roman" w:hAnsi="Times New Roman" w:cs="Times New Roman"/>
                <w:sz w:val="24"/>
              </w:rPr>
              <w:t>.</w:t>
            </w:r>
          </w:p>
          <w:p w14:paraId="35EA9F51" w14:textId="08DF3DFB"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Zverejňovanie informácií zahŕňa prehľad kľúčových rizík, ich meranie</w:t>
            </w:r>
            <w:r w:rsidR="00A3389E">
              <w:rPr>
                <w:rFonts w:ascii="Times New Roman" w:hAnsi="Times New Roman" w:cs="Times New Roman"/>
                <w:sz w:val="24"/>
              </w:rPr>
              <w:t xml:space="preserve"> a </w:t>
            </w:r>
            <w:r w:rsidRPr="00A3389E">
              <w:rPr>
                <w:rFonts w:ascii="Times New Roman" w:hAnsi="Times New Roman" w:cs="Times New Roman"/>
                <w:sz w:val="24"/>
              </w:rPr>
              <w:t>vplyv týchto opatrení na odmeňovanie.</w:t>
            </w:r>
          </w:p>
        </w:tc>
      </w:tr>
      <w:tr w:rsidR="009360C9" w:rsidRPr="00A3389E"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A3389E" w:rsidRDefault="00933038" w:rsidP="006D005E">
            <w:pPr>
              <w:pStyle w:val="Applicationdirecte"/>
              <w:spacing w:before="0" w:after="0"/>
              <w:jc w:val="center"/>
            </w:pPr>
            <w:r w:rsidRPr="00A3389E">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3C4A14D6"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Pomery medzi pevnou</w:t>
            </w:r>
            <w:r w:rsidR="00A3389E">
              <w:rPr>
                <w:rFonts w:ascii="Times New Roman" w:hAnsi="Times New Roman" w:cs="Times New Roman"/>
                <w:sz w:val="24"/>
              </w:rPr>
              <w:t xml:space="preserve"> a </w:t>
            </w:r>
            <w:r w:rsidRPr="00A3389E">
              <w:rPr>
                <w:rFonts w:ascii="Times New Roman" w:hAnsi="Times New Roman" w:cs="Times New Roman"/>
                <w:sz w:val="24"/>
              </w:rPr>
              <w:t>pohyblivou zložkou odmeny stanovené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ods. 1 písm. g) smernice (EÚ) 2013/36/EÚ („CRD“)</w:t>
            </w:r>
            <w:r w:rsidRPr="00A3389E">
              <w:rPr>
                <w:rStyle w:val="FootnoteReference"/>
                <w:rFonts w:ascii="Times New Roman" w:hAnsi="Times New Roman" w:cs="Times New Roman"/>
                <w:sz w:val="24"/>
              </w:rPr>
              <w:footnoteReference w:id="51"/>
            </w:r>
            <w:r w:rsidRPr="00A3389E">
              <w:rPr>
                <w:rFonts w:ascii="Times New Roman" w:hAnsi="Times New Roman" w:cs="Times New Roman"/>
                <w:sz w:val="24"/>
              </w:rPr>
              <w:t>.</w:t>
            </w:r>
          </w:p>
        </w:tc>
      </w:tr>
      <w:tr w:rsidR="009360C9" w:rsidRPr="00A3389E"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A3389E" w:rsidRDefault="00933038" w:rsidP="006D005E">
            <w:pPr>
              <w:pStyle w:val="Applicationdirecte"/>
              <w:spacing w:before="0" w:after="0"/>
              <w:jc w:val="center"/>
            </w:pPr>
            <w:r w:rsidRPr="00A3389E">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4AAF4440"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Opis spôsobov, akými sa inštitúcia snaží prepojiť výkonnosť počas obdobia merania výkonnosti</w:t>
            </w:r>
            <w:r w:rsidR="00A3389E">
              <w:rPr>
                <w:rFonts w:ascii="Times New Roman" w:hAnsi="Times New Roman" w:cs="Times New Roman"/>
                <w:sz w:val="24"/>
              </w:rPr>
              <w:t xml:space="preserve"> s </w:t>
            </w:r>
            <w:r w:rsidRPr="00A3389E">
              <w:rPr>
                <w:rFonts w:ascii="Times New Roman" w:hAnsi="Times New Roman" w:cs="Times New Roman"/>
                <w:sz w:val="24"/>
              </w:rPr>
              <w:t>úrovňami odmeňovania.</w:t>
            </w:r>
          </w:p>
          <w:p w14:paraId="4DF334B6" w14:textId="77777777"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Zverejňovanie informácií zahŕňa:</w:t>
            </w:r>
          </w:p>
          <w:p w14:paraId="063A0E13" w14:textId="2303F489"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prehľad hlavných výkonnostných kritérií</w:t>
            </w:r>
            <w:r>
              <w:rPr>
                <w:rFonts w:ascii="Times New Roman" w:hAnsi="Times New Roman"/>
                <w:sz w:val="24"/>
              </w:rPr>
              <w:t xml:space="preserve"> a </w:t>
            </w:r>
            <w:r w:rsidR="009360C9" w:rsidRPr="00A3389E">
              <w:rPr>
                <w:rFonts w:ascii="Times New Roman" w:hAnsi="Times New Roman"/>
                <w:sz w:val="24"/>
              </w:rPr>
              <w:t>ukazovateľov pre inštitúcie, obchodné línie</w:t>
            </w:r>
            <w:r>
              <w:rPr>
                <w:rFonts w:ascii="Times New Roman" w:hAnsi="Times New Roman"/>
                <w:sz w:val="24"/>
              </w:rPr>
              <w:t xml:space="preserve"> a </w:t>
            </w:r>
            <w:r w:rsidR="009360C9" w:rsidRPr="00A3389E">
              <w:rPr>
                <w:rFonts w:ascii="Times New Roman" w:hAnsi="Times New Roman"/>
                <w:sz w:val="24"/>
              </w:rPr>
              <w:t>jednotlivcov,</w:t>
            </w:r>
          </w:p>
          <w:p w14:paraId="7C3AAE37" w14:textId="5C443D4F"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prehľad toho, ako sú výšky pohyblivej odmeny prepojené</w:t>
            </w:r>
            <w:r>
              <w:rPr>
                <w:rFonts w:ascii="Times New Roman" w:hAnsi="Times New Roman"/>
                <w:sz w:val="24"/>
              </w:rPr>
              <w:t xml:space="preserve"> s </w:t>
            </w:r>
            <w:r w:rsidR="009360C9" w:rsidRPr="00A3389E">
              <w:rPr>
                <w:rFonts w:ascii="Times New Roman" w:hAnsi="Times New Roman"/>
                <w:sz w:val="24"/>
              </w:rPr>
              <w:t>výkonnosťou celej inštitúcie</w:t>
            </w:r>
            <w:r>
              <w:rPr>
                <w:rFonts w:ascii="Times New Roman" w:hAnsi="Times New Roman"/>
                <w:sz w:val="24"/>
              </w:rPr>
              <w:t xml:space="preserve"> a </w:t>
            </w:r>
            <w:r w:rsidR="009360C9" w:rsidRPr="00A3389E">
              <w:rPr>
                <w:rFonts w:ascii="Times New Roman" w:hAnsi="Times New Roman"/>
                <w:sz w:val="24"/>
              </w:rPr>
              <w:t>výkonnosťou jednotlivcov,</w:t>
            </w:r>
          </w:p>
          <w:p w14:paraId="723A6079" w14:textId="74D31DE9"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informácie</w:t>
            </w:r>
            <w:r>
              <w:rPr>
                <w:rFonts w:ascii="Times New Roman" w:hAnsi="Times New Roman"/>
                <w:sz w:val="24"/>
              </w:rPr>
              <w:t xml:space="preserve"> o </w:t>
            </w:r>
            <w:r w:rsidR="009360C9" w:rsidRPr="00A3389E">
              <w:rPr>
                <w:rFonts w:ascii="Times New Roman" w:hAnsi="Times New Roman"/>
                <w:sz w:val="24"/>
              </w:rPr>
              <w:t>kritériách používaných na určovanie rovnováhy medzi rôznymi druhmi priznaných nástrojov vrátane akcií, rovnocenného vlastníckeho podielu, opcií</w:t>
            </w:r>
            <w:r>
              <w:rPr>
                <w:rFonts w:ascii="Times New Roman" w:hAnsi="Times New Roman"/>
                <w:sz w:val="24"/>
              </w:rPr>
              <w:t xml:space="preserve"> a </w:t>
            </w:r>
            <w:r w:rsidR="009360C9" w:rsidRPr="00A3389E">
              <w:rPr>
                <w:rFonts w:ascii="Times New Roman" w:hAnsi="Times New Roman"/>
                <w:sz w:val="24"/>
              </w:rPr>
              <w:t>iných nástrojov,</w:t>
            </w:r>
          </w:p>
          <w:p w14:paraId="449402C2" w14:textId="2D23C7FC"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szCs w:val="22"/>
              </w:rPr>
              <w:t></w:t>
            </w:r>
            <w:r w:rsidRPr="00A3389E">
              <w:rPr>
                <w:rFonts w:ascii="Symbol" w:eastAsia="Calibri" w:hAnsi="Symbol" w:cs="Times New Roman"/>
                <w:sz w:val="24"/>
                <w:szCs w:val="22"/>
              </w:rPr>
              <w:tab/>
            </w:r>
            <w:r w:rsidR="009360C9" w:rsidRPr="00A3389E">
              <w:rPr>
                <w:rFonts w:ascii="Times New Roman" w:hAnsi="Times New Roman"/>
                <w:sz w:val="24"/>
              </w:rPr>
              <w:t>informácie</w:t>
            </w:r>
            <w:r>
              <w:rPr>
                <w:rFonts w:ascii="Times New Roman" w:hAnsi="Times New Roman"/>
                <w:sz w:val="24"/>
              </w:rPr>
              <w:t xml:space="preserve"> o </w:t>
            </w:r>
            <w:r w:rsidR="009360C9" w:rsidRPr="00A3389E">
              <w:rPr>
                <w:rFonts w:ascii="Times New Roman" w:hAnsi="Times New Roman"/>
                <w:sz w:val="24"/>
              </w:rPr>
              <w:t>opatreniach, ktoré inštitúcia zavedie na úpravu pohyblivej odmeny</w:t>
            </w:r>
            <w:r>
              <w:rPr>
                <w:rFonts w:ascii="Times New Roman" w:hAnsi="Times New Roman"/>
                <w:sz w:val="24"/>
              </w:rPr>
              <w:t xml:space="preserve"> v </w:t>
            </w:r>
            <w:r w:rsidR="009360C9" w:rsidRPr="00A3389E">
              <w:rPr>
                <w:rFonts w:ascii="Times New Roman" w:hAnsi="Times New Roman"/>
                <w:sz w:val="24"/>
              </w:rPr>
              <w:t>prípade, že ukazovatele výkonnosti sú slabé, vrátane kritérií inštitúcie na určovanie ukazovateľov výkonnosti, keď sa ukazovatele výkonnosti považujú za „slabé“.</w:t>
            </w:r>
            <w:r>
              <w:rPr>
                <w:rFonts w:ascii="Times New Roman" w:hAnsi="Times New Roman"/>
                <w:sz w:val="24"/>
              </w:rPr>
              <w:t xml:space="preserve"> V </w:t>
            </w:r>
            <w:r w:rsidR="009360C9" w:rsidRPr="00A3389E">
              <w:rPr>
                <w:rFonts w:ascii="Times New Roman" w:hAnsi="Times New Roman"/>
                <w:sz w:val="24"/>
              </w:rPr>
              <w:t>súlade</w:t>
            </w:r>
            <w:r>
              <w:rPr>
                <w:rFonts w:ascii="Times New Roman" w:hAnsi="Times New Roman"/>
                <w:sz w:val="24"/>
              </w:rPr>
              <w:t xml:space="preserve"> s </w:t>
            </w:r>
            <w:r w:rsidR="009360C9" w:rsidRPr="00A3389E">
              <w:rPr>
                <w:rFonts w:ascii="Times New Roman" w:hAnsi="Times New Roman"/>
                <w:sz w:val="24"/>
              </w:rPr>
              <w:t>článkom 94 ods. 1 písm. n) CRD sa pohyblivá odmena vypláca alebo na ňu vzniká nárok iba</w:t>
            </w:r>
            <w:r>
              <w:rPr>
                <w:rFonts w:ascii="Times New Roman" w:hAnsi="Times New Roman"/>
                <w:sz w:val="24"/>
              </w:rPr>
              <w:t xml:space="preserve"> v </w:t>
            </w:r>
            <w:r w:rsidR="009360C9" w:rsidRPr="00A3389E">
              <w:rPr>
                <w:rFonts w:ascii="Times New Roman" w:hAnsi="Times New Roman"/>
                <w:sz w:val="24"/>
              </w:rPr>
              <w:t>tom prípade, ak je odôvodnená na základe výkonnosti danej inštitúcie, daného obchodného útvaru</w:t>
            </w:r>
            <w:r>
              <w:rPr>
                <w:rFonts w:ascii="Times New Roman" w:hAnsi="Times New Roman"/>
                <w:sz w:val="24"/>
              </w:rPr>
              <w:t xml:space="preserve"> a </w:t>
            </w:r>
            <w:r w:rsidR="009360C9" w:rsidRPr="00A3389E">
              <w:rPr>
                <w:rFonts w:ascii="Times New Roman" w:hAnsi="Times New Roman"/>
                <w:sz w:val="24"/>
              </w:rPr>
              <w:t>daného jednotlivca. Inštitúcie vysvetľujú kritériá/prahové hodnoty, na základe ktorých sa určuje, že výkonnosť je slabá</w:t>
            </w:r>
            <w:r>
              <w:rPr>
                <w:rFonts w:ascii="Times New Roman" w:hAnsi="Times New Roman"/>
                <w:sz w:val="24"/>
              </w:rPr>
              <w:t xml:space="preserve"> a </w:t>
            </w:r>
            <w:r w:rsidR="009360C9" w:rsidRPr="00A3389E">
              <w:rPr>
                <w:rFonts w:ascii="Times New Roman" w:hAnsi="Times New Roman"/>
                <w:sz w:val="24"/>
              </w:rPr>
              <w:t>že ňou nemožno odôvodniť vyplatenie pohyblivej odmeny alebo vznik nároku na pohyblivú odmenu.</w:t>
            </w:r>
          </w:p>
        </w:tc>
      </w:tr>
      <w:tr w:rsidR="009360C9" w:rsidRPr="00A3389E"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A3389E" w:rsidRDefault="00933038" w:rsidP="006D005E">
            <w:pPr>
              <w:pStyle w:val="Applicationdirecte"/>
              <w:spacing w:before="0" w:after="0"/>
              <w:jc w:val="center"/>
            </w:pPr>
            <w:r w:rsidRPr="00A3389E">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Opis spôsobov, akými sa inštitúcia snaží upraviť odmeňovanie tak, aby zohľadňovalo dlhodobú výkonnosť.</w:t>
            </w:r>
          </w:p>
          <w:p w14:paraId="14015C12" w14:textId="77777777"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Zverejňovanie informácií zahŕňa:</w:t>
            </w:r>
          </w:p>
          <w:p w14:paraId="1335D35E" w14:textId="7F173C99"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prehľad politiky inštitúcie týkajúcej sa odkladu, vyplácania</w:t>
            </w:r>
            <w:r>
              <w:rPr>
                <w:rFonts w:ascii="Times New Roman" w:hAnsi="Times New Roman"/>
                <w:sz w:val="24"/>
              </w:rPr>
              <w:t xml:space="preserve"> v </w:t>
            </w:r>
            <w:r w:rsidR="009360C9" w:rsidRPr="00A3389E">
              <w:rPr>
                <w:rFonts w:ascii="Times New Roman" w:hAnsi="Times New Roman"/>
                <w:sz w:val="24"/>
              </w:rPr>
              <w:t>nástroji, období zadržania, ako aj vzniku nároku</w:t>
            </w:r>
            <w:r>
              <w:rPr>
                <w:rFonts w:ascii="Times New Roman" w:hAnsi="Times New Roman"/>
                <w:sz w:val="24"/>
              </w:rPr>
              <w:t xml:space="preserve"> v </w:t>
            </w:r>
            <w:r w:rsidR="009360C9" w:rsidRPr="00A3389E">
              <w:rPr>
                <w:rFonts w:ascii="Times New Roman" w:hAnsi="Times New Roman"/>
                <w:sz w:val="24"/>
              </w:rPr>
              <w:t>súvislosti</w:t>
            </w:r>
            <w:r>
              <w:rPr>
                <w:rFonts w:ascii="Times New Roman" w:hAnsi="Times New Roman"/>
                <w:sz w:val="24"/>
              </w:rPr>
              <w:t xml:space="preserve"> s </w:t>
            </w:r>
            <w:r w:rsidR="009360C9" w:rsidRPr="00A3389E">
              <w:rPr>
                <w:rFonts w:ascii="Times New Roman" w:hAnsi="Times New Roman"/>
                <w:sz w:val="24"/>
              </w:rPr>
              <w:t>pohyblivou odmenou vrátane prípadov, keď je odlišná medzi zamestnancami alebo kategóriami zamestnancov,</w:t>
            </w:r>
          </w:p>
          <w:p w14:paraId="12FA72CD" w14:textId="52EBD9DA"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informácie</w:t>
            </w:r>
            <w:r>
              <w:rPr>
                <w:rFonts w:ascii="Times New Roman" w:hAnsi="Times New Roman"/>
                <w:sz w:val="24"/>
              </w:rPr>
              <w:t xml:space="preserve"> o </w:t>
            </w:r>
            <w:r w:rsidR="009360C9" w:rsidRPr="00A3389E">
              <w:rPr>
                <w:rFonts w:ascii="Times New Roman" w:hAnsi="Times New Roman"/>
                <w:sz w:val="24"/>
              </w:rPr>
              <w:t xml:space="preserve">kritériách inštitúcie pre úpravy </w:t>
            </w:r>
            <w:r w:rsidR="009360C9" w:rsidRPr="00A3389E">
              <w:rPr>
                <w:rFonts w:ascii="Times New Roman" w:hAnsi="Times New Roman"/>
                <w:i/>
                <w:sz w:val="24"/>
              </w:rPr>
              <w:t>ex post</w:t>
            </w:r>
            <w:r w:rsidR="009360C9" w:rsidRPr="00A3389E">
              <w:rPr>
                <w:rFonts w:ascii="Times New Roman" w:hAnsi="Times New Roman"/>
                <w:sz w:val="24"/>
              </w:rPr>
              <w:t xml:space="preserve"> (malus počas odkladu</w:t>
            </w:r>
            <w:r>
              <w:rPr>
                <w:rFonts w:ascii="Times New Roman" w:hAnsi="Times New Roman"/>
                <w:sz w:val="24"/>
              </w:rPr>
              <w:t xml:space="preserve"> a </w:t>
            </w:r>
            <w:r w:rsidR="009360C9" w:rsidRPr="00A3389E">
              <w:rPr>
                <w:rFonts w:ascii="Times New Roman" w:hAnsi="Times New Roman"/>
                <w:sz w:val="24"/>
              </w:rPr>
              <w:t>spätné vymáhanie po priznaní, ak to povoľujú vnútroštátne právne predpisy),</w:t>
            </w:r>
          </w:p>
          <w:p w14:paraId="2D12D80C" w14:textId="383FCD36" w:rsidR="009360C9" w:rsidRPr="00A3389E" w:rsidRDefault="00A3389E" w:rsidP="00A3389E">
            <w:pPr>
              <w:spacing w:before="60" w:after="120"/>
              <w:ind w:left="720" w:hanging="360"/>
              <w:jc w:val="both"/>
              <w:rPr>
                <w:rFonts w:ascii="Times New Roman" w:hAnsi="Times New Roman"/>
                <w:b/>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prípadne požiadavky na vlastníctvo podielov, ktoré možno uložiť určeným zamestnancom.</w:t>
            </w:r>
          </w:p>
        </w:tc>
      </w:tr>
      <w:tr w:rsidR="009360C9" w:rsidRPr="00A3389E"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A3389E" w:rsidRDefault="00933038" w:rsidP="006D005E">
            <w:pPr>
              <w:pStyle w:val="Applicationdirecte"/>
              <w:spacing w:before="0" w:after="0"/>
              <w:jc w:val="center"/>
            </w:pPr>
            <w:r w:rsidRPr="00A3389E">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58B6270C"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Opis hlavných parametrov</w:t>
            </w:r>
            <w:r w:rsidR="00A3389E">
              <w:rPr>
                <w:rFonts w:ascii="Times New Roman" w:hAnsi="Times New Roman" w:cs="Times New Roman"/>
                <w:sz w:val="24"/>
              </w:rPr>
              <w:t xml:space="preserve"> a </w:t>
            </w:r>
            <w:r w:rsidRPr="00A3389E">
              <w:rPr>
                <w:rFonts w:ascii="Times New Roman" w:hAnsi="Times New Roman" w:cs="Times New Roman"/>
                <w:sz w:val="24"/>
              </w:rPr>
              <w:t>zdôvodnenie akéhokoľvek systému pohyblivých zložiek</w:t>
            </w:r>
            <w:r w:rsidR="00A3389E">
              <w:rPr>
                <w:rFonts w:ascii="Times New Roman" w:hAnsi="Times New Roman" w:cs="Times New Roman"/>
                <w:sz w:val="24"/>
              </w:rPr>
              <w:t xml:space="preserve"> a </w:t>
            </w:r>
            <w:r w:rsidRPr="00A3389E">
              <w:rPr>
                <w:rFonts w:ascii="Times New Roman" w:hAnsi="Times New Roman" w:cs="Times New Roman"/>
                <w:sz w:val="24"/>
              </w:rPr>
              <w:t>všetkých ďalších nepeňažných výhod,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450 ods. 1 písm. f) CRR. Zverejňovanie informácií zahŕňa:</w:t>
            </w:r>
          </w:p>
          <w:p w14:paraId="3A414D6B" w14:textId="6C867B75" w:rsidR="009360C9" w:rsidRPr="00A3389E" w:rsidRDefault="00A3389E" w:rsidP="00A3389E">
            <w:pPr>
              <w:spacing w:before="60" w:after="120"/>
              <w:ind w:left="720" w:hanging="360"/>
              <w:jc w:val="both"/>
              <w:rPr>
                <w:rFonts w:ascii="Times New Roman" w:hAnsi="Times New Roman"/>
                <w:sz w:val="24"/>
              </w:rPr>
            </w:pPr>
            <w:r w:rsidRPr="00A3389E">
              <w:rPr>
                <w:rFonts w:ascii="Symbol" w:eastAsia="Calibri" w:hAnsi="Symbol" w:cs="Times New Roman"/>
                <w:sz w:val="24"/>
              </w:rPr>
              <w:t></w:t>
            </w:r>
            <w:r w:rsidRPr="00A3389E">
              <w:rPr>
                <w:rFonts w:ascii="Symbol" w:eastAsia="Calibri" w:hAnsi="Symbol" w:cs="Times New Roman"/>
                <w:sz w:val="24"/>
              </w:rPr>
              <w:tab/>
            </w:r>
            <w:r w:rsidR="009360C9" w:rsidRPr="00A3389E">
              <w:rPr>
                <w:rFonts w:ascii="Times New Roman" w:hAnsi="Times New Roman"/>
                <w:sz w:val="24"/>
              </w:rPr>
              <w:t>Informácie</w:t>
            </w:r>
            <w:r>
              <w:rPr>
                <w:rFonts w:ascii="Times New Roman" w:hAnsi="Times New Roman"/>
                <w:sz w:val="24"/>
              </w:rPr>
              <w:t xml:space="preserve"> o </w:t>
            </w:r>
            <w:r w:rsidR="009360C9" w:rsidRPr="00A3389E">
              <w:rPr>
                <w:rFonts w:ascii="Times New Roman" w:hAnsi="Times New Roman"/>
                <w:sz w:val="24"/>
              </w:rPr>
              <w:t>špecifických ukazovateľoch rizika/výkonnosti používaných na určovanie pohyblivých zložiek odmeňovania</w:t>
            </w:r>
            <w:r>
              <w:rPr>
                <w:rFonts w:ascii="Times New Roman" w:hAnsi="Times New Roman"/>
                <w:sz w:val="24"/>
              </w:rPr>
              <w:t xml:space="preserve"> a </w:t>
            </w:r>
            <w:r w:rsidR="009360C9" w:rsidRPr="00A3389E">
              <w:rPr>
                <w:rFonts w:ascii="Times New Roman" w:hAnsi="Times New Roman"/>
                <w:sz w:val="24"/>
              </w:rPr>
              <w:t>kritériá používané na určovanie rovnováhy medzi rôznymi druhmi priznaných nástrojov vrátane akcií, rovnocenných vlastníckych podielov, nástrojov súvisiacich</w:t>
            </w:r>
            <w:r>
              <w:rPr>
                <w:rFonts w:ascii="Times New Roman" w:hAnsi="Times New Roman"/>
                <w:sz w:val="24"/>
              </w:rPr>
              <w:t xml:space="preserve"> s </w:t>
            </w:r>
            <w:r w:rsidR="009360C9" w:rsidRPr="00A3389E">
              <w:rPr>
                <w:rFonts w:ascii="Times New Roman" w:hAnsi="Times New Roman"/>
                <w:sz w:val="24"/>
              </w:rPr>
              <w:t>akciami, rovnocenných bezhotovostných nástrojov, opcií</w:t>
            </w:r>
            <w:r>
              <w:rPr>
                <w:rFonts w:ascii="Times New Roman" w:hAnsi="Times New Roman"/>
                <w:sz w:val="24"/>
              </w:rPr>
              <w:t xml:space="preserve"> a </w:t>
            </w:r>
            <w:r w:rsidR="009360C9" w:rsidRPr="00A3389E">
              <w:rPr>
                <w:rFonts w:ascii="Times New Roman" w:hAnsi="Times New Roman"/>
                <w:sz w:val="24"/>
              </w:rPr>
              <w:t>iných nástrojov.</w:t>
            </w:r>
          </w:p>
        </w:tc>
      </w:tr>
      <w:tr w:rsidR="009360C9" w:rsidRPr="00A3389E"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A3389E" w:rsidRDefault="00EA6540" w:rsidP="006D005E">
            <w:pPr>
              <w:pStyle w:val="Applicationdirecte"/>
              <w:spacing w:before="0" w:after="0"/>
              <w:jc w:val="center"/>
            </w:pPr>
            <w:r w:rsidRPr="00A3389E">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4412A89"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Na žiadosť príslušného členského štátu alebo príslušného orgánu celková odmena každého člena riadiaceho orgánu alebo vrcholového manažmentu,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450 ods. 1 písm. j) CRR.</w:t>
            </w:r>
          </w:p>
        </w:tc>
      </w:tr>
      <w:tr w:rsidR="009360C9" w:rsidRPr="00A3389E"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A3389E" w:rsidRDefault="00EA6540" w:rsidP="006D005E">
            <w:pPr>
              <w:pStyle w:val="Applicationdirecte"/>
              <w:spacing w:before="0" w:after="0"/>
              <w:jc w:val="center"/>
            </w:pPr>
            <w:r w:rsidRPr="00A3389E">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3AB8D046"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Informácie</w:t>
            </w:r>
            <w:r w:rsidR="00A3389E">
              <w:rPr>
                <w:rFonts w:ascii="Times New Roman" w:hAnsi="Times New Roman" w:cs="Times New Roman"/>
                <w:sz w:val="24"/>
              </w:rPr>
              <w:t xml:space="preserve"> o </w:t>
            </w:r>
            <w:r w:rsidRPr="00A3389E">
              <w:rPr>
                <w:rFonts w:ascii="Times New Roman" w:hAnsi="Times New Roman" w:cs="Times New Roman"/>
                <w:sz w:val="24"/>
              </w:rPr>
              <w:t>tom, či inštitúcia využíva výnimku stanovenú</w:t>
            </w:r>
            <w:r w:rsidR="00A3389E">
              <w:rPr>
                <w:rFonts w:ascii="Times New Roman" w:hAnsi="Times New Roman" w:cs="Times New Roman"/>
                <w:sz w:val="24"/>
              </w:rPr>
              <w:t xml:space="preserve"> v </w:t>
            </w:r>
            <w:r w:rsidRPr="00A3389E">
              <w:rPr>
                <w:rFonts w:ascii="Times New Roman" w:hAnsi="Times New Roman" w:cs="Times New Roman"/>
                <w:sz w:val="24"/>
              </w:rPr>
              <w:t>článku 94 ods. 3 CRD,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450 ods. 1 písm. k) CRR.</w:t>
            </w:r>
          </w:p>
          <w:p w14:paraId="7F8854DF" w14:textId="0A5827F2"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Na účely tohto písmena inštitúcie, ktoré využívajú takúto výnimku, uvádzajú, či je to na základe článku 94 ods. 3 písm. a) a/alebo písm. b) CRD. Takisto uvádzajú, na ktorú</w:t>
            </w:r>
            <w:r w:rsidR="00A3389E">
              <w:rPr>
                <w:rFonts w:ascii="Times New Roman" w:hAnsi="Times New Roman" w:cs="Times New Roman"/>
                <w:sz w:val="24"/>
              </w:rPr>
              <w:t xml:space="preserve"> z </w:t>
            </w:r>
            <w:r w:rsidRPr="00A3389E">
              <w:rPr>
                <w:rFonts w:ascii="Times New Roman" w:hAnsi="Times New Roman" w:cs="Times New Roman"/>
                <w:sz w:val="24"/>
              </w:rPr>
              <w:t>požiadaviek týkajúcich sa odmeňovania výnimku (výnimky) uplatňujú [t. j. článok 94 ods. 1 písm. l) a/alebo písm. m) a/alebo písm. o) CRD], počet zamestnancov, ktorí výnimku (výnimky) využívajú</w:t>
            </w:r>
            <w:r w:rsidR="00A3389E">
              <w:rPr>
                <w:rFonts w:ascii="Times New Roman" w:hAnsi="Times New Roman" w:cs="Times New Roman"/>
                <w:sz w:val="24"/>
              </w:rPr>
              <w:t xml:space="preserve"> a </w:t>
            </w:r>
            <w:r w:rsidRPr="00A3389E">
              <w:rPr>
                <w:rFonts w:ascii="Times New Roman" w:hAnsi="Times New Roman" w:cs="Times New Roman"/>
                <w:sz w:val="24"/>
              </w:rPr>
              <w:t>ich celkovú odmenu,</w:t>
            </w:r>
            <w:r w:rsidR="00A3389E">
              <w:rPr>
                <w:rFonts w:ascii="Times New Roman" w:hAnsi="Times New Roman" w:cs="Times New Roman"/>
                <w:sz w:val="24"/>
              </w:rPr>
              <w:t xml:space="preserve"> v </w:t>
            </w:r>
            <w:r w:rsidRPr="00A3389E">
              <w:rPr>
                <w:rFonts w:ascii="Times New Roman" w:hAnsi="Times New Roman" w:cs="Times New Roman"/>
                <w:sz w:val="24"/>
              </w:rPr>
              <w:t>rozčlenení na pevnú</w:t>
            </w:r>
            <w:r w:rsidR="00A3389E">
              <w:rPr>
                <w:rFonts w:ascii="Times New Roman" w:hAnsi="Times New Roman" w:cs="Times New Roman"/>
                <w:sz w:val="24"/>
              </w:rPr>
              <w:t xml:space="preserve"> a </w:t>
            </w:r>
            <w:r w:rsidRPr="00A3389E">
              <w:rPr>
                <w:rFonts w:ascii="Times New Roman" w:hAnsi="Times New Roman" w:cs="Times New Roman"/>
                <w:sz w:val="24"/>
              </w:rPr>
              <w:t>pohyblivú odmenu.</w:t>
            </w:r>
          </w:p>
        </w:tc>
      </w:tr>
      <w:tr w:rsidR="009360C9" w:rsidRPr="00A3389E"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A3389E" w:rsidRDefault="00EA6540" w:rsidP="006D005E">
            <w:pPr>
              <w:pStyle w:val="Applicationdirecte"/>
              <w:spacing w:before="0" w:after="0"/>
              <w:jc w:val="center"/>
            </w:pPr>
            <w:r w:rsidRPr="00A3389E">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0F5193D4"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Veľké inštitúcie zverejňujú kvantitatívne informácie</w:t>
            </w:r>
            <w:r w:rsidR="00A3389E">
              <w:rPr>
                <w:rFonts w:ascii="Times New Roman" w:hAnsi="Times New Roman" w:cs="Times New Roman"/>
                <w:sz w:val="24"/>
              </w:rPr>
              <w:t xml:space="preserve"> o </w:t>
            </w:r>
            <w:r w:rsidRPr="00A3389E">
              <w:rPr>
                <w:rFonts w:ascii="Times New Roman" w:hAnsi="Times New Roman" w:cs="Times New Roman"/>
                <w:sz w:val="24"/>
              </w:rPr>
              <w:t>odmeňovaní svojho orgánu kolektívneho riadenia, pričom rozlišujú medzi výkonnými</w:t>
            </w:r>
            <w:r w:rsidR="00A3389E">
              <w:rPr>
                <w:rFonts w:ascii="Times New Roman" w:hAnsi="Times New Roman" w:cs="Times New Roman"/>
                <w:sz w:val="24"/>
              </w:rPr>
              <w:t xml:space="preserve"> a </w:t>
            </w:r>
            <w:r w:rsidRPr="00A3389E">
              <w:rPr>
                <w:rFonts w:ascii="Times New Roman" w:hAnsi="Times New Roman" w:cs="Times New Roman"/>
                <w:sz w:val="24"/>
              </w:rPr>
              <w:t>nevýkonnými členmi,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450 ods. 2 CRR.</w:t>
            </w:r>
          </w:p>
        </w:tc>
      </w:tr>
    </w:tbl>
    <w:p w14:paraId="093C4B50" w14:textId="77777777" w:rsidR="009360C9" w:rsidRPr="00A3389E"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A3389E"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A3389E"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A3389E"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A3389E" w:rsidRDefault="00D95507" w:rsidP="0086713D">
      <w:pPr>
        <w:pStyle w:val="Titlelevel2"/>
        <w:keepNext/>
        <w:keepLines/>
        <w:spacing w:before="120" w:after="120"/>
        <w:rPr>
          <w:rFonts w:ascii="Times New Roman" w:hAnsi="Times New Roman" w:cs="Times New Roman"/>
          <w:color w:val="auto"/>
          <w:sz w:val="24"/>
        </w:rPr>
      </w:pPr>
      <w:r w:rsidRPr="00A3389E">
        <w:rPr>
          <w:rFonts w:ascii="Times New Roman" w:hAnsi="Times New Roman" w:cs="Times New Roman"/>
          <w:b/>
          <w:color w:val="auto"/>
          <w:sz w:val="24"/>
        </w:rPr>
        <w:t xml:space="preserve">Vzor EU REM1 – Odmena priznaná za účtovný rok: </w:t>
      </w:r>
      <w:r w:rsidRPr="00A3389E">
        <w:rPr>
          <w:rFonts w:ascii="Times New Roman" w:hAnsi="Times New Roman" w:cs="Times New Roman"/>
          <w:color w:val="auto"/>
          <w:sz w:val="24"/>
        </w:rPr>
        <w:t>Pevný formát</w:t>
      </w:r>
    </w:p>
    <w:p w14:paraId="3A695468" w14:textId="2F08D4C3" w:rsidR="009360C9" w:rsidRPr="00A3389E" w:rsidRDefault="00A3389E" w:rsidP="0086713D">
      <w:pPr>
        <w:pStyle w:val="Titlelevel2"/>
        <w:keepNext/>
        <w:keepLines/>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lastRenderedPageBreak/>
        <w:t>4.</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Inštitúcie uplatňujú pokyny uvedené nižšie</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tejto prílohe na vyplnenie vzoru EU REM1 uvedeného</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prílohe XXXIII</w:t>
      </w:r>
      <w:r>
        <w:rPr>
          <w:rFonts w:ascii="Times New Roman" w:hAnsi="Times New Roman" w:cs="Times New Roman"/>
          <w:bCs w:val="0"/>
          <w:color w:val="auto"/>
          <w:sz w:val="24"/>
        </w:rPr>
        <w:t xml:space="preserve"> k </w:t>
      </w:r>
      <w:r w:rsidR="009360C9" w:rsidRPr="00A3389E">
        <w:rPr>
          <w:rFonts w:ascii="Times New Roman" w:hAnsi="Times New Roman" w:cs="Times New Roman"/>
          <w:bCs w:val="0"/>
          <w:color w:val="auto"/>
          <w:sz w:val="24"/>
        </w:rPr>
        <w:t>tomuto vykonávaciemu nariadeniu, pričom uplatňujú článok 450 ods. 1 písm. h) body i) až ii) CRR.</w:t>
      </w:r>
    </w:p>
    <w:p w14:paraId="75D7ECA6" w14:textId="77777777" w:rsidR="009360C9" w:rsidRPr="00A3389E"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A3389E"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0303A6EE" w:rsidR="009360C9" w:rsidRPr="00A3389E" w:rsidRDefault="009360C9"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9360C9" w:rsidRPr="00A3389E" w14:paraId="26AFAF00" w14:textId="77777777" w:rsidTr="00155C96">
        <w:trPr>
          <w:trHeight w:val="238"/>
        </w:trPr>
        <w:tc>
          <w:tcPr>
            <w:tcW w:w="1384" w:type="dxa"/>
            <w:shd w:val="clear" w:color="auto" w:fill="D9D9D9" w:themeFill="background1" w:themeFillShade="D9"/>
          </w:tcPr>
          <w:p w14:paraId="670FF2CB" w14:textId="77777777" w:rsidR="009360C9" w:rsidRPr="00A3389E" w:rsidRDefault="009360C9"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69E238F3" w14:textId="77777777" w:rsidR="009360C9" w:rsidRPr="00A3389E" w:rsidRDefault="009360C9"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9360C9" w:rsidRPr="00A3389E"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138BA166"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1</w:t>
            </w:r>
            <w:r w:rsidR="00A3389E">
              <w:rPr>
                <w:rFonts w:ascii="Times New Roman" w:hAnsi="Times New Roman" w:cs="Times New Roman"/>
                <w:sz w:val="24"/>
              </w:rPr>
              <w:t xml:space="preserve"> a </w:t>
            </w:r>
            <w:r w:rsidRPr="00A3389E">
              <w:rPr>
                <w:rFonts w:ascii="Times New Roman" w:hAnsi="Times New Roman" w:cs="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Počet určených zamestnancov</w:t>
            </w:r>
          </w:p>
          <w:p w14:paraId="1D6BAB49" w14:textId="6FFA81A2"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Počet zamestnancov, ktorých pracovné činnosti majú významný vplyv na rizikový profil inštitúcií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CRD</w:t>
            </w:r>
            <w:r w:rsidR="00A3389E">
              <w:rPr>
                <w:rFonts w:ascii="Times New Roman" w:hAnsi="Times New Roman" w:cs="Times New Roman"/>
                <w:sz w:val="24"/>
              </w:rPr>
              <w:t xml:space="preserve"> a </w:t>
            </w:r>
            <w:r w:rsidRPr="00A3389E">
              <w:rPr>
                <w:rFonts w:ascii="Times New Roman" w:hAnsi="Times New Roman" w:cs="Times New Roman"/>
                <w:sz w:val="24"/>
              </w:rPr>
              <w:t>delegovaným nariadením Komisie</w:t>
            </w:r>
            <w:r w:rsidR="00A3389E">
              <w:rPr>
                <w:rFonts w:ascii="Times New Roman" w:hAnsi="Times New Roman" w:cs="Times New Roman"/>
                <w:sz w:val="24"/>
              </w:rPr>
              <w:t xml:space="preserve"> o </w:t>
            </w:r>
            <w:r w:rsidRPr="00A3389E">
              <w:rPr>
                <w:rFonts w:ascii="Times New Roman" w:hAnsi="Times New Roman" w:cs="Times New Roman"/>
                <w:sz w:val="24"/>
              </w:rPr>
              <w:t>určených zamestnancoch</w:t>
            </w:r>
            <w:r w:rsidRPr="00A3389E">
              <w:rPr>
                <w:rStyle w:val="FootnoteReference"/>
                <w:rFonts w:ascii="Times New Roman" w:hAnsi="Times New Roman" w:cs="Times New Roman"/>
                <w:sz w:val="24"/>
                <w:szCs w:val="24"/>
              </w:rPr>
              <w:footnoteReference w:id="52"/>
            </w:r>
            <w:r w:rsidRPr="00A3389E">
              <w:rPr>
                <w:rFonts w:ascii="Times New Roman" w:hAnsi="Times New Roman" w:cs="Times New Roman"/>
                <w:sz w:val="24"/>
              </w:rPr>
              <w:t>, ktorým sa vykonáva článok 94 ods. 2 CRD (určení zamestnanci),</w:t>
            </w:r>
            <w:r w:rsidR="00A3389E">
              <w:rPr>
                <w:rFonts w:ascii="Times New Roman" w:hAnsi="Times New Roman" w:cs="Times New Roman"/>
                <w:sz w:val="24"/>
              </w:rPr>
              <w:t xml:space="preserve"> a </w:t>
            </w:r>
            <w:r w:rsidRPr="00A3389E">
              <w:rPr>
                <w:rFonts w:ascii="Times New Roman" w:hAnsi="Times New Roman" w:cs="Times New Roman"/>
                <w:sz w:val="24"/>
              </w:rPr>
              <w:t>ktorí sú príjemcami zložiek odmeňovania uvedených</w:t>
            </w:r>
            <w:r w:rsidR="00A3389E">
              <w:rPr>
                <w:rFonts w:ascii="Times New Roman" w:hAnsi="Times New Roman" w:cs="Times New Roman"/>
                <w:sz w:val="24"/>
              </w:rPr>
              <w:t xml:space="preserve"> v </w:t>
            </w:r>
            <w:r w:rsidRPr="00A3389E">
              <w:rPr>
                <w:rFonts w:ascii="Times New Roman" w:hAnsi="Times New Roman" w:cs="Times New Roman"/>
                <w:sz w:val="24"/>
              </w:rPr>
              <w:t>tomto vzore. Vypočítava sa pomocou prístupu založeného na ekvivalente plného pracovného času pre určených zamestnancov, ktorí nie sú členmi riadiaceho orgánu, pričom počty sa zverejňujú ako počet zamestnancov.</w:t>
            </w:r>
          </w:p>
        </w:tc>
      </w:tr>
      <w:tr w:rsidR="009360C9" w:rsidRPr="00A3389E"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Celková pevná odmena</w:t>
            </w:r>
          </w:p>
          <w:p w14:paraId="77F3767C" w14:textId="272DA2E5"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3 až 7 tohto vzoru.</w:t>
            </w:r>
          </w:p>
        </w:tc>
      </w:tr>
      <w:tr w:rsidR="009360C9" w:rsidRPr="00A3389E"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na peňažnom základe</w:t>
            </w:r>
          </w:p>
          <w:p w14:paraId="7EEE3387" w14:textId="4A8B51E6"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Hodnota peňažnej odmeny</w:t>
            </w:r>
            <w:r w:rsidR="00A3389E">
              <w:rPr>
                <w:rFonts w:ascii="Times New Roman" w:hAnsi="Times New Roman" w:cs="Times New Roman"/>
                <w:sz w:val="24"/>
              </w:rPr>
              <w:t xml:space="preserve"> v </w:t>
            </w:r>
            <w:r w:rsidRPr="00A3389E">
              <w:rPr>
                <w:rFonts w:ascii="Times New Roman" w:hAnsi="Times New Roman" w:cs="Times New Roman"/>
                <w:sz w:val="24"/>
              </w:rPr>
              <w:t>rámci pevnej odmeny.</w:t>
            </w:r>
          </w:p>
        </w:tc>
      </w:tr>
      <w:tr w:rsidR="009360C9" w:rsidRPr="00A3389E"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akcie alebo rovnocenné vlastnícke podiely</w:t>
            </w:r>
          </w:p>
          <w:p w14:paraId="7F8210BA" w14:textId="2F1020E7"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Súčet hodnôt akcií alebo rovnocenných vlastníckych podielov</w:t>
            </w:r>
            <w:r w:rsidR="00A3389E">
              <w:rPr>
                <w:rFonts w:ascii="Times New Roman" w:hAnsi="Times New Roman" w:cs="Times New Roman"/>
                <w:sz w:val="24"/>
              </w:rPr>
              <w:t xml:space="preserve"> v </w:t>
            </w:r>
            <w:r w:rsidRPr="00A3389E">
              <w:rPr>
                <w:rFonts w:ascii="Times New Roman" w:hAnsi="Times New Roman" w:cs="Times New Roman"/>
                <w:sz w:val="24"/>
              </w:rPr>
              <w:t>závislosti od právnej štruktúry dotknutej inštitúcie,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l) bode i) CRD,</w:t>
            </w:r>
            <w:r w:rsidR="00A3389E">
              <w:rPr>
                <w:rFonts w:ascii="Times New Roman" w:hAnsi="Times New Roman" w:cs="Times New Roman"/>
                <w:sz w:val="24"/>
              </w:rPr>
              <w:t xml:space="preserve"> v </w:t>
            </w:r>
            <w:r w:rsidRPr="00A3389E">
              <w:rPr>
                <w:rFonts w:ascii="Times New Roman" w:hAnsi="Times New Roman" w:cs="Times New Roman"/>
                <w:sz w:val="24"/>
              </w:rPr>
              <w:t>rámci pevnej odmeny.</w:t>
            </w:r>
          </w:p>
        </w:tc>
      </w:tr>
      <w:tr w:rsidR="009360C9" w:rsidRPr="00A3389E"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D652E1" w14:textId="4A118B36" w:rsidR="00A3389E"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nástroje súvisiace</w:t>
            </w:r>
            <w:r w:rsidR="00A3389E">
              <w:rPr>
                <w:rFonts w:ascii="Times New Roman" w:hAnsi="Times New Roman" w:cs="Times New Roman"/>
                <w:sz w:val="24"/>
              </w:rPr>
              <w:t xml:space="preserve"> s </w:t>
            </w:r>
            <w:r w:rsidRPr="00A3389E">
              <w:rPr>
                <w:rFonts w:ascii="Times New Roman" w:hAnsi="Times New Roman" w:cs="Times New Roman"/>
                <w:sz w:val="24"/>
              </w:rPr>
              <w:t>akciami alebo rovnocenné bezhotovostné nástroje</w:t>
            </w:r>
          </w:p>
          <w:p w14:paraId="10509704" w14:textId="547A5506"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Súčet hodnôt nástrojov súvisiacich</w:t>
            </w:r>
            <w:r w:rsidR="00A3389E">
              <w:rPr>
                <w:rFonts w:ascii="Times New Roman" w:hAnsi="Times New Roman" w:cs="Times New Roman"/>
                <w:sz w:val="24"/>
              </w:rPr>
              <w:t xml:space="preserve"> s </w:t>
            </w:r>
            <w:r w:rsidRPr="00A3389E">
              <w:rPr>
                <w:rFonts w:ascii="Times New Roman" w:hAnsi="Times New Roman" w:cs="Times New Roman"/>
                <w:sz w:val="24"/>
              </w:rPr>
              <w:t>akciami alebo rovnocenných bezhotovostných nástrojov uvedených</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l) bode i) CRD</w:t>
            </w:r>
            <w:r w:rsidR="00A3389E">
              <w:rPr>
                <w:rFonts w:ascii="Times New Roman" w:hAnsi="Times New Roman" w:cs="Times New Roman"/>
                <w:sz w:val="24"/>
              </w:rPr>
              <w:t xml:space="preserve"> v </w:t>
            </w:r>
            <w:r w:rsidRPr="00A3389E">
              <w:rPr>
                <w:rFonts w:ascii="Times New Roman" w:hAnsi="Times New Roman" w:cs="Times New Roman"/>
                <w:sz w:val="24"/>
              </w:rPr>
              <w:t>rámci pevnej odmeny.</w:t>
            </w:r>
          </w:p>
        </w:tc>
      </w:tr>
      <w:tr w:rsidR="009360C9" w:rsidRPr="00A3389E"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iné nástroje</w:t>
            </w:r>
          </w:p>
          <w:p w14:paraId="3D5E7799" w14:textId="51BCA631"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Hodnota iných nástrojov uvedených</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l) bode ii) CRD</w:t>
            </w:r>
            <w:r w:rsidR="00A3389E">
              <w:rPr>
                <w:rFonts w:ascii="Times New Roman" w:hAnsi="Times New Roman" w:cs="Times New Roman"/>
                <w:sz w:val="24"/>
              </w:rPr>
              <w:t xml:space="preserve"> v </w:t>
            </w:r>
            <w:r w:rsidRPr="00A3389E">
              <w:rPr>
                <w:rFonts w:ascii="Times New Roman" w:hAnsi="Times New Roman" w:cs="Times New Roman"/>
                <w:sz w:val="24"/>
              </w:rPr>
              <w:t>rámci pevnej odmeny.</w:t>
            </w:r>
          </w:p>
        </w:tc>
      </w:tr>
      <w:tr w:rsidR="009360C9" w:rsidRPr="00A3389E"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iné formy</w:t>
            </w:r>
          </w:p>
          <w:p w14:paraId="68716224" w14:textId="46A72C6C"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Hodnoty pevnej odmeny priznanej za účtovný rok, ktoré nie sú zverejnené</w:t>
            </w:r>
            <w:r w:rsidR="00A3389E">
              <w:rPr>
                <w:rFonts w:ascii="Times New Roman" w:hAnsi="Times New Roman" w:cs="Times New Roman"/>
                <w:sz w:val="24"/>
              </w:rPr>
              <w:t xml:space="preserve"> v </w:t>
            </w:r>
            <w:r w:rsidRPr="00A3389E">
              <w:rPr>
                <w:rFonts w:ascii="Times New Roman" w:hAnsi="Times New Roman" w:cs="Times New Roman"/>
                <w:sz w:val="24"/>
              </w:rPr>
              <w:t>iných riadkoch</w:t>
            </w:r>
            <w:r w:rsidR="00A3389E">
              <w:rPr>
                <w:rFonts w:ascii="Times New Roman" w:hAnsi="Times New Roman" w:cs="Times New Roman"/>
                <w:sz w:val="24"/>
              </w:rPr>
              <w:t xml:space="preserve"> v </w:t>
            </w:r>
            <w:r w:rsidRPr="00A3389E">
              <w:rPr>
                <w:rFonts w:ascii="Times New Roman" w:hAnsi="Times New Roman" w:cs="Times New Roman"/>
                <w:sz w:val="24"/>
              </w:rPr>
              <w:t>rámci položky celkovej pevnej odmeny.</w:t>
            </w:r>
          </w:p>
          <w:p w14:paraId="60CEFAB5" w14:textId="7AE95001"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 xml:space="preserve">Mohlo by to zahŕňať pomerné pravidelné príspevky na dôchodkové zabezpečenie alebo dávky (ak sa takéto dávky poskytujú bez ohľadu na </w:t>
            </w:r>
            <w:r w:rsidRPr="00A3389E">
              <w:rPr>
                <w:rFonts w:ascii="Times New Roman" w:hAnsi="Times New Roman" w:cs="Times New Roman"/>
                <w:sz w:val="24"/>
              </w:rPr>
              <w:lastRenderedPageBreak/>
              <w:t>akékoľvek výkonnostné kritériá) uvedené</w:t>
            </w:r>
            <w:r w:rsidR="00A3389E">
              <w:rPr>
                <w:rFonts w:ascii="Times New Roman" w:hAnsi="Times New Roman" w:cs="Times New Roman"/>
                <w:sz w:val="24"/>
              </w:rPr>
              <w:t xml:space="preserve"> v </w:t>
            </w:r>
            <w:r w:rsidRPr="00A3389E">
              <w:rPr>
                <w:rFonts w:ascii="Times New Roman" w:hAnsi="Times New Roman" w:cs="Times New Roman"/>
                <w:sz w:val="24"/>
              </w:rPr>
              <w:t>odôvodnení 64 CRD alebo iné formy odmeňovania, ako napríklad príspevky na automobily.</w:t>
            </w:r>
          </w:p>
        </w:tc>
      </w:tr>
      <w:tr w:rsidR="009360C9" w:rsidRPr="00A3389E"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Celková pohyblivá odmena</w:t>
            </w:r>
          </w:p>
          <w:p w14:paraId="2AB55EF9" w14:textId="183EAACE"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11, EU-13a, EU-13b, EU-14x</w:t>
            </w:r>
            <w:r w:rsidR="00A3389E">
              <w:rPr>
                <w:rFonts w:ascii="Times New Roman" w:hAnsi="Times New Roman" w:cs="Times New Roman"/>
                <w:sz w:val="24"/>
              </w:rPr>
              <w:t xml:space="preserve"> a </w:t>
            </w:r>
            <w:r w:rsidRPr="00A3389E">
              <w:rPr>
                <w:rFonts w:ascii="Times New Roman" w:hAnsi="Times New Roman" w:cs="Times New Roman"/>
                <w:sz w:val="24"/>
              </w:rPr>
              <w:t>15 tohto vzoru.</w:t>
            </w:r>
          </w:p>
          <w:p w14:paraId="0B093985" w14:textId="184DA4B2"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Súčet všetkých zložiek odmeňovania, ktoré nie sú pevnou odmenou zverejňovanou</w:t>
            </w:r>
            <w:r w:rsidR="00A3389E">
              <w:rPr>
                <w:rFonts w:ascii="Times New Roman" w:hAnsi="Times New Roman" w:cs="Times New Roman"/>
                <w:sz w:val="24"/>
              </w:rPr>
              <w:t xml:space="preserve"> v </w:t>
            </w:r>
            <w:r w:rsidRPr="00A3389E">
              <w:rPr>
                <w:rFonts w:ascii="Times New Roman" w:hAnsi="Times New Roman" w:cs="Times New Roman"/>
                <w:sz w:val="24"/>
              </w:rPr>
              <w:t>riadku 2 tohto vzoru, vrátane zaručených pohyblivých platieb</w:t>
            </w:r>
            <w:r w:rsidR="00A3389E">
              <w:rPr>
                <w:rFonts w:ascii="Times New Roman" w:hAnsi="Times New Roman" w:cs="Times New Roman"/>
                <w:sz w:val="24"/>
              </w:rPr>
              <w:t xml:space="preserve"> a </w:t>
            </w:r>
            <w:r w:rsidRPr="00A3389E">
              <w:rPr>
                <w:rFonts w:ascii="Times New Roman" w:hAnsi="Times New Roman" w:cs="Times New Roman"/>
                <w:sz w:val="24"/>
              </w:rPr>
              <w:t>odstupného priznaných počas daného roka.</w:t>
            </w:r>
          </w:p>
        </w:tc>
      </w:tr>
      <w:tr w:rsidR="009360C9" w:rsidRPr="00A3389E"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na peňažnom základe</w:t>
            </w:r>
          </w:p>
          <w:p w14:paraId="52C09071" w14:textId="18D5927C"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Hodnota peňažnej odmeny</w:t>
            </w:r>
            <w:r w:rsidR="00A3389E">
              <w:rPr>
                <w:rFonts w:ascii="Times New Roman" w:hAnsi="Times New Roman" w:cs="Times New Roman"/>
                <w:sz w:val="24"/>
              </w:rPr>
              <w:t xml:space="preserve"> v </w:t>
            </w:r>
            <w:r w:rsidRPr="00A3389E">
              <w:rPr>
                <w:rFonts w:ascii="Times New Roman" w:hAnsi="Times New Roman" w:cs="Times New Roman"/>
                <w:sz w:val="24"/>
              </w:rPr>
              <w:t>rámci pohyblivej odmeny.</w:t>
            </w:r>
          </w:p>
        </w:tc>
      </w:tr>
      <w:tr w:rsidR="009360C9" w:rsidRPr="00A3389E"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17F3E95A"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12, EU-14a, EU-14b, EU-14y</w:t>
            </w:r>
            <w:r w:rsidR="00A3389E">
              <w:rPr>
                <w:rFonts w:ascii="Times New Roman" w:hAnsi="Times New Roman" w:cs="Times New Roman"/>
                <w:sz w:val="24"/>
              </w:rPr>
              <w:t xml:space="preserve"> a </w:t>
            </w:r>
            <w:r w:rsidRPr="00A3389E">
              <w:rPr>
                <w:rFonts w:ascii="Times New Roman" w:hAnsi="Times New Roman" w:cs="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5AD9D10E"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w:t>
            </w:r>
            <w:r w:rsidR="00A3389E">
              <w:rPr>
                <w:rFonts w:ascii="Times New Roman" w:hAnsi="Times New Roman" w:cs="Times New Roman"/>
                <w:sz w:val="24"/>
              </w:rPr>
              <w:t xml:space="preserve"> s </w:t>
            </w:r>
            <w:r w:rsidRPr="00A3389E">
              <w:rPr>
                <w:rFonts w:ascii="Times New Roman" w:hAnsi="Times New Roman" w:cs="Times New Roman"/>
                <w:sz w:val="24"/>
              </w:rPr>
              <w:t>odloženou splatnosťou</w:t>
            </w:r>
          </w:p>
          <w:p w14:paraId="3327C4AA" w14:textId="3881A3FE"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Hodnoty pohyblivej odmeny podľa rôznych druhov zložiek, ktorých splatnosť je odložená, určené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CRD.</w:t>
            </w:r>
          </w:p>
        </w:tc>
      </w:tr>
      <w:tr w:rsidR="009360C9" w:rsidRPr="00A3389E"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akcie alebo rovnocenné vlastnícke podiely</w:t>
            </w:r>
          </w:p>
          <w:p w14:paraId="2FBA92DD" w14:textId="1963FD06"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Súčet hodnôt akcií alebo rovnocenných vlastníckych podielov</w:t>
            </w:r>
            <w:r w:rsidR="00A3389E">
              <w:rPr>
                <w:rFonts w:ascii="Times New Roman" w:hAnsi="Times New Roman" w:cs="Times New Roman"/>
                <w:sz w:val="24"/>
              </w:rPr>
              <w:t xml:space="preserve"> v </w:t>
            </w:r>
            <w:r w:rsidRPr="00A3389E">
              <w:rPr>
                <w:rFonts w:ascii="Times New Roman" w:hAnsi="Times New Roman" w:cs="Times New Roman"/>
                <w:sz w:val="24"/>
              </w:rPr>
              <w:t>závislosti od právnej štruktúry dotknutej inštitúcie,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l) bode i) CRD,</w:t>
            </w:r>
            <w:r w:rsidR="00A3389E">
              <w:rPr>
                <w:rFonts w:ascii="Times New Roman" w:hAnsi="Times New Roman" w:cs="Times New Roman"/>
                <w:sz w:val="24"/>
              </w:rPr>
              <w:t xml:space="preserve"> v </w:t>
            </w:r>
            <w:r w:rsidRPr="00A3389E">
              <w:rPr>
                <w:rFonts w:ascii="Times New Roman" w:hAnsi="Times New Roman" w:cs="Times New Roman"/>
                <w:sz w:val="24"/>
              </w:rPr>
              <w:t>rámci pohyblivej odmeny.</w:t>
            </w:r>
          </w:p>
        </w:tc>
      </w:tr>
      <w:tr w:rsidR="009360C9" w:rsidRPr="00A3389E"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F72A60" w14:textId="06CE65DA" w:rsidR="00A3389E"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nástroje súvisiace</w:t>
            </w:r>
            <w:r w:rsidR="00A3389E">
              <w:rPr>
                <w:rFonts w:ascii="Times New Roman" w:hAnsi="Times New Roman" w:cs="Times New Roman"/>
                <w:sz w:val="24"/>
              </w:rPr>
              <w:t xml:space="preserve"> s </w:t>
            </w:r>
            <w:r w:rsidRPr="00A3389E">
              <w:rPr>
                <w:rFonts w:ascii="Times New Roman" w:hAnsi="Times New Roman" w:cs="Times New Roman"/>
                <w:sz w:val="24"/>
              </w:rPr>
              <w:t>akciami alebo rovnocenné bezhotovostné nástroje</w:t>
            </w:r>
          </w:p>
          <w:p w14:paraId="12117FCC" w14:textId="078D068B"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Súčet hodnôt nástrojov súvisiacich</w:t>
            </w:r>
            <w:r w:rsidR="00A3389E">
              <w:rPr>
                <w:rFonts w:ascii="Times New Roman" w:hAnsi="Times New Roman" w:cs="Times New Roman"/>
                <w:sz w:val="24"/>
              </w:rPr>
              <w:t xml:space="preserve"> s </w:t>
            </w:r>
            <w:r w:rsidRPr="00A3389E">
              <w:rPr>
                <w:rFonts w:ascii="Times New Roman" w:hAnsi="Times New Roman" w:cs="Times New Roman"/>
                <w:sz w:val="24"/>
              </w:rPr>
              <w:t>akciami alebo rovnocenných bezhotovostných nástrojov uvedených</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l) bode i) CRD</w:t>
            </w:r>
            <w:r w:rsidR="00A3389E">
              <w:rPr>
                <w:rFonts w:ascii="Times New Roman" w:hAnsi="Times New Roman" w:cs="Times New Roman"/>
                <w:sz w:val="24"/>
              </w:rPr>
              <w:t xml:space="preserve"> v </w:t>
            </w:r>
            <w:r w:rsidRPr="00A3389E">
              <w:rPr>
                <w:rFonts w:ascii="Times New Roman" w:hAnsi="Times New Roman" w:cs="Times New Roman"/>
                <w:sz w:val="24"/>
              </w:rPr>
              <w:t>rámci pohyblivej odmeny.</w:t>
            </w:r>
          </w:p>
        </w:tc>
      </w:tr>
      <w:tr w:rsidR="009360C9" w:rsidRPr="00A3389E"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iné nástroje</w:t>
            </w:r>
          </w:p>
          <w:p w14:paraId="0335CACF" w14:textId="174672BD" w:rsidR="009360C9" w:rsidRPr="00A3389E" w:rsidRDefault="009360C9"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sz w:val="24"/>
              </w:rPr>
              <w:t>Hodnota iných nástrojov uvedených</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l) bode ii) CRD</w:t>
            </w:r>
            <w:r w:rsidR="00A3389E">
              <w:rPr>
                <w:rFonts w:ascii="Times New Roman" w:hAnsi="Times New Roman" w:cs="Times New Roman"/>
                <w:sz w:val="24"/>
              </w:rPr>
              <w:t xml:space="preserve"> v </w:t>
            </w:r>
            <w:r w:rsidRPr="00A3389E">
              <w:rPr>
                <w:rFonts w:ascii="Times New Roman" w:hAnsi="Times New Roman" w:cs="Times New Roman"/>
                <w:sz w:val="24"/>
              </w:rPr>
              <w:t>rámci pohyblivej odmeny.</w:t>
            </w:r>
          </w:p>
        </w:tc>
      </w:tr>
      <w:tr w:rsidR="009360C9" w:rsidRPr="00A3389E"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Z čoho: iné formy</w:t>
            </w:r>
          </w:p>
          <w:p w14:paraId="5CB11051" w14:textId="5CC81625"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Hodnoty pohyblivej odmeny priznanej za účtovný rok, ktoré nie sú zverejnené</w:t>
            </w:r>
            <w:r w:rsidR="00A3389E">
              <w:rPr>
                <w:rFonts w:ascii="Times New Roman" w:hAnsi="Times New Roman" w:cs="Times New Roman"/>
                <w:sz w:val="24"/>
              </w:rPr>
              <w:t xml:space="preserve"> v </w:t>
            </w:r>
            <w:r w:rsidRPr="00A3389E">
              <w:rPr>
                <w:rFonts w:ascii="Times New Roman" w:hAnsi="Times New Roman" w:cs="Times New Roman"/>
                <w:sz w:val="24"/>
              </w:rPr>
              <w:t>iných riadkoch</w:t>
            </w:r>
            <w:r w:rsidR="00A3389E">
              <w:rPr>
                <w:rFonts w:ascii="Times New Roman" w:hAnsi="Times New Roman" w:cs="Times New Roman"/>
                <w:sz w:val="24"/>
              </w:rPr>
              <w:t xml:space="preserve"> v </w:t>
            </w:r>
            <w:r w:rsidRPr="00A3389E">
              <w:rPr>
                <w:rFonts w:ascii="Times New Roman" w:hAnsi="Times New Roman" w:cs="Times New Roman"/>
                <w:sz w:val="24"/>
              </w:rPr>
              <w:t>rámci položky pohyblivej odmeny.</w:t>
            </w:r>
          </w:p>
        </w:tc>
      </w:tr>
      <w:tr w:rsidR="009360C9" w:rsidRPr="00A3389E"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Celková odmena</w:t>
            </w:r>
          </w:p>
          <w:p w14:paraId="181EB30A" w14:textId="0EF8CDC3"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2</w:t>
            </w:r>
            <w:r w:rsidR="00A3389E">
              <w:rPr>
                <w:rFonts w:ascii="Times New Roman" w:hAnsi="Times New Roman" w:cs="Times New Roman"/>
                <w:sz w:val="24"/>
              </w:rPr>
              <w:t xml:space="preserve"> a </w:t>
            </w:r>
            <w:r w:rsidRPr="00A3389E">
              <w:rPr>
                <w:rFonts w:ascii="Times New Roman" w:hAnsi="Times New Roman" w:cs="Times New Roman"/>
                <w:sz w:val="24"/>
              </w:rPr>
              <w:t>10 tohto vzoru.</w:t>
            </w:r>
          </w:p>
        </w:tc>
      </w:tr>
      <w:tr w:rsidR="009360C9" w:rsidRPr="00A3389E"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A3389E" w:rsidRDefault="009360C9" w:rsidP="006D005E">
            <w:pPr>
              <w:pStyle w:val="Applicationdirecte"/>
              <w:spacing w:before="0"/>
              <w:jc w:val="center"/>
              <w:rPr>
                <w:b/>
              </w:rPr>
            </w:pPr>
            <w:r w:rsidRPr="00A3389E">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A3389E" w:rsidRDefault="009360C9" w:rsidP="00155C96">
            <w:pPr>
              <w:pStyle w:val="TableMainHeading"/>
              <w:spacing w:before="60"/>
              <w:rPr>
                <w:rFonts w:ascii="Times New Roman" w:hAnsi="Times New Roman"/>
                <w:b/>
                <w:sz w:val="24"/>
                <w:szCs w:val="24"/>
              </w:rPr>
            </w:pPr>
            <w:r w:rsidRPr="00A3389E">
              <w:rPr>
                <w:rFonts w:ascii="Times New Roman" w:hAnsi="Times New Roman"/>
                <w:b/>
                <w:sz w:val="24"/>
                <w:szCs w:val="24"/>
              </w:rPr>
              <w:t>Vysvetlenie</w:t>
            </w:r>
          </w:p>
        </w:tc>
      </w:tr>
      <w:tr w:rsidR="009360C9" w:rsidRPr="00A3389E"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Funkcia dohľadu riadiaceho orgánu</w:t>
            </w:r>
          </w:p>
          <w:p w14:paraId="00FB8C2A" w14:textId="194F5799" w:rsidR="00A3389E"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Riadiaci orgán vo svojej funkcii dohľadu ako riadiaci orgán, ktorý vykonáva svoju úlohu dohľadu</w:t>
            </w:r>
            <w:r w:rsidR="00A3389E">
              <w:rPr>
                <w:rFonts w:ascii="Times New Roman" w:hAnsi="Times New Roman" w:cs="Times New Roman"/>
                <w:sz w:val="24"/>
              </w:rPr>
              <w:t xml:space="preserve"> a </w:t>
            </w:r>
            <w:r w:rsidRPr="00A3389E">
              <w:rPr>
                <w:rFonts w:ascii="Times New Roman" w:hAnsi="Times New Roman" w:cs="Times New Roman"/>
                <w:sz w:val="24"/>
              </w:rPr>
              <w:t>monitorovania nad rozhodovaním manažmentu, ako sa vymedzuje</w:t>
            </w:r>
            <w:r w:rsidR="00A3389E">
              <w:rPr>
                <w:rFonts w:ascii="Times New Roman" w:hAnsi="Times New Roman" w:cs="Times New Roman"/>
                <w:sz w:val="24"/>
              </w:rPr>
              <w:t xml:space="preserve"> v </w:t>
            </w:r>
            <w:r w:rsidRPr="00A3389E">
              <w:rPr>
                <w:rFonts w:ascii="Times New Roman" w:hAnsi="Times New Roman" w:cs="Times New Roman"/>
                <w:sz w:val="24"/>
              </w:rPr>
              <w:t>článku 3 ods. 1 bode 8 CRD</w:t>
            </w:r>
            <w:r w:rsidR="00A3389E" w:rsidRPr="00A3389E">
              <w:rPr>
                <w:rFonts w:ascii="Times New Roman" w:hAnsi="Times New Roman" w:cs="Times New Roman"/>
                <w:sz w:val="24"/>
              </w:rPr>
              <w:t>.</w:t>
            </w:r>
          </w:p>
          <w:p w14:paraId="3052EA7C" w14:textId="77777777" w:rsidR="00A3389E"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informácie na základe počtu zamestnancov</w:t>
            </w:r>
            <w:r w:rsidR="00A3389E" w:rsidRPr="00A3389E">
              <w:rPr>
                <w:rFonts w:ascii="Times New Roman" w:hAnsi="Times New Roman" w:cs="Times New Roman"/>
                <w:sz w:val="24"/>
              </w:rPr>
              <w:t>.</w:t>
            </w:r>
          </w:p>
          <w:p w14:paraId="6BC6F325" w14:textId="2C491214"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V súlade</w:t>
            </w:r>
            <w:r w:rsidR="00A3389E">
              <w:rPr>
                <w:rFonts w:ascii="Times New Roman" w:hAnsi="Times New Roman" w:cs="Times New Roman"/>
                <w:sz w:val="24"/>
              </w:rPr>
              <w:t xml:space="preserve"> s </w:t>
            </w:r>
            <w:r w:rsidRPr="00A3389E">
              <w:rPr>
                <w:rFonts w:ascii="Times New Roman" w:hAnsi="Times New Roman" w:cs="Times New Roman"/>
                <w:sz w:val="24"/>
              </w:rPr>
              <w:t>článkom 13 CRR materské inštitúcie</w:t>
            </w:r>
            <w:r w:rsidR="00A3389E">
              <w:rPr>
                <w:rFonts w:ascii="Times New Roman" w:hAnsi="Times New Roman" w:cs="Times New Roman"/>
                <w:sz w:val="24"/>
              </w:rPr>
              <w:t xml:space="preserve"> v </w:t>
            </w:r>
            <w:r w:rsidRPr="00A3389E">
              <w:rPr>
                <w:rFonts w:ascii="Times New Roman" w:hAnsi="Times New Roman" w:cs="Times New Roman"/>
                <w:sz w:val="24"/>
              </w:rPr>
              <w:t>EÚ zverejňujú tieto informácie na základe svojej konsolidovanej situácie</w:t>
            </w:r>
            <w:r w:rsidR="00A3389E">
              <w:rPr>
                <w:rFonts w:ascii="Times New Roman" w:hAnsi="Times New Roman" w:cs="Times New Roman"/>
                <w:sz w:val="24"/>
              </w:rPr>
              <w:t xml:space="preserve"> a </w:t>
            </w:r>
            <w:r w:rsidRPr="00A3389E">
              <w:rPr>
                <w:rFonts w:ascii="Times New Roman" w:hAnsi="Times New Roman" w:cs="Times New Roman"/>
                <w:sz w:val="24"/>
              </w:rPr>
              <w:t xml:space="preserve">veľké dcérske </w:t>
            </w:r>
            <w:r w:rsidRPr="00A3389E">
              <w:rPr>
                <w:rFonts w:ascii="Times New Roman" w:hAnsi="Times New Roman" w:cs="Times New Roman"/>
                <w:sz w:val="24"/>
              </w:rPr>
              <w:lastRenderedPageBreak/>
              <w:t>spoločnosti materských inštitúcií</w:t>
            </w:r>
            <w:r w:rsidR="00A3389E">
              <w:rPr>
                <w:rFonts w:ascii="Times New Roman" w:hAnsi="Times New Roman" w:cs="Times New Roman"/>
                <w:sz w:val="24"/>
              </w:rPr>
              <w:t xml:space="preserve"> v </w:t>
            </w:r>
            <w:r w:rsidRPr="00A3389E">
              <w:rPr>
                <w:rFonts w:ascii="Times New Roman" w:hAnsi="Times New Roman" w:cs="Times New Roman"/>
                <w:sz w:val="24"/>
              </w:rPr>
              <w:t>EÚ zverejňujú tieto informácie na individuálnom základe alebo prípadne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týmto nariadením</w:t>
            </w:r>
            <w:r w:rsidR="00A3389E">
              <w:rPr>
                <w:rFonts w:ascii="Times New Roman" w:hAnsi="Times New Roman" w:cs="Times New Roman"/>
                <w:sz w:val="24"/>
              </w:rPr>
              <w:t xml:space="preserve"> a </w:t>
            </w:r>
            <w:r w:rsidRPr="00A3389E">
              <w:rPr>
                <w:rFonts w:ascii="Times New Roman" w:hAnsi="Times New Roman" w:cs="Times New Roman"/>
                <w:sz w:val="24"/>
              </w:rPr>
              <w:t>CRD na subkonsolidovanom základe. Subjekt zverejňujúci informácie uvádza</w:t>
            </w:r>
            <w:r w:rsidR="00A3389E">
              <w:rPr>
                <w:rFonts w:ascii="Times New Roman" w:hAnsi="Times New Roman" w:cs="Times New Roman"/>
                <w:sz w:val="24"/>
              </w:rPr>
              <w:t xml:space="preserve"> v </w:t>
            </w:r>
            <w:r w:rsidRPr="00A3389E">
              <w:rPr>
                <w:rFonts w:ascii="Times New Roman" w:hAnsi="Times New Roman" w:cs="Times New Roman"/>
                <w:sz w:val="24"/>
              </w:rPr>
              <w:t>tomto stĺpci informácie</w:t>
            </w:r>
            <w:r w:rsidR="00A3389E">
              <w:rPr>
                <w:rFonts w:ascii="Times New Roman" w:hAnsi="Times New Roman" w:cs="Times New Roman"/>
                <w:sz w:val="24"/>
              </w:rPr>
              <w:t xml:space="preserve"> o </w:t>
            </w:r>
            <w:r w:rsidRPr="00A3389E">
              <w:rPr>
                <w:rFonts w:ascii="Times New Roman" w:hAnsi="Times New Roman" w:cs="Times New Roman"/>
                <w:sz w:val="24"/>
              </w:rPr>
              <w:t>svojom riadiacom orgáne. Ak sa podľa článkov 6</w:t>
            </w:r>
            <w:r w:rsidR="00A3389E">
              <w:rPr>
                <w:rFonts w:ascii="Times New Roman" w:hAnsi="Times New Roman" w:cs="Times New Roman"/>
                <w:sz w:val="24"/>
              </w:rPr>
              <w:t xml:space="preserve"> a </w:t>
            </w:r>
            <w:r w:rsidRPr="00A3389E">
              <w:rPr>
                <w:rFonts w:ascii="Times New Roman" w:hAnsi="Times New Roman" w:cs="Times New Roman"/>
                <w:sz w:val="24"/>
              </w:rPr>
              <w:t>13 CRR zverejňovanie uskutočňuje na konsolidovanej alebo subkonsolidovanej úrovni, informácie</w:t>
            </w:r>
            <w:r w:rsidR="00A3389E">
              <w:rPr>
                <w:rFonts w:ascii="Times New Roman" w:hAnsi="Times New Roman" w:cs="Times New Roman"/>
                <w:sz w:val="24"/>
              </w:rPr>
              <w:t xml:space="preserve"> o </w:t>
            </w:r>
            <w:r w:rsidRPr="00A3389E">
              <w:rPr>
                <w:rFonts w:ascii="Times New Roman" w:hAnsi="Times New Roman" w:cs="Times New Roman"/>
                <w:sz w:val="24"/>
              </w:rPr>
              <w:t>určených zamestnancoch riadiacich orgánov dcérskych spoločností sa zverejňujú</w:t>
            </w:r>
            <w:r w:rsidR="00A3389E">
              <w:rPr>
                <w:rFonts w:ascii="Times New Roman" w:hAnsi="Times New Roman" w:cs="Times New Roman"/>
                <w:sz w:val="24"/>
              </w:rPr>
              <w:t xml:space="preserve"> v </w:t>
            </w:r>
            <w:r w:rsidRPr="00A3389E">
              <w:rPr>
                <w:rFonts w:ascii="Times New Roman" w:hAnsi="Times New Roman" w:cs="Times New Roman"/>
                <w:sz w:val="24"/>
              </w:rPr>
              <w:t>rámci príslušnej obchodnej oblasti.</w:t>
            </w:r>
          </w:p>
        </w:tc>
      </w:tr>
      <w:tr w:rsidR="009360C9" w:rsidRPr="00A3389E"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366B96F" w14:textId="77777777" w:rsidR="00A3389E"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Riadiaca funkcia riadiaceho orgánu</w:t>
            </w:r>
          </w:p>
          <w:p w14:paraId="496ACAF7" w14:textId="18215FD9"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Členovia riadiaceho orgánu, ktorí sú zodpovední za jeho riadiace funkcie.</w:t>
            </w:r>
          </w:p>
          <w:p w14:paraId="20F94664" w14:textId="77777777"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informácie na základe počtu zamestnancov.</w:t>
            </w:r>
          </w:p>
          <w:p w14:paraId="160E29F2" w14:textId="75AE53CF"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informácie na základe počtu zamestnancov.</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13 CRR. Materské inštitúcie</w:t>
            </w:r>
            <w:r w:rsidR="00A3389E">
              <w:rPr>
                <w:rFonts w:ascii="Times New Roman" w:hAnsi="Times New Roman" w:cs="Times New Roman"/>
                <w:sz w:val="24"/>
              </w:rPr>
              <w:t xml:space="preserve"> v </w:t>
            </w:r>
            <w:r w:rsidRPr="00A3389E">
              <w:rPr>
                <w:rFonts w:ascii="Times New Roman" w:hAnsi="Times New Roman" w:cs="Times New Roman"/>
                <w:sz w:val="24"/>
              </w:rPr>
              <w:t>EÚ zverejňujú tieto informácie na základe svojej konsolidovanej situácie</w:t>
            </w:r>
            <w:r w:rsidR="00A3389E">
              <w:rPr>
                <w:rFonts w:ascii="Times New Roman" w:hAnsi="Times New Roman" w:cs="Times New Roman"/>
                <w:sz w:val="24"/>
              </w:rPr>
              <w:t xml:space="preserve"> a </w:t>
            </w:r>
            <w:r w:rsidRPr="00A3389E">
              <w:rPr>
                <w:rFonts w:ascii="Times New Roman" w:hAnsi="Times New Roman" w:cs="Times New Roman"/>
                <w:sz w:val="24"/>
              </w:rPr>
              <w:t>veľké dcérske spoločnosti materských inštitúcií</w:t>
            </w:r>
            <w:r w:rsidR="00A3389E">
              <w:rPr>
                <w:rFonts w:ascii="Times New Roman" w:hAnsi="Times New Roman" w:cs="Times New Roman"/>
                <w:sz w:val="24"/>
              </w:rPr>
              <w:t xml:space="preserve"> v </w:t>
            </w:r>
            <w:r w:rsidRPr="00A3389E">
              <w:rPr>
                <w:rFonts w:ascii="Times New Roman" w:hAnsi="Times New Roman" w:cs="Times New Roman"/>
                <w:sz w:val="24"/>
              </w:rPr>
              <w:t>EÚ zverejňujú tieto informácie na individuálnom základe alebo prípadne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týmto nariadením</w:t>
            </w:r>
            <w:r w:rsidR="00A3389E">
              <w:rPr>
                <w:rFonts w:ascii="Times New Roman" w:hAnsi="Times New Roman" w:cs="Times New Roman"/>
                <w:sz w:val="24"/>
              </w:rPr>
              <w:t xml:space="preserve"> a </w:t>
            </w:r>
            <w:r w:rsidRPr="00A3389E">
              <w:rPr>
                <w:rFonts w:ascii="Times New Roman" w:hAnsi="Times New Roman" w:cs="Times New Roman"/>
                <w:sz w:val="24"/>
              </w:rPr>
              <w:t>CRD na subkonsolidovanom základe. Subjekt zverejňujúci informácie uvádza</w:t>
            </w:r>
            <w:r w:rsidR="00A3389E">
              <w:rPr>
                <w:rFonts w:ascii="Times New Roman" w:hAnsi="Times New Roman" w:cs="Times New Roman"/>
                <w:sz w:val="24"/>
              </w:rPr>
              <w:t xml:space="preserve"> v </w:t>
            </w:r>
            <w:r w:rsidRPr="00A3389E">
              <w:rPr>
                <w:rFonts w:ascii="Times New Roman" w:hAnsi="Times New Roman" w:cs="Times New Roman"/>
                <w:sz w:val="24"/>
              </w:rPr>
              <w:t>tomto stĺpci informácie</w:t>
            </w:r>
            <w:r w:rsidR="00A3389E">
              <w:rPr>
                <w:rFonts w:ascii="Times New Roman" w:hAnsi="Times New Roman" w:cs="Times New Roman"/>
                <w:sz w:val="24"/>
              </w:rPr>
              <w:t xml:space="preserve"> o </w:t>
            </w:r>
            <w:r w:rsidRPr="00A3389E">
              <w:rPr>
                <w:rFonts w:ascii="Times New Roman" w:hAnsi="Times New Roman" w:cs="Times New Roman"/>
                <w:sz w:val="24"/>
              </w:rPr>
              <w:t>svojom riadiacom orgáne. Ak sa podľa článkov 6</w:t>
            </w:r>
            <w:r w:rsidR="00A3389E">
              <w:rPr>
                <w:rFonts w:ascii="Times New Roman" w:hAnsi="Times New Roman" w:cs="Times New Roman"/>
                <w:sz w:val="24"/>
              </w:rPr>
              <w:t xml:space="preserve"> a </w:t>
            </w:r>
            <w:r w:rsidRPr="00A3389E">
              <w:rPr>
                <w:rFonts w:ascii="Times New Roman" w:hAnsi="Times New Roman" w:cs="Times New Roman"/>
                <w:sz w:val="24"/>
              </w:rPr>
              <w:t>13 CRR zverejňovanie uskutočňuje na konsolidovanej alebo subkonsolidovanej úrovni, informácie</w:t>
            </w:r>
            <w:r w:rsidR="00A3389E">
              <w:rPr>
                <w:rFonts w:ascii="Times New Roman" w:hAnsi="Times New Roman" w:cs="Times New Roman"/>
                <w:sz w:val="24"/>
              </w:rPr>
              <w:t xml:space="preserve"> o </w:t>
            </w:r>
            <w:r w:rsidRPr="00A3389E">
              <w:rPr>
                <w:rFonts w:ascii="Times New Roman" w:hAnsi="Times New Roman" w:cs="Times New Roman"/>
                <w:sz w:val="24"/>
              </w:rPr>
              <w:t>určených zamestnancoch riadiacich orgánov dcérskych spoločností sa zverejňujú</w:t>
            </w:r>
            <w:r w:rsidR="00A3389E">
              <w:rPr>
                <w:rFonts w:ascii="Times New Roman" w:hAnsi="Times New Roman" w:cs="Times New Roman"/>
                <w:sz w:val="24"/>
              </w:rPr>
              <w:t xml:space="preserve"> v </w:t>
            </w:r>
            <w:r w:rsidRPr="00A3389E">
              <w:rPr>
                <w:rFonts w:ascii="Times New Roman" w:hAnsi="Times New Roman" w:cs="Times New Roman"/>
                <w:sz w:val="24"/>
              </w:rPr>
              <w:t>rámci príslušnej obchodnej oblasti.</w:t>
            </w:r>
          </w:p>
        </w:tc>
      </w:tr>
      <w:tr w:rsidR="009360C9" w:rsidRPr="00A3389E"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Iný vrcholový manažment</w:t>
            </w:r>
          </w:p>
          <w:p w14:paraId="7260CFA7" w14:textId="32A6C461"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Vrcholový manažment</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3 ods. 1 bode 9 CRD.</w:t>
            </w:r>
          </w:p>
          <w:p w14:paraId="070B2B90" w14:textId="0D308BB2"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počet vrcholových manažérov, ktorí nie sú zverejnení</w:t>
            </w:r>
            <w:r w:rsidR="00A3389E">
              <w:rPr>
                <w:rFonts w:ascii="Times New Roman" w:hAnsi="Times New Roman" w:cs="Times New Roman"/>
                <w:sz w:val="24"/>
              </w:rPr>
              <w:t xml:space="preserve"> v </w:t>
            </w:r>
            <w:r w:rsidRPr="00A3389E">
              <w:rPr>
                <w:rFonts w:ascii="Times New Roman" w:hAnsi="Times New Roman" w:cs="Times New Roman"/>
                <w:sz w:val="24"/>
              </w:rPr>
              <w:t>rámci položky riadiaceho orgánu</w:t>
            </w:r>
            <w:r w:rsidR="00A3389E">
              <w:rPr>
                <w:rFonts w:ascii="Times New Roman" w:hAnsi="Times New Roman" w:cs="Times New Roman"/>
                <w:sz w:val="24"/>
              </w:rPr>
              <w:t xml:space="preserve"> v </w:t>
            </w:r>
            <w:r w:rsidRPr="00A3389E">
              <w:rPr>
                <w:rFonts w:ascii="Times New Roman" w:hAnsi="Times New Roman" w:cs="Times New Roman"/>
                <w:sz w:val="24"/>
              </w:rPr>
              <w:t>jeho riadiacej funkcii ani ako iní určení zamestnanci. Inštitúcie zverejňujú informácie na základe ekvivalentu plného pracovného času.</w:t>
            </w:r>
          </w:p>
        </w:tc>
      </w:tr>
      <w:tr w:rsidR="009360C9" w:rsidRPr="00A3389E"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Iní určení zamestnanci</w:t>
            </w:r>
          </w:p>
          <w:p w14:paraId="59CFF3EB" w14:textId="68FBE18C" w:rsidR="00A3389E"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Zamestnanci iní než riadiaci orgán vo svojej funkcii dohľadu alebo riadiacej funkcii</w:t>
            </w:r>
            <w:r w:rsidR="00A3389E">
              <w:rPr>
                <w:rFonts w:ascii="Times New Roman" w:hAnsi="Times New Roman" w:cs="Times New Roman"/>
                <w:sz w:val="24"/>
              </w:rPr>
              <w:t xml:space="preserve"> a </w:t>
            </w:r>
            <w:r w:rsidRPr="00A3389E">
              <w:rPr>
                <w:rFonts w:ascii="Times New Roman" w:hAnsi="Times New Roman" w:cs="Times New Roman"/>
                <w:sz w:val="24"/>
              </w:rPr>
              <w:t>iní než vrcholový manažment, ktorých pracovné činnosti majú významný vplyv na rizikový profil inštitúcie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kritériami stanovenými</w:t>
            </w:r>
            <w:r w:rsidR="00A3389E">
              <w:rPr>
                <w:rFonts w:ascii="Times New Roman" w:hAnsi="Times New Roman" w:cs="Times New Roman"/>
                <w:sz w:val="24"/>
              </w:rPr>
              <w:t xml:space="preserve"> v </w:t>
            </w:r>
            <w:r w:rsidRPr="00A3389E">
              <w:rPr>
                <w:rFonts w:ascii="Times New Roman" w:hAnsi="Times New Roman" w:cs="Times New Roman"/>
                <w:sz w:val="24"/>
              </w:rPr>
              <w:t>delegovanom nariadení Komisie</w:t>
            </w:r>
            <w:r w:rsidR="00A3389E">
              <w:rPr>
                <w:rFonts w:ascii="Times New Roman" w:hAnsi="Times New Roman" w:cs="Times New Roman"/>
                <w:sz w:val="24"/>
              </w:rPr>
              <w:t xml:space="preserve"> o </w:t>
            </w:r>
            <w:r w:rsidRPr="00A3389E">
              <w:rPr>
                <w:rFonts w:ascii="Times New Roman" w:hAnsi="Times New Roman" w:cs="Times New Roman"/>
                <w:sz w:val="24"/>
              </w:rPr>
              <w:t>určených zamestnancoch, ktorým sa vykonáva článok 94 ods. 2 CRD,</w:t>
            </w:r>
            <w:r w:rsidR="00A3389E">
              <w:rPr>
                <w:rFonts w:ascii="Times New Roman" w:hAnsi="Times New Roman" w:cs="Times New Roman"/>
                <w:sz w:val="24"/>
              </w:rPr>
              <w:t xml:space="preserve"> a </w:t>
            </w:r>
            <w:r w:rsidRPr="00A3389E">
              <w:rPr>
                <w:rFonts w:ascii="Times New Roman" w:hAnsi="Times New Roman" w:cs="Times New Roman"/>
                <w:sz w:val="24"/>
              </w:rPr>
              <w:t>prípadne aj na základe kritérií inštitúcií</w:t>
            </w:r>
            <w:r w:rsidR="00A3389E" w:rsidRPr="00A3389E">
              <w:rPr>
                <w:rFonts w:ascii="Times New Roman" w:hAnsi="Times New Roman" w:cs="Times New Roman"/>
                <w:sz w:val="24"/>
              </w:rPr>
              <w:t>.</w:t>
            </w:r>
          </w:p>
          <w:p w14:paraId="11866154" w14:textId="77FA565C"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Inštitúcie môžu do tohto vzoru zahrnúť rozčlenenie podľa obchodných oblastí navrhnuté vo vzore EU REM5. Inštitúcie zverejňujú informácie na základe ekvivalentu plného pracovného času.</w:t>
            </w:r>
          </w:p>
        </w:tc>
      </w:tr>
    </w:tbl>
    <w:p w14:paraId="0A85B964" w14:textId="77777777" w:rsidR="009360C9" w:rsidRPr="00A3389E" w:rsidRDefault="009360C9" w:rsidP="009360C9">
      <w:pPr>
        <w:pStyle w:val="Titlelevel2"/>
        <w:spacing w:before="120" w:after="120"/>
        <w:rPr>
          <w:rFonts w:ascii="Times New Roman" w:hAnsi="Times New Roman" w:cs="Times New Roman"/>
          <w:color w:val="auto"/>
          <w:sz w:val="24"/>
        </w:rPr>
      </w:pPr>
    </w:p>
    <w:p w14:paraId="4725DE5C" w14:textId="08FB92B3" w:rsidR="009360C9" w:rsidRPr="00A3389E" w:rsidRDefault="00D95507" w:rsidP="009360C9">
      <w:pPr>
        <w:pStyle w:val="Titlelevel2"/>
        <w:spacing w:before="120" w:after="120"/>
        <w:rPr>
          <w:rFonts w:ascii="Times New Roman" w:hAnsi="Times New Roman" w:cs="Times New Roman"/>
          <w:b/>
          <w:color w:val="auto"/>
          <w:sz w:val="24"/>
        </w:rPr>
      </w:pPr>
      <w:r w:rsidRPr="00A3389E">
        <w:rPr>
          <w:rFonts w:ascii="Times New Roman" w:hAnsi="Times New Roman" w:cs="Times New Roman"/>
          <w:b/>
          <w:color w:val="auto"/>
          <w:sz w:val="24"/>
        </w:rPr>
        <w:t xml:space="preserve">Vzor EU REM2 – Osobitné platby zamestnancom, ktorých pracovné činnosti majú významný vplyv na rizikový profil inštitúcií (určení zamestnanci): </w:t>
      </w:r>
      <w:r w:rsidRPr="00A3389E">
        <w:rPr>
          <w:rFonts w:ascii="Times New Roman" w:hAnsi="Times New Roman" w:cs="Times New Roman"/>
          <w:color w:val="auto"/>
          <w:sz w:val="24"/>
        </w:rPr>
        <w:t>Pevný formát</w:t>
      </w:r>
    </w:p>
    <w:p w14:paraId="12D04FA2" w14:textId="6F4890EA" w:rsidR="009360C9" w:rsidRPr="00A3389E" w:rsidRDefault="00A3389E" w:rsidP="00A3389E">
      <w:pPr>
        <w:pStyle w:val="Titlelevel2"/>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lastRenderedPageBreak/>
        <w:t>5.</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Inštitúcie zverejňujú informácie uvedené</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článku 450 ods. 1 písm. h) bodoch v) až vii) CRR podľa pokynov uvedených nižšie</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tejto prílohe</w:t>
      </w:r>
      <w:r>
        <w:rPr>
          <w:rFonts w:ascii="Times New Roman" w:hAnsi="Times New Roman" w:cs="Times New Roman"/>
          <w:bCs w:val="0"/>
          <w:color w:val="auto"/>
          <w:sz w:val="24"/>
        </w:rPr>
        <w:t xml:space="preserve"> s </w:t>
      </w:r>
      <w:r w:rsidR="009360C9" w:rsidRPr="00A3389E">
        <w:rPr>
          <w:rFonts w:ascii="Times New Roman" w:hAnsi="Times New Roman" w:cs="Times New Roman"/>
          <w:bCs w:val="0"/>
          <w:color w:val="auto"/>
          <w:sz w:val="24"/>
        </w:rPr>
        <w:t>cieľom vyplniť vzor EU REM2, ktorý je uvedený</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prílohe XXXIII</w:t>
      </w:r>
      <w:r>
        <w:rPr>
          <w:rFonts w:ascii="Times New Roman" w:hAnsi="Times New Roman" w:cs="Times New Roman"/>
          <w:bCs w:val="0"/>
          <w:color w:val="auto"/>
          <w:sz w:val="24"/>
        </w:rPr>
        <w:t xml:space="preserve"> k </w:t>
      </w:r>
      <w:r w:rsidR="009360C9" w:rsidRPr="00A3389E">
        <w:rPr>
          <w:rFonts w:ascii="Times New Roman" w:hAnsi="Times New Roman" w:cs="Times New Roman"/>
          <w:bCs w:val="0"/>
          <w:color w:val="auto"/>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A3389E"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400EF793" w:rsidR="009360C9" w:rsidRPr="00A3389E" w:rsidRDefault="009360C9"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9360C9" w:rsidRPr="00A3389E" w14:paraId="167E12F4" w14:textId="77777777" w:rsidTr="00155C96">
        <w:trPr>
          <w:trHeight w:val="238"/>
        </w:trPr>
        <w:tc>
          <w:tcPr>
            <w:tcW w:w="1384" w:type="dxa"/>
            <w:shd w:val="clear" w:color="auto" w:fill="D9D9D9" w:themeFill="background1" w:themeFillShade="D9"/>
          </w:tcPr>
          <w:p w14:paraId="0C0AA326" w14:textId="77777777" w:rsidR="009360C9" w:rsidRPr="00A3389E" w:rsidRDefault="009360C9"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0F2195D7" w14:textId="77777777" w:rsidR="009360C9" w:rsidRPr="00A3389E" w:rsidRDefault="009360C9"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9360C9" w:rsidRPr="00A3389E"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46EC350E" w:rsidR="009360C9" w:rsidRPr="00A3389E" w:rsidRDefault="009360C9" w:rsidP="006D005E">
            <w:pPr>
              <w:pStyle w:val="Applicationdirecte"/>
              <w:spacing w:before="0" w:after="0"/>
              <w:jc w:val="center"/>
            </w:pPr>
            <w:r w:rsidRPr="00A3389E">
              <w:t>1, 4</w:t>
            </w:r>
            <w:r w:rsidR="00A3389E">
              <w:t xml:space="preserve"> a </w:t>
            </w:r>
            <w:r w:rsidRPr="00A3389E">
              <w:t>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Počet určených zamestnancov</w:t>
            </w:r>
          </w:p>
          <w:p w14:paraId="339D83E5" w14:textId="45A516D2"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Počet určených zamestnancov, ktorých pracovné činnosti majú významný vplyv na rizikový profil inštitúcií</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92 CRD</w:t>
            </w:r>
            <w:r w:rsidR="00A3389E">
              <w:rPr>
                <w:rFonts w:ascii="Times New Roman" w:hAnsi="Times New Roman" w:cs="Times New Roman"/>
                <w:sz w:val="24"/>
              </w:rPr>
              <w:t xml:space="preserve"> a </w:t>
            </w:r>
            <w:r w:rsidRPr="00A3389E">
              <w:rPr>
                <w:rFonts w:ascii="Times New Roman" w:hAnsi="Times New Roman" w:cs="Times New Roman"/>
                <w:sz w:val="24"/>
              </w:rPr>
              <w:t>delegovaným nariadením Komisie</w:t>
            </w:r>
            <w:r w:rsidR="00A3389E">
              <w:rPr>
                <w:rFonts w:ascii="Times New Roman" w:hAnsi="Times New Roman" w:cs="Times New Roman"/>
                <w:sz w:val="24"/>
              </w:rPr>
              <w:t xml:space="preserve"> o </w:t>
            </w:r>
            <w:r w:rsidRPr="00A3389E">
              <w:rPr>
                <w:rFonts w:ascii="Times New Roman" w:hAnsi="Times New Roman" w:cs="Times New Roman"/>
                <w:sz w:val="24"/>
              </w:rPr>
              <w:t>určených zamestnancoch, ktorým sa vykonáva článok 94 ods. 2 CRD, pre každú osobitnú zložku odmeňovania.</w:t>
            </w:r>
          </w:p>
          <w:p w14:paraId="3CD9C986" w14:textId="1230191D"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V prípade stĺpcov</w:t>
            </w:r>
            <w:r w:rsidR="00A3389E">
              <w:rPr>
                <w:rFonts w:ascii="Times New Roman" w:hAnsi="Times New Roman" w:cs="Times New Roman"/>
                <w:sz w:val="24"/>
              </w:rPr>
              <w:t xml:space="preserve"> a </w:t>
            </w:r>
            <w:r w:rsidRPr="00A3389E">
              <w:rPr>
                <w:rFonts w:ascii="Times New Roman" w:hAnsi="Times New Roman" w:cs="Times New Roman"/>
                <w:sz w:val="24"/>
              </w:rPr>
              <w:t>a </w:t>
            </w:r>
            <w:r w:rsidRPr="00A3389E">
              <w:rPr>
                <w:rFonts w:ascii="Times New Roman" w:hAnsi="Times New Roman" w:cs="Times New Roman"/>
                <w:i/>
                <w:sz w:val="24"/>
              </w:rPr>
              <w:t>b</w:t>
            </w:r>
            <w:r w:rsidRPr="00A3389E">
              <w:rPr>
                <w:rFonts w:ascii="Times New Roman" w:hAnsi="Times New Roman" w:cs="Times New Roman"/>
                <w:sz w:val="24"/>
              </w:rPr>
              <w:t xml:space="preserve"> (riadiaci orgán) tohto vzoru sa táto hodnota zakladá na počte zamestnancov.</w:t>
            </w:r>
            <w:r w:rsidR="00A3389E">
              <w:rPr>
                <w:rFonts w:ascii="Times New Roman" w:hAnsi="Times New Roman" w:cs="Times New Roman"/>
                <w:sz w:val="24"/>
              </w:rPr>
              <w:t xml:space="preserve"> V </w:t>
            </w:r>
            <w:r w:rsidRPr="00A3389E">
              <w:rPr>
                <w:rFonts w:ascii="Times New Roman" w:hAnsi="Times New Roman" w:cs="Times New Roman"/>
                <w:sz w:val="24"/>
              </w:rPr>
              <w:t xml:space="preserve">prípade stĺpcov </w:t>
            </w:r>
            <w:r w:rsidRPr="00A3389E">
              <w:rPr>
                <w:rFonts w:ascii="Times New Roman" w:hAnsi="Times New Roman" w:cs="Times New Roman"/>
                <w:i/>
                <w:sz w:val="24"/>
              </w:rPr>
              <w:t>c</w:t>
            </w:r>
            <w:r w:rsidR="00A3389E">
              <w:rPr>
                <w:rFonts w:ascii="Times New Roman" w:hAnsi="Times New Roman" w:cs="Times New Roman"/>
                <w:sz w:val="24"/>
              </w:rPr>
              <w:t xml:space="preserve"> a </w:t>
            </w:r>
            <w:r w:rsidRPr="00A3389E">
              <w:rPr>
                <w:rFonts w:ascii="Times New Roman" w:hAnsi="Times New Roman" w:cs="Times New Roman"/>
                <w:i/>
                <w:sz w:val="24"/>
              </w:rPr>
              <w:t>d</w:t>
            </w:r>
            <w:r w:rsidRPr="00A3389E">
              <w:rPr>
                <w:rFonts w:ascii="Times New Roman" w:hAnsi="Times New Roman" w:cs="Times New Roman"/>
                <w:sz w:val="24"/>
              </w:rPr>
              <w:t xml:space="preserve"> tohto vzoru sa hodnota vypočítava pomocou metódy založenej na ekvivalente plného pracovného času.</w:t>
            </w:r>
          </w:p>
          <w:p w14:paraId="0A14F1A6" w14:textId="6BB7A54F"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Riadok 4 tohto vzoru sa týka odstupného priznaného</w:t>
            </w:r>
            <w:r w:rsidR="00A3389E">
              <w:rPr>
                <w:rFonts w:ascii="Times New Roman" w:hAnsi="Times New Roman" w:cs="Times New Roman"/>
                <w:sz w:val="24"/>
              </w:rPr>
              <w:t xml:space="preserve"> v </w:t>
            </w:r>
            <w:r w:rsidRPr="00A3389E">
              <w:rPr>
                <w:rFonts w:ascii="Times New Roman" w:hAnsi="Times New Roman" w:cs="Times New Roman"/>
                <w:sz w:val="24"/>
              </w:rPr>
              <w:t>predchádzajúcich obdobiach</w:t>
            </w:r>
            <w:r w:rsidR="00A3389E">
              <w:rPr>
                <w:rFonts w:ascii="Times New Roman" w:hAnsi="Times New Roman" w:cs="Times New Roman"/>
                <w:sz w:val="24"/>
              </w:rPr>
              <w:t xml:space="preserve"> a </w:t>
            </w:r>
            <w:r w:rsidRPr="00A3389E">
              <w:rPr>
                <w:rFonts w:ascii="Times New Roman" w:hAnsi="Times New Roman" w:cs="Times New Roman"/>
                <w:sz w:val="24"/>
              </w:rPr>
              <w:t>vyplateného počas účtovného roka (súčasný rok), zatiaľ čo riadok 6 tohto vzoru sa týka odstupného priznaného počas účtovného roka (súčasný rok).</w:t>
            </w:r>
          </w:p>
        </w:tc>
      </w:tr>
      <w:tr w:rsidR="009360C9" w:rsidRPr="00A3389E"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A3389E" w:rsidRDefault="009360C9" w:rsidP="006D005E">
            <w:pPr>
              <w:pStyle w:val="Applicationdirecte"/>
              <w:spacing w:before="0" w:after="0"/>
              <w:jc w:val="center"/>
            </w:pPr>
            <w:r w:rsidRPr="00A3389E">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Priznané zaručené pohyblivé odmeny – celková hodnota</w:t>
            </w:r>
          </w:p>
          <w:p w14:paraId="4ED4990E" w14:textId="694D7F89"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Hodnota priznaných zaručených pohyblivých odmien,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e) CRD.</w:t>
            </w:r>
          </w:p>
        </w:tc>
      </w:tr>
      <w:tr w:rsidR="009360C9" w:rsidRPr="00A3389E"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A3389E" w:rsidRDefault="009360C9" w:rsidP="006D005E">
            <w:pPr>
              <w:pStyle w:val="Applicationdirecte"/>
              <w:spacing w:before="0" w:after="0"/>
              <w:jc w:val="center"/>
            </w:pPr>
            <w:r w:rsidRPr="00A3389E">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122BF07E"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Z čoho priznané zaručené pohyblivé odmeny vyplatené počas účtovného roka, ktoré sa nezohľadňujú</w:t>
            </w:r>
            <w:r w:rsidR="00A3389E">
              <w:rPr>
                <w:rFonts w:ascii="Times New Roman" w:hAnsi="Times New Roman" w:cs="Times New Roman"/>
                <w:b/>
                <w:sz w:val="24"/>
              </w:rPr>
              <w:t xml:space="preserve"> v </w:t>
            </w:r>
            <w:r w:rsidRPr="00A3389E">
              <w:rPr>
                <w:rFonts w:ascii="Times New Roman" w:hAnsi="Times New Roman" w:cs="Times New Roman"/>
                <w:b/>
                <w:sz w:val="24"/>
              </w:rPr>
              <w:t>prémiovom strope</w:t>
            </w:r>
          </w:p>
          <w:p w14:paraId="55DAB21F" w14:textId="6968A4EA"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Hodnoty priznaných zaručených pohyblivých odmien podľa článku 94 ods. 1 písm. e) CRD vyplatených počas účtovného roka (súčasný rok), ktoré sa nezohľadňujú</w:t>
            </w:r>
            <w:r w:rsidR="00A3389E">
              <w:rPr>
                <w:rFonts w:ascii="Times New Roman" w:hAnsi="Times New Roman" w:cs="Times New Roman"/>
                <w:sz w:val="24"/>
              </w:rPr>
              <w:t xml:space="preserve"> v </w:t>
            </w:r>
            <w:r w:rsidRPr="00A3389E">
              <w:rPr>
                <w:rFonts w:ascii="Times New Roman" w:hAnsi="Times New Roman" w:cs="Times New Roman"/>
                <w:sz w:val="24"/>
              </w:rPr>
              <w:t>prémiovom strope.</w:t>
            </w:r>
          </w:p>
          <w:p w14:paraId="41F03CBB" w14:textId="5C2D81F5"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Pokiaľ ide</w:t>
            </w:r>
            <w:r w:rsidR="00A3389E">
              <w:rPr>
                <w:rFonts w:ascii="Times New Roman" w:hAnsi="Times New Roman" w:cs="Times New Roman"/>
                <w:sz w:val="24"/>
              </w:rPr>
              <w:t xml:space="preserve"> o </w:t>
            </w:r>
            <w:r w:rsidRPr="00A3389E">
              <w:rPr>
                <w:rFonts w:ascii="Times New Roman" w:hAnsi="Times New Roman" w:cs="Times New Roman"/>
                <w:sz w:val="24"/>
              </w:rPr>
              <w:t>zverejňované 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450 ods. 1 písm. g)</w:t>
            </w:r>
            <w:r w:rsidR="00A3389E">
              <w:rPr>
                <w:rFonts w:ascii="Times New Roman" w:hAnsi="Times New Roman" w:cs="Times New Roman"/>
                <w:sz w:val="24"/>
              </w:rPr>
              <w:t xml:space="preserve"> a </w:t>
            </w:r>
            <w:r w:rsidRPr="00A3389E">
              <w:rPr>
                <w:rFonts w:ascii="Times New Roman" w:hAnsi="Times New Roman" w:cs="Times New Roman"/>
                <w:sz w:val="24"/>
              </w:rPr>
              <w:t>písm. h) bodoch v) až vi) CRR, inštitúcie jasne uvádzajú, či súhrnné kvantitatívne informácie</w:t>
            </w:r>
            <w:r w:rsidR="00A3389E">
              <w:rPr>
                <w:rFonts w:ascii="Times New Roman" w:hAnsi="Times New Roman" w:cs="Times New Roman"/>
                <w:sz w:val="24"/>
              </w:rPr>
              <w:t xml:space="preserve"> o </w:t>
            </w:r>
            <w:r w:rsidRPr="00A3389E">
              <w:rPr>
                <w:rFonts w:ascii="Times New Roman" w:hAnsi="Times New Roman" w:cs="Times New Roman"/>
                <w:sz w:val="24"/>
              </w:rPr>
              <w:t>odmeňovaní rozčlenené podľa obchodnej oblasti odzrkadľujú prémiový strop</w:t>
            </w:r>
            <w:r w:rsidR="00A3389E">
              <w:rPr>
                <w:rFonts w:ascii="Times New Roman" w:hAnsi="Times New Roman" w:cs="Times New Roman"/>
                <w:sz w:val="24"/>
              </w:rPr>
              <w:t xml:space="preserve"> v </w:t>
            </w:r>
            <w:r w:rsidRPr="00A3389E">
              <w:rPr>
                <w:rFonts w:ascii="Times New Roman" w:hAnsi="Times New Roman" w:cs="Times New Roman"/>
                <w:sz w:val="24"/>
              </w:rPr>
              <w:t>prípadoch, keď sú zahrnuté aj platby súvisiace</w:t>
            </w:r>
            <w:r w:rsidR="00A3389E">
              <w:rPr>
                <w:rFonts w:ascii="Times New Roman" w:hAnsi="Times New Roman" w:cs="Times New Roman"/>
                <w:sz w:val="24"/>
              </w:rPr>
              <w:t xml:space="preserve"> s </w:t>
            </w:r>
            <w:r w:rsidRPr="00A3389E">
              <w:rPr>
                <w:rFonts w:ascii="Times New Roman" w:hAnsi="Times New Roman" w:cs="Times New Roman"/>
                <w:sz w:val="24"/>
              </w:rPr>
              <w:t>prijatím nových zamestnancov</w:t>
            </w:r>
            <w:r w:rsidR="00A3389E">
              <w:rPr>
                <w:rFonts w:ascii="Times New Roman" w:hAnsi="Times New Roman" w:cs="Times New Roman"/>
                <w:sz w:val="24"/>
              </w:rPr>
              <w:t xml:space="preserve"> a </w:t>
            </w:r>
            <w:r w:rsidRPr="00A3389E">
              <w:rPr>
                <w:rFonts w:ascii="Times New Roman" w:hAnsi="Times New Roman" w:cs="Times New Roman"/>
                <w:sz w:val="24"/>
              </w:rPr>
              <w:t>odstupné.</w:t>
            </w:r>
          </w:p>
        </w:tc>
      </w:tr>
      <w:tr w:rsidR="009360C9" w:rsidRPr="00A3389E"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A3389E" w:rsidRDefault="009360C9" w:rsidP="006D005E">
            <w:pPr>
              <w:pStyle w:val="Applicationdirecte"/>
              <w:spacing w:before="0" w:after="0"/>
              <w:jc w:val="center"/>
            </w:pPr>
            <w:r w:rsidRPr="00A3389E">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28166B70"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Odstupné priznané</w:t>
            </w:r>
            <w:r w:rsidR="00A3389E">
              <w:rPr>
                <w:rFonts w:ascii="Times New Roman" w:hAnsi="Times New Roman" w:cs="Times New Roman"/>
                <w:b/>
                <w:sz w:val="24"/>
              </w:rPr>
              <w:t xml:space="preserve"> v </w:t>
            </w:r>
            <w:r w:rsidRPr="00A3389E">
              <w:rPr>
                <w:rFonts w:ascii="Times New Roman" w:hAnsi="Times New Roman" w:cs="Times New Roman"/>
                <w:b/>
                <w:sz w:val="24"/>
              </w:rPr>
              <w:t>predchádzajúcich obdobiach, ktoré bolo vyplatené počas účtovného roka – celková hodnota</w:t>
            </w:r>
          </w:p>
          <w:p w14:paraId="7ECBBDBF" w14:textId="1348924F"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Hodnota odstupného podľa článku 94 ods. 1 písm. h) CRD, ktoré bolo priznané</w:t>
            </w:r>
            <w:r w:rsidR="00A3389E">
              <w:rPr>
                <w:rFonts w:ascii="Times New Roman" w:hAnsi="Times New Roman" w:cs="Times New Roman"/>
                <w:sz w:val="24"/>
              </w:rPr>
              <w:t xml:space="preserve"> v </w:t>
            </w:r>
            <w:r w:rsidRPr="00A3389E">
              <w:rPr>
                <w:rFonts w:ascii="Times New Roman" w:hAnsi="Times New Roman" w:cs="Times New Roman"/>
                <w:sz w:val="24"/>
              </w:rPr>
              <w:t>predchádzajúcich obdobiach</w:t>
            </w:r>
            <w:r w:rsidR="00A3389E">
              <w:rPr>
                <w:rFonts w:ascii="Times New Roman" w:hAnsi="Times New Roman" w:cs="Times New Roman"/>
                <w:sz w:val="24"/>
              </w:rPr>
              <w:t xml:space="preserve"> a </w:t>
            </w:r>
            <w:r w:rsidRPr="00A3389E">
              <w:rPr>
                <w:rFonts w:ascii="Times New Roman" w:hAnsi="Times New Roman" w:cs="Times New Roman"/>
                <w:sz w:val="24"/>
              </w:rPr>
              <w:t>vyplatené počas účtovného roka (súčasný rok).</w:t>
            </w:r>
          </w:p>
        </w:tc>
      </w:tr>
      <w:tr w:rsidR="009360C9" w:rsidRPr="00A3389E"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A3389E" w:rsidRDefault="009360C9" w:rsidP="006D005E">
            <w:pPr>
              <w:pStyle w:val="Applicationdirecte"/>
              <w:spacing w:before="0" w:after="0"/>
              <w:jc w:val="center"/>
            </w:pPr>
            <w:r w:rsidRPr="00A3389E">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Odstupné priznané počas účtovného roka – celková hodnota</w:t>
            </w:r>
          </w:p>
          <w:p w14:paraId="51AE3F53" w14:textId="77777777"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Hodnota odstupného podľa článku 94 ods. 1 písm. h) CRD, ktoré bolo priznané počas účtovného roka (súčasný rok).</w:t>
            </w:r>
          </w:p>
        </w:tc>
      </w:tr>
      <w:tr w:rsidR="009360C9" w:rsidRPr="00A3389E"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A3389E" w:rsidRDefault="009360C9" w:rsidP="006D005E">
            <w:pPr>
              <w:pStyle w:val="Applicationdirecte"/>
              <w:spacing w:before="0" w:after="0"/>
              <w:jc w:val="center"/>
            </w:pPr>
            <w:r w:rsidRPr="00A3389E">
              <w:lastRenderedPageBreak/>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Z čoho odstupné priznané počas účtovného roka – vyplatené počas účtovného roka</w:t>
            </w:r>
          </w:p>
          <w:p w14:paraId="28EB2362" w14:textId="3FC7F6CB"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Hodnota odstupného podľa článku 94 ods. 1 písm. h) CRD, ktoré bolo priznané počas účtovného roka</w:t>
            </w:r>
            <w:r w:rsidR="00A3389E">
              <w:rPr>
                <w:rFonts w:ascii="Times New Roman" w:hAnsi="Times New Roman" w:cs="Times New Roman"/>
                <w:sz w:val="24"/>
              </w:rPr>
              <w:t xml:space="preserve"> a </w:t>
            </w:r>
            <w:r w:rsidRPr="00A3389E">
              <w:rPr>
                <w:rFonts w:ascii="Times New Roman" w:hAnsi="Times New Roman" w:cs="Times New Roman"/>
                <w:sz w:val="24"/>
              </w:rPr>
              <w:t>vyplatené počas účtovného roka.</w:t>
            </w:r>
          </w:p>
        </w:tc>
      </w:tr>
      <w:tr w:rsidR="009360C9" w:rsidRPr="00A3389E"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A3389E" w:rsidRDefault="009360C9" w:rsidP="006D005E">
            <w:pPr>
              <w:pStyle w:val="Applicationdirecte"/>
              <w:spacing w:before="0" w:after="0"/>
              <w:jc w:val="center"/>
            </w:pPr>
            <w:r w:rsidRPr="00A3389E">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Z čoho odstupné priznané počas účtovného roka – odložené</w:t>
            </w:r>
          </w:p>
          <w:p w14:paraId="09BF78DA" w14:textId="230E164E"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Hodnoty odstupného podľa článku 94 ods. 1 písm. h) CRD, ktoré bolo priznané počas účtovného roka</w:t>
            </w:r>
            <w:r w:rsidR="00A3389E">
              <w:rPr>
                <w:rFonts w:ascii="Times New Roman" w:hAnsi="Times New Roman" w:cs="Times New Roman"/>
                <w:sz w:val="24"/>
              </w:rPr>
              <w:t xml:space="preserve"> a </w:t>
            </w:r>
            <w:r w:rsidRPr="00A3389E">
              <w:rPr>
                <w:rFonts w:ascii="Times New Roman" w:hAnsi="Times New Roman" w:cs="Times New Roman"/>
                <w:sz w:val="24"/>
              </w:rPr>
              <w:t>ktoré bolo odložené, určené</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CRD.</w:t>
            </w:r>
          </w:p>
        </w:tc>
      </w:tr>
      <w:tr w:rsidR="009360C9" w:rsidRPr="00A3389E"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A3389E" w:rsidRDefault="009360C9" w:rsidP="006D005E">
            <w:pPr>
              <w:pStyle w:val="Applicationdirecte"/>
              <w:spacing w:before="0" w:after="0"/>
              <w:jc w:val="center"/>
            </w:pPr>
            <w:r w:rsidRPr="00A3389E">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1B7CD6DB"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Z čoho odstupné vyplatené počas účtovného roka, ktoré sa nezohľadňuje</w:t>
            </w:r>
            <w:r w:rsidR="00A3389E">
              <w:rPr>
                <w:rFonts w:ascii="Times New Roman" w:hAnsi="Times New Roman" w:cs="Times New Roman"/>
                <w:b/>
                <w:sz w:val="24"/>
              </w:rPr>
              <w:t xml:space="preserve"> v </w:t>
            </w:r>
            <w:r w:rsidRPr="00A3389E">
              <w:rPr>
                <w:rFonts w:ascii="Times New Roman" w:hAnsi="Times New Roman" w:cs="Times New Roman"/>
                <w:b/>
                <w:sz w:val="24"/>
              </w:rPr>
              <w:t>prémiovom strope</w:t>
            </w:r>
          </w:p>
          <w:p w14:paraId="471902AA" w14:textId="6D25FF42"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Hodnoty odstupného podľa článku 94 ods. 1 písm. h) CRD, ktoré bolo vyplatené počas účtovného roka</w:t>
            </w:r>
            <w:r w:rsidR="00A3389E">
              <w:rPr>
                <w:rFonts w:ascii="Times New Roman" w:hAnsi="Times New Roman" w:cs="Times New Roman"/>
                <w:sz w:val="24"/>
              </w:rPr>
              <w:t xml:space="preserve"> a </w:t>
            </w:r>
            <w:r w:rsidRPr="00A3389E">
              <w:rPr>
                <w:rFonts w:ascii="Times New Roman" w:hAnsi="Times New Roman" w:cs="Times New Roman"/>
                <w:sz w:val="24"/>
              </w:rPr>
              <w:t>ktoré sa nezohľadňuje</w:t>
            </w:r>
            <w:r w:rsidR="00A3389E">
              <w:rPr>
                <w:rFonts w:ascii="Times New Roman" w:hAnsi="Times New Roman" w:cs="Times New Roman"/>
                <w:sz w:val="24"/>
              </w:rPr>
              <w:t xml:space="preserve"> v </w:t>
            </w:r>
            <w:r w:rsidRPr="00A3389E">
              <w:rPr>
                <w:rFonts w:ascii="Times New Roman" w:hAnsi="Times New Roman" w:cs="Times New Roman"/>
                <w:sz w:val="24"/>
              </w:rPr>
              <w:t>prémiovom strope.</w:t>
            </w:r>
          </w:p>
          <w:p w14:paraId="25881BFC" w14:textId="3AE37A33"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Pokiaľ ide</w:t>
            </w:r>
            <w:r w:rsidR="00A3389E">
              <w:rPr>
                <w:rFonts w:ascii="Times New Roman" w:hAnsi="Times New Roman" w:cs="Times New Roman"/>
                <w:sz w:val="24"/>
              </w:rPr>
              <w:t xml:space="preserve"> o </w:t>
            </w:r>
            <w:r w:rsidRPr="00A3389E">
              <w:rPr>
                <w:rFonts w:ascii="Times New Roman" w:hAnsi="Times New Roman" w:cs="Times New Roman"/>
                <w:sz w:val="24"/>
              </w:rPr>
              <w:t>zverejňované informácie uvedené</w:t>
            </w:r>
            <w:r w:rsidR="00A3389E">
              <w:rPr>
                <w:rFonts w:ascii="Times New Roman" w:hAnsi="Times New Roman" w:cs="Times New Roman"/>
                <w:sz w:val="24"/>
              </w:rPr>
              <w:t xml:space="preserve"> v </w:t>
            </w:r>
            <w:r w:rsidRPr="00A3389E">
              <w:rPr>
                <w:rFonts w:ascii="Times New Roman" w:hAnsi="Times New Roman" w:cs="Times New Roman"/>
                <w:sz w:val="24"/>
              </w:rPr>
              <w:t>článku 450 ods. 1 písm. g)</w:t>
            </w:r>
            <w:r w:rsidR="00A3389E">
              <w:rPr>
                <w:rFonts w:ascii="Times New Roman" w:hAnsi="Times New Roman" w:cs="Times New Roman"/>
                <w:sz w:val="24"/>
              </w:rPr>
              <w:t xml:space="preserve"> a </w:t>
            </w:r>
            <w:r w:rsidRPr="00A3389E">
              <w:rPr>
                <w:rFonts w:ascii="Times New Roman" w:hAnsi="Times New Roman" w:cs="Times New Roman"/>
                <w:sz w:val="24"/>
              </w:rPr>
              <w:t>písm. h) bodoch v) až vi) CRR, inštitúcie jasne uvádzajú, či súhrnné kvantitatívne informácie</w:t>
            </w:r>
            <w:r w:rsidR="00A3389E">
              <w:rPr>
                <w:rFonts w:ascii="Times New Roman" w:hAnsi="Times New Roman" w:cs="Times New Roman"/>
                <w:sz w:val="24"/>
              </w:rPr>
              <w:t xml:space="preserve"> o </w:t>
            </w:r>
            <w:r w:rsidRPr="00A3389E">
              <w:rPr>
                <w:rFonts w:ascii="Times New Roman" w:hAnsi="Times New Roman" w:cs="Times New Roman"/>
                <w:sz w:val="24"/>
              </w:rPr>
              <w:t>odmeňovaní rozčlenené podľa obchodnej oblasti odzrkadľujú prémiový strop</w:t>
            </w:r>
            <w:r w:rsidR="00A3389E">
              <w:rPr>
                <w:rFonts w:ascii="Times New Roman" w:hAnsi="Times New Roman" w:cs="Times New Roman"/>
                <w:sz w:val="24"/>
              </w:rPr>
              <w:t xml:space="preserve"> v </w:t>
            </w:r>
            <w:r w:rsidRPr="00A3389E">
              <w:rPr>
                <w:rFonts w:ascii="Times New Roman" w:hAnsi="Times New Roman" w:cs="Times New Roman"/>
                <w:sz w:val="24"/>
              </w:rPr>
              <w:t>prípadoch, keď sú zahrnuté aj platby súvisiace</w:t>
            </w:r>
            <w:r w:rsidR="00A3389E">
              <w:rPr>
                <w:rFonts w:ascii="Times New Roman" w:hAnsi="Times New Roman" w:cs="Times New Roman"/>
                <w:sz w:val="24"/>
              </w:rPr>
              <w:t xml:space="preserve"> s </w:t>
            </w:r>
            <w:r w:rsidRPr="00A3389E">
              <w:rPr>
                <w:rFonts w:ascii="Times New Roman" w:hAnsi="Times New Roman" w:cs="Times New Roman"/>
                <w:sz w:val="24"/>
              </w:rPr>
              <w:t>prijatím nových zamestnancov</w:t>
            </w:r>
            <w:r w:rsidR="00A3389E">
              <w:rPr>
                <w:rFonts w:ascii="Times New Roman" w:hAnsi="Times New Roman" w:cs="Times New Roman"/>
                <w:sz w:val="24"/>
              </w:rPr>
              <w:t xml:space="preserve"> a </w:t>
            </w:r>
            <w:r w:rsidRPr="00A3389E">
              <w:rPr>
                <w:rFonts w:ascii="Times New Roman" w:hAnsi="Times New Roman" w:cs="Times New Roman"/>
                <w:sz w:val="24"/>
              </w:rPr>
              <w:t>odstupné.</w:t>
            </w:r>
          </w:p>
        </w:tc>
      </w:tr>
      <w:tr w:rsidR="009360C9" w:rsidRPr="00A3389E"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A3389E" w:rsidRDefault="009360C9" w:rsidP="006D005E">
            <w:pPr>
              <w:pStyle w:val="Applicationdirecte"/>
              <w:spacing w:before="0" w:after="0"/>
              <w:jc w:val="center"/>
            </w:pPr>
            <w:r w:rsidRPr="00A3389E">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Z čoho odstupné priznané počas účtovného roka – najvyššia platba, ktorá bola priznaná jednej osobe</w:t>
            </w:r>
          </w:p>
          <w:p w14:paraId="52245E53" w14:textId="77777777" w:rsidR="009360C9" w:rsidRPr="00A3389E" w:rsidRDefault="009360C9" w:rsidP="00FD7616">
            <w:pPr>
              <w:spacing w:before="60" w:after="120"/>
              <w:jc w:val="both"/>
              <w:rPr>
                <w:rFonts w:ascii="Times New Roman" w:hAnsi="Times New Roman" w:cs="Times New Roman"/>
                <w:sz w:val="24"/>
              </w:rPr>
            </w:pPr>
            <w:r w:rsidRPr="00A3389E">
              <w:rPr>
                <w:rFonts w:ascii="Times New Roman" w:hAnsi="Times New Roman" w:cs="Times New Roman"/>
                <w:sz w:val="24"/>
              </w:rPr>
              <w:t>Hodnota najvyššieho odstupného podľa článku 94 ods. 1 písm. h) CRD, ktoré bolo priznané jednej osobe počas účtovného roka.</w:t>
            </w:r>
          </w:p>
        </w:tc>
      </w:tr>
      <w:tr w:rsidR="009360C9" w:rsidRPr="00A3389E"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A3389E" w:rsidRDefault="009360C9" w:rsidP="006D005E">
            <w:pPr>
              <w:pStyle w:val="TableMainHeading"/>
              <w:spacing w:before="60"/>
              <w:jc w:val="center"/>
              <w:rPr>
                <w:rFonts w:ascii="Times New Roman" w:hAnsi="Times New Roman"/>
                <w:b/>
                <w:sz w:val="24"/>
                <w:szCs w:val="24"/>
              </w:rPr>
            </w:pPr>
            <w:r w:rsidRPr="00A3389E">
              <w:rPr>
                <w:rFonts w:ascii="Times New Roman" w:hAnsi="Times New Roman"/>
                <w:b/>
                <w:sz w:val="24"/>
                <w:szCs w:val="24"/>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A3389E" w:rsidRDefault="009360C9" w:rsidP="00FD7616">
            <w:pPr>
              <w:pStyle w:val="TableMainHeading"/>
              <w:spacing w:before="60"/>
              <w:jc w:val="both"/>
              <w:rPr>
                <w:rFonts w:ascii="Times New Roman" w:hAnsi="Times New Roman"/>
                <w:b/>
                <w:sz w:val="24"/>
                <w:szCs w:val="24"/>
              </w:rPr>
            </w:pPr>
            <w:r w:rsidRPr="00A3389E">
              <w:rPr>
                <w:rFonts w:ascii="Times New Roman" w:hAnsi="Times New Roman"/>
                <w:b/>
                <w:sz w:val="24"/>
                <w:szCs w:val="24"/>
              </w:rPr>
              <w:t>Vysvetlenie</w:t>
            </w:r>
          </w:p>
        </w:tc>
      </w:tr>
      <w:tr w:rsidR="009360C9" w:rsidRPr="00A3389E"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A3389E" w:rsidRDefault="009360C9" w:rsidP="006D005E">
            <w:pPr>
              <w:pStyle w:val="Applicationdirecte"/>
              <w:spacing w:before="0" w:after="0"/>
              <w:jc w:val="center"/>
            </w:pPr>
            <w:r w:rsidRPr="00A3389E">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A3389E" w:rsidRDefault="009360C9" w:rsidP="00FD761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Funkcia dohľadu riadiaceho orgánu</w:t>
            </w:r>
          </w:p>
          <w:p w14:paraId="2D39782E" w14:textId="3182C596" w:rsidR="009360C9" w:rsidRPr="00A3389E" w:rsidRDefault="009360C9" w:rsidP="00FD7616">
            <w:pPr>
              <w:spacing w:after="120"/>
              <w:jc w:val="both"/>
              <w:rPr>
                <w:rFonts w:ascii="Times New Roman" w:hAnsi="Times New Roman" w:cs="Times New Roman"/>
                <w:color w:val="000000"/>
                <w:sz w:val="24"/>
              </w:rPr>
            </w:pPr>
            <w:r w:rsidRPr="00A3389E">
              <w:rPr>
                <w:rFonts w:ascii="Times New Roman" w:hAnsi="Times New Roman" w:cs="Times New Roman"/>
                <w:sz w:val="24"/>
              </w:rPr>
              <w:t>Riadiaci orgán vo svojej funkcii dohľadu ako riadiaci orgán, ktorý vykonáva svoju úlohu dohľadu</w:t>
            </w:r>
            <w:r w:rsidR="00A3389E">
              <w:rPr>
                <w:rFonts w:ascii="Times New Roman" w:hAnsi="Times New Roman" w:cs="Times New Roman"/>
                <w:sz w:val="24"/>
              </w:rPr>
              <w:t xml:space="preserve"> a </w:t>
            </w:r>
            <w:r w:rsidRPr="00A3389E">
              <w:rPr>
                <w:rFonts w:ascii="Times New Roman" w:hAnsi="Times New Roman" w:cs="Times New Roman"/>
                <w:sz w:val="24"/>
              </w:rPr>
              <w:t>monitorovania nad rozhodovaním manažmentu, ako sa vymedzuje</w:t>
            </w:r>
            <w:r w:rsidR="00A3389E">
              <w:rPr>
                <w:rFonts w:ascii="Times New Roman" w:hAnsi="Times New Roman" w:cs="Times New Roman"/>
                <w:sz w:val="24"/>
              </w:rPr>
              <w:t xml:space="preserve"> v </w:t>
            </w:r>
            <w:r w:rsidRPr="00A3389E">
              <w:rPr>
                <w:rFonts w:ascii="Times New Roman" w:hAnsi="Times New Roman" w:cs="Times New Roman"/>
                <w:sz w:val="24"/>
              </w:rPr>
              <w:t>článku 3 ods. 1 bode 8 CRD (počet zamestnancov).</w:t>
            </w:r>
          </w:p>
        </w:tc>
      </w:tr>
      <w:tr w:rsidR="009360C9" w:rsidRPr="00A3389E"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A3389E" w:rsidRDefault="009360C9" w:rsidP="006D005E">
            <w:pPr>
              <w:pStyle w:val="Applicationdirecte"/>
              <w:spacing w:before="0" w:after="0"/>
              <w:jc w:val="center"/>
            </w:pPr>
            <w:r w:rsidRPr="00A3389E">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A3389E" w:rsidRDefault="009360C9" w:rsidP="00FD761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Riadiaca funkcia riadiaceho orgánu</w:t>
            </w:r>
          </w:p>
          <w:p w14:paraId="300616B8" w14:textId="77777777" w:rsidR="009360C9" w:rsidRPr="00A3389E" w:rsidRDefault="009360C9" w:rsidP="00FD7616">
            <w:pPr>
              <w:spacing w:after="120"/>
              <w:jc w:val="both"/>
              <w:rPr>
                <w:rFonts w:ascii="Times New Roman" w:hAnsi="Times New Roman" w:cs="Times New Roman"/>
                <w:color w:val="000000"/>
                <w:sz w:val="24"/>
              </w:rPr>
            </w:pPr>
            <w:r w:rsidRPr="00A3389E">
              <w:rPr>
                <w:rFonts w:ascii="Times New Roman" w:hAnsi="Times New Roman" w:cs="Times New Roman"/>
                <w:sz w:val="24"/>
              </w:rPr>
              <w:t>Členovia riadiaceho orgánu, ktorí sú zodpovední za jeho riadiace funkcie (počet zamestnancov).</w:t>
            </w:r>
          </w:p>
        </w:tc>
      </w:tr>
      <w:tr w:rsidR="009360C9" w:rsidRPr="00A3389E"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A3389E" w:rsidRDefault="009360C9" w:rsidP="006D005E">
            <w:pPr>
              <w:pStyle w:val="Applicationdirecte"/>
              <w:spacing w:before="0" w:after="0"/>
              <w:jc w:val="center"/>
            </w:pPr>
            <w:r w:rsidRPr="00A3389E">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A3389E" w:rsidRDefault="009360C9" w:rsidP="00FD761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Iný vrcholový manažment</w:t>
            </w:r>
          </w:p>
          <w:p w14:paraId="71EC3B26" w14:textId="06139A59" w:rsidR="009360C9" w:rsidRPr="00A3389E" w:rsidRDefault="009360C9" w:rsidP="00FD761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Vrcholový manažment</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3 ods. 1 bode 9 CRD.</w:t>
            </w:r>
          </w:p>
          <w:p w14:paraId="0EA6176B" w14:textId="357077CE" w:rsidR="009360C9" w:rsidRPr="00A3389E" w:rsidRDefault="009360C9" w:rsidP="00FD761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počet vrcholových manažérov, ktorí nie sú zverejnení</w:t>
            </w:r>
            <w:r w:rsidR="00A3389E">
              <w:rPr>
                <w:rFonts w:ascii="Times New Roman" w:hAnsi="Times New Roman" w:cs="Times New Roman"/>
                <w:sz w:val="24"/>
              </w:rPr>
              <w:t xml:space="preserve"> v </w:t>
            </w:r>
            <w:r w:rsidRPr="00A3389E">
              <w:rPr>
                <w:rFonts w:ascii="Times New Roman" w:hAnsi="Times New Roman" w:cs="Times New Roman"/>
                <w:sz w:val="24"/>
              </w:rPr>
              <w:t>rámci položky riadiaceho orgánu</w:t>
            </w:r>
            <w:r w:rsidR="00A3389E">
              <w:rPr>
                <w:rFonts w:ascii="Times New Roman" w:hAnsi="Times New Roman" w:cs="Times New Roman"/>
                <w:sz w:val="24"/>
              </w:rPr>
              <w:t xml:space="preserve"> v </w:t>
            </w:r>
            <w:r w:rsidRPr="00A3389E">
              <w:rPr>
                <w:rFonts w:ascii="Times New Roman" w:hAnsi="Times New Roman" w:cs="Times New Roman"/>
                <w:sz w:val="24"/>
              </w:rPr>
              <w:t>jeho riadiacej funkcii ani ako iní určení zamestnanci (ekvivalent plného pracovného času).</w:t>
            </w:r>
          </w:p>
        </w:tc>
      </w:tr>
      <w:tr w:rsidR="009360C9" w:rsidRPr="00A3389E"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A3389E" w:rsidRDefault="009360C9" w:rsidP="006D005E">
            <w:pPr>
              <w:pStyle w:val="Applicationdirecte"/>
              <w:spacing w:before="0" w:after="0"/>
              <w:jc w:val="center"/>
            </w:pPr>
            <w:r w:rsidRPr="00A3389E">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A3389E" w:rsidRDefault="009360C9" w:rsidP="00FD7616">
            <w:pPr>
              <w:spacing w:before="60" w:after="120"/>
              <w:jc w:val="both"/>
              <w:rPr>
                <w:rFonts w:ascii="Times New Roman" w:hAnsi="Times New Roman" w:cs="Times New Roman"/>
                <w:b/>
                <w:sz w:val="24"/>
              </w:rPr>
            </w:pPr>
            <w:r w:rsidRPr="00A3389E">
              <w:rPr>
                <w:rFonts w:ascii="Times New Roman" w:hAnsi="Times New Roman" w:cs="Times New Roman"/>
                <w:b/>
                <w:sz w:val="24"/>
              </w:rPr>
              <w:t>Iní určení zamestnanci</w:t>
            </w:r>
          </w:p>
          <w:p w14:paraId="715DB04D" w14:textId="13AFC957" w:rsidR="009360C9" w:rsidRPr="00A3389E" w:rsidRDefault="009360C9" w:rsidP="00FD7616">
            <w:pPr>
              <w:spacing w:after="120"/>
              <w:jc w:val="both"/>
              <w:rPr>
                <w:rFonts w:ascii="Times New Roman" w:hAnsi="Times New Roman" w:cs="Times New Roman"/>
                <w:sz w:val="24"/>
              </w:rPr>
            </w:pPr>
            <w:r w:rsidRPr="00A3389E">
              <w:rPr>
                <w:rFonts w:ascii="Times New Roman" w:hAnsi="Times New Roman" w:cs="Times New Roman"/>
                <w:sz w:val="24"/>
              </w:rPr>
              <w:t>Zamestnanci iní než riadiaci orgán vo svojej funkcii dohľadu alebo riadiacej funkcii</w:t>
            </w:r>
            <w:r w:rsidR="00A3389E">
              <w:rPr>
                <w:rFonts w:ascii="Times New Roman" w:hAnsi="Times New Roman" w:cs="Times New Roman"/>
                <w:sz w:val="24"/>
              </w:rPr>
              <w:t xml:space="preserve"> a </w:t>
            </w:r>
            <w:r w:rsidRPr="00A3389E">
              <w:rPr>
                <w:rFonts w:ascii="Times New Roman" w:hAnsi="Times New Roman" w:cs="Times New Roman"/>
                <w:sz w:val="24"/>
              </w:rPr>
              <w:t xml:space="preserve">iní než vrcholový manažment, ktorých pracovné činnosti majú </w:t>
            </w:r>
            <w:r w:rsidRPr="00A3389E">
              <w:rPr>
                <w:rFonts w:ascii="Times New Roman" w:hAnsi="Times New Roman" w:cs="Times New Roman"/>
                <w:sz w:val="24"/>
              </w:rPr>
              <w:lastRenderedPageBreak/>
              <w:t>významný vplyv na rizikový profil inštitúcie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kritériami stanovenými</w:t>
            </w:r>
            <w:r w:rsidR="00A3389E">
              <w:rPr>
                <w:rFonts w:ascii="Times New Roman" w:hAnsi="Times New Roman" w:cs="Times New Roman"/>
                <w:sz w:val="24"/>
              </w:rPr>
              <w:t xml:space="preserve"> v </w:t>
            </w:r>
            <w:r w:rsidRPr="00A3389E">
              <w:rPr>
                <w:rFonts w:ascii="Times New Roman" w:hAnsi="Times New Roman" w:cs="Times New Roman"/>
                <w:sz w:val="24"/>
              </w:rPr>
              <w:t>delegovanom nariadení Komisie</w:t>
            </w:r>
            <w:r w:rsidR="00A3389E">
              <w:rPr>
                <w:rFonts w:ascii="Times New Roman" w:hAnsi="Times New Roman" w:cs="Times New Roman"/>
                <w:sz w:val="24"/>
              </w:rPr>
              <w:t xml:space="preserve"> o </w:t>
            </w:r>
            <w:r w:rsidRPr="00A3389E">
              <w:rPr>
                <w:rFonts w:ascii="Times New Roman" w:hAnsi="Times New Roman" w:cs="Times New Roman"/>
                <w:sz w:val="24"/>
              </w:rPr>
              <w:t>určených zamestnancoch, ktorým sa vykonáva článok 94 ods. 2 CRD,</w:t>
            </w:r>
            <w:r w:rsidR="00A3389E">
              <w:rPr>
                <w:rFonts w:ascii="Times New Roman" w:hAnsi="Times New Roman" w:cs="Times New Roman"/>
                <w:sz w:val="24"/>
              </w:rPr>
              <w:t xml:space="preserve"> a </w:t>
            </w:r>
            <w:r w:rsidRPr="00A3389E">
              <w:rPr>
                <w:rFonts w:ascii="Times New Roman" w:hAnsi="Times New Roman" w:cs="Times New Roman"/>
                <w:sz w:val="24"/>
              </w:rPr>
              <w:t>prípadne aj na základe kritérií inštitúcií.</w:t>
            </w:r>
          </w:p>
          <w:p w14:paraId="32415F34" w14:textId="77777777" w:rsidR="009360C9" w:rsidRPr="00A3389E" w:rsidRDefault="009360C9" w:rsidP="00FD7616">
            <w:pPr>
              <w:spacing w:after="120"/>
              <w:jc w:val="both"/>
              <w:rPr>
                <w:rFonts w:ascii="Times New Roman" w:hAnsi="Times New Roman" w:cs="Times New Roman"/>
                <w:color w:val="000000"/>
                <w:sz w:val="24"/>
              </w:rPr>
            </w:pPr>
            <w:r w:rsidRPr="00A3389E">
              <w:rPr>
                <w:rFonts w:ascii="Times New Roman" w:hAnsi="Times New Roman" w:cs="Times New Roman"/>
                <w:sz w:val="24"/>
              </w:rPr>
              <w:t>Inštitúcie môžu do tohto vzoru zahrnúť rozčlenenie podľa obchodných oblastí navrhnuté vo vzore EU REM5 (ekvivalent plného pracovného času).</w:t>
            </w:r>
          </w:p>
        </w:tc>
      </w:tr>
    </w:tbl>
    <w:p w14:paraId="1801AA71" w14:textId="77777777" w:rsidR="009360C9" w:rsidRPr="00A3389E" w:rsidRDefault="009360C9" w:rsidP="009360C9">
      <w:pPr>
        <w:rPr>
          <w:rFonts w:ascii="Times New Roman" w:eastAsia="Times New Roman" w:hAnsi="Times New Roman" w:cs="Times New Roman"/>
          <w:sz w:val="24"/>
          <w:highlight w:val="yellow"/>
        </w:rPr>
      </w:pPr>
    </w:p>
    <w:p w14:paraId="12F46760" w14:textId="74D94FB8" w:rsidR="009360C9" w:rsidRPr="00A3389E" w:rsidRDefault="00D95507" w:rsidP="009360C9">
      <w:pPr>
        <w:pStyle w:val="Titlelevel2"/>
        <w:spacing w:before="120" w:after="120"/>
        <w:rPr>
          <w:rFonts w:ascii="Times New Roman" w:hAnsi="Times New Roman" w:cs="Times New Roman"/>
          <w:b/>
          <w:color w:val="auto"/>
          <w:sz w:val="24"/>
        </w:rPr>
      </w:pPr>
      <w:r w:rsidRPr="00A3389E">
        <w:rPr>
          <w:rFonts w:ascii="Times New Roman" w:hAnsi="Times New Roman" w:cs="Times New Roman"/>
          <w:b/>
          <w:color w:val="auto"/>
          <w:sz w:val="24"/>
        </w:rPr>
        <w:t xml:space="preserve">Vzor EU REM3 – Odložené odmeňovanie: </w:t>
      </w:r>
      <w:r w:rsidRPr="00A3389E">
        <w:rPr>
          <w:rFonts w:ascii="Times New Roman" w:hAnsi="Times New Roman" w:cs="Times New Roman"/>
          <w:color w:val="auto"/>
          <w:sz w:val="24"/>
        </w:rPr>
        <w:t>Pevný formát</w:t>
      </w:r>
    </w:p>
    <w:p w14:paraId="452E9BCD" w14:textId="27F9BA50" w:rsidR="009360C9" w:rsidRPr="00A3389E" w:rsidRDefault="00A3389E" w:rsidP="00A3389E">
      <w:pPr>
        <w:pStyle w:val="Titlelevel2"/>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6.</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Inštitúcie zverejňujú informácie uvedené</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článku 450 ods. 1 písm. h) bodoch iii) až iv) CRR podľa pokynov uvedených nižšie</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tejto prílohe</w:t>
      </w:r>
      <w:r>
        <w:rPr>
          <w:rFonts w:ascii="Times New Roman" w:hAnsi="Times New Roman" w:cs="Times New Roman"/>
          <w:bCs w:val="0"/>
          <w:color w:val="auto"/>
          <w:sz w:val="24"/>
        </w:rPr>
        <w:t xml:space="preserve"> s </w:t>
      </w:r>
      <w:r w:rsidR="009360C9" w:rsidRPr="00A3389E">
        <w:rPr>
          <w:rFonts w:ascii="Times New Roman" w:hAnsi="Times New Roman" w:cs="Times New Roman"/>
          <w:bCs w:val="0"/>
          <w:color w:val="auto"/>
          <w:sz w:val="24"/>
        </w:rPr>
        <w:t>cieľom vyplniť vzor EU REM3, ktorý je uvedený</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prílohe XXXIII</w:t>
      </w:r>
      <w:r>
        <w:rPr>
          <w:rFonts w:ascii="Times New Roman" w:hAnsi="Times New Roman" w:cs="Times New Roman"/>
          <w:bCs w:val="0"/>
          <w:color w:val="auto"/>
          <w:sz w:val="24"/>
        </w:rPr>
        <w:t xml:space="preserve"> k </w:t>
      </w:r>
      <w:r w:rsidR="009360C9" w:rsidRPr="00A3389E">
        <w:rPr>
          <w:rFonts w:ascii="Times New Roman" w:hAnsi="Times New Roman" w:cs="Times New Roman"/>
          <w:bCs w:val="0"/>
          <w:color w:val="auto"/>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A3389E"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B79736C" w:rsidR="009360C9" w:rsidRPr="00A3389E" w:rsidRDefault="009360C9"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9360C9" w:rsidRPr="00A3389E" w14:paraId="2A960F4D" w14:textId="77777777" w:rsidTr="00155C96">
        <w:trPr>
          <w:trHeight w:val="238"/>
        </w:trPr>
        <w:tc>
          <w:tcPr>
            <w:tcW w:w="1384" w:type="dxa"/>
            <w:shd w:val="clear" w:color="auto" w:fill="D9D9D9" w:themeFill="background1" w:themeFillShade="D9"/>
          </w:tcPr>
          <w:p w14:paraId="668CA9EF" w14:textId="77777777" w:rsidR="009360C9" w:rsidRPr="00A3389E" w:rsidRDefault="009360C9"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3D60186E" w14:textId="77777777" w:rsidR="009360C9" w:rsidRPr="00A3389E" w:rsidRDefault="009360C9"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9360C9" w:rsidRPr="00A3389E"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A3389E" w:rsidRDefault="009360C9" w:rsidP="006D005E">
            <w:pPr>
              <w:pStyle w:val="Applicationdirecte"/>
              <w:spacing w:before="0" w:after="0"/>
              <w:jc w:val="center"/>
            </w:pPr>
            <w:r w:rsidRPr="00A3389E">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A3389E" w:rsidRDefault="009360C9" w:rsidP="00155C9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Funkcia dohľadu riadiaceho orgánu</w:t>
            </w:r>
          </w:p>
          <w:p w14:paraId="23D0ECA9" w14:textId="33F3CCDA"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Riadiaci orgán vo svojej funkcii dohľadu ako riadiaci orgán, ktorý vykonáva svoju úlohu dohľadu</w:t>
            </w:r>
            <w:r w:rsidR="00A3389E">
              <w:rPr>
                <w:rFonts w:ascii="Times New Roman" w:hAnsi="Times New Roman" w:cs="Times New Roman"/>
                <w:sz w:val="24"/>
              </w:rPr>
              <w:t xml:space="preserve"> a </w:t>
            </w:r>
            <w:r w:rsidRPr="00A3389E">
              <w:rPr>
                <w:rFonts w:ascii="Times New Roman" w:hAnsi="Times New Roman" w:cs="Times New Roman"/>
                <w:sz w:val="24"/>
              </w:rPr>
              <w:t>monitorovania nad rozhodovaním manažmentu, ako sa vymedzuje</w:t>
            </w:r>
            <w:r w:rsidR="00A3389E">
              <w:rPr>
                <w:rFonts w:ascii="Times New Roman" w:hAnsi="Times New Roman" w:cs="Times New Roman"/>
                <w:sz w:val="24"/>
              </w:rPr>
              <w:t xml:space="preserve"> v </w:t>
            </w:r>
            <w:r w:rsidRPr="00A3389E">
              <w:rPr>
                <w:rFonts w:ascii="Times New Roman" w:hAnsi="Times New Roman" w:cs="Times New Roman"/>
                <w:sz w:val="24"/>
              </w:rPr>
              <w:t>článku 3 ods. 1 bode 8 CRD.</w:t>
            </w:r>
          </w:p>
          <w:p w14:paraId="2113E171" w14:textId="35154DB5"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2, 3, 4, 5</w:t>
            </w:r>
            <w:r w:rsidR="00A3389E">
              <w:rPr>
                <w:rFonts w:ascii="Times New Roman" w:hAnsi="Times New Roman" w:cs="Times New Roman"/>
                <w:sz w:val="24"/>
              </w:rPr>
              <w:t xml:space="preserve"> a </w:t>
            </w:r>
            <w:r w:rsidRPr="00A3389E">
              <w:rPr>
                <w:rFonts w:ascii="Times New Roman" w:hAnsi="Times New Roman" w:cs="Times New Roman"/>
                <w:sz w:val="24"/>
              </w:rPr>
              <w:t>6 tohto vzoru.</w:t>
            </w:r>
          </w:p>
        </w:tc>
      </w:tr>
      <w:tr w:rsidR="009360C9" w:rsidRPr="00A3389E"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3E7CED92" w:rsidR="009360C9" w:rsidRPr="00A3389E" w:rsidRDefault="009360C9" w:rsidP="006D005E">
            <w:pPr>
              <w:pStyle w:val="Applicationdirecte"/>
              <w:spacing w:before="0" w:after="0"/>
              <w:jc w:val="center"/>
            </w:pPr>
            <w:r w:rsidRPr="00A3389E">
              <w:t>2, 8, 14</w:t>
            </w:r>
            <w:r w:rsidR="00A3389E">
              <w:t xml:space="preserve"> a </w:t>
            </w:r>
            <w:r w:rsidRPr="00A3389E">
              <w:t>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A3389E" w:rsidRDefault="009360C9" w:rsidP="00155C96">
            <w:pPr>
              <w:spacing w:before="60" w:after="120"/>
              <w:jc w:val="both"/>
              <w:rPr>
                <w:rFonts w:ascii="Times New Roman" w:hAnsi="Times New Roman" w:cs="Times New Roman"/>
                <w:b/>
                <w:sz w:val="24"/>
              </w:rPr>
            </w:pPr>
            <w:r w:rsidRPr="00A3389E">
              <w:rPr>
                <w:rFonts w:ascii="Times New Roman" w:hAnsi="Times New Roman" w:cs="Times New Roman"/>
                <w:b/>
                <w:sz w:val="24"/>
              </w:rPr>
              <w:t>Na peňažnom základe</w:t>
            </w:r>
          </w:p>
          <w:p w14:paraId="58955E4E" w14:textId="37EDFCEB"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Hodnota peňažnej odmeny</w:t>
            </w:r>
            <w:r w:rsidR="00A3389E">
              <w:rPr>
                <w:rFonts w:ascii="Times New Roman" w:hAnsi="Times New Roman" w:cs="Times New Roman"/>
                <w:sz w:val="24"/>
              </w:rPr>
              <w:t xml:space="preserve"> v </w:t>
            </w:r>
            <w:r w:rsidRPr="00A3389E">
              <w:rPr>
                <w:rFonts w:ascii="Times New Roman" w:hAnsi="Times New Roman" w:cs="Times New Roman"/>
                <w:sz w:val="24"/>
              </w:rPr>
              <w:t>rámci pohyblivej odmeny.</w:t>
            </w:r>
          </w:p>
        </w:tc>
      </w:tr>
      <w:tr w:rsidR="009360C9" w:rsidRPr="00A3389E"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393B55A8" w:rsidR="009360C9" w:rsidRPr="00A3389E" w:rsidRDefault="009360C9" w:rsidP="006D005E">
            <w:pPr>
              <w:pStyle w:val="Applicationdirecte"/>
              <w:spacing w:before="0" w:after="0"/>
              <w:jc w:val="center"/>
            </w:pPr>
            <w:r w:rsidRPr="00A3389E">
              <w:t>3, 9, 15</w:t>
            </w:r>
            <w:r w:rsidR="00A3389E">
              <w:t xml:space="preserve"> a </w:t>
            </w:r>
            <w:r w:rsidRPr="00A3389E">
              <w:t>21</w:t>
            </w:r>
          </w:p>
        </w:tc>
        <w:tc>
          <w:tcPr>
            <w:tcW w:w="7655" w:type="dxa"/>
            <w:tcBorders>
              <w:top w:val="single" w:sz="4" w:space="0" w:color="auto"/>
              <w:left w:val="single" w:sz="4" w:space="0" w:color="auto"/>
              <w:bottom w:val="single" w:sz="4" w:space="0" w:color="auto"/>
              <w:right w:val="single" w:sz="4" w:space="0" w:color="auto"/>
            </w:tcBorders>
            <w:vAlign w:val="center"/>
          </w:tcPr>
          <w:p w14:paraId="2FD799A3" w14:textId="77777777" w:rsidR="00A3389E" w:rsidRPr="00A3389E" w:rsidRDefault="009360C9"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Akcie alebo rovnocenné vlastnícke podiely</w:t>
            </w:r>
          </w:p>
          <w:p w14:paraId="7C7C980D" w14:textId="255AC011" w:rsidR="009360C9" w:rsidRPr="00A3389E" w:rsidRDefault="009360C9" w:rsidP="00155C96">
            <w:pPr>
              <w:spacing w:before="60" w:after="120"/>
              <w:jc w:val="both"/>
              <w:rPr>
                <w:rFonts w:ascii="Times New Roman" w:hAnsi="Times New Roman" w:cs="Times New Roman"/>
                <w:b/>
                <w:sz w:val="24"/>
              </w:rPr>
            </w:pPr>
            <w:r w:rsidRPr="00A3389E">
              <w:rPr>
                <w:rFonts w:ascii="Times New Roman" w:hAnsi="Times New Roman" w:cs="Times New Roman"/>
                <w:sz w:val="24"/>
              </w:rPr>
              <w:t>Súčet hodnôt akcií alebo rovnocenných vlastníckych podielov</w:t>
            </w:r>
            <w:r w:rsidR="00A3389E">
              <w:rPr>
                <w:rFonts w:ascii="Times New Roman" w:hAnsi="Times New Roman" w:cs="Times New Roman"/>
                <w:sz w:val="24"/>
              </w:rPr>
              <w:t xml:space="preserve"> v </w:t>
            </w:r>
            <w:r w:rsidRPr="00A3389E">
              <w:rPr>
                <w:rFonts w:ascii="Times New Roman" w:hAnsi="Times New Roman" w:cs="Times New Roman"/>
                <w:sz w:val="24"/>
              </w:rPr>
              <w:t>závislosti od právnej štruktúry dotknutej inštitúcie, ako sa uvádza</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l) bode i) CRD,</w:t>
            </w:r>
            <w:r w:rsidR="00A3389E">
              <w:rPr>
                <w:rFonts w:ascii="Times New Roman" w:hAnsi="Times New Roman" w:cs="Times New Roman"/>
                <w:sz w:val="24"/>
              </w:rPr>
              <w:t xml:space="preserve"> v </w:t>
            </w:r>
            <w:r w:rsidRPr="00A3389E">
              <w:rPr>
                <w:rFonts w:ascii="Times New Roman" w:hAnsi="Times New Roman" w:cs="Times New Roman"/>
                <w:sz w:val="24"/>
              </w:rPr>
              <w:t>rámci pohyblivej odmeny.</w:t>
            </w:r>
          </w:p>
        </w:tc>
      </w:tr>
      <w:tr w:rsidR="009360C9" w:rsidRPr="00A3389E"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44CBEC99" w:rsidR="009360C9" w:rsidRPr="00A3389E" w:rsidRDefault="009360C9" w:rsidP="006D005E">
            <w:pPr>
              <w:pStyle w:val="Applicationdirecte"/>
              <w:spacing w:before="0" w:after="0"/>
              <w:jc w:val="center"/>
            </w:pPr>
            <w:r w:rsidRPr="00A3389E">
              <w:t>4, 10, 16</w:t>
            </w:r>
            <w:r w:rsidR="00A3389E">
              <w:t xml:space="preserve"> a </w:t>
            </w:r>
            <w:r w:rsidRPr="00A3389E">
              <w:t>22</w:t>
            </w:r>
          </w:p>
        </w:tc>
        <w:tc>
          <w:tcPr>
            <w:tcW w:w="7655" w:type="dxa"/>
            <w:tcBorders>
              <w:top w:val="single" w:sz="4" w:space="0" w:color="auto"/>
              <w:left w:val="single" w:sz="4" w:space="0" w:color="auto"/>
              <w:bottom w:val="single" w:sz="4" w:space="0" w:color="auto"/>
              <w:right w:val="single" w:sz="4" w:space="0" w:color="auto"/>
            </w:tcBorders>
            <w:vAlign w:val="center"/>
          </w:tcPr>
          <w:p w14:paraId="603AFAF8" w14:textId="1C5969A8" w:rsidR="00A3389E" w:rsidRPr="00A3389E" w:rsidRDefault="009360C9"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Nástroje súvisiace</w:t>
            </w:r>
            <w:r w:rsidR="00A3389E">
              <w:rPr>
                <w:rFonts w:ascii="Times New Roman" w:hAnsi="Times New Roman" w:cs="Times New Roman"/>
                <w:b/>
                <w:sz w:val="24"/>
              </w:rPr>
              <w:t xml:space="preserve"> s </w:t>
            </w:r>
            <w:r w:rsidRPr="00A3389E">
              <w:rPr>
                <w:rFonts w:ascii="Times New Roman" w:hAnsi="Times New Roman" w:cs="Times New Roman"/>
                <w:b/>
                <w:sz w:val="24"/>
              </w:rPr>
              <w:t>akciami alebo rovnocenné bezhotovostné nástroje</w:t>
            </w:r>
          </w:p>
          <w:p w14:paraId="57A17049" w14:textId="1BDD896C"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Súčet hodnôt nástrojov súvisiacich</w:t>
            </w:r>
            <w:r w:rsidR="00A3389E">
              <w:rPr>
                <w:rFonts w:ascii="Times New Roman" w:hAnsi="Times New Roman" w:cs="Times New Roman"/>
                <w:sz w:val="24"/>
              </w:rPr>
              <w:t xml:space="preserve"> s </w:t>
            </w:r>
            <w:r w:rsidRPr="00A3389E">
              <w:rPr>
                <w:rFonts w:ascii="Times New Roman" w:hAnsi="Times New Roman" w:cs="Times New Roman"/>
                <w:sz w:val="24"/>
              </w:rPr>
              <w:t>akciami alebo rovnocenných bezhotovostných nástrojov uvedených</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l) bode i) CRD</w:t>
            </w:r>
            <w:r w:rsidR="00A3389E">
              <w:rPr>
                <w:rFonts w:ascii="Times New Roman" w:hAnsi="Times New Roman" w:cs="Times New Roman"/>
                <w:sz w:val="24"/>
              </w:rPr>
              <w:t xml:space="preserve"> v </w:t>
            </w:r>
            <w:r w:rsidRPr="00A3389E">
              <w:rPr>
                <w:rFonts w:ascii="Times New Roman" w:hAnsi="Times New Roman" w:cs="Times New Roman"/>
                <w:sz w:val="24"/>
              </w:rPr>
              <w:t>rámci pohyblivej odmeny.</w:t>
            </w:r>
          </w:p>
        </w:tc>
      </w:tr>
      <w:tr w:rsidR="009360C9" w:rsidRPr="00A3389E"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6C661340" w:rsidR="009360C9" w:rsidRPr="00A3389E" w:rsidRDefault="009360C9" w:rsidP="006D005E">
            <w:pPr>
              <w:pStyle w:val="Applicationdirecte"/>
              <w:spacing w:before="0" w:after="0"/>
              <w:jc w:val="center"/>
            </w:pPr>
            <w:r w:rsidRPr="00A3389E">
              <w:t>5, 11, 17</w:t>
            </w:r>
            <w:r w:rsidR="00A3389E">
              <w:t xml:space="preserve"> a </w:t>
            </w:r>
            <w:r w:rsidRPr="00A3389E">
              <w:t>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A3389E" w:rsidRDefault="009360C9" w:rsidP="00155C96">
            <w:pPr>
              <w:spacing w:before="60" w:after="120"/>
              <w:jc w:val="both"/>
              <w:rPr>
                <w:rFonts w:ascii="Times New Roman" w:hAnsi="Times New Roman" w:cs="Times New Roman"/>
                <w:b/>
                <w:sz w:val="24"/>
              </w:rPr>
            </w:pPr>
            <w:r w:rsidRPr="00A3389E">
              <w:rPr>
                <w:rFonts w:ascii="Times New Roman" w:hAnsi="Times New Roman" w:cs="Times New Roman"/>
                <w:b/>
                <w:sz w:val="24"/>
              </w:rPr>
              <w:t>Iné nástroje</w:t>
            </w:r>
          </w:p>
          <w:p w14:paraId="6FFE1D63" w14:textId="06C76472"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Hodnota iných nástrojov uvedených</w:t>
            </w:r>
            <w:r w:rsidR="00A3389E">
              <w:rPr>
                <w:rFonts w:ascii="Times New Roman" w:hAnsi="Times New Roman" w:cs="Times New Roman"/>
                <w:sz w:val="24"/>
              </w:rPr>
              <w:t xml:space="preserve"> v </w:t>
            </w:r>
            <w:r w:rsidRPr="00A3389E">
              <w:rPr>
                <w:rFonts w:ascii="Times New Roman" w:hAnsi="Times New Roman" w:cs="Times New Roman"/>
                <w:sz w:val="24"/>
              </w:rPr>
              <w:t>článku 94 ods. 1 písm. l) bode ii) CRD</w:t>
            </w:r>
            <w:r w:rsidR="00A3389E">
              <w:rPr>
                <w:rFonts w:ascii="Times New Roman" w:hAnsi="Times New Roman" w:cs="Times New Roman"/>
                <w:sz w:val="24"/>
              </w:rPr>
              <w:t xml:space="preserve"> v </w:t>
            </w:r>
            <w:r w:rsidRPr="00A3389E">
              <w:rPr>
                <w:rFonts w:ascii="Times New Roman" w:hAnsi="Times New Roman" w:cs="Times New Roman"/>
                <w:sz w:val="24"/>
              </w:rPr>
              <w:t>rámci pohyblivej odmeny.</w:t>
            </w:r>
          </w:p>
        </w:tc>
      </w:tr>
      <w:tr w:rsidR="009360C9" w:rsidRPr="00A3389E"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6CDB7415" w:rsidR="009360C9" w:rsidRPr="00A3389E" w:rsidRDefault="009360C9" w:rsidP="006D005E">
            <w:pPr>
              <w:pStyle w:val="Applicationdirecte"/>
              <w:spacing w:before="0" w:after="0"/>
              <w:jc w:val="center"/>
            </w:pPr>
            <w:r w:rsidRPr="00A3389E">
              <w:t>6, 12, 18</w:t>
            </w:r>
            <w:r w:rsidR="00A3389E">
              <w:t xml:space="preserve"> a </w:t>
            </w:r>
            <w:r w:rsidRPr="00A3389E">
              <w:t>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A3389E" w:rsidRDefault="009360C9" w:rsidP="00155C96">
            <w:pPr>
              <w:autoSpaceDE w:val="0"/>
              <w:autoSpaceDN w:val="0"/>
              <w:adjustRightInd w:val="0"/>
              <w:spacing w:after="120"/>
              <w:rPr>
                <w:rFonts w:ascii="Times New Roman" w:hAnsi="Times New Roman" w:cs="Times New Roman"/>
                <w:b/>
                <w:sz w:val="24"/>
              </w:rPr>
            </w:pPr>
            <w:r w:rsidRPr="00A3389E">
              <w:rPr>
                <w:rFonts w:ascii="Times New Roman" w:hAnsi="Times New Roman" w:cs="Times New Roman"/>
                <w:b/>
                <w:sz w:val="24"/>
              </w:rPr>
              <w:t>Iné formy</w:t>
            </w:r>
          </w:p>
          <w:p w14:paraId="52974DA6" w14:textId="5BA8C283"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Hodnoty pohyblivej odmeny iné než tie, ktoré sú zverejnené</w:t>
            </w:r>
            <w:r w:rsidR="00A3389E">
              <w:rPr>
                <w:rFonts w:ascii="Times New Roman" w:hAnsi="Times New Roman" w:cs="Times New Roman"/>
                <w:sz w:val="24"/>
              </w:rPr>
              <w:t xml:space="preserve"> v </w:t>
            </w:r>
            <w:r w:rsidRPr="00A3389E">
              <w:rPr>
                <w:rFonts w:ascii="Times New Roman" w:hAnsi="Times New Roman" w:cs="Times New Roman"/>
                <w:sz w:val="24"/>
              </w:rPr>
              <w:t>riadkoch „na peňažnom základe“, „Akcie alebo rovnocenné vlastnícke podiely</w:t>
            </w:r>
            <w:r w:rsidR="00A3389E">
              <w:rPr>
                <w:rFonts w:ascii="Times New Roman" w:hAnsi="Times New Roman" w:cs="Times New Roman"/>
                <w:sz w:val="24"/>
              </w:rPr>
              <w:t xml:space="preserve"> v </w:t>
            </w:r>
            <w:r w:rsidRPr="00A3389E">
              <w:rPr>
                <w:rFonts w:ascii="Times New Roman" w:hAnsi="Times New Roman" w:cs="Times New Roman"/>
                <w:sz w:val="24"/>
              </w:rPr>
              <w:t>závislosti od právnej štruktúry dotknutej inštitúcie alebo nástroje súvisiace</w:t>
            </w:r>
            <w:r w:rsidR="00A3389E">
              <w:rPr>
                <w:rFonts w:ascii="Times New Roman" w:hAnsi="Times New Roman" w:cs="Times New Roman"/>
                <w:sz w:val="24"/>
              </w:rPr>
              <w:t xml:space="preserve"> s </w:t>
            </w:r>
            <w:r w:rsidRPr="00A3389E">
              <w:rPr>
                <w:rFonts w:ascii="Times New Roman" w:hAnsi="Times New Roman" w:cs="Times New Roman"/>
                <w:sz w:val="24"/>
              </w:rPr>
              <w:t>akciami alebo rovnocenné bezhotovostné nástroje“</w:t>
            </w:r>
            <w:r w:rsidR="00A3389E">
              <w:rPr>
                <w:rFonts w:ascii="Times New Roman" w:hAnsi="Times New Roman" w:cs="Times New Roman"/>
                <w:sz w:val="24"/>
              </w:rPr>
              <w:t xml:space="preserve"> a </w:t>
            </w:r>
            <w:r w:rsidRPr="00A3389E">
              <w:rPr>
                <w:rFonts w:ascii="Times New Roman" w:hAnsi="Times New Roman" w:cs="Times New Roman"/>
                <w:sz w:val="24"/>
              </w:rPr>
              <w:t>„iné nástroje“.</w:t>
            </w:r>
          </w:p>
          <w:p w14:paraId="118AC0A2" w14:textId="2D72B69D"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 xml:space="preserve">Mohlo by to zahŕňať pomerné pravidelné príspevky na dôchodkové zabezpečenie alebo dávky (ak sa takéto dávky poskytujú bez ohľadu na </w:t>
            </w:r>
            <w:r w:rsidRPr="00A3389E">
              <w:rPr>
                <w:rFonts w:ascii="Times New Roman" w:hAnsi="Times New Roman" w:cs="Times New Roman"/>
                <w:sz w:val="24"/>
              </w:rPr>
              <w:lastRenderedPageBreak/>
              <w:t>akékoľvek výkonnostné kritériá) uvedené</w:t>
            </w:r>
            <w:r w:rsidR="00A3389E">
              <w:rPr>
                <w:rFonts w:ascii="Times New Roman" w:hAnsi="Times New Roman" w:cs="Times New Roman"/>
                <w:sz w:val="24"/>
              </w:rPr>
              <w:t xml:space="preserve"> v </w:t>
            </w:r>
            <w:r w:rsidRPr="00A3389E">
              <w:rPr>
                <w:rFonts w:ascii="Times New Roman" w:hAnsi="Times New Roman" w:cs="Times New Roman"/>
                <w:sz w:val="24"/>
              </w:rPr>
              <w:t>odôvodnení 64 CRD alebo iné formy odmeňovania, ako napríklad príspevky na automobily.</w:t>
            </w:r>
          </w:p>
        </w:tc>
      </w:tr>
      <w:tr w:rsidR="009360C9" w:rsidRPr="00A3389E"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A3389E" w:rsidRDefault="009360C9" w:rsidP="006D005E">
            <w:pPr>
              <w:pStyle w:val="Applicationdirecte"/>
              <w:spacing w:before="0" w:after="0"/>
              <w:jc w:val="center"/>
            </w:pPr>
            <w:r w:rsidRPr="00A3389E">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08157ED8" w14:textId="77777777" w:rsidR="00A3389E" w:rsidRPr="00A3389E" w:rsidRDefault="009360C9" w:rsidP="00155C9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Riadiaca funkcia riadiaceho orgánu</w:t>
            </w:r>
          </w:p>
          <w:p w14:paraId="58DBE153" w14:textId="149E71DE"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Členovia riadiaceho orgánu, ktorí sú zodpovední za jeho riadiace funkcie. 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8, 9, 10, 11</w:t>
            </w:r>
            <w:r w:rsidR="00A3389E">
              <w:rPr>
                <w:rFonts w:ascii="Times New Roman" w:hAnsi="Times New Roman" w:cs="Times New Roman"/>
                <w:sz w:val="24"/>
              </w:rPr>
              <w:t xml:space="preserve"> a </w:t>
            </w:r>
            <w:r w:rsidRPr="00A3389E">
              <w:rPr>
                <w:rFonts w:ascii="Times New Roman" w:hAnsi="Times New Roman" w:cs="Times New Roman"/>
                <w:sz w:val="24"/>
              </w:rPr>
              <w:t>12 tohto vzoru.</w:t>
            </w:r>
          </w:p>
        </w:tc>
      </w:tr>
      <w:tr w:rsidR="009360C9" w:rsidRPr="00A3389E"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A3389E" w:rsidRDefault="009360C9" w:rsidP="006D005E">
            <w:pPr>
              <w:pStyle w:val="Applicationdirecte"/>
              <w:spacing w:before="0" w:after="0"/>
              <w:jc w:val="center"/>
            </w:pPr>
            <w:r w:rsidRPr="00A3389E">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A3389E" w:rsidRDefault="009360C9" w:rsidP="00155C9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Iný vrcholový manažment</w:t>
            </w:r>
          </w:p>
          <w:p w14:paraId="619B3A4D" w14:textId="4A4B018D"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Vrcholový manažment</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3 ods. 1 bode 9 CRD. 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14, 15, 16, 17</w:t>
            </w:r>
            <w:r w:rsidR="00A3389E">
              <w:rPr>
                <w:rFonts w:ascii="Times New Roman" w:hAnsi="Times New Roman" w:cs="Times New Roman"/>
                <w:sz w:val="24"/>
              </w:rPr>
              <w:t xml:space="preserve"> a </w:t>
            </w:r>
            <w:r w:rsidRPr="00A3389E">
              <w:rPr>
                <w:rFonts w:ascii="Times New Roman" w:hAnsi="Times New Roman" w:cs="Times New Roman"/>
                <w:sz w:val="24"/>
              </w:rPr>
              <w:t>18 tohto vzoru.</w:t>
            </w:r>
          </w:p>
          <w:p w14:paraId="1B188B52" w14:textId="6CC3138E"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počet vrcholových manažérov, ktorí nie sú zverejnení</w:t>
            </w:r>
            <w:r w:rsidR="00A3389E">
              <w:rPr>
                <w:rFonts w:ascii="Times New Roman" w:hAnsi="Times New Roman" w:cs="Times New Roman"/>
                <w:sz w:val="24"/>
              </w:rPr>
              <w:t xml:space="preserve"> v </w:t>
            </w:r>
            <w:r w:rsidRPr="00A3389E">
              <w:rPr>
                <w:rFonts w:ascii="Times New Roman" w:hAnsi="Times New Roman" w:cs="Times New Roman"/>
                <w:sz w:val="24"/>
              </w:rPr>
              <w:t>rámci položky riadiaceho orgánu</w:t>
            </w:r>
            <w:r w:rsidR="00A3389E">
              <w:rPr>
                <w:rFonts w:ascii="Times New Roman" w:hAnsi="Times New Roman" w:cs="Times New Roman"/>
                <w:sz w:val="24"/>
              </w:rPr>
              <w:t xml:space="preserve"> v </w:t>
            </w:r>
            <w:r w:rsidRPr="00A3389E">
              <w:rPr>
                <w:rFonts w:ascii="Times New Roman" w:hAnsi="Times New Roman" w:cs="Times New Roman"/>
                <w:sz w:val="24"/>
              </w:rPr>
              <w:t>jeho riadiacej funkcii ani ako iní určení zamestnanci.</w:t>
            </w:r>
          </w:p>
        </w:tc>
      </w:tr>
      <w:tr w:rsidR="009360C9" w:rsidRPr="00A3389E"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A3389E" w:rsidRDefault="009360C9" w:rsidP="006D005E">
            <w:pPr>
              <w:pStyle w:val="Applicationdirecte"/>
              <w:spacing w:before="0" w:after="0"/>
              <w:jc w:val="center"/>
            </w:pPr>
            <w:r w:rsidRPr="00A3389E">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A3389E" w:rsidRDefault="009360C9" w:rsidP="00155C96">
            <w:pPr>
              <w:spacing w:before="60" w:after="120"/>
              <w:jc w:val="both"/>
              <w:rPr>
                <w:rFonts w:ascii="Times New Roman" w:hAnsi="Times New Roman" w:cs="Times New Roman"/>
                <w:b/>
                <w:sz w:val="24"/>
              </w:rPr>
            </w:pPr>
            <w:r w:rsidRPr="00A3389E">
              <w:rPr>
                <w:rFonts w:ascii="Times New Roman" w:hAnsi="Times New Roman" w:cs="Times New Roman"/>
                <w:b/>
                <w:sz w:val="24"/>
              </w:rPr>
              <w:t>Iní určení zamestnanci</w:t>
            </w:r>
          </w:p>
          <w:p w14:paraId="2704A06A" w14:textId="45BA9A51"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Zamestnanci iní než riadiaci orgán vo svojej funkcii dohľadu alebo riadiacej funkcii</w:t>
            </w:r>
            <w:r w:rsidR="00A3389E">
              <w:rPr>
                <w:rFonts w:ascii="Times New Roman" w:hAnsi="Times New Roman" w:cs="Times New Roman"/>
                <w:sz w:val="24"/>
              </w:rPr>
              <w:t xml:space="preserve"> a </w:t>
            </w:r>
            <w:r w:rsidRPr="00A3389E">
              <w:rPr>
                <w:rFonts w:ascii="Times New Roman" w:hAnsi="Times New Roman" w:cs="Times New Roman"/>
                <w:sz w:val="24"/>
              </w:rPr>
              <w:t>iní než vrcholový manažment, ktorých pracovné činnosti majú významný vplyv na rizikový profil inštitúcie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kritériami stanovenými</w:t>
            </w:r>
            <w:r w:rsidR="00A3389E">
              <w:rPr>
                <w:rFonts w:ascii="Times New Roman" w:hAnsi="Times New Roman" w:cs="Times New Roman"/>
                <w:sz w:val="24"/>
              </w:rPr>
              <w:t xml:space="preserve"> v </w:t>
            </w:r>
            <w:r w:rsidRPr="00A3389E">
              <w:rPr>
                <w:rFonts w:ascii="Times New Roman" w:hAnsi="Times New Roman" w:cs="Times New Roman"/>
                <w:sz w:val="24"/>
              </w:rPr>
              <w:t>delegovanom nariadení Komisie</w:t>
            </w:r>
            <w:r w:rsidR="00A3389E">
              <w:rPr>
                <w:rFonts w:ascii="Times New Roman" w:hAnsi="Times New Roman" w:cs="Times New Roman"/>
                <w:sz w:val="24"/>
              </w:rPr>
              <w:t xml:space="preserve"> o </w:t>
            </w:r>
            <w:r w:rsidRPr="00A3389E">
              <w:rPr>
                <w:rFonts w:ascii="Times New Roman" w:hAnsi="Times New Roman" w:cs="Times New Roman"/>
                <w:sz w:val="24"/>
              </w:rPr>
              <w:t>určených zamestnancoch, ktorým sa vykonáva článok 94 ods. 2 CRD,</w:t>
            </w:r>
            <w:r w:rsidR="00A3389E">
              <w:rPr>
                <w:rFonts w:ascii="Times New Roman" w:hAnsi="Times New Roman" w:cs="Times New Roman"/>
                <w:sz w:val="24"/>
              </w:rPr>
              <w:t xml:space="preserve"> a </w:t>
            </w:r>
            <w:r w:rsidRPr="00A3389E">
              <w:rPr>
                <w:rFonts w:ascii="Times New Roman" w:hAnsi="Times New Roman" w:cs="Times New Roman"/>
                <w:sz w:val="24"/>
              </w:rPr>
              <w:t>prípadne aj na základe kritérií inštitúcií. 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20, 21, 22, 23</w:t>
            </w:r>
            <w:r w:rsidR="00A3389E">
              <w:rPr>
                <w:rFonts w:ascii="Times New Roman" w:hAnsi="Times New Roman" w:cs="Times New Roman"/>
                <w:sz w:val="24"/>
              </w:rPr>
              <w:t xml:space="preserve"> a </w:t>
            </w:r>
            <w:r w:rsidRPr="00A3389E">
              <w:rPr>
                <w:rFonts w:ascii="Times New Roman" w:hAnsi="Times New Roman" w:cs="Times New Roman"/>
                <w:sz w:val="24"/>
              </w:rPr>
              <w:t>24 tohto vzoru.</w:t>
            </w:r>
          </w:p>
        </w:tc>
      </w:tr>
      <w:tr w:rsidR="009360C9" w:rsidRPr="00A3389E"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A3389E" w:rsidRDefault="009360C9" w:rsidP="006D005E">
            <w:pPr>
              <w:pStyle w:val="Applicationdirecte"/>
              <w:spacing w:before="0" w:after="0"/>
              <w:jc w:val="center"/>
            </w:pPr>
            <w:r w:rsidRPr="00A3389E">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A3389E" w:rsidRDefault="002B7ED3" w:rsidP="00155C96">
            <w:pPr>
              <w:spacing w:before="60" w:after="120"/>
              <w:jc w:val="both"/>
              <w:rPr>
                <w:rFonts w:ascii="Times New Roman" w:hAnsi="Times New Roman" w:cs="Times New Roman"/>
                <w:b/>
                <w:sz w:val="24"/>
              </w:rPr>
            </w:pPr>
            <w:r w:rsidRPr="00A3389E">
              <w:rPr>
                <w:rFonts w:ascii="Times New Roman" w:hAnsi="Times New Roman" w:cs="Times New Roman"/>
                <w:b/>
                <w:sz w:val="24"/>
              </w:rPr>
              <w:t>Celková hodnota</w:t>
            </w:r>
          </w:p>
          <w:p w14:paraId="1149FC38" w14:textId="1036092A" w:rsidR="009360C9" w:rsidRPr="00A3389E" w:rsidRDefault="009360C9" w:rsidP="00155C96">
            <w:pPr>
              <w:spacing w:before="60" w:after="120"/>
              <w:jc w:val="both"/>
              <w:rPr>
                <w:rFonts w:ascii="Times New Roman" w:hAnsi="Times New Roman" w:cs="Times New Roman"/>
                <w:sz w:val="24"/>
              </w:rPr>
            </w:pPr>
            <w:r w:rsidRPr="00A3389E">
              <w:rPr>
                <w:rFonts w:ascii="Times New Roman" w:hAnsi="Times New Roman" w:cs="Times New Roman"/>
                <w:sz w:val="24"/>
              </w:rPr>
              <w:t>Súčet hodnôt</w:t>
            </w:r>
            <w:r w:rsidR="00A3389E">
              <w:rPr>
                <w:rFonts w:ascii="Times New Roman" w:hAnsi="Times New Roman" w:cs="Times New Roman"/>
                <w:sz w:val="24"/>
              </w:rPr>
              <w:t xml:space="preserve"> v </w:t>
            </w:r>
            <w:r w:rsidRPr="00A3389E">
              <w:rPr>
                <w:rFonts w:ascii="Times New Roman" w:hAnsi="Times New Roman" w:cs="Times New Roman"/>
                <w:sz w:val="24"/>
              </w:rPr>
              <w:t>riadkoch 1, 7, 13</w:t>
            </w:r>
            <w:r w:rsidR="00A3389E">
              <w:rPr>
                <w:rFonts w:ascii="Times New Roman" w:hAnsi="Times New Roman" w:cs="Times New Roman"/>
                <w:sz w:val="24"/>
              </w:rPr>
              <w:t xml:space="preserve"> a </w:t>
            </w:r>
            <w:r w:rsidRPr="00A3389E">
              <w:rPr>
                <w:rFonts w:ascii="Times New Roman" w:hAnsi="Times New Roman" w:cs="Times New Roman"/>
                <w:sz w:val="24"/>
              </w:rPr>
              <w:t>19 tohto vzoru.</w:t>
            </w:r>
          </w:p>
        </w:tc>
      </w:tr>
      <w:tr w:rsidR="009360C9" w:rsidRPr="00A3389E"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A3389E" w:rsidRDefault="009360C9" w:rsidP="006D005E">
            <w:pPr>
              <w:pStyle w:val="TableMainHeading"/>
              <w:spacing w:before="60"/>
              <w:jc w:val="center"/>
              <w:rPr>
                <w:rFonts w:ascii="Times New Roman" w:hAnsi="Times New Roman"/>
                <w:b/>
                <w:sz w:val="24"/>
                <w:szCs w:val="24"/>
              </w:rPr>
            </w:pPr>
            <w:r w:rsidRPr="00A3389E">
              <w:rPr>
                <w:rFonts w:ascii="Times New Roman" w:hAnsi="Times New Roman"/>
                <w:b/>
                <w:sz w:val="24"/>
                <w:szCs w:val="24"/>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A3389E" w:rsidRDefault="009360C9" w:rsidP="00155C96">
            <w:pPr>
              <w:pStyle w:val="TableMainHeading"/>
              <w:spacing w:before="60"/>
              <w:rPr>
                <w:rFonts w:ascii="Times New Roman" w:hAnsi="Times New Roman"/>
                <w:b/>
                <w:sz w:val="24"/>
                <w:szCs w:val="24"/>
              </w:rPr>
            </w:pPr>
            <w:r w:rsidRPr="00A3389E">
              <w:rPr>
                <w:rFonts w:ascii="Times New Roman" w:hAnsi="Times New Roman"/>
                <w:b/>
                <w:sz w:val="24"/>
                <w:szCs w:val="24"/>
              </w:rPr>
              <w:t>Vysvetlenie</w:t>
            </w:r>
          </w:p>
        </w:tc>
      </w:tr>
      <w:tr w:rsidR="009360C9" w:rsidRPr="00A3389E"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A3389E" w:rsidRDefault="009360C9" w:rsidP="006D005E">
            <w:pPr>
              <w:pStyle w:val="Applicationdirecte"/>
              <w:spacing w:before="0" w:after="0"/>
              <w:jc w:val="center"/>
            </w:pPr>
            <w:r w:rsidRPr="00A3389E">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A3389E" w:rsidRDefault="009360C9" w:rsidP="00155C96">
            <w:pPr>
              <w:spacing w:after="120"/>
              <w:jc w:val="both"/>
              <w:rPr>
                <w:rFonts w:ascii="Times New Roman" w:hAnsi="Times New Roman" w:cs="Times New Roman"/>
                <w:b/>
                <w:color w:val="000000"/>
                <w:sz w:val="24"/>
              </w:rPr>
            </w:pPr>
            <w:r w:rsidRPr="00A3389E">
              <w:rPr>
                <w:rFonts w:ascii="Times New Roman" w:hAnsi="Times New Roman" w:cs="Times New Roman"/>
                <w:b/>
                <w:sz w:val="24"/>
              </w:rPr>
              <w:t>Celková hodnota odloženého odmeňovania priznaného za predchádzajúce obdobia dosahovania výsledkov</w:t>
            </w:r>
          </w:p>
          <w:p w14:paraId="7F348F09" w14:textId="1B4518E8" w:rsidR="009360C9" w:rsidRPr="00A3389E" w:rsidRDefault="009360C9" w:rsidP="00155C96">
            <w:pPr>
              <w:spacing w:after="120"/>
              <w:jc w:val="both"/>
              <w:rPr>
                <w:rFonts w:ascii="Times New Roman" w:hAnsi="Times New Roman" w:cs="Times New Roman"/>
                <w:sz w:val="24"/>
              </w:rPr>
            </w:pPr>
            <w:r w:rsidRPr="00A3389E">
              <w:rPr>
                <w:rFonts w:ascii="Times New Roman" w:hAnsi="Times New Roman" w:cs="Times New Roman"/>
                <w:sz w:val="24"/>
              </w:rPr>
              <w:t>Hodnota odloženého odmeňovania, ako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CRD, ktoré bolo priznané za predchádzajúce obdobia dosahovania výsledkov (súčet hodnôt</w:t>
            </w:r>
            <w:r w:rsidR="00A3389E">
              <w:rPr>
                <w:rFonts w:ascii="Times New Roman" w:hAnsi="Times New Roman" w:cs="Times New Roman"/>
                <w:sz w:val="24"/>
              </w:rPr>
              <w:t xml:space="preserve"> v </w:t>
            </w:r>
            <w:r w:rsidRPr="00A3389E">
              <w:rPr>
                <w:rFonts w:ascii="Times New Roman" w:hAnsi="Times New Roman" w:cs="Times New Roman"/>
                <w:sz w:val="24"/>
              </w:rPr>
              <w:t xml:space="preserve">stĺpcoch </w:t>
            </w:r>
            <w:r w:rsidRPr="00A3389E">
              <w:rPr>
                <w:rFonts w:ascii="Times New Roman" w:hAnsi="Times New Roman" w:cs="Times New Roman"/>
                <w:i/>
                <w:sz w:val="24"/>
              </w:rPr>
              <w:t>b</w:t>
            </w:r>
            <w:r w:rsidR="00A3389E">
              <w:rPr>
                <w:rFonts w:ascii="Times New Roman" w:hAnsi="Times New Roman" w:cs="Times New Roman"/>
                <w:sz w:val="24"/>
              </w:rPr>
              <w:t xml:space="preserve"> a </w:t>
            </w:r>
            <w:r w:rsidRPr="00A3389E">
              <w:rPr>
                <w:rFonts w:ascii="Times New Roman" w:hAnsi="Times New Roman" w:cs="Times New Roman"/>
                <w:i/>
                <w:sz w:val="24"/>
              </w:rPr>
              <w:t>c</w:t>
            </w:r>
            <w:r w:rsidRPr="00A3389E">
              <w:rPr>
                <w:rFonts w:ascii="Times New Roman" w:hAnsi="Times New Roman" w:cs="Times New Roman"/>
                <w:sz w:val="24"/>
              </w:rPr>
              <w:t xml:space="preserve"> tohto vzoru).</w:t>
            </w:r>
          </w:p>
        </w:tc>
      </w:tr>
      <w:tr w:rsidR="009360C9" w:rsidRPr="00A3389E"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A3389E" w:rsidRDefault="009360C9" w:rsidP="006D005E">
            <w:pPr>
              <w:pStyle w:val="Applicationdirecte"/>
              <w:spacing w:before="0" w:after="0"/>
              <w:jc w:val="center"/>
            </w:pPr>
            <w:r w:rsidRPr="00A3389E">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0F44CC89" w:rsidR="009360C9" w:rsidRPr="00A3389E" w:rsidRDefault="009360C9" w:rsidP="00155C96">
            <w:pPr>
              <w:spacing w:after="120"/>
              <w:jc w:val="both"/>
              <w:rPr>
                <w:rFonts w:ascii="Times New Roman" w:hAnsi="Times New Roman" w:cs="Times New Roman"/>
                <w:b/>
                <w:sz w:val="24"/>
              </w:rPr>
            </w:pPr>
            <w:r w:rsidRPr="00A3389E">
              <w:rPr>
                <w:rFonts w:ascii="Times New Roman" w:hAnsi="Times New Roman" w:cs="Times New Roman"/>
                <w:b/>
                <w:sz w:val="24"/>
              </w:rPr>
              <w:t>Z čoho odmeňovanie, na ktoré má vzniknúť nárok</w:t>
            </w:r>
            <w:r w:rsidR="00A3389E">
              <w:rPr>
                <w:rFonts w:ascii="Times New Roman" w:hAnsi="Times New Roman" w:cs="Times New Roman"/>
                <w:b/>
                <w:sz w:val="24"/>
              </w:rPr>
              <w:t xml:space="preserve"> v </w:t>
            </w:r>
            <w:r w:rsidRPr="00A3389E">
              <w:rPr>
                <w:rFonts w:ascii="Times New Roman" w:hAnsi="Times New Roman" w:cs="Times New Roman"/>
                <w:b/>
                <w:sz w:val="24"/>
              </w:rPr>
              <w:t>účtovnom roku</w:t>
            </w:r>
          </w:p>
          <w:p w14:paraId="56243123" w14:textId="1DD57CF0" w:rsidR="009360C9" w:rsidRPr="00A3389E" w:rsidRDefault="009360C9" w:rsidP="00155C96">
            <w:pPr>
              <w:spacing w:after="120"/>
              <w:jc w:val="both"/>
              <w:rPr>
                <w:rFonts w:ascii="Times New Roman" w:hAnsi="Times New Roman" w:cs="Times New Roman"/>
                <w:color w:val="000000"/>
                <w:sz w:val="24"/>
              </w:rPr>
            </w:pPr>
            <w:r w:rsidRPr="00A3389E">
              <w:rPr>
                <w:rFonts w:ascii="Times New Roman" w:hAnsi="Times New Roman" w:cs="Times New Roman"/>
                <w:sz w:val="24"/>
              </w:rPr>
              <w:t>Hodnota odloženého odmeňovania priznaného za predchádzajúce obdobia dosahovania výsledkov, ako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CRD, na ktoré má vzniknúť nárok</w:t>
            </w:r>
            <w:r w:rsidR="00A3389E">
              <w:rPr>
                <w:rFonts w:ascii="Times New Roman" w:hAnsi="Times New Roman" w:cs="Times New Roman"/>
                <w:sz w:val="24"/>
              </w:rPr>
              <w:t xml:space="preserve"> v </w:t>
            </w:r>
            <w:r w:rsidRPr="00A3389E">
              <w:rPr>
                <w:rFonts w:ascii="Times New Roman" w:hAnsi="Times New Roman" w:cs="Times New Roman"/>
                <w:sz w:val="24"/>
              </w:rPr>
              <w:t>účtovnom roku.</w:t>
            </w:r>
          </w:p>
        </w:tc>
      </w:tr>
      <w:tr w:rsidR="009360C9" w:rsidRPr="00A3389E"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A3389E" w:rsidRDefault="009360C9" w:rsidP="006D005E">
            <w:pPr>
              <w:pStyle w:val="Applicationdirecte"/>
              <w:spacing w:before="0" w:after="0"/>
              <w:jc w:val="center"/>
            </w:pPr>
            <w:r w:rsidRPr="00A3389E">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4705D235" w:rsidR="009360C9" w:rsidRPr="00A3389E" w:rsidRDefault="009360C9" w:rsidP="00155C96">
            <w:pPr>
              <w:spacing w:after="120"/>
              <w:jc w:val="both"/>
              <w:rPr>
                <w:rFonts w:ascii="Times New Roman" w:hAnsi="Times New Roman" w:cs="Times New Roman"/>
                <w:b/>
                <w:sz w:val="24"/>
              </w:rPr>
            </w:pPr>
            <w:r w:rsidRPr="00A3389E">
              <w:rPr>
                <w:rFonts w:ascii="Times New Roman" w:hAnsi="Times New Roman" w:cs="Times New Roman"/>
                <w:b/>
                <w:sz w:val="24"/>
              </w:rPr>
              <w:t>Z čoho odmeňovanie, na ktoré vznikne nárok</w:t>
            </w:r>
            <w:r w:rsidR="00A3389E">
              <w:rPr>
                <w:rFonts w:ascii="Times New Roman" w:hAnsi="Times New Roman" w:cs="Times New Roman"/>
                <w:b/>
                <w:sz w:val="24"/>
              </w:rPr>
              <w:t xml:space="preserve"> v </w:t>
            </w:r>
            <w:r w:rsidRPr="00A3389E">
              <w:rPr>
                <w:rFonts w:ascii="Times New Roman" w:hAnsi="Times New Roman" w:cs="Times New Roman"/>
                <w:b/>
                <w:sz w:val="24"/>
              </w:rPr>
              <w:t>nasledujúcich účtovných rokoch</w:t>
            </w:r>
          </w:p>
          <w:p w14:paraId="168FD24F" w14:textId="7D75816F" w:rsidR="009360C9" w:rsidRPr="00A3389E" w:rsidRDefault="009360C9" w:rsidP="00155C96">
            <w:pPr>
              <w:spacing w:after="120"/>
              <w:jc w:val="both"/>
              <w:rPr>
                <w:rFonts w:ascii="Times New Roman" w:hAnsi="Times New Roman" w:cs="Times New Roman"/>
                <w:color w:val="000000"/>
                <w:sz w:val="24"/>
              </w:rPr>
            </w:pPr>
            <w:r w:rsidRPr="00A3389E">
              <w:rPr>
                <w:rFonts w:ascii="Times New Roman" w:hAnsi="Times New Roman" w:cs="Times New Roman"/>
                <w:sz w:val="24"/>
              </w:rPr>
              <w:t>Hodnota odloženého odmeňovania priznaného za predchádzajúce obdobia dosahovania výsledkov, ako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CRD, na ktoré vznikne nárok</w:t>
            </w:r>
            <w:r w:rsidR="00A3389E">
              <w:rPr>
                <w:rFonts w:ascii="Times New Roman" w:hAnsi="Times New Roman" w:cs="Times New Roman"/>
                <w:sz w:val="24"/>
              </w:rPr>
              <w:t xml:space="preserve"> v </w:t>
            </w:r>
            <w:r w:rsidRPr="00A3389E">
              <w:rPr>
                <w:rFonts w:ascii="Times New Roman" w:hAnsi="Times New Roman" w:cs="Times New Roman"/>
                <w:sz w:val="24"/>
              </w:rPr>
              <w:t>nasledujúcich účtovných rokoch.</w:t>
            </w:r>
          </w:p>
        </w:tc>
      </w:tr>
      <w:tr w:rsidR="009360C9" w:rsidRPr="00A3389E"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A3389E" w:rsidRDefault="009360C9" w:rsidP="006D005E">
            <w:pPr>
              <w:pStyle w:val="Applicationdirecte"/>
              <w:spacing w:before="0" w:after="0"/>
              <w:jc w:val="center"/>
            </w:pPr>
            <w:r w:rsidRPr="00A3389E">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06FC9A66" w:rsidR="009360C9" w:rsidRPr="00A3389E" w:rsidRDefault="009360C9" w:rsidP="00155C96">
            <w:pPr>
              <w:spacing w:after="120"/>
              <w:jc w:val="both"/>
              <w:rPr>
                <w:rFonts w:ascii="Times New Roman" w:hAnsi="Times New Roman" w:cs="Times New Roman"/>
                <w:b/>
                <w:sz w:val="24"/>
              </w:rPr>
            </w:pPr>
            <w:r w:rsidRPr="00A3389E">
              <w:rPr>
                <w:rFonts w:ascii="Times New Roman" w:hAnsi="Times New Roman" w:cs="Times New Roman"/>
                <w:b/>
                <w:sz w:val="24"/>
              </w:rPr>
              <w:t>Hodnota úpravy na základe dosiahnutých výsledkov, ktorá bola vykonaná</w:t>
            </w:r>
            <w:r w:rsidR="00A3389E">
              <w:rPr>
                <w:rFonts w:ascii="Times New Roman" w:hAnsi="Times New Roman" w:cs="Times New Roman"/>
                <w:b/>
                <w:sz w:val="24"/>
              </w:rPr>
              <w:t xml:space="preserve"> v </w:t>
            </w:r>
            <w:r w:rsidRPr="00A3389E">
              <w:rPr>
                <w:rFonts w:ascii="Times New Roman" w:hAnsi="Times New Roman" w:cs="Times New Roman"/>
                <w:b/>
                <w:sz w:val="24"/>
              </w:rPr>
              <w:t>účtovnom roku</w:t>
            </w:r>
            <w:r w:rsidR="00A3389E">
              <w:rPr>
                <w:rFonts w:ascii="Times New Roman" w:hAnsi="Times New Roman" w:cs="Times New Roman"/>
                <w:b/>
                <w:sz w:val="24"/>
              </w:rPr>
              <w:t xml:space="preserve"> v </w:t>
            </w:r>
            <w:r w:rsidRPr="00A3389E">
              <w:rPr>
                <w:rFonts w:ascii="Times New Roman" w:hAnsi="Times New Roman" w:cs="Times New Roman"/>
                <w:b/>
                <w:sz w:val="24"/>
              </w:rPr>
              <w:t>súvislosti</w:t>
            </w:r>
            <w:r w:rsidR="00A3389E">
              <w:rPr>
                <w:rFonts w:ascii="Times New Roman" w:hAnsi="Times New Roman" w:cs="Times New Roman"/>
                <w:b/>
                <w:sz w:val="24"/>
              </w:rPr>
              <w:t xml:space="preserve"> s </w:t>
            </w:r>
            <w:r w:rsidRPr="00A3389E">
              <w:rPr>
                <w:rFonts w:ascii="Times New Roman" w:hAnsi="Times New Roman" w:cs="Times New Roman"/>
                <w:b/>
                <w:sz w:val="24"/>
              </w:rPr>
              <w:t>odloženým odmeňovaním, na ktoré mal vzniknúť nárok</w:t>
            </w:r>
            <w:r w:rsidR="00A3389E">
              <w:rPr>
                <w:rFonts w:ascii="Times New Roman" w:hAnsi="Times New Roman" w:cs="Times New Roman"/>
                <w:b/>
                <w:sz w:val="24"/>
              </w:rPr>
              <w:t xml:space="preserve"> v </w:t>
            </w:r>
            <w:r w:rsidRPr="00A3389E">
              <w:rPr>
                <w:rFonts w:ascii="Times New Roman" w:hAnsi="Times New Roman" w:cs="Times New Roman"/>
                <w:b/>
                <w:sz w:val="24"/>
              </w:rPr>
              <w:t>účtovnom roku</w:t>
            </w:r>
          </w:p>
          <w:p w14:paraId="1792F0FB" w14:textId="4F6C2A0D" w:rsidR="009360C9" w:rsidRPr="00A3389E" w:rsidRDefault="009360C9" w:rsidP="00155C96">
            <w:pPr>
              <w:spacing w:after="120"/>
              <w:jc w:val="both"/>
              <w:rPr>
                <w:rFonts w:ascii="Times New Roman" w:hAnsi="Times New Roman" w:cs="Times New Roman"/>
                <w:sz w:val="24"/>
              </w:rPr>
            </w:pPr>
            <w:r w:rsidRPr="00A3389E">
              <w:rPr>
                <w:rFonts w:ascii="Times New Roman" w:hAnsi="Times New Roman" w:cs="Times New Roman"/>
                <w:sz w:val="24"/>
              </w:rPr>
              <w:lastRenderedPageBreak/>
              <w:t>Hodnota úpravy na základe dosiahnutých výsledkov vykonanej</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odloženým odmeňovaním, ako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CRD, na ktoré mal vzniknúť nárok</w:t>
            </w:r>
            <w:r w:rsidR="00A3389E">
              <w:rPr>
                <w:rFonts w:ascii="Times New Roman" w:hAnsi="Times New Roman" w:cs="Times New Roman"/>
                <w:sz w:val="24"/>
              </w:rPr>
              <w:t xml:space="preserve"> v </w:t>
            </w:r>
            <w:r w:rsidRPr="00A3389E">
              <w:rPr>
                <w:rFonts w:ascii="Times New Roman" w:hAnsi="Times New Roman" w:cs="Times New Roman"/>
                <w:sz w:val="24"/>
              </w:rPr>
              <w:t>účtovných rokoch.</w:t>
            </w:r>
          </w:p>
        </w:tc>
      </w:tr>
      <w:tr w:rsidR="009360C9" w:rsidRPr="00A3389E"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A3389E" w:rsidRDefault="009360C9" w:rsidP="006D005E">
            <w:pPr>
              <w:pStyle w:val="Applicationdirecte"/>
              <w:spacing w:before="0" w:after="0"/>
              <w:jc w:val="center"/>
            </w:pPr>
            <w:r w:rsidRPr="00A3389E">
              <w:lastRenderedPageBreak/>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2FAF9840" w:rsidR="009360C9" w:rsidRPr="00A3389E" w:rsidRDefault="009360C9" w:rsidP="00155C96">
            <w:pPr>
              <w:spacing w:after="120"/>
              <w:jc w:val="both"/>
              <w:rPr>
                <w:rFonts w:ascii="Times New Roman" w:hAnsi="Times New Roman" w:cs="Times New Roman"/>
                <w:b/>
                <w:sz w:val="24"/>
              </w:rPr>
            </w:pPr>
            <w:r w:rsidRPr="00A3389E">
              <w:rPr>
                <w:rFonts w:ascii="Times New Roman" w:hAnsi="Times New Roman" w:cs="Times New Roman"/>
                <w:b/>
                <w:sz w:val="24"/>
              </w:rPr>
              <w:t>Hodnota úpravy na základe dosiahnutých výsledkov, ktorá bola vykonaná</w:t>
            </w:r>
            <w:r w:rsidR="00A3389E">
              <w:rPr>
                <w:rFonts w:ascii="Times New Roman" w:hAnsi="Times New Roman" w:cs="Times New Roman"/>
                <w:b/>
                <w:sz w:val="24"/>
              </w:rPr>
              <w:t xml:space="preserve"> v </w:t>
            </w:r>
            <w:r w:rsidRPr="00A3389E">
              <w:rPr>
                <w:rFonts w:ascii="Times New Roman" w:hAnsi="Times New Roman" w:cs="Times New Roman"/>
                <w:b/>
                <w:sz w:val="24"/>
              </w:rPr>
              <w:t>účtovnom roku</w:t>
            </w:r>
            <w:r w:rsidR="00A3389E">
              <w:rPr>
                <w:rFonts w:ascii="Times New Roman" w:hAnsi="Times New Roman" w:cs="Times New Roman"/>
                <w:b/>
                <w:sz w:val="24"/>
              </w:rPr>
              <w:t xml:space="preserve"> v </w:t>
            </w:r>
            <w:r w:rsidRPr="00A3389E">
              <w:rPr>
                <w:rFonts w:ascii="Times New Roman" w:hAnsi="Times New Roman" w:cs="Times New Roman"/>
                <w:b/>
                <w:sz w:val="24"/>
              </w:rPr>
              <w:t>súvislosti</w:t>
            </w:r>
            <w:r w:rsidR="00A3389E">
              <w:rPr>
                <w:rFonts w:ascii="Times New Roman" w:hAnsi="Times New Roman" w:cs="Times New Roman"/>
                <w:b/>
                <w:sz w:val="24"/>
              </w:rPr>
              <w:t xml:space="preserve"> s </w:t>
            </w:r>
            <w:r w:rsidRPr="00A3389E">
              <w:rPr>
                <w:rFonts w:ascii="Times New Roman" w:hAnsi="Times New Roman" w:cs="Times New Roman"/>
                <w:b/>
                <w:sz w:val="24"/>
              </w:rPr>
              <w:t>odloženým odmeňovaním, na ktoré mal vzniknúť nárok</w:t>
            </w:r>
            <w:r w:rsidR="00A3389E">
              <w:rPr>
                <w:rFonts w:ascii="Times New Roman" w:hAnsi="Times New Roman" w:cs="Times New Roman"/>
                <w:b/>
                <w:sz w:val="24"/>
              </w:rPr>
              <w:t xml:space="preserve"> v </w:t>
            </w:r>
            <w:r w:rsidRPr="00A3389E">
              <w:rPr>
                <w:rFonts w:ascii="Times New Roman" w:hAnsi="Times New Roman" w:cs="Times New Roman"/>
                <w:b/>
                <w:sz w:val="24"/>
              </w:rPr>
              <w:t>budúcich účtovných rokoch</w:t>
            </w:r>
          </w:p>
          <w:p w14:paraId="237959D1" w14:textId="1A1CE959" w:rsidR="009360C9" w:rsidRPr="00A3389E" w:rsidRDefault="009360C9" w:rsidP="00155C96">
            <w:pPr>
              <w:spacing w:after="120"/>
              <w:jc w:val="both"/>
              <w:rPr>
                <w:rFonts w:ascii="Times New Roman" w:hAnsi="Times New Roman" w:cs="Times New Roman"/>
                <w:sz w:val="24"/>
              </w:rPr>
            </w:pPr>
            <w:r w:rsidRPr="00A3389E">
              <w:rPr>
                <w:rFonts w:ascii="Times New Roman" w:hAnsi="Times New Roman" w:cs="Times New Roman"/>
                <w:sz w:val="24"/>
              </w:rPr>
              <w:t>Hodnota úpravy na základe dosiahnutých výsledkov vykonanej</w:t>
            </w:r>
            <w:r w:rsidR="00A3389E">
              <w:rPr>
                <w:rFonts w:ascii="Times New Roman" w:hAnsi="Times New Roman" w:cs="Times New Roman"/>
                <w:sz w:val="24"/>
              </w:rPr>
              <w:t xml:space="preserve"> v </w:t>
            </w:r>
            <w:r w:rsidRPr="00A3389E">
              <w:rPr>
                <w:rFonts w:ascii="Times New Roman" w:hAnsi="Times New Roman" w:cs="Times New Roman"/>
                <w:sz w:val="24"/>
              </w:rPr>
              <w:t>súvislosti</w:t>
            </w:r>
            <w:r w:rsidR="00A3389E">
              <w:rPr>
                <w:rFonts w:ascii="Times New Roman" w:hAnsi="Times New Roman" w:cs="Times New Roman"/>
                <w:sz w:val="24"/>
              </w:rPr>
              <w:t xml:space="preserve"> s </w:t>
            </w:r>
            <w:r w:rsidRPr="00A3389E">
              <w:rPr>
                <w:rFonts w:ascii="Times New Roman" w:hAnsi="Times New Roman" w:cs="Times New Roman"/>
                <w:sz w:val="24"/>
              </w:rPr>
              <w:t>odloženým odmeňovaním, ako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CRD, na ktoré mal vzniknúť nárok</w:t>
            </w:r>
            <w:r w:rsidR="00A3389E">
              <w:rPr>
                <w:rFonts w:ascii="Times New Roman" w:hAnsi="Times New Roman" w:cs="Times New Roman"/>
                <w:sz w:val="24"/>
              </w:rPr>
              <w:t xml:space="preserve"> v </w:t>
            </w:r>
            <w:r w:rsidRPr="00A3389E">
              <w:rPr>
                <w:rFonts w:ascii="Times New Roman" w:hAnsi="Times New Roman" w:cs="Times New Roman"/>
                <w:sz w:val="24"/>
              </w:rPr>
              <w:t>budúcich výkonových rokoch.</w:t>
            </w:r>
          </w:p>
        </w:tc>
      </w:tr>
      <w:tr w:rsidR="009360C9" w:rsidRPr="00A3389E"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A3389E" w:rsidRDefault="009360C9" w:rsidP="006D005E">
            <w:pPr>
              <w:pStyle w:val="Applicationdirecte"/>
              <w:spacing w:before="0" w:after="0"/>
              <w:jc w:val="center"/>
            </w:pPr>
            <w:r w:rsidRPr="00A3389E">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ECDC05" w:rsidR="009360C9" w:rsidRPr="00A3389E" w:rsidRDefault="009360C9" w:rsidP="00155C96">
            <w:pPr>
              <w:spacing w:after="120"/>
              <w:jc w:val="both"/>
              <w:rPr>
                <w:rFonts w:ascii="Times New Roman" w:hAnsi="Times New Roman" w:cs="Times New Roman"/>
                <w:b/>
                <w:sz w:val="24"/>
              </w:rPr>
            </w:pPr>
            <w:r w:rsidRPr="00A3389E">
              <w:rPr>
                <w:rFonts w:ascii="Times New Roman" w:hAnsi="Times New Roman" w:cs="Times New Roman"/>
                <w:b/>
                <w:sz w:val="24"/>
              </w:rPr>
              <w:t>Celková hodnota</w:t>
            </w:r>
            <w:r w:rsidRPr="00A3389E">
              <w:rPr>
                <w:rFonts w:ascii="Times New Roman" w:hAnsi="Times New Roman" w:cs="Times New Roman"/>
                <w:b/>
              </w:rPr>
              <w:t xml:space="preserve"> </w:t>
            </w:r>
            <w:r w:rsidRPr="00A3389E">
              <w:rPr>
                <w:rFonts w:ascii="Times New Roman" w:hAnsi="Times New Roman" w:cs="Times New Roman"/>
                <w:b/>
                <w:sz w:val="24"/>
              </w:rPr>
              <w:t>úpravy počas účtovného roka</w:t>
            </w:r>
            <w:r w:rsidR="00A3389E">
              <w:rPr>
                <w:rFonts w:ascii="Times New Roman" w:hAnsi="Times New Roman" w:cs="Times New Roman"/>
                <w:b/>
                <w:sz w:val="24"/>
              </w:rPr>
              <w:t xml:space="preserve"> v </w:t>
            </w:r>
            <w:r w:rsidRPr="00A3389E">
              <w:rPr>
                <w:rFonts w:ascii="Times New Roman" w:hAnsi="Times New Roman" w:cs="Times New Roman"/>
                <w:b/>
                <w:sz w:val="24"/>
              </w:rPr>
              <w:t xml:space="preserve">dôsledku implicitných úprav </w:t>
            </w:r>
            <w:r w:rsidRPr="00A3389E">
              <w:rPr>
                <w:rFonts w:ascii="Times New Roman" w:hAnsi="Times New Roman" w:cs="Times New Roman"/>
                <w:b/>
                <w:i/>
                <w:sz w:val="24"/>
              </w:rPr>
              <w:t>ex post</w:t>
            </w:r>
            <w:r w:rsidRPr="00A3389E">
              <w:rPr>
                <w:rFonts w:ascii="Times New Roman" w:hAnsi="Times New Roman" w:cs="Times New Roman"/>
                <w:b/>
                <w:sz w:val="24"/>
              </w:rPr>
              <w:t xml:space="preserve"> počas účtovného roka (t. j. zmeny hodnoty odloženého odmeňovania</w:t>
            </w:r>
            <w:r w:rsidR="00A3389E">
              <w:rPr>
                <w:rFonts w:ascii="Times New Roman" w:hAnsi="Times New Roman" w:cs="Times New Roman"/>
                <w:b/>
                <w:sz w:val="24"/>
              </w:rPr>
              <w:t xml:space="preserve"> v </w:t>
            </w:r>
            <w:r w:rsidRPr="00A3389E">
              <w:rPr>
                <w:rFonts w:ascii="Times New Roman" w:hAnsi="Times New Roman" w:cs="Times New Roman"/>
                <w:b/>
                <w:sz w:val="24"/>
              </w:rPr>
              <w:t>dôsledku zmien cien nástrojov)</w:t>
            </w:r>
          </w:p>
          <w:p w14:paraId="623380BC" w14:textId="1C7EED07" w:rsidR="009360C9" w:rsidRPr="00A3389E" w:rsidRDefault="009360C9" w:rsidP="00155C96">
            <w:pPr>
              <w:spacing w:after="120"/>
              <w:jc w:val="both"/>
              <w:rPr>
                <w:rFonts w:ascii="Times New Roman" w:hAnsi="Times New Roman" w:cs="Times New Roman"/>
                <w:sz w:val="24"/>
              </w:rPr>
            </w:pPr>
            <w:r w:rsidRPr="00A3389E">
              <w:rPr>
                <w:rFonts w:ascii="Times New Roman" w:hAnsi="Times New Roman" w:cs="Times New Roman"/>
                <w:sz w:val="24"/>
              </w:rPr>
              <w:t>Ak je to relevantné, výška zmeny hodnoty počas účtovného roka</w:t>
            </w:r>
            <w:r w:rsidR="00A3389E">
              <w:rPr>
                <w:rFonts w:ascii="Times New Roman" w:hAnsi="Times New Roman" w:cs="Times New Roman"/>
                <w:sz w:val="24"/>
              </w:rPr>
              <w:t xml:space="preserve"> v </w:t>
            </w:r>
            <w:r w:rsidRPr="00A3389E">
              <w:rPr>
                <w:rFonts w:ascii="Times New Roman" w:hAnsi="Times New Roman" w:cs="Times New Roman"/>
                <w:sz w:val="24"/>
              </w:rPr>
              <w:t xml:space="preserve">dôsledku implicitných úprav </w:t>
            </w:r>
            <w:r w:rsidRPr="00A3389E">
              <w:rPr>
                <w:rFonts w:ascii="Times New Roman" w:hAnsi="Times New Roman" w:cs="Times New Roman"/>
                <w:i/>
                <w:sz w:val="24"/>
              </w:rPr>
              <w:t>ex post</w:t>
            </w:r>
            <w:r w:rsidRPr="00A3389E">
              <w:rPr>
                <w:rFonts w:ascii="Times New Roman" w:hAnsi="Times New Roman" w:cs="Times New Roman"/>
                <w:sz w:val="24"/>
              </w:rPr>
              <w:t>, ako sú zmeny hodnoty odloženého odmeňovania</w:t>
            </w:r>
            <w:r w:rsidR="00A3389E">
              <w:rPr>
                <w:rFonts w:ascii="Times New Roman" w:hAnsi="Times New Roman" w:cs="Times New Roman"/>
                <w:sz w:val="24"/>
              </w:rPr>
              <w:t xml:space="preserve"> v </w:t>
            </w:r>
            <w:r w:rsidRPr="00A3389E">
              <w:rPr>
                <w:rFonts w:ascii="Times New Roman" w:hAnsi="Times New Roman" w:cs="Times New Roman"/>
                <w:sz w:val="24"/>
              </w:rPr>
              <w:t xml:space="preserve">dôsledku zmien cien nástrojov, odhadnutá podľa zásady najväčšieho úsilia. </w:t>
            </w:r>
          </w:p>
        </w:tc>
      </w:tr>
      <w:tr w:rsidR="009360C9" w:rsidRPr="00A3389E"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A3389E" w:rsidRDefault="009360C9" w:rsidP="006D005E">
            <w:pPr>
              <w:pStyle w:val="Applicationdirecte"/>
              <w:spacing w:before="0" w:after="0"/>
              <w:jc w:val="center"/>
            </w:pPr>
            <w:r w:rsidRPr="00A3389E">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5EEF6A45" w:rsidR="009360C9" w:rsidRPr="00A3389E" w:rsidRDefault="009360C9" w:rsidP="00155C96">
            <w:pPr>
              <w:spacing w:after="120"/>
              <w:jc w:val="both"/>
              <w:rPr>
                <w:rFonts w:ascii="Times New Roman" w:hAnsi="Times New Roman" w:cs="Times New Roman"/>
                <w:b/>
                <w:sz w:val="24"/>
              </w:rPr>
            </w:pPr>
            <w:r w:rsidRPr="00A3389E">
              <w:rPr>
                <w:rFonts w:ascii="Times New Roman" w:hAnsi="Times New Roman" w:cs="Times New Roman"/>
                <w:b/>
                <w:sz w:val="24"/>
              </w:rPr>
              <w:t>Celková hodnota odloženého odmeňovania priznaného pred účtovným rokom</w:t>
            </w:r>
            <w:r w:rsidR="00A3389E">
              <w:rPr>
                <w:rFonts w:ascii="Times New Roman" w:hAnsi="Times New Roman" w:cs="Times New Roman"/>
                <w:b/>
                <w:sz w:val="24"/>
              </w:rPr>
              <w:t xml:space="preserve"> a </w:t>
            </w:r>
            <w:r w:rsidRPr="00A3389E">
              <w:rPr>
                <w:rFonts w:ascii="Times New Roman" w:hAnsi="Times New Roman" w:cs="Times New Roman"/>
                <w:b/>
                <w:sz w:val="24"/>
              </w:rPr>
              <w:t>skutočne vyplateného</w:t>
            </w:r>
            <w:r w:rsidR="00A3389E">
              <w:rPr>
                <w:rFonts w:ascii="Times New Roman" w:hAnsi="Times New Roman" w:cs="Times New Roman"/>
                <w:b/>
                <w:sz w:val="24"/>
              </w:rPr>
              <w:t xml:space="preserve"> v </w:t>
            </w:r>
            <w:r w:rsidRPr="00A3389E">
              <w:rPr>
                <w:rFonts w:ascii="Times New Roman" w:hAnsi="Times New Roman" w:cs="Times New Roman"/>
                <w:b/>
                <w:sz w:val="24"/>
              </w:rPr>
              <w:t>účtovnom roku</w:t>
            </w:r>
          </w:p>
          <w:p w14:paraId="42BA8D9A" w14:textId="1FFA95B2" w:rsidR="009360C9" w:rsidRPr="00A3389E" w:rsidRDefault="009360C9" w:rsidP="00155C96">
            <w:pPr>
              <w:spacing w:after="120"/>
              <w:jc w:val="both"/>
              <w:rPr>
                <w:rFonts w:ascii="Times New Roman" w:hAnsi="Times New Roman" w:cs="Times New Roman"/>
                <w:sz w:val="24"/>
              </w:rPr>
            </w:pPr>
            <w:r w:rsidRPr="00A3389E">
              <w:rPr>
                <w:rFonts w:ascii="Times New Roman" w:hAnsi="Times New Roman" w:cs="Times New Roman"/>
                <w:sz w:val="24"/>
              </w:rPr>
              <w:t>Hodnota odloženého odmeňovania, ako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CRD, ktoré bolo vyplatené</w:t>
            </w:r>
            <w:r w:rsidR="00A3389E">
              <w:rPr>
                <w:rFonts w:ascii="Times New Roman" w:hAnsi="Times New Roman" w:cs="Times New Roman"/>
                <w:sz w:val="24"/>
              </w:rPr>
              <w:t xml:space="preserve"> v </w:t>
            </w:r>
            <w:r w:rsidRPr="00A3389E">
              <w:rPr>
                <w:rFonts w:ascii="Times New Roman" w:hAnsi="Times New Roman" w:cs="Times New Roman"/>
                <w:sz w:val="24"/>
              </w:rPr>
              <w:t>účtovnom roku.</w:t>
            </w:r>
          </w:p>
          <w:p w14:paraId="09D72464" w14:textId="77777777" w:rsidR="009360C9" w:rsidRPr="00A3389E" w:rsidRDefault="009360C9" w:rsidP="00155C96">
            <w:pPr>
              <w:spacing w:after="120"/>
              <w:jc w:val="both"/>
              <w:rPr>
                <w:rFonts w:ascii="Times New Roman" w:hAnsi="Times New Roman" w:cs="Times New Roman"/>
                <w:sz w:val="24"/>
              </w:rPr>
            </w:pPr>
            <w:r w:rsidRPr="00A3389E">
              <w:rPr>
                <w:rFonts w:ascii="Times New Roman" w:hAnsi="Times New Roman" w:cs="Times New Roman"/>
                <w:sz w:val="24"/>
              </w:rPr>
              <w:t>Odložené odmeňovanie sa považuje za vyplatené hneď, ako naň vznikne nárok.</w:t>
            </w:r>
          </w:p>
        </w:tc>
      </w:tr>
      <w:tr w:rsidR="009360C9" w:rsidRPr="00A3389E"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A3389E" w:rsidRDefault="009360C9" w:rsidP="006D005E">
            <w:pPr>
              <w:pStyle w:val="Applicationdirecte"/>
              <w:spacing w:before="0" w:after="0"/>
              <w:jc w:val="center"/>
            </w:pPr>
            <w:r w:rsidRPr="00A3389E">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A3389E" w:rsidRDefault="009360C9" w:rsidP="00155C96">
            <w:pPr>
              <w:spacing w:after="120"/>
              <w:jc w:val="both"/>
              <w:rPr>
                <w:rFonts w:ascii="Times New Roman" w:hAnsi="Times New Roman" w:cs="Times New Roman"/>
                <w:b/>
                <w:sz w:val="24"/>
              </w:rPr>
            </w:pPr>
            <w:r w:rsidRPr="00A3389E">
              <w:rPr>
                <w:rFonts w:ascii="Times New Roman" w:hAnsi="Times New Roman" w:cs="Times New Roman"/>
                <w:b/>
                <w:sz w:val="24"/>
              </w:rPr>
              <w:t>Celková hodnota odloženého odmeňovania priznaného za predchádzajúce obdobie dosahovania výsledkov, na ktoré vznikol nárok, ale na ktoré sa vzťahujú obdobia zadržania</w:t>
            </w:r>
          </w:p>
          <w:p w14:paraId="7B1AEBFC" w14:textId="1942FE07" w:rsidR="009360C9" w:rsidRPr="00A3389E" w:rsidRDefault="009360C9" w:rsidP="00155C96">
            <w:pPr>
              <w:spacing w:after="120"/>
              <w:jc w:val="both"/>
              <w:rPr>
                <w:rFonts w:ascii="Times New Roman" w:hAnsi="Times New Roman" w:cs="Times New Roman"/>
                <w:sz w:val="24"/>
              </w:rPr>
            </w:pPr>
            <w:r w:rsidRPr="00A3389E">
              <w:rPr>
                <w:rFonts w:ascii="Times New Roman" w:hAnsi="Times New Roman" w:cs="Times New Roman"/>
                <w:sz w:val="24"/>
              </w:rPr>
              <w:t>Hodnota odloženého odmeňovania priznaného za predchádzajúce obdobia dosahovania výsledkov, na ktoré vznikol nárok, ale na ktoré sa vzťahujú obdobia zadržania, ako sa určuje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článkom 94 CRD.</w:t>
            </w:r>
          </w:p>
        </w:tc>
      </w:tr>
    </w:tbl>
    <w:p w14:paraId="612E1D14" w14:textId="77777777" w:rsidR="009360C9" w:rsidRPr="00A3389E" w:rsidRDefault="009360C9" w:rsidP="009360C9">
      <w:pPr>
        <w:rPr>
          <w:rFonts w:ascii="Times New Roman" w:hAnsi="Times New Roman" w:cs="Times New Roman"/>
          <w:sz w:val="24"/>
        </w:rPr>
      </w:pPr>
    </w:p>
    <w:p w14:paraId="411E8519" w14:textId="2E68567C" w:rsidR="009360C9" w:rsidRPr="00A3389E" w:rsidRDefault="00D95507" w:rsidP="009360C9">
      <w:pPr>
        <w:pStyle w:val="Titlelevel2"/>
        <w:spacing w:before="120" w:after="120"/>
        <w:rPr>
          <w:rFonts w:ascii="Times New Roman" w:hAnsi="Times New Roman" w:cs="Times New Roman"/>
          <w:color w:val="auto"/>
          <w:sz w:val="24"/>
        </w:rPr>
      </w:pPr>
      <w:r w:rsidRPr="00A3389E">
        <w:rPr>
          <w:rFonts w:ascii="Times New Roman" w:hAnsi="Times New Roman" w:cs="Times New Roman"/>
          <w:b/>
          <w:color w:val="auto"/>
          <w:sz w:val="24"/>
        </w:rPr>
        <w:t xml:space="preserve">Vzor EU REM4 – Odmena vo výške 1 milión EUR alebo viac za rok: </w:t>
      </w:r>
      <w:r w:rsidRPr="00A3389E">
        <w:rPr>
          <w:rFonts w:ascii="Times New Roman" w:hAnsi="Times New Roman" w:cs="Times New Roman"/>
          <w:color w:val="auto"/>
          <w:sz w:val="24"/>
        </w:rPr>
        <w:t>Pevný formát</w:t>
      </w:r>
    </w:p>
    <w:p w14:paraId="4AE4DB16" w14:textId="3B3BE241" w:rsidR="009360C9" w:rsidRPr="00A3389E" w:rsidRDefault="00A3389E" w:rsidP="00A3389E">
      <w:pPr>
        <w:pStyle w:val="Titlelevel2"/>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7.</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Inštitúcie zverejňujú informácie uvedené</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článku 450 ods. 1 písm. i) CRR podľa pokynov uvedených nižšie</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tejto prílohe</w:t>
      </w:r>
      <w:r>
        <w:rPr>
          <w:rFonts w:ascii="Times New Roman" w:hAnsi="Times New Roman" w:cs="Times New Roman"/>
          <w:bCs w:val="0"/>
          <w:color w:val="auto"/>
          <w:sz w:val="24"/>
        </w:rPr>
        <w:t xml:space="preserve"> s </w:t>
      </w:r>
      <w:r w:rsidR="009360C9" w:rsidRPr="00A3389E">
        <w:rPr>
          <w:rFonts w:ascii="Times New Roman" w:hAnsi="Times New Roman" w:cs="Times New Roman"/>
          <w:bCs w:val="0"/>
          <w:color w:val="auto"/>
          <w:sz w:val="24"/>
        </w:rPr>
        <w:t>cieľom vyplniť vzor EU REM4, ktorý je uvedený</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prílohe XXXIII</w:t>
      </w:r>
      <w:r>
        <w:rPr>
          <w:rFonts w:ascii="Times New Roman" w:hAnsi="Times New Roman" w:cs="Times New Roman"/>
          <w:bCs w:val="0"/>
          <w:color w:val="auto"/>
          <w:sz w:val="24"/>
        </w:rPr>
        <w:t xml:space="preserve"> k </w:t>
      </w:r>
      <w:r w:rsidR="009360C9" w:rsidRPr="00A3389E">
        <w:rPr>
          <w:rFonts w:ascii="Times New Roman" w:hAnsi="Times New Roman" w:cs="Times New Roman"/>
          <w:bCs w:val="0"/>
          <w:color w:val="auto"/>
          <w:sz w:val="24"/>
        </w:rPr>
        <w:t>tomuto vykonávaciemu nariadeniu.</w:t>
      </w:r>
    </w:p>
    <w:p w14:paraId="48B5AE03" w14:textId="491170C0" w:rsidR="009360C9" w:rsidRPr="00A3389E" w:rsidRDefault="00A3389E" w:rsidP="00A3389E">
      <w:pPr>
        <w:pStyle w:val="Titlelevel2"/>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8.</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Údaje sa predkladajú</w:t>
      </w:r>
      <w:r>
        <w:rPr>
          <w:rFonts w:ascii="Times New Roman" w:hAnsi="Times New Roman" w:cs="Times New Roman"/>
          <w:bCs w:val="0"/>
          <w:color w:val="auto"/>
          <w:sz w:val="24"/>
        </w:rPr>
        <w:t xml:space="preserve"> s </w:t>
      </w:r>
      <w:r w:rsidR="009360C9" w:rsidRPr="00A3389E">
        <w:rPr>
          <w:rFonts w:ascii="Times New Roman" w:hAnsi="Times New Roman" w:cs="Times New Roman"/>
          <w:bCs w:val="0"/>
          <w:color w:val="auto"/>
          <w:sz w:val="24"/>
        </w:rPr>
        <w:t>použitím údajov ku koncu účtovného roka</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EUR. Všetky hodnoty sa zverejňujú ako úplné hodnoty, t. j. nezaokrúhlené hodnoty,</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eurách (napr. 1 234 567 EUR namiesto 1,2 milióna EUR). Ak je odmena</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inej mene než EUR, na prepočet konsolidovaných údajov, ktoré sa majú zverejniť, sa používa výmenný kurz použitý Komisiou na finančné plánovanie</w:t>
      </w:r>
      <w:r>
        <w:rPr>
          <w:rFonts w:ascii="Times New Roman" w:hAnsi="Times New Roman" w:cs="Times New Roman"/>
          <w:bCs w:val="0"/>
          <w:color w:val="auto"/>
          <w:sz w:val="24"/>
        </w:rPr>
        <w:t xml:space="preserve"> a </w:t>
      </w:r>
      <w:r w:rsidR="009360C9" w:rsidRPr="00A3389E">
        <w:rPr>
          <w:rFonts w:ascii="Times New Roman" w:hAnsi="Times New Roman" w:cs="Times New Roman"/>
          <w:bCs w:val="0"/>
          <w:color w:val="auto"/>
          <w:sz w:val="24"/>
        </w:rPr>
        <w:t>rozpočet na december roku vykazovania.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A3389E"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3F85423" w:rsidR="009360C9" w:rsidRPr="00A3389E" w:rsidRDefault="009360C9"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9360C9" w:rsidRPr="00A3389E" w14:paraId="3C5CB55D" w14:textId="77777777" w:rsidTr="00155C96">
        <w:trPr>
          <w:trHeight w:val="238"/>
        </w:trPr>
        <w:tc>
          <w:tcPr>
            <w:tcW w:w="1384" w:type="dxa"/>
            <w:shd w:val="clear" w:color="auto" w:fill="D9D9D9" w:themeFill="background1" w:themeFillShade="D9"/>
          </w:tcPr>
          <w:p w14:paraId="126EA976" w14:textId="77777777" w:rsidR="009360C9" w:rsidRPr="00A3389E" w:rsidRDefault="009360C9"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3A67D4D5" w14:textId="77777777" w:rsidR="009360C9" w:rsidRPr="00A3389E" w:rsidRDefault="009360C9"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9360C9" w:rsidRPr="00A3389E"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lastRenderedPageBreak/>
              <w:t>1 až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231F0927"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Odmena od 1 do 5 miliónov EUR za účtovný rok</w:t>
            </w:r>
            <w:r w:rsidR="00A3389E">
              <w:rPr>
                <w:rFonts w:ascii="Times New Roman" w:hAnsi="Times New Roman" w:cs="Times New Roman"/>
                <w:sz w:val="24"/>
              </w:rPr>
              <w:t xml:space="preserve"> v </w:t>
            </w:r>
            <w:r w:rsidRPr="00A3389E">
              <w:rPr>
                <w:rFonts w:ascii="Times New Roman" w:hAnsi="Times New Roman" w:cs="Times New Roman"/>
                <w:sz w:val="24"/>
              </w:rPr>
              <w:t>rozčlenení na pásma po 500 000 EUR.</w:t>
            </w:r>
          </w:p>
        </w:tc>
      </w:tr>
      <w:tr w:rsidR="009360C9" w:rsidRPr="00A3389E"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9 až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6775855E" w:rsidR="009360C9" w:rsidRPr="00A3389E" w:rsidRDefault="009360C9" w:rsidP="00155C96">
            <w:pPr>
              <w:autoSpaceDE w:val="0"/>
              <w:autoSpaceDN w:val="0"/>
              <w:adjustRightInd w:val="0"/>
              <w:spacing w:after="120"/>
              <w:rPr>
                <w:rFonts w:ascii="Times New Roman" w:hAnsi="Times New Roman" w:cs="Times New Roman"/>
                <w:sz w:val="24"/>
              </w:rPr>
            </w:pPr>
            <w:r w:rsidRPr="00A3389E">
              <w:rPr>
                <w:rFonts w:ascii="Times New Roman" w:hAnsi="Times New Roman" w:cs="Times New Roman"/>
                <w:sz w:val="24"/>
              </w:rPr>
              <w:t>Odmena vyššia ako 5 miliónov EUR za účtovný rok</w:t>
            </w:r>
            <w:r w:rsidR="00A3389E">
              <w:rPr>
                <w:rFonts w:ascii="Times New Roman" w:hAnsi="Times New Roman" w:cs="Times New Roman"/>
                <w:sz w:val="24"/>
              </w:rPr>
              <w:t xml:space="preserve"> v </w:t>
            </w:r>
            <w:r w:rsidRPr="00A3389E">
              <w:rPr>
                <w:rFonts w:ascii="Times New Roman" w:hAnsi="Times New Roman" w:cs="Times New Roman"/>
                <w:sz w:val="24"/>
              </w:rPr>
              <w:t>rozčlenení na pásma po 1 milióne EUR.</w:t>
            </w:r>
          </w:p>
        </w:tc>
      </w:tr>
      <w:tr w:rsidR="009360C9" w:rsidRPr="00A3389E"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A3389E" w:rsidRDefault="009360C9" w:rsidP="006D005E">
            <w:pPr>
              <w:pStyle w:val="Applicationdirecte"/>
              <w:spacing w:before="0"/>
              <w:jc w:val="center"/>
              <w:rPr>
                <w:b/>
              </w:rPr>
            </w:pPr>
            <w:r w:rsidRPr="00A3389E">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A3389E" w:rsidRDefault="009360C9" w:rsidP="00155C96">
            <w:pPr>
              <w:pStyle w:val="TableMainHeading"/>
              <w:spacing w:before="60"/>
              <w:rPr>
                <w:rFonts w:ascii="Times New Roman" w:hAnsi="Times New Roman"/>
                <w:b/>
                <w:sz w:val="24"/>
                <w:szCs w:val="24"/>
              </w:rPr>
            </w:pPr>
            <w:r w:rsidRPr="00A3389E">
              <w:rPr>
                <w:rFonts w:ascii="Times New Roman" w:hAnsi="Times New Roman"/>
                <w:b/>
                <w:sz w:val="24"/>
                <w:szCs w:val="24"/>
              </w:rPr>
              <w:t>Vysvetlenie</w:t>
            </w:r>
          </w:p>
        </w:tc>
      </w:tr>
      <w:tr w:rsidR="009360C9" w:rsidRPr="00A3389E"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A3389E" w:rsidRDefault="009360C9" w:rsidP="006D005E">
            <w:pPr>
              <w:autoSpaceDE w:val="0"/>
              <w:autoSpaceDN w:val="0"/>
              <w:adjustRightInd w:val="0"/>
              <w:jc w:val="center"/>
              <w:rPr>
                <w:rFonts w:ascii="Times New Roman" w:hAnsi="Times New Roman" w:cs="Times New Roman"/>
                <w:sz w:val="24"/>
              </w:rPr>
            </w:pPr>
            <w:r w:rsidRPr="00A3389E">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Počet určených zamestnancov, ktorí dostali odmenu vo výške 1 milión EUR alebo viac za účtovný rok.</w:t>
            </w:r>
          </w:p>
          <w:p w14:paraId="735DB200" w14:textId="77777777"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informácie na základe počtu zamestnancov.</w:t>
            </w:r>
          </w:p>
        </w:tc>
      </w:tr>
    </w:tbl>
    <w:p w14:paraId="68D74085" w14:textId="77777777" w:rsidR="009360C9" w:rsidRPr="00A3389E" w:rsidRDefault="009360C9" w:rsidP="009360C9">
      <w:pPr>
        <w:rPr>
          <w:rFonts w:ascii="Times New Roman" w:hAnsi="Times New Roman" w:cs="Times New Roman"/>
          <w:sz w:val="24"/>
        </w:rPr>
      </w:pPr>
    </w:p>
    <w:p w14:paraId="24D3144C" w14:textId="1A74D45D" w:rsidR="009360C9" w:rsidRPr="00A3389E" w:rsidRDefault="00D95507" w:rsidP="009360C9">
      <w:pPr>
        <w:pStyle w:val="Titlelevel2"/>
        <w:spacing w:before="120" w:after="120"/>
        <w:rPr>
          <w:rFonts w:ascii="Times New Roman" w:hAnsi="Times New Roman" w:cs="Times New Roman"/>
          <w:color w:val="auto"/>
          <w:sz w:val="24"/>
        </w:rPr>
      </w:pPr>
      <w:r w:rsidRPr="00A3389E">
        <w:rPr>
          <w:rFonts w:ascii="Times New Roman" w:hAnsi="Times New Roman" w:cs="Times New Roman"/>
          <w:b/>
          <w:color w:val="auto"/>
          <w:sz w:val="24"/>
        </w:rPr>
        <w:t xml:space="preserve">Vzor EU REM5 – Informácie týkajúce sa zamestnancov, ktorých pracovné činnosti majú významný vplyv na rizikový profil inštitúcií (určení zamestnanci): </w:t>
      </w:r>
      <w:r w:rsidRPr="00A3389E">
        <w:rPr>
          <w:rFonts w:ascii="Times New Roman" w:hAnsi="Times New Roman" w:cs="Times New Roman"/>
          <w:color w:val="auto"/>
          <w:sz w:val="24"/>
        </w:rPr>
        <w:t>Pevný formát</w:t>
      </w:r>
    </w:p>
    <w:p w14:paraId="50BE6340" w14:textId="717EEA86" w:rsidR="009360C9" w:rsidRPr="00A3389E" w:rsidRDefault="00A3389E" w:rsidP="00A3389E">
      <w:pPr>
        <w:pStyle w:val="Titlelevel2"/>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9.</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Inštitúcie zverejňujú informácie uvedené</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článku 450 ods. 1 písm. g) CRR podľa pokynov uvedených nižšie</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tejto prílohe</w:t>
      </w:r>
      <w:r>
        <w:rPr>
          <w:rFonts w:ascii="Times New Roman" w:hAnsi="Times New Roman" w:cs="Times New Roman"/>
          <w:bCs w:val="0"/>
          <w:color w:val="auto"/>
          <w:sz w:val="24"/>
        </w:rPr>
        <w:t xml:space="preserve"> s </w:t>
      </w:r>
      <w:r w:rsidR="009360C9" w:rsidRPr="00A3389E">
        <w:rPr>
          <w:rFonts w:ascii="Times New Roman" w:hAnsi="Times New Roman" w:cs="Times New Roman"/>
          <w:bCs w:val="0"/>
          <w:color w:val="auto"/>
          <w:sz w:val="24"/>
        </w:rPr>
        <w:t>cieľom vyplniť vzor EU REM5, ktorý je uvedený</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prílohe XXXIII</w:t>
      </w:r>
      <w:r>
        <w:rPr>
          <w:rFonts w:ascii="Times New Roman" w:hAnsi="Times New Roman" w:cs="Times New Roman"/>
          <w:bCs w:val="0"/>
          <w:color w:val="auto"/>
          <w:sz w:val="24"/>
        </w:rPr>
        <w:t xml:space="preserve"> k </w:t>
      </w:r>
      <w:r w:rsidR="009360C9" w:rsidRPr="00A3389E">
        <w:rPr>
          <w:rFonts w:ascii="Times New Roman" w:hAnsi="Times New Roman" w:cs="Times New Roman"/>
          <w:bCs w:val="0"/>
          <w:color w:val="auto"/>
          <w:sz w:val="24"/>
        </w:rPr>
        <w:t>tomuto vykonávaciemu nariadeniu.</w:t>
      </w:r>
    </w:p>
    <w:p w14:paraId="32F27E92" w14:textId="6C49FF5E" w:rsidR="009360C9" w:rsidRPr="00A3389E" w:rsidRDefault="00A3389E" w:rsidP="00A3389E">
      <w:pPr>
        <w:pStyle w:val="Titlelevel2"/>
        <w:spacing w:before="120" w:after="120"/>
        <w:ind w:left="720" w:hanging="360"/>
        <w:jc w:val="both"/>
        <w:rPr>
          <w:rFonts w:ascii="Times New Roman" w:eastAsiaTheme="minorEastAsia" w:hAnsi="Times New Roman" w:cs="Times New Roman"/>
          <w:bCs w:val="0"/>
          <w:color w:val="auto"/>
          <w:sz w:val="24"/>
        </w:rPr>
      </w:pPr>
      <w:r w:rsidRPr="00A3389E">
        <w:rPr>
          <w:rFonts w:ascii="Times New Roman" w:eastAsiaTheme="minorEastAsia" w:hAnsi="Times New Roman" w:cs="Times New Roman"/>
          <w:bCs w:val="0"/>
          <w:color w:val="auto"/>
          <w:sz w:val="24"/>
        </w:rPr>
        <w:t>10.</w:t>
      </w:r>
      <w:r w:rsidRPr="00A3389E">
        <w:rPr>
          <w:rFonts w:ascii="Times New Roman" w:eastAsiaTheme="minorEastAsia" w:hAnsi="Times New Roman" w:cs="Times New Roman"/>
          <w:bCs w:val="0"/>
          <w:color w:val="auto"/>
          <w:sz w:val="24"/>
        </w:rPr>
        <w:tab/>
      </w:r>
      <w:r w:rsidR="009360C9" w:rsidRPr="00A3389E">
        <w:rPr>
          <w:rFonts w:ascii="Times New Roman" w:hAnsi="Times New Roman" w:cs="Times New Roman"/>
          <w:bCs w:val="0"/>
          <w:color w:val="auto"/>
          <w:sz w:val="24"/>
        </w:rPr>
        <w:t>Pokiaľ ide</w:t>
      </w:r>
      <w:r>
        <w:rPr>
          <w:rFonts w:ascii="Times New Roman" w:hAnsi="Times New Roman" w:cs="Times New Roman"/>
          <w:bCs w:val="0"/>
          <w:color w:val="auto"/>
          <w:sz w:val="24"/>
        </w:rPr>
        <w:t xml:space="preserve"> o </w:t>
      </w:r>
      <w:r w:rsidR="009360C9" w:rsidRPr="00A3389E">
        <w:rPr>
          <w:rFonts w:ascii="Times New Roman" w:hAnsi="Times New Roman" w:cs="Times New Roman"/>
          <w:bCs w:val="0"/>
          <w:color w:val="auto"/>
          <w:sz w:val="24"/>
        </w:rPr>
        <w:t>stĺpce</w:t>
      </w:r>
      <w:r>
        <w:rPr>
          <w:rFonts w:ascii="Times New Roman" w:hAnsi="Times New Roman" w:cs="Times New Roman"/>
          <w:bCs w:val="0"/>
          <w:color w:val="auto"/>
          <w:sz w:val="24"/>
        </w:rPr>
        <w:t xml:space="preserve"> s </w:t>
      </w:r>
      <w:r w:rsidR="009360C9" w:rsidRPr="00A3389E">
        <w:rPr>
          <w:rFonts w:ascii="Times New Roman" w:hAnsi="Times New Roman" w:cs="Times New Roman"/>
          <w:bCs w:val="0"/>
          <w:color w:val="auto"/>
          <w:sz w:val="24"/>
        </w:rPr>
        <w:t>rozčlenením podľa obchodných oblastí, všetky úvery vrátane úverov na veľkoobchodnej úrovni sa zahŕňajú do retailových úverov.</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prípade investičného bankovníctva to zahŕňa podnikové financie</w:t>
      </w:r>
      <w:r>
        <w:rPr>
          <w:rFonts w:ascii="Times New Roman" w:hAnsi="Times New Roman" w:cs="Times New Roman"/>
          <w:bCs w:val="0"/>
          <w:color w:val="auto"/>
          <w:sz w:val="24"/>
        </w:rPr>
        <w:t xml:space="preserve"> a </w:t>
      </w:r>
      <w:r w:rsidR="009360C9" w:rsidRPr="00A3389E">
        <w:rPr>
          <w:rFonts w:ascii="Times New Roman" w:hAnsi="Times New Roman" w:cs="Times New Roman"/>
          <w:bCs w:val="0"/>
          <w:color w:val="auto"/>
          <w:sz w:val="24"/>
        </w:rPr>
        <w:t>obchodovanie</w:t>
      </w:r>
      <w:r>
        <w:rPr>
          <w:rFonts w:ascii="Times New Roman" w:hAnsi="Times New Roman" w:cs="Times New Roman"/>
          <w:bCs w:val="0"/>
          <w:color w:val="auto"/>
          <w:sz w:val="24"/>
        </w:rPr>
        <w:t xml:space="preserve"> a </w:t>
      </w:r>
      <w:r w:rsidR="009360C9" w:rsidRPr="00A3389E">
        <w:rPr>
          <w:rFonts w:ascii="Times New Roman" w:hAnsi="Times New Roman" w:cs="Times New Roman"/>
          <w:bCs w:val="0"/>
          <w:color w:val="auto"/>
          <w:sz w:val="24"/>
        </w:rPr>
        <w:t>predaj. Ďalšie usmernenie</w:t>
      </w:r>
      <w:r>
        <w:rPr>
          <w:rFonts w:ascii="Times New Roman" w:hAnsi="Times New Roman" w:cs="Times New Roman"/>
          <w:bCs w:val="0"/>
          <w:color w:val="auto"/>
          <w:sz w:val="24"/>
        </w:rPr>
        <w:t xml:space="preserve"> k </w:t>
      </w:r>
      <w:r w:rsidR="009360C9" w:rsidRPr="00A3389E">
        <w:rPr>
          <w:rFonts w:ascii="Times New Roman" w:hAnsi="Times New Roman" w:cs="Times New Roman"/>
          <w:bCs w:val="0"/>
          <w:color w:val="auto"/>
          <w:sz w:val="24"/>
        </w:rPr>
        <w:t>činnostiam obsiahnutým</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týchto obchodných líniách možno nájsť</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článku 317 CRR</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tabuľke,</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ktorej sa vymedzujú obchodné línie</w:t>
      </w:r>
      <w:r>
        <w:rPr>
          <w:rFonts w:ascii="Times New Roman" w:hAnsi="Times New Roman" w:cs="Times New Roman"/>
          <w:bCs w:val="0"/>
          <w:color w:val="auto"/>
          <w:sz w:val="24"/>
        </w:rPr>
        <w:t xml:space="preserve"> v </w:t>
      </w:r>
      <w:r w:rsidR="009360C9" w:rsidRPr="00A3389E">
        <w:rPr>
          <w:rFonts w:ascii="Times New Roman" w:hAnsi="Times New Roman" w:cs="Times New Roman"/>
          <w:bCs w:val="0"/>
          <w:color w:val="auto"/>
          <w:sz w:val="24"/>
        </w:rPr>
        <w:t>rámci štandardizovaného prístupu pre operačné riziko.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A3389E"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5FA5F97B" w:rsidR="009360C9" w:rsidRPr="00A3389E" w:rsidRDefault="009360C9" w:rsidP="00155C96">
            <w:pPr>
              <w:rPr>
                <w:rFonts w:ascii="Times New Roman" w:hAnsi="Times New Roman" w:cs="Times New Roman"/>
                <w:b/>
                <w:sz w:val="24"/>
              </w:rPr>
            </w:pPr>
            <w:r w:rsidRPr="00A3389E">
              <w:rPr>
                <w:rFonts w:ascii="Times New Roman" w:hAnsi="Times New Roman" w:cs="Times New Roman"/>
                <w:b/>
                <w:sz w:val="24"/>
              </w:rPr>
              <w:t>Odkazy na právne predpisy</w:t>
            </w:r>
            <w:r w:rsidR="00A3389E">
              <w:rPr>
                <w:rFonts w:ascii="Times New Roman" w:hAnsi="Times New Roman" w:cs="Times New Roman"/>
                <w:b/>
                <w:sz w:val="24"/>
              </w:rPr>
              <w:t xml:space="preserve"> a </w:t>
            </w:r>
            <w:r w:rsidRPr="00A3389E">
              <w:rPr>
                <w:rFonts w:ascii="Times New Roman" w:hAnsi="Times New Roman" w:cs="Times New Roman"/>
                <w:b/>
                <w:sz w:val="24"/>
              </w:rPr>
              <w:t>pokyny</w:t>
            </w:r>
          </w:p>
        </w:tc>
      </w:tr>
      <w:tr w:rsidR="009360C9" w:rsidRPr="00A3389E" w14:paraId="7AAF9E4D" w14:textId="77777777" w:rsidTr="00155C96">
        <w:trPr>
          <w:trHeight w:val="687"/>
        </w:trPr>
        <w:tc>
          <w:tcPr>
            <w:tcW w:w="1384" w:type="dxa"/>
            <w:shd w:val="clear" w:color="auto" w:fill="D9D9D9" w:themeFill="background1" w:themeFillShade="D9"/>
          </w:tcPr>
          <w:p w14:paraId="729E38E0" w14:textId="77777777" w:rsidR="009360C9" w:rsidRPr="00A3389E" w:rsidRDefault="009360C9" w:rsidP="00155C96">
            <w:pPr>
              <w:autoSpaceDE w:val="0"/>
              <w:autoSpaceDN w:val="0"/>
              <w:adjustRightInd w:val="0"/>
              <w:rPr>
                <w:rFonts w:ascii="Times New Roman" w:hAnsi="Times New Roman" w:cs="Times New Roman"/>
                <w:b/>
                <w:sz w:val="24"/>
              </w:rPr>
            </w:pPr>
            <w:r w:rsidRPr="00A3389E">
              <w:rPr>
                <w:rFonts w:ascii="Times New Roman" w:hAnsi="Times New Roman" w:cs="Times New Roman"/>
                <w:b/>
                <w:sz w:val="24"/>
              </w:rPr>
              <w:t>Číslo riadku</w:t>
            </w:r>
          </w:p>
        </w:tc>
        <w:tc>
          <w:tcPr>
            <w:tcW w:w="7655" w:type="dxa"/>
            <w:shd w:val="clear" w:color="auto" w:fill="D9D9D9" w:themeFill="background1" w:themeFillShade="D9"/>
          </w:tcPr>
          <w:p w14:paraId="3AF8ED2D" w14:textId="77777777" w:rsidR="009360C9" w:rsidRPr="00A3389E" w:rsidRDefault="009360C9" w:rsidP="00155C96">
            <w:pPr>
              <w:autoSpaceDE w:val="0"/>
              <w:autoSpaceDN w:val="0"/>
              <w:adjustRightInd w:val="0"/>
              <w:rPr>
                <w:rFonts w:ascii="Times New Roman" w:hAnsi="Times New Roman" w:cs="Times New Roman"/>
                <w:color w:val="000000"/>
                <w:sz w:val="24"/>
              </w:rPr>
            </w:pPr>
            <w:r w:rsidRPr="00A3389E">
              <w:rPr>
                <w:rFonts w:ascii="Times New Roman" w:hAnsi="Times New Roman" w:cs="Times New Roman"/>
                <w:b/>
                <w:sz w:val="24"/>
              </w:rPr>
              <w:t>Vysvetlenie</w:t>
            </w:r>
          </w:p>
        </w:tc>
      </w:tr>
      <w:tr w:rsidR="009360C9" w:rsidRPr="00A3389E"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A3389E" w:rsidRDefault="009360C9"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Celkový počet určených zamestnancov</w:t>
            </w:r>
          </w:p>
          <w:p w14:paraId="097FFE2F" w14:textId="39730445"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Zamestnanci, ktorých pracovné činnosti majú významný vplyv na rizikový profil inštitúcií (určení zamestnanci), pokiaľ ide</w:t>
            </w:r>
            <w:r w:rsidR="00A3389E">
              <w:rPr>
                <w:rFonts w:ascii="Times New Roman" w:hAnsi="Times New Roman" w:cs="Times New Roman"/>
                <w:sz w:val="24"/>
              </w:rPr>
              <w:t xml:space="preserve"> o </w:t>
            </w:r>
            <w:r w:rsidRPr="00A3389E">
              <w:rPr>
                <w:rFonts w:ascii="Times New Roman" w:hAnsi="Times New Roman" w:cs="Times New Roman"/>
                <w:sz w:val="24"/>
              </w:rPr>
              <w:t>inštitúciu</w:t>
            </w:r>
            <w:r w:rsidR="00A3389E">
              <w:rPr>
                <w:rFonts w:ascii="Times New Roman" w:hAnsi="Times New Roman" w:cs="Times New Roman"/>
                <w:sz w:val="24"/>
              </w:rPr>
              <w:t xml:space="preserve"> a </w:t>
            </w:r>
            <w:r w:rsidRPr="00A3389E">
              <w:rPr>
                <w:rFonts w:ascii="Times New Roman" w:hAnsi="Times New Roman" w:cs="Times New Roman"/>
                <w:sz w:val="24"/>
              </w:rPr>
              <w:t>jej dcérske spoločnosti vrátane dcérskych spoločností, na ktoré sa smernica CRD nevzťahuje,</w:t>
            </w:r>
            <w:r w:rsidR="00A3389E">
              <w:rPr>
                <w:rFonts w:ascii="Times New Roman" w:hAnsi="Times New Roman" w:cs="Times New Roman"/>
                <w:sz w:val="24"/>
              </w:rPr>
              <w:t xml:space="preserve"> a </w:t>
            </w:r>
            <w:r w:rsidRPr="00A3389E">
              <w:rPr>
                <w:rFonts w:ascii="Times New Roman" w:hAnsi="Times New Roman" w:cs="Times New Roman"/>
                <w:sz w:val="24"/>
              </w:rPr>
              <w:t>všetkých členov ich príslušných riadiacich orgánov.</w:t>
            </w:r>
          </w:p>
          <w:p w14:paraId="0E4719D5" w14:textId="77777777"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Hodnota sa zverejňuje na základe ekvivalentu plného pracovného času.</w:t>
            </w:r>
          </w:p>
        </w:tc>
      </w:tr>
      <w:tr w:rsidR="009360C9" w:rsidRPr="00A3389E"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A3389E" w:rsidRDefault="009360C9"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 čoho: členovia riadiaceho orgánu</w:t>
            </w:r>
          </w:p>
          <w:p w14:paraId="45B2AD9B" w14:textId="624C48FD"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Počet členov</w:t>
            </w:r>
            <w:r w:rsidR="00A3389E">
              <w:rPr>
                <w:rFonts w:ascii="Times New Roman" w:hAnsi="Times New Roman" w:cs="Times New Roman"/>
                <w:sz w:val="24"/>
              </w:rPr>
              <w:t xml:space="preserve"> v </w:t>
            </w:r>
            <w:r w:rsidRPr="00A3389E">
              <w:rPr>
                <w:rFonts w:ascii="Times New Roman" w:hAnsi="Times New Roman" w:cs="Times New Roman"/>
                <w:sz w:val="24"/>
              </w:rPr>
              <w:t>príslušnom riadiacom orgáne vo svojej funkcii dohľadu</w:t>
            </w:r>
            <w:r w:rsidR="00A3389E">
              <w:rPr>
                <w:rFonts w:ascii="Times New Roman" w:hAnsi="Times New Roman" w:cs="Times New Roman"/>
                <w:sz w:val="24"/>
              </w:rPr>
              <w:t xml:space="preserve"> a </w:t>
            </w:r>
            <w:r w:rsidRPr="00A3389E">
              <w:rPr>
                <w:rFonts w:ascii="Times New Roman" w:hAnsi="Times New Roman" w:cs="Times New Roman"/>
                <w:sz w:val="24"/>
              </w:rPr>
              <w:t>riadiacej funkcii, ako aj</w:t>
            </w:r>
            <w:r w:rsidR="00A3389E">
              <w:rPr>
                <w:rFonts w:ascii="Times New Roman" w:hAnsi="Times New Roman" w:cs="Times New Roman"/>
                <w:sz w:val="24"/>
              </w:rPr>
              <w:t xml:space="preserve"> v </w:t>
            </w:r>
            <w:r w:rsidRPr="00A3389E">
              <w:rPr>
                <w:rFonts w:ascii="Times New Roman" w:hAnsi="Times New Roman" w:cs="Times New Roman"/>
                <w:sz w:val="24"/>
              </w:rPr>
              <w:t>celom riadiacom orgáne.</w:t>
            </w:r>
          </w:p>
        </w:tc>
      </w:tr>
      <w:tr w:rsidR="009360C9" w:rsidRPr="00A3389E"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A3389E" w:rsidRDefault="009360C9" w:rsidP="00155C9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Z čoho: iný vrcholový manažment</w:t>
            </w:r>
          </w:p>
          <w:p w14:paraId="03A2678F" w14:textId="5C6673D1"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Zamestnanci iní než členovia riadiaceho orgánu, ktorí sú vrcholovým manažmentom</w:t>
            </w:r>
            <w:r w:rsidR="00A3389E">
              <w:rPr>
                <w:rFonts w:ascii="Times New Roman" w:hAnsi="Times New Roman" w:cs="Times New Roman"/>
                <w:sz w:val="24"/>
              </w:rPr>
              <w:t xml:space="preserve"> v </w:t>
            </w:r>
            <w:r w:rsidRPr="00A3389E">
              <w:rPr>
                <w:rFonts w:ascii="Times New Roman" w:hAnsi="Times New Roman" w:cs="Times New Roman"/>
                <w:sz w:val="24"/>
              </w:rPr>
              <w:t>zmysle vymedzenia</w:t>
            </w:r>
            <w:r w:rsidR="00A3389E">
              <w:rPr>
                <w:rFonts w:ascii="Times New Roman" w:hAnsi="Times New Roman" w:cs="Times New Roman"/>
                <w:sz w:val="24"/>
              </w:rPr>
              <w:t xml:space="preserve"> v </w:t>
            </w:r>
            <w:r w:rsidRPr="00A3389E">
              <w:rPr>
                <w:rFonts w:ascii="Times New Roman" w:hAnsi="Times New Roman" w:cs="Times New Roman"/>
                <w:sz w:val="24"/>
              </w:rPr>
              <w:t>článku 3 ods. 1 bode 9 CRD.</w:t>
            </w:r>
          </w:p>
        </w:tc>
      </w:tr>
      <w:tr w:rsidR="009360C9" w:rsidRPr="00A3389E"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A3389E" w:rsidRDefault="009360C9" w:rsidP="00155C9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Z čoho: iní určení zamestnanci</w:t>
            </w:r>
          </w:p>
          <w:p w14:paraId="57FA1182" w14:textId="630B463D" w:rsidR="009360C9" w:rsidRPr="00A3389E" w:rsidRDefault="009360C9" w:rsidP="00155C96">
            <w:pPr>
              <w:autoSpaceDE w:val="0"/>
              <w:autoSpaceDN w:val="0"/>
              <w:adjustRightInd w:val="0"/>
              <w:spacing w:before="60" w:after="120"/>
              <w:jc w:val="both"/>
              <w:rPr>
                <w:rFonts w:ascii="Times New Roman" w:hAnsi="Times New Roman" w:cs="Times New Roman"/>
                <w:sz w:val="24"/>
                <w:highlight w:val="yellow"/>
              </w:rPr>
            </w:pPr>
            <w:r w:rsidRPr="00A3389E">
              <w:rPr>
                <w:rFonts w:ascii="Times New Roman" w:hAnsi="Times New Roman" w:cs="Times New Roman"/>
                <w:sz w:val="24"/>
              </w:rPr>
              <w:t>Zamestnanci iní než riadiaci orgán</w:t>
            </w:r>
            <w:r w:rsidR="00A3389E">
              <w:rPr>
                <w:rFonts w:ascii="Times New Roman" w:hAnsi="Times New Roman" w:cs="Times New Roman"/>
                <w:sz w:val="24"/>
              </w:rPr>
              <w:t xml:space="preserve"> a </w:t>
            </w:r>
            <w:r w:rsidRPr="00A3389E">
              <w:rPr>
                <w:rFonts w:ascii="Times New Roman" w:hAnsi="Times New Roman" w:cs="Times New Roman"/>
                <w:sz w:val="24"/>
              </w:rPr>
              <w:t>iní než vrcholový manažment, ktorých pracovné činnosti majú významný vplyv na rizikový profil inštitúcie</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kritériami stanovenými</w:t>
            </w:r>
            <w:r w:rsidR="00A3389E">
              <w:rPr>
                <w:rFonts w:ascii="Times New Roman" w:hAnsi="Times New Roman" w:cs="Times New Roman"/>
                <w:sz w:val="24"/>
              </w:rPr>
              <w:t xml:space="preserve"> v </w:t>
            </w:r>
            <w:r w:rsidRPr="00A3389E">
              <w:rPr>
                <w:rFonts w:ascii="Times New Roman" w:hAnsi="Times New Roman" w:cs="Times New Roman"/>
                <w:sz w:val="24"/>
              </w:rPr>
              <w:t>delegovanom nariadení Komisie</w:t>
            </w:r>
            <w:r w:rsidR="00A3389E">
              <w:rPr>
                <w:rFonts w:ascii="Times New Roman" w:hAnsi="Times New Roman" w:cs="Times New Roman"/>
                <w:sz w:val="24"/>
              </w:rPr>
              <w:t xml:space="preserve"> o </w:t>
            </w:r>
            <w:r w:rsidRPr="00A3389E">
              <w:rPr>
                <w:rFonts w:ascii="Times New Roman" w:hAnsi="Times New Roman" w:cs="Times New Roman"/>
                <w:sz w:val="24"/>
              </w:rPr>
              <w:t>určených zamestnancoch, ktorým sa vykonáva článok 94 ods. 2 CRD,</w:t>
            </w:r>
            <w:r w:rsidR="00A3389E">
              <w:rPr>
                <w:rFonts w:ascii="Times New Roman" w:hAnsi="Times New Roman" w:cs="Times New Roman"/>
                <w:sz w:val="24"/>
              </w:rPr>
              <w:t xml:space="preserve"> a </w:t>
            </w:r>
            <w:r w:rsidRPr="00A3389E">
              <w:rPr>
                <w:rFonts w:ascii="Times New Roman" w:hAnsi="Times New Roman" w:cs="Times New Roman"/>
                <w:sz w:val="24"/>
              </w:rPr>
              <w:t>prípadne aj na základe kritérií inštitúcií.</w:t>
            </w:r>
          </w:p>
        </w:tc>
      </w:tr>
      <w:tr w:rsidR="009360C9" w:rsidRPr="00A3389E"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A3389E" w:rsidRDefault="009360C9"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Celkové odmeňovanie určených zamestnancov</w:t>
            </w:r>
          </w:p>
          <w:p w14:paraId="71B24B7F" w14:textId="1A1529D3"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Celková hodnota odmeňovania znamená všetky formy pevnej</w:t>
            </w:r>
            <w:r w:rsidR="00A3389E">
              <w:rPr>
                <w:rFonts w:ascii="Times New Roman" w:hAnsi="Times New Roman" w:cs="Times New Roman"/>
                <w:sz w:val="24"/>
              </w:rPr>
              <w:t xml:space="preserve"> a </w:t>
            </w:r>
            <w:r w:rsidRPr="00A3389E">
              <w:rPr>
                <w:rFonts w:ascii="Times New Roman" w:hAnsi="Times New Roman" w:cs="Times New Roman"/>
                <w:sz w:val="24"/>
              </w:rPr>
              <w:t>pohyblivej odmeny</w:t>
            </w:r>
            <w:r w:rsidR="00A3389E">
              <w:rPr>
                <w:rFonts w:ascii="Times New Roman" w:hAnsi="Times New Roman" w:cs="Times New Roman"/>
                <w:sz w:val="24"/>
              </w:rPr>
              <w:t xml:space="preserve"> a </w:t>
            </w:r>
            <w:r w:rsidRPr="00A3389E">
              <w:rPr>
                <w:rFonts w:ascii="Times New Roman" w:hAnsi="Times New Roman" w:cs="Times New Roman"/>
                <w:sz w:val="24"/>
              </w:rPr>
              <w:t>zahŕňa platby</w:t>
            </w:r>
            <w:r w:rsidR="00A3389E">
              <w:rPr>
                <w:rFonts w:ascii="Times New Roman" w:hAnsi="Times New Roman" w:cs="Times New Roman"/>
                <w:sz w:val="24"/>
              </w:rPr>
              <w:t xml:space="preserve"> a </w:t>
            </w:r>
            <w:r w:rsidRPr="00A3389E">
              <w:rPr>
                <w:rFonts w:ascii="Times New Roman" w:hAnsi="Times New Roman" w:cs="Times New Roman"/>
                <w:sz w:val="24"/>
              </w:rPr>
              <w:t>dávky, peňažné alebo nepeňažné, priznané priamo zamestnancom inštitúciami alebo</w:t>
            </w:r>
            <w:r w:rsidR="00A3389E">
              <w:rPr>
                <w:rFonts w:ascii="Times New Roman" w:hAnsi="Times New Roman" w:cs="Times New Roman"/>
                <w:sz w:val="24"/>
              </w:rPr>
              <w:t xml:space="preserve"> v </w:t>
            </w:r>
            <w:r w:rsidRPr="00A3389E">
              <w:rPr>
                <w:rFonts w:ascii="Times New Roman" w:hAnsi="Times New Roman" w:cs="Times New Roman"/>
                <w:sz w:val="24"/>
              </w:rPr>
              <w:t>ich mene výmenou za odborné služby poskytované zamestnancami, platby podielov na zisku</w:t>
            </w:r>
            <w:r w:rsidR="00A3389E">
              <w:rPr>
                <w:rFonts w:ascii="Times New Roman" w:hAnsi="Times New Roman" w:cs="Times New Roman"/>
                <w:sz w:val="24"/>
              </w:rPr>
              <w:t xml:space="preserve"> v </w:t>
            </w:r>
            <w:r w:rsidRPr="00A3389E">
              <w:rPr>
                <w:rFonts w:ascii="Times New Roman" w:hAnsi="Times New Roman" w:cs="Times New Roman"/>
                <w:sz w:val="24"/>
              </w:rPr>
              <w:t>zmysle článku 4 ods. 1 písm. d) smernice 2011/61/EÚ</w:t>
            </w:r>
            <w:r w:rsidRPr="00A3389E">
              <w:rPr>
                <w:rStyle w:val="FootnoteReference"/>
                <w:rFonts w:ascii="Times New Roman" w:hAnsi="Times New Roman" w:cs="Times New Roman"/>
              </w:rPr>
              <w:footnoteReference w:id="53"/>
            </w:r>
            <w:r w:rsidR="00A3389E">
              <w:rPr>
                <w:rFonts w:ascii="Times New Roman" w:hAnsi="Times New Roman" w:cs="Times New Roman"/>
                <w:sz w:val="24"/>
              </w:rPr>
              <w:t xml:space="preserve"> a </w:t>
            </w:r>
            <w:r w:rsidRPr="00A3389E">
              <w:rPr>
                <w:rFonts w:ascii="Times New Roman" w:hAnsi="Times New Roman" w:cs="Times New Roman"/>
                <w:sz w:val="24"/>
              </w:rPr>
              <w:t>iné platby uskutočnené prostredníctvom metód</w:t>
            </w:r>
            <w:r w:rsidR="00A3389E">
              <w:rPr>
                <w:rFonts w:ascii="Times New Roman" w:hAnsi="Times New Roman" w:cs="Times New Roman"/>
                <w:sz w:val="24"/>
              </w:rPr>
              <w:t xml:space="preserve"> a </w:t>
            </w:r>
            <w:r w:rsidRPr="00A3389E">
              <w:rPr>
                <w:rFonts w:ascii="Times New Roman" w:hAnsi="Times New Roman" w:cs="Times New Roman"/>
                <w:sz w:val="24"/>
              </w:rPr>
              <w:t>nástrojov, ktoré by</w:t>
            </w:r>
            <w:r w:rsidR="00A3389E">
              <w:rPr>
                <w:rFonts w:ascii="Times New Roman" w:hAnsi="Times New Roman" w:cs="Times New Roman"/>
                <w:sz w:val="24"/>
              </w:rPr>
              <w:t xml:space="preserve"> v </w:t>
            </w:r>
            <w:r w:rsidRPr="00A3389E">
              <w:rPr>
                <w:rFonts w:ascii="Times New Roman" w:hAnsi="Times New Roman" w:cs="Times New Roman"/>
                <w:sz w:val="24"/>
              </w:rPr>
              <w:t>prípade, že by sa nepovažovali za odmeňovanie, viedli</w:t>
            </w:r>
            <w:r w:rsidR="00A3389E">
              <w:rPr>
                <w:rFonts w:ascii="Times New Roman" w:hAnsi="Times New Roman" w:cs="Times New Roman"/>
                <w:sz w:val="24"/>
              </w:rPr>
              <w:t xml:space="preserve"> k </w:t>
            </w:r>
            <w:r w:rsidRPr="00A3389E">
              <w:rPr>
                <w:rFonts w:ascii="Times New Roman" w:hAnsi="Times New Roman" w:cs="Times New Roman"/>
                <w:sz w:val="24"/>
              </w:rPr>
              <w:t>obchádzaniu požiadaviek týkajúcich sa odmeňovania uvedených</w:t>
            </w:r>
            <w:r w:rsidR="00A3389E">
              <w:rPr>
                <w:rFonts w:ascii="Times New Roman" w:hAnsi="Times New Roman" w:cs="Times New Roman"/>
                <w:sz w:val="24"/>
              </w:rPr>
              <w:t xml:space="preserve"> v </w:t>
            </w:r>
            <w:r w:rsidRPr="00A3389E">
              <w:rPr>
                <w:rFonts w:ascii="Times New Roman" w:hAnsi="Times New Roman" w:cs="Times New Roman"/>
                <w:sz w:val="24"/>
              </w:rPr>
              <w:t>CRD.</w:t>
            </w:r>
          </w:p>
        </w:tc>
      </w:tr>
      <w:tr w:rsidR="009360C9" w:rsidRPr="00A3389E"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A3389E" w:rsidRDefault="009360C9"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 čoho: pohyblivá odmena</w:t>
            </w:r>
          </w:p>
          <w:p w14:paraId="747E669C" w14:textId="49E6410A" w:rsidR="009360C9"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Súčet všetkých zložiek odmeňovania, ktoré nie sú pevnou odmenou, uvedených</w:t>
            </w:r>
            <w:r w:rsidR="00A3389E">
              <w:rPr>
                <w:rFonts w:ascii="Times New Roman" w:hAnsi="Times New Roman" w:cs="Times New Roman"/>
                <w:sz w:val="24"/>
              </w:rPr>
              <w:t xml:space="preserve"> v </w:t>
            </w:r>
            <w:r w:rsidRPr="00A3389E">
              <w:rPr>
                <w:rFonts w:ascii="Times New Roman" w:hAnsi="Times New Roman" w:cs="Times New Roman"/>
                <w:sz w:val="24"/>
              </w:rPr>
              <w:t>riadku 7 tohto vzoru.</w:t>
            </w:r>
          </w:p>
        </w:tc>
      </w:tr>
      <w:tr w:rsidR="009360C9" w:rsidRPr="00A3389E"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A3389E" w:rsidRDefault="009360C9" w:rsidP="00155C96">
            <w:pPr>
              <w:autoSpaceDE w:val="0"/>
              <w:autoSpaceDN w:val="0"/>
              <w:adjustRightInd w:val="0"/>
              <w:spacing w:after="120"/>
              <w:jc w:val="both"/>
              <w:rPr>
                <w:rFonts w:ascii="Times New Roman" w:hAnsi="Times New Roman" w:cs="Times New Roman"/>
                <w:b/>
                <w:sz w:val="24"/>
              </w:rPr>
            </w:pPr>
            <w:r w:rsidRPr="00A3389E">
              <w:rPr>
                <w:rFonts w:ascii="Times New Roman" w:hAnsi="Times New Roman" w:cs="Times New Roman"/>
                <w:b/>
                <w:sz w:val="24"/>
              </w:rPr>
              <w:t>Z čoho: pevná odmena</w:t>
            </w:r>
          </w:p>
          <w:p w14:paraId="324502E6" w14:textId="43E588DC" w:rsidR="00A3389E" w:rsidRPr="00A3389E" w:rsidRDefault="009360C9" w:rsidP="00155C96">
            <w:pPr>
              <w:autoSpaceDE w:val="0"/>
              <w:autoSpaceDN w:val="0"/>
              <w:adjustRightInd w:val="0"/>
              <w:spacing w:after="120"/>
              <w:jc w:val="both"/>
              <w:rPr>
                <w:rFonts w:ascii="Times New Roman" w:hAnsi="Times New Roman" w:cs="Times New Roman"/>
                <w:sz w:val="24"/>
              </w:rPr>
            </w:pPr>
            <w:r w:rsidRPr="00A3389E">
              <w:rPr>
                <w:rFonts w:ascii="Times New Roman" w:hAnsi="Times New Roman" w:cs="Times New Roman"/>
                <w:sz w:val="24"/>
              </w:rPr>
              <w:t>Inštitúcie považujú odmenu za pevnú, ak podmienky jej priznania</w:t>
            </w:r>
            <w:r w:rsidR="00A3389E">
              <w:rPr>
                <w:rFonts w:ascii="Times New Roman" w:hAnsi="Times New Roman" w:cs="Times New Roman"/>
                <w:sz w:val="24"/>
              </w:rPr>
              <w:t xml:space="preserve"> a </w:t>
            </w:r>
            <w:r w:rsidRPr="00A3389E">
              <w:rPr>
                <w:rFonts w:ascii="Times New Roman" w:hAnsi="Times New Roman" w:cs="Times New Roman"/>
                <w:sz w:val="24"/>
              </w:rPr>
              <w:t>jej hodnota</w:t>
            </w:r>
            <w:r w:rsidR="00A3389E" w:rsidRPr="00A3389E">
              <w:rPr>
                <w:rFonts w:ascii="Times New Roman" w:hAnsi="Times New Roman" w:cs="Times New Roman"/>
                <w:sz w:val="24"/>
              </w:rPr>
              <w:t>:</w:t>
            </w:r>
          </w:p>
          <w:p w14:paraId="30B1CA21" w14:textId="1EEE2BFC" w:rsidR="009360C9" w:rsidRPr="00A3389E" w:rsidRDefault="00A60806" w:rsidP="00A3389E">
            <w:pPr>
              <w:autoSpaceDE w:val="0"/>
              <w:autoSpaceDN w:val="0"/>
              <w:adjustRightInd w:val="0"/>
              <w:spacing w:after="120"/>
              <w:ind w:left="720" w:hanging="360"/>
              <w:jc w:val="both"/>
              <w:rPr>
                <w:rFonts w:ascii="Times New Roman" w:hAnsi="Times New Roman"/>
                <w:sz w:val="24"/>
              </w:rPr>
            </w:pPr>
            <w:r w:rsidRPr="00A3389E">
              <w:rPr>
                <w:rFonts w:ascii="Times New Roman" w:eastAsia="Calibri" w:hAnsi="Times New Roman" w:cs="Times New Roman"/>
                <w:sz w:val="24"/>
              </w:rPr>
              <w:t>a</w:t>
            </w:r>
            <w:r>
              <w:rPr>
                <w:rFonts w:ascii="Times New Roman" w:eastAsia="Calibri" w:hAnsi="Times New Roman" w:cs="Times New Roman"/>
                <w:sz w:val="24"/>
              </w:rPr>
              <w:t>)</w:t>
            </w:r>
            <w:r w:rsidRPr="00A3389E">
              <w:rPr>
                <w:rFonts w:ascii="Times New Roman" w:eastAsia="Calibri" w:hAnsi="Times New Roman" w:cs="Times New Roman"/>
                <w:sz w:val="24"/>
              </w:rPr>
              <w:tab/>
            </w:r>
            <w:r w:rsidR="009360C9" w:rsidRPr="00A3389E">
              <w:rPr>
                <w:rFonts w:ascii="Times New Roman" w:hAnsi="Times New Roman"/>
                <w:sz w:val="24"/>
              </w:rPr>
              <w:t>sú založené na vopred určených kritériách;</w:t>
            </w:r>
          </w:p>
          <w:p w14:paraId="2FA43193" w14:textId="609174C6" w:rsidR="009360C9" w:rsidRPr="00A3389E" w:rsidRDefault="00A60806" w:rsidP="00A3389E">
            <w:pPr>
              <w:autoSpaceDE w:val="0"/>
              <w:autoSpaceDN w:val="0"/>
              <w:adjustRightInd w:val="0"/>
              <w:spacing w:after="120"/>
              <w:ind w:left="720" w:hanging="360"/>
              <w:jc w:val="both"/>
              <w:rPr>
                <w:rFonts w:ascii="Times New Roman" w:hAnsi="Times New Roman"/>
                <w:sz w:val="24"/>
              </w:rPr>
            </w:pPr>
            <w:r w:rsidRPr="00A3389E">
              <w:rPr>
                <w:rFonts w:ascii="Times New Roman" w:eastAsia="Calibri" w:hAnsi="Times New Roman" w:cs="Times New Roman"/>
                <w:sz w:val="24"/>
              </w:rPr>
              <w:t>b</w:t>
            </w:r>
            <w:r>
              <w:rPr>
                <w:rFonts w:ascii="Times New Roman" w:eastAsia="Calibri" w:hAnsi="Times New Roman" w:cs="Times New Roman"/>
                <w:sz w:val="24"/>
              </w:rPr>
              <w:t>)</w:t>
            </w:r>
            <w:r w:rsidRPr="00A3389E">
              <w:rPr>
                <w:rFonts w:ascii="Times New Roman" w:eastAsia="Calibri" w:hAnsi="Times New Roman" w:cs="Times New Roman"/>
                <w:sz w:val="24"/>
              </w:rPr>
              <w:tab/>
            </w:r>
            <w:r w:rsidR="009360C9" w:rsidRPr="00A3389E">
              <w:rPr>
                <w:rFonts w:ascii="Times New Roman" w:hAnsi="Times New Roman"/>
                <w:sz w:val="24"/>
              </w:rPr>
              <w:t>sú pevne stanovené</w:t>
            </w:r>
            <w:r w:rsidR="00A3389E">
              <w:rPr>
                <w:rFonts w:ascii="Times New Roman" w:hAnsi="Times New Roman"/>
                <w:sz w:val="24"/>
              </w:rPr>
              <w:t xml:space="preserve"> a </w:t>
            </w:r>
            <w:r w:rsidR="009360C9" w:rsidRPr="00A3389E">
              <w:rPr>
                <w:rFonts w:ascii="Times New Roman" w:hAnsi="Times New Roman"/>
                <w:sz w:val="24"/>
              </w:rPr>
              <w:t>odrážajú úroveň odborných skúseností</w:t>
            </w:r>
            <w:r w:rsidR="00A3389E">
              <w:rPr>
                <w:rFonts w:ascii="Times New Roman" w:hAnsi="Times New Roman"/>
                <w:sz w:val="24"/>
              </w:rPr>
              <w:t xml:space="preserve"> a </w:t>
            </w:r>
            <w:r w:rsidR="009360C9" w:rsidRPr="00A3389E">
              <w:rPr>
                <w:rFonts w:ascii="Times New Roman" w:hAnsi="Times New Roman"/>
                <w:sz w:val="24"/>
              </w:rPr>
              <w:t>odslúžené roky zamestnancov;</w:t>
            </w:r>
          </w:p>
          <w:p w14:paraId="490EA939" w14:textId="14CCBA5D" w:rsidR="009360C9" w:rsidRPr="00A3389E" w:rsidRDefault="00A60806" w:rsidP="00A3389E">
            <w:pPr>
              <w:autoSpaceDE w:val="0"/>
              <w:autoSpaceDN w:val="0"/>
              <w:adjustRightInd w:val="0"/>
              <w:spacing w:after="120"/>
              <w:ind w:left="720" w:hanging="360"/>
              <w:jc w:val="both"/>
              <w:rPr>
                <w:rFonts w:ascii="Times New Roman" w:hAnsi="Times New Roman"/>
                <w:sz w:val="24"/>
              </w:rPr>
            </w:pPr>
            <w:r w:rsidRPr="00A3389E">
              <w:rPr>
                <w:rFonts w:ascii="Times New Roman" w:eastAsia="Calibri" w:hAnsi="Times New Roman" w:cs="Times New Roman"/>
                <w:sz w:val="24"/>
              </w:rPr>
              <w:t>c</w:t>
            </w:r>
            <w:r>
              <w:rPr>
                <w:rFonts w:ascii="Times New Roman" w:eastAsia="Calibri" w:hAnsi="Times New Roman" w:cs="Times New Roman"/>
                <w:sz w:val="24"/>
              </w:rPr>
              <w:t>)</w:t>
            </w:r>
            <w:r w:rsidRPr="00A3389E">
              <w:rPr>
                <w:rFonts w:ascii="Times New Roman" w:eastAsia="Calibri" w:hAnsi="Times New Roman" w:cs="Times New Roman"/>
                <w:sz w:val="24"/>
              </w:rPr>
              <w:tab/>
            </w:r>
            <w:r w:rsidR="009360C9" w:rsidRPr="00A3389E">
              <w:rPr>
                <w:rFonts w:ascii="Times New Roman" w:hAnsi="Times New Roman"/>
                <w:sz w:val="24"/>
              </w:rPr>
              <w:t>sú transparentné, pokiaľ ide</w:t>
            </w:r>
            <w:r w:rsidR="00A3389E">
              <w:rPr>
                <w:rFonts w:ascii="Times New Roman" w:hAnsi="Times New Roman"/>
                <w:sz w:val="24"/>
              </w:rPr>
              <w:t xml:space="preserve"> o </w:t>
            </w:r>
            <w:r w:rsidR="009360C9" w:rsidRPr="00A3389E">
              <w:rPr>
                <w:rFonts w:ascii="Times New Roman" w:hAnsi="Times New Roman"/>
                <w:sz w:val="24"/>
              </w:rPr>
              <w:t>jednotlivé hodnoty priznané jednotlivým zamestnancom;</w:t>
            </w:r>
          </w:p>
          <w:p w14:paraId="527EBADC" w14:textId="21FF25B9" w:rsidR="009360C9" w:rsidRPr="00A3389E" w:rsidRDefault="00A60806" w:rsidP="00A3389E">
            <w:pPr>
              <w:autoSpaceDE w:val="0"/>
              <w:autoSpaceDN w:val="0"/>
              <w:adjustRightInd w:val="0"/>
              <w:spacing w:after="120"/>
              <w:ind w:left="720" w:hanging="360"/>
              <w:jc w:val="both"/>
              <w:rPr>
                <w:rFonts w:ascii="Times New Roman" w:hAnsi="Times New Roman"/>
                <w:sz w:val="24"/>
              </w:rPr>
            </w:pPr>
            <w:r w:rsidRPr="00A3389E">
              <w:rPr>
                <w:rFonts w:ascii="Times New Roman" w:eastAsia="Calibri" w:hAnsi="Times New Roman" w:cs="Times New Roman"/>
                <w:sz w:val="24"/>
              </w:rPr>
              <w:t>d</w:t>
            </w:r>
            <w:r>
              <w:rPr>
                <w:rFonts w:ascii="Times New Roman" w:eastAsia="Calibri" w:hAnsi="Times New Roman" w:cs="Times New Roman"/>
                <w:sz w:val="24"/>
              </w:rPr>
              <w:t>)</w:t>
            </w:r>
            <w:r w:rsidRPr="00A3389E">
              <w:rPr>
                <w:rFonts w:ascii="Times New Roman" w:eastAsia="Calibri" w:hAnsi="Times New Roman" w:cs="Times New Roman"/>
                <w:sz w:val="24"/>
              </w:rPr>
              <w:tab/>
            </w:r>
            <w:r w:rsidR="009360C9" w:rsidRPr="00A3389E">
              <w:rPr>
                <w:rFonts w:ascii="Times New Roman" w:hAnsi="Times New Roman"/>
                <w:sz w:val="24"/>
              </w:rPr>
              <w:t>sú trvalé, t. j. udržiavané počas obdobia, ktoré sa viaže na konkrétnu úlohu</w:t>
            </w:r>
            <w:r w:rsidR="00A3389E">
              <w:rPr>
                <w:rFonts w:ascii="Times New Roman" w:hAnsi="Times New Roman"/>
                <w:sz w:val="24"/>
              </w:rPr>
              <w:t xml:space="preserve"> a </w:t>
            </w:r>
            <w:r w:rsidR="009360C9" w:rsidRPr="00A3389E">
              <w:rPr>
                <w:rFonts w:ascii="Times New Roman" w:hAnsi="Times New Roman"/>
                <w:sz w:val="24"/>
              </w:rPr>
              <w:t>organizačné povinnosti;</w:t>
            </w:r>
          </w:p>
          <w:p w14:paraId="62D36AE1" w14:textId="695239D4" w:rsidR="009360C9" w:rsidRPr="00A3389E" w:rsidRDefault="00A60806" w:rsidP="00A3389E">
            <w:pPr>
              <w:autoSpaceDE w:val="0"/>
              <w:autoSpaceDN w:val="0"/>
              <w:adjustRightInd w:val="0"/>
              <w:spacing w:after="120"/>
              <w:ind w:left="720" w:hanging="360"/>
              <w:jc w:val="both"/>
              <w:rPr>
                <w:rFonts w:ascii="Times New Roman" w:hAnsi="Times New Roman"/>
                <w:sz w:val="24"/>
              </w:rPr>
            </w:pPr>
            <w:r w:rsidRPr="00A3389E">
              <w:rPr>
                <w:rFonts w:ascii="Times New Roman" w:eastAsia="Calibri" w:hAnsi="Times New Roman" w:cs="Times New Roman"/>
                <w:sz w:val="24"/>
              </w:rPr>
              <w:t>e</w:t>
            </w:r>
            <w:r>
              <w:rPr>
                <w:rFonts w:ascii="Times New Roman" w:eastAsia="Calibri" w:hAnsi="Times New Roman" w:cs="Times New Roman"/>
                <w:sz w:val="24"/>
              </w:rPr>
              <w:t>)</w:t>
            </w:r>
            <w:r w:rsidRPr="00A3389E">
              <w:rPr>
                <w:rFonts w:ascii="Times New Roman" w:eastAsia="Calibri" w:hAnsi="Times New Roman" w:cs="Times New Roman"/>
                <w:sz w:val="24"/>
              </w:rPr>
              <w:tab/>
            </w:r>
            <w:r w:rsidR="009360C9" w:rsidRPr="00A3389E">
              <w:rPr>
                <w:rFonts w:ascii="Times New Roman" w:hAnsi="Times New Roman"/>
                <w:sz w:val="24"/>
              </w:rPr>
              <w:t>sú neodvolateľné; trvalá hodnota sa mení len prostredníctvom kolektívnej zmluvy alebo po opätovnom prerokovaní</w:t>
            </w:r>
            <w:r w:rsidR="00A3389E">
              <w:rPr>
                <w:rFonts w:ascii="Times New Roman" w:hAnsi="Times New Roman"/>
                <w:sz w:val="24"/>
              </w:rPr>
              <w:t xml:space="preserve"> v </w:t>
            </w:r>
            <w:r w:rsidR="009360C9" w:rsidRPr="00A3389E">
              <w:rPr>
                <w:rFonts w:ascii="Times New Roman" w:hAnsi="Times New Roman"/>
                <w:sz w:val="24"/>
              </w:rPr>
              <w:t>súlade</w:t>
            </w:r>
            <w:r w:rsidR="00A3389E">
              <w:rPr>
                <w:rFonts w:ascii="Times New Roman" w:hAnsi="Times New Roman"/>
                <w:sz w:val="24"/>
              </w:rPr>
              <w:t xml:space="preserve"> s </w:t>
            </w:r>
            <w:r w:rsidR="009360C9" w:rsidRPr="00A3389E">
              <w:rPr>
                <w:rFonts w:ascii="Times New Roman" w:hAnsi="Times New Roman"/>
                <w:sz w:val="24"/>
              </w:rPr>
              <w:t>vnútroštátnymi kritériami stanovovania miezd;</w:t>
            </w:r>
          </w:p>
          <w:p w14:paraId="63B81539" w14:textId="4C0B0D5A" w:rsidR="009360C9" w:rsidRPr="00A3389E" w:rsidRDefault="00A60806" w:rsidP="00A3389E">
            <w:pPr>
              <w:autoSpaceDE w:val="0"/>
              <w:autoSpaceDN w:val="0"/>
              <w:adjustRightInd w:val="0"/>
              <w:spacing w:after="120"/>
              <w:ind w:left="720" w:hanging="360"/>
              <w:jc w:val="both"/>
              <w:rPr>
                <w:rFonts w:ascii="Times New Roman" w:hAnsi="Times New Roman"/>
                <w:sz w:val="24"/>
              </w:rPr>
            </w:pPr>
            <w:r w:rsidRPr="00A3389E">
              <w:rPr>
                <w:rFonts w:ascii="Times New Roman" w:eastAsia="Calibri" w:hAnsi="Times New Roman" w:cs="Times New Roman"/>
                <w:sz w:val="24"/>
              </w:rPr>
              <w:t>f</w:t>
            </w:r>
            <w:r>
              <w:rPr>
                <w:rFonts w:ascii="Times New Roman" w:eastAsia="Calibri" w:hAnsi="Times New Roman" w:cs="Times New Roman"/>
                <w:sz w:val="24"/>
              </w:rPr>
              <w:t>)</w:t>
            </w:r>
            <w:r w:rsidRPr="00A3389E">
              <w:rPr>
                <w:rFonts w:ascii="Times New Roman" w:eastAsia="Calibri" w:hAnsi="Times New Roman" w:cs="Times New Roman"/>
                <w:sz w:val="24"/>
              </w:rPr>
              <w:tab/>
            </w:r>
            <w:r w:rsidR="009360C9" w:rsidRPr="00A3389E">
              <w:rPr>
                <w:rFonts w:ascii="Times New Roman" w:hAnsi="Times New Roman"/>
                <w:sz w:val="24"/>
              </w:rPr>
              <w:t>nemôžu byť znížené, pozastavené ani zrušené inštitúciou;</w:t>
            </w:r>
          </w:p>
          <w:p w14:paraId="64AE6891" w14:textId="2ED0C4B8" w:rsidR="00A3389E" w:rsidRPr="00A3389E" w:rsidRDefault="00A60806" w:rsidP="00A3389E">
            <w:pPr>
              <w:autoSpaceDE w:val="0"/>
              <w:autoSpaceDN w:val="0"/>
              <w:adjustRightInd w:val="0"/>
              <w:spacing w:after="120"/>
              <w:ind w:left="720" w:hanging="360"/>
              <w:jc w:val="both"/>
              <w:rPr>
                <w:rFonts w:ascii="Times New Roman" w:hAnsi="Times New Roman"/>
                <w:sz w:val="24"/>
              </w:rPr>
            </w:pPr>
            <w:r w:rsidRPr="00A3389E">
              <w:rPr>
                <w:rFonts w:ascii="Times New Roman" w:eastAsia="Calibri" w:hAnsi="Times New Roman" w:cs="Times New Roman"/>
                <w:sz w:val="24"/>
              </w:rPr>
              <w:t>g</w:t>
            </w:r>
            <w:r>
              <w:rPr>
                <w:rFonts w:ascii="Times New Roman" w:eastAsia="Calibri" w:hAnsi="Times New Roman" w:cs="Times New Roman"/>
                <w:sz w:val="24"/>
              </w:rPr>
              <w:t>)</w:t>
            </w:r>
            <w:r w:rsidRPr="00A3389E">
              <w:rPr>
                <w:rFonts w:ascii="Times New Roman" w:eastAsia="Calibri" w:hAnsi="Times New Roman" w:cs="Times New Roman"/>
                <w:sz w:val="24"/>
              </w:rPr>
              <w:tab/>
            </w:r>
            <w:r w:rsidR="009360C9" w:rsidRPr="00A3389E">
              <w:rPr>
                <w:rFonts w:ascii="Times New Roman" w:hAnsi="Times New Roman"/>
                <w:sz w:val="24"/>
              </w:rPr>
              <w:t>neposkytujú stimuly na prevzatie rizika</w:t>
            </w:r>
            <w:r w:rsidR="00A3389E" w:rsidRPr="00A3389E">
              <w:rPr>
                <w:rFonts w:ascii="Times New Roman" w:hAnsi="Times New Roman"/>
                <w:sz w:val="24"/>
              </w:rPr>
              <w:t xml:space="preserve"> a</w:t>
            </w:r>
          </w:p>
          <w:p w14:paraId="014949AD" w14:textId="718D8F3E" w:rsidR="009360C9" w:rsidRPr="00A3389E" w:rsidRDefault="00A60806" w:rsidP="00A3389E">
            <w:pPr>
              <w:autoSpaceDE w:val="0"/>
              <w:autoSpaceDN w:val="0"/>
              <w:adjustRightInd w:val="0"/>
              <w:spacing w:after="120"/>
              <w:ind w:left="720" w:hanging="360"/>
              <w:jc w:val="both"/>
              <w:rPr>
                <w:rFonts w:ascii="Times New Roman" w:hAnsi="Times New Roman"/>
                <w:sz w:val="24"/>
              </w:rPr>
            </w:pPr>
            <w:r w:rsidRPr="00A3389E">
              <w:rPr>
                <w:rFonts w:ascii="Times New Roman" w:eastAsia="Calibri" w:hAnsi="Times New Roman" w:cs="Times New Roman"/>
                <w:sz w:val="24"/>
              </w:rPr>
              <w:t>h</w:t>
            </w:r>
            <w:r>
              <w:rPr>
                <w:rFonts w:ascii="Times New Roman" w:eastAsia="Calibri" w:hAnsi="Times New Roman" w:cs="Times New Roman"/>
                <w:sz w:val="24"/>
              </w:rPr>
              <w:t>)</w:t>
            </w:r>
            <w:r w:rsidRPr="00A3389E">
              <w:rPr>
                <w:rFonts w:ascii="Times New Roman" w:eastAsia="Calibri" w:hAnsi="Times New Roman" w:cs="Times New Roman"/>
                <w:sz w:val="24"/>
              </w:rPr>
              <w:tab/>
            </w:r>
            <w:r w:rsidR="009360C9" w:rsidRPr="00A3389E">
              <w:rPr>
                <w:rFonts w:ascii="Times New Roman" w:hAnsi="Times New Roman"/>
                <w:sz w:val="24"/>
              </w:rPr>
              <w:t xml:space="preserve">nezávisia od výkonnosti. </w:t>
            </w:r>
          </w:p>
        </w:tc>
      </w:tr>
      <w:tr w:rsidR="009360C9" w:rsidRPr="00A3389E"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A3389E" w:rsidRDefault="009360C9" w:rsidP="00155C96">
            <w:pPr>
              <w:pStyle w:val="Applicationdirecte"/>
              <w:spacing w:before="0"/>
              <w:jc w:val="left"/>
              <w:rPr>
                <w:b/>
              </w:rPr>
            </w:pPr>
            <w:r w:rsidRPr="00A3389E">
              <w:rPr>
                <w:b/>
              </w:rPr>
              <w:t>Písmeno stĺpca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A3389E" w:rsidRDefault="009360C9" w:rsidP="00155C96">
            <w:pPr>
              <w:pStyle w:val="TableMainHeading"/>
              <w:spacing w:before="60"/>
              <w:jc w:val="both"/>
              <w:rPr>
                <w:rFonts w:ascii="Times New Roman" w:hAnsi="Times New Roman"/>
                <w:b/>
                <w:sz w:val="24"/>
                <w:szCs w:val="24"/>
              </w:rPr>
            </w:pPr>
            <w:r w:rsidRPr="00A3389E">
              <w:rPr>
                <w:rFonts w:ascii="Times New Roman" w:hAnsi="Times New Roman"/>
                <w:b/>
                <w:sz w:val="24"/>
                <w:szCs w:val="24"/>
              </w:rPr>
              <w:t>Vysvetlenie</w:t>
            </w:r>
          </w:p>
        </w:tc>
      </w:tr>
      <w:tr w:rsidR="009360C9" w:rsidRPr="00A3389E"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10BF6753"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t>a, b</w:t>
            </w:r>
            <w:r w:rsidR="00A3389E">
              <w:rPr>
                <w:rFonts w:ascii="Times New Roman" w:hAnsi="Times New Roman" w:cs="Times New Roman"/>
                <w:sz w:val="24"/>
              </w:rPr>
              <w:t xml:space="preserve"> a </w:t>
            </w:r>
            <w:r w:rsidRPr="00A3389E">
              <w:rPr>
                <w:rFonts w:ascii="Times New Roman" w:hAnsi="Times New Roman" w:cs="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A3389E" w:rsidRDefault="009360C9" w:rsidP="00155C9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Riadiaci orgán (MB)</w:t>
            </w:r>
          </w:p>
          <w:p w14:paraId="19CE9061" w14:textId="7E0D79AC"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Riadiaci orgán inštitúcie</w:t>
            </w:r>
            <w:r w:rsidR="00A3389E">
              <w:rPr>
                <w:rFonts w:ascii="Times New Roman" w:hAnsi="Times New Roman" w:cs="Times New Roman"/>
                <w:sz w:val="24"/>
              </w:rPr>
              <w:t xml:space="preserve"> s </w:t>
            </w:r>
            <w:r w:rsidRPr="00A3389E">
              <w:rPr>
                <w:rFonts w:ascii="Times New Roman" w:hAnsi="Times New Roman" w:cs="Times New Roman"/>
                <w:sz w:val="24"/>
              </w:rPr>
              <w:t>rozčlenením na funkciu dohľadu</w:t>
            </w:r>
            <w:r w:rsidR="00A3389E">
              <w:rPr>
                <w:rFonts w:ascii="Times New Roman" w:hAnsi="Times New Roman" w:cs="Times New Roman"/>
                <w:sz w:val="24"/>
              </w:rPr>
              <w:t xml:space="preserve"> a </w:t>
            </w:r>
            <w:r w:rsidRPr="00A3389E">
              <w:rPr>
                <w:rFonts w:ascii="Times New Roman" w:hAnsi="Times New Roman" w:cs="Times New Roman"/>
                <w:sz w:val="24"/>
              </w:rPr>
              <w:t>riadiacu funkciu</w:t>
            </w:r>
          </w:p>
          <w:p w14:paraId="24859795" w14:textId="77777777"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Inštitúcie zverejňujú informácie na základe počtu zamestnancov.</w:t>
            </w:r>
          </w:p>
        </w:tc>
      </w:tr>
      <w:tr w:rsidR="009360C9" w:rsidRPr="00A3389E"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lastRenderedPageBreak/>
              <w:t>d až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A3389E" w:rsidRDefault="009360C9" w:rsidP="00155C9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Obchodné oblasti</w:t>
            </w:r>
          </w:p>
          <w:p w14:paraId="75D4E040" w14:textId="77777777" w:rsidR="00A3389E"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Hlavné obchodné oblasti inštitúcie, ako sú investičné bankovníctvo, retailové bankovníctvo, správa aktív, podnikové funkcie, nezávislé funkcie vnútornej kontroly</w:t>
            </w:r>
            <w:r w:rsidR="00A3389E" w:rsidRPr="00A3389E">
              <w:rPr>
                <w:rFonts w:ascii="Times New Roman" w:hAnsi="Times New Roman" w:cs="Times New Roman"/>
                <w:sz w:val="24"/>
              </w:rPr>
              <w:t>.</w:t>
            </w:r>
          </w:p>
          <w:p w14:paraId="5DA383DB" w14:textId="19CD58D0"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Informácie sa zverejňujú na základe ekvivalentu plného pracovného času.</w:t>
            </w:r>
          </w:p>
        </w:tc>
      </w:tr>
      <w:tr w:rsidR="009360C9" w:rsidRPr="00A3389E"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A3389E" w:rsidRDefault="009360C9" w:rsidP="00155C96">
            <w:pPr>
              <w:autoSpaceDE w:val="0"/>
              <w:autoSpaceDN w:val="0"/>
              <w:adjustRightInd w:val="0"/>
              <w:rPr>
                <w:rFonts w:ascii="Times New Roman" w:hAnsi="Times New Roman" w:cs="Times New Roman"/>
                <w:sz w:val="24"/>
              </w:rPr>
            </w:pPr>
            <w:r w:rsidRPr="00A3389E">
              <w:rPr>
                <w:rFonts w:ascii="Times New Roman" w:hAnsi="Times New Roman" w:cs="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A3389E" w:rsidRDefault="009360C9" w:rsidP="00155C96">
            <w:pPr>
              <w:autoSpaceDE w:val="0"/>
              <w:autoSpaceDN w:val="0"/>
              <w:adjustRightInd w:val="0"/>
              <w:spacing w:before="60" w:after="120"/>
              <w:jc w:val="both"/>
              <w:rPr>
                <w:rFonts w:ascii="Times New Roman" w:hAnsi="Times New Roman" w:cs="Times New Roman"/>
                <w:b/>
                <w:sz w:val="24"/>
              </w:rPr>
            </w:pPr>
            <w:r w:rsidRPr="00A3389E">
              <w:rPr>
                <w:rFonts w:ascii="Times New Roman" w:hAnsi="Times New Roman" w:cs="Times New Roman"/>
                <w:b/>
                <w:sz w:val="24"/>
              </w:rPr>
              <w:t>Všetky ostatné</w:t>
            </w:r>
          </w:p>
          <w:p w14:paraId="1AFEA65B" w14:textId="02A3422E" w:rsidR="00A3389E"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Všetky ostatné obchodné oblasti, ktoré neboli osobitne zahrnuté</w:t>
            </w:r>
            <w:r w:rsidR="00A3389E">
              <w:rPr>
                <w:rFonts w:ascii="Times New Roman" w:hAnsi="Times New Roman" w:cs="Times New Roman"/>
                <w:sz w:val="24"/>
              </w:rPr>
              <w:t xml:space="preserve"> v </w:t>
            </w:r>
            <w:r w:rsidRPr="00A3389E">
              <w:rPr>
                <w:rFonts w:ascii="Times New Roman" w:hAnsi="Times New Roman" w:cs="Times New Roman"/>
                <w:sz w:val="24"/>
              </w:rPr>
              <w:t>predchádzajúcich stĺpcoch</w:t>
            </w:r>
            <w:r w:rsidR="00A3389E" w:rsidRPr="00A3389E">
              <w:rPr>
                <w:rFonts w:ascii="Times New Roman" w:hAnsi="Times New Roman" w:cs="Times New Roman"/>
                <w:sz w:val="24"/>
              </w:rPr>
              <w:t>.</w:t>
            </w:r>
          </w:p>
          <w:p w14:paraId="2DB920DD" w14:textId="02ABFC67" w:rsidR="009360C9" w:rsidRPr="00A3389E" w:rsidRDefault="009360C9" w:rsidP="00155C96">
            <w:pPr>
              <w:autoSpaceDE w:val="0"/>
              <w:autoSpaceDN w:val="0"/>
              <w:adjustRightInd w:val="0"/>
              <w:spacing w:before="60" w:after="120"/>
              <w:jc w:val="both"/>
              <w:rPr>
                <w:rFonts w:ascii="Times New Roman" w:hAnsi="Times New Roman" w:cs="Times New Roman"/>
                <w:sz w:val="24"/>
              </w:rPr>
            </w:pPr>
            <w:r w:rsidRPr="00A3389E">
              <w:rPr>
                <w:rFonts w:ascii="Times New Roman" w:hAnsi="Times New Roman" w:cs="Times New Roman"/>
                <w:sz w:val="24"/>
              </w:rPr>
              <w:t>Informácie sa zverejňujú na základe ekvivalentu plného pracovného času.</w:t>
            </w:r>
          </w:p>
        </w:tc>
      </w:tr>
    </w:tbl>
    <w:p w14:paraId="3C9B02D2" w14:textId="77777777" w:rsidR="009360C9" w:rsidRPr="00A3389E" w:rsidRDefault="009360C9" w:rsidP="009360C9">
      <w:pPr>
        <w:rPr>
          <w:rFonts w:ascii="Times New Roman" w:hAnsi="Times New Roman" w:cs="Times New Roman"/>
          <w:sz w:val="24"/>
        </w:rPr>
      </w:pPr>
    </w:p>
    <w:p w14:paraId="4D5BA7B7" w14:textId="77777777" w:rsidR="003D6F47" w:rsidRPr="00A3389E" w:rsidRDefault="00D312C4">
      <w:pPr>
        <w:rPr>
          <w:rFonts w:ascii="Times New Roman" w:hAnsi="Times New Roman" w:cs="Times New Roman"/>
          <w:b/>
          <w:sz w:val="24"/>
        </w:rPr>
        <w:sectPr w:rsidR="003D6F47" w:rsidRPr="00A3389E" w:rsidSect="00155C96">
          <w:pgSz w:w="11900" w:h="16840"/>
          <w:pgMar w:top="2268" w:right="1418" w:bottom="1134" w:left="1701" w:header="709" w:footer="709" w:gutter="0"/>
          <w:pgNumType w:start="1" w:chapStyle="1"/>
          <w:cols w:space="708"/>
          <w:docGrid w:linePitch="299"/>
        </w:sectPr>
      </w:pPr>
      <w:r w:rsidRPr="00A3389E">
        <w:rPr>
          <w:rFonts w:ascii="Times New Roman" w:hAnsi="Times New Roman" w:cs="Times New Roman"/>
        </w:rPr>
        <w:br w:type="page"/>
      </w:r>
    </w:p>
    <w:p w14:paraId="3D74F0CC" w14:textId="14691BF9" w:rsidR="00D312C4" w:rsidRPr="0086713D" w:rsidRDefault="00D312C4" w:rsidP="00D312C4">
      <w:pPr>
        <w:pStyle w:val="Annexetitre"/>
        <w:spacing w:before="0"/>
        <w:rPr>
          <w:u w:val="none"/>
        </w:rPr>
      </w:pPr>
      <w:r w:rsidRPr="0086713D">
        <w:rPr>
          <w:u w:val="none"/>
        </w:rPr>
        <w:lastRenderedPageBreak/>
        <w:t>PRÍLOHA XXXVI – Pokyny pre vzory na zverejňovanie informácií</w:t>
      </w:r>
      <w:r w:rsidR="00A3389E" w:rsidRPr="0086713D">
        <w:rPr>
          <w:u w:val="none"/>
        </w:rPr>
        <w:t xml:space="preserve"> o </w:t>
      </w:r>
      <w:r w:rsidRPr="0086713D">
        <w:rPr>
          <w:u w:val="none"/>
        </w:rPr>
        <w:t>zaťaženosti aktív</w:t>
      </w:r>
    </w:p>
    <w:p w14:paraId="4A468F96" w14:textId="40347D6D" w:rsidR="00D312C4" w:rsidRPr="0086713D" w:rsidRDefault="00A3389E" w:rsidP="00A3389E">
      <w:pPr>
        <w:pStyle w:val="Teksttreci50"/>
        <w:shd w:val="clear" w:color="auto" w:fill="auto"/>
        <w:tabs>
          <w:tab w:val="left" w:pos="815"/>
        </w:tabs>
        <w:spacing w:before="0" w:after="120" w:line="240" w:lineRule="auto"/>
        <w:ind w:left="860" w:right="20"/>
        <w:jc w:val="both"/>
        <w:rPr>
          <w:rFonts w:eastAsiaTheme="minorEastAsia"/>
          <w:spacing w:val="0"/>
          <w:sz w:val="24"/>
          <w:szCs w:val="24"/>
        </w:rPr>
      </w:pPr>
      <w:bookmarkStart w:id="17" w:name="bookmark48"/>
      <w:r w:rsidRPr="0086713D">
        <w:rPr>
          <w:rFonts w:eastAsia="Calibri"/>
          <w:color w:val="000000"/>
          <w:sz w:val="24"/>
          <w:szCs w:val="24"/>
        </w:rPr>
        <w:t>1.</w:t>
      </w:r>
      <w:r w:rsidRPr="0086713D">
        <w:rPr>
          <w:rFonts w:eastAsia="Calibri"/>
          <w:color w:val="000000"/>
          <w:sz w:val="24"/>
          <w:szCs w:val="24"/>
        </w:rPr>
        <w:tab/>
      </w:r>
      <w:r w:rsidR="00D312C4" w:rsidRPr="0086713D">
        <w:rPr>
          <w:sz w:val="24"/>
          <w:szCs w:val="24"/>
        </w:rPr>
        <w:t>Inštitúcie zverejňujú informácie uvedené</w:t>
      </w:r>
      <w:r w:rsidRPr="0086713D">
        <w:rPr>
          <w:sz w:val="24"/>
          <w:szCs w:val="24"/>
        </w:rPr>
        <w:t xml:space="preserve"> v </w:t>
      </w:r>
      <w:r w:rsidR="00D312C4" w:rsidRPr="0086713D">
        <w:rPr>
          <w:sz w:val="24"/>
          <w:szCs w:val="24"/>
        </w:rPr>
        <w:t xml:space="preserve">článku 443 nariadenia (EÚ) </w:t>
      </w:r>
      <w:r w:rsidRPr="0086713D">
        <w:rPr>
          <w:sz w:val="24"/>
          <w:szCs w:val="24"/>
        </w:rPr>
        <w:t>č. </w:t>
      </w:r>
      <w:r w:rsidR="00D312C4" w:rsidRPr="0086713D">
        <w:rPr>
          <w:sz w:val="24"/>
          <w:szCs w:val="24"/>
        </w:rPr>
        <w:t>575/2013</w:t>
      </w:r>
      <w:r w:rsidR="00D312C4" w:rsidRPr="0086713D">
        <w:rPr>
          <w:rStyle w:val="FootnoteReference"/>
          <w:rFonts w:ascii="Times New Roman" w:hAnsi="Times New Roman"/>
          <w:sz w:val="24"/>
          <w:szCs w:val="24"/>
        </w:rPr>
        <w:footnoteReference w:id="54"/>
      </w:r>
      <w:r w:rsidR="00D312C4" w:rsidRPr="0086713D">
        <w:rPr>
          <w:sz w:val="24"/>
          <w:szCs w:val="24"/>
        </w:rPr>
        <w:t xml:space="preserve"> („CRR“) podľa pokynov uvedených nižšie</w:t>
      </w:r>
      <w:r w:rsidRPr="0086713D">
        <w:rPr>
          <w:sz w:val="24"/>
          <w:szCs w:val="24"/>
        </w:rPr>
        <w:t xml:space="preserve"> v </w:t>
      </w:r>
      <w:r w:rsidR="00D312C4" w:rsidRPr="0086713D">
        <w:rPr>
          <w:sz w:val="24"/>
          <w:szCs w:val="24"/>
        </w:rPr>
        <w:t>tejto prílohe</w:t>
      </w:r>
      <w:r w:rsidRPr="0086713D">
        <w:rPr>
          <w:sz w:val="24"/>
          <w:szCs w:val="24"/>
        </w:rPr>
        <w:t xml:space="preserve"> s </w:t>
      </w:r>
      <w:r w:rsidR="00D312C4" w:rsidRPr="0086713D">
        <w:rPr>
          <w:sz w:val="24"/>
          <w:szCs w:val="24"/>
        </w:rPr>
        <w:t>cieľom vyplniť vzory EU AE1 až EU AE4, ktoré sú uvedené</w:t>
      </w:r>
      <w:r w:rsidRPr="0086713D">
        <w:rPr>
          <w:sz w:val="24"/>
          <w:szCs w:val="24"/>
        </w:rPr>
        <w:t xml:space="preserve"> v </w:t>
      </w:r>
      <w:r w:rsidR="00D312C4" w:rsidRPr="0086713D">
        <w:rPr>
          <w:sz w:val="24"/>
          <w:szCs w:val="24"/>
        </w:rPr>
        <w:t>prílohe XXXV</w:t>
      </w:r>
      <w:r w:rsidRPr="0086713D">
        <w:rPr>
          <w:sz w:val="24"/>
          <w:szCs w:val="24"/>
        </w:rPr>
        <w:t xml:space="preserve"> k </w:t>
      </w:r>
      <w:r w:rsidR="00D312C4" w:rsidRPr="0086713D">
        <w:rPr>
          <w:sz w:val="24"/>
          <w:szCs w:val="24"/>
        </w:rPr>
        <w:t>tomuto vykonávaciemu nariadeniu.</w:t>
      </w:r>
    </w:p>
    <w:bookmarkEnd w:id="17"/>
    <w:p w14:paraId="0FFF404B" w14:textId="612E0FDE" w:rsidR="00D312C4" w:rsidRPr="0086713D" w:rsidRDefault="00A3389E" w:rsidP="00A3389E">
      <w:pPr>
        <w:pStyle w:val="Teksttreci50"/>
        <w:shd w:val="clear" w:color="auto" w:fill="auto"/>
        <w:tabs>
          <w:tab w:val="left" w:pos="815"/>
        </w:tabs>
        <w:spacing w:before="0" w:after="120" w:line="240" w:lineRule="auto"/>
        <w:ind w:left="860" w:right="20"/>
        <w:jc w:val="both"/>
        <w:rPr>
          <w:sz w:val="24"/>
          <w:szCs w:val="24"/>
        </w:rPr>
      </w:pPr>
      <w:r w:rsidRPr="0086713D">
        <w:rPr>
          <w:rFonts w:eastAsia="Calibri"/>
          <w:color w:val="000000"/>
          <w:sz w:val="24"/>
          <w:szCs w:val="24"/>
        </w:rPr>
        <w:t>2.</w:t>
      </w:r>
      <w:r w:rsidRPr="0086713D">
        <w:rPr>
          <w:rFonts w:eastAsia="Calibri"/>
          <w:color w:val="000000"/>
          <w:sz w:val="24"/>
          <w:szCs w:val="24"/>
        </w:rPr>
        <w:tab/>
      </w:r>
      <w:r w:rsidR="00D312C4" w:rsidRPr="0086713D">
        <w:rPr>
          <w:sz w:val="24"/>
          <w:szCs w:val="24"/>
        </w:rPr>
        <w:t>Na účely vzorov na zverejňovanie informácií</w:t>
      </w:r>
      <w:r w:rsidRPr="0086713D">
        <w:rPr>
          <w:sz w:val="24"/>
          <w:szCs w:val="24"/>
        </w:rPr>
        <w:t xml:space="preserve"> o </w:t>
      </w:r>
      <w:r w:rsidR="00D312C4" w:rsidRPr="0086713D">
        <w:rPr>
          <w:sz w:val="24"/>
          <w:szCs w:val="24"/>
        </w:rPr>
        <w:t>zaťaženosti aktív sa uplatňuje vymedzenie zaťaženosti aktív uvedené</w:t>
      </w:r>
      <w:r w:rsidRPr="0086713D">
        <w:rPr>
          <w:sz w:val="24"/>
          <w:szCs w:val="24"/>
        </w:rPr>
        <w:t xml:space="preserve"> v </w:t>
      </w:r>
      <w:r w:rsidR="00D312C4" w:rsidRPr="0086713D">
        <w:rPr>
          <w:sz w:val="24"/>
          <w:szCs w:val="24"/>
        </w:rPr>
        <w:t xml:space="preserve">bode </w:t>
      </w:r>
      <w:r w:rsidR="00D312C4" w:rsidRPr="0086713D">
        <w:rPr>
          <w:rStyle w:val="TeksttreciTimesNewRoman105ptOdstpy0pt"/>
          <w:sz w:val="24"/>
          <w:szCs w:val="24"/>
        </w:rPr>
        <w:t>1.7 prílohy XVII (pokyny pre vzory na vykazovanie zaťaženosti aktív)</w:t>
      </w:r>
      <w:r w:rsidRPr="0086713D">
        <w:rPr>
          <w:rStyle w:val="TeksttreciTimesNewRoman105ptOdstpy0pt"/>
          <w:sz w:val="24"/>
          <w:szCs w:val="24"/>
        </w:rPr>
        <w:t xml:space="preserve"> k </w:t>
      </w:r>
      <w:r w:rsidR="00D312C4" w:rsidRPr="0086713D">
        <w:rPr>
          <w:rStyle w:val="TeksttreciTimesNewRoman105ptOdstpy0pt"/>
          <w:sz w:val="24"/>
          <w:szCs w:val="24"/>
        </w:rPr>
        <w:t xml:space="preserve">vykonávaciemu nariadeniu Komisie (EÚ) </w:t>
      </w:r>
      <w:r w:rsidRPr="0086713D">
        <w:rPr>
          <w:rStyle w:val="TeksttreciTimesNewRoman105ptOdstpy0pt"/>
          <w:sz w:val="24"/>
          <w:szCs w:val="24"/>
        </w:rPr>
        <w:t>č. </w:t>
      </w:r>
      <w:r w:rsidR="00D312C4" w:rsidRPr="0086713D">
        <w:rPr>
          <w:rStyle w:val="TeksttreciTimesNewRoman105ptOdstpy0pt"/>
          <w:sz w:val="24"/>
          <w:szCs w:val="24"/>
        </w:rPr>
        <w:t>680/2014</w:t>
      </w:r>
      <w:r w:rsidR="00D312C4" w:rsidRPr="0086713D">
        <w:rPr>
          <w:rStyle w:val="FootnoteReference"/>
          <w:rFonts w:ascii="Times New Roman" w:eastAsia="Calibri" w:hAnsi="Times New Roman"/>
          <w:color w:val="000000"/>
          <w:sz w:val="24"/>
          <w:szCs w:val="24"/>
          <w:shd w:val="clear" w:color="auto" w:fill="FFFFFF"/>
        </w:rPr>
        <w:footnoteReference w:id="55"/>
      </w:r>
      <w:r w:rsidR="00D312C4" w:rsidRPr="0086713D">
        <w:rPr>
          <w:rStyle w:val="TeksttreciTimesNewRoman105ptOdstpy0pt"/>
          <w:sz w:val="24"/>
          <w:szCs w:val="24"/>
        </w:rPr>
        <w:t>.</w:t>
      </w:r>
    </w:p>
    <w:p w14:paraId="4E5225B5" w14:textId="54ADA1C5" w:rsidR="00D312C4" w:rsidRPr="0086713D" w:rsidRDefault="00A3389E" w:rsidP="00A3389E">
      <w:pPr>
        <w:pStyle w:val="Teksttreci50"/>
        <w:shd w:val="clear" w:color="auto" w:fill="auto"/>
        <w:tabs>
          <w:tab w:val="left" w:pos="815"/>
        </w:tabs>
        <w:spacing w:before="0" w:after="120" w:line="240" w:lineRule="auto"/>
        <w:ind w:left="860" w:right="20"/>
        <w:jc w:val="both"/>
        <w:rPr>
          <w:sz w:val="24"/>
          <w:szCs w:val="24"/>
        </w:rPr>
      </w:pPr>
      <w:r w:rsidRPr="0086713D">
        <w:rPr>
          <w:rFonts w:eastAsia="Calibri"/>
          <w:color w:val="000000"/>
          <w:sz w:val="24"/>
          <w:szCs w:val="24"/>
        </w:rPr>
        <w:t>3.</w:t>
      </w:r>
      <w:r w:rsidRPr="0086713D">
        <w:rPr>
          <w:rFonts w:eastAsia="Calibri"/>
          <w:color w:val="000000"/>
          <w:sz w:val="24"/>
          <w:szCs w:val="24"/>
        </w:rPr>
        <w:tab/>
      </w:r>
      <w:r w:rsidR="00D312C4" w:rsidRPr="0086713D">
        <w:rPr>
          <w:sz w:val="24"/>
          <w:szCs w:val="24"/>
        </w:rPr>
        <w:t>Inštitúcie zverejňujú položky uvedené vo vzoroch EU AE1, EU AE2</w:t>
      </w:r>
      <w:r w:rsidRPr="0086713D">
        <w:rPr>
          <w:sz w:val="24"/>
          <w:szCs w:val="24"/>
        </w:rPr>
        <w:t xml:space="preserve"> a </w:t>
      </w:r>
      <w:r w:rsidR="00D312C4" w:rsidRPr="0086713D">
        <w:rPr>
          <w:sz w:val="24"/>
          <w:szCs w:val="24"/>
        </w:rPr>
        <w:t>EU AE3 rovnakým spôsobom, ako sa vykazujú</w:t>
      </w:r>
      <w:r w:rsidRPr="0086713D">
        <w:rPr>
          <w:sz w:val="24"/>
          <w:szCs w:val="24"/>
        </w:rPr>
        <w:t xml:space="preserve"> v </w:t>
      </w:r>
      <w:r w:rsidR="00D312C4" w:rsidRPr="0086713D">
        <w:rPr>
          <w:sz w:val="24"/>
          <w:szCs w:val="24"/>
        </w:rPr>
        <w:t>súlade</w:t>
      </w:r>
      <w:r w:rsidRPr="0086713D">
        <w:rPr>
          <w:sz w:val="24"/>
          <w:szCs w:val="24"/>
        </w:rPr>
        <w:t xml:space="preserve"> s </w:t>
      </w:r>
      <w:r w:rsidR="00D312C4" w:rsidRPr="0086713D">
        <w:rPr>
          <w:sz w:val="24"/>
          <w:szCs w:val="24"/>
        </w:rPr>
        <w:t>prílohou XVI (vzory na vykazovanie zaťaženosti aktív)</w:t>
      </w:r>
      <w:r w:rsidRPr="0086713D">
        <w:rPr>
          <w:sz w:val="24"/>
          <w:szCs w:val="24"/>
        </w:rPr>
        <w:t xml:space="preserve"> k </w:t>
      </w:r>
      <w:r w:rsidR="00D312C4" w:rsidRPr="0086713D">
        <w:rPr>
          <w:sz w:val="24"/>
          <w:szCs w:val="24"/>
        </w:rPr>
        <w:t xml:space="preserve">vykonávaciemu nariadeniu Komisie (EÚ) </w:t>
      </w:r>
      <w:r w:rsidRPr="0086713D">
        <w:rPr>
          <w:sz w:val="24"/>
          <w:szCs w:val="24"/>
        </w:rPr>
        <w:t>č. </w:t>
      </w:r>
      <w:r w:rsidR="00D312C4" w:rsidRPr="0086713D">
        <w:rPr>
          <w:sz w:val="24"/>
          <w:szCs w:val="24"/>
        </w:rPr>
        <w:t>680/2014, ak nie je</w:t>
      </w:r>
      <w:r w:rsidRPr="0086713D">
        <w:rPr>
          <w:sz w:val="24"/>
          <w:szCs w:val="24"/>
        </w:rPr>
        <w:t xml:space="preserve"> v </w:t>
      </w:r>
      <w:r w:rsidR="00D312C4" w:rsidRPr="0086713D">
        <w:rPr>
          <w:sz w:val="24"/>
          <w:szCs w:val="24"/>
        </w:rPr>
        <w:t>uvedených tabuľkách výslovne uvedené inak.</w:t>
      </w:r>
    </w:p>
    <w:p w14:paraId="407D6DE4" w14:textId="469EEB78" w:rsidR="00D312C4" w:rsidRPr="0086713D" w:rsidRDefault="00A3389E" w:rsidP="00A3389E">
      <w:pPr>
        <w:pStyle w:val="Teksttreci50"/>
        <w:shd w:val="clear" w:color="auto" w:fill="auto"/>
        <w:tabs>
          <w:tab w:val="left" w:pos="815"/>
        </w:tabs>
        <w:spacing w:before="0" w:after="120" w:line="240" w:lineRule="auto"/>
        <w:ind w:left="860" w:right="20"/>
        <w:jc w:val="both"/>
        <w:rPr>
          <w:sz w:val="24"/>
          <w:szCs w:val="24"/>
        </w:rPr>
      </w:pPr>
      <w:r w:rsidRPr="0086713D">
        <w:rPr>
          <w:rFonts w:eastAsia="Calibri"/>
          <w:color w:val="000000"/>
          <w:sz w:val="24"/>
          <w:szCs w:val="24"/>
        </w:rPr>
        <w:t>4.</w:t>
      </w:r>
      <w:r w:rsidRPr="0086713D">
        <w:rPr>
          <w:rFonts w:eastAsia="Calibri"/>
          <w:color w:val="000000"/>
          <w:sz w:val="24"/>
          <w:szCs w:val="24"/>
        </w:rPr>
        <w:tab/>
      </w:r>
      <w:r w:rsidR="00D312C4" w:rsidRPr="0086713D">
        <w:rPr>
          <w:sz w:val="24"/>
          <w:szCs w:val="24"/>
        </w:rPr>
        <w:t>Položky uvedené</w:t>
      </w:r>
      <w:r w:rsidRPr="0086713D">
        <w:rPr>
          <w:sz w:val="24"/>
          <w:szCs w:val="24"/>
        </w:rPr>
        <w:t xml:space="preserve"> v </w:t>
      </w:r>
      <w:r w:rsidR="00D312C4" w:rsidRPr="0086713D">
        <w:rPr>
          <w:sz w:val="24"/>
          <w:szCs w:val="24"/>
        </w:rPr>
        <w:t>odseku 3 sa zverejňujú</w:t>
      </w:r>
      <w:r w:rsidRPr="0086713D">
        <w:rPr>
          <w:sz w:val="24"/>
          <w:szCs w:val="24"/>
        </w:rPr>
        <w:t xml:space="preserve"> s </w:t>
      </w:r>
      <w:r w:rsidR="00D312C4" w:rsidRPr="0086713D">
        <w:rPr>
          <w:sz w:val="24"/>
          <w:szCs w:val="24"/>
        </w:rPr>
        <w:t>použitím mediánových hodnôt. Mediánové hodnoty sú štvrťročné kĺzavé mediány za predchádzajúcich dvanásť mesiacov</w:t>
      </w:r>
      <w:r w:rsidRPr="0086713D">
        <w:rPr>
          <w:sz w:val="24"/>
          <w:szCs w:val="24"/>
        </w:rPr>
        <w:t xml:space="preserve"> a </w:t>
      </w:r>
      <w:r w:rsidR="00D312C4" w:rsidRPr="0086713D">
        <w:rPr>
          <w:sz w:val="24"/>
          <w:szCs w:val="24"/>
        </w:rPr>
        <w:t>určujú sa interpoláciou.</w:t>
      </w:r>
    </w:p>
    <w:p w14:paraId="26ED9534" w14:textId="351383C6" w:rsidR="00D312C4" w:rsidRPr="0086713D" w:rsidRDefault="00A3389E" w:rsidP="00A3389E">
      <w:pPr>
        <w:pStyle w:val="Teksttreci50"/>
        <w:shd w:val="clear" w:color="auto" w:fill="auto"/>
        <w:tabs>
          <w:tab w:val="left" w:pos="815"/>
        </w:tabs>
        <w:spacing w:before="0" w:after="120" w:line="240" w:lineRule="auto"/>
        <w:ind w:left="860" w:right="20"/>
        <w:jc w:val="both"/>
        <w:rPr>
          <w:sz w:val="24"/>
          <w:szCs w:val="24"/>
        </w:rPr>
      </w:pPr>
      <w:r w:rsidRPr="0086713D">
        <w:rPr>
          <w:rFonts w:eastAsia="Calibri"/>
          <w:color w:val="000000"/>
          <w:sz w:val="24"/>
          <w:szCs w:val="24"/>
        </w:rPr>
        <w:t>5.</w:t>
      </w:r>
      <w:r w:rsidRPr="0086713D">
        <w:rPr>
          <w:rFonts w:eastAsia="Calibri"/>
          <w:color w:val="000000"/>
          <w:sz w:val="24"/>
          <w:szCs w:val="24"/>
        </w:rPr>
        <w:tab/>
      </w:r>
      <w:r w:rsidR="00D312C4" w:rsidRPr="0086713D">
        <w:rPr>
          <w:sz w:val="24"/>
          <w:szCs w:val="24"/>
        </w:rPr>
        <w:t>Keď sa zverejňovanie vykonáva na konsolidovanom základe, uplatniteľným rozsahom konsolidácie je rozsah prudenciálnej konsolidácie</w:t>
      </w:r>
      <w:r w:rsidRPr="0086713D">
        <w:rPr>
          <w:sz w:val="24"/>
          <w:szCs w:val="24"/>
        </w:rPr>
        <w:t xml:space="preserve"> v </w:t>
      </w:r>
      <w:r w:rsidR="00D312C4" w:rsidRPr="0086713D">
        <w:rPr>
          <w:sz w:val="24"/>
          <w:szCs w:val="24"/>
        </w:rPr>
        <w:t>zmysle vymedzenia</w:t>
      </w:r>
      <w:r w:rsidRPr="0086713D">
        <w:rPr>
          <w:sz w:val="24"/>
          <w:szCs w:val="24"/>
        </w:rPr>
        <w:t xml:space="preserve"> v </w:t>
      </w:r>
      <w:r w:rsidR="00D312C4" w:rsidRPr="0086713D">
        <w:rPr>
          <w:sz w:val="24"/>
          <w:szCs w:val="24"/>
        </w:rPr>
        <w:t>prvej časti hlave II kapitole 2 oddiele 2 CRR.</w:t>
      </w:r>
    </w:p>
    <w:p w14:paraId="0381A969" w14:textId="43C26029" w:rsidR="00D312C4" w:rsidRPr="0086713D" w:rsidRDefault="00A3389E" w:rsidP="00A3389E">
      <w:pPr>
        <w:pStyle w:val="Teksttreci50"/>
        <w:shd w:val="clear" w:color="auto" w:fill="auto"/>
        <w:tabs>
          <w:tab w:val="left" w:pos="815"/>
        </w:tabs>
        <w:spacing w:before="0" w:after="120" w:line="240" w:lineRule="auto"/>
        <w:ind w:left="860" w:right="20"/>
        <w:jc w:val="both"/>
        <w:rPr>
          <w:sz w:val="24"/>
          <w:szCs w:val="24"/>
        </w:rPr>
      </w:pPr>
      <w:r w:rsidRPr="0086713D">
        <w:rPr>
          <w:rFonts w:eastAsia="Calibri"/>
          <w:color w:val="000000"/>
          <w:sz w:val="24"/>
          <w:szCs w:val="24"/>
        </w:rPr>
        <w:t>6.</w:t>
      </w:r>
      <w:r w:rsidRPr="0086713D">
        <w:rPr>
          <w:rFonts w:eastAsia="Calibri"/>
          <w:color w:val="000000"/>
          <w:sz w:val="24"/>
          <w:szCs w:val="24"/>
        </w:rPr>
        <w:tab/>
      </w:r>
      <w:r w:rsidR="00D312C4" w:rsidRPr="0086713D">
        <w:rPr>
          <w:sz w:val="24"/>
          <w:szCs w:val="24"/>
        </w:rPr>
        <w:t>Ukazovatele kvality aktív podľa druhu aktív</w:t>
      </w:r>
      <w:r w:rsidRPr="0086713D">
        <w:rPr>
          <w:sz w:val="24"/>
          <w:szCs w:val="24"/>
        </w:rPr>
        <w:t xml:space="preserve"> v </w:t>
      </w:r>
      <w:r w:rsidR="00D312C4" w:rsidRPr="0086713D">
        <w:rPr>
          <w:sz w:val="24"/>
          <w:szCs w:val="24"/>
        </w:rPr>
        <w:t>stĺpcoch C030, C050, C080</w:t>
      </w:r>
      <w:r w:rsidRPr="0086713D">
        <w:rPr>
          <w:sz w:val="24"/>
          <w:szCs w:val="24"/>
        </w:rPr>
        <w:t xml:space="preserve"> a </w:t>
      </w:r>
      <w:r w:rsidR="00D312C4" w:rsidRPr="0086713D">
        <w:rPr>
          <w:sz w:val="24"/>
          <w:szCs w:val="24"/>
        </w:rPr>
        <w:t>C100 vzoru EU AE1</w:t>
      </w:r>
      <w:r w:rsidRPr="0086713D">
        <w:rPr>
          <w:sz w:val="24"/>
          <w:szCs w:val="24"/>
        </w:rPr>
        <w:t xml:space="preserve"> a </w:t>
      </w:r>
      <w:r w:rsidR="00D312C4" w:rsidRPr="0086713D">
        <w:rPr>
          <w:sz w:val="24"/>
          <w:szCs w:val="24"/>
        </w:rPr>
        <w:t>podľa druhov prijatého kolaterálu</w:t>
      </w:r>
      <w:r w:rsidRPr="0086713D">
        <w:rPr>
          <w:sz w:val="24"/>
          <w:szCs w:val="24"/>
        </w:rPr>
        <w:t xml:space="preserve"> a </w:t>
      </w:r>
      <w:r w:rsidR="00D312C4" w:rsidRPr="0086713D">
        <w:rPr>
          <w:sz w:val="24"/>
          <w:szCs w:val="24"/>
        </w:rPr>
        <w:t>emitovaných dlhových cenných papierov vrátane krytých dlhopisov</w:t>
      </w:r>
      <w:r w:rsidRPr="0086713D">
        <w:rPr>
          <w:sz w:val="24"/>
          <w:szCs w:val="24"/>
        </w:rPr>
        <w:t xml:space="preserve"> a </w:t>
      </w:r>
      <w:r w:rsidR="00D312C4" w:rsidRPr="0086713D">
        <w:rPr>
          <w:sz w:val="24"/>
          <w:szCs w:val="24"/>
        </w:rPr>
        <w:t>sekuritizácií</w:t>
      </w:r>
      <w:r w:rsidRPr="0086713D">
        <w:rPr>
          <w:sz w:val="24"/>
          <w:szCs w:val="24"/>
        </w:rPr>
        <w:t xml:space="preserve"> v </w:t>
      </w:r>
      <w:r w:rsidR="00D312C4" w:rsidRPr="0086713D">
        <w:rPr>
          <w:sz w:val="24"/>
          <w:szCs w:val="24"/>
        </w:rPr>
        <w:t>stĺpcoch C030</w:t>
      </w:r>
      <w:r w:rsidRPr="0086713D">
        <w:rPr>
          <w:sz w:val="24"/>
          <w:szCs w:val="24"/>
        </w:rPr>
        <w:t xml:space="preserve"> a </w:t>
      </w:r>
      <w:r w:rsidR="00D312C4" w:rsidRPr="0086713D">
        <w:rPr>
          <w:sz w:val="24"/>
          <w:szCs w:val="24"/>
        </w:rPr>
        <w:t>C060, ako sa stanovuje vo vzore EU AE2, sa uplatňujú len na úverové inštitúcie, ktoré spĺňajú niektorú</w:t>
      </w:r>
      <w:r w:rsidRPr="0086713D">
        <w:rPr>
          <w:sz w:val="24"/>
          <w:szCs w:val="24"/>
        </w:rPr>
        <w:t xml:space="preserve"> z </w:t>
      </w:r>
      <w:r w:rsidR="00D312C4" w:rsidRPr="0086713D">
        <w:rPr>
          <w:sz w:val="24"/>
          <w:szCs w:val="24"/>
        </w:rPr>
        <w:t>týchto podmienok:</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86713D" w14:paraId="28A2C39C" w14:textId="77777777" w:rsidTr="00155C96">
        <w:trPr>
          <w:tblCellSpacing w:w="0" w:type="dxa"/>
        </w:trPr>
        <w:tc>
          <w:tcPr>
            <w:tcW w:w="0" w:type="auto"/>
            <w:hideMark/>
          </w:tcPr>
          <w:p w14:paraId="204CD97E" w14:textId="77777777" w:rsidR="00D312C4" w:rsidRPr="0086713D" w:rsidRDefault="00D312C4" w:rsidP="00155C96">
            <w:pPr>
              <w:spacing w:after="120"/>
              <w:rPr>
                <w:rFonts w:ascii="Times New Roman" w:eastAsia="Times New Roman" w:hAnsi="Times New Roman" w:cs="Times New Roman"/>
                <w:sz w:val="24"/>
              </w:rPr>
            </w:pPr>
            <w:r w:rsidRPr="0086713D">
              <w:rPr>
                <w:rFonts w:ascii="Times New Roman" w:hAnsi="Times New Roman" w:cs="Times New Roman"/>
                <w:sz w:val="24"/>
              </w:rPr>
              <w:t>a)</w:t>
            </w:r>
          </w:p>
        </w:tc>
        <w:tc>
          <w:tcPr>
            <w:tcW w:w="0" w:type="auto"/>
            <w:hideMark/>
          </w:tcPr>
          <w:p w14:paraId="3F408107" w14:textId="0D9AA12A" w:rsidR="00D312C4" w:rsidRPr="0086713D" w:rsidRDefault="00D312C4" w:rsidP="00155C96">
            <w:pPr>
              <w:spacing w:after="120"/>
              <w:rPr>
                <w:rFonts w:ascii="Times New Roman" w:eastAsia="Times New Roman" w:hAnsi="Times New Roman" w:cs="Times New Roman"/>
                <w:sz w:val="24"/>
              </w:rPr>
            </w:pPr>
            <w:r w:rsidRPr="0086713D">
              <w:rPr>
                <w:rFonts w:ascii="Times New Roman" w:hAnsi="Times New Roman" w:cs="Times New Roman"/>
                <w:sz w:val="24"/>
              </w:rPr>
              <w:t xml:space="preserve"> ich celkové aktíva vypočítané</w:t>
            </w:r>
            <w:r w:rsidR="00A3389E" w:rsidRPr="0086713D">
              <w:rPr>
                <w:rFonts w:ascii="Times New Roman" w:hAnsi="Times New Roman" w:cs="Times New Roman"/>
                <w:sz w:val="24"/>
              </w:rPr>
              <w:t xml:space="preserve"> v </w:t>
            </w:r>
            <w:r w:rsidRPr="0086713D">
              <w:rPr>
                <w:rFonts w:ascii="Times New Roman" w:hAnsi="Times New Roman" w:cs="Times New Roman"/>
                <w:sz w:val="24"/>
              </w:rPr>
              <w:t>súlade</w:t>
            </w:r>
            <w:r w:rsidR="00A3389E" w:rsidRPr="0086713D">
              <w:rPr>
                <w:rFonts w:ascii="Times New Roman" w:hAnsi="Times New Roman" w:cs="Times New Roman"/>
                <w:sz w:val="24"/>
              </w:rPr>
              <w:t xml:space="preserve"> s </w:t>
            </w:r>
            <w:r w:rsidRPr="0086713D">
              <w:rPr>
                <w:rFonts w:ascii="Times New Roman" w:hAnsi="Times New Roman" w:cs="Times New Roman"/>
                <w:sz w:val="24"/>
              </w:rPr>
              <w:t>bodom 1.6 odsekom 10 prílohy XVII</w:t>
            </w:r>
            <w:r w:rsidR="00A3389E" w:rsidRPr="0086713D">
              <w:rPr>
                <w:rFonts w:ascii="Times New Roman" w:hAnsi="Times New Roman" w:cs="Times New Roman"/>
                <w:sz w:val="24"/>
              </w:rPr>
              <w:t xml:space="preserve"> k </w:t>
            </w:r>
            <w:r w:rsidRPr="0086713D">
              <w:rPr>
                <w:rFonts w:ascii="Times New Roman" w:hAnsi="Times New Roman" w:cs="Times New Roman"/>
                <w:sz w:val="24"/>
              </w:rPr>
              <w:t xml:space="preserve">vykonávaciemu nariadeniu Komisie (EÚ) </w:t>
            </w:r>
            <w:r w:rsidR="00A3389E" w:rsidRPr="0086713D">
              <w:rPr>
                <w:rFonts w:ascii="Times New Roman" w:hAnsi="Times New Roman" w:cs="Times New Roman"/>
                <w:sz w:val="24"/>
              </w:rPr>
              <w:t>č. </w:t>
            </w:r>
            <w:r w:rsidRPr="0086713D">
              <w:rPr>
                <w:rFonts w:ascii="Times New Roman" w:hAnsi="Times New Roman" w:cs="Times New Roman"/>
                <w:sz w:val="24"/>
              </w:rPr>
              <w:t>680/2014 predstavujú viac ako 30 miliárd EUR;</w:t>
            </w:r>
          </w:p>
        </w:tc>
      </w:tr>
    </w:tbl>
    <w:p w14:paraId="0736F7E4" w14:textId="77777777" w:rsidR="00D312C4" w:rsidRPr="00A3389E"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A3389E" w14:paraId="2AF4C5D0" w14:textId="77777777" w:rsidTr="00155C96">
        <w:trPr>
          <w:tblCellSpacing w:w="0" w:type="dxa"/>
        </w:trPr>
        <w:tc>
          <w:tcPr>
            <w:tcW w:w="0" w:type="auto"/>
            <w:hideMark/>
          </w:tcPr>
          <w:p w14:paraId="62D08C7D" w14:textId="77777777" w:rsidR="00D312C4" w:rsidRPr="00A3389E" w:rsidRDefault="00D312C4" w:rsidP="00155C96">
            <w:pPr>
              <w:spacing w:after="120"/>
              <w:rPr>
                <w:rFonts w:ascii="Times New Roman" w:eastAsia="Times New Roman" w:hAnsi="Times New Roman" w:cs="Times New Roman"/>
                <w:sz w:val="24"/>
              </w:rPr>
            </w:pPr>
            <w:r w:rsidRPr="00A3389E">
              <w:rPr>
                <w:rFonts w:ascii="Times New Roman" w:hAnsi="Times New Roman" w:cs="Times New Roman"/>
                <w:sz w:val="24"/>
              </w:rPr>
              <w:t>b)</w:t>
            </w:r>
          </w:p>
        </w:tc>
        <w:tc>
          <w:tcPr>
            <w:tcW w:w="0" w:type="auto"/>
            <w:hideMark/>
          </w:tcPr>
          <w:p w14:paraId="75AA8D1F" w14:textId="3B309424" w:rsidR="00D312C4" w:rsidRPr="00A3389E" w:rsidRDefault="00D312C4" w:rsidP="00155C96">
            <w:pPr>
              <w:spacing w:after="120"/>
              <w:rPr>
                <w:rFonts w:ascii="Times New Roman" w:eastAsia="Times New Roman" w:hAnsi="Times New Roman" w:cs="Times New Roman"/>
                <w:sz w:val="24"/>
              </w:rPr>
            </w:pPr>
            <w:r w:rsidRPr="00A3389E">
              <w:rPr>
                <w:rFonts w:ascii="Times New Roman" w:hAnsi="Times New Roman" w:cs="Times New Roman"/>
                <w:sz w:val="24"/>
              </w:rPr>
              <w:t xml:space="preserve"> ich úroveň zaťaženosti aktív vypočítaná</w:t>
            </w:r>
            <w:r w:rsidR="00A3389E">
              <w:rPr>
                <w:rFonts w:ascii="Times New Roman" w:hAnsi="Times New Roman" w:cs="Times New Roman"/>
                <w:sz w:val="24"/>
              </w:rPr>
              <w:t xml:space="preserve"> v </w:t>
            </w:r>
            <w:r w:rsidRPr="00A3389E">
              <w:rPr>
                <w:rFonts w:ascii="Times New Roman" w:hAnsi="Times New Roman" w:cs="Times New Roman"/>
                <w:sz w:val="24"/>
              </w:rPr>
              <w:t>súlade</w:t>
            </w:r>
            <w:r w:rsidR="00A3389E">
              <w:rPr>
                <w:rFonts w:ascii="Times New Roman" w:hAnsi="Times New Roman" w:cs="Times New Roman"/>
                <w:sz w:val="24"/>
              </w:rPr>
              <w:t xml:space="preserve"> s </w:t>
            </w:r>
            <w:r w:rsidRPr="00A3389E">
              <w:rPr>
                <w:rFonts w:ascii="Times New Roman" w:hAnsi="Times New Roman" w:cs="Times New Roman"/>
                <w:sz w:val="24"/>
              </w:rPr>
              <w:t>bodom 1.6 odsekom 9 prílohy XVII</w:t>
            </w:r>
            <w:r w:rsidR="00A3389E">
              <w:rPr>
                <w:rFonts w:ascii="Times New Roman" w:hAnsi="Times New Roman" w:cs="Times New Roman"/>
                <w:sz w:val="24"/>
              </w:rPr>
              <w:t xml:space="preserve"> k </w:t>
            </w:r>
            <w:r w:rsidRPr="00A3389E">
              <w:rPr>
                <w:rFonts w:ascii="Times New Roman" w:hAnsi="Times New Roman" w:cs="Times New Roman"/>
                <w:sz w:val="24"/>
              </w:rPr>
              <w:t xml:space="preserve">vykonávaciemu nariadeniu Komisie (EÚ) </w:t>
            </w:r>
            <w:r w:rsidR="00A3389E">
              <w:rPr>
                <w:rFonts w:ascii="Times New Roman" w:hAnsi="Times New Roman" w:cs="Times New Roman"/>
                <w:sz w:val="24"/>
              </w:rPr>
              <w:t>č. </w:t>
            </w:r>
            <w:r w:rsidRPr="00A3389E">
              <w:rPr>
                <w:rFonts w:ascii="Times New Roman" w:hAnsi="Times New Roman" w:cs="Times New Roman"/>
                <w:sz w:val="24"/>
              </w:rPr>
              <w:t>680/2014 je vyššia ako 15</w:t>
            </w:r>
            <w:r w:rsidR="00A3389E">
              <w:rPr>
                <w:rFonts w:ascii="Times New Roman" w:hAnsi="Times New Roman" w:cs="Times New Roman"/>
                <w:sz w:val="24"/>
              </w:rPr>
              <w:t> %</w:t>
            </w:r>
            <w:r w:rsidRPr="00A3389E">
              <w:rPr>
                <w:rFonts w:ascii="Times New Roman" w:hAnsi="Times New Roman" w:cs="Times New Roman"/>
                <w:sz w:val="24"/>
              </w:rPr>
              <w:t>.</w:t>
            </w:r>
          </w:p>
        </w:tc>
      </w:tr>
    </w:tbl>
    <w:p w14:paraId="0B55979B" w14:textId="77777777" w:rsidR="00D312C4" w:rsidRPr="0086713D" w:rsidRDefault="00D312C4" w:rsidP="00D312C4">
      <w:pPr>
        <w:spacing w:after="120"/>
        <w:rPr>
          <w:rFonts w:ascii="Times New Roman" w:hAnsi="Times New Roman" w:cs="Times New Roman"/>
          <w:sz w:val="24"/>
        </w:rPr>
      </w:pPr>
    </w:p>
    <w:p w14:paraId="6DA5BD05" w14:textId="176BC208" w:rsidR="00D312C4" w:rsidRPr="0086713D" w:rsidRDefault="00D312C4" w:rsidP="00D312C4">
      <w:pPr>
        <w:spacing w:after="120"/>
        <w:rPr>
          <w:rFonts w:ascii="Times New Roman" w:hAnsi="Times New Roman" w:cs="Times New Roman"/>
          <w:b/>
          <w:sz w:val="24"/>
        </w:rPr>
      </w:pPr>
      <w:r w:rsidRPr="0086713D">
        <w:rPr>
          <w:rFonts w:ascii="Times New Roman" w:hAnsi="Times New Roman" w:cs="Times New Roman"/>
          <w:b/>
          <w:sz w:val="24"/>
        </w:rPr>
        <w:t>Vzor EU AE1 – Zaťažené</w:t>
      </w:r>
      <w:r w:rsidR="00A3389E" w:rsidRPr="0086713D">
        <w:rPr>
          <w:rFonts w:ascii="Times New Roman" w:hAnsi="Times New Roman" w:cs="Times New Roman"/>
          <w:b/>
          <w:sz w:val="24"/>
        </w:rPr>
        <w:t xml:space="preserve"> a </w:t>
      </w:r>
      <w:r w:rsidRPr="0086713D">
        <w:rPr>
          <w:rFonts w:ascii="Times New Roman" w:hAnsi="Times New Roman" w:cs="Times New Roman"/>
          <w:b/>
          <w:sz w:val="24"/>
        </w:rPr>
        <w:t>nezaťažené aktíva</w:t>
      </w:r>
    </w:p>
    <w:p w14:paraId="0A514D00" w14:textId="0B7D1B9C" w:rsidR="00D312C4" w:rsidRPr="0086713D" w:rsidRDefault="00A3389E" w:rsidP="00A3389E">
      <w:pPr>
        <w:pStyle w:val="Teksttreci50"/>
        <w:shd w:val="clear" w:color="auto" w:fill="auto"/>
        <w:tabs>
          <w:tab w:val="left" w:pos="815"/>
        </w:tabs>
        <w:spacing w:before="0" w:after="120" w:line="240" w:lineRule="auto"/>
        <w:ind w:right="20" w:firstLine="0"/>
        <w:jc w:val="both"/>
        <w:rPr>
          <w:rFonts w:eastAsiaTheme="minorEastAsia"/>
          <w:spacing w:val="0"/>
          <w:sz w:val="24"/>
          <w:szCs w:val="24"/>
        </w:rPr>
      </w:pPr>
      <w:r w:rsidRPr="0086713D">
        <w:rPr>
          <w:rFonts w:eastAsia="Calibri"/>
          <w:color w:val="000000"/>
          <w:sz w:val="24"/>
          <w:szCs w:val="24"/>
        </w:rPr>
        <w:t>7.</w:t>
      </w:r>
      <w:r w:rsidRPr="0086713D">
        <w:rPr>
          <w:rFonts w:eastAsia="Calibri"/>
          <w:color w:val="000000"/>
          <w:sz w:val="24"/>
          <w:szCs w:val="24"/>
        </w:rPr>
        <w:tab/>
      </w:r>
      <w:r w:rsidR="00D312C4" w:rsidRPr="0086713D">
        <w:rPr>
          <w:sz w:val="24"/>
          <w:szCs w:val="24"/>
        </w:rPr>
        <w:t>Inštitúcie vypĺňajú vzor EU AE1, ktorý je uvedený</w:t>
      </w:r>
      <w:r w:rsidRPr="0086713D">
        <w:rPr>
          <w:sz w:val="24"/>
          <w:szCs w:val="24"/>
        </w:rPr>
        <w:t xml:space="preserve"> v </w:t>
      </w:r>
      <w:r w:rsidR="00D312C4" w:rsidRPr="0086713D">
        <w:rPr>
          <w:sz w:val="24"/>
          <w:szCs w:val="24"/>
        </w:rPr>
        <w:t>prílohe XXXV</w:t>
      </w:r>
      <w:r w:rsidRPr="0086713D">
        <w:rPr>
          <w:sz w:val="24"/>
          <w:szCs w:val="24"/>
        </w:rPr>
        <w:t xml:space="preserve"> k </w:t>
      </w:r>
      <w:r w:rsidR="00D312C4" w:rsidRPr="0086713D">
        <w:rPr>
          <w:sz w:val="24"/>
          <w:szCs w:val="24"/>
        </w:rPr>
        <w:t>tomuto vykonávaciemu nariadeniu, podľa nižšie uvedených pokynov.</w:t>
      </w:r>
    </w:p>
    <w:p w14:paraId="6C03A6EE" w14:textId="77777777" w:rsidR="00D312C4" w:rsidRPr="0086713D" w:rsidRDefault="00D312C4" w:rsidP="00D312C4">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6713D"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314C2851" w:rsidR="00D312C4" w:rsidRPr="0086713D" w:rsidRDefault="00D312C4" w:rsidP="00155C96">
            <w:pPr>
              <w:spacing w:after="120"/>
              <w:rPr>
                <w:rFonts w:ascii="Times New Roman" w:hAnsi="Times New Roman" w:cs="Times New Roman"/>
                <w:b/>
                <w:sz w:val="24"/>
              </w:rPr>
            </w:pPr>
            <w:r w:rsidRPr="0086713D">
              <w:rPr>
                <w:rFonts w:ascii="Times New Roman" w:hAnsi="Times New Roman" w:cs="Times New Roman"/>
                <w:b/>
                <w:sz w:val="24"/>
              </w:rPr>
              <w:t>Odkazy na právne predpisy</w:t>
            </w:r>
            <w:r w:rsidR="00A3389E" w:rsidRPr="0086713D">
              <w:rPr>
                <w:rFonts w:ascii="Times New Roman" w:hAnsi="Times New Roman" w:cs="Times New Roman"/>
                <w:b/>
                <w:sz w:val="24"/>
              </w:rPr>
              <w:t xml:space="preserve"> a </w:t>
            </w:r>
            <w:r w:rsidRPr="0086713D">
              <w:rPr>
                <w:rFonts w:ascii="Times New Roman" w:hAnsi="Times New Roman" w:cs="Times New Roman"/>
                <w:b/>
                <w:sz w:val="24"/>
              </w:rPr>
              <w:t>pokyny</w:t>
            </w:r>
          </w:p>
        </w:tc>
      </w:tr>
      <w:tr w:rsidR="00D312C4" w:rsidRPr="0086713D" w14:paraId="56C8E2DF" w14:textId="77777777" w:rsidTr="00155C96">
        <w:trPr>
          <w:trHeight w:val="238"/>
        </w:trPr>
        <w:tc>
          <w:tcPr>
            <w:tcW w:w="1384" w:type="dxa"/>
            <w:shd w:val="clear" w:color="auto" w:fill="D9D9D9" w:themeFill="background1" w:themeFillShade="D9"/>
          </w:tcPr>
          <w:p w14:paraId="3D7DBAFB"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lastRenderedPageBreak/>
              <w:t>Číslo riadku</w:t>
            </w:r>
          </w:p>
        </w:tc>
        <w:tc>
          <w:tcPr>
            <w:tcW w:w="7655" w:type="dxa"/>
            <w:shd w:val="clear" w:color="auto" w:fill="D9D9D9" w:themeFill="background1" w:themeFillShade="D9"/>
          </w:tcPr>
          <w:p w14:paraId="1B7AF2FF" w14:textId="77777777" w:rsidR="00D312C4" w:rsidRPr="0086713D" w:rsidRDefault="00D312C4" w:rsidP="00155C96">
            <w:pPr>
              <w:autoSpaceDE w:val="0"/>
              <w:autoSpaceDN w:val="0"/>
              <w:adjustRightInd w:val="0"/>
              <w:spacing w:after="120"/>
              <w:rPr>
                <w:rFonts w:ascii="Times New Roman" w:hAnsi="Times New Roman" w:cs="Times New Roman"/>
                <w:color w:val="000000"/>
                <w:sz w:val="24"/>
              </w:rPr>
            </w:pPr>
            <w:r w:rsidRPr="0086713D">
              <w:rPr>
                <w:rFonts w:ascii="Times New Roman" w:hAnsi="Times New Roman" w:cs="Times New Roman"/>
                <w:b/>
                <w:sz w:val="24"/>
              </w:rPr>
              <w:t>Vysvetlenie</w:t>
            </w:r>
          </w:p>
        </w:tc>
      </w:tr>
      <w:tr w:rsidR="00D312C4" w:rsidRPr="0086713D" w14:paraId="4D04D013" w14:textId="77777777" w:rsidTr="00155C96">
        <w:trPr>
          <w:trHeight w:val="2031"/>
        </w:trPr>
        <w:tc>
          <w:tcPr>
            <w:tcW w:w="1384" w:type="dxa"/>
          </w:tcPr>
          <w:p w14:paraId="73B474BA" w14:textId="77777777" w:rsidR="00D312C4" w:rsidRPr="0086713D" w:rsidRDefault="00D312C4" w:rsidP="00155C96">
            <w:pPr>
              <w:pStyle w:val="Applicationdirecte"/>
              <w:spacing w:before="0"/>
            </w:pPr>
            <w:r w:rsidRPr="0086713D">
              <w:t>010</w:t>
            </w:r>
          </w:p>
        </w:tc>
        <w:tc>
          <w:tcPr>
            <w:tcW w:w="7655" w:type="dxa"/>
          </w:tcPr>
          <w:p w14:paraId="0242EFE7" w14:textId="77777777" w:rsidR="00A3389E" w:rsidRPr="0086713D" w:rsidRDefault="00D312C4" w:rsidP="00155C96">
            <w:pPr>
              <w:pStyle w:val="Teksttreci0"/>
              <w:shd w:val="clear" w:color="auto" w:fill="auto"/>
              <w:spacing w:after="120" w:line="240" w:lineRule="auto"/>
              <w:ind w:firstLine="0"/>
              <w:rPr>
                <w:rStyle w:val="PogrubienieTeksttreciTimesNewRoman105ptOdstpy0pt"/>
                <w:rFonts w:eastAsia="Book Antiqua"/>
                <w:spacing w:val="0"/>
                <w:sz w:val="24"/>
                <w:szCs w:val="24"/>
              </w:rPr>
            </w:pPr>
            <w:r w:rsidRPr="0086713D">
              <w:rPr>
                <w:rStyle w:val="PogrubienieTeksttreciTimesNewRoman105ptOdstpy0pt"/>
                <w:rFonts w:eastAsia="Book Antiqua"/>
                <w:spacing w:val="0"/>
                <w:sz w:val="24"/>
                <w:szCs w:val="24"/>
              </w:rPr>
              <w:t>Aktíva zverejňujúcej inštitúcie</w:t>
            </w:r>
          </w:p>
          <w:p w14:paraId="6CEEFD1A" w14:textId="11EE691B" w:rsidR="00D312C4" w:rsidRPr="0086713D" w:rsidRDefault="00D312C4" w:rsidP="00155C96">
            <w:pPr>
              <w:pStyle w:val="Teksttreci0"/>
              <w:shd w:val="clear" w:color="auto" w:fill="auto"/>
              <w:spacing w:after="120" w:line="240" w:lineRule="auto"/>
              <w:ind w:firstLine="0"/>
              <w:rPr>
                <w:rFonts w:ascii="Times New Roman" w:hAnsi="Times New Roman" w:cs="Times New Roman"/>
                <w:b/>
                <w:sz w:val="24"/>
                <w:szCs w:val="24"/>
              </w:rPr>
            </w:pPr>
            <w:r w:rsidRPr="0086713D">
              <w:rPr>
                <w:rStyle w:val="PogrubienieTeksttreciTimesNewRoman105ptOdstpy0pt"/>
                <w:rFonts w:eastAsia="Book Antiqua"/>
                <w:b w:val="0"/>
                <w:spacing w:val="0"/>
                <w:sz w:val="24"/>
                <w:szCs w:val="24"/>
              </w:rPr>
              <w:t>V prípade inštitúcií, ktoré uskutočňujú vykazovanie podľa štandardov IFRS, medzinárodný účtovný štandard (IAS) 1 ods. 9 písm. a), návod na implementáciu (</w:t>
            </w:r>
            <w:r w:rsidRPr="0086713D">
              <w:rPr>
                <w:rStyle w:val="PogrubienieTeksttreciTimesNewRoman105ptOdstpy0pt"/>
                <w:rFonts w:eastAsia="Book Antiqua"/>
                <w:b w:val="0"/>
                <w:i/>
                <w:spacing w:val="0"/>
                <w:sz w:val="24"/>
                <w:szCs w:val="24"/>
              </w:rPr>
              <w:t>Implementation Guidance</w:t>
            </w:r>
            <w:r w:rsidRPr="0086713D">
              <w:rPr>
                <w:rStyle w:val="PogrubienieTeksttreciTimesNewRoman105ptOdstpy0pt"/>
                <w:rFonts w:eastAsia="Book Antiqua"/>
                <w:b w:val="0"/>
                <w:spacing w:val="0"/>
                <w:sz w:val="24"/>
                <w:szCs w:val="24"/>
              </w:rPr>
              <w:t xml:space="preserve"> – IG) 6.</w:t>
            </w:r>
          </w:p>
          <w:p w14:paraId="2770C043" w14:textId="6AC524A5" w:rsidR="00D312C4" w:rsidRPr="0086713D" w:rsidRDefault="00D312C4" w:rsidP="00155C96">
            <w:pPr>
              <w:spacing w:after="120"/>
              <w:jc w:val="both"/>
              <w:rPr>
                <w:rStyle w:val="TeksttreciTimesNewRoman105ptOdstpy0pt"/>
                <w:rFonts w:eastAsia="Calibri"/>
                <w:spacing w:val="0"/>
                <w:sz w:val="24"/>
                <w:szCs w:val="24"/>
              </w:rPr>
            </w:pPr>
            <w:r w:rsidRPr="0086713D">
              <w:rPr>
                <w:rStyle w:val="TeksttreciTimesNewRoman105ptOdstpy0pt"/>
                <w:rFonts w:eastAsiaTheme="minorEastAsia"/>
                <w:spacing w:val="0"/>
                <w:sz w:val="24"/>
                <w:szCs w:val="24"/>
              </w:rPr>
              <w:t>Celkové aktíva inštitúcie evidované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jej súvahe,</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výnimkou vlastných dlhových cenných papierov</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vlastných nástrojov vlastného imania, keď uplatniteľné účtovné štandardy umožňujú ich vykázanie</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súvahe.</w:t>
            </w:r>
          </w:p>
          <w:p w14:paraId="2B8CA0E2" w14:textId="4D4498AC" w:rsidR="00D312C4" w:rsidRPr="0086713D" w:rsidRDefault="00D312C4" w:rsidP="00155C96">
            <w:pPr>
              <w:spacing w:after="120"/>
              <w:jc w:val="both"/>
              <w:rPr>
                <w:rFonts w:ascii="Times New Roman" w:hAnsi="Times New Roman" w:cs="Times New Roman"/>
                <w:sz w:val="24"/>
              </w:rPr>
            </w:pPr>
            <w:r w:rsidRPr="0086713D">
              <w:rPr>
                <w:rStyle w:val="TeksttreciTimesNewRoman105ptOdstpy0pt"/>
                <w:rFonts w:eastAsiaTheme="minorEastAsia"/>
                <w:spacing w:val="0"/>
                <w:sz w:val="24"/>
                <w:szCs w:val="24"/>
              </w:rPr>
              <w:t>Hodnota zverejnená</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tomto riadku je medián súm štyroch štvrťročných hodnôt ku koncu obdobia za predchádzajúcich dvanásť mesiacov pre riadky 030, 040</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120.</w:t>
            </w:r>
          </w:p>
        </w:tc>
      </w:tr>
      <w:tr w:rsidR="00D312C4" w:rsidRPr="0086713D" w14:paraId="4AD23BC8" w14:textId="77777777" w:rsidTr="00155C96">
        <w:trPr>
          <w:trHeight w:val="316"/>
        </w:trPr>
        <w:tc>
          <w:tcPr>
            <w:tcW w:w="1384" w:type="dxa"/>
          </w:tcPr>
          <w:p w14:paraId="4CAF37CD" w14:textId="77777777" w:rsidR="00D312C4" w:rsidRPr="0086713D" w:rsidRDefault="00D312C4" w:rsidP="00155C96">
            <w:pPr>
              <w:autoSpaceDE w:val="0"/>
              <w:autoSpaceDN w:val="0"/>
              <w:adjustRightInd w:val="0"/>
              <w:spacing w:after="120"/>
              <w:rPr>
                <w:rFonts w:ascii="Times New Roman" w:hAnsi="Times New Roman" w:cs="Times New Roman"/>
                <w:color w:val="000000"/>
                <w:sz w:val="24"/>
              </w:rPr>
            </w:pPr>
            <w:r w:rsidRPr="0086713D">
              <w:rPr>
                <w:rFonts w:ascii="Times New Roman" w:hAnsi="Times New Roman" w:cs="Times New Roman"/>
                <w:sz w:val="24"/>
              </w:rPr>
              <w:t>030</w:t>
            </w:r>
          </w:p>
        </w:tc>
        <w:tc>
          <w:tcPr>
            <w:tcW w:w="7655" w:type="dxa"/>
          </w:tcPr>
          <w:p w14:paraId="78FC9793"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Nástroje vlastného imania</w:t>
            </w:r>
          </w:p>
          <w:p w14:paraId="0D4FD605" w14:textId="1A3FDD30" w:rsidR="00D312C4" w:rsidRPr="003D587D" w:rsidRDefault="00D312C4" w:rsidP="00155C96">
            <w:pPr>
              <w:spacing w:after="120"/>
              <w:jc w:val="both"/>
              <w:rPr>
                <w:rFonts w:ascii="Times New Roman" w:hAnsi="Times New Roman" w:cs="Times New Roman"/>
                <w:bCs/>
                <w:spacing w:val="-12"/>
                <w:sz w:val="24"/>
              </w:rPr>
            </w:pPr>
            <w:r w:rsidRPr="003D587D">
              <w:rPr>
                <w:rStyle w:val="TeksttreciTimesNewRoman105ptOdstpy0pt"/>
                <w:rFonts w:eastAsiaTheme="minorEastAsia"/>
                <w:spacing w:val="-12"/>
                <w:sz w:val="24"/>
                <w:szCs w:val="24"/>
              </w:rPr>
              <w:t>Mediánové hodnoty</w:t>
            </w:r>
            <w:r w:rsidRPr="003D587D">
              <w:rPr>
                <w:rStyle w:val="TeksttreciTimesNewRoman105ptOdstpy0pt"/>
                <w:rFonts w:eastAsiaTheme="minorEastAsia"/>
                <w:b/>
                <w:spacing w:val="-12"/>
                <w:sz w:val="24"/>
                <w:szCs w:val="24"/>
              </w:rPr>
              <w:t xml:space="preserve"> </w:t>
            </w:r>
            <w:r w:rsidRPr="003D587D">
              <w:rPr>
                <w:rStyle w:val="InstructionsTabelleberschrift"/>
                <w:rFonts w:ascii="Times New Roman" w:hAnsi="Times New Roman"/>
                <w:b w:val="0"/>
                <w:spacing w:val="-12"/>
                <w:sz w:val="24"/>
                <w:u w:val="none"/>
              </w:rPr>
              <w:t>nástrojov vlastného imania</w:t>
            </w:r>
            <w:r w:rsidR="00A3389E" w:rsidRPr="003D587D">
              <w:rPr>
                <w:rStyle w:val="InstructionsTabelleberschrift"/>
                <w:rFonts w:ascii="Times New Roman" w:hAnsi="Times New Roman"/>
                <w:b w:val="0"/>
                <w:spacing w:val="-12"/>
                <w:sz w:val="24"/>
                <w:u w:val="none"/>
              </w:rPr>
              <w:t xml:space="preserve"> v </w:t>
            </w:r>
            <w:r w:rsidRPr="003D587D">
              <w:rPr>
                <w:rStyle w:val="InstructionsTabelleberschrift"/>
                <w:rFonts w:ascii="Times New Roman" w:hAnsi="Times New Roman"/>
                <w:b w:val="0"/>
                <w:spacing w:val="-12"/>
                <w:sz w:val="24"/>
                <w:u w:val="none"/>
              </w:rPr>
              <w:t>zmysle vymedzenia</w:t>
            </w:r>
            <w:r w:rsidR="00A3389E" w:rsidRPr="003D587D">
              <w:rPr>
                <w:rStyle w:val="InstructionsTabelleberschrift"/>
                <w:rFonts w:ascii="Times New Roman" w:hAnsi="Times New Roman"/>
                <w:b w:val="0"/>
                <w:spacing w:val="-12"/>
                <w:sz w:val="24"/>
                <w:u w:val="none"/>
              </w:rPr>
              <w:t xml:space="preserve"> v </w:t>
            </w:r>
            <w:r w:rsidRPr="003D587D">
              <w:rPr>
                <w:rStyle w:val="InstructionsTabelleberschrift"/>
                <w:rFonts w:ascii="Times New Roman" w:hAnsi="Times New Roman"/>
                <w:b w:val="0"/>
                <w:spacing w:val="-12"/>
                <w:sz w:val="24"/>
                <w:u w:val="none"/>
              </w:rPr>
              <w:t>uplatniteľných účtovných zásadách (IAS 32 ods. 1</w:t>
            </w:r>
            <w:r w:rsidR="00A3389E" w:rsidRPr="003D587D">
              <w:rPr>
                <w:rStyle w:val="InstructionsTabelleberschrift"/>
                <w:rFonts w:ascii="Times New Roman" w:hAnsi="Times New Roman"/>
                <w:b w:val="0"/>
                <w:spacing w:val="-12"/>
                <w:sz w:val="24"/>
                <w:u w:val="none"/>
              </w:rPr>
              <w:t xml:space="preserve"> v </w:t>
            </w:r>
            <w:r w:rsidRPr="003D587D">
              <w:rPr>
                <w:rStyle w:val="InstructionsTabelleberschrift"/>
                <w:rFonts w:ascii="Times New Roman" w:hAnsi="Times New Roman"/>
                <w:b w:val="0"/>
                <w:spacing w:val="-12"/>
                <w:sz w:val="24"/>
                <w:u w:val="none"/>
              </w:rPr>
              <w:t>prípade inštitúcií, ktoré uskutočňujú vykazovanie podľa štandardov IFRS)</w:t>
            </w:r>
            <w:r w:rsidRPr="003D587D">
              <w:rPr>
                <w:rStyle w:val="TeksttreciTimesNewRoman105ptOdstpy0pt"/>
                <w:rFonts w:eastAsiaTheme="minorEastAsia"/>
                <w:spacing w:val="-12"/>
                <w:sz w:val="24"/>
                <w:szCs w:val="24"/>
              </w:rPr>
              <w:t>,</w:t>
            </w:r>
            <w:r w:rsidR="00A3389E" w:rsidRPr="003D587D">
              <w:rPr>
                <w:rStyle w:val="TeksttreciTimesNewRoman105ptOdstpy0pt"/>
                <w:rFonts w:eastAsiaTheme="minorEastAsia"/>
                <w:spacing w:val="-12"/>
                <w:sz w:val="24"/>
                <w:szCs w:val="24"/>
              </w:rPr>
              <w:t xml:space="preserve"> s </w:t>
            </w:r>
            <w:r w:rsidRPr="003D587D">
              <w:rPr>
                <w:rStyle w:val="TeksttreciTimesNewRoman105ptOdstpy0pt"/>
                <w:rFonts w:eastAsiaTheme="minorEastAsia"/>
                <w:spacing w:val="-12"/>
                <w:sz w:val="24"/>
                <w:szCs w:val="24"/>
              </w:rPr>
              <w:t>výnimkou vlastných nástrojov vlastného imania, keď uplatniteľné účtovné štandardy umožňujú ich vykázanie</w:t>
            </w:r>
            <w:r w:rsidR="00A3389E" w:rsidRPr="003D587D">
              <w:rPr>
                <w:rStyle w:val="TeksttreciTimesNewRoman105ptOdstpy0pt"/>
                <w:rFonts w:eastAsiaTheme="minorEastAsia"/>
                <w:spacing w:val="-12"/>
                <w:sz w:val="24"/>
                <w:szCs w:val="24"/>
              </w:rPr>
              <w:t xml:space="preserve"> v </w:t>
            </w:r>
            <w:r w:rsidRPr="003D587D">
              <w:rPr>
                <w:rStyle w:val="TeksttreciTimesNewRoman105ptOdstpy0pt"/>
                <w:rFonts w:eastAsiaTheme="minorEastAsia"/>
                <w:spacing w:val="-12"/>
                <w:sz w:val="24"/>
                <w:szCs w:val="24"/>
              </w:rPr>
              <w:t>súvahe.</w:t>
            </w:r>
          </w:p>
        </w:tc>
      </w:tr>
      <w:tr w:rsidR="00D312C4" w:rsidRPr="0086713D" w14:paraId="3E9C6175" w14:textId="77777777" w:rsidTr="00155C96">
        <w:trPr>
          <w:trHeight w:val="316"/>
        </w:trPr>
        <w:tc>
          <w:tcPr>
            <w:tcW w:w="1384" w:type="dxa"/>
          </w:tcPr>
          <w:p w14:paraId="7E4C49CF"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040</w:t>
            </w:r>
          </w:p>
        </w:tc>
        <w:tc>
          <w:tcPr>
            <w:tcW w:w="7655" w:type="dxa"/>
          </w:tcPr>
          <w:p w14:paraId="4FB88874"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Dlhové cenné papiere</w:t>
            </w:r>
          </w:p>
          <w:p w14:paraId="7557A686" w14:textId="64C3BB96" w:rsidR="00D312C4" w:rsidRPr="0086713D" w:rsidRDefault="00D312C4" w:rsidP="00155C96">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Mediánové hodnoty dlhových nástrojov držaných inštitúciou emitovaných ako cenné papiere, ktoré nie sú úvermi</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súlade</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 xml:space="preserve">nariadením Európskej centrálnej banky (EÚ) </w:t>
            </w:r>
            <w:r w:rsidR="00A3389E" w:rsidRPr="0086713D">
              <w:rPr>
                <w:rStyle w:val="TeksttreciTimesNewRoman105ptOdstpy0pt"/>
                <w:rFonts w:eastAsiaTheme="minorEastAsia"/>
                <w:spacing w:val="0"/>
                <w:sz w:val="24"/>
                <w:szCs w:val="24"/>
              </w:rPr>
              <w:t>č. </w:t>
            </w:r>
            <w:r w:rsidRPr="0086713D">
              <w:rPr>
                <w:rStyle w:val="TeksttreciTimesNewRoman105ptOdstpy0pt"/>
                <w:rFonts w:eastAsiaTheme="minorEastAsia"/>
                <w:spacing w:val="0"/>
                <w:sz w:val="24"/>
                <w:szCs w:val="24"/>
              </w:rPr>
              <w:t>1071/2013 („nariadenie ECB</w:t>
            </w:r>
            <w:r w:rsidR="00A3389E" w:rsidRPr="0086713D">
              <w:rPr>
                <w:rStyle w:val="TeksttreciTimesNewRoman105ptOdstpy0pt"/>
                <w:rFonts w:eastAsiaTheme="minorEastAsia"/>
                <w:spacing w:val="0"/>
                <w:sz w:val="24"/>
                <w:szCs w:val="24"/>
              </w:rPr>
              <w:t xml:space="preserve"> o </w:t>
            </w:r>
            <w:r w:rsidRPr="0086713D">
              <w:rPr>
                <w:rStyle w:val="TeksttreciTimesNewRoman105ptOdstpy0pt"/>
                <w:rFonts w:eastAsiaTheme="minorEastAsia"/>
                <w:spacing w:val="0"/>
                <w:sz w:val="24"/>
                <w:szCs w:val="24"/>
              </w:rPr>
              <w:t>bilancii sektora peňažných finančných inštitúcií“)</w:t>
            </w:r>
            <w:r w:rsidRPr="0086713D">
              <w:rPr>
                <w:rStyle w:val="FootnoteReference"/>
                <w:rFonts w:ascii="Times New Roman" w:eastAsia="Calibri" w:hAnsi="Times New Roman" w:cs="Times New Roman"/>
                <w:color w:val="000000"/>
                <w:sz w:val="24"/>
                <w:szCs w:val="24"/>
                <w:shd w:val="clear" w:color="auto" w:fill="FFFFFF"/>
              </w:rPr>
              <w:footnoteReference w:id="56"/>
            </w:r>
            <w:r w:rsidRPr="0086713D">
              <w:rPr>
                <w:rStyle w:val="TeksttreciTimesNewRoman105ptOdstpy0pt"/>
                <w:rFonts w:eastAsiaTheme="minorEastAsia"/>
                <w:spacing w:val="0"/>
                <w:sz w:val="24"/>
                <w:szCs w:val="24"/>
              </w:rPr>
              <w:t>,</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výnimkou vlastných dlhových cenných papierov, keď uplatniteľné účtovné štandardy umožňujú ich uznanie</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súvahe.</w:t>
            </w:r>
          </w:p>
        </w:tc>
      </w:tr>
      <w:tr w:rsidR="00D312C4" w:rsidRPr="0086713D" w14:paraId="2919FB45" w14:textId="77777777" w:rsidTr="00155C96">
        <w:trPr>
          <w:trHeight w:val="316"/>
        </w:trPr>
        <w:tc>
          <w:tcPr>
            <w:tcW w:w="1384" w:type="dxa"/>
          </w:tcPr>
          <w:p w14:paraId="1053AC3C"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050</w:t>
            </w:r>
          </w:p>
        </w:tc>
        <w:tc>
          <w:tcPr>
            <w:tcW w:w="7655" w:type="dxa"/>
          </w:tcPr>
          <w:p w14:paraId="75032E65"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kryté dlhopisy</w:t>
            </w:r>
          </w:p>
          <w:p w14:paraId="1617C62A" w14:textId="02389FA1" w:rsidR="00D312C4" w:rsidRPr="0086713D" w:rsidRDefault="00D312C4" w:rsidP="00155C96">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Mediánové hodnoty</w:t>
            </w:r>
            <w:r w:rsidRPr="0086713D">
              <w:rPr>
                <w:rStyle w:val="Heading1Char"/>
                <w:rFonts w:ascii="Times New Roman" w:hAnsi="Times New Roman" w:cs="Times New Roman"/>
                <w:b w:val="0"/>
                <w:sz w:val="24"/>
                <w:szCs w:val="24"/>
              </w:rPr>
              <w:t xml:space="preserve"> </w:t>
            </w:r>
            <w:r w:rsidRPr="0086713D">
              <w:rPr>
                <w:rStyle w:val="InstructionsTabelleberschrift"/>
                <w:rFonts w:ascii="Times New Roman" w:hAnsi="Times New Roman"/>
                <w:b w:val="0"/>
                <w:sz w:val="24"/>
                <w:u w:val="none"/>
              </w:rPr>
              <w:t>dlhových cenných papierov držaných inštitúciou,</w:t>
            </w:r>
            <w:r w:rsidRPr="0086713D">
              <w:rPr>
                <w:rStyle w:val="TeksttreciTimesNewRoman105ptOdstpy0pt"/>
                <w:rFonts w:eastAsiaTheme="minorEastAsia"/>
                <w:b/>
                <w:spacing w:val="0"/>
                <w:sz w:val="24"/>
                <w:szCs w:val="24"/>
              </w:rPr>
              <w:t xml:space="preserve"> </w:t>
            </w:r>
            <w:r w:rsidRPr="0086713D">
              <w:rPr>
                <w:rStyle w:val="TeksttreciTimesNewRoman105ptOdstpy0pt"/>
                <w:rFonts w:eastAsiaTheme="minorEastAsia"/>
                <w:spacing w:val="0"/>
                <w:sz w:val="24"/>
                <w:szCs w:val="24"/>
              </w:rPr>
              <w:t>ktoré sú dlhopismi uvedenými</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článku 52 ods. 4 prvom pododseku smernice (ES) 2009/65</w:t>
            </w:r>
            <w:r w:rsidRPr="0086713D">
              <w:rPr>
                <w:rStyle w:val="FootnoteReference"/>
                <w:rFonts w:ascii="Times New Roman" w:eastAsia="Calibri" w:hAnsi="Times New Roman" w:cs="Times New Roman"/>
                <w:color w:val="000000"/>
                <w:sz w:val="24"/>
                <w:szCs w:val="24"/>
                <w:shd w:val="clear" w:color="auto" w:fill="FFFFFF"/>
              </w:rPr>
              <w:footnoteReference w:id="57"/>
            </w:r>
            <w:r w:rsidRPr="0086713D">
              <w:rPr>
                <w:rStyle w:val="TeksttreciTimesNewRoman105ptOdstpy0pt"/>
                <w:rFonts w:eastAsiaTheme="minorEastAsia"/>
                <w:spacing w:val="0"/>
                <w:sz w:val="24"/>
                <w:szCs w:val="24"/>
              </w:rPr>
              <w:t>, bez ohľadu na to, či tieto nástroje majú právnu formu cenného papiera alebo nie.</w:t>
            </w:r>
          </w:p>
        </w:tc>
      </w:tr>
      <w:tr w:rsidR="00D312C4" w:rsidRPr="0086713D" w14:paraId="38216DC5" w14:textId="77777777" w:rsidTr="00155C96">
        <w:trPr>
          <w:trHeight w:val="316"/>
        </w:trPr>
        <w:tc>
          <w:tcPr>
            <w:tcW w:w="1384" w:type="dxa"/>
          </w:tcPr>
          <w:p w14:paraId="64C960E1"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060</w:t>
            </w:r>
          </w:p>
        </w:tc>
        <w:tc>
          <w:tcPr>
            <w:tcW w:w="7655" w:type="dxa"/>
          </w:tcPr>
          <w:p w14:paraId="02FCCC40" w14:textId="77777777" w:rsidR="00A3389E" w:rsidRPr="0086713D" w:rsidRDefault="00D312C4" w:rsidP="00155C96">
            <w:pPr>
              <w:pStyle w:val="Teksttreci0"/>
              <w:shd w:val="clear" w:color="auto" w:fill="auto"/>
              <w:spacing w:after="120" w:line="240" w:lineRule="auto"/>
              <w:ind w:firstLine="0"/>
              <w:rPr>
                <w:rStyle w:val="PogrubienieTeksttreciTimesNewRoman105ptOdstpy0pt"/>
                <w:rFonts w:eastAsia="Book Antiqua"/>
                <w:spacing w:val="0"/>
                <w:sz w:val="24"/>
                <w:szCs w:val="24"/>
              </w:rPr>
            </w:pPr>
            <w:r w:rsidRPr="0086713D">
              <w:rPr>
                <w:rStyle w:val="PogrubienieTeksttreciTimesNewRoman105ptOdstpy0pt"/>
                <w:rFonts w:eastAsia="Book Antiqua"/>
                <w:spacing w:val="0"/>
                <w:sz w:val="24"/>
                <w:szCs w:val="24"/>
              </w:rPr>
              <w:t>z čoho: sekuritizácie</w:t>
            </w:r>
          </w:p>
          <w:p w14:paraId="536A829C" w14:textId="11CD40CA" w:rsidR="00D312C4" w:rsidRPr="003D587D" w:rsidRDefault="00D312C4" w:rsidP="00155C96">
            <w:pPr>
              <w:autoSpaceDE w:val="0"/>
              <w:autoSpaceDN w:val="0"/>
              <w:adjustRightInd w:val="0"/>
              <w:spacing w:after="120"/>
              <w:jc w:val="both"/>
              <w:rPr>
                <w:rFonts w:ascii="Times New Roman" w:hAnsi="Times New Roman" w:cs="Times New Roman"/>
                <w:b/>
                <w:spacing w:val="-4"/>
                <w:sz w:val="24"/>
              </w:rPr>
            </w:pPr>
            <w:r w:rsidRPr="003D587D">
              <w:rPr>
                <w:rStyle w:val="TeksttreciTimesNewRoman105ptOdstpy0pt"/>
                <w:rFonts w:eastAsiaTheme="minorEastAsia"/>
                <w:spacing w:val="-4"/>
                <w:sz w:val="24"/>
                <w:szCs w:val="24"/>
              </w:rPr>
              <w:t>Mediánové hodnoty dlhových cenných papierov držaných inštitúciou, ktoré sú sekuritizačnými pozíciami</w:t>
            </w:r>
            <w:r w:rsidR="00A3389E" w:rsidRPr="003D587D">
              <w:rPr>
                <w:rStyle w:val="TeksttreciTimesNewRoman105ptOdstpy0pt"/>
                <w:rFonts w:eastAsiaTheme="minorEastAsia"/>
                <w:spacing w:val="-4"/>
                <w:sz w:val="24"/>
                <w:szCs w:val="24"/>
              </w:rPr>
              <w:t xml:space="preserve"> v </w:t>
            </w:r>
            <w:r w:rsidRPr="003D587D">
              <w:rPr>
                <w:rStyle w:val="TeksttreciTimesNewRoman105ptOdstpy0pt"/>
                <w:rFonts w:eastAsiaTheme="minorEastAsia"/>
                <w:spacing w:val="-4"/>
                <w:sz w:val="24"/>
                <w:szCs w:val="24"/>
              </w:rPr>
              <w:t>zmysle vymedzenia</w:t>
            </w:r>
            <w:r w:rsidR="00A3389E" w:rsidRPr="003D587D">
              <w:rPr>
                <w:rStyle w:val="TeksttreciTimesNewRoman105ptOdstpy0pt"/>
                <w:rFonts w:eastAsiaTheme="minorEastAsia"/>
                <w:spacing w:val="-4"/>
                <w:sz w:val="24"/>
                <w:szCs w:val="24"/>
              </w:rPr>
              <w:t xml:space="preserve"> v </w:t>
            </w:r>
            <w:r w:rsidRPr="003D587D">
              <w:rPr>
                <w:rStyle w:val="TeksttreciTimesNewRoman105ptOdstpy0pt"/>
                <w:rFonts w:eastAsiaTheme="minorEastAsia"/>
                <w:spacing w:val="-4"/>
                <w:sz w:val="24"/>
                <w:szCs w:val="24"/>
              </w:rPr>
              <w:t>článku 4 ods. 1 bode 62 CRR.</w:t>
            </w:r>
          </w:p>
        </w:tc>
      </w:tr>
      <w:tr w:rsidR="00D312C4" w:rsidRPr="0086713D" w14:paraId="2EDC4B4F" w14:textId="77777777" w:rsidTr="00155C96">
        <w:trPr>
          <w:trHeight w:val="316"/>
        </w:trPr>
        <w:tc>
          <w:tcPr>
            <w:tcW w:w="1384" w:type="dxa"/>
          </w:tcPr>
          <w:p w14:paraId="757CE2E6"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070</w:t>
            </w:r>
          </w:p>
        </w:tc>
        <w:tc>
          <w:tcPr>
            <w:tcW w:w="7655" w:type="dxa"/>
          </w:tcPr>
          <w:p w14:paraId="53198492"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emitované orgánmi verejnej správy</w:t>
            </w:r>
          </w:p>
          <w:p w14:paraId="14FFA7FD" w14:textId="77777777" w:rsidR="00D312C4" w:rsidRPr="0086713D" w:rsidRDefault="00D312C4" w:rsidP="00155C96">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Mediánové hodnoty</w:t>
            </w:r>
            <w:r w:rsidRPr="0086713D">
              <w:rPr>
                <w:rStyle w:val="TeksttreciTimesNewRoman105ptOdstpy0pt"/>
                <w:rFonts w:eastAsiaTheme="minorEastAsia"/>
                <w:b/>
                <w:spacing w:val="0"/>
                <w:sz w:val="24"/>
                <w:szCs w:val="24"/>
              </w:rPr>
              <w:t xml:space="preserve"> </w:t>
            </w:r>
            <w:r w:rsidRPr="0086713D">
              <w:rPr>
                <w:rStyle w:val="InstructionsTabelleberschrift"/>
                <w:rFonts w:ascii="Times New Roman" w:hAnsi="Times New Roman"/>
                <w:b w:val="0"/>
                <w:sz w:val="24"/>
                <w:u w:val="none"/>
              </w:rPr>
              <w:t>dlhových cenných papierov držaných inštitúciou, ktoré emitovali orgány verejnej správy.</w:t>
            </w:r>
          </w:p>
        </w:tc>
      </w:tr>
      <w:tr w:rsidR="00D312C4" w:rsidRPr="0086713D" w14:paraId="6254BDE1" w14:textId="77777777" w:rsidTr="00155C96">
        <w:trPr>
          <w:trHeight w:val="316"/>
        </w:trPr>
        <w:tc>
          <w:tcPr>
            <w:tcW w:w="1384" w:type="dxa"/>
          </w:tcPr>
          <w:p w14:paraId="5441EA98"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lastRenderedPageBreak/>
              <w:t>080</w:t>
            </w:r>
          </w:p>
        </w:tc>
        <w:tc>
          <w:tcPr>
            <w:tcW w:w="7655" w:type="dxa"/>
          </w:tcPr>
          <w:p w14:paraId="7FD19B56"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emitované finančnými korporáciami</w:t>
            </w:r>
          </w:p>
          <w:p w14:paraId="696ADF24" w14:textId="6E72B19A" w:rsidR="00A3389E" w:rsidRPr="0086713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sidRPr="0086713D">
              <w:rPr>
                <w:rStyle w:val="TeksttreciTimesNewRoman105ptOdstpy0pt"/>
                <w:rFonts w:eastAsiaTheme="minorEastAsia"/>
                <w:spacing w:val="0"/>
                <w:sz w:val="24"/>
                <w:szCs w:val="24"/>
              </w:rPr>
              <w:t xml:space="preserve">Mediánové hodnoty </w:t>
            </w:r>
            <w:r w:rsidRPr="0086713D">
              <w:rPr>
                <w:rStyle w:val="InstructionsTabelleberschrift"/>
                <w:rFonts w:ascii="Times New Roman" w:hAnsi="Times New Roman"/>
                <w:b w:val="0"/>
                <w:sz w:val="24"/>
                <w:u w:val="none"/>
              </w:rPr>
              <w:t>dlhových cenných papierov držaných inštitúciou emitovaných úverovými inštitúciami</w:t>
            </w:r>
            <w:r w:rsidR="00A3389E" w:rsidRPr="0086713D">
              <w:rPr>
                <w:rStyle w:val="InstructionsTabelleberschrift"/>
                <w:rFonts w:ascii="Times New Roman" w:hAnsi="Times New Roman"/>
                <w:b w:val="0"/>
                <w:sz w:val="24"/>
                <w:u w:val="none"/>
              </w:rPr>
              <w:t xml:space="preserve"> v </w:t>
            </w:r>
            <w:r w:rsidRPr="0086713D">
              <w:rPr>
                <w:rStyle w:val="InstructionsTabelleberschrift"/>
                <w:rFonts w:ascii="Times New Roman" w:hAnsi="Times New Roman"/>
                <w:b w:val="0"/>
                <w:sz w:val="24"/>
                <w:u w:val="none"/>
              </w:rPr>
              <w:t>zmysle vymedzenia</w:t>
            </w:r>
            <w:r w:rsidR="00A3389E" w:rsidRPr="0086713D">
              <w:rPr>
                <w:rStyle w:val="InstructionsTabelleberschrift"/>
                <w:rFonts w:ascii="Times New Roman" w:hAnsi="Times New Roman"/>
                <w:b w:val="0"/>
                <w:sz w:val="24"/>
                <w:u w:val="none"/>
              </w:rPr>
              <w:t xml:space="preserve"> v </w:t>
            </w:r>
            <w:r w:rsidRPr="0086713D">
              <w:rPr>
                <w:rStyle w:val="InstructionsTabelleberschrift"/>
                <w:rFonts w:ascii="Times New Roman" w:hAnsi="Times New Roman"/>
                <w:b w:val="0"/>
                <w:sz w:val="24"/>
                <w:u w:val="none"/>
              </w:rPr>
              <w:t>článku 4 ods. 1 bode 1 CRR</w:t>
            </w:r>
            <w:r w:rsidR="00A3389E" w:rsidRPr="0086713D">
              <w:rPr>
                <w:rStyle w:val="InstructionsTabelleberschrift"/>
                <w:rFonts w:ascii="Times New Roman" w:hAnsi="Times New Roman"/>
                <w:b w:val="0"/>
                <w:sz w:val="24"/>
                <w:u w:val="none"/>
              </w:rPr>
              <w:t xml:space="preserve"> a </w:t>
            </w:r>
            <w:r w:rsidRPr="0086713D">
              <w:rPr>
                <w:rStyle w:val="InstructionsTabelleberschrift"/>
                <w:rFonts w:ascii="Times New Roman" w:hAnsi="Times New Roman"/>
                <w:b w:val="0"/>
                <w:sz w:val="24"/>
                <w:u w:val="none"/>
              </w:rPr>
              <w:t>ostatnými finančnými korporáciami</w:t>
            </w:r>
            <w:r w:rsidR="00A3389E" w:rsidRPr="0086713D">
              <w:rPr>
                <w:rStyle w:val="InstructionsTabelleberschrift"/>
                <w:rFonts w:ascii="Times New Roman" w:hAnsi="Times New Roman"/>
                <w:b w:val="0"/>
                <w:sz w:val="24"/>
                <w:u w:val="none"/>
              </w:rPr>
              <w:t>.</w:t>
            </w:r>
          </w:p>
          <w:p w14:paraId="0BAC0BFE" w14:textId="74839C4C" w:rsidR="00D312C4" w:rsidRPr="0086713D" w:rsidRDefault="00D312C4" w:rsidP="00155C96">
            <w:pPr>
              <w:autoSpaceDE w:val="0"/>
              <w:autoSpaceDN w:val="0"/>
              <w:adjustRightInd w:val="0"/>
              <w:spacing w:after="120"/>
              <w:jc w:val="both"/>
              <w:rPr>
                <w:rFonts w:ascii="Times New Roman" w:hAnsi="Times New Roman" w:cs="Times New Roman"/>
                <w:b/>
                <w:sz w:val="24"/>
              </w:rPr>
            </w:pPr>
            <w:r w:rsidRPr="0086713D">
              <w:rPr>
                <w:rStyle w:val="InstructionsTabelleberschrift"/>
                <w:rFonts w:ascii="Times New Roman" w:hAnsi="Times New Roman"/>
                <w:b w:val="0"/>
                <w:sz w:val="24"/>
                <w:u w:val="none"/>
              </w:rPr>
              <w:t>Ostatné finančné korporácie zahŕňajú všetky finančné korporácie</w:t>
            </w:r>
            <w:r w:rsidR="00A3389E" w:rsidRPr="0086713D">
              <w:rPr>
                <w:rStyle w:val="InstructionsTabelleberschrift"/>
                <w:rFonts w:ascii="Times New Roman" w:hAnsi="Times New Roman"/>
                <w:b w:val="0"/>
                <w:sz w:val="24"/>
                <w:u w:val="none"/>
              </w:rPr>
              <w:t xml:space="preserve"> a </w:t>
            </w:r>
            <w:r w:rsidRPr="0086713D">
              <w:rPr>
                <w:rStyle w:val="InstructionsTabelleberschrift"/>
                <w:rFonts w:ascii="Times New Roman" w:hAnsi="Times New Roman"/>
                <w:b w:val="0"/>
                <w:sz w:val="24"/>
                <w:u w:val="none"/>
              </w:rPr>
              <w:t>kvázikorporácie okrem úverových inštitúcií, ako sú investičné spoločnosti, investičné fondy, poisťovne, dôchodkové fondy, podniky kolektívneho investovania</w:t>
            </w:r>
            <w:r w:rsidR="00A3389E" w:rsidRPr="0086713D">
              <w:rPr>
                <w:rStyle w:val="InstructionsTabelleberschrift"/>
                <w:rFonts w:ascii="Times New Roman" w:hAnsi="Times New Roman"/>
                <w:b w:val="0"/>
                <w:sz w:val="24"/>
                <w:u w:val="none"/>
              </w:rPr>
              <w:t xml:space="preserve"> a </w:t>
            </w:r>
            <w:r w:rsidRPr="0086713D">
              <w:rPr>
                <w:rStyle w:val="InstructionsTabelleberschrift"/>
                <w:rFonts w:ascii="Times New Roman" w:hAnsi="Times New Roman"/>
                <w:b w:val="0"/>
                <w:sz w:val="24"/>
                <w:u w:val="none"/>
              </w:rPr>
              <w:t>zúčtovacie strediská, ako aj ostatných finančných sprostredkovateľov, finančné pomocné inštitúcie, kaptívne finančné inštitúcie</w:t>
            </w:r>
            <w:r w:rsidR="00A3389E" w:rsidRPr="0086713D">
              <w:rPr>
                <w:rStyle w:val="InstructionsTabelleberschrift"/>
                <w:rFonts w:ascii="Times New Roman" w:hAnsi="Times New Roman"/>
                <w:b w:val="0"/>
                <w:sz w:val="24"/>
                <w:u w:val="none"/>
              </w:rPr>
              <w:t xml:space="preserve"> a </w:t>
            </w:r>
            <w:r w:rsidRPr="0086713D">
              <w:rPr>
                <w:rStyle w:val="InstructionsTabelleberschrift"/>
                <w:rFonts w:ascii="Times New Roman" w:hAnsi="Times New Roman"/>
                <w:b w:val="0"/>
                <w:sz w:val="24"/>
                <w:u w:val="none"/>
              </w:rPr>
              <w:t>požičiavateľov peňazí.</w:t>
            </w:r>
          </w:p>
        </w:tc>
      </w:tr>
      <w:tr w:rsidR="00D312C4" w:rsidRPr="0086713D" w14:paraId="0B0BDE77" w14:textId="77777777" w:rsidTr="00155C96">
        <w:trPr>
          <w:trHeight w:val="316"/>
        </w:trPr>
        <w:tc>
          <w:tcPr>
            <w:tcW w:w="1384" w:type="dxa"/>
          </w:tcPr>
          <w:p w14:paraId="680539D3"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090</w:t>
            </w:r>
          </w:p>
        </w:tc>
        <w:tc>
          <w:tcPr>
            <w:tcW w:w="7655" w:type="dxa"/>
          </w:tcPr>
          <w:p w14:paraId="2B8852BB"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emitované nefinančnými korporáciami</w:t>
            </w:r>
          </w:p>
          <w:p w14:paraId="27DAAC2C" w14:textId="4CD94DAB" w:rsidR="00D312C4" w:rsidRPr="0086713D" w:rsidRDefault="00D312C4" w:rsidP="00155C96">
            <w:pPr>
              <w:autoSpaceDE w:val="0"/>
              <w:autoSpaceDN w:val="0"/>
              <w:adjustRightInd w:val="0"/>
              <w:spacing w:after="120"/>
              <w:jc w:val="both"/>
              <w:rPr>
                <w:rFonts w:ascii="Times New Roman" w:hAnsi="Times New Roman" w:cs="Times New Roman"/>
                <w:sz w:val="24"/>
              </w:rPr>
            </w:pPr>
            <w:r w:rsidRPr="0086713D">
              <w:rPr>
                <w:rStyle w:val="TeksttreciTimesNewRoman105ptOdstpy0pt"/>
                <w:rFonts w:eastAsiaTheme="minorEastAsia"/>
                <w:spacing w:val="0"/>
                <w:sz w:val="24"/>
                <w:szCs w:val="24"/>
              </w:rPr>
              <w:t xml:space="preserve">Mediánové hodnoty </w:t>
            </w:r>
            <w:r w:rsidRPr="0086713D">
              <w:rPr>
                <w:rStyle w:val="InstructionsTabelleberschrift"/>
                <w:rFonts w:ascii="Times New Roman" w:hAnsi="Times New Roman"/>
                <w:b w:val="0"/>
                <w:sz w:val="24"/>
                <w:u w:val="none"/>
              </w:rPr>
              <w:t>dlhových cenných papierov držaných inštitúciou emitovaných</w:t>
            </w:r>
            <w:r w:rsidRPr="0086713D">
              <w:rPr>
                <w:rStyle w:val="InstructionsTabelleberschrift"/>
                <w:rFonts w:ascii="Times New Roman" w:hAnsi="Times New Roman"/>
                <w:sz w:val="24"/>
                <w:u w:val="none"/>
              </w:rPr>
              <w:t xml:space="preserve"> </w:t>
            </w:r>
            <w:r w:rsidRPr="0086713D">
              <w:rPr>
                <w:rFonts w:ascii="Times New Roman" w:hAnsi="Times New Roman" w:cs="Times New Roman"/>
                <w:sz w:val="24"/>
              </w:rPr>
              <w:t>korporáciami</w:t>
            </w:r>
            <w:r w:rsidR="00A3389E" w:rsidRPr="0086713D">
              <w:rPr>
                <w:rFonts w:ascii="Times New Roman" w:hAnsi="Times New Roman" w:cs="Times New Roman"/>
                <w:sz w:val="24"/>
              </w:rPr>
              <w:t xml:space="preserve"> a </w:t>
            </w:r>
            <w:r w:rsidRPr="0086713D">
              <w:rPr>
                <w:rFonts w:ascii="Times New Roman" w:hAnsi="Times New Roman" w:cs="Times New Roman"/>
                <w:sz w:val="24"/>
              </w:rPr>
              <w:t>kvázikorporáciami, ktoré nevykonávajú finančné sprostredkovanie, ale</w:t>
            </w:r>
            <w:r w:rsidR="00A3389E" w:rsidRPr="0086713D">
              <w:rPr>
                <w:rFonts w:ascii="Times New Roman" w:hAnsi="Times New Roman" w:cs="Times New Roman"/>
                <w:sz w:val="24"/>
              </w:rPr>
              <w:t xml:space="preserve"> v </w:t>
            </w:r>
            <w:r w:rsidRPr="0086713D">
              <w:rPr>
                <w:rFonts w:ascii="Times New Roman" w:hAnsi="Times New Roman" w:cs="Times New Roman"/>
                <w:sz w:val="24"/>
              </w:rPr>
              <w:t>zásade sú aktívne</w:t>
            </w:r>
            <w:r w:rsidR="00A3389E" w:rsidRPr="0086713D">
              <w:rPr>
                <w:rFonts w:ascii="Times New Roman" w:hAnsi="Times New Roman" w:cs="Times New Roman"/>
                <w:sz w:val="24"/>
              </w:rPr>
              <w:t xml:space="preserve"> v </w:t>
            </w:r>
            <w:r w:rsidRPr="0086713D">
              <w:rPr>
                <w:rFonts w:ascii="Times New Roman" w:hAnsi="Times New Roman" w:cs="Times New Roman"/>
                <w:sz w:val="24"/>
              </w:rPr>
              <w:t>produkcii trhových výrobkov</w:t>
            </w:r>
            <w:r w:rsidR="00A3389E" w:rsidRPr="0086713D">
              <w:rPr>
                <w:rFonts w:ascii="Times New Roman" w:hAnsi="Times New Roman" w:cs="Times New Roman"/>
                <w:sz w:val="24"/>
              </w:rPr>
              <w:t xml:space="preserve"> a </w:t>
            </w:r>
            <w:r w:rsidRPr="0086713D">
              <w:rPr>
                <w:rFonts w:ascii="Times New Roman" w:hAnsi="Times New Roman" w:cs="Times New Roman"/>
                <w:sz w:val="24"/>
              </w:rPr>
              <w:t>nefinančných služieb</w:t>
            </w:r>
            <w:r w:rsidR="00A3389E" w:rsidRPr="0086713D">
              <w:rPr>
                <w:rFonts w:ascii="Times New Roman" w:hAnsi="Times New Roman" w:cs="Times New Roman"/>
                <w:sz w:val="24"/>
              </w:rPr>
              <w:t xml:space="preserve"> v </w:t>
            </w:r>
            <w:r w:rsidRPr="0086713D">
              <w:rPr>
                <w:rFonts w:ascii="Times New Roman" w:hAnsi="Times New Roman" w:cs="Times New Roman"/>
                <w:sz w:val="24"/>
              </w:rPr>
              <w:t>súlade</w:t>
            </w:r>
            <w:r w:rsidR="00A3389E" w:rsidRPr="0086713D">
              <w:rPr>
                <w:rFonts w:ascii="Times New Roman" w:hAnsi="Times New Roman" w:cs="Times New Roman"/>
                <w:sz w:val="24"/>
              </w:rPr>
              <w:t xml:space="preserve"> s </w:t>
            </w:r>
            <w:r w:rsidRPr="0086713D">
              <w:rPr>
                <w:rFonts w:ascii="Times New Roman" w:hAnsi="Times New Roman" w:cs="Times New Roman"/>
                <w:sz w:val="24"/>
              </w:rPr>
              <w:t>nariadením ECB</w:t>
            </w:r>
            <w:r w:rsidR="00A3389E" w:rsidRPr="0086713D">
              <w:rPr>
                <w:rFonts w:ascii="Times New Roman" w:hAnsi="Times New Roman" w:cs="Times New Roman"/>
                <w:sz w:val="24"/>
              </w:rPr>
              <w:t xml:space="preserve"> o </w:t>
            </w:r>
            <w:r w:rsidRPr="0086713D">
              <w:rPr>
                <w:rFonts w:ascii="Times New Roman" w:hAnsi="Times New Roman" w:cs="Times New Roman"/>
                <w:sz w:val="24"/>
              </w:rPr>
              <w:t>bilancii sektora peňažných finančných inštitúcií.</w:t>
            </w:r>
          </w:p>
        </w:tc>
      </w:tr>
      <w:tr w:rsidR="00D312C4" w:rsidRPr="0086713D" w14:paraId="0941537B" w14:textId="77777777" w:rsidTr="00155C96">
        <w:trPr>
          <w:trHeight w:val="316"/>
        </w:trPr>
        <w:tc>
          <w:tcPr>
            <w:tcW w:w="1384" w:type="dxa"/>
          </w:tcPr>
          <w:p w14:paraId="616243D6"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120</w:t>
            </w:r>
          </w:p>
        </w:tc>
        <w:tc>
          <w:tcPr>
            <w:tcW w:w="7655" w:type="dxa"/>
          </w:tcPr>
          <w:p w14:paraId="11D142F6"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Ostatné aktíva</w:t>
            </w:r>
          </w:p>
          <w:p w14:paraId="24027F28" w14:textId="706F4C78" w:rsidR="00D312C4" w:rsidRPr="0086713D" w:rsidRDefault="00D312C4" w:rsidP="00155C96">
            <w:pPr>
              <w:pStyle w:val="Teksttreci0"/>
              <w:shd w:val="clear" w:color="auto" w:fill="auto"/>
              <w:spacing w:after="120" w:line="240" w:lineRule="auto"/>
              <w:ind w:firstLine="0"/>
              <w:rPr>
                <w:rStyle w:val="TeksttreciTimesNewRoman105ptOdstpy0pt"/>
                <w:rFonts w:eastAsia="Calibri"/>
                <w:spacing w:val="0"/>
                <w:sz w:val="24"/>
                <w:szCs w:val="24"/>
              </w:rPr>
            </w:pPr>
            <w:r w:rsidRPr="0086713D">
              <w:rPr>
                <w:rStyle w:val="TeksttreciTimesNewRoman105ptOdstpy0pt"/>
                <w:rFonts w:eastAsia="Book Antiqua"/>
                <w:spacing w:val="0"/>
                <w:sz w:val="24"/>
                <w:szCs w:val="24"/>
              </w:rPr>
              <w:t>Mediánová hodnota iných aktív inštitúcie evidovaných</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súvahe okrem tých, ktoré sú zverejnené</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už uvedených riadkoch,</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okrem vlastných dlhových cenných papierov</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vlastných nástrojov vlastného imania, ktoré inštitúcia neuskutočňujúca vykazovanie podľa štandardov IFRS nesmie prestať vykazovať</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súvahe.</w:t>
            </w:r>
          </w:p>
          <w:p w14:paraId="0ED4E652" w14:textId="30A3F31B"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TeksttreciTimesNewRoman105ptOdstpy0pt"/>
                <w:rFonts w:eastAsia="Book Antiqua"/>
                <w:spacing w:val="0"/>
                <w:sz w:val="24"/>
                <w:szCs w:val="24"/>
              </w:rPr>
              <w:t>V tomto prípade sa vlastné dlhové nástroje zahŕňajú do riadku 240 vzoru EU AE2</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vlastné nástroje vlastného imania sa do zverejňovania informácií</w:t>
            </w:r>
            <w:r w:rsidR="00A3389E" w:rsidRPr="0086713D">
              <w:rPr>
                <w:rStyle w:val="TeksttreciTimesNewRoman105ptOdstpy0pt"/>
                <w:rFonts w:eastAsia="Book Antiqua"/>
                <w:spacing w:val="0"/>
                <w:sz w:val="24"/>
                <w:szCs w:val="24"/>
              </w:rPr>
              <w:t xml:space="preserve"> o </w:t>
            </w:r>
            <w:r w:rsidRPr="0086713D">
              <w:rPr>
                <w:rStyle w:val="TeksttreciTimesNewRoman105ptOdstpy0pt"/>
                <w:rFonts w:eastAsia="Book Antiqua"/>
                <w:spacing w:val="0"/>
                <w:sz w:val="24"/>
                <w:szCs w:val="24"/>
              </w:rPr>
              <w:t>zaťaženosti aktív nezahŕňajú.</w:t>
            </w:r>
          </w:p>
          <w:p w14:paraId="18948187" w14:textId="5E372B18" w:rsidR="00D312C4" w:rsidRPr="0086713D" w:rsidRDefault="00D312C4" w:rsidP="00155C96">
            <w:pPr>
              <w:pStyle w:val="Teksttreci0"/>
              <w:shd w:val="clear" w:color="auto" w:fill="auto"/>
              <w:spacing w:after="120" w:line="240" w:lineRule="auto"/>
              <w:ind w:firstLine="0"/>
              <w:rPr>
                <w:rFonts w:ascii="Times New Roman" w:hAnsi="Times New Roman" w:cs="Times New Roman"/>
                <w:bCs/>
                <w:spacing w:val="-4"/>
                <w:sz w:val="24"/>
                <w:szCs w:val="24"/>
              </w:rPr>
            </w:pPr>
            <w:r w:rsidRPr="0086713D">
              <w:rPr>
                <w:rStyle w:val="TeksttreciTimesNewRoman105ptOdstpy0pt"/>
                <w:rFonts w:eastAsia="Book Antiqua"/>
                <w:spacing w:val="-4"/>
                <w:sz w:val="24"/>
                <w:szCs w:val="24"/>
              </w:rPr>
              <w:t>Ostatné aktíva zahŕňajú hotovosť (držba národných</w:t>
            </w:r>
            <w:r w:rsidR="00A3389E" w:rsidRPr="0086713D">
              <w:rPr>
                <w:rStyle w:val="TeksttreciTimesNewRoman105ptOdstpy0pt"/>
                <w:rFonts w:eastAsia="Book Antiqua"/>
                <w:spacing w:val="-4"/>
                <w:sz w:val="24"/>
                <w:szCs w:val="24"/>
              </w:rPr>
              <w:t xml:space="preserve"> a </w:t>
            </w:r>
            <w:r w:rsidRPr="0086713D">
              <w:rPr>
                <w:rStyle w:val="TeksttreciTimesNewRoman105ptOdstpy0pt"/>
                <w:rFonts w:eastAsia="Book Antiqua"/>
                <w:spacing w:val="-4"/>
                <w:sz w:val="24"/>
                <w:szCs w:val="24"/>
              </w:rPr>
              <w:t>cudzích bankoviek</w:t>
            </w:r>
            <w:r w:rsidR="00A3389E" w:rsidRPr="0086713D">
              <w:rPr>
                <w:rStyle w:val="TeksttreciTimesNewRoman105ptOdstpy0pt"/>
                <w:rFonts w:eastAsia="Book Antiqua"/>
                <w:spacing w:val="-4"/>
                <w:sz w:val="24"/>
                <w:szCs w:val="24"/>
              </w:rPr>
              <w:t xml:space="preserve"> a </w:t>
            </w:r>
            <w:r w:rsidRPr="0086713D">
              <w:rPr>
                <w:rStyle w:val="TeksttreciTimesNewRoman105ptOdstpy0pt"/>
                <w:rFonts w:eastAsia="Book Antiqua"/>
                <w:spacing w:val="-4"/>
                <w:sz w:val="24"/>
                <w:szCs w:val="24"/>
              </w:rPr>
              <w:t>mincí</w:t>
            </w:r>
            <w:r w:rsidR="00A3389E" w:rsidRPr="0086713D">
              <w:rPr>
                <w:rStyle w:val="TeksttreciTimesNewRoman105ptOdstpy0pt"/>
                <w:rFonts w:eastAsia="Book Antiqua"/>
                <w:spacing w:val="-4"/>
                <w:sz w:val="24"/>
                <w:szCs w:val="24"/>
              </w:rPr>
              <w:t xml:space="preserve"> v </w:t>
            </w:r>
            <w:r w:rsidRPr="0086713D">
              <w:rPr>
                <w:rStyle w:val="TeksttreciTimesNewRoman105ptOdstpy0pt"/>
                <w:rFonts w:eastAsia="Book Antiqua"/>
                <w:spacing w:val="-4"/>
                <w:sz w:val="24"/>
                <w:szCs w:val="24"/>
              </w:rPr>
              <w:t>obehu, ktoré sa bežne používajú na uskutočňovanie platieb), úvery na požiadanie [IAS 1 ods. 54 písm. i)</w:t>
            </w:r>
            <w:r w:rsidR="00A3389E" w:rsidRPr="0086713D">
              <w:rPr>
                <w:rStyle w:val="TeksttreciTimesNewRoman105ptOdstpy0pt"/>
                <w:rFonts w:eastAsia="Book Antiqua"/>
                <w:spacing w:val="-4"/>
                <w:sz w:val="24"/>
                <w:szCs w:val="24"/>
              </w:rPr>
              <w:t xml:space="preserve"> v </w:t>
            </w:r>
            <w:r w:rsidRPr="0086713D">
              <w:rPr>
                <w:rStyle w:val="TeksttreciTimesNewRoman105ptOdstpy0pt"/>
                <w:rFonts w:eastAsia="Book Antiqua"/>
                <w:spacing w:val="-4"/>
                <w:sz w:val="24"/>
                <w:szCs w:val="24"/>
              </w:rPr>
              <w:t>prípade inštitúcií, ktoré uskutočňujú vykazovanie podľa štandardov IFRS] vrátane zostatkov pohľadávok splatných na požiadanie</w:t>
            </w:r>
            <w:r w:rsidR="00A3389E" w:rsidRPr="0086713D">
              <w:rPr>
                <w:rStyle w:val="TeksttreciTimesNewRoman105ptOdstpy0pt"/>
                <w:rFonts w:eastAsia="Book Antiqua"/>
                <w:spacing w:val="-4"/>
                <w:sz w:val="24"/>
                <w:szCs w:val="24"/>
              </w:rPr>
              <w:t xml:space="preserve"> v </w:t>
            </w:r>
            <w:r w:rsidRPr="0086713D">
              <w:rPr>
                <w:rStyle w:val="TeksttreciTimesNewRoman105ptOdstpy0pt"/>
                <w:rFonts w:eastAsia="Book Antiqua"/>
                <w:spacing w:val="-4"/>
                <w:sz w:val="24"/>
                <w:szCs w:val="24"/>
              </w:rPr>
              <w:t>centrálnych bankách</w:t>
            </w:r>
            <w:r w:rsidR="00A3389E" w:rsidRPr="0086713D">
              <w:rPr>
                <w:rStyle w:val="TeksttreciTimesNewRoman105ptOdstpy0pt"/>
                <w:rFonts w:eastAsia="Book Antiqua"/>
                <w:spacing w:val="-4"/>
                <w:sz w:val="24"/>
                <w:szCs w:val="24"/>
              </w:rPr>
              <w:t xml:space="preserve"> a </w:t>
            </w:r>
            <w:r w:rsidRPr="0086713D">
              <w:rPr>
                <w:rStyle w:val="TeksttreciTimesNewRoman105ptOdstpy0pt"/>
                <w:rFonts w:eastAsia="Book Antiqua"/>
                <w:spacing w:val="-4"/>
                <w:sz w:val="24"/>
                <w:szCs w:val="24"/>
              </w:rPr>
              <w:t>iných inštitúciách. Ostatné aktíva zahŕňajú aj úvery</w:t>
            </w:r>
            <w:r w:rsidR="00A3389E" w:rsidRPr="0086713D">
              <w:rPr>
                <w:rStyle w:val="TeksttreciTimesNewRoman105ptOdstpy0pt"/>
                <w:rFonts w:eastAsia="Book Antiqua"/>
                <w:spacing w:val="-4"/>
                <w:sz w:val="24"/>
                <w:szCs w:val="24"/>
              </w:rPr>
              <w:t xml:space="preserve"> a </w:t>
            </w:r>
            <w:r w:rsidRPr="0086713D">
              <w:rPr>
                <w:rStyle w:val="TeksttreciTimesNewRoman105ptOdstpy0pt"/>
                <w:rFonts w:eastAsia="Book Antiqua"/>
                <w:spacing w:val="-4"/>
                <w:sz w:val="24"/>
                <w:szCs w:val="24"/>
              </w:rPr>
              <w:t>preddavky iné než úvery na požiadanie, t. j. dlhové nástroje držané inštitúciami, ktoré nie sú cennými papiermi, iné než zostatky pohľadávok splatné na požiadanie, vrátane úverov zabezpečených kolaterálom vo forme nehnuteľného majetku</w:t>
            </w:r>
            <w:r w:rsidR="00A3389E" w:rsidRPr="0086713D">
              <w:rPr>
                <w:rStyle w:val="TeksttreciTimesNewRoman105ptOdstpy0pt"/>
                <w:rFonts w:eastAsia="Book Antiqua"/>
                <w:spacing w:val="-4"/>
                <w:sz w:val="24"/>
                <w:szCs w:val="24"/>
              </w:rPr>
              <w:t xml:space="preserve"> v </w:t>
            </w:r>
            <w:r w:rsidRPr="0086713D">
              <w:rPr>
                <w:rStyle w:val="TeksttreciTimesNewRoman105ptOdstpy0pt"/>
                <w:rFonts w:eastAsia="Book Antiqua"/>
                <w:spacing w:val="-4"/>
                <w:sz w:val="24"/>
                <w:szCs w:val="24"/>
              </w:rPr>
              <w:t>zmysle vymedzenia</w:t>
            </w:r>
            <w:r w:rsidR="00A3389E" w:rsidRPr="0086713D">
              <w:rPr>
                <w:rStyle w:val="TeksttreciTimesNewRoman105ptOdstpy0pt"/>
                <w:rFonts w:eastAsia="Book Antiqua"/>
                <w:spacing w:val="-4"/>
                <w:sz w:val="24"/>
                <w:szCs w:val="24"/>
              </w:rPr>
              <w:t xml:space="preserve"> v </w:t>
            </w:r>
            <w:r w:rsidRPr="0086713D">
              <w:rPr>
                <w:rStyle w:val="TeksttreciTimesNewRoman105ptOdstpy0pt"/>
                <w:rFonts w:eastAsia="Book Antiqua"/>
                <w:spacing w:val="-4"/>
                <w:sz w:val="24"/>
                <w:szCs w:val="24"/>
              </w:rPr>
              <w:t xml:space="preserve">časti 2 odseku 86 písm. a) </w:t>
            </w:r>
            <w:r w:rsidRPr="0086713D">
              <w:rPr>
                <w:rStyle w:val="InstructionsTabelleberschrift"/>
                <w:rFonts w:ascii="Times New Roman" w:hAnsi="Times New Roman"/>
                <w:b w:val="0"/>
                <w:spacing w:val="-4"/>
                <w:sz w:val="24"/>
                <w:szCs w:val="24"/>
                <w:u w:val="none"/>
              </w:rPr>
              <w:t>prílohy</w:t>
            </w:r>
            <w:r w:rsidR="00A3389E" w:rsidRPr="0086713D">
              <w:rPr>
                <w:rStyle w:val="InstructionsTabelleberschrift"/>
                <w:rFonts w:ascii="Times New Roman" w:hAnsi="Times New Roman"/>
                <w:b w:val="0"/>
                <w:spacing w:val="-4"/>
                <w:sz w:val="24"/>
                <w:szCs w:val="24"/>
                <w:u w:val="none"/>
              </w:rPr>
              <w:t xml:space="preserve"> V k </w:t>
            </w:r>
            <w:r w:rsidRPr="0086713D">
              <w:rPr>
                <w:rStyle w:val="TeksttreciTimesNewRoman105ptOdstpy0pt"/>
                <w:rFonts w:eastAsia="Book Antiqua"/>
                <w:spacing w:val="-4"/>
                <w:sz w:val="24"/>
                <w:szCs w:val="24"/>
              </w:rPr>
              <w:t xml:space="preserve">vykonávaciemu nariadeniu Komisie (EÚ) </w:t>
            </w:r>
            <w:r w:rsidR="00A3389E" w:rsidRPr="0086713D">
              <w:rPr>
                <w:rStyle w:val="TeksttreciTimesNewRoman105ptOdstpy0pt"/>
                <w:rFonts w:eastAsia="Book Antiqua"/>
                <w:spacing w:val="-4"/>
                <w:sz w:val="24"/>
                <w:szCs w:val="24"/>
              </w:rPr>
              <w:t>č. </w:t>
            </w:r>
            <w:r w:rsidRPr="0086713D">
              <w:rPr>
                <w:rStyle w:val="TeksttreciTimesNewRoman105ptOdstpy0pt"/>
                <w:rFonts w:eastAsia="Book Antiqua"/>
                <w:spacing w:val="-4"/>
                <w:sz w:val="24"/>
                <w:szCs w:val="24"/>
              </w:rPr>
              <w:t>680/2014. Ostatné aktíva môžu zahŕňať aj nehmotné aktíva vrátane goodwillu, odložené daňové pohľadávky, nehnuteľnosti, stroje</w:t>
            </w:r>
            <w:r w:rsidR="00A3389E" w:rsidRPr="0086713D">
              <w:rPr>
                <w:rStyle w:val="TeksttreciTimesNewRoman105ptOdstpy0pt"/>
                <w:rFonts w:eastAsia="Book Antiqua"/>
                <w:spacing w:val="-4"/>
                <w:sz w:val="24"/>
                <w:szCs w:val="24"/>
              </w:rPr>
              <w:t xml:space="preserve"> a </w:t>
            </w:r>
            <w:r w:rsidRPr="0086713D">
              <w:rPr>
                <w:rStyle w:val="TeksttreciTimesNewRoman105ptOdstpy0pt"/>
                <w:rFonts w:eastAsia="Book Antiqua"/>
                <w:spacing w:val="-4"/>
                <w:sz w:val="24"/>
                <w:szCs w:val="24"/>
              </w:rPr>
              <w:t>iné fixné aktíva, derivátové aktíva, obrátené repo transakcie</w:t>
            </w:r>
            <w:r w:rsidR="00A3389E" w:rsidRPr="0086713D">
              <w:rPr>
                <w:rStyle w:val="TeksttreciTimesNewRoman105ptOdstpy0pt"/>
                <w:rFonts w:eastAsia="Book Antiqua"/>
                <w:spacing w:val="-4"/>
                <w:sz w:val="24"/>
                <w:szCs w:val="24"/>
              </w:rPr>
              <w:t xml:space="preserve"> a </w:t>
            </w:r>
            <w:r w:rsidRPr="0086713D">
              <w:rPr>
                <w:rStyle w:val="TeksttreciTimesNewRoman105ptOdstpy0pt"/>
                <w:rFonts w:eastAsia="Book Antiqua"/>
                <w:spacing w:val="-4"/>
                <w:sz w:val="24"/>
                <w:szCs w:val="24"/>
              </w:rPr>
              <w:t>pohľadávky</w:t>
            </w:r>
            <w:r w:rsidR="00A3389E" w:rsidRPr="0086713D">
              <w:rPr>
                <w:rStyle w:val="TeksttreciTimesNewRoman105ptOdstpy0pt"/>
                <w:rFonts w:eastAsia="Book Antiqua"/>
                <w:spacing w:val="-4"/>
                <w:sz w:val="24"/>
                <w:szCs w:val="24"/>
              </w:rPr>
              <w:t xml:space="preserve"> z </w:t>
            </w:r>
            <w:r w:rsidRPr="0086713D">
              <w:rPr>
                <w:rStyle w:val="TeksttreciTimesNewRoman105ptOdstpy0pt"/>
                <w:rFonts w:eastAsia="Book Antiqua"/>
                <w:spacing w:val="-4"/>
                <w:sz w:val="24"/>
                <w:szCs w:val="24"/>
              </w:rPr>
              <w:t>výpožičky akcií.</w:t>
            </w:r>
          </w:p>
          <w:p w14:paraId="1439D231" w14:textId="3DA095FF" w:rsidR="00D312C4" w:rsidRPr="0086713D" w:rsidRDefault="00D312C4" w:rsidP="00155C96">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4"/>
                <w:sz w:val="24"/>
                <w:szCs w:val="24"/>
              </w:rPr>
              <w:t>Keď podkladovými aktívami</w:t>
            </w:r>
            <w:r w:rsidR="00A3389E" w:rsidRPr="0086713D">
              <w:rPr>
                <w:rStyle w:val="TeksttreciTimesNewRoman105ptOdstpy0pt"/>
                <w:rFonts w:eastAsiaTheme="minorEastAsia"/>
                <w:spacing w:val="-4"/>
                <w:sz w:val="24"/>
                <w:szCs w:val="24"/>
              </w:rPr>
              <w:t xml:space="preserve"> a </w:t>
            </w:r>
            <w:r w:rsidRPr="0086713D">
              <w:rPr>
                <w:rStyle w:val="TeksttreciTimesNewRoman105ptOdstpy0pt"/>
                <w:rFonts w:eastAsiaTheme="minorEastAsia"/>
                <w:spacing w:val="-4"/>
                <w:sz w:val="24"/>
                <w:szCs w:val="24"/>
              </w:rPr>
              <w:t>aktívami krycieho súboru ponechaných sekuritizácií</w:t>
            </w:r>
            <w:r w:rsidR="00A3389E" w:rsidRPr="0086713D">
              <w:rPr>
                <w:rStyle w:val="TeksttreciTimesNewRoman105ptOdstpy0pt"/>
                <w:rFonts w:eastAsiaTheme="minorEastAsia"/>
                <w:spacing w:val="-4"/>
                <w:sz w:val="24"/>
                <w:szCs w:val="24"/>
              </w:rPr>
              <w:t xml:space="preserve"> a </w:t>
            </w:r>
            <w:r w:rsidRPr="0086713D">
              <w:rPr>
                <w:rStyle w:val="TeksttreciTimesNewRoman105ptOdstpy0pt"/>
                <w:rFonts w:eastAsiaTheme="minorEastAsia"/>
                <w:spacing w:val="-4"/>
                <w:sz w:val="24"/>
                <w:szCs w:val="24"/>
              </w:rPr>
              <w:t>ponechaných krytých dlhopisov sú úvery na požiadanie alebo úvery</w:t>
            </w:r>
            <w:r w:rsidR="00A3389E" w:rsidRPr="0086713D">
              <w:rPr>
                <w:rStyle w:val="TeksttreciTimesNewRoman105ptOdstpy0pt"/>
                <w:rFonts w:eastAsiaTheme="minorEastAsia"/>
                <w:spacing w:val="-4"/>
                <w:sz w:val="24"/>
                <w:szCs w:val="24"/>
              </w:rPr>
              <w:t xml:space="preserve"> a </w:t>
            </w:r>
            <w:r w:rsidRPr="0086713D">
              <w:rPr>
                <w:rStyle w:val="TeksttreciTimesNewRoman105ptOdstpy0pt"/>
                <w:rFonts w:eastAsiaTheme="minorEastAsia"/>
                <w:spacing w:val="-4"/>
                <w:sz w:val="24"/>
                <w:szCs w:val="24"/>
              </w:rPr>
              <w:t>preddavky iné než úvery na požiadanie, takisto sa zahŕňajú do tohto riadku.</w:t>
            </w:r>
          </w:p>
        </w:tc>
      </w:tr>
    </w:tbl>
    <w:p w14:paraId="2A2C5992" w14:textId="77777777" w:rsidR="00D312C4" w:rsidRPr="0086713D" w:rsidRDefault="00D312C4" w:rsidP="00D312C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6713D" w14:paraId="5D70D91E" w14:textId="77777777" w:rsidTr="00155C96">
        <w:trPr>
          <w:trHeight w:val="238"/>
        </w:trPr>
        <w:tc>
          <w:tcPr>
            <w:tcW w:w="9039" w:type="dxa"/>
            <w:gridSpan w:val="2"/>
            <w:shd w:val="clear" w:color="auto" w:fill="D9D9D9" w:themeFill="background1" w:themeFillShade="D9"/>
          </w:tcPr>
          <w:p w14:paraId="0274FF40" w14:textId="2D2A869B"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lastRenderedPageBreak/>
              <w:t>Odkazy na právne predpisy</w:t>
            </w:r>
            <w:r w:rsidR="00A3389E" w:rsidRPr="0086713D">
              <w:rPr>
                <w:rFonts w:ascii="Times New Roman" w:hAnsi="Times New Roman" w:cs="Times New Roman"/>
                <w:b/>
                <w:sz w:val="24"/>
              </w:rPr>
              <w:t xml:space="preserve"> a </w:t>
            </w:r>
            <w:r w:rsidRPr="0086713D">
              <w:rPr>
                <w:rFonts w:ascii="Times New Roman" w:hAnsi="Times New Roman" w:cs="Times New Roman"/>
                <w:b/>
                <w:sz w:val="24"/>
              </w:rPr>
              <w:t>pokyny</w:t>
            </w:r>
          </w:p>
        </w:tc>
      </w:tr>
      <w:tr w:rsidR="00D312C4" w:rsidRPr="0086713D" w14:paraId="03E180C6" w14:textId="77777777" w:rsidTr="00155C96">
        <w:trPr>
          <w:trHeight w:val="238"/>
        </w:trPr>
        <w:tc>
          <w:tcPr>
            <w:tcW w:w="1384" w:type="dxa"/>
            <w:shd w:val="clear" w:color="auto" w:fill="D9D9D9" w:themeFill="background1" w:themeFillShade="D9"/>
          </w:tcPr>
          <w:p w14:paraId="4D464DCF"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Číslo stĺpca</w:t>
            </w:r>
          </w:p>
        </w:tc>
        <w:tc>
          <w:tcPr>
            <w:tcW w:w="7655" w:type="dxa"/>
            <w:shd w:val="clear" w:color="auto" w:fill="D9D9D9" w:themeFill="background1" w:themeFillShade="D9"/>
          </w:tcPr>
          <w:p w14:paraId="1D23DCFC"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Vysvetlenie</w:t>
            </w:r>
          </w:p>
        </w:tc>
      </w:tr>
      <w:tr w:rsidR="00D312C4" w:rsidRPr="0086713D" w14:paraId="4D2F488F" w14:textId="77777777" w:rsidTr="00155C96">
        <w:trPr>
          <w:trHeight w:val="841"/>
        </w:trPr>
        <w:tc>
          <w:tcPr>
            <w:tcW w:w="1384" w:type="dxa"/>
          </w:tcPr>
          <w:p w14:paraId="7D15DB81" w14:textId="77777777" w:rsidR="00D312C4" w:rsidRPr="0086713D" w:rsidRDefault="00D312C4" w:rsidP="00155C96">
            <w:pPr>
              <w:pStyle w:val="Applicationdirecte"/>
              <w:spacing w:before="0"/>
            </w:pPr>
            <w:r w:rsidRPr="0086713D">
              <w:t>010</w:t>
            </w:r>
          </w:p>
        </w:tc>
        <w:tc>
          <w:tcPr>
            <w:tcW w:w="7655" w:type="dxa"/>
          </w:tcPr>
          <w:p w14:paraId="4A92F12D"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Účtovná hodnota zaťažených aktív</w:t>
            </w:r>
          </w:p>
          <w:p w14:paraId="34904F06" w14:textId="77777777" w:rsidR="00A3389E" w:rsidRPr="0086713D" w:rsidRDefault="00D312C4" w:rsidP="00155C96">
            <w:pPr>
              <w:pStyle w:val="Fait"/>
              <w:spacing w:before="0" w:after="120"/>
              <w:rPr>
                <w:rStyle w:val="TeksttreciTimesNewRoman105ptOdstpy0pt"/>
                <w:spacing w:val="0"/>
                <w:sz w:val="24"/>
                <w:szCs w:val="24"/>
              </w:rPr>
            </w:pPr>
            <w:r w:rsidRPr="0086713D">
              <w:rPr>
                <w:rStyle w:val="TeksttreciTimesNewRoman105ptOdstpy0pt"/>
                <w:spacing w:val="0"/>
                <w:sz w:val="24"/>
                <w:szCs w:val="24"/>
              </w:rPr>
              <w:t>Mediánová hodnota účtovnej hodnoty aktív držaných inštitúciou, ktoré sú zaťažené</w:t>
            </w:r>
            <w:r w:rsidR="00A3389E" w:rsidRPr="0086713D">
              <w:rPr>
                <w:rStyle w:val="TeksttreciTimesNewRoman105ptOdstpy0pt"/>
                <w:spacing w:val="0"/>
                <w:sz w:val="24"/>
                <w:szCs w:val="24"/>
              </w:rPr>
              <w:t>.</w:t>
            </w:r>
          </w:p>
          <w:p w14:paraId="35614DD4" w14:textId="536FC15C" w:rsidR="00D312C4" w:rsidRPr="0086713D" w:rsidRDefault="00D312C4" w:rsidP="00155C96">
            <w:pPr>
              <w:pStyle w:val="Fait"/>
              <w:spacing w:before="0" w:after="120"/>
              <w:rPr>
                <w:rStyle w:val="TeksttreciTimesNewRoman105ptOdstpy0pt"/>
                <w:rFonts w:eastAsia="Calibri"/>
                <w:spacing w:val="0"/>
                <w:sz w:val="24"/>
                <w:szCs w:val="24"/>
              </w:rPr>
            </w:pPr>
            <w:r w:rsidRPr="0086713D">
              <w:rPr>
                <w:rStyle w:val="TeksttreciTimesNewRoman105ptOdstpy0pt"/>
                <w:spacing w:val="0"/>
                <w:sz w:val="24"/>
                <w:szCs w:val="24"/>
              </w:rPr>
              <w:t>Účtovnou hodnotou je hodnota na strane aktív</w:t>
            </w:r>
            <w:r w:rsidR="00A3389E" w:rsidRPr="0086713D">
              <w:rPr>
                <w:rStyle w:val="TeksttreciTimesNewRoman105ptOdstpy0pt"/>
                <w:spacing w:val="0"/>
                <w:sz w:val="24"/>
                <w:szCs w:val="24"/>
              </w:rPr>
              <w:t xml:space="preserve"> v </w:t>
            </w:r>
            <w:r w:rsidRPr="0086713D">
              <w:rPr>
                <w:rStyle w:val="TeksttreciTimesNewRoman105ptOdstpy0pt"/>
                <w:spacing w:val="0"/>
                <w:sz w:val="24"/>
                <w:szCs w:val="24"/>
              </w:rPr>
              <w:t>súvahe.</w:t>
            </w:r>
          </w:p>
          <w:p w14:paraId="70F39F33" w14:textId="77777777" w:rsidR="00D312C4" w:rsidRPr="0086713D" w:rsidRDefault="00D312C4" w:rsidP="00155C96">
            <w:pPr>
              <w:pStyle w:val="Fait"/>
              <w:spacing w:before="0" w:after="120"/>
            </w:pPr>
            <w:r w:rsidRPr="0086713D">
              <w:rPr>
                <w:rStyle w:val="TeksttreciTimesNewRoman105ptOdstpy0pt"/>
                <w:spacing w:val="0"/>
                <w:sz w:val="24"/>
                <w:szCs w:val="24"/>
              </w:rPr>
              <w:t>Pri každej triede aktív je zverejňovanou účtovnou hodnotou mediánová hodnota jednotlivých zverejnených účtovných hodnôt na konci každého obdobia zverejňovania zohľadneného pri výpočte mediánu.</w:t>
            </w:r>
          </w:p>
        </w:tc>
      </w:tr>
      <w:tr w:rsidR="00D312C4" w:rsidRPr="0086713D" w14:paraId="68911C28" w14:textId="77777777" w:rsidTr="00155C96">
        <w:trPr>
          <w:trHeight w:val="841"/>
        </w:trPr>
        <w:tc>
          <w:tcPr>
            <w:tcW w:w="1384" w:type="dxa"/>
          </w:tcPr>
          <w:p w14:paraId="29FF787B" w14:textId="77777777" w:rsidR="00D312C4" w:rsidRPr="0086713D" w:rsidRDefault="00D312C4" w:rsidP="00155C96">
            <w:pPr>
              <w:pStyle w:val="Applicationdirecte"/>
              <w:spacing w:before="0"/>
            </w:pPr>
            <w:r w:rsidRPr="0086713D">
              <w:t>030</w:t>
            </w:r>
          </w:p>
        </w:tc>
        <w:tc>
          <w:tcPr>
            <w:tcW w:w="7655" w:type="dxa"/>
          </w:tcPr>
          <w:p w14:paraId="48BDDB0D" w14:textId="258B7398"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teoreticky prípustné EHQLA</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HQLA</w:t>
            </w:r>
          </w:p>
          <w:p w14:paraId="36896FCB" w14:textId="0C060CC5" w:rsidR="00D312C4" w:rsidRPr="0086713D" w:rsidRDefault="00D312C4" w:rsidP="00155C96">
            <w:pPr>
              <w:autoSpaceDE w:val="0"/>
              <w:autoSpaceDN w:val="0"/>
              <w:adjustRightInd w:val="0"/>
              <w:spacing w:after="120"/>
              <w:jc w:val="both"/>
              <w:rPr>
                <w:rStyle w:val="TeksttreciTimesNewRoman105ptOdstpy0pt"/>
                <w:rFonts w:eastAsia="Calibri"/>
                <w:spacing w:val="0"/>
                <w:sz w:val="24"/>
                <w:szCs w:val="24"/>
              </w:rPr>
            </w:pPr>
            <w:r w:rsidRPr="0086713D">
              <w:rPr>
                <w:rStyle w:val="TeksttreciTimesNewRoman105ptOdstpy0pt"/>
                <w:rFonts w:eastAsiaTheme="minorEastAsia"/>
                <w:spacing w:val="0"/>
                <w:sz w:val="24"/>
                <w:szCs w:val="24"/>
              </w:rPr>
              <w:t>Mediánová hodnota účtovnej hodnoty zaťažených aktív, ktoré sú teoreticky prípustné ako aktíva</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mimoriadne vysokou likviditou</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kreditnou kvalitou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aktíva</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vysokou likviditou</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kreditnou kvalitou (HQLA).</w:t>
            </w:r>
          </w:p>
          <w:p w14:paraId="51929211" w14:textId="2C958FEA" w:rsidR="00D312C4" w:rsidRPr="0086713D" w:rsidRDefault="00D312C4" w:rsidP="00155C96">
            <w:pPr>
              <w:autoSpaceDE w:val="0"/>
              <w:autoSpaceDN w:val="0"/>
              <w:adjustRightInd w:val="0"/>
              <w:spacing w:after="120"/>
              <w:jc w:val="both"/>
              <w:rPr>
                <w:rStyle w:val="TeksttreciTimesNewRoman105ptOdstpy0pt"/>
                <w:rFonts w:eastAsia="Calibri"/>
                <w:spacing w:val="0"/>
                <w:sz w:val="24"/>
                <w:szCs w:val="24"/>
              </w:rPr>
            </w:pPr>
            <w:r w:rsidRPr="0086713D">
              <w:rPr>
                <w:rStyle w:val="TeksttreciTimesNewRoman105ptOdstpy0pt"/>
                <w:rFonts w:eastAsiaTheme="minorEastAsia"/>
                <w:spacing w:val="0"/>
                <w:sz w:val="24"/>
                <w:szCs w:val="24"/>
              </w:rPr>
              <w:t>Na účely tohto nariadenia sú teoreticky prípustnými zaťaženými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teoreticky prípustnými zaťaženými HQLA tie aktíva, ktoré sú uvedené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11, 12, 13, 15</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16 delegovaného nariadenia Komisie (EÚ) 2015/61</w:t>
            </w:r>
            <w:r w:rsidRPr="0086713D">
              <w:rPr>
                <w:rStyle w:val="FootnoteReference"/>
                <w:rFonts w:ascii="Times New Roman" w:eastAsia="Calibri" w:hAnsi="Times New Roman" w:cs="Times New Roman"/>
                <w:color w:val="000000"/>
                <w:sz w:val="24"/>
                <w:szCs w:val="24"/>
                <w:shd w:val="clear" w:color="auto" w:fill="FFFFFF"/>
              </w:rPr>
              <w:footnoteReference w:id="58"/>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ktoré by spĺňali všeobecné</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prevádzkové požiadavky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7</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8 uvedeného delegovaného nariadenia, ak by nemali status zaťažených aktív</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súlade</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prílohou XVII</w:t>
            </w:r>
            <w:r w:rsidR="00A3389E" w:rsidRPr="0086713D">
              <w:rPr>
                <w:rStyle w:val="TeksttreciTimesNewRoman105ptOdstpy0pt"/>
                <w:rFonts w:eastAsiaTheme="minorEastAsia"/>
                <w:spacing w:val="0"/>
                <w:sz w:val="24"/>
                <w:szCs w:val="24"/>
              </w:rPr>
              <w:t xml:space="preserve"> k </w:t>
            </w:r>
            <w:r w:rsidRPr="0086713D">
              <w:rPr>
                <w:rStyle w:val="TeksttreciTimesNewRoman105ptOdstpy0pt"/>
                <w:rFonts w:eastAsiaTheme="minorEastAsia"/>
                <w:spacing w:val="0"/>
                <w:sz w:val="24"/>
                <w:szCs w:val="24"/>
              </w:rPr>
              <w:t xml:space="preserve">vykonávaciemu nariadeniu Komisie (EÚ) </w:t>
            </w:r>
            <w:r w:rsidR="00A3389E" w:rsidRPr="0086713D">
              <w:rPr>
                <w:rStyle w:val="TeksttreciTimesNewRoman105ptOdstpy0pt"/>
                <w:rFonts w:eastAsiaTheme="minorEastAsia"/>
                <w:spacing w:val="0"/>
                <w:sz w:val="24"/>
                <w:szCs w:val="24"/>
              </w:rPr>
              <w:t>č. </w:t>
            </w:r>
            <w:r w:rsidRPr="0086713D">
              <w:rPr>
                <w:rStyle w:val="TeksttreciTimesNewRoman105ptOdstpy0pt"/>
                <w:rFonts w:eastAsiaTheme="minorEastAsia"/>
                <w:spacing w:val="0"/>
                <w:sz w:val="24"/>
                <w:szCs w:val="24"/>
              </w:rPr>
              <w:t>680/2014. Teoreticky prípustné zaťažené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teoreticky prípustné zaťažené HQLA musia rovnako spĺňať požiadavky špecifické pre triedy expozícií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až 16</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článkoch 35 až 37 delegovaného nariadenia (EÚ) 2015/61. Účtovnou hodnotou teoreticky prípustných zaťažených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teoreticky prípustných zaťažených HQLA je účtovná hodnota pred uplatnením zrážok (haircutov) stanovených</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až 16 delegovaného nariadenia (EÚ) 2015/61.</w:t>
            </w:r>
          </w:p>
          <w:p w14:paraId="7EFA6F69" w14:textId="77777777" w:rsidR="00D312C4" w:rsidRPr="0086713D" w:rsidRDefault="00D312C4" w:rsidP="00155C96">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Pri každej triede aktív je zverejňovanou účtovnou hodnotou mediánová hodnota jednotlivých zverejnených účtovných hodnôt na konci každého obdobia zverejňovania zohľadneného pri výpočte mediánu.</w:t>
            </w:r>
          </w:p>
        </w:tc>
      </w:tr>
      <w:tr w:rsidR="00D312C4" w:rsidRPr="0086713D" w14:paraId="6B5BB829" w14:textId="77777777" w:rsidTr="00155C96">
        <w:trPr>
          <w:trHeight w:val="316"/>
        </w:trPr>
        <w:tc>
          <w:tcPr>
            <w:tcW w:w="1384" w:type="dxa"/>
          </w:tcPr>
          <w:p w14:paraId="21F2250B" w14:textId="77777777" w:rsidR="00D312C4" w:rsidRPr="0086713D" w:rsidRDefault="00D312C4" w:rsidP="00155C96">
            <w:pPr>
              <w:autoSpaceDE w:val="0"/>
              <w:autoSpaceDN w:val="0"/>
              <w:adjustRightInd w:val="0"/>
              <w:spacing w:after="120"/>
              <w:rPr>
                <w:rFonts w:ascii="Times New Roman" w:hAnsi="Times New Roman" w:cs="Times New Roman"/>
                <w:color w:val="000000"/>
                <w:sz w:val="24"/>
              </w:rPr>
            </w:pPr>
            <w:r w:rsidRPr="0086713D">
              <w:rPr>
                <w:rFonts w:ascii="Times New Roman" w:hAnsi="Times New Roman" w:cs="Times New Roman"/>
                <w:sz w:val="24"/>
              </w:rPr>
              <w:t xml:space="preserve">040 </w:t>
            </w:r>
          </w:p>
        </w:tc>
        <w:tc>
          <w:tcPr>
            <w:tcW w:w="7655" w:type="dxa"/>
          </w:tcPr>
          <w:p w14:paraId="6183C9CC" w14:textId="77777777" w:rsidR="00D312C4" w:rsidRPr="0086713D" w:rsidRDefault="00D312C4" w:rsidP="00155C96">
            <w:pPr>
              <w:pStyle w:val="Teksttreci0"/>
              <w:shd w:val="clear" w:color="auto" w:fill="auto"/>
              <w:spacing w:after="120" w:line="240" w:lineRule="auto"/>
              <w:ind w:firstLine="0"/>
              <w:rPr>
                <w:rStyle w:val="PogrubienieTeksttreciTimesNewRoman105ptOdstpy0pt"/>
                <w:rFonts w:eastAsia="Calibri"/>
                <w:spacing w:val="0"/>
                <w:sz w:val="24"/>
                <w:szCs w:val="24"/>
              </w:rPr>
            </w:pPr>
            <w:r w:rsidRPr="0086713D">
              <w:rPr>
                <w:rStyle w:val="PogrubienieTeksttreciTimesNewRoman105ptOdstpy0pt"/>
                <w:rFonts w:eastAsia="Book Antiqua"/>
                <w:spacing w:val="0"/>
                <w:sz w:val="24"/>
                <w:szCs w:val="24"/>
              </w:rPr>
              <w:t>Reálna hodnota zaťažených aktív</w:t>
            </w:r>
          </w:p>
          <w:p w14:paraId="17E176CC" w14:textId="1C732CE6" w:rsidR="00D312C4" w:rsidRPr="0086713D" w:rsidRDefault="00D312C4" w:rsidP="00155C96">
            <w:pPr>
              <w:spacing w:after="120"/>
              <w:jc w:val="both"/>
              <w:rPr>
                <w:rStyle w:val="InstructionsTabelleberschrift"/>
                <w:rFonts w:ascii="Times New Roman" w:hAnsi="Times New Roman"/>
                <w:b w:val="0"/>
                <w:sz w:val="24"/>
                <w:u w:val="none"/>
              </w:rPr>
            </w:pPr>
            <w:r w:rsidRPr="0086713D">
              <w:rPr>
                <w:rStyle w:val="TeksttreciTimesNewRoman105ptOdstpy0pt"/>
                <w:rFonts w:eastAsiaTheme="minorEastAsia"/>
                <w:spacing w:val="0"/>
                <w:sz w:val="24"/>
                <w:szCs w:val="24"/>
              </w:rPr>
              <w:t xml:space="preserve">Mediánová hodnota </w:t>
            </w:r>
            <w:r w:rsidRPr="0086713D">
              <w:rPr>
                <w:rStyle w:val="InstructionsTabelleberschrift"/>
                <w:rFonts w:ascii="Times New Roman" w:hAnsi="Times New Roman"/>
                <w:b w:val="0"/>
                <w:sz w:val="24"/>
                <w:u w:val="none"/>
              </w:rPr>
              <w:t>reálnej hodnoty dlhových cenných papierov držaných zverejňujúcou inštitúciou, ktoré sú zaťažené</w:t>
            </w:r>
            <w:r w:rsidR="00A3389E" w:rsidRPr="0086713D">
              <w:rPr>
                <w:rStyle w:val="InstructionsTabelleberschrift"/>
                <w:rFonts w:ascii="Times New Roman" w:hAnsi="Times New Roman"/>
                <w:b w:val="0"/>
                <w:sz w:val="24"/>
                <w:u w:val="none"/>
              </w:rPr>
              <w:t xml:space="preserve"> v </w:t>
            </w:r>
            <w:r w:rsidRPr="0086713D">
              <w:rPr>
                <w:rStyle w:val="InstructionsTabelleberschrift"/>
                <w:rFonts w:ascii="Times New Roman" w:hAnsi="Times New Roman"/>
                <w:b w:val="0"/>
                <w:sz w:val="24"/>
                <w:u w:val="none"/>
              </w:rPr>
              <w:t>súlade</w:t>
            </w:r>
            <w:r w:rsidR="00A3389E" w:rsidRPr="0086713D">
              <w:rPr>
                <w:rStyle w:val="InstructionsTabelleberschrift"/>
                <w:rFonts w:ascii="Times New Roman" w:hAnsi="Times New Roman"/>
                <w:b w:val="0"/>
                <w:sz w:val="24"/>
                <w:u w:val="none"/>
              </w:rPr>
              <w:t xml:space="preserve"> s </w:t>
            </w:r>
            <w:r w:rsidRPr="0086713D">
              <w:rPr>
                <w:rStyle w:val="InstructionsTabelleberschrift"/>
                <w:rFonts w:ascii="Times New Roman" w:hAnsi="Times New Roman"/>
                <w:b w:val="0"/>
                <w:sz w:val="24"/>
                <w:u w:val="none"/>
              </w:rPr>
              <w:t>vymedzením zaťaženosti aktív</w:t>
            </w:r>
          </w:p>
          <w:p w14:paraId="3969E148" w14:textId="4532BF65" w:rsidR="00A3389E" w:rsidRPr="0086713D" w:rsidRDefault="00D312C4" w:rsidP="00155C96">
            <w:pPr>
              <w:spacing w:after="120"/>
              <w:jc w:val="both"/>
              <w:rPr>
                <w:rStyle w:val="InstructionsTabelleberschrift"/>
                <w:rFonts w:ascii="Times New Roman" w:hAnsi="Times New Roman"/>
                <w:b w:val="0"/>
                <w:sz w:val="24"/>
                <w:u w:val="none"/>
              </w:rPr>
            </w:pPr>
            <w:r w:rsidRPr="0086713D">
              <w:rPr>
                <w:rStyle w:val="InstructionsTabelleberschrift"/>
                <w:rFonts w:ascii="Times New Roman" w:hAnsi="Times New Roman"/>
                <w:b w:val="0"/>
                <w:sz w:val="24"/>
                <w:u w:val="none"/>
              </w:rPr>
              <w:t>Reálna hodnota finančného nástroja je cena, ktorá by sa získala za predaj aktíva alebo by bola zaplatená za prevod záväzku pri riadnej transakcii medzi účastníkmi trhu</w:t>
            </w:r>
            <w:r w:rsidR="00A3389E" w:rsidRPr="0086713D">
              <w:rPr>
                <w:rStyle w:val="InstructionsTabelleberschrift"/>
                <w:rFonts w:ascii="Times New Roman" w:hAnsi="Times New Roman"/>
                <w:b w:val="0"/>
                <w:sz w:val="24"/>
                <w:u w:val="none"/>
              </w:rPr>
              <w:t xml:space="preserve"> k </w:t>
            </w:r>
            <w:r w:rsidRPr="0086713D">
              <w:rPr>
                <w:rStyle w:val="InstructionsTabelleberschrift"/>
                <w:rFonts w:ascii="Times New Roman" w:hAnsi="Times New Roman"/>
                <w:b w:val="0"/>
                <w:sz w:val="24"/>
                <w:u w:val="none"/>
              </w:rPr>
              <w:t xml:space="preserve">dátumu ocenenia (pozri IFRS 13 Oceňovanie reálnou </w:t>
            </w:r>
            <w:r w:rsidRPr="0086713D">
              <w:rPr>
                <w:rStyle w:val="InstructionsTabelleberschrift"/>
                <w:rFonts w:ascii="Times New Roman" w:hAnsi="Times New Roman"/>
                <w:b w:val="0"/>
                <w:sz w:val="24"/>
                <w:u w:val="none"/>
              </w:rPr>
              <w:lastRenderedPageBreak/>
              <w:t>hodnotou</w:t>
            </w:r>
            <w:r w:rsidR="00A3389E" w:rsidRPr="0086713D">
              <w:rPr>
                <w:rStyle w:val="InstructionsTabelleberschrift"/>
                <w:rFonts w:ascii="Times New Roman" w:hAnsi="Times New Roman"/>
                <w:b w:val="0"/>
                <w:sz w:val="24"/>
                <w:u w:val="none"/>
              </w:rPr>
              <w:t xml:space="preserve"> a </w:t>
            </w:r>
            <w:r w:rsidRPr="0086713D">
              <w:rPr>
                <w:rStyle w:val="InstructionsTabelleberschrift"/>
                <w:rFonts w:ascii="Times New Roman" w:hAnsi="Times New Roman"/>
                <w:b w:val="0"/>
                <w:sz w:val="24"/>
                <w:u w:val="none"/>
              </w:rPr>
              <w:t>IFRS 13</w:t>
            </w:r>
            <w:r w:rsidR="00A3389E" w:rsidRPr="0086713D">
              <w:rPr>
                <w:rStyle w:val="InstructionsTabelleberschrift"/>
                <w:rFonts w:ascii="Times New Roman" w:hAnsi="Times New Roman"/>
                <w:b w:val="0"/>
                <w:sz w:val="24"/>
                <w:u w:val="none"/>
              </w:rPr>
              <w:t xml:space="preserve"> a </w:t>
            </w:r>
            <w:r w:rsidRPr="0086713D">
              <w:rPr>
                <w:rStyle w:val="InstructionsTabelleberschrift"/>
                <w:rFonts w:ascii="Times New Roman" w:hAnsi="Times New Roman"/>
                <w:b w:val="0"/>
                <w:sz w:val="24"/>
                <w:u w:val="none"/>
              </w:rPr>
              <w:t>článok 8 smernice 2013/34/EÚ</w:t>
            </w:r>
            <w:r w:rsidRPr="0086713D">
              <w:rPr>
                <w:rStyle w:val="FootnoteReference"/>
                <w:rFonts w:ascii="Times New Roman" w:hAnsi="Times New Roman" w:cs="Times New Roman"/>
                <w:sz w:val="24"/>
                <w:szCs w:val="24"/>
                <w:lang w:eastAsia="de-DE"/>
              </w:rPr>
              <w:footnoteReference w:id="59"/>
            </w:r>
            <w:r w:rsidR="00A3389E" w:rsidRPr="0086713D">
              <w:rPr>
                <w:rStyle w:val="InstructionsTabelleberschrift"/>
                <w:rFonts w:ascii="Times New Roman" w:hAnsi="Times New Roman"/>
                <w:b w:val="0"/>
                <w:sz w:val="24"/>
                <w:u w:val="none"/>
              </w:rPr>
              <w:t xml:space="preserve"> v </w:t>
            </w:r>
            <w:r w:rsidRPr="0086713D">
              <w:rPr>
                <w:rStyle w:val="InstructionsTabelleberschrift"/>
                <w:rFonts w:ascii="Times New Roman" w:hAnsi="Times New Roman"/>
                <w:b w:val="0"/>
                <w:sz w:val="24"/>
                <w:u w:val="none"/>
              </w:rPr>
              <w:t>prípade inštitúcií, ktoré neuskutočňujú vykazovanie podľa IFRS)</w:t>
            </w:r>
            <w:r w:rsidR="00A3389E" w:rsidRPr="0086713D">
              <w:rPr>
                <w:rStyle w:val="InstructionsTabelleberschrift"/>
                <w:rFonts w:ascii="Times New Roman" w:hAnsi="Times New Roman"/>
                <w:b w:val="0"/>
                <w:sz w:val="24"/>
                <w:u w:val="none"/>
              </w:rPr>
              <w:t>.</w:t>
            </w:r>
          </w:p>
          <w:p w14:paraId="23FAE624" w14:textId="1F346DED" w:rsidR="00D312C4" w:rsidRPr="0086713D" w:rsidRDefault="00D312C4" w:rsidP="00155C96">
            <w:pPr>
              <w:autoSpaceDE w:val="0"/>
              <w:autoSpaceDN w:val="0"/>
              <w:adjustRightInd w:val="0"/>
              <w:spacing w:after="120"/>
              <w:jc w:val="both"/>
              <w:rPr>
                <w:rFonts w:ascii="Times New Roman" w:hAnsi="Times New Roman" w:cs="Times New Roman"/>
                <w:sz w:val="24"/>
              </w:rPr>
            </w:pPr>
            <w:r w:rsidRPr="0086713D">
              <w:rPr>
                <w:rStyle w:val="TeksttreciTimesNewRoman105ptOdstpy0pt"/>
                <w:rFonts w:eastAsiaTheme="minorEastAsia"/>
                <w:spacing w:val="0"/>
                <w:sz w:val="24"/>
                <w:szCs w:val="24"/>
              </w:rPr>
              <w:t>Pri každej triede aktív je zverejňovanou reálnou hodnotou mediánová hodnota jednotlivých reálnych hodnôt pozorovaných na konci každého obdobia zverejňovania zohľadneného pri výpočte mediánu.</w:t>
            </w:r>
          </w:p>
        </w:tc>
      </w:tr>
      <w:tr w:rsidR="00D312C4" w:rsidRPr="0086713D" w14:paraId="4B3529C2" w14:textId="77777777" w:rsidTr="00155C96">
        <w:trPr>
          <w:trHeight w:val="316"/>
        </w:trPr>
        <w:tc>
          <w:tcPr>
            <w:tcW w:w="1384" w:type="dxa"/>
          </w:tcPr>
          <w:p w14:paraId="38B4E8DE"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lastRenderedPageBreak/>
              <w:t>050</w:t>
            </w:r>
          </w:p>
        </w:tc>
        <w:tc>
          <w:tcPr>
            <w:tcW w:w="7655" w:type="dxa"/>
          </w:tcPr>
          <w:p w14:paraId="0F565CC0" w14:textId="68245ADC"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teoreticky prípustné EHQLA</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HQLA</w:t>
            </w:r>
          </w:p>
          <w:p w14:paraId="7F30EBE4" w14:textId="3060D869" w:rsidR="00D312C4" w:rsidRPr="0086713D" w:rsidRDefault="00D312C4" w:rsidP="00155C96">
            <w:pPr>
              <w:autoSpaceDE w:val="0"/>
              <w:autoSpaceDN w:val="0"/>
              <w:adjustRightInd w:val="0"/>
              <w:spacing w:after="120"/>
              <w:jc w:val="both"/>
              <w:rPr>
                <w:rStyle w:val="TeksttreciTimesNewRoman105ptOdstpy0pt"/>
                <w:rFonts w:eastAsia="Calibri"/>
                <w:spacing w:val="0"/>
                <w:sz w:val="24"/>
                <w:szCs w:val="24"/>
              </w:rPr>
            </w:pPr>
            <w:r w:rsidRPr="0086713D">
              <w:rPr>
                <w:rStyle w:val="TeksttreciTimesNewRoman105ptOdstpy0pt"/>
                <w:rFonts w:eastAsiaTheme="minorEastAsia"/>
                <w:spacing w:val="0"/>
                <w:sz w:val="24"/>
                <w:szCs w:val="24"/>
              </w:rPr>
              <w:t>Mediánová hodnota reálnej hodnoty zaťažených aktív, ktoré sú teoreticky prípustné ako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HQLA. Na účely tohto nariadenia sú teoreticky prípustnými zaťaženými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teoreticky prípustnými zaťaženými HQLA tie aktíva, ktoré sú uvedené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11, 12, 13, 15</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16 delegovaného nariadenia (EÚ) 2015/61</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ktoré by spĺňali všeobecné</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prevádzkové požiadavky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7</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8 delegovaného nariadenia Komisie (EÚ) 2015/61, ak by nemali status zaťažených aktív</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súlade</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prílohou XVII</w:t>
            </w:r>
            <w:r w:rsidR="00A3389E" w:rsidRPr="0086713D">
              <w:rPr>
                <w:rStyle w:val="TeksttreciTimesNewRoman105ptOdstpy0pt"/>
                <w:rFonts w:eastAsiaTheme="minorEastAsia"/>
                <w:spacing w:val="0"/>
                <w:sz w:val="24"/>
                <w:szCs w:val="24"/>
              </w:rPr>
              <w:t xml:space="preserve"> k </w:t>
            </w:r>
            <w:r w:rsidRPr="0086713D">
              <w:rPr>
                <w:rStyle w:val="TeksttreciTimesNewRoman105ptOdstpy0pt"/>
                <w:rFonts w:eastAsiaTheme="minorEastAsia"/>
                <w:spacing w:val="0"/>
                <w:sz w:val="24"/>
                <w:szCs w:val="24"/>
              </w:rPr>
              <w:t xml:space="preserve">vykonávaciemu nariadeniu Komisie (EÚ) </w:t>
            </w:r>
            <w:r w:rsidR="00A3389E" w:rsidRPr="0086713D">
              <w:rPr>
                <w:rStyle w:val="TeksttreciTimesNewRoman105ptOdstpy0pt"/>
                <w:rFonts w:eastAsiaTheme="minorEastAsia"/>
                <w:spacing w:val="0"/>
                <w:sz w:val="24"/>
                <w:szCs w:val="24"/>
              </w:rPr>
              <w:t>č. </w:t>
            </w:r>
            <w:r w:rsidRPr="0086713D">
              <w:rPr>
                <w:rStyle w:val="TeksttreciTimesNewRoman105ptOdstpy0pt"/>
                <w:rFonts w:eastAsiaTheme="minorEastAsia"/>
                <w:spacing w:val="0"/>
                <w:sz w:val="24"/>
                <w:szCs w:val="24"/>
              </w:rPr>
              <w:t>680/2014. Teoreticky prípustné zaťažené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teoreticky prípustné zaťažené HQLA musia rovnako spĺňať požiadavky špecifické pre triedy expozícií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až 16</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článkoch 35 až 37 delegovaného nariadenia Komisie (EÚ) 2015/61. Reálnou hodnotou teoreticky prípustných zaťažených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teoreticky prípustných zaťažených HQLA je reálna hodnota pred uplatnením zrážok (haircutov) stanovených</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až 16 delegovaného nariadenia Komisie (EÚ) 2015/61.</w:t>
            </w:r>
          </w:p>
          <w:p w14:paraId="12D6883C" w14:textId="77777777" w:rsidR="00D312C4" w:rsidRPr="0086713D" w:rsidRDefault="00D312C4" w:rsidP="00155C96">
            <w:pPr>
              <w:autoSpaceDE w:val="0"/>
              <w:autoSpaceDN w:val="0"/>
              <w:adjustRightInd w:val="0"/>
              <w:spacing w:after="120"/>
              <w:jc w:val="both"/>
              <w:rPr>
                <w:rFonts w:ascii="Times New Roman" w:hAnsi="Times New Roman" w:cs="Times New Roman"/>
                <w:sz w:val="24"/>
              </w:rPr>
            </w:pPr>
            <w:r w:rsidRPr="0086713D">
              <w:rPr>
                <w:rStyle w:val="TeksttreciTimesNewRoman105ptOdstpy0pt"/>
                <w:rFonts w:eastAsiaTheme="minorEastAsia"/>
                <w:spacing w:val="0"/>
                <w:sz w:val="24"/>
                <w:szCs w:val="24"/>
              </w:rPr>
              <w:t>Pri každej triede aktív je zverejňovanou reálnou hodnotou mediánová hodnota jednotlivých reálnych hodnôt pozorovaných na konci každého obdobia zverejňovania zohľadneného pri výpočte mediánu.</w:t>
            </w:r>
          </w:p>
        </w:tc>
      </w:tr>
      <w:tr w:rsidR="00D312C4" w:rsidRPr="0086713D" w14:paraId="2789423A" w14:textId="77777777" w:rsidTr="00155C96">
        <w:trPr>
          <w:trHeight w:val="316"/>
        </w:trPr>
        <w:tc>
          <w:tcPr>
            <w:tcW w:w="1384" w:type="dxa"/>
          </w:tcPr>
          <w:p w14:paraId="518FC7A6"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060</w:t>
            </w:r>
          </w:p>
        </w:tc>
        <w:tc>
          <w:tcPr>
            <w:tcW w:w="7655" w:type="dxa"/>
          </w:tcPr>
          <w:p w14:paraId="13EB12C9"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Účtovná hodnota nezaťažených aktív</w:t>
            </w:r>
          </w:p>
          <w:p w14:paraId="3C3C5694" w14:textId="228B7C4C" w:rsidR="00D312C4" w:rsidRPr="0086713D" w:rsidRDefault="00D312C4" w:rsidP="00C83CCD">
            <w:pPr>
              <w:autoSpaceDE w:val="0"/>
              <w:autoSpaceDN w:val="0"/>
              <w:adjustRightInd w:val="0"/>
              <w:spacing w:after="120"/>
              <w:jc w:val="both"/>
              <w:rPr>
                <w:rStyle w:val="TeksttreciTimesNewRoman105ptOdstpy0pt"/>
                <w:rFonts w:eastAsia="Calibri"/>
                <w:spacing w:val="0"/>
                <w:sz w:val="24"/>
                <w:szCs w:val="24"/>
              </w:rPr>
            </w:pPr>
            <w:r w:rsidRPr="0086713D">
              <w:rPr>
                <w:rStyle w:val="TeksttreciTimesNewRoman105ptOdstpy0pt"/>
                <w:rFonts w:eastAsiaTheme="minorEastAsia"/>
                <w:spacing w:val="0"/>
                <w:sz w:val="24"/>
                <w:szCs w:val="24"/>
              </w:rPr>
              <w:t xml:space="preserve">Mediánová hodnota </w:t>
            </w:r>
            <w:r w:rsidRPr="0086713D">
              <w:rPr>
                <w:rStyle w:val="InstructionsTabelleberschrift"/>
                <w:rFonts w:ascii="Times New Roman" w:hAnsi="Times New Roman"/>
                <w:b w:val="0"/>
                <w:sz w:val="24"/>
                <w:u w:val="none"/>
              </w:rPr>
              <w:t>účtovnej hodnoty aktív držaných inštitúciou, ktoré sú nezaťažené</w:t>
            </w:r>
            <w:r w:rsidR="00A3389E" w:rsidRPr="0086713D">
              <w:rPr>
                <w:rStyle w:val="InstructionsTabelleberschrift"/>
                <w:rFonts w:ascii="Times New Roman" w:hAnsi="Times New Roman"/>
                <w:b w:val="0"/>
                <w:sz w:val="24"/>
                <w:u w:val="none"/>
              </w:rPr>
              <w:t xml:space="preserve"> v </w:t>
            </w:r>
            <w:r w:rsidRPr="0086713D">
              <w:rPr>
                <w:rStyle w:val="InstructionsTabelleberschrift"/>
                <w:rFonts w:ascii="Times New Roman" w:hAnsi="Times New Roman"/>
                <w:b w:val="0"/>
                <w:sz w:val="24"/>
                <w:u w:val="none"/>
              </w:rPr>
              <w:t>súlade</w:t>
            </w:r>
            <w:r w:rsidR="00A3389E" w:rsidRPr="0086713D">
              <w:rPr>
                <w:rStyle w:val="InstructionsTabelleberschrift"/>
                <w:rFonts w:ascii="Times New Roman" w:hAnsi="Times New Roman"/>
                <w:b w:val="0"/>
                <w:sz w:val="24"/>
                <w:u w:val="none"/>
              </w:rPr>
              <w:t xml:space="preserve"> s </w:t>
            </w:r>
            <w:r w:rsidRPr="0086713D">
              <w:rPr>
                <w:rStyle w:val="InstructionsTabelleberschrift"/>
                <w:rFonts w:ascii="Times New Roman" w:hAnsi="Times New Roman"/>
                <w:b w:val="0"/>
                <w:sz w:val="24"/>
                <w:u w:val="none"/>
              </w:rPr>
              <w:t>uvedeným vymedzením zaťaženosti aktív. Účtovnou hodnotou je zverejnená hodnota na strane aktív</w:t>
            </w:r>
            <w:r w:rsidR="00A3389E" w:rsidRPr="0086713D">
              <w:rPr>
                <w:rStyle w:val="InstructionsTabelleberschrift"/>
                <w:rFonts w:ascii="Times New Roman" w:hAnsi="Times New Roman"/>
                <w:b w:val="0"/>
                <w:sz w:val="24"/>
                <w:u w:val="none"/>
              </w:rPr>
              <w:t xml:space="preserve"> v </w:t>
            </w:r>
            <w:r w:rsidRPr="0086713D">
              <w:rPr>
                <w:rStyle w:val="InstructionsTabelleberschrift"/>
                <w:rFonts w:ascii="Times New Roman" w:hAnsi="Times New Roman"/>
                <w:b w:val="0"/>
                <w:sz w:val="24"/>
                <w:u w:val="none"/>
              </w:rPr>
              <w:t>súvahe.</w:t>
            </w:r>
          </w:p>
          <w:p w14:paraId="71D23006" w14:textId="77777777" w:rsidR="00D312C4" w:rsidRPr="0086713D" w:rsidRDefault="00D312C4" w:rsidP="00C83CCD">
            <w:pPr>
              <w:autoSpaceDE w:val="0"/>
              <w:autoSpaceDN w:val="0"/>
              <w:adjustRightInd w:val="0"/>
              <w:spacing w:after="120"/>
              <w:jc w:val="both"/>
              <w:rPr>
                <w:rFonts w:ascii="Times New Roman" w:hAnsi="Times New Roman" w:cs="Times New Roman"/>
                <w:sz w:val="24"/>
              </w:rPr>
            </w:pPr>
            <w:r w:rsidRPr="0086713D">
              <w:rPr>
                <w:rStyle w:val="TeksttreciTimesNewRoman105ptOdstpy0pt"/>
                <w:rFonts w:eastAsiaTheme="minorEastAsia"/>
                <w:spacing w:val="0"/>
                <w:sz w:val="24"/>
                <w:szCs w:val="24"/>
              </w:rPr>
              <w:t>Pri každej triede aktív je zverejňovanou účtovnou hodnotou mediánová hodnota jednotlivých zverejnených účtovných hodnôt na konci každého obdobia zverejňovania zohľadneného pri výpočte mediánu.</w:t>
            </w:r>
          </w:p>
        </w:tc>
      </w:tr>
      <w:tr w:rsidR="00D312C4" w:rsidRPr="0086713D" w14:paraId="655A46A2" w14:textId="77777777" w:rsidTr="00155C96">
        <w:trPr>
          <w:trHeight w:val="316"/>
        </w:trPr>
        <w:tc>
          <w:tcPr>
            <w:tcW w:w="1384" w:type="dxa"/>
          </w:tcPr>
          <w:p w14:paraId="57BE8236"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080</w:t>
            </w:r>
          </w:p>
        </w:tc>
        <w:tc>
          <w:tcPr>
            <w:tcW w:w="7655" w:type="dxa"/>
          </w:tcPr>
          <w:p w14:paraId="429634F9" w14:textId="5166F1B8"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EHQLA</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HQLA</w:t>
            </w:r>
          </w:p>
          <w:p w14:paraId="177B08C1" w14:textId="62202E23" w:rsidR="00D312C4" w:rsidRPr="0086713D" w:rsidRDefault="00D312C4" w:rsidP="00C83CCD">
            <w:pPr>
              <w:autoSpaceDE w:val="0"/>
              <w:autoSpaceDN w:val="0"/>
              <w:adjustRightInd w:val="0"/>
              <w:spacing w:after="120"/>
              <w:jc w:val="both"/>
              <w:rPr>
                <w:rStyle w:val="TeksttreciTimesNewRoman105ptOdstpy0pt"/>
                <w:rFonts w:eastAsia="Calibri"/>
                <w:spacing w:val="0"/>
                <w:sz w:val="24"/>
                <w:szCs w:val="24"/>
              </w:rPr>
            </w:pPr>
            <w:r w:rsidRPr="0086713D">
              <w:rPr>
                <w:rStyle w:val="TeksttreciTimesNewRoman105ptOdstpy0pt"/>
                <w:rFonts w:eastAsiaTheme="minorEastAsia"/>
                <w:spacing w:val="0"/>
                <w:sz w:val="24"/>
                <w:szCs w:val="24"/>
              </w:rPr>
              <w:t>Mediánová hodnota účtovnej hodnoty nezaťažených aktív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HQLA, ktoré sú uvedené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11, 12, 13, 15</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16 delegovaného nariadenia Komisie (EÚ) 2015/61</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ktoré spĺňajú všeobecné</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prevádzkové požiadavky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7</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8 delegovaného nariadenia Komisie (EÚ) 2015/61, ako aj požiadavky špecifické pre triedy expozícií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až 16</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článkoch 35 až 37 delegovaného nariadenia Komisie (EÚ) 2015/61. Účtovnou hodnotou aktív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 xml:space="preserve">HQLA je účtovná </w:t>
            </w:r>
            <w:r w:rsidRPr="0086713D">
              <w:rPr>
                <w:rStyle w:val="TeksttreciTimesNewRoman105ptOdstpy0pt"/>
                <w:rFonts w:eastAsiaTheme="minorEastAsia"/>
                <w:spacing w:val="0"/>
                <w:sz w:val="24"/>
                <w:szCs w:val="24"/>
              </w:rPr>
              <w:lastRenderedPageBreak/>
              <w:t>hodnota pred uplatnením zrážok (haircutov) stanovených</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až 16 delegovaného nariadenia Komisie (EÚ) 2015/61.</w:t>
            </w:r>
          </w:p>
          <w:p w14:paraId="660B94D9"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Style w:val="TeksttreciTimesNewRoman105ptOdstpy0pt"/>
                <w:rFonts w:eastAsiaTheme="minorEastAsia"/>
                <w:spacing w:val="0"/>
                <w:sz w:val="24"/>
                <w:szCs w:val="24"/>
              </w:rPr>
              <w:t>Pri každej triede aktív je zverejňovanou účtovnou hodnotou mediánová hodnota jednotlivých zverejnených účtovných hodnôt na konci každého obdobia zverejňovania zohľadneného pri výpočte mediánu.</w:t>
            </w:r>
          </w:p>
        </w:tc>
      </w:tr>
      <w:tr w:rsidR="00D312C4" w:rsidRPr="0086713D" w14:paraId="5FE9D154" w14:textId="77777777" w:rsidTr="00155C96">
        <w:trPr>
          <w:trHeight w:val="695"/>
        </w:trPr>
        <w:tc>
          <w:tcPr>
            <w:tcW w:w="1384" w:type="dxa"/>
          </w:tcPr>
          <w:p w14:paraId="5354B414"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lastRenderedPageBreak/>
              <w:t>090</w:t>
            </w:r>
          </w:p>
        </w:tc>
        <w:tc>
          <w:tcPr>
            <w:tcW w:w="7655" w:type="dxa"/>
          </w:tcPr>
          <w:p w14:paraId="738D4D70" w14:textId="77777777" w:rsidR="00D312C4" w:rsidRPr="0086713D" w:rsidRDefault="00D312C4" w:rsidP="00155C96">
            <w:pPr>
              <w:pStyle w:val="Teksttreci0"/>
              <w:shd w:val="clear" w:color="auto" w:fill="auto"/>
              <w:spacing w:after="120" w:line="240" w:lineRule="auto"/>
              <w:ind w:firstLine="0"/>
              <w:rPr>
                <w:rStyle w:val="PogrubienieTeksttreciTimesNewRoman105ptOdstpy0pt"/>
                <w:rFonts w:eastAsia="Calibri"/>
                <w:spacing w:val="0"/>
                <w:sz w:val="24"/>
                <w:szCs w:val="24"/>
              </w:rPr>
            </w:pPr>
            <w:r w:rsidRPr="0086713D">
              <w:rPr>
                <w:rStyle w:val="PogrubienieTeksttreciTimesNewRoman105ptOdstpy0pt"/>
                <w:rFonts w:eastAsia="Book Antiqua"/>
                <w:spacing w:val="0"/>
                <w:sz w:val="24"/>
                <w:szCs w:val="24"/>
              </w:rPr>
              <w:t>Reálna hodnota nezaťažených aktív</w:t>
            </w:r>
          </w:p>
          <w:p w14:paraId="14E914EA" w14:textId="60A8B6D3" w:rsidR="00A3389E" w:rsidRPr="003D587D" w:rsidRDefault="00D312C4" w:rsidP="003D587D">
            <w:pPr>
              <w:spacing w:after="120"/>
              <w:jc w:val="both"/>
              <w:rPr>
                <w:rStyle w:val="InstructionsTabelleberschrift"/>
                <w:rFonts w:ascii="Times New Roman" w:hAnsi="Times New Roman"/>
                <w:b w:val="0"/>
                <w:spacing w:val="-4"/>
                <w:sz w:val="24"/>
                <w:u w:val="none"/>
              </w:rPr>
            </w:pPr>
            <w:r w:rsidRPr="003D587D">
              <w:rPr>
                <w:rStyle w:val="TeksttreciTimesNewRoman105ptOdstpy0pt"/>
                <w:rFonts w:eastAsiaTheme="minorEastAsia"/>
                <w:spacing w:val="-4"/>
                <w:sz w:val="24"/>
                <w:szCs w:val="24"/>
              </w:rPr>
              <w:t xml:space="preserve">Mediánová hodnota </w:t>
            </w:r>
            <w:r w:rsidRPr="003D587D">
              <w:rPr>
                <w:rStyle w:val="InstructionsTabelleberschrift"/>
                <w:rFonts w:ascii="Times New Roman" w:hAnsi="Times New Roman"/>
                <w:b w:val="0"/>
                <w:spacing w:val="-4"/>
                <w:sz w:val="24"/>
                <w:u w:val="none"/>
              </w:rPr>
              <w:t>reálnej hodnoty dlhových cenných papierov držaných inštitúciou, ktoré sú nezaťažené. Reálna hodnota finančného nástroja je cena, ktorá by sa získala za predaj aktíva alebo by bola zaplatená za prevod záväzku pri riadnej transakcii medzi účastníkmi trhu</w:t>
            </w:r>
            <w:r w:rsidR="00A3389E" w:rsidRPr="003D587D">
              <w:rPr>
                <w:rStyle w:val="InstructionsTabelleberschrift"/>
                <w:rFonts w:ascii="Times New Roman" w:hAnsi="Times New Roman"/>
                <w:b w:val="0"/>
                <w:spacing w:val="-4"/>
                <w:sz w:val="24"/>
                <w:u w:val="none"/>
              </w:rPr>
              <w:t xml:space="preserve"> k </w:t>
            </w:r>
            <w:r w:rsidRPr="003D587D">
              <w:rPr>
                <w:rStyle w:val="InstructionsTabelleberschrift"/>
                <w:rFonts w:ascii="Times New Roman" w:hAnsi="Times New Roman"/>
                <w:b w:val="0"/>
                <w:spacing w:val="-4"/>
                <w:sz w:val="24"/>
                <w:u w:val="none"/>
              </w:rPr>
              <w:t>dátumu ocenenia. [Pozri IFRS 13 Oceňovanie reálnou hodnotou</w:t>
            </w:r>
            <w:r w:rsidR="00A3389E" w:rsidRPr="003D587D">
              <w:rPr>
                <w:rStyle w:val="InstructionsTabelleberschrift"/>
                <w:rFonts w:ascii="Times New Roman" w:hAnsi="Times New Roman"/>
                <w:b w:val="0"/>
                <w:spacing w:val="-4"/>
                <w:sz w:val="24"/>
                <w:u w:val="none"/>
              </w:rPr>
              <w:t xml:space="preserve"> a </w:t>
            </w:r>
            <w:r w:rsidRPr="003D587D">
              <w:rPr>
                <w:rStyle w:val="InstructionsTabelleberschrift"/>
                <w:rFonts w:ascii="Times New Roman" w:hAnsi="Times New Roman"/>
                <w:b w:val="0"/>
                <w:spacing w:val="-4"/>
                <w:sz w:val="24"/>
                <w:u w:val="none"/>
              </w:rPr>
              <w:t>IFRS 13</w:t>
            </w:r>
            <w:r w:rsidR="00A3389E" w:rsidRPr="003D587D">
              <w:rPr>
                <w:rStyle w:val="InstructionsTabelleberschrift"/>
                <w:rFonts w:ascii="Times New Roman" w:hAnsi="Times New Roman"/>
                <w:b w:val="0"/>
                <w:spacing w:val="-4"/>
                <w:sz w:val="24"/>
                <w:u w:val="none"/>
              </w:rPr>
              <w:t xml:space="preserve"> a </w:t>
            </w:r>
            <w:r w:rsidRPr="003D587D">
              <w:rPr>
                <w:rStyle w:val="InstructionsTabelleberschrift"/>
                <w:rFonts w:ascii="Times New Roman" w:hAnsi="Times New Roman"/>
                <w:b w:val="0"/>
                <w:spacing w:val="-4"/>
                <w:sz w:val="24"/>
                <w:u w:val="none"/>
              </w:rPr>
              <w:t>článok 8 smernice 2013/34/EÚ]</w:t>
            </w:r>
            <w:r w:rsidR="00A3389E" w:rsidRPr="003D587D">
              <w:rPr>
                <w:rStyle w:val="InstructionsTabelleberschrift"/>
                <w:rFonts w:ascii="Times New Roman" w:hAnsi="Times New Roman"/>
                <w:b w:val="0"/>
                <w:spacing w:val="-4"/>
                <w:sz w:val="24"/>
                <w:u w:val="none"/>
              </w:rPr>
              <w:t>.</w:t>
            </w:r>
          </w:p>
          <w:p w14:paraId="5BF1A23C" w14:textId="2DF46C3C" w:rsidR="00D312C4" w:rsidRPr="0086713D" w:rsidRDefault="00D312C4" w:rsidP="00155C96">
            <w:pPr>
              <w:autoSpaceDE w:val="0"/>
              <w:autoSpaceDN w:val="0"/>
              <w:adjustRightInd w:val="0"/>
              <w:spacing w:after="120"/>
              <w:jc w:val="both"/>
              <w:rPr>
                <w:rFonts w:ascii="Times New Roman" w:hAnsi="Times New Roman" w:cs="Times New Roman"/>
                <w:sz w:val="24"/>
              </w:rPr>
            </w:pPr>
            <w:r w:rsidRPr="0086713D">
              <w:rPr>
                <w:rStyle w:val="TeksttreciTimesNewRoman105ptOdstpy0pt"/>
                <w:rFonts w:eastAsiaTheme="minorEastAsia"/>
                <w:spacing w:val="0"/>
                <w:sz w:val="24"/>
                <w:szCs w:val="24"/>
              </w:rPr>
              <w:t>Pri každej triede aktív je zverejňovanou reálnou hodnotou mediánová hodnota jednotlivých reálnych hodnôt pozorovaných na konci každého obdobia zverejňovania zohľadneného pri výpočte mediánu.</w:t>
            </w:r>
          </w:p>
        </w:tc>
      </w:tr>
      <w:tr w:rsidR="00D312C4" w:rsidRPr="0086713D" w14:paraId="07EBAA56" w14:textId="77777777" w:rsidTr="00155C96">
        <w:trPr>
          <w:trHeight w:val="695"/>
        </w:trPr>
        <w:tc>
          <w:tcPr>
            <w:tcW w:w="1384" w:type="dxa"/>
          </w:tcPr>
          <w:p w14:paraId="2810752F"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100</w:t>
            </w:r>
          </w:p>
        </w:tc>
        <w:tc>
          <w:tcPr>
            <w:tcW w:w="7655" w:type="dxa"/>
          </w:tcPr>
          <w:p w14:paraId="1A6C549C" w14:textId="52873EF3"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EHQLA</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HQLA</w:t>
            </w:r>
          </w:p>
          <w:p w14:paraId="48F6918E" w14:textId="17A657B0" w:rsidR="00D312C4" w:rsidRPr="003D587D" w:rsidRDefault="00D312C4" w:rsidP="00155C96">
            <w:pPr>
              <w:pStyle w:val="Fait"/>
              <w:spacing w:before="0" w:after="120"/>
              <w:rPr>
                <w:rStyle w:val="TeksttreciTimesNewRoman105ptOdstpy0pt"/>
                <w:rFonts w:eastAsia="Calibri"/>
                <w:spacing w:val="-8"/>
                <w:sz w:val="24"/>
                <w:szCs w:val="24"/>
              </w:rPr>
            </w:pPr>
            <w:r w:rsidRPr="003D587D">
              <w:rPr>
                <w:rStyle w:val="TeksttreciTimesNewRoman105ptOdstpy0pt"/>
                <w:spacing w:val="-8"/>
                <w:sz w:val="24"/>
                <w:szCs w:val="24"/>
              </w:rPr>
              <w:t>Mediánová hodnota reálnej hodnoty nezaťažených aktív EHQLA</w:t>
            </w:r>
            <w:r w:rsidR="00A3389E" w:rsidRPr="003D587D">
              <w:rPr>
                <w:rStyle w:val="TeksttreciTimesNewRoman105ptOdstpy0pt"/>
                <w:spacing w:val="-8"/>
                <w:sz w:val="24"/>
                <w:szCs w:val="24"/>
              </w:rPr>
              <w:t xml:space="preserve"> a </w:t>
            </w:r>
            <w:r w:rsidRPr="003D587D">
              <w:rPr>
                <w:rStyle w:val="TeksttreciTimesNewRoman105ptOdstpy0pt"/>
                <w:spacing w:val="-8"/>
                <w:sz w:val="24"/>
                <w:szCs w:val="24"/>
              </w:rPr>
              <w:t>HQLA, ktoré sú uvedené</w:t>
            </w:r>
            <w:r w:rsidR="00A3389E" w:rsidRPr="003D587D">
              <w:rPr>
                <w:rStyle w:val="TeksttreciTimesNewRoman105ptOdstpy0pt"/>
                <w:spacing w:val="-8"/>
                <w:sz w:val="24"/>
                <w:szCs w:val="24"/>
              </w:rPr>
              <w:t xml:space="preserve"> v </w:t>
            </w:r>
            <w:r w:rsidRPr="003D587D">
              <w:rPr>
                <w:rStyle w:val="TeksttreciTimesNewRoman105ptOdstpy0pt"/>
                <w:spacing w:val="-8"/>
                <w:sz w:val="24"/>
                <w:szCs w:val="24"/>
              </w:rPr>
              <w:t>článkoch 10, 11, 12, 13, 15</w:t>
            </w:r>
            <w:r w:rsidR="00A3389E" w:rsidRPr="003D587D">
              <w:rPr>
                <w:rStyle w:val="TeksttreciTimesNewRoman105ptOdstpy0pt"/>
                <w:spacing w:val="-8"/>
                <w:sz w:val="24"/>
                <w:szCs w:val="24"/>
              </w:rPr>
              <w:t xml:space="preserve"> a </w:t>
            </w:r>
            <w:r w:rsidRPr="003D587D">
              <w:rPr>
                <w:rStyle w:val="TeksttreciTimesNewRoman105ptOdstpy0pt"/>
                <w:spacing w:val="-8"/>
                <w:sz w:val="24"/>
                <w:szCs w:val="24"/>
              </w:rPr>
              <w:t>16 delegovaného nariadenia Komisie (EÚ) 2015/61</w:t>
            </w:r>
            <w:r w:rsidR="00A3389E" w:rsidRPr="003D587D">
              <w:rPr>
                <w:rStyle w:val="TeksttreciTimesNewRoman105ptOdstpy0pt"/>
                <w:spacing w:val="-8"/>
                <w:sz w:val="24"/>
                <w:szCs w:val="24"/>
              </w:rPr>
              <w:t xml:space="preserve"> a </w:t>
            </w:r>
            <w:r w:rsidRPr="003D587D">
              <w:rPr>
                <w:rStyle w:val="TeksttreciTimesNewRoman105ptOdstpy0pt"/>
                <w:spacing w:val="-8"/>
                <w:sz w:val="24"/>
                <w:szCs w:val="24"/>
              </w:rPr>
              <w:t>ktoré spĺňajú všeobecné</w:t>
            </w:r>
            <w:r w:rsidR="00A3389E" w:rsidRPr="003D587D">
              <w:rPr>
                <w:rStyle w:val="TeksttreciTimesNewRoman105ptOdstpy0pt"/>
                <w:spacing w:val="-8"/>
                <w:sz w:val="24"/>
                <w:szCs w:val="24"/>
              </w:rPr>
              <w:t xml:space="preserve"> a </w:t>
            </w:r>
            <w:r w:rsidRPr="003D587D">
              <w:rPr>
                <w:rStyle w:val="TeksttreciTimesNewRoman105ptOdstpy0pt"/>
                <w:spacing w:val="-8"/>
                <w:sz w:val="24"/>
                <w:szCs w:val="24"/>
              </w:rPr>
              <w:t>prevádzkové požiadavky stanovené</w:t>
            </w:r>
            <w:r w:rsidR="00A3389E" w:rsidRPr="003D587D">
              <w:rPr>
                <w:rStyle w:val="TeksttreciTimesNewRoman105ptOdstpy0pt"/>
                <w:spacing w:val="-8"/>
                <w:sz w:val="24"/>
                <w:szCs w:val="24"/>
              </w:rPr>
              <w:t xml:space="preserve"> v </w:t>
            </w:r>
            <w:r w:rsidRPr="003D587D">
              <w:rPr>
                <w:rStyle w:val="TeksttreciTimesNewRoman105ptOdstpy0pt"/>
                <w:spacing w:val="-8"/>
                <w:sz w:val="24"/>
                <w:szCs w:val="24"/>
              </w:rPr>
              <w:t>článkoch 7</w:t>
            </w:r>
            <w:r w:rsidR="00A3389E" w:rsidRPr="003D587D">
              <w:rPr>
                <w:rStyle w:val="TeksttreciTimesNewRoman105ptOdstpy0pt"/>
                <w:spacing w:val="-8"/>
                <w:sz w:val="24"/>
                <w:szCs w:val="24"/>
              </w:rPr>
              <w:t xml:space="preserve"> a </w:t>
            </w:r>
            <w:r w:rsidRPr="003D587D">
              <w:rPr>
                <w:rStyle w:val="TeksttreciTimesNewRoman105ptOdstpy0pt"/>
                <w:spacing w:val="-8"/>
                <w:sz w:val="24"/>
                <w:szCs w:val="24"/>
              </w:rPr>
              <w:t>8 delegovaného nariadenia Komisie (EÚ) 2015/61, ako aj požiadavky špecifické pre triedy expozícií stanovené</w:t>
            </w:r>
            <w:r w:rsidR="00A3389E" w:rsidRPr="003D587D">
              <w:rPr>
                <w:rStyle w:val="TeksttreciTimesNewRoman105ptOdstpy0pt"/>
                <w:spacing w:val="-8"/>
                <w:sz w:val="24"/>
                <w:szCs w:val="24"/>
              </w:rPr>
              <w:t xml:space="preserve"> v </w:t>
            </w:r>
            <w:r w:rsidRPr="003D587D">
              <w:rPr>
                <w:rStyle w:val="TeksttreciTimesNewRoman105ptOdstpy0pt"/>
                <w:spacing w:val="-8"/>
                <w:sz w:val="24"/>
                <w:szCs w:val="24"/>
              </w:rPr>
              <w:t>článkoch 10 až 16</w:t>
            </w:r>
            <w:r w:rsidR="00A3389E" w:rsidRPr="003D587D">
              <w:rPr>
                <w:rStyle w:val="TeksttreciTimesNewRoman105ptOdstpy0pt"/>
                <w:spacing w:val="-8"/>
                <w:sz w:val="24"/>
                <w:szCs w:val="24"/>
              </w:rPr>
              <w:t xml:space="preserve"> a </w:t>
            </w:r>
            <w:r w:rsidRPr="003D587D">
              <w:rPr>
                <w:rStyle w:val="TeksttreciTimesNewRoman105ptOdstpy0pt"/>
                <w:spacing w:val="-8"/>
                <w:sz w:val="24"/>
                <w:szCs w:val="24"/>
              </w:rPr>
              <w:t>článkoch 35 až 37 delegovaného nariadenia Komisie (EÚ) 2015/61. Reálnou hodnotou aktív EHQLA</w:t>
            </w:r>
            <w:r w:rsidR="00A3389E" w:rsidRPr="003D587D">
              <w:rPr>
                <w:rStyle w:val="TeksttreciTimesNewRoman105ptOdstpy0pt"/>
                <w:spacing w:val="-8"/>
                <w:sz w:val="24"/>
                <w:szCs w:val="24"/>
              </w:rPr>
              <w:t xml:space="preserve"> a </w:t>
            </w:r>
            <w:r w:rsidRPr="003D587D">
              <w:rPr>
                <w:rStyle w:val="TeksttreciTimesNewRoman105ptOdstpy0pt"/>
                <w:spacing w:val="-8"/>
                <w:sz w:val="24"/>
                <w:szCs w:val="24"/>
              </w:rPr>
              <w:t>HQLA je reálna hodnota pred uplatnením zrážok (haircutov) stanovených</w:t>
            </w:r>
            <w:r w:rsidR="00A3389E" w:rsidRPr="003D587D">
              <w:rPr>
                <w:rStyle w:val="TeksttreciTimesNewRoman105ptOdstpy0pt"/>
                <w:spacing w:val="-8"/>
                <w:sz w:val="24"/>
                <w:szCs w:val="24"/>
              </w:rPr>
              <w:t xml:space="preserve"> v </w:t>
            </w:r>
            <w:r w:rsidRPr="003D587D">
              <w:rPr>
                <w:rStyle w:val="TeksttreciTimesNewRoman105ptOdstpy0pt"/>
                <w:spacing w:val="-8"/>
                <w:sz w:val="24"/>
                <w:szCs w:val="24"/>
              </w:rPr>
              <w:t>článkoch 10 až 16 delegovaného nariadenia Komisie (EÚ) 2015/61.</w:t>
            </w:r>
          </w:p>
          <w:p w14:paraId="363AC6DC" w14:textId="77777777" w:rsidR="00D312C4" w:rsidRPr="0086713D" w:rsidRDefault="00D312C4" w:rsidP="00155C96">
            <w:pPr>
              <w:pStyle w:val="Fait"/>
              <w:spacing w:before="0" w:after="120"/>
            </w:pPr>
            <w:r w:rsidRPr="0086713D">
              <w:rPr>
                <w:rStyle w:val="TeksttreciTimesNewRoman105ptOdstpy0pt"/>
                <w:spacing w:val="0"/>
                <w:sz w:val="24"/>
                <w:szCs w:val="24"/>
              </w:rPr>
              <w:t>Pri každej triede aktív je zverejňovanou reálnou hodnotou mediánová hodnota jednotlivých reálnych hodnôt pozorovaných na konci každého obdobia zverejňovania zohľadneného pri výpočte mediánu.</w:t>
            </w:r>
          </w:p>
        </w:tc>
      </w:tr>
    </w:tbl>
    <w:p w14:paraId="76F2527F" w14:textId="77777777" w:rsidR="00D312C4" w:rsidRPr="0086713D" w:rsidRDefault="00D312C4" w:rsidP="00D312C4">
      <w:pPr>
        <w:spacing w:after="120"/>
        <w:rPr>
          <w:rFonts w:ascii="Times New Roman" w:hAnsi="Times New Roman" w:cs="Times New Roman"/>
          <w:b/>
          <w:sz w:val="24"/>
        </w:rPr>
      </w:pPr>
    </w:p>
    <w:p w14:paraId="4953C740" w14:textId="0DDEEB38" w:rsidR="00D312C4" w:rsidRPr="0086713D" w:rsidRDefault="00D312C4" w:rsidP="00D312C4">
      <w:pPr>
        <w:spacing w:after="120"/>
        <w:rPr>
          <w:rFonts w:ascii="Times New Roman" w:hAnsi="Times New Roman" w:cs="Times New Roman"/>
          <w:sz w:val="24"/>
        </w:rPr>
      </w:pPr>
      <w:r w:rsidRPr="0086713D">
        <w:rPr>
          <w:rFonts w:ascii="Times New Roman" w:hAnsi="Times New Roman" w:cs="Times New Roman"/>
          <w:b/>
          <w:sz w:val="24"/>
        </w:rPr>
        <w:t>Vzor EU AE2 – Prijatý kolaterál</w:t>
      </w:r>
      <w:r w:rsidR="00A3389E" w:rsidRPr="0086713D">
        <w:rPr>
          <w:rFonts w:ascii="Times New Roman" w:hAnsi="Times New Roman" w:cs="Times New Roman"/>
          <w:b/>
          <w:sz w:val="24"/>
        </w:rPr>
        <w:t xml:space="preserve"> a </w:t>
      </w:r>
      <w:r w:rsidRPr="0086713D">
        <w:rPr>
          <w:rFonts w:ascii="Times New Roman" w:hAnsi="Times New Roman" w:cs="Times New Roman"/>
          <w:b/>
          <w:sz w:val="24"/>
        </w:rPr>
        <w:t>emitované vlastné dlhové cenné papiere</w:t>
      </w:r>
    </w:p>
    <w:p w14:paraId="2E0FB87E" w14:textId="049FF7D9" w:rsidR="00D312C4" w:rsidRPr="0086713D" w:rsidRDefault="00A3389E" w:rsidP="00A3389E">
      <w:pPr>
        <w:pStyle w:val="Teksttreci50"/>
        <w:shd w:val="clear" w:color="auto" w:fill="auto"/>
        <w:tabs>
          <w:tab w:val="left" w:pos="815"/>
        </w:tabs>
        <w:spacing w:before="0" w:after="120" w:line="240" w:lineRule="auto"/>
        <w:ind w:left="860" w:right="20"/>
        <w:jc w:val="both"/>
        <w:rPr>
          <w:rFonts w:eastAsiaTheme="minorEastAsia"/>
          <w:spacing w:val="0"/>
          <w:sz w:val="24"/>
          <w:szCs w:val="24"/>
        </w:rPr>
      </w:pPr>
      <w:r w:rsidRPr="0086713D">
        <w:rPr>
          <w:rFonts w:eastAsia="Calibri"/>
          <w:color w:val="000000"/>
          <w:spacing w:val="0"/>
          <w:sz w:val="24"/>
          <w:szCs w:val="24"/>
        </w:rPr>
        <w:t>8.</w:t>
      </w:r>
      <w:r w:rsidRPr="0086713D">
        <w:rPr>
          <w:rFonts w:eastAsia="Calibri"/>
          <w:color w:val="000000"/>
          <w:spacing w:val="0"/>
          <w:sz w:val="24"/>
          <w:szCs w:val="24"/>
        </w:rPr>
        <w:tab/>
      </w:r>
      <w:r w:rsidR="00D312C4" w:rsidRPr="0086713D">
        <w:rPr>
          <w:spacing w:val="0"/>
          <w:sz w:val="24"/>
          <w:szCs w:val="24"/>
        </w:rPr>
        <w:t>Inštitúcie vypĺňajú vzor EU AE2, ktorý je uvedený</w:t>
      </w:r>
      <w:r w:rsidRPr="0086713D">
        <w:rPr>
          <w:spacing w:val="0"/>
          <w:sz w:val="24"/>
          <w:szCs w:val="24"/>
        </w:rPr>
        <w:t xml:space="preserve"> v </w:t>
      </w:r>
      <w:r w:rsidR="00D312C4" w:rsidRPr="0086713D">
        <w:rPr>
          <w:spacing w:val="0"/>
          <w:sz w:val="24"/>
          <w:szCs w:val="24"/>
        </w:rPr>
        <w:t>prílohe XXXV</w:t>
      </w:r>
      <w:r w:rsidRPr="0086713D">
        <w:rPr>
          <w:spacing w:val="0"/>
          <w:sz w:val="24"/>
          <w:szCs w:val="24"/>
        </w:rPr>
        <w:t xml:space="preserve"> k </w:t>
      </w:r>
      <w:r w:rsidR="00D312C4" w:rsidRPr="0086713D">
        <w:rPr>
          <w:spacing w:val="0"/>
          <w:sz w:val="24"/>
          <w:szCs w:val="24"/>
        </w:rPr>
        <w:t>tomuto vykonávaciemu nariadeniu, podľa nižšie uvedených pokynov.</w:t>
      </w:r>
    </w:p>
    <w:p w14:paraId="2C25963D" w14:textId="77777777" w:rsidR="00D312C4" w:rsidRPr="0086713D" w:rsidRDefault="00D312C4" w:rsidP="00D312C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6713D"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5EE4F20C" w:rsidR="00D312C4" w:rsidRPr="0086713D" w:rsidRDefault="00D312C4" w:rsidP="00155C96">
            <w:pPr>
              <w:spacing w:after="120"/>
              <w:rPr>
                <w:rFonts w:ascii="Times New Roman" w:hAnsi="Times New Roman" w:cs="Times New Roman"/>
                <w:b/>
                <w:sz w:val="24"/>
              </w:rPr>
            </w:pPr>
            <w:r w:rsidRPr="0086713D">
              <w:rPr>
                <w:rFonts w:ascii="Times New Roman" w:hAnsi="Times New Roman" w:cs="Times New Roman"/>
                <w:b/>
                <w:sz w:val="24"/>
              </w:rPr>
              <w:t>Odkazy na právne predpisy</w:t>
            </w:r>
            <w:r w:rsidR="00A3389E" w:rsidRPr="0086713D">
              <w:rPr>
                <w:rFonts w:ascii="Times New Roman" w:hAnsi="Times New Roman" w:cs="Times New Roman"/>
                <w:b/>
                <w:sz w:val="24"/>
              </w:rPr>
              <w:t xml:space="preserve"> a </w:t>
            </w:r>
            <w:r w:rsidRPr="0086713D">
              <w:rPr>
                <w:rFonts w:ascii="Times New Roman" w:hAnsi="Times New Roman" w:cs="Times New Roman"/>
                <w:b/>
                <w:sz w:val="24"/>
              </w:rPr>
              <w:t>pokyny</w:t>
            </w:r>
          </w:p>
        </w:tc>
      </w:tr>
      <w:tr w:rsidR="00D312C4" w:rsidRPr="0086713D" w14:paraId="6C3E0F13" w14:textId="77777777" w:rsidTr="00155C96">
        <w:trPr>
          <w:trHeight w:val="704"/>
        </w:trPr>
        <w:tc>
          <w:tcPr>
            <w:tcW w:w="1384" w:type="dxa"/>
            <w:shd w:val="clear" w:color="auto" w:fill="D9D9D9" w:themeFill="background1" w:themeFillShade="D9"/>
          </w:tcPr>
          <w:p w14:paraId="0811BCC4"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Číslo riadku</w:t>
            </w:r>
          </w:p>
        </w:tc>
        <w:tc>
          <w:tcPr>
            <w:tcW w:w="7655" w:type="dxa"/>
            <w:shd w:val="clear" w:color="auto" w:fill="D9D9D9" w:themeFill="background1" w:themeFillShade="D9"/>
          </w:tcPr>
          <w:p w14:paraId="2B836ECA" w14:textId="77777777" w:rsidR="00D312C4" w:rsidRPr="0086713D" w:rsidRDefault="00D312C4" w:rsidP="00155C96">
            <w:pPr>
              <w:autoSpaceDE w:val="0"/>
              <w:autoSpaceDN w:val="0"/>
              <w:adjustRightInd w:val="0"/>
              <w:spacing w:after="120"/>
              <w:rPr>
                <w:rFonts w:ascii="Times New Roman" w:hAnsi="Times New Roman" w:cs="Times New Roman"/>
                <w:color w:val="000000"/>
                <w:sz w:val="24"/>
              </w:rPr>
            </w:pPr>
            <w:r w:rsidRPr="0086713D">
              <w:rPr>
                <w:rFonts w:ascii="Times New Roman" w:hAnsi="Times New Roman" w:cs="Times New Roman"/>
                <w:b/>
                <w:sz w:val="24"/>
              </w:rPr>
              <w:t>Vysvetlenie</w:t>
            </w:r>
          </w:p>
        </w:tc>
      </w:tr>
      <w:tr w:rsidR="00D312C4" w:rsidRPr="0086713D" w14:paraId="75A894F9" w14:textId="77777777" w:rsidTr="00155C96">
        <w:trPr>
          <w:trHeight w:val="2031"/>
        </w:trPr>
        <w:tc>
          <w:tcPr>
            <w:tcW w:w="1384" w:type="dxa"/>
          </w:tcPr>
          <w:p w14:paraId="23D547FC" w14:textId="77777777" w:rsidR="00D312C4" w:rsidRPr="0086713D" w:rsidRDefault="00D312C4" w:rsidP="00155C96">
            <w:pPr>
              <w:pStyle w:val="Applicationdirecte"/>
              <w:spacing w:before="0"/>
            </w:pPr>
            <w:r w:rsidRPr="0086713D">
              <w:t>130</w:t>
            </w:r>
          </w:p>
        </w:tc>
        <w:tc>
          <w:tcPr>
            <w:tcW w:w="7655" w:type="dxa"/>
          </w:tcPr>
          <w:p w14:paraId="48376098"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Kolaterál prijatý zverejňujúcou inštitúciou</w:t>
            </w:r>
          </w:p>
          <w:p w14:paraId="0F817D17" w14:textId="71A9CAB7" w:rsidR="00D312C4" w:rsidRPr="0086713D" w:rsidRDefault="00D312C4" w:rsidP="00155C96">
            <w:pPr>
              <w:spacing w:after="120"/>
              <w:jc w:val="both"/>
              <w:rPr>
                <w:rFonts w:ascii="Times New Roman" w:hAnsi="Times New Roman" w:cs="Times New Roman"/>
                <w:sz w:val="24"/>
              </w:rPr>
            </w:pPr>
            <w:r w:rsidRPr="0086713D">
              <w:rPr>
                <w:rStyle w:val="TeksttreciTimesNewRoman105ptOdstpy0pt"/>
                <w:rFonts w:eastAsiaTheme="minorEastAsia"/>
                <w:spacing w:val="0"/>
                <w:sz w:val="24"/>
                <w:szCs w:val="24"/>
              </w:rPr>
              <w:t>Všetky triedy kolaterálu prijatého inštitúciou.</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tomto riadku sa zverejňujú všetky cenné papiere prijaté inštitúciou, ktorá je dlžníkom, vo všetkých transakciách vypožičiavania cenných papierov. Celkovou hodnotou kolaterálu prijatého inštitúciou je medián súm štyroch štvrťročných hodnôt ku koncu obdobia za predchádzajúcich dvanásť mesiacov pre riadky 140 až 160</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riadky 220</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230.</w:t>
            </w:r>
          </w:p>
        </w:tc>
      </w:tr>
      <w:tr w:rsidR="00D312C4" w:rsidRPr="0086713D" w14:paraId="5D0D99D9" w14:textId="77777777" w:rsidTr="00155C96">
        <w:trPr>
          <w:trHeight w:val="316"/>
        </w:trPr>
        <w:tc>
          <w:tcPr>
            <w:tcW w:w="1384" w:type="dxa"/>
          </w:tcPr>
          <w:p w14:paraId="5F680872" w14:textId="77777777" w:rsidR="00D312C4" w:rsidRPr="0086713D" w:rsidRDefault="00D312C4" w:rsidP="00155C96">
            <w:pPr>
              <w:autoSpaceDE w:val="0"/>
              <w:autoSpaceDN w:val="0"/>
              <w:adjustRightInd w:val="0"/>
              <w:spacing w:after="120"/>
              <w:rPr>
                <w:rFonts w:ascii="Times New Roman" w:hAnsi="Times New Roman" w:cs="Times New Roman"/>
                <w:color w:val="000000"/>
                <w:sz w:val="24"/>
              </w:rPr>
            </w:pPr>
            <w:r w:rsidRPr="0086713D">
              <w:rPr>
                <w:rFonts w:ascii="Times New Roman" w:hAnsi="Times New Roman" w:cs="Times New Roman"/>
                <w:sz w:val="24"/>
              </w:rPr>
              <w:lastRenderedPageBreak/>
              <w:t>140</w:t>
            </w:r>
          </w:p>
        </w:tc>
        <w:tc>
          <w:tcPr>
            <w:tcW w:w="7655" w:type="dxa"/>
          </w:tcPr>
          <w:p w14:paraId="3518DE26"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Úvery na požiadanie</w:t>
            </w:r>
          </w:p>
          <w:p w14:paraId="160F1E64" w14:textId="43B80AB5" w:rsidR="00D312C4" w:rsidRPr="0086713D" w:rsidRDefault="00D312C4" w:rsidP="00155C96">
            <w:pPr>
              <w:autoSpaceDE w:val="0"/>
              <w:autoSpaceDN w:val="0"/>
              <w:adjustRightInd w:val="0"/>
              <w:spacing w:after="120"/>
              <w:jc w:val="both"/>
              <w:rPr>
                <w:rFonts w:ascii="Times New Roman" w:eastAsia="Times New Roman" w:hAnsi="Times New Roman" w:cs="Times New Roman"/>
                <w:sz w:val="24"/>
              </w:rPr>
            </w:pPr>
            <w:r w:rsidRPr="0086713D">
              <w:rPr>
                <w:rStyle w:val="TeksttreciTimesNewRoman105ptOdstpy0pt"/>
                <w:rFonts w:eastAsiaTheme="minorEastAsia"/>
                <w:spacing w:val="0"/>
                <w:sz w:val="24"/>
                <w:szCs w:val="24"/>
              </w:rPr>
              <w:t>V tomto riadku sa zverejňuje mediánová hodnota kolaterálu prijatého inštitúciou, ktorý tvoria úvery na požiadanie (pozri odkazy na právne predpisy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pokyny týkajúce sa riadku 120 vzoru EU AE1). Patria sem všetky cenné papiere prijaté inštitúciou, ktorá je dlžníkom, vo všetkých transakciách vypožičiavania cenných papierov.</w:t>
            </w:r>
          </w:p>
        </w:tc>
      </w:tr>
      <w:tr w:rsidR="00D312C4" w:rsidRPr="0086713D" w14:paraId="6661CBBF" w14:textId="77777777" w:rsidTr="00155C96">
        <w:trPr>
          <w:trHeight w:val="316"/>
        </w:trPr>
        <w:tc>
          <w:tcPr>
            <w:tcW w:w="1384" w:type="dxa"/>
          </w:tcPr>
          <w:p w14:paraId="6DD40A86"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150</w:t>
            </w:r>
          </w:p>
        </w:tc>
        <w:tc>
          <w:tcPr>
            <w:tcW w:w="7655" w:type="dxa"/>
          </w:tcPr>
          <w:p w14:paraId="7AA497B5"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Nástroje vlastného imania</w:t>
            </w:r>
          </w:p>
          <w:p w14:paraId="175D03A7" w14:textId="65E32606" w:rsidR="00D312C4" w:rsidRPr="0086713D" w:rsidRDefault="00D312C4" w:rsidP="00CD3A14">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Mediánová hodnota kolaterálu prijatého inštitúciou, ktorý tvoria nástroje vlastného imania (pozri odkazy na právne predpisy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pokyny týkajúce sa riadku 030 vzoru EU AE1). Patria sem všetky cenné papiere prijaté inštitúciou, ktorá je dlžníkom, vo všetkých transakciách vypožičiavania cenných papierov.</w:t>
            </w:r>
          </w:p>
        </w:tc>
      </w:tr>
      <w:tr w:rsidR="00D312C4" w:rsidRPr="0086713D" w14:paraId="63395E56" w14:textId="77777777" w:rsidTr="00155C96">
        <w:trPr>
          <w:trHeight w:val="316"/>
        </w:trPr>
        <w:tc>
          <w:tcPr>
            <w:tcW w:w="1384" w:type="dxa"/>
          </w:tcPr>
          <w:p w14:paraId="50D2536D"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160</w:t>
            </w:r>
          </w:p>
        </w:tc>
        <w:tc>
          <w:tcPr>
            <w:tcW w:w="7655" w:type="dxa"/>
          </w:tcPr>
          <w:p w14:paraId="2FD74BCC"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Dlhové cenné papiere</w:t>
            </w:r>
          </w:p>
          <w:p w14:paraId="7183AAB9" w14:textId="060D0654" w:rsidR="00D312C4" w:rsidRPr="0086713D" w:rsidRDefault="00D312C4" w:rsidP="00CD3A14">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Mediánová hodnota kolaterálu prijatého inštitúciou, ktorý tvoria dlhové cenné papiere (pozri odkazy na právne predpisy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pokyny týkajúce sa riadku 040 vzoru EU AE1). Patria sem všetky cenné papiere prijaté inštitúciou, ktorá je dlžníkom, vo všetkých transakciách vypožičiavania cenných papierov.</w:t>
            </w:r>
          </w:p>
        </w:tc>
      </w:tr>
      <w:tr w:rsidR="00D312C4" w:rsidRPr="0086713D" w14:paraId="340F3374" w14:textId="77777777" w:rsidTr="00155C96">
        <w:trPr>
          <w:trHeight w:val="316"/>
        </w:trPr>
        <w:tc>
          <w:tcPr>
            <w:tcW w:w="1384" w:type="dxa"/>
          </w:tcPr>
          <w:p w14:paraId="2AE4EF12"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170</w:t>
            </w:r>
          </w:p>
        </w:tc>
        <w:tc>
          <w:tcPr>
            <w:tcW w:w="7655" w:type="dxa"/>
          </w:tcPr>
          <w:p w14:paraId="2BB4599C"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kryté dlhopisy</w:t>
            </w:r>
          </w:p>
          <w:p w14:paraId="40DE87DE" w14:textId="0BFFBB87" w:rsidR="00D312C4" w:rsidRPr="0086713D" w:rsidRDefault="00D312C4" w:rsidP="00155C96">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Mediánová hodnota kolaterálu prijatého inštitúciou, ktorý tvoria kryté dlhopisy (pozri odkazy na právne predpisy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pokyny týkajúce sa riadku 050 vzoru EU AE1). Patria sem všetky cenné papiere prijaté inštitúciou, ktorá je dlžníkom, vo všetkých transakciách vypožičiavania cenných papierov.</w:t>
            </w:r>
          </w:p>
        </w:tc>
      </w:tr>
      <w:tr w:rsidR="00D312C4" w:rsidRPr="0086713D" w14:paraId="52165CD3" w14:textId="77777777" w:rsidTr="00155C96">
        <w:trPr>
          <w:trHeight w:val="316"/>
        </w:trPr>
        <w:tc>
          <w:tcPr>
            <w:tcW w:w="1384" w:type="dxa"/>
          </w:tcPr>
          <w:p w14:paraId="4635C0E2"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180</w:t>
            </w:r>
          </w:p>
        </w:tc>
        <w:tc>
          <w:tcPr>
            <w:tcW w:w="7655" w:type="dxa"/>
          </w:tcPr>
          <w:p w14:paraId="17356C7B"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sekuritizácie</w:t>
            </w:r>
          </w:p>
          <w:p w14:paraId="778F5E02" w14:textId="162775CB" w:rsidR="00D312C4" w:rsidRPr="0086713D" w:rsidRDefault="00D312C4" w:rsidP="00CD3A14">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Mediánová hodnota kolaterálu prijatého inštitúciou, ktorý tvoria cenné papiere zabezpečené aktívami (pozri odkazy na právne predpisy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pokyny týkajúce sa riadku 060 vzoru EU AE1). Patria sem všetky cenné papiere prijaté inštitúciou, ktorá je dlžníkom, vo všetkých transakciách vypožičiavania cenných papierov.</w:t>
            </w:r>
          </w:p>
        </w:tc>
      </w:tr>
      <w:tr w:rsidR="00D312C4" w:rsidRPr="0086713D" w14:paraId="2E4DB726" w14:textId="77777777" w:rsidTr="00155C96">
        <w:trPr>
          <w:trHeight w:val="316"/>
        </w:trPr>
        <w:tc>
          <w:tcPr>
            <w:tcW w:w="1384" w:type="dxa"/>
          </w:tcPr>
          <w:p w14:paraId="3EF3EC49"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190</w:t>
            </w:r>
          </w:p>
        </w:tc>
        <w:tc>
          <w:tcPr>
            <w:tcW w:w="7655" w:type="dxa"/>
          </w:tcPr>
          <w:p w14:paraId="2EBC79FF"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emitované orgánmi verejnej správy</w:t>
            </w:r>
          </w:p>
          <w:p w14:paraId="0FA0FE70" w14:textId="354D52FF" w:rsidR="00D312C4" w:rsidRPr="0086713D" w:rsidRDefault="00D312C4" w:rsidP="00CD3A14">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Mediánová hodnota kolaterálu prijatého inštitúciou, ktorý tvoria</w:t>
            </w:r>
            <w:r w:rsidRPr="0086713D">
              <w:rPr>
                <w:rFonts w:ascii="Times New Roman" w:hAnsi="Times New Roman" w:cs="Times New Roman"/>
                <w:b/>
                <w:sz w:val="24"/>
              </w:rPr>
              <w:t xml:space="preserve"> </w:t>
            </w:r>
            <w:r w:rsidRPr="0086713D">
              <w:rPr>
                <w:rStyle w:val="TeksttreciTimesNewRoman105ptOdstpy0pt"/>
                <w:rFonts w:eastAsiaTheme="minorEastAsia"/>
                <w:spacing w:val="0"/>
                <w:sz w:val="24"/>
                <w:szCs w:val="24"/>
              </w:rPr>
              <w:t>dlhové cenné papiere emitované orgánmi verejnej správy (pozri odkazy na právne predpisy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pokyny týkajúce sa riadku 070 vzoru EU AE1). Patria sem všetky cenné papiere prijaté inštitúciou, ktorá je dlžníkom, vo všetkých transakciách vypožičiavania cenných papierov.</w:t>
            </w:r>
          </w:p>
        </w:tc>
      </w:tr>
      <w:tr w:rsidR="00D312C4" w:rsidRPr="0086713D" w14:paraId="32D8CD90" w14:textId="77777777" w:rsidTr="00155C96">
        <w:trPr>
          <w:trHeight w:val="316"/>
        </w:trPr>
        <w:tc>
          <w:tcPr>
            <w:tcW w:w="1384" w:type="dxa"/>
          </w:tcPr>
          <w:p w14:paraId="767809F0"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200</w:t>
            </w:r>
          </w:p>
        </w:tc>
        <w:tc>
          <w:tcPr>
            <w:tcW w:w="7655" w:type="dxa"/>
          </w:tcPr>
          <w:p w14:paraId="762233EC"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emitované finančnými korporáciami</w:t>
            </w:r>
          </w:p>
          <w:p w14:paraId="192EC8C4" w14:textId="2C123C9A" w:rsidR="00D312C4" w:rsidRPr="0086713D" w:rsidRDefault="00D312C4" w:rsidP="00CD3A14">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Mediánová hodnota kolaterálu prijatého inštitúciou, ktorý tvoria dlhové cenné papiere emitované finančnými korporáciami (pozri odkazy na právne predpisy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pokyny týkajúce sa riadku 080 vzoru EU AE1). Patria sem všetky cenné papiere prijaté inštitúciou, ktorá je dlžníkom, vo všetkých transakciách vypožičiavania cenných papierov.</w:t>
            </w:r>
          </w:p>
        </w:tc>
      </w:tr>
      <w:tr w:rsidR="00D312C4" w:rsidRPr="0086713D" w14:paraId="5974B9BD" w14:textId="77777777" w:rsidTr="00155C96">
        <w:trPr>
          <w:trHeight w:val="316"/>
        </w:trPr>
        <w:tc>
          <w:tcPr>
            <w:tcW w:w="1384" w:type="dxa"/>
          </w:tcPr>
          <w:p w14:paraId="4252D64B"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lastRenderedPageBreak/>
              <w:t>210</w:t>
            </w:r>
          </w:p>
        </w:tc>
        <w:tc>
          <w:tcPr>
            <w:tcW w:w="7655" w:type="dxa"/>
          </w:tcPr>
          <w:p w14:paraId="7EF3D1EF"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emitované nefinančnými korporáciami</w:t>
            </w:r>
          </w:p>
          <w:p w14:paraId="6AC9C418" w14:textId="2125A424" w:rsidR="00D312C4" w:rsidRPr="0086713D" w:rsidRDefault="00D312C4" w:rsidP="001023C0">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Mediánová hodnota kolaterálu prijatého inštitúciou, ktorý tvoria dlhové cenné papiere emitované nefinančnými korporáciami (pozri odkazy na právne predpisy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pokyny týkajúce sa riadku 090 vzoru EU AE1). Patria sem všetky cenné papiere prijaté inštitúciou, ktorá je dlžníkom, vo všetkých transakciách vypožičiavania cenných papierov.</w:t>
            </w:r>
          </w:p>
        </w:tc>
      </w:tr>
      <w:tr w:rsidR="00D312C4" w:rsidRPr="0086713D" w14:paraId="3D1D40DA" w14:textId="77777777" w:rsidTr="00155C96">
        <w:trPr>
          <w:trHeight w:val="316"/>
        </w:trPr>
        <w:tc>
          <w:tcPr>
            <w:tcW w:w="1384" w:type="dxa"/>
          </w:tcPr>
          <w:p w14:paraId="6E066C96"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220</w:t>
            </w:r>
          </w:p>
        </w:tc>
        <w:tc>
          <w:tcPr>
            <w:tcW w:w="7655" w:type="dxa"/>
          </w:tcPr>
          <w:p w14:paraId="0780AA09" w14:textId="50EBA6F5"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Úvery</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preddavky iné než úvery na požiadanie</w:t>
            </w:r>
          </w:p>
          <w:p w14:paraId="6E07D257" w14:textId="3A9D4CB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Style w:val="TeksttreciTimesNewRoman105ptOdstpy0pt"/>
                <w:rFonts w:eastAsiaTheme="minorEastAsia"/>
                <w:spacing w:val="0"/>
                <w:sz w:val="24"/>
                <w:szCs w:val="24"/>
              </w:rPr>
              <w:t>Mediánová hodnota kolaterálu prijatého inštitúciou, ktorý tvoria úvery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preddavky iné než úvery na požiadanie (pozri odkazy na právne predpisy</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pokyny týkajúce sa riadku 120 vzoru EU AE1). Patria sem všetky cenné papiere prijaté inštitúciou, ktorá je dlžníkom, vo všetkých transakciách vypožičiavania cenných papierov.</w:t>
            </w:r>
          </w:p>
        </w:tc>
      </w:tr>
      <w:tr w:rsidR="00D312C4" w:rsidRPr="0086713D" w14:paraId="1501CBBF" w14:textId="77777777" w:rsidTr="00155C96">
        <w:trPr>
          <w:trHeight w:val="316"/>
        </w:trPr>
        <w:tc>
          <w:tcPr>
            <w:tcW w:w="1384" w:type="dxa"/>
          </w:tcPr>
          <w:p w14:paraId="264DBEBE"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230</w:t>
            </w:r>
          </w:p>
        </w:tc>
        <w:tc>
          <w:tcPr>
            <w:tcW w:w="7655" w:type="dxa"/>
          </w:tcPr>
          <w:p w14:paraId="0F9B46CF"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Iný prijatý kolaterál</w:t>
            </w:r>
          </w:p>
          <w:p w14:paraId="52F82720" w14:textId="4A9099EE" w:rsidR="00D312C4" w:rsidRPr="0086713D" w:rsidRDefault="00D312C4" w:rsidP="001023C0">
            <w:pPr>
              <w:pStyle w:val="Teksttreci0"/>
              <w:shd w:val="clear" w:color="auto" w:fill="auto"/>
              <w:spacing w:after="120" w:line="240" w:lineRule="auto"/>
              <w:ind w:firstLine="0"/>
              <w:rPr>
                <w:rStyle w:val="PogrubienieTeksttreciTimesNewRoman105ptOdstpy0pt"/>
                <w:rFonts w:eastAsia="Calibri"/>
                <w:spacing w:val="0"/>
                <w:sz w:val="24"/>
                <w:szCs w:val="24"/>
              </w:rPr>
            </w:pPr>
            <w:r w:rsidRPr="0086713D">
              <w:rPr>
                <w:rStyle w:val="TeksttreciTimesNewRoman105ptOdstpy0pt"/>
                <w:rFonts w:eastAsia="Book Antiqua"/>
                <w:spacing w:val="0"/>
                <w:sz w:val="24"/>
                <w:szCs w:val="24"/>
              </w:rPr>
              <w:t>Mediánová hodnota kolaterálu prijatého inštitúciou, ktorý tvoria iné aktíva (pozri odkazy na právne predpisy</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pokyny týkajúce sa riadku 120 vzoru EU AE1). Patria sem všetky cenné papiere prijaté inštitúciou, ktorá je dlžníkom, vo všetkých transakciách vypožičiavania cenných papierov.</w:t>
            </w:r>
          </w:p>
        </w:tc>
      </w:tr>
      <w:tr w:rsidR="00D312C4" w:rsidRPr="0086713D" w14:paraId="527A6C11" w14:textId="77777777" w:rsidTr="00155C96">
        <w:trPr>
          <w:trHeight w:val="316"/>
        </w:trPr>
        <w:tc>
          <w:tcPr>
            <w:tcW w:w="1384" w:type="dxa"/>
          </w:tcPr>
          <w:p w14:paraId="00F21F0E"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240</w:t>
            </w:r>
          </w:p>
        </w:tc>
        <w:tc>
          <w:tcPr>
            <w:tcW w:w="7655" w:type="dxa"/>
          </w:tcPr>
          <w:p w14:paraId="639E0632"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Emitované vlastné dlhové cenné papiere iné než vlastné kryté dlhopisy alebo sekuritizácie</w:t>
            </w:r>
          </w:p>
          <w:p w14:paraId="40608927" w14:textId="159A765B" w:rsidR="00D312C4" w:rsidRPr="0086713D" w:rsidRDefault="00D312C4" w:rsidP="00155C96">
            <w:pPr>
              <w:pStyle w:val="Teksttreci0"/>
              <w:shd w:val="clear" w:color="auto" w:fill="auto"/>
              <w:spacing w:after="120" w:line="240" w:lineRule="auto"/>
              <w:ind w:firstLine="0"/>
              <w:rPr>
                <w:rStyle w:val="PogrubienieTeksttreciTimesNewRoman105ptOdstpy0pt"/>
                <w:rFonts w:eastAsia="Calibri"/>
                <w:spacing w:val="0"/>
                <w:sz w:val="24"/>
                <w:szCs w:val="24"/>
              </w:rPr>
            </w:pPr>
            <w:r w:rsidRPr="0086713D">
              <w:rPr>
                <w:rStyle w:val="TeksttreciTimesNewRoman105ptOdstpy0pt"/>
                <w:rFonts w:eastAsia="Book Antiqua"/>
                <w:spacing w:val="0"/>
                <w:sz w:val="24"/>
                <w:szCs w:val="24"/>
              </w:rPr>
              <w:t>Mediánová hodnota emitovaných vlastných dlhových cenných papierov iných než vlastné kryté dlhopisy alebo sekuritizácie. Keďže ponechané alebo spätne odkúpené emitované vlastné dlhové cenné papiere znižujú</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súlade</w:t>
            </w:r>
            <w:r w:rsidR="00A3389E" w:rsidRPr="0086713D">
              <w:rPr>
                <w:rStyle w:val="TeksttreciTimesNewRoman105ptOdstpy0pt"/>
                <w:rFonts w:eastAsia="Book Antiqua"/>
                <w:spacing w:val="0"/>
                <w:sz w:val="24"/>
                <w:szCs w:val="24"/>
              </w:rPr>
              <w:t xml:space="preserve"> s </w:t>
            </w:r>
            <w:r w:rsidRPr="0086713D">
              <w:rPr>
                <w:rStyle w:val="TeksttreciTimesNewRoman105ptOdstpy0pt"/>
                <w:rFonts w:eastAsia="Book Antiqua"/>
                <w:spacing w:val="0"/>
                <w:sz w:val="24"/>
                <w:szCs w:val="24"/>
              </w:rPr>
              <w:t>IAS 39 ods. 42</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prípade inštitúcií, ktoré uskutočňujú vykazovanie podľa štandardov IFRS, súvisiace finančné záväzky, tieto cenné papiere sa nezahŕňajú do kategórie aktív zverejňujúcej inštitúcie. Do tohto riadku sa zahŕňajú vlastné dlhové cenné papiere, ktoré inštitúcia neuskutočňujúca vykazovanie podľa štandardov IFRS nesmie prestať vykazovať</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súvahe.</w:t>
            </w:r>
          </w:p>
        </w:tc>
      </w:tr>
      <w:tr w:rsidR="00D312C4" w:rsidRPr="0086713D" w14:paraId="513E648B" w14:textId="77777777" w:rsidTr="00155C96">
        <w:trPr>
          <w:trHeight w:val="316"/>
        </w:trPr>
        <w:tc>
          <w:tcPr>
            <w:tcW w:w="1384" w:type="dxa"/>
          </w:tcPr>
          <w:p w14:paraId="3D90AC48"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241</w:t>
            </w:r>
          </w:p>
        </w:tc>
        <w:tc>
          <w:tcPr>
            <w:tcW w:w="7655" w:type="dxa"/>
          </w:tcPr>
          <w:p w14:paraId="722E1368" w14:textId="757BFF4D"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Emitované</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ešte nezaložené vlastné kryté dlhopisy</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sekuritizácie</w:t>
            </w:r>
          </w:p>
          <w:p w14:paraId="6CAB6108" w14:textId="1EF0E053" w:rsidR="00D312C4" w:rsidRPr="0086713D" w:rsidRDefault="00D312C4" w:rsidP="00155C96">
            <w:pPr>
              <w:spacing w:after="120"/>
              <w:rPr>
                <w:rStyle w:val="TeksttreciTimesNewRoman105ptOdstpy0pt"/>
                <w:rFonts w:eastAsia="Calibri"/>
                <w:spacing w:val="0"/>
                <w:sz w:val="24"/>
                <w:szCs w:val="24"/>
              </w:rPr>
            </w:pPr>
            <w:r w:rsidRPr="0086713D">
              <w:rPr>
                <w:rStyle w:val="TeksttreciTimesNewRoman105ptOdstpy0pt"/>
                <w:rFonts w:eastAsiaTheme="minorEastAsia"/>
                <w:spacing w:val="0"/>
                <w:sz w:val="24"/>
                <w:szCs w:val="24"/>
              </w:rPr>
              <w:t xml:space="preserve">Mediánová hodnota </w:t>
            </w:r>
            <w:r w:rsidRPr="0086713D">
              <w:rPr>
                <w:rStyle w:val="InstructionsTabelleberschrift"/>
                <w:rFonts w:ascii="Times New Roman" w:hAnsi="Times New Roman"/>
                <w:b w:val="0"/>
                <w:sz w:val="24"/>
                <w:u w:val="none"/>
              </w:rPr>
              <w:t>emitovaných vlastných krytých dlhopisov</w:t>
            </w:r>
            <w:r w:rsidR="00A3389E" w:rsidRPr="0086713D">
              <w:rPr>
                <w:rStyle w:val="InstructionsTabelleberschrift"/>
                <w:rFonts w:ascii="Times New Roman" w:hAnsi="Times New Roman"/>
                <w:b w:val="0"/>
                <w:sz w:val="24"/>
                <w:u w:val="none"/>
              </w:rPr>
              <w:t xml:space="preserve"> a </w:t>
            </w:r>
            <w:r w:rsidRPr="0086713D">
              <w:rPr>
                <w:rStyle w:val="InstructionsTabelleberschrift"/>
                <w:rFonts w:ascii="Times New Roman" w:hAnsi="Times New Roman"/>
                <w:b w:val="0"/>
                <w:sz w:val="24"/>
                <w:u w:val="none"/>
              </w:rPr>
              <w:t>sekuritizácií, ktoré si ponechala zverejňujúca inštitúcia</w:t>
            </w:r>
            <w:r w:rsidR="00A3389E" w:rsidRPr="0086713D">
              <w:rPr>
                <w:rStyle w:val="InstructionsTabelleberschrift"/>
                <w:rFonts w:ascii="Times New Roman" w:hAnsi="Times New Roman"/>
                <w:b w:val="0"/>
                <w:sz w:val="24"/>
                <w:u w:val="none"/>
              </w:rPr>
              <w:t xml:space="preserve"> a </w:t>
            </w:r>
            <w:r w:rsidRPr="0086713D">
              <w:rPr>
                <w:rStyle w:val="InstructionsTabelleberschrift"/>
                <w:rFonts w:ascii="Times New Roman" w:hAnsi="Times New Roman"/>
                <w:b w:val="0"/>
                <w:sz w:val="24"/>
                <w:u w:val="none"/>
              </w:rPr>
              <w:t>ktoré nie sú zaťažené.</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cieľom predísť dvojitému započítavaniu sa</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súvislosti</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vlastnými krytými dlhopismi</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sekuritizáciami, ktoré emitovala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ktoré si ponechala zverejňujúca inštitúcia, uplatňuje toto pravidlo:</w:t>
            </w:r>
          </w:p>
          <w:p w14:paraId="05B6719C" w14:textId="76A927C8" w:rsidR="00D312C4" w:rsidRPr="0086713D" w:rsidRDefault="00023CBA" w:rsidP="00A3389E">
            <w:pPr>
              <w:pStyle w:val="Teksttreci0"/>
              <w:shd w:val="clear" w:color="auto" w:fill="auto"/>
              <w:tabs>
                <w:tab w:val="left" w:pos="-81"/>
              </w:tabs>
              <w:spacing w:after="120" w:line="240" w:lineRule="auto"/>
              <w:ind w:hanging="460"/>
              <w:rPr>
                <w:rFonts w:ascii="Times New Roman" w:hAnsi="Times New Roman" w:cs="Times New Roman"/>
                <w:sz w:val="24"/>
                <w:szCs w:val="24"/>
              </w:rPr>
            </w:pPr>
            <w:r w:rsidRPr="0086713D">
              <w:rPr>
                <w:rFonts w:ascii="Times New Roman" w:eastAsia="Times New Roman" w:hAnsi="Times New Roman" w:cs="Times New Roman"/>
                <w:color w:val="000000"/>
                <w:sz w:val="24"/>
                <w:szCs w:val="24"/>
              </w:rPr>
              <w:t>a)</w:t>
            </w:r>
            <w:r w:rsidR="00A3389E" w:rsidRPr="0086713D">
              <w:rPr>
                <w:rFonts w:ascii="Times New Roman" w:eastAsia="Times New Roman" w:hAnsi="Times New Roman" w:cs="Times New Roman"/>
                <w:color w:val="000000"/>
                <w:sz w:val="24"/>
                <w:szCs w:val="24"/>
              </w:rPr>
              <w:tab/>
            </w:r>
            <w:r w:rsidR="00D312C4" w:rsidRPr="0086713D">
              <w:rPr>
                <w:rStyle w:val="TeksttreciTimesNewRoman105ptOdstpy0pt"/>
                <w:rFonts w:eastAsia="Book Antiqua"/>
                <w:spacing w:val="0"/>
                <w:sz w:val="24"/>
                <w:szCs w:val="24"/>
              </w:rPr>
              <w:t>a) ak sú tieto cenné papiere založené, hodnota aktív krycieho súboru/podkladových aktív, ktorými sa kryjú, sa zverejňuje vo vzore EU AE1 ako zaťažené aktíva. Zdrojom financovania</w:t>
            </w:r>
            <w:r w:rsidR="00A3389E" w:rsidRPr="0086713D">
              <w:rPr>
                <w:rStyle w:val="TeksttreciTimesNewRoman105ptOdstpy0pt"/>
                <w:rFonts w:eastAsia="Book Antiqua"/>
                <w:spacing w:val="0"/>
                <w:sz w:val="24"/>
                <w:szCs w:val="24"/>
              </w:rPr>
              <w:t xml:space="preserve"> v </w:t>
            </w:r>
            <w:r w:rsidR="00D312C4" w:rsidRPr="0086713D">
              <w:rPr>
                <w:rStyle w:val="TeksttreciTimesNewRoman105ptOdstpy0pt"/>
                <w:rFonts w:eastAsia="Book Antiqua"/>
                <w:spacing w:val="0"/>
                <w:sz w:val="24"/>
                <w:szCs w:val="24"/>
              </w:rPr>
              <w:t>prípade založenia vlastných krytých dlhopisov</w:t>
            </w:r>
            <w:r w:rsidR="00A3389E" w:rsidRPr="0086713D">
              <w:rPr>
                <w:rStyle w:val="TeksttreciTimesNewRoman105ptOdstpy0pt"/>
                <w:rFonts w:eastAsia="Book Antiqua"/>
                <w:spacing w:val="0"/>
                <w:sz w:val="24"/>
                <w:szCs w:val="24"/>
              </w:rPr>
              <w:t xml:space="preserve"> a </w:t>
            </w:r>
            <w:r w:rsidR="00D312C4" w:rsidRPr="0086713D">
              <w:rPr>
                <w:rStyle w:val="TeksttreciTimesNewRoman105ptOdstpy0pt"/>
                <w:rFonts w:eastAsia="Book Antiqua"/>
                <w:spacing w:val="0"/>
                <w:sz w:val="24"/>
                <w:szCs w:val="24"/>
              </w:rPr>
              <w:t>sekuritizácií je nová transakcia,</w:t>
            </w:r>
            <w:r w:rsidR="00A3389E" w:rsidRPr="0086713D">
              <w:rPr>
                <w:rStyle w:val="TeksttreciTimesNewRoman105ptOdstpy0pt"/>
                <w:rFonts w:eastAsia="Book Antiqua"/>
                <w:spacing w:val="0"/>
                <w:sz w:val="24"/>
                <w:szCs w:val="24"/>
              </w:rPr>
              <w:t xml:space="preserve"> v </w:t>
            </w:r>
            <w:r w:rsidR="00D312C4" w:rsidRPr="0086713D">
              <w:rPr>
                <w:rStyle w:val="TeksttreciTimesNewRoman105ptOdstpy0pt"/>
                <w:rFonts w:eastAsia="Book Antiqua"/>
                <w:spacing w:val="0"/>
                <w:sz w:val="24"/>
                <w:szCs w:val="24"/>
              </w:rPr>
              <w:t>rámci ktorej dochádza</w:t>
            </w:r>
            <w:r w:rsidR="00A3389E" w:rsidRPr="0086713D">
              <w:rPr>
                <w:rStyle w:val="TeksttreciTimesNewRoman105ptOdstpy0pt"/>
                <w:rFonts w:eastAsia="Book Antiqua"/>
                <w:spacing w:val="0"/>
                <w:sz w:val="24"/>
                <w:szCs w:val="24"/>
              </w:rPr>
              <w:t xml:space="preserve"> k </w:t>
            </w:r>
            <w:r w:rsidR="00D312C4" w:rsidRPr="0086713D">
              <w:rPr>
                <w:rStyle w:val="TeksttreciTimesNewRoman105ptOdstpy0pt"/>
                <w:rFonts w:eastAsia="Book Antiqua"/>
                <w:spacing w:val="0"/>
                <w:sz w:val="24"/>
                <w:szCs w:val="24"/>
              </w:rPr>
              <w:t>založeniu cenných papierov (financovanie zo strany centrálnej banky alebo iný druh zabezpečeného financovania),</w:t>
            </w:r>
            <w:r w:rsidR="00A3389E" w:rsidRPr="0086713D">
              <w:rPr>
                <w:rStyle w:val="TeksttreciTimesNewRoman105ptOdstpy0pt"/>
                <w:rFonts w:eastAsia="Book Antiqua"/>
                <w:spacing w:val="0"/>
                <w:sz w:val="24"/>
                <w:szCs w:val="24"/>
              </w:rPr>
              <w:t xml:space="preserve"> a </w:t>
            </w:r>
            <w:r w:rsidR="00D312C4" w:rsidRPr="0086713D">
              <w:rPr>
                <w:rStyle w:val="TeksttreciTimesNewRoman105ptOdstpy0pt"/>
                <w:rFonts w:eastAsia="Book Antiqua"/>
                <w:spacing w:val="0"/>
                <w:sz w:val="24"/>
                <w:szCs w:val="24"/>
              </w:rPr>
              <w:t>nie pôvodná emisia krytých dlhopisov alebo sekuritizácií;</w:t>
            </w:r>
          </w:p>
          <w:p w14:paraId="43313155" w14:textId="134D1A5C" w:rsidR="00D312C4" w:rsidRPr="0086713D" w:rsidRDefault="00D312C4" w:rsidP="001023C0">
            <w:pPr>
              <w:pStyle w:val="Teksttreci0"/>
              <w:shd w:val="clear" w:color="auto" w:fill="auto"/>
              <w:spacing w:after="120" w:line="240" w:lineRule="auto"/>
              <w:ind w:firstLine="0"/>
              <w:rPr>
                <w:rStyle w:val="PogrubienieTeksttreciTimesNewRoman105ptOdstpy0pt"/>
                <w:rFonts w:eastAsia="Calibri"/>
                <w:spacing w:val="0"/>
                <w:sz w:val="24"/>
                <w:szCs w:val="24"/>
              </w:rPr>
            </w:pPr>
            <w:r w:rsidRPr="0086713D">
              <w:rPr>
                <w:rStyle w:val="TeksttreciTimesNewRoman105ptOdstpy0pt"/>
                <w:rFonts w:eastAsia="Book Antiqua"/>
                <w:spacing w:val="0"/>
                <w:sz w:val="24"/>
                <w:szCs w:val="24"/>
              </w:rPr>
              <w:t xml:space="preserve">b) ak tieto cenné papiere ešte nie sú založené, hodnota aktív krycieho súboru/podkladových aktív, ktorými sa tieto cenné papiere kryjú, sa </w:t>
            </w:r>
            <w:r w:rsidRPr="0086713D">
              <w:rPr>
                <w:rStyle w:val="TeksttreciTimesNewRoman105ptOdstpy0pt"/>
                <w:rFonts w:eastAsia="Book Antiqua"/>
                <w:spacing w:val="0"/>
                <w:sz w:val="24"/>
                <w:szCs w:val="24"/>
              </w:rPr>
              <w:lastRenderedPageBreak/>
              <w:t>zverejňuje vo vzore EU AE1 ako nezaťažené aktíva.</w:t>
            </w:r>
          </w:p>
        </w:tc>
      </w:tr>
      <w:tr w:rsidR="00D312C4" w:rsidRPr="0086713D" w14:paraId="00CE4653" w14:textId="77777777" w:rsidTr="00155C96">
        <w:trPr>
          <w:trHeight w:val="316"/>
        </w:trPr>
        <w:tc>
          <w:tcPr>
            <w:tcW w:w="1384" w:type="dxa"/>
          </w:tcPr>
          <w:p w14:paraId="61A3FA17"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lastRenderedPageBreak/>
              <w:t>250</w:t>
            </w:r>
          </w:p>
        </w:tc>
        <w:tc>
          <w:tcPr>
            <w:tcW w:w="7655" w:type="dxa"/>
          </w:tcPr>
          <w:p w14:paraId="6ABE3D23" w14:textId="55E28F1F"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Celkový prijatý kolaterál</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emitované vlastné dlhové cenné papiere</w:t>
            </w:r>
          </w:p>
          <w:p w14:paraId="1F3C606D" w14:textId="6F89C0C8"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TeksttreciTimesNewRoman105ptOdstpy0pt"/>
                <w:rFonts w:eastAsia="Book Antiqua"/>
                <w:spacing w:val="0"/>
                <w:sz w:val="24"/>
                <w:szCs w:val="24"/>
              </w:rPr>
              <w:t>Všetky triedy kolaterálu prijatého inštitúciou</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emitované vlastné dlhové cenné papiere ponechané inštitúciou, ktoré nie sú emitovanými vlastnými krytými dlhopismi ani emitovanými vlastnými sekuritizáciami.</w:t>
            </w:r>
          </w:p>
          <w:p w14:paraId="6A4C00F9" w14:textId="28056F94" w:rsidR="00D312C4" w:rsidRPr="0086713D" w:rsidRDefault="00D312C4" w:rsidP="001613AA">
            <w:pPr>
              <w:pStyle w:val="Teksttreci0"/>
              <w:shd w:val="clear" w:color="auto" w:fill="auto"/>
              <w:spacing w:after="120" w:line="240" w:lineRule="auto"/>
              <w:ind w:firstLine="0"/>
              <w:rPr>
                <w:rStyle w:val="PogrubienieTeksttreciTimesNewRoman105ptOdstpy0pt"/>
                <w:rFonts w:eastAsia="Calibri"/>
                <w:spacing w:val="0"/>
                <w:sz w:val="24"/>
                <w:szCs w:val="24"/>
              </w:rPr>
            </w:pPr>
            <w:r w:rsidRPr="0086713D">
              <w:rPr>
                <w:rStyle w:val="TeksttreciTimesNewRoman105ptOdstpy0pt"/>
                <w:rFonts w:eastAsia="Book Antiqua"/>
                <w:spacing w:val="0"/>
                <w:sz w:val="24"/>
                <w:szCs w:val="24"/>
              </w:rPr>
              <w:t>Tento riadok je súčtom mediánových hodnôt pre riadok 010 vzoru EU AE1</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riadkov 130</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240 vzoru EU AE2.</w:t>
            </w:r>
          </w:p>
        </w:tc>
      </w:tr>
    </w:tbl>
    <w:p w14:paraId="046C86EB" w14:textId="77777777" w:rsidR="00D312C4" w:rsidRPr="0086713D" w:rsidRDefault="00D312C4" w:rsidP="003D587D">
      <w:pPr>
        <w:rPr>
          <w:rFonts w:ascii="Times New Roman" w:hAnsi="Times New Roman" w:cs="Times New Roman"/>
          <w:sz w:val="24"/>
        </w:rPr>
      </w:pPr>
    </w:p>
    <w:p w14:paraId="528091A7" w14:textId="77777777" w:rsidR="00D312C4" w:rsidRPr="0086713D" w:rsidRDefault="00D312C4" w:rsidP="003D587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6713D" w14:paraId="7BDD1CED" w14:textId="77777777" w:rsidTr="00155C96">
        <w:trPr>
          <w:trHeight w:val="238"/>
        </w:trPr>
        <w:tc>
          <w:tcPr>
            <w:tcW w:w="9039" w:type="dxa"/>
            <w:gridSpan w:val="2"/>
            <w:shd w:val="clear" w:color="auto" w:fill="D9D9D9" w:themeFill="background1" w:themeFillShade="D9"/>
          </w:tcPr>
          <w:p w14:paraId="2960A66B" w14:textId="66AC45AE"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Odkazy na právne predpisy</w:t>
            </w:r>
            <w:r w:rsidR="00A3389E" w:rsidRPr="0086713D">
              <w:rPr>
                <w:rFonts w:ascii="Times New Roman" w:hAnsi="Times New Roman" w:cs="Times New Roman"/>
                <w:b/>
                <w:sz w:val="24"/>
              </w:rPr>
              <w:t xml:space="preserve"> a </w:t>
            </w:r>
            <w:r w:rsidRPr="0086713D">
              <w:rPr>
                <w:rFonts w:ascii="Times New Roman" w:hAnsi="Times New Roman" w:cs="Times New Roman"/>
                <w:b/>
                <w:sz w:val="24"/>
              </w:rPr>
              <w:t>pokyny</w:t>
            </w:r>
          </w:p>
        </w:tc>
      </w:tr>
      <w:tr w:rsidR="00D312C4" w:rsidRPr="0086713D" w14:paraId="56E26971" w14:textId="77777777" w:rsidTr="00155C96">
        <w:trPr>
          <w:trHeight w:val="238"/>
        </w:trPr>
        <w:tc>
          <w:tcPr>
            <w:tcW w:w="1384" w:type="dxa"/>
            <w:shd w:val="clear" w:color="auto" w:fill="D9D9D9" w:themeFill="background1" w:themeFillShade="D9"/>
          </w:tcPr>
          <w:p w14:paraId="6CABA9EE"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Číslo stĺpca</w:t>
            </w:r>
          </w:p>
        </w:tc>
        <w:tc>
          <w:tcPr>
            <w:tcW w:w="7655" w:type="dxa"/>
            <w:shd w:val="clear" w:color="auto" w:fill="D9D9D9" w:themeFill="background1" w:themeFillShade="D9"/>
          </w:tcPr>
          <w:p w14:paraId="10A2F6CA"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Vysvetlenie</w:t>
            </w:r>
          </w:p>
        </w:tc>
      </w:tr>
      <w:tr w:rsidR="00D312C4" w:rsidRPr="0086713D" w14:paraId="0D48BF8D" w14:textId="77777777" w:rsidTr="00155C96">
        <w:trPr>
          <w:trHeight w:val="841"/>
        </w:trPr>
        <w:tc>
          <w:tcPr>
            <w:tcW w:w="1384" w:type="dxa"/>
          </w:tcPr>
          <w:p w14:paraId="46F3E785" w14:textId="77777777" w:rsidR="00D312C4" w:rsidRPr="0086713D" w:rsidRDefault="00D312C4" w:rsidP="00155C96">
            <w:pPr>
              <w:pStyle w:val="Applicationdirecte"/>
              <w:spacing w:before="0"/>
            </w:pPr>
            <w:r w:rsidRPr="0086713D">
              <w:t>010</w:t>
            </w:r>
          </w:p>
        </w:tc>
        <w:tc>
          <w:tcPr>
            <w:tcW w:w="7655" w:type="dxa"/>
          </w:tcPr>
          <w:p w14:paraId="1605C07F"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Reálna hodnota zaťaženého prijatého kolaterálu alebo emitovaných vlastných dlhových cenných papierov</w:t>
            </w:r>
          </w:p>
          <w:p w14:paraId="75B6802E" w14:textId="0C25CA41"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TeksttreciTimesNewRoman105ptOdstpy0pt"/>
                <w:rFonts w:eastAsia="Book Antiqua"/>
                <w:spacing w:val="0"/>
                <w:sz w:val="24"/>
                <w:szCs w:val="24"/>
              </w:rPr>
              <w:t>Medián reálnej hodnoty prijatého kolaterálu,</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to aj</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rámci všetkých transakcií vypožičiavania cenných papierov, alebo emitovaných vlastných dlhových cenných papierov držaných/ponechaných inštitúciou, ktoré sú zaťažené,</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súlade</w:t>
            </w:r>
            <w:r w:rsidR="00A3389E" w:rsidRPr="0086713D">
              <w:rPr>
                <w:rStyle w:val="TeksttreciTimesNewRoman105ptOdstpy0pt"/>
                <w:rFonts w:eastAsia="Book Antiqua"/>
                <w:spacing w:val="0"/>
                <w:sz w:val="24"/>
                <w:szCs w:val="24"/>
              </w:rPr>
              <w:t xml:space="preserve"> s </w:t>
            </w:r>
            <w:r w:rsidRPr="0086713D">
              <w:rPr>
                <w:rStyle w:val="TeksttreciTimesNewRoman105ptOdstpy0pt"/>
                <w:rFonts w:eastAsia="Book Antiqua"/>
                <w:spacing w:val="0"/>
                <w:sz w:val="24"/>
                <w:szCs w:val="24"/>
              </w:rPr>
              <w:t>článkom 100 CRR.</w:t>
            </w:r>
          </w:p>
          <w:p w14:paraId="75605FD1" w14:textId="67A65D22" w:rsidR="00D312C4" w:rsidRPr="0086713D" w:rsidRDefault="00D312C4" w:rsidP="00155C96">
            <w:pPr>
              <w:pStyle w:val="Fait"/>
              <w:spacing w:before="0" w:after="120"/>
            </w:pPr>
            <w:r w:rsidRPr="0086713D">
              <w:rPr>
                <w:rStyle w:val="TeksttreciTimesNewRoman105ptOdstpy0pt"/>
                <w:spacing w:val="0"/>
                <w:sz w:val="24"/>
                <w:szCs w:val="24"/>
              </w:rPr>
              <w:t>Reálnou hodnotou finančného nástroja je cena, ktorá by sa získala za predaj aktíva alebo by bola zaplatená za prevod záväzku pri riadnej transakcii medzi účastníkmi trhu</w:t>
            </w:r>
            <w:r w:rsidR="00A3389E" w:rsidRPr="0086713D">
              <w:rPr>
                <w:rStyle w:val="TeksttreciTimesNewRoman105ptOdstpy0pt"/>
                <w:spacing w:val="0"/>
                <w:sz w:val="24"/>
                <w:szCs w:val="24"/>
              </w:rPr>
              <w:t xml:space="preserve"> k </w:t>
            </w:r>
            <w:r w:rsidRPr="0086713D">
              <w:rPr>
                <w:rStyle w:val="TeksttreciTimesNewRoman105ptOdstpy0pt"/>
                <w:spacing w:val="0"/>
                <w:sz w:val="24"/>
                <w:szCs w:val="24"/>
              </w:rPr>
              <w:t>dátumu ocenenia (</w:t>
            </w:r>
            <w:r w:rsidRPr="0086713D">
              <w:t>pozri IFRS 13 Oceňovanie reálnou hodnotou</w:t>
            </w:r>
            <w:r w:rsidR="00A3389E" w:rsidRPr="0086713D">
              <w:t xml:space="preserve"> v </w:t>
            </w:r>
            <w:r w:rsidRPr="0086713D">
              <w:t>prípade inštitúcií, ktoré uskutočňujú vykazovanie podľa štandardov IFRS).</w:t>
            </w:r>
            <w:r w:rsidRPr="0086713D">
              <w:rPr>
                <w:rStyle w:val="TeksttreciTimesNewRoman105ptOdstpy0pt"/>
                <w:spacing w:val="0"/>
                <w:sz w:val="24"/>
                <w:szCs w:val="24"/>
              </w:rPr>
              <w:t xml:space="preserve"> Pri každej položke kolaterálu je zverejňovanou reálnou hodnotou mediánová hodnota jednotlivých reálnych hodnôt pozorovaných na konci každého obdobia zverejňovania zohľadneného pri výpočte mediánu.</w:t>
            </w:r>
          </w:p>
        </w:tc>
      </w:tr>
      <w:tr w:rsidR="00D312C4" w:rsidRPr="0086713D" w14:paraId="775112DE" w14:textId="77777777" w:rsidTr="00155C96">
        <w:trPr>
          <w:trHeight w:val="841"/>
        </w:trPr>
        <w:tc>
          <w:tcPr>
            <w:tcW w:w="1384" w:type="dxa"/>
          </w:tcPr>
          <w:p w14:paraId="3AE949FB" w14:textId="77777777" w:rsidR="00D312C4" w:rsidRPr="0086713D" w:rsidRDefault="00D312C4" w:rsidP="00155C96">
            <w:pPr>
              <w:pStyle w:val="Applicationdirecte"/>
              <w:spacing w:before="0"/>
            </w:pPr>
            <w:r w:rsidRPr="0086713D">
              <w:t>030</w:t>
            </w:r>
          </w:p>
        </w:tc>
        <w:tc>
          <w:tcPr>
            <w:tcW w:w="7655" w:type="dxa"/>
          </w:tcPr>
          <w:p w14:paraId="22C80025" w14:textId="6B217E2A"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teoreticky prípustné EHQLA</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HQLA</w:t>
            </w:r>
          </w:p>
          <w:p w14:paraId="6DBA5CBC" w14:textId="51EA4B1F" w:rsidR="00D312C4" w:rsidRPr="0086713D" w:rsidRDefault="00D312C4" w:rsidP="00155C96">
            <w:pPr>
              <w:autoSpaceDE w:val="0"/>
              <w:autoSpaceDN w:val="0"/>
              <w:adjustRightInd w:val="0"/>
              <w:spacing w:after="120"/>
              <w:jc w:val="both"/>
              <w:rPr>
                <w:rStyle w:val="TeksttreciTimesNewRoman105ptOdstpy0pt"/>
                <w:rFonts w:eastAsia="Calibri"/>
                <w:spacing w:val="0"/>
                <w:sz w:val="24"/>
                <w:szCs w:val="24"/>
              </w:rPr>
            </w:pPr>
            <w:r w:rsidRPr="0086713D">
              <w:rPr>
                <w:rStyle w:val="TeksttreciTimesNewRoman105ptOdstpy0pt"/>
                <w:rFonts w:eastAsiaTheme="minorEastAsia"/>
                <w:spacing w:val="0"/>
                <w:sz w:val="24"/>
                <w:szCs w:val="24"/>
              </w:rPr>
              <w:t>Mediánová hodnota reálnej hodnoty zaťaženého prijatého kolaterálu,</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to aj</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rámci všetkých transakcií vypožičiavania cenných papierov, alebo emitovaných vlastných dlhových cenných papierov držaných/ponechaných inštitúciou, ktoré sú teoreticky prípustné ako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HQLA. Na účely tohto nariadenia sú teoreticky prípustnými zaťaženými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teoreticky prípustnými zaťaženými HQLA položky prijatého kolaterálu alebo emitovaných vlastných dlhových cenných papierov držaných/ponechaných inštitúciou, ktoré sú uvedené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11, 12, 13, 15</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16 delegovaného nariadenia Komisie (EÚ) 2015/61</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ktoré by spĺňali všeobecné</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prevádzkové požiadavky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7</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8 delegovaného nariadenia Komisie (EÚ) 2015/61, ak by nemali status zaťažených aktív</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súlade</w:t>
            </w:r>
            <w:r w:rsidR="00A3389E" w:rsidRPr="0086713D">
              <w:rPr>
                <w:rStyle w:val="TeksttreciTimesNewRoman105ptOdstpy0pt"/>
                <w:rFonts w:eastAsiaTheme="minorEastAsia"/>
                <w:spacing w:val="0"/>
                <w:sz w:val="24"/>
                <w:szCs w:val="24"/>
              </w:rPr>
              <w:t xml:space="preserve"> s </w:t>
            </w:r>
            <w:r w:rsidRPr="0086713D">
              <w:rPr>
                <w:rStyle w:val="TeksttreciTimesNewRoman105ptOdstpy0pt"/>
                <w:rFonts w:eastAsiaTheme="minorEastAsia"/>
                <w:spacing w:val="0"/>
                <w:sz w:val="24"/>
                <w:szCs w:val="24"/>
              </w:rPr>
              <w:t>prílohou XVII</w:t>
            </w:r>
            <w:r w:rsidR="00A3389E" w:rsidRPr="0086713D">
              <w:rPr>
                <w:rStyle w:val="TeksttreciTimesNewRoman105ptOdstpy0pt"/>
                <w:rFonts w:eastAsiaTheme="minorEastAsia"/>
                <w:spacing w:val="0"/>
                <w:sz w:val="24"/>
                <w:szCs w:val="24"/>
              </w:rPr>
              <w:t xml:space="preserve"> k </w:t>
            </w:r>
            <w:r w:rsidRPr="0086713D">
              <w:rPr>
                <w:rStyle w:val="TeksttreciTimesNewRoman105ptOdstpy0pt"/>
                <w:rFonts w:eastAsiaTheme="minorEastAsia"/>
                <w:spacing w:val="0"/>
                <w:sz w:val="24"/>
                <w:szCs w:val="24"/>
              </w:rPr>
              <w:t xml:space="preserve">vykonávaciemu nariadeniu Komisie (EÚ) </w:t>
            </w:r>
            <w:r w:rsidR="00A3389E" w:rsidRPr="0086713D">
              <w:rPr>
                <w:rStyle w:val="TeksttreciTimesNewRoman105ptOdstpy0pt"/>
                <w:rFonts w:eastAsiaTheme="minorEastAsia"/>
                <w:spacing w:val="0"/>
                <w:sz w:val="24"/>
                <w:szCs w:val="24"/>
              </w:rPr>
              <w:t>č. </w:t>
            </w:r>
            <w:r w:rsidRPr="0086713D">
              <w:rPr>
                <w:rStyle w:val="TeksttreciTimesNewRoman105ptOdstpy0pt"/>
                <w:rFonts w:eastAsiaTheme="minorEastAsia"/>
                <w:spacing w:val="0"/>
                <w:sz w:val="24"/>
                <w:szCs w:val="24"/>
              </w:rPr>
              <w:t>680/2014. Teoreticky prípustné zaťažené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teoreticky prípustné zaťažené HQLA musia rovnako spĺňať požiadavky špecifické pre triedy expozícií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až 16</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 xml:space="preserve">článkoch 35 až 37 delegovaného nariadenia Komisie (EÚ) 2015/61. Reálnou </w:t>
            </w:r>
            <w:r w:rsidRPr="0086713D">
              <w:rPr>
                <w:rStyle w:val="TeksttreciTimesNewRoman105ptOdstpy0pt"/>
                <w:rFonts w:eastAsiaTheme="minorEastAsia"/>
                <w:spacing w:val="0"/>
                <w:sz w:val="24"/>
                <w:szCs w:val="24"/>
              </w:rPr>
              <w:lastRenderedPageBreak/>
              <w:t>hodnotou teoreticky prípustných zaťažených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teoreticky prípustných zaťažených HQLA je reálna hodnota pred uplatnením zrážok (haircutov) stanovených</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až 16 delegovaného nariadenia Komisie (EÚ) 2015/61.</w:t>
            </w:r>
          </w:p>
          <w:p w14:paraId="21849B93" w14:textId="77777777" w:rsidR="00D312C4" w:rsidRPr="0086713D" w:rsidRDefault="00D312C4" w:rsidP="00155C96">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Pri každej položke kolaterálu je zverejňovanou reálnou hodnotou mediánová hodnota jednotlivých reálnych hodnôt pozorovaných na konci každého obdobia zverejňovania zohľadneného pri výpočte mediánu.</w:t>
            </w:r>
          </w:p>
        </w:tc>
      </w:tr>
      <w:tr w:rsidR="00D312C4" w:rsidRPr="0086713D" w14:paraId="610B8E52" w14:textId="77777777" w:rsidTr="00155C96">
        <w:trPr>
          <w:trHeight w:val="316"/>
        </w:trPr>
        <w:tc>
          <w:tcPr>
            <w:tcW w:w="1384" w:type="dxa"/>
          </w:tcPr>
          <w:p w14:paraId="7C4DBEE3" w14:textId="77777777" w:rsidR="00D312C4" w:rsidRPr="0086713D" w:rsidRDefault="00D312C4" w:rsidP="00155C96">
            <w:pPr>
              <w:autoSpaceDE w:val="0"/>
              <w:autoSpaceDN w:val="0"/>
              <w:adjustRightInd w:val="0"/>
              <w:spacing w:after="120"/>
              <w:rPr>
                <w:rFonts w:ascii="Times New Roman" w:hAnsi="Times New Roman" w:cs="Times New Roman"/>
                <w:color w:val="000000"/>
                <w:sz w:val="24"/>
              </w:rPr>
            </w:pPr>
            <w:r w:rsidRPr="0086713D">
              <w:rPr>
                <w:rFonts w:ascii="Times New Roman" w:hAnsi="Times New Roman" w:cs="Times New Roman"/>
                <w:sz w:val="24"/>
              </w:rPr>
              <w:lastRenderedPageBreak/>
              <w:t xml:space="preserve">040 </w:t>
            </w:r>
          </w:p>
        </w:tc>
        <w:tc>
          <w:tcPr>
            <w:tcW w:w="7655" w:type="dxa"/>
          </w:tcPr>
          <w:p w14:paraId="4DA10E90"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Reálna hodnota prijatého kolaterálu alebo emitovaných vlastných dlhových cenných papierov, ktoré sú dostupné na účely zaťaženosti</w:t>
            </w:r>
          </w:p>
          <w:p w14:paraId="36B88D25" w14:textId="512231CE" w:rsidR="00D312C4" w:rsidRPr="0086713D" w:rsidRDefault="00D312C4" w:rsidP="00155C96">
            <w:pPr>
              <w:autoSpaceDE w:val="0"/>
              <w:autoSpaceDN w:val="0"/>
              <w:adjustRightInd w:val="0"/>
              <w:spacing w:after="120"/>
              <w:jc w:val="both"/>
              <w:rPr>
                <w:rFonts w:ascii="Times New Roman" w:hAnsi="Times New Roman" w:cs="Times New Roman"/>
                <w:sz w:val="24"/>
              </w:rPr>
            </w:pPr>
            <w:r w:rsidRPr="0086713D">
              <w:rPr>
                <w:rStyle w:val="TeksttreciTimesNewRoman105ptOdstpy0pt"/>
                <w:rFonts w:eastAsiaTheme="minorEastAsia"/>
                <w:spacing w:val="0"/>
                <w:sz w:val="24"/>
                <w:szCs w:val="24"/>
              </w:rPr>
              <w:t>Medián reálnej hodnoty kolaterálu prijatého inštitúciou,</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to aj</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rámci všetkých transakcií vypožičiavania cenných papierov, ktorý je nezaťažený, ale je dostupný na účely zaťaženosti, keďže inštitúcia ho môže predať alebo opätovne založiť</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prípade, že nedôjde</w:t>
            </w:r>
            <w:r w:rsidR="00A3389E" w:rsidRPr="0086713D">
              <w:rPr>
                <w:rStyle w:val="TeksttreciTimesNewRoman105ptOdstpy0pt"/>
                <w:rFonts w:eastAsiaTheme="minorEastAsia"/>
                <w:spacing w:val="0"/>
                <w:sz w:val="24"/>
                <w:szCs w:val="24"/>
              </w:rPr>
              <w:t xml:space="preserve"> k </w:t>
            </w:r>
            <w:r w:rsidRPr="0086713D">
              <w:rPr>
                <w:rStyle w:val="TeksttreciTimesNewRoman105ptOdstpy0pt"/>
                <w:rFonts w:eastAsiaTheme="minorEastAsia"/>
                <w:spacing w:val="0"/>
                <w:sz w:val="24"/>
                <w:szCs w:val="24"/>
              </w:rPr>
              <w:t>zlyhaniu vlastníka kolaterálu. Zahŕňa aj reálnu hodnotu emitovaných vlastných dlhových cenných papierov iných než vlastné kryté dlhopisy alebo sekuritizačné pozície, ktoré sú nezaťažené, ale sú dostupné na účely zaťaženosti. Pri každej položke kolaterálu je zverejňovanou reálnou hodnotou mediánová hodnota jednotlivých reálnych hodnôt pozorovaných na konci každého obdobia zverejňovania zohľadneného pri výpočte mediánu.</w:t>
            </w:r>
          </w:p>
        </w:tc>
      </w:tr>
      <w:tr w:rsidR="00D312C4" w:rsidRPr="0086713D" w14:paraId="30AC4DE2" w14:textId="77777777" w:rsidTr="00155C96">
        <w:trPr>
          <w:trHeight w:val="316"/>
        </w:trPr>
        <w:tc>
          <w:tcPr>
            <w:tcW w:w="1384" w:type="dxa"/>
          </w:tcPr>
          <w:p w14:paraId="135FBD61"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060</w:t>
            </w:r>
          </w:p>
        </w:tc>
        <w:tc>
          <w:tcPr>
            <w:tcW w:w="7655" w:type="dxa"/>
          </w:tcPr>
          <w:p w14:paraId="5AF0E0B1" w14:textId="79806274"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 čoho: EHQLA</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HQLA</w:t>
            </w:r>
          </w:p>
          <w:p w14:paraId="65E8D7D1" w14:textId="0F691B31" w:rsidR="00D312C4" w:rsidRPr="0086713D" w:rsidRDefault="00D312C4" w:rsidP="00155C96">
            <w:pPr>
              <w:autoSpaceDE w:val="0"/>
              <w:autoSpaceDN w:val="0"/>
              <w:adjustRightInd w:val="0"/>
              <w:spacing w:after="120"/>
              <w:jc w:val="both"/>
              <w:rPr>
                <w:rFonts w:ascii="Times New Roman" w:hAnsi="Times New Roman" w:cs="Times New Roman"/>
                <w:sz w:val="24"/>
              </w:rPr>
            </w:pPr>
            <w:r w:rsidRPr="0086713D">
              <w:rPr>
                <w:rStyle w:val="TeksttreciTimesNewRoman105ptOdstpy0pt"/>
                <w:rFonts w:eastAsiaTheme="minorEastAsia"/>
                <w:spacing w:val="0"/>
                <w:sz w:val="24"/>
                <w:szCs w:val="24"/>
              </w:rPr>
              <w:t>Mediánová hodnota reálnej hodnoty nezaťaženého prijatého kolaterálu alebo emitovaných vlastných dlhových cenných papierov držaných/ponechaných inštitúciou iných než vlastné kryté dlhopisy alebo sekuritizačné pozície dostupné na účely zaťaženosti, ktoré sa kvalifikujú ako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HQLA uvedené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11, 12, 13, 15</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16 delegovaného nariadenia Komisie (EÚ) 2015/61</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ktoré spĺňajú všeobecné</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prevádzkové požiadavky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7</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8 delegovaného nariadenia Komisie (EÚ) 2015/61, ako aj požiadavky špecifické pre triedy expozícií stanovené</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článkoch 10 až 16</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článkoch 35 až 37 delegovaného nariadenia Komisie (EÚ) 2015/61. Reálnou hodnotou aktív EHQLA</w:t>
            </w:r>
            <w:r w:rsidR="00A3389E" w:rsidRPr="0086713D">
              <w:rPr>
                <w:rStyle w:val="TeksttreciTimesNewRoman105ptOdstpy0pt"/>
                <w:rFonts w:eastAsiaTheme="minorEastAsia"/>
                <w:spacing w:val="0"/>
                <w:sz w:val="24"/>
                <w:szCs w:val="24"/>
              </w:rPr>
              <w:t xml:space="preserve"> a </w:t>
            </w:r>
            <w:r w:rsidRPr="0086713D">
              <w:rPr>
                <w:rStyle w:val="TeksttreciTimesNewRoman105ptOdstpy0pt"/>
                <w:rFonts w:eastAsiaTheme="minorEastAsia"/>
                <w:spacing w:val="0"/>
                <w:sz w:val="24"/>
                <w:szCs w:val="24"/>
              </w:rPr>
              <w:t>HQLA je reálna hodnota pred uplatnením zrážok (haircutov) stanovených</w:t>
            </w:r>
            <w:r w:rsidR="00A3389E" w:rsidRPr="0086713D">
              <w:rPr>
                <w:rStyle w:val="TeksttreciTimesNewRoman105ptOdstpy0pt"/>
                <w:rFonts w:eastAsiaTheme="minorEastAsia"/>
                <w:spacing w:val="0"/>
                <w:sz w:val="24"/>
                <w:szCs w:val="24"/>
              </w:rPr>
              <w:t xml:space="preserve"> v </w:t>
            </w:r>
            <w:r w:rsidRPr="0086713D">
              <w:rPr>
                <w:rStyle w:val="TeksttreciTimesNewRoman105ptOdstpy0pt"/>
                <w:rFonts w:eastAsiaTheme="minorEastAsia"/>
                <w:spacing w:val="0"/>
                <w:sz w:val="24"/>
                <w:szCs w:val="24"/>
              </w:rPr>
              <w:t xml:space="preserve">článkoch 10 až 16 delegovaného nariadenia Komisie (EÚ) 2015/61. </w:t>
            </w:r>
          </w:p>
        </w:tc>
      </w:tr>
    </w:tbl>
    <w:p w14:paraId="5D34B296" w14:textId="77777777" w:rsidR="00D312C4" w:rsidRPr="0086713D" w:rsidRDefault="00D312C4" w:rsidP="00D312C4">
      <w:pPr>
        <w:spacing w:after="120"/>
        <w:rPr>
          <w:rFonts w:ascii="Times New Roman" w:hAnsi="Times New Roman" w:cs="Times New Roman"/>
          <w:b/>
          <w:sz w:val="24"/>
        </w:rPr>
      </w:pPr>
    </w:p>
    <w:p w14:paraId="49B41C61" w14:textId="3AF4A756" w:rsidR="00D312C4" w:rsidRPr="0086713D" w:rsidRDefault="00D312C4" w:rsidP="00D312C4">
      <w:pPr>
        <w:spacing w:after="120"/>
        <w:rPr>
          <w:rFonts w:ascii="Times New Roman" w:hAnsi="Times New Roman" w:cs="Times New Roman"/>
          <w:sz w:val="24"/>
        </w:rPr>
      </w:pPr>
      <w:r w:rsidRPr="0086713D">
        <w:rPr>
          <w:rFonts w:ascii="Times New Roman" w:hAnsi="Times New Roman" w:cs="Times New Roman"/>
          <w:b/>
          <w:sz w:val="24"/>
        </w:rPr>
        <w:t>Vzor EU AE3 – Zdroje zaťaženosti</w:t>
      </w:r>
    </w:p>
    <w:p w14:paraId="1DB180B2" w14:textId="5B833059" w:rsidR="00D312C4" w:rsidRPr="0086713D" w:rsidRDefault="00A3389E" w:rsidP="00A3389E">
      <w:pPr>
        <w:pStyle w:val="Teksttreci50"/>
        <w:shd w:val="clear" w:color="auto" w:fill="auto"/>
        <w:tabs>
          <w:tab w:val="left" w:pos="815"/>
        </w:tabs>
        <w:spacing w:before="0" w:after="120" w:line="240" w:lineRule="auto"/>
        <w:ind w:left="860" w:right="20"/>
        <w:jc w:val="both"/>
        <w:rPr>
          <w:rFonts w:eastAsiaTheme="minorEastAsia"/>
          <w:spacing w:val="0"/>
          <w:sz w:val="24"/>
          <w:szCs w:val="24"/>
        </w:rPr>
      </w:pPr>
      <w:r w:rsidRPr="0086713D">
        <w:rPr>
          <w:rFonts w:eastAsia="Calibri"/>
          <w:color w:val="000000"/>
          <w:spacing w:val="0"/>
          <w:sz w:val="24"/>
          <w:szCs w:val="24"/>
        </w:rPr>
        <w:t>9.</w:t>
      </w:r>
      <w:r w:rsidRPr="0086713D">
        <w:rPr>
          <w:rFonts w:eastAsia="Calibri"/>
          <w:color w:val="000000"/>
          <w:spacing w:val="0"/>
          <w:sz w:val="24"/>
          <w:szCs w:val="24"/>
        </w:rPr>
        <w:tab/>
      </w:r>
      <w:r w:rsidR="00D312C4" w:rsidRPr="0086713D">
        <w:rPr>
          <w:spacing w:val="0"/>
          <w:sz w:val="24"/>
          <w:szCs w:val="24"/>
        </w:rPr>
        <w:t>Inštitúcie vypĺňajú vzor EU AE3, ktorý je uvedený</w:t>
      </w:r>
      <w:r w:rsidRPr="0086713D">
        <w:rPr>
          <w:spacing w:val="0"/>
          <w:sz w:val="24"/>
          <w:szCs w:val="24"/>
        </w:rPr>
        <w:t xml:space="preserve"> v </w:t>
      </w:r>
      <w:r w:rsidR="00D312C4" w:rsidRPr="0086713D">
        <w:rPr>
          <w:spacing w:val="0"/>
          <w:sz w:val="24"/>
          <w:szCs w:val="24"/>
        </w:rPr>
        <w:t>prílohe XXXV</w:t>
      </w:r>
      <w:r w:rsidRPr="0086713D">
        <w:rPr>
          <w:spacing w:val="0"/>
          <w:sz w:val="24"/>
          <w:szCs w:val="24"/>
        </w:rPr>
        <w:t xml:space="preserve"> k </w:t>
      </w:r>
      <w:r w:rsidR="00D312C4" w:rsidRPr="0086713D">
        <w:rPr>
          <w:spacing w:val="0"/>
          <w:sz w:val="24"/>
          <w:szCs w:val="24"/>
        </w:rPr>
        <w:t>tomuto vykonávaciemu nariadeniu, podľa nižšie uvedených pokynov.</w:t>
      </w:r>
    </w:p>
    <w:p w14:paraId="3DA2DCC5" w14:textId="77777777" w:rsidR="00D312C4" w:rsidRPr="0086713D" w:rsidRDefault="00D312C4" w:rsidP="00D312C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6713D"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42E9A24B" w:rsidR="00D312C4" w:rsidRPr="0086713D" w:rsidRDefault="00D312C4" w:rsidP="00155C96">
            <w:pPr>
              <w:spacing w:after="120"/>
              <w:rPr>
                <w:rFonts w:ascii="Times New Roman" w:hAnsi="Times New Roman" w:cs="Times New Roman"/>
                <w:b/>
                <w:sz w:val="24"/>
              </w:rPr>
            </w:pPr>
            <w:r w:rsidRPr="0086713D">
              <w:rPr>
                <w:rFonts w:ascii="Times New Roman" w:hAnsi="Times New Roman" w:cs="Times New Roman"/>
                <w:b/>
                <w:sz w:val="24"/>
              </w:rPr>
              <w:t>Odkazy na právne predpisy</w:t>
            </w:r>
            <w:r w:rsidR="00A3389E" w:rsidRPr="0086713D">
              <w:rPr>
                <w:rFonts w:ascii="Times New Roman" w:hAnsi="Times New Roman" w:cs="Times New Roman"/>
                <w:b/>
                <w:sz w:val="24"/>
              </w:rPr>
              <w:t xml:space="preserve"> a </w:t>
            </w:r>
            <w:r w:rsidRPr="0086713D">
              <w:rPr>
                <w:rFonts w:ascii="Times New Roman" w:hAnsi="Times New Roman" w:cs="Times New Roman"/>
                <w:b/>
                <w:sz w:val="24"/>
              </w:rPr>
              <w:t>pokyny</w:t>
            </w:r>
          </w:p>
        </w:tc>
      </w:tr>
      <w:tr w:rsidR="00D312C4" w:rsidRPr="0086713D" w14:paraId="4C3E238B" w14:textId="77777777" w:rsidTr="00155C96">
        <w:trPr>
          <w:trHeight w:val="704"/>
        </w:trPr>
        <w:tc>
          <w:tcPr>
            <w:tcW w:w="1384" w:type="dxa"/>
            <w:shd w:val="clear" w:color="auto" w:fill="D9D9D9" w:themeFill="background1" w:themeFillShade="D9"/>
          </w:tcPr>
          <w:p w14:paraId="22B9A32E"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Číslo riadku</w:t>
            </w:r>
          </w:p>
        </w:tc>
        <w:tc>
          <w:tcPr>
            <w:tcW w:w="7655" w:type="dxa"/>
            <w:shd w:val="clear" w:color="auto" w:fill="D9D9D9" w:themeFill="background1" w:themeFillShade="D9"/>
          </w:tcPr>
          <w:p w14:paraId="46B5EC7C" w14:textId="77777777" w:rsidR="00D312C4" w:rsidRPr="0086713D" w:rsidRDefault="00D312C4" w:rsidP="00155C96">
            <w:pPr>
              <w:autoSpaceDE w:val="0"/>
              <w:autoSpaceDN w:val="0"/>
              <w:adjustRightInd w:val="0"/>
              <w:spacing w:after="120"/>
              <w:rPr>
                <w:rFonts w:ascii="Times New Roman" w:hAnsi="Times New Roman" w:cs="Times New Roman"/>
                <w:color w:val="000000"/>
                <w:sz w:val="24"/>
              </w:rPr>
            </w:pPr>
            <w:r w:rsidRPr="0086713D">
              <w:rPr>
                <w:rFonts w:ascii="Times New Roman" w:hAnsi="Times New Roman" w:cs="Times New Roman"/>
                <w:b/>
                <w:sz w:val="24"/>
              </w:rPr>
              <w:t>Vysvetlenie</w:t>
            </w:r>
          </w:p>
        </w:tc>
      </w:tr>
      <w:tr w:rsidR="00D312C4" w:rsidRPr="0086713D" w14:paraId="6EA434DC" w14:textId="77777777" w:rsidTr="00253301">
        <w:trPr>
          <w:trHeight w:val="1226"/>
        </w:trPr>
        <w:tc>
          <w:tcPr>
            <w:tcW w:w="1384" w:type="dxa"/>
          </w:tcPr>
          <w:p w14:paraId="06E664D0" w14:textId="77777777" w:rsidR="00D312C4" w:rsidRPr="0086713D" w:rsidRDefault="00D312C4" w:rsidP="00155C96">
            <w:pPr>
              <w:pStyle w:val="Applicationdirecte"/>
              <w:spacing w:before="0"/>
            </w:pPr>
            <w:r w:rsidRPr="0086713D">
              <w:lastRenderedPageBreak/>
              <w:t>010</w:t>
            </w:r>
          </w:p>
        </w:tc>
        <w:tc>
          <w:tcPr>
            <w:tcW w:w="7655" w:type="dxa"/>
          </w:tcPr>
          <w:p w14:paraId="4FB646D2"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Účtovná hodnota vybraných finančných záväzkov</w:t>
            </w:r>
          </w:p>
          <w:p w14:paraId="1EC7B62A" w14:textId="77777777" w:rsidR="00D312C4" w:rsidRPr="0086713D" w:rsidRDefault="00D312C4" w:rsidP="00155C96">
            <w:pPr>
              <w:spacing w:after="120"/>
              <w:jc w:val="both"/>
              <w:rPr>
                <w:rFonts w:ascii="Times New Roman" w:hAnsi="Times New Roman" w:cs="Times New Roman"/>
                <w:b/>
                <w:sz w:val="24"/>
              </w:rPr>
            </w:pPr>
            <w:r w:rsidRPr="0086713D">
              <w:rPr>
                <w:rStyle w:val="InstructionsTabelleberschrift"/>
                <w:rFonts w:ascii="Times New Roman" w:hAnsi="Times New Roman"/>
                <w:b w:val="0"/>
                <w:sz w:val="24"/>
                <w:u w:val="none"/>
              </w:rPr>
              <w:t xml:space="preserve">Mediánová hodnota položky „účtovná hodnota vybraných finančných záväzkov“ inštitúcie, pokiaľ tieto záväzky pre danú inštitúciu predstavujú zaťaženosť aktív. </w:t>
            </w:r>
          </w:p>
        </w:tc>
      </w:tr>
    </w:tbl>
    <w:p w14:paraId="2C8CC054" w14:textId="77777777" w:rsidR="00D312C4" w:rsidRPr="0086713D" w:rsidRDefault="00D312C4" w:rsidP="00D312C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6713D" w14:paraId="5AC58C90" w14:textId="77777777" w:rsidTr="00155C96">
        <w:trPr>
          <w:trHeight w:val="238"/>
        </w:trPr>
        <w:tc>
          <w:tcPr>
            <w:tcW w:w="9039" w:type="dxa"/>
            <w:gridSpan w:val="2"/>
            <w:shd w:val="clear" w:color="auto" w:fill="D9D9D9" w:themeFill="background1" w:themeFillShade="D9"/>
          </w:tcPr>
          <w:p w14:paraId="2EBB1947" w14:textId="687E7F18"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Odkazy na právne predpisy</w:t>
            </w:r>
            <w:r w:rsidR="00A3389E" w:rsidRPr="0086713D">
              <w:rPr>
                <w:rFonts w:ascii="Times New Roman" w:hAnsi="Times New Roman" w:cs="Times New Roman"/>
                <w:b/>
                <w:sz w:val="24"/>
              </w:rPr>
              <w:t xml:space="preserve"> a </w:t>
            </w:r>
            <w:r w:rsidRPr="0086713D">
              <w:rPr>
                <w:rFonts w:ascii="Times New Roman" w:hAnsi="Times New Roman" w:cs="Times New Roman"/>
                <w:b/>
                <w:sz w:val="24"/>
              </w:rPr>
              <w:t>pokyny</w:t>
            </w:r>
          </w:p>
        </w:tc>
      </w:tr>
      <w:tr w:rsidR="00D312C4" w:rsidRPr="0086713D" w14:paraId="5EF84857" w14:textId="77777777" w:rsidTr="00155C96">
        <w:trPr>
          <w:trHeight w:val="238"/>
        </w:trPr>
        <w:tc>
          <w:tcPr>
            <w:tcW w:w="1384" w:type="dxa"/>
            <w:shd w:val="clear" w:color="auto" w:fill="D9D9D9" w:themeFill="background1" w:themeFillShade="D9"/>
          </w:tcPr>
          <w:p w14:paraId="67AE4CFF"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Číslo stĺpca</w:t>
            </w:r>
          </w:p>
        </w:tc>
        <w:tc>
          <w:tcPr>
            <w:tcW w:w="7655" w:type="dxa"/>
            <w:shd w:val="clear" w:color="auto" w:fill="D9D9D9" w:themeFill="background1" w:themeFillShade="D9"/>
          </w:tcPr>
          <w:p w14:paraId="24CCC6ED"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Vysvetlenie</w:t>
            </w:r>
          </w:p>
        </w:tc>
      </w:tr>
      <w:tr w:rsidR="00D312C4" w:rsidRPr="0086713D" w14:paraId="1F6DE328" w14:textId="77777777" w:rsidTr="00155C96">
        <w:trPr>
          <w:trHeight w:val="841"/>
        </w:trPr>
        <w:tc>
          <w:tcPr>
            <w:tcW w:w="1384" w:type="dxa"/>
          </w:tcPr>
          <w:p w14:paraId="75FC0E10" w14:textId="77777777" w:rsidR="00D312C4" w:rsidRPr="0086713D" w:rsidRDefault="00D312C4" w:rsidP="00155C96">
            <w:pPr>
              <w:pStyle w:val="Applicationdirecte"/>
              <w:spacing w:before="0"/>
            </w:pPr>
            <w:r w:rsidRPr="0086713D">
              <w:t>010</w:t>
            </w:r>
          </w:p>
        </w:tc>
        <w:tc>
          <w:tcPr>
            <w:tcW w:w="7655" w:type="dxa"/>
          </w:tcPr>
          <w:p w14:paraId="61B4818F" w14:textId="77777777"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Zodpovedajúce záväzky, podmienené záväzky alebo požičané cenné papiere</w:t>
            </w:r>
          </w:p>
          <w:p w14:paraId="7C9E56FE" w14:textId="16A2A0FF" w:rsidR="00A3389E" w:rsidRPr="0086713D" w:rsidRDefault="00D312C4" w:rsidP="00155C96">
            <w:pPr>
              <w:pStyle w:val="Teksttreci0"/>
              <w:shd w:val="clear" w:color="auto" w:fill="auto"/>
              <w:spacing w:after="120" w:line="240" w:lineRule="auto"/>
              <w:ind w:firstLine="0"/>
              <w:rPr>
                <w:rStyle w:val="TeksttreciTimesNewRoman105ptOdstpy0pt"/>
                <w:rFonts w:eastAsia="Book Antiqua"/>
                <w:spacing w:val="0"/>
                <w:sz w:val="24"/>
                <w:szCs w:val="24"/>
              </w:rPr>
            </w:pPr>
            <w:r w:rsidRPr="0086713D">
              <w:rPr>
                <w:rStyle w:val="TeksttreciTimesNewRoman105ptOdstpy0pt"/>
                <w:rFonts w:eastAsia="Book Antiqua"/>
                <w:spacing w:val="0"/>
                <w:sz w:val="24"/>
                <w:szCs w:val="24"/>
              </w:rPr>
              <w:t>Mediánové hodnoty zodpovedajúcich záväzkov, podmienených záväzkov (prijatých úverových prísľubov</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prijatých finančných záruk) alebo požičaných cenných papierov</w:t>
            </w:r>
            <w:r w:rsidR="00A3389E" w:rsidRPr="0086713D">
              <w:rPr>
                <w:rStyle w:val="TeksttreciTimesNewRoman105ptOdstpy0pt"/>
                <w:rFonts w:eastAsia="Book Antiqua"/>
                <w:spacing w:val="0"/>
                <w:sz w:val="24"/>
                <w:szCs w:val="24"/>
              </w:rPr>
              <w:t xml:space="preserve"> s </w:t>
            </w:r>
            <w:r w:rsidRPr="0086713D">
              <w:rPr>
                <w:rStyle w:val="TeksttreciTimesNewRoman105ptOdstpy0pt"/>
                <w:rFonts w:eastAsia="Book Antiqua"/>
                <w:spacing w:val="0"/>
                <w:sz w:val="24"/>
                <w:szCs w:val="24"/>
              </w:rPr>
              <w:t>nepeňažným kolaterálom, pokiaľ tieto transakcie pre danú inštitúciu predstavujú zaťaženosť aktív</w:t>
            </w:r>
            <w:r w:rsidR="00A3389E" w:rsidRPr="0086713D">
              <w:rPr>
                <w:rStyle w:val="TeksttreciTimesNewRoman105ptOdstpy0pt"/>
                <w:rFonts w:eastAsia="Book Antiqua"/>
                <w:spacing w:val="0"/>
                <w:sz w:val="24"/>
                <w:szCs w:val="24"/>
              </w:rPr>
              <w:t>.</w:t>
            </w:r>
          </w:p>
          <w:p w14:paraId="7812391E" w14:textId="41E50328" w:rsidR="00A3389E" w:rsidRPr="0086713D" w:rsidRDefault="00D312C4" w:rsidP="00155C96">
            <w:pPr>
              <w:pStyle w:val="Teksttreci0"/>
              <w:shd w:val="clear" w:color="auto" w:fill="auto"/>
              <w:spacing w:after="120" w:line="240" w:lineRule="auto"/>
              <w:ind w:firstLine="0"/>
              <w:rPr>
                <w:rStyle w:val="TeksttreciTimesNewRoman105ptOdstpy0pt"/>
                <w:rFonts w:eastAsia="Book Antiqua"/>
                <w:spacing w:val="0"/>
                <w:sz w:val="24"/>
                <w:szCs w:val="24"/>
              </w:rPr>
            </w:pPr>
            <w:r w:rsidRPr="0086713D">
              <w:rPr>
                <w:rStyle w:val="TeksttreciTimesNewRoman105ptOdstpy0pt"/>
                <w:rFonts w:eastAsia="Book Antiqua"/>
                <w:spacing w:val="0"/>
                <w:sz w:val="24"/>
                <w:szCs w:val="24"/>
              </w:rPr>
              <w:t>Pri finančných záväzkoch sa zverejňuje ich účtovná hodnota; pri podmienených záväzkoch sa zverejňuje ich nominálna hodnota;</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pri požičaných cenných papieroch</w:t>
            </w:r>
            <w:r w:rsidR="00A3389E" w:rsidRPr="0086713D">
              <w:rPr>
                <w:rStyle w:val="TeksttreciTimesNewRoman105ptOdstpy0pt"/>
                <w:rFonts w:eastAsia="Book Antiqua"/>
                <w:spacing w:val="0"/>
                <w:sz w:val="24"/>
                <w:szCs w:val="24"/>
              </w:rPr>
              <w:t xml:space="preserve"> s </w:t>
            </w:r>
            <w:r w:rsidRPr="0086713D">
              <w:rPr>
                <w:rStyle w:val="TeksttreciTimesNewRoman105ptOdstpy0pt"/>
                <w:rFonts w:eastAsia="Book Antiqua"/>
                <w:spacing w:val="0"/>
                <w:sz w:val="24"/>
                <w:szCs w:val="24"/>
              </w:rPr>
              <w:t>nepeňažným kolaterálom sa zverejňuje ich reálna hodnota</w:t>
            </w:r>
            <w:r w:rsidR="00A3389E" w:rsidRPr="0086713D">
              <w:rPr>
                <w:rStyle w:val="TeksttreciTimesNewRoman105ptOdstpy0pt"/>
                <w:rFonts w:eastAsia="Book Antiqua"/>
                <w:spacing w:val="0"/>
                <w:sz w:val="24"/>
                <w:szCs w:val="24"/>
              </w:rPr>
              <w:t>.</w:t>
            </w:r>
          </w:p>
          <w:p w14:paraId="09386094" w14:textId="617C493B"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TeksttreciTimesNewRoman105ptOdstpy0pt"/>
                <w:rFonts w:eastAsia="Book Antiqua"/>
                <w:spacing w:val="0"/>
                <w:sz w:val="24"/>
                <w:szCs w:val="24"/>
              </w:rPr>
              <w:t>Zverejňovanou reálnou hodnotou je mediánová hodnota jednotlivých reálnych hodnôt pozorovaných na konci každého obdobia zverejňovania zohľadneného pri výpočte mediánu.</w:t>
            </w:r>
          </w:p>
          <w:p w14:paraId="52DDBB79" w14:textId="77777777" w:rsidR="00D312C4" w:rsidRPr="0086713D" w:rsidRDefault="00D312C4" w:rsidP="00155C96">
            <w:pPr>
              <w:pStyle w:val="Fait"/>
              <w:spacing w:before="0" w:after="120"/>
            </w:pPr>
            <w:r w:rsidRPr="0086713D">
              <w:rPr>
                <w:rStyle w:val="TeksttreciTimesNewRoman105ptOdstpy0pt"/>
                <w:spacing w:val="0"/>
                <w:sz w:val="24"/>
                <w:szCs w:val="24"/>
              </w:rPr>
              <w:t>Zahŕňajú sa záväzky bez akéhokoľvek súvisiaceho financovania, ako sú deriváty.</w:t>
            </w:r>
          </w:p>
        </w:tc>
      </w:tr>
      <w:tr w:rsidR="00D312C4" w:rsidRPr="0086713D" w14:paraId="0E0C266B" w14:textId="77777777" w:rsidTr="00155C96">
        <w:trPr>
          <w:trHeight w:val="841"/>
        </w:trPr>
        <w:tc>
          <w:tcPr>
            <w:tcW w:w="1384" w:type="dxa"/>
          </w:tcPr>
          <w:p w14:paraId="55B032F9" w14:textId="77777777" w:rsidR="00D312C4" w:rsidRPr="0086713D" w:rsidRDefault="00D312C4" w:rsidP="00155C96">
            <w:pPr>
              <w:pStyle w:val="Applicationdirecte"/>
              <w:spacing w:before="0"/>
            </w:pPr>
            <w:r w:rsidRPr="0086713D">
              <w:t>030</w:t>
            </w:r>
          </w:p>
        </w:tc>
        <w:tc>
          <w:tcPr>
            <w:tcW w:w="7655" w:type="dxa"/>
          </w:tcPr>
          <w:p w14:paraId="63A05232" w14:textId="2FF9E94E"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PogrubienieTeksttreciTimesNewRoman105ptOdstpy0pt"/>
                <w:rFonts w:eastAsia="Book Antiqua"/>
                <w:spacing w:val="0"/>
                <w:sz w:val="24"/>
                <w:szCs w:val="24"/>
              </w:rPr>
              <w:t>Aktíva, prijatý kolaterál</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emitované vlastné cenné papiere iné než zaťažené kryté dlhopisy</w:t>
            </w:r>
            <w:r w:rsidR="00A3389E" w:rsidRPr="0086713D">
              <w:rPr>
                <w:rStyle w:val="PogrubienieTeksttreciTimesNewRoman105ptOdstpy0pt"/>
                <w:rFonts w:eastAsia="Book Antiqua"/>
                <w:spacing w:val="0"/>
                <w:sz w:val="24"/>
                <w:szCs w:val="24"/>
              </w:rPr>
              <w:t xml:space="preserve"> a </w:t>
            </w:r>
            <w:r w:rsidRPr="0086713D">
              <w:rPr>
                <w:rStyle w:val="PogrubienieTeksttreciTimesNewRoman105ptOdstpy0pt"/>
                <w:rFonts w:eastAsia="Book Antiqua"/>
                <w:spacing w:val="0"/>
                <w:sz w:val="24"/>
                <w:szCs w:val="24"/>
              </w:rPr>
              <w:t>sekuritizácie</w:t>
            </w:r>
          </w:p>
          <w:p w14:paraId="187E3CE8" w14:textId="3FA8661D"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TeksttreciTimesNewRoman105ptOdstpy0pt"/>
                <w:rFonts w:eastAsia="Book Antiqua"/>
                <w:spacing w:val="0"/>
                <w:sz w:val="24"/>
                <w:szCs w:val="24"/>
              </w:rPr>
              <w:t>Hodnota aktív, prijatého kolaterálu</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emitovaných vlastných cenných papierov iných než kryté dlhopisy</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sekuritizácie, ktoré sú zaťažené</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dôsledku jednotlivých druhov transakcií, ktoré sa tu zverejňujú.</w:t>
            </w:r>
          </w:p>
          <w:p w14:paraId="3DF3439C" w14:textId="3C5824AA" w:rsidR="00D312C4" w:rsidRPr="0086713D" w:rsidRDefault="00D312C4" w:rsidP="00155C96">
            <w:pPr>
              <w:pStyle w:val="Teksttreci0"/>
              <w:shd w:val="clear" w:color="auto" w:fill="auto"/>
              <w:spacing w:after="120" w:line="240" w:lineRule="auto"/>
              <w:ind w:firstLine="0"/>
              <w:rPr>
                <w:rFonts w:ascii="Times New Roman" w:hAnsi="Times New Roman" w:cs="Times New Roman"/>
                <w:sz w:val="24"/>
                <w:szCs w:val="24"/>
              </w:rPr>
            </w:pPr>
            <w:r w:rsidRPr="0086713D">
              <w:rPr>
                <w:rStyle w:val="TeksttreciTimesNewRoman105ptOdstpy0pt"/>
                <w:rFonts w:eastAsia="Book Antiqua"/>
                <w:spacing w:val="0"/>
                <w:sz w:val="24"/>
                <w:szCs w:val="24"/>
              </w:rPr>
              <w:t>S cieľom zabezpečiť súlad</w:t>
            </w:r>
            <w:r w:rsidR="00A3389E" w:rsidRPr="0086713D">
              <w:rPr>
                <w:rStyle w:val="TeksttreciTimesNewRoman105ptOdstpy0pt"/>
                <w:rFonts w:eastAsia="Book Antiqua"/>
                <w:spacing w:val="0"/>
                <w:sz w:val="24"/>
                <w:szCs w:val="24"/>
              </w:rPr>
              <w:t xml:space="preserve"> s </w:t>
            </w:r>
            <w:r w:rsidRPr="0086713D">
              <w:rPr>
                <w:rStyle w:val="TeksttreciTimesNewRoman105ptOdstpy0pt"/>
                <w:rFonts w:eastAsia="Book Antiqua"/>
                <w:spacing w:val="0"/>
                <w:sz w:val="24"/>
                <w:szCs w:val="24"/>
              </w:rPr>
              <w:t>kritériami vo vzoroch EU AE1</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EU AE2 sa pri aktívach inštitúcie evidovaných</w:t>
            </w:r>
            <w:r w:rsidR="00A3389E" w:rsidRPr="0086713D">
              <w:rPr>
                <w:rStyle w:val="TeksttreciTimesNewRoman105ptOdstpy0pt"/>
                <w:rFonts w:eastAsia="Book Antiqua"/>
                <w:spacing w:val="0"/>
                <w:sz w:val="24"/>
                <w:szCs w:val="24"/>
              </w:rPr>
              <w:t xml:space="preserve"> v </w:t>
            </w:r>
            <w:r w:rsidRPr="0086713D">
              <w:rPr>
                <w:rStyle w:val="TeksttreciTimesNewRoman105ptOdstpy0pt"/>
                <w:rFonts w:eastAsia="Book Antiqua"/>
                <w:spacing w:val="0"/>
                <w:sz w:val="24"/>
                <w:szCs w:val="24"/>
              </w:rPr>
              <w:t>súvahe zverejňuje mediánová hodnota ich účtovnej hodnoty, zatiaľ čo pri opätovne použitom prijatom kolaterále</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zaťažených emitovaných vlastných cenných papieroch iných než kryté dlhopisy</w:t>
            </w:r>
            <w:r w:rsidR="00A3389E" w:rsidRPr="0086713D">
              <w:rPr>
                <w:rStyle w:val="TeksttreciTimesNewRoman105ptOdstpy0pt"/>
                <w:rFonts w:eastAsia="Book Antiqua"/>
                <w:spacing w:val="0"/>
                <w:sz w:val="24"/>
                <w:szCs w:val="24"/>
              </w:rPr>
              <w:t xml:space="preserve"> a </w:t>
            </w:r>
            <w:r w:rsidRPr="0086713D">
              <w:rPr>
                <w:rStyle w:val="TeksttreciTimesNewRoman105ptOdstpy0pt"/>
                <w:rFonts w:eastAsia="Book Antiqua"/>
                <w:spacing w:val="0"/>
                <w:sz w:val="24"/>
                <w:szCs w:val="24"/>
              </w:rPr>
              <w:t>sekuritizácie sa zverejňuje mediánová hodnota ich reálnej hodnoty. Zverejňovanou reálnou hodnotou je mediánová hodnota jednotlivých reálnych hodnôt pozorovaných na konci každého obdobia zverejňovania zohľadneného pri výpočte mediánu.</w:t>
            </w:r>
          </w:p>
          <w:p w14:paraId="38757B68" w14:textId="77777777" w:rsidR="00D312C4" w:rsidRPr="0086713D" w:rsidRDefault="00D312C4" w:rsidP="00155C96">
            <w:pPr>
              <w:autoSpaceDE w:val="0"/>
              <w:autoSpaceDN w:val="0"/>
              <w:adjustRightInd w:val="0"/>
              <w:spacing w:after="120"/>
              <w:jc w:val="both"/>
              <w:rPr>
                <w:rFonts w:ascii="Times New Roman" w:hAnsi="Times New Roman" w:cs="Times New Roman"/>
                <w:b/>
                <w:sz w:val="24"/>
              </w:rPr>
            </w:pPr>
            <w:r w:rsidRPr="0086713D">
              <w:rPr>
                <w:rStyle w:val="TeksttreciTimesNewRoman105ptOdstpy0pt"/>
                <w:rFonts w:eastAsiaTheme="minorEastAsia"/>
                <w:spacing w:val="0"/>
                <w:sz w:val="24"/>
                <w:szCs w:val="24"/>
              </w:rPr>
              <w:t>Zahŕňajú sa aj zaťažené aktíva bez zodpovedajúcich záväzkov.</w:t>
            </w:r>
          </w:p>
        </w:tc>
      </w:tr>
    </w:tbl>
    <w:p w14:paraId="032A7DFD" w14:textId="77777777" w:rsidR="00D312C4" w:rsidRPr="0086713D" w:rsidRDefault="00D312C4" w:rsidP="00D312C4">
      <w:pPr>
        <w:spacing w:after="120"/>
        <w:rPr>
          <w:rFonts w:ascii="Times New Roman" w:hAnsi="Times New Roman" w:cs="Times New Roman"/>
          <w:sz w:val="24"/>
        </w:rPr>
      </w:pPr>
    </w:p>
    <w:p w14:paraId="102FFF59" w14:textId="77777777" w:rsidR="00D312C4" w:rsidRPr="0086713D" w:rsidRDefault="00D312C4" w:rsidP="00D312C4">
      <w:pPr>
        <w:pStyle w:val="Teksttreci50"/>
        <w:shd w:val="clear" w:color="auto" w:fill="auto"/>
        <w:tabs>
          <w:tab w:val="left" w:pos="815"/>
        </w:tabs>
        <w:spacing w:before="0" w:after="120" w:line="240" w:lineRule="auto"/>
        <w:ind w:right="20" w:firstLine="0"/>
        <w:jc w:val="both"/>
        <w:rPr>
          <w:spacing w:val="0"/>
          <w:sz w:val="24"/>
          <w:szCs w:val="24"/>
        </w:rPr>
      </w:pPr>
      <w:r w:rsidRPr="0086713D">
        <w:rPr>
          <w:b/>
          <w:spacing w:val="0"/>
          <w:sz w:val="24"/>
          <w:szCs w:val="24"/>
        </w:rPr>
        <w:t>Tabuľka EU AE4 – Sprievodné opisné informácie</w:t>
      </w:r>
    </w:p>
    <w:p w14:paraId="1C63A1CC" w14:textId="103E6D7B" w:rsidR="00D312C4" w:rsidRPr="0086713D" w:rsidRDefault="00A3389E" w:rsidP="00A3389E">
      <w:pPr>
        <w:pStyle w:val="Teksttreci50"/>
        <w:shd w:val="clear" w:color="auto" w:fill="auto"/>
        <w:tabs>
          <w:tab w:val="left" w:pos="815"/>
        </w:tabs>
        <w:spacing w:before="0" w:after="120" w:line="240" w:lineRule="auto"/>
        <w:ind w:left="860" w:right="20"/>
        <w:jc w:val="both"/>
        <w:rPr>
          <w:rFonts w:eastAsiaTheme="minorEastAsia"/>
          <w:spacing w:val="0"/>
          <w:sz w:val="24"/>
          <w:szCs w:val="24"/>
        </w:rPr>
      </w:pPr>
      <w:r w:rsidRPr="0086713D">
        <w:rPr>
          <w:rFonts w:eastAsia="Calibri"/>
          <w:color w:val="000000"/>
          <w:spacing w:val="0"/>
          <w:sz w:val="24"/>
          <w:szCs w:val="24"/>
        </w:rPr>
        <w:t>10.</w:t>
      </w:r>
      <w:r w:rsidRPr="0086713D">
        <w:rPr>
          <w:rFonts w:eastAsia="Calibri"/>
          <w:color w:val="000000"/>
          <w:spacing w:val="0"/>
          <w:sz w:val="24"/>
          <w:szCs w:val="24"/>
        </w:rPr>
        <w:tab/>
      </w:r>
      <w:r w:rsidR="00D312C4" w:rsidRPr="0086713D">
        <w:rPr>
          <w:spacing w:val="0"/>
          <w:sz w:val="24"/>
          <w:szCs w:val="24"/>
        </w:rPr>
        <w:t>Inštitúcie vypĺňajú tabuľku EU AE4, ktorá je uvedená</w:t>
      </w:r>
      <w:r w:rsidRPr="0086713D">
        <w:rPr>
          <w:spacing w:val="0"/>
          <w:sz w:val="24"/>
          <w:szCs w:val="24"/>
        </w:rPr>
        <w:t xml:space="preserve"> v </w:t>
      </w:r>
      <w:r w:rsidR="00D312C4" w:rsidRPr="0086713D">
        <w:rPr>
          <w:spacing w:val="0"/>
          <w:sz w:val="24"/>
          <w:szCs w:val="24"/>
        </w:rPr>
        <w:t>prílohe XXXV</w:t>
      </w:r>
      <w:r w:rsidRPr="0086713D">
        <w:rPr>
          <w:spacing w:val="0"/>
          <w:sz w:val="24"/>
          <w:szCs w:val="24"/>
        </w:rPr>
        <w:t xml:space="preserve"> k </w:t>
      </w:r>
      <w:r w:rsidR="00D312C4" w:rsidRPr="0086713D">
        <w:rPr>
          <w:spacing w:val="0"/>
          <w:sz w:val="24"/>
          <w:szCs w:val="24"/>
        </w:rPr>
        <w:t>tomuto vykonávaciemu nariadeniu, podľa nižšie uvedených pokynov.</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86713D"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9215F21" w:rsidR="00D312C4" w:rsidRPr="0086713D" w:rsidRDefault="00D312C4" w:rsidP="00155C96">
            <w:pPr>
              <w:spacing w:after="120"/>
              <w:rPr>
                <w:rFonts w:ascii="Times New Roman" w:hAnsi="Times New Roman" w:cs="Times New Roman"/>
                <w:b/>
                <w:sz w:val="24"/>
              </w:rPr>
            </w:pPr>
            <w:r w:rsidRPr="0086713D">
              <w:rPr>
                <w:rFonts w:ascii="Times New Roman" w:hAnsi="Times New Roman" w:cs="Times New Roman"/>
                <w:b/>
                <w:sz w:val="24"/>
              </w:rPr>
              <w:lastRenderedPageBreak/>
              <w:t>Odkazy na právne predpisy</w:t>
            </w:r>
            <w:r w:rsidR="00A3389E" w:rsidRPr="0086713D">
              <w:rPr>
                <w:rFonts w:ascii="Times New Roman" w:hAnsi="Times New Roman" w:cs="Times New Roman"/>
                <w:b/>
                <w:sz w:val="24"/>
              </w:rPr>
              <w:t xml:space="preserve"> a </w:t>
            </w:r>
            <w:r w:rsidRPr="0086713D">
              <w:rPr>
                <w:rFonts w:ascii="Times New Roman" w:hAnsi="Times New Roman" w:cs="Times New Roman"/>
                <w:b/>
                <w:sz w:val="24"/>
              </w:rPr>
              <w:t>pokyny</w:t>
            </w:r>
          </w:p>
        </w:tc>
      </w:tr>
      <w:tr w:rsidR="00D312C4" w:rsidRPr="0086713D" w14:paraId="3C66CFAD" w14:textId="77777777" w:rsidTr="00155C96">
        <w:trPr>
          <w:trHeight w:val="238"/>
        </w:trPr>
        <w:tc>
          <w:tcPr>
            <w:tcW w:w="1384" w:type="dxa"/>
            <w:shd w:val="clear" w:color="auto" w:fill="D9D9D9" w:themeFill="background1" w:themeFillShade="D9"/>
          </w:tcPr>
          <w:p w14:paraId="3F5D4245" w14:textId="77777777" w:rsidR="00D312C4" w:rsidRPr="0086713D" w:rsidRDefault="00D312C4" w:rsidP="00155C96">
            <w:pPr>
              <w:autoSpaceDE w:val="0"/>
              <w:autoSpaceDN w:val="0"/>
              <w:adjustRightInd w:val="0"/>
              <w:spacing w:after="120"/>
              <w:rPr>
                <w:rFonts w:ascii="Times New Roman" w:hAnsi="Times New Roman" w:cs="Times New Roman"/>
                <w:b/>
                <w:sz w:val="24"/>
              </w:rPr>
            </w:pPr>
            <w:r w:rsidRPr="0086713D">
              <w:rPr>
                <w:rFonts w:ascii="Times New Roman" w:hAnsi="Times New Roman" w:cs="Times New Roman"/>
                <w:b/>
                <w:sz w:val="24"/>
              </w:rPr>
              <w:t>Číslo riadku</w:t>
            </w:r>
          </w:p>
        </w:tc>
        <w:tc>
          <w:tcPr>
            <w:tcW w:w="7655" w:type="dxa"/>
            <w:shd w:val="clear" w:color="auto" w:fill="D9D9D9" w:themeFill="background1" w:themeFillShade="D9"/>
          </w:tcPr>
          <w:p w14:paraId="77C42FB3" w14:textId="77777777" w:rsidR="00D312C4" w:rsidRPr="0086713D" w:rsidRDefault="00D312C4" w:rsidP="00155C96">
            <w:pPr>
              <w:autoSpaceDE w:val="0"/>
              <w:autoSpaceDN w:val="0"/>
              <w:adjustRightInd w:val="0"/>
              <w:spacing w:after="120"/>
              <w:rPr>
                <w:rFonts w:ascii="Times New Roman" w:hAnsi="Times New Roman" w:cs="Times New Roman"/>
                <w:color w:val="000000"/>
                <w:sz w:val="24"/>
              </w:rPr>
            </w:pPr>
            <w:r w:rsidRPr="0086713D">
              <w:rPr>
                <w:rFonts w:ascii="Times New Roman" w:hAnsi="Times New Roman" w:cs="Times New Roman"/>
                <w:b/>
                <w:sz w:val="24"/>
              </w:rPr>
              <w:t>Vysvetlenie</w:t>
            </w:r>
          </w:p>
        </w:tc>
      </w:tr>
      <w:tr w:rsidR="00D312C4" w:rsidRPr="0086713D" w14:paraId="57F4C3E7" w14:textId="77777777" w:rsidTr="00155C96">
        <w:trPr>
          <w:trHeight w:val="1803"/>
        </w:trPr>
        <w:tc>
          <w:tcPr>
            <w:tcW w:w="1384" w:type="dxa"/>
          </w:tcPr>
          <w:p w14:paraId="4F39FE2F" w14:textId="77777777" w:rsidR="00D312C4" w:rsidRPr="0086713D" w:rsidRDefault="00D312C4" w:rsidP="00155C96">
            <w:pPr>
              <w:pStyle w:val="Applicationdirecte"/>
              <w:spacing w:before="0"/>
            </w:pPr>
            <w:r w:rsidRPr="0086713D">
              <w:t>a</w:t>
            </w:r>
          </w:p>
        </w:tc>
        <w:tc>
          <w:tcPr>
            <w:tcW w:w="7655" w:type="dxa"/>
          </w:tcPr>
          <w:p w14:paraId="7ED91ED9" w14:textId="336711DC" w:rsidR="00D312C4" w:rsidRPr="0086713D" w:rsidRDefault="00D312C4" w:rsidP="00155C96">
            <w:pPr>
              <w:pStyle w:val="Teksttreci50"/>
              <w:shd w:val="clear" w:color="auto" w:fill="auto"/>
              <w:tabs>
                <w:tab w:val="left" w:pos="343"/>
              </w:tabs>
              <w:spacing w:before="0" w:after="120" w:line="240" w:lineRule="auto"/>
              <w:ind w:firstLine="0"/>
              <w:jc w:val="both"/>
              <w:rPr>
                <w:spacing w:val="0"/>
                <w:sz w:val="24"/>
                <w:szCs w:val="24"/>
              </w:rPr>
            </w:pPr>
            <w:r w:rsidRPr="0086713D">
              <w:rPr>
                <w:spacing w:val="0"/>
                <w:sz w:val="24"/>
                <w:szCs w:val="24"/>
              </w:rPr>
              <w:t>Všeobecné opisné informácie</w:t>
            </w:r>
            <w:r w:rsidR="00A3389E" w:rsidRPr="0086713D">
              <w:rPr>
                <w:spacing w:val="0"/>
                <w:sz w:val="24"/>
                <w:szCs w:val="24"/>
              </w:rPr>
              <w:t xml:space="preserve"> o </w:t>
            </w:r>
            <w:r w:rsidRPr="0086713D">
              <w:rPr>
                <w:spacing w:val="0"/>
                <w:sz w:val="24"/>
                <w:szCs w:val="24"/>
              </w:rPr>
              <w:t>zaťaženosti aktív vrátane:</w:t>
            </w:r>
          </w:p>
          <w:p w14:paraId="6A815980" w14:textId="3F3434F9"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a)</w:t>
            </w:r>
            <w:r w:rsidR="00A3389E" w:rsidRPr="0086713D">
              <w:rPr>
                <w:color w:val="000000"/>
                <w:spacing w:val="0"/>
                <w:sz w:val="24"/>
                <w:szCs w:val="24"/>
              </w:rPr>
              <w:tab/>
            </w:r>
            <w:r w:rsidR="00D312C4" w:rsidRPr="0086713D">
              <w:rPr>
                <w:spacing w:val="0"/>
                <w:sz w:val="24"/>
                <w:szCs w:val="24"/>
              </w:rPr>
              <w:t>vysvetlenia prípadného rozdielu medzi regulačným rozsahom konsolidácie použitým na účely zverejňovania informácií</w:t>
            </w:r>
            <w:r w:rsidR="00A3389E" w:rsidRPr="0086713D">
              <w:rPr>
                <w:spacing w:val="0"/>
                <w:sz w:val="24"/>
                <w:szCs w:val="24"/>
              </w:rPr>
              <w:t xml:space="preserve"> o </w:t>
            </w:r>
            <w:r w:rsidR="00D312C4" w:rsidRPr="0086713D">
              <w:rPr>
                <w:spacing w:val="0"/>
                <w:sz w:val="24"/>
                <w:szCs w:val="24"/>
              </w:rPr>
              <w:t>zaťaženosti aktív</w:t>
            </w:r>
            <w:r w:rsidR="00A3389E" w:rsidRPr="0086713D">
              <w:rPr>
                <w:spacing w:val="0"/>
                <w:sz w:val="24"/>
                <w:szCs w:val="24"/>
              </w:rPr>
              <w:t xml:space="preserve"> a </w:t>
            </w:r>
            <w:r w:rsidR="00D312C4" w:rsidRPr="0086713D">
              <w:rPr>
                <w:spacing w:val="0"/>
                <w:sz w:val="24"/>
                <w:szCs w:val="24"/>
              </w:rPr>
              <w:t>rozsahom ponechaným na uplatňovanie požiadaviek na likviditu na konsolidovanom základe</w:t>
            </w:r>
            <w:r w:rsidR="00A3389E" w:rsidRPr="0086713D">
              <w:rPr>
                <w:spacing w:val="0"/>
                <w:sz w:val="24"/>
                <w:szCs w:val="24"/>
              </w:rPr>
              <w:t xml:space="preserve"> v </w:t>
            </w:r>
            <w:r w:rsidR="00D312C4" w:rsidRPr="0086713D">
              <w:rPr>
                <w:spacing w:val="0"/>
                <w:sz w:val="24"/>
                <w:szCs w:val="24"/>
              </w:rPr>
              <w:t>zmysle vymedzenia</w:t>
            </w:r>
            <w:r w:rsidR="00A3389E" w:rsidRPr="0086713D">
              <w:rPr>
                <w:spacing w:val="0"/>
                <w:sz w:val="24"/>
                <w:szCs w:val="24"/>
              </w:rPr>
              <w:t xml:space="preserve"> v </w:t>
            </w:r>
            <w:r w:rsidR="00D312C4" w:rsidRPr="0086713D">
              <w:rPr>
                <w:spacing w:val="0"/>
                <w:sz w:val="24"/>
                <w:szCs w:val="24"/>
              </w:rPr>
              <w:t>druhej časti hlave I kapitole 2 CRR, ktorý sa používa na vymedzenie prípustnosti (E)HQLA;</w:t>
            </w:r>
          </w:p>
          <w:p w14:paraId="7F536846" w14:textId="6B350427"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b)</w:t>
            </w:r>
            <w:r w:rsidR="00A3389E" w:rsidRPr="0086713D">
              <w:rPr>
                <w:color w:val="000000"/>
                <w:spacing w:val="0"/>
                <w:sz w:val="24"/>
                <w:szCs w:val="24"/>
              </w:rPr>
              <w:tab/>
            </w:r>
            <w:r w:rsidR="00D312C4" w:rsidRPr="0086713D">
              <w:rPr>
                <w:spacing w:val="0"/>
                <w:sz w:val="24"/>
                <w:szCs w:val="24"/>
              </w:rPr>
              <w:t>vysvetlenia prípadného rozdielu medzi založenými</w:t>
            </w:r>
            <w:r w:rsidR="00A3389E" w:rsidRPr="0086713D">
              <w:rPr>
                <w:spacing w:val="0"/>
                <w:sz w:val="24"/>
                <w:szCs w:val="24"/>
              </w:rPr>
              <w:t xml:space="preserve"> a </w:t>
            </w:r>
            <w:r w:rsidR="00D312C4" w:rsidRPr="0086713D">
              <w:rPr>
                <w:spacing w:val="0"/>
                <w:sz w:val="24"/>
                <w:szCs w:val="24"/>
              </w:rPr>
              <w:t>prevedenými aktívami</w:t>
            </w:r>
            <w:r w:rsidR="00A3389E" w:rsidRPr="0086713D">
              <w:rPr>
                <w:spacing w:val="0"/>
                <w:sz w:val="24"/>
                <w:szCs w:val="24"/>
              </w:rPr>
              <w:t xml:space="preserve"> v </w:t>
            </w:r>
            <w:r w:rsidR="00D312C4" w:rsidRPr="0086713D">
              <w:rPr>
                <w:spacing w:val="0"/>
                <w:sz w:val="24"/>
                <w:szCs w:val="24"/>
              </w:rPr>
              <w:t>súlade</w:t>
            </w:r>
            <w:r w:rsidR="00A3389E" w:rsidRPr="0086713D">
              <w:rPr>
                <w:spacing w:val="0"/>
                <w:sz w:val="24"/>
                <w:szCs w:val="24"/>
              </w:rPr>
              <w:t xml:space="preserve"> s </w:t>
            </w:r>
            <w:r w:rsidR="00D312C4" w:rsidRPr="0086713D">
              <w:rPr>
                <w:spacing w:val="0"/>
                <w:sz w:val="24"/>
                <w:szCs w:val="24"/>
              </w:rPr>
              <w:t>uplatniteľnými účtovnými rámcami</w:t>
            </w:r>
            <w:r w:rsidR="00A3389E" w:rsidRPr="0086713D">
              <w:rPr>
                <w:spacing w:val="0"/>
                <w:sz w:val="24"/>
                <w:szCs w:val="24"/>
              </w:rPr>
              <w:t xml:space="preserve"> a </w:t>
            </w:r>
            <w:r w:rsidR="00D312C4" w:rsidRPr="0086713D">
              <w:rPr>
                <w:spacing w:val="0"/>
                <w:sz w:val="24"/>
                <w:szCs w:val="24"/>
              </w:rPr>
              <w:t>tým, ako ich uplatňuje inštitúcia, na jednej strane</w:t>
            </w:r>
            <w:r w:rsidR="00A3389E" w:rsidRPr="0086713D">
              <w:rPr>
                <w:spacing w:val="0"/>
                <w:sz w:val="24"/>
                <w:szCs w:val="24"/>
              </w:rPr>
              <w:t xml:space="preserve"> a </w:t>
            </w:r>
            <w:r w:rsidR="00D312C4" w:rsidRPr="0086713D">
              <w:rPr>
                <w:spacing w:val="0"/>
                <w:sz w:val="24"/>
                <w:szCs w:val="24"/>
              </w:rPr>
              <w:t>zaťaženými aktívami</w:t>
            </w:r>
            <w:r w:rsidR="00A3389E" w:rsidRPr="0086713D">
              <w:rPr>
                <w:spacing w:val="0"/>
                <w:sz w:val="24"/>
                <w:szCs w:val="24"/>
              </w:rPr>
              <w:t xml:space="preserve"> a </w:t>
            </w:r>
            <w:r w:rsidR="00D312C4" w:rsidRPr="0086713D">
              <w:rPr>
                <w:spacing w:val="0"/>
                <w:sz w:val="24"/>
                <w:szCs w:val="24"/>
              </w:rPr>
              <w:t>údajom</w:t>
            </w:r>
            <w:r w:rsidR="00A3389E" w:rsidRPr="0086713D">
              <w:rPr>
                <w:spacing w:val="0"/>
                <w:sz w:val="24"/>
                <w:szCs w:val="24"/>
              </w:rPr>
              <w:t xml:space="preserve"> o </w:t>
            </w:r>
            <w:r w:rsidR="00D312C4" w:rsidRPr="0086713D">
              <w:rPr>
                <w:spacing w:val="0"/>
                <w:sz w:val="24"/>
                <w:szCs w:val="24"/>
              </w:rPr>
              <w:t>prípadnom rozdielnom zaobchádzaní</w:t>
            </w:r>
            <w:r w:rsidR="00A3389E" w:rsidRPr="0086713D">
              <w:rPr>
                <w:spacing w:val="0"/>
                <w:sz w:val="24"/>
                <w:szCs w:val="24"/>
              </w:rPr>
              <w:t xml:space="preserve"> s </w:t>
            </w:r>
            <w:r w:rsidR="00D312C4" w:rsidRPr="0086713D">
              <w:rPr>
                <w:spacing w:val="0"/>
                <w:sz w:val="24"/>
                <w:szCs w:val="24"/>
              </w:rPr>
              <w:t>transakciami, napríklad keď sa určité transakcie považujú za vedúce</w:t>
            </w:r>
            <w:r w:rsidR="00A3389E" w:rsidRPr="0086713D">
              <w:rPr>
                <w:spacing w:val="0"/>
                <w:sz w:val="24"/>
                <w:szCs w:val="24"/>
              </w:rPr>
              <w:t xml:space="preserve"> k </w:t>
            </w:r>
            <w:r w:rsidR="00D312C4" w:rsidRPr="0086713D">
              <w:rPr>
                <w:spacing w:val="0"/>
                <w:sz w:val="24"/>
                <w:szCs w:val="24"/>
              </w:rPr>
              <w:t>založeniu alebo prevedeniu aktív, ale nie</w:t>
            </w:r>
            <w:r w:rsidR="00A3389E" w:rsidRPr="0086713D">
              <w:rPr>
                <w:spacing w:val="0"/>
                <w:sz w:val="24"/>
                <w:szCs w:val="24"/>
              </w:rPr>
              <w:t xml:space="preserve"> k </w:t>
            </w:r>
            <w:r w:rsidR="00D312C4" w:rsidRPr="0086713D">
              <w:rPr>
                <w:spacing w:val="0"/>
                <w:sz w:val="24"/>
                <w:szCs w:val="24"/>
              </w:rPr>
              <w:t>zaťaženosti aktív, na strane druhej, alebo naopak;</w:t>
            </w:r>
          </w:p>
          <w:p w14:paraId="3DD45165" w14:textId="1497FD63"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c)</w:t>
            </w:r>
            <w:r w:rsidR="00A3389E" w:rsidRPr="0086713D">
              <w:rPr>
                <w:color w:val="000000"/>
                <w:spacing w:val="0"/>
                <w:sz w:val="24"/>
                <w:szCs w:val="24"/>
              </w:rPr>
              <w:tab/>
            </w:r>
            <w:r w:rsidR="00D312C4" w:rsidRPr="0086713D">
              <w:rPr>
                <w:spacing w:val="0"/>
                <w:sz w:val="24"/>
                <w:szCs w:val="24"/>
              </w:rPr>
              <w:t>hodnoty expozície použitej na účely zverejňovania, ako aj toho, ako sa odvodzujú mediánové hodnoty expozície.</w:t>
            </w:r>
          </w:p>
          <w:p w14:paraId="15437539" w14:textId="77777777" w:rsidR="00D312C4" w:rsidRPr="0086713D" w:rsidRDefault="00D312C4" w:rsidP="00155C96">
            <w:pPr>
              <w:spacing w:after="120"/>
              <w:jc w:val="both"/>
              <w:rPr>
                <w:rFonts w:ascii="Times New Roman" w:hAnsi="Times New Roman" w:cs="Times New Roman"/>
                <w:sz w:val="24"/>
              </w:rPr>
            </w:pPr>
          </w:p>
        </w:tc>
      </w:tr>
      <w:tr w:rsidR="00D312C4" w:rsidRPr="0086713D" w14:paraId="7FE07D9A" w14:textId="77777777" w:rsidTr="00155C96">
        <w:trPr>
          <w:trHeight w:val="316"/>
        </w:trPr>
        <w:tc>
          <w:tcPr>
            <w:tcW w:w="1384" w:type="dxa"/>
          </w:tcPr>
          <w:p w14:paraId="640C5799" w14:textId="77777777" w:rsidR="00D312C4" w:rsidRPr="0086713D" w:rsidRDefault="00D312C4" w:rsidP="00155C96">
            <w:pPr>
              <w:autoSpaceDE w:val="0"/>
              <w:autoSpaceDN w:val="0"/>
              <w:adjustRightInd w:val="0"/>
              <w:spacing w:after="120"/>
              <w:rPr>
                <w:rFonts w:ascii="Times New Roman" w:eastAsia="Times New Roman" w:hAnsi="Times New Roman" w:cs="Times New Roman"/>
                <w:sz w:val="24"/>
              </w:rPr>
            </w:pPr>
            <w:r w:rsidRPr="0086713D">
              <w:rPr>
                <w:rFonts w:ascii="Times New Roman" w:hAnsi="Times New Roman" w:cs="Times New Roman"/>
                <w:sz w:val="24"/>
              </w:rPr>
              <w:t>b</w:t>
            </w:r>
          </w:p>
        </w:tc>
        <w:tc>
          <w:tcPr>
            <w:tcW w:w="7655" w:type="dxa"/>
          </w:tcPr>
          <w:p w14:paraId="48896AE3" w14:textId="4050433A" w:rsidR="00D312C4" w:rsidRPr="0086713D" w:rsidRDefault="00D312C4" w:rsidP="00155C96">
            <w:pPr>
              <w:pStyle w:val="Teksttreci50"/>
              <w:shd w:val="clear" w:color="auto" w:fill="auto"/>
              <w:tabs>
                <w:tab w:val="left" w:pos="343"/>
              </w:tabs>
              <w:spacing w:before="0" w:after="120" w:line="240" w:lineRule="auto"/>
              <w:ind w:right="40" w:firstLine="0"/>
              <w:jc w:val="both"/>
              <w:rPr>
                <w:spacing w:val="0"/>
                <w:sz w:val="24"/>
                <w:szCs w:val="24"/>
              </w:rPr>
            </w:pPr>
            <w:r w:rsidRPr="0086713D">
              <w:rPr>
                <w:spacing w:val="0"/>
                <w:sz w:val="24"/>
                <w:szCs w:val="24"/>
              </w:rPr>
              <w:t>Opisné informácie týkajúce sa vplyvu obchodného modelu inštitúcie na jej úroveň zaťaženosti, ako aj významu zaťaženosti</w:t>
            </w:r>
            <w:r w:rsidR="00A3389E" w:rsidRPr="0086713D">
              <w:rPr>
                <w:spacing w:val="0"/>
                <w:sz w:val="24"/>
                <w:szCs w:val="24"/>
              </w:rPr>
              <w:t xml:space="preserve"> v </w:t>
            </w:r>
            <w:r w:rsidRPr="0086713D">
              <w:rPr>
                <w:spacing w:val="0"/>
                <w:sz w:val="24"/>
                <w:szCs w:val="24"/>
              </w:rPr>
              <w:t>modeli financovania inštitúcie vrátane:</w:t>
            </w:r>
          </w:p>
          <w:p w14:paraId="5AD66C4B" w14:textId="36133376"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a)</w:t>
            </w:r>
            <w:r w:rsidR="00A3389E" w:rsidRPr="0086713D">
              <w:rPr>
                <w:color w:val="000000"/>
                <w:spacing w:val="0"/>
                <w:sz w:val="24"/>
                <w:szCs w:val="24"/>
              </w:rPr>
              <w:tab/>
            </w:r>
            <w:r w:rsidR="00D312C4" w:rsidRPr="0086713D">
              <w:rPr>
                <w:spacing w:val="0"/>
                <w:sz w:val="24"/>
                <w:szCs w:val="24"/>
              </w:rPr>
              <w:t>hlavných zdrojov</w:t>
            </w:r>
            <w:r w:rsidR="00A3389E" w:rsidRPr="0086713D">
              <w:rPr>
                <w:spacing w:val="0"/>
                <w:sz w:val="24"/>
                <w:szCs w:val="24"/>
              </w:rPr>
              <w:t xml:space="preserve"> a </w:t>
            </w:r>
            <w:r w:rsidR="00D312C4" w:rsidRPr="0086713D">
              <w:rPr>
                <w:spacing w:val="0"/>
                <w:sz w:val="24"/>
                <w:szCs w:val="24"/>
              </w:rPr>
              <w:t>druhov zaťaženosti, prípadne</w:t>
            </w:r>
            <w:r w:rsidR="00A3389E" w:rsidRPr="0086713D">
              <w:rPr>
                <w:spacing w:val="0"/>
                <w:sz w:val="24"/>
                <w:szCs w:val="24"/>
              </w:rPr>
              <w:t xml:space="preserve"> s </w:t>
            </w:r>
            <w:r w:rsidR="00D312C4" w:rsidRPr="0086713D">
              <w:rPr>
                <w:spacing w:val="0"/>
                <w:sz w:val="24"/>
                <w:szCs w:val="24"/>
              </w:rPr>
              <w:t>podrobným opisom zaťaženosti</w:t>
            </w:r>
            <w:r w:rsidR="00A3389E" w:rsidRPr="0086713D">
              <w:rPr>
                <w:spacing w:val="0"/>
                <w:sz w:val="24"/>
                <w:szCs w:val="24"/>
              </w:rPr>
              <w:t xml:space="preserve"> z </w:t>
            </w:r>
            <w:r w:rsidR="00D312C4" w:rsidRPr="0086713D">
              <w:rPr>
                <w:spacing w:val="0"/>
                <w:sz w:val="24"/>
                <w:szCs w:val="24"/>
              </w:rPr>
              <w:t>dôvodu významných činností</w:t>
            </w:r>
            <w:r w:rsidR="00A3389E" w:rsidRPr="0086713D">
              <w:rPr>
                <w:spacing w:val="0"/>
                <w:sz w:val="24"/>
                <w:szCs w:val="24"/>
              </w:rPr>
              <w:t xml:space="preserve"> s </w:t>
            </w:r>
            <w:r w:rsidR="00D312C4" w:rsidRPr="0086713D">
              <w:rPr>
                <w:spacing w:val="0"/>
                <w:sz w:val="24"/>
                <w:szCs w:val="24"/>
              </w:rPr>
              <w:t>derivátmi, požičiavaním cenných papierov, repo obchodmi, emisiou krytých dlhopisov</w:t>
            </w:r>
            <w:r w:rsidR="00A3389E" w:rsidRPr="0086713D">
              <w:rPr>
                <w:spacing w:val="0"/>
                <w:sz w:val="24"/>
                <w:szCs w:val="24"/>
              </w:rPr>
              <w:t xml:space="preserve"> a </w:t>
            </w:r>
            <w:r w:rsidR="00D312C4" w:rsidRPr="0086713D">
              <w:rPr>
                <w:spacing w:val="0"/>
                <w:sz w:val="24"/>
                <w:szCs w:val="24"/>
              </w:rPr>
              <w:t>sekuritizáciou;</w:t>
            </w:r>
          </w:p>
          <w:p w14:paraId="6F054D50" w14:textId="39B68152"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b)</w:t>
            </w:r>
            <w:r w:rsidR="00A3389E" w:rsidRPr="0086713D">
              <w:rPr>
                <w:color w:val="000000"/>
                <w:spacing w:val="0"/>
                <w:sz w:val="24"/>
                <w:szCs w:val="24"/>
              </w:rPr>
              <w:tab/>
            </w:r>
            <w:r w:rsidR="00D312C4" w:rsidRPr="0086713D">
              <w:rPr>
                <w:spacing w:val="0"/>
                <w:sz w:val="24"/>
                <w:szCs w:val="24"/>
              </w:rPr>
              <w:t>štruktúry zaťaženosti medzi subjektmi</w:t>
            </w:r>
            <w:r w:rsidR="00A3389E" w:rsidRPr="0086713D">
              <w:rPr>
                <w:spacing w:val="0"/>
                <w:sz w:val="24"/>
                <w:szCs w:val="24"/>
              </w:rPr>
              <w:t xml:space="preserve"> v </w:t>
            </w:r>
            <w:r w:rsidR="00D312C4" w:rsidRPr="0086713D">
              <w:rPr>
                <w:spacing w:val="0"/>
                <w:sz w:val="24"/>
                <w:szCs w:val="24"/>
              </w:rPr>
              <w:t>rámci skupiny,</w:t>
            </w:r>
            <w:r w:rsidR="00A3389E" w:rsidRPr="0086713D">
              <w:rPr>
                <w:spacing w:val="0"/>
                <w:sz w:val="24"/>
                <w:szCs w:val="24"/>
              </w:rPr>
              <w:t xml:space="preserve"> a </w:t>
            </w:r>
            <w:r w:rsidR="00D312C4" w:rsidRPr="0086713D">
              <w:rPr>
                <w:spacing w:val="0"/>
                <w:sz w:val="24"/>
                <w:szCs w:val="24"/>
              </w:rPr>
              <w:t>najmä toho, či úroveň zaťaženosti konsolidovanej skupiny pochádza od konkrétnych subjektov</w:t>
            </w:r>
            <w:r w:rsidR="00A3389E" w:rsidRPr="0086713D">
              <w:rPr>
                <w:spacing w:val="0"/>
                <w:sz w:val="24"/>
                <w:szCs w:val="24"/>
              </w:rPr>
              <w:t xml:space="preserve"> a </w:t>
            </w:r>
            <w:r w:rsidR="00D312C4" w:rsidRPr="0086713D">
              <w:rPr>
                <w:spacing w:val="0"/>
                <w:sz w:val="24"/>
                <w:szCs w:val="24"/>
              </w:rPr>
              <w:t>či existuje významná vnútroskupinová zaťaženosť;</w:t>
            </w:r>
          </w:p>
          <w:p w14:paraId="3973EE9F" w14:textId="6A86A966"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c)</w:t>
            </w:r>
            <w:r w:rsidR="00A3389E" w:rsidRPr="0086713D">
              <w:rPr>
                <w:color w:val="000000"/>
                <w:spacing w:val="0"/>
                <w:sz w:val="24"/>
                <w:szCs w:val="24"/>
              </w:rPr>
              <w:tab/>
            </w:r>
            <w:r w:rsidR="00D312C4" w:rsidRPr="0086713D">
              <w:rPr>
                <w:spacing w:val="0"/>
                <w:sz w:val="24"/>
                <w:szCs w:val="24"/>
              </w:rPr>
              <w:t>informácií</w:t>
            </w:r>
            <w:r w:rsidR="00A3389E" w:rsidRPr="0086713D">
              <w:rPr>
                <w:spacing w:val="0"/>
                <w:sz w:val="24"/>
                <w:szCs w:val="24"/>
              </w:rPr>
              <w:t xml:space="preserve"> o </w:t>
            </w:r>
            <w:r w:rsidR="00D312C4" w:rsidRPr="0086713D">
              <w:rPr>
                <w:spacing w:val="0"/>
                <w:sz w:val="24"/>
                <w:szCs w:val="24"/>
              </w:rPr>
              <w:t>nadmernom zabezpečení kolaterálom, najmä pokiaľ ide</w:t>
            </w:r>
            <w:r w:rsidR="00A3389E" w:rsidRPr="0086713D">
              <w:rPr>
                <w:spacing w:val="0"/>
                <w:sz w:val="24"/>
                <w:szCs w:val="24"/>
              </w:rPr>
              <w:t xml:space="preserve"> o </w:t>
            </w:r>
            <w:r w:rsidR="00D312C4" w:rsidRPr="0086713D">
              <w:rPr>
                <w:spacing w:val="0"/>
                <w:sz w:val="24"/>
                <w:szCs w:val="24"/>
              </w:rPr>
              <w:t>kryté dlhopisy</w:t>
            </w:r>
            <w:r w:rsidR="00A3389E" w:rsidRPr="0086713D">
              <w:rPr>
                <w:spacing w:val="0"/>
                <w:sz w:val="24"/>
                <w:szCs w:val="24"/>
              </w:rPr>
              <w:t xml:space="preserve"> a </w:t>
            </w:r>
            <w:r w:rsidR="00D312C4" w:rsidRPr="0086713D">
              <w:rPr>
                <w:spacing w:val="0"/>
                <w:sz w:val="24"/>
                <w:szCs w:val="24"/>
              </w:rPr>
              <w:t>sekuritizácie,</w:t>
            </w:r>
            <w:r w:rsidR="00A3389E" w:rsidRPr="0086713D">
              <w:rPr>
                <w:spacing w:val="0"/>
                <w:sz w:val="24"/>
                <w:szCs w:val="24"/>
              </w:rPr>
              <w:t xml:space="preserve"> a </w:t>
            </w:r>
            <w:r w:rsidR="00D312C4" w:rsidRPr="0086713D">
              <w:rPr>
                <w:spacing w:val="0"/>
                <w:sz w:val="24"/>
                <w:szCs w:val="24"/>
              </w:rPr>
              <w:t>dosahu nadmerného zabezpečenia kolaterálom na úrovne zaťaženosti;</w:t>
            </w:r>
          </w:p>
          <w:p w14:paraId="2F962DA4" w14:textId="25B12CCC"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d)</w:t>
            </w:r>
            <w:r w:rsidR="00A3389E" w:rsidRPr="0086713D">
              <w:rPr>
                <w:color w:val="000000"/>
                <w:spacing w:val="0"/>
                <w:sz w:val="24"/>
                <w:szCs w:val="24"/>
              </w:rPr>
              <w:tab/>
            </w:r>
            <w:r w:rsidR="00D312C4" w:rsidRPr="0086713D">
              <w:rPr>
                <w:spacing w:val="0"/>
                <w:sz w:val="24"/>
                <w:szCs w:val="24"/>
              </w:rPr>
              <w:t>dodatočných informácií</w:t>
            </w:r>
            <w:r w:rsidR="00A3389E" w:rsidRPr="0086713D">
              <w:rPr>
                <w:spacing w:val="0"/>
                <w:sz w:val="24"/>
                <w:szCs w:val="24"/>
              </w:rPr>
              <w:t xml:space="preserve"> o </w:t>
            </w:r>
            <w:r w:rsidR="00D312C4" w:rsidRPr="0086713D">
              <w:rPr>
                <w:spacing w:val="0"/>
                <w:sz w:val="24"/>
                <w:szCs w:val="24"/>
              </w:rPr>
              <w:t>zaťaženosti aktív, kolaterálu</w:t>
            </w:r>
            <w:r w:rsidR="00A3389E" w:rsidRPr="0086713D">
              <w:rPr>
                <w:spacing w:val="0"/>
                <w:sz w:val="24"/>
                <w:szCs w:val="24"/>
              </w:rPr>
              <w:t xml:space="preserve"> a </w:t>
            </w:r>
            <w:r w:rsidR="00D312C4" w:rsidRPr="0086713D">
              <w:rPr>
                <w:spacing w:val="0"/>
                <w:sz w:val="24"/>
                <w:szCs w:val="24"/>
              </w:rPr>
              <w:t>podsúvahových položiek</w:t>
            </w:r>
            <w:r w:rsidR="00A3389E" w:rsidRPr="0086713D">
              <w:rPr>
                <w:spacing w:val="0"/>
                <w:sz w:val="24"/>
                <w:szCs w:val="24"/>
              </w:rPr>
              <w:t xml:space="preserve"> a </w:t>
            </w:r>
            <w:r w:rsidR="00D312C4" w:rsidRPr="0086713D">
              <w:rPr>
                <w:spacing w:val="0"/>
                <w:sz w:val="24"/>
                <w:szCs w:val="24"/>
              </w:rPr>
              <w:t>zdrojoch zaťaženosti podľa významných mien iných ako mena vykazovania podľa článku 415 ods. 2 CRR;</w:t>
            </w:r>
          </w:p>
          <w:p w14:paraId="2F61CB4A" w14:textId="329065C2"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e)</w:t>
            </w:r>
            <w:r w:rsidR="00A3389E" w:rsidRPr="0086713D">
              <w:rPr>
                <w:color w:val="000000"/>
                <w:spacing w:val="0"/>
                <w:sz w:val="24"/>
                <w:szCs w:val="24"/>
              </w:rPr>
              <w:tab/>
            </w:r>
            <w:r w:rsidR="00D312C4" w:rsidRPr="0086713D">
              <w:rPr>
                <w:spacing w:val="0"/>
                <w:sz w:val="24"/>
                <w:szCs w:val="24"/>
              </w:rPr>
              <w:t>všeobecného opisu podielu položiek zahrnutých</w:t>
            </w:r>
            <w:r w:rsidR="00A3389E" w:rsidRPr="0086713D">
              <w:rPr>
                <w:spacing w:val="0"/>
                <w:sz w:val="24"/>
                <w:szCs w:val="24"/>
              </w:rPr>
              <w:t xml:space="preserve"> v </w:t>
            </w:r>
            <w:r w:rsidR="00D312C4" w:rsidRPr="0086713D">
              <w:rPr>
                <w:spacing w:val="0"/>
                <w:sz w:val="24"/>
                <w:szCs w:val="24"/>
              </w:rPr>
              <w:t xml:space="preserve">stĺpci 060 „účtovná hodnota nezaťažených aktív“ vo vzore EU AE1, </w:t>
            </w:r>
            <w:r w:rsidR="00D312C4" w:rsidRPr="0086713D">
              <w:rPr>
                <w:spacing w:val="0"/>
                <w:sz w:val="24"/>
                <w:szCs w:val="24"/>
              </w:rPr>
              <w:lastRenderedPageBreak/>
              <w:t>ktoré by inštitúcia nepovažovala za dostupné na účely zaťaženosti pri bežnej obchodnej činnosti (napr. nehmotné aktíva vrátane goodwillu, odložené daňové pohľadávky, nehnuteľnosti, stroje</w:t>
            </w:r>
            <w:r w:rsidR="00A3389E" w:rsidRPr="0086713D">
              <w:rPr>
                <w:spacing w:val="0"/>
                <w:sz w:val="24"/>
                <w:szCs w:val="24"/>
              </w:rPr>
              <w:t xml:space="preserve"> a </w:t>
            </w:r>
            <w:r w:rsidR="00D312C4" w:rsidRPr="0086713D">
              <w:rPr>
                <w:spacing w:val="0"/>
                <w:sz w:val="24"/>
                <w:szCs w:val="24"/>
              </w:rPr>
              <w:t>iné fixné aktíva, derivátové aktíva, obrátené repo transakcie</w:t>
            </w:r>
            <w:r w:rsidR="00A3389E" w:rsidRPr="0086713D">
              <w:rPr>
                <w:spacing w:val="0"/>
                <w:sz w:val="24"/>
                <w:szCs w:val="24"/>
              </w:rPr>
              <w:t xml:space="preserve"> a </w:t>
            </w:r>
            <w:r w:rsidR="00D312C4" w:rsidRPr="0086713D">
              <w:rPr>
                <w:spacing w:val="0"/>
                <w:sz w:val="24"/>
                <w:szCs w:val="24"/>
              </w:rPr>
              <w:t>pohľadávky</w:t>
            </w:r>
            <w:r w:rsidR="00A3389E" w:rsidRPr="0086713D">
              <w:rPr>
                <w:spacing w:val="0"/>
                <w:sz w:val="24"/>
                <w:szCs w:val="24"/>
              </w:rPr>
              <w:t xml:space="preserve"> z </w:t>
            </w:r>
            <w:r w:rsidR="00D312C4" w:rsidRPr="0086713D">
              <w:rPr>
                <w:spacing w:val="0"/>
                <w:sz w:val="24"/>
                <w:szCs w:val="24"/>
              </w:rPr>
              <w:t>výpožičky akcií);</w:t>
            </w:r>
          </w:p>
          <w:p w14:paraId="55C0A023" w14:textId="4FD28C2E"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f)</w:t>
            </w:r>
            <w:r w:rsidR="00A3389E" w:rsidRPr="0086713D">
              <w:rPr>
                <w:color w:val="000000"/>
                <w:spacing w:val="0"/>
                <w:sz w:val="24"/>
                <w:szCs w:val="24"/>
              </w:rPr>
              <w:tab/>
            </w:r>
            <w:r w:rsidR="00D312C4" w:rsidRPr="0086713D">
              <w:rPr>
                <w:spacing w:val="0"/>
                <w:sz w:val="24"/>
                <w:szCs w:val="24"/>
              </w:rPr>
              <w:t>hodnoty podkladových aktív</w:t>
            </w:r>
            <w:r w:rsidR="00A3389E" w:rsidRPr="0086713D">
              <w:rPr>
                <w:spacing w:val="0"/>
                <w:sz w:val="24"/>
                <w:szCs w:val="24"/>
              </w:rPr>
              <w:t xml:space="preserve"> a </w:t>
            </w:r>
            <w:r w:rsidR="00D312C4" w:rsidRPr="0086713D">
              <w:rPr>
                <w:spacing w:val="0"/>
                <w:sz w:val="24"/>
                <w:szCs w:val="24"/>
              </w:rPr>
              <w:t>aktív krycieho súboru ponechaných sekuritizácií</w:t>
            </w:r>
            <w:r w:rsidR="00A3389E" w:rsidRPr="0086713D">
              <w:rPr>
                <w:spacing w:val="0"/>
                <w:sz w:val="24"/>
                <w:szCs w:val="24"/>
              </w:rPr>
              <w:t xml:space="preserve"> a </w:t>
            </w:r>
            <w:r w:rsidR="00D312C4" w:rsidRPr="0086713D">
              <w:rPr>
                <w:spacing w:val="0"/>
                <w:sz w:val="24"/>
                <w:szCs w:val="24"/>
              </w:rPr>
              <w:t>ponechaných krytých dlhopisov</w:t>
            </w:r>
            <w:r w:rsidR="00A3389E" w:rsidRPr="0086713D">
              <w:rPr>
                <w:spacing w:val="0"/>
                <w:sz w:val="24"/>
                <w:szCs w:val="24"/>
              </w:rPr>
              <w:t xml:space="preserve"> a </w:t>
            </w:r>
            <w:r w:rsidR="00D312C4" w:rsidRPr="0086713D">
              <w:rPr>
                <w:spacing w:val="0"/>
                <w:sz w:val="24"/>
                <w:szCs w:val="24"/>
              </w:rPr>
              <w:t>toho, či uvedené podkladové aktíva</w:t>
            </w:r>
            <w:r w:rsidR="00A3389E" w:rsidRPr="0086713D">
              <w:rPr>
                <w:spacing w:val="0"/>
                <w:sz w:val="24"/>
                <w:szCs w:val="24"/>
              </w:rPr>
              <w:t xml:space="preserve"> a </w:t>
            </w:r>
            <w:r w:rsidR="00D312C4" w:rsidRPr="0086713D">
              <w:rPr>
                <w:spacing w:val="0"/>
                <w:sz w:val="24"/>
                <w:szCs w:val="24"/>
              </w:rPr>
              <w:t>aktíva krycieho súboru sú zaťažené alebo nezaťažené, spolu</w:t>
            </w:r>
            <w:r w:rsidR="00A3389E" w:rsidRPr="0086713D">
              <w:rPr>
                <w:spacing w:val="0"/>
                <w:sz w:val="24"/>
                <w:szCs w:val="24"/>
              </w:rPr>
              <w:t xml:space="preserve"> s </w:t>
            </w:r>
            <w:r w:rsidR="00D312C4" w:rsidRPr="0086713D">
              <w:rPr>
                <w:spacing w:val="0"/>
                <w:sz w:val="24"/>
                <w:szCs w:val="24"/>
              </w:rPr>
              <w:t>hodnotou súvisiacich ponechaných sekuritizácií</w:t>
            </w:r>
            <w:r w:rsidR="00A3389E" w:rsidRPr="0086713D">
              <w:rPr>
                <w:spacing w:val="0"/>
                <w:sz w:val="24"/>
                <w:szCs w:val="24"/>
              </w:rPr>
              <w:t xml:space="preserve"> a </w:t>
            </w:r>
            <w:r w:rsidR="00D312C4" w:rsidRPr="0086713D">
              <w:rPr>
                <w:spacing w:val="0"/>
                <w:sz w:val="24"/>
                <w:szCs w:val="24"/>
              </w:rPr>
              <w:t>ponechaných krytých dlhopisov;</w:t>
            </w:r>
          </w:p>
          <w:p w14:paraId="59CC38C7" w14:textId="1FA922F1" w:rsidR="00D312C4" w:rsidRPr="0086713D" w:rsidRDefault="00023CBA" w:rsidP="00A3389E">
            <w:pPr>
              <w:pStyle w:val="Teksttreci50"/>
              <w:shd w:val="clear" w:color="auto" w:fill="auto"/>
              <w:tabs>
                <w:tab w:val="left" w:pos="1446"/>
              </w:tabs>
              <w:spacing w:before="0" w:after="120" w:line="240" w:lineRule="auto"/>
              <w:ind w:left="1440" w:right="40" w:hanging="560"/>
              <w:jc w:val="both"/>
              <w:rPr>
                <w:spacing w:val="0"/>
                <w:sz w:val="24"/>
                <w:szCs w:val="24"/>
              </w:rPr>
            </w:pPr>
            <w:r w:rsidRPr="0086713D">
              <w:rPr>
                <w:color w:val="000000"/>
                <w:spacing w:val="0"/>
                <w:sz w:val="24"/>
                <w:szCs w:val="24"/>
              </w:rPr>
              <w:t>g)</w:t>
            </w:r>
            <w:r w:rsidR="00A3389E" w:rsidRPr="0086713D">
              <w:rPr>
                <w:color w:val="000000"/>
                <w:spacing w:val="0"/>
                <w:sz w:val="24"/>
                <w:szCs w:val="24"/>
              </w:rPr>
              <w:tab/>
            </w:r>
            <w:r w:rsidR="00D312C4" w:rsidRPr="0086713D">
              <w:rPr>
                <w:spacing w:val="0"/>
                <w:sz w:val="24"/>
                <w:szCs w:val="24"/>
              </w:rPr>
              <w:t>ak je to relevantné pre vysvetlenie vplyvu ich obchodného modelu na ich úroveň zaťaženosti, podrobných údajov (prípadne vrátane kvantitatívnych informácií) o:</w:t>
            </w:r>
          </w:p>
          <w:p w14:paraId="0AAB10E0" w14:textId="07356AC9" w:rsidR="00D312C4" w:rsidRPr="0086713D" w:rsidRDefault="00A3389E" w:rsidP="00A3389E">
            <w:pPr>
              <w:pStyle w:val="Teksttreci50"/>
              <w:shd w:val="clear" w:color="auto" w:fill="auto"/>
              <w:tabs>
                <w:tab w:val="left" w:pos="1430"/>
              </w:tabs>
              <w:spacing w:before="0" w:after="120" w:line="240" w:lineRule="auto"/>
              <w:ind w:left="1471" w:right="20" w:firstLine="0"/>
              <w:jc w:val="both"/>
              <w:rPr>
                <w:spacing w:val="0"/>
                <w:sz w:val="24"/>
                <w:szCs w:val="24"/>
              </w:rPr>
            </w:pPr>
            <w:r w:rsidRPr="0086713D">
              <w:rPr>
                <w:color w:val="000000"/>
                <w:spacing w:val="0"/>
                <w:sz w:val="24"/>
                <w:szCs w:val="24"/>
              </w:rPr>
              <w:t>i)</w:t>
            </w:r>
            <w:r w:rsidRPr="0086713D">
              <w:rPr>
                <w:color w:val="000000"/>
                <w:spacing w:val="0"/>
                <w:sz w:val="24"/>
                <w:szCs w:val="24"/>
              </w:rPr>
              <w:tab/>
            </w:r>
            <w:r w:rsidR="00D312C4" w:rsidRPr="0086713D">
              <w:rPr>
                <w:spacing w:val="0"/>
                <w:sz w:val="24"/>
                <w:szCs w:val="24"/>
              </w:rPr>
              <w:t>druhoch</w:t>
            </w:r>
            <w:r w:rsidRPr="0086713D">
              <w:rPr>
                <w:spacing w:val="0"/>
                <w:sz w:val="24"/>
                <w:szCs w:val="24"/>
              </w:rPr>
              <w:t xml:space="preserve"> a </w:t>
            </w:r>
            <w:r w:rsidR="00D312C4" w:rsidRPr="0086713D">
              <w:rPr>
                <w:spacing w:val="0"/>
                <w:sz w:val="24"/>
                <w:szCs w:val="24"/>
              </w:rPr>
              <w:t>hodnotách zaťažených</w:t>
            </w:r>
            <w:r w:rsidRPr="0086713D">
              <w:rPr>
                <w:spacing w:val="0"/>
                <w:sz w:val="24"/>
                <w:szCs w:val="24"/>
              </w:rPr>
              <w:t xml:space="preserve"> a </w:t>
            </w:r>
            <w:r w:rsidR="00D312C4" w:rsidRPr="0086713D">
              <w:rPr>
                <w:spacing w:val="0"/>
                <w:sz w:val="24"/>
                <w:szCs w:val="24"/>
              </w:rPr>
              <w:t>nezaťažených aktív zahrnutých</w:t>
            </w:r>
            <w:r w:rsidRPr="0086713D">
              <w:rPr>
                <w:spacing w:val="0"/>
                <w:sz w:val="24"/>
                <w:szCs w:val="24"/>
              </w:rPr>
              <w:t xml:space="preserve"> v </w:t>
            </w:r>
            <w:r w:rsidR="00D312C4" w:rsidRPr="0086713D">
              <w:rPr>
                <w:spacing w:val="0"/>
                <w:sz w:val="24"/>
                <w:szCs w:val="24"/>
              </w:rPr>
              <w:t>riadku 120 vzoru EU AE1;</w:t>
            </w:r>
          </w:p>
          <w:p w14:paraId="5FB30809" w14:textId="38A45FB9" w:rsidR="00D312C4" w:rsidRPr="0086713D" w:rsidRDefault="00A3389E" w:rsidP="00A3389E">
            <w:pPr>
              <w:pStyle w:val="Teksttreci50"/>
              <w:shd w:val="clear" w:color="auto" w:fill="auto"/>
              <w:tabs>
                <w:tab w:val="left" w:pos="1430"/>
              </w:tabs>
              <w:spacing w:before="0" w:after="120" w:line="240" w:lineRule="auto"/>
              <w:ind w:left="1471" w:right="20" w:firstLine="0"/>
              <w:jc w:val="both"/>
              <w:rPr>
                <w:spacing w:val="0"/>
                <w:sz w:val="24"/>
                <w:szCs w:val="24"/>
              </w:rPr>
            </w:pPr>
            <w:r w:rsidRPr="0086713D">
              <w:rPr>
                <w:color w:val="000000"/>
                <w:spacing w:val="0"/>
                <w:sz w:val="24"/>
                <w:szCs w:val="24"/>
              </w:rPr>
              <w:t>ii)</w:t>
            </w:r>
            <w:r w:rsidRPr="0086713D">
              <w:rPr>
                <w:color w:val="000000"/>
                <w:spacing w:val="0"/>
                <w:sz w:val="24"/>
                <w:szCs w:val="24"/>
              </w:rPr>
              <w:tab/>
            </w:r>
            <w:r w:rsidR="00D312C4" w:rsidRPr="0086713D">
              <w:rPr>
                <w:spacing w:val="0"/>
                <w:sz w:val="24"/>
                <w:szCs w:val="24"/>
              </w:rPr>
              <w:t>hodnotách</w:t>
            </w:r>
            <w:r w:rsidRPr="0086713D">
              <w:rPr>
                <w:spacing w:val="0"/>
                <w:sz w:val="24"/>
                <w:szCs w:val="24"/>
              </w:rPr>
              <w:t xml:space="preserve"> a </w:t>
            </w:r>
            <w:r w:rsidR="00D312C4" w:rsidRPr="0086713D">
              <w:rPr>
                <w:spacing w:val="0"/>
                <w:sz w:val="24"/>
                <w:szCs w:val="24"/>
              </w:rPr>
              <w:t>druhoch zaťažených aktív</w:t>
            </w:r>
            <w:r w:rsidRPr="0086713D">
              <w:rPr>
                <w:spacing w:val="0"/>
                <w:sz w:val="24"/>
                <w:szCs w:val="24"/>
              </w:rPr>
              <w:t xml:space="preserve"> a </w:t>
            </w:r>
            <w:r w:rsidR="00D312C4" w:rsidRPr="0086713D">
              <w:rPr>
                <w:spacing w:val="0"/>
                <w:sz w:val="24"/>
                <w:szCs w:val="24"/>
              </w:rPr>
              <w:t>podsúvahových položiek zahrnutých</w:t>
            </w:r>
            <w:r w:rsidRPr="0086713D">
              <w:rPr>
                <w:spacing w:val="0"/>
                <w:sz w:val="24"/>
                <w:szCs w:val="24"/>
              </w:rPr>
              <w:t xml:space="preserve"> v </w:t>
            </w:r>
            <w:r w:rsidR="00D312C4" w:rsidRPr="0086713D">
              <w:rPr>
                <w:spacing w:val="0"/>
                <w:sz w:val="24"/>
                <w:szCs w:val="24"/>
              </w:rPr>
              <w:t>riadku 010 vzoru EU AE3, ktoré nesúvisia so žiadnymi záväzkami;</w:t>
            </w:r>
          </w:p>
          <w:p w14:paraId="658B8672" w14:textId="6DEBA797" w:rsidR="00A3389E" w:rsidRPr="0086713D" w:rsidRDefault="00023CBA" w:rsidP="00A3389E">
            <w:pPr>
              <w:pStyle w:val="Teksttreci50"/>
              <w:shd w:val="clear" w:color="auto" w:fill="auto"/>
              <w:tabs>
                <w:tab w:val="left" w:pos="1430"/>
              </w:tabs>
              <w:spacing w:before="0" w:after="120" w:line="240" w:lineRule="auto"/>
              <w:ind w:left="1440" w:right="40" w:hanging="560"/>
              <w:jc w:val="both"/>
              <w:rPr>
                <w:rStyle w:val="TeksttreciTimesNewRoman105ptOdstpy0pt"/>
                <w:spacing w:val="0"/>
                <w:sz w:val="24"/>
                <w:szCs w:val="24"/>
              </w:rPr>
            </w:pPr>
            <w:r w:rsidRPr="0086713D">
              <w:rPr>
                <w:rStyle w:val="TeksttreciTimesNewRoman105ptOdstpy0pt"/>
                <w:spacing w:val="0"/>
                <w:sz w:val="24"/>
                <w:szCs w:val="24"/>
                <w:shd w:val="clear" w:color="auto" w:fill="auto"/>
              </w:rPr>
              <w:t>h)</w:t>
            </w:r>
            <w:r w:rsidR="00A3389E" w:rsidRPr="0086713D">
              <w:rPr>
                <w:rStyle w:val="TeksttreciTimesNewRoman105ptOdstpy0pt"/>
                <w:spacing w:val="0"/>
                <w:sz w:val="24"/>
                <w:szCs w:val="24"/>
                <w:shd w:val="clear" w:color="auto" w:fill="auto"/>
              </w:rPr>
              <w:tab/>
            </w:r>
            <w:r w:rsidR="00D312C4" w:rsidRPr="0086713D">
              <w:rPr>
                <w:spacing w:val="0"/>
                <w:sz w:val="24"/>
                <w:szCs w:val="24"/>
              </w:rPr>
              <w:t xml:space="preserve"> </w:t>
            </w:r>
            <w:r w:rsidR="00D312C4" w:rsidRPr="0086713D">
              <w:rPr>
                <w:rStyle w:val="TeksttreciTimesNewRoman105ptOdstpy0pt"/>
                <w:spacing w:val="0"/>
                <w:sz w:val="24"/>
                <w:szCs w:val="24"/>
              </w:rPr>
              <w:t>ak je to relevantné</w:t>
            </w:r>
            <w:r w:rsidR="00A3389E" w:rsidRPr="0086713D">
              <w:rPr>
                <w:rStyle w:val="TeksttreciTimesNewRoman105ptOdstpy0pt"/>
                <w:spacing w:val="0"/>
                <w:sz w:val="24"/>
                <w:szCs w:val="24"/>
              </w:rPr>
              <w:t xml:space="preserve"> z </w:t>
            </w:r>
            <w:r w:rsidR="00D312C4" w:rsidRPr="0086713D">
              <w:rPr>
                <w:rStyle w:val="TeksttreciTimesNewRoman105ptOdstpy0pt"/>
                <w:spacing w:val="0"/>
                <w:sz w:val="24"/>
                <w:szCs w:val="24"/>
              </w:rPr>
              <w:t>hľadiska používania zaťaženosti</w:t>
            </w:r>
            <w:r w:rsidR="00A3389E" w:rsidRPr="0086713D">
              <w:rPr>
                <w:rStyle w:val="TeksttreciTimesNewRoman105ptOdstpy0pt"/>
                <w:spacing w:val="0"/>
                <w:sz w:val="24"/>
                <w:szCs w:val="24"/>
              </w:rPr>
              <w:t xml:space="preserve"> v </w:t>
            </w:r>
            <w:r w:rsidR="00D312C4" w:rsidRPr="0086713D">
              <w:rPr>
                <w:rStyle w:val="TeksttreciTimesNewRoman105ptOdstpy0pt"/>
                <w:spacing w:val="0"/>
                <w:sz w:val="24"/>
                <w:szCs w:val="24"/>
              </w:rPr>
              <w:t>súvislosti</w:t>
            </w:r>
            <w:r w:rsidR="00A3389E" w:rsidRPr="0086713D">
              <w:rPr>
                <w:rStyle w:val="TeksttreciTimesNewRoman105ptOdstpy0pt"/>
                <w:spacing w:val="0"/>
                <w:sz w:val="24"/>
                <w:szCs w:val="24"/>
              </w:rPr>
              <w:t xml:space="preserve"> s </w:t>
            </w:r>
            <w:r w:rsidR="00D312C4" w:rsidRPr="0086713D">
              <w:rPr>
                <w:rStyle w:val="TeksttreciTimesNewRoman105ptOdstpy0pt"/>
                <w:spacing w:val="0"/>
                <w:sz w:val="24"/>
                <w:szCs w:val="24"/>
              </w:rPr>
              <w:t>ich obchodným modelom, doplňujúcich informácií</w:t>
            </w:r>
            <w:r w:rsidR="00A3389E" w:rsidRPr="0086713D">
              <w:rPr>
                <w:rStyle w:val="TeksttreciTimesNewRoman105ptOdstpy0pt"/>
                <w:spacing w:val="0"/>
                <w:sz w:val="24"/>
                <w:szCs w:val="24"/>
              </w:rPr>
              <w:t xml:space="preserve"> o </w:t>
            </w:r>
            <w:r w:rsidR="00D312C4" w:rsidRPr="0086713D">
              <w:rPr>
                <w:rStyle w:val="TeksttreciTimesNewRoman105ptOdstpy0pt"/>
                <w:spacing w:val="0"/>
                <w:sz w:val="24"/>
                <w:szCs w:val="24"/>
              </w:rPr>
              <w:t>rozčlenení týchto riadkov vo vzoroch EU AE1, EU AE2</w:t>
            </w:r>
            <w:r w:rsidR="00A3389E" w:rsidRPr="0086713D">
              <w:rPr>
                <w:rStyle w:val="TeksttreciTimesNewRoman105ptOdstpy0pt"/>
                <w:spacing w:val="0"/>
                <w:sz w:val="24"/>
                <w:szCs w:val="24"/>
              </w:rPr>
              <w:t xml:space="preserve"> a </w:t>
            </w:r>
            <w:r w:rsidR="00D312C4" w:rsidRPr="0086713D">
              <w:rPr>
                <w:rStyle w:val="TeksttreciTimesNewRoman105ptOdstpy0pt"/>
                <w:spacing w:val="0"/>
                <w:sz w:val="24"/>
                <w:szCs w:val="24"/>
              </w:rPr>
              <w:t>EU AE3</w:t>
            </w:r>
            <w:r w:rsidR="00A3389E" w:rsidRPr="0086713D">
              <w:rPr>
                <w:rStyle w:val="TeksttreciTimesNewRoman105ptOdstpy0pt"/>
                <w:spacing w:val="0"/>
                <w:sz w:val="24"/>
                <w:szCs w:val="24"/>
              </w:rPr>
              <w:t>:</w:t>
            </w:r>
          </w:p>
          <w:p w14:paraId="0FEB8AF0" w14:textId="48566C71" w:rsidR="00A3389E" w:rsidRPr="0086713D" w:rsidRDefault="00A3389E" w:rsidP="00A3389E">
            <w:pPr>
              <w:pStyle w:val="Teksttreci50"/>
              <w:shd w:val="clear" w:color="auto" w:fill="auto"/>
              <w:tabs>
                <w:tab w:val="left" w:pos="1430"/>
              </w:tabs>
              <w:spacing w:before="0" w:after="120" w:line="240" w:lineRule="auto"/>
              <w:ind w:left="1440" w:right="40" w:firstLine="31"/>
              <w:jc w:val="both"/>
              <w:rPr>
                <w:rStyle w:val="TeksttreciTimesNewRoman105ptOdstpy0pt"/>
                <w:spacing w:val="0"/>
                <w:sz w:val="24"/>
                <w:szCs w:val="24"/>
              </w:rPr>
            </w:pPr>
            <w:r w:rsidRPr="0086713D">
              <w:rPr>
                <w:rStyle w:val="TeksttreciTimesNewRoman105ptOdstpy0pt"/>
                <w:spacing w:val="0"/>
                <w:sz w:val="24"/>
                <w:szCs w:val="24"/>
                <w:shd w:val="clear" w:color="auto" w:fill="auto"/>
              </w:rPr>
              <w:t>i)</w:t>
            </w:r>
            <w:r w:rsidRPr="0086713D">
              <w:rPr>
                <w:rStyle w:val="TeksttreciTimesNewRoman105ptOdstpy0pt"/>
                <w:spacing w:val="0"/>
                <w:sz w:val="24"/>
                <w:szCs w:val="24"/>
                <w:shd w:val="clear" w:color="auto" w:fill="auto"/>
              </w:rPr>
              <w:tab/>
            </w:r>
            <w:r w:rsidR="00D312C4" w:rsidRPr="0086713D">
              <w:rPr>
                <w:rStyle w:val="TeksttreciTimesNewRoman105ptOdstpy0pt"/>
                <w:spacing w:val="0"/>
                <w:sz w:val="24"/>
                <w:szCs w:val="24"/>
              </w:rPr>
              <w:t>riadok 120 vzoru EU AE1 – „Ostatné aktíva“</w:t>
            </w:r>
            <w:r w:rsidRPr="0086713D">
              <w:rPr>
                <w:rStyle w:val="TeksttreciTimesNewRoman105ptOdstpy0pt"/>
                <w:spacing w:val="0"/>
                <w:sz w:val="24"/>
                <w:szCs w:val="24"/>
              </w:rPr>
              <w:t>;</w:t>
            </w:r>
          </w:p>
          <w:p w14:paraId="50AB6156" w14:textId="10B289C8" w:rsidR="00D312C4" w:rsidRPr="0086713D" w:rsidRDefault="00A3389E" w:rsidP="00A3389E">
            <w:pPr>
              <w:pStyle w:val="Teksttreci50"/>
              <w:shd w:val="clear" w:color="auto" w:fill="auto"/>
              <w:tabs>
                <w:tab w:val="left" w:pos="1430"/>
              </w:tabs>
              <w:spacing w:before="0" w:after="120" w:line="240" w:lineRule="auto"/>
              <w:ind w:left="1471" w:right="40" w:firstLine="0"/>
              <w:jc w:val="both"/>
              <w:rPr>
                <w:rStyle w:val="TeksttreciTimesNewRoman105ptOdstpy0pt"/>
                <w:spacing w:val="0"/>
                <w:sz w:val="24"/>
                <w:szCs w:val="24"/>
              </w:rPr>
            </w:pPr>
            <w:r w:rsidRPr="0086713D">
              <w:rPr>
                <w:rStyle w:val="TeksttreciTimesNewRoman105ptOdstpy0pt"/>
                <w:spacing w:val="0"/>
                <w:sz w:val="24"/>
                <w:szCs w:val="24"/>
                <w:shd w:val="clear" w:color="auto" w:fill="auto"/>
              </w:rPr>
              <w:t>ii)</w:t>
            </w:r>
            <w:r w:rsidRPr="0086713D">
              <w:rPr>
                <w:rStyle w:val="TeksttreciTimesNewRoman105ptOdstpy0pt"/>
                <w:spacing w:val="0"/>
                <w:sz w:val="24"/>
                <w:szCs w:val="24"/>
                <w:shd w:val="clear" w:color="auto" w:fill="auto"/>
              </w:rPr>
              <w:tab/>
            </w:r>
            <w:r w:rsidR="00D312C4" w:rsidRPr="0086713D">
              <w:rPr>
                <w:rStyle w:val="TeksttreciTimesNewRoman105ptOdstpy0pt"/>
                <w:spacing w:val="0"/>
                <w:sz w:val="24"/>
                <w:szCs w:val="24"/>
              </w:rPr>
              <w:t>riadok 230 vzoru EU AE2 „Iný prijatý kolaterál“;</w:t>
            </w:r>
          </w:p>
          <w:p w14:paraId="59C1EE51" w14:textId="295FC8E4" w:rsidR="00D312C4" w:rsidRPr="0086713D" w:rsidRDefault="00A3389E" w:rsidP="00A3389E">
            <w:pPr>
              <w:pStyle w:val="Teksttreci50"/>
              <w:shd w:val="clear" w:color="auto" w:fill="auto"/>
              <w:tabs>
                <w:tab w:val="left" w:pos="1430"/>
              </w:tabs>
              <w:spacing w:before="0" w:after="120" w:line="240" w:lineRule="auto"/>
              <w:ind w:left="1471" w:right="40" w:firstLine="0"/>
              <w:jc w:val="both"/>
              <w:rPr>
                <w:spacing w:val="0"/>
                <w:sz w:val="24"/>
                <w:szCs w:val="24"/>
              </w:rPr>
            </w:pPr>
            <w:r w:rsidRPr="0086713D">
              <w:rPr>
                <w:color w:val="000000"/>
                <w:spacing w:val="0"/>
                <w:sz w:val="24"/>
                <w:szCs w:val="24"/>
              </w:rPr>
              <w:t>iii)</w:t>
            </w:r>
            <w:r w:rsidRPr="0086713D">
              <w:rPr>
                <w:color w:val="000000"/>
                <w:spacing w:val="0"/>
                <w:sz w:val="24"/>
                <w:szCs w:val="24"/>
              </w:rPr>
              <w:tab/>
            </w:r>
            <w:r w:rsidR="00D312C4" w:rsidRPr="0086713D">
              <w:rPr>
                <w:rStyle w:val="TeksttreciTimesNewRoman105ptOdstpy0pt"/>
                <w:spacing w:val="0"/>
                <w:sz w:val="24"/>
                <w:szCs w:val="24"/>
              </w:rPr>
              <w:t>riadok 010 vzoru EU AE3 – „Účtovná hodnota vybraných finančných záväzkov“ (najmä ak časť zaťaženosti aktív súvisí so záväzkami</w:t>
            </w:r>
            <w:r w:rsidRPr="0086713D">
              <w:rPr>
                <w:rStyle w:val="TeksttreciTimesNewRoman105ptOdstpy0pt"/>
                <w:spacing w:val="0"/>
                <w:sz w:val="24"/>
                <w:szCs w:val="24"/>
              </w:rPr>
              <w:t xml:space="preserve"> a </w:t>
            </w:r>
            <w:r w:rsidR="00D312C4" w:rsidRPr="0086713D">
              <w:rPr>
                <w:rStyle w:val="TeksttreciTimesNewRoman105ptOdstpy0pt"/>
                <w:spacing w:val="0"/>
                <w:sz w:val="24"/>
                <w:szCs w:val="24"/>
              </w:rPr>
              <w:t>iná časť nie).</w:t>
            </w:r>
          </w:p>
        </w:tc>
      </w:tr>
    </w:tbl>
    <w:p w14:paraId="623F7787" w14:textId="77777777" w:rsidR="00D312C4" w:rsidRPr="0086713D"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86713D" w:rsidRDefault="005710A4" w:rsidP="00E258D8">
      <w:pPr>
        <w:tabs>
          <w:tab w:val="left" w:pos="1430"/>
        </w:tabs>
        <w:rPr>
          <w:rFonts w:ascii="Times New Roman" w:hAnsi="Times New Roman" w:cs="Times New Roman"/>
          <w:b/>
          <w:sz w:val="24"/>
        </w:rPr>
      </w:pPr>
    </w:p>
    <w:sectPr w:rsidR="005710A4" w:rsidRPr="0086713D"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A60806" w:rsidRDefault="00A60806" w:rsidP="00A00E34">
      <w:r>
        <w:separator/>
      </w:r>
    </w:p>
    <w:p w14:paraId="09D91489" w14:textId="77777777" w:rsidR="00A60806" w:rsidRDefault="00A60806"/>
  </w:endnote>
  <w:endnote w:type="continuationSeparator" w:id="0">
    <w:p w14:paraId="51EB50DE" w14:textId="77777777" w:rsidR="00A60806" w:rsidRDefault="00A60806" w:rsidP="00A00E34">
      <w:r>
        <w:continuationSeparator/>
      </w:r>
    </w:p>
    <w:p w14:paraId="4B8A26D8" w14:textId="77777777" w:rsidR="00A60806" w:rsidRDefault="00A60806"/>
  </w:endnote>
  <w:endnote w:type="continuationNotice" w:id="1">
    <w:p w14:paraId="59DA252B" w14:textId="77777777" w:rsidR="00A60806" w:rsidRDefault="00A608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A60806" w:rsidRDefault="00A6080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A60806" w:rsidRDefault="00A60806"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1CB4C01D" w:rsidR="00A60806" w:rsidRDefault="00A6080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587D">
      <w:rPr>
        <w:rStyle w:val="PageNumber"/>
        <w:noProof/>
      </w:rPr>
      <w:t>5</w:t>
    </w:r>
    <w:r>
      <w:rPr>
        <w:rStyle w:val="PageNumber"/>
      </w:rPr>
      <w:fldChar w:fldCharType="end"/>
    </w:r>
  </w:p>
  <w:p w14:paraId="1ADEF20C" w14:textId="2F6876BD" w:rsidR="00A60806" w:rsidRDefault="00A60806"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A60806" w:rsidRDefault="00A608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A60806" w:rsidRPr="00DB5E8F" w:rsidRDefault="00A60806">
      <w:pPr>
        <w:rPr>
          <w:sz w:val="12"/>
          <w:szCs w:val="12"/>
        </w:rPr>
      </w:pPr>
      <w:r>
        <w:rPr>
          <w:sz w:val="12"/>
          <w:szCs w:val="12"/>
        </w:rPr>
        <w:separator/>
      </w:r>
    </w:p>
  </w:footnote>
  <w:footnote w:type="continuationSeparator" w:id="0">
    <w:p w14:paraId="7486523A" w14:textId="77777777" w:rsidR="00A60806" w:rsidRDefault="00A60806" w:rsidP="00A00E34">
      <w:r>
        <w:continuationSeparator/>
      </w:r>
    </w:p>
    <w:p w14:paraId="600D8191" w14:textId="77777777" w:rsidR="00A60806" w:rsidRDefault="00A60806"/>
  </w:footnote>
  <w:footnote w:type="continuationNotice" w:id="1">
    <w:p w14:paraId="3AC4A386" w14:textId="77777777" w:rsidR="00A60806" w:rsidRDefault="00A60806"/>
  </w:footnote>
  <w:footnote w:id="2">
    <w:p w14:paraId="262BD994" w14:textId="1A522BC4" w:rsidR="00A60806" w:rsidRPr="00A3389E" w:rsidRDefault="00A60806" w:rsidP="00A3389E">
      <w:pPr>
        <w:pStyle w:val="FootnoteText"/>
        <w:spacing w:before="0" w:line="240" w:lineRule="auto"/>
        <w:ind w:left="720" w:hanging="720"/>
        <w:rPr>
          <w:rFonts w:ascii="Times New Roman" w:eastAsia="Calibri"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 xml:space="preserve">Nariadenie Európskeho parlamentu a Rady (EÚ) č. 575/2013 z 26. júna 2013 o prudenciálnych požiadavkách na úverové inštitúcie a investičné spoločnosti a o zmene nariadenia (EÚ) č. 648/2012 </w:t>
      </w:r>
      <w:r w:rsidRPr="00A3389E">
        <w:rPr>
          <w:rFonts w:ascii="Times New Roman" w:hAnsi="Times New Roman" w:cs="Times New Roman"/>
          <w:color w:val="444444"/>
          <w:sz w:val="20"/>
          <w:szCs w:val="20"/>
        </w:rPr>
        <w:t>(</w:t>
      </w:r>
      <w:hyperlink r:id="rId1" w:history="1">
        <w:r w:rsidRPr="00A3389E">
          <w:rPr>
            <w:rFonts w:ascii="Times New Roman" w:hAnsi="Times New Roman" w:cs="Times New Roman"/>
            <w:color w:val="800080"/>
            <w:sz w:val="20"/>
            <w:szCs w:val="20"/>
            <w:u w:val="single"/>
          </w:rPr>
          <w:t>Ú. v. EÚ L 176, 27.6.2013, s. 1</w:t>
        </w:r>
      </w:hyperlink>
      <w:r w:rsidRPr="00A3389E">
        <w:rPr>
          <w:rFonts w:ascii="Times New Roman" w:hAnsi="Times New Roman" w:cs="Times New Roman"/>
          <w:color w:val="444444"/>
          <w:sz w:val="20"/>
          <w:szCs w:val="20"/>
        </w:rPr>
        <w:t>)</w:t>
      </w:r>
      <w:r w:rsidRPr="00A3389E">
        <w:rPr>
          <w:rFonts w:ascii="Times New Roman" w:hAnsi="Times New Roman" w:cs="Times New Roman"/>
          <w:sz w:val="20"/>
          <w:szCs w:val="20"/>
        </w:rPr>
        <w:t>.</w:t>
      </w:r>
    </w:p>
  </w:footnote>
  <w:footnote w:id="3">
    <w:p w14:paraId="65DAF6E3" w14:textId="1D25E910"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Usmernenia EBA/GL/2018/03 Európskeho orgánu pre bankovníctvo z 19. júla 2018 o revidovaných spoločných postupoch a metodikách postupu preskúmania a hodnotenia orgánmi dohľadu (SREP) a stresového testovania orgánmi dohľadu.</w:t>
      </w:r>
    </w:p>
  </w:footnote>
  <w:footnote w:id="4">
    <w:p w14:paraId="6EEE1EF0" w14:textId="25EA5D82"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Delegované nariadenie Komisie (EÚ) 2015/61 z 10. októbra 2014, ktorým sa dopĺňa nariadenie Európskeho parlamentu a Rady (EÚ) č. 575/2013, pokiaľ ide o požiadavku na krytie likvidity pre úverové inštitúcie (Ú. v. EÚ L 11, 17.1.2015, s. 1).</w:t>
      </w:r>
    </w:p>
  </w:footnote>
  <w:footnote w:id="5">
    <w:p w14:paraId="2A17ED68" w14:textId="711B6A31"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Európskeho parlamentu a Rady 2002/87/ES zo 16. decembra 2002 o doplnkovom dohľade nad úverovými inštitúciami, poisťovňami a investičnými spoločnosťami vo finančnom konglomeráte, ktorou sa menia a dopĺňajú smernice Rady 73/239/EHS, 79/267/EHS, 92/49/EHS, 92/96/EHS, 93/6/EHS a 93/22/EHS a smernice Európskeho parlamentu a Rady 98/78/ES a 2000/12/ES (Ú. v. EÚ L 35, 11.2.2003, s. 1).</w:t>
      </w:r>
    </w:p>
  </w:footnote>
  <w:footnote w:id="6">
    <w:p w14:paraId="0F97224E" w14:textId="7F091432" w:rsidR="00A60806" w:rsidRPr="00A3389E" w:rsidRDefault="00A60806" w:rsidP="00A3389E">
      <w:pPr>
        <w:pStyle w:val="FootnoteText"/>
        <w:spacing w:before="0" w:line="240" w:lineRule="auto"/>
        <w:ind w:left="720" w:hanging="720"/>
        <w:rPr>
          <w:rFonts w:ascii="Times New Roman" w:eastAsia="Calibri"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r>
      <w:r w:rsidRPr="00A3389E">
        <w:rPr>
          <w:rFonts w:ascii="Times New Roman" w:hAnsi="Times New Roman" w:cs="Times New Roman"/>
          <w:color w:val="444444"/>
          <w:sz w:val="20"/>
          <w:szCs w:val="20"/>
        </w:rPr>
        <w:t>Nariadenie Európskeho parlamentu a Rady (EÚ) č. 575/2013 z 26. júna 2013 o prudenciálnych požiadavkách na úverové inštitúcie a investičné spoločnosti a o zmene nariadenia (EÚ) č. 648/2012 (</w:t>
      </w:r>
      <w:hyperlink r:id="rId2" w:history="1">
        <w:r w:rsidRPr="00A3389E">
          <w:rPr>
            <w:rFonts w:ascii="Times New Roman" w:hAnsi="Times New Roman" w:cs="Times New Roman"/>
            <w:color w:val="800080"/>
            <w:sz w:val="20"/>
            <w:szCs w:val="20"/>
            <w:u w:val="single"/>
          </w:rPr>
          <w:t>Ú. v. EÚ L 176, 27.6.2013, s. 1</w:t>
        </w:r>
      </w:hyperlink>
      <w:r w:rsidRPr="00A3389E">
        <w:rPr>
          <w:rFonts w:ascii="Times New Roman" w:hAnsi="Times New Roman" w:cs="Times New Roman"/>
          <w:color w:val="444444"/>
          <w:sz w:val="20"/>
          <w:szCs w:val="20"/>
        </w:rPr>
        <w:t>)</w:t>
      </w:r>
      <w:r w:rsidRPr="00A3389E">
        <w:rPr>
          <w:rFonts w:ascii="Times New Roman" w:hAnsi="Times New Roman" w:cs="Times New Roman"/>
          <w:sz w:val="20"/>
          <w:szCs w:val="20"/>
        </w:rPr>
        <w:t>.</w:t>
      </w:r>
    </w:p>
  </w:footnote>
  <w:footnote w:id="7">
    <w:p w14:paraId="340BC0CF" w14:textId="4151C833"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EURÓPSKEHO PARLAMENTU A RADY 2013/36/EÚ z 26. júna 2013 o prístupe k činnosti úverových inštitúcií a prudenciálnom dohľade nad úverovými inštitúciami a investičnými spoločnosťami, o zmene smernice 2002/87/ES a o zrušení smerníc 2006/48/ES a 2006/49/ES (Ú. v. EÚ L 176, 27.6.2013, s. 338).</w:t>
      </w:r>
    </w:p>
  </w:footnote>
  <w:footnote w:id="8">
    <w:p w14:paraId="1BE208BA" w14:textId="6486B6F5" w:rsidR="00A60806" w:rsidRPr="00A3389E" w:rsidRDefault="00A60806" w:rsidP="00A3389E">
      <w:pPr>
        <w:pStyle w:val="FootnoteText"/>
        <w:spacing w:before="0" w:line="240" w:lineRule="auto"/>
        <w:ind w:left="720" w:hanging="720"/>
        <w:rPr>
          <w:rFonts w:ascii="Times New Roman" w:eastAsia="Calibri"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3" w:history="1">
        <w:r w:rsidRPr="00A3389E">
          <w:rPr>
            <w:rFonts w:ascii="Times New Roman" w:hAnsi="Times New Roman" w:cs="Times New Roman"/>
            <w:color w:val="800080"/>
            <w:sz w:val="20"/>
            <w:szCs w:val="20"/>
            <w:u w:val="single"/>
          </w:rPr>
          <w:t>Ú. v. EÚ L 176, 27.6.2013, s. 1</w:t>
        </w:r>
      </w:hyperlink>
      <w:r w:rsidRPr="00A3389E">
        <w:rPr>
          <w:rFonts w:ascii="Times New Roman" w:hAnsi="Times New Roman" w:cs="Times New Roman"/>
          <w:sz w:val="20"/>
          <w:szCs w:val="20"/>
        </w:rPr>
        <w:t>).</w:t>
      </w:r>
    </w:p>
  </w:footnote>
  <w:footnote w:id="9">
    <w:p w14:paraId="49757893" w14:textId="05F64861"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 (Ú. v. EÚ L 182, 29.6.2013, s. 19).</w:t>
      </w:r>
    </w:p>
  </w:footnote>
  <w:footnote w:id="10">
    <w:p w14:paraId="3A9F714D" w14:textId="07071FBC"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NARIADENIE EURÓPSKEHO PARLAMENTU A RADY (ES) č. 1606/2002 z 19. júla 2002 o uplatňovaní medzinárodných účtovných noriem (Ú. v. ES L 243, 11.9.2002, s. 1).</w:t>
      </w:r>
    </w:p>
  </w:footnote>
  <w:footnote w:id="11">
    <w:p w14:paraId="11CA5EE8" w14:textId="14CCA24E"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RADY 86/635/EHS z 8. decembra 1986 o ročnej účtovnej závierke a konsolidovaných účtoch bánk a iných finančných inštitúcií (Ú. v. ES L 372, 31.12.1986, s. 1).</w:t>
      </w:r>
    </w:p>
  </w:footnote>
  <w:footnote w:id="12">
    <w:p w14:paraId="1BA7AC25" w14:textId="0D191231" w:rsidR="00A60806" w:rsidRPr="00A60806" w:rsidRDefault="00A60806" w:rsidP="00A3389E">
      <w:pPr>
        <w:pStyle w:val="FootnoteText"/>
        <w:spacing w:before="0" w:line="240" w:lineRule="auto"/>
        <w:ind w:left="720" w:hanging="720"/>
        <w:rPr>
          <w:rFonts w:ascii="Times New Roman" w:hAnsi="Times New Roman" w:cs="Times New Roman"/>
          <w:spacing w:val="-4"/>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r>
      <w:r w:rsidRPr="00A60806">
        <w:rPr>
          <w:rFonts w:ascii="Times New Roman" w:hAnsi="Times New Roman" w:cs="Times New Roman"/>
          <w:spacing w:val="-4"/>
          <w:sz w:val="20"/>
          <w:szCs w:val="20"/>
        </w:rPr>
        <w:t>DELEGOVANÉ NARIADENIE KOMISIE (EÚ) č. 183/2014 z 20. decembra 2013, ktorým sa dopĺňa nariadenie Európskeho parlamentu a Rady (EÚ) č. 575/2013 o prudenciálnych požiadavkách na úverové inštitúcie a investičné spoločnosti, pokiaľ ide o regulačné technické predpisy na presné stanovenie výpočtu špecifických a všeobecných úprav kreditného rizika (Ú. v. EÚ L 57, 27.2.2014, s. 3).</w:t>
      </w:r>
    </w:p>
  </w:footnote>
  <w:footnote w:id="13">
    <w:p w14:paraId="0A83D452" w14:textId="222EAB29" w:rsidR="00A60806" w:rsidRPr="00A60806" w:rsidRDefault="00A60806" w:rsidP="00A3389E">
      <w:pPr>
        <w:pStyle w:val="FootnoteText"/>
        <w:spacing w:before="0" w:line="240" w:lineRule="auto"/>
        <w:ind w:left="720" w:hanging="720"/>
        <w:rPr>
          <w:rFonts w:ascii="Times New Roman" w:hAnsi="Times New Roman" w:cs="Times New Roman"/>
          <w:spacing w:val="-4"/>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r>
      <w:r w:rsidRPr="00A60806">
        <w:rPr>
          <w:rFonts w:ascii="Times New Roman" w:hAnsi="Times New Roman" w:cs="Times New Roman"/>
          <w:spacing w:val="-4"/>
          <w:sz w:val="20"/>
          <w:szCs w:val="20"/>
        </w:rPr>
        <w:t>DELEGOVANÉ NARIADENIE KOMISIE (EÚ) 2016/101 z 26. októbra 2015, ktorým sa dopĺňa nariadenie Európskeho parlamentu a Rady (EÚ) č. 575/2013, pokiaľ ide o regulačné technické predpisy týkajúce sa obozretného oceňovania podľa článku 105 ods. 14 (Ú. v. EÚ L 21, 28.1.2016, s. 54).</w:t>
      </w:r>
    </w:p>
  </w:footnote>
  <w:footnote w:id="14">
    <w:p w14:paraId="6BE73D03" w14:textId="3540AC3C"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4"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15">
    <w:p w14:paraId="24515CC3" w14:textId="77777777" w:rsidR="00A60806" w:rsidRPr="00A3389E" w:rsidRDefault="00A60806" w:rsidP="00A3389E">
      <w:pPr>
        <w:pStyle w:val="FootnoteText"/>
        <w:spacing w:before="0" w:line="240" w:lineRule="auto"/>
        <w:ind w:left="720" w:hanging="720"/>
        <w:rPr>
          <w:rFonts w:ascii="Times New Roman" w:hAnsi="Times New Roman" w:cs="Times New Roman"/>
          <w:sz w:val="20"/>
          <w:szCs w:val="20"/>
        </w:rPr>
      </w:pPr>
    </w:p>
    <w:p w14:paraId="211C8118" w14:textId="77777777" w:rsidR="00A60806" w:rsidRPr="00A3389E" w:rsidRDefault="00A60806" w:rsidP="00A3389E">
      <w:pPr>
        <w:pStyle w:val="FootnoteText"/>
        <w:spacing w:before="0" w:line="240" w:lineRule="auto"/>
        <w:ind w:left="720" w:hanging="720"/>
        <w:rPr>
          <w:rFonts w:ascii="Times New Roman" w:hAnsi="Times New Roman" w:cs="Times New Roman"/>
          <w:sz w:val="20"/>
          <w:szCs w:val="20"/>
        </w:rPr>
      </w:pPr>
    </w:p>
  </w:footnote>
  <w:footnote w:id="16">
    <w:p w14:paraId="5D9149DD" w14:textId="1C853983"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EURÓPSKEHO PARLAMENTU A RADY (EÚ) 2019/879 z 20. mája 2019, ktorou sa mení smernica 2014/59/EÚ, pokiaľ ide o kapacitu úverových inštitúcií a investičných spoločností na absorpciu strát a rekapitalizáciu, a smernica 98/26/ES (Ú. v. EÚ L 150, 7.6.2019, s. 296).</w:t>
      </w:r>
    </w:p>
  </w:footnote>
  <w:footnote w:id="17">
    <w:p w14:paraId="0E03FE55" w14:textId="7FE59447"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5"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18">
    <w:p w14:paraId="4A40AE56" w14:textId="21D73EE2" w:rsidR="00A60806" w:rsidRPr="00B53505" w:rsidRDefault="00A60806" w:rsidP="00A3389E">
      <w:pPr>
        <w:pStyle w:val="FootnoteText"/>
        <w:spacing w:before="0" w:line="240" w:lineRule="auto"/>
        <w:ind w:left="720" w:hanging="720"/>
        <w:rPr>
          <w:rFonts w:ascii="Times New Roman" w:hAnsi="Times New Roman" w:cs="Times New Roman"/>
          <w:spacing w:val="-4"/>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r>
      <w:r w:rsidRPr="00B53505">
        <w:rPr>
          <w:rFonts w:ascii="Times New Roman" w:hAnsi="Times New Roman" w:cs="Times New Roman"/>
          <w:spacing w:val="-4"/>
          <w:sz w:val="20"/>
          <w:szCs w:val="20"/>
        </w:rPr>
        <w:t>SMERNICA EURÓPSKEHO PARLAMENTU A RADY 2013/36/EÚ z 26. júna 2013 o prístupe k činnosti úverových inštitúcií a prudenciálnom dohľade nad úverovými inštitúciami a investičnými spoločnosťami, o zmene smernice 2002/87/ES a o zrušení smerníc 2006/48/ES a 2006/49/ES (Ú. v. EÚ L 176, 27.6.2013, s. 338).</w:t>
      </w:r>
    </w:p>
  </w:footnote>
  <w:footnote w:id="19">
    <w:p w14:paraId="2E6D0092" w14:textId="47923536" w:rsidR="00A60806" w:rsidRPr="00B53505" w:rsidRDefault="00A60806" w:rsidP="00A3389E">
      <w:pPr>
        <w:pStyle w:val="FootnoteText"/>
        <w:spacing w:before="0" w:line="240" w:lineRule="auto"/>
        <w:ind w:left="720" w:hanging="720"/>
        <w:rPr>
          <w:rFonts w:ascii="Times New Roman" w:hAnsi="Times New Roman" w:cs="Times New Roman"/>
          <w:spacing w:val="-4"/>
          <w:sz w:val="20"/>
          <w:szCs w:val="20"/>
        </w:rPr>
      </w:pPr>
      <w:r w:rsidRPr="00B53505">
        <w:rPr>
          <w:rStyle w:val="FootnoteReference"/>
          <w:rFonts w:ascii="Times New Roman" w:hAnsi="Times New Roman" w:cs="Times New Roman"/>
          <w:spacing w:val="-4"/>
          <w:sz w:val="20"/>
          <w:szCs w:val="20"/>
        </w:rPr>
        <w:footnoteRef/>
      </w:r>
      <w:r w:rsidRPr="00B53505">
        <w:rPr>
          <w:rFonts w:ascii="Times New Roman" w:hAnsi="Times New Roman" w:cs="Times New Roman"/>
          <w:spacing w:val="-4"/>
          <w:sz w:val="20"/>
          <w:szCs w:val="20"/>
        </w:rPr>
        <w:tab/>
        <w:t>DELEGOVANÉ NARIADENIE KOMISIE (EÚ) č. 1152/2014 zo 4. júna 2014, ktorým sa dopĺňa smernica Európskeho parlamentu a Rady 2013/36/EÚ, pokiaľ ide o regulačné technické predpisy o identifikácii geografického umiestnenia príslušných expozícií voči kreditným rizikám pre výpočet miery proticyklického kapitálového vankúša špecifického pre inštitúciu (Ú. v. EÚ L 309, 30.10.2014, s. 5).</w:t>
      </w:r>
    </w:p>
  </w:footnote>
  <w:footnote w:id="20">
    <w:p w14:paraId="06491F87" w14:textId="2BAAF83D"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6"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21">
    <w:p w14:paraId="60C78B1A" w14:textId="2685D7B4"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7"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22">
    <w:p w14:paraId="62305A9B" w14:textId="569F6269"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 xml:space="preserve">DELEGOVANÉ NARIADENIE KOMISIE (EÚ) 2015/61 z 10. októbra 2014, ktorým sa dopĺňa nariadenie Európskeho parlamentu a Rady (EÚ) č. 575/2013, pokiaľ ide o požiadavku na krytie likvidity pre úverové inštitúcie (Ú. v. EÚ L 11, 17.1.2015, s. 1). </w:t>
      </w:r>
    </w:p>
  </w:footnote>
  <w:footnote w:id="23">
    <w:p w14:paraId="7410D74E" w14:textId="0851C8E7"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EURÓPSKEHO PARLAMENTU A RADY 94/19/ES z 30. mája 1994 o systémoch ochrany vkladov (Ú. v. ES L 135, 31.5.1994, s. 5).</w:t>
      </w:r>
    </w:p>
  </w:footnote>
  <w:footnote w:id="24">
    <w:p w14:paraId="4520B3DC" w14:textId="594DE696"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EURÓPSKEHO PARLAMENTU A RADY 2014/49/EÚ zo 16. apríla 2014 o systémoch ochrany vkladov (Ú. v. EÚ L 173, 12.6.2014, s. 149).</w:t>
      </w:r>
    </w:p>
  </w:footnote>
  <w:footnote w:id="25">
    <w:p w14:paraId="12A0E7C0" w14:textId="01025346"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DELEGOVANÉ NARIADENIE KOMISIE (EÚ) 2017/208 z 31. októbra 2016, ktorým sa dopĺňa nariadenie Európskeho parlamentu a Rady (EÚ) č. 575/2013, pokiaľ ide o regulačné technické predpisy týkajúce sa dodatočných záporných peňažných tokov likvidity zodpovedajúcich potrebám kolaterálu, ktoré vyplývajú z vplyvu negatívneho trhového scenára na transakcie inštitúcie s derivátmi (Ú. v. EÚ L 33, 8.2.2017, s. 14).</w:t>
      </w:r>
    </w:p>
  </w:footnote>
  <w:footnote w:id="26">
    <w:p w14:paraId="41E768A6" w14:textId="13DE945C"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VYKONÁVACIE NARIADENIE KOMISIE (EÚ) č. 680/2014 zo 16. apríla 2014, ktorým sa stanovujú vykonávacie technické predpisy, pokiaľ ide o vykazovanie inštitúciami na účely dohľadu podľa nariadenia Európskeho parlamentu a Rady (EÚ) č. 575/2013 (Ú. v. EÚ L 191, 28.6.2014, s. 1).</w:t>
      </w:r>
    </w:p>
  </w:footnote>
  <w:footnote w:id="27">
    <w:p w14:paraId="65A66F1C" w14:textId="71E28BAF"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EURÓPSKEHO PARLAMENTU A RADY 2009/65/ES z 13. júla 2009 o koordinácii zákonov, iných právnych predpisov a správnych opatrení týkajúcich sa podnikov kolektívneho investovania do prevoditeľných cenných papierov (PKIPCP) (Ú. v. EÚ L 302, 17.11.2009, s. 32).</w:t>
      </w:r>
    </w:p>
  </w:footnote>
  <w:footnote w:id="28">
    <w:p w14:paraId="1E2B4845" w14:textId="668FC46C"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8"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29">
    <w:p w14:paraId="7D803589" w14:textId="18251D5D"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VYKONÁVACIE NARIADENIE KOMISIE (EÚ) č. 680/2014 zo 16. apríla 2014, ktorým sa stanovujú vykonávacie technické predpisy, pokiaľ ide o vykazovanie inštitúciami na účely dohľadu podľa nariadenia Európskeho parlamentu a Rady (EÚ) č. 575/2013 (Ú. v. EÚ L 191, 28.6.2014, s. 1).</w:t>
      </w:r>
    </w:p>
  </w:footnote>
  <w:footnote w:id="30">
    <w:p w14:paraId="3A92CAFF" w14:textId="65B6C131"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NARIADENIE EURÓPSKEJ CENTRÁLNEJ BANKY (EÚ) č. 1071/2013 z 24. septembra 2013 o bilancii sektora peňažných finančných inštitúcií (ECB/2013/33) (Ú. v. EÚ L 297, 7.11.2013, s. 1).</w:t>
      </w:r>
    </w:p>
  </w:footnote>
  <w:footnote w:id="31">
    <w:p w14:paraId="2C8266CA" w14:textId="0F36A08A"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RADY 86/635/EHS z 8. decembra 1986 o ročnej účtovnej závierke a konsolidovaných účtoch bánk a iných finančných inštitúcií (Ú. v. ES L 372, 31.12.1986, s. 1).</w:t>
      </w:r>
    </w:p>
  </w:footnote>
  <w:footnote w:id="32">
    <w:p w14:paraId="21AE182B" w14:textId="148A0C22"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ODPORÚČANIE EURÓPSKEHO VÝBORU PRE SYSTÉMOVÉ RIZIKÁ z 31. októbra 2016 o doplnení chýbajúcich údajov o nehnuteľnostiach (ESRB/2016/14) (Ú. v. EÚ C 31, 31.1.2017, s. 1).</w:t>
      </w:r>
    </w:p>
  </w:footnote>
  <w:footnote w:id="33">
    <w:p w14:paraId="3C3116D6" w14:textId="7F4794AC"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9"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34">
    <w:p w14:paraId="0FC5834E" w14:textId="6B778682"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EURÓPSKEJ CENTRÁLNEJ BANKY (EÚ) č. 1071/2013 z 24. septembra 2013 o bilancii sektora peňažných finančných inštitúcií (ECB/2013/33) (Ú. v. EÚ L 297, 7.11.2013, s. 1).</w:t>
      </w:r>
    </w:p>
  </w:footnote>
  <w:footnote w:id="35">
    <w:p w14:paraId="274AF186" w14:textId="2CF11D57"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VYKONÁVACIE NARIADENIE KOMISIE (EÚ) č. 680/2014 zo 16. apríla 2014, ktorým sa stanovujú vykonávacie technické predpisy, pokiaľ ide o vykazovanie inštitúciami na účely dohľadu podľa nariadenia Európskeho parlamentu a Rady (EÚ) č. 575/2013 (Ú. v. EÚ L 191, 28.6.2014, s. 1).</w:t>
      </w:r>
    </w:p>
  </w:footnote>
  <w:footnote w:id="36">
    <w:p w14:paraId="345D93EA" w14:textId="60CCF45A"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10"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37">
    <w:p w14:paraId="0500421E" w14:textId="69B403D5" w:rsidR="00A60806" w:rsidRPr="00B2251E" w:rsidRDefault="00A60806" w:rsidP="00A3389E">
      <w:pPr>
        <w:pStyle w:val="FootnoteText"/>
        <w:spacing w:before="0" w:line="240" w:lineRule="auto"/>
        <w:ind w:left="720" w:hanging="720"/>
        <w:rPr>
          <w:rFonts w:ascii="Times New Roman" w:hAnsi="Times New Roman" w:cs="Times New Roman"/>
          <w:spacing w:val="-4"/>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r>
      <w:r w:rsidRPr="00B2251E">
        <w:rPr>
          <w:rFonts w:ascii="Times New Roman" w:hAnsi="Times New Roman" w:cs="Times New Roman"/>
          <w:spacing w:val="-4"/>
          <w:sz w:val="20"/>
          <w:szCs w:val="20"/>
        </w:rPr>
        <w:t>DELEGOVANÉ NARIADENIE KOMISIE (EÚ) č. 183/2014 z 20. decembra 2013, ktorým sa dopĺňa nariadenie Európskeho parlamentu a Rady (EÚ) č. 575/2013 o prudenciálnych požiadavkách na úverové inštitúcie a investičné spoločnosti, pokiaľ ide o regulačné technické predpisy na presné stanovenie výpočtu špecifických a všeobecných úprav kreditného rizika (Ú. v. EÚ L 57, 27.2.2014, s. 3).</w:t>
      </w:r>
    </w:p>
  </w:footnote>
  <w:footnote w:id="38">
    <w:p w14:paraId="1BBA1BD5" w14:textId="45DCD277"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11"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39">
    <w:p w14:paraId="4DCA811C" w14:textId="47D3AC29" w:rsidR="00A60806" w:rsidRPr="00B2251E" w:rsidRDefault="00A60806" w:rsidP="00A3389E">
      <w:pPr>
        <w:pStyle w:val="FootnoteText"/>
        <w:spacing w:before="0" w:line="240" w:lineRule="auto"/>
        <w:ind w:left="720" w:hanging="720"/>
        <w:rPr>
          <w:rFonts w:ascii="Times New Roman" w:hAnsi="Times New Roman" w:cs="Times New Roman"/>
          <w:spacing w:val="-4"/>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r>
      <w:r w:rsidRPr="00B2251E">
        <w:rPr>
          <w:rFonts w:ascii="Times New Roman" w:hAnsi="Times New Roman" w:cs="Times New Roman"/>
          <w:spacing w:val="-4"/>
          <w:sz w:val="20"/>
          <w:szCs w:val="20"/>
        </w:rPr>
        <w:t>DELEGOVANÉ NARIADENIE KOMISIE (EÚ) č. 183/2014 z 20. decembra 2013, ktorým sa dopĺňa nariadenie Európskeho parlamentu a Rady (EÚ) č. 575/2013 o prudenciálnych požiadavkách na úverové inštitúcie a investičné spoločnosti, pokiaľ ide o regulačné technické predpisy na presné stanovenie výpočtu špecifických a všeobecných úprav kreditného rizika (Ú. v. EÚ L 57, 27.2.2014, s. 3).</w:t>
      </w:r>
    </w:p>
  </w:footnote>
  <w:footnote w:id="40">
    <w:p w14:paraId="5A21779D" w14:textId="49596463"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12"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41">
    <w:p w14:paraId="1354A9D5" w14:textId="4AACD819"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13"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42">
    <w:p w14:paraId="6D017CEF" w14:textId="5AFE77DD"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14"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43">
    <w:p w14:paraId="6D22D42F" w14:textId="061BF184" w:rsidR="00A60806" w:rsidRPr="00C76D85" w:rsidRDefault="00A60806" w:rsidP="00A3389E">
      <w:pPr>
        <w:pStyle w:val="FootnoteText"/>
        <w:spacing w:before="0" w:line="240" w:lineRule="auto"/>
        <w:ind w:left="720" w:hanging="720"/>
        <w:rPr>
          <w:rFonts w:ascii="Times New Roman" w:hAnsi="Times New Roman" w:cs="Times New Roman"/>
          <w:spacing w:val="-4"/>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r>
      <w:r w:rsidRPr="00C76D85">
        <w:rPr>
          <w:rFonts w:ascii="Times New Roman" w:hAnsi="Times New Roman" w:cs="Times New Roman"/>
          <w:spacing w:val="-4"/>
          <w:sz w:val="20"/>
          <w:szCs w:val="20"/>
        </w:rPr>
        <w:t>NARIADENIE EURÓPSKEHO PARLAMENTU A RADY (EÚ) 2017/2402 z 12. decembra 2017, ktorým sa stanovuje všeobecný rámec pre sekuritizáciu a vytvára sa osobitný rámec pre jednoduchú, transparentnú a štandardizovanú sekuritizáciu, a ktorým sa menia smernice 2009/65/ES, 2009/138/ES a 2011/61/EÚ a nariadenia (ES) č. 1060/2009 a (EÚ) č. 648/2012 (Ú. v. EÚ L 347, 28.12.2017, s. 35).</w:t>
      </w:r>
    </w:p>
  </w:footnote>
  <w:footnote w:id="44">
    <w:p w14:paraId="0B53A160" w14:textId="3F43C5B1"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15"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45">
    <w:p w14:paraId="22629C6B" w14:textId="2F669C0B"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V zmysle vymedzenia v DELEGOVANOM NARIADENÍ KOMISIE (EÚ) č. 528/2014 z 12. marca 2014, ktorým sa dopĺňa nariadenie Európskeho parlamentu a Rady (EÚ) č. 575/2013, pokiaľ ide o regulačné technické predpisy pre riziko iné než delta pri opciách v štandardizovanom prístupe k trhovému riziku (Ú. v. EÚ L 148, 20.5.2014, s. 29).</w:t>
      </w:r>
    </w:p>
  </w:footnote>
  <w:footnote w:id="46">
    <w:p w14:paraId="3C1785B8" w14:textId="70A4ECD7"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V zmysle vymedzenia v DELEGOVANOM NARIADENÍ KOMISIE (EÚ) č. 528/2014 z 12. marca 2014, ktorým sa dopĺňa nariadenie Európskeho parlamentu a Rady (EÚ) č. 575/2013, pokiaľ ide o regulačné technické predpisy pre riziko iné než delta pri opciách v štandardizovanom prístupe k trhovému riziku (Ú. v. EÚ L 148, 20.5.2014, s. 29).</w:t>
      </w:r>
    </w:p>
  </w:footnote>
  <w:footnote w:id="47">
    <w:p w14:paraId="6D71BD4E" w14:textId="5A48A196"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V zmysle vymedzenia v DELEGOVANOM NARIADENÍ KOMISIE (EÚ) č. 528/2014 z 12. marca 2014, ktorým sa dopĺňa nariadenie Európskeho parlamentu a Rady (EÚ) č. 575/2013, pokiaľ ide o regulačné technické predpisy pre riziko iné než delta pri opciách v štandardizovanom prístupe k trhovému riziku (Ú. v. EÚ L 148, 20.5.2014, s. 29).</w:t>
      </w:r>
    </w:p>
  </w:footnote>
  <w:footnote w:id="48">
    <w:p w14:paraId="065D9CE7" w14:textId="4EFF3504"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 xml:space="preserve">Pozri objasnenie uvedené v dokumente Bazilejského výboru pre bankový dohľad Banky pre medzinárodné zúčtovanie s názvom </w:t>
      </w:r>
      <w:r w:rsidRPr="00A3389E">
        <w:rPr>
          <w:rFonts w:ascii="Times New Roman" w:hAnsi="Times New Roman" w:cs="Times New Roman"/>
          <w:i/>
          <w:sz w:val="20"/>
          <w:szCs w:val="20"/>
        </w:rPr>
        <w:t>DIS Disclosure requirements, DIS 99 Worked examples</w:t>
      </w:r>
      <w:r w:rsidRPr="00A3389E">
        <w:rPr>
          <w:rFonts w:ascii="Times New Roman" w:hAnsi="Times New Roman" w:cs="Times New Roman"/>
          <w:sz w:val="20"/>
          <w:szCs w:val="20"/>
        </w:rPr>
        <w:t xml:space="preserve"> [Požiadavky na zverejňovanie informácií (DIS), DIS 99 Vypracované príklady] z decembra 2019.</w:t>
      </w:r>
    </w:p>
  </w:footnote>
  <w:footnote w:id="49">
    <w:p w14:paraId="013701B3" w14:textId="3A057B9F"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16"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50">
    <w:p w14:paraId="21C8047D" w14:textId="40AFAA35"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17"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51">
    <w:p w14:paraId="1160ECDB" w14:textId="0AFEC910"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SMERNICA EURÓPSKEHO PARLAMENTU A RADY 2013/36/EÚ z 26. júna 2013 o prístupe k činnosti úverových inštitúcií a prudenciálnom dohľade nad úverovými inštitúciami a investičnými spoločnosťami, o zmene smernice 2002/87/ES a o zrušení smerníc 2006/48/ES a 2006/49/ES (Ú. v. EÚ L 176, 27.6.2013, s. 338).</w:t>
      </w:r>
    </w:p>
  </w:footnote>
  <w:footnote w:id="52">
    <w:p w14:paraId="4E6B3EF0" w14:textId="5C64FC11" w:rsidR="00A60806" w:rsidRPr="0086713D" w:rsidRDefault="00A60806" w:rsidP="00A3389E">
      <w:pPr>
        <w:pStyle w:val="FootnoteText"/>
        <w:spacing w:before="0" w:line="240" w:lineRule="auto"/>
        <w:ind w:left="720" w:hanging="720"/>
        <w:rPr>
          <w:rFonts w:ascii="Times New Roman" w:hAnsi="Times New Roman" w:cs="Times New Roman"/>
          <w:spacing w:val="-4"/>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r>
      <w:r w:rsidRPr="0086713D">
        <w:rPr>
          <w:rFonts w:ascii="Times New Roman" w:hAnsi="Times New Roman" w:cs="Times New Roman"/>
          <w:spacing w:val="-4"/>
          <w:sz w:val="20"/>
          <w:szCs w:val="20"/>
        </w:rPr>
        <w:t>DELEGOVANÉ NARIADENIE KOMISIE (EÚ) č. 604/2014 zo 4. marca 2014, ktorým sa dopĺňa smernica Európskeho parlamentu a Rady 2013/36/EÚ, pokiaľ ide o regulačné technické predpisy so zreteľom na kvalitatívne a vhodné kvantitatívne kritériá na vymedzenie kategórií pracovníkov, ktorých profesionálne činnosti majú významný vplyv na rizikový profil inštitúcie (Ú. v. EÚ L 167, 6.6.2014, s. 30).</w:t>
      </w:r>
    </w:p>
  </w:footnote>
  <w:footnote w:id="53">
    <w:p w14:paraId="1CD04175" w14:textId="260D8F47"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0086713D">
        <w:rPr>
          <w:rFonts w:ascii="Times New Roman" w:hAnsi="Times New Roman" w:cs="Times New Roman"/>
          <w:sz w:val="20"/>
          <w:szCs w:val="20"/>
        </w:rPr>
        <w:tab/>
      </w:r>
      <w:r w:rsidRPr="00A3389E">
        <w:rPr>
          <w:rFonts w:ascii="Times New Roman" w:hAnsi="Times New Roman" w:cs="Times New Roman"/>
          <w:sz w:val="20"/>
          <w:szCs w:val="20"/>
        </w:rPr>
        <w:t>Smernica Európskeho parlamentu a Rady 2011/61/EU z 8. júna 2011 o správcoch alternatívnych investičných fondov a o zmene a doplnení smerníc 2003/41/ES a 2009/65/ES a nariadení (ES) č. 1060/2009 a (EÚ) č. 1095/2010 (Ú. v. EÚ L 174, 1.7.2011, s. 1).</w:t>
      </w:r>
    </w:p>
  </w:footnote>
  <w:footnote w:id="54">
    <w:p w14:paraId="37D9562D" w14:textId="261B335F"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Európskeho parlamentu a Rady (EÚ) č. 575/2013 z 26. júna 2013 o prudenciálnych požiadavkách na úverové inštitúcie a investičné spoločnosti a o zmene nariadenia (EÚ) č. 648/2012 (</w:t>
      </w:r>
      <w:hyperlink r:id="rId18" w:history="1">
        <w:r w:rsidRPr="00A3389E">
          <w:rPr>
            <w:rStyle w:val="Hyperlink"/>
            <w:rFonts w:ascii="Times New Roman" w:hAnsi="Times New Roman" w:cs="Times New Roman"/>
            <w:sz w:val="20"/>
            <w:szCs w:val="20"/>
          </w:rPr>
          <w:t>Ú. v. EÚ L 176, 27.6.2013, s. 1</w:t>
        </w:r>
      </w:hyperlink>
      <w:r w:rsidRPr="00A3389E">
        <w:rPr>
          <w:rFonts w:ascii="Times New Roman" w:hAnsi="Times New Roman" w:cs="Times New Roman"/>
          <w:sz w:val="20"/>
          <w:szCs w:val="20"/>
        </w:rPr>
        <w:t>).</w:t>
      </w:r>
    </w:p>
  </w:footnote>
  <w:footnote w:id="55">
    <w:p w14:paraId="27CBD7E9" w14:textId="07577D67"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VYKONÁVACIE NARIADENIE KOMISIE (EÚ) č. 680/2014 zo 16. apríla 2014, ktorým sa stanovujú vykonávacie technické predpisy, pokiaľ ide o vykazovanie inštitúciami na účely dohľadu podľa nariadenia Európskeho parlamentu a Rady (EÚ) č. 575/2013 (Ú. v. EÚ L 191, 28.6.2014, s. 1).</w:t>
      </w:r>
    </w:p>
  </w:footnote>
  <w:footnote w:id="56">
    <w:p w14:paraId="5226DE22" w14:textId="4042584B"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 xml:space="preserve"> </w:t>
      </w:r>
      <w:r w:rsidRPr="00A3389E">
        <w:rPr>
          <w:rFonts w:ascii="Times New Roman" w:hAnsi="Times New Roman" w:cs="Times New Roman"/>
          <w:sz w:val="20"/>
          <w:szCs w:val="20"/>
        </w:rPr>
        <w:tab/>
        <w:t>NARIADENIE EURÓPSKEJ CENTRÁLNEJ BANKY (EÚ) č. 1071/2013 z 24. septembra 2013 o bilancii sektora peňažných finančných inštitúcií (ECB/2013/33) (Ú. v. EÚ L 297, 7.11.2013, s. 1).</w:t>
      </w:r>
    </w:p>
  </w:footnote>
  <w:footnote w:id="57">
    <w:p w14:paraId="3824AC0C" w14:textId="29F16C64"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EURÓPSKEHO PARLAMENTU A RADY 2009/65/ES z 13. júla 2009 o koordinácii zákonov, iných právnych predpisov a správnych opatrení týkajúcich sa podnikov kolektívneho investovania do prevoditeľných cenných papierov (PKIPCP) (Ú. v. EÚ L 302, 17.11.2009, s. 32).</w:t>
      </w:r>
    </w:p>
  </w:footnote>
  <w:footnote w:id="58">
    <w:p w14:paraId="71E91F33" w14:textId="1D830E14"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DELEGOVANÉ NARIADENIE KOMISIE (EÚ) 2015/61 z 10. októbra 2014, ktorým sa dopĺňa nariadenie Európskeho parlamentu a Rady (EÚ) č. 575/2013, pokiaľ ide o požiadavku na krytie likvidity pre úverové inštitúcie (Ú. v. EÚ L 11, 17.1.2015, s. 1).</w:t>
      </w:r>
    </w:p>
  </w:footnote>
  <w:footnote w:id="59">
    <w:p w14:paraId="175ED560" w14:textId="53DCB9BF" w:rsidR="00A60806" w:rsidRPr="00A3389E" w:rsidRDefault="00A60806" w:rsidP="00A3389E">
      <w:pPr>
        <w:pStyle w:val="FootnoteText"/>
        <w:spacing w:before="0" w:line="240" w:lineRule="auto"/>
        <w:ind w:left="720" w:hanging="720"/>
        <w:rPr>
          <w:rFonts w:ascii="Times New Roman" w:hAnsi="Times New Roman" w:cs="Times New Roman"/>
          <w:sz w:val="20"/>
          <w:szCs w:val="20"/>
        </w:rPr>
      </w:pPr>
      <w:r w:rsidRPr="00A3389E">
        <w:rPr>
          <w:rStyle w:val="FootnoteReference"/>
          <w:rFonts w:ascii="Times New Roman" w:hAnsi="Times New Roman" w:cs="Times New Roman"/>
          <w:sz w:val="20"/>
          <w:szCs w:val="20"/>
        </w:rPr>
        <w:footnoteRef/>
      </w:r>
      <w:r w:rsidRPr="00A3389E">
        <w:rPr>
          <w:rFonts w:ascii="Times New Roman" w:hAnsi="Times New Roman" w:cs="Times New Roman"/>
          <w:sz w:val="20"/>
          <w:szCs w:val="20"/>
        </w:rPr>
        <w:tab/>
        <w:t>Smernica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 (Ú. v. EÚ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A60806" w:rsidRDefault="00A60806">
    <w:sdt>
      <w:sdtPr>
        <w:id w:val="-1905980668"/>
        <w:temporary/>
        <w:showingPlcHdr/>
      </w:sdtPr>
      <w:sdtContent>
        <w:r>
          <w:t>[Type text]</w:t>
        </w:r>
      </w:sdtContent>
    </w:sdt>
    <w:r>
      <w:ptab w:relativeTo="margin" w:alignment="center" w:leader="none"/>
    </w:r>
    <w:sdt>
      <w:sdtPr>
        <w:id w:val="-476227318"/>
        <w:temporary/>
        <w:showingPlcHdr/>
      </w:sdtPr>
      <w:sdtContent>
        <w:r>
          <w:t>[Type text]</w:t>
        </w:r>
      </w:sdtContent>
    </w:sdt>
    <w:r>
      <w:ptab w:relativeTo="margin" w:alignment="right" w:leader="none"/>
    </w:r>
    <w:sdt>
      <w:sdtPr>
        <w:id w:val="807362839"/>
        <w:temporary/>
        <w:showingPlcHdr/>
      </w:sdtPr>
      <w:sdtContent>
        <w:r>
          <w:t>[Type text]</w:t>
        </w:r>
      </w:sdtContent>
    </w:sdt>
  </w:p>
  <w:p w14:paraId="3846A006" w14:textId="77777777" w:rsidR="00A60806" w:rsidRDefault="00A6080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A60806" w:rsidRDefault="00A608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A60806" w:rsidRDefault="00A60806" w:rsidP="00E677EF">
    <w:pPr>
      <w:pStyle w:val="Runningtitle"/>
    </w:pPr>
    <w:r>
      <w:t>running title comes here in running title style</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78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3CBA"/>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C61"/>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37F65"/>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587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DE3"/>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13D"/>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389E"/>
    <w:rsid w:val="00A342E8"/>
    <w:rsid w:val="00A36FE2"/>
    <w:rsid w:val="00A37FED"/>
    <w:rsid w:val="00A4409F"/>
    <w:rsid w:val="00A44A20"/>
    <w:rsid w:val="00A4547A"/>
    <w:rsid w:val="00A4607D"/>
    <w:rsid w:val="00A53163"/>
    <w:rsid w:val="00A53EC9"/>
    <w:rsid w:val="00A60806"/>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251E"/>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3505"/>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76D85"/>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89"/>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sk-SK"/>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sk-SK"/>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sk-SK"/>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sk-SK"/>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sk-SK"/>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sk-SK"/>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A60806"/>
    <w:rPr>
      <w:rFonts w:ascii="Times New Roman" w:eastAsia="Times New Roman" w:hAnsi="Times New Roman" w:cs="Times New Roman"/>
      <w:spacing w:val="-6"/>
      <w:lang w:eastAsia="de-DE"/>
    </w:rPr>
  </w:style>
  <w:style w:type="paragraph" w:customStyle="1" w:styleId="InstructionsText">
    <w:name w:val="Instructions Text"/>
    <w:basedOn w:val="Normal"/>
    <w:link w:val="InstructionsTextChar"/>
    <w:autoRedefine/>
    <w:rsid w:val="00A60806"/>
    <w:pPr>
      <w:spacing w:after="120"/>
      <w:jc w:val="both"/>
    </w:pPr>
    <w:rPr>
      <w:rFonts w:ascii="Times New Roman" w:eastAsia="Times New Roman" w:hAnsi="Times New Roman" w:cs="Times New Roman"/>
      <w:spacing w:val="-6"/>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sk-SK"/>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sk-SK"/>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sk-SK"/>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sk-SK"/>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sk-SK"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sk-SK"/>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sk-SK"/>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K/AUTO/?uri=OJ:L:2013:176:TOC" TargetMode="External"/><Relationship Id="rId13" Type="http://schemas.openxmlformats.org/officeDocument/2006/relationships/hyperlink" Target="https://eur-lex.europa.eu/legal-content/SK/AUTO/?uri=OJ:L:2013:176:TOC" TargetMode="External"/><Relationship Id="rId18" Type="http://schemas.openxmlformats.org/officeDocument/2006/relationships/hyperlink" Target="https://eur-lex.europa.eu/legal-content/SK/AUTO/?uri=OJ:L:2013:176:TOC" TargetMode="External"/><Relationship Id="rId3" Type="http://schemas.openxmlformats.org/officeDocument/2006/relationships/hyperlink" Target="https://eur-lex.europa.eu/legal-content/SK/AUTO/?uri=OJ:L:2013:176:TOC" TargetMode="External"/><Relationship Id="rId7" Type="http://schemas.openxmlformats.org/officeDocument/2006/relationships/hyperlink" Target="https://eur-lex.europa.eu/legal-content/SK/AUTO/?uri=OJ:L:2013:176:TOC" TargetMode="External"/><Relationship Id="rId12" Type="http://schemas.openxmlformats.org/officeDocument/2006/relationships/hyperlink" Target="https://eur-lex.europa.eu/legal-content/SK/AUTO/?uri=OJ:L:2013:176:TOC" TargetMode="External"/><Relationship Id="rId17" Type="http://schemas.openxmlformats.org/officeDocument/2006/relationships/hyperlink" Target="https://eur-lex.europa.eu/legal-content/SK/AUTO/?uri=OJ:L:2013:176:TOC" TargetMode="External"/><Relationship Id="rId2" Type="http://schemas.openxmlformats.org/officeDocument/2006/relationships/hyperlink" Target="https://eur-lex.europa.eu/legal-content/SK/AUTO/?uri=OJ:L:2013:176:TOC" TargetMode="External"/><Relationship Id="rId16" Type="http://schemas.openxmlformats.org/officeDocument/2006/relationships/hyperlink" Target="https://eur-lex.europa.eu/legal-content/SK/AUTO/?uri=OJ:L:2013:176:TOC" TargetMode="External"/><Relationship Id="rId1" Type="http://schemas.openxmlformats.org/officeDocument/2006/relationships/hyperlink" Target="https://eur-lex.europa.eu/legal-content/SK/AUTO/?uri=OJ:L:2013:176:TOC" TargetMode="External"/><Relationship Id="rId6" Type="http://schemas.openxmlformats.org/officeDocument/2006/relationships/hyperlink" Target="https://eur-lex.europa.eu/legal-content/SK/AUTO/?uri=OJ:L:2013:176:TOC" TargetMode="External"/><Relationship Id="rId11" Type="http://schemas.openxmlformats.org/officeDocument/2006/relationships/hyperlink" Target="https://eur-lex.europa.eu/legal-content/SK/AUTO/?uri=OJ:L:2013:176:TOC" TargetMode="External"/><Relationship Id="rId5" Type="http://schemas.openxmlformats.org/officeDocument/2006/relationships/hyperlink" Target="https://eur-lex.europa.eu/legal-content/SK/AUTO/?uri=OJ:L:2013:176:TOC" TargetMode="External"/><Relationship Id="rId15" Type="http://schemas.openxmlformats.org/officeDocument/2006/relationships/hyperlink" Target="https://eur-lex.europa.eu/legal-content/SK/AUTO/?uri=OJ:L:2013:176:TOC" TargetMode="External"/><Relationship Id="rId10" Type="http://schemas.openxmlformats.org/officeDocument/2006/relationships/hyperlink" Target="https://eur-lex.europa.eu/legal-content/SK/AUTO/?uri=OJ:L:2013:176:TOC" TargetMode="External"/><Relationship Id="rId4" Type="http://schemas.openxmlformats.org/officeDocument/2006/relationships/hyperlink" Target="https://eur-lex.europa.eu/legal-content/SK/AUTO/?uri=OJ:L:2013:176:TOC" TargetMode="External"/><Relationship Id="rId9" Type="http://schemas.openxmlformats.org/officeDocument/2006/relationships/hyperlink" Target="https://eur-lex.europa.eu/legal-content/SK/AUTO/?uri=OJ:L:2013:176:TOC" TargetMode="External"/><Relationship Id="rId14" Type="http://schemas.openxmlformats.org/officeDocument/2006/relationships/hyperlink" Target="https://eur-lex.europa.eu/legal-content/SK/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1245D-C4F8-46E0-9246-6E84133EC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226</Pages>
  <Words>74471</Words>
  <Characters>402146</Characters>
  <Application>Microsoft Office Word</Application>
  <DocSecurity>0</DocSecurity>
  <Lines>8936</Lines>
  <Paragraphs>1726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2021-02-26T12:58:00Z</dcterms:modified>
</cp:coreProperties>
</file>