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835753"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835753">
        <w:t>ZAŁĄCZNIK II</w:t>
      </w:r>
    </w:p>
    <w:p w14:paraId="03FA508D" w14:textId="43AA388F" w:rsidR="00C31378" w:rsidRPr="00835753" w:rsidRDefault="00C31378" w:rsidP="004077B1">
      <w:pPr>
        <w:pStyle w:val="Annexetitre"/>
        <w:ind w:firstLine="720"/>
      </w:pPr>
      <w:r w:rsidRPr="00835753">
        <w:t>Instrukcje dotyczące wzorów do celów ujawniania informacji</w:t>
      </w:r>
    </w:p>
    <w:p w14:paraId="161E3440" w14:textId="7B37A102" w:rsidR="00662487" w:rsidRPr="00835753" w:rsidRDefault="007F5865" w:rsidP="00662487">
      <w:pPr>
        <w:pStyle w:val="Titlelevel2"/>
        <w:spacing w:before="120" w:after="120"/>
        <w:rPr>
          <w:rFonts w:ascii="Times New Roman" w:hAnsi="Times New Roman"/>
          <w:color w:val="auto"/>
          <w:sz w:val="24"/>
        </w:rPr>
      </w:pPr>
      <w:r w:rsidRPr="00835753">
        <w:rPr>
          <w:rFonts w:ascii="Times New Roman" w:hAnsi="Times New Roman"/>
          <w:b/>
          <w:color w:val="auto"/>
          <w:sz w:val="24"/>
        </w:rPr>
        <w:t xml:space="preserve">Wzór EU OV1 – Przegląd łącznych kwot ekspozycji na ryzyko. </w:t>
      </w:r>
      <w:r w:rsidRPr="00835753">
        <w:rPr>
          <w:rFonts w:ascii="Times New Roman" w:hAnsi="Times New Roman"/>
          <w:color w:val="auto"/>
          <w:sz w:val="24"/>
        </w:rPr>
        <w:t>Format stały</w:t>
      </w:r>
    </w:p>
    <w:p w14:paraId="1FC729B5" w14:textId="52820844" w:rsidR="007E14C6" w:rsidRPr="00835753"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rPr>
      </w:pPr>
      <w:r w:rsidRPr="00835753">
        <w:rPr>
          <w:rFonts w:ascii="Times New Roman" w:hAnsi="Times New Roman"/>
          <w:bCs w:val="0"/>
          <w:color w:val="000000"/>
          <w:sz w:val="24"/>
        </w:rPr>
        <w:t>Instytucje stosują poniższe instrukcje</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cel</w:t>
      </w:r>
      <w:r w:rsidRPr="00835753">
        <w:rPr>
          <w:rFonts w:ascii="Times New Roman" w:hAnsi="Times New Roman"/>
          <w:bCs w:val="0"/>
          <w:color w:val="000000"/>
          <w:sz w:val="24"/>
        </w:rPr>
        <w:t>u wypełnienia wzoru EU OV1 zamieszczonego</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ączniku I do niniejszego rozporządzenia wykonawczego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438 lit.</w:t>
      </w:r>
      <w:r w:rsidR="00835753" w:rsidRPr="00835753">
        <w:rPr>
          <w:rFonts w:ascii="Times New Roman" w:hAnsi="Times New Roman"/>
          <w:bCs w:val="0"/>
          <w:color w:val="000000"/>
          <w:sz w:val="24"/>
        </w:rPr>
        <w:t> </w:t>
      </w:r>
      <w:r w:rsidRPr="00835753">
        <w:rPr>
          <w:rFonts w:ascii="Times New Roman" w:hAnsi="Times New Roman"/>
          <w:bCs w:val="0"/>
          <w:color w:val="000000"/>
          <w:sz w:val="24"/>
        </w:rPr>
        <w:t>d) rozporządzenia (UE) nr</w:t>
      </w:r>
      <w:r w:rsidR="00835753" w:rsidRPr="00835753">
        <w:rPr>
          <w:rFonts w:ascii="Times New Roman" w:hAnsi="Times New Roman"/>
          <w:bCs w:val="0"/>
          <w:color w:val="000000"/>
          <w:sz w:val="24"/>
        </w:rPr>
        <w:t> </w:t>
      </w:r>
      <w:r w:rsidRPr="00835753">
        <w:rPr>
          <w:rFonts w:ascii="Times New Roman" w:hAnsi="Times New Roman"/>
          <w:bCs w:val="0"/>
          <w:color w:val="000000"/>
          <w:sz w:val="24"/>
        </w:rPr>
        <w:t>575/2013</w:t>
      </w:r>
      <w:r w:rsidRPr="00835753">
        <w:rPr>
          <w:rStyle w:val="FootnoteReference"/>
          <w:rFonts w:eastAsiaTheme="minorEastAsia" w:cs="Times New Roman"/>
          <w:bCs w:val="0"/>
          <w:color w:val="000000"/>
        </w:rPr>
        <w:footnoteReference w:id="2"/>
      </w:r>
      <w:r w:rsidRPr="00835753">
        <w:rPr>
          <w:rFonts w:ascii="Times New Roman" w:hAnsi="Times New Roman"/>
          <w:bCs w:val="0"/>
          <w:color w:val="000000"/>
          <w:sz w:val="24"/>
        </w:rPr>
        <w:t xml:space="preserve"> („CRR”). </w:t>
      </w:r>
    </w:p>
    <w:p w14:paraId="790FD83C" w14:textId="0E96E5B0" w:rsidR="00C31378" w:rsidRPr="00835753" w:rsidRDefault="00720050" w:rsidP="00076626">
      <w:pPr>
        <w:pStyle w:val="Titlelevel2"/>
        <w:numPr>
          <w:ilvl w:val="0"/>
          <w:numId w:val="13"/>
        </w:numPr>
        <w:spacing w:before="120" w:after="120"/>
        <w:ind w:left="426"/>
        <w:rPr>
          <w:rFonts w:ascii="Times New Roman" w:hAnsi="Times New Roman"/>
          <w:sz w:val="24"/>
        </w:rPr>
      </w:pPr>
      <w:r w:rsidRPr="00835753">
        <w:rPr>
          <w:rFonts w:ascii="Times New Roman" w:hAnsi="Times New Roman"/>
          <w:bCs w:val="0"/>
          <w:color w:val="000000"/>
          <w:sz w:val="24"/>
        </w:rPr>
        <w:t>W stosownych przypadkach</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opi</w:t>
      </w:r>
      <w:r w:rsidRPr="00835753">
        <w:rPr>
          <w:rFonts w:ascii="Times New Roman" w:hAnsi="Times New Roman"/>
          <w:bCs w:val="0"/>
          <w:color w:val="000000"/>
          <w:sz w:val="24"/>
        </w:rPr>
        <w:t>sie dołączonym do wzoru instytucje wyjaśniają, jaki jest wpływ stosowania wymogów kapitałowych</w:t>
      </w:r>
      <w:r w:rsidR="00835753" w:rsidRPr="00835753">
        <w:rPr>
          <w:rFonts w:ascii="Times New Roman" w:hAnsi="Times New Roman"/>
          <w:bCs w:val="0"/>
          <w:color w:val="000000"/>
          <w:sz w:val="24"/>
        </w:rPr>
        <w:t xml:space="preserve"> i</w:t>
      </w:r>
      <w:r w:rsidR="00835753">
        <w:rPr>
          <w:rFonts w:ascii="Times New Roman" w:hAnsi="Times New Roman"/>
          <w:bCs w:val="0"/>
          <w:color w:val="000000"/>
          <w:sz w:val="24"/>
        </w:rPr>
        <w:t> </w:t>
      </w:r>
      <w:r w:rsidR="00835753" w:rsidRPr="00835753">
        <w:rPr>
          <w:rFonts w:ascii="Times New Roman" w:hAnsi="Times New Roman"/>
          <w:bCs w:val="0"/>
          <w:color w:val="000000"/>
          <w:sz w:val="24"/>
        </w:rPr>
        <w:t>nie</w:t>
      </w:r>
      <w:r w:rsidRPr="00835753">
        <w:rPr>
          <w:rFonts w:ascii="Times New Roman" w:hAnsi="Times New Roman"/>
          <w:bCs w:val="0"/>
          <w:color w:val="000000"/>
          <w:sz w:val="24"/>
        </w:rPr>
        <w:t>odliczania wartości pozycji od kwoty funduszy własnych na obliczenie kwoty funduszy własnych</w:t>
      </w:r>
      <w:r w:rsidR="00835753" w:rsidRPr="00835753">
        <w:rPr>
          <w:rFonts w:ascii="Times New Roman" w:hAnsi="Times New Roman"/>
          <w:bCs w:val="0"/>
          <w:color w:val="000000"/>
          <w:sz w:val="24"/>
        </w:rPr>
        <w:t xml:space="preserve"> i</w:t>
      </w:r>
      <w:r w:rsidR="00835753">
        <w:rPr>
          <w:rFonts w:ascii="Times New Roman" w:hAnsi="Times New Roman"/>
          <w:bCs w:val="0"/>
          <w:color w:val="000000"/>
          <w:sz w:val="24"/>
        </w:rPr>
        <w:t> </w:t>
      </w:r>
      <w:r w:rsidR="00835753" w:rsidRPr="00835753">
        <w:rPr>
          <w:rFonts w:ascii="Times New Roman" w:hAnsi="Times New Roman"/>
          <w:bCs w:val="0"/>
          <w:color w:val="000000"/>
          <w:sz w:val="24"/>
        </w:rPr>
        <w:t>kwo</w:t>
      </w:r>
      <w:r w:rsidRPr="00835753">
        <w:rPr>
          <w:rFonts w:ascii="Times New Roman" w:hAnsi="Times New Roman"/>
          <w:bCs w:val="0"/>
          <w:color w:val="000000"/>
          <w:sz w:val="24"/>
        </w:rPr>
        <w:t>ty ekspozycji na ryzyko.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835753"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108DFD9D" w:rsidR="007F5865" w:rsidRPr="00835753" w:rsidRDefault="007F5865" w:rsidP="00F3523C">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7F5865" w:rsidRPr="00835753" w14:paraId="602AE0E8" w14:textId="77777777" w:rsidTr="00F3523C">
        <w:trPr>
          <w:trHeight w:val="238"/>
        </w:trPr>
        <w:tc>
          <w:tcPr>
            <w:tcW w:w="1384" w:type="dxa"/>
            <w:shd w:val="clear" w:color="auto" w:fill="D9D9D9" w:themeFill="background1" w:themeFillShade="D9"/>
          </w:tcPr>
          <w:p w14:paraId="18BE2C6B" w14:textId="77777777" w:rsidR="007F5865" w:rsidRPr="00835753" w:rsidRDefault="007F5865" w:rsidP="00F3523C">
            <w:pPr>
              <w:autoSpaceDE w:val="0"/>
              <w:autoSpaceDN w:val="0"/>
              <w:adjustRightInd w:val="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52BAB7D2" w14:textId="77777777" w:rsidR="007F5865" w:rsidRPr="00835753" w:rsidRDefault="007F5865" w:rsidP="00F3523C">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7F5865" w:rsidRPr="00835753" w14:paraId="7E4C270D" w14:textId="77777777" w:rsidTr="00F3523C">
        <w:trPr>
          <w:trHeight w:val="680"/>
        </w:trPr>
        <w:tc>
          <w:tcPr>
            <w:tcW w:w="1384" w:type="dxa"/>
          </w:tcPr>
          <w:p w14:paraId="68031A84" w14:textId="77777777" w:rsidR="007F5865" w:rsidRPr="00835753" w:rsidRDefault="007F5865" w:rsidP="007F5865">
            <w:pPr>
              <w:pStyle w:val="Applicationdirecte"/>
              <w:spacing w:before="60"/>
              <w:jc w:val="center"/>
            </w:pPr>
            <w:proofErr w:type="gramStart"/>
            <w:r w:rsidRPr="00835753">
              <w:t>a</w:t>
            </w:r>
            <w:proofErr w:type="gramEnd"/>
            <w:r w:rsidRPr="00835753">
              <w:t>)</w:t>
            </w:r>
          </w:p>
        </w:tc>
        <w:tc>
          <w:tcPr>
            <w:tcW w:w="7655" w:type="dxa"/>
            <w:vAlign w:val="center"/>
          </w:tcPr>
          <w:p w14:paraId="5A1D2BEB" w14:textId="501B155B" w:rsidR="00677CC7" w:rsidRPr="00835753" w:rsidRDefault="00476E72" w:rsidP="00785478">
            <w:pPr>
              <w:spacing w:before="60" w:after="120"/>
              <w:jc w:val="both"/>
              <w:rPr>
                <w:rFonts w:ascii="Times New Roman" w:hAnsi="Times New Roman" w:cs="Times New Roman"/>
                <w:b/>
                <w:sz w:val="24"/>
              </w:rPr>
            </w:pPr>
            <w:r w:rsidRPr="00835753">
              <w:rPr>
                <w:rFonts w:ascii="Times New Roman" w:hAnsi="Times New Roman"/>
                <w:b/>
                <w:sz w:val="24"/>
              </w:rPr>
              <w:t xml:space="preserve">Łączne kwoty ekspozycji na ryzyko </w:t>
            </w:r>
          </w:p>
          <w:p w14:paraId="2C2ABAC7" w14:textId="6E9426FE" w:rsidR="007F5865" w:rsidRPr="00835753" w:rsidRDefault="00476E72" w:rsidP="00476E72">
            <w:pPr>
              <w:spacing w:before="60" w:after="120"/>
              <w:jc w:val="both"/>
              <w:rPr>
                <w:rFonts w:ascii="Times New Roman" w:hAnsi="Times New Roman" w:cs="Times New Roman"/>
                <w:sz w:val="24"/>
              </w:rPr>
            </w:pPr>
            <w:r w:rsidRPr="00835753">
              <w:rPr>
                <w:rFonts w:ascii="Times New Roman" w:hAnsi="Times New Roman"/>
                <w:sz w:val="24"/>
              </w:rPr>
              <w:t>Łączna kwota ekspozycji na ryzyko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92 ust.</w:t>
            </w:r>
            <w:r w:rsidR="00835753" w:rsidRPr="00835753">
              <w:rPr>
                <w:rFonts w:ascii="Times New Roman" w:hAnsi="Times New Roman"/>
                <w:sz w:val="24"/>
              </w:rPr>
              <w:t> </w:t>
            </w:r>
            <w:r w:rsidRPr="00835753">
              <w:rPr>
                <w:rFonts w:ascii="Times New Roman" w:hAnsi="Times New Roman"/>
                <w:sz w:val="24"/>
              </w:rPr>
              <w:t>3</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95, 96</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9</w:t>
            </w:r>
            <w:r w:rsidRPr="00835753">
              <w:rPr>
                <w:rFonts w:ascii="Times New Roman" w:hAnsi="Times New Roman"/>
                <w:sz w:val="24"/>
              </w:rPr>
              <w:t>8 CRR</w:t>
            </w:r>
          </w:p>
        </w:tc>
      </w:tr>
      <w:tr w:rsidR="00720050" w:rsidRPr="00835753" w14:paraId="51DC6C96" w14:textId="77777777" w:rsidTr="00B2180A">
        <w:trPr>
          <w:trHeight w:val="323"/>
        </w:trPr>
        <w:tc>
          <w:tcPr>
            <w:tcW w:w="1384" w:type="dxa"/>
          </w:tcPr>
          <w:p w14:paraId="4A8317DB" w14:textId="77777777" w:rsidR="00720050" w:rsidRPr="00835753" w:rsidRDefault="00720050" w:rsidP="00B2180A">
            <w:pPr>
              <w:pStyle w:val="Applicationdirecte"/>
              <w:spacing w:before="60"/>
              <w:jc w:val="center"/>
            </w:pPr>
            <w:proofErr w:type="gramStart"/>
            <w:r w:rsidRPr="00835753">
              <w:t>b</w:t>
            </w:r>
            <w:proofErr w:type="gramEnd"/>
            <w:r w:rsidRPr="00835753">
              <w:t>)</w:t>
            </w:r>
          </w:p>
        </w:tc>
        <w:tc>
          <w:tcPr>
            <w:tcW w:w="7655" w:type="dxa"/>
          </w:tcPr>
          <w:p w14:paraId="22370966" w14:textId="4C946B1E" w:rsidR="00677CC7" w:rsidRPr="00835753" w:rsidRDefault="00476E72" w:rsidP="00B2180A">
            <w:pPr>
              <w:spacing w:before="60" w:after="120"/>
              <w:jc w:val="both"/>
              <w:rPr>
                <w:rFonts w:ascii="Times New Roman" w:hAnsi="Times New Roman" w:cs="Times New Roman"/>
                <w:b/>
                <w:sz w:val="24"/>
              </w:rPr>
            </w:pPr>
            <w:r w:rsidRPr="00835753">
              <w:rPr>
                <w:rFonts w:ascii="Times New Roman" w:hAnsi="Times New Roman"/>
                <w:b/>
                <w:sz w:val="24"/>
              </w:rPr>
              <w:t xml:space="preserve">Łączne kwoty ekspozycji na ryzyko (T-1) </w:t>
            </w:r>
          </w:p>
          <w:p w14:paraId="3470438E" w14:textId="324CE045" w:rsidR="00720050" w:rsidRPr="00835753" w:rsidRDefault="00476E72" w:rsidP="00B74E92">
            <w:pPr>
              <w:spacing w:before="60" w:after="120"/>
              <w:jc w:val="both"/>
              <w:rPr>
                <w:rFonts w:ascii="Times New Roman" w:eastAsia="Times New Roman" w:hAnsi="Times New Roman" w:cs="Times New Roman"/>
                <w:sz w:val="24"/>
              </w:rPr>
            </w:pPr>
            <w:r w:rsidRPr="00835753">
              <w:rPr>
                <w:rFonts w:ascii="Times New Roman" w:hAnsi="Times New Roman"/>
                <w:sz w:val="24"/>
              </w:rPr>
              <w:t>Łączna kwota ekspozycji na ryzyko ujawniona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pop</w:t>
            </w:r>
            <w:r w:rsidRPr="00835753">
              <w:rPr>
                <w:rFonts w:ascii="Times New Roman" w:hAnsi="Times New Roman"/>
                <w:sz w:val="24"/>
              </w:rPr>
              <w:t>rzednim okresie, za który informacje podlegają ujawnieniu</w:t>
            </w:r>
          </w:p>
        </w:tc>
      </w:tr>
      <w:tr w:rsidR="007F5865" w:rsidRPr="00835753" w14:paraId="0EA18E63" w14:textId="77777777" w:rsidTr="004606A7">
        <w:trPr>
          <w:trHeight w:val="323"/>
        </w:trPr>
        <w:tc>
          <w:tcPr>
            <w:tcW w:w="1384" w:type="dxa"/>
          </w:tcPr>
          <w:p w14:paraId="103E93B5" w14:textId="77777777" w:rsidR="007F5865" w:rsidRPr="00835753" w:rsidRDefault="00720050" w:rsidP="00720050">
            <w:pPr>
              <w:pStyle w:val="Applicationdirecte"/>
              <w:spacing w:before="60"/>
              <w:jc w:val="center"/>
            </w:pPr>
            <w:proofErr w:type="gramStart"/>
            <w:r w:rsidRPr="00835753">
              <w:t>c</w:t>
            </w:r>
            <w:proofErr w:type="gramEnd"/>
            <w:r w:rsidRPr="00835753">
              <w:t>)</w:t>
            </w:r>
          </w:p>
        </w:tc>
        <w:tc>
          <w:tcPr>
            <w:tcW w:w="7655" w:type="dxa"/>
          </w:tcPr>
          <w:p w14:paraId="4BB538BB" w14:textId="4113D6A5" w:rsidR="007F5865" w:rsidRPr="00835753" w:rsidRDefault="00720050" w:rsidP="004606A7">
            <w:pPr>
              <w:spacing w:before="60" w:after="120"/>
              <w:jc w:val="both"/>
              <w:rPr>
                <w:rFonts w:ascii="Times New Roman" w:hAnsi="Times New Roman" w:cs="Times New Roman"/>
                <w:b/>
                <w:sz w:val="24"/>
              </w:rPr>
            </w:pPr>
            <w:r w:rsidRPr="00835753">
              <w:rPr>
                <w:rFonts w:ascii="Times New Roman" w:hAnsi="Times New Roman"/>
                <w:b/>
                <w:sz w:val="24"/>
              </w:rPr>
              <w:t>Łączne wymogi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funduszy własnych</w:t>
            </w:r>
          </w:p>
          <w:p w14:paraId="024E3DB2" w14:textId="4478B91A" w:rsidR="00720050" w:rsidRPr="00835753" w:rsidRDefault="00720050" w:rsidP="004606A7">
            <w:pPr>
              <w:spacing w:before="60" w:after="120"/>
              <w:jc w:val="both"/>
              <w:rPr>
                <w:rFonts w:ascii="Times New Roman" w:eastAsia="Times New Roman" w:hAnsi="Times New Roman" w:cs="Times New Roman"/>
                <w:sz w:val="24"/>
              </w:rPr>
            </w:pPr>
            <w:r w:rsidRPr="00835753">
              <w:rPr>
                <w:rFonts w:ascii="Times New Roman" w:hAnsi="Times New Roman"/>
                <w:sz w:val="24"/>
              </w:rPr>
              <w:t>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odpowiadające kwotom ekspozycji ważonych ryzykiem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poszczególnych kategorii ryzyka</w:t>
            </w:r>
          </w:p>
        </w:tc>
      </w:tr>
      <w:tr w:rsidR="001A0C8D" w:rsidRPr="00835753"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0229C1D6" w:rsidR="001A0C8D" w:rsidRPr="00835753" w:rsidRDefault="001A0C8D" w:rsidP="00810F8E">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1A0C8D" w:rsidRPr="00835753" w14:paraId="2490D509" w14:textId="77777777" w:rsidTr="00810F8E">
        <w:trPr>
          <w:trHeight w:val="238"/>
        </w:trPr>
        <w:tc>
          <w:tcPr>
            <w:tcW w:w="1384" w:type="dxa"/>
            <w:shd w:val="clear" w:color="auto" w:fill="D9D9D9" w:themeFill="background1" w:themeFillShade="D9"/>
          </w:tcPr>
          <w:p w14:paraId="75756FCA" w14:textId="77777777" w:rsidR="001A0C8D" w:rsidRPr="00835753" w:rsidRDefault="001A0C8D" w:rsidP="00810F8E">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354EA15A" w14:textId="77777777" w:rsidR="001A0C8D" w:rsidRPr="00835753" w:rsidRDefault="001A0C8D" w:rsidP="00810F8E">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1A0C8D" w:rsidRPr="00835753" w14:paraId="51DDF3ED" w14:textId="77777777" w:rsidTr="001A0C8D">
        <w:trPr>
          <w:trHeight w:val="680"/>
        </w:trPr>
        <w:tc>
          <w:tcPr>
            <w:tcW w:w="1384" w:type="dxa"/>
          </w:tcPr>
          <w:p w14:paraId="63497DDA" w14:textId="77777777" w:rsidR="001A0C8D" w:rsidRPr="00835753" w:rsidRDefault="001A0C8D" w:rsidP="00260404">
            <w:pPr>
              <w:pStyle w:val="Applicationdirecte"/>
              <w:spacing w:before="60"/>
              <w:jc w:val="center"/>
            </w:pPr>
            <w:r w:rsidRPr="00835753">
              <w:t>1</w:t>
            </w:r>
          </w:p>
        </w:tc>
        <w:tc>
          <w:tcPr>
            <w:tcW w:w="7655" w:type="dxa"/>
            <w:vAlign w:val="center"/>
          </w:tcPr>
          <w:p w14:paraId="156E0E42" w14:textId="77777777" w:rsidR="004606A7" w:rsidRPr="00835753" w:rsidRDefault="004606A7" w:rsidP="00260404">
            <w:pPr>
              <w:spacing w:before="60" w:after="120"/>
              <w:jc w:val="both"/>
              <w:rPr>
                <w:rFonts w:ascii="Times New Roman" w:hAnsi="Times New Roman" w:cs="Times New Roman"/>
                <w:b/>
                <w:sz w:val="24"/>
              </w:rPr>
            </w:pPr>
            <w:r w:rsidRPr="00835753">
              <w:rPr>
                <w:rFonts w:ascii="Times New Roman" w:hAnsi="Times New Roman"/>
                <w:b/>
                <w:sz w:val="24"/>
              </w:rPr>
              <w:t>Ryzyko kredytowe (z wyłączeniem ryzyka kredytowego kontrahenta)</w:t>
            </w:r>
          </w:p>
          <w:p w14:paraId="3A25A955" w14:textId="1B9EDFFC" w:rsidR="001A0C8D" w:rsidRPr="00835753" w:rsidRDefault="009A4635" w:rsidP="00A25707">
            <w:pPr>
              <w:spacing w:before="60" w:after="120"/>
              <w:jc w:val="both"/>
              <w:rPr>
                <w:rFonts w:ascii="Times New Roman" w:hAnsi="Times New Roman" w:cs="Times New Roman"/>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rozdziały 1–4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379 CRR. Nie uwzględnienia się kwot ekspozycji ważonych ryzykiem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ekspozycji sekurytyzacyjnych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tfelu bankowym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ryzyka kredytowego kontrahenta, które to kwoty ujawnia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rszach 6</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6 niniejszego wzoru</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kwo</w:t>
            </w:r>
            <w:r w:rsidRPr="00835753">
              <w:rPr>
                <w:rFonts w:ascii="Times New Roman" w:hAnsi="Times New Roman"/>
                <w:sz w:val="24"/>
              </w:rPr>
              <w:t>cie ujawnianej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wierszu instytucje uwzględniają 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związanego</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dos</w:t>
            </w:r>
            <w:r w:rsidRPr="00835753">
              <w:rPr>
                <w:rFonts w:ascii="Times New Roman" w:hAnsi="Times New Roman"/>
                <w:sz w:val="24"/>
              </w:rPr>
              <w:t>tawami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póź</w:t>
            </w:r>
            <w:r w:rsidRPr="00835753">
              <w:rPr>
                <w:rFonts w:ascii="Times New Roman" w:hAnsi="Times New Roman"/>
                <w:sz w:val="24"/>
              </w:rPr>
              <w:t>niejszym terminem rozliczenia, obliczonego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379 CRR.</w:t>
            </w:r>
          </w:p>
        </w:tc>
      </w:tr>
      <w:tr w:rsidR="004A5BCD" w:rsidRPr="00835753" w14:paraId="287E598B" w14:textId="77777777" w:rsidTr="004A5BCD">
        <w:trPr>
          <w:trHeight w:val="680"/>
        </w:trPr>
        <w:tc>
          <w:tcPr>
            <w:tcW w:w="1384" w:type="dxa"/>
          </w:tcPr>
          <w:p w14:paraId="4AE3A0F7" w14:textId="77777777" w:rsidR="004A5BCD" w:rsidRPr="00835753" w:rsidRDefault="004A5BCD" w:rsidP="00260404">
            <w:pPr>
              <w:pStyle w:val="Applicationdirecte"/>
              <w:spacing w:before="60"/>
              <w:jc w:val="center"/>
            </w:pPr>
            <w:r w:rsidRPr="00835753">
              <w:t>2</w:t>
            </w:r>
          </w:p>
        </w:tc>
        <w:tc>
          <w:tcPr>
            <w:tcW w:w="7655" w:type="dxa"/>
          </w:tcPr>
          <w:p w14:paraId="19A303B7" w14:textId="62E2F5D4" w:rsidR="008B269B" w:rsidRPr="00835753" w:rsidRDefault="008B269B" w:rsidP="008B269B">
            <w:pPr>
              <w:spacing w:before="60" w:after="120"/>
              <w:jc w:val="both"/>
              <w:rPr>
                <w:rFonts w:ascii="Times New Roman" w:hAnsi="Times New Roman" w:cs="Times New Roman"/>
                <w:b/>
                <w:sz w:val="24"/>
              </w:rPr>
            </w:pPr>
            <w:r w:rsidRPr="00835753">
              <w:rPr>
                <w:rFonts w:ascii="Times New Roman" w:hAnsi="Times New Roman"/>
                <w:b/>
                <w:sz w:val="24"/>
              </w:rPr>
              <w:t>Ryzyko kredytowe (z wyłączeniem ryzyka kredytowego kontrahenta)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metoda standardowa</w:t>
            </w:r>
          </w:p>
          <w:p w14:paraId="1DD2511C" w14:textId="044125EA" w:rsidR="004A5BCD" w:rsidRPr="00835753" w:rsidRDefault="009A4635" w:rsidP="0097538A">
            <w:pPr>
              <w:spacing w:before="60" w:after="120"/>
              <w:jc w:val="both"/>
              <w:rPr>
                <w:rFonts w:ascii="Times New Roman" w:eastAsia="Times New Roman" w:hAnsi="Times New Roman" w:cs="Times New Roman"/>
                <w:sz w:val="24"/>
              </w:rPr>
            </w:pPr>
            <w:r w:rsidRPr="00835753">
              <w:rPr>
                <w:rFonts w:ascii="Times New Roman" w:hAnsi="Times New Roman"/>
                <w:sz w:val="24"/>
              </w:rPr>
              <w:lastRenderedPageBreak/>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odą standardową dotyczącą ryzyka kredytowego (część trzecia tytuł II rozdział 2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379 CRR).</w:t>
            </w:r>
          </w:p>
        </w:tc>
      </w:tr>
      <w:tr w:rsidR="008B269B" w:rsidRPr="00835753" w14:paraId="1C43F82C" w14:textId="77777777" w:rsidTr="004A5BCD">
        <w:trPr>
          <w:trHeight w:val="436"/>
        </w:trPr>
        <w:tc>
          <w:tcPr>
            <w:tcW w:w="1384" w:type="dxa"/>
          </w:tcPr>
          <w:p w14:paraId="123DF015" w14:textId="77777777" w:rsidR="008B269B" w:rsidRPr="00835753" w:rsidRDefault="008B269B" w:rsidP="008B269B">
            <w:pPr>
              <w:pStyle w:val="Applicationdirecte"/>
              <w:spacing w:before="60"/>
              <w:jc w:val="center"/>
            </w:pPr>
            <w:r w:rsidRPr="00835753">
              <w:lastRenderedPageBreak/>
              <w:t>3</w:t>
            </w:r>
          </w:p>
        </w:tc>
        <w:tc>
          <w:tcPr>
            <w:tcW w:w="7655" w:type="dxa"/>
          </w:tcPr>
          <w:p w14:paraId="6D300D26" w14:textId="29CC2BCC" w:rsidR="008B269B" w:rsidRPr="00835753" w:rsidRDefault="008B269B" w:rsidP="008B269B">
            <w:pPr>
              <w:spacing w:before="60" w:after="120"/>
              <w:jc w:val="both"/>
              <w:rPr>
                <w:rFonts w:ascii="Times New Roman" w:hAnsi="Times New Roman" w:cs="Times New Roman"/>
                <w:b/>
                <w:sz w:val="24"/>
              </w:rPr>
            </w:pPr>
            <w:r w:rsidRPr="00835753">
              <w:rPr>
                <w:rFonts w:ascii="Times New Roman" w:hAnsi="Times New Roman"/>
                <w:b/>
                <w:sz w:val="24"/>
              </w:rPr>
              <w:t>Ryzyko kredytowe (z wyłączeniem ryzyka kredytowego kontrahenta)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podstawowa metoda IRB (F-IRB) </w:t>
            </w:r>
          </w:p>
          <w:p w14:paraId="67755B7F" w14:textId="2F1E9B8F" w:rsidR="008B269B" w:rsidRPr="00835753" w:rsidRDefault="009A4635" w:rsidP="0097538A">
            <w:pPr>
              <w:spacing w:before="60" w:after="120"/>
              <w:jc w:val="both"/>
              <w:rPr>
                <w:rFonts w:ascii="Times New Roman" w:eastAsia="Times New Roman" w:hAnsi="Times New Roman" w:cs="Times New Roman"/>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stawową metodą IRB dotyczącą ryzyka kredytowego (część trzecia tytuł II rozdział 3 CRR),</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wył</w:t>
            </w:r>
            <w:r w:rsidRPr="00835753">
              <w:rPr>
                <w:rFonts w:ascii="Times New Roman" w:hAnsi="Times New Roman"/>
                <w:sz w:val="24"/>
              </w:rPr>
              <w:t>ączeniem kwot ekspozycji ważonych ryzykiem ujawnianych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4</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ekspozycji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kre</w:t>
            </w:r>
            <w:r w:rsidRPr="00835753">
              <w:rPr>
                <w:rFonts w:ascii="Times New Roman" w:hAnsi="Times New Roman"/>
                <w:sz w:val="24"/>
              </w:rPr>
              <w:t>dytowaniem specjalistycznym objętych metodą klasyfikacji oraz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EU 4a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instrumentów kapitałowych objętych uproszczoną metodą ważenia ryzykiem,</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że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uwz</w:t>
            </w:r>
            <w:r w:rsidRPr="00835753">
              <w:rPr>
                <w:rFonts w:ascii="Times New Roman" w:hAnsi="Times New Roman"/>
                <w:sz w:val="24"/>
              </w:rPr>
              <w:t>ględnieniem kwot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379 CRR.</w:t>
            </w:r>
          </w:p>
        </w:tc>
      </w:tr>
      <w:tr w:rsidR="00FA1376" w:rsidRPr="00835753" w14:paraId="12544419" w14:textId="77777777" w:rsidTr="00B2180A">
        <w:trPr>
          <w:trHeight w:val="557"/>
        </w:trPr>
        <w:tc>
          <w:tcPr>
            <w:tcW w:w="1384" w:type="dxa"/>
            <w:vAlign w:val="center"/>
          </w:tcPr>
          <w:p w14:paraId="76946C13" w14:textId="77777777" w:rsidR="00FA1376" w:rsidRPr="00835753" w:rsidRDefault="00460FF6" w:rsidP="00FA1376">
            <w:pPr>
              <w:pStyle w:val="Applicationdirecte"/>
              <w:spacing w:before="60"/>
              <w:jc w:val="center"/>
            </w:pPr>
            <w:r w:rsidRPr="00835753">
              <w:rPr>
                <w:color w:val="000000"/>
              </w:rPr>
              <w:t>4</w:t>
            </w:r>
          </w:p>
        </w:tc>
        <w:tc>
          <w:tcPr>
            <w:tcW w:w="7655" w:type="dxa"/>
          </w:tcPr>
          <w:p w14:paraId="370308AB" w14:textId="7B342F8B" w:rsidR="00FA1376" w:rsidRPr="00835753" w:rsidRDefault="00FA1376" w:rsidP="00FA1376">
            <w:pPr>
              <w:spacing w:before="60" w:after="120"/>
              <w:jc w:val="both"/>
              <w:rPr>
                <w:rFonts w:ascii="Times New Roman" w:hAnsi="Times New Roman" w:cs="Times New Roman"/>
                <w:b/>
                <w:sz w:val="24"/>
              </w:rPr>
            </w:pPr>
            <w:r w:rsidRPr="00835753">
              <w:rPr>
                <w:rFonts w:ascii="Times New Roman" w:hAnsi="Times New Roman"/>
                <w:b/>
                <w:sz w:val="24"/>
              </w:rPr>
              <w:t>Ryzyko kredytowe (z wyłączeniem ryzyka kredytowego kontrahenta)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metoda klasyfikacji</w:t>
            </w:r>
          </w:p>
          <w:p w14:paraId="0A705407" w14:textId="1170F219" w:rsidR="00FA1376" w:rsidRPr="00835753" w:rsidRDefault="009A4635" w:rsidP="0077689B">
            <w:pPr>
              <w:spacing w:before="60" w:after="120"/>
              <w:jc w:val="both"/>
              <w:rPr>
                <w:rFonts w:ascii="Times New Roman" w:hAnsi="Times New Roman" w:cs="Times New Roman"/>
                <w:color w:val="000000"/>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ekspozycji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kre</w:t>
            </w:r>
            <w:r w:rsidRPr="00835753">
              <w:rPr>
                <w:rFonts w:ascii="Times New Roman" w:hAnsi="Times New Roman"/>
                <w:sz w:val="24"/>
              </w:rPr>
              <w:t>dytowaniem specjalistycznym objętych metodą klasyfikacji obliczanych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153 ust.</w:t>
            </w:r>
            <w:r w:rsidR="00835753" w:rsidRPr="00835753">
              <w:rPr>
                <w:rFonts w:ascii="Times New Roman" w:hAnsi="Times New Roman"/>
                <w:sz w:val="24"/>
              </w:rPr>
              <w:t> </w:t>
            </w:r>
            <w:r w:rsidRPr="00835753">
              <w:rPr>
                <w:rFonts w:ascii="Times New Roman" w:hAnsi="Times New Roman"/>
                <w:sz w:val="24"/>
              </w:rPr>
              <w:t>5 CRR.</w:t>
            </w:r>
          </w:p>
        </w:tc>
      </w:tr>
      <w:tr w:rsidR="00FA1376" w:rsidRPr="00835753" w14:paraId="003EB127" w14:textId="77777777" w:rsidTr="00B2180A">
        <w:trPr>
          <w:trHeight w:val="557"/>
        </w:trPr>
        <w:tc>
          <w:tcPr>
            <w:tcW w:w="1384" w:type="dxa"/>
            <w:vAlign w:val="center"/>
          </w:tcPr>
          <w:p w14:paraId="45C5255C" w14:textId="77777777" w:rsidR="00FA1376" w:rsidRPr="00835753" w:rsidRDefault="00FA1376" w:rsidP="00FA1376">
            <w:pPr>
              <w:pStyle w:val="Applicationdirecte"/>
              <w:spacing w:before="60"/>
              <w:jc w:val="center"/>
            </w:pPr>
            <w:r w:rsidRPr="00835753">
              <w:rPr>
                <w:color w:val="000000"/>
              </w:rPr>
              <w:t>EU 4a</w:t>
            </w:r>
          </w:p>
        </w:tc>
        <w:tc>
          <w:tcPr>
            <w:tcW w:w="7655" w:type="dxa"/>
          </w:tcPr>
          <w:p w14:paraId="37370FB1" w14:textId="20DA8032" w:rsidR="00FA1376" w:rsidRPr="00835753" w:rsidRDefault="00FA1376" w:rsidP="00FA1376">
            <w:pPr>
              <w:spacing w:before="60" w:after="120"/>
              <w:jc w:val="both"/>
              <w:rPr>
                <w:rFonts w:ascii="Times New Roman" w:hAnsi="Times New Roman" w:cs="Times New Roman"/>
                <w:b/>
                <w:sz w:val="24"/>
              </w:rPr>
            </w:pPr>
            <w:r w:rsidRPr="00835753">
              <w:rPr>
                <w:rFonts w:ascii="Times New Roman" w:hAnsi="Times New Roman"/>
                <w:b/>
                <w:sz w:val="24"/>
              </w:rPr>
              <w:t>Ryzyko kredytowe (z wyłączeniem ryzyka kredytowego kontrahenta)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instrumenty kapitałowe objęte uproszczoną metodą ważenia ryzykiem</w:t>
            </w:r>
          </w:p>
          <w:p w14:paraId="5661C7E6" w14:textId="33D5C1B7" w:rsidR="00FA1376" w:rsidRPr="00835753" w:rsidRDefault="009A4635" w:rsidP="0077689B">
            <w:pPr>
              <w:spacing w:before="60" w:after="120"/>
              <w:jc w:val="both"/>
              <w:rPr>
                <w:rFonts w:ascii="Times New Roman" w:eastAsia="Times New Roman" w:hAnsi="Times New Roman" w:cs="Times New Roman"/>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instrumentów kapitałowych objętych uproszczoną metodą ważenia ryzykiem obliczanych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155 ust.</w:t>
            </w:r>
            <w:r w:rsidR="00835753" w:rsidRPr="00835753">
              <w:rPr>
                <w:rFonts w:ascii="Times New Roman" w:hAnsi="Times New Roman"/>
                <w:sz w:val="24"/>
              </w:rPr>
              <w:t> </w:t>
            </w:r>
            <w:r w:rsidRPr="00835753">
              <w:rPr>
                <w:rFonts w:ascii="Times New Roman" w:hAnsi="Times New Roman"/>
                <w:sz w:val="24"/>
              </w:rPr>
              <w:t>2 CRR.</w:t>
            </w:r>
          </w:p>
        </w:tc>
      </w:tr>
      <w:tr w:rsidR="00460FF6" w:rsidRPr="00835753" w14:paraId="69AF17D3" w14:textId="77777777" w:rsidTr="00B2180A">
        <w:trPr>
          <w:trHeight w:val="557"/>
        </w:trPr>
        <w:tc>
          <w:tcPr>
            <w:tcW w:w="1384" w:type="dxa"/>
            <w:vAlign w:val="center"/>
          </w:tcPr>
          <w:p w14:paraId="001EDC8B" w14:textId="77777777" w:rsidR="00460FF6" w:rsidRPr="00835753" w:rsidRDefault="00460FF6" w:rsidP="00B2180A">
            <w:pPr>
              <w:pStyle w:val="Applicationdirecte"/>
              <w:spacing w:before="60"/>
              <w:jc w:val="center"/>
            </w:pPr>
            <w:r w:rsidRPr="00835753">
              <w:rPr>
                <w:color w:val="000000"/>
              </w:rPr>
              <w:t>5</w:t>
            </w:r>
          </w:p>
        </w:tc>
        <w:tc>
          <w:tcPr>
            <w:tcW w:w="7655" w:type="dxa"/>
          </w:tcPr>
          <w:p w14:paraId="3AFF7CE4" w14:textId="215766B3" w:rsidR="00460FF6" w:rsidRPr="00835753" w:rsidRDefault="00460FF6" w:rsidP="00B2180A">
            <w:pPr>
              <w:spacing w:before="60" w:after="120"/>
              <w:jc w:val="both"/>
              <w:rPr>
                <w:rFonts w:ascii="Times New Roman" w:hAnsi="Times New Roman" w:cs="Times New Roman"/>
                <w:b/>
                <w:sz w:val="24"/>
              </w:rPr>
            </w:pPr>
            <w:r w:rsidRPr="00835753">
              <w:rPr>
                <w:rFonts w:ascii="Times New Roman" w:hAnsi="Times New Roman"/>
                <w:b/>
                <w:sz w:val="24"/>
              </w:rPr>
              <w:t>Ryzyko kredytowe (z wyłączeniem ryzyka kredytowego kontrahenta)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zaawansowana metoda IRB (A-IRB) </w:t>
            </w:r>
          </w:p>
          <w:p w14:paraId="7667081C" w14:textId="3DECBF31" w:rsidR="00460FF6" w:rsidRPr="00835753" w:rsidRDefault="00460FF6" w:rsidP="0097538A">
            <w:pPr>
              <w:spacing w:before="60" w:after="120"/>
              <w:jc w:val="both"/>
              <w:rPr>
                <w:rFonts w:ascii="Times New Roman" w:eastAsia="Times New Roman" w:hAnsi="Times New Roman" w:cs="Times New Roman"/>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zaa</w:t>
            </w:r>
            <w:r w:rsidRPr="00835753">
              <w:rPr>
                <w:rFonts w:ascii="Times New Roman" w:hAnsi="Times New Roman"/>
                <w:sz w:val="24"/>
              </w:rPr>
              <w:t>wansowaną metodą IRB dotyczącą ryzyka kredytowego (część trzecia tytuł II rozdział 3 CRR),</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wył</w:t>
            </w:r>
            <w:r w:rsidRPr="00835753">
              <w:rPr>
                <w:rFonts w:ascii="Times New Roman" w:hAnsi="Times New Roman"/>
                <w:sz w:val="24"/>
              </w:rPr>
              <w:t>ączeniem kwot ekspozycji ważonych ryzykiem ujawnianych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4</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ekspozycji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kre</w:t>
            </w:r>
            <w:r w:rsidRPr="00835753">
              <w:rPr>
                <w:rFonts w:ascii="Times New Roman" w:hAnsi="Times New Roman"/>
                <w:sz w:val="24"/>
              </w:rPr>
              <w:t>dytowaniem specjalistycznym objętych metodą klasyfikacji oraz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EU 4a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instrumentów kapitałowych objętych uproszczoną metodą ważenia ryzykiem,</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że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uwz</w:t>
            </w:r>
            <w:r w:rsidRPr="00835753">
              <w:rPr>
                <w:rFonts w:ascii="Times New Roman" w:hAnsi="Times New Roman"/>
                <w:sz w:val="24"/>
              </w:rPr>
              <w:t>ględnieniem kwot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379 CRR.</w:t>
            </w:r>
          </w:p>
        </w:tc>
      </w:tr>
      <w:tr w:rsidR="00FA1376" w:rsidRPr="00835753" w14:paraId="79D52CCD" w14:textId="77777777" w:rsidTr="00B2180A">
        <w:trPr>
          <w:trHeight w:val="557"/>
        </w:trPr>
        <w:tc>
          <w:tcPr>
            <w:tcW w:w="1384" w:type="dxa"/>
            <w:vAlign w:val="center"/>
          </w:tcPr>
          <w:p w14:paraId="7D31EB04" w14:textId="77777777" w:rsidR="00FA1376" w:rsidRPr="00835753" w:rsidRDefault="004D588F" w:rsidP="004D588F">
            <w:pPr>
              <w:pStyle w:val="Applicationdirecte"/>
              <w:spacing w:before="60"/>
              <w:jc w:val="center"/>
            </w:pPr>
            <w:r w:rsidRPr="00835753">
              <w:rPr>
                <w:color w:val="000000"/>
              </w:rPr>
              <w:t>6</w:t>
            </w:r>
          </w:p>
        </w:tc>
        <w:tc>
          <w:tcPr>
            <w:tcW w:w="7655" w:type="dxa"/>
          </w:tcPr>
          <w:p w14:paraId="7F11F1D5" w14:textId="77777777" w:rsidR="00FA1376" w:rsidRPr="00835753" w:rsidRDefault="00FA1376" w:rsidP="00FA1376">
            <w:pPr>
              <w:spacing w:before="60" w:after="120"/>
              <w:jc w:val="both"/>
              <w:rPr>
                <w:rFonts w:ascii="Times New Roman" w:hAnsi="Times New Roman" w:cs="Times New Roman"/>
                <w:b/>
                <w:sz w:val="24"/>
              </w:rPr>
            </w:pPr>
            <w:r w:rsidRPr="00835753">
              <w:rPr>
                <w:rFonts w:ascii="Times New Roman" w:hAnsi="Times New Roman"/>
                <w:b/>
                <w:sz w:val="24"/>
              </w:rPr>
              <w:t xml:space="preserve">Ryzyko kredytowe kontrahenta </w:t>
            </w:r>
          </w:p>
          <w:p w14:paraId="6E778278" w14:textId="55922175" w:rsidR="00FA1376" w:rsidRPr="00835753" w:rsidRDefault="009A4635" w:rsidP="0097538A">
            <w:pPr>
              <w:spacing w:before="60" w:after="120"/>
              <w:jc w:val="both"/>
              <w:rPr>
                <w:rFonts w:ascii="Times New Roman" w:eastAsia="Times New Roman" w:hAnsi="Times New Roman" w:cs="Times New Roman"/>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6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ryzyka kredytowego kontrahenta.</w:t>
            </w:r>
          </w:p>
        </w:tc>
      </w:tr>
      <w:tr w:rsidR="00FA1376" w:rsidRPr="00835753" w14:paraId="75B82B0F" w14:textId="77777777" w:rsidTr="00B2180A">
        <w:trPr>
          <w:trHeight w:val="557"/>
        </w:trPr>
        <w:tc>
          <w:tcPr>
            <w:tcW w:w="1384" w:type="dxa"/>
            <w:vAlign w:val="center"/>
          </w:tcPr>
          <w:p w14:paraId="0224B461" w14:textId="77777777" w:rsidR="00FA1376" w:rsidRPr="00835753" w:rsidRDefault="004D588F" w:rsidP="00FA1376">
            <w:pPr>
              <w:pStyle w:val="Applicationdirecte"/>
              <w:spacing w:before="60"/>
              <w:jc w:val="center"/>
            </w:pPr>
            <w:r w:rsidRPr="00835753">
              <w:rPr>
                <w:color w:val="000000"/>
              </w:rPr>
              <w:lastRenderedPageBreak/>
              <w:t>7</w:t>
            </w:r>
          </w:p>
        </w:tc>
        <w:tc>
          <w:tcPr>
            <w:tcW w:w="7655" w:type="dxa"/>
          </w:tcPr>
          <w:p w14:paraId="5528A31C" w14:textId="64D06810" w:rsidR="00FA1376" w:rsidRPr="00835753" w:rsidRDefault="00FA1376" w:rsidP="00FA1376">
            <w:pPr>
              <w:spacing w:before="60" w:after="120"/>
              <w:jc w:val="both"/>
              <w:rPr>
                <w:rFonts w:ascii="Times New Roman" w:hAnsi="Times New Roman" w:cs="Times New Roman"/>
                <w:b/>
                <w:sz w:val="24"/>
              </w:rPr>
            </w:pPr>
            <w:r w:rsidRPr="00835753">
              <w:rPr>
                <w:rFonts w:ascii="Times New Roman" w:hAnsi="Times New Roman"/>
                <w:b/>
                <w:sz w:val="24"/>
              </w:rPr>
              <w:t>Ryzyko kredytowe kontrahenta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metoda standardowa </w:t>
            </w:r>
          </w:p>
          <w:p w14:paraId="13065A05" w14:textId="1162E1C2" w:rsidR="00FA1376" w:rsidRPr="00835753" w:rsidRDefault="009A4635" w:rsidP="00334EB8">
            <w:pPr>
              <w:spacing w:before="60" w:after="120"/>
              <w:jc w:val="both"/>
              <w:rPr>
                <w:rFonts w:ascii="Times New Roman" w:hAnsi="Times New Roman" w:cs="Times New Roman"/>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6 sekcja 3 CRR.</w:t>
            </w:r>
          </w:p>
        </w:tc>
      </w:tr>
      <w:tr w:rsidR="00FA1376" w:rsidRPr="00835753" w14:paraId="16331F3C" w14:textId="77777777" w:rsidTr="00B2180A">
        <w:trPr>
          <w:trHeight w:val="557"/>
        </w:trPr>
        <w:tc>
          <w:tcPr>
            <w:tcW w:w="1384" w:type="dxa"/>
            <w:vAlign w:val="center"/>
          </w:tcPr>
          <w:p w14:paraId="3558D5F6" w14:textId="77777777" w:rsidR="00FA1376" w:rsidRPr="00835753" w:rsidRDefault="004D588F" w:rsidP="00FA1376">
            <w:pPr>
              <w:pStyle w:val="Applicationdirecte"/>
              <w:spacing w:before="60"/>
              <w:jc w:val="center"/>
            </w:pPr>
            <w:r w:rsidRPr="00835753">
              <w:rPr>
                <w:color w:val="000000"/>
              </w:rPr>
              <w:t>8</w:t>
            </w:r>
          </w:p>
        </w:tc>
        <w:tc>
          <w:tcPr>
            <w:tcW w:w="7655" w:type="dxa"/>
          </w:tcPr>
          <w:p w14:paraId="2C150D6B" w14:textId="0B8AD564" w:rsidR="00FA1376" w:rsidRPr="00835753" w:rsidRDefault="00FA1376" w:rsidP="00FA1376">
            <w:pPr>
              <w:spacing w:before="60" w:after="120"/>
              <w:jc w:val="both"/>
              <w:rPr>
                <w:rFonts w:ascii="Times New Roman" w:hAnsi="Times New Roman" w:cs="Times New Roman"/>
                <w:b/>
                <w:sz w:val="24"/>
              </w:rPr>
            </w:pPr>
            <w:r w:rsidRPr="00835753">
              <w:rPr>
                <w:rFonts w:ascii="Times New Roman" w:hAnsi="Times New Roman"/>
                <w:b/>
                <w:sz w:val="24"/>
              </w:rPr>
              <w:t>Ryzyko kredytowe kontrahenta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metoda modeli wewnętrznych (IMM) </w:t>
            </w:r>
          </w:p>
          <w:p w14:paraId="3EB08D8D" w14:textId="39B3F0C9" w:rsidR="00FA1376" w:rsidRPr="00835753" w:rsidRDefault="009A4635" w:rsidP="002635C4">
            <w:pPr>
              <w:spacing w:before="60" w:after="120"/>
              <w:jc w:val="both"/>
              <w:rPr>
                <w:rFonts w:ascii="Times New Roman" w:hAnsi="Times New Roman" w:cs="Times New Roman"/>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283 CRR.</w:t>
            </w:r>
          </w:p>
        </w:tc>
      </w:tr>
      <w:tr w:rsidR="004D588F" w:rsidRPr="00835753" w14:paraId="58D7FF91" w14:textId="77777777" w:rsidTr="00254E82">
        <w:trPr>
          <w:trHeight w:val="557"/>
        </w:trPr>
        <w:tc>
          <w:tcPr>
            <w:tcW w:w="1384" w:type="dxa"/>
          </w:tcPr>
          <w:p w14:paraId="4241FF70" w14:textId="77777777" w:rsidR="004D588F" w:rsidRPr="00835753" w:rsidRDefault="004D588F" w:rsidP="004D588F">
            <w:pPr>
              <w:pStyle w:val="Applicationdirecte"/>
              <w:spacing w:before="60"/>
              <w:jc w:val="center"/>
            </w:pPr>
            <w:r w:rsidRPr="00835753">
              <w:t>EU 8a</w:t>
            </w:r>
          </w:p>
        </w:tc>
        <w:tc>
          <w:tcPr>
            <w:tcW w:w="7655" w:type="dxa"/>
          </w:tcPr>
          <w:p w14:paraId="78F13FD4" w14:textId="2064872F" w:rsidR="004D588F" w:rsidRPr="00835753" w:rsidRDefault="004D588F" w:rsidP="004D588F">
            <w:pPr>
              <w:spacing w:before="60" w:after="120"/>
              <w:jc w:val="both"/>
              <w:rPr>
                <w:rFonts w:ascii="Times New Roman" w:hAnsi="Times New Roman" w:cs="Times New Roman"/>
                <w:b/>
                <w:sz w:val="24"/>
              </w:rPr>
            </w:pPr>
            <w:r w:rsidRPr="00835753">
              <w:rPr>
                <w:rFonts w:ascii="Times New Roman" w:hAnsi="Times New Roman"/>
                <w:b/>
                <w:sz w:val="24"/>
              </w:rPr>
              <w:t>Ryzyko kredytowe kontrahenta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ekspozycje wobec kontrahenta centralnego</w:t>
            </w:r>
          </w:p>
          <w:p w14:paraId="316A5F55" w14:textId="7F4989F8" w:rsidR="00194611" w:rsidRPr="00835753" w:rsidRDefault="004D588F" w:rsidP="002635C4">
            <w:pPr>
              <w:spacing w:before="60" w:after="120"/>
              <w:jc w:val="both"/>
              <w:rPr>
                <w:rFonts w:ascii="Times New Roman" w:hAnsi="Times New Roman" w:cs="Times New Roman"/>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6 sekcja 9 CRR.</w:t>
            </w:r>
          </w:p>
        </w:tc>
      </w:tr>
      <w:tr w:rsidR="004D588F" w:rsidRPr="00835753" w14:paraId="64D4BA23" w14:textId="77777777" w:rsidTr="00254E82">
        <w:trPr>
          <w:trHeight w:val="557"/>
        </w:trPr>
        <w:tc>
          <w:tcPr>
            <w:tcW w:w="1384" w:type="dxa"/>
          </w:tcPr>
          <w:p w14:paraId="717446A6" w14:textId="77777777" w:rsidR="004D588F" w:rsidRPr="00835753" w:rsidRDefault="004D588F" w:rsidP="004D588F">
            <w:pPr>
              <w:pStyle w:val="Applicationdirecte"/>
              <w:spacing w:before="60"/>
              <w:jc w:val="center"/>
            </w:pPr>
            <w:r w:rsidRPr="00835753">
              <w:t>EU 8b</w:t>
            </w:r>
          </w:p>
        </w:tc>
        <w:tc>
          <w:tcPr>
            <w:tcW w:w="7655" w:type="dxa"/>
          </w:tcPr>
          <w:p w14:paraId="14C73A81" w14:textId="787CFA5E" w:rsidR="004D588F" w:rsidRPr="00835753" w:rsidRDefault="004D588F" w:rsidP="004D588F">
            <w:pPr>
              <w:spacing w:before="60" w:after="120"/>
              <w:jc w:val="both"/>
              <w:rPr>
                <w:rFonts w:ascii="Times New Roman" w:hAnsi="Times New Roman" w:cs="Times New Roman"/>
                <w:b/>
                <w:sz w:val="24"/>
              </w:rPr>
            </w:pPr>
            <w:r w:rsidRPr="00835753">
              <w:rPr>
                <w:rFonts w:ascii="Times New Roman" w:hAnsi="Times New Roman"/>
                <w:b/>
                <w:sz w:val="24"/>
              </w:rPr>
              <w:t>Ryzyko kredytowe kontrahenta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korekta wyceny kredytowej</w:t>
            </w:r>
          </w:p>
          <w:p w14:paraId="3A1C256E" w14:textId="1E06D461" w:rsidR="004D588F" w:rsidRPr="00835753" w:rsidRDefault="004D588F" w:rsidP="0097538A">
            <w:pPr>
              <w:spacing w:before="60" w:after="120"/>
              <w:jc w:val="both"/>
              <w:rPr>
                <w:rFonts w:ascii="Times New Roman" w:hAnsi="Times New Roman" w:cs="Times New Roman"/>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VI CRR.</w:t>
            </w:r>
          </w:p>
        </w:tc>
      </w:tr>
      <w:tr w:rsidR="004D588F" w:rsidRPr="00835753" w14:paraId="25F8E9B4" w14:textId="77777777" w:rsidTr="00254E82">
        <w:trPr>
          <w:trHeight w:val="557"/>
        </w:trPr>
        <w:tc>
          <w:tcPr>
            <w:tcW w:w="1384" w:type="dxa"/>
          </w:tcPr>
          <w:p w14:paraId="4FF5AE00" w14:textId="77777777" w:rsidR="004D588F" w:rsidRPr="00835753" w:rsidRDefault="004D588F" w:rsidP="004D588F">
            <w:pPr>
              <w:pStyle w:val="Applicationdirecte"/>
              <w:spacing w:before="60"/>
              <w:jc w:val="center"/>
            </w:pPr>
            <w:r w:rsidRPr="00835753">
              <w:t>9</w:t>
            </w:r>
          </w:p>
        </w:tc>
        <w:tc>
          <w:tcPr>
            <w:tcW w:w="7655" w:type="dxa"/>
          </w:tcPr>
          <w:p w14:paraId="1F211550" w14:textId="4EA5C15F" w:rsidR="004D588F" w:rsidRPr="00835753" w:rsidRDefault="004D588F" w:rsidP="004D588F">
            <w:pPr>
              <w:spacing w:before="60" w:after="120"/>
              <w:jc w:val="both"/>
              <w:rPr>
                <w:rFonts w:ascii="Times New Roman" w:hAnsi="Times New Roman" w:cs="Times New Roman"/>
                <w:b/>
                <w:sz w:val="24"/>
              </w:rPr>
            </w:pPr>
            <w:r w:rsidRPr="00835753">
              <w:rPr>
                <w:rFonts w:ascii="Times New Roman" w:hAnsi="Times New Roman"/>
                <w:b/>
                <w:sz w:val="24"/>
              </w:rPr>
              <w:t>Ryzyko kredytowe kontrahenta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pozostałe ryzyko kredytowe kontrahenta</w:t>
            </w:r>
          </w:p>
          <w:p w14:paraId="533B5356" w14:textId="63C05853" w:rsidR="004D588F" w:rsidRPr="00835753" w:rsidRDefault="004D588F" w:rsidP="00576BDE">
            <w:pPr>
              <w:spacing w:before="60" w:after="120"/>
              <w:jc w:val="both"/>
              <w:rPr>
                <w:rFonts w:ascii="Times New Roman" w:hAnsi="Times New Roman" w:cs="Times New Roman"/>
                <w:sz w:val="24"/>
              </w:rPr>
            </w:pPr>
            <w:r w:rsidRPr="00835753">
              <w:rPr>
                <w:rFonts w:ascii="Times New Roman" w:hAnsi="Times New Roman"/>
                <w:sz w:val="24"/>
              </w:rPr>
              <w:t>Kwota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kredytowego kontrahenta nieujawniane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rszach 7, 8, EU 8a i EU 8b.</w:t>
            </w:r>
          </w:p>
        </w:tc>
      </w:tr>
      <w:tr w:rsidR="004D588F" w:rsidRPr="00835753" w14:paraId="76E49737" w14:textId="77777777" w:rsidTr="009251B5">
        <w:trPr>
          <w:trHeight w:val="557"/>
        </w:trPr>
        <w:tc>
          <w:tcPr>
            <w:tcW w:w="1384" w:type="dxa"/>
          </w:tcPr>
          <w:p w14:paraId="592A619A" w14:textId="77777777" w:rsidR="004D588F" w:rsidRPr="00835753" w:rsidRDefault="004D588F" w:rsidP="004D588F">
            <w:pPr>
              <w:pStyle w:val="Applicationdirecte"/>
              <w:spacing w:before="60"/>
              <w:jc w:val="center"/>
              <w:rPr>
                <w:color w:val="000000"/>
              </w:rPr>
            </w:pPr>
            <w:r w:rsidRPr="00835753">
              <w:t>10</w:t>
            </w:r>
          </w:p>
        </w:tc>
        <w:tc>
          <w:tcPr>
            <w:tcW w:w="7655" w:type="dxa"/>
          </w:tcPr>
          <w:p w14:paraId="49EF2829" w14:textId="4479F372" w:rsidR="004D588F" w:rsidRPr="00835753" w:rsidRDefault="00476E72" w:rsidP="004D588F">
            <w:pPr>
              <w:spacing w:before="60" w:after="120"/>
              <w:jc w:val="both"/>
              <w:rPr>
                <w:rFonts w:ascii="Times New Roman" w:hAnsi="Times New Roman" w:cs="Times New Roman"/>
                <w:sz w:val="24"/>
              </w:rPr>
            </w:pPr>
            <w:r w:rsidRPr="00835753">
              <w:rPr>
                <w:rFonts w:ascii="Times New Roman" w:hAnsi="Times New Roman"/>
              </w:rPr>
              <w:t>Nie dotyczy</w:t>
            </w:r>
          </w:p>
        </w:tc>
      </w:tr>
      <w:tr w:rsidR="004D588F" w:rsidRPr="00835753" w14:paraId="6475699F" w14:textId="77777777" w:rsidTr="009251B5">
        <w:trPr>
          <w:trHeight w:val="557"/>
        </w:trPr>
        <w:tc>
          <w:tcPr>
            <w:tcW w:w="1384" w:type="dxa"/>
          </w:tcPr>
          <w:p w14:paraId="3A8A0F85" w14:textId="77777777" w:rsidR="004D588F" w:rsidRPr="00835753" w:rsidRDefault="004D588F" w:rsidP="004D588F">
            <w:pPr>
              <w:pStyle w:val="Applicationdirecte"/>
              <w:spacing w:before="60"/>
              <w:jc w:val="center"/>
              <w:rPr>
                <w:color w:val="000000"/>
              </w:rPr>
            </w:pPr>
            <w:r w:rsidRPr="00835753">
              <w:t>11</w:t>
            </w:r>
          </w:p>
        </w:tc>
        <w:tc>
          <w:tcPr>
            <w:tcW w:w="7655" w:type="dxa"/>
          </w:tcPr>
          <w:p w14:paraId="5D822294" w14:textId="1188E96F" w:rsidR="004D588F" w:rsidRPr="00835753" w:rsidRDefault="00476E72" w:rsidP="00CE6D3F">
            <w:pPr>
              <w:spacing w:before="60" w:after="120"/>
              <w:jc w:val="both"/>
              <w:rPr>
                <w:rFonts w:ascii="Times New Roman" w:hAnsi="Times New Roman" w:cs="Times New Roman"/>
                <w:sz w:val="24"/>
              </w:rPr>
            </w:pPr>
            <w:r w:rsidRPr="00835753">
              <w:rPr>
                <w:rFonts w:ascii="Times New Roman" w:hAnsi="Times New Roman"/>
              </w:rPr>
              <w:t>Nie dotyczy</w:t>
            </w:r>
          </w:p>
        </w:tc>
      </w:tr>
      <w:tr w:rsidR="004D588F" w:rsidRPr="00835753" w14:paraId="185FC154" w14:textId="77777777" w:rsidTr="009251B5">
        <w:trPr>
          <w:trHeight w:val="557"/>
        </w:trPr>
        <w:tc>
          <w:tcPr>
            <w:tcW w:w="1384" w:type="dxa"/>
          </w:tcPr>
          <w:p w14:paraId="0761DB25" w14:textId="77777777" w:rsidR="004D588F" w:rsidRPr="00835753" w:rsidRDefault="004D588F" w:rsidP="004D588F">
            <w:pPr>
              <w:pStyle w:val="Applicationdirecte"/>
              <w:spacing w:before="60"/>
              <w:jc w:val="center"/>
              <w:rPr>
                <w:color w:val="000000"/>
              </w:rPr>
            </w:pPr>
            <w:r w:rsidRPr="00835753">
              <w:t>12</w:t>
            </w:r>
          </w:p>
        </w:tc>
        <w:tc>
          <w:tcPr>
            <w:tcW w:w="7655" w:type="dxa"/>
          </w:tcPr>
          <w:p w14:paraId="5020E0E0" w14:textId="0575BF04" w:rsidR="004D588F" w:rsidRPr="00835753" w:rsidRDefault="00476E72" w:rsidP="004D588F">
            <w:pPr>
              <w:spacing w:before="60" w:after="120"/>
              <w:jc w:val="both"/>
              <w:rPr>
                <w:rFonts w:ascii="Times New Roman" w:hAnsi="Times New Roman" w:cs="Times New Roman"/>
                <w:sz w:val="24"/>
              </w:rPr>
            </w:pPr>
            <w:r w:rsidRPr="00835753">
              <w:rPr>
                <w:rFonts w:ascii="Times New Roman" w:hAnsi="Times New Roman"/>
              </w:rPr>
              <w:t>Nie dotyczy</w:t>
            </w:r>
          </w:p>
        </w:tc>
      </w:tr>
      <w:tr w:rsidR="00476E72" w:rsidRPr="00835753" w14:paraId="05CAD0EA" w14:textId="77777777" w:rsidTr="009251B5">
        <w:trPr>
          <w:trHeight w:val="557"/>
        </w:trPr>
        <w:tc>
          <w:tcPr>
            <w:tcW w:w="1384" w:type="dxa"/>
          </w:tcPr>
          <w:p w14:paraId="2C885FBA" w14:textId="77777777" w:rsidR="00476E72" w:rsidRPr="00835753" w:rsidRDefault="00476E72" w:rsidP="00476E72">
            <w:pPr>
              <w:pStyle w:val="Applicationdirecte"/>
              <w:spacing w:before="60"/>
              <w:jc w:val="center"/>
              <w:rPr>
                <w:color w:val="000000"/>
              </w:rPr>
            </w:pPr>
            <w:r w:rsidRPr="00835753">
              <w:t>13</w:t>
            </w:r>
          </w:p>
        </w:tc>
        <w:tc>
          <w:tcPr>
            <w:tcW w:w="7655" w:type="dxa"/>
          </w:tcPr>
          <w:p w14:paraId="06CD1C7E" w14:textId="6F75CEAB" w:rsidR="00476E72" w:rsidRPr="00835753" w:rsidRDefault="00476E72" w:rsidP="00476E72">
            <w:pPr>
              <w:spacing w:before="60" w:after="120"/>
              <w:jc w:val="both"/>
              <w:rPr>
                <w:rFonts w:ascii="Times New Roman" w:hAnsi="Times New Roman" w:cs="Times New Roman"/>
                <w:sz w:val="24"/>
              </w:rPr>
            </w:pPr>
            <w:r w:rsidRPr="00835753">
              <w:rPr>
                <w:rFonts w:ascii="Times New Roman" w:hAnsi="Times New Roman"/>
              </w:rPr>
              <w:t>Nie dotyczy</w:t>
            </w:r>
          </w:p>
        </w:tc>
      </w:tr>
      <w:tr w:rsidR="00476E72" w:rsidRPr="00835753" w14:paraId="532A7C3A" w14:textId="77777777" w:rsidTr="009251B5">
        <w:trPr>
          <w:trHeight w:val="557"/>
        </w:trPr>
        <w:tc>
          <w:tcPr>
            <w:tcW w:w="1384" w:type="dxa"/>
          </w:tcPr>
          <w:p w14:paraId="50BD4AE4" w14:textId="77777777" w:rsidR="00476E72" w:rsidRPr="00835753" w:rsidRDefault="00476E72" w:rsidP="00476E72">
            <w:pPr>
              <w:pStyle w:val="Applicationdirecte"/>
              <w:spacing w:before="60"/>
              <w:jc w:val="center"/>
              <w:rPr>
                <w:color w:val="000000"/>
              </w:rPr>
            </w:pPr>
            <w:r w:rsidRPr="00835753">
              <w:t>14</w:t>
            </w:r>
          </w:p>
        </w:tc>
        <w:tc>
          <w:tcPr>
            <w:tcW w:w="7655" w:type="dxa"/>
          </w:tcPr>
          <w:p w14:paraId="08EEFB47" w14:textId="4D34AB73" w:rsidR="00476E72" w:rsidRPr="00835753" w:rsidRDefault="00476E72" w:rsidP="00476E72">
            <w:pPr>
              <w:spacing w:before="60" w:after="120"/>
              <w:jc w:val="both"/>
              <w:rPr>
                <w:rFonts w:ascii="Times New Roman" w:hAnsi="Times New Roman" w:cs="Times New Roman"/>
                <w:sz w:val="24"/>
              </w:rPr>
            </w:pPr>
            <w:r w:rsidRPr="00835753">
              <w:rPr>
                <w:rFonts w:ascii="Times New Roman" w:hAnsi="Times New Roman"/>
              </w:rPr>
              <w:t>Nie dotyczy</w:t>
            </w:r>
          </w:p>
        </w:tc>
      </w:tr>
      <w:tr w:rsidR="00FA1376" w:rsidRPr="00835753" w14:paraId="0D00F496" w14:textId="77777777" w:rsidTr="00B2180A">
        <w:trPr>
          <w:trHeight w:val="557"/>
        </w:trPr>
        <w:tc>
          <w:tcPr>
            <w:tcW w:w="1384" w:type="dxa"/>
            <w:vAlign w:val="center"/>
          </w:tcPr>
          <w:p w14:paraId="1FECA812" w14:textId="77777777" w:rsidR="00FA1376" w:rsidRPr="00835753" w:rsidRDefault="00FA1376" w:rsidP="004D588F">
            <w:pPr>
              <w:pStyle w:val="Applicationdirecte"/>
              <w:spacing w:before="60"/>
              <w:jc w:val="center"/>
            </w:pPr>
            <w:r w:rsidRPr="00835753">
              <w:rPr>
                <w:color w:val="000000"/>
              </w:rPr>
              <w:t>15</w:t>
            </w:r>
          </w:p>
        </w:tc>
        <w:tc>
          <w:tcPr>
            <w:tcW w:w="7655" w:type="dxa"/>
          </w:tcPr>
          <w:p w14:paraId="54F87CB3" w14:textId="77777777" w:rsidR="00FA1376" w:rsidRPr="00835753" w:rsidRDefault="00FA1376" w:rsidP="00FA1376">
            <w:pPr>
              <w:spacing w:before="60" w:after="120"/>
              <w:jc w:val="both"/>
              <w:rPr>
                <w:rFonts w:ascii="Times New Roman" w:hAnsi="Times New Roman" w:cs="Times New Roman"/>
                <w:b/>
                <w:sz w:val="24"/>
              </w:rPr>
            </w:pPr>
            <w:r w:rsidRPr="00835753">
              <w:rPr>
                <w:rFonts w:ascii="Times New Roman" w:hAnsi="Times New Roman"/>
                <w:b/>
                <w:sz w:val="24"/>
              </w:rPr>
              <w:t xml:space="preserve">Ryzyko rozliczenia </w:t>
            </w:r>
          </w:p>
          <w:p w14:paraId="5BD4C7C7" w14:textId="486F72ED" w:rsidR="00FA1376" w:rsidRPr="00835753" w:rsidRDefault="00476E72" w:rsidP="0077689B">
            <w:pPr>
              <w:spacing w:before="60" w:after="120"/>
              <w:jc w:val="both"/>
              <w:rPr>
                <w:rFonts w:ascii="Times New Roman" w:hAnsi="Times New Roman" w:cs="Times New Roman"/>
                <w:sz w:val="24"/>
              </w:rPr>
            </w:pPr>
            <w:r w:rsidRPr="00835753">
              <w:rPr>
                <w:rFonts w:ascii="Times New Roman" w:hAnsi="Times New Roman"/>
                <w:sz w:val="24"/>
              </w:rPr>
              <w:t>Kwota ekspozycji na ryzyko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ryzyka rozliczenia/dostawy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378 CRR.</w:t>
            </w:r>
          </w:p>
        </w:tc>
      </w:tr>
      <w:tr w:rsidR="00FA1376" w:rsidRPr="00835753" w14:paraId="657304C7" w14:textId="77777777" w:rsidTr="00B2180A">
        <w:trPr>
          <w:trHeight w:val="557"/>
        </w:trPr>
        <w:tc>
          <w:tcPr>
            <w:tcW w:w="1384" w:type="dxa"/>
            <w:vAlign w:val="center"/>
          </w:tcPr>
          <w:p w14:paraId="78B3E96B" w14:textId="77777777" w:rsidR="00FA1376" w:rsidRPr="00835753" w:rsidRDefault="00FA1376" w:rsidP="00FA1376">
            <w:pPr>
              <w:pStyle w:val="Applicationdirecte"/>
              <w:spacing w:before="60"/>
              <w:jc w:val="center"/>
            </w:pPr>
            <w:r w:rsidRPr="00835753">
              <w:rPr>
                <w:color w:val="000000"/>
              </w:rPr>
              <w:t>16</w:t>
            </w:r>
          </w:p>
        </w:tc>
        <w:tc>
          <w:tcPr>
            <w:tcW w:w="7655" w:type="dxa"/>
          </w:tcPr>
          <w:p w14:paraId="290EA04A" w14:textId="64D0C27B" w:rsidR="00FA1376" w:rsidRPr="00835753" w:rsidRDefault="00FA1376" w:rsidP="00FA1376">
            <w:pPr>
              <w:spacing w:before="60" w:after="120"/>
              <w:jc w:val="both"/>
              <w:rPr>
                <w:rFonts w:ascii="Times New Roman" w:hAnsi="Times New Roman" w:cs="Times New Roman"/>
                <w:b/>
                <w:sz w:val="24"/>
              </w:rPr>
            </w:pPr>
            <w:r w:rsidRPr="00835753">
              <w:rPr>
                <w:rFonts w:ascii="Times New Roman" w:hAnsi="Times New Roman"/>
                <w:b/>
                <w:sz w:val="24"/>
              </w:rPr>
              <w:t>Ekspozycje sekurytyzacyjne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por</w:t>
            </w:r>
            <w:r w:rsidRPr="00835753">
              <w:rPr>
                <w:rFonts w:ascii="Times New Roman" w:hAnsi="Times New Roman"/>
                <w:b/>
                <w:sz w:val="24"/>
              </w:rPr>
              <w:t>tfelu bankowym (po uwzględnieniu ograniczenia)</w:t>
            </w:r>
          </w:p>
          <w:p w14:paraId="3127F872" w14:textId="4E37BA45" w:rsidR="00FA1376" w:rsidRPr="00835753" w:rsidRDefault="009A4635" w:rsidP="0097538A">
            <w:pPr>
              <w:spacing w:before="60" w:after="120"/>
              <w:jc w:val="both"/>
              <w:rPr>
                <w:rFonts w:ascii="Times New Roman" w:hAnsi="Times New Roman" w:cs="Times New Roman"/>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5 CRR.</w:t>
            </w:r>
          </w:p>
        </w:tc>
      </w:tr>
      <w:tr w:rsidR="00FA1376" w:rsidRPr="00835753" w14:paraId="010C9E97" w14:textId="77777777" w:rsidTr="00B2180A">
        <w:trPr>
          <w:trHeight w:val="557"/>
        </w:trPr>
        <w:tc>
          <w:tcPr>
            <w:tcW w:w="1384" w:type="dxa"/>
            <w:vAlign w:val="center"/>
          </w:tcPr>
          <w:p w14:paraId="088B3E8E" w14:textId="77777777" w:rsidR="00FA1376" w:rsidRPr="00835753" w:rsidRDefault="00FA1376" w:rsidP="00FA1376">
            <w:pPr>
              <w:pStyle w:val="Applicationdirecte"/>
              <w:spacing w:before="60"/>
              <w:jc w:val="center"/>
            </w:pPr>
            <w:r w:rsidRPr="00835753">
              <w:rPr>
                <w:color w:val="000000"/>
              </w:rPr>
              <w:t>17</w:t>
            </w:r>
          </w:p>
        </w:tc>
        <w:tc>
          <w:tcPr>
            <w:tcW w:w="7655" w:type="dxa"/>
          </w:tcPr>
          <w:p w14:paraId="60EB9584" w14:textId="5FDD1C78" w:rsidR="00FA1376" w:rsidRPr="00835753" w:rsidRDefault="00FA1376" w:rsidP="00FA1376">
            <w:pPr>
              <w:spacing w:before="60" w:after="120"/>
              <w:jc w:val="both"/>
              <w:rPr>
                <w:rFonts w:ascii="Times New Roman" w:hAnsi="Times New Roman" w:cs="Times New Roman"/>
                <w:b/>
                <w:sz w:val="24"/>
              </w:rPr>
            </w:pPr>
            <w:r w:rsidRPr="00835753">
              <w:rPr>
                <w:rFonts w:ascii="Times New Roman" w:hAnsi="Times New Roman"/>
                <w:b/>
                <w:sz w:val="24"/>
              </w:rPr>
              <w:t>Sekurytyzacja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metoda SEC-IRBA </w:t>
            </w:r>
          </w:p>
          <w:p w14:paraId="48D3D12E" w14:textId="5EBBD8BC" w:rsidR="00FA1376" w:rsidRPr="00835753" w:rsidRDefault="009A4635" w:rsidP="0097538A">
            <w:pPr>
              <w:spacing w:before="60" w:after="120"/>
              <w:jc w:val="both"/>
              <w:rPr>
                <w:rFonts w:ascii="Times New Roman" w:hAnsi="Times New Roman" w:cs="Times New Roman"/>
                <w:sz w:val="24"/>
              </w:rPr>
            </w:pPr>
            <w:r w:rsidRPr="00835753">
              <w:rPr>
                <w:rFonts w:ascii="Times New Roman" w:hAnsi="Times New Roman"/>
                <w:sz w:val="24"/>
              </w:rPr>
              <w:lastRenderedPageBreak/>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odą regulacyjną SEC-IRBA stosowaną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hie</w:t>
            </w:r>
            <w:r w:rsidRPr="00835753">
              <w:rPr>
                <w:rFonts w:ascii="Times New Roman" w:hAnsi="Times New Roman"/>
                <w:sz w:val="24"/>
              </w:rPr>
              <w:t>rarchią metod określoną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254 CRR.</w:t>
            </w:r>
          </w:p>
        </w:tc>
      </w:tr>
      <w:tr w:rsidR="004D588F" w:rsidRPr="00835753" w14:paraId="0BD85931" w14:textId="77777777" w:rsidTr="00B2180A">
        <w:trPr>
          <w:trHeight w:val="557"/>
        </w:trPr>
        <w:tc>
          <w:tcPr>
            <w:tcW w:w="1384" w:type="dxa"/>
            <w:vAlign w:val="center"/>
          </w:tcPr>
          <w:p w14:paraId="5C2CC844" w14:textId="77777777" w:rsidR="004D588F" w:rsidRPr="00835753" w:rsidRDefault="004D588F" w:rsidP="00B2180A">
            <w:pPr>
              <w:pStyle w:val="Applicationdirecte"/>
              <w:spacing w:before="60"/>
              <w:jc w:val="center"/>
            </w:pPr>
            <w:r w:rsidRPr="00835753">
              <w:rPr>
                <w:color w:val="000000"/>
              </w:rPr>
              <w:lastRenderedPageBreak/>
              <w:t>18</w:t>
            </w:r>
          </w:p>
        </w:tc>
        <w:tc>
          <w:tcPr>
            <w:tcW w:w="7655" w:type="dxa"/>
          </w:tcPr>
          <w:p w14:paraId="3D0BC87F" w14:textId="51CA8358" w:rsidR="004D588F" w:rsidRPr="00835753" w:rsidRDefault="004D588F" w:rsidP="00B2180A">
            <w:pPr>
              <w:spacing w:before="60" w:after="120"/>
              <w:jc w:val="both"/>
              <w:rPr>
                <w:rFonts w:ascii="Times New Roman" w:hAnsi="Times New Roman" w:cs="Times New Roman"/>
                <w:b/>
                <w:sz w:val="24"/>
              </w:rPr>
            </w:pPr>
            <w:r w:rsidRPr="00835753">
              <w:rPr>
                <w:rFonts w:ascii="Times New Roman" w:hAnsi="Times New Roman"/>
                <w:b/>
                <w:sz w:val="24"/>
              </w:rPr>
              <w:t>Sekurytyzacja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metoda SEC-ERBA (uwzględniając metodę wewnętrznych oszacowań)</w:t>
            </w:r>
          </w:p>
          <w:p w14:paraId="081795BE" w14:textId="0F25433F" w:rsidR="004D588F" w:rsidRPr="00835753" w:rsidRDefault="004D588F" w:rsidP="0077689B">
            <w:pPr>
              <w:spacing w:before="60" w:after="120"/>
              <w:jc w:val="both"/>
              <w:rPr>
                <w:rFonts w:ascii="Times New Roman" w:hAnsi="Times New Roman" w:cs="Times New Roman"/>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odą regulacyjną SEC-ERBA (uwzględniając metodę wewnętrznych oszacowań) stosowaną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hie</w:t>
            </w:r>
            <w:r w:rsidRPr="00835753">
              <w:rPr>
                <w:rFonts w:ascii="Times New Roman" w:hAnsi="Times New Roman"/>
                <w:sz w:val="24"/>
              </w:rPr>
              <w:t>rarchią metod określoną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254 CRR.</w:t>
            </w:r>
          </w:p>
        </w:tc>
      </w:tr>
      <w:tr w:rsidR="00FA1376" w:rsidRPr="00835753" w14:paraId="4D1D51C3" w14:textId="77777777" w:rsidTr="00B2180A">
        <w:trPr>
          <w:trHeight w:val="557"/>
        </w:trPr>
        <w:tc>
          <w:tcPr>
            <w:tcW w:w="1384" w:type="dxa"/>
            <w:vAlign w:val="center"/>
          </w:tcPr>
          <w:p w14:paraId="05E26500" w14:textId="77777777" w:rsidR="00FA1376" w:rsidRPr="00835753" w:rsidRDefault="00FA1376" w:rsidP="00FA1376">
            <w:pPr>
              <w:pStyle w:val="Applicationdirecte"/>
              <w:spacing w:before="60"/>
              <w:jc w:val="center"/>
            </w:pPr>
            <w:r w:rsidRPr="00835753">
              <w:rPr>
                <w:color w:val="000000"/>
              </w:rPr>
              <w:t>19</w:t>
            </w:r>
          </w:p>
        </w:tc>
        <w:tc>
          <w:tcPr>
            <w:tcW w:w="7655" w:type="dxa"/>
          </w:tcPr>
          <w:p w14:paraId="59496D51" w14:textId="795C52C1" w:rsidR="00FA1376" w:rsidRPr="00835753" w:rsidRDefault="00FA1376" w:rsidP="00FA1376">
            <w:pPr>
              <w:spacing w:before="60" w:after="120"/>
              <w:jc w:val="both"/>
              <w:rPr>
                <w:rFonts w:ascii="Times New Roman" w:hAnsi="Times New Roman" w:cs="Times New Roman"/>
                <w:b/>
                <w:sz w:val="24"/>
              </w:rPr>
            </w:pPr>
            <w:r w:rsidRPr="00835753">
              <w:rPr>
                <w:rFonts w:ascii="Times New Roman" w:hAnsi="Times New Roman"/>
                <w:b/>
                <w:sz w:val="24"/>
              </w:rPr>
              <w:t>Sekurytyzacja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metoda SEC-SA </w:t>
            </w:r>
          </w:p>
          <w:p w14:paraId="70F39EBB" w14:textId="50FEFC70" w:rsidR="00FA1376" w:rsidRPr="00835753" w:rsidRDefault="009A4635" w:rsidP="0077689B">
            <w:pPr>
              <w:spacing w:before="60" w:after="120"/>
              <w:jc w:val="both"/>
              <w:rPr>
                <w:rFonts w:ascii="Times New Roman" w:hAnsi="Times New Roman" w:cs="Times New Roman"/>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odą regulacyjną SEC-SA stosowaną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hie</w:t>
            </w:r>
            <w:r w:rsidRPr="00835753">
              <w:rPr>
                <w:rFonts w:ascii="Times New Roman" w:hAnsi="Times New Roman"/>
                <w:sz w:val="24"/>
              </w:rPr>
              <w:t>rarchią metod określoną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254 CRR.</w:t>
            </w:r>
          </w:p>
        </w:tc>
      </w:tr>
      <w:tr w:rsidR="00FA1376" w:rsidRPr="00835753" w14:paraId="2FE59A55" w14:textId="77777777" w:rsidTr="00B2180A">
        <w:trPr>
          <w:trHeight w:val="557"/>
        </w:trPr>
        <w:tc>
          <w:tcPr>
            <w:tcW w:w="1384" w:type="dxa"/>
            <w:vAlign w:val="center"/>
          </w:tcPr>
          <w:p w14:paraId="78D679FB" w14:textId="77777777" w:rsidR="00FA1376" w:rsidRPr="00835753" w:rsidRDefault="004D588F" w:rsidP="00FA1376">
            <w:pPr>
              <w:pStyle w:val="Applicationdirecte"/>
              <w:spacing w:before="60"/>
              <w:jc w:val="center"/>
            </w:pPr>
            <w:r w:rsidRPr="00835753">
              <w:rPr>
                <w:color w:val="000000"/>
              </w:rPr>
              <w:t>EU 19a</w:t>
            </w:r>
          </w:p>
        </w:tc>
        <w:tc>
          <w:tcPr>
            <w:tcW w:w="7655" w:type="dxa"/>
          </w:tcPr>
          <w:p w14:paraId="571291B6" w14:textId="170EAB4E" w:rsidR="00FA1376" w:rsidRPr="00835753" w:rsidRDefault="00FA1376" w:rsidP="00FA1376">
            <w:pPr>
              <w:spacing w:before="60" w:after="120"/>
              <w:jc w:val="both"/>
              <w:rPr>
                <w:rFonts w:ascii="Times New Roman" w:hAnsi="Times New Roman" w:cs="Times New Roman"/>
                <w:b/>
                <w:sz w:val="24"/>
              </w:rPr>
            </w:pPr>
            <w:r w:rsidRPr="00835753">
              <w:rPr>
                <w:rFonts w:ascii="Times New Roman" w:hAnsi="Times New Roman"/>
                <w:b/>
                <w:sz w:val="24"/>
              </w:rPr>
              <w:t>Sekurytyzacja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waga ryzyka równa 1 250</w:t>
            </w:r>
            <w:r w:rsidR="00835753" w:rsidRPr="00835753">
              <w:rPr>
                <w:rFonts w:ascii="Times New Roman" w:hAnsi="Times New Roman"/>
                <w:b/>
                <w:sz w:val="24"/>
              </w:rPr>
              <w:t> </w:t>
            </w:r>
            <w:r w:rsidRPr="00835753">
              <w:rPr>
                <w:rFonts w:ascii="Times New Roman" w:hAnsi="Times New Roman"/>
                <w:b/>
                <w:sz w:val="24"/>
              </w:rPr>
              <w:t>% / odliczenie</w:t>
            </w:r>
          </w:p>
          <w:p w14:paraId="7E6CD2F2" w14:textId="71BF49E5" w:rsidR="00FA1376" w:rsidRPr="00835753" w:rsidRDefault="009A4635" w:rsidP="0077689B">
            <w:pPr>
              <w:spacing w:before="60" w:after="120"/>
              <w:jc w:val="both"/>
              <w:rPr>
                <w:rFonts w:ascii="Times New Roman" w:hAnsi="Times New Roman" w:cs="Times New Roman"/>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ekspozycji sekurytyzacyjnych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tfelu bankowym</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zas</w:t>
            </w:r>
            <w:r w:rsidRPr="00835753">
              <w:rPr>
                <w:rFonts w:ascii="Times New Roman" w:hAnsi="Times New Roman"/>
                <w:sz w:val="24"/>
              </w:rPr>
              <w:t>tosowaniem wagi ryzyka równej 1 250</w:t>
            </w:r>
            <w:r w:rsidR="00835753" w:rsidRPr="00835753">
              <w:rPr>
                <w:rFonts w:ascii="Times New Roman" w:hAnsi="Times New Roman"/>
                <w:sz w:val="24"/>
              </w:rPr>
              <w:t> </w:t>
            </w:r>
            <w:r w:rsidRPr="00835753">
              <w:rPr>
                <w:rFonts w:ascii="Times New Roman" w:hAnsi="Times New Roman"/>
                <w:sz w:val="24"/>
              </w:rPr>
              <w:t>% lub odliczenia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fun</w:t>
            </w:r>
            <w:r w:rsidRPr="00835753">
              <w:rPr>
                <w:rFonts w:ascii="Times New Roman" w:hAnsi="Times New Roman"/>
                <w:sz w:val="24"/>
              </w:rPr>
              <w:t>duszy własnych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5 CRR.</w:t>
            </w:r>
          </w:p>
        </w:tc>
      </w:tr>
      <w:tr w:rsidR="004D588F" w:rsidRPr="00835753" w14:paraId="78AD28BD" w14:textId="77777777" w:rsidTr="00254E82">
        <w:trPr>
          <w:trHeight w:val="557"/>
        </w:trPr>
        <w:tc>
          <w:tcPr>
            <w:tcW w:w="1384" w:type="dxa"/>
          </w:tcPr>
          <w:p w14:paraId="165E71A5" w14:textId="77777777" w:rsidR="004D588F" w:rsidRPr="00835753" w:rsidRDefault="004D588F" w:rsidP="004D588F">
            <w:pPr>
              <w:pStyle w:val="Applicationdirecte"/>
              <w:spacing w:before="60"/>
              <w:jc w:val="center"/>
            </w:pPr>
            <w:r w:rsidRPr="00835753">
              <w:t>20</w:t>
            </w:r>
          </w:p>
        </w:tc>
        <w:tc>
          <w:tcPr>
            <w:tcW w:w="7655" w:type="dxa"/>
          </w:tcPr>
          <w:p w14:paraId="403A7459" w14:textId="40E604D9" w:rsidR="004D588F" w:rsidRPr="00835753" w:rsidRDefault="004D588F" w:rsidP="004D588F">
            <w:pPr>
              <w:spacing w:before="60" w:after="120"/>
              <w:jc w:val="both"/>
              <w:rPr>
                <w:rFonts w:ascii="Times New Roman" w:hAnsi="Times New Roman" w:cs="Times New Roman"/>
                <w:b/>
                <w:sz w:val="24"/>
              </w:rPr>
            </w:pPr>
            <w:r w:rsidRPr="00835753">
              <w:rPr>
                <w:rFonts w:ascii="Times New Roman" w:hAnsi="Times New Roman"/>
                <w:b/>
                <w:sz w:val="24"/>
              </w:rPr>
              <w:t>Ryzyko pozycji, ryzyko walutowe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ryz</w:t>
            </w:r>
            <w:r w:rsidRPr="00835753">
              <w:rPr>
                <w:rFonts w:ascii="Times New Roman" w:hAnsi="Times New Roman"/>
                <w:b/>
                <w:sz w:val="24"/>
              </w:rPr>
              <w:t>yko cen towarów (ryzyko rynkowe)</w:t>
            </w:r>
          </w:p>
          <w:p w14:paraId="1D8E5705" w14:textId="68209607" w:rsidR="004D588F" w:rsidRPr="00835753" w:rsidRDefault="004D588F" w:rsidP="0097538A">
            <w:pPr>
              <w:spacing w:before="60" w:after="120"/>
              <w:jc w:val="both"/>
              <w:rPr>
                <w:rFonts w:ascii="Times New Roman" w:hAnsi="Times New Roman" w:cs="Times New Roman"/>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 xml:space="preserve">ścią trzecią tytuł IV CRR. </w:t>
            </w:r>
          </w:p>
        </w:tc>
      </w:tr>
      <w:tr w:rsidR="004D588F" w:rsidRPr="00835753" w14:paraId="4F4C8A13" w14:textId="77777777" w:rsidTr="00254E82">
        <w:trPr>
          <w:trHeight w:val="557"/>
        </w:trPr>
        <w:tc>
          <w:tcPr>
            <w:tcW w:w="1384" w:type="dxa"/>
          </w:tcPr>
          <w:p w14:paraId="2600D745" w14:textId="77777777" w:rsidR="004D588F" w:rsidRPr="00835753" w:rsidRDefault="004D588F" w:rsidP="004D588F">
            <w:pPr>
              <w:pStyle w:val="Applicationdirecte"/>
              <w:spacing w:before="60"/>
              <w:jc w:val="center"/>
            </w:pPr>
            <w:r w:rsidRPr="00835753">
              <w:t>21</w:t>
            </w:r>
          </w:p>
        </w:tc>
        <w:tc>
          <w:tcPr>
            <w:tcW w:w="7655" w:type="dxa"/>
          </w:tcPr>
          <w:p w14:paraId="094F283E" w14:textId="3320D241" w:rsidR="004D588F" w:rsidRPr="00835753" w:rsidRDefault="004D588F" w:rsidP="004D588F">
            <w:pPr>
              <w:spacing w:before="60" w:after="120"/>
              <w:jc w:val="both"/>
              <w:rPr>
                <w:rFonts w:ascii="Times New Roman" w:hAnsi="Times New Roman" w:cs="Times New Roman"/>
                <w:b/>
                <w:sz w:val="24"/>
              </w:rPr>
            </w:pPr>
            <w:r w:rsidRPr="00835753">
              <w:rPr>
                <w:rFonts w:ascii="Times New Roman" w:hAnsi="Times New Roman"/>
                <w:b/>
                <w:sz w:val="24"/>
              </w:rPr>
              <w:t>Ryzyko rynkowe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metoda standardowa </w:t>
            </w:r>
          </w:p>
          <w:p w14:paraId="3CC79283" w14:textId="713B8E6D" w:rsidR="004D588F" w:rsidRPr="00835753" w:rsidRDefault="004D588F" w:rsidP="0077689B">
            <w:pPr>
              <w:spacing w:before="60" w:after="120"/>
              <w:jc w:val="both"/>
              <w:rPr>
                <w:rFonts w:ascii="Times New Roman" w:hAnsi="Times New Roman" w:cs="Times New Roman"/>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IV rozdziały 2–4 CRR.</w:t>
            </w:r>
          </w:p>
        </w:tc>
      </w:tr>
      <w:tr w:rsidR="004D588F" w:rsidRPr="00835753" w14:paraId="7730A887" w14:textId="77777777" w:rsidTr="00254E82">
        <w:trPr>
          <w:trHeight w:val="557"/>
        </w:trPr>
        <w:tc>
          <w:tcPr>
            <w:tcW w:w="1384" w:type="dxa"/>
          </w:tcPr>
          <w:p w14:paraId="4659D69D" w14:textId="77777777" w:rsidR="004D588F" w:rsidRPr="00835753" w:rsidRDefault="004D588F" w:rsidP="004D588F">
            <w:pPr>
              <w:pStyle w:val="Applicationdirecte"/>
              <w:spacing w:before="60"/>
              <w:jc w:val="center"/>
            </w:pPr>
            <w:r w:rsidRPr="00835753">
              <w:t>22</w:t>
            </w:r>
          </w:p>
        </w:tc>
        <w:tc>
          <w:tcPr>
            <w:tcW w:w="7655" w:type="dxa"/>
          </w:tcPr>
          <w:p w14:paraId="7F8B2B75" w14:textId="1A32B755" w:rsidR="004D588F" w:rsidRPr="00835753" w:rsidRDefault="004D588F" w:rsidP="004D588F">
            <w:pPr>
              <w:spacing w:before="60" w:after="120"/>
              <w:jc w:val="both"/>
              <w:rPr>
                <w:rFonts w:ascii="Times New Roman" w:hAnsi="Times New Roman" w:cs="Times New Roman"/>
                <w:b/>
                <w:sz w:val="24"/>
              </w:rPr>
            </w:pPr>
            <w:r w:rsidRPr="00835753">
              <w:rPr>
                <w:rFonts w:ascii="Times New Roman" w:hAnsi="Times New Roman"/>
                <w:b/>
                <w:sz w:val="24"/>
              </w:rPr>
              <w:t>Ryzyko rynkowe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metoda modeli wewnętrznych </w:t>
            </w:r>
          </w:p>
          <w:p w14:paraId="190F3353" w14:textId="38CDC1AD" w:rsidR="004D588F" w:rsidRPr="00835753" w:rsidRDefault="004D588F" w:rsidP="00476E72">
            <w:pPr>
              <w:spacing w:before="60" w:after="120"/>
              <w:jc w:val="both"/>
              <w:rPr>
                <w:rFonts w:ascii="Times New Roman" w:hAnsi="Times New Roman" w:cs="Times New Roman"/>
                <w:sz w:val="24"/>
              </w:rPr>
            </w:pPr>
            <w:r w:rsidRPr="00835753">
              <w:rPr>
                <w:rFonts w:ascii="Times New Roman" w:hAnsi="Times New Roman"/>
                <w:sz w:val="24"/>
              </w:rPr>
              <w:t>Kwota ekspozycji na ryzyko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IV rozdział 5 CRR.</w:t>
            </w:r>
          </w:p>
        </w:tc>
      </w:tr>
      <w:tr w:rsidR="00FA1376" w:rsidRPr="00835753" w14:paraId="634BA896" w14:textId="77777777" w:rsidTr="00B2180A">
        <w:trPr>
          <w:trHeight w:val="557"/>
        </w:trPr>
        <w:tc>
          <w:tcPr>
            <w:tcW w:w="1384" w:type="dxa"/>
            <w:vAlign w:val="center"/>
          </w:tcPr>
          <w:p w14:paraId="20BE37C9" w14:textId="77777777" w:rsidR="00FA1376" w:rsidRPr="00835753" w:rsidRDefault="004D588F" w:rsidP="00FA1376">
            <w:pPr>
              <w:pStyle w:val="Applicationdirecte"/>
              <w:spacing w:before="60"/>
              <w:jc w:val="center"/>
            </w:pPr>
            <w:r w:rsidRPr="00835753">
              <w:rPr>
                <w:color w:val="000000"/>
              </w:rPr>
              <w:t>EU 22a</w:t>
            </w:r>
          </w:p>
        </w:tc>
        <w:tc>
          <w:tcPr>
            <w:tcW w:w="7655" w:type="dxa"/>
          </w:tcPr>
          <w:p w14:paraId="3C6ECD7F" w14:textId="77777777" w:rsidR="00FA1376" w:rsidRPr="00835753" w:rsidRDefault="00FA1376" w:rsidP="00FA1376">
            <w:pPr>
              <w:spacing w:before="60" w:after="120"/>
              <w:jc w:val="both"/>
              <w:rPr>
                <w:rFonts w:ascii="Times New Roman" w:hAnsi="Times New Roman" w:cs="Times New Roman"/>
                <w:b/>
                <w:sz w:val="24"/>
              </w:rPr>
            </w:pPr>
            <w:r w:rsidRPr="00835753">
              <w:rPr>
                <w:rFonts w:ascii="Times New Roman" w:hAnsi="Times New Roman"/>
                <w:b/>
                <w:sz w:val="24"/>
              </w:rPr>
              <w:t>Duże ekspozycje</w:t>
            </w:r>
          </w:p>
          <w:p w14:paraId="01CE52D0" w14:textId="36817472" w:rsidR="00FA1376" w:rsidRPr="00835753" w:rsidRDefault="009A4635" w:rsidP="00476E72">
            <w:pPr>
              <w:spacing w:before="60" w:after="120"/>
              <w:jc w:val="both"/>
              <w:rPr>
                <w:rFonts w:ascii="Times New Roman" w:hAnsi="Times New Roman" w:cs="Times New Roman"/>
                <w:sz w:val="24"/>
              </w:rPr>
            </w:pPr>
            <w:r w:rsidRPr="00835753">
              <w:rPr>
                <w:rFonts w:ascii="Times New Roman" w:hAnsi="Times New Roman"/>
                <w:sz w:val="24"/>
              </w:rPr>
              <w:t>Kwota ekspozycji na ryzyko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92 ust.</w:t>
            </w:r>
            <w:r w:rsidR="00835753" w:rsidRPr="00835753">
              <w:rPr>
                <w:rFonts w:ascii="Times New Roman" w:hAnsi="Times New Roman"/>
                <w:sz w:val="24"/>
              </w:rPr>
              <w:t> </w:t>
            </w:r>
            <w:r w:rsidRPr="00835753">
              <w:rPr>
                <w:rFonts w:ascii="Times New Roman" w:hAnsi="Times New Roman"/>
                <w:sz w:val="24"/>
              </w:rPr>
              <w:t>3 lit.</w:t>
            </w:r>
            <w:r w:rsidR="00835753" w:rsidRPr="00835753">
              <w:rPr>
                <w:rFonts w:ascii="Times New Roman" w:hAnsi="Times New Roman"/>
                <w:sz w:val="24"/>
              </w:rPr>
              <w:t> </w:t>
            </w:r>
            <w:r w:rsidRPr="00835753">
              <w:rPr>
                <w:rFonts w:ascii="Times New Roman" w:hAnsi="Times New Roman"/>
                <w:sz w:val="24"/>
              </w:rPr>
              <w:t>b) ppkt (ii) CRR.</w:t>
            </w:r>
          </w:p>
        </w:tc>
      </w:tr>
      <w:tr w:rsidR="004D588F" w:rsidRPr="00835753" w14:paraId="4F084615" w14:textId="77777777" w:rsidTr="009251B5">
        <w:trPr>
          <w:trHeight w:val="557"/>
        </w:trPr>
        <w:tc>
          <w:tcPr>
            <w:tcW w:w="1384" w:type="dxa"/>
          </w:tcPr>
          <w:p w14:paraId="688F7715" w14:textId="77777777" w:rsidR="004D588F" w:rsidRPr="00835753" w:rsidRDefault="004D588F" w:rsidP="004D588F">
            <w:pPr>
              <w:pStyle w:val="Applicationdirecte"/>
              <w:spacing w:before="60"/>
              <w:jc w:val="center"/>
              <w:rPr>
                <w:color w:val="000000"/>
              </w:rPr>
            </w:pPr>
            <w:r w:rsidRPr="00835753">
              <w:t>23</w:t>
            </w:r>
          </w:p>
        </w:tc>
        <w:tc>
          <w:tcPr>
            <w:tcW w:w="7655" w:type="dxa"/>
          </w:tcPr>
          <w:p w14:paraId="62D84362" w14:textId="77777777" w:rsidR="00064A87" w:rsidRPr="00835753" w:rsidRDefault="00064A87" w:rsidP="00064A87">
            <w:pPr>
              <w:spacing w:before="60" w:after="120"/>
              <w:jc w:val="both"/>
              <w:rPr>
                <w:rFonts w:ascii="Times New Roman" w:hAnsi="Times New Roman" w:cs="Times New Roman"/>
                <w:b/>
                <w:sz w:val="24"/>
              </w:rPr>
            </w:pPr>
            <w:r w:rsidRPr="00835753">
              <w:rPr>
                <w:rFonts w:ascii="Times New Roman" w:hAnsi="Times New Roman"/>
                <w:b/>
                <w:sz w:val="24"/>
              </w:rPr>
              <w:t xml:space="preserve">Ryzyko operacyjne </w:t>
            </w:r>
          </w:p>
          <w:p w14:paraId="1D9DEFE1" w14:textId="440C49AF" w:rsidR="004D588F" w:rsidRPr="00835753" w:rsidRDefault="00064A87" w:rsidP="00601608">
            <w:pPr>
              <w:spacing w:before="60" w:after="120"/>
              <w:jc w:val="both"/>
              <w:rPr>
                <w:rFonts w:ascii="Times New Roman" w:hAnsi="Times New Roman" w:cs="Times New Roman"/>
                <w:i/>
                <w:sz w:val="24"/>
              </w:rPr>
            </w:pPr>
            <w:r w:rsidRPr="00835753">
              <w:rPr>
                <w:rFonts w:ascii="Times New Roman" w:hAnsi="Times New Roman"/>
                <w:sz w:val="24"/>
              </w:rPr>
              <w:t>Kwota ekspozycji na ryzyko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III CRR.</w:t>
            </w:r>
          </w:p>
        </w:tc>
      </w:tr>
      <w:tr w:rsidR="004D588F" w:rsidRPr="00835753" w14:paraId="396F9058" w14:textId="77777777" w:rsidTr="00254E82">
        <w:trPr>
          <w:trHeight w:val="557"/>
        </w:trPr>
        <w:tc>
          <w:tcPr>
            <w:tcW w:w="1384" w:type="dxa"/>
          </w:tcPr>
          <w:p w14:paraId="0B756814" w14:textId="77777777" w:rsidR="004D588F" w:rsidRPr="00835753" w:rsidRDefault="004D588F" w:rsidP="00355D90">
            <w:pPr>
              <w:pStyle w:val="Applicationdirecte"/>
              <w:spacing w:before="60"/>
              <w:jc w:val="center"/>
            </w:pPr>
            <w:r w:rsidRPr="00835753">
              <w:t>EU 23a</w:t>
            </w:r>
          </w:p>
        </w:tc>
        <w:tc>
          <w:tcPr>
            <w:tcW w:w="7655" w:type="dxa"/>
          </w:tcPr>
          <w:p w14:paraId="32266F94" w14:textId="09FF6D30" w:rsidR="004D588F" w:rsidRPr="00835753" w:rsidRDefault="004D588F" w:rsidP="004D588F">
            <w:pPr>
              <w:spacing w:before="60" w:after="120"/>
              <w:jc w:val="both"/>
              <w:rPr>
                <w:rFonts w:ascii="Times New Roman" w:hAnsi="Times New Roman" w:cs="Times New Roman"/>
                <w:b/>
                <w:sz w:val="24"/>
              </w:rPr>
            </w:pPr>
            <w:r w:rsidRPr="00835753">
              <w:rPr>
                <w:rFonts w:ascii="Times New Roman" w:hAnsi="Times New Roman"/>
                <w:b/>
                <w:sz w:val="24"/>
              </w:rPr>
              <w:t>Ryzyko operacyjne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metoda wskaźnika bazowego </w:t>
            </w:r>
          </w:p>
          <w:p w14:paraId="07934FF8" w14:textId="1A4EEE99" w:rsidR="004D588F" w:rsidRPr="00835753" w:rsidRDefault="004D588F" w:rsidP="00601608">
            <w:pPr>
              <w:spacing w:before="60" w:after="120"/>
              <w:jc w:val="both"/>
              <w:rPr>
                <w:rFonts w:ascii="Times New Roman" w:hAnsi="Times New Roman" w:cs="Times New Roman"/>
                <w:sz w:val="24"/>
              </w:rPr>
            </w:pPr>
            <w:r w:rsidRPr="00835753">
              <w:rPr>
                <w:rFonts w:ascii="Times New Roman" w:hAnsi="Times New Roman"/>
                <w:sz w:val="24"/>
              </w:rPr>
              <w:t>Kwota ekspozycji na ryzyko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III rozdział 2 CRR.</w:t>
            </w:r>
          </w:p>
        </w:tc>
      </w:tr>
      <w:tr w:rsidR="004D588F" w:rsidRPr="00835753" w14:paraId="5EF18DC9" w14:textId="77777777" w:rsidTr="00254E82">
        <w:trPr>
          <w:trHeight w:val="557"/>
        </w:trPr>
        <w:tc>
          <w:tcPr>
            <w:tcW w:w="1384" w:type="dxa"/>
          </w:tcPr>
          <w:p w14:paraId="0801631A" w14:textId="77777777" w:rsidR="004D588F" w:rsidRPr="00835753" w:rsidRDefault="004D588F" w:rsidP="004D588F">
            <w:pPr>
              <w:pStyle w:val="Applicationdirecte"/>
              <w:spacing w:before="60"/>
              <w:jc w:val="center"/>
            </w:pPr>
            <w:r w:rsidRPr="00835753">
              <w:t>EU 23b</w:t>
            </w:r>
          </w:p>
        </w:tc>
        <w:tc>
          <w:tcPr>
            <w:tcW w:w="7655" w:type="dxa"/>
          </w:tcPr>
          <w:p w14:paraId="38439BD6" w14:textId="224EDD47" w:rsidR="004D588F" w:rsidRPr="00835753" w:rsidRDefault="004D588F" w:rsidP="004D588F">
            <w:pPr>
              <w:spacing w:before="60" w:after="120"/>
              <w:jc w:val="both"/>
              <w:rPr>
                <w:rFonts w:ascii="Times New Roman" w:hAnsi="Times New Roman" w:cs="Times New Roman"/>
                <w:b/>
                <w:sz w:val="24"/>
              </w:rPr>
            </w:pPr>
            <w:r w:rsidRPr="00835753">
              <w:rPr>
                <w:rFonts w:ascii="Times New Roman" w:hAnsi="Times New Roman"/>
                <w:b/>
                <w:sz w:val="24"/>
              </w:rPr>
              <w:t>Ryzyko operacyjne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metoda standardowa </w:t>
            </w:r>
          </w:p>
          <w:p w14:paraId="14BE2DD9" w14:textId="6A27553B" w:rsidR="004D588F" w:rsidRPr="00835753" w:rsidRDefault="004D588F" w:rsidP="00601608">
            <w:pPr>
              <w:spacing w:before="60" w:after="120"/>
              <w:jc w:val="both"/>
              <w:rPr>
                <w:rFonts w:ascii="Times New Roman" w:hAnsi="Times New Roman" w:cs="Times New Roman"/>
                <w:sz w:val="24"/>
              </w:rPr>
            </w:pPr>
            <w:r w:rsidRPr="00835753">
              <w:rPr>
                <w:rFonts w:ascii="Times New Roman" w:hAnsi="Times New Roman"/>
                <w:sz w:val="24"/>
              </w:rPr>
              <w:lastRenderedPageBreak/>
              <w:t>Kwota ekspozycji na ryzyko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III rozdział 3 CRR.</w:t>
            </w:r>
          </w:p>
        </w:tc>
      </w:tr>
      <w:tr w:rsidR="004D588F" w:rsidRPr="00835753" w14:paraId="56E0EEAB" w14:textId="77777777" w:rsidTr="00254E82">
        <w:trPr>
          <w:trHeight w:val="557"/>
        </w:trPr>
        <w:tc>
          <w:tcPr>
            <w:tcW w:w="1384" w:type="dxa"/>
          </w:tcPr>
          <w:p w14:paraId="73D93B72" w14:textId="77777777" w:rsidR="004D588F" w:rsidRPr="00835753" w:rsidRDefault="004D588F" w:rsidP="004D588F">
            <w:pPr>
              <w:pStyle w:val="Applicationdirecte"/>
              <w:spacing w:before="60"/>
              <w:jc w:val="center"/>
            </w:pPr>
            <w:r w:rsidRPr="00835753">
              <w:lastRenderedPageBreak/>
              <w:t>EU 23c</w:t>
            </w:r>
          </w:p>
        </w:tc>
        <w:tc>
          <w:tcPr>
            <w:tcW w:w="7655" w:type="dxa"/>
          </w:tcPr>
          <w:p w14:paraId="6FCA860A" w14:textId="72D53808" w:rsidR="004D588F" w:rsidRPr="00835753" w:rsidRDefault="004D588F" w:rsidP="004D588F">
            <w:pPr>
              <w:spacing w:before="60" w:after="120"/>
              <w:jc w:val="both"/>
              <w:rPr>
                <w:rFonts w:ascii="Times New Roman" w:hAnsi="Times New Roman" w:cs="Times New Roman"/>
                <w:b/>
                <w:sz w:val="24"/>
              </w:rPr>
            </w:pPr>
            <w:r w:rsidRPr="00835753">
              <w:rPr>
                <w:rFonts w:ascii="Times New Roman" w:hAnsi="Times New Roman"/>
                <w:b/>
                <w:sz w:val="24"/>
              </w:rPr>
              <w:t>Ryzyko operacyjne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metoda zaawansowanego pomiaru </w:t>
            </w:r>
          </w:p>
          <w:p w14:paraId="478510C3" w14:textId="62B4D7CD" w:rsidR="004D588F" w:rsidRPr="00835753" w:rsidRDefault="004D588F" w:rsidP="00601608">
            <w:pPr>
              <w:spacing w:before="60" w:after="120"/>
              <w:jc w:val="both"/>
              <w:rPr>
                <w:rFonts w:ascii="Times New Roman" w:hAnsi="Times New Roman" w:cs="Times New Roman"/>
                <w:sz w:val="24"/>
              </w:rPr>
            </w:pPr>
            <w:r w:rsidRPr="00835753">
              <w:rPr>
                <w:rFonts w:ascii="Times New Roman" w:hAnsi="Times New Roman"/>
                <w:sz w:val="24"/>
              </w:rPr>
              <w:t>Kwota ekspozycji na ryzyko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III rozdział 4 CRR.</w:t>
            </w:r>
          </w:p>
        </w:tc>
      </w:tr>
      <w:tr w:rsidR="00355D90" w:rsidRPr="00835753" w14:paraId="76248997" w14:textId="77777777" w:rsidTr="001C2D18">
        <w:trPr>
          <w:trHeight w:val="557"/>
        </w:trPr>
        <w:tc>
          <w:tcPr>
            <w:tcW w:w="1384" w:type="dxa"/>
          </w:tcPr>
          <w:p w14:paraId="0E30EA32" w14:textId="77777777" w:rsidR="00355D90" w:rsidRPr="00835753" w:rsidRDefault="00355D90" w:rsidP="001C2D18">
            <w:pPr>
              <w:pStyle w:val="Applicationdirecte"/>
              <w:spacing w:before="60"/>
              <w:jc w:val="center"/>
            </w:pPr>
            <w:r w:rsidRPr="00835753">
              <w:t xml:space="preserve"> 24</w:t>
            </w:r>
          </w:p>
        </w:tc>
        <w:tc>
          <w:tcPr>
            <w:tcW w:w="7655" w:type="dxa"/>
          </w:tcPr>
          <w:p w14:paraId="46C5B971" w14:textId="06159130" w:rsidR="00355D90" w:rsidRPr="00835753" w:rsidRDefault="00355D90" w:rsidP="001C2D18">
            <w:pPr>
              <w:spacing w:before="60" w:after="120"/>
              <w:jc w:val="both"/>
              <w:rPr>
                <w:rFonts w:ascii="Times New Roman" w:hAnsi="Times New Roman" w:cs="Times New Roman"/>
                <w:b/>
                <w:sz w:val="24"/>
              </w:rPr>
            </w:pPr>
            <w:r w:rsidRPr="00835753">
              <w:rPr>
                <w:rFonts w:ascii="Times New Roman" w:hAnsi="Times New Roman"/>
                <w:b/>
                <w:sz w:val="24"/>
              </w:rPr>
              <w:t>Kwoty poniżej progów odliczeń (podlegające wadze ryzyka równej 250</w:t>
            </w:r>
            <w:r w:rsidR="00835753" w:rsidRPr="00835753">
              <w:rPr>
                <w:rFonts w:ascii="Times New Roman" w:hAnsi="Times New Roman"/>
                <w:b/>
                <w:sz w:val="24"/>
              </w:rPr>
              <w:t> </w:t>
            </w:r>
            <w:r w:rsidRPr="00835753">
              <w:rPr>
                <w:rFonts w:ascii="Times New Roman" w:hAnsi="Times New Roman"/>
                <w:b/>
                <w:sz w:val="24"/>
              </w:rPr>
              <w:t xml:space="preserve">%) </w:t>
            </w:r>
          </w:p>
          <w:p w14:paraId="2A67FBCB" w14:textId="2AFEF26C" w:rsidR="00355D90" w:rsidRPr="00835753" w:rsidRDefault="00355D90" w:rsidP="001C2D18">
            <w:pPr>
              <w:spacing w:before="60" w:after="120"/>
              <w:jc w:val="both"/>
              <w:rPr>
                <w:rFonts w:ascii="Times New Roman" w:hAnsi="Times New Roman" w:cs="Times New Roman"/>
                <w:sz w:val="24"/>
              </w:rPr>
            </w:pPr>
            <w:r w:rsidRPr="00835753">
              <w:rPr>
                <w:rFonts w:ascii="Times New Roman" w:hAnsi="Times New Roman"/>
                <w:sz w:val="24"/>
              </w:rPr>
              <w:t>Kwota ta odpowiada kwotom pozycji podlegających stosowaniu wagi ryzyka równej 250</w:t>
            </w:r>
            <w:r w:rsidR="00835753" w:rsidRPr="00835753">
              <w:rPr>
                <w:rFonts w:ascii="Times New Roman" w:hAnsi="Times New Roman"/>
                <w:sz w:val="24"/>
              </w:rPr>
              <w:t> </w:t>
            </w:r>
            <w:r w:rsidRPr="00835753">
              <w:rPr>
                <w:rFonts w:ascii="Times New Roman" w:hAnsi="Times New Roman"/>
                <w:sz w:val="24"/>
              </w:rPr>
              <w:t>%,</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 ust.</w:t>
            </w:r>
            <w:r w:rsidR="00835753" w:rsidRPr="00835753">
              <w:rPr>
                <w:rFonts w:ascii="Times New Roman" w:hAnsi="Times New Roman"/>
                <w:sz w:val="24"/>
              </w:rPr>
              <w:t> </w:t>
            </w:r>
            <w:r w:rsidRPr="00835753">
              <w:rPr>
                <w:rFonts w:ascii="Times New Roman" w:hAnsi="Times New Roman"/>
                <w:sz w:val="24"/>
              </w:rPr>
              <w:t>4 CRR, po zastosowaniu wagi ryzyka równej 250</w:t>
            </w:r>
            <w:r w:rsidR="00835753" w:rsidRPr="00835753">
              <w:rPr>
                <w:rFonts w:ascii="Times New Roman" w:hAnsi="Times New Roman"/>
                <w:sz w:val="24"/>
              </w:rPr>
              <w:t> </w:t>
            </w:r>
            <w:r w:rsidRPr="00835753">
              <w:rPr>
                <w:rFonts w:ascii="Times New Roman" w:hAnsi="Times New Roman"/>
                <w:sz w:val="24"/>
              </w:rPr>
              <w:t>%. Kwoty te obejmują:</w:t>
            </w:r>
          </w:p>
          <w:p w14:paraId="7233691E" w14:textId="605189D9" w:rsidR="00355D90" w:rsidRPr="00835753" w:rsidRDefault="00355D90" w:rsidP="00E70D84">
            <w:pPr>
              <w:pStyle w:val="ListParagraph"/>
              <w:numPr>
                <w:ilvl w:val="0"/>
                <w:numId w:val="15"/>
              </w:numPr>
              <w:spacing w:before="60" w:after="120"/>
              <w:jc w:val="both"/>
              <w:rPr>
                <w:rFonts w:ascii="Times New Roman" w:hAnsi="Times New Roman"/>
                <w:sz w:val="24"/>
              </w:rPr>
            </w:pPr>
            <w:proofErr w:type="gramStart"/>
            <w:r w:rsidRPr="00835753">
              <w:rPr>
                <w:rFonts w:ascii="Times New Roman" w:hAnsi="Times New Roman"/>
                <w:sz w:val="24"/>
              </w:rPr>
              <w:t>aktywa</w:t>
            </w:r>
            <w:proofErr w:type="gramEnd"/>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 oparte na przyszłej rentowności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wyn</w:t>
            </w:r>
            <w:r w:rsidRPr="00835753">
              <w:rPr>
                <w:rFonts w:ascii="Times New Roman" w:hAnsi="Times New Roman"/>
                <w:sz w:val="24"/>
              </w:rPr>
              <w:t>ikające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róż</w:t>
            </w:r>
            <w:r w:rsidRPr="00835753">
              <w:rPr>
                <w:rFonts w:ascii="Times New Roman" w:hAnsi="Times New Roman"/>
                <w:sz w:val="24"/>
              </w:rPr>
              <w:t>nic przejściowych, których łączna wartość wynosi co najwyżej 10</w:t>
            </w:r>
            <w:r w:rsidR="00835753" w:rsidRPr="00835753">
              <w:rPr>
                <w:rFonts w:ascii="Times New Roman" w:hAnsi="Times New Roman"/>
                <w:sz w:val="24"/>
              </w:rPr>
              <w:t> </w:t>
            </w:r>
            <w:r w:rsidRPr="00835753">
              <w:rPr>
                <w:rFonts w:ascii="Times New Roman" w:hAnsi="Times New Roman"/>
                <w:sz w:val="24"/>
              </w:rPr>
              <w:t>% wartości pozycji kapitału podstawowego Tier I instytucji, obliczonej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CRR;</w:t>
            </w:r>
          </w:p>
          <w:p w14:paraId="3954A3F4" w14:textId="0E4E3326" w:rsidR="00355D90" w:rsidRPr="00835753" w:rsidRDefault="00355D90" w:rsidP="00E70D84">
            <w:pPr>
              <w:pStyle w:val="ListParagraph"/>
              <w:numPr>
                <w:ilvl w:val="0"/>
                <w:numId w:val="15"/>
              </w:numPr>
              <w:spacing w:before="60" w:after="120"/>
              <w:jc w:val="both"/>
              <w:rPr>
                <w:rFonts w:ascii="Times New Roman" w:hAnsi="Times New Roman"/>
                <w:sz w:val="24"/>
              </w:rPr>
            </w:pPr>
            <w:proofErr w:type="gramStart"/>
            <w:r w:rsidRPr="00835753">
              <w:rPr>
                <w:rFonts w:ascii="Times New Roman" w:hAnsi="Times New Roman"/>
                <w:sz w:val="24"/>
              </w:rPr>
              <w:t>znaczne</w:t>
            </w:r>
            <w:proofErr w:type="gramEnd"/>
            <w:r w:rsidRPr="00835753">
              <w:rPr>
                <w:rFonts w:ascii="Times New Roman" w:hAnsi="Times New Roman"/>
                <w:sz w:val="24"/>
              </w:rPr>
              <w:t xml:space="preserve"> inwestycje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miot sektora finansowego, posiadane przez tę instytucję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 tych podmiotów, których łączna wartość wynosi co najwyżej 10</w:t>
            </w:r>
            <w:r w:rsidR="00835753" w:rsidRPr="00835753">
              <w:rPr>
                <w:rFonts w:ascii="Times New Roman" w:hAnsi="Times New Roman"/>
                <w:sz w:val="24"/>
              </w:rPr>
              <w:t> </w:t>
            </w:r>
            <w:r w:rsidRPr="00835753">
              <w:rPr>
                <w:rFonts w:ascii="Times New Roman" w:hAnsi="Times New Roman"/>
                <w:sz w:val="24"/>
              </w:rPr>
              <w:t>% wartości pozycji kapitału podstawowego Tier I instytucji, obliczonej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b) CRR.</w:t>
            </w:r>
          </w:p>
          <w:p w14:paraId="6B4CA360" w14:textId="30004BAD" w:rsidR="00355D90" w:rsidRPr="00835753" w:rsidRDefault="00355D90" w:rsidP="00544FF5">
            <w:pPr>
              <w:spacing w:before="60" w:after="120"/>
              <w:jc w:val="both"/>
              <w:rPr>
                <w:rFonts w:ascii="Times New Roman" w:hAnsi="Times New Roman" w:cs="Times New Roman"/>
                <w:sz w:val="24"/>
              </w:rPr>
            </w:pPr>
            <w:r w:rsidRPr="00835753">
              <w:rPr>
                <w:rFonts w:ascii="Times New Roman" w:hAnsi="Times New Roman"/>
                <w:sz w:val="24"/>
              </w:rPr>
              <w:t>Informacje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wierszu ujawnia się wyłącznie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ach informacyjnych, gdyż kwota wskazana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miejscu jest uwzględniana również</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1,</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rym instytucje są proszone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uja</w:t>
            </w:r>
            <w:r w:rsidRPr="00835753">
              <w:rPr>
                <w:rFonts w:ascii="Times New Roman" w:hAnsi="Times New Roman"/>
                <w:sz w:val="24"/>
              </w:rPr>
              <w:t>wnienie informacji na temat ryzyka kredytowego.</w:t>
            </w:r>
          </w:p>
        </w:tc>
      </w:tr>
      <w:tr w:rsidR="00601608" w:rsidRPr="00835753" w14:paraId="44743B38" w14:textId="77777777" w:rsidTr="009251B5">
        <w:trPr>
          <w:trHeight w:val="557"/>
        </w:trPr>
        <w:tc>
          <w:tcPr>
            <w:tcW w:w="1384" w:type="dxa"/>
          </w:tcPr>
          <w:p w14:paraId="72BF5F76" w14:textId="77777777" w:rsidR="00601608" w:rsidRPr="00835753" w:rsidRDefault="00601608" w:rsidP="00601608">
            <w:pPr>
              <w:pStyle w:val="Applicationdirecte"/>
              <w:spacing w:before="60"/>
              <w:jc w:val="center"/>
              <w:rPr>
                <w:color w:val="000000"/>
              </w:rPr>
            </w:pPr>
            <w:r w:rsidRPr="00835753">
              <w:t>25</w:t>
            </w:r>
          </w:p>
        </w:tc>
        <w:tc>
          <w:tcPr>
            <w:tcW w:w="7655" w:type="dxa"/>
          </w:tcPr>
          <w:p w14:paraId="32BE2A94" w14:textId="4E39366D" w:rsidR="00601608" w:rsidRPr="00835753" w:rsidRDefault="00601608" w:rsidP="00601608">
            <w:pPr>
              <w:spacing w:before="60" w:after="120"/>
              <w:jc w:val="both"/>
              <w:rPr>
                <w:rFonts w:ascii="Times New Roman" w:hAnsi="Times New Roman" w:cs="Times New Roman"/>
                <w:sz w:val="24"/>
              </w:rPr>
            </w:pPr>
            <w:r w:rsidRPr="00835753">
              <w:rPr>
                <w:rFonts w:ascii="Times New Roman" w:hAnsi="Times New Roman"/>
                <w:sz w:val="24"/>
              </w:rPr>
              <w:t>Nie dotyczy</w:t>
            </w:r>
          </w:p>
        </w:tc>
      </w:tr>
      <w:tr w:rsidR="00601608" w:rsidRPr="00835753" w14:paraId="7B789CB1" w14:textId="77777777" w:rsidTr="009251B5">
        <w:trPr>
          <w:trHeight w:val="557"/>
        </w:trPr>
        <w:tc>
          <w:tcPr>
            <w:tcW w:w="1384" w:type="dxa"/>
          </w:tcPr>
          <w:p w14:paraId="3A10A9D0" w14:textId="77777777" w:rsidR="00601608" w:rsidRPr="00835753" w:rsidRDefault="00601608" w:rsidP="00601608">
            <w:pPr>
              <w:pStyle w:val="Applicationdirecte"/>
              <w:spacing w:before="60"/>
              <w:jc w:val="center"/>
              <w:rPr>
                <w:color w:val="000000"/>
              </w:rPr>
            </w:pPr>
            <w:r w:rsidRPr="00835753">
              <w:t>26</w:t>
            </w:r>
          </w:p>
        </w:tc>
        <w:tc>
          <w:tcPr>
            <w:tcW w:w="7655" w:type="dxa"/>
          </w:tcPr>
          <w:p w14:paraId="2C4F5B91" w14:textId="39505F9F" w:rsidR="00601608" w:rsidRPr="00835753" w:rsidRDefault="00601608" w:rsidP="00601608">
            <w:pPr>
              <w:spacing w:before="60" w:after="120"/>
              <w:jc w:val="both"/>
              <w:rPr>
                <w:rFonts w:ascii="Times New Roman" w:hAnsi="Times New Roman" w:cs="Times New Roman"/>
                <w:sz w:val="24"/>
              </w:rPr>
            </w:pPr>
            <w:r w:rsidRPr="00835753">
              <w:rPr>
                <w:rFonts w:ascii="Times New Roman" w:hAnsi="Times New Roman"/>
                <w:sz w:val="24"/>
              </w:rPr>
              <w:t>Nie dotyczy</w:t>
            </w:r>
          </w:p>
        </w:tc>
      </w:tr>
      <w:tr w:rsidR="00601608" w:rsidRPr="00835753" w14:paraId="48F5EA99" w14:textId="77777777" w:rsidTr="00B2180A">
        <w:trPr>
          <w:trHeight w:val="557"/>
        </w:trPr>
        <w:tc>
          <w:tcPr>
            <w:tcW w:w="1384" w:type="dxa"/>
          </w:tcPr>
          <w:p w14:paraId="5D203C64" w14:textId="77777777" w:rsidR="00601608" w:rsidRPr="00835753" w:rsidRDefault="00601608" w:rsidP="00601608">
            <w:pPr>
              <w:pStyle w:val="Applicationdirecte"/>
              <w:spacing w:before="60"/>
              <w:jc w:val="center"/>
            </w:pPr>
            <w:r w:rsidRPr="00835753">
              <w:t>27</w:t>
            </w:r>
          </w:p>
        </w:tc>
        <w:tc>
          <w:tcPr>
            <w:tcW w:w="7655" w:type="dxa"/>
          </w:tcPr>
          <w:p w14:paraId="38B9BF8A" w14:textId="68B53587" w:rsidR="00601608" w:rsidRPr="00835753" w:rsidRDefault="00601608" w:rsidP="00601608">
            <w:pPr>
              <w:spacing w:before="60" w:after="120"/>
              <w:jc w:val="both"/>
              <w:rPr>
                <w:rFonts w:ascii="Times New Roman" w:hAnsi="Times New Roman" w:cs="Times New Roman"/>
                <w:sz w:val="24"/>
              </w:rPr>
            </w:pPr>
            <w:r w:rsidRPr="00835753">
              <w:rPr>
                <w:rFonts w:ascii="Times New Roman" w:hAnsi="Times New Roman"/>
                <w:sz w:val="24"/>
              </w:rPr>
              <w:t>Nie dotyczy</w:t>
            </w:r>
          </w:p>
        </w:tc>
      </w:tr>
      <w:tr w:rsidR="00601608" w:rsidRPr="00835753" w14:paraId="294AC974" w14:textId="77777777" w:rsidTr="00B2180A">
        <w:trPr>
          <w:trHeight w:val="557"/>
        </w:trPr>
        <w:tc>
          <w:tcPr>
            <w:tcW w:w="1384" w:type="dxa"/>
          </w:tcPr>
          <w:p w14:paraId="1D35C4C7" w14:textId="77777777" w:rsidR="00601608" w:rsidRPr="00835753" w:rsidRDefault="00601608" w:rsidP="00601608">
            <w:pPr>
              <w:pStyle w:val="Applicationdirecte"/>
              <w:spacing w:before="60"/>
              <w:jc w:val="center"/>
            </w:pPr>
            <w:r w:rsidRPr="00835753">
              <w:t>28</w:t>
            </w:r>
          </w:p>
        </w:tc>
        <w:tc>
          <w:tcPr>
            <w:tcW w:w="7655" w:type="dxa"/>
          </w:tcPr>
          <w:p w14:paraId="32CACDED" w14:textId="7AA9EE6F" w:rsidR="00601608" w:rsidRPr="00835753" w:rsidRDefault="00601608" w:rsidP="00601608">
            <w:pPr>
              <w:spacing w:before="60" w:after="120"/>
              <w:jc w:val="both"/>
              <w:rPr>
                <w:rFonts w:ascii="Times New Roman" w:hAnsi="Times New Roman" w:cs="Times New Roman"/>
                <w:sz w:val="24"/>
              </w:rPr>
            </w:pPr>
            <w:r w:rsidRPr="00835753">
              <w:rPr>
                <w:rFonts w:ascii="Times New Roman" w:hAnsi="Times New Roman"/>
                <w:sz w:val="24"/>
              </w:rPr>
              <w:t>Nie dotyczy</w:t>
            </w:r>
          </w:p>
        </w:tc>
      </w:tr>
      <w:tr w:rsidR="00FA1376" w:rsidRPr="00835753" w14:paraId="1FD0EA38" w14:textId="77777777" w:rsidTr="00B2180A">
        <w:trPr>
          <w:trHeight w:val="557"/>
        </w:trPr>
        <w:tc>
          <w:tcPr>
            <w:tcW w:w="1384" w:type="dxa"/>
            <w:vAlign w:val="center"/>
          </w:tcPr>
          <w:p w14:paraId="351F1E24" w14:textId="77777777" w:rsidR="00FA1376" w:rsidRPr="00835753" w:rsidRDefault="00FA1376" w:rsidP="00FA1376">
            <w:pPr>
              <w:pStyle w:val="Applicationdirecte"/>
              <w:spacing w:before="60"/>
              <w:jc w:val="center"/>
            </w:pPr>
            <w:r w:rsidRPr="00835753">
              <w:rPr>
                <w:color w:val="000000"/>
              </w:rPr>
              <w:t>29</w:t>
            </w:r>
          </w:p>
        </w:tc>
        <w:tc>
          <w:tcPr>
            <w:tcW w:w="7655" w:type="dxa"/>
          </w:tcPr>
          <w:p w14:paraId="05D40AFF" w14:textId="77777777" w:rsidR="00FA1376" w:rsidRPr="00835753" w:rsidRDefault="00FA1376" w:rsidP="00FA1376">
            <w:pPr>
              <w:spacing w:before="60" w:after="120"/>
              <w:jc w:val="both"/>
              <w:rPr>
                <w:rFonts w:ascii="Times New Roman" w:hAnsi="Times New Roman" w:cs="Times New Roman"/>
                <w:b/>
                <w:sz w:val="24"/>
              </w:rPr>
            </w:pPr>
            <w:r w:rsidRPr="00835753">
              <w:rPr>
                <w:rFonts w:ascii="Times New Roman" w:hAnsi="Times New Roman"/>
                <w:b/>
                <w:sz w:val="24"/>
              </w:rPr>
              <w:t>Ogółem</w:t>
            </w:r>
          </w:p>
          <w:p w14:paraId="32B689CA" w14:textId="53DA277A" w:rsidR="00FA1376" w:rsidRPr="00835753" w:rsidRDefault="00FA1376" w:rsidP="00601608">
            <w:pPr>
              <w:spacing w:before="60" w:after="120"/>
              <w:jc w:val="both"/>
              <w:rPr>
                <w:rFonts w:ascii="Times New Roman" w:hAnsi="Times New Roman" w:cs="Times New Roman"/>
                <w:sz w:val="24"/>
              </w:rPr>
            </w:pPr>
            <w:r w:rsidRPr="00835753">
              <w:rPr>
                <w:rFonts w:ascii="Times New Roman" w:hAnsi="Times New Roman"/>
                <w:sz w:val="24"/>
              </w:rPr>
              <w:t>Łączna kwota ekspozycji na ryzyko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92 ust.</w:t>
            </w:r>
            <w:r w:rsidR="00835753" w:rsidRPr="00835753">
              <w:rPr>
                <w:rFonts w:ascii="Times New Roman" w:hAnsi="Times New Roman"/>
                <w:sz w:val="24"/>
              </w:rPr>
              <w:t> </w:t>
            </w:r>
            <w:r w:rsidRPr="00835753">
              <w:rPr>
                <w:rFonts w:ascii="Times New Roman" w:hAnsi="Times New Roman"/>
                <w:sz w:val="24"/>
              </w:rPr>
              <w:t>3 oraz art.</w:t>
            </w:r>
            <w:r w:rsidR="00835753" w:rsidRPr="00835753">
              <w:rPr>
                <w:rFonts w:ascii="Times New Roman" w:hAnsi="Times New Roman"/>
                <w:sz w:val="24"/>
              </w:rPr>
              <w:t> </w:t>
            </w:r>
            <w:r w:rsidRPr="00835753">
              <w:rPr>
                <w:rFonts w:ascii="Times New Roman" w:hAnsi="Times New Roman"/>
                <w:sz w:val="24"/>
              </w:rPr>
              <w:t>95, 96</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9</w:t>
            </w:r>
            <w:r w:rsidRPr="00835753">
              <w:rPr>
                <w:rFonts w:ascii="Times New Roman" w:hAnsi="Times New Roman"/>
                <w:sz w:val="24"/>
              </w:rPr>
              <w:t>8 CRR.</w:t>
            </w:r>
          </w:p>
        </w:tc>
      </w:tr>
    </w:tbl>
    <w:p w14:paraId="2CB62609" w14:textId="77777777" w:rsidR="00C41C25" w:rsidRPr="00835753" w:rsidRDefault="00C41C25" w:rsidP="00501CEC">
      <w:pPr>
        <w:pStyle w:val="Titlelevel2"/>
        <w:spacing w:before="120" w:after="120"/>
        <w:rPr>
          <w:rFonts w:ascii="Times New Roman" w:hAnsi="Times New Roman"/>
          <w:b/>
          <w:color w:val="auto"/>
          <w:sz w:val="24"/>
        </w:rPr>
      </w:pPr>
    </w:p>
    <w:p w14:paraId="62DDE9E1" w14:textId="77777777" w:rsidR="00501CEC" w:rsidRPr="00835753" w:rsidRDefault="00BD36EC" w:rsidP="00501CEC">
      <w:pPr>
        <w:pStyle w:val="Titlelevel2"/>
        <w:spacing w:before="120" w:after="120"/>
        <w:rPr>
          <w:rFonts w:ascii="Times New Roman" w:hAnsi="Times New Roman"/>
          <w:color w:val="auto"/>
          <w:sz w:val="24"/>
        </w:rPr>
      </w:pPr>
      <w:r w:rsidRPr="00835753">
        <w:rPr>
          <w:rFonts w:ascii="Times New Roman" w:hAnsi="Times New Roman"/>
          <w:b/>
          <w:color w:val="auto"/>
          <w:sz w:val="24"/>
        </w:rPr>
        <w:t xml:space="preserve">Wzór EU KM1 – Najważniejsze wskaźniki. </w:t>
      </w:r>
      <w:r w:rsidRPr="00835753">
        <w:rPr>
          <w:rFonts w:ascii="Times New Roman" w:hAnsi="Times New Roman"/>
          <w:color w:val="auto"/>
          <w:sz w:val="24"/>
        </w:rPr>
        <w:t>Format stały</w:t>
      </w:r>
    </w:p>
    <w:p w14:paraId="3394DDC1" w14:textId="5954F76C" w:rsidR="00A919FB" w:rsidRPr="00835753" w:rsidRDefault="00C41C25" w:rsidP="00CC3CE0">
      <w:pPr>
        <w:pStyle w:val="Titlelevel2"/>
        <w:numPr>
          <w:ilvl w:val="0"/>
          <w:numId w:val="13"/>
        </w:numPr>
        <w:spacing w:before="120" w:after="120"/>
        <w:rPr>
          <w:rFonts w:ascii="Times New Roman" w:hAnsi="Times New Roman"/>
          <w:b/>
          <w:color w:val="auto"/>
          <w:sz w:val="24"/>
        </w:rPr>
      </w:pPr>
      <w:r w:rsidRPr="00835753">
        <w:rPr>
          <w:rFonts w:ascii="Times New Roman" w:hAnsi="Times New Roman"/>
          <w:bCs w:val="0"/>
          <w:color w:val="000000"/>
          <w:sz w:val="24"/>
        </w:rPr>
        <w:t>Instytucje stosują poniższe instrukcje zawarte</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załączniku</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cel</w:t>
      </w:r>
      <w:r w:rsidRPr="00835753">
        <w:rPr>
          <w:rFonts w:ascii="Times New Roman" w:hAnsi="Times New Roman"/>
          <w:bCs w:val="0"/>
          <w:color w:val="000000"/>
          <w:sz w:val="24"/>
        </w:rPr>
        <w:t>u wypełnienia wzoru EU KM1 zamieszczonego</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 xml:space="preserve">ączniku I do niniejszego </w:t>
      </w:r>
      <w:r w:rsidRPr="00835753">
        <w:rPr>
          <w:rFonts w:ascii="Times New Roman" w:hAnsi="Times New Roman"/>
          <w:bCs w:val="0"/>
          <w:color w:val="000000"/>
          <w:sz w:val="24"/>
        </w:rPr>
        <w:lastRenderedPageBreak/>
        <w:t>rozporządzenia wykonawczego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447</w:t>
      </w:r>
      <w:r w:rsidRPr="00835753">
        <w:rPr>
          <w:rFonts w:ascii="Times New Roman" w:hAnsi="Times New Roman"/>
          <w:sz w:val="24"/>
        </w:rPr>
        <w:t xml:space="preserve"> </w:t>
      </w:r>
      <w:r w:rsidRPr="00835753">
        <w:rPr>
          <w:rFonts w:ascii="Times New Roman" w:hAnsi="Times New Roman"/>
          <w:bCs w:val="0"/>
          <w:color w:val="000000"/>
          <w:sz w:val="24"/>
        </w:rPr>
        <w:t>lit.</w:t>
      </w:r>
      <w:r w:rsidR="00835753" w:rsidRPr="00835753">
        <w:rPr>
          <w:rFonts w:ascii="Times New Roman" w:hAnsi="Times New Roman"/>
          <w:bCs w:val="0"/>
          <w:color w:val="000000"/>
          <w:sz w:val="24"/>
        </w:rPr>
        <w:t> </w:t>
      </w:r>
      <w:r w:rsidRPr="00835753">
        <w:rPr>
          <w:rFonts w:ascii="Times New Roman" w:hAnsi="Times New Roman"/>
          <w:bCs w:val="0"/>
          <w:color w:val="000000"/>
          <w:sz w:val="24"/>
        </w:rPr>
        <w:t>a</w:t>
      </w:r>
      <w:proofErr w:type="gramStart"/>
      <w:r w:rsidRPr="00835753">
        <w:rPr>
          <w:rFonts w:ascii="Times New Roman" w:hAnsi="Times New Roman"/>
          <w:bCs w:val="0"/>
          <w:color w:val="000000"/>
          <w:sz w:val="24"/>
        </w:rPr>
        <w:t>)–g</w:t>
      </w:r>
      <w:proofErr w:type="gramEnd"/>
      <w:r w:rsidRPr="00835753">
        <w:rPr>
          <w:rFonts w:ascii="Times New Roman" w:hAnsi="Times New Roman"/>
          <w:bCs w:val="0"/>
          <w:color w:val="000000"/>
          <w:sz w:val="24"/>
        </w:rPr>
        <w:t>) CRR</w:t>
      </w:r>
      <w:r w:rsidR="00835753" w:rsidRPr="00835753">
        <w:rPr>
          <w:rFonts w:ascii="Times New Roman" w:hAnsi="Times New Roman"/>
          <w:bCs w:val="0"/>
          <w:color w:val="000000"/>
          <w:sz w:val="24"/>
        </w:rPr>
        <w:t xml:space="preserve"> i</w:t>
      </w:r>
      <w:r w:rsidR="00835753">
        <w:rPr>
          <w:rFonts w:ascii="Times New Roman" w:hAnsi="Times New Roman"/>
          <w:bCs w:val="0"/>
          <w:color w:val="000000"/>
          <w:sz w:val="24"/>
        </w:rPr>
        <w:t> </w:t>
      </w:r>
      <w:r w:rsidR="00835753" w:rsidRPr="00835753">
        <w:rPr>
          <w:rFonts w:ascii="Times New Roman" w:hAnsi="Times New Roman"/>
          <w:bCs w:val="0"/>
          <w:color w:val="000000"/>
          <w:sz w:val="24"/>
        </w:rPr>
        <w:t>z</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438 lit.</w:t>
      </w:r>
      <w:r w:rsidR="00835753" w:rsidRPr="00835753">
        <w:rPr>
          <w:rFonts w:ascii="Times New Roman" w:hAnsi="Times New Roman"/>
          <w:bCs w:val="0"/>
          <w:color w:val="000000"/>
          <w:sz w:val="24"/>
        </w:rPr>
        <w:t> </w:t>
      </w:r>
      <w:r w:rsidRPr="00835753">
        <w:rPr>
          <w:rFonts w:ascii="Times New Roman" w:hAnsi="Times New Roman"/>
          <w:bCs w:val="0"/>
          <w:color w:val="000000"/>
          <w:sz w:val="24"/>
        </w:rPr>
        <w:t>b) CRR.</w:t>
      </w:r>
      <w:r w:rsidRPr="00835753">
        <w:rPr>
          <w:rFonts w:ascii="Times New Roman" w:hAnsi="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835753"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575227A4" w:rsidR="00A919FB" w:rsidRPr="00835753" w:rsidRDefault="00A919FB" w:rsidP="00B2180A">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A919FB" w:rsidRPr="00835753" w14:paraId="00B30D91" w14:textId="77777777" w:rsidTr="00B2180A">
        <w:trPr>
          <w:trHeight w:val="238"/>
        </w:trPr>
        <w:tc>
          <w:tcPr>
            <w:tcW w:w="1384" w:type="dxa"/>
            <w:shd w:val="clear" w:color="auto" w:fill="D9D9D9" w:themeFill="background1" w:themeFillShade="D9"/>
          </w:tcPr>
          <w:p w14:paraId="0D2CF0F9" w14:textId="77777777" w:rsidR="00A919FB" w:rsidRPr="00835753" w:rsidRDefault="00A919FB" w:rsidP="00003BF5">
            <w:pPr>
              <w:autoSpaceDE w:val="0"/>
              <w:autoSpaceDN w:val="0"/>
              <w:adjustRightInd w:val="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1025441F" w14:textId="77777777" w:rsidR="00A919FB" w:rsidRPr="00835753" w:rsidRDefault="00A919FB" w:rsidP="00B2180A">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A919FB" w:rsidRPr="00835753" w14:paraId="3B18CFED" w14:textId="77777777" w:rsidTr="00B2180A">
        <w:trPr>
          <w:trHeight w:val="680"/>
        </w:trPr>
        <w:tc>
          <w:tcPr>
            <w:tcW w:w="1384" w:type="dxa"/>
          </w:tcPr>
          <w:p w14:paraId="701C1EE8" w14:textId="77777777" w:rsidR="00A919FB" w:rsidRPr="00835753" w:rsidRDefault="00003BF5" w:rsidP="00B2180A">
            <w:pPr>
              <w:pStyle w:val="Applicationdirecte"/>
              <w:spacing w:before="60"/>
              <w:jc w:val="center"/>
            </w:pPr>
            <w:proofErr w:type="gramStart"/>
            <w:r w:rsidRPr="00835753">
              <w:t>a</w:t>
            </w:r>
            <w:proofErr w:type="gramEnd"/>
            <w:r w:rsidRPr="00835753">
              <w:t>–e</w:t>
            </w:r>
          </w:p>
        </w:tc>
        <w:tc>
          <w:tcPr>
            <w:tcW w:w="7655" w:type="dxa"/>
            <w:vAlign w:val="center"/>
          </w:tcPr>
          <w:p w14:paraId="01DAA312" w14:textId="5225CE0E" w:rsidR="00A919FB" w:rsidRPr="00835753" w:rsidRDefault="00187C4B" w:rsidP="00A919FB">
            <w:pPr>
              <w:spacing w:before="60" w:after="120"/>
              <w:jc w:val="both"/>
              <w:rPr>
                <w:rFonts w:ascii="Times New Roman" w:hAnsi="Times New Roman" w:cs="Times New Roman"/>
                <w:sz w:val="24"/>
              </w:rPr>
            </w:pPr>
            <w:r w:rsidRPr="00835753">
              <w:rPr>
                <w:rFonts w:ascii="Times New Roman" w:hAnsi="Times New Roman"/>
                <w:sz w:val="24"/>
              </w:rPr>
              <w:t>Okresy, za który informacje podlegają ujawnieniu – T, T-1, T-2, T-3 i T-4 – oznaczają okresy kwartalne,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których wprowadza się dane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eżności od częstotliwości określonej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433a, 433b</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4</w:t>
            </w:r>
            <w:r w:rsidRPr="00835753">
              <w:rPr>
                <w:rFonts w:ascii="Times New Roman" w:hAnsi="Times New Roman"/>
                <w:sz w:val="24"/>
              </w:rPr>
              <w:t>33c CRR.</w:t>
            </w:r>
          </w:p>
          <w:p w14:paraId="3BAEA110" w14:textId="2A60DE45" w:rsidR="00A919FB" w:rsidRPr="00835753" w:rsidRDefault="00A919FB" w:rsidP="00A919FB">
            <w:pPr>
              <w:spacing w:before="60" w:after="120"/>
              <w:jc w:val="both"/>
              <w:rPr>
                <w:rFonts w:ascii="Times New Roman" w:hAnsi="Times New Roman" w:cs="Times New Roman"/>
                <w:sz w:val="24"/>
              </w:rPr>
            </w:pPr>
            <w:r w:rsidRPr="00835753">
              <w:rPr>
                <w:rFonts w:ascii="Times New Roman" w:hAnsi="Times New Roman"/>
                <w:sz w:val="24"/>
              </w:rPr>
              <w:t>Instytucje, które ujawniają informacje 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wzorze raz na kwartał, wprowadzają dane za okresy T, T-1, T-2, T-3 i T-4; instytucje, które ujawniają informacje 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wzorze raz na pół roku, wprowadzają dane za okresy T, T-2 i T-4; natomiast instytucje, które ujawniają informacje 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wzorze raz na rok, wprowadzają dane za okresy T i T-4.</w:t>
            </w:r>
          </w:p>
          <w:p w14:paraId="3565AD25" w14:textId="00DB4F0F" w:rsidR="00A919FB" w:rsidRPr="00835753" w:rsidRDefault="00A919FB" w:rsidP="00A919FB">
            <w:pPr>
              <w:spacing w:before="60" w:after="120"/>
              <w:jc w:val="both"/>
              <w:rPr>
                <w:rFonts w:ascii="Times New Roman" w:hAnsi="Times New Roman" w:cs="Times New Roman"/>
                <w:sz w:val="24"/>
              </w:rPr>
            </w:pPr>
            <w:r w:rsidRPr="00835753">
              <w:rPr>
                <w:rFonts w:ascii="Times New Roman" w:hAnsi="Times New Roman"/>
                <w:sz w:val="24"/>
              </w:rPr>
              <w:t>Instytucje ujawniają daty odpowiadające okresom, za które informacje podlegają ujawnieniu.</w:t>
            </w:r>
          </w:p>
          <w:p w14:paraId="18B0361E" w14:textId="670161BC" w:rsidR="00A919FB" w:rsidRPr="00835753" w:rsidRDefault="00A919FB" w:rsidP="00C0296F">
            <w:pPr>
              <w:spacing w:before="60" w:after="120"/>
              <w:jc w:val="both"/>
              <w:rPr>
                <w:rFonts w:ascii="Times New Roman" w:hAnsi="Times New Roman" w:cs="Times New Roman"/>
                <w:sz w:val="24"/>
              </w:rPr>
            </w:pPr>
            <w:r w:rsidRPr="00835753">
              <w:rPr>
                <w:rFonts w:ascii="Times New Roman" w:hAnsi="Times New Roman"/>
                <w:sz w:val="24"/>
              </w:rPr>
              <w:t>Ujawnienie dat</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 xml:space="preserve">iesieniu do poprzednich okresów nie jest wymagane, jeżeli dane ujawnia się po raz pierwszy. </w:t>
            </w:r>
          </w:p>
        </w:tc>
      </w:tr>
      <w:tr w:rsidR="00A919FB" w:rsidRPr="00835753"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406449A9" w:rsidR="00A919FB" w:rsidRPr="00835753" w:rsidRDefault="00A919FB" w:rsidP="00B2180A">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A919FB" w:rsidRPr="00835753" w14:paraId="1B35CC72" w14:textId="77777777" w:rsidTr="00B2180A">
        <w:trPr>
          <w:trHeight w:val="238"/>
        </w:trPr>
        <w:tc>
          <w:tcPr>
            <w:tcW w:w="1384" w:type="dxa"/>
            <w:shd w:val="clear" w:color="auto" w:fill="D9D9D9" w:themeFill="background1" w:themeFillShade="D9"/>
          </w:tcPr>
          <w:p w14:paraId="0BCA6C43" w14:textId="77777777" w:rsidR="00A919FB" w:rsidRPr="00835753" w:rsidRDefault="00A919FB" w:rsidP="00B2180A">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6FA800DB" w14:textId="77777777" w:rsidR="00A919FB" w:rsidRPr="00835753" w:rsidRDefault="00A919FB" w:rsidP="00B2180A">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EC3DC7" w:rsidRPr="00835753" w14:paraId="09F40871" w14:textId="77777777" w:rsidTr="00B2180A">
        <w:trPr>
          <w:trHeight w:val="680"/>
        </w:trPr>
        <w:tc>
          <w:tcPr>
            <w:tcW w:w="1384" w:type="dxa"/>
          </w:tcPr>
          <w:p w14:paraId="79F0E0B1" w14:textId="77777777" w:rsidR="00EC3DC7" w:rsidRPr="00835753" w:rsidRDefault="00EC3DC7" w:rsidP="00EC3DC7">
            <w:pPr>
              <w:pStyle w:val="Applicationdirecte"/>
              <w:spacing w:before="60"/>
              <w:jc w:val="center"/>
            </w:pPr>
            <w:r w:rsidRPr="00835753">
              <w:t>1</w:t>
            </w:r>
          </w:p>
        </w:tc>
        <w:tc>
          <w:tcPr>
            <w:tcW w:w="7655" w:type="dxa"/>
          </w:tcPr>
          <w:p w14:paraId="28E8D7BE" w14:textId="77777777" w:rsidR="00EC3DC7" w:rsidRPr="00835753" w:rsidRDefault="00EC3DC7" w:rsidP="00EC3DC7">
            <w:pPr>
              <w:spacing w:before="60" w:after="120"/>
              <w:jc w:val="both"/>
              <w:rPr>
                <w:rFonts w:ascii="Times New Roman" w:hAnsi="Times New Roman" w:cs="Times New Roman"/>
                <w:b/>
                <w:sz w:val="24"/>
              </w:rPr>
            </w:pPr>
            <w:r w:rsidRPr="00835753">
              <w:rPr>
                <w:rFonts w:ascii="Times New Roman" w:hAnsi="Times New Roman"/>
                <w:b/>
                <w:sz w:val="24"/>
              </w:rPr>
              <w:t>Kapitał podstawowy Tier I</w:t>
            </w:r>
          </w:p>
          <w:p w14:paraId="07A96E2A" w14:textId="4DBB9D74" w:rsidR="00EC3DC7" w:rsidRPr="00835753" w:rsidRDefault="00EC3DC7" w:rsidP="002635C4">
            <w:pPr>
              <w:spacing w:before="60" w:after="120"/>
              <w:jc w:val="both"/>
              <w:rPr>
                <w:rFonts w:ascii="Times New Roman" w:hAnsi="Times New Roman" w:cs="Times New Roman"/>
                <w:sz w:val="24"/>
              </w:rPr>
            </w:pPr>
            <w:r w:rsidRPr="00835753">
              <w:rPr>
                <w:rFonts w:ascii="Times New Roman" w:hAnsi="Times New Roman"/>
                <w:sz w:val="24"/>
              </w:rPr>
              <w:t>Kwota kapitału podstawowego Tier I to kwota ujawniana przez instytucje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VII do niniejszego rozporządzenia wykonawczego (wiersz 29 wzoru EU CC1 – Struktura regulacyjnych funduszy własnych)</w:t>
            </w:r>
          </w:p>
        </w:tc>
      </w:tr>
      <w:tr w:rsidR="00EC3DC7" w:rsidRPr="00835753" w14:paraId="4CB4023A" w14:textId="77777777" w:rsidTr="00B2180A">
        <w:trPr>
          <w:trHeight w:val="436"/>
        </w:trPr>
        <w:tc>
          <w:tcPr>
            <w:tcW w:w="1384" w:type="dxa"/>
          </w:tcPr>
          <w:p w14:paraId="71F49FF4" w14:textId="77777777" w:rsidR="00EC3DC7" w:rsidRPr="00835753" w:rsidRDefault="00EC3DC7" w:rsidP="00EC3DC7">
            <w:pPr>
              <w:pStyle w:val="Applicationdirecte"/>
              <w:spacing w:before="60"/>
              <w:jc w:val="center"/>
            </w:pPr>
            <w:r w:rsidRPr="00835753">
              <w:t>2</w:t>
            </w:r>
          </w:p>
        </w:tc>
        <w:tc>
          <w:tcPr>
            <w:tcW w:w="7655" w:type="dxa"/>
          </w:tcPr>
          <w:p w14:paraId="50A949BA" w14:textId="77777777" w:rsidR="00EC3DC7" w:rsidRPr="00835753" w:rsidRDefault="00EC3DC7" w:rsidP="00EC3DC7">
            <w:pPr>
              <w:spacing w:before="60" w:after="120"/>
              <w:jc w:val="both"/>
              <w:rPr>
                <w:rFonts w:ascii="Times New Roman" w:hAnsi="Times New Roman" w:cs="Times New Roman"/>
                <w:b/>
                <w:sz w:val="24"/>
              </w:rPr>
            </w:pPr>
            <w:r w:rsidRPr="00835753">
              <w:rPr>
                <w:rFonts w:ascii="Times New Roman" w:hAnsi="Times New Roman"/>
                <w:b/>
                <w:sz w:val="24"/>
              </w:rPr>
              <w:t>Kapitał Tier I</w:t>
            </w:r>
          </w:p>
          <w:p w14:paraId="097E489A" w14:textId="17E0C271" w:rsidR="00EC3DC7" w:rsidRPr="00835753" w:rsidRDefault="00EC3DC7" w:rsidP="00605635">
            <w:pPr>
              <w:spacing w:before="60" w:after="120"/>
              <w:jc w:val="both"/>
              <w:rPr>
                <w:rFonts w:ascii="Times New Roman" w:eastAsia="Times New Roman" w:hAnsi="Times New Roman" w:cs="Times New Roman"/>
                <w:sz w:val="24"/>
              </w:rPr>
            </w:pPr>
            <w:r w:rsidRPr="00835753">
              <w:rPr>
                <w:rFonts w:ascii="Times New Roman" w:hAnsi="Times New Roman"/>
                <w:sz w:val="24"/>
              </w:rPr>
              <w:t>Kwota kapitału Tier I to kwota ujawniana przez instytucje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VII do niniejszego rozporządzenia wykonawczego (wiersz 45 wzoru EU CC1 – Struktura regulacyjnych funduszy własnych)</w:t>
            </w:r>
          </w:p>
        </w:tc>
      </w:tr>
      <w:tr w:rsidR="00EC3DC7" w:rsidRPr="00835753" w14:paraId="67C2637C" w14:textId="77777777" w:rsidTr="00B2180A">
        <w:trPr>
          <w:trHeight w:val="557"/>
        </w:trPr>
        <w:tc>
          <w:tcPr>
            <w:tcW w:w="1384" w:type="dxa"/>
          </w:tcPr>
          <w:p w14:paraId="30C65372" w14:textId="77777777" w:rsidR="00EC3DC7" w:rsidRPr="00835753" w:rsidRDefault="009D2A94" w:rsidP="00EC3DC7">
            <w:pPr>
              <w:pStyle w:val="Applicationdirecte"/>
              <w:spacing w:before="60"/>
              <w:jc w:val="center"/>
            </w:pPr>
            <w:r w:rsidRPr="00835753">
              <w:t>3</w:t>
            </w:r>
          </w:p>
        </w:tc>
        <w:tc>
          <w:tcPr>
            <w:tcW w:w="7655" w:type="dxa"/>
          </w:tcPr>
          <w:p w14:paraId="437C173A" w14:textId="77777777" w:rsidR="009D2A94" w:rsidRPr="00835753" w:rsidRDefault="009D2A94" w:rsidP="00EC3DC7">
            <w:pPr>
              <w:spacing w:before="60" w:after="120"/>
              <w:jc w:val="both"/>
              <w:rPr>
                <w:rFonts w:ascii="Times New Roman" w:hAnsi="Times New Roman" w:cs="Times New Roman"/>
                <w:b/>
                <w:sz w:val="24"/>
              </w:rPr>
            </w:pPr>
            <w:r w:rsidRPr="00835753">
              <w:rPr>
                <w:rFonts w:ascii="Times New Roman" w:hAnsi="Times New Roman"/>
                <w:b/>
                <w:sz w:val="24"/>
              </w:rPr>
              <w:t>Łączny kapitał</w:t>
            </w:r>
          </w:p>
          <w:p w14:paraId="0A93EB9C" w14:textId="7FE569CC" w:rsidR="00EC3DC7" w:rsidRPr="00835753" w:rsidRDefault="00EC3DC7" w:rsidP="00605635">
            <w:pPr>
              <w:spacing w:before="60" w:after="120"/>
              <w:jc w:val="both"/>
              <w:rPr>
                <w:rFonts w:ascii="Times New Roman" w:hAnsi="Times New Roman" w:cs="Times New Roman"/>
                <w:color w:val="000000"/>
                <w:sz w:val="24"/>
              </w:rPr>
            </w:pPr>
            <w:r w:rsidRPr="00835753">
              <w:rPr>
                <w:rFonts w:ascii="Times New Roman" w:hAnsi="Times New Roman"/>
                <w:sz w:val="24"/>
              </w:rPr>
              <w:t>Kwota łącznego kapitału to kwota ujawniana przez instytucje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VII do niniejszego rozporządzenia wykonawczego (wiersz 59 wzoru EU CC1 – Struktura regulacyjnych funduszy własnych)</w:t>
            </w:r>
          </w:p>
        </w:tc>
      </w:tr>
      <w:tr w:rsidR="00EC3DC7" w:rsidRPr="00835753" w14:paraId="30D8C6AD" w14:textId="77777777" w:rsidTr="00B2180A">
        <w:trPr>
          <w:trHeight w:val="557"/>
        </w:trPr>
        <w:tc>
          <w:tcPr>
            <w:tcW w:w="1384" w:type="dxa"/>
          </w:tcPr>
          <w:p w14:paraId="276F8582" w14:textId="77777777" w:rsidR="00EC3DC7" w:rsidRPr="00835753" w:rsidRDefault="009D2A94" w:rsidP="00EC3DC7">
            <w:pPr>
              <w:pStyle w:val="Applicationdirecte"/>
              <w:spacing w:before="60"/>
              <w:jc w:val="center"/>
            </w:pPr>
            <w:r w:rsidRPr="00835753">
              <w:t>4</w:t>
            </w:r>
          </w:p>
        </w:tc>
        <w:tc>
          <w:tcPr>
            <w:tcW w:w="7655" w:type="dxa"/>
          </w:tcPr>
          <w:p w14:paraId="7C61908F" w14:textId="1295D816" w:rsidR="009D2A94" w:rsidRPr="00835753" w:rsidRDefault="009D2A94" w:rsidP="009D2A94">
            <w:pPr>
              <w:spacing w:before="60" w:after="120"/>
              <w:jc w:val="both"/>
              <w:rPr>
                <w:rFonts w:ascii="Times New Roman" w:hAnsi="Times New Roman" w:cs="Times New Roman"/>
                <w:b/>
                <w:sz w:val="24"/>
              </w:rPr>
            </w:pPr>
            <w:r w:rsidRPr="00835753">
              <w:rPr>
                <w:rFonts w:ascii="Times New Roman" w:hAnsi="Times New Roman"/>
                <w:b/>
                <w:sz w:val="24"/>
              </w:rPr>
              <w:t>Łączna kwota ekspozycji na ryzyko</w:t>
            </w:r>
          </w:p>
          <w:p w14:paraId="45F3B0F7" w14:textId="68DEA45F" w:rsidR="00EC3DC7" w:rsidRPr="00835753" w:rsidRDefault="00EC3DC7" w:rsidP="00402F34">
            <w:pPr>
              <w:spacing w:before="60" w:after="120"/>
              <w:jc w:val="both"/>
              <w:rPr>
                <w:rFonts w:ascii="Times New Roman" w:hAnsi="Times New Roman" w:cs="Times New Roman"/>
                <w:sz w:val="24"/>
              </w:rPr>
            </w:pPr>
            <w:r w:rsidRPr="00835753">
              <w:rPr>
                <w:rFonts w:ascii="Times New Roman" w:hAnsi="Times New Roman"/>
                <w:sz w:val="24"/>
              </w:rPr>
              <w:t>Łączna kwota ekspozycji na ryzyko to kwota ujawniana przez instytucje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 xml:space="preserve">ączniku VII do niniejszego rozporządzenia wykonawczego (wiersz 60 wzoru EU CC1 – Struktura regulacyjnych funduszy własnych) </w:t>
            </w:r>
          </w:p>
        </w:tc>
      </w:tr>
      <w:tr w:rsidR="00EC3DC7" w:rsidRPr="00835753" w14:paraId="057C7AF3" w14:textId="77777777" w:rsidTr="00B2180A">
        <w:trPr>
          <w:trHeight w:val="557"/>
        </w:trPr>
        <w:tc>
          <w:tcPr>
            <w:tcW w:w="1384" w:type="dxa"/>
          </w:tcPr>
          <w:p w14:paraId="074AB79D" w14:textId="77777777" w:rsidR="00EC3DC7" w:rsidRPr="00835753" w:rsidRDefault="00475381" w:rsidP="00EC3DC7">
            <w:pPr>
              <w:pStyle w:val="Applicationdirecte"/>
              <w:spacing w:before="60"/>
              <w:jc w:val="center"/>
            </w:pPr>
            <w:r w:rsidRPr="00835753">
              <w:t>5</w:t>
            </w:r>
          </w:p>
        </w:tc>
        <w:tc>
          <w:tcPr>
            <w:tcW w:w="7655" w:type="dxa"/>
          </w:tcPr>
          <w:p w14:paraId="5872B091" w14:textId="77777777" w:rsidR="00475381" w:rsidRPr="00835753" w:rsidRDefault="00475381" w:rsidP="00475381">
            <w:pPr>
              <w:spacing w:before="60" w:after="120"/>
              <w:jc w:val="both"/>
              <w:rPr>
                <w:rFonts w:ascii="Times New Roman" w:hAnsi="Times New Roman" w:cs="Times New Roman"/>
                <w:b/>
                <w:sz w:val="24"/>
              </w:rPr>
            </w:pPr>
            <w:r w:rsidRPr="00835753">
              <w:rPr>
                <w:rFonts w:ascii="Times New Roman" w:hAnsi="Times New Roman"/>
                <w:b/>
                <w:sz w:val="24"/>
              </w:rPr>
              <w:t>Współczynnik kapitału podstawowego Tier I (%)</w:t>
            </w:r>
          </w:p>
          <w:p w14:paraId="42EC7CCC" w14:textId="245EEDC0" w:rsidR="00EC3DC7" w:rsidRPr="00835753" w:rsidRDefault="00EC3DC7" w:rsidP="00605635">
            <w:pPr>
              <w:spacing w:before="60" w:after="120"/>
              <w:jc w:val="both"/>
              <w:rPr>
                <w:rFonts w:ascii="Times New Roman" w:hAnsi="Times New Roman" w:cs="Times New Roman"/>
                <w:sz w:val="24"/>
              </w:rPr>
            </w:pPr>
            <w:r w:rsidRPr="00835753">
              <w:rPr>
                <w:rFonts w:ascii="Times New Roman" w:hAnsi="Times New Roman"/>
                <w:sz w:val="24"/>
              </w:rPr>
              <w:lastRenderedPageBreak/>
              <w:t>Współczynnik kapitału podstawowego Tier I to wartość ujawniana przez instytucje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VII do niniejszego rozporządzenia wykonawczego (wiersz 61 wzoru EU CC1 – Struktura regulacyjnych funduszy własnych)</w:t>
            </w:r>
          </w:p>
        </w:tc>
      </w:tr>
      <w:tr w:rsidR="00EC3DC7" w:rsidRPr="00835753" w14:paraId="7836A7D8" w14:textId="77777777" w:rsidTr="00B2180A">
        <w:trPr>
          <w:trHeight w:val="557"/>
        </w:trPr>
        <w:tc>
          <w:tcPr>
            <w:tcW w:w="1384" w:type="dxa"/>
          </w:tcPr>
          <w:p w14:paraId="138571C7" w14:textId="77777777" w:rsidR="00EC3DC7" w:rsidRPr="00835753" w:rsidRDefault="00475381" w:rsidP="00EC3DC7">
            <w:pPr>
              <w:pStyle w:val="Applicationdirecte"/>
              <w:spacing w:before="60"/>
              <w:jc w:val="center"/>
            </w:pPr>
            <w:r w:rsidRPr="00835753">
              <w:lastRenderedPageBreak/>
              <w:t>6</w:t>
            </w:r>
          </w:p>
        </w:tc>
        <w:tc>
          <w:tcPr>
            <w:tcW w:w="7655" w:type="dxa"/>
          </w:tcPr>
          <w:p w14:paraId="016AAD4C" w14:textId="77777777" w:rsidR="00475381" w:rsidRPr="00835753" w:rsidRDefault="00475381" w:rsidP="00EC3DC7">
            <w:pPr>
              <w:spacing w:before="60" w:after="120"/>
              <w:jc w:val="both"/>
              <w:rPr>
                <w:rFonts w:ascii="Times New Roman" w:hAnsi="Times New Roman" w:cs="Times New Roman"/>
                <w:b/>
                <w:sz w:val="24"/>
              </w:rPr>
            </w:pPr>
            <w:r w:rsidRPr="00835753">
              <w:rPr>
                <w:rFonts w:ascii="Times New Roman" w:hAnsi="Times New Roman"/>
                <w:b/>
                <w:sz w:val="24"/>
              </w:rPr>
              <w:t>Współczynnik kapitału Tier I (%)</w:t>
            </w:r>
          </w:p>
          <w:p w14:paraId="7486F374" w14:textId="7A657B0E" w:rsidR="00EC3DC7" w:rsidRPr="00835753" w:rsidRDefault="00EC3DC7" w:rsidP="00605635">
            <w:pPr>
              <w:spacing w:before="60" w:after="120"/>
              <w:jc w:val="both"/>
              <w:rPr>
                <w:rFonts w:ascii="Times New Roman" w:hAnsi="Times New Roman" w:cs="Times New Roman"/>
                <w:sz w:val="24"/>
              </w:rPr>
            </w:pPr>
            <w:r w:rsidRPr="00835753">
              <w:rPr>
                <w:rFonts w:ascii="Times New Roman" w:hAnsi="Times New Roman"/>
                <w:sz w:val="24"/>
              </w:rPr>
              <w:t>Współczynnik kapitału Tier I to wartość ujawniana przez instytucje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VII do niniejszego rozporządzenia wykonawczego (wiersz 62 wzoru EU CC1 – Struktura regulacyjnych funduszy własnych)</w:t>
            </w:r>
          </w:p>
        </w:tc>
      </w:tr>
      <w:tr w:rsidR="00EC3DC7" w:rsidRPr="00835753" w14:paraId="43011D7B" w14:textId="77777777" w:rsidTr="00B2180A">
        <w:trPr>
          <w:trHeight w:val="557"/>
        </w:trPr>
        <w:tc>
          <w:tcPr>
            <w:tcW w:w="1384" w:type="dxa"/>
          </w:tcPr>
          <w:p w14:paraId="63D1F4D7" w14:textId="77777777" w:rsidR="00EC3DC7" w:rsidRPr="00835753" w:rsidRDefault="00475381" w:rsidP="00475381">
            <w:pPr>
              <w:pStyle w:val="Applicationdirecte"/>
              <w:spacing w:before="60"/>
              <w:jc w:val="center"/>
            </w:pPr>
            <w:r w:rsidRPr="00835753">
              <w:t>7</w:t>
            </w:r>
          </w:p>
        </w:tc>
        <w:tc>
          <w:tcPr>
            <w:tcW w:w="7655" w:type="dxa"/>
          </w:tcPr>
          <w:p w14:paraId="08AAC130" w14:textId="77777777" w:rsidR="00475381" w:rsidRPr="00835753" w:rsidRDefault="00475381" w:rsidP="00475381">
            <w:pPr>
              <w:spacing w:before="60" w:after="120"/>
              <w:jc w:val="both"/>
              <w:rPr>
                <w:rFonts w:ascii="Times New Roman" w:hAnsi="Times New Roman" w:cs="Times New Roman"/>
                <w:b/>
                <w:sz w:val="24"/>
              </w:rPr>
            </w:pPr>
            <w:r w:rsidRPr="00835753">
              <w:rPr>
                <w:rFonts w:ascii="Times New Roman" w:hAnsi="Times New Roman"/>
                <w:b/>
                <w:sz w:val="24"/>
              </w:rPr>
              <w:t>Łączny współczynnik kapitałowy (%)</w:t>
            </w:r>
          </w:p>
          <w:p w14:paraId="19C20331" w14:textId="79940B88" w:rsidR="00EC3DC7" w:rsidRPr="00835753" w:rsidRDefault="00EC3DC7" w:rsidP="00605635">
            <w:pPr>
              <w:spacing w:before="60" w:after="120"/>
              <w:jc w:val="both"/>
              <w:rPr>
                <w:rFonts w:ascii="Times New Roman" w:hAnsi="Times New Roman" w:cs="Times New Roman"/>
                <w:sz w:val="24"/>
              </w:rPr>
            </w:pPr>
            <w:r w:rsidRPr="00835753">
              <w:rPr>
                <w:rFonts w:ascii="Times New Roman" w:hAnsi="Times New Roman"/>
                <w:sz w:val="24"/>
              </w:rPr>
              <w:t>Łączny współczynnik kapitałowy to wartość ujawniana przez instytucje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VII do niniejszego rozporządzenia wykonawczego (wiersz 63 wzoru EU CC1 – Struktura regulacyjnych funduszy własnych)</w:t>
            </w:r>
          </w:p>
        </w:tc>
      </w:tr>
      <w:tr w:rsidR="002D5755" w:rsidRPr="00835753" w14:paraId="3536040C" w14:textId="77777777" w:rsidTr="00B2180A">
        <w:trPr>
          <w:trHeight w:val="557"/>
        </w:trPr>
        <w:tc>
          <w:tcPr>
            <w:tcW w:w="1384" w:type="dxa"/>
          </w:tcPr>
          <w:p w14:paraId="1CD4D7BE" w14:textId="77777777" w:rsidR="002D5755" w:rsidRPr="00835753" w:rsidRDefault="002F1302" w:rsidP="002D5755">
            <w:pPr>
              <w:pStyle w:val="Applicationdirecte"/>
              <w:spacing w:before="60"/>
              <w:jc w:val="center"/>
            </w:pPr>
            <w:r w:rsidRPr="00835753">
              <w:t>EU 7a</w:t>
            </w:r>
          </w:p>
        </w:tc>
        <w:tc>
          <w:tcPr>
            <w:tcW w:w="7655" w:type="dxa"/>
          </w:tcPr>
          <w:p w14:paraId="2C65689E" w14:textId="15B7D282" w:rsidR="002D5755" w:rsidRPr="00835753" w:rsidRDefault="00974607" w:rsidP="002D5755">
            <w:pPr>
              <w:spacing w:before="60" w:after="120"/>
              <w:jc w:val="both"/>
              <w:rPr>
                <w:rFonts w:ascii="Times New Roman" w:hAnsi="Times New Roman" w:cs="Times New Roman"/>
                <w:b/>
                <w:sz w:val="24"/>
              </w:rPr>
            </w:pPr>
            <w:r w:rsidRPr="00835753">
              <w:rPr>
                <w:rFonts w:ascii="Times New Roman" w:hAnsi="Times New Roman"/>
                <w:b/>
                <w:sz w:val="24"/>
              </w:rPr>
              <w:t>Dodatkowe wymogi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funduszy własnych</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cel</w:t>
            </w:r>
            <w:r w:rsidRPr="00835753">
              <w:rPr>
                <w:rFonts w:ascii="Times New Roman" w:hAnsi="Times New Roman"/>
                <w:b/>
                <w:sz w:val="24"/>
              </w:rPr>
              <w:t>u uwzględnienia ryzyka innego niż ryzyko nadmiernej dźwigni (%)</w:t>
            </w:r>
          </w:p>
          <w:p w14:paraId="496B5202" w14:textId="420AAC79" w:rsidR="002D5755" w:rsidRPr="00835753" w:rsidRDefault="005D6F4D" w:rsidP="00A96F56">
            <w:pPr>
              <w:spacing w:before="60" w:after="120"/>
              <w:jc w:val="both"/>
              <w:rPr>
                <w:rFonts w:ascii="Times New Roman" w:hAnsi="Times New Roman" w:cs="Times New Roman"/>
                <w:sz w:val="24"/>
              </w:rPr>
            </w:pPr>
            <w:r w:rsidRPr="00835753">
              <w:rPr>
                <w:rFonts w:ascii="Times New Roman" w:hAnsi="Times New Roman"/>
                <w:sz w:val="24"/>
              </w:rPr>
              <w:t>Dodatkowe 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uwzględnienia ryzyka innego niż ryzyko nadmiernej dźwigni nakładane przez właściwy organ na podstawie art.</w:t>
            </w:r>
            <w:r w:rsidR="00835753" w:rsidRPr="00835753">
              <w:rPr>
                <w:rFonts w:ascii="Times New Roman" w:hAnsi="Times New Roman"/>
                <w:sz w:val="24"/>
              </w:rPr>
              <w:t> </w:t>
            </w:r>
            <w:r w:rsidRPr="00835753">
              <w:rPr>
                <w:rFonts w:ascii="Times New Roman" w:hAnsi="Times New Roman"/>
                <w:sz w:val="24"/>
              </w:rPr>
              <w:t>104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CRD, wyrażone jako odsetek łącznej kwoty ekspozycji na ryzyko.</w:t>
            </w:r>
          </w:p>
        </w:tc>
      </w:tr>
      <w:tr w:rsidR="002D5755" w:rsidRPr="00835753" w14:paraId="7325A7E2" w14:textId="77777777" w:rsidTr="00B2180A">
        <w:trPr>
          <w:trHeight w:val="557"/>
        </w:trPr>
        <w:tc>
          <w:tcPr>
            <w:tcW w:w="1384" w:type="dxa"/>
          </w:tcPr>
          <w:p w14:paraId="74461AB8" w14:textId="77777777" w:rsidR="002D5755" w:rsidRPr="00835753" w:rsidRDefault="002F1302" w:rsidP="002D5755">
            <w:pPr>
              <w:pStyle w:val="Applicationdirecte"/>
              <w:spacing w:before="60"/>
              <w:jc w:val="center"/>
            </w:pPr>
            <w:r w:rsidRPr="00835753">
              <w:t>EU 7b</w:t>
            </w:r>
          </w:p>
        </w:tc>
        <w:tc>
          <w:tcPr>
            <w:tcW w:w="7655" w:type="dxa"/>
          </w:tcPr>
          <w:p w14:paraId="407C074B" w14:textId="466990AF" w:rsidR="002D5755" w:rsidRPr="00835753" w:rsidRDefault="002B7ED3" w:rsidP="002D5755">
            <w:pPr>
              <w:spacing w:before="60" w:after="120"/>
              <w:jc w:val="both"/>
              <w:rPr>
                <w:rFonts w:ascii="Times New Roman" w:hAnsi="Times New Roman" w:cs="Times New Roman"/>
                <w:b/>
                <w:sz w:val="24"/>
              </w:rPr>
            </w:pPr>
            <w:r w:rsidRPr="00835753">
              <w:rPr>
                <w:rFonts w:ascii="Times New Roman" w:hAnsi="Times New Roman"/>
                <w:sz w:val="24"/>
              </w:rPr>
              <w:t xml:space="preserve">  </w:t>
            </w:r>
            <w:r w:rsidRPr="00835753">
              <w:rPr>
                <w:rFonts w:ascii="Times New Roman" w:hAnsi="Times New Roman"/>
                <w:b/>
                <w:sz w:val="24"/>
              </w:rPr>
              <w:t>W tym: obejmujące kapitał podstawowy Tier I (punkty procentowe)</w:t>
            </w:r>
          </w:p>
          <w:p w14:paraId="7130AB39" w14:textId="38CFBAFA" w:rsidR="003F72E2" w:rsidRPr="00835753" w:rsidRDefault="00791891" w:rsidP="005D6F4D">
            <w:pPr>
              <w:spacing w:before="60" w:after="120"/>
              <w:jc w:val="both"/>
              <w:rPr>
                <w:rFonts w:ascii="Times New Roman" w:hAnsi="Times New Roman" w:cs="Times New Roman"/>
                <w:sz w:val="24"/>
              </w:rPr>
            </w:pPr>
            <w:r w:rsidRPr="00835753">
              <w:rPr>
                <w:rFonts w:ascii="Times New Roman" w:hAnsi="Times New Roman"/>
                <w:sz w:val="24"/>
              </w:rPr>
              <w:t>Część dodatkowych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uwzględnienia ryzyka innego niż ryzyko nadmiernej dźwigni nakładanych przez właściwy organ na podstawie art.</w:t>
            </w:r>
            <w:r w:rsidR="00835753" w:rsidRPr="00835753">
              <w:rPr>
                <w:rFonts w:ascii="Times New Roman" w:hAnsi="Times New Roman"/>
                <w:sz w:val="24"/>
              </w:rPr>
              <w:t> </w:t>
            </w:r>
            <w:r w:rsidRPr="00835753">
              <w:rPr>
                <w:rFonts w:ascii="Times New Roman" w:hAnsi="Times New Roman"/>
                <w:sz w:val="24"/>
              </w:rPr>
              <w:t>104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CRD, która to część wymogów musi być spełniona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wyk</w:t>
            </w:r>
            <w:r w:rsidRPr="00835753">
              <w:rPr>
                <w:rFonts w:ascii="Times New Roman" w:hAnsi="Times New Roman"/>
                <w:sz w:val="24"/>
              </w:rPr>
              <w:t>orzystaniem kapitału podstawowego Tier 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104a ust.</w:t>
            </w:r>
            <w:r w:rsidR="00835753" w:rsidRPr="00835753">
              <w:rPr>
                <w:rFonts w:ascii="Times New Roman" w:hAnsi="Times New Roman"/>
                <w:sz w:val="24"/>
              </w:rPr>
              <w:t> </w:t>
            </w:r>
            <w:r w:rsidRPr="00835753">
              <w:rPr>
                <w:rFonts w:ascii="Times New Roman" w:hAnsi="Times New Roman"/>
                <w:sz w:val="24"/>
              </w:rPr>
              <w:t>4 akapity pierwszy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trz</w:t>
            </w:r>
            <w:r w:rsidRPr="00835753">
              <w:rPr>
                <w:rFonts w:ascii="Times New Roman" w:hAnsi="Times New Roman"/>
                <w:sz w:val="24"/>
              </w:rPr>
              <w:t>eci.</w:t>
            </w:r>
          </w:p>
        </w:tc>
      </w:tr>
      <w:tr w:rsidR="002D5755" w:rsidRPr="00835753" w14:paraId="0E6077DA" w14:textId="77777777" w:rsidTr="00B2180A">
        <w:trPr>
          <w:trHeight w:val="557"/>
        </w:trPr>
        <w:tc>
          <w:tcPr>
            <w:tcW w:w="1384" w:type="dxa"/>
          </w:tcPr>
          <w:p w14:paraId="06A684D0" w14:textId="77777777" w:rsidR="002D5755" w:rsidRPr="00835753" w:rsidRDefault="002F1302" w:rsidP="002D5755">
            <w:pPr>
              <w:pStyle w:val="Applicationdirecte"/>
              <w:spacing w:before="60"/>
              <w:jc w:val="center"/>
            </w:pPr>
            <w:r w:rsidRPr="00835753">
              <w:t>EU 7c</w:t>
            </w:r>
          </w:p>
        </w:tc>
        <w:tc>
          <w:tcPr>
            <w:tcW w:w="7655" w:type="dxa"/>
          </w:tcPr>
          <w:p w14:paraId="3D41CED8" w14:textId="5A42D7CA" w:rsidR="002D5755" w:rsidRPr="00835753" w:rsidRDefault="002B7ED3" w:rsidP="002D5755">
            <w:pPr>
              <w:spacing w:before="60" w:after="120"/>
              <w:jc w:val="both"/>
              <w:rPr>
                <w:rFonts w:ascii="Times New Roman" w:hAnsi="Times New Roman" w:cs="Times New Roman"/>
                <w:b/>
                <w:sz w:val="24"/>
              </w:rPr>
            </w:pPr>
            <w:r w:rsidRPr="00835753">
              <w:rPr>
                <w:rFonts w:ascii="Times New Roman" w:hAnsi="Times New Roman"/>
                <w:sz w:val="24"/>
              </w:rPr>
              <w:t xml:space="preserve">  </w:t>
            </w:r>
            <w:r w:rsidRPr="00835753">
              <w:rPr>
                <w:rFonts w:ascii="Times New Roman" w:hAnsi="Times New Roman"/>
                <w:b/>
                <w:sz w:val="24"/>
              </w:rPr>
              <w:t>W tym: obejmujące kapitał Tier I (punkty procentowe)</w:t>
            </w:r>
          </w:p>
          <w:p w14:paraId="20A8FF8D" w14:textId="5BC16D01" w:rsidR="003F72E2" w:rsidRPr="00835753" w:rsidRDefault="005D6F4D" w:rsidP="005D6F4D">
            <w:pPr>
              <w:spacing w:before="60" w:after="120"/>
              <w:jc w:val="both"/>
              <w:rPr>
                <w:rFonts w:ascii="Times New Roman" w:hAnsi="Times New Roman" w:cs="Times New Roman"/>
                <w:sz w:val="24"/>
              </w:rPr>
            </w:pPr>
            <w:r w:rsidRPr="00835753">
              <w:rPr>
                <w:rFonts w:ascii="Times New Roman" w:hAnsi="Times New Roman"/>
                <w:sz w:val="24"/>
              </w:rPr>
              <w:t>Część dodatkowych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uwzględnienia ryzyka innego niż ryzyko nadmiernej dźwigni nakładanych przez właściwy organ na podstawie art.</w:t>
            </w:r>
            <w:r w:rsidR="00835753" w:rsidRPr="00835753">
              <w:rPr>
                <w:rFonts w:ascii="Times New Roman" w:hAnsi="Times New Roman"/>
                <w:sz w:val="24"/>
              </w:rPr>
              <w:t> </w:t>
            </w:r>
            <w:r w:rsidRPr="00835753">
              <w:rPr>
                <w:rFonts w:ascii="Times New Roman" w:hAnsi="Times New Roman"/>
                <w:sz w:val="24"/>
              </w:rPr>
              <w:t>104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CRD, która to część wymogów musi być spełniona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wyk</w:t>
            </w:r>
            <w:r w:rsidRPr="00835753">
              <w:rPr>
                <w:rFonts w:ascii="Times New Roman" w:hAnsi="Times New Roman"/>
                <w:sz w:val="24"/>
              </w:rPr>
              <w:t>orzystaniem kapitału Tier 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104a ust.</w:t>
            </w:r>
            <w:r w:rsidR="00835753" w:rsidRPr="00835753">
              <w:rPr>
                <w:rFonts w:ascii="Times New Roman" w:hAnsi="Times New Roman"/>
                <w:sz w:val="24"/>
              </w:rPr>
              <w:t> </w:t>
            </w:r>
            <w:r w:rsidRPr="00835753">
              <w:rPr>
                <w:rFonts w:ascii="Times New Roman" w:hAnsi="Times New Roman"/>
                <w:sz w:val="24"/>
              </w:rPr>
              <w:t>4 akapity pierwszy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trz</w:t>
            </w:r>
            <w:r w:rsidRPr="00835753">
              <w:rPr>
                <w:rFonts w:ascii="Times New Roman" w:hAnsi="Times New Roman"/>
                <w:sz w:val="24"/>
              </w:rPr>
              <w:t>eci.</w:t>
            </w:r>
          </w:p>
        </w:tc>
      </w:tr>
      <w:tr w:rsidR="002D5755" w:rsidRPr="00835753" w14:paraId="4D2E0DD8" w14:textId="77777777" w:rsidTr="00B2180A">
        <w:trPr>
          <w:trHeight w:val="557"/>
        </w:trPr>
        <w:tc>
          <w:tcPr>
            <w:tcW w:w="1384" w:type="dxa"/>
          </w:tcPr>
          <w:p w14:paraId="25E29F71" w14:textId="77777777" w:rsidR="002D5755" w:rsidRPr="00835753" w:rsidRDefault="002F1302" w:rsidP="002D5755">
            <w:pPr>
              <w:pStyle w:val="Applicationdirecte"/>
              <w:spacing w:before="60"/>
              <w:jc w:val="center"/>
            </w:pPr>
            <w:r w:rsidRPr="00835753">
              <w:t>EU 7d</w:t>
            </w:r>
          </w:p>
        </w:tc>
        <w:tc>
          <w:tcPr>
            <w:tcW w:w="7655" w:type="dxa"/>
          </w:tcPr>
          <w:p w14:paraId="020B8334" w14:textId="574D4598" w:rsidR="002D5755" w:rsidRPr="00835753" w:rsidRDefault="002D5755" w:rsidP="002D5755">
            <w:pPr>
              <w:spacing w:before="60" w:after="120"/>
              <w:jc w:val="both"/>
              <w:rPr>
                <w:rFonts w:ascii="Times New Roman" w:hAnsi="Times New Roman" w:cs="Times New Roman"/>
                <w:b/>
                <w:sz w:val="24"/>
              </w:rPr>
            </w:pPr>
            <w:r w:rsidRPr="00835753">
              <w:rPr>
                <w:rFonts w:ascii="Times New Roman" w:hAnsi="Times New Roman"/>
                <w:b/>
                <w:sz w:val="24"/>
              </w:rPr>
              <w:t>Łączne wymogi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funduszy własnych SREP (współczynnik TSCR) (%)</w:t>
            </w:r>
          </w:p>
          <w:p w14:paraId="0EB50A81" w14:textId="77CE0E9A" w:rsidR="003F72E2" w:rsidRPr="00835753" w:rsidRDefault="003F72E2" w:rsidP="00702A38">
            <w:pPr>
              <w:pStyle w:val="InstructionsText"/>
            </w:pPr>
            <w:r w:rsidRPr="00835753">
              <w:t>Suma następujących ppkt (i) oraz (ii):</w:t>
            </w:r>
          </w:p>
          <w:p w14:paraId="5260BB93" w14:textId="31755014" w:rsidR="003F72E2" w:rsidRPr="00835753" w:rsidRDefault="003F72E2" w:rsidP="00702A38">
            <w:pPr>
              <w:pStyle w:val="InstructionsText"/>
              <w:numPr>
                <w:ilvl w:val="0"/>
                <w:numId w:val="11"/>
              </w:numPr>
            </w:pPr>
            <w:proofErr w:type="gramStart"/>
            <w:r w:rsidRPr="00835753">
              <w:t>łącznego</w:t>
            </w:r>
            <w:proofErr w:type="gramEnd"/>
            <w:r w:rsidRPr="00835753">
              <w:t xml:space="preserve"> współczynnika kapitałowego (8</w:t>
            </w:r>
            <w:r w:rsidR="00835753" w:rsidRPr="00835753">
              <w:t> </w:t>
            </w:r>
            <w:r w:rsidRPr="00835753">
              <w:t>%), jak określono</w:t>
            </w:r>
            <w:r w:rsidR="00835753" w:rsidRPr="00835753">
              <w:t xml:space="preserve"> w</w:t>
            </w:r>
            <w:r w:rsidR="00835753">
              <w:t> </w:t>
            </w:r>
            <w:r w:rsidR="00835753" w:rsidRPr="00835753">
              <w:t>art</w:t>
            </w:r>
            <w:r w:rsidRPr="00835753">
              <w:t>.</w:t>
            </w:r>
            <w:r w:rsidR="00835753" w:rsidRPr="00835753">
              <w:t> </w:t>
            </w:r>
            <w:r w:rsidRPr="00835753">
              <w:t>92 ust.</w:t>
            </w:r>
            <w:r w:rsidR="00835753" w:rsidRPr="00835753">
              <w:t> </w:t>
            </w:r>
            <w:r w:rsidRPr="00835753">
              <w:t>1 lit.</w:t>
            </w:r>
            <w:r w:rsidR="00835753" w:rsidRPr="00835753">
              <w:t> </w:t>
            </w:r>
            <w:r w:rsidRPr="00835753">
              <w:t xml:space="preserve">c) CRR; </w:t>
            </w:r>
          </w:p>
          <w:p w14:paraId="6408D689" w14:textId="57180881" w:rsidR="003F72E2" w:rsidRPr="00835753" w:rsidRDefault="003F72E2" w:rsidP="00702A38">
            <w:pPr>
              <w:pStyle w:val="InstructionsText"/>
              <w:numPr>
                <w:ilvl w:val="0"/>
                <w:numId w:val="11"/>
              </w:numPr>
            </w:pPr>
            <w:proofErr w:type="gramStart"/>
            <w:r w:rsidRPr="00835753">
              <w:t>dodatkowych</w:t>
            </w:r>
            <w:proofErr w:type="gramEnd"/>
            <w:r w:rsidRPr="00835753">
              <w:t xml:space="preserve"> wymogów</w:t>
            </w:r>
            <w:r w:rsidR="00835753" w:rsidRPr="00835753">
              <w:t xml:space="preserve"> w</w:t>
            </w:r>
            <w:r w:rsidR="00835753">
              <w:t> </w:t>
            </w:r>
            <w:r w:rsidR="00835753" w:rsidRPr="00835753">
              <w:t>zak</w:t>
            </w:r>
            <w:r w:rsidRPr="00835753">
              <w:t>resie funduszy własnych</w:t>
            </w:r>
            <w:r w:rsidR="00835753" w:rsidRPr="00835753">
              <w:t xml:space="preserve"> w</w:t>
            </w:r>
            <w:r w:rsidR="00835753">
              <w:t> </w:t>
            </w:r>
            <w:r w:rsidR="00835753" w:rsidRPr="00835753">
              <w:t>cel</w:t>
            </w:r>
            <w:r w:rsidRPr="00835753">
              <w:t>u uwzględnienia ryzyka innego niż ryzyko nadmiernej dźwigni (wymogi filaru II) nakładanych przez właściwy organ na podstawie art.</w:t>
            </w:r>
            <w:r w:rsidR="00835753" w:rsidRPr="00835753">
              <w:t> </w:t>
            </w:r>
            <w:r w:rsidRPr="00835753">
              <w:t>104 ust.</w:t>
            </w:r>
            <w:r w:rsidR="00835753" w:rsidRPr="00835753">
              <w:t> </w:t>
            </w:r>
            <w:r w:rsidRPr="00835753">
              <w:t>1 lit.</w:t>
            </w:r>
            <w:r w:rsidR="00835753" w:rsidRPr="00835753">
              <w:t> </w:t>
            </w:r>
            <w:r w:rsidRPr="00835753">
              <w:t>a) CRD</w:t>
            </w:r>
            <w:r w:rsidR="00835753" w:rsidRPr="00835753">
              <w:t xml:space="preserve"> i</w:t>
            </w:r>
            <w:r w:rsidR="00835753">
              <w:t> </w:t>
            </w:r>
            <w:r w:rsidR="00835753" w:rsidRPr="00835753">
              <w:t>ust</w:t>
            </w:r>
            <w:r w:rsidRPr="00835753">
              <w:t>alonych zgodnie</w:t>
            </w:r>
            <w:r w:rsidR="00835753" w:rsidRPr="00835753">
              <w:t xml:space="preserve"> z</w:t>
            </w:r>
            <w:r w:rsidR="00835753">
              <w:t> </w:t>
            </w:r>
            <w:r w:rsidR="00835753" w:rsidRPr="00835753">
              <w:t>kry</w:t>
            </w:r>
            <w:r w:rsidRPr="00835753">
              <w:t>teriami określonymi</w:t>
            </w:r>
            <w:r w:rsidR="00835753" w:rsidRPr="00835753">
              <w:t xml:space="preserve"> w</w:t>
            </w:r>
            <w:r w:rsidR="00835753">
              <w:t> </w:t>
            </w:r>
            <w:r w:rsidR="00835753" w:rsidRPr="00835753">
              <w:t>wyt</w:t>
            </w:r>
            <w:r w:rsidRPr="00835753">
              <w:t>ycznych EUNB dotyczących wspólnych procedur</w:t>
            </w:r>
            <w:r w:rsidR="00835753" w:rsidRPr="00835753">
              <w:t xml:space="preserve"> i</w:t>
            </w:r>
            <w:r w:rsidR="00835753">
              <w:t> </w:t>
            </w:r>
            <w:r w:rsidR="00835753" w:rsidRPr="00835753">
              <w:t>met</w:t>
            </w:r>
            <w:r w:rsidRPr="00835753">
              <w:t>od stosowanych</w:t>
            </w:r>
            <w:r w:rsidR="00835753" w:rsidRPr="00835753">
              <w:t xml:space="preserve"> w</w:t>
            </w:r>
            <w:r w:rsidR="00835753">
              <w:t> </w:t>
            </w:r>
            <w:r w:rsidR="00835753" w:rsidRPr="00835753">
              <w:t>ram</w:t>
            </w:r>
            <w:r w:rsidRPr="00835753">
              <w:t>ach procesu przeglądu</w:t>
            </w:r>
            <w:r w:rsidR="00835753" w:rsidRPr="00835753">
              <w:t xml:space="preserve"> i</w:t>
            </w:r>
            <w:r w:rsidR="00835753">
              <w:t> </w:t>
            </w:r>
            <w:r w:rsidR="00835753" w:rsidRPr="00835753">
              <w:t>oce</w:t>
            </w:r>
            <w:r w:rsidRPr="00835753">
              <w:t xml:space="preserve">ny nadzorczej </w:t>
            </w:r>
            <w:r w:rsidRPr="00835753">
              <w:lastRenderedPageBreak/>
              <w:t>oraz nadzorczych testów warunków skrajnych</w:t>
            </w:r>
            <w:r w:rsidRPr="00835753">
              <w:rPr>
                <w:rStyle w:val="FootnoteReference"/>
                <w:i/>
              </w:rPr>
              <w:footnoteReference w:id="3"/>
            </w:r>
            <w:r w:rsidRPr="00835753">
              <w:t xml:space="preserve"> (EBA SREP GL)), wyrażonych jako odsetek łącznych kwot ekspozycji ważonych ryzykiem.</w:t>
            </w:r>
          </w:p>
          <w:p w14:paraId="421B2155" w14:textId="3FA7CE8E" w:rsidR="003F72E2" w:rsidRPr="00835753" w:rsidRDefault="003F72E2" w:rsidP="00702A38">
            <w:pPr>
              <w:pStyle w:val="InstructionsText"/>
            </w:pPr>
            <w:r w:rsidRPr="00835753">
              <w:t>Pozycja ta musi odzwierciedlać współczynnik całkowitego wymogu kapitałowego SREP (TSCR) podany do wiadomości instytucji przez właściwy organ. TSCR zdefiniowano</w:t>
            </w:r>
            <w:r w:rsidR="00835753" w:rsidRPr="00835753">
              <w:t xml:space="preserve"> w</w:t>
            </w:r>
            <w:r w:rsidR="00835753">
              <w:t> </w:t>
            </w:r>
            <w:r w:rsidR="00835753" w:rsidRPr="00835753">
              <w:t>sek</w:t>
            </w:r>
            <w:r w:rsidRPr="00835753">
              <w:t>cji 1.2 EBA SREP GL.</w:t>
            </w:r>
          </w:p>
          <w:p w14:paraId="25DA925F" w14:textId="36DF6C14" w:rsidR="003F72E2" w:rsidRPr="00835753" w:rsidRDefault="00704085" w:rsidP="00A239F6">
            <w:pPr>
              <w:spacing w:before="60" w:after="120"/>
              <w:jc w:val="both"/>
              <w:rPr>
                <w:rFonts w:ascii="Times New Roman" w:hAnsi="Times New Roman" w:cs="Times New Roman"/>
                <w:sz w:val="24"/>
              </w:rPr>
            </w:pPr>
            <w:r w:rsidRPr="00835753">
              <w:rPr>
                <w:rFonts w:ascii="Times New Roman" w:hAnsi="Times New Roman"/>
                <w:sz w:val="24"/>
              </w:rPr>
              <w:t>Jeżeli właściwy organ nie podał żadnych dodatkowych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uwzględnienia ryzyka innego niż ryzyko nadmiernej dźwigni, ujawnia się tylko ppkt (i).</w:t>
            </w:r>
          </w:p>
        </w:tc>
      </w:tr>
      <w:tr w:rsidR="00475381" w:rsidRPr="00835753" w14:paraId="7516E1D9" w14:textId="77777777" w:rsidTr="00B2180A">
        <w:trPr>
          <w:trHeight w:val="557"/>
        </w:trPr>
        <w:tc>
          <w:tcPr>
            <w:tcW w:w="1384" w:type="dxa"/>
          </w:tcPr>
          <w:p w14:paraId="7AD5EE4F" w14:textId="77777777" w:rsidR="00475381" w:rsidRPr="00835753" w:rsidRDefault="00475381" w:rsidP="00475381">
            <w:pPr>
              <w:pStyle w:val="Applicationdirecte"/>
              <w:spacing w:before="60"/>
              <w:jc w:val="center"/>
            </w:pPr>
            <w:r w:rsidRPr="00835753">
              <w:lastRenderedPageBreak/>
              <w:t>8</w:t>
            </w:r>
          </w:p>
        </w:tc>
        <w:tc>
          <w:tcPr>
            <w:tcW w:w="7655" w:type="dxa"/>
          </w:tcPr>
          <w:p w14:paraId="7C243A8A" w14:textId="77777777" w:rsidR="009D0637" w:rsidRPr="00835753" w:rsidRDefault="00475381" w:rsidP="00475381">
            <w:pPr>
              <w:spacing w:before="60" w:after="120"/>
              <w:jc w:val="both"/>
              <w:rPr>
                <w:rFonts w:ascii="Times New Roman" w:hAnsi="Times New Roman" w:cs="Times New Roman"/>
                <w:b/>
                <w:sz w:val="24"/>
              </w:rPr>
            </w:pPr>
            <w:r w:rsidRPr="00835753">
              <w:rPr>
                <w:rFonts w:ascii="Times New Roman" w:hAnsi="Times New Roman"/>
                <w:b/>
                <w:sz w:val="24"/>
              </w:rPr>
              <w:t>Bufor zabezpieczający (%)</w:t>
            </w:r>
          </w:p>
          <w:p w14:paraId="14E6CB6D" w14:textId="5881F219" w:rsidR="009D0637" w:rsidRPr="00835753" w:rsidRDefault="009D0637" w:rsidP="00702A38">
            <w:pPr>
              <w:spacing w:before="60" w:after="120"/>
              <w:jc w:val="both"/>
              <w:rPr>
                <w:rFonts w:ascii="Times New Roman" w:hAnsi="Times New Roman" w:cs="Times New Roman"/>
                <w:sz w:val="24"/>
              </w:rPr>
            </w:pPr>
            <w:r w:rsidRPr="00835753">
              <w:rPr>
                <w:rFonts w:ascii="Times New Roman" w:hAnsi="Times New Roman"/>
                <w:sz w:val="24"/>
              </w:rPr>
              <w:t>Kwota funduszy własnych, do których utrzymywania instytucje są zobowiązane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128 pkt</w:t>
            </w:r>
            <w:r w:rsidR="00835753" w:rsidRPr="00835753">
              <w:rPr>
                <w:rFonts w:ascii="Times New Roman" w:hAnsi="Times New Roman"/>
                <w:sz w:val="24"/>
              </w:rPr>
              <w:t> </w:t>
            </w:r>
            <w:r w:rsidRPr="00835753">
              <w:rPr>
                <w:rFonts w:ascii="Times New Roman" w:hAnsi="Times New Roman"/>
                <w:sz w:val="24"/>
              </w:rPr>
              <w:t>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129 CRD, wyrażona jako odsetek łącznych kwot ekspozycji ważonych ryzykiem.</w:t>
            </w:r>
          </w:p>
        </w:tc>
      </w:tr>
      <w:tr w:rsidR="00475381" w:rsidRPr="00835753" w14:paraId="7AFB85EC" w14:textId="77777777" w:rsidTr="00B2180A">
        <w:trPr>
          <w:trHeight w:val="557"/>
        </w:trPr>
        <w:tc>
          <w:tcPr>
            <w:tcW w:w="1384" w:type="dxa"/>
          </w:tcPr>
          <w:p w14:paraId="09E32617" w14:textId="77777777" w:rsidR="00475381" w:rsidRPr="00835753" w:rsidRDefault="002F1302" w:rsidP="00475381">
            <w:pPr>
              <w:pStyle w:val="Applicationdirecte"/>
              <w:spacing w:before="60"/>
              <w:jc w:val="center"/>
            </w:pPr>
            <w:r w:rsidRPr="00835753">
              <w:t>EU 8a</w:t>
            </w:r>
          </w:p>
        </w:tc>
        <w:tc>
          <w:tcPr>
            <w:tcW w:w="7655" w:type="dxa"/>
          </w:tcPr>
          <w:p w14:paraId="6A38F554" w14:textId="33CC4A61" w:rsidR="00475381" w:rsidRPr="00835753" w:rsidRDefault="00475381" w:rsidP="00475381">
            <w:pPr>
              <w:spacing w:before="60" w:after="120"/>
              <w:jc w:val="both"/>
              <w:rPr>
                <w:rFonts w:ascii="Times New Roman" w:hAnsi="Times New Roman" w:cs="Times New Roman"/>
                <w:b/>
                <w:sz w:val="24"/>
              </w:rPr>
            </w:pPr>
            <w:r w:rsidRPr="00835753">
              <w:rPr>
                <w:rFonts w:ascii="Times New Roman" w:hAnsi="Times New Roman"/>
                <w:b/>
                <w:sz w:val="24"/>
              </w:rPr>
              <w:t>Bufor zabezpieczający wynikający</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ryz</w:t>
            </w:r>
            <w:r w:rsidRPr="00835753">
              <w:rPr>
                <w:rFonts w:ascii="Times New Roman" w:hAnsi="Times New Roman"/>
                <w:b/>
                <w:sz w:val="24"/>
              </w:rPr>
              <w:t>yka makroostrożnościowego lub ryzyka systemowego zidentyfikowanego na poziomie państwa członkowskiego (%)</w:t>
            </w:r>
          </w:p>
          <w:p w14:paraId="26288177" w14:textId="7F4386FB" w:rsidR="009D0637" w:rsidRPr="00835753" w:rsidRDefault="009D0637" w:rsidP="0097538A">
            <w:pPr>
              <w:spacing w:before="60" w:after="120"/>
              <w:jc w:val="both"/>
              <w:rPr>
                <w:rFonts w:ascii="Times New Roman" w:hAnsi="Times New Roman" w:cs="Times New Roman"/>
                <w:sz w:val="24"/>
              </w:rPr>
            </w:pPr>
            <w:r w:rsidRPr="00835753">
              <w:rPr>
                <w:rFonts w:ascii="Times New Roman" w:hAnsi="Times New Roman"/>
                <w:sz w:val="24"/>
              </w:rPr>
              <w:t>Kwota bufora zabezpieczającego wynikającego</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ryz</w:t>
            </w:r>
            <w:r w:rsidRPr="00835753">
              <w:rPr>
                <w:rFonts w:ascii="Times New Roman" w:hAnsi="Times New Roman"/>
                <w:sz w:val="24"/>
              </w:rPr>
              <w:t>yka makroostrożnościowego lub ryzyka systemowego zidentyfikowanego na poziomie państwa członkowskiego, która może być wymagana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458 CRR poza buforem zabezpieczającym, wyrażona jako odsetek łącznych kwot ekspozycji ważonych ryzykiem.</w:t>
            </w:r>
          </w:p>
        </w:tc>
      </w:tr>
      <w:tr w:rsidR="00475381" w:rsidRPr="00835753" w14:paraId="08946B6B" w14:textId="77777777" w:rsidTr="00B2180A">
        <w:trPr>
          <w:trHeight w:val="557"/>
        </w:trPr>
        <w:tc>
          <w:tcPr>
            <w:tcW w:w="1384" w:type="dxa"/>
          </w:tcPr>
          <w:p w14:paraId="1E4DAAD1" w14:textId="77777777" w:rsidR="00475381" w:rsidRPr="00835753" w:rsidRDefault="00475381" w:rsidP="00475381">
            <w:pPr>
              <w:pStyle w:val="Applicationdirecte"/>
              <w:spacing w:before="60"/>
              <w:jc w:val="center"/>
            </w:pPr>
            <w:r w:rsidRPr="00835753">
              <w:t>9</w:t>
            </w:r>
          </w:p>
        </w:tc>
        <w:tc>
          <w:tcPr>
            <w:tcW w:w="7655" w:type="dxa"/>
          </w:tcPr>
          <w:p w14:paraId="249EE5F9" w14:textId="77777777" w:rsidR="00475381" w:rsidRPr="00835753" w:rsidRDefault="00475381" w:rsidP="00475381">
            <w:pPr>
              <w:spacing w:before="60" w:after="120"/>
              <w:jc w:val="both"/>
              <w:rPr>
                <w:rFonts w:ascii="Times New Roman" w:hAnsi="Times New Roman" w:cs="Times New Roman"/>
                <w:b/>
                <w:sz w:val="24"/>
              </w:rPr>
            </w:pPr>
            <w:r w:rsidRPr="00835753">
              <w:rPr>
                <w:rFonts w:ascii="Times New Roman" w:hAnsi="Times New Roman"/>
                <w:b/>
                <w:sz w:val="24"/>
              </w:rPr>
              <w:t>Specyficzny dla instytucji bufor antycykliczny (%)</w:t>
            </w:r>
          </w:p>
          <w:p w14:paraId="7EE95752" w14:textId="6FF94374" w:rsidR="008C672C" w:rsidRPr="00835753" w:rsidRDefault="008C672C" w:rsidP="00702A38">
            <w:pPr>
              <w:pStyle w:val="InstructionsText"/>
            </w:pPr>
            <w:r w:rsidRPr="00835753">
              <w:t>Kwota funduszy własnych, do których utrzymywania instytucje są zobowiązane zgodnie</w:t>
            </w:r>
            <w:r w:rsidR="00835753" w:rsidRPr="00835753">
              <w:t xml:space="preserve"> z</w:t>
            </w:r>
            <w:r w:rsidR="00835753">
              <w:t> </w:t>
            </w:r>
            <w:r w:rsidR="00835753" w:rsidRPr="00835753">
              <w:t>art</w:t>
            </w:r>
            <w:r w:rsidRPr="00835753">
              <w:t>.</w:t>
            </w:r>
            <w:r w:rsidR="00835753" w:rsidRPr="00835753">
              <w:t> </w:t>
            </w:r>
            <w:r w:rsidRPr="00835753">
              <w:t>128 pkt</w:t>
            </w:r>
            <w:r w:rsidR="00835753" w:rsidRPr="00835753">
              <w:t> </w:t>
            </w:r>
            <w:r w:rsidRPr="00835753">
              <w:t>2, art.</w:t>
            </w:r>
            <w:r w:rsidR="00835753" w:rsidRPr="00835753">
              <w:t> </w:t>
            </w:r>
            <w:r w:rsidRPr="00835753">
              <w:t>130</w:t>
            </w:r>
            <w:r w:rsidR="00835753" w:rsidRPr="00835753">
              <w:t xml:space="preserve"> i</w:t>
            </w:r>
            <w:r w:rsidR="00835753">
              <w:t> </w:t>
            </w:r>
            <w:r w:rsidR="00835753" w:rsidRPr="00835753">
              <w:t>art</w:t>
            </w:r>
            <w:r w:rsidRPr="00835753">
              <w:t>.</w:t>
            </w:r>
            <w:r w:rsidR="00835753" w:rsidRPr="00835753">
              <w:t> </w:t>
            </w:r>
            <w:r w:rsidRPr="00835753">
              <w:t>135–140 CRD, wyrażona jako odsetek łącznych kwot ekspozycji ważonych ryzykiem.</w:t>
            </w:r>
          </w:p>
          <w:p w14:paraId="58C7EB22" w14:textId="50AE2643" w:rsidR="008C672C" w:rsidRPr="00835753" w:rsidRDefault="008C672C" w:rsidP="002635C4">
            <w:pPr>
              <w:spacing w:before="60" w:after="120"/>
              <w:jc w:val="both"/>
              <w:rPr>
                <w:rFonts w:ascii="Times New Roman" w:hAnsi="Times New Roman" w:cs="Times New Roman"/>
                <w:sz w:val="24"/>
              </w:rPr>
            </w:pPr>
            <w:r w:rsidRPr="00835753">
              <w:rPr>
                <w:rFonts w:ascii="Times New Roman" w:hAnsi="Times New Roman"/>
                <w:sz w:val="24"/>
              </w:rPr>
              <w:t>Odsetek ten musi odzwierciedlać kwotę funduszy własnych niezbędnych do spełnienia odpowiednich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buforów kapitałowych na dzień ujawnienia.</w:t>
            </w:r>
          </w:p>
        </w:tc>
      </w:tr>
      <w:tr w:rsidR="00475381" w:rsidRPr="00835753" w14:paraId="5668949F" w14:textId="77777777" w:rsidTr="00B2180A">
        <w:trPr>
          <w:trHeight w:val="557"/>
        </w:trPr>
        <w:tc>
          <w:tcPr>
            <w:tcW w:w="1384" w:type="dxa"/>
          </w:tcPr>
          <w:p w14:paraId="40E9A935" w14:textId="77777777" w:rsidR="00475381" w:rsidRPr="00835753" w:rsidRDefault="002F1302" w:rsidP="00475381">
            <w:pPr>
              <w:pStyle w:val="Applicationdirecte"/>
              <w:spacing w:before="60"/>
              <w:jc w:val="center"/>
            </w:pPr>
            <w:r w:rsidRPr="00835753">
              <w:t>EU 9a</w:t>
            </w:r>
          </w:p>
        </w:tc>
        <w:tc>
          <w:tcPr>
            <w:tcW w:w="7655" w:type="dxa"/>
          </w:tcPr>
          <w:p w14:paraId="5F0D3F14" w14:textId="77777777" w:rsidR="00475381" w:rsidRPr="00835753" w:rsidRDefault="00475381" w:rsidP="00475381">
            <w:pPr>
              <w:spacing w:before="60" w:after="120"/>
              <w:jc w:val="both"/>
              <w:rPr>
                <w:rFonts w:ascii="Times New Roman" w:hAnsi="Times New Roman" w:cs="Times New Roman"/>
                <w:b/>
                <w:sz w:val="24"/>
              </w:rPr>
            </w:pPr>
            <w:r w:rsidRPr="00835753">
              <w:rPr>
                <w:rFonts w:ascii="Times New Roman" w:hAnsi="Times New Roman"/>
                <w:b/>
                <w:sz w:val="24"/>
              </w:rPr>
              <w:t>Bufor ryzyka systemowego (%)</w:t>
            </w:r>
          </w:p>
          <w:p w14:paraId="1A39C087" w14:textId="086B06FC" w:rsidR="008C672C" w:rsidRPr="00835753" w:rsidRDefault="008C672C" w:rsidP="00702A38">
            <w:pPr>
              <w:pStyle w:val="InstructionsText"/>
            </w:pPr>
            <w:r w:rsidRPr="00835753">
              <w:t>Kwota funduszy własnych, do których utrzymywania instytucje są zobowiązane zgodnie</w:t>
            </w:r>
            <w:r w:rsidR="00835753" w:rsidRPr="00835753">
              <w:t xml:space="preserve"> z</w:t>
            </w:r>
            <w:r w:rsidR="00835753">
              <w:t> </w:t>
            </w:r>
            <w:r w:rsidR="00835753" w:rsidRPr="00835753">
              <w:t>art</w:t>
            </w:r>
            <w:r w:rsidRPr="00835753">
              <w:t>.</w:t>
            </w:r>
            <w:r w:rsidR="00835753" w:rsidRPr="00835753">
              <w:t> </w:t>
            </w:r>
            <w:r w:rsidRPr="00835753">
              <w:t>128 pkt</w:t>
            </w:r>
            <w:r w:rsidR="00835753" w:rsidRPr="00835753">
              <w:t> </w:t>
            </w:r>
            <w:r w:rsidRPr="00835753">
              <w:t>5, art.</w:t>
            </w:r>
            <w:r w:rsidR="00835753" w:rsidRPr="00835753">
              <w:t> </w:t>
            </w:r>
            <w:r w:rsidRPr="00835753">
              <w:t>133</w:t>
            </w:r>
            <w:r w:rsidR="00835753" w:rsidRPr="00835753">
              <w:t xml:space="preserve"> i</w:t>
            </w:r>
            <w:r w:rsidR="00835753">
              <w:t> </w:t>
            </w:r>
            <w:r w:rsidR="00835753" w:rsidRPr="00835753">
              <w:t>art</w:t>
            </w:r>
            <w:r w:rsidRPr="00835753">
              <w:t>.</w:t>
            </w:r>
            <w:r w:rsidR="00835753" w:rsidRPr="00835753">
              <w:t> </w:t>
            </w:r>
            <w:r w:rsidRPr="00835753">
              <w:t>134 CRD, wyrażona jako odsetek łącznych kwot ekspozycji ważonych ryzykiem.</w:t>
            </w:r>
          </w:p>
          <w:p w14:paraId="349BC1DA" w14:textId="485F32A6" w:rsidR="008C672C" w:rsidRPr="00835753" w:rsidRDefault="008C672C" w:rsidP="002635C4">
            <w:pPr>
              <w:spacing w:before="60" w:after="120"/>
              <w:jc w:val="both"/>
              <w:rPr>
                <w:rFonts w:ascii="Times New Roman" w:hAnsi="Times New Roman" w:cs="Times New Roman"/>
                <w:sz w:val="24"/>
              </w:rPr>
            </w:pPr>
            <w:r w:rsidRPr="00835753">
              <w:rPr>
                <w:rFonts w:ascii="Times New Roman" w:hAnsi="Times New Roman"/>
                <w:sz w:val="24"/>
              </w:rPr>
              <w:t>Odsetek ten musi odzwierciedlać kwotę funduszy własnych niezbędnych do spełnienia odpowiednich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buforów kapitałowych na dzień ujawnienia.</w:t>
            </w:r>
          </w:p>
        </w:tc>
      </w:tr>
      <w:tr w:rsidR="00475381" w:rsidRPr="00835753" w14:paraId="7ED5CB15" w14:textId="77777777" w:rsidTr="00B2180A">
        <w:trPr>
          <w:trHeight w:val="557"/>
        </w:trPr>
        <w:tc>
          <w:tcPr>
            <w:tcW w:w="1384" w:type="dxa"/>
          </w:tcPr>
          <w:p w14:paraId="051A7C18" w14:textId="77777777" w:rsidR="00475381" w:rsidRPr="00835753" w:rsidRDefault="00475381" w:rsidP="00475381">
            <w:pPr>
              <w:pStyle w:val="Applicationdirecte"/>
              <w:spacing w:before="60"/>
              <w:jc w:val="center"/>
            </w:pPr>
            <w:r w:rsidRPr="00835753">
              <w:t>10</w:t>
            </w:r>
          </w:p>
        </w:tc>
        <w:tc>
          <w:tcPr>
            <w:tcW w:w="7655" w:type="dxa"/>
          </w:tcPr>
          <w:p w14:paraId="64176082" w14:textId="51978B33" w:rsidR="00475381" w:rsidRPr="00835753" w:rsidRDefault="00475381" w:rsidP="00475381">
            <w:pPr>
              <w:spacing w:before="60" w:after="120"/>
              <w:jc w:val="both"/>
              <w:rPr>
                <w:rFonts w:ascii="Times New Roman" w:hAnsi="Times New Roman" w:cs="Times New Roman"/>
                <w:b/>
                <w:sz w:val="24"/>
              </w:rPr>
            </w:pPr>
            <w:r w:rsidRPr="00835753">
              <w:rPr>
                <w:rFonts w:ascii="Times New Roman" w:hAnsi="Times New Roman"/>
                <w:b/>
                <w:sz w:val="24"/>
              </w:rPr>
              <w:t>Bufor globalnych instytucji</w:t>
            </w:r>
            <w:r w:rsidR="00835753" w:rsidRPr="00835753">
              <w:rPr>
                <w:rFonts w:ascii="Times New Roman" w:hAnsi="Times New Roman"/>
                <w:b/>
                <w:sz w:val="24"/>
              </w:rPr>
              <w:t xml:space="preserve"> o</w:t>
            </w:r>
            <w:r w:rsidR="00835753">
              <w:rPr>
                <w:rFonts w:ascii="Times New Roman" w:hAnsi="Times New Roman"/>
                <w:b/>
                <w:sz w:val="24"/>
              </w:rPr>
              <w:t> </w:t>
            </w:r>
            <w:r w:rsidR="00835753" w:rsidRPr="00835753">
              <w:rPr>
                <w:rFonts w:ascii="Times New Roman" w:hAnsi="Times New Roman"/>
                <w:b/>
                <w:sz w:val="24"/>
              </w:rPr>
              <w:t>zna</w:t>
            </w:r>
            <w:r w:rsidRPr="00835753">
              <w:rPr>
                <w:rFonts w:ascii="Times New Roman" w:hAnsi="Times New Roman"/>
                <w:b/>
                <w:sz w:val="24"/>
              </w:rPr>
              <w:t>czeniu systemowym (%)</w:t>
            </w:r>
          </w:p>
          <w:p w14:paraId="6FDE597A" w14:textId="300A9A3C" w:rsidR="00F16314" w:rsidRPr="00835753" w:rsidRDefault="00F16314" w:rsidP="00702A38">
            <w:pPr>
              <w:pStyle w:val="InstructionsText"/>
            </w:pPr>
            <w:r w:rsidRPr="00835753">
              <w:lastRenderedPageBreak/>
              <w:t>Kwota funduszy własnych, do których utrzymywania instytucje są zobowiązane zgodnie</w:t>
            </w:r>
            <w:r w:rsidR="00835753" w:rsidRPr="00835753">
              <w:t xml:space="preserve"> z</w:t>
            </w:r>
            <w:r w:rsidR="00835753">
              <w:t> </w:t>
            </w:r>
            <w:r w:rsidR="00835753" w:rsidRPr="00835753">
              <w:t>art</w:t>
            </w:r>
            <w:r w:rsidRPr="00835753">
              <w:t>.</w:t>
            </w:r>
            <w:r w:rsidR="00835753" w:rsidRPr="00835753">
              <w:t> </w:t>
            </w:r>
            <w:r w:rsidRPr="00835753">
              <w:t>128 pkt</w:t>
            </w:r>
            <w:r w:rsidR="00835753" w:rsidRPr="00835753">
              <w:t> </w:t>
            </w:r>
            <w:r w:rsidRPr="00835753">
              <w:t>3</w:t>
            </w:r>
            <w:r w:rsidR="00835753" w:rsidRPr="00835753">
              <w:t xml:space="preserve"> i</w:t>
            </w:r>
            <w:r w:rsidR="00835753">
              <w:t> </w:t>
            </w:r>
            <w:r w:rsidR="00835753" w:rsidRPr="00835753">
              <w:t>art</w:t>
            </w:r>
            <w:r w:rsidRPr="00835753">
              <w:t>.</w:t>
            </w:r>
            <w:r w:rsidR="00835753" w:rsidRPr="00835753">
              <w:t> </w:t>
            </w:r>
            <w:r w:rsidRPr="00835753">
              <w:t>131 CRD, wyrażona jako odsetek łącznych kwot ekspozycji ważonych ryzykiem.</w:t>
            </w:r>
          </w:p>
          <w:p w14:paraId="401B9FFF" w14:textId="7821351C" w:rsidR="00F16314" w:rsidRPr="00835753" w:rsidRDefault="00F16314" w:rsidP="002635C4">
            <w:pPr>
              <w:spacing w:before="60" w:after="120"/>
              <w:jc w:val="both"/>
              <w:rPr>
                <w:rFonts w:ascii="Times New Roman" w:hAnsi="Times New Roman" w:cs="Times New Roman"/>
                <w:sz w:val="24"/>
              </w:rPr>
            </w:pPr>
            <w:r w:rsidRPr="00835753">
              <w:rPr>
                <w:rFonts w:ascii="Times New Roman" w:hAnsi="Times New Roman"/>
                <w:sz w:val="24"/>
              </w:rPr>
              <w:t>Odsetek ten musi odzwierciedlać kwotę funduszy własnych niezbędnych do spełnienia odpowiednich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buforów kapitałowych na dzień ujawnienia.</w:t>
            </w:r>
          </w:p>
        </w:tc>
      </w:tr>
      <w:tr w:rsidR="00BB2F0A" w:rsidRPr="00835753" w14:paraId="4FAC19E0" w14:textId="77777777" w:rsidTr="00B2180A">
        <w:trPr>
          <w:trHeight w:val="557"/>
        </w:trPr>
        <w:tc>
          <w:tcPr>
            <w:tcW w:w="1384" w:type="dxa"/>
          </w:tcPr>
          <w:p w14:paraId="6ADCCF79" w14:textId="77777777" w:rsidR="00BB2F0A" w:rsidRPr="00835753" w:rsidRDefault="002F1302" w:rsidP="00BB2F0A">
            <w:pPr>
              <w:pStyle w:val="Applicationdirecte"/>
              <w:spacing w:before="60"/>
              <w:jc w:val="center"/>
            </w:pPr>
            <w:r w:rsidRPr="00835753">
              <w:lastRenderedPageBreak/>
              <w:t>EU 10a</w:t>
            </w:r>
          </w:p>
        </w:tc>
        <w:tc>
          <w:tcPr>
            <w:tcW w:w="7655" w:type="dxa"/>
          </w:tcPr>
          <w:p w14:paraId="3410560F" w14:textId="7BFD2B7A" w:rsidR="00BB2F0A" w:rsidRPr="00835753" w:rsidRDefault="00BB2F0A" w:rsidP="00BB2F0A">
            <w:pPr>
              <w:spacing w:before="60" w:after="120"/>
              <w:jc w:val="both"/>
              <w:rPr>
                <w:rFonts w:ascii="Times New Roman" w:hAnsi="Times New Roman" w:cs="Times New Roman"/>
                <w:b/>
                <w:sz w:val="24"/>
              </w:rPr>
            </w:pPr>
            <w:r w:rsidRPr="00835753">
              <w:rPr>
                <w:rFonts w:ascii="Times New Roman" w:hAnsi="Times New Roman"/>
                <w:b/>
                <w:sz w:val="24"/>
              </w:rPr>
              <w:t>Bufor innych instytucji</w:t>
            </w:r>
            <w:r w:rsidR="00835753" w:rsidRPr="00835753">
              <w:rPr>
                <w:rFonts w:ascii="Times New Roman" w:hAnsi="Times New Roman"/>
                <w:b/>
                <w:sz w:val="24"/>
              </w:rPr>
              <w:t xml:space="preserve"> o</w:t>
            </w:r>
            <w:r w:rsidR="00835753">
              <w:rPr>
                <w:rFonts w:ascii="Times New Roman" w:hAnsi="Times New Roman"/>
                <w:b/>
                <w:sz w:val="24"/>
              </w:rPr>
              <w:t> </w:t>
            </w:r>
            <w:r w:rsidR="00835753" w:rsidRPr="00835753">
              <w:rPr>
                <w:rFonts w:ascii="Times New Roman" w:hAnsi="Times New Roman"/>
                <w:b/>
                <w:sz w:val="24"/>
              </w:rPr>
              <w:t>zna</w:t>
            </w:r>
            <w:r w:rsidRPr="00835753">
              <w:rPr>
                <w:rFonts w:ascii="Times New Roman" w:hAnsi="Times New Roman"/>
                <w:b/>
                <w:sz w:val="24"/>
              </w:rPr>
              <w:t>czeniu systemowym (%)</w:t>
            </w:r>
          </w:p>
          <w:p w14:paraId="71C25616" w14:textId="0C5EE167" w:rsidR="00F16314" w:rsidRPr="00835753" w:rsidRDefault="00F16314" w:rsidP="00F16314">
            <w:pPr>
              <w:spacing w:before="60" w:after="120"/>
              <w:jc w:val="both"/>
              <w:rPr>
                <w:rFonts w:ascii="Times New Roman" w:hAnsi="Times New Roman" w:cs="Times New Roman"/>
                <w:sz w:val="24"/>
              </w:rPr>
            </w:pPr>
            <w:r w:rsidRPr="00835753">
              <w:rPr>
                <w:rFonts w:ascii="Times New Roman" w:hAnsi="Times New Roman"/>
                <w:sz w:val="24"/>
              </w:rPr>
              <w:t>Kwota funduszy własnych, do których utrzymywania instytucje są zobowiązane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128 pkt</w:t>
            </w:r>
            <w:r w:rsidR="00835753" w:rsidRPr="00835753">
              <w:rPr>
                <w:rFonts w:ascii="Times New Roman" w:hAnsi="Times New Roman"/>
                <w:sz w:val="24"/>
              </w:rPr>
              <w:t> </w:t>
            </w:r>
            <w:r w:rsidRPr="00835753">
              <w:rPr>
                <w:rFonts w:ascii="Times New Roman" w:hAnsi="Times New Roman"/>
                <w:sz w:val="24"/>
              </w:rPr>
              <w:t>4</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131 CRD, wyrażona jako odsetek łącznych kwot ekspozycji ważonych ryzykiem.</w:t>
            </w:r>
          </w:p>
          <w:p w14:paraId="476D85A0" w14:textId="0105227E" w:rsidR="00F16314" w:rsidRPr="00835753" w:rsidRDefault="00F16314" w:rsidP="002635C4">
            <w:pPr>
              <w:spacing w:before="60" w:after="120"/>
              <w:jc w:val="both"/>
              <w:rPr>
                <w:rFonts w:ascii="Times New Roman" w:hAnsi="Times New Roman" w:cs="Times New Roman"/>
                <w:sz w:val="24"/>
              </w:rPr>
            </w:pPr>
            <w:r w:rsidRPr="00835753">
              <w:rPr>
                <w:rFonts w:ascii="Times New Roman" w:hAnsi="Times New Roman"/>
                <w:sz w:val="24"/>
              </w:rPr>
              <w:t>Odsetek ten musi odzwierciedlać kwotę funduszy własnych niezbędnych do spełnienia odpowiednich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buforów kapitałowych na dzień ujawnienia.</w:t>
            </w:r>
          </w:p>
        </w:tc>
      </w:tr>
      <w:tr w:rsidR="00BB2F0A" w:rsidRPr="00835753" w14:paraId="5C215ABD" w14:textId="77777777" w:rsidTr="00B2180A">
        <w:trPr>
          <w:trHeight w:val="557"/>
        </w:trPr>
        <w:tc>
          <w:tcPr>
            <w:tcW w:w="1384" w:type="dxa"/>
          </w:tcPr>
          <w:p w14:paraId="18697C8C" w14:textId="77777777" w:rsidR="00BB2F0A" w:rsidRPr="00835753" w:rsidRDefault="00BB2F0A" w:rsidP="00BB2F0A">
            <w:pPr>
              <w:pStyle w:val="Applicationdirecte"/>
              <w:spacing w:before="60"/>
              <w:jc w:val="center"/>
            </w:pPr>
            <w:r w:rsidRPr="00835753">
              <w:t>11</w:t>
            </w:r>
          </w:p>
        </w:tc>
        <w:tc>
          <w:tcPr>
            <w:tcW w:w="7655" w:type="dxa"/>
          </w:tcPr>
          <w:p w14:paraId="21DBB5FE" w14:textId="77777777" w:rsidR="00BB2F0A" w:rsidRPr="00835753" w:rsidRDefault="00BB2F0A" w:rsidP="00BB2F0A">
            <w:pPr>
              <w:spacing w:before="60" w:after="120"/>
              <w:jc w:val="both"/>
              <w:rPr>
                <w:rFonts w:ascii="Times New Roman" w:hAnsi="Times New Roman" w:cs="Times New Roman"/>
                <w:b/>
                <w:sz w:val="24"/>
              </w:rPr>
            </w:pPr>
            <w:r w:rsidRPr="00835753">
              <w:rPr>
                <w:rFonts w:ascii="Times New Roman" w:hAnsi="Times New Roman"/>
                <w:b/>
                <w:sz w:val="24"/>
              </w:rPr>
              <w:t>Wymóg połączonego bufora (%)</w:t>
            </w:r>
          </w:p>
          <w:p w14:paraId="04E18E6B" w14:textId="7A1E39EF" w:rsidR="00F16314" w:rsidRPr="00835753" w:rsidRDefault="009D10AD" w:rsidP="00A239F6">
            <w:pPr>
              <w:spacing w:before="60" w:after="120"/>
              <w:jc w:val="both"/>
              <w:rPr>
                <w:rFonts w:ascii="Times New Roman" w:hAnsi="Times New Roman" w:cs="Times New Roman"/>
                <w:sz w:val="24"/>
              </w:rPr>
            </w:pPr>
            <w:r w:rsidRPr="00835753">
              <w:rPr>
                <w:rFonts w:ascii="Times New Roman" w:hAnsi="Times New Roman"/>
                <w:sz w:val="24"/>
              </w:rPr>
              <w:t>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128 pkt</w:t>
            </w:r>
            <w:r w:rsidR="00835753" w:rsidRPr="00835753">
              <w:rPr>
                <w:rFonts w:ascii="Times New Roman" w:hAnsi="Times New Roman"/>
                <w:sz w:val="24"/>
              </w:rPr>
              <w:t> </w:t>
            </w:r>
            <w:r w:rsidRPr="00835753">
              <w:rPr>
                <w:rFonts w:ascii="Times New Roman" w:hAnsi="Times New Roman"/>
                <w:sz w:val="24"/>
              </w:rPr>
              <w:t>6 CRD, kwota wyrażona jako odsetek łącznych kwot ekspozycji ważonych ryzykiem.</w:t>
            </w:r>
          </w:p>
        </w:tc>
      </w:tr>
      <w:tr w:rsidR="00BB2F0A" w:rsidRPr="00835753" w14:paraId="699D0388" w14:textId="77777777" w:rsidTr="00B2180A">
        <w:trPr>
          <w:trHeight w:val="557"/>
        </w:trPr>
        <w:tc>
          <w:tcPr>
            <w:tcW w:w="1384" w:type="dxa"/>
          </w:tcPr>
          <w:p w14:paraId="06A2E386" w14:textId="77777777" w:rsidR="00BB2F0A" w:rsidRPr="00835753" w:rsidRDefault="002F1302" w:rsidP="00BB2F0A">
            <w:pPr>
              <w:pStyle w:val="Applicationdirecte"/>
              <w:spacing w:before="60"/>
              <w:jc w:val="center"/>
            </w:pPr>
            <w:r w:rsidRPr="00835753">
              <w:t>EU 11a</w:t>
            </w:r>
          </w:p>
        </w:tc>
        <w:tc>
          <w:tcPr>
            <w:tcW w:w="7655" w:type="dxa"/>
          </w:tcPr>
          <w:p w14:paraId="31FF3D82" w14:textId="77777777" w:rsidR="00BB2F0A" w:rsidRPr="00835753" w:rsidRDefault="00BB2F0A" w:rsidP="00BB2F0A">
            <w:pPr>
              <w:spacing w:before="60" w:after="120"/>
              <w:jc w:val="both"/>
              <w:rPr>
                <w:rFonts w:ascii="Times New Roman" w:hAnsi="Times New Roman" w:cs="Times New Roman"/>
                <w:b/>
                <w:sz w:val="24"/>
              </w:rPr>
            </w:pPr>
            <w:r w:rsidRPr="00835753">
              <w:rPr>
                <w:rFonts w:ascii="Times New Roman" w:hAnsi="Times New Roman"/>
                <w:b/>
                <w:sz w:val="24"/>
              </w:rPr>
              <w:t>Współczynnik łącznego wymogu kapitałowego (OCR) (%)</w:t>
            </w:r>
          </w:p>
          <w:p w14:paraId="27E7760D" w14:textId="77777777" w:rsidR="003F72E2" w:rsidRPr="00835753" w:rsidRDefault="003F72E2" w:rsidP="00702A38">
            <w:pPr>
              <w:pStyle w:val="InstructionsText"/>
            </w:pPr>
            <w:r w:rsidRPr="00835753">
              <w:t>Suma następujących ppkt (i) oraz (ii):</w:t>
            </w:r>
          </w:p>
          <w:p w14:paraId="75A891AF" w14:textId="11DF7D26" w:rsidR="003F72E2" w:rsidRPr="00835753" w:rsidRDefault="003F72E2" w:rsidP="00702A38">
            <w:pPr>
              <w:pStyle w:val="InstructionsText"/>
              <w:numPr>
                <w:ilvl w:val="0"/>
                <w:numId w:val="12"/>
              </w:numPr>
            </w:pPr>
            <w:proofErr w:type="gramStart"/>
            <w:r w:rsidRPr="00835753">
              <w:t>współczynnika</w:t>
            </w:r>
            <w:proofErr w:type="gramEnd"/>
            <w:r w:rsidRPr="00835753">
              <w:t xml:space="preserve"> TSCR,</w:t>
            </w:r>
            <w:r w:rsidR="00835753" w:rsidRPr="00835753">
              <w:t xml:space="preserve"> o</w:t>
            </w:r>
            <w:r w:rsidR="00835753">
              <w:t> </w:t>
            </w:r>
            <w:r w:rsidR="00835753" w:rsidRPr="00835753">
              <w:t>któ</w:t>
            </w:r>
            <w:r w:rsidRPr="00835753">
              <w:t>rym mowa</w:t>
            </w:r>
            <w:r w:rsidR="00835753" w:rsidRPr="00835753">
              <w:t xml:space="preserve"> w</w:t>
            </w:r>
            <w:r w:rsidR="00835753">
              <w:t> </w:t>
            </w:r>
            <w:r w:rsidR="00835753" w:rsidRPr="00835753">
              <w:t>wie</w:t>
            </w:r>
            <w:r w:rsidRPr="00835753">
              <w:t>rszu EU 7d;</w:t>
            </w:r>
          </w:p>
          <w:p w14:paraId="5EE9D2EB" w14:textId="38877EC8" w:rsidR="003F72E2" w:rsidRPr="00835753" w:rsidRDefault="003F72E2" w:rsidP="00702A38">
            <w:pPr>
              <w:pStyle w:val="InstructionsText"/>
              <w:numPr>
                <w:ilvl w:val="0"/>
                <w:numId w:val="12"/>
              </w:numPr>
            </w:pPr>
            <w:proofErr w:type="gramStart"/>
            <w:r w:rsidRPr="00835753">
              <w:t>współczynnika</w:t>
            </w:r>
            <w:proofErr w:type="gramEnd"/>
            <w:r w:rsidRPr="00835753">
              <w:t xml:space="preserve"> wymogu połączonego bufora,</w:t>
            </w:r>
            <w:r w:rsidR="00835753" w:rsidRPr="00835753">
              <w:t xml:space="preserve"> o</w:t>
            </w:r>
            <w:r w:rsidR="00835753">
              <w:t> </w:t>
            </w:r>
            <w:r w:rsidR="00835753" w:rsidRPr="00835753">
              <w:t>któ</w:t>
            </w:r>
            <w:r w:rsidRPr="00835753">
              <w:t>rym mowa</w:t>
            </w:r>
            <w:r w:rsidR="00835753" w:rsidRPr="00835753">
              <w:t xml:space="preserve"> w</w:t>
            </w:r>
            <w:r w:rsidR="00835753">
              <w:t> </w:t>
            </w:r>
            <w:r w:rsidR="00835753" w:rsidRPr="00835753">
              <w:t>art</w:t>
            </w:r>
            <w:r w:rsidRPr="00835753">
              <w:t>.</w:t>
            </w:r>
            <w:r w:rsidR="00835753" w:rsidRPr="00835753">
              <w:t> </w:t>
            </w:r>
            <w:r w:rsidRPr="00835753">
              <w:t>128 pkt</w:t>
            </w:r>
            <w:r w:rsidR="00835753" w:rsidRPr="00835753">
              <w:t> </w:t>
            </w:r>
            <w:r w:rsidRPr="00835753">
              <w:t>6 CRD –</w:t>
            </w:r>
            <w:r w:rsidR="00835753" w:rsidRPr="00835753">
              <w:t xml:space="preserve"> w</w:t>
            </w:r>
            <w:r w:rsidR="00835753">
              <w:t> </w:t>
            </w:r>
            <w:r w:rsidR="00835753" w:rsidRPr="00835753">
              <w:t>zak</w:t>
            </w:r>
            <w:r w:rsidRPr="00835753">
              <w:t>resie,</w:t>
            </w:r>
            <w:r w:rsidR="00835753" w:rsidRPr="00835753">
              <w:t xml:space="preserve"> w</w:t>
            </w:r>
            <w:r w:rsidR="00835753">
              <w:t> </w:t>
            </w:r>
            <w:r w:rsidR="00835753" w:rsidRPr="00835753">
              <w:t>jak</w:t>
            </w:r>
            <w:r w:rsidRPr="00835753">
              <w:t>im ma on zastosowanie zgodnie</w:t>
            </w:r>
            <w:r w:rsidR="00835753" w:rsidRPr="00835753">
              <w:t xml:space="preserve"> z</w:t>
            </w:r>
            <w:r w:rsidR="00835753">
              <w:t> </w:t>
            </w:r>
            <w:r w:rsidR="00835753" w:rsidRPr="00835753">
              <w:t>prz</w:t>
            </w:r>
            <w:r w:rsidRPr="00835753">
              <w:t>episami prawa.</w:t>
            </w:r>
          </w:p>
          <w:p w14:paraId="4B4D7463" w14:textId="0584C985" w:rsidR="003F72E2" w:rsidRPr="00835753" w:rsidRDefault="003F72E2" w:rsidP="00702A38">
            <w:pPr>
              <w:pStyle w:val="InstructionsText"/>
            </w:pPr>
            <w:r w:rsidRPr="00835753">
              <w:t>Pozycja ta musi odzwierciedlać współczynnik łącznego wymogu kapitałowego (OCR), jak określono</w:t>
            </w:r>
            <w:r w:rsidR="00835753" w:rsidRPr="00835753">
              <w:t xml:space="preserve"> w</w:t>
            </w:r>
            <w:r w:rsidR="00835753">
              <w:t> </w:t>
            </w:r>
            <w:r w:rsidR="00835753" w:rsidRPr="00835753">
              <w:t>sek</w:t>
            </w:r>
            <w:r w:rsidRPr="00835753">
              <w:t>cji 1.2 EBA SREP GL.</w:t>
            </w:r>
          </w:p>
          <w:p w14:paraId="7576CCD5" w14:textId="3053AD89" w:rsidR="003F72E2" w:rsidRPr="00835753" w:rsidRDefault="00704085" w:rsidP="003F72E2">
            <w:pPr>
              <w:spacing w:before="60" w:after="120"/>
              <w:jc w:val="both"/>
              <w:rPr>
                <w:rFonts w:ascii="Times New Roman" w:hAnsi="Times New Roman" w:cs="Times New Roman"/>
                <w:sz w:val="24"/>
              </w:rPr>
            </w:pPr>
            <w:r w:rsidRPr="00835753">
              <w:rPr>
                <w:rFonts w:ascii="Times New Roman" w:hAnsi="Times New Roman"/>
                <w:sz w:val="24"/>
              </w:rPr>
              <w:t>Jeżeli nie ma zastosowania żaden wymóg</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bufora, ujawnia się tylko ppkt (i).</w:t>
            </w:r>
          </w:p>
        </w:tc>
      </w:tr>
      <w:tr w:rsidR="00BB2F0A" w:rsidRPr="00835753" w14:paraId="0C274874" w14:textId="77777777" w:rsidTr="00B2180A">
        <w:trPr>
          <w:trHeight w:val="557"/>
        </w:trPr>
        <w:tc>
          <w:tcPr>
            <w:tcW w:w="1384" w:type="dxa"/>
          </w:tcPr>
          <w:p w14:paraId="479D77DC" w14:textId="77777777" w:rsidR="00BB2F0A" w:rsidRPr="00835753" w:rsidRDefault="00BB2F0A" w:rsidP="00BB2F0A">
            <w:pPr>
              <w:pStyle w:val="Applicationdirecte"/>
              <w:spacing w:before="60"/>
              <w:jc w:val="center"/>
            </w:pPr>
            <w:r w:rsidRPr="00835753">
              <w:t>12</w:t>
            </w:r>
          </w:p>
        </w:tc>
        <w:tc>
          <w:tcPr>
            <w:tcW w:w="7655" w:type="dxa"/>
          </w:tcPr>
          <w:p w14:paraId="7F0C0BA2" w14:textId="400D81F0" w:rsidR="009947D6" w:rsidRPr="00835753" w:rsidRDefault="00BB2F0A" w:rsidP="00BB2F0A">
            <w:pPr>
              <w:spacing w:before="60" w:after="120"/>
              <w:jc w:val="both"/>
              <w:rPr>
                <w:rFonts w:ascii="Times New Roman" w:hAnsi="Times New Roman" w:cs="Times New Roman"/>
                <w:b/>
                <w:sz w:val="24"/>
              </w:rPr>
            </w:pPr>
            <w:r w:rsidRPr="00835753">
              <w:rPr>
                <w:rFonts w:ascii="Times New Roman" w:hAnsi="Times New Roman"/>
                <w:b/>
                <w:sz w:val="24"/>
              </w:rPr>
              <w:t>Kapitał podstawowy Tier I dostępny po spełnieniu łącznych wymogów</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funduszy własnych SREP (%)</w:t>
            </w:r>
          </w:p>
        </w:tc>
      </w:tr>
      <w:tr w:rsidR="00BB2F0A" w:rsidRPr="00835753" w14:paraId="49BB5E23" w14:textId="77777777" w:rsidTr="00B2180A">
        <w:trPr>
          <w:trHeight w:val="557"/>
        </w:trPr>
        <w:tc>
          <w:tcPr>
            <w:tcW w:w="1384" w:type="dxa"/>
          </w:tcPr>
          <w:p w14:paraId="5A1354B1" w14:textId="77777777" w:rsidR="00BB2F0A" w:rsidRPr="00835753" w:rsidRDefault="00BB2F0A" w:rsidP="00BB2F0A">
            <w:pPr>
              <w:pStyle w:val="Applicationdirecte"/>
              <w:spacing w:before="60"/>
              <w:jc w:val="center"/>
            </w:pPr>
            <w:r w:rsidRPr="00835753">
              <w:t>13</w:t>
            </w:r>
          </w:p>
        </w:tc>
        <w:tc>
          <w:tcPr>
            <w:tcW w:w="7655" w:type="dxa"/>
          </w:tcPr>
          <w:p w14:paraId="32A5003D" w14:textId="06248F32" w:rsidR="00BB2F0A" w:rsidRPr="00835753" w:rsidRDefault="002E24A1" w:rsidP="00BB2F0A">
            <w:pPr>
              <w:spacing w:before="60" w:after="120"/>
              <w:jc w:val="both"/>
              <w:rPr>
                <w:rFonts w:ascii="Times New Roman" w:hAnsi="Times New Roman" w:cs="Times New Roman"/>
                <w:b/>
                <w:sz w:val="24"/>
              </w:rPr>
            </w:pPr>
            <w:r w:rsidRPr="00835753">
              <w:rPr>
                <w:rFonts w:ascii="Times New Roman" w:hAnsi="Times New Roman"/>
                <w:b/>
                <w:sz w:val="24"/>
              </w:rPr>
              <w:t>Miara ekspozycji całkowitej</w:t>
            </w:r>
          </w:p>
          <w:p w14:paraId="7F06FA40" w14:textId="0591864E" w:rsidR="00BB2F0A" w:rsidRPr="00835753" w:rsidRDefault="00A239F6" w:rsidP="00A239F6">
            <w:pPr>
              <w:spacing w:before="60" w:after="120"/>
              <w:jc w:val="both"/>
              <w:rPr>
                <w:rFonts w:ascii="Times New Roman" w:hAnsi="Times New Roman" w:cs="Times New Roman"/>
                <w:sz w:val="24"/>
              </w:rPr>
            </w:pPr>
            <w:r w:rsidRPr="00835753">
              <w:rPr>
                <w:rFonts w:ascii="Times New Roman" w:hAnsi="Times New Roman"/>
                <w:sz w:val="24"/>
              </w:rPr>
              <w:t>Miara ekspozycji całkowitej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kwo</w:t>
            </w:r>
            <w:r w:rsidRPr="00835753">
              <w:rPr>
                <w:rFonts w:ascii="Times New Roman" w:hAnsi="Times New Roman"/>
                <w:sz w:val="24"/>
              </w:rPr>
              <w:t>tą ujawnianą przez instytucje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XI do niniejszego rozporządzenia wykonawczego (wiersz 24 wzoru EU LR2 – LRCom: Wspólne ujawnianie wskaźnika dźwigni)</w:t>
            </w:r>
          </w:p>
        </w:tc>
      </w:tr>
      <w:tr w:rsidR="00BB2F0A" w:rsidRPr="00835753" w14:paraId="196409C3" w14:textId="77777777" w:rsidTr="00B2180A">
        <w:trPr>
          <w:trHeight w:val="557"/>
        </w:trPr>
        <w:tc>
          <w:tcPr>
            <w:tcW w:w="1384" w:type="dxa"/>
          </w:tcPr>
          <w:p w14:paraId="34174C57" w14:textId="77777777" w:rsidR="00BB2F0A" w:rsidRPr="00835753" w:rsidRDefault="00BB2F0A" w:rsidP="00BB2F0A">
            <w:pPr>
              <w:pStyle w:val="Applicationdirecte"/>
              <w:spacing w:before="60"/>
              <w:jc w:val="center"/>
            </w:pPr>
            <w:r w:rsidRPr="00835753">
              <w:t>14</w:t>
            </w:r>
          </w:p>
        </w:tc>
        <w:tc>
          <w:tcPr>
            <w:tcW w:w="7655" w:type="dxa"/>
          </w:tcPr>
          <w:p w14:paraId="7CD88775" w14:textId="77777777" w:rsidR="00BB2F0A" w:rsidRPr="00835753" w:rsidRDefault="00BB2F0A" w:rsidP="00BB2F0A">
            <w:pPr>
              <w:spacing w:before="60" w:after="120"/>
              <w:jc w:val="both"/>
              <w:rPr>
                <w:rFonts w:ascii="Times New Roman" w:hAnsi="Times New Roman" w:cs="Times New Roman"/>
                <w:b/>
                <w:sz w:val="24"/>
              </w:rPr>
            </w:pPr>
            <w:r w:rsidRPr="00835753">
              <w:rPr>
                <w:rFonts w:ascii="Times New Roman" w:hAnsi="Times New Roman"/>
                <w:b/>
                <w:sz w:val="24"/>
              </w:rPr>
              <w:t>Wskaźnik dźwigni (%)</w:t>
            </w:r>
          </w:p>
          <w:p w14:paraId="19D19C40" w14:textId="706D9B9E" w:rsidR="00BB2F0A" w:rsidRPr="00835753" w:rsidRDefault="00BB2F0A" w:rsidP="00416DAD">
            <w:pPr>
              <w:spacing w:before="60" w:after="120"/>
              <w:jc w:val="both"/>
              <w:rPr>
                <w:rFonts w:ascii="Times New Roman" w:hAnsi="Times New Roman" w:cs="Times New Roman"/>
                <w:color w:val="FF0000"/>
                <w:sz w:val="24"/>
              </w:rPr>
            </w:pPr>
            <w:r w:rsidRPr="00835753">
              <w:rPr>
                <w:rFonts w:ascii="Times New Roman" w:hAnsi="Times New Roman"/>
                <w:sz w:val="24"/>
              </w:rPr>
              <w:t>Wskaźnik dźwigni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tością ujawnianą przez instytucje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XI do niniejszego rozporządzenia wykonawczego (wiersz 25 wzoru EU LR2 – LRCom: Wspólne ujawnianie wskaźnika dźwigni)</w:t>
            </w:r>
          </w:p>
        </w:tc>
      </w:tr>
      <w:tr w:rsidR="00505188" w:rsidRPr="00835753" w14:paraId="4B0B4246" w14:textId="77777777" w:rsidTr="001C2D18">
        <w:trPr>
          <w:trHeight w:val="557"/>
        </w:trPr>
        <w:tc>
          <w:tcPr>
            <w:tcW w:w="1384" w:type="dxa"/>
          </w:tcPr>
          <w:p w14:paraId="2DD72E65" w14:textId="373D5569" w:rsidR="00505188" w:rsidRPr="00835753" w:rsidRDefault="00505188" w:rsidP="00275B5E">
            <w:pPr>
              <w:pStyle w:val="Applicationdirecte"/>
              <w:spacing w:before="60"/>
              <w:jc w:val="center"/>
            </w:pPr>
            <w:r w:rsidRPr="00835753">
              <w:t>EU 14a</w:t>
            </w:r>
          </w:p>
        </w:tc>
        <w:tc>
          <w:tcPr>
            <w:tcW w:w="7655" w:type="dxa"/>
          </w:tcPr>
          <w:p w14:paraId="331BA724" w14:textId="57B833A2" w:rsidR="00505188" w:rsidRPr="00835753" w:rsidRDefault="00505188" w:rsidP="001C2D18">
            <w:pPr>
              <w:spacing w:before="60" w:after="120"/>
              <w:jc w:val="both"/>
              <w:rPr>
                <w:rFonts w:ascii="Times New Roman" w:hAnsi="Times New Roman" w:cs="Times New Roman"/>
                <w:b/>
                <w:sz w:val="24"/>
              </w:rPr>
            </w:pPr>
            <w:r w:rsidRPr="00835753">
              <w:rPr>
                <w:rFonts w:ascii="Times New Roman" w:hAnsi="Times New Roman"/>
                <w:b/>
                <w:sz w:val="24"/>
              </w:rPr>
              <w:t>Dodatkowe wymogi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funduszy własnych</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cel</w:t>
            </w:r>
            <w:r w:rsidRPr="00835753">
              <w:rPr>
                <w:rFonts w:ascii="Times New Roman" w:hAnsi="Times New Roman"/>
                <w:b/>
                <w:sz w:val="24"/>
              </w:rPr>
              <w:t xml:space="preserve">u uwzględnienia ryzyka nadmiernej dźwigni finansowej (%) </w:t>
            </w:r>
          </w:p>
          <w:p w14:paraId="4884A9B8" w14:textId="13C0E82F" w:rsidR="00597D20" w:rsidRPr="00835753" w:rsidRDefault="00597D20" w:rsidP="00597D20">
            <w:pPr>
              <w:spacing w:before="60" w:after="120"/>
              <w:jc w:val="both"/>
              <w:rPr>
                <w:rFonts w:ascii="Times New Roman" w:eastAsia="Book Antiqua" w:hAnsi="Times New Roman" w:cs="Times New Roman"/>
                <w:bCs/>
                <w:color w:val="000000"/>
                <w:sz w:val="24"/>
                <w:shd w:val="clear" w:color="auto" w:fill="FFFFFF"/>
              </w:rPr>
            </w:pPr>
            <w:r w:rsidRPr="00835753">
              <w:rPr>
                <w:rFonts w:ascii="Times New Roman" w:hAnsi="Times New Roman"/>
                <w:bCs/>
                <w:color w:val="000000"/>
                <w:sz w:val="24"/>
                <w:shd w:val="clear" w:color="auto" w:fill="FFFFFF"/>
              </w:rPr>
              <w:lastRenderedPageBreak/>
              <w:t>Dodatkowe</w:t>
            </w:r>
            <w:r w:rsidRPr="00835753">
              <w:rPr>
                <w:rFonts w:ascii="Times New Roman" w:hAnsi="Times New Roman"/>
                <w:sz w:val="24"/>
              </w:rPr>
              <w:t xml:space="preserve"> 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 xml:space="preserve">resie </w:t>
            </w:r>
            <w:r w:rsidRPr="00835753">
              <w:rPr>
                <w:rFonts w:ascii="Times New Roman" w:hAnsi="Times New Roman"/>
                <w:bCs/>
                <w:color w:val="000000"/>
                <w:sz w:val="24"/>
                <w:shd w:val="clear" w:color="auto" w:fill="FFFFFF"/>
              </w:rPr>
              <w:t>funduszy własnych</w:t>
            </w:r>
            <w:r w:rsidR="00835753" w:rsidRPr="00835753">
              <w:rPr>
                <w:rFonts w:ascii="Times New Roman" w:hAnsi="Times New Roman"/>
                <w:sz w:val="24"/>
              </w:rPr>
              <w:t xml:space="preserve"> </w:t>
            </w:r>
            <w:r w:rsidR="00835753" w:rsidRPr="00835753">
              <w:rPr>
                <w:rFonts w:ascii="Times New Roman" w:hAnsi="Times New Roman"/>
                <w:bCs/>
                <w:color w:val="000000"/>
                <w:sz w:val="24"/>
                <w:shd w:val="clear" w:color="auto" w:fill="FFFFFF"/>
              </w:rPr>
              <w:t>w</w:t>
            </w:r>
            <w:r w:rsidR="00835753">
              <w:rPr>
                <w:rFonts w:ascii="Times New Roman" w:hAnsi="Times New Roman"/>
                <w:sz w:val="24"/>
              </w:rPr>
              <w:t> </w:t>
            </w:r>
            <w:r w:rsidR="00835753" w:rsidRPr="00835753">
              <w:rPr>
                <w:rFonts w:ascii="Times New Roman" w:hAnsi="Times New Roman"/>
                <w:bCs/>
                <w:color w:val="000000"/>
                <w:sz w:val="24"/>
                <w:shd w:val="clear" w:color="auto" w:fill="FFFFFF"/>
              </w:rPr>
              <w:t>cel</w:t>
            </w:r>
            <w:r w:rsidRPr="00835753">
              <w:rPr>
                <w:rFonts w:ascii="Times New Roman" w:hAnsi="Times New Roman"/>
                <w:bCs/>
                <w:color w:val="000000"/>
                <w:sz w:val="24"/>
                <w:shd w:val="clear" w:color="auto" w:fill="FFFFFF"/>
              </w:rPr>
              <w:t xml:space="preserve">u uwzględnienia ryzyka nadmiernej dźwigni </w:t>
            </w:r>
            <w:r w:rsidRPr="00835753">
              <w:rPr>
                <w:rFonts w:ascii="Times New Roman" w:hAnsi="Times New Roman"/>
                <w:sz w:val="24"/>
              </w:rPr>
              <w:t>nakładane przez właściwy organ na podstawie art.</w:t>
            </w:r>
            <w:r w:rsidR="00835753" w:rsidRPr="00835753">
              <w:rPr>
                <w:rFonts w:ascii="Times New Roman" w:hAnsi="Times New Roman"/>
                <w:sz w:val="24"/>
              </w:rPr>
              <w:t> </w:t>
            </w:r>
            <w:r w:rsidRPr="00835753">
              <w:rPr>
                <w:rFonts w:ascii="Times New Roman" w:hAnsi="Times New Roman"/>
                <w:sz w:val="24"/>
              </w:rPr>
              <w:t>104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CRD</w:t>
            </w:r>
            <w:r w:rsidRPr="00835753">
              <w:rPr>
                <w:rFonts w:ascii="Times New Roman" w:hAnsi="Times New Roman"/>
                <w:bCs/>
                <w:color w:val="000000"/>
                <w:sz w:val="24"/>
                <w:shd w:val="clear" w:color="auto" w:fill="FFFFFF"/>
              </w:rPr>
              <w:t xml:space="preserve">, wyrażone jako odsetek miary ekspozycji całkowitej. </w:t>
            </w:r>
          </w:p>
          <w:p w14:paraId="46E7F0BC" w14:textId="02ED54A3" w:rsidR="000C1BEC" w:rsidRPr="00835753" w:rsidRDefault="00597D20" w:rsidP="00597D20">
            <w:pPr>
              <w:spacing w:before="60" w:after="120"/>
              <w:jc w:val="both"/>
              <w:rPr>
                <w:rFonts w:ascii="Times New Roman" w:hAnsi="Times New Roman" w:cs="Times New Roman"/>
                <w:sz w:val="24"/>
              </w:rPr>
            </w:pPr>
            <w:r w:rsidRPr="00835753">
              <w:rPr>
                <w:rFonts w:ascii="Times New Roman" w:hAnsi="Times New Roman"/>
                <w:sz w:val="24"/>
              </w:rPr>
              <w:t>Dodatkowe 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tością ujawnianą przez instytucje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XI do niniejszego rozporządzenia wykonawczego (wiersz EU-26a wzoru EU LR2 – LRCom: Wspólne ujawnianie wskaźnika dźwigni).</w:t>
            </w:r>
          </w:p>
        </w:tc>
      </w:tr>
      <w:tr w:rsidR="00505188" w:rsidRPr="00835753" w14:paraId="36EBE00D" w14:textId="77777777" w:rsidTr="001C2D18">
        <w:trPr>
          <w:trHeight w:val="557"/>
        </w:trPr>
        <w:tc>
          <w:tcPr>
            <w:tcW w:w="1384" w:type="dxa"/>
          </w:tcPr>
          <w:p w14:paraId="09FA5971" w14:textId="32273074" w:rsidR="00505188" w:rsidRPr="00835753" w:rsidRDefault="00505188" w:rsidP="00597D20">
            <w:pPr>
              <w:pStyle w:val="Applicationdirecte"/>
              <w:spacing w:before="60"/>
              <w:jc w:val="center"/>
            </w:pPr>
            <w:r w:rsidRPr="00835753">
              <w:lastRenderedPageBreak/>
              <w:t>EU 14b</w:t>
            </w:r>
          </w:p>
        </w:tc>
        <w:tc>
          <w:tcPr>
            <w:tcW w:w="7655" w:type="dxa"/>
          </w:tcPr>
          <w:p w14:paraId="2B7D35CB" w14:textId="5C222559" w:rsidR="00381E59" w:rsidRPr="00835753" w:rsidRDefault="002B7ED3" w:rsidP="00597D20">
            <w:pPr>
              <w:spacing w:before="60" w:after="120"/>
              <w:jc w:val="both"/>
              <w:rPr>
                <w:rFonts w:ascii="Times New Roman" w:hAnsi="Times New Roman" w:cs="Times New Roman"/>
                <w:b/>
                <w:sz w:val="24"/>
              </w:rPr>
            </w:pPr>
            <w:r w:rsidRPr="00835753">
              <w:rPr>
                <w:rFonts w:ascii="Times New Roman" w:hAnsi="Times New Roman"/>
                <w:sz w:val="24"/>
              </w:rPr>
              <w:t xml:space="preserve">  </w:t>
            </w:r>
            <w:r w:rsidRPr="00835753">
              <w:rPr>
                <w:rFonts w:ascii="Times New Roman" w:hAnsi="Times New Roman"/>
                <w:b/>
                <w:sz w:val="24"/>
              </w:rPr>
              <w:t>W tym: obejmujące kapitał podstawowy Tier I (punkty procentowe)</w:t>
            </w:r>
          </w:p>
          <w:p w14:paraId="4E1932EC" w14:textId="03450127" w:rsidR="00597D20" w:rsidRPr="00835753" w:rsidRDefault="00597D20" w:rsidP="00597D20">
            <w:pPr>
              <w:spacing w:before="60" w:after="120"/>
              <w:jc w:val="both"/>
              <w:rPr>
                <w:rFonts w:ascii="Times New Roman" w:eastAsia="Book Antiqua" w:hAnsi="Times New Roman" w:cs="Times New Roman"/>
                <w:bCs/>
                <w:color w:val="000000"/>
                <w:sz w:val="24"/>
                <w:shd w:val="clear" w:color="auto" w:fill="FFFFFF"/>
              </w:rPr>
            </w:pPr>
            <w:r w:rsidRPr="00835753">
              <w:rPr>
                <w:rFonts w:ascii="Times New Roman" w:hAnsi="Times New Roman"/>
                <w:bCs/>
                <w:color w:val="000000"/>
                <w:sz w:val="24"/>
                <w:shd w:val="clear" w:color="auto" w:fill="FFFFFF"/>
              </w:rPr>
              <w:t>Część dodatkowych</w:t>
            </w:r>
            <w:r w:rsidRPr="00835753">
              <w:rPr>
                <w:rFonts w:ascii="Times New Roman" w:hAnsi="Times New Roman"/>
                <w:sz w:val="24"/>
              </w:rPr>
              <w:t xml:space="preserve">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w:t>
            </w:r>
            <w:r w:rsidR="00835753" w:rsidRPr="00835753">
              <w:rPr>
                <w:rFonts w:ascii="Times New Roman" w:hAnsi="Times New Roman"/>
                <w:bCs/>
                <w:color w:val="000000"/>
                <w:sz w:val="24"/>
                <w:shd w:val="clear" w:color="auto" w:fill="FFFFFF"/>
              </w:rPr>
              <w:t>w</w:t>
            </w:r>
            <w:r w:rsidR="00835753">
              <w:rPr>
                <w:rFonts w:ascii="Times New Roman" w:hAnsi="Times New Roman"/>
                <w:sz w:val="24"/>
              </w:rPr>
              <w:t> </w:t>
            </w:r>
            <w:r w:rsidR="00835753" w:rsidRPr="00835753">
              <w:rPr>
                <w:rFonts w:ascii="Times New Roman" w:hAnsi="Times New Roman"/>
                <w:bCs/>
                <w:color w:val="000000"/>
                <w:sz w:val="24"/>
                <w:shd w:val="clear" w:color="auto" w:fill="FFFFFF"/>
              </w:rPr>
              <w:t>cel</w:t>
            </w:r>
            <w:r w:rsidRPr="00835753">
              <w:rPr>
                <w:rFonts w:ascii="Times New Roman" w:hAnsi="Times New Roman"/>
                <w:bCs/>
                <w:color w:val="000000"/>
                <w:sz w:val="24"/>
                <w:shd w:val="clear" w:color="auto" w:fill="FFFFFF"/>
              </w:rPr>
              <w:t xml:space="preserve">u uwzględnienia ryzyka nadmiernej dźwigni </w:t>
            </w:r>
            <w:r w:rsidRPr="00835753">
              <w:rPr>
                <w:rFonts w:ascii="Times New Roman" w:hAnsi="Times New Roman"/>
                <w:sz w:val="24"/>
              </w:rPr>
              <w:t>nakładanych przez właściwy organ na podstawie art.</w:t>
            </w:r>
            <w:r w:rsidR="00835753" w:rsidRPr="00835753">
              <w:rPr>
                <w:rFonts w:ascii="Times New Roman" w:hAnsi="Times New Roman"/>
                <w:sz w:val="24"/>
              </w:rPr>
              <w:t> </w:t>
            </w:r>
            <w:r w:rsidRPr="00835753">
              <w:rPr>
                <w:rFonts w:ascii="Times New Roman" w:hAnsi="Times New Roman"/>
                <w:sz w:val="24"/>
              </w:rPr>
              <w:t>104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CRD,</w:t>
            </w:r>
            <w:r w:rsidRPr="00835753">
              <w:rPr>
                <w:rFonts w:ascii="Times New Roman" w:hAnsi="Times New Roman"/>
                <w:bCs/>
                <w:color w:val="000000"/>
                <w:sz w:val="24"/>
                <w:shd w:val="clear" w:color="auto" w:fill="FFFFFF"/>
              </w:rPr>
              <w:t xml:space="preserve"> która to część wymogów musi być spełniona</w:t>
            </w:r>
            <w:r w:rsidR="00835753" w:rsidRPr="00835753">
              <w:rPr>
                <w:rFonts w:ascii="Times New Roman" w:hAnsi="Times New Roman"/>
                <w:bCs/>
                <w:color w:val="000000"/>
                <w:sz w:val="24"/>
                <w:shd w:val="clear" w:color="auto" w:fill="FFFFFF"/>
              </w:rPr>
              <w:t xml:space="preserve"> z</w:t>
            </w:r>
            <w:r w:rsidR="00835753">
              <w:rPr>
                <w:rFonts w:ascii="Times New Roman" w:hAnsi="Times New Roman"/>
                <w:bCs/>
                <w:color w:val="000000"/>
                <w:sz w:val="24"/>
                <w:shd w:val="clear" w:color="auto" w:fill="FFFFFF"/>
              </w:rPr>
              <w:t> </w:t>
            </w:r>
            <w:r w:rsidR="00835753" w:rsidRPr="00835753">
              <w:rPr>
                <w:rFonts w:ascii="Times New Roman" w:hAnsi="Times New Roman"/>
                <w:bCs/>
                <w:color w:val="000000"/>
                <w:sz w:val="24"/>
                <w:shd w:val="clear" w:color="auto" w:fill="FFFFFF"/>
              </w:rPr>
              <w:t>wyk</w:t>
            </w:r>
            <w:r w:rsidRPr="00835753">
              <w:rPr>
                <w:rFonts w:ascii="Times New Roman" w:hAnsi="Times New Roman"/>
                <w:bCs/>
                <w:color w:val="000000"/>
                <w:sz w:val="24"/>
                <w:shd w:val="clear" w:color="auto" w:fill="FFFFFF"/>
              </w:rPr>
              <w:t>orzystaniem kapitału podstawowego Tier I zgodnie</w:t>
            </w:r>
            <w:r w:rsidR="00835753" w:rsidRPr="00835753">
              <w:rPr>
                <w:rFonts w:ascii="Times New Roman" w:hAnsi="Times New Roman"/>
                <w:bCs/>
                <w:color w:val="000000"/>
                <w:sz w:val="24"/>
                <w:shd w:val="clear" w:color="auto" w:fill="FFFFFF"/>
              </w:rPr>
              <w:t xml:space="preserve"> z</w:t>
            </w:r>
            <w:r w:rsidR="00835753">
              <w:rPr>
                <w:rFonts w:ascii="Times New Roman" w:hAnsi="Times New Roman"/>
                <w:bCs/>
                <w:color w:val="000000"/>
                <w:sz w:val="24"/>
                <w:shd w:val="clear" w:color="auto" w:fill="FFFFFF"/>
              </w:rPr>
              <w:t> </w:t>
            </w:r>
            <w:r w:rsidR="00835753" w:rsidRPr="00835753">
              <w:rPr>
                <w:rFonts w:ascii="Times New Roman" w:hAnsi="Times New Roman"/>
                <w:bCs/>
                <w:color w:val="000000"/>
                <w:sz w:val="24"/>
                <w:shd w:val="clear" w:color="auto" w:fill="FFFFFF"/>
              </w:rPr>
              <w:t>art</w:t>
            </w:r>
            <w:r w:rsidRPr="00835753">
              <w:rPr>
                <w:rFonts w:ascii="Times New Roman" w:hAnsi="Times New Roman"/>
                <w:bCs/>
                <w:color w:val="000000"/>
                <w:sz w:val="24"/>
                <w:shd w:val="clear" w:color="auto" w:fill="FFFFFF"/>
              </w:rPr>
              <w:t>.</w:t>
            </w:r>
            <w:r w:rsidR="00835753" w:rsidRPr="00835753">
              <w:rPr>
                <w:rFonts w:ascii="Times New Roman" w:hAnsi="Times New Roman"/>
                <w:bCs/>
                <w:color w:val="000000"/>
                <w:sz w:val="24"/>
                <w:shd w:val="clear" w:color="auto" w:fill="FFFFFF"/>
              </w:rPr>
              <w:t> </w:t>
            </w:r>
            <w:r w:rsidRPr="00835753">
              <w:rPr>
                <w:rFonts w:ascii="Times New Roman" w:hAnsi="Times New Roman"/>
                <w:bCs/>
                <w:color w:val="000000"/>
                <w:sz w:val="24"/>
                <w:shd w:val="clear" w:color="auto" w:fill="FFFFFF"/>
              </w:rPr>
              <w:t>104a ust.</w:t>
            </w:r>
            <w:r w:rsidR="00835753" w:rsidRPr="00835753">
              <w:rPr>
                <w:rFonts w:ascii="Times New Roman" w:hAnsi="Times New Roman"/>
                <w:bCs/>
                <w:color w:val="000000"/>
                <w:sz w:val="24"/>
                <w:shd w:val="clear" w:color="auto" w:fill="FFFFFF"/>
              </w:rPr>
              <w:t> </w:t>
            </w:r>
            <w:r w:rsidRPr="00835753">
              <w:rPr>
                <w:rFonts w:ascii="Times New Roman" w:hAnsi="Times New Roman"/>
                <w:bCs/>
                <w:color w:val="000000"/>
                <w:sz w:val="24"/>
                <w:shd w:val="clear" w:color="auto" w:fill="FFFFFF"/>
              </w:rPr>
              <w:t xml:space="preserve">4 akapit trzeci. </w:t>
            </w:r>
          </w:p>
          <w:p w14:paraId="68D46321" w14:textId="1EBD3FAE" w:rsidR="000C1BEC" w:rsidRPr="00835753" w:rsidRDefault="00597D20" w:rsidP="000C1BEC">
            <w:pPr>
              <w:spacing w:before="60" w:after="120"/>
              <w:jc w:val="both"/>
              <w:rPr>
                <w:rFonts w:ascii="Times New Roman" w:hAnsi="Times New Roman" w:cs="Times New Roman"/>
                <w:sz w:val="24"/>
              </w:rPr>
            </w:pPr>
            <w:r w:rsidRPr="00835753">
              <w:rPr>
                <w:rFonts w:ascii="Times New Roman" w:hAnsi="Times New Roman"/>
                <w:sz w:val="24"/>
              </w:rPr>
              <w:t>Dodatkowe 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tością ujawnianą przez instytucje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XI do niniejszego rozporządzenia wykonawczego (wiersz EU-26b wzoru EU LR2 – LRCom: Wspólne ujawnianie wskaźnika dźwigni).</w:t>
            </w:r>
          </w:p>
        </w:tc>
      </w:tr>
      <w:tr w:rsidR="00505188" w:rsidRPr="00835753" w14:paraId="2D7EE809" w14:textId="77777777" w:rsidTr="001C2D18">
        <w:trPr>
          <w:trHeight w:val="557"/>
        </w:trPr>
        <w:tc>
          <w:tcPr>
            <w:tcW w:w="1384" w:type="dxa"/>
          </w:tcPr>
          <w:p w14:paraId="649507C9" w14:textId="0BF1E1F1" w:rsidR="00505188" w:rsidRPr="00835753" w:rsidRDefault="00505188" w:rsidP="00597D20">
            <w:pPr>
              <w:pStyle w:val="Applicationdirecte"/>
              <w:spacing w:before="60"/>
              <w:jc w:val="center"/>
            </w:pPr>
            <w:r w:rsidRPr="00835753">
              <w:t>EU 14c</w:t>
            </w:r>
          </w:p>
        </w:tc>
        <w:tc>
          <w:tcPr>
            <w:tcW w:w="7655" w:type="dxa"/>
          </w:tcPr>
          <w:p w14:paraId="4458837C" w14:textId="7B387B1F" w:rsidR="00505188" w:rsidRPr="00835753" w:rsidRDefault="00505188" w:rsidP="001C2D18">
            <w:pPr>
              <w:spacing w:before="60" w:after="120"/>
              <w:jc w:val="both"/>
              <w:rPr>
                <w:rFonts w:ascii="Times New Roman" w:hAnsi="Times New Roman" w:cs="Times New Roman"/>
                <w:b/>
                <w:sz w:val="24"/>
              </w:rPr>
            </w:pPr>
            <w:r w:rsidRPr="00835753">
              <w:rPr>
                <w:rFonts w:ascii="Times New Roman" w:hAnsi="Times New Roman"/>
                <w:b/>
                <w:sz w:val="24"/>
              </w:rPr>
              <w:t>Łączne wymogi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wskaźnika dźwigni SREP (%)</w:t>
            </w:r>
          </w:p>
          <w:p w14:paraId="12B9013E" w14:textId="77777777" w:rsidR="00505188" w:rsidRPr="00835753" w:rsidRDefault="00505188" w:rsidP="00702A38">
            <w:pPr>
              <w:pStyle w:val="InstructionsText"/>
            </w:pPr>
            <w:r w:rsidRPr="00835753">
              <w:t>Suma następujących ppkt (i) oraz (ii):</w:t>
            </w:r>
          </w:p>
          <w:p w14:paraId="5E716F27" w14:textId="1E635535" w:rsidR="00505188" w:rsidRPr="00835753" w:rsidRDefault="00505188" w:rsidP="00E70D84">
            <w:pPr>
              <w:pStyle w:val="InstructionsText"/>
              <w:numPr>
                <w:ilvl w:val="0"/>
                <w:numId w:val="14"/>
              </w:numPr>
            </w:pPr>
            <w:proofErr w:type="gramStart"/>
            <w:r w:rsidRPr="00835753">
              <w:t>minimalny</w:t>
            </w:r>
            <w:proofErr w:type="gramEnd"/>
            <w:r w:rsidRPr="00835753">
              <w:t xml:space="preserve"> wymóg dotyczący wskaźnika dźwigni określony</w:t>
            </w:r>
            <w:r w:rsidR="00835753" w:rsidRPr="00835753">
              <w:t xml:space="preserve"> w</w:t>
            </w:r>
            <w:r w:rsidR="00835753">
              <w:t> </w:t>
            </w:r>
            <w:r w:rsidR="00835753" w:rsidRPr="00835753">
              <w:t>art</w:t>
            </w:r>
            <w:r w:rsidRPr="00835753">
              <w:t>.</w:t>
            </w:r>
            <w:r w:rsidR="00835753" w:rsidRPr="00835753">
              <w:t> </w:t>
            </w:r>
            <w:r w:rsidRPr="00835753">
              <w:t>92 ust.</w:t>
            </w:r>
            <w:r w:rsidR="00835753" w:rsidRPr="00835753">
              <w:t> </w:t>
            </w:r>
            <w:r w:rsidRPr="00835753">
              <w:t>1 lit.</w:t>
            </w:r>
            <w:r w:rsidR="00835753" w:rsidRPr="00835753">
              <w:t> </w:t>
            </w:r>
            <w:r w:rsidRPr="00835753">
              <w:t>d) CRR lub skorygowany wymóg dotyczący wskaźnika dźwigni obliczany zgodnie</w:t>
            </w:r>
            <w:r w:rsidR="00835753" w:rsidRPr="00835753">
              <w:t xml:space="preserve"> z</w:t>
            </w:r>
            <w:r w:rsidR="00835753">
              <w:t> </w:t>
            </w:r>
            <w:r w:rsidR="00835753" w:rsidRPr="00835753">
              <w:t>art</w:t>
            </w:r>
            <w:r w:rsidRPr="00835753">
              <w:t>.</w:t>
            </w:r>
            <w:r w:rsidR="00835753" w:rsidRPr="00835753">
              <w:t> </w:t>
            </w:r>
            <w:r w:rsidRPr="00835753">
              <w:t>429a ust.</w:t>
            </w:r>
            <w:r w:rsidR="00835753" w:rsidRPr="00835753">
              <w:t> </w:t>
            </w:r>
            <w:r w:rsidRPr="00835753">
              <w:t xml:space="preserve">7 CRR, stosownie do przypadku; </w:t>
            </w:r>
          </w:p>
          <w:p w14:paraId="40C21DE2" w14:textId="1C298679" w:rsidR="00505188" w:rsidRPr="00835753" w:rsidRDefault="00505188" w:rsidP="00E70D84">
            <w:pPr>
              <w:pStyle w:val="InstructionsText"/>
              <w:numPr>
                <w:ilvl w:val="0"/>
                <w:numId w:val="14"/>
              </w:numPr>
            </w:pPr>
            <w:proofErr w:type="gramStart"/>
            <w:r w:rsidRPr="00835753">
              <w:t>dodatkowe</w:t>
            </w:r>
            <w:proofErr w:type="gramEnd"/>
            <w:r w:rsidRPr="00835753">
              <w:t xml:space="preserve"> wymogi</w:t>
            </w:r>
            <w:r w:rsidR="00835753" w:rsidRPr="00835753">
              <w:t xml:space="preserve"> w</w:t>
            </w:r>
            <w:r w:rsidR="00835753">
              <w:t> </w:t>
            </w:r>
            <w:r w:rsidR="00835753" w:rsidRPr="00835753">
              <w:t>zak</w:t>
            </w:r>
            <w:r w:rsidRPr="00835753">
              <w:t>resie funduszy własnych</w:t>
            </w:r>
            <w:r w:rsidR="00835753" w:rsidRPr="00835753">
              <w:t xml:space="preserve"> w</w:t>
            </w:r>
            <w:r w:rsidR="00835753">
              <w:t> </w:t>
            </w:r>
            <w:r w:rsidR="00835753" w:rsidRPr="00835753">
              <w:t>cel</w:t>
            </w:r>
            <w:r w:rsidRPr="00835753">
              <w:t>u uwzględnienia ryzyka nadmiernej dźwigni (wymogi filaru II) nakładane przez właściwy organ na podstawie art.</w:t>
            </w:r>
            <w:r w:rsidR="00835753" w:rsidRPr="00835753">
              <w:t> </w:t>
            </w:r>
            <w:r w:rsidRPr="00835753">
              <w:t>104 ust.</w:t>
            </w:r>
            <w:r w:rsidR="00835753" w:rsidRPr="00835753">
              <w:t> </w:t>
            </w:r>
            <w:r w:rsidRPr="00835753">
              <w:t>1 lit.</w:t>
            </w:r>
            <w:r w:rsidR="00835753" w:rsidRPr="00835753">
              <w:t> </w:t>
            </w:r>
            <w:r w:rsidRPr="00835753">
              <w:t>a) CRD, wyrażone jako odsetek miary ekspozycji całkowitej.</w:t>
            </w:r>
          </w:p>
          <w:p w14:paraId="72014476" w14:textId="72428B13" w:rsidR="00505188" w:rsidRPr="00835753" w:rsidRDefault="00505188" w:rsidP="00702A38">
            <w:pPr>
              <w:pStyle w:val="InstructionsText"/>
            </w:pPr>
            <w:r w:rsidRPr="00835753">
              <w:t>Pozycja ta musi odzwierciedlać łączny wymóg dotyczący wskaźnika dźwigni SREP (TSLRR) podany do wiadomości instytucji przez właściwy organ.</w:t>
            </w:r>
          </w:p>
          <w:p w14:paraId="35AC4925" w14:textId="6E5C4310" w:rsidR="00505188" w:rsidRPr="00835753" w:rsidRDefault="00505188" w:rsidP="00A44A20">
            <w:pPr>
              <w:spacing w:before="60" w:after="120"/>
              <w:jc w:val="both"/>
              <w:rPr>
                <w:rFonts w:ascii="Times New Roman" w:hAnsi="Times New Roman" w:cs="Times New Roman"/>
                <w:sz w:val="24"/>
              </w:rPr>
            </w:pPr>
            <w:r w:rsidRPr="00835753">
              <w:rPr>
                <w:rFonts w:ascii="Times New Roman" w:hAnsi="Times New Roman"/>
                <w:sz w:val="24"/>
              </w:rPr>
              <w:t>Jeżeli właściwy organ nie nałożył żadnych dodatkowych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uwzględnienia ryzyka nadmiernej dźwigni, ujawnia się tylko ppkt (i).</w:t>
            </w:r>
          </w:p>
        </w:tc>
      </w:tr>
      <w:tr w:rsidR="00505188" w:rsidRPr="00835753" w14:paraId="3B5E2E48" w14:textId="77777777" w:rsidTr="001C2D18">
        <w:trPr>
          <w:trHeight w:val="557"/>
        </w:trPr>
        <w:tc>
          <w:tcPr>
            <w:tcW w:w="1384" w:type="dxa"/>
          </w:tcPr>
          <w:p w14:paraId="789861B4" w14:textId="0838E1F8" w:rsidR="00505188" w:rsidRPr="00835753" w:rsidRDefault="00505188" w:rsidP="00597D20">
            <w:pPr>
              <w:pStyle w:val="Applicationdirecte"/>
              <w:spacing w:before="60"/>
              <w:jc w:val="center"/>
            </w:pPr>
            <w:r w:rsidRPr="00835753">
              <w:t>EU 14d</w:t>
            </w:r>
          </w:p>
        </w:tc>
        <w:tc>
          <w:tcPr>
            <w:tcW w:w="7655" w:type="dxa"/>
          </w:tcPr>
          <w:p w14:paraId="08E93EB0" w14:textId="70A8E80A" w:rsidR="00505188" w:rsidRPr="00835753" w:rsidRDefault="00BB3630" w:rsidP="00702A38">
            <w:pPr>
              <w:pStyle w:val="InstructionsText"/>
              <w:rPr>
                <w:rFonts w:eastAsiaTheme="minorEastAsia"/>
                <w:b/>
              </w:rPr>
            </w:pPr>
            <w:r w:rsidRPr="00835753">
              <w:rPr>
                <w:b/>
              </w:rPr>
              <w:t>Wymóg</w:t>
            </w:r>
            <w:r w:rsidR="00835753" w:rsidRPr="00835753">
              <w:rPr>
                <w:b/>
              </w:rPr>
              <w:t xml:space="preserve"> w</w:t>
            </w:r>
            <w:r w:rsidR="00835753">
              <w:rPr>
                <w:b/>
              </w:rPr>
              <w:t> </w:t>
            </w:r>
            <w:r w:rsidR="00835753" w:rsidRPr="00835753">
              <w:rPr>
                <w:b/>
              </w:rPr>
              <w:t>zak</w:t>
            </w:r>
            <w:r w:rsidRPr="00835753">
              <w:rPr>
                <w:b/>
              </w:rPr>
              <w:t>resie bufora wskaźnika dźwigni (%)</w:t>
            </w:r>
          </w:p>
          <w:p w14:paraId="0A30AE70" w14:textId="236649AA" w:rsidR="00641F64" w:rsidRPr="00835753" w:rsidRDefault="00641F64" w:rsidP="004A2B2B">
            <w:pPr>
              <w:spacing w:before="60" w:after="120"/>
              <w:jc w:val="both"/>
              <w:rPr>
                <w:rFonts w:ascii="Times New Roman" w:hAnsi="Times New Roman" w:cs="Times New Roman"/>
                <w:sz w:val="24"/>
              </w:rPr>
            </w:pPr>
            <w:r w:rsidRPr="00835753">
              <w:rPr>
                <w:rFonts w:ascii="Times New Roman" w:hAnsi="Times New Roman"/>
                <w:sz w:val="24"/>
              </w:rPr>
              <w:t>Art. 92 ust.</w:t>
            </w:r>
            <w:r w:rsidR="00835753" w:rsidRPr="00835753">
              <w:rPr>
                <w:rFonts w:ascii="Times New Roman" w:hAnsi="Times New Roman"/>
                <w:sz w:val="24"/>
              </w:rPr>
              <w:t> </w:t>
            </w:r>
            <w:r w:rsidRPr="00835753">
              <w:rPr>
                <w:rFonts w:ascii="Times New Roman" w:hAnsi="Times New Roman"/>
                <w:sz w:val="24"/>
              </w:rPr>
              <w:t>1a CRR</w:t>
            </w:r>
          </w:p>
          <w:p w14:paraId="7716A8FF" w14:textId="0739FE5B" w:rsidR="00505188" w:rsidRPr="00835753" w:rsidRDefault="00505188" w:rsidP="004A2B2B">
            <w:pPr>
              <w:spacing w:before="60" w:after="120"/>
              <w:jc w:val="both"/>
              <w:rPr>
                <w:rFonts w:ascii="Times New Roman" w:hAnsi="Times New Roman" w:cs="Times New Roman"/>
                <w:sz w:val="24"/>
              </w:rPr>
            </w:pPr>
            <w:r w:rsidRPr="00835753">
              <w:rPr>
                <w:rFonts w:ascii="Times New Roman" w:hAnsi="Times New Roman"/>
                <w:sz w:val="24"/>
              </w:rPr>
              <w:t>Mający zastosowanie bufor wskaźnika dźwigni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tością ujawnianą przez instytucje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XI do niniejszego rozporządzenia wykonawczego (wiersz 27 wzoru EU LR2 – LRCom: Wspólne ujawnianie wskaźnika dźwigni)</w:t>
            </w:r>
          </w:p>
        </w:tc>
      </w:tr>
      <w:tr w:rsidR="00505188" w:rsidRPr="00835753" w14:paraId="3FACD115" w14:textId="77777777" w:rsidTr="001C2D18">
        <w:trPr>
          <w:trHeight w:val="557"/>
        </w:trPr>
        <w:tc>
          <w:tcPr>
            <w:tcW w:w="1384" w:type="dxa"/>
          </w:tcPr>
          <w:p w14:paraId="27224C83" w14:textId="4B369FBD" w:rsidR="00505188" w:rsidRPr="00835753" w:rsidRDefault="00505188" w:rsidP="00597D20">
            <w:pPr>
              <w:pStyle w:val="Applicationdirecte"/>
              <w:spacing w:before="60"/>
              <w:jc w:val="center"/>
            </w:pPr>
            <w:r w:rsidRPr="00835753">
              <w:t>EU 14e</w:t>
            </w:r>
          </w:p>
        </w:tc>
        <w:tc>
          <w:tcPr>
            <w:tcW w:w="7655" w:type="dxa"/>
          </w:tcPr>
          <w:p w14:paraId="69DDF496" w14:textId="6EA62A05" w:rsidR="00505188" w:rsidRPr="00835753" w:rsidRDefault="00505188" w:rsidP="001C2D18">
            <w:pPr>
              <w:spacing w:before="60" w:after="120"/>
              <w:jc w:val="both"/>
              <w:rPr>
                <w:rFonts w:ascii="Times New Roman" w:hAnsi="Times New Roman" w:cs="Times New Roman"/>
                <w:b/>
                <w:sz w:val="24"/>
              </w:rPr>
            </w:pPr>
            <w:r w:rsidRPr="00835753">
              <w:rPr>
                <w:rFonts w:ascii="Times New Roman" w:hAnsi="Times New Roman"/>
                <w:b/>
                <w:sz w:val="24"/>
              </w:rPr>
              <w:t>Łączny wymóg</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wskaźnika dźwigni (%)</w:t>
            </w:r>
          </w:p>
          <w:p w14:paraId="02FD04C6" w14:textId="4701C281" w:rsidR="00505188" w:rsidRPr="00835753" w:rsidRDefault="00505188" w:rsidP="00597D20">
            <w:pPr>
              <w:spacing w:before="60" w:after="120"/>
              <w:jc w:val="both"/>
              <w:rPr>
                <w:rFonts w:ascii="Times New Roman" w:hAnsi="Times New Roman"/>
                <w:sz w:val="24"/>
              </w:rPr>
            </w:pPr>
            <w:r w:rsidRPr="00835753">
              <w:rPr>
                <w:rFonts w:ascii="Times New Roman" w:hAnsi="Times New Roman"/>
                <w:sz w:val="24"/>
              </w:rPr>
              <w:lastRenderedPageBreak/>
              <w:t>Suma wierszy EU 14c i EU 14d</w:t>
            </w:r>
          </w:p>
        </w:tc>
      </w:tr>
      <w:tr w:rsidR="00BB2F0A" w:rsidRPr="00835753" w14:paraId="7772A699" w14:textId="77777777" w:rsidTr="00B2180A">
        <w:trPr>
          <w:trHeight w:val="557"/>
        </w:trPr>
        <w:tc>
          <w:tcPr>
            <w:tcW w:w="1384" w:type="dxa"/>
          </w:tcPr>
          <w:p w14:paraId="63DDF276" w14:textId="77777777" w:rsidR="00BB2F0A" w:rsidRPr="00835753" w:rsidRDefault="00BB2F0A" w:rsidP="00BB2F0A">
            <w:pPr>
              <w:pStyle w:val="Applicationdirecte"/>
              <w:spacing w:before="60"/>
              <w:jc w:val="center"/>
            </w:pPr>
            <w:r w:rsidRPr="00835753">
              <w:lastRenderedPageBreak/>
              <w:t>15</w:t>
            </w:r>
          </w:p>
        </w:tc>
        <w:tc>
          <w:tcPr>
            <w:tcW w:w="7655" w:type="dxa"/>
          </w:tcPr>
          <w:p w14:paraId="54AB95EC" w14:textId="77777777" w:rsidR="00BB2F0A" w:rsidRPr="00835753" w:rsidRDefault="00BB2F0A" w:rsidP="00BB2F0A">
            <w:pPr>
              <w:spacing w:before="60" w:after="120"/>
              <w:jc w:val="both"/>
              <w:rPr>
                <w:rFonts w:ascii="Times New Roman" w:hAnsi="Times New Roman" w:cs="Times New Roman"/>
                <w:b/>
                <w:sz w:val="24"/>
              </w:rPr>
            </w:pPr>
            <w:bookmarkStart w:id="10" w:name="OLE_LINK1"/>
            <w:r w:rsidRPr="00835753">
              <w:rPr>
                <w:rFonts w:ascii="Times New Roman" w:hAnsi="Times New Roman"/>
                <w:b/>
                <w:sz w:val="24"/>
              </w:rPr>
              <w:t>Całkowite aktywa płynne wysokiej jakości (HQLA) (wartość ważona – średnia)</w:t>
            </w:r>
          </w:p>
          <w:bookmarkEnd w:id="10"/>
          <w:p w14:paraId="55A35EA4" w14:textId="3ECC6A40" w:rsidR="00910181" w:rsidRPr="00835753" w:rsidRDefault="00910181" w:rsidP="002635C4">
            <w:pPr>
              <w:spacing w:before="60" w:after="120"/>
              <w:jc w:val="both"/>
              <w:rPr>
                <w:rFonts w:ascii="Times New Roman" w:hAnsi="Times New Roman" w:cs="Times New Roman"/>
                <w:sz w:val="24"/>
              </w:rPr>
            </w:pPr>
            <w:r w:rsidRPr="00835753">
              <w:rPr>
                <w:rFonts w:ascii="Times New Roman" w:hAnsi="Times New Roman"/>
                <w:sz w:val="24"/>
              </w:rPr>
              <w:t>Instytucje ujawniają jako wartość ważoną wartość aktywów płynnych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 rozporządzenia delegowanego Komisji (UE) 2015/61</w:t>
            </w:r>
            <w:r w:rsidRPr="00835753">
              <w:rPr>
                <w:rStyle w:val="FootnoteReference"/>
                <w:rFonts w:cs="Times New Roman"/>
              </w:rPr>
              <w:footnoteReference w:id="4"/>
            </w:r>
            <w:r w:rsidRPr="00835753">
              <w:rPr>
                <w:rFonts w:ascii="Times New Roman" w:hAnsi="Times New Roman"/>
                <w:sz w:val="24"/>
              </w:rPr>
              <w:t xml:space="preserve"> przed zastosowaniem mechanizmu korekty określonego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17 ust.</w:t>
            </w:r>
            <w:r w:rsidR="00835753" w:rsidRPr="00835753">
              <w:rPr>
                <w:rFonts w:ascii="Times New Roman" w:hAnsi="Times New Roman"/>
                <w:sz w:val="24"/>
              </w:rPr>
              <w:t> </w:t>
            </w:r>
            <w:r w:rsidRPr="00835753">
              <w:rPr>
                <w:rFonts w:ascii="Times New Roman" w:hAnsi="Times New Roman"/>
                <w:sz w:val="24"/>
              </w:rPr>
              <w:t>2 rozporządzenia delegowanego (UE) 2015/61.</w:t>
            </w:r>
          </w:p>
        </w:tc>
      </w:tr>
      <w:tr w:rsidR="009008FD" w:rsidRPr="00835753" w14:paraId="6672E84C" w14:textId="77777777" w:rsidTr="00634158">
        <w:trPr>
          <w:trHeight w:val="557"/>
        </w:trPr>
        <w:tc>
          <w:tcPr>
            <w:tcW w:w="1384" w:type="dxa"/>
          </w:tcPr>
          <w:p w14:paraId="046E2071" w14:textId="77777777" w:rsidR="009008FD" w:rsidRPr="00835753" w:rsidRDefault="009008FD" w:rsidP="009008FD">
            <w:pPr>
              <w:pStyle w:val="Applicationdirecte"/>
              <w:spacing w:before="60"/>
              <w:jc w:val="center"/>
            </w:pPr>
            <w:r w:rsidRPr="00835753">
              <w:t>EU 16a</w:t>
            </w:r>
          </w:p>
        </w:tc>
        <w:tc>
          <w:tcPr>
            <w:tcW w:w="7655" w:type="dxa"/>
          </w:tcPr>
          <w:p w14:paraId="0FDF2F0C" w14:textId="77777777" w:rsidR="00F829DE" w:rsidRPr="00835753" w:rsidRDefault="00F829DE" w:rsidP="009008FD">
            <w:pPr>
              <w:spacing w:before="60" w:after="120"/>
              <w:jc w:val="both"/>
              <w:rPr>
                <w:rFonts w:ascii="Times New Roman" w:hAnsi="Times New Roman" w:cs="Times New Roman"/>
                <w:b/>
                <w:sz w:val="24"/>
              </w:rPr>
            </w:pPr>
            <w:r w:rsidRPr="00835753">
              <w:rPr>
                <w:rFonts w:ascii="Times New Roman" w:hAnsi="Times New Roman"/>
                <w:b/>
                <w:sz w:val="24"/>
              </w:rPr>
              <w:t xml:space="preserve">Wypływy środków pieniężnych – Całkowita wartość ważona </w:t>
            </w:r>
          </w:p>
          <w:p w14:paraId="001CA858" w14:textId="0C8107ED" w:rsidR="009008FD" w:rsidRPr="00835753" w:rsidRDefault="009008FD" w:rsidP="009008FD">
            <w:pPr>
              <w:spacing w:before="60" w:after="120"/>
              <w:jc w:val="both"/>
              <w:rPr>
                <w:rFonts w:ascii="Times New Roman" w:hAnsi="Times New Roman"/>
                <w:sz w:val="24"/>
              </w:rPr>
            </w:pPr>
            <w:r w:rsidRPr="00835753">
              <w:rPr>
                <w:rFonts w:ascii="Times New Roman" w:hAnsi="Times New Roman"/>
                <w:sz w:val="24"/>
              </w:rPr>
              <w:t>Instytucje ujawniają sumę wartości ważonej swoich wypływów środków pieniężnych ujawnioną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XIII (wiersz 16 wzoru EU LIQ1 – Informacje ilościowe na temat wskaźnika pokrycia wypływów netto).</w:t>
            </w:r>
          </w:p>
        </w:tc>
      </w:tr>
      <w:tr w:rsidR="009008FD" w:rsidRPr="00835753" w14:paraId="768D7A46" w14:textId="77777777" w:rsidTr="00634158">
        <w:trPr>
          <w:trHeight w:val="557"/>
        </w:trPr>
        <w:tc>
          <w:tcPr>
            <w:tcW w:w="1384" w:type="dxa"/>
          </w:tcPr>
          <w:p w14:paraId="61468B84" w14:textId="77777777" w:rsidR="009008FD" w:rsidRPr="00835753" w:rsidRDefault="009008FD" w:rsidP="009008FD">
            <w:pPr>
              <w:pStyle w:val="Applicationdirecte"/>
              <w:spacing w:before="60"/>
              <w:jc w:val="center"/>
            </w:pPr>
            <w:r w:rsidRPr="00835753">
              <w:t>EU 16b</w:t>
            </w:r>
          </w:p>
        </w:tc>
        <w:tc>
          <w:tcPr>
            <w:tcW w:w="7655" w:type="dxa"/>
          </w:tcPr>
          <w:p w14:paraId="6A63425C" w14:textId="77777777" w:rsidR="00F829DE" w:rsidRPr="00835753" w:rsidRDefault="00F829DE" w:rsidP="009008FD">
            <w:pPr>
              <w:spacing w:before="60" w:after="120"/>
              <w:jc w:val="both"/>
              <w:rPr>
                <w:rFonts w:ascii="Times New Roman" w:hAnsi="Times New Roman" w:cs="Times New Roman"/>
                <w:b/>
                <w:sz w:val="24"/>
              </w:rPr>
            </w:pPr>
            <w:r w:rsidRPr="00835753">
              <w:rPr>
                <w:rFonts w:ascii="Times New Roman" w:hAnsi="Times New Roman"/>
                <w:b/>
                <w:sz w:val="24"/>
              </w:rPr>
              <w:t xml:space="preserve">Wpływy środków pieniężnych – Całkowita wartość ważona </w:t>
            </w:r>
          </w:p>
          <w:p w14:paraId="7CF5A37A" w14:textId="32DD6AAD" w:rsidR="009008FD" w:rsidRPr="00835753" w:rsidRDefault="009008FD" w:rsidP="009008FD">
            <w:pPr>
              <w:spacing w:before="60" w:after="120"/>
              <w:jc w:val="both"/>
              <w:rPr>
                <w:rFonts w:ascii="Times New Roman" w:hAnsi="Times New Roman" w:cs="Times New Roman"/>
                <w:sz w:val="24"/>
              </w:rPr>
            </w:pPr>
            <w:r w:rsidRPr="00835753">
              <w:rPr>
                <w:rFonts w:ascii="Times New Roman" w:hAnsi="Times New Roman"/>
                <w:sz w:val="24"/>
              </w:rPr>
              <w:t>Instytucje ujawniają sumę wartości ważonej swoich wpływów środków pieniężnych ujawnioną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XIII (wiersz 20 wzoru EU LIQ1 – Informacje ilościowe na temat wskaźnika pokrycia wypływów netto).</w:t>
            </w:r>
          </w:p>
        </w:tc>
      </w:tr>
      <w:tr w:rsidR="00BB2F0A" w:rsidRPr="00835753" w14:paraId="3D802B5C" w14:textId="77777777" w:rsidTr="00B2180A">
        <w:trPr>
          <w:trHeight w:val="557"/>
        </w:trPr>
        <w:tc>
          <w:tcPr>
            <w:tcW w:w="1384" w:type="dxa"/>
          </w:tcPr>
          <w:p w14:paraId="2C98D27B" w14:textId="77777777" w:rsidR="00BB2F0A" w:rsidRPr="00835753" w:rsidRDefault="00BB2F0A" w:rsidP="00BB2F0A">
            <w:pPr>
              <w:pStyle w:val="Applicationdirecte"/>
              <w:spacing w:before="60"/>
              <w:jc w:val="center"/>
            </w:pPr>
            <w:r w:rsidRPr="00835753">
              <w:t>16</w:t>
            </w:r>
          </w:p>
        </w:tc>
        <w:tc>
          <w:tcPr>
            <w:tcW w:w="7655" w:type="dxa"/>
          </w:tcPr>
          <w:p w14:paraId="7DCF86AE" w14:textId="77777777" w:rsidR="00BB2F0A" w:rsidRPr="00835753" w:rsidRDefault="00BB2F0A" w:rsidP="00BB2F0A">
            <w:pPr>
              <w:spacing w:before="60" w:after="120"/>
              <w:jc w:val="both"/>
              <w:rPr>
                <w:rFonts w:ascii="Times New Roman" w:hAnsi="Times New Roman" w:cs="Times New Roman"/>
                <w:b/>
                <w:sz w:val="24"/>
              </w:rPr>
            </w:pPr>
            <w:r w:rsidRPr="00835753">
              <w:rPr>
                <w:rFonts w:ascii="Times New Roman" w:hAnsi="Times New Roman"/>
                <w:b/>
                <w:sz w:val="24"/>
              </w:rPr>
              <w:t>Całkowite wypływy środków pieniężnych netto (wartość skorygowana)</w:t>
            </w:r>
          </w:p>
          <w:p w14:paraId="1D6EC4CA" w14:textId="10E14220" w:rsidR="00910181" w:rsidRPr="00835753" w:rsidRDefault="00910181" w:rsidP="00DA590B">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Instytucje ujawniają skorygowaną wartość wypływu płynności netto, która jest równa całkowitym wypływom pomniejszonym</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red</w:t>
            </w:r>
            <w:r w:rsidRPr="00835753">
              <w:rPr>
                <w:rFonts w:ascii="Times New Roman" w:hAnsi="Times New Roman"/>
                <w:sz w:val="24"/>
              </w:rPr>
              <w:t>ukcję wpływów całkowicie wyłączonych, pomniejszonym</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red</w:t>
            </w:r>
            <w:r w:rsidRPr="00835753">
              <w:rPr>
                <w:rFonts w:ascii="Times New Roman" w:hAnsi="Times New Roman"/>
                <w:sz w:val="24"/>
              </w:rPr>
              <w:t>ukcję wpływów podlegających ograniczeniu wynoszącemu 90</w:t>
            </w:r>
            <w:r w:rsidR="00835753" w:rsidRPr="00835753">
              <w:rPr>
                <w:rFonts w:ascii="Times New Roman" w:hAnsi="Times New Roman"/>
                <w:sz w:val="24"/>
              </w:rPr>
              <w:t> </w:t>
            </w:r>
            <w:r w:rsidRPr="00835753">
              <w:rPr>
                <w:rFonts w:ascii="Times New Roman" w:hAnsi="Times New Roman"/>
                <w:sz w:val="24"/>
              </w:rPr>
              <w:t>%</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pom</w:t>
            </w:r>
            <w:r w:rsidRPr="00835753">
              <w:rPr>
                <w:rFonts w:ascii="Times New Roman" w:hAnsi="Times New Roman"/>
                <w:sz w:val="24"/>
              </w:rPr>
              <w:t>niejszonym</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red</w:t>
            </w:r>
            <w:r w:rsidRPr="00835753">
              <w:rPr>
                <w:rFonts w:ascii="Times New Roman" w:hAnsi="Times New Roman"/>
                <w:sz w:val="24"/>
              </w:rPr>
              <w:t>ukcję wpływów podlegających ograniczeniu wynoszącemu 75</w:t>
            </w:r>
            <w:r w:rsidR="00835753" w:rsidRPr="00835753">
              <w:rPr>
                <w:rFonts w:ascii="Times New Roman" w:hAnsi="Times New Roman"/>
                <w:sz w:val="24"/>
              </w:rPr>
              <w:t> </w:t>
            </w:r>
            <w:r w:rsidRPr="00835753">
              <w:rPr>
                <w:rFonts w:ascii="Times New Roman" w:hAnsi="Times New Roman"/>
                <w:sz w:val="24"/>
              </w:rPr>
              <w:t xml:space="preserve">%. </w:t>
            </w:r>
          </w:p>
        </w:tc>
      </w:tr>
      <w:tr w:rsidR="00BB2F0A" w:rsidRPr="00835753" w14:paraId="55C376D8" w14:textId="77777777" w:rsidTr="00B2180A">
        <w:trPr>
          <w:trHeight w:val="557"/>
        </w:trPr>
        <w:tc>
          <w:tcPr>
            <w:tcW w:w="1384" w:type="dxa"/>
          </w:tcPr>
          <w:p w14:paraId="790C482D" w14:textId="77777777" w:rsidR="00BB2F0A" w:rsidRPr="00835753" w:rsidRDefault="00BB2F0A" w:rsidP="00BB2F0A">
            <w:pPr>
              <w:pStyle w:val="Applicationdirecte"/>
              <w:spacing w:before="60"/>
              <w:jc w:val="center"/>
            </w:pPr>
            <w:r w:rsidRPr="00835753">
              <w:t>17</w:t>
            </w:r>
          </w:p>
        </w:tc>
        <w:tc>
          <w:tcPr>
            <w:tcW w:w="7655" w:type="dxa"/>
          </w:tcPr>
          <w:p w14:paraId="6739EBCB" w14:textId="77777777" w:rsidR="00BB2F0A" w:rsidRPr="00835753" w:rsidRDefault="00BB2F0A" w:rsidP="00BB2F0A">
            <w:pPr>
              <w:spacing w:before="60" w:after="120"/>
              <w:jc w:val="both"/>
              <w:rPr>
                <w:rFonts w:ascii="Times New Roman" w:hAnsi="Times New Roman" w:cs="Times New Roman"/>
                <w:b/>
                <w:sz w:val="24"/>
              </w:rPr>
            </w:pPr>
            <w:r w:rsidRPr="00835753">
              <w:rPr>
                <w:rFonts w:ascii="Times New Roman" w:hAnsi="Times New Roman"/>
                <w:b/>
                <w:sz w:val="24"/>
              </w:rPr>
              <w:t>Wskaźnik pokrycia wypływów netto (%)</w:t>
            </w:r>
          </w:p>
          <w:p w14:paraId="3417B7EB" w14:textId="48A14F1A" w:rsidR="00910181" w:rsidRPr="00835753" w:rsidRDefault="00910181" w:rsidP="00910181">
            <w:pPr>
              <w:autoSpaceDE w:val="0"/>
              <w:autoSpaceDN w:val="0"/>
              <w:adjustRightInd w:val="0"/>
              <w:jc w:val="both"/>
              <w:rPr>
                <w:rFonts w:ascii="Times New Roman" w:hAnsi="Times New Roman" w:cs="Times New Roman"/>
                <w:sz w:val="24"/>
              </w:rPr>
            </w:pPr>
            <w:r w:rsidRPr="00835753">
              <w:rPr>
                <w:rFonts w:ascii="Times New Roman" w:hAnsi="Times New Roman"/>
                <w:sz w:val="24"/>
              </w:rPr>
              <w:t>Instytucje ujawniają jako wartość skorygowaną wyrażony procentowo „wskaźnik pokrycia wypływów netto</w:t>
            </w:r>
            <w:proofErr w:type="gramStart"/>
            <w:r w:rsidRPr="00835753">
              <w:rPr>
                <w:rFonts w:ascii="Times New Roman" w:hAnsi="Times New Roman"/>
                <w:sz w:val="24"/>
              </w:rPr>
              <w:t xml:space="preserve"> (%)” określony</w:t>
            </w:r>
            <w:proofErr w:type="gramEnd"/>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 ust.</w:t>
            </w:r>
            <w:r w:rsidR="00835753" w:rsidRPr="00835753">
              <w:rPr>
                <w:rFonts w:ascii="Times New Roman" w:hAnsi="Times New Roman"/>
                <w:sz w:val="24"/>
              </w:rPr>
              <w:t> </w:t>
            </w:r>
            <w:r w:rsidRPr="00835753">
              <w:rPr>
                <w:rFonts w:ascii="Times New Roman" w:hAnsi="Times New Roman"/>
                <w:sz w:val="24"/>
              </w:rPr>
              <w:t>1 rozporządzenia delegowanego (UE) 2015/61.</w:t>
            </w:r>
          </w:p>
          <w:p w14:paraId="0CF77ECD" w14:textId="77777777" w:rsidR="00910181" w:rsidRPr="00835753"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835753" w:rsidRDefault="00910181" w:rsidP="00DA590B">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 xml:space="preserve">Wskaźnik pokrycia wypływów netto jest równy stosunkowi posiadanego przez instytucję kredytową zabezpieczenia przed utratą płynności do jej wypływów płynności netto przez okres występowania warunków skrajnych trwający 30 dni kalendarzowych; wskaźnik ten jest wyrażony procentowo. </w:t>
            </w:r>
          </w:p>
        </w:tc>
      </w:tr>
      <w:tr w:rsidR="00BB2F0A" w:rsidRPr="00835753" w14:paraId="62773DDF" w14:textId="77777777" w:rsidTr="00B2180A">
        <w:trPr>
          <w:trHeight w:val="557"/>
        </w:trPr>
        <w:tc>
          <w:tcPr>
            <w:tcW w:w="1384" w:type="dxa"/>
          </w:tcPr>
          <w:p w14:paraId="46B3145C" w14:textId="77777777" w:rsidR="00BB2F0A" w:rsidRPr="00835753" w:rsidRDefault="00BB2F0A" w:rsidP="00BB2F0A">
            <w:pPr>
              <w:pStyle w:val="Applicationdirecte"/>
              <w:spacing w:before="60"/>
              <w:jc w:val="center"/>
            </w:pPr>
            <w:r w:rsidRPr="00835753">
              <w:t>18</w:t>
            </w:r>
          </w:p>
        </w:tc>
        <w:tc>
          <w:tcPr>
            <w:tcW w:w="7655" w:type="dxa"/>
          </w:tcPr>
          <w:p w14:paraId="5F20E9BB" w14:textId="77777777" w:rsidR="00BB2F0A" w:rsidRPr="00835753" w:rsidRDefault="009501D6" w:rsidP="00BB2F0A">
            <w:pPr>
              <w:spacing w:before="60" w:after="120"/>
              <w:jc w:val="both"/>
              <w:rPr>
                <w:rFonts w:ascii="Times New Roman" w:hAnsi="Times New Roman" w:cs="Times New Roman"/>
                <w:b/>
                <w:sz w:val="24"/>
              </w:rPr>
            </w:pPr>
            <w:r w:rsidRPr="00835753">
              <w:rPr>
                <w:rFonts w:ascii="Times New Roman" w:hAnsi="Times New Roman"/>
                <w:b/>
                <w:sz w:val="24"/>
              </w:rPr>
              <w:t>Dostępne stabilne finansowanie ogółem</w:t>
            </w:r>
          </w:p>
          <w:p w14:paraId="0CB3A2BF" w14:textId="4B3EF9F6" w:rsidR="009501D6" w:rsidRPr="00835753" w:rsidRDefault="009501D6" w:rsidP="00416DAD">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Instytucje ujawniają kwotę dostępnego stabilnego finansowania obliczoną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szóstą tytuł IV rozdział 3 CRR, ujawnianą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XIII (wiersz 14 wzoru EU LIQ2 – Wskaźnik stabilnego finansowania netto).</w:t>
            </w:r>
          </w:p>
        </w:tc>
      </w:tr>
      <w:tr w:rsidR="00BB2F0A" w:rsidRPr="00835753" w14:paraId="196BD2E3" w14:textId="77777777" w:rsidTr="00B2180A">
        <w:trPr>
          <w:trHeight w:val="557"/>
        </w:trPr>
        <w:tc>
          <w:tcPr>
            <w:tcW w:w="1384" w:type="dxa"/>
          </w:tcPr>
          <w:p w14:paraId="138D6E9A" w14:textId="77777777" w:rsidR="00BB2F0A" w:rsidRPr="00835753" w:rsidRDefault="00BB2F0A" w:rsidP="00BB2F0A">
            <w:pPr>
              <w:pStyle w:val="Applicationdirecte"/>
              <w:spacing w:before="60"/>
              <w:jc w:val="center"/>
            </w:pPr>
            <w:r w:rsidRPr="00835753">
              <w:t>19</w:t>
            </w:r>
          </w:p>
        </w:tc>
        <w:tc>
          <w:tcPr>
            <w:tcW w:w="7655" w:type="dxa"/>
          </w:tcPr>
          <w:p w14:paraId="33D8D493" w14:textId="77777777" w:rsidR="00EA38FE" w:rsidRPr="00835753" w:rsidRDefault="009501D6" w:rsidP="00EA38FE">
            <w:pPr>
              <w:spacing w:before="60" w:after="120"/>
              <w:jc w:val="both"/>
              <w:rPr>
                <w:rFonts w:ascii="Times New Roman" w:hAnsi="Times New Roman" w:cs="Times New Roman"/>
                <w:b/>
                <w:sz w:val="24"/>
              </w:rPr>
            </w:pPr>
            <w:r w:rsidRPr="00835753">
              <w:rPr>
                <w:rFonts w:ascii="Times New Roman" w:hAnsi="Times New Roman"/>
                <w:b/>
                <w:sz w:val="24"/>
              </w:rPr>
              <w:t>Wymagane stabilne finansowanie ogółem</w:t>
            </w:r>
          </w:p>
          <w:p w14:paraId="205FE1F2" w14:textId="6198043B" w:rsidR="009501D6" w:rsidRPr="00835753" w:rsidRDefault="009501D6" w:rsidP="00605635">
            <w:pPr>
              <w:spacing w:before="60" w:after="120"/>
              <w:jc w:val="both"/>
              <w:rPr>
                <w:rFonts w:ascii="Times New Roman" w:hAnsi="Times New Roman" w:cs="Times New Roman"/>
                <w:sz w:val="24"/>
              </w:rPr>
            </w:pPr>
            <w:r w:rsidRPr="00835753">
              <w:rPr>
                <w:rFonts w:ascii="Times New Roman" w:hAnsi="Times New Roman"/>
                <w:sz w:val="24"/>
              </w:rPr>
              <w:lastRenderedPageBreak/>
              <w:t>Instytucje ujawniają kwotę wymaganego stabilnego finansowania obliczoną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szóstą tytuł IV rozdział 4 CRR, ujawnianą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XIII (wiersz 33 wzoru EU LIQ2 – Wskaźnik stabilnego finansowania netto).</w:t>
            </w:r>
          </w:p>
        </w:tc>
      </w:tr>
      <w:tr w:rsidR="00BB2F0A" w:rsidRPr="00835753" w14:paraId="5F0D3785" w14:textId="77777777" w:rsidTr="00B2180A">
        <w:trPr>
          <w:trHeight w:val="557"/>
        </w:trPr>
        <w:tc>
          <w:tcPr>
            <w:tcW w:w="1384" w:type="dxa"/>
          </w:tcPr>
          <w:p w14:paraId="58861D5D" w14:textId="77777777" w:rsidR="00BB2F0A" w:rsidRPr="00835753" w:rsidRDefault="00BB2F0A" w:rsidP="00BB2F0A">
            <w:pPr>
              <w:pStyle w:val="Applicationdirecte"/>
              <w:spacing w:before="60"/>
              <w:jc w:val="center"/>
            </w:pPr>
            <w:r w:rsidRPr="00835753">
              <w:lastRenderedPageBreak/>
              <w:t>20</w:t>
            </w:r>
          </w:p>
        </w:tc>
        <w:tc>
          <w:tcPr>
            <w:tcW w:w="7655" w:type="dxa"/>
          </w:tcPr>
          <w:p w14:paraId="2C215CE4" w14:textId="77777777" w:rsidR="00BB2F0A" w:rsidRPr="00835753" w:rsidRDefault="00EA38FE" w:rsidP="00BB2F0A">
            <w:pPr>
              <w:spacing w:before="60" w:after="120"/>
              <w:jc w:val="both"/>
              <w:rPr>
                <w:rFonts w:ascii="Times New Roman" w:hAnsi="Times New Roman" w:cs="Times New Roman"/>
                <w:b/>
                <w:sz w:val="24"/>
              </w:rPr>
            </w:pPr>
            <w:r w:rsidRPr="00835753">
              <w:rPr>
                <w:rFonts w:ascii="Times New Roman" w:hAnsi="Times New Roman"/>
                <w:b/>
                <w:sz w:val="24"/>
              </w:rPr>
              <w:t>Wskaźnik stabilnego finansowania netto (%)</w:t>
            </w:r>
          </w:p>
          <w:p w14:paraId="16F56415" w14:textId="2ABA7CE9" w:rsidR="00EA38FE" w:rsidRPr="00835753" w:rsidRDefault="00EA38FE" w:rsidP="0097538A">
            <w:pPr>
              <w:spacing w:before="60" w:after="120"/>
              <w:jc w:val="both"/>
              <w:rPr>
                <w:rFonts w:ascii="Times New Roman" w:hAnsi="Times New Roman" w:cs="Times New Roman"/>
                <w:sz w:val="24"/>
              </w:rPr>
            </w:pPr>
            <w:r w:rsidRPr="00835753">
              <w:rPr>
                <w:rFonts w:ascii="Times New Roman" w:hAnsi="Times New Roman"/>
                <w:sz w:val="24"/>
              </w:rPr>
              <w:t>Wskaźnik stabilnego finansowania netto obliczony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428b CRR.</w:t>
            </w:r>
          </w:p>
        </w:tc>
      </w:tr>
    </w:tbl>
    <w:p w14:paraId="1917C482" w14:textId="77777777" w:rsidR="00251512" w:rsidRPr="00835753" w:rsidRDefault="00251512" w:rsidP="00501CEC">
      <w:pPr>
        <w:pStyle w:val="Titlelevel2"/>
        <w:spacing w:before="120" w:after="120"/>
        <w:rPr>
          <w:rFonts w:ascii="Times New Roman" w:hAnsi="Times New Roman"/>
          <w:b/>
          <w:color w:val="auto"/>
          <w:sz w:val="24"/>
        </w:rPr>
      </w:pPr>
    </w:p>
    <w:p w14:paraId="3FDA64E0" w14:textId="19914907" w:rsidR="00BD36EC" w:rsidRPr="00835753" w:rsidRDefault="00BD36EC" w:rsidP="00D845D4">
      <w:pPr>
        <w:spacing w:after="120"/>
        <w:jc w:val="both"/>
        <w:rPr>
          <w:rFonts w:ascii="Times New Roman" w:hAnsi="Times New Roman"/>
          <w:sz w:val="24"/>
        </w:rPr>
      </w:pPr>
      <w:r w:rsidRPr="00835753">
        <w:rPr>
          <w:rFonts w:ascii="Times New Roman" w:hAnsi="Times New Roman"/>
          <w:b/>
          <w:sz w:val="24"/>
        </w:rPr>
        <w:t>Wzór EU INS1 – Udziały kapitałowe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 xml:space="preserve">ładach ubezpieczeń. </w:t>
      </w:r>
      <w:r w:rsidRPr="00835753">
        <w:rPr>
          <w:rFonts w:ascii="Times New Roman" w:hAnsi="Times New Roman"/>
          <w:sz w:val="24"/>
        </w:rPr>
        <w:t>Format stały</w:t>
      </w:r>
    </w:p>
    <w:p w14:paraId="385CC150" w14:textId="71500DDF" w:rsidR="00B10EE4" w:rsidRPr="00835753" w:rsidRDefault="00BA25D7" w:rsidP="00E70D84">
      <w:pPr>
        <w:pStyle w:val="Titlelevel2"/>
        <w:numPr>
          <w:ilvl w:val="0"/>
          <w:numId w:val="13"/>
        </w:numPr>
        <w:spacing w:before="120" w:after="120"/>
        <w:ind w:left="426"/>
        <w:rPr>
          <w:rFonts w:ascii="Times New Roman" w:hAnsi="Times New Roman"/>
          <w:color w:val="auto"/>
          <w:sz w:val="24"/>
        </w:rPr>
      </w:pPr>
      <w:r w:rsidRPr="00835753">
        <w:rPr>
          <w:rFonts w:ascii="Times New Roman" w:hAnsi="Times New Roman"/>
          <w:bCs w:val="0"/>
          <w:color w:val="000000"/>
          <w:sz w:val="24"/>
        </w:rPr>
        <w:t>Instytucje</w:t>
      </w:r>
      <w:r w:rsidRPr="00835753">
        <w:rPr>
          <w:rFonts w:ascii="Times New Roman" w:hAnsi="Times New Roman"/>
          <w:color w:val="auto"/>
          <w:sz w:val="24"/>
        </w:rPr>
        <w:t xml:space="preserve"> stosują </w:t>
      </w:r>
      <w:r w:rsidRPr="00835753">
        <w:rPr>
          <w:rFonts w:ascii="Times New Roman" w:hAnsi="Times New Roman"/>
          <w:bCs w:val="0"/>
          <w:color w:val="000000"/>
          <w:sz w:val="24"/>
        </w:rPr>
        <w:t>poniższe instrukcje zawarte</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załączniku</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cel</w:t>
      </w:r>
      <w:r w:rsidRPr="00835753">
        <w:rPr>
          <w:rFonts w:ascii="Times New Roman" w:hAnsi="Times New Roman"/>
          <w:bCs w:val="0"/>
          <w:color w:val="000000"/>
          <w:sz w:val="24"/>
        </w:rPr>
        <w:t>u wypełnienia wzoru EU INS1 zamieszczonego</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 xml:space="preserve">ączniku I </w:t>
      </w:r>
      <w:r w:rsidRPr="00835753">
        <w:rPr>
          <w:rFonts w:ascii="Times New Roman" w:hAnsi="Times New Roman"/>
          <w:color w:val="auto"/>
          <w:sz w:val="24"/>
        </w:rPr>
        <w:t>zgodnie</w:t>
      </w:r>
      <w:r w:rsidR="00835753" w:rsidRPr="00835753">
        <w:rPr>
          <w:rFonts w:ascii="Times New Roman" w:hAnsi="Times New Roman"/>
          <w:color w:val="auto"/>
          <w:sz w:val="24"/>
        </w:rPr>
        <w:t xml:space="preserve"> z</w:t>
      </w:r>
      <w:r w:rsidR="00835753">
        <w:rPr>
          <w:rFonts w:ascii="Times New Roman" w:hAnsi="Times New Roman"/>
          <w:color w:val="auto"/>
          <w:sz w:val="24"/>
        </w:rPr>
        <w:t> </w:t>
      </w:r>
      <w:r w:rsidR="00835753" w:rsidRPr="00835753">
        <w:rPr>
          <w:rFonts w:ascii="Times New Roman" w:hAnsi="Times New Roman"/>
          <w:color w:val="auto"/>
          <w:sz w:val="24"/>
        </w:rPr>
        <w:t>art</w:t>
      </w:r>
      <w:r w:rsidRPr="00835753">
        <w:rPr>
          <w:rFonts w:ascii="Times New Roman" w:hAnsi="Times New Roman"/>
          <w:color w:val="auto"/>
          <w:sz w:val="24"/>
        </w:rPr>
        <w:t>.</w:t>
      </w:r>
      <w:r w:rsidR="00835753" w:rsidRPr="00835753">
        <w:rPr>
          <w:rFonts w:ascii="Times New Roman" w:hAnsi="Times New Roman"/>
          <w:color w:val="auto"/>
          <w:sz w:val="24"/>
        </w:rPr>
        <w:t> </w:t>
      </w:r>
      <w:r w:rsidRPr="00835753">
        <w:rPr>
          <w:rFonts w:ascii="Times New Roman" w:hAnsi="Times New Roman"/>
          <w:color w:val="auto"/>
          <w:sz w:val="24"/>
        </w:rPr>
        <w:t>438 lit.</w:t>
      </w:r>
      <w:r w:rsidR="00835753" w:rsidRPr="00835753">
        <w:rPr>
          <w:rFonts w:ascii="Times New Roman" w:hAnsi="Times New Roman"/>
          <w:color w:val="auto"/>
          <w:sz w:val="24"/>
        </w:rPr>
        <w:t> </w:t>
      </w:r>
      <w:r w:rsidRPr="00835753">
        <w:rPr>
          <w:rFonts w:ascii="Times New Roman" w:hAnsi="Times New Roman"/>
          <w:color w:val="auto"/>
          <w:sz w:val="24"/>
        </w:rPr>
        <w:t xml:space="preserve">f) </w:t>
      </w:r>
      <w:r w:rsidRPr="00835753">
        <w:rPr>
          <w:rFonts w:ascii="Times New Roman" w:hAnsi="Times New Roman"/>
          <w:bCs w:val="0"/>
          <w:color w:val="auto"/>
          <w:sz w:val="24"/>
        </w:rPr>
        <w:t>CRR</w:t>
      </w:r>
      <w:r w:rsidRPr="00835753">
        <w:rPr>
          <w:rFonts w:ascii="Times New Roman" w:hAnsi="Times New Roman"/>
          <w:color w:val="auto"/>
          <w:sz w:val="24"/>
        </w:rPr>
        <w:t>.</w:t>
      </w:r>
    </w:p>
    <w:p w14:paraId="5970EF08" w14:textId="77777777" w:rsidR="00295952" w:rsidRPr="00835753" w:rsidRDefault="00295952" w:rsidP="00D845D4">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835753"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11ABBE3E" w:rsidR="00295952" w:rsidRPr="00835753" w:rsidRDefault="00295952" w:rsidP="00B2180A">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295952" w:rsidRPr="00835753" w14:paraId="2A1948D0" w14:textId="77777777" w:rsidTr="00B2180A">
        <w:trPr>
          <w:trHeight w:val="238"/>
        </w:trPr>
        <w:tc>
          <w:tcPr>
            <w:tcW w:w="1384" w:type="dxa"/>
            <w:shd w:val="clear" w:color="auto" w:fill="D9D9D9" w:themeFill="background1" w:themeFillShade="D9"/>
          </w:tcPr>
          <w:p w14:paraId="58F319EE" w14:textId="77777777" w:rsidR="00295952" w:rsidRPr="00835753" w:rsidRDefault="00295952" w:rsidP="00B2180A">
            <w:pPr>
              <w:autoSpaceDE w:val="0"/>
              <w:autoSpaceDN w:val="0"/>
              <w:adjustRightInd w:val="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0136B062" w14:textId="77777777" w:rsidR="00295952" w:rsidRPr="00835753" w:rsidRDefault="00295952" w:rsidP="00B2180A">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295952" w:rsidRPr="00835753" w14:paraId="0F136ACE" w14:textId="77777777" w:rsidTr="00B2180A">
        <w:trPr>
          <w:trHeight w:val="680"/>
        </w:trPr>
        <w:tc>
          <w:tcPr>
            <w:tcW w:w="1384" w:type="dxa"/>
          </w:tcPr>
          <w:p w14:paraId="270B29A8" w14:textId="77777777" w:rsidR="00295952" w:rsidRPr="00835753" w:rsidRDefault="00295952" w:rsidP="00B2180A">
            <w:pPr>
              <w:pStyle w:val="Applicationdirecte"/>
              <w:spacing w:before="60"/>
              <w:jc w:val="center"/>
            </w:pPr>
            <w:proofErr w:type="gramStart"/>
            <w:r w:rsidRPr="00835753">
              <w:t>a</w:t>
            </w:r>
            <w:proofErr w:type="gramEnd"/>
            <w:r w:rsidRPr="00835753">
              <w:t>)</w:t>
            </w:r>
          </w:p>
        </w:tc>
        <w:tc>
          <w:tcPr>
            <w:tcW w:w="7655" w:type="dxa"/>
            <w:vAlign w:val="center"/>
          </w:tcPr>
          <w:p w14:paraId="7249EC0E" w14:textId="77777777" w:rsidR="00295952" w:rsidRPr="00835753" w:rsidRDefault="00295952" w:rsidP="00B2180A">
            <w:pPr>
              <w:spacing w:before="60" w:after="120"/>
              <w:jc w:val="both"/>
              <w:rPr>
                <w:rFonts w:ascii="Times New Roman" w:hAnsi="Times New Roman" w:cs="Times New Roman"/>
                <w:sz w:val="24"/>
              </w:rPr>
            </w:pPr>
            <w:r w:rsidRPr="00835753">
              <w:rPr>
                <w:rFonts w:ascii="Times New Roman" w:hAnsi="Times New Roman"/>
                <w:sz w:val="24"/>
              </w:rPr>
              <w:t>Wartość ekspozycji</w:t>
            </w:r>
          </w:p>
          <w:p w14:paraId="18F1CB5D" w14:textId="2FC6D076" w:rsidR="00295952" w:rsidRPr="00835753" w:rsidRDefault="00295952" w:rsidP="0097538A">
            <w:pPr>
              <w:spacing w:before="60" w:after="120"/>
              <w:jc w:val="both"/>
              <w:rPr>
                <w:rFonts w:ascii="Times New Roman" w:hAnsi="Times New Roman" w:cs="Times New Roman"/>
                <w:sz w:val="24"/>
              </w:rPr>
            </w:pPr>
            <w:r w:rsidRPr="00835753">
              <w:rPr>
                <w:rFonts w:ascii="Times New Roman" w:hAnsi="Times New Roman"/>
                <w:sz w:val="24"/>
              </w:rPr>
              <w:t>Wartość ekspozycji dla instrumentów funduszy własnych posiadanych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imkolwiek zakładzie ubezpieczeń, zakładzie reasekuracji lub ubezpieczeniowej spółce holdingowej, których instytucje nie odliczają od swoich funduszy własnych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49 CRR przy obliczaniu swoich wymogów kapitałowych na zasadzie indywidualnej, subskonsolidowanej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sko</w:t>
            </w:r>
            <w:r w:rsidRPr="00835753">
              <w:rPr>
                <w:rFonts w:ascii="Times New Roman" w:hAnsi="Times New Roman"/>
                <w:sz w:val="24"/>
              </w:rPr>
              <w:t>nsolidowanej.</w:t>
            </w:r>
          </w:p>
        </w:tc>
      </w:tr>
      <w:tr w:rsidR="00295952" w:rsidRPr="00835753" w14:paraId="61334455" w14:textId="77777777" w:rsidTr="00B2180A">
        <w:trPr>
          <w:trHeight w:val="680"/>
        </w:trPr>
        <w:tc>
          <w:tcPr>
            <w:tcW w:w="1384" w:type="dxa"/>
          </w:tcPr>
          <w:p w14:paraId="76F52744" w14:textId="77777777" w:rsidR="00295952" w:rsidRPr="00835753" w:rsidRDefault="00295952" w:rsidP="00B2180A">
            <w:pPr>
              <w:pStyle w:val="Applicationdirecte"/>
              <w:spacing w:before="60"/>
              <w:jc w:val="center"/>
            </w:pPr>
            <w:proofErr w:type="gramStart"/>
            <w:r w:rsidRPr="00835753">
              <w:t>b</w:t>
            </w:r>
            <w:proofErr w:type="gramEnd"/>
            <w:r w:rsidRPr="00835753">
              <w:t>)</w:t>
            </w:r>
          </w:p>
        </w:tc>
        <w:tc>
          <w:tcPr>
            <w:tcW w:w="7655" w:type="dxa"/>
            <w:vAlign w:val="center"/>
          </w:tcPr>
          <w:p w14:paraId="35F05204" w14:textId="21F04E81" w:rsidR="00295952" w:rsidRPr="00835753" w:rsidRDefault="00295952" w:rsidP="00B2180A">
            <w:pPr>
              <w:spacing w:before="60" w:after="120"/>
              <w:jc w:val="both"/>
              <w:rPr>
                <w:rFonts w:ascii="Times New Roman" w:hAnsi="Times New Roman" w:cs="Times New Roman"/>
                <w:sz w:val="24"/>
              </w:rPr>
            </w:pPr>
            <w:r w:rsidRPr="00835753">
              <w:rPr>
                <w:rFonts w:ascii="Times New Roman" w:hAnsi="Times New Roman"/>
                <w:sz w:val="24"/>
              </w:rPr>
              <w:t>Kwota ekspozycji na ryzyko</w:t>
            </w:r>
          </w:p>
          <w:p w14:paraId="5F873619" w14:textId="22D1F995" w:rsidR="00295952" w:rsidRPr="00835753" w:rsidRDefault="00295952" w:rsidP="00282104">
            <w:pPr>
              <w:spacing w:before="60" w:after="120"/>
              <w:jc w:val="both"/>
              <w:rPr>
                <w:rFonts w:ascii="Times New Roman" w:hAnsi="Times New Roman" w:cs="Times New Roman"/>
                <w:sz w:val="24"/>
              </w:rPr>
            </w:pPr>
            <w:r w:rsidRPr="00835753">
              <w:rPr>
                <w:rFonts w:ascii="Times New Roman" w:hAnsi="Times New Roman"/>
                <w:sz w:val="24"/>
              </w:rPr>
              <w:t>Kwota ekspozycji na ryzyko dla instrumentów funduszy własnych posiadanych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imkolwiek zakładzie ubezpieczeń, zakładzie reasekuracji lub ubezpieczeniowej spółce holdingowej, których instytucje nie odliczają od swoich funduszy własnych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49 CRR przy obliczaniu swoich wymogów kapitałowych na zasadzie indywidualnej, subskonsolidowanej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sko</w:t>
            </w:r>
            <w:r w:rsidRPr="00835753">
              <w:rPr>
                <w:rFonts w:ascii="Times New Roman" w:hAnsi="Times New Roman"/>
                <w:sz w:val="24"/>
              </w:rPr>
              <w:t>nsolidowanej.</w:t>
            </w:r>
          </w:p>
        </w:tc>
      </w:tr>
    </w:tbl>
    <w:p w14:paraId="06D15643" w14:textId="77777777" w:rsidR="00FE0C92" w:rsidRPr="00835753" w:rsidRDefault="00FE0C92" w:rsidP="00E258D8">
      <w:pPr>
        <w:tabs>
          <w:tab w:val="left" w:pos="1430"/>
        </w:tabs>
        <w:rPr>
          <w:rFonts w:ascii="Times New Roman" w:hAnsi="Times New Roman" w:cs="Times New Roman"/>
          <w:sz w:val="24"/>
        </w:rPr>
      </w:pPr>
    </w:p>
    <w:p w14:paraId="27E6F29A" w14:textId="487C76ED" w:rsidR="00295952" w:rsidRPr="00835753" w:rsidRDefault="00295952" w:rsidP="00295952">
      <w:pPr>
        <w:spacing w:after="120"/>
        <w:jc w:val="both"/>
        <w:rPr>
          <w:rFonts w:ascii="Times New Roman" w:hAnsi="Times New Roman" w:cs="Times New Roman"/>
          <w:sz w:val="24"/>
        </w:rPr>
      </w:pPr>
      <w:r w:rsidRPr="00835753">
        <w:rPr>
          <w:rFonts w:ascii="Times New Roman" w:hAnsi="Times New Roman"/>
          <w:b/>
          <w:sz w:val="24"/>
        </w:rPr>
        <w:t>Wzór EU INS2 – Informacje konglomeratów finansowych na temat funduszy własnych</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wsp</w:t>
      </w:r>
      <w:r w:rsidRPr="00835753">
        <w:rPr>
          <w:rFonts w:ascii="Times New Roman" w:hAnsi="Times New Roman"/>
          <w:b/>
          <w:sz w:val="24"/>
        </w:rPr>
        <w:t xml:space="preserve">ółczynnika adekwatności kapitałowej. </w:t>
      </w:r>
      <w:r w:rsidRPr="00835753">
        <w:rPr>
          <w:rFonts w:ascii="Times New Roman" w:hAnsi="Times New Roman"/>
          <w:sz w:val="24"/>
        </w:rPr>
        <w:t>Format stały</w:t>
      </w:r>
    </w:p>
    <w:p w14:paraId="61F5C281" w14:textId="5BEAAA56" w:rsidR="00295952" w:rsidRPr="00835753" w:rsidRDefault="00295952" w:rsidP="00E70D84">
      <w:pPr>
        <w:pStyle w:val="Titlelevel2"/>
        <w:numPr>
          <w:ilvl w:val="0"/>
          <w:numId w:val="13"/>
        </w:numPr>
        <w:spacing w:before="120" w:after="120"/>
        <w:ind w:left="426"/>
        <w:rPr>
          <w:rFonts w:ascii="Times New Roman" w:hAnsi="Times New Roman"/>
          <w:color w:val="auto"/>
          <w:sz w:val="24"/>
        </w:rPr>
      </w:pPr>
      <w:r w:rsidRPr="00835753">
        <w:rPr>
          <w:rFonts w:ascii="Times New Roman" w:hAnsi="Times New Roman"/>
          <w:bCs w:val="0"/>
          <w:color w:val="000000"/>
          <w:sz w:val="24"/>
        </w:rPr>
        <w:t>Instytucje</w:t>
      </w:r>
      <w:r w:rsidR="00835753" w:rsidRPr="00835753">
        <w:rPr>
          <w:rFonts w:ascii="Times New Roman" w:hAnsi="Times New Roman"/>
          <w:bCs w:val="0"/>
          <w:color w:val="000000"/>
          <w:sz w:val="24"/>
        </w:rPr>
        <w:t xml:space="preserve"> </w:t>
      </w:r>
      <w:r w:rsidRPr="00835753">
        <w:rPr>
          <w:rFonts w:ascii="Times New Roman" w:hAnsi="Times New Roman"/>
          <w:color w:val="auto"/>
          <w:sz w:val="24"/>
        </w:rPr>
        <w:t xml:space="preserve">stosują </w:t>
      </w:r>
      <w:r w:rsidRPr="00835753">
        <w:rPr>
          <w:rFonts w:ascii="Times New Roman" w:hAnsi="Times New Roman"/>
          <w:bCs w:val="0"/>
          <w:color w:val="000000"/>
          <w:sz w:val="24"/>
        </w:rPr>
        <w:t>poniższe instrukcje zawarte</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załączniku</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cel</w:t>
      </w:r>
      <w:r w:rsidRPr="00835753">
        <w:rPr>
          <w:rFonts w:ascii="Times New Roman" w:hAnsi="Times New Roman"/>
          <w:bCs w:val="0"/>
          <w:color w:val="000000"/>
          <w:sz w:val="24"/>
        </w:rPr>
        <w:t>u wypełnienia wzoru EU INS2 zamieszczonego</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 xml:space="preserve">ączniku I do niniejszego rozporządzenia wykonawczego </w:t>
      </w:r>
      <w:r w:rsidRPr="00835753">
        <w:rPr>
          <w:rFonts w:ascii="Times New Roman" w:hAnsi="Times New Roman"/>
          <w:color w:val="auto"/>
          <w:sz w:val="24"/>
        </w:rPr>
        <w:t>zgodnie</w:t>
      </w:r>
      <w:r w:rsidR="00835753" w:rsidRPr="00835753">
        <w:rPr>
          <w:rFonts w:ascii="Times New Roman" w:hAnsi="Times New Roman"/>
          <w:color w:val="auto"/>
          <w:sz w:val="24"/>
        </w:rPr>
        <w:t xml:space="preserve"> z</w:t>
      </w:r>
      <w:r w:rsidR="00835753">
        <w:rPr>
          <w:rFonts w:ascii="Times New Roman" w:hAnsi="Times New Roman"/>
          <w:color w:val="auto"/>
          <w:sz w:val="24"/>
        </w:rPr>
        <w:t> </w:t>
      </w:r>
      <w:r w:rsidR="00835753" w:rsidRPr="00835753">
        <w:rPr>
          <w:rFonts w:ascii="Times New Roman" w:hAnsi="Times New Roman"/>
          <w:color w:val="auto"/>
          <w:sz w:val="24"/>
        </w:rPr>
        <w:t>art</w:t>
      </w:r>
      <w:r w:rsidRPr="00835753">
        <w:rPr>
          <w:rFonts w:ascii="Times New Roman" w:hAnsi="Times New Roman"/>
          <w:color w:val="auto"/>
          <w:sz w:val="24"/>
        </w:rPr>
        <w:t>.</w:t>
      </w:r>
      <w:r w:rsidR="00835753" w:rsidRPr="00835753">
        <w:rPr>
          <w:rFonts w:ascii="Times New Roman" w:hAnsi="Times New Roman"/>
          <w:color w:val="auto"/>
          <w:sz w:val="24"/>
        </w:rPr>
        <w:t> </w:t>
      </w:r>
      <w:r w:rsidRPr="00835753">
        <w:rPr>
          <w:rFonts w:ascii="Times New Roman" w:hAnsi="Times New Roman"/>
          <w:color w:val="auto"/>
          <w:sz w:val="24"/>
        </w:rPr>
        <w:t>438 lit.</w:t>
      </w:r>
      <w:r w:rsidR="00835753" w:rsidRPr="00835753">
        <w:rPr>
          <w:rFonts w:ascii="Times New Roman" w:hAnsi="Times New Roman"/>
          <w:color w:val="auto"/>
          <w:sz w:val="24"/>
        </w:rPr>
        <w:t> </w:t>
      </w:r>
      <w:r w:rsidRPr="00835753">
        <w:rPr>
          <w:rFonts w:ascii="Times New Roman" w:hAnsi="Times New Roman"/>
          <w:color w:val="auto"/>
          <w:sz w:val="24"/>
        </w:rPr>
        <w:t xml:space="preserve">g) </w:t>
      </w:r>
      <w:r w:rsidRPr="00835753">
        <w:rPr>
          <w:rFonts w:ascii="Times New Roman" w:hAnsi="Times New Roman"/>
          <w:bCs w:val="0"/>
          <w:color w:val="auto"/>
          <w:sz w:val="24"/>
        </w:rPr>
        <w:t>CRR</w:t>
      </w:r>
      <w:r w:rsidRPr="00835753">
        <w:rPr>
          <w:rFonts w:ascii="Times New Roman" w:hAnsi="Times New Roman"/>
          <w:color w:val="auto"/>
          <w:sz w:val="24"/>
        </w:rPr>
        <w:t>.</w:t>
      </w:r>
    </w:p>
    <w:p w14:paraId="2C33B06C" w14:textId="77777777" w:rsidR="00295952" w:rsidRPr="00835753" w:rsidRDefault="00295952" w:rsidP="00295952">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835753"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1E974F5A" w:rsidR="00295952" w:rsidRPr="00835753" w:rsidRDefault="00295952" w:rsidP="00B2180A">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295952" w:rsidRPr="00835753" w14:paraId="38931EE1" w14:textId="77777777" w:rsidTr="00B2180A">
        <w:trPr>
          <w:trHeight w:val="238"/>
        </w:trPr>
        <w:tc>
          <w:tcPr>
            <w:tcW w:w="1384" w:type="dxa"/>
            <w:shd w:val="clear" w:color="auto" w:fill="D9D9D9" w:themeFill="background1" w:themeFillShade="D9"/>
          </w:tcPr>
          <w:p w14:paraId="5F0C6C00" w14:textId="77777777" w:rsidR="00295952" w:rsidRPr="00835753" w:rsidRDefault="00295952" w:rsidP="00B2180A">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7A981CBB" w14:textId="77777777" w:rsidR="00295952" w:rsidRPr="00835753" w:rsidRDefault="00295952" w:rsidP="00B2180A">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295952" w:rsidRPr="00835753" w14:paraId="06B27C97" w14:textId="77777777" w:rsidTr="00B2180A">
        <w:trPr>
          <w:trHeight w:val="680"/>
        </w:trPr>
        <w:tc>
          <w:tcPr>
            <w:tcW w:w="1384" w:type="dxa"/>
          </w:tcPr>
          <w:p w14:paraId="7F147BC5" w14:textId="77777777" w:rsidR="00295952" w:rsidRPr="00835753" w:rsidRDefault="00295952" w:rsidP="00B2180A">
            <w:pPr>
              <w:pStyle w:val="Applicationdirecte"/>
              <w:spacing w:before="60"/>
              <w:jc w:val="center"/>
            </w:pPr>
            <w:r w:rsidRPr="00835753">
              <w:t>1</w:t>
            </w:r>
          </w:p>
        </w:tc>
        <w:tc>
          <w:tcPr>
            <w:tcW w:w="7655" w:type="dxa"/>
            <w:vAlign w:val="center"/>
          </w:tcPr>
          <w:p w14:paraId="4FDD3332" w14:textId="0558FA0F" w:rsidR="00295952" w:rsidRPr="00835753" w:rsidRDefault="00295952" w:rsidP="00B2180A">
            <w:pPr>
              <w:spacing w:before="60" w:after="120"/>
              <w:jc w:val="both"/>
              <w:rPr>
                <w:rFonts w:ascii="Times New Roman" w:hAnsi="Times New Roman" w:cs="Times New Roman"/>
                <w:sz w:val="24"/>
              </w:rPr>
            </w:pPr>
            <w:r w:rsidRPr="00835753">
              <w:rPr>
                <w:rFonts w:ascii="Times New Roman" w:hAnsi="Times New Roman"/>
                <w:sz w:val="24"/>
              </w:rPr>
              <w:t>Dodatkowe 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 xml:space="preserve">resie funduszy własnych konglomeratu finansowego (kwota) </w:t>
            </w:r>
          </w:p>
          <w:p w14:paraId="7401DE1A" w14:textId="68D0A076" w:rsidR="00295952" w:rsidRPr="00835753" w:rsidRDefault="000A3A4A" w:rsidP="00704085">
            <w:pPr>
              <w:spacing w:before="60" w:after="120"/>
              <w:jc w:val="both"/>
              <w:rPr>
                <w:rFonts w:ascii="Times New Roman" w:hAnsi="Times New Roman" w:cs="Times New Roman"/>
                <w:sz w:val="24"/>
              </w:rPr>
            </w:pPr>
            <w:r w:rsidRPr="00835753">
              <w:rPr>
                <w:rFonts w:ascii="Times New Roman" w:hAnsi="Times New Roman"/>
                <w:sz w:val="24"/>
              </w:rPr>
              <w:lastRenderedPageBreak/>
              <w:t>Kwota dodatkowych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konglomeratu finansowego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6 dyrektywy 2002/87/WE Parlamentu Europejskiego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Rad</w:t>
            </w:r>
            <w:r w:rsidRPr="00835753">
              <w:rPr>
                <w:rFonts w:ascii="Times New Roman" w:hAnsi="Times New Roman"/>
                <w:sz w:val="24"/>
              </w:rPr>
              <w:t>y</w:t>
            </w:r>
            <w:r w:rsidRPr="00835753">
              <w:rPr>
                <w:rStyle w:val="FootnoteReference"/>
                <w:rFonts w:cs="Times New Roman"/>
              </w:rPr>
              <w:footnoteReference w:id="5"/>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ącznikiem I do tej dyrektywy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stosowania metody 1 lub</w:t>
            </w:r>
            <w:r w:rsidR="00835753" w:rsidRPr="00835753">
              <w:rPr>
                <w:rFonts w:ascii="Times New Roman" w:hAnsi="Times New Roman"/>
                <w:sz w:val="24"/>
              </w:rPr>
              <w:t> </w:t>
            </w:r>
            <w:r w:rsidRPr="00835753">
              <w:rPr>
                <w:rFonts w:ascii="Times New Roman" w:hAnsi="Times New Roman"/>
                <w:sz w:val="24"/>
              </w:rPr>
              <w:t>2 określonej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I.</w:t>
            </w:r>
          </w:p>
        </w:tc>
      </w:tr>
      <w:tr w:rsidR="00295952" w:rsidRPr="00835753" w14:paraId="1857A276" w14:textId="77777777" w:rsidTr="00B2180A">
        <w:trPr>
          <w:trHeight w:val="680"/>
        </w:trPr>
        <w:tc>
          <w:tcPr>
            <w:tcW w:w="1384" w:type="dxa"/>
          </w:tcPr>
          <w:p w14:paraId="08626B20" w14:textId="77777777" w:rsidR="00295952" w:rsidRPr="00835753" w:rsidRDefault="00295952" w:rsidP="00B2180A">
            <w:pPr>
              <w:pStyle w:val="Applicationdirecte"/>
              <w:spacing w:before="60"/>
              <w:jc w:val="center"/>
            </w:pPr>
            <w:r w:rsidRPr="00835753">
              <w:lastRenderedPageBreak/>
              <w:t>2</w:t>
            </w:r>
          </w:p>
        </w:tc>
        <w:tc>
          <w:tcPr>
            <w:tcW w:w="7655" w:type="dxa"/>
            <w:vAlign w:val="center"/>
          </w:tcPr>
          <w:p w14:paraId="42B45BEE" w14:textId="77777777" w:rsidR="00295952" w:rsidRPr="00835753" w:rsidRDefault="00295952" w:rsidP="00B2180A">
            <w:pPr>
              <w:spacing w:before="60" w:after="120"/>
              <w:jc w:val="both"/>
              <w:rPr>
                <w:rFonts w:ascii="Times New Roman" w:hAnsi="Times New Roman" w:cs="Times New Roman"/>
                <w:sz w:val="24"/>
              </w:rPr>
            </w:pPr>
            <w:r w:rsidRPr="00835753">
              <w:rPr>
                <w:rFonts w:ascii="Times New Roman" w:hAnsi="Times New Roman"/>
                <w:sz w:val="24"/>
              </w:rPr>
              <w:t>Współczynnik adekwatności kapitałowej konglomeratu finansowego (%)</w:t>
            </w:r>
          </w:p>
          <w:p w14:paraId="1C3780DF" w14:textId="66326F12" w:rsidR="00295952" w:rsidRPr="00835753" w:rsidRDefault="00295952" w:rsidP="00704085">
            <w:pPr>
              <w:spacing w:before="60" w:after="120"/>
              <w:jc w:val="both"/>
              <w:rPr>
                <w:rFonts w:ascii="Times New Roman" w:hAnsi="Times New Roman" w:cs="Times New Roman"/>
                <w:sz w:val="24"/>
              </w:rPr>
            </w:pPr>
            <w:r w:rsidRPr="00835753">
              <w:rPr>
                <w:rFonts w:ascii="Times New Roman" w:hAnsi="Times New Roman"/>
                <w:sz w:val="24"/>
              </w:rPr>
              <w:t>Współczynnik adekwatności kapitałowej konglomeratu finansowego obliczony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6 dyrektywy 2002/87/WE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ącznikiem I do tej dyrektywy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stosowania metody 1 lub</w:t>
            </w:r>
            <w:r w:rsidR="00835753" w:rsidRPr="00835753">
              <w:rPr>
                <w:rFonts w:ascii="Times New Roman" w:hAnsi="Times New Roman"/>
                <w:sz w:val="24"/>
              </w:rPr>
              <w:t> </w:t>
            </w:r>
            <w:r w:rsidRPr="00835753">
              <w:rPr>
                <w:rFonts w:ascii="Times New Roman" w:hAnsi="Times New Roman"/>
                <w:sz w:val="24"/>
              </w:rPr>
              <w:t>2 określonej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I.</w:t>
            </w:r>
          </w:p>
        </w:tc>
      </w:tr>
    </w:tbl>
    <w:p w14:paraId="75004C3A" w14:textId="77777777" w:rsidR="00295952" w:rsidRPr="00835753" w:rsidRDefault="00295952" w:rsidP="00E258D8">
      <w:pPr>
        <w:tabs>
          <w:tab w:val="left" w:pos="1430"/>
        </w:tabs>
        <w:rPr>
          <w:rFonts w:ascii="Times New Roman" w:hAnsi="Times New Roman" w:cs="Times New Roman"/>
          <w:b/>
          <w:sz w:val="24"/>
        </w:rPr>
      </w:pPr>
    </w:p>
    <w:p w14:paraId="2779323A" w14:textId="77777777" w:rsidR="00D15B1C" w:rsidRPr="00835753" w:rsidRDefault="00D15B1C" w:rsidP="00E258D8">
      <w:pPr>
        <w:tabs>
          <w:tab w:val="left" w:pos="1430"/>
        </w:tabs>
        <w:rPr>
          <w:rFonts w:ascii="Times New Roman" w:hAnsi="Times New Roman" w:cs="Times New Roman"/>
          <w:b/>
          <w:sz w:val="24"/>
        </w:rPr>
      </w:pPr>
      <w:r w:rsidRPr="00835753">
        <w:rPr>
          <w:rFonts w:ascii="Times New Roman" w:hAnsi="Times New Roman"/>
          <w:b/>
          <w:sz w:val="24"/>
        </w:rPr>
        <w:t xml:space="preserve">Tabela EU OVC – Informacje ICAAP. </w:t>
      </w:r>
      <w:r w:rsidRPr="00835753">
        <w:rPr>
          <w:rFonts w:ascii="Times New Roman" w:hAnsi="Times New Roman"/>
          <w:sz w:val="24"/>
        </w:rPr>
        <w:t>Format elastyczny</w:t>
      </w:r>
    </w:p>
    <w:p w14:paraId="6F8896EF" w14:textId="77777777" w:rsidR="00D15B1C" w:rsidRPr="00835753" w:rsidRDefault="00D15B1C" w:rsidP="00E258D8">
      <w:pPr>
        <w:tabs>
          <w:tab w:val="left" w:pos="1430"/>
        </w:tabs>
        <w:rPr>
          <w:rFonts w:ascii="Times New Roman" w:hAnsi="Times New Roman" w:cs="Times New Roman"/>
          <w:b/>
          <w:sz w:val="24"/>
        </w:rPr>
      </w:pPr>
    </w:p>
    <w:p w14:paraId="6613540B" w14:textId="010CDA6C" w:rsidR="00D15B1C" w:rsidRPr="00835753" w:rsidRDefault="00D15B1C" w:rsidP="00E70D84">
      <w:pPr>
        <w:pStyle w:val="Titlelevel2"/>
        <w:numPr>
          <w:ilvl w:val="0"/>
          <w:numId w:val="13"/>
        </w:numPr>
        <w:spacing w:before="120" w:after="120"/>
        <w:ind w:left="426"/>
        <w:rPr>
          <w:rFonts w:ascii="Times New Roman" w:hAnsi="Times New Roman"/>
          <w:color w:val="auto"/>
          <w:sz w:val="24"/>
        </w:rPr>
      </w:pPr>
      <w:r w:rsidRPr="00835753">
        <w:rPr>
          <w:rFonts w:ascii="Times New Roman" w:hAnsi="Times New Roman"/>
          <w:color w:val="auto"/>
          <w:sz w:val="24"/>
        </w:rPr>
        <w:t xml:space="preserve">Instytucje </w:t>
      </w:r>
      <w:r w:rsidRPr="00835753">
        <w:rPr>
          <w:rFonts w:ascii="Times New Roman" w:hAnsi="Times New Roman"/>
          <w:bCs w:val="0"/>
          <w:color w:val="000000"/>
          <w:sz w:val="24"/>
        </w:rPr>
        <w:t>stosują poniższe instrukcje zawarte</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załączniku</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cel</w:t>
      </w:r>
      <w:r w:rsidRPr="00835753">
        <w:rPr>
          <w:rFonts w:ascii="Times New Roman" w:hAnsi="Times New Roman"/>
          <w:bCs w:val="0"/>
          <w:color w:val="000000"/>
          <w:sz w:val="24"/>
        </w:rPr>
        <w:t>u wypełnienia tabeli EU OVC zamieszczonej</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 xml:space="preserve">ączniku I </w:t>
      </w:r>
      <w:r w:rsidRPr="00835753">
        <w:rPr>
          <w:rFonts w:ascii="Times New Roman" w:hAnsi="Times New Roman"/>
          <w:color w:val="auto"/>
          <w:sz w:val="24"/>
        </w:rPr>
        <w:t>zgodnie</w:t>
      </w:r>
      <w:r w:rsidR="00835753" w:rsidRPr="00835753">
        <w:rPr>
          <w:rFonts w:ascii="Times New Roman" w:hAnsi="Times New Roman"/>
          <w:color w:val="auto"/>
          <w:sz w:val="24"/>
        </w:rPr>
        <w:t xml:space="preserve"> z</w:t>
      </w:r>
      <w:r w:rsidR="00835753">
        <w:rPr>
          <w:rFonts w:ascii="Times New Roman" w:hAnsi="Times New Roman"/>
          <w:color w:val="auto"/>
          <w:sz w:val="24"/>
        </w:rPr>
        <w:t> </w:t>
      </w:r>
      <w:r w:rsidR="00835753" w:rsidRPr="00835753">
        <w:rPr>
          <w:rFonts w:ascii="Times New Roman" w:hAnsi="Times New Roman"/>
          <w:color w:val="auto"/>
          <w:sz w:val="24"/>
        </w:rPr>
        <w:t>art</w:t>
      </w:r>
      <w:r w:rsidRPr="00835753">
        <w:rPr>
          <w:rFonts w:ascii="Times New Roman" w:hAnsi="Times New Roman"/>
          <w:color w:val="auto"/>
          <w:sz w:val="24"/>
        </w:rPr>
        <w:t>.</w:t>
      </w:r>
      <w:r w:rsidR="00835753" w:rsidRPr="00835753">
        <w:rPr>
          <w:rFonts w:ascii="Times New Roman" w:hAnsi="Times New Roman"/>
          <w:color w:val="auto"/>
          <w:sz w:val="24"/>
        </w:rPr>
        <w:t> </w:t>
      </w:r>
      <w:r w:rsidRPr="00835753">
        <w:rPr>
          <w:rFonts w:ascii="Times New Roman" w:hAnsi="Times New Roman"/>
          <w:color w:val="auto"/>
          <w:sz w:val="24"/>
        </w:rPr>
        <w:t>438 lit.</w:t>
      </w:r>
      <w:r w:rsidR="00835753" w:rsidRPr="00835753">
        <w:rPr>
          <w:rFonts w:ascii="Times New Roman" w:hAnsi="Times New Roman"/>
          <w:color w:val="auto"/>
          <w:sz w:val="24"/>
        </w:rPr>
        <w:t> </w:t>
      </w:r>
      <w:r w:rsidRPr="00835753">
        <w:rPr>
          <w:rFonts w:ascii="Times New Roman" w:hAnsi="Times New Roman"/>
          <w:color w:val="auto"/>
          <w:sz w:val="24"/>
        </w:rPr>
        <w:t xml:space="preserve">a) i c) </w:t>
      </w:r>
      <w:r w:rsidRPr="00835753">
        <w:rPr>
          <w:rFonts w:ascii="Times New Roman" w:hAnsi="Times New Roman"/>
          <w:bCs w:val="0"/>
          <w:color w:val="auto"/>
          <w:sz w:val="24"/>
        </w:rPr>
        <w:t>CRR</w:t>
      </w:r>
      <w:r w:rsidRPr="00835753">
        <w:rPr>
          <w:rFonts w:ascii="Times New Roman" w:hAnsi="Times New Roman"/>
          <w:color w:val="auto"/>
          <w:sz w:val="24"/>
        </w:rPr>
        <w:t>.</w:t>
      </w:r>
    </w:p>
    <w:p w14:paraId="0E8C28B4" w14:textId="77777777" w:rsidR="00D15B1C" w:rsidRPr="00835753" w:rsidRDefault="00D15B1C" w:rsidP="00E258D8">
      <w:pPr>
        <w:tabs>
          <w:tab w:val="left" w:pos="1430"/>
        </w:tabs>
        <w:rPr>
          <w:rFonts w:ascii="Times New Roman" w:hAnsi="Times New Roman" w:cs="Times New Roman"/>
          <w:b/>
          <w:sz w:val="24"/>
        </w:rPr>
      </w:pPr>
    </w:p>
    <w:p w14:paraId="32023AC9" w14:textId="77777777" w:rsidR="00D15B1C" w:rsidRPr="00835753"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835753"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23684C9" w:rsidR="00D15B1C" w:rsidRPr="00835753" w:rsidRDefault="00D15B1C" w:rsidP="00B2180A">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D15B1C" w:rsidRPr="00835753" w14:paraId="6CAC9422" w14:textId="77777777" w:rsidTr="00B2180A">
        <w:trPr>
          <w:trHeight w:val="238"/>
        </w:trPr>
        <w:tc>
          <w:tcPr>
            <w:tcW w:w="1384" w:type="dxa"/>
            <w:shd w:val="clear" w:color="auto" w:fill="D9D9D9" w:themeFill="background1" w:themeFillShade="D9"/>
          </w:tcPr>
          <w:p w14:paraId="090C73F5" w14:textId="77777777" w:rsidR="00D15B1C" w:rsidRPr="00835753" w:rsidRDefault="00D15B1C" w:rsidP="00B2180A">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3DC94017" w14:textId="77777777" w:rsidR="00D15B1C" w:rsidRPr="00835753" w:rsidRDefault="00D15B1C" w:rsidP="00B2180A">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D15B1C" w:rsidRPr="00835753" w14:paraId="53740EA1" w14:textId="77777777" w:rsidTr="00B2180A">
        <w:trPr>
          <w:trHeight w:val="680"/>
        </w:trPr>
        <w:tc>
          <w:tcPr>
            <w:tcW w:w="1384" w:type="dxa"/>
          </w:tcPr>
          <w:p w14:paraId="33BBDE21" w14:textId="2466B35E" w:rsidR="00D15B1C" w:rsidRPr="00835753" w:rsidRDefault="00D85025" w:rsidP="00B2180A">
            <w:pPr>
              <w:pStyle w:val="Applicationdirecte"/>
              <w:spacing w:before="60"/>
              <w:jc w:val="center"/>
            </w:pPr>
            <w:proofErr w:type="gramStart"/>
            <w:r w:rsidRPr="00835753">
              <w:t>a</w:t>
            </w:r>
            <w:proofErr w:type="gramEnd"/>
            <w:r w:rsidRPr="00835753">
              <w:t>)</w:t>
            </w:r>
          </w:p>
        </w:tc>
        <w:tc>
          <w:tcPr>
            <w:tcW w:w="7655" w:type="dxa"/>
            <w:vAlign w:val="center"/>
          </w:tcPr>
          <w:p w14:paraId="4945628B" w14:textId="77777777" w:rsidR="00B05624" w:rsidRPr="00835753" w:rsidRDefault="00B05624" w:rsidP="00B2180A">
            <w:pPr>
              <w:spacing w:before="60" w:after="120"/>
              <w:jc w:val="both"/>
              <w:rPr>
                <w:rFonts w:ascii="Times New Roman" w:hAnsi="Times New Roman" w:cs="Times New Roman"/>
                <w:sz w:val="24"/>
              </w:rPr>
            </w:pPr>
            <w:r w:rsidRPr="00835753">
              <w:rPr>
                <w:rFonts w:ascii="Times New Roman" w:hAnsi="Times New Roman"/>
                <w:sz w:val="24"/>
              </w:rPr>
              <w:t>Metoda stosowana do oceny adekwatności kapitału wewnętrznego</w:t>
            </w:r>
          </w:p>
          <w:p w14:paraId="05E23E13" w14:textId="3597FA8C" w:rsidR="00D15B1C" w:rsidRPr="00835753" w:rsidRDefault="00B05624" w:rsidP="00B05624">
            <w:pPr>
              <w:spacing w:before="60" w:after="120"/>
              <w:jc w:val="both"/>
              <w:rPr>
                <w:rFonts w:ascii="Times New Roman" w:hAnsi="Times New Roman" w:cs="Times New Roman"/>
                <w:sz w:val="24"/>
              </w:rPr>
            </w:pPr>
            <w:r w:rsidRPr="00835753">
              <w:rPr>
                <w:rFonts w:ascii="Times New Roman" w:hAnsi="Times New Roman"/>
                <w:sz w:val="24"/>
              </w:rPr>
              <w:t>Instytucje ujawniają skrótowy opis metody, którą stosują do oceny adekwatności swojego kapitału wewnętrznego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wsparcia bieżących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yszłych działań.</w:t>
            </w:r>
          </w:p>
        </w:tc>
      </w:tr>
      <w:tr w:rsidR="00D15B1C" w:rsidRPr="00835753" w14:paraId="3EB24671" w14:textId="77777777" w:rsidTr="00B2180A">
        <w:trPr>
          <w:trHeight w:val="680"/>
        </w:trPr>
        <w:tc>
          <w:tcPr>
            <w:tcW w:w="1384" w:type="dxa"/>
          </w:tcPr>
          <w:p w14:paraId="26622B61" w14:textId="577E7939" w:rsidR="00D15B1C" w:rsidRPr="00835753" w:rsidRDefault="00D85025" w:rsidP="00B2180A">
            <w:pPr>
              <w:pStyle w:val="Applicationdirecte"/>
              <w:spacing w:before="60"/>
              <w:jc w:val="center"/>
            </w:pPr>
            <w:proofErr w:type="gramStart"/>
            <w:r w:rsidRPr="00835753">
              <w:t>b</w:t>
            </w:r>
            <w:proofErr w:type="gramEnd"/>
            <w:r w:rsidRPr="00835753">
              <w:t>)</w:t>
            </w:r>
          </w:p>
        </w:tc>
        <w:tc>
          <w:tcPr>
            <w:tcW w:w="7655" w:type="dxa"/>
            <w:vAlign w:val="center"/>
          </w:tcPr>
          <w:p w14:paraId="1F26E981" w14:textId="77777777" w:rsidR="00B05624" w:rsidRPr="00835753" w:rsidRDefault="00B05624" w:rsidP="00B2180A">
            <w:pPr>
              <w:spacing w:before="60" w:after="120"/>
              <w:jc w:val="both"/>
              <w:rPr>
                <w:rFonts w:ascii="Times New Roman" w:hAnsi="Times New Roman" w:cs="Times New Roman"/>
                <w:sz w:val="24"/>
              </w:rPr>
            </w:pPr>
            <w:r w:rsidRPr="00835753">
              <w:rPr>
                <w:rFonts w:ascii="Times New Roman" w:hAnsi="Times New Roman"/>
                <w:sz w:val="24"/>
              </w:rPr>
              <w:t>Na wniosek odpowiedniego właściwego organu – rezultaty stosowanego przez instytucję procesu oceny adekwatności kapitału wewnętrznego</w:t>
            </w:r>
          </w:p>
          <w:p w14:paraId="32D8B55C" w14:textId="77777777" w:rsidR="00D15B1C" w:rsidRPr="00835753" w:rsidRDefault="00B05624" w:rsidP="00B2180A">
            <w:pPr>
              <w:spacing w:before="60" w:after="120"/>
              <w:jc w:val="both"/>
              <w:rPr>
                <w:rFonts w:ascii="Times New Roman" w:hAnsi="Times New Roman" w:cs="Times New Roman"/>
                <w:sz w:val="24"/>
              </w:rPr>
            </w:pPr>
            <w:r w:rsidRPr="00835753">
              <w:rPr>
                <w:rFonts w:ascii="Times New Roman" w:hAnsi="Times New Roman"/>
                <w:sz w:val="24"/>
              </w:rPr>
              <w:t>Instytucje ujawniają te informacje wyłącznie na żądanie odpowiedniego właściwego organu.</w:t>
            </w:r>
          </w:p>
        </w:tc>
      </w:tr>
    </w:tbl>
    <w:p w14:paraId="5845237B" w14:textId="256996C7" w:rsidR="00600593" w:rsidRPr="00835753" w:rsidRDefault="00600593" w:rsidP="00E258D8">
      <w:pPr>
        <w:tabs>
          <w:tab w:val="left" w:pos="1430"/>
        </w:tabs>
        <w:rPr>
          <w:rFonts w:ascii="Times New Roman" w:hAnsi="Times New Roman" w:cs="Times New Roman"/>
          <w:b/>
          <w:sz w:val="24"/>
        </w:rPr>
      </w:pPr>
    </w:p>
    <w:p w14:paraId="0828005B" w14:textId="77777777" w:rsidR="007A7DC0" w:rsidRPr="00835753" w:rsidRDefault="007A7DC0">
      <w:pPr>
        <w:rPr>
          <w:rFonts w:ascii="Times New Roman" w:hAnsi="Times New Roman" w:cs="Times New Roman"/>
          <w:b/>
          <w:sz w:val="24"/>
        </w:rPr>
        <w:sectPr w:rsidR="007A7DC0" w:rsidRPr="00835753" w:rsidSect="00155C96">
          <w:headerReference w:type="even" r:id="rId8"/>
          <w:footerReference w:type="even" r:id="rId9"/>
          <w:footerReference w:type="default" r:id="rId10"/>
          <w:headerReference w:type="first" r:id="rId11"/>
          <w:pgSz w:w="11900" w:h="16840"/>
          <w:pgMar w:top="2268" w:right="1418" w:bottom="1134" w:left="1701" w:header="709" w:footer="709" w:gutter="0"/>
          <w:pgNumType w:start="1" w:chapStyle="1"/>
          <w:cols w:space="708"/>
          <w:docGrid w:linePitch="299"/>
        </w:sectPr>
      </w:pPr>
    </w:p>
    <w:p w14:paraId="3A51FABE" w14:textId="4C263282" w:rsidR="00600593" w:rsidRPr="00835753" w:rsidRDefault="00600593" w:rsidP="00600593">
      <w:pPr>
        <w:pStyle w:val="Annexetitre"/>
        <w:rPr>
          <w:b w:val="0"/>
        </w:rPr>
      </w:pPr>
      <w:r w:rsidRPr="00835753">
        <w:lastRenderedPageBreak/>
        <w:t>ZAŁĄCZNIK IV – Instrukcje dotyczące ujawniania celów</w:t>
      </w:r>
      <w:r w:rsidR="00835753" w:rsidRPr="00835753">
        <w:t xml:space="preserve"> i</w:t>
      </w:r>
      <w:r w:rsidR="00835753">
        <w:t> </w:t>
      </w:r>
      <w:r w:rsidR="00835753" w:rsidRPr="00835753">
        <w:t>str</w:t>
      </w:r>
      <w:r w:rsidRPr="00835753">
        <w:t>ategii</w:t>
      </w:r>
      <w:r w:rsidR="00835753" w:rsidRPr="00835753">
        <w:t xml:space="preserve"> w</w:t>
      </w:r>
      <w:r w:rsidR="00835753">
        <w:t> </w:t>
      </w:r>
      <w:r w:rsidR="00835753" w:rsidRPr="00835753">
        <w:t>zak</w:t>
      </w:r>
      <w:r w:rsidRPr="00835753">
        <w:t>resie zarządzania ryzykiem</w:t>
      </w:r>
    </w:p>
    <w:p w14:paraId="760D0F94" w14:textId="77777777" w:rsidR="00600593" w:rsidRPr="00835753" w:rsidRDefault="00600593" w:rsidP="00600593">
      <w:pPr>
        <w:rPr>
          <w:rFonts w:ascii="Times New Roman" w:hAnsi="Times New Roman" w:cs="Times New Roman"/>
          <w:sz w:val="24"/>
        </w:rPr>
      </w:pPr>
    </w:p>
    <w:p w14:paraId="6E1BA8AF" w14:textId="01B5C85F" w:rsidR="00600593" w:rsidRPr="00835753" w:rsidRDefault="00D95507" w:rsidP="00600593">
      <w:pPr>
        <w:rPr>
          <w:rFonts w:ascii="Times New Roman" w:hAnsi="Times New Roman" w:cs="Times New Roman"/>
          <w:sz w:val="24"/>
        </w:rPr>
      </w:pPr>
      <w:r w:rsidRPr="00835753">
        <w:rPr>
          <w:rFonts w:ascii="Times New Roman" w:hAnsi="Times New Roman"/>
          <w:b/>
          <w:sz w:val="24"/>
        </w:rPr>
        <w:t>Tabela EU OVA – Metoda zarządzania ryzykiem instytucji.</w:t>
      </w:r>
      <w:r w:rsidRPr="00835753">
        <w:rPr>
          <w:rFonts w:ascii="Times New Roman" w:hAnsi="Times New Roman"/>
          <w:sz w:val="24"/>
        </w:rPr>
        <w:t xml:space="preserve"> Pola na tekst</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for</w:t>
      </w:r>
      <w:r w:rsidRPr="00835753">
        <w:rPr>
          <w:rFonts w:ascii="Times New Roman" w:hAnsi="Times New Roman"/>
          <w:sz w:val="24"/>
        </w:rPr>
        <w:t>macie dowolnym do celów ujawniania informacji jakościowych</w:t>
      </w:r>
    </w:p>
    <w:p w14:paraId="36232E99" w14:textId="3AD024FC" w:rsidR="00600593" w:rsidRPr="00835753" w:rsidRDefault="00600593" w:rsidP="00E70D84">
      <w:pPr>
        <w:pStyle w:val="ListParagraph"/>
        <w:numPr>
          <w:ilvl w:val="0"/>
          <w:numId w:val="17"/>
        </w:numPr>
        <w:spacing w:before="120" w:after="120"/>
        <w:ind w:left="426"/>
        <w:jc w:val="both"/>
        <w:rPr>
          <w:rFonts w:ascii="Times New Roman" w:hAnsi="Times New Roman"/>
          <w:sz w:val="24"/>
        </w:rPr>
      </w:pPr>
      <w:r w:rsidRPr="00835753">
        <w:rPr>
          <w:rFonts w:ascii="Times New Roman" w:hAnsi="Times New Roman"/>
          <w:sz w:val="24"/>
        </w:rPr>
        <w:t>W celu wypełnienia tabeli EU OVA zamieszczonej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III do niniejszego rozporządzenia wykonawczego instytucje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1 rozporządzenia (UE) nr</w:t>
      </w:r>
      <w:r w:rsidR="00835753" w:rsidRPr="00835753">
        <w:rPr>
          <w:rFonts w:ascii="Times New Roman" w:hAnsi="Times New Roman"/>
          <w:sz w:val="24"/>
        </w:rPr>
        <w:t> </w:t>
      </w:r>
      <w:r w:rsidRPr="00835753">
        <w:rPr>
          <w:rFonts w:ascii="Times New Roman" w:hAnsi="Times New Roman"/>
          <w:sz w:val="24"/>
        </w:rPr>
        <w:t>575/2013</w:t>
      </w:r>
      <w:r w:rsidRPr="00835753">
        <w:rPr>
          <w:rStyle w:val="FootnoteReference"/>
        </w:rPr>
        <w:footnoteReference w:id="6"/>
      </w:r>
      <w:r w:rsidRPr="00835753">
        <w:rPr>
          <w:rFonts w:ascii="Times New Roman" w:hAnsi="Times New Roman"/>
          <w:sz w:val="24"/>
        </w:rPr>
        <w:t xml:space="preserve">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835753"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0B8F5C50" w:rsidR="00600593" w:rsidRPr="00835753" w:rsidRDefault="00600593" w:rsidP="00803BB4">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600593" w:rsidRPr="00835753" w14:paraId="197AC157" w14:textId="77777777" w:rsidTr="00803BB4">
        <w:trPr>
          <w:trHeight w:val="238"/>
        </w:trPr>
        <w:tc>
          <w:tcPr>
            <w:tcW w:w="1384" w:type="dxa"/>
            <w:shd w:val="clear" w:color="auto" w:fill="D9D9D9" w:themeFill="background1" w:themeFillShade="D9"/>
          </w:tcPr>
          <w:p w14:paraId="1D3C329F" w14:textId="77777777" w:rsidR="00600593" w:rsidRPr="00835753" w:rsidRDefault="00600593" w:rsidP="00803BB4">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296EC4A5" w14:textId="77777777" w:rsidR="00600593" w:rsidRPr="00835753" w:rsidRDefault="00600593" w:rsidP="00803BB4">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600593" w:rsidRPr="00835753" w14:paraId="36EA873F" w14:textId="77777777" w:rsidTr="00803BB4">
        <w:trPr>
          <w:trHeight w:val="1803"/>
        </w:trPr>
        <w:tc>
          <w:tcPr>
            <w:tcW w:w="1384" w:type="dxa"/>
          </w:tcPr>
          <w:p w14:paraId="1557E074" w14:textId="77777777" w:rsidR="00600593" w:rsidRPr="00835753" w:rsidRDefault="00600593" w:rsidP="00803BB4">
            <w:pPr>
              <w:pStyle w:val="Applicationdirecte"/>
              <w:spacing w:before="120"/>
            </w:pPr>
            <w:proofErr w:type="gramStart"/>
            <w:r w:rsidRPr="00835753">
              <w:t>a</w:t>
            </w:r>
            <w:proofErr w:type="gramEnd"/>
            <w:r w:rsidRPr="00835753">
              <w:t>)</w:t>
            </w:r>
          </w:p>
        </w:tc>
        <w:tc>
          <w:tcPr>
            <w:tcW w:w="7655" w:type="dxa"/>
          </w:tcPr>
          <w:p w14:paraId="674A7E4E" w14:textId="0272136C" w:rsidR="00600593" w:rsidRPr="00835753" w:rsidRDefault="00600593" w:rsidP="00803BB4">
            <w:pPr>
              <w:spacing w:before="120" w:after="120"/>
              <w:jc w:val="both"/>
              <w:rPr>
                <w:rFonts w:ascii="Times New Roman" w:hAnsi="Times New Roman" w:cs="Times New Roman"/>
                <w:sz w:val="24"/>
              </w:rPr>
            </w:pPr>
            <w:r w:rsidRPr="00835753">
              <w:rPr>
                <w:rFonts w:ascii="Times New Roman" w:hAnsi="Times New Roman"/>
                <w:sz w:val="24"/>
              </w:rPr>
              <w:t>Zwięzłe oświadczenia na temat ryzyka zatwierdzone przez organ zarządzający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f) CRR zawiera opis sposobu,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 model biznesowy determinuje ogólny profil ryzyka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wch</w:t>
            </w:r>
            <w:r w:rsidRPr="00835753">
              <w:rPr>
                <w:rFonts w:ascii="Times New Roman" w:hAnsi="Times New Roman"/>
                <w:sz w:val="24"/>
              </w:rPr>
              <w:t>odzi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nim w</w:t>
            </w:r>
            <w:r w:rsidR="00835753">
              <w:rPr>
                <w:rFonts w:ascii="Times New Roman" w:hAnsi="Times New Roman"/>
                <w:sz w:val="24"/>
              </w:rPr>
              <w:t> </w:t>
            </w:r>
            <w:r w:rsidR="00835753" w:rsidRPr="00835753">
              <w:rPr>
                <w:rFonts w:ascii="Times New Roman" w:hAnsi="Times New Roman"/>
                <w:sz w:val="24"/>
              </w:rPr>
              <w:t>int</w:t>
            </w:r>
            <w:r w:rsidRPr="00835753">
              <w:rPr>
                <w:rFonts w:ascii="Times New Roman" w:hAnsi="Times New Roman"/>
                <w:sz w:val="24"/>
              </w:rPr>
              <w:t>erakcje: na przykład opis kluczowych rodzajów ryzyka związanego</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modelem biznesowym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spo</w:t>
            </w:r>
            <w:r w:rsidRPr="00835753">
              <w:rPr>
                <w:rFonts w:ascii="Times New Roman" w:hAnsi="Times New Roman"/>
                <w:sz w:val="24"/>
              </w:rPr>
              <w:t>sobu,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 każdy taki rodzaj ryzyka jest odzwierciedlany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opi</w:t>
            </w:r>
            <w:r w:rsidRPr="00835753">
              <w:rPr>
                <w:rFonts w:ascii="Times New Roman" w:hAnsi="Times New Roman"/>
                <w:sz w:val="24"/>
              </w:rPr>
              <w:t>sywany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uja</w:t>
            </w:r>
            <w:r w:rsidRPr="00835753">
              <w:rPr>
                <w:rFonts w:ascii="Times New Roman" w:hAnsi="Times New Roman"/>
                <w:sz w:val="24"/>
              </w:rPr>
              <w:t>wnianych informacjach na temat ryzyka, lub też opis interakcji między profilem ryzyka danej instytucji</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tol</w:t>
            </w:r>
            <w:r w:rsidRPr="00835753">
              <w:rPr>
                <w:rFonts w:ascii="Times New Roman" w:hAnsi="Times New Roman"/>
                <w:sz w:val="24"/>
              </w:rPr>
              <w:t>erancją na ryzyko zatwierdzoną przez organ zarządzający.</w:t>
            </w:r>
          </w:p>
          <w:p w14:paraId="2FDC7112" w14:textId="45B822FB" w:rsidR="00600593" w:rsidRPr="00835753" w:rsidRDefault="00600593" w:rsidP="00803BB4">
            <w:pPr>
              <w:spacing w:before="120" w:after="120"/>
              <w:jc w:val="both"/>
              <w:rPr>
                <w:rFonts w:ascii="Times New Roman" w:hAnsi="Times New Roman" w:cs="Times New Roman"/>
                <w:sz w:val="24"/>
              </w:rPr>
            </w:pPr>
            <w:r w:rsidRPr="00835753">
              <w:rPr>
                <w:rFonts w:ascii="Times New Roman" w:hAnsi="Times New Roman"/>
                <w:sz w:val="24"/>
              </w:rPr>
              <w:t>W oświadczeniu na temat ryzyka,</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rym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f) CRR, instytucje ujawniają również charakter, zakres, cel</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eko</w:t>
            </w:r>
            <w:r w:rsidRPr="00835753">
              <w:rPr>
                <w:rFonts w:ascii="Times New Roman" w:hAnsi="Times New Roman"/>
                <w:sz w:val="24"/>
              </w:rPr>
              <w:t>nomiczny charakter istotnych transakcji wewnątrz grupy,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miotami powiązanymi oraz</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iązanymi stronami. Ujawniane informacje ograniczają się do transakcji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ist</w:t>
            </w:r>
            <w:r w:rsidRPr="00835753">
              <w:rPr>
                <w:rFonts w:ascii="Times New Roman" w:hAnsi="Times New Roman"/>
                <w:sz w:val="24"/>
              </w:rPr>
              <w:t>otnym wpływie na profil ryzyka danej instytucji (z uwzględnieniem ryzyka utraty reputacji) lub rozkładu ryzyka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gru</w:t>
            </w:r>
            <w:r w:rsidRPr="00835753">
              <w:rPr>
                <w:rFonts w:ascii="Times New Roman" w:hAnsi="Times New Roman"/>
                <w:sz w:val="24"/>
              </w:rPr>
              <w:t>pie. Instytucje uwzględniają również kluczowe wskaźniki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e liczbowe zapewniające obraz interakcji między profilem ryzyka danej instytucji</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tol</w:t>
            </w:r>
            <w:r w:rsidRPr="00835753">
              <w:rPr>
                <w:rFonts w:ascii="Times New Roman" w:hAnsi="Times New Roman"/>
                <w:sz w:val="24"/>
              </w:rPr>
              <w:t>erancją na ryzyko określoną przez organ zarządzający.</w:t>
            </w:r>
          </w:p>
        </w:tc>
      </w:tr>
      <w:tr w:rsidR="00600593" w:rsidRPr="00835753" w14:paraId="72E9B739" w14:textId="77777777" w:rsidTr="00803BB4">
        <w:trPr>
          <w:trHeight w:val="316"/>
        </w:trPr>
        <w:tc>
          <w:tcPr>
            <w:tcW w:w="1384" w:type="dxa"/>
          </w:tcPr>
          <w:p w14:paraId="5E534F35" w14:textId="77777777" w:rsidR="00600593" w:rsidRPr="00835753" w:rsidRDefault="00600593" w:rsidP="00803BB4">
            <w:pPr>
              <w:autoSpaceDE w:val="0"/>
              <w:autoSpaceDN w:val="0"/>
              <w:adjustRightInd w:val="0"/>
              <w:rPr>
                <w:rFonts w:ascii="Times New Roman" w:eastAsia="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655" w:type="dxa"/>
          </w:tcPr>
          <w:p w14:paraId="3D127D7E" w14:textId="0170E8FD" w:rsidR="00600593" w:rsidRPr="0083575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Informacje ujawniane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b) CRR obejmują strukturę zarządzania ryzykiem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każdego rodzaju ryzyka: podział obowiązków na wszystkich szczeblach danej instytucji (w tym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 nadzór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del</w:t>
            </w:r>
            <w:r w:rsidRPr="00835753">
              <w:rPr>
                <w:rFonts w:ascii="Times New Roman" w:hAnsi="Times New Roman"/>
                <w:sz w:val="24"/>
              </w:rPr>
              <w:t>egowanie uprawnień oraz podział obowiązków między organ zarządzający, linie biznesowe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fun</w:t>
            </w:r>
            <w:r w:rsidRPr="00835753">
              <w:rPr>
                <w:rFonts w:ascii="Times New Roman" w:hAnsi="Times New Roman"/>
                <w:sz w:val="24"/>
              </w:rPr>
              <w:t>kcję zarządzania ryzykiem według rodzaju ryzyka, jednostki gospodarczej oraz innych istotnych informacji); związek między podmiotami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fun</w:t>
            </w:r>
            <w:r w:rsidRPr="00835753">
              <w:rPr>
                <w:rFonts w:ascii="Times New Roman" w:hAnsi="Times New Roman"/>
                <w:sz w:val="24"/>
              </w:rPr>
              <w:t>kcjami zaangażowanymi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pro</w:t>
            </w:r>
            <w:r w:rsidRPr="00835753">
              <w:rPr>
                <w:rFonts w:ascii="Times New Roman" w:hAnsi="Times New Roman"/>
                <w:sz w:val="24"/>
              </w:rPr>
              <w:t>cesy zarządzania ryzykiem (uwzględniając</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 organ zarządzający, komitet ds. ryzyka, funkcję zarządzania ryzykiem, funkcję zgodności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episami, funkcję audytu wewnętrznego); oraz procedury organizacyjne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pro</w:t>
            </w:r>
            <w:r w:rsidRPr="00835753">
              <w:rPr>
                <w:rFonts w:ascii="Times New Roman" w:hAnsi="Times New Roman"/>
                <w:sz w:val="24"/>
              </w:rPr>
              <w:t xml:space="preserve">cedury kontroli wewnętrznej. </w:t>
            </w:r>
          </w:p>
          <w:p w14:paraId="0965316E" w14:textId="591A4687" w:rsidR="00600593" w:rsidRPr="0083575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lastRenderedPageBreak/>
              <w:t>Ujawniając informacje na temat struktury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org</w:t>
            </w:r>
            <w:r w:rsidRPr="00835753">
              <w:rPr>
                <w:rFonts w:ascii="Times New Roman" w:hAnsi="Times New Roman"/>
                <w:sz w:val="24"/>
              </w:rPr>
              <w:t xml:space="preserve">anizacji odpowiedniej funkcji zarządzania ryzykiem, instytucje ujawniają dodatkowo następujące informacje: </w:t>
            </w:r>
          </w:p>
          <w:p w14:paraId="0A25F699" w14:textId="0A655572" w:rsidR="00600593" w:rsidRPr="0083575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proofErr w:type="gramStart"/>
            <w:r w:rsidRPr="00835753">
              <w:rPr>
                <w:rFonts w:ascii="Times New Roman" w:hAnsi="Times New Roman"/>
                <w:sz w:val="24"/>
                <w:szCs w:val="24"/>
              </w:rPr>
              <w:t>informacje</w:t>
            </w:r>
            <w:proofErr w:type="gramEnd"/>
            <w:r w:rsidRPr="00835753">
              <w:rPr>
                <w:rFonts w:ascii="Times New Roman" w:hAnsi="Times New Roman"/>
                <w:sz w:val="24"/>
                <w:szCs w:val="24"/>
              </w:rPr>
              <w:t xml:space="preserve"> na temat ogólnych ram kontroli wewnętrznej oraz organizacji funkcji kontroli (uprawnienia, zasoby, statut, niezależność), głównych wykonywanych przez nie zadań oraz wszelkich faktycznych</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pla</w:t>
            </w:r>
            <w:r w:rsidRPr="00835753">
              <w:rPr>
                <w:rFonts w:ascii="Times New Roman" w:hAnsi="Times New Roman"/>
                <w:sz w:val="24"/>
                <w:szCs w:val="24"/>
              </w:rPr>
              <w:t xml:space="preserve">nowanych istotnych zmian tych funkcji; </w:t>
            </w:r>
          </w:p>
          <w:p w14:paraId="6D71F072" w14:textId="77777777" w:rsidR="00600593" w:rsidRPr="0083575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proofErr w:type="gramStart"/>
            <w:r w:rsidRPr="00835753">
              <w:rPr>
                <w:rFonts w:ascii="Times New Roman" w:hAnsi="Times New Roman"/>
                <w:sz w:val="24"/>
                <w:szCs w:val="24"/>
              </w:rPr>
              <w:t>zatwierdzone</w:t>
            </w:r>
            <w:proofErr w:type="gramEnd"/>
            <w:r w:rsidRPr="00835753">
              <w:rPr>
                <w:rFonts w:ascii="Times New Roman" w:hAnsi="Times New Roman"/>
                <w:sz w:val="24"/>
                <w:szCs w:val="24"/>
              </w:rPr>
              <w:t xml:space="preserve"> limity ryzyka, na które dana instytucja jest narażona; </w:t>
            </w:r>
          </w:p>
          <w:p w14:paraId="47222D57" w14:textId="5D9805E2" w:rsidR="00600593" w:rsidRPr="0083575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proofErr w:type="gramStart"/>
            <w:r w:rsidRPr="00835753">
              <w:rPr>
                <w:rFonts w:ascii="Times New Roman" w:hAnsi="Times New Roman"/>
                <w:sz w:val="24"/>
                <w:szCs w:val="24"/>
              </w:rPr>
              <w:t>zmiany</w:t>
            </w:r>
            <w:proofErr w:type="gramEnd"/>
            <w:r w:rsidRPr="00835753">
              <w:rPr>
                <w:rFonts w:ascii="Times New Roman" w:hAnsi="Times New Roman"/>
                <w:sz w:val="24"/>
                <w:szCs w:val="24"/>
              </w:rPr>
              <w:t xml:space="preserve"> na stanowiskach kierowników funkcji kontroli wewnętrznej, zarządzania ryzykiem, zgodności</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episami</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aud</w:t>
            </w:r>
            <w:r w:rsidRPr="00835753">
              <w:rPr>
                <w:rFonts w:ascii="Times New Roman" w:hAnsi="Times New Roman"/>
                <w:sz w:val="24"/>
                <w:szCs w:val="24"/>
              </w:rPr>
              <w:t>ytu wewnętrznego;</w:t>
            </w:r>
          </w:p>
          <w:p w14:paraId="05323A0D" w14:textId="5B0C8888" w:rsidR="00600593" w:rsidRPr="0083575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proofErr w:type="gramStart"/>
            <w:r w:rsidRPr="00835753">
              <w:rPr>
                <w:rFonts w:ascii="Times New Roman" w:hAnsi="Times New Roman"/>
                <w:sz w:val="24"/>
                <w:szCs w:val="24"/>
              </w:rPr>
              <w:t>kanały</w:t>
            </w:r>
            <w:proofErr w:type="gramEnd"/>
            <w:r w:rsidRPr="00835753">
              <w:rPr>
                <w:rFonts w:ascii="Times New Roman" w:hAnsi="Times New Roman"/>
                <w:sz w:val="24"/>
                <w:szCs w:val="24"/>
              </w:rPr>
              <w:t xml:space="preserve"> informowania</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obo</w:t>
            </w:r>
            <w:r w:rsidRPr="00835753">
              <w:rPr>
                <w:rFonts w:ascii="Times New Roman" w:hAnsi="Times New Roman"/>
                <w:sz w:val="24"/>
                <w:szCs w:val="24"/>
              </w:rPr>
              <w:t>wiązującej</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dan</w:t>
            </w:r>
            <w:r w:rsidRPr="00835753">
              <w:rPr>
                <w:rFonts w:ascii="Times New Roman" w:hAnsi="Times New Roman"/>
                <w:sz w:val="24"/>
                <w:szCs w:val="24"/>
              </w:rPr>
              <w:t>ej instytucji kulturze ryzyka,</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jej</w:t>
            </w:r>
            <w:r w:rsidRPr="00835753">
              <w:rPr>
                <w:rFonts w:ascii="Times New Roman" w:hAnsi="Times New Roman"/>
                <w:sz w:val="24"/>
                <w:szCs w:val="24"/>
              </w:rPr>
              <w:t xml:space="preserve"> pogarszaniu się</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egz</w:t>
            </w:r>
            <w:r w:rsidRPr="00835753">
              <w:rPr>
                <w:rFonts w:ascii="Times New Roman" w:hAnsi="Times New Roman"/>
                <w:sz w:val="24"/>
                <w:szCs w:val="24"/>
              </w:rPr>
              <w:t>ekwowaniu (na przykład czy obowiązują kodeksy postępowania, instrukcje zawierające limity operacyjne lub procedury postępowania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ypadku naruszeń lub przekroczeń progów ryzyka, lub procedury zgłaszania kwestii związanych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ryz</w:t>
            </w:r>
            <w:r w:rsidRPr="00835753">
              <w:rPr>
                <w:rFonts w:ascii="Times New Roman" w:hAnsi="Times New Roman"/>
                <w:sz w:val="24"/>
                <w:szCs w:val="24"/>
              </w:rPr>
              <w:t>ykiem</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wym</w:t>
            </w:r>
            <w:r w:rsidRPr="00835753">
              <w:rPr>
                <w:rFonts w:ascii="Times New Roman" w:hAnsi="Times New Roman"/>
                <w:sz w:val="24"/>
                <w:szCs w:val="24"/>
              </w:rPr>
              <w:t>iany informacji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zakresie między liniami biznesowymi</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fun</w:t>
            </w:r>
            <w:r w:rsidRPr="00835753">
              <w:rPr>
                <w:rFonts w:ascii="Times New Roman" w:hAnsi="Times New Roman"/>
                <w:sz w:val="24"/>
                <w:szCs w:val="24"/>
              </w:rPr>
              <w:t>kcjami związanymi</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ryz</w:t>
            </w:r>
            <w:r w:rsidRPr="00835753">
              <w:rPr>
                <w:rFonts w:ascii="Times New Roman" w:hAnsi="Times New Roman"/>
                <w:sz w:val="24"/>
                <w:szCs w:val="24"/>
              </w:rPr>
              <w:t>ykiem).</w:t>
            </w:r>
          </w:p>
        </w:tc>
      </w:tr>
      <w:tr w:rsidR="00600593" w:rsidRPr="00835753" w14:paraId="37D179D5" w14:textId="77777777" w:rsidTr="00803BB4">
        <w:trPr>
          <w:trHeight w:val="316"/>
        </w:trPr>
        <w:tc>
          <w:tcPr>
            <w:tcW w:w="1384" w:type="dxa"/>
          </w:tcPr>
          <w:p w14:paraId="0B26EFE2" w14:textId="77777777" w:rsidR="00600593" w:rsidRPr="00835753" w:rsidRDefault="00600593" w:rsidP="00803BB4">
            <w:pPr>
              <w:autoSpaceDE w:val="0"/>
              <w:autoSpaceDN w:val="0"/>
              <w:adjustRightInd w:val="0"/>
              <w:rPr>
                <w:rFonts w:ascii="Times New Roman" w:eastAsia="Times New Roman" w:hAnsi="Times New Roman" w:cs="Times New Roman"/>
                <w:sz w:val="24"/>
              </w:rPr>
            </w:pPr>
            <w:proofErr w:type="gramStart"/>
            <w:r w:rsidRPr="00835753">
              <w:rPr>
                <w:rFonts w:ascii="Times New Roman" w:hAnsi="Times New Roman"/>
                <w:sz w:val="24"/>
              </w:rPr>
              <w:lastRenderedPageBreak/>
              <w:t>c</w:t>
            </w:r>
            <w:proofErr w:type="gramEnd"/>
            <w:r w:rsidRPr="00835753">
              <w:rPr>
                <w:rFonts w:ascii="Times New Roman" w:hAnsi="Times New Roman"/>
                <w:sz w:val="24"/>
              </w:rPr>
              <w:t>)</w:t>
            </w:r>
          </w:p>
        </w:tc>
        <w:tc>
          <w:tcPr>
            <w:tcW w:w="7655" w:type="dxa"/>
          </w:tcPr>
          <w:p w14:paraId="6FCD7369" w14:textId="082EA1EA" w:rsidR="00600593" w:rsidRPr="0083575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Oświadczenie na temat adekwatności ustaleń dotyczących zarządzania ryzykiem ujawniane przez instytucje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e) CRR musi zostać zatwierdzone przez organ zarządzający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mus</w:t>
            </w:r>
            <w:r w:rsidRPr="00835753">
              <w:rPr>
                <w:rFonts w:ascii="Times New Roman" w:hAnsi="Times New Roman"/>
                <w:sz w:val="24"/>
              </w:rPr>
              <w:t>i dawać pewność, że stosowane systemy zarządzania ryzykiem są odpowiednie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pun</w:t>
            </w:r>
            <w:r w:rsidRPr="00835753">
              <w:rPr>
                <w:rFonts w:ascii="Times New Roman" w:hAnsi="Times New Roman"/>
                <w:sz w:val="24"/>
              </w:rPr>
              <w:t>ktu widzenia profilu ryzyka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str</w:t>
            </w:r>
            <w:r w:rsidRPr="00835753">
              <w:rPr>
                <w:rFonts w:ascii="Times New Roman" w:hAnsi="Times New Roman"/>
                <w:sz w:val="24"/>
              </w:rPr>
              <w:t>ategii instytucji.</w:t>
            </w:r>
          </w:p>
        </w:tc>
      </w:tr>
      <w:tr w:rsidR="00600593" w:rsidRPr="00835753" w14:paraId="67618ABC" w14:textId="77777777" w:rsidTr="00803BB4">
        <w:trPr>
          <w:trHeight w:val="316"/>
        </w:trPr>
        <w:tc>
          <w:tcPr>
            <w:tcW w:w="1384" w:type="dxa"/>
          </w:tcPr>
          <w:p w14:paraId="7A3BAF6D" w14:textId="77777777" w:rsidR="00600593" w:rsidRPr="00835753" w:rsidRDefault="00600593" w:rsidP="00803BB4">
            <w:pPr>
              <w:autoSpaceDE w:val="0"/>
              <w:autoSpaceDN w:val="0"/>
              <w:adjustRightInd w:val="0"/>
              <w:rPr>
                <w:rFonts w:ascii="Times New Roman" w:eastAsia="Times New Roman" w:hAnsi="Times New Roman" w:cs="Times New Roman"/>
                <w:sz w:val="24"/>
              </w:rPr>
            </w:pPr>
            <w:proofErr w:type="gramStart"/>
            <w:r w:rsidRPr="00835753">
              <w:rPr>
                <w:rFonts w:ascii="Times New Roman" w:hAnsi="Times New Roman"/>
                <w:sz w:val="24"/>
              </w:rPr>
              <w:t>d</w:t>
            </w:r>
            <w:proofErr w:type="gramEnd"/>
            <w:r w:rsidRPr="00835753">
              <w:rPr>
                <w:rFonts w:ascii="Times New Roman" w:hAnsi="Times New Roman"/>
                <w:sz w:val="24"/>
              </w:rPr>
              <w:t>)</w:t>
            </w:r>
          </w:p>
        </w:tc>
        <w:tc>
          <w:tcPr>
            <w:tcW w:w="7655" w:type="dxa"/>
          </w:tcPr>
          <w:p w14:paraId="5EC5DAA3" w14:textId="076820F6" w:rsidR="00600593" w:rsidRPr="0083575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Informacje, które instytucje są zobowiązane ujawniać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c) CRR, obejmują zakres</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cha</w:t>
            </w:r>
            <w:r w:rsidRPr="00835753">
              <w:rPr>
                <w:rFonts w:ascii="Times New Roman" w:hAnsi="Times New Roman"/>
                <w:sz w:val="24"/>
              </w:rPr>
              <w:t>rakter systemów ujawniania lub pomiaru ryzyka oraz opis przepływu informacji na temat ryzyka kierowanych do organu zarządzającego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kad</w:t>
            </w:r>
            <w:r w:rsidRPr="00835753">
              <w:rPr>
                <w:rFonts w:ascii="Times New Roman" w:hAnsi="Times New Roman"/>
                <w:sz w:val="24"/>
              </w:rPr>
              <w:t xml:space="preserve">ry kierowniczej wyższego szczebla. </w:t>
            </w:r>
          </w:p>
        </w:tc>
      </w:tr>
      <w:tr w:rsidR="00600593" w:rsidRPr="00835753" w14:paraId="7A8B78B9" w14:textId="77777777" w:rsidTr="00803BB4">
        <w:trPr>
          <w:trHeight w:val="316"/>
        </w:trPr>
        <w:tc>
          <w:tcPr>
            <w:tcW w:w="1384" w:type="dxa"/>
          </w:tcPr>
          <w:p w14:paraId="2414413D" w14:textId="77777777" w:rsidR="00600593" w:rsidRPr="00835753" w:rsidRDefault="00600593" w:rsidP="00803BB4">
            <w:pPr>
              <w:autoSpaceDE w:val="0"/>
              <w:autoSpaceDN w:val="0"/>
              <w:adjustRightInd w:val="0"/>
              <w:rPr>
                <w:rFonts w:ascii="Times New Roman" w:eastAsia="Times New Roman" w:hAnsi="Times New Roman" w:cs="Times New Roman"/>
                <w:sz w:val="24"/>
              </w:rPr>
            </w:pPr>
            <w:proofErr w:type="gramStart"/>
            <w:r w:rsidRPr="00835753">
              <w:rPr>
                <w:rFonts w:ascii="Times New Roman" w:hAnsi="Times New Roman"/>
                <w:sz w:val="24"/>
              </w:rPr>
              <w:t>e</w:t>
            </w:r>
            <w:proofErr w:type="gramEnd"/>
            <w:r w:rsidRPr="00835753">
              <w:rPr>
                <w:rFonts w:ascii="Times New Roman" w:hAnsi="Times New Roman"/>
                <w:sz w:val="24"/>
              </w:rPr>
              <w:t>)</w:t>
            </w:r>
          </w:p>
        </w:tc>
        <w:tc>
          <w:tcPr>
            <w:tcW w:w="7655" w:type="dxa"/>
          </w:tcPr>
          <w:p w14:paraId="38178D10" w14:textId="444BBE61" w:rsidR="00600593" w:rsidRPr="0083575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Udzielając informacji na temat głównych cech systemów ujawniania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pom</w:t>
            </w:r>
            <w:r w:rsidRPr="00835753">
              <w:rPr>
                <w:rFonts w:ascii="Times New Roman" w:hAnsi="Times New Roman"/>
                <w:sz w:val="24"/>
              </w:rPr>
              <w:t>iaru ryzyka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c) CRR, instytucje ujawniają swoje strategie dotyczące przeprowadzania systematycznych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reg</w:t>
            </w:r>
            <w:r w:rsidRPr="00835753">
              <w:rPr>
                <w:rFonts w:ascii="Times New Roman" w:hAnsi="Times New Roman"/>
                <w:sz w:val="24"/>
              </w:rPr>
              <w:t xml:space="preserve">ularnych przeglądów strategii zarządzania ryzykiem oraz okresową ocenę ich skuteczności. </w:t>
            </w:r>
          </w:p>
        </w:tc>
      </w:tr>
      <w:tr w:rsidR="00600593" w:rsidRPr="00835753" w14:paraId="7A1D3EEF" w14:textId="77777777" w:rsidTr="00803BB4">
        <w:trPr>
          <w:trHeight w:val="316"/>
        </w:trPr>
        <w:tc>
          <w:tcPr>
            <w:tcW w:w="1384" w:type="dxa"/>
          </w:tcPr>
          <w:p w14:paraId="53A35036" w14:textId="77777777" w:rsidR="00600593" w:rsidRPr="00835753" w:rsidRDefault="00600593" w:rsidP="00803BB4">
            <w:pPr>
              <w:autoSpaceDE w:val="0"/>
              <w:autoSpaceDN w:val="0"/>
              <w:adjustRightInd w:val="0"/>
              <w:rPr>
                <w:rFonts w:ascii="Times New Roman" w:eastAsia="Times New Roman" w:hAnsi="Times New Roman" w:cs="Times New Roman"/>
                <w:sz w:val="24"/>
              </w:rPr>
            </w:pPr>
            <w:proofErr w:type="gramStart"/>
            <w:r w:rsidRPr="00835753">
              <w:rPr>
                <w:rFonts w:ascii="Times New Roman" w:hAnsi="Times New Roman"/>
                <w:sz w:val="24"/>
              </w:rPr>
              <w:t>f</w:t>
            </w:r>
            <w:proofErr w:type="gramEnd"/>
            <w:r w:rsidRPr="00835753">
              <w:rPr>
                <w:rFonts w:ascii="Times New Roman" w:hAnsi="Times New Roman"/>
                <w:sz w:val="24"/>
              </w:rPr>
              <w:t>)</w:t>
            </w:r>
          </w:p>
        </w:tc>
        <w:tc>
          <w:tcPr>
            <w:tcW w:w="7655" w:type="dxa"/>
          </w:tcPr>
          <w:p w14:paraId="3B48FCF6" w14:textId="6C54DBF6" w:rsidR="00600593" w:rsidRPr="0083575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Informacje ujawniane na temat strategii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pro</w:t>
            </w:r>
            <w:r w:rsidRPr="00835753">
              <w:rPr>
                <w:rFonts w:ascii="Times New Roman" w:hAnsi="Times New Roman"/>
                <w:sz w:val="24"/>
              </w:rPr>
              <w:t>cesów zarządzania ryzykiem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CRR obejmują informacje jakościowe na temat stosowania testów warunków skrajnych, takie jak portfele podlegające testom warunków skrajnych, przyjmowane scenariusze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zas</w:t>
            </w:r>
            <w:r w:rsidRPr="00835753">
              <w:rPr>
                <w:rFonts w:ascii="Times New Roman" w:hAnsi="Times New Roman"/>
                <w:sz w:val="24"/>
              </w:rPr>
              <w:t>tosowane metodyki oraz stosowanie testów warunków skrajnych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 xml:space="preserve">ach zarządzania ryzykiem. </w:t>
            </w:r>
          </w:p>
        </w:tc>
      </w:tr>
      <w:tr w:rsidR="00600593" w:rsidRPr="00835753" w14:paraId="39F4F7F3" w14:textId="77777777" w:rsidTr="00803BB4">
        <w:trPr>
          <w:trHeight w:val="316"/>
        </w:trPr>
        <w:tc>
          <w:tcPr>
            <w:tcW w:w="1384" w:type="dxa"/>
          </w:tcPr>
          <w:p w14:paraId="4F04414C" w14:textId="77777777" w:rsidR="00600593" w:rsidRPr="00835753" w:rsidRDefault="00600593" w:rsidP="00803BB4">
            <w:pPr>
              <w:autoSpaceDE w:val="0"/>
              <w:autoSpaceDN w:val="0"/>
              <w:adjustRightInd w:val="0"/>
              <w:rPr>
                <w:rFonts w:ascii="Times New Roman" w:eastAsia="Times New Roman" w:hAnsi="Times New Roman" w:cs="Times New Roman"/>
                <w:sz w:val="24"/>
              </w:rPr>
            </w:pPr>
            <w:proofErr w:type="gramStart"/>
            <w:r w:rsidRPr="00835753">
              <w:rPr>
                <w:rFonts w:ascii="Times New Roman" w:hAnsi="Times New Roman"/>
                <w:sz w:val="24"/>
              </w:rPr>
              <w:t>g</w:t>
            </w:r>
            <w:proofErr w:type="gramEnd"/>
            <w:r w:rsidRPr="00835753">
              <w:rPr>
                <w:rFonts w:ascii="Times New Roman" w:hAnsi="Times New Roman"/>
                <w:sz w:val="24"/>
              </w:rPr>
              <w:t>)</w:t>
            </w:r>
          </w:p>
        </w:tc>
        <w:tc>
          <w:tcPr>
            <w:tcW w:w="7655" w:type="dxa"/>
          </w:tcPr>
          <w:p w14:paraId="7149DECB" w14:textId="62417619" w:rsidR="00600593" w:rsidRPr="0083575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Instytucje przekazują informacje na temat strategii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pro</w:t>
            </w:r>
            <w:r w:rsidRPr="00835753">
              <w:rPr>
                <w:rFonts w:ascii="Times New Roman" w:hAnsi="Times New Roman"/>
                <w:sz w:val="24"/>
              </w:rPr>
              <w:t>cesów zarządzania ryzykiem oraz zabezpieczania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ogr</w:t>
            </w:r>
            <w:r w:rsidRPr="00835753">
              <w:rPr>
                <w:rFonts w:ascii="Times New Roman" w:hAnsi="Times New Roman"/>
                <w:sz w:val="24"/>
              </w:rPr>
              <w:t>aniczania ryzyka,</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że monitorowania skuteczności instrumentów zabezpieczających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czy</w:t>
            </w:r>
            <w:r w:rsidRPr="00835753">
              <w:rPr>
                <w:rFonts w:ascii="Times New Roman" w:hAnsi="Times New Roman"/>
                <w:sz w:val="24"/>
              </w:rPr>
              <w:t xml:space="preserve">nników ograniczających </w:t>
            </w:r>
            <w:r w:rsidRPr="00835753">
              <w:rPr>
                <w:rFonts w:ascii="Times New Roman" w:hAnsi="Times New Roman"/>
                <w:sz w:val="24"/>
              </w:rPr>
              <w:lastRenderedPageBreak/>
              <w:t>ryzyko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i d)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rodzajów ryzyka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mod</w:t>
            </w:r>
            <w:r w:rsidRPr="00835753">
              <w:rPr>
                <w:rFonts w:ascii="Times New Roman" w:hAnsi="Times New Roman"/>
                <w:sz w:val="24"/>
              </w:rPr>
              <w:t xml:space="preserve">elu biznesowego instytucji. </w:t>
            </w:r>
          </w:p>
        </w:tc>
      </w:tr>
    </w:tbl>
    <w:p w14:paraId="05D8F5D4" w14:textId="77777777" w:rsidR="00600593" w:rsidRPr="00835753" w:rsidRDefault="00600593" w:rsidP="00600593">
      <w:pPr>
        <w:rPr>
          <w:rFonts w:ascii="Times New Roman" w:hAnsi="Times New Roman" w:cs="Times New Roman"/>
          <w:b/>
          <w:sz w:val="24"/>
        </w:rPr>
      </w:pPr>
    </w:p>
    <w:p w14:paraId="6F5B839B" w14:textId="057B0908" w:rsidR="00600593" w:rsidRPr="00835753" w:rsidRDefault="00D95507" w:rsidP="00600593">
      <w:pPr>
        <w:rPr>
          <w:rFonts w:ascii="Times New Roman" w:hAnsi="Times New Roman" w:cs="Times New Roman"/>
          <w:sz w:val="24"/>
        </w:rPr>
      </w:pPr>
      <w:r w:rsidRPr="00835753">
        <w:rPr>
          <w:rFonts w:ascii="Times New Roman" w:hAnsi="Times New Roman"/>
          <w:b/>
          <w:sz w:val="24"/>
        </w:rPr>
        <w:t xml:space="preserve">Tabela EU OVB – Ujawnianie informacji na temat zasad zarządzania. </w:t>
      </w:r>
      <w:r w:rsidRPr="00835753">
        <w:rPr>
          <w:rFonts w:ascii="Times New Roman" w:hAnsi="Times New Roman"/>
          <w:sz w:val="24"/>
        </w:rPr>
        <w:t>Pola na tekst</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for</w:t>
      </w:r>
      <w:r w:rsidRPr="00835753">
        <w:rPr>
          <w:rFonts w:ascii="Times New Roman" w:hAnsi="Times New Roman"/>
          <w:sz w:val="24"/>
        </w:rPr>
        <w:t>macie dowolnym do celów ujawniania informacji jakościowych</w:t>
      </w:r>
    </w:p>
    <w:p w14:paraId="24D4B6FD" w14:textId="67E1BBE9" w:rsidR="00600593" w:rsidRPr="00835753" w:rsidRDefault="00600593" w:rsidP="00E70D84">
      <w:pPr>
        <w:pStyle w:val="ListParagraph"/>
        <w:numPr>
          <w:ilvl w:val="0"/>
          <w:numId w:val="17"/>
        </w:numPr>
        <w:spacing w:before="120" w:after="120"/>
        <w:ind w:left="426"/>
        <w:jc w:val="both"/>
        <w:rPr>
          <w:rFonts w:ascii="Times New Roman" w:hAnsi="Times New Roman"/>
          <w:sz w:val="24"/>
        </w:rPr>
      </w:pPr>
      <w:r w:rsidRPr="00835753">
        <w:rPr>
          <w:rFonts w:ascii="Times New Roman" w:hAnsi="Times New Roman"/>
          <w:sz w:val="24"/>
        </w:rPr>
        <w:t>W celu wypełnienia tabeli EU OVB zamieszczonej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III do niniejszego rozporządzenia wykonawczego instytucje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2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p>
    <w:p w14:paraId="0F7CCE1F" w14:textId="77777777" w:rsidR="00600593" w:rsidRPr="00835753" w:rsidRDefault="00600593" w:rsidP="00600593">
      <w:pPr>
        <w:rPr>
          <w:rFonts w:ascii="Times New Roman" w:hAnsi="Times New Roman" w:cs="Times New Roman"/>
          <w:sz w:val="24"/>
        </w:rPr>
      </w:pPr>
    </w:p>
    <w:p w14:paraId="41FC364E" w14:textId="77777777" w:rsidR="00600593" w:rsidRPr="00835753"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835753"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55BB0D5" w:rsidR="00600593" w:rsidRPr="00835753" w:rsidRDefault="00600593" w:rsidP="00803BB4">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600593" w:rsidRPr="00835753" w14:paraId="77F46B86" w14:textId="77777777" w:rsidTr="00803BB4">
        <w:trPr>
          <w:trHeight w:val="238"/>
        </w:trPr>
        <w:tc>
          <w:tcPr>
            <w:tcW w:w="1384" w:type="dxa"/>
            <w:shd w:val="clear" w:color="auto" w:fill="D9D9D9" w:themeFill="background1" w:themeFillShade="D9"/>
          </w:tcPr>
          <w:p w14:paraId="538071C5" w14:textId="77777777" w:rsidR="00600593" w:rsidRPr="00835753" w:rsidRDefault="00600593" w:rsidP="00803BB4">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01997A45" w14:textId="77777777" w:rsidR="00600593" w:rsidRPr="00835753" w:rsidRDefault="00600593" w:rsidP="00803BB4">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600593" w:rsidRPr="00835753" w14:paraId="6E61BF7A" w14:textId="77777777" w:rsidTr="00803BB4">
        <w:trPr>
          <w:trHeight w:val="316"/>
        </w:trPr>
        <w:tc>
          <w:tcPr>
            <w:tcW w:w="1384" w:type="dxa"/>
          </w:tcPr>
          <w:p w14:paraId="76CDF84D" w14:textId="77777777" w:rsidR="00600593" w:rsidRPr="00835753" w:rsidRDefault="00600593" w:rsidP="00803BB4">
            <w:pPr>
              <w:autoSpaceDE w:val="0"/>
              <w:autoSpaceDN w:val="0"/>
              <w:adjustRightInd w:val="0"/>
              <w:rPr>
                <w:rFonts w:ascii="Times New Roman" w:hAnsi="Times New Roman" w:cs="Times New Roman"/>
                <w:color w:val="000000"/>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655" w:type="dxa"/>
          </w:tcPr>
          <w:p w14:paraId="56BB9AAE" w14:textId="1E5C1C4B" w:rsidR="00600593" w:rsidRPr="0083575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Instytucje ujawniają liczbę stanowisk dyrektorskich zajmowanych przez członków organu zarządzającego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a) CRR. Przy ujawnianiu informacji ma zastosowanie następująca specyfikacja:</w:t>
            </w:r>
          </w:p>
          <w:p w14:paraId="7629F706" w14:textId="4C976E41" w:rsidR="00600593" w:rsidRPr="0083575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proofErr w:type="gramStart"/>
            <w:r w:rsidRPr="00835753">
              <w:rPr>
                <w:rFonts w:ascii="Times New Roman" w:hAnsi="Times New Roman"/>
                <w:sz w:val="24"/>
                <w:szCs w:val="24"/>
              </w:rPr>
              <w:t>instytucje</w:t>
            </w:r>
            <w:proofErr w:type="gramEnd"/>
            <w:r w:rsidRPr="00835753">
              <w:rPr>
                <w:rFonts w:ascii="Times New Roman" w:hAnsi="Times New Roman"/>
                <w:sz w:val="24"/>
                <w:szCs w:val="24"/>
              </w:rPr>
              <w:t xml:space="preserve"> objęte zakresem stosowania art.</w:t>
            </w:r>
            <w:r w:rsidR="00835753" w:rsidRPr="00835753">
              <w:rPr>
                <w:rFonts w:ascii="Times New Roman" w:hAnsi="Times New Roman"/>
                <w:sz w:val="24"/>
                <w:szCs w:val="24"/>
              </w:rPr>
              <w:t> </w:t>
            </w:r>
            <w:r w:rsidRPr="00835753">
              <w:rPr>
                <w:rFonts w:ascii="Times New Roman" w:hAnsi="Times New Roman"/>
                <w:sz w:val="24"/>
                <w:szCs w:val="24"/>
              </w:rPr>
              <w:t>91 ust.</w:t>
            </w:r>
            <w:r w:rsidR="00835753" w:rsidRPr="00835753">
              <w:rPr>
                <w:rFonts w:ascii="Times New Roman" w:hAnsi="Times New Roman"/>
                <w:sz w:val="24"/>
                <w:szCs w:val="24"/>
              </w:rPr>
              <w:t> </w:t>
            </w:r>
            <w:r w:rsidRPr="00835753">
              <w:rPr>
                <w:rFonts w:ascii="Times New Roman" w:hAnsi="Times New Roman"/>
                <w:sz w:val="24"/>
                <w:szCs w:val="24"/>
              </w:rPr>
              <w:t>3</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4</w:t>
            </w:r>
            <w:r w:rsidRPr="00835753">
              <w:rPr>
                <w:rFonts w:ascii="Times New Roman" w:hAnsi="Times New Roman"/>
                <w:sz w:val="24"/>
                <w:szCs w:val="24"/>
              </w:rPr>
              <w:t xml:space="preserve"> dyrektywy (UE) 2013/36</w:t>
            </w:r>
            <w:r w:rsidRPr="00835753">
              <w:rPr>
                <w:rStyle w:val="FootnoteReference"/>
                <w:rFonts w:eastAsia="Times New Roman"/>
              </w:rPr>
              <w:footnoteReference w:id="7"/>
            </w:r>
            <w:r w:rsidRPr="00835753">
              <w:rPr>
                <w:rFonts w:ascii="Times New Roman" w:hAnsi="Times New Roman"/>
                <w:sz w:val="24"/>
                <w:szCs w:val="24"/>
              </w:rPr>
              <w:t>(„CRD”) ujawniają liczbę stanowisk dyrektorskich obliczoną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artykułem;</w:t>
            </w:r>
          </w:p>
          <w:p w14:paraId="42F69E03" w14:textId="6BC4F180" w:rsidR="00600593" w:rsidRPr="0083575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proofErr w:type="gramStart"/>
            <w:r w:rsidRPr="00835753">
              <w:rPr>
                <w:rFonts w:ascii="Times New Roman" w:hAnsi="Times New Roman"/>
                <w:sz w:val="24"/>
                <w:szCs w:val="24"/>
              </w:rPr>
              <w:t>instytucje</w:t>
            </w:r>
            <w:proofErr w:type="gramEnd"/>
            <w:r w:rsidRPr="00835753">
              <w:rPr>
                <w:rFonts w:ascii="Times New Roman" w:hAnsi="Times New Roman"/>
                <w:sz w:val="24"/>
                <w:szCs w:val="24"/>
              </w:rPr>
              <w:t xml:space="preserve"> ujawniają liczbę stanowisk dyrektorskich efektywnie zajmowanych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ypadku każdego członka organu zarządzającego (niezależnie od tego, czy jest to spółka należąca do grupy kapitałowej, znaczny pakiet akcji czy instytucja objęta tym samym instytucjonalnym systemem ochrony oraz czy jest to funkcja dyrektora wykonawczego czy funkcja dyrektora niewykonawczego) bez względu na to, czy dane stanowisko dyrektorskie dotyczy podmiotu realizującego cel komercyjny;</w:t>
            </w:r>
          </w:p>
          <w:p w14:paraId="0A18A43F" w14:textId="348C9078" w:rsidR="00600593" w:rsidRPr="0083575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proofErr w:type="gramStart"/>
            <w:r w:rsidRPr="00835753">
              <w:rPr>
                <w:rFonts w:ascii="Times New Roman" w:hAnsi="Times New Roman"/>
                <w:sz w:val="24"/>
                <w:szCs w:val="24"/>
              </w:rPr>
              <w:t>jeżeli</w:t>
            </w:r>
            <w:proofErr w:type="gramEnd"/>
            <w:r w:rsidRPr="00835753">
              <w:rPr>
                <w:rFonts w:ascii="Times New Roman" w:hAnsi="Times New Roman"/>
                <w:sz w:val="24"/>
                <w:szCs w:val="24"/>
              </w:rPr>
              <w:t xml:space="preserve"> właściwy organ zatwierdził dodatkowe stanowisko dyrektorskie, wszystkie instytucje,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któ</w:t>
            </w:r>
            <w:r w:rsidRPr="00835753">
              <w:rPr>
                <w:rFonts w:ascii="Times New Roman" w:hAnsi="Times New Roman"/>
                <w:sz w:val="24"/>
                <w:szCs w:val="24"/>
              </w:rPr>
              <w:t>rych dany członek zajmuje stanowisko dyrektorskie, ujawniają ten fakt wraz</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naz</w:t>
            </w:r>
            <w:r w:rsidRPr="00835753">
              <w:rPr>
                <w:rFonts w:ascii="Times New Roman" w:hAnsi="Times New Roman"/>
                <w:sz w:val="24"/>
                <w:szCs w:val="24"/>
              </w:rPr>
              <w:t>wą właściwego organu zatwierdzającego dane dodatkowe stanowisko dyrektorskie.</w:t>
            </w:r>
          </w:p>
        </w:tc>
      </w:tr>
      <w:tr w:rsidR="00600593" w:rsidRPr="00835753" w14:paraId="601A208C" w14:textId="77777777" w:rsidTr="00803BB4">
        <w:trPr>
          <w:trHeight w:val="316"/>
        </w:trPr>
        <w:tc>
          <w:tcPr>
            <w:tcW w:w="1384" w:type="dxa"/>
          </w:tcPr>
          <w:p w14:paraId="36FBAD2C" w14:textId="77777777" w:rsidR="00600593" w:rsidRPr="00835753" w:rsidRDefault="00600593" w:rsidP="00803BB4">
            <w:pPr>
              <w:autoSpaceDE w:val="0"/>
              <w:autoSpaceDN w:val="0"/>
              <w:adjustRightInd w:val="0"/>
              <w:rPr>
                <w:rFonts w:ascii="Times New Roman" w:eastAsia="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655" w:type="dxa"/>
          </w:tcPr>
          <w:p w14:paraId="702F4294" w14:textId="5145DA5B" w:rsidR="00600593" w:rsidRPr="0083575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Ujawniając informacje na temat polityki rekrutacji dotyczącej wyboru członków organu zarządzającego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b) CRR, instytucje uwzględniają informacje na temat rzeczywistego stanu wiedzy, umiejętności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dzy specjalistycznej członków. Instytucje uwzględniają informacje na temat polityki, która potencjalnie może stanowić rezultat planowanej sukcesji, oraz na temat wszelkich przewidywalnych zmian ogólnego składu organu zarządzającego.</w:t>
            </w:r>
          </w:p>
        </w:tc>
      </w:tr>
      <w:tr w:rsidR="00600593" w:rsidRPr="00835753" w14:paraId="19AC202D" w14:textId="77777777" w:rsidTr="00803BB4">
        <w:trPr>
          <w:trHeight w:val="316"/>
        </w:trPr>
        <w:tc>
          <w:tcPr>
            <w:tcW w:w="1384" w:type="dxa"/>
          </w:tcPr>
          <w:p w14:paraId="655F9391" w14:textId="77777777" w:rsidR="00600593" w:rsidRPr="00835753" w:rsidRDefault="00600593" w:rsidP="00803BB4">
            <w:pPr>
              <w:autoSpaceDE w:val="0"/>
              <w:autoSpaceDN w:val="0"/>
              <w:adjustRightInd w:val="0"/>
              <w:rPr>
                <w:rFonts w:ascii="Times New Roman" w:eastAsia="Times New Roman" w:hAnsi="Times New Roman" w:cs="Times New Roman"/>
                <w:sz w:val="24"/>
              </w:rPr>
            </w:pPr>
            <w:proofErr w:type="gramStart"/>
            <w:r w:rsidRPr="00835753">
              <w:rPr>
                <w:rFonts w:ascii="Times New Roman" w:hAnsi="Times New Roman"/>
                <w:sz w:val="24"/>
              </w:rPr>
              <w:lastRenderedPageBreak/>
              <w:t>c</w:t>
            </w:r>
            <w:proofErr w:type="gramEnd"/>
            <w:r w:rsidRPr="00835753">
              <w:rPr>
                <w:rFonts w:ascii="Times New Roman" w:hAnsi="Times New Roman"/>
                <w:sz w:val="24"/>
              </w:rPr>
              <w:t>)</w:t>
            </w:r>
          </w:p>
        </w:tc>
        <w:tc>
          <w:tcPr>
            <w:tcW w:w="7655" w:type="dxa"/>
          </w:tcPr>
          <w:p w14:paraId="1EAD136B" w14:textId="5D26517C" w:rsidR="00600593" w:rsidRPr="0083575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Ujawniając strategię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zróżnicowania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c) CRR, instytucje ujawniają informacje na temat celów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wsz</w:t>
            </w:r>
            <w:r w:rsidRPr="00835753">
              <w:rPr>
                <w:rFonts w:ascii="Times New Roman" w:hAnsi="Times New Roman"/>
                <w:sz w:val="24"/>
              </w:rPr>
              <w:t>elkich odpowiednich zadań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tej</w:t>
            </w:r>
            <w:r w:rsidRPr="00835753">
              <w:rPr>
                <w:rFonts w:ascii="Times New Roman" w:hAnsi="Times New Roman"/>
                <w:sz w:val="24"/>
              </w:rPr>
              <w:t xml:space="preserve"> polityce oraz zakresu,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im te cele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zad</w:t>
            </w:r>
            <w:r w:rsidRPr="00835753">
              <w:rPr>
                <w:rFonts w:ascii="Times New Roman" w:hAnsi="Times New Roman"/>
                <w:sz w:val="24"/>
              </w:rPr>
              <w:t xml:space="preserve">ania zostały zrealizowane. </w:t>
            </w:r>
          </w:p>
          <w:p w14:paraId="70CEBF5E" w14:textId="795EB902" w:rsidR="00600593" w:rsidRPr="0083575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W szczególności instytucje ujawniają strategię dotyczącą zróżnicowania pod względem płci,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t>
            </w:r>
          </w:p>
          <w:p w14:paraId="46906EA3" w14:textId="145BB5C3" w:rsidR="00600593" w:rsidRPr="0083575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proofErr w:type="gramStart"/>
            <w:r w:rsidRPr="00835753">
              <w:rPr>
                <w:rFonts w:ascii="Times New Roman" w:hAnsi="Times New Roman"/>
                <w:sz w:val="24"/>
                <w:szCs w:val="24"/>
              </w:rPr>
              <w:t>jeżeli</w:t>
            </w:r>
            <w:proofErr w:type="gramEnd"/>
            <w:r w:rsidRPr="00835753">
              <w:rPr>
                <w:rFonts w:ascii="Times New Roman" w:hAnsi="Times New Roman"/>
                <w:sz w:val="24"/>
                <w:szCs w:val="24"/>
              </w:rPr>
              <w:t xml:space="preserve"> wyznaczono wartość docelową dla niedostatecznie reprezentowanej płci, oraz</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odn</w:t>
            </w:r>
            <w:r w:rsidRPr="00835753">
              <w:rPr>
                <w:rFonts w:ascii="Times New Roman" w:hAnsi="Times New Roman"/>
                <w:sz w:val="24"/>
                <w:szCs w:val="24"/>
              </w:rPr>
              <w:t>iesieniu do polityki dotyczącej zróżnicowania pod względem wieku, wykształcenia, doświadczenia zawodowego</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poc</w:t>
            </w:r>
            <w:r w:rsidRPr="00835753">
              <w:rPr>
                <w:rFonts w:ascii="Times New Roman" w:hAnsi="Times New Roman"/>
                <w:sz w:val="24"/>
                <w:szCs w:val="24"/>
              </w:rPr>
              <w:t>hodzenia geograficznego – wyznaczoną wartość docelową</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sto</w:t>
            </w:r>
            <w:r w:rsidRPr="00835753">
              <w:rPr>
                <w:rFonts w:ascii="Times New Roman" w:hAnsi="Times New Roman"/>
                <w:sz w:val="24"/>
                <w:szCs w:val="24"/>
              </w:rPr>
              <w:t xml:space="preserve">pień osiągnięcia wartości docelowych; </w:t>
            </w:r>
          </w:p>
          <w:p w14:paraId="2DF135DD" w14:textId="71052D6A" w:rsidR="00600593" w:rsidRPr="0083575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proofErr w:type="gramStart"/>
            <w:r w:rsidRPr="00835753">
              <w:rPr>
                <w:rFonts w:ascii="Times New Roman" w:hAnsi="Times New Roman"/>
                <w:sz w:val="24"/>
                <w:szCs w:val="24"/>
              </w:rPr>
              <w:t>jeżeli</w:t>
            </w:r>
            <w:proofErr w:type="gramEnd"/>
            <w:r w:rsidRPr="00835753">
              <w:rPr>
                <w:rFonts w:ascii="Times New Roman" w:hAnsi="Times New Roman"/>
                <w:sz w:val="24"/>
                <w:szCs w:val="24"/>
              </w:rPr>
              <w:t xml:space="preserve"> nie osiągnięto wartości docelowej, instytucje ujawniają powody takiego stanu rzeczy oraz,</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sto</w:t>
            </w:r>
            <w:r w:rsidRPr="00835753">
              <w:rPr>
                <w:rFonts w:ascii="Times New Roman" w:hAnsi="Times New Roman"/>
                <w:sz w:val="24"/>
                <w:szCs w:val="24"/>
              </w:rPr>
              <w:t>sownym przypadku, środki wprowadzone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cel</w:t>
            </w:r>
            <w:r w:rsidRPr="00835753">
              <w:rPr>
                <w:rFonts w:ascii="Times New Roman" w:hAnsi="Times New Roman"/>
                <w:sz w:val="24"/>
                <w:szCs w:val="24"/>
              </w:rPr>
              <w:t>u osiągnięcia danej wartości docelowej</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okr</w:t>
            </w:r>
            <w:r w:rsidRPr="00835753">
              <w:rPr>
                <w:rFonts w:ascii="Times New Roman" w:hAnsi="Times New Roman"/>
                <w:sz w:val="24"/>
                <w:szCs w:val="24"/>
              </w:rPr>
              <w:t>eślonym czasie.</w:t>
            </w:r>
          </w:p>
        </w:tc>
      </w:tr>
      <w:tr w:rsidR="00600593" w:rsidRPr="00835753" w14:paraId="2E4705B5" w14:textId="77777777" w:rsidTr="00803BB4">
        <w:trPr>
          <w:trHeight w:val="316"/>
        </w:trPr>
        <w:tc>
          <w:tcPr>
            <w:tcW w:w="1384" w:type="dxa"/>
          </w:tcPr>
          <w:p w14:paraId="7B5B1D5C" w14:textId="77777777" w:rsidR="00600593" w:rsidRPr="00835753" w:rsidRDefault="00600593" w:rsidP="00803BB4">
            <w:pPr>
              <w:autoSpaceDE w:val="0"/>
              <w:autoSpaceDN w:val="0"/>
              <w:adjustRightInd w:val="0"/>
              <w:rPr>
                <w:rFonts w:ascii="Times New Roman" w:eastAsia="Times New Roman" w:hAnsi="Times New Roman" w:cs="Times New Roman"/>
                <w:sz w:val="24"/>
              </w:rPr>
            </w:pPr>
            <w:proofErr w:type="gramStart"/>
            <w:r w:rsidRPr="00835753">
              <w:rPr>
                <w:rFonts w:ascii="Times New Roman" w:hAnsi="Times New Roman"/>
                <w:sz w:val="24"/>
              </w:rPr>
              <w:t>d</w:t>
            </w:r>
            <w:proofErr w:type="gramEnd"/>
            <w:r w:rsidRPr="00835753">
              <w:rPr>
                <w:rFonts w:ascii="Times New Roman" w:hAnsi="Times New Roman"/>
                <w:sz w:val="24"/>
              </w:rPr>
              <w:t>)</w:t>
            </w:r>
          </w:p>
        </w:tc>
        <w:tc>
          <w:tcPr>
            <w:tcW w:w="7655" w:type="dxa"/>
          </w:tcPr>
          <w:p w14:paraId="71824968" w14:textId="5EE44D0F" w:rsidR="00600593" w:rsidRPr="0083575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Instytucja ujawnia, czy utworzyła oddzielny komitet ds. ryzyka, oraz liczbę posiedzeń komitetu, które się odbyły,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d) CRR.</w:t>
            </w:r>
          </w:p>
        </w:tc>
      </w:tr>
      <w:tr w:rsidR="00600593" w:rsidRPr="00835753" w14:paraId="1DF712FB" w14:textId="77777777" w:rsidTr="00803BB4">
        <w:trPr>
          <w:trHeight w:val="316"/>
        </w:trPr>
        <w:tc>
          <w:tcPr>
            <w:tcW w:w="1384" w:type="dxa"/>
          </w:tcPr>
          <w:p w14:paraId="75B2AC05" w14:textId="77777777" w:rsidR="00600593" w:rsidRPr="00835753" w:rsidRDefault="00600593" w:rsidP="00803BB4">
            <w:pPr>
              <w:autoSpaceDE w:val="0"/>
              <w:autoSpaceDN w:val="0"/>
              <w:adjustRightInd w:val="0"/>
              <w:rPr>
                <w:rFonts w:ascii="Times New Roman" w:eastAsia="Times New Roman" w:hAnsi="Times New Roman" w:cs="Times New Roman"/>
                <w:sz w:val="24"/>
              </w:rPr>
            </w:pPr>
            <w:proofErr w:type="gramStart"/>
            <w:r w:rsidRPr="00835753">
              <w:rPr>
                <w:rFonts w:ascii="Times New Roman" w:hAnsi="Times New Roman"/>
                <w:sz w:val="24"/>
              </w:rPr>
              <w:t>e</w:t>
            </w:r>
            <w:proofErr w:type="gramEnd"/>
            <w:r w:rsidRPr="00835753">
              <w:rPr>
                <w:rFonts w:ascii="Times New Roman" w:hAnsi="Times New Roman"/>
                <w:sz w:val="24"/>
              </w:rPr>
              <w:t>)</w:t>
            </w:r>
          </w:p>
        </w:tc>
        <w:tc>
          <w:tcPr>
            <w:tcW w:w="7655" w:type="dxa"/>
          </w:tcPr>
          <w:p w14:paraId="627E2FA7" w14:textId="6253995A" w:rsidR="00600593" w:rsidRPr="0083575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W ramach danych dotyczących przepływu informacji na temat ryzyka kierowanych do organu zarządzającego,</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e) CRR, instytucje ujawniają proces przekazywania organowi zarządzającemu ujawnianych informacji na temat ryzyka,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szc</w:t>
            </w:r>
            <w:r w:rsidRPr="00835753">
              <w:rPr>
                <w:rFonts w:ascii="Times New Roman" w:hAnsi="Times New Roman"/>
                <w:sz w:val="24"/>
              </w:rPr>
              <w:t>zególności częstotliwości przekazywania, zakresu</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głó</w:t>
            </w:r>
            <w:r w:rsidRPr="00835753">
              <w:rPr>
                <w:rFonts w:ascii="Times New Roman" w:hAnsi="Times New Roman"/>
                <w:sz w:val="24"/>
              </w:rPr>
              <w:t>wnej treści informacji na temat ekspozycji na ryzyko oraz sposobu,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 organ zarządzający był zaangażowany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ust</w:t>
            </w:r>
            <w:r w:rsidRPr="00835753">
              <w:rPr>
                <w:rFonts w:ascii="Times New Roman" w:hAnsi="Times New Roman"/>
                <w:sz w:val="24"/>
              </w:rPr>
              <w:t xml:space="preserve">alenie, które treści podlegają ujawnieniu. </w:t>
            </w:r>
          </w:p>
        </w:tc>
      </w:tr>
    </w:tbl>
    <w:p w14:paraId="2A9FDD95" w14:textId="77777777" w:rsidR="00600593" w:rsidRPr="00835753" w:rsidRDefault="00600593" w:rsidP="00600593">
      <w:pPr>
        <w:rPr>
          <w:rFonts w:ascii="Times New Roman" w:hAnsi="Times New Roman" w:cs="Times New Roman"/>
          <w:sz w:val="24"/>
        </w:rPr>
      </w:pPr>
    </w:p>
    <w:p w14:paraId="52047206" w14:textId="77777777" w:rsidR="00600593" w:rsidRPr="00835753" w:rsidRDefault="00600593" w:rsidP="00600593">
      <w:pPr>
        <w:rPr>
          <w:rFonts w:ascii="Times New Roman" w:hAnsi="Times New Roman" w:cs="Times New Roman"/>
          <w:sz w:val="24"/>
        </w:rPr>
      </w:pPr>
    </w:p>
    <w:p w14:paraId="3FC28B5F" w14:textId="061C5D55" w:rsidR="00D15B1C" w:rsidRPr="00835753" w:rsidRDefault="00D15B1C" w:rsidP="00E258D8">
      <w:pPr>
        <w:tabs>
          <w:tab w:val="left" w:pos="1430"/>
        </w:tabs>
        <w:rPr>
          <w:rFonts w:ascii="Times New Roman" w:hAnsi="Times New Roman" w:cs="Times New Roman"/>
          <w:b/>
          <w:sz w:val="24"/>
        </w:rPr>
      </w:pPr>
    </w:p>
    <w:p w14:paraId="0D652D3B" w14:textId="77777777" w:rsidR="007A7DC0" w:rsidRPr="00835753" w:rsidRDefault="007A7DC0">
      <w:pPr>
        <w:rPr>
          <w:rFonts w:ascii="Times New Roman" w:hAnsi="Times New Roman" w:cs="Times New Roman"/>
          <w:b/>
          <w:sz w:val="24"/>
        </w:rPr>
        <w:sectPr w:rsidR="007A7DC0" w:rsidRPr="00835753" w:rsidSect="00155C96">
          <w:pgSz w:w="11900" w:h="16840"/>
          <w:pgMar w:top="2268" w:right="1418" w:bottom="1134" w:left="1701" w:header="709" w:footer="709" w:gutter="0"/>
          <w:pgNumType w:start="1" w:chapStyle="1"/>
          <w:cols w:space="708"/>
          <w:docGrid w:linePitch="299"/>
        </w:sectPr>
      </w:pPr>
    </w:p>
    <w:p w14:paraId="08DA08DB" w14:textId="77777777" w:rsidR="007B082B" w:rsidRPr="00835753" w:rsidRDefault="007B082B" w:rsidP="00E258D8">
      <w:pPr>
        <w:tabs>
          <w:tab w:val="left" w:pos="1430"/>
        </w:tabs>
        <w:rPr>
          <w:rFonts w:ascii="Times New Roman" w:hAnsi="Times New Roman" w:cs="Times New Roman"/>
          <w:b/>
          <w:sz w:val="24"/>
        </w:rPr>
      </w:pPr>
    </w:p>
    <w:p w14:paraId="0957C929" w14:textId="77777777" w:rsidR="007B082B" w:rsidRPr="00835753" w:rsidRDefault="007B082B" w:rsidP="007B082B">
      <w:pPr>
        <w:pStyle w:val="Annexetitre"/>
      </w:pPr>
      <w:r w:rsidRPr="00835753">
        <w:t>ZAŁĄCZNIK VI – Instrukcje dotyczące ujawniania informacji na temat zakresu stosowania ram regulacyjnych</w:t>
      </w:r>
    </w:p>
    <w:p w14:paraId="07CCE7F0" w14:textId="77777777" w:rsidR="007B082B" w:rsidRPr="00835753" w:rsidRDefault="007B082B" w:rsidP="007B082B">
      <w:pPr>
        <w:rPr>
          <w:rFonts w:ascii="Times New Roman" w:hAnsi="Times New Roman" w:cs="Times New Roman"/>
          <w:b/>
          <w:sz w:val="24"/>
        </w:rPr>
      </w:pPr>
    </w:p>
    <w:p w14:paraId="5AEAA4F3" w14:textId="0D05347A" w:rsidR="007B082B" w:rsidRPr="00835753" w:rsidRDefault="007B082B" w:rsidP="007B082B">
      <w:pPr>
        <w:rPr>
          <w:rFonts w:ascii="Times New Roman" w:hAnsi="Times New Roman" w:cs="Times New Roman"/>
          <w:b/>
          <w:sz w:val="24"/>
        </w:rPr>
      </w:pPr>
      <w:r w:rsidRPr="00835753">
        <w:rPr>
          <w:rFonts w:ascii="Times New Roman" w:hAnsi="Times New Roman"/>
          <w:b/>
          <w:sz w:val="24"/>
        </w:rPr>
        <w:t>Wzór EU LI1 – Różnice między rachunkowym</w:t>
      </w:r>
      <w:r w:rsidR="00835753" w:rsidRPr="00835753">
        <w:rPr>
          <w:rFonts w:ascii="Times New Roman" w:hAnsi="Times New Roman"/>
          <w:b/>
          <w:sz w:val="24"/>
        </w:rPr>
        <w:t xml:space="preserve"> a</w:t>
      </w:r>
      <w:r w:rsidR="00835753">
        <w:rPr>
          <w:rFonts w:ascii="Times New Roman" w:hAnsi="Times New Roman"/>
          <w:b/>
          <w:sz w:val="24"/>
        </w:rPr>
        <w:t> </w:t>
      </w:r>
      <w:r w:rsidR="00835753" w:rsidRPr="00835753">
        <w:rPr>
          <w:rFonts w:ascii="Times New Roman" w:hAnsi="Times New Roman"/>
          <w:b/>
          <w:sz w:val="24"/>
        </w:rPr>
        <w:t>ost</w:t>
      </w:r>
      <w:r w:rsidRPr="00835753">
        <w:rPr>
          <w:rFonts w:ascii="Times New Roman" w:hAnsi="Times New Roman"/>
          <w:b/>
          <w:sz w:val="24"/>
        </w:rPr>
        <w:t>rożnościowym zakresem konsolidacji oraz przyporządkowanie kategorii sprawozdań finansowych do kategorii ryzyka regulacyjnego</w:t>
      </w:r>
      <w:r w:rsidRPr="00835753">
        <w:rPr>
          <w:rFonts w:ascii="Times New Roman" w:hAnsi="Times New Roman"/>
          <w:sz w:val="24"/>
        </w:rPr>
        <w:t xml:space="preserve"> Format elastyczny</w:t>
      </w:r>
    </w:p>
    <w:p w14:paraId="76C6D20B" w14:textId="77777777" w:rsidR="007B082B" w:rsidRPr="00835753" w:rsidRDefault="007B082B" w:rsidP="007B082B">
      <w:pPr>
        <w:rPr>
          <w:rFonts w:ascii="Times New Roman" w:hAnsi="Times New Roman" w:cs="Times New Roman"/>
          <w:b/>
          <w:sz w:val="24"/>
        </w:rPr>
      </w:pPr>
    </w:p>
    <w:p w14:paraId="4474F30C" w14:textId="0440F495" w:rsidR="007B082B" w:rsidRPr="00835753" w:rsidRDefault="007B082B" w:rsidP="00E70D84">
      <w:pPr>
        <w:pStyle w:val="ListParagraph"/>
        <w:numPr>
          <w:ilvl w:val="0"/>
          <w:numId w:val="18"/>
        </w:numPr>
        <w:spacing w:before="120" w:after="120"/>
        <w:ind w:left="425" w:hanging="357"/>
        <w:jc w:val="both"/>
        <w:rPr>
          <w:rFonts w:ascii="Times New Roman" w:hAnsi="Times New Roman"/>
          <w:sz w:val="24"/>
        </w:rPr>
      </w:pPr>
      <w:r w:rsidRPr="00835753">
        <w:rPr>
          <w:rFonts w:ascii="Times New Roman" w:hAnsi="Times New Roman"/>
          <w:sz w:val="24"/>
        </w:rPr>
        <w:t>W celu wypełnienia wzoru EU LI1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V do niniejszego rozporządzenia wykonawczego instytucje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436 lit.</w:t>
      </w:r>
      <w:r w:rsidR="00835753" w:rsidRPr="00835753">
        <w:rPr>
          <w:rFonts w:ascii="Times New Roman" w:hAnsi="Times New Roman"/>
          <w:sz w:val="24"/>
        </w:rPr>
        <w:t> </w:t>
      </w:r>
      <w:r w:rsidRPr="00835753">
        <w:rPr>
          <w:rFonts w:ascii="Times New Roman" w:hAnsi="Times New Roman"/>
          <w:sz w:val="24"/>
        </w:rPr>
        <w:t>c) rozporządzenia (UE) nr</w:t>
      </w:r>
      <w:r w:rsidR="00835753" w:rsidRPr="00835753">
        <w:rPr>
          <w:rFonts w:ascii="Times New Roman" w:hAnsi="Times New Roman"/>
          <w:sz w:val="24"/>
        </w:rPr>
        <w:t> </w:t>
      </w:r>
      <w:r w:rsidRPr="00835753">
        <w:rPr>
          <w:rFonts w:ascii="Times New Roman" w:hAnsi="Times New Roman"/>
          <w:sz w:val="24"/>
        </w:rPr>
        <w:t>575/2013</w:t>
      </w:r>
      <w:r w:rsidRPr="00835753">
        <w:rPr>
          <w:rStyle w:val="FootnoteReference"/>
        </w:rPr>
        <w:footnoteReference w:id="8"/>
      </w:r>
      <w:r w:rsidRPr="00835753">
        <w:rPr>
          <w:rFonts w:ascii="Times New Roman" w:hAnsi="Times New Roman"/>
          <w:sz w:val="24"/>
        </w:rPr>
        <w:t xml:space="preserve">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35753"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39B7E3A" w:rsidR="007B082B" w:rsidRPr="00835753" w:rsidRDefault="007B082B" w:rsidP="00803BB4">
            <w:pPr>
              <w:pStyle w:val="TableTitle"/>
              <w:spacing w:before="0" w:after="0"/>
              <w:jc w:val="left"/>
              <w:rPr>
                <w:rFonts w:ascii="Times New Roman" w:hAnsi="Times New Roman"/>
                <w:noProof w:val="0"/>
                <w:sz w:val="24"/>
                <w:szCs w:val="24"/>
              </w:rPr>
            </w:pPr>
            <w:r w:rsidRPr="00835753">
              <w:rPr>
                <w:rFonts w:ascii="Times New Roman" w:hAnsi="Times New Roman"/>
                <w:noProof w:val="0"/>
                <w:sz w:val="24"/>
                <w:szCs w:val="24"/>
              </w:rPr>
              <w:t>Odniesienia prawne</w:t>
            </w:r>
            <w:r w:rsidR="00835753" w:rsidRPr="00835753">
              <w:rPr>
                <w:rFonts w:ascii="Times New Roman" w:hAnsi="Times New Roman"/>
                <w:noProof w:val="0"/>
                <w:sz w:val="24"/>
                <w:szCs w:val="24"/>
              </w:rPr>
              <w:t xml:space="preserve"> i</w:t>
            </w:r>
            <w:r w:rsidR="00835753">
              <w:rPr>
                <w:rFonts w:ascii="Times New Roman" w:hAnsi="Times New Roman"/>
                <w:noProof w:val="0"/>
                <w:sz w:val="24"/>
                <w:szCs w:val="24"/>
              </w:rPr>
              <w:t> </w:t>
            </w:r>
            <w:r w:rsidR="00835753" w:rsidRPr="00835753">
              <w:rPr>
                <w:rFonts w:ascii="Times New Roman" w:hAnsi="Times New Roman"/>
                <w:noProof w:val="0"/>
                <w:sz w:val="24"/>
                <w:szCs w:val="24"/>
              </w:rPr>
              <w:t>ins</w:t>
            </w:r>
            <w:r w:rsidRPr="00835753">
              <w:rPr>
                <w:rFonts w:ascii="Times New Roman" w:hAnsi="Times New Roman"/>
                <w:noProof w:val="0"/>
                <w:sz w:val="24"/>
                <w:szCs w:val="24"/>
              </w:rPr>
              <w:t>trukcje</w:t>
            </w:r>
          </w:p>
        </w:tc>
      </w:tr>
      <w:tr w:rsidR="007B082B" w:rsidRPr="00835753"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835753" w:rsidRDefault="007B082B" w:rsidP="00803BB4">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tcBorders>
              <w:bottom w:val="single" w:sz="4" w:space="0" w:color="auto"/>
            </w:tcBorders>
            <w:shd w:val="clear" w:color="auto" w:fill="D9D9D9" w:themeFill="background1" w:themeFillShade="D9"/>
          </w:tcPr>
          <w:p w14:paraId="777D35A2" w14:textId="77777777" w:rsidR="007B082B" w:rsidRPr="00835753" w:rsidRDefault="007B082B" w:rsidP="00803BB4">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7B082B" w:rsidRPr="00835753"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835753" w:rsidRDefault="007B082B" w:rsidP="00803BB4">
            <w:pPr>
              <w:spacing w:before="60" w:after="120"/>
              <w:rPr>
                <w:rFonts w:ascii="Times New Roman" w:hAnsi="Times New Roman" w:cs="Times New Roman"/>
                <w:sz w:val="24"/>
              </w:rPr>
            </w:pPr>
            <w:r w:rsidRPr="00835753">
              <w:rPr>
                <w:rFonts w:ascii="Times New Roman" w:hAnsi="Times New Roman"/>
                <w:sz w:val="24"/>
              </w:rPr>
              <w:t>1–XXX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835753" w:rsidRDefault="007B082B" w:rsidP="00803BB4">
            <w:pPr>
              <w:spacing w:before="60" w:after="120"/>
              <w:jc w:val="both"/>
              <w:rPr>
                <w:rFonts w:ascii="Times New Roman" w:eastAsia="Times New Roman" w:hAnsi="Times New Roman" w:cs="Times New Roman"/>
                <w:b/>
                <w:sz w:val="24"/>
              </w:rPr>
            </w:pPr>
            <w:r w:rsidRPr="00835753">
              <w:rPr>
                <w:rFonts w:ascii="Times New Roman" w:hAnsi="Times New Roman"/>
                <w:b/>
                <w:sz w:val="24"/>
              </w:rPr>
              <w:t xml:space="preserve">Aktywa ogółem </w:t>
            </w:r>
          </w:p>
          <w:p w14:paraId="210350E4" w14:textId="0467387C" w:rsidR="007B082B" w:rsidRPr="00835753" w:rsidRDefault="007B082B" w:rsidP="00803BB4">
            <w:pPr>
              <w:spacing w:before="60" w:after="120"/>
              <w:jc w:val="both"/>
              <w:rPr>
                <w:rFonts w:ascii="Times New Roman" w:eastAsia="Times New Roman" w:hAnsi="Times New Roman" w:cs="Times New Roman"/>
                <w:sz w:val="24"/>
              </w:rPr>
            </w:pPr>
            <w:r w:rsidRPr="00835753">
              <w:rPr>
                <w:rFonts w:ascii="Times New Roman" w:hAnsi="Times New Roman"/>
                <w:sz w:val="24"/>
              </w:rPr>
              <w:t>Struktura wierszy powinna być taka sama jak struktura wierszy bilansu wykorzystanego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naj</w:t>
            </w:r>
            <w:r w:rsidRPr="00835753">
              <w:rPr>
                <w:rFonts w:ascii="Times New Roman" w:hAnsi="Times New Roman"/>
                <w:sz w:val="24"/>
              </w:rPr>
              <w:t xml:space="preserve">nowszym dostępnym sprawozdaniu finansowym instytucji. </w:t>
            </w:r>
          </w:p>
          <w:p w14:paraId="174308D5" w14:textId="03E34D80" w:rsidR="007B082B" w:rsidRPr="00835753" w:rsidRDefault="007B082B" w:rsidP="00803BB4">
            <w:pPr>
              <w:spacing w:after="120"/>
              <w:jc w:val="both"/>
              <w:rPr>
                <w:rFonts w:ascii="Times New Roman" w:eastAsia="Times New Roman" w:hAnsi="Times New Roman" w:cs="Times New Roman"/>
                <w:sz w:val="24"/>
              </w:rPr>
            </w:pPr>
            <w:r w:rsidRPr="00835753">
              <w:rPr>
                <w:rFonts w:ascii="Times New Roman" w:hAnsi="Times New Roman"/>
                <w:sz w:val="24"/>
              </w:rPr>
              <w:t>Termin „sprawozdanie finansowe” odnosi się do rocznych jednostkowych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sko</w:t>
            </w:r>
            <w:r w:rsidRPr="00835753">
              <w:rPr>
                <w:rFonts w:ascii="Times New Roman" w:hAnsi="Times New Roman"/>
                <w:sz w:val="24"/>
              </w:rPr>
              <w:t>nsolidowanych sprawozdań finansowych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2</w:t>
            </w:r>
            <w:r w:rsidRPr="00835753">
              <w:rPr>
                <w:rFonts w:ascii="Times New Roman" w:hAnsi="Times New Roman"/>
                <w:sz w:val="24"/>
              </w:rPr>
              <w:t>4 dyrektywy 2013/34/UE</w:t>
            </w:r>
            <w:r w:rsidRPr="00835753">
              <w:rPr>
                <w:rStyle w:val="FootnoteReference"/>
                <w:rFonts w:eastAsia="Times New Roman" w:cs="Times New Roman"/>
              </w:rPr>
              <w:footnoteReference w:id="9"/>
            </w:r>
            <w:r w:rsidRPr="00835753">
              <w:rPr>
                <w:rFonts w:ascii="Times New Roman" w:hAnsi="Times New Roman"/>
                <w:sz w:val="24"/>
              </w:rPr>
              <w:t>, jak również (w stosownych przypadkach) do sprawozdań finansowych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umieniu międzynarodowych standardów rachunkowości zatwierdzonych w UE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(WE) nr</w:t>
            </w:r>
            <w:r w:rsidR="00835753" w:rsidRPr="00835753">
              <w:rPr>
                <w:rFonts w:ascii="Times New Roman" w:hAnsi="Times New Roman"/>
                <w:sz w:val="24"/>
              </w:rPr>
              <w:t> </w:t>
            </w:r>
            <w:r w:rsidRPr="00835753">
              <w:rPr>
                <w:rFonts w:ascii="Times New Roman" w:hAnsi="Times New Roman"/>
                <w:sz w:val="24"/>
              </w:rPr>
              <w:t>1606/2002</w:t>
            </w:r>
            <w:r w:rsidRPr="00835753">
              <w:rPr>
                <w:rStyle w:val="FootnoteReference"/>
                <w:rFonts w:eastAsia="Times New Roman" w:cs="Times New Roman"/>
              </w:rPr>
              <w:footnoteReference w:id="10"/>
            </w:r>
            <w:r w:rsidRPr="00835753">
              <w:rPr>
                <w:rFonts w:ascii="Times New Roman" w:hAnsi="Times New Roman"/>
                <w:sz w:val="24"/>
              </w:rPr>
              <w:t>.</w:t>
            </w:r>
          </w:p>
        </w:tc>
      </w:tr>
      <w:tr w:rsidR="007B082B" w:rsidRPr="00835753"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835753" w:rsidRDefault="007B082B" w:rsidP="00803BB4">
            <w:pPr>
              <w:spacing w:before="60" w:after="120"/>
              <w:rPr>
                <w:rFonts w:ascii="Times New Roman" w:hAnsi="Times New Roman" w:cs="Times New Roman"/>
                <w:sz w:val="24"/>
              </w:rPr>
            </w:pPr>
            <w:r w:rsidRPr="00835753">
              <w:rPr>
                <w:rFonts w:ascii="Times New Roman" w:hAnsi="Times New Roman"/>
                <w:sz w:val="24"/>
              </w:rPr>
              <w:t>1–XXX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835753" w:rsidRDefault="007B082B" w:rsidP="00803BB4">
            <w:pPr>
              <w:spacing w:before="60" w:after="120"/>
              <w:jc w:val="both"/>
              <w:rPr>
                <w:rFonts w:ascii="Times New Roman" w:eastAsia="Times New Roman" w:hAnsi="Times New Roman" w:cs="Times New Roman"/>
                <w:b/>
                <w:sz w:val="24"/>
              </w:rPr>
            </w:pPr>
            <w:r w:rsidRPr="00835753">
              <w:rPr>
                <w:rFonts w:ascii="Times New Roman" w:hAnsi="Times New Roman"/>
                <w:b/>
                <w:sz w:val="24"/>
              </w:rPr>
              <w:t>Zobowiązania ogółem</w:t>
            </w:r>
          </w:p>
          <w:p w14:paraId="77042600" w14:textId="13CBA733" w:rsidR="007B082B" w:rsidRPr="00835753" w:rsidRDefault="007B082B" w:rsidP="00803BB4">
            <w:pPr>
              <w:spacing w:before="60" w:after="120"/>
              <w:jc w:val="both"/>
              <w:rPr>
                <w:rFonts w:ascii="Times New Roman" w:eastAsia="Times New Roman" w:hAnsi="Times New Roman" w:cs="Times New Roman"/>
                <w:sz w:val="24"/>
              </w:rPr>
            </w:pPr>
            <w:r w:rsidRPr="00835753">
              <w:rPr>
                <w:rFonts w:ascii="Times New Roman" w:hAnsi="Times New Roman"/>
                <w:sz w:val="24"/>
              </w:rPr>
              <w:t>Struktura wierszy powinna być taka sama jak struktura wierszy bilansu wykorzystanego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naj</w:t>
            </w:r>
            <w:r w:rsidRPr="00835753">
              <w:rPr>
                <w:rFonts w:ascii="Times New Roman" w:hAnsi="Times New Roman"/>
                <w:sz w:val="24"/>
              </w:rPr>
              <w:t xml:space="preserve">nowszym dostępnym sprawozdaniu finansowym instytucji. </w:t>
            </w:r>
          </w:p>
          <w:p w14:paraId="7532D864" w14:textId="2C1AAB1D" w:rsidR="007B082B" w:rsidRPr="00835753" w:rsidRDefault="007B082B" w:rsidP="00803BB4">
            <w:pPr>
              <w:spacing w:after="120"/>
              <w:jc w:val="both"/>
              <w:rPr>
                <w:rFonts w:ascii="Times New Roman" w:eastAsia="Times New Roman" w:hAnsi="Times New Roman" w:cs="Times New Roman"/>
                <w:sz w:val="24"/>
              </w:rPr>
            </w:pPr>
            <w:r w:rsidRPr="00835753">
              <w:rPr>
                <w:rFonts w:ascii="Times New Roman" w:hAnsi="Times New Roman"/>
                <w:sz w:val="24"/>
              </w:rPr>
              <w:t>Termin „sprawozdanie finansowe” odnosi się do rocznych jednostkowych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sko</w:t>
            </w:r>
            <w:r w:rsidRPr="00835753">
              <w:rPr>
                <w:rFonts w:ascii="Times New Roman" w:hAnsi="Times New Roman"/>
                <w:sz w:val="24"/>
              </w:rPr>
              <w:t>nsolidowanych sprawozdań finansowych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2</w:t>
            </w:r>
            <w:r w:rsidRPr="00835753">
              <w:rPr>
                <w:rFonts w:ascii="Times New Roman" w:hAnsi="Times New Roman"/>
                <w:sz w:val="24"/>
              </w:rPr>
              <w:t>4 dyrektywy 2013/34/UE, jak również (w stosownych przypadkach) do sprawozdań finansowych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umieniu międzynarodowych standardów rachunkowości zatwierdzonych w UE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(WE) nr</w:t>
            </w:r>
            <w:r w:rsidR="00835753" w:rsidRPr="00835753">
              <w:rPr>
                <w:rFonts w:ascii="Times New Roman" w:hAnsi="Times New Roman"/>
                <w:sz w:val="24"/>
              </w:rPr>
              <w:t> </w:t>
            </w:r>
            <w:r w:rsidRPr="00835753">
              <w:rPr>
                <w:rFonts w:ascii="Times New Roman" w:hAnsi="Times New Roman"/>
                <w:sz w:val="24"/>
              </w:rPr>
              <w:t>1606/2002.</w:t>
            </w:r>
          </w:p>
        </w:tc>
      </w:tr>
    </w:tbl>
    <w:p w14:paraId="4F2BF8C7" w14:textId="77777777" w:rsidR="007B082B" w:rsidRPr="00835753" w:rsidRDefault="007B082B" w:rsidP="007B082B">
      <w:pPr>
        <w:rPr>
          <w:rFonts w:ascii="Times New Roman" w:hAnsi="Times New Roman" w:cs="Times New Roman"/>
          <w:sz w:val="24"/>
        </w:rPr>
      </w:pPr>
    </w:p>
    <w:p w14:paraId="64F3C7F4" w14:textId="77777777" w:rsidR="007B082B" w:rsidRPr="00835753"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35753"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2A354FFE" w:rsidR="007B082B" w:rsidRPr="00835753" w:rsidRDefault="007B082B" w:rsidP="00803BB4">
            <w:pPr>
              <w:pStyle w:val="TableTitle"/>
              <w:spacing w:before="0" w:after="0"/>
              <w:jc w:val="left"/>
              <w:rPr>
                <w:rFonts w:ascii="Times New Roman" w:hAnsi="Times New Roman"/>
                <w:noProof w:val="0"/>
                <w:sz w:val="24"/>
                <w:szCs w:val="24"/>
              </w:rPr>
            </w:pPr>
            <w:r w:rsidRPr="00835753">
              <w:rPr>
                <w:rFonts w:ascii="Times New Roman" w:hAnsi="Times New Roman"/>
                <w:noProof w:val="0"/>
                <w:sz w:val="24"/>
                <w:szCs w:val="24"/>
              </w:rPr>
              <w:t>Odniesienia prawne</w:t>
            </w:r>
            <w:r w:rsidR="00835753" w:rsidRPr="00835753">
              <w:rPr>
                <w:rFonts w:ascii="Times New Roman" w:hAnsi="Times New Roman"/>
                <w:noProof w:val="0"/>
                <w:sz w:val="24"/>
                <w:szCs w:val="24"/>
              </w:rPr>
              <w:t xml:space="preserve"> i</w:t>
            </w:r>
            <w:r w:rsidR="00835753">
              <w:rPr>
                <w:rFonts w:ascii="Times New Roman" w:hAnsi="Times New Roman"/>
                <w:noProof w:val="0"/>
                <w:sz w:val="24"/>
                <w:szCs w:val="24"/>
              </w:rPr>
              <w:t> </w:t>
            </w:r>
            <w:r w:rsidR="00835753" w:rsidRPr="00835753">
              <w:rPr>
                <w:rFonts w:ascii="Times New Roman" w:hAnsi="Times New Roman"/>
                <w:noProof w:val="0"/>
                <w:sz w:val="24"/>
                <w:szCs w:val="24"/>
              </w:rPr>
              <w:t>ins</w:t>
            </w:r>
            <w:r w:rsidRPr="00835753">
              <w:rPr>
                <w:rFonts w:ascii="Times New Roman" w:hAnsi="Times New Roman"/>
                <w:noProof w:val="0"/>
                <w:sz w:val="24"/>
                <w:szCs w:val="24"/>
              </w:rPr>
              <w:t>trukcje</w:t>
            </w:r>
          </w:p>
        </w:tc>
      </w:tr>
      <w:tr w:rsidR="007B082B" w:rsidRPr="00835753"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835753" w:rsidRDefault="007B082B" w:rsidP="00803BB4">
            <w:pPr>
              <w:autoSpaceDE w:val="0"/>
              <w:autoSpaceDN w:val="0"/>
              <w:adjustRightInd w:val="0"/>
              <w:rPr>
                <w:rFonts w:ascii="Times New Roman" w:hAnsi="Times New Roman" w:cs="Times New Roman"/>
                <w:b/>
                <w:sz w:val="24"/>
              </w:rPr>
            </w:pPr>
            <w:r w:rsidRPr="00835753">
              <w:rPr>
                <w:rFonts w:ascii="Times New Roman" w:hAnsi="Times New Roman"/>
                <w:b/>
                <w:sz w:val="24"/>
              </w:rPr>
              <w:t>Oznaczenie kolumny</w:t>
            </w:r>
          </w:p>
        </w:tc>
        <w:tc>
          <w:tcPr>
            <w:tcW w:w="7655" w:type="dxa"/>
            <w:tcBorders>
              <w:bottom w:val="nil"/>
            </w:tcBorders>
            <w:shd w:val="clear" w:color="auto" w:fill="D9D9D9" w:themeFill="background1" w:themeFillShade="D9"/>
          </w:tcPr>
          <w:p w14:paraId="368C0446" w14:textId="77777777" w:rsidR="007B082B" w:rsidRPr="00835753" w:rsidRDefault="007B082B" w:rsidP="00803BB4">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7B082B" w:rsidRPr="00835753" w14:paraId="73590585" w14:textId="77777777" w:rsidTr="00803BB4">
        <w:trPr>
          <w:trHeight w:val="238"/>
        </w:trPr>
        <w:tc>
          <w:tcPr>
            <w:tcW w:w="1384" w:type="dxa"/>
            <w:shd w:val="clear" w:color="auto" w:fill="FFFFFF" w:themeFill="background1"/>
          </w:tcPr>
          <w:p w14:paraId="19C91772" w14:textId="77777777" w:rsidR="007B082B" w:rsidRPr="00835753" w:rsidRDefault="007B082B" w:rsidP="00803BB4">
            <w:pPr>
              <w:autoSpaceDE w:val="0"/>
              <w:autoSpaceDN w:val="0"/>
              <w:adjustRightInd w:val="0"/>
              <w:spacing w:before="60"/>
              <w:jc w:val="center"/>
              <w:rPr>
                <w:rFonts w:ascii="Times New Roman" w:hAnsi="Times New Roman" w:cs="Times New Roman"/>
                <w:b/>
                <w:sz w:val="24"/>
              </w:rPr>
            </w:pPr>
            <w:proofErr w:type="gramStart"/>
            <w:r w:rsidRPr="00835753">
              <w:rPr>
                <w:rFonts w:ascii="Times New Roman" w:hAnsi="Times New Roman"/>
                <w:b/>
                <w:sz w:val="24"/>
              </w:rPr>
              <w:t>a</w:t>
            </w:r>
            <w:proofErr w:type="gramEnd"/>
            <w:r w:rsidRPr="00835753">
              <w:rPr>
                <w:rFonts w:ascii="Times New Roman" w:hAnsi="Times New Roman"/>
                <w:b/>
                <w:sz w:val="24"/>
              </w:rPr>
              <w:t>)</w:t>
            </w:r>
          </w:p>
        </w:tc>
        <w:tc>
          <w:tcPr>
            <w:tcW w:w="7655" w:type="dxa"/>
            <w:shd w:val="clear" w:color="auto" w:fill="FFFFFF" w:themeFill="background1"/>
          </w:tcPr>
          <w:p w14:paraId="52953546" w14:textId="61957BBF" w:rsidR="007B082B" w:rsidRPr="00835753" w:rsidRDefault="007B082B" w:rsidP="00803BB4">
            <w:pPr>
              <w:spacing w:before="60" w:after="120"/>
              <w:jc w:val="both"/>
              <w:rPr>
                <w:rFonts w:ascii="Times New Roman" w:eastAsia="Times New Roman" w:hAnsi="Times New Roman" w:cs="Times New Roman"/>
                <w:b/>
                <w:sz w:val="24"/>
              </w:rPr>
            </w:pPr>
            <w:r w:rsidRPr="00835753">
              <w:rPr>
                <w:rFonts w:ascii="Times New Roman" w:hAnsi="Times New Roman"/>
                <w:b/>
                <w:sz w:val="24"/>
              </w:rPr>
              <w:t>Wartości bilansowe wykazywane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pub</w:t>
            </w:r>
            <w:r w:rsidRPr="00835753">
              <w:rPr>
                <w:rFonts w:ascii="Times New Roman" w:hAnsi="Times New Roman"/>
                <w:b/>
                <w:sz w:val="24"/>
              </w:rPr>
              <w:t>likowanych sprawozdaniach finansowych</w:t>
            </w:r>
          </w:p>
          <w:p w14:paraId="4129957F" w14:textId="77457D3A" w:rsidR="007B082B" w:rsidRPr="00835753" w:rsidRDefault="007B082B" w:rsidP="00803BB4">
            <w:pPr>
              <w:spacing w:before="60" w:after="120"/>
              <w:jc w:val="both"/>
              <w:rPr>
                <w:rFonts w:ascii="Times New Roman" w:hAnsi="Times New Roman" w:cs="Times New Roman"/>
                <w:sz w:val="24"/>
              </w:rPr>
            </w:pPr>
            <w:r w:rsidRPr="00835753">
              <w:rPr>
                <w:rFonts w:ascii="Times New Roman" w:hAnsi="Times New Roman"/>
                <w:sz w:val="24"/>
              </w:rPr>
              <w:t>Kwota wykazywana po stronie aktywów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str</w:t>
            </w:r>
            <w:r w:rsidRPr="00835753">
              <w:rPr>
                <w:rFonts w:ascii="Times New Roman" w:hAnsi="Times New Roman"/>
                <w:sz w:val="24"/>
              </w:rPr>
              <w:t>onie zobowiązań bilansu ustalona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ogami konsolidacji określonymi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maj</w:t>
            </w:r>
            <w:r w:rsidRPr="00835753">
              <w:rPr>
                <w:rFonts w:ascii="Times New Roman" w:hAnsi="Times New Roman"/>
                <w:sz w:val="24"/>
              </w:rPr>
              <w:t>ących zastosowanie standardach rachunkowości,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uwz</w:t>
            </w:r>
            <w:r w:rsidRPr="00835753">
              <w:rPr>
                <w:rFonts w:ascii="Times New Roman" w:hAnsi="Times New Roman"/>
                <w:sz w:val="24"/>
              </w:rPr>
              <w:t>ględnieniem ram opartych na dyrektywie 2013/34/UE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dyr</w:t>
            </w:r>
            <w:r w:rsidRPr="00835753">
              <w:rPr>
                <w:rFonts w:ascii="Times New Roman" w:hAnsi="Times New Roman"/>
                <w:sz w:val="24"/>
              </w:rPr>
              <w:t>ektywie 86/635/EWG</w:t>
            </w:r>
            <w:r w:rsidRPr="00835753">
              <w:rPr>
                <w:rStyle w:val="FootnoteReference"/>
                <w:rFonts w:eastAsia="Times New Roman" w:cs="Times New Roman"/>
              </w:rPr>
              <w:footnoteReference w:id="11"/>
            </w:r>
            <w:r w:rsidRPr="00835753">
              <w:rPr>
                <w:rFonts w:ascii="Times New Roman" w:hAnsi="Times New Roman"/>
                <w:sz w:val="24"/>
              </w:rPr>
              <w:t xml:space="preserve"> lub też</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mię</w:t>
            </w:r>
            <w:r w:rsidRPr="00835753">
              <w:rPr>
                <w:rFonts w:ascii="Times New Roman" w:hAnsi="Times New Roman"/>
                <w:sz w:val="24"/>
              </w:rPr>
              <w:t xml:space="preserve">dzynarodowymi standardami rachunkowości zatwierdzonymi w UE </w:t>
            </w:r>
          </w:p>
        </w:tc>
      </w:tr>
      <w:tr w:rsidR="007B082B" w:rsidRPr="00835753" w14:paraId="22743145" w14:textId="77777777" w:rsidTr="00803BB4">
        <w:trPr>
          <w:trHeight w:val="238"/>
        </w:trPr>
        <w:tc>
          <w:tcPr>
            <w:tcW w:w="1384" w:type="dxa"/>
            <w:shd w:val="clear" w:color="auto" w:fill="FFFFFF" w:themeFill="background1"/>
          </w:tcPr>
          <w:p w14:paraId="3935BE19" w14:textId="77777777" w:rsidR="007B082B" w:rsidRPr="00835753" w:rsidRDefault="007B082B" w:rsidP="00803BB4">
            <w:pPr>
              <w:autoSpaceDE w:val="0"/>
              <w:autoSpaceDN w:val="0"/>
              <w:adjustRightInd w:val="0"/>
              <w:spacing w:before="60" w:after="120"/>
              <w:jc w:val="center"/>
              <w:rPr>
                <w:rFonts w:ascii="Times New Roman" w:hAnsi="Times New Roman" w:cs="Times New Roman"/>
                <w:b/>
                <w:sz w:val="24"/>
              </w:rPr>
            </w:pPr>
            <w:proofErr w:type="gramStart"/>
            <w:r w:rsidRPr="00835753">
              <w:rPr>
                <w:rFonts w:ascii="Times New Roman" w:hAnsi="Times New Roman"/>
                <w:b/>
                <w:sz w:val="24"/>
              </w:rPr>
              <w:t>b</w:t>
            </w:r>
            <w:proofErr w:type="gramEnd"/>
            <w:r w:rsidRPr="00835753">
              <w:rPr>
                <w:rFonts w:ascii="Times New Roman" w:hAnsi="Times New Roman"/>
                <w:b/>
                <w:sz w:val="24"/>
              </w:rPr>
              <w:t>)</w:t>
            </w:r>
          </w:p>
        </w:tc>
        <w:tc>
          <w:tcPr>
            <w:tcW w:w="7655" w:type="dxa"/>
            <w:shd w:val="clear" w:color="auto" w:fill="FFFFFF" w:themeFill="background1"/>
          </w:tcPr>
          <w:p w14:paraId="5DCA8572" w14:textId="76BC7B51" w:rsidR="007B082B" w:rsidRPr="00835753" w:rsidRDefault="007B082B" w:rsidP="00803BB4">
            <w:pPr>
              <w:spacing w:before="60" w:after="120"/>
              <w:jc w:val="both"/>
              <w:rPr>
                <w:rFonts w:ascii="Times New Roman" w:eastAsia="Times New Roman" w:hAnsi="Times New Roman" w:cs="Times New Roman"/>
                <w:b/>
                <w:sz w:val="24"/>
              </w:rPr>
            </w:pPr>
            <w:r w:rsidRPr="00835753">
              <w:rPr>
                <w:rFonts w:ascii="Times New Roman" w:hAnsi="Times New Roman"/>
                <w:b/>
                <w:sz w:val="24"/>
              </w:rPr>
              <w:t>Wartości bilansowe wchodzące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 xml:space="preserve">res konsolidacji ostrożnościowej </w:t>
            </w:r>
          </w:p>
          <w:p w14:paraId="3D6E4161" w14:textId="5ED848D9" w:rsidR="007B082B" w:rsidRPr="00835753" w:rsidRDefault="007B082B" w:rsidP="00803BB4">
            <w:pPr>
              <w:jc w:val="both"/>
              <w:rPr>
                <w:rFonts w:ascii="Times New Roman" w:hAnsi="Times New Roman" w:cs="Times New Roman"/>
                <w:sz w:val="24"/>
              </w:rPr>
            </w:pPr>
            <w:r w:rsidRPr="00835753">
              <w:rPr>
                <w:rFonts w:ascii="Times New Roman" w:hAnsi="Times New Roman"/>
                <w:sz w:val="24"/>
              </w:rPr>
              <w:t>Kwota wykazywana po stronie aktywów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zob</w:t>
            </w:r>
            <w:r w:rsidRPr="00835753">
              <w:rPr>
                <w:rFonts w:ascii="Times New Roman" w:hAnsi="Times New Roman"/>
                <w:sz w:val="24"/>
              </w:rPr>
              <w:t>owiązań bilansu ustalona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ogami konsolidacji regulacyjnej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pierwszej tytuł II sekcje 2</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3</w:t>
            </w:r>
            <w:r w:rsidRPr="00835753">
              <w:rPr>
                <w:rFonts w:ascii="Times New Roman" w:hAnsi="Times New Roman"/>
                <w:sz w:val="24"/>
              </w:rPr>
              <w:t xml:space="preserve"> CRR</w:t>
            </w:r>
          </w:p>
          <w:p w14:paraId="49CEED58" w14:textId="317674DF" w:rsidR="007B082B" w:rsidRPr="00835753" w:rsidRDefault="007B082B" w:rsidP="00803BB4">
            <w:pPr>
              <w:spacing w:before="60" w:after="120"/>
              <w:jc w:val="both"/>
              <w:rPr>
                <w:rFonts w:ascii="Times New Roman" w:hAnsi="Times New Roman" w:cs="Times New Roman"/>
                <w:b/>
                <w:sz w:val="24"/>
              </w:rPr>
            </w:pPr>
            <w:r w:rsidRPr="00835753">
              <w:rPr>
                <w:rFonts w:ascii="Times New Roman" w:hAnsi="Times New Roman"/>
                <w:sz w:val="24"/>
              </w:rPr>
              <w:t>Jeżeli zakres konsolidacji rachunkowości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kon</w:t>
            </w:r>
            <w:r w:rsidRPr="00835753">
              <w:rPr>
                <w:rFonts w:ascii="Times New Roman" w:hAnsi="Times New Roman"/>
                <w:sz w:val="24"/>
              </w:rPr>
              <w:t>solidacji ostrożnościowej jest dokładnie taki sam, wówczas kolumny a) i b)</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wzorze należy połączyć.</w:t>
            </w:r>
          </w:p>
        </w:tc>
      </w:tr>
      <w:tr w:rsidR="007B082B" w:rsidRPr="00835753" w14:paraId="23C860EA" w14:textId="77777777" w:rsidTr="00803BB4">
        <w:trPr>
          <w:trHeight w:val="238"/>
        </w:trPr>
        <w:tc>
          <w:tcPr>
            <w:tcW w:w="1384" w:type="dxa"/>
            <w:shd w:val="clear" w:color="auto" w:fill="FFFFFF" w:themeFill="background1"/>
          </w:tcPr>
          <w:p w14:paraId="5E92F7E9" w14:textId="77777777" w:rsidR="007B082B" w:rsidRPr="00835753" w:rsidRDefault="007B082B" w:rsidP="00803BB4">
            <w:pPr>
              <w:autoSpaceDE w:val="0"/>
              <w:autoSpaceDN w:val="0"/>
              <w:adjustRightInd w:val="0"/>
              <w:spacing w:before="60" w:after="120"/>
              <w:jc w:val="center"/>
              <w:rPr>
                <w:rFonts w:ascii="Times New Roman" w:hAnsi="Times New Roman" w:cs="Times New Roman"/>
                <w:b/>
                <w:sz w:val="24"/>
              </w:rPr>
            </w:pPr>
            <w:proofErr w:type="gramStart"/>
            <w:r w:rsidRPr="00835753">
              <w:rPr>
                <w:rFonts w:ascii="Times New Roman" w:hAnsi="Times New Roman"/>
                <w:b/>
                <w:sz w:val="24"/>
              </w:rPr>
              <w:t>c</w:t>
            </w:r>
            <w:proofErr w:type="gramEnd"/>
            <w:r w:rsidRPr="00835753">
              <w:rPr>
                <w:rFonts w:ascii="Times New Roman" w:hAnsi="Times New Roman"/>
                <w:b/>
                <w:sz w:val="24"/>
              </w:rPr>
              <w:t>)</w:t>
            </w:r>
          </w:p>
        </w:tc>
        <w:tc>
          <w:tcPr>
            <w:tcW w:w="7655" w:type="dxa"/>
            <w:shd w:val="clear" w:color="auto" w:fill="FFFFFF" w:themeFill="background1"/>
          </w:tcPr>
          <w:p w14:paraId="473D894D" w14:textId="77777777" w:rsidR="007B082B" w:rsidRPr="00835753" w:rsidRDefault="007B082B" w:rsidP="00803BB4">
            <w:pPr>
              <w:spacing w:before="60" w:after="120"/>
              <w:jc w:val="both"/>
              <w:rPr>
                <w:rFonts w:ascii="Times New Roman" w:eastAsia="Times New Roman" w:hAnsi="Times New Roman" w:cs="Times New Roman"/>
                <w:b/>
                <w:sz w:val="24"/>
              </w:rPr>
            </w:pPr>
            <w:r w:rsidRPr="00835753">
              <w:rPr>
                <w:rFonts w:ascii="Times New Roman" w:hAnsi="Times New Roman"/>
                <w:b/>
                <w:sz w:val="24"/>
              </w:rPr>
              <w:t>Wartości bilansowe pozycji podlegających ramom ryzyka kredytowego</w:t>
            </w:r>
          </w:p>
          <w:p w14:paraId="1EC918C8" w14:textId="5ECED25C" w:rsidR="007B082B" w:rsidRPr="00835753" w:rsidRDefault="007B082B" w:rsidP="00803BB4">
            <w:pPr>
              <w:spacing w:before="60" w:after="120"/>
              <w:jc w:val="both"/>
              <w:rPr>
                <w:rFonts w:ascii="Times New Roman" w:hAnsi="Times New Roman" w:cs="Times New Roman"/>
                <w:b/>
                <w:sz w:val="24"/>
              </w:rPr>
            </w:pPr>
            <w:r w:rsidRPr="00835753">
              <w:rPr>
                <w:rFonts w:ascii="Times New Roman" w:hAnsi="Times New Roman"/>
                <w:sz w:val="24"/>
              </w:rPr>
              <w:t>Wartości bilansowe objęte ostrożnościowym zakresem konsolidacji pozycji (innych niż pozycje pozabilansowe), których dotyczy część trzecia tytuł II rozdziały 2</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3</w:t>
            </w:r>
            <w:r w:rsidRPr="00835753">
              <w:rPr>
                <w:rFonts w:ascii="Times New Roman" w:hAnsi="Times New Roman"/>
                <w:sz w:val="24"/>
              </w:rPr>
              <w:t xml:space="preserve"> CRR</w:t>
            </w:r>
          </w:p>
        </w:tc>
      </w:tr>
      <w:tr w:rsidR="007B082B" w:rsidRPr="00835753" w14:paraId="1F738F97" w14:textId="77777777" w:rsidTr="00803BB4">
        <w:trPr>
          <w:trHeight w:val="238"/>
        </w:trPr>
        <w:tc>
          <w:tcPr>
            <w:tcW w:w="1384" w:type="dxa"/>
            <w:shd w:val="clear" w:color="auto" w:fill="FFFFFF" w:themeFill="background1"/>
          </w:tcPr>
          <w:p w14:paraId="593AA395" w14:textId="77777777" w:rsidR="007B082B" w:rsidRPr="00835753" w:rsidRDefault="007B082B" w:rsidP="00803BB4">
            <w:pPr>
              <w:autoSpaceDE w:val="0"/>
              <w:autoSpaceDN w:val="0"/>
              <w:adjustRightInd w:val="0"/>
              <w:spacing w:before="60"/>
              <w:jc w:val="center"/>
              <w:rPr>
                <w:rFonts w:ascii="Times New Roman" w:hAnsi="Times New Roman" w:cs="Times New Roman"/>
                <w:b/>
                <w:sz w:val="24"/>
              </w:rPr>
            </w:pPr>
            <w:proofErr w:type="gramStart"/>
            <w:r w:rsidRPr="00835753">
              <w:rPr>
                <w:rFonts w:ascii="Times New Roman" w:hAnsi="Times New Roman"/>
                <w:b/>
                <w:sz w:val="24"/>
              </w:rPr>
              <w:t>d</w:t>
            </w:r>
            <w:proofErr w:type="gramEnd"/>
            <w:r w:rsidRPr="00835753">
              <w:rPr>
                <w:rFonts w:ascii="Times New Roman" w:hAnsi="Times New Roman"/>
                <w:b/>
                <w:sz w:val="24"/>
              </w:rPr>
              <w:t>)</w:t>
            </w:r>
          </w:p>
        </w:tc>
        <w:tc>
          <w:tcPr>
            <w:tcW w:w="7655" w:type="dxa"/>
            <w:shd w:val="clear" w:color="auto" w:fill="FFFFFF" w:themeFill="background1"/>
          </w:tcPr>
          <w:p w14:paraId="39A27C45" w14:textId="77777777" w:rsidR="007B082B" w:rsidRPr="00835753" w:rsidRDefault="007B082B" w:rsidP="00803BB4">
            <w:pPr>
              <w:spacing w:before="60" w:after="120"/>
              <w:ind w:left="34"/>
              <w:jc w:val="both"/>
              <w:rPr>
                <w:rFonts w:ascii="Times New Roman" w:eastAsia="Times New Roman" w:hAnsi="Times New Roman" w:cs="Times New Roman"/>
                <w:b/>
                <w:sz w:val="24"/>
              </w:rPr>
            </w:pPr>
            <w:r w:rsidRPr="00835753">
              <w:rPr>
                <w:rFonts w:ascii="Times New Roman" w:hAnsi="Times New Roman"/>
                <w:b/>
                <w:sz w:val="24"/>
              </w:rPr>
              <w:t>Wartości bilansowe pozycji podlegających ramom ryzyka kredytowego kontrahenta</w:t>
            </w:r>
          </w:p>
          <w:p w14:paraId="2986478C" w14:textId="6970C872" w:rsidR="007B082B" w:rsidRPr="00835753" w:rsidRDefault="007B082B" w:rsidP="00803BB4">
            <w:pPr>
              <w:spacing w:before="60" w:after="120"/>
              <w:ind w:left="34"/>
              <w:jc w:val="both"/>
              <w:rPr>
                <w:rFonts w:ascii="Times New Roman" w:hAnsi="Times New Roman" w:cs="Times New Roman"/>
                <w:b/>
                <w:sz w:val="24"/>
              </w:rPr>
            </w:pPr>
            <w:r w:rsidRPr="00835753">
              <w:rPr>
                <w:rFonts w:ascii="Times New Roman" w:hAnsi="Times New Roman"/>
                <w:sz w:val="24"/>
              </w:rPr>
              <w:t>Wartości bilansowe objęte ostrożnościowym zakresem konsolidacji pozycji (innych niż pozycje pozabilansowe), których dotyczy część trzecia tytuł II rozdział 6 CRR</w:t>
            </w:r>
          </w:p>
        </w:tc>
      </w:tr>
      <w:tr w:rsidR="007B082B" w:rsidRPr="00835753" w14:paraId="59C5D493" w14:textId="77777777" w:rsidTr="00803BB4">
        <w:trPr>
          <w:trHeight w:val="238"/>
        </w:trPr>
        <w:tc>
          <w:tcPr>
            <w:tcW w:w="1384" w:type="dxa"/>
            <w:shd w:val="clear" w:color="auto" w:fill="FFFFFF" w:themeFill="background1"/>
          </w:tcPr>
          <w:p w14:paraId="2F586381" w14:textId="77777777" w:rsidR="007B082B" w:rsidRPr="00835753" w:rsidRDefault="007B082B" w:rsidP="00803BB4">
            <w:pPr>
              <w:autoSpaceDE w:val="0"/>
              <w:autoSpaceDN w:val="0"/>
              <w:adjustRightInd w:val="0"/>
              <w:spacing w:before="60" w:after="120"/>
              <w:jc w:val="center"/>
              <w:rPr>
                <w:rFonts w:ascii="Times New Roman" w:hAnsi="Times New Roman" w:cs="Times New Roman"/>
                <w:b/>
                <w:sz w:val="24"/>
              </w:rPr>
            </w:pPr>
            <w:proofErr w:type="gramStart"/>
            <w:r w:rsidRPr="00835753">
              <w:rPr>
                <w:rFonts w:ascii="Times New Roman" w:hAnsi="Times New Roman"/>
                <w:b/>
                <w:sz w:val="24"/>
              </w:rPr>
              <w:t>e</w:t>
            </w:r>
            <w:proofErr w:type="gramEnd"/>
            <w:r w:rsidRPr="00835753">
              <w:rPr>
                <w:rFonts w:ascii="Times New Roman" w:hAnsi="Times New Roman"/>
                <w:b/>
                <w:sz w:val="24"/>
              </w:rPr>
              <w:t>)</w:t>
            </w:r>
          </w:p>
        </w:tc>
        <w:tc>
          <w:tcPr>
            <w:tcW w:w="7655" w:type="dxa"/>
            <w:shd w:val="clear" w:color="auto" w:fill="FFFFFF" w:themeFill="background1"/>
          </w:tcPr>
          <w:p w14:paraId="6CEE28EC" w14:textId="77777777" w:rsidR="007B082B" w:rsidRPr="00835753" w:rsidRDefault="007B082B" w:rsidP="00803BB4">
            <w:pPr>
              <w:spacing w:before="60" w:after="120"/>
              <w:ind w:left="34"/>
              <w:jc w:val="both"/>
              <w:rPr>
                <w:rFonts w:ascii="Times New Roman" w:eastAsia="Times New Roman" w:hAnsi="Times New Roman" w:cs="Times New Roman"/>
                <w:sz w:val="24"/>
              </w:rPr>
            </w:pPr>
            <w:r w:rsidRPr="00835753">
              <w:rPr>
                <w:rFonts w:ascii="Times New Roman" w:hAnsi="Times New Roman"/>
                <w:b/>
                <w:sz w:val="24"/>
              </w:rPr>
              <w:t xml:space="preserve">Wartości bilansowe pozycji podlegających ramom sekurytyzacji </w:t>
            </w:r>
          </w:p>
          <w:p w14:paraId="07A4D681" w14:textId="4D89903C" w:rsidR="007B082B" w:rsidRPr="00835753" w:rsidRDefault="007B082B" w:rsidP="00803BB4">
            <w:pPr>
              <w:spacing w:before="60" w:after="120"/>
              <w:ind w:left="34"/>
              <w:jc w:val="both"/>
              <w:rPr>
                <w:rFonts w:ascii="Times New Roman" w:eastAsia="Times New Roman" w:hAnsi="Times New Roman" w:cs="Times New Roman"/>
                <w:sz w:val="24"/>
              </w:rPr>
            </w:pPr>
            <w:r w:rsidRPr="00835753">
              <w:rPr>
                <w:rFonts w:ascii="Times New Roman" w:hAnsi="Times New Roman"/>
                <w:sz w:val="24"/>
              </w:rPr>
              <w:t>Wartości bilansowe objęte ostrożnościowym zakresem konsolidacji pozycji (innych niż pozycje pozabilansowe)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tfela bankowego, których dotyczy część trzecia tytuł II rozdział 5 CRR</w:t>
            </w:r>
          </w:p>
        </w:tc>
      </w:tr>
      <w:tr w:rsidR="007B082B" w:rsidRPr="00835753" w14:paraId="075814D7" w14:textId="77777777" w:rsidTr="00803BB4">
        <w:trPr>
          <w:trHeight w:val="238"/>
        </w:trPr>
        <w:tc>
          <w:tcPr>
            <w:tcW w:w="1384" w:type="dxa"/>
            <w:shd w:val="clear" w:color="auto" w:fill="FFFFFF" w:themeFill="background1"/>
          </w:tcPr>
          <w:p w14:paraId="1578F0B5" w14:textId="77777777" w:rsidR="007B082B" w:rsidRPr="00835753" w:rsidRDefault="007B082B" w:rsidP="00803BB4">
            <w:pPr>
              <w:autoSpaceDE w:val="0"/>
              <w:autoSpaceDN w:val="0"/>
              <w:adjustRightInd w:val="0"/>
              <w:spacing w:before="60" w:after="120"/>
              <w:jc w:val="center"/>
              <w:rPr>
                <w:rFonts w:ascii="Times New Roman" w:hAnsi="Times New Roman" w:cs="Times New Roman"/>
                <w:b/>
                <w:sz w:val="24"/>
              </w:rPr>
            </w:pPr>
            <w:proofErr w:type="gramStart"/>
            <w:r w:rsidRPr="00835753">
              <w:rPr>
                <w:rFonts w:ascii="Times New Roman" w:hAnsi="Times New Roman"/>
                <w:b/>
                <w:sz w:val="24"/>
              </w:rPr>
              <w:t>f</w:t>
            </w:r>
            <w:proofErr w:type="gramEnd"/>
            <w:r w:rsidRPr="00835753">
              <w:rPr>
                <w:rFonts w:ascii="Times New Roman" w:hAnsi="Times New Roman"/>
                <w:b/>
                <w:sz w:val="24"/>
              </w:rPr>
              <w:t>)</w:t>
            </w:r>
          </w:p>
        </w:tc>
        <w:tc>
          <w:tcPr>
            <w:tcW w:w="7655" w:type="dxa"/>
            <w:shd w:val="clear" w:color="auto" w:fill="FFFFFF" w:themeFill="background1"/>
          </w:tcPr>
          <w:p w14:paraId="5BB71968" w14:textId="77777777" w:rsidR="007B082B" w:rsidRPr="00835753" w:rsidRDefault="007B082B" w:rsidP="00803BB4">
            <w:pPr>
              <w:spacing w:before="60" w:after="120"/>
              <w:ind w:left="34"/>
              <w:jc w:val="both"/>
              <w:rPr>
                <w:rFonts w:ascii="Times New Roman" w:eastAsia="Times New Roman" w:hAnsi="Times New Roman" w:cs="Times New Roman"/>
                <w:sz w:val="24"/>
              </w:rPr>
            </w:pPr>
            <w:r w:rsidRPr="00835753">
              <w:rPr>
                <w:rFonts w:ascii="Times New Roman" w:hAnsi="Times New Roman"/>
                <w:b/>
                <w:sz w:val="24"/>
              </w:rPr>
              <w:t>Wartości bilansowe pozycji podlegających ramom ryzyka rynkowego</w:t>
            </w:r>
          </w:p>
          <w:p w14:paraId="1A5699D4" w14:textId="24E920B7" w:rsidR="007B082B" w:rsidRPr="00835753" w:rsidRDefault="007B082B" w:rsidP="00803BB4">
            <w:pPr>
              <w:spacing w:before="60" w:after="120"/>
              <w:ind w:left="34"/>
              <w:jc w:val="both"/>
              <w:rPr>
                <w:rFonts w:ascii="Times New Roman" w:hAnsi="Times New Roman" w:cs="Times New Roman"/>
                <w:b/>
                <w:sz w:val="24"/>
              </w:rPr>
            </w:pPr>
            <w:r w:rsidRPr="00835753">
              <w:rPr>
                <w:rFonts w:ascii="Times New Roman" w:hAnsi="Times New Roman"/>
                <w:sz w:val="24"/>
              </w:rPr>
              <w:t>Wartości bilansowe objęte ostrożnościowym zakresem konsolidacji pozycji (innych niż pozycje pozabilansowe), których dotyczy część trzecia tytuł IV CRR Pozycje odpowiadające pozycjom sekurytyzacyjnym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tfelu handlowym – do których mają zastosowanie wymogi zawarte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IV CRR – uwzględnia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tej</w:t>
            </w:r>
            <w:r w:rsidRPr="00835753">
              <w:rPr>
                <w:rFonts w:ascii="Times New Roman" w:hAnsi="Times New Roman"/>
                <w:sz w:val="24"/>
              </w:rPr>
              <w:t xml:space="preserve"> kolumnie.</w:t>
            </w:r>
          </w:p>
        </w:tc>
      </w:tr>
      <w:tr w:rsidR="007B082B" w:rsidRPr="00835753" w14:paraId="1E2B8902" w14:textId="77777777" w:rsidTr="00803BB4">
        <w:trPr>
          <w:trHeight w:val="238"/>
        </w:trPr>
        <w:tc>
          <w:tcPr>
            <w:tcW w:w="1384" w:type="dxa"/>
            <w:shd w:val="clear" w:color="auto" w:fill="FFFFFF" w:themeFill="background1"/>
          </w:tcPr>
          <w:p w14:paraId="59241FC5" w14:textId="77777777" w:rsidR="007B082B" w:rsidRPr="00835753" w:rsidRDefault="007B082B" w:rsidP="00803BB4">
            <w:pPr>
              <w:autoSpaceDE w:val="0"/>
              <w:autoSpaceDN w:val="0"/>
              <w:adjustRightInd w:val="0"/>
              <w:spacing w:before="60" w:after="120"/>
              <w:jc w:val="center"/>
              <w:rPr>
                <w:rFonts w:ascii="Times New Roman" w:hAnsi="Times New Roman" w:cs="Times New Roman"/>
                <w:b/>
                <w:sz w:val="24"/>
              </w:rPr>
            </w:pPr>
            <w:proofErr w:type="gramStart"/>
            <w:r w:rsidRPr="00835753">
              <w:rPr>
                <w:rFonts w:ascii="Times New Roman" w:hAnsi="Times New Roman"/>
                <w:b/>
                <w:sz w:val="24"/>
              </w:rPr>
              <w:lastRenderedPageBreak/>
              <w:t>g</w:t>
            </w:r>
            <w:proofErr w:type="gramEnd"/>
            <w:r w:rsidRPr="00835753">
              <w:rPr>
                <w:rFonts w:ascii="Times New Roman" w:hAnsi="Times New Roman"/>
                <w:b/>
                <w:sz w:val="24"/>
              </w:rPr>
              <w:t>)</w:t>
            </w:r>
          </w:p>
        </w:tc>
        <w:tc>
          <w:tcPr>
            <w:tcW w:w="7655" w:type="dxa"/>
            <w:shd w:val="clear" w:color="auto" w:fill="FFFFFF" w:themeFill="background1"/>
          </w:tcPr>
          <w:p w14:paraId="59E3B416" w14:textId="2247ED33" w:rsidR="007B082B" w:rsidRPr="00835753" w:rsidRDefault="007B082B" w:rsidP="00803BB4">
            <w:pPr>
              <w:spacing w:before="60" w:after="120"/>
              <w:ind w:left="34"/>
              <w:jc w:val="both"/>
              <w:rPr>
                <w:rFonts w:ascii="Times New Roman" w:eastAsia="Times New Roman" w:hAnsi="Times New Roman" w:cs="Times New Roman"/>
                <w:sz w:val="24"/>
              </w:rPr>
            </w:pPr>
            <w:r w:rsidRPr="00835753">
              <w:rPr>
                <w:rFonts w:ascii="Times New Roman" w:hAnsi="Times New Roman"/>
                <w:b/>
                <w:sz w:val="24"/>
              </w:rPr>
              <w:t>Wartości bilansowe pozycji, które nie podlegają wymogom</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funduszy własnych lub podlegają odliczeniu od funduszy własnych</w:t>
            </w:r>
          </w:p>
          <w:p w14:paraId="0F80A2EF" w14:textId="465E26F0" w:rsidR="007B082B" w:rsidRPr="00835753" w:rsidRDefault="007B082B" w:rsidP="00803BB4">
            <w:pPr>
              <w:spacing w:before="60" w:after="120"/>
              <w:ind w:left="34"/>
              <w:jc w:val="both"/>
              <w:rPr>
                <w:rFonts w:ascii="Times New Roman" w:eastAsia="Times New Roman" w:hAnsi="Times New Roman" w:cs="Times New Roman"/>
                <w:sz w:val="24"/>
              </w:rPr>
            </w:pPr>
            <w:r w:rsidRPr="00835753">
              <w:rPr>
                <w:rFonts w:ascii="Times New Roman" w:hAnsi="Times New Roman"/>
                <w:sz w:val="24"/>
              </w:rPr>
              <w:t>Wartości bilansowe objęte ostrożnościowym zakresem konsolidacji pozycji (innych niż pozycje pozabilansowe) niepodlegające wymogom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zgodnie z CRR; wartości bilansowe objęte ostrożnościowym zakresem konsolidacji pozycji (innych niż pozycje pozabilansowe) podlegające odliczeniom</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fun</w:t>
            </w:r>
            <w:r w:rsidRPr="00835753">
              <w:rPr>
                <w:rFonts w:ascii="Times New Roman" w:hAnsi="Times New Roman"/>
                <w:sz w:val="24"/>
              </w:rPr>
              <w:t>duszy własnych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drugą CRR</w:t>
            </w:r>
          </w:p>
          <w:p w14:paraId="54F776BA" w14:textId="0F76ECE2" w:rsidR="007B082B" w:rsidRPr="00835753" w:rsidRDefault="007B082B" w:rsidP="00803BB4">
            <w:pPr>
              <w:spacing w:before="60" w:after="120"/>
              <w:ind w:left="34"/>
              <w:jc w:val="both"/>
              <w:rPr>
                <w:rFonts w:ascii="Times New Roman" w:eastAsia="Times New Roman" w:hAnsi="Times New Roman" w:cs="Times New Roman"/>
                <w:sz w:val="24"/>
              </w:rPr>
            </w:pPr>
            <w:r w:rsidRPr="00835753">
              <w:rPr>
                <w:rFonts w:ascii="Times New Roman" w:hAnsi="Times New Roman"/>
                <w:sz w:val="24"/>
              </w:rPr>
              <w:t>Odliczone pozycje mogą uwzględniać na przykład pozycje wymienione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37, 38, 39</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4</w:t>
            </w:r>
            <w:r w:rsidRPr="00835753">
              <w:rPr>
                <w:rFonts w:ascii="Times New Roman" w:hAnsi="Times New Roman"/>
                <w:sz w:val="24"/>
              </w:rPr>
              <w:t xml:space="preserve">1 CRR. </w:t>
            </w:r>
          </w:p>
          <w:p w14:paraId="3492977C" w14:textId="159BA08B" w:rsidR="007B082B" w:rsidRPr="00835753" w:rsidRDefault="007B082B" w:rsidP="00803BB4">
            <w:pPr>
              <w:spacing w:before="60" w:after="120"/>
              <w:ind w:left="34"/>
              <w:jc w:val="both"/>
              <w:rPr>
                <w:rFonts w:ascii="Times New Roman" w:eastAsia="Times New Roman" w:hAnsi="Times New Roman" w:cs="Times New Roman"/>
                <w:sz w:val="24"/>
              </w:rPr>
            </w:pPr>
            <w:r w:rsidRPr="00835753">
              <w:rPr>
                <w:rFonts w:ascii="Times New Roman" w:hAnsi="Times New Roman"/>
                <w:sz w:val="24"/>
              </w:rPr>
              <w:t>Kwoty aktywów stanowią kwoty faktycznie odliczane od funduszy własnych, uwzględniające wszelkie kompensowanie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zobowiązań możliwe dzięki odliczeniu (i ewentualny próg odliczenia) mającemu zastosowanie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owiednimi artykułami części drugiej CRR.</w:t>
            </w:r>
          </w:p>
          <w:p w14:paraId="76CA48AF" w14:textId="00CAD980" w:rsidR="007B082B" w:rsidRPr="00835753" w:rsidRDefault="007B082B" w:rsidP="00803BB4">
            <w:pPr>
              <w:spacing w:before="60" w:after="120"/>
              <w:jc w:val="both"/>
              <w:rPr>
                <w:rFonts w:ascii="Times New Roman" w:eastAsia="Times New Roman" w:hAnsi="Times New Roman" w:cs="Times New Roman"/>
                <w:sz w:val="24"/>
              </w:rPr>
            </w:pPr>
            <w:r w:rsidRPr="00835753">
              <w:rPr>
                <w:rFonts w:ascii="Times New Roman" w:hAnsi="Times New Roman"/>
                <w:sz w:val="24"/>
              </w:rPr>
              <w:t>Jeżeli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pozycji wymienionych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k)</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 CRR stosuje się wagę ryzyka równą 1 250</w:t>
            </w:r>
            <w:r w:rsidR="00835753" w:rsidRPr="00835753">
              <w:rPr>
                <w:rFonts w:ascii="Times New Roman" w:hAnsi="Times New Roman"/>
                <w:sz w:val="24"/>
              </w:rPr>
              <w:t> </w:t>
            </w:r>
            <w:r w:rsidRPr="00835753">
              <w:rPr>
                <w:rFonts w:ascii="Times New Roman" w:hAnsi="Times New Roman"/>
                <w:sz w:val="24"/>
              </w:rPr>
              <w:t>% zamiast odliczania, pozycji tych nie ujawnia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g) niniejszego wzoru, tylko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inn</w:t>
            </w:r>
            <w:r w:rsidRPr="00835753">
              <w:rPr>
                <w:rFonts w:ascii="Times New Roman" w:hAnsi="Times New Roman"/>
                <w:sz w:val="24"/>
              </w:rPr>
              <w:t>ych odpowiednich kolumnach wzoru EU LI1. Dotyczy to również dowolnej innej pozycji, wobec której stosuje się wagę ryzyka równą 1 250</w:t>
            </w:r>
            <w:r w:rsidR="00835753" w:rsidRPr="00835753">
              <w:rPr>
                <w:rFonts w:ascii="Times New Roman" w:hAnsi="Times New Roman"/>
                <w:sz w:val="24"/>
              </w:rPr>
              <w:t> </w:t>
            </w:r>
            <w:r w:rsidRPr="00835753">
              <w:rPr>
                <w:rFonts w:ascii="Times New Roman" w:hAnsi="Times New Roman"/>
                <w:sz w:val="24"/>
              </w:rPr>
              <w:t>%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ogami CRR.</w:t>
            </w:r>
          </w:p>
          <w:p w14:paraId="49535D35" w14:textId="775004EA" w:rsidR="007B082B" w:rsidRPr="00835753" w:rsidRDefault="007B082B" w:rsidP="005752E4">
            <w:pPr>
              <w:spacing w:before="60" w:after="120"/>
              <w:jc w:val="both"/>
              <w:rPr>
                <w:rFonts w:ascii="Times New Roman" w:hAnsi="Times New Roman" w:cs="Times New Roman"/>
                <w:b/>
                <w:sz w:val="24"/>
              </w:rPr>
            </w:pPr>
            <w:r w:rsidRPr="00835753">
              <w:rPr>
                <w:rFonts w:ascii="Times New Roman" w:hAnsi="Times New Roman"/>
                <w:sz w:val="24"/>
              </w:rPr>
              <w:t>Kwoty zobowiązań stanowią kwotę zobowiązań ujmowaną do celów ustalania kwoty aktywów, którą należy odliczyć od funduszy własnych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owiednimi artykułami części drugiej CRR. Ponadto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tej</w:t>
            </w:r>
            <w:r w:rsidRPr="00835753">
              <w:rPr>
                <w:rFonts w:ascii="Times New Roman" w:hAnsi="Times New Roman"/>
                <w:sz w:val="24"/>
              </w:rPr>
              <w:t xml:space="preserve"> kolumnie ujawnia się wszelkie zobowiązania inne niż zobowiązania (i) istotne dla zastosowania wymogów zawartych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 4 rozporządzenia CRR lub (ii) istotne dla zastosowania wymogów zawartych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 6</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IV CRR.</w:t>
            </w:r>
          </w:p>
        </w:tc>
      </w:tr>
      <w:tr w:rsidR="007B082B" w:rsidRPr="00835753" w14:paraId="4063820F" w14:textId="77777777" w:rsidTr="00803BB4">
        <w:trPr>
          <w:trHeight w:val="238"/>
        </w:trPr>
        <w:tc>
          <w:tcPr>
            <w:tcW w:w="1384" w:type="dxa"/>
            <w:shd w:val="clear" w:color="auto" w:fill="FFFFFF" w:themeFill="background1"/>
          </w:tcPr>
          <w:p w14:paraId="0733C189" w14:textId="77777777" w:rsidR="007B082B" w:rsidRPr="00835753" w:rsidRDefault="007B082B" w:rsidP="00803BB4">
            <w:pPr>
              <w:autoSpaceDE w:val="0"/>
              <w:autoSpaceDN w:val="0"/>
              <w:adjustRightInd w:val="0"/>
              <w:spacing w:before="60" w:after="120"/>
              <w:jc w:val="center"/>
              <w:rPr>
                <w:rFonts w:ascii="Times New Roman" w:hAnsi="Times New Roman" w:cs="Times New Roman"/>
                <w:b/>
                <w:sz w:val="24"/>
              </w:rPr>
            </w:pPr>
            <w:proofErr w:type="gramStart"/>
            <w:r w:rsidRPr="00835753">
              <w:rPr>
                <w:rFonts w:ascii="Times New Roman" w:hAnsi="Times New Roman"/>
                <w:b/>
                <w:sz w:val="24"/>
              </w:rPr>
              <w:t>wszystkie</w:t>
            </w:r>
            <w:proofErr w:type="gramEnd"/>
          </w:p>
        </w:tc>
        <w:tc>
          <w:tcPr>
            <w:tcW w:w="7655" w:type="dxa"/>
            <w:shd w:val="clear" w:color="auto" w:fill="FFFFFF" w:themeFill="background1"/>
          </w:tcPr>
          <w:p w14:paraId="679453E6" w14:textId="194FB0D4" w:rsidR="007B082B" w:rsidRPr="00835753" w:rsidRDefault="007B082B" w:rsidP="00803BB4">
            <w:pPr>
              <w:spacing w:before="60" w:after="120"/>
              <w:ind w:left="34"/>
              <w:jc w:val="both"/>
              <w:rPr>
                <w:rFonts w:ascii="Times New Roman" w:eastAsia="Times New Roman" w:hAnsi="Times New Roman" w:cs="Times New Roman"/>
                <w:b/>
                <w:color w:val="000000" w:themeColor="text1"/>
                <w:sz w:val="24"/>
              </w:rPr>
            </w:pPr>
            <w:r w:rsidRPr="00835753">
              <w:rPr>
                <w:rFonts w:ascii="Times New Roman" w:hAnsi="Times New Roman"/>
                <w:sz w:val="24"/>
              </w:rPr>
              <w:t>Jeżeli pojedyncza pozycja pociąga za sobą wymogi kapitałowe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wię</w:t>
            </w:r>
            <w:r w:rsidRPr="00835753">
              <w:rPr>
                <w:rFonts w:ascii="Times New Roman" w:hAnsi="Times New Roman"/>
                <w:sz w:val="24"/>
              </w:rPr>
              <w:t>cej niż jednymi ramami ryzyka, wartości ujawnia się we wszystkich kolumnach odpowiadających wymogom kapitałowym, których dotyczy taka pozycja</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rez</w:t>
            </w:r>
            <w:r w:rsidRPr="00835753">
              <w:rPr>
                <w:rFonts w:ascii="Times New Roman" w:hAnsi="Times New Roman"/>
                <w:sz w:val="24"/>
              </w:rPr>
              <w:t>ultacie suma kwot</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c</w:t>
            </w:r>
            <w:proofErr w:type="gramStart"/>
            <w:r w:rsidRPr="00835753">
              <w:rPr>
                <w:rFonts w:ascii="Times New Roman" w:hAnsi="Times New Roman"/>
                <w:sz w:val="24"/>
              </w:rPr>
              <w:t>)–g</w:t>
            </w:r>
            <w:proofErr w:type="gramEnd"/>
            <w:r w:rsidRPr="00835753">
              <w:rPr>
                <w:rFonts w:ascii="Times New Roman" w:hAnsi="Times New Roman"/>
                <w:sz w:val="24"/>
              </w:rPr>
              <w:t>) niniejszego wzoru może przekraczać kwotę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b) niniejszego wzoru. Instytucje przedstawiają wyjaśnienia jakościowe dotyczące aktywów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zob</w:t>
            </w:r>
            <w:r w:rsidRPr="00835753">
              <w:rPr>
                <w:rFonts w:ascii="Times New Roman" w:hAnsi="Times New Roman"/>
                <w:sz w:val="24"/>
              </w:rPr>
              <w:t>owiązań, które podlegają wymogom kapitałowym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więcej niż jednych ram ryzyka wymienionych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CRR.</w:t>
            </w:r>
          </w:p>
        </w:tc>
      </w:tr>
    </w:tbl>
    <w:p w14:paraId="44815BAE" w14:textId="77777777" w:rsidR="007B082B" w:rsidRPr="00835753" w:rsidRDefault="007B082B" w:rsidP="007B082B">
      <w:pPr>
        <w:spacing w:after="120"/>
        <w:jc w:val="both"/>
        <w:rPr>
          <w:rFonts w:ascii="Times New Roman" w:hAnsi="Times New Roman" w:cs="Times New Roman"/>
          <w:b/>
          <w:sz w:val="24"/>
        </w:rPr>
      </w:pPr>
    </w:p>
    <w:p w14:paraId="31A70112" w14:textId="713A6C49" w:rsidR="007B082B" w:rsidRPr="00835753" w:rsidRDefault="00D96A21" w:rsidP="007B082B">
      <w:pPr>
        <w:spacing w:after="120"/>
        <w:jc w:val="both"/>
        <w:rPr>
          <w:rFonts w:ascii="Times New Roman" w:hAnsi="Times New Roman" w:cs="Times New Roman"/>
          <w:b/>
          <w:sz w:val="24"/>
        </w:rPr>
      </w:pPr>
      <w:r w:rsidRPr="00835753">
        <w:rPr>
          <w:rFonts w:ascii="Times New Roman" w:hAnsi="Times New Roman"/>
          <w:b/>
          <w:sz w:val="24"/>
        </w:rPr>
        <w:t>Wzór EU LI2 – Główne źródła różnic między regulacyjnymi kwotami ekspozycji</w:t>
      </w:r>
      <w:r w:rsidR="00835753" w:rsidRPr="00835753">
        <w:rPr>
          <w:rFonts w:ascii="Times New Roman" w:hAnsi="Times New Roman"/>
          <w:b/>
          <w:sz w:val="24"/>
        </w:rPr>
        <w:t xml:space="preserve"> a</w:t>
      </w:r>
      <w:r w:rsidR="00835753">
        <w:rPr>
          <w:rFonts w:ascii="Times New Roman" w:hAnsi="Times New Roman"/>
          <w:b/>
          <w:sz w:val="24"/>
        </w:rPr>
        <w:t> </w:t>
      </w:r>
      <w:r w:rsidR="00835753" w:rsidRPr="00835753">
        <w:rPr>
          <w:rFonts w:ascii="Times New Roman" w:hAnsi="Times New Roman"/>
          <w:b/>
          <w:sz w:val="24"/>
        </w:rPr>
        <w:t>war</w:t>
      </w:r>
      <w:r w:rsidRPr="00835753">
        <w:rPr>
          <w:rFonts w:ascii="Times New Roman" w:hAnsi="Times New Roman"/>
          <w:b/>
          <w:sz w:val="24"/>
        </w:rPr>
        <w:t>tościami bilansowymi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spr</w:t>
      </w:r>
      <w:r w:rsidRPr="00835753">
        <w:rPr>
          <w:rFonts w:ascii="Times New Roman" w:hAnsi="Times New Roman"/>
          <w:b/>
          <w:sz w:val="24"/>
        </w:rPr>
        <w:t xml:space="preserve">awozdaniach finansowych. </w:t>
      </w:r>
      <w:r w:rsidRPr="00835753">
        <w:rPr>
          <w:rFonts w:ascii="Times New Roman" w:hAnsi="Times New Roman"/>
          <w:sz w:val="24"/>
        </w:rPr>
        <w:t>Format stały</w:t>
      </w:r>
      <w:r w:rsidRPr="00835753">
        <w:rPr>
          <w:rFonts w:ascii="Times New Roman" w:hAnsi="Times New Roman"/>
          <w:b/>
          <w:sz w:val="24"/>
        </w:rPr>
        <w:t xml:space="preserve"> </w:t>
      </w:r>
    </w:p>
    <w:p w14:paraId="6EE0E7BA" w14:textId="232076E7" w:rsidR="007B082B" w:rsidRPr="00835753"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sidRPr="00835753">
        <w:rPr>
          <w:rFonts w:ascii="Times New Roman" w:hAnsi="Times New Roman"/>
          <w:sz w:val="24"/>
        </w:rPr>
        <w:t>W celu wypełnienia wzoru EU LI2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V do niniejszego rozporządzenia wykonawczego instytucje</w:t>
      </w:r>
      <w:r w:rsidRPr="00835753">
        <w:rPr>
          <w:rFonts w:ascii="Times New Roman" w:hAnsi="Times New Roman"/>
          <w:color w:val="000000" w:themeColor="text1"/>
          <w:sz w:val="24"/>
        </w:rPr>
        <w:t xml:space="preserve"> ujawniają informacje,</w:t>
      </w:r>
      <w:r w:rsidR="00835753" w:rsidRPr="00835753">
        <w:rPr>
          <w:rFonts w:ascii="Times New Roman" w:hAnsi="Times New Roman"/>
          <w:color w:val="000000" w:themeColor="text1"/>
          <w:sz w:val="24"/>
        </w:rPr>
        <w:t xml:space="preserve"> o</w:t>
      </w:r>
      <w:r w:rsidR="00835753">
        <w:rPr>
          <w:rFonts w:ascii="Times New Roman" w:hAnsi="Times New Roman"/>
          <w:color w:val="000000" w:themeColor="text1"/>
          <w:sz w:val="24"/>
        </w:rPr>
        <w:t> </w:t>
      </w:r>
      <w:r w:rsidR="00835753" w:rsidRPr="00835753">
        <w:rPr>
          <w:rFonts w:ascii="Times New Roman" w:hAnsi="Times New Roman"/>
          <w:color w:val="000000" w:themeColor="text1"/>
          <w:sz w:val="24"/>
        </w:rPr>
        <w:t>któ</w:t>
      </w:r>
      <w:r w:rsidRPr="00835753">
        <w:rPr>
          <w:rFonts w:ascii="Times New Roman" w:hAnsi="Times New Roman"/>
          <w:color w:val="000000" w:themeColor="text1"/>
          <w:sz w:val="24"/>
        </w:rPr>
        <w:t>rych mowa</w:t>
      </w:r>
      <w:r w:rsidR="00835753" w:rsidRPr="00835753">
        <w:rPr>
          <w:rFonts w:ascii="Times New Roman" w:hAnsi="Times New Roman"/>
          <w:color w:val="000000" w:themeColor="text1"/>
          <w:sz w:val="24"/>
        </w:rPr>
        <w:t xml:space="preserve"> w</w:t>
      </w:r>
      <w:r w:rsidR="00835753">
        <w:rPr>
          <w:rFonts w:ascii="Times New Roman" w:hAnsi="Times New Roman"/>
          <w:color w:val="000000" w:themeColor="text1"/>
          <w:sz w:val="24"/>
        </w:rPr>
        <w:t> </w:t>
      </w:r>
      <w:r w:rsidR="00835753" w:rsidRPr="00835753">
        <w:rPr>
          <w:rFonts w:ascii="Times New Roman" w:hAnsi="Times New Roman"/>
          <w:color w:val="000000" w:themeColor="text1"/>
          <w:sz w:val="24"/>
        </w:rPr>
        <w:t>art</w:t>
      </w:r>
      <w:r w:rsidRPr="00835753">
        <w:rPr>
          <w:rFonts w:ascii="Times New Roman" w:hAnsi="Times New Roman"/>
          <w:color w:val="000000" w:themeColor="text1"/>
          <w:sz w:val="24"/>
        </w:rPr>
        <w:t>.</w:t>
      </w:r>
      <w:r w:rsidR="00835753" w:rsidRPr="00835753">
        <w:rPr>
          <w:rFonts w:ascii="Times New Roman" w:hAnsi="Times New Roman"/>
          <w:color w:val="000000" w:themeColor="text1"/>
          <w:sz w:val="24"/>
        </w:rPr>
        <w:t> </w:t>
      </w:r>
      <w:r w:rsidRPr="00835753">
        <w:rPr>
          <w:rFonts w:ascii="Times New Roman" w:hAnsi="Times New Roman"/>
          <w:color w:val="000000" w:themeColor="text1"/>
          <w:sz w:val="24"/>
        </w:rPr>
        <w:t>436 lit.</w:t>
      </w:r>
      <w:r w:rsidR="00835753" w:rsidRPr="00835753">
        <w:rPr>
          <w:rFonts w:ascii="Times New Roman" w:hAnsi="Times New Roman"/>
          <w:color w:val="000000" w:themeColor="text1"/>
          <w:sz w:val="24"/>
        </w:rPr>
        <w:t> </w:t>
      </w:r>
      <w:r w:rsidRPr="00835753">
        <w:rPr>
          <w:rFonts w:ascii="Times New Roman" w:hAnsi="Times New Roman"/>
          <w:color w:val="000000" w:themeColor="text1"/>
          <w:sz w:val="24"/>
        </w:rPr>
        <w:t>d) CRR</w:t>
      </w:r>
      <w:r w:rsidRPr="00835753">
        <w:rPr>
          <w:rFonts w:ascii="Times New Roman" w:hAnsi="Times New Roman"/>
          <w:sz w:val="24"/>
        </w:rPr>
        <w:t>,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r w:rsidRPr="00835753">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35753"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D3B0D22" w:rsidR="007B082B" w:rsidRPr="00835753" w:rsidRDefault="007B082B" w:rsidP="00803BB4">
            <w:pPr>
              <w:rPr>
                <w:rFonts w:ascii="Times New Roman" w:hAnsi="Times New Roman" w:cs="Times New Roman"/>
                <w:b/>
                <w:sz w:val="24"/>
                <w:highlight w:val="yellow"/>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7B082B" w:rsidRPr="00835753" w14:paraId="37213F9B" w14:textId="77777777" w:rsidTr="00803BB4">
        <w:trPr>
          <w:trHeight w:val="238"/>
        </w:trPr>
        <w:tc>
          <w:tcPr>
            <w:tcW w:w="1384" w:type="dxa"/>
            <w:shd w:val="clear" w:color="auto" w:fill="D9D9D9" w:themeFill="background1" w:themeFillShade="D9"/>
          </w:tcPr>
          <w:p w14:paraId="5549AE08" w14:textId="77777777" w:rsidR="007B082B" w:rsidRPr="00835753" w:rsidRDefault="007B082B" w:rsidP="00803BB4">
            <w:pPr>
              <w:autoSpaceDE w:val="0"/>
              <w:autoSpaceDN w:val="0"/>
              <w:adjustRightInd w:val="0"/>
              <w:rPr>
                <w:rFonts w:ascii="Times New Roman" w:hAnsi="Times New Roman" w:cs="Times New Roman"/>
                <w:b/>
                <w:sz w:val="24"/>
              </w:rPr>
            </w:pPr>
            <w:r w:rsidRPr="00835753">
              <w:rPr>
                <w:rFonts w:ascii="Times New Roman" w:hAnsi="Times New Roman"/>
                <w:b/>
                <w:sz w:val="24"/>
              </w:rPr>
              <w:lastRenderedPageBreak/>
              <w:t>Numer wiersza</w:t>
            </w:r>
          </w:p>
        </w:tc>
        <w:tc>
          <w:tcPr>
            <w:tcW w:w="7655" w:type="dxa"/>
            <w:shd w:val="clear" w:color="auto" w:fill="D9D9D9" w:themeFill="background1" w:themeFillShade="D9"/>
          </w:tcPr>
          <w:p w14:paraId="06A65BED" w14:textId="77777777" w:rsidR="007B082B" w:rsidRPr="00835753" w:rsidRDefault="007B082B" w:rsidP="00803BB4">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7B082B" w:rsidRPr="00835753" w14:paraId="0155D466" w14:textId="77777777" w:rsidTr="00803BB4">
        <w:trPr>
          <w:trHeight w:val="238"/>
        </w:trPr>
        <w:tc>
          <w:tcPr>
            <w:tcW w:w="1384" w:type="dxa"/>
            <w:shd w:val="clear" w:color="auto" w:fill="FFFFFF" w:themeFill="background1"/>
          </w:tcPr>
          <w:p w14:paraId="1191F31B" w14:textId="77777777" w:rsidR="007B082B" w:rsidRPr="00835753" w:rsidRDefault="007B082B" w:rsidP="00803BB4">
            <w:pPr>
              <w:autoSpaceDE w:val="0"/>
              <w:autoSpaceDN w:val="0"/>
              <w:adjustRightInd w:val="0"/>
              <w:spacing w:before="60" w:after="120"/>
              <w:jc w:val="center"/>
              <w:rPr>
                <w:rFonts w:ascii="Times New Roman" w:hAnsi="Times New Roman" w:cs="Times New Roman"/>
                <w:sz w:val="24"/>
              </w:rPr>
            </w:pPr>
            <w:r w:rsidRPr="00835753">
              <w:rPr>
                <w:rFonts w:ascii="Times New Roman" w:hAnsi="Times New Roman"/>
                <w:sz w:val="24"/>
              </w:rPr>
              <w:t>1</w:t>
            </w:r>
          </w:p>
        </w:tc>
        <w:tc>
          <w:tcPr>
            <w:tcW w:w="7655" w:type="dxa"/>
            <w:shd w:val="clear" w:color="auto" w:fill="FFFFFF" w:themeFill="background1"/>
          </w:tcPr>
          <w:p w14:paraId="27280576" w14:textId="0396F897" w:rsidR="007B082B" w:rsidRPr="00835753" w:rsidRDefault="007B082B" w:rsidP="00803BB4">
            <w:pPr>
              <w:spacing w:before="60" w:after="120"/>
              <w:jc w:val="both"/>
              <w:rPr>
                <w:rFonts w:ascii="Times New Roman" w:eastAsia="Times New Roman" w:hAnsi="Times New Roman" w:cs="Times New Roman"/>
                <w:b/>
                <w:sz w:val="24"/>
              </w:rPr>
            </w:pPr>
            <w:r w:rsidRPr="00835753">
              <w:rPr>
                <w:rFonts w:ascii="Times New Roman" w:hAnsi="Times New Roman"/>
                <w:b/>
                <w:sz w:val="24"/>
              </w:rPr>
              <w:t>Kwota wartości bilansowej aktywów</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konsolidacji ostrożnościowej</w:t>
            </w:r>
          </w:p>
          <w:p w14:paraId="4566519D" w14:textId="0D49419B" w:rsidR="007B082B" w:rsidRPr="00835753" w:rsidRDefault="007B082B" w:rsidP="00803BB4">
            <w:pPr>
              <w:spacing w:before="60" w:after="120"/>
              <w:jc w:val="both"/>
              <w:rPr>
                <w:rFonts w:ascii="Times New Roman" w:hAnsi="Times New Roman" w:cs="Times New Roman"/>
                <w:b/>
                <w:sz w:val="24"/>
              </w:rPr>
            </w:pPr>
            <w:r w:rsidRPr="00835753">
              <w:rPr>
                <w:rFonts w:ascii="Times New Roman" w:hAnsi="Times New Roman"/>
                <w:sz w:val="24"/>
              </w:rPr>
              <w:t>Kwoty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b</w:t>
            </w:r>
            <w:proofErr w:type="gramStart"/>
            <w:r w:rsidRPr="00835753">
              <w:rPr>
                <w:rFonts w:ascii="Times New Roman" w:hAnsi="Times New Roman"/>
                <w:sz w:val="24"/>
              </w:rPr>
              <w:t>)–e</w:t>
            </w:r>
            <w:proofErr w:type="gramEnd"/>
            <w:r w:rsidRPr="00835753">
              <w:rPr>
                <w:rFonts w:ascii="Times New Roman" w:hAnsi="Times New Roman"/>
                <w:sz w:val="24"/>
              </w:rPr>
              <w:t>) niniejszego wzoru odpowiadają kwotom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 xml:space="preserve">umnach c)–f) wzoru EU LI1. </w:t>
            </w:r>
          </w:p>
        </w:tc>
      </w:tr>
      <w:tr w:rsidR="007B082B" w:rsidRPr="00835753" w14:paraId="2B977FE4" w14:textId="77777777" w:rsidTr="00803BB4">
        <w:trPr>
          <w:trHeight w:val="238"/>
        </w:trPr>
        <w:tc>
          <w:tcPr>
            <w:tcW w:w="1384" w:type="dxa"/>
            <w:shd w:val="clear" w:color="auto" w:fill="FFFFFF" w:themeFill="background1"/>
          </w:tcPr>
          <w:p w14:paraId="54C1F0CB" w14:textId="77777777" w:rsidR="007B082B" w:rsidRPr="00835753" w:rsidRDefault="007B082B" w:rsidP="00803BB4">
            <w:pPr>
              <w:autoSpaceDE w:val="0"/>
              <w:autoSpaceDN w:val="0"/>
              <w:adjustRightInd w:val="0"/>
              <w:spacing w:before="60" w:after="120"/>
              <w:jc w:val="center"/>
              <w:rPr>
                <w:rFonts w:ascii="Times New Roman" w:hAnsi="Times New Roman" w:cs="Times New Roman"/>
                <w:sz w:val="24"/>
              </w:rPr>
            </w:pPr>
            <w:r w:rsidRPr="00835753">
              <w:rPr>
                <w:rFonts w:ascii="Times New Roman" w:hAnsi="Times New Roman"/>
                <w:sz w:val="24"/>
              </w:rPr>
              <w:t>2</w:t>
            </w:r>
          </w:p>
        </w:tc>
        <w:tc>
          <w:tcPr>
            <w:tcW w:w="7655" w:type="dxa"/>
            <w:shd w:val="clear" w:color="auto" w:fill="FFFFFF" w:themeFill="background1"/>
          </w:tcPr>
          <w:p w14:paraId="2F3F8E3D" w14:textId="6D129EC2" w:rsidR="007B082B" w:rsidRPr="00835753" w:rsidRDefault="007B082B" w:rsidP="00803BB4">
            <w:pPr>
              <w:autoSpaceDE w:val="0"/>
              <w:autoSpaceDN w:val="0"/>
              <w:adjustRightInd w:val="0"/>
              <w:spacing w:before="60" w:after="120"/>
              <w:rPr>
                <w:rFonts w:ascii="Times New Roman" w:hAnsi="Times New Roman" w:cs="Times New Roman"/>
                <w:b/>
                <w:sz w:val="24"/>
              </w:rPr>
            </w:pPr>
            <w:r w:rsidRPr="00835753">
              <w:rPr>
                <w:rFonts w:ascii="Times New Roman" w:hAnsi="Times New Roman"/>
                <w:b/>
                <w:sz w:val="24"/>
              </w:rPr>
              <w:t>Kwota wartości bilansowej aktywów</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konsolidacji ostrożnościowej</w:t>
            </w:r>
          </w:p>
          <w:p w14:paraId="34408E15" w14:textId="302D40BB" w:rsidR="007B082B" w:rsidRPr="00835753" w:rsidRDefault="007B082B" w:rsidP="00803BB4">
            <w:pPr>
              <w:autoSpaceDE w:val="0"/>
              <w:autoSpaceDN w:val="0"/>
              <w:adjustRightInd w:val="0"/>
              <w:spacing w:before="60" w:after="120"/>
              <w:jc w:val="both"/>
              <w:rPr>
                <w:rFonts w:ascii="Times New Roman" w:hAnsi="Times New Roman" w:cs="Times New Roman"/>
                <w:b/>
                <w:sz w:val="24"/>
              </w:rPr>
            </w:pPr>
            <w:r w:rsidRPr="00835753">
              <w:rPr>
                <w:rFonts w:ascii="Times New Roman" w:hAnsi="Times New Roman"/>
                <w:sz w:val="24"/>
              </w:rPr>
              <w:t>Kwoty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b</w:t>
            </w:r>
            <w:proofErr w:type="gramStart"/>
            <w:r w:rsidRPr="00835753">
              <w:rPr>
                <w:rFonts w:ascii="Times New Roman" w:hAnsi="Times New Roman"/>
                <w:sz w:val="24"/>
              </w:rPr>
              <w:t>)–e</w:t>
            </w:r>
            <w:proofErr w:type="gramEnd"/>
            <w:r w:rsidRPr="00835753">
              <w:rPr>
                <w:rFonts w:ascii="Times New Roman" w:hAnsi="Times New Roman"/>
                <w:sz w:val="24"/>
              </w:rPr>
              <w:t>) niniejszego wzoru odpowiadają kwotom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c)–f) wzoru EU LI1.</w:t>
            </w:r>
          </w:p>
        </w:tc>
      </w:tr>
      <w:tr w:rsidR="007B082B" w:rsidRPr="00835753" w14:paraId="154099F0" w14:textId="77777777" w:rsidTr="00803BB4">
        <w:trPr>
          <w:trHeight w:val="238"/>
        </w:trPr>
        <w:tc>
          <w:tcPr>
            <w:tcW w:w="1384" w:type="dxa"/>
            <w:shd w:val="clear" w:color="auto" w:fill="FFFFFF" w:themeFill="background1"/>
          </w:tcPr>
          <w:p w14:paraId="6E121382" w14:textId="77777777" w:rsidR="007B082B" w:rsidRPr="00835753" w:rsidRDefault="007B082B" w:rsidP="00803BB4">
            <w:pPr>
              <w:autoSpaceDE w:val="0"/>
              <w:autoSpaceDN w:val="0"/>
              <w:adjustRightInd w:val="0"/>
              <w:spacing w:before="60" w:after="120"/>
              <w:jc w:val="center"/>
              <w:rPr>
                <w:rFonts w:ascii="Times New Roman" w:hAnsi="Times New Roman" w:cs="Times New Roman"/>
                <w:sz w:val="24"/>
              </w:rPr>
            </w:pPr>
            <w:r w:rsidRPr="00835753">
              <w:rPr>
                <w:rFonts w:ascii="Times New Roman" w:hAnsi="Times New Roman"/>
                <w:sz w:val="24"/>
              </w:rPr>
              <w:t>3</w:t>
            </w:r>
          </w:p>
        </w:tc>
        <w:tc>
          <w:tcPr>
            <w:tcW w:w="7655" w:type="dxa"/>
            <w:shd w:val="clear" w:color="auto" w:fill="FFFFFF" w:themeFill="background1"/>
          </w:tcPr>
          <w:p w14:paraId="46835F95" w14:textId="5C50632F" w:rsidR="007B082B" w:rsidRPr="00835753" w:rsidRDefault="007B082B" w:rsidP="00803BB4">
            <w:pPr>
              <w:spacing w:before="60" w:after="120"/>
              <w:jc w:val="both"/>
              <w:rPr>
                <w:rFonts w:ascii="Times New Roman" w:eastAsia="Times New Roman" w:hAnsi="Times New Roman" w:cs="Times New Roman"/>
                <w:b/>
                <w:sz w:val="24"/>
              </w:rPr>
            </w:pPr>
            <w:r w:rsidRPr="00835753">
              <w:rPr>
                <w:rFonts w:ascii="Times New Roman" w:hAnsi="Times New Roman"/>
                <w:b/>
                <w:sz w:val="24"/>
              </w:rPr>
              <w:t>Kwota całkowita netto</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 xml:space="preserve">resie konsolidacji ostrożnościowej </w:t>
            </w:r>
          </w:p>
          <w:p w14:paraId="38F6AC9F" w14:textId="7349FC99" w:rsidR="007B082B" w:rsidRPr="00835753" w:rsidRDefault="007B082B" w:rsidP="00803BB4">
            <w:pPr>
              <w:spacing w:before="60" w:after="120"/>
              <w:jc w:val="both"/>
              <w:rPr>
                <w:rFonts w:ascii="Times New Roman" w:eastAsia="Times New Roman" w:hAnsi="Times New Roman" w:cs="Times New Roman"/>
                <w:sz w:val="24"/>
              </w:rPr>
            </w:pPr>
            <w:r w:rsidRPr="00835753">
              <w:rPr>
                <w:rFonts w:ascii="Times New Roman" w:hAnsi="Times New Roman"/>
                <w:sz w:val="24"/>
              </w:rPr>
              <w:t>Kwota po skompensowaniu pozycji bilansowych między aktywami</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zob</w:t>
            </w:r>
            <w:r w:rsidRPr="00835753">
              <w:rPr>
                <w:rFonts w:ascii="Times New Roman" w:hAnsi="Times New Roman"/>
                <w:sz w:val="24"/>
              </w:rPr>
              <w:t>owiązaniami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resem konsolidacji ostrożnościowej, niezależnie od kwalifikowalności tych aktywów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zob</w:t>
            </w:r>
            <w:r w:rsidRPr="00835753">
              <w:rPr>
                <w:rFonts w:ascii="Times New Roman" w:hAnsi="Times New Roman"/>
                <w:sz w:val="24"/>
              </w:rPr>
              <w:t>owiązań według szczególnych zasad dotyczących kompensowania,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rozdziały 4</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5</w:t>
            </w:r>
            <w:r w:rsidRPr="00835753">
              <w:rPr>
                <w:rFonts w:ascii="Times New Roman" w:hAnsi="Times New Roman"/>
                <w:sz w:val="24"/>
              </w:rPr>
              <w:t xml:space="preserve">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IV CRR</w:t>
            </w:r>
          </w:p>
          <w:p w14:paraId="6A493344" w14:textId="61DC4975" w:rsidR="007B082B" w:rsidRPr="00835753" w:rsidRDefault="007B082B" w:rsidP="00803BB4">
            <w:pPr>
              <w:spacing w:before="60" w:after="120"/>
              <w:jc w:val="both"/>
              <w:rPr>
                <w:rFonts w:ascii="Times New Roman" w:eastAsia="Times New Roman" w:hAnsi="Times New Roman" w:cs="Times New Roman"/>
                <w:color w:val="3F8BD0" w:themeColor="accent6" w:themeTint="99"/>
                <w:sz w:val="24"/>
              </w:rPr>
            </w:pPr>
            <w:r w:rsidRPr="00835753">
              <w:rPr>
                <w:rFonts w:ascii="Times New Roman" w:hAnsi="Times New Roman"/>
                <w:sz w:val="24"/>
              </w:rPr>
              <w:t>Kwota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wierszu jest równa wartości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1 pomniejszonej</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tość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2 niniejszego wzoru.</w:t>
            </w:r>
          </w:p>
        </w:tc>
      </w:tr>
      <w:tr w:rsidR="007B082B" w:rsidRPr="00835753" w14:paraId="59D84781" w14:textId="77777777" w:rsidTr="00803BB4">
        <w:trPr>
          <w:trHeight w:val="238"/>
        </w:trPr>
        <w:tc>
          <w:tcPr>
            <w:tcW w:w="1384" w:type="dxa"/>
            <w:shd w:val="clear" w:color="auto" w:fill="FFFFFF" w:themeFill="background1"/>
          </w:tcPr>
          <w:p w14:paraId="6A5E44AE" w14:textId="77777777" w:rsidR="007B082B" w:rsidRPr="00835753" w:rsidRDefault="007B082B" w:rsidP="00803BB4">
            <w:pPr>
              <w:autoSpaceDE w:val="0"/>
              <w:autoSpaceDN w:val="0"/>
              <w:adjustRightInd w:val="0"/>
              <w:spacing w:before="60" w:after="120"/>
              <w:jc w:val="center"/>
              <w:rPr>
                <w:rFonts w:ascii="Times New Roman" w:hAnsi="Times New Roman" w:cs="Times New Roman"/>
                <w:sz w:val="24"/>
              </w:rPr>
            </w:pPr>
            <w:r w:rsidRPr="00835753">
              <w:rPr>
                <w:rFonts w:ascii="Times New Roman" w:hAnsi="Times New Roman"/>
                <w:sz w:val="24"/>
              </w:rPr>
              <w:t>4</w:t>
            </w:r>
          </w:p>
        </w:tc>
        <w:tc>
          <w:tcPr>
            <w:tcW w:w="7655" w:type="dxa"/>
            <w:shd w:val="clear" w:color="auto" w:fill="FFFFFF" w:themeFill="background1"/>
          </w:tcPr>
          <w:p w14:paraId="3D7DC5C4" w14:textId="77777777" w:rsidR="007B082B" w:rsidRPr="00835753" w:rsidRDefault="007B082B" w:rsidP="00803BB4">
            <w:pPr>
              <w:spacing w:before="60" w:after="120"/>
              <w:jc w:val="both"/>
              <w:rPr>
                <w:rFonts w:ascii="Times New Roman" w:eastAsia="Times New Roman" w:hAnsi="Times New Roman" w:cs="Times New Roman"/>
                <w:b/>
                <w:sz w:val="24"/>
              </w:rPr>
            </w:pPr>
            <w:r w:rsidRPr="00835753">
              <w:rPr>
                <w:rFonts w:ascii="Times New Roman" w:hAnsi="Times New Roman"/>
                <w:b/>
                <w:sz w:val="24"/>
              </w:rPr>
              <w:t>Kwoty pozabilansowe</w:t>
            </w:r>
          </w:p>
          <w:p w14:paraId="1D18C207" w14:textId="476FB7ED" w:rsidR="007B082B" w:rsidRPr="00835753" w:rsidRDefault="007B082B" w:rsidP="00803BB4">
            <w:pPr>
              <w:spacing w:before="60" w:after="120"/>
              <w:jc w:val="both"/>
              <w:rPr>
                <w:rFonts w:ascii="Times New Roman" w:eastAsia="Times New Roman" w:hAnsi="Times New Roman" w:cs="Times New Roman"/>
                <w:sz w:val="24"/>
              </w:rPr>
            </w:pPr>
            <w:r w:rsidRPr="00835753">
              <w:rPr>
                <w:rFonts w:ascii="Times New Roman" w:hAnsi="Times New Roman"/>
                <w:sz w:val="24"/>
              </w:rPr>
              <w:t>Uwzględniają pozabilansowe pierwotne wartości ekspozycji przed zastosowaniem współczynnika konwersji,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ust</w:t>
            </w:r>
            <w:r w:rsidRPr="00835753">
              <w:rPr>
                <w:rFonts w:ascii="Times New Roman" w:hAnsi="Times New Roman"/>
                <w:sz w:val="24"/>
              </w:rPr>
              <w:t>anowionego zestawienia pozabilansowego, zgodnego</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resem konsolidacji ostrożnościowej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a</w:t>
            </w:r>
            <w:proofErr w:type="gramStart"/>
            <w:r w:rsidRPr="00835753">
              <w:rPr>
                <w:rFonts w:ascii="Times New Roman" w:hAnsi="Times New Roman"/>
                <w:sz w:val="24"/>
              </w:rPr>
              <w:t>)–d</w:t>
            </w:r>
            <w:proofErr w:type="gramEnd"/>
            <w:r w:rsidRPr="00835753">
              <w:rPr>
                <w:rFonts w:ascii="Times New Roman" w:hAnsi="Times New Roman"/>
                <w:sz w:val="24"/>
              </w:rPr>
              <w:t xml:space="preserve">) niniejszego wzoru. </w:t>
            </w:r>
          </w:p>
        </w:tc>
      </w:tr>
      <w:tr w:rsidR="007B082B" w:rsidRPr="00835753" w14:paraId="717262CA" w14:textId="77777777" w:rsidTr="00803BB4">
        <w:trPr>
          <w:trHeight w:val="238"/>
        </w:trPr>
        <w:tc>
          <w:tcPr>
            <w:tcW w:w="1384" w:type="dxa"/>
            <w:shd w:val="clear" w:color="auto" w:fill="FFFFFF" w:themeFill="background1"/>
          </w:tcPr>
          <w:p w14:paraId="593C0C35" w14:textId="77777777" w:rsidR="007B082B" w:rsidRPr="00835753" w:rsidRDefault="007B082B" w:rsidP="00803BB4">
            <w:pPr>
              <w:autoSpaceDE w:val="0"/>
              <w:autoSpaceDN w:val="0"/>
              <w:adjustRightInd w:val="0"/>
              <w:spacing w:before="60" w:after="120"/>
              <w:jc w:val="center"/>
              <w:rPr>
                <w:rFonts w:ascii="Times New Roman" w:hAnsi="Times New Roman" w:cs="Times New Roman"/>
                <w:sz w:val="24"/>
              </w:rPr>
            </w:pPr>
            <w:r w:rsidRPr="00835753">
              <w:rPr>
                <w:rFonts w:ascii="Times New Roman" w:hAnsi="Times New Roman"/>
                <w:sz w:val="24"/>
              </w:rPr>
              <w:t>5</w:t>
            </w:r>
          </w:p>
        </w:tc>
        <w:tc>
          <w:tcPr>
            <w:tcW w:w="7655" w:type="dxa"/>
            <w:shd w:val="clear" w:color="auto" w:fill="FFFFFF" w:themeFill="background1"/>
          </w:tcPr>
          <w:p w14:paraId="6FAD401E" w14:textId="13933C50" w:rsidR="007B082B" w:rsidRPr="00835753" w:rsidRDefault="007B082B" w:rsidP="00803BB4">
            <w:pPr>
              <w:spacing w:before="60" w:after="120"/>
              <w:jc w:val="both"/>
              <w:rPr>
                <w:rFonts w:ascii="Times New Roman" w:eastAsia="Times New Roman" w:hAnsi="Times New Roman" w:cs="Times New Roman"/>
                <w:b/>
                <w:i/>
                <w:sz w:val="24"/>
              </w:rPr>
            </w:pPr>
            <w:r w:rsidRPr="00835753">
              <w:rPr>
                <w:rFonts w:ascii="Times New Roman" w:hAnsi="Times New Roman"/>
                <w:b/>
                <w:i/>
                <w:sz w:val="24"/>
              </w:rPr>
              <w:t>Różnice</w:t>
            </w:r>
            <w:r w:rsidR="00835753" w:rsidRPr="00835753">
              <w:rPr>
                <w:rFonts w:ascii="Times New Roman" w:hAnsi="Times New Roman"/>
                <w:b/>
                <w:i/>
                <w:sz w:val="24"/>
              </w:rPr>
              <w:t xml:space="preserve"> w</w:t>
            </w:r>
            <w:r w:rsidR="00835753">
              <w:rPr>
                <w:rFonts w:ascii="Times New Roman" w:hAnsi="Times New Roman"/>
                <w:b/>
                <w:i/>
                <w:sz w:val="24"/>
              </w:rPr>
              <w:t> </w:t>
            </w:r>
            <w:r w:rsidR="00835753" w:rsidRPr="00835753">
              <w:rPr>
                <w:rFonts w:ascii="Times New Roman" w:hAnsi="Times New Roman"/>
                <w:b/>
                <w:i/>
                <w:sz w:val="24"/>
              </w:rPr>
              <w:t>wyc</w:t>
            </w:r>
            <w:r w:rsidRPr="00835753">
              <w:rPr>
                <w:rFonts w:ascii="Times New Roman" w:hAnsi="Times New Roman"/>
                <w:b/>
                <w:i/>
                <w:sz w:val="24"/>
              </w:rPr>
              <w:t>enach</w:t>
            </w:r>
          </w:p>
          <w:p w14:paraId="6481AA32" w14:textId="10418C11" w:rsidR="007B082B" w:rsidRPr="00835753" w:rsidRDefault="007B082B" w:rsidP="00803BB4">
            <w:pPr>
              <w:spacing w:before="60" w:after="120"/>
              <w:jc w:val="both"/>
              <w:rPr>
                <w:rFonts w:ascii="Times New Roman" w:eastAsia="Times New Roman" w:hAnsi="Times New Roman" w:cs="Times New Roman"/>
                <w:sz w:val="24"/>
              </w:rPr>
            </w:pPr>
            <w:r w:rsidRPr="00835753">
              <w:rPr>
                <w:rFonts w:ascii="Times New Roman" w:hAnsi="Times New Roman"/>
                <w:sz w:val="24"/>
              </w:rPr>
              <w:t>Wpływ wartości bilansowej korekt wartości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drugą tytuł I rozdział 2 art.</w:t>
            </w:r>
            <w:r w:rsidR="00835753" w:rsidRPr="00835753">
              <w:rPr>
                <w:rFonts w:ascii="Times New Roman" w:hAnsi="Times New Roman"/>
                <w:sz w:val="24"/>
              </w:rPr>
              <w:t> </w:t>
            </w:r>
            <w:r w:rsidRPr="00835753">
              <w:rPr>
                <w:rFonts w:ascii="Times New Roman" w:hAnsi="Times New Roman"/>
                <w:sz w:val="24"/>
              </w:rPr>
              <w:t>34 CRR oraz</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 rozdział 3 art.</w:t>
            </w:r>
            <w:r w:rsidR="00835753" w:rsidRPr="00835753">
              <w:rPr>
                <w:rFonts w:ascii="Times New Roman" w:hAnsi="Times New Roman"/>
                <w:sz w:val="24"/>
              </w:rPr>
              <w:t> </w:t>
            </w:r>
            <w:r w:rsidRPr="00835753">
              <w:rPr>
                <w:rFonts w:ascii="Times New Roman" w:hAnsi="Times New Roman"/>
                <w:sz w:val="24"/>
              </w:rPr>
              <w:t>105 CRR dotyczących ekspozycji zaliczanych do portfela handlowego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tfela bankowego mierzonej według wartości godziwej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maj</w:t>
            </w:r>
            <w:r w:rsidRPr="00835753">
              <w:rPr>
                <w:rFonts w:ascii="Times New Roman" w:hAnsi="Times New Roman"/>
                <w:sz w:val="24"/>
              </w:rPr>
              <w:t>ącymi zastosowanie standardami rachunkowości</w:t>
            </w:r>
          </w:p>
          <w:p w14:paraId="5D6B1E33" w14:textId="44C5D213" w:rsidR="007B082B" w:rsidRPr="00835753" w:rsidRDefault="007B082B" w:rsidP="00803BB4">
            <w:pPr>
              <w:spacing w:before="60" w:after="120"/>
              <w:jc w:val="both"/>
              <w:rPr>
                <w:rFonts w:ascii="Times New Roman" w:eastAsia="Times New Roman" w:hAnsi="Times New Roman" w:cs="Times New Roman"/>
                <w:b/>
                <w:sz w:val="24"/>
              </w:rPr>
            </w:pPr>
            <w:r w:rsidRPr="00835753">
              <w:rPr>
                <w:rFonts w:ascii="Times New Roman" w:hAnsi="Times New Roman"/>
                <w:sz w:val="24"/>
              </w:rPr>
              <w:t>Kwota ta musi być zgodna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kwo</w:t>
            </w:r>
            <w:r w:rsidRPr="00835753">
              <w:rPr>
                <w:rFonts w:ascii="Times New Roman" w:hAnsi="Times New Roman"/>
                <w:sz w:val="24"/>
              </w:rPr>
              <w:t>tą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7 we wzorze EU CC1,</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że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kwo</w:t>
            </w:r>
            <w:r w:rsidRPr="00835753">
              <w:rPr>
                <w:rFonts w:ascii="Times New Roman" w:hAnsi="Times New Roman"/>
                <w:sz w:val="24"/>
              </w:rPr>
              <w:t>tą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12</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f) we wzorze PV1.</w:t>
            </w:r>
          </w:p>
        </w:tc>
      </w:tr>
      <w:tr w:rsidR="007B082B" w:rsidRPr="00835753" w14:paraId="32EED095" w14:textId="77777777" w:rsidTr="00803BB4">
        <w:trPr>
          <w:trHeight w:val="238"/>
        </w:trPr>
        <w:tc>
          <w:tcPr>
            <w:tcW w:w="1384" w:type="dxa"/>
            <w:shd w:val="clear" w:color="auto" w:fill="FFFFFF" w:themeFill="background1"/>
          </w:tcPr>
          <w:p w14:paraId="4C44DE89" w14:textId="77777777" w:rsidR="007B082B" w:rsidRPr="00835753" w:rsidRDefault="007B082B" w:rsidP="00803BB4">
            <w:pPr>
              <w:autoSpaceDE w:val="0"/>
              <w:autoSpaceDN w:val="0"/>
              <w:adjustRightInd w:val="0"/>
              <w:spacing w:before="60" w:after="120"/>
              <w:jc w:val="center"/>
              <w:rPr>
                <w:rFonts w:ascii="Times New Roman" w:hAnsi="Times New Roman" w:cs="Times New Roman"/>
                <w:sz w:val="24"/>
              </w:rPr>
            </w:pPr>
            <w:r w:rsidRPr="00835753">
              <w:rPr>
                <w:rFonts w:ascii="Times New Roman" w:hAnsi="Times New Roman"/>
                <w:sz w:val="24"/>
              </w:rPr>
              <w:t>6</w:t>
            </w:r>
          </w:p>
        </w:tc>
        <w:tc>
          <w:tcPr>
            <w:tcW w:w="7655" w:type="dxa"/>
            <w:shd w:val="clear" w:color="auto" w:fill="FFFFFF" w:themeFill="background1"/>
          </w:tcPr>
          <w:p w14:paraId="091A110E" w14:textId="25481158" w:rsidR="007B082B" w:rsidRPr="00835753" w:rsidRDefault="007B082B" w:rsidP="00803BB4">
            <w:pPr>
              <w:spacing w:before="60" w:after="120"/>
              <w:jc w:val="both"/>
              <w:rPr>
                <w:rFonts w:ascii="Times New Roman" w:eastAsia="Times New Roman" w:hAnsi="Times New Roman" w:cs="Times New Roman"/>
                <w:b/>
                <w:i/>
                <w:sz w:val="24"/>
              </w:rPr>
            </w:pPr>
            <w:r w:rsidRPr="00835753">
              <w:rPr>
                <w:rFonts w:ascii="Times New Roman" w:hAnsi="Times New Roman"/>
                <w:b/>
                <w:i/>
                <w:sz w:val="24"/>
              </w:rPr>
              <w:t>Różnice wynikające</w:t>
            </w:r>
            <w:r w:rsidR="00835753" w:rsidRPr="00835753">
              <w:rPr>
                <w:rFonts w:ascii="Times New Roman" w:hAnsi="Times New Roman"/>
                <w:b/>
                <w:i/>
                <w:sz w:val="24"/>
              </w:rPr>
              <w:t xml:space="preserve"> z</w:t>
            </w:r>
            <w:r w:rsidR="00835753">
              <w:rPr>
                <w:rFonts w:ascii="Times New Roman" w:hAnsi="Times New Roman"/>
                <w:b/>
                <w:i/>
                <w:sz w:val="24"/>
              </w:rPr>
              <w:t> </w:t>
            </w:r>
            <w:r w:rsidR="00835753" w:rsidRPr="00835753">
              <w:rPr>
                <w:rFonts w:ascii="Times New Roman" w:hAnsi="Times New Roman"/>
                <w:b/>
                <w:i/>
                <w:sz w:val="24"/>
              </w:rPr>
              <w:t>róż</w:t>
            </w:r>
            <w:r w:rsidRPr="00835753">
              <w:rPr>
                <w:rFonts w:ascii="Times New Roman" w:hAnsi="Times New Roman"/>
                <w:b/>
                <w:i/>
                <w:sz w:val="24"/>
              </w:rPr>
              <w:t>nych zasad dotyczących kompensowania, innych niż uwzględnione</w:t>
            </w:r>
            <w:r w:rsidR="00835753" w:rsidRPr="00835753">
              <w:rPr>
                <w:rFonts w:ascii="Times New Roman" w:hAnsi="Times New Roman"/>
                <w:b/>
                <w:i/>
                <w:sz w:val="24"/>
              </w:rPr>
              <w:t xml:space="preserve"> w</w:t>
            </w:r>
            <w:r w:rsidR="00835753">
              <w:rPr>
                <w:rFonts w:ascii="Times New Roman" w:hAnsi="Times New Roman"/>
                <w:b/>
                <w:i/>
                <w:sz w:val="24"/>
              </w:rPr>
              <w:t> </w:t>
            </w:r>
            <w:r w:rsidR="00835753" w:rsidRPr="00835753">
              <w:rPr>
                <w:rFonts w:ascii="Times New Roman" w:hAnsi="Times New Roman"/>
                <w:b/>
                <w:i/>
                <w:sz w:val="24"/>
              </w:rPr>
              <w:t>wie</w:t>
            </w:r>
            <w:r w:rsidRPr="00835753">
              <w:rPr>
                <w:rFonts w:ascii="Times New Roman" w:hAnsi="Times New Roman"/>
                <w:b/>
                <w:i/>
                <w:sz w:val="24"/>
              </w:rPr>
              <w:t>rszu 2 niniejszego wzoru</w:t>
            </w:r>
          </w:p>
          <w:p w14:paraId="480CED0C" w14:textId="34C16DC2" w:rsidR="007B082B" w:rsidRPr="00835753" w:rsidRDefault="007B082B" w:rsidP="00803BB4">
            <w:pPr>
              <w:spacing w:before="60" w:after="120"/>
              <w:jc w:val="both"/>
              <w:rPr>
                <w:rFonts w:ascii="Times New Roman" w:eastAsia="Times New Roman" w:hAnsi="Times New Roman" w:cs="Times New Roman"/>
                <w:i/>
                <w:sz w:val="24"/>
              </w:rPr>
            </w:pPr>
            <w:r w:rsidRPr="00835753">
              <w:rPr>
                <w:rFonts w:ascii="Times New Roman" w:hAnsi="Times New Roman"/>
                <w:sz w:val="24"/>
              </w:rPr>
              <w:t>Pozycja ta odnosi się do bilansowych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abilansowych kwot ekspozycji netto po zastosowaniu szczególnych zasad dotyczących kompensowania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rozdziały 4</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5</w:t>
            </w:r>
            <w:r w:rsidRPr="00835753">
              <w:rPr>
                <w:rFonts w:ascii="Times New Roman" w:hAnsi="Times New Roman"/>
                <w:sz w:val="24"/>
              </w:rPr>
              <w:t xml:space="preserve">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IV CRR. Wpływ stosowania zasad dotyczących kompensowania może być ujemny (w przypadku konieczności kompensowania większej ilości ekspozycji niż wykorzystania kompensowania pozycji bilansowych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 xml:space="preserve">rszu 2 niniejszego wzoru) lub dodatni (w przypadku zastosowania zasad dotyczących kompensowania określonych w CRR prowadzących do </w:t>
            </w:r>
            <w:r w:rsidRPr="00835753">
              <w:rPr>
                <w:rFonts w:ascii="Times New Roman" w:hAnsi="Times New Roman"/>
                <w:sz w:val="24"/>
              </w:rPr>
              <w:lastRenderedPageBreak/>
              <w:t>kompensowania niższej kwoty niż kwota kompensowania pozycji bilansowych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2 niniejszego wzoru).</w:t>
            </w:r>
          </w:p>
        </w:tc>
      </w:tr>
      <w:tr w:rsidR="007B082B" w:rsidRPr="00835753" w14:paraId="0DCF19F2" w14:textId="77777777" w:rsidTr="00803BB4">
        <w:trPr>
          <w:trHeight w:val="238"/>
        </w:trPr>
        <w:tc>
          <w:tcPr>
            <w:tcW w:w="1384" w:type="dxa"/>
            <w:shd w:val="clear" w:color="auto" w:fill="FFFFFF" w:themeFill="background1"/>
          </w:tcPr>
          <w:p w14:paraId="0EC4BB33" w14:textId="77777777" w:rsidR="007B082B" w:rsidRPr="00835753" w:rsidRDefault="007B082B" w:rsidP="00803BB4">
            <w:pPr>
              <w:autoSpaceDE w:val="0"/>
              <w:autoSpaceDN w:val="0"/>
              <w:adjustRightInd w:val="0"/>
              <w:spacing w:before="60" w:after="120"/>
              <w:jc w:val="center"/>
              <w:rPr>
                <w:rFonts w:ascii="Times New Roman" w:hAnsi="Times New Roman" w:cs="Times New Roman"/>
                <w:sz w:val="24"/>
              </w:rPr>
            </w:pPr>
            <w:r w:rsidRPr="00835753">
              <w:rPr>
                <w:rFonts w:ascii="Times New Roman" w:hAnsi="Times New Roman"/>
                <w:sz w:val="24"/>
              </w:rPr>
              <w:lastRenderedPageBreak/>
              <w:t>7</w:t>
            </w:r>
          </w:p>
        </w:tc>
        <w:tc>
          <w:tcPr>
            <w:tcW w:w="7655" w:type="dxa"/>
            <w:shd w:val="clear" w:color="auto" w:fill="FFFFFF" w:themeFill="background1"/>
          </w:tcPr>
          <w:p w14:paraId="2C4E498D" w14:textId="3117B425" w:rsidR="007B082B" w:rsidRPr="00835753" w:rsidRDefault="007B082B" w:rsidP="00803BB4">
            <w:pPr>
              <w:spacing w:before="60" w:after="120"/>
              <w:jc w:val="both"/>
              <w:rPr>
                <w:rFonts w:ascii="Times New Roman" w:eastAsia="Times New Roman" w:hAnsi="Times New Roman" w:cs="Times New Roman"/>
                <w:b/>
                <w:i/>
                <w:sz w:val="24"/>
              </w:rPr>
            </w:pPr>
            <w:r w:rsidRPr="00835753">
              <w:rPr>
                <w:rFonts w:ascii="Times New Roman" w:hAnsi="Times New Roman"/>
                <w:b/>
                <w:i/>
                <w:sz w:val="24"/>
              </w:rPr>
              <w:t>Różnice wynikające</w:t>
            </w:r>
            <w:r w:rsidR="00835753" w:rsidRPr="00835753">
              <w:rPr>
                <w:rFonts w:ascii="Times New Roman" w:hAnsi="Times New Roman"/>
                <w:b/>
                <w:i/>
                <w:sz w:val="24"/>
              </w:rPr>
              <w:t xml:space="preserve"> z</w:t>
            </w:r>
            <w:r w:rsidR="00835753">
              <w:rPr>
                <w:rFonts w:ascii="Times New Roman" w:hAnsi="Times New Roman"/>
                <w:b/>
                <w:i/>
                <w:sz w:val="24"/>
              </w:rPr>
              <w:t> </w:t>
            </w:r>
            <w:r w:rsidR="00835753" w:rsidRPr="00835753">
              <w:rPr>
                <w:rFonts w:ascii="Times New Roman" w:hAnsi="Times New Roman"/>
                <w:b/>
                <w:i/>
                <w:sz w:val="24"/>
              </w:rPr>
              <w:t>uwz</w:t>
            </w:r>
            <w:r w:rsidRPr="00835753">
              <w:rPr>
                <w:rFonts w:ascii="Times New Roman" w:hAnsi="Times New Roman"/>
                <w:b/>
                <w:i/>
                <w:sz w:val="24"/>
              </w:rPr>
              <w:t>ględnienia rezerw</w:t>
            </w:r>
          </w:p>
          <w:p w14:paraId="52687EA3" w14:textId="0AE28A17" w:rsidR="007B082B" w:rsidRPr="00835753" w:rsidRDefault="007B082B" w:rsidP="00803BB4">
            <w:pPr>
              <w:spacing w:before="60" w:after="120"/>
              <w:jc w:val="both"/>
              <w:rPr>
                <w:rFonts w:ascii="Times New Roman" w:eastAsia="Times New Roman" w:hAnsi="Times New Roman" w:cs="Times New Roman"/>
                <w:b/>
                <w:sz w:val="24"/>
              </w:rPr>
            </w:pPr>
            <w:r w:rsidRPr="00835753">
              <w:rPr>
                <w:rFonts w:ascii="Times New Roman" w:hAnsi="Times New Roman"/>
                <w:sz w:val="24"/>
              </w:rPr>
              <w:t>Ponowne uwzględnienie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tości ekspozycji korekt</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szczególnego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ogó</w:t>
            </w:r>
            <w:r w:rsidRPr="00835753">
              <w:rPr>
                <w:rFonts w:ascii="Times New Roman" w:hAnsi="Times New Roman"/>
                <w:sz w:val="24"/>
              </w:rPr>
              <w:t>lnego ryzyka kredytowego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def</w:t>
            </w:r>
            <w:r w:rsidRPr="00835753">
              <w:rPr>
                <w:rFonts w:ascii="Times New Roman" w:hAnsi="Times New Roman"/>
                <w:sz w:val="24"/>
              </w:rPr>
              <w:t>inicją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porządzeniu delegowanym Komisji (UE) nr</w:t>
            </w:r>
            <w:r w:rsidR="00835753" w:rsidRPr="00835753">
              <w:rPr>
                <w:rFonts w:ascii="Times New Roman" w:hAnsi="Times New Roman"/>
                <w:sz w:val="24"/>
              </w:rPr>
              <w:t> </w:t>
            </w:r>
            <w:r w:rsidRPr="00835753">
              <w:rPr>
                <w:rFonts w:ascii="Times New Roman" w:hAnsi="Times New Roman"/>
                <w:sz w:val="24"/>
              </w:rPr>
              <w:t>183/2014</w:t>
            </w:r>
            <w:r w:rsidRPr="00835753">
              <w:rPr>
                <w:rStyle w:val="FootnoteReference"/>
                <w:rFonts w:eastAsia="Times New Roman" w:cs="Times New Roman"/>
              </w:rPr>
              <w:footnoteReference w:id="12"/>
            </w:r>
            <w:r w:rsidRPr="00835753">
              <w:rPr>
                <w:rFonts w:ascii="Times New Roman" w:hAnsi="Times New Roman"/>
                <w:sz w:val="24"/>
              </w:rPr>
              <w:t>), które zostały odliczone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maj</w:t>
            </w:r>
            <w:r w:rsidRPr="00835753">
              <w:rPr>
                <w:rFonts w:ascii="Times New Roman" w:hAnsi="Times New Roman"/>
                <w:sz w:val="24"/>
              </w:rPr>
              <w:t>ącymi zastosowanie standardami rachunkowości od wartości bilansowej ekspozycji na podstawie części trzeciej tytuł II rozdział 3 CRR do celów zastosowania wagi ryzyka</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ekspozycji ważonych ryzykiem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2 CRR, jeżeli wartość bilansowa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awozdaniu finansowym sporządzonym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resem konsolidacji ostrożnościowej została pomniejszona</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ele</w:t>
            </w:r>
            <w:r w:rsidRPr="00835753">
              <w:rPr>
                <w:rFonts w:ascii="Times New Roman" w:hAnsi="Times New Roman"/>
                <w:sz w:val="24"/>
              </w:rPr>
              <w:t>menty kwalifikujące się jako korekty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ogólnego ryzyka kredytowego na podstawie wyżej wymienionego rozporządzenia delegowanego, elementy te muszą zostać ponownie 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 xml:space="preserve">tości ekspozycji.  </w:t>
            </w:r>
          </w:p>
        </w:tc>
      </w:tr>
      <w:tr w:rsidR="007B082B" w:rsidRPr="00835753" w14:paraId="45DA46F3" w14:textId="77777777" w:rsidTr="00803BB4">
        <w:trPr>
          <w:trHeight w:val="238"/>
        </w:trPr>
        <w:tc>
          <w:tcPr>
            <w:tcW w:w="1384" w:type="dxa"/>
            <w:shd w:val="clear" w:color="auto" w:fill="FFFFFF" w:themeFill="background1"/>
          </w:tcPr>
          <w:p w14:paraId="5D230D83" w14:textId="77777777" w:rsidR="007B082B" w:rsidRPr="00835753" w:rsidRDefault="007B082B" w:rsidP="00803BB4">
            <w:pPr>
              <w:autoSpaceDE w:val="0"/>
              <w:autoSpaceDN w:val="0"/>
              <w:adjustRightInd w:val="0"/>
              <w:spacing w:before="60" w:after="120"/>
              <w:jc w:val="center"/>
              <w:rPr>
                <w:rFonts w:ascii="Times New Roman" w:hAnsi="Times New Roman" w:cs="Times New Roman"/>
                <w:sz w:val="24"/>
              </w:rPr>
            </w:pPr>
            <w:r w:rsidRPr="00835753">
              <w:rPr>
                <w:rFonts w:ascii="Times New Roman" w:hAnsi="Times New Roman"/>
                <w:sz w:val="24"/>
              </w:rPr>
              <w:t>8</w:t>
            </w:r>
          </w:p>
        </w:tc>
        <w:tc>
          <w:tcPr>
            <w:tcW w:w="7655" w:type="dxa"/>
            <w:shd w:val="clear" w:color="auto" w:fill="FFFFFF" w:themeFill="background1"/>
          </w:tcPr>
          <w:p w14:paraId="24CA4810" w14:textId="03FCB234" w:rsidR="007B082B" w:rsidRPr="00835753" w:rsidRDefault="007B082B" w:rsidP="00803BB4">
            <w:pPr>
              <w:jc w:val="both"/>
              <w:rPr>
                <w:rFonts w:ascii="Times New Roman" w:eastAsia="Times New Roman" w:hAnsi="Times New Roman" w:cs="Times New Roman"/>
                <w:b/>
                <w:i/>
                <w:sz w:val="24"/>
              </w:rPr>
            </w:pPr>
            <w:r w:rsidRPr="00835753">
              <w:rPr>
                <w:rFonts w:ascii="Times New Roman" w:hAnsi="Times New Roman"/>
                <w:b/>
                <w:i/>
                <w:sz w:val="24"/>
              </w:rPr>
              <w:t>Różnice wynikające</w:t>
            </w:r>
            <w:r w:rsidR="00835753" w:rsidRPr="00835753">
              <w:rPr>
                <w:rFonts w:ascii="Times New Roman" w:hAnsi="Times New Roman"/>
                <w:b/>
                <w:i/>
                <w:sz w:val="24"/>
              </w:rPr>
              <w:t xml:space="preserve"> z</w:t>
            </w:r>
            <w:r w:rsidR="00835753">
              <w:rPr>
                <w:rFonts w:ascii="Times New Roman" w:hAnsi="Times New Roman"/>
                <w:b/>
                <w:i/>
                <w:sz w:val="24"/>
              </w:rPr>
              <w:t> </w:t>
            </w:r>
            <w:r w:rsidR="00835753" w:rsidRPr="00835753">
              <w:rPr>
                <w:rFonts w:ascii="Times New Roman" w:hAnsi="Times New Roman"/>
                <w:b/>
                <w:i/>
                <w:sz w:val="24"/>
              </w:rPr>
              <w:t>zas</w:t>
            </w:r>
            <w:r w:rsidRPr="00835753">
              <w:rPr>
                <w:rFonts w:ascii="Times New Roman" w:hAnsi="Times New Roman"/>
                <w:b/>
                <w:i/>
                <w:sz w:val="24"/>
              </w:rPr>
              <w:t xml:space="preserve">tosowania technik ograniczania ryzyka kredytowego </w:t>
            </w:r>
          </w:p>
          <w:p w14:paraId="7F3B4FBF" w14:textId="77777777" w:rsidR="007B082B" w:rsidRPr="00835753" w:rsidRDefault="007B082B" w:rsidP="00803BB4">
            <w:pPr>
              <w:jc w:val="both"/>
              <w:rPr>
                <w:rFonts w:ascii="Times New Roman" w:eastAsia="Times New Roman" w:hAnsi="Times New Roman" w:cs="Times New Roman"/>
                <w:b/>
                <w:i/>
                <w:sz w:val="24"/>
              </w:rPr>
            </w:pPr>
          </w:p>
          <w:p w14:paraId="216F4C99" w14:textId="0F2A0611" w:rsidR="007B082B" w:rsidRPr="00835753" w:rsidRDefault="007B082B" w:rsidP="00803BB4">
            <w:pPr>
              <w:spacing w:after="120"/>
              <w:jc w:val="both"/>
              <w:rPr>
                <w:rFonts w:ascii="Times New Roman" w:eastAsia="Times New Roman" w:hAnsi="Times New Roman" w:cs="Times New Roman"/>
                <w:sz w:val="24"/>
              </w:rPr>
            </w:pPr>
            <w:r w:rsidRPr="00835753">
              <w:rPr>
                <w:rFonts w:ascii="Times New Roman" w:hAnsi="Times New Roman"/>
                <w:sz w:val="24"/>
              </w:rPr>
              <w:t xml:space="preserve">Wpływ zastosowanych technik ograniczania ryzyka kredytowego określonych w CRR na wartość ekspozycji objętą zakresem konsolidacji ostrożnościowej. </w:t>
            </w:r>
          </w:p>
        </w:tc>
      </w:tr>
      <w:tr w:rsidR="007B082B" w:rsidRPr="00835753" w14:paraId="76AFBB78" w14:textId="77777777" w:rsidTr="00803BB4">
        <w:trPr>
          <w:trHeight w:val="238"/>
        </w:trPr>
        <w:tc>
          <w:tcPr>
            <w:tcW w:w="1384" w:type="dxa"/>
            <w:shd w:val="clear" w:color="auto" w:fill="FFFFFF" w:themeFill="background1"/>
          </w:tcPr>
          <w:p w14:paraId="61E0A90C" w14:textId="77777777" w:rsidR="007B082B" w:rsidRPr="00835753" w:rsidRDefault="007B082B" w:rsidP="00803BB4">
            <w:pPr>
              <w:autoSpaceDE w:val="0"/>
              <w:autoSpaceDN w:val="0"/>
              <w:adjustRightInd w:val="0"/>
              <w:spacing w:before="60" w:after="120"/>
              <w:jc w:val="center"/>
              <w:rPr>
                <w:rFonts w:ascii="Times New Roman" w:hAnsi="Times New Roman" w:cs="Times New Roman"/>
                <w:sz w:val="24"/>
              </w:rPr>
            </w:pPr>
            <w:r w:rsidRPr="00835753">
              <w:rPr>
                <w:rFonts w:ascii="Times New Roman" w:hAnsi="Times New Roman"/>
                <w:sz w:val="24"/>
              </w:rPr>
              <w:t>9</w:t>
            </w:r>
          </w:p>
        </w:tc>
        <w:tc>
          <w:tcPr>
            <w:tcW w:w="7655" w:type="dxa"/>
            <w:shd w:val="clear" w:color="auto" w:fill="FFFFFF" w:themeFill="background1"/>
          </w:tcPr>
          <w:p w14:paraId="02C22A39" w14:textId="77777777" w:rsidR="007B082B" w:rsidRPr="00835753" w:rsidRDefault="007B082B" w:rsidP="00803BB4">
            <w:pPr>
              <w:jc w:val="both"/>
              <w:rPr>
                <w:rFonts w:ascii="Times New Roman" w:eastAsia="Times New Roman" w:hAnsi="Times New Roman" w:cs="Times New Roman"/>
                <w:b/>
                <w:i/>
                <w:sz w:val="24"/>
              </w:rPr>
            </w:pPr>
            <w:r w:rsidRPr="00835753">
              <w:rPr>
                <w:rFonts w:ascii="Times New Roman" w:hAnsi="Times New Roman"/>
                <w:b/>
                <w:i/>
                <w:sz w:val="24"/>
              </w:rPr>
              <w:t>Różnice wynikające ze współczynników konwersji kredytowej</w:t>
            </w:r>
          </w:p>
          <w:p w14:paraId="6DDA7FA8" w14:textId="77777777" w:rsidR="007B082B" w:rsidRPr="00835753" w:rsidRDefault="007B082B" w:rsidP="00803BB4">
            <w:pPr>
              <w:jc w:val="both"/>
              <w:rPr>
                <w:rFonts w:ascii="Times New Roman" w:eastAsia="Times New Roman" w:hAnsi="Times New Roman" w:cs="Times New Roman"/>
                <w:b/>
                <w:i/>
                <w:sz w:val="24"/>
              </w:rPr>
            </w:pPr>
          </w:p>
          <w:p w14:paraId="72603DA7" w14:textId="1E5EEFD9" w:rsidR="007B082B" w:rsidRPr="00835753" w:rsidRDefault="007B082B" w:rsidP="00803BB4">
            <w:pPr>
              <w:spacing w:after="120"/>
              <w:jc w:val="both"/>
              <w:rPr>
                <w:rFonts w:ascii="Times New Roman" w:eastAsia="Times New Roman" w:hAnsi="Times New Roman" w:cs="Times New Roman"/>
                <w:sz w:val="24"/>
              </w:rPr>
            </w:pPr>
            <w:r w:rsidRPr="00835753">
              <w:rPr>
                <w:rFonts w:ascii="Times New Roman" w:hAnsi="Times New Roman"/>
                <w:sz w:val="24"/>
              </w:rPr>
              <w:t>Wpływ zastosowania odpowiednich współczynników konwersji zgodnie z CRR na wartość ekspozycji pozabilansowych objętych zakresem konsolidacji ostrożnościowej.</w:t>
            </w:r>
          </w:p>
          <w:p w14:paraId="712A168B" w14:textId="7C1D875A" w:rsidR="007B082B" w:rsidRPr="00835753" w:rsidRDefault="007B082B" w:rsidP="00803BB4">
            <w:pPr>
              <w:spacing w:after="120"/>
              <w:jc w:val="both"/>
              <w:rPr>
                <w:rFonts w:ascii="Times New Roman" w:eastAsia="Times New Roman" w:hAnsi="Times New Roman" w:cs="Times New Roman"/>
                <w:b/>
                <w:sz w:val="24"/>
              </w:rPr>
            </w:pPr>
            <w:r w:rsidRPr="00835753">
              <w:rPr>
                <w:rFonts w:ascii="Times New Roman" w:hAnsi="Times New Roman"/>
                <w:sz w:val="24"/>
              </w:rPr>
              <w:t>Współczynnik konwersji dla pozycji pozabilansowych, do których ma zostać zastosowana waga ryzyka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CRR,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111, 166, 167</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82 (w odniesieniu do ryzyka kredytowego) oraz</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246 CRR (w odniesieniu do ryzyka sekurytyzacyjnego).</w:t>
            </w:r>
          </w:p>
        </w:tc>
      </w:tr>
      <w:tr w:rsidR="007B082B" w:rsidRPr="00835753" w14:paraId="2653458B" w14:textId="77777777" w:rsidTr="00803BB4">
        <w:trPr>
          <w:trHeight w:val="238"/>
        </w:trPr>
        <w:tc>
          <w:tcPr>
            <w:tcW w:w="1384" w:type="dxa"/>
            <w:shd w:val="clear" w:color="auto" w:fill="FFFFFF" w:themeFill="background1"/>
          </w:tcPr>
          <w:p w14:paraId="4EB7D6DD" w14:textId="77777777" w:rsidR="007B082B" w:rsidRPr="00835753" w:rsidRDefault="007B082B" w:rsidP="00803BB4">
            <w:pPr>
              <w:autoSpaceDE w:val="0"/>
              <w:autoSpaceDN w:val="0"/>
              <w:adjustRightInd w:val="0"/>
              <w:spacing w:before="60" w:after="120"/>
              <w:jc w:val="center"/>
              <w:rPr>
                <w:rFonts w:ascii="Times New Roman" w:hAnsi="Times New Roman" w:cs="Times New Roman"/>
                <w:sz w:val="24"/>
              </w:rPr>
            </w:pPr>
            <w:r w:rsidRPr="00835753">
              <w:rPr>
                <w:rFonts w:ascii="Times New Roman" w:hAnsi="Times New Roman"/>
                <w:sz w:val="24"/>
              </w:rPr>
              <w:t>10</w:t>
            </w:r>
          </w:p>
        </w:tc>
        <w:tc>
          <w:tcPr>
            <w:tcW w:w="7655" w:type="dxa"/>
            <w:shd w:val="clear" w:color="auto" w:fill="FFFFFF" w:themeFill="background1"/>
          </w:tcPr>
          <w:p w14:paraId="7DBAC841" w14:textId="25373CA0" w:rsidR="007B082B" w:rsidRPr="00835753" w:rsidRDefault="007B082B" w:rsidP="00803BB4">
            <w:pPr>
              <w:spacing w:after="240"/>
              <w:jc w:val="both"/>
              <w:rPr>
                <w:rFonts w:ascii="Times New Roman" w:eastAsia="Times New Roman" w:hAnsi="Times New Roman" w:cs="Times New Roman"/>
                <w:b/>
                <w:i/>
                <w:sz w:val="24"/>
              </w:rPr>
            </w:pPr>
            <w:r w:rsidRPr="00835753">
              <w:rPr>
                <w:rFonts w:ascii="Times New Roman" w:hAnsi="Times New Roman"/>
                <w:b/>
                <w:i/>
                <w:sz w:val="24"/>
              </w:rPr>
              <w:t>Różnice wynikające</w:t>
            </w:r>
            <w:r w:rsidR="00835753" w:rsidRPr="00835753">
              <w:rPr>
                <w:rFonts w:ascii="Times New Roman" w:hAnsi="Times New Roman"/>
                <w:b/>
                <w:i/>
                <w:sz w:val="24"/>
              </w:rPr>
              <w:t xml:space="preserve"> z</w:t>
            </w:r>
            <w:r w:rsidR="00835753">
              <w:rPr>
                <w:rFonts w:ascii="Times New Roman" w:hAnsi="Times New Roman"/>
                <w:b/>
                <w:i/>
                <w:sz w:val="24"/>
              </w:rPr>
              <w:t> </w:t>
            </w:r>
            <w:r w:rsidR="00835753" w:rsidRPr="00835753">
              <w:rPr>
                <w:rFonts w:ascii="Times New Roman" w:hAnsi="Times New Roman"/>
                <w:b/>
                <w:i/>
                <w:sz w:val="24"/>
              </w:rPr>
              <w:t>sek</w:t>
            </w:r>
            <w:r w:rsidRPr="00835753">
              <w:rPr>
                <w:rFonts w:ascii="Times New Roman" w:hAnsi="Times New Roman"/>
                <w:b/>
                <w:i/>
                <w:sz w:val="24"/>
              </w:rPr>
              <w:t>urytyzacji</w:t>
            </w:r>
            <w:r w:rsidR="00835753" w:rsidRPr="00835753">
              <w:rPr>
                <w:rFonts w:ascii="Times New Roman" w:hAnsi="Times New Roman"/>
                <w:b/>
                <w:i/>
                <w:sz w:val="24"/>
              </w:rPr>
              <w:t xml:space="preserve"> z</w:t>
            </w:r>
            <w:r w:rsidR="00835753">
              <w:rPr>
                <w:rFonts w:ascii="Times New Roman" w:hAnsi="Times New Roman"/>
                <w:b/>
                <w:i/>
                <w:sz w:val="24"/>
              </w:rPr>
              <w:t> </w:t>
            </w:r>
            <w:r w:rsidR="00835753" w:rsidRPr="00835753">
              <w:rPr>
                <w:rFonts w:ascii="Times New Roman" w:hAnsi="Times New Roman"/>
                <w:b/>
                <w:i/>
                <w:sz w:val="24"/>
              </w:rPr>
              <w:t>prz</w:t>
            </w:r>
            <w:r w:rsidRPr="00835753">
              <w:rPr>
                <w:rFonts w:ascii="Times New Roman" w:hAnsi="Times New Roman"/>
                <w:b/>
                <w:i/>
                <w:sz w:val="24"/>
              </w:rPr>
              <w:t>eniesieniem ryzyka</w:t>
            </w:r>
          </w:p>
          <w:p w14:paraId="01A15C01" w14:textId="709C0859" w:rsidR="007B082B" w:rsidRPr="00835753" w:rsidRDefault="007B082B" w:rsidP="00803BB4">
            <w:pPr>
              <w:spacing w:after="120"/>
              <w:jc w:val="both"/>
              <w:rPr>
                <w:rFonts w:ascii="Times New Roman" w:eastAsia="Times New Roman" w:hAnsi="Times New Roman" w:cs="Times New Roman"/>
                <w:sz w:val="24"/>
              </w:rPr>
            </w:pPr>
            <w:r w:rsidRPr="00835753">
              <w:rPr>
                <w:rFonts w:ascii="Times New Roman" w:hAnsi="Times New Roman"/>
                <w:sz w:val="24"/>
              </w:rPr>
              <w:t>Wpływ, jaki na wartość ekspozycji sekurytyzowanych ma zastosowanie transakcji sekurytyzowanych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przeniesienia ryzyka kredytowego na osoby trzecie zgodnie z CRR.</w:t>
            </w:r>
          </w:p>
        </w:tc>
      </w:tr>
      <w:tr w:rsidR="007B082B" w:rsidRPr="00835753" w14:paraId="5EABC17E" w14:textId="77777777" w:rsidTr="00803BB4">
        <w:trPr>
          <w:trHeight w:val="238"/>
        </w:trPr>
        <w:tc>
          <w:tcPr>
            <w:tcW w:w="1384" w:type="dxa"/>
            <w:shd w:val="clear" w:color="auto" w:fill="FFFFFF" w:themeFill="background1"/>
          </w:tcPr>
          <w:p w14:paraId="639F9B4B" w14:textId="77777777" w:rsidR="007B082B" w:rsidRPr="00835753" w:rsidRDefault="007B082B" w:rsidP="00803BB4">
            <w:pPr>
              <w:autoSpaceDE w:val="0"/>
              <w:autoSpaceDN w:val="0"/>
              <w:adjustRightInd w:val="0"/>
              <w:spacing w:before="60" w:after="120"/>
              <w:jc w:val="center"/>
              <w:rPr>
                <w:rFonts w:ascii="Times New Roman" w:hAnsi="Times New Roman" w:cs="Times New Roman"/>
                <w:sz w:val="24"/>
              </w:rPr>
            </w:pPr>
            <w:r w:rsidRPr="00835753">
              <w:rPr>
                <w:rFonts w:ascii="Times New Roman" w:hAnsi="Times New Roman"/>
                <w:sz w:val="24"/>
              </w:rPr>
              <w:t>11</w:t>
            </w:r>
          </w:p>
        </w:tc>
        <w:tc>
          <w:tcPr>
            <w:tcW w:w="7655" w:type="dxa"/>
            <w:shd w:val="clear" w:color="auto" w:fill="FFFFFF" w:themeFill="background1"/>
          </w:tcPr>
          <w:p w14:paraId="7D15819E" w14:textId="77777777" w:rsidR="007B082B" w:rsidRPr="00835753" w:rsidRDefault="007B082B" w:rsidP="00803BB4">
            <w:pPr>
              <w:spacing w:before="60" w:after="120"/>
              <w:jc w:val="both"/>
              <w:rPr>
                <w:rFonts w:ascii="Times New Roman" w:eastAsia="Times New Roman" w:hAnsi="Times New Roman" w:cs="Times New Roman"/>
                <w:b/>
                <w:i/>
                <w:sz w:val="24"/>
              </w:rPr>
            </w:pPr>
            <w:r w:rsidRPr="00835753">
              <w:rPr>
                <w:rFonts w:ascii="Times New Roman" w:hAnsi="Times New Roman"/>
                <w:b/>
                <w:i/>
                <w:sz w:val="24"/>
              </w:rPr>
              <w:t xml:space="preserve">Pozostałe różnice </w:t>
            </w:r>
            <w:r w:rsidRPr="00835753">
              <w:rPr>
                <w:rFonts w:ascii="Times New Roman" w:hAnsi="Times New Roman"/>
                <w:i/>
                <w:sz w:val="24"/>
              </w:rPr>
              <w:t>(w stosownych przypadkach)</w:t>
            </w:r>
          </w:p>
          <w:p w14:paraId="3D1A8C2D" w14:textId="2D4DC755" w:rsidR="007B082B" w:rsidRPr="00835753" w:rsidRDefault="007B082B" w:rsidP="00803BB4">
            <w:pPr>
              <w:spacing w:before="60" w:after="120"/>
              <w:jc w:val="both"/>
              <w:rPr>
                <w:rFonts w:ascii="Times New Roman" w:eastAsia="Times New Roman" w:hAnsi="Times New Roman" w:cs="Times New Roman"/>
                <w:sz w:val="24"/>
              </w:rPr>
            </w:pPr>
            <w:r w:rsidRPr="00835753">
              <w:rPr>
                <w:rFonts w:ascii="Times New Roman" w:hAnsi="Times New Roman"/>
                <w:sz w:val="24"/>
              </w:rPr>
              <w:t>Inne istotne czynniki</w:t>
            </w:r>
            <w:r w:rsidR="00835753" w:rsidRPr="00835753">
              <w:rPr>
                <w:rFonts w:ascii="Times New Roman" w:hAnsi="Times New Roman"/>
                <w:sz w:val="24"/>
              </w:rPr>
              <w:t xml:space="preserve"> </w:t>
            </w:r>
            <w:r w:rsidRPr="00835753">
              <w:rPr>
                <w:rFonts w:ascii="Times New Roman" w:hAnsi="Times New Roman"/>
                <w:sz w:val="24"/>
              </w:rPr>
              <w:t>leżące</w:t>
            </w:r>
            <w:r w:rsidR="00835753" w:rsidRPr="00835753">
              <w:rPr>
                <w:rFonts w:ascii="Times New Roman" w:hAnsi="Times New Roman"/>
                <w:sz w:val="24"/>
              </w:rPr>
              <w:t xml:space="preserve"> u</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staw różnic między wartościami bilansowymi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awozdaniach finansowych sporządzonych zgodnie</w:t>
            </w:r>
            <w:r w:rsidR="00835753" w:rsidRPr="00835753">
              <w:rPr>
                <w:rFonts w:ascii="Times New Roman" w:hAnsi="Times New Roman"/>
                <w:sz w:val="24"/>
              </w:rPr>
              <w:t xml:space="preserve"> </w:t>
            </w:r>
            <w:r w:rsidR="00835753" w:rsidRPr="00835753">
              <w:rPr>
                <w:rFonts w:ascii="Times New Roman" w:hAnsi="Times New Roman"/>
                <w:sz w:val="24"/>
              </w:rPr>
              <w:lastRenderedPageBreak/>
              <w:t>z</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resem regulacyjnym konsolidacji</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kwo</w:t>
            </w:r>
            <w:r w:rsidRPr="00835753">
              <w:rPr>
                <w:rFonts w:ascii="Times New Roman" w:hAnsi="Times New Roman"/>
                <w:sz w:val="24"/>
              </w:rPr>
              <w:t>tami ekspozycji ujmowanymi do celów regulacyjnych</w:t>
            </w:r>
          </w:p>
          <w:p w14:paraId="3E8064E7" w14:textId="64AFACA1" w:rsidR="007B082B" w:rsidRPr="00835753" w:rsidRDefault="007B082B" w:rsidP="00803BB4">
            <w:pPr>
              <w:spacing w:before="60" w:after="120"/>
              <w:jc w:val="both"/>
              <w:rPr>
                <w:rFonts w:ascii="Times New Roman" w:eastAsia="Times New Roman" w:hAnsi="Times New Roman" w:cs="Times New Roman"/>
                <w:b/>
                <w:i/>
                <w:sz w:val="24"/>
              </w:rPr>
            </w:pPr>
            <w:r w:rsidRPr="00835753">
              <w:rPr>
                <w:rFonts w:ascii="Times New Roman" w:hAnsi="Times New Roman"/>
                <w:sz w:val="24"/>
              </w:rPr>
              <w:t>Instytucje uzupełniają ujawniane informacje ilościowe uwzględniane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wierszu</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wyj</w:t>
            </w:r>
            <w:r w:rsidRPr="00835753">
              <w:rPr>
                <w:rFonts w:ascii="Times New Roman" w:hAnsi="Times New Roman"/>
                <w:sz w:val="24"/>
              </w:rPr>
              <w:t>aśnienia jakościowe dotyczące głównych czynników leżących</w:t>
            </w:r>
            <w:r w:rsidR="00835753" w:rsidRPr="00835753">
              <w:rPr>
                <w:rFonts w:ascii="Times New Roman" w:hAnsi="Times New Roman"/>
                <w:sz w:val="24"/>
              </w:rPr>
              <w:t xml:space="preserve"> u</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staw różnic</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tab</w:t>
            </w:r>
            <w:r w:rsidRPr="00835753">
              <w:rPr>
                <w:rFonts w:ascii="Times New Roman" w:hAnsi="Times New Roman"/>
                <w:sz w:val="24"/>
              </w:rPr>
              <w:t>eli EU LIA.</w:t>
            </w:r>
          </w:p>
        </w:tc>
      </w:tr>
      <w:tr w:rsidR="007B082B" w:rsidRPr="00835753" w14:paraId="698537DA" w14:textId="77777777" w:rsidTr="00803BB4">
        <w:trPr>
          <w:trHeight w:val="238"/>
        </w:trPr>
        <w:tc>
          <w:tcPr>
            <w:tcW w:w="1384" w:type="dxa"/>
            <w:shd w:val="clear" w:color="auto" w:fill="FFFFFF" w:themeFill="background1"/>
          </w:tcPr>
          <w:p w14:paraId="7E2AD4DD" w14:textId="77777777" w:rsidR="007B082B" w:rsidRPr="00835753" w:rsidRDefault="007B082B" w:rsidP="00803BB4">
            <w:pPr>
              <w:autoSpaceDE w:val="0"/>
              <w:autoSpaceDN w:val="0"/>
              <w:adjustRightInd w:val="0"/>
              <w:spacing w:before="60" w:after="120"/>
              <w:jc w:val="center"/>
              <w:rPr>
                <w:rFonts w:ascii="Times New Roman" w:hAnsi="Times New Roman" w:cs="Times New Roman"/>
                <w:sz w:val="24"/>
              </w:rPr>
            </w:pPr>
            <w:r w:rsidRPr="00835753">
              <w:rPr>
                <w:rFonts w:ascii="Times New Roman" w:hAnsi="Times New Roman"/>
                <w:sz w:val="24"/>
              </w:rPr>
              <w:lastRenderedPageBreak/>
              <w:t>12</w:t>
            </w:r>
          </w:p>
        </w:tc>
        <w:tc>
          <w:tcPr>
            <w:tcW w:w="7655" w:type="dxa"/>
            <w:shd w:val="clear" w:color="auto" w:fill="FFFFFF" w:themeFill="background1"/>
          </w:tcPr>
          <w:p w14:paraId="4C35172C" w14:textId="77777777" w:rsidR="007B082B" w:rsidRPr="00835753" w:rsidRDefault="007B082B" w:rsidP="00803BB4">
            <w:pPr>
              <w:spacing w:before="60" w:after="120"/>
              <w:jc w:val="both"/>
              <w:rPr>
                <w:rFonts w:ascii="Times New Roman" w:eastAsia="Times New Roman" w:hAnsi="Times New Roman" w:cs="Times New Roman"/>
                <w:b/>
                <w:sz w:val="24"/>
              </w:rPr>
            </w:pPr>
            <w:r w:rsidRPr="00835753">
              <w:rPr>
                <w:rFonts w:ascii="Times New Roman" w:hAnsi="Times New Roman"/>
                <w:b/>
                <w:sz w:val="24"/>
              </w:rPr>
              <w:t>Kwoty ekspozycji ujmowane do celów regulacyjnych</w:t>
            </w:r>
          </w:p>
          <w:p w14:paraId="2BC6DA9D" w14:textId="1942CAC3" w:rsidR="007B082B" w:rsidRPr="00835753" w:rsidRDefault="007B082B" w:rsidP="00803BB4">
            <w:pPr>
              <w:spacing w:before="60" w:after="120"/>
              <w:jc w:val="both"/>
              <w:rPr>
                <w:rFonts w:ascii="Times New Roman" w:eastAsia="Times New Roman" w:hAnsi="Times New Roman" w:cs="Times New Roman"/>
                <w:sz w:val="24"/>
              </w:rPr>
            </w:pPr>
            <w:r w:rsidRPr="00835753">
              <w:rPr>
                <w:rFonts w:ascii="Times New Roman" w:hAnsi="Times New Roman"/>
                <w:sz w:val="24"/>
              </w:rPr>
              <w:t>Zagregowana kwota ujmowana jako punkt wyjścia dla obliczania kwot ekspozycji ważonych ryzykiem po zastosowaniu metod ograniczania ryzyka kredytowego innych niż kompensowanie,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 4 CRR oraz po zastosowaniu wymogów dotyczących kompensowania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rozdziały 4</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5</w:t>
            </w:r>
            <w:r w:rsidRPr="00835753">
              <w:rPr>
                <w:rFonts w:ascii="Times New Roman" w:hAnsi="Times New Roman"/>
                <w:sz w:val="24"/>
              </w:rPr>
              <w:t xml:space="preserve">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IV tego samego rozporządzenia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poszczególnych kategorii ryzyka.</w:t>
            </w:r>
          </w:p>
          <w:p w14:paraId="06BD7488" w14:textId="072A0D17" w:rsidR="007B082B" w:rsidRPr="00835753" w:rsidRDefault="007B082B" w:rsidP="00803BB4">
            <w:pPr>
              <w:spacing w:before="60" w:after="120"/>
              <w:jc w:val="both"/>
              <w:rPr>
                <w:rFonts w:ascii="Times New Roman" w:eastAsia="Times New Roman" w:hAnsi="Times New Roman" w:cs="Times New Roman"/>
                <w:sz w:val="24"/>
              </w:rPr>
            </w:pPr>
            <w:r w:rsidRPr="00835753">
              <w:rPr>
                <w:rFonts w:ascii="Times New Roman" w:hAnsi="Times New Roman"/>
                <w:sz w:val="24"/>
              </w:rPr>
              <w:t>W przypadku stosowania metody standardowej jest to wartość po zastosowaniu korekt</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szczególnego ryzyka kredytowego, dodatkowych korekt wartości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34</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10 CRR oraz innych redukcji funduszy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zwi</w:t>
            </w:r>
            <w:r w:rsidRPr="00835753">
              <w:rPr>
                <w:rFonts w:ascii="Times New Roman" w:hAnsi="Times New Roman"/>
                <w:sz w:val="24"/>
              </w:rPr>
              <w:t>ązku</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ą pozycją aktywów</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pozycji pozabilansowych wymienionych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I do niniejszego rozporządzenia wykonawczego wartością ekspozycji jest wartość nominalna po zmniejszeniu</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kor</w:t>
            </w:r>
            <w:r w:rsidRPr="00835753">
              <w:rPr>
                <w:rFonts w:ascii="Times New Roman" w:hAnsi="Times New Roman"/>
                <w:sz w:val="24"/>
              </w:rPr>
              <w:t>ekty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szczególnego ryzyka kredytowego pomnożona przez mający zastosowanie odsetek wskazany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111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i d) CRR.</w:t>
            </w:r>
          </w:p>
          <w:p w14:paraId="2D2C416D" w14:textId="491397A1" w:rsidR="007B082B" w:rsidRPr="00835753" w:rsidRDefault="007B082B" w:rsidP="00803BB4">
            <w:pPr>
              <w:spacing w:before="60" w:after="120"/>
              <w:jc w:val="both"/>
              <w:rPr>
                <w:rFonts w:ascii="Times New Roman" w:eastAsia="Times New Roman" w:hAnsi="Times New Roman" w:cs="Times New Roman"/>
                <w:sz w:val="24"/>
              </w:rPr>
            </w:pPr>
            <w:r w:rsidRPr="00835753">
              <w:rPr>
                <w:rFonts w:ascii="Times New Roman" w:hAnsi="Times New Roman"/>
                <w:sz w:val="24"/>
              </w:rPr>
              <w:t>W przypadku metody IRB ujawnianą wartością jest wartość ekspozycji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umieniu art.</w:t>
            </w:r>
            <w:r w:rsidR="00835753" w:rsidRPr="00835753">
              <w:rPr>
                <w:rFonts w:ascii="Times New Roman" w:hAnsi="Times New Roman"/>
                <w:sz w:val="24"/>
              </w:rPr>
              <w:t> </w:t>
            </w:r>
            <w:r w:rsidRPr="00835753">
              <w:rPr>
                <w:rFonts w:ascii="Times New Roman" w:hAnsi="Times New Roman"/>
                <w:sz w:val="24"/>
              </w:rPr>
              <w:t>166, 167</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68 CRR.</w:t>
            </w:r>
          </w:p>
          <w:p w14:paraId="15D6B908" w14:textId="4DE2C3EA" w:rsidR="007B082B" w:rsidRPr="00835753" w:rsidRDefault="007B082B" w:rsidP="0038336D">
            <w:pPr>
              <w:spacing w:before="60" w:after="120"/>
              <w:jc w:val="both"/>
              <w:rPr>
                <w:rFonts w:ascii="Times New Roman" w:eastAsia="Times New Roman" w:hAnsi="Times New Roman" w:cs="Times New Roman"/>
                <w:sz w:val="24"/>
              </w:rPr>
            </w:pPr>
            <w:r w:rsidRPr="00835753">
              <w:rPr>
                <w:rFonts w:ascii="Times New Roman" w:hAnsi="Times New Roman"/>
                <w:sz w:val="24"/>
              </w:rPr>
              <w:t>W związku</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yższym wartości bilansowe zgłaszane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awozdaniach finansowych sporządzanych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resem konsolidacji ostrożnościowej ujawnia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owiednich wierszach 1–3 niniejszego wzoru, natomiast pierwotne ekspozycje pozabilansowe ujawnia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4 niniejszego wzoru. Wszelkie szczególne powiększenia lub pomniejszenia regulacyjne dotyczące tych kwot ujmuje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rszach 5–11 niniejszego wzoru, aby wyjaśnić sposób uzgadniania tych kwot</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kwo</w:t>
            </w:r>
            <w:r w:rsidRPr="00835753">
              <w:rPr>
                <w:rFonts w:ascii="Times New Roman" w:hAnsi="Times New Roman"/>
                <w:sz w:val="24"/>
              </w:rPr>
              <w:t>tą ekspozycji do celów regulacyjnych jako punkt wyjścia do obliczania kwot ekspozycji ważonych ryzykiem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zczególnymi ramami,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b</w:t>
            </w:r>
            <w:proofErr w:type="gramStart"/>
            <w:r w:rsidRPr="00835753">
              <w:rPr>
                <w:rFonts w:ascii="Times New Roman" w:hAnsi="Times New Roman"/>
                <w:sz w:val="24"/>
              </w:rPr>
              <w:t>)–e</w:t>
            </w:r>
            <w:proofErr w:type="gramEnd"/>
            <w:r w:rsidRPr="00835753">
              <w:rPr>
                <w:rFonts w:ascii="Times New Roman" w:hAnsi="Times New Roman"/>
                <w:sz w:val="24"/>
              </w:rPr>
              <w:t>) niniejszego wzoru. Oznacza to, że –</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szc</w:t>
            </w:r>
            <w:r w:rsidRPr="00835753">
              <w:rPr>
                <w:rFonts w:ascii="Times New Roman" w:hAnsi="Times New Roman"/>
                <w:sz w:val="24"/>
              </w:rPr>
              <w:t>zególności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ryzyka kredytowego – kwoty ekspozycji ujmowane do celów regulacyjnych, ujawniane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12 niniejszego wzoru nie będą odpowiadać wartościom bilansowym zgłaszanym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awozdaniach finansowych sporządzanych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resem konsolidacji ostrożnościowej ze względu na szczególne traktowanie regulacyjne rezerw księgowych do celów obliczania kwot ekspozycji ważonych ryzykiem.</w:t>
            </w:r>
          </w:p>
        </w:tc>
      </w:tr>
    </w:tbl>
    <w:p w14:paraId="36BC9F21" w14:textId="77777777" w:rsidR="007B082B" w:rsidRPr="00835753" w:rsidRDefault="007B082B" w:rsidP="007B082B">
      <w:pPr>
        <w:jc w:val="both"/>
        <w:rPr>
          <w:rFonts w:ascii="Times New Roman" w:hAnsi="Times New Roman" w:cs="Times New Roman"/>
          <w:sz w:val="24"/>
        </w:rPr>
      </w:pPr>
    </w:p>
    <w:p w14:paraId="7D319545" w14:textId="77777777" w:rsidR="007B082B" w:rsidRPr="00835753"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35753" w14:paraId="7803C7EC" w14:textId="77777777" w:rsidTr="00803BB4">
        <w:trPr>
          <w:trHeight w:val="238"/>
        </w:trPr>
        <w:tc>
          <w:tcPr>
            <w:tcW w:w="9039" w:type="dxa"/>
            <w:gridSpan w:val="2"/>
            <w:shd w:val="clear" w:color="auto" w:fill="D9D9D9" w:themeFill="background1" w:themeFillShade="D9"/>
          </w:tcPr>
          <w:p w14:paraId="72386190" w14:textId="42C926CC" w:rsidR="007B082B" w:rsidRPr="00835753" w:rsidRDefault="007B082B" w:rsidP="00803BB4">
            <w:pPr>
              <w:autoSpaceDE w:val="0"/>
              <w:autoSpaceDN w:val="0"/>
              <w:adjustRightInd w:val="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7B082B" w:rsidRPr="00835753"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835753" w:rsidRDefault="007B082B" w:rsidP="00803BB4">
            <w:pPr>
              <w:autoSpaceDE w:val="0"/>
              <w:autoSpaceDN w:val="0"/>
              <w:adjustRightInd w:val="0"/>
              <w:spacing w:before="60" w:after="120"/>
              <w:rPr>
                <w:rFonts w:ascii="Times New Roman" w:hAnsi="Times New Roman" w:cs="Times New Roman"/>
                <w:b/>
                <w:sz w:val="24"/>
              </w:rPr>
            </w:pPr>
            <w:r w:rsidRPr="00835753">
              <w:rPr>
                <w:rFonts w:ascii="Times New Roman" w:hAnsi="Times New Roman"/>
                <w:b/>
                <w:sz w:val="24"/>
              </w:rPr>
              <w:lastRenderedPageBreak/>
              <w:t>Oznaczenie kolumny</w:t>
            </w:r>
          </w:p>
        </w:tc>
        <w:tc>
          <w:tcPr>
            <w:tcW w:w="7655" w:type="dxa"/>
            <w:tcBorders>
              <w:bottom w:val="single" w:sz="4" w:space="0" w:color="auto"/>
            </w:tcBorders>
            <w:shd w:val="clear" w:color="auto" w:fill="D9D9D9" w:themeFill="background1" w:themeFillShade="D9"/>
          </w:tcPr>
          <w:p w14:paraId="24CC6F75" w14:textId="77777777" w:rsidR="007B082B" w:rsidRPr="00835753" w:rsidRDefault="007B082B" w:rsidP="00803BB4">
            <w:pPr>
              <w:autoSpaceDE w:val="0"/>
              <w:autoSpaceDN w:val="0"/>
              <w:adjustRightInd w:val="0"/>
              <w:spacing w:before="60" w:after="120"/>
              <w:rPr>
                <w:rFonts w:ascii="Times New Roman" w:hAnsi="Times New Roman" w:cs="Times New Roman"/>
                <w:color w:val="000000"/>
                <w:sz w:val="24"/>
              </w:rPr>
            </w:pPr>
            <w:r w:rsidRPr="00835753">
              <w:rPr>
                <w:rFonts w:ascii="Times New Roman" w:hAnsi="Times New Roman"/>
                <w:b/>
                <w:sz w:val="24"/>
              </w:rPr>
              <w:t>Wyjaśnienie</w:t>
            </w:r>
          </w:p>
        </w:tc>
      </w:tr>
      <w:tr w:rsidR="007B082B" w:rsidRPr="00835753"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835753" w:rsidRDefault="007B082B" w:rsidP="00803BB4">
            <w:pPr>
              <w:autoSpaceDE w:val="0"/>
              <w:autoSpaceDN w:val="0"/>
              <w:adjustRightInd w:val="0"/>
              <w:spacing w:before="60" w:after="120"/>
              <w:jc w:val="center"/>
              <w:rPr>
                <w:rFonts w:ascii="Times New Roman" w:hAnsi="Times New Roman" w:cs="Times New Roman"/>
                <w:b/>
                <w:sz w:val="24"/>
              </w:rPr>
            </w:pPr>
            <w:proofErr w:type="gramStart"/>
            <w:r w:rsidRPr="00835753">
              <w:rPr>
                <w:rFonts w:ascii="Times New Roman" w:hAnsi="Times New Roman"/>
                <w:b/>
                <w:sz w:val="24"/>
              </w:rPr>
              <w:t>a</w:t>
            </w:r>
            <w:proofErr w:type="gramEnd"/>
            <w:r w:rsidRPr="00835753">
              <w:rPr>
                <w:rFonts w:ascii="Times New Roman" w:hAnsi="Times New Roman"/>
                <w:b/>
                <w:sz w:val="24"/>
              </w:rPr>
              <w:t>)</w:t>
            </w:r>
          </w:p>
        </w:tc>
        <w:tc>
          <w:tcPr>
            <w:tcW w:w="7655" w:type="dxa"/>
            <w:tcBorders>
              <w:bottom w:val="single" w:sz="4" w:space="0" w:color="auto"/>
            </w:tcBorders>
            <w:shd w:val="clear" w:color="auto" w:fill="FFFFFF" w:themeFill="background1"/>
          </w:tcPr>
          <w:p w14:paraId="09458FC2" w14:textId="77777777" w:rsidR="007B082B" w:rsidRPr="00835753" w:rsidRDefault="007B082B" w:rsidP="00803BB4">
            <w:pPr>
              <w:spacing w:before="60" w:after="120"/>
              <w:jc w:val="both"/>
              <w:rPr>
                <w:rFonts w:ascii="Times New Roman" w:hAnsi="Times New Roman"/>
                <w:b/>
                <w:sz w:val="24"/>
              </w:rPr>
            </w:pPr>
            <w:r w:rsidRPr="00835753">
              <w:rPr>
                <w:rFonts w:ascii="Times New Roman" w:hAnsi="Times New Roman"/>
                <w:b/>
                <w:sz w:val="24"/>
              </w:rPr>
              <w:t>Ogółem</w:t>
            </w:r>
          </w:p>
          <w:p w14:paraId="4CA8C4A4" w14:textId="2421E689" w:rsidR="007B082B" w:rsidRPr="00835753" w:rsidRDefault="007B082B" w:rsidP="00D96A21">
            <w:pPr>
              <w:spacing w:before="60" w:after="120"/>
              <w:jc w:val="both"/>
              <w:rPr>
                <w:rFonts w:ascii="Times New Roman" w:eastAsia="Times New Roman" w:hAnsi="Times New Roman" w:cs="Times New Roman"/>
                <w:sz w:val="24"/>
              </w:rPr>
            </w:pPr>
            <w:r w:rsidRPr="00835753">
              <w:rPr>
                <w:rFonts w:ascii="Times New Roman" w:hAnsi="Times New Roman"/>
                <w:sz w:val="24"/>
              </w:rPr>
              <w:t>Kwota ogółem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a) wzoru EU LI2 = kwoty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b) wzoru EU LI1 – kwoty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g) wzoru EU LI1.</w:t>
            </w:r>
          </w:p>
        </w:tc>
      </w:tr>
      <w:tr w:rsidR="007B082B" w:rsidRPr="00835753"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835753"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17704225" w:rsidR="007B082B" w:rsidRPr="00835753" w:rsidRDefault="007B082B" w:rsidP="00803BB4">
            <w:pPr>
              <w:spacing w:before="60" w:after="120"/>
              <w:jc w:val="both"/>
              <w:rPr>
                <w:rFonts w:ascii="Times New Roman" w:eastAsia="Times New Roman" w:hAnsi="Times New Roman" w:cs="Times New Roman"/>
                <w:sz w:val="24"/>
              </w:rPr>
            </w:pPr>
            <w:r w:rsidRPr="00835753">
              <w:rPr>
                <w:rFonts w:ascii="Times New Roman" w:hAnsi="Times New Roman"/>
                <w:sz w:val="24"/>
              </w:rPr>
              <w:t>Podział kolumn według regulacyjnych kategorii ryzyka b</w:t>
            </w:r>
            <w:proofErr w:type="gramStart"/>
            <w:r w:rsidRPr="00835753">
              <w:rPr>
                <w:rFonts w:ascii="Times New Roman" w:hAnsi="Times New Roman"/>
                <w:sz w:val="24"/>
              </w:rPr>
              <w:t>)–e</w:t>
            </w:r>
            <w:proofErr w:type="gramEnd"/>
            <w:r w:rsidRPr="00835753">
              <w:rPr>
                <w:rFonts w:ascii="Times New Roman" w:hAnsi="Times New Roman"/>
                <w:sz w:val="24"/>
              </w:rPr>
              <w:t>) odpowiada podziałowi zastosowanemu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 xml:space="preserve">ści trzeciej CRR: </w:t>
            </w:r>
          </w:p>
        </w:tc>
      </w:tr>
      <w:tr w:rsidR="007B082B" w:rsidRPr="00835753"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835753" w:rsidRDefault="007B082B" w:rsidP="00803BB4">
            <w:pPr>
              <w:autoSpaceDE w:val="0"/>
              <w:autoSpaceDN w:val="0"/>
              <w:adjustRightInd w:val="0"/>
              <w:spacing w:before="60" w:after="120"/>
              <w:jc w:val="center"/>
              <w:rPr>
                <w:rFonts w:ascii="Times New Roman" w:hAnsi="Times New Roman" w:cs="Times New Roman"/>
                <w:b/>
                <w:sz w:val="24"/>
              </w:rPr>
            </w:pPr>
            <w:proofErr w:type="gramStart"/>
            <w:r w:rsidRPr="00835753">
              <w:rPr>
                <w:rFonts w:ascii="Times New Roman" w:hAnsi="Times New Roman"/>
                <w:b/>
                <w:sz w:val="24"/>
              </w:rPr>
              <w:t>b</w:t>
            </w:r>
            <w:proofErr w:type="gramEnd"/>
            <w:r w:rsidRPr="00835753">
              <w:rPr>
                <w:rFonts w:ascii="Times New Roman" w:hAnsi="Times New Roman"/>
                <w:b/>
                <w:sz w:val="24"/>
              </w:rPr>
              <w:t>)</w:t>
            </w:r>
          </w:p>
        </w:tc>
        <w:tc>
          <w:tcPr>
            <w:tcW w:w="7655" w:type="dxa"/>
            <w:tcBorders>
              <w:top w:val="single" w:sz="4" w:space="0" w:color="auto"/>
              <w:bottom w:val="single" w:sz="4" w:space="0" w:color="auto"/>
            </w:tcBorders>
            <w:shd w:val="clear" w:color="auto" w:fill="FFFFFF" w:themeFill="background1"/>
          </w:tcPr>
          <w:p w14:paraId="6534EE62" w14:textId="77777777" w:rsidR="007B082B" w:rsidRPr="00835753" w:rsidRDefault="007B082B" w:rsidP="00803BB4">
            <w:pPr>
              <w:spacing w:before="60" w:after="120"/>
              <w:jc w:val="both"/>
              <w:rPr>
                <w:rFonts w:ascii="Times New Roman" w:eastAsia="Times New Roman" w:hAnsi="Times New Roman" w:cs="Times New Roman"/>
                <w:b/>
                <w:sz w:val="24"/>
              </w:rPr>
            </w:pPr>
            <w:r w:rsidRPr="00835753">
              <w:rPr>
                <w:rFonts w:ascii="Times New Roman" w:hAnsi="Times New Roman"/>
                <w:b/>
                <w:sz w:val="24"/>
              </w:rPr>
              <w:t>Ramy ryzyka kredytowego</w:t>
            </w:r>
          </w:p>
          <w:p w14:paraId="3AAA1C8D" w14:textId="5FC9975E" w:rsidR="007B082B" w:rsidRPr="00835753" w:rsidRDefault="007B082B" w:rsidP="00803BB4">
            <w:pPr>
              <w:spacing w:before="60" w:after="120"/>
              <w:jc w:val="both"/>
              <w:rPr>
                <w:rFonts w:ascii="Times New Roman" w:hAnsi="Times New Roman" w:cs="Times New Roman"/>
                <w:sz w:val="24"/>
              </w:rPr>
            </w:pPr>
            <w:r w:rsidRPr="00835753">
              <w:rPr>
                <w:rFonts w:ascii="Times New Roman" w:hAnsi="Times New Roman"/>
                <w:sz w:val="24"/>
              </w:rPr>
              <w:t>Ekspozycje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CRR</w:t>
            </w:r>
          </w:p>
          <w:p w14:paraId="2B162172" w14:textId="0528696E" w:rsidR="007B082B" w:rsidRPr="00835753" w:rsidRDefault="007B082B" w:rsidP="00803BB4">
            <w:pPr>
              <w:spacing w:before="60" w:after="120"/>
              <w:jc w:val="both"/>
              <w:rPr>
                <w:rFonts w:ascii="Times New Roman" w:eastAsia="Times New Roman" w:hAnsi="Times New Roman" w:cs="Times New Roman"/>
                <w:sz w:val="24"/>
              </w:rPr>
            </w:pPr>
            <w:r w:rsidRPr="00835753">
              <w:rPr>
                <w:rFonts w:ascii="Times New Roman" w:hAnsi="Times New Roman"/>
                <w:sz w:val="24"/>
              </w:rPr>
              <w:t>Ekspozycje podlegające ramom ryzyka kredytowego odpowiadają kwocie ekspozycji stosowanej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odzie standardowej dotyczącej ryzyka kredytowego (zob. część trzecia tytuł II rozdział 2 art.</w:t>
            </w:r>
            <w:r w:rsidR="00835753" w:rsidRPr="00835753">
              <w:rPr>
                <w:rFonts w:ascii="Times New Roman" w:hAnsi="Times New Roman"/>
                <w:sz w:val="24"/>
              </w:rPr>
              <w:t> </w:t>
            </w:r>
            <w:r w:rsidRPr="00835753">
              <w:rPr>
                <w:rFonts w:ascii="Times New Roman" w:hAnsi="Times New Roman"/>
                <w:sz w:val="24"/>
              </w:rPr>
              <w:t>111 CRR) albo ekspozycjom, których dotyczy niewykonanie zobowiązania,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ryzyka kredytowego według metody IRB (zob. część trzecia tytuł II rozdział 3 art.</w:t>
            </w:r>
            <w:r w:rsidR="00835753" w:rsidRPr="00835753">
              <w:rPr>
                <w:rFonts w:ascii="Times New Roman" w:hAnsi="Times New Roman"/>
                <w:sz w:val="24"/>
              </w:rPr>
              <w:t> </w:t>
            </w:r>
            <w:r w:rsidRPr="00835753">
              <w:rPr>
                <w:rFonts w:ascii="Times New Roman" w:hAnsi="Times New Roman"/>
                <w:sz w:val="24"/>
              </w:rPr>
              <w:t>166, 167</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 xml:space="preserve">68 CRR). </w:t>
            </w:r>
          </w:p>
        </w:tc>
      </w:tr>
      <w:tr w:rsidR="007B082B" w:rsidRPr="00835753"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835753" w:rsidRDefault="007B082B" w:rsidP="00803BB4">
            <w:pPr>
              <w:autoSpaceDE w:val="0"/>
              <w:autoSpaceDN w:val="0"/>
              <w:adjustRightInd w:val="0"/>
              <w:spacing w:before="60" w:after="120"/>
              <w:jc w:val="center"/>
              <w:rPr>
                <w:rFonts w:ascii="Times New Roman" w:hAnsi="Times New Roman" w:cs="Times New Roman"/>
                <w:b/>
                <w:sz w:val="24"/>
              </w:rPr>
            </w:pPr>
            <w:proofErr w:type="gramStart"/>
            <w:r w:rsidRPr="00835753">
              <w:rPr>
                <w:rFonts w:ascii="Times New Roman" w:hAnsi="Times New Roman"/>
                <w:b/>
                <w:sz w:val="24"/>
              </w:rPr>
              <w:t>c</w:t>
            </w:r>
            <w:proofErr w:type="gramEnd"/>
            <w:r w:rsidRPr="00835753">
              <w:rPr>
                <w:rFonts w:ascii="Times New Roman" w:hAnsi="Times New Roman"/>
                <w:b/>
                <w:sz w:val="24"/>
              </w:rPr>
              <w:t>)</w:t>
            </w:r>
          </w:p>
        </w:tc>
        <w:tc>
          <w:tcPr>
            <w:tcW w:w="7655" w:type="dxa"/>
            <w:tcBorders>
              <w:top w:val="single" w:sz="4" w:space="0" w:color="auto"/>
              <w:bottom w:val="single" w:sz="4" w:space="0" w:color="auto"/>
            </w:tcBorders>
            <w:shd w:val="clear" w:color="auto" w:fill="FFFFFF" w:themeFill="background1"/>
          </w:tcPr>
          <w:p w14:paraId="76F4FFB4" w14:textId="77777777" w:rsidR="007B082B" w:rsidRPr="00835753" w:rsidRDefault="007B082B" w:rsidP="00803BB4">
            <w:pPr>
              <w:spacing w:before="60" w:after="120"/>
              <w:jc w:val="both"/>
              <w:rPr>
                <w:rFonts w:ascii="Times New Roman" w:eastAsia="Times New Roman" w:hAnsi="Times New Roman" w:cs="Times New Roman"/>
                <w:b/>
                <w:sz w:val="24"/>
              </w:rPr>
            </w:pPr>
            <w:r w:rsidRPr="00835753">
              <w:rPr>
                <w:rFonts w:ascii="Times New Roman" w:hAnsi="Times New Roman"/>
                <w:b/>
                <w:sz w:val="24"/>
              </w:rPr>
              <w:t xml:space="preserve">Ramy sekurytyzacji </w:t>
            </w:r>
          </w:p>
          <w:p w14:paraId="30028A16" w14:textId="2D2F6708" w:rsidR="007B082B" w:rsidRPr="00835753" w:rsidRDefault="007B082B" w:rsidP="00803BB4">
            <w:pPr>
              <w:spacing w:before="60" w:after="120"/>
              <w:jc w:val="both"/>
              <w:rPr>
                <w:rFonts w:ascii="Times New Roman" w:eastAsia="Times New Roman" w:hAnsi="Times New Roman" w:cs="Times New Roman"/>
                <w:color w:val="3F8BD0" w:themeColor="accent6" w:themeTint="99"/>
                <w:sz w:val="24"/>
              </w:rPr>
            </w:pPr>
            <w:r w:rsidRPr="00835753">
              <w:rPr>
                <w:rFonts w:ascii="Times New Roman" w:hAnsi="Times New Roman"/>
                <w:sz w:val="24"/>
              </w:rPr>
              <w:t>Ekspozycje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tfela bankowego określone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 5 CRR</w:t>
            </w:r>
          </w:p>
          <w:p w14:paraId="6C7844D5" w14:textId="4D312400" w:rsidR="007B082B" w:rsidRPr="00835753" w:rsidRDefault="007B082B" w:rsidP="00803BB4">
            <w:pPr>
              <w:spacing w:before="60" w:after="120"/>
              <w:jc w:val="both"/>
              <w:rPr>
                <w:rFonts w:ascii="Times New Roman" w:eastAsia="Times New Roman" w:hAnsi="Times New Roman" w:cs="Times New Roman"/>
                <w:b/>
                <w:sz w:val="24"/>
              </w:rPr>
            </w:pPr>
            <w:r w:rsidRPr="00835753">
              <w:rPr>
                <w:rFonts w:ascii="Times New Roman" w:hAnsi="Times New Roman"/>
                <w:sz w:val="24"/>
              </w:rPr>
              <w:t>Ekspozycje sekurytyzacyjne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5 art.</w:t>
            </w:r>
            <w:r w:rsidR="00835753" w:rsidRPr="00835753">
              <w:rPr>
                <w:rFonts w:ascii="Times New Roman" w:hAnsi="Times New Roman"/>
                <w:sz w:val="24"/>
              </w:rPr>
              <w:t> </w:t>
            </w:r>
            <w:r w:rsidRPr="00835753">
              <w:rPr>
                <w:rFonts w:ascii="Times New Roman" w:hAnsi="Times New Roman"/>
                <w:sz w:val="24"/>
              </w:rPr>
              <w:t>246 CRR.</w:t>
            </w:r>
          </w:p>
        </w:tc>
      </w:tr>
      <w:tr w:rsidR="007B082B" w:rsidRPr="00835753"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835753" w:rsidRDefault="007B082B" w:rsidP="00803BB4">
            <w:pPr>
              <w:autoSpaceDE w:val="0"/>
              <w:autoSpaceDN w:val="0"/>
              <w:adjustRightInd w:val="0"/>
              <w:spacing w:before="60" w:after="120"/>
              <w:jc w:val="center"/>
              <w:rPr>
                <w:rFonts w:ascii="Times New Roman" w:hAnsi="Times New Roman" w:cs="Times New Roman"/>
                <w:b/>
                <w:sz w:val="24"/>
              </w:rPr>
            </w:pPr>
            <w:proofErr w:type="gramStart"/>
            <w:r w:rsidRPr="00835753">
              <w:rPr>
                <w:rFonts w:ascii="Times New Roman" w:hAnsi="Times New Roman"/>
                <w:b/>
                <w:sz w:val="24"/>
              </w:rPr>
              <w:t>d</w:t>
            </w:r>
            <w:proofErr w:type="gramEnd"/>
            <w:r w:rsidRPr="00835753">
              <w:rPr>
                <w:rFonts w:ascii="Times New Roman" w:hAnsi="Times New Roman"/>
                <w:b/>
                <w:sz w:val="24"/>
              </w:rPr>
              <w:t>)</w:t>
            </w:r>
          </w:p>
        </w:tc>
        <w:tc>
          <w:tcPr>
            <w:tcW w:w="7655" w:type="dxa"/>
            <w:tcBorders>
              <w:top w:val="single" w:sz="4" w:space="0" w:color="auto"/>
              <w:bottom w:val="single" w:sz="4" w:space="0" w:color="auto"/>
            </w:tcBorders>
            <w:shd w:val="clear" w:color="auto" w:fill="FFFFFF" w:themeFill="background1"/>
          </w:tcPr>
          <w:p w14:paraId="194D4265" w14:textId="77777777" w:rsidR="007B082B" w:rsidRPr="00835753" w:rsidRDefault="007B082B" w:rsidP="00803BB4">
            <w:pPr>
              <w:spacing w:before="60" w:after="120"/>
              <w:jc w:val="both"/>
              <w:rPr>
                <w:rFonts w:ascii="Times New Roman" w:eastAsia="Times New Roman" w:hAnsi="Times New Roman" w:cs="Times New Roman"/>
                <w:b/>
                <w:sz w:val="24"/>
              </w:rPr>
            </w:pPr>
            <w:r w:rsidRPr="00835753">
              <w:rPr>
                <w:rFonts w:ascii="Times New Roman" w:hAnsi="Times New Roman"/>
                <w:b/>
                <w:sz w:val="24"/>
              </w:rPr>
              <w:t>Ramy ryzyka kredytowego kontrahenta</w:t>
            </w:r>
          </w:p>
          <w:p w14:paraId="43F8D39D" w14:textId="32BE26F8" w:rsidR="007B082B" w:rsidRPr="00835753" w:rsidRDefault="007B082B" w:rsidP="00803BB4">
            <w:pPr>
              <w:spacing w:before="60" w:after="120"/>
              <w:jc w:val="both"/>
              <w:rPr>
                <w:rFonts w:ascii="Times New Roman" w:hAnsi="Times New Roman"/>
                <w:b/>
                <w:sz w:val="24"/>
              </w:rPr>
            </w:pPr>
            <w:r w:rsidRPr="00835753">
              <w:rPr>
                <w:rFonts w:ascii="Times New Roman" w:hAnsi="Times New Roman"/>
                <w:sz w:val="24"/>
              </w:rPr>
              <w:t>Ekspozycje ujęte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 6 CRR</w:t>
            </w:r>
          </w:p>
        </w:tc>
      </w:tr>
      <w:tr w:rsidR="007B082B" w:rsidRPr="00835753"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835753" w:rsidRDefault="007B082B" w:rsidP="00803BB4">
            <w:pPr>
              <w:autoSpaceDE w:val="0"/>
              <w:autoSpaceDN w:val="0"/>
              <w:adjustRightInd w:val="0"/>
              <w:spacing w:before="60" w:after="120"/>
              <w:jc w:val="center"/>
              <w:rPr>
                <w:rFonts w:ascii="Times New Roman" w:hAnsi="Times New Roman" w:cs="Times New Roman"/>
                <w:b/>
                <w:sz w:val="24"/>
              </w:rPr>
            </w:pPr>
            <w:proofErr w:type="gramStart"/>
            <w:r w:rsidRPr="00835753">
              <w:rPr>
                <w:rFonts w:ascii="Times New Roman" w:hAnsi="Times New Roman"/>
                <w:b/>
                <w:sz w:val="24"/>
              </w:rPr>
              <w:t>e</w:t>
            </w:r>
            <w:proofErr w:type="gramEnd"/>
            <w:r w:rsidRPr="00835753">
              <w:rPr>
                <w:rFonts w:ascii="Times New Roman" w:hAnsi="Times New Roman"/>
                <w:b/>
                <w:sz w:val="24"/>
              </w:rPr>
              <w:t>)</w:t>
            </w:r>
          </w:p>
        </w:tc>
        <w:tc>
          <w:tcPr>
            <w:tcW w:w="7655" w:type="dxa"/>
            <w:tcBorders>
              <w:top w:val="single" w:sz="4" w:space="0" w:color="auto"/>
              <w:bottom w:val="single" w:sz="4" w:space="0" w:color="auto"/>
            </w:tcBorders>
            <w:shd w:val="clear" w:color="auto" w:fill="FFFFFF" w:themeFill="background1"/>
          </w:tcPr>
          <w:p w14:paraId="3BD24DC5" w14:textId="77777777" w:rsidR="007B082B" w:rsidRPr="00835753" w:rsidRDefault="007B082B" w:rsidP="00803BB4">
            <w:pPr>
              <w:spacing w:before="60" w:after="120"/>
              <w:jc w:val="both"/>
              <w:rPr>
                <w:rFonts w:ascii="Times New Roman" w:eastAsia="Times New Roman" w:hAnsi="Times New Roman" w:cs="Times New Roman"/>
                <w:b/>
                <w:sz w:val="24"/>
              </w:rPr>
            </w:pPr>
            <w:r w:rsidRPr="00835753">
              <w:rPr>
                <w:rFonts w:ascii="Times New Roman" w:hAnsi="Times New Roman"/>
                <w:b/>
                <w:sz w:val="24"/>
              </w:rPr>
              <w:t>Ramy ryzyka rynkowego</w:t>
            </w:r>
          </w:p>
          <w:p w14:paraId="0DFE41C8" w14:textId="12501B7B" w:rsidR="007B082B" w:rsidRPr="00835753" w:rsidRDefault="007B082B" w:rsidP="00803BB4">
            <w:pPr>
              <w:spacing w:before="60" w:after="120"/>
              <w:jc w:val="both"/>
              <w:rPr>
                <w:rFonts w:ascii="Times New Roman" w:hAnsi="Times New Roman"/>
                <w:sz w:val="24"/>
              </w:rPr>
            </w:pPr>
            <w:r w:rsidRPr="00835753">
              <w:rPr>
                <w:rFonts w:ascii="Times New Roman" w:hAnsi="Times New Roman"/>
                <w:sz w:val="24"/>
              </w:rPr>
              <w:t>Ekspozycje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rynkowego odpowiadające pozycjom podlegającym ramom ryzyka rynkowego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IV CRR</w:t>
            </w:r>
          </w:p>
          <w:p w14:paraId="6E2E4682" w14:textId="1CC67ED9" w:rsidR="007B082B" w:rsidRPr="00835753" w:rsidRDefault="007B082B" w:rsidP="00803BB4">
            <w:pPr>
              <w:spacing w:before="60" w:after="120"/>
              <w:jc w:val="both"/>
              <w:rPr>
                <w:rFonts w:ascii="Times New Roman" w:eastAsia="Times New Roman" w:hAnsi="Times New Roman" w:cs="Times New Roman"/>
                <w:sz w:val="24"/>
              </w:rPr>
            </w:pPr>
            <w:r w:rsidRPr="00835753">
              <w:rPr>
                <w:rFonts w:ascii="Times New Roman" w:hAnsi="Times New Roman"/>
                <w:sz w:val="24"/>
              </w:rPr>
              <w:t>Jeżeli chodzi o tę kolumnę, ujawnieniu podlegają jedynie wiersze 1–3</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2 niniejszego wzoru.</w:t>
            </w:r>
          </w:p>
        </w:tc>
      </w:tr>
      <w:tr w:rsidR="007B082B" w:rsidRPr="00835753"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835753" w:rsidRDefault="007B082B" w:rsidP="00803BB4">
            <w:pPr>
              <w:autoSpaceDE w:val="0"/>
              <w:autoSpaceDN w:val="0"/>
              <w:adjustRightInd w:val="0"/>
              <w:spacing w:before="60" w:after="120"/>
              <w:jc w:val="center"/>
              <w:rPr>
                <w:rFonts w:ascii="Times New Roman" w:hAnsi="Times New Roman" w:cs="Times New Roman"/>
                <w:sz w:val="24"/>
              </w:rPr>
            </w:pPr>
            <w:proofErr w:type="gramStart"/>
            <w:r w:rsidRPr="00835753">
              <w:rPr>
                <w:rFonts w:ascii="Times New Roman" w:hAnsi="Times New Roman"/>
                <w:sz w:val="24"/>
              </w:rPr>
              <w:t>wszystkie</w:t>
            </w:r>
            <w:proofErr w:type="gramEnd"/>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4FC21733" w:rsidR="007B082B" w:rsidRPr="00835753" w:rsidRDefault="007B082B" w:rsidP="00803BB4">
            <w:pPr>
              <w:spacing w:before="60" w:after="120"/>
              <w:jc w:val="both"/>
              <w:rPr>
                <w:rFonts w:ascii="Times New Roman" w:eastAsia="Times New Roman" w:hAnsi="Times New Roman" w:cs="Times New Roman"/>
                <w:sz w:val="24"/>
              </w:rPr>
            </w:pPr>
            <w:r w:rsidRPr="00835753">
              <w:rPr>
                <w:rFonts w:ascii="Times New Roman" w:hAnsi="Times New Roman"/>
                <w:sz w:val="24"/>
              </w:rPr>
              <w:t>Jeżeli pojedyncza pozycja podlega wymogom kapitałowym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wię</w:t>
            </w:r>
            <w:r w:rsidRPr="00835753">
              <w:rPr>
                <w:rFonts w:ascii="Times New Roman" w:hAnsi="Times New Roman"/>
                <w:sz w:val="24"/>
              </w:rPr>
              <w:t>cej niż jednymi ramami ryzyka, pozycję tę ujawnia się we wszystkich stosownych kolumnach odpowiadających tym wymogom kapitałowym</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rez</w:t>
            </w:r>
            <w:r w:rsidRPr="00835753">
              <w:rPr>
                <w:rFonts w:ascii="Times New Roman" w:hAnsi="Times New Roman"/>
                <w:sz w:val="24"/>
              </w:rPr>
              <w:t>ultacie suma kwot</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b</w:t>
            </w:r>
            <w:proofErr w:type="gramStart"/>
            <w:r w:rsidRPr="00835753">
              <w:rPr>
                <w:rFonts w:ascii="Times New Roman" w:hAnsi="Times New Roman"/>
                <w:sz w:val="24"/>
              </w:rPr>
              <w:t>)–e</w:t>
            </w:r>
            <w:proofErr w:type="gramEnd"/>
            <w:r w:rsidRPr="00835753">
              <w:rPr>
                <w:rFonts w:ascii="Times New Roman" w:hAnsi="Times New Roman"/>
                <w:sz w:val="24"/>
              </w:rPr>
              <w:t>) niniejszego wzoru może przekraczać kwotę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a) niniejszego wzoru. Instytucje przedstawiają wyjaśnienia jakościowe dotyczące aktywów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zob</w:t>
            </w:r>
            <w:r w:rsidRPr="00835753">
              <w:rPr>
                <w:rFonts w:ascii="Times New Roman" w:hAnsi="Times New Roman"/>
                <w:sz w:val="24"/>
              </w:rPr>
              <w:t>owiązań, które podlegają wymogom kapitałowym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więcej niż jednych ram ryzyka wymienionych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CRR.</w:t>
            </w:r>
          </w:p>
        </w:tc>
      </w:tr>
    </w:tbl>
    <w:p w14:paraId="527FB321" w14:textId="77777777" w:rsidR="007B082B" w:rsidRPr="00835753" w:rsidRDefault="007B082B" w:rsidP="007B082B">
      <w:pPr>
        <w:jc w:val="both"/>
        <w:rPr>
          <w:rFonts w:ascii="Times New Roman" w:hAnsi="Times New Roman" w:cs="Times New Roman"/>
          <w:sz w:val="24"/>
        </w:rPr>
      </w:pPr>
    </w:p>
    <w:p w14:paraId="0807C98A" w14:textId="7B2404DF" w:rsidR="007B082B" w:rsidRPr="00835753" w:rsidRDefault="007B082B" w:rsidP="007B082B">
      <w:pPr>
        <w:jc w:val="both"/>
        <w:rPr>
          <w:rFonts w:ascii="Times New Roman" w:hAnsi="Times New Roman" w:cs="Times New Roman"/>
          <w:b/>
          <w:sz w:val="24"/>
        </w:rPr>
      </w:pPr>
      <w:r w:rsidRPr="00835753">
        <w:rPr>
          <w:rFonts w:ascii="Times New Roman" w:hAnsi="Times New Roman"/>
          <w:b/>
          <w:sz w:val="24"/>
        </w:rPr>
        <w:t>Wzór EU LI3 - Zarys różnic</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resach konsolidacji (każdego podmiotu)</w:t>
      </w:r>
    </w:p>
    <w:p w14:paraId="2DCB70BA" w14:textId="4E3D2A44" w:rsidR="007B082B" w:rsidRPr="00835753" w:rsidRDefault="007B082B" w:rsidP="00E70D84">
      <w:pPr>
        <w:pStyle w:val="ListParagraph"/>
        <w:numPr>
          <w:ilvl w:val="0"/>
          <w:numId w:val="18"/>
        </w:numPr>
        <w:spacing w:before="120" w:after="120"/>
        <w:ind w:left="432"/>
        <w:jc w:val="both"/>
        <w:rPr>
          <w:rFonts w:ascii="Times New Roman" w:hAnsi="Times New Roman"/>
          <w:color w:val="000000" w:themeColor="text1"/>
          <w:sz w:val="24"/>
        </w:rPr>
      </w:pPr>
      <w:r w:rsidRPr="00835753">
        <w:rPr>
          <w:rFonts w:ascii="Times New Roman" w:hAnsi="Times New Roman"/>
          <w:sz w:val="24"/>
        </w:rPr>
        <w:t>W celu wypełnienia wzoru EU LI3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 xml:space="preserve">ączniku V do niniejszego rozporządzenia wykonawczego </w:t>
      </w:r>
      <w:r w:rsidRPr="00835753">
        <w:rPr>
          <w:rFonts w:ascii="Times New Roman" w:hAnsi="Times New Roman"/>
          <w:color w:val="000000" w:themeColor="text1"/>
          <w:sz w:val="24"/>
        </w:rPr>
        <w:t xml:space="preserve">instytucje </w:t>
      </w:r>
      <w:r w:rsidRPr="00835753">
        <w:rPr>
          <w:rFonts w:ascii="Times New Roman" w:hAnsi="Times New Roman"/>
          <w:sz w:val="24"/>
        </w:rPr>
        <w:t>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t>
      </w:r>
      <w:r w:rsidR="00835753" w:rsidRPr="00835753">
        <w:rPr>
          <w:rFonts w:ascii="Times New Roman" w:hAnsi="Times New Roman"/>
          <w:sz w:val="24"/>
        </w:rPr>
        <w:lastRenderedPageBreak/>
        <w:t>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 xml:space="preserve">436 </w:t>
      </w:r>
      <w:r w:rsidRPr="00835753">
        <w:rPr>
          <w:rFonts w:ascii="Times New Roman" w:hAnsi="Times New Roman"/>
          <w:color w:val="000000" w:themeColor="text1"/>
          <w:sz w:val="24"/>
        </w:rPr>
        <w:t>lit.</w:t>
      </w:r>
      <w:r w:rsidR="00835753" w:rsidRPr="00835753">
        <w:rPr>
          <w:rFonts w:ascii="Times New Roman" w:hAnsi="Times New Roman"/>
          <w:color w:val="000000" w:themeColor="text1"/>
          <w:sz w:val="24"/>
        </w:rPr>
        <w:t> </w:t>
      </w:r>
      <w:r w:rsidRPr="00835753">
        <w:rPr>
          <w:rFonts w:ascii="Times New Roman" w:hAnsi="Times New Roman"/>
          <w:color w:val="000000" w:themeColor="text1"/>
          <w:sz w:val="24"/>
        </w:rPr>
        <w:t>b) CRR</w:t>
      </w:r>
      <w:r w:rsidRPr="00835753">
        <w:rPr>
          <w:rFonts w:ascii="Times New Roman" w:hAnsi="Times New Roman"/>
          <w:sz w:val="24"/>
        </w:rPr>
        <w:t>,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r w:rsidRPr="00835753">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35753"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604128D4" w:rsidR="007B082B" w:rsidRPr="00835753" w:rsidRDefault="007B082B" w:rsidP="00803BB4">
            <w:pPr>
              <w:rPr>
                <w:rFonts w:ascii="Times New Roman" w:hAnsi="Times New Roman" w:cs="Times New Roman"/>
                <w:b/>
                <w:sz w:val="24"/>
                <w:highlight w:val="yellow"/>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7B082B" w:rsidRPr="00835753" w14:paraId="29F9CBCC" w14:textId="77777777" w:rsidTr="00803BB4">
        <w:trPr>
          <w:trHeight w:val="238"/>
        </w:trPr>
        <w:tc>
          <w:tcPr>
            <w:tcW w:w="1384" w:type="dxa"/>
            <w:shd w:val="clear" w:color="auto" w:fill="D9D9D9" w:themeFill="background1" w:themeFillShade="D9"/>
          </w:tcPr>
          <w:p w14:paraId="43226805" w14:textId="77777777" w:rsidR="007B082B" w:rsidRPr="00835753" w:rsidRDefault="007B082B" w:rsidP="00803BB4">
            <w:pPr>
              <w:autoSpaceDE w:val="0"/>
              <w:autoSpaceDN w:val="0"/>
              <w:adjustRightInd w:val="0"/>
              <w:jc w:val="center"/>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19FD6AE0" w14:textId="77777777" w:rsidR="007B082B" w:rsidRPr="00835753" w:rsidRDefault="007B082B" w:rsidP="00803BB4">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7B082B" w:rsidRPr="00835753" w14:paraId="42C31B51" w14:textId="77777777" w:rsidTr="00803BB4">
        <w:trPr>
          <w:trHeight w:val="238"/>
        </w:trPr>
        <w:tc>
          <w:tcPr>
            <w:tcW w:w="1384" w:type="dxa"/>
            <w:shd w:val="clear" w:color="auto" w:fill="FFFFFF" w:themeFill="background1"/>
          </w:tcPr>
          <w:p w14:paraId="6F0C2254" w14:textId="77777777" w:rsidR="007B082B" w:rsidRPr="00835753"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3EA418AD" w:rsidR="007B082B" w:rsidRPr="00835753" w:rsidRDefault="007B082B" w:rsidP="00803BB4">
            <w:pPr>
              <w:autoSpaceDE w:val="0"/>
              <w:autoSpaceDN w:val="0"/>
              <w:adjustRightInd w:val="0"/>
              <w:spacing w:before="60" w:after="120"/>
              <w:jc w:val="both"/>
              <w:rPr>
                <w:rFonts w:ascii="Times New Roman" w:hAnsi="Times New Roman" w:cs="Times New Roman"/>
                <w:b/>
                <w:sz w:val="24"/>
              </w:rPr>
            </w:pPr>
            <w:r w:rsidRPr="00835753">
              <w:rPr>
                <w:rFonts w:ascii="Times New Roman" w:hAnsi="Times New Roman"/>
                <w:sz w:val="24"/>
              </w:rPr>
              <w:t>Wiersze mają format elastyczny. Informacje ujawnia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wszystkich podmiotów objętych rachunkowym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reg</w:t>
            </w:r>
            <w:r w:rsidRPr="00835753">
              <w:rPr>
                <w:rFonts w:ascii="Times New Roman" w:hAnsi="Times New Roman"/>
                <w:sz w:val="24"/>
              </w:rPr>
              <w:t>ulacyjnym zakresem konsolidacji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maj</w:t>
            </w:r>
            <w:r w:rsidRPr="00835753">
              <w:rPr>
                <w:rFonts w:ascii="Times New Roman" w:hAnsi="Times New Roman"/>
                <w:sz w:val="24"/>
              </w:rPr>
              <w:t>ącymi zastosowanie standardami rachunkowości oraz częścią pierwszą tytuł II sekcje 2</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3</w:t>
            </w:r>
            <w:r w:rsidRPr="00835753">
              <w:rPr>
                <w:rFonts w:ascii="Times New Roman" w:hAnsi="Times New Roman"/>
                <w:sz w:val="24"/>
              </w:rPr>
              <w:t xml:space="preserve"> CRR, dla których metoda konsolidacji rachunkowości jest odmienna od metody konsolidacji regulacyjnej. Jeden wiersz dotyczy jednego podmiotu.</w:t>
            </w:r>
          </w:p>
        </w:tc>
      </w:tr>
    </w:tbl>
    <w:p w14:paraId="51FBC2E6" w14:textId="77777777" w:rsidR="007B082B" w:rsidRPr="00835753" w:rsidRDefault="007B082B" w:rsidP="007B082B">
      <w:pPr>
        <w:rPr>
          <w:rFonts w:ascii="Times New Roman" w:hAnsi="Times New Roman" w:cs="Times New Roman"/>
          <w:sz w:val="24"/>
        </w:rPr>
      </w:pPr>
    </w:p>
    <w:p w14:paraId="4270CE8A" w14:textId="77777777" w:rsidR="007B082B" w:rsidRPr="00835753"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35753"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07BC5717" w:rsidR="007B082B" w:rsidRPr="00835753" w:rsidRDefault="007B082B" w:rsidP="00803BB4">
            <w:pPr>
              <w:rPr>
                <w:rFonts w:ascii="Times New Roman" w:hAnsi="Times New Roman" w:cs="Times New Roman"/>
                <w:b/>
                <w:sz w:val="24"/>
                <w:highlight w:val="yellow"/>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7B082B" w:rsidRPr="00835753" w14:paraId="67D9D178" w14:textId="77777777" w:rsidTr="00803BB4">
        <w:trPr>
          <w:trHeight w:val="238"/>
        </w:trPr>
        <w:tc>
          <w:tcPr>
            <w:tcW w:w="1384" w:type="dxa"/>
            <w:shd w:val="clear" w:color="auto" w:fill="D9D9D9" w:themeFill="background1" w:themeFillShade="D9"/>
          </w:tcPr>
          <w:p w14:paraId="2C0C452A" w14:textId="77777777" w:rsidR="007B082B" w:rsidRPr="00835753" w:rsidRDefault="007B082B" w:rsidP="00803BB4">
            <w:pPr>
              <w:autoSpaceDE w:val="0"/>
              <w:autoSpaceDN w:val="0"/>
              <w:adjustRightInd w:val="0"/>
              <w:jc w:val="center"/>
              <w:rPr>
                <w:rFonts w:ascii="Times New Roman" w:hAnsi="Times New Roman" w:cs="Times New Roman"/>
                <w:b/>
                <w:sz w:val="24"/>
              </w:rPr>
            </w:pPr>
            <w:r w:rsidRPr="00835753">
              <w:rPr>
                <w:rFonts w:ascii="Times New Roman" w:hAnsi="Times New Roman"/>
                <w:b/>
                <w:sz w:val="24"/>
              </w:rPr>
              <w:t>Oznaczenie kolumny</w:t>
            </w:r>
          </w:p>
        </w:tc>
        <w:tc>
          <w:tcPr>
            <w:tcW w:w="7655" w:type="dxa"/>
            <w:shd w:val="clear" w:color="auto" w:fill="D9D9D9" w:themeFill="background1" w:themeFillShade="D9"/>
          </w:tcPr>
          <w:p w14:paraId="6DC63485" w14:textId="77777777" w:rsidR="007B082B" w:rsidRPr="00835753" w:rsidRDefault="007B082B" w:rsidP="00803BB4">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7B082B" w:rsidRPr="00835753" w14:paraId="3E7D3951" w14:textId="77777777" w:rsidTr="00803BB4">
        <w:trPr>
          <w:trHeight w:val="238"/>
        </w:trPr>
        <w:tc>
          <w:tcPr>
            <w:tcW w:w="1384" w:type="dxa"/>
            <w:shd w:val="clear" w:color="auto" w:fill="auto"/>
          </w:tcPr>
          <w:p w14:paraId="2A45CBE0" w14:textId="77777777" w:rsidR="007B082B" w:rsidRPr="00835753" w:rsidRDefault="007B082B" w:rsidP="00803BB4">
            <w:pPr>
              <w:autoSpaceDE w:val="0"/>
              <w:autoSpaceDN w:val="0"/>
              <w:adjustRightInd w:val="0"/>
              <w:spacing w:before="60" w:after="120"/>
              <w:jc w:val="center"/>
              <w:rPr>
                <w:rFonts w:ascii="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655" w:type="dxa"/>
            <w:shd w:val="clear" w:color="auto" w:fill="auto"/>
          </w:tcPr>
          <w:p w14:paraId="52AB1DB3" w14:textId="77777777" w:rsidR="007B082B" w:rsidRPr="00835753" w:rsidRDefault="007B082B" w:rsidP="00803BB4">
            <w:pPr>
              <w:keepNext/>
              <w:spacing w:before="60" w:after="120"/>
              <w:jc w:val="both"/>
              <w:rPr>
                <w:rFonts w:ascii="Times New Roman" w:eastAsia="Times New Roman" w:hAnsi="Times New Roman" w:cs="Times New Roman"/>
                <w:b/>
                <w:sz w:val="24"/>
              </w:rPr>
            </w:pPr>
            <w:r w:rsidRPr="00835753">
              <w:rPr>
                <w:rFonts w:ascii="Times New Roman" w:hAnsi="Times New Roman"/>
                <w:b/>
                <w:sz w:val="24"/>
              </w:rPr>
              <w:t>Nazwa podmiotu</w:t>
            </w:r>
          </w:p>
          <w:p w14:paraId="099F4741" w14:textId="4E3B5900" w:rsidR="007B082B" w:rsidRPr="00835753" w:rsidRDefault="007B082B" w:rsidP="00803BB4">
            <w:pPr>
              <w:keepNext/>
              <w:spacing w:before="60" w:after="120"/>
              <w:jc w:val="both"/>
              <w:rPr>
                <w:rFonts w:ascii="Times New Roman" w:hAnsi="Times New Roman" w:cs="Times New Roman"/>
                <w:b/>
                <w:sz w:val="24"/>
              </w:rPr>
            </w:pPr>
            <w:r w:rsidRPr="00835753">
              <w:rPr>
                <w:rFonts w:ascii="Times New Roman" w:hAnsi="Times New Roman"/>
                <w:sz w:val="24"/>
              </w:rPr>
              <w:t>Nazwa handlowa dowolnego podmiotu ujętego lub odliczonego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reg</w:t>
            </w:r>
            <w:r w:rsidRPr="00835753">
              <w:rPr>
                <w:rFonts w:ascii="Times New Roman" w:hAnsi="Times New Roman"/>
                <w:sz w:val="24"/>
              </w:rPr>
              <w:t>ulacyjnym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rac</w:t>
            </w:r>
            <w:r w:rsidRPr="00835753">
              <w:rPr>
                <w:rFonts w:ascii="Times New Roman" w:hAnsi="Times New Roman"/>
                <w:sz w:val="24"/>
              </w:rPr>
              <w:t>hunkowym zakresie konsolidacji instytucji</w:t>
            </w:r>
          </w:p>
        </w:tc>
      </w:tr>
      <w:tr w:rsidR="007B082B" w:rsidRPr="00835753" w14:paraId="48E07DD2" w14:textId="77777777" w:rsidTr="00803BB4">
        <w:trPr>
          <w:trHeight w:val="238"/>
        </w:trPr>
        <w:tc>
          <w:tcPr>
            <w:tcW w:w="1384" w:type="dxa"/>
            <w:shd w:val="clear" w:color="auto" w:fill="auto"/>
          </w:tcPr>
          <w:p w14:paraId="650CB4CF" w14:textId="77777777" w:rsidR="007B082B" w:rsidRPr="00835753" w:rsidRDefault="007B082B" w:rsidP="00803BB4">
            <w:pPr>
              <w:autoSpaceDE w:val="0"/>
              <w:autoSpaceDN w:val="0"/>
              <w:adjustRightInd w:val="0"/>
              <w:spacing w:before="60" w:after="120"/>
              <w:jc w:val="center"/>
              <w:rPr>
                <w:rFonts w:ascii="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655" w:type="dxa"/>
            <w:shd w:val="clear" w:color="auto" w:fill="auto"/>
          </w:tcPr>
          <w:p w14:paraId="338167FB" w14:textId="77777777" w:rsidR="007B082B" w:rsidRPr="00835753" w:rsidRDefault="007B082B" w:rsidP="00803BB4">
            <w:pPr>
              <w:keepNext/>
              <w:spacing w:before="60" w:after="120"/>
              <w:jc w:val="both"/>
              <w:rPr>
                <w:rFonts w:ascii="Times New Roman" w:eastAsia="Times New Roman" w:hAnsi="Times New Roman" w:cs="Times New Roman"/>
                <w:b/>
                <w:sz w:val="24"/>
              </w:rPr>
            </w:pPr>
            <w:r w:rsidRPr="00835753">
              <w:rPr>
                <w:rFonts w:ascii="Times New Roman" w:hAnsi="Times New Roman"/>
                <w:b/>
                <w:sz w:val="24"/>
              </w:rPr>
              <w:t>Metoda konsolidacji rachunkowości</w:t>
            </w:r>
          </w:p>
          <w:p w14:paraId="067EC88D" w14:textId="619B5BB0" w:rsidR="007B082B" w:rsidRPr="00835753" w:rsidRDefault="007B082B" w:rsidP="00803BB4">
            <w:pPr>
              <w:keepNext/>
              <w:spacing w:before="60" w:after="120"/>
              <w:jc w:val="both"/>
              <w:rPr>
                <w:rFonts w:ascii="Times New Roman" w:hAnsi="Times New Roman" w:cs="Times New Roman"/>
                <w:b/>
                <w:sz w:val="24"/>
              </w:rPr>
            </w:pPr>
            <w:r w:rsidRPr="00835753">
              <w:rPr>
                <w:rFonts w:ascii="Times New Roman" w:hAnsi="Times New Roman"/>
                <w:sz w:val="24"/>
              </w:rPr>
              <w:t>Metoda konsolidacji stosowana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maj</w:t>
            </w:r>
            <w:r w:rsidRPr="00835753">
              <w:rPr>
                <w:rFonts w:ascii="Times New Roman" w:hAnsi="Times New Roman"/>
                <w:sz w:val="24"/>
              </w:rPr>
              <w:t>ącymi zastosowanie standardami rachunkowości</w:t>
            </w:r>
          </w:p>
        </w:tc>
      </w:tr>
      <w:tr w:rsidR="007B082B" w:rsidRPr="00835753" w14:paraId="5246F38B" w14:textId="77777777" w:rsidTr="00803BB4">
        <w:trPr>
          <w:trHeight w:val="238"/>
        </w:trPr>
        <w:tc>
          <w:tcPr>
            <w:tcW w:w="1384" w:type="dxa"/>
            <w:shd w:val="clear" w:color="auto" w:fill="auto"/>
          </w:tcPr>
          <w:p w14:paraId="6747CEC2" w14:textId="49C032FE" w:rsidR="007B082B" w:rsidRPr="00835753" w:rsidRDefault="007B082B" w:rsidP="00803BB4">
            <w:pPr>
              <w:autoSpaceDE w:val="0"/>
              <w:autoSpaceDN w:val="0"/>
              <w:adjustRightInd w:val="0"/>
              <w:spacing w:before="60" w:after="120"/>
              <w:jc w:val="center"/>
              <w:rPr>
                <w:rFonts w:ascii="Times New Roman" w:hAnsi="Times New Roman" w:cs="Times New Roman"/>
                <w:sz w:val="24"/>
              </w:rPr>
            </w:pPr>
            <w:r w:rsidRPr="00835753">
              <w:rPr>
                <w:rFonts w:ascii="Times New Roman" w:hAnsi="Times New Roman"/>
                <w:sz w:val="24"/>
              </w:rPr>
              <w:t>c</w:t>
            </w:r>
            <w:proofErr w:type="gramStart"/>
            <w:r w:rsidR="00835753">
              <w:rPr>
                <w:rFonts w:ascii="Times New Roman" w:hAnsi="Times New Roman"/>
                <w:sz w:val="24"/>
              </w:rPr>
              <w:t>)</w:t>
            </w:r>
            <w:r w:rsidRPr="00835753">
              <w:rPr>
                <w:rFonts w:ascii="Times New Roman" w:hAnsi="Times New Roman"/>
                <w:sz w:val="24"/>
              </w:rPr>
              <w:t>–g</w:t>
            </w:r>
            <w:proofErr w:type="gramEnd"/>
            <w:r w:rsidR="00835753">
              <w:rPr>
                <w:rFonts w:ascii="Times New Roman" w:hAnsi="Times New Roman"/>
                <w:sz w:val="24"/>
              </w:rPr>
              <w:t>)</w:t>
            </w:r>
          </w:p>
        </w:tc>
        <w:tc>
          <w:tcPr>
            <w:tcW w:w="7655" w:type="dxa"/>
            <w:shd w:val="clear" w:color="auto" w:fill="auto"/>
          </w:tcPr>
          <w:p w14:paraId="48D3D0C7" w14:textId="77777777" w:rsidR="007B082B" w:rsidRPr="00835753" w:rsidRDefault="007B082B" w:rsidP="00803BB4">
            <w:pPr>
              <w:keepNext/>
              <w:spacing w:before="60" w:after="120"/>
              <w:jc w:val="both"/>
              <w:rPr>
                <w:rFonts w:ascii="Times New Roman" w:eastAsia="Times New Roman" w:hAnsi="Times New Roman" w:cs="Times New Roman"/>
                <w:b/>
                <w:sz w:val="24"/>
              </w:rPr>
            </w:pPr>
            <w:r w:rsidRPr="00835753">
              <w:rPr>
                <w:rFonts w:ascii="Times New Roman" w:hAnsi="Times New Roman"/>
                <w:b/>
                <w:sz w:val="24"/>
              </w:rPr>
              <w:t>Metoda konsolidacji regulacyjnej</w:t>
            </w:r>
          </w:p>
          <w:p w14:paraId="00FD3624" w14:textId="77777777" w:rsidR="007B082B" w:rsidRPr="00835753" w:rsidRDefault="007B082B" w:rsidP="00803BB4">
            <w:pPr>
              <w:keepNext/>
              <w:spacing w:before="60" w:after="120"/>
              <w:jc w:val="both"/>
              <w:rPr>
                <w:rFonts w:ascii="Times New Roman" w:eastAsia="Times New Roman" w:hAnsi="Times New Roman" w:cs="Times New Roman"/>
                <w:sz w:val="24"/>
              </w:rPr>
            </w:pPr>
            <w:r w:rsidRPr="00835753">
              <w:rPr>
                <w:rFonts w:ascii="Times New Roman" w:hAnsi="Times New Roman"/>
                <w:sz w:val="24"/>
              </w:rPr>
              <w:t>Metoda konsolidacji wdrażana do celów części pierwszej tytuł II rozdział 2 CRR</w:t>
            </w:r>
          </w:p>
          <w:p w14:paraId="0D12C05F" w14:textId="2D846FC2" w:rsidR="007B082B" w:rsidRPr="00835753" w:rsidRDefault="007B082B" w:rsidP="00803BB4">
            <w:pPr>
              <w:keepNext/>
              <w:spacing w:before="60" w:after="120"/>
              <w:jc w:val="both"/>
              <w:rPr>
                <w:rFonts w:ascii="Times New Roman" w:eastAsia="Times New Roman" w:hAnsi="Times New Roman" w:cs="Times New Roman"/>
                <w:sz w:val="24"/>
              </w:rPr>
            </w:pPr>
            <w:r w:rsidRPr="00835753">
              <w:rPr>
                <w:rFonts w:ascii="Times New Roman" w:hAnsi="Times New Roman"/>
                <w:sz w:val="24"/>
              </w:rPr>
              <w:t>Ujawnieniu podlegają co najmniej metody wymienione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436 lit.</w:t>
            </w:r>
            <w:r w:rsidR="00835753" w:rsidRPr="00835753">
              <w:rPr>
                <w:rFonts w:ascii="Times New Roman" w:hAnsi="Times New Roman"/>
                <w:sz w:val="24"/>
              </w:rPr>
              <w:t> </w:t>
            </w:r>
            <w:r w:rsidRPr="00835753">
              <w:rPr>
                <w:rFonts w:ascii="Times New Roman" w:hAnsi="Times New Roman"/>
                <w:sz w:val="24"/>
              </w:rPr>
              <w:t>b) CRR.</w:t>
            </w:r>
          </w:p>
          <w:p w14:paraId="236AC652" w14:textId="52291C8D" w:rsidR="007B082B" w:rsidRPr="00835753" w:rsidRDefault="007B082B" w:rsidP="00803BB4">
            <w:pPr>
              <w:keepNext/>
              <w:spacing w:before="60" w:after="120"/>
              <w:jc w:val="both"/>
              <w:rPr>
                <w:rFonts w:ascii="Times New Roman" w:hAnsi="Times New Roman" w:cs="Times New Roman"/>
                <w:b/>
                <w:sz w:val="24"/>
              </w:rPr>
            </w:pPr>
            <w:r w:rsidRPr="00835753">
              <w:rPr>
                <w:rFonts w:ascii="Times New Roman" w:hAnsi="Times New Roman"/>
                <w:sz w:val="24"/>
              </w:rPr>
              <w:t>Instytucje zaznaczają odpowiednie kolumny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identyfikacji metody konsolidacji każdego podmiotu zgodnie ze standardami rachunkowości oraz wskazania, czy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konsolidacji ostrożnościowej każdy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miotów (i) jest</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peł</w:t>
            </w:r>
            <w:r w:rsidRPr="00835753">
              <w:rPr>
                <w:rFonts w:ascii="Times New Roman" w:hAnsi="Times New Roman"/>
                <w:sz w:val="24"/>
              </w:rPr>
              <w:t>ni skonsolidowany; (ii) jest skonsolidowany metodą proporcjonalną; (iii) jest ujmowany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zas</w:t>
            </w:r>
            <w:r w:rsidRPr="00835753">
              <w:rPr>
                <w:rFonts w:ascii="Times New Roman" w:hAnsi="Times New Roman"/>
                <w:sz w:val="24"/>
              </w:rPr>
              <w:t>tosowaniem metody praw własności; (iv) nie jest skonsolidowany ani odliczony; (v) jest odliczony.</w:t>
            </w:r>
          </w:p>
        </w:tc>
      </w:tr>
      <w:tr w:rsidR="007B082B" w:rsidRPr="00835753" w14:paraId="52F2E86F" w14:textId="77777777" w:rsidTr="00803BB4">
        <w:trPr>
          <w:trHeight w:val="238"/>
        </w:trPr>
        <w:tc>
          <w:tcPr>
            <w:tcW w:w="1384" w:type="dxa"/>
            <w:shd w:val="clear" w:color="auto" w:fill="auto"/>
          </w:tcPr>
          <w:p w14:paraId="06FA0317" w14:textId="77777777" w:rsidR="007B082B" w:rsidRPr="00835753" w:rsidRDefault="007B082B" w:rsidP="00803BB4">
            <w:pPr>
              <w:autoSpaceDE w:val="0"/>
              <w:autoSpaceDN w:val="0"/>
              <w:adjustRightInd w:val="0"/>
              <w:spacing w:before="60" w:after="120"/>
              <w:jc w:val="center"/>
              <w:rPr>
                <w:rFonts w:ascii="Times New Roman" w:hAnsi="Times New Roman" w:cs="Times New Roman"/>
                <w:b/>
                <w:sz w:val="24"/>
              </w:rPr>
            </w:pPr>
            <w:proofErr w:type="gramStart"/>
            <w:r w:rsidRPr="00835753">
              <w:rPr>
                <w:rFonts w:ascii="Times New Roman" w:hAnsi="Times New Roman"/>
                <w:b/>
                <w:sz w:val="24"/>
              </w:rPr>
              <w:t>h</w:t>
            </w:r>
            <w:proofErr w:type="gramEnd"/>
            <w:r w:rsidRPr="00835753">
              <w:rPr>
                <w:rFonts w:ascii="Times New Roman" w:hAnsi="Times New Roman"/>
                <w:b/>
                <w:sz w:val="24"/>
              </w:rPr>
              <w:t>)</w:t>
            </w:r>
          </w:p>
        </w:tc>
        <w:tc>
          <w:tcPr>
            <w:tcW w:w="7655" w:type="dxa"/>
            <w:shd w:val="clear" w:color="auto" w:fill="auto"/>
          </w:tcPr>
          <w:p w14:paraId="40552E38" w14:textId="77777777" w:rsidR="007B082B" w:rsidRPr="00835753" w:rsidRDefault="007B082B" w:rsidP="00803BB4">
            <w:pPr>
              <w:spacing w:before="60" w:after="120"/>
              <w:jc w:val="both"/>
              <w:rPr>
                <w:rFonts w:ascii="Times New Roman" w:eastAsia="Times New Roman" w:hAnsi="Times New Roman" w:cs="Times New Roman"/>
                <w:b/>
                <w:sz w:val="24"/>
              </w:rPr>
            </w:pPr>
            <w:r w:rsidRPr="00835753">
              <w:rPr>
                <w:rFonts w:ascii="Times New Roman" w:hAnsi="Times New Roman"/>
                <w:b/>
                <w:sz w:val="24"/>
              </w:rPr>
              <w:t>Opis podmiotu</w:t>
            </w:r>
          </w:p>
          <w:p w14:paraId="1EDB0246" w14:textId="77777777" w:rsidR="007B082B" w:rsidRPr="00835753" w:rsidRDefault="007B082B" w:rsidP="00803BB4">
            <w:pPr>
              <w:spacing w:before="60" w:after="120"/>
              <w:jc w:val="both"/>
              <w:rPr>
                <w:rFonts w:ascii="Times New Roman" w:eastAsia="Times New Roman" w:hAnsi="Times New Roman" w:cs="Times New Roman"/>
                <w:sz w:val="24"/>
              </w:rPr>
            </w:pPr>
            <w:r w:rsidRPr="00835753">
              <w:rPr>
                <w:rFonts w:ascii="Times New Roman" w:hAnsi="Times New Roman"/>
                <w:sz w:val="24"/>
              </w:rPr>
              <w:t>Skrócony opis podmiotu zawierający (co najmniej) ujawnione informacje dotyczące jego sektora działalności.</w:t>
            </w:r>
          </w:p>
        </w:tc>
      </w:tr>
    </w:tbl>
    <w:p w14:paraId="4BCBBC38" w14:textId="77777777" w:rsidR="007B082B" w:rsidRPr="00835753" w:rsidRDefault="007B082B" w:rsidP="007B082B">
      <w:pPr>
        <w:rPr>
          <w:rFonts w:ascii="Times New Roman" w:hAnsi="Times New Roman" w:cs="Times New Roman"/>
          <w:sz w:val="24"/>
        </w:rPr>
      </w:pPr>
    </w:p>
    <w:p w14:paraId="62009EA3" w14:textId="557D3AE9" w:rsidR="007B082B" w:rsidRPr="00835753" w:rsidRDefault="00D96A21" w:rsidP="007B082B">
      <w:pPr>
        <w:jc w:val="both"/>
        <w:rPr>
          <w:rFonts w:ascii="Times New Roman" w:hAnsi="Times New Roman" w:cs="Times New Roman"/>
          <w:sz w:val="24"/>
        </w:rPr>
      </w:pPr>
      <w:r w:rsidRPr="00835753">
        <w:rPr>
          <w:rFonts w:ascii="Times New Roman" w:hAnsi="Times New Roman"/>
          <w:b/>
          <w:sz w:val="24"/>
        </w:rPr>
        <w:t>Tabela EU LIA – Wyjaśnienia dotyczące różnic między kwotami ekspozycji wg zasad rachunkowości</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zas</w:t>
      </w:r>
      <w:r w:rsidRPr="00835753">
        <w:rPr>
          <w:rFonts w:ascii="Times New Roman" w:hAnsi="Times New Roman"/>
          <w:b/>
          <w:sz w:val="24"/>
        </w:rPr>
        <w:t xml:space="preserve">ad regulacyjnych. </w:t>
      </w:r>
      <w:r w:rsidRPr="00835753">
        <w:rPr>
          <w:rFonts w:ascii="Times New Roman" w:hAnsi="Times New Roman"/>
          <w:sz w:val="24"/>
        </w:rPr>
        <w:t>Pola na tekst</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for</w:t>
      </w:r>
      <w:r w:rsidRPr="00835753">
        <w:rPr>
          <w:rFonts w:ascii="Times New Roman" w:hAnsi="Times New Roman"/>
          <w:sz w:val="24"/>
        </w:rPr>
        <w:t>macie dowolnym do celów ujawniania informacji jakościowych</w:t>
      </w:r>
    </w:p>
    <w:p w14:paraId="4CD2BB71" w14:textId="77777777" w:rsidR="007B082B" w:rsidRPr="00835753" w:rsidRDefault="007B082B" w:rsidP="007B082B">
      <w:pPr>
        <w:jc w:val="both"/>
        <w:rPr>
          <w:rFonts w:ascii="Times New Roman" w:hAnsi="Times New Roman" w:cs="Times New Roman"/>
          <w:sz w:val="24"/>
        </w:rPr>
      </w:pPr>
    </w:p>
    <w:p w14:paraId="4B6DAAED" w14:textId="23A9ECF0" w:rsidR="007B082B" w:rsidRPr="00835753"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sidRPr="00835753">
        <w:rPr>
          <w:rFonts w:ascii="Times New Roman" w:hAnsi="Times New Roman"/>
          <w:sz w:val="24"/>
        </w:rPr>
        <w:lastRenderedPageBreak/>
        <w:t>W celu wypełnienia tabeli EU LIA zamieszczonej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 xml:space="preserve">ączniku V do niniejszego rozporządzenia wykonawczego </w:t>
      </w:r>
      <w:r w:rsidRPr="00835753">
        <w:rPr>
          <w:rFonts w:ascii="Times New Roman" w:hAnsi="Times New Roman"/>
          <w:color w:val="000000" w:themeColor="text1"/>
          <w:sz w:val="24"/>
        </w:rPr>
        <w:t xml:space="preserve">instytucje </w:t>
      </w:r>
      <w:r w:rsidRPr="00835753">
        <w:rPr>
          <w:rFonts w:ascii="Times New Roman" w:hAnsi="Times New Roman"/>
          <w:sz w:val="24"/>
        </w:rPr>
        <w:t>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 xml:space="preserve">436 </w:t>
      </w:r>
      <w:r w:rsidRPr="00835753">
        <w:rPr>
          <w:rFonts w:ascii="Times New Roman" w:hAnsi="Times New Roman"/>
          <w:color w:val="000000" w:themeColor="text1"/>
          <w:sz w:val="24"/>
        </w:rPr>
        <w:t>lit.</w:t>
      </w:r>
      <w:r w:rsidR="00835753" w:rsidRPr="00835753">
        <w:rPr>
          <w:rFonts w:ascii="Times New Roman" w:hAnsi="Times New Roman"/>
          <w:color w:val="000000" w:themeColor="text1"/>
          <w:sz w:val="24"/>
        </w:rPr>
        <w:t> </w:t>
      </w:r>
      <w:r w:rsidRPr="00835753">
        <w:rPr>
          <w:rFonts w:ascii="Times New Roman" w:hAnsi="Times New Roman"/>
          <w:color w:val="000000" w:themeColor="text1"/>
          <w:sz w:val="24"/>
        </w:rPr>
        <w:t>b) i d) CRR</w:t>
      </w:r>
      <w:r w:rsidRPr="00835753">
        <w:rPr>
          <w:rFonts w:ascii="Times New Roman" w:hAnsi="Times New Roman"/>
          <w:sz w:val="24"/>
        </w:rPr>
        <w:t>,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r w:rsidRPr="00835753">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35753"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344F7AC2" w:rsidR="007B082B" w:rsidRPr="00835753" w:rsidRDefault="007B082B" w:rsidP="00803BB4">
            <w:pPr>
              <w:rPr>
                <w:rFonts w:ascii="Times New Roman" w:hAnsi="Times New Roman" w:cs="Times New Roman"/>
                <w:b/>
                <w:sz w:val="24"/>
                <w:highlight w:val="yellow"/>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7B082B" w:rsidRPr="00835753"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835753" w:rsidRDefault="007B082B" w:rsidP="00803BB4">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tcBorders>
              <w:bottom w:val="single" w:sz="4" w:space="0" w:color="auto"/>
            </w:tcBorders>
            <w:shd w:val="clear" w:color="auto" w:fill="D9D9D9" w:themeFill="background1" w:themeFillShade="D9"/>
          </w:tcPr>
          <w:p w14:paraId="2DB2A101" w14:textId="77777777" w:rsidR="007B082B" w:rsidRPr="00835753" w:rsidRDefault="007B082B" w:rsidP="00803BB4">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7B082B" w:rsidRPr="00835753"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835753" w:rsidRDefault="007B082B" w:rsidP="00803BB4">
            <w:pPr>
              <w:spacing w:before="60" w:after="120"/>
              <w:jc w:val="center"/>
              <w:rPr>
                <w:rFonts w:ascii="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655" w:type="dxa"/>
            <w:tcBorders>
              <w:top w:val="nil"/>
              <w:bottom w:val="single" w:sz="4" w:space="0" w:color="auto"/>
            </w:tcBorders>
            <w:shd w:val="clear" w:color="auto" w:fill="FFFFFF" w:themeFill="background1"/>
            <w:vAlign w:val="center"/>
          </w:tcPr>
          <w:p w14:paraId="2217C36A" w14:textId="646F2D51" w:rsidR="007B082B" w:rsidRPr="00835753" w:rsidRDefault="007B082B" w:rsidP="00D96A21">
            <w:pPr>
              <w:spacing w:after="120"/>
              <w:jc w:val="both"/>
              <w:rPr>
                <w:rFonts w:ascii="Times New Roman" w:eastAsia="Times New Roman" w:hAnsi="Times New Roman" w:cs="Times New Roman"/>
                <w:sz w:val="24"/>
              </w:rPr>
            </w:pPr>
            <w:r w:rsidRPr="00835753">
              <w:rPr>
                <w:rFonts w:ascii="Times New Roman" w:hAnsi="Times New Roman"/>
                <w:sz w:val="24"/>
              </w:rPr>
              <w:t>Instytucje wyjaśniają</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eślają ilościowo źródła wszelkich istotnych różnic między kwotami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a) i b) we wzorze EU LI1 niezależnie od tego, czy różnice te wynikają</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odm</w:t>
            </w:r>
            <w:r w:rsidRPr="00835753">
              <w:rPr>
                <w:rFonts w:ascii="Times New Roman" w:hAnsi="Times New Roman"/>
                <w:sz w:val="24"/>
              </w:rPr>
              <w:t>iennych zasad dotyczących konsolidacji czy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zas</w:t>
            </w:r>
            <w:r w:rsidRPr="00835753">
              <w:rPr>
                <w:rFonts w:ascii="Times New Roman" w:hAnsi="Times New Roman"/>
                <w:sz w:val="24"/>
              </w:rPr>
              <w:t>tosowania standardów rachunkowości różnych dla konsolidacji rachunkowości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kon</w:t>
            </w:r>
            <w:r w:rsidRPr="00835753">
              <w:rPr>
                <w:rFonts w:ascii="Times New Roman" w:hAnsi="Times New Roman"/>
                <w:sz w:val="24"/>
              </w:rPr>
              <w:t>solidacji regulacyjnej.</w:t>
            </w:r>
          </w:p>
        </w:tc>
      </w:tr>
      <w:tr w:rsidR="007B082B" w:rsidRPr="00835753"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835753" w:rsidRDefault="007B082B" w:rsidP="00803BB4">
            <w:pPr>
              <w:spacing w:before="60" w:after="120"/>
              <w:jc w:val="center"/>
              <w:rPr>
                <w:rFonts w:ascii="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655" w:type="dxa"/>
            <w:tcBorders>
              <w:top w:val="single" w:sz="4" w:space="0" w:color="auto"/>
              <w:bottom w:val="single" w:sz="4" w:space="0" w:color="auto"/>
            </w:tcBorders>
            <w:shd w:val="clear" w:color="auto" w:fill="FFFFFF" w:themeFill="background1"/>
            <w:vAlign w:val="center"/>
          </w:tcPr>
          <w:p w14:paraId="1FDDFD4B" w14:textId="5C3750BA" w:rsidR="007B082B" w:rsidRPr="00835753" w:rsidRDefault="007B082B" w:rsidP="00D96A21">
            <w:pPr>
              <w:spacing w:after="120"/>
              <w:jc w:val="both"/>
              <w:rPr>
                <w:rFonts w:ascii="Times New Roman" w:eastAsia="Times New Roman" w:hAnsi="Times New Roman" w:cs="Times New Roman"/>
                <w:sz w:val="24"/>
              </w:rPr>
            </w:pPr>
            <w:r w:rsidRPr="00835753">
              <w:rPr>
                <w:rFonts w:ascii="Times New Roman" w:hAnsi="Times New Roman"/>
                <w:sz w:val="24"/>
              </w:rPr>
              <w:t>Instytucje wyjaśniają źródła różnic między wartościami bilansowymi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resem konsolidacji ostrożnościowej</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kwo</w:t>
            </w:r>
            <w:r w:rsidRPr="00835753">
              <w:rPr>
                <w:rFonts w:ascii="Times New Roman" w:hAnsi="Times New Roman"/>
                <w:sz w:val="24"/>
              </w:rPr>
              <w:t>tami ujmowanymi do celów regulacyjnych wykazanymi we wzorze EU LI2.</w:t>
            </w:r>
          </w:p>
        </w:tc>
      </w:tr>
    </w:tbl>
    <w:p w14:paraId="2D69ED0E" w14:textId="77777777" w:rsidR="007B082B" w:rsidRPr="00835753" w:rsidRDefault="007B082B" w:rsidP="007B082B">
      <w:pPr>
        <w:ind w:left="360"/>
        <w:jc w:val="both"/>
        <w:rPr>
          <w:rFonts w:ascii="Times New Roman" w:hAnsi="Times New Roman" w:cs="Times New Roman"/>
          <w:sz w:val="24"/>
        </w:rPr>
      </w:pPr>
      <w:r w:rsidRPr="00835753">
        <w:rPr>
          <w:rFonts w:ascii="Times New Roman" w:hAnsi="Times New Roman"/>
          <w:sz w:val="24"/>
        </w:rPr>
        <w:t xml:space="preserve"> </w:t>
      </w:r>
    </w:p>
    <w:p w14:paraId="53B7FC1D" w14:textId="19283665" w:rsidR="007B082B" w:rsidRPr="00835753" w:rsidRDefault="007B082B" w:rsidP="007B082B">
      <w:pPr>
        <w:spacing w:after="120"/>
        <w:rPr>
          <w:rFonts w:ascii="Times New Roman" w:hAnsi="Times New Roman" w:cs="Times New Roman"/>
          <w:sz w:val="24"/>
        </w:rPr>
      </w:pPr>
      <w:r w:rsidRPr="00835753">
        <w:rPr>
          <w:rFonts w:ascii="Times New Roman" w:hAnsi="Times New Roman"/>
          <w:b/>
          <w:sz w:val="24"/>
        </w:rPr>
        <w:t>Tabela EU LIB – Inne informacje jakościowe na temat zakresu stosowania.</w:t>
      </w:r>
      <w:r w:rsidRPr="00835753">
        <w:rPr>
          <w:rFonts w:ascii="Times New Roman" w:hAnsi="Times New Roman"/>
          <w:sz w:val="24"/>
        </w:rPr>
        <w:t xml:space="preserve"> Pola na tekst</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for</w:t>
      </w:r>
      <w:r w:rsidRPr="00835753">
        <w:rPr>
          <w:rFonts w:ascii="Times New Roman" w:hAnsi="Times New Roman"/>
          <w:sz w:val="24"/>
        </w:rPr>
        <w:t>macie dowolnym do celów ujawniania informacji jakościowych</w:t>
      </w:r>
    </w:p>
    <w:p w14:paraId="544FD00E" w14:textId="3B39B249" w:rsidR="007B082B" w:rsidRPr="00835753" w:rsidRDefault="007B082B" w:rsidP="00E70D84">
      <w:pPr>
        <w:pStyle w:val="ListParagraph"/>
        <w:numPr>
          <w:ilvl w:val="0"/>
          <w:numId w:val="18"/>
        </w:numPr>
        <w:spacing w:before="120" w:after="120"/>
        <w:ind w:left="425" w:hanging="357"/>
        <w:jc w:val="both"/>
        <w:rPr>
          <w:rFonts w:ascii="Times New Roman" w:hAnsi="Times New Roman"/>
          <w:sz w:val="24"/>
        </w:rPr>
      </w:pPr>
      <w:r w:rsidRPr="00835753">
        <w:rPr>
          <w:rFonts w:ascii="Times New Roman" w:hAnsi="Times New Roman"/>
          <w:sz w:val="24"/>
        </w:rPr>
        <w:t>W celu wypełnienia tabeli EU LIB zamieszczonej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V do niniejszego rozporządzenia wykonawczego, instytucje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436 lit.</w:t>
      </w:r>
      <w:r w:rsidR="00835753" w:rsidRPr="00835753">
        <w:rPr>
          <w:rFonts w:ascii="Times New Roman" w:hAnsi="Times New Roman"/>
          <w:sz w:val="24"/>
        </w:rPr>
        <w:t> </w:t>
      </w:r>
      <w:r w:rsidRPr="00835753">
        <w:rPr>
          <w:rFonts w:ascii="Times New Roman" w:hAnsi="Times New Roman"/>
          <w:sz w:val="24"/>
        </w:rPr>
        <w:t>f), g) i h)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35753"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64E3F8E3" w:rsidR="007B082B" w:rsidRPr="00835753" w:rsidRDefault="007B082B" w:rsidP="00803BB4">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7B082B" w:rsidRPr="00835753" w14:paraId="7E8361CC" w14:textId="77777777" w:rsidTr="00803BB4">
        <w:trPr>
          <w:trHeight w:val="238"/>
        </w:trPr>
        <w:tc>
          <w:tcPr>
            <w:tcW w:w="1384" w:type="dxa"/>
            <w:shd w:val="clear" w:color="auto" w:fill="D9D9D9" w:themeFill="background1" w:themeFillShade="D9"/>
          </w:tcPr>
          <w:p w14:paraId="3BF0E354" w14:textId="77777777" w:rsidR="007B082B" w:rsidRPr="00835753" w:rsidRDefault="007B082B" w:rsidP="00803BB4">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234DE628" w14:textId="77777777" w:rsidR="007B082B" w:rsidRPr="00835753" w:rsidRDefault="007B082B" w:rsidP="00803BB4">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7B082B" w:rsidRPr="00835753" w14:paraId="01D936F6" w14:textId="77777777" w:rsidTr="00803BB4">
        <w:trPr>
          <w:trHeight w:val="238"/>
        </w:trPr>
        <w:tc>
          <w:tcPr>
            <w:tcW w:w="1384" w:type="dxa"/>
            <w:shd w:val="clear" w:color="auto" w:fill="auto"/>
          </w:tcPr>
          <w:p w14:paraId="114BC413" w14:textId="77777777" w:rsidR="007B082B" w:rsidRPr="00835753" w:rsidRDefault="007B082B" w:rsidP="00803BB4">
            <w:pPr>
              <w:autoSpaceDE w:val="0"/>
              <w:autoSpaceDN w:val="0"/>
              <w:adjustRightInd w:val="0"/>
              <w:jc w:val="center"/>
              <w:rPr>
                <w:rFonts w:ascii="Times New Roman" w:hAnsi="Times New Roman" w:cs="Times New Roman"/>
                <w:b/>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655" w:type="dxa"/>
            <w:shd w:val="clear" w:color="auto" w:fill="auto"/>
          </w:tcPr>
          <w:p w14:paraId="22ADD536" w14:textId="4A5720E6" w:rsidR="007B082B" w:rsidRPr="00835753" w:rsidRDefault="007B082B" w:rsidP="00803BB4">
            <w:pPr>
              <w:autoSpaceDE w:val="0"/>
              <w:autoSpaceDN w:val="0"/>
              <w:adjustRightInd w:val="0"/>
              <w:spacing w:before="60" w:after="60"/>
              <w:jc w:val="both"/>
              <w:rPr>
                <w:rFonts w:ascii="Times New Roman" w:hAnsi="Times New Roman" w:cs="Times New Roman"/>
                <w:b/>
                <w:sz w:val="24"/>
              </w:rPr>
            </w:pPr>
            <w:r w:rsidRPr="00835753">
              <w:rPr>
                <w:rFonts w:ascii="Times New Roman" w:hAnsi="Times New Roman"/>
                <w:sz w:val="24"/>
              </w:rPr>
              <w:t>Instytucje ujawniają wszelkie istniejące obecnie lub przewidywane istotne przeszkody praktyczne lub prawne dla szybkiego transferu funduszy własnych lub spłaty zobowiązań przez jednostkę dominującą</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jej</w:t>
            </w:r>
            <w:r w:rsidRPr="00835753">
              <w:rPr>
                <w:rFonts w:ascii="Times New Roman" w:hAnsi="Times New Roman"/>
                <w:sz w:val="24"/>
              </w:rPr>
              <w:t xml:space="preserve"> jednostki zależne.</w:t>
            </w:r>
          </w:p>
        </w:tc>
      </w:tr>
      <w:tr w:rsidR="007B082B" w:rsidRPr="00835753" w14:paraId="5FDF5C76" w14:textId="77777777" w:rsidTr="00803BB4">
        <w:trPr>
          <w:trHeight w:val="238"/>
        </w:trPr>
        <w:tc>
          <w:tcPr>
            <w:tcW w:w="1384" w:type="dxa"/>
            <w:shd w:val="clear" w:color="auto" w:fill="auto"/>
          </w:tcPr>
          <w:p w14:paraId="051E33A4" w14:textId="77777777" w:rsidR="007B082B" w:rsidRPr="00835753" w:rsidRDefault="007B082B" w:rsidP="00803BB4">
            <w:pPr>
              <w:autoSpaceDE w:val="0"/>
              <w:autoSpaceDN w:val="0"/>
              <w:adjustRightInd w:val="0"/>
              <w:jc w:val="center"/>
              <w:rPr>
                <w:rFonts w:ascii="Times New Roman" w:hAnsi="Times New Roman" w:cs="Times New Roman"/>
                <w:b/>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655" w:type="dxa"/>
            <w:shd w:val="clear" w:color="auto" w:fill="auto"/>
          </w:tcPr>
          <w:p w14:paraId="72AFDDDD" w14:textId="77777777" w:rsidR="007B082B" w:rsidRPr="00835753" w:rsidRDefault="007B082B" w:rsidP="00803BB4">
            <w:pPr>
              <w:autoSpaceDE w:val="0"/>
              <w:autoSpaceDN w:val="0"/>
              <w:adjustRightInd w:val="0"/>
              <w:spacing w:before="60" w:after="60"/>
              <w:jc w:val="both"/>
              <w:rPr>
                <w:rFonts w:ascii="Times New Roman" w:hAnsi="Times New Roman" w:cs="Times New Roman"/>
                <w:b/>
                <w:sz w:val="24"/>
              </w:rPr>
            </w:pPr>
            <w:r w:rsidRPr="00835753">
              <w:rPr>
                <w:rFonts w:ascii="Times New Roman" w:hAnsi="Times New Roman"/>
                <w:sz w:val="24"/>
              </w:rPr>
              <w:t>W stosownych przypadkach instytucje ujawniają nazwę lub nazwy jednostek zależnych nieobjętych konsolidacją.</w:t>
            </w:r>
          </w:p>
        </w:tc>
      </w:tr>
      <w:tr w:rsidR="007B082B" w:rsidRPr="00835753" w14:paraId="6461BD48" w14:textId="77777777" w:rsidTr="00803BB4">
        <w:trPr>
          <w:trHeight w:val="238"/>
        </w:trPr>
        <w:tc>
          <w:tcPr>
            <w:tcW w:w="1384" w:type="dxa"/>
            <w:shd w:val="clear" w:color="auto" w:fill="auto"/>
          </w:tcPr>
          <w:p w14:paraId="16EB0F3C" w14:textId="77777777" w:rsidR="007B082B" w:rsidRPr="00835753" w:rsidRDefault="007B082B" w:rsidP="00803BB4">
            <w:pPr>
              <w:autoSpaceDE w:val="0"/>
              <w:autoSpaceDN w:val="0"/>
              <w:adjustRightInd w:val="0"/>
              <w:jc w:val="center"/>
              <w:rPr>
                <w:rFonts w:ascii="Times New Roman" w:hAnsi="Times New Roman" w:cs="Times New Roman"/>
                <w:b/>
                <w:sz w:val="24"/>
              </w:rPr>
            </w:pPr>
            <w:proofErr w:type="gramStart"/>
            <w:r w:rsidRPr="00835753">
              <w:rPr>
                <w:rFonts w:ascii="Times New Roman" w:hAnsi="Times New Roman"/>
                <w:sz w:val="24"/>
              </w:rPr>
              <w:t>c</w:t>
            </w:r>
            <w:proofErr w:type="gramEnd"/>
            <w:r w:rsidRPr="00835753">
              <w:rPr>
                <w:rFonts w:ascii="Times New Roman" w:hAnsi="Times New Roman"/>
                <w:sz w:val="24"/>
              </w:rPr>
              <w:t>)</w:t>
            </w:r>
          </w:p>
        </w:tc>
        <w:tc>
          <w:tcPr>
            <w:tcW w:w="7655" w:type="dxa"/>
            <w:shd w:val="clear" w:color="auto" w:fill="auto"/>
          </w:tcPr>
          <w:p w14:paraId="52B427A5" w14:textId="72978A46" w:rsidR="007B082B" w:rsidRPr="00835753" w:rsidRDefault="007B082B" w:rsidP="00803BB4">
            <w:pPr>
              <w:autoSpaceDE w:val="0"/>
              <w:autoSpaceDN w:val="0"/>
              <w:adjustRightInd w:val="0"/>
              <w:spacing w:before="60" w:after="60"/>
              <w:jc w:val="both"/>
              <w:rPr>
                <w:rFonts w:ascii="Times New Roman" w:hAnsi="Times New Roman" w:cs="Times New Roman"/>
                <w:b/>
                <w:sz w:val="24"/>
              </w:rPr>
            </w:pPr>
            <w:r w:rsidRPr="00835753">
              <w:rPr>
                <w:rFonts w:ascii="Times New Roman" w:hAnsi="Times New Roman"/>
                <w:sz w:val="24"/>
              </w:rPr>
              <w:t>W stosownych przypadkach instytucje ujawniają okoliczności stosowania odstępstwa,</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rym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7 CRR, lub stosowania metody konsolidacji indywidualnej określonej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 CRR.</w:t>
            </w:r>
          </w:p>
        </w:tc>
      </w:tr>
      <w:tr w:rsidR="007B082B" w:rsidRPr="00835753"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835753" w:rsidRDefault="007B082B" w:rsidP="00803BB4">
            <w:pPr>
              <w:autoSpaceDE w:val="0"/>
              <w:autoSpaceDN w:val="0"/>
              <w:adjustRightInd w:val="0"/>
              <w:jc w:val="center"/>
              <w:rPr>
                <w:rFonts w:ascii="Times New Roman" w:hAnsi="Times New Roman" w:cs="Times New Roman"/>
                <w:b/>
                <w:sz w:val="24"/>
              </w:rPr>
            </w:pPr>
            <w:proofErr w:type="gramStart"/>
            <w:r w:rsidRPr="00835753">
              <w:rPr>
                <w:rFonts w:ascii="Times New Roman" w:hAnsi="Times New Roman"/>
                <w:sz w:val="24"/>
              </w:rPr>
              <w:t>d</w:t>
            </w:r>
            <w:proofErr w:type="gramEnd"/>
            <w:r w:rsidRPr="00835753">
              <w:rPr>
                <w:rFonts w:ascii="Times New Roman" w:hAnsi="Times New Roman"/>
                <w:sz w:val="24"/>
              </w:rPr>
              <w:t>)</w:t>
            </w:r>
          </w:p>
        </w:tc>
        <w:tc>
          <w:tcPr>
            <w:tcW w:w="7655" w:type="dxa"/>
            <w:tcBorders>
              <w:bottom w:val="single" w:sz="4" w:space="0" w:color="auto"/>
            </w:tcBorders>
            <w:shd w:val="clear" w:color="auto" w:fill="auto"/>
          </w:tcPr>
          <w:p w14:paraId="7224BA17" w14:textId="63692194" w:rsidR="007B082B" w:rsidRPr="00835753" w:rsidRDefault="007B082B" w:rsidP="00803BB4">
            <w:pPr>
              <w:autoSpaceDE w:val="0"/>
              <w:autoSpaceDN w:val="0"/>
              <w:adjustRightInd w:val="0"/>
              <w:spacing w:before="60" w:after="60"/>
              <w:jc w:val="both"/>
              <w:rPr>
                <w:rFonts w:ascii="Times New Roman" w:hAnsi="Times New Roman" w:cs="Times New Roman"/>
                <w:b/>
                <w:sz w:val="24"/>
              </w:rPr>
            </w:pPr>
            <w:r w:rsidRPr="00835753">
              <w:rPr>
                <w:rFonts w:ascii="Times New Roman" w:hAnsi="Times New Roman"/>
                <w:sz w:val="24"/>
              </w:rPr>
              <w:t>W stosownych przypadkach instytucje ujawniają kwotę łączną,</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rą rzeczywiste fundusze własne są mniejsze od wymaganego minimum we wszystkich jednostkach zależnych nieobjętych konsolidacją, oraz nazwę lub nazwy takich jednostek zależnych.</w:t>
            </w:r>
          </w:p>
        </w:tc>
      </w:tr>
    </w:tbl>
    <w:p w14:paraId="6052B499" w14:textId="77777777" w:rsidR="007B082B" w:rsidRPr="00835753" w:rsidRDefault="007B082B" w:rsidP="007B082B">
      <w:pPr>
        <w:rPr>
          <w:rFonts w:ascii="Times New Roman" w:hAnsi="Times New Roman" w:cs="Times New Roman"/>
          <w:sz w:val="24"/>
        </w:rPr>
      </w:pPr>
    </w:p>
    <w:p w14:paraId="5FE73A08" w14:textId="42E7E061" w:rsidR="007B082B" w:rsidRPr="00835753" w:rsidRDefault="00CD362D" w:rsidP="007B082B">
      <w:pPr>
        <w:spacing w:after="120"/>
        <w:jc w:val="both"/>
        <w:rPr>
          <w:rFonts w:ascii="Times New Roman" w:hAnsi="Times New Roman" w:cs="Times New Roman"/>
          <w:sz w:val="24"/>
        </w:rPr>
      </w:pPr>
      <w:r w:rsidRPr="00835753">
        <w:rPr>
          <w:rFonts w:ascii="Times New Roman" w:hAnsi="Times New Roman"/>
          <w:b/>
          <w:sz w:val="24"/>
        </w:rPr>
        <w:t>Wzór EU PV1 – Korekty</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tyt</w:t>
      </w:r>
      <w:r w:rsidRPr="00835753">
        <w:rPr>
          <w:rFonts w:ascii="Times New Roman" w:hAnsi="Times New Roman"/>
          <w:b/>
          <w:sz w:val="24"/>
        </w:rPr>
        <w:t xml:space="preserve">ułu ostrożnej wyceny (PVA). </w:t>
      </w:r>
      <w:r w:rsidRPr="00835753">
        <w:rPr>
          <w:rFonts w:ascii="Times New Roman" w:hAnsi="Times New Roman"/>
          <w:sz w:val="24"/>
        </w:rPr>
        <w:t>Format stały</w:t>
      </w:r>
    </w:p>
    <w:p w14:paraId="44AA26B0" w14:textId="62B3794D" w:rsidR="007B082B" w:rsidRPr="00835753" w:rsidRDefault="007B082B" w:rsidP="00E70D84">
      <w:pPr>
        <w:pStyle w:val="ListParagraph"/>
        <w:numPr>
          <w:ilvl w:val="0"/>
          <w:numId w:val="18"/>
        </w:numPr>
        <w:spacing w:before="60" w:after="120"/>
        <w:jc w:val="both"/>
        <w:rPr>
          <w:rFonts w:ascii="Times New Roman" w:hAnsi="Times New Roman"/>
          <w:sz w:val="24"/>
        </w:rPr>
      </w:pPr>
      <w:r w:rsidRPr="00835753">
        <w:rPr>
          <w:rFonts w:ascii="Times New Roman" w:hAnsi="Times New Roman"/>
          <w:sz w:val="24"/>
        </w:rPr>
        <w:t>W celu wypełnienia wzoru EU PV1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V do niniejszego rozporządzenia wykonawczego instytucje, stosując podstawową metodę wyznaczania dodatkowej korekty wartości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 xml:space="preserve">działem III </w:t>
      </w:r>
      <w:r w:rsidRPr="00835753">
        <w:rPr>
          <w:rFonts w:ascii="Times New Roman" w:hAnsi="Times New Roman"/>
          <w:bCs/>
          <w:sz w:val="24"/>
        </w:rPr>
        <w:t xml:space="preserve">rozporządzenia </w:t>
      </w:r>
      <w:r w:rsidRPr="00835753">
        <w:rPr>
          <w:rFonts w:ascii="Times New Roman" w:hAnsi="Times New Roman"/>
          <w:bCs/>
          <w:sz w:val="24"/>
        </w:rPr>
        <w:lastRenderedPageBreak/>
        <w:t>delegowanego Komisji (UE) 2016/101</w:t>
      </w:r>
      <w:r w:rsidRPr="00835753">
        <w:rPr>
          <w:rStyle w:val="FootnoteReference"/>
          <w:rFonts w:ascii="Times New Roman" w:hAnsi="Times New Roman"/>
          <w:bCs/>
          <w:sz w:val="24"/>
          <w:szCs w:val="24"/>
        </w:rPr>
        <w:footnoteReference w:id="13"/>
      </w:r>
      <w:r w:rsidRPr="00835753">
        <w:rPr>
          <w:rFonts w:ascii="Times New Roman" w:hAnsi="Times New Roman"/>
          <w:bCs/>
          <w:sz w:val="24"/>
        </w:rPr>
        <w:t xml:space="preserve">, </w:t>
      </w:r>
      <w:r w:rsidRPr="00835753">
        <w:rPr>
          <w:rFonts w:ascii="Times New Roman" w:hAnsi="Times New Roman"/>
          <w:sz w:val="24"/>
        </w:rPr>
        <w:t>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436 lit.</w:t>
      </w:r>
      <w:r w:rsidR="00835753" w:rsidRPr="00835753">
        <w:rPr>
          <w:rFonts w:ascii="Times New Roman" w:hAnsi="Times New Roman"/>
          <w:bCs/>
          <w:sz w:val="24"/>
        </w:rPr>
        <w:t> </w:t>
      </w:r>
      <w:r w:rsidRPr="00835753">
        <w:rPr>
          <w:rFonts w:ascii="Times New Roman" w:hAnsi="Times New Roman"/>
          <w:bCs/>
          <w:sz w:val="24"/>
        </w:rPr>
        <w:t xml:space="preserve">e) </w:t>
      </w:r>
      <w:r w:rsidRPr="00835753">
        <w:rPr>
          <w:rFonts w:ascii="Times New Roman" w:hAnsi="Times New Roman"/>
          <w:sz w:val="24"/>
        </w:rPr>
        <w:t>CRR</w:t>
      </w:r>
      <w:r w:rsidRPr="00835753">
        <w:rPr>
          <w:rFonts w:ascii="Times New Roman" w:hAnsi="Times New Roman"/>
          <w:bCs/>
          <w:sz w:val="24"/>
        </w:rPr>
        <w:t>,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r w:rsidRPr="00835753">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35753"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3F16DB50" w:rsidR="007B082B" w:rsidRPr="00835753" w:rsidRDefault="007B082B" w:rsidP="00803BB4">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7B082B" w:rsidRPr="00835753" w14:paraId="3C9863E9" w14:textId="77777777" w:rsidTr="00803BB4">
        <w:trPr>
          <w:trHeight w:val="238"/>
        </w:trPr>
        <w:tc>
          <w:tcPr>
            <w:tcW w:w="1384" w:type="dxa"/>
            <w:shd w:val="clear" w:color="auto" w:fill="D9D9D9" w:themeFill="background1" w:themeFillShade="D9"/>
          </w:tcPr>
          <w:p w14:paraId="3E8B42D3" w14:textId="77777777" w:rsidR="007B082B" w:rsidRPr="00835753" w:rsidRDefault="007B082B" w:rsidP="00803BB4">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7F8F6EBE" w14:textId="77777777" w:rsidR="007B082B" w:rsidRPr="00835753" w:rsidRDefault="007B082B" w:rsidP="00803BB4">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7B082B" w:rsidRPr="00835753"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835753" w:rsidRDefault="007B082B" w:rsidP="00803BB4">
            <w:pPr>
              <w:autoSpaceDE w:val="0"/>
              <w:autoSpaceDN w:val="0"/>
              <w:adjustRightInd w:val="0"/>
              <w:jc w:val="center"/>
              <w:rPr>
                <w:rFonts w:ascii="Times New Roman" w:hAnsi="Times New Roman" w:cs="Times New Roman"/>
                <w:sz w:val="24"/>
              </w:rPr>
            </w:pPr>
            <w:r w:rsidRPr="00835753">
              <w:rPr>
                <w:rFonts w:ascii="Times New Roman" w:hAnsi="Times New Roman"/>
                <w:sz w:val="24"/>
              </w:rPr>
              <w:t>Wiersze 1–10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835753" w:rsidRDefault="007B082B" w:rsidP="00803BB4">
            <w:pPr>
              <w:spacing w:beforeLines="60" w:before="144" w:afterLines="60" w:after="144"/>
              <w:rPr>
                <w:rStyle w:val="InstructionsTabelleberschrift"/>
                <w:rFonts w:ascii="Times New Roman" w:hAnsi="Times New Roman"/>
                <w:sz w:val="24"/>
              </w:rPr>
            </w:pPr>
            <w:r w:rsidRPr="00835753">
              <w:rPr>
                <w:rStyle w:val="InstructionsTabelleberschrift"/>
                <w:rFonts w:ascii="Times New Roman" w:hAnsi="Times New Roman"/>
                <w:sz w:val="24"/>
              </w:rPr>
              <w:t>AVA na poziomie kategorii</w:t>
            </w:r>
          </w:p>
          <w:p w14:paraId="0ED7691E" w14:textId="5DD54EA4" w:rsidR="007B082B" w:rsidRPr="00835753" w:rsidRDefault="007B082B" w:rsidP="00803BB4">
            <w:pPr>
              <w:spacing w:beforeLines="60" w:before="144" w:afterLines="60" w:after="144"/>
              <w:jc w:val="both"/>
              <w:rPr>
                <w:rFonts w:ascii="Times New Roman" w:hAnsi="Times New Roman" w:cs="Times New Roman"/>
                <w:sz w:val="24"/>
              </w:rPr>
            </w:pPr>
            <w:r w:rsidRPr="00835753">
              <w:rPr>
                <w:rFonts w:ascii="Times New Roman" w:hAnsi="Times New Roman"/>
                <w:sz w:val="24"/>
              </w:rPr>
              <w:t>AVA na poziomie kategorii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niepewności dotyczącej cen rynkowych, kosztów zamknięcia, ryzyka modelu, pozycji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duż</w:t>
            </w:r>
            <w:r w:rsidRPr="00835753">
              <w:rPr>
                <w:rFonts w:ascii="Times New Roman" w:hAnsi="Times New Roman"/>
                <w:sz w:val="24"/>
              </w:rPr>
              <w:t>ej koncentracji, przyszłych kosztów administracyjnych, przedterminowego rozwiązania umowy oraz ryzyka operacyjnego ustala się, odpowiednio,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9–11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4–17 rozporządzenia delegowanego Komisji (UE) 2016/101.</w:t>
            </w:r>
          </w:p>
          <w:p w14:paraId="78E86A54" w14:textId="1E6B9CD5" w:rsidR="007B082B" w:rsidRPr="00835753" w:rsidRDefault="007B082B" w:rsidP="00803BB4">
            <w:pPr>
              <w:spacing w:beforeLines="60" w:before="144" w:afterLines="60" w:after="144"/>
              <w:jc w:val="both"/>
              <w:rPr>
                <w:rFonts w:ascii="Times New Roman" w:hAnsi="Times New Roman" w:cs="Times New Roman"/>
                <w:sz w:val="24"/>
              </w:rPr>
            </w:pPr>
            <w:r w:rsidRPr="00835753">
              <w:rPr>
                <w:rFonts w:ascii="Times New Roman" w:hAnsi="Times New Roman"/>
                <w:sz w:val="24"/>
              </w:rPr>
              <w:t>W odniesieniu do kategorii: niepewność dotycząca cen rynkowych, koszty zamknięcia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ryz</w:t>
            </w:r>
            <w:r w:rsidRPr="00835753">
              <w:rPr>
                <w:rFonts w:ascii="Times New Roman" w:hAnsi="Times New Roman"/>
                <w:sz w:val="24"/>
              </w:rPr>
              <w:t>yko modelu, do których zastosowanie ma korzyść</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dyw</w:t>
            </w:r>
            <w:r w:rsidRPr="00835753">
              <w:rPr>
                <w:rFonts w:ascii="Times New Roman" w:hAnsi="Times New Roman"/>
                <w:sz w:val="24"/>
              </w:rPr>
              <w:t>ersyfikacji, jak określono, odpowiednio,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 ust.</w:t>
            </w:r>
            <w:r w:rsidR="00835753" w:rsidRPr="00835753">
              <w:rPr>
                <w:rFonts w:ascii="Times New Roman" w:hAnsi="Times New Roman"/>
                <w:sz w:val="24"/>
              </w:rPr>
              <w:t> </w:t>
            </w:r>
            <w:r w:rsidRPr="00835753">
              <w:rPr>
                <w:rFonts w:ascii="Times New Roman" w:hAnsi="Times New Roman"/>
                <w:sz w:val="24"/>
              </w:rPr>
              <w:t>6, art.</w:t>
            </w:r>
            <w:r w:rsidR="00835753" w:rsidRPr="00835753">
              <w:rPr>
                <w:rFonts w:ascii="Times New Roman" w:hAnsi="Times New Roman"/>
                <w:sz w:val="24"/>
              </w:rPr>
              <w:t> </w:t>
            </w:r>
            <w:r w:rsidRPr="00835753">
              <w:rPr>
                <w:rFonts w:ascii="Times New Roman" w:hAnsi="Times New Roman"/>
                <w:sz w:val="24"/>
              </w:rPr>
              <w:t>10 ust.</w:t>
            </w:r>
            <w:r w:rsidR="00835753" w:rsidRPr="00835753">
              <w:rPr>
                <w:rFonts w:ascii="Times New Roman" w:hAnsi="Times New Roman"/>
                <w:sz w:val="24"/>
              </w:rPr>
              <w:t> </w:t>
            </w:r>
            <w:r w:rsidRPr="00835753">
              <w:rPr>
                <w:rFonts w:ascii="Times New Roman" w:hAnsi="Times New Roman"/>
                <w:sz w:val="24"/>
              </w:rPr>
              <w:t>7</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11 ust.</w:t>
            </w:r>
            <w:r w:rsidR="00835753" w:rsidRPr="00835753">
              <w:rPr>
                <w:rFonts w:ascii="Times New Roman" w:hAnsi="Times New Roman"/>
                <w:sz w:val="24"/>
              </w:rPr>
              <w:t> </w:t>
            </w:r>
            <w:r w:rsidRPr="00835753">
              <w:rPr>
                <w:rFonts w:ascii="Times New Roman" w:hAnsi="Times New Roman"/>
                <w:sz w:val="24"/>
              </w:rPr>
              <w:t>7 rozporządzenia delegowanego (UE) 2016/101, AVA na poziomie kategorii ujawnia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od a) do EU-e2 niniejszego wzoru jako zwykłą sumę indywidualnych AVA przed uwzględnieniem korzyści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dyw</w:t>
            </w:r>
            <w:r w:rsidRPr="00835753">
              <w:rPr>
                <w:rFonts w:ascii="Times New Roman" w:hAnsi="Times New Roman"/>
                <w:sz w:val="24"/>
              </w:rPr>
              <w:t>ersyfikacji. Korzyści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dyw</w:t>
            </w:r>
            <w:r w:rsidRPr="00835753">
              <w:rPr>
                <w:rFonts w:ascii="Times New Roman" w:hAnsi="Times New Roman"/>
                <w:sz w:val="24"/>
              </w:rPr>
              <w:t>ersyfikacji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 ust.</w:t>
            </w:r>
            <w:r w:rsidR="00835753" w:rsidRPr="00835753">
              <w:rPr>
                <w:rFonts w:ascii="Times New Roman" w:hAnsi="Times New Roman"/>
                <w:sz w:val="24"/>
              </w:rPr>
              <w:t> </w:t>
            </w:r>
            <w:r w:rsidRPr="00835753">
              <w:rPr>
                <w:rFonts w:ascii="Times New Roman" w:hAnsi="Times New Roman"/>
                <w:sz w:val="24"/>
              </w:rPr>
              <w:t>6, art.</w:t>
            </w:r>
            <w:r w:rsidR="00835753" w:rsidRPr="00835753">
              <w:rPr>
                <w:rFonts w:ascii="Times New Roman" w:hAnsi="Times New Roman"/>
                <w:sz w:val="24"/>
              </w:rPr>
              <w:t> </w:t>
            </w:r>
            <w:r w:rsidRPr="00835753">
              <w:rPr>
                <w:rFonts w:ascii="Times New Roman" w:hAnsi="Times New Roman"/>
                <w:sz w:val="24"/>
              </w:rPr>
              <w:t>10 ust.</w:t>
            </w:r>
            <w:r w:rsidR="00835753" w:rsidRPr="00835753">
              <w:rPr>
                <w:rFonts w:ascii="Times New Roman" w:hAnsi="Times New Roman"/>
                <w:sz w:val="24"/>
              </w:rPr>
              <w:t> </w:t>
            </w:r>
            <w:r w:rsidRPr="00835753">
              <w:rPr>
                <w:rFonts w:ascii="Times New Roman" w:hAnsi="Times New Roman"/>
                <w:sz w:val="24"/>
              </w:rPr>
              <w:t>7</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11 ust.</w:t>
            </w:r>
            <w:r w:rsidR="00835753" w:rsidRPr="00835753">
              <w:rPr>
                <w:rFonts w:ascii="Times New Roman" w:hAnsi="Times New Roman"/>
                <w:sz w:val="24"/>
              </w:rPr>
              <w:t> </w:t>
            </w:r>
            <w:r w:rsidRPr="00835753">
              <w:rPr>
                <w:rFonts w:ascii="Times New Roman" w:hAnsi="Times New Roman"/>
                <w:sz w:val="24"/>
              </w:rPr>
              <w:t>7 rozporządzenia delegowanego Komisji (UE) 2016/101 uwzględnia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f) niniejszego wzoru.</w:t>
            </w:r>
          </w:p>
        </w:tc>
      </w:tr>
      <w:tr w:rsidR="007B082B" w:rsidRPr="00835753"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835753" w:rsidRDefault="007B082B" w:rsidP="00803BB4">
            <w:pPr>
              <w:autoSpaceDE w:val="0"/>
              <w:autoSpaceDN w:val="0"/>
              <w:adjustRightInd w:val="0"/>
              <w:jc w:val="both"/>
              <w:rPr>
                <w:rFonts w:ascii="Times New Roman" w:hAnsi="Times New Roman" w:cs="Times New Roman"/>
                <w:sz w:val="24"/>
              </w:rPr>
            </w:pPr>
            <w:r w:rsidRPr="00835753">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835753" w:rsidRDefault="007B082B" w:rsidP="00803BB4">
            <w:pPr>
              <w:spacing w:beforeLines="60" w:before="144" w:afterLines="60" w:after="144"/>
              <w:jc w:val="both"/>
              <w:rPr>
                <w:rStyle w:val="InstructionsTabelleberschrift"/>
                <w:rFonts w:ascii="Times New Roman" w:hAnsi="Times New Roman"/>
                <w:sz w:val="24"/>
              </w:rPr>
            </w:pPr>
            <w:r w:rsidRPr="00835753">
              <w:rPr>
                <w:rStyle w:val="InstructionsTabelleberschrift"/>
                <w:rFonts w:ascii="Times New Roman" w:hAnsi="Times New Roman"/>
                <w:sz w:val="24"/>
              </w:rPr>
              <w:t>Niepewność dotycząca cen rynkowych</w:t>
            </w:r>
          </w:p>
          <w:p w14:paraId="68668651" w14:textId="77777777" w:rsidR="007B082B" w:rsidRPr="00835753" w:rsidRDefault="007B082B" w:rsidP="00803BB4">
            <w:pPr>
              <w:spacing w:beforeLines="60" w:before="144" w:afterLines="60" w:after="144"/>
              <w:jc w:val="both"/>
              <w:rPr>
                <w:rFonts w:ascii="Times New Roman" w:hAnsi="Times New Roman" w:cs="Times New Roman"/>
                <w:sz w:val="24"/>
              </w:rPr>
            </w:pPr>
            <w:r w:rsidRPr="00835753">
              <w:rPr>
                <w:rFonts w:ascii="Times New Roman" w:hAnsi="Times New Roman"/>
                <w:sz w:val="24"/>
              </w:rPr>
              <w:t>Art. 105 ust. 10 CRR</w:t>
            </w:r>
          </w:p>
          <w:p w14:paraId="403BC87D" w14:textId="21DF3FD4" w:rsidR="007B082B" w:rsidRPr="00835753" w:rsidRDefault="007B082B" w:rsidP="00803BB4">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AVA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niepewności dotyczącej cen rynkowych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 rozporządzenia delegowanego Komisji (UE) 2016/101.</w:t>
            </w:r>
          </w:p>
        </w:tc>
      </w:tr>
      <w:tr w:rsidR="007B082B" w:rsidRPr="00835753"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835753" w:rsidRDefault="007B082B" w:rsidP="00803BB4">
            <w:pPr>
              <w:autoSpaceDE w:val="0"/>
              <w:autoSpaceDN w:val="0"/>
              <w:adjustRightInd w:val="0"/>
              <w:jc w:val="both"/>
              <w:rPr>
                <w:rFonts w:ascii="Times New Roman" w:hAnsi="Times New Roman" w:cs="Times New Roman"/>
                <w:sz w:val="24"/>
              </w:rPr>
            </w:pPr>
            <w:r w:rsidRPr="00835753">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835753" w:rsidRDefault="007B082B" w:rsidP="00803BB4">
            <w:pPr>
              <w:autoSpaceDE w:val="0"/>
              <w:autoSpaceDN w:val="0"/>
              <w:adjustRightInd w:val="0"/>
              <w:spacing w:before="60" w:after="120"/>
              <w:jc w:val="both"/>
              <w:rPr>
                <w:rFonts w:ascii="Times New Roman" w:hAnsi="Times New Roman" w:cs="Times New Roman"/>
                <w:b/>
                <w:sz w:val="24"/>
              </w:rPr>
            </w:pPr>
            <w:r w:rsidRPr="00835753">
              <w:rPr>
                <w:rStyle w:val="InstructionsTabelleberschrift"/>
                <w:rFonts w:ascii="Times New Roman" w:hAnsi="Times New Roman"/>
                <w:sz w:val="24"/>
              </w:rPr>
              <w:t>Nie dotyczy</w:t>
            </w:r>
          </w:p>
        </w:tc>
      </w:tr>
      <w:tr w:rsidR="007B082B" w:rsidRPr="00835753"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835753" w:rsidRDefault="007B082B" w:rsidP="00803BB4">
            <w:pPr>
              <w:autoSpaceDE w:val="0"/>
              <w:autoSpaceDN w:val="0"/>
              <w:adjustRightInd w:val="0"/>
              <w:jc w:val="both"/>
              <w:rPr>
                <w:rFonts w:ascii="Times New Roman" w:hAnsi="Times New Roman" w:cs="Times New Roman"/>
                <w:sz w:val="24"/>
              </w:rPr>
            </w:pPr>
            <w:r w:rsidRPr="00835753">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835753" w:rsidRDefault="007B082B" w:rsidP="00803BB4">
            <w:pPr>
              <w:spacing w:beforeLines="60" w:before="144" w:afterLines="60" w:after="144"/>
              <w:jc w:val="both"/>
              <w:rPr>
                <w:rStyle w:val="InstructionsTabelleberschrift"/>
                <w:rFonts w:ascii="Times New Roman" w:hAnsi="Times New Roman"/>
                <w:sz w:val="24"/>
              </w:rPr>
            </w:pPr>
            <w:r w:rsidRPr="00835753">
              <w:rPr>
                <w:rStyle w:val="InstructionsTabelleberschrift"/>
                <w:rFonts w:ascii="Times New Roman" w:hAnsi="Times New Roman"/>
                <w:sz w:val="24"/>
              </w:rPr>
              <w:t>Koszty zamknięcia</w:t>
            </w:r>
          </w:p>
          <w:p w14:paraId="6F294666" w14:textId="77777777" w:rsidR="007B082B" w:rsidRPr="00835753" w:rsidRDefault="007B082B" w:rsidP="00803BB4">
            <w:pPr>
              <w:spacing w:beforeLines="60" w:before="144" w:afterLines="60" w:after="144"/>
              <w:jc w:val="both"/>
              <w:rPr>
                <w:rFonts w:ascii="Times New Roman" w:hAnsi="Times New Roman" w:cs="Times New Roman"/>
                <w:sz w:val="24"/>
              </w:rPr>
            </w:pPr>
            <w:r w:rsidRPr="00835753">
              <w:rPr>
                <w:rFonts w:ascii="Times New Roman" w:hAnsi="Times New Roman"/>
                <w:sz w:val="24"/>
              </w:rPr>
              <w:t>Art. 105 ust. 10 CRR</w:t>
            </w:r>
          </w:p>
          <w:p w14:paraId="1D7E9E15" w14:textId="5E393D61" w:rsidR="007B082B" w:rsidRPr="00835753" w:rsidRDefault="007B082B" w:rsidP="00803BB4">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AVA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kosztów zamknięcia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10 rozporządzenia delegowanego Komisji (UE) 2016/101.</w:t>
            </w:r>
          </w:p>
        </w:tc>
      </w:tr>
      <w:tr w:rsidR="007B082B" w:rsidRPr="00835753"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835753" w:rsidRDefault="007B082B" w:rsidP="00803BB4">
            <w:pPr>
              <w:autoSpaceDE w:val="0"/>
              <w:autoSpaceDN w:val="0"/>
              <w:adjustRightInd w:val="0"/>
              <w:jc w:val="both"/>
              <w:rPr>
                <w:rFonts w:ascii="Times New Roman" w:hAnsi="Times New Roman" w:cs="Times New Roman"/>
                <w:sz w:val="24"/>
              </w:rPr>
            </w:pPr>
            <w:r w:rsidRPr="00835753">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2A1512BD" w:rsidR="007B082B" w:rsidRPr="00835753" w:rsidRDefault="007B082B" w:rsidP="00803BB4">
            <w:pPr>
              <w:spacing w:beforeLines="60" w:before="144" w:afterLines="60" w:after="144"/>
              <w:jc w:val="both"/>
              <w:rPr>
                <w:rStyle w:val="InstructionsTabelleberschrift"/>
                <w:rFonts w:ascii="Times New Roman" w:hAnsi="Times New Roman"/>
                <w:sz w:val="24"/>
              </w:rPr>
            </w:pPr>
            <w:r w:rsidRPr="00835753">
              <w:rPr>
                <w:rStyle w:val="InstructionsTabelleberschrift"/>
                <w:rFonts w:ascii="Times New Roman" w:hAnsi="Times New Roman"/>
                <w:sz w:val="24"/>
              </w:rPr>
              <w:t>Pozycje</w:t>
            </w:r>
            <w:r w:rsidR="00835753" w:rsidRPr="00835753">
              <w:rPr>
                <w:rStyle w:val="InstructionsTabelleberschrift"/>
                <w:rFonts w:ascii="Times New Roman" w:hAnsi="Times New Roman"/>
                <w:sz w:val="24"/>
              </w:rPr>
              <w:t xml:space="preserve"> o</w:t>
            </w:r>
            <w:r w:rsidR="00835753">
              <w:rPr>
                <w:rStyle w:val="InstructionsTabelleberschrift"/>
                <w:rFonts w:ascii="Times New Roman" w:hAnsi="Times New Roman"/>
                <w:sz w:val="24"/>
              </w:rPr>
              <w:t> </w:t>
            </w:r>
            <w:r w:rsidR="00835753" w:rsidRPr="00835753">
              <w:rPr>
                <w:rStyle w:val="InstructionsTabelleberschrift"/>
                <w:rFonts w:ascii="Times New Roman" w:hAnsi="Times New Roman"/>
                <w:sz w:val="24"/>
              </w:rPr>
              <w:t>duż</w:t>
            </w:r>
            <w:r w:rsidRPr="00835753">
              <w:rPr>
                <w:rStyle w:val="InstructionsTabelleberschrift"/>
                <w:rFonts w:ascii="Times New Roman" w:hAnsi="Times New Roman"/>
                <w:sz w:val="24"/>
              </w:rPr>
              <w:t>ej koncentracji</w:t>
            </w:r>
          </w:p>
          <w:p w14:paraId="39F51DCD" w14:textId="77777777" w:rsidR="007B082B" w:rsidRPr="00835753" w:rsidRDefault="007B082B" w:rsidP="00803BB4">
            <w:pPr>
              <w:spacing w:beforeLines="60" w:before="144" w:afterLines="60" w:after="144"/>
              <w:jc w:val="both"/>
              <w:rPr>
                <w:rFonts w:ascii="Times New Roman" w:hAnsi="Times New Roman" w:cs="Times New Roman"/>
                <w:sz w:val="24"/>
              </w:rPr>
            </w:pPr>
            <w:r w:rsidRPr="00835753">
              <w:rPr>
                <w:rFonts w:ascii="Times New Roman" w:hAnsi="Times New Roman"/>
                <w:sz w:val="24"/>
              </w:rPr>
              <w:t>Art. 105 ust. 11 CRR</w:t>
            </w:r>
          </w:p>
          <w:p w14:paraId="0B851BEA" w14:textId="52507802" w:rsidR="007B082B" w:rsidRPr="00835753" w:rsidRDefault="007B082B" w:rsidP="00803BB4">
            <w:pPr>
              <w:pStyle w:val="Default"/>
              <w:spacing w:after="120"/>
              <w:jc w:val="both"/>
              <w:rPr>
                <w:rFonts w:ascii="Times New Roman" w:hAnsi="Times New Roman" w:cs="Times New Roman"/>
              </w:rPr>
            </w:pPr>
            <w:r w:rsidRPr="00835753">
              <w:rPr>
                <w:rFonts w:ascii="Times New Roman" w:hAnsi="Times New Roman"/>
              </w:rPr>
              <w:t>AVA</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tyt</w:t>
            </w:r>
            <w:r w:rsidRPr="00835753">
              <w:rPr>
                <w:rFonts w:ascii="Times New Roman" w:hAnsi="Times New Roman"/>
              </w:rPr>
              <w:t>ułu pozycji</w:t>
            </w:r>
            <w:r w:rsidR="00835753" w:rsidRPr="00835753">
              <w:rPr>
                <w:rFonts w:ascii="Times New Roman" w:hAnsi="Times New Roman"/>
              </w:rPr>
              <w:t xml:space="preserve"> o</w:t>
            </w:r>
            <w:r w:rsidR="00835753">
              <w:rPr>
                <w:rFonts w:ascii="Times New Roman" w:hAnsi="Times New Roman"/>
              </w:rPr>
              <w:t> </w:t>
            </w:r>
            <w:r w:rsidR="00835753" w:rsidRPr="00835753">
              <w:rPr>
                <w:rFonts w:ascii="Times New Roman" w:hAnsi="Times New Roman"/>
              </w:rPr>
              <w:t>duż</w:t>
            </w:r>
            <w:r w:rsidRPr="00835753">
              <w:rPr>
                <w:rFonts w:ascii="Times New Roman" w:hAnsi="Times New Roman"/>
              </w:rPr>
              <w:t>ej koncentracji obliczona zgodnie</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art</w:t>
            </w:r>
            <w:r w:rsidRPr="00835753">
              <w:rPr>
                <w:rFonts w:ascii="Times New Roman" w:hAnsi="Times New Roman"/>
              </w:rPr>
              <w:t>.</w:t>
            </w:r>
            <w:r w:rsidR="00835753" w:rsidRPr="00835753">
              <w:rPr>
                <w:rFonts w:ascii="Times New Roman" w:hAnsi="Times New Roman"/>
              </w:rPr>
              <w:t> </w:t>
            </w:r>
            <w:r w:rsidRPr="00835753">
              <w:rPr>
                <w:rFonts w:ascii="Times New Roman" w:hAnsi="Times New Roman"/>
              </w:rPr>
              <w:t>14 rozporządzenia delegowanego Komisji (UE) 2016/101.</w:t>
            </w:r>
          </w:p>
        </w:tc>
      </w:tr>
      <w:tr w:rsidR="007B082B" w:rsidRPr="00835753"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835753" w:rsidRDefault="007B082B" w:rsidP="00803BB4">
            <w:pPr>
              <w:autoSpaceDE w:val="0"/>
              <w:autoSpaceDN w:val="0"/>
              <w:adjustRightInd w:val="0"/>
              <w:jc w:val="both"/>
              <w:rPr>
                <w:rFonts w:ascii="Times New Roman" w:hAnsi="Times New Roman" w:cs="Times New Roman"/>
                <w:sz w:val="24"/>
              </w:rPr>
            </w:pPr>
            <w:r w:rsidRPr="00835753">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835753" w:rsidRDefault="007B082B" w:rsidP="00803BB4">
            <w:pPr>
              <w:spacing w:beforeLines="60" w:before="144" w:afterLines="60" w:after="144"/>
              <w:jc w:val="both"/>
              <w:rPr>
                <w:rStyle w:val="InstructionsTabelleberschrift"/>
                <w:rFonts w:ascii="Times New Roman" w:hAnsi="Times New Roman"/>
                <w:sz w:val="24"/>
              </w:rPr>
            </w:pPr>
            <w:r w:rsidRPr="00835753">
              <w:rPr>
                <w:rStyle w:val="InstructionsTabelleberschrift"/>
                <w:rFonts w:ascii="Times New Roman" w:hAnsi="Times New Roman"/>
                <w:sz w:val="24"/>
              </w:rPr>
              <w:t>Przedterminowe rozwiązanie umowy</w:t>
            </w:r>
          </w:p>
          <w:p w14:paraId="5D0385F6" w14:textId="77777777" w:rsidR="007B082B" w:rsidRPr="00835753" w:rsidRDefault="007B082B" w:rsidP="00803BB4">
            <w:pPr>
              <w:spacing w:beforeLines="60" w:before="144" w:afterLines="60" w:after="144"/>
              <w:jc w:val="both"/>
              <w:rPr>
                <w:rFonts w:ascii="Times New Roman" w:hAnsi="Times New Roman" w:cs="Times New Roman"/>
                <w:sz w:val="24"/>
              </w:rPr>
            </w:pPr>
            <w:r w:rsidRPr="00835753">
              <w:rPr>
                <w:rFonts w:ascii="Times New Roman" w:hAnsi="Times New Roman"/>
                <w:sz w:val="24"/>
              </w:rPr>
              <w:lastRenderedPageBreak/>
              <w:t>Art. 105 ust. 10 CRR</w:t>
            </w:r>
          </w:p>
          <w:p w14:paraId="6B371551" w14:textId="7E21C4DA" w:rsidR="007B082B" w:rsidRPr="00835753" w:rsidRDefault="007B082B" w:rsidP="00803BB4">
            <w:pPr>
              <w:pStyle w:val="Default"/>
              <w:spacing w:before="60" w:after="120"/>
              <w:jc w:val="both"/>
              <w:rPr>
                <w:rFonts w:ascii="Times New Roman" w:hAnsi="Times New Roman" w:cs="Times New Roman"/>
              </w:rPr>
            </w:pPr>
            <w:r w:rsidRPr="00835753">
              <w:rPr>
                <w:rFonts w:ascii="Times New Roman" w:hAnsi="Times New Roman"/>
              </w:rPr>
              <w:t>AVA</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tyt</w:t>
            </w:r>
            <w:r w:rsidRPr="00835753">
              <w:rPr>
                <w:rFonts w:ascii="Times New Roman" w:hAnsi="Times New Roman"/>
              </w:rPr>
              <w:t>ułu przedterminowego rozwiązania umowy oblicza się zgodnie</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art</w:t>
            </w:r>
            <w:r w:rsidRPr="00835753">
              <w:rPr>
                <w:rFonts w:ascii="Times New Roman" w:hAnsi="Times New Roman"/>
              </w:rPr>
              <w:t>.</w:t>
            </w:r>
            <w:r w:rsidR="00835753" w:rsidRPr="00835753">
              <w:rPr>
                <w:rFonts w:ascii="Times New Roman" w:hAnsi="Times New Roman"/>
              </w:rPr>
              <w:t> </w:t>
            </w:r>
            <w:r w:rsidRPr="00835753">
              <w:rPr>
                <w:rFonts w:ascii="Times New Roman" w:hAnsi="Times New Roman"/>
              </w:rPr>
              <w:t>16 rozporządzenia delegowanego Komisji (UE) 2016/101.</w:t>
            </w:r>
          </w:p>
        </w:tc>
      </w:tr>
      <w:tr w:rsidR="007B082B" w:rsidRPr="00835753"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835753" w:rsidRDefault="007B082B" w:rsidP="00803BB4">
            <w:pPr>
              <w:autoSpaceDE w:val="0"/>
              <w:autoSpaceDN w:val="0"/>
              <w:adjustRightInd w:val="0"/>
              <w:jc w:val="both"/>
              <w:rPr>
                <w:rFonts w:ascii="Times New Roman" w:hAnsi="Times New Roman" w:cs="Times New Roman"/>
                <w:sz w:val="24"/>
              </w:rPr>
            </w:pPr>
            <w:r w:rsidRPr="00835753">
              <w:rPr>
                <w:rFonts w:ascii="Times New Roman" w:hAnsi="Times New Roman"/>
                <w:sz w:val="24"/>
              </w:rPr>
              <w:lastRenderedPageBreak/>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835753" w:rsidRDefault="007B082B" w:rsidP="00803BB4">
            <w:pPr>
              <w:spacing w:beforeLines="60" w:before="144" w:afterLines="60" w:after="144"/>
              <w:jc w:val="both"/>
              <w:rPr>
                <w:rStyle w:val="InstructionsTabelleberschrift"/>
                <w:rFonts w:ascii="Times New Roman" w:hAnsi="Times New Roman"/>
                <w:sz w:val="24"/>
              </w:rPr>
            </w:pPr>
            <w:r w:rsidRPr="00835753">
              <w:rPr>
                <w:rStyle w:val="InstructionsTabelleberschrift"/>
                <w:rFonts w:ascii="Times New Roman" w:hAnsi="Times New Roman"/>
                <w:sz w:val="24"/>
              </w:rPr>
              <w:t>Ryzyko modelu</w:t>
            </w:r>
          </w:p>
          <w:p w14:paraId="5BE8F86E" w14:textId="77777777" w:rsidR="007B082B" w:rsidRPr="00835753" w:rsidRDefault="007B082B" w:rsidP="00803BB4">
            <w:pPr>
              <w:spacing w:beforeLines="60" w:before="144" w:afterLines="60" w:after="144"/>
              <w:jc w:val="both"/>
              <w:rPr>
                <w:rFonts w:ascii="Times New Roman" w:hAnsi="Times New Roman" w:cs="Times New Roman"/>
                <w:sz w:val="24"/>
              </w:rPr>
            </w:pPr>
            <w:r w:rsidRPr="00835753">
              <w:rPr>
                <w:rFonts w:ascii="Times New Roman" w:hAnsi="Times New Roman"/>
                <w:sz w:val="24"/>
              </w:rPr>
              <w:t>Art. 105 ust. 10 CRR</w:t>
            </w:r>
          </w:p>
          <w:p w14:paraId="138F86FB" w14:textId="26305DB3" w:rsidR="007B082B" w:rsidRPr="00835753" w:rsidRDefault="007B082B" w:rsidP="00803BB4">
            <w:pPr>
              <w:pStyle w:val="Default"/>
              <w:spacing w:before="60" w:after="120"/>
              <w:jc w:val="both"/>
              <w:rPr>
                <w:rFonts w:ascii="Times New Roman" w:hAnsi="Times New Roman" w:cs="Times New Roman"/>
              </w:rPr>
            </w:pPr>
            <w:r w:rsidRPr="00835753">
              <w:rPr>
                <w:rFonts w:ascii="Times New Roman" w:hAnsi="Times New Roman"/>
              </w:rPr>
              <w:t>AVA</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tyt</w:t>
            </w:r>
            <w:r w:rsidRPr="00835753">
              <w:rPr>
                <w:rFonts w:ascii="Times New Roman" w:hAnsi="Times New Roman"/>
              </w:rPr>
              <w:t>ułu ryzyka modelu oblicza się zgodnie</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art</w:t>
            </w:r>
            <w:r w:rsidRPr="00835753">
              <w:rPr>
                <w:rFonts w:ascii="Times New Roman" w:hAnsi="Times New Roman"/>
              </w:rPr>
              <w:t>.</w:t>
            </w:r>
            <w:r w:rsidR="00835753" w:rsidRPr="00835753">
              <w:rPr>
                <w:rFonts w:ascii="Times New Roman" w:hAnsi="Times New Roman"/>
              </w:rPr>
              <w:t> </w:t>
            </w:r>
            <w:r w:rsidRPr="00835753">
              <w:rPr>
                <w:rFonts w:ascii="Times New Roman" w:hAnsi="Times New Roman"/>
              </w:rPr>
              <w:t xml:space="preserve">11 rozporządzenia delegowanego Komisji (UE) 2016/101. </w:t>
            </w:r>
          </w:p>
        </w:tc>
      </w:tr>
      <w:tr w:rsidR="007B082B" w:rsidRPr="00835753"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835753" w:rsidRDefault="007B082B" w:rsidP="00803BB4">
            <w:pPr>
              <w:autoSpaceDE w:val="0"/>
              <w:autoSpaceDN w:val="0"/>
              <w:adjustRightInd w:val="0"/>
              <w:jc w:val="both"/>
              <w:rPr>
                <w:rFonts w:ascii="Times New Roman" w:hAnsi="Times New Roman" w:cs="Times New Roman"/>
                <w:sz w:val="24"/>
              </w:rPr>
            </w:pPr>
            <w:r w:rsidRPr="00835753">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835753" w:rsidRDefault="007B082B" w:rsidP="00803BB4">
            <w:pPr>
              <w:spacing w:beforeLines="60" w:before="144" w:afterLines="60" w:after="144"/>
              <w:jc w:val="both"/>
              <w:rPr>
                <w:rStyle w:val="InstructionsTabelleberschrift"/>
                <w:rFonts w:ascii="Times New Roman" w:hAnsi="Times New Roman"/>
                <w:sz w:val="24"/>
              </w:rPr>
            </w:pPr>
            <w:r w:rsidRPr="00835753">
              <w:rPr>
                <w:rStyle w:val="InstructionsTabelleberschrift"/>
                <w:rFonts w:ascii="Times New Roman" w:hAnsi="Times New Roman"/>
                <w:sz w:val="24"/>
              </w:rPr>
              <w:t>Ryzyko operacyjne</w:t>
            </w:r>
          </w:p>
          <w:p w14:paraId="58D51A0B" w14:textId="77777777" w:rsidR="007B082B" w:rsidRPr="00835753" w:rsidRDefault="007B082B" w:rsidP="00803BB4">
            <w:pPr>
              <w:spacing w:beforeLines="60" w:before="144" w:afterLines="60" w:after="144"/>
              <w:jc w:val="both"/>
              <w:rPr>
                <w:rFonts w:ascii="Times New Roman" w:hAnsi="Times New Roman" w:cs="Times New Roman"/>
                <w:sz w:val="24"/>
              </w:rPr>
            </w:pPr>
            <w:r w:rsidRPr="00835753">
              <w:rPr>
                <w:rFonts w:ascii="Times New Roman" w:hAnsi="Times New Roman"/>
                <w:sz w:val="24"/>
              </w:rPr>
              <w:t>Art. 105 ust. 10 CRR</w:t>
            </w:r>
          </w:p>
          <w:p w14:paraId="0254F85C" w14:textId="13080232" w:rsidR="007B082B" w:rsidRPr="00835753" w:rsidRDefault="007B082B" w:rsidP="00803BB4">
            <w:pPr>
              <w:pStyle w:val="Default"/>
              <w:spacing w:before="60" w:after="120"/>
              <w:jc w:val="both"/>
              <w:rPr>
                <w:rFonts w:ascii="Times New Roman" w:hAnsi="Times New Roman" w:cs="Times New Roman"/>
                <w:i/>
              </w:rPr>
            </w:pPr>
            <w:r w:rsidRPr="00835753">
              <w:rPr>
                <w:rFonts w:ascii="Times New Roman" w:hAnsi="Times New Roman"/>
              </w:rPr>
              <w:t>AVA</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tyt</w:t>
            </w:r>
            <w:r w:rsidRPr="00835753">
              <w:rPr>
                <w:rFonts w:ascii="Times New Roman" w:hAnsi="Times New Roman"/>
              </w:rPr>
              <w:t>ułu ryzyka operacyjnego oblicza się zgodnie</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art</w:t>
            </w:r>
            <w:r w:rsidRPr="00835753">
              <w:rPr>
                <w:rFonts w:ascii="Times New Roman" w:hAnsi="Times New Roman"/>
              </w:rPr>
              <w:t>.</w:t>
            </w:r>
            <w:r w:rsidR="00835753" w:rsidRPr="00835753">
              <w:rPr>
                <w:rFonts w:ascii="Times New Roman" w:hAnsi="Times New Roman"/>
              </w:rPr>
              <w:t> </w:t>
            </w:r>
            <w:r w:rsidRPr="00835753">
              <w:rPr>
                <w:rFonts w:ascii="Times New Roman" w:hAnsi="Times New Roman"/>
              </w:rPr>
              <w:t>17 rozporządzenia delegowanego Komisji (UE) 2016/101.</w:t>
            </w:r>
          </w:p>
        </w:tc>
      </w:tr>
      <w:tr w:rsidR="007B082B" w:rsidRPr="00835753"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835753" w:rsidRDefault="007B082B" w:rsidP="00803BB4">
            <w:pPr>
              <w:autoSpaceDE w:val="0"/>
              <w:autoSpaceDN w:val="0"/>
              <w:adjustRightInd w:val="0"/>
              <w:jc w:val="both"/>
              <w:rPr>
                <w:rFonts w:ascii="Times New Roman" w:hAnsi="Times New Roman" w:cs="Times New Roman"/>
                <w:sz w:val="24"/>
              </w:rPr>
            </w:pPr>
            <w:r w:rsidRPr="00835753">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835753" w:rsidRDefault="007B082B" w:rsidP="00803BB4">
            <w:pPr>
              <w:pStyle w:val="Default"/>
              <w:spacing w:after="120"/>
              <w:jc w:val="both"/>
              <w:rPr>
                <w:rFonts w:ascii="Times New Roman" w:hAnsi="Times New Roman" w:cs="Times New Roman"/>
              </w:rPr>
            </w:pPr>
            <w:r w:rsidRPr="00835753">
              <w:rPr>
                <w:rStyle w:val="InstructionsTabelleberschrift"/>
                <w:rFonts w:ascii="Times New Roman" w:hAnsi="Times New Roman"/>
              </w:rPr>
              <w:t>Nie dotyczy</w:t>
            </w:r>
          </w:p>
        </w:tc>
      </w:tr>
      <w:tr w:rsidR="007B082B" w:rsidRPr="00835753"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835753" w:rsidRDefault="007B082B" w:rsidP="00803BB4">
            <w:pPr>
              <w:autoSpaceDE w:val="0"/>
              <w:autoSpaceDN w:val="0"/>
              <w:adjustRightInd w:val="0"/>
              <w:jc w:val="both"/>
              <w:rPr>
                <w:rFonts w:ascii="Times New Roman" w:hAnsi="Times New Roman" w:cs="Times New Roman"/>
                <w:sz w:val="24"/>
              </w:rPr>
            </w:pPr>
            <w:r w:rsidRPr="00835753">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835753" w:rsidRDefault="007B082B" w:rsidP="00803BB4">
            <w:pPr>
              <w:pStyle w:val="Default"/>
              <w:spacing w:after="120"/>
              <w:jc w:val="both"/>
              <w:rPr>
                <w:rFonts w:ascii="Times New Roman" w:hAnsi="Times New Roman" w:cs="Times New Roman"/>
              </w:rPr>
            </w:pPr>
            <w:r w:rsidRPr="00835753">
              <w:rPr>
                <w:rStyle w:val="InstructionsTabelleberschrift"/>
                <w:rFonts w:ascii="Times New Roman" w:hAnsi="Times New Roman"/>
              </w:rPr>
              <w:t>Nie dotyczy</w:t>
            </w:r>
          </w:p>
        </w:tc>
      </w:tr>
      <w:tr w:rsidR="007B082B" w:rsidRPr="00835753"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835753" w:rsidRDefault="007B082B" w:rsidP="00803BB4">
            <w:pPr>
              <w:autoSpaceDE w:val="0"/>
              <w:autoSpaceDN w:val="0"/>
              <w:adjustRightInd w:val="0"/>
              <w:jc w:val="both"/>
              <w:rPr>
                <w:rFonts w:ascii="Times New Roman" w:hAnsi="Times New Roman" w:cs="Times New Roman"/>
                <w:sz w:val="24"/>
              </w:rPr>
            </w:pPr>
            <w:r w:rsidRPr="00835753">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835753" w:rsidRDefault="007B082B" w:rsidP="00803BB4">
            <w:pPr>
              <w:spacing w:beforeLines="60" w:before="144" w:afterLines="60" w:after="144"/>
              <w:jc w:val="both"/>
              <w:rPr>
                <w:rStyle w:val="InstructionsTabelleberschrift"/>
                <w:rFonts w:ascii="Times New Roman" w:hAnsi="Times New Roman"/>
                <w:sz w:val="24"/>
              </w:rPr>
            </w:pPr>
            <w:r w:rsidRPr="00835753">
              <w:rPr>
                <w:rStyle w:val="InstructionsTabelleberschrift"/>
                <w:rFonts w:ascii="Times New Roman" w:hAnsi="Times New Roman"/>
                <w:sz w:val="24"/>
              </w:rPr>
              <w:t>Przyszłe koszty administracyjne</w:t>
            </w:r>
          </w:p>
          <w:p w14:paraId="53CE0D0C" w14:textId="77777777" w:rsidR="007B082B" w:rsidRPr="00835753" w:rsidRDefault="007B082B" w:rsidP="00803BB4">
            <w:pPr>
              <w:spacing w:beforeLines="60" w:before="144" w:afterLines="60" w:after="144"/>
              <w:jc w:val="both"/>
              <w:rPr>
                <w:rFonts w:ascii="Times New Roman" w:hAnsi="Times New Roman" w:cs="Times New Roman"/>
                <w:sz w:val="24"/>
              </w:rPr>
            </w:pPr>
            <w:r w:rsidRPr="00835753">
              <w:rPr>
                <w:rFonts w:ascii="Times New Roman" w:hAnsi="Times New Roman"/>
                <w:sz w:val="24"/>
              </w:rPr>
              <w:t>Art. 105 ust. 10 CRR</w:t>
            </w:r>
          </w:p>
          <w:p w14:paraId="22D7712F" w14:textId="7EB456D2" w:rsidR="007B082B" w:rsidRPr="00835753" w:rsidRDefault="007B082B" w:rsidP="00803BB4">
            <w:pPr>
              <w:pStyle w:val="Default"/>
              <w:spacing w:after="120"/>
              <w:jc w:val="both"/>
              <w:rPr>
                <w:rFonts w:ascii="Times New Roman" w:hAnsi="Times New Roman" w:cs="Times New Roman"/>
              </w:rPr>
            </w:pPr>
            <w:r w:rsidRPr="00835753">
              <w:rPr>
                <w:rFonts w:ascii="Times New Roman" w:hAnsi="Times New Roman"/>
              </w:rPr>
              <w:t>AVA</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tyt</w:t>
            </w:r>
            <w:r w:rsidRPr="00835753">
              <w:rPr>
                <w:rFonts w:ascii="Times New Roman" w:hAnsi="Times New Roman"/>
              </w:rPr>
              <w:t>ułu przyszłych kosztów administracyjnych oblicza się zgodnie</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art</w:t>
            </w:r>
            <w:r w:rsidRPr="00835753">
              <w:rPr>
                <w:rFonts w:ascii="Times New Roman" w:hAnsi="Times New Roman"/>
              </w:rPr>
              <w:t>.</w:t>
            </w:r>
            <w:r w:rsidR="00835753" w:rsidRPr="00835753">
              <w:rPr>
                <w:rFonts w:ascii="Times New Roman" w:hAnsi="Times New Roman"/>
              </w:rPr>
              <w:t> </w:t>
            </w:r>
            <w:r w:rsidRPr="00835753">
              <w:rPr>
                <w:rFonts w:ascii="Times New Roman" w:hAnsi="Times New Roman"/>
              </w:rPr>
              <w:t>15 rozporządzenia delegowanego Komisji (UE) 2016/101.</w:t>
            </w:r>
          </w:p>
        </w:tc>
      </w:tr>
      <w:tr w:rsidR="007B082B" w:rsidRPr="00835753"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835753" w:rsidRDefault="007B082B" w:rsidP="00803BB4">
            <w:pPr>
              <w:autoSpaceDE w:val="0"/>
              <w:autoSpaceDN w:val="0"/>
              <w:adjustRightInd w:val="0"/>
              <w:jc w:val="both"/>
              <w:rPr>
                <w:rFonts w:ascii="Times New Roman" w:hAnsi="Times New Roman" w:cs="Times New Roman"/>
                <w:sz w:val="24"/>
              </w:rPr>
            </w:pPr>
            <w:r w:rsidRPr="00835753">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835753" w:rsidRDefault="007B082B" w:rsidP="00803BB4">
            <w:pPr>
              <w:pStyle w:val="Default"/>
              <w:spacing w:after="120"/>
              <w:jc w:val="both"/>
              <w:rPr>
                <w:rFonts w:ascii="Times New Roman" w:hAnsi="Times New Roman" w:cs="Times New Roman"/>
              </w:rPr>
            </w:pPr>
            <w:r w:rsidRPr="00835753">
              <w:rPr>
                <w:rFonts w:ascii="Times New Roman" w:hAnsi="Times New Roman"/>
              </w:rPr>
              <w:t>Nie dotyczy</w:t>
            </w:r>
          </w:p>
        </w:tc>
      </w:tr>
      <w:tr w:rsidR="007B082B" w:rsidRPr="00835753"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835753" w:rsidRDefault="007B082B" w:rsidP="00803BB4">
            <w:pPr>
              <w:autoSpaceDE w:val="0"/>
              <w:autoSpaceDN w:val="0"/>
              <w:adjustRightInd w:val="0"/>
              <w:jc w:val="both"/>
              <w:rPr>
                <w:rFonts w:ascii="Times New Roman" w:hAnsi="Times New Roman" w:cs="Times New Roman"/>
                <w:sz w:val="24"/>
              </w:rPr>
            </w:pPr>
            <w:r w:rsidRPr="00835753">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835753" w:rsidRDefault="007B082B" w:rsidP="00803BB4">
            <w:pPr>
              <w:spacing w:beforeLines="60" w:before="144" w:afterLines="60" w:after="144"/>
              <w:jc w:val="both"/>
              <w:rPr>
                <w:rStyle w:val="InstructionsTabelleberschrift"/>
                <w:rFonts w:ascii="Times New Roman" w:hAnsi="Times New Roman"/>
                <w:sz w:val="24"/>
              </w:rPr>
            </w:pPr>
            <w:r w:rsidRPr="00835753">
              <w:rPr>
                <w:rStyle w:val="InstructionsTabelleberschrift"/>
                <w:rFonts w:ascii="Times New Roman" w:hAnsi="Times New Roman"/>
                <w:sz w:val="24"/>
              </w:rPr>
              <w:t>Całkowite dodatkowe korekty wartości</w:t>
            </w:r>
          </w:p>
          <w:p w14:paraId="4F2DD722" w14:textId="1963E402" w:rsidR="007B082B" w:rsidRPr="00835753" w:rsidRDefault="007B082B" w:rsidP="00803BB4">
            <w:pPr>
              <w:pStyle w:val="Default"/>
              <w:spacing w:after="120"/>
              <w:jc w:val="both"/>
              <w:rPr>
                <w:rFonts w:ascii="Times New Roman" w:hAnsi="Times New Roman" w:cs="Times New Roman"/>
                <w:color w:val="auto"/>
              </w:rPr>
            </w:pPr>
            <w:r w:rsidRPr="00835753">
              <w:rPr>
                <w:rFonts w:ascii="Times New Roman" w:hAnsi="Times New Roman"/>
                <w:color w:val="auto"/>
              </w:rPr>
              <w:t>Całkowitą kwotę AVA podlegającą odliczeniu od funduszy własnych zgodnie</w:t>
            </w:r>
            <w:r w:rsidR="00835753" w:rsidRPr="00835753">
              <w:rPr>
                <w:rFonts w:ascii="Times New Roman" w:hAnsi="Times New Roman"/>
                <w:color w:val="auto"/>
              </w:rPr>
              <w:t xml:space="preserve"> z</w:t>
            </w:r>
            <w:r w:rsidR="00835753">
              <w:rPr>
                <w:rFonts w:ascii="Times New Roman" w:hAnsi="Times New Roman"/>
                <w:color w:val="auto"/>
              </w:rPr>
              <w:t> </w:t>
            </w:r>
            <w:r w:rsidR="00835753" w:rsidRPr="00835753">
              <w:rPr>
                <w:rFonts w:ascii="Times New Roman" w:hAnsi="Times New Roman"/>
                <w:color w:val="auto"/>
              </w:rPr>
              <w:t>art</w:t>
            </w:r>
            <w:r w:rsidRPr="00835753">
              <w:rPr>
                <w:rFonts w:ascii="Times New Roman" w:hAnsi="Times New Roman"/>
                <w:color w:val="auto"/>
              </w:rPr>
              <w:t>.</w:t>
            </w:r>
            <w:r w:rsidR="00835753" w:rsidRPr="00835753">
              <w:rPr>
                <w:rFonts w:ascii="Times New Roman" w:hAnsi="Times New Roman"/>
                <w:color w:val="auto"/>
              </w:rPr>
              <w:t> </w:t>
            </w:r>
            <w:r w:rsidRPr="00835753">
              <w:rPr>
                <w:rFonts w:ascii="Times New Roman" w:hAnsi="Times New Roman"/>
                <w:color w:val="auto"/>
              </w:rPr>
              <w:t>34</w:t>
            </w:r>
            <w:r w:rsidR="00835753" w:rsidRPr="00835753">
              <w:rPr>
                <w:rFonts w:ascii="Times New Roman" w:hAnsi="Times New Roman"/>
                <w:color w:val="auto"/>
              </w:rPr>
              <w:t xml:space="preserve"> i</w:t>
            </w:r>
            <w:r w:rsidR="00835753">
              <w:rPr>
                <w:rFonts w:ascii="Times New Roman" w:hAnsi="Times New Roman"/>
                <w:color w:val="auto"/>
              </w:rPr>
              <w:t> </w:t>
            </w:r>
            <w:r w:rsidR="00835753" w:rsidRPr="00835753">
              <w:rPr>
                <w:rFonts w:ascii="Times New Roman" w:hAnsi="Times New Roman"/>
                <w:color w:val="auto"/>
              </w:rPr>
              <w:t>1</w:t>
            </w:r>
            <w:r w:rsidRPr="00835753">
              <w:rPr>
                <w:rFonts w:ascii="Times New Roman" w:hAnsi="Times New Roman"/>
                <w:color w:val="auto"/>
              </w:rPr>
              <w:t>05 CRR ujawnia się</w:t>
            </w:r>
            <w:r w:rsidR="00835753" w:rsidRPr="00835753">
              <w:rPr>
                <w:rFonts w:ascii="Times New Roman" w:hAnsi="Times New Roman"/>
                <w:color w:val="auto"/>
              </w:rPr>
              <w:t xml:space="preserve"> w</w:t>
            </w:r>
            <w:r w:rsidR="00835753">
              <w:rPr>
                <w:rFonts w:ascii="Times New Roman" w:hAnsi="Times New Roman"/>
                <w:color w:val="auto"/>
              </w:rPr>
              <w:t> </w:t>
            </w:r>
            <w:r w:rsidR="00835753" w:rsidRPr="00835753">
              <w:rPr>
                <w:rFonts w:ascii="Times New Roman" w:hAnsi="Times New Roman"/>
                <w:color w:val="auto"/>
              </w:rPr>
              <w:t>wie</w:t>
            </w:r>
            <w:r w:rsidRPr="00835753">
              <w:rPr>
                <w:rFonts w:ascii="Times New Roman" w:hAnsi="Times New Roman"/>
                <w:color w:val="auto"/>
              </w:rPr>
              <w:t xml:space="preserve">rszu 12 kolumna f) </w:t>
            </w:r>
            <w:r w:rsidRPr="00835753">
              <w:rPr>
                <w:rFonts w:ascii="Times New Roman" w:hAnsi="Times New Roman"/>
              </w:rPr>
              <w:t>niniejszego wzoru</w:t>
            </w:r>
            <w:r w:rsidRPr="00835753">
              <w:rPr>
                <w:rFonts w:ascii="Times New Roman" w:hAnsi="Times New Roman"/>
                <w:color w:val="auto"/>
              </w:rPr>
              <w:t>. Kwota ta musi być zgodna</w:t>
            </w:r>
            <w:r w:rsidR="00835753" w:rsidRPr="00835753">
              <w:rPr>
                <w:rFonts w:ascii="Times New Roman" w:hAnsi="Times New Roman"/>
                <w:color w:val="auto"/>
              </w:rPr>
              <w:t xml:space="preserve"> z</w:t>
            </w:r>
            <w:r w:rsidR="00835753">
              <w:rPr>
                <w:rFonts w:ascii="Times New Roman" w:hAnsi="Times New Roman"/>
                <w:color w:val="auto"/>
              </w:rPr>
              <w:t> </w:t>
            </w:r>
            <w:r w:rsidR="00835753" w:rsidRPr="00835753">
              <w:rPr>
                <w:rFonts w:ascii="Times New Roman" w:hAnsi="Times New Roman"/>
                <w:color w:val="auto"/>
              </w:rPr>
              <w:t>kwo</w:t>
            </w:r>
            <w:r w:rsidRPr="00835753">
              <w:rPr>
                <w:rFonts w:ascii="Times New Roman" w:hAnsi="Times New Roman"/>
                <w:color w:val="auto"/>
              </w:rPr>
              <w:t>tą</w:t>
            </w:r>
            <w:r w:rsidR="00835753" w:rsidRPr="00835753">
              <w:rPr>
                <w:rFonts w:ascii="Times New Roman" w:hAnsi="Times New Roman"/>
                <w:color w:val="auto"/>
              </w:rPr>
              <w:t xml:space="preserve"> w</w:t>
            </w:r>
            <w:r w:rsidR="00835753">
              <w:rPr>
                <w:rFonts w:ascii="Times New Roman" w:hAnsi="Times New Roman"/>
                <w:color w:val="auto"/>
              </w:rPr>
              <w:t> </w:t>
            </w:r>
            <w:r w:rsidR="00835753" w:rsidRPr="00835753">
              <w:rPr>
                <w:rFonts w:ascii="Times New Roman" w:hAnsi="Times New Roman"/>
                <w:color w:val="auto"/>
              </w:rPr>
              <w:t>wie</w:t>
            </w:r>
            <w:r w:rsidRPr="00835753">
              <w:rPr>
                <w:rFonts w:ascii="Times New Roman" w:hAnsi="Times New Roman"/>
                <w:color w:val="auto"/>
              </w:rPr>
              <w:t>rszu 7 we wzorze EU CC1,</w:t>
            </w:r>
            <w:r w:rsidR="00835753" w:rsidRPr="00835753">
              <w:rPr>
                <w:rFonts w:ascii="Times New Roman" w:hAnsi="Times New Roman"/>
                <w:color w:val="auto"/>
              </w:rPr>
              <w:t xml:space="preserve"> a</w:t>
            </w:r>
            <w:r w:rsidR="00835753">
              <w:rPr>
                <w:rFonts w:ascii="Times New Roman" w:hAnsi="Times New Roman"/>
                <w:color w:val="auto"/>
              </w:rPr>
              <w:t> </w:t>
            </w:r>
            <w:r w:rsidR="00835753" w:rsidRPr="00835753">
              <w:rPr>
                <w:rFonts w:ascii="Times New Roman" w:hAnsi="Times New Roman"/>
                <w:color w:val="auto"/>
              </w:rPr>
              <w:t>tak</w:t>
            </w:r>
            <w:r w:rsidRPr="00835753">
              <w:rPr>
                <w:rFonts w:ascii="Times New Roman" w:hAnsi="Times New Roman"/>
                <w:color w:val="auto"/>
              </w:rPr>
              <w:t>że</w:t>
            </w:r>
            <w:r w:rsidR="00835753" w:rsidRPr="00835753">
              <w:rPr>
                <w:rFonts w:ascii="Times New Roman" w:hAnsi="Times New Roman"/>
                <w:color w:val="auto"/>
              </w:rPr>
              <w:t xml:space="preserve"> z</w:t>
            </w:r>
            <w:r w:rsidR="00835753">
              <w:rPr>
                <w:rFonts w:ascii="Times New Roman" w:hAnsi="Times New Roman"/>
                <w:color w:val="auto"/>
              </w:rPr>
              <w:t> </w:t>
            </w:r>
            <w:r w:rsidR="00835753" w:rsidRPr="00835753">
              <w:rPr>
                <w:rFonts w:ascii="Times New Roman" w:hAnsi="Times New Roman"/>
                <w:color w:val="auto"/>
              </w:rPr>
              <w:t>kwo</w:t>
            </w:r>
            <w:r w:rsidRPr="00835753">
              <w:rPr>
                <w:rFonts w:ascii="Times New Roman" w:hAnsi="Times New Roman"/>
                <w:color w:val="auto"/>
              </w:rPr>
              <w:t>tą</w:t>
            </w:r>
            <w:r w:rsidR="00835753" w:rsidRPr="00835753">
              <w:rPr>
                <w:rFonts w:ascii="Times New Roman" w:hAnsi="Times New Roman"/>
                <w:color w:val="auto"/>
              </w:rPr>
              <w:t xml:space="preserve"> w</w:t>
            </w:r>
            <w:r w:rsidR="00835753">
              <w:rPr>
                <w:rFonts w:ascii="Times New Roman" w:hAnsi="Times New Roman"/>
                <w:color w:val="auto"/>
              </w:rPr>
              <w:t> </w:t>
            </w:r>
            <w:r w:rsidR="00835753" w:rsidRPr="00835753">
              <w:rPr>
                <w:rFonts w:ascii="Times New Roman" w:hAnsi="Times New Roman"/>
                <w:color w:val="auto"/>
              </w:rPr>
              <w:t>wie</w:t>
            </w:r>
            <w:r w:rsidRPr="00835753">
              <w:rPr>
                <w:rFonts w:ascii="Times New Roman" w:hAnsi="Times New Roman"/>
                <w:color w:val="auto"/>
              </w:rPr>
              <w:t>rszu 5</w:t>
            </w:r>
            <w:r w:rsidR="00835753" w:rsidRPr="00835753">
              <w:rPr>
                <w:rFonts w:ascii="Times New Roman" w:hAnsi="Times New Roman"/>
                <w:color w:val="auto"/>
              </w:rPr>
              <w:t xml:space="preserve"> w</w:t>
            </w:r>
            <w:r w:rsidR="00835753">
              <w:rPr>
                <w:rFonts w:ascii="Times New Roman" w:hAnsi="Times New Roman"/>
                <w:color w:val="auto"/>
              </w:rPr>
              <w:t> </w:t>
            </w:r>
            <w:r w:rsidR="00835753" w:rsidRPr="00835753">
              <w:rPr>
                <w:rFonts w:ascii="Times New Roman" w:hAnsi="Times New Roman"/>
                <w:color w:val="auto"/>
              </w:rPr>
              <w:t>kol</w:t>
            </w:r>
            <w:r w:rsidRPr="00835753">
              <w:rPr>
                <w:rFonts w:ascii="Times New Roman" w:hAnsi="Times New Roman"/>
                <w:color w:val="auto"/>
              </w:rPr>
              <w:t xml:space="preserve">umnie a) we wzorze EU LI2. </w:t>
            </w:r>
          </w:p>
          <w:p w14:paraId="2CA31AFB" w14:textId="73731263" w:rsidR="007B082B" w:rsidRPr="00835753" w:rsidRDefault="007B082B" w:rsidP="00803BB4">
            <w:pPr>
              <w:pStyle w:val="Default"/>
              <w:spacing w:after="120"/>
              <w:jc w:val="both"/>
              <w:rPr>
                <w:rFonts w:ascii="Times New Roman" w:hAnsi="Times New Roman" w:cs="Times New Roman"/>
                <w:color w:val="auto"/>
              </w:rPr>
            </w:pPr>
            <w:r w:rsidRPr="00835753">
              <w:rPr>
                <w:rFonts w:ascii="Times New Roman" w:hAnsi="Times New Roman"/>
                <w:color w:val="auto"/>
              </w:rPr>
              <w:t>W odniesieniu do portfeli podlegających metodzie podstawowej określonej</w:t>
            </w:r>
            <w:r w:rsidR="00835753" w:rsidRPr="00835753">
              <w:rPr>
                <w:rFonts w:ascii="Times New Roman" w:hAnsi="Times New Roman"/>
                <w:color w:val="auto"/>
              </w:rPr>
              <w:t xml:space="preserve"> w</w:t>
            </w:r>
            <w:r w:rsidR="00835753">
              <w:rPr>
                <w:rFonts w:ascii="Times New Roman" w:hAnsi="Times New Roman"/>
                <w:color w:val="auto"/>
              </w:rPr>
              <w:t> </w:t>
            </w:r>
            <w:r w:rsidR="00835753" w:rsidRPr="00835753">
              <w:rPr>
                <w:rFonts w:ascii="Times New Roman" w:hAnsi="Times New Roman"/>
                <w:color w:val="auto"/>
              </w:rPr>
              <w:t>roz</w:t>
            </w:r>
            <w:r w:rsidRPr="00835753">
              <w:rPr>
                <w:rFonts w:ascii="Times New Roman" w:hAnsi="Times New Roman"/>
                <w:color w:val="auto"/>
              </w:rPr>
              <w:t>dziale III rozporządzenia delegowanego (UE) 2016/101</w:t>
            </w:r>
            <w:r w:rsidR="00835753" w:rsidRPr="00835753">
              <w:rPr>
                <w:rFonts w:ascii="Times New Roman" w:hAnsi="Times New Roman"/>
                <w:color w:val="auto"/>
              </w:rPr>
              <w:t xml:space="preserve"> w</w:t>
            </w:r>
            <w:r w:rsidR="00835753">
              <w:rPr>
                <w:rFonts w:ascii="Times New Roman" w:hAnsi="Times New Roman"/>
                <w:color w:val="auto"/>
              </w:rPr>
              <w:t> </w:t>
            </w:r>
            <w:r w:rsidR="00835753" w:rsidRPr="00835753">
              <w:rPr>
                <w:rFonts w:ascii="Times New Roman" w:hAnsi="Times New Roman"/>
                <w:color w:val="auto"/>
              </w:rPr>
              <w:t>zak</w:t>
            </w:r>
            <w:r w:rsidRPr="00835753">
              <w:rPr>
                <w:rFonts w:ascii="Times New Roman" w:hAnsi="Times New Roman"/>
                <w:color w:val="auto"/>
              </w:rPr>
              <w:t>resie ostrożnej wyceny całkowita kwota AVA stanowi sumę kwot</w:t>
            </w:r>
            <w:r w:rsidR="00835753" w:rsidRPr="00835753">
              <w:rPr>
                <w:rFonts w:ascii="Times New Roman" w:hAnsi="Times New Roman"/>
                <w:color w:val="auto"/>
              </w:rPr>
              <w:t xml:space="preserve"> w</w:t>
            </w:r>
            <w:r w:rsidR="00835753">
              <w:rPr>
                <w:rFonts w:ascii="Times New Roman" w:hAnsi="Times New Roman"/>
                <w:color w:val="auto"/>
              </w:rPr>
              <w:t> </w:t>
            </w:r>
            <w:r w:rsidR="00835753" w:rsidRPr="00835753">
              <w:rPr>
                <w:rFonts w:ascii="Times New Roman" w:hAnsi="Times New Roman"/>
                <w:color w:val="auto"/>
              </w:rPr>
              <w:t>wie</w:t>
            </w:r>
            <w:r w:rsidRPr="00835753">
              <w:rPr>
                <w:rFonts w:ascii="Times New Roman" w:hAnsi="Times New Roman"/>
                <w:color w:val="auto"/>
              </w:rPr>
              <w:t>rszach 1–10 niniejszego wzoru oraz kwot obliczonych zgodnie</w:t>
            </w:r>
            <w:r w:rsidR="00835753" w:rsidRPr="00835753">
              <w:rPr>
                <w:rFonts w:ascii="Times New Roman" w:hAnsi="Times New Roman"/>
                <w:color w:val="auto"/>
              </w:rPr>
              <w:t xml:space="preserve"> z</w:t>
            </w:r>
            <w:r w:rsidR="00835753">
              <w:rPr>
                <w:rFonts w:ascii="Times New Roman" w:hAnsi="Times New Roman"/>
                <w:color w:val="auto"/>
              </w:rPr>
              <w:t> </w:t>
            </w:r>
            <w:r w:rsidR="00835753" w:rsidRPr="00835753">
              <w:rPr>
                <w:rFonts w:ascii="Times New Roman" w:hAnsi="Times New Roman"/>
                <w:color w:val="auto"/>
              </w:rPr>
              <w:t>art</w:t>
            </w:r>
            <w:r w:rsidRPr="00835753">
              <w:rPr>
                <w:rFonts w:ascii="Times New Roman" w:hAnsi="Times New Roman"/>
                <w:color w:val="auto"/>
              </w:rPr>
              <w:t>.</w:t>
            </w:r>
            <w:r w:rsidR="00835753" w:rsidRPr="00835753">
              <w:rPr>
                <w:rFonts w:ascii="Times New Roman" w:hAnsi="Times New Roman"/>
                <w:color w:val="auto"/>
              </w:rPr>
              <w:t> </w:t>
            </w:r>
            <w:r w:rsidRPr="00835753">
              <w:rPr>
                <w:rFonts w:ascii="Times New Roman" w:hAnsi="Times New Roman"/>
                <w:color w:val="auto"/>
              </w:rPr>
              <w:t>7 ust.</w:t>
            </w:r>
            <w:r w:rsidR="00835753" w:rsidRPr="00835753">
              <w:rPr>
                <w:rFonts w:ascii="Times New Roman" w:hAnsi="Times New Roman"/>
                <w:color w:val="auto"/>
              </w:rPr>
              <w:t> </w:t>
            </w:r>
            <w:r w:rsidRPr="00835753">
              <w:rPr>
                <w:rFonts w:ascii="Times New Roman" w:hAnsi="Times New Roman"/>
                <w:color w:val="auto"/>
              </w:rPr>
              <w:t>2 lit.</w:t>
            </w:r>
            <w:r w:rsidR="00835753" w:rsidRPr="00835753">
              <w:rPr>
                <w:rFonts w:ascii="Times New Roman" w:hAnsi="Times New Roman"/>
                <w:color w:val="auto"/>
              </w:rPr>
              <w:t> </w:t>
            </w:r>
            <w:r w:rsidRPr="00835753">
              <w:rPr>
                <w:rFonts w:ascii="Times New Roman" w:hAnsi="Times New Roman"/>
                <w:color w:val="auto"/>
              </w:rPr>
              <w:t>b) ppkt (i</w:t>
            </w:r>
            <w:proofErr w:type="gramStart"/>
            <w:r w:rsidRPr="00835753">
              <w:rPr>
                <w:rFonts w:ascii="Times New Roman" w:hAnsi="Times New Roman"/>
                <w:color w:val="auto"/>
              </w:rPr>
              <w:t>)–(iii</w:t>
            </w:r>
            <w:proofErr w:type="gramEnd"/>
            <w:r w:rsidRPr="00835753">
              <w:rPr>
                <w:rFonts w:ascii="Times New Roman" w:hAnsi="Times New Roman"/>
                <w:color w:val="auto"/>
              </w:rPr>
              <w:t>) rozporządzenia delegowanego (UE) 2016/101</w:t>
            </w:r>
            <w:r w:rsidR="00835753" w:rsidRPr="00835753">
              <w:rPr>
                <w:rFonts w:ascii="Times New Roman" w:hAnsi="Times New Roman"/>
                <w:color w:val="auto"/>
              </w:rPr>
              <w:t xml:space="preserve"> w</w:t>
            </w:r>
            <w:r w:rsidR="00835753">
              <w:rPr>
                <w:rFonts w:ascii="Times New Roman" w:hAnsi="Times New Roman"/>
                <w:color w:val="auto"/>
              </w:rPr>
              <w:t> </w:t>
            </w:r>
            <w:r w:rsidR="00835753" w:rsidRPr="00835753">
              <w:rPr>
                <w:rFonts w:ascii="Times New Roman" w:hAnsi="Times New Roman"/>
                <w:color w:val="auto"/>
              </w:rPr>
              <w:t>odn</w:t>
            </w:r>
            <w:r w:rsidRPr="00835753">
              <w:rPr>
                <w:rFonts w:ascii="Times New Roman" w:hAnsi="Times New Roman"/>
                <w:color w:val="auto"/>
              </w:rPr>
              <w:t xml:space="preserve">iesieniu do ewentualnych portfeli podlegających metodzie rezerwowej. </w:t>
            </w:r>
          </w:p>
          <w:p w14:paraId="084ECAAE" w14:textId="77301337" w:rsidR="007B082B" w:rsidRPr="00835753" w:rsidRDefault="007B082B" w:rsidP="00803BB4">
            <w:pPr>
              <w:pStyle w:val="Default"/>
              <w:spacing w:after="120"/>
              <w:jc w:val="both"/>
              <w:rPr>
                <w:rFonts w:ascii="Times New Roman" w:hAnsi="Times New Roman" w:cs="Times New Roman"/>
              </w:rPr>
            </w:pPr>
            <w:r w:rsidRPr="00835753">
              <w:rPr>
                <w:rFonts w:ascii="Times New Roman" w:hAnsi="Times New Roman"/>
                <w:color w:val="auto"/>
              </w:rPr>
              <w:t>W odniesieniu do portfeli podlegających metodzie uproszczonej określonej</w:t>
            </w:r>
            <w:r w:rsidR="00835753" w:rsidRPr="00835753">
              <w:rPr>
                <w:rFonts w:ascii="Times New Roman" w:hAnsi="Times New Roman"/>
                <w:color w:val="auto"/>
              </w:rPr>
              <w:t xml:space="preserve"> w</w:t>
            </w:r>
            <w:r w:rsidR="00835753">
              <w:rPr>
                <w:rFonts w:ascii="Times New Roman" w:hAnsi="Times New Roman"/>
                <w:color w:val="auto"/>
              </w:rPr>
              <w:t> </w:t>
            </w:r>
            <w:r w:rsidR="00835753" w:rsidRPr="00835753">
              <w:rPr>
                <w:rFonts w:ascii="Times New Roman" w:hAnsi="Times New Roman"/>
                <w:color w:val="auto"/>
              </w:rPr>
              <w:t>roz</w:t>
            </w:r>
            <w:r w:rsidRPr="00835753">
              <w:rPr>
                <w:rFonts w:ascii="Times New Roman" w:hAnsi="Times New Roman"/>
                <w:color w:val="auto"/>
              </w:rPr>
              <w:t>dziale II rozporządzenia delegowanego (UE) 2016/101</w:t>
            </w:r>
            <w:r w:rsidR="00835753" w:rsidRPr="00835753">
              <w:rPr>
                <w:rFonts w:ascii="Times New Roman" w:hAnsi="Times New Roman"/>
                <w:color w:val="auto"/>
              </w:rPr>
              <w:t xml:space="preserve"> w</w:t>
            </w:r>
            <w:r w:rsidR="00835753">
              <w:rPr>
                <w:rFonts w:ascii="Times New Roman" w:hAnsi="Times New Roman"/>
                <w:color w:val="auto"/>
              </w:rPr>
              <w:t> </w:t>
            </w:r>
            <w:r w:rsidR="00835753" w:rsidRPr="00835753">
              <w:rPr>
                <w:rFonts w:ascii="Times New Roman" w:hAnsi="Times New Roman"/>
                <w:color w:val="auto"/>
              </w:rPr>
              <w:t>zak</w:t>
            </w:r>
            <w:r w:rsidRPr="00835753">
              <w:rPr>
                <w:rFonts w:ascii="Times New Roman" w:hAnsi="Times New Roman"/>
                <w:color w:val="auto"/>
              </w:rPr>
              <w:t>resie ostrożnej wyceny całkowitą kwotę AVA ujmowaną</w:t>
            </w:r>
            <w:r w:rsidR="00835753" w:rsidRPr="00835753">
              <w:rPr>
                <w:rFonts w:ascii="Times New Roman" w:hAnsi="Times New Roman"/>
                <w:color w:val="auto"/>
              </w:rPr>
              <w:t xml:space="preserve"> w</w:t>
            </w:r>
            <w:r w:rsidR="00835753">
              <w:rPr>
                <w:rFonts w:ascii="Times New Roman" w:hAnsi="Times New Roman"/>
                <w:color w:val="auto"/>
              </w:rPr>
              <w:t> </w:t>
            </w:r>
            <w:r w:rsidR="00835753" w:rsidRPr="00835753">
              <w:rPr>
                <w:rFonts w:ascii="Times New Roman" w:hAnsi="Times New Roman"/>
                <w:color w:val="auto"/>
              </w:rPr>
              <w:t>kol</w:t>
            </w:r>
            <w:r w:rsidRPr="00835753">
              <w:rPr>
                <w:rFonts w:ascii="Times New Roman" w:hAnsi="Times New Roman"/>
                <w:color w:val="auto"/>
              </w:rPr>
              <w:t>umnie f) niniejszego wzoru stanowi kwota obliczana zgodnie</w:t>
            </w:r>
            <w:r w:rsidR="00835753" w:rsidRPr="00835753">
              <w:rPr>
                <w:rFonts w:ascii="Times New Roman" w:hAnsi="Times New Roman"/>
                <w:color w:val="auto"/>
              </w:rPr>
              <w:t xml:space="preserve"> z</w:t>
            </w:r>
            <w:r w:rsidR="00835753">
              <w:rPr>
                <w:rFonts w:ascii="Times New Roman" w:hAnsi="Times New Roman"/>
                <w:color w:val="auto"/>
              </w:rPr>
              <w:t> </w:t>
            </w:r>
            <w:r w:rsidR="00835753" w:rsidRPr="00835753">
              <w:rPr>
                <w:rFonts w:ascii="Times New Roman" w:hAnsi="Times New Roman"/>
                <w:color w:val="auto"/>
              </w:rPr>
              <w:t>art</w:t>
            </w:r>
            <w:r w:rsidRPr="00835753">
              <w:rPr>
                <w:rFonts w:ascii="Times New Roman" w:hAnsi="Times New Roman"/>
                <w:color w:val="auto"/>
              </w:rPr>
              <w:t>.</w:t>
            </w:r>
            <w:r w:rsidR="00835753" w:rsidRPr="00835753">
              <w:rPr>
                <w:rFonts w:ascii="Times New Roman" w:hAnsi="Times New Roman"/>
                <w:color w:val="auto"/>
              </w:rPr>
              <w:t> </w:t>
            </w:r>
            <w:r w:rsidRPr="00835753">
              <w:rPr>
                <w:rFonts w:ascii="Times New Roman" w:hAnsi="Times New Roman"/>
                <w:color w:val="auto"/>
              </w:rPr>
              <w:t>5 tego rozdziału.</w:t>
            </w:r>
          </w:p>
        </w:tc>
      </w:tr>
      <w:tr w:rsidR="007B082B" w:rsidRPr="00835753"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835753" w:rsidRDefault="007B082B" w:rsidP="00803BB4">
            <w:pPr>
              <w:pStyle w:val="Applicationdirecte"/>
              <w:spacing w:before="0"/>
              <w:rPr>
                <w:b/>
              </w:rPr>
            </w:pPr>
            <w:r w:rsidRPr="00835753">
              <w:rPr>
                <w:b/>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835753" w:rsidRDefault="007B082B" w:rsidP="00803BB4">
            <w:pPr>
              <w:pStyle w:val="TableMainHeading"/>
              <w:spacing w:before="60"/>
              <w:jc w:val="both"/>
              <w:rPr>
                <w:rFonts w:ascii="Times New Roman" w:hAnsi="Times New Roman"/>
                <w:b/>
                <w:sz w:val="24"/>
                <w:szCs w:val="24"/>
              </w:rPr>
            </w:pPr>
            <w:r w:rsidRPr="00835753">
              <w:rPr>
                <w:rFonts w:ascii="Times New Roman" w:hAnsi="Times New Roman"/>
                <w:b/>
                <w:sz w:val="24"/>
                <w:szCs w:val="24"/>
              </w:rPr>
              <w:t>Wyjaśnienie</w:t>
            </w:r>
          </w:p>
        </w:tc>
      </w:tr>
      <w:tr w:rsidR="007B082B" w:rsidRPr="00835753"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835753" w:rsidRDefault="007B082B" w:rsidP="00803BB4">
            <w:pPr>
              <w:autoSpaceDE w:val="0"/>
              <w:autoSpaceDN w:val="0"/>
              <w:adjustRightInd w:val="0"/>
              <w:jc w:val="both"/>
              <w:rPr>
                <w:rFonts w:ascii="Times New Roman" w:hAnsi="Times New Roman" w:cs="Times New Roman"/>
                <w:sz w:val="24"/>
              </w:rPr>
            </w:pPr>
            <w:r w:rsidRPr="00835753">
              <w:rPr>
                <w:rFonts w:ascii="Times New Roman" w:hAnsi="Times New Roman"/>
                <w:sz w:val="24"/>
              </w:rPr>
              <w:t>a</w:t>
            </w:r>
            <w:proofErr w:type="gramStart"/>
            <w:r w:rsidRPr="00835753">
              <w:rPr>
                <w:rFonts w:ascii="Times New Roman" w:hAnsi="Times New Roman"/>
                <w:sz w:val="24"/>
              </w:rPr>
              <w:t>)–e</w:t>
            </w:r>
            <w:proofErr w:type="gramEnd"/>
            <w:r w:rsidRPr="00835753">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835753" w:rsidRDefault="007B082B" w:rsidP="00803BB4">
            <w:pPr>
              <w:autoSpaceDE w:val="0"/>
              <w:autoSpaceDN w:val="0"/>
              <w:adjustRightInd w:val="0"/>
              <w:spacing w:before="60" w:after="120"/>
              <w:jc w:val="both"/>
              <w:rPr>
                <w:rFonts w:ascii="Times New Roman" w:hAnsi="Times New Roman" w:cs="Times New Roman"/>
                <w:b/>
                <w:sz w:val="24"/>
                <w:u w:val="single"/>
              </w:rPr>
            </w:pPr>
            <w:r w:rsidRPr="00835753">
              <w:rPr>
                <w:rFonts w:ascii="Times New Roman" w:hAnsi="Times New Roman"/>
                <w:b/>
                <w:sz w:val="24"/>
                <w:u w:val="single"/>
              </w:rPr>
              <w:t>Podział ze względu na kategorię ryzyka</w:t>
            </w:r>
          </w:p>
          <w:p w14:paraId="1B85930B" w14:textId="5B54E553" w:rsidR="007B082B" w:rsidRPr="00835753" w:rsidRDefault="007B082B" w:rsidP="00803BB4">
            <w:pPr>
              <w:spacing w:beforeLines="60" w:before="144" w:afterLines="60" w:after="144"/>
              <w:jc w:val="both"/>
              <w:rPr>
                <w:rFonts w:ascii="Times New Roman" w:hAnsi="Times New Roman" w:cs="Times New Roman"/>
                <w:sz w:val="24"/>
              </w:rPr>
            </w:pPr>
            <w:r w:rsidRPr="00835753">
              <w:rPr>
                <w:rFonts w:ascii="Times New Roman" w:hAnsi="Times New Roman"/>
                <w:sz w:val="24"/>
              </w:rPr>
              <w:lastRenderedPageBreak/>
              <w:t>Instytucje dokonują przyporządkowania swoich aktywów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zob</w:t>
            </w:r>
            <w:r w:rsidRPr="00835753">
              <w:rPr>
                <w:rFonts w:ascii="Times New Roman" w:hAnsi="Times New Roman"/>
                <w:sz w:val="24"/>
              </w:rPr>
              <w:t>owiązań wycenianych według wartości godziwej uwzględnionych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wyl</w:t>
            </w:r>
            <w:r w:rsidRPr="00835753">
              <w:rPr>
                <w:rFonts w:ascii="Times New Roman" w:hAnsi="Times New Roman"/>
                <w:sz w:val="24"/>
              </w:rPr>
              <w:t>iczeniach progu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 ust.</w:t>
            </w:r>
            <w:r w:rsidR="00835753" w:rsidRPr="00835753">
              <w:rPr>
                <w:rFonts w:ascii="Times New Roman" w:hAnsi="Times New Roman"/>
                <w:sz w:val="24"/>
              </w:rPr>
              <w:t> </w:t>
            </w:r>
            <w:r w:rsidRPr="00835753">
              <w:rPr>
                <w:rFonts w:ascii="Times New Roman" w:hAnsi="Times New Roman"/>
                <w:sz w:val="24"/>
              </w:rPr>
              <w:t>1 rozporządzenia delegowanego Komisji (UE) 2016/101 (zaliczanych do portfela handlowego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tfela bankowego)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nas</w:t>
            </w:r>
            <w:r w:rsidRPr="00835753">
              <w:rPr>
                <w:rFonts w:ascii="Times New Roman" w:hAnsi="Times New Roman"/>
                <w:sz w:val="24"/>
              </w:rPr>
              <w:t xml:space="preserve">tępującymi kategoriami ryzyka: ryzyko stopy procentowej, ryzyko walutowe, ryzyko kredytowe, ryzyko cen akcji, ryzyko cen towarów. </w:t>
            </w:r>
          </w:p>
          <w:p w14:paraId="6E66D513" w14:textId="581FE10C" w:rsidR="007B082B" w:rsidRPr="00835753" w:rsidRDefault="007B082B" w:rsidP="00803BB4">
            <w:pPr>
              <w:spacing w:beforeLines="60" w:before="144" w:afterLines="60" w:after="144"/>
              <w:jc w:val="both"/>
              <w:rPr>
                <w:rFonts w:ascii="Times New Roman" w:hAnsi="Times New Roman" w:cs="Times New Roman"/>
                <w:b/>
                <w:sz w:val="24"/>
                <w:u w:val="single"/>
              </w:rPr>
            </w:pPr>
            <w:r w:rsidRPr="00835753">
              <w:rPr>
                <w:rFonts w:ascii="Times New Roman" w:hAnsi="Times New Roman"/>
                <w:sz w:val="24"/>
              </w:rPr>
              <w:t>W ramach podziału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tyc</w:t>
            </w:r>
            <w:r w:rsidRPr="00835753">
              <w:rPr>
                <w:rFonts w:ascii="Times New Roman" w:hAnsi="Times New Roman"/>
                <w:sz w:val="24"/>
              </w:rPr>
              <w:t>h kolumnach nie uwzględniono AVA obliczanych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12</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3 rozporządzenia delegowanego Komisji (UE) 2016/101, które ujawnia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EU-e1 i EU-e2 niniejszego wzoru.</w:t>
            </w:r>
          </w:p>
        </w:tc>
      </w:tr>
      <w:tr w:rsidR="007B082B" w:rsidRPr="00835753"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835753"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835753" w:rsidRDefault="007B082B" w:rsidP="00803BB4">
            <w:pPr>
              <w:jc w:val="both"/>
              <w:rPr>
                <w:rFonts w:ascii="Times New Roman" w:hAnsi="Times New Roman" w:cs="Times New Roman"/>
                <w:color w:val="000000"/>
                <w:sz w:val="24"/>
              </w:rPr>
            </w:pPr>
            <w:r w:rsidRPr="00835753">
              <w:rPr>
                <w:rFonts w:ascii="Times New Roman" w:hAnsi="Times New Roman"/>
                <w:color w:val="000000"/>
                <w:sz w:val="24"/>
              </w:rPr>
              <w:t>EU e1</w:t>
            </w:r>
          </w:p>
          <w:p w14:paraId="4A58C4B8" w14:textId="77777777" w:rsidR="007B082B" w:rsidRPr="00835753"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45A84A9B" w:rsidR="007B082B" w:rsidRPr="00835753" w:rsidRDefault="007B082B" w:rsidP="00803BB4">
            <w:pPr>
              <w:autoSpaceDE w:val="0"/>
              <w:autoSpaceDN w:val="0"/>
              <w:adjustRightInd w:val="0"/>
              <w:spacing w:before="60" w:after="120"/>
              <w:jc w:val="both"/>
              <w:rPr>
                <w:rFonts w:ascii="Times New Roman" w:hAnsi="Times New Roman" w:cs="Times New Roman"/>
                <w:b/>
                <w:sz w:val="24"/>
                <w:u w:val="single"/>
              </w:rPr>
            </w:pPr>
            <w:r w:rsidRPr="00835753">
              <w:rPr>
                <w:rFonts w:ascii="Times New Roman" w:hAnsi="Times New Roman"/>
                <w:b/>
                <w:sz w:val="24"/>
                <w:u w:val="single"/>
              </w:rPr>
              <w:t>AVA na poziomie kategorii – niepewność wyceny AVA</w:t>
            </w:r>
            <w:r w:rsidR="00835753" w:rsidRPr="00835753">
              <w:rPr>
                <w:rFonts w:ascii="Times New Roman" w:hAnsi="Times New Roman"/>
                <w:b/>
                <w:sz w:val="24"/>
                <w:u w:val="single"/>
              </w:rPr>
              <w:t xml:space="preserve"> z</w:t>
            </w:r>
            <w:r w:rsidR="00835753">
              <w:rPr>
                <w:rFonts w:ascii="Times New Roman" w:hAnsi="Times New Roman"/>
                <w:b/>
                <w:sz w:val="24"/>
                <w:u w:val="single"/>
              </w:rPr>
              <w:t> </w:t>
            </w:r>
            <w:r w:rsidR="00835753" w:rsidRPr="00835753">
              <w:rPr>
                <w:rFonts w:ascii="Times New Roman" w:hAnsi="Times New Roman"/>
                <w:b/>
                <w:sz w:val="24"/>
                <w:u w:val="single"/>
              </w:rPr>
              <w:t>tyt</w:t>
            </w:r>
            <w:r w:rsidRPr="00835753">
              <w:rPr>
                <w:rFonts w:ascii="Times New Roman" w:hAnsi="Times New Roman"/>
                <w:b/>
                <w:sz w:val="24"/>
                <w:u w:val="single"/>
              </w:rPr>
              <w:t>ułu niezrealizowanych marż kredytowych</w:t>
            </w:r>
          </w:p>
          <w:p w14:paraId="1C52B61D" w14:textId="4F1AE97A" w:rsidR="007B082B" w:rsidRPr="00835753" w:rsidRDefault="007B082B" w:rsidP="00803BB4">
            <w:pPr>
              <w:spacing w:beforeLines="60" w:before="144" w:afterLines="60" w:after="144"/>
              <w:rPr>
                <w:rFonts w:ascii="Times New Roman" w:hAnsi="Times New Roman" w:cs="Times New Roman"/>
                <w:sz w:val="24"/>
              </w:rPr>
            </w:pPr>
            <w:r w:rsidRPr="00835753">
              <w:rPr>
                <w:rFonts w:ascii="Times New Roman" w:hAnsi="Times New Roman"/>
                <w:sz w:val="24"/>
              </w:rPr>
              <w:t>Art. 105 ust.</w:t>
            </w:r>
            <w:r w:rsidR="00835753" w:rsidRPr="00835753">
              <w:rPr>
                <w:rFonts w:ascii="Times New Roman" w:hAnsi="Times New Roman"/>
                <w:sz w:val="24"/>
              </w:rPr>
              <w:t> </w:t>
            </w:r>
            <w:r w:rsidRPr="00835753">
              <w:rPr>
                <w:rFonts w:ascii="Times New Roman" w:hAnsi="Times New Roman"/>
                <w:sz w:val="24"/>
              </w:rPr>
              <w:t>10 CRR, art.</w:t>
            </w:r>
            <w:r w:rsidR="00835753" w:rsidRPr="00835753">
              <w:rPr>
                <w:rFonts w:ascii="Times New Roman" w:hAnsi="Times New Roman"/>
                <w:sz w:val="24"/>
              </w:rPr>
              <w:t> </w:t>
            </w:r>
            <w:r w:rsidRPr="00835753">
              <w:rPr>
                <w:rFonts w:ascii="Times New Roman" w:hAnsi="Times New Roman"/>
                <w:sz w:val="24"/>
              </w:rPr>
              <w:t xml:space="preserve">12 rozporządzenia delegowanego Komisji (UE) 2016/101 </w:t>
            </w:r>
          </w:p>
          <w:p w14:paraId="0F66C5FD" w14:textId="31FE0945" w:rsidR="007B082B" w:rsidRPr="00835753" w:rsidRDefault="007B082B" w:rsidP="00CA31E6">
            <w:pPr>
              <w:spacing w:beforeLines="60" w:before="144" w:afterLines="60" w:after="144"/>
              <w:jc w:val="both"/>
              <w:rPr>
                <w:rFonts w:ascii="Times New Roman" w:hAnsi="Times New Roman" w:cs="Times New Roman"/>
                <w:b/>
                <w:sz w:val="24"/>
                <w:u w:val="single"/>
              </w:rPr>
            </w:pPr>
            <w:r w:rsidRPr="00835753">
              <w:rPr>
                <w:rFonts w:ascii="Times New Roman" w:hAnsi="Times New Roman"/>
                <w:sz w:val="24"/>
              </w:rPr>
              <w:t>Całkowitą AVA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niezrealizowanych marż kredytowych („AVA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CVA”) oraz jej przyporządkowanie do AVA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niepewności dotyczącej cen rynkowych, kosztów zamknięcia lub ryzyka modelu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12 rozporządzenia delegowanego Komisji (UE) 2016/101.</w:t>
            </w:r>
          </w:p>
        </w:tc>
      </w:tr>
      <w:tr w:rsidR="007B082B" w:rsidRPr="00835753"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835753"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835753" w:rsidRDefault="007B082B" w:rsidP="00803BB4">
            <w:pPr>
              <w:jc w:val="both"/>
              <w:rPr>
                <w:rFonts w:ascii="Times New Roman" w:hAnsi="Times New Roman" w:cs="Times New Roman"/>
                <w:color w:val="000000"/>
                <w:sz w:val="24"/>
              </w:rPr>
            </w:pPr>
            <w:r w:rsidRPr="00835753">
              <w:rPr>
                <w:rFonts w:ascii="Times New Roman" w:hAnsi="Times New Roman"/>
                <w:color w:val="000000"/>
                <w:sz w:val="24"/>
              </w:rPr>
              <w:t>EU e2</w:t>
            </w:r>
          </w:p>
          <w:p w14:paraId="165F5F0A" w14:textId="77777777" w:rsidR="007B082B" w:rsidRPr="00835753"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28E3A85E" w:rsidR="007B082B" w:rsidRPr="00835753" w:rsidRDefault="007B082B" w:rsidP="00803BB4">
            <w:pPr>
              <w:autoSpaceDE w:val="0"/>
              <w:autoSpaceDN w:val="0"/>
              <w:adjustRightInd w:val="0"/>
              <w:spacing w:before="60" w:after="120"/>
              <w:jc w:val="both"/>
              <w:rPr>
                <w:rFonts w:ascii="Times New Roman" w:hAnsi="Times New Roman" w:cs="Times New Roman"/>
                <w:b/>
                <w:sz w:val="24"/>
                <w:u w:val="single"/>
              </w:rPr>
            </w:pPr>
            <w:r w:rsidRPr="00835753">
              <w:rPr>
                <w:rFonts w:ascii="Times New Roman" w:hAnsi="Times New Roman"/>
                <w:b/>
                <w:sz w:val="24"/>
                <w:u w:val="single"/>
              </w:rPr>
              <w:t>AVA na poziomie kategorii – AVA</w:t>
            </w:r>
            <w:r w:rsidR="00835753" w:rsidRPr="00835753">
              <w:rPr>
                <w:rFonts w:ascii="Times New Roman" w:hAnsi="Times New Roman"/>
                <w:b/>
                <w:sz w:val="24"/>
                <w:u w:val="single"/>
              </w:rPr>
              <w:t xml:space="preserve"> z</w:t>
            </w:r>
            <w:r w:rsidR="00835753">
              <w:rPr>
                <w:rFonts w:ascii="Times New Roman" w:hAnsi="Times New Roman"/>
                <w:b/>
                <w:sz w:val="24"/>
                <w:u w:val="single"/>
              </w:rPr>
              <w:t> </w:t>
            </w:r>
            <w:r w:rsidR="00835753" w:rsidRPr="00835753">
              <w:rPr>
                <w:rFonts w:ascii="Times New Roman" w:hAnsi="Times New Roman"/>
                <w:b/>
                <w:sz w:val="24"/>
                <w:u w:val="single"/>
              </w:rPr>
              <w:t>tyt</w:t>
            </w:r>
            <w:r w:rsidRPr="00835753">
              <w:rPr>
                <w:rFonts w:ascii="Times New Roman" w:hAnsi="Times New Roman"/>
                <w:b/>
                <w:sz w:val="24"/>
                <w:u w:val="single"/>
              </w:rPr>
              <w:t>ułu kosztów inwestycji</w:t>
            </w:r>
            <w:r w:rsidR="00835753" w:rsidRPr="00835753">
              <w:rPr>
                <w:rFonts w:ascii="Times New Roman" w:hAnsi="Times New Roman"/>
                <w:b/>
                <w:sz w:val="24"/>
                <w:u w:val="single"/>
              </w:rPr>
              <w:t xml:space="preserve"> i</w:t>
            </w:r>
            <w:r w:rsidR="00835753">
              <w:rPr>
                <w:rFonts w:ascii="Times New Roman" w:hAnsi="Times New Roman"/>
                <w:b/>
                <w:sz w:val="24"/>
                <w:u w:val="single"/>
              </w:rPr>
              <w:t> </w:t>
            </w:r>
            <w:r w:rsidR="00835753" w:rsidRPr="00835753">
              <w:rPr>
                <w:rFonts w:ascii="Times New Roman" w:hAnsi="Times New Roman"/>
                <w:b/>
                <w:sz w:val="24"/>
                <w:u w:val="single"/>
              </w:rPr>
              <w:t>fin</w:t>
            </w:r>
            <w:r w:rsidRPr="00835753">
              <w:rPr>
                <w:rFonts w:ascii="Times New Roman" w:hAnsi="Times New Roman"/>
                <w:b/>
                <w:sz w:val="24"/>
                <w:u w:val="single"/>
              </w:rPr>
              <w:t>ansowania</w:t>
            </w:r>
          </w:p>
          <w:p w14:paraId="685CA47C" w14:textId="704211DF" w:rsidR="007B082B" w:rsidRPr="00835753" w:rsidRDefault="007B082B" w:rsidP="00803BB4">
            <w:pPr>
              <w:spacing w:beforeLines="60" w:before="144" w:afterLines="60" w:after="144"/>
              <w:rPr>
                <w:rFonts w:ascii="Times New Roman" w:hAnsi="Times New Roman" w:cs="Times New Roman"/>
                <w:caps/>
                <w:sz w:val="24"/>
                <w:u w:val="single"/>
              </w:rPr>
            </w:pPr>
            <w:r w:rsidRPr="00835753">
              <w:rPr>
                <w:rFonts w:ascii="Times New Roman" w:hAnsi="Times New Roman"/>
                <w:sz w:val="24"/>
              </w:rPr>
              <w:t>Art. 105 ust.</w:t>
            </w:r>
            <w:r w:rsidR="00835753" w:rsidRPr="00835753">
              <w:rPr>
                <w:rFonts w:ascii="Times New Roman" w:hAnsi="Times New Roman"/>
                <w:sz w:val="24"/>
              </w:rPr>
              <w:t> </w:t>
            </w:r>
            <w:r w:rsidRPr="00835753">
              <w:rPr>
                <w:rFonts w:ascii="Times New Roman" w:hAnsi="Times New Roman"/>
                <w:sz w:val="24"/>
              </w:rPr>
              <w:t>10 CRR, art.</w:t>
            </w:r>
            <w:r w:rsidR="00835753" w:rsidRPr="00835753">
              <w:rPr>
                <w:rFonts w:ascii="Times New Roman" w:hAnsi="Times New Roman"/>
                <w:sz w:val="24"/>
              </w:rPr>
              <w:t> </w:t>
            </w:r>
            <w:r w:rsidRPr="00835753">
              <w:rPr>
                <w:rFonts w:ascii="Times New Roman" w:hAnsi="Times New Roman"/>
                <w:sz w:val="24"/>
              </w:rPr>
              <w:t>13 rozporządzenia delegowanego Komisji (UE) 2016/101</w:t>
            </w:r>
          </w:p>
          <w:p w14:paraId="451F1A0A" w14:textId="33EE6E52" w:rsidR="007B082B" w:rsidRPr="00835753" w:rsidRDefault="007B082B" w:rsidP="00803BB4">
            <w:pPr>
              <w:spacing w:beforeLines="60" w:before="144" w:afterLines="60" w:after="144"/>
              <w:jc w:val="both"/>
              <w:rPr>
                <w:rFonts w:ascii="Times New Roman" w:hAnsi="Times New Roman" w:cs="Times New Roman"/>
                <w:b/>
                <w:sz w:val="24"/>
                <w:u w:val="single"/>
              </w:rPr>
            </w:pPr>
            <w:r w:rsidRPr="00835753">
              <w:rPr>
                <w:rFonts w:ascii="Times New Roman" w:hAnsi="Times New Roman"/>
                <w:sz w:val="24"/>
              </w:rPr>
              <w:t>Całkowitą kwotę AVA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kosztów inwestycji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fin</w:t>
            </w:r>
            <w:r w:rsidRPr="00835753">
              <w:rPr>
                <w:rFonts w:ascii="Times New Roman" w:hAnsi="Times New Roman"/>
                <w:sz w:val="24"/>
              </w:rPr>
              <w:t>ansowania oraz jej przyporządkowanie do AVA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niepewności dotyczącej cen rynkowych, AVA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kosztów zamknięcia lub AVA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modelu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13 rozporządzenia delegowanego Komisji (UE) 2016/101.</w:t>
            </w:r>
          </w:p>
        </w:tc>
      </w:tr>
      <w:tr w:rsidR="007B082B" w:rsidRPr="00835753"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835753" w:rsidRDefault="007B082B" w:rsidP="00803BB4">
            <w:pPr>
              <w:jc w:val="both"/>
              <w:rPr>
                <w:rFonts w:ascii="Times New Roman" w:hAnsi="Times New Roman" w:cs="Times New Roman"/>
                <w:color w:val="000000"/>
                <w:sz w:val="24"/>
              </w:rPr>
            </w:pPr>
            <w:proofErr w:type="gramStart"/>
            <w:r w:rsidRPr="00835753">
              <w:rPr>
                <w:rFonts w:ascii="Times New Roman" w:hAnsi="Times New Roman"/>
                <w:color w:val="000000"/>
                <w:sz w:val="24"/>
              </w:rPr>
              <w:t>f</w:t>
            </w:r>
            <w:proofErr w:type="gramEnd"/>
            <w:r w:rsidRPr="00835753">
              <w:rPr>
                <w:rFonts w:ascii="Times New Roman" w:hAnsi="Times New Roman"/>
                <w:color w:val="000000"/>
                <w:sz w:val="24"/>
              </w:rPr>
              <w:t>)</w:t>
            </w:r>
          </w:p>
          <w:p w14:paraId="6A3F70B0" w14:textId="77777777" w:rsidR="007B082B" w:rsidRPr="00835753"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835753" w:rsidRDefault="007B082B" w:rsidP="00803BB4">
            <w:pPr>
              <w:autoSpaceDE w:val="0"/>
              <w:autoSpaceDN w:val="0"/>
              <w:adjustRightInd w:val="0"/>
              <w:spacing w:before="60" w:after="120"/>
              <w:jc w:val="both"/>
              <w:rPr>
                <w:rFonts w:ascii="Times New Roman" w:hAnsi="Times New Roman" w:cs="Times New Roman"/>
                <w:b/>
                <w:sz w:val="24"/>
                <w:u w:val="single"/>
              </w:rPr>
            </w:pPr>
            <w:r w:rsidRPr="00835753">
              <w:rPr>
                <w:rFonts w:ascii="Times New Roman" w:hAnsi="Times New Roman"/>
                <w:b/>
                <w:sz w:val="24"/>
                <w:u w:val="single"/>
              </w:rPr>
              <w:t>Razem na poziomie kategorii po dywersyfikacji</w:t>
            </w:r>
          </w:p>
          <w:p w14:paraId="1DE91740" w14:textId="5CEB7424" w:rsidR="007B082B" w:rsidRPr="00835753" w:rsidRDefault="007B082B" w:rsidP="00803BB4">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W odniesieniu do portfeli podlegających metodzie podstawowej określonej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dziale III rozporządzenia delegowanego Komisji (UE) 2016/101 wartość razem na poziomie kategorii po dywersyfikacji obejmuje całkowitą kwotę AVA obliczoną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odą podstawową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aktywów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zob</w:t>
            </w:r>
            <w:r w:rsidRPr="00835753">
              <w:rPr>
                <w:rFonts w:ascii="Times New Roman" w:hAnsi="Times New Roman"/>
                <w:sz w:val="24"/>
              </w:rPr>
              <w:t>owiązań wycenianych według wartości godziwej uwzględnionych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wyl</w:t>
            </w:r>
            <w:r w:rsidRPr="00835753">
              <w:rPr>
                <w:rFonts w:ascii="Times New Roman" w:hAnsi="Times New Roman"/>
                <w:sz w:val="24"/>
              </w:rPr>
              <w:t>iczeniach progu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 ust.</w:t>
            </w:r>
            <w:r w:rsidR="00835753" w:rsidRPr="00835753">
              <w:rPr>
                <w:rFonts w:ascii="Times New Roman" w:hAnsi="Times New Roman"/>
                <w:sz w:val="24"/>
              </w:rPr>
              <w:t> </w:t>
            </w:r>
            <w:r w:rsidRPr="00835753">
              <w:rPr>
                <w:rFonts w:ascii="Times New Roman" w:hAnsi="Times New Roman"/>
                <w:sz w:val="24"/>
              </w:rPr>
              <w:t>1 rozporządzenia delegowanego Komisji (UE) 2016/101. Obejmuje to korzyści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dyw</w:t>
            </w:r>
            <w:r w:rsidRPr="00835753">
              <w:rPr>
                <w:rFonts w:ascii="Times New Roman" w:hAnsi="Times New Roman"/>
                <w:sz w:val="24"/>
              </w:rPr>
              <w:t>ersyfikacji określone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 ust.</w:t>
            </w:r>
            <w:r w:rsidR="00835753" w:rsidRPr="00835753">
              <w:rPr>
                <w:rFonts w:ascii="Times New Roman" w:hAnsi="Times New Roman"/>
                <w:sz w:val="24"/>
              </w:rPr>
              <w:t> </w:t>
            </w:r>
            <w:r w:rsidRPr="00835753">
              <w:rPr>
                <w:rFonts w:ascii="Times New Roman" w:hAnsi="Times New Roman"/>
                <w:sz w:val="24"/>
              </w:rPr>
              <w:t>6, art.</w:t>
            </w:r>
            <w:r w:rsidR="00835753" w:rsidRPr="00835753">
              <w:rPr>
                <w:rFonts w:ascii="Times New Roman" w:hAnsi="Times New Roman"/>
                <w:sz w:val="24"/>
              </w:rPr>
              <w:t> </w:t>
            </w:r>
            <w:r w:rsidRPr="00835753">
              <w:rPr>
                <w:rFonts w:ascii="Times New Roman" w:hAnsi="Times New Roman"/>
                <w:sz w:val="24"/>
              </w:rPr>
              <w:t>10 ust.</w:t>
            </w:r>
            <w:r w:rsidR="00835753" w:rsidRPr="00835753">
              <w:rPr>
                <w:rFonts w:ascii="Times New Roman" w:hAnsi="Times New Roman"/>
                <w:sz w:val="24"/>
              </w:rPr>
              <w:t> </w:t>
            </w:r>
            <w:r w:rsidRPr="00835753">
              <w:rPr>
                <w:rFonts w:ascii="Times New Roman" w:hAnsi="Times New Roman"/>
                <w:sz w:val="24"/>
              </w:rPr>
              <w:t>7</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11 ust.</w:t>
            </w:r>
            <w:r w:rsidR="00835753" w:rsidRPr="00835753">
              <w:rPr>
                <w:rFonts w:ascii="Times New Roman" w:hAnsi="Times New Roman"/>
                <w:sz w:val="24"/>
              </w:rPr>
              <w:t> </w:t>
            </w:r>
            <w:r w:rsidRPr="00835753">
              <w:rPr>
                <w:rFonts w:ascii="Times New Roman" w:hAnsi="Times New Roman"/>
                <w:sz w:val="24"/>
              </w:rPr>
              <w:t>7 rozporządzenia delegowanego Komisji (UE) 2016/101.</w:t>
            </w:r>
          </w:p>
          <w:p w14:paraId="122DB025" w14:textId="471B3CFE" w:rsidR="007B082B" w:rsidRPr="00835753" w:rsidRDefault="007B082B" w:rsidP="00803BB4">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Całkowita kwota AVA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12 kolumna f) niniejszego wzoru obejmuje kwoty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7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b) ppkt (i</w:t>
            </w:r>
            <w:proofErr w:type="gramStart"/>
            <w:r w:rsidRPr="00835753">
              <w:rPr>
                <w:rFonts w:ascii="Times New Roman" w:hAnsi="Times New Roman"/>
                <w:sz w:val="24"/>
              </w:rPr>
              <w:t>)–(iii</w:t>
            </w:r>
            <w:proofErr w:type="gramEnd"/>
            <w:r w:rsidRPr="00835753">
              <w:rPr>
                <w:rFonts w:ascii="Times New Roman" w:hAnsi="Times New Roman"/>
                <w:sz w:val="24"/>
              </w:rPr>
              <w:t>) rozporządzenia delegowanego (UE) 2016/101</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ewentualnych portfeli podlegających metodzie rezerwowej.</w:t>
            </w:r>
          </w:p>
          <w:p w14:paraId="7DCB3043" w14:textId="7F98C7F9" w:rsidR="007B082B" w:rsidRPr="00835753" w:rsidRDefault="007B082B" w:rsidP="00803BB4">
            <w:pPr>
              <w:autoSpaceDE w:val="0"/>
              <w:autoSpaceDN w:val="0"/>
              <w:adjustRightInd w:val="0"/>
              <w:spacing w:before="60" w:after="120"/>
              <w:jc w:val="both"/>
              <w:rPr>
                <w:rFonts w:ascii="Times New Roman" w:hAnsi="Times New Roman" w:cs="Times New Roman"/>
                <w:i/>
                <w:sz w:val="24"/>
              </w:rPr>
            </w:pPr>
            <w:r w:rsidRPr="00835753">
              <w:rPr>
                <w:rFonts w:ascii="Times New Roman" w:hAnsi="Times New Roman"/>
                <w:sz w:val="24"/>
              </w:rPr>
              <w:t>W odniesieniu do portfeli podlegających metodzie uproszczonej określonej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dziale II rozporządzenia delegowanego (UE) 2016/101</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 xml:space="preserve">resie </w:t>
            </w:r>
            <w:r w:rsidRPr="00835753">
              <w:rPr>
                <w:rFonts w:ascii="Times New Roman" w:hAnsi="Times New Roman"/>
                <w:sz w:val="24"/>
              </w:rPr>
              <w:lastRenderedPageBreak/>
              <w:t>ostrożnej wyceny całkowitą kwotę AVA ujmowaną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12 niniejszego wzoru stanowi kwota obliczana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5 tego rozdziału.</w:t>
            </w:r>
          </w:p>
        </w:tc>
      </w:tr>
      <w:tr w:rsidR="007B082B" w:rsidRPr="00835753"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835753" w:rsidRDefault="007B082B" w:rsidP="00803BB4">
            <w:pPr>
              <w:autoSpaceDE w:val="0"/>
              <w:autoSpaceDN w:val="0"/>
              <w:adjustRightInd w:val="0"/>
              <w:jc w:val="both"/>
              <w:rPr>
                <w:rFonts w:ascii="Times New Roman" w:hAnsi="Times New Roman" w:cs="Times New Roman"/>
                <w:sz w:val="24"/>
              </w:rPr>
            </w:pPr>
            <w:proofErr w:type="gramStart"/>
            <w:r w:rsidRPr="00835753">
              <w:rPr>
                <w:rFonts w:ascii="Times New Roman" w:hAnsi="Times New Roman"/>
                <w:sz w:val="24"/>
              </w:rPr>
              <w:lastRenderedPageBreak/>
              <w:t>g</w:t>
            </w:r>
            <w:proofErr w:type="gramEnd"/>
            <w:r w:rsidRPr="00835753">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65C30734" w:rsidR="007B082B" w:rsidRPr="00835753" w:rsidRDefault="007B082B" w:rsidP="00803BB4">
            <w:pPr>
              <w:autoSpaceDE w:val="0"/>
              <w:autoSpaceDN w:val="0"/>
              <w:adjustRightInd w:val="0"/>
              <w:spacing w:before="60" w:after="120"/>
              <w:jc w:val="both"/>
              <w:rPr>
                <w:rFonts w:ascii="Times New Roman" w:hAnsi="Times New Roman" w:cs="Times New Roman"/>
                <w:b/>
                <w:sz w:val="24"/>
                <w:u w:val="single"/>
              </w:rPr>
            </w:pPr>
            <w:proofErr w:type="gramStart"/>
            <w:r w:rsidRPr="00835753">
              <w:rPr>
                <w:rFonts w:ascii="Times New Roman" w:hAnsi="Times New Roman"/>
                <w:b/>
                <w:sz w:val="24"/>
                <w:u w:val="single"/>
              </w:rPr>
              <w:t>w</w:t>
            </w:r>
            <w:proofErr w:type="gramEnd"/>
            <w:r w:rsidRPr="00835753">
              <w:rPr>
                <w:rFonts w:ascii="Times New Roman" w:hAnsi="Times New Roman"/>
                <w:b/>
                <w:sz w:val="24"/>
                <w:u w:val="single"/>
              </w:rPr>
              <w:t xml:space="preserve"> tym: metoda podstawowa razem</w:t>
            </w:r>
            <w:r w:rsidR="00835753" w:rsidRPr="00835753">
              <w:rPr>
                <w:rFonts w:ascii="Times New Roman" w:hAnsi="Times New Roman"/>
                <w:b/>
                <w:sz w:val="24"/>
                <w:u w:val="single"/>
              </w:rPr>
              <w:t xml:space="preserve"> w</w:t>
            </w:r>
            <w:r w:rsidR="00835753">
              <w:rPr>
                <w:rFonts w:ascii="Times New Roman" w:hAnsi="Times New Roman"/>
                <w:b/>
                <w:sz w:val="24"/>
                <w:u w:val="single"/>
              </w:rPr>
              <w:t> </w:t>
            </w:r>
            <w:r w:rsidR="00835753" w:rsidRPr="00835753">
              <w:rPr>
                <w:rFonts w:ascii="Times New Roman" w:hAnsi="Times New Roman"/>
                <w:b/>
                <w:sz w:val="24"/>
                <w:u w:val="single"/>
              </w:rPr>
              <w:t>por</w:t>
            </w:r>
            <w:r w:rsidRPr="00835753">
              <w:rPr>
                <w:rFonts w:ascii="Times New Roman" w:hAnsi="Times New Roman"/>
                <w:b/>
                <w:sz w:val="24"/>
                <w:u w:val="single"/>
              </w:rPr>
              <w:t>tfelu handlowym</w:t>
            </w:r>
          </w:p>
          <w:p w14:paraId="65482E24" w14:textId="74B9C5C4" w:rsidR="007B082B" w:rsidRPr="00835753" w:rsidRDefault="007B082B" w:rsidP="00803BB4">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W odniesieniu do poszczególnych stosownych kategorii AVA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portfeli podlegających metodzie podstawowej określonej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dziale III rozporządzenia delegowanego Komisji (UE) 2016/101 – udział AVA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ycji utrzymywanych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tfelu handlowym: wszystkie pozycje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 finansowych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w:t>
            </w:r>
            <w:r w:rsidR="00835753">
              <w:rPr>
                <w:rFonts w:ascii="Times New Roman" w:hAnsi="Times New Roman"/>
                <w:sz w:val="24"/>
              </w:rPr>
              <w:t> </w:t>
            </w:r>
            <w:r w:rsidR="00835753" w:rsidRPr="00835753">
              <w:rPr>
                <w:rFonts w:ascii="Times New Roman" w:hAnsi="Times New Roman"/>
                <w:sz w:val="24"/>
              </w:rPr>
              <w:t>tow</w:t>
            </w:r>
            <w:r w:rsidRPr="00835753">
              <w:rPr>
                <w:rFonts w:ascii="Times New Roman" w:hAnsi="Times New Roman"/>
                <w:sz w:val="24"/>
              </w:rPr>
              <w:t>arach, które to pozycje instytucja przeznacza do obrotu albo do celów zabezpieczenia pozycji przeznaczonych do obrotu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 xml:space="preserve">104 CRR. </w:t>
            </w:r>
          </w:p>
          <w:p w14:paraId="1D1EF6B8" w14:textId="7149B3CC" w:rsidR="007B082B" w:rsidRPr="00835753" w:rsidRDefault="007B082B" w:rsidP="00803BB4">
            <w:pPr>
              <w:autoSpaceDE w:val="0"/>
              <w:autoSpaceDN w:val="0"/>
              <w:adjustRightInd w:val="0"/>
              <w:spacing w:before="60" w:after="120"/>
              <w:jc w:val="both"/>
              <w:rPr>
                <w:rFonts w:ascii="Times New Roman" w:hAnsi="Times New Roman" w:cs="Times New Roman"/>
                <w:b/>
                <w:sz w:val="24"/>
                <w:u w:val="single"/>
              </w:rPr>
            </w:pPr>
            <w:r w:rsidRPr="00835753">
              <w:rPr>
                <w:rFonts w:ascii="Times New Roman" w:hAnsi="Times New Roman"/>
                <w:sz w:val="24"/>
              </w:rPr>
              <w:t>Ujawniana wartość obejmuje korzyści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dyw</w:t>
            </w:r>
            <w:r w:rsidRPr="00835753">
              <w:rPr>
                <w:rFonts w:ascii="Times New Roman" w:hAnsi="Times New Roman"/>
                <w:sz w:val="24"/>
              </w:rPr>
              <w:t>ersyfikacji określone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 ust.</w:t>
            </w:r>
            <w:r w:rsidR="00835753" w:rsidRPr="00835753">
              <w:rPr>
                <w:rFonts w:ascii="Times New Roman" w:hAnsi="Times New Roman"/>
                <w:sz w:val="24"/>
              </w:rPr>
              <w:t> </w:t>
            </w:r>
            <w:r w:rsidRPr="00835753">
              <w:rPr>
                <w:rFonts w:ascii="Times New Roman" w:hAnsi="Times New Roman"/>
                <w:sz w:val="24"/>
              </w:rPr>
              <w:t>6, art.</w:t>
            </w:r>
            <w:r w:rsidR="00835753" w:rsidRPr="00835753">
              <w:rPr>
                <w:rFonts w:ascii="Times New Roman" w:hAnsi="Times New Roman"/>
                <w:sz w:val="24"/>
              </w:rPr>
              <w:t> </w:t>
            </w:r>
            <w:r w:rsidRPr="00835753">
              <w:rPr>
                <w:rFonts w:ascii="Times New Roman" w:hAnsi="Times New Roman"/>
                <w:sz w:val="24"/>
              </w:rPr>
              <w:t>10 ust.</w:t>
            </w:r>
            <w:r w:rsidR="00835753" w:rsidRPr="00835753">
              <w:rPr>
                <w:rFonts w:ascii="Times New Roman" w:hAnsi="Times New Roman"/>
                <w:sz w:val="24"/>
              </w:rPr>
              <w:t> </w:t>
            </w:r>
            <w:r w:rsidRPr="00835753">
              <w:rPr>
                <w:rFonts w:ascii="Times New Roman" w:hAnsi="Times New Roman"/>
                <w:sz w:val="24"/>
              </w:rPr>
              <w:t>7</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11 ust.</w:t>
            </w:r>
            <w:r w:rsidR="00835753" w:rsidRPr="00835753">
              <w:rPr>
                <w:rFonts w:ascii="Times New Roman" w:hAnsi="Times New Roman"/>
                <w:sz w:val="24"/>
              </w:rPr>
              <w:t> </w:t>
            </w:r>
            <w:r w:rsidRPr="00835753">
              <w:rPr>
                <w:rFonts w:ascii="Times New Roman" w:hAnsi="Times New Roman"/>
                <w:sz w:val="24"/>
              </w:rPr>
              <w:t>7 rozporządzenia delegowanego Komisji (UE) 2016/101.</w:t>
            </w:r>
          </w:p>
        </w:tc>
      </w:tr>
      <w:tr w:rsidR="007B082B" w:rsidRPr="00835753"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835753" w:rsidRDefault="007B082B" w:rsidP="00803BB4">
            <w:pPr>
              <w:autoSpaceDE w:val="0"/>
              <w:autoSpaceDN w:val="0"/>
              <w:adjustRightInd w:val="0"/>
              <w:jc w:val="both"/>
              <w:rPr>
                <w:rFonts w:ascii="Times New Roman" w:hAnsi="Times New Roman" w:cs="Times New Roman"/>
                <w:sz w:val="24"/>
              </w:rPr>
            </w:pPr>
            <w:proofErr w:type="gramStart"/>
            <w:r w:rsidRPr="00835753">
              <w:rPr>
                <w:rFonts w:ascii="Times New Roman" w:hAnsi="Times New Roman"/>
                <w:sz w:val="24"/>
              </w:rPr>
              <w:t>h</w:t>
            </w:r>
            <w:proofErr w:type="gramEnd"/>
            <w:r w:rsidRPr="00835753">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6F750A28" w:rsidR="007B082B" w:rsidRPr="00835753" w:rsidRDefault="007B082B" w:rsidP="00803BB4">
            <w:pPr>
              <w:autoSpaceDE w:val="0"/>
              <w:autoSpaceDN w:val="0"/>
              <w:adjustRightInd w:val="0"/>
              <w:spacing w:before="60" w:after="120"/>
              <w:jc w:val="both"/>
              <w:rPr>
                <w:rFonts w:ascii="Times New Roman" w:hAnsi="Times New Roman" w:cs="Times New Roman"/>
                <w:b/>
                <w:sz w:val="24"/>
                <w:u w:val="single"/>
              </w:rPr>
            </w:pPr>
            <w:proofErr w:type="gramStart"/>
            <w:r w:rsidRPr="00835753">
              <w:rPr>
                <w:rFonts w:ascii="Times New Roman" w:hAnsi="Times New Roman"/>
                <w:b/>
                <w:sz w:val="24"/>
                <w:u w:val="single"/>
              </w:rPr>
              <w:t>w</w:t>
            </w:r>
            <w:proofErr w:type="gramEnd"/>
            <w:r w:rsidRPr="00835753">
              <w:rPr>
                <w:rFonts w:ascii="Times New Roman" w:hAnsi="Times New Roman"/>
                <w:b/>
                <w:sz w:val="24"/>
                <w:u w:val="single"/>
              </w:rPr>
              <w:t xml:space="preserve"> tym: metoda podstawowa razem</w:t>
            </w:r>
            <w:r w:rsidR="00835753" w:rsidRPr="00835753">
              <w:rPr>
                <w:rFonts w:ascii="Times New Roman" w:hAnsi="Times New Roman"/>
                <w:b/>
                <w:sz w:val="24"/>
                <w:u w:val="single"/>
              </w:rPr>
              <w:t xml:space="preserve"> w</w:t>
            </w:r>
            <w:r w:rsidR="00835753">
              <w:rPr>
                <w:rFonts w:ascii="Times New Roman" w:hAnsi="Times New Roman"/>
                <w:b/>
                <w:sz w:val="24"/>
                <w:u w:val="single"/>
              </w:rPr>
              <w:t> </w:t>
            </w:r>
            <w:r w:rsidR="00835753" w:rsidRPr="00835753">
              <w:rPr>
                <w:rFonts w:ascii="Times New Roman" w:hAnsi="Times New Roman"/>
                <w:b/>
                <w:sz w:val="24"/>
                <w:u w:val="single"/>
              </w:rPr>
              <w:t>por</w:t>
            </w:r>
            <w:r w:rsidRPr="00835753">
              <w:rPr>
                <w:rFonts w:ascii="Times New Roman" w:hAnsi="Times New Roman"/>
                <w:b/>
                <w:sz w:val="24"/>
                <w:u w:val="single"/>
              </w:rPr>
              <w:t>tfelu bankowym</w:t>
            </w:r>
          </w:p>
          <w:p w14:paraId="1519006A" w14:textId="68FB22AB" w:rsidR="007B082B" w:rsidRPr="00835753" w:rsidRDefault="007B082B" w:rsidP="00803BB4">
            <w:pPr>
              <w:autoSpaceDE w:val="0"/>
              <w:autoSpaceDN w:val="0"/>
              <w:adjustRightInd w:val="0"/>
              <w:spacing w:before="60" w:after="120"/>
              <w:jc w:val="both"/>
              <w:rPr>
                <w:rFonts w:ascii="Times New Roman" w:hAnsi="Times New Roman" w:cs="Times New Roman"/>
                <w:color w:val="000000"/>
                <w:sz w:val="24"/>
              </w:rPr>
            </w:pPr>
            <w:r w:rsidRPr="00835753">
              <w:rPr>
                <w:rFonts w:ascii="Times New Roman" w:hAnsi="Times New Roman"/>
                <w:sz w:val="24"/>
              </w:rPr>
              <w:t>W odniesieniu do poszczególnych stosownych kategorii AVA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portfeli podlegających metodzie podstawowej określonej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dziale III rozporządzenia delegowanego Komisji (UE) 2016/101 – udział AVA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color w:val="000000"/>
                <w:sz w:val="24"/>
              </w:rPr>
              <w:t>poz</w:t>
            </w:r>
            <w:r w:rsidRPr="00835753">
              <w:rPr>
                <w:rFonts w:ascii="Times New Roman" w:hAnsi="Times New Roman"/>
                <w:color w:val="000000"/>
                <w:sz w:val="24"/>
              </w:rPr>
              <w:t>ycji wycenianych według wartości godziwej</w:t>
            </w:r>
            <w:r w:rsidR="00835753" w:rsidRPr="00835753">
              <w:rPr>
                <w:rFonts w:ascii="Times New Roman" w:hAnsi="Times New Roman"/>
                <w:color w:val="000000"/>
                <w:sz w:val="24"/>
              </w:rPr>
              <w:t xml:space="preserve"> </w:t>
            </w:r>
            <w:r w:rsidR="00835753" w:rsidRPr="00835753">
              <w:rPr>
                <w:rFonts w:ascii="Times New Roman" w:hAnsi="Times New Roman"/>
                <w:sz w:val="24"/>
              </w:rPr>
              <w:t>w</w:t>
            </w:r>
            <w:r w:rsidR="00835753">
              <w:rPr>
                <w:rFonts w:ascii="Times New Roman" w:hAnsi="Times New Roman"/>
                <w:color w:val="000000"/>
                <w:sz w:val="24"/>
              </w:rPr>
              <w:t> </w:t>
            </w:r>
            <w:r w:rsidR="00835753" w:rsidRPr="00835753">
              <w:rPr>
                <w:rFonts w:ascii="Times New Roman" w:hAnsi="Times New Roman"/>
                <w:sz w:val="24"/>
              </w:rPr>
              <w:t>ins</w:t>
            </w:r>
            <w:r w:rsidRPr="00835753">
              <w:rPr>
                <w:rFonts w:ascii="Times New Roman" w:hAnsi="Times New Roman"/>
                <w:sz w:val="24"/>
              </w:rPr>
              <w:t>trumentach finansowych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tow</w:t>
            </w:r>
            <w:r w:rsidRPr="00835753">
              <w:rPr>
                <w:rFonts w:ascii="Times New Roman" w:hAnsi="Times New Roman"/>
                <w:sz w:val="24"/>
              </w:rPr>
              <w:t>arach</w:t>
            </w:r>
            <w:r w:rsidRPr="00835753">
              <w:rPr>
                <w:rFonts w:ascii="Times New Roman" w:hAnsi="Times New Roman"/>
                <w:color w:val="000000"/>
                <w:sz w:val="24"/>
              </w:rPr>
              <w:t xml:space="preserve"> </w:t>
            </w:r>
            <w:proofErr w:type="gramStart"/>
            <w:r w:rsidRPr="00835753">
              <w:rPr>
                <w:rFonts w:ascii="Times New Roman" w:hAnsi="Times New Roman"/>
                <w:color w:val="000000"/>
                <w:sz w:val="24"/>
              </w:rPr>
              <w:t>nie utrzymywanych</w:t>
            </w:r>
            <w:proofErr w:type="gramEnd"/>
            <w:r w:rsidR="00835753" w:rsidRPr="00835753">
              <w:rPr>
                <w:rFonts w:ascii="Times New Roman" w:hAnsi="Times New Roman"/>
                <w:color w:val="000000"/>
                <w:sz w:val="24"/>
              </w:rPr>
              <w:t xml:space="preserve"> w</w:t>
            </w:r>
            <w:r w:rsidR="00835753">
              <w:rPr>
                <w:rFonts w:ascii="Times New Roman" w:hAnsi="Times New Roman"/>
                <w:color w:val="000000"/>
                <w:sz w:val="24"/>
              </w:rPr>
              <w:t> </w:t>
            </w:r>
            <w:r w:rsidR="00835753" w:rsidRPr="00835753">
              <w:rPr>
                <w:rFonts w:ascii="Times New Roman" w:hAnsi="Times New Roman"/>
                <w:color w:val="000000"/>
                <w:sz w:val="24"/>
              </w:rPr>
              <w:t>por</w:t>
            </w:r>
            <w:r w:rsidRPr="00835753">
              <w:rPr>
                <w:rFonts w:ascii="Times New Roman" w:hAnsi="Times New Roman"/>
                <w:color w:val="000000"/>
                <w:sz w:val="24"/>
              </w:rPr>
              <w:t>tfelu handlowym</w:t>
            </w:r>
          </w:p>
          <w:p w14:paraId="7B318C51" w14:textId="57366C0C" w:rsidR="007B082B" w:rsidRPr="00835753" w:rsidRDefault="007B082B" w:rsidP="00803BB4">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Ujawniana wartość obejmuje korzyści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dyw</w:t>
            </w:r>
            <w:r w:rsidRPr="00835753">
              <w:rPr>
                <w:rFonts w:ascii="Times New Roman" w:hAnsi="Times New Roman"/>
                <w:sz w:val="24"/>
              </w:rPr>
              <w:t>ersyfikacji ustalone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 ust.</w:t>
            </w:r>
            <w:r w:rsidR="00835753" w:rsidRPr="00835753">
              <w:rPr>
                <w:rFonts w:ascii="Times New Roman" w:hAnsi="Times New Roman"/>
                <w:sz w:val="24"/>
              </w:rPr>
              <w:t> </w:t>
            </w:r>
            <w:r w:rsidRPr="00835753">
              <w:rPr>
                <w:rFonts w:ascii="Times New Roman" w:hAnsi="Times New Roman"/>
                <w:sz w:val="24"/>
              </w:rPr>
              <w:t>6, art.</w:t>
            </w:r>
            <w:r w:rsidR="00835753" w:rsidRPr="00835753">
              <w:rPr>
                <w:rFonts w:ascii="Times New Roman" w:hAnsi="Times New Roman"/>
                <w:sz w:val="24"/>
              </w:rPr>
              <w:t> </w:t>
            </w:r>
            <w:r w:rsidRPr="00835753">
              <w:rPr>
                <w:rFonts w:ascii="Times New Roman" w:hAnsi="Times New Roman"/>
                <w:sz w:val="24"/>
              </w:rPr>
              <w:t>10 ust.</w:t>
            </w:r>
            <w:r w:rsidR="00835753" w:rsidRPr="00835753">
              <w:rPr>
                <w:rFonts w:ascii="Times New Roman" w:hAnsi="Times New Roman"/>
                <w:sz w:val="24"/>
              </w:rPr>
              <w:t> </w:t>
            </w:r>
            <w:r w:rsidRPr="00835753">
              <w:rPr>
                <w:rFonts w:ascii="Times New Roman" w:hAnsi="Times New Roman"/>
                <w:sz w:val="24"/>
              </w:rPr>
              <w:t>7</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11 ust.</w:t>
            </w:r>
            <w:r w:rsidR="00835753" w:rsidRPr="00835753">
              <w:rPr>
                <w:rFonts w:ascii="Times New Roman" w:hAnsi="Times New Roman"/>
                <w:sz w:val="24"/>
              </w:rPr>
              <w:t> </w:t>
            </w:r>
            <w:r w:rsidRPr="00835753">
              <w:rPr>
                <w:rFonts w:ascii="Times New Roman" w:hAnsi="Times New Roman"/>
                <w:sz w:val="24"/>
              </w:rPr>
              <w:t>7 rozporządzenia delegowanego Komisji (UE) 2016/101.</w:t>
            </w:r>
          </w:p>
        </w:tc>
      </w:tr>
    </w:tbl>
    <w:p w14:paraId="6D06FFE9" w14:textId="77777777" w:rsidR="007B082B" w:rsidRPr="00835753" w:rsidRDefault="007B082B" w:rsidP="007B082B">
      <w:pPr>
        <w:rPr>
          <w:rFonts w:ascii="Times New Roman" w:hAnsi="Times New Roman" w:cs="Times New Roman"/>
          <w:sz w:val="24"/>
        </w:rPr>
      </w:pPr>
    </w:p>
    <w:p w14:paraId="23FA3133" w14:textId="77777777" w:rsidR="007A7DC0" w:rsidRPr="00835753" w:rsidRDefault="00CE019E" w:rsidP="007B082B">
      <w:pPr>
        <w:rPr>
          <w:rFonts w:ascii="Times New Roman" w:hAnsi="Times New Roman" w:cs="Times New Roman"/>
          <w:sz w:val="24"/>
        </w:rPr>
        <w:sectPr w:rsidR="007A7DC0" w:rsidRPr="00835753" w:rsidSect="00155C96">
          <w:pgSz w:w="11900" w:h="16840"/>
          <w:pgMar w:top="2268" w:right="1418" w:bottom="1134" w:left="1701" w:header="709" w:footer="709" w:gutter="0"/>
          <w:pgNumType w:start="1" w:chapStyle="1"/>
          <w:cols w:space="708"/>
          <w:docGrid w:linePitch="299"/>
        </w:sectPr>
      </w:pPr>
      <w:r w:rsidRPr="00835753">
        <w:br w:type="page"/>
      </w:r>
    </w:p>
    <w:p w14:paraId="78ED1D07" w14:textId="3B6B71D1" w:rsidR="007B082B" w:rsidRPr="00835753" w:rsidRDefault="007B082B" w:rsidP="007B082B">
      <w:pPr>
        <w:rPr>
          <w:rFonts w:ascii="Times New Roman" w:hAnsi="Times New Roman" w:cs="Times New Roman"/>
          <w:sz w:val="24"/>
        </w:rPr>
      </w:pPr>
    </w:p>
    <w:p w14:paraId="6289374B" w14:textId="77777777" w:rsidR="00CE019E" w:rsidRPr="00835753" w:rsidRDefault="00CE019E" w:rsidP="00CE019E">
      <w:pPr>
        <w:pStyle w:val="Annexetitre"/>
      </w:pPr>
      <w:r w:rsidRPr="00835753">
        <w:t>ZAŁĄCZNIK VIII – Instrukcje dotyczące wzorów do celów ujawniania informacji na temat funduszy własnych</w:t>
      </w:r>
    </w:p>
    <w:p w14:paraId="451B2A96" w14:textId="77777777" w:rsidR="00CE019E" w:rsidRPr="00835753" w:rsidRDefault="00CE019E" w:rsidP="00CE019E">
      <w:pPr>
        <w:rPr>
          <w:rFonts w:ascii="Times New Roman" w:hAnsi="Times New Roman" w:cs="Times New Roman"/>
          <w:sz w:val="24"/>
        </w:rPr>
      </w:pPr>
    </w:p>
    <w:p w14:paraId="3E3D9D60" w14:textId="05E0F9FF" w:rsidR="00CE019E" w:rsidRPr="00835753" w:rsidRDefault="00CE019E" w:rsidP="00CE019E">
      <w:pPr>
        <w:rPr>
          <w:rFonts w:ascii="Times New Roman" w:hAnsi="Times New Roman" w:cs="Times New Roman"/>
          <w:b/>
          <w:bCs/>
          <w:sz w:val="24"/>
        </w:rPr>
      </w:pPr>
      <w:r w:rsidRPr="00835753">
        <w:rPr>
          <w:rFonts w:ascii="Times New Roman" w:hAnsi="Times New Roman"/>
          <w:b/>
          <w:bCs/>
          <w:sz w:val="24"/>
        </w:rPr>
        <w:t>Wzór EU CC1 – Struktura regulacyjnych funduszy własnych</w:t>
      </w:r>
    </w:p>
    <w:p w14:paraId="5CCB4065" w14:textId="77777777" w:rsidR="00CE019E" w:rsidRPr="00835753" w:rsidRDefault="00CE019E" w:rsidP="00CE019E">
      <w:pPr>
        <w:rPr>
          <w:rFonts w:ascii="Times New Roman" w:hAnsi="Times New Roman" w:cs="Times New Roman"/>
          <w:sz w:val="24"/>
        </w:rPr>
      </w:pPr>
    </w:p>
    <w:p w14:paraId="7C723855" w14:textId="653CD766" w:rsidR="00CE019E" w:rsidRPr="00835753" w:rsidRDefault="00CE019E" w:rsidP="00E70D84">
      <w:pPr>
        <w:numPr>
          <w:ilvl w:val="0"/>
          <w:numId w:val="19"/>
        </w:numPr>
        <w:spacing w:before="120" w:after="120"/>
        <w:ind w:left="357" w:hanging="357"/>
        <w:jc w:val="both"/>
        <w:rPr>
          <w:rFonts w:ascii="Times New Roman" w:hAnsi="Times New Roman" w:cs="Times New Roman"/>
          <w:bCs/>
          <w:sz w:val="24"/>
        </w:rPr>
      </w:pPr>
      <w:r w:rsidRPr="00835753">
        <w:rPr>
          <w:rFonts w:ascii="Times New Roman" w:hAnsi="Times New Roman"/>
          <w:sz w:val="24"/>
        </w:rPr>
        <w:t>W celu wypełnienia wzoru EU CC1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 xml:space="preserve">ączniku VII do niniejszego rozporządzenia wykonawczego </w:t>
      </w:r>
      <w:r w:rsidRPr="00835753">
        <w:rPr>
          <w:rFonts w:ascii="Times New Roman" w:hAnsi="Times New Roman"/>
          <w:bCs/>
          <w:sz w:val="24"/>
        </w:rPr>
        <w:t xml:space="preserve">instytucje </w:t>
      </w:r>
      <w:r w:rsidRPr="00835753">
        <w:rPr>
          <w:rFonts w:ascii="Times New Roman" w:hAnsi="Times New Roman"/>
          <w:sz w:val="24"/>
        </w:rPr>
        <w:t>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437 lit.</w:t>
      </w:r>
      <w:r w:rsidR="00835753" w:rsidRPr="00835753">
        <w:rPr>
          <w:rFonts w:ascii="Times New Roman" w:hAnsi="Times New Roman"/>
          <w:bCs/>
          <w:sz w:val="24"/>
        </w:rPr>
        <w:t> </w:t>
      </w:r>
      <w:r w:rsidRPr="00835753">
        <w:rPr>
          <w:rFonts w:ascii="Times New Roman" w:hAnsi="Times New Roman"/>
          <w:bCs/>
          <w:sz w:val="24"/>
        </w:rPr>
        <w:t xml:space="preserve">a), d), e) i f) </w:t>
      </w:r>
      <w:r w:rsidRPr="00835753">
        <w:rPr>
          <w:rFonts w:ascii="Times New Roman" w:hAnsi="Times New Roman"/>
          <w:color w:val="000000"/>
          <w:sz w:val="24"/>
        </w:rPr>
        <w:t>rozporządzenia (UE) 575/2013</w:t>
      </w:r>
      <w:r w:rsidRPr="00835753">
        <w:rPr>
          <w:rStyle w:val="FootnoteReference"/>
          <w:rFonts w:cs="Times New Roman"/>
          <w:color w:val="000000"/>
        </w:rPr>
        <w:footnoteReference w:id="14"/>
      </w:r>
      <w:r w:rsidRPr="00835753">
        <w:rPr>
          <w:rFonts w:ascii="Times New Roman" w:hAnsi="Times New Roman"/>
          <w:color w:val="000000"/>
          <w:sz w:val="24"/>
        </w:rPr>
        <w:t>(„CRR”)</w:t>
      </w:r>
      <w:r w:rsidRPr="00835753">
        <w:rPr>
          <w:rFonts w:ascii="Times New Roman" w:hAnsi="Times New Roman"/>
          <w:sz w:val="24"/>
        </w:rPr>
        <w:t xml:space="preserve">, </w:t>
      </w:r>
      <w:r w:rsidRPr="00835753">
        <w:rPr>
          <w:rFonts w:ascii="Times New Roman" w:hAnsi="Times New Roman"/>
          <w:bCs/>
          <w:sz w:val="24"/>
        </w:rPr>
        <w:t>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ins</w:t>
      </w:r>
      <w:r w:rsidRPr="00835753">
        <w:rPr>
          <w:rFonts w:ascii="Times New Roman" w:hAnsi="Times New Roman"/>
          <w:bCs/>
          <w:sz w:val="24"/>
        </w:rPr>
        <w:t>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p>
    <w:p w14:paraId="44E80652" w14:textId="11DA9D5B" w:rsidR="00CE019E" w:rsidRPr="00835753" w:rsidRDefault="00CE019E" w:rsidP="00E70D84">
      <w:pPr>
        <w:numPr>
          <w:ilvl w:val="0"/>
          <w:numId w:val="19"/>
        </w:numPr>
        <w:spacing w:before="120" w:after="120"/>
        <w:ind w:left="357" w:hanging="357"/>
        <w:jc w:val="both"/>
        <w:rPr>
          <w:rFonts w:ascii="Times New Roman" w:hAnsi="Times New Roman" w:cs="Times New Roman"/>
          <w:bCs/>
          <w:sz w:val="24"/>
        </w:rPr>
      </w:pPr>
      <w:r w:rsidRPr="00835753">
        <w:rPr>
          <w:rFonts w:ascii="Times New Roman" w:hAnsi="Times New Roman"/>
          <w:bCs/>
          <w:sz w:val="24"/>
        </w:rPr>
        <w:t>Do celów związanych ze wzorem EU CC1 korekty regulacyjne obejmują odliczenia od funduszy własnych oraz filtry ostrożnościowe.</w:t>
      </w:r>
    </w:p>
    <w:p w14:paraId="144751EE" w14:textId="70A78FEF" w:rsidR="00CE019E" w:rsidRPr="00835753" w:rsidRDefault="00CE019E" w:rsidP="00E70D84">
      <w:pPr>
        <w:numPr>
          <w:ilvl w:val="0"/>
          <w:numId w:val="19"/>
        </w:numPr>
        <w:spacing w:before="120" w:after="120"/>
        <w:ind w:left="357" w:hanging="357"/>
        <w:jc w:val="both"/>
        <w:rPr>
          <w:rFonts w:ascii="Times New Roman" w:hAnsi="Times New Roman" w:cs="Times New Roman"/>
          <w:bCs/>
          <w:sz w:val="24"/>
        </w:rPr>
      </w:pPr>
      <w:r w:rsidRPr="00835753">
        <w:rPr>
          <w:rFonts w:ascii="Times New Roman" w:hAnsi="Times New Roman"/>
          <w:bCs/>
          <w:sz w:val="24"/>
        </w:rPr>
        <w:t xml:space="preserve">Instytucje są zobowiązane do wypełnienia kolumny b) </w:t>
      </w:r>
      <w:r w:rsidRPr="00835753">
        <w:rPr>
          <w:rFonts w:ascii="Times New Roman" w:hAnsi="Times New Roman"/>
          <w:sz w:val="24"/>
        </w:rPr>
        <w:t>niniejszego wzoru</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cel</w:t>
      </w:r>
      <w:r w:rsidRPr="00835753">
        <w:rPr>
          <w:rFonts w:ascii="Times New Roman" w:hAnsi="Times New Roman"/>
          <w:bCs/>
          <w:sz w:val="24"/>
        </w:rPr>
        <w:t>u wykazania źródła każdego istotnego parametru wejściowego,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odn</w:t>
      </w:r>
      <w:r w:rsidRPr="00835753">
        <w:rPr>
          <w:rFonts w:ascii="Times New Roman" w:hAnsi="Times New Roman"/>
          <w:bCs/>
          <w:sz w:val="24"/>
        </w:rPr>
        <w:t>iesieniu do którego należy wprowadzić odniesienie do odpowiednich wierszy we wzorze EU CC2.</w:t>
      </w:r>
    </w:p>
    <w:p w14:paraId="0F1EDEA5" w14:textId="402CC402" w:rsidR="00CE019E" w:rsidRPr="00835753" w:rsidRDefault="00CE019E" w:rsidP="00E70D84">
      <w:pPr>
        <w:numPr>
          <w:ilvl w:val="0"/>
          <w:numId w:val="19"/>
        </w:numPr>
        <w:spacing w:before="120" w:after="120"/>
        <w:jc w:val="both"/>
        <w:rPr>
          <w:rFonts w:ascii="Times New Roman" w:hAnsi="Times New Roman" w:cs="Times New Roman"/>
          <w:bCs/>
          <w:sz w:val="24"/>
        </w:rPr>
      </w:pPr>
      <w:r w:rsidRPr="00835753">
        <w:rPr>
          <w:rFonts w:ascii="Times New Roman" w:hAnsi="Times New Roman"/>
          <w:bCs/>
          <w:sz w:val="24"/>
        </w:rPr>
        <w:t>W informacjach opisowych dołączonych do niniejszego wzoru instytucje uwzględniają opis wszystkich ograniczeń zastosowanych do obliczania funduszy własnych zgodnie z CRR oraz instrumentów, filtrów ostrożnościowych</w:t>
      </w:r>
      <w:r w:rsidR="00835753" w:rsidRPr="00835753">
        <w:rPr>
          <w:rFonts w:ascii="Times New Roman" w:hAnsi="Times New Roman"/>
          <w:bCs/>
          <w:sz w:val="24"/>
        </w:rPr>
        <w:t xml:space="preserve"> i</w:t>
      </w:r>
      <w:r w:rsidR="00835753">
        <w:rPr>
          <w:rFonts w:ascii="Times New Roman" w:hAnsi="Times New Roman"/>
          <w:bCs/>
          <w:sz w:val="24"/>
        </w:rPr>
        <w:t> </w:t>
      </w:r>
      <w:r w:rsidR="00835753" w:rsidRPr="00835753">
        <w:rPr>
          <w:rFonts w:ascii="Times New Roman" w:hAnsi="Times New Roman"/>
          <w:bCs/>
          <w:sz w:val="24"/>
        </w:rPr>
        <w:t>odl</w:t>
      </w:r>
      <w:r w:rsidRPr="00835753">
        <w:rPr>
          <w:rFonts w:ascii="Times New Roman" w:hAnsi="Times New Roman"/>
          <w:bCs/>
          <w:sz w:val="24"/>
        </w:rPr>
        <w:t>iczeń, do których te ograniczenia mają zastosowanie. Instytucje uwzględniają również kompleksowe wyjaśnienie podstawy służącej do obliczania współczynników kapitałowych, jeżeli współczynniki te są obliczane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wyk</w:t>
      </w:r>
      <w:r w:rsidRPr="00835753">
        <w:rPr>
          <w:rFonts w:ascii="Times New Roman" w:hAnsi="Times New Roman"/>
          <w:bCs/>
          <w:sz w:val="24"/>
        </w:rPr>
        <w:t>orzystaniem elementów funduszy własnych ustalonych na podstawie innej niż podstawa określona w CRR.</w:t>
      </w:r>
    </w:p>
    <w:p w14:paraId="2E5028D9" w14:textId="77777777" w:rsidR="00CE019E" w:rsidRPr="00835753"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835753" w14:paraId="1789179E" w14:textId="77777777" w:rsidTr="001E06A3">
        <w:trPr>
          <w:trHeight w:val="395"/>
        </w:trPr>
        <w:tc>
          <w:tcPr>
            <w:tcW w:w="8414" w:type="dxa"/>
            <w:gridSpan w:val="2"/>
            <w:shd w:val="clear" w:color="auto" w:fill="D9D9D9" w:themeFill="background1" w:themeFillShade="D9"/>
          </w:tcPr>
          <w:p w14:paraId="543BDC8E" w14:textId="307431E4" w:rsidR="00CE019E" w:rsidRPr="00835753" w:rsidRDefault="00CE019E" w:rsidP="001E06A3">
            <w:pPr>
              <w:pStyle w:val="TableTitle"/>
              <w:spacing w:before="0" w:after="0"/>
              <w:jc w:val="left"/>
              <w:rPr>
                <w:rFonts w:ascii="Times New Roman" w:hAnsi="Times New Roman"/>
                <w:noProof w:val="0"/>
                <w:sz w:val="24"/>
                <w:szCs w:val="24"/>
              </w:rPr>
            </w:pPr>
            <w:r w:rsidRPr="00835753">
              <w:rPr>
                <w:rFonts w:ascii="Times New Roman" w:hAnsi="Times New Roman"/>
                <w:noProof w:val="0"/>
                <w:sz w:val="24"/>
                <w:szCs w:val="24"/>
              </w:rPr>
              <w:t>Odniesienia prawne</w:t>
            </w:r>
            <w:r w:rsidR="00835753" w:rsidRPr="00835753">
              <w:rPr>
                <w:rFonts w:ascii="Times New Roman" w:hAnsi="Times New Roman"/>
                <w:noProof w:val="0"/>
                <w:sz w:val="24"/>
                <w:szCs w:val="24"/>
              </w:rPr>
              <w:t xml:space="preserve"> i</w:t>
            </w:r>
            <w:r w:rsidR="00835753">
              <w:rPr>
                <w:rFonts w:ascii="Times New Roman" w:hAnsi="Times New Roman"/>
                <w:noProof w:val="0"/>
                <w:sz w:val="24"/>
                <w:szCs w:val="24"/>
              </w:rPr>
              <w:t> </w:t>
            </w:r>
            <w:r w:rsidR="00835753" w:rsidRPr="00835753">
              <w:rPr>
                <w:rFonts w:ascii="Times New Roman" w:hAnsi="Times New Roman"/>
                <w:noProof w:val="0"/>
                <w:sz w:val="24"/>
                <w:szCs w:val="24"/>
              </w:rPr>
              <w:t>ins</w:t>
            </w:r>
            <w:r w:rsidRPr="00835753">
              <w:rPr>
                <w:rFonts w:ascii="Times New Roman" w:hAnsi="Times New Roman"/>
                <w:noProof w:val="0"/>
                <w:sz w:val="24"/>
                <w:szCs w:val="24"/>
              </w:rPr>
              <w:t>trukcje</w:t>
            </w:r>
          </w:p>
        </w:tc>
      </w:tr>
      <w:tr w:rsidR="00CE019E" w:rsidRPr="00835753" w14:paraId="4BB9424E" w14:textId="77777777" w:rsidTr="001E06A3">
        <w:tc>
          <w:tcPr>
            <w:tcW w:w="1172" w:type="dxa"/>
            <w:shd w:val="clear" w:color="auto" w:fill="D9D9D9" w:themeFill="background1" w:themeFillShade="D9"/>
          </w:tcPr>
          <w:p w14:paraId="015BCEAF" w14:textId="77777777" w:rsidR="00CE019E" w:rsidRPr="00835753" w:rsidRDefault="00CE019E" w:rsidP="001E06A3">
            <w:pPr>
              <w:rPr>
                <w:rFonts w:ascii="Times New Roman" w:hAnsi="Times New Roman" w:cs="Times New Roman"/>
                <w:b/>
                <w:sz w:val="24"/>
              </w:rPr>
            </w:pPr>
            <w:r w:rsidRPr="00835753">
              <w:rPr>
                <w:rFonts w:ascii="Times New Roman" w:hAnsi="Times New Roman"/>
                <w:b/>
                <w:sz w:val="24"/>
              </w:rPr>
              <w:t>Numer wiersza</w:t>
            </w:r>
          </w:p>
        </w:tc>
        <w:tc>
          <w:tcPr>
            <w:tcW w:w="7242" w:type="dxa"/>
            <w:shd w:val="clear" w:color="auto" w:fill="D9D9D9" w:themeFill="background1" w:themeFillShade="D9"/>
          </w:tcPr>
          <w:p w14:paraId="3A14D196" w14:textId="77777777" w:rsidR="00CE019E" w:rsidRPr="00835753" w:rsidRDefault="00CE019E" w:rsidP="001E06A3">
            <w:pPr>
              <w:rPr>
                <w:rFonts w:ascii="Times New Roman" w:hAnsi="Times New Roman" w:cs="Times New Roman"/>
                <w:b/>
                <w:sz w:val="24"/>
              </w:rPr>
            </w:pPr>
            <w:r w:rsidRPr="00835753">
              <w:rPr>
                <w:rFonts w:ascii="Times New Roman" w:hAnsi="Times New Roman"/>
                <w:b/>
                <w:sz w:val="24"/>
              </w:rPr>
              <w:t>Wyjaśnienie</w:t>
            </w:r>
          </w:p>
        </w:tc>
      </w:tr>
      <w:tr w:rsidR="00CE019E" w:rsidRPr="00835753" w14:paraId="17C2B6EA" w14:textId="77777777" w:rsidTr="001E06A3">
        <w:tc>
          <w:tcPr>
            <w:tcW w:w="1172" w:type="dxa"/>
            <w:vAlign w:val="center"/>
          </w:tcPr>
          <w:p w14:paraId="1D319556"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1</w:t>
            </w:r>
          </w:p>
        </w:tc>
        <w:tc>
          <w:tcPr>
            <w:tcW w:w="7242" w:type="dxa"/>
          </w:tcPr>
          <w:p w14:paraId="123AC668" w14:textId="43A8219C"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Instrumenty kapitałowe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iązane ażio emisyjne</w:t>
            </w:r>
          </w:p>
          <w:p w14:paraId="73DA462A" w14:textId="700FA489"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Instrumenty kapitałowe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iązane ażio emisyjne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i b) oraz art.</w:t>
            </w:r>
            <w:r w:rsidR="00835753" w:rsidRPr="00835753">
              <w:rPr>
                <w:rFonts w:ascii="Times New Roman" w:hAnsi="Times New Roman"/>
                <w:sz w:val="24"/>
              </w:rPr>
              <w:t> </w:t>
            </w:r>
            <w:r w:rsidRPr="00835753">
              <w:rPr>
                <w:rFonts w:ascii="Times New Roman" w:hAnsi="Times New Roman"/>
                <w:sz w:val="24"/>
              </w:rPr>
              <w:t>27, 28</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2</w:t>
            </w:r>
            <w:r w:rsidRPr="00835753">
              <w:rPr>
                <w:rFonts w:ascii="Times New Roman" w:hAnsi="Times New Roman"/>
                <w:sz w:val="24"/>
              </w:rPr>
              <w:t>9 CRR,</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że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wyk</w:t>
            </w:r>
            <w:r w:rsidRPr="00835753">
              <w:rPr>
                <w:rFonts w:ascii="Times New Roman" w:hAnsi="Times New Roman"/>
                <w:sz w:val="24"/>
              </w:rPr>
              <w:t>azem EUNB,</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rym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26 ust.</w:t>
            </w:r>
            <w:r w:rsidR="00835753" w:rsidRPr="00835753">
              <w:rPr>
                <w:rFonts w:ascii="Times New Roman" w:hAnsi="Times New Roman"/>
                <w:sz w:val="24"/>
              </w:rPr>
              <w:t> </w:t>
            </w:r>
            <w:r w:rsidRPr="00835753">
              <w:rPr>
                <w:rFonts w:ascii="Times New Roman" w:hAnsi="Times New Roman"/>
                <w:sz w:val="24"/>
              </w:rPr>
              <w:t>3 CRR, wraz</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ich</w:t>
            </w:r>
            <w:r w:rsidRPr="00835753">
              <w:rPr>
                <w:rFonts w:ascii="Times New Roman" w:hAnsi="Times New Roman"/>
                <w:sz w:val="24"/>
              </w:rPr>
              <w:t xml:space="preserve"> podziałem według rodzaju instrumentu.</w:t>
            </w:r>
          </w:p>
        </w:tc>
      </w:tr>
      <w:tr w:rsidR="00CE019E" w:rsidRPr="00835753" w14:paraId="7A9BE7B0" w14:textId="77777777" w:rsidTr="001E06A3">
        <w:tc>
          <w:tcPr>
            <w:tcW w:w="1172" w:type="dxa"/>
            <w:vAlign w:val="center"/>
          </w:tcPr>
          <w:p w14:paraId="23EFFA03"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2</w:t>
            </w:r>
          </w:p>
        </w:tc>
        <w:tc>
          <w:tcPr>
            <w:tcW w:w="7242" w:type="dxa"/>
            <w:vAlign w:val="center"/>
          </w:tcPr>
          <w:p w14:paraId="4857181C"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Zyski zatrzymane</w:t>
            </w:r>
          </w:p>
          <w:p w14:paraId="5044CDE7" w14:textId="609E05FF"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Zyski zatrzymane przed wszelkimi korektami regulacyjnymi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c) CRR (przed uwzględnieniem jakichkolwiek zysków lub strat netto</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bie</w:t>
            </w:r>
            <w:r w:rsidRPr="00835753">
              <w:rPr>
                <w:rFonts w:ascii="Times New Roman" w:hAnsi="Times New Roman"/>
                <w:sz w:val="24"/>
              </w:rPr>
              <w:t>żącego okresu)</w:t>
            </w:r>
          </w:p>
        </w:tc>
      </w:tr>
      <w:tr w:rsidR="00CE019E" w:rsidRPr="00835753" w14:paraId="6D028952" w14:textId="77777777" w:rsidTr="001E06A3">
        <w:trPr>
          <w:trHeight w:val="980"/>
        </w:trPr>
        <w:tc>
          <w:tcPr>
            <w:tcW w:w="1172" w:type="dxa"/>
            <w:vAlign w:val="center"/>
          </w:tcPr>
          <w:p w14:paraId="4A1443CC"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lastRenderedPageBreak/>
              <w:t>3</w:t>
            </w:r>
          </w:p>
        </w:tc>
        <w:tc>
          <w:tcPr>
            <w:tcW w:w="7242" w:type="dxa"/>
            <w:vAlign w:val="center"/>
          </w:tcPr>
          <w:p w14:paraId="0679C281"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Skumulowane inne całkowite dochody (i pozostałe kapitały rezerwowe)</w:t>
            </w:r>
          </w:p>
          <w:p w14:paraId="082776BB" w14:textId="55BEE694"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skumulowanych innych całkowitych dochodów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ostałych kapitałów rezerwowych,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d) i e) CRR</w:t>
            </w:r>
          </w:p>
        </w:tc>
      </w:tr>
      <w:tr w:rsidR="00CE019E" w:rsidRPr="00835753" w14:paraId="226BD4D5" w14:textId="77777777" w:rsidTr="001E06A3">
        <w:tc>
          <w:tcPr>
            <w:tcW w:w="1172" w:type="dxa"/>
            <w:vAlign w:val="center"/>
          </w:tcPr>
          <w:p w14:paraId="155B0122"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EU-3a</w:t>
            </w:r>
          </w:p>
        </w:tc>
        <w:tc>
          <w:tcPr>
            <w:tcW w:w="7242" w:type="dxa"/>
            <w:vAlign w:val="center"/>
          </w:tcPr>
          <w:p w14:paraId="5F473005"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Fundusze ogólne ryzyka bankowego</w:t>
            </w:r>
          </w:p>
          <w:p w14:paraId="490A1246" w14:textId="41DA4891"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funduszy ogólnych ryzyka bankowego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f) CRR</w:t>
            </w:r>
          </w:p>
        </w:tc>
      </w:tr>
      <w:tr w:rsidR="00CE019E" w:rsidRPr="00835753" w14:paraId="18DE53EE" w14:textId="77777777" w:rsidTr="001E06A3">
        <w:tc>
          <w:tcPr>
            <w:tcW w:w="1172" w:type="dxa"/>
            <w:vAlign w:val="center"/>
          </w:tcPr>
          <w:p w14:paraId="1DD0BB35"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4</w:t>
            </w:r>
          </w:p>
        </w:tc>
        <w:tc>
          <w:tcPr>
            <w:tcW w:w="7242" w:type="dxa"/>
            <w:vAlign w:val="center"/>
          </w:tcPr>
          <w:p w14:paraId="6BAAB332" w14:textId="5122A330"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kwalifikujących się pozycji,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484 ust.</w:t>
            </w:r>
            <w:r w:rsidR="00835753" w:rsidRPr="00835753">
              <w:rPr>
                <w:rFonts w:ascii="Times New Roman" w:hAnsi="Times New Roman"/>
                <w:sz w:val="24"/>
              </w:rPr>
              <w:t> </w:t>
            </w:r>
            <w:r w:rsidRPr="00835753">
              <w:rPr>
                <w:rFonts w:ascii="Times New Roman" w:hAnsi="Times New Roman"/>
                <w:sz w:val="24"/>
              </w:rPr>
              <w:t>3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iązane ażio emisyjne przeznaczone do wycofania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itału podstawowego Tier I</w:t>
            </w:r>
          </w:p>
          <w:p w14:paraId="0EA9884B" w14:textId="5958673B"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kwalifikujących się pozycji,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484 ust.</w:t>
            </w:r>
            <w:r w:rsidR="00835753" w:rsidRPr="00835753">
              <w:rPr>
                <w:rFonts w:ascii="Times New Roman" w:hAnsi="Times New Roman"/>
                <w:sz w:val="24"/>
              </w:rPr>
              <w:t> </w:t>
            </w:r>
            <w:r w:rsidRPr="00835753">
              <w:rPr>
                <w:rFonts w:ascii="Times New Roman" w:hAnsi="Times New Roman"/>
                <w:sz w:val="24"/>
              </w:rPr>
              <w:t>3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iązane ażio emisyjne przeznaczone do wycofania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itału podstawowego Tier 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486 ust.</w:t>
            </w:r>
            <w:r w:rsidR="00835753" w:rsidRPr="00835753">
              <w:rPr>
                <w:rFonts w:ascii="Times New Roman" w:hAnsi="Times New Roman"/>
                <w:sz w:val="24"/>
              </w:rPr>
              <w:t> </w:t>
            </w:r>
            <w:r w:rsidRPr="00835753">
              <w:rPr>
                <w:rFonts w:ascii="Times New Roman" w:hAnsi="Times New Roman"/>
                <w:sz w:val="24"/>
              </w:rPr>
              <w:t>2 CRR</w:t>
            </w:r>
          </w:p>
        </w:tc>
      </w:tr>
      <w:tr w:rsidR="00CE019E" w:rsidRPr="00835753" w14:paraId="06F7551F" w14:textId="77777777" w:rsidTr="001E06A3">
        <w:tc>
          <w:tcPr>
            <w:tcW w:w="1172" w:type="dxa"/>
            <w:vAlign w:val="center"/>
          </w:tcPr>
          <w:p w14:paraId="24468B28"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5</w:t>
            </w:r>
          </w:p>
        </w:tc>
        <w:tc>
          <w:tcPr>
            <w:tcW w:w="7242" w:type="dxa"/>
            <w:vAlign w:val="center"/>
          </w:tcPr>
          <w:p w14:paraId="41555220" w14:textId="140496B2"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Udziały mniejszości (kwota dopuszczona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sko</w:t>
            </w:r>
            <w:r w:rsidRPr="00835753">
              <w:rPr>
                <w:rFonts w:ascii="Times New Roman" w:hAnsi="Times New Roman"/>
                <w:sz w:val="24"/>
              </w:rPr>
              <w:t>nsolidowanym kapitale podstawowym Tier I)</w:t>
            </w:r>
          </w:p>
          <w:p w14:paraId="013C723E" w14:textId="67D4B408"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Udziały mniejszości (kwota dopuszczona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sko</w:t>
            </w:r>
            <w:r w:rsidRPr="00835753">
              <w:rPr>
                <w:rFonts w:ascii="Times New Roman" w:hAnsi="Times New Roman"/>
                <w:sz w:val="24"/>
              </w:rPr>
              <w:t>nsolidowanym kapitale podstawowym Tier 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84 CRR</w:t>
            </w:r>
          </w:p>
        </w:tc>
      </w:tr>
      <w:tr w:rsidR="00CE019E" w:rsidRPr="00835753" w14:paraId="740E23DD" w14:textId="77777777" w:rsidTr="001E06A3">
        <w:tc>
          <w:tcPr>
            <w:tcW w:w="1172" w:type="dxa"/>
            <w:vAlign w:val="center"/>
          </w:tcPr>
          <w:p w14:paraId="59893A43"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EU-5a</w:t>
            </w:r>
          </w:p>
        </w:tc>
        <w:tc>
          <w:tcPr>
            <w:tcW w:w="7242" w:type="dxa"/>
            <w:vAlign w:val="center"/>
          </w:tcPr>
          <w:p w14:paraId="008D03EF" w14:textId="21F3B3EE"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Niezależnie zweryfikowane zyski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bie</w:t>
            </w:r>
            <w:r w:rsidRPr="00835753">
              <w:rPr>
                <w:rFonts w:ascii="Times New Roman" w:hAnsi="Times New Roman"/>
                <w:sz w:val="24"/>
              </w:rPr>
              <w:t>żącego okresu po odliczeniu wszelkich możliwych do przewidzenia obciążeń lub dywidend</w:t>
            </w:r>
          </w:p>
          <w:p w14:paraId="3CDC8CB1" w14:textId="6A45E04D"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Niezależnie zweryfikowane zyski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bie</w:t>
            </w:r>
            <w:r w:rsidRPr="00835753">
              <w:rPr>
                <w:rFonts w:ascii="Times New Roman" w:hAnsi="Times New Roman"/>
                <w:sz w:val="24"/>
              </w:rPr>
              <w:t>żącego okresu po odliczeniu wszelkich możliwych do przewidzenia obciążeń lub dywidend,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26 ust.</w:t>
            </w:r>
            <w:r w:rsidR="00835753" w:rsidRPr="00835753">
              <w:rPr>
                <w:rFonts w:ascii="Times New Roman" w:hAnsi="Times New Roman"/>
                <w:sz w:val="24"/>
              </w:rPr>
              <w:t> </w:t>
            </w:r>
            <w:r w:rsidRPr="00835753">
              <w:rPr>
                <w:rFonts w:ascii="Times New Roman" w:hAnsi="Times New Roman"/>
                <w:sz w:val="24"/>
              </w:rPr>
              <w:t>2 CRR</w:t>
            </w:r>
          </w:p>
        </w:tc>
      </w:tr>
      <w:tr w:rsidR="00CE019E" w:rsidRPr="00835753" w14:paraId="13F7A99A" w14:textId="77777777" w:rsidTr="001E06A3">
        <w:tc>
          <w:tcPr>
            <w:tcW w:w="1172" w:type="dxa"/>
            <w:vAlign w:val="center"/>
          </w:tcPr>
          <w:p w14:paraId="5D82B81D"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6</w:t>
            </w:r>
          </w:p>
        </w:tc>
        <w:tc>
          <w:tcPr>
            <w:tcW w:w="7242" w:type="dxa"/>
            <w:vAlign w:val="center"/>
          </w:tcPr>
          <w:p w14:paraId="7ADE20D9"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Kapitał podstawowy Tier I przed korektami regulacyjnymi</w:t>
            </w:r>
          </w:p>
          <w:p w14:paraId="369F2FC0" w14:textId="481DFA2B"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Suma wierszy od</w:t>
            </w:r>
            <w:r w:rsidR="00835753" w:rsidRPr="00835753">
              <w:rPr>
                <w:rFonts w:ascii="Times New Roman" w:hAnsi="Times New Roman"/>
                <w:sz w:val="24"/>
              </w:rPr>
              <w:t> </w:t>
            </w:r>
            <w:r w:rsidRPr="00835753">
              <w:rPr>
                <w:rFonts w:ascii="Times New Roman" w:hAnsi="Times New Roman"/>
                <w:sz w:val="24"/>
              </w:rPr>
              <w:t>1 do EU-5a niniejszego wzoru.</w:t>
            </w:r>
          </w:p>
        </w:tc>
      </w:tr>
      <w:tr w:rsidR="00CE019E" w:rsidRPr="00835753" w14:paraId="4162E8B2" w14:textId="77777777" w:rsidTr="001E06A3">
        <w:tc>
          <w:tcPr>
            <w:tcW w:w="1172" w:type="dxa"/>
            <w:vAlign w:val="center"/>
          </w:tcPr>
          <w:p w14:paraId="1F322C0C"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7</w:t>
            </w:r>
          </w:p>
        </w:tc>
        <w:tc>
          <w:tcPr>
            <w:tcW w:w="7242" w:type="dxa"/>
            <w:vAlign w:val="center"/>
          </w:tcPr>
          <w:p w14:paraId="62D09D8D"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Dodatkowe korekty wartości (kwota ujemna)</w:t>
            </w:r>
          </w:p>
          <w:p w14:paraId="78391837" w14:textId="074BBA6D"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Dodatkowe korekty wartości,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34</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05 CRR (kwota ujemna).</w:t>
            </w:r>
          </w:p>
        </w:tc>
      </w:tr>
      <w:tr w:rsidR="00CE019E" w:rsidRPr="00835753" w14:paraId="72C115DA" w14:textId="77777777" w:rsidTr="001E06A3">
        <w:tc>
          <w:tcPr>
            <w:tcW w:w="1172" w:type="dxa"/>
            <w:vAlign w:val="center"/>
          </w:tcPr>
          <w:p w14:paraId="0A85D21A"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8</w:t>
            </w:r>
          </w:p>
        </w:tc>
        <w:tc>
          <w:tcPr>
            <w:tcW w:w="7242" w:type="dxa"/>
            <w:vAlign w:val="center"/>
          </w:tcPr>
          <w:p w14:paraId="4AD9F654" w14:textId="42FE076D"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Wartości niematerialne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pra</w:t>
            </w:r>
            <w:r w:rsidRPr="00835753">
              <w:rPr>
                <w:rFonts w:ascii="Times New Roman" w:hAnsi="Times New Roman"/>
                <w:sz w:val="24"/>
              </w:rPr>
              <w:t>wne (po odliczeniu powiązanej rezerwy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 (kwota ujemna)</w:t>
            </w:r>
          </w:p>
          <w:p w14:paraId="26CBC7EA" w14:textId="2B447083"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Wartości niematerialne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pra</w:t>
            </w:r>
            <w:r w:rsidRPr="00835753">
              <w:rPr>
                <w:rFonts w:ascii="Times New Roman" w:hAnsi="Times New Roman"/>
                <w:sz w:val="24"/>
              </w:rPr>
              <w:t>wne (po odliczeniu powiązanej rezerwy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b)</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37 CRR (kwota ujemna)</w:t>
            </w:r>
          </w:p>
        </w:tc>
      </w:tr>
      <w:tr w:rsidR="00CE019E" w:rsidRPr="00835753" w14:paraId="1398EA35" w14:textId="77777777" w:rsidTr="001E06A3">
        <w:tc>
          <w:tcPr>
            <w:tcW w:w="1172" w:type="dxa"/>
            <w:vAlign w:val="center"/>
          </w:tcPr>
          <w:p w14:paraId="74702EB9"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 xml:space="preserve">9 </w:t>
            </w:r>
          </w:p>
        </w:tc>
        <w:tc>
          <w:tcPr>
            <w:tcW w:w="7242" w:type="dxa"/>
            <w:vAlign w:val="center"/>
          </w:tcPr>
          <w:p w14:paraId="0EBD6A05"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Nie dotyczy</w:t>
            </w:r>
          </w:p>
        </w:tc>
      </w:tr>
      <w:tr w:rsidR="00CE019E" w:rsidRPr="00835753" w14:paraId="2CCC1B30" w14:textId="77777777" w:rsidTr="001E06A3">
        <w:tc>
          <w:tcPr>
            <w:tcW w:w="1172" w:type="dxa"/>
            <w:vAlign w:val="center"/>
          </w:tcPr>
          <w:p w14:paraId="6C5DA30E"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10</w:t>
            </w:r>
          </w:p>
        </w:tc>
        <w:tc>
          <w:tcPr>
            <w:tcW w:w="7242" w:type="dxa"/>
            <w:vAlign w:val="center"/>
          </w:tcPr>
          <w:p w14:paraId="5F454BF1" w14:textId="0F3E86F9"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Aktywa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 oparte na przyszłej rentowności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wył</w:t>
            </w:r>
            <w:r w:rsidRPr="00835753">
              <w:rPr>
                <w:rFonts w:ascii="Times New Roman" w:hAnsi="Times New Roman"/>
                <w:sz w:val="24"/>
              </w:rPr>
              <w:t>ączeniem aktywów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róż</w:t>
            </w:r>
            <w:r w:rsidRPr="00835753">
              <w:rPr>
                <w:rFonts w:ascii="Times New Roman" w:hAnsi="Times New Roman"/>
                <w:sz w:val="24"/>
              </w:rPr>
              <w:t>nic przejściowych (po odliczeniu powiązanej rezerwy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 xml:space="preserve">ułu odroczonego </w:t>
            </w:r>
            <w:r w:rsidRPr="00835753">
              <w:rPr>
                <w:rFonts w:ascii="Times New Roman" w:hAnsi="Times New Roman"/>
                <w:sz w:val="24"/>
              </w:rPr>
              <w:lastRenderedPageBreak/>
              <w:t>podatku dochodowego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spełnienia warunków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38 ust.</w:t>
            </w:r>
            <w:r w:rsidR="00835753" w:rsidRPr="00835753">
              <w:rPr>
                <w:rFonts w:ascii="Times New Roman" w:hAnsi="Times New Roman"/>
                <w:sz w:val="24"/>
              </w:rPr>
              <w:t> </w:t>
            </w:r>
            <w:r w:rsidRPr="00835753">
              <w:rPr>
                <w:rFonts w:ascii="Times New Roman" w:hAnsi="Times New Roman"/>
                <w:sz w:val="24"/>
              </w:rPr>
              <w:t>3 CRR) (kwota ujemna)</w:t>
            </w:r>
          </w:p>
          <w:p w14:paraId="007F4022" w14:textId="64C7CBED"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Aktywa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 oparte na przyszłej rentowności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wył</w:t>
            </w:r>
            <w:r w:rsidRPr="00835753">
              <w:rPr>
                <w:rFonts w:ascii="Times New Roman" w:hAnsi="Times New Roman"/>
                <w:sz w:val="24"/>
              </w:rPr>
              <w:t>ączeniem aktywów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róż</w:t>
            </w:r>
            <w:r w:rsidRPr="00835753">
              <w:rPr>
                <w:rFonts w:ascii="Times New Roman" w:hAnsi="Times New Roman"/>
                <w:sz w:val="24"/>
              </w:rPr>
              <w:t>nic przejściowych (po odliczeniu powiązanej rezerwy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spełnienia warunków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38 ust.</w:t>
            </w:r>
            <w:r w:rsidR="00835753" w:rsidRPr="00835753">
              <w:rPr>
                <w:rFonts w:ascii="Times New Roman" w:hAnsi="Times New Roman"/>
                <w:sz w:val="24"/>
              </w:rPr>
              <w:t> </w:t>
            </w:r>
            <w:r w:rsidRPr="00835753">
              <w:rPr>
                <w:rFonts w:ascii="Times New Roman" w:hAnsi="Times New Roman"/>
                <w:sz w:val="24"/>
              </w:rPr>
              <w:t>3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c)</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38 CRR (kwota ujemna).</w:t>
            </w:r>
          </w:p>
        </w:tc>
      </w:tr>
      <w:tr w:rsidR="00CE019E" w:rsidRPr="00835753" w14:paraId="7E3137BF" w14:textId="77777777" w:rsidTr="001E06A3">
        <w:tc>
          <w:tcPr>
            <w:tcW w:w="1172" w:type="dxa"/>
            <w:vAlign w:val="center"/>
          </w:tcPr>
          <w:p w14:paraId="2D3BDB2E"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lastRenderedPageBreak/>
              <w:t>11</w:t>
            </w:r>
          </w:p>
        </w:tc>
        <w:tc>
          <w:tcPr>
            <w:tcW w:w="7242" w:type="dxa"/>
            <w:vAlign w:val="center"/>
          </w:tcPr>
          <w:p w14:paraId="6C543169" w14:textId="0F341719"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Rezerwy odzwierciedlające wartość godziwą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zys</w:t>
            </w:r>
            <w:r w:rsidRPr="00835753">
              <w:rPr>
                <w:rFonts w:ascii="Times New Roman" w:hAnsi="Times New Roman"/>
                <w:sz w:val="24"/>
              </w:rPr>
              <w:t>kami lub stratami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instrumentów zabezpieczających przepływy pieniężne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instrumentów finansowych, które nie zostały wycenione według wartości godziwej</w:t>
            </w:r>
          </w:p>
          <w:p w14:paraId="74F88C74" w14:textId="45FD1A6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Rezerwy odzwierciedlające wartość godziwą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zys</w:t>
            </w:r>
            <w:r w:rsidRPr="00835753">
              <w:rPr>
                <w:rFonts w:ascii="Times New Roman" w:hAnsi="Times New Roman"/>
                <w:sz w:val="24"/>
              </w:rPr>
              <w:t>kami lub stratami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instrumentów zabezpieczających przepływy pieniężne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instrumentów finansowych, które nie zostały wycenione według wartości godziwej,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33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CRR</w:t>
            </w:r>
          </w:p>
        </w:tc>
      </w:tr>
      <w:tr w:rsidR="00CE019E" w:rsidRPr="00835753" w14:paraId="57E64E2A" w14:textId="77777777" w:rsidTr="001E06A3">
        <w:tc>
          <w:tcPr>
            <w:tcW w:w="1172" w:type="dxa"/>
            <w:vAlign w:val="center"/>
          </w:tcPr>
          <w:p w14:paraId="41349319"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12</w:t>
            </w:r>
          </w:p>
        </w:tc>
        <w:tc>
          <w:tcPr>
            <w:tcW w:w="7242" w:type="dxa"/>
            <w:vAlign w:val="center"/>
          </w:tcPr>
          <w:p w14:paraId="18FBF18A"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Kwoty ujemne będące wynikiem obliczeń kwot oczekiwanej straty</w:t>
            </w:r>
          </w:p>
          <w:p w14:paraId="146DEB3D" w14:textId="6AA79DCF"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Kwoty ujemne będące wynikiem obliczeń kwot oczekiwanej straty,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d)</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40 CRR</w:t>
            </w:r>
          </w:p>
        </w:tc>
      </w:tr>
      <w:tr w:rsidR="00CE019E" w:rsidRPr="00835753" w14:paraId="126AA8A4" w14:textId="77777777" w:rsidTr="001E06A3">
        <w:tc>
          <w:tcPr>
            <w:tcW w:w="1172" w:type="dxa"/>
            <w:vAlign w:val="center"/>
          </w:tcPr>
          <w:p w14:paraId="39517447"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13</w:t>
            </w:r>
          </w:p>
        </w:tc>
        <w:tc>
          <w:tcPr>
            <w:tcW w:w="7242" w:type="dxa"/>
            <w:vAlign w:val="center"/>
          </w:tcPr>
          <w:p w14:paraId="04E6AB87" w14:textId="527140E8"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Każdy wzrost kapitału własnego</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aktywów sekurytyzowanych (kwota ujemna)</w:t>
            </w:r>
          </w:p>
          <w:p w14:paraId="204F0474" w14:textId="68DD328C"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Każdy wzrost kapitału własnego</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aktywów sekurytyzowanych,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ust.</w:t>
            </w:r>
            <w:r w:rsidR="00835753" w:rsidRPr="00835753">
              <w:rPr>
                <w:rFonts w:ascii="Times New Roman" w:hAnsi="Times New Roman"/>
                <w:sz w:val="24"/>
              </w:rPr>
              <w:t> </w:t>
            </w:r>
            <w:r w:rsidRPr="00835753">
              <w:rPr>
                <w:rFonts w:ascii="Times New Roman" w:hAnsi="Times New Roman"/>
                <w:sz w:val="24"/>
              </w:rPr>
              <w:t>1 CRR (kwota ujemna).</w:t>
            </w:r>
          </w:p>
        </w:tc>
      </w:tr>
      <w:tr w:rsidR="00CE019E" w:rsidRPr="00835753" w14:paraId="11898575" w14:textId="77777777" w:rsidTr="001E06A3">
        <w:tc>
          <w:tcPr>
            <w:tcW w:w="1172" w:type="dxa"/>
            <w:vAlign w:val="center"/>
          </w:tcPr>
          <w:p w14:paraId="20D44E88"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14</w:t>
            </w:r>
          </w:p>
        </w:tc>
        <w:tc>
          <w:tcPr>
            <w:tcW w:w="7242" w:type="dxa"/>
            <w:vAlign w:val="center"/>
          </w:tcPr>
          <w:p w14:paraId="0BD57EAB" w14:textId="5952F295"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Zyski lub straty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zobowiązań, wycenione według wartości godziwej, które wynikają ze zmian zdolności kredytowej instytucji</w:t>
            </w:r>
          </w:p>
          <w:p w14:paraId="18690FA2" w14:textId="16246895"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Zyski lub straty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zobowiązań, wycenione według wartości godziwej, które wynikają ze zmian zdolności kredytowej instytucji,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33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b) CRR</w:t>
            </w:r>
          </w:p>
        </w:tc>
      </w:tr>
      <w:tr w:rsidR="00CE019E" w:rsidRPr="00835753" w14:paraId="4752413E" w14:textId="77777777" w:rsidTr="001E06A3">
        <w:tc>
          <w:tcPr>
            <w:tcW w:w="1172" w:type="dxa"/>
            <w:vAlign w:val="center"/>
          </w:tcPr>
          <w:p w14:paraId="63D1978B"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15</w:t>
            </w:r>
          </w:p>
        </w:tc>
        <w:tc>
          <w:tcPr>
            <w:tcW w:w="7242" w:type="dxa"/>
            <w:vAlign w:val="center"/>
          </w:tcPr>
          <w:p w14:paraId="7AAF989E"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Aktywa funduszu emerytalnego ze zdefiniowanymi świadczeniami (kwota ujemna)</w:t>
            </w:r>
          </w:p>
          <w:p w14:paraId="3D7EDF88" w14:textId="72013580"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Aktywa funduszu emerytalnego ze zdefiniowanymi świadczeniami,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e) oraz art.</w:t>
            </w:r>
            <w:r w:rsidR="00835753" w:rsidRPr="00835753">
              <w:rPr>
                <w:rFonts w:ascii="Times New Roman" w:hAnsi="Times New Roman"/>
                <w:sz w:val="24"/>
              </w:rPr>
              <w:t> </w:t>
            </w:r>
            <w:r w:rsidRPr="00835753">
              <w:rPr>
                <w:rFonts w:ascii="Times New Roman" w:hAnsi="Times New Roman"/>
                <w:sz w:val="24"/>
              </w:rPr>
              <w:t>41 CRR (kwota ujemna).</w:t>
            </w:r>
          </w:p>
        </w:tc>
      </w:tr>
      <w:tr w:rsidR="00CE019E" w:rsidRPr="00835753" w14:paraId="4A061FE4" w14:textId="77777777" w:rsidTr="001E06A3">
        <w:tc>
          <w:tcPr>
            <w:tcW w:w="1172" w:type="dxa"/>
            <w:vAlign w:val="center"/>
          </w:tcPr>
          <w:p w14:paraId="399DC363"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16</w:t>
            </w:r>
          </w:p>
        </w:tc>
        <w:tc>
          <w:tcPr>
            <w:tcW w:w="7242" w:type="dxa"/>
            <w:vAlign w:val="center"/>
          </w:tcPr>
          <w:p w14:paraId="745D7AF6" w14:textId="0ACE0F0D"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Posiadane przez instytucję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 (kwota ujemna)</w:t>
            </w:r>
          </w:p>
          <w:p w14:paraId="414332F1" w14:textId="294D3D76"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Posiadane przez instytucję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f) oraz art.</w:t>
            </w:r>
            <w:r w:rsidR="00835753" w:rsidRPr="00835753">
              <w:rPr>
                <w:rFonts w:ascii="Times New Roman" w:hAnsi="Times New Roman"/>
                <w:sz w:val="24"/>
              </w:rPr>
              <w:t> </w:t>
            </w:r>
            <w:r w:rsidRPr="00835753">
              <w:rPr>
                <w:rFonts w:ascii="Times New Roman" w:hAnsi="Times New Roman"/>
                <w:sz w:val="24"/>
              </w:rPr>
              <w:t>42 CRR (kwota ujemna).</w:t>
            </w:r>
          </w:p>
        </w:tc>
      </w:tr>
      <w:tr w:rsidR="00CE019E" w:rsidRPr="00835753" w14:paraId="40B3F9F5" w14:textId="77777777" w:rsidTr="001E06A3">
        <w:tc>
          <w:tcPr>
            <w:tcW w:w="1172" w:type="dxa"/>
            <w:vAlign w:val="center"/>
          </w:tcPr>
          <w:p w14:paraId="68024D96"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lastRenderedPageBreak/>
              <w:t>17</w:t>
            </w:r>
          </w:p>
        </w:tc>
        <w:tc>
          <w:tcPr>
            <w:tcW w:w="7242" w:type="dxa"/>
            <w:vAlign w:val="center"/>
          </w:tcPr>
          <w:p w14:paraId="3B675294" w14:textId="2A61F498"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 podmiotów sektora finansowego, jeżeli podmioty te mają</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tytucją krzyżowe powiązania kapitałowe mające na celu sztuczne zawyżanie funduszy własnych instytucji (kwota ujemna)</w:t>
            </w:r>
          </w:p>
          <w:p w14:paraId="05D7BE80" w14:textId="50825465"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 podmiotów sektora finansowego, jeżeli podmioty te mają</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tytucją krzyżowe powiązania kapitałowe mające na celu sztuczne zawyżanie funduszy własnych instytucji,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g) oraz art.</w:t>
            </w:r>
            <w:r w:rsidR="00835753" w:rsidRPr="00835753">
              <w:rPr>
                <w:rFonts w:ascii="Times New Roman" w:hAnsi="Times New Roman"/>
                <w:sz w:val="24"/>
              </w:rPr>
              <w:t> </w:t>
            </w:r>
            <w:r w:rsidRPr="00835753">
              <w:rPr>
                <w:rFonts w:ascii="Times New Roman" w:hAnsi="Times New Roman"/>
                <w:sz w:val="24"/>
              </w:rPr>
              <w:t>44 CRR (kwota ujemna).</w:t>
            </w:r>
          </w:p>
        </w:tc>
      </w:tr>
      <w:tr w:rsidR="00CE019E" w:rsidRPr="00835753" w14:paraId="7894305B" w14:textId="77777777" w:rsidTr="001E06A3">
        <w:tc>
          <w:tcPr>
            <w:tcW w:w="1172" w:type="dxa"/>
            <w:vAlign w:val="center"/>
          </w:tcPr>
          <w:p w14:paraId="53891474"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18</w:t>
            </w:r>
          </w:p>
        </w:tc>
        <w:tc>
          <w:tcPr>
            <w:tcW w:w="7242" w:type="dxa"/>
            <w:vAlign w:val="center"/>
          </w:tcPr>
          <w:p w14:paraId="4CE287EC" w14:textId="2E83DDE8"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Posiadane przez instytucję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 podmiotów sektora finansowego, jeżeli instytucja nie dokonała znacznej inwestycji w te podmioty (kwota przekraczająca próg 10 % oraz po odliczeniu kwalifikowalnych pozycji krótkich) (kwota ujemna)</w:t>
            </w:r>
          </w:p>
          <w:p w14:paraId="29854426" w14:textId="56EBEF0E"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 podmiotów sektora finansowego, jeżeli instytucja nie dokonała znacznej inwestycji w te podmioty (kwota przekraczająca próg 10</w:t>
            </w:r>
            <w:r w:rsidR="00835753" w:rsidRPr="00835753">
              <w:rPr>
                <w:rFonts w:ascii="Times New Roman" w:hAnsi="Times New Roman"/>
                <w:sz w:val="24"/>
              </w:rPr>
              <w:t> </w:t>
            </w:r>
            <w:r w:rsidRPr="00835753">
              <w:rPr>
                <w:rFonts w:ascii="Times New Roman" w:hAnsi="Times New Roman"/>
                <w:sz w:val="24"/>
              </w:rPr>
              <w:t>% oraz po odliczeniu kwalifikowalnych pozycji krótkich),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h), art.</w:t>
            </w:r>
            <w:r w:rsidR="00835753" w:rsidRPr="00835753">
              <w:rPr>
                <w:rFonts w:ascii="Times New Roman" w:hAnsi="Times New Roman"/>
                <w:sz w:val="24"/>
              </w:rPr>
              <w:t> </w:t>
            </w:r>
            <w:r w:rsidRPr="00835753">
              <w:rPr>
                <w:rFonts w:ascii="Times New Roman" w:hAnsi="Times New Roman"/>
                <w:sz w:val="24"/>
              </w:rPr>
              <w:t>43, 45, 46, art.</w:t>
            </w:r>
            <w:r w:rsidR="00835753" w:rsidRPr="00835753">
              <w:rPr>
                <w:rFonts w:ascii="Times New Roman" w:hAnsi="Times New Roman"/>
                <w:sz w:val="24"/>
              </w:rPr>
              <w:t> </w:t>
            </w:r>
            <w:r w:rsidRPr="00835753">
              <w:rPr>
                <w:rFonts w:ascii="Times New Roman" w:hAnsi="Times New Roman"/>
                <w:sz w:val="24"/>
              </w:rPr>
              <w:t>49 ust.</w:t>
            </w:r>
            <w:r w:rsidR="00835753" w:rsidRPr="00835753">
              <w:rPr>
                <w:rFonts w:ascii="Times New Roman" w:hAnsi="Times New Roman"/>
                <w:sz w:val="24"/>
              </w:rPr>
              <w:t> </w:t>
            </w:r>
            <w:r w:rsidRPr="00835753">
              <w:rPr>
                <w:rFonts w:ascii="Times New Roman" w:hAnsi="Times New Roman"/>
                <w:sz w:val="24"/>
              </w:rPr>
              <w:t>2</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3</w:t>
            </w:r>
            <w:r w:rsidRPr="00835753">
              <w:rPr>
                <w:rFonts w:ascii="Times New Roman" w:hAnsi="Times New Roman"/>
                <w:sz w:val="24"/>
              </w:rPr>
              <w:t xml:space="preserve"> oraz art.</w:t>
            </w:r>
            <w:r w:rsidR="00835753" w:rsidRPr="00835753">
              <w:rPr>
                <w:rFonts w:ascii="Times New Roman" w:hAnsi="Times New Roman"/>
                <w:sz w:val="24"/>
              </w:rPr>
              <w:t> </w:t>
            </w:r>
            <w:r w:rsidRPr="00835753">
              <w:rPr>
                <w:rFonts w:ascii="Times New Roman" w:hAnsi="Times New Roman"/>
                <w:sz w:val="24"/>
              </w:rPr>
              <w:t>79 CRR (kwota ujemna).</w:t>
            </w:r>
          </w:p>
        </w:tc>
      </w:tr>
      <w:tr w:rsidR="00CE019E" w:rsidRPr="00835753" w14:paraId="0A78DBEA" w14:textId="77777777" w:rsidTr="001E06A3">
        <w:tc>
          <w:tcPr>
            <w:tcW w:w="1172" w:type="dxa"/>
            <w:vAlign w:val="center"/>
          </w:tcPr>
          <w:p w14:paraId="681008FE"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19</w:t>
            </w:r>
          </w:p>
        </w:tc>
        <w:tc>
          <w:tcPr>
            <w:tcW w:w="7242" w:type="dxa"/>
            <w:vAlign w:val="center"/>
          </w:tcPr>
          <w:p w14:paraId="4A35F4E1" w14:textId="3BC2B058"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Posiadane przez instytucję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 podmiotów sektora finansowego, jeżeli instytucja dokonała znacznej inwestycji w te podmioty (kwota przekraczająca próg 10 % oraz po odliczeniu kwalifikowalnych pozycji krótkich) (kwota ujemna)</w:t>
            </w:r>
          </w:p>
          <w:p w14:paraId="13003834" w14:textId="487D2052"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Posiadane przez instytucję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 podmiotów sektora finansowego, jeżeli instytucja dokonała znacznej inwestycji w te podmioty (kwota przekraczająca próg 10</w:t>
            </w:r>
            <w:r w:rsidR="00835753" w:rsidRPr="00835753">
              <w:rPr>
                <w:rFonts w:ascii="Times New Roman" w:hAnsi="Times New Roman"/>
                <w:sz w:val="24"/>
              </w:rPr>
              <w:t> </w:t>
            </w:r>
            <w:r w:rsidRPr="00835753">
              <w:rPr>
                <w:rFonts w:ascii="Times New Roman" w:hAnsi="Times New Roman"/>
                <w:sz w:val="24"/>
              </w:rPr>
              <w:t>% oraz po odliczeniu kwalifikowalnych pozycji krótkich),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i), art.</w:t>
            </w:r>
            <w:r w:rsidR="00835753" w:rsidRPr="00835753">
              <w:rPr>
                <w:rFonts w:ascii="Times New Roman" w:hAnsi="Times New Roman"/>
                <w:sz w:val="24"/>
              </w:rPr>
              <w:t> </w:t>
            </w:r>
            <w:r w:rsidRPr="00835753">
              <w:rPr>
                <w:rFonts w:ascii="Times New Roman" w:hAnsi="Times New Roman"/>
                <w:sz w:val="24"/>
              </w:rPr>
              <w:t>43, 45, 47, art.</w:t>
            </w:r>
            <w:r w:rsidR="00835753" w:rsidRPr="00835753">
              <w:rPr>
                <w:rFonts w:ascii="Times New Roman" w:hAnsi="Times New Roman"/>
                <w:sz w:val="24"/>
              </w:rPr>
              <w:t> </w:t>
            </w:r>
            <w:r w:rsidRPr="00835753">
              <w:rPr>
                <w:rFonts w:ascii="Times New Roman" w:hAnsi="Times New Roman"/>
                <w:sz w:val="24"/>
              </w:rPr>
              <w:t>48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b) oraz art.</w:t>
            </w:r>
            <w:r w:rsidR="00835753" w:rsidRPr="00835753">
              <w:rPr>
                <w:rFonts w:ascii="Times New Roman" w:hAnsi="Times New Roman"/>
                <w:sz w:val="24"/>
              </w:rPr>
              <w:t> </w:t>
            </w:r>
            <w:r w:rsidRPr="00835753">
              <w:rPr>
                <w:rFonts w:ascii="Times New Roman" w:hAnsi="Times New Roman"/>
                <w:sz w:val="24"/>
              </w:rPr>
              <w:t>49 ust.</w:t>
            </w:r>
            <w:r w:rsidR="00835753" w:rsidRPr="00835753">
              <w:rPr>
                <w:rFonts w:ascii="Times New Roman" w:hAnsi="Times New Roman"/>
                <w:sz w:val="24"/>
              </w:rPr>
              <w:t> </w:t>
            </w:r>
            <w:r w:rsidRPr="00835753">
              <w:rPr>
                <w:rFonts w:ascii="Times New Roman" w:hAnsi="Times New Roman"/>
                <w:sz w:val="24"/>
              </w:rPr>
              <w:t>1–3 CRR (kwota ujemna).</w:t>
            </w:r>
          </w:p>
        </w:tc>
      </w:tr>
      <w:tr w:rsidR="00CE019E" w:rsidRPr="00835753" w14:paraId="7D8C0A70" w14:textId="77777777" w:rsidTr="001E06A3">
        <w:tc>
          <w:tcPr>
            <w:tcW w:w="1172" w:type="dxa"/>
            <w:vAlign w:val="center"/>
          </w:tcPr>
          <w:p w14:paraId="59995C40"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20</w:t>
            </w:r>
          </w:p>
        </w:tc>
        <w:tc>
          <w:tcPr>
            <w:tcW w:w="7242" w:type="dxa"/>
            <w:vAlign w:val="center"/>
          </w:tcPr>
          <w:p w14:paraId="6B74DE96"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Nie dotyczy</w:t>
            </w:r>
          </w:p>
        </w:tc>
      </w:tr>
      <w:tr w:rsidR="00CE019E" w:rsidRPr="00835753" w14:paraId="6467D72F" w14:textId="77777777" w:rsidTr="001E06A3">
        <w:tc>
          <w:tcPr>
            <w:tcW w:w="1172" w:type="dxa"/>
            <w:vAlign w:val="center"/>
          </w:tcPr>
          <w:p w14:paraId="007964E6"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EU-20a</w:t>
            </w:r>
          </w:p>
        </w:tc>
        <w:tc>
          <w:tcPr>
            <w:tcW w:w="7242" w:type="dxa"/>
            <w:vAlign w:val="center"/>
          </w:tcPr>
          <w:p w14:paraId="4C2088EC"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ekspozycji następujących pozycji kwalifikujących się do wagi ryzyka równej 1250 %, jeżeli instytucja decyduje się na wariant odliczenia</w:t>
            </w:r>
          </w:p>
          <w:p w14:paraId="17319683" w14:textId="77CE4FE2"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ekspozycji kwalifikująca się do wagi ryzyka równej 1 250</w:t>
            </w:r>
            <w:r w:rsidR="00835753" w:rsidRPr="00835753">
              <w:rPr>
                <w:rFonts w:ascii="Times New Roman" w:hAnsi="Times New Roman"/>
                <w:sz w:val="24"/>
              </w:rPr>
              <w:t> </w:t>
            </w:r>
            <w:r w:rsidRPr="00835753">
              <w:rPr>
                <w:rFonts w:ascii="Times New Roman" w:hAnsi="Times New Roman"/>
                <w:sz w:val="24"/>
              </w:rPr>
              <w:t>%, jeżeli instytucja decyduje się na wariant odliczenia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k) CRR.</w:t>
            </w:r>
          </w:p>
        </w:tc>
      </w:tr>
      <w:tr w:rsidR="00CE019E" w:rsidRPr="00835753" w14:paraId="4E31BBDF" w14:textId="77777777" w:rsidTr="001E06A3">
        <w:tc>
          <w:tcPr>
            <w:tcW w:w="1172" w:type="dxa"/>
            <w:vAlign w:val="center"/>
          </w:tcPr>
          <w:p w14:paraId="7EB71DBB"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EU-20b</w:t>
            </w:r>
          </w:p>
        </w:tc>
        <w:tc>
          <w:tcPr>
            <w:tcW w:w="7242" w:type="dxa"/>
            <w:vAlign w:val="center"/>
          </w:tcPr>
          <w:p w14:paraId="51FC9235" w14:textId="77777777" w:rsidR="00CE019E" w:rsidRPr="00835753" w:rsidRDefault="00CE019E" w:rsidP="001E06A3">
            <w:pPr>
              <w:spacing w:after="200"/>
              <w:jc w:val="both"/>
              <w:rPr>
                <w:rFonts w:ascii="Times New Roman" w:hAnsi="Times New Roman" w:cs="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znaczne pakiety akcji poza sektorem finansowym (kwota ujemna)</w:t>
            </w:r>
          </w:p>
          <w:p w14:paraId="6181DE15" w14:textId="3EF08021"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lastRenderedPageBreak/>
              <w:t>Z kwoty zgłoszonej w EU-20a kwota dotycząca znacznych pakietów akcji poza sektorem finansowym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k) ppkt (i) oraz art.</w:t>
            </w:r>
            <w:r w:rsidR="00835753" w:rsidRPr="00835753">
              <w:rPr>
                <w:rFonts w:ascii="Times New Roman" w:hAnsi="Times New Roman"/>
                <w:sz w:val="24"/>
              </w:rPr>
              <w:t> </w:t>
            </w:r>
            <w:r w:rsidRPr="00835753">
              <w:rPr>
                <w:rFonts w:ascii="Times New Roman" w:hAnsi="Times New Roman"/>
                <w:sz w:val="24"/>
              </w:rPr>
              <w:t>89–91 CRR (kwota ujemna)</w:t>
            </w:r>
          </w:p>
        </w:tc>
      </w:tr>
      <w:tr w:rsidR="00CE019E" w:rsidRPr="00835753" w14:paraId="594B3912" w14:textId="77777777" w:rsidTr="001E06A3">
        <w:tc>
          <w:tcPr>
            <w:tcW w:w="1172" w:type="dxa"/>
            <w:vAlign w:val="center"/>
          </w:tcPr>
          <w:p w14:paraId="65013798"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lastRenderedPageBreak/>
              <w:t>EU-20c</w:t>
            </w:r>
          </w:p>
        </w:tc>
        <w:tc>
          <w:tcPr>
            <w:tcW w:w="7242" w:type="dxa"/>
            <w:vAlign w:val="center"/>
          </w:tcPr>
          <w:p w14:paraId="7ABEBD66" w14:textId="77777777" w:rsidR="00CE019E" w:rsidRPr="00835753" w:rsidRDefault="00CE019E" w:rsidP="001E06A3">
            <w:pPr>
              <w:spacing w:after="200"/>
              <w:jc w:val="both"/>
              <w:rPr>
                <w:rFonts w:ascii="Times New Roman" w:hAnsi="Times New Roman" w:cs="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pozycje sekurytyzacyjne (kwota ujemna)</w:t>
            </w:r>
          </w:p>
          <w:p w14:paraId="0274E393" w14:textId="2BD42A5A"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Z kwoty zgłoszonej w EU-20a niniejszego wzoru kwota dotycząca pozycji sekurytyzacyjnych,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k) ppkt (ii), art.</w:t>
            </w:r>
            <w:r w:rsidR="00835753" w:rsidRPr="00835753">
              <w:rPr>
                <w:rFonts w:ascii="Times New Roman" w:hAnsi="Times New Roman"/>
                <w:sz w:val="24"/>
              </w:rPr>
              <w:t> </w:t>
            </w:r>
            <w:r w:rsidRPr="00835753">
              <w:rPr>
                <w:rFonts w:ascii="Times New Roman" w:hAnsi="Times New Roman"/>
                <w:sz w:val="24"/>
              </w:rPr>
              <w:t>243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b), art.</w:t>
            </w:r>
            <w:r w:rsidR="00835753" w:rsidRPr="00835753">
              <w:rPr>
                <w:rFonts w:ascii="Times New Roman" w:hAnsi="Times New Roman"/>
                <w:sz w:val="24"/>
              </w:rPr>
              <w:t> </w:t>
            </w:r>
            <w:r w:rsidRPr="00835753">
              <w:rPr>
                <w:rFonts w:ascii="Times New Roman" w:hAnsi="Times New Roman"/>
                <w:sz w:val="24"/>
              </w:rPr>
              <w:t>244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b) oraz art.</w:t>
            </w:r>
            <w:r w:rsidR="00835753" w:rsidRPr="00835753">
              <w:rPr>
                <w:rFonts w:ascii="Times New Roman" w:hAnsi="Times New Roman"/>
                <w:sz w:val="24"/>
              </w:rPr>
              <w:t> </w:t>
            </w:r>
            <w:r w:rsidRPr="00835753">
              <w:rPr>
                <w:rFonts w:ascii="Times New Roman" w:hAnsi="Times New Roman"/>
                <w:sz w:val="24"/>
              </w:rPr>
              <w:t>258 CRR (kwota ujemna)</w:t>
            </w:r>
          </w:p>
        </w:tc>
      </w:tr>
      <w:tr w:rsidR="00CE019E" w:rsidRPr="00835753" w14:paraId="472B4E52" w14:textId="77777777" w:rsidTr="001E06A3">
        <w:tc>
          <w:tcPr>
            <w:tcW w:w="1172" w:type="dxa"/>
            <w:vAlign w:val="center"/>
          </w:tcPr>
          <w:p w14:paraId="35D94A00"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EU-20d</w:t>
            </w:r>
          </w:p>
        </w:tc>
        <w:tc>
          <w:tcPr>
            <w:tcW w:w="7242" w:type="dxa"/>
            <w:vAlign w:val="center"/>
          </w:tcPr>
          <w:p w14:paraId="6BF8A00A" w14:textId="3D8BD3EE" w:rsidR="00CE019E" w:rsidRPr="00835753" w:rsidRDefault="00CE019E" w:rsidP="001E06A3">
            <w:pPr>
              <w:spacing w:after="200"/>
              <w:jc w:val="both"/>
              <w:rPr>
                <w:rFonts w:ascii="Times New Roman" w:hAnsi="Times New Roman" w:cs="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dostawy instrumentów</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póź</w:t>
            </w:r>
            <w:r w:rsidRPr="00835753">
              <w:rPr>
                <w:rFonts w:ascii="Times New Roman" w:hAnsi="Times New Roman"/>
                <w:sz w:val="24"/>
              </w:rPr>
              <w:t>niejszym terminem rozliczenia (kwota ujemna)</w:t>
            </w:r>
          </w:p>
          <w:p w14:paraId="3C2088C2" w14:textId="6F9E8B94"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Z kwoty zgłoszonej w EU-20a niniejszego wzoru kwota dotycząca dostaw instrumentów</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póź</w:t>
            </w:r>
            <w:r w:rsidRPr="00835753">
              <w:rPr>
                <w:rFonts w:ascii="Times New Roman" w:hAnsi="Times New Roman"/>
                <w:sz w:val="24"/>
              </w:rPr>
              <w:t>niejszym terminem rozliczenia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k) ppkt (iii) oraz art.</w:t>
            </w:r>
            <w:r w:rsidR="00835753" w:rsidRPr="00835753">
              <w:rPr>
                <w:rFonts w:ascii="Times New Roman" w:hAnsi="Times New Roman"/>
                <w:sz w:val="24"/>
              </w:rPr>
              <w:t> </w:t>
            </w:r>
            <w:r w:rsidRPr="00835753">
              <w:rPr>
                <w:rFonts w:ascii="Times New Roman" w:hAnsi="Times New Roman"/>
                <w:sz w:val="24"/>
              </w:rPr>
              <w:t>379 ust.</w:t>
            </w:r>
            <w:r w:rsidR="00835753" w:rsidRPr="00835753">
              <w:rPr>
                <w:rFonts w:ascii="Times New Roman" w:hAnsi="Times New Roman"/>
                <w:sz w:val="24"/>
              </w:rPr>
              <w:t> </w:t>
            </w:r>
            <w:r w:rsidRPr="00835753">
              <w:rPr>
                <w:rFonts w:ascii="Times New Roman" w:hAnsi="Times New Roman"/>
                <w:sz w:val="24"/>
              </w:rPr>
              <w:t>3 CRR (kwota ujemna)</w:t>
            </w:r>
          </w:p>
        </w:tc>
      </w:tr>
      <w:tr w:rsidR="00CE019E" w:rsidRPr="00835753" w14:paraId="61FD6E4E" w14:textId="77777777" w:rsidTr="001E06A3">
        <w:tc>
          <w:tcPr>
            <w:tcW w:w="1172" w:type="dxa"/>
            <w:vAlign w:val="center"/>
          </w:tcPr>
          <w:p w14:paraId="63688371"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21</w:t>
            </w:r>
          </w:p>
        </w:tc>
        <w:tc>
          <w:tcPr>
            <w:tcW w:w="7242" w:type="dxa"/>
            <w:vAlign w:val="center"/>
          </w:tcPr>
          <w:p w14:paraId="3B877638" w14:textId="7093B724"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Aktywa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 wynikające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róż</w:t>
            </w:r>
            <w:r w:rsidRPr="00835753">
              <w:rPr>
                <w:rFonts w:ascii="Times New Roman" w:hAnsi="Times New Roman"/>
                <w:sz w:val="24"/>
              </w:rPr>
              <w:t>nic przejściowych (kwota przekraczająca próg 10 %, po odliczeniu powiązanej rezerwy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spełnienia warunków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38 ust.</w:t>
            </w:r>
            <w:r w:rsidR="00835753" w:rsidRPr="00835753">
              <w:rPr>
                <w:rFonts w:ascii="Times New Roman" w:hAnsi="Times New Roman"/>
                <w:sz w:val="24"/>
              </w:rPr>
              <w:t> </w:t>
            </w:r>
            <w:r w:rsidRPr="00835753">
              <w:rPr>
                <w:rFonts w:ascii="Times New Roman" w:hAnsi="Times New Roman"/>
                <w:sz w:val="24"/>
              </w:rPr>
              <w:t>3 CRR) (kwota ujemna)</w:t>
            </w:r>
          </w:p>
          <w:p w14:paraId="56CF18F6" w14:textId="49347CE4"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Aktywa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 wynikające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róż</w:t>
            </w:r>
            <w:r w:rsidRPr="00835753">
              <w:rPr>
                <w:rFonts w:ascii="Times New Roman" w:hAnsi="Times New Roman"/>
                <w:sz w:val="24"/>
              </w:rPr>
              <w:t>nic przejściowych (kwota przekraczająca próg 10</w:t>
            </w:r>
            <w:r w:rsidR="00835753" w:rsidRPr="00835753">
              <w:rPr>
                <w:rFonts w:ascii="Times New Roman" w:hAnsi="Times New Roman"/>
                <w:sz w:val="24"/>
              </w:rPr>
              <w:t> </w:t>
            </w:r>
            <w:r w:rsidRPr="00835753">
              <w:rPr>
                <w:rFonts w:ascii="Times New Roman" w:hAnsi="Times New Roman"/>
                <w:sz w:val="24"/>
              </w:rPr>
              <w:t>%, po odliczeniu powiązanej rezerwy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spełnienia warunków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38 ust.</w:t>
            </w:r>
            <w:r w:rsidR="00835753" w:rsidRPr="00835753">
              <w:rPr>
                <w:rFonts w:ascii="Times New Roman" w:hAnsi="Times New Roman"/>
                <w:sz w:val="24"/>
              </w:rPr>
              <w:t> </w:t>
            </w:r>
            <w:r w:rsidRPr="00835753">
              <w:rPr>
                <w:rFonts w:ascii="Times New Roman" w:hAnsi="Times New Roman"/>
                <w:sz w:val="24"/>
              </w:rPr>
              <w:t>3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c), art.</w:t>
            </w:r>
            <w:r w:rsidR="00835753" w:rsidRPr="00835753">
              <w:rPr>
                <w:rFonts w:ascii="Times New Roman" w:hAnsi="Times New Roman"/>
                <w:sz w:val="24"/>
              </w:rPr>
              <w:t> </w:t>
            </w:r>
            <w:r w:rsidRPr="00835753">
              <w:rPr>
                <w:rFonts w:ascii="Times New Roman" w:hAnsi="Times New Roman"/>
                <w:sz w:val="24"/>
              </w:rPr>
              <w:t>38 oraz art.</w:t>
            </w:r>
            <w:r w:rsidR="00835753" w:rsidRPr="00835753">
              <w:rPr>
                <w:rFonts w:ascii="Times New Roman" w:hAnsi="Times New Roman"/>
                <w:sz w:val="24"/>
              </w:rPr>
              <w:t> </w:t>
            </w:r>
            <w:r w:rsidRPr="00835753">
              <w:rPr>
                <w:rFonts w:ascii="Times New Roman" w:hAnsi="Times New Roman"/>
                <w:sz w:val="24"/>
              </w:rPr>
              <w:t>48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CRR (kwota ujemna)</w:t>
            </w:r>
          </w:p>
        </w:tc>
      </w:tr>
      <w:tr w:rsidR="00CE019E" w:rsidRPr="00835753" w14:paraId="4190538A" w14:textId="77777777" w:rsidTr="001E06A3">
        <w:tc>
          <w:tcPr>
            <w:tcW w:w="1172" w:type="dxa"/>
            <w:vAlign w:val="center"/>
          </w:tcPr>
          <w:p w14:paraId="527D977A"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22</w:t>
            </w:r>
          </w:p>
        </w:tc>
        <w:tc>
          <w:tcPr>
            <w:tcW w:w="7242" w:type="dxa"/>
            <w:vAlign w:val="center"/>
          </w:tcPr>
          <w:p w14:paraId="372907CD"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przekraczająca próg 17,65 % (kwota ujemna)</w:t>
            </w:r>
          </w:p>
          <w:p w14:paraId="3C1D0D34" w14:textId="0AE41F6D"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przekraczająca próg 17,65 %,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 ust.</w:t>
            </w:r>
            <w:r w:rsidR="00835753" w:rsidRPr="00835753">
              <w:rPr>
                <w:rFonts w:ascii="Times New Roman" w:hAnsi="Times New Roman"/>
                <w:sz w:val="24"/>
              </w:rPr>
              <w:t> </w:t>
            </w:r>
            <w:r w:rsidRPr="00835753">
              <w:rPr>
                <w:rFonts w:ascii="Times New Roman" w:hAnsi="Times New Roman"/>
                <w:sz w:val="24"/>
              </w:rPr>
              <w:t>1 CRR (kwota ujemna).</w:t>
            </w:r>
          </w:p>
        </w:tc>
      </w:tr>
      <w:tr w:rsidR="00CE019E" w:rsidRPr="00835753" w14:paraId="5454A72E" w14:textId="77777777" w:rsidTr="001E06A3">
        <w:tc>
          <w:tcPr>
            <w:tcW w:w="1172" w:type="dxa"/>
            <w:vAlign w:val="center"/>
          </w:tcPr>
          <w:p w14:paraId="58E1B231"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23</w:t>
            </w:r>
          </w:p>
        </w:tc>
        <w:tc>
          <w:tcPr>
            <w:tcW w:w="7242" w:type="dxa"/>
            <w:vAlign w:val="center"/>
          </w:tcPr>
          <w:p w14:paraId="657DF291" w14:textId="0CB9C945" w:rsidR="00CE019E" w:rsidRPr="00835753" w:rsidRDefault="00CE019E" w:rsidP="001E06A3">
            <w:pPr>
              <w:spacing w:after="200"/>
              <w:jc w:val="both"/>
              <w:rPr>
                <w:rFonts w:ascii="Times New Roman" w:hAnsi="Times New Roman" w:cs="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posiadane przez instytucję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 podmiotów sektora finansowego, jeżeli instytucja dokonała znacznej inwestycji w te podmioty</w:t>
            </w:r>
          </w:p>
          <w:p w14:paraId="2BCF8CAE" w14:textId="585CA2F6"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Z kwoty zgłoszonej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22 niniejszego wzoru kwota posiadanych przez instytucję bezpośrednich, pośrednich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tetycznych udziałów kapitałowych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 podmiotów sektora finansowego, jeżeli instytucja dokonała znacznej inwestycji w te podmioty,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i) oraz art.</w:t>
            </w:r>
            <w:r w:rsidR="00835753" w:rsidRPr="00835753">
              <w:rPr>
                <w:rFonts w:ascii="Times New Roman" w:hAnsi="Times New Roman"/>
                <w:sz w:val="24"/>
              </w:rPr>
              <w:t> </w:t>
            </w:r>
            <w:r w:rsidRPr="00835753">
              <w:rPr>
                <w:rFonts w:ascii="Times New Roman" w:hAnsi="Times New Roman"/>
                <w:sz w:val="24"/>
              </w:rPr>
              <w:t>48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b) CRR.</w:t>
            </w:r>
          </w:p>
        </w:tc>
      </w:tr>
      <w:tr w:rsidR="00CE019E" w:rsidRPr="00835753" w14:paraId="37E0B534" w14:textId="77777777" w:rsidTr="001E06A3">
        <w:tc>
          <w:tcPr>
            <w:tcW w:w="1172" w:type="dxa"/>
            <w:vAlign w:val="center"/>
          </w:tcPr>
          <w:p w14:paraId="4E9E83D9"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24</w:t>
            </w:r>
          </w:p>
        </w:tc>
        <w:tc>
          <w:tcPr>
            <w:tcW w:w="7242" w:type="dxa"/>
            <w:vAlign w:val="center"/>
          </w:tcPr>
          <w:p w14:paraId="32350A81"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Nie dotyczy</w:t>
            </w:r>
          </w:p>
        </w:tc>
      </w:tr>
      <w:tr w:rsidR="00CE019E" w:rsidRPr="00835753" w14:paraId="02C25D3C" w14:textId="77777777" w:rsidTr="001E06A3">
        <w:tc>
          <w:tcPr>
            <w:tcW w:w="1172" w:type="dxa"/>
            <w:vAlign w:val="center"/>
          </w:tcPr>
          <w:p w14:paraId="42946A86"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lastRenderedPageBreak/>
              <w:t>25</w:t>
            </w:r>
          </w:p>
        </w:tc>
        <w:tc>
          <w:tcPr>
            <w:tcW w:w="7242" w:type="dxa"/>
            <w:vAlign w:val="center"/>
          </w:tcPr>
          <w:p w14:paraId="52C78054" w14:textId="7289092E" w:rsidR="00CE019E" w:rsidRPr="00835753" w:rsidRDefault="00CE019E" w:rsidP="001E06A3">
            <w:pPr>
              <w:spacing w:after="200"/>
              <w:jc w:val="both"/>
              <w:rPr>
                <w:rFonts w:ascii="Times New Roman" w:hAnsi="Times New Roman" w:cs="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aktywa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 wynikające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róż</w:t>
            </w:r>
            <w:r w:rsidRPr="00835753">
              <w:rPr>
                <w:rFonts w:ascii="Times New Roman" w:hAnsi="Times New Roman"/>
                <w:sz w:val="24"/>
              </w:rPr>
              <w:t>nic przejściowych</w:t>
            </w:r>
          </w:p>
          <w:p w14:paraId="4A92F4B3" w14:textId="2C959DF1"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Z kwoty zgłoszonej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22 niniejszego wzoru kwota aktywów</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róż</w:t>
            </w:r>
            <w:r w:rsidRPr="00835753">
              <w:rPr>
                <w:rFonts w:ascii="Times New Roman" w:hAnsi="Times New Roman"/>
                <w:sz w:val="24"/>
              </w:rPr>
              <w:t>nic przejściowych,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c), art.</w:t>
            </w:r>
            <w:r w:rsidR="00835753" w:rsidRPr="00835753">
              <w:rPr>
                <w:rFonts w:ascii="Times New Roman" w:hAnsi="Times New Roman"/>
                <w:sz w:val="24"/>
              </w:rPr>
              <w:t> </w:t>
            </w:r>
            <w:r w:rsidRPr="00835753">
              <w:rPr>
                <w:rFonts w:ascii="Times New Roman" w:hAnsi="Times New Roman"/>
                <w:sz w:val="24"/>
              </w:rPr>
              <w:t>38 oraz art.</w:t>
            </w:r>
            <w:r w:rsidR="00835753" w:rsidRPr="00835753">
              <w:rPr>
                <w:rFonts w:ascii="Times New Roman" w:hAnsi="Times New Roman"/>
                <w:sz w:val="24"/>
              </w:rPr>
              <w:t> </w:t>
            </w:r>
            <w:r w:rsidRPr="00835753">
              <w:rPr>
                <w:rFonts w:ascii="Times New Roman" w:hAnsi="Times New Roman"/>
                <w:sz w:val="24"/>
              </w:rPr>
              <w:t>48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CRR</w:t>
            </w:r>
          </w:p>
        </w:tc>
      </w:tr>
      <w:tr w:rsidR="00CE019E" w:rsidRPr="00835753" w14:paraId="3361CDFE" w14:textId="77777777" w:rsidTr="001E06A3">
        <w:tc>
          <w:tcPr>
            <w:tcW w:w="1172" w:type="dxa"/>
            <w:vAlign w:val="center"/>
          </w:tcPr>
          <w:p w14:paraId="757F70FB"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EU-25a</w:t>
            </w:r>
          </w:p>
        </w:tc>
        <w:tc>
          <w:tcPr>
            <w:tcW w:w="7242" w:type="dxa"/>
            <w:vAlign w:val="center"/>
          </w:tcPr>
          <w:p w14:paraId="351E3124"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Straty za bieżący rok obrachunkowy (kwota ujemna)</w:t>
            </w:r>
          </w:p>
          <w:p w14:paraId="62500878" w14:textId="04AE101A"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Straty za rok obrachunkowy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CRR (kwota ujemna)</w:t>
            </w:r>
          </w:p>
        </w:tc>
      </w:tr>
      <w:tr w:rsidR="00CE019E" w:rsidRPr="00835753" w14:paraId="6C918BDD" w14:textId="77777777" w:rsidTr="001E06A3">
        <w:tc>
          <w:tcPr>
            <w:tcW w:w="1172" w:type="dxa"/>
            <w:vAlign w:val="center"/>
          </w:tcPr>
          <w:p w14:paraId="4A28606A"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EU-25b</w:t>
            </w:r>
          </w:p>
        </w:tc>
        <w:tc>
          <w:tcPr>
            <w:tcW w:w="7242" w:type="dxa"/>
            <w:vAlign w:val="center"/>
          </w:tcPr>
          <w:p w14:paraId="0A07A5DE" w14:textId="0C6B6F6B"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Możliwe do przewidzenia obciążenia podatkowe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ycjami kapitału podstawowego Tier 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wyj</w:t>
            </w:r>
            <w:r w:rsidRPr="00835753">
              <w:rPr>
                <w:rFonts w:ascii="Times New Roman" w:hAnsi="Times New Roman"/>
                <w:sz w:val="24"/>
              </w:rPr>
              <w:t>ątkiem przypadków,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instytucja odpowiednio koryguje kwotę pozycji kapitału podstawowego Tier 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ile</w:t>
            </w:r>
            <w:r w:rsidRPr="00835753">
              <w:rPr>
                <w:rFonts w:ascii="Times New Roman" w:hAnsi="Times New Roman"/>
                <w:sz w:val="24"/>
              </w:rPr>
              <w:t xml:space="preserve"> takie obciążenia podatkowe obniżają kwotę, którą można maksymalnie wykorzystać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pokrycia ryzyka lub strat (kwota ujemna).</w:t>
            </w:r>
          </w:p>
          <w:p w14:paraId="6272E394" w14:textId="2FA4C1A9"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możliwych do przewidzenia obciążeń podatkowych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ycjami kapitału podstawowego Tier I, dających się przewidzieć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chw</w:t>
            </w:r>
            <w:r w:rsidRPr="00835753">
              <w:rPr>
                <w:rFonts w:ascii="Times New Roman" w:hAnsi="Times New Roman"/>
                <w:sz w:val="24"/>
              </w:rPr>
              <w:t>ili wyliczania tych pozycji,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wyj</w:t>
            </w:r>
            <w:r w:rsidRPr="00835753">
              <w:rPr>
                <w:rFonts w:ascii="Times New Roman" w:hAnsi="Times New Roman"/>
                <w:sz w:val="24"/>
              </w:rPr>
              <w:t>ątkiem przypadków,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instytucja odpowiednio koryguje kwotę pozycji kapitału podstawowego Tier 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ile</w:t>
            </w:r>
            <w:r w:rsidRPr="00835753">
              <w:rPr>
                <w:rFonts w:ascii="Times New Roman" w:hAnsi="Times New Roman"/>
                <w:sz w:val="24"/>
              </w:rPr>
              <w:t xml:space="preserve"> takie obciążenia podatkowe obniżają kwotę, którą można maksymalnie wykorzystać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pokrycia ryzyka lub strat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l) CRR (kwota ujemna).</w:t>
            </w:r>
          </w:p>
        </w:tc>
      </w:tr>
      <w:tr w:rsidR="00CE019E" w:rsidRPr="00835753" w14:paraId="05752064" w14:textId="77777777" w:rsidTr="001E06A3">
        <w:tc>
          <w:tcPr>
            <w:tcW w:w="1172" w:type="dxa"/>
            <w:vAlign w:val="center"/>
          </w:tcPr>
          <w:p w14:paraId="26AF9B17"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26</w:t>
            </w:r>
          </w:p>
        </w:tc>
        <w:tc>
          <w:tcPr>
            <w:tcW w:w="7242" w:type="dxa"/>
            <w:vAlign w:val="center"/>
          </w:tcPr>
          <w:p w14:paraId="39DD9A4C"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Nie dotyczy</w:t>
            </w:r>
          </w:p>
        </w:tc>
      </w:tr>
      <w:tr w:rsidR="00CE019E" w:rsidRPr="00835753" w14:paraId="76AE376A" w14:textId="77777777" w:rsidTr="001E06A3">
        <w:tc>
          <w:tcPr>
            <w:tcW w:w="1172" w:type="dxa"/>
            <w:vAlign w:val="center"/>
          </w:tcPr>
          <w:p w14:paraId="79685A71"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27</w:t>
            </w:r>
          </w:p>
        </w:tc>
        <w:tc>
          <w:tcPr>
            <w:tcW w:w="7242" w:type="dxa"/>
            <w:vAlign w:val="center"/>
          </w:tcPr>
          <w:p w14:paraId="33629125" w14:textId="39E2534E"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Kwalifikowalne odliczenia od 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 które przekraczają wartość kapitału dodatkowego Tier I instytucji (kwota ujemna)</w:t>
            </w:r>
          </w:p>
          <w:p w14:paraId="67670817" w14:textId="5F5AECB6"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Kwalifikowalne odliczenia od 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 które przekraczają wartość kapitału dodatkowego Tier I instytucji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j) CRR (kwota ujemna)</w:t>
            </w:r>
          </w:p>
        </w:tc>
      </w:tr>
      <w:tr w:rsidR="00CE019E" w:rsidRPr="00835753" w14:paraId="7617A046" w14:textId="77777777" w:rsidTr="001E06A3">
        <w:tc>
          <w:tcPr>
            <w:tcW w:w="1172" w:type="dxa"/>
            <w:vAlign w:val="center"/>
          </w:tcPr>
          <w:p w14:paraId="1490CE47"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EU-27a</w:t>
            </w:r>
          </w:p>
        </w:tc>
        <w:tc>
          <w:tcPr>
            <w:tcW w:w="7242" w:type="dxa"/>
            <w:vAlign w:val="center"/>
          </w:tcPr>
          <w:p w14:paraId="12463B82"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Inne korekty regulacyjne</w:t>
            </w:r>
          </w:p>
          <w:p w14:paraId="2B65A92B" w14:textId="6988AE6E" w:rsidR="00CE019E" w:rsidRPr="00835753" w:rsidRDefault="00CE019E" w:rsidP="00DF57F7">
            <w:pPr>
              <w:spacing w:after="200"/>
              <w:jc w:val="both"/>
              <w:rPr>
                <w:rFonts w:ascii="Times New Roman" w:hAnsi="Times New Roman" w:cs="Times New Roman"/>
                <w:sz w:val="24"/>
              </w:rPr>
            </w:pPr>
            <w:r w:rsidRPr="00835753">
              <w:rPr>
                <w:rFonts w:ascii="Times New Roman" w:hAnsi="Times New Roman"/>
                <w:sz w:val="24"/>
              </w:rPr>
              <w:t>W tym wierszu instytucje ujawniają wszelkie mające zastosowanie korekty regulacyjne zgłaszane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sprawozdawczości nadzorczej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nie</w:t>
            </w:r>
            <w:r w:rsidRPr="00835753">
              <w:rPr>
                <w:rFonts w:ascii="Times New Roman" w:hAnsi="Times New Roman"/>
                <w:sz w:val="24"/>
              </w:rPr>
              <w:t>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żad</w:t>
            </w:r>
            <w:r w:rsidRPr="00835753">
              <w:rPr>
                <w:rFonts w:ascii="Times New Roman" w:hAnsi="Times New Roman"/>
                <w:sz w:val="24"/>
              </w:rPr>
              <w:t>nym innym wierszu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wzorze,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kwotę wynikającą z MSSF 9</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przejściowym –</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 i do końca okresu przejściowego</w:t>
            </w:r>
          </w:p>
        </w:tc>
      </w:tr>
      <w:tr w:rsidR="00CE019E" w:rsidRPr="00835753" w14:paraId="3041F543" w14:textId="77777777" w:rsidTr="001E06A3">
        <w:tc>
          <w:tcPr>
            <w:tcW w:w="1172" w:type="dxa"/>
            <w:vAlign w:val="center"/>
          </w:tcPr>
          <w:p w14:paraId="036C8C7A"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28</w:t>
            </w:r>
          </w:p>
        </w:tc>
        <w:tc>
          <w:tcPr>
            <w:tcW w:w="7242" w:type="dxa"/>
            <w:vAlign w:val="center"/>
          </w:tcPr>
          <w:p w14:paraId="7655DF49" w14:textId="10E12775"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Całkowite korekty regulacyjne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w:t>
            </w:r>
          </w:p>
          <w:p w14:paraId="5763F1D9" w14:textId="6E0395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Obliczane jako suma wierszy od</w:t>
            </w:r>
            <w:r w:rsidR="00835753" w:rsidRPr="00835753">
              <w:rPr>
                <w:rFonts w:ascii="Times New Roman" w:hAnsi="Times New Roman"/>
                <w:sz w:val="24"/>
              </w:rPr>
              <w:t> </w:t>
            </w:r>
            <w:r w:rsidRPr="00835753">
              <w:rPr>
                <w:rFonts w:ascii="Times New Roman" w:hAnsi="Times New Roman"/>
                <w:sz w:val="24"/>
              </w:rPr>
              <w:t>7 do EU-20a, 21, 22 oraz od EU-25a do EU-27a niniejszego wzoru</w:t>
            </w:r>
          </w:p>
        </w:tc>
      </w:tr>
      <w:tr w:rsidR="00CE019E" w:rsidRPr="00835753" w14:paraId="47E67939" w14:textId="77777777" w:rsidTr="001E06A3">
        <w:tc>
          <w:tcPr>
            <w:tcW w:w="1172" w:type="dxa"/>
            <w:vAlign w:val="center"/>
          </w:tcPr>
          <w:p w14:paraId="6D6AE69A"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29</w:t>
            </w:r>
          </w:p>
        </w:tc>
        <w:tc>
          <w:tcPr>
            <w:tcW w:w="7242" w:type="dxa"/>
            <w:vAlign w:val="center"/>
          </w:tcPr>
          <w:p w14:paraId="391D84ED"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Kapitał podstawowy Tier I</w:t>
            </w:r>
          </w:p>
          <w:p w14:paraId="3C814FFD" w14:textId="6257B12A" w:rsidR="00CE019E" w:rsidRPr="00835753" w:rsidRDefault="00CE019E" w:rsidP="001E06A3">
            <w:pPr>
              <w:spacing w:after="200"/>
              <w:jc w:val="both"/>
              <w:rPr>
                <w:rFonts w:ascii="Times New Roman" w:hAnsi="Times New Roman"/>
                <w:sz w:val="24"/>
              </w:rPr>
            </w:pPr>
            <w:r w:rsidRPr="00835753">
              <w:rPr>
                <w:rFonts w:ascii="Times New Roman" w:hAnsi="Times New Roman"/>
                <w:sz w:val="24"/>
              </w:rPr>
              <w:lastRenderedPageBreak/>
              <w:t>Obliczany poprzez odjęcie wiersza 28 od wiersza 6</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wzorze</w:t>
            </w:r>
          </w:p>
        </w:tc>
      </w:tr>
      <w:tr w:rsidR="00CE019E" w:rsidRPr="00835753" w14:paraId="20040471" w14:textId="77777777" w:rsidTr="001E06A3">
        <w:tc>
          <w:tcPr>
            <w:tcW w:w="1172" w:type="dxa"/>
            <w:vAlign w:val="center"/>
          </w:tcPr>
          <w:p w14:paraId="6FC55127"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lastRenderedPageBreak/>
              <w:t>30</w:t>
            </w:r>
          </w:p>
        </w:tc>
        <w:tc>
          <w:tcPr>
            <w:tcW w:w="7242" w:type="dxa"/>
            <w:vAlign w:val="center"/>
          </w:tcPr>
          <w:p w14:paraId="7FC73003" w14:textId="631620BA"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Instrumenty kapitałowe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iązane ażio emisyjne</w:t>
            </w:r>
          </w:p>
          <w:p w14:paraId="1789E432" w14:textId="299A0884"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Instrumenty kapitałowe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iązane ażio emisyjne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51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5</w:t>
            </w:r>
            <w:r w:rsidRPr="00835753">
              <w:rPr>
                <w:rFonts w:ascii="Times New Roman" w:hAnsi="Times New Roman"/>
                <w:sz w:val="24"/>
              </w:rPr>
              <w:t>2 CRR</w:t>
            </w:r>
          </w:p>
        </w:tc>
      </w:tr>
      <w:tr w:rsidR="00CE019E" w:rsidRPr="00835753" w14:paraId="5E546FAF" w14:textId="77777777" w:rsidTr="001E06A3">
        <w:tc>
          <w:tcPr>
            <w:tcW w:w="1172" w:type="dxa"/>
            <w:vAlign w:val="center"/>
          </w:tcPr>
          <w:p w14:paraId="552B3851"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31</w:t>
            </w:r>
          </w:p>
        </w:tc>
        <w:tc>
          <w:tcPr>
            <w:tcW w:w="7242" w:type="dxa"/>
            <w:vAlign w:val="center"/>
          </w:tcPr>
          <w:p w14:paraId="761C7063" w14:textId="6DB12AC6" w:rsidR="00CE019E" w:rsidRPr="00835753" w:rsidRDefault="00CE019E" w:rsidP="001E06A3">
            <w:pPr>
              <w:spacing w:after="200"/>
              <w:jc w:val="both"/>
              <w:rPr>
                <w:rFonts w:ascii="Times New Roman" w:hAnsi="Times New Roman" w:cs="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zaklasyfikowane jako kapitał własny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maj</w:t>
            </w:r>
            <w:r w:rsidRPr="00835753">
              <w:rPr>
                <w:rFonts w:ascii="Times New Roman" w:hAnsi="Times New Roman"/>
                <w:sz w:val="24"/>
              </w:rPr>
              <w:t>ącymi zastosowanie standardami rachunkowości</w:t>
            </w:r>
          </w:p>
          <w:p w14:paraId="3C10748F" w14:textId="60A64FB9"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30 niniejszego wzoru zaklasyfikowana jako kapitał własny,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maj</w:t>
            </w:r>
            <w:r w:rsidRPr="00835753">
              <w:rPr>
                <w:rFonts w:ascii="Times New Roman" w:hAnsi="Times New Roman"/>
                <w:sz w:val="24"/>
              </w:rPr>
              <w:t>ącymi zastosowanie standardami rachunkowości</w:t>
            </w:r>
          </w:p>
        </w:tc>
      </w:tr>
      <w:tr w:rsidR="00CE019E" w:rsidRPr="00835753" w14:paraId="418A53CD" w14:textId="77777777" w:rsidTr="001E06A3">
        <w:tc>
          <w:tcPr>
            <w:tcW w:w="1172" w:type="dxa"/>
            <w:vAlign w:val="center"/>
          </w:tcPr>
          <w:p w14:paraId="684D6F54"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32</w:t>
            </w:r>
          </w:p>
        </w:tc>
        <w:tc>
          <w:tcPr>
            <w:tcW w:w="7242" w:type="dxa"/>
            <w:vAlign w:val="center"/>
          </w:tcPr>
          <w:p w14:paraId="7DB4D2C9" w14:textId="7D7F4FBA" w:rsidR="00CE019E" w:rsidRPr="00835753" w:rsidRDefault="00CE019E" w:rsidP="001E06A3">
            <w:pPr>
              <w:spacing w:after="200"/>
              <w:jc w:val="both"/>
              <w:rPr>
                <w:rFonts w:ascii="Times New Roman" w:hAnsi="Times New Roman" w:cs="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zaklasyfikowane jako zobowiązania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maj</w:t>
            </w:r>
            <w:r w:rsidRPr="00835753">
              <w:rPr>
                <w:rFonts w:ascii="Times New Roman" w:hAnsi="Times New Roman"/>
                <w:sz w:val="24"/>
              </w:rPr>
              <w:t>ącymi zastosowanie standardami rachunkowości</w:t>
            </w:r>
          </w:p>
          <w:p w14:paraId="1D077117" w14:textId="609979E8"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30 niniejszego wzoru zaklasyfikowana jako zobowiązania,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maj</w:t>
            </w:r>
            <w:r w:rsidRPr="00835753">
              <w:rPr>
                <w:rFonts w:ascii="Times New Roman" w:hAnsi="Times New Roman"/>
                <w:sz w:val="24"/>
              </w:rPr>
              <w:t>ącymi zastosowanie standardami rachunkowości.</w:t>
            </w:r>
          </w:p>
        </w:tc>
      </w:tr>
      <w:tr w:rsidR="00CE019E" w:rsidRPr="00835753" w14:paraId="5E308BE5" w14:textId="77777777" w:rsidTr="001E06A3">
        <w:tc>
          <w:tcPr>
            <w:tcW w:w="1172" w:type="dxa"/>
            <w:vAlign w:val="center"/>
          </w:tcPr>
          <w:p w14:paraId="72BDAE25"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33</w:t>
            </w:r>
          </w:p>
        </w:tc>
        <w:tc>
          <w:tcPr>
            <w:tcW w:w="7242" w:type="dxa"/>
            <w:vAlign w:val="center"/>
          </w:tcPr>
          <w:p w14:paraId="71CEB700" w14:textId="6E89A03B"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kwalifikujących się pozycji,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484 ust.</w:t>
            </w:r>
            <w:r w:rsidR="00835753" w:rsidRPr="00835753">
              <w:rPr>
                <w:rFonts w:ascii="Times New Roman" w:hAnsi="Times New Roman"/>
                <w:sz w:val="24"/>
              </w:rPr>
              <w:t> </w:t>
            </w:r>
            <w:r w:rsidRPr="00835753">
              <w:rPr>
                <w:rFonts w:ascii="Times New Roman" w:hAnsi="Times New Roman"/>
                <w:sz w:val="24"/>
              </w:rPr>
              <w:t>4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iązane ażio emisyjne przeznaczone do wycofania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itału dodatkowego Tier I</w:t>
            </w:r>
          </w:p>
          <w:p w14:paraId="224F7B0E" w14:textId="6F7A18C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kwalifikujących się pozycji,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484 ust.</w:t>
            </w:r>
            <w:r w:rsidR="00835753" w:rsidRPr="00835753">
              <w:rPr>
                <w:rFonts w:ascii="Times New Roman" w:hAnsi="Times New Roman"/>
                <w:sz w:val="24"/>
              </w:rPr>
              <w:t> </w:t>
            </w:r>
            <w:r w:rsidRPr="00835753">
              <w:rPr>
                <w:rFonts w:ascii="Times New Roman" w:hAnsi="Times New Roman"/>
                <w:sz w:val="24"/>
              </w:rPr>
              <w:t>4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iązane ażio emisyjne przeznaczone do wycofania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itału dodatkowego Tier 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486 ust.</w:t>
            </w:r>
            <w:r w:rsidR="00835753" w:rsidRPr="00835753">
              <w:rPr>
                <w:rFonts w:ascii="Times New Roman" w:hAnsi="Times New Roman"/>
                <w:sz w:val="24"/>
              </w:rPr>
              <w:t> </w:t>
            </w:r>
            <w:r w:rsidRPr="00835753">
              <w:rPr>
                <w:rFonts w:ascii="Times New Roman" w:hAnsi="Times New Roman"/>
                <w:sz w:val="24"/>
              </w:rPr>
              <w:t>3 CRR.</w:t>
            </w:r>
          </w:p>
        </w:tc>
      </w:tr>
      <w:tr w:rsidR="00CE019E" w:rsidRPr="00835753" w14:paraId="7454719D" w14:textId="77777777" w:rsidTr="001E06A3">
        <w:tc>
          <w:tcPr>
            <w:tcW w:w="1172" w:type="dxa"/>
            <w:vAlign w:val="center"/>
          </w:tcPr>
          <w:p w14:paraId="0773B8CC"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EU-33a</w:t>
            </w:r>
          </w:p>
        </w:tc>
        <w:tc>
          <w:tcPr>
            <w:tcW w:w="7242" w:type="dxa"/>
            <w:vAlign w:val="center"/>
          </w:tcPr>
          <w:p w14:paraId="7D850D19" w14:textId="21E6C9EB"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kwalifikujących się pozycji,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494a ust.</w:t>
            </w:r>
            <w:r w:rsidR="00835753" w:rsidRPr="00835753">
              <w:rPr>
                <w:rFonts w:ascii="Times New Roman" w:hAnsi="Times New Roman"/>
                <w:sz w:val="24"/>
              </w:rPr>
              <w:t> </w:t>
            </w:r>
            <w:r w:rsidRPr="00835753">
              <w:rPr>
                <w:rFonts w:ascii="Times New Roman" w:hAnsi="Times New Roman"/>
                <w:sz w:val="24"/>
              </w:rPr>
              <w:t>1 CRR, przeznaczona do wycofania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itału dodatkowego Tier I</w:t>
            </w:r>
          </w:p>
        </w:tc>
      </w:tr>
      <w:tr w:rsidR="00CE019E" w:rsidRPr="00835753" w14:paraId="60FF6EA1" w14:textId="77777777" w:rsidTr="001E06A3">
        <w:tc>
          <w:tcPr>
            <w:tcW w:w="1172" w:type="dxa"/>
            <w:vAlign w:val="center"/>
          </w:tcPr>
          <w:p w14:paraId="669785D9"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EU-33b</w:t>
            </w:r>
          </w:p>
        </w:tc>
        <w:tc>
          <w:tcPr>
            <w:tcW w:w="7242" w:type="dxa"/>
            <w:vAlign w:val="center"/>
          </w:tcPr>
          <w:p w14:paraId="5DF6D2BC" w14:textId="0311AFDC"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kwalifikujących się pozycji,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494b ust.</w:t>
            </w:r>
            <w:r w:rsidR="00835753" w:rsidRPr="00835753">
              <w:rPr>
                <w:rFonts w:ascii="Times New Roman" w:hAnsi="Times New Roman"/>
                <w:sz w:val="24"/>
              </w:rPr>
              <w:t> </w:t>
            </w:r>
            <w:r w:rsidRPr="00835753">
              <w:rPr>
                <w:rFonts w:ascii="Times New Roman" w:hAnsi="Times New Roman"/>
                <w:sz w:val="24"/>
              </w:rPr>
              <w:t>1 CRR, przeznaczonych do wycofania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itału dodatkowego Tier I</w:t>
            </w:r>
          </w:p>
        </w:tc>
      </w:tr>
      <w:tr w:rsidR="00CE019E" w:rsidRPr="00835753" w14:paraId="71993773" w14:textId="77777777" w:rsidTr="001E06A3">
        <w:tc>
          <w:tcPr>
            <w:tcW w:w="1172" w:type="dxa"/>
            <w:vAlign w:val="center"/>
          </w:tcPr>
          <w:p w14:paraId="42440BC0"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34</w:t>
            </w:r>
          </w:p>
        </w:tc>
        <w:tc>
          <w:tcPr>
            <w:tcW w:w="7242" w:type="dxa"/>
            <w:vAlign w:val="center"/>
          </w:tcPr>
          <w:p w14:paraId="4783A8DB" w14:textId="4493CE85"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Kwalifikujący się kapitał Tier I uwzględniony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sko</w:t>
            </w:r>
            <w:r w:rsidRPr="00835753">
              <w:rPr>
                <w:rFonts w:ascii="Times New Roman" w:hAnsi="Times New Roman"/>
                <w:sz w:val="24"/>
              </w:rPr>
              <w:t>nsolidowanym kapitale dodatkowym Tier I (w tym udziały mniejszości nieuwzględnione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5) wyemitowany przez jednostki zależne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będ</w:t>
            </w:r>
            <w:r w:rsidRPr="00835753">
              <w:rPr>
                <w:rFonts w:ascii="Times New Roman" w:hAnsi="Times New Roman"/>
                <w:sz w:val="24"/>
              </w:rPr>
              <w:t>ący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iadaniu stron trzecich</w:t>
            </w:r>
          </w:p>
          <w:p w14:paraId="20F1A6D0" w14:textId="1C7DDFC5"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Kwalifikujący się kapitał Tier I uwzględniony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sko</w:t>
            </w:r>
            <w:r w:rsidRPr="00835753">
              <w:rPr>
                <w:rFonts w:ascii="Times New Roman" w:hAnsi="Times New Roman"/>
                <w:sz w:val="24"/>
              </w:rPr>
              <w:t>nsolidowanym kapitale dodatkowym Tier I (w tym udziały mniejszości nieuwzględnione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5 niniejszego wzoru) wyemitowany przez jednostki zależne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będ</w:t>
            </w:r>
            <w:r w:rsidRPr="00835753">
              <w:rPr>
                <w:rFonts w:ascii="Times New Roman" w:hAnsi="Times New Roman"/>
                <w:sz w:val="24"/>
              </w:rPr>
              <w:t>ący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iadaniu stron trzecich,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85</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8</w:t>
            </w:r>
            <w:r w:rsidRPr="00835753">
              <w:rPr>
                <w:rFonts w:ascii="Times New Roman" w:hAnsi="Times New Roman"/>
                <w:sz w:val="24"/>
              </w:rPr>
              <w:t>6 CRR.</w:t>
            </w:r>
          </w:p>
        </w:tc>
      </w:tr>
      <w:tr w:rsidR="00CE019E" w:rsidRPr="00835753" w14:paraId="1D5C740C" w14:textId="77777777" w:rsidTr="001E06A3">
        <w:tc>
          <w:tcPr>
            <w:tcW w:w="1172" w:type="dxa"/>
            <w:vAlign w:val="center"/>
          </w:tcPr>
          <w:p w14:paraId="1DF13855"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35</w:t>
            </w:r>
          </w:p>
        </w:tc>
        <w:tc>
          <w:tcPr>
            <w:tcW w:w="7242" w:type="dxa"/>
            <w:vAlign w:val="center"/>
          </w:tcPr>
          <w:p w14:paraId="4A0ACA9A" w14:textId="77777777" w:rsidR="00CE019E" w:rsidRPr="00835753" w:rsidRDefault="00CE019E" w:rsidP="001E06A3">
            <w:pPr>
              <w:spacing w:after="200"/>
              <w:jc w:val="both"/>
              <w:rPr>
                <w:rFonts w:ascii="Times New Roman" w:hAnsi="Times New Roman" w:cs="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przeznaczone do wycofania instrumenty wyemitowane przez jednostki zależne</w:t>
            </w:r>
          </w:p>
          <w:p w14:paraId="1B0B58DA" w14:textId="38D5CA48"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zgłoszona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34 niniejszego wzoru odnosząca się do instrumentów emitowanych przez jednostki zależne przeznaczonych do wycofania,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486 ust.</w:t>
            </w:r>
            <w:r w:rsidR="00835753" w:rsidRPr="00835753">
              <w:rPr>
                <w:rFonts w:ascii="Times New Roman" w:hAnsi="Times New Roman"/>
                <w:sz w:val="24"/>
              </w:rPr>
              <w:t> </w:t>
            </w:r>
            <w:r w:rsidRPr="00835753">
              <w:rPr>
                <w:rFonts w:ascii="Times New Roman" w:hAnsi="Times New Roman"/>
                <w:sz w:val="24"/>
              </w:rPr>
              <w:t>3 CRR</w:t>
            </w:r>
          </w:p>
        </w:tc>
      </w:tr>
      <w:tr w:rsidR="00CE019E" w:rsidRPr="00835753" w14:paraId="3162EDB6" w14:textId="77777777" w:rsidTr="001E06A3">
        <w:tc>
          <w:tcPr>
            <w:tcW w:w="1172" w:type="dxa"/>
            <w:vAlign w:val="center"/>
          </w:tcPr>
          <w:p w14:paraId="7EDCA375"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lastRenderedPageBreak/>
              <w:t>36</w:t>
            </w:r>
          </w:p>
        </w:tc>
        <w:tc>
          <w:tcPr>
            <w:tcW w:w="7242" w:type="dxa"/>
            <w:vAlign w:val="center"/>
          </w:tcPr>
          <w:p w14:paraId="7177BB0F"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Kapitał dodatkowy Tier I przed korektami regulacyjnymi</w:t>
            </w:r>
          </w:p>
          <w:p w14:paraId="19501C86" w14:textId="44257E76"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Suma wierszy 30, 33, EU-33a, EU-33b</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3</w:t>
            </w:r>
            <w:r w:rsidRPr="00835753">
              <w:rPr>
                <w:rFonts w:ascii="Times New Roman" w:hAnsi="Times New Roman"/>
                <w:sz w:val="24"/>
              </w:rPr>
              <w:t>4 niniejszego wzoru</w:t>
            </w:r>
          </w:p>
        </w:tc>
      </w:tr>
      <w:tr w:rsidR="00CE019E" w:rsidRPr="00835753" w14:paraId="6151619E" w14:textId="77777777" w:rsidTr="001E06A3">
        <w:tc>
          <w:tcPr>
            <w:tcW w:w="1172" w:type="dxa"/>
            <w:vAlign w:val="center"/>
          </w:tcPr>
          <w:p w14:paraId="3B463F53"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37</w:t>
            </w:r>
          </w:p>
        </w:tc>
        <w:tc>
          <w:tcPr>
            <w:tcW w:w="7242" w:type="dxa"/>
            <w:vAlign w:val="center"/>
          </w:tcPr>
          <w:p w14:paraId="10F835B0" w14:textId="5598F691"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Posiadane przez instytucję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 (kwota ujemna)</w:t>
            </w:r>
          </w:p>
          <w:p w14:paraId="1D304EF2" w14:textId="6B6422CC"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Posiadane przez instytucję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 opisanych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52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b), art.</w:t>
            </w:r>
            <w:r w:rsidR="00835753" w:rsidRPr="00835753">
              <w:rPr>
                <w:rFonts w:ascii="Times New Roman" w:hAnsi="Times New Roman"/>
                <w:sz w:val="24"/>
              </w:rPr>
              <w:t> </w:t>
            </w:r>
            <w:r w:rsidRPr="00835753">
              <w:rPr>
                <w:rFonts w:ascii="Times New Roman" w:hAnsi="Times New Roman"/>
                <w:sz w:val="24"/>
              </w:rPr>
              <w:t>56 lit.</w:t>
            </w:r>
            <w:r w:rsidR="00835753" w:rsidRPr="00835753">
              <w:rPr>
                <w:rFonts w:ascii="Times New Roman" w:hAnsi="Times New Roman"/>
                <w:sz w:val="24"/>
              </w:rPr>
              <w:t> </w:t>
            </w:r>
            <w:r w:rsidRPr="00835753">
              <w:rPr>
                <w:rFonts w:ascii="Times New Roman" w:hAnsi="Times New Roman"/>
                <w:sz w:val="24"/>
              </w:rPr>
              <w:t>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57 CRR (kwota ujemna)</w:t>
            </w:r>
          </w:p>
        </w:tc>
      </w:tr>
      <w:tr w:rsidR="00CE019E" w:rsidRPr="00835753" w14:paraId="05FADEF9" w14:textId="77777777" w:rsidTr="001E06A3">
        <w:tc>
          <w:tcPr>
            <w:tcW w:w="1172" w:type="dxa"/>
            <w:vAlign w:val="center"/>
          </w:tcPr>
          <w:p w14:paraId="0A1AE416"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38</w:t>
            </w:r>
          </w:p>
        </w:tc>
        <w:tc>
          <w:tcPr>
            <w:tcW w:w="7242" w:type="dxa"/>
            <w:vAlign w:val="center"/>
          </w:tcPr>
          <w:p w14:paraId="44ACD2DE" w14:textId="7B3B11D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 podmiotów sektora finansowego, jeżeli podmioty te mają</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tytucją krzyżowe powiązania kapitałowe mające na celu sztuczne zawyżanie funduszy własnych instytucji (kwota ujemna)</w:t>
            </w:r>
          </w:p>
          <w:p w14:paraId="3522754D" w14:textId="723DABED"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 podmiotów sektora finansowego, jeżeli podmioty te mają</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tytucją krzyżowe powiązania kapitałowe mające na celu sztuczne zawyżanie funduszy własnych instytucji,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56 lit.</w:t>
            </w:r>
            <w:r w:rsidR="00835753" w:rsidRPr="00835753">
              <w:rPr>
                <w:rFonts w:ascii="Times New Roman" w:hAnsi="Times New Roman"/>
                <w:sz w:val="24"/>
              </w:rPr>
              <w:t> </w:t>
            </w:r>
            <w:r w:rsidRPr="00835753">
              <w:rPr>
                <w:rFonts w:ascii="Times New Roman" w:hAnsi="Times New Roman"/>
                <w:sz w:val="24"/>
              </w:rPr>
              <w:t>b) oraz art.</w:t>
            </w:r>
            <w:r w:rsidR="00835753" w:rsidRPr="00835753">
              <w:rPr>
                <w:rFonts w:ascii="Times New Roman" w:hAnsi="Times New Roman"/>
                <w:sz w:val="24"/>
              </w:rPr>
              <w:t> </w:t>
            </w:r>
            <w:r w:rsidRPr="00835753">
              <w:rPr>
                <w:rFonts w:ascii="Times New Roman" w:hAnsi="Times New Roman"/>
                <w:sz w:val="24"/>
              </w:rPr>
              <w:t>58 CRR (kwota ujemna)</w:t>
            </w:r>
          </w:p>
        </w:tc>
      </w:tr>
      <w:tr w:rsidR="00CE019E" w:rsidRPr="00835753" w14:paraId="71372DE0" w14:textId="77777777" w:rsidTr="001E06A3">
        <w:tc>
          <w:tcPr>
            <w:tcW w:w="1172" w:type="dxa"/>
            <w:vAlign w:val="center"/>
          </w:tcPr>
          <w:p w14:paraId="04489B53"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39</w:t>
            </w:r>
          </w:p>
        </w:tc>
        <w:tc>
          <w:tcPr>
            <w:tcW w:w="7242" w:type="dxa"/>
            <w:vAlign w:val="center"/>
          </w:tcPr>
          <w:p w14:paraId="707B80B6" w14:textId="7DE9494D"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 podmiotów sektora finansowego, jeżeli instytucja nie dokonała znacznej inwestycji w te podmioty (kwota przekraczająca próg 10 % oraz po odliczeniu kwalifikowalnych pozycji krótkich) (kwota ujemna)</w:t>
            </w:r>
          </w:p>
          <w:p w14:paraId="4D05C3D9" w14:textId="59FCFF18"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 podmiotów sektora finansowego, jeżeli instytucja nie dokonała znacznej inwestycji w te podmioty (kwota przekraczająca próg 10</w:t>
            </w:r>
            <w:r w:rsidR="00835753" w:rsidRPr="00835753">
              <w:rPr>
                <w:rFonts w:ascii="Times New Roman" w:hAnsi="Times New Roman"/>
                <w:sz w:val="24"/>
              </w:rPr>
              <w:t> </w:t>
            </w:r>
            <w:r w:rsidRPr="00835753">
              <w:rPr>
                <w:rFonts w:ascii="Times New Roman" w:hAnsi="Times New Roman"/>
                <w:sz w:val="24"/>
              </w:rPr>
              <w:t>% oraz po odliczeniu kwalifikowalnych pozycji krótkich),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56 lit.</w:t>
            </w:r>
            <w:r w:rsidR="00835753" w:rsidRPr="00835753">
              <w:rPr>
                <w:rFonts w:ascii="Times New Roman" w:hAnsi="Times New Roman"/>
                <w:sz w:val="24"/>
              </w:rPr>
              <w:t> </w:t>
            </w:r>
            <w:r w:rsidRPr="00835753">
              <w:rPr>
                <w:rFonts w:ascii="Times New Roman" w:hAnsi="Times New Roman"/>
                <w:sz w:val="24"/>
              </w:rPr>
              <w:t>c), art.</w:t>
            </w:r>
            <w:r w:rsidR="00835753" w:rsidRPr="00835753">
              <w:rPr>
                <w:rFonts w:ascii="Times New Roman" w:hAnsi="Times New Roman"/>
                <w:sz w:val="24"/>
              </w:rPr>
              <w:t> </w:t>
            </w:r>
            <w:r w:rsidRPr="00835753">
              <w:rPr>
                <w:rFonts w:ascii="Times New Roman" w:hAnsi="Times New Roman"/>
                <w:sz w:val="24"/>
              </w:rPr>
              <w:t>59, 60</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7</w:t>
            </w:r>
            <w:r w:rsidRPr="00835753">
              <w:rPr>
                <w:rFonts w:ascii="Times New Roman" w:hAnsi="Times New Roman"/>
                <w:sz w:val="24"/>
              </w:rPr>
              <w:t>9 CRR (kwota ujemna).</w:t>
            </w:r>
          </w:p>
        </w:tc>
      </w:tr>
      <w:tr w:rsidR="00CE019E" w:rsidRPr="00835753" w14:paraId="1BB78966" w14:textId="77777777" w:rsidTr="001E06A3">
        <w:tc>
          <w:tcPr>
            <w:tcW w:w="1172" w:type="dxa"/>
            <w:vAlign w:val="center"/>
          </w:tcPr>
          <w:p w14:paraId="6CE7E69B"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40</w:t>
            </w:r>
          </w:p>
        </w:tc>
        <w:tc>
          <w:tcPr>
            <w:tcW w:w="7242" w:type="dxa"/>
            <w:vAlign w:val="center"/>
          </w:tcPr>
          <w:p w14:paraId="1786A872" w14:textId="2EE27003"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Posiadane przez instytucję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 podmiotów sektora finansowego, jeżeli instytucja dokonała znacznej inwestycji w te podmioty (po odliczeniu kwalifikowalnych pozycji krótkich) (kwota ujemna)</w:t>
            </w:r>
          </w:p>
          <w:p w14:paraId="23F8D2B1" w14:textId="2942EDB2"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Posiadane przez instytucję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 podmiotów sektora finansowego, jeżeli instytucja dokonała znacznej inwestycji w te podmioty (po odliczeniu kwalifikowalnych pozycji krótkich),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56 lit.</w:t>
            </w:r>
            <w:r w:rsidR="00835753" w:rsidRPr="00835753">
              <w:rPr>
                <w:rFonts w:ascii="Times New Roman" w:hAnsi="Times New Roman"/>
                <w:sz w:val="24"/>
              </w:rPr>
              <w:t> </w:t>
            </w:r>
            <w:r w:rsidRPr="00835753">
              <w:rPr>
                <w:rFonts w:ascii="Times New Roman" w:hAnsi="Times New Roman"/>
                <w:sz w:val="24"/>
              </w:rPr>
              <w:t>d) oraz art.</w:t>
            </w:r>
            <w:r w:rsidR="00835753" w:rsidRPr="00835753">
              <w:rPr>
                <w:rFonts w:ascii="Times New Roman" w:hAnsi="Times New Roman"/>
                <w:sz w:val="24"/>
              </w:rPr>
              <w:t> </w:t>
            </w:r>
            <w:r w:rsidRPr="00835753">
              <w:rPr>
                <w:rFonts w:ascii="Times New Roman" w:hAnsi="Times New Roman"/>
                <w:sz w:val="24"/>
              </w:rPr>
              <w:t>59</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7</w:t>
            </w:r>
            <w:r w:rsidRPr="00835753">
              <w:rPr>
                <w:rFonts w:ascii="Times New Roman" w:hAnsi="Times New Roman"/>
                <w:sz w:val="24"/>
              </w:rPr>
              <w:t>9 CRR (kwota ujemna)</w:t>
            </w:r>
          </w:p>
        </w:tc>
      </w:tr>
      <w:tr w:rsidR="00CE019E" w:rsidRPr="00835753" w14:paraId="2816C5B2" w14:textId="77777777" w:rsidTr="001E06A3">
        <w:tc>
          <w:tcPr>
            <w:tcW w:w="1172" w:type="dxa"/>
            <w:vAlign w:val="center"/>
          </w:tcPr>
          <w:p w14:paraId="6B1ED143"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lastRenderedPageBreak/>
              <w:t>41</w:t>
            </w:r>
          </w:p>
        </w:tc>
        <w:tc>
          <w:tcPr>
            <w:tcW w:w="7242" w:type="dxa"/>
            <w:vAlign w:val="center"/>
          </w:tcPr>
          <w:p w14:paraId="184EF4EC"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Nie dotyczy</w:t>
            </w:r>
          </w:p>
        </w:tc>
      </w:tr>
      <w:tr w:rsidR="00CE019E" w:rsidRPr="00835753" w14:paraId="01C00EF8" w14:textId="77777777" w:rsidTr="001E06A3">
        <w:tc>
          <w:tcPr>
            <w:tcW w:w="1172" w:type="dxa"/>
            <w:vAlign w:val="center"/>
          </w:tcPr>
          <w:p w14:paraId="0CAB0DD7"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42</w:t>
            </w:r>
          </w:p>
        </w:tc>
        <w:tc>
          <w:tcPr>
            <w:tcW w:w="7242" w:type="dxa"/>
            <w:vAlign w:val="center"/>
          </w:tcPr>
          <w:p w14:paraId="193EB239" w14:textId="79733531"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Kwalifikowalne odliczenia od 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 które przekraczają wartość kapitału Tier II instytucji (kwota ujemna)</w:t>
            </w:r>
          </w:p>
          <w:p w14:paraId="1547E244" w14:textId="6F7D3176"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Kwalifikowalne odliczenia od 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 które przekraczają wartość kapitału Tier II instytucji, jak określono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56 lit.</w:t>
            </w:r>
            <w:r w:rsidR="00835753" w:rsidRPr="00835753">
              <w:rPr>
                <w:rFonts w:ascii="Times New Roman" w:hAnsi="Times New Roman"/>
                <w:sz w:val="24"/>
              </w:rPr>
              <w:t> </w:t>
            </w:r>
            <w:r w:rsidRPr="00835753">
              <w:rPr>
                <w:rFonts w:ascii="Times New Roman" w:hAnsi="Times New Roman"/>
                <w:sz w:val="24"/>
              </w:rPr>
              <w:t>e) CRR (kwota ujemna)</w:t>
            </w:r>
          </w:p>
        </w:tc>
      </w:tr>
      <w:tr w:rsidR="00CE019E" w:rsidRPr="00835753" w14:paraId="4A463F47" w14:textId="77777777" w:rsidTr="001E06A3">
        <w:tc>
          <w:tcPr>
            <w:tcW w:w="1172" w:type="dxa"/>
            <w:vAlign w:val="center"/>
          </w:tcPr>
          <w:p w14:paraId="400ADF6A"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Eu-42a</w:t>
            </w:r>
          </w:p>
        </w:tc>
        <w:tc>
          <w:tcPr>
            <w:tcW w:w="7242" w:type="dxa"/>
            <w:vAlign w:val="center"/>
          </w:tcPr>
          <w:p w14:paraId="7C29BC80" w14:textId="622558E6"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Inne korekty regulacyjne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w:t>
            </w:r>
          </w:p>
          <w:p w14:paraId="683166EB" w14:textId="4935621E"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W tym wierszu instytucje ujawniają wszelkie mające zastosowanie korekty regulacyjne zgłaszane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sprawozdawczości nadzorczej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nie</w:t>
            </w:r>
            <w:r w:rsidRPr="00835753">
              <w:rPr>
                <w:rFonts w:ascii="Times New Roman" w:hAnsi="Times New Roman"/>
                <w:sz w:val="24"/>
              </w:rPr>
              <w:t>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żad</w:t>
            </w:r>
            <w:r w:rsidRPr="00835753">
              <w:rPr>
                <w:rFonts w:ascii="Times New Roman" w:hAnsi="Times New Roman"/>
                <w:sz w:val="24"/>
              </w:rPr>
              <w:t>nym innym wierszu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wzorze</w:t>
            </w:r>
          </w:p>
        </w:tc>
      </w:tr>
      <w:tr w:rsidR="00CE019E" w:rsidRPr="00835753" w14:paraId="20CA95B7" w14:textId="77777777" w:rsidTr="001E06A3">
        <w:tc>
          <w:tcPr>
            <w:tcW w:w="1172" w:type="dxa"/>
            <w:vAlign w:val="center"/>
          </w:tcPr>
          <w:p w14:paraId="03F674F1"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43</w:t>
            </w:r>
          </w:p>
        </w:tc>
        <w:tc>
          <w:tcPr>
            <w:tcW w:w="7242" w:type="dxa"/>
            <w:vAlign w:val="center"/>
          </w:tcPr>
          <w:p w14:paraId="20F0F57A" w14:textId="75229C3A"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Całkowite korekty regulacyjne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w:t>
            </w:r>
          </w:p>
          <w:p w14:paraId="57061E70" w14:textId="302D6F0F"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Suma wierszy od</w:t>
            </w:r>
            <w:r w:rsidR="00835753" w:rsidRPr="00835753">
              <w:rPr>
                <w:rFonts w:ascii="Times New Roman" w:hAnsi="Times New Roman"/>
                <w:sz w:val="24"/>
              </w:rPr>
              <w:t> </w:t>
            </w:r>
            <w:r w:rsidRPr="00835753">
              <w:rPr>
                <w:rFonts w:ascii="Times New Roman" w:hAnsi="Times New Roman"/>
                <w:sz w:val="24"/>
              </w:rPr>
              <w:t>37 do EU-42a niniejszego wzoru</w:t>
            </w:r>
          </w:p>
        </w:tc>
      </w:tr>
      <w:tr w:rsidR="00CE019E" w:rsidRPr="00835753" w14:paraId="6D9026DA" w14:textId="77777777" w:rsidTr="001E06A3">
        <w:tc>
          <w:tcPr>
            <w:tcW w:w="1172" w:type="dxa"/>
            <w:vAlign w:val="center"/>
          </w:tcPr>
          <w:p w14:paraId="16DE5DF5"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44</w:t>
            </w:r>
          </w:p>
        </w:tc>
        <w:tc>
          <w:tcPr>
            <w:tcW w:w="7242" w:type="dxa"/>
            <w:vAlign w:val="center"/>
          </w:tcPr>
          <w:p w14:paraId="6BC736A0"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Kapitał dodatkowy Tier I</w:t>
            </w:r>
          </w:p>
          <w:p w14:paraId="548781EC" w14:textId="77777777" w:rsidR="00CE019E" w:rsidRPr="00835753" w:rsidRDefault="00CE019E" w:rsidP="001E06A3">
            <w:pPr>
              <w:spacing w:after="200"/>
              <w:jc w:val="both"/>
              <w:rPr>
                <w:rFonts w:ascii="Times New Roman" w:hAnsi="Times New Roman"/>
                <w:sz w:val="24"/>
              </w:rPr>
            </w:pPr>
            <w:r w:rsidRPr="00835753">
              <w:rPr>
                <w:rFonts w:ascii="Times New Roman" w:hAnsi="Times New Roman"/>
                <w:sz w:val="24"/>
              </w:rPr>
              <w:t>Kapitał dodatkowy Tier I, który oblicza się poprzez odjęcie wiersza 43 od wiersza 36 niniejszego wzoru</w:t>
            </w:r>
          </w:p>
        </w:tc>
      </w:tr>
      <w:tr w:rsidR="00CE019E" w:rsidRPr="00835753" w14:paraId="5CF65986" w14:textId="77777777" w:rsidTr="001E06A3">
        <w:tc>
          <w:tcPr>
            <w:tcW w:w="1172" w:type="dxa"/>
            <w:vAlign w:val="center"/>
          </w:tcPr>
          <w:p w14:paraId="4E2F7D85"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45</w:t>
            </w:r>
          </w:p>
        </w:tc>
        <w:tc>
          <w:tcPr>
            <w:tcW w:w="7242" w:type="dxa"/>
            <w:vAlign w:val="center"/>
          </w:tcPr>
          <w:p w14:paraId="0EEF28C4"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Kapitał Tier I (kapitał podstawowy Tier I + kapitał dodatkowy Tier I)</w:t>
            </w:r>
          </w:p>
          <w:p w14:paraId="07FBABB1" w14:textId="1E72C38B" w:rsidR="00CE019E" w:rsidRPr="00835753" w:rsidRDefault="00CE019E" w:rsidP="001E06A3">
            <w:pPr>
              <w:spacing w:after="200"/>
              <w:jc w:val="both"/>
              <w:rPr>
                <w:rFonts w:ascii="Times New Roman" w:hAnsi="Times New Roman"/>
                <w:sz w:val="24"/>
              </w:rPr>
            </w:pPr>
            <w:r w:rsidRPr="00835753">
              <w:rPr>
                <w:rFonts w:ascii="Times New Roman" w:hAnsi="Times New Roman"/>
                <w:sz w:val="24"/>
              </w:rPr>
              <w:t>Kapitał Tier I, który oblicza się jako sumę wierszy 29</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4</w:t>
            </w:r>
            <w:r w:rsidRPr="00835753">
              <w:rPr>
                <w:rFonts w:ascii="Times New Roman" w:hAnsi="Times New Roman"/>
                <w:sz w:val="24"/>
              </w:rPr>
              <w:t>4 niniejszego wzoru</w:t>
            </w:r>
          </w:p>
        </w:tc>
      </w:tr>
      <w:tr w:rsidR="00CE019E" w:rsidRPr="00835753" w14:paraId="09D623BA" w14:textId="77777777" w:rsidTr="001E06A3">
        <w:tc>
          <w:tcPr>
            <w:tcW w:w="1172" w:type="dxa"/>
            <w:vAlign w:val="center"/>
          </w:tcPr>
          <w:p w14:paraId="71D55AAB"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46</w:t>
            </w:r>
          </w:p>
        </w:tc>
        <w:tc>
          <w:tcPr>
            <w:tcW w:w="7242" w:type="dxa"/>
            <w:vAlign w:val="center"/>
          </w:tcPr>
          <w:p w14:paraId="21044F07" w14:textId="623C3A20"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Instrumenty kapitałowe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iązane ażio emisyjne</w:t>
            </w:r>
          </w:p>
          <w:p w14:paraId="3D589197" w14:textId="4A28E655"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Instrumenty kapitałowe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iązane ażio emisyjne,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62</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6</w:t>
            </w:r>
            <w:r w:rsidRPr="00835753">
              <w:rPr>
                <w:rFonts w:ascii="Times New Roman" w:hAnsi="Times New Roman"/>
                <w:sz w:val="24"/>
              </w:rPr>
              <w:t>3 CRR</w:t>
            </w:r>
          </w:p>
        </w:tc>
      </w:tr>
      <w:tr w:rsidR="00CE019E" w:rsidRPr="00835753" w14:paraId="37487755" w14:textId="77777777" w:rsidTr="001E06A3">
        <w:tc>
          <w:tcPr>
            <w:tcW w:w="1172" w:type="dxa"/>
            <w:vAlign w:val="center"/>
          </w:tcPr>
          <w:p w14:paraId="77255030"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47</w:t>
            </w:r>
          </w:p>
        </w:tc>
        <w:tc>
          <w:tcPr>
            <w:tcW w:w="7242" w:type="dxa"/>
            <w:vAlign w:val="center"/>
          </w:tcPr>
          <w:p w14:paraId="6D82356D" w14:textId="78B46820"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kwalifikujących się pozycji,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484 ust.</w:t>
            </w:r>
            <w:r w:rsidR="00835753" w:rsidRPr="00835753">
              <w:rPr>
                <w:rFonts w:ascii="Times New Roman" w:hAnsi="Times New Roman"/>
                <w:sz w:val="24"/>
              </w:rPr>
              <w:t> </w:t>
            </w:r>
            <w:r w:rsidRPr="00835753">
              <w:rPr>
                <w:rFonts w:ascii="Times New Roman" w:hAnsi="Times New Roman"/>
                <w:sz w:val="24"/>
              </w:rPr>
              <w:t>5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iązane ażio emisyjne przeznaczone do wycofania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itału Tier II,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486 ust.</w:t>
            </w:r>
            <w:r w:rsidR="00835753" w:rsidRPr="00835753">
              <w:rPr>
                <w:rFonts w:ascii="Times New Roman" w:hAnsi="Times New Roman"/>
                <w:sz w:val="24"/>
              </w:rPr>
              <w:t> </w:t>
            </w:r>
            <w:r w:rsidRPr="00835753">
              <w:rPr>
                <w:rFonts w:ascii="Times New Roman" w:hAnsi="Times New Roman"/>
                <w:sz w:val="24"/>
              </w:rPr>
              <w:t>4 CRR</w:t>
            </w:r>
          </w:p>
        </w:tc>
      </w:tr>
      <w:tr w:rsidR="00CE019E" w:rsidRPr="00835753" w14:paraId="0C722A7C" w14:textId="77777777" w:rsidTr="001E06A3">
        <w:tc>
          <w:tcPr>
            <w:tcW w:w="1172" w:type="dxa"/>
            <w:vAlign w:val="center"/>
          </w:tcPr>
          <w:p w14:paraId="7216BE89"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EU-47a</w:t>
            </w:r>
          </w:p>
        </w:tc>
        <w:tc>
          <w:tcPr>
            <w:tcW w:w="7242" w:type="dxa"/>
            <w:vAlign w:val="center"/>
          </w:tcPr>
          <w:p w14:paraId="6D98729F" w14:textId="54F705B6"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kwalifikujących się pozycji,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494a ust.</w:t>
            </w:r>
            <w:r w:rsidR="00835753" w:rsidRPr="00835753">
              <w:rPr>
                <w:rFonts w:ascii="Times New Roman" w:hAnsi="Times New Roman"/>
                <w:sz w:val="24"/>
              </w:rPr>
              <w:t> </w:t>
            </w:r>
            <w:r w:rsidRPr="00835753">
              <w:rPr>
                <w:rFonts w:ascii="Times New Roman" w:hAnsi="Times New Roman"/>
                <w:sz w:val="24"/>
              </w:rPr>
              <w:t>2 CRR, przeznaczonych do wycofania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itału Tier II</w:t>
            </w:r>
          </w:p>
        </w:tc>
      </w:tr>
      <w:tr w:rsidR="00CE019E" w:rsidRPr="00835753" w14:paraId="102B5E99" w14:textId="77777777" w:rsidTr="001E06A3">
        <w:tc>
          <w:tcPr>
            <w:tcW w:w="1172" w:type="dxa"/>
            <w:vAlign w:val="center"/>
          </w:tcPr>
          <w:p w14:paraId="12D4A01B"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EU-47b</w:t>
            </w:r>
          </w:p>
        </w:tc>
        <w:tc>
          <w:tcPr>
            <w:tcW w:w="7242" w:type="dxa"/>
            <w:vAlign w:val="center"/>
          </w:tcPr>
          <w:p w14:paraId="020EE31C" w14:textId="2DB5FDFB"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kwalifikujących się pozycji,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494b ust.</w:t>
            </w:r>
            <w:r w:rsidR="00835753" w:rsidRPr="00835753">
              <w:rPr>
                <w:rFonts w:ascii="Times New Roman" w:hAnsi="Times New Roman"/>
                <w:sz w:val="24"/>
              </w:rPr>
              <w:t> </w:t>
            </w:r>
            <w:r w:rsidRPr="00835753">
              <w:rPr>
                <w:rFonts w:ascii="Times New Roman" w:hAnsi="Times New Roman"/>
                <w:sz w:val="24"/>
              </w:rPr>
              <w:t>2 CRR, przeznaczonych do wycofania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itału Tier II</w:t>
            </w:r>
          </w:p>
        </w:tc>
      </w:tr>
      <w:tr w:rsidR="00CE019E" w:rsidRPr="00835753" w14:paraId="288E57FE" w14:textId="77777777" w:rsidTr="001E06A3">
        <w:tc>
          <w:tcPr>
            <w:tcW w:w="1172" w:type="dxa"/>
            <w:vAlign w:val="center"/>
          </w:tcPr>
          <w:p w14:paraId="6AD8DA9D"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48</w:t>
            </w:r>
          </w:p>
        </w:tc>
        <w:tc>
          <w:tcPr>
            <w:tcW w:w="7242" w:type="dxa"/>
            <w:vAlign w:val="center"/>
          </w:tcPr>
          <w:p w14:paraId="1C47B15F" w14:textId="5D212F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Kwalifikujące się instrumenty funduszy własnych 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sko</w:t>
            </w:r>
            <w:r w:rsidRPr="00835753">
              <w:rPr>
                <w:rFonts w:ascii="Times New Roman" w:hAnsi="Times New Roman"/>
                <w:sz w:val="24"/>
              </w:rPr>
              <w:t>nsolidowanym kapitale Tier II (w tym udziały mniejszości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 nieuwzględnione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rszach 5 lub</w:t>
            </w:r>
            <w:r w:rsidR="00835753" w:rsidRPr="00835753">
              <w:rPr>
                <w:rFonts w:ascii="Times New Roman" w:hAnsi="Times New Roman"/>
                <w:sz w:val="24"/>
              </w:rPr>
              <w:t> </w:t>
            </w:r>
            <w:r w:rsidRPr="00835753">
              <w:rPr>
                <w:rFonts w:ascii="Times New Roman" w:hAnsi="Times New Roman"/>
                <w:sz w:val="24"/>
              </w:rPr>
              <w:t>34) wyemitowane przez jednostki zależne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będ</w:t>
            </w:r>
            <w:r w:rsidRPr="00835753">
              <w:rPr>
                <w:rFonts w:ascii="Times New Roman" w:hAnsi="Times New Roman"/>
                <w:sz w:val="24"/>
              </w:rPr>
              <w:t>ące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iadaniu stron trzecich</w:t>
            </w:r>
          </w:p>
          <w:p w14:paraId="056C5891" w14:textId="252470D3"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Kwalifikujące się instrumenty funduszy własnych 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sko</w:t>
            </w:r>
            <w:r w:rsidRPr="00835753">
              <w:rPr>
                <w:rFonts w:ascii="Times New Roman" w:hAnsi="Times New Roman"/>
                <w:sz w:val="24"/>
              </w:rPr>
              <w:t>nsolidowanym kapitale Tier II (w tym udziały mniejszości</w:t>
            </w:r>
            <w:r w:rsidR="00835753" w:rsidRPr="00835753">
              <w:rPr>
                <w:rFonts w:ascii="Times New Roman" w:hAnsi="Times New Roman"/>
                <w:sz w:val="24"/>
              </w:rPr>
              <w:t xml:space="preserve"> </w:t>
            </w:r>
            <w:r w:rsidR="00835753" w:rsidRPr="00835753">
              <w:rPr>
                <w:rFonts w:ascii="Times New Roman" w:hAnsi="Times New Roman"/>
                <w:sz w:val="24"/>
              </w:rPr>
              <w:lastRenderedPageBreak/>
              <w:t>i</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 nieuwzględnione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rszach 5 lub</w:t>
            </w:r>
            <w:r w:rsidR="00835753" w:rsidRPr="00835753">
              <w:rPr>
                <w:rFonts w:ascii="Times New Roman" w:hAnsi="Times New Roman"/>
                <w:sz w:val="24"/>
              </w:rPr>
              <w:t> </w:t>
            </w:r>
            <w:r w:rsidRPr="00835753">
              <w:rPr>
                <w:rFonts w:ascii="Times New Roman" w:hAnsi="Times New Roman"/>
                <w:sz w:val="24"/>
              </w:rPr>
              <w:t>34 niniejszego wzoru) wyemitowane przez jednostki zależne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będ</w:t>
            </w:r>
            <w:r w:rsidRPr="00835753">
              <w:rPr>
                <w:rFonts w:ascii="Times New Roman" w:hAnsi="Times New Roman"/>
                <w:sz w:val="24"/>
              </w:rPr>
              <w:t>ące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iadaniu stron trzecich,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87</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8</w:t>
            </w:r>
            <w:r w:rsidRPr="00835753">
              <w:rPr>
                <w:rFonts w:ascii="Times New Roman" w:hAnsi="Times New Roman"/>
                <w:sz w:val="24"/>
              </w:rPr>
              <w:t>8 CRR</w:t>
            </w:r>
          </w:p>
        </w:tc>
      </w:tr>
      <w:tr w:rsidR="00CE019E" w:rsidRPr="00835753" w14:paraId="235064CD" w14:textId="77777777" w:rsidTr="001E06A3">
        <w:tc>
          <w:tcPr>
            <w:tcW w:w="1172" w:type="dxa"/>
            <w:vAlign w:val="center"/>
          </w:tcPr>
          <w:p w14:paraId="77D27048"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lastRenderedPageBreak/>
              <w:t>49</w:t>
            </w:r>
          </w:p>
        </w:tc>
        <w:tc>
          <w:tcPr>
            <w:tcW w:w="7242" w:type="dxa"/>
            <w:vAlign w:val="center"/>
          </w:tcPr>
          <w:p w14:paraId="5F2A5F28" w14:textId="77777777" w:rsidR="00CE019E" w:rsidRPr="00835753" w:rsidRDefault="00CE019E" w:rsidP="001E06A3">
            <w:pPr>
              <w:spacing w:after="200"/>
              <w:jc w:val="both"/>
              <w:rPr>
                <w:rFonts w:ascii="Times New Roman" w:hAnsi="Times New Roman" w:cs="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przeznaczone do wycofania instrumenty wyemitowane przez jednostki zależne</w:t>
            </w:r>
          </w:p>
          <w:p w14:paraId="77917C09" w14:textId="3F20DA01"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Z kwoty zgłoszonej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48 kwota odnosząca się do instrumentów emitowanych przez jednostki zależne przeznaczonych do wycofania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486 ust.</w:t>
            </w:r>
            <w:r w:rsidR="00835753" w:rsidRPr="00835753">
              <w:rPr>
                <w:rFonts w:ascii="Times New Roman" w:hAnsi="Times New Roman"/>
                <w:sz w:val="24"/>
              </w:rPr>
              <w:t> </w:t>
            </w:r>
            <w:r w:rsidRPr="00835753">
              <w:rPr>
                <w:rFonts w:ascii="Times New Roman" w:hAnsi="Times New Roman"/>
                <w:sz w:val="24"/>
              </w:rPr>
              <w:t>4 CRR</w:t>
            </w:r>
          </w:p>
        </w:tc>
      </w:tr>
      <w:tr w:rsidR="00CE019E" w:rsidRPr="00835753" w14:paraId="5C5BE391" w14:textId="77777777" w:rsidTr="001E06A3">
        <w:tc>
          <w:tcPr>
            <w:tcW w:w="1172" w:type="dxa"/>
            <w:vAlign w:val="center"/>
          </w:tcPr>
          <w:p w14:paraId="5E37C5F1"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50</w:t>
            </w:r>
          </w:p>
        </w:tc>
        <w:tc>
          <w:tcPr>
            <w:tcW w:w="7242" w:type="dxa"/>
            <w:vAlign w:val="center"/>
          </w:tcPr>
          <w:p w14:paraId="1CB1949B" w14:textId="0D377036"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Korekty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kredytowego</w:t>
            </w:r>
          </w:p>
          <w:p w14:paraId="639EC0EB" w14:textId="0D09B755"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Korekty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kredytowego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62 lit.</w:t>
            </w:r>
            <w:r w:rsidR="00835753" w:rsidRPr="00835753">
              <w:rPr>
                <w:rFonts w:ascii="Times New Roman" w:hAnsi="Times New Roman"/>
                <w:sz w:val="24"/>
              </w:rPr>
              <w:t> </w:t>
            </w:r>
            <w:r w:rsidRPr="00835753">
              <w:rPr>
                <w:rFonts w:ascii="Times New Roman" w:hAnsi="Times New Roman"/>
                <w:sz w:val="24"/>
              </w:rPr>
              <w:t>c) i d) CRR</w:t>
            </w:r>
          </w:p>
        </w:tc>
      </w:tr>
      <w:tr w:rsidR="00CE019E" w:rsidRPr="00835753" w14:paraId="2224F331" w14:textId="77777777" w:rsidTr="001E06A3">
        <w:tc>
          <w:tcPr>
            <w:tcW w:w="1172" w:type="dxa"/>
            <w:vAlign w:val="center"/>
          </w:tcPr>
          <w:p w14:paraId="4C36169B"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51</w:t>
            </w:r>
          </w:p>
        </w:tc>
        <w:tc>
          <w:tcPr>
            <w:tcW w:w="7242" w:type="dxa"/>
            <w:vAlign w:val="center"/>
          </w:tcPr>
          <w:p w14:paraId="520E057C"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Kapitał Tier II przed korektami regulacyjnymi</w:t>
            </w:r>
          </w:p>
          <w:p w14:paraId="7EF54354" w14:textId="754D8C38" w:rsidR="00CE019E" w:rsidRPr="00835753" w:rsidRDefault="00CE019E" w:rsidP="001E06A3">
            <w:pPr>
              <w:spacing w:after="200"/>
              <w:jc w:val="both"/>
              <w:rPr>
                <w:rFonts w:ascii="Times New Roman" w:hAnsi="Times New Roman"/>
                <w:sz w:val="24"/>
              </w:rPr>
            </w:pPr>
            <w:r w:rsidRPr="00835753">
              <w:rPr>
                <w:rFonts w:ascii="Times New Roman" w:hAnsi="Times New Roman"/>
                <w:sz w:val="24"/>
              </w:rPr>
              <w:t>Suma wierszy 46–48</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 50 niniejszego wzoru</w:t>
            </w:r>
          </w:p>
        </w:tc>
      </w:tr>
      <w:tr w:rsidR="00CE019E" w:rsidRPr="00835753" w14:paraId="13029399" w14:textId="77777777" w:rsidTr="001E06A3">
        <w:tc>
          <w:tcPr>
            <w:tcW w:w="1172" w:type="dxa"/>
            <w:vAlign w:val="center"/>
          </w:tcPr>
          <w:p w14:paraId="7E925412"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52</w:t>
            </w:r>
          </w:p>
        </w:tc>
        <w:tc>
          <w:tcPr>
            <w:tcW w:w="7242" w:type="dxa"/>
            <w:vAlign w:val="center"/>
          </w:tcPr>
          <w:p w14:paraId="4EB03C5C" w14:textId="7F4E54F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Posiadane przez instytucję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poż</w:t>
            </w:r>
            <w:r w:rsidRPr="00835753">
              <w:rPr>
                <w:rFonts w:ascii="Times New Roman" w:hAnsi="Times New Roman"/>
                <w:sz w:val="24"/>
              </w:rPr>
              <w:t>yczki podporządkowane (kwota ujemna)</w:t>
            </w:r>
          </w:p>
          <w:p w14:paraId="5A087F25" w14:textId="5D022678"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Posiadane przez instytucję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poż</w:t>
            </w:r>
            <w:r w:rsidRPr="00835753">
              <w:rPr>
                <w:rFonts w:ascii="Times New Roman" w:hAnsi="Times New Roman"/>
                <w:sz w:val="24"/>
              </w:rPr>
              <w:t>yczki podporządkowane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63 lit.</w:t>
            </w:r>
            <w:r w:rsidR="00835753" w:rsidRPr="00835753">
              <w:rPr>
                <w:rFonts w:ascii="Times New Roman" w:hAnsi="Times New Roman"/>
                <w:sz w:val="24"/>
              </w:rPr>
              <w:t> </w:t>
            </w:r>
            <w:r w:rsidRPr="00835753">
              <w:rPr>
                <w:rFonts w:ascii="Times New Roman" w:hAnsi="Times New Roman"/>
                <w:sz w:val="24"/>
              </w:rPr>
              <w:t>b) ppkt (i), art.</w:t>
            </w:r>
            <w:r w:rsidR="00835753" w:rsidRPr="00835753">
              <w:rPr>
                <w:rFonts w:ascii="Times New Roman" w:hAnsi="Times New Roman"/>
                <w:sz w:val="24"/>
              </w:rPr>
              <w:t> </w:t>
            </w:r>
            <w:r w:rsidRPr="00835753">
              <w:rPr>
                <w:rFonts w:ascii="Times New Roman" w:hAnsi="Times New Roman"/>
                <w:sz w:val="24"/>
              </w:rPr>
              <w:t>66 lit.</w:t>
            </w:r>
            <w:r w:rsidR="00835753" w:rsidRPr="00835753">
              <w:rPr>
                <w:rFonts w:ascii="Times New Roman" w:hAnsi="Times New Roman"/>
                <w:sz w:val="24"/>
              </w:rPr>
              <w:t> </w:t>
            </w:r>
            <w:r w:rsidRPr="00835753">
              <w:rPr>
                <w:rFonts w:ascii="Times New Roman" w:hAnsi="Times New Roman"/>
                <w:sz w:val="24"/>
              </w:rPr>
              <w:t>a) oraz art.</w:t>
            </w:r>
            <w:r w:rsidR="00835753" w:rsidRPr="00835753">
              <w:rPr>
                <w:rFonts w:ascii="Times New Roman" w:hAnsi="Times New Roman"/>
                <w:sz w:val="24"/>
              </w:rPr>
              <w:t> </w:t>
            </w:r>
            <w:r w:rsidRPr="00835753">
              <w:rPr>
                <w:rFonts w:ascii="Times New Roman" w:hAnsi="Times New Roman"/>
                <w:sz w:val="24"/>
              </w:rPr>
              <w:t>67 CRR</w:t>
            </w:r>
          </w:p>
        </w:tc>
      </w:tr>
      <w:tr w:rsidR="00CE019E" w:rsidRPr="00835753" w14:paraId="00199234" w14:textId="77777777" w:rsidTr="001E06A3">
        <w:tc>
          <w:tcPr>
            <w:tcW w:w="1172" w:type="dxa"/>
            <w:vAlign w:val="center"/>
          </w:tcPr>
          <w:p w14:paraId="64E5104C"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53</w:t>
            </w:r>
          </w:p>
        </w:tc>
        <w:tc>
          <w:tcPr>
            <w:tcW w:w="7242" w:type="dxa"/>
            <w:vAlign w:val="center"/>
          </w:tcPr>
          <w:p w14:paraId="42AF2AE5" w14:textId="113E7EF3"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 oraz pożyczki podporządkowane podmiotów sektora finansowego, jeżeli podmioty te mają</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tytucją krzyżowe powiązania kapitałowe mające na celu sztuczne zawyżanie funduszy własnych instytucji (kwota ujemna)</w:t>
            </w:r>
          </w:p>
          <w:p w14:paraId="550D73A0" w14:textId="4DAA22DC"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poż</w:t>
            </w:r>
            <w:r w:rsidRPr="00835753">
              <w:rPr>
                <w:rFonts w:ascii="Times New Roman" w:hAnsi="Times New Roman"/>
                <w:sz w:val="24"/>
              </w:rPr>
              <w:t>yczki podporządkowane podmiotów sektora finansowego, jeżeli podmioty te mają</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tytucją krzyżowe powiązania kapitałowe mające na celu sztuczne zawyżanie funduszy własnych instytucji,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66 lit.</w:t>
            </w:r>
            <w:r w:rsidR="00835753" w:rsidRPr="00835753">
              <w:rPr>
                <w:rFonts w:ascii="Times New Roman" w:hAnsi="Times New Roman"/>
                <w:sz w:val="24"/>
              </w:rPr>
              <w:t> </w:t>
            </w:r>
            <w:r w:rsidRPr="00835753">
              <w:rPr>
                <w:rFonts w:ascii="Times New Roman" w:hAnsi="Times New Roman"/>
                <w:sz w:val="24"/>
              </w:rPr>
              <w:t>b) oraz art.</w:t>
            </w:r>
            <w:r w:rsidR="00835753" w:rsidRPr="00835753">
              <w:rPr>
                <w:rFonts w:ascii="Times New Roman" w:hAnsi="Times New Roman"/>
                <w:sz w:val="24"/>
              </w:rPr>
              <w:t> </w:t>
            </w:r>
            <w:r w:rsidRPr="00835753">
              <w:rPr>
                <w:rFonts w:ascii="Times New Roman" w:hAnsi="Times New Roman"/>
                <w:sz w:val="24"/>
              </w:rPr>
              <w:t>68 CRR (kwota ujemna).</w:t>
            </w:r>
          </w:p>
        </w:tc>
      </w:tr>
      <w:tr w:rsidR="00CE019E" w:rsidRPr="00835753" w14:paraId="7F83AD61" w14:textId="77777777" w:rsidTr="001E06A3">
        <w:tc>
          <w:tcPr>
            <w:tcW w:w="1172" w:type="dxa"/>
            <w:vAlign w:val="center"/>
          </w:tcPr>
          <w:p w14:paraId="700A7688"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54</w:t>
            </w:r>
          </w:p>
        </w:tc>
        <w:tc>
          <w:tcPr>
            <w:tcW w:w="7242" w:type="dxa"/>
            <w:vAlign w:val="center"/>
          </w:tcPr>
          <w:p w14:paraId="5C722E9A" w14:textId="41F21E00"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poż</w:t>
            </w:r>
            <w:r w:rsidRPr="00835753">
              <w:rPr>
                <w:rFonts w:ascii="Times New Roman" w:hAnsi="Times New Roman"/>
                <w:sz w:val="24"/>
              </w:rPr>
              <w:t>yczki podporządkowane podmiotów sektora finansowego, jeżeli instytucja nie dokonała znacznej inwestycji w te podmioty (kwota przekraczająca próg 10 % oraz po odliczeniu kwalifikowalnych pozycji krótkich) (kwota ujemna)</w:t>
            </w:r>
          </w:p>
          <w:p w14:paraId="2372A07D" w14:textId="7E4A88B0"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 oraz pożyczki podporządkowane podmiotów sektora finansowego, jeżeli instytucja nie dokonała znacznej inwestycji w te podmioty (kwota przekraczająca próg 10</w:t>
            </w:r>
            <w:r w:rsidR="00835753" w:rsidRPr="00835753">
              <w:rPr>
                <w:rFonts w:ascii="Times New Roman" w:hAnsi="Times New Roman"/>
                <w:sz w:val="24"/>
              </w:rPr>
              <w:t> </w:t>
            </w:r>
            <w:r w:rsidRPr="00835753">
              <w:rPr>
                <w:rFonts w:ascii="Times New Roman" w:hAnsi="Times New Roman"/>
                <w:sz w:val="24"/>
              </w:rPr>
              <w:t xml:space="preserve">% oraz po </w:t>
            </w:r>
            <w:r w:rsidRPr="00835753">
              <w:rPr>
                <w:rFonts w:ascii="Times New Roman" w:hAnsi="Times New Roman"/>
                <w:sz w:val="24"/>
              </w:rPr>
              <w:lastRenderedPageBreak/>
              <w:t>odliczeniu kwalifikowalnych pozycji krótkich),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66 lit.</w:t>
            </w:r>
            <w:r w:rsidR="00835753" w:rsidRPr="00835753">
              <w:rPr>
                <w:rFonts w:ascii="Times New Roman" w:hAnsi="Times New Roman"/>
                <w:sz w:val="24"/>
              </w:rPr>
              <w:t> </w:t>
            </w:r>
            <w:r w:rsidRPr="00835753">
              <w:rPr>
                <w:rFonts w:ascii="Times New Roman" w:hAnsi="Times New Roman"/>
                <w:sz w:val="24"/>
              </w:rPr>
              <w:t>c), art.</w:t>
            </w:r>
            <w:r w:rsidR="00835753" w:rsidRPr="00835753">
              <w:rPr>
                <w:rFonts w:ascii="Times New Roman" w:hAnsi="Times New Roman"/>
                <w:sz w:val="24"/>
              </w:rPr>
              <w:t> </w:t>
            </w:r>
            <w:r w:rsidRPr="00835753">
              <w:rPr>
                <w:rFonts w:ascii="Times New Roman" w:hAnsi="Times New Roman"/>
                <w:sz w:val="24"/>
              </w:rPr>
              <w:t>69, 70</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7</w:t>
            </w:r>
            <w:r w:rsidRPr="00835753">
              <w:rPr>
                <w:rFonts w:ascii="Times New Roman" w:hAnsi="Times New Roman"/>
                <w:sz w:val="24"/>
              </w:rPr>
              <w:t>9 CRR (kwota ujemna).</w:t>
            </w:r>
          </w:p>
        </w:tc>
      </w:tr>
      <w:tr w:rsidR="00CE019E" w:rsidRPr="00835753" w14:paraId="42CFC081" w14:textId="77777777" w:rsidTr="001E06A3">
        <w:tc>
          <w:tcPr>
            <w:tcW w:w="1172" w:type="dxa"/>
            <w:vAlign w:val="center"/>
          </w:tcPr>
          <w:p w14:paraId="799F577F"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lastRenderedPageBreak/>
              <w:t>54a</w:t>
            </w:r>
          </w:p>
        </w:tc>
        <w:tc>
          <w:tcPr>
            <w:tcW w:w="7242" w:type="dxa"/>
            <w:vAlign w:val="center"/>
          </w:tcPr>
          <w:p w14:paraId="70ECADAD"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Nie dotyczy</w:t>
            </w:r>
          </w:p>
        </w:tc>
      </w:tr>
      <w:tr w:rsidR="00CE019E" w:rsidRPr="00835753" w14:paraId="5D924935" w14:textId="77777777" w:rsidTr="001E06A3">
        <w:tc>
          <w:tcPr>
            <w:tcW w:w="1172" w:type="dxa"/>
            <w:vAlign w:val="center"/>
          </w:tcPr>
          <w:p w14:paraId="3718FC0A"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55</w:t>
            </w:r>
          </w:p>
        </w:tc>
        <w:tc>
          <w:tcPr>
            <w:tcW w:w="7242" w:type="dxa"/>
            <w:vAlign w:val="center"/>
          </w:tcPr>
          <w:p w14:paraId="5489EA0B" w14:textId="45436025"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Posiadane przez instytucję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poż</w:t>
            </w:r>
            <w:r w:rsidRPr="00835753">
              <w:rPr>
                <w:rFonts w:ascii="Times New Roman" w:hAnsi="Times New Roman"/>
                <w:sz w:val="24"/>
              </w:rPr>
              <w:t>yczki podporządkowane podmiotów sektora finansowego, jeżeli instytucja dokonała znacznej inwestycji w te podmioty (po odliczeniu kwalifikowalnych pozycji krótkich) (kwota ujemna)</w:t>
            </w:r>
          </w:p>
          <w:p w14:paraId="49E47CBD" w14:textId="7378E278"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Posiadane przez instytucję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 oraz pożyczki podporządkowane podmiotów sektora finansowego, jeżeli instytucja dokonała znacznej inwestycji w te podmioty (po odliczeniu kwalifikowalnych pozycji krótkich),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66 lit.</w:t>
            </w:r>
            <w:r w:rsidR="00835753" w:rsidRPr="00835753">
              <w:rPr>
                <w:rFonts w:ascii="Times New Roman" w:hAnsi="Times New Roman"/>
                <w:sz w:val="24"/>
              </w:rPr>
              <w:t> </w:t>
            </w:r>
            <w:r w:rsidRPr="00835753">
              <w:rPr>
                <w:rFonts w:ascii="Times New Roman" w:hAnsi="Times New Roman"/>
                <w:sz w:val="24"/>
              </w:rPr>
              <w:t>d), art.</w:t>
            </w:r>
            <w:r w:rsidR="00835753" w:rsidRPr="00835753">
              <w:rPr>
                <w:rFonts w:ascii="Times New Roman" w:hAnsi="Times New Roman"/>
                <w:sz w:val="24"/>
              </w:rPr>
              <w:t> </w:t>
            </w:r>
            <w:r w:rsidRPr="00835753">
              <w:rPr>
                <w:rFonts w:ascii="Times New Roman" w:hAnsi="Times New Roman"/>
                <w:sz w:val="24"/>
              </w:rPr>
              <w:t>69</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7</w:t>
            </w:r>
            <w:r w:rsidRPr="00835753">
              <w:rPr>
                <w:rFonts w:ascii="Times New Roman" w:hAnsi="Times New Roman"/>
                <w:sz w:val="24"/>
              </w:rPr>
              <w:t>9 CRR (kwota ujemna)</w:t>
            </w:r>
          </w:p>
        </w:tc>
      </w:tr>
      <w:tr w:rsidR="00CE019E" w:rsidRPr="00835753" w14:paraId="57263351" w14:textId="77777777" w:rsidTr="001E06A3">
        <w:tc>
          <w:tcPr>
            <w:tcW w:w="1172" w:type="dxa"/>
            <w:vAlign w:val="center"/>
          </w:tcPr>
          <w:p w14:paraId="500F5B55"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56</w:t>
            </w:r>
          </w:p>
        </w:tc>
        <w:tc>
          <w:tcPr>
            <w:tcW w:w="7242" w:type="dxa"/>
            <w:vAlign w:val="center"/>
          </w:tcPr>
          <w:p w14:paraId="782FA6FD"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Nie dotyczy</w:t>
            </w:r>
          </w:p>
        </w:tc>
      </w:tr>
      <w:tr w:rsidR="00CE019E" w:rsidRPr="00835753" w14:paraId="4C5801B4" w14:textId="77777777" w:rsidTr="001E06A3">
        <w:tc>
          <w:tcPr>
            <w:tcW w:w="1172" w:type="dxa"/>
            <w:vAlign w:val="center"/>
          </w:tcPr>
          <w:p w14:paraId="6F8B8A8E" w14:textId="77777777" w:rsidR="00CE019E" w:rsidRPr="00835753" w:rsidRDefault="00CE019E" w:rsidP="001E06A3">
            <w:pPr>
              <w:spacing w:after="200"/>
              <w:rPr>
                <w:rFonts w:ascii="Times New Roman" w:hAnsi="Times New Roman" w:cs="Times New Roman"/>
                <w:color w:val="000000" w:themeColor="text1"/>
                <w:sz w:val="24"/>
              </w:rPr>
            </w:pPr>
            <w:r w:rsidRPr="00835753">
              <w:rPr>
                <w:rFonts w:ascii="Times New Roman" w:hAnsi="Times New Roman"/>
                <w:color w:val="000000" w:themeColor="text1"/>
                <w:sz w:val="24"/>
              </w:rPr>
              <w:t>EU-56a</w:t>
            </w:r>
          </w:p>
        </w:tc>
        <w:tc>
          <w:tcPr>
            <w:tcW w:w="7242" w:type="dxa"/>
            <w:vAlign w:val="center"/>
          </w:tcPr>
          <w:p w14:paraId="574F6B83" w14:textId="77777777" w:rsidR="00CE019E" w:rsidRPr="00835753" w:rsidRDefault="00CE019E" w:rsidP="001E06A3">
            <w:pPr>
              <w:spacing w:after="200"/>
              <w:jc w:val="both"/>
              <w:rPr>
                <w:rFonts w:ascii="Times New Roman" w:hAnsi="Times New Roman" w:cs="Times New Roman"/>
                <w:color w:val="000000" w:themeColor="text1"/>
                <w:sz w:val="24"/>
              </w:rPr>
            </w:pPr>
            <w:r w:rsidRPr="00835753">
              <w:rPr>
                <w:rFonts w:ascii="Times New Roman" w:hAnsi="Times New Roman"/>
                <w:color w:val="000000" w:themeColor="text1"/>
                <w:sz w:val="24"/>
              </w:rPr>
              <w:t>Odliczenia kwalifikujących się zobowiązań kwalifikowalnych przewyższających pozycje zobowiązań kwalifikowalnych instytucji (kwota ujemna)</w:t>
            </w:r>
          </w:p>
          <w:p w14:paraId="1CDC593C" w14:textId="344D47FE" w:rsidR="00CE019E" w:rsidRPr="00835753" w:rsidRDefault="00CE019E" w:rsidP="001E06A3">
            <w:pPr>
              <w:spacing w:after="200"/>
              <w:jc w:val="both"/>
              <w:rPr>
                <w:rFonts w:ascii="Times New Roman" w:hAnsi="Times New Roman" w:cs="Times New Roman"/>
                <w:color w:val="000000" w:themeColor="text1"/>
                <w:sz w:val="24"/>
              </w:rPr>
            </w:pPr>
            <w:r w:rsidRPr="00835753">
              <w:rPr>
                <w:rFonts w:ascii="Times New Roman" w:hAnsi="Times New Roman"/>
                <w:color w:val="000000" w:themeColor="text1"/>
                <w:sz w:val="24"/>
              </w:rPr>
              <w:t>Odliczenia kwalifikujących się zobowiązań kwalifikowalnych przewyższających pozycje zobowiązań kwalifikowalnych instytucji, zgodnie</w:t>
            </w:r>
            <w:r w:rsidR="00835753" w:rsidRPr="00835753">
              <w:rPr>
                <w:rFonts w:ascii="Times New Roman" w:hAnsi="Times New Roman"/>
                <w:color w:val="000000" w:themeColor="text1"/>
                <w:sz w:val="24"/>
              </w:rPr>
              <w:t xml:space="preserve"> z</w:t>
            </w:r>
            <w:r w:rsidR="00835753">
              <w:rPr>
                <w:rFonts w:ascii="Times New Roman" w:hAnsi="Times New Roman"/>
                <w:color w:val="000000" w:themeColor="text1"/>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66 lit.</w:t>
            </w:r>
            <w:r w:rsidR="00835753" w:rsidRPr="00835753">
              <w:rPr>
                <w:rFonts w:ascii="Times New Roman" w:hAnsi="Times New Roman"/>
                <w:sz w:val="24"/>
              </w:rPr>
              <w:t> </w:t>
            </w:r>
            <w:r w:rsidRPr="00835753">
              <w:rPr>
                <w:rFonts w:ascii="Times New Roman" w:hAnsi="Times New Roman"/>
                <w:sz w:val="24"/>
              </w:rPr>
              <w:t xml:space="preserve">e) CRR </w:t>
            </w:r>
            <w:r w:rsidRPr="00835753">
              <w:rPr>
                <w:rFonts w:ascii="Times New Roman" w:hAnsi="Times New Roman"/>
                <w:color w:val="000000" w:themeColor="text1"/>
                <w:sz w:val="24"/>
              </w:rPr>
              <w:t xml:space="preserve">(kwota ujemna) </w:t>
            </w:r>
          </w:p>
        </w:tc>
      </w:tr>
      <w:tr w:rsidR="00CE019E" w:rsidRPr="00835753" w14:paraId="46244656" w14:textId="77777777" w:rsidTr="001E06A3">
        <w:tc>
          <w:tcPr>
            <w:tcW w:w="1172" w:type="dxa"/>
            <w:vAlign w:val="center"/>
          </w:tcPr>
          <w:p w14:paraId="674624FD"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Eu-56b</w:t>
            </w:r>
          </w:p>
        </w:tc>
        <w:tc>
          <w:tcPr>
            <w:tcW w:w="7242" w:type="dxa"/>
            <w:vAlign w:val="center"/>
          </w:tcPr>
          <w:p w14:paraId="0905EC82" w14:textId="1FB99C2D"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Inne korekty regulacyjne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w:t>
            </w:r>
          </w:p>
          <w:p w14:paraId="434EEE99" w14:textId="1D3A673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W tym wierszu instytucje ujawniają wszelkie mające zastosowanie korekty regulacyjne zgłaszane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sprawozdawczości nadzorczej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nie</w:t>
            </w:r>
            <w:r w:rsidRPr="00835753">
              <w:rPr>
                <w:rFonts w:ascii="Times New Roman" w:hAnsi="Times New Roman"/>
                <w:sz w:val="24"/>
              </w:rPr>
              <w:t>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żad</w:t>
            </w:r>
            <w:r w:rsidRPr="00835753">
              <w:rPr>
                <w:rFonts w:ascii="Times New Roman" w:hAnsi="Times New Roman"/>
                <w:sz w:val="24"/>
              </w:rPr>
              <w:t>nym innym wierszu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wzorze</w:t>
            </w:r>
          </w:p>
        </w:tc>
      </w:tr>
      <w:tr w:rsidR="00CE019E" w:rsidRPr="00835753" w14:paraId="10E504C9" w14:textId="77777777" w:rsidTr="001E06A3">
        <w:tc>
          <w:tcPr>
            <w:tcW w:w="1172" w:type="dxa"/>
            <w:vAlign w:val="center"/>
          </w:tcPr>
          <w:p w14:paraId="78AB3A83"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57</w:t>
            </w:r>
          </w:p>
        </w:tc>
        <w:tc>
          <w:tcPr>
            <w:tcW w:w="7242" w:type="dxa"/>
            <w:vAlign w:val="center"/>
          </w:tcPr>
          <w:p w14:paraId="5BF0BBA9" w14:textId="4941D8DC"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Całkowite korekty regulacyjne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w:t>
            </w:r>
          </w:p>
          <w:p w14:paraId="3D5C16D7" w14:textId="0BA1D22A"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Suma wierszy od</w:t>
            </w:r>
            <w:r w:rsidR="00835753" w:rsidRPr="00835753">
              <w:rPr>
                <w:rFonts w:ascii="Times New Roman" w:hAnsi="Times New Roman"/>
                <w:sz w:val="24"/>
              </w:rPr>
              <w:t> </w:t>
            </w:r>
            <w:r w:rsidRPr="00835753">
              <w:rPr>
                <w:rFonts w:ascii="Times New Roman" w:hAnsi="Times New Roman"/>
                <w:sz w:val="24"/>
              </w:rPr>
              <w:t>52 do EU-56b niniejszego wzoru</w:t>
            </w:r>
          </w:p>
        </w:tc>
      </w:tr>
      <w:tr w:rsidR="00CE019E" w:rsidRPr="00835753" w14:paraId="60635749" w14:textId="77777777" w:rsidTr="001E06A3">
        <w:tc>
          <w:tcPr>
            <w:tcW w:w="1172" w:type="dxa"/>
            <w:vAlign w:val="center"/>
          </w:tcPr>
          <w:p w14:paraId="3CF53BDB"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58</w:t>
            </w:r>
          </w:p>
        </w:tc>
        <w:tc>
          <w:tcPr>
            <w:tcW w:w="7242" w:type="dxa"/>
            <w:vAlign w:val="center"/>
          </w:tcPr>
          <w:p w14:paraId="27061A2D"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Kapitał Tier II</w:t>
            </w:r>
          </w:p>
          <w:p w14:paraId="3026ED1E" w14:textId="77777777" w:rsidR="00CE019E" w:rsidRPr="00835753" w:rsidRDefault="00CE019E" w:rsidP="001E06A3">
            <w:pPr>
              <w:spacing w:after="200"/>
              <w:jc w:val="both"/>
              <w:rPr>
                <w:rFonts w:ascii="Times New Roman" w:hAnsi="Times New Roman"/>
                <w:sz w:val="24"/>
              </w:rPr>
            </w:pPr>
            <w:r w:rsidRPr="00835753">
              <w:rPr>
                <w:rFonts w:ascii="Times New Roman" w:hAnsi="Times New Roman"/>
                <w:sz w:val="24"/>
              </w:rPr>
              <w:t>Kapitał dodatkowy Tier II, który oblicza się poprzez odjęcie wiersza 57 od wiersza 51 niniejszego wzoru</w:t>
            </w:r>
          </w:p>
        </w:tc>
      </w:tr>
      <w:tr w:rsidR="00CE019E" w:rsidRPr="00835753" w14:paraId="7E9E3BD1" w14:textId="77777777" w:rsidTr="001E06A3">
        <w:tc>
          <w:tcPr>
            <w:tcW w:w="1172" w:type="dxa"/>
            <w:vAlign w:val="center"/>
          </w:tcPr>
          <w:p w14:paraId="5E187EFC"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59</w:t>
            </w:r>
          </w:p>
        </w:tc>
        <w:tc>
          <w:tcPr>
            <w:tcW w:w="7242" w:type="dxa"/>
            <w:vAlign w:val="center"/>
          </w:tcPr>
          <w:p w14:paraId="6CCC5FDD"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Łączny kapitał (kapitał Tier I + kapitał Tier II)</w:t>
            </w:r>
          </w:p>
          <w:p w14:paraId="778684B6" w14:textId="41D41291"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Łączny kapitał, który oblicza się jako sumę wierszy 45</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5</w:t>
            </w:r>
            <w:r w:rsidRPr="00835753">
              <w:rPr>
                <w:rFonts w:ascii="Times New Roman" w:hAnsi="Times New Roman"/>
                <w:sz w:val="24"/>
              </w:rPr>
              <w:t>8 niniejszego wzoru</w:t>
            </w:r>
          </w:p>
        </w:tc>
      </w:tr>
      <w:tr w:rsidR="00CE019E" w:rsidRPr="00835753" w14:paraId="425C771E" w14:textId="77777777" w:rsidTr="001E06A3">
        <w:tc>
          <w:tcPr>
            <w:tcW w:w="1172" w:type="dxa"/>
            <w:vAlign w:val="center"/>
          </w:tcPr>
          <w:p w14:paraId="1769AAF4"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60</w:t>
            </w:r>
          </w:p>
        </w:tc>
        <w:tc>
          <w:tcPr>
            <w:tcW w:w="7242" w:type="dxa"/>
            <w:vAlign w:val="center"/>
          </w:tcPr>
          <w:p w14:paraId="4BD00704"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Łączna kwota ekspozycji na ryzyko</w:t>
            </w:r>
          </w:p>
          <w:p w14:paraId="06A9FD06"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Łączna kwota ekspozycji grupy na ryzyko</w:t>
            </w:r>
          </w:p>
        </w:tc>
      </w:tr>
      <w:tr w:rsidR="00CE019E" w:rsidRPr="00835753" w14:paraId="72ADE2E6" w14:textId="77777777" w:rsidTr="001E06A3">
        <w:tc>
          <w:tcPr>
            <w:tcW w:w="1172" w:type="dxa"/>
            <w:vAlign w:val="center"/>
          </w:tcPr>
          <w:p w14:paraId="70528C9E"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lastRenderedPageBreak/>
              <w:t>61</w:t>
            </w:r>
          </w:p>
        </w:tc>
        <w:tc>
          <w:tcPr>
            <w:tcW w:w="7242" w:type="dxa"/>
            <w:vAlign w:val="center"/>
          </w:tcPr>
          <w:p w14:paraId="29E9779F"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Kapitał podstawowy Tier I</w:t>
            </w:r>
          </w:p>
          <w:p w14:paraId="7C9EC9BA" w14:textId="44BC132C"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Kapitał podstawowy Tier I (wyrażony jako odsetek łącznej kwoty ekspozycji na ryzyko), który oblicza się, dzieląc wiersz 29 przez wiersz 60 niniejszego wzoru (wyrażone jako odsetek)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92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a) CRR</w:t>
            </w:r>
          </w:p>
        </w:tc>
      </w:tr>
      <w:tr w:rsidR="00CE019E" w:rsidRPr="00835753" w14:paraId="1241C06C" w14:textId="77777777" w:rsidTr="001E06A3">
        <w:tc>
          <w:tcPr>
            <w:tcW w:w="1172" w:type="dxa"/>
            <w:vAlign w:val="center"/>
          </w:tcPr>
          <w:p w14:paraId="13E674FD"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62</w:t>
            </w:r>
          </w:p>
        </w:tc>
        <w:tc>
          <w:tcPr>
            <w:tcW w:w="7242" w:type="dxa"/>
            <w:vAlign w:val="center"/>
          </w:tcPr>
          <w:p w14:paraId="0B22C2E3"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Kapitał Tier I</w:t>
            </w:r>
          </w:p>
          <w:p w14:paraId="4F9B420D" w14:textId="1511CACA"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Kapitał Tier I (wyrażony jako odsetek łącznej kwoty ekspozycji na ryzyko), który oblicza się, dzieląc wiersz 45 przez wiersz 60 niniejszego wzoru (wyrażone jako odsetek)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92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b) CRR</w:t>
            </w:r>
          </w:p>
        </w:tc>
      </w:tr>
      <w:tr w:rsidR="00CE019E" w:rsidRPr="00835753" w14:paraId="79693DDF" w14:textId="77777777" w:rsidTr="001E06A3">
        <w:tc>
          <w:tcPr>
            <w:tcW w:w="1172" w:type="dxa"/>
            <w:vAlign w:val="center"/>
          </w:tcPr>
          <w:p w14:paraId="7F7F9E96"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63</w:t>
            </w:r>
          </w:p>
        </w:tc>
        <w:tc>
          <w:tcPr>
            <w:tcW w:w="7242" w:type="dxa"/>
            <w:vAlign w:val="center"/>
          </w:tcPr>
          <w:p w14:paraId="5DF3D8E7"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Łączny kapitał</w:t>
            </w:r>
          </w:p>
          <w:p w14:paraId="6ED4EBDC" w14:textId="70BD8D92"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Łączny kapitał (wyrażony jako odsetek łącznej kwoty ekspozycji na ryzyko), który oblicza się, dzieląc wiersz 59 przez wiersz 60 niniejszego wzoru (wyrażone jako odsetek)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92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c) CRR</w:t>
            </w:r>
          </w:p>
        </w:tc>
      </w:tr>
      <w:tr w:rsidR="00CE019E" w:rsidRPr="00835753" w14:paraId="72A2F37F" w14:textId="77777777" w:rsidTr="001E06A3">
        <w:tc>
          <w:tcPr>
            <w:tcW w:w="1172" w:type="dxa"/>
            <w:vAlign w:val="center"/>
          </w:tcPr>
          <w:p w14:paraId="55778407"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64</w:t>
            </w:r>
          </w:p>
        </w:tc>
        <w:tc>
          <w:tcPr>
            <w:tcW w:w="7242" w:type="dxa"/>
            <w:vAlign w:val="center"/>
          </w:tcPr>
          <w:p w14:paraId="6510EFA9"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 xml:space="preserve">Łączne wymogi kapitałowe dotyczące kapitału podstawowego Tier I instytucji </w:t>
            </w:r>
          </w:p>
          <w:p w14:paraId="55C70E8B" w14:textId="410D1A38"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Łączne wymogi kapitałowe dotyczące kapitału podstawowego Tier I posiadanego przez instytucję oblicza się jako wymóg dotyczący kapitału podstawowego Tier 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92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CRR powiększony</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dod</w:t>
            </w:r>
            <w:r w:rsidRPr="00835753">
              <w:rPr>
                <w:rFonts w:ascii="Times New Roman" w:hAnsi="Times New Roman"/>
                <w:sz w:val="24"/>
              </w:rPr>
              <w:t>atkowy wymóg dotyczący kapitału podstawowego Tier I, jaki instytucje są zobowiązane posiadać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104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dyrektywy 2013/36/UE</w:t>
            </w:r>
            <w:r w:rsidRPr="00835753">
              <w:rPr>
                <w:rStyle w:val="FootnoteReference"/>
                <w:rFonts w:cs="Times New Roman"/>
                <w:lang w:eastAsia="ja-JP"/>
              </w:rPr>
              <w:footnoteReference w:id="15"/>
            </w:r>
            <w:r w:rsidRPr="00835753">
              <w:rPr>
                <w:rFonts w:ascii="Times New Roman" w:hAnsi="Times New Roman"/>
                <w:sz w:val="24"/>
              </w:rPr>
              <w:t xml:space="preserve"> („CRD”), powiększony</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óg połączonego bufora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128 pkt</w:t>
            </w:r>
            <w:r w:rsidR="00835753" w:rsidRPr="00835753">
              <w:rPr>
                <w:rFonts w:ascii="Times New Roman" w:hAnsi="Times New Roman"/>
                <w:sz w:val="24"/>
              </w:rPr>
              <w:t> </w:t>
            </w:r>
            <w:r w:rsidRPr="00835753">
              <w:rPr>
                <w:rFonts w:ascii="Times New Roman" w:hAnsi="Times New Roman"/>
                <w:sz w:val="24"/>
              </w:rPr>
              <w:t>6 CRD, wyrażony jako odsetek kwoty ekspozycji na ryzyko.</w:t>
            </w:r>
          </w:p>
          <w:p w14:paraId="5085D6C4" w14:textId="77B7B2AD"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Obliczane jako suma 4,5</w:t>
            </w:r>
            <w:r w:rsidR="00835753" w:rsidRPr="00835753">
              <w:rPr>
                <w:rFonts w:ascii="Times New Roman" w:hAnsi="Times New Roman"/>
                <w:sz w:val="24"/>
              </w:rPr>
              <w:t> </w:t>
            </w:r>
            <w:r w:rsidRPr="00835753">
              <w:rPr>
                <w:rFonts w:ascii="Times New Roman" w:hAnsi="Times New Roman"/>
                <w:sz w:val="24"/>
              </w:rPr>
              <w:t>%, dodatkowych wymogów filaru II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jakie instytucje są zobowiązane posiadać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104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CRD,</w:t>
            </w:r>
            <w:r w:rsidRPr="00835753">
              <w:rPr>
                <w:rFonts w:ascii="Times New Roman" w:hAnsi="Times New Roman"/>
                <w:color w:val="FF0000"/>
                <w:sz w:val="24"/>
              </w:rPr>
              <w:t xml:space="preserve"> </w:t>
            </w:r>
            <w:r w:rsidRPr="00835753">
              <w:rPr>
                <w:rFonts w:ascii="Times New Roman" w:hAnsi="Times New Roman"/>
                <w:sz w:val="24"/>
              </w:rPr>
              <w:t>oraz wymogu połączonego bufora obliczanego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128, 129, 130, 131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 xml:space="preserve">33 CRD. </w:t>
            </w:r>
          </w:p>
          <w:p w14:paraId="398D091A" w14:textId="7BC53F95"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W tym wierszu przedstawiony zostanie współczynnik kapitału podstawowego Tier 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oceny ograniczeń</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 xml:space="preserve">resie wypłaty zysków. </w:t>
            </w:r>
          </w:p>
        </w:tc>
      </w:tr>
      <w:tr w:rsidR="00CE019E" w:rsidRPr="00835753" w14:paraId="63976E4A" w14:textId="77777777" w:rsidTr="001E06A3">
        <w:tc>
          <w:tcPr>
            <w:tcW w:w="1172" w:type="dxa"/>
            <w:vAlign w:val="center"/>
          </w:tcPr>
          <w:p w14:paraId="70645328"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65</w:t>
            </w:r>
          </w:p>
        </w:tc>
        <w:tc>
          <w:tcPr>
            <w:tcW w:w="7242" w:type="dxa"/>
            <w:vAlign w:val="center"/>
          </w:tcPr>
          <w:p w14:paraId="53D727D5" w14:textId="77777777" w:rsidR="00CE019E" w:rsidRPr="00835753" w:rsidRDefault="00CE019E" w:rsidP="001E06A3">
            <w:pPr>
              <w:spacing w:after="200"/>
              <w:jc w:val="both"/>
              <w:rPr>
                <w:rFonts w:ascii="Times New Roman" w:hAnsi="Times New Roman" w:cs="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wymóg utrzymywania bufora zabezpieczającego</w:t>
            </w:r>
          </w:p>
          <w:p w14:paraId="001FEB6D" w14:textId="11ABB40D"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 64 niniejszego wzoru (wyrażona jako odsetek łącznej kwoty ekspozycji na ryzyko) odnosząca się do bufora zabezpieczającego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129 CRD</w:t>
            </w:r>
          </w:p>
        </w:tc>
      </w:tr>
      <w:tr w:rsidR="00CE019E" w:rsidRPr="00835753" w14:paraId="08A529D9" w14:textId="77777777" w:rsidTr="001E06A3">
        <w:tc>
          <w:tcPr>
            <w:tcW w:w="1172" w:type="dxa"/>
            <w:vAlign w:val="center"/>
          </w:tcPr>
          <w:p w14:paraId="436F07D7"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66</w:t>
            </w:r>
          </w:p>
        </w:tc>
        <w:tc>
          <w:tcPr>
            <w:tcW w:w="7242" w:type="dxa"/>
            <w:vAlign w:val="center"/>
          </w:tcPr>
          <w:p w14:paraId="158CAE1B" w14:textId="32C478AA" w:rsidR="00CE019E" w:rsidRPr="00835753" w:rsidRDefault="00CE019E" w:rsidP="001E06A3">
            <w:pPr>
              <w:spacing w:after="200"/>
              <w:jc w:val="both"/>
              <w:rPr>
                <w:rFonts w:ascii="Times New Roman" w:hAnsi="Times New Roman" w:cs="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wymóg</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bufora antycyklicznego</w:t>
            </w:r>
          </w:p>
          <w:p w14:paraId="510003F8" w14:textId="32D66D40"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lastRenderedPageBreak/>
              <w:t>Kwota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 64 niniejszego wzoru (wyrażona jako odsetek łącznej kwoty ekspozycji na ryzyko) odnosząca się do wymogu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bufora antycyklicznego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 xml:space="preserve">130 CRD </w:t>
            </w:r>
          </w:p>
        </w:tc>
      </w:tr>
      <w:tr w:rsidR="00CE019E" w:rsidRPr="00835753" w14:paraId="015CDF41" w14:textId="77777777" w:rsidTr="001E06A3">
        <w:tc>
          <w:tcPr>
            <w:tcW w:w="1172" w:type="dxa"/>
            <w:vAlign w:val="center"/>
          </w:tcPr>
          <w:p w14:paraId="43431AC3"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lastRenderedPageBreak/>
              <w:t>67</w:t>
            </w:r>
          </w:p>
        </w:tc>
        <w:tc>
          <w:tcPr>
            <w:tcW w:w="7242" w:type="dxa"/>
            <w:vAlign w:val="center"/>
          </w:tcPr>
          <w:p w14:paraId="006675C6" w14:textId="77777777" w:rsidR="00CE019E" w:rsidRPr="00835753" w:rsidRDefault="00CE019E" w:rsidP="001E06A3">
            <w:pPr>
              <w:spacing w:after="200"/>
              <w:jc w:val="both"/>
              <w:rPr>
                <w:rFonts w:ascii="Times New Roman" w:hAnsi="Times New Roman" w:cs="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wymóg utrzymywania bufora ryzyka systemowego</w:t>
            </w:r>
          </w:p>
          <w:p w14:paraId="75C0D29E" w14:textId="0CAA7C6D"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 64 niniejszego wzoru (wyrażona jako odsetek łącznej kwoty ekspozycji na ryzyko) odnosząca się do wymogu utrzymywania bufora ryzyka systemowego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133 CRD</w:t>
            </w:r>
          </w:p>
        </w:tc>
      </w:tr>
      <w:tr w:rsidR="00CE019E" w:rsidRPr="00835753" w14:paraId="65DBF1A5" w14:textId="77777777" w:rsidTr="001E06A3">
        <w:tc>
          <w:tcPr>
            <w:tcW w:w="1172" w:type="dxa"/>
            <w:vAlign w:val="center"/>
          </w:tcPr>
          <w:p w14:paraId="62ED7908"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EU-67a</w:t>
            </w:r>
          </w:p>
        </w:tc>
        <w:tc>
          <w:tcPr>
            <w:tcW w:w="7242" w:type="dxa"/>
            <w:vAlign w:val="center"/>
          </w:tcPr>
          <w:p w14:paraId="4B491F7E" w14:textId="3F6DBE7E" w:rsidR="00CE019E" w:rsidRPr="00835753" w:rsidRDefault="00CE019E" w:rsidP="001E06A3">
            <w:pPr>
              <w:spacing w:after="200"/>
              <w:jc w:val="both"/>
              <w:rPr>
                <w:rFonts w:ascii="Times New Roman" w:hAnsi="Times New Roman" w:cs="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bufor globalnych instytucji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zna</w:t>
            </w:r>
            <w:r w:rsidRPr="00835753">
              <w:rPr>
                <w:rFonts w:ascii="Times New Roman" w:hAnsi="Times New Roman"/>
                <w:sz w:val="24"/>
              </w:rPr>
              <w:t>czeniu systemowym lub bufor innych instytucji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zna</w:t>
            </w:r>
            <w:r w:rsidRPr="00835753">
              <w:rPr>
                <w:rFonts w:ascii="Times New Roman" w:hAnsi="Times New Roman"/>
                <w:sz w:val="24"/>
              </w:rPr>
              <w:t>czeniu systemowym</w:t>
            </w:r>
          </w:p>
          <w:p w14:paraId="4F4A062E" w14:textId="47AB6936"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 64 niniejszego wzoru (wyrażona jako odsetek łącznej kwoty ekspozycji na ryzyko) odnosząca się do wymogu utrzymywania bufora globalnej instytucji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zna</w:t>
            </w:r>
            <w:r w:rsidRPr="00835753">
              <w:rPr>
                <w:rFonts w:ascii="Times New Roman" w:hAnsi="Times New Roman"/>
                <w:sz w:val="24"/>
              </w:rPr>
              <w:t>czeniu systemowym lub innej instytucji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zna</w:t>
            </w:r>
            <w:r w:rsidRPr="00835753">
              <w:rPr>
                <w:rFonts w:ascii="Times New Roman" w:hAnsi="Times New Roman"/>
                <w:sz w:val="24"/>
              </w:rPr>
              <w:t>czeniu systemowym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131 CRD</w:t>
            </w:r>
          </w:p>
        </w:tc>
      </w:tr>
      <w:tr w:rsidR="00CE019E" w:rsidRPr="00835753" w14:paraId="17E65DE8" w14:textId="77777777" w:rsidTr="001E06A3">
        <w:tc>
          <w:tcPr>
            <w:tcW w:w="1172" w:type="dxa"/>
            <w:vAlign w:val="center"/>
          </w:tcPr>
          <w:p w14:paraId="41D2261A"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EU-67b</w:t>
            </w:r>
          </w:p>
        </w:tc>
        <w:tc>
          <w:tcPr>
            <w:tcW w:w="7242" w:type="dxa"/>
            <w:vAlign w:val="center"/>
          </w:tcPr>
          <w:p w14:paraId="360C8126" w14:textId="486EA231" w:rsidR="00CE019E" w:rsidRPr="00835753" w:rsidRDefault="00CE019E" w:rsidP="001E06A3">
            <w:pPr>
              <w:spacing w:after="200"/>
              <w:jc w:val="both"/>
              <w:rPr>
                <w:rFonts w:ascii="Times New Roman" w:hAnsi="Times New Roman" w:cs="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dodatkowe 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 xml:space="preserve">u uwzględnienia ryzyka innego niż ryzyko nadmiernej dźwigni </w:t>
            </w:r>
          </w:p>
          <w:p w14:paraId="18C35025" w14:textId="78282F3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 64 niniejszego wzoru (wyrażona jako odsetek łącznej kwoty ekspozycji na ryzyko) odnosząca się do dodatkowych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które to wymogi wynikają</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pro</w:t>
            </w:r>
            <w:r w:rsidRPr="00835753">
              <w:rPr>
                <w:rFonts w:ascii="Times New Roman" w:hAnsi="Times New Roman"/>
                <w:sz w:val="24"/>
              </w:rPr>
              <w:t>cesu przeglądu nadzorczego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mus</w:t>
            </w:r>
            <w:r w:rsidRPr="00835753">
              <w:rPr>
                <w:rFonts w:ascii="Times New Roman" w:hAnsi="Times New Roman"/>
                <w:sz w:val="24"/>
              </w:rPr>
              <w:t>zą być spełnione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wyk</w:t>
            </w:r>
            <w:r w:rsidRPr="00835753">
              <w:rPr>
                <w:rFonts w:ascii="Times New Roman" w:hAnsi="Times New Roman"/>
                <w:sz w:val="24"/>
              </w:rPr>
              <w:t>orzystaniem kapitału podstawowego Tier I, jak określono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104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dyrektywy 2013/36/UE</w:t>
            </w:r>
          </w:p>
        </w:tc>
      </w:tr>
      <w:tr w:rsidR="00CE019E" w:rsidRPr="00835753" w14:paraId="55A66B39" w14:textId="77777777" w:rsidTr="001E06A3">
        <w:tc>
          <w:tcPr>
            <w:tcW w:w="1172" w:type="dxa"/>
            <w:vAlign w:val="center"/>
          </w:tcPr>
          <w:p w14:paraId="7BAD452D"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68</w:t>
            </w:r>
          </w:p>
        </w:tc>
        <w:tc>
          <w:tcPr>
            <w:tcW w:w="7242" w:type="dxa"/>
            <w:vAlign w:val="center"/>
          </w:tcPr>
          <w:p w14:paraId="4143BC85"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Kapitał podstawowy Tier I (wyrażony jako odsetek kwoty ekspozycji na ryzyko) dostępny po spełnieniu minimalnego wymogu kapitałowego</w:t>
            </w:r>
          </w:p>
          <w:p w14:paraId="5EA406D1" w14:textId="26E7C0D9"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Obliczany jako wartość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61 pomniejszona</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4</w:t>
            </w:r>
            <w:r w:rsidRPr="00835753">
              <w:rPr>
                <w:rFonts w:ascii="Times New Roman" w:hAnsi="Times New Roman"/>
                <w:sz w:val="24"/>
              </w:rPr>
              <w:t>,5 (punktu procentowego), EU-67b oraz kapitał podstawowy Tier I wykorzystany przez daną instytucję do spełnienia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kapitału dodatkowego Tier 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itału Tier II.</w:t>
            </w:r>
          </w:p>
        </w:tc>
      </w:tr>
      <w:tr w:rsidR="00CE019E" w:rsidRPr="00835753" w14:paraId="258F1BD3" w14:textId="77777777" w:rsidTr="001E06A3">
        <w:tc>
          <w:tcPr>
            <w:tcW w:w="1172" w:type="dxa"/>
            <w:vAlign w:val="center"/>
          </w:tcPr>
          <w:p w14:paraId="6C6C47BD" w14:textId="77777777" w:rsidR="00CE019E" w:rsidRPr="00835753" w:rsidDel="007266C2" w:rsidRDefault="00CE019E" w:rsidP="001E06A3">
            <w:pPr>
              <w:spacing w:after="200"/>
              <w:rPr>
                <w:rFonts w:ascii="Times New Roman" w:hAnsi="Times New Roman" w:cs="Times New Roman"/>
                <w:sz w:val="24"/>
              </w:rPr>
            </w:pPr>
            <w:r w:rsidRPr="00835753">
              <w:rPr>
                <w:rFonts w:ascii="Times New Roman" w:hAnsi="Times New Roman"/>
                <w:sz w:val="24"/>
              </w:rPr>
              <w:t>69</w:t>
            </w:r>
          </w:p>
        </w:tc>
        <w:tc>
          <w:tcPr>
            <w:tcW w:w="7242" w:type="dxa"/>
            <w:vAlign w:val="center"/>
          </w:tcPr>
          <w:p w14:paraId="11091C4B"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Nie dotyczy</w:t>
            </w:r>
          </w:p>
        </w:tc>
      </w:tr>
      <w:tr w:rsidR="00CE019E" w:rsidRPr="00835753" w14:paraId="115090DC" w14:textId="77777777" w:rsidTr="001E06A3">
        <w:tc>
          <w:tcPr>
            <w:tcW w:w="1172" w:type="dxa"/>
            <w:vAlign w:val="center"/>
          </w:tcPr>
          <w:p w14:paraId="7E2B386D" w14:textId="77777777" w:rsidR="00CE019E" w:rsidRPr="00835753" w:rsidDel="007266C2" w:rsidRDefault="00CE019E" w:rsidP="001E06A3">
            <w:pPr>
              <w:spacing w:after="200"/>
              <w:rPr>
                <w:rFonts w:ascii="Times New Roman" w:hAnsi="Times New Roman" w:cs="Times New Roman"/>
                <w:sz w:val="24"/>
              </w:rPr>
            </w:pPr>
            <w:r w:rsidRPr="00835753">
              <w:rPr>
                <w:rFonts w:ascii="Times New Roman" w:hAnsi="Times New Roman"/>
                <w:sz w:val="24"/>
              </w:rPr>
              <w:t>70</w:t>
            </w:r>
          </w:p>
        </w:tc>
        <w:tc>
          <w:tcPr>
            <w:tcW w:w="7242" w:type="dxa"/>
            <w:vAlign w:val="center"/>
          </w:tcPr>
          <w:p w14:paraId="5B20B870"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Nie dotyczy</w:t>
            </w:r>
          </w:p>
        </w:tc>
      </w:tr>
      <w:tr w:rsidR="00CE019E" w:rsidRPr="00835753" w14:paraId="349374AA" w14:textId="77777777" w:rsidTr="001E06A3">
        <w:tc>
          <w:tcPr>
            <w:tcW w:w="1172" w:type="dxa"/>
            <w:vAlign w:val="center"/>
          </w:tcPr>
          <w:p w14:paraId="5AD1F82D" w14:textId="77777777" w:rsidR="00CE019E" w:rsidRPr="00835753" w:rsidDel="007266C2" w:rsidRDefault="00CE019E" w:rsidP="001E06A3">
            <w:pPr>
              <w:spacing w:after="200"/>
              <w:rPr>
                <w:rFonts w:ascii="Times New Roman" w:hAnsi="Times New Roman" w:cs="Times New Roman"/>
                <w:sz w:val="24"/>
              </w:rPr>
            </w:pPr>
            <w:r w:rsidRPr="00835753">
              <w:rPr>
                <w:rFonts w:ascii="Times New Roman" w:hAnsi="Times New Roman"/>
                <w:sz w:val="24"/>
              </w:rPr>
              <w:t>71</w:t>
            </w:r>
          </w:p>
        </w:tc>
        <w:tc>
          <w:tcPr>
            <w:tcW w:w="7242" w:type="dxa"/>
            <w:vAlign w:val="center"/>
          </w:tcPr>
          <w:p w14:paraId="442AAF4A"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Nie dotyczy</w:t>
            </w:r>
          </w:p>
        </w:tc>
      </w:tr>
      <w:tr w:rsidR="00CE019E" w:rsidRPr="00835753" w14:paraId="5E192E90" w14:textId="77777777" w:rsidTr="001E06A3">
        <w:tc>
          <w:tcPr>
            <w:tcW w:w="1172" w:type="dxa"/>
            <w:vAlign w:val="center"/>
          </w:tcPr>
          <w:p w14:paraId="17EF5BE0"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72</w:t>
            </w:r>
          </w:p>
        </w:tc>
        <w:tc>
          <w:tcPr>
            <w:tcW w:w="7242" w:type="dxa"/>
            <w:vAlign w:val="center"/>
          </w:tcPr>
          <w:p w14:paraId="54A46A1A" w14:textId="1DDBFF41"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Bezpośrednie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poś</w:t>
            </w:r>
            <w:r w:rsidRPr="00835753">
              <w:rPr>
                <w:rFonts w:ascii="Times New Roman" w:hAnsi="Times New Roman"/>
                <w:sz w:val="24"/>
              </w:rPr>
              <w:t>rednie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 funduszy własnych lub</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 zobowiązań kwalifikowalnych podmiotów sektora finansowego, jeżeli instytucja nie dokonała znacznej inwestycji w te podmioty (kwota poniżej progu 10</w:t>
            </w:r>
            <w:r w:rsidR="00835753" w:rsidRPr="00835753">
              <w:rPr>
                <w:rFonts w:ascii="Times New Roman" w:hAnsi="Times New Roman"/>
                <w:sz w:val="24"/>
              </w:rPr>
              <w:t> </w:t>
            </w:r>
            <w:r w:rsidRPr="00835753">
              <w:rPr>
                <w:rFonts w:ascii="Times New Roman" w:hAnsi="Times New Roman"/>
                <w:sz w:val="24"/>
              </w:rPr>
              <w:t>% oraz po odliczeniu kwalifikowalnych pozycji krótkich)</w:t>
            </w:r>
          </w:p>
          <w:p w14:paraId="42875D75" w14:textId="6CADEB1A"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Bezpośrednie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poś</w:t>
            </w:r>
            <w:r w:rsidRPr="00835753">
              <w:rPr>
                <w:rFonts w:ascii="Times New Roman" w:hAnsi="Times New Roman"/>
                <w:sz w:val="24"/>
              </w:rPr>
              <w:t>rednie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 funduszy własnych lub</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 xml:space="preserve">trumentach zobowiązań kwalifikowalnych podmiotów sektora finansowego, jeżeli instytucja nie dokonała znacznej inwestycji w </w:t>
            </w:r>
            <w:r w:rsidRPr="00835753">
              <w:rPr>
                <w:rFonts w:ascii="Times New Roman" w:hAnsi="Times New Roman"/>
                <w:sz w:val="24"/>
              </w:rPr>
              <w:lastRenderedPageBreak/>
              <w:t>te podmioty (kwota poniżej progu 10</w:t>
            </w:r>
            <w:r w:rsidR="00835753" w:rsidRPr="00835753">
              <w:rPr>
                <w:rFonts w:ascii="Times New Roman" w:hAnsi="Times New Roman"/>
                <w:sz w:val="24"/>
              </w:rPr>
              <w:t> </w:t>
            </w:r>
            <w:r w:rsidRPr="00835753">
              <w:rPr>
                <w:rFonts w:ascii="Times New Roman" w:hAnsi="Times New Roman"/>
                <w:sz w:val="24"/>
              </w:rPr>
              <w:t>% oraz po odliczeniu kwalifikowalnych pozycji krótkich),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h), art.</w:t>
            </w:r>
            <w:r w:rsidR="00835753" w:rsidRPr="00835753">
              <w:rPr>
                <w:rFonts w:ascii="Times New Roman" w:hAnsi="Times New Roman"/>
                <w:sz w:val="24"/>
              </w:rPr>
              <w:t> </w:t>
            </w:r>
            <w:r w:rsidRPr="00835753">
              <w:rPr>
                <w:rFonts w:ascii="Times New Roman" w:hAnsi="Times New Roman"/>
                <w:sz w:val="24"/>
              </w:rPr>
              <w:t>45</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4</w:t>
            </w:r>
            <w:r w:rsidRPr="00835753">
              <w:rPr>
                <w:rFonts w:ascii="Times New Roman" w:hAnsi="Times New Roman"/>
                <w:sz w:val="24"/>
              </w:rPr>
              <w:t>6, art.</w:t>
            </w:r>
            <w:r w:rsidR="00835753" w:rsidRPr="00835753">
              <w:rPr>
                <w:rFonts w:ascii="Times New Roman" w:hAnsi="Times New Roman"/>
                <w:sz w:val="24"/>
              </w:rPr>
              <w:t> </w:t>
            </w:r>
            <w:r w:rsidRPr="00835753">
              <w:rPr>
                <w:rFonts w:ascii="Times New Roman" w:hAnsi="Times New Roman"/>
                <w:sz w:val="24"/>
              </w:rPr>
              <w:t>56 lit.</w:t>
            </w:r>
            <w:r w:rsidR="00835753" w:rsidRPr="00835753">
              <w:rPr>
                <w:rFonts w:ascii="Times New Roman" w:hAnsi="Times New Roman"/>
                <w:sz w:val="24"/>
              </w:rPr>
              <w:t> </w:t>
            </w:r>
            <w:r w:rsidRPr="00835753">
              <w:rPr>
                <w:rFonts w:ascii="Times New Roman" w:hAnsi="Times New Roman"/>
                <w:sz w:val="24"/>
              </w:rPr>
              <w:t>c), art.</w:t>
            </w:r>
            <w:r w:rsidR="00835753" w:rsidRPr="00835753">
              <w:rPr>
                <w:rFonts w:ascii="Times New Roman" w:hAnsi="Times New Roman"/>
                <w:sz w:val="24"/>
              </w:rPr>
              <w:t> </w:t>
            </w:r>
            <w:r w:rsidRPr="00835753">
              <w:rPr>
                <w:rFonts w:ascii="Times New Roman" w:hAnsi="Times New Roman"/>
                <w:sz w:val="24"/>
              </w:rPr>
              <w:t>59</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6</w:t>
            </w:r>
            <w:r w:rsidRPr="00835753">
              <w:rPr>
                <w:rFonts w:ascii="Times New Roman" w:hAnsi="Times New Roman"/>
                <w:sz w:val="24"/>
              </w:rPr>
              <w:t>0, art.</w:t>
            </w:r>
            <w:r w:rsidR="00835753" w:rsidRPr="00835753">
              <w:rPr>
                <w:rFonts w:ascii="Times New Roman" w:hAnsi="Times New Roman"/>
                <w:sz w:val="24"/>
              </w:rPr>
              <w:t> </w:t>
            </w:r>
            <w:r w:rsidRPr="00835753">
              <w:rPr>
                <w:rFonts w:ascii="Times New Roman" w:hAnsi="Times New Roman"/>
                <w:sz w:val="24"/>
              </w:rPr>
              <w:t>66 lit.</w:t>
            </w:r>
            <w:r w:rsidR="00835753" w:rsidRPr="00835753">
              <w:rPr>
                <w:rFonts w:ascii="Times New Roman" w:hAnsi="Times New Roman"/>
                <w:sz w:val="24"/>
              </w:rPr>
              <w:t> </w:t>
            </w:r>
            <w:r w:rsidRPr="00835753">
              <w:rPr>
                <w:rFonts w:ascii="Times New Roman" w:hAnsi="Times New Roman"/>
                <w:sz w:val="24"/>
              </w:rPr>
              <w:t>c), art.</w:t>
            </w:r>
            <w:r w:rsidR="00835753" w:rsidRPr="00835753">
              <w:rPr>
                <w:rFonts w:ascii="Times New Roman" w:hAnsi="Times New Roman"/>
                <w:sz w:val="24"/>
              </w:rPr>
              <w:t> </w:t>
            </w:r>
            <w:r w:rsidRPr="00835753">
              <w:rPr>
                <w:rFonts w:ascii="Times New Roman" w:hAnsi="Times New Roman"/>
                <w:sz w:val="24"/>
              </w:rPr>
              <w:t>69, 70</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7</w:t>
            </w:r>
            <w:r w:rsidRPr="00835753">
              <w:rPr>
                <w:rFonts w:ascii="Times New Roman" w:hAnsi="Times New Roman"/>
                <w:sz w:val="24"/>
              </w:rPr>
              <w:t xml:space="preserve">2i CRR </w:t>
            </w:r>
          </w:p>
        </w:tc>
      </w:tr>
      <w:tr w:rsidR="00CE019E" w:rsidRPr="00835753" w14:paraId="0755466A" w14:textId="77777777" w:rsidTr="001E06A3">
        <w:tc>
          <w:tcPr>
            <w:tcW w:w="1172" w:type="dxa"/>
            <w:vAlign w:val="center"/>
          </w:tcPr>
          <w:p w14:paraId="071C3B15"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lastRenderedPageBreak/>
              <w:t>73</w:t>
            </w:r>
          </w:p>
        </w:tc>
        <w:tc>
          <w:tcPr>
            <w:tcW w:w="7242" w:type="dxa"/>
            <w:vAlign w:val="center"/>
          </w:tcPr>
          <w:p w14:paraId="61135644" w14:textId="057A7145"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Posiadane przez instytucję bezpośrednie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poś</w:t>
            </w:r>
            <w:r w:rsidRPr="00835753">
              <w:rPr>
                <w:rFonts w:ascii="Times New Roman" w:hAnsi="Times New Roman"/>
                <w:sz w:val="24"/>
              </w:rPr>
              <w:t>rednie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 podmiotów sektora finansowego, jeżeli instytucja dokonała znacznej inwestycji w te podmioty (kwota poniżej progu 17,65 % oraz po odliczeniu kwalifikowalnych pozycji krótkich)</w:t>
            </w:r>
          </w:p>
          <w:p w14:paraId="3DE14D0A" w14:textId="67889FDB"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Posiadane przez instytucję bezpośrednie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poś</w:t>
            </w:r>
            <w:r w:rsidRPr="00835753">
              <w:rPr>
                <w:rFonts w:ascii="Times New Roman" w:hAnsi="Times New Roman"/>
                <w:sz w:val="24"/>
              </w:rPr>
              <w:t>rednie udziały kapitałowe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 podmiotów sektora finansowego, jeżeli instytucja dokonała znacznej inwestycji w te podmioty (kwota poniżej progu 17,65</w:t>
            </w:r>
            <w:r w:rsidR="00835753" w:rsidRPr="00835753">
              <w:rPr>
                <w:rFonts w:ascii="Times New Roman" w:hAnsi="Times New Roman"/>
                <w:sz w:val="24"/>
              </w:rPr>
              <w:t> </w:t>
            </w:r>
            <w:r w:rsidRPr="00835753">
              <w:rPr>
                <w:rFonts w:ascii="Times New Roman" w:hAnsi="Times New Roman"/>
                <w:sz w:val="24"/>
              </w:rPr>
              <w:t>% oraz po odliczeniu kwalifikowalnych pozycji krótkich),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i), art.</w:t>
            </w:r>
            <w:r w:rsidR="00835753" w:rsidRPr="00835753">
              <w:rPr>
                <w:rFonts w:ascii="Times New Roman" w:hAnsi="Times New Roman"/>
                <w:sz w:val="24"/>
              </w:rPr>
              <w:t> </w:t>
            </w:r>
            <w:r w:rsidRPr="00835753">
              <w:rPr>
                <w:rFonts w:ascii="Times New Roman" w:hAnsi="Times New Roman"/>
                <w:sz w:val="24"/>
              </w:rPr>
              <w:t>43, 45</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4</w:t>
            </w:r>
            <w:r w:rsidRPr="00835753">
              <w:rPr>
                <w:rFonts w:ascii="Times New Roman" w:hAnsi="Times New Roman"/>
                <w:sz w:val="24"/>
              </w:rPr>
              <w:t>7, art.</w:t>
            </w:r>
            <w:r w:rsidR="00835753" w:rsidRPr="00835753">
              <w:rPr>
                <w:rFonts w:ascii="Times New Roman" w:hAnsi="Times New Roman"/>
                <w:sz w:val="24"/>
              </w:rPr>
              <w:t> </w:t>
            </w:r>
            <w:r w:rsidRPr="00835753">
              <w:rPr>
                <w:rFonts w:ascii="Times New Roman" w:hAnsi="Times New Roman"/>
                <w:sz w:val="24"/>
              </w:rPr>
              <w:t>48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b)</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49 ust.</w:t>
            </w:r>
            <w:r w:rsidR="00835753" w:rsidRPr="00835753">
              <w:rPr>
                <w:rFonts w:ascii="Times New Roman" w:hAnsi="Times New Roman"/>
                <w:sz w:val="24"/>
              </w:rPr>
              <w:t> </w:t>
            </w:r>
            <w:r w:rsidRPr="00835753">
              <w:rPr>
                <w:rFonts w:ascii="Times New Roman" w:hAnsi="Times New Roman"/>
                <w:sz w:val="24"/>
              </w:rPr>
              <w:t>1–3 CRR (całkowita kwota takich inwestycji, które nie podlegają ujawnieniu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19</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2</w:t>
            </w:r>
            <w:r w:rsidRPr="00835753">
              <w:rPr>
                <w:rFonts w:ascii="Times New Roman" w:hAnsi="Times New Roman"/>
                <w:sz w:val="24"/>
              </w:rPr>
              <w:t>3 niniejszego wzoru)</w:t>
            </w:r>
          </w:p>
        </w:tc>
      </w:tr>
      <w:tr w:rsidR="00CE019E" w:rsidRPr="00835753" w14:paraId="3602EF52" w14:textId="77777777" w:rsidTr="001E06A3">
        <w:tc>
          <w:tcPr>
            <w:tcW w:w="1172" w:type="dxa"/>
            <w:vAlign w:val="center"/>
          </w:tcPr>
          <w:p w14:paraId="6D7AF273"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74</w:t>
            </w:r>
          </w:p>
        </w:tc>
        <w:tc>
          <w:tcPr>
            <w:tcW w:w="7242" w:type="dxa"/>
            <w:vAlign w:val="center"/>
          </w:tcPr>
          <w:p w14:paraId="20B40A7C" w14:textId="7777777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Nie dotyczy</w:t>
            </w:r>
          </w:p>
        </w:tc>
      </w:tr>
      <w:tr w:rsidR="00CE019E" w:rsidRPr="00835753" w14:paraId="310787B7" w14:textId="77777777" w:rsidTr="001E06A3">
        <w:tc>
          <w:tcPr>
            <w:tcW w:w="1172" w:type="dxa"/>
            <w:vAlign w:val="center"/>
          </w:tcPr>
          <w:p w14:paraId="29A3E014"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75</w:t>
            </w:r>
          </w:p>
        </w:tc>
        <w:tc>
          <w:tcPr>
            <w:tcW w:w="7242" w:type="dxa"/>
            <w:vAlign w:val="center"/>
          </w:tcPr>
          <w:p w14:paraId="0ED81717" w14:textId="321D14AB"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Aktywa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 wynikające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róż</w:t>
            </w:r>
            <w:r w:rsidRPr="00835753">
              <w:rPr>
                <w:rFonts w:ascii="Times New Roman" w:hAnsi="Times New Roman"/>
                <w:sz w:val="24"/>
              </w:rPr>
              <w:t>nic przejściowych (kwota poniżej progu 17,65 %, po odliczeniu powiązanej rezerwy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spełnienia warunków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38 ust.</w:t>
            </w:r>
            <w:r w:rsidR="00835753" w:rsidRPr="00835753">
              <w:rPr>
                <w:rFonts w:ascii="Times New Roman" w:hAnsi="Times New Roman"/>
                <w:sz w:val="24"/>
              </w:rPr>
              <w:t> </w:t>
            </w:r>
            <w:r w:rsidRPr="00835753">
              <w:rPr>
                <w:rFonts w:ascii="Times New Roman" w:hAnsi="Times New Roman"/>
                <w:sz w:val="24"/>
              </w:rPr>
              <w:t>3 CRR)</w:t>
            </w:r>
          </w:p>
          <w:p w14:paraId="12FA8D33" w14:textId="4E93C8CD"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Aktywa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 wynikające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róż</w:t>
            </w:r>
            <w:r w:rsidRPr="00835753">
              <w:rPr>
                <w:rFonts w:ascii="Times New Roman" w:hAnsi="Times New Roman"/>
                <w:sz w:val="24"/>
              </w:rPr>
              <w:t>nic przejściowych (kwota poniżej progu 17,65</w:t>
            </w:r>
            <w:r w:rsidR="00835753" w:rsidRPr="00835753">
              <w:rPr>
                <w:rFonts w:ascii="Times New Roman" w:hAnsi="Times New Roman"/>
                <w:sz w:val="24"/>
              </w:rPr>
              <w:t> </w:t>
            </w:r>
            <w:r w:rsidRPr="00835753">
              <w:rPr>
                <w:rFonts w:ascii="Times New Roman" w:hAnsi="Times New Roman"/>
                <w:sz w:val="24"/>
              </w:rPr>
              <w:t>%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b) CRR, po odliczeniu powiązanej rezerwy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spełnienia warunków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38 ust.</w:t>
            </w:r>
            <w:r w:rsidR="00835753" w:rsidRPr="00835753">
              <w:rPr>
                <w:rFonts w:ascii="Times New Roman" w:hAnsi="Times New Roman"/>
                <w:sz w:val="24"/>
              </w:rPr>
              <w:t> </w:t>
            </w:r>
            <w:r w:rsidRPr="00835753">
              <w:rPr>
                <w:rFonts w:ascii="Times New Roman" w:hAnsi="Times New Roman"/>
                <w:sz w:val="24"/>
              </w:rPr>
              <w:t>3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c) oraz art.</w:t>
            </w:r>
            <w:r w:rsidR="00835753" w:rsidRPr="00835753">
              <w:rPr>
                <w:rFonts w:ascii="Times New Roman" w:hAnsi="Times New Roman"/>
                <w:sz w:val="24"/>
              </w:rPr>
              <w:t> </w:t>
            </w:r>
            <w:r w:rsidRPr="00835753">
              <w:rPr>
                <w:rFonts w:ascii="Times New Roman" w:hAnsi="Times New Roman"/>
                <w:sz w:val="24"/>
              </w:rPr>
              <w:t>38</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4</w:t>
            </w:r>
            <w:r w:rsidRPr="00835753">
              <w:rPr>
                <w:rFonts w:ascii="Times New Roman" w:hAnsi="Times New Roman"/>
                <w:sz w:val="24"/>
              </w:rPr>
              <w:t>8 CRR (całkowita kwota takich aktywów</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 które nie podlegają ujawnieniu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21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2</w:t>
            </w:r>
            <w:r w:rsidRPr="00835753">
              <w:rPr>
                <w:rFonts w:ascii="Times New Roman" w:hAnsi="Times New Roman"/>
                <w:sz w:val="24"/>
              </w:rPr>
              <w:t>5 niniejszego wzoru)</w:t>
            </w:r>
          </w:p>
        </w:tc>
      </w:tr>
      <w:tr w:rsidR="00CE019E" w:rsidRPr="00835753" w14:paraId="3590C5C2" w14:textId="77777777" w:rsidTr="001E06A3">
        <w:tc>
          <w:tcPr>
            <w:tcW w:w="1172" w:type="dxa"/>
            <w:vAlign w:val="center"/>
          </w:tcPr>
          <w:p w14:paraId="08EE3513"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76</w:t>
            </w:r>
          </w:p>
        </w:tc>
        <w:tc>
          <w:tcPr>
            <w:tcW w:w="7242" w:type="dxa"/>
            <w:vAlign w:val="center"/>
          </w:tcPr>
          <w:p w14:paraId="3576D938" w14:textId="3ED86814"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Korekty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kredytowego 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ekspozycji objętych metodą standardową (przed zastosowaniem pułapu)</w:t>
            </w:r>
          </w:p>
          <w:p w14:paraId="2B77FF7A" w14:textId="4F512AAB"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Korekty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kredytowego 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ekspozycji objętych metodą standardową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62 lit.</w:t>
            </w:r>
            <w:r w:rsidR="00835753" w:rsidRPr="00835753">
              <w:rPr>
                <w:rFonts w:ascii="Times New Roman" w:hAnsi="Times New Roman"/>
                <w:sz w:val="24"/>
              </w:rPr>
              <w:t> </w:t>
            </w:r>
            <w:r w:rsidRPr="00835753">
              <w:rPr>
                <w:rFonts w:ascii="Times New Roman" w:hAnsi="Times New Roman"/>
                <w:sz w:val="24"/>
              </w:rPr>
              <w:t>c) CRR</w:t>
            </w:r>
          </w:p>
        </w:tc>
      </w:tr>
      <w:tr w:rsidR="00CE019E" w:rsidRPr="00835753" w14:paraId="617F7F1F" w14:textId="77777777" w:rsidTr="001E06A3">
        <w:tc>
          <w:tcPr>
            <w:tcW w:w="1172" w:type="dxa"/>
            <w:vAlign w:val="center"/>
          </w:tcPr>
          <w:p w14:paraId="0DFF8689"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77</w:t>
            </w:r>
          </w:p>
        </w:tc>
        <w:tc>
          <w:tcPr>
            <w:tcW w:w="7242" w:type="dxa"/>
            <w:vAlign w:val="center"/>
          </w:tcPr>
          <w:p w14:paraId="1ED8EE31" w14:textId="4DD13250"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Pułap uwzględniania korekt</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kredytowego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odą standardową</w:t>
            </w:r>
          </w:p>
          <w:p w14:paraId="03369F07" w14:textId="5A268789"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Pułap uwzględniania korekt</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kredytowego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odą standardową,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62 lit.</w:t>
            </w:r>
            <w:r w:rsidR="00835753" w:rsidRPr="00835753">
              <w:rPr>
                <w:rFonts w:ascii="Times New Roman" w:hAnsi="Times New Roman"/>
                <w:sz w:val="24"/>
              </w:rPr>
              <w:t> </w:t>
            </w:r>
            <w:r w:rsidRPr="00835753">
              <w:rPr>
                <w:rFonts w:ascii="Times New Roman" w:hAnsi="Times New Roman"/>
                <w:sz w:val="24"/>
              </w:rPr>
              <w:t>c) CRR</w:t>
            </w:r>
          </w:p>
        </w:tc>
      </w:tr>
      <w:tr w:rsidR="00CE019E" w:rsidRPr="00835753" w14:paraId="480A861A" w14:textId="77777777" w:rsidTr="001E06A3">
        <w:tc>
          <w:tcPr>
            <w:tcW w:w="1172" w:type="dxa"/>
            <w:vAlign w:val="center"/>
          </w:tcPr>
          <w:p w14:paraId="733CAF36"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lastRenderedPageBreak/>
              <w:t>78</w:t>
            </w:r>
          </w:p>
        </w:tc>
        <w:tc>
          <w:tcPr>
            <w:tcW w:w="7242" w:type="dxa"/>
            <w:vAlign w:val="center"/>
          </w:tcPr>
          <w:p w14:paraId="7A1AB17C" w14:textId="2E854B6B"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Korekty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kredytowego 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ekspozycji objętych metodą wewnętrznych ratingów (przed zastosowaniem pułapu)</w:t>
            </w:r>
          </w:p>
          <w:p w14:paraId="6D17E073" w14:textId="4F9E0F45"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Korekty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kredytowego 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ekspozycji objętych metodą wewnętrznych ratingów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62 lit.</w:t>
            </w:r>
            <w:r w:rsidR="00835753" w:rsidRPr="00835753">
              <w:rPr>
                <w:rFonts w:ascii="Times New Roman" w:hAnsi="Times New Roman"/>
                <w:sz w:val="24"/>
              </w:rPr>
              <w:t> </w:t>
            </w:r>
            <w:r w:rsidRPr="00835753">
              <w:rPr>
                <w:rFonts w:ascii="Times New Roman" w:hAnsi="Times New Roman"/>
                <w:sz w:val="24"/>
              </w:rPr>
              <w:t>d) CRR</w:t>
            </w:r>
          </w:p>
        </w:tc>
      </w:tr>
      <w:tr w:rsidR="00CE019E" w:rsidRPr="00835753" w14:paraId="2E764C13" w14:textId="77777777" w:rsidTr="001E06A3">
        <w:tc>
          <w:tcPr>
            <w:tcW w:w="1172" w:type="dxa"/>
            <w:vAlign w:val="center"/>
          </w:tcPr>
          <w:p w14:paraId="56C763B1"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79</w:t>
            </w:r>
          </w:p>
        </w:tc>
        <w:tc>
          <w:tcPr>
            <w:tcW w:w="7242" w:type="dxa"/>
            <w:vAlign w:val="center"/>
          </w:tcPr>
          <w:p w14:paraId="3A486BBF" w14:textId="72BFE3F4"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Pułap uwzględniania korekt</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kredytowego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odą wewnętrznych ratingów</w:t>
            </w:r>
          </w:p>
          <w:p w14:paraId="075A4E30" w14:textId="2D5A227F"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Pułap uwzględniania korekt</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kredytowego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odą wewnętrznych ratingów,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62 lit.</w:t>
            </w:r>
            <w:r w:rsidR="00835753" w:rsidRPr="00835753">
              <w:rPr>
                <w:rFonts w:ascii="Times New Roman" w:hAnsi="Times New Roman"/>
                <w:sz w:val="24"/>
              </w:rPr>
              <w:t> </w:t>
            </w:r>
            <w:r w:rsidRPr="00835753">
              <w:rPr>
                <w:rFonts w:ascii="Times New Roman" w:hAnsi="Times New Roman"/>
                <w:sz w:val="24"/>
              </w:rPr>
              <w:t>d) CRR</w:t>
            </w:r>
          </w:p>
        </w:tc>
      </w:tr>
      <w:tr w:rsidR="00CE019E" w:rsidRPr="00835753" w14:paraId="50AF353C" w14:textId="77777777" w:rsidTr="001E06A3">
        <w:tc>
          <w:tcPr>
            <w:tcW w:w="1172" w:type="dxa"/>
            <w:vAlign w:val="center"/>
          </w:tcPr>
          <w:p w14:paraId="0B513711"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80</w:t>
            </w:r>
          </w:p>
        </w:tc>
        <w:tc>
          <w:tcPr>
            <w:tcW w:w="7242" w:type="dxa"/>
            <w:vAlign w:val="center"/>
          </w:tcPr>
          <w:p w14:paraId="45BA4990" w14:textId="5C23065A"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Bieżący pułap</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instrumentów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 będących przedmiotem ustaleń dotyczących wycofania</w:t>
            </w:r>
          </w:p>
          <w:p w14:paraId="16A4F09B" w14:textId="7ECAEBC0"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Bieżący pułap</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instrumentów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 będących przedmiotem ustaleń dotyczących wycofania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484 ust.</w:t>
            </w:r>
            <w:r w:rsidR="00835753" w:rsidRPr="00835753">
              <w:rPr>
                <w:rFonts w:ascii="Times New Roman" w:hAnsi="Times New Roman"/>
                <w:sz w:val="24"/>
              </w:rPr>
              <w:t> </w:t>
            </w:r>
            <w:r w:rsidRPr="00835753">
              <w:rPr>
                <w:rFonts w:ascii="Times New Roman" w:hAnsi="Times New Roman"/>
                <w:sz w:val="24"/>
              </w:rPr>
              <w:t>3 oraz art.</w:t>
            </w:r>
            <w:r w:rsidR="00835753" w:rsidRPr="00835753">
              <w:rPr>
                <w:rFonts w:ascii="Times New Roman" w:hAnsi="Times New Roman"/>
                <w:sz w:val="24"/>
              </w:rPr>
              <w:t> </w:t>
            </w:r>
            <w:r w:rsidRPr="00835753">
              <w:rPr>
                <w:rFonts w:ascii="Times New Roman" w:hAnsi="Times New Roman"/>
                <w:sz w:val="24"/>
              </w:rPr>
              <w:t>486 ust.</w:t>
            </w:r>
            <w:r w:rsidR="00835753" w:rsidRPr="00835753">
              <w:rPr>
                <w:rFonts w:ascii="Times New Roman" w:hAnsi="Times New Roman"/>
                <w:sz w:val="24"/>
              </w:rPr>
              <w:t> </w:t>
            </w:r>
            <w:r w:rsidRPr="00835753">
              <w:rPr>
                <w:rFonts w:ascii="Times New Roman" w:hAnsi="Times New Roman"/>
                <w:sz w:val="24"/>
              </w:rPr>
              <w:t>2</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5</w:t>
            </w:r>
            <w:r w:rsidRPr="00835753">
              <w:rPr>
                <w:rFonts w:ascii="Times New Roman" w:hAnsi="Times New Roman"/>
                <w:sz w:val="24"/>
              </w:rPr>
              <w:t xml:space="preserve"> CRR</w:t>
            </w:r>
          </w:p>
        </w:tc>
      </w:tr>
      <w:tr w:rsidR="00CE019E" w:rsidRPr="00835753" w14:paraId="0494911D" w14:textId="77777777" w:rsidTr="001E06A3">
        <w:tc>
          <w:tcPr>
            <w:tcW w:w="1172" w:type="dxa"/>
            <w:vAlign w:val="center"/>
          </w:tcPr>
          <w:p w14:paraId="6C9A3136"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81</w:t>
            </w:r>
          </w:p>
        </w:tc>
        <w:tc>
          <w:tcPr>
            <w:tcW w:w="7242" w:type="dxa"/>
            <w:vAlign w:val="center"/>
          </w:tcPr>
          <w:p w14:paraId="725ECC77" w14:textId="64959A47"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wyłączona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itału podstawowego Tier I ze względu na pułap (nadwyżka ponad pułap po upływie terminów wykupu</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zap</w:t>
            </w:r>
            <w:r w:rsidRPr="00835753">
              <w:rPr>
                <w:rFonts w:ascii="Times New Roman" w:hAnsi="Times New Roman"/>
                <w:sz w:val="24"/>
              </w:rPr>
              <w:t>adalności)</w:t>
            </w:r>
          </w:p>
          <w:p w14:paraId="39D6E824" w14:textId="6B2F6C13"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wyłączona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itału podstawowego Tier I ze względu na pułap (nadwyżka ponad pułap po upływie terminów wykupu</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zap</w:t>
            </w:r>
            <w:r w:rsidRPr="00835753">
              <w:rPr>
                <w:rFonts w:ascii="Times New Roman" w:hAnsi="Times New Roman"/>
                <w:sz w:val="24"/>
              </w:rPr>
              <w:t>adalności)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484 ust.</w:t>
            </w:r>
            <w:r w:rsidR="00835753" w:rsidRPr="00835753">
              <w:rPr>
                <w:rFonts w:ascii="Times New Roman" w:hAnsi="Times New Roman"/>
                <w:sz w:val="24"/>
              </w:rPr>
              <w:t> </w:t>
            </w:r>
            <w:r w:rsidRPr="00835753">
              <w:rPr>
                <w:rFonts w:ascii="Times New Roman" w:hAnsi="Times New Roman"/>
                <w:sz w:val="24"/>
              </w:rPr>
              <w:t>3 oraz art.</w:t>
            </w:r>
            <w:r w:rsidR="00835753" w:rsidRPr="00835753">
              <w:rPr>
                <w:rFonts w:ascii="Times New Roman" w:hAnsi="Times New Roman"/>
                <w:sz w:val="24"/>
              </w:rPr>
              <w:t> </w:t>
            </w:r>
            <w:r w:rsidRPr="00835753">
              <w:rPr>
                <w:rFonts w:ascii="Times New Roman" w:hAnsi="Times New Roman"/>
                <w:sz w:val="24"/>
              </w:rPr>
              <w:t>486 ust.</w:t>
            </w:r>
            <w:r w:rsidR="00835753" w:rsidRPr="00835753">
              <w:rPr>
                <w:rFonts w:ascii="Times New Roman" w:hAnsi="Times New Roman"/>
                <w:sz w:val="24"/>
              </w:rPr>
              <w:t> </w:t>
            </w:r>
            <w:r w:rsidRPr="00835753">
              <w:rPr>
                <w:rFonts w:ascii="Times New Roman" w:hAnsi="Times New Roman"/>
                <w:sz w:val="24"/>
              </w:rPr>
              <w:t>2</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5</w:t>
            </w:r>
            <w:r w:rsidRPr="00835753">
              <w:rPr>
                <w:rFonts w:ascii="Times New Roman" w:hAnsi="Times New Roman"/>
                <w:sz w:val="24"/>
              </w:rPr>
              <w:t xml:space="preserve"> CRR</w:t>
            </w:r>
          </w:p>
        </w:tc>
      </w:tr>
      <w:tr w:rsidR="00CE019E" w:rsidRPr="00835753" w14:paraId="00316BBE" w14:textId="77777777" w:rsidTr="001E06A3">
        <w:tc>
          <w:tcPr>
            <w:tcW w:w="1172" w:type="dxa"/>
            <w:vAlign w:val="center"/>
          </w:tcPr>
          <w:p w14:paraId="528FA574"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82</w:t>
            </w:r>
          </w:p>
        </w:tc>
        <w:tc>
          <w:tcPr>
            <w:tcW w:w="7242" w:type="dxa"/>
            <w:vAlign w:val="center"/>
          </w:tcPr>
          <w:p w14:paraId="6BCB3B83" w14:textId="6EDA2B38"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Bieżący pułap</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instrumentów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 będących przedmiotem ustaleń dotyczących wycofania</w:t>
            </w:r>
          </w:p>
          <w:p w14:paraId="6EB711C4" w14:textId="2A7821E2"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Bieżący pułap</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instrumentów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 będących przedmiotem ustaleń dotyczących wycofania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484 ust.</w:t>
            </w:r>
            <w:r w:rsidR="00835753" w:rsidRPr="00835753">
              <w:rPr>
                <w:rFonts w:ascii="Times New Roman" w:hAnsi="Times New Roman"/>
                <w:sz w:val="24"/>
              </w:rPr>
              <w:t> </w:t>
            </w:r>
            <w:r w:rsidRPr="00835753">
              <w:rPr>
                <w:rFonts w:ascii="Times New Roman" w:hAnsi="Times New Roman"/>
                <w:sz w:val="24"/>
              </w:rPr>
              <w:t>4 oraz art.</w:t>
            </w:r>
            <w:r w:rsidR="00835753" w:rsidRPr="00835753">
              <w:rPr>
                <w:rFonts w:ascii="Times New Roman" w:hAnsi="Times New Roman"/>
                <w:sz w:val="24"/>
              </w:rPr>
              <w:t> </w:t>
            </w:r>
            <w:r w:rsidRPr="00835753">
              <w:rPr>
                <w:rFonts w:ascii="Times New Roman" w:hAnsi="Times New Roman"/>
                <w:sz w:val="24"/>
              </w:rPr>
              <w:t>486 ust.</w:t>
            </w:r>
            <w:r w:rsidR="00835753" w:rsidRPr="00835753">
              <w:rPr>
                <w:rFonts w:ascii="Times New Roman" w:hAnsi="Times New Roman"/>
                <w:sz w:val="24"/>
              </w:rPr>
              <w:t> </w:t>
            </w:r>
            <w:r w:rsidRPr="00835753">
              <w:rPr>
                <w:rFonts w:ascii="Times New Roman" w:hAnsi="Times New Roman"/>
                <w:sz w:val="24"/>
              </w:rPr>
              <w:t>3</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5</w:t>
            </w:r>
            <w:r w:rsidRPr="00835753">
              <w:rPr>
                <w:rFonts w:ascii="Times New Roman" w:hAnsi="Times New Roman"/>
                <w:sz w:val="24"/>
              </w:rPr>
              <w:t xml:space="preserve"> CRR</w:t>
            </w:r>
          </w:p>
        </w:tc>
      </w:tr>
      <w:tr w:rsidR="00CE019E" w:rsidRPr="00835753" w14:paraId="74CABF1D" w14:textId="77777777" w:rsidTr="001E06A3">
        <w:tc>
          <w:tcPr>
            <w:tcW w:w="1172" w:type="dxa"/>
            <w:vAlign w:val="center"/>
          </w:tcPr>
          <w:p w14:paraId="02FEFBEB"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83</w:t>
            </w:r>
          </w:p>
        </w:tc>
        <w:tc>
          <w:tcPr>
            <w:tcW w:w="7242" w:type="dxa"/>
            <w:vAlign w:val="center"/>
          </w:tcPr>
          <w:p w14:paraId="0B131A14" w14:textId="67C2B19D"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wyłączona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itału dodatkowego Tier I ze względu na pułap (nadwyżka ponad pułap po upływie terminów wykupu</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zap</w:t>
            </w:r>
            <w:r w:rsidRPr="00835753">
              <w:rPr>
                <w:rFonts w:ascii="Times New Roman" w:hAnsi="Times New Roman"/>
                <w:sz w:val="24"/>
              </w:rPr>
              <w:t>adalności)</w:t>
            </w:r>
          </w:p>
          <w:p w14:paraId="76DC197D" w14:textId="2FD85CDE"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wyłączona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itału dodatkowego Tier I ze względu na pułap (nadwyżka ponad pułap po upływie terminów wykupu</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zap</w:t>
            </w:r>
            <w:r w:rsidRPr="00835753">
              <w:rPr>
                <w:rFonts w:ascii="Times New Roman" w:hAnsi="Times New Roman"/>
                <w:sz w:val="24"/>
              </w:rPr>
              <w:t>adalności)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484 ust.</w:t>
            </w:r>
            <w:r w:rsidR="00835753" w:rsidRPr="00835753">
              <w:rPr>
                <w:rFonts w:ascii="Times New Roman" w:hAnsi="Times New Roman"/>
                <w:sz w:val="24"/>
              </w:rPr>
              <w:t> </w:t>
            </w:r>
            <w:r w:rsidRPr="00835753">
              <w:rPr>
                <w:rFonts w:ascii="Times New Roman" w:hAnsi="Times New Roman"/>
                <w:sz w:val="24"/>
              </w:rPr>
              <w:t>4 oraz art.</w:t>
            </w:r>
            <w:r w:rsidR="00835753" w:rsidRPr="00835753">
              <w:rPr>
                <w:rFonts w:ascii="Times New Roman" w:hAnsi="Times New Roman"/>
                <w:sz w:val="24"/>
              </w:rPr>
              <w:t> </w:t>
            </w:r>
            <w:r w:rsidRPr="00835753">
              <w:rPr>
                <w:rFonts w:ascii="Times New Roman" w:hAnsi="Times New Roman"/>
                <w:sz w:val="24"/>
              </w:rPr>
              <w:t>486 ust.</w:t>
            </w:r>
            <w:r w:rsidR="00835753" w:rsidRPr="00835753">
              <w:rPr>
                <w:rFonts w:ascii="Times New Roman" w:hAnsi="Times New Roman"/>
                <w:sz w:val="24"/>
              </w:rPr>
              <w:t> </w:t>
            </w:r>
            <w:r w:rsidRPr="00835753">
              <w:rPr>
                <w:rFonts w:ascii="Times New Roman" w:hAnsi="Times New Roman"/>
                <w:sz w:val="24"/>
              </w:rPr>
              <w:t>3</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5</w:t>
            </w:r>
            <w:r w:rsidRPr="00835753">
              <w:rPr>
                <w:rFonts w:ascii="Times New Roman" w:hAnsi="Times New Roman"/>
                <w:sz w:val="24"/>
              </w:rPr>
              <w:t xml:space="preserve"> CRR</w:t>
            </w:r>
          </w:p>
        </w:tc>
      </w:tr>
      <w:tr w:rsidR="00CE019E" w:rsidRPr="00835753" w14:paraId="522FEB34" w14:textId="77777777" w:rsidTr="001E06A3">
        <w:tc>
          <w:tcPr>
            <w:tcW w:w="1172" w:type="dxa"/>
            <w:vAlign w:val="center"/>
          </w:tcPr>
          <w:p w14:paraId="2112B6F2"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84</w:t>
            </w:r>
          </w:p>
        </w:tc>
        <w:tc>
          <w:tcPr>
            <w:tcW w:w="7242" w:type="dxa"/>
            <w:vAlign w:val="center"/>
          </w:tcPr>
          <w:p w14:paraId="66011BAF" w14:textId="318CA6AE"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Bieżący pułap</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instrumentów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 będących przedmiotem ustaleń dotyczących wycofania</w:t>
            </w:r>
          </w:p>
          <w:p w14:paraId="538FE423" w14:textId="34BDC875"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Bieżący pułap</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instrumentów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 będących przedmiotem ustaleń dotyczących wycofania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484 ust.</w:t>
            </w:r>
            <w:r w:rsidR="00835753" w:rsidRPr="00835753">
              <w:rPr>
                <w:rFonts w:ascii="Times New Roman" w:hAnsi="Times New Roman"/>
                <w:sz w:val="24"/>
              </w:rPr>
              <w:t> </w:t>
            </w:r>
            <w:r w:rsidRPr="00835753">
              <w:rPr>
                <w:rFonts w:ascii="Times New Roman" w:hAnsi="Times New Roman"/>
                <w:sz w:val="24"/>
              </w:rPr>
              <w:t>5 oraz art.</w:t>
            </w:r>
            <w:r w:rsidR="00835753" w:rsidRPr="00835753">
              <w:rPr>
                <w:rFonts w:ascii="Times New Roman" w:hAnsi="Times New Roman"/>
                <w:sz w:val="24"/>
              </w:rPr>
              <w:t> </w:t>
            </w:r>
            <w:r w:rsidRPr="00835753">
              <w:rPr>
                <w:rFonts w:ascii="Times New Roman" w:hAnsi="Times New Roman"/>
                <w:sz w:val="24"/>
              </w:rPr>
              <w:t>486 ust.</w:t>
            </w:r>
            <w:r w:rsidR="00835753" w:rsidRPr="00835753">
              <w:rPr>
                <w:rFonts w:ascii="Times New Roman" w:hAnsi="Times New Roman"/>
                <w:sz w:val="24"/>
              </w:rPr>
              <w:t> </w:t>
            </w:r>
            <w:r w:rsidRPr="00835753">
              <w:rPr>
                <w:rFonts w:ascii="Times New Roman" w:hAnsi="Times New Roman"/>
                <w:sz w:val="24"/>
              </w:rPr>
              <w:t>4</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5</w:t>
            </w:r>
            <w:r w:rsidRPr="00835753">
              <w:rPr>
                <w:rFonts w:ascii="Times New Roman" w:hAnsi="Times New Roman"/>
                <w:sz w:val="24"/>
              </w:rPr>
              <w:t xml:space="preserve"> CRR</w:t>
            </w:r>
          </w:p>
        </w:tc>
      </w:tr>
      <w:tr w:rsidR="00CE019E" w:rsidRPr="00835753" w14:paraId="33126BFD" w14:textId="77777777" w:rsidTr="001E06A3">
        <w:tc>
          <w:tcPr>
            <w:tcW w:w="1172" w:type="dxa"/>
            <w:vAlign w:val="center"/>
          </w:tcPr>
          <w:p w14:paraId="135F1797" w14:textId="77777777" w:rsidR="00CE019E" w:rsidRPr="00835753" w:rsidRDefault="00CE019E" w:rsidP="001E06A3">
            <w:pPr>
              <w:spacing w:after="200"/>
              <w:rPr>
                <w:rFonts w:ascii="Times New Roman" w:hAnsi="Times New Roman" w:cs="Times New Roman"/>
                <w:sz w:val="24"/>
              </w:rPr>
            </w:pPr>
            <w:r w:rsidRPr="00835753">
              <w:rPr>
                <w:rFonts w:ascii="Times New Roman" w:hAnsi="Times New Roman"/>
                <w:sz w:val="24"/>
              </w:rPr>
              <w:t>85</w:t>
            </w:r>
          </w:p>
        </w:tc>
        <w:tc>
          <w:tcPr>
            <w:tcW w:w="7242" w:type="dxa"/>
            <w:vAlign w:val="center"/>
          </w:tcPr>
          <w:p w14:paraId="4218AC56" w14:textId="11516510"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t>Kwota wyłączona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itału Tier II ze względu na pułap (nadwyżka ponad pułap po upływie terminów wykupu</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zap</w:t>
            </w:r>
            <w:r w:rsidRPr="00835753">
              <w:rPr>
                <w:rFonts w:ascii="Times New Roman" w:hAnsi="Times New Roman"/>
                <w:sz w:val="24"/>
              </w:rPr>
              <w:t>adalności)</w:t>
            </w:r>
          </w:p>
          <w:p w14:paraId="479826B9" w14:textId="7F20456B" w:rsidR="00CE019E" w:rsidRPr="00835753" w:rsidRDefault="00CE019E" w:rsidP="001E06A3">
            <w:pPr>
              <w:spacing w:after="200"/>
              <w:jc w:val="both"/>
              <w:rPr>
                <w:rFonts w:ascii="Times New Roman" w:hAnsi="Times New Roman" w:cs="Times New Roman"/>
                <w:sz w:val="24"/>
              </w:rPr>
            </w:pPr>
            <w:r w:rsidRPr="00835753">
              <w:rPr>
                <w:rFonts w:ascii="Times New Roman" w:hAnsi="Times New Roman"/>
                <w:sz w:val="24"/>
              </w:rPr>
              <w:lastRenderedPageBreak/>
              <w:t>Kwota wyłączona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itału Tier II ze względu na pułap (nadwyżka ponad pułap po upływie terminów wykupu</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zap</w:t>
            </w:r>
            <w:r w:rsidRPr="00835753">
              <w:rPr>
                <w:rFonts w:ascii="Times New Roman" w:hAnsi="Times New Roman"/>
                <w:sz w:val="24"/>
              </w:rPr>
              <w:t>adalności)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484 ust.</w:t>
            </w:r>
            <w:r w:rsidR="00835753" w:rsidRPr="00835753">
              <w:rPr>
                <w:rFonts w:ascii="Times New Roman" w:hAnsi="Times New Roman"/>
                <w:sz w:val="24"/>
              </w:rPr>
              <w:t> </w:t>
            </w:r>
            <w:r w:rsidRPr="00835753">
              <w:rPr>
                <w:rFonts w:ascii="Times New Roman" w:hAnsi="Times New Roman"/>
                <w:sz w:val="24"/>
              </w:rPr>
              <w:t>5 oraz art.</w:t>
            </w:r>
            <w:r w:rsidR="00835753" w:rsidRPr="00835753">
              <w:rPr>
                <w:rFonts w:ascii="Times New Roman" w:hAnsi="Times New Roman"/>
                <w:sz w:val="24"/>
              </w:rPr>
              <w:t> </w:t>
            </w:r>
            <w:r w:rsidRPr="00835753">
              <w:rPr>
                <w:rFonts w:ascii="Times New Roman" w:hAnsi="Times New Roman"/>
                <w:sz w:val="24"/>
              </w:rPr>
              <w:t>486 ust.</w:t>
            </w:r>
            <w:r w:rsidR="00835753" w:rsidRPr="00835753">
              <w:rPr>
                <w:rFonts w:ascii="Times New Roman" w:hAnsi="Times New Roman"/>
                <w:sz w:val="24"/>
              </w:rPr>
              <w:t> </w:t>
            </w:r>
            <w:r w:rsidRPr="00835753">
              <w:rPr>
                <w:rFonts w:ascii="Times New Roman" w:hAnsi="Times New Roman"/>
                <w:sz w:val="24"/>
              </w:rPr>
              <w:t>4</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5</w:t>
            </w:r>
            <w:r w:rsidRPr="00835753">
              <w:rPr>
                <w:rFonts w:ascii="Times New Roman" w:hAnsi="Times New Roman"/>
                <w:sz w:val="24"/>
              </w:rPr>
              <w:t xml:space="preserve"> CRR</w:t>
            </w:r>
          </w:p>
        </w:tc>
      </w:tr>
    </w:tbl>
    <w:p w14:paraId="64C58826" w14:textId="77777777" w:rsidR="00CE019E" w:rsidRPr="00835753" w:rsidRDefault="00CE019E" w:rsidP="00CE019E">
      <w:pPr>
        <w:jc w:val="both"/>
        <w:rPr>
          <w:rFonts w:ascii="Times New Roman" w:hAnsi="Times New Roman" w:cs="Times New Roman"/>
          <w:bCs/>
          <w:sz w:val="24"/>
        </w:rPr>
      </w:pPr>
    </w:p>
    <w:p w14:paraId="0904FF56" w14:textId="77777777" w:rsidR="00CE019E" w:rsidRPr="00835753" w:rsidRDefault="00CE019E" w:rsidP="00CE019E">
      <w:pPr>
        <w:rPr>
          <w:rFonts w:ascii="Times New Roman" w:hAnsi="Times New Roman" w:cs="Times New Roman"/>
          <w:sz w:val="24"/>
        </w:rPr>
      </w:pPr>
    </w:p>
    <w:p w14:paraId="1FC43E71" w14:textId="77777777" w:rsidR="00CE019E" w:rsidRPr="00835753" w:rsidRDefault="00CE019E" w:rsidP="00CE019E">
      <w:pPr>
        <w:rPr>
          <w:rFonts w:ascii="Times New Roman" w:hAnsi="Times New Roman" w:cs="Times New Roman"/>
          <w:sz w:val="24"/>
        </w:rPr>
      </w:pPr>
      <w:r w:rsidRPr="00835753">
        <w:br w:type="page"/>
      </w:r>
    </w:p>
    <w:p w14:paraId="469C315E" w14:textId="069B4EDB" w:rsidR="00CE019E" w:rsidRPr="00835753" w:rsidRDefault="00CD362D" w:rsidP="00CE019E">
      <w:pPr>
        <w:rPr>
          <w:rFonts w:ascii="Times New Roman" w:hAnsi="Times New Roman" w:cs="Times New Roman"/>
          <w:b/>
          <w:bCs/>
          <w:sz w:val="24"/>
        </w:rPr>
      </w:pPr>
      <w:r w:rsidRPr="00835753">
        <w:rPr>
          <w:rFonts w:ascii="Times New Roman" w:hAnsi="Times New Roman"/>
          <w:b/>
          <w:bCs/>
          <w:sz w:val="24"/>
        </w:rPr>
        <w:lastRenderedPageBreak/>
        <w:t>Wzór EU CC2 – Uzgodnienie regulacyjnych funduszy własnych</w:t>
      </w:r>
      <w:r w:rsidR="00835753" w:rsidRPr="00835753">
        <w:rPr>
          <w:rFonts w:ascii="Times New Roman" w:hAnsi="Times New Roman"/>
          <w:b/>
          <w:bCs/>
          <w:sz w:val="24"/>
        </w:rPr>
        <w:t xml:space="preserve"> z</w:t>
      </w:r>
      <w:r w:rsidR="00835753">
        <w:rPr>
          <w:rFonts w:ascii="Times New Roman" w:hAnsi="Times New Roman"/>
          <w:b/>
          <w:bCs/>
          <w:sz w:val="24"/>
        </w:rPr>
        <w:t> </w:t>
      </w:r>
      <w:r w:rsidR="00835753" w:rsidRPr="00835753">
        <w:rPr>
          <w:rFonts w:ascii="Times New Roman" w:hAnsi="Times New Roman"/>
          <w:b/>
          <w:bCs/>
          <w:sz w:val="24"/>
        </w:rPr>
        <w:t>bil</w:t>
      </w:r>
      <w:r w:rsidRPr="00835753">
        <w:rPr>
          <w:rFonts w:ascii="Times New Roman" w:hAnsi="Times New Roman"/>
          <w:b/>
          <w:bCs/>
          <w:sz w:val="24"/>
        </w:rPr>
        <w:t>ansem</w:t>
      </w:r>
      <w:r w:rsidR="00835753" w:rsidRPr="00835753">
        <w:rPr>
          <w:rFonts w:ascii="Times New Roman" w:hAnsi="Times New Roman"/>
          <w:b/>
          <w:bCs/>
          <w:sz w:val="24"/>
        </w:rPr>
        <w:t xml:space="preserve"> w</w:t>
      </w:r>
      <w:r w:rsidR="00835753">
        <w:rPr>
          <w:rFonts w:ascii="Times New Roman" w:hAnsi="Times New Roman"/>
          <w:b/>
          <w:bCs/>
          <w:sz w:val="24"/>
        </w:rPr>
        <w:t> </w:t>
      </w:r>
      <w:r w:rsidR="00835753" w:rsidRPr="00835753">
        <w:rPr>
          <w:rFonts w:ascii="Times New Roman" w:hAnsi="Times New Roman"/>
          <w:b/>
          <w:bCs/>
          <w:sz w:val="24"/>
        </w:rPr>
        <w:t>zba</w:t>
      </w:r>
      <w:r w:rsidRPr="00835753">
        <w:rPr>
          <w:rFonts w:ascii="Times New Roman" w:hAnsi="Times New Roman"/>
          <w:b/>
          <w:bCs/>
          <w:sz w:val="24"/>
        </w:rPr>
        <w:t>danym sprawozdaniu finansowym</w:t>
      </w:r>
    </w:p>
    <w:p w14:paraId="711EC574" w14:textId="77777777" w:rsidR="00CE019E" w:rsidRPr="00835753" w:rsidRDefault="00CE019E" w:rsidP="00CE019E">
      <w:pPr>
        <w:rPr>
          <w:rFonts w:ascii="Times New Roman" w:hAnsi="Times New Roman" w:cs="Times New Roman"/>
          <w:b/>
          <w:sz w:val="24"/>
        </w:rPr>
      </w:pPr>
    </w:p>
    <w:p w14:paraId="4489D8F8" w14:textId="6E047504" w:rsidR="00CE019E" w:rsidRPr="00835753" w:rsidRDefault="00CE019E" w:rsidP="00E70D84">
      <w:pPr>
        <w:numPr>
          <w:ilvl w:val="0"/>
          <w:numId w:val="19"/>
        </w:numPr>
        <w:spacing w:before="120" w:after="120"/>
        <w:ind w:left="357" w:hanging="357"/>
        <w:jc w:val="both"/>
        <w:rPr>
          <w:rFonts w:ascii="Times New Roman" w:hAnsi="Times New Roman" w:cs="Times New Roman"/>
          <w:bCs/>
          <w:sz w:val="24"/>
        </w:rPr>
      </w:pPr>
      <w:r w:rsidRPr="00835753">
        <w:rPr>
          <w:rFonts w:ascii="Times New Roman" w:hAnsi="Times New Roman"/>
          <w:sz w:val="24"/>
        </w:rPr>
        <w:t>W celu wypełnienia wzoru EU CC2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 xml:space="preserve">ączniku VII do niniejszego rozporządzenia wykonawczego </w:t>
      </w:r>
      <w:r w:rsidRPr="00835753">
        <w:rPr>
          <w:rFonts w:ascii="Times New Roman" w:hAnsi="Times New Roman"/>
          <w:bCs/>
          <w:sz w:val="24"/>
        </w:rPr>
        <w:t xml:space="preserve">instytucje </w:t>
      </w:r>
      <w:r w:rsidRPr="00835753">
        <w:rPr>
          <w:rFonts w:ascii="Times New Roman" w:hAnsi="Times New Roman"/>
          <w:sz w:val="24"/>
        </w:rPr>
        <w:t>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437 lit.</w:t>
      </w:r>
      <w:r w:rsidR="00835753" w:rsidRPr="00835753">
        <w:rPr>
          <w:rFonts w:ascii="Times New Roman" w:hAnsi="Times New Roman"/>
          <w:bCs/>
          <w:sz w:val="24"/>
        </w:rPr>
        <w:t> </w:t>
      </w:r>
      <w:r w:rsidRPr="00835753">
        <w:rPr>
          <w:rFonts w:ascii="Times New Roman" w:hAnsi="Times New Roman"/>
          <w:bCs/>
          <w:sz w:val="24"/>
        </w:rPr>
        <w:t xml:space="preserve">a) </w:t>
      </w:r>
      <w:r w:rsidRPr="00835753">
        <w:rPr>
          <w:rFonts w:ascii="Times New Roman" w:hAnsi="Times New Roman"/>
          <w:color w:val="000000"/>
          <w:sz w:val="24"/>
        </w:rPr>
        <w:t>CRR</w:t>
      </w:r>
      <w:r w:rsidRPr="00835753">
        <w:rPr>
          <w:rFonts w:ascii="Times New Roman" w:hAnsi="Times New Roman"/>
          <w:bCs/>
          <w:sz w:val="24"/>
        </w:rPr>
        <w:t>,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ins</w:t>
      </w:r>
      <w:r w:rsidRPr="00835753">
        <w:rPr>
          <w:rFonts w:ascii="Times New Roman" w:hAnsi="Times New Roman"/>
          <w:bCs/>
          <w:sz w:val="24"/>
        </w:rPr>
        <w:t>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p>
    <w:p w14:paraId="7755763C" w14:textId="489A4F1C" w:rsidR="00CE019E" w:rsidRPr="00835753" w:rsidRDefault="00CE019E" w:rsidP="00E70D84">
      <w:pPr>
        <w:numPr>
          <w:ilvl w:val="0"/>
          <w:numId w:val="19"/>
        </w:numPr>
        <w:spacing w:before="120" w:after="120"/>
        <w:ind w:left="357" w:hanging="357"/>
        <w:jc w:val="both"/>
        <w:rPr>
          <w:rFonts w:ascii="Times New Roman" w:hAnsi="Times New Roman" w:cs="Times New Roman"/>
          <w:bCs/>
          <w:sz w:val="24"/>
        </w:rPr>
      </w:pPr>
      <w:r w:rsidRPr="00835753">
        <w:rPr>
          <w:rFonts w:ascii="Times New Roman" w:hAnsi="Times New Roman"/>
          <w:bCs/>
          <w:sz w:val="24"/>
        </w:rPr>
        <w:t>Instytucje ujawniają bilans ujęty</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ich</w:t>
      </w:r>
      <w:r w:rsidRPr="00835753">
        <w:rPr>
          <w:rFonts w:ascii="Times New Roman" w:hAnsi="Times New Roman"/>
          <w:bCs/>
          <w:sz w:val="24"/>
        </w:rPr>
        <w:t xml:space="preserve"> opublikowanych sprawozdaniach finansowych. Sprawozdaniami finansowymi są zbadane sprawozdania finansowe</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odn</w:t>
      </w:r>
      <w:r w:rsidRPr="00835753">
        <w:rPr>
          <w:rFonts w:ascii="Times New Roman" w:hAnsi="Times New Roman"/>
          <w:bCs/>
          <w:sz w:val="24"/>
        </w:rPr>
        <w:t>iesieniu do informacji ujawnianych na koniec roku.</w:t>
      </w:r>
    </w:p>
    <w:p w14:paraId="24A5DB54" w14:textId="635810B0" w:rsidR="00CE019E" w:rsidRPr="00835753" w:rsidRDefault="00CE019E" w:rsidP="00E70D84">
      <w:pPr>
        <w:numPr>
          <w:ilvl w:val="0"/>
          <w:numId w:val="19"/>
        </w:numPr>
        <w:spacing w:before="120" w:after="120"/>
        <w:ind w:left="357" w:hanging="357"/>
        <w:jc w:val="both"/>
        <w:rPr>
          <w:rFonts w:ascii="Times New Roman" w:hAnsi="Times New Roman" w:cs="Times New Roman"/>
          <w:bCs/>
          <w:sz w:val="24"/>
        </w:rPr>
      </w:pPr>
      <w:r w:rsidRPr="00835753">
        <w:rPr>
          <w:rFonts w:ascii="Times New Roman" w:hAnsi="Times New Roman"/>
          <w:bCs/>
          <w:sz w:val="24"/>
        </w:rPr>
        <w:t>Wiersze</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tym</w:t>
      </w:r>
      <w:r w:rsidRPr="00835753">
        <w:rPr>
          <w:rFonts w:ascii="Times New Roman" w:hAnsi="Times New Roman"/>
          <w:bCs/>
          <w:sz w:val="24"/>
        </w:rPr>
        <w:t xml:space="preserve"> wzorze mają format elastyczny i są ujawniane przez instytucje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ich</w:t>
      </w:r>
      <w:r w:rsidRPr="00835753">
        <w:rPr>
          <w:rFonts w:ascii="Times New Roman" w:hAnsi="Times New Roman"/>
          <w:bCs/>
          <w:sz w:val="24"/>
        </w:rPr>
        <w:t xml:space="preserve"> sprawozdaniami finansowymi. Pozycje funduszy własnych</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zba</w:t>
      </w:r>
      <w:r w:rsidRPr="00835753">
        <w:rPr>
          <w:rFonts w:ascii="Times New Roman" w:hAnsi="Times New Roman"/>
          <w:bCs/>
          <w:sz w:val="24"/>
        </w:rPr>
        <w:t>danych sprawozdaniach finansowych obejmują wszystkie pozycje, które są składnikami regulacyjnych funduszy własnych lub które odlicza się od regulacyjnych funduszy własnych,</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tym</w:t>
      </w:r>
      <w:r w:rsidRPr="00835753">
        <w:rPr>
          <w:rFonts w:ascii="Times New Roman" w:hAnsi="Times New Roman"/>
          <w:bCs/>
          <w:sz w:val="24"/>
        </w:rPr>
        <w:t xml:space="preserve"> kapitał własny, zobowiązania, takie jak dług, lub inne pozycje</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bil</w:t>
      </w:r>
      <w:r w:rsidRPr="00835753">
        <w:rPr>
          <w:rFonts w:ascii="Times New Roman" w:hAnsi="Times New Roman"/>
          <w:bCs/>
          <w:sz w:val="24"/>
        </w:rPr>
        <w:t>ansie, które mają wpływ na regulacyjne fundusze własne, takie jak wartości niematerialne</w:t>
      </w:r>
      <w:r w:rsidR="00835753" w:rsidRPr="00835753">
        <w:rPr>
          <w:rFonts w:ascii="Times New Roman" w:hAnsi="Times New Roman"/>
          <w:bCs/>
          <w:sz w:val="24"/>
        </w:rPr>
        <w:t xml:space="preserve"> i</w:t>
      </w:r>
      <w:r w:rsidR="00835753">
        <w:rPr>
          <w:rFonts w:ascii="Times New Roman" w:hAnsi="Times New Roman"/>
          <w:bCs/>
          <w:sz w:val="24"/>
        </w:rPr>
        <w:t> </w:t>
      </w:r>
      <w:r w:rsidR="00835753" w:rsidRPr="00835753">
        <w:rPr>
          <w:rFonts w:ascii="Times New Roman" w:hAnsi="Times New Roman"/>
          <w:bCs/>
          <w:sz w:val="24"/>
        </w:rPr>
        <w:t>pra</w:t>
      </w:r>
      <w:r w:rsidRPr="00835753">
        <w:rPr>
          <w:rFonts w:ascii="Times New Roman" w:hAnsi="Times New Roman"/>
          <w:bCs/>
          <w:sz w:val="24"/>
        </w:rPr>
        <w:t>wne, wartość firmy, aktywa</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tyt</w:t>
      </w:r>
      <w:r w:rsidRPr="00835753">
        <w:rPr>
          <w:rFonts w:ascii="Times New Roman" w:hAnsi="Times New Roman"/>
          <w:bCs/>
          <w:sz w:val="24"/>
        </w:rPr>
        <w:t>ułu odroczonego podatku dochodowego</w:t>
      </w:r>
      <w:r w:rsidR="00835753" w:rsidRPr="00835753">
        <w:rPr>
          <w:rFonts w:ascii="Times New Roman" w:hAnsi="Times New Roman"/>
          <w:bCs/>
          <w:sz w:val="24"/>
        </w:rPr>
        <w:t>. W</w:t>
      </w:r>
      <w:r w:rsidR="00835753">
        <w:rPr>
          <w:rFonts w:ascii="Times New Roman" w:hAnsi="Times New Roman"/>
          <w:bCs/>
          <w:sz w:val="24"/>
        </w:rPr>
        <w:t> </w:t>
      </w:r>
      <w:r w:rsidR="00835753" w:rsidRPr="00835753">
        <w:rPr>
          <w:rFonts w:ascii="Times New Roman" w:hAnsi="Times New Roman"/>
          <w:bCs/>
          <w:sz w:val="24"/>
        </w:rPr>
        <w:t>raz</w:t>
      </w:r>
      <w:r w:rsidRPr="00835753">
        <w:rPr>
          <w:rFonts w:ascii="Times New Roman" w:hAnsi="Times New Roman"/>
          <w:bCs/>
          <w:sz w:val="24"/>
        </w:rPr>
        <w:t>ie potrzeby instytucje rozszerzają zakres pozycji funduszy własnych</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bil</w:t>
      </w:r>
      <w:r w:rsidRPr="00835753">
        <w:rPr>
          <w:rFonts w:ascii="Times New Roman" w:hAnsi="Times New Roman"/>
          <w:bCs/>
          <w:sz w:val="24"/>
        </w:rPr>
        <w:t>ansie</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cel</w:t>
      </w:r>
      <w:r w:rsidRPr="00835753">
        <w:rPr>
          <w:rFonts w:ascii="Times New Roman" w:hAnsi="Times New Roman"/>
          <w:bCs/>
          <w:sz w:val="24"/>
        </w:rPr>
        <w:t>u zapewnienia, aby wszystkie elementy składowe uwzględnione we wzorze do celów ujawniania informacji na temat struktury funduszy własnych (wzór EU CC1) były ujmowane osobno. Instytucje rozszerzają zakres elementów bilansu jedynie do takiego poziomu szczegółowości, jaki jest konieczny do uzyskania elementów składowych wymaganych we wzorze EU CC1. Ujawnianie informacji musi być proporcjonalne do złożoności bilansu instytucji.</w:t>
      </w:r>
    </w:p>
    <w:p w14:paraId="09DBDEFD" w14:textId="6F188B0C" w:rsidR="00CE019E" w:rsidRPr="00835753" w:rsidRDefault="00CE019E" w:rsidP="00E70D84">
      <w:pPr>
        <w:numPr>
          <w:ilvl w:val="0"/>
          <w:numId w:val="19"/>
        </w:numPr>
        <w:spacing w:before="120" w:after="120"/>
        <w:ind w:left="357" w:hanging="357"/>
        <w:jc w:val="both"/>
        <w:rPr>
          <w:rFonts w:ascii="Times New Roman" w:hAnsi="Times New Roman" w:cs="Times New Roman"/>
          <w:bCs/>
          <w:sz w:val="24"/>
        </w:rPr>
      </w:pPr>
      <w:r w:rsidRPr="00835753">
        <w:rPr>
          <w:rFonts w:ascii="Times New Roman" w:hAnsi="Times New Roman"/>
          <w:bCs/>
          <w:sz w:val="24"/>
        </w:rPr>
        <w:t>Kolumny mają ustalony format i są ujawniane</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nas</w:t>
      </w:r>
      <w:r w:rsidRPr="00835753">
        <w:rPr>
          <w:rFonts w:ascii="Times New Roman" w:hAnsi="Times New Roman"/>
          <w:bCs/>
          <w:sz w:val="24"/>
        </w:rPr>
        <w:t>tępujący sposób:</w:t>
      </w:r>
    </w:p>
    <w:p w14:paraId="53064F99" w14:textId="10FBD752" w:rsidR="00CE019E" w:rsidRPr="00835753"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sidRPr="00835753">
        <w:rPr>
          <w:rFonts w:ascii="Times New Roman" w:hAnsi="Times New Roman"/>
          <w:sz w:val="24"/>
        </w:rPr>
        <w:t>Kolumna a): Instytucje uwzględniają dane zgłoszone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bil</w:t>
      </w:r>
      <w:r w:rsidRPr="00835753">
        <w:rPr>
          <w:rFonts w:ascii="Times New Roman" w:hAnsi="Times New Roman"/>
          <w:sz w:val="24"/>
        </w:rPr>
        <w:t>ansie ujętym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ich</w:t>
      </w:r>
      <w:r w:rsidRPr="00835753">
        <w:rPr>
          <w:rFonts w:ascii="Times New Roman" w:hAnsi="Times New Roman"/>
          <w:sz w:val="24"/>
        </w:rPr>
        <w:t xml:space="preserve"> opublikowanych sprawozdaniach finansowych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rac</w:t>
      </w:r>
      <w:r w:rsidRPr="00835753">
        <w:rPr>
          <w:rFonts w:ascii="Times New Roman" w:hAnsi="Times New Roman"/>
          <w:sz w:val="24"/>
        </w:rPr>
        <w:t>hunkowym zakresem konsolidacji.</w:t>
      </w:r>
    </w:p>
    <w:p w14:paraId="3428898F" w14:textId="3B3E5BD7" w:rsidR="00CE019E" w:rsidRPr="00835753"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sidRPr="00835753">
        <w:rPr>
          <w:rFonts w:ascii="Times New Roman" w:hAnsi="Times New Roman"/>
          <w:sz w:val="24"/>
        </w:rPr>
        <w:t>Kolumna b): Instytucje ujawniają dane odpowiadające zakresowi konsolidacji ostrożnościowej.</w:t>
      </w:r>
    </w:p>
    <w:p w14:paraId="1231F8C9" w14:textId="4FAF2CA9" w:rsidR="00CE019E" w:rsidRPr="00835753"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sidRPr="00835753">
        <w:rPr>
          <w:rFonts w:ascii="Times New Roman" w:hAnsi="Times New Roman"/>
          <w:sz w:val="24"/>
        </w:rPr>
        <w:t>Kolumna c): Instytucje uwzględniają odniesienia między pozycjami funduszy własnych we wzorze EU CC2</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owiednimi pozycjami we wzorze EU CC1 do celów ujawniania informacji na temat funduszy własnych. Odniesienie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c) wzoru EU CC2 będzie powiązane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b) wzoru CC1.</w:t>
      </w:r>
    </w:p>
    <w:p w14:paraId="2221F596" w14:textId="4424AAFA" w:rsidR="00CE019E" w:rsidRPr="00835753" w:rsidRDefault="00CE019E" w:rsidP="00E70D84">
      <w:pPr>
        <w:numPr>
          <w:ilvl w:val="0"/>
          <w:numId w:val="19"/>
        </w:numPr>
        <w:spacing w:before="120" w:after="120"/>
        <w:ind w:left="357" w:hanging="357"/>
        <w:jc w:val="both"/>
        <w:rPr>
          <w:rFonts w:ascii="Times New Roman" w:hAnsi="Times New Roman" w:cs="Times New Roman"/>
          <w:bCs/>
          <w:sz w:val="24"/>
        </w:rPr>
      </w:pPr>
      <w:r w:rsidRPr="00835753">
        <w:rPr>
          <w:rFonts w:ascii="Times New Roman" w:hAnsi="Times New Roman"/>
          <w:bCs/>
          <w:sz w:val="24"/>
        </w:rPr>
        <w:t>W następujących przypadkach, jeżeli zakres konsolidacji rachunkowości</w:t>
      </w:r>
      <w:r w:rsidR="00835753" w:rsidRPr="00835753">
        <w:rPr>
          <w:rFonts w:ascii="Times New Roman" w:hAnsi="Times New Roman"/>
          <w:bCs/>
          <w:sz w:val="24"/>
        </w:rPr>
        <w:t xml:space="preserve"> i</w:t>
      </w:r>
      <w:r w:rsidR="00835753">
        <w:rPr>
          <w:rFonts w:ascii="Times New Roman" w:hAnsi="Times New Roman"/>
          <w:bCs/>
          <w:sz w:val="24"/>
        </w:rPr>
        <w:t> </w:t>
      </w:r>
      <w:r w:rsidR="00835753" w:rsidRPr="00835753">
        <w:rPr>
          <w:rFonts w:ascii="Times New Roman" w:hAnsi="Times New Roman"/>
          <w:bCs/>
          <w:sz w:val="24"/>
        </w:rPr>
        <w:t>kon</w:t>
      </w:r>
      <w:r w:rsidRPr="00835753">
        <w:rPr>
          <w:rFonts w:ascii="Times New Roman" w:hAnsi="Times New Roman"/>
          <w:bCs/>
          <w:sz w:val="24"/>
        </w:rPr>
        <w:t>solidacji ostrożnościowej instytucji jest dokładnie taki sam, wówczas kolumny a) i b)</w:t>
      </w:r>
      <w:r w:rsidR="00835753" w:rsidRPr="00835753">
        <w:rPr>
          <w:rFonts w:ascii="Times New Roman" w:hAnsi="Times New Roman"/>
          <w:bCs/>
          <w:sz w:val="24"/>
        </w:rPr>
        <w:t xml:space="preserve"> </w:t>
      </w:r>
      <w:r w:rsidR="00835753" w:rsidRPr="00835753">
        <w:rPr>
          <w:rFonts w:ascii="Times New Roman" w:hAnsi="Times New Roman"/>
          <w:sz w:val="24"/>
        </w:rPr>
        <w:t>w</w:t>
      </w:r>
      <w:r w:rsidR="00835753">
        <w:rPr>
          <w:rFonts w:ascii="Times New Roman" w:hAnsi="Times New Roman"/>
          <w:bCs/>
          <w:sz w:val="24"/>
        </w:rPr>
        <w:t> </w:t>
      </w:r>
      <w:r w:rsidR="00835753" w:rsidRPr="00835753">
        <w:rPr>
          <w:rFonts w:ascii="Times New Roman" w:hAnsi="Times New Roman"/>
          <w:sz w:val="24"/>
        </w:rPr>
        <w:t>nin</w:t>
      </w:r>
      <w:r w:rsidRPr="00835753">
        <w:rPr>
          <w:rFonts w:ascii="Times New Roman" w:hAnsi="Times New Roman"/>
          <w:sz w:val="24"/>
        </w:rPr>
        <w:t>iejszym wzorze</w:t>
      </w:r>
      <w:r w:rsidRPr="00835753">
        <w:rPr>
          <w:rFonts w:ascii="Times New Roman" w:hAnsi="Times New Roman"/>
          <w:bCs/>
          <w:sz w:val="24"/>
        </w:rPr>
        <w:t xml:space="preserve"> należy połączyć,</w:t>
      </w:r>
      <w:r w:rsidR="00835753" w:rsidRPr="00835753">
        <w:rPr>
          <w:rFonts w:ascii="Times New Roman" w:hAnsi="Times New Roman"/>
          <w:bCs/>
          <w:sz w:val="24"/>
        </w:rPr>
        <w:t xml:space="preserve"> a</w:t>
      </w:r>
      <w:r w:rsidR="00835753">
        <w:rPr>
          <w:rFonts w:ascii="Times New Roman" w:hAnsi="Times New Roman"/>
          <w:bCs/>
          <w:sz w:val="24"/>
        </w:rPr>
        <w:t> </w:t>
      </w:r>
      <w:r w:rsidR="00835753" w:rsidRPr="00835753">
        <w:rPr>
          <w:rFonts w:ascii="Times New Roman" w:hAnsi="Times New Roman"/>
          <w:bCs/>
          <w:sz w:val="24"/>
        </w:rPr>
        <w:t>fak</w:t>
      </w:r>
      <w:r w:rsidRPr="00835753">
        <w:rPr>
          <w:rFonts w:ascii="Times New Roman" w:hAnsi="Times New Roman"/>
          <w:bCs/>
          <w:sz w:val="24"/>
        </w:rPr>
        <w:t>t ten wyraźnie ujawnić:</w:t>
      </w:r>
    </w:p>
    <w:p w14:paraId="0BD748AC" w14:textId="773F6AC5" w:rsidR="00CE019E" w:rsidRPr="00835753" w:rsidRDefault="00CE019E" w:rsidP="00E70D84">
      <w:pPr>
        <w:pStyle w:val="numberedparagraph"/>
        <w:numPr>
          <w:ilvl w:val="1"/>
          <w:numId w:val="20"/>
        </w:numPr>
        <w:spacing w:line="240" w:lineRule="auto"/>
        <w:ind w:left="709"/>
        <w:rPr>
          <w:rFonts w:ascii="Times New Roman" w:hAnsi="Times New Roman" w:cs="Times New Roman"/>
          <w:bCs/>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przypadku gdy instytucje wypełniają obowiązki określone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ósmej CRR na zasadzie skonsolidowanej lub subskonsolidowanej, lecz zakres</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oda konsolidacji wykorzystywane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bilansu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awozdaniu finansowym są identyczne jak zakres</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oda konsolidacji zdefiniowane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pierwszą tytuł II rozdział 2 CRR,</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tytucje wyraźnie stwierdzają brak różnic pomiędzy poszczególnymi zakresami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odami konsolidacji;</w:t>
      </w:r>
    </w:p>
    <w:p w14:paraId="5D0BA568" w14:textId="77777777" w:rsidR="00CE019E" w:rsidRPr="00835753" w:rsidRDefault="00CE019E" w:rsidP="00CE019E">
      <w:pPr>
        <w:ind w:left="426"/>
        <w:jc w:val="both"/>
        <w:rPr>
          <w:rFonts w:ascii="Times New Roman" w:hAnsi="Times New Roman" w:cs="Times New Roman"/>
          <w:bCs/>
          <w:sz w:val="24"/>
        </w:rPr>
      </w:pPr>
    </w:p>
    <w:p w14:paraId="22D56618" w14:textId="40691850" w:rsidR="00CE019E" w:rsidRPr="00835753" w:rsidRDefault="00CE019E" w:rsidP="00E70D84">
      <w:pPr>
        <w:pStyle w:val="numberedparagraph"/>
        <w:numPr>
          <w:ilvl w:val="1"/>
          <w:numId w:val="20"/>
        </w:numPr>
        <w:spacing w:line="240" w:lineRule="auto"/>
        <w:ind w:left="709"/>
        <w:rPr>
          <w:rFonts w:ascii="Times New Roman" w:hAnsi="Times New Roman" w:cs="Times New Roman"/>
          <w:bCs/>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przypadku gdy instytucje wypełniają obowiązki określone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ósmej CRR na zasadzie indywidualnej.</w:t>
      </w:r>
    </w:p>
    <w:p w14:paraId="6FBA5BFD" w14:textId="77777777" w:rsidR="00CE019E" w:rsidRPr="00835753" w:rsidRDefault="00CE019E" w:rsidP="00CE019E">
      <w:pPr>
        <w:pStyle w:val="ListParagraph"/>
        <w:rPr>
          <w:rFonts w:ascii="Times New Roman" w:hAnsi="Times New Roman"/>
          <w:bCs/>
          <w:sz w:val="24"/>
          <w:szCs w:val="24"/>
        </w:rPr>
      </w:pPr>
    </w:p>
    <w:p w14:paraId="5B67FEBB" w14:textId="3F3F32ED" w:rsidR="00CE019E" w:rsidRPr="00835753" w:rsidRDefault="00D95507" w:rsidP="00CE019E">
      <w:pPr>
        <w:rPr>
          <w:rFonts w:ascii="Times New Roman" w:hAnsi="Times New Roman" w:cs="Times New Roman"/>
          <w:b/>
          <w:bCs/>
          <w:sz w:val="24"/>
        </w:rPr>
      </w:pPr>
      <w:r w:rsidRPr="00835753">
        <w:rPr>
          <w:rFonts w:ascii="Times New Roman" w:hAnsi="Times New Roman"/>
          <w:b/>
          <w:bCs/>
          <w:sz w:val="24"/>
        </w:rPr>
        <w:t>Tabela EU CCA – Główne cechy regulacyjnych instrumentów funduszy własnych</w:t>
      </w:r>
      <w:r w:rsidR="00835753" w:rsidRPr="00835753">
        <w:rPr>
          <w:rFonts w:ascii="Times New Roman" w:hAnsi="Times New Roman"/>
          <w:b/>
          <w:bCs/>
          <w:sz w:val="24"/>
        </w:rPr>
        <w:t xml:space="preserve"> i</w:t>
      </w:r>
      <w:r w:rsidR="00835753">
        <w:rPr>
          <w:rFonts w:ascii="Times New Roman" w:hAnsi="Times New Roman"/>
          <w:b/>
          <w:bCs/>
          <w:sz w:val="24"/>
        </w:rPr>
        <w:t> </w:t>
      </w:r>
      <w:r w:rsidR="00835753" w:rsidRPr="00835753">
        <w:rPr>
          <w:rFonts w:ascii="Times New Roman" w:hAnsi="Times New Roman"/>
          <w:b/>
          <w:bCs/>
          <w:sz w:val="24"/>
        </w:rPr>
        <w:t>ins</w:t>
      </w:r>
      <w:r w:rsidRPr="00835753">
        <w:rPr>
          <w:rFonts w:ascii="Times New Roman" w:hAnsi="Times New Roman"/>
          <w:b/>
          <w:bCs/>
          <w:sz w:val="24"/>
        </w:rPr>
        <w:t>trumentów zobowiązań kwalifikowalnych</w:t>
      </w:r>
    </w:p>
    <w:p w14:paraId="3FA435A8" w14:textId="77777777" w:rsidR="00CE019E" w:rsidRPr="00835753" w:rsidRDefault="00CE019E" w:rsidP="00CE019E">
      <w:pPr>
        <w:rPr>
          <w:rFonts w:ascii="Times New Roman" w:hAnsi="Times New Roman" w:cs="Times New Roman"/>
          <w:b/>
          <w:bCs/>
          <w:sz w:val="24"/>
        </w:rPr>
      </w:pPr>
    </w:p>
    <w:p w14:paraId="19AB5330" w14:textId="122FB2BB" w:rsidR="00CE019E" w:rsidRPr="00835753" w:rsidRDefault="00CE019E" w:rsidP="00E70D84">
      <w:pPr>
        <w:numPr>
          <w:ilvl w:val="0"/>
          <w:numId w:val="19"/>
        </w:numPr>
        <w:spacing w:before="120" w:after="120"/>
        <w:ind w:left="357" w:hanging="357"/>
        <w:jc w:val="both"/>
        <w:rPr>
          <w:rFonts w:ascii="Times New Roman" w:hAnsi="Times New Roman" w:cs="Times New Roman"/>
          <w:bCs/>
          <w:sz w:val="24"/>
        </w:rPr>
      </w:pPr>
      <w:r w:rsidRPr="00835753">
        <w:rPr>
          <w:rFonts w:ascii="Times New Roman" w:hAnsi="Times New Roman"/>
          <w:sz w:val="24"/>
        </w:rPr>
        <w:t>W celu wypełnienia tabeli EU CCA zamieszczonej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 xml:space="preserve">ączniku VII do niniejszego rozporządzenia wykonawczego </w:t>
      </w:r>
      <w:r w:rsidRPr="00835753">
        <w:rPr>
          <w:rFonts w:ascii="Times New Roman" w:hAnsi="Times New Roman"/>
          <w:bCs/>
          <w:sz w:val="24"/>
        </w:rPr>
        <w:t xml:space="preserve">instytucje </w:t>
      </w:r>
      <w:r w:rsidRPr="00835753">
        <w:rPr>
          <w:rFonts w:ascii="Times New Roman" w:hAnsi="Times New Roman"/>
          <w:sz w:val="24"/>
        </w:rPr>
        <w:t>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437 lit.</w:t>
      </w:r>
      <w:r w:rsidR="00835753" w:rsidRPr="00835753">
        <w:rPr>
          <w:rFonts w:ascii="Times New Roman" w:hAnsi="Times New Roman"/>
          <w:bCs/>
          <w:sz w:val="24"/>
        </w:rPr>
        <w:t> </w:t>
      </w:r>
      <w:r w:rsidRPr="00835753">
        <w:rPr>
          <w:rFonts w:ascii="Times New Roman" w:hAnsi="Times New Roman"/>
          <w:bCs/>
          <w:sz w:val="24"/>
        </w:rPr>
        <w:t xml:space="preserve">b) i c) </w:t>
      </w:r>
      <w:r w:rsidRPr="00835753">
        <w:rPr>
          <w:rFonts w:ascii="Times New Roman" w:hAnsi="Times New Roman"/>
          <w:color w:val="000000"/>
          <w:sz w:val="24"/>
        </w:rPr>
        <w:t>CRR</w:t>
      </w:r>
      <w:r w:rsidRPr="00835753">
        <w:rPr>
          <w:rFonts w:ascii="Times New Roman" w:hAnsi="Times New Roman"/>
          <w:bCs/>
          <w:sz w:val="24"/>
        </w:rPr>
        <w:t>,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ins</w:t>
      </w:r>
      <w:r w:rsidRPr="00835753">
        <w:rPr>
          <w:rFonts w:ascii="Times New Roman" w:hAnsi="Times New Roman"/>
          <w:bCs/>
          <w:sz w:val="24"/>
        </w:rPr>
        <w:t>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p>
    <w:p w14:paraId="5CA31427" w14:textId="0DB1618C" w:rsidR="00CE019E" w:rsidRPr="00835753" w:rsidRDefault="00CE019E" w:rsidP="00E70D84">
      <w:pPr>
        <w:numPr>
          <w:ilvl w:val="0"/>
          <w:numId w:val="19"/>
        </w:numPr>
        <w:spacing w:before="120" w:after="120"/>
        <w:ind w:left="357" w:hanging="357"/>
        <w:jc w:val="both"/>
        <w:rPr>
          <w:rFonts w:ascii="Times New Roman" w:hAnsi="Times New Roman" w:cs="Times New Roman"/>
          <w:bCs/>
          <w:sz w:val="24"/>
        </w:rPr>
      </w:pPr>
      <w:r w:rsidRPr="00835753">
        <w:rPr>
          <w:rFonts w:ascii="Times New Roman" w:hAnsi="Times New Roman"/>
          <w:bCs/>
          <w:sz w:val="24"/>
        </w:rPr>
        <w:t>Instytucje wypełniają tabelę EU CCA</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odn</w:t>
      </w:r>
      <w:r w:rsidRPr="00835753">
        <w:rPr>
          <w:rFonts w:ascii="Times New Roman" w:hAnsi="Times New Roman"/>
          <w:bCs/>
          <w:sz w:val="24"/>
        </w:rPr>
        <w:t>iesieniu do następujących kategorii: instrumenty</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kap</w:t>
      </w:r>
      <w:r w:rsidRPr="00835753">
        <w:rPr>
          <w:rFonts w:ascii="Times New Roman" w:hAnsi="Times New Roman"/>
          <w:bCs/>
          <w:sz w:val="24"/>
        </w:rPr>
        <w:t>itale podstawowym Tier I, instrumenty</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kap</w:t>
      </w:r>
      <w:r w:rsidRPr="00835753">
        <w:rPr>
          <w:rFonts w:ascii="Times New Roman" w:hAnsi="Times New Roman"/>
          <w:bCs/>
          <w:sz w:val="24"/>
        </w:rPr>
        <w:t>itale dodatkowym Tier I, instrumenty</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kap</w:t>
      </w:r>
      <w:r w:rsidRPr="00835753">
        <w:rPr>
          <w:rFonts w:ascii="Times New Roman" w:hAnsi="Times New Roman"/>
          <w:bCs/>
          <w:sz w:val="24"/>
        </w:rPr>
        <w:t>itale Tier II oraz –</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roz</w:t>
      </w:r>
      <w:r w:rsidRPr="00835753">
        <w:rPr>
          <w:rFonts w:ascii="Times New Roman" w:hAnsi="Times New Roman"/>
          <w:bCs/>
          <w:sz w:val="24"/>
        </w:rPr>
        <w:t>umieniu art.</w:t>
      </w:r>
      <w:r w:rsidR="00835753" w:rsidRPr="00835753">
        <w:rPr>
          <w:rFonts w:ascii="Times New Roman" w:hAnsi="Times New Roman"/>
          <w:bCs/>
          <w:sz w:val="24"/>
        </w:rPr>
        <w:t> </w:t>
      </w:r>
      <w:r w:rsidRPr="00835753">
        <w:rPr>
          <w:rFonts w:ascii="Times New Roman" w:hAnsi="Times New Roman"/>
          <w:bCs/>
          <w:sz w:val="24"/>
        </w:rPr>
        <w:t>72b CRR – instrumenty zobowiązań kwalifikowalnych.</w:t>
      </w:r>
    </w:p>
    <w:p w14:paraId="77491373" w14:textId="1725779E" w:rsidR="00CE019E" w:rsidRPr="00835753" w:rsidRDefault="00CE019E" w:rsidP="00E70D84">
      <w:pPr>
        <w:numPr>
          <w:ilvl w:val="0"/>
          <w:numId w:val="19"/>
        </w:numPr>
        <w:spacing w:before="120" w:after="120"/>
        <w:ind w:left="357" w:hanging="357"/>
        <w:jc w:val="both"/>
        <w:rPr>
          <w:rFonts w:ascii="Times New Roman" w:hAnsi="Times New Roman" w:cs="Times New Roman"/>
          <w:bCs/>
          <w:sz w:val="24"/>
        </w:rPr>
      </w:pPr>
      <w:r w:rsidRPr="00835753">
        <w:rPr>
          <w:rFonts w:ascii="Times New Roman" w:hAnsi="Times New Roman"/>
          <w:bCs/>
          <w:sz w:val="24"/>
        </w:rPr>
        <w:t>Tabela składa się</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odd</w:t>
      </w:r>
      <w:r w:rsidRPr="00835753">
        <w:rPr>
          <w:rFonts w:ascii="Times New Roman" w:hAnsi="Times New Roman"/>
          <w:bCs/>
          <w:sz w:val="24"/>
        </w:rPr>
        <w:t>zielnych kolumn zawierających cechy poszczególnych instrumentów regulacyjnych funduszy własnych</w:t>
      </w:r>
      <w:r w:rsidR="00835753" w:rsidRPr="00835753">
        <w:rPr>
          <w:rFonts w:ascii="Times New Roman" w:hAnsi="Times New Roman"/>
          <w:bCs/>
          <w:sz w:val="24"/>
        </w:rPr>
        <w:t xml:space="preserve"> i</w:t>
      </w:r>
      <w:r w:rsidR="00835753">
        <w:rPr>
          <w:rFonts w:ascii="Times New Roman" w:hAnsi="Times New Roman"/>
          <w:bCs/>
          <w:sz w:val="24"/>
        </w:rPr>
        <w:t> </w:t>
      </w:r>
      <w:r w:rsidR="00835753" w:rsidRPr="00835753">
        <w:rPr>
          <w:rFonts w:ascii="Times New Roman" w:hAnsi="Times New Roman"/>
          <w:bCs/>
          <w:sz w:val="24"/>
        </w:rPr>
        <w:t>ins</w:t>
      </w:r>
      <w:r w:rsidRPr="00835753">
        <w:rPr>
          <w:rFonts w:ascii="Times New Roman" w:hAnsi="Times New Roman"/>
          <w:bCs/>
          <w:sz w:val="24"/>
        </w:rPr>
        <w:t>trumentów zobowiązań kwalifikowalnych</w:t>
      </w:r>
      <w:r w:rsidR="00835753" w:rsidRPr="00835753">
        <w:rPr>
          <w:rFonts w:ascii="Times New Roman" w:hAnsi="Times New Roman"/>
          <w:bCs/>
          <w:sz w:val="24"/>
        </w:rPr>
        <w:t>. W</w:t>
      </w:r>
      <w:r w:rsidR="00835753">
        <w:rPr>
          <w:rFonts w:ascii="Times New Roman" w:hAnsi="Times New Roman"/>
          <w:bCs/>
          <w:sz w:val="24"/>
        </w:rPr>
        <w:t> </w:t>
      </w:r>
      <w:r w:rsidR="00835753" w:rsidRPr="00835753">
        <w:rPr>
          <w:rFonts w:ascii="Times New Roman" w:hAnsi="Times New Roman"/>
          <w:bCs/>
          <w:sz w:val="24"/>
        </w:rPr>
        <w:t>prz</w:t>
      </w:r>
      <w:r w:rsidRPr="00835753">
        <w:rPr>
          <w:rFonts w:ascii="Times New Roman" w:hAnsi="Times New Roman"/>
          <w:bCs/>
          <w:sz w:val="24"/>
        </w:rPr>
        <w:t>ypadku gdy różne instrumenty tej samej kategorii mają identyczne cechy, instytucje mogą wypełnić tylko jedną kolumnę, podając te identyczne cechy</w:t>
      </w:r>
      <w:r w:rsidR="00835753" w:rsidRPr="00835753">
        <w:rPr>
          <w:rFonts w:ascii="Times New Roman" w:hAnsi="Times New Roman"/>
          <w:bCs/>
          <w:sz w:val="24"/>
        </w:rPr>
        <w:t xml:space="preserve"> i</w:t>
      </w:r>
      <w:r w:rsidR="00835753">
        <w:rPr>
          <w:rFonts w:ascii="Times New Roman" w:hAnsi="Times New Roman"/>
          <w:bCs/>
          <w:sz w:val="24"/>
        </w:rPr>
        <w:t> </w:t>
      </w:r>
      <w:r w:rsidR="00835753" w:rsidRPr="00835753">
        <w:rPr>
          <w:rFonts w:ascii="Times New Roman" w:hAnsi="Times New Roman"/>
          <w:bCs/>
          <w:sz w:val="24"/>
        </w:rPr>
        <w:t>wsk</w:t>
      </w:r>
      <w:r w:rsidRPr="00835753">
        <w:rPr>
          <w:rFonts w:ascii="Times New Roman" w:hAnsi="Times New Roman"/>
          <w:bCs/>
          <w:sz w:val="24"/>
        </w:rPr>
        <w:t>azując emisje, do których odnoszą się wspomniane identyczne cechy. Przy ujawnianiu kolumn dotyczących tych instrumentów instytucje dzielą je na trzy sekcje (poziomy podział tabeli),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ten</w:t>
      </w:r>
      <w:r w:rsidRPr="00835753">
        <w:rPr>
          <w:rFonts w:ascii="Times New Roman" w:hAnsi="Times New Roman"/>
          <w:bCs/>
          <w:sz w:val="24"/>
        </w:rPr>
        <w:t xml:space="preserve"> sposób wskazując, czy wykorzystuje się je do spełnienia (i) wyłącznie wymogów</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zak</w:t>
      </w:r>
      <w:r w:rsidRPr="00835753">
        <w:rPr>
          <w:rFonts w:ascii="Times New Roman" w:hAnsi="Times New Roman"/>
          <w:bCs/>
          <w:sz w:val="24"/>
        </w:rPr>
        <w:t>resie funduszy własnych (ale nie</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zak</w:t>
      </w:r>
      <w:r w:rsidRPr="00835753">
        <w:rPr>
          <w:rFonts w:ascii="Times New Roman" w:hAnsi="Times New Roman"/>
          <w:bCs/>
          <w:sz w:val="24"/>
        </w:rPr>
        <w:t>resie zobowiązań kwalifikowalnych); (ii) wymogów</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zak</w:t>
      </w:r>
      <w:r w:rsidRPr="00835753">
        <w:rPr>
          <w:rFonts w:ascii="Times New Roman" w:hAnsi="Times New Roman"/>
          <w:bCs/>
          <w:sz w:val="24"/>
        </w:rPr>
        <w:t>resie funduszy własnych</w:t>
      </w:r>
      <w:r w:rsidR="00835753" w:rsidRPr="00835753">
        <w:rPr>
          <w:rFonts w:ascii="Times New Roman" w:hAnsi="Times New Roman"/>
          <w:bCs/>
          <w:sz w:val="24"/>
        </w:rPr>
        <w:t xml:space="preserve"> i</w:t>
      </w:r>
      <w:r w:rsidR="00835753">
        <w:rPr>
          <w:rFonts w:ascii="Times New Roman" w:hAnsi="Times New Roman"/>
          <w:bCs/>
          <w:sz w:val="24"/>
        </w:rPr>
        <w:t> </w:t>
      </w:r>
      <w:r w:rsidR="00835753" w:rsidRPr="00835753">
        <w:rPr>
          <w:rFonts w:ascii="Times New Roman" w:hAnsi="Times New Roman"/>
          <w:bCs/>
          <w:sz w:val="24"/>
        </w:rPr>
        <w:t>w</w:t>
      </w:r>
      <w:r w:rsidR="00835753">
        <w:rPr>
          <w:rFonts w:ascii="Times New Roman" w:hAnsi="Times New Roman"/>
          <w:bCs/>
          <w:sz w:val="24"/>
        </w:rPr>
        <w:t> </w:t>
      </w:r>
      <w:r w:rsidR="00835753" w:rsidRPr="00835753">
        <w:rPr>
          <w:rFonts w:ascii="Times New Roman" w:hAnsi="Times New Roman"/>
          <w:bCs/>
          <w:sz w:val="24"/>
        </w:rPr>
        <w:t>zak</w:t>
      </w:r>
      <w:r w:rsidRPr="00835753">
        <w:rPr>
          <w:rFonts w:ascii="Times New Roman" w:hAnsi="Times New Roman"/>
          <w:bCs/>
          <w:sz w:val="24"/>
        </w:rPr>
        <w:t>resie zobowiązań kwalifikowalnych; lub (iii) wyłącznie wymogów</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zak</w:t>
      </w:r>
      <w:r w:rsidRPr="00835753">
        <w:rPr>
          <w:rFonts w:ascii="Times New Roman" w:hAnsi="Times New Roman"/>
          <w:bCs/>
          <w:sz w:val="24"/>
        </w:rPr>
        <w:t>resie zobowiązań kwalifikowalnych (ale nie</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zak</w:t>
      </w:r>
      <w:r w:rsidRPr="00835753">
        <w:rPr>
          <w:rFonts w:ascii="Times New Roman" w:hAnsi="Times New Roman"/>
          <w:bCs/>
          <w:sz w:val="24"/>
        </w:rPr>
        <w:t>resie funduszy własnych).</w:t>
      </w:r>
      <w:r w:rsidRPr="00835753">
        <w:tab/>
      </w:r>
    </w:p>
    <w:p w14:paraId="497C2993" w14:textId="050CF28B" w:rsidR="00CE019E" w:rsidRPr="00835753" w:rsidRDefault="00CE019E" w:rsidP="00E70D84">
      <w:pPr>
        <w:numPr>
          <w:ilvl w:val="0"/>
          <w:numId w:val="19"/>
        </w:numPr>
        <w:spacing w:before="120" w:after="120"/>
        <w:ind w:left="357" w:hanging="357"/>
        <w:jc w:val="both"/>
        <w:rPr>
          <w:rFonts w:ascii="Times New Roman" w:hAnsi="Times New Roman" w:cs="Times New Roman"/>
          <w:bCs/>
          <w:sz w:val="24"/>
        </w:rPr>
      </w:pPr>
      <w:r w:rsidRPr="00835753">
        <w:rPr>
          <w:rFonts w:ascii="Times New Roman" w:hAnsi="Times New Roman"/>
          <w:bCs/>
          <w:sz w:val="24"/>
        </w:rPr>
        <w:t>W odniesieniu do instrumentów zobowiązań kwalifikowalnych niepodporządkowanych wyłączonym zobowiązaniom instytucje ujawniają wyłącznie papiery wartościowe będące zamiennymi, negocjowalnymi instrumentami finansowymi, wyłączając pożyczki</w:t>
      </w:r>
      <w:r w:rsidR="00835753" w:rsidRPr="00835753">
        <w:rPr>
          <w:rFonts w:ascii="Times New Roman" w:hAnsi="Times New Roman"/>
          <w:bCs/>
          <w:sz w:val="24"/>
        </w:rPr>
        <w:t xml:space="preserve"> i</w:t>
      </w:r>
      <w:r w:rsidR="00835753">
        <w:rPr>
          <w:rFonts w:ascii="Times New Roman" w:hAnsi="Times New Roman"/>
          <w:bCs/>
          <w:sz w:val="24"/>
        </w:rPr>
        <w:t> </w:t>
      </w:r>
      <w:r w:rsidR="00835753" w:rsidRPr="00835753">
        <w:rPr>
          <w:rFonts w:ascii="Times New Roman" w:hAnsi="Times New Roman"/>
          <w:bCs/>
          <w:sz w:val="24"/>
        </w:rPr>
        <w:t>dep</w:t>
      </w:r>
      <w:r w:rsidRPr="00835753">
        <w:rPr>
          <w:rFonts w:ascii="Times New Roman" w:hAnsi="Times New Roman"/>
          <w:bCs/>
          <w:sz w:val="24"/>
        </w:rPr>
        <w:t>ozyty.</w:t>
      </w:r>
    </w:p>
    <w:p w14:paraId="3B53BD8D" w14:textId="77777777" w:rsidR="00CE019E" w:rsidRPr="00835753"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E019E" w:rsidRPr="00835753" w14:paraId="6A50FE3C" w14:textId="77777777" w:rsidTr="001E06A3">
        <w:trPr>
          <w:trHeight w:val="259"/>
        </w:trPr>
        <w:tc>
          <w:tcPr>
            <w:tcW w:w="8691" w:type="dxa"/>
            <w:gridSpan w:val="2"/>
            <w:shd w:val="clear" w:color="auto" w:fill="D9D9D9" w:themeFill="background1" w:themeFillShade="D9"/>
          </w:tcPr>
          <w:p w14:paraId="169B9933" w14:textId="31E4CE3F" w:rsidR="00CE019E" w:rsidRPr="00835753" w:rsidRDefault="00CE019E" w:rsidP="001E06A3">
            <w:pPr>
              <w:rPr>
                <w:rFonts w:ascii="Times New Roman" w:eastAsia="Times New Roman" w:hAnsi="Times New Roman" w:cs="Times New Roman"/>
                <w:b/>
                <w:bCs/>
                <w:color w:val="000000"/>
                <w:sz w:val="24"/>
              </w:rPr>
            </w:pPr>
            <w:r w:rsidRPr="00835753">
              <w:rPr>
                <w:rFonts w:ascii="Times New Roman" w:hAnsi="Times New Roman"/>
                <w:b/>
                <w:bCs/>
                <w:color w:val="000000"/>
                <w:sz w:val="24"/>
              </w:rPr>
              <w:t>Instrukcje dotyczące uzupełnienia tabeli zawierającej główne cechy instrumentów regulacyjnych funduszy własnych</w:t>
            </w:r>
            <w:r w:rsidR="00835753" w:rsidRPr="00835753">
              <w:rPr>
                <w:rFonts w:ascii="Times New Roman" w:hAnsi="Times New Roman"/>
                <w:b/>
                <w:bCs/>
                <w:color w:val="000000"/>
                <w:sz w:val="24"/>
              </w:rPr>
              <w:t xml:space="preserve"> i</w:t>
            </w:r>
            <w:r w:rsidR="00835753">
              <w:rPr>
                <w:rFonts w:ascii="Times New Roman" w:hAnsi="Times New Roman"/>
                <w:b/>
                <w:bCs/>
                <w:color w:val="000000"/>
                <w:sz w:val="24"/>
              </w:rPr>
              <w:t> </w:t>
            </w:r>
            <w:r w:rsidR="00835753" w:rsidRPr="00835753">
              <w:rPr>
                <w:rFonts w:ascii="Times New Roman" w:hAnsi="Times New Roman"/>
                <w:b/>
                <w:bCs/>
                <w:color w:val="000000"/>
                <w:sz w:val="24"/>
              </w:rPr>
              <w:t>ins</w:t>
            </w:r>
            <w:r w:rsidRPr="00835753">
              <w:rPr>
                <w:rFonts w:ascii="Times New Roman" w:hAnsi="Times New Roman"/>
                <w:b/>
                <w:bCs/>
                <w:color w:val="000000"/>
                <w:sz w:val="24"/>
              </w:rPr>
              <w:t>trumentów zobowiązań kwalifikowalnych</w:t>
            </w:r>
          </w:p>
        </w:tc>
      </w:tr>
      <w:tr w:rsidR="00CE019E" w:rsidRPr="00835753"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835753" w:rsidRDefault="00CE019E" w:rsidP="001E06A3">
            <w:pPr>
              <w:rPr>
                <w:rFonts w:ascii="Times New Roman" w:eastAsia="Times New Roman" w:hAnsi="Times New Roman" w:cs="Times New Roman"/>
                <w:b/>
                <w:bCs/>
                <w:color w:val="000000"/>
                <w:sz w:val="24"/>
              </w:rPr>
            </w:pPr>
            <w:r w:rsidRPr="00835753">
              <w:rPr>
                <w:rFonts w:ascii="Times New Roman" w:hAnsi="Times New Roman"/>
                <w:b/>
                <w:bCs/>
                <w:color w:val="000000"/>
                <w:sz w:val="24"/>
              </w:rPr>
              <w:t>Numer wiersza</w:t>
            </w:r>
          </w:p>
        </w:tc>
        <w:tc>
          <w:tcPr>
            <w:tcW w:w="7661" w:type="dxa"/>
            <w:shd w:val="clear" w:color="auto" w:fill="D9D9D9" w:themeFill="background1" w:themeFillShade="D9"/>
            <w:noWrap/>
            <w:vAlign w:val="bottom"/>
          </w:tcPr>
          <w:p w14:paraId="7A5A8282" w14:textId="77777777" w:rsidR="00CE019E" w:rsidRPr="00835753" w:rsidRDefault="00CE019E" w:rsidP="001E06A3">
            <w:pPr>
              <w:rPr>
                <w:rFonts w:ascii="Times New Roman" w:eastAsia="Times New Roman" w:hAnsi="Times New Roman" w:cs="Times New Roman"/>
                <w:b/>
                <w:bCs/>
                <w:color w:val="000000"/>
                <w:sz w:val="24"/>
              </w:rPr>
            </w:pPr>
            <w:r w:rsidRPr="00835753">
              <w:rPr>
                <w:rFonts w:ascii="Times New Roman" w:hAnsi="Times New Roman"/>
                <w:b/>
                <w:bCs/>
                <w:color w:val="000000"/>
                <w:sz w:val="24"/>
              </w:rPr>
              <w:t>Wyjaśnienie</w:t>
            </w:r>
          </w:p>
        </w:tc>
      </w:tr>
      <w:tr w:rsidR="00CE019E" w:rsidRPr="00835753" w14:paraId="0B461E80" w14:textId="77777777" w:rsidTr="001E06A3">
        <w:trPr>
          <w:trHeight w:val="259"/>
        </w:trPr>
        <w:tc>
          <w:tcPr>
            <w:tcW w:w="1030" w:type="dxa"/>
            <w:vAlign w:val="center"/>
          </w:tcPr>
          <w:p w14:paraId="28E2B289"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1</w:t>
            </w:r>
          </w:p>
        </w:tc>
        <w:tc>
          <w:tcPr>
            <w:tcW w:w="7661" w:type="dxa"/>
            <w:shd w:val="clear" w:color="auto" w:fill="auto"/>
            <w:noWrap/>
            <w:vAlign w:val="bottom"/>
          </w:tcPr>
          <w:p w14:paraId="1BE7F73B"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Emitent</w:t>
            </w:r>
          </w:p>
          <w:p w14:paraId="2D045486" w14:textId="36FD331B"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podają nazwę prawną (statutową) emitenta.</w:t>
            </w:r>
          </w:p>
          <w:p w14:paraId="1A2B541A" w14:textId="77777777"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Tekst dowolny</w:t>
            </w:r>
          </w:p>
        </w:tc>
      </w:tr>
      <w:tr w:rsidR="00CE019E" w:rsidRPr="00835753" w14:paraId="48E68A1E" w14:textId="77777777" w:rsidTr="001E06A3">
        <w:trPr>
          <w:trHeight w:val="259"/>
        </w:trPr>
        <w:tc>
          <w:tcPr>
            <w:tcW w:w="1030" w:type="dxa"/>
            <w:vAlign w:val="center"/>
          </w:tcPr>
          <w:p w14:paraId="1C0CB8B1"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2</w:t>
            </w:r>
          </w:p>
        </w:tc>
        <w:tc>
          <w:tcPr>
            <w:tcW w:w="7661" w:type="dxa"/>
            <w:shd w:val="clear" w:color="auto" w:fill="auto"/>
            <w:noWrap/>
            <w:vAlign w:val="bottom"/>
          </w:tcPr>
          <w:p w14:paraId="2F162DE0"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Unikatowy identyfikator (np. CUSIP, ISIN lub identyfikator Bloomberg dla ofert na rynku niepublicznym)</w:t>
            </w:r>
          </w:p>
          <w:p w14:paraId="00EAC079"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i/>
                <w:sz w:val="24"/>
              </w:rPr>
              <w:t>Tekst dowolny</w:t>
            </w:r>
          </w:p>
        </w:tc>
      </w:tr>
      <w:tr w:rsidR="00CE019E" w:rsidRPr="00835753" w14:paraId="355408A9" w14:textId="77777777" w:rsidTr="001E06A3">
        <w:trPr>
          <w:trHeight w:val="259"/>
        </w:trPr>
        <w:tc>
          <w:tcPr>
            <w:tcW w:w="1030" w:type="dxa"/>
            <w:vAlign w:val="center"/>
          </w:tcPr>
          <w:p w14:paraId="4F4D8886"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lastRenderedPageBreak/>
              <w:t>EU-2a</w:t>
            </w:r>
          </w:p>
        </w:tc>
        <w:tc>
          <w:tcPr>
            <w:tcW w:w="7661" w:type="dxa"/>
            <w:shd w:val="clear" w:color="auto" w:fill="auto"/>
            <w:noWrap/>
            <w:vAlign w:val="bottom"/>
          </w:tcPr>
          <w:p w14:paraId="6C7B69FF" w14:textId="2A9E69E0" w:rsidR="00CE019E" w:rsidRPr="00835753" w:rsidRDefault="001613AA"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Emisja publiczna lub niepubliczna</w:t>
            </w:r>
          </w:p>
          <w:p w14:paraId="559E5C5D" w14:textId="77777777" w:rsidR="00CE019E" w:rsidRPr="00835753" w:rsidRDefault="00CE019E"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Instytucje wskazują, czy dany instrument jest oferowany na rynku publicznym czy niepublicznym.</w:t>
            </w:r>
          </w:p>
          <w:p w14:paraId="374A3806" w14:textId="3F80FC8B"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[Publiczny] [Niepubliczny]</w:t>
            </w:r>
          </w:p>
        </w:tc>
      </w:tr>
      <w:tr w:rsidR="00CE019E" w:rsidRPr="00835753" w14:paraId="1C5C555B" w14:textId="77777777" w:rsidTr="001E06A3">
        <w:trPr>
          <w:trHeight w:val="259"/>
        </w:trPr>
        <w:tc>
          <w:tcPr>
            <w:tcW w:w="1030" w:type="dxa"/>
            <w:vAlign w:val="center"/>
          </w:tcPr>
          <w:p w14:paraId="73DD03FF"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3</w:t>
            </w:r>
          </w:p>
        </w:tc>
        <w:tc>
          <w:tcPr>
            <w:tcW w:w="7661" w:type="dxa"/>
            <w:shd w:val="clear" w:color="auto" w:fill="auto"/>
            <w:noWrap/>
            <w:vAlign w:val="bottom"/>
          </w:tcPr>
          <w:p w14:paraId="00EF4E38" w14:textId="77777777" w:rsidR="00CE019E" w:rsidRPr="00835753" w:rsidRDefault="00CE019E"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Prawo lub prawa właściwe, którym podlega instrument</w:t>
            </w:r>
          </w:p>
          <w:p w14:paraId="77986221" w14:textId="77777777" w:rsidR="00CE019E" w:rsidRPr="00835753" w:rsidRDefault="00CE019E"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 xml:space="preserve">Instytucje określają prawo lub prawa właściwe, którym podlega instrument. </w:t>
            </w:r>
          </w:p>
          <w:p w14:paraId="2BF97723" w14:textId="77777777"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 xml:space="preserve">Tekst dowolny </w:t>
            </w:r>
          </w:p>
        </w:tc>
      </w:tr>
      <w:tr w:rsidR="00CE019E" w:rsidRPr="00835753" w14:paraId="6CF1B239" w14:textId="77777777" w:rsidTr="001E06A3">
        <w:trPr>
          <w:trHeight w:val="259"/>
        </w:trPr>
        <w:tc>
          <w:tcPr>
            <w:tcW w:w="1030" w:type="dxa"/>
            <w:vAlign w:val="center"/>
          </w:tcPr>
          <w:p w14:paraId="1D433D28"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3a</w:t>
            </w:r>
          </w:p>
        </w:tc>
        <w:tc>
          <w:tcPr>
            <w:tcW w:w="7661" w:type="dxa"/>
            <w:shd w:val="clear" w:color="auto" w:fill="auto"/>
            <w:noWrap/>
            <w:vAlign w:val="bottom"/>
          </w:tcPr>
          <w:p w14:paraId="378DEABE" w14:textId="6C51A433" w:rsidR="00CE019E" w:rsidRPr="00835753" w:rsidRDefault="00CE019E"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Umowne uznanie uprawnień do umorzenia lub konwersji przysługujące organom ds. restrukturyzacji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upo</w:t>
            </w:r>
            <w:r w:rsidRPr="00835753">
              <w:rPr>
                <w:rFonts w:ascii="Times New Roman" w:hAnsi="Times New Roman"/>
                <w:sz w:val="24"/>
              </w:rPr>
              <w:t>rządkowanej likwidacji</w:t>
            </w:r>
          </w:p>
          <w:p w14:paraId="5A73523D" w14:textId="4E6DAB64" w:rsidR="00CE019E" w:rsidRPr="00835753" w:rsidRDefault="00CE019E"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Instytucje wskazują, czy dany instrument zawiera klauzulę, na podstawie której – decyzją organu ds. restrukturyzacji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upo</w:t>
            </w:r>
            <w:r w:rsidRPr="00835753">
              <w:rPr>
                <w:rFonts w:ascii="Times New Roman" w:hAnsi="Times New Roman"/>
                <w:sz w:val="24"/>
              </w:rPr>
              <w:t>rządkowanej likwidacji lub odpowiedniego organu państwa trzeciego – kwota główna instrumentu zostaje umorzona na stałe lub instrument zostaje poddany konwersji na instrument</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umieniu następujących przepisów:</w:t>
            </w:r>
          </w:p>
          <w:p w14:paraId="1526D87D" w14:textId="4FE61722" w:rsidR="00CE019E" w:rsidRPr="00835753" w:rsidRDefault="00CE019E"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instrumentów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 – art.</w:t>
            </w:r>
            <w:r w:rsidR="00835753" w:rsidRPr="00835753">
              <w:rPr>
                <w:rFonts w:ascii="Times New Roman" w:hAnsi="Times New Roman"/>
                <w:sz w:val="24"/>
              </w:rPr>
              <w:t> </w:t>
            </w:r>
            <w:r w:rsidRPr="00835753">
              <w:rPr>
                <w:rFonts w:ascii="Times New Roman" w:hAnsi="Times New Roman"/>
                <w:sz w:val="24"/>
              </w:rPr>
              <w:t>52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p) CRR;</w:t>
            </w:r>
          </w:p>
          <w:p w14:paraId="0E4BDD39" w14:textId="39C98181" w:rsidR="00CE019E" w:rsidRPr="00835753" w:rsidRDefault="00CE019E"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instrumentów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 – art.</w:t>
            </w:r>
            <w:r w:rsidR="00835753" w:rsidRPr="00835753">
              <w:rPr>
                <w:rFonts w:ascii="Times New Roman" w:hAnsi="Times New Roman"/>
                <w:sz w:val="24"/>
              </w:rPr>
              <w:t> </w:t>
            </w:r>
            <w:r w:rsidRPr="00835753">
              <w:rPr>
                <w:rFonts w:ascii="Times New Roman" w:hAnsi="Times New Roman"/>
                <w:sz w:val="24"/>
              </w:rPr>
              <w:t>63 lit.</w:t>
            </w:r>
            <w:r w:rsidR="00835753" w:rsidRPr="00835753">
              <w:rPr>
                <w:rFonts w:ascii="Times New Roman" w:hAnsi="Times New Roman"/>
                <w:sz w:val="24"/>
              </w:rPr>
              <w:t> </w:t>
            </w:r>
            <w:r w:rsidRPr="00835753">
              <w:rPr>
                <w:rFonts w:ascii="Times New Roman" w:hAnsi="Times New Roman"/>
                <w:sz w:val="24"/>
              </w:rPr>
              <w:t>n) lub o) CRR;</w:t>
            </w:r>
          </w:p>
          <w:p w14:paraId="0F7294D3" w14:textId="2C9E0ECC" w:rsidR="00CE019E" w:rsidRPr="00835753" w:rsidRDefault="00CE019E"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zobowiązań kwalifikowalnych – art.</w:t>
            </w:r>
            <w:r w:rsidR="00835753" w:rsidRPr="00835753">
              <w:rPr>
                <w:rFonts w:ascii="Times New Roman" w:hAnsi="Times New Roman"/>
                <w:sz w:val="24"/>
              </w:rPr>
              <w:t> </w:t>
            </w:r>
            <w:r w:rsidRPr="00835753">
              <w:rPr>
                <w:rFonts w:ascii="Times New Roman" w:hAnsi="Times New Roman"/>
                <w:sz w:val="24"/>
              </w:rPr>
              <w:t>72b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n) CRR;</w:t>
            </w:r>
          </w:p>
          <w:p w14:paraId="39C41036" w14:textId="44B8AF46" w:rsidR="00CE019E" w:rsidRPr="00835753" w:rsidRDefault="00CE019E"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wszelkich powyższych instrumentów podlegających prawu państwa trzeciego – art.</w:t>
            </w:r>
            <w:r w:rsidR="00835753" w:rsidRPr="00835753">
              <w:rPr>
                <w:rFonts w:ascii="Times New Roman" w:hAnsi="Times New Roman"/>
                <w:sz w:val="24"/>
              </w:rPr>
              <w:t> </w:t>
            </w:r>
            <w:r w:rsidRPr="00835753">
              <w:rPr>
                <w:rFonts w:ascii="Times New Roman" w:hAnsi="Times New Roman"/>
                <w:sz w:val="24"/>
              </w:rPr>
              <w:t>55 dyrektywy (UE) 2019/879</w:t>
            </w:r>
            <w:r w:rsidRPr="00835753">
              <w:rPr>
                <w:rStyle w:val="FootnoteReference"/>
                <w:rFonts w:ascii="Times New Roman" w:eastAsia="Times New Roman" w:hAnsi="Times New Roman" w:cs="Times New Roman"/>
                <w:sz w:val="24"/>
                <w:szCs w:val="24"/>
                <w:lang w:eastAsia="en-GB"/>
              </w:rPr>
              <w:footnoteReference w:id="16"/>
            </w:r>
            <w:r w:rsidRPr="00835753">
              <w:rPr>
                <w:rFonts w:ascii="Times New Roman" w:hAnsi="Times New Roman"/>
                <w:sz w:val="24"/>
              </w:rPr>
              <w:t xml:space="preserve"> („dyrektywa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awie naprawy oraz restrukturyzacji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upo</w:t>
            </w:r>
            <w:r w:rsidRPr="00835753">
              <w:rPr>
                <w:rFonts w:ascii="Times New Roman" w:hAnsi="Times New Roman"/>
                <w:sz w:val="24"/>
              </w:rPr>
              <w:t>rządkowanej likwidacji banków”).</w:t>
            </w:r>
          </w:p>
          <w:p w14:paraId="31AEABE1" w14:textId="20B4A699"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Umorzenie</w:t>
            </w:r>
            <w:r w:rsidR="00835753" w:rsidRPr="00835753">
              <w:rPr>
                <w:rFonts w:ascii="Times New Roman" w:hAnsi="Times New Roman"/>
                <w:i/>
                <w:sz w:val="24"/>
              </w:rPr>
              <w:t xml:space="preserve"> i</w:t>
            </w:r>
            <w:r w:rsidR="00835753">
              <w:rPr>
                <w:rFonts w:ascii="Times New Roman" w:hAnsi="Times New Roman"/>
                <w:i/>
                <w:sz w:val="24"/>
              </w:rPr>
              <w:t> </w:t>
            </w:r>
            <w:r w:rsidR="00835753" w:rsidRPr="00835753">
              <w:rPr>
                <w:rFonts w:ascii="Times New Roman" w:hAnsi="Times New Roman"/>
                <w:i/>
                <w:sz w:val="24"/>
              </w:rPr>
              <w:t>kon</w:t>
            </w:r>
            <w:r w:rsidRPr="00835753">
              <w:rPr>
                <w:rFonts w:ascii="Times New Roman" w:hAnsi="Times New Roman"/>
                <w:i/>
                <w:sz w:val="24"/>
              </w:rPr>
              <w:t>wersja mogą być zgodne zarówno</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art</w:t>
            </w:r>
            <w:r w:rsidRPr="00835753">
              <w:rPr>
                <w:rFonts w:ascii="Times New Roman" w:hAnsi="Times New Roman"/>
                <w:i/>
                <w:sz w:val="24"/>
              </w:rPr>
              <w:t>.</w:t>
            </w:r>
            <w:r w:rsidR="00835753" w:rsidRPr="00835753">
              <w:rPr>
                <w:rFonts w:ascii="Times New Roman" w:hAnsi="Times New Roman"/>
                <w:i/>
                <w:sz w:val="24"/>
              </w:rPr>
              <w:t> </w:t>
            </w:r>
            <w:r w:rsidRPr="00835753">
              <w:rPr>
                <w:rFonts w:ascii="Times New Roman" w:hAnsi="Times New Roman"/>
                <w:i/>
                <w:sz w:val="24"/>
              </w:rPr>
              <w:t>55 dyrektywy</w:t>
            </w:r>
            <w:r w:rsidR="00835753" w:rsidRPr="00835753">
              <w:rPr>
                <w:rFonts w:ascii="Times New Roman" w:hAnsi="Times New Roman"/>
                <w:i/>
                <w:sz w:val="24"/>
              </w:rPr>
              <w:t xml:space="preserve"> w</w:t>
            </w:r>
            <w:r w:rsidR="00835753">
              <w:rPr>
                <w:rFonts w:ascii="Times New Roman" w:hAnsi="Times New Roman"/>
                <w:i/>
                <w:sz w:val="24"/>
              </w:rPr>
              <w:t> </w:t>
            </w:r>
            <w:r w:rsidR="00835753" w:rsidRPr="00835753">
              <w:rPr>
                <w:rFonts w:ascii="Times New Roman" w:hAnsi="Times New Roman"/>
                <w:i/>
                <w:sz w:val="24"/>
              </w:rPr>
              <w:t>spr</w:t>
            </w:r>
            <w:r w:rsidRPr="00835753">
              <w:rPr>
                <w:rFonts w:ascii="Times New Roman" w:hAnsi="Times New Roman"/>
                <w:i/>
                <w:sz w:val="24"/>
              </w:rPr>
              <w:t>awie naprawy oraz restrukturyzacji</w:t>
            </w:r>
            <w:r w:rsidR="00835753" w:rsidRPr="00835753">
              <w:rPr>
                <w:rFonts w:ascii="Times New Roman" w:hAnsi="Times New Roman"/>
                <w:i/>
                <w:sz w:val="24"/>
              </w:rPr>
              <w:t xml:space="preserve"> i</w:t>
            </w:r>
            <w:r w:rsidR="00835753">
              <w:rPr>
                <w:rFonts w:ascii="Times New Roman" w:hAnsi="Times New Roman"/>
                <w:i/>
                <w:sz w:val="24"/>
              </w:rPr>
              <w:t> </w:t>
            </w:r>
            <w:r w:rsidR="00835753" w:rsidRPr="00835753">
              <w:rPr>
                <w:rFonts w:ascii="Times New Roman" w:hAnsi="Times New Roman"/>
                <w:i/>
                <w:sz w:val="24"/>
              </w:rPr>
              <w:t>upo</w:t>
            </w:r>
            <w:r w:rsidRPr="00835753">
              <w:rPr>
                <w:rFonts w:ascii="Times New Roman" w:hAnsi="Times New Roman"/>
                <w:i/>
                <w:sz w:val="24"/>
              </w:rPr>
              <w:t>rządkowanej likwidacji banków, jak</w:t>
            </w:r>
            <w:r w:rsidR="00835753" w:rsidRPr="00835753">
              <w:rPr>
                <w:rFonts w:ascii="Times New Roman" w:hAnsi="Times New Roman"/>
                <w:i/>
                <w:sz w:val="24"/>
              </w:rPr>
              <w:t xml:space="preserve"> i</w:t>
            </w:r>
            <w:r w:rsidR="00835753">
              <w:rPr>
                <w:rFonts w:ascii="Times New Roman" w:hAnsi="Times New Roman"/>
                <w:i/>
                <w:sz w:val="24"/>
              </w:rPr>
              <w:t> </w:t>
            </w:r>
            <w:r w:rsidR="00835753" w:rsidRPr="00835753">
              <w:rPr>
                <w:rFonts w:ascii="Times New Roman" w:hAnsi="Times New Roman"/>
                <w:i/>
                <w:sz w:val="24"/>
              </w:rPr>
              <w:t>z</w:t>
            </w:r>
            <w:r w:rsidR="00835753">
              <w:rPr>
                <w:rFonts w:ascii="Times New Roman" w:hAnsi="Times New Roman"/>
                <w:i/>
                <w:sz w:val="24"/>
              </w:rPr>
              <w:t> </w:t>
            </w:r>
            <w:r w:rsidR="00835753" w:rsidRPr="00835753">
              <w:rPr>
                <w:rFonts w:ascii="Times New Roman" w:hAnsi="Times New Roman"/>
                <w:i/>
                <w:sz w:val="24"/>
              </w:rPr>
              <w:t>dow</w:t>
            </w:r>
            <w:r w:rsidRPr="00835753">
              <w:rPr>
                <w:rFonts w:ascii="Times New Roman" w:hAnsi="Times New Roman"/>
                <w:i/>
                <w:sz w:val="24"/>
              </w:rPr>
              <w:t>olnym</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pow</w:t>
            </w:r>
            <w:r w:rsidRPr="00835753">
              <w:rPr>
                <w:rFonts w:ascii="Times New Roman" w:hAnsi="Times New Roman"/>
                <w:i/>
                <w:sz w:val="24"/>
              </w:rPr>
              <w:t>yższych pierwszych trzech tiret.</w:t>
            </w:r>
          </w:p>
          <w:p w14:paraId="15049C6D" w14:textId="181B590E"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[TAK] [NIE]</w:t>
            </w:r>
          </w:p>
        </w:tc>
      </w:tr>
      <w:tr w:rsidR="00CE019E" w:rsidRPr="00835753" w14:paraId="00E754E3" w14:textId="77777777" w:rsidTr="001E06A3">
        <w:trPr>
          <w:trHeight w:val="259"/>
        </w:trPr>
        <w:tc>
          <w:tcPr>
            <w:tcW w:w="1030" w:type="dxa"/>
            <w:vAlign w:val="center"/>
          </w:tcPr>
          <w:p w14:paraId="0F4F307E"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4</w:t>
            </w:r>
          </w:p>
        </w:tc>
        <w:tc>
          <w:tcPr>
            <w:tcW w:w="7661" w:type="dxa"/>
            <w:shd w:val="clear" w:color="auto" w:fill="auto"/>
            <w:noWrap/>
            <w:vAlign w:val="bottom"/>
          </w:tcPr>
          <w:p w14:paraId="6C0407F2" w14:textId="2ACD5806"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Obecny sposób ujmowania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uwz</w:t>
            </w:r>
            <w:r w:rsidRPr="00835753">
              <w:rPr>
                <w:rFonts w:ascii="Times New Roman" w:hAnsi="Times New Roman"/>
                <w:sz w:val="24"/>
              </w:rPr>
              <w:t>ględnieniem,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 przejściowych przepisów CRR</w:t>
            </w:r>
          </w:p>
          <w:p w14:paraId="71B1B543" w14:textId="18F07E3C"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sposób ujmowania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reg</w:t>
            </w:r>
            <w:r w:rsidRPr="00835753">
              <w:rPr>
                <w:rFonts w:ascii="Times New Roman" w:hAnsi="Times New Roman"/>
                <w:sz w:val="24"/>
              </w:rPr>
              <w:t>ulacyjnych funduszach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przejściowym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zas</w:t>
            </w:r>
            <w:r w:rsidRPr="00835753">
              <w:rPr>
                <w:rFonts w:ascii="Times New Roman" w:hAnsi="Times New Roman"/>
                <w:sz w:val="24"/>
              </w:rPr>
              <w:t>adami określonymi w CRR. Pierwotna klasyfikacja instrumentu stanowi punkt odniesienia niezależnie od możliwego przeklasyfikowania do niższych kategorii funduszy własnych.</w:t>
            </w:r>
          </w:p>
          <w:p w14:paraId="4983D056" w14:textId="2049FC50"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lastRenderedPageBreak/>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[Kapitał podstawowy Tier I] [Kapitał dodatkowy Tier I] [Kapitał Tier II] [Niekwalifikowalne] [Nie dotyczy]</w:t>
            </w:r>
          </w:p>
          <w:p w14:paraId="60DC5CF7"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i/>
                <w:sz w:val="24"/>
              </w:rPr>
              <w:t>Tekst dowolny – należy określić, czy część emisji została przeklasyfikowana do niższych kategorii kapitału.</w:t>
            </w:r>
          </w:p>
        </w:tc>
      </w:tr>
      <w:tr w:rsidR="00CE019E" w:rsidRPr="00835753" w14:paraId="3D250963" w14:textId="77777777" w:rsidTr="001E06A3">
        <w:trPr>
          <w:trHeight w:val="259"/>
        </w:trPr>
        <w:tc>
          <w:tcPr>
            <w:tcW w:w="1030" w:type="dxa"/>
            <w:vAlign w:val="center"/>
          </w:tcPr>
          <w:p w14:paraId="45B0442F"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lastRenderedPageBreak/>
              <w:t>5</w:t>
            </w:r>
          </w:p>
        </w:tc>
        <w:tc>
          <w:tcPr>
            <w:tcW w:w="7661" w:type="dxa"/>
            <w:shd w:val="clear" w:color="auto" w:fill="auto"/>
            <w:noWrap/>
            <w:vAlign w:val="bottom"/>
          </w:tcPr>
          <w:p w14:paraId="16349000" w14:textId="0167EFFA"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Zasady określone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porządzeniu CRR obowiązujące po okresie przejściowym</w:t>
            </w:r>
          </w:p>
          <w:p w14:paraId="79851588" w14:textId="2850ED43"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sposób ujmowania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reg</w:t>
            </w:r>
            <w:r w:rsidRPr="00835753">
              <w:rPr>
                <w:rFonts w:ascii="Times New Roman" w:hAnsi="Times New Roman"/>
                <w:sz w:val="24"/>
              </w:rPr>
              <w:t>ulacyjnych funduszach własnych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zas</w:t>
            </w:r>
            <w:r w:rsidRPr="00835753">
              <w:rPr>
                <w:rFonts w:ascii="Times New Roman" w:hAnsi="Times New Roman"/>
                <w:sz w:val="24"/>
              </w:rPr>
              <w:t>adami określonymi w CRR bez uwzględniania sposobu ujmowania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 xml:space="preserve">esie przejściowym. </w:t>
            </w:r>
          </w:p>
          <w:p w14:paraId="0197F1D4" w14:textId="090FAF2F"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[Kapitał podstawowy Tier I] [Kapitał dodatkowy Tier I] [Kapitał Tier II</w:t>
            </w:r>
            <w:r w:rsidR="00835753" w:rsidRPr="00835753">
              <w:rPr>
                <w:rFonts w:ascii="Times New Roman" w:hAnsi="Times New Roman"/>
                <w:i/>
                <w:sz w:val="24"/>
              </w:rPr>
              <w:t>]]</w:t>
            </w:r>
            <w:r w:rsidRPr="00835753">
              <w:rPr>
                <w:rFonts w:ascii="Times New Roman" w:hAnsi="Times New Roman"/>
                <w:i/>
                <w:sz w:val="24"/>
              </w:rPr>
              <w:t xml:space="preserve"> [Zobowiązania kwalifikowalne] [Niekwalifikowalne]</w:t>
            </w:r>
          </w:p>
        </w:tc>
      </w:tr>
      <w:tr w:rsidR="00CE019E" w:rsidRPr="00835753" w14:paraId="0FB018D1" w14:textId="77777777" w:rsidTr="001E06A3">
        <w:trPr>
          <w:trHeight w:val="259"/>
        </w:trPr>
        <w:tc>
          <w:tcPr>
            <w:tcW w:w="1030" w:type="dxa"/>
            <w:vAlign w:val="center"/>
          </w:tcPr>
          <w:p w14:paraId="50E5FDB9"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6</w:t>
            </w:r>
          </w:p>
        </w:tc>
        <w:tc>
          <w:tcPr>
            <w:tcW w:w="7661" w:type="dxa"/>
            <w:shd w:val="clear" w:color="auto" w:fill="auto"/>
            <w:noWrap/>
            <w:vAlign w:val="bottom"/>
          </w:tcPr>
          <w:p w14:paraId="22437096"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Kwalifikowalne na poziomie jednostkowym lub (sub-</w:t>
            </w:r>
            <w:proofErr w:type="gramStart"/>
            <w:r w:rsidRPr="00835753">
              <w:rPr>
                <w:rFonts w:ascii="Times New Roman" w:hAnsi="Times New Roman"/>
                <w:sz w:val="24"/>
              </w:rPr>
              <w:t>)skonsolidowanym</w:t>
            </w:r>
            <w:proofErr w:type="gramEnd"/>
            <w:r w:rsidRPr="00835753">
              <w:rPr>
                <w:rFonts w:ascii="Times New Roman" w:hAnsi="Times New Roman"/>
                <w:sz w:val="24"/>
              </w:rPr>
              <w:t>/na poziomie jednostkowym oraz (sub-)skonsolidowanym</w:t>
            </w:r>
          </w:p>
          <w:p w14:paraId="1042DDD2" w14:textId="312EB0E5"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poziom lub poziomy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grupy, na którym lub których instrument jest uwzględniony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fun</w:t>
            </w:r>
            <w:r w:rsidRPr="00835753">
              <w:rPr>
                <w:rFonts w:ascii="Times New Roman" w:hAnsi="Times New Roman"/>
                <w:sz w:val="24"/>
              </w:rPr>
              <w:t>duszach własnych/zobowiązaniach kwalifikowanych.</w:t>
            </w:r>
          </w:p>
          <w:p w14:paraId="70448506" w14:textId="6F528D58"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[Poziom jednostkowy] [Poziom (sub-</w:t>
            </w:r>
            <w:proofErr w:type="gramStart"/>
            <w:r w:rsidRPr="00835753">
              <w:rPr>
                <w:rFonts w:ascii="Times New Roman" w:hAnsi="Times New Roman"/>
                <w:i/>
                <w:sz w:val="24"/>
              </w:rPr>
              <w:t>)skonsolidowany</w:t>
            </w:r>
            <w:proofErr w:type="gramEnd"/>
            <w:r w:rsidRPr="00835753">
              <w:rPr>
                <w:rFonts w:ascii="Times New Roman" w:hAnsi="Times New Roman"/>
                <w:i/>
                <w:sz w:val="24"/>
              </w:rPr>
              <w:t>] [Poziom jednostkowy i (sub-)skonsolidowany]</w:t>
            </w:r>
          </w:p>
        </w:tc>
      </w:tr>
      <w:tr w:rsidR="00CE019E" w:rsidRPr="00835753" w14:paraId="64DEB51C" w14:textId="77777777" w:rsidTr="001E06A3">
        <w:trPr>
          <w:trHeight w:val="259"/>
        </w:trPr>
        <w:tc>
          <w:tcPr>
            <w:tcW w:w="1030" w:type="dxa"/>
            <w:vAlign w:val="center"/>
          </w:tcPr>
          <w:p w14:paraId="71B4B11C"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7</w:t>
            </w:r>
          </w:p>
        </w:tc>
        <w:tc>
          <w:tcPr>
            <w:tcW w:w="7661" w:type="dxa"/>
            <w:shd w:val="clear" w:color="auto" w:fill="auto"/>
            <w:noWrap/>
            <w:vAlign w:val="bottom"/>
          </w:tcPr>
          <w:p w14:paraId="3BFB7F4D"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Rodzaj instrumentu (rodzaje określane przez każdy system prawny)</w:t>
            </w:r>
          </w:p>
          <w:p w14:paraId="3A4F77D4" w14:textId="0EB11516"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rodzaj instrumentu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 xml:space="preserve">eżności od systemu prawnego. </w:t>
            </w:r>
          </w:p>
          <w:p w14:paraId="15B4C51A" w14:textId="70206930"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W przypadku instrumentów</w:t>
            </w:r>
            <w:r w:rsidR="00835753" w:rsidRPr="00835753">
              <w:rPr>
                <w:rFonts w:ascii="Times New Roman" w:hAnsi="Times New Roman"/>
                <w:i/>
                <w:sz w:val="24"/>
              </w:rPr>
              <w:t xml:space="preserve"> w</w:t>
            </w:r>
            <w:r w:rsidR="00835753">
              <w:rPr>
                <w:rFonts w:ascii="Times New Roman" w:hAnsi="Times New Roman"/>
                <w:i/>
                <w:sz w:val="24"/>
              </w:rPr>
              <w:t> </w:t>
            </w:r>
            <w:r w:rsidR="00835753" w:rsidRPr="00835753">
              <w:rPr>
                <w:rFonts w:ascii="Times New Roman" w:hAnsi="Times New Roman"/>
                <w:i/>
                <w:sz w:val="24"/>
              </w:rPr>
              <w:t>kap</w:t>
            </w:r>
            <w:r w:rsidRPr="00835753">
              <w:rPr>
                <w:rFonts w:ascii="Times New Roman" w:hAnsi="Times New Roman"/>
                <w:i/>
                <w:sz w:val="24"/>
              </w:rPr>
              <w:t>itale podstawowym Tier I należy wybrać nazwę instrumentu</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wyk</w:t>
            </w:r>
            <w:r w:rsidRPr="00835753">
              <w:rPr>
                <w:rFonts w:ascii="Times New Roman" w:hAnsi="Times New Roman"/>
                <w:i/>
                <w:sz w:val="24"/>
              </w:rPr>
              <w:t>azu instrumentów</w:t>
            </w:r>
            <w:r w:rsidR="00835753" w:rsidRPr="00835753">
              <w:rPr>
                <w:rFonts w:ascii="Times New Roman" w:hAnsi="Times New Roman"/>
                <w:i/>
                <w:sz w:val="24"/>
              </w:rPr>
              <w:t xml:space="preserve"> w</w:t>
            </w:r>
            <w:r w:rsidR="00835753">
              <w:rPr>
                <w:rFonts w:ascii="Times New Roman" w:hAnsi="Times New Roman"/>
                <w:i/>
                <w:sz w:val="24"/>
              </w:rPr>
              <w:t> </w:t>
            </w:r>
            <w:r w:rsidR="00835753" w:rsidRPr="00835753">
              <w:rPr>
                <w:rFonts w:ascii="Times New Roman" w:hAnsi="Times New Roman"/>
                <w:i/>
                <w:sz w:val="24"/>
              </w:rPr>
              <w:t>kap</w:t>
            </w:r>
            <w:r w:rsidRPr="00835753">
              <w:rPr>
                <w:rFonts w:ascii="Times New Roman" w:hAnsi="Times New Roman"/>
                <w:i/>
                <w:sz w:val="24"/>
              </w:rPr>
              <w:t>itale podstawowym Tier I opublikowanego przez EUNB na podstawie art.</w:t>
            </w:r>
            <w:r w:rsidR="00835753" w:rsidRPr="00835753">
              <w:rPr>
                <w:rFonts w:ascii="Times New Roman" w:hAnsi="Times New Roman"/>
                <w:i/>
                <w:sz w:val="24"/>
              </w:rPr>
              <w:t> </w:t>
            </w:r>
            <w:r w:rsidRPr="00835753">
              <w:rPr>
                <w:rFonts w:ascii="Times New Roman" w:hAnsi="Times New Roman"/>
                <w:i/>
                <w:sz w:val="24"/>
              </w:rPr>
              <w:t>26 ust.</w:t>
            </w:r>
            <w:r w:rsidR="00835753" w:rsidRPr="00835753">
              <w:rPr>
                <w:rFonts w:ascii="Times New Roman" w:hAnsi="Times New Roman"/>
                <w:i/>
                <w:sz w:val="24"/>
              </w:rPr>
              <w:t> </w:t>
            </w:r>
            <w:r w:rsidRPr="00835753">
              <w:rPr>
                <w:rFonts w:ascii="Times New Roman" w:hAnsi="Times New Roman"/>
                <w:i/>
                <w:sz w:val="24"/>
              </w:rPr>
              <w:t>3 CRR.</w:t>
            </w:r>
          </w:p>
          <w:p w14:paraId="52FA3C0E" w14:textId="0545F8F4"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W odniesieniu do pozostałych instrumentów 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opcje menu zostaną podane instytucjom przez każdy system prawny – należy podać odniesienia prawne do artykułów CRR dla każdego rodzaju instytucji</w:t>
            </w:r>
          </w:p>
        </w:tc>
      </w:tr>
      <w:tr w:rsidR="00CE019E" w:rsidRPr="00835753" w14:paraId="398A85AC" w14:textId="77777777" w:rsidTr="001E06A3">
        <w:trPr>
          <w:trHeight w:val="259"/>
        </w:trPr>
        <w:tc>
          <w:tcPr>
            <w:tcW w:w="1030" w:type="dxa"/>
            <w:vAlign w:val="center"/>
          </w:tcPr>
          <w:p w14:paraId="4ED6CCB6"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8</w:t>
            </w:r>
          </w:p>
        </w:tc>
        <w:tc>
          <w:tcPr>
            <w:tcW w:w="7661" w:type="dxa"/>
            <w:shd w:val="clear" w:color="auto" w:fill="auto"/>
            <w:noWrap/>
            <w:vAlign w:val="bottom"/>
          </w:tcPr>
          <w:p w14:paraId="21783E48" w14:textId="4D02E5A6"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Kwota uznana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regulacyjnym lub zobowiązaniach kwalifikowalnych (waluta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mln</w:t>
            </w:r>
            <w:r w:rsidRPr="00835753">
              <w:rPr>
                <w:rFonts w:ascii="Times New Roman" w:hAnsi="Times New Roman"/>
                <w:sz w:val="24"/>
              </w:rPr>
              <w:t>, według stanu na ostatni dzień sprawozdawczy)</w:t>
            </w:r>
          </w:p>
          <w:p w14:paraId="1CFA13AB" w14:textId="13F841DE"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kwotę uznaną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reg</w:t>
            </w:r>
            <w:r w:rsidRPr="00835753">
              <w:rPr>
                <w:rFonts w:ascii="Times New Roman" w:hAnsi="Times New Roman"/>
                <w:sz w:val="24"/>
              </w:rPr>
              <w:t>ulacyjnych funduszach własnych lub zobowiązaniach kwalifikowalnych.</w:t>
            </w:r>
          </w:p>
          <w:p w14:paraId="40D153D9" w14:textId="27484437"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Tekst dowolny – należy określić</w:t>
            </w:r>
            <w:r w:rsidR="00835753" w:rsidRPr="00835753">
              <w:rPr>
                <w:rFonts w:ascii="Times New Roman" w:hAnsi="Times New Roman"/>
                <w:i/>
                <w:sz w:val="24"/>
              </w:rPr>
              <w:t xml:space="preserve"> w</w:t>
            </w:r>
            <w:r w:rsidR="00835753">
              <w:rPr>
                <w:rFonts w:ascii="Times New Roman" w:hAnsi="Times New Roman"/>
                <w:i/>
                <w:sz w:val="24"/>
              </w:rPr>
              <w:t> </w:t>
            </w:r>
            <w:r w:rsidR="00835753" w:rsidRPr="00835753">
              <w:rPr>
                <w:rFonts w:ascii="Times New Roman" w:hAnsi="Times New Roman"/>
                <w:i/>
                <w:sz w:val="24"/>
              </w:rPr>
              <w:t>szc</w:t>
            </w:r>
            <w:r w:rsidRPr="00835753">
              <w:rPr>
                <w:rFonts w:ascii="Times New Roman" w:hAnsi="Times New Roman"/>
                <w:i/>
                <w:sz w:val="24"/>
              </w:rPr>
              <w:t>zególności, czy niektóre części instrumentów są ujęte</w:t>
            </w:r>
            <w:r w:rsidR="00835753" w:rsidRPr="00835753">
              <w:rPr>
                <w:rFonts w:ascii="Times New Roman" w:hAnsi="Times New Roman"/>
                <w:i/>
                <w:sz w:val="24"/>
              </w:rPr>
              <w:t xml:space="preserve"> w</w:t>
            </w:r>
            <w:r w:rsidR="00835753">
              <w:rPr>
                <w:rFonts w:ascii="Times New Roman" w:hAnsi="Times New Roman"/>
                <w:i/>
                <w:sz w:val="24"/>
              </w:rPr>
              <w:t> </w:t>
            </w:r>
            <w:r w:rsidR="00835753" w:rsidRPr="00835753">
              <w:rPr>
                <w:rFonts w:ascii="Times New Roman" w:hAnsi="Times New Roman"/>
                <w:i/>
                <w:sz w:val="24"/>
              </w:rPr>
              <w:t>róż</w:t>
            </w:r>
            <w:r w:rsidRPr="00835753">
              <w:rPr>
                <w:rFonts w:ascii="Times New Roman" w:hAnsi="Times New Roman"/>
                <w:i/>
                <w:sz w:val="24"/>
              </w:rPr>
              <w:t>nych kategoriach regulacyjnych funduszy własnych oraz czy kwota uznana</w:t>
            </w:r>
            <w:r w:rsidR="00835753" w:rsidRPr="00835753">
              <w:rPr>
                <w:rFonts w:ascii="Times New Roman" w:hAnsi="Times New Roman"/>
                <w:i/>
                <w:sz w:val="24"/>
              </w:rPr>
              <w:t xml:space="preserve"> w</w:t>
            </w:r>
            <w:r w:rsidR="00835753">
              <w:rPr>
                <w:rFonts w:ascii="Times New Roman" w:hAnsi="Times New Roman"/>
                <w:i/>
                <w:sz w:val="24"/>
              </w:rPr>
              <w:t> </w:t>
            </w:r>
            <w:r w:rsidR="00835753" w:rsidRPr="00835753">
              <w:rPr>
                <w:rFonts w:ascii="Times New Roman" w:hAnsi="Times New Roman"/>
                <w:i/>
                <w:sz w:val="24"/>
              </w:rPr>
              <w:t>reg</w:t>
            </w:r>
            <w:r w:rsidRPr="00835753">
              <w:rPr>
                <w:rFonts w:ascii="Times New Roman" w:hAnsi="Times New Roman"/>
                <w:i/>
                <w:sz w:val="24"/>
              </w:rPr>
              <w:t>ulacyjnych funduszy własnych różni się od kwoty wyemitowanego instrumentu.</w:t>
            </w:r>
          </w:p>
        </w:tc>
      </w:tr>
      <w:tr w:rsidR="00CE019E" w:rsidRPr="00835753" w14:paraId="63AC0550" w14:textId="77777777" w:rsidTr="001E06A3">
        <w:trPr>
          <w:trHeight w:val="259"/>
        </w:trPr>
        <w:tc>
          <w:tcPr>
            <w:tcW w:w="1030" w:type="dxa"/>
            <w:vAlign w:val="center"/>
          </w:tcPr>
          <w:p w14:paraId="1236E929"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9</w:t>
            </w:r>
          </w:p>
        </w:tc>
        <w:tc>
          <w:tcPr>
            <w:tcW w:w="7661" w:type="dxa"/>
            <w:shd w:val="clear" w:color="auto" w:fill="auto"/>
            <w:noWrap/>
            <w:vAlign w:val="bottom"/>
          </w:tcPr>
          <w:p w14:paraId="5F9B7CEB"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 xml:space="preserve">Wartość nominalna instrumentu </w:t>
            </w:r>
          </w:p>
          <w:p w14:paraId="6B1437F5" w14:textId="32D268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lastRenderedPageBreak/>
              <w:t>Wartość nominalna instrumentu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wal</w:t>
            </w:r>
            <w:r w:rsidRPr="00835753">
              <w:rPr>
                <w:rFonts w:ascii="Times New Roman" w:hAnsi="Times New Roman"/>
                <w:sz w:val="24"/>
              </w:rPr>
              <w:t>ucie emisji oraz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wal</w:t>
            </w:r>
            <w:r w:rsidRPr="00835753">
              <w:rPr>
                <w:rFonts w:ascii="Times New Roman" w:hAnsi="Times New Roman"/>
                <w:sz w:val="24"/>
              </w:rPr>
              <w:t>ucie stosowanej na potrzeby obowiązków sprawozdawczych</w:t>
            </w:r>
          </w:p>
          <w:p w14:paraId="01B3A420" w14:textId="77777777"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Tekst dowolny</w:t>
            </w:r>
          </w:p>
        </w:tc>
      </w:tr>
      <w:tr w:rsidR="00CE019E" w:rsidRPr="00835753" w14:paraId="0260D38B" w14:textId="77777777" w:rsidTr="001E06A3">
        <w:trPr>
          <w:trHeight w:val="259"/>
        </w:trPr>
        <w:tc>
          <w:tcPr>
            <w:tcW w:w="1030" w:type="dxa"/>
            <w:vAlign w:val="center"/>
          </w:tcPr>
          <w:p w14:paraId="5954B5EA"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lastRenderedPageBreak/>
              <w:t>EU-9a</w:t>
            </w:r>
          </w:p>
        </w:tc>
        <w:tc>
          <w:tcPr>
            <w:tcW w:w="7661" w:type="dxa"/>
            <w:shd w:val="clear" w:color="auto" w:fill="auto"/>
            <w:noWrap/>
            <w:vAlign w:val="bottom"/>
          </w:tcPr>
          <w:p w14:paraId="21D3B969"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Cena emisyjna</w:t>
            </w:r>
          </w:p>
          <w:p w14:paraId="527CBE18"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Cena emisyjna instrumentu</w:t>
            </w:r>
          </w:p>
          <w:p w14:paraId="16958D77" w14:textId="77777777"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Tekst dowolny</w:t>
            </w:r>
          </w:p>
        </w:tc>
      </w:tr>
      <w:tr w:rsidR="00CE019E" w:rsidRPr="00835753" w14:paraId="4AB965BD" w14:textId="77777777" w:rsidTr="001E06A3">
        <w:trPr>
          <w:trHeight w:val="259"/>
        </w:trPr>
        <w:tc>
          <w:tcPr>
            <w:tcW w:w="1030" w:type="dxa"/>
            <w:vAlign w:val="center"/>
          </w:tcPr>
          <w:p w14:paraId="57A02FA5"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EU-9b</w:t>
            </w:r>
          </w:p>
        </w:tc>
        <w:tc>
          <w:tcPr>
            <w:tcW w:w="7661" w:type="dxa"/>
            <w:shd w:val="clear" w:color="auto" w:fill="auto"/>
            <w:noWrap/>
            <w:vAlign w:val="bottom"/>
          </w:tcPr>
          <w:p w14:paraId="3750B6F8"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Cena wykupu</w:t>
            </w:r>
          </w:p>
          <w:p w14:paraId="2E881366"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Cena wykupu instrumentu</w:t>
            </w:r>
          </w:p>
          <w:p w14:paraId="355CF896" w14:textId="77777777"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Tekst dowolny</w:t>
            </w:r>
          </w:p>
        </w:tc>
      </w:tr>
      <w:tr w:rsidR="00CE019E" w:rsidRPr="00835753" w14:paraId="0A32ABEF" w14:textId="77777777" w:rsidTr="001E06A3">
        <w:trPr>
          <w:trHeight w:val="259"/>
        </w:trPr>
        <w:tc>
          <w:tcPr>
            <w:tcW w:w="1030" w:type="dxa"/>
            <w:vAlign w:val="center"/>
          </w:tcPr>
          <w:p w14:paraId="4580D5EE"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10</w:t>
            </w:r>
          </w:p>
        </w:tc>
        <w:tc>
          <w:tcPr>
            <w:tcW w:w="7661" w:type="dxa"/>
            <w:shd w:val="clear" w:color="auto" w:fill="auto"/>
            <w:noWrap/>
            <w:vAlign w:val="bottom"/>
          </w:tcPr>
          <w:p w14:paraId="7A9BF63B"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Klasyfikacja księgowa</w:t>
            </w:r>
          </w:p>
          <w:p w14:paraId="4C422F6B" w14:textId="50A90769"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klasyfikację księgową.</w:t>
            </w:r>
          </w:p>
          <w:p w14:paraId="2221EA9F" w14:textId="32671296"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[Kapitał własny] [Zobowiązanie – koszt zamortyzowany] [Zobowiązanie – opcja wyceny według wartości godziwej] [Mniejszościowy pakiet akcji</w:t>
            </w:r>
            <w:r w:rsidR="00835753" w:rsidRPr="00835753">
              <w:rPr>
                <w:rFonts w:ascii="Times New Roman" w:hAnsi="Times New Roman"/>
                <w:i/>
                <w:sz w:val="24"/>
              </w:rPr>
              <w:t xml:space="preserve"> w</w:t>
            </w:r>
            <w:r w:rsidR="00835753">
              <w:rPr>
                <w:rFonts w:ascii="Times New Roman" w:hAnsi="Times New Roman"/>
                <w:i/>
                <w:sz w:val="24"/>
              </w:rPr>
              <w:t> </w:t>
            </w:r>
            <w:r w:rsidR="00835753" w:rsidRPr="00835753">
              <w:rPr>
                <w:rFonts w:ascii="Times New Roman" w:hAnsi="Times New Roman"/>
                <w:i/>
                <w:sz w:val="24"/>
              </w:rPr>
              <w:t>kon</w:t>
            </w:r>
            <w:r w:rsidRPr="00835753">
              <w:rPr>
                <w:rFonts w:ascii="Times New Roman" w:hAnsi="Times New Roman"/>
                <w:i/>
                <w:sz w:val="24"/>
              </w:rPr>
              <w:t>solidowanej jednostce zależnej]</w:t>
            </w:r>
          </w:p>
        </w:tc>
      </w:tr>
      <w:tr w:rsidR="00CE019E" w:rsidRPr="00835753" w14:paraId="2056D050" w14:textId="77777777" w:rsidTr="001E06A3">
        <w:trPr>
          <w:trHeight w:val="259"/>
        </w:trPr>
        <w:tc>
          <w:tcPr>
            <w:tcW w:w="1030" w:type="dxa"/>
            <w:vAlign w:val="center"/>
          </w:tcPr>
          <w:p w14:paraId="54FA9EF4"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11</w:t>
            </w:r>
          </w:p>
        </w:tc>
        <w:tc>
          <w:tcPr>
            <w:tcW w:w="7661" w:type="dxa"/>
            <w:shd w:val="clear" w:color="auto" w:fill="auto"/>
            <w:noWrap/>
            <w:vAlign w:val="bottom"/>
          </w:tcPr>
          <w:p w14:paraId="2DB0DA26"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Pierwotna data emisji</w:t>
            </w:r>
          </w:p>
          <w:p w14:paraId="74AD9FAB"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pierwotną datę emisji.</w:t>
            </w:r>
          </w:p>
          <w:p w14:paraId="43D36858"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i/>
                <w:sz w:val="24"/>
              </w:rPr>
              <w:t>Tekst dowolny</w:t>
            </w:r>
          </w:p>
        </w:tc>
      </w:tr>
      <w:tr w:rsidR="00CE019E" w:rsidRPr="00835753" w14:paraId="1184FB84" w14:textId="77777777" w:rsidTr="001E06A3">
        <w:trPr>
          <w:trHeight w:val="259"/>
        </w:trPr>
        <w:tc>
          <w:tcPr>
            <w:tcW w:w="1030" w:type="dxa"/>
            <w:vAlign w:val="center"/>
          </w:tcPr>
          <w:p w14:paraId="3D824675"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12</w:t>
            </w:r>
          </w:p>
        </w:tc>
        <w:tc>
          <w:tcPr>
            <w:tcW w:w="7661" w:type="dxa"/>
            <w:shd w:val="clear" w:color="auto" w:fill="auto"/>
            <w:noWrap/>
            <w:vAlign w:val="bottom"/>
          </w:tcPr>
          <w:p w14:paraId="49D5D596"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 xml:space="preserve">Wieczyste czy terminowe </w:t>
            </w:r>
          </w:p>
          <w:p w14:paraId="2B6FC897"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czy dany instrument jest wieczysty czy terminowy.</w:t>
            </w:r>
          </w:p>
          <w:p w14:paraId="7A6F0E50" w14:textId="617AE266"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[Wieczyste] [Terminowe]</w:t>
            </w:r>
          </w:p>
        </w:tc>
      </w:tr>
      <w:tr w:rsidR="00CE019E" w:rsidRPr="00835753" w14:paraId="1290704E" w14:textId="77777777" w:rsidTr="001E06A3">
        <w:trPr>
          <w:trHeight w:val="259"/>
        </w:trPr>
        <w:tc>
          <w:tcPr>
            <w:tcW w:w="1030" w:type="dxa"/>
            <w:vAlign w:val="center"/>
          </w:tcPr>
          <w:p w14:paraId="35B1B286"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13</w:t>
            </w:r>
          </w:p>
        </w:tc>
        <w:tc>
          <w:tcPr>
            <w:tcW w:w="7661" w:type="dxa"/>
            <w:shd w:val="clear" w:color="auto" w:fill="auto"/>
            <w:noWrap/>
            <w:vAlign w:val="bottom"/>
          </w:tcPr>
          <w:p w14:paraId="7D1A81AA"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Pierwotny termin zapadalności</w:t>
            </w:r>
          </w:p>
          <w:p w14:paraId="7CED3F6E" w14:textId="22B5C0C2"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W przypadku instrumentu terminowego instytucje określają pierwotny termin zapadalności (dzień, miesiąc</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rok</w:t>
            </w:r>
            <w:r w:rsidRPr="00835753">
              <w:rPr>
                <w:rFonts w:ascii="Times New Roman" w:hAnsi="Times New Roman"/>
                <w:sz w:val="24"/>
              </w:rPr>
              <w:t>)</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 xml:space="preserve">ypadku instrumentu wieczystego należy wpisać „brak terminu zapadalności”. </w:t>
            </w:r>
          </w:p>
          <w:p w14:paraId="34A755B9"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i/>
                <w:sz w:val="24"/>
              </w:rPr>
              <w:t>Tekst dowolny</w:t>
            </w:r>
          </w:p>
        </w:tc>
      </w:tr>
      <w:tr w:rsidR="00CE019E" w:rsidRPr="00835753" w14:paraId="6A7F22CA" w14:textId="77777777" w:rsidTr="001E06A3">
        <w:trPr>
          <w:trHeight w:val="259"/>
        </w:trPr>
        <w:tc>
          <w:tcPr>
            <w:tcW w:w="1030" w:type="dxa"/>
            <w:vAlign w:val="center"/>
          </w:tcPr>
          <w:p w14:paraId="4A31087F"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14</w:t>
            </w:r>
          </w:p>
        </w:tc>
        <w:tc>
          <w:tcPr>
            <w:tcW w:w="7661" w:type="dxa"/>
            <w:shd w:val="clear" w:color="auto" w:fill="auto"/>
            <w:noWrap/>
            <w:vAlign w:val="bottom"/>
          </w:tcPr>
          <w:p w14:paraId="561FD7C3"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 xml:space="preserve">Opcja wykupu na żądanie emitenta podlegająca wcześniejszemu zatwierdzeniu przez organy nadzoru </w:t>
            </w:r>
          </w:p>
          <w:p w14:paraId="1EA535B3"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czy istnieje opcja wykupu na żądanie emitenta (wszelkie rodzaje opcji kupna).</w:t>
            </w:r>
          </w:p>
          <w:p w14:paraId="4309D00C" w14:textId="6D480340"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[Tak] [Nie]</w:t>
            </w:r>
          </w:p>
        </w:tc>
      </w:tr>
      <w:tr w:rsidR="00CE019E" w:rsidRPr="00835753" w14:paraId="6B22E573" w14:textId="77777777" w:rsidTr="001E06A3">
        <w:trPr>
          <w:trHeight w:val="259"/>
        </w:trPr>
        <w:tc>
          <w:tcPr>
            <w:tcW w:w="1030" w:type="dxa"/>
            <w:vAlign w:val="center"/>
          </w:tcPr>
          <w:p w14:paraId="2A6695B2"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lastRenderedPageBreak/>
              <w:t>15</w:t>
            </w:r>
          </w:p>
        </w:tc>
        <w:tc>
          <w:tcPr>
            <w:tcW w:w="7661" w:type="dxa"/>
            <w:shd w:val="clear" w:color="auto" w:fill="auto"/>
            <w:noWrap/>
            <w:vAlign w:val="bottom"/>
          </w:tcPr>
          <w:p w14:paraId="3C89A03C"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Termin wykupu opcjonalnego, terminy wykupu warunkowego oraz kwota wykupu</w:t>
            </w:r>
          </w:p>
          <w:p w14:paraId="06D4FE15" w14:textId="6DB992E5"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W przypadku instrumentu</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opc</w:t>
            </w:r>
            <w:r w:rsidRPr="00835753">
              <w:rPr>
                <w:rFonts w:ascii="Times New Roman" w:hAnsi="Times New Roman"/>
                <w:sz w:val="24"/>
              </w:rPr>
              <w:t>ją wykupu na żądanie emitenta instytucje określają pierwszą datę wykupu, jeżeli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danego instrumentu istnieje opcja przedterminowego wykupu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eślonym terminie (dzień, miesiąc</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rok</w:t>
            </w:r>
            <w:r w:rsidRPr="00835753">
              <w:rPr>
                <w:rFonts w:ascii="Times New Roman" w:hAnsi="Times New Roman"/>
                <w:sz w:val="24"/>
              </w:rPr>
              <w:t>),</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adto określają, czy instrument podlega wykupowi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zdarzenia podatkowego lub zdarzenia regulacyjnego. Instytucje określają również cenę wykupu, która pomaga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oce</w:t>
            </w:r>
            <w:r w:rsidRPr="00835753">
              <w:rPr>
                <w:rFonts w:ascii="Times New Roman" w:hAnsi="Times New Roman"/>
                <w:sz w:val="24"/>
              </w:rPr>
              <w:t>nie trwałości.</w:t>
            </w:r>
          </w:p>
          <w:p w14:paraId="34242EC4" w14:textId="77777777"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Tekst dowolny</w:t>
            </w:r>
          </w:p>
        </w:tc>
      </w:tr>
      <w:tr w:rsidR="00CE019E" w:rsidRPr="00835753" w14:paraId="4C308292" w14:textId="77777777" w:rsidTr="001E06A3">
        <w:trPr>
          <w:trHeight w:val="259"/>
        </w:trPr>
        <w:tc>
          <w:tcPr>
            <w:tcW w:w="1030" w:type="dxa"/>
            <w:vAlign w:val="center"/>
          </w:tcPr>
          <w:p w14:paraId="34C95B39"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16</w:t>
            </w:r>
          </w:p>
        </w:tc>
        <w:tc>
          <w:tcPr>
            <w:tcW w:w="7661" w:type="dxa"/>
            <w:shd w:val="clear" w:color="auto" w:fill="auto"/>
            <w:noWrap/>
            <w:vAlign w:val="bottom"/>
          </w:tcPr>
          <w:p w14:paraId="2BBD69A8"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Kolejne terminy wykupu, jeżeli dotyczy</w:t>
            </w:r>
          </w:p>
          <w:p w14:paraId="1C8B249B" w14:textId="6E90274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istnienie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stotliwość kolejnych terminów wykupu, jeżeli dotyczy, co pomaga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oce</w:t>
            </w:r>
            <w:r w:rsidRPr="00835753">
              <w:rPr>
                <w:rFonts w:ascii="Times New Roman" w:hAnsi="Times New Roman"/>
                <w:sz w:val="24"/>
              </w:rPr>
              <w:t>nie trwałości.</w:t>
            </w:r>
          </w:p>
          <w:p w14:paraId="2108083B"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i/>
                <w:sz w:val="24"/>
              </w:rPr>
              <w:t>Tekst dowolny</w:t>
            </w:r>
          </w:p>
        </w:tc>
      </w:tr>
      <w:tr w:rsidR="00CE019E" w:rsidRPr="00835753" w14:paraId="3600E5F1" w14:textId="77777777" w:rsidTr="001E06A3">
        <w:trPr>
          <w:trHeight w:val="259"/>
        </w:trPr>
        <w:tc>
          <w:tcPr>
            <w:tcW w:w="1030" w:type="dxa"/>
            <w:vAlign w:val="center"/>
          </w:tcPr>
          <w:p w14:paraId="7C0DEB49"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17</w:t>
            </w:r>
          </w:p>
        </w:tc>
        <w:tc>
          <w:tcPr>
            <w:tcW w:w="7661" w:type="dxa"/>
            <w:shd w:val="clear" w:color="auto" w:fill="auto"/>
            <w:noWrap/>
            <w:vAlign w:val="bottom"/>
          </w:tcPr>
          <w:p w14:paraId="3D083DF7" w14:textId="77777777" w:rsidR="00CE019E" w:rsidRPr="00835753" w:rsidRDefault="00CE019E"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Stała lub zmienna dywidenda / stały lub zmienny kupon</w:t>
            </w:r>
          </w:p>
          <w:p w14:paraId="003DFCAF" w14:textId="1898261A" w:rsidR="00CE019E" w:rsidRPr="00835753" w:rsidRDefault="00CE019E"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Instytucje określają, czy stopa kuponu/dywidendy jest: stała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cyk</w:t>
            </w:r>
            <w:r w:rsidRPr="00835753">
              <w:rPr>
                <w:rFonts w:ascii="Times New Roman" w:hAnsi="Times New Roman"/>
                <w:sz w:val="24"/>
              </w:rPr>
              <w:t>lu życia instrumentu, zmienna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cyk</w:t>
            </w:r>
            <w:r w:rsidRPr="00835753">
              <w:rPr>
                <w:rFonts w:ascii="Times New Roman" w:hAnsi="Times New Roman"/>
                <w:sz w:val="24"/>
              </w:rPr>
              <w:t>lu życia instrumentu, czy też na chwilę obecną stała, jednak</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yszłości stanie się zmienna, czy na chwilę obecną zmienna, jednak</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 xml:space="preserve">yszłości stanie się stała. </w:t>
            </w:r>
          </w:p>
          <w:p w14:paraId="651371C8" w14:textId="37029277"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[Stopa stała] [Stopa zmienna] [Stopa stała,</w:t>
            </w:r>
            <w:r w:rsidR="00835753" w:rsidRPr="00835753">
              <w:rPr>
                <w:rFonts w:ascii="Times New Roman" w:hAnsi="Times New Roman"/>
                <w:i/>
                <w:sz w:val="24"/>
              </w:rPr>
              <w:t xml:space="preserve"> w</w:t>
            </w:r>
            <w:r w:rsidR="00835753">
              <w:rPr>
                <w:rFonts w:ascii="Times New Roman" w:hAnsi="Times New Roman"/>
                <w:i/>
                <w:sz w:val="24"/>
              </w:rPr>
              <w:t> </w:t>
            </w:r>
            <w:r w:rsidR="00835753" w:rsidRPr="00835753">
              <w:rPr>
                <w:rFonts w:ascii="Times New Roman" w:hAnsi="Times New Roman"/>
                <w:i/>
                <w:sz w:val="24"/>
              </w:rPr>
              <w:t>prz</w:t>
            </w:r>
            <w:r w:rsidRPr="00835753">
              <w:rPr>
                <w:rFonts w:ascii="Times New Roman" w:hAnsi="Times New Roman"/>
                <w:i/>
                <w:sz w:val="24"/>
              </w:rPr>
              <w:t>yszłości zmienna] [Stopa zmienna,</w:t>
            </w:r>
            <w:r w:rsidR="00835753" w:rsidRPr="00835753">
              <w:rPr>
                <w:rFonts w:ascii="Times New Roman" w:hAnsi="Times New Roman"/>
                <w:i/>
                <w:sz w:val="24"/>
              </w:rPr>
              <w:t xml:space="preserve"> w</w:t>
            </w:r>
            <w:r w:rsidR="00835753">
              <w:rPr>
                <w:rFonts w:ascii="Times New Roman" w:hAnsi="Times New Roman"/>
                <w:i/>
                <w:sz w:val="24"/>
              </w:rPr>
              <w:t> </w:t>
            </w:r>
            <w:r w:rsidR="00835753" w:rsidRPr="00835753">
              <w:rPr>
                <w:rFonts w:ascii="Times New Roman" w:hAnsi="Times New Roman"/>
                <w:i/>
                <w:sz w:val="24"/>
              </w:rPr>
              <w:t>prz</w:t>
            </w:r>
            <w:r w:rsidRPr="00835753">
              <w:rPr>
                <w:rFonts w:ascii="Times New Roman" w:hAnsi="Times New Roman"/>
                <w:i/>
                <w:sz w:val="24"/>
              </w:rPr>
              <w:t xml:space="preserve">yszłości stała] </w:t>
            </w:r>
          </w:p>
        </w:tc>
      </w:tr>
      <w:tr w:rsidR="00CE019E" w:rsidRPr="00835753" w14:paraId="729A2261" w14:textId="77777777" w:rsidTr="001E06A3">
        <w:trPr>
          <w:trHeight w:val="259"/>
        </w:trPr>
        <w:tc>
          <w:tcPr>
            <w:tcW w:w="1030" w:type="dxa"/>
            <w:vAlign w:val="center"/>
          </w:tcPr>
          <w:p w14:paraId="5B822012"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18</w:t>
            </w:r>
          </w:p>
        </w:tc>
        <w:tc>
          <w:tcPr>
            <w:tcW w:w="7661" w:type="dxa"/>
            <w:shd w:val="clear" w:color="auto" w:fill="auto"/>
            <w:noWrap/>
            <w:vAlign w:val="bottom"/>
          </w:tcPr>
          <w:p w14:paraId="2A15445B" w14:textId="77777777" w:rsidR="00CE019E" w:rsidRPr="00835753" w:rsidRDefault="00CE019E"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 xml:space="preserve">Kupon odsetkowy oraz dowolny powiązany wskaźnik </w:t>
            </w:r>
          </w:p>
          <w:p w14:paraId="0CEC2D87" w14:textId="77777777" w:rsidR="00CE019E" w:rsidRPr="00835753" w:rsidRDefault="00CE019E"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 xml:space="preserve">Instytucje określają kupon odsetkowy instrumentu oraz dowolny powiązany wskaźnik, do którego odnosi się kupon odsetkowy/stopa dywidendy. </w:t>
            </w:r>
          </w:p>
          <w:p w14:paraId="5B9B5F0B" w14:textId="77777777"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 xml:space="preserve">Tekst dowolny </w:t>
            </w:r>
          </w:p>
        </w:tc>
      </w:tr>
      <w:tr w:rsidR="00CE019E" w:rsidRPr="00835753" w14:paraId="66F214EF" w14:textId="77777777" w:rsidTr="001E06A3">
        <w:trPr>
          <w:trHeight w:val="259"/>
        </w:trPr>
        <w:tc>
          <w:tcPr>
            <w:tcW w:w="1030" w:type="dxa"/>
            <w:vAlign w:val="center"/>
          </w:tcPr>
          <w:p w14:paraId="1E25C6F8"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19</w:t>
            </w:r>
          </w:p>
        </w:tc>
        <w:tc>
          <w:tcPr>
            <w:tcW w:w="7661" w:type="dxa"/>
            <w:shd w:val="clear" w:color="auto" w:fill="auto"/>
            <w:noWrap/>
            <w:vAlign w:val="bottom"/>
          </w:tcPr>
          <w:p w14:paraId="2A4EE8F1" w14:textId="77777777" w:rsidR="00CE019E" w:rsidRPr="00835753" w:rsidRDefault="00CE019E"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 xml:space="preserve">Istnienie zapisanych praw do niewypłacenia dywidendy </w:t>
            </w:r>
          </w:p>
          <w:p w14:paraId="304B3F04" w14:textId="6CCA2E77" w:rsidR="00CE019E" w:rsidRPr="00835753" w:rsidRDefault="00CE019E"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Instytucje określają, czy brak wypłaty kuponu lub dywidendy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 xml:space="preserve">ułu instrumentu powoduje zakaz wypłaty dywidend od akcji zwykłych (tj. czy istnieją zapisane prawa do niewypłacenia dywidendy). </w:t>
            </w:r>
          </w:p>
          <w:p w14:paraId="51BD51A5" w14:textId="143BE160"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 xml:space="preserve">u: [Tak] [Nie] </w:t>
            </w:r>
          </w:p>
        </w:tc>
      </w:tr>
      <w:tr w:rsidR="00CE019E" w:rsidRPr="00835753" w14:paraId="7D6625BA" w14:textId="77777777" w:rsidTr="001E06A3">
        <w:trPr>
          <w:trHeight w:val="259"/>
        </w:trPr>
        <w:tc>
          <w:tcPr>
            <w:tcW w:w="1030" w:type="dxa"/>
            <w:vAlign w:val="center"/>
          </w:tcPr>
          <w:p w14:paraId="701A0789"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EU-20a</w:t>
            </w:r>
          </w:p>
        </w:tc>
        <w:tc>
          <w:tcPr>
            <w:tcW w:w="7661" w:type="dxa"/>
            <w:shd w:val="clear" w:color="auto" w:fill="auto"/>
            <w:noWrap/>
            <w:vAlign w:val="bottom"/>
          </w:tcPr>
          <w:p w14:paraId="31A0167F"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 xml:space="preserve">W pełni uznaniowe, częściowo uznaniowe czy obowiązkowe (pod względem terminu) </w:t>
            </w:r>
          </w:p>
          <w:p w14:paraId="658BC633" w14:textId="324CC958"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czy emitentowi przysługuje pełna swoboda uznania, częściowa swoboda uznania czy też</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ogó</w:t>
            </w:r>
            <w:r w:rsidRPr="00835753">
              <w:rPr>
                <w:rFonts w:ascii="Times New Roman" w:hAnsi="Times New Roman"/>
                <w:sz w:val="24"/>
              </w:rPr>
              <w:t>le nie przysługuje mu swoboda uznania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wypłaty kuponu/dywidendy. Jeżeli instytucji przysługuje pełna swoboda uznania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 xml:space="preserve">resie anulowania wypłaty kuponu/dywidendy we wszystkich okolicznościach, instytucja taka musi </w:t>
            </w:r>
            <w:r w:rsidRPr="00835753">
              <w:rPr>
                <w:rFonts w:ascii="Times New Roman" w:hAnsi="Times New Roman"/>
                <w:sz w:val="24"/>
              </w:rPr>
              <w:lastRenderedPageBreak/>
              <w:t>wybrać opcję „w pełni uznaniowe” (w tym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gdy istnieją zapisane prawa do niewypłacenia dywidendy, które nie wywołują skutku uniemożliwiającego instytucji anulowanie wypłat</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instrumentu). Jeżeli istnieją warunki, które muszą zostać spełnione, zanim będzie możliwe anulowanie wypłaty (np. fundusze własne poniżej określonego progu), instytucja musi wybrać opcję „częściowo uznaniowe”. Jeżeli instytucja nie jest</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sta</w:t>
            </w:r>
            <w:r w:rsidRPr="00835753">
              <w:rPr>
                <w:rFonts w:ascii="Times New Roman" w:hAnsi="Times New Roman"/>
                <w:sz w:val="24"/>
              </w:rPr>
              <w:t>nie anulować wypłaty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inn</w:t>
            </w:r>
            <w:r w:rsidRPr="00835753">
              <w:rPr>
                <w:rFonts w:ascii="Times New Roman" w:hAnsi="Times New Roman"/>
                <w:sz w:val="24"/>
              </w:rPr>
              <w:t>y sposób niż</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postępowania upadłościowego, instytucja musi wybrać opcję „obowiązkowe”.</w:t>
            </w:r>
          </w:p>
          <w:p w14:paraId="3E3F77FB" w14:textId="54495D65"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[W pełni uznaniowe] [Częściowo uznaniowe] [Obowiązkowe]</w:t>
            </w:r>
          </w:p>
          <w:p w14:paraId="23EAAFC7"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i/>
                <w:sz w:val="24"/>
              </w:rPr>
              <w:t>Tekst dowolny (należy określić przyczyny uznaniowości, istnienie zapisanych praw do wypłacenia dywidendy, zapisanych praw do niewypłacenia dywidendy, alternatywnych mechanizmów wypłaty kuponu (mechanizmów ACSM)).</w:t>
            </w:r>
          </w:p>
        </w:tc>
      </w:tr>
      <w:tr w:rsidR="00CE019E" w:rsidRPr="00835753" w14:paraId="3A5F167A" w14:textId="77777777" w:rsidTr="001E06A3">
        <w:trPr>
          <w:trHeight w:val="259"/>
        </w:trPr>
        <w:tc>
          <w:tcPr>
            <w:tcW w:w="1030" w:type="dxa"/>
            <w:vAlign w:val="center"/>
          </w:tcPr>
          <w:p w14:paraId="52C258DD"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lastRenderedPageBreak/>
              <w:t>EU-20b</w:t>
            </w:r>
          </w:p>
        </w:tc>
        <w:tc>
          <w:tcPr>
            <w:tcW w:w="7661" w:type="dxa"/>
            <w:shd w:val="clear" w:color="auto" w:fill="auto"/>
            <w:noWrap/>
            <w:vAlign w:val="bottom"/>
          </w:tcPr>
          <w:p w14:paraId="04D7FFB7"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 xml:space="preserve">W pełni uznaniowe, częściowo uznaniowe czy obowiązkowe (pod względem kwoty) </w:t>
            </w:r>
          </w:p>
          <w:p w14:paraId="6D79B265" w14:textId="17B85F0C"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czy emitentowi przysługuje pełna swoboda uznania, częściowa swoboda uznania, czy też</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ogó</w:t>
            </w:r>
            <w:r w:rsidRPr="00835753">
              <w:rPr>
                <w:rFonts w:ascii="Times New Roman" w:hAnsi="Times New Roman"/>
                <w:sz w:val="24"/>
              </w:rPr>
              <w:t>le nie przysługuje mu swoboda uznania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kwoty kuponu/dywidendy.</w:t>
            </w:r>
          </w:p>
          <w:p w14:paraId="70BDBF41" w14:textId="0450D187"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[W pełni uznaniowe] [Częściowo uznaniowe] [Obowiązkowe]</w:t>
            </w:r>
          </w:p>
        </w:tc>
      </w:tr>
      <w:tr w:rsidR="00CE019E" w:rsidRPr="00835753" w14:paraId="221598C6" w14:textId="77777777" w:rsidTr="001E06A3">
        <w:trPr>
          <w:trHeight w:val="259"/>
        </w:trPr>
        <w:tc>
          <w:tcPr>
            <w:tcW w:w="1030" w:type="dxa"/>
            <w:vAlign w:val="center"/>
          </w:tcPr>
          <w:p w14:paraId="6CEE1584"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21</w:t>
            </w:r>
          </w:p>
        </w:tc>
        <w:tc>
          <w:tcPr>
            <w:tcW w:w="7661" w:type="dxa"/>
            <w:shd w:val="clear" w:color="auto" w:fill="auto"/>
            <w:noWrap/>
            <w:vAlign w:val="bottom"/>
          </w:tcPr>
          <w:p w14:paraId="04BC68EF" w14:textId="0C661A65"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Istnienie opcji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opr</w:t>
            </w:r>
            <w:r w:rsidRPr="00835753">
              <w:rPr>
                <w:rFonts w:ascii="Times New Roman" w:hAnsi="Times New Roman"/>
                <w:sz w:val="24"/>
              </w:rPr>
              <w:t>ocentowaniem rosnącym lub innej zachęty do wykupu</w:t>
            </w:r>
          </w:p>
          <w:p w14:paraId="4B125597"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czy istnieje opcja oprocentowania rosnącego lub innej zachęty do wykupu.</w:t>
            </w:r>
          </w:p>
          <w:p w14:paraId="196A679C" w14:textId="1A3B6FAD"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[Tak] [Nie]</w:t>
            </w:r>
          </w:p>
        </w:tc>
      </w:tr>
      <w:tr w:rsidR="00CE019E" w:rsidRPr="00835753" w14:paraId="7F13F52F" w14:textId="77777777" w:rsidTr="001E06A3">
        <w:trPr>
          <w:trHeight w:val="259"/>
        </w:trPr>
        <w:tc>
          <w:tcPr>
            <w:tcW w:w="1030" w:type="dxa"/>
            <w:vAlign w:val="center"/>
          </w:tcPr>
          <w:p w14:paraId="3192BA40"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22</w:t>
            </w:r>
          </w:p>
        </w:tc>
        <w:tc>
          <w:tcPr>
            <w:tcW w:w="7661" w:type="dxa"/>
            <w:shd w:val="clear" w:color="auto" w:fill="auto"/>
            <w:noWrap/>
            <w:vAlign w:val="bottom"/>
          </w:tcPr>
          <w:p w14:paraId="64FFE651"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Nieskumulowane czy skumulowane</w:t>
            </w:r>
          </w:p>
          <w:p w14:paraId="48338CB0"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czy dywidendy/kupony mają charakter kumulacyjny czy niekumulacyjny.</w:t>
            </w:r>
          </w:p>
          <w:p w14:paraId="7CA91EEA" w14:textId="12CAF163"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[Niekumulacyjny] [Kumulacyjny] [Mechanizmy ACSM]</w:t>
            </w:r>
          </w:p>
        </w:tc>
      </w:tr>
      <w:tr w:rsidR="00CE019E" w:rsidRPr="00835753" w14:paraId="499ABBBA" w14:textId="77777777" w:rsidTr="001E06A3">
        <w:trPr>
          <w:trHeight w:val="259"/>
        </w:trPr>
        <w:tc>
          <w:tcPr>
            <w:tcW w:w="1030" w:type="dxa"/>
            <w:vAlign w:val="center"/>
          </w:tcPr>
          <w:p w14:paraId="3BB207C8"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23</w:t>
            </w:r>
          </w:p>
        </w:tc>
        <w:tc>
          <w:tcPr>
            <w:tcW w:w="7661" w:type="dxa"/>
            <w:shd w:val="clear" w:color="auto" w:fill="auto"/>
            <w:noWrap/>
            <w:vAlign w:val="bottom"/>
          </w:tcPr>
          <w:p w14:paraId="37E1594D"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Zamienne czy niezamienne</w:t>
            </w:r>
          </w:p>
          <w:p w14:paraId="5B2BAA0D" w14:textId="72286366"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czy instrument jest zamienny czy nie.</w:t>
            </w:r>
          </w:p>
          <w:p w14:paraId="35278EB6" w14:textId="029DDB34"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[Zamienny] [Niezamienny]</w:t>
            </w:r>
          </w:p>
        </w:tc>
      </w:tr>
      <w:tr w:rsidR="00CE019E" w:rsidRPr="00835753" w14:paraId="477E749E" w14:textId="77777777" w:rsidTr="001E06A3">
        <w:trPr>
          <w:trHeight w:val="259"/>
        </w:trPr>
        <w:tc>
          <w:tcPr>
            <w:tcW w:w="1030" w:type="dxa"/>
            <w:vAlign w:val="center"/>
          </w:tcPr>
          <w:p w14:paraId="50209FB8"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24</w:t>
            </w:r>
          </w:p>
        </w:tc>
        <w:tc>
          <w:tcPr>
            <w:tcW w:w="7661" w:type="dxa"/>
            <w:shd w:val="clear" w:color="auto" w:fill="auto"/>
            <w:noWrap/>
            <w:vAlign w:val="bottom"/>
          </w:tcPr>
          <w:p w14:paraId="0E9C24D2"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Jeżeli zamienne, zdarzenie lub zdarzenia wywołujące zamianę</w:t>
            </w:r>
          </w:p>
          <w:p w14:paraId="173D5100" w14:textId="5EF5A0EA"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warunki, po spełnieniu których instrument zostanie poddany konwersji,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uwz</w:t>
            </w:r>
            <w:r w:rsidRPr="00835753">
              <w:rPr>
                <w:rFonts w:ascii="Times New Roman" w:hAnsi="Times New Roman"/>
                <w:sz w:val="24"/>
              </w:rPr>
              <w:t xml:space="preserve">ględnieniem momentu utraty rentowności. Jeżeli </w:t>
            </w:r>
            <w:r w:rsidRPr="00835753">
              <w:rPr>
                <w:rFonts w:ascii="Times New Roman" w:hAnsi="Times New Roman"/>
                <w:sz w:val="24"/>
              </w:rPr>
              <w:lastRenderedPageBreak/>
              <w:t>konwersję może uruchomić jeden organ lub większa ich liczba, należy sporządzić wykaz takich organów</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każdego</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ich organów należy określić, czy podstawę prawną uruchomienia konwersji przez dany organ stanowią warunki umowy regulującej dany instrument (podejście oparte na umowach) czy też środki ustawowe (podejście ustawowe).</w:t>
            </w:r>
          </w:p>
          <w:p w14:paraId="26593622" w14:textId="77777777"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Tekst dowolny</w:t>
            </w:r>
          </w:p>
        </w:tc>
      </w:tr>
      <w:tr w:rsidR="00CE019E" w:rsidRPr="00835753" w14:paraId="5EB940CC" w14:textId="77777777" w:rsidTr="001E06A3">
        <w:trPr>
          <w:trHeight w:val="259"/>
        </w:trPr>
        <w:tc>
          <w:tcPr>
            <w:tcW w:w="1030" w:type="dxa"/>
            <w:vAlign w:val="center"/>
          </w:tcPr>
          <w:p w14:paraId="594CA910"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lastRenderedPageBreak/>
              <w:t>25</w:t>
            </w:r>
          </w:p>
        </w:tc>
        <w:tc>
          <w:tcPr>
            <w:tcW w:w="7661" w:type="dxa"/>
            <w:shd w:val="clear" w:color="auto" w:fill="auto"/>
            <w:noWrap/>
            <w:vAlign w:val="bottom"/>
          </w:tcPr>
          <w:p w14:paraId="6CFEB894" w14:textId="78D60042"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Jeżeli zamienne,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peł</w:t>
            </w:r>
            <w:r w:rsidRPr="00835753">
              <w:rPr>
                <w:rFonts w:ascii="Times New Roman" w:hAnsi="Times New Roman"/>
                <w:sz w:val="24"/>
              </w:rPr>
              <w:t>ni czy częściowo</w:t>
            </w:r>
          </w:p>
          <w:p w14:paraId="02FC09F1"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czy instrument będzie zawsze podlegał pełnej konwersji, może podlegać pełnej lub częściowej konwersji, czy też zawsze będzie podlegał częściowej konwersji.</w:t>
            </w:r>
          </w:p>
          <w:p w14:paraId="1A1625EA" w14:textId="69E4453E"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[Zawsze pełna] [Pełna lub częściowa] [Zawsze częściowa]</w:t>
            </w:r>
          </w:p>
        </w:tc>
      </w:tr>
      <w:tr w:rsidR="00CE019E" w:rsidRPr="00835753" w14:paraId="0F954609" w14:textId="77777777" w:rsidTr="001E06A3">
        <w:trPr>
          <w:trHeight w:val="259"/>
        </w:trPr>
        <w:tc>
          <w:tcPr>
            <w:tcW w:w="1030" w:type="dxa"/>
            <w:vAlign w:val="center"/>
          </w:tcPr>
          <w:p w14:paraId="03F7CB33"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26</w:t>
            </w:r>
          </w:p>
        </w:tc>
        <w:tc>
          <w:tcPr>
            <w:tcW w:w="7661" w:type="dxa"/>
            <w:shd w:val="clear" w:color="auto" w:fill="auto"/>
            <w:noWrap/>
            <w:vAlign w:val="bottom"/>
          </w:tcPr>
          <w:p w14:paraId="543B0505"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Jeżeli zamienne, wskaźnik konwersji</w:t>
            </w:r>
          </w:p>
          <w:p w14:paraId="773C7212" w14:textId="42DD1D55"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wskaźnik konwersji na instrumenty</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wię</w:t>
            </w:r>
            <w:r w:rsidRPr="00835753">
              <w:rPr>
                <w:rFonts w:ascii="Times New Roman" w:hAnsi="Times New Roman"/>
                <w:sz w:val="24"/>
              </w:rPr>
              <w:t xml:space="preserve">kszej zdolności do absorpcji strat. </w:t>
            </w:r>
          </w:p>
          <w:p w14:paraId="64F113E6" w14:textId="77777777"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Tekst dowolny</w:t>
            </w:r>
          </w:p>
        </w:tc>
      </w:tr>
      <w:tr w:rsidR="00CE019E" w:rsidRPr="00835753" w14:paraId="408B515F" w14:textId="77777777" w:rsidTr="001E06A3">
        <w:trPr>
          <w:trHeight w:val="259"/>
        </w:trPr>
        <w:tc>
          <w:tcPr>
            <w:tcW w:w="1030" w:type="dxa"/>
            <w:vAlign w:val="center"/>
          </w:tcPr>
          <w:p w14:paraId="6CAC74D3"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27</w:t>
            </w:r>
          </w:p>
        </w:tc>
        <w:tc>
          <w:tcPr>
            <w:tcW w:w="7661" w:type="dxa"/>
            <w:shd w:val="clear" w:color="auto" w:fill="auto"/>
            <w:noWrap/>
            <w:vAlign w:val="bottom"/>
          </w:tcPr>
          <w:p w14:paraId="2F0AAD47"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Jeżeli zamienne, zamiana obowiązkowa czy opcjonalna</w:t>
            </w:r>
          </w:p>
          <w:p w14:paraId="47A6428D"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 xml:space="preserve">W odniesieniu do instrumentów zamiennych instytucje określają, czy konwersja jest obowiązkowa czy opcjonalna. </w:t>
            </w:r>
          </w:p>
          <w:p w14:paraId="5053F92F" w14:textId="68D6122E"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[Obowiązkowa] [Opcjonalna] [Nie dotyczy] oraz [Z inicjatywy posiadaczy] [Z inicjatywy emitenta] [Z inicjatywy zarówno posiadaczy, jak</w:t>
            </w:r>
            <w:r w:rsidR="00835753" w:rsidRPr="00835753">
              <w:rPr>
                <w:rFonts w:ascii="Times New Roman" w:hAnsi="Times New Roman"/>
                <w:i/>
                <w:sz w:val="24"/>
              </w:rPr>
              <w:t xml:space="preserve"> i</w:t>
            </w:r>
            <w:r w:rsidR="00835753">
              <w:rPr>
                <w:rFonts w:ascii="Times New Roman" w:hAnsi="Times New Roman"/>
                <w:i/>
                <w:sz w:val="24"/>
              </w:rPr>
              <w:t> </w:t>
            </w:r>
            <w:r w:rsidR="00835753" w:rsidRPr="00835753">
              <w:rPr>
                <w:rFonts w:ascii="Times New Roman" w:hAnsi="Times New Roman"/>
                <w:i/>
                <w:sz w:val="24"/>
              </w:rPr>
              <w:t>emi</w:t>
            </w:r>
            <w:r w:rsidRPr="00835753">
              <w:rPr>
                <w:rFonts w:ascii="Times New Roman" w:hAnsi="Times New Roman"/>
                <w:i/>
                <w:sz w:val="24"/>
              </w:rPr>
              <w:t>tenta]</w:t>
            </w:r>
          </w:p>
        </w:tc>
      </w:tr>
      <w:tr w:rsidR="00CE019E" w:rsidRPr="00835753" w14:paraId="3DEDFF0C" w14:textId="77777777" w:rsidTr="001E06A3">
        <w:trPr>
          <w:trHeight w:val="259"/>
        </w:trPr>
        <w:tc>
          <w:tcPr>
            <w:tcW w:w="1030" w:type="dxa"/>
            <w:vAlign w:val="center"/>
          </w:tcPr>
          <w:p w14:paraId="3BBD866C"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28</w:t>
            </w:r>
          </w:p>
        </w:tc>
        <w:tc>
          <w:tcPr>
            <w:tcW w:w="7661" w:type="dxa"/>
            <w:shd w:val="clear" w:color="auto" w:fill="auto"/>
            <w:noWrap/>
            <w:vAlign w:val="bottom"/>
          </w:tcPr>
          <w:p w14:paraId="70DAC010"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Jeżeli zamienne, należy określić rodzaj instrumentu, na który można dokonać zamiany</w:t>
            </w:r>
          </w:p>
          <w:p w14:paraId="1307160F" w14:textId="550F2279"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W odniesieniu do instrumentów zamiennych instytucje określają rodzaj instrumentu, na który można dokonać zamiany. Pomaga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oce</w:t>
            </w:r>
            <w:r w:rsidRPr="00835753">
              <w:rPr>
                <w:rFonts w:ascii="Times New Roman" w:hAnsi="Times New Roman"/>
                <w:sz w:val="24"/>
              </w:rPr>
              <w:t>nie zdolności do absorpcji strat.</w:t>
            </w:r>
          </w:p>
          <w:p w14:paraId="11E5F4D3" w14:textId="0F945BFB"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[Kapitał podstawowy Tier I] [Kapitał dodatkowy Tier I] [Tier II] [Inne]</w:t>
            </w:r>
          </w:p>
        </w:tc>
      </w:tr>
      <w:tr w:rsidR="00CE019E" w:rsidRPr="00835753" w14:paraId="6F05A38C" w14:textId="77777777" w:rsidTr="001E06A3">
        <w:trPr>
          <w:trHeight w:val="259"/>
        </w:trPr>
        <w:tc>
          <w:tcPr>
            <w:tcW w:w="1030" w:type="dxa"/>
            <w:vAlign w:val="center"/>
          </w:tcPr>
          <w:p w14:paraId="6E5E3245"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29</w:t>
            </w:r>
          </w:p>
        </w:tc>
        <w:tc>
          <w:tcPr>
            <w:tcW w:w="7661" w:type="dxa"/>
            <w:shd w:val="clear" w:color="auto" w:fill="auto"/>
            <w:noWrap/>
            <w:vAlign w:val="bottom"/>
          </w:tcPr>
          <w:p w14:paraId="2EBB62C6"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Jeżeli zamienne, należy określić emitenta instrumentu, na który dokonuje się zamiany</w:t>
            </w:r>
          </w:p>
          <w:p w14:paraId="65C91A5F" w14:textId="77777777"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Tekst dowolny</w:t>
            </w:r>
          </w:p>
        </w:tc>
      </w:tr>
      <w:tr w:rsidR="00CE019E" w:rsidRPr="00835753" w14:paraId="69167790" w14:textId="77777777" w:rsidTr="001E06A3">
        <w:trPr>
          <w:trHeight w:val="259"/>
        </w:trPr>
        <w:tc>
          <w:tcPr>
            <w:tcW w:w="1030" w:type="dxa"/>
            <w:vAlign w:val="center"/>
          </w:tcPr>
          <w:p w14:paraId="4660276C"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30</w:t>
            </w:r>
          </w:p>
        </w:tc>
        <w:tc>
          <w:tcPr>
            <w:tcW w:w="7661" w:type="dxa"/>
            <w:shd w:val="clear" w:color="auto" w:fill="auto"/>
            <w:noWrap/>
            <w:vAlign w:val="bottom"/>
          </w:tcPr>
          <w:p w14:paraId="71D533EC"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Odpisy obniżające wartość</w:t>
            </w:r>
          </w:p>
          <w:p w14:paraId="1B35CED6"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 xml:space="preserve">Instytucje określają, czy istnieją odpisy obniżające wartość. </w:t>
            </w:r>
          </w:p>
          <w:p w14:paraId="7A4CA302" w14:textId="73E6628D"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lastRenderedPageBreak/>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[Tak] [Nie]</w:t>
            </w:r>
          </w:p>
        </w:tc>
      </w:tr>
      <w:tr w:rsidR="00CE019E" w:rsidRPr="00835753" w14:paraId="2D364F63" w14:textId="77777777" w:rsidTr="001E06A3">
        <w:trPr>
          <w:trHeight w:val="259"/>
        </w:trPr>
        <w:tc>
          <w:tcPr>
            <w:tcW w:w="1030" w:type="dxa"/>
            <w:vAlign w:val="center"/>
          </w:tcPr>
          <w:p w14:paraId="1DF5C8A0"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lastRenderedPageBreak/>
              <w:t>31</w:t>
            </w:r>
          </w:p>
        </w:tc>
        <w:tc>
          <w:tcPr>
            <w:tcW w:w="7661" w:type="dxa"/>
            <w:shd w:val="clear" w:color="auto" w:fill="auto"/>
            <w:noWrap/>
            <w:vAlign w:val="bottom"/>
          </w:tcPr>
          <w:p w14:paraId="791E5885" w14:textId="77777777" w:rsidR="00CE019E" w:rsidRPr="00835753" w:rsidRDefault="00CE019E"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W przypadku odpisu obniżającego wartość, zdarzenie lub zdarzenia wywołujące odpis obniżający wartość</w:t>
            </w:r>
          </w:p>
          <w:p w14:paraId="1C36E193" w14:textId="7E4EAC94" w:rsidR="00CE019E" w:rsidRPr="00835753" w:rsidRDefault="00CE019E" w:rsidP="001E06A3">
            <w:pPr>
              <w:autoSpaceDE w:val="0"/>
              <w:autoSpaceDN w:val="0"/>
              <w:adjustRightInd w:val="0"/>
              <w:spacing w:after="200"/>
              <w:jc w:val="both"/>
              <w:rPr>
                <w:rFonts w:ascii="Times New Roman" w:eastAsia="Times New Roman" w:hAnsi="Times New Roman" w:cs="Times New Roman"/>
                <w:sz w:val="24"/>
              </w:rPr>
            </w:pPr>
            <w:r w:rsidRPr="00835753">
              <w:rPr>
                <w:rFonts w:ascii="Times New Roman" w:hAnsi="Times New Roman"/>
                <w:sz w:val="24"/>
              </w:rPr>
              <w:t>Instytucje określają zdarzenia wywołujące odpisy obniżające wartość,</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uwz</w:t>
            </w:r>
            <w:r w:rsidRPr="00835753">
              <w:rPr>
                <w:rFonts w:ascii="Times New Roman" w:hAnsi="Times New Roman"/>
                <w:sz w:val="24"/>
              </w:rPr>
              <w:t>ględnieniem momentu utraty rentowności. Jeżeli odpis obniżający wartość może uruchomić jeden organ lub większa ich liczba, należy sporządzić wykaz takich organów</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każdego</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 xml:space="preserve">ich organów należy określić, czy podstawę prawną uruchomienia odpisu obniżającego wartość przez dany organ stanowią warunki umowy regulującej dany instrument (podejście oparte na umowach) czy też środki ustawowe (podejście ustawowe). </w:t>
            </w:r>
          </w:p>
          <w:p w14:paraId="0078969A" w14:textId="77777777"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Tekst dowolny</w:t>
            </w:r>
          </w:p>
        </w:tc>
      </w:tr>
      <w:tr w:rsidR="00CE019E" w:rsidRPr="00835753" w14:paraId="066063AD" w14:textId="77777777" w:rsidTr="001E06A3">
        <w:trPr>
          <w:trHeight w:val="259"/>
        </w:trPr>
        <w:tc>
          <w:tcPr>
            <w:tcW w:w="1030" w:type="dxa"/>
            <w:vAlign w:val="center"/>
          </w:tcPr>
          <w:p w14:paraId="179060B6"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32</w:t>
            </w:r>
          </w:p>
        </w:tc>
        <w:tc>
          <w:tcPr>
            <w:tcW w:w="7661" w:type="dxa"/>
            <w:shd w:val="clear" w:color="auto" w:fill="auto"/>
            <w:noWrap/>
            <w:vAlign w:val="bottom"/>
          </w:tcPr>
          <w:p w14:paraId="18DAD9A2" w14:textId="6395E1CA"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W przypadku odpisu obniżającego wartość,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peł</w:t>
            </w:r>
            <w:r w:rsidRPr="00835753">
              <w:rPr>
                <w:rFonts w:ascii="Times New Roman" w:hAnsi="Times New Roman"/>
                <w:sz w:val="24"/>
              </w:rPr>
              <w:t>ni czy częściowo</w:t>
            </w:r>
          </w:p>
          <w:p w14:paraId="1EDBDDD4" w14:textId="0BD84700"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czy dany instrument będzie zawsze podlegał pełnemu odpisowi obniżającemu wartość, może podlegać pełnemu lub częściowemu odpisowi obniżającemu wartość, czy też zawsze będzie podlegał częściowemu odpisowi obniżającemu wartość. Pomaga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oce</w:t>
            </w:r>
            <w:r w:rsidRPr="00835753">
              <w:rPr>
                <w:rFonts w:ascii="Times New Roman" w:hAnsi="Times New Roman"/>
                <w:sz w:val="24"/>
              </w:rPr>
              <w:t>nie poziomu zdolności do absorpcji strat</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odpisu obniżającego wartość.</w:t>
            </w:r>
          </w:p>
          <w:p w14:paraId="73D9D229" w14:textId="15F659EF"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[Zawsze pełny] [Pełny lub częściowy] [Zawsze częściowy]</w:t>
            </w:r>
          </w:p>
        </w:tc>
      </w:tr>
      <w:tr w:rsidR="00CE019E" w:rsidRPr="00835753" w14:paraId="5B3D931E" w14:textId="77777777" w:rsidTr="001E06A3">
        <w:trPr>
          <w:trHeight w:val="259"/>
        </w:trPr>
        <w:tc>
          <w:tcPr>
            <w:tcW w:w="1030" w:type="dxa"/>
            <w:vAlign w:val="center"/>
          </w:tcPr>
          <w:p w14:paraId="3ADC8797"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33</w:t>
            </w:r>
          </w:p>
        </w:tc>
        <w:tc>
          <w:tcPr>
            <w:tcW w:w="7661" w:type="dxa"/>
            <w:shd w:val="clear" w:color="auto" w:fill="auto"/>
            <w:noWrap/>
            <w:vAlign w:val="bottom"/>
          </w:tcPr>
          <w:p w14:paraId="394A77FC"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W przypadku odpisu obniżającego wartość, trwale czy tymczasowo</w:t>
            </w:r>
          </w:p>
          <w:p w14:paraId="78E9C700" w14:textId="41C73902"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W odniesieniu do instrumentu</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 xml:space="preserve">isem obniżającym wartość instytucje określają, czy odpis taki ma charakter trwały czy tymczasowy. </w:t>
            </w:r>
          </w:p>
          <w:p w14:paraId="3B843DA4" w14:textId="58A49C60"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[Trwały] [Tymczasowy] [Nie dotyczy]</w:t>
            </w:r>
          </w:p>
        </w:tc>
      </w:tr>
      <w:tr w:rsidR="00CE019E" w:rsidRPr="00835753" w14:paraId="05FD4A2F" w14:textId="77777777" w:rsidTr="001E06A3">
        <w:trPr>
          <w:trHeight w:val="259"/>
        </w:trPr>
        <w:tc>
          <w:tcPr>
            <w:tcW w:w="1030" w:type="dxa"/>
            <w:vAlign w:val="center"/>
          </w:tcPr>
          <w:p w14:paraId="6441DE3B"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34</w:t>
            </w:r>
          </w:p>
        </w:tc>
        <w:tc>
          <w:tcPr>
            <w:tcW w:w="7661" w:type="dxa"/>
            <w:shd w:val="clear" w:color="auto" w:fill="auto"/>
            <w:noWrap/>
            <w:vAlign w:val="bottom"/>
          </w:tcPr>
          <w:p w14:paraId="4DF772B2"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 xml:space="preserve">W przypadku tymczasowego odpisu obniżającego wartość, opis mechanizmu odpisu obniżającego wartość </w:t>
            </w:r>
          </w:p>
          <w:p w14:paraId="28F7FAC5"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opisują mechanizm odpisu obniżającego wartość.</w:t>
            </w:r>
          </w:p>
          <w:p w14:paraId="4C5C24D1" w14:textId="77777777"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Tekst dowolny</w:t>
            </w:r>
          </w:p>
        </w:tc>
      </w:tr>
      <w:tr w:rsidR="00CE019E" w:rsidRPr="00835753" w14:paraId="2566DD77" w14:textId="77777777" w:rsidTr="001E06A3">
        <w:trPr>
          <w:trHeight w:val="259"/>
        </w:trPr>
        <w:tc>
          <w:tcPr>
            <w:tcW w:w="1030" w:type="dxa"/>
            <w:vAlign w:val="center"/>
          </w:tcPr>
          <w:p w14:paraId="6113A1E6"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34a</w:t>
            </w:r>
          </w:p>
        </w:tc>
        <w:tc>
          <w:tcPr>
            <w:tcW w:w="7661" w:type="dxa"/>
            <w:shd w:val="clear" w:color="auto" w:fill="auto"/>
            <w:noWrap/>
            <w:vAlign w:val="bottom"/>
          </w:tcPr>
          <w:p w14:paraId="4936D091" w14:textId="28AAB58E"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Rodzaj podporządkowania (tylko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zobowiązań kwalifikowalnych)</w:t>
            </w:r>
          </w:p>
          <w:p w14:paraId="56EC269D" w14:textId="2A0F0666"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czy dany instrument spełnia warunki dotyczące dowolnego rodzaju podporządkowania spośród rodzajów opisanych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72b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 xml:space="preserve">d) ppkt (i), (ii) i (iii) CRR. </w:t>
            </w:r>
          </w:p>
          <w:p w14:paraId="3C922A01" w14:textId="7441396A"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w:t>
            </w:r>
          </w:p>
          <w:p w14:paraId="4E624174" w14:textId="47C1BA10"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 xml:space="preserve"> [Umowne], jeżeli dany instrument spełnia wymogi określone</w:t>
            </w:r>
            <w:r w:rsidR="00835753" w:rsidRPr="00835753">
              <w:rPr>
                <w:rFonts w:ascii="Times New Roman" w:hAnsi="Times New Roman"/>
                <w:i/>
                <w:sz w:val="24"/>
              </w:rPr>
              <w:t xml:space="preserve"> w</w:t>
            </w:r>
            <w:r w:rsidR="00835753">
              <w:rPr>
                <w:rFonts w:ascii="Times New Roman" w:hAnsi="Times New Roman"/>
                <w:i/>
                <w:sz w:val="24"/>
              </w:rPr>
              <w:t> </w:t>
            </w:r>
            <w:r w:rsidR="00835753" w:rsidRPr="00835753">
              <w:rPr>
                <w:rFonts w:ascii="Times New Roman" w:hAnsi="Times New Roman"/>
                <w:i/>
                <w:sz w:val="24"/>
              </w:rPr>
              <w:t>art</w:t>
            </w:r>
            <w:r w:rsidRPr="00835753">
              <w:rPr>
                <w:rFonts w:ascii="Times New Roman" w:hAnsi="Times New Roman"/>
                <w:i/>
                <w:sz w:val="24"/>
              </w:rPr>
              <w:t>.</w:t>
            </w:r>
            <w:r w:rsidR="00835753" w:rsidRPr="00835753">
              <w:rPr>
                <w:rFonts w:ascii="Times New Roman" w:hAnsi="Times New Roman"/>
                <w:i/>
                <w:sz w:val="24"/>
              </w:rPr>
              <w:t> </w:t>
            </w:r>
            <w:r w:rsidRPr="00835753">
              <w:rPr>
                <w:rFonts w:ascii="Times New Roman" w:hAnsi="Times New Roman"/>
                <w:i/>
                <w:sz w:val="24"/>
              </w:rPr>
              <w:t>72b ust.</w:t>
            </w:r>
            <w:r w:rsidR="00835753" w:rsidRPr="00835753">
              <w:rPr>
                <w:rFonts w:ascii="Times New Roman" w:hAnsi="Times New Roman"/>
                <w:i/>
                <w:sz w:val="24"/>
              </w:rPr>
              <w:t> </w:t>
            </w:r>
            <w:r w:rsidRPr="00835753">
              <w:rPr>
                <w:rFonts w:ascii="Times New Roman" w:hAnsi="Times New Roman"/>
                <w:i/>
                <w:sz w:val="24"/>
              </w:rPr>
              <w:t>2 lit.</w:t>
            </w:r>
            <w:r w:rsidR="00835753" w:rsidRPr="00835753">
              <w:rPr>
                <w:rFonts w:ascii="Times New Roman" w:hAnsi="Times New Roman"/>
                <w:i/>
                <w:sz w:val="24"/>
              </w:rPr>
              <w:t> </w:t>
            </w:r>
            <w:r w:rsidRPr="00835753">
              <w:rPr>
                <w:rFonts w:ascii="Times New Roman" w:hAnsi="Times New Roman"/>
                <w:i/>
                <w:sz w:val="24"/>
              </w:rPr>
              <w:t>d) ppkt (i) CRR;</w:t>
            </w:r>
          </w:p>
          <w:p w14:paraId="2A75D7DB" w14:textId="28E09B08"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lastRenderedPageBreak/>
              <w:t xml:space="preserve"> [Prawne], jeżeli dany instrument spełnia wymogi określone</w:t>
            </w:r>
            <w:r w:rsidR="00835753" w:rsidRPr="00835753">
              <w:rPr>
                <w:rFonts w:ascii="Times New Roman" w:hAnsi="Times New Roman"/>
                <w:i/>
                <w:sz w:val="24"/>
              </w:rPr>
              <w:t xml:space="preserve"> w</w:t>
            </w:r>
            <w:r w:rsidR="00835753">
              <w:rPr>
                <w:rFonts w:ascii="Times New Roman" w:hAnsi="Times New Roman"/>
                <w:i/>
                <w:sz w:val="24"/>
              </w:rPr>
              <w:t> </w:t>
            </w:r>
            <w:r w:rsidR="00835753" w:rsidRPr="00835753">
              <w:rPr>
                <w:rFonts w:ascii="Times New Roman" w:hAnsi="Times New Roman"/>
                <w:i/>
                <w:sz w:val="24"/>
              </w:rPr>
              <w:t>art</w:t>
            </w:r>
            <w:r w:rsidRPr="00835753">
              <w:rPr>
                <w:rFonts w:ascii="Times New Roman" w:hAnsi="Times New Roman"/>
                <w:i/>
                <w:sz w:val="24"/>
              </w:rPr>
              <w:t>.</w:t>
            </w:r>
            <w:r w:rsidR="00835753" w:rsidRPr="00835753">
              <w:rPr>
                <w:rFonts w:ascii="Times New Roman" w:hAnsi="Times New Roman"/>
                <w:i/>
                <w:sz w:val="24"/>
              </w:rPr>
              <w:t> </w:t>
            </w:r>
            <w:r w:rsidRPr="00835753">
              <w:rPr>
                <w:rFonts w:ascii="Times New Roman" w:hAnsi="Times New Roman"/>
                <w:i/>
                <w:sz w:val="24"/>
              </w:rPr>
              <w:t>72b ust.</w:t>
            </w:r>
            <w:r w:rsidR="00835753" w:rsidRPr="00835753">
              <w:rPr>
                <w:rFonts w:ascii="Times New Roman" w:hAnsi="Times New Roman"/>
                <w:i/>
                <w:sz w:val="24"/>
              </w:rPr>
              <w:t> </w:t>
            </w:r>
            <w:r w:rsidRPr="00835753">
              <w:rPr>
                <w:rFonts w:ascii="Times New Roman" w:hAnsi="Times New Roman"/>
                <w:i/>
                <w:sz w:val="24"/>
              </w:rPr>
              <w:t>2 lit.</w:t>
            </w:r>
            <w:r w:rsidR="00835753" w:rsidRPr="00835753">
              <w:rPr>
                <w:rFonts w:ascii="Times New Roman" w:hAnsi="Times New Roman"/>
                <w:i/>
                <w:sz w:val="24"/>
              </w:rPr>
              <w:t> </w:t>
            </w:r>
            <w:r w:rsidRPr="00835753">
              <w:rPr>
                <w:rFonts w:ascii="Times New Roman" w:hAnsi="Times New Roman"/>
                <w:i/>
                <w:sz w:val="24"/>
              </w:rPr>
              <w:t>d) ppkt (ii) CRR;</w:t>
            </w:r>
          </w:p>
          <w:p w14:paraId="05E6C8CD" w14:textId="3A43A6FE"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[Strukturalne], jeżeli dany instrument spełnia wymogi określone</w:t>
            </w:r>
            <w:r w:rsidR="00835753" w:rsidRPr="00835753">
              <w:rPr>
                <w:rFonts w:ascii="Times New Roman" w:hAnsi="Times New Roman"/>
                <w:i/>
                <w:sz w:val="24"/>
              </w:rPr>
              <w:t xml:space="preserve"> w</w:t>
            </w:r>
            <w:r w:rsidR="00835753">
              <w:rPr>
                <w:rFonts w:ascii="Times New Roman" w:hAnsi="Times New Roman"/>
                <w:i/>
                <w:sz w:val="24"/>
              </w:rPr>
              <w:t> </w:t>
            </w:r>
            <w:r w:rsidR="00835753" w:rsidRPr="00835753">
              <w:rPr>
                <w:rFonts w:ascii="Times New Roman" w:hAnsi="Times New Roman"/>
                <w:i/>
                <w:sz w:val="24"/>
              </w:rPr>
              <w:t>art</w:t>
            </w:r>
            <w:r w:rsidRPr="00835753">
              <w:rPr>
                <w:rFonts w:ascii="Times New Roman" w:hAnsi="Times New Roman"/>
                <w:i/>
                <w:sz w:val="24"/>
              </w:rPr>
              <w:t>.</w:t>
            </w:r>
            <w:r w:rsidR="00835753" w:rsidRPr="00835753">
              <w:rPr>
                <w:rFonts w:ascii="Times New Roman" w:hAnsi="Times New Roman"/>
                <w:i/>
                <w:sz w:val="24"/>
              </w:rPr>
              <w:t> </w:t>
            </w:r>
            <w:r w:rsidRPr="00835753">
              <w:rPr>
                <w:rFonts w:ascii="Times New Roman" w:hAnsi="Times New Roman"/>
                <w:i/>
                <w:sz w:val="24"/>
              </w:rPr>
              <w:t>72b ust.</w:t>
            </w:r>
            <w:r w:rsidR="00835753" w:rsidRPr="00835753">
              <w:rPr>
                <w:rFonts w:ascii="Times New Roman" w:hAnsi="Times New Roman"/>
                <w:i/>
                <w:sz w:val="24"/>
              </w:rPr>
              <w:t> </w:t>
            </w:r>
            <w:r w:rsidRPr="00835753">
              <w:rPr>
                <w:rFonts w:ascii="Times New Roman" w:hAnsi="Times New Roman"/>
                <w:i/>
                <w:sz w:val="24"/>
              </w:rPr>
              <w:t>2 lit.</w:t>
            </w:r>
            <w:r w:rsidR="00835753" w:rsidRPr="00835753">
              <w:rPr>
                <w:rFonts w:ascii="Times New Roman" w:hAnsi="Times New Roman"/>
                <w:i/>
                <w:sz w:val="24"/>
              </w:rPr>
              <w:t> </w:t>
            </w:r>
            <w:r w:rsidRPr="00835753">
              <w:rPr>
                <w:rFonts w:ascii="Times New Roman" w:hAnsi="Times New Roman"/>
                <w:i/>
                <w:sz w:val="24"/>
              </w:rPr>
              <w:t xml:space="preserve">d) ppkt (iii) CRR; </w:t>
            </w:r>
          </w:p>
          <w:p w14:paraId="01B20498" w14:textId="7952216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i/>
                <w:sz w:val="24"/>
              </w:rPr>
              <w:t>[Wyłączenie</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pod</w:t>
            </w:r>
            <w:r w:rsidRPr="00835753">
              <w:rPr>
                <w:rFonts w:ascii="Times New Roman" w:hAnsi="Times New Roman"/>
                <w:i/>
                <w:sz w:val="24"/>
              </w:rPr>
              <w:t>porządkowania], jeżeli dany instrument nie spełnia warunków żadnej</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pow</w:t>
            </w:r>
            <w:r w:rsidRPr="00835753">
              <w:rPr>
                <w:rFonts w:ascii="Times New Roman" w:hAnsi="Times New Roman"/>
                <w:i/>
                <w:sz w:val="24"/>
              </w:rPr>
              <w:t>yższych form podporządkowania oraz pod warunkiem, że dana instytucja otrzymała zezwolenie, na podstawie art.</w:t>
            </w:r>
            <w:r w:rsidR="00835753" w:rsidRPr="00835753">
              <w:rPr>
                <w:rFonts w:ascii="Times New Roman" w:hAnsi="Times New Roman"/>
                <w:i/>
                <w:sz w:val="24"/>
              </w:rPr>
              <w:t> </w:t>
            </w:r>
            <w:r w:rsidRPr="00835753">
              <w:rPr>
                <w:rFonts w:ascii="Times New Roman" w:hAnsi="Times New Roman"/>
                <w:i/>
                <w:sz w:val="24"/>
              </w:rPr>
              <w:t>72b ust.</w:t>
            </w:r>
            <w:r w:rsidR="00835753" w:rsidRPr="00835753">
              <w:rPr>
                <w:rFonts w:ascii="Times New Roman" w:hAnsi="Times New Roman"/>
                <w:i/>
                <w:sz w:val="24"/>
              </w:rPr>
              <w:t> </w:t>
            </w:r>
            <w:r w:rsidRPr="00835753">
              <w:rPr>
                <w:rFonts w:ascii="Times New Roman" w:hAnsi="Times New Roman"/>
                <w:i/>
                <w:sz w:val="24"/>
              </w:rPr>
              <w:t>4 CRR, na ujęcie zobowiązań niepodporządkowanych</w:t>
            </w:r>
            <w:r w:rsidR="00835753" w:rsidRPr="00835753">
              <w:rPr>
                <w:rFonts w:ascii="Times New Roman" w:hAnsi="Times New Roman"/>
                <w:i/>
                <w:sz w:val="24"/>
              </w:rPr>
              <w:t xml:space="preserve"> w</w:t>
            </w:r>
            <w:r w:rsidR="00835753">
              <w:rPr>
                <w:rFonts w:ascii="Times New Roman" w:hAnsi="Times New Roman"/>
                <w:i/>
                <w:sz w:val="24"/>
              </w:rPr>
              <w:t> </w:t>
            </w:r>
            <w:r w:rsidR="00835753" w:rsidRPr="00835753">
              <w:rPr>
                <w:rFonts w:ascii="Times New Roman" w:hAnsi="Times New Roman"/>
                <w:i/>
                <w:sz w:val="24"/>
              </w:rPr>
              <w:t>poz</w:t>
            </w:r>
            <w:r w:rsidRPr="00835753">
              <w:rPr>
                <w:rFonts w:ascii="Times New Roman" w:hAnsi="Times New Roman"/>
                <w:i/>
                <w:sz w:val="24"/>
              </w:rPr>
              <w:t>ycjach zobowiązań kwalifikowalnych.</w:t>
            </w:r>
          </w:p>
        </w:tc>
      </w:tr>
      <w:tr w:rsidR="00CE019E" w:rsidRPr="00835753" w14:paraId="491E8D58" w14:textId="77777777" w:rsidTr="001E06A3">
        <w:trPr>
          <w:trHeight w:val="259"/>
        </w:trPr>
        <w:tc>
          <w:tcPr>
            <w:tcW w:w="1030" w:type="dxa"/>
            <w:vAlign w:val="center"/>
          </w:tcPr>
          <w:p w14:paraId="764AD215"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lastRenderedPageBreak/>
              <w:t>EU-34b</w:t>
            </w:r>
          </w:p>
        </w:tc>
        <w:tc>
          <w:tcPr>
            <w:tcW w:w="7661" w:type="dxa"/>
            <w:shd w:val="clear" w:color="auto" w:fill="auto"/>
            <w:noWrap/>
            <w:vAlign w:val="bottom"/>
          </w:tcPr>
          <w:p w14:paraId="2F6A54C9" w14:textId="489F39F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Stopień uprzywilejowania instrumentu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sta</w:t>
            </w:r>
            <w:r w:rsidRPr="00835753">
              <w:rPr>
                <w:rFonts w:ascii="Times New Roman" w:hAnsi="Times New Roman"/>
                <w:sz w:val="24"/>
              </w:rPr>
              <w:t>ndardowym postępowaniu upadłościowym</w:t>
            </w:r>
          </w:p>
          <w:p w14:paraId="1D435EE4" w14:textId="1DBAC8A5"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stopień uprzywilejowania instrumentu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sta</w:t>
            </w:r>
            <w:r w:rsidRPr="00835753">
              <w:rPr>
                <w:rFonts w:ascii="Times New Roman" w:hAnsi="Times New Roman"/>
                <w:sz w:val="24"/>
              </w:rPr>
              <w:t>ndardowym postępowaniu upadłościowym.</w:t>
            </w:r>
          </w:p>
          <w:p w14:paraId="3C9C0953"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i/>
                <w:sz w:val="24"/>
              </w:rPr>
              <w:t>Jak określono w [wykonawczym standardzie technicznym dotyczącym zgłaszania MREL].</w:t>
            </w:r>
          </w:p>
        </w:tc>
      </w:tr>
      <w:tr w:rsidR="00CE019E" w:rsidRPr="00835753" w14:paraId="7588DDF3" w14:textId="77777777" w:rsidTr="001E06A3">
        <w:trPr>
          <w:trHeight w:val="259"/>
        </w:trPr>
        <w:tc>
          <w:tcPr>
            <w:tcW w:w="1030" w:type="dxa"/>
            <w:vAlign w:val="center"/>
          </w:tcPr>
          <w:p w14:paraId="34213ACB"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35</w:t>
            </w:r>
          </w:p>
        </w:tc>
        <w:tc>
          <w:tcPr>
            <w:tcW w:w="7661" w:type="dxa"/>
            <w:shd w:val="clear" w:color="auto" w:fill="auto"/>
            <w:noWrap/>
            <w:vAlign w:val="bottom"/>
          </w:tcPr>
          <w:p w14:paraId="79D93EB5" w14:textId="07B11DDC"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Pozycja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hie</w:t>
            </w:r>
            <w:r w:rsidRPr="00835753">
              <w:rPr>
                <w:rFonts w:ascii="Times New Roman" w:hAnsi="Times New Roman"/>
                <w:sz w:val="24"/>
              </w:rPr>
              <w:t>rarchii podporządkowania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likwidacji (należy określić rodzaj instrumentu bezpośrednio uprzywilejowanego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danego instrumentu)</w:t>
            </w:r>
          </w:p>
          <w:p w14:paraId="1E47921A" w14:textId="4B1087BA"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instrument, któremu dany instrument jest bezpośrednio podporządkowany</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 banki określają numery kolumn dotyczące instrumentów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wyp</w:t>
            </w:r>
            <w:r w:rsidRPr="00835753">
              <w:rPr>
                <w:rFonts w:ascii="Times New Roman" w:hAnsi="Times New Roman"/>
                <w:sz w:val="24"/>
              </w:rPr>
              <w:t>ełnionej tabeli dotyczącej głównych cech, którym dany instrument jest bezpośrednio podporządkowany.</w:t>
            </w:r>
          </w:p>
          <w:p w14:paraId="3ABCBC19" w14:textId="77777777"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Tekst dowolny</w:t>
            </w:r>
          </w:p>
        </w:tc>
      </w:tr>
      <w:tr w:rsidR="00CE019E" w:rsidRPr="00835753" w14:paraId="6FC33564" w14:textId="77777777" w:rsidTr="001E06A3">
        <w:trPr>
          <w:trHeight w:val="259"/>
        </w:trPr>
        <w:tc>
          <w:tcPr>
            <w:tcW w:w="1030" w:type="dxa"/>
            <w:vAlign w:val="center"/>
          </w:tcPr>
          <w:p w14:paraId="1EB7AF70"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36</w:t>
            </w:r>
          </w:p>
        </w:tc>
        <w:tc>
          <w:tcPr>
            <w:tcW w:w="7661" w:type="dxa"/>
            <w:shd w:val="clear" w:color="auto" w:fill="auto"/>
            <w:noWrap/>
            <w:vAlign w:val="bottom"/>
          </w:tcPr>
          <w:p w14:paraId="07D20E6B"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Niezgodne cechy przejściowe</w:t>
            </w:r>
          </w:p>
          <w:p w14:paraId="207FD13A"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określają, czy istnieją cechy niezgodne.</w:t>
            </w:r>
          </w:p>
          <w:p w14:paraId="628A53F1" w14:textId="33562732"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Należy wybrać</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men</w:t>
            </w:r>
            <w:r w:rsidRPr="00835753">
              <w:rPr>
                <w:rFonts w:ascii="Times New Roman" w:hAnsi="Times New Roman"/>
                <w:i/>
                <w:sz w:val="24"/>
              </w:rPr>
              <w:t>u: [Tak] [Nie]</w:t>
            </w:r>
          </w:p>
        </w:tc>
      </w:tr>
      <w:tr w:rsidR="00CE019E" w:rsidRPr="00835753" w14:paraId="01372B12" w14:textId="77777777" w:rsidTr="001E06A3">
        <w:trPr>
          <w:trHeight w:val="259"/>
        </w:trPr>
        <w:tc>
          <w:tcPr>
            <w:tcW w:w="1030" w:type="dxa"/>
            <w:vAlign w:val="center"/>
          </w:tcPr>
          <w:p w14:paraId="2EE42C4C"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37</w:t>
            </w:r>
          </w:p>
        </w:tc>
        <w:tc>
          <w:tcPr>
            <w:tcW w:w="7661" w:type="dxa"/>
            <w:shd w:val="clear" w:color="auto" w:fill="auto"/>
            <w:noWrap/>
            <w:vAlign w:val="bottom"/>
          </w:tcPr>
          <w:p w14:paraId="028439E7"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Jeżeli tak, należy określić niezgodne cechy</w:t>
            </w:r>
          </w:p>
          <w:p w14:paraId="25AE01AD"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 xml:space="preserve">W przypadku istnienia cech niezgodnych instytucje wskazują, które cechy są niezgodne. </w:t>
            </w:r>
          </w:p>
          <w:p w14:paraId="1F830A84" w14:textId="77777777" w:rsidR="00CE019E" w:rsidRPr="00835753" w:rsidRDefault="00CE019E" w:rsidP="001E06A3">
            <w:pPr>
              <w:spacing w:after="200"/>
              <w:jc w:val="both"/>
              <w:rPr>
                <w:rFonts w:ascii="Times New Roman" w:eastAsia="Times New Roman" w:hAnsi="Times New Roman" w:cs="Times New Roman"/>
                <w:i/>
                <w:sz w:val="24"/>
              </w:rPr>
            </w:pPr>
            <w:r w:rsidRPr="00835753">
              <w:rPr>
                <w:rFonts w:ascii="Times New Roman" w:hAnsi="Times New Roman"/>
                <w:i/>
                <w:sz w:val="24"/>
              </w:rPr>
              <w:t>Tekst dowolny</w:t>
            </w:r>
          </w:p>
        </w:tc>
      </w:tr>
      <w:tr w:rsidR="00CE019E" w:rsidRPr="00835753" w14:paraId="37FB80F3" w14:textId="77777777" w:rsidTr="001E06A3">
        <w:trPr>
          <w:trHeight w:val="259"/>
        </w:trPr>
        <w:tc>
          <w:tcPr>
            <w:tcW w:w="1030" w:type="dxa"/>
            <w:vAlign w:val="center"/>
          </w:tcPr>
          <w:p w14:paraId="3C7BFF19" w14:textId="77777777" w:rsidR="00CE019E" w:rsidRPr="00835753" w:rsidRDefault="00CE019E" w:rsidP="001E06A3">
            <w:pPr>
              <w:spacing w:after="200" w:line="276" w:lineRule="auto"/>
              <w:rPr>
                <w:rFonts w:ascii="Times New Roman" w:eastAsia="Times New Roman" w:hAnsi="Times New Roman" w:cs="Times New Roman"/>
                <w:sz w:val="24"/>
              </w:rPr>
            </w:pPr>
            <w:r w:rsidRPr="00835753">
              <w:rPr>
                <w:rFonts w:ascii="Times New Roman" w:hAnsi="Times New Roman"/>
                <w:sz w:val="24"/>
              </w:rPr>
              <w:t>EU-37a</w:t>
            </w:r>
          </w:p>
        </w:tc>
        <w:tc>
          <w:tcPr>
            <w:tcW w:w="7661" w:type="dxa"/>
            <w:shd w:val="clear" w:color="auto" w:fill="auto"/>
            <w:noWrap/>
            <w:vAlign w:val="bottom"/>
          </w:tcPr>
          <w:p w14:paraId="7BF62657"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Link do pełnej treści warunków dotyczących danego instrumentu (link)</w:t>
            </w:r>
          </w:p>
          <w:p w14:paraId="2D29CF1E" w14:textId="77777777" w:rsidR="00CE019E" w:rsidRPr="00835753" w:rsidRDefault="00CE019E" w:rsidP="001E06A3">
            <w:pPr>
              <w:spacing w:after="200"/>
              <w:jc w:val="both"/>
              <w:rPr>
                <w:rFonts w:ascii="Times New Roman" w:eastAsia="Times New Roman" w:hAnsi="Times New Roman" w:cs="Times New Roman"/>
                <w:sz w:val="24"/>
              </w:rPr>
            </w:pPr>
            <w:r w:rsidRPr="00835753">
              <w:rPr>
                <w:rFonts w:ascii="Times New Roman" w:hAnsi="Times New Roman"/>
                <w:sz w:val="24"/>
              </w:rPr>
              <w:t>Instytucje umieszczają hiperłącze zapewniające dostęp do prospektu emisyjnego zawierającego wszystkie warunki dotyczące danego instrumentu.</w:t>
            </w:r>
          </w:p>
        </w:tc>
      </w:tr>
    </w:tbl>
    <w:p w14:paraId="0B169D47" w14:textId="77777777" w:rsidR="007A7DC0" w:rsidRPr="00835753" w:rsidRDefault="007A7DC0" w:rsidP="00CE019E">
      <w:pPr>
        <w:rPr>
          <w:rFonts w:ascii="Times New Roman" w:hAnsi="Times New Roman" w:cs="Times New Roman"/>
          <w:bCs/>
          <w:sz w:val="24"/>
        </w:rPr>
        <w:sectPr w:rsidR="007A7DC0" w:rsidRPr="00835753" w:rsidSect="00155C96">
          <w:pgSz w:w="11900" w:h="16840"/>
          <w:pgMar w:top="2268" w:right="1418" w:bottom="1134" w:left="1701" w:header="709" w:footer="709" w:gutter="0"/>
          <w:pgNumType w:start="1" w:chapStyle="1"/>
          <w:cols w:space="708"/>
          <w:docGrid w:linePitch="299"/>
        </w:sectPr>
      </w:pPr>
    </w:p>
    <w:p w14:paraId="3D41CD64" w14:textId="4E3B3D90" w:rsidR="00CE019E" w:rsidRPr="00835753" w:rsidRDefault="00CE019E" w:rsidP="00E258D8">
      <w:pPr>
        <w:tabs>
          <w:tab w:val="left" w:pos="1430"/>
        </w:tabs>
        <w:rPr>
          <w:rFonts w:ascii="Times New Roman" w:hAnsi="Times New Roman" w:cs="Times New Roman"/>
          <w:b/>
          <w:sz w:val="24"/>
        </w:rPr>
      </w:pPr>
    </w:p>
    <w:p w14:paraId="69D9CF70" w14:textId="77777777" w:rsidR="00CE019E" w:rsidRPr="00835753" w:rsidRDefault="00CE019E" w:rsidP="00CE019E">
      <w:pPr>
        <w:pStyle w:val="Annexetitre"/>
        <w:rPr>
          <w:b w:val="0"/>
        </w:rPr>
      </w:pPr>
      <w:r w:rsidRPr="00835753">
        <w:t>ZAŁĄCZNIK X – Instrukcje dotyczące ujawniania informacji na temat buforów antycyklicznych</w:t>
      </w:r>
    </w:p>
    <w:p w14:paraId="63F7E81B" w14:textId="77777777" w:rsidR="00CE019E" w:rsidRPr="00835753" w:rsidRDefault="00CE019E" w:rsidP="00CE019E">
      <w:pPr>
        <w:autoSpaceDE w:val="0"/>
        <w:autoSpaceDN w:val="0"/>
        <w:adjustRightInd w:val="0"/>
        <w:jc w:val="both"/>
        <w:rPr>
          <w:rFonts w:ascii="Times New Roman" w:hAnsi="Times New Roman" w:cs="Times New Roman"/>
          <w:b/>
          <w:sz w:val="24"/>
        </w:rPr>
      </w:pPr>
    </w:p>
    <w:p w14:paraId="38904DA5" w14:textId="1014B7C0" w:rsidR="00CE019E" w:rsidRPr="00835753" w:rsidRDefault="00CD362D" w:rsidP="00CE019E">
      <w:pPr>
        <w:autoSpaceDE w:val="0"/>
        <w:autoSpaceDN w:val="0"/>
        <w:adjustRightInd w:val="0"/>
        <w:jc w:val="both"/>
        <w:rPr>
          <w:rFonts w:ascii="Times New Roman" w:hAnsi="Times New Roman" w:cs="Times New Roman"/>
          <w:sz w:val="24"/>
        </w:rPr>
      </w:pPr>
      <w:r w:rsidRPr="00835753">
        <w:rPr>
          <w:rFonts w:ascii="Times New Roman" w:hAnsi="Times New Roman"/>
          <w:b/>
          <w:sz w:val="24"/>
        </w:rPr>
        <w:t xml:space="preserve">Wzór EU CCyB1 – Rozkład geograficzny odnośnych ekspozycji kredytowych na potrzeby obliczania bufora antycyklicznego. </w:t>
      </w:r>
      <w:r w:rsidRPr="00835753">
        <w:rPr>
          <w:rFonts w:ascii="Times New Roman" w:hAnsi="Times New Roman"/>
          <w:sz w:val="24"/>
        </w:rPr>
        <w:t>Format stały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kolumn, format elastyczny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 xml:space="preserve">ypadku wierszy. </w:t>
      </w:r>
    </w:p>
    <w:p w14:paraId="12FF73C2" w14:textId="77777777" w:rsidR="00CE019E" w:rsidRPr="00835753" w:rsidRDefault="00CE019E" w:rsidP="00CE019E">
      <w:pPr>
        <w:autoSpaceDE w:val="0"/>
        <w:autoSpaceDN w:val="0"/>
        <w:adjustRightInd w:val="0"/>
        <w:jc w:val="both"/>
        <w:rPr>
          <w:rFonts w:ascii="Times New Roman" w:hAnsi="Times New Roman" w:cs="Times New Roman"/>
          <w:b/>
          <w:sz w:val="24"/>
        </w:rPr>
      </w:pPr>
    </w:p>
    <w:p w14:paraId="6D089185" w14:textId="62D5BBBD" w:rsidR="00CE019E" w:rsidRPr="00835753" w:rsidRDefault="00CE019E" w:rsidP="00E70D84">
      <w:pPr>
        <w:pStyle w:val="ListParagraph"/>
        <w:numPr>
          <w:ilvl w:val="0"/>
          <w:numId w:val="22"/>
        </w:numPr>
        <w:spacing w:before="120" w:after="120"/>
        <w:ind w:left="425" w:hanging="357"/>
        <w:jc w:val="both"/>
        <w:rPr>
          <w:rFonts w:ascii="Times New Roman" w:hAnsi="Times New Roman"/>
          <w:sz w:val="24"/>
        </w:rPr>
      </w:pPr>
      <w:r w:rsidRPr="00835753">
        <w:rPr>
          <w:rFonts w:ascii="Times New Roman" w:hAnsi="Times New Roman"/>
          <w:sz w:val="24"/>
        </w:rPr>
        <w:t>W celu wypełnienia wzoru EU CCyB1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IX do niniejszego rozporządzenia wykonawczego instytucje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440 lit.</w:t>
      </w:r>
      <w:r w:rsidR="00835753" w:rsidRPr="00835753">
        <w:rPr>
          <w:rFonts w:ascii="Times New Roman" w:hAnsi="Times New Roman"/>
          <w:sz w:val="24"/>
        </w:rPr>
        <w:t> </w:t>
      </w:r>
      <w:r w:rsidRPr="00835753">
        <w:rPr>
          <w:rFonts w:ascii="Times New Roman" w:hAnsi="Times New Roman"/>
          <w:sz w:val="24"/>
        </w:rPr>
        <w:t>a) rozporządzenia (UE) nr</w:t>
      </w:r>
      <w:r w:rsidR="00835753" w:rsidRPr="00835753">
        <w:rPr>
          <w:rFonts w:ascii="Times New Roman" w:hAnsi="Times New Roman"/>
          <w:sz w:val="24"/>
        </w:rPr>
        <w:t> </w:t>
      </w:r>
      <w:r w:rsidRPr="00835753">
        <w:rPr>
          <w:rFonts w:ascii="Times New Roman" w:hAnsi="Times New Roman"/>
          <w:sz w:val="24"/>
        </w:rPr>
        <w:t>575/2013</w:t>
      </w:r>
      <w:r w:rsidRPr="00835753">
        <w:rPr>
          <w:rStyle w:val="FootnoteReference"/>
        </w:rPr>
        <w:footnoteReference w:id="17"/>
      </w:r>
      <w:r w:rsidRPr="00835753">
        <w:rPr>
          <w:rFonts w:ascii="Times New Roman" w:hAnsi="Times New Roman"/>
          <w:sz w:val="24"/>
        </w:rPr>
        <w:t xml:space="preserve">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 xml:space="preserve">iejszym załączniku. </w:t>
      </w:r>
    </w:p>
    <w:p w14:paraId="766E97DB" w14:textId="7FD59715" w:rsidR="00CE019E" w:rsidRPr="00835753" w:rsidRDefault="00CE019E" w:rsidP="00076626">
      <w:pPr>
        <w:pStyle w:val="ListParagraph"/>
        <w:numPr>
          <w:ilvl w:val="0"/>
          <w:numId w:val="22"/>
        </w:numPr>
        <w:spacing w:before="120" w:after="120"/>
        <w:ind w:left="360" w:hanging="357"/>
        <w:contextualSpacing/>
        <w:jc w:val="both"/>
        <w:rPr>
          <w:rFonts w:ascii="Times New Roman" w:hAnsi="Times New Roman"/>
          <w:sz w:val="24"/>
          <w:szCs w:val="24"/>
        </w:rPr>
      </w:pPr>
      <w:r w:rsidRPr="00835753">
        <w:rPr>
          <w:rFonts w:ascii="Times New Roman" w:hAnsi="Times New Roman"/>
          <w:sz w:val="24"/>
        </w:rPr>
        <w:t>Zakres zastosowania wzoru EU CCyB1 ogranicza się do ekspozycji kredytowych istotnych do celów obliczania bufora antycyklicznego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 dyrektywy 2013/36/UE</w:t>
      </w:r>
      <w:r w:rsidRPr="00835753">
        <w:rPr>
          <w:rStyle w:val="FootnoteReference"/>
          <w:rFonts w:eastAsia="Times New Roman"/>
        </w:rPr>
        <w:footnoteReference w:id="18"/>
      </w:r>
      <w:r w:rsidRPr="00835753">
        <w:rPr>
          <w:rFonts w:ascii="Times New Roman" w:hAnsi="Times New Roman"/>
          <w:sz w:val="24"/>
        </w:rPr>
        <w:t xml:space="preserve"> („CRD”).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835753"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4F1C03BA" w:rsidR="00CE019E" w:rsidRPr="00835753" w:rsidRDefault="00CE019E" w:rsidP="001E06A3">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CE019E" w:rsidRPr="00835753" w14:paraId="3232A836" w14:textId="77777777" w:rsidTr="001E06A3">
        <w:trPr>
          <w:trHeight w:val="238"/>
        </w:trPr>
        <w:tc>
          <w:tcPr>
            <w:tcW w:w="1384" w:type="dxa"/>
            <w:shd w:val="clear" w:color="auto" w:fill="D9D9D9" w:themeFill="background1" w:themeFillShade="D9"/>
          </w:tcPr>
          <w:p w14:paraId="09952E28" w14:textId="77777777" w:rsidR="00CE019E" w:rsidRPr="00835753" w:rsidRDefault="00CE019E" w:rsidP="001E06A3">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3B1866F5" w14:textId="77777777" w:rsidR="00CE019E" w:rsidRPr="00835753" w:rsidRDefault="00CE019E" w:rsidP="001E06A3">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CE019E" w:rsidRPr="00835753" w14:paraId="732DDEA5" w14:textId="77777777" w:rsidTr="001E06A3">
        <w:trPr>
          <w:trHeight w:val="4381"/>
        </w:trPr>
        <w:tc>
          <w:tcPr>
            <w:tcW w:w="1384" w:type="dxa"/>
          </w:tcPr>
          <w:p w14:paraId="5C6BE5F9" w14:textId="77777777" w:rsidR="00CE019E" w:rsidRPr="00835753" w:rsidRDefault="00CE019E" w:rsidP="001E06A3">
            <w:pPr>
              <w:pStyle w:val="Applicationdirecte"/>
              <w:spacing w:before="120"/>
            </w:pPr>
            <w:r w:rsidRPr="00835753">
              <w:t>010–01X</w:t>
            </w:r>
          </w:p>
        </w:tc>
        <w:tc>
          <w:tcPr>
            <w:tcW w:w="7655" w:type="dxa"/>
          </w:tcPr>
          <w:p w14:paraId="326270CD" w14:textId="77777777" w:rsidR="00CE019E" w:rsidRPr="00835753" w:rsidRDefault="00CE019E" w:rsidP="001E06A3">
            <w:pPr>
              <w:pStyle w:val="Applicationdirecte"/>
              <w:spacing w:before="120"/>
              <w:rPr>
                <w:b/>
              </w:rPr>
            </w:pPr>
            <w:r w:rsidRPr="00835753">
              <w:rPr>
                <w:b/>
              </w:rPr>
              <w:t>Podział według państw</w:t>
            </w:r>
          </w:p>
          <w:p w14:paraId="058E3F2B" w14:textId="061EF4E7" w:rsidR="00CE019E" w:rsidRPr="00835753" w:rsidRDefault="00CE019E" w:rsidP="001E06A3">
            <w:pPr>
              <w:pStyle w:val="Applicationdirecte"/>
              <w:spacing w:before="120"/>
            </w:pPr>
            <w:r w:rsidRPr="00835753">
              <w:t>Wykaz państw,</w:t>
            </w:r>
            <w:r w:rsidR="00835753" w:rsidRPr="00835753">
              <w:t xml:space="preserve"> w</w:t>
            </w:r>
            <w:r w:rsidR="00835753">
              <w:t> </w:t>
            </w:r>
            <w:r w:rsidR="00835753" w:rsidRPr="00835753">
              <w:t>któ</w:t>
            </w:r>
            <w:r w:rsidRPr="00835753">
              <w:t>rych dana instytucja posiada ekspozycje kredytowe istotne do celów obliczania specyficznego dla instytucji bufora antycyklicznego zgodnie</w:t>
            </w:r>
            <w:r w:rsidR="00835753" w:rsidRPr="00835753">
              <w:t xml:space="preserve"> z</w:t>
            </w:r>
            <w:r w:rsidR="00835753">
              <w:t> </w:t>
            </w:r>
            <w:r w:rsidR="00835753" w:rsidRPr="00835753">
              <w:t>roz</w:t>
            </w:r>
            <w:r w:rsidRPr="00835753">
              <w:t>porządzeniem delegowanym Komisji (UE) nr</w:t>
            </w:r>
            <w:r w:rsidR="00835753" w:rsidRPr="00835753">
              <w:t> </w:t>
            </w:r>
            <w:r w:rsidRPr="00835753">
              <w:t>1152/2014</w:t>
            </w:r>
            <w:r w:rsidRPr="00835753">
              <w:rPr>
                <w:rStyle w:val="FootnoteReference"/>
              </w:rPr>
              <w:footnoteReference w:id="19"/>
            </w:r>
          </w:p>
          <w:p w14:paraId="3D1A0E2B" w14:textId="3A923AA3" w:rsidR="00CE019E" w:rsidRPr="00835753" w:rsidRDefault="00CE019E" w:rsidP="001E06A3">
            <w:pPr>
              <w:pStyle w:val="Fait"/>
              <w:spacing w:after="120"/>
            </w:pPr>
            <w:r w:rsidRPr="00835753">
              <w:t>Liczba wierszy może się różnić</w:t>
            </w:r>
            <w:r w:rsidR="00835753" w:rsidRPr="00835753">
              <w:t xml:space="preserve"> w</w:t>
            </w:r>
            <w:r w:rsidR="00835753">
              <w:t> </w:t>
            </w:r>
            <w:r w:rsidR="00835753" w:rsidRPr="00835753">
              <w:t>zal</w:t>
            </w:r>
            <w:r w:rsidRPr="00835753">
              <w:t>eżności od liczby państw,</w:t>
            </w:r>
            <w:r w:rsidR="00835753" w:rsidRPr="00835753">
              <w:t xml:space="preserve"> w</w:t>
            </w:r>
            <w:r w:rsidR="00835753">
              <w:t> </w:t>
            </w:r>
            <w:r w:rsidR="00835753" w:rsidRPr="00835753">
              <w:t>któ</w:t>
            </w:r>
            <w:r w:rsidRPr="00835753">
              <w:t>rych dana instytucja posiada ekspozycje kredytowe istotne do celów obliczania bufora antycyklicznego. Instytucje kolejno numerują wiersze dotyczące poszczególnych państw, zaczynając od numeru 010.</w:t>
            </w:r>
          </w:p>
          <w:p w14:paraId="2B9E4E48" w14:textId="5615F59B" w:rsidR="00CE019E" w:rsidRPr="00835753" w:rsidRDefault="00CE019E" w:rsidP="001E06A3">
            <w:pPr>
              <w:spacing w:after="120"/>
              <w:jc w:val="both"/>
              <w:rPr>
                <w:rFonts w:ascii="Times New Roman" w:hAnsi="Times New Roman" w:cs="Times New Roman"/>
                <w:sz w:val="24"/>
              </w:rPr>
            </w:pPr>
            <w:r w:rsidRPr="00835753">
              <w:rPr>
                <w:rFonts w:ascii="Times New Roman" w:hAnsi="Times New Roman"/>
                <w:sz w:val="24"/>
              </w:rPr>
              <w:t>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delegowanym Komisji (UE) 1152/2014, jeżeli ekspozycje zaliczane do portfela handlowego lub zagraniczne ekspozycje kredytowe danej instytucji stanowią mniej niż 2</w:t>
            </w:r>
            <w:r w:rsidR="00835753" w:rsidRPr="00835753">
              <w:rPr>
                <w:rFonts w:ascii="Times New Roman" w:hAnsi="Times New Roman"/>
                <w:sz w:val="24"/>
              </w:rPr>
              <w:t> </w:t>
            </w:r>
            <w:r w:rsidRPr="00835753">
              <w:rPr>
                <w:rFonts w:ascii="Times New Roman" w:hAnsi="Times New Roman"/>
                <w:sz w:val="24"/>
              </w:rPr>
              <w:t>% jej łącznej kwoty ekspozycji ważonych ryzykiem, taka instytucja może zdecydować się na przypisanie tych ekspozycji lokalizacji instytucji (tj. państwu członkowskiemu pochodzenia instytucji). Jeżeli ekspozycje przypisane lokalizacji instytucji obejmują ekspozycje posiadane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inn</w:t>
            </w:r>
            <w:r w:rsidRPr="00835753">
              <w:rPr>
                <w:rFonts w:ascii="Times New Roman" w:hAnsi="Times New Roman"/>
                <w:sz w:val="24"/>
              </w:rPr>
              <w:t xml:space="preserve">ych państwach, </w:t>
            </w:r>
            <w:r w:rsidRPr="00835753">
              <w:rPr>
                <w:rFonts w:ascii="Times New Roman" w:hAnsi="Times New Roman"/>
                <w:sz w:val="24"/>
              </w:rPr>
              <w:lastRenderedPageBreak/>
              <w:t>takie ekspozycje wyraźnie wskazuje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ypisie do wzoru do celów ujawniania informacji.</w:t>
            </w:r>
          </w:p>
        </w:tc>
      </w:tr>
      <w:tr w:rsidR="00CE019E" w:rsidRPr="00835753" w14:paraId="4AC65917" w14:textId="77777777" w:rsidTr="001E06A3">
        <w:trPr>
          <w:trHeight w:val="316"/>
        </w:trPr>
        <w:tc>
          <w:tcPr>
            <w:tcW w:w="1384" w:type="dxa"/>
          </w:tcPr>
          <w:p w14:paraId="41C34C83" w14:textId="77777777" w:rsidR="00CE019E" w:rsidRPr="00835753" w:rsidRDefault="00CE019E" w:rsidP="001E06A3">
            <w:pPr>
              <w:autoSpaceDE w:val="0"/>
              <w:autoSpaceDN w:val="0"/>
              <w:adjustRightInd w:val="0"/>
              <w:rPr>
                <w:rFonts w:ascii="Times New Roman" w:hAnsi="Times New Roman" w:cs="Times New Roman"/>
                <w:color w:val="000000"/>
                <w:sz w:val="24"/>
              </w:rPr>
            </w:pPr>
            <w:r w:rsidRPr="00835753">
              <w:rPr>
                <w:rFonts w:ascii="Times New Roman" w:hAnsi="Times New Roman"/>
                <w:sz w:val="24"/>
              </w:rPr>
              <w:lastRenderedPageBreak/>
              <w:t>020</w:t>
            </w:r>
          </w:p>
        </w:tc>
        <w:tc>
          <w:tcPr>
            <w:tcW w:w="7655" w:type="dxa"/>
          </w:tcPr>
          <w:p w14:paraId="7C5B1F11" w14:textId="77777777" w:rsidR="00CE019E" w:rsidRPr="00835753" w:rsidRDefault="00CE019E" w:rsidP="001E06A3">
            <w:pPr>
              <w:autoSpaceDE w:val="0"/>
              <w:autoSpaceDN w:val="0"/>
              <w:adjustRightInd w:val="0"/>
              <w:rPr>
                <w:rFonts w:ascii="Times New Roman" w:hAnsi="Times New Roman" w:cs="Times New Roman"/>
                <w:b/>
                <w:sz w:val="24"/>
              </w:rPr>
            </w:pPr>
            <w:r w:rsidRPr="00835753">
              <w:rPr>
                <w:rFonts w:ascii="Times New Roman" w:hAnsi="Times New Roman"/>
                <w:b/>
                <w:sz w:val="24"/>
              </w:rPr>
              <w:t xml:space="preserve">Ogółem </w:t>
            </w:r>
          </w:p>
          <w:p w14:paraId="4EC3DB71" w14:textId="47D8878E" w:rsidR="00CE019E" w:rsidRPr="00835753" w:rsidRDefault="00CE019E" w:rsidP="001E06A3">
            <w:pPr>
              <w:autoSpaceDE w:val="0"/>
              <w:autoSpaceDN w:val="0"/>
              <w:adjustRightInd w:val="0"/>
              <w:spacing w:before="120" w:after="120"/>
              <w:rPr>
                <w:rFonts w:ascii="Times New Roman" w:eastAsia="Times New Roman" w:hAnsi="Times New Roman" w:cs="Times New Roman"/>
                <w:sz w:val="24"/>
              </w:rPr>
            </w:pPr>
            <w:r w:rsidRPr="00835753">
              <w:rPr>
                <w:rFonts w:ascii="Times New Roman" w:hAnsi="Times New Roman"/>
                <w:sz w:val="24"/>
              </w:rPr>
              <w:t>Wartość opisana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wyj</w:t>
            </w:r>
            <w:r w:rsidRPr="00835753">
              <w:rPr>
                <w:rFonts w:ascii="Times New Roman" w:hAnsi="Times New Roman"/>
                <w:sz w:val="24"/>
              </w:rPr>
              <w:t>aśnieniu do kolumn a</w:t>
            </w:r>
            <w:proofErr w:type="gramStart"/>
            <w:r w:rsidRPr="00835753">
              <w:rPr>
                <w:rFonts w:ascii="Times New Roman" w:hAnsi="Times New Roman"/>
                <w:sz w:val="24"/>
              </w:rPr>
              <w:t>)–m</w:t>
            </w:r>
            <w:proofErr w:type="gramEnd"/>
            <w:r w:rsidRPr="00835753">
              <w:rPr>
                <w:rFonts w:ascii="Times New Roman" w:hAnsi="Times New Roman"/>
                <w:sz w:val="24"/>
              </w:rPr>
              <w:t>) niniejszego wzoru.</w:t>
            </w:r>
          </w:p>
        </w:tc>
      </w:tr>
    </w:tbl>
    <w:p w14:paraId="3654956F" w14:textId="77777777" w:rsidR="00CE019E" w:rsidRPr="00835753"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835753" w14:paraId="1668164D" w14:textId="77777777" w:rsidTr="001E06A3">
        <w:trPr>
          <w:trHeight w:val="238"/>
        </w:trPr>
        <w:tc>
          <w:tcPr>
            <w:tcW w:w="9039" w:type="dxa"/>
            <w:gridSpan w:val="2"/>
            <w:shd w:val="clear" w:color="auto" w:fill="D9D9D9" w:themeFill="background1" w:themeFillShade="D9"/>
          </w:tcPr>
          <w:p w14:paraId="65F58123" w14:textId="492A18E7" w:rsidR="00CE019E" w:rsidRPr="00835753" w:rsidRDefault="00CE019E" w:rsidP="001E06A3">
            <w:pPr>
              <w:autoSpaceDE w:val="0"/>
              <w:autoSpaceDN w:val="0"/>
              <w:adjustRightInd w:val="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CE019E" w:rsidRPr="00835753" w14:paraId="2B5ADFFC" w14:textId="77777777" w:rsidTr="001E06A3">
        <w:trPr>
          <w:trHeight w:val="238"/>
        </w:trPr>
        <w:tc>
          <w:tcPr>
            <w:tcW w:w="1384" w:type="dxa"/>
            <w:shd w:val="clear" w:color="auto" w:fill="D9D9D9" w:themeFill="background1" w:themeFillShade="D9"/>
          </w:tcPr>
          <w:p w14:paraId="322C41BE" w14:textId="77777777" w:rsidR="00CE019E" w:rsidRPr="00835753" w:rsidRDefault="00CE019E" w:rsidP="001E06A3">
            <w:pPr>
              <w:autoSpaceDE w:val="0"/>
              <w:autoSpaceDN w:val="0"/>
              <w:adjustRightInd w:val="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66E2F195" w14:textId="77777777" w:rsidR="00CE019E" w:rsidRPr="00835753" w:rsidRDefault="00CE019E" w:rsidP="001E06A3">
            <w:pPr>
              <w:autoSpaceDE w:val="0"/>
              <w:autoSpaceDN w:val="0"/>
              <w:adjustRightInd w:val="0"/>
              <w:rPr>
                <w:rFonts w:ascii="Times New Roman" w:hAnsi="Times New Roman" w:cs="Times New Roman"/>
                <w:b/>
                <w:sz w:val="24"/>
              </w:rPr>
            </w:pPr>
            <w:r w:rsidRPr="00835753">
              <w:rPr>
                <w:rFonts w:ascii="Times New Roman" w:hAnsi="Times New Roman"/>
                <w:b/>
                <w:sz w:val="24"/>
              </w:rPr>
              <w:t>Wyjaśnienie</w:t>
            </w:r>
          </w:p>
        </w:tc>
      </w:tr>
      <w:tr w:rsidR="00CE019E" w:rsidRPr="00835753" w14:paraId="7AF21BE8" w14:textId="77777777" w:rsidTr="001E06A3">
        <w:trPr>
          <w:trHeight w:val="841"/>
        </w:trPr>
        <w:tc>
          <w:tcPr>
            <w:tcW w:w="1384" w:type="dxa"/>
          </w:tcPr>
          <w:p w14:paraId="584F8DE1" w14:textId="77777777" w:rsidR="00CE019E" w:rsidRPr="00835753" w:rsidRDefault="00CE019E" w:rsidP="001E06A3">
            <w:pPr>
              <w:pStyle w:val="Applicationdirecte"/>
              <w:spacing w:before="120"/>
            </w:pPr>
            <w:proofErr w:type="gramStart"/>
            <w:r w:rsidRPr="00835753">
              <w:t>a</w:t>
            </w:r>
            <w:proofErr w:type="gramEnd"/>
            <w:r w:rsidRPr="00835753">
              <w:t>)</w:t>
            </w:r>
          </w:p>
        </w:tc>
        <w:tc>
          <w:tcPr>
            <w:tcW w:w="7655" w:type="dxa"/>
          </w:tcPr>
          <w:p w14:paraId="7F02C794" w14:textId="77777777" w:rsidR="00CE019E" w:rsidRPr="00835753" w:rsidRDefault="00CE019E" w:rsidP="001E06A3">
            <w:pPr>
              <w:autoSpaceDE w:val="0"/>
              <w:autoSpaceDN w:val="0"/>
              <w:adjustRightInd w:val="0"/>
              <w:spacing w:before="120" w:after="120"/>
              <w:rPr>
                <w:rFonts w:ascii="Times New Roman" w:hAnsi="Times New Roman" w:cs="Times New Roman"/>
                <w:sz w:val="24"/>
              </w:rPr>
            </w:pPr>
            <w:r w:rsidRPr="00835753">
              <w:rPr>
                <w:rFonts w:ascii="Times New Roman" w:hAnsi="Times New Roman"/>
                <w:b/>
                <w:sz w:val="24"/>
              </w:rPr>
              <w:t>Wartość ogólnych ekspozycji kredytowych według metody standardowej</w:t>
            </w:r>
          </w:p>
          <w:p w14:paraId="28AF669D" w14:textId="039302E6" w:rsidR="00CE019E" w:rsidRPr="00835753" w:rsidRDefault="00CE019E" w:rsidP="001E06A3">
            <w:pPr>
              <w:pStyle w:val="Fait"/>
              <w:spacing w:after="120"/>
            </w:pPr>
            <w:r w:rsidRPr="00835753">
              <w:t>Wartość odpowiednich ekspozycji kredytowych ustalonych zgodnie</w:t>
            </w:r>
            <w:r w:rsidR="00835753" w:rsidRPr="00835753">
              <w:t xml:space="preserve"> z</w:t>
            </w:r>
            <w:r w:rsidR="00835753">
              <w:t> </w:t>
            </w:r>
            <w:r w:rsidR="00835753" w:rsidRPr="00835753">
              <w:t>art</w:t>
            </w:r>
            <w:r w:rsidRPr="00835753">
              <w:t>.</w:t>
            </w:r>
            <w:r w:rsidR="00835753" w:rsidRPr="00835753">
              <w:t> </w:t>
            </w:r>
            <w:r w:rsidRPr="00835753">
              <w:t>140 ust.</w:t>
            </w:r>
            <w:r w:rsidR="00835753" w:rsidRPr="00835753">
              <w:t> </w:t>
            </w:r>
            <w:r w:rsidRPr="00835753">
              <w:t>4 lit.</w:t>
            </w:r>
            <w:r w:rsidR="00835753" w:rsidRPr="00835753">
              <w:t> </w:t>
            </w:r>
            <w:r w:rsidRPr="00835753">
              <w:t>a) CRD</w:t>
            </w:r>
            <w:r w:rsidR="00835753" w:rsidRPr="00835753">
              <w:t xml:space="preserve"> i</w:t>
            </w:r>
            <w:r w:rsidR="00835753">
              <w:t> </w:t>
            </w:r>
            <w:r w:rsidR="00835753" w:rsidRPr="00835753">
              <w:t>art</w:t>
            </w:r>
            <w:r w:rsidRPr="00835753">
              <w:t>.</w:t>
            </w:r>
            <w:r w:rsidR="00835753" w:rsidRPr="00835753">
              <w:t> </w:t>
            </w:r>
            <w:r w:rsidRPr="00835753">
              <w:t>111 CRR</w:t>
            </w:r>
          </w:p>
          <w:p w14:paraId="6C005399" w14:textId="26506336" w:rsidR="00CE019E" w:rsidRPr="00835753" w:rsidRDefault="00CE019E" w:rsidP="001E06A3">
            <w:pPr>
              <w:pStyle w:val="Fait"/>
              <w:spacing w:after="120"/>
            </w:pPr>
            <w:r w:rsidRPr="00835753">
              <w:t>Wartości odpowiednich ekspozycji kredytowych ustalonych zgodnie</w:t>
            </w:r>
            <w:r w:rsidR="00835753" w:rsidRPr="00835753">
              <w:t xml:space="preserve"> z</w:t>
            </w:r>
            <w:r w:rsidR="00835753">
              <w:t> </w:t>
            </w:r>
            <w:r w:rsidR="00835753" w:rsidRPr="00835753">
              <w:t>art</w:t>
            </w:r>
            <w:r w:rsidRPr="00835753">
              <w:t>.</w:t>
            </w:r>
            <w:r w:rsidR="00835753" w:rsidRPr="00835753">
              <w:t> </w:t>
            </w:r>
            <w:r w:rsidRPr="00835753">
              <w:t>140 ust.</w:t>
            </w:r>
            <w:r w:rsidR="00835753" w:rsidRPr="00835753">
              <w:t> </w:t>
            </w:r>
            <w:r w:rsidRPr="00835753">
              <w:t>4 lit.</w:t>
            </w:r>
            <w:r w:rsidR="00835753" w:rsidRPr="00835753">
              <w:t> </w:t>
            </w:r>
            <w:r w:rsidRPr="00835753">
              <w:t>c) CRD</w:t>
            </w:r>
            <w:r w:rsidR="00835753" w:rsidRPr="00835753">
              <w:t xml:space="preserve"> i</w:t>
            </w:r>
            <w:r w:rsidR="00835753">
              <w:t> </w:t>
            </w:r>
            <w:r w:rsidR="00835753" w:rsidRPr="00835753">
              <w:t>art</w:t>
            </w:r>
            <w:r w:rsidRPr="00835753">
              <w:t>.</w:t>
            </w:r>
            <w:r w:rsidR="00835753" w:rsidRPr="00835753">
              <w:t> </w:t>
            </w:r>
            <w:r w:rsidRPr="00835753">
              <w:t>248 lit.</w:t>
            </w:r>
            <w:r w:rsidR="00835753" w:rsidRPr="00835753">
              <w:t> </w:t>
            </w:r>
            <w:r w:rsidRPr="00835753">
              <w:t>a) i c) CRR nie ujmuje się</w:t>
            </w:r>
            <w:r w:rsidR="00835753" w:rsidRPr="00835753">
              <w:t xml:space="preserve"> w</w:t>
            </w:r>
            <w:r w:rsidR="00835753">
              <w:t> </w:t>
            </w:r>
            <w:r w:rsidR="00835753" w:rsidRPr="00835753">
              <w:t>tym</w:t>
            </w:r>
            <w:r w:rsidRPr="00835753">
              <w:t xml:space="preserve"> miejscu, tylko</w:t>
            </w:r>
            <w:r w:rsidR="00835753" w:rsidRPr="00835753">
              <w:t xml:space="preserve"> w</w:t>
            </w:r>
            <w:r w:rsidR="00835753">
              <w:t> </w:t>
            </w:r>
            <w:r w:rsidR="00835753" w:rsidRPr="00835753">
              <w:t>kol</w:t>
            </w:r>
            <w:r w:rsidRPr="00835753">
              <w:t>umnie e niniejszego wzoru.</w:t>
            </w:r>
          </w:p>
          <w:p w14:paraId="6394081F" w14:textId="1B216F01" w:rsidR="00CE019E" w:rsidRPr="00835753" w:rsidRDefault="00CE019E" w:rsidP="001E06A3">
            <w:pPr>
              <w:pStyle w:val="Fait"/>
              <w:spacing w:after="120"/>
            </w:pPr>
            <w:r w:rsidRPr="00835753">
              <w:t>Podziału pod względem lokalizacji geograficznej dokonuje się zgodnie</w:t>
            </w:r>
            <w:r w:rsidR="00835753" w:rsidRPr="00835753">
              <w:t xml:space="preserve"> z</w:t>
            </w:r>
            <w:r w:rsidR="00835753">
              <w:t> </w:t>
            </w:r>
            <w:r w:rsidR="00835753" w:rsidRPr="00835753">
              <w:t>roz</w:t>
            </w:r>
            <w:r w:rsidRPr="00835753">
              <w:t xml:space="preserve">porządzeniem delegowanym Komisji (UE) 1152/2014. </w:t>
            </w:r>
          </w:p>
          <w:p w14:paraId="41086AB3" w14:textId="2144E4CC" w:rsidR="00CE019E" w:rsidRPr="00835753" w:rsidRDefault="00CE019E" w:rsidP="001E06A3">
            <w:pPr>
              <w:pStyle w:val="Fait"/>
              <w:spacing w:after="120"/>
            </w:pPr>
            <w:r w:rsidRPr="00835753">
              <w:t>Wiersz 020 (ogółem): sumę wszystkich odpowiednich ekspozycji kredytowych ustala się zgodnie</w:t>
            </w:r>
            <w:r w:rsidR="00835753" w:rsidRPr="00835753">
              <w:t xml:space="preserve"> z</w:t>
            </w:r>
            <w:r w:rsidR="00835753">
              <w:t> </w:t>
            </w:r>
            <w:r w:rsidR="00835753" w:rsidRPr="00835753">
              <w:t>art</w:t>
            </w:r>
            <w:r w:rsidRPr="00835753">
              <w:t>.</w:t>
            </w:r>
            <w:r w:rsidR="00835753" w:rsidRPr="00835753">
              <w:t> </w:t>
            </w:r>
            <w:r w:rsidRPr="00835753">
              <w:t>140 ust.</w:t>
            </w:r>
            <w:r w:rsidR="00835753" w:rsidRPr="00835753">
              <w:t> </w:t>
            </w:r>
            <w:r w:rsidRPr="00835753">
              <w:t>4 lit.</w:t>
            </w:r>
            <w:r w:rsidR="00835753" w:rsidRPr="00835753">
              <w:t> </w:t>
            </w:r>
            <w:r w:rsidRPr="00835753">
              <w:t>a) CRD</w:t>
            </w:r>
            <w:r w:rsidR="00835753" w:rsidRPr="00835753">
              <w:t xml:space="preserve"> i</w:t>
            </w:r>
            <w:r w:rsidR="00835753">
              <w:t> </w:t>
            </w:r>
            <w:r w:rsidR="00835753" w:rsidRPr="00835753">
              <w:t>art</w:t>
            </w:r>
            <w:r w:rsidRPr="00835753">
              <w:t>.</w:t>
            </w:r>
            <w:r w:rsidR="00835753" w:rsidRPr="00835753">
              <w:t> </w:t>
            </w:r>
            <w:r w:rsidRPr="00835753">
              <w:t>111 CRR.</w:t>
            </w:r>
          </w:p>
        </w:tc>
      </w:tr>
      <w:tr w:rsidR="00CE019E" w:rsidRPr="00835753" w14:paraId="4332A4B8" w14:textId="77777777" w:rsidTr="001E06A3">
        <w:trPr>
          <w:trHeight w:val="841"/>
        </w:trPr>
        <w:tc>
          <w:tcPr>
            <w:tcW w:w="1384" w:type="dxa"/>
          </w:tcPr>
          <w:p w14:paraId="35258D0A" w14:textId="77777777" w:rsidR="00CE019E" w:rsidRPr="00835753" w:rsidRDefault="00CE019E" w:rsidP="001E06A3">
            <w:pPr>
              <w:pStyle w:val="Applicationdirecte"/>
              <w:spacing w:before="120"/>
            </w:pPr>
            <w:proofErr w:type="gramStart"/>
            <w:r w:rsidRPr="00835753">
              <w:t>b</w:t>
            </w:r>
            <w:proofErr w:type="gramEnd"/>
            <w:r w:rsidRPr="00835753">
              <w:t>)</w:t>
            </w:r>
          </w:p>
        </w:tc>
        <w:tc>
          <w:tcPr>
            <w:tcW w:w="7655" w:type="dxa"/>
          </w:tcPr>
          <w:p w14:paraId="7CA098EA" w14:textId="77777777"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b/>
                <w:sz w:val="24"/>
              </w:rPr>
              <w:t>Wartość ogólnych ekspozycji kredytowych według metody IRB</w:t>
            </w:r>
          </w:p>
          <w:p w14:paraId="38173282" w14:textId="44E8D892" w:rsidR="00CE019E" w:rsidRPr="00835753"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Wartość odpowiednich ekspozycji kredytowych ustalonych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 lit.</w:t>
            </w:r>
            <w:r w:rsidR="00835753" w:rsidRPr="00835753">
              <w:rPr>
                <w:rFonts w:ascii="Times New Roman" w:hAnsi="Times New Roman"/>
                <w:sz w:val="24"/>
              </w:rPr>
              <w:t> </w:t>
            </w:r>
            <w:r w:rsidRPr="00835753">
              <w:rPr>
                <w:rFonts w:ascii="Times New Roman" w:hAnsi="Times New Roman"/>
                <w:sz w:val="24"/>
              </w:rPr>
              <w:t>a) CRD oraz art.</w:t>
            </w:r>
            <w:r w:rsidR="00835753" w:rsidRPr="00835753">
              <w:rPr>
                <w:rFonts w:ascii="Times New Roman" w:hAnsi="Times New Roman"/>
                <w:sz w:val="24"/>
              </w:rPr>
              <w:t> </w:t>
            </w:r>
            <w:r w:rsidRPr="00835753">
              <w:rPr>
                <w:rFonts w:ascii="Times New Roman" w:hAnsi="Times New Roman"/>
                <w:sz w:val="24"/>
              </w:rPr>
              <w:t>166, 167</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68 CRR</w:t>
            </w:r>
          </w:p>
          <w:p w14:paraId="6CF97579" w14:textId="0F6A8F4B" w:rsidR="00CE019E" w:rsidRPr="00835753" w:rsidRDefault="00CE019E" w:rsidP="001E06A3">
            <w:pPr>
              <w:pStyle w:val="Fait"/>
              <w:spacing w:after="120"/>
            </w:pPr>
            <w:r w:rsidRPr="00835753">
              <w:t>Wartości odpowiednich ekspozycji kredytowych ustalonych zgodnie</w:t>
            </w:r>
            <w:r w:rsidR="00835753" w:rsidRPr="00835753">
              <w:t xml:space="preserve"> z</w:t>
            </w:r>
            <w:r w:rsidR="00835753">
              <w:t> </w:t>
            </w:r>
            <w:r w:rsidR="00835753" w:rsidRPr="00835753">
              <w:t>art</w:t>
            </w:r>
            <w:r w:rsidRPr="00835753">
              <w:t>.</w:t>
            </w:r>
            <w:r w:rsidR="00835753" w:rsidRPr="00835753">
              <w:t> </w:t>
            </w:r>
            <w:r w:rsidRPr="00835753">
              <w:t>140 ust.</w:t>
            </w:r>
            <w:r w:rsidR="00835753" w:rsidRPr="00835753">
              <w:t> </w:t>
            </w:r>
            <w:r w:rsidRPr="00835753">
              <w:t>4 lit.</w:t>
            </w:r>
            <w:r w:rsidR="00835753" w:rsidRPr="00835753">
              <w:t> </w:t>
            </w:r>
            <w:r w:rsidRPr="00835753">
              <w:t>c) CRD</w:t>
            </w:r>
            <w:r w:rsidR="00835753" w:rsidRPr="00835753">
              <w:t xml:space="preserve"> i</w:t>
            </w:r>
            <w:r w:rsidR="00835753">
              <w:t> </w:t>
            </w:r>
            <w:r w:rsidR="00835753" w:rsidRPr="00835753">
              <w:t>art</w:t>
            </w:r>
            <w:r w:rsidRPr="00835753">
              <w:t>.</w:t>
            </w:r>
            <w:r w:rsidR="00835753" w:rsidRPr="00835753">
              <w:t> </w:t>
            </w:r>
            <w:r w:rsidRPr="00835753">
              <w:t>248 lit.</w:t>
            </w:r>
            <w:r w:rsidR="00835753" w:rsidRPr="00835753">
              <w:t> </w:t>
            </w:r>
            <w:r w:rsidRPr="00835753">
              <w:t>a) i c) CRR nie ujmuje się</w:t>
            </w:r>
            <w:r w:rsidR="00835753" w:rsidRPr="00835753">
              <w:t xml:space="preserve"> w</w:t>
            </w:r>
            <w:r w:rsidR="00835753">
              <w:t> </w:t>
            </w:r>
            <w:r w:rsidR="00835753" w:rsidRPr="00835753">
              <w:t>tym</w:t>
            </w:r>
            <w:r w:rsidRPr="00835753">
              <w:t xml:space="preserve"> miejscu, tylko</w:t>
            </w:r>
            <w:r w:rsidR="00835753" w:rsidRPr="00835753">
              <w:t xml:space="preserve"> w</w:t>
            </w:r>
            <w:r w:rsidR="00835753">
              <w:t> </w:t>
            </w:r>
            <w:r w:rsidR="00835753" w:rsidRPr="00835753">
              <w:t>kol</w:t>
            </w:r>
            <w:r w:rsidRPr="00835753">
              <w:t>umnie e) niniejszego wzoru.</w:t>
            </w:r>
          </w:p>
          <w:p w14:paraId="391C9167" w14:textId="548E25EC"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Podziału pod względem lokalizacji geograficznej dokonuje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delegowanym Komisji (UE) 1152/2014.</w:t>
            </w:r>
          </w:p>
          <w:p w14:paraId="1802EC5F" w14:textId="1D7CD0CA" w:rsidR="00CE019E" w:rsidRPr="00835753" w:rsidRDefault="00CE019E" w:rsidP="001E06A3">
            <w:pPr>
              <w:autoSpaceDE w:val="0"/>
              <w:autoSpaceDN w:val="0"/>
              <w:adjustRightInd w:val="0"/>
              <w:spacing w:before="120" w:after="120"/>
              <w:jc w:val="both"/>
              <w:rPr>
                <w:rFonts w:ascii="Times New Roman" w:hAnsi="Times New Roman" w:cs="Times New Roman"/>
                <w:b/>
                <w:sz w:val="24"/>
              </w:rPr>
            </w:pPr>
            <w:r w:rsidRPr="00835753">
              <w:rPr>
                <w:rFonts w:ascii="Times New Roman" w:hAnsi="Times New Roman"/>
                <w:sz w:val="24"/>
              </w:rPr>
              <w:lastRenderedPageBreak/>
              <w:t>Wiersz 020 (ogółem): sumę wszystkich odpowiednich ekspozycji kredytowych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 lit.</w:t>
            </w:r>
            <w:r w:rsidR="00835753" w:rsidRPr="00835753">
              <w:rPr>
                <w:rFonts w:ascii="Times New Roman" w:hAnsi="Times New Roman"/>
                <w:sz w:val="24"/>
              </w:rPr>
              <w:t> </w:t>
            </w:r>
            <w:r w:rsidRPr="00835753">
              <w:rPr>
                <w:rFonts w:ascii="Times New Roman" w:hAnsi="Times New Roman"/>
                <w:sz w:val="24"/>
              </w:rPr>
              <w:t>a) CRD oraz art.</w:t>
            </w:r>
            <w:r w:rsidR="00835753" w:rsidRPr="00835753">
              <w:rPr>
                <w:rFonts w:ascii="Times New Roman" w:hAnsi="Times New Roman"/>
                <w:sz w:val="24"/>
              </w:rPr>
              <w:t> </w:t>
            </w:r>
            <w:r w:rsidRPr="00835753">
              <w:rPr>
                <w:rFonts w:ascii="Times New Roman" w:hAnsi="Times New Roman"/>
                <w:sz w:val="24"/>
              </w:rPr>
              <w:t>166, 167</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68 CRR.</w:t>
            </w:r>
          </w:p>
        </w:tc>
      </w:tr>
      <w:tr w:rsidR="00CE019E" w:rsidRPr="00835753" w14:paraId="295DFEDD" w14:textId="77777777" w:rsidTr="001E06A3">
        <w:trPr>
          <w:trHeight w:val="316"/>
        </w:trPr>
        <w:tc>
          <w:tcPr>
            <w:tcW w:w="1384" w:type="dxa"/>
          </w:tcPr>
          <w:p w14:paraId="08E60721" w14:textId="77777777" w:rsidR="00CE019E" w:rsidRPr="00835753" w:rsidRDefault="00CE019E" w:rsidP="001E06A3">
            <w:pPr>
              <w:autoSpaceDE w:val="0"/>
              <w:autoSpaceDN w:val="0"/>
              <w:adjustRightInd w:val="0"/>
              <w:jc w:val="both"/>
              <w:rPr>
                <w:rFonts w:ascii="Times New Roman" w:hAnsi="Times New Roman" w:cs="Times New Roman"/>
                <w:color w:val="000000"/>
                <w:sz w:val="24"/>
              </w:rPr>
            </w:pPr>
            <w:proofErr w:type="gramStart"/>
            <w:r w:rsidRPr="00835753">
              <w:rPr>
                <w:rFonts w:ascii="Times New Roman" w:hAnsi="Times New Roman"/>
                <w:sz w:val="24"/>
              </w:rPr>
              <w:lastRenderedPageBreak/>
              <w:t>c</w:t>
            </w:r>
            <w:proofErr w:type="gramEnd"/>
            <w:r w:rsidRPr="00835753">
              <w:rPr>
                <w:rFonts w:ascii="Times New Roman" w:hAnsi="Times New Roman"/>
                <w:sz w:val="24"/>
              </w:rPr>
              <w:t xml:space="preserve">) </w:t>
            </w:r>
          </w:p>
        </w:tc>
        <w:tc>
          <w:tcPr>
            <w:tcW w:w="7655" w:type="dxa"/>
          </w:tcPr>
          <w:p w14:paraId="7BAC401F" w14:textId="624959F1" w:rsidR="00CE019E" w:rsidRPr="00835753" w:rsidRDefault="00CE019E" w:rsidP="001E06A3">
            <w:pPr>
              <w:autoSpaceDE w:val="0"/>
              <w:autoSpaceDN w:val="0"/>
              <w:adjustRightInd w:val="0"/>
              <w:spacing w:before="120" w:after="120"/>
              <w:jc w:val="both"/>
              <w:rPr>
                <w:rFonts w:ascii="Times New Roman" w:hAnsi="Times New Roman" w:cs="Times New Roman"/>
                <w:b/>
                <w:sz w:val="24"/>
              </w:rPr>
            </w:pPr>
            <w:r w:rsidRPr="00835753">
              <w:rPr>
                <w:rFonts w:ascii="Times New Roman" w:hAnsi="Times New Roman"/>
                <w:b/>
                <w:sz w:val="24"/>
              </w:rPr>
              <w:t>Suma pozycji długich</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kró</w:t>
            </w:r>
            <w:r w:rsidRPr="00835753">
              <w:rPr>
                <w:rFonts w:ascii="Times New Roman" w:hAnsi="Times New Roman"/>
                <w:b/>
                <w:sz w:val="24"/>
              </w:rPr>
              <w:t>tkich dotyczących ekspozycji zaliczonych do portfela handlowego według metody standardowej</w:t>
            </w:r>
          </w:p>
          <w:p w14:paraId="1A24DBE0" w14:textId="7BA1BF56"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Suma pozycji długich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kró</w:t>
            </w:r>
            <w:r w:rsidRPr="00835753">
              <w:rPr>
                <w:rFonts w:ascii="Times New Roman" w:hAnsi="Times New Roman"/>
                <w:sz w:val="24"/>
              </w:rPr>
              <w:t>tkich dotyczących odpowiednich ekspozycji kredytowych ustalonych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 lit.</w:t>
            </w:r>
            <w:r w:rsidR="00835753" w:rsidRPr="00835753">
              <w:rPr>
                <w:rFonts w:ascii="Times New Roman" w:hAnsi="Times New Roman"/>
                <w:sz w:val="24"/>
              </w:rPr>
              <w:t> </w:t>
            </w:r>
            <w:r w:rsidRPr="00835753">
              <w:rPr>
                <w:rFonts w:ascii="Times New Roman" w:hAnsi="Times New Roman"/>
                <w:sz w:val="24"/>
              </w:rPr>
              <w:t>b) CRD, obliczona jako suma pozycji długich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kró</w:t>
            </w:r>
            <w:r w:rsidRPr="00835753">
              <w:rPr>
                <w:rFonts w:ascii="Times New Roman" w:hAnsi="Times New Roman"/>
                <w:sz w:val="24"/>
              </w:rPr>
              <w:t>tkich określonych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327 CRR</w:t>
            </w:r>
          </w:p>
          <w:p w14:paraId="1313E889" w14:textId="1F9692E0"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Podziału pod względem lokalizacji geograficznej dokonuje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delegowanym Komisji (UE) 1152/2014.</w:t>
            </w:r>
          </w:p>
          <w:p w14:paraId="7DCC802B" w14:textId="43A0288A"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Wiersz 020 (ogółem): Suma wszystkich pozycji długich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kró</w:t>
            </w:r>
            <w:r w:rsidRPr="00835753">
              <w:rPr>
                <w:rFonts w:ascii="Times New Roman" w:hAnsi="Times New Roman"/>
                <w:sz w:val="24"/>
              </w:rPr>
              <w:t>tkich odpowiednich ekspozycji kredytowych ustalonych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 lit.</w:t>
            </w:r>
            <w:r w:rsidR="00835753" w:rsidRPr="00835753">
              <w:rPr>
                <w:rFonts w:ascii="Times New Roman" w:hAnsi="Times New Roman"/>
                <w:sz w:val="24"/>
              </w:rPr>
              <w:t> </w:t>
            </w:r>
            <w:r w:rsidRPr="00835753">
              <w:rPr>
                <w:rFonts w:ascii="Times New Roman" w:hAnsi="Times New Roman"/>
                <w:sz w:val="24"/>
              </w:rPr>
              <w:t>b) CRD, obliczona jako suma pozycji długich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kró</w:t>
            </w:r>
            <w:r w:rsidRPr="00835753">
              <w:rPr>
                <w:rFonts w:ascii="Times New Roman" w:hAnsi="Times New Roman"/>
                <w:sz w:val="24"/>
              </w:rPr>
              <w:t>tkich określonych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327 CRR</w:t>
            </w:r>
          </w:p>
        </w:tc>
      </w:tr>
      <w:tr w:rsidR="00CE019E" w:rsidRPr="00835753" w14:paraId="36516046" w14:textId="77777777" w:rsidTr="001E06A3">
        <w:trPr>
          <w:trHeight w:val="316"/>
        </w:trPr>
        <w:tc>
          <w:tcPr>
            <w:tcW w:w="1384" w:type="dxa"/>
          </w:tcPr>
          <w:p w14:paraId="160726E6" w14:textId="77777777" w:rsidR="00CE019E" w:rsidRPr="00835753" w:rsidRDefault="00CE019E" w:rsidP="001E06A3">
            <w:pPr>
              <w:autoSpaceDE w:val="0"/>
              <w:autoSpaceDN w:val="0"/>
              <w:adjustRightInd w:val="0"/>
              <w:jc w:val="both"/>
              <w:rPr>
                <w:rFonts w:ascii="Times New Roman" w:eastAsia="Times New Roman" w:hAnsi="Times New Roman" w:cs="Times New Roman"/>
                <w:sz w:val="24"/>
              </w:rPr>
            </w:pPr>
            <w:proofErr w:type="gramStart"/>
            <w:r w:rsidRPr="00835753">
              <w:rPr>
                <w:rFonts w:ascii="Times New Roman" w:hAnsi="Times New Roman"/>
                <w:sz w:val="24"/>
              </w:rPr>
              <w:t>d</w:t>
            </w:r>
            <w:proofErr w:type="gramEnd"/>
            <w:r w:rsidRPr="00835753">
              <w:rPr>
                <w:rFonts w:ascii="Times New Roman" w:hAnsi="Times New Roman"/>
                <w:sz w:val="24"/>
              </w:rPr>
              <w:t>)</w:t>
            </w:r>
          </w:p>
        </w:tc>
        <w:tc>
          <w:tcPr>
            <w:tcW w:w="7655" w:type="dxa"/>
          </w:tcPr>
          <w:p w14:paraId="2B6C0B64" w14:textId="77777777" w:rsidR="00CE019E" w:rsidRPr="00835753" w:rsidRDefault="00CE019E" w:rsidP="001E06A3">
            <w:pPr>
              <w:autoSpaceDE w:val="0"/>
              <w:autoSpaceDN w:val="0"/>
              <w:adjustRightInd w:val="0"/>
              <w:spacing w:before="120" w:after="120"/>
              <w:jc w:val="both"/>
              <w:rPr>
                <w:rFonts w:ascii="Times New Roman" w:hAnsi="Times New Roman" w:cs="Times New Roman"/>
                <w:b/>
                <w:sz w:val="24"/>
              </w:rPr>
            </w:pPr>
            <w:r w:rsidRPr="00835753">
              <w:rPr>
                <w:rFonts w:ascii="Times New Roman" w:hAnsi="Times New Roman"/>
                <w:b/>
                <w:sz w:val="24"/>
              </w:rPr>
              <w:t>Wartość ekspozycji zaliczonych do portfela handlowego według metody modeli wewnętrznych</w:t>
            </w:r>
          </w:p>
          <w:p w14:paraId="6AFDB9E4" w14:textId="77777777"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Suma:</w:t>
            </w:r>
          </w:p>
          <w:p w14:paraId="22D1535F" w14:textId="6F5BD2C4" w:rsidR="00CE019E" w:rsidRPr="00835753"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proofErr w:type="gramStart"/>
            <w:r w:rsidRPr="00835753">
              <w:rPr>
                <w:rFonts w:ascii="Times New Roman" w:hAnsi="Times New Roman"/>
                <w:sz w:val="24"/>
                <w:szCs w:val="24"/>
              </w:rPr>
              <w:t>wartości</w:t>
            </w:r>
            <w:proofErr w:type="gramEnd"/>
            <w:r w:rsidRPr="00835753">
              <w:rPr>
                <w:rFonts w:ascii="Times New Roman" w:hAnsi="Times New Roman"/>
                <w:sz w:val="24"/>
                <w:szCs w:val="24"/>
              </w:rPr>
              <w:t xml:space="preserve"> godziwej pozycji na rynku kasowym odpowiadających odpowiednim ekspozycjom kredytowym ustalonym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140 ust.</w:t>
            </w:r>
            <w:r w:rsidR="00835753" w:rsidRPr="00835753">
              <w:rPr>
                <w:rFonts w:ascii="Times New Roman" w:hAnsi="Times New Roman"/>
                <w:sz w:val="24"/>
                <w:szCs w:val="24"/>
              </w:rPr>
              <w:t> </w:t>
            </w:r>
            <w:r w:rsidRPr="00835753">
              <w:rPr>
                <w:rFonts w:ascii="Times New Roman" w:hAnsi="Times New Roman"/>
                <w:sz w:val="24"/>
                <w:szCs w:val="24"/>
              </w:rPr>
              <w:t>4 lit.</w:t>
            </w:r>
            <w:r w:rsidR="00835753" w:rsidRPr="00835753">
              <w:rPr>
                <w:rFonts w:ascii="Times New Roman" w:hAnsi="Times New Roman"/>
                <w:sz w:val="24"/>
                <w:szCs w:val="24"/>
              </w:rPr>
              <w:t> </w:t>
            </w:r>
            <w:r w:rsidRPr="00835753">
              <w:rPr>
                <w:rFonts w:ascii="Times New Roman" w:hAnsi="Times New Roman"/>
                <w:sz w:val="24"/>
                <w:szCs w:val="24"/>
              </w:rPr>
              <w:t>b) CRD</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104 CRR;</w:t>
            </w:r>
          </w:p>
          <w:p w14:paraId="53781A95" w14:textId="2BE550D5" w:rsidR="00CE019E" w:rsidRPr="00835753"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proofErr w:type="gramStart"/>
            <w:r w:rsidRPr="00835753">
              <w:rPr>
                <w:rFonts w:ascii="Times New Roman" w:hAnsi="Times New Roman"/>
                <w:sz w:val="24"/>
                <w:szCs w:val="24"/>
              </w:rPr>
              <w:t>wartości</w:t>
            </w:r>
            <w:proofErr w:type="gramEnd"/>
            <w:r w:rsidRPr="00835753">
              <w:rPr>
                <w:rFonts w:ascii="Times New Roman" w:hAnsi="Times New Roman"/>
                <w:sz w:val="24"/>
                <w:szCs w:val="24"/>
              </w:rPr>
              <w:t xml:space="preserve"> referencyjnej instrumentów pochodnych odpowiadających odpowiednim ekspozycjom kredytowym ustalonym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140 ust.</w:t>
            </w:r>
            <w:r w:rsidR="00835753" w:rsidRPr="00835753">
              <w:rPr>
                <w:rFonts w:ascii="Times New Roman" w:hAnsi="Times New Roman"/>
                <w:sz w:val="24"/>
                <w:szCs w:val="24"/>
              </w:rPr>
              <w:t> </w:t>
            </w:r>
            <w:r w:rsidRPr="00835753">
              <w:rPr>
                <w:rFonts w:ascii="Times New Roman" w:hAnsi="Times New Roman"/>
                <w:sz w:val="24"/>
                <w:szCs w:val="24"/>
              </w:rPr>
              <w:t>4 lit.</w:t>
            </w:r>
            <w:r w:rsidR="00835753" w:rsidRPr="00835753">
              <w:rPr>
                <w:rFonts w:ascii="Times New Roman" w:hAnsi="Times New Roman"/>
                <w:sz w:val="24"/>
                <w:szCs w:val="24"/>
              </w:rPr>
              <w:t> </w:t>
            </w:r>
            <w:r w:rsidRPr="00835753">
              <w:rPr>
                <w:rFonts w:ascii="Times New Roman" w:hAnsi="Times New Roman"/>
                <w:sz w:val="24"/>
                <w:szCs w:val="24"/>
              </w:rPr>
              <w:t>b) CRD.</w:t>
            </w:r>
          </w:p>
          <w:p w14:paraId="41A0B360" w14:textId="3CE420C6"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Podziału pod względem lokalizacji geograficznej dokonuje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delegowanym Komisji (UE) 1152/2014.</w:t>
            </w:r>
          </w:p>
          <w:p w14:paraId="4D0E3D45" w14:textId="4E572AA8"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Wiersz 020 (ogółem): sumę wartości godziwej wszystkich pozycji na rynku kasowym odpowiadających odpowiednim ekspozycjom kredytowym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 lit.</w:t>
            </w:r>
            <w:r w:rsidR="00835753" w:rsidRPr="00835753">
              <w:rPr>
                <w:rFonts w:ascii="Times New Roman" w:hAnsi="Times New Roman"/>
                <w:sz w:val="24"/>
              </w:rPr>
              <w:t> </w:t>
            </w:r>
            <w:r w:rsidRPr="00835753">
              <w:rPr>
                <w:rFonts w:ascii="Times New Roman" w:hAnsi="Times New Roman"/>
                <w:sz w:val="24"/>
              </w:rPr>
              <w:t>b) CRD</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104 CRR, natomiast sumę wartości referencyjnych wszystkich instrumentów pochodnych odpowiadających odpowiednim ekspozycjom kredytowym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 lit.</w:t>
            </w:r>
            <w:r w:rsidR="00835753" w:rsidRPr="00835753">
              <w:rPr>
                <w:rFonts w:ascii="Times New Roman" w:hAnsi="Times New Roman"/>
                <w:sz w:val="24"/>
              </w:rPr>
              <w:t> </w:t>
            </w:r>
            <w:r w:rsidRPr="00835753">
              <w:rPr>
                <w:rFonts w:ascii="Times New Roman" w:hAnsi="Times New Roman"/>
                <w:sz w:val="24"/>
              </w:rPr>
              <w:t>b) CRD.</w:t>
            </w:r>
          </w:p>
        </w:tc>
      </w:tr>
      <w:tr w:rsidR="00CE019E" w:rsidRPr="00835753" w14:paraId="0CD5BD71" w14:textId="77777777" w:rsidTr="001E06A3">
        <w:trPr>
          <w:trHeight w:val="316"/>
        </w:trPr>
        <w:tc>
          <w:tcPr>
            <w:tcW w:w="1384" w:type="dxa"/>
          </w:tcPr>
          <w:p w14:paraId="6AE73FF5" w14:textId="77777777" w:rsidR="00CE019E" w:rsidRPr="00835753" w:rsidRDefault="00CE019E" w:rsidP="001E06A3">
            <w:pPr>
              <w:autoSpaceDE w:val="0"/>
              <w:autoSpaceDN w:val="0"/>
              <w:adjustRightInd w:val="0"/>
              <w:jc w:val="both"/>
              <w:rPr>
                <w:rFonts w:ascii="Times New Roman" w:eastAsia="Times New Roman" w:hAnsi="Times New Roman" w:cs="Times New Roman"/>
                <w:sz w:val="24"/>
              </w:rPr>
            </w:pPr>
            <w:proofErr w:type="gramStart"/>
            <w:r w:rsidRPr="00835753">
              <w:rPr>
                <w:rFonts w:ascii="Times New Roman" w:hAnsi="Times New Roman"/>
                <w:sz w:val="24"/>
              </w:rPr>
              <w:t>e</w:t>
            </w:r>
            <w:proofErr w:type="gramEnd"/>
            <w:r w:rsidRPr="00835753">
              <w:rPr>
                <w:rFonts w:ascii="Times New Roman" w:hAnsi="Times New Roman"/>
                <w:sz w:val="24"/>
              </w:rPr>
              <w:t>)</w:t>
            </w:r>
          </w:p>
        </w:tc>
        <w:tc>
          <w:tcPr>
            <w:tcW w:w="7655" w:type="dxa"/>
          </w:tcPr>
          <w:p w14:paraId="448D94BD" w14:textId="1313B5B5" w:rsidR="00CE019E" w:rsidRPr="00835753" w:rsidRDefault="00CE019E" w:rsidP="001E06A3">
            <w:pPr>
              <w:autoSpaceDE w:val="0"/>
              <w:autoSpaceDN w:val="0"/>
              <w:adjustRightInd w:val="0"/>
              <w:spacing w:before="120" w:after="120"/>
              <w:jc w:val="both"/>
              <w:rPr>
                <w:rFonts w:ascii="Times New Roman" w:hAnsi="Times New Roman" w:cs="Times New Roman"/>
                <w:b/>
                <w:sz w:val="24"/>
              </w:rPr>
            </w:pPr>
            <w:r w:rsidRPr="00835753">
              <w:rPr>
                <w:rFonts w:ascii="Times New Roman" w:hAnsi="Times New Roman"/>
                <w:b/>
                <w:sz w:val="24"/>
              </w:rPr>
              <w:t>Wartość ekspozycji sekurytyzacyjnych ujętych</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por</w:t>
            </w:r>
            <w:r w:rsidRPr="00835753">
              <w:rPr>
                <w:rFonts w:ascii="Times New Roman" w:hAnsi="Times New Roman"/>
                <w:b/>
                <w:sz w:val="24"/>
              </w:rPr>
              <w:t>tfelu bankowym</w:t>
            </w:r>
          </w:p>
          <w:p w14:paraId="068FDE85" w14:textId="4124F65E"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Wartość odpowiednich ekspozycji kredytowych ustalonych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 lit.</w:t>
            </w:r>
            <w:r w:rsidR="00835753" w:rsidRPr="00835753">
              <w:rPr>
                <w:rFonts w:ascii="Times New Roman" w:hAnsi="Times New Roman"/>
                <w:sz w:val="24"/>
              </w:rPr>
              <w:t> </w:t>
            </w:r>
            <w:r w:rsidRPr="00835753">
              <w:rPr>
                <w:rFonts w:ascii="Times New Roman" w:hAnsi="Times New Roman"/>
                <w:sz w:val="24"/>
              </w:rPr>
              <w:t>c) CRD</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248 lit.</w:t>
            </w:r>
            <w:r w:rsidR="00835753" w:rsidRPr="00835753">
              <w:rPr>
                <w:rFonts w:ascii="Times New Roman" w:hAnsi="Times New Roman"/>
                <w:sz w:val="24"/>
              </w:rPr>
              <w:t> </w:t>
            </w:r>
            <w:r w:rsidRPr="00835753">
              <w:rPr>
                <w:rFonts w:ascii="Times New Roman" w:hAnsi="Times New Roman"/>
                <w:sz w:val="24"/>
              </w:rPr>
              <w:t>a) i c) CRR</w:t>
            </w:r>
          </w:p>
          <w:p w14:paraId="58584F35" w14:textId="1CAC5070"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Podziału pod względem lokalizacji geograficznej dokonuje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delegowanym Komisji (UE) 1152/2014.</w:t>
            </w:r>
          </w:p>
          <w:p w14:paraId="4EE39B9D" w14:textId="3BCA2BCF"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Wiersz 020 (ogółem): sumę wszystkich odpowiednich ekspozycji kredytowych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 lit.</w:t>
            </w:r>
            <w:r w:rsidR="00835753" w:rsidRPr="00835753">
              <w:rPr>
                <w:rFonts w:ascii="Times New Roman" w:hAnsi="Times New Roman"/>
                <w:sz w:val="24"/>
              </w:rPr>
              <w:t> </w:t>
            </w:r>
            <w:r w:rsidRPr="00835753">
              <w:rPr>
                <w:rFonts w:ascii="Times New Roman" w:hAnsi="Times New Roman"/>
                <w:sz w:val="24"/>
              </w:rPr>
              <w:t>c) CRD</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248 lit.</w:t>
            </w:r>
            <w:r w:rsidR="00835753" w:rsidRPr="00835753">
              <w:rPr>
                <w:rFonts w:ascii="Times New Roman" w:hAnsi="Times New Roman"/>
                <w:sz w:val="24"/>
              </w:rPr>
              <w:t> </w:t>
            </w:r>
            <w:r w:rsidRPr="00835753">
              <w:rPr>
                <w:rFonts w:ascii="Times New Roman" w:hAnsi="Times New Roman"/>
                <w:sz w:val="24"/>
              </w:rPr>
              <w:t>a) i c) CRR.</w:t>
            </w:r>
          </w:p>
        </w:tc>
      </w:tr>
      <w:tr w:rsidR="00CE019E" w:rsidRPr="00835753" w14:paraId="2372693B" w14:textId="77777777" w:rsidTr="001E06A3">
        <w:trPr>
          <w:trHeight w:val="695"/>
        </w:trPr>
        <w:tc>
          <w:tcPr>
            <w:tcW w:w="1384" w:type="dxa"/>
          </w:tcPr>
          <w:p w14:paraId="7ED13EA3" w14:textId="77777777" w:rsidR="00CE019E" w:rsidRPr="00835753" w:rsidRDefault="00CE019E" w:rsidP="001E06A3">
            <w:pPr>
              <w:autoSpaceDE w:val="0"/>
              <w:autoSpaceDN w:val="0"/>
              <w:adjustRightInd w:val="0"/>
              <w:jc w:val="both"/>
              <w:rPr>
                <w:rFonts w:ascii="Times New Roman" w:eastAsia="Times New Roman" w:hAnsi="Times New Roman" w:cs="Times New Roman"/>
                <w:sz w:val="24"/>
              </w:rPr>
            </w:pPr>
            <w:proofErr w:type="gramStart"/>
            <w:r w:rsidRPr="00835753">
              <w:rPr>
                <w:rFonts w:ascii="Times New Roman" w:hAnsi="Times New Roman"/>
                <w:sz w:val="24"/>
              </w:rPr>
              <w:lastRenderedPageBreak/>
              <w:t>f</w:t>
            </w:r>
            <w:proofErr w:type="gramEnd"/>
            <w:r w:rsidRPr="00835753">
              <w:rPr>
                <w:rFonts w:ascii="Times New Roman" w:hAnsi="Times New Roman"/>
                <w:sz w:val="24"/>
              </w:rPr>
              <w:t>)</w:t>
            </w:r>
          </w:p>
        </w:tc>
        <w:tc>
          <w:tcPr>
            <w:tcW w:w="7655" w:type="dxa"/>
          </w:tcPr>
          <w:p w14:paraId="3C5CE1F6" w14:textId="77777777" w:rsidR="00CE019E" w:rsidRPr="00835753" w:rsidRDefault="00CE019E" w:rsidP="001E06A3">
            <w:pPr>
              <w:autoSpaceDE w:val="0"/>
              <w:autoSpaceDN w:val="0"/>
              <w:adjustRightInd w:val="0"/>
              <w:spacing w:before="120" w:after="120"/>
              <w:jc w:val="both"/>
              <w:rPr>
                <w:rFonts w:ascii="Times New Roman" w:hAnsi="Times New Roman" w:cs="Times New Roman"/>
                <w:b/>
                <w:sz w:val="24"/>
              </w:rPr>
            </w:pPr>
            <w:r w:rsidRPr="00835753">
              <w:rPr>
                <w:rFonts w:ascii="Times New Roman" w:hAnsi="Times New Roman"/>
                <w:b/>
                <w:sz w:val="24"/>
              </w:rPr>
              <w:t>Całkowita wartość ekspozycji</w:t>
            </w:r>
          </w:p>
          <w:p w14:paraId="52555FD3" w14:textId="00448815" w:rsidR="00CE019E" w:rsidRPr="00835753" w:rsidRDefault="00CE019E" w:rsidP="001E06A3">
            <w:pPr>
              <w:autoSpaceDE w:val="0"/>
              <w:autoSpaceDN w:val="0"/>
              <w:adjustRightInd w:val="0"/>
              <w:spacing w:before="120" w:after="120"/>
              <w:jc w:val="both"/>
              <w:rPr>
                <w:rFonts w:ascii="Times New Roman" w:hAnsi="Times New Roman"/>
                <w:sz w:val="24"/>
              </w:rPr>
            </w:pPr>
            <w:r w:rsidRPr="00835753">
              <w:rPr>
                <w:rFonts w:ascii="Times New Roman" w:hAnsi="Times New Roman"/>
                <w:sz w:val="24"/>
              </w:rPr>
              <w:t>Suma kwot</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a), b), c), d) oraz e) niniejszego wzoru</w:t>
            </w:r>
          </w:p>
          <w:p w14:paraId="304A0A1B" w14:textId="7C885B56"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Wiersz 020 (ogółem): sumę wszystkich odpowiednich ekspozycji kredytowych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 CRD.</w:t>
            </w:r>
          </w:p>
        </w:tc>
      </w:tr>
      <w:tr w:rsidR="00CE019E" w:rsidRPr="00835753" w14:paraId="3EEDBF8F" w14:textId="77777777" w:rsidTr="001E06A3">
        <w:trPr>
          <w:trHeight w:val="695"/>
        </w:trPr>
        <w:tc>
          <w:tcPr>
            <w:tcW w:w="1384" w:type="dxa"/>
          </w:tcPr>
          <w:p w14:paraId="773BB17B" w14:textId="77777777" w:rsidR="00CE019E" w:rsidRPr="00835753" w:rsidRDefault="00CE019E" w:rsidP="001E06A3">
            <w:pPr>
              <w:autoSpaceDE w:val="0"/>
              <w:autoSpaceDN w:val="0"/>
              <w:adjustRightInd w:val="0"/>
              <w:jc w:val="both"/>
              <w:rPr>
                <w:rFonts w:ascii="Times New Roman" w:eastAsia="Times New Roman" w:hAnsi="Times New Roman" w:cs="Times New Roman"/>
                <w:sz w:val="24"/>
              </w:rPr>
            </w:pPr>
            <w:proofErr w:type="gramStart"/>
            <w:r w:rsidRPr="00835753">
              <w:rPr>
                <w:rFonts w:ascii="Times New Roman" w:hAnsi="Times New Roman"/>
                <w:sz w:val="24"/>
              </w:rPr>
              <w:t>g</w:t>
            </w:r>
            <w:proofErr w:type="gramEnd"/>
            <w:r w:rsidRPr="00835753">
              <w:rPr>
                <w:rFonts w:ascii="Times New Roman" w:hAnsi="Times New Roman"/>
                <w:sz w:val="24"/>
              </w:rPr>
              <w:t>)</w:t>
            </w:r>
          </w:p>
        </w:tc>
        <w:tc>
          <w:tcPr>
            <w:tcW w:w="7655" w:type="dxa"/>
          </w:tcPr>
          <w:p w14:paraId="4814AC9A" w14:textId="39A9B5C8"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b/>
                <w:sz w:val="24"/>
              </w:rPr>
              <w:t>Wymogi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funduszy własnych – odpowiednie ekspozycje kredytowe – ryzyko kredytowe</w:t>
            </w:r>
          </w:p>
          <w:p w14:paraId="5C2E5F98" w14:textId="24F00DCF"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dotyczące odpowiednich ekspozycji kredytowych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państwie ustalonych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 lit.</w:t>
            </w:r>
            <w:r w:rsidR="00835753" w:rsidRPr="00835753">
              <w:rPr>
                <w:rFonts w:ascii="Times New Roman" w:hAnsi="Times New Roman"/>
                <w:sz w:val="24"/>
              </w:rPr>
              <w:t> </w:t>
            </w:r>
            <w:r w:rsidRPr="00835753">
              <w:rPr>
                <w:rFonts w:ascii="Times New Roman" w:hAnsi="Times New Roman"/>
                <w:sz w:val="24"/>
              </w:rPr>
              <w:t>a) CRD</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wsz</w:t>
            </w:r>
            <w:r w:rsidRPr="00835753">
              <w:rPr>
                <w:rFonts w:ascii="Times New Roman" w:hAnsi="Times New Roman"/>
                <w:sz w:val="24"/>
              </w:rPr>
              <w:t>elkimi korektami wag ryzyka ustalanymi przez poszczególne państwa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458 CRR</w:t>
            </w:r>
          </w:p>
          <w:p w14:paraId="7A162747" w14:textId="2EA53BF6"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Wiersz 020 (ogółem): sumę wszystkich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dotyczących odpowiednich ekspozycji kredytowych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 lit.</w:t>
            </w:r>
            <w:r w:rsidR="00835753" w:rsidRPr="00835753">
              <w:rPr>
                <w:rFonts w:ascii="Times New Roman" w:hAnsi="Times New Roman"/>
                <w:sz w:val="24"/>
              </w:rPr>
              <w:t> </w:t>
            </w:r>
            <w:r w:rsidRPr="00835753">
              <w:rPr>
                <w:rFonts w:ascii="Times New Roman" w:hAnsi="Times New Roman"/>
                <w:sz w:val="24"/>
              </w:rPr>
              <w:t>a) CRD</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CRR.</w:t>
            </w:r>
          </w:p>
        </w:tc>
      </w:tr>
      <w:tr w:rsidR="00CE019E" w:rsidRPr="00835753" w14:paraId="7833BB97" w14:textId="77777777" w:rsidTr="001E06A3">
        <w:trPr>
          <w:trHeight w:val="695"/>
        </w:trPr>
        <w:tc>
          <w:tcPr>
            <w:tcW w:w="1384" w:type="dxa"/>
          </w:tcPr>
          <w:p w14:paraId="41DAB906" w14:textId="77777777" w:rsidR="00CE019E" w:rsidRPr="00835753" w:rsidRDefault="00CE019E" w:rsidP="001E06A3">
            <w:pPr>
              <w:autoSpaceDE w:val="0"/>
              <w:autoSpaceDN w:val="0"/>
              <w:adjustRightInd w:val="0"/>
              <w:jc w:val="both"/>
              <w:rPr>
                <w:rFonts w:ascii="Times New Roman" w:eastAsia="Times New Roman" w:hAnsi="Times New Roman" w:cs="Times New Roman"/>
                <w:sz w:val="24"/>
              </w:rPr>
            </w:pPr>
            <w:proofErr w:type="gramStart"/>
            <w:r w:rsidRPr="00835753">
              <w:rPr>
                <w:rFonts w:ascii="Times New Roman" w:hAnsi="Times New Roman"/>
                <w:sz w:val="24"/>
              </w:rPr>
              <w:t>h</w:t>
            </w:r>
            <w:proofErr w:type="gramEnd"/>
            <w:r w:rsidRPr="00835753">
              <w:rPr>
                <w:rFonts w:ascii="Times New Roman" w:hAnsi="Times New Roman"/>
                <w:sz w:val="24"/>
              </w:rPr>
              <w:t>)</w:t>
            </w:r>
          </w:p>
        </w:tc>
        <w:tc>
          <w:tcPr>
            <w:tcW w:w="7655" w:type="dxa"/>
          </w:tcPr>
          <w:p w14:paraId="7EF9007B" w14:textId="15D647BB"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b/>
                <w:sz w:val="24"/>
              </w:rPr>
              <w:t>Wymogi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 xml:space="preserve">resie funduszy własnych – odpowiednie ekspozycje kredytowe – Ryzyko rynkowe </w:t>
            </w:r>
          </w:p>
          <w:p w14:paraId="31945EB4" w14:textId="0EC5D367" w:rsidR="00CE019E" w:rsidRPr="00835753" w:rsidRDefault="00CE019E" w:rsidP="001E06A3">
            <w:pPr>
              <w:pStyle w:val="Fait"/>
              <w:spacing w:after="120"/>
            </w:pPr>
            <w:r w:rsidRPr="00835753">
              <w:t>Wymogi</w:t>
            </w:r>
            <w:r w:rsidR="00835753" w:rsidRPr="00835753">
              <w:t xml:space="preserve"> w</w:t>
            </w:r>
            <w:r w:rsidR="00835753">
              <w:t> </w:t>
            </w:r>
            <w:r w:rsidR="00835753" w:rsidRPr="00835753">
              <w:t>zak</w:t>
            </w:r>
            <w:r w:rsidRPr="00835753">
              <w:t>resie funduszy własnych dotyczące odpowiednich ekspozycji kredytowych</w:t>
            </w:r>
            <w:r w:rsidR="00835753" w:rsidRPr="00835753">
              <w:t xml:space="preserve"> w</w:t>
            </w:r>
            <w:r w:rsidR="00835753">
              <w:t> </w:t>
            </w:r>
            <w:r w:rsidR="00835753" w:rsidRPr="00835753">
              <w:t>dan</w:t>
            </w:r>
            <w:r w:rsidRPr="00835753">
              <w:t>ym państwie ustalonych zgodnie</w:t>
            </w:r>
            <w:r w:rsidR="00835753" w:rsidRPr="00835753">
              <w:t xml:space="preserve"> z</w:t>
            </w:r>
            <w:r w:rsidR="00835753">
              <w:t> </w:t>
            </w:r>
            <w:r w:rsidR="00835753" w:rsidRPr="00835753">
              <w:t>art</w:t>
            </w:r>
            <w:r w:rsidRPr="00835753">
              <w:t>.</w:t>
            </w:r>
            <w:r w:rsidR="00835753" w:rsidRPr="00835753">
              <w:t> </w:t>
            </w:r>
            <w:r w:rsidRPr="00835753">
              <w:t>140 ust.</w:t>
            </w:r>
            <w:r w:rsidR="00835753" w:rsidRPr="00835753">
              <w:t> </w:t>
            </w:r>
            <w:r w:rsidRPr="00835753">
              <w:t>4 lit.</w:t>
            </w:r>
            <w:r w:rsidR="00835753" w:rsidRPr="00835753">
              <w:t> </w:t>
            </w:r>
            <w:r w:rsidRPr="00835753">
              <w:t>b) CRD</w:t>
            </w:r>
            <w:r w:rsidR="00835753" w:rsidRPr="00835753">
              <w:t xml:space="preserve"> i</w:t>
            </w:r>
            <w:r w:rsidR="00835753">
              <w:t> </w:t>
            </w:r>
            <w:r w:rsidR="00835753" w:rsidRPr="00835753">
              <w:t>czę</w:t>
            </w:r>
            <w:r w:rsidRPr="00835753">
              <w:t>ścią trzecią tytuł IV rozdział 2 CRR dla ryzyka szczególnego lub zgodnie</w:t>
            </w:r>
            <w:r w:rsidR="00835753" w:rsidRPr="00835753">
              <w:t xml:space="preserve"> z</w:t>
            </w:r>
            <w:r w:rsidR="00835753">
              <w:t> </w:t>
            </w:r>
            <w:r w:rsidR="00835753" w:rsidRPr="00835753">
              <w:t>czę</w:t>
            </w:r>
            <w:r w:rsidRPr="00835753">
              <w:t>ścią trzecią tytuł IV rozdział 5 CRR dla dodatkowego ryzyka niewykonania zobowiązań</w:t>
            </w:r>
            <w:r w:rsidR="00835753" w:rsidRPr="00835753">
              <w:t xml:space="preserve"> i</w:t>
            </w:r>
            <w:r w:rsidR="00835753">
              <w:t> </w:t>
            </w:r>
            <w:r w:rsidR="00835753" w:rsidRPr="00835753">
              <w:t>mig</w:t>
            </w:r>
            <w:r w:rsidRPr="00835753">
              <w:t>racji</w:t>
            </w:r>
          </w:p>
          <w:p w14:paraId="2401E826" w14:textId="39A95963" w:rsidR="00CE019E" w:rsidRPr="00835753" w:rsidRDefault="00CE019E" w:rsidP="001E06A3">
            <w:pPr>
              <w:pStyle w:val="Fait"/>
              <w:spacing w:after="120"/>
            </w:pPr>
            <w:r w:rsidRPr="00835753">
              <w:t>Wiersz 020 (ogółem): sumę wszystkich wymogów</w:t>
            </w:r>
            <w:r w:rsidR="00835753" w:rsidRPr="00835753">
              <w:t xml:space="preserve"> w</w:t>
            </w:r>
            <w:r w:rsidR="00835753">
              <w:t> </w:t>
            </w:r>
            <w:r w:rsidR="00835753" w:rsidRPr="00835753">
              <w:t>zak</w:t>
            </w:r>
            <w:r w:rsidRPr="00835753">
              <w:t>resie funduszy własnych dotyczących odpowiednich ekspozycji kredytowych ustala się zgodnie</w:t>
            </w:r>
            <w:r w:rsidR="00835753" w:rsidRPr="00835753">
              <w:t xml:space="preserve"> z</w:t>
            </w:r>
            <w:r w:rsidR="00835753">
              <w:t> </w:t>
            </w:r>
            <w:r w:rsidR="00835753" w:rsidRPr="00835753">
              <w:t>art</w:t>
            </w:r>
            <w:r w:rsidRPr="00835753">
              <w:t>.</w:t>
            </w:r>
            <w:r w:rsidR="00835753" w:rsidRPr="00835753">
              <w:t> </w:t>
            </w:r>
            <w:r w:rsidRPr="00835753">
              <w:t>140 ust.</w:t>
            </w:r>
            <w:r w:rsidR="00835753" w:rsidRPr="00835753">
              <w:t> </w:t>
            </w:r>
            <w:r w:rsidRPr="00835753">
              <w:t>4 lit.</w:t>
            </w:r>
            <w:r w:rsidR="00835753" w:rsidRPr="00835753">
              <w:t> </w:t>
            </w:r>
            <w:r w:rsidRPr="00835753">
              <w:t>b) CRD</w:t>
            </w:r>
            <w:r w:rsidR="00835753" w:rsidRPr="00835753">
              <w:t xml:space="preserve"> i</w:t>
            </w:r>
            <w:r w:rsidR="00835753">
              <w:t> </w:t>
            </w:r>
            <w:r w:rsidR="00835753" w:rsidRPr="00835753">
              <w:t>czę</w:t>
            </w:r>
            <w:r w:rsidRPr="00835753">
              <w:t>ścią trzecią tytuł IV rozdział 2 CRR dla ryzyka szczególnego lub częścią trzecią tytuł IV rozdział 5 CRR dla dodatkowego ryzyka niewykonania zobowiązań</w:t>
            </w:r>
            <w:r w:rsidR="00835753" w:rsidRPr="00835753">
              <w:t xml:space="preserve"> i</w:t>
            </w:r>
            <w:r w:rsidR="00835753">
              <w:t> </w:t>
            </w:r>
            <w:r w:rsidR="00835753" w:rsidRPr="00835753">
              <w:t>mig</w:t>
            </w:r>
            <w:r w:rsidRPr="00835753">
              <w:t>racji.</w:t>
            </w:r>
          </w:p>
        </w:tc>
      </w:tr>
      <w:tr w:rsidR="00CE019E" w:rsidRPr="00835753" w14:paraId="1D42E5E3" w14:textId="77777777" w:rsidTr="001E06A3">
        <w:trPr>
          <w:trHeight w:val="695"/>
        </w:trPr>
        <w:tc>
          <w:tcPr>
            <w:tcW w:w="1384" w:type="dxa"/>
          </w:tcPr>
          <w:p w14:paraId="73B07C20" w14:textId="77777777" w:rsidR="00CE019E" w:rsidRPr="00835753" w:rsidRDefault="00CE019E" w:rsidP="001E06A3">
            <w:pPr>
              <w:autoSpaceDE w:val="0"/>
              <w:autoSpaceDN w:val="0"/>
              <w:adjustRightInd w:val="0"/>
              <w:jc w:val="both"/>
              <w:rPr>
                <w:rFonts w:ascii="Times New Roman" w:eastAsia="Times New Roman" w:hAnsi="Times New Roman" w:cs="Times New Roman"/>
                <w:sz w:val="24"/>
              </w:rPr>
            </w:pPr>
            <w:proofErr w:type="gramStart"/>
            <w:r w:rsidRPr="00835753">
              <w:rPr>
                <w:rFonts w:ascii="Times New Roman" w:hAnsi="Times New Roman"/>
                <w:sz w:val="24"/>
              </w:rPr>
              <w:t>i</w:t>
            </w:r>
            <w:proofErr w:type="gramEnd"/>
            <w:r w:rsidRPr="00835753">
              <w:rPr>
                <w:rFonts w:ascii="Times New Roman" w:hAnsi="Times New Roman"/>
                <w:sz w:val="24"/>
              </w:rPr>
              <w:t>)</w:t>
            </w:r>
          </w:p>
        </w:tc>
        <w:tc>
          <w:tcPr>
            <w:tcW w:w="7655" w:type="dxa"/>
          </w:tcPr>
          <w:p w14:paraId="5496C399" w14:textId="037FCB81"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b/>
                <w:sz w:val="24"/>
              </w:rPr>
              <w:t>Wymogi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funduszy własnych – Odpowiednie ekspozycje kredytowe – Pozycje sekurytyzacyjne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por</w:t>
            </w:r>
            <w:r w:rsidRPr="00835753">
              <w:rPr>
                <w:rFonts w:ascii="Times New Roman" w:hAnsi="Times New Roman"/>
                <w:b/>
                <w:sz w:val="24"/>
              </w:rPr>
              <w:t xml:space="preserve">tfelu bankowym </w:t>
            </w:r>
          </w:p>
          <w:p w14:paraId="36DA94AE" w14:textId="27EC9E5E"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dotyczące odpowiednich ekspozycji kredytowych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państwie ustalonych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 lit.</w:t>
            </w:r>
            <w:r w:rsidR="00835753" w:rsidRPr="00835753">
              <w:rPr>
                <w:rFonts w:ascii="Times New Roman" w:hAnsi="Times New Roman"/>
                <w:sz w:val="24"/>
              </w:rPr>
              <w:t> </w:t>
            </w:r>
            <w:r w:rsidRPr="00835753">
              <w:rPr>
                <w:rFonts w:ascii="Times New Roman" w:hAnsi="Times New Roman"/>
                <w:sz w:val="24"/>
              </w:rPr>
              <w:t>c) CRD oraz częścią trzecią tytuł II rozdział 5 CRR</w:t>
            </w:r>
          </w:p>
          <w:p w14:paraId="7A86B7B7" w14:textId="792A245C"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Wiersz 020 (ogółem): sumę wszystkich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dotyczących odpowiednich ekspozycji kredytowych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 lit.</w:t>
            </w:r>
            <w:r w:rsidR="00835753" w:rsidRPr="00835753">
              <w:rPr>
                <w:rFonts w:ascii="Times New Roman" w:hAnsi="Times New Roman"/>
                <w:sz w:val="24"/>
              </w:rPr>
              <w:t> </w:t>
            </w:r>
            <w:r w:rsidRPr="00835753">
              <w:rPr>
                <w:rFonts w:ascii="Times New Roman" w:hAnsi="Times New Roman"/>
                <w:sz w:val="24"/>
              </w:rPr>
              <w:t>c) CRD</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5 CRR.</w:t>
            </w:r>
          </w:p>
        </w:tc>
      </w:tr>
      <w:tr w:rsidR="00CE019E" w:rsidRPr="00835753" w14:paraId="3B6D87A2" w14:textId="77777777" w:rsidTr="001E06A3">
        <w:trPr>
          <w:trHeight w:val="695"/>
        </w:trPr>
        <w:tc>
          <w:tcPr>
            <w:tcW w:w="1384" w:type="dxa"/>
          </w:tcPr>
          <w:p w14:paraId="2A79F96D" w14:textId="77777777" w:rsidR="00CE019E" w:rsidRPr="00835753" w:rsidRDefault="00CE019E" w:rsidP="001E06A3">
            <w:pPr>
              <w:autoSpaceDE w:val="0"/>
              <w:autoSpaceDN w:val="0"/>
              <w:adjustRightInd w:val="0"/>
              <w:jc w:val="both"/>
              <w:rPr>
                <w:rFonts w:ascii="Times New Roman" w:eastAsia="Times New Roman" w:hAnsi="Times New Roman" w:cs="Times New Roman"/>
                <w:sz w:val="24"/>
              </w:rPr>
            </w:pPr>
            <w:proofErr w:type="gramStart"/>
            <w:r w:rsidRPr="00835753">
              <w:rPr>
                <w:rFonts w:ascii="Times New Roman" w:hAnsi="Times New Roman"/>
                <w:sz w:val="24"/>
              </w:rPr>
              <w:t>j</w:t>
            </w:r>
            <w:proofErr w:type="gramEnd"/>
            <w:r w:rsidRPr="00835753">
              <w:rPr>
                <w:rFonts w:ascii="Times New Roman" w:hAnsi="Times New Roman"/>
                <w:sz w:val="24"/>
              </w:rPr>
              <w:t>)</w:t>
            </w:r>
          </w:p>
        </w:tc>
        <w:tc>
          <w:tcPr>
            <w:tcW w:w="7655" w:type="dxa"/>
          </w:tcPr>
          <w:p w14:paraId="24629AC6" w14:textId="3E0BB603" w:rsidR="00CE019E" w:rsidRPr="00835753" w:rsidRDefault="00CE019E" w:rsidP="001E06A3">
            <w:pPr>
              <w:autoSpaceDE w:val="0"/>
              <w:autoSpaceDN w:val="0"/>
              <w:adjustRightInd w:val="0"/>
              <w:spacing w:before="120" w:after="120"/>
              <w:jc w:val="both"/>
              <w:rPr>
                <w:rFonts w:ascii="Times New Roman" w:hAnsi="Times New Roman" w:cs="Times New Roman"/>
                <w:b/>
                <w:sz w:val="24"/>
              </w:rPr>
            </w:pPr>
            <w:r w:rsidRPr="00835753">
              <w:rPr>
                <w:rFonts w:ascii="Times New Roman" w:hAnsi="Times New Roman"/>
                <w:b/>
                <w:sz w:val="24"/>
              </w:rPr>
              <w:t>Wymogi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funduszy własnych – Ogółem</w:t>
            </w:r>
          </w:p>
          <w:p w14:paraId="75D85F0A" w14:textId="25748398"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Suma kwot</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g), h) oraz i) niniejszego wzoru</w:t>
            </w:r>
          </w:p>
          <w:p w14:paraId="08C2FCEB" w14:textId="4B678E24" w:rsidR="00CE019E" w:rsidRPr="00835753" w:rsidRDefault="00CE019E" w:rsidP="001E06A3">
            <w:pPr>
              <w:autoSpaceDE w:val="0"/>
              <w:autoSpaceDN w:val="0"/>
              <w:adjustRightInd w:val="0"/>
              <w:spacing w:before="120" w:after="120"/>
              <w:jc w:val="both"/>
              <w:rPr>
                <w:rFonts w:ascii="Times New Roman" w:hAnsi="Times New Roman" w:cs="Times New Roman"/>
                <w:b/>
                <w:sz w:val="24"/>
              </w:rPr>
            </w:pPr>
            <w:r w:rsidRPr="00835753">
              <w:rPr>
                <w:rFonts w:ascii="Times New Roman" w:hAnsi="Times New Roman"/>
                <w:sz w:val="24"/>
              </w:rPr>
              <w:t>Wiersz 020 (ogółem): sumę wszystkich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dotyczących odpowiednich ekspozycji kredytowych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 CRD.</w:t>
            </w:r>
          </w:p>
        </w:tc>
      </w:tr>
      <w:tr w:rsidR="00CE019E" w:rsidRPr="00835753" w14:paraId="6D394CD5" w14:textId="77777777" w:rsidTr="001E06A3">
        <w:trPr>
          <w:trHeight w:val="695"/>
        </w:trPr>
        <w:tc>
          <w:tcPr>
            <w:tcW w:w="1384" w:type="dxa"/>
          </w:tcPr>
          <w:p w14:paraId="73F91788" w14:textId="77777777" w:rsidR="00CE019E" w:rsidRPr="00835753" w:rsidRDefault="00CE019E" w:rsidP="001E06A3">
            <w:pPr>
              <w:autoSpaceDE w:val="0"/>
              <w:autoSpaceDN w:val="0"/>
              <w:adjustRightInd w:val="0"/>
              <w:jc w:val="both"/>
              <w:rPr>
                <w:rFonts w:ascii="Times New Roman" w:eastAsia="Times New Roman" w:hAnsi="Times New Roman" w:cs="Times New Roman"/>
                <w:sz w:val="24"/>
              </w:rPr>
            </w:pPr>
            <w:proofErr w:type="gramStart"/>
            <w:r w:rsidRPr="00835753">
              <w:rPr>
                <w:rFonts w:ascii="Times New Roman" w:hAnsi="Times New Roman"/>
                <w:sz w:val="24"/>
              </w:rPr>
              <w:lastRenderedPageBreak/>
              <w:t>k</w:t>
            </w:r>
            <w:proofErr w:type="gramEnd"/>
            <w:r w:rsidRPr="00835753">
              <w:rPr>
                <w:rFonts w:ascii="Times New Roman" w:hAnsi="Times New Roman"/>
                <w:sz w:val="24"/>
              </w:rPr>
              <w:t>)</w:t>
            </w:r>
          </w:p>
        </w:tc>
        <w:tc>
          <w:tcPr>
            <w:tcW w:w="7655" w:type="dxa"/>
          </w:tcPr>
          <w:p w14:paraId="3608B9C3" w14:textId="77777777" w:rsidR="00CE019E" w:rsidRPr="00835753" w:rsidRDefault="00CE019E" w:rsidP="001E06A3">
            <w:pPr>
              <w:autoSpaceDE w:val="0"/>
              <w:autoSpaceDN w:val="0"/>
              <w:adjustRightInd w:val="0"/>
              <w:spacing w:before="120" w:after="120"/>
              <w:jc w:val="both"/>
              <w:rPr>
                <w:rFonts w:ascii="Times New Roman" w:hAnsi="Times New Roman" w:cs="Times New Roman"/>
                <w:b/>
                <w:sz w:val="24"/>
              </w:rPr>
            </w:pPr>
            <w:r w:rsidRPr="00835753">
              <w:rPr>
                <w:rFonts w:ascii="Times New Roman" w:hAnsi="Times New Roman"/>
                <w:b/>
                <w:sz w:val="24"/>
              </w:rPr>
              <w:t>Kwoty ekspozycji ważonych ryzykiem</w:t>
            </w:r>
          </w:p>
          <w:p w14:paraId="07CB4356" w14:textId="67920C13"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odpowiednich ekspozycji kredytowych ustalonych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 CRD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ziale na państwa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w:t>
            </w:r>
            <w:r w:rsidR="00835753">
              <w:rPr>
                <w:rFonts w:ascii="Times New Roman" w:hAnsi="Times New Roman"/>
                <w:sz w:val="24"/>
              </w:rPr>
              <w:t> </w:t>
            </w:r>
            <w:r w:rsidR="00835753" w:rsidRPr="00835753">
              <w:rPr>
                <w:rFonts w:ascii="Times New Roman" w:hAnsi="Times New Roman"/>
                <w:sz w:val="24"/>
              </w:rPr>
              <w:t>uwz</w:t>
            </w:r>
            <w:r w:rsidRPr="00835753">
              <w:rPr>
                <w:rFonts w:ascii="Times New Roman" w:hAnsi="Times New Roman"/>
                <w:sz w:val="24"/>
              </w:rPr>
              <w:t>ględnieniem wszelkich korekt wag ryzyka ustalonych dla poszczególnych państw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458 CRR</w:t>
            </w:r>
          </w:p>
          <w:p w14:paraId="1BE2F763" w14:textId="6FB169D7" w:rsidR="00CE019E" w:rsidRPr="00835753" w:rsidRDefault="00CE019E" w:rsidP="001E06A3">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Wiersz 020 (ogółem): sumę wszystkich kwot ekspozycji ważonych ryzykiem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odpowiednich ekspozycji kredytowych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 CRD.</w:t>
            </w:r>
          </w:p>
        </w:tc>
      </w:tr>
      <w:tr w:rsidR="00CE019E" w:rsidRPr="00835753" w14:paraId="72C7338B" w14:textId="77777777" w:rsidTr="001E06A3">
        <w:trPr>
          <w:trHeight w:val="695"/>
        </w:trPr>
        <w:tc>
          <w:tcPr>
            <w:tcW w:w="1384" w:type="dxa"/>
          </w:tcPr>
          <w:p w14:paraId="4A45663D" w14:textId="77777777" w:rsidR="00CE019E" w:rsidRPr="00835753" w:rsidRDefault="00CE019E" w:rsidP="001E06A3">
            <w:pPr>
              <w:autoSpaceDE w:val="0"/>
              <w:autoSpaceDN w:val="0"/>
              <w:adjustRightInd w:val="0"/>
              <w:jc w:val="both"/>
              <w:rPr>
                <w:rFonts w:ascii="Times New Roman" w:eastAsia="Times New Roman" w:hAnsi="Times New Roman" w:cs="Times New Roman"/>
                <w:sz w:val="24"/>
              </w:rPr>
            </w:pPr>
            <w:proofErr w:type="gramStart"/>
            <w:r w:rsidRPr="00835753">
              <w:rPr>
                <w:rFonts w:ascii="Times New Roman" w:hAnsi="Times New Roman"/>
                <w:sz w:val="24"/>
              </w:rPr>
              <w:t>l</w:t>
            </w:r>
            <w:proofErr w:type="gramEnd"/>
            <w:r w:rsidRPr="00835753">
              <w:rPr>
                <w:rFonts w:ascii="Times New Roman" w:hAnsi="Times New Roman"/>
                <w:sz w:val="24"/>
              </w:rPr>
              <w:t>)</w:t>
            </w:r>
          </w:p>
        </w:tc>
        <w:tc>
          <w:tcPr>
            <w:tcW w:w="7655" w:type="dxa"/>
          </w:tcPr>
          <w:p w14:paraId="63700A80" w14:textId="4FCEDE75" w:rsidR="00CE019E" w:rsidRPr="00835753" w:rsidRDefault="00CE019E" w:rsidP="001E06A3">
            <w:pPr>
              <w:autoSpaceDE w:val="0"/>
              <w:autoSpaceDN w:val="0"/>
              <w:adjustRightInd w:val="0"/>
              <w:spacing w:before="120" w:after="120"/>
              <w:jc w:val="both"/>
              <w:rPr>
                <w:rFonts w:ascii="Times New Roman" w:hAnsi="Times New Roman" w:cs="Times New Roman"/>
                <w:b/>
                <w:sz w:val="24"/>
              </w:rPr>
            </w:pPr>
            <w:r w:rsidRPr="00835753">
              <w:rPr>
                <w:rFonts w:ascii="Times New Roman" w:hAnsi="Times New Roman"/>
                <w:b/>
                <w:sz w:val="24"/>
              </w:rPr>
              <w:t>Wymogi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funduszy własnych: wagi (%)</w:t>
            </w:r>
          </w:p>
          <w:p w14:paraId="5C4FB042" w14:textId="68E35393" w:rsidR="00CE019E" w:rsidRPr="00835753"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Waga stosowana do wskaźnika bufora antycyklicznego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każ</w:t>
            </w:r>
            <w:r w:rsidRPr="00835753">
              <w:rPr>
                <w:rFonts w:ascii="Times New Roman" w:hAnsi="Times New Roman"/>
                <w:sz w:val="24"/>
              </w:rPr>
              <w:t>dym państwie, obliczona jako iloraz łącznych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dotyczących odpowiednich ekspozycji kredytowych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państwie (kolumna j) wiersz 01X niniejszego wzoru)</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łąc</w:t>
            </w:r>
            <w:r w:rsidRPr="00835753">
              <w:rPr>
                <w:rFonts w:ascii="Times New Roman" w:hAnsi="Times New Roman"/>
                <w:sz w:val="24"/>
              </w:rPr>
              <w:t>znych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dotyczących wszystkich ekspozycji kredytowych istotnych do celów obliczenia bufora antycyklicznego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4</w:t>
            </w:r>
            <w:r w:rsidRPr="00835753">
              <w:rPr>
                <w:rFonts w:ascii="Times New Roman" w:hAnsi="Times New Roman"/>
                <w:b/>
                <w:sz w:val="24"/>
              </w:rPr>
              <w:t xml:space="preserve"> </w:t>
            </w:r>
            <w:r w:rsidRPr="00835753">
              <w:rPr>
                <w:rFonts w:ascii="Times New Roman" w:hAnsi="Times New Roman"/>
                <w:sz w:val="24"/>
              </w:rPr>
              <w:t>CRD (kolumna j) wiersz 020 niniejszego wzoru)</w:t>
            </w:r>
          </w:p>
          <w:p w14:paraId="7829B30F" w14:textId="4F358383" w:rsidR="00CE019E" w:rsidRPr="00835753" w:rsidRDefault="00CE019E" w:rsidP="001E06A3">
            <w:pPr>
              <w:autoSpaceDE w:val="0"/>
              <w:autoSpaceDN w:val="0"/>
              <w:adjustRightInd w:val="0"/>
              <w:spacing w:before="120" w:after="120"/>
              <w:jc w:val="both"/>
              <w:rPr>
                <w:rFonts w:ascii="Times New Roman" w:hAnsi="Times New Roman" w:cs="Times New Roman"/>
                <w:b/>
                <w:sz w:val="24"/>
              </w:rPr>
            </w:pPr>
            <w:r w:rsidRPr="00835753">
              <w:rPr>
                <w:rFonts w:ascii="Times New Roman" w:hAnsi="Times New Roman"/>
                <w:sz w:val="24"/>
              </w:rPr>
              <w:t>Wartość tę ujawnia się jako odsetek</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dok</w:t>
            </w:r>
            <w:r w:rsidRPr="00835753">
              <w:rPr>
                <w:rFonts w:ascii="Times New Roman" w:hAnsi="Times New Roman"/>
                <w:sz w:val="24"/>
              </w:rPr>
              <w:t>ładnością do</w:t>
            </w:r>
            <w:r w:rsidR="00835753" w:rsidRPr="00835753">
              <w:rPr>
                <w:rFonts w:ascii="Times New Roman" w:hAnsi="Times New Roman"/>
                <w:sz w:val="24"/>
              </w:rPr>
              <w:t> </w:t>
            </w:r>
            <w:r w:rsidRPr="00835753">
              <w:rPr>
                <w:rFonts w:ascii="Times New Roman" w:hAnsi="Times New Roman"/>
                <w:sz w:val="24"/>
              </w:rPr>
              <w:t>2 miejsc po przecinku.</w:t>
            </w:r>
          </w:p>
        </w:tc>
      </w:tr>
      <w:tr w:rsidR="00CE019E" w:rsidRPr="00835753" w14:paraId="00690E8A" w14:textId="77777777" w:rsidTr="001E06A3">
        <w:trPr>
          <w:trHeight w:val="695"/>
        </w:trPr>
        <w:tc>
          <w:tcPr>
            <w:tcW w:w="1384" w:type="dxa"/>
          </w:tcPr>
          <w:p w14:paraId="5F114751" w14:textId="77777777" w:rsidR="00CE019E" w:rsidRPr="00835753" w:rsidRDefault="00CE019E" w:rsidP="001E06A3">
            <w:pPr>
              <w:autoSpaceDE w:val="0"/>
              <w:autoSpaceDN w:val="0"/>
              <w:adjustRightInd w:val="0"/>
              <w:jc w:val="both"/>
              <w:rPr>
                <w:rFonts w:ascii="Times New Roman" w:eastAsia="Times New Roman" w:hAnsi="Times New Roman" w:cs="Times New Roman"/>
                <w:sz w:val="24"/>
              </w:rPr>
            </w:pPr>
            <w:proofErr w:type="gramStart"/>
            <w:r w:rsidRPr="00835753">
              <w:rPr>
                <w:rFonts w:ascii="Times New Roman" w:hAnsi="Times New Roman"/>
                <w:sz w:val="24"/>
              </w:rPr>
              <w:t>m</w:t>
            </w:r>
            <w:proofErr w:type="gramEnd"/>
            <w:r w:rsidRPr="00835753">
              <w:rPr>
                <w:rFonts w:ascii="Times New Roman" w:hAnsi="Times New Roman"/>
                <w:sz w:val="24"/>
              </w:rPr>
              <w:t>)</w:t>
            </w:r>
          </w:p>
        </w:tc>
        <w:tc>
          <w:tcPr>
            <w:tcW w:w="7655" w:type="dxa"/>
          </w:tcPr>
          <w:p w14:paraId="34E9D6F4" w14:textId="77777777" w:rsidR="00CE019E" w:rsidRPr="00835753" w:rsidRDefault="00CE019E" w:rsidP="001E06A3">
            <w:pPr>
              <w:autoSpaceDE w:val="0"/>
              <w:autoSpaceDN w:val="0"/>
              <w:adjustRightInd w:val="0"/>
              <w:jc w:val="both"/>
              <w:rPr>
                <w:rFonts w:ascii="Times New Roman" w:hAnsi="Times New Roman" w:cs="Times New Roman"/>
                <w:b/>
                <w:sz w:val="24"/>
              </w:rPr>
            </w:pPr>
            <w:r w:rsidRPr="00835753">
              <w:rPr>
                <w:rFonts w:ascii="Times New Roman" w:hAnsi="Times New Roman"/>
                <w:b/>
                <w:sz w:val="24"/>
              </w:rPr>
              <w:t>Wskaźniki bufora antycyklicznego (%)</w:t>
            </w:r>
          </w:p>
          <w:p w14:paraId="09E81108" w14:textId="510955DB" w:rsidR="00CE019E" w:rsidRPr="00835753"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Wskaźnik bufora antycyklicznego mający zastosowanie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państwie, który został ustalony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136, 137, 138</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39 CRD.</w:t>
            </w:r>
          </w:p>
          <w:p w14:paraId="26E210D6" w14:textId="77777777" w:rsidR="00CE019E" w:rsidRPr="00835753"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Kolumna ta nie obejmuje wskaźników bufora antycyklicznego, które zostały ustalone, ale nie są jeszcze stosowane przy obliczaniu specyficznego dla instytucji bufora antycyklicznego, do którego odnoszą się ujawniane informacji.</w:t>
            </w:r>
          </w:p>
          <w:p w14:paraId="49ACACAC" w14:textId="6F7682C3" w:rsidR="00CE019E" w:rsidRPr="00835753" w:rsidRDefault="00CE019E" w:rsidP="001E06A3">
            <w:pPr>
              <w:autoSpaceDE w:val="0"/>
              <w:autoSpaceDN w:val="0"/>
              <w:adjustRightInd w:val="0"/>
              <w:spacing w:before="120" w:after="120"/>
              <w:jc w:val="both"/>
              <w:rPr>
                <w:rFonts w:ascii="Times New Roman" w:hAnsi="Times New Roman" w:cs="Times New Roman"/>
                <w:b/>
                <w:sz w:val="24"/>
              </w:rPr>
            </w:pPr>
            <w:r w:rsidRPr="00835753">
              <w:rPr>
                <w:rFonts w:ascii="Times New Roman" w:hAnsi="Times New Roman"/>
                <w:sz w:val="24"/>
              </w:rPr>
              <w:t>Wartość tę wykazuje się jako odsetek z tą samą liczbą miejsc po przecinku, jak określono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136, 137, 138</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39 CRD.</w:t>
            </w:r>
          </w:p>
        </w:tc>
      </w:tr>
    </w:tbl>
    <w:p w14:paraId="595F859E" w14:textId="77777777" w:rsidR="00CE019E" w:rsidRPr="00835753" w:rsidRDefault="00CE019E" w:rsidP="00CE019E">
      <w:pPr>
        <w:jc w:val="both"/>
        <w:rPr>
          <w:rFonts w:ascii="Times New Roman" w:hAnsi="Times New Roman" w:cs="Times New Roman"/>
          <w:sz w:val="24"/>
        </w:rPr>
      </w:pPr>
    </w:p>
    <w:p w14:paraId="4095F529" w14:textId="038B7A61" w:rsidR="00CE019E" w:rsidRPr="00835753" w:rsidRDefault="00CD362D" w:rsidP="00CE019E">
      <w:pPr>
        <w:autoSpaceDE w:val="0"/>
        <w:autoSpaceDN w:val="0"/>
        <w:adjustRightInd w:val="0"/>
        <w:jc w:val="both"/>
        <w:rPr>
          <w:rFonts w:ascii="Times New Roman" w:hAnsi="Times New Roman" w:cs="Times New Roman"/>
          <w:b/>
          <w:sz w:val="24"/>
        </w:rPr>
      </w:pPr>
      <w:r w:rsidRPr="00835753">
        <w:rPr>
          <w:rFonts w:ascii="Times New Roman" w:hAnsi="Times New Roman"/>
          <w:b/>
          <w:sz w:val="24"/>
        </w:rPr>
        <w:t>Wzór EU CCyB2 – Kwota specyficznego dla instytucji bufora antycyklicznego</w:t>
      </w:r>
    </w:p>
    <w:p w14:paraId="53EB0A4C" w14:textId="7B1AF668" w:rsidR="00CE019E" w:rsidRPr="00835753" w:rsidRDefault="00CE019E" w:rsidP="00E70D84">
      <w:pPr>
        <w:pStyle w:val="ListParagraph"/>
        <w:numPr>
          <w:ilvl w:val="0"/>
          <w:numId w:val="22"/>
        </w:numPr>
        <w:spacing w:before="120" w:after="120"/>
        <w:ind w:left="425" w:hanging="357"/>
        <w:jc w:val="both"/>
        <w:rPr>
          <w:rFonts w:ascii="Times New Roman" w:hAnsi="Times New Roman"/>
          <w:sz w:val="24"/>
        </w:rPr>
      </w:pPr>
      <w:r w:rsidRPr="00835753">
        <w:rPr>
          <w:rFonts w:ascii="Times New Roman" w:hAnsi="Times New Roman"/>
          <w:sz w:val="24"/>
        </w:rPr>
        <w:t>W celu wypełnienia wzoru EU CCyB2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IX do niniejszego rozporządzenia wykonawczego instytucje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440 lit.</w:t>
      </w:r>
      <w:r w:rsidR="00835753" w:rsidRPr="00835753">
        <w:rPr>
          <w:rFonts w:ascii="Times New Roman" w:hAnsi="Times New Roman"/>
          <w:sz w:val="24"/>
        </w:rPr>
        <w:t> </w:t>
      </w:r>
      <w:r w:rsidRPr="00835753">
        <w:rPr>
          <w:rFonts w:ascii="Times New Roman" w:hAnsi="Times New Roman"/>
          <w:sz w:val="24"/>
        </w:rPr>
        <w:t>b)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835753"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15F63C8F" w:rsidR="00CE019E" w:rsidRPr="00835753" w:rsidRDefault="00CE019E" w:rsidP="001E06A3">
            <w:pPr>
              <w:jc w:val="both"/>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CE019E" w:rsidRPr="00835753" w14:paraId="6C635396" w14:textId="77777777" w:rsidTr="001E06A3">
        <w:trPr>
          <w:trHeight w:val="238"/>
        </w:trPr>
        <w:tc>
          <w:tcPr>
            <w:tcW w:w="1384" w:type="dxa"/>
            <w:shd w:val="clear" w:color="auto" w:fill="D9D9D9" w:themeFill="background1" w:themeFillShade="D9"/>
          </w:tcPr>
          <w:p w14:paraId="7A8B4702" w14:textId="77777777" w:rsidR="00CE019E" w:rsidRPr="00835753" w:rsidRDefault="00CE019E" w:rsidP="001E06A3">
            <w:pPr>
              <w:autoSpaceDE w:val="0"/>
              <w:autoSpaceDN w:val="0"/>
              <w:adjustRightInd w:val="0"/>
              <w:jc w:val="both"/>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4C301A07" w14:textId="77777777" w:rsidR="00CE019E" w:rsidRPr="00835753" w:rsidRDefault="00CE019E" w:rsidP="001E06A3">
            <w:pPr>
              <w:autoSpaceDE w:val="0"/>
              <w:autoSpaceDN w:val="0"/>
              <w:adjustRightInd w:val="0"/>
              <w:jc w:val="both"/>
              <w:rPr>
                <w:rFonts w:ascii="Times New Roman" w:hAnsi="Times New Roman" w:cs="Times New Roman"/>
                <w:color w:val="000000"/>
                <w:sz w:val="24"/>
              </w:rPr>
            </w:pPr>
            <w:r w:rsidRPr="00835753">
              <w:rPr>
                <w:rFonts w:ascii="Times New Roman" w:hAnsi="Times New Roman"/>
                <w:b/>
                <w:sz w:val="24"/>
              </w:rPr>
              <w:t>Wyjaśnienie</w:t>
            </w:r>
          </w:p>
        </w:tc>
      </w:tr>
      <w:tr w:rsidR="00CE019E" w:rsidRPr="00835753" w14:paraId="3795E0DF" w14:textId="77777777" w:rsidTr="001E06A3">
        <w:trPr>
          <w:trHeight w:val="1055"/>
        </w:trPr>
        <w:tc>
          <w:tcPr>
            <w:tcW w:w="1384" w:type="dxa"/>
          </w:tcPr>
          <w:p w14:paraId="398A818D" w14:textId="77777777" w:rsidR="00CE019E" w:rsidRPr="00835753" w:rsidRDefault="00CE019E" w:rsidP="001E06A3">
            <w:pPr>
              <w:pStyle w:val="Applicationdirecte"/>
              <w:spacing w:before="120"/>
            </w:pPr>
            <w:r w:rsidRPr="00835753">
              <w:t>1</w:t>
            </w:r>
          </w:p>
        </w:tc>
        <w:tc>
          <w:tcPr>
            <w:tcW w:w="7655" w:type="dxa"/>
          </w:tcPr>
          <w:p w14:paraId="1198D2F8" w14:textId="77777777" w:rsidR="00CE019E" w:rsidRPr="00835753" w:rsidRDefault="00CE019E" w:rsidP="001E06A3">
            <w:pPr>
              <w:pStyle w:val="Applicationdirecte"/>
              <w:spacing w:before="120"/>
              <w:rPr>
                <w:b/>
              </w:rPr>
            </w:pPr>
            <w:r w:rsidRPr="00835753">
              <w:rPr>
                <w:b/>
              </w:rPr>
              <w:t>Łączna kwota ekspozycji na ryzyko</w:t>
            </w:r>
          </w:p>
          <w:p w14:paraId="2EE23848" w14:textId="21743D9D" w:rsidR="00CE019E" w:rsidRPr="00835753" w:rsidRDefault="00CE019E" w:rsidP="001E06A3">
            <w:pPr>
              <w:autoSpaceDE w:val="0"/>
              <w:autoSpaceDN w:val="0"/>
              <w:adjustRightInd w:val="0"/>
              <w:spacing w:before="120" w:after="120"/>
              <w:jc w:val="both"/>
              <w:rPr>
                <w:rFonts w:ascii="Times New Roman" w:hAnsi="Times New Roman" w:cs="Times New Roman"/>
                <w:color w:val="000000"/>
                <w:sz w:val="24"/>
              </w:rPr>
            </w:pPr>
            <w:r w:rsidRPr="00835753">
              <w:rPr>
                <w:rFonts w:ascii="Times New Roman" w:hAnsi="Times New Roman"/>
                <w:sz w:val="24"/>
              </w:rPr>
              <w:t>Łączna kwota ekspozycji na ryzyko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92 ust.</w:t>
            </w:r>
            <w:r w:rsidR="00835753" w:rsidRPr="00835753">
              <w:rPr>
                <w:rFonts w:ascii="Times New Roman" w:hAnsi="Times New Roman"/>
                <w:sz w:val="24"/>
              </w:rPr>
              <w:t> </w:t>
            </w:r>
            <w:r w:rsidRPr="00835753">
              <w:rPr>
                <w:rFonts w:ascii="Times New Roman" w:hAnsi="Times New Roman"/>
                <w:sz w:val="24"/>
              </w:rPr>
              <w:t>3 CRR</w:t>
            </w:r>
          </w:p>
        </w:tc>
      </w:tr>
      <w:tr w:rsidR="00CE019E" w:rsidRPr="00835753" w14:paraId="64570429" w14:textId="77777777" w:rsidTr="001E06A3">
        <w:trPr>
          <w:trHeight w:val="316"/>
        </w:trPr>
        <w:tc>
          <w:tcPr>
            <w:tcW w:w="1384" w:type="dxa"/>
          </w:tcPr>
          <w:p w14:paraId="0BE0A621" w14:textId="77777777" w:rsidR="00CE019E" w:rsidRPr="00835753" w:rsidRDefault="00CE019E" w:rsidP="001E06A3">
            <w:pPr>
              <w:autoSpaceDE w:val="0"/>
              <w:autoSpaceDN w:val="0"/>
              <w:adjustRightInd w:val="0"/>
              <w:jc w:val="both"/>
              <w:rPr>
                <w:rFonts w:ascii="Times New Roman" w:eastAsia="Times New Roman" w:hAnsi="Times New Roman" w:cs="Times New Roman"/>
                <w:sz w:val="24"/>
              </w:rPr>
            </w:pPr>
            <w:r w:rsidRPr="00835753">
              <w:rPr>
                <w:rFonts w:ascii="Times New Roman" w:hAnsi="Times New Roman"/>
                <w:sz w:val="24"/>
              </w:rPr>
              <w:t>2</w:t>
            </w:r>
          </w:p>
        </w:tc>
        <w:tc>
          <w:tcPr>
            <w:tcW w:w="7655" w:type="dxa"/>
          </w:tcPr>
          <w:p w14:paraId="4451EEAB" w14:textId="77777777" w:rsidR="00CE019E" w:rsidRPr="00835753" w:rsidRDefault="00CE019E" w:rsidP="001E06A3">
            <w:pPr>
              <w:autoSpaceDE w:val="0"/>
              <w:autoSpaceDN w:val="0"/>
              <w:adjustRightInd w:val="0"/>
              <w:spacing w:before="120" w:after="120"/>
              <w:jc w:val="both"/>
              <w:rPr>
                <w:rFonts w:ascii="Times New Roman" w:hAnsi="Times New Roman" w:cs="Times New Roman"/>
                <w:b/>
                <w:sz w:val="24"/>
              </w:rPr>
            </w:pPr>
            <w:r w:rsidRPr="00835753">
              <w:rPr>
                <w:rFonts w:ascii="Times New Roman" w:hAnsi="Times New Roman"/>
                <w:b/>
                <w:sz w:val="24"/>
              </w:rPr>
              <w:t xml:space="preserve">Specyficzny dla instytucji wskaźnik bufora antycyklicznego </w:t>
            </w:r>
          </w:p>
          <w:p w14:paraId="163DF62F" w14:textId="1BB5E79C" w:rsidR="00CE019E" w:rsidRPr="00835753"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lastRenderedPageBreak/>
              <w:t>Specyficzny dla instytucji wskaźnik bufora antycyklicznego ustalony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140 ust.</w:t>
            </w:r>
            <w:r w:rsidR="00835753" w:rsidRPr="00835753">
              <w:rPr>
                <w:rFonts w:ascii="Times New Roman" w:hAnsi="Times New Roman"/>
                <w:sz w:val="24"/>
              </w:rPr>
              <w:t> </w:t>
            </w:r>
            <w:r w:rsidRPr="00835753">
              <w:rPr>
                <w:rFonts w:ascii="Times New Roman" w:hAnsi="Times New Roman"/>
                <w:sz w:val="24"/>
              </w:rPr>
              <w:t xml:space="preserve">1 CRD </w:t>
            </w:r>
          </w:p>
          <w:p w14:paraId="621A174E" w14:textId="46BF89D5" w:rsidR="00CE019E" w:rsidRPr="00835753"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Specyficzny dla instytucji wskaźnik bufora antycyklicznego oblicza się jako średnią ważoną wskaźników bufora antycyklicznego mających zastosowanie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pań</w:t>
            </w:r>
            <w:r w:rsidRPr="00835753">
              <w:rPr>
                <w:rFonts w:ascii="Times New Roman" w:hAnsi="Times New Roman"/>
                <w:sz w:val="24"/>
              </w:rPr>
              <w:t>stwach,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znajdują się odpowiednie ekspozycje kredytowe instytucji, wymienionych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m) wiersze 010.1–010.X wzoru EU CCyB1.</w:t>
            </w:r>
          </w:p>
          <w:p w14:paraId="1DFCE7F3" w14:textId="08127D63" w:rsidR="00CE019E" w:rsidRPr="00835753"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Wagę stosowaną do wskaźnika bufora antycyklicznego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każ</w:t>
            </w:r>
            <w:r w:rsidRPr="00835753">
              <w:rPr>
                <w:rFonts w:ascii="Times New Roman" w:hAnsi="Times New Roman"/>
                <w:sz w:val="24"/>
              </w:rPr>
              <w:t>dym państwie stanowi udział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łąc</w:t>
            </w:r>
            <w:r w:rsidRPr="00835753">
              <w:rPr>
                <w:rFonts w:ascii="Times New Roman" w:hAnsi="Times New Roman"/>
                <w:sz w:val="24"/>
              </w:rPr>
              <w:t>znych wymogach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lega ona zgłoszeniu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 xml:space="preserve">umnie l) wzoru EU CCyB1. </w:t>
            </w:r>
          </w:p>
          <w:p w14:paraId="0A5B1C3D" w14:textId="47C34C5E" w:rsidR="00CE019E" w:rsidRPr="00835753"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Wartość tę ujawnia się jako odsetek</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dok</w:t>
            </w:r>
            <w:r w:rsidRPr="00835753">
              <w:rPr>
                <w:rFonts w:ascii="Times New Roman" w:hAnsi="Times New Roman"/>
                <w:sz w:val="24"/>
              </w:rPr>
              <w:t>ładnością do</w:t>
            </w:r>
            <w:r w:rsidR="00835753" w:rsidRPr="00835753">
              <w:rPr>
                <w:rFonts w:ascii="Times New Roman" w:hAnsi="Times New Roman"/>
                <w:sz w:val="24"/>
              </w:rPr>
              <w:t> </w:t>
            </w:r>
            <w:r w:rsidRPr="00835753">
              <w:rPr>
                <w:rFonts w:ascii="Times New Roman" w:hAnsi="Times New Roman"/>
                <w:sz w:val="24"/>
              </w:rPr>
              <w:t>2 miejsc po przecinku.</w:t>
            </w:r>
          </w:p>
        </w:tc>
      </w:tr>
      <w:tr w:rsidR="00CE019E" w:rsidRPr="00835753" w14:paraId="4A1ABF5B" w14:textId="77777777" w:rsidTr="001E06A3">
        <w:trPr>
          <w:trHeight w:val="316"/>
        </w:trPr>
        <w:tc>
          <w:tcPr>
            <w:tcW w:w="1384" w:type="dxa"/>
          </w:tcPr>
          <w:p w14:paraId="794774FA" w14:textId="77777777" w:rsidR="00CE019E" w:rsidRPr="00835753" w:rsidRDefault="00CE019E" w:rsidP="001E06A3">
            <w:pPr>
              <w:autoSpaceDE w:val="0"/>
              <w:autoSpaceDN w:val="0"/>
              <w:adjustRightInd w:val="0"/>
              <w:jc w:val="both"/>
              <w:rPr>
                <w:rFonts w:ascii="Times New Roman" w:eastAsia="Times New Roman" w:hAnsi="Times New Roman" w:cs="Times New Roman"/>
                <w:sz w:val="24"/>
              </w:rPr>
            </w:pPr>
            <w:r w:rsidRPr="00835753">
              <w:rPr>
                <w:rFonts w:ascii="Times New Roman" w:hAnsi="Times New Roman"/>
                <w:sz w:val="24"/>
              </w:rPr>
              <w:lastRenderedPageBreak/>
              <w:t>3</w:t>
            </w:r>
          </w:p>
        </w:tc>
        <w:tc>
          <w:tcPr>
            <w:tcW w:w="7655" w:type="dxa"/>
          </w:tcPr>
          <w:p w14:paraId="455FA417" w14:textId="1C9CE26D" w:rsidR="00CE019E" w:rsidRPr="00835753" w:rsidRDefault="00CE019E" w:rsidP="001E06A3">
            <w:pPr>
              <w:autoSpaceDE w:val="0"/>
              <w:autoSpaceDN w:val="0"/>
              <w:adjustRightInd w:val="0"/>
              <w:spacing w:before="120" w:after="120"/>
              <w:jc w:val="both"/>
              <w:rPr>
                <w:rFonts w:ascii="Times New Roman" w:hAnsi="Times New Roman" w:cs="Times New Roman"/>
                <w:b/>
                <w:sz w:val="24"/>
              </w:rPr>
            </w:pPr>
            <w:r w:rsidRPr="00835753">
              <w:rPr>
                <w:rFonts w:ascii="Times New Roman" w:hAnsi="Times New Roman"/>
                <w:b/>
                <w:sz w:val="24"/>
              </w:rPr>
              <w:t>Wymóg</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specyficznego dla instytucji bufora antycyklicznego</w:t>
            </w:r>
          </w:p>
          <w:p w14:paraId="0126D735" w14:textId="2029DC87" w:rsidR="00CE019E" w:rsidRPr="00835753" w:rsidRDefault="00CE019E" w:rsidP="001E06A3">
            <w:pPr>
              <w:autoSpaceDE w:val="0"/>
              <w:autoSpaceDN w:val="0"/>
              <w:adjustRightInd w:val="0"/>
              <w:spacing w:before="120" w:after="120"/>
              <w:jc w:val="both"/>
              <w:rPr>
                <w:rFonts w:ascii="Times New Roman" w:hAnsi="Times New Roman" w:cs="Times New Roman"/>
                <w:b/>
                <w:sz w:val="24"/>
              </w:rPr>
            </w:pPr>
            <w:r w:rsidRPr="00835753">
              <w:rPr>
                <w:rFonts w:ascii="Times New Roman" w:hAnsi="Times New Roman"/>
                <w:sz w:val="24"/>
              </w:rPr>
              <w:t>Wymóg</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specyficznego dla instytucji bufora antycyklicznego obliczany jako iloczyn specyficznego dla instytucji wskaźnika bufora antycyklicznego, ujawnianego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2 niniejszego wzoru,</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łąc</w:t>
            </w:r>
            <w:r w:rsidRPr="00835753">
              <w:rPr>
                <w:rFonts w:ascii="Times New Roman" w:hAnsi="Times New Roman"/>
                <w:sz w:val="24"/>
              </w:rPr>
              <w:t>znej kwoty ekspozycji na ryzyko ujawnianej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1 niniejszego wzoru.</w:t>
            </w:r>
          </w:p>
        </w:tc>
      </w:tr>
    </w:tbl>
    <w:p w14:paraId="7F2BDB40" w14:textId="77777777" w:rsidR="00CE019E" w:rsidRPr="00835753"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835753"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46461391" w:rsidR="00CE019E" w:rsidRPr="00835753" w:rsidRDefault="00CE019E" w:rsidP="001E06A3">
            <w:pPr>
              <w:jc w:val="both"/>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CE019E" w:rsidRPr="00835753" w14:paraId="5663F865" w14:textId="77777777" w:rsidTr="001E06A3">
        <w:trPr>
          <w:trHeight w:val="238"/>
        </w:trPr>
        <w:tc>
          <w:tcPr>
            <w:tcW w:w="1384" w:type="dxa"/>
            <w:shd w:val="clear" w:color="auto" w:fill="D9D9D9" w:themeFill="background1" w:themeFillShade="D9"/>
          </w:tcPr>
          <w:p w14:paraId="072307AB" w14:textId="77777777" w:rsidR="00CE019E" w:rsidRPr="00835753" w:rsidRDefault="00CE019E" w:rsidP="001E06A3">
            <w:pPr>
              <w:autoSpaceDE w:val="0"/>
              <w:autoSpaceDN w:val="0"/>
              <w:adjustRightInd w:val="0"/>
              <w:jc w:val="both"/>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65E9D381" w14:textId="77777777" w:rsidR="00CE019E" w:rsidRPr="00835753" w:rsidRDefault="00CE019E" w:rsidP="001E06A3">
            <w:pPr>
              <w:autoSpaceDE w:val="0"/>
              <w:autoSpaceDN w:val="0"/>
              <w:adjustRightInd w:val="0"/>
              <w:jc w:val="both"/>
              <w:rPr>
                <w:rFonts w:ascii="Times New Roman" w:hAnsi="Times New Roman" w:cs="Times New Roman"/>
                <w:color w:val="000000"/>
                <w:sz w:val="24"/>
              </w:rPr>
            </w:pPr>
            <w:r w:rsidRPr="00835753">
              <w:rPr>
                <w:rFonts w:ascii="Times New Roman" w:hAnsi="Times New Roman"/>
                <w:b/>
                <w:sz w:val="24"/>
              </w:rPr>
              <w:t>Wyjaśnienie</w:t>
            </w:r>
          </w:p>
        </w:tc>
      </w:tr>
      <w:tr w:rsidR="00CE019E" w:rsidRPr="00835753" w14:paraId="0F761600" w14:textId="77777777" w:rsidTr="001E06A3">
        <w:trPr>
          <w:trHeight w:val="703"/>
        </w:trPr>
        <w:tc>
          <w:tcPr>
            <w:tcW w:w="1384" w:type="dxa"/>
          </w:tcPr>
          <w:p w14:paraId="543D102F" w14:textId="77777777" w:rsidR="00CE019E" w:rsidRPr="00835753" w:rsidRDefault="00CE019E" w:rsidP="001E06A3">
            <w:pPr>
              <w:pStyle w:val="Applicationdirecte"/>
              <w:spacing w:before="120"/>
            </w:pPr>
            <w:proofErr w:type="gramStart"/>
            <w:r w:rsidRPr="00835753">
              <w:t>a</w:t>
            </w:r>
            <w:proofErr w:type="gramEnd"/>
            <w:r w:rsidRPr="00835753">
              <w:t>)</w:t>
            </w:r>
          </w:p>
        </w:tc>
        <w:tc>
          <w:tcPr>
            <w:tcW w:w="7655" w:type="dxa"/>
          </w:tcPr>
          <w:p w14:paraId="45A2BE94" w14:textId="76DAC3EB" w:rsidR="00CE019E" w:rsidRPr="00835753" w:rsidRDefault="00CE019E" w:rsidP="001E06A3">
            <w:pPr>
              <w:autoSpaceDE w:val="0"/>
              <w:autoSpaceDN w:val="0"/>
              <w:adjustRightInd w:val="0"/>
              <w:spacing w:before="120" w:after="120"/>
              <w:jc w:val="both"/>
              <w:rPr>
                <w:rFonts w:ascii="Times New Roman" w:hAnsi="Times New Roman" w:cs="Times New Roman"/>
                <w:color w:val="000000"/>
                <w:sz w:val="24"/>
              </w:rPr>
            </w:pPr>
            <w:r w:rsidRPr="00835753">
              <w:rPr>
                <w:rFonts w:ascii="Times New Roman" w:hAnsi="Times New Roman"/>
                <w:sz w:val="24"/>
              </w:rPr>
              <w:t>Wartość opisana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wyj</w:t>
            </w:r>
            <w:r w:rsidRPr="00835753">
              <w:rPr>
                <w:rFonts w:ascii="Times New Roman" w:hAnsi="Times New Roman"/>
                <w:sz w:val="24"/>
              </w:rPr>
              <w:t>aśnieniu do wierszy 1–3 niniejszego wzoru.</w:t>
            </w:r>
          </w:p>
        </w:tc>
      </w:tr>
    </w:tbl>
    <w:p w14:paraId="35E71BA5" w14:textId="77777777" w:rsidR="007A7DC0" w:rsidRPr="00835753" w:rsidRDefault="007A7DC0" w:rsidP="00CE019E">
      <w:pPr>
        <w:jc w:val="both"/>
        <w:rPr>
          <w:rFonts w:ascii="Times New Roman" w:hAnsi="Times New Roman" w:cs="Times New Roman"/>
          <w:sz w:val="24"/>
        </w:rPr>
        <w:sectPr w:rsidR="007A7DC0" w:rsidRPr="00835753" w:rsidSect="00155C96">
          <w:pgSz w:w="11900" w:h="16840"/>
          <w:pgMar w:top="2268" w:right="1418" w:bottom="1134" w:left="1701" w:header="709" w:footer="709" w:gutter="0"/>
          <w:pgNumType w:start="1" w:chapStyle="1"/>
          <w:cols w:space="708"/>
          <w:docGrid w:linePitch="299"/>
        </w:sectPr>
      </w:pPr>
    </w:p>
    <w:p w14:paraId="4036B67F" w14:textId="5172A314" w:rsidR="00CE019E" w:rsidRPr="00835753" w:rsidRDefault="00CE019E" w:rsidP="00CE019E">
      <w:pPr>
        <w:jc w:val="both"/>
        <w:rPr>
          <w:rFonts w:ascii="Times New Roman" w:hAnsi="Times New Roman" w:cs="Times New Roman"/>
          <w:sz w:val="24"/>
        </w:rPr>
      </w:pPr>
    </w:p>
    <w:p w14:paraId="764CFA27" w14:textId="7A649F67" w:rsidR="00CE019E" w:rsidRPr="00835753" w:rsidRDefault="00CE019E" w:rsidP="00E258D8">
      <w:pPr>
        <w:tabs>
          <w:tab w:val="left" w:pos="1430"/>
        </w:tabs>
        <w:rPr>
          <w:rFonts w:ascii="Times New Roman" w:hAnsi="Times New Roman" w:cs="Times New Roman"/>
          <w:b/>
          <w:sz w:val="24"/>
        </w:rPr>
      </w:pPr>
    </w:p>
    <w:p w14:paraId="71FDF3C1" w14:textId="77777777" w:rsidR="000A7015" w:rsidRPr="00835753" w:rsidRDefault="000A7015" w:rsidP="000A7015">
      <w:pPr>
        <w:pStyle w:val="Annexetitre"/>
        <w:spacing w:before="0"/>
        <w:ind w:firstLine="708"/>
        <w:rPr>
          <w:b w:val="0"/>
        </w:rPr>
      </w:pPr>
      <w:r w:rsidRPr="00835753">
        <w:t xml:space="preserve">ZAŁĄCZNIK XII – Instrukcje dotyczące ujawniania informacji na temat wskaźnika dźwigni </w:t>
      </w:r>
    </w:p>
    <w:p w14:paraId="367D37E3" w14:textId="77777777" w:rsidR="000A7015" w:rsidRPr="00835753"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1" w:name="_DV_M1009"/>
      <w:bookmarkStart w:id="12" w:name="_DV_M1010"/>
      <w:bookmarkEnd w:id="11"/>
      <w:bookmarkEnd w:id="12"/>
    </w:p>
    <w:p w14:paraId="7CD5D435" w14:textId="798D23FA" w:rsidR="000A7015" w:rsidRPr="00835753"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sidRPr="00835753">
        <w:rPr>
          <w:rFonts w:ascii="Times New Roman" w:hAnsi="Times New Roman"/>
          <w:color w:val="000000"/>
          <w:sz w:val="24"/>
          <w:szCs w:val="24"/>
        </w:rPr>
        <w:t>Wzór EU LR1 – LRSum: Zestawienie dotyczące uzgodnienia aktywów księgowych</w:t>
      </w:r>
      <w:r w:rsidR="00835753" w:rsidRPr="00835753">
        <w:rPr>
          <w:rFonts w:ascii="Times New Roman" w:hAnsi="Times New Roman"/>
          <w:color w:val="000000"/>
          <w:sz w:val="24"/>
          <w:szCs w:val="24"/>
        </w:rPr>
        <w:t xml:space="preserve"> i</w:t>
      </w:r>
      <w:r w:rsidR="00835753">
        <w:rPr>
          <w:rFonts w:ascii="Times New Roman" w:hAnsi="Times New Roman"/>
          <w:color w:val="000000"/>
          <w:sz w:val="24"/>
          <w:szCs w:val="24"/>
        </w:rPr>
        <w:t> </w:t>
      </w:r>
      <w:r w:rsidR="00835753" w:rsidRPr="00835753">
        <w:rPr>
          <w:rFonts w:ascii="Times New Roman" w:hAnsi="Times New Roman"/>
          <w:color w:val="000000"/>
          <w:sz w:val="24"/>
          <w:szCs w:val="24"/>
        </w:rPr>
        <w:t>eks</w:t>
      </w:r>
      <w:r w:rsidRPr="00835753">
        <w:rPr>
          <w:rFonts w:ascii="Times New Roman" w:hAnsi="Times New Roman"/>
          <w:color w:val="000000"/>
          <w:sz w:val="24"/>
          <w:szCs w:val="24"/>
        </w:rPr>
        <w:t xml:space="preserve">pozycji wskaźnika dźwigni. </w:t>
      </w:r>
      <w:r w:rsidRPr="00835753">
        <w:rPr>
          <w:rFonts w:ascii="Times New Roman" w:hAnsi="Times New Roman"/>
          <w:b w:val="0"/>
          <w:color w:val="000000"/>
          <w:sz w:val="24"/>
          <w:szCs w:val="24"/>
        </w:rPr>
        <w:t>Wzór</w:t>
      </w:r>
      <w:r w:rsidR="00835753" w:rsidRPr="00835753">
        <w:rPr>
          <w:rFonts w:ascii="Times New Roman" w:hAnsi="Times New Roman"/>
          <w:b w:val="0"/>
          <w:color w:val="000000"/>
          <w:sz w:val="24"/>
          <w:szCs w:val="24"/>
        </w:rPr>
        <w:t xml:space="preserve"> o</w:t>
      </w:r>
      <w:r w:rsidR="00835753">
        <w:rPr>
          <w:rFonts w:ascii="Times New Roman" w:hAnsi="Times New Roman"/>
          <w:b w:val="0"/>
          <w:color w:val="000000"/>
          <w:sz w:val="24"/>
          <w:szCs w:val="24"/>
        </w:rPr>
        <w:t> </w:t>
      </w:r>
      <w:r w:rsidR="00835753" w:rsidRPr="00835753">
        <w:rPr>
          <w:rFonts w:ascii="Times New Roman" w:hAnsi="Times New Roman"/>
          <w:b w:val="0"/>
          <w:color w:val="000000"/>
          <w:sz w:val="24"/>
          <w:szCs w:val="24"/>
        </w:rPr>
        <w:t>for</w:t>
      </w:r>
      <w:r w:rsidRPr="00835753">
        <w:rPr>
          <w:rFonts w:ascii="Times New Roman" w:hAnsi="Times New Roman"/>
          <w:b w:val="0"/>
          <w:color w:val="000000"/>
          <w:sz w:val="24"/>
          <w:szCs w:val="24"/>
        </w:rPr>
        <w:t>macie stałym</w:t>
      </w:r>
    </w:p>
    <w:p w14:paraId="323ADFCE" w14:textId="76BFF733" w:rsidR="000A7015" w:rsidRPr="00835753" w:rsidRDefault="000A7015" w:rsidP="00E70D84">
      <w:pPr>
        <w:pStyle w:val="ListParagraph"/>
        <w:numPr>
          <w:ilvl w:val="0"/>
          <w:numId w:val="28"/>
        </w:numPr>
        <w:spacing w:after="120"/>
        <w:ind w:left="426"/>
        <w:rPr>
          <w:rFonts w:ascii="Times New Roman" w:hAnsi="Times New Roman"/>
          <w:sz w:val="24"/>
          <w:szCs w:val="24"/>
        </w:rPr>
      </w:pPr>
      <w:r w:rsidRPr="00835753">
        <w:rPr>
          <w:rFonts w:ascii="Times New Roman" w:hAnsi="Times New Roman"/>
          <w:sz w:val="24"/>
          <w:szCs w:val="24"/>
        </w:rPr>
        <w:t>Instytucje stosują instrukcje zawarte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nin</w:t>
      </w:r>
      <w:r w:rsidRPr="00835753">
        <w:rPr>
          <w:rFonts w:ascii="Times New Roman" w:hAnsi="Times New Roman"/>
          <w:sz w:val="24"/>
          <w:szCs w:val="24"/>
        </w:rPr>
        <w:t>iejszej sekcji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cel</w:t>
      </w:r>
      <w:r w:rsidRPr="00835753">
        <w:rPr>
          <w:rFonts w:ascii="Times New Roman" w:hAnsi="Times New Roman"/>
          <w:sz w:val="24"/>
          <w:szCs w:val="24"/>
        </w:rPr>
        <w:t>u wypełnienia wzoru EU LR1 – LRSum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451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 xml:space="preserve">b) </w:t>
      </w:r>
      <w:r w:rsidRPr="00835753">
        <w:rPr>
          <w:rFonts w:ascii="Times New Roman" w:hAnsi="Times New Roman"/>
          <w:sz w:val="24"/>
        </w:rPr>
        <w:t>rozporządzenia (UE) nr</w:t>
      </w:r>
      <w:r w:rsidR="00835753" w:rsidRPr="00835753">
        <w:rPr>
          <w:rFonts w:ascii="Times New Roman" w:hAnsi="Times New Roman"/>
          <w:sz w:val="24"/>
        </w:rPr>
        <w:t> </w:t>
      </w:r>
      <w:r w:rsidRPr="00835753">
        <w:rPr>
          <w:rFonts w:ascii="Times New Roman" w:hAnsi="Times New Roman"/>
          <w:sz w:val="24"/>
        </w:rPr>
        <w:t>575/2013</w:t>
      </w:r>
      <w:r w:rsidRPr="00835753">
        <w:rPr>
          <w:rStyle w:val="FootnoteReference"/>
        </w:rPr>
        <w:footnoteReference w:id="20"/>
      </w:r>
      <w:r w:rsidRPr="00835753">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835753"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369A2FFD" w:rsidR="000A7015" w:rsidRPr="00835753" w:rsidRDefault="000A7015" w:rsidP="001E06A3">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0A7015" w:rsidRPr="00835753" w14:paraId="0689451A" w14:textId="77777777" w:rsidTr="001E06A3">
        <w:trPr>
          <w:trHeight w:val="238"/>
        </w:trPr>
        <w:tc>
          <w:tcPr>
            <w:tcW w:w="1384" w:type="dxa"/>
            <w:shd w:val="clear" w:color="auto" w:fill="D9D9D9" w:themeFill="background1" w:themeFillShade="D9"/>
          </w:tcPr>
          <w:p w14:paraId="4FECB811" w14:textId="77777777" w:rsidR="000A7015" w:rsidRPr="00835753" w:rsidRDefault="000A7015" w:rsidP="001E06A3">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475E44FC" w14:textId="77777777" w:rsidR="000A7015" w:rsidRPr="00835753" w:rsidRDefault="000A7015" w:rsidP="001E06A3">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0A7015" w:rsidRPr="00835753" w14:paraId="1D049D02" w14:textId="77777777" w:rsidTr="001E06A3">
        <w:trPr>
          <w:trHeight w:val="1419"/>
        </w:trPr>
        <w:tc>
          <w:tcPr>
            <w:tcW w:w="1384" w:type="dxa"/>
            <w:vAlign w:val="center"/>
          </w:tcPr>
          <w:p w14:paraId="5B2CA9D8"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1</w:t>
            </w:r>
          </w:p>
        </w:tc>
        <w:tc>
          <w:tcPr>
            <w:tcW w:w="7655" w:type="dxa"/>
          </w:tcPr>
          <w:p w14:paraId="5B7CB489"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Aktywa razem według opublikowanych sprawozdań finansowych</w:t>
            </w:r>
          </w:p>
          <w:p w14:paraId="5A26C947" w14:textId="019D155F"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całkowite aktywa opublikowane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ich</w:t>
            </w:r>
            <w:r w:rsidRPr="00835753">
              <w:rPr>
                <w:rFonts w:ascii="Times New Roman" w:hAnsi="Times New Roman"/>
                <w:sz w:val="24"/>
                <w:szCs w:val="24"/>
              </w:rPr>
              <w:t xml:space="preserve"> sprawozdaniach finansowych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maj</w:t>
            </w:r>
            <w:r w:rsidRPr="00835753">
              <w:rPr>
                <w:rFonts w:ascii="Times New Roman" w:hAnsi="Times New Roman"/>
                <w:sz w:val="24"/>
                <w:szCs w:val="24"/>
              </w:rPr>
              <w:t>ącymi zastosowanie standardami rachunkowości zdefiniowanymi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 ust.</w:t>
            </w:r>
            <w:r w:rsidR="00835753" w:rsidRPr="00835753">
              <w:rPr>
                <w:rFonts w:ascii="Times New Roman" w:hAnsi="Times New Roman"/>
                <w:sz w:val="24"/>
                <w:szCs w:val="24"/>
              </w:rPr>
              <w:t> </w:t>
            </w:r>
            <w:r w:rsidRPr="00835753">
              <w:rPr>
                <w:rFonts w:ascii="Times New Roman" w:hAnsi="Times New Roman"/>
                <w:sz w:val="24"/>
                <w:szCs w:val="24"/>
              </w:rPr>
              <w:t>1 pkt</w:t>
            </w:r>
            <w:r w:rsidR="00835753" w:rsidRPr="00835753">
              <w:rPr>
                <w:rFonts w:ascii="Times New Roman" w:hAnsi="Times New Roman"/>
                <w:sz w:val="24"/>
                <w:szCs w:val="24"/>
              </w:rPr>
              <w:t> </w:t>
            </w:r>
            <w:r w:rsidRPr="00835753">
              <w:rPr>
                <w:rFonts w:ascii="Times New Roman" w:hAnsi="Times New Roman"/>
                <w:sz w:val="24"/>
                <w:szCs w:val="24"/>
              </w:rPr>
              <w:t>77 CRR.</w:t>
            </w:r>
          </w:p>
        </w:tc>
      </w:tr>
      <w:tr w:rsidR="000A7015" w:rsidRPr="00835753" w14:paraId="032FDC0D" w14:textId="77777777" w:rsidTr="001E06A3">
        <w:trPr>
          <w:trHeight w:val="2265"/>
        </w:trPr>
        <w:tc>
          <w:tcPr>
            <w:tcW w:w="1384" w:type="dxa"/>
            <w:vAlign w:val="center"/>
          </w:tcPr>
          <w:p w14:paraId="55082500"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2</w:t>
            </w:r>
          </w:p>
        </w:tc>
        <w:tc>
          <w:tcPr>
            <w:tcW w:w="7655" w:type="dxa"/>
          </w:tcPr>
          <w:p w14:paraId="34805195" w14:textId="1423BEA9"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Korekta</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jednostek objętych konsolidacją na potrzeby rachunkowości, ale nieobjętych zakresem konsolidacji ostrożnościowej</w:t>
            </w:r>
          </w:p>
          <w:p w14:paraId="39C6A024" w14:textId="50D609DB"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różnicę</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war</w:t>
            </w:r>
            <w:r w:rsidRPr="00835753">
              <w:rPr>
                <w:rFonts w:ascii="Times New Roman" w:hAnsi="Times New Roman"/>
                <w:sz w:val="24"/>
                <w:szCs w:val="24"/>
              </w:rPr>
              <w:t>tości między miarą ekspozycji całkowitej ujawnianą</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rszu 13 wzoru EU LR1 – LRSum</w:t>
            </w:r>
            <w:r w:rsidR="00835753" w:rsidRPr="00835753">
              <w:rPr>
                <w:rFonts w:ascii="Times New Roman" w:hAnsi="Times New Roman"/>
                <w:sz w:val="24"/>
                <w:szCs w:val="24"/>
              </w:rPr>
              <w:t xml:space="preserve"> a</w:t>
            </w:r>
            <w:r w:rsidR="00835753">
              <w:rPr>
                <w:rFonts w:ascii="Times New Roman" w:hAnsi="Times New Roman"/>
                <w:sz w:val="24"/>
                <w:szCs w:val="24"/>
              </w:rPr>
              <w:t> </w:t>
            </w:r>
            <w:r w:rsidR="00835753" w:rsidRPr="00835753">
              <w:rPr>
                <w:rFonts w:ascii="Times New Roman" w:hAnsi="Times New Roman"/>
                <w:sz w:val="24"/>
                <w:szCs w:val="24"/>
              </w:rPr>
              <w:t>cał</w:t>
            </w:r>
            <w:r w:rsidRPr="00835753">
              <w:rPr>
                <w:rFonts w:ascii="Times New Roman" w:hAnsi="Times New Roman"/>
                <w:sz w:val="24"/>
                <w:szCs w:val="24"/>
              </w:rPr>
              <w:t>kowitą wartością aktywów księgowych ujawnianą</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rszu 1 wzoru EU LR1 – LRSum, wynikającą</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róż</w:t>
            </w:r>
            <w:r w:rsidRPr="00835753">
              <w:rPr>
                <w:rFonts w:ascii="Times New Roman" w:hAnsi="Times New Roman"/>
                <w:sz w:val="24"/>
                <w:szCs w:val="24"/>
              </w:rPr>
              <w:t>nic między rachunkowym</w:t>
            </w:r>
            <w:r w:rsidR="00835753" w:rsidRPr="00835753">
              <w:rPr>
                <w:rFonts w:ascii="Times New Roman" w:hAnsi="Times New Roman"/>
                <w:sz w:val="24"/>
                <w:szCs w:val="24"/>
              </w:rPr>
              <w:t xml:space="preserve"> a</w:t>
            </w:r>
            <w:r w:rsidR="00835753">
              <w:rPr>
                <w:rFonts w:ascii="Times New Roman" w:hAnsi="Times New Roman"/>
                <w:sz w:val="24"/>
                <w:szCs w:val="24"/>
              </w:rPr>
              <w:t> </w:t>
            </w:r>
            <w:r w:rsidR="00835753" w:rsidRPr="00835753">
              <w:rPr>
                <w:rFonts w:ascii="Times New Roman" w:hAnsi="Times New Roman"/>
                <w:sz w:val="24"/>
                <w:szCs w:val="24"/>
              </w:rPr>
              <w:t>ost</w:t>
            </w:r>
            <w:r w:rsidRPr="00835753">
              <w:rPr>
                <w:rFonts w:ascii="Times New Roman" w:hAnsi="Times New Roman"/>
                <w:sz w:val="24"/>
                <w:szCs w:val="24"/>
              </w:rPr>
              <w:t>rożnościowym zakresem konsolidacji.</w:t>
            </w:r>
          </w:p>
          <w:p w14:paraId="13FA44D8" w14:textId="0CDD830C"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Jeżeli korekta ta prowadzi do wzrostu wartości ekspozycji, instytucje ujawniają tę kwotę jako kwotę dodatnią. Jeżeli korekta ta prowadzi do spadku wartości ekspozycji,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447998B2" w14:textId="77777777" w:rsidTr="001E06A3">
        <w:trPr>
          <w:trHeight w:val="567"/>
        </w:trPr>
        <w:tc>
          <w:tcPr>
            <w:tcW w:w="1384" w:type="dxa"/>
            <w:vAlign w:val="center"/>
          </w:tcPr>
          <w:p w14:paraId="5E19A06F"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3</w:t>
            </w:r>
          </w:p>
        </w:tc>
        <w:tc>
          <w:tcPr>
            <w:tcW w:w="7655" w:type="dxa"/>
          </w:tcPr>
          <w:p w14:paraId="182CA7A2" w14:textId="63E1F30E"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(Korekta</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sekurytyzowanych ekspozycji, które spełniają wymogi operacyjne dotyczące uznania przeniesienia ryzyka)</w:t>
            </w:r>
          </w:p>
          <w:p w14:paraId="0427AC26" w14:textId="77E4AC36"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35753">
              <w:rPr>
                <w:rStyle w:val="TeksttreciPogrubienie"/>
                <w:rFonts w:ascii="Times New Roman" w:hAnsi="Times New Roman"/>
                <w:sz w:val="24"/>
                <w:szCs w:val="24"/>
              </w:rPr>
              <w:t>Art. 429a ust. 1 lit.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m) CRR</w:t>
            </w:r>
          </w:p>
          <w:p w14:paraId="0103ED6C" w14:textId="30726110"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kwotę sekurytyzowanych</w:t>
            </w:r>
            <w:r w:rsidRPr="00835753">
              <w:rPr>
                <w:rFonts w:ascii="Times New Roman" w:hAnsi="Times New Roman"/>
                <w:i/>
                <w:sz w:val="24"/>
                <w:szCs w:val="24"/>
              </w:rPr>
              <w:t xml:space="preserve"> </w:t>
            </w:r>
            <w:r w:rsidRPr="00835753">
              <w:rPr>
                <w:rFonts w:ascii="Times New Roman" w:hAnsi="Times New Roman"/>
                <w:sz w:val="24"/>
                <w:szCs w:val="24"/>
              </w:rPr>
              <w:t>ekspozycji</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tradycyjnych sekurytyzacji, które spełniają warunki przeniesienia istotnej części ryzyka ustanowione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244 ust.</w:t>
            </w:r>
            <w:r w:rsidR="00835753" w:rsidRPr="00835753">
              <w:rPr>
                <w:rFonts w:ascii="Times New Roman" w:hAnsi="Times New Roman"/>
                <w:sz w:val="24"/>
                <w:szCs w:val="24"/>
              </w:rPr>
              <w:t> </w:t>
            </w:r>
            <w:r w:rsidRPr="00835753">
              <w:rPr>
                <w:rFonts w:ascii="Times New Roman" w:hAnsi="Times New Roman"/>
                <w:sz w:val="24"/>
                <w:szCs w:val="24"/>
              </w:rPr>
              <w:t>2 CRR.</w:t>
            </w:r>
          </w:p>
          <w:p w14:paraId="0EB803E1" w14:textId="60A54C7E"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korekta ta zmniejsza miarę ekspozycji całkowitej,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32681027" w14:textId="77777777" w:rsidTr="001E06A3">
        <w:trPr>
          <w:trHeight w:val="850"/>
        </w:trPr>
        <w:tc>
          <w:tcPr>
            <w:tcW w:w="1384" w:type="dxa"/>
            <w:vAlign w:val="center"/>
          </w:tcPr>
          <w:p w14:paraId="07E3AE5C"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4</w:t>
            </w:r>
          </w:p>
        </w:tc>
        <w:tc>
          <w:tcPr>
            <w:tcW w:w="7655" w:type="dxa"/>
          </w:tcPr>
          <w:p w14:paraId="44A4B85E" w14:textId="67DE68BE"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(Korekta</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tymczasowego wyłączenia ekspozycji wobec banków centralnych (w stosownych przypadkach))</w:t>
            </w:r>
          </w:p>
          <w:p w14:paraId="7E41C9C8" w14:textId="690C2DFB"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Art. 429a ust.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1 lit.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n) CRR</w:t>
            </w:r>
          </w:p>
          <w:p w14:paraId="3CE7037B" w14:textId="443AC150"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35753">
              <w:rPr>
                <w:rStyle w:val="TeksttreciPogrubienie"/>
                <w:rFonts w:ascii="Times New Roman" w:hAnsi="Times New Roman"/>
                <w:sz w:val="24"/>
                <w:szCs w:val="24"/>
              </w:rPr>
              <w:t>W stosownych przypadkach instytucje ujawniają kwotę monet</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ban</w:t>
            </w:r>
            <w:r w:rsidRPr="00835753">
              <w:rPr>
                <w:rStyle w:val="TeksttreciPogrubienie"/>
                <w:rFonts w:ascii="Times New Roman" w:hAnsi="Times New Roman"/>
                <w:sz w:val="24"/>
                <w:szCs w:val="24"/>
              </w:rPr>
              <w:t>knotów stanowiących legalną walutę</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jur</w:t>
            </w:r>
            <w:r w:rsidRPr="00835753">
              <w:rPr>
                <w:rStyle w:val="TeksttreciPogrubienie"/>
                <w:rFonts w:ascii="Times New Roman" w:hAnsi="Times New Roman"/>
                <w:sz w:val="24"/>
                <w:szCs w:val="24"/>
              </w:rPr>
              <w:t>ysdykcji banku centralnego oraz aktywa stanowiące należności od banków centralnych,</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tym</w:t>
            </w:r>
            <w:r w:rsidRPr="00835753">
              <w:rPr>
                <w:rStyle w:val="TeksttreciPogrubienie"/>
                <w:rFonts w:ascii="Times New Roman" w:hAnsi="Times New Roman"/>
                <w:sz w:val="24"/>
                <w:szCs w:val="24"/>
              </w:rPr>
              <w:t xml:space="preserve"> rezerwy posiadane</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ban</w:t>
            </w:r>
            <w:r w:rsidRPr="00835753">
              <w:rPr>
                <w:rStyle w:val="TeksttreciPogrubienie"/>
                <w:rFonts w:ascii="Times New Roman" w:hAnsi="Times New Roman"/>
                <w:sz w:val="24"/>
                <w:szCs w:val="24"/>
              </w:rPr>
              <w:t>ku centralnym. Ekspozycje te mogą podlegać tymczasowemu wyłączeniu</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zas</w:t>
            </w:r>
            <w:r w:rsidRPr="00835753">
              <w:rPr>
                <w:rStyle w:val="TeksttreciPogrubienie"/>
                <w:rFonts w:ascii="Times New Roman" w:hAnsi="Times New Roman"/>
                <w:sz w:val="24"/>
                <w:szCs w:val="24"/>
              </w:rPr>
              <w:t>trzeżeniem warunków określonych</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art</w:t>
            </w:r>
            <w:r w:rsidRPr="00835753">
              <w:rPr>
                <w:rStyle w:val="TeksttreciPogrubienie"/>
                <w:rFonts w:ascii="Times New Roman" w:hAnsi="Times New Roman"/>
                <w:sz w:val="24"/>
                <w:szCs w:val="24"/>
              </w:rPr>
              <w: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429a ust.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5</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6</w:t>
            </w:r>
            <w:r w:rsidRPr="00835753">
              <w:rPr>
                <w:rStyle w:val="TeksttreciPogrubienie"/>
                <w:rFonts w:ascii="Times New Roman" w:hAnsi="Times New Roman"/>
                <w:sz w:val="24"/>
                <w:szCs w:val="24"/>
              </w:rPr>
              <w:t xml:space="preserve"> CRR.</w:t>
            </w:r>
          </w:p>
          <w:p w14:paraId="057D490C" w14:textId="7907FD43"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korekta ta zmniejsza miarę ekspozycji całkowitej,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r w:rsidRPr="00835753">
              <w:rPr>
                <w:rStyle w:val="TeksttreciPogrubienie"/>
                <w:rFonts w:ascii="Times New Roman" w:hAnsi="Times New Roman"/>
                <w:sz w:val="24"/>
                <w:szCs w:val="24"/>
              </w:rPr>
              <w:t xml:space="preserve"> </w:t>
            </w:r>
          </w:p>
        </w:tc>
      </w:tr>
      <w:tr w:rsidR="000A7015" w:rsidRPr="00835753" w14:paraId="3EFB0DFF" w14:textId="77777777" w:rsidTr="001E06A3">
        <w:trPr>
          <w:trHeight w:val="2265"/>
        </w:trPr>
        <w:tc>
          <w:tcPr>
            <w:tcW w:w="1384" w:type="dxa"/>
            <w:vAlign w:val="center"/>
          </w:tcPr>
          <w:p w14:paraId="5D4063E2"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5</w:t>
            </w:r>
          </w:p>
        </w:tc>
        <w:tc>
          <w:tcPr>
            <w:tcW w:w="7655" w:type="dxa"/>
          </w:tcPr>
          <w:p w14:paraId="0A44CC64" w14:textId="187AC124"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(Korekta</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aktywów powierniczych ujętych</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bil</w:t>
            </w:r>
            <w:r w:rsidRPr="00835753">
              <w:rPr>
                <w:rStyle w:val="TeksttreciPogrubienie"/>
                <w:rFonts w:ascii="Times New Roman" w:hAnsi="Times New Roman"/>
                <w:sz w:val="24"/>
                <w:szCs w:val="24"/>
              </w:rPr>
              <w:t>ansie zgodnie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maj</w:t>
            </w:r>
            <w:r w:rsidRPr="00835753">
              <w:rPr>
                <w:rStyle w:val="TeksttreciPogrubienie"/>
                <w:rFonts w:ascii="Times New Roman" w:hAnsi="Times New Roman"/>
                <w:sz w:val="24"/>
                <w:szCs w:val="24"/>
              </w:rPr>
              <w:t>ącymi zastosowanie standardami rachunkowości, ale wyłączonych</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mia</w:t>
            </w:r>
            <w:r w:rsidRPr="00835753">
              <w:rPr>
                <w:rStyle w:val="TeksttreciPogrubienie"/>
                <w:rFonts w:ascii="Times New Roman" w:hAnsi="Times New Roman"/>
                <w:sz w:val="24"/>
                <w:szCs w:val="24"/>
              </w:rPr>
              <w:t>ry ekspozycji całkowitej zgodnie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art</w:t>
            </w:r>
            <w:r w:rsidRPr="00835753">
              <w:rPr>
                <w:rStyle w:val="TeksttreciPogrubienie"/>
                <w:rFonts w:ascii="Times New Roman" w:hAnsi="Times New Roman"/>
                <w:sz w:val="24"/>
                <w:szCs w:val="24"/>
              </w:rPr>
              <w:t>. 429a ust. 1 lit.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i) CRR)</w:t>
            </w:r>
          </w:p>
          <w:p w14:paraId="0C61D267" w14:textId="7BA8DCC2"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kwotę wyłączonych pozycji powierniczych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i) CRR.</w:t>
            </w:r>
          </w:p>
          <w:p w14:paraId="1FD16421" w14:textId="74CB6F06"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korekta ta zmniejsza miarę ekspozycji całkowitej,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2466A60C" w14:textId="77777777" w:rsidTr="001E06A3">
        <w:trPr>
          <w:trHeight w:val="1559"/>
        </w:trPr>
        <w:tc>
          <w:tcPr>
            <w:tcW w:w="1384" w:type="dxa"/>
            <w:vAlign w:val="center"/>
          </w:tcPr>
          <w:p w14:paraId="4054B878"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6</w:t>
            </w:r>
          </w:p>
        </w:tc>
        <w:tc>
          <w:tcPr>
            <w:tcW w:w="7655" w:type="dxa"/>
          </w:tcPr>
          <w:p w14:paraId="0D359C5A" w14:textId="4DDD0B78"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Korekta</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standaryzowanych kontraktów kupna</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spr</w:t>
            </w:r>
            <w:r w:rsidRPr="00835753">
              <w:rPr>
                <w:rStyle w:val="TeksttreciPogrubienie"/>
                <w:rFonts w:ascii="Times New Roman" w:hAnsi="Times New Roman"/>
                <w:sz w:val="24"/>
                <w:szCs w:val="24"/>
              </w:rPr>
              <w:t>zedaży aktywów finansowych ujmowanych na dzień zawarcia transakcji</w:t>
            </w:r>
          </w:p>
          <w:p w14:paraId="5CBBEA7B" w14:textId="54D194D4"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429g ust.</w:t>
            </w:r>
            <w:r w:rsidR="00835753" w:rsidRPr="00835753">
              <w:rPr>
                <w:rFonts w:ascii="Times New Roman" w:hAnsi="Times New Roman"/>
                <w:sz w:val="24"/>
                <w:szCs w:val="24"/>
              </w:rPr>
              <w:t> </w:t>
            </w:r>
            <w:r w:rsidRPr="00835753">
              <w:rPr>
                <w:rFonts w:ascii="Times New Roman" w:hAnsi="Times New Roman"/>
                <w:sz w:val="24"/>
                <w:szCs w:val="24"/>
              </w:rPr>
              <w:t>1</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2</w:t>
            </w:r>
            <w:r w:rsidRPr="00835753">
              <w:rPr>
                <w:rFonts w:ascii="Times New Roman" w:hAnsi="Times New Roman"/>
                <w:sz w:val="24"/>
                <w:szCs w:val="24"/>
              </w:rPr>
              <w:t xml:space="preserve"> CRR</w:t>
            </w:r>
          </w:p>
          <w:p w14:paraId="301F5CF5" w14:textId="0ECAF60D" w:rsidR="000A7015" w:rsidRPr="00835753" w:rsidRDefault="000A7015" w:rsidP="001E06A3">
            <w:pPr>
              <w:tabs>
                <w:tab w:val="left" w:pos="400"/>
              </w:tabs>
              <w:spacing w:after="120"/>
              <w:jc w:val="both"/>
              <w:rPr>
                <w:rFonts w:ascii="Times New Roman" w:hAnsi="Times New Roman" w:cs="Times New Roman"/>
                <w:sz w:val="24"/>
              </w:rPr>
            </w:pPr>
            <w:r w:rsidRPr="00835753">
              <w:rPr>
                <w:rFonts w:ascii="Times New Roman" w:hAnsi="Times New Roman"/>
                <w:sz w:val="24"/>
              </w:rPr>
              <w:t>Instytucje ujawniają korektę wartości księgowej związanej ze standaryzowanymi transakcjami kupna lub sprzedaży oczekującymi na rozliczenie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ujm</w:t>
            </w:r>
            <w:r w:rsidRPr="00835753">
              <w:rPr>
                <w:rFonts w:ascii="Times New Roman" w:hAnsi="Times New Roman"/>
                <w:sz w:val="24"/>
              </w:rPr>
              <w:t>owanymi na dzień zawarcia transakcji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429g ust.</w:t>
            </w:r>
            <w:r w:rsidR="00835753" w:rsidRPr="00835753">
              <w:rPr>
                <w:rFonts w:ascii="Times New Roman" w:hAnsi="Times New Roman"/>
                <w:sz w:val="24"/>
              </w:rPr>
              <w:t> </w:t>
            </w:r>
            <w:r w:rsidRPr="00835753">
              <w:rPr>
                <w:rFonts w:ascii="Times New Roman" w:hAnsi="Times New Roman"/>
                <w:sz w:val="24"/>
              </w:rPr>
              <w:t>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2</w:t>
            </w:r>
            <w:r w:rsidRPr="00835753">
              <w:rPr>
                <w:rFonts w:ascii="Times New Roman" w:hAnsi="Times New Roman"/>
                <w:sz w:val="24"/>
              </w:rPr>
              <w:t xml:space="preserve"> CRR. Korekta ta stanowi sumę:</w:t>
            </w:r>
          </w:p>
          <w:p w14:paraId="3E3DE88A" w14:textId="0C65F1FE" w:rsidR="000A7015" w:rsidRPr="00835753" w:rsidRDefault="000A7015" w:rsidP="00266A53">
            <w:pPr>
              <w:pStyle w:val="ListParagraph"/>
              <w:numPr>
                <w:ilvl w:val="0"/>
                <w:numId w:val="29"/>
              </w:numPr>
              <w:spacing w:after="120"/>
              <w:contextualSpacing/>
              <w:jc w:val="both"/>
              <w:rPr>
                <w:rFonts w:ascii="Times New Roman" w:hAnsi="Times New Roman"/>
                <w:sz w:val="24"/>
                <w:szCs w:val="24"/>
              </w:rPr>
            </w:pPr>
            <w:proofErr w:type="gramStart"/>
            <w:r w:rsidRPr="00835753">
              <w:rPr>
                <w:rFonts w:ascii="Times New Roman" w:hAnsi="Times New Roman"/>
                <w:sz w:val="24"/>
                <w:szCs w:val="24"/>
              </w:rPr>
              <w:t>dopuszczalnej</w:t>
            </w:r>
            <w:proofErr w:type="gramEnd"/>
            <w:r w:rsidRPr="00835753">
              <w:rPr>
                <w:rFonts w:ascii="Times New Roman" w:hAnsi="Times New Roman"/>
                <w:sz w:val="24"/>
                <w:szCs w:val="24"/>
              </w:rPr>
              <w:t xml:space="preserve"> zgodnie ze standardami rachunkowości kwoty kompensacji wierzytelności gotówkowych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standaryzowanych transakcji sprzedaży oczekujących na rozliczenie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zob</w:t>
            </w:r>
            <w:r w:rsidRPr="00835753">
              <w:rPr>
                <w:rFonts w:ascii="Times New Roman" w:hAnsi="Times New Roman"/>
                <w:sz w:val="24"/>
                <w:szCs w:val="24"/>
              </w:rPr>
              <w:t>owiązaniami gotówkowymi</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 xml:space="preserve">ułu standaryzowanych transakcji kupna oczekujących na rozliczenie. Jest to kwota dodatnia; </w:t>
            </w:r>
          </w:p>
          <w:p w14:paraId="680EBF30" w14:textId="14499072" w:rsidR="000A7015" w:rsidRPr="00835753" w:rsidRDefault="000A7015" w:rsidP="00266A53">
            <w:pPr>
              <w:pStyle w:val="ListParagraph"/>
              <w:numPr>
                <w:ilvl w:val="0"/>
                <w:numId w:val="29"/>
              </w:numPr>
              <w:spacing w:after="120"/>
              <w:contextualSpacing/>
              <w:jc w:val="both"/>
              <w:rPr>
                <w:rFonts w:ascii="Times New Roman" w:hAnsi="Times New Roman"/>
                <w:sz w:val="24"/>
                <w:szCs w:val="24"/>
              </w:rPr>
            </w:pPr>
            <w:proofErr w:type="gramStart"/>
            <w:r w:rsidRPr="00835753">
              <w:rPr>
                <w:rFonts w:ascii="Times New Roman" w:hAnsi="Times New Roman"/>
                <w:sz w:val="24"/>
                <w:szCs w:val="24"/>
              </w:rPr>
              <w:t>kwoty</w:t>
            </w:r>
            <w:proofErr w:type="gramEnd"/>
            <w:r w:rsidRPr="00835753">
              <w:rPr>
                <w:rFonts w:ascii="Times New Roman" w:hAnsi="Times New Roman"/>
                <w:sz w:val="24"/>
                <w:szCs w:val="24"/>
              </w:rPr>
              <w:t xml:space="preserve"> kompensacji wierzytelności gotówkowych ze zobowiązaniami gotówkowymi, jeżeli zarówno odnośne standaryzowane transakcje sprzedaży, jak</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sta</w:t>
            </w:r>
            <w:r w:rsidRPr="00835753">
              <w:rPr>
                <w:rFonts w:ascii="Times New Roman" w:hAnsi="Times New Roman"/>
                <w:sz w:val="24"/>
                <w:szCs w:val="24"/>
              </w:rPr>
              <w:t>ndaryzowane transakcje kupna są rozliczane na podstawie mechanizmu „dostawa za płatność”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429g ust.</w:t>
            </w:r>
            <w:r w:rsidR="00835753" w:rsidRPr="00835753">
              <w:rPr>
                <w:rFonts w:ascii="Times New Roman" w:hAnsi="Times New Roman"/>
                <w:sz w:val="24"/>
                <w:szCs w:val="24"/>
              </w:rPr>
              <w:t> </w:t>
            </w:r>
            <w:r w:rsidRPr="00835753">
              <w:rPr>
                <w:rFonts w:ascii="Times New Roman" w:hAnsi="Times New Roman"/>
                <w:sz w:val="24"/>
                <w:szCs w:val="24"/>
              </w:rPr>
              <w:t xml:space="preserve">2 CRR. Jest to wartość ujemna. </w:t>
            </w:r>
          </w:p>
          <w:p w14:paraId="18C9721A" w14:textId="088EA75B" w:rsidR="000A7015" w:rsidRPr="00835753" w:rsidRDefault="000A7015" w:rsidP="00266A53">
            <w:pPr>
              <w:spacing w:after="120"/>
              <w:jc w:val="both"/>
              <w:rPr>
                <w:rFonts w:ascii="Times New Roman" w:hAnsi="Times New Roman" w:cs="Times New Roman"/>
                <w:sz w:val="24"/>
              </w:rPr>
            </w:pPr>
            <w:r w:rsidRPr="00835753">
              <w:rPr>
                <w:rFonts w:ascii="Times New Roman" w:hAnsi="Times New Roman"/>
                <w:sz w:val="24"/>
              </w:rPr>
              <w:t>Standaryzowane transakcje kupna lub sprzedaży oczekujące na rozliczenie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ujm</w:t>
            </w:r>
            <w:r w:rsidRPr="00835753">
              <w:rPr>
                <w:rFonts w:ascii="Times New Roman" w:hAnsi="Times New Roman"/>
                <w:sz w:val="24"/>
              </w:rPr>
              <w:t>owane na dzień rozliczenia transakcji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429g ust.</w:t>
            </w:r>
            <w:r w:rsidR="00835753" w:rsidRPr="00835753">
              <w:rPr>
                <w:rFonts w:ascii="Times New Roman" w:hAnsi="Times New Roman"/>
                <w:sz w:val="24"/>
              </w:rPr>
              <w:t> </w:t>
            </w:r>
            <w:r w:rsidRPr="00835753">
              <w:rPr>
                <w:rFonts w:ascii="Times New Roman" w:hAnsi="Times New Roman"/>
                <w:sz w:val="24"/>
              </w:rPr>
              <w:t>3 CRR uwzględnia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10 wzoru EU LR1 – LRSum.</w:t>
            </w:r>
          </w:p>
          <w:p w14:paraId="032B04E0" w14:textId="58337F39" w:rsidR="000A7015" w:rsidRPr="00835753" w:rsidRDefault="000A7015" w:rsidP="001E06A3">
            <w:pPr>
              <w:tabs>
                <w:tab w:val="left" w:pos="400"/>
              </w:tabs>
              <w:spacing w:after="120"/>
              <w:jc w:val="both"/>
              <w:rPr>
                <w:rStyle w:val="TeksttreciPogrubienie"/>
                <w:rFonts w:ascii="Times New Roman" w:hAnsi="Times New Roman" w:cs="Times New Roman"/>
                <w:sz w:val="24"/>
              </w:rPr>
            </w:pPr>
            <w:r w:rsidRPr="00835753">
              <w:rPr>
                <w:rFonts w:ascii="Times New Roman" w:hAnsi="Times New Roman"/>
                <w:sz w:val="24"/>
              </w:rPr>
              <w:t xml:space="preserve">Jeżeli korekta ta prowadzi do wzrostu wartości ekspozycji, instytucje ujawniają tę kwotę jako kwotę dodatnią. Jeżeli korekta ta prowadzi do spadku </w:t>
            </w:r>
            <w:r w:rsidRPr="00835753">
              <w:rPr>
                <w:rFonts w:ascii="Times New Roman" w:hAnsi="Times New Roman"/>
                <w:sz w:val="24"/>
              </w:rPr>
              <w:lastRenderedPageBreak/>
              <w:t>wartości ekspozycji, instytucje umieszczają tę wartość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wierszu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naw</w:t>
            </w:r>
            <w:r w:rsidRPr="00835753">
              <w:rPr>
                <w:rFonts w:ascii="Times New Roman" w:hAnsi="Times New Roman"/>
                <w:sz w:val="24"/>
              </w:rPr>
              <w:t>iasach (kwota ujemna).</w:t>
            </w:r>
          </w:p>
        </w:tc>
      </w:tr>
      <w:tr w:rsidR="000A7015" w:rsidRPr="00835753" w14:paraId="36D8150C" w14:textId="77777777" w:rsidTr="001E06A3">
        <w:trPr>
          <w:trHeight w:val="708"/>
        </w:trPr>
        <w:tc>
          <w:tcPr>
            <w:tcW w:w="1384" w:type="dxa"/>
            <w:vAlign w:val="center"/>
          </w:tcPr>
          <w:p w14:paraId="10FCD555"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7</w:t>
            </w:r>
          </w:p>
        </w:tc>
        <w:tc>
          <w:tcPr>
            <w:tcW w:w="7655" w:type="dxa"/>
          </w:tcPr>
          <w:p w14:paraId="4E90E67C" w14:textId="4F06A6B3"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Korekta</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kwalifikowalnych transakcji łączenia środków pieniężnych</w:t>
            </w:r>
          </w:p>
          <w:p w14:paraId="27E6FD43" w14:textId="48C14870"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429b ust.</w:t>
            </w:r>
            <w:r w:rsidR="00835753" w:rsidRPr="00835753">
              <w:rPr>
                <w:rFonts w:ascii="Times New Roman" w:hAnsi="Times New Roman"/>
                <w:sz w:val="24"/>
                <w:szCs w:val="24"/>
              </w:rPr>
              <w:t> </w:t>
            </w:r>
            <w:r w:rsidRPr="00835753">
              <w:rPr>
                <w:rFonts w:ascii="Times New Roman" w:hAnsi="Times New Roman"/>
                <w:sz w:val="24"/>
                <w:szCs w:val="24"/>
              </w:rPr>
              <w:t>2</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3</w:t>
            </w:r>
            <w:r w:rsidRPr="00835753">
              <w:rPr>
                <w:rFonts w:ascii="Times New Roman" w:hAnsi="Times New Roman"/>
                <w:sz w:val="24"/>
                <w:szCs w:val="24"/>
              </w:rPr>
              <w:t xml:space="preserve"> CRR</w:t>
            </w:r>
          </w:p>
          <w:p w14:paraId="638EC17D" w14:textId="7203C91A"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różnicę między wartością księgową</w:t>
            </w:r>
            <w:r w:rsidR="00835753" w:rsidRPr="00835753">
              <w:rPr>
                <w:rFonts w:ascii="Times New Roman" w:hAnsi="Times New Roman"/>
                <w:sz w:val="24"/>
                <w:szCs w:val="24"/>
              </w:rPr>
              <w:t xml:space="preserve"> a</w:t>
            </w:r>
            <w:r w:rsidR="00835753">
              <w:rPr>
                <w:rFonts w:ascii="Times New Roman" w:hAnsi="Times New Roman"/>
                <w:sz w:val="24"/>
                <w:szCs w:val="24"/>
              </w:rPr>
              <w:t> </w:t>
            </w:r>
            <w:r w:rsidR="00835753" w:rsidRPr="00835753">
              <w:rPr>
                <w:rFonts w:ascii="Times New Roman" w:hAnsi="Times New Roman"/>
                <w:sz w:val="24"/>
                <w:szCs w:val="24"/>
              </w:rPr>
              <w:t>war</w:t>
            </w:r>
            <w:r w:rsidRPr="00835753">
              <w:rPr>
                <w:rFonts w:ascii="Times New Roman" w:hAnsi="Times New Roman"/>
                <w:sz w:val="24"/>
                <w:szCs w:val="24"/>
              </w:rPr>
              <w:t>tością ekspozycji wskaźnika dźwigni</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mechanizmu łączenia środków pieniężnych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war</w:t>
            </w:r>
            <w:r w:rsidRPr="00835753">
              <w:rPr>
                <w:rFonts w:ascii="Times New Roman" w:hAnsi="Times New Roman"/>
                <w:sz w:val="24"/>
                <w:szCs w:val="24"/>
              </w:rPr>
              <w:t>unkami określonymi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429b ust.</w:t>
            </w:r>
            <w:r w:rsidR="00835753" w:rsidRPr="00835753">
              <w:rPr>
                <w:rFonts w:ascii="Times New Roman" w:hAnsi="Times New Roman"/>
                <w:sz w:val="24"/>
                <w:szCs w:val="24"/>
              </w:rPr>
              <w:t> </w:t>
            </w:r>
            <w:r w:rsidRPr="00835753">
              <w:rPr>
                <w:rFonts w:ascii="Times New Roman" w:hAnsi="Times New Roman"/>
                <w:sz w:val="24"/>
                <w:szCs w:val="24"/>
              </w:rPr>
              <w:t>2</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3</w:t>
            </w:r>
            <w:r w:rsidRPr="00835753">
              <w:rPr>
                <w:rFonts w:ascii="Times New Roman" w:hAnsi="Times New Roman"/>
                <w:sz w:val="24"/>
                <w:szCs w:val="24"/>
              </w:rPr>
              <w:t xml:space="preserve"> CRR.</w:t>
            </w:r>
          </w:p>
          <w:p w14:paraId="76A1C38E" w14:textId="69A93534"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Fonts w:ascii="Times New Roman" w:hAnsi="Times New Roman"/>
                <w:sz w:val="24"/>
                <w:szCs w:val="24"/>
              </w:rPr>
              <w:t>Jeżeli korekta ta prowadzi do wzrostu wartości ekspozycji –</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wyn</w:t>
            </w:r>
            <w:r w:rsidRPr="00835753">
              <w:rPr>
                <w:rFonts w:ascii="Times New Roman" w:hAnsi="Times New Roman"/>
                <w:sz w:val="24"/>
                <w:szCs w:val="24"/>
              </w:rPr>
              <w:t>iku transakcji przedstawionych jako pozycje netto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maj</w:t>
            </w:r>
            <w:r w:rsidRPr="00835753">
              <w:rPr>
                <w:rFonts w:ascii="Times New Roman" w:hAnsi="Times New Roman"/>
                <w:sz w:val="24"/>
                <w:szCs w:val="24"/>
              </w:rPr>
              <w:t>ącymi zastosowanie standardami rachunkowości, które to transakcje nie spełniają jednak warunków prezentacji netto na podstawie art.</w:t>
            </w:r>
            <w:r w:rsidR="00835753" w:rsidRPr="00835753">
              <w:rPr>
                <w:rFonts w:ascii="Times New Roman" w:hAnsi="Times New Roman"/>
                <w:sz w:val="24"/>
                <w:szCs w:val="24"/>
              </w:rPr>
              <w:t> </w:t>
            </w:r>
            <w:r w:rsidRPr="00835753">
              <w:rPr>
                <w:rFonts w:ascii="Times New Roman" w:hAnsi="Times New Roman"/>
                <w:sz w:val="24"/>
                <w:szCs w:val="24"/>
              </w:rPr>
              <w:t>429b ust.</w:t>
            </w:r>
            <w:r w:rsidR="00835753" w:rsidRPr="00835753">
              <w:rPr>
                <w:rFonts w:ascii="Times New Roman" w:hAnsi="Times New Roman"/>
                <w:sz w:val="24"/>
                <w:szCs w:val="24"/>
              </w:rPr>
              <w:t> </w:t>
            </w:r>
            <w:r w:rsidRPr="00835753">
              <w:rPr>
                <w:rFonts w:ascii="Times New Roman" w:hAnsi="Times New Roman"/>
                <w:sz w:val="24"/>
                <w:szCs w:val="24"/>
              </w:rPr>
              <w:t>2</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3</w:t>
            </w:r>
            <w:r w:rsidRPr="00835753">
              <w:rPr>
                <w:rFonts w:ascii="Times New Roman" w:hAnsi="Times New Roman"/>
                <w:sz w:val="24"/>
                <w:szCs w:val="24"/>
              </w:rPr>
              <w:t xml:space="preserve"> CRR – instytucje ujawniają tę kwotę jako kwotę dodatnią. Jeżeli korekta ta prowadzi do spadku wartości ekspozycji –</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wyn</w:t>
            </w:r>
            <w:r w:rsidRPr="00835753">
              <w:rPr>
                <w:rFonts w:ascii="Times New Roman" w:hAnsi="Times New Roman"/>
                <w:sz w:val="24"/>
                <w:szCs w:val="24"/>
              </w:rPr>
              <w:t>iku transakcji nieprzedstawionych jako pozycje netto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maj</w:t>
            </w:r>
            <w:r w:rsidRPr="00835753">
              <w:rPr>
                <w:rFonts w:ascii="Times New Roman" w:hAnsi="Times New Roman"/>
                <w:sz w:val="24"/>
                <w:szCs w:val="24"/>
              </w:rPr>
              <w:t>ącymi zastosowanie standardami rachunkowości, które to transakcje spełniają jednak warunki prezentacji netto na podstawie art.</w:t>
            </w:r>
            <w:r w:rsidR="00835753" w:rsidRPr="00835753">
              <w:rPr>
                <w:rFonts w:ascii="Times New Roman" w:hAnsi="Times New Roman"/>
                <w:sz w:val="24"/>
                <w:szCs w:val="24"/>
              </w:rPr>
              <w:t> </w:t>
            </w:r>
            <w:r w:rsidRPr="00835753">
              <w:rPr>
                <w:rFonts w:ascii="Times New Roman" w:hAnsi="Times New Roman"/>
                <w:sz w:val="24"/>
                <w:szCs w:val="24"/>
              </w:rPr>
              <w:t>429b ust.</w:t>
            </w:r>
            <w:r w:rsidR="00835753" w:rsidRPr="00835753">
              <w:rPr>
                <w:rFonts w:ascii="Times New Roman" w:hAnsi="Times New Roman"/>
                <w:sz w:val="24"/>
                <w:szCs w:val="24"/>
              </w:rPr>
              <w:t> </w:t>
            </w:r>
            <w:r w:rsidRPr="00835753">
              <w:rPr>
                <w:rFonts w:ascii="Times New Roman" w:hAnsi="Times New Roman"/>
                <w:sz w:val="24"/>
                <w:szCs w:val="24"/>
              </w:rPr>
              <w:t>2</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3</w:t>
            </w:r>
            <w:r w:rsidRPr="00835753">
              <w:rPr>
                <w:rFonts w:ascii="Times New Roman" w:hAnsi="Times New Roman"/>
                <w:sz w:val="24"/>
                <w:szCs w:val="24"/>
              </w:rPr>
              <w:t xml:space="preserve"> CRR –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540BAB8B" w14:textId="77777777" w:rsidTr="001E06A3">
        <w:trPr>
          <w:trHeight w:val="2265"/>
        </w:trPr>
        <w:tc>
          <w:tcPr>
            <w:tcW w:w="1384" w:type="dxa"/>
            <w:vAlign w:val="center"/>
          </w:tcPr>
          <w:p w14:paraId="1AAC4DF2"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8</w:t>
            </w:r>
          </w:p>
        </w:tc>
        <w:tc>
          <w:tcPr>
            <w:tcW w:w="7655" w:type="dxa"/>
          </w:tcPr>
          <w:p w14:paraId="5F36F58F" w14:textId="4C78E68D"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Korekta</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instrumentów pochodnych</w:t>
            </w:r>
          </w:p>
          <w:p w14:paraId="5A775513" w14:textId="72566103"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przypadku kredytowych instrumentów pochodnych</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kon</w:t>
            </w:r>
            <w:r w:rsidRPr="00835753">
              <w:rPr>
                <w:rFonts w:ascii="Times New Roman" w:hAnsi="Times New Roman"/>
                <w:sz w:val="24"/>
                <w:szCs w:val="24"/>
              </w:rPr>
              <w:t>traktów wymienionych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zał</w:t>
            </w:r>
            <w:r w:rsidRPr="00835753">
              <w:rPr>
                <w:rFonts w:ascii="Times New Roman" w:hAnsi="Times New Roman"/>
                <w:sz w:val="24"/>
                <w:szCs w:val="24"/>
              </w:rPr>
              <w:t>ączniku II do CRR instytucje ujawniają różnicę</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war</w:t>
            </w:r>
            <w:r w:rsidRPr="00835753">
              <w:rPr>
                <w:rFonts w:ascii="Times New Roman" w:hAnsi="Times New Roman"/>
                <w:sz w:val="24"/>
                <w:szCs w:val="24"/>
              </w:rPr>
              <w:t>tości między wartością księgową instrumentów pochodnych ujętych jako aktywa</w:t>
            </w:r>
            <w:r w:rsidR="00835753" w:rsidRPr="00835753">
              <w:rPr>
                <w:rFonts w:ascii="Times New Roman" w:hAnsi="Times New Roman"/>
                <w:sz w:val="24"/>
                <w:szCs w:val="24"/>
              </w:rPr>
              <w:t xml:space="preserve"> a</w:t>
            </w:r>
            <w:r w:rsidR="00835753">
              <w:rPr>
                <w:rFonts w:ascii="Times New Roman" w:hAnsi="Times New Roman"/>
                <w:sz w:val="24"/>
                <w:szCs w:val="24"/>
              </w:rPr>
              <w:t> </w:t>
            </w:r>
            <w:r w:rsidR="00835753" w:rsidRPr="00835753">
              <w:rPr>
                <w:rFonts w:ascii="Times New Roman" w:hAnsi="Times New Roman"/>
                <w:sz w:val="24"/>
                <w:szCs w:val="24"/>
              </w:rPr>
              <w:t>war</w:t>
            </w:r>
            <w:r w:rsidRPr="00835753">
              <w:rPr>
                <w:rFonts w:ascii="Times New Roman" w:hAnsi="Times New Roman"/>
                <w:sz w:val="24"/>
                <w:szCs w:val="24"/>
              </w:rPr>
              <w:t>tością ekspozycji wskaźnika dźwigni ustaloną przez zastosowanie art.</w:t>
            </w:r>
            <w:r w:rsidR="00835753" w:rsidRPr="00835753">
              <w:rPr>
                <w:rFonts w:ascii="Times New Roman" w:hAnsi="Times New Roman"/>
                <w:sz w:val="24"/>
                <w:szCs w:val="24"/>
              </w:rPr>
              <w:t> </w:t>
            </w:r>
            <w:r w:rsidRPr="00835753">
              <w:rPr>
                <w:rFonts w:ascii="Times New Roman" w:hAnsi="Times New Roman"/>
                <w:sz w:val="24"/>
                <w:szCs w:val="24"/>
              </w:rPr>
              <w:t>429 ust.</w:t>
            </w:r>
            <w:r w:rsidR="00835753" w:rsidRPr="00835753">
              <w:rPr>
                <w:rFonts w:ascii="Times New Roman" w:hAnsi="Times New Roman"/>
                <w:sz w:val="24"/>
                <w:szCs w:val="24"/>
              </w:rPr>
              <w:t> </w:t>
            </w:r>
            <w:r w:rsidRPr="00835753">
              <w:rPr>
                <w:rFonts w:ascii="Times New Roman" w:hAnsi="Times New Roman"/>
                <w:sz w:val="24"/>
                <w:szCs w:val="24"/>
              </w:rPr>
              <w:t>4 lit.</w:t>
            </w:r>
            <w:r w:rsidR="00835753" w:rsidRPr="00835753">
              <w:rPr>
                <w:rFonts w:ascii="Times New Roman" w:hAnsi="Times New Roman"/>
                <w:sz w:val="24"/>
                <w:szCs w:val="24"/>
              </w:rPr>
              <w:t> </w:t>
            </w:r>
            <w:r w:rsidRPr="00835753">
              <w:rPr>
                <w:rFonts w:ascii="Times New Roman" w:hAnsi="Times New Roman"/>
                <w:sz w:val="24"/>
                <w:szCs w:val="24"/>
              </w:rPr>
              <w:t>b), art.</w:t>
            </w:r>
            <w:r w:rsidR="00835753" w:rsidRPr="00835753">
              <w:rPr>
                <w:rFonts w:ascii="Times New Roman" w:hAnsi="Times New Roman"/>
                <w:sz w:val="24"/>
                <w:szCs w:val="24"/>
              </w:rPr>
              <w:t> </w:t>
            </w:r>
            <w:r w:rsidRPr="00835753">
              <w:rPr>
                <w:rFonts w:ascii="Times New Roman" w:hAnsi="Times New Roman"/>
                <w:sz w:val="24"/>
                <w:szCs w:val="24"/>
              </w:rPr>
              <w:t>429c, art.</w:t>
            </w:r>
            <w:r w:rsidR="00835753" w:rsidRPr="00835753">
              <w:rPr>
                <w:rFonts w:ascii="Times New Roman" w:hAnsi="Times New Roman"/>
                <w:sz w:val="24"/>
                <w:szCs w:val="24"/>
              </w:rPr>
              <w:t> </w:t>
            </w:r>
            <w:r w:rsidRPr="00835753">
              <w:rPr>
                <w:rFonts w:ascii="Times New Roman" w:hAnsi="Times New Roman"/>
                <w:sz w:val="24"/>
                <w:szCs w:val="24"/>
              </w:rPr>
              <w:t>429d, art.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g) i h) oraz art.</w:t>
            </w:r>
            <w:r w:rsidR="00835753" w:rsidRPr="00835753">
              <w:rPr>
                <w:rFonts w:ascii="Times New Roman" w:hAnsi="Times New Roman"/>
                <w:sz w:val="24"/>
                <w:szCs w:val="24"/>
              </w:rPr>
              <w:t> </w:t>
            </w:r>
            <w:r w:rsidRPr="00835753">
              <w:rPr>
                <w:rFonts w:ascii="Times New Roman" w:hAnsi="Times New Roman"/>
                <w:sz w:val="24"/>
                <w:szCs w:val="24"/>
              </w:rPr>
              <w:t>429 ust.</w:t>
            </w:r>
            <w:r w:rsidR="00835753" w:rsidRPr="00835753">
              <w:rPr>
                <w:rFonts w:ascii="Times New Roman" w:hAnsi="Times New Roman"/>
                <w:sz w:val="24"/>
                <w:szCs w:val="24"/>
              </w:rPr>
              <w:t> </w:t>
            </w:r>
            <w:r w:rsidRPr="00835753">
              <w:rPr>
                <w:rFonts w:ascii="Times New Roman" w:hAnsi="Times New Roman"/>
                <w:sz w:val="24"/>
                <w:szCs w:val="24"/>
              </w:rPr>
              <w:t>5 CRR.</w:t>
            </w:r>
          </w:p>
          <w:p w14:paraId="2F07A9D9" w14:textId="747AA905"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Jeżeli korekta ta prowadzi do wzrostu wartości ekspozycji, instytucje ujawniają tę kwotę jako kwotę dodatnią. Jeżeli korekta ta prowadzi do spadku wartości ekspozycji,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6A3A435D" w14:textId="77777777" w:rsidTr="001E06A3">
        <w:trPr>
          <w:trHeight w:val="2265"/>
        </w:trPr>
        <w:tc>
          <w:tcPr>
            <w:tcW w:w="1384" w:type="dxa"/>
            <w:vAlign w:val="center"/>
          </w:tcPr>
          <w:p w14:paraId="5EC0D8CC"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9</w:t>
            </w:r>
          </w:p>
        </w:tc>
        <w:tc>
          <w:tcPr>
            <w:tcW w:w="7655" w:type="dxa"/>
          </w:tcPr>
          <w:p w14:paraId="2749FA21" w14:textId="5394530B"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Korekta</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transakcji finansowanych</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uży</w:t>
            </w:r>
            <w:r w:rsidRPr="00835753">
              <w:rPr>
                <w:rStyle w:val="TeksttreciPogrubienie"/>
                <w:rFonts w:ascii="Times New Roman" w:hAnsi="Times New Roman"/>
                <w:sz w:val="24"/>
                <w:szCs w:val="24"/>
              </w:rPr>
              <w:t>ciem papierów wartościowych (SFT)</w:t>
            </w:r>
          </w:p>
          <w:p w14:paraId="5C0D8CAB" w14:textId="6F3FB321"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przypadku SFT instytucje ujawniają różnicę</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war</w:t>
            </w:r>
            <w:r w:rsidRPr="00835753">
              <w:rPr>
                <w:rFonts w:ascii="Times New Roman" w:hAnsi="Times New Roman"/>
                <w:sz w:val="24"/>
                <w:szCs w:val="24"/>
              </w:rPr>
              <w:t>tości między wartością księgową takich transakcji ujętych jako aktywa</w:t>
            </w:r>
            <w:r w:rsidR="00835753" w:rsidRPr="00835753">
              <w:rPr>
                <w:rFonts w:ascii="Times New Roman" w:hAnsi="Times New Roman"/>
                <w:sz w:val="24"/>
                <w:szCs w:val="24"/>
              </w:rPr>
              <w:t xml:space="preserve"> a</w:t>
            </w:r>
            <w:r w:rsidR="00835753">
              <w:rPr>
                <w:rFonts w:ascii="Times New Roman" w:hAnsi="Times New Roman"/>
                <w:sz w:val="24"/>
                <w:szCs w:val="24"/>
              </w:rPr>
              <w:t> </w:t>
            </w:r>
            <w:r w:rsidR="00835753" w:rsidRPr="00835753">
              <w:rPr>
                <w:rFonts w:ascii="Times New Roman" w:hAnsi="Times New Roman"/>
                <w:sz w:val="24"/>
                <w:szCs w:val="24"/>
              </w:rPr>
              <w:t>war</w:t>
            </w:r>
            <w:r w:rsidRPr="00835753">
              <w:rPr>
                <w:rFonts w:ascii="Times New Roman" w:hAnsi="Times New Roman"/>
                <w:sz w:val="24"/>
                <w:szCs w:val="24"/>
              </w:rPr>
              <w:t>tością ekspozycji wskaźnika dźwigni ustaloną poprzez zastosowanie art.</w:t>
            </w:r>
            <w:r w:rsidR="00835753" w:rsidRPr="00835753">
              <w:rPr>
                <w:rFonts w:ascii="Times New Roman" w:hAnsi="Times New Roman"/>
                <w:sz w:val="24"/>
                <w:szCs w:val="24"/>
              </w:rPr>
              <w:t> </w:t>
            </w:r>
            <w:r w:rsidRPr="00835753">
              <w:rPr>
                <w:rFonts w:ascii="Times New Roman" w:hAnsi="Times New Roman"/>
                <w:sz w:val="24"/>
                <w:szCs w:val="24"/>
              </w:rPr>
              <w:t>429 ust.</w:t>
            </w:r>
            <w:r w:rsidR="00835753" w:rsidRPr="00835753">
              <w:rPr>
                <w:rFonts w:ascii="Times New Roman" w:hAnsi="Times New Roman"/>
                <w:sz w:val="24"/>
                <w:szCs w:val="24"/>
              </w:rPr>
              <w:t> </w:t>
            </w:r>
            <w:r w:rsidRPr="00835753">
              <w:rPr>
                <w:rFonts w:ascii="Times New Roman" w:hAnsi="Times New Roman"/>
                <w:sz w:val="24"/>
                <w:szCs w:val="24"/>
              </w:rPr>
              <w:t>4 lit.</w:t>
            </w:r>
            <w:r w:rsidR="00835753" w:rsidRPr="00835753">
              <w:rPr>
                <w:rFonts w:ascii="Times New Roman" w:hAnsi="Times New Roman"/>
                <w:sz w:val="24"/>
                <w:szCs w:val="24"/>
              </w:rPr>
              <w:t> </w:t>
            </w:r>
            <w:r w:rsidRPr="00835753">
              <w:rPr>
                <w:rFonts w:ascii="Times New Roman" w:hAnsi="Times New Roman"/>
                <w:sz w:val="24"/>
                <w:szCs w:val="24"/>
              </w:rPr>
              <w:t>a) i c)</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zwi</w:t>
            </w:r>
            <w:r w:rsidRPr="00835753">
              <w:rPr>
                <w:rFonts w:ascii="Times New Roman" w:hAnsi="Times New Roman"/>
                <w:sz w:val="24"/>
                <w:szCs w:val="24"/>
              </w:rPr>
              <w:t>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429e, art.</w:t>
            </w:r>
            <w:r w:rsidR="00835753" w:rsidRPr="00835753">
              <w:rPr>
                <w:rFonts w:ascii="Times New Roman" w:hAnsi="Times New Roman"/>
                <w:sz w:val="24"/>
                <w:szCs w:val="24"/>
              </w:rPr>
              <w:t> </w:t>
            </w:r>
            <w:r w:rsidRPr="00835753">
              <w:rPr>
                <w:rFonts w:ascii="Times New Roman" w:hAnsi="Times New Roman"/>
                <w:sz w:val="24"/>
                <w:szCs w:val="24"/>
              </w:rPr>
              <w:t>429 ust.</w:t>
            </w:r>
            <w:r w:rsidR="00835753" w:rsidRPr="00835753">
              <w:rPr>
                <w:rFonts w:ascii="Times New Roman" w:hAnsi="Times New Roman"/>
                <w:sz w:val="24"/>
                <w:szCs w:val="24"/>
              </w:rPr>
              <w:t> </w:t>
            </w:r>
            <w:r w:rsidRPr="00835753">
              <w:rPr>
                <w:rFonts w:ascii="Times New Roman" w:hAnsi="Times New Roman"/>
                <w:sz w:val="24"/>
                <w:szCs w:val="24"/>
              </w:rPr>
              <w:t>7 lit.</w:t>
            </w:r>
            <w:r w:rsidR="00835753" w:rsidRPr="00835753">
              <w:rPr>
                <w:rFonts w:ascii="Times New Roman" w:hAnsi="Times New Roman"/>
                <w:sz w:val="24"/>
                <w:szCs w:val="24"/>
              </w:rPr>
              <w:t> </w:t>
            </w:r>
            <w:r w:rsidRPr="00835753">
              <w:rPr>
                <w:rFonts w:ascii="Times New Roman" w:hAnsi="Times New Roman"/>
                <w:sz w:val="24"/>
                <w:szCs w:val="24"/>
              </w:rPr>
              <w:t>b), art.</w:t>
            </w:r>
            <w:r w:rsidR="00835753" w:rsidRPr="00835753">
              <w:rPr>
                <w:rFonts w:ascii="Times New Roman" w:hAnsi="Times New Roman"/>
                <w:sz w:val="24"/>
                <w:szCs w:val="24"/>
              </w:rPr>
              <w:t> </w:t>
            </w:r>
            <w:r w:rsidRPr="00835753">
              <w:rPr>
                <w:rFonts w:ascii="Times New Roman" w:hAnsi="Times New Roman"/>
                <w:sz w:val="24"/>
                <w:szCs w:val="24"/>
              </w:rPr>
              <w:t>429b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b), art.</w:t>
            </w:r>
            <w:r w:rsidR="00835753" w:rsidRPr="00835753">
              <w:rPr>
                <w:rFonts w:ascii="Times New Roman" w:hAnsi="Times New Roman"/>
                <w:sz w:val="24"/>
                <w:szCs w:val="24"/>
              </w:rPr>
              <w:t> </w:t>
            </w:r>
            <w:r w:rsidRPr="00835753">
              <w:rPr>
                <w:rFonts w:ascii="Times New Roman" w:hAnsi="Times New Roman"/>
                <w:sz w:val="24"/>
                <w:szCs w:val="24"/>
              </w:rPr>
              <w:t>429b ust.</w:t>
            </w:r>
            <w:r w:rsidR="00835753" w:rsidRPr="00835753">
              <w:rPr>
                <w:rFonts w:ascii="Times New Roman" w:hAnsi="Times New Roman"/>
                <w:sz w:val="24"/>
                <w:szCs w:val="24"/>
              </w:rPr>
              <w:t> </w:t>
            </w:r>
            <w:r w:rsidRPr="00835753">
              <w:rPr>
                <w:rFonts w:ascii="Times New Roman" w:hAnsi="Times New Roman"/>
                <w:sz w:val="24"/>
                <w:szCs w:val="24"/>
              </w:rPr>
              <w:t>4 oraz art.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g) i h) CRR.</w:t>
            </w:r>
          </w:p>
          <w:p w14:paraId="0EDA5D4E" w14:textId="451F35A5"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Jeżeli korekta ta prowadzi do wzrostu ekspozycji, instytucje ujawniają tę kwotę jako kwotę dodatnią. Jeżeli korekta ta prowadzi do spadku wartości ekspozycji,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0F60570E" w14:textId="77777777" w:rsidTr="00084D8B">
        <w:trPr>
          <w:trHeight w:val="132"/>
        </w:trPr>
        <w:tc>
          <w:tcPr>
            <w:tcW w:w="1384" w:type="dxa"/>
            <w:vAlign w:val="center"/>
          </w:tcPr>
          <w:p w14:paraId="5837324E"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10</w:t>
            </w:r>
          </w:p>
        </w:tc>
        <w:tc>
          <w:tcPr>
            <w:tcW w:w="7655" w:type="dxa"/>
          </w:tcPr>
          <w:p w14:paraId="5891CD46" w14:textId="289283DD"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Korekta</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pozycji pozabilansowych (tj. konwersja ekspozycji pozabilansowych na kwoty ekwiwalentu kredytowego)</w:t>
            </w:r>
          </w:p>
          <w:p w14:paraId="6C7CE8B1" w14:textId="60D62E8D"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różnicę</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war</w:t>
            </w:r>
            <w:r w:rsidRPr="00835753">
              <w:rPr>
                <w:rFonts w:ascii="Times New Roman" w:hAnsi="Times New Roman"/>
                <w:sz w:val="24"/>
                <w:szCs w:val="24"/>
              </w:rPr>
              <w:t>tości między wartością ekspozycji wskaźnika dźwigni ujawnianą</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rszu 13 wzoru EU LR1 – LRSum</w:t>
            </w:r>
            <w:r w:rsidR="00835753" w:rsidRPr="00835753">
              <w:rPr>
                <w:rFonts w:ascii="Times New Roman" w:hAnsi="Times New Roman"/>
                <w:sz w:val="24"/>
                <w:szCs w:val="24"/>
              </w:rPr>
              <w:t xml:space="preserve"> a</w:t>
            </w:r>
            <w:r w:rsidR="00835753">
              <w:rPr>
                <w:rFonts w:ascii="Times New Roman" w:hAnsi="Times New Roman"/>
                <w:sz w:val="24"/>
                <w:szCs w:val="24"/>
              </w:rPr>
              <w:t> </w:t>
            </w:r>
            <w:r w:rsidR="00835753" w:rsidRPr="00835753">
              <w:rPr>
                <w:rFonts w:ascii="Times New Roman" w:hAnsi="Times New Roman"/>
                <w:sz w:val="24"/>
                <w:szCs w:val="24"/>
              </w:rPr>
              <w:t>cał</w:t>
            </w:r>
            <w:r w:rsidRPr="00835753">
              <w:rPr>
                <w:rFonts w:ascii="Times New Roman" w:hAnsi="Times New Roman"/>
                <w:sz w:val="24"/>
                <w:szCs w:val="24"/>
              </w:rPr>
              <w:t>kowitą wartością aktywów księgowych ujawnianą</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rszu 1 wzoru EU LR1 – LRSum, wynikającą</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uwz</w:t>
            </w:r>
            <w:r w:rsidRPr="00835753">
              <w:rPr>
                <w:rFonts w:ascii="Times New Roman" w:hAnsi="Times New Roman"/>
                <w:sz w:val="24"/>
                <w:szCs w:val="24"/>
              </w:rPr>
              <w:t>ględnienia pozycji pozabilansowych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mie</w:t>
            </w:r>
            <w:r w:rsidRPr="00835753">
              <w:rPr>
                <w:rFonts w:ascii="Times New Roman" w:hAnsi="Times New Roman"/>
                <w:sz w:val="24"/>
                <w:szCs w:val="24"/>
              </w:rPr>
              <w:t>rze ekspozycji całkowitej wskaźnika dźwigni.</w:t>
            </w:r>
          </w:p>
          <w:p w14:paraId="0EF7CE95" w14:textId="1238A28A"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Obejmuje to zobowiązania do zapłaty związane ze standaryzowanymi transakcjami kupna ujmowanymi na dzień rozliczenia transakcji, obliczone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429g ust.</w:t>
            </w:r>
            <w:r w:rsidR="00835753" w:rsidRPr="00835753">
              <w:rPr>
                <w:rFonts w:ascii="Times New Roman" w:hAnsi="Times New Roman"/>
                <w:sz w:val="24"/>
                <w:szCs w:val="24"/>
              </w:rPr>
              <w:t> </w:t>
            </w:r>
            <w:r w:rsidRPr="00835753">
              <w:rPr>
                <w:rFonts w:ascii="Times New Roman" w:hAnsi="Times New Roman"/>
                <w:sz w:val="24"/>
                <w:szCs w:val="24"/>
              </w:rPr>
              <w:t>3 CRR.</w:t>
            </w:r>
          </w:p>
          <w:p w14:paraId="53BCDC68" w14:textId="4A8CD19B"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korekta ta zwiększa miarę ekspozycji całkowitej, ujawnia się ją jako kwotę dodatnią.</w:t>
            </w:r>
          </w:p>
        </w:tc>
      </w:tr>
      <w:tr w:rsidR="000A7015" w:rsidRPr="00835753" w14:paraId="418D99E9" w14:textId="77777777" w:rsidTr="001E06A3">
        <w:trPr>
          <w:trHeight w:val="983"/>
        </w:trPr>
        <w:tc>
          <w:tcPr>
            <w:tcW w:w="1384" w:type="dxa"/>
            <w:vAlign w:val="center"/>
          </w:tcPr>
          <w:p w14:paraId="7DF85C52"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11</w:t>
            </w:r>
          </w:p>
        </w:tc>
        <w:tc>
          <w:tcPr>
            <w:tcW w:w="7655" w:type="dxa"/>
          </w:tcPr>
          <w:p w14:paraId="3BFAA462" w14:textId="779CD513"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(Korekta wynikająca</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kor</w:t>
            </w:r>
            <w:r w:rsidRPr="00835753">
              <w:rPr>
                <w:rStyle w:val="TeksttreciPogrubienie"/>
                <w:rFonts w:ascii="Times New Roman" w:hAnsi="Times New Roman"/>
                <w:sz w:val="24"/>
                <w:szCs w:val="24"/>
              </w:rPr>
              <w:t>ekt</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ostrożnej wyceny oraz</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rez</w:t>
            </w:r>
            <w:r w:rsidRPr="00835753">
              <w:rPr>
                <w:rStyle w:val="TeksttreciPogrubienie"/>
                <w:rFonts w:ascii="Times New Roman" w:hAnsi="Times New Roman"/>
                <w:sz w:val="24"/>
                <w:szCs w:val="24"/>
              </w:rPr>
              <w:t>erw ogólnych</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cel</w:t>
            </w:r>
            <w:r w:rsidRPr="00835753">
              <w:rPr>
                <w:rStyle w:val="TeksttreciPogrubienie"/>
                <w:rFonts w:ascii="Times New Roman" w:hAnsi="Times New Roman"/>
                <w:sz w:val="24"/>
                <w:szCs w:val="24"/>
              </w:rPr>
              <w:t>owych, które zmniejszyły kapitał Tier I)</w:t>
            </w:r>
          </w:p>
          <w:p w14:paraId="19812157" w14:textId="792E7906" w:rsidR="000A7015" w:rsidRPr="00835753"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sidRPr="00835753">
              <w:rPr>
                <w:rStyle w:val="TeksttreciPogrubienie"/>
                <w:rFonts w:ascii="Times New Roman" w:hAnsi="Times New Roman"/>
                <w:b w:val="0"/>
                <w:sz w:val="24"/>
                <w:szCs w:val="24"/>
              </w:rPr>
              <w:t>Instytucje ujawniają kwotę korekt</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tyt</w:t>
            </w:r>
            <w:r w:rsidRPr="00835753">
              <w:rPr>
                <w:rStyle w:val="TeksttreciPogrubienie"/>
                <w:rFonts w:ascii="Times New Roman" w:hAnsi="Times New Roman"/>
                <w:b w:val="0"/>
                <w:sz w:val="24"/>
                <w:szCs w:val="24"/>
              </w:rPr>
              <w:t>ułu ostrożnej wyceny zgodnie</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art</w:t>
            </w:r>
            <w:r w:rsidRPr="00835753">
              <w:rPr>
                <w:rStyle w:val="TeksttreciPogrubienie"/>
                <w:rFonts w:ascii="Times New Roman" w:hAnsi="Times New Roman"/>
                <w:b w:val="0"/>
                <w:sz w:val="24"/>
                <w:szCs w:val="24"/>
              </w:rPr>
              <w:t>.</w:t>
            </w:r>
            <w:r w:rsidR="00835753" w:rsidRPr="00835753">
              <w:rPr>
                <w:rStyle w:val="TeksttreciPogrubienie"/>
                <w:rFonts w:ascii="Times New Roman" w:hAnsi="Times New Roman"/>
                <w:b w:val="0"/>
                <w:sz w:val="24"/>
                <w:szCs w:val="24"/>
              </w:rPr>
              <w:t> </w:t>
            </w:r>
            <w:r w:rsidRPr="00835753">
              <w:rPr>
                <w:rStyle w:val="TeksttreciPogrubienie"/>
                <w:rFonts w:ascii="Times New Roman" w:hAnsi="Times New Roman"/>
                <w:b w:val="0"/>
                <w:sz w:val="24"/>
                <w:szCs w:val="24"/>
              </w:rPr>
              <w:t>429a ust.</w:t>
            </w:r>
            <w:r w:rsidR="00835753" w:rsidRPr="00835753">
              <w:rPr>
                <w:rStyle w:val="TeksttreciPogrubienie"/>
                <w:rFonts w:ascii="Times New Roman" w:hAnsi="Times New Roman"/>
                <w:b w:val="0"/>
                <w:sz w:val="24"/>
                <w:szCs w:val="24"/>
              </w:rPr>
              <w:t> </w:t>
            </w:r>
            <w:r w:rsidRPr="00835753">
              <w:rPr>
                <w:rStyle w:val="TeksttreciPogrubienie"/>
                <w:rFonts w:ascii="Times New Roman" w:hAnsi="Times New Roman"/>
                <w:b w:val="0"/>
                <w:sz w:val="24"/>
                <w:szCs w:val="24"/>
              </w:rPr>
              <w:t>1 lit.</w:t>
            </w:r>
            <w:r w:rsidR="00835753" w:rsidRPr="00835753">
              <w:rPr>
                <w:rStyle w:val="TeksttreciPogrubienie"/>
                <w:rFonts w:ascii="Times New Roman" w:hAnsi="Times New Roman"/>
                <w:b w:val="0"/>
                <w:sz w:val="24"/>
                <w:szCs w:val="24"/>
              </w:rPr>
              <w:t> </w:t>
            </w:r>
            <w:r w:rsidRPr="00835753">
              <w:rPr>
                <w:rStyle w:val="TeksttreciPogrubienie"/>
                <w:rFonts w:ascii="Times New Roman" w:hAnsi="Times New Roman"/>
                <w:b w:val="0"/>
                <w:sz w:val="24"/>
                <w:szCs w:val="24"/>
              </w:rPr>
              <w:t xml:space="preserve">a) i b) CRR oraz </w:t>
            </w:r>
            <w:r w:rsidRPr="00835753">
              <w:rPr>
                <w:rFonts w:ascii="Times New Roman" w:hAnsi="Times New Roman"/>
                <w:sz w:val="24"/>
                <w:szCs w:val="24"/>
              </w:rPr>
              <w:t>kwotę korekt</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szczególnego (w stosownych przypadkach)</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ogó</w:t>
            </w:r>
            <w:r w:rsidRPr="00835753">
              <w:rPr>
                <w:rFonts w:ascii="Times New Roman" w:hAnsi="Times New Roman"/>
                <w:sz w:val="24"/>
                <w:szCs w:val="24"/>
              </w:rPr>
              <w:t>lnego ryzyka kredytowego zastosowanych do pozycji bilansowych</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poz</w:t>
            </w:r>
            <w:r w:rsidRPr="00835753">
              <w:rPr>
                <w:rFonts w:ascii="Times New Roman" w:hAnsi="Times New Roman"/>
                <w:sz w:val="24"/>
                <w:szCs w:val="24"/>
              </w:rPr>
              <w:t>abilansowych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 ust.</w:t>
            </w:r>
            <w:r w:rsidR="00835753" w:rsidRPr="00835753">
              <w:rPr>
                <w:rFonts w:ascii="Times New Roman" w:hAnsi="Times New Roman"/>
                <w:sz w:val="24"/>
                <w:szCs w:val="24"/>
              </w:rPr>
              <w:t> </w:t>
            </w:r>
            <w:r w:rsidRPr="00835753">
              <w:rPr>
                <w:rFonts w:ascii="Times New Roman" w:hAnsi="Times New Roman"/>
                <w:sz w:val="24"/>
                <w:szCs w:val="24"/>
              </w:rPr>
              <w:t>4 zdanie ostatnie</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429f ust.</w:t>
            </w:r>
            <w:r w:rsidR="00835753" w:rsidRPr="00835753">
              <w:rPr>
                <w:rFonts w:ascii="Times New Roman" w:hAnsi="Times New Roman"/>
                <w:sz w:val="24"/>
                <w:szCs w:val="24"/>
              </w:rPr>
              <w:t> </w:t>
            </w:r>
            <w:r w:rsidRPr="00835753">
              <w:rPr>
                <w:rFonts w:ascii="Times New Roman" w:hAnsi="Times New Roman"/>
                <w:sz w:val="24"/>
                <w:szCs w:val="24"/>
              </w:rPr>
              <w:t xml:space="preserve">2 </w:t>
            </w:r>
            <w:r w:rsidRPr="00835753">
              <w:rPr>
                <w:rStyle w:val="TeksttreciPogrubienie"/>
                <w:rFonts w:ascii="Times New Roman" w:hAnsi="Times New Roman"/>
                <w:b w:val="0"/>
                <w:sz w:val="24"/>
                <w:szCs w:val="24"/>
              </w:rPr>
              <w:t>CRR, które obniżyły kapitał Tier I.</w:t>
            </w:r>
            <w:r w:rsidRPr="00835753">
              <w:rPr>
                <w:rFonts w:ascii="Times New Roman" w:hAnsi="Times New Roman"/>
                <w:sz w:val="24"/>
                <w:szCs w:val="24"/>
              </w:rPr>
              <w:t xml:space="preserve"> Rezerwy celowe uwzględnia się tylko wówczas, gdy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maj</w:t>
            </w:r>
            <w:r w:rsidRPr="00835753">
              <w:rPr>
                <w:rFonts w:ascii="Times New Roman" w:hAnsi="Times New Roman"/>
                <w:sz w:val="24"/>
                <w:szCs w:val="24"/>
              </w:rPr>
              <w:t xml:space="preserve">ącymi zastosowanie standardami rachunkowości nie zostały one jeszcze odliczone od wartości bilansowej brutto. </w:t>
            </w:r>
            <w:bookmarkStart w:id="13" w:name="_DV_M411"/>
            <w:bookmarkEnd w:id="13"/>
          </w:p>
          <w:p w14:paraId="09E8C300" w14:textId="2850EF16"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korekta ta zmniejsza miarę ekspozycji całkowitej,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4A899E2E" w14:textId="77777777" w:rsidTr="001E06A3">
        <w:trPr>
          <w:trHeight w:val="2265"/>
        </w:trPr>
        <w:tc>
          <w:tcPr>
            <w:tcW w:w="1384" w:type="dxa"/>
            <w:vAlign w:val="center"/>
          </w:tcPr>
          <w:p w14:paraId="70566159"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EU-11a</w:t>
            </w:r>
          </w:p>
        </w:tc>
        <w:tc>
          <w:tcPr>
            <w:tcW w:w="7655" w:type="dxa"/>
          </w:tcPr>
          <w:p w14:paraId="3CE18E24" w14:textId="15595274"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(Korekta</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ekspozycji wyłączonych</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mia</w:t>
            </w:r>
            <w:r w:rsidRPr="00835753">
              <w:rPr>
                <w:rStyle w:val="TeksttreciPogrubienie"/>
                <w:rFonts w:ascii="Times New Roman" w:hAnsi="Times New Roman"/>
                <w:sz w:val="24"/>
                <w:szCs w:val="24"/>
              </w:rPr>
              <w:t>ry ekspozycji całkowitej zgodnie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art</w:t>
            </w:r>
            <w:r w:rsidRPr="00835753">
              <w:rPr>
                <w:rStyle w:val="TeksttreciPogrubienie"/>
                <w:rFonts w:ascii="Times New Roman" w:hAnsi="Times New Roman"/>
                <w:sz w:val="24"/>
                <w:szCs w:val="24"/>
              </w:rPr>
              <w: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429a ust.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1 lit.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c) CRR)</w:t>
            </w:r>
          </w:p>
          <w:p w14:paraId="3416C9D4" w14:textId="1D7A94C0"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c)</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113 ust.</w:t>
            </w:r>
            <w:r w:rsidR="00835753" w:rsidRPr="00835753">
              <w:rPr>
                <w:rFonts w:ascii="Times New Roman" w:hAnsi="Times New Roman"/>
                <w:sz w:val="24"/>
                <w:szCs w:val="24"/>
              </w:rPr>
              <w:t> </w:t>
            </w:r>
            <w:r w:rsidRPr="00835753">
              <w:rPr>
                <w:rFonts w:ascii="Times New Roman" w:hAnsi="Times New Roman"/>
                <w:sz w:val="24"/>
                <w:szCs w:val="24"/>
              </w:rPr>
              <w:t>6</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7</w:t>
            </w:r>
            <w:r w:rsidRPr="00835753">
              <w:rPr>
                <w:rFonts w:ascii="Times New Roman" w:hAnsi="Times New Roman"/>
                <w:sz w:val="24"/>
                <w:szCs w:val="24"/>
              </w:rPr>
              <w:t xml:space="preserve"> CRR</w:t>
            </w:r>
          </w:p>
          <w:p w14:paraId="6949A02E" w14:textId="60CF7E0E"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część bilansową ekspozycji wyłączonych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mia</w:t>
            </w:r>
            <w:r w:rsidRPr="00835753">
              <w:rPr>
                <w:rFonts w:ascii="Times New Roman" w:hAnsi="Times New Roman"/>
                <w:sz w:val="24"/>
                <w:szCs w:val="24"/>
              </w:rPr>
              <w:t>ry ekspozycji całkowitej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c) CRR.</w:t>
            </w:r>
          </w:p>
          <w:p w14:paraId="48930091" w14:textId="5E9ED15F"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korekta ta zmniejsza miarę ekspozycji całkowitej,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19F69D10" w14:textId="77777777" w:rsidTr="001E06A3">
        <w:trPr>
          <w:trHeight w:val="2265"/>
        </w:trPr>
        <w:tc>
          <w:tcPr>
            <w:tcW w:w="1384" w:type="dxa"/>
            <w:vAlign w:val="center"/>
          </w:tcPr>
          <w:p w14:paraId="1C862CF2"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EU-11b</w:t>
            </w:r>
          </w:p>
        </w:tc>
        <w:tc>
          <w:tcPr>
            <w:tcW w:w="7655" w:type="dxa"/>
          </w:tcPr>
          <w:p w14:paraId="6276F869" w14:textId="4B411C26"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(Korekta</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ekspozycji wyłączonych</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mia</w:t>
            </w:r>
            <w:r w:rsidRPr="00835753">
              <w:rPr>
                <w:rStyle w:val="TeksttreciPogrubienie"/>
                <w:rFonts w:ascii="Times New Roman" w:hAnsi="Times New Roman"/>
                <w:sz w:val="24"/>
                <w:szCs w:val="24"/>
              </w:rPr>
              <w:t>ry ekspozycji całkowitej zgodnie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art</w:t>
            </w:r>
            <w:r w:rsidRPr="00835753">
              <w:rPr>
                <w:rStyle w:val="TeksttreciPogrubienie"/>
                <w:rFonts w:ascii="Times New Roman" w:hAnsi="Times New Roman"/>
                <w:sz w:val="24"/>
                <w:szCs w:val="24"/>
              </w:rPr>
              <w: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429a ust.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1 lit.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j) CRR)</w:t>
            </w:r>
          </w:p>
          <w:p w14:paraId="0924AC57" w14:textId="2DE55BFF"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j) oraz art.</w:t>
            </w:r>
            <w:r w:rsidR="00835753" w:rsidRPr="00835753">
              <w:rPr>
                <w:rFonts w:ascii="Times New Roman" w:hAnsi="Times New Roman"/>
                <w:sz w:val="24"/>
                <w:szCs w:val="24"/>
              </w:rPr>
              <w:t> </w:t>
            </w:r>
            <w:r w:rsidRPr="00835753">
              <w:rPr>
                <w:rFonts w:ascii="Times New Roman" w:hAnsi="Times New Roman"/>
                <w:sz w:val="24"/>
                <w:szCs w:val="24"/>
              </w:rPr>
              <w:t>116 ust.</w:t>
            </w:r>
            <w:r w:rsidR="00835753" w:rsidRPr="00835753">
              <w:rPr>
                <w:rFonts w:ascii="Times New Roman" w:hAnsi="Times New Roman"/>
                <w:sz w:val="24"/>
                <w:szCs w:val="24"/>
              </w:rPr>
              <w:t> </w:t>
            </w:r>
            <w:r w:rsidRPr="00835753">
              <w:rPr>
                <w:rFonts w:ascii="Times New Roman" w:hAnsi="Times New Roman"/>
                <w:sz w:val="24"/>
                <w:szCs w:val="24"/>
              </w:rPr>
              <w:t>4 CRR</w:t>
            </w:r>
          </w:p>
          <w:p w14:paraId="5EF43110" w14:textId="0A32AF3A"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część bilansową ekspozycji wyłączonych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mia</w:t>
            </w:r>
            <w:r w:rsidRPr="00835753">
              <w:rPr>
                <w:rFonts w:ascii="Times New Roman" w:hAnsi="Times New Roman"/>
                <w:sz w:val="24"/>
                <w:szCs w:val="24"/>
              </w:rPr>
              <w:t>ry ekspozycji całkowitej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j) CRR.</w:t>
            </w:r>
          </w:p>
          <w:p w14:paraId="590B1A23" w14:textId="40F00C6C"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korekta ta zmniejsza miarę ekspozycji całkowitej, instytucje umieszczają wartości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09891083" w14:textId="77777777" w:rsidTr="001E06A3">
        <w:trPr>
          <w:trHeight w:val="2265"/>
        </w:trPr>
        <w:tc>
          <w:tcPr>
            <w:tcW w:w="1384" w:type="dxa"/>
            <w:vAlign w:val="center"/>
          </w:tcPr>
          <w:p w14:paraId="24F43B51"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12</w:t>
            </w:r>
          </w:p>
        </w:tc>
        <w:tc>
          <w:tcPr>
            <w:tcW w:w="7655" w:type="dxa"/>
          </w:tcPr>
          <w:p w14:paraId="4894575C"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sidRPr="00835753">
              <w:rPr>
                <w:rStyle w:val="TeksttreciPogrubienie"/>
                <w:rFonts w:ascii="Times New Roman" w:hAnsi="Times New Roman"/>
                <w:sz w:val="24"/>
                <w:szCs w:val="24"/>
              </w:rPr>
              <w:t>Inne korekty</w:t>
            </w:r>
          </w:p>
          <w:p w14:paraId="7DE84274" w14:textId="4D799040"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uwzględniają wszelkie pozostałe różnice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war</w:t>
            </w:r>
            <w:r w:rsidRPr="00835753">
              <w:rPr>
                <w:rFonts w:ascii="Times New Roman" w:hAnsi="Times New Roman"/>
                <w:sz w:val="24"/>
                <w:szCs w:val="24"/>
              </w:rPr>
              <w:t>tości pomiędzy miarą ekspozycji całkowitej</w:t>
            </w:r>
            <w:r w:rsidR="00835753" w:rsidRPr="00835753">
              <w:rPr>
                <w:rFonts w:ascii="Times New Roman" w:hAnsi="Times New Roman"/>
                <w:sz w:val="24"/>
                <w:szCs w:val="24"/>
              </w:rPr>
              <w:t xml:space="preserve"> a</w:t>
            </w:r>
            <w:r w:rsidR="00835753">
              <w:rPr>
                <w:rFonts w:ascii="Times New Roman" w:hAnsi="Times New Roman"/>
                <w:sz w:val="24"/>
                <w:szCs w:val="24"/>
              </w:rPr>
              <w:t> </w:t>
            </w:r>
            <w:r w:rsidR="00835753" w:rsidRPr="00835753">
              <w:rPr>
                <w:rFonts w:ascii="Times New Roman" w:hAnsi="Times New Roman"/>
                <w:sz w:val="24"/>
                <w:szCs w:val="24"/>
              </w:rPr>
              <w:t>cał</w:t>
            </w:r>
            <w:r w:rsidRPr="00835753">
              <w:rPr>
                <w:rFonts w:ascii="Times New Roman" w:hAnsi="Times New Roman"/>
                <w:sz w:val="24"/>
                <w:szCs w:val="24"/>
              </w:rPr>
              <w:t>kowitą wartością aktywów księgowych. Instytucje uwzględniają korekty</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ekspozycji</w:t>
            </w:r>
            <w:r w:rsidRPr="00835753">
              <w:rPr>
                <w:rStyle w:val="DeltaViewInsertion"/>
                <w:rFonts w:ascii="Times New Roman" w:hAnsi="Times New Roman"/>
                <w:b w:val="0"/>
                <w:i w:val="0"/>
                <w:color w:val="auto"/>
                <w:sz w:val="24"/>
                <w:szCs w:val="24"/>
              </w:rPr>
              <w:t xml:space="preserve"> zgodnie</w:t>
            </w:r>
            <w:r w:rsidR="00835753" w:rsidRPr="00835753">
              <w:rPr>
                <w:rStyle w:val="DeltaViewInsertion"/>
                <w:rFonts w:ascii="Times New Roman" w:hAnsi="Times New Roman"/>
                <w:b w:val="0"/>
                <w:i w:val="0"/>
                <w:color w:val="auto"/>
                <w:sz w:val="24"/>
                <w:szCs w:val="24"/>
              </w:rPr>
              <w:t xml:space="preserve"> z</w:t>
            </w:r>
            <w:r w:rsidR="00835753">
              <w:rPr>
                <w:rStyle w:val="DeltaViewInsertion"/>
                <w:rFonts w:ascii="Times New Roman" w:hAnsi="Times New Roman"/>
                <w:b w:val="0"/>
                <w:i w:val="0"/>
                <w:color w:val="auto"/>
                <w:sz w:val="24"/>
                <w:szCs w:val="24"/>
              </w:rPr>
              <w:t> </w:t>
            </w:r>
            <w:r w:rsidR="00835753" w:rsidRPr="00835753">
              <w:rPr>
                <w:rStyle w:val="DeltaViewInsertion"/>
                <w:rFonts w:ascii="Times New Roman" w:hAnsi="Times New Roman"/>
                <w:b w:val="0"/>
                <w:i w:val="0"/>
                <w:color w:val="auto"/>
                <w:sz w:val="24"/>
                <w:szCs w:val="24"/>
              </w:rPr>
              <w:t>art</w:t>
            </w:r>
            <w:r w:rsidRPr="00835753">
              <w:rPr>
                <w:rStyle w:val="DeltaViewInsertion"/>
                <w:rFonts w:ascii="Times New Roman" w:hAnsi="Times New Roman"/>
                <w:b w:val="0"/>
                <w:i w:val="0"/>
                <w:color w:val="auto"/>
                <w:sz w:val="24"/>
                <w:szCs w:val="24"/>
              </w:rPr>
              <w:t>.</w:t>
            </w:r>
            <w:r w:rsidR="00835753" w:rsidRPr="00835753">
              <w:rPr>
                <w:rStyle w:val="DeltaViewInsertion"/>
                <w:rFonts w:ascii="Times New Roman" w:hAnsi="Times New Roman"/>
                <w:b w:val="0"/>
                <w:i w:val="0"/>
                <w:color w:val="auto"/>
                <w:sz w:val="24"/>
                <w:szCs w:val="24"/>
              </w:rPr>
              <w:t> </w:t>
            </w:r>
            <w:r w:rsidRPr="00835753">
              <w:rPr>
                <w:rStyle w:val="DeltaViewInsertion"/>
                <w:rFonts w:ascii="Times New Roman" w:hAnsi="Times New Roman"/>
                <w:b w:val="0"/>
                <w:i w:val="0"/>
                <w:color w:val="auto"/>
                <w:sz w:val="24"/>
                <w:szCs w:val="24"/>
              </w:rPr>
              <w:t>429 ust.</w:t>
            </w:r>
            <w:r w:rsidR="00835753" w:rsidRPr="00835753">
              <w:rPr>
                <w:rStyle w:val="DeltaViewInsertion"/>
                <w:rFonts w:ascii="Times New Roman" w:hAnsi="Times New Roman"/>
                <w:b w:val="0"/>
                <w:i w:val="0"/>
                <w:color w:val="auto"/>
                <w:sz w:val="24"/>
                <w:szCs w:val="24"/>
              </w:rPr>
              <w:t> </w:t>
            </w:r>
            <w:r w:rsidRPr="00835753">
              <w:rPr>
                <w:rStyle w:val="DeltaViewInsertion"/>
                <w:rFonts w:ascii="Times New Roman" w:hAnsi="Times New Roman"/>
                <w:b w:val="0"/>
                <w:i w:val="0"/>
                <w:color w:val="auto"/>
                <w:sz w:val="24"/>
                <w:szCs w:val="24"/>
              </w:rPr>
              <w:t>8 CRR oraz inne korekty</w:t>
            </w:r>
            <w:r w:rsidR="00835753" w:rsidRPr="00835753">
              <w:rPr>
                <w:rStyle w:val="DeltaViewInsertion"/>
                <w:rFonts w:ascii="Times New Roman" w:hAnsi="Times New Roman"/>
                <w:b w:val="0"/>
                <w:i w:val="0"/>
                <w:color w:val="auto"/>
                <w:sz w:val="24"/>
                <w:szCs w:val="24"/>
              </w:rPr>
              <w:t xml:space="preserve"> z</w:t>
            </w:r>
            <w:r w:rsidR="00835753">
              <w:rPr>
                <w:rStyle w:val="DeltaViewInsertion"/>
                <w:rFonts w:ascii="Times New Roman" w:hAnsi="Times New Roman"/>
                <w:b w:val="0"/>
                <w:i w:val="0"/>
                <w:color w:val="auto"/>
                <w:sz w:val="24"/>
                <w:szCs w:val="24"/>
              </w:rPr>
              <w:t> </w:t>
            </w:r>
            <w:r w:rsidR="00835753" w:rsidRPr="00835753">
              <w:rPr>
                <w:rStyle w:val="DeltaViewInsertion"/>
                <w:rFonts w:ascii="Times New Roman" w:hAnsi="Times New Roman"/>
                <w:b w:val="0"/>
                <w:i w:val="0"/>
                <w:color w:val="auto"/>
                <w:sz w:val="24"/>
                <w:szCs w:val="24"/>
              </w:rPr>
              <w:t>tyt</w:t>
            </w:r>
            <w:r w:rsidRPr="00835753">
              <w:rPr>
                <w:rStyle w:val="DeltaViewInsertion"/>
                <w:rFonts w:ascii="Times New Roman" w:hAnsi="Times New Roman"/>
                <w:b w:val="0"/>
                <w:i w:val="0"/>
                <w:color w:val="auto"/>
                <w:sz w:val="24"/>
                <w:szCs w:val="24"/>
              </w:rPr>
              <w:t>ułu ekspozycji wymienione</w:t>
            </w:r>
            <w:r w:rsidR="00835753" w:rsidRPr="00835753">
              <w:rPr>
                <w:rStyle w:val="DeltaViewInsertion"/>
                <w:rFonts w:ascii="Times New Roman" w:hAnsi="Times New Roman"/>
                <w:b w:val="0"/>
                <w:i w:val="0"/>
                <w:color w:val="auto"/>
                <w:sz w:val="24"/>
                <w:szCs w:val="24"/>
              </w:rPr>
              <w:t xml:space="preserve"> w</w:t>
            </w:r>
            <w:r w:rsidR="00835753">
              <w:rPr>
                <w:rStyle w:val="DeltaViewInsertion"/>
                <w:rFonts w:ascii="Times New Roman" w:hAnsi="Times New Roman"/>
                <w:b w:val="0"/>
                <w:i w:val="0"/>
                <w:color w:val="auto"/>
                <w:sz w:val="24"/>
                <w:szCs w:val="24"/>
              </w:rPr>
              <w:t> </w:t>
            </w:r>
            <w:r w:rsidR="00835753" w:rsidRPr="00835753">
              <w:rPr>
                <w:rStyle w:val="DeltaViewInsertion"/>
                <w:rFonts w:ascii="Times New Roman" w:hAnsi="Times New Roman"/>
                <w:b w:val="0"/>
                <w:i w:val="0"/>
                <w:color w:val="auto"/>
                <w:sz w:val="24"/>
                <w:szCs w:val="24"/>
              </w:rPr>
              <w:t>art</w:t>
            </w:r>
            <w:r w:rsidRPr="00835753">
              <w:rPr>
                <w:rStyle w:val="DeltaViewInsertion"/>
                <w:rFonts w:ascii="Times New Roman" w:hAnsi="Times New Roman"/>
                <w:b w:val="0"/>
                <w:i w:val="0"/>
                <w:color w:val="auto"/>
                <w:sz w:val="24"/>
                <w:szCs w:val="24"/>
              </w:rPr>
              <w:t>.</w:t>
            </w:r>
            <w:r w:rsidR="00835753" w:rsidRPr="00835753">
              <w:rPr>
                <w:rStyle w:val="DeltaViewInsertion"/>
                <w:rFonts w:ascii="Times New Roman" w:hAnsi="Times New Roman"/>
                <w:b w:val="0"/>
                <w:i w:val="0"/>
                <w:color w:val="auto"/>
                <w:sz w:val="24"/>
                <w:szCs w:val="24"/>
              </w:rPr>
              <w:t> </w:t>
            </w:r>
            <w:r w:rsidRPr="00835753">
              <w:rPr>
                <w:rStyle w:val="DeltaViewInsertion"/>
                <w:rFonts w:ascii="Times New Roman" w:hAnsi="Times New Roman"/>
                <w:b w:val="0"/>
                <w:i w:val="0"/>
                <w:color w:val="auto"/>
                <w:sz w:val="24"/>
                <w:szCs w:val="24"/>
              </w:rPr>
              <w:t>429a ust.</w:t>
            </w:r>
            <w:r w:rsidR="00835753" w:rsidRPr="00835753">
              <w:rPr>
                <w:rStyle w:val="DeltaViewInsertion"/>
                <w:rFonts w:ascii="Times New Roman" w:hAnsi="Times New Roman"/>
                <w:b w:val="0"/>
                <w:i w:val="0"/>
                <w:color w:val="auto"/>
                <w:sz w:val="24"/>
                <w:szCs w:val="24"/>
              </w:rPr>
              <w:t> </w:t>
            </w:r>
            <w:r w:rsidRPr="00835753">
              <w:rPr>
                <w:rStyle w:val="DeltaViewInsertion"/>
                <w:rFonts w:ascii="Times New Roman" w:hAnsi="Times New Roman"/>
                <w:b w:val="0"/>
                <w:i w:val="0"/>
                <w:color w:val="auto"/>
                <w:sz w:val="24"/>
                <w:szCs w:val="24"/>
              </w:rPr>
              <w:t>1 lit.</w:t>
            </w:r>
            <w:r w:rsidR="00835753" w:rsidRPr="00835753">
              <w:rPr>
                <w:rStyle w:val="DeltaViewInsertion"/>
                <w:rFonts w:ascii="Times New Roman" w:hAnsi="Times New Roman"/>
                <w:b w:val="0"/>
                <w:i w:val="0"/>
                <w:color w:val="auto"/>
                <w:sz w:val="24"/>
                <w:szCs w:val="24"/>
              </w:rPr>
              <w:t> </w:t>
            </w:r>
            <w:r w:rsidRPr="00835753">
              <w:rPr>
                <w:rStyle w:val="DeltaViewInsertion"/>
                <w:rFonts w:ascii="Times New Roman" w:hAnsi="Times New Roman"/>
                <w:b w:val="0"/>
                <w:i w:val="0"/>
                <w:color w:val="auto"/>
                <w:sz w:val="24"/>
                <w:szCs w:val="24"/>
              </w:rPr>
              <w:t>d), e), f), h), k), l), o) i p) CRR, które nie zostały ujawnione</w:t>
            </w:r>
            <w:r w:rsidR="00835753" w:rsidRPr="00835753">
              <w:rPr>
                <w:rStyle w:val="DeltaViewInsertion"/>
                <w:rFonts w:ascii="Times New Roman" w:hAnsi="Times New Roman"/>
                <w:b w:val="0"/>
                <w:i w:val="0"/>
                <w:color w:val="auto"/>
                <w:sz w:val="24"/>
                <w:szCs w:val="24"/>
              </w:rPr>
              <w:t xml:space="preserve"> w</w:t>
            </w:r>
            <w:r w:rsidR="00835753">
              <w:rPr>
                <w:rStyle w:val="DeltaViewInsertion"/>
                <w:rFonts w:ascii="Times New Roman" w:hAnsi="Times New Roman"/>
                <w:b w:val="0"/>
                <w:i w:val="0"/>
                <w:color w:val="auto"/>
                <w:sz w:val="24"/>
                <w:szCs w:val="24"/>
              </w:rPr>
              <w:t> </w:t>
            </w:r>
            <w:r w:rsidR="00835753" w:rsidRPr="00835753">
              <w:rPr>
                <w:rStyle w:val="DeltaViewInsertion"/>
                <w:rFonts w:ascii="Times New Roman" w:hAnsi="Times New Roman"/>
                <w:b w:val="0"/>
                <w:i w:val="0"/>
                <w:color w:val="auto"/>
                <w:sz w:val="24"/>
                <w:szCs w:val="24"/>
              </w:rPr>
              <w:t>żad</w:t>
            </w:r>
            <w:r w:rsidRPr="00835753">
              <w:rPr>
                <w:rStyle w:val="DeltaViewInsertion"/>
                <w:rFonts w:ascii="Times New Roman" w:hAnsi="Times New Roman"/>
                <w:b w:val="0"/>
                <w:i w:val="0"/>
                <w:color w:val="auto"/>
                <w:sz w:val="24"/>
                <w:szCs w:val="24"/>
              </w:rPr>
              <w:t>nym innym miejscu we wzorze.</w:t>
            </w:r>
          </w:p>
          <w:p w14:paraId="524A5AC5" w14:textId="0EAF06E1"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Jeżeli korekty te prowadzą do wzrostu wartości ekspozycji, instytucje ujawniają tę kwotę jako kwotę dodatnią. Jeżeli korekty te prowadzą do spadku wartości ekspozycji,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60B2442D" w14:textId="77777777" w:rsidTr="001E06A3">
        <w:trPr>
          <w:trHeight w:val="1015"/>
        </w:trPr>
        <w:tc>
          <w:tcPr>
            <w:tcW w:w="1384" w:type="dxa"/>
            <w:vAlign w:val="center"/>
          </w:tcPr>
          <w:p w14:paraId="6A4B1601" w14:textId="77777777" w:rsidR="000A7015" w:rsidRPr="00835753" w:rsidRDefault="000A7015" w:rsidP="001E06A3">
            <w:pPr>
              <w:pStyle w:val="Applicationdirecte"/>
              <w:spacing w:before="0"/>
              <w:jc w:val="center"/>
            </w:pPr>
            <w:r w:rsidRPr="00835753">
              <w:t>13</w:t>
            </w:r>
          </w:p>
        </w:tc>
        <w:tc>
          <w:tcPr>
            <w:tcW w:w="7655" w:type="dxa"/>
          </w:tcPr>
          <w:p w14:paraId="5D9808D7"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Miara ekspozycji całkowitej</w:t>
            </w:r>
          </w:p>
          <w:p w14:paraId="2C981033" w14:textId="303B7453"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Miara ekspozycji całkowitej (również ujawniona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 xml:space="preserve">rszu 24 wzoru </w:t>
            </w:r>
            <w:r w:rsidRPr="00835753">
              <w:rPr>
                <w:rFonts w:ascii="Times New Roman" w:hAnsi="Times New Roman"/>
                <w:color w:val="000000"/>
                <w:sz w:val="24"/>
                <w:szCs w:val="24"/>
              </w:rPr>
              <w:t xml:space="preserve">EU LR2 – </w:t>
            </w:r>
            <w:r w:rsidRPr="00835753">
              <w:rPr>
                <w:rFonts w:ascii="Times New Roman" w:hAnsi="Times New Roman"/>
                <w:sz w:val="24"/>
                <w:szCs w:val="24"/>
              </w:rPr>
              <w:t>LRCom), która jest sumą poprzednich pozycji.</w:t>
            </w:r>
          </w:p>
        </w:tc>
      </w:tr>
    </w:tbl>
    <w:p w14:paraId="31EE4F69" w14:textId="77777777" w:rsidR="000A7015" w:rsidRPr="00835753" w:rsidRDefault="000A7015" w:rsidP="000A7015">
      <w:pPr>
        <w:spacing w:after="120"/>
        <w:rPr>
          <w:rFonts w:ascii="Times New Roman" w:hAnsi="Times New Roman" w:cs="Times New Roman"/>
          <w:sz w:val="24"/>
        </w:rPr>
      </w:pPr>
    </w:p>
    <w:p w14:paraId="1E69398D" w14:textId="2C8393AD" w:rsidR="000A7015" w:rsidRPr="00835753"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sidRPr="00835753">
        <w:rPr>
          <w:rFonts w:ascii="Times New Roman" w:hAnsi="Times New Roman"/>
          <w:color w:val="000000"/>
          <w:sz w:val="24"/>
          <w:szCs w:val="24"/>
        </w:rPr>
        <w:t xml:space="preserve">Wzór EU LR2 – LRCom: </w:t>
      </w:r>
      <w:bookmarkStart w:id="14" w:name="bookmark12"/>
      <w:r w:rsidRPr="00835753">
        <w:rPr>
          <w:rFonts w:ascii="Times New Roman" w:hAnsi="Times New Roman"/>
          <w:color w:val="000000"/>
          <w:sz w:val="24"/>
          <w:szCs w:val="24"/>
        </w:rPr>
        <w:t>Wspólne ujawnianie wskaźnika dźwigni</w:t>
      </w:r>
      <w:bookmarkEnd w:id="14"/>
      <w:r w:rsidRPr="00835753">
        <w:rPr>
          <w:rFonts w:ascii="Times New Roman" w:hAnsi="Times New Roman"/>
          <w:color w:val="000000"/>
          <w:sz w:val="24"/>
          <w:szCs w:val="24"/>
        </w:rPr>
        <w:t xml:space="preserve">. </w:t>
      </w:r>
      <w:r w:rsidRPr="00835753">
        <w:rPr>
          <w:rFonts w:ascii="Times New Roman" w:hAnsi="Times New Roman"/>
          <w:b w:val="0"/>
          <w:color w:val="000000"/>
          <w:sz w:val="24"/>
          <w:szCs w:val="24"/>
        </w:rPr>
        <w:t>Wzór</w:t>
      </w:r>
      <w:r w:rsidR="00835753" w:rsidRPr="00835753">
        <w:rPr>
          <w:rFonts w:ascii="Times New Roman" w:hAnsi="Times New Roman"/>
          <w:b w:val="0"/>
          <w:color w:val="000000"/>
          <w:sz w:val="24"/>
          <w:szCs w:val="24"/>
        </w:rPr>
        <w:t xml:space="preserve"> o</w:t>
      </w:r>
      <w:r w:rsidR="00835753">
        <w:rPr>
          <w:rFonts w:ascii="Times New Roman" w:hAnsi="Times New Roman"/>
          <w:b w:val="0"/>
          <w:color w:val="000000"/>
          <w:sz w:val="24"/>
          <w:szCs w:val="24"/>
        </w:rPr>
        <w:t> </w:t>
      </w:r>
      <w:r w:rsidR="00835753" w:rsidRPr="00835753">
        <w:rPr>
          <w:rFonts w:ascii="Times New Roman" w:hAnsi="Times New Roman"/>
          <w:b w:val="0"/>
          <w:color w:val="000000"/>
          <w:sz w:val="24"/>
          <w:szCs w:val="24"/>
        </w:rPr>
        <w:t>for</w:t>
      </w:r>
      <w:r w:rsidRPr="00835753">
        <w:rPr>
          <w:rFonts w:ascii="Times New Roman" w:hAnsi="Times New Roman"/>
          <w:b w:val="0"/>
          <w:color w:val="000000"/>
          <w:sz w:val="24"/>
          <w:szCs w:val="24"/>
        </w:rPr>
        <w:t>macie stałym</w:t>
      </w:r>
    </w:p>
    <w:p w14:paraId="45D197DC" w14:textId="32294AB1" w:rsidR="000A7015" w:rsidRPr="00835753" w:rsidRDefault="000A7015" w:rsidP="00E70D84">
      <w:pPr>
        <w:pStyle w:val="ListParagraph"/>
        <w:numPr>
          <w:ilvl w:val="0"/>
          <w:numId w:val="28"/>
        </w:numPr>
        <w:spacing w:after="120"/>
        <w:ind w:left="426"/>
        <w:jc w:val="both"/>
        <w:rPr>
          <w:rFonts w:ascii="Times New Roman" w:hAnsi="Times New Roman"/>
          <w:color w:val="000000"/>
          <w:sz w:val="24"/>
          <w:szCs w:val="24"/>
        </w:rPr>
      </w:pPr>
      <w:r w:rsidRPr="00835753">
        <w:rPr>
          <w:rFonts w:ascii="Times New Roman" w:hAnsi="Times New Roman"/>
          <w:color w:val="000000"/>
          <w:sz w:val="24"/>
          <w:szCs w:val="24"/>
        </w:rPr>
        <w:t>Instytucje stosują instrukcje zawarte</w:t>
      </w:r>
      <w:r w:rsidR="00835753" w:rsidRPr="00835753">
        <w:rPr>
          <w:rFonts w:ascii="Times New Roman" w:hAnsi="Times New Roman"/>
          <w:color w:val="000000"/>
          <w:sz w:val="24"/>
          <w:szCs w:val="24"/>
        </w:rPr>
        <w:t xml:space="preserve"> w</w:t>
      </w:r>
      <w:r w:rsidR="00835753">
        <w:rPr>
          <w:rFonts w:ascii="Times New Roman" w:hAnsi="Times New Roman"/>
          <w:color w:val="000000"/>
          <w:sz w:val="24"/>
          <w:szCs w:val="24"/>
        </w:rPr>
        <w:t> </w:t>
      </w:r>
      <w:r w:rsidR="00835753" w:rsidRPr="00835753">
        <w:rPr>
          <w:rFonts w:ascii="Times New Roman" w:hAnsi="Times New Roman"/>
          <w:color w:val="000000"/>
          <w:sz w:val="24"/>
          <w:szCs w:val="24"/>
        </w:rPr>
        <w:t>nin</w:t>
      </w:r>
      <w:r w:rsidRPr="00835753">
        <w:rPr>
          <w:rFonts w:ascii="Times New Roman" w:hAnsi="Times New Roman"/>
          <w:color w:val="000000"/>
          <w:sz w:val="24"/>
          <w:szCs w:val="24"/>
        </w:rPr>
        <w:t>iejszej sekcji</w:t>
      </w:r>
      <w:r w:rsidR="00835753" w:rsidRPr="00835753">
        <w:rPr>
          <w:rFonts w:ascii="Times New Roman" w:hAnsi="Times New Roman"/>
          <w:color w:val="000000"/>
          <w:sz w:val="24"/>
          <w:szCs w:val="24"/>
        </w:rPr>
        <w:t xml:space="preserve"> w</w:t>
      </w:r>
      <w:r w:rsidR="00835753">
        <w:rPr>
          <w:rFonts w:ascii="Times New Roman" w:hAnsi="Times New Roman"/>
          <w:color w:val="000000"/>
          <w:sz w:val="24"/>
          <w:szCs w:val="24"/>
        </w:rPr>
        <w:t> </w:t>
      </w:r>
      <w:r w:rsidR="00835753" w:rsidRPr="00835753">
        <w:rPr>
          <w:rFonts w:ascii="Times New Roman" w:hAnsi="Times New Roman"/>
          <w:color w:val="000000"/>
          <w:sz w:val="24"/>
          <w:szCs w:val="24"/>
        </w:rPr>
        <w:t>cel</w:t>
      </w:r>
      <w:r w:rsidRPr="00835753">
        <w:rPr>
          <w:rFonts w:ascii="Times New Roman" w:hAnsi="Times New Roman"/>
          <w:color w:val="000000"/>
          <w:sz w:val="24"/>
          <w:szCs w:val="24"/>
        </w:rPr>
        <w:t>u wypełnienia wzoru EU LR2 – LRCom zgodnie</w:t>
      </w:r>
      <w:r w:rsidR="00835753" w:rsidRPr="00835753">
        <w:rPr>
          <w:rFonts w:ascii="Times New Roman" w:hAnsi="Times New Roman"/>
          <w:color w:val="000000"/>
          <w:sz w:val="24"/>
          <w:szCs w:val="24"/>
        </w:rPr>
        <w:t xml:space="preserve"> z</w:t>
      </w:r>
      <w:r w:rsidR="00835753">
        <w:rPr>
          <w:rFonts w:ascii="Times New Roman" w:hAnsi="Times New Roman"/>
          <w:color w:val="000000"/>
          <w:sz w:val="24"/>
          <w:szCs w:val="24"/>
        </w:rPr>
        <w:t> </w:t>
      </w:r>
      <w:r w:rsidR="00835753" w:rsidRPr="00835753">
        <w:rPr>
          <w:rFonts w:ascii="Times New Roman" w:hAnsi="Times New Roman"/>
          <w:color w:val="000000"/>
          <w:sz w:val="24"/>
          <w:szCs w:val="24"/>
        </w:rPr>
        <w:t>art</w:t>
      </w:r>
      <w:r w:rsidRPr="00835753">
        <w:rPr>
          <w:rFonts w:ascii="Times New Roman" w:hAnsi="Times New Roman"/>
          <w:color w:val="000000"/>
          <w:sz w:val="24"/>
          <w:szCs w:val="24"/>
        </w:rPr>
        <w:t>.</w:t>
      </w:r>
      <w:r w:rsidR="00835753" w:rsidRPr="00835753">
        <w:rPr>
          <w:rFonts w:ascii="Times New Roman" w:hAnsi="Times New Roman"/>
          <w:color w:val="000000"/>
          <w:sz w:val="24"/>
          <w:szCs w:val="24"/>
        </w:rPr>
        <w:t> </w:t>
      </w:r>
      <w:r w:rsidRPr="00835753">
        <w:rPr>
          <w:rFonts w:ascii="Times New Roman" w:hAnsi="Times New Roman"/>
          <w:color w:val="000000"/>
          <w:sz w:val="24"/>
          <w:szCs w:val="24"/>
        </w:rPr>
        <w:t>451 ust.</w:t>
      </w:r>
      <w:r w:rsidR="00835753" w:rsidRPr="00835753">
        <w:rPr>
          <w:rFonts w:ascii="Times New Roman" w:hAnsi="Times New Roman"/>
          <w:color w:val="000000"/>
          <w:sz w:val="24"/>
          <w:szCs w:val="24"/>
        </w:rPr>
        <w:t> </w:t>
      </w:r>
      <w:r w:rsidRPr="00835753">
        <w:rPr>
          <w:rFonts w:ascii="Times New Roman" w:hAnsi="Times New Roman"/>
          <w:color w:val="000000"/>
          <w:sz w:val="24"/>
          <w:szCs w:val="24"/>
        </w:rPr>
        <w:t>1 lit.</w:t>
      </w:r>
      <w:r w:rsidR="00835753" w:rsidRPr="00835753">
        <w:rPr>
          <w:rFonts w:ascii="Times New Roman" w:hAnsi="Times New Roman"/>
          <w:color w:val="000000"/>
          <w:sz w:val="24"/>
          <w:szCs w:val="24"/>
        </w:rPr>
        <w:t> </w:t>
      </w:r>
      <w:r w:rsidRPr="00835753">
        <w:rPr>
          <w:rFonts w:ascii="Times New Roman" w:hAnsi="Times New Roman"/>
          <w:color w:val="000000"/>
          <w:sz w:val="24"/>
          <w:szCs w:val="24"/>
        </w:rPr>
        <w:t>a) i b) CRR</w:t>
      </w:r>
      <w:r w:rsidR="00835753" w:rsidRPr="00835753">
        <w:rPr>
          <w:rFonts w:ascii="Times New Roman" w:hAnsi="Times New Roman"/>
          <w:color w:val="000000"/>
          <w:sz w:val="24"/>
          <w:szCs w:val="24"/>
        </w:rPr>
        <w:t xml:space="preserve"> i</w:t>
      </w:r>
      <w:r w:rsidR="00835753">
        <w:rPr>
          <w:rFonts w:ascii="Times New Roman" w:hAnsi="Times New Roman"/>
          <w:color w:val="000000"/>
          <w:sz w:val="24"/>
          <w:szCs w:val="24"/>
        </w:rPr>
        <w:t> </w:t>
      </w:r>
      <w:r w:rsidR="00835753" w:rsidRPr="00835753">
        <w:rPr>
          <w:rFonts w:ascii="Times New Roman" w:hAnsi="Times New Roman"/>
          <w:color w:val="000000"/>
          <w:sz w:val="24"/>
          <w:szCs w:val="24"/>
        </w:rPr>
        <w:t>z</w:t>
      </w:r>
      <w:r w:rsidR="00835753">
        <w:rPr>
          <w:rFonts w:ascii="Times New Roman" w:hAnsi="Times New Roman"/>
          <w:color w:val="000000"/>
          <w:sz w:val="24"/>
          <w:szCs w:val="24"/>
        </w:rPr>
        <w:t> </w:t>
      </w:r>
      <w:r w:rsidR="00835753" w:rsidRPr="00835753">
        <w:rPr>
          <w:rFonts w:ascii="Times New Roman" w:hAnsi="Times New Roman"/>
          <w:color w:val="000000"/>
          <w:sz w:val="24"/>
          <w:szCs w:val="24"/>
        </w:rPr>
        <w:t>art</w:t>
      </w:r>
      <w:r w:rsidRPr="00835753">
        <w:rPr>
          <w:rFonts w:ascii="Times New Roman" w:hAnsi="Times New Roman"/>
          <w:color w:val="000000"/>
          <w:sz w:val="24"/>
          <w:szCs w:val="24"/>
        </w:rPr>
        <w:t>.</w:t>
      </w:r>
      <w:r w:rsidR="00835753" w:rsidRPr="00835753">
        <w:rPr>
          <w:rFonts w:ascii="Times New Roman" w:hAnsi="Times New Roman"/>
          <w:color w:val="000000"/>
          <w:sz w:val="24"/>
          <w:szCs w:val="24"/>
        </w:rPr>
        <w:t> </w:t>
      </w:r>
      <w:r w:rsidRPr="00835753">
        <w:rPr>
          <w:rFonts w:ascii="Times New Roman" w:hAnsi="Times New Roman"/>
          <w:color w:val="000000"/>
          <w:sz w:val="24"/>
          <w:szCs w:val="24"/>
        </w:rPr>
        <w:t>451 ust.</w:t>
      </w:r>
      <w:r w:rsidR="00835753" w:rsidRPr="00835753">
        <w:rPr>
          <w:rFonts w:ascii="Times New Roman" w:hAnsi="Times New Roman"/>
          <w:color w:val="000000"/>
          <w:sz w:val="24"/>
          <w:szCs w:val="24"/>
        </w:rPr>
        <w:t> </w:t>
      </w:r>
      <w:r w:rsidRPr="00835753">
        <w:rPr>
          <w:rFonts w:ascii="Times New Roman" w:hAnsi="Times New Roman"/>
          <w:color w:val="000000"/>
          <w:sz w:val="24"/>
          <w:szCs w:val="24"/>
        </w:rPr>
        <w:t>3 CRR, uwzględniając</w:t>
      </w:r>
      <w:r w:rsidR="00835753" w:rsidRPr="00835753">
        <w:rPr>
          <w:rFonts w:ascii="Times New Roman" w:hAnsi="Times New Roman"/>
          <w:color w:val="000000"/>
          <w:sz w:val="24"/>
          <w:szCs w:val="24"/>
        </w:rPr>
        <w:t xml:space="preserve"> w</w:t>
      </w:r>
      <w:r w:rsidR="00835753">
        <w:rPr>
          <w:rFonts w:ascii="Times New Roman" w:hAnsi="Times New Roman"/>
          <w:color w:val="000000"/>
          <w:sz w:val="24"/>
          <w:szCs w:val="24"/>
        </w:rPr>
        <w:t> </w:t>
      </w:r>
      <w:r w:rsidR="00835753" w:rsidRPr="00835753">
        <w:rPr>
          <w:rFonts w:ascii="Times New Roman" w:hAnsi="Times New Roman"/>
          <w:color w:val="000000"/>
          <w:sz w:val="24"/>
          <w:szCs w:val="24"/>
        </w:rPr>
        <w:t>sto</w:t>
      </w:r>
      <w:r w:rsidRPr="00835753">
        <w:rPr>
          <w:rFonts w:ascii="Times New Roman" w:hAnsi="Times New Roman"/>
          <w:color w:val="000000"/>
          <w:sz w:val="24"/>
          <w:szCs w:val="24"/>
        </w:rPr>
        <w:t>sownych przypadkach art.</w:t>
      </w:r>
      <w:r w:rsidR="00835753" w:rsidRPr="00835753">
        <w:rPr>
          <w:rFonts w:ascii="Times New Roman" w:hAnsi="Times New Roman"/>
          <w:color w:val="000000"/>
          <w:sz w:val="24"/>
          <w:szCs w:val="24"/>
        </w:rPr>
        <w:t> </w:t>
      </w:r>
      <w:r w:rsidRPr="00835753">
        <w:rPr>
          <w:rFonts w:ascii="Times New Roman" w:hAnsi="Times New Roman"/>
          <w:color w:val="000000"/>
          <w:sz w:val="24"/>
          <w:szCs w:val="24"/>
        </w:rPr>
        <w:t>451 ust.</w:t>
      </w:r>
      <w:r w:rsidR="00835753" w:rsidRPr="00835753">
        <w:rPr>
          <w:rFonts w:ascii="Times New Roman" w:hAnsi="Times New Roman"/>
          <w:color w:val="000000"/>
          <w:sz w:val="24"/>
          <w:szCs w:val="24"/>
        </w:rPr>
        <w:t> </w:t>
      </w:r>
      <w:r w:rsidRPr="00835753">
        <w:rPr>
          <w:rFonts w:ascii="Times New Roman" w:hAnsi="Times New Roman"/>
          <w:color w:val="000000"/>
          <w:sz w:val="24"/>
          <w:szCs w:val="24"/>
        </w:rPr>
        <w:t>1 lit.</w:t>
      </w:r>
      <w:r w:rsidR="00835753" w:rsidRPr="00835753">
        <w:rPr>
          <w:rFonts w:ascii="Times New Roman" w:hAnsi="Times New Roman"/>
          <w:color w:val="000000"/>
          <w:sz w:val="24"/>
          <w:szCs w:val="24"/>
        </w:rPr>
        <w:t> </w:t>
      </w:r>
      <w:r w:rsidRPr="00835753">
        <w:rPr>
          <w:rFonts w:ascii="Times New Roman" w:hAnsi="Times New Roman"/>
          <w:color w:val="000000"/>
          <w:sz w:val="24"/>
          <w:szCs w:val="24"/>
        </w:rPr>
        <w:t>c)</w:t>
      </w:r>
      <w:r w:rsidR="00835753" w:rsidRPr="00835753">
        <w:rPr>
          <w:rFonts w:ascii="Times New Roman" w:hAnsi="Times New Roman"/>
          <w:color w:val="000000"/>
          <w:sz w:val="24"/>
          <w:szCs w:val="24"/>
        </w:rPr>
        <w:t xml:space="preserve"> i</w:t>
      </w:r>
      <w:r w:rsidR="00835753">
        <w:rPr>
          <w:rFonts w:ascii="Times New Roman" w:hAnsi="Times New Roman"/>
          <w:color w:val="000000"/>
          <w:sz w:val="24"/>
          <w:szCs w:val="24"/>
        </w:rPr>
        <w:t> </w:t>
      </w:r>
      <w:r w:rsidR="00835753" w:rsidRPr="00835753">
        <w:rPr>
          <w:rFonts w:ascii="Times New Roman" w:hAnsi="Times New Roman"/>
          <w:color w:val="000000"/>
          <w:sz w:val="24"/>
          <w:szCs w:val="24"/>
        </w:rPr>
        <w:t>art</w:t>
      </w:r>
      <w:r w:rsidRPr="00835753">
        <w:rPr>
          <w:rFonts w:ascii="Times New Roman" w:hAnsi="Times New Roman"/>
          <w:color w:val="000000"/>
          <w:sz w:val="24"/>
          <w:szCs w:val="24"/>
        </w:rPr>
        <w:t>.</w:t>
      </w:r>
      <w:r w:rsidR="00835753" w:rsidRPr="00835753">
        <w:rPr>
          <w:rFonts w:ascii="Times New Roman" w:hAnsi="Times New Roman"/>
          <w:color w:val="000000"/>
          <w:sz w:val="24"/>
          <w:szCs w:val="24"/>
        </w:rPr>
        <w:t> </w:t>
      </w:r>
      <w:r w:rsidRPr="00835753">
        <w:rPr>
          <w:rFonts w:ascii="Times New Roman" w:hAnsi="Times New Roman"/>
          <w:color w:val="000000"/>
          <w:sz w:val="24"/>
          <w:szCs w:val="24"/>
        </w:rPr>
        <w:t>451 ust.</w:t>
      </w:r>
      <w:r w:rsidR="00835753" w:rsidRPr="00835753">
        <w:rPr>
          <w:rFonts w:ascii="Times New Roman" w:hAnsi="Times New Roman"/>
          <w:color w:val="000000"/>
          <w:sz w:val="24"/>
          <w:szCs w:val="24"/>
        </w:rPr>
        <w:t> </w:t>
      </w:r>
      <w:r w:rsidRPr="00835753">
        <w:rPr>
          <w:rFonts w:ascii="Times New Roman" w:hAnsi="Times New Roman"/>
          <w:color w:val="000000"/>
          <w:sz w:val="24"/>
          <w:szCs w:val="24"/>
        </w:rPr>
        <w:t>2 CRR.</w:t>
      </w:r>
    </w:p>
    <w:p w14:paraId="14BBB142" w14:textId="33C14D9C" w:rsidR="000A7015" w:rsidRPr="00835753" w:rsidRDefault="000A7015" w:rsidP="00E70D84">
      <w:pPr>
        <w:pStyle w:val="ListParagraph"/>
        <w:numPr>
          <w:ilvl w:val="0"/>
          <w:numId w:val="28"/>
        </w:numPr>
        <w:spacing w:after="120"/>
        <w:ind w:left="426"/>
        <w:jc w:val="both"/>
        <w:rPr>
          <w:rFonts w:ascii="Times New Roman" w:hAnsi="Times New Roman"/>
          <w:color w:val="000000"/>
          <w:sz w:val="24"/>
          <w:szCs w:val="24"/>
        </w:rPr>
      </w:pPr>
      <w:r w:rsidRPr="00835753">
        <w:rPr>
          <w:rFonts w:ascii="Times New Roman" w:hAnsi="Times New Roman"/>
          <w:color w:val="000000"/>
          <w:sz w:val="24"/>
          <w:szCs w:val="24"/>
        </w:rPr>
        <w:t>Instytucje ujawniają</w:t>
      </w:r>
      <w:r w:rsidR="00835753" w:rsidRPr="00835753">
        <w:rPr>
          <w:rFonts w:ascii="Times New Roman" w:hAnsi="Times New Roman"/>
          <w:color w:val="000000"/>
          <w:sz w:val="24"/>
          <w:szCs w:val="24"/>
        </w:rPr>
        <w:t xml:space="preserve"> w</w:t>
      </w:r>
      <w:r w:rsidR="00835753">
        <w:rPr>
          <w:rFonts w:ascii="Times New Roman" w:hAnsi="Times New Roman"/>
          <w:color w:val="000000"/>
          <w:sz w:val="24"/>
          <w:szCs w:val="24"/>
        </w:rPr>
        <w:t> </w:t>
      </w:r>
      <w:r w:rsidR="00835753" w:rsidRPr="00835753">
        <w:rPr>
          <w:rFonts w:ascii="Times New Roman" w:hAnsi="Times New Roman"/>
          <w:color w:val="000000"/>
          <w:sz w:val="24"/>
          <w:szCs w:val="24"/>
        </w:rPr>
        <w:t>kol</w:t>
      </w:r>
      <w:r w:rsidRPr="00835753">
        <w:rPr>
          <w:rFonts w:ascii="Times New Roman" w:hAnsi="Times New Roman"/>
          <w:color w:val="000000"/>
          <w:sz w:val="24"/>
          <w:szCs w:val="24"/>
        </w:rPr>
        <w:t>umnie a) wartości poszczególnych wierszy za okres, za który informacje podlegają ujawnieniu,</w:t>
      </w:r>
      <w:r w:rsidR="00835753" w:rsidRPr="00835753">
        <w:rPr>
          <w:rFonts w:ascii="Times New Roman" w:hAnsi="Times New Roman"/>
          <w:color w:val="000000"/>
          <w:sz w:val="24"/>
          <w:szCs w:val="24"/>
        </w:rPr>
        <w:t xml:space="preserve"> a</w:t>
      </w:r>
      <w:r w:rsidR="00835753">
        <w:rPr>
          <w:rFonts w:ascii="Times New Roman" w:hAnsi="Times New Roman"/>
          <w:color w:val="000000"/>
          <w:sz w:val="24"/>
          <w:szCs w:val="24"/>
        </w:rPr>
        <w:t> </w:t>
      </w:r>
      <w:r w:rsidR="00835753" w:rsidRPr="00835753">
        <w:rPr>
          <w:rFonts w:ascii="Times New Roman" w:hAnsi="Times New Roman"/>
          <w:color w:val="000000"/>
          <w:sz w:val="24"/>
          <w:szCs w:val="24"/>
        </w:rPr>
        <w:t>w</w:t>
      </w:r>
      <w:r w:rsidR="00835753">
        <w:rPr>
          <w:rFonts w:ascii="Times New Roman" w:hAnsi="Times New Roman"/>
          <w:color w:val="000000"/>
          <w:sz w:val="24"/>
          <w:szCs w:val="24"/>
        </w:rPr>
        <w:t> </w:t>
      </w:r>
      <w:r w:rsidR="00835753" w:rsidRPr="00835753">
        <w:rPr>
          <w:rFonts w:ascii="Times New Roman" w:hAnsi="Times New Roman"/>
          <w:color w:val="000000"/>
          <w:sz w:val="24"/>
          <w:szCs w:val="24"/>
        </w:rPr>
        <w:t>kol</w:t>
      </w:r>
      <w:r w:rsidRPr="00835753">
        <w:rPr>
          <w:rFonts w:ascii="Times New Roman" w:hAnsi="Times New Roman"/>
          <w:color w:val="000000"/>
          <w:sz w:val="24"/>
          <w:szCs w:val="24"/>
        </w:rPr>
        <w:t>umnie b) wartości wierszy za poprzedni okres, za który informacje podlegają ujawnieniu.</w:t>
      </w:r>
    </w:p>
    <w:p w14:paraId="38B8FA6B" w14:textId="0EB04C2E" w:rsidR="000A7015" w:rsidRPr="00835753" w:rsidRDefault="000A7015" w:rsidP="00076626">
      <w:pPr>
        <w:pStyle w:val="ListParagraph"/>
        <w:numPr>
          <w:ilvl w:val="0"/>
          <w:numId w:val="28"/>
        </w:numPr>
        <w:spacing w:after="120"/>
        <w:ind w:left="426"/>
        <w:jc w:val="both"/>
        <w:rPr>
          <w:rFonts w:ascii="Times New Roman" w:hAnsi="Times New Roman"/>
          <w:color w:val="000000"/>
          <w:sz w:val="24"/>
        </w:rPr>
      </w:pPr>
      <w:r w:rsidRPr="00835753">
        <w:rPr>
          <w:rFonts w:ascii="Times New Roman" w:hAnsi="Times New Roman"/>
          <w:color w:val="000000"/>
          <w:sz w:val="24"/>
          <w:szCs w:val="24"/>
        </w:rPr>
        <w:t>Instytucje wyjaśniają</w:t>
      </w:r>
      <w:r w:rsidR="00835753" w:rsidRPr="00835753">
        <w:rPr>
          <w:rFonts w:ascii="Times New Roman" w:hAnsi="Times New Roman"/>
          <w:color w:val="000000"/>
          <w:sz w:val="24"/>
          <w:szCs w:val="24"/>
        </w:rPr>
        <w:t xml:space="preserve"> w</w:t>
      </w:r>
      <w:r w:rsidR="00835753">
        <w:rPr>
          <w:rFonts w:ascii="Times New Roman" w:hAnsi="Times New Roman"/>
          <w:color w:val="000000"/>
          <w:sz w:val="24"/>
          <w:szCs w:val="24"/>
        </w:rPr>
        <w:t> </w:t>
      </w:r>
      <w:r w:rsidR="00835753" w:rsidRPr="00835753">
        <w:rPr>
          <w:rFonts w:ascii="Times New Roman" w:hAnsi="Times New Roman"/>
          <w:color w:val="000000"/>
          <w:sz w:val="24"/>
          <w:szCs w:val="24"/>
        </w:rPr>
        <w:t>opi</w:t>
      </w:r>
      <w:r w:rsidRPr="00835753">
        <w:rPr>
          <w:rFonts w:ascii="Times New Roman" w:hAnsi="Times New Roman"/>
          <w:color w:val="000000"/>
          <w:sz w:val="24"/>
          <w:szCs w:val="24"/>
        </w:rPr>
        <w:t>sie dołączonym do wzoru strukturę kredytów preferencyjnych ujawnionych</w:t>
      </w:r>
      <w:r w:rsidR="00835753" w:rsidRPr="00835753">
        <w:rPr>
          <w:rFonts w:ascii="Times New Roman" w:hAnsi="Times New Roman"/>
          <w:color w:val="000000"/>
          <w:sz w:val="24"/>
          <w:szCs w:val="24"/>
        </w:rPr>
        <w:t xml:space="preserve"> w</w:t>
      </w:r>
      <w:r w:rsidR="00835753">
        <w:rPr>
          <w:rFonts w:ascii="Times New Roman" w:hAnsi="Times New Roman"/>
          <w:color w:val="000000"/>
          <w:sz w:val="24"/>
          <w:szCs w:val="24"/>
        </w:rPr>
        <w:t> </w:t>
      </w:r>
      <w:r w:rsidR="00835753" w:rsidRPr="00835753">
        <w:rPr>
          <w:rFonts w:ascii="Times New Roman" w:hAnsi="Times New Roman"/>
          <w:color w:val="000000"/>
          <w:sz w:val="24"/>
          <w:szCs w:val="24"/>
        </w:rPr>
        <w:t>wie</w:t>
      </w:r>
      <w:r w:rsidRPr="00835753">
        <w:rPr>
          <w:rFonts w:ascii="Times New Roman" w:hAnsi="Times New Roman"/>
          <w:color w:val="000000"/>
          <w:sz w:val="24"/>
          <w:szCs w:val="24"/>
        </w:rPr>
        <w:t>rszach EU-22d i EU-22e niniejszego wzoru,</w:t>
      </w:r>
      <w:r w:rsidR="00835753" w:rsidRPr="00835753">
        <w:rPr>
          <w:rFonts w:ascii="Times New Roman" w:hAnsi="Times New Roman"/>
          <w:color w:val="000000"/>
          <w:sz w:val="24"/>
          <w:szCs w:val="24"/>
        </w:rPr>
        <w:t xml:space="preserve"> w</w:t>
      </w:r>
      <w:r w:rsidR="00835753">
        <w:rPr>
          <w:rFonts w:ascii="Times New Roman" w:hAnsi="Times New Roman"/>
          <w:color w:val="000000"/>
          <w:sz w:val="24"/>
          <w:szCs w:val="24"/>
        </w:rPr>
        <w:t> </w:t>
      </w:r>
      <w:r w:rsidR="00835753" w:rsidRPr="00835753">
        <w:rPr>
          <w:rFonts w:ascii="Times New Roman" w:hAnsi="Times New Roman"/>
          <w:color w:val="000000"/>
          <w:sz w:val="24"/>
          <w:szCs w:val="24"/>
        </w:rPr>
        <w:t>tym</w:t>
      </w:r>
      <w:r w:rsidRPr="00835753">
        <w:rPr>
          <w:rFonts w:ascii="Times New Roman" w:hAnsi="Times New Roman"/>
          <w:color w:val="000000"/>
          <w:sz w:val="24"/>
          <w:szCs w:val="24"/>
        </w:rPr>
        <w:t xml:space="preserve"> informacje według rodzaju kontrahenta.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835753"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E917C69" w:rsidR="000A7015" w:rsidRPr="00835753" w:rsidRDefault="000A7015" w:rsidP="001E06A3">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0A7015" w:rsidRPr="00835753" w14:paraId="3272E529" w14:textId="77777777" w:rsidTr="001E06A3">
        <w:trPr>
          <w:trHeight w:val="238"/>
        </w:trPr>
        <w:tc>
          <w:tcPr>
            <w:tcW w:w="1384" w:type="dxa"/>
            <w:shd w:val="clear" w:color="auto" w:fill="D9D9D9" w:themeFill="background1" w:themeFillShade="D9"/>
          </w:tcPr>
          <w:p w14:paraId="37C231CF" w14:textId="77777777" w:rsidR="000A7015" w:rsidRPr="00835753" w:rsidRDefault="000A7015" w:rsidP="001E06A3">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2FFDB0C3" w14:textId="77777777" w:rsidR="000A7015" w:rsidRPr="00835753" w:rsidRDefault="000A7015" w:rsidP="001E06A3">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0A7015" w:rsidRPr="00835753" w14:paraId="03257AD3" w14:textId="77777777" w:rsidTr="001E06A3">
        <w:trPr>
          <w:trHeight w:val="708"/>
        </w:trPr>
        <w:tc>
          <w:tcPr>
            <w:tcW w:w="1384" w:type="dxa"/>
            <w:vAlign w:val="center"/>
          </w:tcPr>
          <w:p w14:paraId="7CCE11D5"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1</w:t>
            </w:r>
          </w:p>
        </w:tc>
        <w:tc>
          <w:tcPr>
            <w:tcW w:w="7655" w:type="dxa"/>
          </w:tcPr>
          <w:p w14:paraId="088F2493" w14:textId="50AC682C"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Pozycje bilansowe (z wyłączeniem instrumentów pochodnych i SFT, ale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uwz</w:t>
            </w:r>
            <w:r w:rsidRPr="00835753">
              <w:rPr>
                <w:rStyle w:val="TeksttreciPogrubienie"/>
                <w:rFonts w:ascii="Times New Roman" w:hAnsi="Times New Roman"/>
                <w:sz w:val="24"/>
                <w:szCs w:val="24"/>
              </w:rPr>
              <w:t>ględnieniem zabezpieczenia)</w:t>
            </w:r>
          </w:p>
          <w:p w14:paraId="767AC92E" w14:textId="2170341F"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4</w:t>
            </w:r>
            <w:r w:rsidRPr="00835753">
              <w:rPr>
                <w:rFonts w:ascii="Times New Roman" w:hAnsi="Times New Roman"/>
                <w:sz w:val="24"/>
                <w:szCs w:val="24"/>
              </w:rPr>
              <w:t>29b CRR</w:t>
            </w:r>
          </w:p>
          <w:p w14:paraId="5F84E93D" w14:textId="530B9020"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wszystkie aktywa, inne niż kontrakty wymienione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zał</w:t>
            </w:r>
            <w:r w:rsidRPr="00835753">
              <w:rPr>
                <w:rFonts w:ascii="Times New Roman" w:hAnsi="Times New Roman"/>
                <w:sz w:val="24"/>
                <w:szCs w:val="24"/>
              </w:rPr>
              <w:t>ączniku II do CRR, kredytowe instrumenty pochodne oraz SFT. Instytucje przeprowadzają wycenę tych aktywów na podstawie zasad określonych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 ust.</w:t>
            </w:r>
            <w:r w:rsidR="00835753" w:rsidRPr="00835753">
              <w:rPr>
                <w:rFonts w:ascii="Times New Roman" w:hAnsi="Times New Roman"/>
                <w:sz w:val="24"/>
                <w:szCs w:val="24"/>
              </w:rPr>
              <w:t> </w:t>
            </w:r>
            <w:r w:rsidRPr="00835753">
              <w:rPr>
                <w:rFonts w:ascii="Times New Roman" w:hAnsi="Times New Roman"/>
                <w:sz w:val="24"/>
                <w:szCs w:val="24"/>
              </w:rPr>
              <w:t>7</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429b ust.</w:t>
            </w:r>
            <w:r w:rsidR="00835753" w:rsidRPr="00835753">
              <w:rPr>
                <w:rFonts w:ascii="Times New Roman" w:hAnsi="Times New Roman"/>
                <w:sz w:val="24"/>
                <w:szCs w:val="24"/>
              </w:rPr>
              <w:t> </w:t>
            </w:r>
            <w:r w:rsidRPr="00835753">
              <w:rPr>
                <w:rFonts w:ascii="Times New Roman" w:hAnsi="Times New Roman"/>
                <w:sz w:val="24"/>
                <w:szCs w:val="24"/>
              </w:rPr>
              <w:t xml:space="preserve">1 CRR. </w:t>
            </w:r>
          </w:p>
          <w:p w14:paraId="08F4A8FF" w14:textId="178C6F54"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uwzględniają</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tyc</w:t>
            </w:r>
            <w:r w:rsidRPr="00835753">
              <w:rPr>
                <w:rFonts w:ascii="Times New Roman" w:hAnsi="Times New Roman"/>
                <w:sz w:val="24"/>
                <w:szCs w:val="24"/>
              </w:rPr>
              <w:t>h obliczeniach,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sto</w:t>
            </w:r>
            <w:r w:rsidRPr="00835753">
              <w:rPr>
                <w:rFonts w:ascii="Times New Roman" w:hAnsi="Times New Roman"/>
                <w:sz w:val="24"/>
                <w:szCs w:val="24"/>
              </w:rPr>
              <w:t>sownych przypadkach, art.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i), m) i n) CRR, art.</w:t>
            </w:r>
            <w:r w:rsidR="00835753" w:rsidRPr="00835753">
              <w:rPr>
                <w:rFonts w:ascii="Times New Roman" w:hAnsi="Times New Roman"/>
                <w:sz w:val="24"/>
                <w:szCs w:val="24"/>
              </w:rPr>
              <w:t> </w:t>
            </w:r>
            <w:r w:rsidRPr="00835753">
              <w:rPr>
                <w:rFonts w:ascii="Times New Roman" w:hAnsi="Times New Roman"/>
                <w:sz w:val="24"/>
                <w:szCs w:val="24"/>
              </w:rPr>
              <w:t>429g</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 ust.</w:t>
            </w:r>
            <w:r w:rsidR="00835753" w:rsidRPr="00835753">
              <w:rPr>
                <w:rFonts w:ascii="Times New Roman" w:hAnsi="Times New Roman"/>
                <w:sz w:val="24"/>
                <w:szCs w:val="24"/>
              </w:rPr>
              <w:t> </w:t>
            </w:r>
            <w:r w:rsidRPr="00835753">
              <w:rPr>
                <w:rFonts w:ascii="Times New Roman" w:hAnsi="Times New Roman"/>
                <w:sz w:val="24"/>
                <w:szCs w:val="24"/>
              </w:rPr>
              <w:t xml:space="preserve">4 akapit ostatni CRR. </w:t>
            </w:r>
          </w:p>
          <w:p w14:paraId="2D03FE54" w14:textId="0A781E4A"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tej komórce instytucje uwzględniają otrzymane środki pieniężne lub wszelkie papiery wartościowe przekazane kontrahentowi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ram</w:t>
            </w:r>
            <w:r w:rsidRPr="00835753">
              <w:rPr>
                <w:rFonts w:ascii="Times New Roman" w:hAnsi="Times New Roman"/>
                <w:sz w:val="24"/>
                <w:szCs w:val="24"/>
              </w:rPr>
              <w:t>ach SFT</w:t>
            </w:r>
            <w:r w:rsidR="00835753" w:rsidRPr="00835753">
              <w:rPr>
                <w:rFonts w:ascii="Times New Roman" w:hAnsi="Times New Roman"/>
                <w:sz w:val="24"/>
                <w:szCs w:val="24"/>
              </w:rPr>
              <w:t xml:space="preserve"> </w:t>
            </w:r>
            <w:r w:rsidR="00835753" w:rsidRPr="00835753">
              <w:rPr>
                <w:rFonts w:ascii="Times New Roman" w:hAnsi="Times New Roman"/>
                <w:sz w:val="24"/>
                <w:szCs w:val="24"/>
              </w:rPr>
              <w:lastRenderedPageBreak/>
              <w:t>i</w:t>
            </w:r>
            <w:r w:rsidR="00835753">
              <w:rPr>
                <w:rFonts w:ascii="Times New Roman" w:hAnsi="Times New Roman"/>
                <w:sz w:val="24"/>
                <w:szCs w:val="24"/>
              </w:rPr>
              <w:t> </w:t>
            </w:r>
            <w:r w:rsidR="00835753" w:rsidRPr="00835753">
              <w:rPr>
                <w:rFonts w:ascii="Times New Roman" w:hAnsi="Times New Roman"/>
                <w:sz w:val="24"/>
                <w:szCs w:val="24"/>
              </w:rPr>
              <w:t>zac</w:t>
            </w:r>
            <w:r w:rsidRPr="00835753">
              <w:rPr>
                <w:rFonts w:ascii="Times New Roman" w:hAnsi="Times New Roman"/>
                <w:sz w:val="24"/>
                <w:szCs w:val="24"/>
              </w:rPr>
              <w:t>howane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bil</w:t>
            </w:r>
            <w:r w:rsidRPr="00835753">
              <w:rPr>
                <w:rFonts w:ascii="Times New Roman" w:hAnsi="Times New Roman"/>
                <w:sz w:val="24"/>
                <w:szCs w:val="24"/>
              </w:rPr>
              <w:t>ansie (tj. nie zostały spełnione kryteria rachunkowości dotyczące usunięcia</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bil</w:t>
            </w:r>
            <w:r w:rsidRPr="00835753">
              <w:rPr>
                <w:rFonts w:ascii="Times New Roman" w:hAnsi="Times New Roman"/>
                <w:sz w:val="24"/>
                <w:szCs w:val="24"/>
              </w:rPr>
              <w:t>ansu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maj</w:t>
            </w:r>
            <w:r w:rsidRPr="00835753">
              <w:rPr>
                <w:rFonts w:ascii="Times New Roman" w:hAnsi="Times New Roman"/>
                <w:sz w:val="24"/>
                <w:szCs w:val="24"/>
              </w:rPr>
              <w:t>ącymi zastosowanie standardami rachunkowości).</w:t>
            </w:r>
          </w:p>
          <w:p w14:paraId="0D409F21" w14:textId="56927FB9"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nie uwzględniają</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tyc</w:t>
            </w:r>
            <w:r w:rsidRPr="00835753">
              <w:rPr>
                <w:rFonts w:ascii="Times New Roman" w:hAnsi="Times New Roman"/>
                <w:sz w:val="24"/>
                <w:szCs w:val="24"/>
              </w:rPr>
              <w:t>h obliczeniach art.</w:t>
            </w:r>
            <w:r w:rsidR="00835753" w:rsidRPr="00835753">
              <w:rPr>
                <w:rFonts w:ascii="Times New Roman" w:hAnsi="Times New Roman"/>
                <w:sz w:val="24"/>
                <w:szCs w:val="24"/>
              </w:rPr>
              <w:t> </w:t>
            </w:r>
            <w:r w:rsidRPr="00835753">
              <w:rPr>
                <w:rFonts w:ascii="Times New Roman" w:hAnsi="Times New Roman"/>
                <w:sz w:val="24"/>
                <w:szCs w:val="24"/>
              </w:rPr>
              <w:t>429 ust.</w:t>
            </w:r>
            <w:r w:rsidR="00835753" w:rsidRPr="00835753">
              <w:rPr>
                <w:rFonts w:ascii="Times New Roman" w:hAnsi="Times New Roman"/>
                <w:sz w:val="24"/>
                <w:szCs w:val="24"/>
              </w:rPr>
              <w:t> </w:t>
            </w:r>
            <w:r w:rsidRPr="00835753">
              <w:rPr>
                <w:rFonts w:ascii="Times New Roman" w:hAnsi="Times New Roman"/>
                <w:sz w:val="24"/>
                <w:szCs w:val="24"/>
              </w:rPr>
              <w:t>8</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a</w:t>
            </w:r>
            <w:proofErr w:type="gramStart"/>
            <w:r w:rsidRPr="00835753">
              <w:rPr>
                <w:rFonts w:ascii="Times New Roman" w:hAnsi="Times New Roman"/>
                <w:sz w:val="24"/>
                <w:szCs w:val="24"/>
              </w:rPr>
              <w:t>)–h</w:t>
            </w:r>
            <w:proofErr w:type="gramEnd"/>
            <w:r w:rsidRPr="00835753">
              <w:rPr>
                <w:rFonts w:ascii="Times New Roman" w:hAnsi="Times New Roman"/>
                <w:sz w:val="24"/>
                <w:szCs w:val="24"/>
              </w:rPr>
              <w:t>), j) i k) CRR, tzn. nie obniżają kwoty podlegającej ujawnieniu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 o te wyłączenia. </w:t>
            </w:r>
          </w:p>
        </w:tc>
      </w:tr>
      <w:tr w:rsidR="000A7015" w:rsidRPr="00835753" w14:paraId="3890DFD4" w14:textId="77777777" w:rsidTr="001E06A3">
        <w:trPr>
          <w:trHeight w:val="708"/>
        </w:trPr>
        <w:tc>
          <w:tcPr>
            <w:tcW w:w="1384" w:type="dxa"/>
            <w:vAlign w:val="center"/>
          </w:tcPr>
          <w:p w14:paraId="4FE5AF38"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2</w:t>
            </w:r>
          </w:p>
        </w:tc>
        <w:tc>
          <w:tcPr>
            <w:tcW w:w="7655" w:type="dxa"/>
          </w:tcPr>
          <w:p w14:paraId="397FC486" w14:textId="0D2C18A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Ubruttowienie przekazanego zabezpieczenia instrumentów pochodnych, jeżeli odliczono je od aktywów bilansowych zgodnie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maj</w:t>
            </w:r>
            <w:r w:rsidRPr="00835753">
              <w:rPr>
                <w:rStyle w:val="TeksttreciPogrubienie"/>
                <w:rFonts w:ascii="Times New Roman" w:hAnsi="Times New Roman"/>
                <w:sz w:val="24"/>
                <w:szCs w:val="24"/>
              </w:rPr>
              <w:t>ącymi zastosowanie standardami rachunkowości</w:t>
            </w:r>
          </w:p>
          <w:p w14:paraId="75A3169A"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429c ust. 2 CRR</w:t>
            </w:r>
          </w:p>
          <w:p w14:paraId="0CA70E8E" w14:textId="31DA3F2A"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kwotę wszelkich zabezpieczeń instrumentów pochodnych, pod warunkiem że udzielenie takiego zabezpieczenia zmniejsza kwotę aktywów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maj</w:t>
            </w:r>
            <w:r w:rsidRPr="00835753">
              <w:rPr>
                <w:rFonts w:ascii="Times New Roman" w:hAnsi="Times New Roman"/>
                <w:sz w:val="24"/>
                <w:szCs w:val="24"/>
              </w:rPr>
              <w:t>ącymi zastosowanie standardami rachunkowości, jak określono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429c ust.</w:t>
            </w:r>
            <w:r w:rsidR="00835753" w:rsidRPr="00835753">
              <w:rPr>
                <w:rFonts w:ascii="Times New Roman" w:hAnsi="Times New Roman"/>
                <w:sz w:val="24"/>
                <w:szCs w:val="24"/>
              </w:rPr>
              <w:t> </w:t>
            </w:r>
            <w:r w:rsidRPr="00835753">
              <w:rPr>
                <w:rFonts w:ascii="Times New Roman" w:hAnsi="Times New Roman"/>
                <w:sz w:val="24"/>
                <w:szCs w:val="24"/>
              </w:rPr>
              <w:t>2 CRR.</w:t>
            </w:r>
          </w:p>
          <w:p w14:paraId="7FE613C1" w14:textId="0EF8C526"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Fonts w:ascii="Times New Roman" w:hAnsi="Times New Roman"/>
                <w:sz w:val="24"/>
                <w:szCs w:val="24"/>
              </w:rPr>
              <w:t>W tej komórce instytucje nie uwzględniają początkowego depozytu zabezpieczającego</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rozliczanych za pośrednictwem klienta transakcji na instrumentach pochodnych zawieranych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kwa</w:t>
            </w:r>
            <w:r w:rsidRPr="00835753">
              <w:rPr>
                <w:rFonts w:ascii="Times New Roman" w:hAnsi="Times New Roman"/>
                <w:sz w:val="24"/>
                <w:szCs w:val="24"/>
              </w:rPr>
              <w:t>lifikującym się kontrahentem centralnym ani kwalifikującego się zmiennego depozytu zabezpieczającego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got</w:t>
            </w:r>
            <w:r w:rsidRPr="00835753">
              <w:rPr>
                <w:rFonts w:ascii="Times New Roman" w:hAnsi="Times New Roman"/>
                <w:sz w:val="24"/>
                <w:szCs w:val="24"/>
              </w:rPr>
              <w:t>ówce,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def</w:t>
            </w:r>
            <w:r w:rsidRPr="00835753">
              <w:rPr>
                <w:rFonts w:ascii="Times New Roman" w:hAnsi="Times New Roman"/>
                <w:sz w:val="24"/>
                <w:szCs w:val="24"/>
              </w:rPr>
              <w:t>inicją zawartą</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 429c ust. 3 CRR.</w:t>
            </w:r>
          </w:p>
        </w:tc>
      </w:tr>
      <w:tr w:rsidR="000A7015" w:rsidRPr="00835753" w14:paraId="0E145AC4" w14:textId="77777777" w:rsidTr="001E06A3">
        <w:trPr>
          <w:trHeight w:val="708"/>
        </w:trPr>
        <w:tc>
          <w:tcPr>
            <w:tcW w:w="1384" w:type="dxa"/>
            <w:vAlign w:val="center"/>
          </w:tcPr>
          <w:p w14:paraId="28E7A6A7"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3</w:t>
            </w:r>
          </w:p>
        </w:tc>
        <w:tc>
          <w:tcPr>
            <w:tcW w:w="7655" w:type="dxa"/>
          </w:tcPr>
          <w:p w14:paraId="59F117F4" w14:textId="7E8A3CBB"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(Odliczenia aktywów</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wierzytelności</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odn</w:t>
            </w:r>
            <w:r w:rsidRPr="00835753">
              <w:rPr>
                <w:rStyle w:val="TeksttreciPogrubienie"/>
                <w:rFonts w:ascii="Times New Roman" w:hAnsi="Times New Roman"/>
                <w:sz w:val="24"/>
                <w:szCs w:val="24"/>
              </w:rPr>
              <w:t>iesieniu do zmiennego depozytu zabezpieczającego</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got</w:t>
            </w:r>
            <w:r w:rsidRPr="00835753">
              <w:rPr>
                <w:rStyle w:val="TeksttreciPogrubienie"/>
                <w:rFonts w:ascii="Times New Roman" w:hAnsi="Times New Roman"/>
                <w:sz w:val="24"/>
                <w:szCs w:val="24"/>
              </w:rPr>
              <w:t>ówce zapewnionego</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tra</w:t>
            </w:r>
            <w:r w:rsidRPr="00835753">
              <w:rPr>
                <w:rStyle w:val="TeksttreciPogrubienie"/>
                <w:rFonts w:ascii="Times New Roman" w:hAnsi="Times New Roman"/>
                <w:sz w:val="24"/>
                <w:szCs w:val="24"/>
              </w:rPr>
              <w:t>nsakcjach na instrumentach pochodnych)</w:t>
            </w:r>
          </w:p>
          <w:p w14:paraId="1130C9D4"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429c ust. 3 CRR</w:t>
            </w:r>
          </w:p>
          <w:p w14:paraId="17BB89DB" w14:textId="0DFB5690"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wierzytelności</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zmiennego depozytu zabezpieczającego wypłacane kontrahentowi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got</w:t>
            </w:r>
            <w:r w:rsidRPr="00835753">
              <w:rPr>
                <w:rFonts w:ascii="Times New Roman" w:hAnsi="Times New Roman"/>
                <w:sz w:val="24"/>
                <w:szCs w:val="24"/>
              </w:rPr>
              <w:t>ówce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ram</w:t>
            </w:r>
            <w:r w:rsidRPr="00835753">
              <w:rPr>
                <w:rFonts w:ascii="Times New Roman" w:hAnsi="Times New Roman"/>
                <w:sz w:val="24"/>
                <w:szCs w:val="24"/>
              </w:rPr>
              <w:t>ach transakcji na instrumentach pochodnych, jeżeli instytucja jest zobowiązana,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maj</w:t>
            </w:r>
            <w:r w:rsidRPr="00835753">
              <w:rPr>
                <w:rFonts w:ascii="Times New Roman" w:hAnsi="Times New Roman"/>
                <w:sz w:val="24"/>
                <w:szCs w:val="24"/>
              </w:rPr>
              <w:t>ącymi zastosowanie standardami rachunkowości, do ujęcia tych wierzytelności jako aktywa,</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ile</w:t>
            </w:r>
            <w:r w:rsidRPr="00835753">
              <w:rPr>
                <w:rFonts w:ascii="Times New Roman" w:hAnsi="Times New Roman"/>
                <w:sz w:val="24"/>
                <w:szCs w:val="24"/>
              </w:rPr>
              <w:t xml:space="preserve"> spełniono warunki określone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429c ust.</w:t>
            </w:r>
            <w:r w:rsidR="00835753" w:rsidRPr="00835753">
              <w:rPr>
                <w:rFonts w:ascii="Times New Roman" w:hAnsi="Times New Roman"/>
                <w:sz w:val="24"/>
                <w:szCs w:val="24"/>
              </w:rPr>
              <w:t> </w:t>
            </w:r>
            <w:r w:rsidRPr="00835753">
              <w:rPr>
                <w:rFonts w:ascii="Times New Roman" w:hAnsi="Times New Roman"/>
                <w:sz w:val="24"/>
                <w:szCs w:val="24"/>
              </w:rPr>
              <w:t>3 lit.</w:t>
            </w:r>
            <w:r w:rsidR="00835753" w:rsidRPr="00835753">
              <w:rPr>
                <w:rFonts w:ascii="Times New Roman" w:hAnsi="Times New Roman"/>
                <w:sz w:val="24"/>
                <w:szCs w:val="24"/>
              </w:rPr>
              <w:t> </w:t>
            </w:r>
            <w:r w:rsidRPr="00835753">
              <w:rPr>
                <w:rFonts w:ascii="Times New Roman" w:hAnsi="Times New Roman"/>
                <w:sz w:val="24"/>
                <w:szCs w:val="24"/>
              </w:rPr>
              <w:t>a</w:t>
            </w:r>
            <w:proofErr w:type="gramStart"/>
            <w:r w:rsidRPr="00835753">
              <w:rPr>
                <w:rFonts w:ascii="Times New Roman" w:hAnsi="Times New Roman"/>
                <w:sz w:val="24"/>
                <w:szCs w:val="24"/>
              </w:rPr>
              <w:t>)–e</w:t>
            </w:r>
            <w:proofErr w:type="gramEnd"/>
            <w:r w:rsidRPr="00835753">
              <w:rPr>
                <w:rFonts w:ascii="Times New Roman" w:hAnsi="Times New Roman"/>
                <w:sz w:val="24"/>
                <w:szCs w:val="24"/>
              </w:rPr>
              <w:t>) CRR.</w:t>
            </w:r>
          </w:p>
          <w:p w14:paraId="10A4671C" w14:textId="7802793E"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korekta ta zmniejsza miarę ekspozycji całkowitej,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7628AEFF" w14:textId="77777777" w:rsidTr="001E06A3">
        <w:trPr>
          <w:trHeight w:val="1417"/>
        </w:trPr>
        <w:tc>
          <w:tcPr>
            <w:tcW w:w="1384" w:type="dxa"/>
            <w:vAlign w:val="center"/>
          </w:tcPr>
          <w:p w14:paraId="3DEAD085"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4</w:t>
            </w:r>
          </w:p>
        </w:tc>
        <w:tc>
          <w:tcPr>
            <w:tcW w:w="7655" w:type="dxa"/>
          </w:tcPr>
          <w:p w14:paraId="744E4472" w14:textId="3A1F5A7F"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(Korekta</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papierów wartościowych otrzymanych</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ram</w:t>
            </w:r>
            <w:r w:rsidRPr="00835753">
              <w:rPr>
                <w:rStyle w:val="TeksttreciPogrubienie"/>
                <w:rFonts w:ascii="Times New Roman" w:hAnsi="Times New Roman"/>
                <w:sz w:val="24"/>
                <w:szCs w:val="24"/>
              </w:rPr>
              <w:t>ach transakcji finansowanych</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uży</w:t>
            </w:r>
            <w:r w:rsidRPr="00835753">
              <w:rPr>
                <w:rStyle w:val="TeksttreciPogrubienie"/>
                <w:rFonts w:ascii="Times New Roman" w:hAnsi="Times New Roman"/>
                <w:sz w:val="24"/>
                <w:szCs w:val="24"/>
              </w:rPr>
              <w:t>ciem papierów wartościowych, które ujmuje się jako aktywa)</w:t>
            </w:r>
          </w:p>
          <w:p w14:paraId="79A4CA36" w14:textId="5A1B5CCE"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35753">
              <w:rPr>
                <w:rStyle w:val="TeksttreciPogrubienie"/>
                <w:rFonts w:ascii="Times New Roman" w:hAnsi="Times New Roman"/>
                <w:b w:val="0"/>
                <w:sz w:val="24"/>
                <w:szCs w:val="24"/>
              </w:rPr>
              <w:t>Korekta</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tyt</w:t>
            </w:r>
            <w:r w:rsidRPr="00835753">
              <w:rPr>
                <w:rStyle w:val="TeksttreciPogrubienie"/>
                <w:rFonts w:ascii="Times New Roman" w:hAnsi="Times New Roman"/>
                <w:b w:val="0"/>
                <w:sz w:val="24"/>
                <w:szCs w:val="24"/>
              </w:rPr>
              <w:t>ułu papierów wartościowych otrzymanych</w:t>
            </w:r>
            <w:r w:rsidR="00835753" w:rsidRPr="00835753">
              <w:rPr>
                <w:rStyle w:val="TeksttreciPogrubienie"/>
                <w:rFonts w:ascii="Times New Roman" w:hAnsi="Times New Roman"/>
                <w:b w:val="0"/>
                <w:sz w:val="24"/>
                <w:szCs w:val="24"/>
              </w:rPr>
              <w:t xml:space="preserve"> w</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ram</w:t>
            </w:r>
            <w:r w:rsidRPr="00835753">
              <w:rPr>
                <w:rStyle w:val="TeksttreciPogrubienie"/>
                <w:rFonts w:ascii="Times New Roman" w:hAnsi="Times New Roman"/>
                <w:b w:val="0"/>
                <w:sz w:val="24"/>
                <w:szCs w:val="24"/>
              </w:rPr>
              <w:t>ach transakcji finansowanej</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uży</w:t>
            </w:r>
            <w:r w:rsidRPr="00835753">
              <w:rPr>
                <w:rStyle w:val="TeksttreciPogrubienie"/>
                <w:rFonts w:ascii="Times New Roman" w:hAnsi="Times New Roman"/>
                <w:b w:val="0"/>
                <w:sz w:val="24"/>
                <w:szCs w:val="24"/>
              </w:rPr>
              <w:t>ciem papierów wartościowych, pod warunkiem że bank ujął te papiery wartościowe</w:t>
            </w:r>
            <w:r w:rsidR="00835753" w:rsidRPr="00835753">
              <w:rPr>
                <w:rStyle w:val="TeksttreciPogrubienie"/>
                <w:rFonts w:ascii="Times New Roman" w:hAnsi="Times New Roman"/>
                <w:b w:val="0"/>
                <w:sz w:val="24"/>
                <w:szCs w:val="24"/>
              </w:rPr>
              <w:t xml:space="preserve"> w</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swo</w:t>
            </w:r>
            <w:r w:rsidRPr="00835753">
              <w:rPr>
                <w:rStyle w:val="TeksttreciPogrubienie"/>
                <w:rFonts w:ascii="Times New Roman" w:hAnsi="Times New Roman"/>
                <w:b w:val="0"/>
                <w:sz w:val="24"/>
                <w:szCs w:val="24"/>
              </w:rPr>
              <w:t>im bilansie jako aktywa. Kwoty te należy wyłączyć</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mia</w:t>
            </w:r>
            <w:r w:rsidRPr="00835753">
              <w:rPr>
                <w:rStyle w:val="TeksttreciPogrubienie"/>
                <w:rFonts w:ascii="Times New Roman" w:hAnsi="Times New Roman"/>
                <w:b w:val="0"/>
                <w:sz w:val="24"/>
                <w:szCs w:val="24"/>
              </w:rPr>
              <w:t>ry ekspozycji całkowitej zgodnie</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art</w:t>
            </w:r>
            <w:r w:rsidRPr="00835753">
              <w:rPr>
                <w:rStyle w:val="TeksttreciPogrubienie"/>
                <w:rFonts w:ascii="Times New Roman" w:hAnsi="Times New Roman"/>
                <w:b w:val="0"/>
                <w:sz w:val="24"/>
                <w:szCs w:val="24"/>
              </w:rPr>
              <w:t>.</w:t>
            </w:r>
            <w:r w:rsidR="00835753" w:rsidRPr="00835753">
              <w:rPr>
                <w:rStyle w:val="TeksttreciPogrubienie"/>
                <w:rFonts w:ascii="Times New Roman" w:hAnsi="Times New Roman"/>
                <w:b w:val="0"/>
                <w:sz w:val="24"/>
                <w:szCs w:val="24"/>
              </w:rPr>
              <w:t> </w:t>
            </w:r>
            <w:r w:rsidRPr="00835753">
              <w:rPr>
                <w:rStyle w:val="TeksttreciPogrubienie"/>
                <w:rFonts w:ascii="Times New Roman" w:hAnsi="Times New Roman"/>
                <w:b w:val="0"/>
                <w:sz w:val="24"/>
                <w:szCs w:val="24"/>
              </w:rPr>
              <w:t>429e ust.</w:t>
            </w:r>
            <w:r w:rsidR="00835753" w:rsidRPr="00835753">
              <w:rPr>
                <w:rStyle w:val="TeksttreciPogrubienie"/>
                <w:rFonts w:ascii="Times New Roman" w:hAnsi="Times New Roman"/>
                <w:b w:val="0"/>
                <w:sz w:val="24"/>
                <w:szCs w:val="24"/>
              </w:rPr>
              <w:t> </w:t>
            </w:r>
            <w:r w:rsidRPr="00835753">
              <w:rPr>
                <w:rStyle w:val="TeksttreciPogrubienie"/>
                <w:rFonts w:ascii="Times New Roman" w:hAnsi="Times New Roman"/>
                <w:b w:val="0"/>
                <w:sz w:val="24"/>
                <w:szCs w:val="24"/>
              </w:rPr>
              <w:t>6 CRR.</w:t>
            </w:r>
          </w:p>
          <w:p w14:paraId="41EE831C" w14:textId="73E961DA"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b w:val="0"/>
                <w:sz w:val="24"/>
                <w:szCs w:val="24"/>
              </w:rPr>
              <w:t>W związku</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tym</w:t>
            </w:r>
            <w:r w:rsidRPr="00835753">
              <w:rPr>
                <w:rStyle w:val="TeksttreciPogrubienie"/>
                <w:rFonts w:ascii="Times New Roman" w:hAnsi="Times New Roman"/>
                <w:b w:val="0"/>
                <w:sz w:val="24"/>
                <w:szCs w:val="24"/>
              </w:rPr>
              <w:t>, że korekty te zmniejszają miarę ekspozycji całkowitej, instytucje umieszczają tę wartość</w:t>
            </w:r>
            <w:r w:rsidR="00835753" w:rsidRPr="00835753">
              <w:rPr>
                <w:rStyle w:val="TeksttreciPogrubienie"/>
                <w:rFonts w:ascii="Times New Roman" w:hAnsi="Times New Roman"/>
                <w:b w:val="0"/>
                <w:sz w:val="24"/>
                <w:szCs w:val="24"/>
              </w:rPr>
              <w:t xml:space="preserve"> w</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tym</w:t>
            </w:r>
            <w:r w:rsidRPr="00835753">
              <w:rPr>
                <w:rStyle w:val="TeksttreciPogrubienie"/>
                <w:rFonts w:ascii="Times New Roman" w:hAnsi="Times New Roman"/>
                <w:b w:val="0"/>
                <w:sz w:val="24"/>
                <w:szCs w:val="24"/>
              </w:rPr>
              <w:t xml:space="preserve"> wierszu</w:t>
            </w:r>
            <w:r w:rsidR="00835753" w:rsidRPr="00835753">
              <w:rPr>
                <w:rStyle w:val="TeksttreciPogrubienie"/>
                <w:rFonts w:ascii="Times New Roman" w:hAnsi="Times New Roman"/>
                <w:b w:val="0"/>
                <w:sz w:val="24"/>
                <w:szCs w:val="24"/>
              </w:rPr>
              <w:t xml:space="preserve"> w</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naw</w:t>
            </w:r>
            <w:r w:rsidRPr="00835753">
              <w:rPr>
                <w:rStyle w:val="TeksttreciPogrubienie"/>
                <w:rFonts w:ascii="Times New Roman" w:hAnsi="Times New Roman"/>
                <w:b w:val="0"/>
                <w:sz w:val="24"/>
                <w:szCs w:val="24"/>
              </w:rPr>
              <w:t xml:space="preserve">iasach (kwota </w:t>
            </w:r>
            <w:r w:rsidRPr="00835753">
              <w:rPr>
                <w:rStyle w:val="TeksttreciPogrubienie"/>
                <w:rFonts w:ascii="Times New Roman" w:hAnsi="Times New Roman"/>
                <w:b w:val="0"/>
                <w:sz w:val="24"/>
                <w:szCs w:val="24"/>
              </w:rPr>
              <w:lastRenderedPageBreak/>
              <w:t>ujemna).</w:t>
            </w:r>
          </w:p>
        </w:tc>
      </w:tr>
      <w:tr w:rsidR="000A7015" w:rsidRPr="00835753" w14:paraId="6E3D844A" w14:textId="77777777" w:rsidTr="001E06A3">
        <w:trPr>
          <w:trHeight w:val="1417"/>
        </w:trPr>
        <w:tc>
          <w:tcPr>
            <w:tcW w:w="1384" w:type="dxa"/>
            <w:vAlign w:val="center"/>
          </w:tcPr>
          <w:p w14:paraId="11CE6713"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5</w:t>
            </w:r>
          </w:p>
        </w:tc>
        <w:tc>
          <w:tcPr>
            <w:tcW w:w="7655" w:type="dxa"/>
          </w:tcPr>
          <w:p w14:paraId="3654EFE3" w14:textId="5E9C00BD"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(Korekty</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ogólnego ryzyka kredytowego do pozycji bilansowych)</w:t>
            </w:r>
          </w:p>
          <w:p w14:paraId="7383A2D7" w14:textId="482AFDA1"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35753">
              <w:rPr>
                <w:rStyle w:val="TeksttreciPogrubienie"/>
                <w:rFonts w:ascii="Times New Roman" w:hAnsi="Times New Roman"/>
                <w:b w:val="0"/>
                <w:sz w:val="24"/>
                <w:szCs w:val="24"/>
              </w:rPr>
              <w:t>Kwota korekt</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tyt</w:t>
            </w:r>
            <w:r w:rsidRPr="00835753">
              <w:rPr>
                <w:rStyle w:val="TeksttreciPogrubienie"/>
                <w:rFonts w:ascii="Times New Roman" w:hAnsi="Times New Roman"/>
                <w:b w:val="0"/>
                <w:sz w:val="24"/>
                <w:szCs w:val="24"/>
              </w:rPr>
              <w:t>ułu ogólnego ryzyka kredytowego odnoszących się do pozycji bilansowych,</w:t>
            </w:r>
            <w:r w:rsidR="00835753" w:rsidRPr="00835753">
              <w:rPr>
                <w:rStyle w:val="TeksttreciPogrubienie"/>
                <w:rFonts w:ascii="Times New Roman" w:hAnsi="Times New Roman"/>
                <w:b w:val="0"/>
                <w:sz w:val="24"/>
                <w:szCs w:val="24"/>
              </w:rPr>
              <w:t xml:space="preserve"> o</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któ</w:t>
            </w:r>
            <w:r w:rsidRPr="00835753">
              <w:rPr>
                <w:rStyle w:val="TeksttreciPogrubienie"/>
                <w:rFonts w:ascii="Times New Roman" w:hAnsi="Times New Roman"/>
                <w:b w:val="0"/>
                <w:sz w:val="24"/>
                <w:szCs w:val="24"/>
              </w:rPr>
              <w:t>rych mowa</w:t>
            </w:r>
            <w:r w:rsidR="00835753" w:rsidRPr="00835753">
              <w:rPr>
                <w:rStyle w:val="TeksttreciPogrubienie"/>
                <w:rFonts w:ascii="Times New Roman" w:hAnsi="Times New Roman"/>
                <w:b w:val="0"/>
                <w:sz w:val="24"/>
                <w:szCs w:val="24"/>
              </w:rPr>
              <w:t xml:space="preserve"> w</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art</w:t>
            </w:r>
            <w:r w:rsidRPr="00835753">
              <w:rPr>
                <w:rStyle w:val="TeksttreciPogrubienie"/>
                <w:rFonts w:ascii="Times New Roman" w:hAnsi="Times New Roman"/>
                <w:b w:val="0"/>
                <w:sz w:val="24"/>
                <w:szCs w:val="24"/>
              </w:rPr>
              <w:t>.</w:t>
            </w:r>
            <w:r w:rsidR="00835753" w:rsidRPr="00835753">
              <w:rPr>
                <w:rStyle w:val="TeksttreciPogrubienie"/>
                <w:rFonts w:ascii="Times New Roman" w:hAnsi="Times New Roman"/>
                <w:b w:val="0"/>
                <w:sz w:val="24"/>
                <w:szCs w:val="24"/>
              </w:rPr>
              <w:t> </w:t>
            </w:r>
            <w:r w:rsidRPr="00835753">
              <w:rPr>
                <w:rStyle w:val="TeksttreciPogrubienie"/>
                <w:rFonts w:ascii="Times New Roman" w:hAnsi="Times New Roman"/>
                <w:b w:val="0"/>
                <w:sz w:val="24"/>
                <w:szCs w:val="24"/>
              </w:rPr>
              <w:t>429 ust.</w:t>
            </w:r>
            <w:r w:rsidR="00835753" w:rsidRPr="00835753">
              <w:rPr>
                <w:rStyle w:val="TeksttreciPogrubienie"/>
                <w:rFonts w:ascii="Times New Roman" w:hAnsi="Times New Roman"/>
                <w:b w:val="0"/>
                <w:sz w:val="24"/>
                <w:szCs w:val="24"/>
              </w:rPr>
              <w:t> </w:t>
            </w:r>
            <w:r w:rsidRPr="00835753">
              <w:rPr>
                <w:rStyle w:val="TeksttreciPogrubienie"/>
                <w:rFonts w:ascii="Times New Roman" w:hAnsi="Times New Roman"/>
                <w:b w:val="0"/>
                <w:sz w:val="24"/>
                <w:szCs w:val="24"/>
              </w:rPr>
              <w:t>4 lit.</w:t>
            </w:r>
            <w:r w:rsidR="00835753" w:rsidRPr="00835753">
              <w:rPr>
                <w:rStyle w:val="TeksttreciPogrubienie"/>
                <w:rFonts w:ascii="Times New Roman" w:hAnsi="Times New Roman"/>
                <w:b w:val="0"/>
                <w:sz w:val="24"/>
                <w:szCs w:val="24"/>
              </w:rPr>
              <w:t> </w:t>
            </w:r>
            <w:r w:rsidRPr="00835753">
              <w:rPr>
                <w:rStyle w:val="TeksttreciPogrubienie"/>
                <w:rFonts w:ascii="Times New Roman" w:hAnsi="Times New Roman"/>
                <w:b w:val="0"/>
                <w:sz w:val="24"/>
                <w:szCs w:val="24"/>
              </w:rPr>
              <w:t>a) CRR, które instytucje odliczają zgodnie</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art</w:t>
            </w:r>
            <w:r w:rsidRPr="00835753">
              <w:rPr>
                <w:rStyle w:val="TeksttreciPogrubienie"/>
                <w:rFonts w:ascii="Times New Roman" w:hAnsi="Times New Roman"/>
                <w:b w:val="0"/>
                <w:sz w:val="24"/>
                <w:szCs w:val="24"/>
              </w:rPr>
              <w:t>.</w:t>
            </w:r>
            <w:r w:rsidR="00835753" w:rsidRPr="00835753">
              <w:rPr>
                <w:rStyle w:val="TeksttreciPogrubienie"/>
                <w:rFonts w:ascii="Times New Roman" w:hAnsi="Times New Roman"/>
                <w:b w:val="0"/>
                <w:sz w:val="24"/>
                <w:szCs w:val="24"/>
              </w:rPr>
              <w:t> </w:t>
            </w:r>
            <w:r w:rsidRPr="00835753">
              <w:rPr>
                <w:rStyle w:val="TeksttreciPogrubienie"/>
                <w:rFonts w:ascii="Times New Roman" w:hAnsi="Times New Roman"/>
                <w:b w:val="0"/>
                <w:sz w:val="24"/>
                <w:szCs w:val="24"/>
              </w:rPr>
              <w:t>429 ust.</w:t>
            </w:r>
            <w:r w:rsidR="00835753" w:rsidRPr="00835753">
              <w:rPr>
                <w:rStyle w:val="TeksttreciPogrubienie"/>
                <w:rFonts w:ascii="Times New Roman" w:hAnsi="Times New Roman"/>
                <w:b w:val="0"/>
                <w:sz w:val="24"/>
                <w:szCs w:val="24"/>
              </w:rPr>
              <w:t> </w:t>
            </w:r>
            <w:r w:rsidRPr="00835753">
              <w:rPr>
                <w:rStyle w:val="TeksttreciPogrubienie"/>
                <w:rFonts w:ascii="Times New Roman" w:hAnsi="Times New Roman"/>
                <w:b w:val="0"/>
                <w:sz w:val="24"/>
                <w:szCs w:val="24"/>
              </w:rPr>
              <w:t>4 akapit ostatni CRR.</w:t>
            </w:r>
          </w:p>
          <w:p w14:paraId="1C0B07F8" w14:textId="5C929DBE"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b w:val="0"/>
                <w:sz w:val="24"/>
                <w:szCs w:val="24"/>
              </w:rPr>
              <w:t>W związku</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tym</w:t>
            </w:r>
            <w:r w:rsidRPr="00835753">
              <w:rPr>
                <w:rStyle w:val="TeksttreciPogrubienie"/>
                <w:rFonts w:ascii="Times New Roman" w:hAnsi="Times New Roman"/>
                <w:b w:val="0"/>
                <w:sz w:val="24"/>
                <w:szCs w:val="24"/>
              </w:rPr>
              <w:t>, że korekty te zmniejszają miarę ekspozycji całkowitej, instytucje umieszczają tę wartość</w:t>
            </w:r>
            <w:r w:rsidR="00835753" w:rsidRPr="00835753">
              <w:rPr>
                <w:rStyle w:val="TeksttreciPogrubienie"/>
                <w:rFonts w:ascii="Times New Roman" w:hAnsi="Times New Roman"/>
                <w:b w:val="0"/>
                <w:sz w:val="24"/>
                <w:szCs w:val="24"/>
              </w:rPr>
              <w:t xml:space="preserve"> w</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tym</w:t>
            </w:r>
            <w:r w:rsidRPr="00835753">
              <w:rPr>
                <w:rStyle w:val="TeksttreciPogrubienie"/>
                <w:rFonts w:ascii="Times New Roman" w:hAnsi="Times New Roman"/>
                <w:b w:val="0"/>
                <w:sz w:val="24"/>
                <w:szCs w:val="24"/>
              </w:rPr>
              <w:t xml:space="preserve"> wierszu</w:t>
            </w:r>
            <w:r w:rsidR="00835753" w:rsidRPr="00835753">
              <w:rPr>
                <w:rStyle w:val="TeksttreciPogrubienie"/>
                <w:rFonts w:ascii="Times New Roman" w:hAnsi="Times New Roman"/>
                <w:b w:val="0"/>
                <w:sz w:val="24"/>
                <w:szCs w:val="24"/>
              </w:rPr>
              <w:t xml:space="preserve"> w</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naw</w:t>
            </w:r>
            <w:r w:rsidRPr="00835753">
              <w:rPr>
                <w:rStyle w:val="TeksttreciPogrubienie"/>
                <w:rFonts w:ascii="Times New Roman" w:hAnsi="Times New Roman"/>
                <w:b w:val="0"/>
                <w:sz w:val="24"/>
                <w:szCs w:val="24"/>
              </w:rPr>
              <w:t>iasach (kwota ujemna).</w:t>
            </w:r>
          </w:p>
        </w:tc>
      </w:tr>
      <w:tr w:rsidR="000A7015" w:rsidRPr="00835753" w14:paraId="24A5ED6A" w14:textId="77777777" w:rsidTr="001E06A3">
        <w:trPr>
          <w:trHeight w:val="1417"/>
        </w:trPr>
        <w:tc>
          <w:tcPr>
            <w:tcW w:w="1384" w:type="dxa"/>
            <w:vAlign w:val="center"/>
          </w:tcPr>
          <w:p w14:paraId="49090ADC"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6</w:t>
            </w:r>
          </w:p>
        </w:tc>
        <w:tc>
          <w:tcPr>
            <w:tcW w:w="7655" w:type="dxa"/>
          </w:tcPr>
          <w:p w14:paraId="7AF27D0C"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(Kwoty aktywów odliczane przy ustalaniu kapitału Tier I)</w:t>
            </w:r>
          </w:p>
          <w:p w14:paraId="43B4417A" w14:textId="1AF45DE0"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a) i b) oraz art.</w:t>
            </w:r>
            <w:r w:rsidR="00835753" w:rsidRPr="00835753">
              <w:rPr>
                <w:rFonts w:ascii="Times New Roman" w:hAnsi="Times New Roman"/>
                <w:sz w:val="24"/>
                <w:szCs w:val="24"/>
              </w:rPr>
              <w:t> </w:t>
            </w:r>
            <w:r w:rsidRPr="00835753">
              <w:rPr>
                <w:rFonts w:ascii="Times New Roman" w:hAnsi="Times New Roman"/>
                <w:sz w:val="24"/>
                <w:szCs w:val="24"/>
              </w:rPr>
              <w:t>499 ust.</w:t>
            </w:r>
            <w:r w:rsidR="00835753" w:rsidRPr="00835753">
              <w:rPr>
                <w:rFonts w:ascii="Times New Roman" w:hAnsi="Times New Roman"/>
                <w:sz w:val="24"/>
                <w:szCs w:val="24"/>
              </w:rPr>
              <w:t> </w:t>
            </w:r>
            <w:r w:rsidRPr="00835753">
              <w:rPr>
                <w:rFonts w:ascii="Times New Roman" w:hAnsi="Times New Roman"/>
                <w:sz w:val="24"/>
                <w:szCs w:val="24"/>
              </w:rPr>
              <w:t>2 CRR</w:t>
            </w:r>
          </w:p>
          <w:p w14:paraId="7540B292" w14:textId="69722EF4"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kwotę regulacyjnych korekt wartości dotyczących kwot Tier I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wyb</w:t>
            </w:r>
            <w:r w:rsidRPr="00835753">
              <w:rPr>
                <w:rFonts w:ascii="Times New Roman" w:hAnsi="Times New Roman"/>
                <w:sz w:val="24"/>
                <w:szCs w:val="24"/>
              </w:rPr>
              <w:t>orem dokonanym na podstawie art.</w:t>
            </w:r>
            <w:r w:rsidR="00835753" w:rsidRPr="00835753">
              <w:rPr>
                <w:rFonts w:ascii="Times New Roman" w:hAnsi="Times New Roman"/>
                <w:sz w:val="24"/>
                <w:szCs w:val="24"/>
              </w:rPr>
              <w:t> </w:t>
            </w:r>
            <w:r w:rsidRPr="00835753">
              <w:rPr>
                <w:rFonts w:ascii="Times New Roman" w:hAnsi="Times New Roman"/>
                <w:sz w:val="24"/>
                <w:szCs w:val="24"/>
              </w:rPr>
              <w:t>499 ust.</w:t>
            </w:r>
            <w:r w:rsidR="00835753" w:rsidRPr="00835753">
              <w:rPr>
                <w:rFonts w:ascii="Times New Roman" w:hAnsi="Times New Roman"/>
                <w:sz w:val="24"/>
                <w:szCs w:val="24"/>
              </w:rPr>
              <w:t> </w:t>
            </w:r>
            <w:r w:rsidRPr="00835753">
              <w:rPr>
                <w:rFonts w:ascii="Times New Roman" w:hAnsi="Times New Roman"/>
                <w:sz w:val="24"/>
                <w:szCs w:val="24"/>
              </w:rPr>
              <w:t>2 CRR.</w:t>
            </w:r>
          </w:p>
          <w:p w14:paraId="4E0F6F4B"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Dokładniej rzecz ujmując, instytucje ujawniają wartość sumy wszystkich korekt dotyczących wartości aktywów, które są wymagane na podstawie następujących artykułów:</w:t>
            </w:r>
          </w:p>
          <w:p w14:paraId="412D6B95" w14:textId="118A3135" w:rsidR="000A7015" w:rsidRPr="00835753"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proofErr w:type="gramStart"/>
            <w:r w:rsidRPr="00835753">
              <w:rPr>
                <w:rFonts w:ascii="Times New Roman" w:hAnsi="Times New Roman"/>
                <w:sz w:val="24"/>
                <w:szCs w:val="24"/>
              </w:rPr>
              <w:t>art</w:t>
            </w:r>
            <w:proofErr w:type="gramEnd"/>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32–35 CRR lub</w:t>
            </w:r>
          </w:p>
          <w:p w14:paraId="06851D15" w14:textId="5FD88022" w:rsidR="000A7015" w:rsidRPr="00835753"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proofErr w:type="gramStart"/>
            <w:r w:rsidRPr="00835753">
              <w:rPr>
                <w:rFonts w:ascii="Times New Roman" w:hAnsi="Times New Roman"/>
                <w:sz w:val="24"/>
                <w:szCs w:val="24"/>
              </w:rPr>
              <w:t>art</w:t>
            </w:r>
            <w:proofErr w:type="gramEnd"/>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36–47 CRR, lub</w:t>
            </w:r>
          </w:p>
          <w:p w14:paraId="3BB95BF6" w14:textId="3FE8E5EB" w:rsidR="000A7015" w:rsidRPr="00835753"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proofErr w:type="gramStart"/>
            <w:r w:rsidRPr="00835753">
              <w:rPr>
                <w:rFonts w:ascii="Times New Roman" w:hAnsi="Times New Roman"/>
                <w:sz w:val="24"/>
                <w:szCs w:val="24"/>
              </w:rPr>
              <w:t>art</w:t>
            </w:r>
            <w:proofErr w:type="gramEnd"/>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56–60 CRR,</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zal</w:t>
            </w:r>
            <w:r w:rsidRPr="00835753">
              <w:rPr>
                <w:rFonts w:ascii="Times New Roman" w:hAnsi="Times New Roman"/>
                <w:sz w:val="24"/>
                <w:szCs w:val="24"/>
              </w:rPr>
              <w:t>eżności od przypadku.</w:t>
            </w:r>
          </w:p>
          <w:p w14:paraId="5109C216" w14:textId="3E5913F8"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uwzględniają</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tej</w:t>
            </w:r>
            <w:r w:rsidRPr="00835753">
              <w:rPr>
                <w:rFonts w:ascii="Times New Roman" w:hAnsi="Times New Roman"/>
                <w:sz w:val="24"/>
                <w:szCs w:val="24"/>
              </w:rPr>
              <w:t xml:space="preserve"> komórce kwotę,</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któ</w:t>
            </w:r>
            <w:r w:rsidRPr="00835753">
              <w:rPr>
                <w:rFonts w:ascii="Times New Roman" w:hAnsi="Times New Roman"/>
                <w:sz w:val="24"/>
                <w:szCs w:val="24"/>
              </w:rPr>
              <w:t>rej mowa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a) CRR.</w:t>
            </w:r>
          </w:p>
          <w:p w14:paraId="7E679809" w14:textId="201C3865"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przypadku gdy decyzja</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uja</w:t>
            </w:r>
            <w:r w:rsidRPr="00835753">
              <w:rPr>
                <w:rFonts w:ascii="Times New Roman" w:hAnsi="Times New Roman"/>
                <w:sz w:val="24"/>
                <w:szCs w:val="24"/>
              </w:rPr>
              <w:t>wnieniu kapitału Tier I jest podejmowana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499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a) CRR, instytucje uwzględniają wyłączenia, opcje alternatywne</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ods</w:t>
            </w:r>
            <w:r w:rsidRPr="00835753">
              <w:rPr>
                <w:rFonts w:ascii="Times New Roman" w:hAnsi="Times New Roman"/>
                <w:sz w:val="24"/>
                <w:szCs w:val="24"/>
              </w:rPr>
              <w:t>tępstwa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odn</w:t>
            </w:r>
            <w:r w:rsidRPr="00835753">
              <w:rPr>
                <w:rFonts w:ascii="Times New Roman" w:hAnsi="Times New Roman"/>
                <w:sz w:val="24"/>
                <w:szCs w:val="24"/>
              </w:rPr>
              <w:t>iesieniu do takich odliczeń, określone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48, 49</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7</w:t>
            </w:r>
            <w:r w:rsidRPr="00835753">
              <w:rPr>
                <w:rFonts w:ascii="Times New Roman" w:hAnsi="Times New Roman"/>
                <w:sz w:val="24"/>
                <w:szCs w:val="24"/>
              </w:rPr>
              <w:t>9 CRR, bez uwzględniania odstępstwa określonego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 dziesiątej tytuł I rozdziały 1</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2</w:t>
            </w:r>
            <w:r w:rsidRPr="00835753">
              <w:rPr>
                <w:rFonts w:ascii="Times New Roman" w:hAnsi="Times New Roman"/>
                <w:sz w:val="24"/>
                <w:szCs w:val="24"/>
              </w:rPr>
              <w:t xml:space="preserve"> CRR. Natomiast,</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ypadku gdy decyzja</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uja</w:t>
            </w:r>
            <w:r w:rsidRPr="00835753">
              <w:rPr>
                <w:rFonts w:ascii="Times New Roman" w:hAnsi="Times New Roman"/>
                <w:sz w:val="24"/>
                <w:szCs w:val="24"/>
              </w:rPr>
              <w:t>wnieniu kapitału Tier I jest podejmowana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499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b) CRR, instytucje uwzględniają wyłączenia, opcje alternatywne</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ods</w:t>
            </w:r>
            <w:r w:rsidRPr="00835753">
              <w:rPr>
                <w:rFonts w:ascii="Times New Roman" w:hAnsi="Times New Roman"/>
                <w:sz w:val="24"/>
                <w:szCs w:val="24"/>
              </w:rPr>
              <w:t>tępstwa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odn</w:t>
            </w:r>
            <w:r w:rsidRPr="00835753">
              <w:rPr>
                <w:rFonts w:ascii="Times New Roman" w:hAnsi="Times New Roman"/>
                <w:sz w:val="24"/>
                <w:szCs w:val="24"/>
              </w:rPr>
              <w:t>iesieniu do takich odliczeń, określone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48, 49</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7</w:t>
            </w:r>
            <w:r w:rsidRPr="00835753">
              <w:rPr>
                <w:rFonts w:ascii="Times New Roman" w:hAnsi="Times New Roman"/>
                <w:sz w:val="24"/>
                <w:szCs w:val="24"/>
              </w:rPr>
              <w:t>9 CRR, oprócz uwzględniania odstępstw określonych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 dziesiątej tytuł I rozdziały 1</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2</w:t>
            </w:r>
            <w:r w:rsidRPr="00835753">
              <w:rPr>
                <w:rFonts w:ascii="Times New Roman" w:hAnsi="Times New Roman"/>
                <w:sz w:val="24"/>
                <w:szCs w:val="24"/>
              </w:rPr>
              <w:t xml:space="preserve"> CRR.</w:t>
            </w:r>
          </w:p>
          <w:p w14:paraId="67408D80" w14:textId="52BC93FD"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celu uniknięcia podwójnego liczenia instytucje nie ujawniają korekt już zastosowanych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111 CRR podczas obliczania wartości ekspozycji ani korekt, które nie stanowią odliczenia wartości określonego składnika aktywów.</w:t>
            </w:r>
          </w:p>
          <w:p w14:paraId="328147A2" w14:textId="10DC6D4B"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b w:val="0"/>
                <w:sz w:val="24"/>
                <w:szCs w:val="24"/>
              </w:rPr>
              <w:t>W związku</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tym</w:t>
            </w:r>
            <w:r w:rsidRPr="00835753">
              <w:rPr>
                <w:rStyle w:val="TeksttreciPogrubienie"/>
                <w:rFonts w:ascii="Times New Roman" w:hAnsi="Times New Roman"/>
                <w:b w:val="0"/>
                <w:sz w:val="24"/>
                <w:szCs w:val="24"/>
              </w:rPr>
              <w:t>, że kwota</w:t>
            </w:r>
            <w:r w:rsidR="00835753" w:rsidRPr="00835753">
              <w:rPr>
                <w:rStyle w:val="TeksttreciPogrubienie"/>
                <w:rFonts w:ascii="Times New Roman" w:hAnsi="Times New Roman"/>
                <w:b w:val="0"/>
                <w:sz w:val="24"/>
                <w:szCs w:val="24"/>
              </w:rPr>
              <w:t xml:space="preserve"> w</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tym</w:t>
            </w:r>
            <w:r w:rsidRPr="00835753">
              <w:rPr>
                <w:rStyle w:val="TeksttreciPogrubienie"/>
                <w:rFonts w:ascii="Times New Roman" w:hAnsi="Times New Roman"/>
                <w:b w:val="0"/>
                <w:sz w:val="24"/>
                <w:szCs w:val="24"/>
              </w:rPr>
              <w:t xml:space="preserve"> wierszu zmniejsza miarę ekspozycji całkowitej,</w:t>
            </w:r>
            <w:r w:rsidRPr="00835753">
              <w:rPr>
                <w:rFonts w:ascii="Times New Roman" w:hAnsi="Times New Roman"/>
                <w:sz w:val="24"/>
                <w:szCs w:val="24"/>
              </w:rPr>
              <w:t xml:space="preserve">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tej</w:t>
            </w:r>
            <w:r w:rsidRPr="00835753">
              <w:rPr>
                <w:rFonts w:ascii="Times New Roman" w:hAnsi="Times New Roman"/>
                <w:sz w:val="24"/>
                <w:szCs w:val="24"/>
              </w:rPr>
              <w:t xml:space="preserve"> komórce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4CB14AB0" w14:textId="77777777" w:rsidTr="001E06A3">
        <w:trPr>
          <w:trHeight w:val="694"/>
        </w:trPr>
        <w:tc>
          <w:tcPr>
            <w:tcW w:w="1384" w:type="dxa"/>
            <w:vAlign w:val="center"/>
          </w:tcPr>
          <w:p w14:paraId="0C91D400"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7</w:t>
            </w:r>
          </w:p>
        </w:tc>
        <w:tc>
          <w:tcPr>
            <w:tcW w:w="7655" w:type="dxa"/>
          </w:tcPr>
          <w:p w14:paraId="517ECB55" w14:textId="77777777"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 xml:space="preserve">Ekspozycje bilansowe ogółem (z wyłączeniem instrumentów pochodnych i SFT) </w:t>
            </w:r>
          </w:p>
          <w:p w14:paraId="084B52B9"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835753">
              <w:rPr>
                <w:rStyle w:val="TeksttreciPogrubienie"/>
                <w:rFonts w:ascii="Times New Roman" w:hAnsi="Times New Roman"/>
                <w:b w:val="0"/>
                <w:sz w:val="24"/>
                <w:szCs w:val="24"/>
              </w:rPr>
              <w:t>Suma wierszy 1–6</w:t>
            </w:r>
          </w:p>
        </w:tc>
      </w:tr>
      <w:tr w:rsidR="000A7015" w:rsidRPr="00835753" w14:paraId="2062E1CD" w14:textId="77777777" w:rsidTr="001E06A3">
        <w:trPr>
          <w:trHeight w:val="1559"/>
        </w:trPr>
        <w:tc>
          <w:tcPr>
            <w:tcW w:w="1384" w:type="dxa"/>
            <w:vAlign w:val="center"/>
          </w:tcPr>
          <w:p w14:paraId="488B26B7"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8</w:t>
            </w:r>
          </w:p>
        </w:tc>
        <w:tc>
          <w:tcPr>
            <w:tcW w:w="7655" w:type="dxa"/>
          </w:tcPr>
          <w:p w14:paraId="1D592016" w14:textId="580ACEDD"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Koszt odtworzenia związany</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tra</w:t>
            </w:r>
            <w:r w:rsidRPr="00835753">
              <w:rPr>
                <w:rStyle w:val="TeksttreciPogrubienie"/>
                <w:rFonts w:ascii="Times New Roman" w:hAnsi="Times New Roman"/>
                <w:sz w:val="24"/>
                <w:szCs w:val="24"/>
              </w:rPr>
              <w:t>nsakcjami zgodnymi</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met</w:t>
            </w:r>
            <w:r w:rsidRPr="00835753">
              <w:rPr>
                <w:rStyle w:val="TeksttreciPogrubienie"/>
                <w:rFonts w:ascii="Times New Roman" w:hAnsi="Times New Roman"/>
                <w:sz w:val="24"/>
                <w:szCs w:val="24"/>
              </w:rPr>
              <w:t>odą standardową dotyczącą CCR (tj. pomniejszony</w:t>
            </w:r>
            <w:r w:rsidR="00835753" w:rsidRPr="00835753">
              <w:rPr>
                <w:rStyle w:val="TeksttreciPogrubienie"/>
                <w:rFonts w:ascii="Times New Roman" w:hAnsi="Times New Roman"/>
                <w:sz w:val="24"/>
                <w:szCs w:val="24"/>
              </w:rPr>
              <w:t xml:space="preserve"> o</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kwa</w:t>
            </w:r>
            <w:r w:rsidRPr="00835753">
              <w:rPr>
                <w:rStyle w:val="TeksttreciPogrubienie"/>
                <w:rFonts w:ascii="Times New Roman" w:hAnsi="Times New Roman"/>
                <w:sz w:val="24"/>
                <w:szCs w:val="24"/>
              </w:rPr>
              <w:t>lifikujący się zmienny depozyt zabezpieczający</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got</w:t>
            </w:r>
            <w:r w:rsidRPr="00835753">
              <w:rPr>
                <w:rStyle w:val="TeksttreciPogrubienie"/>
                <w:rFonts w:ascii="Times New Roman" w:hAnsi="Times New Roman"/>
                <w:sz w:val="24"/>
                <w:szCs w:val="24"/>
              </w:rPr>
              <w:t>ówce)</w:t>
            </w:r>
          </w:p>
          <w:p w14:paraId="7F30AB27" w14:textId="044C4D66"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274, 275, 295, 296, 297, 298, 429c</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429c ust.</w:t>
            </w:r>
            <w:r w:rsidR="00835753" w:rsidRPr="00835753">
              <w:rPr>
                <w:rFonts w:ascii="Times New Roman" w:hAnsi="Times New Roman"/>
                <w:sz w:val="24"/>
                <w:szCs w:val="24"/>
              </w:rPr>
              <w:t> </w:t>
            </w:r>
            <w:r w:rsidRPr="00835753">
              <w:rPr>
                <w:rFonts w:ascii="Times New Roman" w:hAnsi="Times New Roman"/>
                <w:sz w:val="24"/>
                <w:szCs w:val="24"/>
              </w:rPr>
              <w:t>3 CRR</w:t>
            </w:r>
          </w:p>
          <w:p w14:paraId="0922FC18" w14:textId="41BE1E5A"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aktualny koszt odtworzenia, określony</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275 ust.</w:t>
            </w:r>
            <w:r w:rsidR="00835753" w:rsidRPr="00835753">
              <w:rPr>
                <w:rFonts w:ascii="Times New Roman" w:hAnsi="Times New Roman"/>
                <w:sz w:val="24"/>
                <w:szCs w:val="24"/>
              </w:rPr>
              <w:t> </w:t>
            </w:r>
            <w:r w:rsidRPr="00835753">
              <w:rPr>
                <w:rFonts w:ascii="Times New Roman" w:hAnsi="Times New Roman"/>
                <w:sz w:val="24"/>
                <w:szCs w:val="24"/>
              </w:rPr>
              <w:t>1, kontraktów wymienionych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zał</w:t>
            </w:r>
            <w:r w:rsidRPr="00835753">
              <w:rPr>
                <w:rFonts w:ascii="Times New Roman" w:hAnsi="Times New Roman"/>
                <w:sz w:val="24"/>
                <w:szCs w:val="24"/>
              </w:rPr>
              <w:t>ączniku II do CRR</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kre</w:t>
            </w:r>
            <w:r w:rsidRPr="00835753">
              <w:rPr>
                <w:rFonts w:ascii="Times New Roman" w:hAnsi="Times New Roman"/>
                <w:sz w:val="24"/>
                <w:szCs w:val="24"/>
              </w:rPr>
              <w:t>dytowych instrumentów pochodnych,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pozabilansowych. Te koszty odtworzenia pomniejsza się</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kwa</w:t>
            </w:r>
            <w:r w:rsidRPr="00835753">
              <w:rPr>
                <w:rFonts w:ascii="Times New Roman" w:hAnsi="Times New Roman"/>
                <w:sz w:val="24"/>
                <w:szCs w:val="24"/>
              </w:rPr>
              <w:t>lifikujący się zmienny depozyt zabezpieczający</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got</w:t>
            </w:r>
            <w:r w:rsidRPr="00835753">
              <w:rPr>
                <w:rFonts w:ascii="Times New Roman" w:hAnsi="Times New Roman"/>
                <w:sz w:val="24"/>
                <w:szCs w:val="24"/>
              </w:rPr>
              <w:t>ówce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429c ust.</w:t>
            </w:r>
            <w:r w:rsidR="00835753" w:rsidRPr="00835753">
              <w:rPr>
                <w:rFonts w:ascii="Times New Roman" w:hAnsi="Times New Roman"/>
                <w:sz w:val="24"/>
                <w:szCs w:val="24"/>
              </w:rPr>
              <w:t> </w:t>
            </w:r>
            <w:r w:rsidRPr="00835753">
              <w:rPr>
                <w:rFonts w:ascii="Times New Roman" w:hAnsi="Times New Roman"/>
                <w:sz w:val="24"/>
                <w:szCs w:val="24"/>
              </w:rPr>
              <w:t>3 CRR, natomiast nie uwzględnia się żadnego zmiennego depozytu zabezpieczającego otrzymanego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got</w:t>
            </w:r>
            <w:r w:rsidRPr="00835753">
              <w:rPr>
                <w:rFonts w:ascii="Times New Roman" w:hAnsi="Times New Roman"/>
                <w:sz w:val="24"/>
                <w:szCs w:val="24"/>
              </w:rPr>
              <w:t>ówce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wyłączonego składnika rozliczanego</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kon</w:t>
            </w:r>
            <w:r w:rsidRPr="00835753">
              <w:rPr>
                <w:rFonts w:ascii="Times New Roman" w:hAnsi="Times New Roman"/>
                <w:sz w:val="24"/>
                <w:szCs w:val="24"/>
              </w:rPr>
              <w:t>trahentem centralnym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g) lub h) CRR.</w:t>
            </w:r>
          </w:p>
          <w:p w14:paraId="1E2DE130" w14:textId="09565EE2"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Jak określono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 429c ust. 1 CRR instytucje mogą brać pod uwagę skutki umów nowacji</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inn</w:t>
            </w:r>
            <w:r w:rsidRPr="00835753">
              <w:rPr>
                <w:rFonts w:ascii="Times New Roman" w:hAnsi="Times New Roman"/>
                <w:sz w:val="24"/>
                <w:szCs w:val="24"/>
              </w:rPr>
              <w:t>ych umów</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kom</w:t>
            </w:r>
            <w:r w:rsidRPr="00835753">
              <w:rPr>
                <w:rFonts w:ascii="Times New Roman" w:hAnsi="Times New Roman"/>
                <w:sz w:val="24"/>
                <w:szCs w:val="24"/>
              </w:rPr>
              <w:t>pensowaniu zobowiązań,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 295 CRR. Kompensowanie międzyproduktowe nie ma zastosowania. Instytucje mogą jednak dokonywać kompensacji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ram</w:t>
            </w:r>
            <w:r w:rsidRPr="00835753">
              <w:rPr>
                <w:rFonts w:ascii="Times New Roman" w:hAnsi="Times New Roman"/>
                <w:sz w:val="24"/>
                <w:szCs w:val="24"/>
              </w:rPr>
              <w:t>ach danej kategorii produktu,</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któ</w:t>
            </w:r>
            <w:r w:rsidRPr="00835753">
              <w:rPr>
                <w:rFonts w:ascii="Times New Roman" w:hAnsi="Times New Roman"/>
                <w:sz w:val="24"/>
                <w:szCs w:val="24"/>
              </w:rPr>
              <w:t>rej mowa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272 pkt</w:t>
            </w:r>
            <w:r w:rsidR="00835753" w:rsidRPr="00835753">
              <w:rPr>
                <w:rFonts w:ascii="Times New Roman" w:hAnsi="Times New Roman"/>
                <w:sz w:val="24"/>
                <w:szCs w:val="24"/>
              </w:rPr>
              <w:t> </w:t>
            </w:r>
            <w:r w:rsidRPr="00835753">
              <w:rPr>
                <w:rFonts w:ascii="Times New Roman" w:hAnsi="Times New Roman"/>
                <w:sz w:val="24"/>
                <w:szCs w:val="24"/>
              </w:rPr>
              <w:t>25 lit.</w:t>
            </w:r>
            <w:r w:rsidR="00835753" w:rsidRPr="00835753">
              <w:rPr>
                <w:rFonts w:ascii="Times New Roman" w:hAnsi="Times New Roman"/>
                <w:sz w:val="24"/>
                <w:szCs w:val="24"/>
              </w:rPr>
              <w:t> </w:t>
            </w:r>
            <w:r w:rsidRPr="00835753">
              <w:rPr>
                <w:rFonts w:ascii="Times New Roman" w:hAnsi="Times New Roman"/>
                <w:sz w:val="24"/>
                <w:szCs w:val="24"/>
              </w:rPr>
              <w:t>c) CRR,</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w</w:t>
            </w:r>
            <w:r w:rsidR="00835753">
              <w:rPr>
                <w:rFonts w:ascii="Times New Roman" w:hAnsi="Times New Roman"/>
                <w:sz w:val="24"/>
                <w:szCs w:val="24"/>
              </w:rPr>
              <w:t> </w:t>
            </w:r>
            <w:r w:rsidR="00835753" w:rsidRPr="00835753">
              <w:rPr>
                <w:rFonts w:ascii="Times New Roman" w:hAnsi="Times New Roman"/>
                <w:sz w:val="24"/>
                <w:szCs w:val="24"/>
              </w:rPr>
              <w:t>ram</w:t>
            </w:r>
            <w:r w:rsidRPr="00835753">
              <w:rPr>
                <w:rFonts w:ascii="Times New Roman" w:hAnsi="Times New Roman"/>
                <w:sz w:val="24"/>
                <w:szCs w:val="24"/>
              </w:rPr>
              <w:t>ach kredytowych instrumentów pochodnych, kiedy są związane umową</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kom</w:t>
            </w:r>
            <w:r w:rsidRPr="00835753">
              <w:rPr>
                <w:rFonts w:ascii="Times New Roman" w:hAnsi="Times New Roman"/>
                <w:sz w:val="24"/>
                <w:szCs w:val="24"/>
              </w:rPr>
              <w:t>pensowaniu międzyproduktowym,</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któ</w:t>
            </w:r>
            <w:r w:rsidRPr="00835753">
              <w:rPr>
                <w:rFonts w:ascii="Times New Roman" w:hAnsi="Times New Roman"/>
                <w:sz w:val="24"/>
                <w:szCs w:val="24"/>
              </w:rPr>
              <w:t>rej mowa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295 lit.</w:t>
            </w:r>
            <w:r w:rsidR="00835753" w:rsidRPr="00835753">
              <w:rPr>
                <w:rFonts w:ascii="Times New Roman" w:hAnsi="Times New Roman"/>
                <w:sz w:val="24"/>
                <w:szCs w:val="24"/>
              </w:rPr>
              <w:t> </w:t>
            </w:r>
            <w:r w:rsidRPr="00835753">
              <w:rPr>
                <w:rFonts w:ascii="Times New Roman" w:hAnsi="Times New Roman"/>
                <w:sz w:val="24"/>
                <w:szCs w:val="24"/>
              </w:rPr>
              <w:t>c) CRR.</w:t>
            </w:r>
          </w:p>
          <w:p w14:paraId="6124B851" w14:textId="33B55916"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nie uwzględniają</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tej</w:t>
            </w:r>
            <w:r w:rsidRPr="00835753">
              <w:rPr>
                <w:rFonts w:ascii="Times New Roman" w:hAnsi="Times New Roman"/>
                <w:sz w:val="24"/>
                <w:szCs w:val="24"/>
              </w:rPr>
              <w:t xml:space="preserve"> komórce umów wycenianych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zas</w:t>
            </w:r>
            <w:r w:rsidRPr="00835753">
              <w:rPr>
                <w:rFonts w:ascii="Times New Roman" w:hAnsi="Times New Roman"/>
                <w:sz w:val="24"/>
                <w:szCs w:val="24"/>
              </w:rPr>
              <w:t>tosowaniem metod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429c ust.</w:t>
            </w:r>
            <w:r w:rsidR="00835753" w:rsidRPr="00835753">
              <w:rPr>
                <w:rFonts w:ascii="Times New Roman" w:hAnsi="Times New Roman"/>
                <w:sz w:val="24"/>
                <w:szCs w:val="24"/>
              </w:rPr>
              <w:t> </w:t>
            </w:r>
            <w:r w:rsidRPr="00835753">
              <w:rPr>
                <w:rFonts w:ascii="Times New Roman" w:hAnsi="Times New Roman"/>
                <w:sz w:val="24"/>
                <w:szCs w:val="24"/>
              </w:rPr>
              <w:t>6, tj. metod określonych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 trzeciej tytuł II rozdział 6 sekcja 4 lub</w:t>
            </w:r>
            <w:r w:rsidR="00835753" w:rsidRPr="00835753">
              <w:rPr>
                <w:rFonts w:ascii="Times New Roman" w:hAnsi="Times New Roman"/>
                <w:sz w:val="24"/>
                <w:szCs w:val="24"/>
              </w:rPr>
              <w:t> </w:t>
            </w:r>
            <w:r w:rsidRPr="00835753">
              <w:rPr>
                <w:rFonts w:ascii="Times New Roman" w:hAnsi="Times New Roman"/>
                <w:sz w:val="24"/>
                <w:szCs w:val="24"/>
              </w:rPr>
              <w:t>5 CRR (uproszczona metoda standardowa dotycząca ryzyka kredytowego kontrahenta lub metoda wyceny pierwotnej ekspozycji).</w:t>
            </w:r>
          </w:p>
          <w:p w14:paraId="58BFD903" w14:textId="53528475"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Przy obliczaniu kosztów odtworzenia instytucje uwzględniają,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429c ust.</w:t>
            </w:r>
            <w:r w:rsidR="00835753" w:rsidRPr="00835753">
              <w:rPr>
                <w:rFonts w:ascii="Times New Roman" w:hAnsi="Times New Roman"/>
                <w:sz w:val="24"/>
                <w:szCs w:val="24"/>
              </w:rPr>
              <w:t> </w:t>
            </w:r>
            <w:r w:rsidRPr="00835753">
              <w:rPr>
                <w:rFonts w:ascii="Times New Roman" w:hAnsi="Times New Roman"/>
                <w:sz w:val="24"/>
                <w:szCs w:val="24"/>
              </w:rPr>
              <w:t>4 CRR, wpływ uznania zabezpieczenia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obl</w:t>
            </w:r>
            <w:r w:rsidRPr="00835753">
              <w:rPr>
                <w:rFonts w:ascii="Times New Roman" w:hAnsi="Times New Roman"/>
                <w:sz w:val="24"/>
                <w:szCs w:val="24"/>
              </w:rPr>
              <w:t>iczeniach wartości niezależnego zabezpieczenia netto na kontrakty na instrumenty pochodne zawarte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kli</w:t>
            </w:r>
            <w:r w:rsidRPr="00835753">
              <w:rPr>
                <w:rFonts w:ascii="Times New Roman" w:hAnsi="Times New Roman"/>
                <w:sz w:val="24"/>
                <w:szCs w:val="24"/>
              </w:rPr>
              <w:t>entami,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 xml:space="preserve">ypadku których kontrakty te rozlicza kwalifikujący się kontrahent centralny. </w:t>
            </w:r>
          </w:p>
          <w:p w14:paraId="52F51CE8" w14:textId="2C873419"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Kwotę ujawnia się</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zas</w:t>
            </w:r>
            <w:r w:rsidRPr="00835753">
              <w:rPr>
                <w:rFonts w:ascii="Times New Roman" w:hAnsi="Times New Roman"/>
                <w:sz w:val="24"/>
                <w:szCs w:val="24"/>
              </w:rPr>
              <w:t>tosowaniem współczynnika alfa wynoszącego 1,4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274 ust.</w:t>
            </w:r>
            <w:r w:rsidR="00835753" w:rsidRPr="00835753">
              <w:rPr>
                <w:rFonts w:ascii="Times New Roman" w:hAnsi="Times New Roman"/>
                <w:sz w:val="24"/>
                <w:szCs w:val="24"/>
              </w:rPr>
              <w:t> </w:t>
            </w:r>
            <w:r w:rsidRPr="00835753">
              <w:rPr>
                <w:rFonts w:ascii="Times New Roman" w:hAnsi="Times New Roman"/>
                <w:sz w:val="24"/>
                <w:szCs w:val="24"/>
              </w:rPr>
              <w:t>2 CRR.</w:t>
            </w:r>
          </w:p>
        </w:tc>
      </w:tr>
      <w:tr w:rsidR="000A7015" w:rsidRPr="00835753" w14:paraId="2C43C6A7" w14:textId="77777777" w:rsidTr="001E06A3">
        <w:trPr>
          <w:trHeight w:val="2265"/>
        </w:trPr>
        <w:tc>
          <w:tcPr>
            <w:tcW w:w="1384" w:type="dxa"/>
            <w:vAlign w:val="center"/>
          </w:tcPr>
          <w:p w14:paraId="0C7D3012"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EU-8a</w:t>
            </w:r>
          </w:p>
        </w:tc>
        <w:tc>
          <w:tcPr>
            <w:tcW w:w="7655" w:type="dxa"/>
          </w:tcPr>
          <w:p w14:paraId="39A9D7AA" w14:textId="5026C783"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35753">
              <w:rPr>
                <w:rFonts w:ascii="Times New Roman" w:hAnsi="Times New Roman"/>
                <w:b/>
                <w:sz w:val="24"/>
                <w:szCs w:val="24"/>
              </w:rPr>
              <w:t>Odstępstwo</w:t>
            </w:r>
            <w:r w:rsidR="00835753" w:rsidRPr="00835753">
              <w:rPr>
                <w:rFonts w:ascii="Times New Roman" w:hAnsi="Times New Roman"/>
                <w:b/>
                <w:sz w:val="24"/>
                <w:szCs w:val="24"/>
              </w:rPr>
              <w:t xml:space="preserve"> w</w:t>
            </w:r>
            <w:r w:rsidR="00835753">
              <w:rPr>
                <w:rFonts w:ascii="Times New Roman" w:hAnsi="Times New Roman"/>
                <w:b/>
                <w:sz w:val="24"/>
                <w:szCs w:val="24"/>
              </w:rPr>
              <w:t> </w:t>
            </w:r>
            <w:r w:rsidR="00835753" w:rsidRPr="00835753">
              <w:rPr>
                <w:rFonts w:ascii="Times New Roman" w:hAnsi="Times New Roman"/>
                <w:b/>
                <w:sz w:val="24"/>
                <w:szCs w:val="24"/>
              </w:rPr>
              <w:t>odn</w:t>
            </w:r>
            <w:r w:rsidRPr="00835753">
              <w:rPr>
                <w:rFonts w:ascii="Times New Roman" w:hAnsi="Times New Roman"/>
                <w:b/>
                <w:sz w:val="24"/>
                <w:szCs w:val="24"/>
              </w:rPr>
              <w:t>iesieniu do instrumentów pochodnych: wkład</w:t>
            </w:r>
            <w:r w:rsidR="00835753" w:rsidRPr="00835753">
              <w:rPr>
                <w:rFonts w:ascii="Times New Roman" w:hAnsi="Times New Roman"/>
                <w:b/>
                <w:sz w:val="24"/>
                <w:szCs w:val="24"/>
              </w:rPr>
              <w:t xml:space="preserve"> z</w:t>
            </w:r>
            <w:r w:rsidR="00835753">
              <w:rPr>
                <w:rFonts w:ascii="Times New Roman" w:hAnsi="Times New Roman"/>
                <w:b/>
                <w:sz w:val="24"/>
                <w:szCs w:val="24"/>
              </w:rPr>
              <w:t> </w:t>
            </w:r>
            <w:r w:rsidR="00835753" w:rsidRPr="00835753">
              <w:rPr>
                <w:rFonts w:ascii="Times New Roman" w:hAnsi="Times New Roman"/>
                <w:b/>
                <w:sz w:val="24"/>
                <w:szCs w:val="24"/>
              </w:rPr>
              <w:t>tyt</w:t>
            </w:r>
            <w:r w:rsidRPr="00835753">
              <w:rPr>
                <w:rFonts w:ascii="Times New Roman" w:hAnsi="Times New Roman"/>
                <w:b/>
                <w:sz w:val="24"/>
                <w:szCs w:val="24"/>
              </w:rPr>
              <w:t>ułu kosztów odtworzenia na podstawie uproszczonej metody standardowej</w:t>
            </w:r>
          </w:p>
          <w:p w14:paraId="43C36648" w14:textId="20F62476"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bCs/>
                <w:sz w:val="24"/>
                <w:szCs w:val="24"/>
              </w:rPr>
              <w:t>Art. 429c ust. 6</w:t>
            </w:r>
            <w:r w:rsidR="00835753" w:rsidRPr="00835753">
              <w:rPr>
                <w:rFonts w:ascii="Times New Roman" w:hAnsi="Times New Roman"/>
                <w:bCs/>
                <w:sz w:val="24"/>
                <w:szCs w:val="24"/>
              </w:rPr>
              <w:t xml:space="preserve"> i</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 281 CRR</w:t>
            </w:r>
          </w:p>
          <w:p w14:paraId="3A37A39C" w14:textId="3A01F71B"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bCs/>
                <w:sz w:val="24"/>
                <w:szCs w:val="24"/>
              </w:rPr>
              <w:t>W komórce tej przedstawiono miarę ekspozycji</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tyt</w:t>
            </w:r>
            <w:r w:rsidRPr="00835753">
              <w:rPr>
                <w:rFonts w:ascii="Times New Roman" w:hAnsi="Times New Roman"/>
                <w:bCs/>
                <w:sz w:val="24"/>
                <w:szCs w:val="24"/>
              </w:rPr>
              <w:t>ułu kontraktów wymienionych</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pkt </w:t>
            </w:r>
            <w:r w:rsidRPr="00835753">
              <w:rPr>
                <w:rFonts w:ascii="Times New Roman" w:hAnsi="Times New Roman"/>
                <w:bCs/>
                <w:sz w:val="24"/>
                <w:szCs w:val="24"/>
              </w:rPr>
              <w:t>1</w:t>
            </w:r>
            <w:r w:rsidR="00835753" w:rsidRPr="00835753">
              <w:rPr>
                <w:rFonts w:ascii="Times New Roman" w:hAnsi="Times New Roman"/>
                <w:bCs/>
                <w:sz w:val="24"/>
                <w:szCs w:val="24"/>
              </w:rPr>
              <w:t xml:space="preserve"> i</w:t>
            </w:r>
            <w:r w:rsidR="00835753">
              <w:rPr>
                <w:rFonts w:ascii="Times New Roman" w:hAnsi="Times New Roman"/>
                <w:bCs/>
                <w:sz w:val="24"/>
                <w:szCs w:val="24"/>
              </w:rPr>
              <w:t> </w:t>
            </w:r>
            <w:r w:rsidR="00835753" w:rsidRPr="00835753">
              <w:rPr>
                <w:rFonts w:ascii="Times New Roman" w:hAnsi="Times New Roman"/>
                <w:bCs/>
                <w:sz w:val="24"/>
                <w:szCs w:val="24"/>
              </w:rPr>
              <w:t>2</w:t>
            </w:r>
            <w:r w:rsidRPr="00835753">
              <w:rPr>
                <w:rFonts w:ascii="Times New Roman" w:hAnsi="Times New Roman"/>
                <w:bCs/>
                <w:sz w:val="24"/>
                <w:szCs w:val="24"/>
              </w:rPr>
              <w:t xml:space="preserve"> załącznika II do CRR obliczoną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upr</w:t>
            </w:r>
            <w:r w:rsidRPr="00835753">
              <w:rPr>
                <w:rFonts w:ascii="Times New Roman" w:hAnsi="Times New Roman"/>
                <w:bCs/>
                <w:sz w:val="24"/>
                <w:szCs w:val="24"/>
              </w:rPr>
              <w:t>oszczoną metodą standardową określoną</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 xml:space="preserve">281 CRR, bez wpływu zabezpieczenia na wartość niezależnego zabezpieczenia netto. Kwotę ujawnia </w:t>
            </w:r>
            <w:r w:rsidRPr="00835753">
              <w:rPr>
                <w:rFonts w:ascii="Times New Roman" w:hAnsi="Times New Roman"/>
                <w:bCs/>
                <w:sz w:val="24"/>
                <w:szCs w:val="24"/>
              </w:rPr>
              <w:lastRenderedPageBreak/>
              <w:t>się</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zas</w:t>
            </w:r>
            <w:r w:rsidRPr="00835753">
              <w:rPr>
                <w:rFonts w:ascii="Times New Roman" w:hAnsi="Times New Roman"/>
                <w:bCs/>
                <w:sz w:val="24"/>
                <w:szCs w:val="24"/>
              </w:rPr>
              <w:t>tosowaniem współczynnika alfa wynoszącego 1,4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274 ust.</w:t>
            </w:r>
            <w:r w:rsidR="00835753" w:rsidRPr="00835753">
              <w:rPr>
                <w:rFonts w:ascii="Times New Roman" w:hAnsi="Times New Roman"/>
                <w:bCs/>
                <w:sz w:val="24"/>
                <w:szCs w:val="24"/>
              </w:rPr>
              <w:t> </w:t>
            </w:r>
            <w:r w:rsidRPr="00835753">
              <w:rPr>
                <w:rFonts w:ascii="Times New Roman" w:hAnsi="Times New Roman"/>
                <w:bCs/>
                <w:sz w:val="24"/>
                <w:szCs w:val="24"/>
              </w:rPr>
              <w:t>2 CRR.</w:t>
            </w:r>
          </w:p>
          <w:p w14:paraId="038C6E25" w14:textId="64C74C76"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bCs/>
                <w:sz w:val="24"/>
                <w:szCs w:val="24"/>
              </w:rPr>
              <w:t>Instytucje, które stosują uproszczoną metodę standardową, nie zmniejszają miary ekspozycji całkowitej</w:t>
            </w:r>
            <w:r w:rsidR="00835753" w:rsidRPr="00835753">
              <w:rPr>
                <w:rFonts w:ascii="Times New Roman" w:hAnsi="Times New Roman"/>
                <w:bCs/>
                <w:sz w:val="24"/>
                <w:szCs w:val="24"/>
              </w:rPr>
              <w:t xml:space="preserve"> o</w:t>
            </w:r>
            <w:r w:rsidR="00835753">
              <w:rPr>
                <w:rFonts w:ascii="Times New Roman" w:hAnsi="Times New Roman"/>
                <w:bCs/>
                <w:sz w:val="24"/>
                <w:szCs w:val="24"/>
              </w:rPr>
              <w:t> </w:t>
            </w:r>
            <w:r w:rsidR="00835753" w:rsidRPr="00835753">
              <w:rPr>
                <w:rFonts w:ascii="Times New Roman" w:hAnsi="Times New Roman"/>
                <w:bCs/>
                <w:sz w:val="24"/>
                <w:szCs w:val="24"/>
              </w:rPr>
              <w:t>kwo</w:t>
            </w:r>
            <w:r w:rsidRPr="00835753">
              <w:rPr>
                <w:rFonts w:ascii="Times New Roman" w:hAnsi="Times New Roman"/>
                <w:bCs/>
                <w:sz w:val="24"/>
                <w:szCs w:val="24"/>
              </w:rPr>
              <w:t>tę depozytu zabezpieczającego otrzymanego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429c ust.</w:t>
            </w:r>
            <w:r w:rsidR="00835753" w:rsidRPr="00835753">
              <w:rPr>
                <w:rFonts w:ascii="Times New Roman" w:hAnsi="Times New Roman"/>
                <w:bCs/>
                <w:sz w:val="24"/>
                <w:szCs w:val="24"/>
              </w:rPr>
              <w:t> </w:t>
            </w:r>
            <w:r w:rsidRPr="00835753">
              <w:rPr>
                <w:rFonts w:ascii="Times New Roman" w:hAnsi="Times New Roman"/>
                <w:bCs/>
                <w:sz w:val="24"/>
                <w:szCs w:val="24"/>
              </w:rPr>
              <w:t>6 CRR</w:t>
            </w:r>
            <w:r w:rsidR="00835753" w:rsidRPr="00835753">
              <w:rPr>
                <w:rFonts w:ascii="Times New Roman" w:hAnsi="Times New Roman"/>
                <w:bCs/>
                <w:sz w:val="24"/>
                <w:szCs w:val="24"/>
              </w:rPr>
              <w:t>.</w:t>
            </w:r>
            <w:r w:rsidR="00835753" w:rsidRPr="00835753">
              <w:rPr>
                <w:rFonts w:ascii="Times New Roman" w:hAnsi="Times New Roman"/>
                <w:sz w:val="24"/>
                <w:szCs w:val="24"/>
              </w:rPr>
              <w:t xml:space="preserve"> </w:t>
            </w:r>
            <w:r w:rsidR="00835753" w:rsidRPr="00835753">
              <w:rPr>
                <w:rFonts w:ascii="Times New Roman" w:hAnsi="Times New Roman"/>
                <w:bCs/>
                <w:sz w:val="24"/>
                <w:szCs w:val="24"/>
              </w:rPr>
              <w:t>W</w:t>
            </w:r>
            <w:r w:rsidR="00835753">
              <w:rPr>
                <w:rFonts w:ascii="Times New Roman" w:hAnsi="Times New Roman"/>
                <w:bCs/>
                <w:sz w:val="24"/>
                <w:szCs w:val="24"/>
              </w:rPr>
              <w:t> </w:t>
            </w:r>
            <w:r w:rsidR="00835753" w:rsidRPr="00835753">
              <w:rPr>
                <w:rFonts w:ascii="Times New Roman" w:hAnsi="Times New Roman"/>
                <w:bCs/>
                <w:sz w:val="24"/>
                <w:szCs w:val="24"/>
              </w:rPr>
              <w:t>zwi</w:t>
            </w:r>
            <w:r w:rsidRPr="00835753">
              <w:rPr>
                <w:rFonts w:ascii="Times New Roman" w:hAnsi="Times New Roman"/>
                <w:bCs/>
                <w:sz w:val="24"/>
                <w:szCs w:val="24"/>
              </w:rPr>
              <w:t>ązku</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tym</w:t>
            </w:r>
            <w:r w:rsidRPr="00835753">
              <w:rPr>
                <w:rFonts w:ascii="Times New Roman" w:hAnsi="Times New Roman"/>
                <w:bCs/>
                <w:sz w:val="24"/>
                <w:szCs w:val="24"/>
              </w:rPr>
              <w:t xml:space="preserve"> wyjątek dotyczący kontraktów na instrumenty pochodne zawartych</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kli</w:t>
            </w:r>
            <w:r w:rsidRPr="00835753">
              <w:rPr>
                <w:rFonts w:ascii="Times New Roman" w:hAnsi="Times New Roman"/>
                <w:bCs/>
                <w:sz w:val="24"/>
                <w:szCs w:val="24"/>
              </w:rPr>
              <w:t>entami,</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prz</w:t>
            </w:r>
            <w:r w:rsidRPr="00835753">
              <w:rPr>
                <w:rFonts w:ascii="Times New Roman" w:hAnsi="Times New Roman"/>
                <w:bCs/>
                <w:sz w:val="24"/>
                <w:szCs w:val="24"/>
              </w:rPr>
              <w:t>ypadku których kontrakty te rozlicza kwalifikujący się kontrahent centralny określony</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429c ust.</w:t>
            </w:r>
            <w:r w:rsidR="00835753" w:rsidRPr="00835753">
              <w:rPr>
                <w:rFonts w:ascii="Times New Roman" w:hAnsi="Times New Roman"/>
                <w:bCs/>
                <w:sz w:val="24"/>
                <w:szCs w:val="24"/>
              </w:rPr>
              <w:t> </w:t>
            </w:r>
            <w:r w:rsidRPr="00835753">
              <w:rPr>
                <w:rFonts w:ascii="Times New Roman" w:hAnsi="Times New Roman"/>
                <w:bCs/>
                <w:sz w:val="24"/>
                <w:szCs w:val="24"/>
              </w:rPr>
              <w:t>4 CRR, nie ma zastosowania.</w:t>
            </w:r>
          </w:p>
          <w:p w14:paraId="3D6A2615" w14:textId="3343FDFE"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835753">
              <w:rPr>
                <w:rFonts w:ascii="Times New Roman" w:hAnsi="Times New Roman"/>
                <w:bCs/>
                <w:sz w:val="24"/>
                <w:szCs w:val="24"/>
              </w:rPr>
              <w:t>Instytucje nie uwzględniają</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tej</w:t>
            </w:r>
            <w:r w:rsidRPr="00835753">
              <w:rPr>
                <w:rFonts w:ascii="Times New Roman" w:hAnsi="Times New Roman"/>
                <w:bCs/>
                <w:sz w:val="24"/>
                <w:szCs w:val="24"/>
              </w:rPr>
              <w:t xml:space="preserve"> komórce umów wycenianych</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zas</w:t>
            </w:r>
            <w:r w:rsidRPr="00835753">
              <w:rPr>
                <w:rFonts w:ascii="Times New Roman" w:hAnsi="Times New Roman"/>
                <w:bCs/>
                <w:sz w:val="24"/>
                <w:szCs w:val="24"/>
              </w:rPr>
              <w:t>tosowaniem metody standardowej dotyczącej CCR lub metody wyceny pierwotnej ekspozycji.</w:t>
            </w:r>
            <w:r w:rsidRPr="00835753">
              <w:rPr>
                <w:rFonts w:ascii="Times New Roman" w:hAnsi="Times New Roman"/>
                <w:sz w:val="24"/>
                <w:szCs w:val="24"/>
              </w:rPr>
              <w:t xml:space="preserve"> </w:t>
            </w:r>
          </w:p>
        </w:tc>
      </w:tr>
      <w:tr w:rsidR="000A7015" w:rsidRPr="00835753" w14:paraId="2D559840" w14:textId="77777777" w:rsidTr="001E06A3">
        <w:trPr>
          <w:trHeight w:val="2265"/>
        </w:trPr>
        <w:tc>
          <w:tcPr>
            <w:tcW w:w="1384" w:type="dxa"/>
            <w:vAlign w:val="center"/>
          </w:tcPr>
          <w:p w14:paraId="3F28B209"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9</w:t>
            </w:r>
          </w:p>
        </w:tc>
        <w:tc>
          <w:tcPr>
            <w:tcW w:w="7655" w:type="dxa"/>
          </w:tcPr>
          <w:p w14:paraId="1742D40C" w14:textId="775DF316"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Kwoty narzutu</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potencjalnej przyszłej ekspozycji związanej</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tra</w:t>
            </w:r>
            <w:r w:rsidRPr="00835753">
              <w:rPr>
                <w:rStyle w:val="TeksttreciPogrubienie"/>
                <w:rFonts w:ascii="Times New Roman" w:hAnsi="Times New Roman"/>
                <w:sz w:val="24"/>
                <w:szCs w:val="24"/>
              </w:rPr>
              <w:t xml:space="preserve">nsakcjami na instrumentach pochodnych według metody standardowej dotyczącej CCR </w:t>
            </w:r>
          </w:p>
          <w:p w14:paraId="79CD7C7D" w14:textId="1BECA2C6"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274, 275, 295, 296, 297, 298, art.</w:t>
            </w:r>
            <w:r w:rsidR="00835753" w:rsidRPr="00835753">
              <w:rPr>
                <w:rFonts w:ascii="Times New Roman" w:hAnsi="Times New Roman"/>
                <w:sz w:val="24"/>
                <w:szCs w:val="24"/>
              </w:rPr>
              <w:t> </w:t>
            </w:r>
            <w:r w:rsidRPr="00835753">
              <w:rPr>
                <w:rFonts w:ascii="Times New Roman" w:hAnsi="Times New Roman"/>
                <w:sz w:val="24"/>
                <w:szCs w:val="24"/>
              </w:rPr>
              <w:t>299 ust.</w:t>
            </w:r>
            <w:r w:rsidR="00835753" w:rsidRPr="00835753">
              <w:rPr>
                <w:rFonts w:ascii="Times New Roman" w:hAnsi="Times New Roman"/>
                <w:sz w:val="24"/>
                <w:szCs w:val="24"/>
              </w:rPr>
              <w:t> </w:t>
            </w:r>
            <w:r w:rsidRPr="00835753">
              <w:rPr>
                <w:rFonts w:ascii="Times New Roman" w:hAnsi="Times New Roman"/>
                <w:sz w:val="24"/>
                <w:szCs w:val="24"/>
              </w:rPr>
              <w:t>2 oraz art.</w:t>
            </w:r>
            <w:r w:rsidR="00835753" w:rsidRPr="00835753">
              <w:rPr>
                <w:rFonts w:ascii="Times New Roman" w:hAnsi="Times New Roman"/>
                <w:sz w:val="24"/>
                <w:szCs w:val="24"/>
              </w:rPr>
              <w:t> </w:t>
            </w:r>
            <w:r w:rsidRPr="00835753">
              <w:rPr>
                <w:rFonts w:ascii="Times New Roman" w:hAnsi="Times New Roman"/>
                <w:sz w:val="24"/>
                <w:szCs w:val="24"/>
              </w:rPr>
              <w:t>429c CRR</w:t>
            </w:r>
          </w:p>
          <w:p w14:paraId="5B2DC716" w14:textId="03A98898"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wysokość narzutu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potencjalnej przyszłej ekspozycji związanej</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kon</w:t>
            </w:r>
            <w:r w:rsidRPr="00835753">
              <w:rPr>
                <w:rFonts w:ascii="Times New Roman" w:hAnsi="Times New Roman"/>
                <w:sz w:val="24"/>
                <w:szCs w:val="24"/>
              </w:rPr>
              <w:t>traktami wymienionymi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zał</w:t>
            </w:r>
            <w:r w:rsidRPr="00835753">
              <w:rPr>
                <w:rFonts w:ascii="Times New Roman" w:hAnsi="Times New Roman"/>
                <w:sz w:val="24"/>
                <w:szCs w:val="24"/>
              </w:rPr>
              <w:t>ączniku II do CRR oraz kredytowymi instrumentami pochodnymi,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pozabilansowymi instrumentami pochodnymi, obliczonego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278 CRR</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ypadku kontraktów wymienionych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zał</w:t>
            </w:r>
            <w:r w:rsidRPr="00835753">
              <w:rPr>
                <w:rFonts w:ascii="Times New Roman" w:hAnsi="Times New Roman"/>
                <w:sz w:val="24"/>
                <w:szCs w:val="24"/>
              </w:rPr>
              <w:t>ączniku II do CRR</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299 ust.</w:t>
            </w:r>
            <w:r w:rsidR="00835753" w:rsidRPr="00835753">
              <w:rPr>
                <w:rFonts w:ascii="Times New Roman" w:hAnsi="Times New Roman"/>
                <w:sz w:val="24"/>
                <w:szCs w:val="24"/>
              </w:rPr>
              <w:t> </w:t>
            </w:r>
            <w:r w:rsidRPr="00835753">
              <w:rPr>
                <w:rFonts w:ascii="Times New Roman" w:hAnsi="Times New Roman"/>
                <w:sz w:val="24"/>
                <w:szCs w:val="24"/>
              </w:rPr>
              <w:t>2 CRR</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ypadku kredytowych instrumentów pochodnych oraz</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zas</w:t>
            </w:r>
            <w:r w:rsidRPr="00835753">
              <w:rPr>
                <w:rFonts w:ascii="Times New Roman" w:hAnsi="Times New Roman"/>
                <w:sz w:val="24"/>
                <w:szCs w:val="24"/>
              </w:rPr>
              <w:t>tosowaniem zasad dotyczących kompensowania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429c ust.</w:t>
            </w:r>
            <w:r w:rsidR="00835753" w:rsidRPr="00835753">
              <w:rPr>
                <w:rFonts w:ascii="Times New Roman" w:hAnsi="Times New Roman"/>
                <w:sz w:val="24"/>
                <w:szCs w:val="24"/>
              </w:rPr>
              <w:t> </w:t>
            </w:r>
            <w:r w:rsidRPr="00835753">
              <w:rPr>
                <w:rFonts w:ascii="Times New Roman" w:hAnsi="Times New Roman"/>
                <w:sz w:val="24"/>
                <w:szCs w:val="24"/>
              </w:rPr>
              <w:t>1 CRR. Przy ustalaniu wartości ekspozycji tych umów instytucje mogą uwzględnić skutki umów nowacji</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inn</w:t>
            </w:r>
            <w:r w:rsidRPr="00835753">
              <w:rPr>
                <w:rFonts w:ascii="Times New Roman" w:hAnsi="Times New Roman"/>
                <w:sz w:val="24"/>
                <w:szCs w:val="24"/>
              </w:rPr>
              <w:t>ych umów</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kom</w:t>
            </w:r>
            <w:r w:rsidRPr="00835753">
              <w:rPr>
                <w:rFonts w:ascii="Times New Roman" w:hAnsi="Times New Roman"/>
                <w:sz w:val="24"/>
                <w:szCs w:val="24"/>
              </w:rPr>
              <w:t>pensowaniu zobowiązań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295 CRR. Kompensowanie międzyproduktowe nie ma zastosowania. Instytucje mogą jednak dokonywać kompensacji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ram</w:t>
            </w:r>
            <w:r w:rsidRPr="00835753">
              <w:rPr>
                <w:rFonts w:ascii="Times New Roman" w:hAnsi="Times New Roman"/>
                <w:sz w:val="24"/>
                <w:szCs w:val="24"/>
              </w:rPr>
              <w:t>ach danej kategorii produktu,</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któ</w:t>
            </w:r>
            <w:r w:rsidRPr="00835753">
              <w:rPr>
                <w:rFonts w:ascii="Times New Roman" w:hAnsi="Times New Roman"/>
                <w:sz w:val="24"/>
                <w:szCs w:val="24"/>
              </w:rPr>
              <w:t>rej mowa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272 pkt</w:t>
            </w:r>
            <w:r w:rsidR="00835753" w:rsidRPr="00835753">
              <w:rPr>
                <w:rFonts w:ascii="Times New Roman" w:hAnsi="Times New Roman"/>
                <w:sz w:val="24"/>
                <w:szCs w:val="24"/>
              </w:rPr>
              <w:t> </w:t>
            </w:r>
            <w:r w:rsidRPr="00835753">
              <w:rPr>
                <w:rFonts w:ascii="Times New Roman" w:hAnsi="Times New Roman"/>
                <w:sz w:val="24"/>
                <w:szCs w:val="24"/>
              </w:rPr>
              <w:t>25 lit.</w:t>
            </w:r>
            <w:r w:rsidR="00835753" w:rsidRPr="00835753">
              <w:rPr>
                <w:rFonts w:ascii="Times New Roman" w:hAnsi="Times New Roman"/>
                <w:sz w:val="24"/>
                <w:szCs w:val="24"/>
              </w:rPr>
              <w:t> </w:t>
            </w:r>
            <w:r w:rsidRPr="00835753">
              <w:rPr>
                <w:rFonts w:ascii="Times New Roman" w:hAnsi="Times New Roman"/>
                <w:sz w:val="24"/>
                <w:szCs w:val="24"/>
              </w:rPr>
              <w:t>c) CRR,</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w</w:t>
            </w:r>
            <w:r w:rsidR="00835753">
              <w:rPr>
                <w:rFonts w:ascii="Times New Roman" w:hAnsi="Times New Roman"/>
                <w:sz w:val="24"/>
                <w:szCs w:val="24"/>
              </w:rPr>
              <w:t> </w:t>
            </w:r>
            <w:r w:rsidR="00835753" w:rsidRPr="00835753">
              <w:rPr>
                <w:rFonts w:ascii="Times New Roman" w:hAnsi="Times New Roman"/>
                <w:sz w:val="24"/>
                <w:szCs w:val="24"/>
              </w:rPr>
              <w:t>ram</w:t>
            </w:r>
            <w:r w:rsidRPr="00835753">
              <w:rPr>
                <w:rFonts w:ascii="Times New Roman" w:hAnsi="Times New Roman"/>
                <w:sz w:val="24"/>
                <w:szCs w:val="24"/>
              </w:rPr>
              <w:t>ach kredytowych instrumentów pochodnych, kiedy są związane umową</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kom</w:t>
            </w:r>
            <w:r w:rsidRPr="00835753">
              <w:rPr>
                <w:rFonts w:ascii="Times New Roman" w:hAnsi="Times New Roman"/>
                <w:sz w:val="24"/>
                <w:szCs w:val="24"/>
              </w:rPr>
              <w:t>pensowaniu międzyproduktowym,</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któ</w:t>
            </w:r>
            <w:r w:rsidRPr="00835753">
              <w:rPr>
                <w:rFonts w:ascii="Times New Roman" w:hAnsi="Times New Roman"/>
                <w:sz w:val="24"/>
                <w:szCs w:val="24"/>
              </w:rPr>
              <w:t>rej mowa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295 lit.</w:t>
            </w:r>
            <w:r w:rsidR="00835753" w:rsidRPr="00835753">
              <w:rPr>
                <w:rFonts w:ascii="Times New Roman" w:hAnsi="Times New Roman"/>
                <w:sz w:val="24"/>
                <w:szCs w:val="24"/>
              </w:rPr>
              <w:t> </w:t>
            </w:r>
            <w:r w:rsidRPr="00835753">
              <w:rPr>
                <w:rFonts w:ascii="Times New Roman" w:hAnsi="Times New Roman"/>
                <w:sz w:val="24"/>
                <w:szCs w:val="24"/>
              </w:rPr>
              <w:t>c) CRR.</w:t>
            </w:r>
          </w:p>
          <w:p w14:paraId="063B849E" w14:textId="63CA733D" w:rsidR="000A7015" w:rsidRPr="00835753" w:rsidRDefault="000A7015" w:rsidP="001E06A3">
            <w:pPr>
              <w:tabs>
                <w:tab w:val="left" w:pos="400"/>
              </w:tabs>
              <w:spacing w:after="120"/>
              <w:jc w:val="both"/>
              <w:rPr>
                <w:rFonts w:ascii="Times New Roman" w:hAnsi="Times New Roman" w:cs="Times New Roman"/>
                <w:sz w:val="24"/>
              </w:rPr>
            </w:pPr>
            <w:r w:rsidRPr="00835753">
              <w:rPr>
                <w:rFonts w:ascii="Times New Roman" w:hAnsi="Times New Roman"/>
                <w:sz w:val="24"/>
              </w:rPr>
              <w:t>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429c ust.</w:t>
            </w:r>
            <w:r w:rsidR="00835753" w:rsidRPr="00835753">
              <w:rPr>
                <w:rFonts w:ascii="Times New Roman" w:hAnsi="Times New Roman"/>
                <w:sz w:val="24"/>
              </w:rPr>
              <w:t> </w:t>
            </w:r>
            <w:r w:rsidRPr="00835753">
              <w:rPr>
                <w:rFonts w:ascii="Times New Roman" w:hAnsi="Times New Roman"/>
                <w:sz w:val="24"/>
              </w:rPr>
              <w:t>5 CRR instytucje ustalają wartość mnożnika stosowanego do obliczania potencjalnej przyszłej ekspozycji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278 ust.</w:t>
            </w:r>
            <w:r w:rsidR="00835753" w:rsidRPr="00835753">
              <w:rPr>
                <w:rFonts w:ascii="Times New Roman" w:hAnsi="Times New Roman"/>
                <w:sz w:val="24"/>
              </w:rPr>
              <w:t> </w:t>
            </w:r>
            <w:r w:rsidRPr="00835753">
              <w:rPr>
                <w:rFonts w:ascii="Times New Roman" w:hAnsi="Times New Roman"/>
                <w:sz w:val="24"/>
              </w:rPr>
              <w:t>1 CRR, na</w:t>
            </w:r>
            <w:r w:rsidR="00835753" w:rsidRPr="00835753">
              <w:rPr>
                <w:rFonts w:ascii="Times New Roman" w:hAnsi="Times New Roman"/>
                <w:sz w:val="24"/>
              </w:rPr>
              <w:t> </w:t>
            </w:r>
            <w:r w:rsidRPr="00835753">
              <w:rPr>
                <w:rFonts w:ascii="Times New Roman" w:hAnsi="Times New Roman"/>
                <w:sz w:val="24"/>
              </w:rPr>
              <w:t>1,</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wyj</w:t>
            </w:r>
            <w:r w:rsidRPr="00835753">
              <w:rPr>
                <w:rFonts w:ascii="Times New Roman" w:hAnsi="Times New Roman"/>
                <w:sz w:val="24"/>
              </w:rPr>
              <w:t>ątkiem kontraktów na instrumenty pochodne zawartych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kli</w:t>
            </w:r>
            <w:r w:rsidRPr="00835753">
              <w:rPr>
                <w:rFonts w:ascii="Times New Roman" w:hAnsi="Times New Roman"/>
                <w:sz w:val="24"/>
              </w:rPr>
              <w:t>entami,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których kontrakty te rozlicza kwalifikujący się kontrahent centralny.</w:t>
            </w:r>
          </w:p>
          <w:p w14:paraId="345B4AE9" w14:textId="20E9667B"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nie uwzględniają</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tej</w:t>
            </w:r>
            <w:r w:rsidRPr="00835753">
              <w:rPr>
                <w:rFonts w:ascii="Times New Roman" w:hAnsi="Times New Roman"/>
                <w:sz w:val="24"/>
                <w:szCs w:val="24"/>
              </w:rPr>
              <w:t xml:space="preserve"> komórce umów wycenianych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zas</w:t>
            </w:r>
            <w:r w:rsidRPr="00835753">
              <w:rPr>
                <w:rFonts w:ascii="Times New Roman" w:hAnsi="Times New Roman"/>
                <w:sz w:val="24"/>
                <w:szCs w:val="24"/>
              </w:rPr>
              <w:t>tosowaniem metod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429c ust.</w:t>
            </w:r>
            <w:r w:rsidR="00835753" w:rsidRPr="00835753">
              <w:rPr>
                <w:rFonts w:ascii="Times New Roman" w:hAnsi="Times New Roman"/>
                <w:sz w:val="24"/>
                <w:szCs w:val="24"/>
              </w:rPr>
              <w:t> </w:t>
            </w:r>
            <w:r w:rsidRPr="00835753">
              <w:rPr>
                <w:rFonts w:ascii="Times New Roman" w:hAnsi="Times New Roman"/>
                <w:sz w:val="24"/>
                <w:szCs w:val="24"/>
              </w:rPr>
              <w:t>6, tj. metod określonych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 trzeciej tytuł II rozdział 6 sekcja 4 lub</w:t>
            </w:r>
            <w:r w:rsidR="00835753" w:rsidRPr="00835753">
              <w:rPr>
                <w:rFonts w:ascii="Times New Roman" w:hAnsi="Times New Roman"/>
                <w:sz w:val="24"/>
                <w:szCs w:val="24"/>
              </w:rPr>
              <w:t> </w:t>
            </w:r>
            <w:r w:rsidRPr="00835753">
              <w:rPr>
                <w:rFonts w:ascii="Times New Roman" w:hAnsi="Times New Roman"/>
                <w:sz w:val="24"/>
                <w:szCs w:val="24"/>
              </w:rPr>
              <w:t>5 CRR (uproszczona metoda standardowa dotycząca ryzyka kredytowego kontrahenta lub metoda wyceny pierwotnej ekspozycji).</w:t>
            </w:r>
          </w:p>
        </w:tc>
      </w:tr>
      <w:tr w:rsidR="000A7015" w:rsidRPr="00835753" w14:paraId="6B4D6297" w14:textId="77777777" w:rsidTr="001E06A3">
        <w:trPr>
          <w:trHeight w:val="2265"/>
        </w:trPr>
        <w:tc>
          <w:tcPr>
            <w:tcW w:w="1384" w:type="dxa"/>
            <w:vAlign w:val="center"/>
          </w:tcPr>
          <w:p w14:paraId="47BE8D4A"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EU-9a</w:t>
            </w:r>
          </w:p>
        </w:tc>
        <w:tc>
          <w:tcPr>
            <w:tcW w:w="7655" w:type="dxa"/>
          </w:tcPr>
          <w:p w14:paraId="743F3901" w14:textId="560D817E"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35753">
              <w:rPr>
                <w:rFonts w:ascii="Times New Roman" w:hAnsi="Times New Roman"/>
                <w:b/>
                <w:sz w:val="24"/>
                <w:szCs w:val="24"/>
              </w:rPr>
              <w:t>Odstępstwo</w:t>
            </w:r>
            <w:r w:rsidR="00835753" w:rsidRPr="00835753">
              <w:rPr>
                <w:rFonts w:ascii="Times New Roman" w:hAnsi="Times New Roman"/>
                <w:b/>
                <w:sz w:val="24"/>
                <w:szCs w:val="24"/>
              </w:rPr>
              <w:t xml:space="preserve"> w</w:t>
            </w:r>
            <w:r w:rsidR="00835753">
              <w:rPr>
                <w:rFonts w:ascii="Times New Roman" w:hAnsi="Times New Roman"/>
                <w:b/>
                <w:sz w:val="24"/>
                <w:szCs w:val="24"/>
              </w:rPr>
              <w:t> </w:t>
            </w:r>
            <w:r w:rsidR="00835753" w:rsidRPr="00835753">
              <w:rPr>
                <w:rFonts w:ascii="Times New Roman" w:hAnsi="Times New Roman"/>
                <w:b/>
                <w:sz w:val="24"/>
                <w:szCs w:val="24"/>
              </w:rPr>
              <w:t>odn</w:t>
            </w:r>
            <w:r w:rsidRPr="00835753">
              <w:rPr>
                <w:rFonts w:ascii="Times New Roman" w:hAnsi="Times New Roman"/>
                <w:b/>
                <w:sz w:val="24"/>
                <w:szCs w:val="24"/>
              </w:rPr>
              <w:t>iesieniu do instrumentów pochodnych: Wkład</w:t>
            </w:r>
            <w:r w:rsidR="00835753" w:rsidRPr="00835753">
              <w:rPr>
                <w:rFonts w:ascii="Times New Roman" w:hAnsi="Times New Roman"/>
                <w:b/>
                <w:sz w:val="24"/>
                <w:szCs w:val="24"/>
              </w:rPr>
              <w:t xml:space="preserve"> z</w:t>
            </w:r>
            <w:r w:rsidR="00835753">
              <w:rPr>
                <w:rFonts w:ascii="Times New Roman" w:hAnsi="Times New Roman"/>
                <w:b/>
                <w:sz w:val="24"/>
                <w:szCs w:val="24"/>
              </w:rPr>
              <w:t> </w:t>
            </w:r>
            <w:r w:rsidR="00835753" w:rsidRPr="00835753">
              <w:rPr>
                <w:rFonts w:ascii="Times New Roman" w:hAnsi="Times New Roman"/>
                <w:b/>
                <w:sz w:val="24"/>
                <w:szCs w:val="24"/>
              </w:rPr>
              <w:t>tyt</w:t>
            </w:r>
            <w:r w:rsidRPr="00835753">
              <w:rPr>
                <w:rFonts w:ascii="Times New Roman" w:hAnsi="Times New Roman"/>
                <w:b/>
                <w:sz w:val="24"/>
                <w:szCs w:val="24"/>
              </w:rPr>
              <w:t xml:space="preserve">ułu potencjalnej przyszłej ekspozycji według uproszczonej metody standardowej </w:t>
            </w:r>
          </w:p>
          <w:p w14:paraId="387AD57F" w14:textId="0A1F67F4"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bCs/>
                <w:sz w:val="24"/>
                <w:szCs w:val="24"/>
              </w:rPr>
              <w:t>Art. 429c ust.</w:t>
            </w:r>
            <w:r w:rsidR="00835753" w:rsidRPr="00835753">
              <w:rPr>
                <w:rFonts w:ascii="Times New Roman" w:hAnsi="Times New Roman"/>
                <w:bCs/>
                <w:sz w:val="24"/>
                <w:szCs w:val="24"/>
              </w:rPr>
              <w:t> </w:t>
            </w:r>
            <w:r w:rsidRPr="00835753">
              <w:rPr>
                <w:rFonts w:ascii="Times New Roman" w:hAnsi="Times New Roman"/>
                <w:bCs/>
                <w:sz w:val="24"/>
                <w:szCs w:val="24"/>
              </w:rPr>
              <w:t>5 CRR</w:t>
            </w:r>
          </w:p>
          <w:p w14:paraId="5B5D45F9" w14:textId="4AA6CFD6"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bCs/>
                <w:sz w:val="24"/>
                <w:szCs w:val="24"/>
              </w:rPr>
              <w:t>Potencjalna przyszła ekspozycja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upr</w:t>
            </w:r>
            <w:r w:rsidRPr="00835753">
              <w:rPr>
                <w:rFonts w:ascii="Times New Roman" w:hAnsi="Times New Roman"/>
                <w:bCs/>
                <w:sz w:val="24"/>
                <w:szCs w:val="24"/>
              </w:rPr>
              <w:t>oszczoną metodą standardową określoną</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281 CRR, przy założeniu, że mnożnik wynosi 1. Kwotę ujawnia się</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zas</w:t>
            </w:r>
            <w:r w:rsidRPr="00835753">
              <w:rPr>
                <w:rFonts w:ascii="Times New Roman" w:hAnsi="Times New Roman"/>
                <w:bCs/>
                <w:sz w:val="24"/>
                <w:szCs w:val="24"/>
              </w:rPr>
              <w:t>tosowaniem współczynnika alfa wynoszącego 1,4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274 ust.</w:t>
            </w:r>
            <w:r w:rsidR="00835753" w:rsidRPr="00835753">
              <w:rPr>
                <w:rFonts w:ascii="Times New Roman" w:hAnsi="Times New Roman"/>
                <w:bCs/>
                <w:sz w:val="24"/>
                <w:szCs w:val="24"/>
              </w:rPr>
              <w:t> </w:t>
            </w:r>
            <w:r w:rsidRPr="00835753">
              <w:rPr>
                <w:rFonts w:ascii="Times New Roman" w:hAnsi="Times New Roman"/>
                <w:bCs/>
                <w:sz w:val="24"/>
                <w:szCs w:val="24"/>
              </w:rPr>
              <w:t>2 CRR.</w:t>
            </w:r>
          </w:p>
          <w:p w14:paraId="24523D52" w14:textId="0C31EAD1"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bCs/>
                <w:sz w:val="24"/>
                <w:szCs w:val="24"/>
              </w:rPr>
              <w:t>Instytucje, które stosują uproszczoną metodę standardową, nie zmniejszają miary ekspozycji całkowitej</w:t>
            </w:r>
            <w:r w:rsidR="00835753" w:rsidRPr="00835753">
              <w:rPr>
                <w:rFonts w:ascii="Times New Roman" w:hAnsi="Times New Roman"/>
                <w:bCs/>
                <w:sz w:val="24"/>
                <w:szCs w:val="24"/>
              </w:rPr>
              <w:t xml:space="preserve"> o</w:t>
            </w:r>
            <w:r w:rsidR="00835753">
              <w:rPr>
                <w:rFonts w:ascii="Times New Roman" w:hAnsi="Times New Roman"/>
                <w:bCs/>
                <w:sz w:val="24"/>
                <w:szCs w:val="24"/>
              </w:rPr>
              <w:t> </w:t>
            </w:r>
            <w:r w:rsidR="00835753" w:rsidRPr="00835753">
              <w:rPr>
                <w:rFonts w:ascii="Times New Roman" w:hAnsi="Times New Roman"/>
                <w:bCs/>
                <w:sz w:val="24"/>
                <w:szCs w:val="24"/>
              </w:rPr>
              <w:t>kwo</w:t>
            </w:r>
            <w:r w:rsidRPr="00835753">
              <w:rPr>
                <w:rFonts w:ascii="Times New Roman" w:hAnsi="Times New Roman"/>
                <w:bCs/>
                <w:sz w:val="24"/>
                <w:szCs w:val="24"/>
              </w:rPr>
              <w:t>tę depozytu zabezpieczającego otrzymanego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429c ust.</w:t>
            </w:r>
            <w:r w:rsidR="00835753" w:rsidRPr="00835753">
              <w:rPr>
                <w:rFonts w:ascii="Times New Roman" w:hAnsi="Times New Roman"/>
                <w:bCs/>
                <w:sz w:val="24"/>
                <w:szCs w:val="24"/>
              </w:rPr>
              <w:t> </w:t>
            </w:r>
            <w:r w:rsidRPr="00835753">
              <w:rPr>
                <w:rFonts w:ascii="Times New Roman" w:hAnsi="Times New Roman"/>
                <w:bCs/>
                <w:sz w:val="24"/>
                <w:szCs w:val="24"/>
              </w:rPr>
              <w:t>6 CRR</w:t>
            </w:r>
            <w:r w:rsidR="00835753" w:rsidRPr="00835753">
              <w:rPr>
                <w:rFonts w:ascii="Times New Roman" w:hAnsi="Times New Roman"/>
                <w:bCs/>
                <w:sz w:val="24"/>
                <w:szCs w:val="24"/>
              </w:rPr>
              <w:t>. W</w:t>
            </w:r>
            <w:r w:rsidR="00835753">
              <w:rPr>
                <w:rFonts w:ascii="Times New Roman" w:hAnsi="Times New Roman"/>
                <w:bCs/>
                <w:sz w:val="24"/>
                <w:szCs w:val="24"/>
              </w:rPr>
              <w:t> </w:t>
            </w:r>
            <w:r w:rsidR="00835753" w:rsidRPr="00835753">
              <w:rPr>
                <w:rFonts w:ascii="Times New Roman" w:hAnsi="Times New Roman"/>
                <w:bCs/>
                <w:sz w:val="24"/>
                <w:szCs w:val="24"/>
              </w:rPr>
              <w:t>zwi</w:t>
            </w:r>
            <w:r w:rsidRPr="00835753">
              <w:rPr>
                <w:rFonts w:ascii="Times New Roman" w:hAnsi="Times New Roman"/>
                <w:bCs/>
                <w:sz w:val="24"/>
                <w:szCs w:val="24"/>
              </w:rPr>
              <w:t>ązku</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tym</w:t>
            </w:r>
            <w:r w:rsidRPr="00835753">
              <w:rPr>
                <w:rFonts w:ascii="Times New Roman" w:hAnsi="Times New Roman"/>
                <w:bCs/>
                <w:sz w:val="24"/>
                <w:szCs w:val="24"/>
              </w:rPr>
              <w:t xml:space="preserve"> wyjątek dotyczący kontraktów na instrumenty pochodne zawartych</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kli</w:t>
            </w:r>
            <w:r w:rsidRPr="00835753">
              <w:rPr>
                <w:rFonts w:ascii="Times New Roman" w:hAnsi="Times New Roman"/>
                <w:bCs/>
                <w:sz w:val="24"/>
                <w:szCs w:val="24"/>
              </w:rPr>
              <w:t>entami,</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prz</w:t>
            </w:r>
            <w:r w:rsidRPr="00835753">
              <w:rPr>
                <w:rFonts w:ascii="Times New Roman" w:hAnsi="Times New Roman"/>
                <w:bCs/>
                <w:sz w:val="24"/>
                <w:szCs w:val="24"/>
              </w:rPr>
              <w:t>ypadku których kontrakty te rozlicza kwalifikujący się kontrahent centralny określony</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429c ust.</w:t>
            </w:r>
            <w:r w:rsidR="00835753" w:rsidRPr="00835753">
              <w:rPr>
                <w:rFonts w:ascii="Times New Roman" w:hAnsi="Times New Roman"/>
                <w:bCs/>
                <w:sz w:val="24"/>
                <w:szCs w:val="24"/>
              </w:rPr>
              <w:t> </w:t>
            </w:r>
            <w:r w:rsidRPr="00835753">
              <w:rPr>
                <w:rFonts w:ascii="Times New Roman" w:hAnsi="Times New Roman"/>
                <w:bCs/>
                <w:sz w:val="24"/>
                <w:szCs w:val="24"/>
              </w:rPr>
              <w:t>5 CRR, nie ma zastosowania.</w:t>
            </w:r>
          </w:p>
          <w:p w14:paraId="020740CB" w14:textId="3206F942"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bCs/>
                <w:sz w:val="24"/>
                <w:szCs w:val="24"/>
              </w:rPr>
              <w:t>Instytucje nie uwzględniają</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tej</w:t>
            </w:r>
            <w:r w:rsidRPr="00835753">
              <w:rPr>
                <w:rFonts w:ascii="Times New Roman" w:hAnsi="Times New Roman"/>
                <w:bCs/>
                <w:sz w:val="24"/>
                <w:szCs w:val="24"/>
              </w:rPr>
              <w:t xml:space="preserve"> komórce umów wycenianych</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zas</w:t>
            </w:r>
            <w:r w:rsidRPr="00835753">
              <w:rPr>
                <w:rFonts w:ascii="Times New Roman" w:hAnsi="Times New Roman"/>
                <w:bCs/>
                <w:sz w:val="24"/>
                <w:szCs w:val="24"/>
              </w:rPr>
              <w:t>tosowaniem metody standardowej dotyczącej CCR lub metody wyceny pierwotnej ekspozycji.</w:t>
            </w:r>
          </w:p>
        </w:tc>
      </w:tr>
      <w:tr w:rsidR="000A7015" w:rsidRPr="00835753" w14:paraId="498F35E6" w14:textId="77777777" w:rsidTr="001E06A3">
        <w:trPr>
          <w:trHeight w:val="558"/>
        </w:trPr>
        <w:tc>
          <w:tcPr>
            <w:tcW w:w="1384" w:type="dxa"/>
            <w:vAlign w:val="center"/>
          </w:tcPr>
          <w:p w14:paraId="12CC3991"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EU-9b</w:t>
            </w:r>
          </w:p>
        </w:tc>
        <w:tc>
          <w:tcPr>
            <w:tcW w:w="7655" w:type="dxa"/>
          </w:tcPr>
          <w:p w14:paraId="3FC919B6"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Ekspozycja obliczona według metody wyceny pierwotnej ekspozycji</w:t>
            </w:r>
          </w:p>
          <w:p w14:paraId="20EC3123" w14:textId="6D29FFEC"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429c ust.</w:t>
            </w:r>
            <w:r w:rsidR="00835753" w:rsidRPr="00835753">
              <w:rPr>
                <w:rFonts w:ascii="Times New Roman" w:hAnsi="Times New Roman"/>
                <w:sz w:val="24"/>
                <w:szCs w:val="24"/>
              </w:rPr>
              <w:t> </w:t>
            </w:r>
            <w:r w:rsidRPr="00835753">
              <w:rPr>
                <w:rFonts w:ascii="Times New Roman" w:hAnsi="Times New Roman"/>
                <w:sz w:val="24"/>
                <w:szCs w:val="24"/>
              </w:rPr>
              <w:t>6 CRR</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ść trzecia tytuł II rozdział 6 sekcja 4 lub</w:t>
            </w:r>
            <w:r w:rsidR="00835753" w:rsidRPr="00835753">
              <w:rPr>
                <w:rFonts w:ascii="Times New Roman" w:hAnsi="Times New Roman"/>
                <w:sz w:val="24"/>
                <w:szCs w:val="24"/>
              </w:rPr>
              <w:t> </w:t>
            </w:r>
            <w:r w:rsidRPr="00835753">
              <w:rPr>
                <w:rFonts w:ascii="Times New Roman" w:hAnsi="Times New Roman"/>
                <w:sz w:val="24"/>
                <w:szCs w:val="24"/>
              </w:rPr>
              <w:t>5 CRR</w:t>
            </w:r>
          </w:p>
          <w:p w14:paraId="2025D346" w14:textId="047F37CB"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miarę ekspozycji</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kontraktów wymienionych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pkt </w:t>
            </w:r>
            <w:r w:rsidRPr="00835753">
              <w:rPr>
                <w:rFonts w:ascii="Times New Roman" w:hAnsi="Times New Roman"/>
                <w:sz w:val="24"/>
                <w:szCs w:val="24"/>
              </w:rPr>
              <w:t>1</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2</w:t>
            </w:r>
            <w:r w:rsidRPr="00835753">
              <w:rPr>
                <w:rFonts w:ascii="Times New Roman" w:hAnsi="Times New Roman"/>
                <w:sz w:val="24"/>
                <w:szCs w:val="24"/>
              </w:rPr>
              <w:t xml:space="preserve"> załącznika II do CRR obliczoną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met</w:t>
            </w:r>
            <w:r w:rsidRPr="00835753">
              <w:rPr>
                <w:rFonts w:ascii="Times New Roman" w:hAnsi="Times New Roman"/>
                <w:sz w:val="24"/>
                <w:szCs w:val="24"/>
              </w:rPr>
              <w:t>odą wyceny pierwotnej ekspozycji określoną</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 trzeciej tytuł II rozdział 6 sekcja 4 lub</w:t>
            </w:r>
            <w:r w:rsidR="00835753" w:rsidRPr="00835753">
              <w:rPr>
                <w:rFonts w:ascii="Times New Roman" w:hAnsi="Times New Roman"/>
                <w:sz w:val="24"/>
                <w:szCs w:val="24"/>
              </w:rPr>
              <w:t> </w:t>
            </w:r>
            <w:r w:rsidRPr="00835753">
              <w:rPr>
                <w:rFonts w:ascii="Times New Roman" w:hAnsi="Times New Roman"/>
                <w:sz w:val="24"/>
                <w:szCs w:val="24"/>
              </w:rPr>
              <w:t>5 CRR.</w:t>
            </w:r>
          </w:p>
          <w:p w14:paraId="6626E9D0" w14:textId="07B66FDD"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które stosują metodę wyceny pierwotnej ekspozycji, nie zmniejszają miary ekspozycji</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kwo</w:t>
            </w:r>
            <w:r w:rsidRPr="00835753">
              <w:rPr>
                <w:rFonts w:ascii="Times New Roman" w:hAnsi="Times New Roman"/>
                <w:sz w:val="24"/>
                <w:szCs w:val="24"/>
              </w:rPr>
              <w:t>tę depozytu zabezpieczającego otrzymanego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429c ust.</w:t>
            </w:r>
            <w:r w:rsidR="00835753" w:rsidRPr="00835753">
              <w:rPr>
                <w:rFonts w:ascii="Times New Roman" w:hAnsi="Times New Roman"/>
                <w:sz w:val="24"/>
                <w:szCs w:val="24"/>
              </w:rPr>
              <w:t> </w:t>
            </w:r>
            <w:r w:rsidRPr="00835753">
              <w:rPr>
                <w:rFonts w:ascii="Times New Roman" w:hAnsi="Times New Roman"/>
                <w:sz w:val="24"/>
                <w:szCs w:val="24"/>
              </w:rPr>
              <w:t>6 CRR.</w:t>
            </w:r>
          </w:p>
          <w:p w14:paraId="7DE4B20A"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które nie stosują metody wyceny pierwotnej ekspozycji, nie ujawniają tej komórki.</w:t>
            </w:r>
          </w:p>
        </w:tc>
      </w:tr>
      <w:tr w:rsidR="000A7015" w:rsidRPr="00835753" w14:paraId="76736694" w14:textId="77777777" w:rsidTr="001E06A3">
        <w:trPr>
          <w:trHeight w:val="1408"/>
        </w:trPr>
        <w:tc>
          <w:tcPr>
            <w:tcW w:w="1384" w:type="dxa"/>
            <w:vAlign w:val="center"/>
          </w:tcPr>
          <w:p w14:paraId="16139398"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10</w:t>
            </w:r>
          </w:p>
        </w:tc>
        <w:tc>
          <w:tcPr>
            <w:tcW w:w="7655" w:type="dxa"/>
          </w:tcPr>
          <w:p w14:paraId="0811FC4C" w14:textId="703D1738"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(Wyłączone ekspozycje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transakcji rozliczanych za pośrednictwem klienta</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odn</w:t>
            </w:r>
            <w:r w:rsidRPr="00835753">
              <w:rPr>
                <w:rStyle w:val="TeksttreciPogrubienie"/>
                <w:rFonts w:ascii="Times New Roman" w:hAnsi="Times New Roman"/>
                <w:sz w:val="24"/>
                <w:szCs w:val="24"/>
              </w:rPr>
              <w:t>iesieniu do składnika rozliczanego</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kon</w:t>
            </w:r>
            <w:r w:rsidRPr="00835753">
              <w:rPr>
                <w:rStyle w:val="TeksttreciPogrubienie"/>
                <w:rFonts w:ascii="Times New Roman" w:hAnsi="Times New Roman"/>
                <w:sz w:val="24"/>
                <w:szCs w:val="24"/>
              </w:rPr>
              <w:t>trahentem centralnym) (metoda standardowa dotycząca CCR)</w:t>
            </w:r>
          </w:p>
          <w:p w14:paraId="3508AD6D" w14:textId="3A336783"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g) i h) CRR</w:t>
            </w:r>
          </w:p>
          <w:p w14:paraId="28F202D2" w14:textId="413A2D9C"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wyłączone ekspozycje wobec kwalifikującego się kontrahenta centralnego</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rozliczanych za pośrednictwem klienta transakcji na instrumentach pochodnych (metoda standardowa dotycząca CCR), pod warunkiem że pozycje te spełniają warunki określone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306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c) CRR.</w:t>
            </w:r>
          </w:p>
          <w:p w14:paraId="6762EC0F" w14:textId="3D7D02B0"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zmniejsza to miarę ekspozycji całkowitej,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tej</w:t>
            </w:r>
            <w:r w:rsidRPr="00835753">
              <w:rPr>
                <w:rFonts w:ascii="Times New Roman" w:hAnsi="Times New Roman"/>
                <w:sz w:val="24"/>
                <w:szCs w:val="24"/>
              </w:rPr>
              <w:t xml:space="preserve"> komórce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p w14:paraId="5906D703" w14:textId="6ECFF461"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Ujawnianą kwotę należy także uwzględnić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odp</w:t>
            </w:r>
            <w:r w:rsidRPr="00835753">
              <w:rPr>
                <w:rFonts w:ascii="Times New Roman" w:hAnsi="Times New Roman"/>
                <w:sz w:val="24"/>
                <w:szCs w:val="24"/>
              </w:rPr>
              <w:t>owiednich komórkach powyżej, jak gdyby nie miało zastosowania żadne wyłączenie.</w:t>
            </w:r>
          </w:p>
        </w:tc>
      </w:tr>
      <w:tr w:rsidR="000A7015" w:rsidRPr="00835753" w14:paraId="5D46DF7D" w14:textId="77777777" w:rsidTr="00CE0D13">
        <w:trPr>
          <w:trHeight w:val="1266"/>
        </w:trPr>
        <w:tc>
          <w:tcPr>
            <w:tcW w:w="1384" w:type="dxa"/>
            <w:vAlign w:val="center"/>
          </w:tcPr>
          <w:p w14:paraId="44332976"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EU-10a</w:t>
            </w:r>
          </w:p>
        </w:tc>
        <w:tc>
          <w:tcPr>
            <w:tcW w:w="7655" w:type="dxa"/>
          </w:tcPr>
          <w:p w14:paraId="79CA6AB5" w14:textId="79FDF594"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35753">
              <w:rPr>
                <w:rFonts w:ascii="Times New Roman" w:hAnsi="Times New Roman"/>
                <w:b/>
                <w:sz w:val="24"/>
                <w:szCs w:val="24"/>
              </w:rPr>
              <w:t>(Wyłączone ekspozycje</w:t>
            </w:r>
            <w:r w:rsidR="00835753" w:rsidRPr="00835753">
              <w:rPr>
                <w:rFonts w:ascii="Times New Roman" w:hAnsi="Times New Roman"/>
                <w:b/>
                <w:sz w:val="24"/>
                <w:szCs w:val="24"/>
              </w:rPr>
              <w:t xml:space="preserve"> z</w:t>
            </w:r>
            <w:r w:rsidR="00835753">
              <w:rPr>
                <w:rFonts w:ascii="Times New Roman" w:hAnsi="Times New Roman"/>
                <w:b/>
                <w:sz w:val="24"/>
                <w:szCs w:val="24"/>
              </w:rPr>
              <w:t> </w:t>
            </w:r>
            <w:r w:rsidR="00835753" w:rsidRPr="00835753">
              <w:rPr>
                <w:rFonts w:ascii="Times New Roman" w:hAnsi="Times New Roman"/>
                <w:b/>
                <w:sz w:val="24"/>
                <w:szCs w:val="24"/>
              </w:rPr>
              <w:t>tyt</w:t>
            </w:r>
            <w:r w:rsidRPr="00835753">
              <w:rPr>
                <w:rFonts w:ascii="Times New Roman" w:hAnsi="Times New Roman"/>
                <w:b/>
                <w:sz w:val="24"/>
                <w:szCs w:val="24"/>
              </w:rPr>
              <w:t>ułu transakcji rozliczanych za pośrednictwem klienta</w:t>
            </w:r>
            <w:r w:rsidR="00835753" w:rsidRPr="00835753">
              <w:rPr>
                <w:rFonts w:ascii="Times New Roman" w:hAnsi="Times New Roman"/>
                <w:b/>
                <w:sz w:val="24"/>
                <w:szCs w:val="24"/>
              </w:rPr>
              <w:t xml:space="preserve"> w</w:t>
            </w:r>
            <w:r w:rsidR="00835753">
              <w:rPr>
                <w:rFonts w:ascii="Times New Roman" w:hAnsi="Times New Roman"/>
                <w:b/>
                <w:sz w:val="24"/>
                <w:szCs w:val="24"/>
              </w:rPr>
              <w:t> </w:t>
            </w:r>
            <w:r w:rsidR="00835753" w:rsidRPr="00835753">
              <w:rPr>
                <w:rFonts w:ascii="Times New Roman" w:hAnsi="Times New Roman"/>
                <w:b/>
                <w:sz w:val="24"/>
                <w:szCs w:val="24"/>
              </w:rPr>
              <w:t>odn</w:t>
            </w:r>
            <w:r w:rsidRPr="00835753">
              <w:rPr>
                <w:rFonts w:ascii="Times New Roman" w:hAnsi="Times New Roman"/>
                <w:b/>
                <w:sz w:val="24"/>
                <w:szCs w:val="24"/>
              </w:rPr>
              <w:t>iesieniu do składnika rozliczanego</w:t>
            </w:r>
            <w:r w:rsidR="00835753" w:rsidRPr="00835753">
              <w:rPr>
                <w:rFonts w:ascii="Times New Roman" w:hAnsi="Times New Roman"/>
                <w:b/>
                <w:sz w:val="24"/>
                <w:szCs w:val="24"/>
              </w:rPr>
              <w:t xml:space="preserve"> z</w:t>
            </w:r>
            <w:r w:rsidR="00835753">
              <w:rPr>
                <w:rFonts w:ascii="Times New Roman" w:hAnsi="Times New Roman"/>
                <w:b/>
                <w:sz w:val="24"/>
                <w:szCs w:val="24"/>
              </w:rPr>
              <w:t> </w:t>
            </w:r>
            <w:r w:rsidR="00835753" w:rsidRPr="00835753">
              <w:rPr>
                <w:rFonts w:ascii="Times New Roman" w:hAnsi="Times New Roman"/>
                <w:b/>
                <w:sz w:val="24"/>
                <w:szCs w:val="24"/>
              </w:rPr>
              <w:t>kon</w:t>
            </w:r>
            <w:r w:rsidRPr="00835753">
              <w:rPr>
                <w:rFonts w:ascii="Times New Roman" w:hAnsi="Times New Roman"/>
                <w:b/>
                <w:sz w:val="24"/>
                <w:szCs w:val="24"/>
              </w:rPr>
              <w:t>trahentem centralnym) (uproszczona metoda standardowa)</w:t>
            </w:r>
          </w:p>
          <w:p w14:paraId="656C8F99" w14:textId="3E5364C3"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bCs/>
                <w:sz w:val="24"/>
                <w:szCs w:val="24"/>
              </w:rPr>
              <w:t>Art. 429a ust.</w:t>
            </w:r>
            <w:r w:rsidR="00835753" w:rsidRPr="00835753">
              <w:rPr>
                <w:rFonts w:ascii="Times New Roman" w:hAnsi="Times New Roman"/>
                <w:bCs/>
                <w:sz w:val="24"/>
                <w:szCs w:val="24"/>
              </w:rPr>
              <w:t> </w:t>
            </w:r>
            <w:r w:rsidRPr="00835753">
              <w:rPr>
                <w:rFonts w:ascii="Times New Roman" w:hAnsi="Times New Roman"/>
                <w:bCs/>
                <w:sz w:val="24"/>
                <w:szCs w:val="24"/>
              </w:rPr>
              <w:t>1 lit.</w:t>
            </w:r>
            <w:r w:rsidR="00835753" w:rsidRPr="00835753">
              <w:rPr>
                <w:rFonts w:ascii="Times New Roman" w:hAnsi="Times New Roman"/>
                <w:bCs/>
                <w:sz w:val="24"/>
                <w:szCs w:val="24"/>
              </w:rPr>
              <w:t> </w:t>
            </w:r>
            <w:r w:rsidRPr="00835753">
              <w:rPr>
                <w:rFonts w:ascii="Times New Roman" w:hAnsi="Times New Roman"/>
                <w:bCs/>
                <w:sz w:val="24"/>
                <w:szCs w:val="24"/>
              </w:rPr>
              <w:t>g) i h) CRR</w:t>
            </w:r>
          </w:p>
          <w:p w14:paraId="10CDC583" w14:textId="1ECCD40B"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sz w:val="24"/>
                <w:szCs w:val="24"/>
              </w:rPr>
              <w:t xml:space="preserve">Instytucje ujawniają </w:t>
            </w:r>
            <w:r w:rsidRPr="00835753">
              <w:rPr>
                <w:rFonts w:ascii="Times New Roman" w:hAnsi="Times New Roman"/>
                <w:bCs/>
                <w:sz w:val="24"/>
                <w:szCs w:val="24"/>
              </w:rPr>
              <w:t>wyłączone ekspozycje wobec kwalifikującego się kontrahenta centralnego</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tyt</w:t>
            </w:r>
            <w:r w:rsidRPr="00835753">
              <w:rPr>
                <w:rFonts w:ascii="Times New Roman" w:hAnsi="Times New Roman"/>
                <w:bCs/>
                <w:sz w:val="24"/>
                <w:szCs w:val="24"/>
              </w:rPr>
              <w:t>ułu rozliczanych za pośrednictwem klienta transakcji na instrumentach pochodnych (uproszczona metoda standardowa), pod warunkiem że pozycje te spełniają warunki określone</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306 ust.</w:t>
            </w:r>
            <w:r w:rsidR="00835753" w:rsidRPr="00835753">
              <w:rPr>
                <w:rFonts w:ascii="Times New Roman" w:hAnsi="Times New Roman"/>
                <w:bCs/>
                <w:sz w:val="24"/>
                <w:szCs w:val="24"/>
              </w:rPr>
              <w:t> </w:t>
            </w:r>
            <w:r w:rsidRPr="00835753">
              <w:rPr>
                <w:rFonts w:ascii="Times New Roman" w:hAnsi="Times New Roman"/>
                <w:bCs/>
                <w:sz w:val="24"/>
                <w:szCs w:val="24"/>
              </w:rPr>
              <w:t>1 lit.</w:t>
            </w:r>
            <w:r w:rsidR="00835753" w:rsidRPr="00835753">
              <w:rPr>
                <w:rFonts w:ascii="Times New Roman" w:hAnsi="Times New Roman"/>
                <w:bCs/>
                <w:sz w:val="24"/>
                <w:szCs w:val="24"/>
              </w:rPr>
              <w:t> </w:t>
            </w:r>
            <w:r w:rsidRPr="00835753">
              <w:rPr>
                <w:rFonts w:ascii="Times New Roman" w:hAnsi="Times New Roman"/>
                <w:bCs/>
                <w:sz w:val="24"/>
                <w:szCs w:val="24"/>
              </w:rPr>
              <w:t>c) CRR. Kwotę ujawnia się</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zas</w:t>
            </w:r>
            <w:r w:rsidRPr="00835753">
              <w:rPr>
                <w:rFonts w:ascii="Times New Roman" w:hAnsi="Times New Roman"/>
                <w:bCs/>
                <w:sz w:val="24"/>
                <w:szCs w:val="24"/>
              </w:rPr>
              <w:t>tosowaniem współczynnika alfa wynoszącego 1,4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274 ust.</w:t>
            </w:r>
            <w:r w:rsidR="00835753" w:rsidRPr="00835753">
              <w:rPr>
                <w:rFonts w:ascii="Times New Roman" w:hAnsi="Times New Roman"/>
                <w:bCs/>
                <w:sz w:val="24"/>
                <w:szCs w:val="24"/>
              </w:rPr>
              <w:t> </w:t>
            </w:r>
            <w:r w:rsidRPr="00835753">
              <w:rPr>
                <w:rFonts w:ascii="Times New Roman" w:hAnsi="Times New Roman"/>
                <w:bCs/>
                <w:sz w:val="24"/>
                <w:szCs w:val="24"/>
              </w:rPr>
              <w:t xml:space="preserve">2 CRR </w:t>
            </w:r>
            <w:r w:rsidRPr="00835753">
              <w:rPr>
                <w:rFonts w:ascii="Times New Roman" w:hAnsi="Times New Roman"/>
                <w:sz w:val="24"/>
                <w:szCs w:val="24"/>
              </w:rPr>
              <w:t>(kwota ujemna)</w:t>
            </w:r>
            <w:r w:rsidRPr="00835753">
              <w:rPr>
                <w:rFonts w:ascii="Times New Roman" w:hAnsi="Times New Roman"/>
                <w:bCs/>
                <w:sz w:val="24"/>
                <w:szCs w:val="24"/>
              </w:rPr>
              <w:t>.</w:t>
            </w:r>
          </w:p>
          <w:p w14:paraId="411EFFC4" w14:textId="6FE9F65C" w:rsidR="000A7015" w:rsidRPr="00835753" w:rsidRDefault="000A7015" w:rsidP="00CE0D13">
            <w:pPr>
              <w:pStyle w:val="BodyText1"/>
              <w:spacing w:line="240" w:lineRule="auto"/>
              <w:rPr>
                <w:rStyle w:val="TeksttreciPogrubienie"/>
                <w:rFonts w:ascii="Times New Roman" w:hAnsi="Times New Roman" w:cs="Times New Roman"/>
                <w:sz w:val="24"/>
                <w:szCs w:val="24"/>
              </w:rPr>
            </w:pPr>
            <w:r w:rsidRPr="00835753">
              <w:rPr>
                <w:rFonts w:ascii="Times New Roman" w:hAnsi="Times New Roman"/>
                <w:bCs/>
                <w:sz w:val="24"/>
                <w:szCs w:val="24"/>
              </w:rPr>
              <w:t>Ujawnianą kwotę należy także uwzględnić</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odp</w:t>
            </w:r>
            <w:r w:rsidRPr="00835753">
              <w:rPr>
                <w:rFonts w:ascii="Times New Roman" w:hAnsi="Times New Roman"/>
                <w:bCs/>
                <w:sz w:val="24"/>
                <w:szCs w:val="24"/>
              </w:rPr>
              <w:t>owiednich komórkach powyżej, jak gdyby nie miało zastosowania żadne wyłączenie.</w:t>
            </w:r>
          </w:p>
        </w:tc>
      </w:tr>
      <w:tr w:rsidR="000A7015" w:rsidRPr="00835753" w14:paraId="187CE006" w14:textId="77777777" w:rsidTr="001E06A3">
        <w:trPr>
          <w:trHeight w:val="558"/>
        </w:trPr>
        <w:tc>
          <w:tcPr>
            <w:tcW w:w="1384" w:type="dxa"/>
            <w:vAlign w:val="center"/>
          </w:tcPr>
          <w:p w14:paraId="02F89DB9"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EU-10b</w:t>
            </w:r>
          </w:p>
        </w:tc>
        <w:tc>
          <w:tcPr>
            <w:tcW w:w="7655" w:type="dxa"/>
          </w:tcPr>
          <w:p w14:paraId="16C7777C" w14:textId="0A353BD3"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(Wyłączone ekspozycje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transakcji rozliczanych za pośrednictwem klienta</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odn</w:t>
            </w:r>
            <w:r w:rsidRPr="00835753">
              <w:rPr>
                <w:rStyle w:val="TeksttreciPogrubienie"/>
                <w:rFonts w:ascii="Times New Roman" w:hAnsi="Times New Roman"/>
                <w:sz w:val="24"/>
                <w:szCs w:val="24"/>
              </w:rPr>
              <w:t>iesieniu do składnika rozliczanego</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kon</w:t>
            </w:r>
            <w:r w:rsidRPr="00835753">
              <w:rPr>
                <w:rStyle w:val="TeksttreciPogrubienie"/>
                <w:rFonts w:ascii="Times New Roman" w:hAnsi="Times New Roman"/>
                <w:sz w:val="24"/>
                <w:szCs w:val="24"/>
              </w:rPr>
              <w:t>trahentem centralnym)</w:t>
            </w:r>
            <w:r w:rsidRPr="00835753">
              <w:rPr>
                <w:rFonts w:ascii="Times New Roman" w:hAnsi="Times New Roman"/>
                <w:sz w:val="24"/>
                <w:szCs w:val="24"/>
              </w:rPr>
              <w:t xml:space="preserve"> </w:t>
            </w:r>
            <w:r w:rsidRPr="00835753">
              <w:rPr>
                <w:rStyle w:val="TeksttreciPogrubienie"/>
                <w:rFonts w:ascii="Times New Roman" w:hAnsi="Times New Roman"/>
                <w:sz w:val="24"/>
                <w:szCs w:val="24"/>
              </w:rPr>
              <w:t>(metoda wyceny pierwotnej ekspozycji)</w:t>
            </w:r>
          </w:p>
          <w:p w14:paraId="7D3F8924" w14:textId="54CC3488"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g) i h) CRR</w:t>
            </w:r>
          </w:p>
          <w:p w14:paraId="097D2AA9" w14:textId="2C8698BE"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wyłączone ekspozycje wobec kwalifikującego się kontrahenta centralnego</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rozliczanych za pośrednictwem klienta transakcji na instrumentach pochodnych (metoda wyceny pierwotnej ekspozycji), pod warunkiem że pozycje te spełniają warunki określone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306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c) CRR.</w:t>
            </w:r>
          </w:p>
          <w:p w14:paraId="21DA3D2F" w14:textId="76AC2E49"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zmniejsza to miarę ekspozycji całkowitej,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tej</w:t>
            </w:r>
            <w:r w:rsidRPr="00835753">
              <w:rPr>
                <w:rFonts w:ascii="Times New Roman" w:hAnsi="Times New Roman"/>
                <w:sz w:val="24"/>
                <w:szCs w:val="24"/>
              </w:rPr>
              <w:t xml:space="preserve"> komórce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p w14:paraId="4C69F8DC" w14:textId="322281FF"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Ujawnianą kwotę należy także uwzględnić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odp</w:t>
            </w:r>
            <w:r w:rsidRPr="00835753">
              <w:rPr>
                <w:rFonts w:ascii="Times New Roman" w:hAnsi="Times New Roman"/>
                <w:sz w:val="24"/>
                <w:szCs w:val="24"/>
              </w:rPr>
              <w:t>owiednich komórkach powyżej, jak gdyby nie miało zastosowania żadne wyłączenie.</w:t>
            </w:r>
          </w:p>
        </w:tc>
      </w:tr>
      <w:tr w:rsidR="000A7015" w:rsidRPr="00835753" w14:paraId="6647A712" w14:textId="77777777" w:rsidTr="00CE0D13">
        <w:trPr>
          <w:trHeight w:val="1587"/>
        </w:trPr>
        <w:tc>
          <w:tcPr>
            <w:tcW w:w="1384" w:type="dxa"/>
            <w:vAlign w:val="center"/>
          </w:tcPr>
          <w:p w14:paraId="09AB0054"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11</w:t>
            </w:r>
          </w:p>
        </w:tc>
        <w:tc>
          <w:tcPr>
            <w:tcW w:w="7655" w:type="dxa"/>
          </w:tcPr>
          <w:p w14:paraId="00384833"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Skorygowana efektywna kwota referencyjna potwierdzonych kredytowych instrumentów pochodnych</w:t>
            </w:r>
          </w:p>
          <w:p w14:paraId="0A366A0D"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429d CRR</w:t>
            </w:r>
          </w:p>
          <w:p w14:paraId="648F3DED" w14:textId="64E67F88"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ograniczoną wartość referencyjną potwierdzonych kredytowych instrumentów pochodnych (tj.</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ypadku gdy instytucja zapewnia ochronę kredytową kontrahentowi), jak określono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429d CRR.</w:t>
            </w:r>
          </w:p>
        </w:tc>
      </w:tr>
      <w:tr w:rsidR="000A7015" w:rsidRPr="00835753" w14:paraId="1A2D596F" w14:textId="77777777" w:rsidTr="001E06A3">
        <w:trPr>
          <w:trHeight w:val="850"/>
        </w:trPr>
        <w:tc>
          <w:tcPr>
            <w:tcW w:w="1384" w:type="dxa"/>
            <w:vAlign w:val="center"/>
          </w:tcPr>
          <w:p w14:paraId="65E1435D"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12</w:t>
            </w:r>
          </w:p>
        </w:tc>
        <w:tc>
          <w:tcPr>
            <w:tcW w:w="7655" w:type="dxa"/>
          </w:tcPr>
          <w:p w14:paraId="0DE24139" w14:textId="60DE1005"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(Skorygowane efektywne kompensowanie referencyjne</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odl</w:t>
            </w:r>
            <w:r w:rsidRPr="00835753">
              <w:rPr>
                <w:rStyle w:val="TeksttreciPogrubienie"/>
                <w:rFonts w:ascii="Times New Roman" w:hAnsi="Times New Roman"/>
                <w:sz w:val="24"/>
                <w:szCs w:val="24"/>
              </w:rPr>
              <w:t>iczenia narzutów</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odn</w:t>
            </w:r>
            <w:r w:rsidRPr="00835753">
              <w:rPr>
                <w:rStyle w:val="TeksttreciPogrubienie"/>
                <w:rFonts w:ascii="Times New Roman" w:hAnsi="Times New Roman"/>
                <w:sz w:val="24"/>
                <w:szCs w:val="24"/>
              </w:rPr>
              <w:t>iesieniu do potwierdzonych kredytowych instrumentów pochodnych)</w:t>
            </w:r>
          </w:p>
          <w:p w14:paraId="3BECD38A"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429d CRR</w:t>
            </w:r>
          </w:p>
          <w:p w14:paraId="077C38F1" w14:textId="5F4397F1"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wartość nominalną nabytych kredytowych instrumentów pochodnych po zastosowaniu wyłączeń</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odl</w:t>
            </w:r>
            <w:r w:rsidRPr="00835753">
              <w:rPr>
                <w:rFonts w:ascii="Times New Roman" w:hAnsi="Times New Roman"/>
                <w:sz w:val="24"/>
                <w:szCs w:val="24"/>
              </w:rPr>
              <w:t>iczeń (tj.</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ypadku gdy instytucja nabywa ochronę kredytową od kontrahenta) na taką samą nazwę referencyjną jak kredytowe instrumenty pochodne wystawione przez instytucję oraz jeżeli rezydualny termin zapadalności tej ochrony kredytowej jest taki sam jak rezydualny termin zapadalności sprzedanej ochrony lub jest od niego dłuższy</w:t>
            </w:r>
            <w:r w:rsidR="00835753" w:rsidRPr="00835753">
              <w:rPr>
                <w:rFonts w:ascii="Times New Roman" w:hAnsi="Times New Roman"/>
                <w:sz w:val="24"/>
                <w:szCs w:val="24"/>
              </w:rPr>
              <w:t>. W</w:t>
            </w:r>
            <w:r w:rsidR="00835753">
              <w:rPr>
                <w:rFonts w:ascii="Times New Roman" w:hAnsi="Times New Roman"/>
                <w:sz w:val="24"/>
                <w:szCs w:val="24"/>
              </w:rPr>
              <w:t> </w:t>
            </w:r>
            <w:r w:rsidR="00835753" w:rsidRPr="00835753">
              <w:rPr>
                <w:rFonts w:ascii="Times New Roman" w:hAnsi="Times New Roman"/>
                <w:sz w:val="24"/>
                <w:szCs w:val="24"/>
              </w:rPr>
              <w:t>zwi</w:t>
            </w:r>
            <w:r w:rsidRPr="00835753">
              <w:rPr>
                <w:rFonts w:ascii="Times New Roman" w:hAnsi="Times New Roman"/>
                <w:sz w:val="24"/>
                <w:szCs w:val="24"/>
              </w:rPr>
              <w:t>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wartość ta nie może być większa niż </w:t>
            </w:r>
            <w:r w:rsidRPr="00835753">
              <w:rPr>
                <w:rFonts w:ascii="Times New Roman" w:hAnsi="Times New Roman"/>
                <w:sz w:val="24"/>
                <w:szCs w:val="24"/>
              </w:rPr>
              <w:lastRenderedPageBreak/>
              <w:t>wartość podana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 xml:space="preserve">rszu 11 we wzorze </w:t>
            </w:r>
            <w:r w:rsidRPr="00835753">
              <w:rPr>
                <w:rFonts w:ascii="Times New Roman" w:hAnsi="Times New Roman"/>
                <w:color w:val="000000"/>
                <w:sz w:val="24"/>
                <w:szCs w:val="24"/>
              </w:rPr>
              <w:t xml:space="preserve">EU LR2 – LRCom </w:t>
            </w:r>
            <w:r w:rsidRPr="00835753">
              <w:rPr>
                <w:rFonts w:ascii="Times New Roman" w:hAnsi="Times New Roman"/>
                <w:sz w:val="24"/>
                <w:szCs w:val="24"/>
              </w:rPr>
              <w:t>dla każdej nazwy referencyjnej.</w:t>
            </w:r>
          </w:p>
          <w:p w14:paraId="43A126EE" w14:textId="14C05D38"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ujawniona kwota zmniejsza miarę ekspozycji całkowitej,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tej</w:t>
            </w:r>
            <w:r w:rsidRPr="00835753">
              <w:rPr>
                <w:rFonts w:ascii="Times New Roman" w:hAnsi="Times New Roman"/>
                <w:sz w:val="24"/>
                <w:szCs w:val="24"/>
              </w:rPr>
              <w:t xml:space="preserve"> komórce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p w14:paraId="185F46D7" w14:textId="5EB0B848"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Ujawnianą kwotę należy także uwzględnić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kom</w:t>
            </w:r>
            <w:r w:rsidRPr="00835753">
              <w:rPr>
                <w:rFonts w:ascii="Times New Roman" w:hAnsi="Times New Roman"/>
                <w:sz w:val="24"/>
                <w:szCs w:val="24"/>
              </w:rPr>
              <w:t>órkach powyżej, jak gdyby nie miała zastosowania żadna korekta.</w:t>
            </w:r>
          </w:p>
        </w:tc>
      </w:tr>
      <w:tr w:rsidR="000A7015" w:rsidRPr="00835753" w14:paraId="2643B59B" w14:textId="77777777" w:rsidTr="001E06A3">
        <w:trPr>
          <w:trHeight w:val="949"/>
        </w:trPr>
        <w:tc>
          <w:tcPr>
            <w:tcW w:w="1384" w:type="dxa"/>
            <w:vAlign w:val="center"/>
          </w:tcPr>
          <w:p w14:paraId="58CCBB0F"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13</w:t>
            </w:r>
          </w:p>
        </w:tc>
        <w:tc>
          <w:tcPr>
            <w:tcW w:w="7655" w:type="dxa"/>
          </w:tcPr>
          <w:p w14:paraId="41311015" w14:textId="45944334"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Łączne ekspozycje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 xml:space="preserve">ułu instrumentów pochodnych </w:t>
            </w:r>
          </w:p>
          <w:p w14:paraId="1242C31C"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835753">
              <w:rPr>
                <w:rStyle w:val="TeksttreciPogrubienie"/>
                <w:rFonts w:ascii="Times New Roman" w:hAnsi="Times New Roman"/>
                <w:b w:val="0"/>
                <w:sz w:val="24"/>
                <w:szCs w:val="24"/>
              </w:rPr>
              <w:t>Suma wierszy 8–12</w:t>
            </w:r>
          </w:p>
        </w:tc>
      </w:tr>
      <w:tr w:rsidR="000A7015" w:rsidRPr="00835753" w14:paraId="3DF46240" w14:textId="77777777" w:rsidTr="001E06A3">
        <w:trPr>
          <w:trHeight w:val="708"/>
        </w:trPr>
        <w:tc>
          <w:tcPr>
            <w:tcW w:w="1384" w:type="dxa"/>
            <w:vAlign w:val="center"/>
          </w:tcPr>
          <w:p w14:paraId="0E9ACA23"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14</w:t>
            </w:r>
          </w:p>
        </w:tc>
        <w:tc>
          <w:tcPr>
            <w:tcW w:w="7655" w:type="dxa"/>
          </w:tcPr>
          <w:p w14:paraId="6349577C" w14:textId="3417187F"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Aktywa</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SFT brutto (bez uwzględnienia kompensowania), po korekcie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transakcji księgowych dotyczących sprzedaży</w:t>
            </w:r>
          </w:p>
          <w:p w14:paraId="0FAE27C9" w14:textId="49C9C4BE"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 ust.</w:t>
            </w:r>
            <w:r w:rsidR="00835753" w:rsidRPr="00835753">
              <w:rPr>
                <w:rFonts w:ascii="Times New Roman" w:hAnsi="Times New Roman"/>
                <w:sz w:val="24"/>
                <w:szCs w:val="24"/>
              </w:rPr>
              <w:t> </w:t>
            </w:r>
            <w:r w:rsidRPr="00835753">
              <w:rPr>
                <w:rFonts w:ascii="Times New Roman" w:hAnsi="Times New Roman"/>
                <w:sz w:val="24"/>
                <w:szCs w:val="24"/>
              </w:rPr>
              <w:t>1 pkt</w:t>
            </w:r>
            <w:r w:rsidR="00835753" w:rsidRPr="00835753">
              <w:rPr>
                <w:rFonts w:ascii="Times New Roman" w:hAnsi="Times New Roman"/>
                <w:sz w:val="24"/>
                <w:szCs w:val="24"/>
              </w:rPr>
              <w:t> </w:t>
            </w:r>
            <w:r w:rsidRPr="00835753">
              <w:rPr>
                <w:rFonts w:ascii="Times New Roman" w:hAnsi="Times New Roman"/>
                <w:sz w:val="24"/>
                <w:szCs w:val="24"/>
              </w:rPr>
              <w:t>77, art.</w:t>
            </w:r>
            <w:r w:rsidR="00835753" w:rsidRPr="00835753">
              <w:rPr>
                <w:rFonts w:ascii="Times New Roman" w:hAnsi="Times New Roman"/>
                <w:sz w:val="24"/>
                <w:szCs w:val="24"/>
              </w:rPr>
              <w:t> </w:t>
            </w:r>
            <w:r w:rsidRPr="00835753">
              <w:rPr>
                <w:rFonts w:ascii="Times New Roman" w:hAnsi="Times New Roman"/>
                <w:sz w:val="24"/>
                <w:szCs w:val="24"/>
              </w:rPr>
              <w:t>206</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429e ust.</w:t>
            </w:r>
            <w:r w:rsidR="00835753" w:rsidRPr="00835753">
              <w:rPr>
                <w:rFonts w:ascii="Times New Roman" w:hAnsi="Times New Roman"/>
                <w:sz w:val="24"/>
                <w:szCs w:val="24"/>
              </w:rPr>
              <w:t> </w:t>
            </w:r>
            <w:r w:rsidRPr="00835753">
              <w:rPr>
                <w:rFonts w:ascii="Times New Roman" w:hAnsi="Times New Roman"/>
                <w:sz w:val="24"/>
                <w:szCs w:val="24"/>
              </w:rPr>
              <w:t>6 CRR</w:t>
            </w:r>
          </w:p>
          <w:p w14:paraId="2739078A" w14:textId="4AD7134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maj</w:t>
            </w:r>
            <w:r w:rsidRPr="00835753">
              <w:rPr>
                <w:rFonts w:ascii="Times New Roman" w:hAnsi="Times New Roman"/>
                <w:sz w:val="24"/>
                <w:szCs w:val="24"/>
              </w:rPr>
              <w:t>ącymi zastosowanie standardami rachunkowości instytucje ujawniają księgową wartość bilansową SFT, zarówno objętych, jak</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nie</w:t>
            </w:r>
            <w:r w:rsidRPr="00835753">
              <w:rPr>
                <w:rFonts w:ascii="Times New Roman" w:hAnsi="Times New Roman"/>
                <w:sz w:val="24"/>
                <w:szCs w:val="24"/>
              </w:rPr>
              <w:t>objętych umową ramową</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kom</w:t>
            </w:r>
            <w:r w:rsidRPr="00835753">
              <w:rPr>
                <w:rFonts w:ascii="Times New Roman" w:hAnsi="Times New Roman"/>
                <w:sz w:val="24"/>
                <w:szCs w:val="24"/>
              </w:rPr>
              <w:t>pensowaniu zobowiązań kwalifikującą się na mocy art.</w:t>
            </w:r>
            <w:r w:rsidR="00835753" w:rsidRPr="00835753">
              <w:rPr>
                <w:rFonts w:ascii="Times New Roman" w:hAnsi="Times New Roman"/>
                <w:sz w:val="24"/>
                <w:szCs w:val="24"/>
              </w:rPr>
              <w:t> </w:t>
            </w:r>
            <w:r w:rsidRPr="00835753">
              <w:rPr>
                <w:rFonts w:ascii="Times New Roman" w:hAnsi="Times New Roman"/>
                <w:sz w:val="24"/>
                <w:szCs w:val="24"/>
              </w:rPr>
              <w:t>206 CRR, jeżeli umowy ujmuje się</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bil</w:t>
            </w:r>
            <w:r w:rsidRPr="00835753">
              <w:rPr>
                <w:rFonts w:ascii="Times New Roman" w:hAnsi="Times New Roman"/>
                <w:sz w:val="24"/>
                <w:szCs w:val="24"/>
              </w:rPr>
              <w:t>ansie jako składnik aktywów, przy założeniu niestosowania kompensat ostrożnościowych lub księgowych ani innych efektów ograniczania ryzyka (tj. księgowa wartość bilansowa skorygowana</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efe</w:t>
            </w:r>
            <w:r w:rsidRPr="00835753">
              <w:rPr>
                <w:rFonts w:ascii="Times New Roman" w:hAnsi="Times New Roman"/>
                <w:sz w:val="24"/>
                <w:szCs w:val="24"/>
              </w:rPr>
              <w:t>kty kompensat księgowych lub ograniczania ryzyka).</w:t>
            </w:r>
          </w:p>
          <w:p w14:paraId="51E2F17A" w14:textId="1F2C8C9D"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Ponadto, jeżeli zaksięgowano sprzedaż</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odn</w:t>
            </w:r>
            <w:r w:rsidRPr="00835753">
              <w:rPr>
                <w:rFonts w:ascii="Times New Roman" w:hAnsi="Times New Roman"/>
                <w:sz w:val="24"/>
                <w:szCs w:val="24"/>
              </w:rPr>
              <w:t>iesieniu do SFT</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ram</w:t>
            </w:r>
            <w:r w:rsidRPr="00835753">
              <w:rPr>
                <w:rFonts w:ascii="Times New Roman" w:hAnsi="Times New Roman"/>
                <w:sz w:val="24"/>
                <w:szCs w:val="24"/>
              </w:rPr>
              <w:t>ach mających zastosowanie standardów rachunkowości, instytucje rozwiązują wszystkie zaksięgowane pozycje dotyczące sprzedaży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429e ust.</w:t>
            </w:r>
            <w:r w:rsidR="00835753" w:rsidRPr="00835753">
              <w:rPr>
                <w:rFonts w:ascii="Times New Roman" w:hAnsi="Times New Roman"/>
                <w:sz w:val="24"/>
                <w:szCs w:val="24"/>
              </w:rPr>
              <w:t> </w:t>
            </w:r>
            <w:r w:rsidRPr="00835753">
              <w:rPr>
                <w:rFonts w:ascii="Times New Roman" w:hAnsi="Times New Roman"/>
                <w:sz w:val="24"/>
                <w:szCs w:val="24"/>
              </w:rPr>
              <w:t>6 CRR.</w:t>
            </w:r>
          </w:p>
          <w:p w14:paraId="0A56C5F1" w14:textId="0387C23E"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tej komórce instytucje nie uwzględniają otrzymanych środków pieniężnych ani żadnych papierów wartościowych przekazanych kontrahentowi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ram</w:t>
            </w:r>
            <w:r w:rsidRPr="00835753">
              <w:rPr>
                <w:rFonts w:ascii="Times New Roman" w:hAnsi="Times New Roman"/>
                <w:sz w:val="24"/>
                <w:szCs w:val="24"/>
              </w:rPr>
              <w:t>ach wyżej wymienionych transakcji</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zac</w:t>
            </w:r>
            <w:r w:rsidRPr="00835753">
              <w:rPr>
                <w:rFonts w:ascii="Times New Roman" w:hAnsi="Times New Roman"/>
                <w:sz w:val="24"/>
                <w:szCs w:val="24"/>
              </w:rPr>
              <w:t>howanych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bil</w:t>
            </w:r>
            <w:r w:rsidRPr="00835753">
              <w:rPr>
                <w:rFonts w:ascii="Times New Roman" w:hAnsi="Times New Roman"/>
                <w:sz w:val="24"/>
                <w:szCs w:val="24"/>
              </w:rPr>
              <w:t>ansie (tj. nie zostały spełnione kryteria rachunkowe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zak</w:t>
            </w:r>
            <w:r w:rsidRPr="00835753">
              <w:rPr>
                <w:rFonts w:ascii="Times New Roman" w:hAnsi="Times New Roman"/>
                <w:sz w:val="24"/>
                <w:szCs w:val="24"/>
              </w:rPr>
              <w:t>resie usunięcia</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bil</w:t>
            </w:r>
            <w:r w:rsidRPr="00835753">
              <w:rPr>
                <w:rFonts w:ascii="Times New Roman" w:hAnsi="Times New Roman"/>
                <w:sz w:val="24"/>
                <w:szCs w:val="24"/>
              </w:rPr>
              <w:t>ansu).</w:t>
            </w:r>
          </w:p>
        </w:tc>
      </w:tr>
      <w:tr w:rsidR="000A7015" w:rsidRPr="00835753" w14:paraId="297DF549" w14:textId="77777777" w:rsidTr="001E06A3">
        <w:trPr>
          <w:trHeight w:val="557"/>
        </w:trPr>
        <w:tc>
          <w:tcPr>
            <w:tcW w:w="1384" w:type="dxa"/>
            <w:vAlign w:val="center"/>
          </w:tcPr>
          <w:p w14:paraId="636A17D3" w14:textId="77777777" w:rsidR="000A7015" w:rsidRPr="00835753" w:rsidRDefault="000A7015" w:rsidP="001E06A3">
            <w:pPr>
              <w:pStyle w:val="Applicationdirecte"/>
              <w:spacing w:before="0"/>
              <w:jc w:val="center"/>
            </w:pPr>
            <w:r w:rsidRPr="00835753">
              <w:t>15</w:t>
            </w:r>
          </w:p>
        </w:tc>
        <w:tc>
          <w:tcPr>
            <w:tcW w:w="7655" w:type="dxa"/>
          </w:tcPr>
          <w:p w14:paraId="7820ED0A" w14:textId="64FB9621"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(Skompensowane kwoty zobowiązań gotówkowych</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wie</w:t>
            </w:r>
            <w:r w:rsidRPr="00835753">
              <w:rPr>
                <w:rStyle w:val="TeksttreciPogrubienie"/>
                <w:rFonts w:ascii="Times New Roman" w:hAnsi="Times New Roman"/>
                <w:sz w:val="24"/>
                <w:szCs w:val="24"/>
              </w:rPr>
              <w:t>rzytelności gotówkowych</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odn</w:t>
            </w:r>
            <w:r w:rsidRPr="00835753">
              <w:rPr>
                <w:rStyle w:val="TeksttreciPogrubienie"/>
                <w:rFonts w:ascii="Times New Roman" w:hAnsi="Times New Roman"/>
                <w:sz w:val="24"/>
                <w:szCs w:val="24"/>
              </w:rPr>
              <w:t>iesieniu do aktywów</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SFT brutto)</w:t>
            </w:r>
          </w:p>
          <w:p w14:paraId="22328E59" w14:textId="21AF2625"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 ust.</w:t>
            </w:r>
            <w:r w:rsidR="00835753" w:rsidRPr="00835753">
              <w:rPr>
                <w:rFonts w:ascii="Times New Roman" w:hAnsi="Times New Roman"/>
                <w:sz w:val="24"/>
                <w:szCs w:val="24"/>
              </w:rPr>
              <w:t> </w:t>
            </w:r>
            <w:r w:rsidRPr="00835753">
              <w:rPr>
                <w:rFonts w:ascii="Times New Roman" w:hAnsi="Times New Roman"/>
                <w:sz w:val="24"/>
                <w:szCs w:val="24"/>
              </w:rPr>
              <w:t>1 pkt</w:t>
            </w:r>
            <w:r w:rsidR="00835753" w:rsidRPr="00835753">
              <w:rPr>
                <w:rFonts w:ascii="Times New Roman" w:hAnsi="Times New Roman"/>
                <w:sz w:val="24"/>
                <w:szCs w:val="24"/>
              </w:rPr>
              <w:t> </w:t>
            </w:r>
            <w:r w:rsidRPr="00835753">
              <w:rPr>
                <w:rFonts w:ascii="Times New Roman" w:hAnsi="Times New Roman"/>
                <w:sz w:val="24"/>
                <w:szCs w:val="24"/>
              </w:rPr>
              <w:t>77, art.</w:t>
            </w:r>
            <w:r w:rsidR="00835753" w:rsidRPr="00835753">
              <w:rPr>
                <w:rFonts w:ascii="Times New Roman" w:hAnsi="Times New Roman"/>
                <w:sz w:val="24"/>
                <w:szCs w:val="24"/>
              </w:rPr>
              <w:t> </w:t>
            </w:r>
            <w:r w:rsidRPr="00835753">
              <w:rPr>
                <w:rFonts w:ascii="Times New Roman" w:hAnsi="Times New Roman"/>
                <w:sz w:val="24"/>
                <w:szCs w:val="24"/>
              </w:rPr>
              <w:t>206, art.</w:t>
            </w:r>
            <w:r w:rsidR="00835753" w:rsidRPr="00835753">
              <w:rPr>
                <w:rFonts w:ascii="Times New Roman" w:hAnsi="Times New Roman"/>
                <w:sz w:val="24"/>
                <w:szCs w:val="24"/>
              </w:rPr>
              <w:t> </w:t>
            </w:r>
            <w:r w:rsidRPr="00835753">
              <w:rPr>
                <w:rFonts w:ascii="Times New Roman" w:hAnsi="Times New Roman"/>
                <w:sz w:val="24"/>
                <w:szCs w:val="24"/>
              </w:rPr>
              <w:t>429b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b), art.</w:t>
            </w:r>
            <w:r w:rsidR="00835753" w:rsidRPr="00835753">
              <w:rPr>
                <w:rFonts w:ascii="Times New Roman" w:hAnsi="Times New Roman"/>
                <w:sz w:val="24"/>
                <w:szCs w:val="24"/>
              </w:rPr>
              <w:t> </w:t>
            </w:r>
            <w:r w:rsidRPr="00835753">
              <w:rPr>
                <w:rFonts w:ascii="Times New Roman" w:hAnsi="Times New Roman"/>
                <w:sz w:val="24"/>
                <w:szCs w:val="24"/>
              </w:rPr>
              <w:t>429b ust.</w:t>
            </w:r>
            <w:r w:rsidR="00835753" w:rsidRPr="00835753">
              <w:rPr>
                <w:rFonts w:ascii="Times New Roman" w:hAnsi="Times New Roman"/>
                <w:sz w:val="24"/>
                <w:szCs w:val="24"/>
              </w:rPr>
              <w:t> </w:t>
            </w:r>
            <w:r w:rsidRPr="00835753">
              <w:rPr>
                <w:rFonts w:ascii="Times New Roman" w:hAnsi="Times New Roman"/>
                <w:sz w:val="24"/>
                <w:szCs w:val="24"/>
              </w:rPr>
              <w:t>4</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429e ust.</w:t>
            </w:r>
            <w:r w:rsidR="00835753" w:rsidRPr="00835753">
              <w:rPr>
                <w:rFonts w:ascii="Times New Roman" w:hAnsi="Times New Roman"/>
                <w:sz w:val="24"/>
                <w:szCs w:val="24"/>
              </w:rPr>
              <w:t> </w:t>
            </w:r>
            <w:r w:rsidRPr="00835753">
              <w:rPr>
                <w:rFonts w:ascii="Times New Roman" w:hAnsi="Times New Roman"/>
                <w:sz w:val="24"/>
                <w:szCs w:val="24"/>
              </w:rPr>
              <w:t>6 CRR.</w:t>
            </w:r>
          </w:p>
          <w:p w14:paraId="088BAD99" w14:textId="04CE1AA1"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kwotę zobowiązań gotówkowych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odn</w:t>
            </w:r>
            <w:r w:rsidRPr="00835753">
              <w:rPr>
                <w:rFonts w:ascii="Times New Roman" w:hAnsi="Times New Roman"/>
                <w:sz w:val="24"/>
                <w:szCs w:val="24"/>
              </w:rPr>
              <w:t>iesieniu do aktywów</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SFT brutto, które zostały skompensowane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429b ust.</w:t>
            </w:r>
            <w:r w:rsidR="00835753" w:rsidRPr="00835753">
              <w:rPr>
                <w:rFonts w:ascii="Times New Roman" w:hAnsi="Times New Roman"/>
                <w:sz w:val="24"/>
                <w:szCs w:val="24"/>
              </w:rPr>
              <w:t> </w:t>
            </w:r>
            <w:r w:rsidRPr="00835753">
              <w:rPr>
                <w:rFonts w:ascii="Times New Roman" w:hAnsi="Times New Roman"/>
                <w:sz w:val="24"/>
                <w:szCs w:val="24"/>
              </w:rPr>
              <w:t>4 CRR.</w:t>
            </w:r>
          </w:p>
          <w:p w14:paraId="718F8213" w14:textId="54E55B70"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korekta ta zmniejsza miarę ekspozycji całkowitej,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2EEFD02A" w14:textId="77777777" w:rsidTr="001E06A3">
        <w:trPr>
          <w:trHeight w:val="2265"/>
        </w:trPr>
        <w:tc>
          <w:tcPr>
            <w:tcW w:w="1384" w:type="dxa"/>
            <w:vAlign w:val="center"/>
          </w:tcPr>
          <w:p w14:paraId="6037B807"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16</w:t>
            </w:r>
          </w:p>
        </w:tc>
        <w:tc>
          <w:tcPr>
            <w:tcW w:w="7655" w:type="dxa"/>
          </w:tcPr>
          <w:p w14:paraId="549BBB75" w14:textId="3DBF22D8"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Ekspozycja na ryzyko kredytowe kontrahenta</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odn</w:t>
            </w:r>
            <w:r w:rsidRPr="00835753">
              <w:rPr>
                <w:rStyle w:val="TeksttreciPogrubienie"/>
                <w:rFonts w:ascii="Times New Roman" w:hAnsi="Times New Roman"/>
                <w:sz w:val="24"/>
                <w:szCs w:val="24"/>
              </w:rPr>
              <w:t>iesieniu do aktywów SFT</w:t>
            </w:r>
          </w:p>
          <w:p w14:paraId="75736C50"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429e ust. 1 CRR</w:t>
            </w:r>
          </w:p>
          <w:p w14:paraId="680F4015" w14:textId="7F2CAC50"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narzut</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ryzyka kredytowego kontrahenta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odn</w:t>
            </w:r>
            <w:r w:rsidRPr="00835753">
              <w:rPr>
                <w:rFonts w:ascii="Times New Roman" w:hAnsi="Times New Roman"/>
                <w:sz w:val="24"/>
                <w:szCs w:val="24"/>
              </w:rPr>
              <w:t>iesieniu do SFT,</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transakcji pozabilansowych, ustalonych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429e ust.</w:t>
            </w:r>
            <w:r w:rsidR="00835753" w:rsidRPr="00835753">
              <w:rPr>
                <w:rFonts w:ascii="Times New Roman" w:hAnsi="Times New Roman"/>
                <w:sz w:val="24"/>
                <w:szCs w:val="24"/>
              </w:rPr>
              <w:t> </w:t>
            </w:r>
            <w:r w:rsidRPr="00835753">
              <w:rPr>
                <w:rFonts w:ascii="Times New Roman" w:hAnsi="Times New Roman"/>
                <w:sz w:val="24"/>
                <w:szCs w:val="24"/>
              </w:rPr>
              <w:t>2 lub</w:t>
            </w:r>
            <w:r w:rsidR="00835753" w:rsidRPr="00835753">
              <w:rPr>
                <w:rFonts w:ascii="Times New Roman" w:hAnsi="Times New Roman"/>
                <w:sz w:val="24"/>
                <w:szCs w:val="24"/>
              </w:rPr>
              <w:t> </w:t>
            </w:r>
            <w:r w:rsidRPr="00835753">
              <w:rPr>
                <w:rFonts w:ascii="Times New Roman" w:hAnsi="Times New Roman"/>
                <w:sz w:val="24"/>
                <w:szCs w:val="24"/>
              </w:rPr>
              <w:t>3 CRR, stosownie do przypadku.</w:t>
            </w:r>
          </w:p>
          <w:p w14:paraId="2C1A4BC2" w14:textId="35296DB6"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tej komórce instytucje uwzględniają transakcje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429e ust.</w:t>
            </w:r>
            <w:r w:rsidR="00835753" w:rsidRPr="00835753">
              <w:rPr>
                <w:rFonts w:ascii="Times New Roman" w:hAnsi="Times New Roman"/>
                <w:sz w:val="24"/>
                <w:szCs w:val="24"/>
              </w:rPr>
              <w:t> </w:t>
            </w:r>
            <w:r w:rsidRPr="00835753">
              <w:rPr>
                <w:rFonts w:ascii="Times New Roman" w:hAnsi="Times New Roman"/>
                <w:sz w:val="24"/>
                <w:szCs w:val="24"/>
              </w:rPr>
              <w:t>7 lit.</w:t>
            </w:r>
            <w:r w:rsidR="00835753" w:rsidRPr="00835753">
              <w:rPr>
                <w:rFonts w:ascii="Times New Roman" w:hAnsi="Times New Roman"/>
                <w:sz w:val="24"/>
                <w:szCs w:val="24"/>
              </w:rPr>
              <w:t> </w:t>
            </w:r>
            <w:r w:rsidRPr="00835753">
              <w:rPr>
                <w:rFonts w:ascii="Times New Roman" w:hAnsi="Times New Roman"/>
                <w:sz w:val="24"/>
                <w:szCs w:val="24"/>
              </w:rPr>
              <w:t>c) CRR.</w:t>
            </w:r>
          </w:p>
          <w:p w14:paraId="07D91B0F" w14:textId="0BACB286"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nie uwzględniają</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tej</w:t>
            </w:r>
            <w:r w:rsidRPr="00835753">
              <w:rPr>
                <w:rFonts w:ascii="Times New Roman" w:hAnsi="Times New Roman"/>
                <w:sz w:val="24"/>
                <w:szCs w:val="24"/>
              </w:rPr>
              <w:t xml:space="preserve"> komórce SFT zawieranych przez pośrednika, jeżeli instytucja udziela klientowi lub kontrahentowi zabezpieczenia lub gwarancji, ograniczających się do różnicy między wartością papierów wartościowych lub środków pieniężnych pożyczonych przez klienta</w:t>
            </w:r>
            <w:r w:rsidR="00835753" w:rsidRPr="00835753">
              <w:rPr>
                <w:rFonts w:ascii="Times New Roman" w:hAnsi="Times New Roman"/>
                <w:sz w:val="24"/>
                <w:szCs w:val="24"/>
              </w:rPr>
              <w:t xml:space="preserve"> a</w:t>
            </w:r>
            <w:r w:rsidR="00835753">
              <w:rPr>
                <w:rFonts w:ascii="Times New Roman" w:hAnsi="Times New Roman"/>
                <w:sz w:val="24"/>
                <w:szCs w:val="24"/>
              </w:rPr>
              <w:t> </w:t>
            </w:r>
            <w:r w:rsidR="00835753" w:rsidRPr="00835753">
              <w:rPr>
                <w:rFonts w:ascii="Times New Roman" w:hAnsi="Times New Roman"/>
                <w:sz w:val="24"/>
                <w:szCs w:val="24"/>
              </w:rPr>
              <w:t>war</w:t>
            </w:r>
            <w:r w:rsidRPr="00835753">
              <w:rPr>
                <w:rFonts w:ascii="Times New Roman" w:hAnsi="Times New Roman"/>
                <w:sz w:val="24"/>
                <w:szCs w:val="24"/>
              </w:rPr>
              <w:t>tością zabezpieczenia zapewnionego przez kredytobiorcę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429e ust.</w:t>
            </w:r>
            <w:r w:rsidR="00835753" w:rsidRPr="00835753">
              <w:rPr>
                <w:rFonts w:ascii="Times New Roman" w:hAnsi="Times New Roman"/>
                <w:sz w:val="24"/>
                <w:szCs w:val="24"/>
              </w:rPr>
              <w:t> </w:t>
            </w:r>
            <w:r w:rsidRPr="00835753">
              <w:rPr>
                <w:rFonts w:ascii="Times New Roman" w:hAnsi="Times New Roman"/>
                <w:sz w:val="24"/>
                <w:szCs w:val="24"/>
              </w:rPr>
              <w:t>7 lit.</w:t>
            </w:r>
            <w:r w:rsidR="00835753" w:rsidRPr="00835753">
              <w:rPr>
                <w:rFonts w:ascii="Times New Roman" w:hAnsi="Times New Roman"/>
                <w:sz w:val="24"/>
                <w:szCs w:val="24"/>
              </w:rPr>
              <w:t> </w:t>
            </w:r>
            <w:r w:rsidRPr="00835753">
              <w:rPr>
                <w:rFonts w:ascii="Times New Roman" w:hAnsi="Times New Roman"/>
                <w:sz w:val="24"/>
                <w:szCs w:val="24"/>
              </w:rPr>
              <w:t xml:space="preserve">a) CRR. </w:t>
            </w:r>
          </w:p>
        </w:tc>
      </w:tr>
      <w:tr w:rsidR="000A7015" w:rsidRPr="00835753" w14:paraId="3FDBFA21" w14:textId="77777777" w:rsidTr="00CE0D13">
        <w:trPr>
          <w:trHeight w:val="555"/>
        </w:trPr>
        <w:tc>
          <w:tcPr>
            <w:tcW w:w="1384" w:type="dxa"/>
            <w:vAlign w:val="center"/>
          </w:tcPr>
          <w:p w14:paraId="41119A33"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EU-16a</w:t>
            </w:r>
          </w:p>
        </w:tc>
        <w:tc>
          <w:tcPr>
            <w:tcW w:w="7655" w:type="dxa"/>
          </w:tcPr>
          <w:p w14:paraId="5B55602E" w14:textId="369FD10D"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Odstępstwo</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odn</w:t>
            </w:r>
            <w:r w:rsidRPr="00835753">
              <w:rPr>
                <w:rStyle w:val="TeksttreciPogrubienie"/>
                <w:rFonts w:ascii="Times New Roman" w:hAnsi="Times New Roman"/>
                <w:sz w:val="24"/>
                <w:szCs w:val="24"/>
              </w:rPr>
              <w:t>iesieniu do SFT: Ekspozycja na ryzyko kredytowe kontrahenta zgodnie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art</w:t>
            </w:r>
            <w:r w:rsidRPr="00835753">
              <w:rPr>
                <w:rStyle w:val="TeksttreciPogrubienie"/>
                <w:rFonts w:ascii="Times New Roman" w:hAnsi="Times New Roman"/>
                <w:sz w:val="24"/>
                <w:szCs w:val="24"/>
              </w:rPr>
              <w:t>. 429e ust. 5</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art</w:t>
            </w:r>
            <w:r w:rsidRPr="00835753">
              <w:rPr>
                <w:rStyle w:val="TeksttreciPogrubienie"/>
                <w:rFonts w:ascii="Times New Roman" w:hAnsi="Times New Roman"/>
                <w:sz w:val="24"/>
                <w:szCs w:val="24"/>
              </w:rPr>
              <w:t>. 222 CRR</w:t>
            </w:r>
          </w:p>
          <w:p w14:paraId="7557B3C0" w14:textId="77726453"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429e ust.</w:t>
            </w:r>
            <w:r w:rsidR="00835753" w:rsidRPr="00835753">
              <w:rPr>
                <w:rFonts w:ascii="Times New Roman" w:hAnsi="Times New Roman"/>
                <w:sz w:val="24"/>
                <w:szCs w:val="24"/>
              </w:rPr>
              <w:t> </w:t>
            </w:r>
            <w:r w:rsidRPr="00835753">
              <w:rPr>
                <w:rFonts w:ascii="Times New Roman" w:hAnsi="Times New Roman"/>
                <w:sz w:val="24"/>
                <w:szCs w:val="24"/>
              </w:rPr>
              <w:t>5</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222 CRR</w:t>
            </w:r>
          </w:p>
          <w:p w14:paraId="4097D44C" w14:textId="1AFBD0AD"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narzut</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odn</w:t>
            </w:r>
            <w:r w:rsidRPr="00835753">
              <w:rPr>
                <w:rFonts w:ascii="Times New Roman" w:hAnsi="Times New Roman"/>
                <w:sz w:val="24"/>
                <w:szCs w:val="24"/>
              </w:rPr>
              <w:t>iesieniu do SFT,</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transakcji pozabilansowych, obliczonych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222 CRR,</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zac</w:t>
            </w:r>
            <w:r w:rsidRPr="00835753">
              <w:rPr>
                <w:rFonts w:ascii="Times New Roman" w:hAnsi="Times New Roman"/>
                <w:sz w:val="24"/>
                <w:szCs w:val="24"/>
              </w:rPr>
              <w:t>howaniem pułapu na poziomie 20</w:t>
            </w:r>
            <w:r w:rsidR="00835753" w:rsidRPr="00835753">
              <w:rPr>
                <w:rFonts w:ascii="Times New Roman" w:hAnsi="Times New Roman"/>
                <w:sz w:val="24"/>
                <w:szCs w:val="24"/>
              </w:rPr>
              <w:t> </w:t>
            </w:r>
            <w:r w:rsidRPr="00835753">
              <w:rPr>
                <w:rFonts w:ascii="Times New Roman" w:hAnsi="Times New Roman"/>
                <w:sz w:val="24"/>
                <w:szCs w:val="24"/>
              </w:rPr>
              <w:t>%</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odn</w:t>
            </w:r>
            <w:r w:rsidRPr="00835753">
              <w:rPr>
                <w:rFonts w:ascii="Times New Roman" w:hAnsi="Times New Roman"/>
                <w:sz w:val="24"/>
                <w:szCs w:val="24"/>
              </w:rPr>
              <w:t>iesieniu do mającej zastosowanie wagi ryzyka.</w:t>
            </w:r>
          </w:p>
          <w:p w14:paraId="1BB831B7" w14:textId="6789F99B"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tej komórce instytucje uwzględniają transakcje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429e ust.</w:t>
            </w:r>
            <w:r w:rsidR="00835753" w:rsidRPr="00835753">
              <w:rPr>
                <w:rFonts w:ascii="Times New Roman" w:hAnsi="Times New Roman"/>
                <w:sz w:val="24"/>
                <w:szCs w:val="24"/>
              </w:rPr>
              <w:t> </w:t>
            </w:r>
            <w:r w:rsidRPr="00835753">
              <w:rPr>
                <w:rFonts w:ascii="Times New Roman" w:hAnsi="Times New Roman"/>
                <w:sz w:val="24"/>
                <w:szCs w:val="24"/>
              </w:rPr>
              <w:t>7 lit.</w:t>
            </w:r>
            <w:r w:rsidR="00835753" w:rsidRPr="00835753">
              <w:rPr>
                <w:rFonts w:ascii="Times New Roman" w:hAnsi="Times New Roman"/>
                <w:sz w:val="24"/>
                <w:szCs w:val="24"/>
              </w:rPr>
              <w:t> </w:t>
            </w:r>
            <w:r w:rsidRPr="00835753">
              <w:rPr>
                <w:rFonts w:ascii="Times New Roman" w:hAnsi="Times New Roman"/>
                <w:sz w:val="24"/>
                <w:szCs w:val="24"/>
              </w:rPr>
              <w:t>c) CRR.</w:t>
            </w:r>
          </w:p>
          <w:p w14:paraId="0458059D" w14:textId="4CD9AB1C"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nie uwzględniają</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tej</w:t>
            </w:r>
            <w:r w:rsidRPr="00835753">
              <w:rPr>
                <w:rFonts w:ascii="Times New Roman" w:hAnsi="Times New Roman"/>
                <w:sz w:val="24"/>
                <w:szCs w:val="24"/>
              </w:rPr>
              <w:t xml:space="preserve"> komórce transakcji,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odn</w:t>
            </w:r>
            <w:r w:rsidRPr="00835753">
              <w:rPr>
                <w:rFonts w:ascii="Times New Roman" w:hAnsi="Times New Roman"/>
                <w:sz w:val="24"/>
                <w:szCs w:val="24"/>
              </w:rPr>
              <w:t>iesieniu do których wartość narzutu uwzględniona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war</w:t>
            </w:r>
            <w:r w:rsidRPr="00835753">
              <w:rPr>
                <w:rFonts w:ascii="Times New Roman" w:hAnsi="Times New Roman"/>
                <w:sz w:val="24"/>
                <w:szCs w:val="24"/>
              </w:rPr>
              <w:t>tości ekspozycji wskaźnika dźwigni ustalana jest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met</w:t>
            </w:r>
            <w:r w:rsidRPr="00835753">
              <w:rPr>
                <w:rFonts w:ascii="Times New Roman" w:hAnsi="Times New Roman"/>
                <w:sz w:val="24"/>
                <w:szCs w:val="24"/>
              </w:rPr>
              <w:t>odą określoną</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429e ust.</w:t>
            </w:r>
            <w:r w:rsidR="00835753" w:rsidRPr="00835753">
              <w:rPr>
                <w:rFonts w:ascii="Times New Roman" w:hAnsi="Times New Roman"/>
                <w:sz w:val="24"/>
                <w:szCs w:val="24"/>
              </w:rPr>
              <w:t> </w:t>
            </w:r>
            <w:r w:rsidRPr="00835753">
              <w:rPr>
                <w:rFonts w:ascii="Times New Roman" w:hAnsi="Times New Roman"/>
                <w:sz w:val="24"/>
                <w:szCs w:val="24"/>
              </w:rPr>
              <w:t>1 CRR.</w:t>
            </w:r>
          </w:p>
        </w:tc>
      </w:tr>
      <w:tr w:rsidR="000A7015" w:rsidRPr="00835753" w14:paraId="0937C469" w14:textId="77777777" w:rsidTr="001E06A3">
        <w:trPr>
          <w:trHeight w:val="1134"/>
        </w:trPr>
        <w:tc>
          <w:tcPr>
            <w:tcW w:w="1384" w:type="dxa"/>
            <w:vAlign w:val="center"/>
          </w:tcPr>
          <w:p w14:paraId="75179043"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17</w:t>
            </w:r>
          </w:p>
        </w:tc>
        <w:tc>
          <w:tcPr>
            <w:tcW w:w="7655" w:type="dxa"/>
          </w:tcPr>
          <w:p w14:paraId="24065719" w14:textId="073DC3BD"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Ekspozycje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transakcji zawieranych poprzez pośrednika</w:t>
            </w:r>
          </w:p>
          <w:p w14:paraId="22481E32" w14:textId="176EBA8A"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429e ust.</w:t>
            </w:r>
            <w:r w:rsidR="00835753" w:rsidRPr="00835753">
              <w:rPr>
                <w:rFonts w:ascii="Times New Roman" w:hAnsi="Times New Roman"/>
                <w:sz w:val="24"/>
                <w:szCs w:val="24"/>
              </w:rPr>
              <w:t> </w:t>
            </w:r>
            <w:r w:rsidRPr="00835753">
              <w:rPr>
                <w:rFonts w:ascii="Times New Roman" w:hAnsi="Times New Roman"/>
                <w:sz w:val="24"/>
                <w:szCs w:val="24"/>
              </w:rPr>
              <w:t>2</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3</w:t>
            </w:r>
            <w:r w:rsidRPr="00835753">
              <w:rPr>
                <w:rFonts w:ascii="Times New Roman" w:hAnsi="Times New Roman"/>
                <w:sz w:val="24"/>
                <w:szCs w:val="24"/>
              </w:rPr>
              <w:t xml:space="preserve"> oraz art.</w:t>
            </w:r>
            <w:r w:rsidR="00835753" w:rsidRPr="00835753">
              <w:rPr>
                <w:rFonts w:ascii="Times New Roman" w:hAnsi="Times New Roman"/>
                <w:sz w:val="24"/>
                <w:szCs w:val="24"/>
              </w:rPr>
              <w:t> </w:t>
            </w:r>
            <w:r w:rsidRPr="00835753">
              <w:rPr>
                <w:rFonts w:ascii="Times New Roman" w:hAnsi="Times New Roman"/>
                <w:sz w:val="24"/>
                <w:szCs w:val="24"/>
              </w:rPr>
              <w:t>429e ust.</w:t>
            </w:r>
            <w:r w:rsidR="00835753" w:rsidRPr="00835753">
              <w:rPr>
                <w:rFonts w:ascii="Times New Roman" w:hAnsi="Times New Roman"/>
                <w:sz w:val="24"/>
                <w:szCs w:val="24"/>
              </w:rPr>
              <w:t> </w:t>
            </w:r>
            <w:r w:rsidRPr="00835753">
              <w:rPr>
                <w:rFonts w:ascii="Times New Roman" w:hAnsi="Times New Roman"/>
                <w:sz w:val="24"/>
                <w:szCs w:val="24"/>
              </w:rPr>
              <w:t>7 lit.</w:t>
            </w:r>
            <w:r w:rsidR="00835753" w:rsidRPr="00835753">
              <w:rPr>
                <w:rFonts w:ascii="Times New Roman" w:hAnsi="Times New Roman"/>
                <w:sz w:val="24"/>
                <w:szCs w:val="24"/>
              </w:rPr>
              <w:t> </w:t>
            </w:r>
            <w:r w:rsidRPr="00835753">
              <w:rPr>
                <w:rFonts w:ascii="Times New Roman" w:hAnsi="Times New Roman"/>
                <w:sz w:val="24"/>
                <w:szCs w:val="24"/>
              </w:rPr>
              <w:t>a) CRR</w:t>
            </w:r>
          </w:p>
          <w:p w14:paraId="43BB1BE9" w14:textId="17B50C11"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wartość ekspozycji</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SFT zawieranych przez pośrednika, jeżeli instytucja udziela klientowi lub kontrahentowi zabezpieczenia lub gwarancji, ograniczających się do różnicy między wartością papierów wartościowych lub środków pieniężnych pożyczonych przez klienta</w:t>
            </w:r>
            <w:r w:rsidR="00835753" w:rsidRPr="00835753">
              <w:rPr>
                <w:rFonts w:ascii="Times New Roman" w:hAnsi="Times New Roman"/>
                <w:sz w:val="24"/>
                <w:szCs w:val="24"/>
              </w:rPr>
              <w:t xml:space="preserve"> a</w:t>
            </w:r>
            <w:r w:rsidR="00835753">
              <w:rPr>
                <w:rFonts w:ascii="Times New Roman" w:hAnsi="Times New Roman"/>
                <w:sz w:val="24"/>
                <w:szCs w:val="24"/>
              </w:rPr>
              <w:t> </w:t>
            </w:r>
            <w:r w:rsidR="00835753" w:rsidRPr="00835753">
              <w:rPr>
                <w:rFonts w:ascii="Times New Roman" w:hAnsi="Times New Roman"/>
                <w:sz w:val="24"/>
                <w:szCs w:val="24"/>
              </w:rPr>
              <w:t>war</w:t>
            </w:r>
            <w:r w:rsidRPr="00835753">
              <w:rPr>
                <w:rFonts w:ascii="Times New Roman" w:hAnsi="Times New Roman"/>
                <w:sz w:val="24"/>
                <w:szCs w:val="24"/>
              </w:rPr>
              <w:t>tością zabezpieczenia zapewnionego przez kredytobiorcę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429e ust.</w:t>
            </w:r>
            <w:r w:rsidR="00835753" w:rsidRPr="00835753">
              <w:rPr>
                <w:rFonts w:ascii="Times New Roman" w:hAnsi="Times New Roman"/>
                <w:sz w:val="24"/>
                <w:szCs w:val="24"/>
              </w:rPr>
              <w:t> </w:t>
            </w:r>
            <w:r w:rsidRPr="00835753">
              <w:rPr>
                <w:rFonts w:ascii="Times New Roman" w:hAnsi="Times New Roman"/>
                <w:sz w:val="24"/>
                <w:szCs w:val="24"/>
              </w:rPr>
              <w:t>7 lit.</w:t>
            </w:r>
            <w:r w:rsidR="00835753" w:rsidRPr="00835753">
              <w:rPr>
                <w:rFonts w:ascii="Times New Roman" w:hAnsi="Times New Roman"/>
                <w:sz w:val="24"/>
                <w:szCs w:val="24"/>
              </w:rPr>
              <w:t> </w:t>
            </w:r>
            <w:r w:rsidRPr="00835753">
              <w:rPr>
                <w:rFonts w:ascii="Times New Roman" w:hAnsi="Times New Roman"/>
                <w:sz w:val="24"/>
                <w:szCs w:val="24"/>
              </w:rPr>
              <w:t>a) CRR. Wartość ekspozycji będzie obejmować wyłącznie narzut ustalony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429e ust.</w:t>
            </w:r>
            <w:r w:rsidR="00835753" w:rsidRPr="00835753">
              <w:rPr>
                <w:rFonts w:ascii="Times New Roman" w:hAnsi="Times New Roman"/>
                <w:sz w:val="24"/>
                <w:szCs w:val="24"/>
              </w:rPr>
              <w:t> </w:t>
            </w:r>
            <w:r w:rsidRPr="00835753">
              <w:rPr>
                <w:rFonts w:ascii="Times New Roman" w:hAnsi="Times New Roman"/>
                <w:sz w:val="24"/>
                <w:szCs w:val="24"/>
              </w:rPr>
              <w:t>2 lub</w:t>
            </w:r>
            <w:r w:rsidR="00835753" w:rsidRPr="00835753">
              <w:rPr>
                <w:rFonts w:ascii="Times New Roman" w:hAnsi="Times New Roman"/>
                <w:sz w:val="24"/>
                <w:szCs w:val="24"/>
              </w:rPr>
              <w:t> </w:t>
            </w:r>
            <w:r w:rsidRPr="00835753">
              <w:rPr>
                <w:rFonts w:ascii="Times New Roman" w:hAnsi="Times New Roman"/>
                <w:sz w:val="24"/>
                <w:szCs w:val="24"/>
              </w:rPr>
              <w:t>3 CRR, stosownie do przypadku.</w:t>
            </w:r>
          </w:p>
          <w:p w14:paraId="7C2A98E0" w14:textId="4150D3FE"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tej komórce instytucje nie uwzględniają transakcji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429e ust.</w:t>
            </w:r>
            <w:r w:rsidR="00835753" w:rsidRPr="00835753">
              <w:rPr>
                <w:rFonts w:ascii="Times New Roman" w:hAnsi="Times New Roman"/>
                <w:sz w:val="24"/>
                <w:szCs w:val="24"/>
              </w:rPr>
              <w:t> </w:t>
            </w:r>
            <w:r w:rsidRPr="00835753">
              <w:rPr>
                <w:rFonts w:ascii="Times New Roman" w:hAnsi="Times New Roman"/>
                <w:sz w:val="24"/>
                <w:szCs w:val="24"/>
              </w:rPr>
              <w:t>7 lit.</w:t>
            </w:r>
            <w:r w:rsidR="00835753" w:rsidRPr="00835753">
              <w:rPr>
                <w:rFonts w:ascii="Times New Roman" w:hAnsi="Times New Roman"/>
                <w:sz w:val="24"/>
                <w:szCs w:val="24"/>
              </w:rPr>
              <w:t> </w:t>
            </w:r>
            <w:r w:rsidRPr="00835753">
              <w:rPr>
                <w:rFonts w:ascii="Times New Roman" w:hAnsi="Times New Roman"/>
                <w:sz w:val="24"/>
                <w:szCs w:val="24"/>
              </w:rPr>
              <w:t>c) CRR.</w:t>
            </w:r>
          </w:p>
        </w:tc>
      </w:tr>
      <w:tr w:rsidR="000A7015" w:rsidRPr="00835753" w14:paraId="51C4941D" w14:textId="77777777" w:rsidTr="001E06A3">
        <w:trPr>
          <w:trHeight w:val="978"/>
        </w:trPr>
        <w:tc>
          <w:tcPr>
            <w:tcW w:w="1384" w:type="dxa"/>
            <w:vAlign w:val="center"/>
          </w:tcPr>
          <w:p w14:paraId="3B76AD83"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EU-17a</w:t>
            </w:r>
          </w:p>
        </w:tc>
        <w:tc>
          <w:tcPr>
            <w:tcW w:w="7655" w:type="dxa"/>
          </w:tcPr>
          <w:p w14:paraId="52EB4B5D" w14:textId="42414A4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(Wyłączone ekspozycje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SFT rozliczanych za pośrednictwem klienta</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odn</w:t>
            </w:r>
            <w:r w:rsidRPr="00835753">
              <w:rPr>
                <w:rStyle w:val="TeksttreciPogrubienie"/>
                <w:rFonts w:ascii="Times New Roman" w:hAnsi="Times New Roman"/>
                <w:sz w:val="24"/>
                <w:szCs w:val="24"/>
              </w:rPr>
              <w:t>iesieniu do składnika rozliczanego</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kon</w:t>
            </w:r>
            <w:r w:rsidRPr="00835753">
              <w:rPr>
                <w:rStyle w:val="TeksttreciPogrubienie"/>
                <w:rFonts w:ascii="Times New Roman" w:hAnsi="Times New Roman"/>
                <w:sz w:val="24"/>
                <w:szCs w:val="24"/>
              </w:rPr>
              <w:t>trahentem centralnym)</w:t>
            </w:r>
          </w:p>
          <w:p w14:paraId="27B70148" w14:textId="238A1B9D"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lastRenderedPageBreak/>
              <w:t>Art. 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g) i h) oraz art.</w:t>
            </w:r>
            <w:r w:rsidR="00835753" w:rsidRPr="00835753">
              <w:rPr>
                <w:rFonts w:ascii="Times New Roman" w:hAnsi="Times New Roman"/>
                <w:sz w:val="24"/>
                <w:szCs w:val="24"/>
              </w:rPr>
              <w:t> </w:t>
            </w:r>
            <w:r w:rsidRPr="00835753">
              <w:rPr>
                <w:rFonts w:ascii="Times New Roman" w:hAnsi="Times New Roman"/>
                <w:sz w:val="24"/>
                <w:szCs w:val="24"/>
              </w:rPr>
              <w:t>306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 xml:space="preserve">c) CRR </w:t>
            </w:r>
          </w:p>
          <w:p w14:paraId="32B90079" w14:textId="54165A0C"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wyłączone ekspozycje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SFT rozliczanych za pośrednictwem klienta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odn</w:t>
            </w:r>
            <w:r w:rsidRPr="00835753">
              <w:rPr>
                <w:rFonts w:ascii="Times New Roman" w:hAnsi="Times New Roman"/>
                <w:sz w:val="24"/>
                <w:szCs w:val="24"/>
              </w:rPr>
              <w:t>iesieniu do składnika rozliczanego</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kon</w:t>
            </w:r>
            <w:r w:rsidRPr="00835753">
              <w:rPr>
                <w:rFonts w:ascii="Times New Roman" w:hAnsi="Times New Roman"/>
                <w:sz w:val="24"/>
                <w:szCs w:val="24"/>
              </w:rPr>
              <w:t>trahentem centralnym, pod warunkiem że pozycje te spełniają warunki określone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306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c) CRR.</w:t>
            </w:r>
          </w:p>
          <w:p w14:paraId="7E53E936" w14:textId="5F971ECD"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przypadku gdy wyłączony składnik rozliczany</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kon</w:t>
            </w:r>
            <w:r w:rsidRPr="00835753">
              <w:rPr>
                <w:rFonts w:ascii="Times New Roman" w:hAnsi="Times New Roman"/>
                <w:sz w:val="24"/>
                <w:szCs w:val="24"/>
              </w:rPr>
              <w:t>trahentem centralnym jest papierem wartościowym, nie uwzględnia się go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tej</w:t>
            </w:r>
            <w:r w:rsidRPr="00835753">
              <w:rPr>
                <w:rFonts w:ascii="Times New Roman" w:hAnsi="Times New Roman"/>
                <w:sz w:val="24"/>
                <w:szCs w:val="24"/>
              </w:rPr>
              <w:t xml:space="preserve"> komórce, chyba że jest to papier wartościowy obciążony innym zastawem, który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maj</w:t>
            </w:r>
            <w:r w:rsidRPr="00835753">
              <w:rPr>
                <w:rFonts w:ascii="Times New Roman" w:hAnsi="Times New Roman"/>
                <w:sz w:val="24"/>
                <w:szCs w:val="24"/>
              </w:rPr>
              <w:t>ącymi zastosowanie standardami rachunkowości (tj.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111 ust.</w:t>
            </w:r>
            <w:r w:rsidR="00835753" w:rsidRPr="00835753">
              <w:rPr>
                <w:rFonts w:ascii="Times New Roman" w:hAnsi="Times New Roman"/>
                <w:sz w:val="24"/>
                <w:szCs w:val="24"/>
              </w:rPr>
              <w:t> </w:t>
            </w:r>
            <w:r w:rsidRPr="00835753">
              <w:rPr>
                <w:rFonts w:ascii="Times New Roman" w:hAnsi="Times New Roman"/>
                <w:sz w:val="24"/>
                <w:szCs w:val="24"/>
              </w:rPr>
              <w:t>1 zdanie pierwsze CRR) ujęto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peł</w:t>
            </w:r>
            <w:r w:rsidRPr="00835753">
              <w:rPr>
                <w:rFonts w:ascii="Times New Roman" w:hAnsi="Times New Roman"/>
                <w:sz w:val="24"/>
                <w:szCs w:val="24"/>
              </w:rPr>
              <w:t>nej wartości.</w:t>
            </w:r>
          </w:p>
          <w:p w14:paraId="7426B2DA" w14:textId="54A4879D"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korekta ta zmniejsza miarę ekspozycji całkowitej,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p w14:paraId="0BA84751" w14:textId="1A727A73"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Ujawnianą kwotę należy także uwzględnić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odp</w:t>
            </w:r>
            <w:r w:rsidRPr="00835753">
              <w:rPr>
                <w:rFonts w:ascii="Times New Roman" w:hAnsi="Times New Roman"/>
                <w:sz w:val="24"/>
                <w:szCs w:val="24"/>
              </w:rPr>
              <w:t>owiednich komórkach powyżej, jak gdyby nie miało zastosowania żadne wyłączenie.</w:t>
            </w:r>
          </w:p>
        </w:tc>
      </w:tr>
      <w:tr w:rsidR="000A7015" w:rsidRPr="00835753" w14:paraId="13C88144" w14:textId="77777777" w:rsidTr="001E06A3">
        <w:trPr>
          <w:trHeight w:val="862"/>
        </w:trPr>
        <w:tc>
          <w:tcPr>
            <w:tcW w:w="1384" w:type="dxa"/>
            <w:vAlign w:val="center"/>
          </w:tcPr>
          <w:p w14:paraId="7D730462"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18</w:t>
            </w:r>
          </w:p>
        </w:tc>
        <w:tc>
          <w:tcPr>
            <w:tcW w:w="7655" w:type="dxa"/>
          </w:tcPr>
          <w:p w14:paraId="407C1A5D" w14:textId="34AF7C6D"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Łączne ekspozycje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transakcji finansowanych</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uży</w:t>
            </w:r>
            <w:r w:rsidRPr="00835753">
              <w:rPr>
                <w:rStyle w:val="TeksttreciPogrubienie"/>
                <w:rFonts w:ascii="Times New Roman" w:hAnsi="Times New Roman"/>
                <w:sz w:val="24"/>
                <w:szCs w:val="24"/>
              </w:rPr>
              <w:t>ciem papierów wartościowych</w:t>
            </w:r>
          </w:p>
          <w:p w14:paraId="740C37E0" w14:textId="0F636CDD" w:rsidR="000A7015" w:rsidRPr="0083575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835753">
              <w:rPr>
                <w:rStyle w:val="TeksttreciPogrubienie"/>
                <w:rFonts w:ascii="Times New Roman" w:hAnsi="Times New Roman"/>
                <w:b w:val="0"/>
                <w:sz w:val="24"/>
                <w:szCs w:val="24"/>
              </w:rPr>
              <w:t>Suma wierszy od</w:t>
            </w:r>
            <w:r w:rsidR="00835753" w:rsidRPr="00835753">
              <w:rPr>
                <w:rStyle w:val="TeksttreciPogrubienie"/>
                <w:rFonts w:ascii="Times New Roman" w:hAnsi="Times New Roman"/>
                <w:b w:val="0"/>
                <w:sz w:val="24"/>
                <w:szCs w:val="24"/>
              </w:rPr>
              <w:t> </w:t>
            </w:r>
            <w:r w:rsidRPr="00835753">
              <w:rPr>
                <w:rStyle w:val="TeksttreciPogrubienie"/>
                <w:rFonts w:ascii="Times New Roman" w:hAnsi="Times New Roman"/>
                <w:b w:val="0"/>
                <w:sz w:val="24"/>
                <w:szCs w:val="24"/>
              </w:rPr>
              <w:t>14 do EU-17a</w:t>
            </w:r>
          </w:p>
        </w:tc>
      </w:tr>
      <w:tr w:rsidR="000A7015" w:rsidRPr="00835753" w14:paraId="61895325" w14:textId="77777777" w:rsidTr="001E06A3">
        <w:trPr>
          <w:trHeight w:val="1590"/>
        </w:trPr>
        <w:tc>
          <w:tcPr>
            <w:tcW w:w="1384" w:type="dxa"/>
            <w:vAlign w:val="center"/>
          </w:tcPr>
          <w:p w14:paraId="0E13CEF8"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19</w:t>
            </w:r>
          </w:p>
        </w:tc>
        <w:tc>
          <w:tcPr>
            <w:tcW w:w="7655" w:type="dxa"/>
          </w:tcPr>
          <w:p w14:paraId="28F7BB97"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Ekspozycje pozabilansowe wyrażone kwotą referencyjną brutto</w:t>
            </w:r>
          </w:p>
          <w:p w14:paraId="42E44BE0"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429f CRR</w:t>
            </w:r>
          </w:p>
          <w:p w14:paraId="4B3F96CF" w14:textId="73D18231"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wartość nominalną wszystkich pozycji pozabilansowych określonych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429f CRR, przed dokonaniem jakichkolwiek korekt</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współczynników konwersji</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kor</w:t>
            </w:r>
            <w:r w:rsidRPr="00835753">
              <w:rPr>
                <w:rFonts w:ascii="Times New Roman" w:hAnsi="Times New Roman"/>
                <w:sz w:val="24"/>
                <w:szCs w:val="24"/>
              </w:rPr>
              <w:t>ekt</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szczególnego ryzyka kredytowego.</w:t>
            </w:r>
          </w:p>
        </w:tc>
      </w:tr>
      <w:tr w:rsidR="000A7015" w:rsidRPr="00835753" w14:paraId="6A325981" w14:textId="77777777" w:rsidTr="001E06A3">
        <w:trPr>
          <w:trHeight w:val="1530"/>
        </w:trPr>
        <w:tc>
          <w:tcPr>
            <w:tcW w:w="1384" w:type="dxa"/>
            <w:vAlign w:val="center"/>
          </w:tcPr>
          <w:p w14:paraId="6C47AB60"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20</w:t>
            </w:r>
          </w:p>
        </w:tc>
        <w:tc>
          <w:tcPr>
            <w:tcW w:w="7655" w:type="dxa"/>
          </w:tcPr>
          <w:p w14:paraId="14866229" w14:textId="0852426B"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(Korekty</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konwersji na kwoty ekwiwalentu kredytowego)</w:t>
            </w:r>
          </w:p>
          <w:p w14:paraId="0270821C"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429f CRR</w:t>
            </w:r>
          </w:p>
          <w:p w14:paraId="313C1D07" w14:textId="1E51D361"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Zmniejszenie wartości brutto ekspozycji pozabilansowych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zwi</w:t>
            </w:r>
            <w:r w:rsidRPr="00835753">
              <w:rPr>
                <w:rFonts w:ascii="Times New Roman" w:hAnsi="Times New Roman"/>
                <w:sz w:val="24"/>
                <w:szCs w:val="24"/>
              </w:rPr>
              <w:t>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zas</w:t>
            </w:r>
            <w:r w:rsidRPr="00835753">
              <w:rPr>
                <w:rFonts w:ascii="Times New Roman" w:hAnsi="Times New Roman"/>
                <w:sz w:val="24"/>
                <w:szCs w:val="24"/>
              </w:rPr>
              <w:t>tosowaniem współczynnika konwersji kredytowej. Ponieważ zmniejsza to miarę ekspozycji całkowitej, wartość ujawniona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 ma negatywny wpływ na obliczenie sumy, która ma być ujawniona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 xml:space="preserve">rszu 22 wzoru </w:t>
            </w:r>
            <w:r w:rsidRPr="00835753">
              <w:rPr>
                <w:rFonts w:ascii="Times New Roman" w:hAnsi="Times New Roman"/>
                <w:color w:val="000000"/>
                <w:sz w:val="24"/>
                <w:szCs w:val="24"/>
              </w:rPr>
              <w:t xml:space="preserve">EU LR2 – </w:t>
            </w:r>
            <w:r w:rsidRPr="00835753">
              <w:rPr>
                <w:rFonts w:ascii="Times New Roman" w:hAnsi="Times New Roman"/>
                <w:sz w:val="24"/>
                <w:szCs w:val="24"/>
              </w:rPr>
              <w:t>LRCom.</w:t>
            </w:r>
          </w:p>
        </w:tc>
      </w:tr>
      <w:tr w:rsidR="000A7015" w:rsidRPr="00835753" w14:paraId="704940CA" w14:textId="77777777" w:rsidTr="001E06A3">
        <w:trPr>
          <w:trHeight w:val="2265"/>
        </w:trPr>
        <w:tc>
          <w:tcPr>
            <w:tcW w:w="1384" w:type="dxa"/>
            <w:vAlign w:val="center"/>
          </w:tcPr>
          <w:p w14:paraId="28A0910B"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21</w:t>
            </w:r>
          </w:p>
        </w:tc>
        <w:tc>
          <w:tcPr>
            <w:tcW w:w="7655" w:type="dxa"/>
          </w:tcPr>
          <w:p w14:paraId="32E90B0B" w14:textId="39C479DF"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(Rezerwy ogólne odliczane przy ustalaniu kapitału Tier I oraz rezerwy celowe związane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eks</w:t>
            </w:r>
            <w:r w:rsidRPr="00835753">
              <w:rPr>
                <w:rStyle w:val="TeksttreciPogrubienie"/>
                <w:rFonts w:ascii="Times New Roman" w:hAnsi="Times New Roman"/>
                <w:sz w:val="24"/>
                <w:szCs w:val="24"/>
              </w:rPr>
              <w:t>pozycjami pozabilansowymi)</w:t>
            </w:r>
          </w:p>
          <w:p w14:paraId="315979BE" w14:textId="05EF982C"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 ust.</w:t>
            </w:r>
            <w:r w:rsidR="00835753" w:rsidRPr="00835753">
              <w:rPr>
                <w:rFonts w:ascii="Times New Roman" w:hAnsi="Times New Roman"/>
                <w:sz w:val="24"/>
                <w:szCs w:val="24"/>
              </w:rPr>
              <w:t> </w:t>
            </w:r>
            <w:r w:rsidRPr="00835753">
              <w:rPr>
                <w:rFonts w:ascii="Times New Roman" w:hAnsi="Times New Roman"/>
                <w:sz w:val="24"/>
                <w:szCs w:val="24"/>
              </w:rPr>
              <w:t>4</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429f</w:t>
            </w:r>
            <w:r w:rsidRPr="00835753">
              <w:rPr>
                <w:rFonts w:ascii="Times New Roman" w:hAnsi="Times New Roman"/>
                <w:bCs/>
                <w:sz w:val="24"/>
                <w:szCs w:val="24"/>
              </w:rPr>
              <w:t xml:space="preserve"> ust.</w:t>
            </w:r>
            <w:r w:rsidR="00835753" w:rsidRPr="00835753">
              <w:rPr>
                <w:rFonts w:ascii="Times New Roman" w:hAnsi="Times New Roman"/>
                <w:bCs/>
                <w:sz w:val="24"/>
                <w:szCs w:val="24"/>
              </w:rPr>
              <w:t> </w:t>
            </w:r>
            <w:r w:rsidRPr="00835753">
              <w:rPr>
                <w:rFonts w:ascii="Times New Roman" w:hAnsi="Times New Roman"/>
                <w:bCs/>
                <w:sz w:val="24"/>
                <w:szCs w:val="24"/>
              </w:rPr>
              <w:t>1</w:t>
            </w:r>
            <w:r w:rsidR="00835753" w:rsidRPr="00835753">
              <w:rPr>
                <w:rFonts w:ascii="Times New Roman" w:hAnsi="Times New Roman"/>
                <w:bCs/>
                <w:sz w:val="24"/>
                <w:szCs w:val="24"/>
              </w:rPr>
              <w:t xml:space="preserve"> i</w:t>
            </w:r>
            <w:r w:rsidR="00835753">
              <w:rPr>
                <w:rFonts w:ascii="Times New Roman" w:hAnsi="Times New Roman"/>
                <w:bCs/>
                <w:sz w:val="24"/>
                <w:szCs w:val="24"/>
              </w:rPr>
              <w:t> </w:t>
            </w:r>
            <w:r w:rsidR="00835753" w:rsidRPr="00835753">
              <w:rPr>
                <w:rFonts w:ascii="Times New Roman" w:hAnsi="Times New Roman"/>
                <w:sz w:val="24"/>
                <w:szCs w:val="24"/>
              </w:rPr>
              <w:t>2</w:t>
            </w:r>
            <w:r w:rsidRPr="00835753">
              <w:rPr>
                <w:rStyle w:val="TeksttreciPogrubienie"/>
                <w:rFonts w:ascii="Times New Roman" w:hAnsi="Times New Roman"/>
                <w:sz w:val="24"/>
                <w:szCs w:val="24"/>
              </w:rPr>
              <w:t xml:space="preserve"> </w:t>
            </w:r>
            <w:r w:rsidRPr="00835753">
              <w:rPr>
                <w:rFonts w:ascii="Times New Roman" w:hAnsi="Times New Roman"/>
                <w:sz w:val="24"/>
                <w:szCs w:val="24"/>
              </w:rPr>
              <w:t>CRR</w:t>
            </w:r>
          </w:p>
          <w:p w14:paraId="50A03235" w14:textId="7229F6EA"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mogą pomniejszyć ekspozycję kredytową równoważną kwocie pozycji pozabilansowej</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odp</w:t>
            </w:r>
            <w:r w:rsidRPr="00835753">
              <w:rPr>
                <w:rFonts w:ascii="Times New Roman" w:hAnsi="Times New Roman"/>
                <w:sz w:val="24"/>
                <w:szCs w:val="24"/>
              </w:rPr>
              <w:t>owiadającą wartość korekt</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ogólnego ryzyka kredytowego, które są odliczane od kapitału Tier I</w:t>
            </w:r>
            <w:r w:rsidR="00835753" w:rsidRPr="00835753">
              <w:rPr>
                <w:rFonts w:ascii="Times New Roman" w:hAnsi="Times New Roman"/>
                <w:sz w:val="24"/>
                <w:szCs w:val="24"/>
              </w:rPr>
              <w:t>. W</w:t>
            </w:r>
            <w:r w:rsidR="00835753">
              <w:rPr>
                <w:rFonts w:ascii="Times New Roman" w:hAnsi="Times New Roman"/>
                <w:sz w:val="24"/>
                <w:szCs w:val="24"/>
              </w:rPr>
              <w:t> </w:t>
            </w:r>
            <w:r w:rsidR="00835753" w:rsidRPr="00835753">
              <w:rPr>
                <w:rFonts w:ascii="Times New Roman" w:hAnsi="Times New Roman"/>
                <w:sz w:val="24"/>
                <w:szCs w:val="24"/>
              </w:rPr>
              <w:t>obl</w:t>
            </w:r>
            <w:r w:rsidRPr="00835753">
              <w:rPr>
                <w:rFonts w:ascii="Times New Roman" w:hAnsi="Times New Roman"/>
                <w:sz w:val="24"/>
                <w:szCs w:val="24"/>
              </w:rPr>
              <w:t xml:space="preserve">iczeniu stosuje się dolny pułap wynoszący zero. </w:t>
            </w:r>
          </w:p>
          <w:p w14:paraId="2CB30055" w14:textId="1DABF558"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mogą pomniejszyć ekspozycję kredytową równoważną kwocie pozycji pozabilansowej</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odp</w:t>
            </w:r>
            <w:r w:rsidRPr="00835753">
              <w:rPr>
                <w:rFonts w:ascii="Times New Roman" w:hAnsi="Times New Roman"/>
                <w:sz w:val="24"/>
                <w:szCs w:val="24"/>
              </w:rPr>
              <w:t>owiadającą wartość korekt</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szczególnego ryzyka kredytowego</w:t>
            </w:r>
            <w:r w:rsidR="00835753" w:rsidRPr="00835753">
              <w:rPr>
                <w:rFonts w:ascii="Times New Roman" w:hAnsi="Times New Roman"/>
                <w:sz w:val="24"/>
                <w:szCs w:val="24"/>
              </w:rPr>
              <w:t>. W</w:t>
            </w:r>
            <w:r w:rsidR="00835753">
              <w:rPr>
                <w:rFonts w:ascii="Times New Roman" w:hAnsi="Times New Roman"/>
                <w:sz w:val="24"/>
                <w:szCs w:val="24"/>
              </w:rPr>
              <w:t> </w:t>
            </w:r>
            <w:r w:rsidR="00835753" w:rsidRPr="00835753">
              <w:rPr>
                <w:rFonts w:ascii="Times New Roman" w:hAnsi="Times New Roman"/>
                <w:sz w:val="24"/>
                <w:szCs w:val="24"/>
              </w:rPr>
              <w:t>obl</w:t>
            </w:r>
            <w:r w:rsidRPr="00835753">
              <w:rPr>
                <w:rFonts w:ascii="Times New Roman" w:hAnsi="Times New Roman"/>
                <w:sz w:val="24"/>
                <w:szCs w:val="24"/>
              </w:rPr>
              <w:t xml:space="preserve">iczeniu stosuje się dolny pułap </w:t>
            </w:r>
            <w:r w:rsidRPr="00835753">
              <w:rPr>
                <w:rFonts w:ascii="Times New Roman" w:hAnsi="Times New Roman"/>
                <w:sz w:val="24"/>
                <w:szCs w:val="24"/>
              </w:rPr>
              <w:lastRenderedPageBreak/>
              <w:t xml:space="preserve">wynoszący zero. </w:t>
            </w:r>
          </w:p>
          <w:p w14:paraId="6A2097FD" w14:textId="70E0284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Wartość bezwzględna tych korekt</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ryzyka kredytowego nie może przekraczać sumy wierszy 19</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2</w:t>
            </w:r>
            <w:r w:rsidRPr="00835753">
              <w:rPr>
                <w:rFonts w:ascii="Times New Roman" w:hAnsi="Times New Roman"/>
                <w:sz w:val="24"/>
                <w:szCs w:val="24"/>
              </w:rPr>
              <w:t xml:space="preserve">0. </w:t>
            </w:r>
          </w:p>
          <w:p w14:paraId="7F73C050" w14:textId="14CCE5A5"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korekty te zmniejszają miarę ekspozycji całkowitej,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p w14:paraId="16A5C37D" w14:textId="5613C2F2"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35753">
              <w:rPr>
                <w:rStyle w:val="TeksttreciPogrubienie"/>
                <w:rFonts w:ascii="Times New Roman" w:hAnsi="Times New Roman"/>
                <w:b w:val="0"/>
                <w:sz w:val="24"/>
                <w:szCs w:val="24"/>
              </w:rPr>
              <w:t>Ujawnianą kwotę uwzględnia się również</w:t>
            </w:r>
            <w:r w:rsidR="00835753" w:rsidRPr="00835753">
              <w:rPr>
                <w:rStyle w:val="TeksttreciPogrubienie"/>
                <w:rFonts w:ascii="Times New Roman" w:hAnsi="Times New Roman"/>
                <w:b w:val="0"/>
                <w:sz w:val="24"/>
                <w:szCs w:val="24"/>
              </w:rPr>
              <w:t xml:space="preserve"> w</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odp</w:t>
            </w:r>
            <w:r w:rsidRPr="00835753">
              <w:rPr>
                <w:rStyle w:val="TeksttreciPogrubienie"/>
                <w:rFonts w:ascii="Times New Roman" w:hAnsi="Times New Roman"/>
                <w:b w:val="0"/>
                <w:sz w:val="24"/>
                <w:szCs w:val="24"/>
              </w:rPr>
              <w:t>owiednich komórkach powyżej, jak gdyby pomniejszenie to nie miało zastosowania.</w:t>
            </w:r>
          </w:p>
        </w:tc>
      </w:tr>
      <w:tr w:rsidR="000A7015" w:rsidRPr="00835753" w14:paraId="3A70EFA6" w14:textId="77777777" w:rsidTr="001E06A3">
        <w:trPr>
          <w:trHeight w:val="805"/>
        </w:trPr>
        <w:tc>
          <w:tcPr>
            <w:tcW w:w="1384" w:type="dxa"/>
            <w:vAlign w:val="center"/>
          </w:tcPr>
          <w:p w14:paraId="45476FEE"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22</w:t>
            </w:r>
          </w:p>
        </w:tc>
        <w:tc>
          <w:tcPr>
            <w:tcW w:w="7655" w:type="dxa"/>
          </w:tcPr>
          <w:p w14:paraId="609DE2B0"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 xml:space="preserve">Ekspozycje pozabilansowe </w:t>
            </w:r>
          </w:p>
          <w:p w14:paraId="240E62FD" w14:textId="5DA413A5"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429f, art.</w:t>
            </w:r>
            <w:r w:rsidR="00835753" w:rsidRPr="00835753">
              <w:rPr>
                <w:rFonts w:ascii="Times New Roman" w:hAnsi="Times New Roman"/>
                <w:sz w:val="24"/>
                <w:szCs w:val="24"/>
              </w:rPr>
              <w:t> </w:t>
            </w:r>
            <w:r w:rsidRPr="00835753">
              <w:rPr>
                <w:rFonts w:ascii="Times New Roman" w:hAnsi="Times New Roman"/>
                <w:sz w:val="24"/>
                <w:szCs w:val="24"/>
              </w:rPr>
              <w:t>111 ust.</w:t>
            </w:r>
            <w:r w:rsidR="00835753" w:rsidRPr="00835753">
              <w:rPr>
                <w:rFonts w:ascii="Times New Roman" w:hAnsi="Times New Roman"/>
                <w:sz w:val="24"/>
                <w:szCs w:val="24"/>
              </w:rPr>
              <w:t> </w:t>
            </w:r>
            <w:r w:rsidRPr="00835753">
              <w:rPr>
                <w:rFonts w:ascii="Times New Roman" w:hAnsi="Times New Roman"/>
                <w:sz w:val="24"/>
                <w:szCs w:val="24"/>
              </w:rPr>
              <w:t>1</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166 ust.</w:t>
            </w:r>
            <w:r w:rsidR="00835753" w:rsidRPr="00835753">
              <w:rPr>
                <w:rFonts w:ascii="Times New Roman" w:hAnsi="Times New Roman"/>
                <w:sz w:val="24"/>
                <w:szCs w:val="24"/>
              </w:rPr>
              <w:t> </w:t>
            </w:r>
            <w:r w:rsidRPr="00835753">
              <w:rPr>
                <w:rFonts w:ascii="Times New Roman" w:hAnsi="Times New Roman"/>
                <w:sz w:val="24"/>
                <w:szCs w:val="24"/>
              </w:rPr>
              <w:t>9 CRR; suma wierszy 19–21</w:t>
            </w:r>
          </w:p>
          <w:p w14:paraId="56F850B6" w14:textId="60F6E903"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wartości ekspozycji wskaźnika dźwigni dla pozycji pozabilansowych, ustalone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429f CRR,</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uwz</w:t>
            </w:r>
            <w:r w:rsidRPr="00835753">
              <w:rPr>
                <w:rFonts w:ascii="Times New Roman" w:hAnsi="Times New Roman"/>
                <w:sz w:val="24"/>
                <w:szCs w:val="24"/>
              </w:rPr>
              <w:t>ględnieniem odpowiednich współczynników konwersji.</w:t>
            </w:r>
          </w:p>
          <w:p w14:paraId="0F3D36EE" w14:textId="390D7928"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 xml:space="preserve">Instytucje uwzględniają fakt, że wiersze 20–21 wzoru </w:t>
            </w:r>
            <w:r w:rsidRPr="00835753">
              <w:rPr>
                <w:rFonts w:ascii="Times New Roman" w:hAnsi="Times New Roman"/>
                <w:color w:val="000000"/>
                <w:sz w:val="24"/>
                <w:szCs w:val="24"/>
              </w:rPr>
              <w:t xml:space="preserve">EU LR2 – </w:t>
            </w:r>
            <w:r w:rsidRPr="00835753">
              <w:rPr>
                <w:rFonts w:ascii="Times New Roman" w:hAnsi="Times New Roman"/>
                <w:sz w:val="24"/>
                <w:szCs w:val="24"/>
              </w:rPr>
              <w:t>LRCom mają ujemny wkład</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obl</w:t>
            </w:r>
            <w:r w:rsidRPr="00835753">
              <w:rPr>
                <w:rFonts w:ascii="Times New Roman" w:hAnsi="Times New Roman"/>
                <w:sz w:val="24"/>
                <w:szCs w:val="24"/>
              </w:rPr>
              <w:t>iczenie tej sumy.</w:t>
            </w:r>
          </w:p>
        </w:tc>
      </w:tr>
      <w:tr w:rsidR="000A7015" w:rsidRPr="00835753" w14:paraId="54E937B5" w14:textId="77777777" w:rsidTr="001E06A3">
        <w:trPr>
          <w:trHeight w:val="274"/>
        </w:trPr>
        <w:tc>
          <w:tcPr>
            <w:tcW w:w="1384" w:type="dxa"/>
            <w:vAlign w:val="center"/>
          </w:tcPr>
          <w:p w14:paraId="19A68D12"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EU-22a</w:t>
            </w:r>
          </w:p>
        </w:tc>
        <w:tc>
          <w:tcPr>
            <w:tcW w:w="7655" w:type="dxa"/>
          </w:tcPr>
          <w:p w14:paraId="257EB63F" w14:textId="14EFD846"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(Ekspozycje wyłączone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mia</w:t>
            </w:r>
            <w:r w:rsidRPr="00835753">
              <w:rPr>
                <w:rStyle w:val="TeksttreciPogrubienie"/>
                <w:rFonts w:ascii="Times New Roman" w:hAnsi="Times New Roman"/>
                <w:sz w:val="24"/>
                <w:szCs w:val="24"/>
              </w:rPr>
              <w:t>ry ekspozycji całkowitej zgodnie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art</w:t>
            </w:r>
            <w:r w:rsidRPr="00835753">
              <w:rPr>
                <w:rStyle w:val="TeksttreciPogrubienie"/>
                <w:rFonts w:ascii="Times New Roman" w:hAnsi="Times New Roman"/>
                <w:sz w:val="24"/>
                <w:szCs w:val="24"/>
              </w:rPr>
              <w: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429a ust.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1 lit.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c) CRR)</w:t>
            </w:r>
          </w:p>
          <w:p w14:paraId="0922460A" w14:textId="31E7C4C8"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c)</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113 ust.</w:t>
            </w:r>
            <w:r w:rsidR="00835753" w:rsidRPr="00835753">
              <w:rPr>
                <w:rFonts w:ascii="Times New Roman" w:hAnsi="Times New Roman"/>
                <w:sz w:val="24"/>
                <w:szCs w:val="24"/>
              </w:rPr>
              <w:t> </w:t>
            </w:r>
            <w:r w:rsidRPr="00835753">
              <w:rPr>
                <w:rFonts w:ascii="Times New Roman" w:hAnsi="Times New Roman"/>
                <w:sz w:val="24"/>
                <w:szCs w:val="24"/>
              </w:rPr>
              <w:t>6</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7</w:t>
            </w:r>
            <w:r w:rsidRPr="00835753">
              <w:rPr>
                <w:rFonts w:ascii="Times New Roman" w:hAnsi="Times New Roman"/>
                <w:sz w:val="24"/>
                <w:szCs w:val="24"/>
              </w:rPr>
              <w:t xml:space="preserve"> CRR</w:t>
            </w:r>
          </w:p>
          <w:p w14:paraId="02E59520" w14:textId="57E4A992"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ekspozycje wyłączone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 xml:space="preserve">c) CRR. </w:t>
            </w:r>
          </w:p>
          <w:p w14:paraId="3C969589" w14:textId="70F993B5"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Ujawnianą kwotę uwzględnia się również</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odp</w:t>
            </w:r>
            <w:r w:rsidRPr="00835753">
              <w:rPr>
                <w:rFonts w:ascii="Times New Roman" w:hAnsi="Times New Roman"/>
                <w:sz w:val="24"/>
                <w:szCs w:val="24"/>
              </w:rPr>
              <w:t>owiednich komórkach powyżej, jak gdyby nie miało zastosowania żadne wyłączenie.</w:t>
            </w:r>
          </w:p>
          <w:p w14:paraId="77F3895A" w14:textId="7CE86C1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kwota ta zmniejsza miarę ekspozycji całkowitej, instytucje umieszczają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31E2AE09" w14:textId="77777777" w:rsidTr="00CE0D13">
        <w:trPr>
          <w:trHeight w:val="129"/>
        </w:trPr>
        <w:tc>
          <w:tcPr>
            <w:tcW w:w="1384" w:type="dxa"/>
            <w:vAlign w:val="center"/>
          </w:tcPr>
          <w:p w14:paraId="120AF7E5"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EU-22b</w:t>
            </w:r>
          </w:p>
        </w:tc>
        <w:tc>
          <w:tcPr>
            <w:tcW w:w="7655" w:type="dxa"/>
          </w:tcPr>
          <w:p w14:paraId="49D4B733" w14:textId="0F491E16"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(Ekspozycje wyłączone zgodnie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art</w:t>
            </w:r>
            <w:r w:rsidRPr="00835753">
              <w:rPr>
                <w:rStyle w:val="TeksttreciPogrubienie"/>
                <w:rFonts w:ascii="Times New Roman" w:hAnsi="Times New Roman"/>
                <w:sz w:val="24"/>
                <w:szCs w:val="24"/>
              </w:rPr>
              <w: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429a ust.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1 lit.</w:t>
            </w:r>
            <w:r w:rsidR="00835753" w:rsidRPr="00835753">
              <w:rPr>
                <w:rStyle w:val="TeksttreciPogrubienie"/>
                <w:rFonts w:ascii="Times New Roman" w:hAnsi="Times New Roman"/>
                <w:sz w:val="24"/>
                <w:szCs w:val="24"/>
              </w:rPr>
              <w:t> </w:t>
            </w:r>
            <w:r w:rsidRPr="00835753">
              <w:rPr>
                <w:rStyle w:val="TeksttreciPogrubienie"/>
                <w:rFonts w:ascii="Times New Roman" w:hAnsi="Times New Roman"/>
                <w:sz w:val="24"/>
                <w:szCs w:val="24"/>
              </w:rPr>
              <w:t>j) CRR (pozycje bilansowe</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poz</w:t>
            </w:r>
            <w:r w:rsidRPr="00835753">
              <w:rPr>
                <w:rStyle w:val="TeksttreciPogrubienie"/>
                <w:rFonts w:ascii="Times New Roman" w:hAnsi="Times New Roman"/>
                <w:sz w:val="24"/>
                <w:szCs w:val="24"/>
              </w:rPr>
              <w:t>abilansowe))</w:t>
            </w:r>
          </w:p>
          <w:p w14:paraId="00850369" w14:textId="3527D1A4"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j) CRR</w:t>
            </w:r>
          </w:p>
          <w:p w14:paraId="09E08B7F" w14:textId="3F68381E"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ekspozycje wyłączone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j) CRR, pod warunkiem że spełnione zostały określone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ustępie warunki. </w:t>
            </w:r>
          </w:p>
          <w:p w14:paraId="06542B08" w14:textId="7CE1C2AD"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Ujawnianą kwotę uwzględnia się również</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odp</w:t>
            </w:r>
            <w:r w:rsidRPr="00835753">
              <w:rPr>
                <w:rFonts w:ascii="Times New Roman" w:hAnsi="Times New Roman"/>
                <w:sz w:val="24"/>
                <w:szCs w:val="24"/>
              </w:rPr>
              <w:t>owiednich komórkach powyżej, jak gdyby nie miało zastosowania żadne wyłączenie.</w:t>
            </w:r>
          </w:p>
          <w:p w14:paraId="6603911B" w14:textId="2F4B7B88"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kwota ta zmniejsza miarę ekspozycji całkowitej, instytucje umieszczają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78ABB483" w14:textId="77777777" w:rsidTr="001E06A3">
        <w:trPr>
          <w:trHeight w:val="1535"/>
        </w:trPr>
        <w:tc>
          <w:tcPr>
            <w:tcW w:w="1384" w:type="dxa"/>
            <w:vAlign w:val="center"/>
          </w:tcPr>
          <w:p w14:paraId="603B5CBE"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EU-22c</w:t>
            </w:r>
          </w:p>
        </w:tc>
        <w:tc>
          <w:tcPr>
            <w:tcW w:w="7655" w:type="dxa"/>
          </w:tcPr>
          <w:p w14:paraId="6061DE2E" w14:textId="77777777"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35753">
              <w:rPr>
                <w:rFonts w:ascii="Times New Roman" w:hAnsi="Times New Roman"/>
                <w:b/>
                <w:sz w:val="24"/>
                <w:szCs w:val="24"/>
              </w:rPr>
              <w:t>(Wyłączone ekspozycje publicznych banków (jednostek) wspierających rozwój – inwestycje sektora publicznego)</w:t>
            </w:r>
          </w:p>
          <w:p w14:paraId="25957FE7" w14:textId="506211C5"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d)</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2 CRR</w:t>
            </w:r>
          </w:p>
          <w:p w14:paraId="735877B0" w14:textId="49017CEE" w:rsidR="000A7015" w:rsidRPr="00835753" w:rsidRDefault="000A7015" w:rsidP="00CE0D1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Ekspozycje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aktywów, które stanowią należności od rządów centralnych, samorządów regionalnych, władz lokalnych lub podmiotów sektora publicznego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zwi</w:t>
            </w:r>
            <w:r w:rsidRPr="00835753">
              <w:rPr>
                <w:rFonts w:ascii="Times New Roman" w:hAnsi="Times New Roman"/>
                <w:sz w:val="24"/>
                <w:szCs w:val="24"/>
              </w:rPr>
              <w:t>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inw</w:t>
            </w:r>
            <w:r w:rsidRPr="00835753">
              <w:rPr>
                <w:rFonts w:ascii="Times New Roman" w:hAnsi="Times New Roman"/>
                <w:sz w:val="24"/>
                <w:szCs w:val="24"/>
              </w:rPr>
              <w:t xml:space="preserve">estycjami sektora publicznego, które </w:t>
            </w:r>
            <w:r w:rsidRPr="00835753">
              <w:rPr>
                <w:rFonts w:ascii="Times New Roman" w:hAnsi="Times New Roman"/>
                <w:sz w:val="24"/>
                <w:szCs w:val="24"/>
              </w:rPr>
              <w:lastRenderedPageBreak/>
              <w:t>można wyłączyć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d) CRR. Obejmuje to jedynie przypadki,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któ</w:t>
            </w:r>
            <w:r w:rsidRPr="00835753">
              <w:rPr>
                <w:rFonts w:ascii="Times New Roman" w:hAnsi="Times New Roman"/>
                <w:sz w:val="24"/>
                <w:szCs w:val="24"/>
              </w:rPr>
              <w:t>rych instytucja jest publiczną kredytową instytucją wspierającą rozwój lub ekspozycje są utrzymywane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jed</w:t>
            </w:r>
            <w:r w:rsidRPr="00835753">
              <w:rPr>
                <w:rFonts w:ascii="Times New Roman" w:hAnsi="Times New Roman"/>
                <w:sz w:val="24"/>
                <w:szCs w:val="24"/>
              </w:rPr>
              <w:t>nostce traktowanej jako publiczna jednostka wspierająca rozwój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2 akapit ostatni CRR.</w:t>
            </w:r>
          </w:p>
          <w:p w14:paraId="23F492AD" w14:textId="759CC5A3"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kwota ta zmniejsza miarę ekspozycji całkowitej, instytucje umieszczają tę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tej</w:t>
            </w:r>
            <w:r w:rsidRPr="00835753">
              <w:rPr>
                <w:rFonts w:ascii="Times New Roman" w:hAnsi="Times New Roman"/>
                <w:sz w:val="24"/>
                <w:szCs w:val="24"/>
              </w:rPr>
              <w:t xml:space="preserve"> komórce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03AD2E4D" w14:textId="77777777" w:rsidTr="001E06A3">
        <w:trPr>
          <w:trHeight w:val="1535"/>
        </w:trPr>
        <w:tc>
          <w:tcPr>
            <w:tcW w:w="1384" w:type="dxa"/>
            <w:vAlign w:val="center"/>
          </w:tcPr>
          <w:p w14:paraId="6E38F23C"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EU-22d</w:t>
            </w:r>
          </w:p>
        </w:tc>
        <w:tc>
          <w:tcPr>
            <w:tcW w:w="7655" w:type="dxa"/>
          </w:tcPr>
          <w:p w14:paraId="19B1D053" w14:textId="77777777"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35753">
              <w:rPr>
                <w:rFonts w:ascii="Times New Roman" w:hAnsi="Times New Roman"/>
                <w:b/>
                <w:sz w:val="24"/>
                <w:szCs w:val="24"/>
              </w:rPr>
              <w:t xml:space="preserve">(Wyłączone ekspozycje publicznych banków (jednostek) wspierających rozwój – kredyty preferencyjne) </w:t>
            </w:r>
          </w:p>
          <w:p w14:paraId="5591C29D" w14:textId="02DC54F9"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35753">
              <w:rPr>
                <w:rFonts w:ascii="Times New Roman" w:hAnsi="Times New Roman"/>
                <w:sz w:val="24"/>
                <w:szCs w:val="24"/>
              </w:rPr>
              <w:t>Art. 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d)</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2 CRR</w:t>
            </w:r>
          </w:p>
          <w:p w14:paraId="53E3DF4B" w14:textId="5465600B" w:rsidR="000A7015" w:rsidRPr="00835753" w:rsidRDefault="000A7015" w:rsidP="00CE0D1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wyłączone kredyty preferencyjne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d) CRR. Obejmuje to jedynie przypadki,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któ</w:t>
            </w:r>
            <w:r w:rsidRPr="00835753">
              <w:rPr>
                <w:rFonts w:ascii="Times New Roman" w:hAnsi="Times New Roman"/>
                <w:sz w:val="24"/>
                <w:szCs w:val="24"/>
              </w:rPr>
              <w:t>rych instytucja jest publiczną kredytową instytucją wspierającą rozwój lub kredyty preferencyjne są utrzymywane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jed</w:t>
            </w:r>
            <w:r w:rsidRPr="00835753">
              <w:rPr>
                <w:rFonts w:ascii="Times New Roman" w:hAnsi="Times New Roman"/>
                <w:sz w:val="24"/>
                <w:szCs w:val="24"/>
              </w:rPr>
              <w:t>nostce traktowanej jako publiczna jednostka wspierająca rozwój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ost</w:t>
            </w:r>
            <w:r w:rsidRPr="00835753">
              <w:rPr>
                <w:rFonts w:ascii="Times New Roman" w:hAnsi="Times New Roman"/>
                <w:sz w:val="24"/>
                <w:szCs w:val="24"/>
              </w:rPr>
              <w:t>atnim akapitem art.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2 CRR.</w:t>
            </w:r>
          </w:p>
          <w:p w14:paraId="67FA2D6A" w14:textId="3C3D7C38"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kwota ta zmniejsza miarę ekspozycji całkowitej, instytucje umieszczają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464D615F" w14:textId="77777777" w:rsidTr="001E06A3">
        <w:trPr>
          <w:trHeight w:val="1535"/>
        </w:trPr>
        <w:tc>
          <w:tcPr>
            <w:tcW w:w="1384" w:type="dxa"/>
            <w:vAlign w:val="center"/>
          </w:tcPr>
          <w:p w14:paraId="25D5FDF1"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EU-22e</w:t>
            </w:r>
          </w:p>
        </w:tc>
        <w:tc>
          <w:tcPr>
            <w:tcW w:w="7655" w:type="dxa"/>
          </w:tcPr>
          <w:p w14:paraId="1D7BC259" w14:textId="47564929"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35753">
              <w:rPr>
                <w:rFonts w:ascii="Times New Roman" w:hAnsi="Times New Roman"/>
                <w:b/>
                <w:sz w:val="24"/>
                <w:szCs w:val="24"/>
              </w:rPr>
              <w:t>(Wyłączone ekspozycje</w:t>
            </w:r>
            <w:r w:rsidR="00835753" w:rsidRPr="00835753">
              <w:rPr>
                <w:rFonts w:ascii="Times New Roman" w:hAnsi="Times New Roman"/>
                <w:b/>
                <w:sz w:val="24"/>
                <w:szCs w:val="24"/>
              </w:rPr>
              <w:t xml:space="preserve"> z</w:t>
            </w:r>
            <w:r w:rsidR="00835753">
              <w:rPr>
                <w:rFonts w:ascii="Times New Roman" w:hAnsi="Times New Roman"/>
                <w:b/>
                <w:sz w:val="24"/>
                <w:szCs w:val="24"/>
              </w:rPr>
              <w:t> </w:t>
            </w:r>
            <w:r w:rsidR="00835753" w:rsidRPr="00835753">
              <w:rPr>
                <w:rFonts w:ascii="Times New Roman" w:hAnsi="Times New Roman"/>
                <w:b/>
                <w:sz w:val="24"/>
                <w:szCs w:val="24"/>
              </w:rPr>
              <w:t>tyt</w:t>
            </w:r>
            <w:r w:rsidRPr="00835753">
              <w:rPr>
                <w:rFonts w:ascii="Times New Roman" w:hAnsi="Times New Roman"/>
                <w:b/>
                <w:sz w:val="24"/>
                <w:szCs w:val="24"/>
              </w:rPr>
              <w:t>ułu przeniesienia kredytów preferencyjnych przez niepubliczne banki (lub jednostki) wspierające rozwój)</w:t>
            </w:r>
          </w:p>
          <w:p w14:paraId="2FDB81DC" w14:textId="3EB53E6C" w:rsidR="000A7015" w:rsidRPr="00835753" w:rsidRDefault="000A7015" w:rsidP="001E06A3">
            <w:pPr>
              <w:pStyle w:val="BodyText1"/>
              <w:spacing w:after="120" w:line="240" w:lineRule="auto"/>
              <w:rPr>
                <w:rFonts w:ascii="Times New Roman" w:hAnsi="Times New Roman"/>
                <w:sz w:val="24"/>
                <w:szCs w:val="24"/>
              </w:rPr>
            </w:pPr>
            <w:r w:rsidRPr="00835753">
              <w:rPr>
                <w:rFonts w:ascii="Times New Roman" w:hAnsi="Times New Roman"/>
                <w:bCs/>
                <w:sz w:val="24"/>
                <w:szCs w:val="24"/>
              </w:rPr>
              <w:t>Art. 429a ust.</w:t>
            </w:r>
            <w:r w:rsidR="00835753" w:rsidRPr="00835753">
              <w:rPr>
                <w:rFonts w:ascii="Times New Roman" w:hAnsi="Times New Roman"/>
                <w:bCs/>
                <w:sz w:val="24"/>
                <w:szCs w:val="24"/>
              </w:rPr>
              <w:t> </w:t>
            </w:r>
            <w:r w:rsidRPr="00835753">
              <w:rPr>
                <w:rFonts w:ascii="Times New Roman" w:hAnsi="Times New Roman"/>
                <w:bCs/>
                <w:sz w:val="24"/>
                <w:szCs w:val="24"/>
              </w:rPr>
              <w:t>1 lit.</w:t>
            </w:r>
            <w:r w:rsidR="00835753" w:rsidRPr="00835753">
              <w:rPr>
                <w:rFonts w:ascii="Times New Roman" w:hAnsi="Times New Roman"/>
                <w:bCs/>
                <w:sz w:val="24"/>
                <w:szCs w:val="24"/>
              </w:rPr>
              <w:t> </w:t>
            </w:r>
            <w:r w:rsidRPr="00835753">
              <w:rPr>
                <w:rFonts w:ascii="Times New Roman" w:hAnsi="Times New Roman"/>
                <w:bCs/>
                <w:sz w:val="24"/>
                <w:szCs w:val="24"/>
              </w:rPr>
              <w:t>e) CRR</w:t>
            </w:r>
          </w:p>
          <w:p w14:paraId="1311B13D" w14:textId="58BFD8E8" w:rsidR="000A7015" w:rsidRPr="00835753" w:rsidRDefault="000A7015" w:rsidP="001E06A3">
            <w:pPr>
              <w:pStyle w:val="BodyText1"/>
              <w:spacing w:after="120" w:line="240" w:lineRule="auto"/>
              <w:rPr>
                <w:rFonts w:ascii="Times New Roman" w:hAnsi="Times New Roman"/>
                <w:sz w:val="24"/>
                <w:szCs w:val="24"/>
              </w:rPr>
            </w:pPr>
            <w:r w:rsidRPr="00835753">
              <w:rPr>
                <w:rFonts w:ascii="Times New Roman" w:hAnsi="Times New Roman"/>
                <w:sz w:val="24"/>
                <w:szCs w:val="24"/>
              </w:rPr>
              <w:t>Instytucje ujawniają wyłączone ekspozycje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e) CRR</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odn</w:t>
            </w:r>
            <w:r w:rsidRPr="00835753">
              <w:rPr>
                <w:rFonts w:ascii="Times New Roman" w:hAnsi="Times New Roman"/>
                <w:sz w:val="24"/>
                <w:szCs w:val="24"/>
              </w:rPr>
              <w:t xml:space="preserve">iesieniu do </w:t>
            </w:r>
            <w:r w:rsidRPr="00835753">
              <w:rPr>
                <w:rFonts w:ascii="Times New Roman" w:hAnsi="Times New Roman"/>
                <w:color w:val="auto"/>
                <w:sz w:val="24"/>
                <w:szCs w:val="24"/>
              </w:rPr>
              <w:t>części ekspozycji wynikających</w:t>
            </w:r>
            <w:r w:rsidR="00835753" w:rsidRPr="00835753">
              <w:rPr>
                <w:rFonts w:ascii="Times New Roman" w:hAnsi="Times New Roman"/>
                <w:color w:val="auto"/>
                <w:sz w:val="24"/>
                <w:szCs w:val="24"/>
              </w:rPr>
              <w:t xml:space="preserve"> z</w:t>
            </w:r>
            <w:r w:rsidR="00835753">
              <w:rPr>
                <w:rFonts w:ascii="Times New Roman" w:hAnsi="Times New Roman"/>
                <w:color w:val="auto"/>
                <w:sz w:val="24"/>
                <w:szCs w:val="24"/>
              </w:rPr>
              <w:t> </w:t>
            </w:r>
            <w:r w:rsidR="00835753" w:rsidRPr="00835753">
              <w:rPr>
                <w:rFonts w:ascii="Times New Roman" w:hAnsi="Times New Roman"/>
                <w:color w:val="auto"/>
                <w:sz w:val="24"/>
                <w:szCs w:val="24"/>
              </w:rPr>
              <w:t>prz</w:t>
            </w:r>
            <w:r w:rsidRPr="00835753">
              <w:rPr>
                <w:rFonts w:ascii="Times New Roman" w:hAnsi="Times New Roman"/>
                <w:color w:val="auto"/>
                <w:sz w:val="24"/>
                <w:szCs w:val="24"/>
              </w:rPr>
              <w:t>eniesienia kredytów preferencyjnych do innych instytucji kredytowych</w:t>
            </w:r>
            <w:r w:rsidRPr="00835753">
              <w:rPr>
                <w:rFonts w:ascii="Times New Roman" w:hAnsi="Times New Roman"/>
                <w:bCs/>
                <w:sz w:val="24"/>
                <w:szCs w:val="24"/>
              </w:rPr>
              <w:t>.</w:t>
            </w:r>
            <w:r w:rsidR="00835753" w:rsidRPr="00835753">
              <w:rPr>
                <w:rFonts w:ascii="Times New Roman" w:hAnsi="Times New Roman"/>
                <w:bCs/>
                <w:sz w:val="24"/>
                <w:szCs w:val="24"/>
              </w:rPr>
              <w:t xml:space="preserve"> </w:t>
            </w:r>
            <w:r w:rsidRPr="00835753">
              <w:rPr>
                <w:rFonts w:ascii="Times New Roman" w:hAnsi="Times New Roman"/>
                <w:bCs/>
                <w:sz w:val="24"/>
                <w:szCs w:val="24"/>
              </w:rPr>
              <w:t>Obejmuje to jedynie przypadki,</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któ</w:t>
            </w:r>
            <w:r w:rsidRPr="00835753">
              <w:rPr>
                <w:rFonts w:ascii="Times New Roman" w:hAnsi="Times New Roman"/>
                <w:bCs/>
                <w:sz w:val="24"/>
                <w:szCs w:val="24"/>
              </w:rPr>
              <w:t>rych instytucja nie jest publiczną instytucją kredytową wspierającą rozwój</w:t>
            </w:r>
            <w:r w:rsidR="00835753" w:rsidRPr="00835753">
              <w:rPr>
                <w:rFonts w:ascii="Times New Roman" w:hAnsi="Times New Roman"/>
                <w:bCs/>
                <w:sz w:val="24"/>
                <w:szCs w:val="24"/>
              </w:rPr>
              <w:t xml:space="preserve"> a</w:t>
            </w:r>
            <w:r w:rsidR="00835753">
              <w:rPr>
                <w:rFonts w:ascii="Times New Roman" w:hAnsi="Times New Roman"/>
                <w:bCs/>
                <w:sz w:val="24"/>
                <w:szCs w:val="24"/>
              </w:rPr>
              <w:t> </w:t>
            </w:r>
            <w:r w:rsidR="00835753" w:rsidRPr="00835753">
              <w:rPr>
                <w:rFonts w:ascii="Times New Roman" w:hAnsi="Times New Roman"/>
                <w:bCs/>
                <w:sz w:val="24"/>
                <w:szCs w:val="24"/>
              </w:rPr>
              <w:t>dzi</w:t>
            </w:r>
            <w:r w:rsidRPr="00835753">
              <w:rPr>
                <w:rFonts w:ascii="Times New Roman" w:hAnsi="Times New Roman"/>
                <w:bCs/>
                <w:sz w:val="24"/>
                <w:szCs w:val="24"/>
              </w:rPr>
              <w:t>ałalność nie jest prowadzona</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żad</w:t>
            </w:r>
            <w:r w:rsidRPr="00835753">
              <w:rPr>
                <w:rFonts w:ascii="Times New Roman" w:hAnsi="Times New Roman"/>
                <w:bCs/>
                <w:sz w:val="24"/>
                <w:szCs w:val="24"/>
              </w:rPr>
              <w:t>ną jednostką traktowaną jako publiczna jednostka wspierająca rozwój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ost</w:t>
            </w:r>
            <w:r w:rsidRPr="00835753">
              <w:rPr>
                <w:rFonts w:ascii="Times New Roman" w:hAnsi="Times New Roman"/>
                <w:bCs/>
                <w:sz w:val="24"/>
                <w:szCs w:val="24"/>
              </w:rPr>
              <w:t>atnim akapitem art.</w:t>
            </w:r>
            <w:r w:rsidR="00835753" w:rsidRPr="00835753">
              <w:rPr>
                <w:rFonts w:ascii="Times New Roman" w:hAnsi="Times New Roman"/>
                <w:bCs/>
                <w:sz w:val="24"/>
                <w:szCs w:val="24"/>
              </w:rPr>
              <w:t> </w:t>
            </w:r>
            <w:r w:rsidRPr="00835753">
              <w:rPr>
                <w:rFonts w:ascii="Times New Roman" w:hAnsi="Times New Roman"/>
                <w:bCs/>
                <w:sz w:val="24"/>
                <w:szCs w:val="24"/>
              </w:rPr>
              <w:t>429a ust.</w:t>
            </w:r>
            <w:r w:rsidR="00835753" w:rsidRPr="00835753">
              <w:rPr>
                <w:rFonts w:ascii="Times New Roman" w:hAnsi="Times New Roman"/>
                <w:bCs/>
                <w:sz w:val="24"/>
                <w:szCs w:val="24"/>
              </w:rPr>
              <w:t> </w:t>
            </w:r>
            <w:r w:rsidRPr="00835753">
              <w:rPr>
                <w:rFonts w:ascii="Times New Roman" w:hAnsi="Times New Roman"/>
                <w:bCs/>
                <w:sz w:val="24"/>
                <w:szCs w:val="24"/>
              </w:rPr>
              <w:t>2 CRR.</w:t>
            </w:r>
          </w:p>
          <w:p w14:paraId="28C91C3F" w14:textId="7869691C"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kwota ta zmniejsza miarę ekspozycji całkowitej, instytucje umieszczają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5A62D477" w14:textId="77777777" w:rsidTr="001E06A3">
        <w:trPr>
          <w:trHeight w:val="1535"/>
        </w:trPr>
        <w:tc>
          <w:tcPr>
            <w:tcW w:w="1384" w:type="dxa"/>
            <w:vAlign w:val="center"/>
          </w:tcPr>
          <w:p w14:paraId="219D541A"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EU-22f</w:t>
            </w:r>
          </w:p>
        </w:tc>
        <w:tc>
          <w:tcPr>
            <w:tcW w:w="7655" w:type="dxa"/>
          </w:tcPr>
          <w:p w14:paraId="2BB03413" w14:textId="5278664B"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35753">
              <w:rPr>
                <w:rFonts w:ascii="Times New Roman" w:hAnsi="Times New Roman"/>
                <w:b/>
                <w:sz w:val="24"/>
                <w:szCs w:val="24"/>
              </w:rPr>
              <w:t>(Wyłączone gwarantowane części ekspozycji</w:t>
            </w:r>
            <w:r w:rsidR="00835753" w:rsidRPr="00835753">
              <w:rPr>
                <w:rFonts w:ascii="Times New Roman" w:hAnsi="Times New Roman"/>
                <w:b/>
                <w:sz w:val="24"/>
                <w:szCs w:val="24"/>
              </w:rPr>
              <w:t xml:space="preserve"> z</w:t>
            </w:r>
            <w:r w:rsidR="00835753">
              <w:rPr>
                <w:rFonts w:ascii="Times New Roman" w:hAnsi="Times New Roman"/>
                <w:b/>
                <w:sz w:val="24"/>
                <w:szCs w:val="24"/>
              </w:rPr>
              <w:t> </w:t>
            </w:r>
            <w:r w:rsidR="00835753" w:rsidRPr="00835753">
              <w:rPr>
                <w:rFonts w:ascii="Times New Roman" w:hAnsi="Times New Roman"/>
                <w:b/>
                <w:sz w:val="24"/>
                <w:szCs w:val="24"/>
              </w:rPr>
              <w:t>tyt</w:t>
            </w:r>
            <w:r w:rsidRPr="00835753">
              <w:rPr>
                <w:rFonts w:ascii="Times New Roman" w:hAnsi="Times New Roman"/>
                <w:b/>
                <w:sz w:val="24"/>
                <w:szCs w:val="24"/>
              </w:rPr>
              <w:t>ułu kredytów eksportowych)</w:t>
            </w:r>
          </w:p>
          <w:p w14:paraId="21CA9372" w14:textId="0175093C" w:rsidR="000A7015" w:rsidRPr="00835753" w:rsidRDefault="000A7015" w:rsidP="001E06A3">
            <w:pPr>
              <w:pStyle w:val="BodyText1"/>
              <w:spacing w:after="120" w:line="240" w:lineRule="auto"/>
              <w:rPr>
                <w:rFonts w:ascii="Times New Roman" w:hAnsi="Times New Roman"/>
                <w:color w:val="auto"/>
                <w:sz w:val="24"/>
                <w:szCs w:val="24"/>
              </w:rPr>
            </w:pPr>
            <w:r w:rsidRPr="00835753">
              <w:rPr>
                <w:rFonts w:ascii="Times New Roman" w:hAnsi="Times New Roman"/>
                <w:bCs/>
                <w:sz w:val="24"/>
                <w:szCs w:val="24"/>
              </w:rPr>
              <w:t>Art. 429a ust. 1 lit.</w:t>
            </w:r>
            <w:r w:rsidR="00835753" w:rsidRPr="00835753">
              <w:rPr>
                <w:rFonts w:ascii="Times New Roman" w:hAnsi="Times New Roman"/>
                <w:bCs/>
                <w:sz w:val="24"/>
                <w:szCs w:val="24"/>
              </w:rPr>
              <w:t> </w:t>
            </w:r>
            <w:r w:rsidRPr="00835753">
              <w:rPr>
                <w:rFonts w:ascii="Times New Roman" w:hAnsi="Times New Roman"/>
                <w:bCs/>
                <w:sz w:val="24"/>
                <w:szCs w:val="24"/>
              </w:rPr>
              <w:t>f) CRR</w:t>
            </w:r>
          </w:p>
          <w:p w14:paraId="73874E62" w14:textId="4EE54D13" w:rsidR="000A7015" w:rsidRPr="00835753" w:rsidRDefault="000A7015" w:rsidP="001E06A3">
            <w:pPr>
              <w:pStyle w:val="BodyText1"/>
              <w:spacing w:after="120" w:line="240" w:lineRule="auto"/>
              <w:rPr>
                <w:rFonts w:ascii="Times New Roman" w:hAnsi="Times New Roman"/>
                <w:sz w:val="24"/>
                <w:szCs w:val="24"/>
              </w:rPr>
            </w:pPr>
            <w:r w:rsidRPr="00835753">
              <w:rPr>
                <w:rFonts w:ascii="Times New Roman" w:hAnsi="Times New Roman"/>
                <w:color w:val="auto"/>
                <w:sz w:val="24"/>
                <w:szCs w:val="24"/>
              </w:rPr>
              <w:t>Objęte gwarancją części ekspozycji</w:t>
            </w:r>
            <w:r w:rsidR="00835753" w:rsidRPr="00835753">
              <w:rPr>
                <w:rFonts w:ascii="Times New Roman" w:hAnsi="Times New Roman"/>
                <w:color w:val="auto"/>
                <w:sz w:val="24"/>
                <w:szCs w:val="24"/>
              </w:rPr>
              <w:t xml:space="preserve"> z</w:t>
            </w:r>
            <w:r w:rsidR="00835753">
              <w:rPr>
                <w:rFonts w:ascii="Times New Roman" w:hAnsi="Times New Roman"/>
                <w:color w:val="auto"/>
                <w:sz w:val="24"/>
                <w:szCs w:val="24"/>
              </w:rPr>
              <w:t> </w:t>
            </w:r>
            <w:r w:rsidR="00835753" w:rsidRPr="00835753">
              <w:rPr>
                <w:rFonts w:ascii="Times New Roman" w:hAnsi="Times New Roman"/>
                <w:color w:val="auto"/>
                <w:sz w:val="24"/>
                <w:szCs w:val="24"/>
              </w:rPr>
              <w:t>tyt</w:t>
            </w:r>
            <w:r w:rsidRPr="00835753">
              <w:rPr>
                <w:rFonts w:ascii="Times New Roman" w:hAnsi="Times New Roman"/>
                <w:color w:val="auto"/>
                <w:sz w:val="24"/>
                <w:szCs w:val="24"/>
              </w:rPr>
              <w:t>ułu kredytów eksportowych, które można wyłączyć, jeżeli spełnione zostaną warunki określone</w:t>
            </w:r>
            <w:r w:rsidR="00835753" w:rsidRPr="00835753">
              <w:rPr>
                <w:rFonts w:ascii="Times New Roman" w:hAnsi="Times New Roman"/>
                <w:color w:val="auto"/>
                <w:sz w:val="24"/>
                <w:szCs w:val="24"/>
              </w:rPr>
              <w:t xml:space="preserve"> w</w:t>
            </w:r>
            <w:r w:rsidR="00835753">
              <w:rPr>
                <w:rFonts w:ascii="Times New Roman" w:hAnsi="Times New Roman"/>
                <w:color w:val="auto"/>
                <w:sz w:val="24"/>
                <w:szCs w:val="24"/>
              </w:rPr>
              <w:t> </w:t>
            </w:r>
            <w:r w:rsidR="00835753" w:rsidRPr="00835753">
              <w:rPr>
                <w:rFonts w:ascii="Times New Roman" w:hAnsi="Times New Roman"/>
                <w:color w:val="auto"/>
                <w:sz w:val="24"/>
                <w:szCs w:val="24"/>
              </w:rPr>
              <w:t>art</w:t>
            </w:r>
            <w:r w:rsidRPr="00835753">
              <w:rPr>
                <w:rFonts w:ascii="Times New Roman" w:hAnsi="Times New Roman"/>
                <w:color w:val="auto"/>
                <w:sz w:val="24"/>
                <w:szCs w:val="24"/>
              </w:rPr>
              <w:t>.</w:t>
            </w:r>
            <w:r w:rsidR="00835753" w:rsidRPr="00835753">
              <w:rPr>
                <w:rFonts w:ascii="Times New Roman" w:hAnsi="Times New Roman"/>
                <w:color w:val="auto"/>
                <w:sz w:val="24"/>
                <w:szCs w:val="24"/>
              </w:rPr>
              <w:t> </w:t>
            </w:r>
            <w:r w:rsidRPr="00835753">
              <w:rPr>
                <w:rFonts w:ascii="Times New Roman" w:hAnsi="Times New Roman"/>
                <w:color w:val="auto"/>
                <w:sz w:val="24"/>
                <w:szCs w:val="24"/>
              </w:rPr>
              <w:t>429a ust.</w:t>
            </w:r>
            <w:r w:rsidR="00835753" w:rsidRPr="00835753">
              <w:rPr>
                <w:rFonts w:ascii="Times New Roman" w:hAnsi="Times New Roman"/>
                <w:color w:val="auto"/>
                <w:sz w:val="24"/>
                <w:szCs w:val="24"/>
              </w:rPr>
              <w:t> </w:t>
            </w:r>
            <w:r w:rsidRPr="00835753">
              <w:rPr>
                <w:rFonts w:ascii="Times New Roman" w:hAnsi="Times New Roman"/>
                <w:color w:val="auto"/>
                <w:sz w:val="24"/>
                <w:szCs w:val="24"/>
              </w:rPr>
              <w:t>1 lit.</w:t>
            </w:r>
            <w:r w:rsidR="00835753" w:rsidRPr="00835753">
              <w:rPr>
                <w:rFonts w:ascii="Times New Roman" w:hAnsi="Times New Roman"/>
                <w:color w:val="auto"/>
                <w:sz w:val="24"/>
                <w:szCs w:val="24"/>
              </w:rPr>
              <w:t> </w:t>
            </w:r>
            <w:r w:rsidRPr="00835753">
              <w:rPr>
                <w:rFonts w:ascii="Times New Roman" w:hAnsi="Times New Roman"/>
                <w:color w:val="auto"/>
                <w:sz w:val="24"/>
                <w:szCs w:val="24"/>
              </w:rPr>
              <w:t>f) CRR.</w:t>
            </w:r>
          </w:p>
          <w:p w14:paraId="28D6FADE" w14:textId="3FD7B7B0"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kwota ta zmniejsza miarę ekspozycji całkowitej, instytucje umieszczają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1F825AB0" w14:textId="77777777" w:rsidTr="001E06A3">
        <w:trPr>
          <w:trHeight w:val="1535"/>
        </w:trPr>
        <w:tc>
          <w:tcPr>
            <w:tcW w:w="1384" w:type="dxa"/>
            <w:vAlign w:val="center"/>
          </w:tcPr>
          <w:p w14:paraId="1C7DAD74"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EU-22g</w:t>
            </w:r>
          </w:p>
        </w:tc>
        <w:tc>
          <w:tcPr>
            <w:tcW w:w="7655" w:type="dxa"/>
          </w:tcPr>
          <w:p w14:paraId="1C73F4EA" w14:textId="0C0CA471"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35753">
              <w:rPr>
                <w:rFonts w:ascii="Times New Roman" w:hAnsi="Times New Roman"/>
                <w:b/>
                <w:sz w:val="24"/>
                <w:szCs w:val="24"/>
              </w:rPr>
              <w:t>(Wyłączona nadwyżka zabezpieczenia zdeponowana</w:t>
            </w:r>
            <w:r w:rsidR="00835753" w:rsidRPr="00835753">
              <w:rPr>
                <w:rFonts w:ascii="Times New Roman" w:hAnsi="Times New Roman"/>
                <w:b/>
                <w:sz w:val="24"/>
                <w:szCs w:val="24"/>
              </w:rPr>
              <w:t xml:space="preserve"> u</w:t>
            </w:r>
            <w:r w:rsidR="00835753">
              <w:rPr>
                <w:rFonts w:ascii="Times New Roman" w:hAnsi="Times New Roman"/>
                <w:b/>
                <w:sz w:val="24"/>
                <w:szCs w:val="24"/>
              </w:rPr>
              <w:t> </w:t>
            </w:r>
            <w:r w:rsidR="00835753" w:rsidRPr="00835753">
              <w:rPr>
                <w:rFonts w:ascii="Times New Roman" w:hAnsi="Times New Roman"/>
                <w:b/>
                <w:sz w:val="24"/>
                <w:szCs w:val="24"/>
              </w:rPr>
              <w:t>age</w:t>
            </w:r>
            <w:r w:rsidRPr="00835753">
              <w:rPr>
                <w:rFonts w:ascii="Times New Roman" w:hAnsi="Times New Roman"/>
                <w:b/>
                <w:sz w:val="24"/>
                <w:szCs w:val="24"/>
              </w:rPr>
              <w:t xml:space="preserve">ntów trójstronnych) </w:t>
            </w:r>
          </w:p>
          <w:p w14:paraId="27876A35" w14:textId="1829BAFF"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bCs/>
                <w:sz w:val="24"/>
                <w:szCs w:val="24"/>
              </w:rPr>
              <w:t>Art. 429a ust. 1 lit.</w:t>
            </w:r>
            <w:r w:rsidR="00835753" w:rsidRPr="00835753">
              <w:rPr>
                <w:rFonts w:ascii="Times New Roman" w:hAnsi="Times New Roman"/>
                <w:bCs/>
                <w:sz w:val="24"/>
                <w:szCs w:val="24"/>
              </w:rPr>
              <w:t> </w:t>
            </w:r>
            <w:r w:rsidRPr="00835753">
              <w:rPr>
                <w:rFonts w:ascii="Times New Roman" w:hAnsi="Times New Roman"/>
                <w:bCs/>
                <w:sz w:val="24"/>
                <w:szCs w:val="24"/>
              </w:rPr>
              <w:t>k) CRR</w:t>
            </w:r>
          </w:p>
          <w:p w14:paraId="11024BBF" w14:textId="481A37D7"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bCs/>
                <w:sz w:val="24"/>
                <w:szCs w:val="24"/>
              </w:rPr>
              <w:t>Zdeponowana</w:t>
            </w:r>
            <w:r w:rsidR="00835753" w:rsidRPr="00835753">
              <w:rPr>
                <w:rFonts w:ascii="Times New Roman" w:hAnsi="Times New Roman"/>
                <w:bCs/>
                <w:sz w:val="24"/>
                <w:szCs w:val="24"/>
              </w:rPr>
              <w:t xml:space="preserve"> u</w:t>
            </w:r>
            <w:r w:rsidR="00835753">
              <w:rPr>
                <w:rFonts w:ascii="Times New Roman" w:hAnsi="Times New Roman"/>
                <w:bCs/>
                <w:sz w:val="24"/>
                <w:szCs w:val="24"/>
              </w:rPr>
              <w:t> </w:t>
            </w:r>
            <w:r w:rsidR="00835753" w:rsidRPr="00835753">
              <w:rPr>
                <w:rFonts w:ascii="Times New Roman" w:hAnsi="Times New Roman"/>
                <w:bCs/>
                <w:sz w:val="24"/>
                <w:szCs w:val="24"/>
              </w:rPr>
              <w:t>age</w:t>
            </w:r>
            <w:r w:rsidRPr="00835753">
              <w:rPr>
                <w:rFonts w:ascii="Times New Roman" w:hAnsi="Times New Roman"/>
                <w:bCs/>
                <w:sz w:val="24"/>
                <w:szCs w:val="24"/>
              </w:rPr>
              <w:t>ntów trójstronnych nadwyżka zabezpieczenia, która nie jest przedmiotem udzielonej pożyczki</w:t>
            </w:r>
            <w:r w:rsidR="00835753" w:rsidRPr="00835753">
              <w:rPr>
                <w:rFonts w:ascii="Times New Roman" w:hAnsi="Times New Roman"/>
                <w:bCs/>
                <w:sz w:val="24"/>
                <w:szCs w:val="24"/>
              </w:rPr>
              <w:t xml:space="preserve"> i</w:t>
            </w:r>
            <w:r w:rsidR="00835753">
              <w:rPr>
                <w:rFonts w:ascii="Times New Roman" w:hAnsi="Times New Roman"/>
                <w:bCs/>
                <w:sz w:val="24"/>
                <w:szCs w:val="24"/>
              </w:rPr>
              <w:t> </w:t>
            </w:r>
            <w:r w:rsidR="00835753" w:rsidRPr="00835753">
              <w:rPr>
                <w:rFonts w:ascii="Times New Roman" w:hAnsi="Times New Roman"/>
                <w:bCs/>
                <w:sz w:val="24"/>
                <w:szCs w:val="24"/>
              </w:rPr>
              <w:t>któ</w:t>
            </w:r>
            <w:r w:rsidRPr="00835753">
              <w:rPr>
                <w:rFonts w:ascii="Times New Roman" w:hAnsi="Times New Roman"/>
                <w:bCs/>
                <w:sz w:val="24"/>
                <w:szCs w:val="24"/>
              </w:rPr>
              <w:t>rą można wyłączyć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429a ust.</w:t>
            </w:r>
            <w:r w:rsidR="00835753" w:rsidRPr="00835753">
              <w:rPr>
                <w:rFonts w:ascii="Times New Roman" w:hAnsi="Times New Roman"/>
                <w:bCs/>
                <w:sz w:val="24"/>
                <w:szCs w:val="24"/>
              </w:rPr>
              <w:t> </w:t>
            </w:r>
            <w:r w:rsidRPr="00835753">
              <w:rPr>
                <w:rFonts w:ascii="Times New Roman" w:hAnsi="Times New Roman"/>
                <w:bCs/>
                <w:sz w:val="24"/>
                <w:szCs w:val="24"/>
              </w:rPr>
              <w:t>1 lit.</w:t>
            </w:r>
            <w:r w:rsidR="00835753" w:rsidRPr="00835753">
              <w:rPr>
                <w:rFonts w:ascii="Times New Roman" w:hAnsi="Times New Roman"/>
                <w:bCs/>
                <w:sz w:val="24"/>
                <w:szCs w:val="24"/>
              </w:rPr>
              <w:t> </w:t>
            </w:r>
            <w:r w:rsidRPr="00835753">
              <w:rPr>
                <w:rFonts w:ascii="Times New Roman" w:hAnsi="Times New Roman"/>
                <w:bCs/>
                <w:sz w:val="24"/>
                <w:szCs w:val="24"/>
              </w:rPr>
              <w:t>k) CRR.</w:t>
            </w:r>
          </w:p>
          <w:p w14:paraId="2020A5B9" w14:textId="645D2C57"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kwota ta zmniejsza miarę ekspozycji całkowitej, instytucje umieszczają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10595829" w14:textId="77777777" w:rsidTr="001E06A3">
        <w:trPr>
          <w:trHeight w:val="1535"/>
        </w:trPr>
        <w:tc>
          <w:tcPr>
            <w:tcW w:w="1384" w:type="dxa"/>
            <w:vAlign w:val="center"/>
          </w:tcPr>
          <w:p w14:paraId="66DDD96B"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EU-22h</w:t>
            </w:r>
          </w:p>
        </w:tc>
        <w:tc>
          <w:tcPr>
            <w:tcW w:w="7655" w:type="dxa"/>
          </w:tcPr>
          <w:p w14:paraId="67EAC2A6" w14:textId="3B2F3D65"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35753">
              <w:rPr>
                <w:rFonts w:ascii="Times New Roman" w:hAnsi="Times New Roman"/>
                <w:b/>
                <w:sz w:val="24"/>
                <w:szCs w:val="24"/>
              </w:rPr>
              <w:t>(Wyłączone usługi związane z CDPW świadczone przez CDPW/instytucje zgodnie</w:t>
            </w:r>
            <w:r w:rsidR="00835753" w:rsidRPr="00835753">
              <w:rPr>
                <w:rFonts w:ascii="Times New Roman" w:hAnsi="Times New Roman"/>
                <w:b/>
                <w:sz w:val="24"/>
                <w:szCs w:val="24"/>
              </w:rPr>
              <w:t xml:space="preserve"> z</w:t>
            </w:r>
            <w:r w:rsidR="00835753">
              <w:rPr>
                <w:rFonts w:ascii="Times New Roman" w:hAnsi="Times New Roman"/>
                <w:b/>
                <w:sz w:val="24"/>
                <w:szCs w:val="24"/>
              </w:rPr>
              <w:t> </w:t>
            </w:r>
            <w:r w:rsidR="00835753" w:rsidRPr="00835753">
              <w:rPr>
                <w:rFonts w:ascii="Times New Roman" w:hAnsi="Times New Roman"/>
                <w:b/>
                <w:sz w:val="24"/>
                <w:szCs w:val="24"/>
              </w:rPr>
              <w:t>art</w:t>
            </w:r>
            <w:r w:rsidRPr="00835753">
              <w:rPr>
                <w:rFonts w:ascii="Times New Roman" w:hAnsi="Times New Roman"/>
                <w:b/>
                <w:sz w:val="24"/>
                <w:szCs w:val="24"/>
              </w:rPr>
              <w:t>.</w:t>
            </w:r>
            <w:r w:rsidR="00835753" w:rsidRPr="00835753">
              <w:rPr>
                <w:rFonts w:ascii="Times New Roman" w:hAnsi="Times New Roman"/>
                <w:b/>
                <w:sz w:val="24"/>
                <w:szCs w:val="24"/>
              </w:rPr>
              <w:t> </w:t>
            </w:r>
            <w:r w:rsidRPr="00835753">
              <w:rPr>
                <w:rFonts w:ascii="Times New Roman" w:hAnsi="Times New Roman"/>
                <w:b/>
                <w:sz w:val="24"/>
                <w:szCs w:val="24"/>
              </w:rPr>
              <w:t>429a ust.</w:t>
            </w:r>
            <w:r w:rsidR="00835753" w:rsidRPr="00835753">
              <w:rPr>
                <w:rFonts w:ascii="Times New Roman" w:hAnsi="Times New Roman"/>
                <w:b/>
                <w:sz w:val="24"/>
                <w:szCs w:val="24"/>
              </w:rPr>
              <w:t> </w:t>
            </w:r>
            <w:r w:rsidRPr="00835753">
              <w:rPr>
                <w:rFonts w:ascii="Times New Roman" w:hAnsi="Times New Roman"/>
                <w:b/>
                <w:sz w:val="24"/>
                <w:szCs w:val="24"/>
              </w:rPr>
              <w:t>1 lit.</w:t>
            </w:r>
            <w:r w:rsidR="00835753" w:rsidRPr="00835753">
              <w:rPr>
                <w:rFonts w:ascii="Times New Roman" w:hAnsi="Times New Roman"/>
                <w:b/>
                <w:sz w:val="24"/>
                <w:szCs w:val="24"/>
              </w:rPr>
              <w:t> </w:t>
            </w:r>
            <w:r w:rsidRPr="00835753">
              <w:rPr>
                <w:rFonts w:ascii="Times New Roman" w:hAnsi="Times New Roman"/>
                <w:b/>
                <w:sz w:val="24"/>
                <w:szCs w:val="24"/>
              </w:rPr>
              <w:t>o) CRR)</w:t>
            </w:r>
          </w:p>
          <w:p w14:paraId="343A3FE9" w14:textId="57D328C2"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bCs/>
                <w:sz w:val="24"/>
                <w:szCs w:val="24"/>
              </w:rPr>
              <w:t>Art. 429a ust.</w:t>
            </w:r>
            <w:r w:rsidR="00835753" w:rsidRPr="00835753">
              <w:rPr>
                <w:rFonts w:ascii="Times New Roman" w:hAnsi="Times New Roman"/>
                <w:bCs/>
                <w:sz w:val="24"/>
                <w:szCs w:val="24"/>
              </w:rPr>
              <w:t> </w:t>
            </w:r>
            <w:r w:rsidRPr="00835753">
              <w:rPr>
                <w:rFonts w:ascii="Times New Roman" w:hAnsi="Times New Roman"/>
                <w:bCs/>
                <w:sz w:val="24"/>
                <w:szCs w:val="24"/>
              </w:rPr>
              <w:t>1 lit.</w:t>
            </w:r>
            <w:r w:rsidR="00835753" w:rsidRPr="00835753">
              <w:rPr>
                <w:rFonts w:ascii="Times New Roman" w:hAnsi="Times New Roman"/>
                <w:bCs/>
                <w:sz w:val="24"/>
                <w:szCs w:val="24"/>
              </w:rPr>
              <w:t> </w:t>
            </w:r>
            <w:r w:rsidRPr="00835753">
              <w:rPr>
                <w:rFonts w:ascii="Times New Roman" w:hAnsi="Times New Roman"/>
                <w:bCs/>
                <w:sz w:val="24"/>
                <w:szCs w:val="24"/>
              </w:rPr>
              <w:t>o) CRR</w:t>
            </w:r>
          </w:p>
          <w:p w14:paraId="39B28CCF" w14:textId="20CE232C"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bCs/>
                <w:sz w:val="24"/>
                <w:szCs w:val="24"/>
              </w:rPr>
              <w:t>Usługi związane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cen</w:t>
            </w:r>
            <w:r w:rsidRPr="00835753">
              <w:rPr>
                <w:rFonts w:ascii="Times New Roman" w:hAnsi="Times New Roman"/>
                <w:bCs/>
                <w:sz w:val="24"/>
                <w:szCs w:val="24"/>
              </w:rPr>
              <w:t>tralnym depozytem papierów wartościowych (CDPW) świadczone przez CDPW/instytucje, które można wyłączyć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429a ust.</w:t>
            </w:r>
            <w:r w:rsidR="00835753" w:rsidRPr="00835753">
              <w:rPr>
                <w:rFonts w:ascii="Times New Roman" w:hAnsi="Times New Roman"/>
                <w:bCs/>
                <w:sz w:val="24"/>
                <w:szCs w:val="24"/>
              </w:rPr>
              <w:t> </w:t>
            </w:r>
            <w:r w:rsidRPr="00835753">
              <w:rPr>
                <w:rFonts w:ascii="Times New Roman" w:hAnsi="Times New Roman"/>
                <w:bCs/>
                <w:sz w:val="24"/>
                <w:szCs w:val="24"/>
              </w:rPr>
              <w:t>1 lit.</w:t>
            </w:r>
            <w:r w:rsidR="00835753" w:rsidRPr="00835753">
              <w:rPr>
                <w:rFonts w:ascii="Times New Roman" w:hAnsi="Times New Roman"/>
                <w:bCs/>
                <w:sz w:val="24"/>
                <w:szCs w:val="24"/>
              </w:rPr>
              <w:t> </w:t>
            </w:r>
            <w:r w:rsidRPr="00835753">
              <w:rPr>
                <w:rFonts w:ascii="Times New Roman" w:hAnsi="Times New Roman"/>
                <w:bCs/>
                <w:sz w:val="24"/>
                <w:szCs w:val="24"/>
              </w:rPr>
              <w:t>o) CRR.</w:t>
            </w:r>
          </w:p>
          <w:p w14:paraId="11D0BFC3" w14:textId="2313A61C" w:rsidR="000A7015" w:rsidRPr="00835753" w:rsidRDefault="000A7015" w:rsidP="001E06A3">
            <w:pPr>
              <w:pStyle w:val="BodyText1"/>
              <w:spacing w:after="120" w:line="240" w:lineRule="auto"/>
              <w:rPr>
                <w:rFonts w:ascii="Times New Roman" w:eastAsia="Book Antiqua" w:hAnsi="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kwota ta zmniejsza miarę ekspozycji całkowitej, instytucje umieszczają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51A32962" w14:textId="77777777" w:rsidTr="001E06A3">
        <w:trPr>
          <w:trHeight w:val="895"/>
        </w:trPr>
        <w:tc>
          <w:tcPr>
            <w:tcW w:w="1384" w:type="dxa"/>
            <w:vAlign w:val="center"/>
          </w:tcPr>
          <w:p w14:paraId="4E97D8D6"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EU-22i</w:t>
            </w:r>
          </w:p>
        </w:tc>
        <w:tc>
          <w:tcPr>
            <w:tcW w:w="7655" w:type="dxa"/>
          </w:tcPr>
          <w:p w14:paraId="32666F92" w14:textId="59E68707"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35753">
              <w:rPr>
                <w:rFonts w:ascii="Times New Roman" w:hAnsi="Times New Roman"/>
                <w:b/>
                <w:sz w:val="24"/>
                <w:szCs w:val="24"/>
              </w:rPr>
              <w:t>(Wyłączone usługi związane z CDPW świadczone przez wskazane instytucje zgodnie</w:t>
            </w:r>
            <w:r w:rsidR="00835753" w:rsidRPr="00835753">
              <w:rPr>
                <w:rFonts w:ascii="Times New Roman" w:hAnsi="Times New Roman"/>
                <w:b/>
                <w:sz w:val="24"/>
                <w:szCs w:val="24"/>
              </w:rPr>
              <w:t xml:space="preserve"> z</w:t>
            </w:r>
            <w:r w:rsidR="00835753">
              <w:rPr>
                <w:rFonts w:ascii="Times New Roman" w:hAnsi="Times New Roman"/>
                <w:b/>
                <w:sz w:val="24"/>
                <w:szCs w:val="24"/>
              </w:rPr>
              <w:t> </w:t>
            </w:r>
            <w:r w:rsidR="00835753" w:rsidRPr="00835753">
              <w:rPr>
                <w:rFonts w:ascii="Times New Roman" w:hAnsi="Times New Roman"/>
                <w:b/>
                <w:sz w:val="24"/>
                <w:szCs w:val="24"/>
              </w:rPr>
              <w:t>art</w:t>
            </w:r>
            <w:r w:rsidRPr="00835753">
              <w:rPr>
                <w:rFonts w:ascii="Times New Roman" w:hAnsi="Times New Roman"/>
                <w:b/>
                <w:sz w:val="24"/>
                <w:szCs w:val="24"/>
              </w:rPr>
              <w:t>.</w:t>
            </w:r>
            <w:r w:rsidR="00835753" w:rsidRPr="00835753">
              <w:rPr>
                <w:rFonts w:ascii="Times New Roman" w:hAnsi="Times New Roman"/>
                <w:b/>
                <w:sz w:val="24"/>
                <w:szCs w:val="24"/>
              </w:rPr>
              <w:t> </w:t>
            </w:r>
            <w:r w:rsidRPr="00835753">
              <w:rPr>
                <w:rFonts w:ascii="Times New Roman" w:hAnsi="Times New Roman"/>
                <w:b/>
                <w:sz w:val="24"/>
                <w:szCs w:val="24"/>
              </w:rPr>
              <w:t>429a ust.</w:t>
            </w:r>
            <w:r w:rsidR="00835753" w:rsidRPr="00835753">
              <w:rPr>
                <w:rFonts w:ascii="Times New Roman" w:hAnsi="Times New Roman"/>
                <w:b/>
                <w:sz w:val="24"/>
                <w:szCs w:val="24"/>
              </w:rPr>
              <w:t> </w:t>
            </w:r>
            <w:r w:rsidRPr="00835753">
              <w:rPr>
                <w:rFonts w:ascii="Times New Roman" w:hAnsi="Times New Roman"/>
                <w:b/>
                <w:sz w:val="24"/>
                <w:szCs w:val="24"/>
              </w:rPr>
              <w:t>1 lit.</w:t>
            </w:r>
            <w:r w:rsidR="00835753" w:rsidRPr="00835753">
              <w:rPr>
                <w:rFonts w:ascii="Times New Roman" w:hAnsi="Times New Roman"/>
                <w:b/>
                <w:sz w:val="24"/>
                <w:szCs w:val="24"/>
              </w:rPr>
              <w:t> </w:t>
            </w:r>
            <w:r w:rsidRPr="00835753">
              <w:rPr>
                <w:rFonts w:ascii="Times New Roman" w:hAnsi="Times New Roman"/>
                <w:b/>
                <w:sz w:val="24"/>
                <w:szCs w:val="24"/>
              </w:rPr>
              <w:t>p) CRR)</w:t>
            </w:r>
          </w:p>
          <w:p w14:paraId="1ED3081C" w14:textId="1401CB13" w:rsidR="000A7015" w:rsidRPr="00835753" w:rsidRDefault="000A7015" w:rsidP="001E06A3">
            <w:pPr>
              <w:pStyle w:val="BodyText1"/>
              <w:spacing w:after="120" w:line="240" w:lineRule="auto"/>
              <w:rPr>
                <w:rFonts w:ascii="Times New Roman" w:hAnsi="Times New Roman"/>
                <w:sz w:val="24"/>
                <w:szCs w:val="24"/>
              </w:rPr>
            </w:pPr>
            <w:r w:rsidRPr="00835753">
              <w:rPr>
                <w:rFonts w:ascii="Times New Roman" w:hAnsi="Times New Roman"/>
                <w:bCs/>
                <w:sz w:val="24"/>
                <w:szCs w:val="24"/>
              </w:rPr>
              <w:t>Art. 429a ust.</w:t>
            </w:r>
            <w:r w:rsidR="00835753" w:rsidRPr="00835753">
              <w:rPr>
                <w:rFonts w:ascii="Times New Roman" w:hAnsi="Times New Roman"/>
                <w:bCs/>
                <w:sz w:val="24"/>
                <w:szCs w:val="24"/>
              </w:rPr>
              <w:t> </w:t>
            </w:r>
            <w:r w:rsidRPr="00835753">
              <w:rPr>
                <w:rFonts w:ascii="Times New Roman" w:hAnsi="Times New Roman"/>
                <w:bCs/>
                <w:sz w:val="24"/>
                <w:szCs w:val="24"/>
              </w:rPr>
              <w:t>1 lit.</w:t>
            </w:r>
            <w:r w:rsidR="00835753" w:rsidRPr="00835753">
              <w:rPr>
                <w:rFonts w:ascii="Times New Roman" w:hAnsi="Times New Roman"/>
                <w:bCs/>
                <w:sz w:val="24"/>
                <w:szCs w:val="24"/>
              </w:rPr>
              <w:t> </w:t>
            </w:r>
            <w:r w:rsidRPr="00835753">
              <w:rPr>
                <w:rFonts w:ascii="Times New Roman" w:hAnsi="Times New Roman"/>
                <w:bCs/>
                <w:sz w:val="24"/>
                <w:szCs w:val="24"/>
              </w:rPr>
              <w:t>p) CRR</w:t>
            </w:r>
          </w:p>
          <w:p w14:paraId="20EAEC5F" w14:textId="36654A44"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35753">
              <w:rPr>
                <w:rFonts w:ascii="Times New Roman" w:hAnsi="Times New Roman"/>
                <w:sz w:val="24"/>
                <w:szCs w:val="24"/>
              </w:rPr>
              <w:t>Usługi CDPW wyznaczonych instytucji, które można wyłączyć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p) CRR.</w:t>
            </w:r>
          </w:p>
          <w:p w14:paraId="6F7AB5F3" w14:textId="4464835C"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kwota ta zmniejsza miarę ekspozycji całkowitej, instytucje umieszczają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2BB71652" w14:textId="77777777" w:rsidTr="001E06A3">
        <w:trPr>
          <w:trHeight w:val="1535"/>
        </w:trPr>
        <w:tc>
          <w:tcPr>
            <w:tcW w:w="1384" w:type="dxa"/>
            <w:vAlign w:val="center"/>
          </w:tcPr>
          <w:p w14:paraId="7B77630C"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EU-22j</w:t>
            </w:r>
          </w:p>
        </w:tc>
        <w:tc>
          <w:tcPr>
            <w:tcW w:w="7655" w:type="dxa"/>
          </w:tcPr>
          <w:p w14:paraId="2E1FCA62" w14:textId="4EC88221" w:rsidR="000A7015" w:rsidRPr="00835753" w:rsidRDefault="000A7015" w:rsidP="001E06A3">
            <w:pPr>
              <w:pStyle w:val="BodyText1"/>
              <w:spacing w:after="120" w:line="240" w:lineRule="auto"/>
              <w:rPr>
                <w:rFonts w:ascii="Times New Roman" w:hAnsi="Times New Roman"/>
                <w:b/>
                <w:bCs/>
                <w:sz w:val="24"/>
                <w:szCs w:val="24"/>
              </w:rPr>
            </w:pPr>
            <w:r w:rsidRPr="00835753">
              <w:rPr>
                <w:rFonts w:ascii="Times New Roman" w:hAnsi="Times New Roman"/>
                <w:b/>
                <w:bCs/>
                <w:sz w:val="24"/>
                <w:szCs w:val="24"/>
              </w:rPr>
              <w:t>(Obniżenie wartości ekspozycji</w:t>
            </w:r>
            <w:r w:rsidR="00835753" w:rsidRPr="00835753">
              <w:rPr>
                <w:rFonts w:ascii="Times New Roman" w:hAnsi="Times New Roman"/>
                <w:b/>
                <w:bCs/>
                <w:sz w:val="24"/>
                <w:szCs w:val="24"/>
              </w:rPr>
              <w:t xml:space="preserve"> z</w:t>
            </w:r>
            <w:r w:rsidR="00835753">
              <w:rPr>
                <w:rFonts w:ascii="Times New Roman" w:hAnsi="Times New Roman"/>
                <w:b/>
                <w:bCs/>
                <w:sz w:val="24"/>
                <w:szCs w:val="24"/>
              </w:rPr>
              <w:t> </w:t>
            </w:r>
            <w:r w:rsidR="00835753" w:rsidRPr="00835753">
              <w:rPr>
                <w:rFonts w:ascii="Times New Roman" w:hAnsi="Times New Roman"/>
                <w:b/>
                <w:bCs/>
                <w:sz w:val="24"/>
                <w:szCs w:val="24"/>
              </w:rPr>
              <w:t>tyt</w:t>
            </w:r>
            <w:r w:rsidRPr="00835753">
              <w:rPr>
                <w:rFonts w:ascii="Times New Roman" w:hAnsi="Times New Roman"/>
                <w:b/>
                <w:bCs/>
                <w:sz w:val="24"/>
                <w:szCs w:val="24"/>
              </w:rPr>
              <w:t xml:space="preserve">ułu kredytu na prefinansowanie lub kredytu przejściowego) </w:t>
            </w:r>
          </w:p>
          <w:p w14:paraId="14A3D15E" w14:textId="77777777"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bCs/>
                <w:sz w:val="24"/>
                <w:szCs w:val="24"/>
              </w:rPr>
              <w:t>Art. 429 ust. 8 CRR</w:t>
            </w:r>
          </w:p>
          <w:p w14:paraId="6BA3CCBA" w14:textId="3219C430"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bCs/>
                <w:sz w:val="24"/>
                <w:szCs w:val="24"/>
              </w:rPr>
              <w:t>Kwota odliczona od wartości ekspozycji</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tyt</w:t>
            </w:r>
            <w:r w:rsidRPr="00835753">
              <w:rPr>
                <w:rFonts w:ascii="Times New Roman" w:hAnsi="Times New Roman"/>
                <w:bCs/>
                <w:sz w:val="24"/>
                <w:szCs w:val="24"/>
              </w:rPr>
              <w:t>ułu płatności zaliczkowych lub kredytów pośrednich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429 ust.</w:t>
            </w:r>
            <w:r w:rsidR="00835753" w:rsidRPr="00835753">
              <w:rPr>
                <w:rFonts w:ascii="Times New Roman" w:hAnsi="Times New Roman"/>
                <w:bCs/>
                <w:sz w:val="24"/>
                <w:szCs w:val="24"/>
              </w:rPr>
              <w:t> </w:t>
            </w:r>
            <w:r w:rsidRPr="00835753">
              <w:rPr>
                <w:rFonts w:ascii="Times New Roman" w:hAnsi="Times New Roman"/>
                <w:bCs/>
                <w:sz w:val="24"/>
                <w:szCs w:val="24"/>
              </w:rPr>
              <w:t>8 CRR.</w:t>
            </w:r>
          </w:p>
          <w:p w14:paraId="05F1E3A6" w14:textId="4E69C581"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kwota ta zmniejsza miarę ekspozycji całkowitej, instytucje umieszczają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6B300FD3" w14:textId="77777777" w:rsidTr="001E06A3">
        <w:trPr>
          <w:trHeight w:val="1448"/>
        </w:trPr>
        <w:tc>
          <w:tcPr>
            <w:tcW w:w="1384" w:type="dxa"/>
            <w:vAlign w:val="center"/>
          </w:tcPr>
          <w:p w14:paraId="29E0186A"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EU-22k</w:t>
            </w:r>
          </w:p>
        </w:tc>
        <w:tc>
          <w:tcPr>
            <w:tcW w:w="7655" w:type="dxa"/>
          </w:tcPr>
          <w:p w14:paraId="15155F12" w14:textId="77777777"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35753">
              <w:rPr>
                <w:rFonts w:ascii="Times New Roman" w:hAnsi="Times New Roman"/>
                <w:b/>
                <w:sz w:val="24"/>
                <w:szCs w:val="24"/>
              </w:rPr>
              <w:t>(Wyłączone ekspozycje ogółem)</w:t>
            </w:r>
          </w:p>
          <w:p w14:paraId="6FECF0BB" w14:textId="77777777"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35753">
              <w:rPr>
                <w:rStyle w:val="TeksttreciPogrubienie"/>
                <w:rFonts w:ascii="Times New Roman" w:hAnsi="Times New Roman"/>
                <w:sz w:val="24"/>
                <w:szCs w:val="24"/>
              </w:rPr>
              <w:t>Suma wierszy od EU-22a do EU-22j</w:t>
            </w:r>
          </w:p>
          <w:p w14:paraId="6FDC22CD" w14:textId="5E4906C5"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35753">
              <w:rPr>
                <w:rFonts w:ascii="Times New Roman" w:hAnsi="Times New Roman"/>
                <w:sz w:val="24"/>
                <w:szCs w:val="24"/>
              </w:rPr>
              <w:t>W związku</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że kwota ta zmniejsza miarę ekspozycji całkowitej, instytucje umieszczają wartość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wierszu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naw</w:t>
            </w:r>
            <w:r w:rsidRPr="00835753">
              <w:rPr>
                <w:rFonts w:ascii="Times New Roman" w:hAnsi="Times New Roman"/>
                <w:sz w:val="24"/>
                <w:szCs w:val="24"/>
              </w:rPr>
              <w:t>iasach (kwota ujemna).</w:t>
            </w:r>
          </w:p>
        </w:tc>
      </w:tr>
      <w:tr w:rsidR="000A7015" w:rsidRPr="00835753" w14:paraId="1392DA79" w14:textId="77777777" w:rsidTr="001E06A3">
        <w:trPr>
          <w:trHeight w:val="2265"/>
        </w:trPr>
        <w:tc>
          <w:tcPr>
            <w:tcW w:w="1384" w:type="dxa"/>
            <w:vAlign w:val="center"/>
          </w:tcPr>
          <w:p w14:paraId="2DDC0D83"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23</w:t>
            </w:r>
          </w:p>
        </w:tc>
        <w:tc>
          <w:tcPr>
            <w:tcW w:w="7655" w:type="dxa"/>
          </w:tcPr>
          <w:p w14:paraId="6DFF17CE"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Kapitał Tier I</w:t>
            </w:r>
          </w:p>
          <w:p w14:paraId="6E412308" w14:textId="135FBD4C"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429 ust.</w:t>
            </w:r>
            <w:r w:rsidR="00835753" w:rsidRPr="00835753">
              <w:rPr>
                <w:rFonts w:ascii="Times New Roman" w:hAnsi="Times New Roman"/>
                <w:sz w:val="24"/>
                <w:szCs w:val="24"/>
              </w:rPr>
              <w:t> </w:t>
            </w:r>
            <w:r w:rsidRPr="00835753">
              <w:rPr>
                <w:rFonts w:ascii="Times New Roman" w:hAnsi="Times New Roman"/>
                <w:sz w:val="24"/>
                <w:szCs w:val="24"/>
              </w:rPr>
              <w:t>3</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499 ust.</w:t>
            </w:r>
            <w:r w:rsidR="00835753" w:rsidRPr="00835753">
              <w:rPr>
                <w:rFonts w:ascii="Times New Roman" w:hAnsi="Times New Roman"/>
                <w:sz w:val="24"/>
                <w:szCs w:val="24"/>
              </w:rPr>
              <w:t> </w:t>
            </w:r>
            <w:r w:rsidRPr="00835753">
              <w:rPr>
                <w:rFonts w:ascii="Times New Roman" w:hAnsi="Times New Roman"/>
                <w:sz w:val="24"/>
                <w:szCs w:val="24"/>
              </w:rPr>
              <w:t>1</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2</w:t>
            </w:r>
            <w:r w:rsidRPr="00835753">
              <w:rPr>
                <w:rFonts w:ascii="Times New Roman" w:hAnsi="Times New Roman"/>
                <w:sz w:val="24"/>
                <w:szCs w:val="24"/>
              </w:rPr>
              <w:t xml:space="preserve"> CRR</w:t>
            </w:r>
          </w:p>
          <w:p w14:paraId="53E9EB02" w14:textId="53BDA1F9"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kwotę kapitału Tier I obliczoną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wyb</w:t>
            </w:r>
            <w:r w:rsidRPr="00835753">
              <w:rPr>
                <w:rFonts w:ascii="Times New Roman" w:hAnsi="Times New Roman"/>
                <w:sz w:val="24"/>
                <w:szCs w:val="24"/>
              </w:rPr>
              <w:t>orem dokonanym przez instytucję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499 ust.</w:t>
            </w:r>
            <w:r w:rsidR="00835753" w:rsidRPr="00835753">
              <w:rPr>
                <w:rFonts w:ascii="Times New Roman" w:hAnsi="Times New Roman"/>
                <w:sz w:val="24"/>
                <w:szCs w:val="24"/>
              </w:rPr>
              <w:t> </w:t>
            </w:r>
            <w:r w:rsidRPr="00835753">
              <w:rPr>
                <w:rFonts w:ascii="Times New Roman" w:hAnsi="Times New Roman"/>
                <w:sz w:val="24"/>
                <w:szCs w:val="24"/>
              </w:rPr>
              <w:t>2 CRR, jak ujawniono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 xml:space="preserve">rszu EU-27 wzoru EU </w:t>
            </w:r>
            <w:r w:rsidRPr="00835753">
              <w:rPr>
                <w:rFonts w:ascii="Times New Roman" w:hAnsi="Times New Roman"/>
                <w:color w:val="000000"/>
                <w:sz w:val="24"/>
                <w:szCs w:val="24"/>
              </w:rPr>
              <w:t xml:space="preserve">LR2 – </w:t>
            </w:r>
            <w:r w:rsidRPr="00835753">
              <w:rPr>
                <w:rFonts w:ascii="Times New Roman" w:hAnsi="Times New Roman"/>
                <w:sz w:val="24"/>
                <w:szCs w:val="24"/>
              </w:rPr>
              <w:t>LRCom.</w:t>
            </w:r>
          </w:p>
          <w:p w14:paraId="4FE9845E" w14:textId="1E044351"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Ściślej rzecz biorąc, jeżeli instytucja postanowiła ujawnić kapitał Tier I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499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a) CRR, ujawnia ona kwotę kapitału Tier I obliczoną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25 CRR, bez uwzględniania odstępstw określonych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 dziesiątej tytuł I rozdziały 1</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2</w:t>
            </w:r>
            <w:r w:rsidRPr="00835753">
              <w:rPr>
                <w:rFonts w:ascii="Times New Roman" w:hAnsi="Times New Roman"/>
                <w:sz w:val="24"/>
                <w:szCs w:val="24"/>
              </w:rPr>
              <w:t xml:space="preserve"> CRR.</w:t>
            </w:r>
          </w:p>
          <w:p w14:paraId="4C87DF6B" w14:textId="7B700C3B"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Natomiast jeżeli instytucja postanowiła ujawnić kapitał Tier I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499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b) CRR, ujawnia ona kwotę kapitału Tier I obliczoną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25 CRR, po uwzględnieniu odstępstw określonych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 dziesiątej tytuł I rozdziały 1</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2</w:t>
            </w:r>
            <w:r w:rsidRPr="00835753">
              <w:rPr>
                <w:rFonts w:ascii="Times New Roman" w:hAnsi="Times New Roman"/>
                <w:sz w:val="24"/>
                <w:szCs w:val="24"/>
              </w:rPr>
              <w:t xml:space="preserve"> CRR.</w:t>
            </w:r>
          </w:p>
        </w:tc>
      </w:tr>
      <w:tr w:rsidR="000A7015" w:rsidRPr="00835753" w14:paraId="752FE115" w14:textId="77777777" w:rsidTr="001E06A3">
        <w:trPr>
          <w:trHeight w:val="685"/>
        </w:trPr>
        <w:tc>
          <w:tcPr>
            <w:tcW w:w="1384" w:type="dxa"/>
            <w:vAlign w:val="center"/>
          </w:tcPr>
          <w:p w14:paraId="03D41C31"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24</w:t>
            </w:r>
          </w:p>
        </w:tc>
        <w:tc>
          <w:tcPr>
            <w:tcW w:w="7655" w:type="dxa"/>
          </w:tcPr>
          <w:p w14:paraId="7B4A3B2B" w14:textId="77777777"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 xml:space="preserve">Miara ekspozycji całkowitej </w:t>
            </w:r>
          </w:p>
          <w:p w14:paraId="69CCE9BD"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835753">
              <w:rPr>
                <w:rStyle w:val="TeksttreciPogrubienie"/>
                <w:rFonts w:ascii="Times New Roman" w:hAnsi="Times New Roman"/>
                <w:b w:val="0"/>
                <w:sz w:val="24"/>
                <w:szCs w:val="24"/>
              </w:rPr>
              <w:t>Suma wierszy 7, 13, 18, 22 i EU-22k wzoru</w:t>
            </w:r>
            <w:r w:rsidRPr="00835753">
              <w:rPr>
                <w:rStyle w:val="TeksttreciPogrubienie"/>
                <w:rFonts w:ascii="Times New Roman" w:hAnsi="Times New Roman"/>
                <w:sz w:val="24"/>
                <w:szCs w:val="24"/>
              </w:rPr>
              <w:t xml:space="preserve"> </w:t>
            </w:r>
            <w:r w:rsidRPr="00835753">
              <w:rPr>
                <w:rFonts w:ascii="Times New Roman" w:hAnsi="Times New Roman"/>
                <w:sz w:val="24"/>
                <w:szCs w:val="24"/>
              </w:rPr>
              <w:t xml:space="preserve">EU </w:t>
            </w:r>
            <w:r w:rsidRPr="00835753">
              <w:rPr>
                <w:rFonts w:ascii="Times New Roman" w:hAnsi="Times New Roman"/>
                <w:color w:val="000000"/>
                <w:sz w:val="24"/>
                <w:szCs w:val="24"/>
              </w:rPr>
              <w:t xml:space="preserve">LR2 – </w:t>
            </w:r>
            <w:r w:rsidRPr="00835753">
              <w:rPr>
                <w:rFonts w:ascii="Times New Roman" w:hAnsi="Times New Roman"/>
                <w:sz w:val="24"/>
                <w:szCs w:val="24"/>
              </w:rPr>
              <w:t>LRCom</w:t>
            </w:r>
          </w:p>
        </w:tc>
      </w:tr>
      <w:tr w:rsidR="000A7015" w:rsidRPr="00835753" w14:paraId="38E4A8BB" w14:textId="77777777" w:rsidTr="001E06A3">
        <w:trPr>
          <w:trHeight w:val="1164"/>
        </w:trPr>
        <w:tc>
          <w:tcPr>
            <w:tcW w:w="1384" w:type="dxa"/>
            <w:vAlign w:val="center"/>
          </w:tcPr>
          <w:p w14:paraId="48DAD246"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25</w:t>
            </w:r>
          </w:p>
        </w:tc>
        <w:tc>
          <w:tcPr>
            <w:tcW w:w="7655" w:type="dxa"/>
          </w:tcPr>
          <w:p w14:paraId="0DC193C9"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Wskaźnik dźwigni (%)</w:t>
            </w:r>
          </w:p>
          <w:p w14:paraId="564F3D04" w14:textId="0F394386"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Fonts w:ascii="Times New Roman" w:hAnsi="Times New Roman"/>
                <w:sz w:val="24"/>
                <w:szCs w:val="24"/>
              </w:rPr>
              <w:t>Instytucje ujawniają kwotę</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 xml:space="preserve">rsza 23 wzoru EU </w:t>
            </w:r>
            <w:r w:rsidRPr="00835753">
              <w:rPr>
                <w:rFonts w:ascii="Times New Roman" w:hAnsi="Times New Roman"/>
                <w:color w:val="000000"/>
                <w:sz w:val="24"/>
                <w:szCs w:val="24"/>
              </w:rPr>
              <w:t xml:space="preserve">LR2 – </w:t>
            </w:r>
            <w:r w:rsidRPr="00835753">
              <w:rPr>
                <w:rFonts w:ascii="Times New Roman" w:hAnsi="Times New Roman"/>
                <w:sz w:val="24"/>
                <w:szCs w:val="24"/>
              </w:rPr>
              <w:t>LRCom wyrażoną jako procent kwoty</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 xml:space="preserve">rsza 24 wzoru EU </w:t>
            </w:r>
            <w:r w:rsidRPr="00835753">
              <w:rPr>
                <w:rFonts w:ascii="Times New Roman" w:hAnsi="Times New Roman"/>
                <w:color w:val="000000"/>
                <w:sz w:val="24"/>
                <w:szCs w:val="24"/>
              </w:rPr>
              <w:t xml:space="preserve">LR2 - </w:t>
            </w:r>
            <w:r w:rsidRPr="00835753">
              <w:rPr>
                <w:rFonts w:ascii="Times New Roman" w:hAnsi="Times New Roman"/>
                <w:sz w:val="24"/>
                <w:szCs w:val="24"/>
              </w:rPr>
              <w:t>LRCom.</w:t>
            </w:r>
          </w:p>
        </w:tc>
      </w:tr>
      <w:tr w:rsidR="000A7015" w:rsidRPr="00835753" w14:paraId="1105BC2F" w14:textId="77777777" w:rsidTr="001E06A3">
        <w:trPr>
          <w:trHeight w:val="1890"/>
        </w:trPr>
        <w:tc>
          <w:tcPr>
            <w:tcW w:w="1384" w:type="dxa"/>
            <w:vAlign w:val="center"/>
          </w:tcPr>
          <w:p w14:paraId="3729E573"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EU-25</w:t>
            </w:r>
          </w:p>
        </w:tc>
        <w:tc>
          <w:tcPr>
            <w:tcW w:w="7655" w:type="dxa"/>
          </w:tcPr>
          <w:p w14:paraId="5D544C9C" w14:textId="4ECFD542"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Wskaźnik dźwigni (z wyłączeniem wpływu wyłączenia inwestycji sektora publicznego</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kre</w:t>
            </w:r>
            <w:r w:rsidRPr="00835753">
              <w:rPr>
                <w:rStyle w:val="TeksttreciPogrubienie"/>
                <w:rFonts w:ascii="Times New Roman" w:hAnsi="Times New Roman"/>
                <w:sz w:val="24"/>
                <w:szCs w:val="24"/>
              </w:rPr>
              <w:t>dytów preferencyjnych) (%)</w:t>
            </w:r>
          </w:p>
          <w:p w14:paraId="060BE2BA" w14:textId="1BC9C0EB"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Fonts w:ascii="Times New Roman" w:hAnsi="Times New Roman"/>
                <w:sz w:val="24"/>
                <w:szCs w:val="24"/>
              </w:rPr>
              <w:t>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451 ust.</w:t>
            </w:r>
            <w:r w:rsidR="00835753" w:rsidRPr="00835753">
              <w:rPr>
                <w:rFonts w:ascii="Times New Roman" w:hAnsi="Times New Roman"/>
                <w:sz w:val="24"/>
                <w:szCs w:val="24"/>
              </w:rPr>
              <w:t> </w:t>
            </w:r>
            <w:r w:rsidRPr="00835753">
              <w:rPr>
                <w:rFonts w:ascii="Times New Roman" w:hAnsi="Times New Roman"/>
                <w:sz w:val="24"/>
                <w:szCs w:val="24"/>
              </w:rPr>
              <w:t>2 CRR publiczne instytucje kredytowe wspierające rozwój zdefiniowane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2 CRR ujawniają wskaźnik dźwigni bez zastosowania korekty do miary ekspozycji całkowitej ustalonej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d) CRR, tj. korekty ujawnianej</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rszach EU-22c i EU-22d niniejszego wzoru.</w:t>
            </w:r>
          </w:p>
        </w:tc>
      </w:tr>
      <w:tr w:rsidR="000A7015" w:rsidRPr="00835753" w14:paraId="158AC438" w14:textId="77777777" w:rsidTr="001E06A3">
        <w:trPr>
          <w:trHeight w:val="2265"/>
        </w:trPr>
        <w:tc>
          <w:tcPr>
            <w:tcW w:w="1384" w:type="dxa"/>
            <w:vAlign w:val="center"/>
          </w:tcPr>
          <w:p w14:paraId="24111CE9"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25a</w:t>
            </w:r>
          </w:p>
        </w:tc>
        <w:tc>
          <w:tcPr>
            <w:tcW w:w="7655" w:type="dxa"/>
            <w:vAlign w:val="center"/>
          </w:tcPr>
          <w:p w14:paraId="3F8ED536" w14:textId="64BCC152"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35753">
              <w:rPr>
                <w:rFonts w:ascii="Times New Roman" w:hAnsi="Times New Roman"/>
                <w:b/>
                <w:sz w:val="24"/>
                <w:szCs w:val="24"/>
              </w:rPr>
              <w:t>Wskaźnik dźwigni (z wyłączeniem wpływu wszelkich mających zastosowanie tymczasowych wyłączeń rezerw</w:t>
            </w:r>
            <w:r w:rsidR="00835753" w:rsidRPr="00835753">
              <w:rPr>
                <w:rFonts w:ascii="Times New Roman" w:hAnsi="Times New Roman"/>
                <w:b/>
                <w:sz w:val="24"/>
                <w:szCs w:val="24"/>
              </w:rPr>
              <w:t xml:space="preserve"> w</w:t>
            </w:r>
            <w:r w:rsidR="00835753">
              <w:rPr>
                <w:rFonts w:ascii="Times New Roman" w:hAnsi="Times New Roman"/>
                <w:b/>
                <w:sz w:val="24"/>
                <w:szCs w:val="24"/>
              </w:rPr>
              <w:t> </w:t>
            </w:r>
            <w:r w:rsidR="00835753" w:rsidRPr="00835753">
              <w:rPr>
                <w:rFonts w:ascii="Times New Roman" w:hAnsi="Times New Roman"/>
                <w:b/>
                <w:sz w:val="24"/>
                <w:szCs w:val="24"/>
              </w:rPr>
              <w:t>ban</w:t>
            </w:r>
            <w:r w:rsidRPr="00835753">
              <w:rPr>
                <w:rFonts w:ascii="Times New Roman" w:hAnsi="Times New Roman"/>
                <w:b/>
                <w:sz w:val="24"/>
                <w:szCs w:val="24"/>
              </w:rPr>
              <w:t>ku centralnym) (%)</w:t>
            </w:r>
          </w:p>
          <w:p w14:paraId="659645CB" w14:textId="568FDDC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Jeżeli miara ekspozycji całkowitej instytucji podlega czasowemu wyłączeniu rezerw banku centralnego określonemu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429a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n) CRR, współczynnik ten definiuje się jako miarę kapitału Tier I podzieloną przez sumę miary ekspozycji całkowitej</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kwo</w:t>
            </w:r>
            <w:r w:rsidRPr="00835753">
              <w:rPr>
                <w:rFonts w:ascii="Times New Roman" w:hAnsi="Times New Roman"/>
                <w:sz w:val="24"/>
                <w:szCs w:val="24"/>
              </w:rPr>
              <w:t>ty wyłączenia rezerw banku centralnego, przy czym współczynnik ten wyraża się</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pro</w:t>
            </w:r>
            <w:r w:rsidRPr="00835753">
              <w:rPr>
                <w:rFonts w:ascii="Times New Roman" w:hAnsi="Times New Roman"/>
                <w:sz w:val="24"/>
                <w:szCs w:val="24"/>
              </w:rPr>
              <w:t>centach.</w:t>
            </w:r>
          </w:p>
          <w:p w14:paraId="51005A08" w14:textId="0CA1CB3B"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Jeżeli miara ekspozycji całkowitej instytucji nie podlega tymczasowemu wyłączeniu rezerw banku centralnego, wskaźnik ten będzie identyczny ze wskaźnikiem ujawnionym</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rszu 25.</w:t>
            </w:r>
          </w:p>
        </w:tc>
      </w:tr>
      <w:tr w:rsidR="000A7015" w:rsidRPr="00835753" w14:paraId="7CDDE3FF" w14:textId="77777777" w:rsidTr="001E06A3">
        <w:trPr>
          <w:trHeight w:val="1152"/>
        </w:trPr>
        <w:tc>
          <w:tcPr>
            <w:tcW w:w="1384" w:type="dxa"/>
            <w:vAlign w:val="center"/>
          </w:tcPr>
          <w:p w14:paraId="07964D9F"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26</w:t>
            </w:r>
          </w:p>
        </w:tc>
        <w:tc>
          <w:tcPr>
            <w:tcW w:w="7655" w:type="dxa"/>
            <w:vAlign w:val="center"/>
          </w:tcPr>
          <w:p w14:paraId="2C2C85DC" w14:textId="77777777"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35753">
              <w:rPr>
                <w:rFonts w:ascii="Times New Roman" w:hAnsi="Times New Roman"/>
                <w:b/>
                <w:sz w:val="24"/>
                <w:szCs w:val="24"/>
              </w:rPr>
              <w:t>Regulacyjny wymóg dotyczący minimalnego wskaźnika dźwigni (%)</w:t>
            </w:r>
          </w:p>
          <w:p w14:paraId="43180C22" w14:textId="3D507EF9" w:rsidR="000A7015" w:rsidRPr="00835753"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sidRPr="00835753">
              <w:rPr>
                <w:rFonts w:ascii="Times New Roman" w:hAnsi="Times New Roman"/>
                <w:sz w:val="24"/>
              </w:rPr>
              <w:t>Art. 92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d), art.</w:t>
            </w:r>
            <w:r w:rsidR="00835753" w:rsidRPr="00835753">
              <w:rPr>
                <w:rFonts w:ascii="Times New Roman" w:hAnsi="Times New Roman"/>
                <w:sz w:val="24"/>
              </w:rPr>
              <w:t> </w:t>
            </w:r>
            <w:r w:rsidRPr="00835753">
              <w:rPr>
                <w:rFonts w:ascii="Times New Roman" w:hAnsi="Times New Roman"/>
                <w:sz w:val="24"/>
              </w:rPr>
              <w:t>429a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n)</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429a ust.</w:t>
            </w:r>
            <w:r w:rsidR="00835753" w:rsidRPr="00835753">
              <w:rPr>
                <w:rFonts w:ascii="Times New Roman" w:hAnsi="Times New Roman"/>
                <w:sz w:val="24"/>
              </w:rPr>
              <w:t> </w:t>
            </w:r>
            <w:r w:rsidRPr="00835753">
              <w:rPr>
                <w:rFonts w:ascii="Times New Roman" w:hAnsi="Times New Roman"/>
                <w:sz w:val="24"/>
              </w:rPr>
              <w:t>7 CRR</w:t>
            </w:r>
          </w:p>
          <w:p w14:paraId="0C964B92" w14:textId="0ED9CEC6" w:rsidR="000A7015" w:rsidRPr="00835753" w:rsidRDefault="000A7015" w:rsidP="001E06A3">
            <w:pPr>
              <w:tabs>
                <w:tab w:val="left" w:pos="400"/>
              </w:tabs>
              <w:spacing w:after="120"/>
              <w:jc w:val="both"/>
              <w:rPr>
                <w:rFonts w:ascii="Times New Roman" w:hAnsi="Times New Roman" w:cs="Times New Roman"/>
                <w:sz w:val="24"/>
                <w:u w:val="single"/>
              </w:rPr>
            </w:pPr>
            <w:r w:rsidRPr="00835753">
              <w:rPr>
                <w:rFonts w:ascii="Times New Roman" w:hAnsi="Times New Roman"/>
                <w:bCs/>
                <w:color w:val="000000"/>
                <w:sz w:val="24"/>
                <w:shd w:val="clear" w:color="auto" w:fill="FFFFFF"/>
              </w:rPr>
              <w:t>Instytucje ujawniają wymóg dotyczący wskaźnika dźwigni określony</w:t>
            </w:r>
            <w:r w:rsidR="00835753" w:rsidRPr="00835753">
              <w:rPr>
                <w:rFonts w:ascii="Times New Roman" w:hAnsi="Times New Roman"/>
                <w:bCs/>
                <w:color w:val="000000"/>
                <w:sz w:val="24"/>
                <w:shd w:val="clear" w:color="auto" w:fill="FFFFFF"/>
              </w:rPr>
              <w:t xml:space="preserve"> w</w:t>
            </w:r>
            <w:r w:rsidR="00835753">
              <w:rPr>
                <w:rFonts w:ascii="Times New Roman" w:hAnsi="Times New Roman"/>
                <w:bCs/>
                <w:color w:val="000000"/>
                <w:sz w:val="24"/>
                <w:shd w:val="clear" w:color="auto" w:fill="FFFFFF"/>
              </w:rPr>
              <w:t> </w:t>
            </w:r>
            <w:r w:rsidR="00835753" w:rsidRPr="00835753">
              <w:rPr>
                <w:rFonts w:ascii="Times New Roman" w:hAnsi="Times New Roman"/>
                <w:bCs/>
                <w:color w:val="000000"/>
                <w:sz w:val="24"/>
                <w:shd w:val="clear" w:color="auto" w:fill="FFFFFF"/>
              </w:rPr>
              <w:t>art</w:t>
            </w:r>
            <w:r w:rsidRPr="00835753">
              <w:rPr>
                <w:rFonts w:ascii="Times New Roman" w:hAnsi="Times New Roman"/>
                <w:bCs/>
                <w:color w:val="000000"/>
                <w:sz w:val="24"/>
                <w:shd w:val="clear" w:color="auto" w:fill="FFFFFF"/>
              </w:rPr>
              <w:t>.</w:t>
            </w:r>
            <w:r w:rsidR="00835753" w:rsidRPr="00835753">
              <w:rPr>
                <w:rFonts w:ascii="Times New Roman" w:hAnsi="Times New Roman"/>
                <w:bCs/>
                <w:color w:val="000000"/>
                <w:sz w:val="24"/>
                <w:shd w:val="clear" w:color="auto" w:fill="FFFFFF"/>
              </w:rPr>
              <w:t> </w:t>
            </w:r>
            <w:r w:rsidRPr="00835753">
              <w:rPr>
                <w:rFonts w:ascii="Times New Roman" w:hAnsi="Times New Roman"/>
                <w:bCs/>
                <w:color w:val="000000"/>
                <w:sz w:val="24"/>
                <w:shd w:val="clear" w:color="auto" w:fill="FFFFFF"/>
              </w:rPr>
              <w:t>92 ust.</w:t>
            </w:r>
            <w:r w:rsidR="00835753" w:rsidRPr="00835753">
              <w:rPr>
                <w:rFonts w:ascii="Times New Roman" w:hAnsi="Times New Roman"/>
                <w:bCs/>
                <w:color w:val="000000"/>
                <w:sz w:val="24"/>
                <w:shd w:val="clear" w:color="auto" w:fill="FFFFFF"/>
              </w:rPr>
              <w:t> </w:t>
            </w:r>
            <w:r w:rsidRPr="00835753">
              <w:rPr>
                <w:rFonts w:ascii="Times New Roman" w:hAnsi="Times New Roman"/>
                <w:bCs/>
                <w:color w:val="000000"/>
                <w:sz w:val="24"/>
                <w:shd w:val="clear" w:color="auto" w:fill="FFFFFF"/>
              </w:rPr>
              <w:t>1 lit.</w:t>
            </w:r>
            <w:r w:rsidR="00835753" w:rsidRPr="00835753">
              <w:rPr>
                <w:rFonts w:ascii="Times New Roman" w:hAnsi="Times New Roman"/>
                <w:bCs/>
                <w:color w:val="000000"/>
                <w:sz w:val="24"/>
                <w:shd w:val="clear" w:color="auto" w:fill="FFFFFF"/>
              </w:rPr>
              <w:t> </w:t>
            </w:r>
            <w:r w:rsidRPr="00835753">
              <w:rPr>
                <w:rFonts w:ascii="Times New Roman" w:hAnsi="Times New Roman"/>
                <w:bCs/>
                <w:color w:val="000000"/>
                <w:sz w:val="24"/>
                <w:shd w:val="clear" w:color="auto" w:fill="FFFFFF"/>
              </w:rPr>
              <w:t>d) CRR. Jeżeli instytucja wyłącza ekspozycje,</w:t>
            </w:r>
            <w:r w:rsidR="00835753" w:rsidRPr="00835753">
              <w:rPr>
                <w:rFonts w:ascii="Times New Roman" w:hAnsi="Times New Roman"/>
                <w:bCs/>
                <w:color w:val="000000"/>
                <w:sz w:val="24"/>
                <w:shd w:val="clear" w:color="auto" w:fill="FFFFFF"/>
              </w:rPr>
              <w:t xml:space="preserve"> o</w:t>
            </w:r>
            <w:r w:rsidR="00835753">
              <w:rPr>
                <w:rFonts w:ascii="Times New Roman" w:hAnsi="Times New Roman"/>
                <w:bCs/>
                <w:color w:val="000000"/>
                <w:sz w:val="24"/>
                <w:shd w:val="clear" w:color="auto" w:fill="FFFFFF"/>
              </w:rPr>
              <w:t> </w:t>
            </w:r>
            <w:r w:rsidR="00835753" w:rsidRPr="00835753">
              <w:rPr>
                <w:rFonts w:ascii="Times New Roman" w:hAnsi="Times New Roman"/>
                <w:bCs/>
                <w:color w:val="000000"/>
                <w:sz w:val="24"/>
                <w:shd w:val="clear" w:color="auto" w:fill="FFFFFF"/>
              </w:rPr>
              <w:t>któ</w:t>
            </w:r>
            <w:r w:rsidRPr="00835753">
              <w:rPr>
                <w:rFonts w:ascii="Times New Roman" w:hAnsi="Times New Roman"/>
                <w:bCs/>
                <w:color w:val="000000"/>
                <w:sz w:val="24"/>
                <w:shd w:val="clear" w:color="auto" w:fill="FFFFFF"/>
              </w:rPr>
              <w:t xml:space="preserve">rych </w:t>
            </w:r>
            <w:r w:rsidRPr="00835753">
              <w:rPr>
                <w:rFonts w:ascii="Times New Roman" w:hAnsi="Times New Roman"/>
                <w:bCs/>
                <w:color w:val="000000"/>
                <w:sz w:val="24"/>
                <w:shd w:val="clear" w:color="auto" w:fill="FFFFFF"/>
              </w:rPr>
              <w:lastRenderedPageBreak/>
              <w:t>mowa</w:t>
            </w:r>
            <w:r w:rsidR="00835753" w:rsidRPr="00835753">
              <w:rPr>
                <w:rFonts w:ascii="Times New Roman" w:hAnsi="Times New Roman"/>
                <w:bCs/>
                <w:color w:val="000000"/>
                <w:sz w:val="24"/>
                <w:shd w:val="clear" w:color="auto" w:fill="FFFFFF"/>
              </w:rPr>
              <w:t xml:space="preserve"> w</w:t>
            </w:r>
            <w:r w:rsidR="00835753">
              <w:rPr>
                <w:rFonts w:ascii="Times New Roman" w:hAnsi="Times New Roman"/>
                <w:bCs/>
                <w:color w:val="000000"/>
                <w:sz w:val="24"/>
                <w:shd w:val="clear" w:color="auto" w:fill="FFFFFF"/>
              </w:rPr>
              <w:t> </w:t>
            </w:r>
            <w:r w:rsidR="00835753" w:rsidRPr="00835753">
              <w:rPr>
                <w:rFonts w:ascii="Times New Roman" w:hAnsi="Times New Roman"/>
                <w:bCs/>
                <w:color w:val="000000"/>
                <w:sz w:val="24"/>
                <w:shd w:val="clear" w:color="auto" w:fill="FFFFFF"/>
              </w:rPr>
              <w:t>art</w:t>
            </w:r>
            <w:r w:rsidRPr="00835753">
              <w:rPr>
                <w:rFonts w:ascii="Times New Roman" w:hAnsi="Times New Roman"/>
                <w:bCs/>
                <w:color w:val="000000"/>
                <w:sz w:val="24"/>
                <w:shd w:val="clear" w:color="auto" w:fill="FFFFFF"/>
              </w:rPr>
              <w:t>.</w:t>
            </w:r>
            <w:r w:rsidR="00835753" w:rsidRPr="00835753">
              <w:rPr>
                <w:rFonts w:ascii="Times New Roman" w:hAnsi="Times New Roman"/>
                <w:bCs/>
                <w:color w:val="000000"/>
                <w:sz w:val="24"/>
                <w:shd w:val="clear" w:color="auto" w:fill="FFFFFF"/>
              </w:rPr>
              <w:t> </w:t>
            </w:r>
            <w:r w:rsidRPr="00835753">
              <w:rPr>
                <w:rFonts w:ascii="Times New Roman" w:hAnsi="Times New Roman"/>
                <w:bCs/>
                <w:color w:val="000000"/>
                <w:sz w:val="24"/>
                <w:shd w:val="clear" w:color="auto" w:fill="FFFFFF"/>
              </w:rPr>
              <w:t>429a ust.</w:t>
            </w:r>
            <w:r w:rsidR="00835753" w:rsidRPr="00835753">
              <w:rPr>
                <w:rFonts w:ascii="Times New Roman" w:hAnsi="Times New Roman"/>
                <w:bCs/>
                <w:color w:val="000000"/>
                <w:sz w:val="24"/>
                <w:shd w:val="clear" w:color="auto" w:fill="FFFFFF"/>
              </w:rPr>
              <w:t> </w:t>
            </w:r>
            <w:r w:rsidRPr="00835753">
              <w:rPr>
                <w:rFonts w:ascii="Times New Roman" w:hAnsi="Times New Roman"/>
                <w:bCs/>
                <w:color w:val="000000"/>
                <w:sz w:val="24"/>
                <w:shd w:val="clear" w:color="auto" w:fill="FFFFFF"/>
              </w:rPr>
              <w:t>1 lit.</w:t>
            </w:r>
            <w:r w:rsidR="00835753" w:rsidRPr="00835753">
              <w:rPr>
                <w:rFonts w:ascii="Times New Roman" w:hAnsi="Times New Roman"/>
                <w:bCs/>
                <w:color w:val="000000"/>
                <w:sz w:val="24"/>
                <w:shd w:val="clear" w:color="auto" w:fill="FFFFFF"/>
              </w:rPr>
              <w:t> </w:t>
            </w:r>
            <w:r w:rsidRPr="00835753">
              <w:rPr>
                <w:rFonts w:ascii="Times New Roman" w:hAnsi="Times New Roman"/>
                <w:bCs/>
                <w:color w:val="000000"/>
                <w:sz w:val="24"/>
                <w:shd w:val="clear" w:color="auto" w:fill="FFFFFF"/>
              </w:rPr>
              <w:t>n) CRR, ujawnia ona skorygowany wymóg dotyczący wskaźnika dźwigni obliczany zgodnie</w:t>
            </w:r>
            <w:r w:rsidR="00835753" w:rsidRPr="00835753">
              <w:rPr>
                <w:rFonts w:ascii="Times New Roman" w:hAnsi="Times New Roman"/>
                <w:bCs/>
                <w:color w:val="000000"/>
                <w:sz w:val="24"/>
                <w:shd w:val="clear" w:color="auto" w:fill="FFFFFF"/>
              </w:rPr>
              <w:t xml:space="preserve"> z</w:t>
            </w:r>
            <w:r w:rsidR="00835753">
              <w:rPr>
                <w:rFonts w:ascii="Times New Roman" w:hAnsi="Times New Roman"/>
                <w:bCs/>
                <w:color w:val="000000"/>
                <w:sz w:val="24"/>
                <w:shd w:val="clear" w:color="auto" w:fill="FFFFFF"/>
              </w:rPr>
              <w:t> </w:t>
            </w:r>
            <w:r w:rsidR="00835753" w:rsidRPr="00835753">
              <w:rPr>
                <w:rFonts w:ascii="Times New Roman" w:hAnsi="Times New Roman"/>
                <w:bCs/>
                <w:color w:val="000000"/>
                <w:sz w:val="24"/>
                <w:shd w:val="clear" w:color="auto" w:fill="FFFFFF"/>
              </w:rPr>
              <w:t>art</w:t>
            </w:r>
            <w:r w:rsidRPr="00835753">
              <w:rPr>
                <w:rFonts w:ascii="Times New Roman" w:hAnsi="Times New Roman"/>
                <w:bCs/>
                <w:color w:val="000000"/>
                <w:sz w:val="24"/>
                <w:shd w:val="clear" w:color="auto" w:fill="FFFFFF"/>
              </w:rPr>
              <w:t>.</w:t>
            </w:r>
            <w:r w:rsidR="00835753" w:rsidRPr="00835753">
              <w:rPr>
                <w:rFonts w:ascii="Times New Roman" w:hAnsi="Times New Roman"/>
                <w:bCs/>
                <w:color w:val="000000"/>
                <w:sz w:val="24"/>
                <w:shd w:val="clear" w:color="auto" w:fill="FFFFFF"/>
              </w:rPr>
              <w:t> </w:t>
            </w:r>
            <w:r w:rsidRPr="00835753">
              <w:rPr>
                <w:rFonts w:ascii="Times New Roman" w:hAnsi="Times New Roman"/>
                <w:bCs/>
                <w:color w:val="000000"/>
                <w:sz w:val="24"/>
                <w:shd w:val="clear" w:color="auto" w:fill="FFFFFF"/>
              </w:rPr>
              <w:t>429a ust.</w:t>
            </w:r>
            <w:r w:rsidR="00835753" w:rsidRPr="00835753">
              <w:rPr>
                <w:rFonts w:ascii="Times New Roman" w:hAnsi="Times New Roman"/>
                <w:bCs/>
                <w:color w:val="000000"/>
                <w:sz w:val="24"/>
                <w:shd w:val="clear" w:color="auto" w:fill="FFFFFF"/>
              </w:rPr>
              <w:t> </w:t>
            </w:r>
            <w:r w:rsidRPr="00835753">
              <w:rPr>
                <w:rFonts w:ascii="Times New Roman" w:hAnsi="Times New Roman"/>
                <w:bCs/>
                <w:color w:val="000000"/>
                <w:sz w:val="24"/>
                <w:shd w:val="clear" w:color="auto" w:fill="FFFFFF"/>
              </w:rPr>
              <w:t>7 CRR.</w:t>
            </w:r>
          </w:p>
        </w:tc>
      </w:tr>
      <w:tr w:rsidR="000A7015" w:rsidRPr="00835753" w14:paraId="72CE026C" w14:textId="77777777" w:rsidTr="001E06A3">
        <w:trPr>
          <w:trHeight w:val="1792"/>
        </w:trPr>
        <w:tc>
          <w:tcPr>
            <w:tcW w:w="1384" w:type="dxa"/>
            <w:vAlign w:val="center"/>
          </w:tcPr>
          <w:p w14:paraId="6780A42C"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EU-26a</w:t>
            </w:r>
          </w:p>
        </w:tc>
        <w:tc>
          <w:tcPr>
            <w:tcW w:w="7655" w:type="dxa"/>
          </w:tcPr>
          <w:p w14:paraId="4D27139C" w14:textId="2C293B49" w:rsidR="000A7015" w:rsidRPr="0083575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835753">
              <w:rPr>
                <w:rFonts w:ascii="Times New Roman" w:hAnsi="Times New Roman"/>
                <w:b/>
                <w:sz w:val="24"/>
                <w:szCs w:val="24"/>
              </w:rPr>
              <w:t>Dodatkowe wymogi</w:t>
            </w:r>
            <w:r w:rsidR="00835753" w:rsidRPr="00835753">
              <w:rPr>
                <w:rFonts w:ascii="Times New Roman" w:hAnsi="Times New Roman"/>
                <w:b/>
                <w:sz w:val="24"/>
                <w:szCs w:val="24"/>
              </w:rPr>
              <w:t xml:space="preserve"> w</w:t>
            </w:r>
            <w:r w:rsidR="00835753">
              <w:rPr>
                <w:rFonts w:ascii="Times New Roman" w:hAnsi="Times New Roman"/>
                <w:b/>
                <w:sz w:val="24"/>
                <w:szCs w:val="24"/>
              </w:rPr>
              <w:t> </w:t>
            </w:r>
            <w:r w:rsidR="00835753" w:rsidRPr="00835753">
              <w:rPr>
                <w:rFonts w:ascii="Times New Roman" w:hAnsi="Times New Roman"/>
                <w:b/>
                <w:sz w:val="24"/>
                <w:szCs w:val="24"/>
              </w:rPr>
              <w:t>zak</w:t>
            </w:r>
            <w:r w:rsidRPr="00835753">
              <w:rPr>
                <w:rFonts w:ascii="Times New Roman" w:hAnsi="Times New Roman"/>
                <w:b/>
                <w:sz w:val="24"/>
                <w:szCs w:val="24"/>
              </w:rPr>
              <w:t>resie funduszy własnych</w:t>
            </w:r>
            <w:r w:rsidR="00835753" w:rsidRPr="00835753">
              <w:rPr>
                <w:rFonts w:ascii="Times New Roman" w:hAnsi="Times New Roman"/>
                <w:b/>
                <w:sz w:val="24"/>
                <w:szCs w:val="24"/>
              </w:rPr>
              <w:t xml:space="preserve"> w</w:t>
            </w:r>
            <w:r w:rsidR="00835753">
              <w:rPr>
                <w:rFonts w:ascii="Times New Roman" w:hAnsi="Times New Roman"/>
                <w:b/>
                <w:sz w:val="24"/>
                <w:szCs w:val="24"/>
              </w:rPr>
              <w:t> </w:t>
            </w:r>
            <w:r w:rsidR="00835753" w:rsidRPr="00835753">
              <w:rPr>
                <w:rFonts w:ascii="Times New Roman" w:hAnsi="Times New Roman"/>
                <w:b/>
                <w:sz w:val="24"/>
                <w:szCs w:val="24"/>
              </w:rPr>
              <w:t>cel</w:t>
            </w:r>
            <w:r w:rsidRPr="00835753">
              <w:rPr>
                <w:rFonts w:ascii="Times New Roman" w:hAnsi="Times New Roman"/>
                <w:b/>
                <w:sz w:val="24"/>
                <w:szCs w:val="24"/>
              </w:rPr>
              <w:t xml:space="preserve">u uwzględnienia ryzyka nadmiernej dźwigni finansowej (%) </w:t>
            </w:r>
          </w:p>
          <w:p w14:paraId="6F282987" w14:textId="1B9BEFD6"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Dodatkowe wymogi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zak</w:t>
            </w:r>
            <w:r w:rsidRPr="00835753">
              <w:rPr>
                <w:rFonts w:ascii="Times New Roman" w:hAnsi="Times New Roman"/>
                <w:sz w:val="24"/>
                <w:szCs w:val="24"/>
              </w:rPr>
              <w:t>resie funduszy własnych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cel</w:t>
            </w:r>
            <w:r w:rsidRPr="00835753">
              <w:rPr>
                <w:rFonts w:ascii="Times New Roman" w:hAnsi="Times New Roman"/>
                <w:sz w:val="24"/>
                <w:szCs w:val="24"/>
              </w:rPr>
              <w:t>u uwzględnienia ryzyka nadmiernej dźwigni nakładane przez właściwy organ na podstawie art.</w:t>
            </w:r>
            <w:r w:rsidR="00835753" w:rsidRPr="00835753">
              <w:rPr>
                <w:rFonts w:ascii="Times New Roman" w:hAnsi="Times New Roman"/>
                <w:sz w:val="24"/>
                <w:szCs w:val="24"/>
              </w:rPr>
              <w:t> </w:t>
            </w:r>
            <w:r w:rsidRPr="00835753">
              <w:rPr>
                <w:rFonts w:ascii="Times New Roman" w:hAnsi="Times New Roman"/>
                <w:sz w:val="24"/>
                <w:szCs w:val="24"/>
              </w:rPr>
              <w:t>104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a) dyrektywy 2013/36/UE („CRD”), wyrażone jako odsetek miary ekspozycji całkowitej.</w:t>
            </w:r>
          </w:p>
        </w:tc>
      </w:tr>
      <w:tr w:rsidR="000A7015" w:rsidRPr="00835753" w14:paraId="7C79E05D" w14:textId="77777777" w:rsidTr="001E06A3">
        <w:trPr>
          <w:trHeight w:val="1691"/>
        </w:trPr>
        <w:tc>
          <w:tcPr>
            <w:tcW w:w="1384" w:type="dxa"/>
            <w:vAlign w:val="center"/>
          </w:tcPr>
          <w:p w14:paraId="643FD61A"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EU-26b</w:t>
            </w:r>
          </w:p>
        </w:tc>
        <w:tc>
          <w:tcPr>
            <w:tcW w:w="7655" w:type="dxa"/>
          </w:tcPr>
          <w:p w14:paraId="0005A0CE" w14:textId="09A454FF" w:rsidR="000A7015" w:rsidRPr="00835753" w:rsidRDefault="00084D8B"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35753">
              <w:rPr>
                <w:rFonts w:ascii="Times New Roman" w:hAnsi="Times New Roman"/>
                <w:b/>
                <w:sz w:val="24"/>
                <w:szCs w:val="24"/>
              </w:rPr>
              <w:t xml:space="preserve"> </w:t>
            </w:r>
            <w:r w:rsidR="00835753" w:rsidRPr="00835753">
              <w:rPr>
                <w:rFonts w:ascii="Times New Roman" w:hAnsi="Times New Roman"/>
                <w:b/>
                <w:sz w:val="24"/>
                <w:szCs w:val="24"/>
              </w:rPr>
              <w:t xml:space="preserve"> </w:t>
            </w:r>
            <w:proofErr w:type="gramStart"/>
            <w:r w:rsidR="00835753" w:rsidRPr="00835753">
              <w:rPr>
                <w:rFonts w:ascii="Times New Roman" w:hAnsi="Times New Roman"/>
                <w:b/>
                <w:sz w:val="24"/>
              </w:rPr>
              <w:t>w</w:t>
            </w:r>
            <w:proofErr w:type="gramEnd"/>
            <w:r w:rsidR="00835753">
              <w:rPr>
                <w:rFonts w:ascii="Times New Roman" w:hAnsi="Times New Roman"/>
                <w:b/>
                <w:sz w:val="24"/>
                <w:szCs w:val="24"/>
              </w:rPr>
              <w:t> </w:t>
            </w:r>
            <w:r w:rsidR="00835753" w:rsidRPr="00835753">
              <w:rPr>
                <w:rFonts w:ascii="Times New Roman" w:hAnsi="Times New Roman"/>
                <w:b/>
                <w:sz w:val="24"/>
              </w:rPr>
              <w:t>tym</w:t>
            </w:r>
            <w:r w:rsidRPr="00835753">
              <w:rPr>
                <w:rFonts w:ascii="Times New Roman" w:hAnsi="Times New Roman"/>
                <w:b/>
                <w:sz w:val="24"/>
              </w:rPr>
              <w:t>: obejmujące kapitał podstawowy Tier I (punkty procentowe)</w:t>
            </w:r>
          </w:p>
          <w:p w14:paraId="72F6ADE3" w14:textId="7CC21314" w:rsidR="000A7015" w:rsidRPr="00835753" w:rsidRDefault="000A7015" w:rsidP="001E06A3">
            <w:pPr>
              <w:spacing w:after="120"/>
              <w:jc w:val="both"/>
              <w:rPr>
                <w:rFonts w:ascii="Times New Roman" w:hAnsi="Times New Roman" w:cs="Times New Roman"/>
                <w:b/>
                <w:sz w:val="24"/>
              </w:rPr>
            </w:pPr>
            <w:r w:rsidRPr="00835753">
              <w:rPr>
                <w:rFonts w:ascii="Times New Roman" w:hAnsi="Times New Roman"/>
                <w:sz w:val="24"/>
              </w:rPr>
              <w:t>Część dodatkowych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uwzględnienia ryzyka nadmiernej dźwigni nakładanych przez właściwy organ na podstawie art.</w:t>
            </w:r>
            <w:r w:rsidR="00835753" w:rsidRPr="00835753">
              <w:rPr>
                <w:rFonts w:ascii="Times New Roman" w:hAnsi="Times New Roman"/>
                <w:sz w:val="24"/>
              </w:rPr>
              <w:t> </w:t>
            </w:r>
            <w:r w:rsidRPr="00835753">
              <w:rPr>
                <w:rFonts w:ascii="Times New Roman" w:hAnsi="Times New Roman"/>
                <w:sz w:val="24"/>
              </w:rPr>
              <w:t>104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CRD, która to część wymogów musi być spełniona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wyk</w:t>
            </w:r>
            <w:r w:rsidRPr="00835753">
              <w:rPr>
                <w:rFonts w:ascii="Times New Roman" w:hAnsi="Times New Roman"/>
                <w:sz w:val="24"/>
              </w:rPr>
              <w:t>orzystaniem kapitału podstawowego Tier 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104a ust.</w:t>
            </w:r>
            <w:r w:rsidR="00835753" w:rsidRPr="00835753">
              <w:rPr>
                <w:rFonts w:ascii="Times New Roman" w:hAnsi="Times New Roman"/>
                <w:sz w:val="24"/>
              </w:rPr>
              <w:t> </w:t>
            </w:r>
            <w:r w:rsidRPr="00835753">
              <w:rPr>
                <w:rFonts w:ascii="Times New Roman" w:hAnsi="Times New Roman"/>
                <w:sz w:val="24"/>
              </w:rPr>
              <w:t>4 akapit trzeci.</w:t>
            </w:r>
          </w:p>
        </w:tc>
      </w:tr>
      <w:tr w:rsidR="000A7015" w:rsidRPr="00835753" w14:paraId="2A1B1C6A" w14:textId="77777777" w:rsidTr="001E06A3">
        <w:trPr>
          <w:trHeight w:val="1290"/>
        </w:trPr>
        <w:tc>
          <w:tcPr>
            <w:tcW w:w="1384" w:type="dxa"/>
            <w:vAlign w:val="center"/>
          </w:tcPr>
          <w:p w14:paraId="6AA143FF"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27</w:t>
            </w:r>
          </w:p>
        </w:tc>
        <w:tc>
          <w:tcPr>
            <w:tcW w:w="7655" w:type="dxa"/>
          </w:tcPr>
          <w:p w14:paraId="47BA8359" w14:textId="20D11B33"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35753">
              <w:rPr>
                <w:rFonts w:ascii="Times New Roman" w:hAnsi="Times New Roman"/>
                <w:b/>
                <w:sz w:val="24"/>
                <w:szCs w:val="24"/>
              </w:rPr>
              <w:t>Wymóg</w:t>
            </w:r>
            <w:r w:rsidR="00835753" w:rsidRPr="00835753">
              <w:rPr>
                <w:rFonts w:ascii="Times New Roman" w:hAnsi="Times New Roman"/>
                <w:b/>
                <w:sz w:val="24"/>
                <w:szCs w:val="24"/>
              </w:rPr>
              <w:t xml:space="preserve"> w</w:t>
            </w:r>
            <w:r w:rsidR="00835753">
              <w:rPr>
                <w:rFonts w:ascii="Times New Roman" w:hAnsi="Times New Roman"/>
                <w:b/>
                <w:sz w:val="24"/>
                <w:szCs w:val="24"/>
              </w:rPr>
              <w:t> </w:t>
            </w:r>
            <w:r w:rsidR="00835753" w:rsidRPr="00835753">
              <w:rPr>
                <w:rFonts w:ascii="Times New Roman" w:hAnsi="Times New Roman"/>
                <w:b/>
                <w:sz w:val="24"/>
                <w:szCs w:val="24"/>
              </w:rPr>
              <w:t>zak</w:t>
            </w:r>
            <w:r w:rsidRPr="00835753">
              <w:rPr>
                <w:rFonts w:ascii="Times New Roman" w:hAnsi="Times New Roman"/>
                <w:b/>
                <w:sz w:val="24"/>
                <w:szCs w:val="24"/>
              </w:rPr>
              <w:t>resie bufora wskaźnika dźwigni (%)</w:t>
            </w:r>
          </w:p>
          <w:p w14:paraId="594DD4E2" w14:textId="74E7EE66"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35753">
              <w:rPr>
                <w:rFonts w:ascii="Times New Roman" w:hAnsi="Times New Roman"/>
                <w:sz w:val="24"/>
                <w:szCs w:val="24"/>
              </w:rPr>
              <w:t>Art. 92 ust.</w:t>
            </w:r>
            <w:r w:rsidR="00835753" w:rsidRPr="00835753">
              <w:rPr>
                <w:rFonts w:ascii="Times New Roman" w:hAnsi="Times New Roman"/>
                <w:sz w:val="24"/>
                <w:szCs w:val="24"/>
              </w:rPr>
              <w:t> </w:t>
            </w:r>
            <w:r w:rsidRPr="00835753">
              <w:rPr>
                <w:rFonts w:ascii="Times New Roman" w:hAnsi="Times New Roman"/>
                <w:sz w:val="24"/>
                <w:szCs w:val="24"/>
              </w:rPr>
              <w:t>1a CRR</w:t>
            </w:r>
          </w:p>
          <w:p w14:paraId="19ECBCFE" w14:textId="5F19DAB4"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sidRPr="00835753">
              <w:rPr>
                <w:rFonts w:ascii="Times New Roman" w:hAnsi="Times New Roman"/>
                <w:sz w:val="24"/>
                <w:szCs w:val="24"/>
              </w:rPr>
              <w:t>Instytucje, które podlegają przepisom art.</w:t>
            </w:r>
            <w:r w:rsidR="00835753" w:rsidRPr="00835753">
              <w:rPr>
                <w:rFonts w:ascii="Times New Roman" w:hAnsi="Times New Roman"/>
                <w:sz w:val="24"/>
                <w:szCs w:val="24"/>
              </w:rPr>
              <w:t> </w:t>
            </w:r>
            <w:r w:rsidRPr="00835753">
              <w:rPr>
                <w:rFonts w:ascii="Times New Roman" w:hAnsi="Times New Roman"/>
                <w:sz w:val="24"/>
                <w:szCs w:val="24"/>
              </w:rPr>
              <w:t>92 ust.</w:t>
            </w:r>
            <w:r w:rsidR="00835753" w:rsidRPr="00835753">
              <w:rPr>
                <w:rFonts w:ascii="Times New Roman" w:hAnsi="Times New Roman"/>
                <w:sz w:val="24"/>
                <w:szCs w:val="24"/>
              </w:rPr>
              <w:t> </w:t>
            </w:r>
            <w:r w:rsidRPr="00835753">
              <w:rPr>
                <w:rFonts w:ascii="Times New Roman" w:hAnsi="Times New Roman"/>
                <w:sz w:val="24"/>
                <w:szCs w:val="24"/>
              </w:rPr>
              <w:t>1a CRR, ujawniają mające do nich zastosowanie wymogi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zak</w:t>
            </w:r>
            <w:r w:rsidRPr="00835753">
              <w:rPr>
                <w:rFonts w:ascii="Times New Roman" w:hAnsi="Times New Roman"/>
                <w:sz w:val="24"/>
                <w:szCs w:val="24"/>
              </w:rPr>
              <w:t>resie bufora wskaźnika dźwigni.</w:t>
            </w:r>
          </w:p>
        </w:tc>
      </w:tr>
      <w:tr w:rsidR="000A7015" w:rsidRPr="00835753" w14:paraId="1BF6578D" w14:textId="77777777" w:rsidTr="001E06A3">
        <w:trPr>
          <w:trHeight w:val="816"/>
        </w:trPr>
        <w:tc>
          <w:tcPr>
            <w:tcW w:w="1384" w:type="dxa"/>
            <w:vAlign w:val="center"/>
          </w:tcPr>
          <w:p w14:paraId="6D1DD490"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EU-27a</w:t>
            </w:r>
          </w:p>
        </w:tc>
        <w:tc>
          <w:tcPr>
            <w:tcW w:w="7655" w:type="dxa"/>
          </w:tcPr>
          <w:p w14:paraId="2C709226" w14:textId="35B0F906" w:rsidR="000A7015" w:rsidRPr="0083575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835753">
              <w:rPr>
                <w:rFonts w:ascii="Times New Roman" w:hAnsi="Times New Roman"/>
                <w:b/>
                <w:sz w:val="24"/>
                <w:szCs w:val="24"/>
              </w:rPr>
              <w:t>Łączny wymóg</w:t>
            </w:r>
            <w:r w:rsidR="00835753" w:rsidRPr="00835753">
              <w:rPr>
                <w:rFonts w:ascii="Times New Roman" w:hAnsi="Times New Roman"/>
                <w:b/>
                <w:sz w:val="24"/>
                <w:szCs w:val="24"/>
              </w:rPr>
              <w:t xml:space="preserve"> w</w:t>
            </w:r>
            <w:r w:rsidR="00835753">
              <w:rPr>
                <w:rFonts w:ascii="Times New Roman" w:hAnsi="Times New Roman"/>
                <w:b/>
                <w:sz w:val="24"/>
                <w:szCs w:val="24"/>
              </w:rPr>
              <w:t> </w:t>
            </w:r>
            <w:r w:rsidR="00835753" w:rsidRPr="00835753">
              <w:rPr>
                <w:rFonts w:ascii="Times New Roman" w:hAnsi="Times New Roman"/>
                <w:b/>
                <w:sz w:val="24"/>
                <w:szCs w:val="24"/>
              </w:rPr>
              <w:t>zak</w:t>
            </w:r>
            <w:r w:rsidRPr="00835753">
              <w:rPr>
                <w:rFonts w:ascii="Times New Roman" w:hAnsi="Times New Roman"/>
                <w:b/>
                <w:sz w:val="24"/>
                <w:szCs w:val="24"/>
              </w:rPr>
              <w:t>resie wskaźnika dźwigni (%)</w:t>
            </w:r>
          </w:p>
          <w:p w14:paraId="75A37CC4" w14:textId="16A6BCD8" w:rsidR="000A7015" w:rsidRPr="00835753"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35753">
              <w:rPr>
                <w:rFonts w:ascii="Times New Roman" w:hAnsi="Times New Roman"/>
                <w:sz w:val="24"/>
                <w:szCs w:val="24"/>
              </w:rPr>
              <w:t>Suma wierszy 26, EU-26a</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2</w:t>
            </w:r>
            <w:r w:rsidRPr="00835753">
              <w:rPr>
                <w:rFonts w:ascii="Times New Roman" w:hAnsi="Times New Roman"/>
                <w:sz w:val="24"/>
                <w:szCs w:val="24"/>
              </w:rPr>
              <w:t>7 niniejszego wzoru</w:t>
            </w:r>
          </w:p>
        </w:tc>
      </w:tr>
      <w:tr w:rsidR="000A7015" w:rsidRPr="00835753" w14:paraId="4F3B949F" w14:textId="77777777" w:rsidTr="001E06A3">
        <w:trPr>
          <w:trHeight w:val="416"/>
        </w:trPr>
        <w:tc>
          <w:tcPr>
            <w:tcW w:w="1384" w:type="dxa"/>
            <w:vAlign w:val="center"/>
          </w:tcPr>
          <w:p w14:paraId="548988E0"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EU-27b</w:t>
            </w:r>
          </w:p>
        </w:tc>
        <w:tc>
          <w:tcPr>
            <w:tcW w:w="7655" w:type="dxa"/>
          </w:tcPr>
          <w:p w14:paraId="3B54CC3F"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Wybór przepisów przejściowych dotyczących definicji miary kapitału</w:t>
            </w:r>
          </w:p>
          <w:p w14:paraId="3F2C62AE"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499 ust. 2 CRR</w:t>
            </w:r>
          </w:p>
          <w:p w14:paraId="24D2863A" w14:textId="1CEC2B20"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określają swój wybór przepisów przejściowych dotyczących kapitału do celów wymogów dotyczących ujawniania informacji poprzez ujawnienie jednego</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dwó</w:t>
            </w:r>
            <w:r w:rsidRPr="00835753">
              <w:rPr>
                <w:rFonts w:ascii="Times New Roman" w:hAnsi="Times New Roman"/>
                <w:sz w:val="24"/>
                <w:szCs w:val="24"/>
              </w:rPr>
              <w:t>ch poniższych oznaczeń:</w:t>
            </w:r>
          </w:p>
          <w:p w14:paraId="3B7430D1" w14:textId="6C564CD8" w:rsidR="000A7015" w:rsidRPr="00835753"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sidRPr="00835753">
              <w:rPr>
                <w:rFonts w:ascii="Times New Roman" w:hAnsi="Times New Roman"/>
                <w:sz w:val="24"/>
                <w:szCs w:val="24"/>
              </w:rPr>
              <w:t>„w pełni wprowadzony”, jeżeli instytucja wybiera ujawnianie wskaźnika dźwigni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499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a) CRR;</w:t>
            </w:r>
          </w:p>
          <w:p w14:paraId="7381A248" w14:textId="49D648C6" w:rsidR="000A7015" w:rsidRPr="00835753"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sidRPr="00835753">
              <w:rPr>
                <w:rFonts w:ascii="Times New Roman" w:hAnsi="Times New Roman"/>
                <w:sz w:val="24"/>
                <w:szCs w:val="24"/>
              </w:rPr>
              <w:t>„przejściowy”, jeżeli instytucja wybiera ujawnianie wskaźnika dźwigni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499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b) CRR.</w:t>
            </w:r>
          </w:p>
        </w:tc>
      </w:tr>
      <w:tr w:rsidR="000A7015" w:rsidRPr="00835753" w14:paraId="3C022685" w14:textId="77777777" w:rsidTr="001E06A3">
        <w:trPr>
          <w:trHeight w:val="1461"/>
        </w:trPr>
        <w:tc>
          <w:tcPr>
            <w:tcW w:w="1384" w:type="dxa"/>
            <w:vAlign w:val="center"/>
          </w:tcPr>
          <w:p w14:paraId="3BC18A54"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 xml:space="preserve"> 28</w:t>
            </w:r>
          </w:p>
        </w:tc>
        <w:tc>
          <w:tcPr>
            <w:tcW w:w="7655" w:type="dxa"/>
            <w:vAlign w:val="center"/>
          </w:tcPr>
          <w:p w14:paraId="0AE487F1" w14:textId="2200FC2C"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35753">
              <w:rPr>
                <w:rStyle w:val="TeksttreciPogrubienie"/>
                <w:rFonts w:ascii="Times New Roman" w:hAnsi="Times New Roman"/>
                <w:sz w:val="24"/>
                <w:szCs w:val="24"/>
              </w:rPr>
              <w:t>Średnia dziennych wartości aktywów</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SFT brutto, po korekcie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transakcji księgowych sprzedaży oraz po odliczeniu kwot powiązanych zobowiązań gotówkowych</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nal</w:t>
            </w:r>
            <w:r w:rsidRPr="00835753">
              <w:rPr>
                <w:rStyle w:val="TeksttreciPogrubienie"/>
                <w:rFonts w:ascii="Times New Roman" w:hAnsi="Times New Roman"/>
                <w:sz w:val="24"/>
                <w:szCs w:val="24"/>
              </w:rPr>
              <w:t>eżności gotówkowych</w:t>
            </w:r>
          </w:p>
          <w:p w14:paraId="7C3FF0B4" w14:textId="5531605D"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35753">
              <w:rPr>
                <w:rStyle w:val="TeksttreciPogrubienie"/>
                <w:rFonts w:ascii="Times New Roman" w:hAnsi="Times New Roman"/>
                <w:b w:val="0"/>
                <w:sz w:val="24"/>
                <w:szCs w:val="24"/>
              </w:rPr>
              <w:t>Art. 451 ust.</w:t>
            </w:r>
            <w:r w:rsidR="00835753" w:rsidRPr="00835753">
              <w:rPr>
                <w:rStyle w:val="TeksttreciPogrubienie"/>
                <w:rFonts w:ascii="Times New Roman" w:hAnsi="Times New Roman"/>
                <w:b w:val="0"/>
                <w:sz w:val="24"/>
                <w:szCs w:val="24"/>
              </w:rPr>
              <w:t> </w:t>
            </w:r>
            <w:r w:rsidRPr="00835753">
              <w:rPr>
                <w:rStyle w:val="TeksttreciPogrubienie"/>
                <w:rFonts w:ascii="Times New Roman" w:hAnsi="Times New Roman"/>
                <w:b w:val="0"/>
                <w:sz w:val="24"/>
                <w:szCs w:val="24"/>
              </w:rPr>
              <w:t>3 CRR; średnia sum</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wie</w:t>
            </w:r>
            <w:r w:rsidRPr="00835753">
              <w:rPr>
                <w:rStyle w:val="TeksttreciPogrubienie"/>
                <w:rFonts w:ascii="Times New Roman" w:hAnsi="Times New Roman"/>
                <w:b w:val="0"/>
                <w:sz w:val="24"/>
                <w:szCs w:val="24"/>
              </w:rPr>
              <w:t>rszy 14</w:t>
            </w:r>
            <w:r w:rsidR="00835753" w:rsidRPr="00835753">
              <w:rPr>
                <w:rStyle w:val="TeksttreciPogrubienie"/>
                <w:rFonts w:ascii="Times New Roman" w:hAnsi="Times New Roman"/>
                <w:b w:val="0"/>
                <w:sz w:val="24"/>
                <w:szCs w:val="24"/>
              </w:rPr>
              <w:t xml:space="preserve"> i</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1</w:t>
            </w:r>
            <w:r w:rsidRPr="00835753">
              <w:rPr>
                <w:rStyle w:val="TeksttreciPogrubienie"/>
                <w:rFonts w:ascii="Times New Roman" w:hAnsi="Times New Roman"/>
                <w:b w:val="0"/>
                <w:sz w:val="24"/>
                <w:szCs w:val="24"/>
              </w:rPr>
              <w:t>5,</w:t>
            </w:r>
            <w:r w:rsidR="00835753" w:rsidRPr="00835753">
              <w:rPr>
                <w:rStyle w:val="TeksttreciPogrubienie"/>
                <w:rFonts w:ascii="Times New Roman" w:hAnsi="Times New Roman"/>
                <w:b w:val="0"/>
                <w:sz w:val="24"/>
                <w:szCs w:val="24"/>
              </w:rPr>
              <w:t xml:space="preserve"> w</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opa</w:t>
            </w:r>
            <w:r w:rsidRPr="00835753">
              <w:rPr>
                <w:rStyle w:val="TeksttreciPogrubienie"/>
                <w:rFonts w:ascii="Times New Roman" w:hAnsi="Times New Roman"/>
                <w:b w:val="0"/>
                <w:sz w:val="24"/>
                <w:szCs w:val="24"/>
              </w:rPr>
              <w:t>rciu</w:t>
            </w:r>
            <w:r w:rsidR="00835753" w:rsidRPr="00835753">
              <w:rPr>
                <w:rStyle w:val="TeksttreciPogrubienie"/>
                <w:rFonts w:ascii="Times New Roman" w:hAnsi="Times New Roman"/>
                <w:b w:val="0"/>
                <w:sz w:val="24"/>
                <w:szCs w:val="24"/>
              </w:rPr>
              <w:t xml:space="preserve"> o</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sum</w:t>
            </w:r>
            <w:r w:rsidRPr="00835753">
              <w:rPr>
                <w:rStyle w:val="TeksttreciPogrubienie"/>
                <w:rFonts w:ascii="Times New Roman" w:hAnsi="Times New Roman"/>
                <w:b w:val="0"/>
                <w:sz w:val="24"/>
                <w:szCs w:val="24"/>
              </w:rPr>
              <w:t>y obliczone na każdy dzień kwartału ujawniania informacji</w:t>
            </w:r>
          </w:p>
        </w:tc>
      </w:tr>
      <w:tr w:rsidR="000A7015" w:rsidRPr="00835753" w14:paraId="54190E4C" w14:textId="77777777" w:rsidTr="001E06A3">
        <w:trPr>
          <w:trHeight w:val="2265"/>
        </w:trPr>
        <w:tc>
          <w:tcPr>
            <w:tcW w:w="1384" w:type="dxa"/>
            <w:vAlign w:val="center"/>
          </w:tcPr>
          <w:p w14:paraId="398CA358"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29</w:t>
            </w:r>
          </w:p>
        </w:tc>
        <w:tc>
          <w:tcPr>
            <w:tcW w:w="7655" w:type="dxa"/>
            <w:vAlign w:val="center"/>
          </w:tcPr>
          <w:p w14:paraId="63633771" w14:textId="7001DA3C"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Wartość na koniec kwartału aktywów</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SFT brutto, po korekcie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transakcji księgowych sprzedaży oraz po odliczeniu kwot powiązanych zobowiązań gotówkowych</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nal</w:t>
            </w:r>
            <w:r w:rsidRPr="00835753">
              <w:rPr>
                <w:rStyle w:val="TeksttreciPogrubienie"/>
                <w:rFonts w:ascii="Times New Roman" w:hAnsi="Times New Roman"/>
                <w:sz w:val="24"/>
                <w:szCs w:val="24"/>
              </w:rPr>
              <w:t>eżności gotówkowych</w:t>
            </w:r>
          </w:p>
          <w:p w14:paraId="7052C709" w14:textId="0C0EFB35"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35753">
              <w:rPr>
                <w:rStyle w:val="TeksttreciPogrubienie"/>
                <w:rFonts w:ascii="Times New Roman" w:hAnsi="Times New Roman"/>
                <w:b w:val="0"/>
                <w:sz w:val="24"/>
                <w:szCs w:val="24"/>
              </w:rPr>
              <w:t>Jeżeli wiersze 14</w:t>
            </w:r>
            <w:r w:rsidR="00835753" w:rsidRPr="00835753">
              <w:rPr>
                <w:rStyle w:val="TeksttreciPogrubienie"/>
                <w:rFonts w:ascii="Times New Roman" w:hAnsi="Times New Roman"/>
                <w:b w:val="0"/>
                <w:sz w:val="24"/>
                <w:szCs w:val="24"/>
              </w:rPr>
              <w:t xml:space="preserve"> i</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1</w:t>
            </w:r>
            <w:r w:rsidRPr="00835753">
              <w:rPr>
                <w:rStyle w:val="TeksttreciPogrubienie"/>
                <w:rFonts w:ascii="Times New Roman" w:hAnsi="Times New Roman"/>
                <w:b w:val="0"/>
                <w:sz w:val="24"/>
                <w:szCs w:val="24"/>
              </w:rPr>
              <w:t>5 opierają się na wartościach</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koń</w:t>
            </w:r>
            <w:r w:rsidRPr="00835753">
              <w:rPr>
                <w:rStyle w:val="TeksttreciPogrubienie"/>
                <w:rFonts w:ascii="Times New Roman" w:hAnsi="Times New Roman"/>
                <w:b w:val="0"/>
                <w:sz w:val="24"/>
                <w:szCs w:val="24"/>
              </w:rPr>
              <w:t>ca kwartału, kwota ta jest sumą wierszy 14</w:t>
            </w:r>
            <w:r w:rsidR="00835753" w:rsidRPr="00835753">
              <w:rPr>
                <w:rStyle w:val="TeksttreciPogrubienie"/>
                <w:rFonts w:ascii="Times New Roman" w:hAnsi="Times New Roman"/>
                <w:b w:val="0"/>
                <w:sz w:val="24"/>
                <w:szCs w:val="24"/>
              </w:rPr>
              <w:t xml:space="preserve"> i</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1</w:t>
            </w:r>
            <w:r w:rsidRPr="00835753">
              <w:rPr>
                <w:rStyle w:val="TeksttreciPogrubienie"/>
                <w:rFonts w:ascii="Times New Roman" w:hAnsi="Times New Roman"/>
                <w:b w:val="0"/>
                <w:sz w:val="24"/>
                <w:szCs w:val="24"/>
              </w:rPr>
              <w:t>5.</w:t>
            </w:r>
          </w:p>
          <w:p w14:paraId="32AA8E12" w14:textId="51A5F4BD"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b w:val="0"/>
                <w:sz w:val="24"/>
                <w:szCs w:val="24"/>
              </w:rPr>
              <w:t>Jeżeli wiersze 14</w:t>
            </w:r>
            <w:r w:rsidR="00835753" w:rsidRPr="00835753">
              <w:rPr>
                <w:rStyle w:val="TeksttreciPogrubienie"/>
                <w:rFonts w:ascii="Times New Roman" w:hAnsi="Times New Roman"/>
                <w:b w:val="0"/>
                <w:sz w:val="24"/>
                <w:szCs w:val="24"/>
              </w:rPr>
              <w:t xml:space="preserve"> i</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1</w:t>
            </w:r>
            <w:r w:rsidRPr="00835753">
              <w:rPr>
                <w:rStyle w:val="TeksttreciPogrubienie"/>
                <w:rFonts w:ascii="Times New Roman" w:hAnsi="Times New Roman"/>
                <w:b w:val="0"/>
                <w:sz w:val="24"/>
                <w:szCs w:val="24"/>
              </w:rPr>
              <w:t>5 opierają się na wartościach uśrednionych, kwota ta jest sumą wartości na koniec kwartału odpowiadających zawartości wierszy 14</w:t>
            </w:r>
            <w:r w:rsidR="00835753" w:rsidRPr="00835753">
              <w:rPr>
                <w:rStyle w:val="TeksttreciPogrubienie"/>
                <w:rFonts w:ascii="Times New Roman" w:hAnsi="Times New Roman"/>
                <w:b w:val="0"/>
                <w:sz w:val="24"/>
                <w:szCs w:val="24"/>
              </w:rPr>
              <w:t xml:space="preserve"> i</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1</w:t>
            </w:r>
            <w:r w:rsidRPr="00835753">
              <w:rPr>
                <w:rStyle w:val="TeksttreciPogrubienie"/>
                <w:rFonts w:ascii="Times New Roman" w:hAnsi="Times New Roman"/>
                <w:b w:val="0"/>
                <w:sz w:val="24"/>
                <w:szCs w:val="24"/>
              </w:rPr>
              <w:t>5.</w:t>
            </w:r>
          </w:p>
        </w:tc>
      </w:tr>
      <w:tr w:rsidR="000A7015" w:rsidRPr="00835753" w14:paraId="61BFF9E1" w14:textId="77777777" w:rsidTr="001E06A3">
        <w:trPr>
          <w:trHeight w:val="2265"/>
        </w:trPr>
        <w:tc>
          <w:tcPr>
            <w:tcW w:w="1384" w:type="dxa"/>
            <w:vAlign w:val="center"/>
          </w:tcPr>
          <w:p w14:paraId="60465791"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30</w:t>
            </w:r>
          </w:p>
        </w:tc>
        <w:tc>
          <w:tcPr>
            <w:tcW w:w="7655" w:type="dxa"/>
            <w:vAlign w:val="center"/>
          </w:tcPr>
          <w:p w14:paraId="059A4D57" w14:textId="6D301E4C"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Miara ekspozycji całkowitej (w tym wpływ wszelkich mających zastosowanie tymczasowych wyłączeń rezerw</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ban</w:t>
            </w:r>
            <w:r w:rsidRPr="00835753">
              <w:rPr>
                <w:rStyle w:val="TeksttreciPogrubienie"/>
                <w:rFonts w:ascii="Times New Roman" w:hAnsi="Times New Roman"/>
                <w:sz w:val="24"/>
                <w:szCs w:val="24"/>
              </w:rPr>
              <w:t>ku centralnym) obejmująca średnie wartości aktywów</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SFT brutto</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wie</w:t>
            </w:r>
            <w:r w:rsidRPr="00835753">
              <w:rPr>
                <w:rStyle w:val="TeksttreciPogrubienie"/>
                <w:rFonts w:ascii="Times New Roman" w:hAnsi="Times New Roman"/>
                <w:sz w:val="24"/>
                <w:szCs w:val="24"/>
              </w:rPr>
              <w:t>rsza 28 (po korekcie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transakcji księgowych sprzedaży oraz po odliczeniu kwot powiązanych zobowiązań gotówkowych</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nal</w:t>
            </w:r>
            <w:r w:rsidRPr="00835753">
              <w:rPr>
                <w:rStyle w:val="TeksttreciPogrubienie"/>
                <w:rFonts w:ascii="Times New Roman" w:hAnsi="Times New Roman"/>
                <w:sz w:val="24"/>
                <w:szCs w:val="24"/>
              </w:rPr>
              <w:t>eżności gotówkowych)</w:t>
            </w:r>
          </w:p>
          <w:p w14:paraId="0B95B928" w14:textId="77777777"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35753">
              <w:rPr>
                <w:rStyle w:val="TeksttreciPogrubienie"/>
                <w:rFonts w:ascii="Times New Roman" w:hAnsi="Times New Roman"/>
                <w:b w:val="0"/>
                <w:sz w:val="24"/>
                <w:szCs w:val="24"/>
              </w:rPr>
              <w:t>Art. 451 ust. 3 CRR</w:t>
            </w:r>
          </w:p>
          <w:p w14:paraId="09ECF001" w14:textId="38CFAA43"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35753">
              <w:rPr>
                <w:rStyle w:val="TeksttreciPogrubienie"/>
                <w:rFonts w:ascii="Times New Roman" w:hAnsi="Times New Roman"/>
                <w:b w:val="0"/>
                <w:sz w:val="24"/>
                <w:szCs w:val="24"/>
              </w:rPr>
              <w:t>Miara ekspozycji całkowitej (wraz</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wpł</w:t>
            </w:r>
            <w:r w:rsidRPr="00835753">
              <w:rPr>
                <w:rStyle w:val="TeksttreciPogrubienie"/>
                <w:rFonts w:ascii="Times New Roman" w:hAnsi="Times New Roman"/>
                <w:b w:val="0"/>
                <w:sz w:val="24"/>
                <w:szCs w:val="24"/>
              </w:rPr>
              <w:t>ywem wszelkich mających zastosowanie czasowych wyłączeń rezerw banku centralnego), wykorzystująca średnie wartości obliczone na każdy dzień kwartału ujawniania informacji dla kwot miary ekspozycji związanych</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akt</w:t>
            </w:r>
            <w:r w:rsidRPr="00835753">
              <w:rPr>
                <w:rStyle w:val="TeksttreciPogrubienie"/>
                <w:rFonts w:ascii="Times New Roman" w:hAnsi="Times New Roman"/>
                <w:b w:val="0"/>
                <w:sz w:val="24"/>
                <w:szCs w:val="24"/>
              </w:rPr>
              <w:t>ywami</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tyt</w:t>
            </w:r>
            <w:r w:rsidRPr="00835753">
              <w:rPr>
                <w:rStyle w:val="TeksttreciPogrubienie"/>
                <w:rFonts w:ascii="Times New Roman" w:hAnsi="Times New Roman"/>
                <w:b w:val="0"/>
                <w:sz w:val="24"/>
                <w:szCs w:val="24"/>
              </w:rPr>
              <w:t>ułu SFT brutto (po skorygowaniu</w:t>
            </w:r>
            <w:r w:rsidR="00835753" w:rsidRPr="00835753">
              <w:rPr>
                <w:rStyle w:val="TeksttreciPogrubienie"/>
                <w:rFonts w:ascii="Times New Roman" w:hAnsi="Times New Roman"/>
                <w:b w:val="0"/>
                <w:sz w:val="24"/>
                <w:szCs w:val="24"/>
              </w:rPr>
              <w:t xml:space="preserve"> o</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tra</w:t>
            </w:r>
            <w:r w:rsidRPr="00835753">
              <w:rPr>
                <w:rStyle w:val="TeksttreciPogrubienie"/>
                <w:rFonts w:ascii="Times New Roman" w:hAnsi="Times New Roman"/>
                <w:b w:val="0"/>
                <w:sz w:val="24"/>
                <w:szCs w:val="24"/>
              </w:rPr>
              <w:t>nsakcje księgowe dotyczące sprzedaży oraz po skompensowaniu kwot związanych</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nim</w:t>
            </w:r>
            <w:r w:rsidRPr="00835753">
              <w:rPr>
                <w:rStyle w:val="TeksttreciPogrubienie"/>
                <w:rFonts w:ascii="Times New Roman" w:hAnsi="Times New Roman"/>
                <w:b w:val="0"/>
                <w:sz w:val="24"/>
                <w:szCs w:val="24"/>
              </w:rPr>
              <w:t>i zobowiązań</w:t>
            </w:r>
            <w:r w:rsidR="00835753" w:rsidRPr="00835753">
              <w:rPr>
                <w:rStyle w:val="TeksttreciPogrubienie"/>
                <w:rFonts w:ascii="Times New Roman" w:hAnsi="Times New Roman"/>
                <w:b w:val="0"/>
                <w:sz w:val="24"/>
                <w:szCs w:val="24"/>
              </w:rPr>
              <w:t xml:space="preserve"> i</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nal</w:t>
            </w:r>
            <w:r w:rsidRPr="00835753">
              <w:rPr>
                <w:rStyle w:val="TeksttreciPogrubienie"/>
                <w:rFonts w:ascii="Times New Roman" w:hAnsi="Times New Roman"/>
                <w:b w:val="0"/>
                <w:sz w:val="24"/>
                <w:szCs w:val="24"/>
              </w:rPr>
              <w:t>eżności gotówkowych).</w:t>
            </w:r>
          </w:p>
        </w:tc>
      </w:tr>
      <w:tr w:rsidR="000A7015" w:rsidRPr="00835753" w14:paraId="4801CD6B" w14:textId="77777777" w:rsidTr="001E06A3">
        <w:trPr>
          <w:trHeight w:val="2265"/>
        </w:trPr>
        <w:tc>
          <w:tcPr>
            <w:tcW w:w="1384" w:type="dxa"/>
            <w:vAlign w:val="center"/>
          </w:tcPr>
          <w:p w14:paraId="1CE20A54"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30a</w:t>
            </w:r>
          </w:p>
        </w:tc>
        <w:tc>
          <w:tcPr>
            <w:tcW w:w="7655" w:type="dxa"/>
            <w:vAlign w:val="center"/>
          </w:tcPr>
          <w:p w14:paraId="26B2E6F9" w14:textId="1B6FE80E"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Miara ekspozycji całkowitej (z wyłączeniem wpływu wszelkich mających zastosowanie tymczasowych wyłączeń rezerw</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ban</w:t>
            </w:r>
            <w:r w:rsidRPr="00835753">
              <w:rPr>
                <w:rStyle w:val="TeksttreciPogrubienie"/>
                <w:rFonts w:ascii="Times New Roman" w:hAnsi="Times New Roman"/>
                <w:sz w:val="24"/>
                <w:szCs w:val="24"/>
              </w:rPr>
              <w:t>ku centralnym) obejmująca średnie wartości aktywów</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SFT brutto</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wie</w:t>
            </w:r>
            <w:r w:rsidRPr="00835753">
              <w:rPr>
                <w:rStyle w:val="TeksttreciPogrubienie"/>
                <w:rFonts w:ascii="Times New Roman" w:hAnsi="Times New Roman"/>
                <w:sz w:val="24"/>
                <w:szCs w:val="24"/>
              </w:rPr>
              <w:t>rsza 28 (po korekcie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transakcji księgowych sprzedaży oraz po odliczeniu kwot powiązanych zobowiązań gotówkowych</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nal</w:t>
            </w:r>
            <w:r w:rsidRPr="00835753">
              <w:rPr>
                <w:rStyle w:val="TeksttreciPogrubienie"/>
                <w:rFonts w:ascii="Times New Roman" w:hAnsi="Times New Roman"/>
                <w:sz w:val="24"/>
                <w:szCs w:val="24"/>
              </w:rPr>
              <w:t>eżności gotówkowych)</w:t>
            </w:r>
          </w:p>
          <w:p w14:paraId="3853A99C" w14:textId="77777777"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35753">
              <w:rPr>
                <w:rStyle w:val="TeksttreciPogrubienie"/>
                <w:rFonts w:ascii="Times New Roman" w:hAnsi="Times New Roman"/>
                <w:b w:val="0"/>
                <w:sz w:val="24"/>
                <w:szCs w:val="24"/>
              </w:rPr>
              <w:t>Art. 451 ust. 3 CRR</w:t>
            </w:r>
          </w:p>
          <w:p w14:paraId="7C9EA6A0" w14:textId="6176CB2A"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35753">
              <w:rPr>
                <w:rStyle w:val="TeksttreciPogrubienie"/>
                <w:rFonts w:ascii="Times New Roman" w:hAnsi="Times New Roman"/>
                <w:b w:val="0"/>
                <w:sz w:val="24"/>
                <w:szCs w:val="24"/>
              </w:rPr>
              <w:t>Miara ekspozycji całkowitej (z wyłączeniem wpływu wszelkich mających zastosowanie czasowych wyłączeń rezerw banku centralnego), wykorzystująca średnie wartości obliczone na każdy dzień kwartału ujawniania informacji dla kwot miary ekspozycji związanych</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akt</w:t>
            </w:r>
            <w:r w:rsidRPr="00835753">
              <w:rPr>
                <w:rStyle w:val="TeksttreciPogrubienie"/>
                <w:rFonts w:ascii="Times New Roman" w:hAnsi="Times New Roman"/>
                <w:b w:val="0"/>
                <w:sz w:val="24"/>
                <w:szCs w:val="24"/>
              </w:rPr>
              <w:t>ywami</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tyt</w:t>
            </w:r>
            <w:r w:rsidRPr="00835753">
              <w:rPr>
                <w:rStyle w:val="TeksttreciPogrubienie"/>
                <w:rFonts w:ascii="Times New Roman" w:hAnsi="Times New Roman"/>
                <w:b w:val="0"/>
                <w:sz w:val="24"/>
                <w:szCs w:val="24"/>
              </w:rPr>
              <w:t>ułu SFT brutto (po skorygowaniu</w:t>
            </w:r>
            <w:r w:rsidR="00835753" w:rsidRPr="00835753">
              <w:rPr>
                <w:rStyle w:val="TeksttreciPogrubienie"/>
                <w:rFonts w:ascii="Times New Roman" w:hAnsi="Times New Roman"/>
                <w:b w:val="0"/>
                <w:sz w:val="24"/>
                <w:szCs w:val="24"/>
              </w:rPr>
              <w:t xml:space="preserve"> o</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tra</w:t>
            </w:r>
            <w:r w:rsidRPr="00835753">
              <w:rPr>
                <w:rStyle w:val="TeksttreciPogrubienie"/>
                <w:rFonts w:ascii="Times New Roman" w:hAnsi="Times New Roman"/>
                <w:b w:val="0"/>
                <w:sz w:val="24"/>
                <w:szCs w:val="24"/>
              </w:rPr>
              <w:t>nsakcje księgowe dotyczące sprzedaży oraz po skompensowaniu kwot związanych</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nim</w:t>
            </w:r>
            <w:r w:rsidRPr="00835753">
              <w:rPr>
                <w:rStyle w:val="TeksttreciPogrubienie"/>
                <w:rFonts w:ascii="Times New Roman" w:hAnsi="Times New Roman"/>
                <w:b w:val="0"/>
                <w:sz w:val="24"/>
                <w:szCs w:val="24"/>
              </w:rPr>
              <w:t>i zobowiązań</w:t>
            </w:r>
            <w:r w:rsidR="00835753" w:rsidRPr="00835753">
              <w:rPr>
                <w:rStyle w:val="TeksttreciPogrubienie"/>
                <w:rFonts w:ascii="Times New Roman" w:hAnsi="Times New Roman"/>
                <w:b w:val="0"/>
                <w:sz w:val="24"/>
                <w:szCs w:val="24"/>
              </w:rPr>
              <w:t xml:space="preserve"> i</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nal</w:t>
            </w:r>
            <w:r w:rsidRPr="00835753">
              <w:rPr>
                <w:rStyle w:val="TeksttreciPogrubienie"/>
                <w:rFonts w:ascii="Times New Roman" w:hAnsi="Times New Roman"/>
                <w:b w:val="0"/>
                <w:sz w:val="24"/>
                <w:szCs w:val="24"/>
              </w:rPr>
              <w:t>eżności gotówkowych).</w:t>
            </w:r>
          </w:p>
          <w:p w14:paraId="6D6B49F9" w14:textId="37482513"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b w:val="0"/>
                <w:sz w:val="24"/>
                <w:szCs w:val="24"/>
              </w:rPr>
              <w:t>Jeżeli miara ekspozycji całkowitej instytucji nie podlega czasowemu wyłączeniu rezerw banku centralnego, wartość ta będzie identyczna</w:t>
            </w:r>
            <w:r w:rsidR="00835753" w:rsidRPr="00835753">
              <w:rPr>
                <w:rStyle w:val="TeksttreciPogrubienie"/>
                <w:rFonts w:ascii="Times New Roman" w:hAnsi="Times New Roman"/>
                <w:b w:val="0"/>
                <w:sz w:val="24"/>
                <w:szCs w:val="24"/>
              </w:rPr>
              <w:t xml:space="preserve"> z</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war</w:t>
            </w:r>
            <w:r w:rsidRPr="00835753">
              <w:rPr>
                <w:rStyle w:val="TeksttreciPogrubienie"/>
                <w:rFonts w:ascii="Times New Roman" w:hAnsi="Times New Roman"/>
                <w:b w:val="0"/>
                <w:sz w:val="24"/>
                <w:szCs w:val="24"/>
              </w:rPr>
              <w:t>tością ujawnioną</w:t>
            </w:r>
            <w:r w:rsidR="00835753" w:rsidRPr="00835753">
              <w:rPr>
                <w:rStyle w:val="TeksttreciPogrubienie"/>
                <w:rFonts w:ascii="Times New Roman" w:hAnsi="Times New Roman"/>
                <w:b w:val="0"/>
                <w:sz w:val="24"/>
                <w:szCs w:val="24"/>
              </w:rPr>
              <w:t xml:space="preserve"> w</w:t>
            </w:r>
            <w:r w:rsidR="00835753">
              <w:rPr>
                <w:rStyle w:val="TeksttreciPogrubienie"/>
                <w:rFonts w:ascii="Times New Roman" w:hAnsi="Times New Roman"/>
                <w:b w:val="0"/>
                <w:sz w:val="24"/>
                <w:szCs w:val="24"/>
              </w:rPr>
              <w:t> </w:t>
            </w:r>
            <w:r w:rsidR="00835753" w:rsidRPr="00835753">
              <w:rPr>
                <w:rStyle w:val="TeksttreciPogrubienie"/>
                <w:rFonts w:ascii="Times New Roman" w:hAnsi="Times New Roman"/>
                <w:b w:val="0"/>
                <w:sz w:val="24"/>
                <w:szCs w:val="24"/>
              </w:rPr>
              <w:t>wie</w:t>
            </w:r>
            <w:r w:rsidRPr="00835753">
              <w:rPr>
                <w:rStyle w:val="TeksttreciPogrubienie"/>
                <w:rFonts w:ascii="Times New Roman" w:hAnsi="Times New Roman"/>
                <w:b w:val="0"/>
                <w:sz w:val="24"/>
                <w:szCs w:val="24"/>
              </w:rPr>
              <w:t>rszu 30 niniejszego wzoru.</w:t>
            </w:r>
          </w:p>
        </w:tc>
      </w:tr>
      <w:tr w:rsidR="000A7015" w:rsidRPr="00835753" w14:paraId="329A8249" w14:textId="77777777" w:rsidTr="001E06A3">
        <w:trPr>
          <w:trHeight w:val="836"/>
        </w:trPr>
        <w:tc>
          <w:tcPr>
            <w:tcW w:w="1384" w:type="dxa"/>
            <w:vAlign w:val="center"/>
          </w:tcPr>
          <w:p w14:paraId="0832545F"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31</w:t>
            </w:r>
          </w:p>
        </w:tc>
        <w:tc>
          <w:tcPr>
            <w:tcW w:w="7655" w:type="dxa"/>
            <w:vAlign w:val="center"/>
          </w:tcPr>
          <w:p w14:paraId="0DDB7377" w14:textId="0D544024"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Wskaźnik dźwigni (w tym wpływ wszelkich mających zastosowanie tymczasowych wyłączeń rezerw</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ban</w:t>
            </w:r>
            <w:r w:rsidRPr="00835753">
              <w:rPr>
                <w:rStyle w:val="TeksttreciPogrubienie"/>
                <w:rFonts w:ascii="Times New Roman" w:hAnsi="Times New Roman"/>
                <w:sz w:val="24"/>
                <w:szCs w:val="24"/>
              </w:rPr>
              <w:t>ku centralnym) obejmujący średnie wartości aktywów</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SFT brutto</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wie</w:t>
            </w:r>
            <w:r w:rsidRPr="00835753">
              <w:rPr>
                <w:rStyle w:val="TeksttreciPogrubienie"/>
                <w:rFonts w:ascii="Times New Roman" w:hAnsi="Times New Roman"/>
                <w:sz w:val="24"/>
                <w:szCs w:val="24"/>
              </w:rPr>
              <w:t>rsza 28 (po korekcie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transakcji księgowych sprzedaży oraz po odliczeniu kwot powiązanych zobowiązań gotówkowych</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nal</w:t>
            </w:r>
            <w:r w:rsidRPr="00835753">
              <w:rPr>
                <w:rStyle w:val="TeksttreciPogrubienie"/>
                <w:rFonts w:ascii="Times New Roman" w:hAnsi="Times New Roman"/>
                <w:sz w:val="24"/>
                <w:szCs w:val="24"/>
              </w:rPr>
              <w:t>eżności gotówkowych)</w:t>
            </w:r>
          </w:p>
          <w:p w14:paraId="36E9637D" w14:textId="77777777"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35753">
              <w:rPr>
                <w:rStyle w:val="TeksttreciPogrubienie"/>
                <w:rFonts w:ascii="Times New Roman" w:hAnsi="Times New Roman"/>
                <w:b w:val="0"/>
                <w:sz w:val="24"/>
                <w:szCs w:val="24"/>
              </w:rPr>
              <w:t>Art. 451 ust. 3 CRR</w:t>
            </w:r>
          </w:p>
        </w:tc>
      </w:tr>
      <w:tr w:rsidR="000A7015" w:rsidRPr="00835753" w14:paraId="555EAADF" w14:textId="77777777" w:rsidTr="001E06A3">
        <w:trPr>
          <w:trHeight w:val="915"/>
        </w:trPr>
        <w:tc>
          <w:tcPr>
            <w:tcW w:w="1384" w:type="dxa"/>
            <w:vAlign w:val="center"/>
          </w:tcPr>
          <w:p w14:paraId="6C84F61F"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31a</w:t>
            </w:r>
          </w:p>
        </w:tc>
        <w:tc>
          <w:tcPr>
            <w:tcW w:w="7655" w:type="dxa"/>
            <w:vAlign w:val="center"/>
          </w:tcPr>
          <w:p w14:paraId="43E2E7AA" w14:textId="0B706B6A"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35753">
              <w:rPr>
                <w:rStyle w:val="TeksttreciPogrubienie"/>
                <w:rFonts w:ascii="Times New Roman" w:hAnsi="Times New Roman"/>
                <w:sz w:val="24"/>
                <w:szCs w:val="24"/>
              </w:rPr>
              <w:t>Wskaźnik dźwigni (z wyłączeniem wpływu wszelkich mających zastosowanie tymczasowych wyłączeń rezerw</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ban</w:t>
            </w:r>
            <w:r w:rsidRPr="00835753">
              <w:rPr>
                <w:rStyle w:val="TeksttreciPogrubienie"/>
                <w:rFonts w:ascii="Times New Roman" w:hAnsi="Times New Roman"/>
                <w:sz w:val="24"/>
                <w:szCs w:val="24"/>
              </w:rPr>
              <w:t>ku centralnym) obejmujący średnie wartości aktywów</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SFT brutto</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wie</w:t>
            </w:r>
            <w:r w:rsidRPr="00835753">
              <w:rPr>
                <w:rStyle w:val="TeksttreciPogrubienie"/>
                <w:rFonts w:ascii="Times New Roman" w:hAnsi="Times New Roman"/>
                <w:sz w:val="24"/>
                <w:szCs w:val="24"/>
              </w:rPr>
              <w:t>rsza 28 (po korekcie</w:t>
            </w:r>
            <w:r w:rsidR="00835753" w:rsidRPr="00835753">
              <w:rPr>
                <w:rStyle w:val="TeksttreciPogrubienie"/>
                <w:rFonts w:ascii="Times New Roman" w:hAnsi="Times New Roman"/>
                <w:sz w:val="24"/>
                <w:szCs w:val="24"/>
              </w:rPr>
              <w:t xml:space="preserve"> 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transakcji księgowych sprzedaży oraz po odliczeniu kwot powiązanych zobowiązań gotówkowych</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nal</w:t>
            </w:r>
            <w:r w:rsidRPr="00835753">
              <w:rPr>
                <w:rStyle w:val="TeksttreciPogrubienie"/>
                <w:rFonts w:ascii="Times New Roman" w:hAnsi="Times New Roman"/>
                <w:sz w:val="24"/>
                <w:szCs w:val="24"/>
              </w:rPr>
              <w:t>eżności gotówkowych)</w:t>
            </w:r>
          </w:p>
          <w:p w14:paraId="72DE4DE1" w14:textId="77777777" w:rsidR="000A7015" w:rsidRPr="0083575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35753">
              <w:rPr>
                <w:rStyle w:val="TeksttreciPogrubienie"/>
                <w:rFonts w:ascii="Times New Roman" w:hAnsi="Times New Roman"/>
                <w:b w:val="0"/>
                <w:sz w:val="24"/>
                <w:szCs w:val="24"/>
              </w:rPr>
              <w:t>Art. 451 ust. 3 CRR</w:t>
            </w:r>
          </w:p>
        </w:tc>
      </w:tr>
    </w:tbl>
    <w:p w14:paraId="2BCE09D9" w14:textId="77777777" w:rsidR="000A7015" w:rsidRPr="00835753"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1A5CA5B2" w14:textId="586DB201" w:rsidR="000A7015" w:rsidRPr="00835753"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sidRPr="00835753">
        <w:rPr>
          <w:rFonts w:ascii="Times New Roman" w:hAnsi="Times New Roman"/>
          <w:color w:val="000000"/>
          <w:sz w:val="24"/>
          <w:szCs w:val="24"/>
        </w:rPr>
        <w:t>Wzór EU LR3 – LRSpl: Podział ekspozycji bilansowych (z wyłączeniem instrumentów pochodnych, SFT</w:t>
      </w:r>
      <w:r w:rsidR="00835753" w:rsidRPr="00835753">
        <w:rPr>
          <w:rFonts w:ascii="Times New Roman" w:hAnsi="Times New Roman"/>
          <w:color w:val="000000"/>
          <w:sz w:val="24"/>
          <w:szCs w:val="24"/>
        </w:rPr>
        <w:t xml:space="preserve"> i</w:t>
      </w:r>
      <w:r w:rsidR="00835753">
        <w:rPr>
          <w:rFonts w:ascii="Times New Roman" w:hAnsi="Times New Roman"/>
          <w:color w:val="000000"/>
          <w:sz w:val="24"/>
          <w:szCs w:val="24"/>
        </w:rPr>
        <w:t> </w:t>
      </w:r>
      <w:r w:rsidR="00835753" w:rsidRPr="00835753">
        <w:rPr>
          <w:rFonts w:ascii="Times New Roman" w:hAnsi="Times New Roman"/>
          <w:color w:val="000000"/>
          <w:sz w:val="24"/>
          <w:szCs w:val="24"/>
        </w:rPr>
        <w:t>eks</w:t>
      </w:r>
      <w:r w:rsidRPr="00835753">
        <w:rPr>
          <w:rFonts w:ascii="Times New Roman" w:hAnsi="Times New Roman"/>
          <w:color w:val="000000"/>
          <w:sz w:val="24"/>
          <w:szCs w:val="24"/>
        </w:rPr>
        <w:t xml:space="preserve">pozycji wyłączonych). </w:t>
      </w:r>
      <w:r w:rsidRPr="00835753">
        <w:rPr>
          <w:rFonts w:ascii="Times New Roman" w:hAnsi="Times New Roman"/>
          <w:b w:val="0"/>
          <w:color w:val="000000"/>
          <w:sz w:val="24"/>
          <w:szCs w:val="24"/>
        </w:rPr>
        <w:t>Format stały</w:t>
      </w:r>
    </w:p>
    <w:p w14:paraId="6F4D6BA9" w14:textId="65A10FAA" w:rsidR="000A7015" w:rsidRPr="00835753" w:rsidRDefault="000A7015" w:rsidP="00E70D84">
      <w:pPr>
        <w:pStyle w:val="ListParagraph"/>
        <w:numPr>
          <w:ilvl w:val="0"/>
          <w:numId w:val="28"/>
        </w:numPr>
        <w:spacing w:after="120"/>
        <w:ind w:left="426"/>
        <w:rPr>
          <w:rFonts w:ascii="Times New Roman" w:hAnsi="Times New Roman"/>
          <w:sz w:val="24"/>
          <w:szCs w:val="24"/>
        </w:rPr>
      </w:pPr>
      <w:r w:rsidRPr="00835753">
        <w:rPr>
          <w:rFonts w:ascii="Times New Roman" w:hAnsi="Times New Roman"/>
          <w:color w:val="000000"/>
          <w:sz w:val="24"/>
          <w:szCs w:val="24"/>
        </w:rPr>
        <w:t>Instytucje stosują instrukcje zawarte</w:t>
      </w:r>
      <w:r w:rsidR="00835753" w:rsidRPr="00835753">
        <w:rPr>
          <w:rFonts w:ascii="Times New Roman" w:hAnsi="Times New Roman"/>
          <w:color w:val="000000"/>
          <w:sz w:val="24"/>
          <w:szCs w:val="24"/>
        </w:rPr>
        <w:t xml:space="preserve"> w</w:t>
      </w:r>
      <w:r w:rsidR="00835753">
        <w:rPr>
          <w:rFonts w:ascii="Times New Roman" w:hAnsi="Times New Roman"/>
          <w:color w:val="000000"/>
          <w:sz w:val="24"/>
          <w:szCs w:val="24"/>
        </w:rPr>
        <w:t> </w:t>
      </w:r>
      <w:r w:rsidR="00835753" w:rsidRPr="00835753">
        <w:rPr>
          <w:rFonts w:ascii="Times New Roman" w:hAnsi="Times New Roman"/>
          <w:color w:val="000000"/>
          <w:sz w:val="24"/>
          <w:szCs w:val="24"/>
        </w:rPr>
        <w:t>nin</w:t>
      </w:r>
      <w:r w:rsidRPr="00835753">
        <w:rPr>
          <w:rFonts w:ascii="Times New Roman" w:hAnsi="Times New Roman"/>
          <w:color w:val="000000"/>
          <w:sz w:val="24"/>
          <w:szCs w:val="24"/>
        </w:rPr>
        <w:t>iejszej sekcji</w:t>
      </w:r>
      <w:r w:rsidR="00835753" w:rsidRPr="00835753">
        <w:rPr>
          <w:rFonts w:ascii="Times New Roman" w:hAnsi="Times New Roman"/>
          <w:color w:val="000000"/>
          <w:sz w:val="24"/>
          <w:szCs w:val="24"/>
        </w:rPr>
        <w:t xml:space="preserve"> w</w:t>
      </w:r>
      <w:r w:rsidR="00835753">
        <w:rPr>
          <w:rFonts w:ascii="Times New Roman" w:hAnsi="Times New Roman"/>
          <w:color w:val="000000"/>
          <w:sz w:val="24"/>
          <w:szCs w:val="24"/>
        </w:rPr>
        <w:t> </w:t>
      </w:r>
      <w:r w:rsidR="00835753" w:rsidRPr="00835753">
        <w:rPr>
          <w:rFonts w:ascii="Times New Roman" w:hAnsi="Times New Roman"/>
          <w:color w:val="000000"/>
          <w:sz w:val="24"/>
          <w:szCs w:val="24"/>
        </w:rPr>
        <w:t>cel</w:t>
      </w:r>
      <w:r w:rsidRPr="00835753">
        <w:rPr>
          <w:rFonts w:ascii="Times New Roman" w:hAnsi="Times New Roman"/>
          <w:color w:val="000000"/>
          <w:sz w:val="24"/>
          <w:szCs w:val="24"/>
        </w:rPr>
        <w:t>u wypełnienia wzoru LRSpl zgodnie</w:t>
      </w:r>
      <w:r w:rsidR="00835753" w:rsidRPr="00835753">
        <w:rPr>
          <w:rFonts w:ascii="Times New Roman" w:hAnsi="Times New Roman"/>
          <w:color w:val="000000"/>
          <w:sz w:val="24"/>
          <w:szCs w:val="24"/>
        </w:rPr>
        <w:t xml:space="preserve"> z</w:t>
      </w:r>
      <w:r w:rsidR="00835753">
        <w:rPr>
          <w:rFonts w:ascii="Times New Roman" w:hAnsi="Times New Roman"/>
          <w:color w:val="000000"/>
          <w:sz w:val="24"/>
          <w:szCs w:val="24"/>
        </w:rPr>
        <w:t> </w:t>
      </w:r>
      <w:r w:rsidR="00835753" w:rsidRPr="00835753">
        <w:rPr>
          <w:rFonts w:ascii="Times New Roman" w:hAnsi="Times New Roman"/>
          <w:color w:val="000000"/>
          <w:sz w:val="24"/>
          <w:szCs w:val="24"/>
        </w:rPr>
        <w:t>art</w:t>
      </w:r>
      <w:r w:rsidRPr="00835753">
        <w:rPr>
          <w:rFonts w:ascii="Times New Roman" w:hAnsi="Times New Roman"/>
          <w:color w:val="000000"/>
          <w:sz w:val="24"/>
          <w:szCs w:val="24"/>
        </w:rPr>
        <w:t>.</w:t>
      </w:r>
      <w:r w:rsidR="00835753" w:rsidRPr="00835753">
        <w:rPr>
          <w:rFonts w:ascii="Times New Roman" w:hAnsi="Times New Roman"/>
          <w:color w:val="000000"/>
          <w:sz w:val="24"/>
          <w:szCs w:val="24"/>
        </w:rPr>
        <w:t> </w:t>
      </w:r>
      <w:r w:rsidRPr="00835753">
        <w:rPr>
          <w:rFonts w:ascii="Times New Roman" w:hAnsi="Times New Roman"/>
          <w:color w:val="000000"/>
          <w:sz w:val="24"/>
          <w:szCs w:val="24"/>
        </w:rPr>
        <w:t>451 ust.</w:t>
      </w:r>
      <w:r w:rsidR="00835753" w:rsidRPr="00835753">
        <w:rPr>
          <w:rFonts w:ascii="Times New Roman" w:hAnsi="Times New Roman"/>
          <w:color w:val="000000"/>
          <w:sz w:val="24"/>
          <w:szCs w:val="24"/>
        </w:rPr>
        <w:t> </w:t>
      </w:r>
      <w:r w:rsidRPr="00835753">
        <w:rPr>
          <w:rFonts w:ascii="Times New Roman" w:hAnsi="Times New Roman"/>
          <w:color w:val="000000"/>
          <w:sz w:val="24"/>
          <w:szCs w:val="24"/>
        </w:rPr>
        <w:t>1 lit.</w:t>
      </w:r>
      <w:r w:rsidR="00835753" w:rsidRPr="00835753">
        <w:rPr>
          <w:rFonts w:ascii="Times New Roman" w:hAnsi="Times New Roman"/>
          <w:color w:val="000000"/>
          <w:sz w:val="24"/>
          <w:szCs w:val="24"/>
        </w:rPr>
        <w:t> </w:t>
      </w:r>
      <w:r w:rsidRPr="00835753">
        <w:rPr>
          <w:rFonts w:ascii="Times New Roman" w:hAnsi="Times New Roman"/>
          <w:color w:val="000000"/>
          <w:sz w:val="24"/>
          <w:szCs w:val="24"/>
        </w:rPr>
        <w:t>b)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835753"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E70C952" w:rsidR="000A7015" w:rsidRPr="00835753" w:rsidRDefault="000A7015" w:rsidP="001E06A3">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0A7015" w:rsidRPr="00835753" w14:paraId="17670837" w14:textId="77777777" w:rsidTr="001E06A3">
        <w:trPr>
          <w:trHeight w:val="238"/>
        </w:trPr>
        <w:tc>
          <w:tcPr>
            <w:tcW w:w="1384" w:type="dxa"/>
            <w:shd w:val="clear" w:color="auto" w:fill="D9D9D9" w:themeFill="background1" w:themeFillShade="D9"/>
          </w:tcPr>
          <w:p w14:paraId="0A46D916" w14:textId="77777777" w:rsidR="000A7015" w:rsidRPr="00835753" w:rsidRDefault="000A7015" w:rsidP="001E06A3">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5B02D9B6" w14:textId="77777777" w:rsidR="000A7015" w:rsidRPr="00835753" w:rsidRDefault="000A7015" w:rsidP="001E06A3">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0A7015" w:rsidRPr="00835753" w14:paraId="6089139F" w14:textId="77777777" w:rsidTr="001E06A3">
        <w:trPr>
          <w:trHeight w:val="1161"/>
        </w:trPr>
        <w:tc>
          <w:tcPr>
            <w:tcW w:w="1384" w:type="dxa"/>
            <w:vAlign w:val="center"/>
          </w:tcPr>
          <w:p w14:paraId="66B2EB70"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EU-1</w:t>
            </w:r>
          </w:p>
        </w:tc>
        <w:tc>
          <w:tcPr>
            <w:tcW w:w="7655" w:type="dxa"/>
          </w:tcPr>
          <w:p w14:paraId="78FF1022" w14:textId="14AA7326"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Ekspozycje bilansowe ogółem (z wyłączeniem instrumentów pochodnych, SFT</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eks</w:t>
            </w:r>
            <w:r w:rsidRPr="00835753">
              <w:rPr>
                <w:rStyle w:val="TeksttreciPogrubienie"/>
                <w:rFonts w:ascii="Times New Roman" w:hAnsi="Times New Roman"/>
                <w:sz w:val="24"/>
                <w:szCs w:val="24"/>
              </w:rPr>
              <w:t>pozycji wyłączonych),</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tym</w:t>
            </w:r>
            <w:r w:rsidRPr="00835753">
              <w:rPr>
                <w:rStyle w:val="TeksttreciPogrubienie"/>
                <w:rFonts w:ascii="Times New Roman" w:hAnsi="Times New Roman"/>
                <w:sz w:val="24"/>
                <w:szCs w:val="24"/>
              </w:rPr>
              <w:t>:</w:t>
            </w:r>
          </w:p>
          <w:p w14:paraId="6C1AF07E" w14:textId="01EC82CA"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sumę kwot</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 xml:space="preserve">rszach EU-2 i EU-3 </w:t>
            </w:r>
            <w:r w:rsidRPr="00835753">
              <w:rPr>
                <w:rFonts w:ascii="Times New Roman" w:hAnsi="Times New Roman"/>
                <w:color w:val="000000"/>
                <w:sz w:val="24"/>
                <w:szCs w:val="24"/>
              </w:rPr>
              <w:t xml:space="preserve">wzoru EU LR3 – </w:t>
            </w:r>
            <w:r w:rsidRPr="00835753">
              <w:rPr>
                <w:rFonts w:ascii="Times New Roman" w:hAnsi="Times New Roman"/>
                <w:sz w:val="24"/>
                <w:szCs w:val="24"/>
              </w:rPr>
              <w:t>LRSpl.</w:t>
            </w:r>
          </w:p>
        </w:tc>
      </w:tr>
      <w:tr w:rsidR="000A7015" w:rsidRPr="00835753" w14:paraId="57D6641E" w14:textId="77777777" w:rsidTr="001E06A3">
        <w:trPr>
          <w:trHeight w:val="1438"/>
        </w:trPr>
        <w:tc>
          <w:tcPr>
            <w:tcW w:w="1384" w:type="dxa"/>
            <w:vAlign w:val="center"/>
          </w:tcPr>
          <w:p w14:paraId="05C2B2BA"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EU-2</w:t>
            </w:r>
          </w:p>
        </w:tc>
        <w:tc>
          <w:tcPr>
            <w:tcW w:w="7655" w:type="dxa"/>
          </w:tcPr>
          <w:p w14:paraId="194F35A1"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Ekspozycje zaliczane do portfela handlowego</w:t>
            </w:r>
          </w:p>
          <w:p w14:paraId="0EC933D6" w14:textId="4E870CAD"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ekspozycje, które stanowią część całkowitej wartości ekspozycji aktywów należących do portfela handlowego,</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wył</w:t>
            </w:r>
            <w:r w:rsidRPr="00835753">
              <w:rPr>
                <w:rFonts w:ascii="Times New Roman" w:hAnsi="Times New Roman"/>
                <w:sz w:val="24"/>
                <w:szCs w:val="24"/>
              </w:rPr>
              <w:t>ączeniem instrumentów pochodnych, SFT</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eks</w:t>
            </w:r>
            <w:r w:rsidRPr="00835753">
              <w:rPr>
                <w:rFonts w:ascii="Times New Roman" w:hAnsi="Times New Roman"/>
                <w:sz w:val="24"/>
                <w:szCs w:val="24"/>
              </w:rPr>
              <w:t>pozycji wyłączonych.</w:t>
            </w:r>
          </w:p>
        </w:tc>
      </w:tr>
      <w:tr w:rsidR="000A7015" w:rsidRPr="00835753" w14:paraId="345F6F21" w14:textId="77777777" w:rsidTr="001E06A3">
        <w:trPr>
          <w:trHeight w:val="438"/>
        </w:trPr>
        <w:tc>
          <w:tcPr>
            <w:tcW w:w="1384" w:type="dxa"/>
            <w:vAlign w:val="center"/>
          </w:tcPr>
          <w:p w14:paraId="56CBC8C2"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EU-3</w:t>
            </w:r>
          </w:p>
        </w:tc>
        <w:tc>
          <w:tcPr>
            <w:tcW w:w="7655" w:type="dxa"/>
          </w:tcPr>
          <w:p w14:paraId="62E1AFF6" w14:textId="410262CC"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Ekspozycje zaliczane do portfela bankowego,</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tym</w:t>
            </w:r>
            <w:r w:rsidRPr="00835753">
              <w:rPr>
                <w:rStyle w:val="TeksttreciPogrubienie"/>
                <w:rFonts w:ascii="Times New Roman" w:hAnsi="Times New Roman"/>
                <w:sz w:val="24"/>
                <w:szCs w:val="24"/>
              </w:rPr>
              <w:t>:</w:t>
            </w:r>
          </w:p>
          <w:p w14:paraId="07286961" w14:textId="5998307D"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sumę wartości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 xml:space="preserve">rszach od EU-4 do EU-12 </w:t>
            </w:r>
            <w:r w:rsidRPr="00835753">
              <w:rPr>
                <w:rFonts w:ascii="Times New Roman" w:hAnsi="Times New Roman"/>
                <w:color w:val="000000"/>
                <w:sz w:val="24"/>
                <w:szCs w:val="24"/>
              </w:rPr>
              <w:t xml:space="preserve">wzoru EU LR3 – </w:t>
            </w:r>
            <w:r w:rsidRPr="00835753">
              <w:rPr>
                <w:rFonts w:ascii="Times New Roman" w:hAnsi="Times New Roman"/>
                <w:sz w:val="24"/>
                <w:szCs w:val="24"/>
              </w:rPr>
              <w:t>LRSpl.</w:t>
            </w:r>
          </w:p>
        </w:tc>
      </w:tr>
      <w:tr w:rsidR="000A7015" w:rsidRPr="00835753" w14:paraId="6651778B" w14:textId="77777777" w:rsidTr="007E3CA8">
        <w:trPr>
          <w:trHeight w:val="1956"/>
        </w:trPr>
        <w:tc>
          <w:tcPr>
            <w:tcW w:w="1384" w:type="dxa"/>
            <w:vAlign w:val="center"/>
          </w:tcPr>
          <w:p w14:paraId="4C370401"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EU-4</w:t>
            </w:r>
          </w:p>
        </w:tc>
        <w:tc>
          <w:tcPr>
            <w:tcW w:w="7655" w:type="dxa"/>
          </w:tcPr>
          <w:p w14:paraId="75A16AFC" w14:textId="39C8A1D2"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Ekspozycje</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pos</w:t>
            </w:r>
            <w:r w:rsidRPr="00835753">
              <w:rPr>
                <w:rStyle w:val="TeksttreciPogrubienie"/>
                <w:rFonts w:ascii="Times New Roman" w:hAnsi="Times New Roman"/>
                <w:sz w:val="24"/>
                <w:szCs w:val="24"/>
              </w:rPr>
              <w:t>taci obligacji zabezpieczonych</w:t>
            </w:r>
          </w:p>
          <w:p w14:paraId="4C923078" w14:textId="29A8B94B"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sumę ekspozycji, która stanowi całkowitą wartość ekspozycji aktywów mających postać obligacji zabezpieczonych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def</w:t>
            </w:r>
            <w:r w:rsidRPr="00835753">
              <w:rPr>
                <w:rFonts w:ascii="Times New Roman" w:hAnsi="Times New Roman"/>
                <w:sz w:val="24"/>
                <w:szCs w:val="24"/>
              </w:rPr>
              <w:t>inicją zawartą</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129</w:t>
            </w:r>
            <w:r w:rsidR="00835753" w:rsidRPr="00835753">
              <w:rPr>
                <w:rFonts w:ascii="Times New Roman" w:hAnsi="Times New Roman"/>
                <w:bCs/>
                <w:sz w:val="24"/>
                <w:szCs w:val="24"/>
              </w:rPr>
              <w:t xml:space="preserve"> i</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161 ust.</w:t>
            </w:r>
            <w:r w:rsidR="00835753" w:rsidRPr="00835753">
              <w:rPr>
                <w:rFonts w:ascii="Times New Roman" w:hAnsi="Times New Roman"/>
                <w:bCs/>
                <w:sz w:val="24"/>
                <w:szCs w:val="24"/>
              </w:rPr>
              <w:t> </w:t>
            </w:r>
            <w:r w:rsidRPr="00835753">
              <w:rPr>
                <w:rFonts w:ascii="Times New Roman" w:hAnsi="Times New Roman"/>
                <w:bCs/>
                <w:sz w:val="24"/>
                <w:szCs w:val="24"/>
              </w:rPr>
              <w:t>1 lit.</w:t>
            </w:r>
            <w:r w:rsidR="00835753" w:rsidRPr="00835753">
              <w:rPr>
                <w:rFonts w:ascii="Times New Roman" w:hAnsi="Times New Roman"/>
                <w:bCs/>
                <w:sz w:val="24"/>
                <w:szCs w:val="24"/>
              </w:rPr>
              <w:t> </w:t>
            </w:r>
            <w:r w:rsidRPr="00835753">
              <w:rPr>
                <w:rFonts w:ascii="Times New Roman" w:hAnsi="Times New Roman"/>
                <w:bCs/>
                <w:sz w:val="24"/>
                <w:szCs w:val="24"/>
              </w:rPr>
              <w:t>d) CRR.</w:t>
            </w:r>
          </w:p>
          <w:p w14:paraId="1F5A4D3A" w14:textId="2BA3564F"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bCs/>
                <w:sz w:val="24"/>
                <w:szCs w:val="24"/>
              </w:rPr>
              <w:t>Instytucje ujawniają informacje na temat całkowitej ekspozycji</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tyt</w:t>
            </w:r>
            <w:r w:rsidRPr="00835753">
              <w:rPr>
                <w:rFonts w:ascii="Times New Roman" w:hAnsi="Times New Roman"/>
                <w:bCs/>
                <w:sz w:val="24"/>
                <w:szCs w:val="24"/>
              </w:rPr>
              <w:t>ułu obligacji zabezpieczonych pomniejszonej</w:t>
            </w:r>
            <w:r w:rsidR="00835753" w:rsidRPr="00835753">
              <w:rPr>
                <w:rFonts w:ascii="Times New Roman" w:hAnsi="Times New Roman"/>
                <w:bCs/>
                <w:sz w:val="24"/>
                <w:szCs w:val="24"/>
              </w:rPr>
              <w:t xml:space="preserve"> o</w:t>
            </w:r>
            <w:r w:rsidR="00835753">
              <w:rPr>
                <w:rFonts w:ascii="Times New Roman" w:hAnsi="Times New Roman"/>
                <w:bCs/>
                <w:sz w:val="24"/>
                <w:szCs w:val="24"/>
              </w:rPr>
              <w:t> </w:t>
            </w:r>
            <w:r w:rsidR="00835753" w:rsidRPr="00835753">
              <w:rPr>
                <w:rFonts w:ascii="Times New Roman" w:hAnsi="Times New Roman"/>
                <w:bCs/>
                <w:sz w:val="24"/>
                <w:szCs w:val="24"/>
              </w:rPr>
              <w:t>eks</w:t>
            </w:r>
            <w:r w:rsidRPr="00835753">
              <w:rPr>
                <w:rFonts w:ascii="Times New Roman" w:hAnsi="Times New Roman"/>
                <w:bCs/>
                <w:sz w:val="24"/>
                <w:szCs w:val="24"/>
              </w:rPr>
              <w:t>pozycje, których dotyczy niewykonanie zobowiązania.</w:t>
            </w:r>
          </w:p>
        </w:tc>
      </w:tr>
      <w:tr w:rsidR="000A7015" w:rsidRPr="00835753" w14:paraId="1B271027" w14:textId="77777777" w:rsidTr="001E06A3">
        <w:trPr>
          <w:trHeight w:val="2265"/>
        </w:trPr>
        <w:tc>
          <w:tcPr>
            <w:tcW w:w="1384" w:type="dxa"/>
            <w:vAlign w:val="center"/>
          </w:tcPr>
          <w:p w14:paraId="5E6408A7"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EU-5</w:t>
            </w:r>
          </w:p>
        </w:tc>
        <w:tc>
          <w:tcPr>
            <w:tcW w:w="7655" w:type="dxa"/>
          </w:tcPr>
          <w:p w14:paraId="3EACE3DB"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Ekspozycje traktowane jako ekspozycje wobec państwa</w:t>
            </w:r>
          </w:p>
          <w:p w14:paraId="09AE25B3" w14:textId="6DA3EA41" w:rsidR="000A7015" w:rsidRPr="00835753"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sidRPr="00835753">
              <w:rPr>
                <w:rFonts w:ascii="Times New Roman" w:hAnsi="Times New Roman"/>
                <w:sz w:val="24"/>
                <w:szCs w:val="24"/>
              </w:rPr>
              <w:t>Instytucje ujawniają sumę ekspozycji, która stanowi całkowitą wartość ekspozycji wobec podmiotów traktowanych jako ekspozycje wobec państwa zgodnie z CRR. (</w:t>
            </w:r>
            <w:r w:rsidRPr="00835753">
              <w:rPr>
                <w:rFonts w:ascii="Times New Roman" w:hAnsi="Times New Roman"/>
                <w:bCs/>
                <w:sz w:val="24"/>
                <w:szCs w:val="24"/>
              </w:rPr>
              <w:t>Ekspozycje wobec rządów centralnych</w:t>
            </w:r>
            <w:r w:rsidR="00835753" w:rsidRPr="00835753">
              <w:rPr>
                <w:rFonts w:ascii="Times New Roman" w:hAnsi="Times New Roman"/>
                <w:bCs/>
                <w:sz w:val="24"/>
                <w:szCs w:val="24"/>
              </w:rPr>
              <w:t xml:space="preserve"> i</w:t>
            </w:r>
            <w:r w:rsidR="00835753">
              <w:rPr>
                <w:rFonts w:ascii="Times New Roman" w:hAnsi="Times New Roman"/>
                <w:bCs/>
                <w:sz w:val="24"/>
                <w:szCs w:val="24"/>
              </w:rPr>
              <w:t> </w:t>
            </w:r>
            <w:r w:rsidR="00835753" w:rsidRPr="00835753">
              <w:rPr>
                <w:rFonts w:ascii="Times New Roman" w:hAnsi="Times New Roman"/>
                <w:bCs/>
                <w:sz w:val="24"/>
                <w:szCs w:val="24"/>
              </w:rPr>
              <w:t>ban</w:t>
            </w:r>
            <w:r w:rsidRPr="00835753">
              <w:rPr>
                <w:rFonts w:ascii="Times New Roman" w:hAnsi="Times New Roman"/>
                <w:bCs/>
                <w:sz w:val="24"/>
                <w:szCs w:val="24"/>
              </w:rPr>
              <w:t>ków centralnych (art.</w:t>
            </w:r>
            <w:r w:rsidR="00835753" w:rsidRPr="00835753">
              <w:rPr>
                <w:rFonts w:ascii="Times New Roman" w:hAnsi="Times New Roman"/>
                <w:bCs/>
                <w:sz w:val="24"/>
                <w:szCs w:val="24"/>
              </w:rPr>
              <w:t> </w:t>
            </w:r>
            <w:r w:rsidRPr="00835753">
              <w:rPr>
                <w:rFonts w:ascii="Times New Roman" w:hAnsi="Times New Roman"/>
                <w:bCs/>
                <w:sz w:val="24"/>
                <w:szCs w:val="24"/>
              </w:rPr>
              <w:t>114</w:t>
            </w:r>
            <w:r w:rsidR="00835753" w:rsidRPr="00835753">
              <w:rPr>
                <w:rFonts w:ascii="Times New Roman" w:hAnsi="Times New Roman"/>
                <w:bCs/>
                <w:sz w:val="24"/>
                <w:szCs w:val="24"/>
              </w:rPr>
              <w:t xml:space="preserve"> i</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147 ust.</w:t>
            </w:r>
            <w:r w:rsidR="00835753" w:rsidRPr="00835753">
              <w:rPr>
                <w:rFonts w:ascii="Times New Roman" w:hAnsi="Times New Roman"/>
                <w:bCs/>
                <w:sz w:val="24"/>
                <w:szCs w:val="24"/>
              </w:rPr>
              <w:t> </w:t>
            </w:r>
            <w:r w:rsidRPr="00835753">
              <w:rPr>
                <w:rFonts w:ascii="Times New Roman" w:hAnsi="Times New Roman"/>
                <w:bCs/>
                <w:sz w:val="24"/>
                <w:szCs w:val="24"/>
              </w:rPr>
              <w:t>2 lit.</w:t>
            </w:r>
            <w:r w:rsidR="00835753" w:rsidRPr="00835753">
              <w:rPr>
                <w:rFonts w:ascii="Times New Roman" w:hAnsi="Times New Roman"/>
                <w:bCs/>
                <w:sz w:val="24"/>
                <w:szCs w:val="24"/>
              </w:rPr>
              <w:t> </w:t>
            </w:r>
            <w:r w:rsidRPr="00835753">
              <w:rPr>
                <w:rFonts w:ascii="Times New Roman" w:hAnsi="Times New Roman"/>
                <w:bCs/>
                <w:sz w:val="24"/>
                <w:szCs w:val="24"/>
              </w:rPr>
              <w:t>a) CRR); ekspozycje wobec samorządów regionalnych</w:t>
            </w:r>
            <w:r w:rsidR="00835753" w:rsidRPr="00835753">
              <w:rPr>
                <w:rFonts w:ascii="Times New Roman" w:hAnsi="Times New Roman"/>
                <w:bCs/>
                <w:sz w:val="24"/>
                <w:szCs w:val="24"/>
              </w:rPr>
              <w:t xml:space="preserve"> i</w:t>
            </w:r>
            <w:r w:rsidR="00835753">
              <w:rPr>
                <w:rFonts w:ascii="Times New Roman" w:hAnsi="Times New Roman"/>
                <w:bCs/>
                <w:sz w:val="24"/>
                <w:szCs w:val="24"/>
              </w:rPr>
              <w:t> </w:t>
            </w:r>
            <w:r w:rsidR="00835753" w:rsidRPr="00835753">
              <w:rPr>
                <w:rFonts w:ascii="Times New Roman" w:hAnsi="Times New Roman"/>
                <w:bCs/>
                <w:sz w:val="24"/>
                <w:szCs w:val="24"/>
              </w:rPr>
              <w:t>wła</w:t>
            </w:r>
            <w:r w:rsidRPr="00835753">
              <w:rPr>
                <w:rFonts w:ascii="Times New Roman" w:hAnsi="Times New Roman"/>
                <w:bCs/>
                <w:sz w:val="24"/>
                <w:szCs w:val="24"/>
              </w:rPr>
              <w:t>dz lokalnych traktowane jako ekspozycje wobec państwa (art.</w:t>
            </w:r>
            <w:r w:rsidR="00835753" w:rsidRPr="00835753">
              <w:rPr>
                <w:rFonts w:ascii="Times New Roman" w:hAnsi="Times New Roman"/>
                <w:bCs/>
                <w:sz w:val="24"/>
                <w:szCs w:val="24"/>
              </w:rPr>
              <w:t> </w:t>
            </w:r>
            <w:r w:rsidRPr="00835753">
              <w:rPr>
                <w:rFonts w:ascii="Times New Roman" w:hAnsi="Times New Roman"/>
                <w:bCs/>
                <w:sz w:val="24"/>
                <w:szCs w:val="24"/>
              </w:rPr>
              <w:t>115 ust.</w:t>
            </w:r>
            <w:r w:rsidR="00835753" w:rsidRPr="00835753">
              <w:rPr>
                <w:rFonts w:ascii="Times New Roman" w:hAnsi="Times New Roman"/>
                <w:bCs/>
                <w:sz w:val="24"/>
                <w:szCs w:val="24"/>
              </w:rPr>
              <w:t> </w:t>
            </w:r>
            <w:r w:rsidRPr="00835753">
              <w:rPr>
                <w:rFonts w:ascii="Times New Roman" w:hAnsi="Times New Roman"/>
                <w:bCs/>
                <w:sz w:val="24"/>
                <w:szCs w:val="24"/>
              </w:rPr>
              <w:t>2</w:t>
            </w:r>
            <w:r w:rsidR="00835753" w:rsidRPr="00835753">
              <w:rPr>
                <w:rFonts w:ascii="Times New Roman" w:hAnsi="Times New Roman"/>
                <w:bCs/>
                <w:sz w:val="24"/>
                <w:szCs w:val="24"/>
              </w:rPr>
              <w:t xml:space="preserve"> i</w:t>
            </w:r>
            <w:r w:rsidR="00835753">
              <w:rPr>
                <w:rFonts w:ascii="Times New Roman" w:hAnsi="Times New Roman"/>
                <w:bCs/>
                <w:sz w:val="24"/>
                <w:szCs w:val="24"/>
              </w:rPr>
              <w:t> </w:t>
            </w:r>
            <w:r w:rsidR="00835753" w:rsidRPr="00835753">
              <w:rPr>
                <w:rFonts w:ascii="Times New Roman" w:hAnsi="Times New Roman"/>
                <w:bCs/>
                <w:sz w:val="24"/>
                <w:szCs w:val="24"/>
              </w:rPr>
              <w:t>4</w:t>
            </w:r>
            <w:r w:rsidRPr="00835753">
              <w:rPr>
                <w:rFonts w:ascii="Times New Roman" w:hAnsi="Times New Roman"/>
                <w:bCs/>
                <w:sz w:val="24"/>
                <w:szCs w:val="24"/>
              </w:rPr>
              <w:t xml:space="preserve"> oraz art.</w:t>
            </w:r>
            <w:r w:rsidR="00835753" w:rsidRPr="00835753">
              <w:rPr>
                <w:rFonts w:ascii="Times New Roman" w:hAnsi="Times New Roman"/>
                <w:bCs/>
                <w:sz w:val="24"/>
                <w:szCs w:val="24"/>
              </w:rPr>
              <w:t> </w:t>
            </w:r>
            <w:r w:rsidRPr="00835753">
              <w:rPr>
                <w:rFonts w:ascii="Times New Roman" w:hAnsi="Times New Roman"/>
                <w:bCs/>
                <w:sz w:val="24"/>
                <w:szCs w:val="24"/>
              </w:rPr>
              <w:t>147 ust.</w:t>
            </w:r>
            <w:r w:rsidR="00835753" w:rsidRPr="00835753">
              <w:rPr>
                <w:rFonts w:ascii="Times New Roman" w:hAnsi="Times New Roman"/>
                <w:bCs/>
                <w:sz w:val="24"/>
                <w:szCs w:val="24"/>
              </w:rPr>
              <w:t> </w:t>
            </w:r>
            <w:r w:rsidRPr="00835753">
              <w:rPr>
                <w:rFonts w:ascii="Times New Roman" w:hAnsi="Times New Roman"/>
                <w:bCs/>
                <w:sz w:val="24"/>
                <w:szCs w:val="24"/>
              </w:rPr>
              <w:t>3 lit.</w:t>
            </w:r>
            <w:r w:rsidR="00835753" w:rsidRPr="00835753">
              <w:rPr>
                <w:rFonts w:ascii="Times New Roman" w:hAnsi="Times New Roman"/>
                <w:bCs/>
                <w:sz w:val="24"/>
                <w:szCs w:val="24"/>
              </w:rPr>
              <w:t> </w:t>
            </w:r>
            <w:r w:rsidRPr="00835753">
              <w:rPr>
                <w:rFonts w:ascii="Times New Roman" w:hAnsi="Times New Roman"/>
                <w:bCs/>
                <w:sz w:val="24"/>
                <w:szCs w:val="24"/>
              </w:rPr>
              <w:t>a) CRR), ekspozycje wobec wielostronnych banków rozwoju</w:t>
            </w:r>
            <w:r w:rsidR="00835753" w:rsidRPr="00835753">
              <w:rPr>
                <w:rFonts w:ascii="Times New Roman" w:hAnsi="Times New Roman"/>
                <w:bCs/>
                <w:sz w:val="24"/>
                <w:szCs w:val="24"/>
              </w:rPr>
              <w:t xml:space="preserve"> i</w:t>
            </w:r>
            <w:r w:rsidR="00835753">
              <w:rPr>
                <w:rFonts w:ascii="Times New Roman" w:hAnsi="Times New Roman"/>
                <w:bCs/>
                <w:sz w:val="24"/>
                <w:szCs w:val="24"/>
              </w:rPr>
              <w:t> </w:t>
            </w:r>
            <w:r w:rsidR="00835753" w:rsidRPr="00835753">
              <w:rPr>
                <w:rFonts w:ascii="Times New Roman" w:hAnsi="Times New Roman"/>
                <w:bCs/>
                <w:sz w:val="24"/>
                <w:szCs w:val="24"/>
              </w:rPr>
              <w:t>org</w:t>
            </w:r>
            <w:r w:rsidRPr="00835753">
              <w:rPr>
                <w:rFonts w:ascii="Times New Roman" w:hAnsi="Times New Roman"/>
                <w:bCs/>
                <w:sz w:val="24"/>
                <w:szCs w:val="24"/>
              </w:rPr>
              <w:t xml:space="preserve">anizacji międzynarodowych traktowane </w:t>
            </w:r>
            <w:r w:rsidRPr="00835753">
              <w:rPr>
                <w:rFonts w:ascii="Times New Roman" w:hAnsi="Times New Roman"/>
                <w:bCs/>
                <w:sz w:val="24"/>
                <w:szCs w:val="24"/>
              </w:rPr>
              <w:lastRenderedPageBreak/>
              <w:t>jako ekspozycje wobec państwa (art.</w:t>
            </w:r>
            <w:r w:rsidR="00835753" w:rsidRPr="00835753">
              <w:rPr>
                <w:rFonts w:ascii="Times New Roman" w:hAnsi="Times New Roman"/>
                <w:bCs/>
                <w:sz w:val="24"/>
                <w:szCs w:val="24"/>
              </w:rPr>
              <w:t> </w:t>
            </w:r>
            <w:r w:rsidRPr="00835753">
              <w:rPr>
                <w:rFonts w:ascii="Times New Roman" w:hAnsi="Times New Roman"/>
                <w:bCs/>
                <w:sz w:val="24"/>
                <w:szCs w:val="24"/>
              </w:rPr>
              <w:t>117 ust.</w:t>
            </w:r>
            <w:r w:rsidR="00835753" w:rsidRPr="00835753">
              <w:rPr>
                <w:rFonts w:ascii="Times New Roman" w:hAnsi="Times New Roman"/>
                <w:bCs/>
                <w:sz w:val="24"/>
                <w:szCs w:val="24"/>
              </w:rPr>
              <w:t> </w:t>
            </w:r>
            <w:r w:rsidRPr="00835753">
              <w:rPr>
                <w:rFonts w:ascii="Times New Roman" w:hAnsi="Times New Roman"/>
                <w:bCs/>
                <w:sz w:val="24"/>
                <w:szCs w:val="24"/>
              </w:rPr>
              <w:t>2, art.</w:t>
            </w:r>
            <w:r w:rsidR="00835753" w:rsidRPr="00835753">
              <w:rPr>
                <w:rFonts w:ascii="Times New Roman" w:hAnsi="Times New Roman"/>
                <w:bCs/>
                <w:sz w:val="24"/>
                <w:szCs w:val="24"/>
              </w:rPr>
              <w:t> </w:t>
            </w:r>
            <w:r w:rsidRPr="00835753">
              <w:rPr>
                <w:rFonts w:ascii="Times New Roman" w:hAnsi="Times New Roman"/>
                <w:bCs/>
                <w:sz w:val="24"/>
                <w:szCs w:val="24"/>
              </w:rPr>
              <w:t>118 oraz art.</w:t>
            </w:r>
            <w:r w:rsidR="00835753" w:rsidRPr="00835753">
              <w:rPr>
                <w:rFonts w:ascii="Times New Roman" w:hAnsi="Times New Roman"/>
                <w:bCs/>
                <w:sz w:val="24"/>
                <w:szCs w:val="24"/>
              </w:rPr>
              <w:t> </w:t>
            </w:r>
            <w:r w:rsidRPr="00835753">
              <w:rPr>
                <w:rFonts w:ascii="Times New Roman" w:hAnsi="Times New Roman"/>
                <w:bCs/>
                <w:sz w:val="24"/>
                <w:szCs w:val="24"/>
              </w:rPr>
              <w:t>147 ust.</w:t>
            </w:r>
            <w:r w:rsidR="00835753" w:rsidRPr="00835753">
              <w:rPr>
                <w:rFonts w:ascii="Times New Roman" w:hAnsi="Times New Roman"/>
                <w:bCs/>
                <w:sz w:val="24"/>
                <w:szCs w:val="24"/>
              </w:rPr>
              <w:t> </w:t>
            </w:r>
            <w:r w:rsidRPr="00835753">
              <w:rPr>
                <w:rFonts w:ascii="Times New Roman" w:hAnsi="Times New Roman"/>
                <w:bCs/>
                <w:sz w:val="24"/>
                <w:szCs w:val="24"/>
              </w:rPr>
              <w:t>3 lit.</w:t>
            </w:r>
            <w:r w:rsidR="00835753" w:rsidRPr="00835753">
              <w:rPr>
                <w:rFonts w:ascii="Times New Roman" w:hAnsi="Times New Roman"/>
                <w:bCs/>
                <w:sz w:val="24"/>
                <w:szCs w:val="24"/>
              </w:rPr>
              <w:t> </w:t>
            </w:r>
            <w:r w:rsidRPr="00835753">
              <w:rPr>
                <w:rFonts w:ascii="Times New Roman" w:hAnsi="Times New Roman"/>
                <w:bCs/>
                <w:sz w:val="24"/>
                <w:szCs w:val="24"/>
              </w:rPr>
              <w:t>b) i c) CRR), ekspozycje wobec podmiotów sektora publicznego (art.</w:t>
            </w:r>
            <w:r w:rsidR="00835753" w:rsidRPr="00835753">
              <w:rPr>
                <w:rFonts w:ascii="Times New Roman" w:hAnsi="Times New Roman"/>
                <w:bCs/>
                <w:sz w:val="24"/>
                <w:szCs w:val="24"/>
              </w:rPr>
              <w:t> </w:t>
            </w:r>
            <w:r w:rsidRPr="00835753">
              <w:rPr>
                <w:rFonts w:ascii="Times New Roman" w:hAnsi="Times New Roman"/>
                <w:bCs/>
                <w:sz w:val="24"/>
                <w:szCs w:val="24"/>
              </w:rPr>
              <w:t>116 ust.</w:t>
            </w:r>
            <w:r w:rsidR="00835753" w:rsidRPr="00835753">
              <w:rPr>
                <w:rFonts w:ascii="Times New Roman" w:hAnsi="Times New Roman"/>
                <w:bCs/>
                <w:sz w:val="24"/>
                <w:szCs w:val="24"/>
              </w:rPr>
              <w:t> </w:t>
            </w:r>
            <w:r w:rsidRPr="00835753">
              <w:rPr>
                <w:rFonts w:ascii="Times New Roman" w:hAnsi="Times New Roman"/>
                <w:bCs/>
                <w:sz w:val="24"/>
                <w:szCs w:val="24"/>
              </w:rPr>
              <w:t>4</w:t>
            </w:r>
            <w:r w:rsidR="00835753" w:rsidRPr="00835753">
              <w:rPr>
                <w:rFonts w:ascii="Times New Roman" w:hAnsi="Times New Roman"/>
                <w:bCs/>
                <w:sz w:val="24"/>
                <w:szCs w:val="24"/>
              </w:rPr>
              <w:t xml:space="preserve"> i</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147 ust.</w:t>
            </w:r>
            <w:r w:rsidR="00835753" w:rsidRPr="00835753">
              <w:rPr>
                <w:rFonts w:ascii="Times New Roman" w:hAnsi="Times New Roman"/>
                <w:bCs/>
                <w:sz w:val="24"/>
                <w:szCs w:val="24"/>
              </w:rPr>
              <w:t> </w:t>
            </w:r>
            <w:r w:rsidRPr="00835753">
              <w:rPr>
                <w:rFonts w:ascii="Times New Roman" w:hAnsi="Times New Roman"/>
                <w:bCs/>
                <w:sz w:val="24"/>
                <w:szCs w:val="24"/>
              </w:rPr>
              <w:t>3 lit.</w:t>
            </w:r>
            <w:r w:rsidR="00835753" w:rsidRPr="00835753">
              <w:rPr>
                <w:rFonts w:ascii="Times New Roman" w:hAnsi="Times New Roman"/>
                <w:bCs/>
                <w:sz w:val="24"/>
                <w:szCs w:val="24"/>
              </w:rPr>
              <w:t> </w:t>
            </w:r>
            <w:r w:rsidRPr="00835753">
              <w:rPr>
                <w:rFonts w:ascii="Times New Roman" w:hAnsi="Times New Roman"/>
                <w:bCs/>
                <w:sz w:val="24"/>
                <w:szCs w:val="24"/>
              </w:rPr>
              <w:t>a) CRR)</w:t>
            </w:r>
          </w:p>
          <w:p w14:paraId="78E8EF08" w14:textId="6FA12499" w:rsidR="000A7015" w:rsidRPr="00835753" w:rsidRDefault="000A7015" w:rsidP="001E06A3">
            <w:pPr>
              <w:pStyle w:val="BodyText1"/>
              <w:spacing w:after="120" w:line="240" w:lineRule="auto"/>
              <w:rPr>
                <w:rFonts w:ascii="Times New Roman" w:hAnsi="Times New Roman"/>
                <w:sz w:val="24"/>
                <w:szCs w:val="24"/>
              </w:rPr>
            </w:pPr>
            <w:r w:rsidRPr="00835753">
              <w:rPr>
                <w:rFonts w:ascii="Times New Roman" w:hAnsi="Times New Roman"/>
                <w:bCs/>
                <w:sz w:val="24"/>
                <w:szCs w:val="24"/>
              </w:rPr>
              <w:t>Instytucje ujawniają informacje na temat całkowitej ekspozycji wobec państwa pomniejszonej</w:t>
            </w:r>
            <w:r w:rsidR="00835753" w:rsidRPr="00835753">
              <w:rPr>
                <w:rFonts w:ascii="Times New Roman" w:hAnsi="Times New Roman"/>
                <w:bCs/>
                <w:sz w:val="24"/>
                <w:szCs w:val="24"/>
              </w:rPr>
              <w:t xml:space="preserve"> o</w:t>
            </w:r>
            <w:r w:rsidR="00835753">
              <w:rPr>
                <w:rFonts w:ascii="Times New Roman" w:hAnsi="Times New Roman"/>
                <w:bCs/>
                <w:sz w:val="24"/>
                <w:szCs w:val="24"/>
              </w:rPr>
              <w:t> </w:t>
            </w:r>
            <w:r w:rsidR="00835753" w:rsidRPr="00835753">
              <w:rPr>
                <w:rFonts w:ascii="Times New Roman" w:hAnsi="Times New Roman"/>
                <w:bCs/>
                <w:sz w:val="24"/>
                <w:szCs w:val="24"/>
              </w:rPr>
              <w:t>eks</w:t>
            </w:r>
            <w:r w:rsidRPr="00835753">
              <w:rPr>
                <w:rFonts w:ascii="Times New Roman" w:hAnsi="Times New Roman"/>
                <w:bCs/>
                <w:sz w:val="24"/>
                <w:szCs w:val="24"/>
              </w:rPr>
              <w:t>pozycje, których dotyczy niewykonanie zobowiązania.</w:t>
            </w:r>
          </w:p>
        </w:tc>
      </w:tr>
      <w:tr w:rsidR="000A7015" w:rsidRPr="00835753" w14:paraId="582909C2" w14:textId="77777777" w:rsidTr="007E3CA8">
        <w:trPr>
          <w:trHeight w:val="1121"/>
        </w:trPr>
        <w:tc>
          <w:tcPr>
            <w:tcW w:w="1384" w:type="dxa"/>
            <w:vAlign w:val="center"/>
          </w:tcPr>
          <w:p w14:paraId="44A36097"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EU-6</w:t>
            </w:r>
          </w:p>
        </w:tc>
        <w:tc>
          <w:tcPr>
            <w:tcW w:w="7655" w:type="dxa"/>
          </w:tcPr>
          <w:p w14:paraId="4ABD5214" w14:textId="467F9B33"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Ekspozycje wobec samorządów regionalnych, wielostronnych banków rozwoju, organizacji międzynarodowych</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pod</w:t>
            </w:r>
            <w:r w:rsidRPr="00835753">
              <w:rPr>
                <w:rStyle w:val="TeksttreciPogrubienie"/>
                <w:rFonts w:ascii="Times New Roman" w:hAnsi="Times New Roman"/>
                <w:sz w:val="24"/>
                <w:szCs w:val="24"/>
              </w:rPr>
              <w:t>miotów sektora publicznego, których nie traktuje się jako ekspozycje wobec państwa</w:t>
            </w:r>
          </w:p>
          <w:p w14:paraId="5C029F35" w14:textId="01FCD4D4" w:rsidR="000A7015" w:rsidRPr="00835753" w:rsidRDefault="000A7015" w:rsidP="001E06A3">
            <w:pPr>
              <w:pStyle w:val="BodyText1"/>
              <w:spacing w:after="120" w:line="240" w:lineRule="auto"/>
              <w:rPr>
                <w:rFonts w:ascii="Times New Roman" w:eastAsia="Book Antiqua" w:hAnsi="Times New Roman"/>
                <w:bCs/>
                <w:color w:val="auto"/>
                <w:sz w:val="24"/>
                <w:szCs w:val="24"/>
              </w:rPr>
            </w:pPr>
            <w:r w:rsidRPr="00835753">
              <w:rPr>
                <w:rFonts w:ascii="Times New Roman" w:hAnsi="Times New Roman"/>
                <w:bCs/>
                <w:color w:val="auto"/>
                <w:sz w:val="24"/>
                <w:szCs w:val="24"/>
              </w:rPr>
              <w:t>Instytucje ujawniają sumę ekspozycji, która stanowi całkowitą wartość ekspozycji wobec samorządów regionalnych</w:t>
            </w:r>
            <w:r w:rsidR="00835753" w:rsidRPr="00835753">
              <w:rPr>
                <w:rFonts w:ascii="Times New Roman" w:hAnsi="Times New Roman"/>
                <w:bCs/>
                <w:color w:val="auto"/>
                <w:sz w:val="24"/>
                <w:szCs w:val="24"/>
              </w:rPr>
              <w:t xml:space="preserve"> i</w:t>
            </w:r>
            <w:r w:rsidR="00835753">
              <w:rPr>
                <w:rFonts w:ascii="Times New Roman" w:hAnsi="Times New Roman"/>
                <w:bCs/>
                <w:color w:val="auto"/>
                <w:sz w:val="24"/>
                <w:szCs w:val="24"/>
              </w:rPr>
              <w:t> </w:t>
            </w:r>
            <w:r w:rsidR="00835753" w:rsidRPr="00835753">
              <w:rPr>
                <w:rFonts w:ascii="Times New Roman" w:hAnsi="Times New Roman"/>
                <w:bCs/>
                <w:color w:val="auto"/>
                <w:sz w:val="24"/>
                <w:szCs w:val="24"/>
              </w:rPr>
              <w:t>wła</w:t>
            </w:r>
            <w:r w:rsidRPr="00835753">
              <w:rPr>
                <w:rFonts w:ascii="Times New Roman" w:hAnsi="Times New Roman"/>
                <w:bCs/>
                <w:color w:val="auto"/>
                <w:sz w:val="24"/>
                <w:szCs w:val="24"/>
              </w:rPr>
              <w:t>dz lokalnych określonych</w:t>
            </w:r>
            <w:r w:rsidR="00835753" w:rsidRPr="00835753">
              <w:rPr>
                <w:rFonts w:ascii="Times New Roman" w:hAnsi="Times New Roman"/>
                <w:bCs/>
                <w:color w:val="auto"/>
                <w:sz w:val="24"/>
                <w:szCs w:val="24"/>
              </w:rPr>
              <w:t xml:space="preserve"> w</w:t>
            </w:r>
            <w:r w:rsidR="00835753">
              <w:rPr>
                <w:rFonts w:ascii="Times New Roman" w:hAnsi="Times New Roman"/>
                <w:bCs/>
                <w:color w:val="auto"/>
                <w:sz w:val="24"/>
                <w:szCs w:val="24"/>
              </w:rPr>
              <w:t> </w:t>
            </w:r>
            <w:r w:rsidR="00835753" w:rsidRPr="00835753">
              <w:rPr>
                <w:rFonts w:ascii="Times New Roman" w:hAnsi="Times New Roman"/>
                <w:bCs/>
                <w:color w:val="auto"/>
                <w:sz w:val="24"/>
                <w:szCs w:val="24"/>
              </w:rPr>
              <w:t>art</w:t>
            </w:r>
            <w:r w:rsidRPr="00835753">
              <w:rPr>
                <w:rFonts w:ascii="Times New Roman" w:hAnsi="Times New Roman"/>
                <w:bCs/>
                <w:color w:val="auto"/>
                <w:sz w:val="24"/>
                <w:szCs w:val="24"/>
              </w:rPr>
              <w:t>.</w:t>
            </w:r>
            <w:r w:rsidR="00835753" w:rsidRPr="00835753">
              <w:rPr>
                <w:rFonts w:ascii="Times New Roman" w:hAnsi="Times New Roman"/>
                <w:bCs/>
                <w:color w:val="auto"/>
                <w:sz w:val="24"/>
                <w:szCs w:val="24"/>
              </w:rPr>
              <w:t> </w:t>
            </w:r>
            <w:r w:rsidRPr="00835753">
              <w:rPr>
                <w:rFonts w:ascii="Times New Roman" w:hAnsi="Times New Roman"/>
                <w:bCs/>
                <w:color w:val="auto"/>
                <w:sz w:val="24"/>
                <w:szCs w:val="24"/>
              </w:rPr>
              <w:t>115 ust.</w:t>
            </w:r>
            <w:r w:rsidR="00835753" w:rsidRPr="00835753">
              <w:rPr>
                <w:rFonts w:ascii="Times New Roman" w:hAnsi="Times New Roman"/>
                <w:bCs/>
                <w:color w:val="auto"/>
                <w:sz w:val="24"/>
                <w:szCs w:val="24"/>
              </w:rPr>
              <w:t> </w:t>
            </w:r>
            <w:r w:rsidRPr="00835753">
              <w:rPr>
                <w:rFonts w:ascii="Times New Roman" w:hAnsi="Times New Roman"/>
                <w:bCs/>
                <w:color w:val="auto"/>
                <w:sz w:val="24"/>
                <w:szCs w:val="24"/>
              </w:rPr>
              <w:t>1, 3</w:t>
            </w:r>
            <w:r w:rsidR="00835753" w:rsidRPr="00835753">
              <w:rPr>
                <w:rFonts w:ascii="Times New Roman" w:hAnsi="Times New Roman"/>
                <w:bCs/>
                <w:color w:val="auto"/>
                <w:sz w:val="24"/>
                <w:szCs w:val="24"/>
              </w:rPr>
              <w:t xml:space="preserve"> i</w:t>
            </w:r>
            <w:r w:rsidR="00835753">
              <w:rPr>
                <w:rFonts w:ascii="Times New Roman" w:hAnsi="Times New Roman"/>
                <w:bCs/>
                <w:color w:val="auto"/>
                <w:sz w:val="24"/>
                <w:szCs w:val="24"/>
              </w:rPr>
              <w:t> </w:t>
            </w:r>
            <w:r w:rsidR="00835753" w:rsidRPr="00835753">
              <w:rPr>
                <w:rFonts w:ascii="Times New Roman" w:hAnsi="Times New Roman"/>
                <w:bCs/>
                <w:color w:val="auto"/>
                <w:sz w:val="24"/>
                <w:szCs w:val="24"/>
              </w:rPr>
              <w:t>5</w:t>
            </w:r>
            <w:r w:rsidRPr="00835753">
              <w:rPr>
                <w:rFonts w:ascii="Times New Roman" w:hAnsi="Times New Roman"/>
                <w:bCs/>
                <w:color w:val="auto"/>
                <w:sz w:val="24"/>
                <w:szCs w:val="24"/>
              </w:rPr>
              <w:t xml:space="preserve"> CRR</w:t>
            </w:r>
            <w:r w:rsidR="00835753" w:rsidRPr="00835753">
              <w:rPr>
                <w:rFonts w:ascii="Times New Roman" w:hAnsi="Times New Roman"/>
                <w:bCs/>
                <w:color w:val="auto"/>
                <w:sz w:val="24"/>
                <w:szCs w:val="24"/>
              </w:rPr>
              <w:t xml:space="preserve"> w</w:t>
            </w:r>
            <w:r w:rsidR="00835753">
              <w:rPr>
                <w:rFonts w:ascii="Times New Roman" w:hAnsi="Times New Roman"/>
                <w:bCs/>
                <w:color w:val="auto"/>
                <w:sz w:val="24"/>
                <w:szCs w:val="24"/>
              </w:rPr>
              <w:t> </w:t>
            </w:r>
            <w:r w:rsidR="00835753" w:rsidRPr="00835753">
              <w:rPr>
                <w:rFonts w:ascii="Times New Roman" w:hAnsi="Times New Roman"/>
                <w:bCs/>
                <w:color w:val="auto"/>
                <w:sz w:val="24"/>
                <w:szCs w:val="24"/>
              </w:rPr>
              <w:t>prz</w:t>
            </w:r>
            <w:r w:rsidRPr="00835753">
              <w:rPr>
                <w:rFonts w:ascii="Times New Roman" w:hAnsi="Times New Roman"/>
                <w:bCs/>
                <w:color w:val="auto"/>
                <w:sz w:val="24"/>
                <w:szCs w:val="24"/>
              </w:rPr>
              <w:t>ypadku ekspozycji według metody standardowej oraz</w:t>
            </w:r>
            <w:r w:rsidR="00835753" w:rsidRPr="00835753">
              <w:rPr>
                <w:rFonts w:ascii="Times New Roman" w:hAnsi="Times New Roman"/>
                <w:bCs/>
                <w:color w:val="auto"/>
                <w:sz w:val="24"/>
                <w:szCs w:val="24"/>
              </w:rPr>
              <w:t xml:space="preserve"> w</w:t>
            </w:r>
            <w:r w:rsidR="00835753">
              <w:rPr>
                <w:rFonts w:ascii="Times New Roman" w:hAnsi="Times New Roman"/>
                <w:bCs/>
                <w:color w:val="auto"/>
                <w:sz w:val="24"/>
                <w:szCs w:val="24"/>
              </w:rPr>
              <w:t> </w:t>
            </w:r>
            <w:r w:rsidR="00835753" w:rsidRPr="00835753">
              <w:rPr>
                <w:rFonts w:ascii="Times New Roman" w:hAnsi="Times New Roman"/>
                <w:bCs/>
                <w:color w:val="auto"/>
                <w:sz w:val="24"/>
                <w:szCs w:val="24"/>
              </w:rPr>
              <w:t>art</w:t>
            </w:r>
            <w:r w:rsidRPr="00835753">
              <w:rPr>
                <w:rFonts w:ascii="Times New Roman" w:hAnsi="Times New Roman"/>
                <w:bCs/>
                <w:color w:val="auto"/>
                <w:sz w:val="24"/>
                <w:szCs w:val="24"/>
              </w:rPr>
              <w:t>.</w:t>
            </w:r>
            <w:r w:rsidR="00835753" w:rsidRPr="00835753">
              <w:rPr>
                <w:rFonts w:ascii="Times New Roman" w:hAnsi="Times New Roman"/>
                <w:bCs/>
                <w:color w:val="auto"/>
                <w:sz w:val="24"/>
                <w:szCs w:val="24"/>
              </w:rPr>
              <w:t> </w:t>
            </w:r>
            <w:r w:rsidRPr="00835753">
              <w:rPr>
                <w:rFonts w:ascii="Times New Roman" w:hAnsi="Times New Roman"/>
                <w:bCs/>
                <w:color w:val="auto"/>
                <w:sz w:val="24"/>
                <w:szCs w:val="24"/>
              </w:rPr>
              <w:t>147 ust.</w:t>
            </w:r>
            <w:r w:rsidR="00835753" w:rsidRPr="00835753">
              <w:rPr>
                <w:rFonts w:ascii="Times New Roman" w:hAnsi="Times New Roman"/>
                <w:bCs/>
                <w:color w:val="auto"/>
                <w:sz w:val="24"/>
                <w:szCs w:val="24"/>
              </w:rPr>
              <w:t> </w:t>
            </w:r>
            <w:r w:rsidRPr="00835753">
              <w:rPr>
                <w:rFonts w:ascii="Times New Roman" w:hAnsi="Times New Roman"/>
                <w:bCs/>
                <w:color w:val="auto"/>
                <w:sz w:val="24"/>
                <w:szCs w:val="24"/>
              </w:rPr>
              <w:t>4 lit.</w:t>
            </w:r>
            <w:r w:rsidR="00835753" w:rsidRPr="00835753">
              <w:rPr>
                <w:rFonts w:ascii="Times New Roman" w:hAnsi="Times New Roman"/>
                <w:bCs/>
                <w:color w:val="auto"/>
                <w:sz w:val="24"/>
                <w:szCs w:val="24"/>
              </w:rPr>
              <w:t> </w:t>
            </w:r>
            <w:r w:rsidRPr="00835753">
              <w:rPr>
                <w:rFonts w:ascii="Times New Roman" w:hAnsi="Times New Roman"/>
                <w:bCs/>
                <w:color w:val="auto"/>
                <w:sz w:val="24"/>
                <w:szCs w:val="24"/>
              </w:rPr>
              <w:t>a) CRR</w:t>
            </w:r>
            <w:r w:rsidR="00835753" w:rsidRPr="00835753">
              <w:rPr>
                <w:rFonts w:ascii="Times New Roman" w:hAnsi="Times New Roman"/>
                <w:bCs/>
                <w:color w:val="auto"/>
                <w:sz w:val="24"/>
                <w:szCs w:val="24"/>
              </w:rPr>
              <w:t xml:space="preserve"> w</w:t>
            </w:r>
            <w:r w:rsidR="00835753">
              <w:rPr>
                <w:rFonts w:ascii="Times New Roman" w:hAnsi="Times New Roman"/>
                <w:bCs/>
                <w:color w:val="auto"/>
                <w:sz w:val="24"/>
                <w:szCs w:val="24"/>
              </w:rPr>
              <w:t> </w:t>
            </w:r>
            <w:r w:rsidR="00835753" w:rsidRPr="00835753">
              <w:rPr>
                <w:rFonts w:ascii="Times New Roman" w:hAnsi="Times New Roman"/>
                <w:bCs/>
                <w:color w:val="auto"/>
                <w:sz w:val="24"/>
                <w:szCs w:val="24"/>
              </w:rPr>
              <w:t>prz</w:t>
            </w:r>
            <w:r w:rsidRPr="00835753">
              <w:rPr>
                <w:rFonts w:ascii="Times New Roman" w:hAnsi="Times New Roman"/>
                <w:bCs/>
                <w:color w:val="auto"/>
                <w:sz w:val="24"/>
                <w:szCs w:val="24"/>
              </w:rPr>
              <w:t>ypadku ekspozycji według metody IRB; ekspozycji wobec wielostronnych banków rozwoju określonych</w:t>
            </w:r>
            <w:r w:rsidR="00835753" w:rsidRPr="00835753">
              <w:rPr>
                <w:rFonts w:ascii="Times New Roman" w:hAnsi="Times New Roman"/>
                <w:bCs/>
                <w:color w:val="auto"/>
                <w:sz w:val="24"/>
                <w:szCs w:val="24"/>
              </w:rPr>
              <w:t xml:space="preserve"> w</w:t>
            </w:r>
            <w:r w:rsidR="00835753">
              <w:rPr>
                <w:rFonts w:ascii="Times New Roman" w:hAnsi="Times New Roman"/>
                <w:bCs/>
                <w:color w:val="auto"/>
                <w:sz w:val="24"/>
                <w:szCs w:val="24"/>
              </w:rPr>
              <w:t> </w:t>
            </w:r>
            <w:r w:rsidR="00835753" w:rsidRPr="00835753">
              <w:rPr>
                <w:rFonts w:ascii="Times New Roman" w:hAnsi="Times New Roman"/>
                <w:bCs/>
                <w:color w:val="auto"/>
                <w:sz w:val="24"/>
                <w:szCs w:val="24"/>
              </w:rPr>
              <w:t>art</w:t>
            </w:r>
            <w:r w:rsidRPr="00835753">
              <w:rPr>
                <w:rFonts w:ascii="Times New Roman" w:hAnsi="Times New Roman"/>
                <w:bCs/>
                <w:color w:val="auto"/>
                <w:sz w:val="24"/>
                <w:szCs w:val="24"/>
              </w:rPr>
              <w:t>.</w:t>
            </w:r>
            <w:r w:rsidR="00835753" w:rsidRPr="00835753">
              <w:rPr>
                <w:rFonts w:ascii="Times New Roman" w:hAnsi="Times New Roman"/>
                <w:bCs/>
                <w:color w:val="auto"/>
                <w:sz w:val="24"/>
                <w:szCs w:val="24"/>
              </w:rPr>
              <w:t> </w:t>
            </w:r>
            <w:r w:rsidRPr="00835753">
              <w:rPr>
                <w:rFonts w:ascii="Times New Roman" w:hAnsi="Times New Roman"/>
                <w:bCs/>
                <w:color w:val="auto"/>
                <w:sz w:val="24"/>
                <w:szCs w:val="24"/>
              </w:rPr>
              <w:t>117 ust.</w:t>
            </w:r>
            <w:r w:rsidR="00835753" w:rsidRPr="00835753">
              <w:rPr>
                <w:rFonts w:ascii="Times New Roman" w:hAnsi="Times New Roman"/>
                <w:bCs/>
                <w:color w:val="auto"/>
                <w:sz w:val="24"/>
                <w:szCs w:val="24"/>
              </w:rPr>
              <w:t> </w:t>
            </w:r>
            <w:r w:rsidRPr="00835753">
              <w:rPr>
                <w:rFonts w:ascii="Times New Roman" w:hAnsi="Times New Roman"/>
                <w:bCs/>
                <w:color w:val="auto"/>
                <w:sz w:val="24"/>
                <w:szCs w:val="24"/>
              </w:rPr>
              <w:t>1</w:t>
            </w:r>
            <w:r w:rsidR="00835753" w:rsidRPr="00835753">
              <w:rPr>
                <w:rFonts w:ascii="Times New Roman" w:hAnsi="Times New Roman"/>
                <w:bCs/>
                <w:color w:val="auto"/>
                <w:sz w:val="24"/>
                <w:szCs w:val="24"/>
              </w:rPr>
              <w:t xml:space="preserve"> i</w:t>
            </w:r>
            <w:r w:rsidR="00835753">
              <w:rPr>
                <w:rFonts w:ascii="Times New Roman" w:hAnsi="Times New Roman"/>
                <w:bCs/>
                <w:color w:val="auto"/>
                <w:sz w:val="24"/>
                <w:szCs w:val="24"/>
              </w:rPr>
              <w:t> </w:t>
            </w:r>
            <w:r w:rsidR="00835753" w:rsidRPr="00835753">
              <w:rPr>
                <w:rFonts w:ascii="Times New Roman" w:hAnsi="Times New Roman"/>
                <w:bCs/>
                <w:color w:val="auto"/>
                <w:sz w:val="24"/>
                <w:szCs w:val="24"/>
              </w:rPr>
              <w:t>3</w:t>
            </w:r>
            <w:r w:rsidRPr="00835753">
              <w:rPr>
                <w:rFonts w:ascii="Times New Roman" w:hAnsi="Times New Roman"/>
                <w:bCs/>
                <w:color w:val="auto"/>
                <w:sz w:val="24"/>
                <w:szCs w:val="24"/>
              </w:rPr>
              <w:t xml:space="preserve"> CRR</w:t>
            </w:r>
            <w:r w:rsidR="00835753" w:rsidRPr="00835753">
              <w:rPr>
                <w:rFonts w:ascii="Times New Roman" w:hAnsi="Times New Roman"/>
                <w:bCs/>
                <w:color w:val="auto"/>
                <w:sz w:val="24"/>
                <w:szCs w:val="24"/>
              </w:rPr>
              <w:t xml:space="preserve"> w</w:t>
            </w:r>
            <w:r w:rsidR="00835753">
              <w:rPr>
                <w:rFonts w:ascii="Times New Roman" w:hAnsi="Times New Roman"/>
                <w:bCs/>
                <w:color w:val="auto"/>
                <w:sz w:val="24"/>
                <w:szCs w:val="24"/>
              </w:rPr>
              <w:t> </w:t>
            </w:r>
            <w:r w:rsidR="00835753" w:rsidRPr="00835753">
              <w:rPr>
                <w:rFonts w:ascii="Times New Roman" w:hAnsi="Times New Roman"/>
                <w:bCs/>
                <w:color w:val="auto"/>
                <w:sz w:val="24"/>
                <w:szCs w:val="24"/>
              </w:rPr>
              <w:t>odn</w:t>
            </w:r>
            <w:r w:rsidRPr="00835753">
              <w:rPr>
                <w:rFonts w:ascii="Times New Roman" w:hAnsi="Times New Roman"/>
                <w:bCs/>
                <w:color w:val="auto"/>
                <w:sz w:val="24"/>
                <w:szCs w:val="24"/>
              </w:rPr>
              <w:t>iesieniu do ekspozycji według metody standardowej oraz</w:t>
            </w:r>
            <w:r w:rsidR="00835753" w:rsidRPr="00835753">
              <w:rPr>
                <w:rFonts w:ascii="Times New Roman" w:hAnsi="Times New Roman"/>
                <w:bCs/>
                <w:color w:val="auto"/>
                <w:sz w:val="24"/>
                <w:szCs w:val="24"/>
              </w:rPr>
              <w:t xml:space="preserve"> w</w:t>
            </w:r>
            <w:r w:rsidR="00835753">
              <w:rPr>
                <w:rFonts w:ascii="Times New Roman" w:hAnsi="Times New Roman"/>
                <w:bCs/>
                <w:color w:val="auto"/>
                <w:sz w:val="24"/>
                <w:szCs w:val="24"/>
              </w:rPr>
              <w:t> </w:t>
            </w:r>
            <w:r w:rsidR="00835753" w:rsidRPr="00835753">
              <w:rPr>
                <w:rFonts w:ascii="Times New Roman" w:hAnsi="Times New Roman"/>
                <w:bCs/>
                <w:color w:val="auto"/>
                <w:sz w:val="24"/>
                <w:szCs w:val="24"/>
              </w:rPr>
              <w:t>art</w:t>
            </w:r>
            <w:r w:rsidRPr="00835753">
              <w:rPr>
                <w:rFonts w:ascii="Times New Roman" w:hAnsi="Times New Roman"/>
                <w:bCs/>
                <w:color w:val="auto"/>
                <w:sz w:val="24"/>
                <w:szCs w:val="24"/>
              </w:rPr>
              <w:t>.</w:t>
            </w:r>
            <w:r w:rsidR="00835753" w:rsidRPr="00835753">
              <w:rPr>
                <w:rFonts w:ascii="Times New Roman" w:hAnsi="Times New Roman"/>
                <w:bCs/>
                <w:color w:val="auto"/>
                <w:sz w:val="24"/>
                <w:szCs w:val="24"/>
              </w:rPr>
              <w:t> </w:t>
            </w:r>
            <w:r w:rsidRPr="00835753">
              <w:rPr>
                <w:rFonts w:ascii="Times New Roman" w:hAnsi="Times New Roman"/>
                <w:bCs/>
                <w:color w:val="auto"/>
                <w:sz w:val="24"/>
                <w:szCs w:val="24"/>
              </w:rPr>
              <w:t>147 ust.</w:t>
            </w:r>
            <w:r w:rsidR="00835753" w:rsidRPr="00835753">
              <w:rPr>
                <w:rFonts w:ascii="Times New Roman" w:hAnsi="Times New Roman"/>
                <w:bCs/>
                <w:color w:val="auto"/>
                <w:sz w:val="24"/>
                <w:szCs w:val="24"/>
              </w:rPr>
              <w:t> </w:t>
            </w:r>
            <w:r w:rsidRPr="00835753">
              <w:rPr>
                <w:rFonts w:ascii="Times New Roman" w:hAnsi="Times New Roman"/>
                <w:bCs/>
                <w:color w:val="auto"/>
                <w:sz w:val="24"/>
                <w:szCs w:val="24"/>
              </w:rPr>
              <w:t>4 lit.</w:t>
            </w:r>
            <w:r w:rsidR="00835753" w:rsidRPr="00835753">
              <w:rPr>
                <w:rFonts w:ascii="Times New Roman" w:hAnsi="Times New Roman"/>
                <w:bCs/>
                <w:color w:val="auto"/>
                <w:sz w:val="24"/>
                <w:szCs w:val="24"/>
              </w:rPr>
              <w:t> </w:t>
            </w:r>
            <w:r w:rsidRPr="00835753">
              <w:rPr>
                <w:rFonts w:ascii="Times New Roman" w:hAnsi="Times New Roman"/>
                <w:bCs/>
                <w:color w:val="auto"/>
                <w:sz w:val="24"/>
                <w:szCs w:val="24"/>
              </w:rPr>
              <w:t>c) CRR</w:t>
            </w:r>
            <w:r w:rsidR="00835753" w:rsidRPr="00835753">
              <w:rPr>
                <w:rFonts w:ascii="Times New Roman" w:hAnsi="Times New Roman"/>
                <w:bCs/>
                <w:color w:val="auto"/>
                <w:sz w:val="24"/>
                <w:szCs w:val="24"/>
              </w:rPr>
              <w:t xml:space="preserve"> w</w:t>
            </w:r>
            <w:r w:rsidR="00835753">
              <w:rPr>
                <w:rFonts w:ascii="Times New Roman" w:hAnsi="Times New Roman"/>
                <w:bCs/>
                <w:color w:val="auto"/>
                <w:sz w:val="24"/>
                <w:szCs w:val="24"/>
              </w:rPr>
              <w:t> </w:t>
            </w:r>
            <w:r w:rsidR="00835753" w:rsidRPr="00835753">
              <w:rPr>
                <w:rFonts w:ascii="Times New Roman" w:hAnsi="Times New Roman"/>
                <w:bCs/>
                <w:color w:val="auto"/>
                <w:sz w:val="24"/>
                <w:szCs w:val="24"/>
              </w:rPr>
              <w:t>odn</w:t>
            </w:r>
            <w:r w:rsidRPr="00835753">
              <w:rPr>
                <w:rFonts w:ascii="Times New Roman" w:hAnsi="Times New Roman"/>
                <w:bCs/>
                <w:color w:val="auto"/>
                <w:sz w:val="24"/>
                <w:szCs w:val="24"/>
              </w:rPr>
              <w:t>iesieniu do ekspozycji według metody IRB; ekspozycji wobec organizacji międzynarodowych</w:t>
            </w:r>
            <w:r w:rsidR="00835753" w:rsidRPr="00835753">
              <w:rPr>
                <w:rFonts w:ascii="Times New Roman" w:hAnsi="Times New Roman"/>
                <w:bCs/>
                <w:color w:val="auto"/>
                <w:sz w:val="24"/>
                <w:szCs w:val="24"/>
              </w:rPr>
              <w:t xml:space="preserve"> i</w:t>
            </w:r>
            <w:r w:rsidR="00835753">
              <w:rPr>
                <w:rFonts w:ascii="Times New Roman" w:hAnsi="Times New Roman"/>
                <w:bCs/>
                <w:color w:val="auto"/>
                <w:sz w:val="24"/>
                <w:szCs w:val="24"/>
              </w:rPr>
              <w:t> </w:t>
            </w:r>
            <w:r w:rsidR="00835753" w:rsidRPr="00835753">
              <w:rPr>
                <w:rFonts w:ascii="Times New Roman" w:hAnsi="Times New Roman"/>
                <w:bCs/>
                <w:color w:val="auto"/>
                <w:sz w:val="24"/>
                <w:szCs w:val="24"/>
              </w:rPr>
              <w:t>pod</w:t>
            </w:r>
            <w:r w:rsidRPr="00835753">
              <w:rPr>
                <w:rFonts w:ascii="Times New Roman" w:hAnsi="Times New Roman"/>
                <w:bCs/>
                <w:color w:val="auto"/>
                <w:sz w:val="24"/>
                <w:szCs w:val="24"/>
              </w:rPr>
              <w:t>miotów sektora publicznego określonych</w:t>
            </w:r>
            <w:r w:rsidR="00835753" w:rsidRPr="00835753">
              <w:rPr>
                <w:rFonts w:ascii="Times New Roman" w:hAnsi="Times New Roman"/>
                <w:bCs/>
                <w:color w:val="auto"/>
                <w:sz w:val="24"/>
                <w:szCs w:val="24"/>
              </w:rPr>
              <w:t xml:space="preserve"> w</w:t>
            </w:r>
            <w:r w:rsidR="00835753">
              <w:rPr>
                <w:rFonts w:ascii="Times New Roman" w:hAnsi="Times New Roman"/>
                <w:bCs/>
                <w:color w:val="auto"/>
                <w:sz w:val="24"/>
                <w:szCs w:val="24"/>
              </w:rPr>
              <w:t> </w:t>
            </w:r>
            <w:r w:rsidR="00835753" w:rsidRPr="00835753">
              <w:rPr>
                <w:rFonts w:ascii="Times New Roman" w:hAnsi="Times New Roman"/>
                <w:bCs/>
                <w:color w:val="auto"/>
                <w:sz w:val="24"/>
                <w:szCs w:val="24"/>
              </w:rPr>
              <w:t>art</w:t>
            </w:r>
            <w:r w:rsidRPr="00835753">
              <w:rPr>
                <w:rFonts w:ascii="Times New Roman" w:hAnsi="Times New Roman"/>
                <w:bCs/>
                <w:color w:val="auto"/>
                <w:sz w:val="24"/>
                <w:szCs w:val="24"/>
              </w:rPr>
              <w:t>.</w:t>
            </w:r>
            <w:r w:rsidR="00835753" w:rsidRPr="00835753">
              <w:rPr>
                <w:rFonts w:ascii="Times New Roman" w:hAnsi="Times New Roman"/>
                <w:bCs/>
                <w:color w:val="auto"/>
                <w:sz w:val="24"/>
                <w:szCs w:val="24"/>
              </w:rPr>
              <w:t> </w:t>
            </w:r>
            <w:r w:rsidRPr="00835753">
              <w:rPr>
                <w:rFonts w:ascii="Times New Roman" w:hAnsi="Times New Roman"/>
                <w:bCs/>
                <w:color w:val="auto"/>
                <w:sz w:val="24"/>
                <w:szCs w:val="24"/>
              </w:rPr>
              <w:t>116 ust.</w:t>
            </w:r>
            <w:r w:rsidR="00835753" w:rsidRPr="00835753">
              <w:rPr>
                <w:rFonts w:ascii="Times New Roman" w:hAnsi="Times New Roman"/>
                <w:bCs/>
                <w:color w:val="auto"/>
                <w:sz w:val="24"/>
                <w:szCs w:val="24"/>
              </w:rPr>
              <w:t> </w:t>
            </w:r>
            <w:r w:rsidRPr="00835753">
              <w:rPr>
                <w:rFonts w:ascii="Times New Roman" w:hAnsi="Times New Roman"/>
                <w:bCs/>
                <w:color w:val="auto"/>
                <w:sz w:val="24"/>
                <w:szCs w:val="24"/>
              </w:rPr>
              <w:t>1, 2, 3</w:t>
            </w:r>
            <w:r w:rsidR="00835753" w:rsidRPr="00835753">
              <w:rPr>
                <w:rFonts w:ascii="Times New Roman" w:hAnsi="Times New Roman"/>
                <w:bCs/>
                <w:color w:val="auto"/>
                <w:sz w:val="24"/>
                <w:szCs w:val="24"/>
              </w:rPr>
              <w:t xml:space="preserve"> i</w:t>
            </w:r>
            <w:r w:rsidR="00835753">
              <w:rPr>
                <w:rFonts w:ascii="Times New Roman" w:hAnsi="Times New Roman"/>
                <w:bCs/>
                <w:color w:val="auto"/>
                <w:sz w:val="24"/>
                <w:szCs w:val="24"/>
              </w:rPr>
              <w:t> </w:t>
            </w:r>
            <w:r w:rsidR="00835753" w:rsidRPr="00835753">
              <w:rPr>
                <w:rFonts w:ascii="Times New Roman" w:hAnsi="Times New Roman"/>
                <w:bCs/>
                <w:color w:val="auto"/>
                <w:sz w:val="24"/>
                <w:szCs w:val="24"/>
              </w:rPr>
              <w:t>5</w:t>
            </w:r>
            <w:r w:rsidRPr="00835753">
              <w:rPr>
                <w:rFonts w:ascii="Times New Roman" w:hAnsi="Times New Roman"/>
                <w:bCs/>
                <w:color w:val="auto"/>
                <w:sz w:val="24"/>
                <w:szCs w:val="24"/>
              </w:rPr>
              <w:t xml:space="preserve"> CRR</w:t>
            </w:r>
            <w:r w:rsidR="00835753" w:rsidRPr="00835753">
              <w:rPr>
                <w:rFonts w:ascii="Times New Roman" w:hAnsi="Times New Roman"/>
                <w:bCs/>
                <w:color w:val="auto"/>
                <w:sz w:val="24"/>
                <w:szCs w:val="24"/>
              </w:rPr>
              <w:t xml:space="preserve"> w</w:t>
            </w:r>
            <w:r w:rsidR="00835753">
              <w:rPr>
                <w:rFonts w:ascii="Times New Roman" w:hAnsi="Times New Roman"/>
                <w:bCs/>
                <w:color w:val="auto"/>
                <w:sz w:val="24"/>
                <w:szCs w:val="24"/>
              </w:rPr>
              <w:t> </w:t>
            </w:r>
            <w:r w:rsidR="00835753" w:rsidRPr="00835753">
              <w:rPr>
                <w:rFonts w:ascii="Times New Roman" w:hAnsi="Times New Roman"/>
                <w:bCs/>
                <w:color w:val="auto"/>
                <w:sz w:val="24"/>
                <w:szCs w:val="24"/>
              </w:rPr>
              <w:t>prz</w:t>
            </w:r>
            <w:r w:rsidRPr="00835753">
              <w:rPr>
                <w:rFonts w:ascii="Times New Roman" w:hAnsi="Times New Roman"/>
                <w:bCs/>
                <w:color w:val="auto"/>
                <w:sz w:val="24"/>
                <w:szCs w:val="24"/>
              </w:rPr>
              <w:t>ypadku ekspozycji według metody standardowej oraz</w:t>
            </w:r>
            <w:r w:rsidR="00835753" w:rsidRPr="00835753">
              <w:rPr>
                <w:rFonts w:ascii="Times New Roman" w:hAnsi="Times New Roman"/>
                <w:bCs/>
                <w:color w:val="auto"/>
                <w:sz w:val="24"/>
                <w:szCs w:val="24"/>
              </w:rPr>
              <w:t xml:space="preserve"> w</w:t>
            </w:r>
            <w:r w:rsidR="00835753">
              <w:rPr>
                <w:rFonts w:ascii="Times New Roman" w:hAnsi="Times New Roman"/>
                <w:bCs/>
                <w:color w:val="auto"/>
                <w:sz w:val="24"/>
                <w:szCs w:val="24"/>
              </w:rPr>
              <w:t> </w:t>
            </w:r>
            <w:r w:rsidR="00835753" w:rsidRPr="00835753">
              <w:rPr>
                <w:rFonts w:ascii="Times New Roman" w:hAnsi="Times New Roman"/>
                <w:bCs/>
                <w:color w:val="auto"/>
                <w:sz w:val="24"/>
                <w:szCs w:val="24"/>
              </w:rPr>
              <w:t>art</w:t>
            </w:r>
            <w:r w:rsidRPr="00835753">
              <w:rPr>
                <w:rFonts w:ascii="Times New Roman" w:hAnsi="Times New Roman"/>
                <w:bCs/>
                <w:color w:val="auto"/>
                <w:sz w:val="24"/>
                <w:szCs w:val="24"/>
              </w:rPr>
              <w:t>.</w:t>
            </w:r>
            <w:r w:rsidR="00835753" w:rsidRPr="00835753">
              <w:rPr>
                <w:rFonts w:ascii="Times New Roman" w:hAnsi="Times New Roman"/>
                <w:bCs/>
                <w:color w:val="auto"/>
                <w:sz w:val="24"/>
                <w:szCs w:val="24"/>
              </w:rPr>
              <w:t> </w:t>
            </w:r>
            <w:r w:rsidRPr="00835753">
              <w:rPr>
                <w:rFonts w:ascii="Times New Roman" w:hAnsi="Times New Roman"/>
                <w:bCs/>
                <w:color w:val="auto"/>
                <w:sz w:val="24"/>
                <w:szCs w:val="24"/>
              </w:rPr>
              <w:t>147 ust.</w:t>
            </w:r>
            <w:r w:rsidR="00835753" w:rsidRPr="00835753">
              <w:rPr>
                <w:rFonts w:ascii="Times New Roman" w:hAnsi="Times New Roman"/>
                <w:bCs/>
                <w:color w:val="auto"/>
                <w:sz w:val="24"/>
                <w:szCs w:val="24"/>
              </w:rPr>
              <w:t> </w:t>
            </w:r>
            <w:r w:rsidRPr="00835753">
              <w:rPr>
                <w:rFonts w:ascii="Times New Roman" w:hAnsi="Times New Roman"/>
                <w:bCs/>
                <w:color w:val="auto"/>
                <w:sz w:val="24"/>
                <w:szCs w:val="24"/>
              </w:rPr>
              <w:t>4 lit.</w:t>
            </w:r>
            <w:r w:rsidR="00835753" w:rsidRPr="00835753">
              <w:rPr>
                <w:rFonts w:ascii="Times New Roman" w:hAnsi="Times New Roman"/>
                <w:bCs/>
                <w:color w:val="auto"/>
                <w:sz w:val="24"/>
                <w:szCs w:val="24"/>
              </w:rPr>
              <w:t> </w:t>
            </w:r>
            <w:r w:rsidRPr="00835753">
              <w:rPr>
                <w:rFonts w:ascii="Times New Roman" w:hAnsi="Times New Roman"/>
                <w:bCs/>
                <w:color w:val="auto"/>
                <w:sz w:val="24"/>
                <w:szCs w:val="24"/>
              </w:rPr>
              <w:t>b) CRR</w:t>
            </w:r>
            <w:r w:rsidR="00835753" w:rsidRPr="00835753">
              <w:rPr>
                <w:rFonts w:ascii="Times New Roman" w:hAnsi="Times New Roman"/>
                <w:bCs/>
                <w:color w:val="auto"/>
                <w:sz w:val="24"/>
                <w:szCs w:val="24"/>
              </w:rPr>
              <w:t xml:space="preserve"> w</w:t>
            </w:r>
            <w:r w:rsidR="00835753">
              <w:rPr>
                <w:rFonts w:ascii="Times New Roman" w:hAnsi="Times New Roman"/>
                <w:bCs/>
                <w:color w:val="auto"/>
                <w:sz w:val="24"/>
                <w:szCs w:val="24"/>
              </w:rPr>
              <w:t> </w:t>
            </w:r>
            <w:proofErr w:type="gramStart"/>
            <w:r w:rsidR="00835753" w:rsidRPr="00835753">
              <w:rPr>
                <w:rFonts w:ascii="Times New Roman" w:hAnsi="Times New Roman"/>
                <w:bCs/>
                <w:color w:val="auto"/>
                <w:sz w:val="24"/>
                <w:szCs w:val="24"/>
              </w:rPr>
              <w:t>prz</w:t>
            </w:r>
            <w:r w:rsidRPr="00835753">
              <w:rPr>
                <w:rFonts w:ascii="Times New Roman" w:hAnsi="Times New Roman"/>
                <w:bCs/>
                <w:color w:val="auto"/>
                <w:sz w:val="24"/>
                <w:szCs w:val="24"/>
              </w:rPr>
              <w:t>ypadku</w:t>
            </w:r>
            <w:proofErr w:type="gramEnd"/>
            <w:r w:rsidRPr="00835753">
              <w:rPr>
                <w:rFonts w:ascii="Times New Roman" w:hAnsi="Times New Roman"/>
                <w:bCs/>
                <w:color w:val="auto"/>
                <w:sz w:val="24"/>
                <w:szCs w:val="24"/>
              </w:rPr>
              <w:t xml:space="preserve"> ekspozycji według metody IRB, które nie są traktowane jako ekspozycje wobec państwa na mocy CRR.</w:t>
            </w:r>
          </w:p>
          <w:p w14:paraId="6BA29B34" w14:textId="6EC542D9"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bCs/>
                <w:color w:val="auto"/>
                <w:sz w:val="24"/>
                <w:szCs w:val="24"/>
              </w:rPr>
              <w:t>Instytucje ujawniają wyżej wymienioną całkowitą ekspozycję pomniejszoną</w:t>
            </w:r>
            <w:r w:rsidR="00835753" w:rsidRPr="00835753">
              <w:rPr>
                <w:rFonts w:ascii="Times New Roman" w:hAnsi="Times New Roman"/>
                <w:bCs/>
                <w:color w:val="auto"/>
                <w:sz w:val="24"/>
                <w:szCs w:val="24"/>
              </w:rPr>
              <w:t xml:space="preserve"> o</w:t>
            </w:r>
            <w:r w:rsidR="00835753">
              <w:rPr>
                <w:rFonts w:ascii="Times New Roman" w:hAnsi="Times New Roman"/>
                <w:bCs/>
                <w:color w:val="auto"/>
                <w:sz w:val="24"/>
                <w:szCs w:val="24"/>
              </w:rPr>
              <w:t> </w:t>
            </w:r>
            <w:r w:rsidR="00835753" w:rsidRPr="00835753">
              <w:rPr>
                <w:rFonts w:ascii="Times New Roman" w:hAnsi="Times New Roman"/>
                <w:bCs/>
                <w:color w:val="auto"/>
                <w:sz w:val="24"/>
                <w:szCs w:val="24"/>
              </w:rPr>
              <w:t>eks</w:t>
            </w:r>
            <w:r w:rsidRPr="00835753">
              <w:rPr>
                <w:rFonts w:ascii="Times New Roman" w:hAnsi="Times New Roman"/>
                <w:bCs/>
                <w:color w:val="auto"/>
                <w:sz w:val="24"/>
                <w:szCs w:val="24"/>
              </w:rPr>
              <w:t>pozycje, których dotyczy niewykonanie zobowiązania.</w:t>
            </w:r>
          </w:p>
        </w:tc>
      </w:tr>
      <w:tr w:rsidR="000A7015" w:rsidRPr="00835753" w14:paraId="5E717AEF" w14:textId="77777777" w:rsidTr="001E06A3">
        <w:trPr>
          <w:trHeight w:val="416"/>
        </w:trPr>
        <w:tc>
          <w:tcPr>
            <w:tcW w:w="1384" w:type="dxa"/>
            <w:vAlign w:val="center"/>
          </w:tcPr>
          <w:p w14:paraId="396838A9"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EU-7</w:t>
            </w:r>
          </w:p>
        </w:tc>
        <w:tc>
          <w:tcPr>
            <w:tcW w:w="7655" w:type="dxa"/>
          </w:tcPr>
          <w:p w14:paraId="6E52756C"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Ekspozycje wobec instytucji</w:t>
            </w:r>
          </w:p>
          <w:p w14:paraId="6C6F9BC1" w14:textId="2BE73059" w:rsidR="000A7015" w:rsidRPr="00835753"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sidRPr="00835753">
              <w:rPr>
                <w:rFonts w:ascii="Times New Roman" w:hAnsi="Times New Roman"/>
                <w:sz w:val="24"/>
                <w:szCs w:val="24"/>
              </w:rPr>
              <w:t>Instytucje ujawniają sumę ekspozycji, która jest wartością ekspozycji wobec instytucji</w:t>
            </w:r>
            <w:r w:rsidRPr="00835753">
              <w:rPr>
                <w:rFonts w:ascii="Times New Roman" w:hAnsi="Times New Roman"/>
                <w:bCs/>
                <w:sz w:val="24"/>
                <w:szCs w:val="24"/>
              </w:rPr>
              <w:t xml:space="preserve"> </w:t>
            </w:r>
            <w:r w:rsidRPr="00835753">
              <w:rPr>
                <w:rFonts w:ascii="Times New Roman" w:hAnsi="Times New Roman"/>
                <w:bCs/>
                <w:color w:val="000000"/>
                <w:sz w:val="24"/>
                <w:szCs w:val="24"/>
              </w:rPr>
              <w:t>objętych zakresem art.</w:t>
            </w:r>
            <w:r w:rsidR="00835753" w:rsidRPr="00835753">
              <w:rPr>
                <w:rFonts w:ascii="Times New Roman" w:hAnsi="Times New Roman"/>
                <w:bCs/>
                <w:color w:val="000000"/>
                <w:sz w:val="24"/>
                <w:szCs w:val="24"/>
              </w:rPr>
              <w:t> </w:t>
            </w:r>
            <w:r w:rsidRPr="00835753">
              <w:rPr>
                <w:rFonts w:ascii="Times New Roman" w:hAnsi="Times New Roman"/>
                <w:bCs/>
                <w:color w:val="000000"/>
                <w:sz w:val="24"/>
                <w:szCs w:val="24"/>
              </w:rPr>
              <w:t>119–121 CRR</w:t>
            </w:r>
            <w:r w:rsidR="00835753" w:rsidRPr="00835753">
              <w:rPr>
                <w:rFonts w:ascii="Times New Roman" w:hAnsi="Times New Roman"/>
                <w:bCs/>
                <w:color w:val="000000"/>
                <w:sz w:val="24"/>
                <w:szCs w:val="24"/>
              </w:rPr>
              <w:t xml:space="preserve"> w</w:t>
            </w:r>
            <w:r w:rsidR="00835753">
              <w:rPr>
                <w:rFonts w:ascii="Times New Roman" w:hAnsi="Times New Roman"/>
                <w:bCs/>
                <w:color w:val="000000"/>
                <w:sz w:val="24"/>
                <w:szCs w:val="24"/>
              </w:rPr>
              <w:t> </w:t>
            </w:r>
            <w:r w:rsidR="00835753" w:rsidRPr="00835753">
              <w:rPr>
                <w:rFonts w:ascii="Times New Roman" w:hAnsi="Times New Roman"/>
                <w:bCs/>
                <w:color w:val="000000"/>
                <w:sz w:val="24"/>
                <w:szCs w:val="24"/>
              </w:rPr>
              <w:t>prz</w:t>
            </w:r>
            <w:r w:rsidRPr="00835753">
              <w:rPr>
                <w:rFonts w:ascii="Times New Roman" w:hAnsi="Times New Roman"/>
                <w:bCs/>
                <w:color w:val="000000"/>
                <w:sz w:val="24"/>
                <w:szCs w:val="24"/>
              </w:rPr>
              <w:t>ypadku ekspozycji według metody standardowej oraz ekspozycji według metody IRB – które są objęte zakresem art.</w:t>
            </w:r>
            <w:r w:rsidR="00835753" w:rsidRPr="00835753">
              <w:rPr>
                <w:rFonts w:ascii="Times New Roman" w:hAnsi="Times New Roman"/>
                <w:bCs/>
                <w:color w:val="000000"/>
                <w:sz w:val="24"/>
                <w:szCs w:val="24"/>
              </w:rPr>
              <w:t> </w:t>
            </w:r>
            <w:r w:rsidRPr="00835753">
              <w:rPr>
                <w:rFonts w:ascii="Times New Roman" w:hAnsi="Times New Roman"/>
                <w:bCs/>
                <w:color w:val="000000"/>
                <w:sz w:val="24"/>
                <w:szCs w:val="24"/>
              </w:rPr>
              <w:t>147 ust.</w:t>
            </w:r>
            <w:r w:rsidR="00835753" w:rsidRPr="00835753">
              <w:rPr>
                <w:rFonts w:ascii="Times New Roman" w:hAnsi="Times New Roman"/>
                <w:bCs/>
                <w:color w:val="000000"/>
                <w:sz w:val="24"/>
                <w:szCs w:val="24"/>
              </w:rPr>
              <w:t> </w:t>
            </w:r>
            <w:r w:rsidRPr="00835753">
              <w:rPr>
                <w:rFonts w:ascii="Times New Roman" w:hAnsi="Times New Roman"/>
                <w:bCs/>
                <w:color w:val="000000"/>
                <w:sz w:val="24"/>
                <w:szCs w:val="24"/>
              </w:rPr>
              <w:t>2 lit.</w:t>
            </w:r>
            <w:r w:rsidR="00835753" w:rsidRPr="00835753">
              <w:rPr>
                <w:rFonts w:ascii="Times New Roman" w:hAnsi="Times New Roman"/>
                <w:bCs/>
                <w:color w:val="000000"/>
                <w:sz w:val="24"/>
                <w:szCs w:val="24"/>
              </w:rPr>
              <w:t> </w:t>
            </w:r>
            <w:r w:rsidRPr="00835753">
              <w:rPr>
                <w:rFonts w:ascii="Times New Roman" w:hAnsi="Times New Roman"/>
                <w:bCs/>
                <w:color w:val="000000"/>
                <w:sz w:val="24"/>
                <w:szCs w:val="24"/>
              </w:rPr>
              <w:t>b) CRR</w:t>
            </w:r>
            <w:r w:rsidR="00835753" w:rsidRPr="00835753">
              <w:rPr>
                <w:rFonts w:ascii="Times New Roman" w:hAnsi="Times New Roman"/>
                <w:bCs/>
                <w:color w:val="000000"/>
                <w:sz w:val="24"/>
                <w:szCs w:val="24"/>
              </w:rPr>
              <w:t xml:space="preserve"> i</w:t>
            </w:r>
            <w:r w:rsidR="00835753">
              <w:rPr>
                <w:rFonts w:ascii="Times New Roman" w:hAnsi="Times New Roman"/>
                <w:bCs/>
                <w:color w:val="000000"/>
                <w:sz w:val="24"/>
                <w:szCs w:val="24"/>
              </w:rPr>
              <w:t> </w:t>
            </w:r>
            <w:r w:rsidR="00835753" w:rsidRPr="00835753">
              <w:rPr>
                <w:rFonts w:ascii="Times New Roman" w:hAnsi="Times New Roman"/>
                <w:bCs/>
                <w:color w:val="000000"/>
                <w:sz w:val="24"/>
                <w:szCs w:val="24"/>
              </w:rPr>
              <w:t>nie</w:t>
            </w:r>
            <w:r w:rsidRPr="00835753">
              <w:rPr>
                <w:rFonts w:ascii="Times New Roman" w:hAnsi="Times New Roman"/>
                <w:bCs/>
                <w:color w:val="000000"/>
                <w:sz w:val="24"/>
                <w:szCs w:val="24"/>
              </w:rPr>
              <w:t xml:space="preserve"> są ekspozycjami</w:t>
            </w:r>
            <w:r w:rsidR="00835753" w:rsidRPr="00835753">
              <w:rPr>
                <w:rFonts w:ascii="Times New Roman" w:hAnsi="Times New Roman"/>
                <w:bCs/>
                <w:color w:val="000000"/>
                <w:sz w:val="24"/>
                <w:szCs w:val="24"/>
              </w:rPr>
              <w:t xml:space="preserve"> w</w:t>
            </w:r>
            <w:r w:rsidR="00835753">
              <w:rPr>
                <w:rFonts w:ascii="Times New Roman" w:hAnsi="Times New Roman"/>
                <w:bCs/>
                <w:color w:val="000000"/>
                <w:sz w:val="24"/>
                <w:szCs w:val="24"/>
              </w:rPr>
              <w:t> </w:t>
            </w:r>
            <w:r w:rsidR="00835753" w:rsidRPr="00835753">
              <w:rPr>
                <w:rFonts w:ascii="Times New Roman" w:hAnsi="Times New Roman"/>
                <w:bCs/>
                <w:color w:val="000000"/>
                <w:sz w:val="24"/>
                <w:szCs w:val="24"/>
              </w:rPr>
              <w:t>for</w:t>
            </w:r>
            <w:r w:rsidRPr="00835753">
              <w:rPr>
                <w:rFonts w:ascii="Times New Roman" w:hAnsi="Times New Roman"/>
                <w:bCs/>
                <w:color w:val="000000"/>
                <w:sz w:val="24"/>
                <w:szCs w:val="24"/>
              </w:rPr>
              <w:t>mie obligacji zabezpieczonych zgodnie</w:t>
            </w:r>
            <w:r w:rsidR="00835753" w:rsidRPr="00835753">
              <w:rPr>
                <w:rFonts w:ascii="Times New Roman" w:hAnsi="Times New Roman"/>
                <w:bCs/>
                <w:color w:val="000000"/>
                <w:sz w:val="24"/>
                <w:szCs w:val="24"/>
              </w:rPr>
              <w:t xml:space="preserve"> z</w:t>
            </w:r>
            <w:r w:rsidR="00835753">
              <w:rPr>
                <w:rFonts w:ascii="Times New Roman" w:hAnsi="Times New Roman"/>
                <w:bCs/>
                <w:color w:val="000000"/>
                <w:sz w:val="24"/>
                <w:szCs w:val="24"/>
              </w:rPr>
              <w:t> </w:t>
            </w:r>
            <w:r w:rsidR="00835753" w:rsidRPr="00835753">
              <w:rPr>
                <w:rFonts w:ascii="Times New Roman" w:hAnsi="Times New Roman"/>
                <w:bCs/>
                <w:color w:val="000000"/>
                <w:sz w:val="24"/>
                <w:szCs w:val="24"/>
              </w:rPr>
              <w:t>art</w:t>
            </w:r>
            <w:r w:rsidRPr="00835753">
              <w:rPr>
                <w:rFonts w:ascii="Times New Roman" w:hAnsi="Times New Roman"/>
                <w:bCs/>
                <w:color w:val="000000"/>
                <w:sz w:val="24"/>
                <w:szCs w:val="24"/>
              </w:rPr>
              <w:t>.</w:t>
            </w:r>
            <w:r w:rsidR="00835753" w:rsidRPr="00835753">
              <w:rPr>
                <w:rFonts w:ascii="Times New Roman" w:hAnsi="Times New Roman"/>
                <w:bCs/>
                <w:color w:val="000000"/>
                <w:sz w:val="24"/>
                <w:szCs w:val="24"/>
              </w:rPr>
              <w:t> </w:t>
            </w:r>
            <w:r w:rsidRPr="00835753">
              <w:rPr>
                <w:rFonts w:ascii="Times New Roman" w:hAnsi="Times New Roman"/>
                <w:bCs/>
                <w:color w:val="000000"/>
                <w:sz w:val="24"/>
                <w:szCs w:val="24"/>
              </w:rPr>
              <w:t>161 ust.</w:t>
            </w:r>
            <w:r w:rsidR="00835753" w:rsidRPr="00835753">
              <w:rPr>
                <w:rFonts w:ascii="Times New Roman" w:hAnsi="Times New Roman"/>
                <w:bCs/>
                <w:color w:val="000000"/>
                <w:sz w:val="24"/>
                <w:szCs w:val="24"/>
              </w:rPr>
              <w:t> </w:t>
            </w:r>
            <w:r w:rsidRPr="00835753">
              <w:rPr>
                <w:rFonts w:ascii="Times New Roman" w:hAnsi="Times New Roman"/>
                <w:bCs/>
                <w:color w:val="000000"/>
                <w:sz w:val="24"/>
                <w:szCs w:val="24"/>
              </w:rPr>
              <w:t>1 lit.</w:t>
            </w:r>
            <w:r w:rsidR="00835753" w:rsidRPr="00835753">
              <w:rPr>
                <w:rFonts w:ascii="Times New Roman" w:hAnsi="Times New Roman"/>
                <w:bCs/>
                <w:color w:val="000000"/>
                <w:sz w:val="24"/>
                <w:szCs w:val="24"/>
              </w:rPr>
              <w:t> </w:t>
            </w:r>
            <w:r w:rsidRPr="00835753">
              <w:rPr>
                <w:rFonts w:ascii="Times New Roman" w:hAnsi="Times New Roman"/>
                <w:bCs/>
                <w:color w:val="000000"/>
                <w:sz w:val="24"/>
                <w:szCs w:val="24"/>
              </w:rPr>
              <w:t>d) CRR oraz nie są objęte zakresem art.</w:t>
            </w:r>
            <w:r w:rsidR="00835753" w:rsidRPr="00835753">
              <w:rPr>
                <w:rFonts w:ascii="Times New Roman" w:hAnsi="Times New Roman"/>
                <w:bCs/>
                <w:color w:val="000000"/>
                <w:sz w:val="24"/>
                <w:szCs w:val="24"/>
              </w:rPr>
              <w:t> </w:t>
            </w:r>
            <w:r w:rsidRPr="00835753">
              <w:rPr>
                <w:rFonts w:ascii="Times New Roman" w:hAnsi="Times New Roman"/>
                <w:bCs/>
                <w:color w:val="000000"/>
                <w:sz w:val="24"/>
                <w:szCs w:val="24"/>
              </w:rPr>
              <w:t>147 ust.</w:t>
            </w:r>
            <w:r w:rsidR="00835753" w:rsidRPr="00835753">
              <w:rPr>
                <w:rFonts w:ascii="Times New Roman" w:hAnsi="Times New Roman"/>
                <w:bCs/>
                <w:color w:val="000000"/>
                <w:sz w:val="24"/>
                <w:szCs w:val="24"/>
              </w:rPr>
              <w:t> </w:t>
            </w:r>
            <w:r w:rsidRPr="00835753">
              <w:rPr>
                <w:rFonts w:ascii="Times New Roman" w:hAnsi="Times New Roman"/>
                <w:bCs/>
                <w:color w:val="000000"/>
                <w:sz w:val="24"/>
                <w:szCs w:val="24"/>
              </w:rPr>
              <w:t>4 lit.</w:t>
            </w:r>
            <w:r w:rsidR="00835753" w:rsidRPr="00835753">
              <w:rPr>
                <w:rFonts w:ascii="Times New Roman" w:hAnsi="Times New Roman"/>
                <w:bCs/>
                <w:color w:val="000000"/>
                <w:sz w:val="24"/>
                <w:szCs w:val="24"/>
              </w:rPr>
              <w:t> </w:t>
            </w:r>
            <w:r w:rsidRPr="00835753">
              <w:rPr>
                <w:rFonts w:ascii="Times New Roman" w:hAnsi="Times New Roman"/>
                <w:bCs/>
                <w:color w:val="000000"/>
                <w:sz w:val="24"/>
                <w:szCs w:val="24"/>
              </w:rPr>
              <w:t>a</w:t>
            </w:r>
            <w:proofErr w:type="gramStart"/>
            <w:r w:rsidRPr="00835753">
              <w:rPr>
                <w:rFonts w:ascii="Times New Roman" w:hAnsi="Times New Roman"/>
                <w:bCs/>
                <w:color w:val="000000"/>
                <w:sz w:val="24"/>
                <w:szCs w:val="24"/>
              </w:rPr>
              <w:t>)–c</w:t>
            </w:r>
            <w:proofErr w:type="gramEnd"/>
            <w:r w:rsidRPr="00835753">
              <w:rPr>
                <w:rFonts w:ascii="Times New Roman" w:hAnsi="Times New Roman"/>
                <w:bCs/>
                <w:color w:val="000000"/>
                <w:sz w:val="24"/>
                <w:szCs w:val="24"/>
              </w:rPr>
              <w:t>) CRR.</w:t>
            </w:r>
          </w:p>
          <w:p w14:paraId="10B72E22" w14:textId="19FC4C05" w:rsidR="000A7015" w:rsidRPr="00835753" w:rsidRDefault="000A7015" w:rsidP="001E06A3">
            <w:pPr>
              <w:pStyle w:val="BodyText1"/>
              <w:spacing w:after="120" w:line="240" w:lineRule="auto"/>
              <w:rPr>
                <w:rFonts w:ascii="Times New Roman" w:hAnsi="Times New Roman"/>
                <w:sz w:val="24"/>
                <w:szCs w:val="24"/>
              </w:rPr>
            </w:pPr>
            <w:r w:rsidRPr="00835753">
              <w:rPr>
                <w:rFonts w:ascii="Times New Roman" w:hAnsi="Times New Roman"/>
                <w:bCs/>
                <w:sz w:val="24"/>
                <w:szCs w:val="24"/>
              </w:rPr>
              <w:t>Instytucje ujawniają całkowitą ekspozycję pomniejszoną</w:t>
            </w:r>
            <w:r w:rsidR="00835753" w:rsidRPr="00835753">
              <w:rPr>
                <w:rFonts w:ascii="Times New Roman" w:hAnsi="Times New Roman"/>
                <w:bCs/>
                <w:sz w:val="24"/>
                <w:szCs w:val="24"/>
              </w:rPr>
              <w:t xml:space="preserve"> o</w:t>
            </w:r>
            <w:r w:rsidR="00835753">
              <w:rPr>
                <w:rFonts w:ascii="Times New Roman" w:hAnsi="Times New Roman"/>
                <w:bCs/>
                <w:sz w:val="24"/>
                <w:szCs w:val="24"/>
              </w:rPr>
              <w:t> </w:t>
            </w:r>
            <w:r w:rsidR="00835753" w:rsidRPr="00835753">
              <w:rPr>
                <w:rFonts w:ascii="Times New Roman" w:hAnsi="Times New Roman"/>
                <w:bCs/>
                <w:sz w:val="24"/>
                <w:szCs w:val="24"/>
              </w:rPr>
              <w:t>eks</w:t>
            </w:r>
            <w:r w:rsidRPr="00835753">
              <w:rPr>
                <w:rFonts w:ascii="Times New Roman" w:hAnsi="Times New Roman"/>
                <w:bCs/>
                <w:sz w:val="24"/>
                <w:szCs w:val="24"/>
              </w:rPr>
              <w:t>pozycje, których dotyczy niewykonanie zobowiązania.</w:t>
            </w:r>
          </w:p>
        </w:tc>
      </w:tr>
      <w:tr w:rsidR="000A7015" w:rsidRPr="00835753" w14:paraId="3520CAE1" w14:textId="77777777" w:rsidTr="001E06A3">
        <w:trPr>
          <w:trHeight w:val="2265"/>
        </w:trPr>
        <w:tc>
          <w:tcPr>
            <w:tcW w:w="1384" w:type="dxa"/>
            <w:vAlign w:val="center"/>
          </w:tcPr>
          <w:p w14:paraId="4285FF96"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EU-8</w:t>
            </w:r>
          </w:p>
        </w:tc>
        <w:tc>
          <w:tcPr>
            <w:tcW w:w="7655" w:type="dxa"/>
          </w:tcPr>
          <w:p w14:paraId="29AAF263"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Ekspozycje zabezpieczone hipotekami na nieruchomościach</w:t>
            </w:r>
          </w:p>
          <w:p w14:paraId="1E219217" w14:textId="12AA2155"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sz w:val="24"/>
                <w:szCs w:val="24"/>
              </w:rPr>
              <w:t>Instytucje ujawniają sumę ekspozycji będącą wartością ekspozycji aktywów, które są ekspozycjami zabezpieczonymi hipotekami na nieruchomościach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124 CRR</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prz</w:t>
            </w:r>
            <w:r w:rsidRPr="00835753">
              <w:rPr>
                <w:rFonts w:ascii="Times New Roman" w:hAnsi="Times New Roman"/>
                <w:bCs/>
                <w:sz w:val="24"/>
                <w:szCs w:val="24"/>
              </w:rPr>
              <w:t>ypadku ekspozycji według metody standardowej</w:t>
            </w:r>
            <w:r w:rsidR="00835753" w:rsidRPr="00835753">
              <w:rPr>
                <w:rFonts w:ascii="Times New Roman" w:hAnsi="Times New Roman"/>
                <w:bCs/>
                <w:sz w:val="24"/>
                <w:szCs w:val="24"/>
              </w:rPr>
              <w:t xml:space="preserve"> i</w:t>
            </w:r>
            <w:r w:rsidR="00835753">
              <w:rPr>
                <w:rFonts w:ascii="Times New Roman" w:hAnsi="Times New Roman"/>
                <w:bCs/>
                <w:sz w:val="24"/>
                <w:szCs w:val="24"/>
              </w:rPr>
              <w:t> </w:t>
            </w:r>
            <w:r w:rsidR="00835753" w:rsidRPr="00835753">
              <w:rPr>
                <w:rFonts w:ascii="Times New Roman" w:hAnsi="Times New Roman"/>
                <w:bCs/>
                <w:sz w:val="24"/>
                <w:szCs w:val="24"/>
              </w:rPr>
              <w:t>któ</w:t>
            </w:r>
            <w:r w:rsidRPr="00835753">
              <w:rPr>
                <w:rFonts w:ascii="Times New Roman" w:hAnsi="Times New Roman"/>
                <w:bCs/>
                <w:sz w:val="24"/>
                <w:szCs w:val="24"/>
              </w:rPr>
              <w:t>re są ekspozycjami wobec przedsiębiorstw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147 ust.</w:t>
            </w:r>
            <w:r w:rsidR="00835753" w:rsidRPr="00835753">
              <w:rPr>
                <w:rFonts w:ascii="Times New Roman" w:hAnsi="Times New Roman"/>
                <w:bCs/>
                <w:sz w:val="24"/>
                <w:szCs w:val="24"/>
              </w:rPr>
              <w:t> </w:t>
            </w:r>
            <w:r w:rsidRPr="00835753">
              <w:rPr>
                <w:rFonts w:ascii="Times New Roman" w:hAnsi="Times New Roman"/>
                <w:bCs/>
                <w:sz w:val="24"/>
                <w:szCs w:val="24"/>
              </w:rPr>
              <w:t>2 lit.</w:t>
            </w:r>
            <w:r w:rsidR="00835753" w:rsidRPr="00835753">
              <w:rPr>
                <w:rFonts w:ascii="Times New Roman" w:hAnsi="Times New Roman"/>
                <w:bCs/>
                <w:sz w:val="24"/>
                <w:szCs w:val="24"/>
              </w:rPr>
              <w:t> </w:t>
            </w:r>
            <w:r w:rsidRPr="00835753">
              <w:rPr>
                <w:rFonts w:ascii="Times New Roman" w:hAnsi="Times New Roman"/>
                <w:bCs/>
                <w:sz w:val="24"/>
                <w:szCs w:val="24"/>
              </w:rPr>
              <w:t>c) CRR lub ekspozycjami detalicznymi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147 ust.</w:t>
            </w:r>
            <w:r w:rsidR="00835753" w:rsidRPr="00835753">
              <w:rPr>
                <w:rFonts w:ascii="Times New Roman" w:hAnsi="Times New Roman"/>
                <w:bCs/>
                <w:sz w:val="24"/>
                <w:szCs w:val="24"/>
              </w:rPr>
              <w:t> </w:t>
            </w:r>
            <w:r w:rsidRPr="00835753">
              <w:rPr>
                <w:rFonts w:ascii="Times New Roman" w:hAnsi="Times New Roman"/>
                <w:bCs/>
                <w:sz w:val="24"/>
                <w:szCs w:val="24"/>
              </w:rPr>
              <w:t>2 lit.</w:t>
            </w:r>
            <w:r w:rsidR="00835753" w:rsidRPr="00835753">
              <w:rPr>
                <w:rFonts w:ascii="Times New Roman" w:hAnsi="Times New Roman"/>
                <w:bCs/>
                <w:sz w:val="24"/>
                <w:szCs w:val="24"/>
              </w:rPr>
              <w:t> </w:t>
            </w:r>
            <w:r w:rsidRPr="00835753">
              <w:rPr>
                <w:rFonts w:ascii="Times New Roman" w:hAnsi="Times New Roman"/>
                <w:bCs/>
                <w:sz w:val="24"/>
                <w:szCs w:val="24"/>
              </w:rPr>
              <w:t>d) CRR, jeżeli takie ekspozycje są zabezpieczone hipotekami na nieruchomościach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199 ust.</w:t>
            </w:r>
            <w:r w:rsidR="00835753" w:rsidRPr="00835753">
              <w:rPr>
                <w:rFonts w:ascii="Times New Roman" w:hAnsi="Times New Roman"/>
                <w:bCs/>
                <w:sz w:val="24"/>
                <w:szCs w:val="24"/>
              </w:rPr>
              <w:t> </w:t>
            </w:r>
            <w:r w:rsidRPr="00835753">
              <w:rPr>
                <w:rFonts w:ascii="Times New Roman" w:hAnsi="Times New Roman"/>
                <w:bCs/>
                <w:sz w:val="24"/>
                <w:szCs w:val="24"/>
              </w:rPr>
              <w:t>1 lit.</w:t>
            </w:r>
            <w:r w:rsidR="00835753" w:rsidRPr="00835753">
              <w:rPr>
                <w:rFonts w:ascii="Times New Roman" w:hAnsi="Times New Roman"/>
                <w:bCs/>
                <w:sz w:val="24"/>
                <w:szCs w:val="24"/>
              </w:rPr>
              <w:t> </w:t>
            </w:r>
            <w:r w:rsidRPr="00835753">
              <w:rPr>
                <w:rFonts w:ascii="Times New Roman" w:hAnsi="Times New Roman"/>
                <w:bCs/>
                <w:sz w:val="24"/>
                <w:szCs w:val="24"/>
              </w:rPr>
              <w:t>a) CRR</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prz</w:t>
            </w:r>
            <w:r w:rsidRPr="00835753">
              <w:rPr>
                <w:rFonts w:ascii="Times New Roman" w:hAnsi="Times New Roman"/>
                <w:bCs/>
                <w:sz w:val="24"/>
                <w:szCs w:val="24"/>
              </w:rPr>
              <w:t xml:space="preserve">ypadku ekspozycji według metody IRB. </w:t>
            </w:r>
          </w:p>
          <w:p w14:paraId="08EE32D5" w14:textId="00605A04"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bCs/>
                <w:sz w:val="24"/>
                <w:szCs w:val="24"/>
              </w:rPr>
              <w:lastRenderedPageBreak/>
              <w:t>Instytucje ujawniają całkowitą ekspozycję pomniejszoną</w:t>
            </w:r>
            <w:r w:rsidR="00835753" w:rsidRPr="00835753">
              <w:rPr>
                <w:rFonts w:ascii="Times New Roman" w:hAnsi="Times New Roman"/>
                <w:bCs/>
                <w:sz w:val="24"/>
                <w:szCs w:val="24"/>
              </w:rPr>
              <w:t xml:space="preserve"> o</w:t>
            </w:r>
            <w:r w:rsidR="00835753">
              <w:rPr>
                <w:rFonts w:ascii="Times New Roman" w:hAnsi="Times New Roman"/>
                <w:bCs/>
                <w:sz w:val="24"/>
                <w:szCs w:val="24"/>
              </w:rPr>
              <w:t> </w:t>
            </w:r>
            <w:r w:rsidR="00835753" w:rsidRPr="00835753">
              <w:rPr>
                <w:rFonts w:ascii="Times New Roman" w:hAnsi="Times New Roman"/>
                <w:bCs/>
                <w:sz w:val="24"/>
                <w:szCs w:val="24"/>
              </w:rPr>
              <w:t>eks</w:t>
            </w:r>
            <w:r w:rsidRPr="00835753">
              <w:rPr>
                <w:rFonts w:ascii="Times New Roman" w:hAnsi="Times New Roman"/>
                <w:bCs/>
                <w:sz w:val="24"/>
                <w:szCs w:val="24"/>
              </w:rPr>
              <w:t>pozycje, których dotyczy niewykonanie zobowiązania.</w:t>
            </w:r>
          </w:p>
        </w:tc>
      </w:tr>
      <w:tr w:rsidR="000A7015" w:rsidRPr="00835753" w14:paraId="62D9CA39" w14:textId="77777777" w:rsidTr="001E06A3">
        <w:trPr>
          <w:trHeight w:val="2265"/>
        </w:trPr>
        <w:tc>
          <w:tcPr>
            <w:tcW w:w="1384" w:type="dxa"/>
            <w:vAlign w:val="center"/>
          </w:tcPr>
          <w:p w14:paraId="4613E7BD"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EU-9</w:t>
            </w:r>
          </w:p>
        </w:tc>
        <w:tc>
          <w:tcPr>
            <w:tcW w:w="7655" w:type="dxa"/>
          </w:tcPr>
          <w:p w14:paraId="04AE1AE0"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Ekspozycje detaliczne</w:t>
            </w:r>
          </w:p>
          <w:p w14:paraId="2649B55B" w14:textId="477B0765"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sz w:val="24"/>
                <w:szCs w:val="24"/>
              </w:rPr>
              <w:t>Instytucje ujawniają sumę ekspozycji będącą całkowitą wartością ekspozycji aktywów, które są ekspozycjami detalicznymi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123 CRR</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prz</w:t>
            </w:r>
            <w:r w:rsidRPr="00835753">
              <w:rPr>
                <w:rFonts w:ascii="Times New Roman" w:hAnsi="Times New Roman"/>
                <w:bCs/>
                <w:sz w:val="24"/>
                <w:szCs w:val="24"/>
              </w:rPr>
              <w:t>ypadku ekspozycji według metody standardowej</w:t>
            </w:r>
            <w:r w:rsidR="00835753" w:rsidRPr="00835753">
              <w:rPr>
                <w:rFonts w:ascii="Times New Roman" w:hAnsi="Times New Roman"/>
                <w:bCs/>
                <w:sz w:val="24"/>
                <w:szCs w:val="24"/>
              </w:rPr>
              <w:t xml:space="preserve"> i</w:t>
            </w:r>
            <w:r w:rsidR="00835753">
              <w:rPr>
                <w:rFonts w:ascii="Times New Roman" w:hAnsi="Times New Roman"/>
                <w:bCs/>
                <w:sz w:val="24"/>
                <w:szCs w:val="24"/>
              </w:rPr>
              <w:t> </w:t>
            </w:r>
            <w:r w:rsidR="00835753" w:rsidRPr="00835753">
              <w:rPr>
                <w:rFonts w:ascii="Times New Roman" w:hAnsi="Times New Roman"/>
                <w:bCs/>
                <w:sz w:val="24"/>
                <w:szCs w:val="24"/>
              </w:rPr>
              <w:t>któ</w:t>
            </w:r>
            <w:r w:rsidRPr="00835753">
              <w:rPr>
                <w:rFonts w:ascii="Times New Roman" w:hAnsi="Times New Roman"/>
                <w:bCs/>
                <w:sz w:val="24"/>
                <w:szCs w:val="24"/>
              </w:rPr>
              <w:t>re są ekspozycjami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147 ust.</w:t>
            </w:r>
            <w:r w:rsidR="00835753" w:rsidRPr="00835753">
              <w:rPr>
                <w:rFonts w:ascii="Times New Roman" w:hAnsi="Times New Roman"/>
                <w:bCs/>
                <w:sz w:val="24"/>
                <w:szCs w:val="24"/>
              </w:rPr>
              <w:t> </w:t>
            </w:r>
            <w:r w:rsidRPr="00835753">
              <w:rPr>
                <w:rFonts w:ascii="Times New Roman" w:hAnsi="Times New Roman"/>
                <w:bCs/>
                <w:sz w:val="24"/>
                <w:szCs w:val="24"/>
              </w:rPr>
              <w:t>2 lit.</w:t>
            </w:r>
            <w:r w:rsidR="00835753" w:rsidRPr="00835753">
              <w:rPr>
                <w:rFonts w:ascii="Times New Roman" w:hAnsi="Times New Roman"/>
                <w:bCs/>
                <w:sz w:val="24"/>
                <w:szCs w:val="24"/>
              </w:rPr>
              <w:t> </w:t>
            </w:r>
            <w:r w:rsidRPr="00835753">
              <w:rPr>
                <w:rFonts w:ascii="Times New Roman" w:hAnsi="Times New Roman"/>
                <w:bCs/>
                <w:sz w:val="24"/>
                <w:szCs w:val="24"/>
              </w:rPr>
              <w:t xml:space="preserve">d), jeżeli takie ekspozycje </w:t>
            </w:r>
            <w:r w:rsidRPr="00835753">
              <w:rPr>
                <w:rFonts w:ascii="Times New Roman" w:hAnsi="Times New Roman"/>
                <w:b/>
                <w:bCs/>
                <w:sz w:val="24"/>
                <w:szCs w:val="24"/>
                <w:u w:val="single"/>
              </w:rPr>
              <w:t>nie</w:t>
            </w:r>
            <w:r w:rsidRPr="00835753">
              <w:rPr>
                <w:rFonts w:ascii="Times New Roman" w:hAnsi="Times New Roman"/>
                <w:bCs/>
                <w:sz w:val="24"/>
                <w:szCs w:val="24"/>
              </w:rPr>
              <w:t xml:space="preserve"> są zabezpieczone hipotekami na nieruchomościach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199 ust.</w:t>
            </w:r>
            <w:r w:rsidR="00835753" w:rsidRPr="00835753">
              <w:rPr>
                <w:rFonts w:ascii="Times New Roman" w:hAnsi="Times New Roman"/>
                <w:bCs/>
                <w:sz w:val="24"/>
                <w:szCs w:val="24"/>
              </w:rPr>
              <w:t> </w:t>
            </w:r>
            <w:r w:rsidRPr="00835753">
              <w:rPr>
                <w:rFonts w:ascii="Times New Roman" w:hAnsi="Times New Roman"/>
                <w:bCs/>
                <w:sz w:val="24"/>
                <w:szCs w:val="24"/>
              </w:rPr>
              <w:t>1 lit.</w:t>
            </w:r>
            <w:r w:rsidR="00835753" w:rsidRPr="00835753">
              <w:rPr>
                <w:rFonts w:ascii="Times New Roman" w:hAnsi="Times New Roman"/>
                <w:bCs/>
                <w:sz w:val="24"/>
                <w:szCs w:val="24"/>
              </w:rPr>
              <w:t> </w:t>
            </w:r>
            <w:r w:rsidRPr="00835753">
              <w:rPr>
                <w:rFonts w:ascii="Times New Roman" w:hAnsi="Times New Roman"/>
                <w:bCs/>
                <w:sz w:val="24"/>
                <w:szCs w:val="24"/>
              </w:rPr>
              <w:t>a) CRR –</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prz</w:t>
            </w:r>
            <w:r w:rsidRPr="00835753">
              <w:rPr>
                <w:rFonts w:ascii="Times New Roman" w:hAnsi="Times New Roman"/>
                <w:bCs/>
                <w:sz w:val="24"/>
                <w:szCs w:val="24"/>
              </w:rPr>
              <w:t xml:space="preserve">ypadku ekspozycji według metody IRB. </w:t>
            </w:r>
          </w:p>
          <w:p w14:paraId="74BF1D73" w14:textId="4BB84196"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bCs/>
                <w:sz w:val="24"/>
                <w:szCs w:val="24"/>
              </w:rPr>
              <w:t>Instytucje ujawniają całkowitą ekspozycję pomniejszoną</w:t>
            </w:r>
            <w:r w:rsidR="00835753" w:rsidRPr="00835753">
              <w:rPr>
                <w:rFonts w:ascii="Times New Roman" w:hAnsi="Times New Roman"/>
                <w:bCs/>
                <w:sz w:val="24"/>
                <w:szCs w:val="24"/>
              </w:rPr>
              <w:t xml:space="preserve"> o</w:t>
            </w:r>
            <w:r w:rsidR="00835753">
              <w:rPr>
                <w:rFonts w:ascii="Times New Roman" w:hAnsi="Times New Roman"/>
                <w:bCs/>
                <w:sz w:val="24"/>
                <w:szCs w:val="24"/>
              </w:rPr>
              <w:t> </w:t>
            </w:r>
            <w:r w:rsidR="00835753" w:rsidRPr="00835753">
              <w:rPr>
                <w:rFonts w:ascii="Times New Roman" w:hAnsi="Times New Roman"/>
                <w:bCs/>
                <w:sz w:val="24"/>
                <w:szCs w:val="24"/>
              </w:rPr>
              <w:t>eks</w:t>
            </w:r>
            <w:r w:rsidRPr="00835753">
              <w:rPr>
                <w:rFonts w:ascii="Times New Roman" w:hAnsi="Times New Roman"/>
                <w:bCs/>
                <w:sz w:val="24"/>
                <w:szCs w:val="24"/>
              </w:rPr>
              <w:t>pozycje, których dotyczy niewykonanie zobowiązania.</w:t>
            </w:r>
          </w:p>
        </w:tc>
      </w:tr>
      <w:tr w:rsidR="000A7015" w:rsidRPr="00835753" w14:paraId="5B74D3C4" w14:textId="77777777" w:rsidTr="001E06A3">
        <w:trPr>
          <w:trHeight w:val="625"/>
        </w:trPr>
        <w:tc>
          <w:tcPr>
            <w:tcW w:w="1384" w:type="dxa"/>
            <w:vAlign w:val="center"/>
          </w:tcPr>
          <w:p w14:paraId="582FD9E0"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EU-10</w:t>
            </w:r>
          </w:p>
        </w:tc>
        <w:tc>
          <w:tcPr>
            <w:tcW w:w="7655" w:type="dxa"/>
          </w:tcPr>
          <w:p w14:paraId="3EC6592A"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Ekspozycje wobec przedsiębiorstw</w:t>
            </w:r>
          </w:p>
          <w:p w14:paraId="5A578496" w14:textId="4FCC186C" w:rsidR="000A7015" w:rsidRPr="00835753"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sidRPr="00835753">
              <w:rPr>
                <w:rFonts w:ascii="Times New Roman" w:hAnsi="Times New Roman"/>
                <w:sz w:val="24"/>
                <w:szCs w:val="24"/>
              </w:rPr>
              <w:t>Instytucje ujawniają sumę ekspozycji, która jest całkowitą wartością ekspozycji aktywów stanowiących ekspozycję wobec przedsiębiorstw (tj. finansową</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nie</w:t>
            </w:r>
            <w:r w:rsidRPr="00835753">
              <w:rPr>
                <w:rFonts w:ascii="Times New Roman" w:hAnsi="Times New Roman"/>
                <w:sz w:val="24"/>
                <w:szCs w:val="24"/>
              </w:rPr>
              <w:t>finansową)</w:t>
            </w:r>
            <w:r w:rsidR="00835753" w:rsidRPr="00835753">
              <w:rPr>
                <w:rFonts w:ascii="Times New Roman" w:hAnsi="Times New Roman"/>
                <w:sz w:val="24"/>
                <w:szCs w:val="24"/>
              </w:rPr>
              <w:t>.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 xml:space="preserve">ypadku ekspozycji według metody standardowej </w:t>
            </w:r>
            <w:r w:rsidRPr="00835753">
              <w:rPr>
                <w:rFonts w:ascii="Times New Roman" w:hAnsi="Times New Roman"/>
                <w:bCs/>
                <w:sz w:val="24"/>
                <w:szCs w:val="24"/>
              </w:rPr>
              <w:t>są to ekspozycje wobec przedsiębiorstw, które są objęte zakresem art.</w:t>
            </w:r>
            <w:r w:rsidR="00835753" w:rsidRPr="00835753">
              <w:rPr>
                <w:rFonts w:ascii="Times New Roman" w:hAnsi="Times New Roman"/>
                <w:bCs/>
                <w:sz w:val="24"/>
                <w:szCs w:val="24"/>
              </w:rPr>
              <w:t> </w:t>
            </w:r>
            <w:r w:rsidRPr="00835753">
              <w:rPr>
                <w:rFonts w:ascii="Times New Roman" w:hAnsi="Times New Roman"/>
                <w:bCs/>
                <w:sz w:val="24"/>
                <w:szCs w:val="24"/>
              </w:rPr>
              <w:t>122 CRR,</w:t>
            </w:r>
            <w:r w:rsidR="00835753" w:rsidRPr="00835753">
              <w:rPr>
                <w:rFonts w:ascii="Times New Roman" w:hAnsi="Times New Roman"/>
                <w:bCs/>
                <w:sz w:val="24"/>
                <w:szCs w:val="24"/>
              </w:rPr>
              <w:t xml:space="preserve"> a</w:t>
            </w:r>
            <w:r w:rsidR="00835753">
              <w:rPr>
                <w:rFonts w:ascii="Times New Roman" w:hAnsi="Times New Roman"/>
                <w:bCs/>
                <w:sz w:val="24"/>
                <w:szCs w:val="24"/>
              </w:rPr>
              <w:t> </w:t>
            </w:r>
            <w:r w:rsidR="00835753" w:rsidRPr="00835753">
              <w:rPr>
                <w:rFonts w:ascii="Times New Roman" w:hAnsi="Times New Roman"/>
                <w:bCs/>
                <w:sz w:val="24"/>
                <w:szCs w:val="24"/>
              </w:rPr>
              <w:t>w</w:t>
            </w:r>
            <w:r w:rsidR="00835753">
              <w:rPr>
                <w:rFonts w:ascii="Times New Roman" w:hAnsi="Times New Roman"/>
                <w:bCs/>
                <w:sz w:val="24"/>
                <w:szCs w:val="24"/>
              </w:rPr>
              <w:t> </w:t>
            </w:r>
            <w:r w:rsidR="00835753" w:rsidRPr="00835753">
              <w:rPr>
                <w:rFonts w:ascii="Times New Roman" w:hAnsi="Times New Roman"/>
                <w:bCs/>
                <w:sz w:val="24"/>
                <w:szCs w:val="24"/>
              </w:rPr>
              <w:t>prz</w:t>
            </w:r>
            <w:r w:rsidRPr="00835753">
              <w:rPr>
                <w:rFonts w:ascii="Times New Roman" w:hAnsi="Times New Roman"/>
                <w:bCs/>
                <w:sz w:val="24"/>
                <w:szCs w:val="24"/>
              </w:rPr>
              <w:t>ypadku ekspozycji według metody IRB – są to ekspozycje wobec przedsiębiorstw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147 ust.</w:t>
            </w:r>
            <w:r w:rsidR="00835753" w:rsidRPr="00835753">
              <w:rPr>
                <w:rFonts w:ascii="Times New Roman" w:hAnsi="Times New Roman"/>
                <w:bCs/>
                <w:sz w:val="24"/>
                <w:szCs w:val="24"/>
              </w:rPr>
              <w:t> </w:t>
            </w:r>
            <w:r w:rsidRPr="00835753">
              <w:rPr>
                <w:rFonts w:ascii="Times New Roman" w:hAnsi="Times New Roman"/>
                <w:bCs/>
                <w:sz w:val="24"/>
                <w:szCs w:val="24"/>
              </w:rPr>
              <w:t>2 lit.</w:t>
            </w:r>
            <w:r w:rsidR="00835753" w:rsidRPr="00835753">
              <w:rPr>
                <w:rFonts w:ascii="Times New Roman" w:hAnsi="Times New Roman"/>
                <w:bCs/>
                <w:sz w:val="24"/>
                <w:szCs w:val="24"/>
              </w:rPr>
              <w:t> </w:t>
            </w:r>
            <w:r w:rsidRPr="00835753">
              <w:rPr>
                <w:rFonts w:ascii="Times New Roman" w:hAnsi="Times New Roman"/>
                <w:bCs/>
                <w:sz w:val="24"/>
                <w:szCs w:val="24"/>
              </w:rPr>
              <w:t xml:space="preserve">c) CRR, jeżeli ekspozycje te </w:t>
            </w:r>
            <w:r w:rsidRPr="00835753">
              <w:rPr>
                <w:rFonts w:ascii="Times New Roman" w:hAnsi="Times New Roman"/>
                <w:b/>
                <w:bCs/>
                <w:sz w:val="24"/>
                <w:szCs w:val="24"/>
                <w:u w:val="single"/>
              </w:rPr>
              <w:t>nie</w:t>
            </w:r>
            <w:r w:rsidRPr="00835753">
              <w:rPr>
                <w:rFonts w:ascii="Times New Roman" w:hAnsi="Times New Roman"/>
                <w:bCs/>
                <w:sz w:val="24"/>
                <w:szCs w:val="24"/>
              </w:rPr>
              <w:t xml:space="preserve"> są zabezpieczone hipotekami na nieruchomościach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199 ust.</w:t>
            </w:r>
            <w:r w:rsidR="00835753" w:rsidRPr="00835753">
              <w:rPr>
                <w:rFonts w:ascii="Times New Roman" w:hAnsi="Times New Roman"/>
                <w:bCs/>
                <w:sz w:val="24"/>
                <w:szCs w:val="24"/>
              </w:rPr>
              <w:t> </w:t>
            </w:r>
            <w:r w:rsidRPr="00835753">
              <w:rPr>
                <w:rFonts w:ascii="Times New Roman" w:hAnsi="Times New Roman"/>
                <w:bCs/>
                <w:sz w:val="24"/>
                <w:szCs w:val="24"/>
              </w:rPr>
              <w:t>1 lit.</w:t>
            </w:r>
            <w:r w:rsidR="00835753" w:rsidRPr="00835753">
              <w:rPr>
                <w:rFonts w:ascii="Times New Roman" w:hAnsi="Times New Roman"/>
                <w:bCs/>
                <w:sz w:val="24"/>
                <w:szCs w:val="24"/>
              </w:rPr>
              <w:t> </w:t>
            </w:r>
            <w:r w:rsidRPr="00835753">
              <w:rPr>
                <w:rFonts w:ascii="Times New Roman" w:hAnsi="Times New Roman"/>
                <w:bCs/>
                <w:sz w:val="24"/>
                <w:szCs w:val="24"/>
              </w:rPr>
              <w:t>a) CRR.</w:t>
            </w:r>
          </w:p>
          <w:p w14:paraId="6A8650A5" w14:textId="35717FA5" w:rsidR="000A7015" w:rsidRPr="00835753"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sidRPr="00835753">
              <w:rPr>
                <w:rFonts w:ascii="Times New Roman" w:hAnsi="Times New Roman"/>
                <w:bCs/>
                <w:sz w:val="24"/>
                <w:szCs w:val="24"/>
              </w:rPr>
              <w:t>Przedsiębiorstwa finansowe oznaczają regulowane</w:t>
            </w:r>
            <w:r w:rsidR="00835753" w:rsidRPr="00835753">
              <w:rPr>
                <w:rFonts w:ascii="Times New Roman" w:hAnsi="Times New Roman"/>
                <w:bCs/>
                <w:sz w:val="24"/>
                <w:szCs w:val="24"/>
              </w:rPr>
              <w:t xml:space="preserve"> i</w:t>
            </w:r>
            <w:r w:rsidR="00835753">
              <w:rPr>
                <w:rFonts w:ascii="Times New Roman" w:hAnsi="Times New Roman"/>
                <w:bCs/>
                <w:sz w:val="24"/>
                <w:szCs w:val="24"/>
              </w:rPr>
              <w:t> </w:t>
            </w:r>
            <w:r w:rsidR="00835753" w:rsidRPr="00835753">
              <w:rPr>
                <w:rFonts w:ascii="Times New Roman" w:hAnsi="Times New Roman"/>
                <w:bCs/>
                <w:sz w:val="24"/>
                <w:szCs w:val="24"/>
              </w:rPr>
              <w:t>nie</w:t>
            </w:r>
            <w:r w:rsidRPr="00835753">
              <w:rPr>
                <w:rFonts w:ascii="Times New Roman" w:hAnsi="Times New Roman"/>
                <w:bCs/>
                <w:sz w:val="24"/>
                <w:szCs w:val="24"/>
              </w:rPr>
              <w:t>regulowane przedsiębiorstwa inne niż instytucje,</w:t>
            </w:r>
            <w:r w:rsidR="00835753" w:rsidRPr="00835753">
              <w:rPr>
                <w:rFonts w:ascii="Times New Roman" w:hAnsi="Times New Roman"/>
                <w:bCs/>
                <w:sz w:val="24"/>
                <w:szCs w:val="24"/>
              </w:rPr>
              <w:t xml:space="preserve"> o</w:t>
            </w:r>
            <w:r w:rsidR="00835753">
              <w:rPr>
                <w:rFonts w:ascii="Times New Roman" w:hAnsi="Times New Roman"/>
                <w:bCs/>
                <w:sz w:val="24"/>
                <w:szCs w:val="24"/>
              </w:rPr>
              <w:t> </w:t>
            </w:r>
            <w:r w:rsidR="00835753" w:rsidRPr="00835753">
              <w:rPr>
                <w:rFonts w:ascii="Times New Roman" w:hAnsi="Times New Roman"/>
                <w:bCs/>
                <w:sz w:val="24"/>
                <w:szCs w:val="24"/>
              </w:rPr>
              <w:t>któ</w:t>
            </w:r>
            <w:r w:rsidRPr="00835753">
              <w:rPr>
                <w:rFonts w:ascii="Times New Roman" w:hAnsi="Times New Roman"/>
                <w:bCs/>
                <w:sz w:val="24"/>
                <w:szCs w:val="24"/>
              </w:rPr>
              <w:t>rych mowa</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wie</w:t>
            </w:r>
            <w:r w:rsidRPr="00835753">
              <w:rPr>
                <w:rFonts w:ascii="Times New Roman" w:hAnsi="Times New Roman"/>
                <w:bCs/>
                <w:sz w:val="24"/>
                <w:szCs w:val="24"/>
              </w:rPr>
              <w:t>rszu EU-7 niniejszego wzoru, których podstawową działalnością jest nabywanie pakietów akcji lub wykonywanie co najmniej jednego spośród rodzajów działalności wymienionych</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zał</w:t>
            </w:r>
            <w:r w:rsidRPr="00835753">
              <w:rPr>
                <w:rFonts w:ascii="Times New Roman" w:hAnsi="Times New Roman"/>
                <w:bCs/>
                <w:sz w:val="24"/>
                <w:szCs w:val="24"/>
              </w:rPr>
              <w:t>ączniku I do CRD,</w:t>
            </w:r>
            <w:r w:rsidR="00835753" w:rsidRPr="00835753">
              <w:rPr>
                <w:rFonts w:ascii="Times New Roman" w:hAnsi="Times New Roman"/>
                <w:bCs/>
                <w:sz w:val="24"/>
                <w:szCs w:val="24"/>
              </w:rPr>
              <w:t xml:space="preserve"> a</w:t>
            </w:r>
            <w:r w:rsidR="00835753">
              <w:rPr>
                <w:rFonts w:ascii="Times New Roman" w:hAnsi="Times New Roman"/>
                <w:bCs/>
                <w:sz w:val="24"/>
                <w:szCs w:val="24"/>
              </w:rPr>
              <w:t> </w:t>
            </w:r>
            <w:r w:rsidR="00835753" w:rsidRPr="00835753">
              <w:rPr>
                <w:rFonts w:ascii="Times New Roman" w:hAnsi="Times New Roman"/>
                <w:bCs/>
                <w:sz w:val="24"/>
                <w:szCs w:val="24"/>
              </w:rPr>
              <w:t>tak</w:t>
            </w:r>
            <w:r w:rsidRPr="00835753">
              <w:rPr>
                <w:rFonts w:ascii="Times New Roman" w:hAnsi="Times New Roman"/>
                <w:bCs/>
                <w:sz w:val="24"/>
                <w:szCs w:val="24"/>
              </w:rPr>
              <w:t>że przedsiębiorstwa zdefiniowane</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4 ust.</w:t>
            </w:r>
            <w:r w:rsidR="00835753" w:rsidRPr="00835753">
              <w:rPr>
                <w:rFonts w:ascii="Times New Roman" w:hAnsi="Times New Roman"/>
                <w:bCs/>
                <w:sz w:val="24"/>
                <w:szCs w:val="24"/>
              </w:rPr>
              <w:t> </w:t>
            </w:r>
            <w:r w:rsidRPr="00835753">
              <w:rPr>
                <w:rFonts w:ascii="Times New Roman" w:hAnsi="Times New Roman"/>
                <w:bCs/>
                <w:sz w:val="24"/>
                <w:szCs w:val="24"/>
              </w:rPr>
              <w:t>1 pkt</w:t>
            </w:r>
            <w:r w:rsidR="00835753" w:rsidRPr="00835753">
              <w:rPr>
                <w:rFonts w:ascii="Times New Roman" w:hAnsi="Times New Roman"/>
                <w:bCs/>
                <w:sz w:val="24"/>
                <w:szCs w:val="24"/>
              </w:rPr>
              <w:t> </w:t>
            </w:r>
            <w:r w:rsidRPr="00835753">
              <w:rPr>
                <w:rFonts w:ascii="Times New Roman" w:hAnsi="Times New Roman"/>
                <w:bCs/>
                <w:sz w:val="24"/>
                <w:szCs w:val="24"/>
              </w:rPr>
              <w:t>27 CRR, inne niż instytucje,</w:t>
            </w:r>
            <w:r w:rsidR="00835753" w:rsidRPr="00835753">
              <w:rPr>
                <w:rFonts w:ascii="Times New Roman" w:hAnsi="Times New Roman"/>
                <w:bCs/>
                <w:sz w:val="24"/>
                <w:szCs w:val="24"/>
              </w:rPr>
              <w:t xml:space="preserve"> o</w:t>
            </w:r>
            <w:r w:rsidR="00835753">
              <w:rPr>
                <w:rFonts w:ascii="Times New Roman" w:hAnsi="Times New Roman"/>
                <w:bCs/>
                <w:sz w:val="24"/>
                <w:szCs w:val="24"/>
              </w:rPr>
              <w:t> </w:t>
            </w:r>
            <w:r w:rsidR="00835753" w:rsidRPr="00835753">
              <w:rPr>
                <w:rFonts w:ascii="Times New Roman" w:hAnsi="Times New Roman"/>
                <w:bCs/>
                <w:sz w:val="24"/>
                <w:szCs w:val="24"/>
              </w:rPr>
              <w:t>któ</w:t>
            </w:r>
            <w:r w:rsidRPr="00835753">
              <w:rPr>
                <w:rFonts w:ascii="Times New Roman" w:hAnsi="Times New Roman"/>
                <w:bCs/>
                <w:sz w:val="24"/>
                <w:szCs w:val="24"/>
              </w:rPr>
              <w:t>rych mowa</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wie</w:t>
            </w:r>
            <w:r w:rsidRPr="00835753">
              <w:rPr>
                <w:rFonts w:ascii="Times New Roman" w:hAnsi="Times New Roman"/>
                <w:bCs/>
                <w:sz w:val="24"/>
                <w:szCs w:val="24"/>
              </w:rPr>
              <w:t>rszu EU-7 niniejszego wzoru.</w:t>
            </w:r>
          </w:p>
          <w:p w14:paraId="3DD0C832" w14:textId="23E1B968" w:rsidR="000A7015" w:rsidRPr="00835753" w:rsidRDefault="000A7015" w:rsidP="001E06A3">
            <w:pPr>
              <w:pStyle w:val="BodyText1"/>
              <w:spacing w:after="120" w:line="240" w:lineRule="auto"/>
              <w:rPr>
                <w:rFonts w:ascii="Times New Roman" w:hAnsi="Times New Roman"/>
                <w:bCs/>
                <w:sz w:val="24"/>
                <w:szCs w:val="24"/>
              </w:rPr>
            </w:pPr>
            <w:r w:rsidRPr="00835753">
              <w:rPr>
                <w:rFonts w:ascii="Times New Roman" w:hAnsi="Times New Roman"/>
                <w:bCs/>
                <w:sz w:val="24"/>
                <w:szCs w:val="24"/>
              </w:rPr>
              <w:t>Do celów tej komórki termin „małe</w:t>
            </w:r>
            <w:r w:rsidR="00835753" w:rsidRPr="00835753">
              <w:rPr>
                <w:rFonts w:ascii="Times New Roman" w:hAnsi="Times New Roman"/>
                <w:bCs/>
                <w:sz w:val="24"/>
                <w:szCs w:val="24"/>
              </w:rPr>
              <w:t xml:space="preserve"> i</w:t>
            </w:r>
            <w:r w:rsidR="00835753">
              <w:rPr>
                <w:rFonts w:ascii="Times New Roman" w:hAnsi="Times New Roman"/>
                <w:bCs/>
                <w:sz w:val="24"/>
                <w:szCs w:val="24"/>
              </w:rPr>
              <w:t> </w:t>
            </w:r>
            <w:r w:rsidR="00835753" w:rsidRPr="00835753">
              <w:rPr>
                <w:rFonts w:ascii="Times New Roman" w:hAnsi="Times New Roman"/>
                <w:bCs/>
                <w:sz w:val="24"/>
                <w:szCs w:val="24"/>
              </w:rPr>
              <w:t>śre</w:t>
            </w:r>
            <w:r w:rsidRPr="00835753">
              <w:rPr>
                <w:rFonts w:ascii="Times New Roman" w:hAnsi="Times New Roman"/>
                <w:bCs/>
                <w:sz w:val="24"/>
                <w:szCs w:val="24"/>
              </w:rPr>
              <w:t>dnie przedsiębiorstwo” definiuje się zgodnie</w:t>
            </w:r>
            <w:r w:rsidR="00835753" w:rsidRPr="00835753">
              <w:rPr>
                <w:rFonts w:ascii="Times New Roman" w:hAnsi="Times New Roman"/>
                <w:bCs/>
                <w:sz w:val="24"/>
                <w:szCs w:val="24"/>
              </w:rPr>
              <w:t xml:space="preserve"> z</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501 ust.</w:t>
            </w:r>
            <w:r w:rsidR="00835753" w:rsidRPr="00835753">
              <w:rPr>
                <w:rFonts w:ascii="Times New Roman" w:hAnsi="Times New Roman"/>
                <w:bCs/>
                <w:sz w:val="24"/>
                <w:szCs w:val="24"/>
              </w:rPr>
              <w:t> </w:t>
            </w:r>
            <w:r w:rsidRPr="00835753">
              <w:rPr>
                <w:rFonts w:ascii="Times New Roman" w:hAnsi="Times New Roman"/>
                <w:bCs/>
                <w:sz w:val="24"/>
                <w:szCs w:val="24"/>
              </w:rPr>
              <w:t>2 lit.</w:t>
            </w:r>
            <w:r w:rsidR="00835753" w:rsidRPr="00835753">
              <w:rPr>
                <w:rFonts w:ascii="Times New Roman" w:hAnsi="Times New Roman"/>
                <w:bCs/>
                <w:sz w:val="24"/>
                <w:szCs w:val="24"/>
              </w:rPr>
              <w:t> </w:t>
            </w:r>
            <w:r w:rsidRPr="00835753">
              <w:rPr>
                <w:rFonts w:ascii="Times New Roman" w:hAnsi="Times New Roman"/>
                <w:bCs/>
                <w:sz w:val="24"/>
                <w:szCs w:val="24"/>
              </w:rPr>
              <w:t>b) CRR.</w:t>
            </w:r>
          </w:p>
          <w:p w14:paraId="0D9D027B" w14:textId="39C2468C"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bCs/>
                <w:sz w:val="24"/>
                <w:szCs w:val="24"/>
              </w:rPr>
              <w:t>Instytucje ujawniają całkowitą ekspozycję pomniejszoną</w:t>
            </w:r>
            <w:r w:rsidR="00835753" w:rsidRPr="00835753">
              <w:rPr>
                <w:rFonts w:ascii="Times New Roman" w:hAnsi="Times New Roman"/>
                <w:bCs/>
                <w:sz w:val="24"/>
                <w:szCs w:val="24"/>
              </w:rPr>
              <w:t xml:space="preserve"> o</w:t>
            </w:r>
            <w:r w:rsidR="00835753">
              <w:rPr>
                <w:rFonts w:ascii="Times New Roman" w:hAnsi="Times New Roman"/>
                <w:bCs/>
                <w:sz w:val="24"/>
                <w:szCs w:val="24"/>
              </w:rPr>
              <w:t> </w:t>
            </w:r>
            <w:r w:rsidR="00835753" w:rsidRPr="00835753">
              <w:rPr>
                <w:rFonts w:ascii="Times New Roman" w:hAnsi="Times New Roman"/>
                <w:bCs/>
                <w:sz w:val="24"/>
                <w:szCs w:val="24"/>
              </w:rPr>
              <w:t>eks</w:t>
            </w:r>
            <w:r w:rsidRPr="00835753">
              <w:rPr>
                <w:rFonts w:ascii="Times New Roman" w:hAnsi="Times New Roman"/>
                <w:bCs/>
                <w:sz w:val="24"/>
                <w:szCs w:val="24"/>
              </w:rPr>
              <w:t>pozycje, których dotyczy niewykonanie zobowiązania.</w:t>
            </w:r>
          </w:p>
        </w:tc>
      </w:tr>
      <w:tr w:rsidR="000A7015" w:rsidRPr="00835753" w14:paraId="5A9251D7" w14:textId="77777777" w:rsidTr="001E06A3">
        <w:trPr>
          <w:trHeight w:val="1729"/>
        </w:trPr>
        <w:tc>
          <w:tcPr>
            <w:tcW w:w="1384" w:type="dxa"/>
            <w:vAlign w:val="center"/>
          </w:tcPr>
          <w:p w14:paraId="2BECF10D"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t>EU-11</w:t>
            </w:r>
          </w:p>
        </w:tc>
        <w:tc>
          <w:tcPr>
            <w:tcW w:w="7655" w:type="dxa"/>
          </w:tcPr>
          <w:p w14:paraId="3BE85A50" w14:textId="77777777"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Ekspozycje, których dotyczy niewykonanie zobowiązania</w:t>
            </w:r>
          </w:p>
          <w:p w14:paraId="5BDD79B1" w14:textId="68E459AE" w:rsidR="000A7015" w:rsidRPr="00835753" w:rsidRDefault="000A7015" w:rsidP="001E06A3">
            <w:pPr>
              <w:pStyle w:val="BodyText1"/>
              <w:spacing w:after="120" w:line="240" w:lineRule="auto"/>
              <w:rPr>
                <w:rFonts w:ascii="Times New Roman" w:hAnsi="Times New Roman"/>
                <w:sz w:val="24"/>
                <w:szCs w:val="24"/>
              </w:rPr>
            </w:pPr>
            <w:r w:rsidRPr="00835753">
              <w:rPr>
                <w:rFonts w:ascii="Times New Roman" w:hAnsi="Times New Roman"/>
                <w:sz w:val="24"/>
                <w:szCs w:val="24"/>
              </w:rPr>
              <w:t>Instytucje ujawniają sumę ekspozycji stanowiącą całkowitą wartość ekspozycji aktywów, których dotyczy niewykonanie zobowiązania oraz które –</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ypadku ekspozycji według metody standardowej – podlegają art.</w:t>
            </w:r>
            <w:r w:rsidR="00835753" w:rsidRPr="00835753">
              <w:rPr>
                <w:rFonts w:ascii="Times New Roman" w:hAnsi="Times New Roman"/>
                <w:sz w:val="24"/>
                <w:szCs w:val="24"/>
              </w:rPr>
              <w:t> </w:t>
            </w:r>
            <w:r w:rsidRPr="00835753">
              <w:rPr>
                <w:rFonts w:ascii="Times New Roman" w:hAnsi="Times New Roman"/>
                <w:sz w:val="24"/>
                <w:szCs w:val="24"/>
              </w:rPr>
              <w:t>127 CRR lub,</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 xml:space="preserve">ypadku ekspozycji według metody IRB, są zaliczone do </w:t>
            </w:r>
            <w:r w:rsidRPr="00835753">
              <w:rPr>
                <w:rFonts w:ascii="Times New Roman" w:hAnsi="Times New Roman"/>
                <w:sz w:val="24"/>
                <w:szCs w:val="24"/>
              </w:rPr>
              <w:lastRenderedPageBreak/>
              <w:t>kategorii ekspozycji wymienionych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147 ust.</w:t>
            </w:r>
            <w:r w:rsidR="00835753" w:rsidRPr="00835753">
              <w:rPr>
                <w:rFonts w:ascii="Times New Roman" w:hAnsi="Times New Roman"/>
                <w:sz w:val="24"/>
                <w:szCs w:val="24"/>
              </w:rPr>
              <w:t> </w:t>
            </w:r>
            <w:r w:rsidRPr="00835753">
              <w:rPr>
                <w:rFonts w:ascii="Times New Roman" w:hAnsi="Times New Roman"/>
                <w:sz w:val="24"/>
                <w:szCs w:val="24"/>
              </w:rPr>
              <w:t>2 CRR, jeżeli doszło do niewykonania zobowiązania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178 CRR.</w:t>
            </w:r>
          </w:p>
        </w:tc>
      </w:tr>
      <w:tr w:rsidR="000A7015" w:rsidRPr="00835753" w14:paraId="64E848DA" w14:textId="77777777" w:rsidTr="001E06A3">
        <w:trPr>
          <w:trHeight w:val="992"/>
        </w:trPr>
        <w:tc>
          <w:tcPr>
            <w:tcW w:w="1384" w:type="dxa"/>
            <w:vAlign w:val="center"/>
          </w:tcPr>
          <w:p w14:paraId="3A5A9D71"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35753">
              <w:rPr>
                <w:rFonts w:ascii="Times New Roman" w:hAnsi="Times New Roman"/>
                <w:sz w:val="24"/>
                <w:szCs w:val="24"/>
              </w:rPr>
              <w:lastRenderedPageBreak/>
              <w:t>EU-12</w:t>
            </w:r>
          </w:p>
        </w:tc>
        <w:tc>
          <w:tcPr>
            <w:tcW w:w="7655" w:type="dxa"/>
          </w:tcPr>
          <w:p w14:paraId="4156C6F3" w14:textId="163951CA"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Pozostałe ekspozycje (np. kapitałowe, sekurytyzacyjne</w:t>
            </w:r>
            <w:r w:rsidR="00835753" w:rsidRPr="00835753">
              <w:rPr>
                <w:rStyle w:val="TeksttreciPogrubienie"/>
                <w:rFonts w:ascii="Times New Roman" w:hAnsi="Times New Roman"/>
                <w:sz w:val="24"/>
                <w:szCs w:val="24"/>
              </w:rPr>
              <w:t xml:space="preserve"> i</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z</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tyt</w:t>
            </w:r>
            <w:r w:rsidRPr="00835753">
              <w:rPr>
                <w:rStyle w:val="TeksttreciPogrubienie"/>
                <w:rFonts w:ascii="Times New Roman" w:hAnsi="Times New Roman"/>
                <w:sz w:val="24"/>
                <w:szCs w:val="24"/>
              </w:rPr>
              <w:t>ułu innych aktywów niegenerujących zobowiązania kredytowego)</w:t>
            </w:r>
          </w:p>
          <w:p w14:paraId="391B3C62" w14:textId="41C6D873"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Instytucje ujawniają sumę ekspozycji, która stanowi łączną wartość innych ekspozycji zaliczanych do portfela bankowego zgodnie z CRR (np. kapitałowych, sekurytyzacyjnych</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aktywów niegenerujących zobowiązania kredytowego;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 xml:space="preserve">ypadku ekspozycji według metody standardowej są to </w:t>
            </w:r>
            <w:r w:rsidRPr="00835753">
              <w:rPr>
                <w:rFonts w:ascii="Times New Roman" w:hAnsi="Times New Roman"/>
                <w:bCs/>
                <w:sz w:val="24"/>
                <w:szCs w:val="24"/>
              </w:rPr>
              <w:t>aktywa zaliczone do kategorii ekspozycji wymienionych</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112 lit.</w:t>
            </w:r>
            <w:r w:rsidR="00835753" w:rsidRPr="00835753">
              <w:rPr>
                <w:rFonts w:ascii="Times New Roman" w:hAnsi="Times New Roman"/>
                <w:bCs/>
                <w:sz w:val="24"/>
                <w:szCs w:val="24"/>
              </w:rPr>
              <w:t> </w:t>
            </w:r>
            <w:r w:rsidRPr="00835753">
              <w:rPr>
                <w:rFonts w:ascii="Times New Roman" w:hAnsi="Times New Roman"/>
                <w:bCs/>
                <w:sz w:val="24"/>
                <w:szCs w:val="24"/>
              </w:rPr>
              <w:t>k), m), n), o), p) i q) CRR,</w:t>
            </w:r>
            <w:r w:rsidR="00835753" w:rsidRPr="00835753">
              <w:rPr>
                <w:rFonts w:ascii="Times New Roman" w:hAnsi="Times New Roman"/>
                <w:bCs/>
                <w:sz w:val="24"/>
                <w:szCs w:val="24"/>
              </w:rPr>
              <w:t xml:space="preserve"> a</w:t>
            </w:r>
            <w:r w:rsidR="00835753">
              <w:rPr>
                <w:rFonts w:ascii="Times New Roman" w:hAnsi="Times New Roman"/>
                <w:bCs/>
                <w:sz w:val="24"/>
                <w:szCs w:val="24"/>
              </w:rPr>
              <w:t> </w:t>
            </w:r>
            <w:r w:rsidR="00835753" w:rsidRPr="00835753">
              <w:rPr>
                <w:rFonts w:ascii="Times New Roman" w:hAnsi="Times New Roman"/>
                <w:bCs/>
                <w:sz w:val="24"/>
                <w:szCs w:val="24"/>
              </w:rPr>
              <w:t>w</w:t>
            </w:r>
            <w:r w:rsidR="00835753">
              <w:rPr>
                <w:rFonts w:ascii="Times New Roman" w:hAnsi="Times New Roman"/>
                <w:bCs/>
                <w:sz w:val="24"/>
                <w:szCs w:val="24"/>
              </w:rPr>
              <w:t> </w:t>
            </w:r>
            <w:r w:rsidR="00835753" w:rsidRPr="00835753">
              <w:rPr>
                <w:rFonts w:ascii="Times New Roman" w:hAnsi="Times New Roman"/>
                <w:bCs/>
                <w:sz w:val="24"/>
                <w:szCs w:val="24"/>
              </w:rPr>
              <w:t>prz</w:t>
            </w:r>
            <w:r w:rsidRPr="00835753">
              <w:rPr>
                <w:rFonts w:ascii="Times New Roman" w:hAnsi="Times New Roman"/>
                <w:bCs/>
                <w:sz w:val="24"/>
                <w:szCs w:val="24"/>
              </w:rPr>
              <w:t>ypadku ekspozycji według metody IRB –</w:t>
            </w:r>
            <w:r w:rsidR="00835753" w:rsidRPr="00835753">
              <w:rPr>
                <w:rFonts w:ascii="Times New Roman" w:hAnsi="Times New Roman"/>
                <w:bCs/>
                <w:sz w:val="24"/>
                <w:szCs w:val="24"/>
              </w:rPr>
              <w:t xml:space="preserve"> w</w:t>
            </w:r>
            <w:r w:rsidR="00835753">
              <w:rPr>
                <w:rFonts w:ascii="Times New Roman" w:hAnsi="Times New Roman"/>
                <w:bCs/>
                <w:sz w:val="24"/>
                <w:szCs w:val="24"/>
              </w:rPr>
              <w:t> </w:t>
            </w:r>
            <w:r w:rsidR="00835753" w:rsidRPr="00835753">
              <w:rPr>
                <w:rFonts w:ascii="Times New Roman" w:hAnsi="Times New Roman"/>
                <w:bCs/>
                <w:sz w:val="24"/>
                <w:szCs w:val="24"/>
              </w:rPr>
              <w:t>art</w:t>
            </w:r>
            <w:r w:rsidRPr="00835753">
              <w:rPr>
                <w:rFonts w:ascii="Times New Roman" w:hAnsi="Times New Roman"/>
                <w:bCs/>
                <w:sz w:val="24"/>
                <w:szCs w:val="24"/>
              </w:rPr>
              <w:t>.</w:t>
            </w:r>
            <w:r w:rsidR="00835753" w:rsidRPr="00835753">
              <w:rPr>
                <w:rFonts w:ascii="Times New Roman" w:hAnsi="Times New Roman"/>
                <w:bCs/>
                <w:sz w:val="24"/>
                <w:szCs w:val="24"/>
              </w:rPr>
              <w:t> </w:t>
            </w:r>
            <w:r w:rsidRPr="00835753">
              <w:rPr>
                <w:rFonts w:ascii="Times New Roman" w:hAnsi="Times New Roman"/>
                <w:bCs/>
                <w:sz w:val="24"/>
                <w:szCs w:val="24"/>
              </w:rPr>
              <w:t>147 ust.</w:t>
            </w:r>
            <w:r w:rsidR="00835753" w:rsidRPr="00835753">
              <w:rPr>
                <w:rFonts w:ascii="Times New Roman" w:hAnsi="Times New Roman"/>
                <w:bCs/>
                <w:sz w:val="24"/>
                <w:szCs w:val="24"/>
              </w:rPr>
              <w:t> </w:t>
            </w:r>
            <w:r w:rsidRPr="00835753">
              <w:rPr>
                <w:rFonts w:ascii="Times New Roman" w:hAnsi="Times New Roman"/>
                <w:bCs/>
                <w:sz w:val="24"/>
                <w:szCs w:val="24"/>
              </w:rPr>
              <w:t>2 lit.</w:t>
            </w:r>
            <w:r w:rsidR="00835753" w:rsidRPr="00835753">
              <w:rPr>
                <w:rFonts w:ascii="Times New Roman" w:hAnsi="Times New Roman"/>
                <w:bCs/>
                <w:sz w:val="24"/>
                <w:szCs w:val="24"/>
              </w:rPr>
              <w:t> </w:t>
            </w:r>
            <w:r w:rsidRPr="00835753">
              <w:rPr>
                <w:rFonts w:ascii="Times New Roman" w:hAnsi="Times New Roman"/>
                <w:bCs/>
                <w:sz w:val="24"/>
                <w:szCs w:val="24"/>
              </w:rPr>
              <w:t>e), f) i g) CRR</w:t>
            </w:r>
            <w:r w:rsidRPr="00835753">
              <w:rPr>
                <w:rFonts w:ascii="Times New Roman" w:hAnsi="Times New Roman"/>
                <w:sz w:val="24"/>
                <w:szCs w:val="24"/>
              </w:rPr>
              <w:t>). Instytucje uwzględniają aktywa, które są odliczane przy ustalaniu kapitału Tier I,</w:t>
            </w:r>
            <w:r w:rsidR="00835753" w:rsidRPr="00835753">
              <w:rPr>
                <w:rFonts w:ascii="Times New Roman" w:hAnsi="Times New Roman"/>
                <w:sz w:val="24"/>
                <w:szCs w:val="24"/>
              </w:rPr>
              <w:t xml:space="preserve"> a</w:t>
            </w:r>
            <w:r w:rsidR="00835753">
              <w:rPr>
                <w:rFonts w:ascii="Times New Roman" w:hAnsi="Times New Roman"/>
                <w:sz w:val="24"/>
                <w:szCs w:val="24"/>
              </w:rPr>
              <w:t> </w:t>
            </w:r>
            <w:r w:rsidR="00835753" w:rsidRPr="00835753">
              <w:rPr>
                <w:rFonts w:ascii="Times New Roman" w:hAnsi="Times New Roman"/>
                <w:sz w:val="24"/>
                <w:szCs w:val="24"/>
              </w:rPr>
              <w:t>zat</w:t>
            </w:r>
            <w:r w:rsidRPr="00835753">
              <w:rPr>
                <w:rFonts w:ascii="Times New Roman" w:hAnsi="Times New Roman"/>
                <w:sz w:val="24"/>
                <w:szCs w:val="24"/>
              </w:rPr>
              <w:t>em są ujawniane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 xml:space="preserve">rszu 2 wzoru EU </w:t>
            </w:r>
            <w:r w:rsidRPr="00835753">
              <w:rPr>
                <w:rFonts w:ascii="Times New Roman" w:hAnsi="Times New Roman"/>
                <w:color w:val="000000"/>
                <w:sz w:val="24"/>
                <w:szCs w:val="24"/>
              </w:rPr>
              <w:t xml:space="preserve">LR2 – </w:t>
            </w:r>
            <w:r w:rsidRPr="00835753">
              <w:rPr>
                <w:rFonts w:ascii="Times New Roman" w:hAnsi="Times New Roman"/>
                <w:sz w:val="24"/>
                <w:szCs w:val="24"/>
              </w:rPr>
              <w:t>LRCom, chyba że aktywa te uwzględniono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 xml:space="preserve">rszach EU-2 oraz od EU-4 do EU-11 wzoru EU </w:t>
            </w:r>
            <w:r w:rsidRPr="00835753">
              <w:rPr>
                <w:rFonts w:ascii="Times New Roman" w:hAnsi="Times New Roman"/>
                <w:color w:val="000000"/>
                <w:sz w:val="24"/>
                <w:szCs w:val="24"/>
              </w:rPr>
              <w:t xml:space="preserve">LR3 – </w:t>
            </w:r>
            <w:r w:rsidRPr="00835753">
              <w:rPr>
                <w:rFonts w:ascii="Times New Roman" w:hAnsi="Times New Roman"/>
                <w:sz w:val="24"/>
                <w:szCs w:val="24"/>
              </w:rPr>
              <w:t>LRSpl.</w:t>
            </w:r>
          </w:p>
        </w:tc>
      </w:tr>
    </w:tbl>
    <w:p w14:paraId="3E3FB773" w14:textId="77777777" w:rsidR="000A7015" w:rsidRPr="00835753" w:rsidRDefault="000A7015" w:rsidP="000A7015">
      <w:pPr>
        <w:spacing w:after="120"/>
        <w:rPr>
          <w:rFonts w:ascii="Times New Roman" w:hAnsi="Times New Roman" w:cs="Times New Roman"/>
          <w:sz w:val="24"/>
        </w:rPr>
      </w:pPr>
    </w:p>
    <w:p w14:paraId="2D6D91F7" w14:textId="28BFAA67" w:rsidR="000A7015" w:rsidRPr="00835753"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sidRPr="00835753">
        <w:rPr>
          <w:rFonts w:ascii="Times New Roman" w:hAnsi="Times New Roman"/>
          <w:color w:val="000000"/>
          <w:sz w:val="24"/>
          <w:szCs w:val="24"/>
        </w:rPr>
        <w:t xml:space="preserve">Tabela EU LRA – Ujawnianie informacji jakościowych na temat wskaźnika dźwigni. </w:t>
      </w:r>
      <w:r w:rsidRPr="00835753">
        <w:rPr>
          <w:rFonts w:ascii="Times New Roman" w:hAnsi="Times New Roman"/>
          <w:b w:val="0"/>
          <w:color w:val="000000"/>
          <w:sz w:val="24"/>
          <w:szCs w:val="24"/>
        </w:rPr>
        <w:t>Pola na tekst</w:t>
      </w:r>
      <w:r w:rsidR="00835753" w:rsidRPr="00835753">
        <w:rPr>
          <w:rFonts w:ascii="Times New Roman" w:hAnsi="Times New Roman"/>
          <w:b w:val="0"/>
          <w:color w:val="000000"/>
          <w:sz w:val="24"/>
          <w:szCs w:val="24"/>
        </w:rPr>
        <w:t xml:space="preserve"> o</w:t>
      </w:r>
      <w:r w:rsidR="00835753">
        <w:rPr>
          <w:rFonts w:ascii="Times New Roman" w:hAnsi="Times New Roman"/>
          <w:b w:val="0"/>
          <w:color w:val="000000"/>
          <w:sz w:val="24"/>
          <w:szCs w:val="24"/>
        </w:rPr>
        <w:t> </w:t>
      </w:r>
      <w:r w:rsidR="00835753" w:rsidRPr="00835753">
        <w:rPr>
          <w:rFonts w:ascii="Times New Roman" w:hAnsi="Times New Roman"/>
          <w:b w:val="0"/>
          <w:color w:val="000000"/>
          <w:sz w:val="24"/>
          <w:szCs w:val="24"/>
        </w:rPr>
        <w:t>for</w:t>
      </w:r>
      <w:r w:rsidRPr="00835753">
        <w:rPr>
          <w:rFonts w:ascii="Times New Roman" w:hAnsi="Times New Roman"/>
          <w:b w:val="0"/>
          <w:color w:val="000000"/>
          <w:sz w:val="24"/>
          <w:szCs w:val="24"/>
        </w:rPr>
        <w:t>macie dowolnym do celów ujawniania informacji jakościowych</w:t>
      </w:r>
    </w:p>
    <w:p w14:paraId="5F858CBE" w14:textId="47FEB7B9" w:rsidR="000A7015" w:rsidRPr="00835753" w:rsidRDefault="000A7015" w:rsidP="00E70D84">
      <w:pPr>
        <w:pStyle w:val="ListParagraph"/>
        <w:numPr>
          <w:ilvl w:val="0"/>
          <w:numId w:val="28"/>
        </w:numPr>
        <w:spacing w:after="120"/>
        <w:ind w:left="426"/>
        <w:rPr>
          <w:rFonts w:ascii="Times New Roman" w:hAnsi="Times New Roman"/>
          <w:sz w:val="24"/>
          <w:szCs w:val="24"/>
        </w:rPr>
      </w:pPr>
      <w:r w:rsidRPr="00835753">
        <w:rPr>
          <w:rFonts w:ascii="Times New Roman" w:hAnsi="Times New Roman"/>
          <w:color w:val="000000"/>
          <w:sz w:val="24"/>
          <w:szCs w:val="24"/>
        </w:rPr>
        <w:t>Instytucje wypełniają tabelę</w:t>
      </w:r>
      <w:r w:rsidRPr="00835753">
        <w:tab/>
      </w:r>
      <w:r w:rsidRPr="00835753">
        <w:rPr>
          <w:rFonts w:ascii="Times New Roman" w:hAnsi="Times New Roman"/>
          <w:color w:val="000000"/>
          <w:sz w:val="24"/>
          <w:szCs w:val="24"/>
        </w:rPr>
        <w:t xml:space="preserve"> EU LRA, stosując następujące instrukcje, zgodnie</w:t>
      </w:r>
      <w:r w:rsidR="00835753" w:rsidRPr="00835753">
        <w:rPr>
          <w:rFonts w:ascii="Times New Roman" w:hAnsi="Times New Roman"/>
          <w:color w:val="000000"/>
          <w:sz w:val="24"/>
          <w:szCs w:val="24"/>
        </w:rPr>
        <w:t xml:space="preserve"> z</w:t>
      </w:r>
      <w:r w:rsidR="00835753">
        <w:rPr>
          <w:rFonts w:ascii="Times New Roman" w:hAnsi="Times New Roman"/>
          <w:color w:val="000000"/>
          <w:sz w:val="24"/>
          <w:szCs w:val="24"/>
        </w:rPr>
        <w:t> </w:t>
      </w:r>
      <w:r w:rsidR="00835753" w:rsidRPr="00835753">
        <w:rPr>
          <w:rFonts w:ascii="Times New Roman" w:hAnsi="Times New Roman"/>
          <w:color w:val="000000"/>
          <w:sz w:val="24"/>
          <w:szCs w:val="24"/>
        </w:rPr>
        <w:t>art</w:t>
      </w:r>
      <w:r w:rsidRPr="00835753">
        <w:rPr>
          <w:rFonts w:ascii="Times New Roman" w:hAnsi="Times New Roman"/>
          <w:color w:val="000000"/>
          <w:sz w:val="24"/>
          <w:szCs w:val="24"/>
        </w:rPr>
        <w:t>.</w:t>
      </w:r>
      <w:r w:rsidR="00835753" w:rsidRPr="00835753">
        <w:rPr>
          <w:rFonts w:ascii="Times New Roman" w:hAnsi="Times New Roman"/>
          <w:color w:val="000000"/>
          <w:sz w:val="24"/>
          <w:szCs w:val="24"/>
        </w:rPr>
        <w:t> </w:t>
      </w:r>
      <w:r w:rsidRPr="00835753">
        <w:rPr>
          <w:rFonts w:ascii="Times New Roman" w:hAnsi="Times New Roman"/>
          <w:color w:val="000000"/>
          <w:sz w:val="24"/>
          <w:szCs w:val="24"/>
        </w:rPr>
        <w:t>451 ust.</w:t>
      </w:r>
      <w:r w:rsidR="00835753" w:rsidRPr="00835753">
        <w:rPr>
          <w:rFonts w:ascii="Times New Roman" w:hAnsi="Times New Roman"/>
          <w:color w:val="000000"/>
          <w:sz w:val="24"/>
          <w:szCs w:val="24"/>
        </w:rPr>
        <w:t> </w:t>
      </w:r>
      <w:r w:rsidRPr="00835753">
        <w:rPr>
          <w:rFonts w:ascii="Times New Roman" w:hAnsi="Times New Roman"/>
          <w:color w:val="000000"/>
          <w:sz w:val="24"/>
          <w:szCs w:val="24"/>
        </w:rPr>
        <w:t>1 lit.</w:t>
      </w:r>
      <w:r w:rsidR="00835753" w:rsidRPr="00835753">
        <w:rPr>
          <w:rFonts w:ascii="Times New Roman" w:hAnsi="Times New Roman"/>
          <w:color w:val="000000"/>
          <w:sz w:val="24"/>
          <w:szCs w:val="24"/>
        </w:rPr>
        <w:t> </w:t>
      </w:r>
      <w:r w:rsidRPr="00835753">
        <w:rPr>
          <w:rFonts w:ascii="Times New Roman" w:hAnsi="Times New Roman"/>
          <w:color w:val="000000"/>
          <w:sz w:val="24"/>
          <w:szCs w:val="24"/>
        </w:rPr>
        <w:t>d) i e) CRR</w:t>
      </w:r>
    </w:p>
    <w:p w14:paraId="217530F6" w14:textId="77777777" w:rsidR="000A7015" w:rsidRPr="00835753"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835753"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1826EC8B" w:rsidR="000A7015" w:rsidRPr="00835753" w:rsidRDefault="000A7015" w:rsidP="001E06A3">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0A7015" w:rsidRPr="00835753" w14:paraId="47A7F4FC" w14:textId="77777777" w:rsidTr="001E06A3">
        <w:trPr>
          <w:trHeight w:val="238"/>
        </w:trPr>
        <w:tc>
          <w:tcPr>
            <w:tcW w:w="1384" w:type="dxa"/>
            <w:shd w:val="clear" w:color="auto" w:fill="D9D9D9" w:themeFill="background1" w:themeFillShade="D9"/>
          </w:tcPr>
          <w:p w14:paraId="62939398" w14:textId="77777777" w:rsidR="000A7015" w:rsidRPr="00835753" w:rsidRDefault="000A7015" w:rsidP="001E06A3">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52920A74" w14:textId="77777777" w:rsidR="000A7015" w:rsidRPr="00835753" w:rsidRDefault="000A7015" w:rsidP="001E06A3">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0A7015" w:rsidRPr="00835753" w14:paraId="408201A6" w14:textId="77777777" w:rsidTr="001E06A3">
        <w:trPr>
          <w:trHeight w:val="805"/>
        </w:trPr>
        <w:tc>
          <w:tcPr>
            <w:tcW w:w="1384" w:type="dxa"/>
          </w:tcPr>
          <w:p w14:paraId="116E3028"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proofErr w:type="gramStart"/>
            <w:r w:rsidRPr="00835753">
              <w:rPr>
                <w:rFonts w:ascii="Times New Roman" w:hAnsi="Times New Roman"/>
                <w:sz w:val="24"/>
                <w:szCs w:val="24"/>
              </w:rPr>
              <w:t>a</w:t>
            </w:r>
            <w:proofErr w:type="gramEnd"/>
            <w:r w:rsidRPr="00835753">
              <w:rPr>
                <w:rFonts w:ascii="Times New Roman" w:hAnsi="Times New Roman"/>
                <w:sz w:val="24"/>
                <w:szCs w:val="24"/>
              </w:rPr>
              <w:t>)</w:t>
            </w:r>
          </w:p>
        </w:tc>
        <w:tc>
          <w:tcPr>
            <w:tcW w:w="7655" w:type="dxa"/>
          </w:tcPr>
          <w:p w14:paraId="4B3A2262" w14:textId="72153DB5"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Opis procedur stosowanych</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cel</w:t>
            </w:r>
            <w:r w:rsidRPr="00835753">
              <w:rPr>
                <w:rStyle w:val="TeksttreciPogrubienie"/>
                <w:rFonts w:ascii="Times New Roman" w:hAnsi="Times New Roman"/>
                <w:sz w:val="24"/>
                <w:szCs w:val="24"/>
              </w:rPr>
              <w:t>u zarządzania ryzykiem nadmiernej dźwigni finansowej</w:t>
            </w:r>
          </w:p>
          <w:p w14:paraId="1045D7C1" w14:textId="6479E90C"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451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d) CRR</w:t>
            </w:r>
          </w:p>
          <w:p w14:paraId="6272CBE5" w14:textId="0596A41D"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„Opis procedur stosowanych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cel</w:t>
            </w:r>
            <w:r w:rsidRPr="00835753">
              <w:rPr>
                <w:rFonts w:ascii="Times New Roman" w:hAnsi="Times New Roman"/>
                <w:sz w:val="24"/>
                <w:szCs w:val="24"/>
              </w:rPr>
              <w:t>u zarządzania ryzykiem nadmiernej dźwigni finansowej” obejmuje wszelkie istotne informacje dotyczące:</w:t>
            </w:r>
          </w:p>
          <w:p w14:paraId="690506A7" w14:textId="61636438" w:rsidR="000A7015" w:rsidRPr="00835753"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proofErr w:type="gramStart"/>
            <w:r w:rsidRPr="00835753">
              <w:rPr>
                <w:rFonts w:ascii="Times New Roman" w:hAnsi="Times New Roman"/>
                <w:sz w:val="24"/>
                <w:szCs w:val="24"/>
              </w:rPr>
              <w:t>procedur</w:t>
            </w:r>
            <w:proofErr w:type="gramEnd"/>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zas</w:t>
            </w:r>
            <w:r w:rsidRPr="00835753">
              <w:rPr>
                <w:rFonts w:ascii="Times New Roman" w:hAnsi="Times New Roman"/>
                <w:sz w:val="24"/>
                <w:szCs w:val="24"/>
              </w:rPr>
              <w:t>obów wykorzystywanych do oceny ryzyka nadmiernej dźwigni;</w:t>
            </w:r>
          </w:p>
          <w:p w14:paraId="00DD152E" w14:textId="2974D3F9" w:rsidR="000A7015" w:rsidRPr="00835753"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proofErr w:type="gramStart"/>
            <w:r w:rsidRPr="00835753">
              <w:rPr>
                <w:rFonts w:ascii="Times New Roman" w:hAnsi="Times New Roman"/>
                <w:sz w:val="24"/>
                <w:szCs w:val="24"/>
              </w:rPr>
              <w:t>ewentualnych</w:t>
            </w:r>
            <w:proofErr w:type="gramEnd"/>
            <w:r w:rsidRPr="00835753">
              <w:rPr>
                <w:rFonts w:ascii="Times New Roman" w:hAnsi="Times New Roman"/>
                <w:sz w:val="24"/>
                <w:szCs w:val="24"/>
              </w:rPr>
              <w:t xml:space="preserve"> narzędzi ilościowych stosowanych do oceny ryzyka nadmiernej dźwigni,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szczegółów dotyczących potencjalnych celów wewnętrznych,</w:t>
            </w:r>
            <w:r w:rsidR="00835753" w:rsidRPr="00835753">
              <w:rPr>
                <w:rFonts w:ascii="Times New Roman" w:hAnsi="Times New Roman"/>
                <w:sz w:val="24"/>
                <w:szCs w:val="24"/>
              </w:rPr>
              <w:t xml:space="preserve"> a</w:t>
            </w:r>
            <w:r w:rsidR="00835753">
              <w:rPr>
                <w:rFonts w:ascii="Times New Roman" w:hAnsi="Times New Roman"/>
                <w:sz w:val="24"/>
                <w:szCs w:val="24"/>
              </w:rPr>
              <w:t> </w:t>
            </w:r>
            <w:r w:rsidR="00835753" w:rsidRPr="00835753">
              <w:rPr>
                <w:rFonts w:ascii="Times New Roman" w:hAnsi="Times New Roman"/>
                <w:sz w:val="24"/>
                <w:szCs w:val="24"/>
              </w:rPr>
              <w:t>tak</w:t>
            </w:r>
            <w:r w:rsidRPr="00835753">
              <w:rPr>
                <w:rFonts w:ascii="Times New Roman" w:hAnsi="Times New Roman"/>
                <w:sz w:val="24"/>
                <w:szCs w:val="24"/>
              </w:rPr>
              <w:t>że informacje, czy stosuje się wskaźniki inne niż wskaźnik dźwigni określony w CRR;</w:t>
            </w:r>
          </w:p>
          <w:p w14:paraId="3C823764" w14:textId="7373A11C" w:rsidR="000A7015" w:rsidRPr="00835753" w:rsidRDefault="000A7015" w:rsidP="00E70D84">
            <w:pPr>
              <w:pStyle w:val="Teksttreci0"/>
              <w:numPr>
                <w:ilvl w:val="0"/>
                <w:numId w:val="25"/>
              </w:numPr>
              <w:shd w:val="clear" w:color="auto" w:fill="auto"/>
              <w:tabs>
                <w:tab w:val="left" w:pos="-17"/>
              </w:tabs>
              <w:spacing w:after="120" w:line="240" w:lineRule="auto"/>
              <w:ind w:hanging="360"/>
              <w:rPr>
                <w:rFonts w:ascii="Times New Roman" w:hAnsi="Times New Roman" w:cs="Times New Roman"/>
                <w:sz w:val="24"/>
                <w:szCs w:val="24"/>
              </w:rPr>
            </w:pPr>
            <w:proofErr w:type="gramStart"/>
            <w:r w:rsidRPr="00835753">
              <w:rPr>
                <w:rFonts w:ascii="Times New Roman" w:hAnsi="Times New Roman"/>
                <w:sz w:val="24"/>
                <w:szCs w:val="24"/>
              </w:rPr>
              <w:t>c</w:t>
            </w:r>
            <w:proofErr w:type="gramEnd"/>
            <w:r w:rsidRPr="00835753">
              <w:rPr>
                <w:rFonts w:ascii="Times New Roman" w:hAnsi="Times New Roman"/>
                <w:sz w:val="24"/>
                <w:szCs w:val="24"/>
              </w:rPr>
              <w:t>) sposobów uwzględniania niedopasowań terminów zapadalności</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obc</w:t>
            </w:r>
            <w:r w:rsidRPr="00835753">
              <w:rPr>
                <w:rFonts w:ascii="Times New Roman" w:hAnsi="Times New Roman"/>
                <w:sz w:val="24"/>
                <w:szCs w:val="24"/>
              </w:rPr>
              <w:t>iążeń aktywów</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zar</w:t>
            </w:r>
            <w:r w:rsidRPr="00835753">
              <w:rPr>
                <w:rFonts w:ascii="Times New Roman" w:hAnsi="Times New Roman"/>
                <w:sz w:val="24"/>
                <w:szCs w:val="24"/>
              </w:rPr>
              <w:t>ządzaniu ryzykiem nadmiernej dźwigni;</w:t>
            </w:r>
          </w:p>
          <w:p w14:paraId="6A93BB36" w14:textId="7AF85FAB" w:rsidR="000A7015" w:rsidRPr="00835753"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proofErr w:type="gramStart"/>
            <w:r w:rsidRPr="00835753">
              <w:rPr>
                <w:rFonts w:ascii="Times New Roman" w:hAnsi="Times New Roman"/>
                <w:sz w:val="24"/>
                <w:szCs w:val="24"/>
              </w:rPr>
              <w:t>d</w:t>
            </w:r>
            <w:proofErr w:type="gramEnd"/>
            <w:r w:rsidRPr="00835753">
              <w:rPr>
                <w:rFonts w:ascii="Times New Roman" w:hAnsi="Times New Roman"/>
                <w:sz w:val="24"/>
                <w:szCs w:val="24"/>
              </w:rPr>
              <w:t>) procesów reagowania na zmiany wskaźnika dźwigni,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procesów</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har</w:t>
            </w:r>
            <w:r w:rsidRPr="00835753">
              <w:rPr>
                <w:rFonts w:ascii="Times New Roman" w:hAnsi="Times New Roman"/>
                <w:sz w:val="24"/>
                <w:szCs w:val="24"/>
              </w:rPr>
              <w:t>monogramów potencjalnego zwiększania kapitału Tier 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cel</w:t>
            </w:r>
            <w:r w:rsidRPr="00835753">
              <w:rPr>
                <w:rFonts w:ascii="Times New Roman" w:hAnsi="Times New Roman"/>
                <w:sz w:val="24"/>
                <w:szCs w:val="24"/>
              </w:rPr>
              <w:t xml:space="preserve">u </w:t>
            </w:r>
            <w:r w:rsidRPr="00835753">
              <w:rPr>
                <w:rFonts w:ascii="Times New Roman" w:hAnsi="Times New Roman"/>
                <w:sz w:val="24"/>
                <w:szCs w:val="24"/>
              </w:rPr>
              <w:lastRenderedPageBreak/>
              <w:t>zarządzania ryzykiem nadmiernej dźwigni; lub procesów</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har</w:t>
            </w:r>
            <w:r w:rsidRPr="00835753">
              <w:rPr>
                <w:rFonts w:ascii="Times New Roman" w:hAnsi="Times New Roman"/>
                <w:sz w:val="24"/>
                <w:szCs w:val="24"/>
              </w:rPr>
              <w:t>monogramów dostosowywania mianownika wskaźnika dźwigni (miara ekspozycji całkowitej)</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cel</w:t>
            </w:r>
            <w:r w:rsidRPr="00835753">
              <w:rPr>
                <w:rFonts w:ascii="Times New Roman" w:hAnsi="Times New Roman"/>
                <w:sz w:val="24"/>
                <w:szCs w:val="24"/>
              </w:rPr>
              <w:t>u zarządzania ryzykiem nadmiernej dźwigni.</w:t>
            </w:r>
          </w:p>
        </w:tc>
      </w:tr>
      <w:tr w:rsidR="000A7015" w:rsidRPr="00835753" w14:paraId="535F2FD9" w14:textId="77777777" w:rsidTr="001E06A3">
        <w:trPr>
          <w:trHeight w:val="2265"/>
        </w:trPr>
        <w:tc>
          <w:tcPr>
            <w:tcW w:w="1384" w:type="dxa"/>
          </w:tcPr>
          <w:p w14:paraId="568620E2" w14:textId="77777777" w:rsidR="000A7015" w:rsidRPr="0083575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proofErr w:type="gramStart"/>
            <w:r w:rsidRPr="00835753">
              <w:rPr>
                <w:rFonts w:ascii="Times New Roman" w:hAnsi="Times New Roman"/>
                <w:sz w:val="24"/>
                <w:szCs w:val="24"/>
              </w:rPr>
              <w:lastRenderedPageBreak/>
              <w:t>b</w:t>
            </w:r>
            <w:proofErr w:type="gramEnd"/>
            <w:r w:rsidRPr="00835753">
              <w:rPr>
                <w:rFonts w:ascii="Times New Roman" w:hAnsi="Times New Roman"/>
                <w:sz w:val="24"/>
                <w:szCs w:val="24"/>
              </w:rPr>
              <w:t>)</w:t>
            </w:r>
          </w:p>
        </w:tc>
        <w:tc>
          <w:tcPr>
            <w:tcW w:w="7655" w:type="dxa"/>
          </w:tcPr>
          <w:p w14:paraId="72A8674C" w14:textId="6294B76E"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Style w:val="TeksttreciPogrubienie"/>
                <w:rFonts w:ascii="Times New Roman" w:hAnsi="Times New Roman"/>
                <w:sz w:val="24"/>
                <w:szCs w:val="24"/>
              </w:rPr>
              <w:t>Opis czynników, które miały wpływ na wskaźnik dźwigni</w:t>
            </w:r>
            <w:r w:rsidR="00835753" w:rsidRPr="00835753">
              <w:rPr>
                <w:rStyle w:val="TeksttreciPogrubienie"/>
                <w:rFonts w:ascii="Times New Roman" w:hAnsi="Times New Roman"/>
                <w:sz w:val="24"/>
                <w:szCs w:val="24"/>
              </w:rPr>
              <w:t xml:space="preserve"> w</w:t>
            </w:r>
            <w:r w:rsidR="00835753">
              <w:rPr>
                <w:rStyle w:val="TeksttreciPogrubienie"/>
                <w:rFonts w:ascii="Times New Roman" w:hAnsi="Times New Roman"/>
                <w:sz w:val="24"/>
                <w:szCs w:val="24"/>
              </w:rPr>
              <w:t> </w:t>
            </w:r>
            <w:r w:rsidR="00835753" w:rsidRPr="00835753">
              <w:rPr>
                <w:rStyle w:val="TeksttreciPogrubienie"/>
                <w:rFonts w:ascii="Times New Roman" w:hAnsi="Times New Roman"/>
                <w:sz w:val="24"/>
                <w:szCs w:val="24"/>
              </w:rPr>
              <w:t>okr</w:t>
            </w:r>
            <w:r w:rsidRPr="00835753">
              <w:rPr>
                <w:rStyle w:val="TeksttreciPogrubienie"/>
                <w:rFonts w:ascii="Times New Roman" w:hAnsi="Times New Roman"/>
                <w:sz w:val="24"/>
                <w:szCs w:val="24"/>
              </w:rPr>
              <w:t>esie, którego dotyczy ujawniony wskaźnik dźwigni</w:t>
            </w:r>
          </w:p>
          <w:p w14:paraId="418FCFB6" w14:textId="77CEAD4C"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Art. 451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e) CRR</w:t>
            </w:r>
          </w:p>
          <w:p w14:paraId="452051C2" w14:textId="14A41B73" w:rsidR="000A7015" w:rsidRPr="0083575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35753">
              <w:rPr>
                <w:rFonts w:ascii="Times New Roman" w:hAnsi="Times New Roman"/>
                <w:sz w:val="24"/>
                <w:szCs w:val="24"/>
              </w:rPr>
              <w:t>„Opis czynników, które miały wpływ na wskaźnik dźwigni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okr</w:t>
            </w:r>
            <w:r w:rsidRPr="00835753">
              <w:rPr>
                <w:rFonts w:ascii="Times New Roman" w:hAnsi="Times New Roman"/>
                <w:sz w:val="24"/>
                <w:szCs w:val="24"/>
              </w:rPr>
              <w:t>esie, którego dotyczy ujawniony wskaźnik dźwigni” obejmuje wszelkie istotne informacje na temat:</w:t>
            </w:r>
          </w:p>
          <w:p w14:paraId="03ED54C0" w14:textId="3299FB93" w:rsidR="000A7015" w:rsidRPr="00835753"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proofErr w:type="gramStart"/>
            <w:r w:rsidRPr="00835753">
              <w:rPr>
                <w:rFonts w:ascii="Times New Roman" w:hAnsi="Times New Roman"/>
                <w:sz w:val="24"/>
                <w:szCs w:val="24"/>
              </w:rPr>
              <w:t>kwantyfikacji</w:t>
            </w:r>
            <w:proofErr w:type="gramEnd"/>
            <w:r w:rsidRPr="00835753">
              <w:rPr>
                <w:rFonts w:ascii="Times New Roman" w:hAnsi="Times New Roman"/>
                <w:sz w:val="24"/>
                <w:szCs w:val="24"/>
              </w:rPr>
              <w:t xml:space="preserve"> zmiany wskaźnika dźwigni od poprzedniego dnia odniesienia do celów ujawniania informacji;</w:t>
            </w:r>
          </w:p>
          <w:p w14:paraId="42D8F1FD" w14:textId="1DC0A253" w:rsidR="000A7015" w:rsidRPr="00835753"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proofErr w:type="gramStart"/>
            <w:r w:rsidRPr="00835753">
              <w:rPr>
                <w:rFonts w:ascii="Times New Roman" w:hAnsi="Times New Roman"/>
                <w:sz w:val="24"/>
                <w:szCs w:val="24"/>
              </w:rPr>
              <w:t>głównych</w:t>
            </w:r>
            <w:proofErr w:type="gramEnd"/>
            <w:r w:rsidRPr="00835753">
              <w:rPr>
                <w:rFonts w:ascii="Times New Roman" w:hAnsi="Times New Roman"/>
                <w:sz w:val="24"/>
                <w:szCs w:val="24"/>
              </w:rPr>
              <w:t xml:space="preserve"> czynników wpływających na zmianę wskaźnika dźwigni od poprzedniego dnia odniesienia do celów ujawniania informacji wraz</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kom</w:t>
            </w:r>
            <w:r w:rsidRPr="00835753">
              <w:rPr>
                <w:rFonts w:ascii="Times New Roman" w:hAnsi="Times New Roman"/>
                <w:sz w:val="24"/>
                <w:szCs w:val="24"/>
              </w:rPr>
              <w:t>entarzami objaśniającymi na temat:</w:t>
            </w:r>
          </w:p>
          <w:p w14:paraId="17C83F25" w14:textId="77777777" w:rsidR="000A7015" w:rsidRPr="00835753"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sidRPr="00835753">
              <w:rPr>
                <w:rFonts w:ascii="Times New Roman" w:hAnsi="Times New Roman"/>
                <w:sz w:val="24"/>
                <w:szCs w:val="24"/>
              </w:rPr>
              <w:t>1) charakteru zmiany oraz faktu, czy zmiana ta dotyczyła licznika wskaźnika, mianownika wskaźnika czy obu tych wartości;</w:t>
            </w:r>
          </w:p>
          <w:p w14:paraId="782B25CF" w14:textId="5C11B93C" w:rsidR="000A7015" w:rsidRPr="00835753" w:rsidRDefault="000A7015" w:rsidP="00E70D84">
            <w:pPr>
              <w:pStyle w:val="Teksttreci0"/>
              <w:numPr>
                <w:ilvl w:val="0"/>
                <w:numId w:val="27"/>
              </w:numPr>
              <w:shd w:val="clear" w:color="auto" w:fill="auto"/>
              <w:tabs>
                <w:tab w:val="left" w:pos="-17"/>
              </w:tabs>
              <w:spacing w:after="120" w:line="240" w:lineRule="auto"/>
              <w:ind w:hanging="360"/>
              <w:rPr>
                <w:rFonts w:ascii="Times New Roman" w:hAnsi="Times New Roman" w:cs="Times New Roman"/>
                <w:sz w:val="24"/>
                <w:szCs w:val="24"/>
              </w:rPr>
            </w:pPr>
            <w:r w:rsidRPr="00835753">
              <w:rPr>
                <w:rFonts w:ascii="Times New Roman" w:hAnsi="Times New Roman"/>
                <w:sz w:val="24"/>
                <w:szCs w:val="24"/>
              </w:rPr>
              <w:t>2) tego, czy zmiana wynikała</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wew</w:t>
            </w:r>
            <w:r w:rsidRPr="00835753">
              <w:rPr>
                <w:rFonts w:ascii="Times New Roman" w:hAnsi="Times New Roman"/>
                <w:sz w:val="24"/>
                <w:szCs w:val="24"/>
              </w:rPr>
              <w:t>nętrznej decyzji strategicznej,</w:t>
            </w:r>
            <w:r w:rsidR="00835753" w:rsidRPr="00835753">
              <w:rPr>
                <w:rFonts w:ascii="Times New Roman" w:hAnsi="Times New Roman"/>
                <w:sz w:val="24"/>
                <w:szCs w:val="24"/>
              </w:rPr>
              <w:t xml:space="preserve"> a</w:t>
            </w:r>
            <w:r w:rsidR="00835753">
              <w:rPr>
                <w:rFonts w:ascii="Times New Roman" w:hAnsi="Times New Roman"/>
                <w:sz w:val="24"/>
                <w:szCs w:val="24"/>
              </w:rPr>
              <w:t> </w:t>
            </w:r>
            <w:r w:rsidR="00835753" w:rsidRPr="00835753">
              <w:rPr>
                <w:rFonts w:ascii="Times New Roman" w:hAnsi="Times New Roman"/>
                <w:sz w:val="24"/>
                <w:szCs w:val="24"/>
              </w:rPr>
              <w:t>jeś</w:t>
            </w:r>
            <w:r w:rsidRPr="00835753">
              <w:rPr>
                <w:rFonts w:ascii="Times New Roman" w:hAnsi="Times New Roman"/>
                <w:sz w:val="24"/>
                <w:szCs w:val="24"/>
              </w:rPr>
              <w:t>li tak, to czy ta decyzja strategiczna miała bezpośredni wpływ na wskaźnik dźwigni, czy też wpływała na wskaźnik dźwigni jedynie pośrednio;</w:t>
            </w:r>
          </w:p>
          <w:p w14:paraId="2A567F52" w14:textId="3C1545AC" w:rsidR="000A7015" w:rsidRPr="00835753"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sidRPr="00835753">
              <w:rPr>
                <w:rFonts w:ascii="Times New Roman" w:hAnsi="Times New Roman"/>
                <w:sz w:val="24"/>
                <w:szCs w:val="24"/>
              </w:rPr>
              <w:t>3) najbardziej znaczących czynników zewnętrznych związanych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oto</w:t>
            </w:r>
            <w:r w:rsidRPr="00835753">
              <w:rPr>
                <w:rFonts w:ascii="Times New Roman" w:hAnsi="Times New Roman"/>
                <w:sz w:val="24"/>
                <w:szCs w:val="24"/>
              </w:rPr>
              <w:t>czeniem gospodarczym</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fin</w:t>
            </w:r>
            <w:r w:rsidRPr="00835753">
              <w:rPr>
                <w:rFonts w:ascii="Times New Roman" w:hAnsi="Times New Roman"/>
                <w:sz w:val="24"/>
                <w:szCs w:val="24"/>
              </w:rPr>
              <w:t>ansowym, które miały wpływ na wskaźnik dźwigni.</w:t>
            </w:r>
          </w:p>
        </w:tc>
      </w:tr>
    </w:tbl>
    <w:p w14:paraId="6D781076" w14:textId="77777777" w:rsidR="007A7DC0" w:rsidRPr="00835753" w:rsidRDefault="007A7DC0" w:rsidP="000A7015">
      <w:pPr>
        <w:spacing w:after="120"/>
        <w:rPr>
          <w:rFonts w:ascii="Times New Roman" w:hAnsi="Times New Roman" w:cs="Times New Roman"/>
          <w:sz w:val="24"/>
        </w:rPr>
        <w:sectPr w:rsidR="007A7DC0" w:rsidRPr="00835753" w:rsidSect="00155C96">
          <w:pgSz w:w="11900" w:h="16840"/>
          <w:pgMar w:top="2268" w:right="1418" w:bottom="1134" w:left="1701" w:header="709" w:footer="709" w:gutter="0"/>
          <w:pgNumType w:start="1" w:chapStyle="1"/>
          <w:cols w:space="708"/>
          <w:docGrid w:linePitch="299"/>
        </w:sectPr>
      </w:pPr>
    </w:p>
    <w:bookmarkStart w:id="15" w:name="bookmark43"/>
    <w:p w14:paraId="0146CDDE" w14:textId="099E3C1A" w:rsidR="001E06A3" w:rsidRPr="00835753" w:rsidRDefault="001E06A3" w:rsidP="001E06A3">
      <w:pPr>
        <w:pStyle w:val="Annexetitre"/>
      </w:pPr>
      <w:r w:rsidRPr="00835753">
        <w:lastRenderedPageBreak/>
        <w:fldChar w:fldCharType="begin"/>
      </w:r>
      <w:r w:rsidRPr="00835753">
        <w:fldChar w:fldCharType="separate"/>
      </w:r>
      <w:r w:rsidRPr="00835753">
        <w:rPr>
          <w:lang w:eastAsia="pl-PL"/>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835753">
        <w:fldChar w:fldCharType="end"/>
      </w:r>
      <w:r w:rsidRPr="00835753">
        <w:t>ZAŁĄCZNIK XIV – Instrukcje odnoszące się do wzorów wymogów dotyczących płynności</w:t>
      </w:r>
    </w:p>
    <w:p w14:paraId="1454673D" w14:textId="2200263B" w:rsidR="001E06A3" w:rsidRPr="00835753" w:rsidRDefault="001E06A3" w:rsidP="001E06A3">
      <w:pPr>
        <w:spacing w:before="120" w:after="120"/>
        <w:jc w:val="both"/>
        <w:rPr>
          <w:rFonts w:ascii="Times New Roman" w:hAnsi="Times New Roman" w:cs="Times New Roman"/>
          <w:b/>
          <w:sz w:val="24"/>
        </w:rPr>
      </w:pPr>
      <w:r w:rsidRPr="00835753">
        <w:rPr>
          <w:rFonts w:ascii="Times New Roman" w:hAnsi="Times New Roman"/>
          <w:b/>
          <w:sz w:val="24"/>
        </w:rPr>
        <w:t xml:space="preserve">Instrukcje odnoszące się do tabeli EU LIQA dotyczącej zarządzania ryzykiem płynności oraz wzoru EU LIQ1 dotyczącego wskaźnika pokrycia wypływów netto </w:t>
      </w:r>
    </w:p>
    <w:p w14:paraId="05093B5F" w14:textId="29526DF1" w:rsidR="001E06A3" w:rsidRPr="00835753"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b/>
          <w:sz w:val="24"/>
        </w:rPr>
      </w:pPr>
      <w:r w:rsidRPr="00835753">
        <w:rPr>
          <w:rFonts w:ascii="Times New Roman" w:hAnsi="Times New Roman"/>
          <w:sz w:val="24"/>
        </w:rPr>
        <w:t>Wypełniając tabelę EU LIQA, wzór EU LIQ1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tab</w:t>
      </w:r>
      <w:r w:rsidRPr="00835753">
        <w:rPr>
          <w:rFonts w:ascii="Times New Roman" w:hAnsi="Times New Roman"/>
          <w:sz w:val="24"/>
        </w:rPr>
        <w:t>elę EU LIQB, instytucje podlegające części szóstej rozporządzenia (UE) nr</w:t>
      </w:r>
      <w:r w:rsidR="00835753" w:rsidRPr="00835753">
        <w:rPr>
          <w:rFonts w:ascii="Times New Roman" w:hAnsi="Times New Roman"/>
          <w:sz w:val="24"/>
        </w:rPr>
        <w:t> </w:t>
      </w:r>
      <w:r w:rsidRPr="00835753">
        <w:rPr>
          <w:rFonts w:ascii="Times New Roman" w:hAnsi="Times New Roman"/>
          <w:sz w:val="24"/>
        </w:rPr>
        <w:t>575/2013</w:t>
      </w:r>
      <w:r w:rsidRPr="00835753">
        <w:rPr>
          <w:rStyle w:val="FootnoteReference"/>
          <w:rFonts w:ascii="Times New Roman" w:hAnsi="Times New Roman" w:cs="Times New Roman"/>
          <w:sz w:val="24"/>
        </w:rPr>
        <w:footnoteReference w:id="21"/>
      </w:r>
      <w:r w:rsidRPr="00835753">
        <w:rPr>
          <w:rFonts w:ascii="Times New Roman" w:hAnsi="Times New Roman"/>
          <w:sz w:val="24"/>
        </w:rPr>
        <w:t xml:space="preserve"> („CRR”)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451a CRR.</w:t>
      </w:r>
      <w:bookmarkEnd w:id="15"/>
      <w:r w:rsidRPr="00835753">
        <w:rPr>
          <w:rFonts w:ascii="Times New Roman" w:hAnsi="Times New Roman"/>
          <w:b/>
          <w:sz w:val="24"/>
        </w:rPr>
        <w:t xml:space="preserve"> </w:t>
      </w:r>
    </w:p>
    <w:p w14:paraId="4E3770EF" w14:textId="085A87B6" w:rsidR="001E06A3" w:rsidRPr="00835753" w:rsidRDefault="001E06A3" w:rsidP="001E06A3">
      <w:pPr>
        <w:pStyle w:val="Titlelevel2"/>
        <w:spacing w:before="120" w:after="120"/>
        <w:rPr>
          <w:rFonts w:ascii="Times New Roman" w:hAnsi="Times New Roman"/>
          <w:b/>
          <w:color w:val="auto"/>
          <w:sz w:val="24"/>
        </w:rPr>
      </w:pPr>
      <w:bookmarkStart w:id="16" w:name="bookmark44"/>
      <w:r w:rsidRPr="00835753">
        <w:rPr>
          <w:rFonts w:ascii="Times New Roman" w:hAnsi="Times New Roman"/>
          <w:b/>
          <w:color w:val="auto"/>
          <w:sz w:val="24"/>
        </w:rPr>
        <w:t xml:space="preserve">Tabela EU LIQA – Zarządzanie ryzykiem płynności </w:t>
      </w:r>
    </w:p>
    <w:p w14:paraId="3FF4529C" w14:textId="3D2F52A6" w:rsidR="001E06A3" w:rsidRPr="00835753"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835753">
        <w:rPr>
          <w:rFonts w:ascii="Times New Roman" w:hAnsi="Times New Roman"/>
          <w:sz w:val="24"/>
        </w:rPr>
        <w:t>W celu wypełnienia tabeli EU LIQA zamieszczonej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XIII do niniejszego rozporządzenia wykonawczego instytucje podlegające części szóstej CRR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451a ust.</w:t>
      </w:r>
      <w:r w:rsidR="00835753" w:rsidRPr="00835753">
        <w:rPr>
          <w:rFonts w:ascii="Times New Roman" w:hAnsi="Times New Roman"/>
          <w:sz w:val="24"/>
        </w:rPr>
        <w:t> </w:t>
      </w:r>
      <w:r w:rsidRPr="00835753">
        <w:rPr>
          <w:rFonts w:ascii="Times New Roman" w:hAnsi="Times New Roman"/>
          <w:sz w:val="24"/>
        </w:rPr>
        <w:t>4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p>
    <w:p w14:paraId="1B11FB4C" w14:textId="0F607B0B"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Do celów tabeli EU LIQA instytucje podlegające przepisom części szóstej CRR traktują pola tekstowe podane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tab</w:t>
      </w:r>
      <w:r w:rsidRPr="00835753">
        <w:rPr>
          <w:rFonts w:ascii="Times New Roman" w:hAnsi="Times New Roman"/>
          <w:sz w:val="24"/>
        </w:rPr>
        <w:t>eli jako pola na tekst dowolny. Instytucje te przedstawiają istotne informacje, zarówno jakościowe, jak</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ilo</w:t>
      </w:r>
      <w:r w:rsidRPr="00835753">
        <w:rPr>
          <w:rFonts w:ascii="Times New Roman" w:hAnsi="Times New Roman"/>
          <w:sz w:val="24"/>
        </w:rPr>
        <w:t>ściowe, na temat celów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str</w:t>
      </w:r>
      <w:r w:rsidRPr="00835753">
        <w:rPr>
          <w:rFonts w:ascii="Times New Roman" w:hAnsi="Times New Roman"/>
          <w:sz w:val="24"/>
        </w:rPr>
        <w:t>ategii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zarządzania ryzykiem płynności,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eżności od ich modeli biznesowych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pro</w:t>
      </w:r>
      <w:r w:rsidRPr="00835753">
        <w:rPr>
          <w:rFonts w:ascii="Times New Roman" w:hAnsi="Times New Roman"/>
          <w:sz w:val="24"/>
        </w:rPr>
        <w:t>fili ryzyka płynności, organizacji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fun</w:t>
      </w:r>
      <w:r w:rsidRPr="00835753">
        <w:rPr>
          <w:rFonts w:ascii="Times New Roman" w:hAnsi="Times New Roman"/>
          <w:sz w:val="24"/>
        </w:rPr>
        <w:t>kcji zaangażowanych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zar</w:t>
      </w:r>
      <w:r w:rsidRPr="00835753">
        <w:rPr>
          <w:rFonts w:ascii="Times New Roman" w:hAnsi="Times New Roman"/>
          <w:sz w:val="24"/>
        </w:rPr>
        <w:t>ządzanie ryzykiem płynności,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1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delegowanym Komisji (UE) 2015/61</w:t>
      </w:r>
      <w:r w:rsidRPr="00835753">
        <w:rPr>
          <w:rStyle w:val="FootnoteReference"/>
          <w:rFonts w:ascii="Times New Roman" w:hAnsi="Times New Roman" w:cs="Times New Roman"/>
          <w:sz w:val="24"/>
        </w:rPr>
        <w:footnoteReference w:id="22"/>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 xml:space="preserve">iesieniu do wymogu pokrycia wypływów netto dla instytucji kredytowych. </w:t>
      </w:r>
    </w:p>
    <w:p w14:paraId="1BE2572C" w14:textId="6EBE3A8A" w:rsidR="001E06A3" w:rsidRPr="00835753" w:rsidRDefault="001E06A3" w:rsidP="001E06A3">
      <w:pPr>
        <w:pStyle w:val="Titlelevel2"/>
        <w:spacing w:before="120" w:after="120"/>
        <w:rPr>
          <w:rFonts w:ascii="Times New Roman" w:hAnsi="Times New Roman"/>
          <w:b/>
          <w:color w:val="auto"/>
          <w:sz w:val="24"/>
        </w:rPr>
      </w:pPr>
      <w:r w:rsidRPr="00835753">
        <w:rPr>
          <w:rFonts w:ascii="Times New Roman" w:hAnsi="Times New Roman"/>
          <w:b/>
          <w:color w:val="auto"/>
          <w:sz w:val="24"/>
        </w:rPr>
        <w:t>Wzór EU LIQ1 – Informacje ilościowe na temat wskaźnika pokrycia wypływów netto</w:t>
      </w:r>
    </w:p>
    <w:bookmarkEnd w:id="16"/>
    <w:p w14:paraId="5536EE2D" w14:textId="4EFAEC99"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W celu wypełnienia tabeli EU LIQ1 zamieszczonej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XIII do niniejszego rozporządzenia wykonawczego instytucje podlegające części szóstej CRR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451a ust.</w:t>
      </w:r>
      <w:r w:rsidR="00835753" w:rsidRPr="00835753">
        <w:rPr>
          <w:rFonts w:ascii="Times New Roman" w:hAnsi="Times New Roman"/>
          <w:sz w:val="24"/>
        </w:rPr>
        <w:t> </w:t>
      </w:r>
      <w:r w:rsidRPr="00835753">
        <w:rPr>
          <w:rFonts w:ascii="Times New Roman" w:hAnsi="Times New Roman"/>
          <w:sz w:val="24"/>
        </w:rPr>
        <w:t>2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p>
    <w:p w14:paraId="375C2138" w14:textId="79B75E9D" w:rsidR="001E06A3" w:rsidRPr="00835753"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835753">
        <w:rPr>
          <w:rFonts w:ascii="Times New Roman" w:hAnsi="Times New Roman"/>
          <w:sz w:val="24"/>
        </w:rPr>
        <w:t>Ujawniając informacje wymagane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wzorze, instytucje podlegające części szóstej CRR podają wartości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e liczbowe wymagane dla każdego</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czt</w:t>
      </w:r>
      <w:r w:rsidRPr="00835753">
        <w:rPr>
          <w:rFonts w:ascii="Times New Roman" w:hAnsi="Times New Roman"/>
          <w:sz w:val="24"/>
        </w:rPr>
        <w:t>erech kwartałów kalendarzowych (styczeń-marzec, kwiecień-czerwiec, lipiec-wrzesień, październik-grudzień) poprzedzających dzień ujawnienia informacji. Instytucje obliczają te wartości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e liczbowe jako średnie arytmetyczne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obs</w:t>
      </w:r>
      <w:r w:rsidRPr="00835753">
        <w:rPr>
          <w:rFonts w:ascii="Times New Roman" w:hAnsi="Times New Roman"/>
          <w:sz w:val="24"/>
        </w:rPr>
        <w:t>erwacji na koniec miesiąca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dwunastu miesięcy poprzedzających koniec każdego kwartału.</w:t>
      </w:r>
    </w:p>
    <w:p w14:paraId="64733842" w14:textId="326DC42B" w:rsidR="001E06A3" w:rsidRPr="00835753"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835753">
        <w:rPr>
          <w:rFonts w:ascii="Times New Roman" w:hAnsi="Times New Roman"/>
          <w:sz w:val="24"/>
        </w:rPr>
        <w:t>Informacje wymagane we wzorze EU LIQ1 obejmują wszystkie pozycje bez względu na walutę,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rej są wyrażone, i są ujawniane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wal</w:t>
      </w:r>
      <w:r w:rsidRPr="00835753">
        <w:rPr>
          <w:rFonts w:ascii="Times New Roman" w:hAnsi="Times New Roman"/>
          <w:sz w:val="24"/>
        </w:rPr>
        <w:t>ucie sprawozdawczej określonej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 rozporządzenia delegowanego Komisji (UE) 2015/61.</w:t>
      </w:r>
    </w:p>
    <w:p w14:paraId="334230CA" w14:textId="511F2425" w:rsidR="001E06A3" w:rsidRPr="00835753" w:rsidRDefault="003414D7"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835753">
        <w:rPr>
          <w:rFonts w:ascii="Times New Roman" w:hAnsi="Times New Roman"/>
          <w:sz w:val="24"/>
        </w:rPr>
        <w:t>W celu obliczenia nieważonych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waż</w:t>
      </w:r>
      <w:r w:rsidRPr="00835753">
        <w:rPr>
          <w:rFonts w:ascii="Times New Roman" w:hAnsi="Times New Roman"/>
          <w:sz w:val="24"/>
        </w:rPr>
        <w:t>onych wpływów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wyp</w:t>
      </w:r>
      <w:r w:rsidRPr="00835753">
        <w:rPr>
          <w:rFonts w:ascii="Times New Roman" w:hAnsi="Times New Roman"/>
          <w:sz w:val="24"/>
        </w:rPr>
        <w:t>ływów oraz ważonych aktywów płynnych wysokiej jakości do celów wzoru EU LIQ1 instytucje stosują następujące instrukcje:</w:t>
      </w:r>
    </w:p>
    <w:p w14:paraId="0D56960B" w14:textId="57B78981" w:rsidR="001E06A3" w:rsidRPr="00835753"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sidRPr="00835753">
        <w:rPr>
          <w:rFonts w:ascii="Times New Roman" w:hAnsi="Times New Roman"/>
          <w:sz w:val="24"/>
        </w:rPr>
        <w:lastRenderedPageBreak/>
        <w:t>Wpływy/wypływy: nieważoną wartość wpływów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wyp</w:t>
      </w:r>
      <w:r w:rsidRPr="00835753">
        <w:rPr>
          <w:rFonts w:ascii="Times New Roman" w:hAnsi="Times New Roman"/>
          <w:sz w:val="24"/>
        </w:rPr>
        <w:t>ływów oblicza się jako saldo należności poszczególnych kategorii lub rodzajów zobowiązań, pozycji pozabilansowych lub należności umownych. „Ważoną” wartość wpływów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wyp</w:t>
      </w:r>
      <w:r w:rsidRPr="00835753">
        <w:rPr>
          <w:rFonts w:ascii="Times New Roman" w:hAnsi="Times New Roman"/>
          <w:sz w:val="24"/>
        </w:rPr>
        <w:t>ływów oblicza się jako wartość po zastosowaniu wskaźników wpływów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wyp</w:t>
      </w:r>
      <w:r w:rsidRPr="00835753">
        <w:rPr>
          <w:rFonts w:ascii="Times New Roman" w:hAnsi="Times New Roman"/>
          <w:sz w:val="24"/>
        </w:rPr>
        <w:t>ływów.</w:t>
      </w:r>
    </w:p>
    <w:p w14:paraId="4DC6E39C" w14:textId="77777777" w:rsidR="001E06A3" w:rsidRPr="00835753"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sidRPr="00835753">
        <w:rPr>
          <w:rFonts w:ascii="Times New Roman" w:hAnsi="Times New Roman"/>
          <w:sz w:val="24"/>
        </w:rPr>
        <w:t>HQLA: „ważoną” wartość aktywów płynnych wysokiej jakości (HQLA) oblicza się jako wartość po zastosowaniu redukcji wartości.</w:t>
      </w:r>
    </w:p>
    <w:p w14:paraId="6216B9AD" w14:textId="1D810C1B" w:rsidR="001E06A3" w:rsidRPr="00835753"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835753">
        <w:rPr>
          <w:rFonts w:ascii="Times New Roman" w:hAnsi="Times New Roman"/>
          <w:sz w:val="24"/>
        </w:rPr>
        <w:t>W celu obliczenia skorygowanej wartości zabezpieczenia przed utratą płynności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ycji 21 oraz skorygowanej wartości całkowitych wypływów środków pieniężnych netto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ycji 22 wzoru EU LIQ1 instytucje stosują każdą</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nas</w:t>
      </w:r>
      <w:r w:rsidRPr="00835753">
        <w:rPr>
          <w:rFonts w:ascii="Times New Roman" w:hAnsi="Times New Roman"/>
          <w:sz w:val="24"/>
        </w:rPr>
        <w:t>tępujących instrukcji:</w:t>
      </w:r>
    </w:p>
    <w:p w14:paraId="1CDE122B" w14:textId="7780AD2F" w:rsidR="001E06A3" w:rsidRPr="00835753"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proofErr w:type="gramStart"/>
      <w:r w:rsidRPr="00835753">
        <w:rPr>
          <w:rFonts w:ascii="Times New Roman" w:hAnsi="Times New Roman"/>
          <w:sz w:val="24"/>
        </w:rPr>
        <w:t>skorygowana</w:t>
      </w:r>
      <w:proofErr w:type="gramEnd"/>
      <w:r w:rsidRPr="00835753">
        <w:rPr>
          <w:rFonts w:ascii="Times New Roman" w:hAnsi="Times New Roman"/>
          <w:sz w:val="24"/>
        </w:rPr>
        <w:t xml:space="preserve"> wartość zabezpieczenia przed utratą płynności jest wartością całkowitych HQLA po zastosowaniu zarówno redukcji wartości, jak</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wsz</w:t>
      </w:r>
      <w:r w:rsidRPr="00835753">
        <w:rPr>
          <w:rFonts w:ascii="Times New Roman" w:hAnsi="Times New Roman"/>
          <w:sz w:val="24"/>
        </w:rPr>
        <w:t>elkich mających zastosowanie ograniczeń;</w:t>
      </w:r>
    </w:p>
    <w:p w14:paraId="0E6BB9D1" w14:textId="39C43A3F" w:rsidR="001E06A3" w:rsidRPr="00835753"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proofErr w:type="gramStart"/>
      <w:r w:rsidRPr="00835753">
        <w:rPr>
          <w:rFonts w:ascii="Times New Roman" w:hAnsi="Times New Roman"/>
          <w:sz w:val="24"/>
        </w:rPr>
        <w:t>skorygowaną</w:t>
      </w:r>
      <w:proofErr w:type="gramEnd"/>
      <w:r w:rsidRPr="00835753">
        <w:rPr>
          <w:rFonts w:ascii="Times New Roman" w:hAnsi="Times New Roman"/>
          <w:sz w:val="24"/>
        </w:rPr>
        <w:t xml:space="preserve"> wartość wypływów środków pieniężnych netto oblicza się po zastosowaniu,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 ograniczenia wpływów.</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835753"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0E0DAE46" w:rsidR="001E06A3" w:rsidRPr="00835753" w:rsidRDefault="001E06A3" w:rsidP="001E06A3">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1E06A3" w:rsidRPr="00835753" w14:paraId="18C0CAC6" w14:textId="77777777" w:rsidTr="001E06A3">
        <w:trPr>
          <w:trHeight w:val="238"/>
        </w:trPr>
        <w:tc>
          <w:tcPr>
            <w:tcW w:w="1384" w:type="dxa"/>
            <w:shd w:val="clear" w:color="auto" w:fill="D9D9D9" w:themeFill="background1" w:themeFillShade="D9"/>
          </w:tcPr>
          <w:p w14:paraId="144EFC16" w14:textId="77777777" w:rsidR="001E06A3" w:rsidRPr="00835753" w:rsidRDefault="001E06A3" w:rsidP="001E06A3">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35299EE0" w14:textId="77777777" w:rsidR="001E06A3" w:rsidRPr="00835753" w:rsidRDefault="001E06A3" w:rsidP="001E06A3">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1E06A3" w:rsidRPr="00835753" w14:paraId="1A43E3DF" w14:textId="77777777" w:rsidTr="001E06A3">
        <w:trPr>
          <w:trHeight w:val="1858"/>
        </w:trPr>
        <w:tc>
          <w:tcPr>
            <w:tcW w:w="1384" w:type="dxa"/>
          </w:tcPr>
          <w:p w14:paraId="372FC7C6" w14:textId="77777777" w:rsidR="001E06A3" w:rsidRPr="00835753" w:rsidRDefault="001E06A3" w:rsidP="001E06A3">
            <w:pPr>
              <w:pStyle w:val="Applicationdirecte"/>
              <w:spacing w:before="120"/>
              <w:jc w:val="center"/>
            </w:pPr>
            <w:r w:rsidRPr="00835753">
              <w:t>1</w:t>
            </w:r>
          </w:p>
        </w:tc>
        <w:tc>
          <w:tcPr>
            <w:tcW w:w="7655" w:type="dxa"/>
          </w:tcPr>
          <w:p w14:paraId="3F0FD976" w14:textId="77777777" w:rsidR="001E06A3" w:rsidRPr="00835753" w:rsidRDefault="001E06A3" w:rsidP="001E06A3">
            <w:pPr>
              <w:pStyle w:val="Applicationdirecte"/>
              <w:spacing w:before="120"/>
              <w:rPr>
                <w:b/>
              </w:rPr>
            </w:pPr>
            <w:r w:rsidRPr="00835753">
              <w:rPr>
                <w:b/>
              </w:rPr>
              <w:t>Całkowite aktywa płynne wysokiej jakości (HQLA)</w:t>
            </w:r>
          </w:p>
          <w:p w14:paraId="5E16583C" w14:textId="35193D5E" w:rsidR="001E06A3" w:rsidRPr="00835753" w:rsidRDefault="001E06A3" w:rsidP="001E06A3">
            <w:pPr>
              <w:pStyle w:val="InstructionsText"/>
              <w:rPr>
                <w:rFonts w:eastAsiaTheme="minorEastAsia"/>
              </w:rPr>
            </w:pPr>
            <w:r w:rsidRPr="00835753">
              <w:t>Instytucje ujawniają jako wartość ważoną wartość aktywów płynnych zgodnie</w:t>
            </w:r>
            <w:r w:rsidR="00835753" w:rsidRPr="00835753">
              <w:t xml:space="preserve"> z</w:t>
            </w:r>
            <w:r w:rsidR="00835753">
              <w:t> </w:t>
            </w:r>
            <w:r w:rsidR="00835753" w:rsidRPr="00835753">
              <w:t>art</w:t>
            </w:r>
            <w:r w:rsidRPr="00835753">
              <w:t>.</w:t>
            </w:r>
            <w:r w:rsidR="00835753" w:rsidRPr="00835753">
              <w:t> </w:t>
            </w:r>
            <w:r w:rsidRPr="00835753">
              <w:t>9 rozporządzenia delegowanego Komisji (UE) 2015/61 przed zastosowaniem mechanizmu korekty określonego</w:t>
            </w:r>
            <w:r w:rsidR="00835753" w:rsidRPr="00835753">
              <w:t xml:space="preserve"> w</w:t>
            </w:r>
            <w:r w:rsidR="00835753">
              <w:t> </w:t>
            </w:r>
            <w:r w:rsidR="00835753" w:rsidRPr="00835753">
              <w:t>art</w:t>
            </w:r>
            <w:r w:rsidRPr="00835753">
              <w:t>.</w:t>
            </w:r>
            <w:r w:rsidR="00835753" w:rsidRPr="00835753">
              <w:t> </w:t>
            </w:r>
            <w:r w:rsidRPr="00835753">
              <w:t>17 ust.</w:t>
            </w:r>
            <w:r w:rsidR="00835753" w:rsidRPr="00835753">
              <w:t> </w:t>
            </w:r>
            <w:r w:rsidRPr="00835753">
              <w:t xml:space="preserve">2 rozporządzenia delegowanego Komisji (UE) 2015/61. </w:t>
            </w:r>
          </w:p>
        </w:tc>
      </w:tr>
      <w:tr w:rsidR="001E06A3" w:rsidRPr="00835753" w14:paraId="0C34846D" w14:textId="77777777" w:rsidTr="001E06A3">
        <w:trPr>
          <w:trHeight w:val="316"/>
        </w:trPr>
        <w:tc>
          <w:tcPr>
            <w:tcW w:w="1384" w:type="dxa"/>
          </w:tcPr>
          <w:p w14:paraId="39898EF8" w14:textId="77777777" w:rsidR="001E06A3" w:rsidRPr="00835753" w:rsidRDefault="001E06A3" w:rsidP="001E06A3">
            <w:pPr>
              <w:autoSpaceDE w:val="0"/>
              <w:autoSpaceDN w:val="0"/>
              <w:adjustRightInd w:val="0"/>
              <w:spacing w:after="120"/>
              <w:jc w:val="center"/>
              <w:rPr>
                <w:rFonts w:ascii="Times New Roman" w:hAnsi="Times New Roman" w:cs="Times New Roman"/>
                <w:color w:val="000000"/>
                <w:sz w:val="24"/>
              </w:rPr>
            </w:pPr>
            <w:r w:rsidRPr="00835753">
              <w:rPr>
                <w:rFonts w:ascii="Times New Roman" w:hAnsi="Times New Roman"/>
                <w:sz w:val="24"/>
              </w:rPr>
              <w:t>2</w:t>
            </w:r>
          </w:p>
        </w:tc>
        <w:tc>
          <w:tcPr>
            <w:tcW w:w="7655" w:type="dxa"/>
          </w:tcPr>
          <w:p w14:paraId="6D3E9955" w14:textId="7CC7DC5C" w:rsidR="001E06A3" w:rsidRPr="00835753" w:rsidRDefault="001E06A3" w:rsidP="001E06A3">
            <w:pPr>
              <w:autoSpaceDE w:val="0"/>
              <w:autoSpaceDN w:val="0"/>
              <w:adjustRightInd w:val="0"/>
              <w:spacing w:before="120" w:after="120"/>
              <w:rPr>
                <w:rFonts w:ascii="Times New Roman" w:hAnsi="Times New Roman" w:cs="Times New Roman"/>
                <w:b/>
                <w:sz w:val="24"/>
              </w:rPr>
            </w:pPr>
            <w:r w:rsidRPr="00835753">
              <w:rPr>
                <w:rFonts w:ascii="Times New Roman" w:hAnsi="Times New Roman"/>
                <w:b/>
                <w:sz w:val="24"/>
              </w:rPr>
              <w:t>Depozyty detaliczne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dep</w:t>
            </w:r>
            <w:r w:rsidRPr="00835753">
              <w:rPr>
                <w:rFonts w:ascii="Times New Roman" w:hAnsi="Times New Roman"/>
                <w:b/>
                <w:sz w:val="24"/>
              </w:rPr>
              <w:t>ozyty klientów będących małymi przedsiębiorstwami,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w:t>
            </w:r>
          </w:p>
          <w:p w14:paraId="158D3889" w14:textId="05E9A9F1" w:rsidR="001E06A3" w:rsidRPr="00835753" w:rsidRDefault="001E06A3" w:rsidP="001E06A3">
            <w:pPr>
              <w:spacing w:after="120" w:line="278" w:lineRule="exact"/>
              <w:jc w:val="both"/>
              <w:rPr>
                <w:rFonts w:ascii="Times New Roman" w:hAnsi="Times New Roman" w:cs="Times New Roman"/>
                <w:bCs/>
                <w:sz w:val="24"/>
              </w:rPr>
            </w:pPr>
            <w:r w:rsidRPr="00835753">
              <w:rPr>
                <w:rFonts w:ascii="Times New Roman" w:hAnsi="Times New Roman"/>
                <w:bCs/>
                <w:sz w:val="24"/>
              </w:rPr>
              <w:t xml:space="preserve">Instytucje ujawniają jako wartość nieważoną kwotę depozytów detalicznych </w:t>
            </w:r>
            <w:r w:rsidRPr="00835753">
              <w:rPr>
                <w:rFonts w:ascii="Times New Roman" w:hAnsi="Times New Roman"/>
                <w:sz w:val="24"/>
              </w:rPr>
              <w:t>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24</w:t>
            </w:r>
            <w:r w:rsidR="00835753" w:rsidRPr="00835753">
              <w:rPr>
                <w:rFonts w:ascii="Times New Roman" w:hAnsi="Times New Roman"/>
                <w:bCs/>
                <w:sz w:val="24"/>
              </w:rPr>
              <w:t xml:space="preserve"> i</w:t>
            </w:r>
            <w:r w:rsidR="00835753">
              <w:rPr>
                <w:rFonts w:ascii="Times New Roman" w:hAnsi="Times New Roman"/>
                <w:bCs/>
                <w:sz w:val="24"/>
              </w:rPr>
              <w:t> </w:t>
            </w:r>
            <w:r w:rsidR="00835753" w:rsidRPr="00835753">
              <w:rPr>
                <w:rFonts w:ascii="Times New Roman" w:hAnsi="Times New Roman"/>
                <w:bCs/>
                <w:sz w:val="24"/>
              </w:rPr>
              <w:t>2</w:t>
            </w:r>
            <w:r w:rsidRPr="00835753">
              <w:rPr>
                <w:rFonts w:ascii="Times New Roman" w:hAnsi="Times New Roman"/>
                <w:bCs/>
                <w:sz w:val="24"/>
              </w:rPr>
              <w:t xml:space="preserve">5 rozporządzenia delegowanego Komisji (UE) 2015/61. </w:t>
            </w:r>
          </w:p>
          <w:p w14:paraId="65BE8D8C" w14:textId="61AC88D0" w:rsidR="001E06A3" w:rsidRPr="00835753" w:rsidRDefault="001E06A3" w:rsidP="001E06A3">
            <w:pPr>
              <w:spacing w:after="120" w:line="278" w:lineRule="exact"/>
              <w:jc w:val="both"/>
              <w:rPr>
                <w:rFonts w:ascii="Times New Roman" w:hAnsi="Times New Roman" w:cs="Times New Roman"/>
                <w:bCs/>
                <w:sz w:val="24"/>
              </w:rPr>
            </w:pPr>
            <w:r w:rsidRPr="00835753">
              <w:rPr>
                <w:rFonts w:ascii="Times New Roman" w:hAnsi="Times New Roman"/>
                <w:sz w:val="24"/>
              </w:rPr>
              <w:t>Instytucje ujawniają jako wartość ważoną wypływy depozytów detalicznych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24</w:t>
            </w:r>
            <w:r w:rsidR="00835753" w:rsidRPr="00835753">
              <w:rPr>
                <w:rFonts w:ascii="Times New Roman" w:hAnsi="Times New Roman"/>
                <w:bCs/>
                <w:sz w:val="24"/>
              </w:rPr>
              <w:t xml:space="preserve"> i</w:t>
            </w:r>
            <w:r w:rsidR="00835753">
              <w:rPr>
                <w:rFonts w:ascii="Times New Roman" w:hAnsi="Times New Roman"/>
                <w:bCs/>
                <w:sz w:val="24"/>
              </w:rPr>
              <w:t> </w:t>
            </w:r>
            <w:r w:rsidR="00835753" w:rsidRPr="00835753">
              <w:rPr>
                <w:rFonts w:ascii="Times New Roman" w:hAnsi="Times New Roman"/>
                <w:bCs/>
                <w:sz w:val="24"/>
              </w:rPr>
              <w:t>2</w:t>
            </w:r>
            <w:r w:rsidRPr="00835753">
              <w:rPr>
                <w:rFonts w:ascii="Times New Roman" w:hAnsi="Times New Roman"/>
                <w:bCs/>
                <w:sz w:val="24"/>
              </w:rPr>
              <w:t>5 rozporządzenia delegowanego Komisji (UE) 2015/61.</w:t>
            </w:r>
          </w:p>
          <w:p w14:paraId="5A493363" w14:textId="53F31A0C" w:rsidR="001E06A3" w:rsidRPr="00835753" w:rsidRDefault="001E06A3" w:rsidP="001E06A3">
            <w:pPr>
              <w:spacing w:after="120" w:line="278" w:lineRule="exact"/>
              <w:jc w:val="both"/>
              <w:rPr>
                <w:rFonts w:ascii="Times New Roman" w:hAnsi="Times New Roman" w:cs="Times New Roman"/>
                <w:bCs/>
                <w:sz w:val="24"/>
              </w:rPr>
            </w:pPr>
            <w:r w:rsidRPr="00835753">
              <w:rPr>
                <w:rFonts w:ascii="Times New Roman" w:hAnsi="Times New Roman"/>
                <w:bCs/>
                <w:sz w:val="24"/>
              </w:rPr>
              <w:t>W tej sekcji instytucje ujawniają informacje na temat depozytów detalicznych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411 ust.</w:t>
            </w:r>
            <w:r w:rsidR="00835753" w:rsidRPr="00835753">
              <w:rPr>
                <w:rFonts w:ascii="Times New Roman" w:hAnsi="Times New Roman"/>
                <w:bCs/>
                <w:sz w:val="24"/>
              </w:rPr>
              <w:t> </w:t>
            </w:r>
            <w:r w:rsidRPr="00835753">
              <w:rPr>
                <w:rFonts w:ascii="Times New Roman" w:hAnsi="Times New Roman"/>
                <w:bCs/>
                <w:sz w:val="24"/>
              </w:rPr>
              <w:t>2 CRR.</w:t>
            </w:r>
          </w:p>
          <w:p w14:paraId="45453CA6" w14:textId="0F6B93F8" w:rsidR="001E06A3" w:rsidRPr="00835753" w:rsidRDefault="001E06A3" w:rsidP="001E06A3">
            <w:pPr>
              <w:tabs>
                <w:tab w:val="left" w:pos="3317"/>
              </w:tabs>
              <w:spacing w:after="120" w:line="278" w:lineRule="exact"/>
              <w:jc w:val="both"/>
              <w:rPr>
                <w:rFonts w:ascii="Times New Roman" w:hAnsi="Times New Roman" w:cs="Times New Roman"/>
                <w:sz w:val="24"/>
              </w:rPr>
            </w:pPr>
            <w:r w:rsidRPr="00835753">
              <w:rPr>
                <w:rFonts w:ascii="Times New Roman" w:hAnsi="Times New Roman"/>
                <w:bCs/>
                <w:sz w:val="24"/>
              </w:rPr>
              <w:t>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28 ust.</w:t>
            </w:r>
            <w:r w:rsidR="00835753" w:rsidRPr="00835753">
              <w:rPr>
                <w:rFonts w:ascii="Times New Roman" w:hAnsi="Times New Roman"/>
                <w:bCs/>
                <w:sz w:val="24"/>
              </w:rPr>
              <w:t> </w:t>
            </w:r>
            <w:r w:rsidRPr="00835753">
              <w:rPr>
                <w:rFonts w:ascii="Times New Roman" w:hAnsi="Times New Roman"/>
                <w:bCs/>
                <w:sz w:val="24"/>
              </w:rPr>
              <w:t>6 rozporządzenia delegowanego Komisji (UE) 2015/61 instytucje ujawniają również</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ram</w:t>
            </w:r>
            <w:r w:rsidRPr="00835753">
              <w:rPr>
                <w:rFonts w:ascii="Times New Roman" w:hAnsi="Times New Roman"/>
                <w:bCs/>
                <w:sz w:val="24"/>
              </w:rPr>
              <w:t>ach odpowiedniej kategorii depozytów detalicznych kwotę emitowanych papierów dłużnych, obligacji</w:t>
            </w:r>
            <w:r w:rsidR="00835753" w:rsidRPr="00835753">
              <w:rPr>
                <w:rFonts w:ascii="Times New Roman" w:hAnsi="Times New Roman"/>
                <w:bCs/>
                <w:sz w:val="24"/>
              </w:rPr>
              <w:t xml:space="preserve"> i</w:t>
            </w:r>
            <w:r w:rsidR="00835753">
              <w:rPr>
                <w:rFonts w:ascii="Times New Roman" w:hAnsi="Times New Roman"/>
                <w:bCs/>
                <w:sz w:val="24"/>
              </w:rPr>
              <w:t> </w:t>
            </w:r>
            <w:r w:rsidR="00835753" w:rsidRPr="00835753">
              <w:rPr>
                <w:rFonts w:ascii="Times New Roman" w:hAnsi="Times New Roman"/>
                <w:bCs/>
                <w:sz w:val="24"/>
              </w:rPr>
              <w:t>inn</w:t>
            </w:r>
            <w:r w:rsidRPr="00835753">
              <w:rPr>
                <w:rFonts w:ascii="Times New Roman" w:hAnsi="Times New Roman"/>
                <w:bCs/>
                <w:sz w:val="24"/>
              </w:rPr>
              <w:t>ych papierów wartościowych, które są sprzedawane wyłącznie na rynku detalicznym</w:t>
            </w:r>
            <w:r w:rsidR="00835753" w:rsidRPr="00835753">
              <w:rPr>
                <w:rFonts w:ascii="Times New Roman" w:hAnsi="Times New Roman"/>
                <w:bCs/>
                <w:sz w:val="24"/>
              </w:rPr>
              <w:t xml:space="preserve"> i</w:t>
            </w:r>
            <w:r w:rsidR="00835753">
              <w:rPr>
                <w:rFonts w:ascii="Times New Roman" w:hAnsi="Times New Roman"/>
                <w:bCs/>
                <w:sz w:val="24"/>
              </w:rPr>
              <w:t> </w:t>
            </w:r>
            <w:r w:rsidR="00835753" w:rsidRPr="00835753">
              <w:rPr>
                <w:rFonts w:ascii="Times New Roman" w:hAnsi="Times New Roman"/>
                <w:bCs/>
                <w:sz w:val="24"/>
              </w:rPr>
              <w:t>prz</w:t>
            </w:r>
            <w:r w:rsidRPr="00835753">
              <w:rPr>
                <w:rFonts w:ascii="Times New Roman" w:hAnsi="Times New Roman"/>
                <w:bCs/>
                <w:sz w:val="24"/>
              </w:rPr>
              <w:t>echowywane na rachunku detalicznym. Instytucje rozważą</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odn</w:t>
            </w:r>
            <w:r w:rsidRPr="00835753">
              <w:rPr>
                <w:rFonts w:ascii="Times New Roman" w:hAnsi="Times New Roman"/>
                <w:bCs/>
                <w:sz w:val="24"/>
              </w:rPr>
              <w:t>iesieniu do tej kategorii zobowiązań mające zastosowanie wskaźniki wypływów przewidziane</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roz</w:t>
            </w:r>
            <w:r w:rsidRPr="00835753">
              <w:rPr>
                <w:rFonts w:ascii="Times New Roman" w:hAnsi="Times New Roman"/>
                <w:bCs/>
                <w:sz w:val="24"/>
              </w:rPr>
              <w:t xml:space="preserve">porządzeniu delegowanym Komisji (UE) 2015/61 dla poszczególnych kategorii depozytów detalicznych. </w:t>
            </w:r>
          </w:p>
        </w:tc>
      </w:tr>
      <w:tr w:rsidR="001E06A3" w:rsidRPr="00835753" w14:paraId="480D1E3C" w14:textId="77777777" w:rsidTr="001E06A3">
        <w:trPr>
          <w:trHeight w:val="316"/>
        </w:trPr>
        <w:tc>
          <w:tcPr>
            <w:tcW w:w="1384" w:type="dxa"/>
          </w:tcPr>
          <w:p w14:paraId="55C8EE16"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lastRenderedPageBreak/>
              <w:t>3</w:t>
            </w:r>
          </w:p>
        </w:tc>
        <w:tc>
          <w:tcPr>
            <w:tcW w:w="7655" w:type="dxa"/>
          </w:tcPr>
          <w:p w14:paraId="1862AD71" w14:textId="77777777" w:rsidR="001E06A3" w:rsidRPr="00835753" w:rsidRDefault="001E06A3" w:rsidP="001E06A3">
            <w:pPr>
              <w:autoSpaceDE w:val="0"/>
              <w:autoSpaceDN w:val="0"/>
              <w:adjustRightInd w:val="0"/>
              <w:spacing w:before="120" w:after="120"/>
              <w:rPr>
                <w:rFonts w:ascii="Times New Roman" w:hAnsi="Times New Roman"/>
                <w:b/>
                <w:sz w:val="24"/>
              </w:rPr>
            </w:pPr>
            <w:r w:rsidRPr="00835753">
              <w:rPr>
                <w:rFonts w:ascii="Times New Roman" w:hAnsi="Times New Roman"/>
                <w:b/>
                <w:sz w:val="24"/>
              </w:rPr>
              <w:t>Stabilne depozyty</w:t>
            </w:r>
          </w:p>
          <w:p w14:paraId="1CA48DA9" w14:textId="4523C4E2" w:rsidR="001E06A3" w:rsidRPr="00835753" w:rsidRDefault="001E06A3" w:rsidP="001E06A3">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Instytucje ujawniają jako wartość nieważoną sumę kwot stabilnych depozytów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24 rozporządzenia delegowanego Komisji (UE) 2015/61.</w:t>
            </w:r>
          </w:p>
          <w:p w14:paraId="6FDB5C6A" w14:textId="29350D82" w:rsidR="001E06A3" w:rsidRPr="00835753" w:rsidRDefault="001E06A3" w:rsidP="001E06A3">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Instytucje ujawniają jako wartość ważoną sumę wypływów stabilnych depozytów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24 rozporządzenia delegowanego Komisji (UE) 2015/61.</w:t>
            </w:r>
          </w:p>
          <w:p w14:paraId="4D754E69" w14:textId="63FE86F8" w:rsidR="001E06A3" w:rsidRPr="00835753" w:rsidRDefault="001E06A3" w:rsidP="001E06A3">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 tej sekcji instytucje ujawniają część kwot depozytów detalicznych objętych systemem gwarancji depozytów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dyr</w:t>
            </w:r>
            <w:r w:rsidRPr="00835753">
              <w:rPr>
                <w:rFonts w:ascii="Times New Roman" w:hAnsi="Times New Roman"/>
                <w:sz w:val="24"/>
              </w:rPr>
              <w:t>ektywą 94/19/WE</w:t>
            </w:r>
            <w:r w:rsidRPr="00835753">
              <w:rPr>
                <w:rStyle w:val="FootnoteReference"/>
                <w:rFonts w:ascii="Times New Roman" w:hAnsi="Times New Roman" w:cs="Times New Roman"/>
                <w:sz w:val="24"/>
              </w:rPr>
              <w:footnoteReference w:id="23"/>
            </w:r>
            <w:r w:rsidRPr="00835753">
              <w:rPr>
                <w:rFonts w:ascii="Times New Roman" w:hAnsi="Times New Roman"/>
                <w:sz w:val="24"/>
              </w:rPr>
              <w:t xml:space="preserve"> lub dyrektywą 2014/49/UE</w:t>
            </w:r>
            <w:r w:rsidRPr="00835753">
              <w:rPr>
                <w:rStyle w:val="FootnoteReference"/>
                <w:rFonts w:ascii="Times New Roman" w:hAnsi="Times New Roman" w:cs="Times New Roman"/>
                <w:sz w:val="24"/>
              </w:rPr>
              <w:footnoteReference w:id="24"/>
            </w:r>
            <w:r w:rsidRPr="00835753">
              <w:rPr>
                <w:rFonts w:ascii="Times New Roman" w:hAnsi="Times New Roman"/>
                <w:sz w:val="24"/>
              </w:rPr>
              <w:t xml:space="preserve"> lub równoważnym systemem gwarancji depozytów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pań</w:t>
            </w:r>
            <w:r w:rsidRPr="00835753">
              <w:rPr>
                <w:rFonts w:ascii="Times New Roman" w:hAnsi="Times New Roman"/>
                <w:sz w:val="24"/>
              </w:rPr>
              <w:t>stwie trzecim, które są odpowiednio elementem utrwalonej relacji, co sprawia, że ich wycofanie jest bardzo mało prawdopodobne, albo są utrzymywane na rachunku transakcyjnym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24 ust.</w:t>
            </w:r>
            <w:r w:rsidR="00835753" w:rsidRPr="00835753">
              <w:rPr>
                <w:rFonts w:ascii="Times New Roman" w:hAnsi="Times New Roman"/>
                <w:sz w:val="24"/>
              </w:rPr>
              <w:t> </w:t>
            </w:r>
            <w:r w:rsidRPr="00835753">
              <w:rPr>
                <w:rFonts w:ascii="Times New Roman" w:hAnsi="Times New Roman"/>
                <w:sz w:val="24"/>
              </w:rPr>
              <w:t>2</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3</w:t>
            </w:r>
            <w:r w:rsidRPr="00835753">
              <w:rPr>
                <w:rFonts w:ascii="Times New Roman" w:hAnsi="Times New Roman"/>
                <w:sz w:val="24"/>
              </w:rPr>
              <w:t xml:space="preserve"> rozporządzenia delegowanego Komisji (UE) 2015/61, oraz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gdy:</w:t>
            </w:r>
          </w:p>
          <w:p w14:paraId="284DEE62" w14:textId="7FC16224"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depozyty</w:t>
            </w:r>
            <w:proofErr w:type="gramEnd"/>
            <w:r w:rsidRPr="00835753">
              <w:rPr>
                <w:rFonts w:ascii="Times New Roman" w:hAnsi="Times New Roman"/>
                <w:sz w:val="24"/>
              </w:rPr>
              <w:t xml:space="preserve"> te nie spełniają kryteriów dotyczących wyższego wskaźnika wypływów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25 ust.</w:t>
            </w:r>
            <w:r w:rsidR="00835753" w:rsidRPr="00835753">
              <w:rPr>
                <w:rFonts w:ascii="Times New Roman" w:hAnsi="Times New Roman"/>
                <w:sz w:val="24"/>
              </w:rPr>
              <w:t> </w:t>
            </w:r>
            <w:r w:rsidRPr="00835753">
              <w:rPr>
                <w:rFonts w:ascii="Times New Roman" w:hAnsi="Times New Roman"/>
                <w:sz w:val="24"/>
              </w:rPr>
              <w:t>2, 3 lub</w:t>
            </w:r>
            <w:r w:rsidR="00835753" w:rsidRPr="00835753">
              <w:rPr>
                <w:rFonts w:ascii="Times New Roman" w:hAnsi="Times New Roman"/>
                <w:sz w:val="24"/>
              </w:rPr>
              <w:t> </w:t>
            </w:r>
            <w:r w:rsidRPr="00835753">
              <w:rPr>
                <w:rFonts w:ascii="Times New Roman" w:hAnsi="Times New Roman"/>
                <w:sz w:val="24"/>
              </w:rPr>
              <w:t>5 rozporządzenia delegowanego Komisji (UE) 2015/61 oraz</w:t>
            </w:r>
          </w:p>
          <w:p w14:paraId="50BEF014" w14:textId="7131FB44"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proofErr w:type="gramStart"/>
            <w:r w:rsidRPr="00835753">
              <w:rPr>
                <w:rFonts w:ascii="Times New Roman" w:hAnsi="Times New Roman"/>
                <w:sz w:val="24"/>
              </w:rPr>
              <w:t>depozyty</w:t>
            </w:r>
            <w:proofErr w:type="gramEnd"/>
            <w:r w:rsidRPr="00835753">
              <w:rPr>
                <w:rFonts w:ascii="Times New Roman" w:hAnsi="Times New Roman"/>
                <w:sz w:val="24"/>
              </w:rPr>
              <w:t xml:space="preserve"> te nie zostały pozyskane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pań</w:t>
            </w:r>
            <w:r w:rsidRPr="00835753">
              <w:rPr>
                <w:rFonts w:ascii="Times New Roman" w:hAnsi="Times New Roman"/>
                <w:sz w:val="24"/>
              </w:rPr>
              <w:t>stwach trzecich,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stosuje się wyższy wskaźnik wypływów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25 ust.</w:t>
            </w:r>
            <w:r w:rsidR="00835753" w:rsidRPr="00835753">
              <w:rPr>
                <w:rFonts w:ascii="Times New Roman" w:hAnsi="Times New Roman"/>
                <w:sz w:val="24"/>
              </w:rPr>
              <w:t> </w:t>
            </w:r>
            <w:r w:rsidRPr="00835753">
              <w:rPr>
                <w:rFonts w:ascii="Times New Roman" w:hAnsi="Times New Roman"/>
                <w:sz w:val="24"/>
              </w:rPr>
              <w:t xml:space="preserve">5 rozporządzenia delegowanego Komisji (UE) 2015/61. </w:t>
            </w:r>
          </w:p>
        </w:tc>
      </w:tr>
      <w:tr w:rsidR="001E06A3" w:rsidRPr="00835753" w14:paraId="701CEA9D" w14:textId="77777777" w:rsidTr="001E06A3">
        <w:trPr>
          <w:trHeight w:val="316"/>
        </w:trPr>
        <w:tc>
          <w:tcPr>
            <w:tcW w:w="1384" w:type="dxa"/>
          </w:tcPr>
          <w:p w14:paraId="3A4DBE03" w14:textId="77777777" w:rsidR="001E06A3" w:rsidRPr="00835753" w:rsidRDefault="001E06A3" w:rsidP="001E06A3">
            <w:pPr>
              <w:autoSpaceDE w:val="0"/>
              <w:autoSpaceDN w:val="0"/>
              <w:adjustRightInd w:val="0"/>
              <w:spacing w:after="120"/>
              <w:jc w:val="center"/>
              <w:rPr>
                <w:rFonts w:ascii="Times New Roman" w:hAnsi="Times New Roman" w:cs="Times New Roman"/>
                <w:sz w:val="24"/>
              </w:rPr>
            </w:pPr>
            <w:r w:rsidRPr="00835753">
              <w:rPr>
                <w:rFonts w:ascii="Times New Roman" w:hAnsi="Times New Roman"/>
                <w:sz w:val="24"/>
              </w:rPr>
              <w:t>4</w:t>
            </w:r>
          </w:p>
        </w:tc>
        <w:tc>
          <w:tcPr>
            <w:tcW w:w="7655" w:type="dxa"/>
          </w:tcPr>
          <w:p w14:paraId="537F473D" w14:textId="77777777" w:rsidR="001E06A3" w:rsidRPr="00835753" w:rsidRDefault="001E06A3" w:rsidP="001E06A3">
            <w:pPr>
              <w:spacing w:before="120" w:after="120" w:line="190" w:lineRule="exact"/>
              <w:rPr>
                <w:rFonts w:ascii="Times New Roman" w:hAnsi="Times New Roman" w:cs="Times New Roman"/>
                <w:b/>
                <w:sz w:val="24"/>
              </w:rPr>
            </w:pPr>
            <w:r w:rsidRPr="00835753">
              <w:rPr>
                <w:rFonts w:ascii="Times New Roman" w:hAnsi="Times New Roman"/>
                <w:b/>
                <w:sz w:val="24"/>
              </w:rPr>
              <w:t>Mniej stabilne depozyty</w:t>
            </w:r>
          </w:p>
          <w:p w14:paraId="54DCDA4F" w14:textId="401DC761" w:rsidR="001E06A3" w:rsidRPr="00835753" w:rsidRDefault="001E06A3" w:rsidP="001E06A3">
            <w:pPr>
              <w:spacing w:after="120" w:line="278" w:lineRule="exact"/>
              <w:jc w:val="both"/>
              <w:rPr>
                <w:rFonts w:ascii="Times New Roman" w:hAnsi="Times New Roman" w:cs="Times New Roman"/>
                <w:sz w:val="24"/>
              </w:rPr>
            </w:pPr>
            <w:r w:rsidRPr="00835753">
              <w:rPr>
                <w:rFonts w:ascii="Times New Roman" w:hAnsi="Times New Roman"/>
                <w:sz w:val="24"/>
              </w:rPr>
              <w:t>Instytucje ujawniają jako wartość nieważoną sumę kwoty depozytów detalicznych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25 ust.</w:t>
            </w:r>
            <w:r w:rsidR="00835753" w:rsidRPr="00835753">
              <w:rPr>
                <w:rFonts w:ascii="Times New Roman" w:hAnsi="Times New Roman"/>
                <w:sz w:val="24"/>
              </w:rPr>
              <w:t> </w:t>
            </w:r>
            <w:r w:rsidRPr="00835753">
              <w:rPr>
                <w:rFonts w:ascii="Times New Roman" w:hAnsi="Times New Roman"/>
                <w:sz w:val="24"/>
              </w:rPr>
              <w:t>1, 2</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3</w:t>
            </w:r>
            <w:r w:rsidRPr="00835753">
              <w:rPr>
                <w:rFonts w:ascii="Times New Roman" w:hAnsi="Times New Roman"/>
                <w:sz w:val="24"/>
              </w:rPr>
              <w:t xml:space="preserve"> rozporządzenia delegowanego Komisji (UE) 2015/61.</w:t>
            </w:r>
          </w:p>
          <w:p w14:paraId="37AFD8CC" w14:textId="759EB608" w:rsidR="001E06A3" w:rsidRPr="00835753" w:rsidRDefault="001E06A3" w:rsidP="001E06A3">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Instytucje ujawniają jako wartość ważoną sumę wypływów depozytów detalicznych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25 ust.</w:t>
            </w:r>
            <w:r w:rsidR="00835753" w:rsidRPr="00835753">
              <w:rPr>
                <w:rFonts w:ascii="Times New Roman" w:hAnsi="Times New Roman"/>
                <w:sz w:val="24"/>
              </w:rPr>
              <w:t> </w:t>
            </w:r>
            <w:r w:rsidRPr="00835753">
              <w:rPr>
                <w:rFonts w:ascii="Times New Roman" w:hAnsi="Times New Roman"/>
                <w:sz w:val="24"/>
              </w:rPr>
              <w:t>1, 2</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3</w:t>
            </w:r>
            <w:r w:rsidRPr="00835753">
              <w:rPr>
                <w:rFonts w:ascii="Times New Roman" w:hAnsi="Times New Roman"/>
                <w:sz w:val="24"/>
              </w:rPr>
              <w:t xml:space="preserve"> rozporządzenia delegowanego Komisji (UE) 2015/61.</w:t>
            </w:r>
          </w:p>
        </w:tc>
      </w:tr>
      <w:tr w:rsidR="001E06A3" w:rsidRPr="00835753" w14:paraId="43B276D1" w14:textId="77777777" w:rsidTr="001E06A3">
        <w:trPr>
          <w:trHeight w:val="316"/>
        </w:trPr>
        <w:tc>
          <w:tcPr>
            <w:tcW w:w="1384" w:type="dxa"/>
          </w:tcPr>
          <w:p w14:paraId="20618771"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t>5</w:t>
            </w:r>
          </w:p>
        </w:tc>
        <w:tc>
          <w:tcPr>
            <w:tcW w:w="7655" w:type="dxa"/>
          </w:tcPr>
          <w:p w14:paraId="5895BE02" w14:textId="77777777" w:rsidR="001E06A3" w:rsidRPr="00835753" w:rsidRDefault="001E06A3" w:rsidP="001E06A3">
            <w:pPr>
              <w:spacing w:before="120" w:after="120" w:line="190" w:lineRule="exact"/>
              <w:rPr>
                <w:rFonts w:ascii="Times New Roman" w:hAnsi="Times New Roman"/>
                <w:sz w:val="24"/>
              </w:rPr>
            </w:pPr>
            <w:r w:rsidRPr="00835753">
              <w:rPr>
                <w:rFonts w:ascii="Times New Roman" w:hAnsi="Times New Roman"/>
                <w:b/>
                <w:sz w:val="24"/>
              </w:rPr>
              <w:t>Niezabezpieczone finansowanie na rynku międzybankowym</w:t>
            </w:r>
          </w:p>
          <w:p w14:paraId="03A74944" w14:textId="7356ED20" w:rsidR="001E06A3" w:rsidRPr="00835753" w:rsidRDefault="001E06A3" w:rsidP="00811C0D">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Instytucje ujawniają sumy kwot nieważonych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waż</w:t>
            </w:r>
            <w:r w:rsidRPr="00835753">
              <w:rPr>
                <w:rFonts w:ascii="Times New Roman" w:hAnsi="Times New Roman"/>
                <w:sz w:val="24"/>
              </w:rPr>
              <w:t>onych, które należy ujawnić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6 „Depozyty operacyjne (wszyscy kontrahenci)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dep</w:t>
            </w:r>
            <w:r w:rsidRPr="00835753">
              <w:rPr>
                <w:rFonts w:ascii="Times New Roman" w:hAnsi="Times New Roman"/>
                <w:sz w:val="24"/>
              </w:rPr>
              <w:t>ozyty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sie</w:t>
            </w:r>
            <w:r w:rsidRPr="00835753">
              <w:rPr>
                <w:rFonts w:ascii="Times New Roman" w:hAnsi="Times New Roman"/>
                <w:sz w:val="24"/>
              </w:rPr>
              <w:t>ciach banków spółdzielczych”, wierszu 7 „Depozyty nieoperacyjne (wszyscy kontrahenci</w:t>
            </w:r>
            <w:proofErr w:type="gramStart"/>
            <w:r w:rsidRPr="00835753">
              <w:rPr>
                <w:rFonts w:ascii="Times New Roman" w:hAnsi="Times New Roman"/>
                <w:sz w:val="24"/>
              </w:rPr>
              <w:t>)” oraz</w:t>
            </w:r>
            <w:proofErr w:type="gramEnd"/>
            <w:r w:rsidRPr="00835753">
              <w:rPr>
                <w:rFonts w:ascii="Times New Roman" w:hAnsi="Times New Roman"/>
                <w:sz w:val="24"/>
              </w:rPr>
              <w:t xml:space="preserve"> wierszu 8 „Dług niezabezpieczony” niniejszego wzoru.</w:t>
            </w:r>
          </w:p>
        </w:tc>
      </w:tr>
      <w:tr w:rsidR="001E06A3" w:rsidRPr="00835753" w14:paraId="4ECB5055" w14:textId="77777777" w:rsidTr="001E06A3">
        <w:trPr>
          <w:trHeight w:val="316"/>
        </w:trPr>
        <w:tc>
          <w:tcPr>
            <w:tcW w:w="1384" w:type="dxa"/>
          </w:tcPr>
          <w:p w14:paraId="308503D9"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t>6</w:t>
            </w:r>
          </w:p>
        </w:tc>
        <w:tc>
          <w:tcPr>
            <w:tcW w:w="7655" w:type="dxa"/>
          </w:tcPr>
          <w:p w14:paraId="79F16017" w14:textId="15D7F76C" w:rsidR="001E06A3" w:rsidRPr="00835753" w:rsidRDefault="001E06A3" w:rsidP="001E06A3">
            <w:pPr>
              <w:autoSpaceDE w:val="0"/>
              <w:autoSpaceDN w:val="0"/>
              <w:adjustRightInd w:val="0"/>
              <w:spacing w:before="120" w:after="120"/>
              <w:jc w:val="both"/>
              <w:rPr>
                <w:rFonts w:ascii="Times New Roman" w:hAnsi="Times New Roman"/>
                <w:sz w:val="24"/>
              </w:rPr>
            </w:pPr>
            <w:r w:rsidRPr="00835753">
              <w:rPr>
                <w:rFonts w:ascii="Times New Roman" w:hAnsi="Times New Roman"/>
                <w:b/>
                <w:sz w:val="24"/>
              </w:rPr>
              <w:t>Depozyty operacyjne (wszyscy kontrahenci)</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dep</w:t>
            </w:r>
            <w:r w:rsidRPr="00835753">
              <w:rPr>
                <w:rFonts w:ascii="Times New Roman" w:hAnsi="Times New Roman"/>
                <w:b/>
                <w:sz w:val="24"/>
              </w:rPr>
              <w:t>ozyty</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sie</w:t>
            </w:r>
            <w:r w:rsidRPr="00835753">
              <w:rPr>
                <w:rFonts w:ascii="Times New Roman" w:hAnsi="Times New Roman"/>
                <w:b/>
                <w:sz w:val="24"/>
              </w:rPr>
              <w:t>ciach banków spółdzielczych</w:t>
            </w:r>
          </w:p>
          <w:p w14:paraId="3C003E67" w14:textId="63B214E7" w:rsidR="001E06A3" w:rsidRPr="00835753" w:rsidRDefault="001E06A3" w:rsidP="001E06A3">
            <w:pPr>
              <w:autoSpaceDE w:val="0"/>
              <w:autoSpaceDN w:val="0"/>
              <w:adjustRightInd w:val="0"/>
              <w:spacing w:after="120"/>
              <w:jc w:val="both"/>
              <w:rPr>
                <w:rFonts w:ascii="Times New Roman" w:hAnsi="Times New Roman"/>
                <w:sz w:val="24"/>
              </w:rPr>
            </w:pPr>
            <w:r w:rsidRPr="00835753">
              <w:rPr>
                <w:rFonts w:ascii="Times New Roman" w:hAnsi="Times New Roman"/>
                <w:sz w:val="24"/>
              </w:rPr>
              <w:t>Instytucje ujawniają jako wartość nieważoną kwotę depozytów operacyjnych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27 rozporządzenia delegowanego Komisji (UE) 2015/61.</w:t>
            </w:r>
          </w:p>
          <w:p w14:paraId="7066CC8F" w14:textId="23825F67" w:rsidR="001E06A3" w:rsidRPr="00835753" w:rsidRDefault="001E06A3" w:rsidP="001E06A3">
            <w:pPr>
              <w:autoSpaceDE w:val="0"/>
              <w:autoSpaceDN w:val="0"/>
              <w:adjustRightInd w:val="0"/>
              <w:spacing w:after="120"/>
              <w:jc w:val="both"/>
              <w:rPr>
                <w:rFonts w:ascii="Times New Roman" w:hAnsi="Times New Roman"/>
                <w:sz w:val="24"/>
              </w:rPr>
            </w:pPr>
            <w:r w:rsidRPr="00835753">
              <w:rPr>
                <w:rFonts w:ascii="Times New Roman" w:hAnsi="Times New Roman"/>
                <w:sz w:val="24"/>
              </w:rPr>
              <w:lastRenderedPageBreak/>
              <w:t>Instytucje ujawniają jako wartość ważoną wypływy depozytów operacyjnych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27 rozporządzenia delegowanego Komisji (UE) 2015/61.</w:t>
            </w:r>
          </w:p>
          <w:p w14:paraId="32C26D4E" w14:textId="616C15B5" w:rsidR="001E06A3" w:rsidRPr="00835753" w:rsidRDefault="001E06A3" w:rsidP="001E06A3">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 tej sekcji instytucje ujawniają część depozytów operacyjnych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27 rozporządzenia delegowanego Komisji (UE) 2015/61, która to część jest niezbędna do świadczenia usług operacyjnych. Depozyty powstałe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wyn</w:t>
            </w:r>
            <w:r w:rsidRPr="00835753">
              <w:rPr>
                <w:rFonts w:ascii="Times New Roman" w:hAnsi="Times New Roman"/>
                <w:sz w:val="24"/>
              </w:rPr>
              <w:t>iku relacji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bankowości korespondenckiej lub świadczenia usług brokerskich uznaje się za depozyty nieoperacyjne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27 ust.</w:t>
            </w:r>
            <w:r w:rsidR="00835753" w:rsidRPr="00835753">
              <w:rPr>
                <w:rFonts w:ascii="Times New Roman" w:hAnsi="Times New Roman"/>
                <w:sz w:val="24"/>
              </w:rPr>
              <w:t> </w:t>
            </w:r>
            <w:r w:rsidRPr="00835753">
              <w:rPr>
                <w:rFonts w:ascii="Times New Roman" w:hAnsi="Times New Roman"/>
                <w:sz w:val="24"/>
              </w:rPr>
              <w:t>5 rozporządzenia delegowanego Komisji (UE) 2015/61.</w:t>
            </w:r>
          </w:p>
          <w:p w14:paraId="67E81DC7" w14:textId="77777777" w:rsidR="001E06A3" w:rsidRPr="00835753" w:rsidRDefault="001E06A3" w:rsidP="001E06A3">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 tej sekcji nie wykazuje się części depozytów operacyjnych przekraczającej kwotę niezbędną do świadczenia usług operacyjnych.</w:t>
            </w:r>
          </w:p>
        </w:tc>
      </w:tr>
      <w:tr w:rsidR="001E06A3" w:rsidRPr="00835753" w14:paraId="783B515B" w14:textId="77777777" w:rsidTr="001E06A3">
        <w:trPr>
          <w:trHeight w:val="316"/>
        </w:trPr>
        <w:tc>
          <w:tcPr>
            <w:tcW w:w="1384" w:type="dxa"/>
          </w:tcPr>
          <w:p w14:paraId="68D59C13"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lastRenderedPageBreak/>
              <w:t>7</w:t>
            </w:r>
          </w:p>
        </w:tc>
        <w:tc>
          <w:tcPr>
            <w:tcW w:w="7655" w:type="dxa"/>
          </w:tcPr>
          <w:p w14:paraId="65D184E1" w14:textId="77777777" w:rsidR="001E06A3" w:rsidRPr="00835753" w:rsidRDefault="001E06A3" w:rsidP="001E06A3">
            <w:pPr>
              <w:spacing w:before="120" w:after="120" w:line="190" w:lineRule="exact"/>
              <w:rPr>
                <w:rFonts w:ascii="Times New Roman" w:hAnsi="Times New Roman"/>
                <w:b/>
                <w:sz w:val="24"/>
              </w:rPr>
            </w:pPr>
            <w:r w:rsidRPr="00835753">
              <w:rPr>
                <w:rFonts w:ascii="Times New Roman" w:hAnsi="Times New Roman"/>
                <w:b/>
                <w:sz w:val="24"/>
              </w:rPr>
              <w:t>Depozyty nieoperacyjne (wszyscy kontrahenci)</w:t>
            </w:r>
          </w:p>
          <w:p w14:paraId="31E38EDF" w14:textId="7EFA9505" w:rsidR="001E06A3" w:rsidRPr="00835753" w:rsidRDefault="001E06A3" w:rsidP="001E06A3">
            <w:pPr>
              <w:autoSpaceDE w:val="0"/>
              <w:autoSpaceDN w:val="0"/>
              <w:adjustRightInd w:val="0"/>
              <w:spacing w:after="120"/>
              <w:jc w:val="both"/>
              <w:rPr>
                <w:rFonts w:ascii="Times New Roman" w:hAnsi="Times New Roman"/>
                <w:sz w:val="24"/>
              </w:rPr>
            </w:pPr>
            <w:r w:rsidRPr="00835753">
              <w:rPr>
                <w:rFonts w:ascii="Times New Roman" w:hAnsi="Times New Roman"/>
                <w:sz w:val="24"/>
              </w:rPr>
              <w:t>Instytucje ujawniają jako wartość nieważoną kwotę depozytów nieoperacyjnych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27 ust.</w:t>
            </w:r>
            <w:r w:rsidR="00835753" w:rsidRPr="00835753">
              <w:rPr>
                <w:rFonts w:ascii="Times New Roman" w:hAnsi="Times New Roman"/>
                <w:sz w:val="24"/>
              </w:rPr>
              <w:t> </w:t>
            </w:r>
            <w:r w:rsidRPr="00835753">
              <w:rPr>
                <w:rFonts w:ascii="Times New Roman" w:hAnsi="Times New Roman"/>
                <w:sz w:val="24"/>
              </w:rPr>
              <w:t>5, art.</w:t>
            </w:r>
            <w:r w:rsidR="00835753" w:rsidRPr="00835753">
              <w:rPr>
                <w:rFonts w:ascii="Times New Roman" w:hAnsi="Times New Roman"/>
                <w:sz w:val="24"/>
              </w:rPr>
              <w:t> </w:t>
            </w:r>
            <w:r w:rsidRPr="00835753">
              <w:rPr>
                <w:rFonts w:ascii="Times New Roman" w:hAnsi="Times New Roman"/>
                <w:sz w:val="24"/>
              </w:rPr>
              <w:t>28 ust.</w:t>
            </w:r>
            <w:r w:rsidR="00835753" w:rsidRPr="00835753">
              <w:rPr>
                <w:rFonts w:ascii="Times New Roman" w:hAnsi="Times New Roman"/>
                <w:sz w:val="24"/>
              </w:rPr>
              <w:t> </w:t>
            </w:r>
            <w:r w:rsidRPr="00835753">
              <w:rPr>
                <w:rFonts w:ascii="Times New Roman" w:hAnsi="Times New Roman"/>
                <w:sz w:val="24"/>
              </w:rPr>
              <w:t>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31a ust.</w:t>
            </w:r>
            <w:r w:rsidR="00835753" w:rsidRPr="00835753">
              <w:rPr>
                <w:rFonts w:ascii="Times New Roman" w:hAnsi="Times New Roman"/>
                <w:sz w:val="24"/>
              </w:rPr>
              <w:t> </w:t>
            </w:r>
            <w:r w:rsidRPr="00835753">
              <w:rPr>
                <w:rFonts w:ascii="Times New Roman" w:hAnsi="Times New Roman"/>
                <w:sz w:val="24"/>
              </w:rPr>
              <w:t>1 rozporządzenia delegowanego Komisji (UE) 2015/61.</w:t>
            </w:r>
          </w:p>
          <w:p w14:paraId="01ECC068" w14:textId="502C5FF2" w:rsidR="001E06A3" w:rsidRPr="00835753" w:rsidRDefault="001E06A3" w:rsidP="001E06A3">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Instytucje ujawniają jako wartość ważoną wypływy depozytów nieoperacyjnych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27 ust.</w:t>
            </w:r>
            <w:r w:rsidR="00835753" w:rsidRPr="00835753">
              <w:rPr>
                <w:rFonts w:ascii="Times New Roman" w:hAnsi="Times New Roman"/>
                <w:sz w:val="24"/>
              </w:rPr>
              <w:t> </w:t>
            </w:r>
            <w:r w:rsidRPr="00835753">
              <w:rPr>
                <w:rFonts w:ascii="Times New Roman" w:hAnsi="Times New Roman"/>
                <w:sz w:val="24"/>
              </w:rPr>
              <w:t>5, art.</w:t>
            </w:r>
            <w:r w:rsidR="00835753" w:rsidRPr="00835753">
              <w:rPr>
                <w:rFonts w:ascii="Times New Roman" w:hAnsi="Times New Roman"/>
                <w:sz w:val="24"/>
              </w:rPr>
              <w:t> </w:t>
            </w:r>
            <w:r w:rsidRPr="00835753">
              <w:rPr>
                <w:rFonts w:ascii="Times New Roman" w:hAnsi="Times New Roman"/>
                <w:sz w:val="24"/>
              </w:rPr>
              <w:t>28 ust.</w:t>
            </w:r>
            <w:r w:rsidR="00835753" w:rsidRPr="00835753">
              <w:rPr>
                <w:rFonts w:ascii="Times New Roman" w:hAnsi="Times New Roman"/>
                <w:sz w:val="24"/>
              </w:rPr>
              <w:t> </w:t>
            </w:r>
            <w:r w:rsidRPr="00835753">
              <w:rPr>
                <w:rFonts w:ascii="Times New Roman" w:hAnsi="Times New Roman"/>
                <w:sz w:val="24"/>
              </w:rPr>
              <w:t>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31a ust.</w:t>
            </w:r>
            <w:r w:rsidR="00835753" w:rsidRPr="00835753">
              <w:rPr>
                <w:rFonts w:ascii="Times New Roman" w:hAnsi="Times New Roman"/>
                <w:sz w:val="24"/>
              </w:rPr>
              <w:t> </w:t>
            </w:r>
            <w:r w:rsidRPr="00835753">
              <w:rPr>
                <w:rFonts w:ascii="Times New Roman" w:hAnsi="Times New Roman"/>
                <w:sz w:val="24"/>
              </w:rPr>
              <w:t>1 rozporządzenia delegowanego Komisji (UE) 2015/61.</w:t>
            </w:r>
          </w:p>
          <w:p w14:paraId="729DFC84" w14:textId="7F507D53" w:rsidR="001E06A3" w:rsidRPr="00835753" w:rsidRDefault="001E06A3" w:rsidP="001E06A3">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 tej sekcji instytucje ujawniają depozyty powstałe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wyn</w:t>
            </w:r>
            <w:r w:rsidRPr="00835753">
              <w:rPr>
                <w:rFonts w:ascii="Times New Roman" w:hAnsi="Times New Roman"/>
                <w:sz w:val="24"/>
              </w:rPr>
              <w:t>iku relacji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bankowości korespondenckiej lub świadczenia usług brokerskich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27 ust.</w:t>
            </w:r>
            <w:r w:rsidR="00835753" w:rsidRPr="00835753">
              <w:rPr>
                <w:rFonts w:ascii="Times New Roman" w:hAnsi="Times New Roman"/>
                <w:sz w:val="24"/>
              </w:rPr>
              <w:t> </w:t>
            </w:r>
            <w:r w:rsidRPr="00835753">
              <w:rPr>
                <w:rFonts w:ascii="Times New Roman" w:hAnsi="Times New Roman"/>
                <w:sz w:val="24"/>
              </w:rPr>
              <w:t>5 rozporządzenia delegowanego Komisji (UE) 2015/61.</w:t>
            </w:r>
          </w:p>
          <w:p w14:paraId="31ED50A3" w14:textId="233881FF" w:rsidR="001E06A3" w:rsidRPr="00835753" w:rsidRDefault="001E06A3" w:rsidP="001E06A3">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W tym wierszu ujawnia się część depozytów operacyjnych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27 ust.</w:t>
            </w:r>
            <w:r w:rsidR="00835753" w:rsidRPr="00835753">
              <w:rPr>
                <w:rFonts w:ascii="Times New Roman" w:hAnsi="Times New Roman"/>
                <w:sz w:val="24"/>
              </w:rPr>
              <w:t> </w:t>
            </w:r>
            <w:r w:rsidRPr="00835753">
              <w:rPr>
                <w:rFonts w:ascii="Times New Roman" w:hAnsi="Times New Roman"/>
                <w:sz w:val="24"/>
              </w:rPr>
              <w:t>5 rozporządzenia delegowanego Komisji (UE) 2015/61 przekraczającą środki wymagane do świadczenia usług operacyjnych.</w:t>
            </w:r>
          </w:p>
        </w:tc>
      </w:tr>
      <w:tr w:rsidR="001E06A3" w:rsidRPr="00835753" w14:paraId="01FA9890" w14:textId="77777777" w:rsidTr="001E06A3">
        <w:trPr>
          <w:trHeight w:val="316"/>
        </w:trPr>
        <w:tc>
          <w:tcPr>
            <w:tcW w:w="1384" w:type="dxa"/>
          </w:tcPr>
          <w:p w14:paraId="16AD0F97"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t>8</w:t>
            </w:r>
          </w:p>
        </w:tc>
        <w:tc>
          <w:tcPr>
            <w:tcW w:w="7655" w:type="dxa"/>
          </w:tcPr>
          <w:p w14:paraId="083BCD54" w14:textId="77777777" w:rsidR="001E06A3" w:rsidRPr="00835753" w:rsidRDefault="001E06A3" w:rsidP="001E06A3">
            <w:pPr>
              <w:spacing w:before="120" w:after="120" w:line="190" w:lineRule="exact"/>
              <w:rPr>
                <w:rFonts w:ascii="Times New Roman" w:hAnsi="Times New Roman"/>
                <w:sz w:val="24"/>
              </w:rPr>
            </w:pPr>
            <w:r w:rsidRPr="00835753">
              <w:rPr>
                <w:rFonts w:ascii="Times New Roman" w:hAnsi="Times New Roman"/>
                <w:b/>
                <w:sz w:val="24"/>
              </w:rPr>
              <w:t>Dług niezabezpieczony</w:t>
            </w:r>
          </w:p>
          <w:p w14:paraId="7940CF34" w14:textId="690CD3F9" w:rsidR="001E06A3" w:rsidRPr="00835753" w:rsidRDefault="001E06A3" w:rsidP="001E06A3">
            <w:pPr>
              <w:autoSpaceDE w:val="0"/>
              <w:autoSpaceDN w:val="0"/>
              <w:adjustRightInd w:val="0"/>
              <w:spacing w:after="120"/>
              <w:jc w:val="both"/>
              <w:rPr>
                <w:rFonts w:ascii="Times New Roman" w:hAnsi="Times New Roman"/>
                <w:sz w:val="24"/>
              </w:rPr>
            </w:pPr>
            <w:r w:rsidRPr="00835753">
              <w:rPr>
                <w:rFonts w:ascii="Times New Roman" w:hAnsi="Times New Roman"/>
                <w:sz w:val="24"/>
              </w:rPr>
              <w:t>Instytucje ujawniają jako wartość nieważoną kwotę salda należności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papierów dłużnych, obligacji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inn</w:t>
            </w:r>
            <w:r w:rsidRPr="00835753">
              <w:rPr>
                <w:rFonts w:ascii="Times New Roman" w:hAnsi="Times New Roman"/>
                <w:sz w:val="24"/>
              </w:rPr>
              <w:t>ych dłużnych papierów wartościowych emitowanych przez instytucję, innych niż te ujawnione jako depozyty detaliczne,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28 ust.</w:t>
            </w:r>
            <w:r w:rsidR="00835753" w:rsidRPr="00835753">
              <w:rPr>
                <w:rFonts w:ascii="Times New Roman" w:hAnsi="Times New Roman"/>
                <w:sz w:val="24"/>
              </w:rPr>
              <w:t> </w:t>
            </w:r>
            <w:r w:rsidRPr="00835753">
              <w:rPr>
                <w:rFonts w:ascii="Times New Roman" w:hAnsi="Times New Roman"/>
                <w:sz w:val="24"/>
              </w:rPr>
              <w:t>6 rozporządzenia delegowanego Komisji (UE) 2015/61. Kwota ta obejmuje również kupony, które staną się wymagalne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cią</w:t>
            </w:r>
            <w:r w:rsidRPr="00835753">
              <w:rPr>
                <w:rFonts w:ascii="Times New Roman" w:hAnsi="Times New Roman"/>
                <w:sz w:val="24"/>
              </w:rPr>
              <w:t>gu najbliższych 30 dni kalendarzowych, odnoszące się do wszystkich tych papierów wartościowych.</w:t>
            </w:r>
          </w:p>
          <w:p w14:paraId="4659E6DD" w14:textId="6BEAE9B0" w:rsidR="001E06A3" w:rsidRPr="00835753" w:rsidRDefault="001E06A3" w:rsidP="001E06A3">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Instytucje ujawniają jako wartość ważoną wypływy tych papierów dłużnych, obligacji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inn</w:t>
            </w:r>
            <w:r w:rsidRPr="00835753">
              <w:rPr>
                <w:rFonts w:ascii="Times New Roman" w:hAnsi="Times New Roman"/>
                <w:sz w:val="24"/>
              </w:rPr>
              <w:t>ych dłużnych papierów wartościowych, które wskazano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pop</w:t>
            </w:r>
            <w:r w:rsidRPr="00835753">
              <w:rPr>
                <w:rFonts w:ascii="Times New Roman" w:hAnsi="Times New Roman"/>
                <w:sz w:val="24"/>
              </w:rPr>
              <w:t>rzednim akapicie.</w:t>
            </w:r>
          </w:p>
        </w:tc>
      </w:tr>
      <w:tr w:rsidR="001E06A3" w:rsidRPr="00835753" w14:paraId="3FD3BFE9" w14:textId="77777777" w:rsidTr="001E06A3">
        <w:trPr>
          <w:trHeight w:val="316"/>
        </w:trPr>
        <w:tc>
          <w:tcPr>
            <w:tcW w:w="1384" w:type="dxa"/>
          </w:tcPr>
          <w:p w14:paraId="05BB6B7D"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t>9</w:t>
            </w:r>
          </w:p>
        </w:tc>
        <w:tc>
          <w:tcPr>
            <w:tcW w:w="7655" w:type="dxa"/>
          </w:tcPr>
          <w:p w14:paraId="02173D1C" w14:textId="77777777" w:rsidR="001E06A3" w:rsidRPr="00835753" w:rsidRDefault="001E06A3" w:rsidP="001E06A3">
            <w:pPr>
              <w:spacing w:before="120" w:after="120" w:line="190" w:lineRule="exact"/>
              <w:rPr>
                <w:rFonts w:ascii="Times New Roman" w:hAnsi="Times New Roman" w:cs="Times New Roman"/>
                <w:b/>
                <w:sz w:val="24"/>
              </w:rPr>
            </w:pPr>
            <w:r w:rsidRPr="00835753">
              <w:rPr>
                <w:rFonts w:ascii="Times New Roman" w:hAnsi="Times New Roman"/>
                <w:b/>
                <w:sz w:val="24"/>
              </w:rPr>
              <w:t>Zabezpieczone finansowanie na rynku międzybankowym</w:t>
            </w:r>
          </w:p>
          <w:p w14:paraId="50900319" w14:textId="3A672E95" w:rsidR="001E06A3" w:rsidRPr="00835753" w:rsidRDefault="001E06A3" w:rsidP="001E06A3">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Instytucje ujawniają jako wartość ważoną sumę wypływów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zab</w:t>
            </w:r>
            <w:r w:rsidRPr="00835753">
              <w:rPr>
                <w:rFonts w:ascii="Times New Roman" w:hAnsi="Times New Roman"/>
                <w:sz w:val="24"/>
              </w:rPr>
              <w:t>ezpieczonych transakcji kredytowych lub transakcji opartych na rynku kapitałowym,</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28 ust.</w:t>
            </w:r>
            <w:r w:rsidR="00835753" w:rsidRPr="00835753">
              <w:rPr>
                <w:rFonts w:ascii="Times New Roman" w:hAnsi="Times New Roman"/>
                <w:sz w:val="24"/>
              </w:rPr>
              <w:t> </w:t>
            </w:r>
            <w:r w:rsidRPr="00835753">
              <w:rPr>
                <w:rFonts w:ascii="Times New Roman" w:hAnsi="Times New Roman"/>
                <w:sz w:val="24"/>
              </w:rPr>
              <w:t>3 rozporządzenia delegowanego Komisji (UE) 2015/61, oraz</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tra</w:t>
            </w:r>
            <w:r w:rsidRPr="00835753">
              <w:rPr>
                <w:rFonts w:ascii="Times New Roman" w:hAnsi="Times New Roman"/>
                <w:sz w:val="24"/>
              </w:rPr>
              <w:t>nsakcji zabezpieczających swap lub innych transakcji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obnej formie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28 ust.</w:t>
            </w:r>
            <w:r w:rsidR="00835753" w:rsidRPr="00835753">
              <w:rPr>
                <w:rFonts w:ascii="Times New Roman" w:hAnsi="Times New Roman"/>
                <w:sz w:val="24"/>
              </w:rPr>
              <w:t> </w:t>
            </w:r>
            <w:r w:rsidRPr="00835753">
              <w:rPr>
                <w:rFonts w:ascii="Times New Roman" w:hAnsi="Times New Roman"/>
                <w:sz w:val="24"/>
              </w:rPr>
              <w:t>4 rozporządzenia delegowanego Komisji (UE) 2015/61.</w:t>
            </w:r>
          </w:p>
        </w:tc>
      </w:tr>
      <w:tr w:rsidR="001E06A3" w:rsidRPr="00835753" w14:paraId="66AC1D00" w14:textId="77777777" w:rsidTr="001E06A3">
        <w:trPr>
          <w:trHeight w:val="316"/>
        </w:trPr>
        <w:tc>
          <w:tcPr>
            <w:tcW w:w="1384" w:type="dxa"/>
          </w:tcPr>
          <w:p w14:paraId="397631D3"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lastRenderedPageBreak/>
              <w:t>10</w:t>
            </w:r>
          </w:p>
        </w:tc>
        <w:tc>
          <w:tcPr>
            <w:tcW w:w="7655" w:type="dxa"/>
          </w:tcPr>
          <w:p w14:paraId="06623FE0" w14:textId="77777777" w:rsidR="001E06A3" w:rsidRPr="00835753" w:rsidRDefault="001E06A3" w:rsidP="001E06A3">
            <w:pPr>
              <w:autoSpaceDE w:val="0"/>
              <w:autoSpaceDN w:val="0"/>
              <w:adjustRightInd w:val="0"/>
              <w:spacing w:before="120" w:after="120"/>
              <w:jc w:val="both"/>
              <w:rPr>
                <w:rFonts w:ascii="Times New Roman" w:hAnsi="Times New Roman"/>
                <w:b/>
                <w:sz w:val="24"/>
              </w:rPr>
            </w:pPr>
            <w:r w:rsidRPr="00835753">
              <w:rPr>
                <w:rFonts w:ascii="Times New Roman" w:hAnsi="Times New Roman"/>
                <w:b/>
                <w:sz w:val="24"/>
              </w:rPr>
              <w:t>Wymogi dodatkowe</w:t>
            </w:r>
          </w:p>
          <w:p w14:paraId="02392E26" w14:textId="43B7B9FB" w:rsidR="001E06A3" w:rsidRPr="00835753" w:rsidRDefault="001E06A3" w:rsidP="001E06A3">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Instytucje ujawniają sumy kwot nieważonych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waż</w:t>
            </w:r>
            <w:r w:rsidRPr="00835753">
              <w:rPr>
                <w:rFonts w:ascii="Times New Roman" w:hAnsi="Times New Roman"/>
                <w:sz w:val="24"/>
              </w:rPr>
              <w:t>onych, które należy ujawnić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11 „Wypływy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eks</w:t>
            </w:r>
            <w:r w:rsidRPr="00835753">
              <w:rPr>
                <w:rFonts w:ascii="Times New Roman" w:hAnsi="Times New Roman"/>
                <w:sz w:val="24"/>
              </w:rPr>
              <w:t>pozycjami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instrumentów pochodnych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inn</w:t>
            </w:r>
            <w:r w:rsidRPr="00835753">
              <w:rPr>
                <w:rFonts w:ascii="Times New Roman" w:hAnsi="Times New Roman"/>
                <w:sz w:val="24"/>
              </w:rPr>
              <w:t>e wymogi dotyczące zabezpieczenia”, wierszu 12 „Wypływy związane ze stratą środków</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produktów dłużnych” oraz wierszu 13 „Instrumenty kredytowe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trumenty wsparcia płynności” niniejszego wzoru.</w:t>
            </w:r>
          </w:p>
        </w:tc>
      </w:tr>
      <w:tr w:rsidR="001E06A3" w:rsidRPr="00835753" w14:paraId="677BEA7A" w14:textId="77777777" w:rsidTr="001E06A3">
        <w:trPr>
          <w:trHeight w:val="316"/>
        </w:trPr>
        <w:tc>
          <w:tcPr>
            <w:tcW w:w="1384" w:type="dxa"/>
          </w:tcPr>
          <w:p w14:paraId="73E187DA"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t>11</w:t>
            </w:r>
          </w:p>
        </w:tc>
        <w:tc>
          <w:tcPr>
            <w:tcW w:w="7655" w:type="dxa"/>
          </w:tcPr>
          <w:p w14:paraId="2E25BAE5" w14:textId="6EE06579" w:rsidR="001E06A3" w:rsidRPr="00835753" w:rsidRDefault="001E06A3" w:rsidP="001E06A3">
            <w:pPr>
              <w:autoSpaceDE w:val="0"/>
              <w:autoSpaceDN w:val="0"/>
              <w:adjustRightInd w:val="0"/>
              <w:spacing w:before="120" w:after="120"/>
              <w:jc w:val="both"/>
              <w:rPr>
                <w:rFonts w:ascii="Times New Roman" w:hAnsi="Times New Roman"/>
                <w:sz w:val="24"/>
              </w:rPr>
            </w:pPr>
            <w:r w:rsidRPr="00835753">
              <w:rPr>
                <w:rFonts w:ascii="Times New Roman" w:hAnsi="Times New Roman"/>
                <w:b/>
                <w:sz w:val="24"/>
              </w:rPr>
              <w:t>Wypływy związane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eks</w:t>
            </w:r>
            <w:r w:rsidRPr="00835753">
              <w:rPr>
                <w:rFonts w:ascii="Times New Roman" w:hAnsi="Times New Roman"/>
                <w:b/>
                <w:sz w:val="24"/>
              </w:rPr>
              <w:t>pozycjami</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tyt</w:t>
            </w:r>
            <w:r w:rsidRPr="00835753">
              <w:rPr>
                <w:rFonts w:ascii="Times New Roman" w:hAnsi="Times New Roman"/>
                <w:b/>
                <w:sz w:val="24"/>
              </w:rPr>
              <w:t>ułu instrumentów pochodnych</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inn</w:t>
            </w:r>
            <w:r w:rsidRPr="00835753">
              <w:rPr>
                <w:rFonts w:ascii="Times New Roman" w:hAnsi="Times New Roman"/>
                <w:b/>
                <w:sz w:val="24"/>
              </w:rPr>
              <w:t>e wymogi dotyczące zabezpieczenia</w:t>
            </w:r>
          </w:p>
          <w:p w14:paraId="787FB10A" w14:textId="18D69A5A" w:rsidR="001E06A3" w:rsidRPr="00835753" w:rsidRDefault="001E06A3" w:rsidP="001E06A3">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Instytucje ujawniają odpowiednio, jako wartość nieważoną</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o wartość ważoną, sumę następujących kwot</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wyp</w:t>
            </w:r>
            <w:r w:rsidRPr="00835753">
              <w:rPr>
                <w:rFonts w:ascii="Times New Roman" w:hAnsi="Times New Roman"/>
                <w:sz w:val="24"/>
              </w:rPr>
              <w:t>ływów:</w:t>
            </w:r>
          </w:p>
          <w:p w14:paraId="55B7C245" w14:textId="529AC23D"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wartości</w:t>
            </w:r>
            <w:proofErr w:type="gramEnd"/>
            <w:r w:rsidRPr="00835753">
              <w:rPr>
                <w:rFonts w:ascii="Times New Roman" w:hAnsi="Times New Roman"/>
                <w:sz w:val="24"/>
              </w:rPr>
              <w:t xml:space="preserve"> rynkowej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owiednich wypływów zabezpieczenia innego niż zabezpieczenie poziomu 1, które przekazano dla kontraktów wymienionych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II do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kre</w:t>
            </w:r>
            <w:r w:rsidRPr="00835753">
              <w:rPr>
                <w:rFonts w:ascii="Times New Roman" w:hAnsi="Times New Roman"/>
                <w:sz w:val="24"/>
              </w:rPr>
              <w:t>dytowych instrumentów pochodnych,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30 ust.</w:t>
            </w:r>
            <w:r w:rsidR="00835753" w:rsidRPr="00835753">
              <w:rPr>
                <w:rFonts w:ascii="Times New Roman" w:hAnsi="Times New Roman"/>
                <w:sz w:val="24"/>
              </w:rPr>
              <w:t> </w:t>
            </w:r>
            <w:r w:rsidRPr="00835753">
              <w:rPr>
                <w:rFonts w:ascii="Times New Roman" w:hAnsi="Times New Roman"/>
                <w:sz w:val="24"/>
              </w:rPr>
              <w:t>1 rozporządzenia delegowanego Komisji (UE) 2015/61;</w:t>
            </w:r>
          </w:p>
          <w:p w14:paraId="05A4B1CD" w14:textId="07E9DC3B"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wartości</w:t>
            </w:r>
            <w:proofErr w:type="gramEnd"/>
            <w:r w:rsidRPr="00835753">
              <w:rPr>
                <w:rFonts w:ascii="Times New Roman" w:hAnsi="Times New Roman"/>
                <w:sz w:val="24"/>
              </w:rPr>
              <w:t xml:space="preserve"> rynkowej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owiednich wypływów zabezpieczenia aktywami poziomu 1</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taci obligacji zabezpieczonych charakteryzujących się wyjątkowo wysoką jakością przekazanego dla kontraktów wymienionych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II do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kre</w:t>
            </w:r>
            <w:r w:rsidRPr="00835753">
              <w:rPr>
                <w:rFonts w:ascii="Times New Roman" w:hAnsi="Times New Roman"/>
                <w:sz w:val="24"/>
              </w:rPr>
              <w:t>dytowych instrumentów pochodnych,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30 ust.</w:t>
            </w:r>
            <w:r w:rsidR="00835753" w:rsidRPr="00835753">
              <w:rPr>
                <w:rFonts w:ascii="Times New Roman" w:hAnsi="Times New Roman"/>
                <w:sz w:val="24"/>
              </w:rPr>
              <w:t> </w:t>
            </w:r>
            <w:r w:rsidRPr="00835753">
              <w:rPr>
                <w:rFonts w:ascii="Times New Roman" w:hAnsi="Times New Roman"/>
                <w:sz w:val="24"/>
              </w:rPr>
              <w:t>1 rozporządzenia delegowanego Komisji (UE) 2015/61;</w:t>
            </w:r>
          </w:p>
          <w:p w14:paraId="1A45CC0F" w14:textId="30B9DAC7"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całkowitej</w:t>
            </w:r>
            <w:proofErr w:type="gramEnd"/>
            <w:r w:rsidRPr="00835753">
              <w:rPr>
                <w:rFonts w:ascii="Times New Roman" w:hAnsi="Times New Roman"/>
                <w:sz w:val="24"/>
              </w:rPr>
              <w:t xml:space="preserve"> kwoty dodatkowych wypływów obliczonej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zgł</w:t>
            </w:r>
            <w:r w:rsidRPr="00835753">
              <w:rPr>
                <w:rFonts w:ascii="Times New Roman" w:hAnsi="Times New Roman"/>
                <w:sz w:val="24"/>
              </w:rPr>
              <w:t>oszonej właściwym organom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30 ust.</w:t>
            </w:r>
            <w:r w:rsidR="00835753" w:rsidRPr="00835753">
              <w:rPr>
                <w:rFonts w:ascii="Times New Roman" w:hAnsi="Times New Roman"/>
                <w:sz w:val="24"/>
              </w:rPr>
              <w:t> </w:t>
            </w:r>
            <w:r w:rsidRPr="00835753">
              <w:rPr>
                <w:rFonts w:ascii="Times New Roman" w:hAnsi="Times New Roman"/>
                <w:sz w:val="24"/>
              </w:rPr>
              <w:t>2 rozporządzenia delegowanego Komisji (UE) 2015/61 jako istotne wypływy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 xml:space="preserve">odu pogorszenia własnej jakości kredytowej; </w:t>
            </w:r>
          </w:p>
          <w:p w14:paraId="02B212FA" w14:textId="6A36C280"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kwoty</w:t>
            </w:r>
            <w:proofErr w:type="gramEnd"/>
            <w:r w:rsidRPr="00835753">
              <w:rPr>
                <w:rFonts w:ascii="Times New Roman" w:hAnsi="Times New Roman"/>
                <w:sz w:val="24"/>
              </w:rPr>
              <w:t xml:space="preserve"> wypływów wynikającej</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wpł</w:t>
            </w:r>
            <w:r w:rsidRPr="00835753">
              <w:rPr>
                <w:rFonts w:ascii="Times New Roman" w:hAnsi="Times New Roman"/>
                <w:sz w:val="24"/>
              </w:rPr>
              <w:t>ywu scenariusza niekorzystnych warunków rynkowych na transakcje na instrumentach pochodnych, jak 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30 ust.</w:t>
            </w:r>
            <w:r w:rsidR="00835753" w:rsidRPr="00835753">
              <w:rPr>
                <w:rFonts w:ascii="Times New Roman" w:hAnsi="Times New Roman"/>
                <w:sz w:val="24"/>
              </w:rPr>
              <w:t> </w:t>
            </w:r>
            <w:r w:rsidRPr="00835753">
              <w:rPr>
                <w:rFonts w:ascii="Times New Roman" w:hAnsi="Times New Roman"/>
                <w:sz w:val="24"/>
              </w:rPr>
              <w:t>3 rozporządzenia delegowanego Komisji (UE) 2015/61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obl</w:t>
            </w:r>
            <w:r w:rsidRPr="00835753">
              <w:rPr>
                <w:rFonts w:ascii="Times New Roman" w:hAnsi="Times New Roman"/>
                <w:sz w:val="24"/>
              </w:rPr>
              <w:t>iczonej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delegowanym Komisji (UE) 2017/208</w:t>
            </w:r>
            <w:r w:rsidRPr="00835753">
              <w:rPr>
                <w:rStyle w:val="FootnoteReference"/>
                <w:rFonts w:ascii="Times New Roman" w:hAnsi="Times New Roman"/>
                <w:sz w:val="24"/>
              </w:rPr>
              <w:footnoteReference w:id="25"/>
            </w:r>
            <w:r w:rsidRPr="00835753">
              <w:rPr>
                <w:rFonts w:ascii="Times New Roman" w:hAnsi="Times New Roman"/>
                <w:sz w:val="24"/>
              </w:rPr>
              <w:t>;</w:t>
            </w:r>
          </w:p>
          <w:p w14:paraId="048EA4CA" w14:textId="5A92D617"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kwoty</w:t>
            </w:r>
            <w:proofErr w:type="gramEnd"/>
            <w:r w:rsidRPr="00835753">
              <w:rPr>
                <w:rFonts w:ascii="Times New Roman" w:hAnsi="Times New Roman"/>
                <w:sz w:val="24"/>
              </w:rPr>
              <w:t xml:space="preserve"> wypływów oczekiwanych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per</w:t>
            </w:r>
            <w:r w:rsidRPr="00835753">
              <w:rPr>
                <w:rFonts w:ascii="Times New Roman" w:hAnsi="Times New Roman"/>
                <w:sz w:val="24"/>
              </w:rPr>
              <w:t>spektywie 30 dni kalendarzowych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kontraktów wymienionych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II do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kredytowych instrumentów pochodnych, jak 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30 ust.</w:t>
            </w:r>
            <w:r w:rsidR="00835753" w:rsidRPr="00835753">
              <w:rPr>
                <w:rFonts w:ascii="Times New Roman" w:hAnsi="Times New Roman"/>
                <w:sz w:val="24"/>
              </w:rPr>
              <w:t> </w:t>
            </w:r>
            <w:r w:rsidRPr="00835753">
              <w:rPr>
                <w:rFonts w:ascii="Times New Roman" w:hAnsi="Times New Roman"/>
                <w:sz w:val="24"/>
              </w:rPr>
              <w:t>4 rozporządzenia delegowanego Komisji (UE) 2015/61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obl</w:t>
            </w:r>
            <w:r w:rsidRPr="00835753">
              <w:rPr>
                <w:rFonts w:ascii="Times New Roman" w:hAnsi="Times New Roman"/>
                <w:sz w:val="24"/>
              </w:rPr>
              <w:t>iczono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 xml:space="preserve">21 rozporządzenia delegowanego Komisji (UE) 2015/61; </w:t>
            </w:r>
          </w:p>
          <w:p w14:paraId="6F54940D" w14:textId="69FAFCEA"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wartości</w:t>
            </w:r>
            <w:proofErr w:type="gramEnd"/>
            <w:r w:rsidRPr="00835753">
              <w:rPr>
                <w:rFonts w:ascii="Times New Roman" w:hAnsi="Times New Roman"/>
                <w:sz w:val="24"/>
              </w:rPr>
              <w:t xml:space="preserve"> rynkowej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owiednich wypływów nadwyżki zabezpieczenia posiadanego przez daną instytucję, której to nadwyżki, na mocy umowy, kontrahent może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każ</w:t>
            </w:r>
            <w:r w:rsidRPr="00835753">
              <w:rPr>
                <w:rFonts w:ascii="Times New Roman" w:hAnsi="Times New Roman"/>
                <w:sz w:val="24"/>
              </w:rPr>
              <w:t xml:space="preserve">dej chwili zażądać, jak </w:t>
            </w:r>
            <w:r w:rsidRPr="00835753">
              <w:rPr>
                <w:rFonts w:ascii="Times New Roman" w:hAnsi="Times New Roman"/>
                <w:sz w:val="24"/>
              </w:rPr>
              <w:lastRenderedPageBreak/>
              <w:t>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30 ust.</w:t>
            </w:r>
            <w:r w:rsidR="00835753" w:rsidRPr="00835753">
              <w:rPr>
                <w:rFonts w:ascii="Times New Roman" w:hAnsi="Times New Roman"/>
                <w:sz w:val="24"/>
              </w:rPr>
              <w:t> </w:t>
            </w:r>
            <w:r w:rsidRPr="00835753">
              <w:rPr>
                <w:rFonts w:ascii="Times New Roman" w:hAnsi="Times New Roman"/>
                <w:sz w:val="24"/>
              </w:rPr>
              <w:t>6 lit.</w:t>
            </w:r>
            <w:r w:rsidR="00835753" w:rsidRPr="00835753">
              <w:rPr>
                <w:rFonts w:ascii="Times New Roman" w:hAnsi="Times New Roman"/>
                <w:sz w:val="24"/>
              </w:rPr>
              <w:t> </w:t>
            </w:r>
            <w:r w:rsidRPr="00835753">
              <w:rPr>
                <w:rFonts w:ascii="Times New Roman" w:hAnsi="Times New Roman"/>
                <w:sz w:val="24"/>
              </w:rPr>
              <w:t xml:space="preserve">a) rozporządzenia delegowanego Komisji (UE) 2015/61; </w:t>
            </w:r>
          </w:p>
          <w:p w14:paraId="1AC0B02D" w14:textId="09718D85"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wartości</w:t>
            </w:r>
            <w:proofErr w:type="gramEnd"/>
            <w:r w:rsidRPr="00835753">
              <w:rPr>
                <w:rFonts w:ascii="Times New Roman" w:hAnsi="Times New Roman"/>
                <w:sz w:val="24"/>
              </w:rPr>
              <w:t xml:space="preserve"> rynkowej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owiednich wypływów zabezpieczenia, które ma zostać przekazane kontrahentowi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cią</w:t>
            </w:r>
            <w:r w:rsidRPr="00835753">
              <w:rPr>
                <w:rFonts w:ascii="Times New Roman" w:hAnsi="Times New Roman"/>
                <w:sz w:val="24"/>
              </w:rPr>
              <w:t>gu 30 dni kalendarzowych, jak 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30 ust.</w:t>
            </w:r>
            <w:r w:rsidR="00835753" w:rsidRPr="00835753">
              <w:rPr>
                <w:rFonts w:ascii="Times New Roman" w:hAnsi="Times New Roman"/>
                <w:sz w:val="24"/>
              </w:rPr>
              <w:t> </w:t>
            </w:r>
            <w:r w:rsidRPr="00835753">
              <w:rPr>
                <w:rFonts w:ascii="Times New Roman" w:hAnsi="Times New Roman"/>
                <w:sz w:val="24"/>
              </w:rPr>
              <w:t>6 lit.</w:t>
            </w:r>
            <w:r w:rsidR="00835753" w:rsidRPr="00835753">
              <w:rPr>
                <w:rFonts w:ascii="Times New Roman" w:hAnsi="Times New Roman"/>
                <w:sz w:val="24"/>
              </w:rPr>
              <w:t> </w:t>
            </w:r>
            <w:r w:rsidRPr="00835753">
              <w:rPr>
                <w:rFonts w:ascii="Times New Roman" w:hAnsi="Times New Roman"/>
                <w:sz w:val="24"/>
              </w:rPr>
              <w:t xml:space="preserve">b) rozporządzenia delegowanego Komisji (UE) 2015/61; </w:t>
            </w:r>
          </w:p>
          <w:p w14:paraId="6D336378" w14:textId="643FF41B"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wartości</w:t>
            </w:r>
            <w:proofErr w:type="gramEnd"/>
            <w:r w:rsidRPr="00835753">
              <w:rPr>
                <w:rFonts w:ascii="Times New Roman" w:hAnsi="Times New Roman"/>
                <w:sz w:val="24"/>
              </w:rPr>
              <w:t xml:space="preserve"> rynkowej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owiednich wypływów zabezpieczenia odpowiadającego aktywom, które można zakwalifikować jako aktywa płynne do celów tytułu II rozporządzenia delegowanego Komisji (UE) 2015/61, którymi można zastąpić aktywa odpowiadające aktywom, których nie można zakwalifikować jako aktywów płynnych do celów tytułu II tego samego rozporządzenia bez zgody instytucji, jak 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30 ust.</w:t>
            </w:r>
            <w:r w:rsidR="00835753" w:rsidRPr="00835753">
              <w:rPr>
                <w:rFonts w:ascii="Times New Roman" w:hAnsi="Times New Roman"/>
                <w:sz w:val="24"/>
              </w:rPr>
              <w:t> </w:t>
            </w:r>
            <w:r w:rsidRPr="00835753">
              <w:rPr>
                <w:rFonts w:ascii="Times New Roman" w:hAnsi="Times New Roman"/>
                <w:sz w:val="24"/>
              </w:rPr>
              <w:t>6 lit.</w:t>
            </w:r>
            <w:r w:rsidR="00835753" w:rsidRPr="00835753">
              <w:rPr>
                <w:rFonts w:ascii="Times New Roman" w:hAnsi="Times New Roman"/>
                <w:sz w:val="24"/>
              </w:rPr>
              <w:t> </w:t>
            </w:r>
            <w:r w:rsidRPr="00835753">
              <w:rPr>
                <w:rFonts w:ascii="Times New Roman" w:hAnsi="Times New Roman"/>
                <w:sz w:val="24"/>
              </w:rPr>
              <w:t>c) rozporządzenia delegowanego Komisji (UE) 2015/61.</w:t>
            </w:r>
          </w:p>
        </w:tc>
      </w:tr>
      <w:tr w:rsidR="001E06A3" w:rsidRPr="00835753" w14:paraId="52302D19" w14:textId="77777777" w:rsidTr="001E06A3">
        <w:trPr>
          <w:trHeight w:val="316"/>
        </w:trPr>
        <w:tc>
          <w:tcPr>
            <w:tcW w:w="1384" w:type="dxa"/>
          </w:tcPr>
          <w:p w14:paraId="17DF3C24"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lastRenderedPageBreak/>
              <w:t>12</w:t>
            </w:r>
          </w:p>
        </w:tc>
        <w:tc>
          <w:tcPr>
            <w:tcW w:w="7655" w:type="dxa"/>
          </w:tcPr>
          <w:p w14:paraId="6A12E12E" w14:textId="6093367F" w:rsidR="001E06A3" w:rsidRPr="00835753" w:rsidRDefault="001E06A3" w:rsidP="001E06A3">
            <w:pPr>
              <w:spacing w:before="120" w:after="120" w:line="190" w:lineRule="exact"/>
              <w:rPr>
                <w:rFonts w:ascii="Times New Roman" w:hAnsi="Times New Roman" w:cs="Times New Roman"/>
                <w:b/>
                <w:sz w:val="24"/>
              </w:rPr>
            </w:pPr>
            <w:r w:rsidRPr="00835753">
              <w:rPr>
                <w:rFonts w:ascii="Times New Roman" w:hAnsi="Times New Roman"/>
                <w:b/>
                <w:sz w:val="24"/>
              </w:rPr>
              <w:t>Wypływy związane ze stratą środków</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tyt</w:t>
            </w:r>
            <w:r w:rsidRPr="00835753">
              <w:rPr>
                <w:rFonts w:ascii="Times New Roman" w:hAnsi="Times New Roman"/>
                <w:b/>
                <w:sz w:val="24"/>
              </w:rPr>
              <w:t>ułu produktów dłużnych</w:t>
            </w:r>
          </w:p>
          <w:p w14:paraId="71559313" w14:textId="0EAD2505" w:rsidR="001E06A3" w:rsidRPr="00835753" w:rsidRDefault="001E06A3" w:rsidP="001E06A3">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Instytucje ujawniają odpowiednio, jako wartość nieważoną</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o wartość ważoną, kwotę</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wyp</w:t>
            </w:r>
            <w:r w:rsidRPr="00835753">
              <w:rPr>
                <w:rFonts w:ascii="Times New Roman" w:hAnsi="Times New Roman"/>
                <w:sz w:val="24"/>
              </w:rPr>
              <w:t>ływy związane ze stratą środków</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strukturyzowanej działalności finansowej, jak 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30 ust.</w:t>
            </w:r>
            <w:r w:rsidR="00835753" w:rsidRPr="00835753">
              <w:rPr>
                <w:rFonts w:ascii="Times New Roman" w:hAnsi="Times New Roman"/>
                <w:sz w:val="24"/>
              </w:rPr>
              <w:t> </w:t>
            </w:r>
            <w:r w:rsidRPr="00835753">
              <w:rPr>
                <w:rFonts w:ascii="Times New Roman" w:hAnsi="Times New Roman"/>
                <w:sz w:val="24"/>
              </w:rPr>
              <w:t>8–10 rozporządzenia delegowanego Komisji (UE) 2015/61.</w:t>
            </w:r>
          </w:p>
          <w:p w14:paraId="7AF83948" w14:textId="64A875F3" w:rsidR="001E06A3" w:rsidRPr="00835753" w:rsidRDefault="001E06A3" w:rsidP="001E06A3">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Instytucje zakładają wypływ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wys</w:t>
            </w:r>
            <w:r w:rsidRPr="00835753">
              <w:rPr>
                <w:rFonts w:ascii="Times New Roman" w:hAnsi="Times New Roman"/>
                <w:sz w:val="24"/>
              </w:rPr>
              <w:t>okości 100</w:t>
            </w:r>
            <w:r w:rsidR="00835753" w:rsidRPr="00835753">
              <w:rPr>
                <w:rFonts w:ascii="Times New Roman" w:hAnsi="Times New Roman"/>
                <w:sz w:val="24"/>
              </w:rPr>
              <w:t> </w:t>
            </w:r>
            <w:r w:rsidRPr="00835753">
              <w:rPr>
                <w:rFonts w:ascii="Times New Roman" w:hAnsi="Times New Roman"/>
                <w:sz w:val="24"/>
              </w:rPr>
              <w:t>%</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straty środków</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papierów wartościowych zabezpieczonych aktywami, obligacji zabezpieczonych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inn</w:t>
            </w:r>
            <w:r w:rsidRPr="00835753">
              <w:rPr>
                <w:rFonts w:ascii="Times New Roman" w:hAnsi="Times New Roman"/>
                <w:sz w:val="24"/>
              </w:rPr>
              <w:t>ych instrumentów finansowych będących wynikiem sekurytyzacji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ter</w:t>
            </w:r>
            <w:r w:rsidRPr="00835753">
              <w:rPr>
                <w:rFonts w:ascii="Times New Roman" w:hAnsi="Times New Roman"/>
                <w:sz w:val="24"/>
              </w:rPr>
              <w:t>minie zapadalności przypadającym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cią</w:t>
            </w:r>
            <w:r w:rsidRPr="00835753">
              <w:rPr>
                <w:rFonts w:ascii="Times New Roman" w:hAnsi="Times New Roman"/>
                <w:sz w:val="24"/>
              </w:rPr>
              <w:t>gu 30 dni kalendarzowych, emitowanych przez instytucję kredytową lub przez sponsorowane spółki pośredniczące lub spółki celowe.</w:t>
            </w:r>
          </w:p>
          <w:p w14:paraId="1FBA8940" w14:textId="3F2E6DAD" w:rsidR="001E06A3" w:rsidRPr="00835753" w:rsidRDefault="001E06A3" w:rsidP="001E06A3">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Instytucje, które są dostawcami instrumentów wsparcia płynności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uja</w:t>
            </w:r>
            <w:r w:rsidRPr="00835753">
              <w:rPr>
                <w:rFonts w:ascii="Times New Roman" w:hAnsi="Times New Roman"/>
                <w:sz w:val="24"/>
              </w:rPr>
              <w:t>wnionymi tu programami finansowania, nie muszą podwójnie liczyć wymagalnego instrumentu finansowania ani instrumentu wsparcia płynności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programów skonsolidowanych.</w:t>
            </w:r>
          </w:p>
        </w:tc>
      </w:tr>
      <w:tr w:rsidR="001E06A3" w:rsidRPr="00835753" w14:paraId="06698F87" w14:textId="77777777" w:rsidTr="001E06A3">
        <w:trPr>
          <w:trHeight w:val="316"/>
        </w:trPr>
        <w:tc>
          <w:tcPr>
            <w:tcW w:w="1384" w:type="dxa"/>
          </w:tcPr>
          <w:p w14:paraId="1D3EF18D"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t>13</w:t>
            </w:r>
          </w:p>
        </w:tc>
        <w:tc>
          <w:tcPr>
            <w:tcW w:w="7655" w:type="dxa"/>
          </w:tcPr>
          <w:p w14:paraId="12C55D0E" w14:textId="028D657A" w:rsidR="001E06A3" w:rsidRPr="00835753" w:rsidRDefault="001E06A3" w:rsidP="001E06A3">
            <w:pPr>
              <w:spacing w:before="120" w:after="120" w:line="190" w:lineRule="exact"/>
              <w:rPr>
                <w:rFonts w:ascii="Times New Roman" w:hAnsi="Times New Roman"/>
                <w:sz w:val="24"/>
              </w:rPr>
            </w:pPr>
            <w:r w:rsidRPr="00835753">
              <w:rPr>
                <w:rFonts w:ascii="Times New Roman" w:hAnsi="Times New Roman"/>
                <w:b/>
                <w:sz w:val="24"/>
              </w:rPr>
              <w:t>Instrumenty kredytowe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trumenty wsparcia płynności</w:t>
            </w:r>
          </w:p>
          <w:p w14:paraId="388FA9B8" w14:textId="3329A672" w:rsidR="001E06A3" w:rsidRPr="00835753" w:rsidRDefault="001E06A3" w:rsidP="001E06A3">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Instytucje ujawniają odpowiednio, jako wartość nieważoną</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o wartość ważoną, kwotę</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wyp</w:t>
            </w:r>
            <w:r w:rsidRPr="00835753">
              <w:rPr>
                <w:rFonts w:ascii="Times New Roman" w:hAnsi="Times New Roman"/>
                <w:sz w:val="24"/>
              </w:rPr>
              <w:t>ływy instrumentów kredytowych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trumentów wsparcia płynności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31 rozporządzenia delegowanego Komisji (UE) 2015/61.</w:t>
            </w:r>
          </w:p>
          <w:p w14:paraId="7A6EC431" w14:textId="1FC5552B" w:rsidR="001E06A3" w:rsidRPr="00835753" w:rsidRDefault="001E06A3" w:rsidP="001E06A3">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W tej sekcji instytucje ujawniają również przyznane instrumenty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29 rozporządzenia delegowanego Komisji (UE) 2015/61.</w:t>
            </w:r>
          </w:p>
        </w:tc>
      </w:tr>
      <w:tr w:rsidR="001E06A3" w:rsidRPr="00835753" w14:paraId="5F133365" w14:textId="77777777" w:rsidTr="001E06A3">
        <w:trPr>
          <w:trHeight w:val="316"/>
        </w:trPr>
        <w:tc>
          <w:tcPr>
            <w:tcW w:w="1384" w:type="dxa"/>
          </w:tcPr>
          <w:p w14:paraId="1AB3EE1C"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t>14</w:t>
            </w:r>
          </w:p>
        </w:tc>
        <w:tc>
          <w:tcPr>
            <w:tcW w:w="7655" w:type="dxa"/>
          </w:tcPr>
          <w:p w14:paraId="03C26744" w14:textId="712D2B51" w:rsidR="001E06A3" w:rsidRPr="00835753" w:rsidRDefault="001E06A3" w:rsidP="001E06A3">
            <w:pPr>
              <w:spacing w:before="120" w:after="120" w:line="190" w:lineRule="exact"/>
              <w:rPr>
                <w:rFonts w:ascii="Times New Roman" w:hAnsi="Times New Roman"/>
                <w:sz w:val="24"/>
              </w:rPr>
            </w:pPr>
            <w:r w:rsidRPr="00835753">
              <w:rPr>
                <w:rFonts w:ascii="Times New Roman" w:hAnsi="Times New Roman"/>
                <w:b/>
                <w:sz w:val="24"/>
              </w:rPr>
              <w:t>Inne zobowiązania umowne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finansowania</w:t>
            </w:r>
          </w:p>
          <w:p w14:paraId="54004CEE" w14:textId="3D2FC4D4" w:rsidR="001E06A3" w:rsidRPr="00835753" w:rsidRDefault="001E06A3" w:rsidP="001E06A3">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Instytucje ujawniają odpowiednio, jako wartość nieważoną</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o wartość ważoną, kwot</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wyp</w:t>
            </w:r>
            <w:r w:rsidRPr="00835753">
              <w:rPr>
                <w:rFonts w:ascii="Times New Roman" w:hAnsi="Times New Roman"/>
                <w:sz w:val="24"/>
              </w:rPr>
              <w:t>ływów następujących pozycji:</w:t>
            </w:r>
          </w:p>
          <w:p w14:paraId="2A942D44" w14:textId="1CC3A40B"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aktywa</w:t>
            </w:r>
            <w:proofErr w:type="gramEnd"/>
            <w:r w:rsidRPr="00835753">
              <w:rPr>
                <w:rFonts w:ascii="Times New Roman" w:hAnsi="Times New Roman"/>
                <w:sz w:val="24"/>
              </w:rPr>
              <w:t xml:space="preserve"> pożyczone bez zabezpieczenia</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ter</w:t>
            </w:r>
            <w:r w:rsidRPr="00835753">
              <w:rPr>
                <w:rFonts w:ascii="Times New Roman" w:hAnsi="Times New Roman"/>
                <w:sz w:val="24"/>
              </w:rPr>
              <w:t>minie zapadalności przypadającym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cią</w:t>
            </w:r>
            <w:r w:rsidRPr="00835753">
              <w:rPr>
                <w:rFonts w:ascii="Times New Roman" w:hAnsi="Times New Roman"/>
                <w:sz w:val="24"/>
              </w:rPr>
              <w:t>gu 30 dni, jak 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28 ust.</w:t>
            </w:r>
            <w:r w:rsidR="00835753" w:rsidRPr="00835753">
              <w:rPr>
                <w:rFonts w:ascii="Times New Roman" w:hAnsi="Times New Roman"/>
                <w:sz w:val="24"/>
              </w:rPr>
              <w:t> </w:t>
            </w:r>
            <w:r w:rsidRPr="00835753">
              <w:rPr>
                <w:rFonts w:ascii="Times New Roman" w:hAnsi="Times New Roman"/>
                <w:sz w:val="24"/>
              </w:rPr>
              <w:t>7 rozporządzenia delegowanego Komisji (UE) 2015/61. Przyjmuje się, że nastąpiło wypłynięcie aktywów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cał</w:t>
            </w:r>
            <w:r w:rsidRPr="00835753">
              <w:rPr>
                <w:rFonts w:ascii="Times New Roman" w:hAnsi="Times New Roman"/>
                <w:sz w:val="24"/>
              </w:rPr>
              <w:t>ości, co prowadzi do wypływu</w:t>
            </w:r>
            <w:r w:rsidR="00835753" w:rsidRPr="00835753">
              <w:rPr>
                <w:rFonts w:ascii="Times New Roman" w:hAnsi="Times New Roman"/>
                <w:sz w:val="24"/>
              </w:rPr>
              <w:t xml:space="preserve"> </w:t>
            </w:r>
            <w:r w:rsidR="00835753" w:rsidRPr="00835753">
              <w:rPr>
                <w:rFonts w:ascii="Times New Roman" w:hAnsi="Times New Roman"/>
                <w:sz w:val="24"/>
              </w:rPr>
              <w:lastRenderedPageBreak/>
              <w:t>w</w:t>
            </w:r>
            <w:r w:rsidR="00835753">
              <w:rPr>
                <w:rFonts w:ascii="Times New Roman" w:hAnsi="Times New Roman"/>
                <w:sz w:val="24"/>
              </w:rPr>
              <w:t> </w:t>
            </w:r>
            <w:r w:rsidR="00835753" w:rsidRPr="00835753">
              <w:rPr>
                <w:rFonts w:ascii="Times New Roman" w:hAnsi="Times New Roman"/>
                <w:sz w:val="24"/>
              </w:rPr>
              <w:t>wys</w:t>
            </w:r>
            <w:r w:rsidRPr="00835753">
              <w:rPr>
                <w:rFonts w:ascii="Times New Roman" w:hAnsi="Times New Roman"/>
                <w:sz w:val="24"/>
              </w:rPr>
              <w:t>okości 100</w:t>
            </w:r>
            <w:r w:rsidR="00835753" w:rsidRPr="00835753">
              <w:rPr>
                <w:rFonts w:ascii="Times New Roman" w:hAnsi="Times New Roman"/>
                <w:sz w:val="24"/>
              </w:rPr>
              <w:t> </w:t>
            </w:r>
            <w:r w:rsidRPr="00835753">
              <w:rPr>
                <w:rFonts w:ascii="Times New Roman" w:hAnsi="Times New Roman"/>
                <w:sz w:val="24"/>
              </w:rPr>
              <w:t>%. Instytucje ujawniają wartość rynkową aktywów pożyczonych bez zabezpieczenia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w:t>
            </w:r>
            <w:r w:rsidR="00835753">
              <w:rPr>
                <w:rFonts w:ascii="Times New Roman" w:hAnsi="Times New Roman"/>
                <w:sz w:val="24"/>
              </w:rPr>
              <w:t> </w:t>
            </w:r>
            <w:r w:rsidR="00835753" w:rsidRPr="00835753">
              <w:rPr>
                <w:rFonts w:ascii="Times New Roman" w:hAnsi="Times New Roman"/>
                <w:sz w:val="24"/>
              </w:rPr>
              <w:t>ter</w:t>
            </w:r>
            <w:r w:rsidRPr="00835753">
              <w:rPr>
                <w:rFonts w:ascii="Times New Roman" w:hAnsi="Times New Roman"/>
                <w:sz w:val="24"/>
              </w:rPr>
              <w:t>minem zapadalności przypadającym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cią</w:t>
            </w:r>
            <w:r w:rsidRPr="00835753">
              <w:rPr>
                <w:rFonts w:ascii="Times New Roman" w:hAnsi="Times New Roman"/>
                <w:sz w:val="24"/>
              </w:rPr>
              <w:t>gu 30 dni,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gdy instytucja kredytowa nie jest właścicielem papierów wartościowych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nie</w:t>
            </w:r>
            <w:r w:rsidRPr="00835753">
              <w:rPr>
                <w:rFonts w:ascii="Times New Roman" w:hAnsi="Times New Roman"/>
                <w:sz w:val="24"/>
              </w:rPr>
              <w:t xml:space="preserve"> stanowią one części zabezpieczenia instytucji przed utratą płynności;</w:t>
            </w:r>
          </w:p>
          <w:p w14:paraId="11994546" w14:textId="25036F1C"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pozycje</w:t>
            </w:r>
            <w:proofErr w:type="gramEnd"/>
            <w:r w:rsidRPr="00835753">
              <w:rPr>
                <w:rFonts w:ascii="Times New Roman" w:hAnsi="Times New Roman"/>
                <w:sz w:val="24"/>
              </w:rPr>
              <w:t xml:space="preserve"> krótkie pokryte niezabezpieczoną pożyczką papierów wartościowych. Jak ustanowiono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30 ust.</w:t>
            </w:r>
            <w:r w:rsidR="00835753" w:rsidRPr="00835753">
              <w:rPr>
                <w:rFonts w:ascii="Times New Roman" w:hAnsi="Times New Roman"/>
                <w:sz w:val="24"/>
              </w:rPr>
              <w:t> </w:t>
            </w:r>
            <w:r w:rsidRPr="00835753">
              <w:rPr>
                <w:rFonts w:ascii="Times New Roman" w:hAnsi="Times New Roman"/>
                <w:sz w:val="24"/>
              </w:rPr>
              <w:t>5 rozporządzenia delegowanego Komisji (UE) 2015/61, instytucje dodają dodatkowy wypływ odpowiadający 100</w:t>
            </w:r>
            <w:r w:rsidR="00835753" w:rsidRPr="00835753">
              <w:rPr>
                <w:rFonts w:ascii="Times New Roman" w:hAnsi="Times New Roman"/>
                <w:sz w:val="24"/>
              </w:rPr>
              <w:t> </w:t>
            </w:r>
            <w:r w:rsidRPr="00835753">
              <w:rPr>
                <w:rFonts w:ascii="Times New Roman" w:hAnsi="Times New Roman"/>
                <w:sz w:val="24"/>
              </w:rPr>
              <w:t>% wartości rynkowej papierów wartościowych lub innych aktywów, które były przedmiotem krótkiej sprzedaży, chyba że instytucja kredytowa pożyczyła je na warunkach wymagających ich zwrotu dopiero po upływie 30 dni kalendarzowych. Jeżeli pozycja krótka jest pokryta zabezpieczoną transakcją finansowaną</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uży</w:t>
            </w:r>
            <w:r w:rsidRPr="00835753">
              <w:rPr>
                <w:rFonts w:ascii="Times New Roman" w:hAnsi="Times New Roman"/>
                <w:sz w:val="24"/>
              </w:rPr>
              <w:t>ciem papierów wartościowych, instytucja kredytowa zakłada, że pozycja krótka zostanie utrzymana przez okres 30 dni kalendarzowych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otr</w:t>
            </w:r>
            <w:r w:rsidRPr="00835753">
              <w:rPr>
                <w:rFonts w:ascii="Times New Roman" w:hAnsi="Times New Roman"/>
                <w:sz w:val="24"/>
              </w:rPr>
              <w:t>zyma wypływ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wys</w:t>
            </w:r>
            <w:r w:rsidRPr="00835753">
              <w:rPr>
                <w:rFonts w:ascii="Times New Roman" w:hAnsi="Times New Roman"/>
                <w:sz w:val="24"/>
              </w:rPr>
              <w:t>okości 0</w:t>
            </w:r>
            <w:r w:rsidR="00835753" w:rsidRPr="00835753">
              <w:rPr>
                <w:rFonts w:ascii="Times New Roman" w:hAnsi="Times New Roman"/>
                <w:sz w:val="24"/>
              </w:rPr>
              <w:t> </w:t>
            </w:r>
            <w:r w:rsidRPr="00835753">
              <w:rPr>
                <w:rFonts w:ascii="Times New Roman" w:hAnsi="Times New Roman"/>
                <w:sz w:val="24"/>
              </w:rPr>
              <w:t xml:space="preserve">%; </w:t>
            </w:r>
          </w:p>
          <w:p w14:paraId="4003516A" w14:textId="65FAD218"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zobowiązania</w:t>
            </w:r>
            <w:proofErr w:type="gramEnd"/>
            <w:r w:rsidRPr="00835753">
              <w:rPr>
                <w:rFonts w:ascii="Times New Roman" w:hAnsi="Times New Roman"/>
                <w:sz w:val="24"/>
              </w:rPr>
              <w:t xml:space="preserve"> wynikające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kos</w:t>
            </w:r>
            <w:r w:rsidRPr="00835753">
              <w:rPr>
                <w:rFonts w:ascii="Times New Roman" w:hAnsi="Times New Roman"/>
                <w:sz w:val="24"/>
              </w:rPr>
              <w:t>ztów operacyjnych. Jak ustanowiono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28 ust.</w:t>
            </w:r>
            <w:r w:rsidR="00835753" w:rsidRPr="00835753">
              <w:rPr>
                <w:rFonts w:ascii="Times New Roman" w:hAnsi="Times New Roman"/>
                <w:sz w:val="24"/>
              </w:rPr>
              <w:t> </w:t>
            </w:r>
            <w:r w:rsidRPr="00835753">
              <w:rPr>
                <w:rFonts w:ascii="Times New Roman" w:hAnsi="Times New Roman"/>
                <w:sz w:val="24"/>
              </w:rPr>
              <w:t>2 rozporządzenia delegowanego Komisji (UE) 2015/61, instytucje ujawniają kwotę salda zobowiązań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wła</w:t>
            </w:r>
            <w:r w:rsidRPr="00835753">
              <w:rPr>
                <w:rFonts w:ascii="Times New Roman" w:hAnsi="Times New Roman"/>
                <w:sz w:val="24"/>
              </w:rPr>
              <w:t xml:space="preserve">snych kosztów eksploatacyjnych instytucji kredytowych. Zobowiązania te nie powodują wypływów środków; </w:t>
            </w:r>
          </w:p>
          <w:p w14:paraId="5A57382E" w14:textId="4CB8BDA0"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proofErr w:type="gramStart"/>
            <w:r w:rsidRPr="00835753">
              <w:rPr>
                <w:rFonts w:ascii="Times New Roman" w:hAnsi="Times New Roman"/>
                <w:sz w:val="24"/>
              </w:rPr>
              <w:t>inne</w:t>
            </w:r>
            <w:proofErr w:type="gramEnd"/>
            <w:r w:rsidRPr="00835753">
              <w:rPr>
                <w:rFonts w:ascii="Times New Roman" w:hAnsi="Times New Roman"/>
                <w:sz w:val="24"/>
              </w:rPr>
              <w:t xml:space="preserve"> niezabezpieczone transakcje, wymagalne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cią</w:t>
            </w:r>
            <w:r w:rsidRPr="00835753">
              <w:rPr>
                <w:rFonts w:ascii="Times New Roman" w:hAnsi="Times New Roman"/>
                <w:sz w:val="24"/>
              </w:rPr>
              <w:t>gu najbliższych 30 dni kalendarzowych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nie</w:t>
            </w:r>
            <w:r w:rsidRPr="00835753">
              <w:rPr>
                <w:rFonts w:ascii="Times New Roman" w:hAnsi="Times New Roman"/>
                <w:sz w:val="24"/>
              </w:rPr>
              <w:t>ujęte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24–31 rozporządzenia delegowanego Komisji (UE) 2015/61, które,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31a ust.</w:t>
            </w:r>
            <w:r w:rsidR="00835753" w:rsidRPr="00835753">
              <w:rPr>
                <w:rFonts w:ascii="Times New Roman" w:hAnsi="Times New Roman"/>
                <w:sz w:val="24"/>
              </w:rPr>
              <w:t> </w:t>
            </w:r>
            <w:r w:rsidRPr="00835753">
              <w:rPr>
                <w:rFonts w:ascii="Times New Roman" w:hAnsi="Times New Roman"/>
                <w:sz w:val="24"/>
              </w:rPr>
              <w:t>1 rozporządzenia delegowanego Komisji (UE) 2015/61, powodują wypływy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wys</w:t>
            </w:r>
            <w:r w:rsidRPr="00835753">
              <w:rPr>
                <w:rFonts w:ascii="Times New Roman" w:hAnsi="Times New Roman"/>
                <w:sz w:val="24"/>
              </w:rPr>
              <w:t>okości 100</w:t>
            </w:r>
            <w:r w:rsidR="00835753" w:rsidRPr="00835753">
              <w:rPr>
                <w:rFonts w:ascii="Times New Roman" w:hAnsi="Times New Roman"/>
                <w:sz w:val="24"/>
              </w:rPr>
              <w:t> </w:t>
            </w:r>
            <w:r w:rsidRPr="00835753">
              <w:rPr>
                <w:rFonts w:ascii="Times New Roman" w:hAnsi="Times New Roman"/>
                <w:sz w:val="24"/>
              </w:rPr>
              <w:t>%.</w:t>
            </w:r>
          </w:p>
        </w:tc>
      </w:tr>
      <w:tr w:rsidR="001E06A3" w:rsidRPr="00835753" w14:paraId="5917984E" w14:textId="77777777" w:rsidTr="001E06A3">
        <w:trPr>
          <w:trHeight w:val="316"/>
        </w:trPr>
        <w:tc>
          <w:tcPr>
            <w:tcW w:w="1384" w:type="dxa"/>
          </w:tcPr>
          <w:p w14:paraId="7EA79F1A"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lastRenderedPageBreak/>
              <w:t>15</w:t>
            </w:r>
          </w:p>
        </w:tc>
        <w:tc>
          <w:tcPr>
            <w:tcW w:w="7655" w:type="dxa"/>
          </w:tcPr>
          <w:p w14:paraId="7F8F9A7C" w14:textId="7815189C" w:rsidR="001E06A3" w:rsidRPr="00835753" w:rsidRDefault="001E06A3" w:rsidP="001E06A3">
            <w:pPr>
              <w:spacing w:before="120" w:after="120" w:line="190" w:lineRule="exact"/>
              <w:jc w:val="both"/>
              <w:rPr>
                <w:rFonts w:ascii="Times New Roman" w:hAnsi="Times New Roman" w:cs="Times New Roman"/>
                <w:b/>
                <w:sz w:val="24"/>
              </w:rPr>
            </w:pPr>
            <w:r w:rsidRPr="00835753">
              <w:rPr>
                <w:rFonts w:ascii="Times New Roman" w:hAnsi="Times New Roman"/>
                <w:b/>
                <w:sz w:val="24"/>
              </w:rPr>
              <w:t>Inne zobowiązania warunkowe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finansowania</w:t>
            </w:r>
          </w:p>
          <w:p w14:paraId="43267292" w14:textId="7145C6A5" w:rsidR="001E06A3" w:rsidRPr="00835753" w:rsidRDefault="001E06A3" w:rsidP="001E06A3">
            <w:pPr>
              <w:spacing w:after="120" w:line="278" w:lineRule="exact"/>
              <w:jc w:val="both"/>
              <w:rPr>
                <w:rFonts w:ascii="Times New Roman" w:hAnsi="Times New Roman" w:cs="Times New Roman"/>
                <w:sz w:val="24"/>
              </w:rPr>
            </w:pPr>
            <w:r w:rsidRPr="00835753">
              <w:rPr>
                <w:rFonts w:ascii="Times New Roman" w:hAnsi="Times New Roman"/>
                <w:sz w:val="24"/>
              </w:rPr>
              <w:t>Instytucje ujawniają odpowiednio, jako wartość nieważoną</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o wartość ważoną, kwot</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wyp</w:t>
            </w:r>
            <w:r w:rsidRPr="00835753">
              <w:rPr>
                <w:rFonts w:ascii="Times New Roman" w:hAnsi="Times New Roman"/>
                <w:sz w:val="24"/>
              </w:rPr>
              <w:t>ływów następujących pozycji:</w:t>
            </w:r>
          </w:p>
          <w:p w14:paraId="350617B1" w14:textId="2D91E25F"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inne</w:t>
            </w:r>
            <w:proofErr w:type="gramEnd"/>
            <w:r w:rsidRPr="00835753">
              <w:rPr>
                <w:rFonts w:ascii="Times New Roman" w:hAnsi="Times New Roman"/>
                <w:sz w:val="24"/>
              </w:rPr>
              <w:t xml:space="preserve"> produkty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usł</w:t>
            </w:r>
            <w:r w:rsidRPr="00835753">
              <w:rPr>
                <w:rFonts w:ascii="Times New Roman" w:hAnsi="Times New Roman"/>
                <w:sz w:val="24"/>
              </w:rPr>
              <w:t>ugi,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23 rozporządzenia delegowanego Komisji (UE) 2015/61</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tej</w:t>
            </w:r>
            <w:r w:rsidRPr="00835753">
              <w:rPr>
                <w:rFonts w:ascii="Times New Roman" w:hAnsi="Times New Roman"/>
                <w:sz w:val="24"/>
              </w:rPr>
              <w:t xml:space="preserve"> sekcji instytucje ujawniają produkty lub usługi,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23 ust.</w:t>
            </w:r>
            <w:r w:rsidR="00835753" w:rsidRPr="00835753">
              <w:rPr>
                <w:rFonts w:ascii="Times New Roman" w:hAnsi="Times New Roman"/>
                <w:sz w:val="24"/>
              </w:rPr>
              <w:t> </w:t>
            </w:r>
            <w:r w:rsidRPr="00835753">
              <w:rPr>
                <w:rFonts w:ascii="Times New Roman" w:hAnsi="Times New Roman"/>
                <w:sz w:val="24"/>
              </w:rPr>
              <w:t>1 rozporządzenia delegowanego Komisji (UE) 2015/61. Ujawnianą kwotą jest maksymalna kwota, którą można wykorzystać</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tyc</w:t>
            </w:r>
            <w:r w:rsidRPr="00835753">
              <w:rPr>
                <w:rFonts w:ascii="Times New Roman" w:hAnsi="Times New Roman"/>
                <w:sz w:val="24"/>
              </w:rPr>
              <w:t>h produktów lub usług,</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23 ust.</w:t>
            </w:r>
            <w:r w:rsidR="00835753" w:rsidRPr="00835753">
              <w:rPr>
                <w:rFonts w:ascii="Times New Roman" w:hAnsi="Times New Roman"/>
                <w:sz w:val="24"/>
              </w:rPr>
              <w:t> </w:t>
            </w:r>
            <w:r w:rsidRPr="00835753">
              <w:rPr>
                <w:rFonts w:ascii="Times New Roman" w:hAnsi="Times New Roman"/>
                <w:sz w:val="24"/>
              </w:rPr>
              <w:t xml:space="preserve">1 rozporządzenia delegowanego Komisji (UE) 2015/61; </w:t>
            </w:r>
          </w:p>
          <w:p w14:paraId="45C7B42C" w14:textId="257BCE16"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nadwyżka</w:t>
            </w:r>
            <w:proofErr w:type="gramEnd"/>
            <w:r w:rsidRPr="00835753">
              <w:rPr>
                <w:rFonts w:ascii="Times New Roman" w:hAnsi="Times New Roman"/>
                <w:sz w:val="24"/>
              </w:rPr>
              <w:t xml:space="preserve"> zobowiązań umownych do udzielenia finansowania klientom niefinansowym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30 dni kalendarzowych, jak 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31a ust.</w:t>
            </w:r>
            <w:r w:rsidR="00835753" w:rsidRPr="00835753">
              <w:rPr>
                <w:rFonts w:ascii="Times New Roman" w:hAnsi="Times New Roman"/>
                <w:sz w:val="24"/>
              </w:rPr>
              <w:t> </w:t>
            </w:r>
            <w:r w:rsidRPr="00835753">
              <w:rPr>
                <w:rFonts w:ascii="Times New Roman" w:hAnsi="Times New Roman"/>
                <w:sz w:val="24"/>
              </w:rPr>
              <w:t xml:space="preserve">2 rozporządzenia delegowanego Komisji (UE) 2015/61; </w:t>
            </w:r>
          </w:p>
          <w:p w14:paraId="1957D1C8" w14:textId="6271F0E4"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szCs w:val="24"/>
              </w:rPr>
            </w:pPr>
            <w:proofErr w:type="gramStart"/>
            <w:r w:rsidRPr="00835753">
              <w:rPr>
                <w:rFonts w:ascii="Times New Roman" w:hAnsi="Times New Roman"/>
                <w:sz w:val="24"/>
              </w:rPr>
              <w:t>wewnętrzne</w:t>
            </w:r>
            <w:proofErr w:type="gramEnd"/>
            <w:r w:rsidRPr="00835753">
              <w:rPr>
                <w:rFonts w:ascii="Times New Roman" w:hAnsi="Times New Roman"/>
                <w:sz w:val="24"/>
              </w:rPr>
              <w:t xml:space="preserve"> zestawienie pozycji klientów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30 ust.</w:t>
            </w:r>
            <w:r w:rsidR="00835753" w:rsidRPr="00835753">
              <w:rPr>
                <w:rFonts w:ascii="Times New Roman" w:hAnsi="Times New Roman"/>
                <w:sz w:val="24"/>
              </w:rPr>
              <w:t> </w:t>
            </w:r>
            <w:r w:rsidRPr="00835753">
              <w:rPr>
                <w:rFonts w:ascii="Times New Roman" w:hAnsi="Times New Roman"/>
                <w:sz w:val="24"/>
              </w:rPr>
              <w:t>11 rozporządzenia delegowanego Komisji (UE) 2015/61</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tej</w:t>
            </w:r>
            <w:r w:rsidRPr="00835753">
              <w:rPr>
                <w:rFonts w:ascii="Times New Roman" w:hAnsi="Times New Roman"/>
                <w:sz w:val="24"/>
              </w:rPr>
              <w:t xml:space="preserve"> sekcji instytucje ujawniają wartość rynkową aktywów niepłynnych klienta, które –</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 xml:space="preserve">iesieniu do usług brokerskich – instytucja kredytowa wykorzystała do pokrycia transakcji krótkich sprzedaży </w:t>
            </w:r>
            <w:r w:rsidRPr="00835753">
              <w:rPr>
                <w:rFonts w:ascii="Times New Roman" w:hAnsi="Times New Roman"/>
                <w:sz w:val="24"/>
              </w:rPr>
              <w:lastRenderedPageBreak/>
              <w:t>realizowanych przez innego klienta poprzez ich wewnętrzne zestawienie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akt</w:t>
            </w:r>
            <w:r w:rsidRPr="00835753">
              <w:rPr>
                <w:rFonts w:ascii="Times New Roman" w:hAnsi="Times New Roman"/>
                <w:sz w:val="24"/>
              </w:rPr>
              <w:t>ywami innego klienta.</w:t>
            </w:r>
          </w:p>
        </w:tc>
      </w:tr>
      <w:tr w:rsidR="001E06A3" w:rsidRPr="00835753" w14:paraId="7567BDED" w14:textId="77777777" w:rsidTr="001E06A3">
        <w:trPr>
          <w:trHeight w:val="316"/>
        </w:trPr>
        <w:tc>
          <w:tcPr>
            <w:tcW w:w="1384" w:type="dxa"/>
          </w:tcPr>
          <w:p w14:paraId="793AE071"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lastRenderedPageBreak/>
              <w:t>16</w:t>
            </w:r>
          </w:p>
        </w:tc>
        <w:tc>
          <w:tcPr>
            <w:tcW w:w="7655" w:type="dxa"/>
          </w:tcPr>
          <w:p w14:paraId="62C155C5" w14:textId="77777777" w:rsidR="001E06A3" w:rsidRPr="00835753" w:rsidRDefault="001E06A3" w:rsidP="001E06A3">
            <w:pPr>
              <w:spacing w:before="120" w:after="120" w:line="190" w:lineRule="exact"/>
              <w:rPr>
                <w:rFonts w:ascii="Times New Roman" w:hAnsi="Times New Roman"/>
                <w:sz w:val="24"/>
              </w:rPr>
            </w:pPr>
            <w:r w:rsidRPr="00835753">
              <w:rPr>
                <w:rFonts w:ascii="Times New Roman" w:hAnsi="Times New Roman"/>
                <w:b/>
                <w:sz w:val="24"/>
              </w:rPr>
              <w:t>CAŁKOWITE WYPŁYWY ŚRODKÓW PIENIĘŻNYCH</w:t>
            </w:r>
          </w:p>
          <w:p w14:paraId="2E04572F" w14:textId="04FDEE74" w:rsidR="001E06A3" w:rsidRPr="00835753" w:rsidRDefault="001E06A3" w:rsidP="001E06A3">
            <w:pPr>
              <w:spacing w:after="120" w:line="288" w:lineRule="exact"/>
              <w:rPr>
                <w:rFonts w:ascii="Times New Roman" w:hAnsi="Times New Roman" w:cs="Times New Roman"/>
                <w:sz w:val="24"/>
              </w:rPr>
            </w:pPr>
            <w:r w:rsidRPr="00835753">
              <w:rPr>
                <w:rFonts w:ascii="Times New Roman" w:hAnsi="Times New Roman"/>
                <w:sz w:val="24"/>
              </w:rPr>
              <w:t>Instytucje ujawniają sumę wartości ważonej następujących pozycji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iejszymi instrukcjami:</w:t>
            </w:r>
          </w:p>
          <w:p w14:paraId="77918023" w14:textId="5BF65237"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wiersz</w:t>
            </w:r>
            <w:proofErr w:type="gramEnd"/>
            <w:r w:rsidRPr="00835753">
              <w:rPr>
                <w:rFonts w:ascii="Times New Roman" w:hAnsi="Times New Roman"/>
                <w:sz w:val="24"/>
              </w:rPr>
              <w:t xml:space="preserve"> 2: Depozyty detaliczne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dep</w:t>
            </w:r>
            <w:r w:rsidRPr="00835753">
              <w:rPr>
                <w:rFonts w:ascii="Times New Roman" w:hAnsi="Times New Roman"/>
                <w:sz w:val="24"/>
              </w:rPr>
              <w:t>ozyty klientów będących małymi przedsiębiorstwami;</w:t>
            </w:r>
          </w:p>
          <w:p w14:paraId="23EDA54B" w14:textId="75BE73EA"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wiersz</w:t>
            </w:r>
            <w:proofErr w:type="gramEnd"/>
            <w:r w:rsidRPr="00835753">
              <w:rPr>
                <w:rFonts w:ascii="Times New Roman" w:hAnsi="Times New Roman"/>
                <w:sz w:val="24"/>
              </w:rPr>
              <w:t xml:space="preserve"> 5 niniejszego wzoru: Niezabezpieczone finansowanie na rynku międzybankowym;</w:t>
            </w:r>
          </w:p>
          <w:p w14:paraId="6EEAFB58" w14:textId="5298F5D7"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wiersz</w:t>
            </w:r>
            <w:proofErr w:type="gramEnd"/>
            <w:r w:rsidRPr="00835753">
              <w:rPr>
                <w:rFonts w:ascii="Times New Roman" w:hAnsi="Times New Roman"/>
                <w:sz w:val="24"/>
              </w:rPr>
              <w:t xml:space="preserve"> 9 niniejszego wzoru: Zabezpieczone finansowanie na rynku międzybankowym;</w:t>
            </w:r>
          </w:p>
          <w:p w14:paraId="47B95BA6" w14:textId="6D6B7904"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wiersz</w:t>
            </w:r>
            <w:proofErr w:type="gramEnd"/>
            <w:r w:rsidRPr="00835753">
              <w:rPr>
                <w:rFonts w:ascii="Times New Roman" w:hAnsi="Times New Roman"/>
                <w:sz w:val="24"/>
              </w:rPr>
              <w:t xml:space="preserve"> 10 niniejszego wzoru: Dodatkowe wymogi;</w:t>
            </w:r>
          </w:p>
          <w:p w14:paraId="2CFDD2BC" w14:textId="28FB3F45"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wiersz</w:t>
            </w:r>
            <w:proofErr w:type="gramEnd"/>
            <w:r w:rsidRPr="00835753">
              <w:rPr>
                <w:rFonts w:ascii="Times New Roman" w:hAnsi="Times New Roman"/>
                <w:sz w:val="24"/>
              </w:rPr>
              <w:t xml:space="preserve"> 14 niniejszego wzoru: Inne zobowiązania umowne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finansowania;</w:t>
            </w:r>
          </w:p>
          <w:p w14:paraId="208A5190" w14:textId="1858FB01"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wiersz</w:t>
            </w:r>
            <w:proofErr w:type="gramEnd"/>
            <w:r w:rsidRPr="00835753">
              <w:rPr>
                <w:rFonts w:ascii="Times New Roman" w:hAnsi="Times New Roman"/>
                <w:sz w:val="24"/>
              </w:rPr>
              <w:t xml:space="preserve"> 15 niniejszego wzoru: Inne zobowiązania warunkowe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finansowania.</w:t>
            </w:r>
          </w:p>
        </w:tc>
      </w:tr>
      <w:tr w:rsidR="001E06A3" w:rsidRPr="00835753" w14:paraId="12D38320" w14:textId="77777777" w:rsidTr="001E06A3">
        <w:trPr>
          <w:trHeight w:val="316"/>
        </w:trPr>
        <w:tc>
          <w:tcPr>
            <w:tcW w:w="1384" w:type="dxa"/>
          </w:tcPr>
          <w:p w14:paraId="27EE2B47"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t>17</w:t>
            </w:r>
          </w:p>
        </w:tc>
        <w:tc>
          <w:tcPr>
            <w:tcW w:w="7655" w:type="dxa"/>
          </w:tcPr>
          <w:p w14:paraId="76FF1822" w14:textId="14A22B29" w:rsidR="001E06A3" w:rsidRPr="00835753" w:rsidRDefault="001E06A3" w:rsidP="001E06A3">
            <w:pPr>
              <w:spacing w:before="120" w:after="120" w:line="190" w:lineRule="exact"/>
              <w:rPr>
                <w:rFonts w:ascii="Times New Roman" w:hAnsi="Times New Roman"/>
                <w:sz w:val="24"/>
              </w:rPr>
            </w:pPr>
            <w:r w:rsidRPr="00835753">
              <w:rPr>
                <w:rFonts w:ascii="Times New Roman" w:hAnsi="Times New Roman"/>
                <w:b/>
                <w:sz w:val="24"/>
              </w:rPr>
              <w:t>Zabezpieczone transakcje kredytowe (np. transakcje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otr</w:t>
            </w:r>
            <w:r w:rsidRPr="00835753">
              <w:rPr>
                <w:rFonts w:ascii="Times New Roman" w:hAnsi="Times New Roman"/>
                <w:b/>
                <w:sz w:val="24"/>
              </w:rPr>
              <w:t>zymanym przyrzeczeniem odkupu)</w:t>
            </w:r>
          </w:p>
          <w:p w14:paraId="334DCC49" w14:textId="77777777" w:rsidR="001E06A3" w:rsidRPr="00835753" w:rsidRDefault="001E06A3" w:rsidP="001E06A3">
            <w:pPr>
              <w:spacing w:after="120" w:line="288" w:lineRule="exact"/>
              <w:jc w:val="both"/>
              <w:rPr>
                <w:rFonts w:ascii="Times New Roman" w:hAnsi="Times New Roman" w:cs="Times New Roman"/>
                <w:sz w:val="24"/>
              </w:rPr>
            </w:pPr>
            <w:r w:rsidRPr="00835753">
              <w:rPr>
                <w:rFonts w:ascii="Times New Roman" w:hAnsi="Times New Roman"/>
                <w:sz w:val="24"/>
              </w:rPr>
              <w:t>Instytucje ujawniają jako wartość nieważoną sumę:</w:t>
            </w:r>
          </w:p>
          <w:p w14:paraId="4AA2D0C7" w14:textId="090DB754"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kwot</w:t>
            </w:r>
            <w:proofErr w:type="gramEnd"/>
            <w:r w:rsidRPr="00835753">
              <w:rPr>
                <w:rFonts w:ascii="Times New Roman" w:hAnsi="Times New Roman"/>
                <w:sz w:val="24"/>
              </w:rPr>
              <w:t xml:space="preserve"> zabezpieczonych transakcji kredytowych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tra</w:t>
            </w:r>
            <w:r w:rsidRPr="00835753">
              <w:rPr>
                <w:rFonts w:ascii="Times New Roman" w:hAnsi="Times New Roman"/>
                <w:sz w:val="24"/>
              </w:rPr>
              <w:t>nsakcji opartych na rynku kapitałowym</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rez</w:t>
            </w:r>
            <w:r w:rsidRPr="00835753">
              <w:rPr>
                <w:rFonts w:ascii="Times New Roman" w:hAnsi="Times New Roman"/>
                <w:sz w:val="24"/>
              </w:rPr>
              <w:t>ydualnym terminie zapadalności nie dłuższym niż 30 dni, jak 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ust.</w:t>
            </w:r>
            <w:r w:rsidR="00835753" w:rsidRPr="00835753">
              <w:rPr>
                <w:rFonts w:ascii="Times New Roman" w:hAnsi="Times New Roman"/>
                <w:sz w:val="24"/>
              </w:rPr>
              <w:t> </w:t>
            </w:r>
            <w:r w:rsidRPr="00835753">
              <w:rPr>
                <w:rFonts w:ascii="Times New Roman" w:hAnsi="Times New Roman"/>
                <w:sz w:val="24"/>
              </w:rPr>
              <w:t>3 lit.</w:t>
            </w:r>
            <w:r w:rsidR="00835753" w:rsidRPr="00835753">
              <w:rPr>
                <w:rFonts w:ascii="Times New Roman" w:hAnsi="Times New Roman"/>
                <w:sz w:val="24"/>
              </w:rPr>
              <w:t> </w:t>
            </w:r>
            <w:r w:rsidRPr="00835753">
              <w:rPr>
                <w:rFonts w:ascii="Times New Roman" w:hAnsi="Times New Roman"/>
                <w:sz w:val="24"/>
              </w:rPr>
              <w:t>b), c) i f) rozporządzenia delegowanego Komisji (UE) 2015/61;</w:t>
            </w:r>
          </w:p>
          <w:p w14:paraId="63304E56" w14:textId="0481C8A3" w:rsidR="001E06A3" w:rsidRPr="00835753" w:rsidRDefault="001E06A3" w:rsidP="00E70D84">
            <w:pPr>
              <w:pStyle w:val="ListParagraph"/>
              <w:numPr>
                <w:ilvl w:val="0"/>
                <w:numId w:val="34"/>
              </w:numPr>
              <w:autoSpaceDE w:val="0"/>
              <w:autoSpaceDN w:val="0"/>
              <w:adjustRightInd w:val="0"/>
              <w:spacing w:after="120" w:line="288" w:lineRule="exact"/>
              <w:contextualSpacing/>
              <w:jc w:val="both"/>
              <w:rPr>
                <w:rFonts w:ascii="Times New Roman" w:hAnsi="Times New Roman"/>
                <w:sz w:val="24"/>
              </w:rPr>
            </w:pPr>
            <w:proofErr w:type="gramStart"/>
            <w:r w:rsidRPr="00835753">
              <w:rPr>
                <w:rFonts w:ascii="Times New Roman" w:hAnsi="Times New Roman"/>
                <w:sz w:val="24"/>
              </w:rPr>
              <w:t>wartości</w:t>
            </w:r>
            <w:proofErr w:type="gramEnd"/>
            <w:r w:rsidRPr="00835753">
              <w:rPr>
                <w:rFonts w:ascii="Times New Roman" w:hAnsi="Times New Roman"/>
                <w:sz w:val="24"/>
              </w:rPr>
              <w:t xml:space="preserve"> rynkowej zabezpieczenia będącego przedmiotem udzielonej pożyczki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transakcji zabezpieczających swap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ust.</w:t>
            </w:r>
            <w:r w:rsidR="00835753" w:rsidRPr="00835753">
              <w:rPr>
                <w:rFonts w:ascii="Times New Roman" w:hAnsi="Times New Roman"/>
                <w:sz w:val="24"/>
              </w:rPr>
              <w:t> </w:t>
            </w:r>
            <w:r w:rsidRPr="00835753">
              <w:rPr>
                <w:rFonts w:ascii="Times New Roman" w:hAnsi="Times New Roman"/>
                <w:sz w:val="24"/>
              </w:rPr>
              <w:t>3 rozporządzenia delegowanego Komisji (UE) 2015/61.</w:t>
            </w:r>
          </w:p>
          <w:p w14:paraId="4F3A3699" w14:textId="77777777" w:rsidR="001E06A3" w:rsidRPr="00835753" w:rsidRDefault="001E06A3" w:rsidP="001E06A3">
            <w:pPr>
              <w:spacing w:after="120" w:line="288" w:lineRule="exact"/>
              <w:jc w:val="both"/>
              <w:rPr>
                <w:rFonts w:ascii="Times New Roman" w:hAnsi="Times New Roman" w:cs="Times New Roman"/>
                <w:sz w:val="24"/>
              </w:rPr>
            </w:pPr>
            <w:r w:rsidRPr="00835753">
              <w:rPr>
                <w:rFonts w:ascii="Times New Roman" w:hAnsi="Times New Roman"/>
                <w:sz w:val="24"/>
              </w:rPr>
              <w:t>Instytucje ujawniają jako wartość ważoną sumę:</w:t>
            </w:r>
          </w:p>
          <w:p w14:paraId="074D6101" w14:textId="642D186C"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wpływów</w:t>
            </w:r>
            <w:proofErr w:type="gramEnd"/>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zabezpieczonych transakcji kredytowych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tra</w:t>
            </w:r>
            <w:r w:rsidRPr="00835753">
              <w:rPr>
                <w:rFonts w:ascii="Times New Roman" w:hAnsi="Times New Roman"/>
                <w:sz w:val="24"/>
              </w:rPr>
              <w:t>nsakcji opartych na rynku kapitałowym</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rez</w:t>
            </w:r>
            <w:r w:rsidRPr="00835753">
              <w:rPr>
                <w:rFonts w:ascii="Times New Roman" w:hAnsi="Times New Roman"/>
                <w:sz w:val="24"/>
              </w:rPr>
              <w:t>ydualnym terminie zapadalności nie dłuższym niż 30 dni, jak 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ust.</w:t>
            </w:r>
            <w:r w:rsidR="00835753" w:rsidRPr="00835753">
              <w:rPr>
                <w:rFonts w:ascii="Times New Roman" w:hAnsi="Times New Roman"/>
                <w:sz w:val="24"/>
              </w:rPr>
              <w:t> </w:t>
            </w:r>
            <w:r w:rsidRPr="00835753">
              <w:rPr>
                <w:rFonts w:ascii="Times New Roman" w:hAnsi="Times New Roman"/>
                <w:sz w:val="24"/>
              </w:rPr>
              <w:t>3 lit.</w:t>
            </w:r>
            <w:r w:rsidR="00835753" w:rsidRPr="00835753">
              <w:rPr>
                <w:rFonts w:ascii="Times New Roman" w:hAnsi="Times New Roman"/>
                <w:sz w:val="24"/>
              </w:rPr>
              <w:t> </w:t>
            </w:r>
            <w:r w:rsidRPr="00835753">
              <w:rPr>
                <w:rFonts w:ascii="Times New Roman" w:hAnsi="Times New Roman"/>
                <w:sz w:val="24"/>
              </w:rPr>
              <w:t>b), c) i f) rozporządzenia delegowanego Komisji (UE) 2015/61;</w:t>
            </w:r>
          </w:p>
          <w:p w14:paraId="3E8F1989" w14:textId="736E46EC"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proofErr w:type="gramStart"/>
            <w:r w:rsidRPr="00835753">
              <w:rPr>
                <w:rFonts w:ascii="Times New Roman" w:hAnsi="Times New Roman"/>
                <w:sz w:val="24"/>
              </w:rPr>
              <w:t>wpływów</w:t>
            </w:r>
            <w:proofErr w:type="gramEnd"/>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transakcji zabezpieczających swap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ust.</w:t>
            </w:r>
            <w:r w:rsidR="00835753" w:rsidRPr="00835753">
              <w:rPr>
                <w:rFonts w:ascii="Times New Roman" w:hAnsi="Times New Roman"/>
                <w:sz w:val="24"/>
              </w:rPr>
              <w:t> </w:t>
            </w:r>
            <w:r w:rsidRPr="00835753">
              <w:rPr>
                <w:rFonts w:ascii="Times New Roman" w:hAnsi="Times New Roman"/>
                <w:sz w:val="24"/>
              </w:rPr>
              <w:t>3 rozporządzenia delegowanego Komisji (UE) 2015/61.</w:t>
            </w:r>
          </w:p>
        </w:tc>
      </w:tr>
      <w:tr w:rsidR="001E06A3" w:rsidRPr="00835753" w14:paraId="35F1E4C6" w14:textId="77777777" w:rsidTr="001E06A3">
        <w:trPr>
          <w:trHeight w:val="316"/>
        </w:trPr>
        <w:tc>
          <w:tcPr>
            <w:tcW w:w="1384" w:type="dxa"/>
          </w:tcPr>
          <w:p w14:paraId="575A1ABF"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t>18</w:t>
            </w:r>
          </w:p>
        </w:tc>
        <w:tc>
          <w:tcPr>
            <w:tcW w:w="7655" w:type="dxa"/>
          </w:tcPr>
          <w:p w14:paraId="36C0ED1A" w14:textId="167A719D" w:rsidR="001E06A3" w:rsidRPr="00835753" w:rsidRDefault="001E06A3" w:rsidP="001E06A3">
            <w:pPr>
              <w:spacing w:before="120" w:after="120" w:line="190" w:lineRule="exact"/>
              <w:rPr>
                <w:rFonts w:ascii="Times New Roman" w:hAnsi="Times New Roman"/>
                <w:b/>
                <w:sz w:val="24"/>
              </w:rPr>
            </w:pPr>
            <w:r w:rsidRPr="00835753">
              <w:rPr>
                <w:rFonts w:ascii="Times New Roman" w:hAnsi="Times New Roman"/>
                <w:b/>
                <w:sz w:val="24"/>
              </w:rPr>
              <w:t>Wpływy</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tyt</w:t>
            </w:r>
            <w:r w:rsidRPr="00835753">
              <w:rPr>
                <w:rFonts w:ascii="Times New Roman" w:hAnsi="Times New Roman"/>
                <w:b/>
                <w:sz w:val="24"/>
              </w:rPr>
              <w:t>ułu ekspozycji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peł</w:t>
            </w:r>
            <w:r w:rsidRPr="00835753">
              <w:rPr>
                <w:rFonts w:ascii="Times New Roman" w:hAnsi="Times New Roman"/>
                <w:b/>
                <w:sz w:val="24"/>
              </w:rPr>
              <w:t>ni obsługiwanych</w:t>
            </w:r>
          </w:p>
          <w:p w14:paraId="2254BE83" w14:textId="73A2068B" w:rsidR="001E06A3" w:rsidRPr="00835753" w:rsidRDefault="001E06A3" w:rsidP="001E06A3">
            <w:pPr>
              <w:spacing w:after="120" w:line="278" w:lineRule="exact"/>
              <w:jc w:val="both"/>
              <w:rPr>
                <w:rFonts w:ascii="Times New Roman" w:hAnsi="Times New Roman" w:cs="Times New Roman"/>
                <w:sz w:val="24"/>
              </w:rPr>
            </w:pPr>
            <w:r w:rsidRPr="00835753">
              <w:rPr>
                <w:rFonts w:ascii="Times New Roman" w:hAnsi="Times New Roman"/>
                <w:sz w:val="24"/>
              </w:rPr>
              <w:t>Instytucje ujawniają odpowiednio, jako wartość nieważoną</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o wartość ważoną, sumę całkowitych kwot</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wpł</w:t>
            </w:r>
            <w:r w:rsidRPr="00835753">
              <w:rPr>
                <w:rFonts w:ascii="Times New Roman" w:hAnsi="Times New Roman"/>
                <w:sz w:val="24"/>
              </w:rPr>
              <w:t>ywów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nas</w:t>
            </w:r>
            <w:r w:rsidRPr="00835753">
              <w:rPr>
                <w:rFonts w:ascii="Times New Roman" w:hAnsi="Times New Roman"/>
                <w:sz w:val="24"/>
              </w:rPr>
              <w:t>tępujących pozycjach:</w:t>
            </w:r>
          </w:p>
          <w:p w14:paraId="281D66AE" w14:textId="51D640E7"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środki</w:t>
            </w:r>
            <w:proofErr w:type="gramEnd"/>
            <w:r w:rsidRPr="00835753">
              <w:rPr>
                <w:rFonts w:ascii="Times New Roman" w:hAnsi="Times New Roman"/>
                <w:sz w:val="24"/>
              </w:rPr>
              <w:t xml:space="preserve"> pieniężne należne od klientów niefinansowych (z wyjątkiem banków centralnych), jak 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ust.</w:t>
            </w:r>
            <w:r w:rsidR="00835753" w:rsidRPr="00835753">
              <w:rPr>
                <w:rFonts w:ascii="Times New Roman" w:hAnsi="Times New Roman"/>
                <w:sz w:val="24"/>
              </w:rPr>
              <w:t> </w:t>
            </w:r>
            <w:r w:rsidRPr="00835753">
              <w:rPr>
                <w:rFonts w:ascii="Times New Roman" w:hAnsi="Times New Roman"/>
                <w:sz w:val="24"/>
              </w:rPr>
              <w:t>3 lit.</w:t>
            </w:r>
            <w:r w:rsidR="00835753" w:rsidRPr="00835753">
              <w:rPr>
                <w:rFonts w:ascii="Times New Roman" w:hAnsi="Times New Roman"/>
                <w:sz w:val="24"/>
              </w:rPr>
              <w:t> </w:t>
            </w:r>
            <w:r w:rsidRPr="00835753">
              <w:rPr>
                <w:rFonts w:ascii="Times New Roman" w:hAnsi="Times New Roman"/>
                <w:sz w:val="24"/>
              </w:rPr>
              <w:t xml:space="preserve">a) rozporządzenia delegowanego Komisji (UE) 2015/61; </w:t>
            </w:r>
          </w:p>
          <w:p w14:paraId="0AF8F8CE" w14:textId="11E03210"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środki</w:t>
            </w:r>
            <w:proofErr w:type="gramEnd"/>
            <w:r w:rsidRPr="00835753">
              <w:rPr>
                <w:rFonts w:ascii="Times New Roman" w:hAnsi="Times New Roman"/>
                <w:sz w:val="24"/>
              </w:rPr>
              <w:t xml:space="preserve"> pieniężne należne od banków centralnych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kli</w:t>
            </w:r>
            <w:r w:rsidRPr="00835753">
              <w:rPr>
                <w:rFonts w:ascii="Times New Roman" w:hAnsi="Times New Roman"/>
                <w:sz w:val="24"/>
              </w:rPr>
              <w:t>entów finansowych, jak 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 xml:space="preserve">a) rozporządzenia delegowanego Komisji (UE) 2015/61; </w:t>
            </w:r>
          </w:p>
          <w:p w14:paraId="0C6DB747" w14:textId="3E7D6BEB"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lastRenderedPageBreak/>
              <w:t>środki</w:t>
            </w:r>
            <w:proofErr w:type="gramEnd"/>
            <w:r w:rsidRPr="00835753">
              <w:rPr>
                <w:rFonts w:ascii="Times New Roman" w:hAnsi="Times New Roman"/>
                <w:sz w:val="24"/>
              </w:rPr>
              <w:t xml:space="preserve"> pieniężne należne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transakcji finansowania handlu, jak 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b) rozporządzenia delegowanego Komisji (UE) 2015/61,</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rez</w:t>
            </w:r>
            <w:r w:rsidRPr="00835753">
              <w:rPr>
                <w:rFonts w:ascii="Times New Roman" w:hAnsi="Times New Roman"/>
                <w:sz w:val="24"/>
              </w:rPr>
              <w:t>ydualnym terminie zapadalności nie dłuższym niż 30 dni;</w:t>
            </w:r>
          </w:p>
          <w:p w14:paraId="681CDA5C" w14:textId="16E047A7"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proofErr w:type="gramStart"/>
            <w:r w:rsidRPr="00835753">
              <w:rPr>
                <w:rFonts w:ascii="Times New Roman" w:hAnsi="Times New Roman"/>
                <w:sz w:val="24"/>
              </w:rPr>
              <w:t>wpływy</w:t>
            </w:r>
            <w:proofErr w:type="gramEnd"/>
            <w:r w:rsidRPr="00835753">
              <w:rPr>
                <w:rFonts w:ascii="Times New Roman" w:hAnsi="Times New Roman"/>
                <w:sz w:val="24"/>
              </w:rPr>
              <w:t xml:space="preserve"> odpowiadające wypływom wynikającym ze zobowiązań do udzielenia kredytu preferencyjnego,</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rym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31 ust.</w:t>
            </w:r>
            <w:r w:rsidR="00835753" w:rsidRPr="00835753">
              <w:rPr>
                <w:rFonts w:ascii="Times New Roman" w:hAnsi="Times New Roman"/>
                <w:sz w:val="24"/>
              </w:rPr>
              <w:t> </w:t>
            </w:r>
            <w:r w:rsidRPr="00835753">
              <w:rPr>
                <w:rFonts w:ascii="Times New Roman" w:hAnsi="Times New Roman"/>
                <w:sz w:val="24"/>
              </w:rPr>
              <w:t>9 rozporządzenia delegowanego Komisji (UE) 2015/61.</w:t>
            </w:r>
          </w:p>
        </w:tc>
      </w:tr>
      <w:tr w:rsidR="001E06A3" w:rsidRPr="00835753" w14:paraId="0F39C37E" w14:textId="77777777" w:rsidTr="001E06A3">
        <w:trPr>
          <w:trHeight w:val="316"/>
        </w:trPr>
        <w:tc>
          <w:tcPr>
            <w:tcW w:w="1384" w:type="dxa"/>
          </w:tcPr>
          <w:p w14:paraId="1BE2423E"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lastRenderedPageBreak/>
              <w:t>19</w:t>
            </w:r>
          </w:p>
        </w:tc>
        <w:tc>
          <w:tcPr>
            <w:tcW w:w="7655" w:type="dxa"/>
          </w:tcPr>
          <w:p w14:paraId="521414D9" w14:textId="77777777" w:rsidR="001E06A3" w:rsidRPr="00835753" w:rsidRDefault="001E06A3" w:rsidP="001E06A3">
            <w:pPr>
              <w:spacing w:before="120" w:after="120" w:line="190" w:lineRule="exact"/>
              <w:rPr>
                <w:rFonts w:ascii="Times New Roman" w:hAnsi="Times New Roman"/>
                <w:sz w:val="24"/>
              </w:rPr>
            </w:pPr>
            <w:r w:rsidRPr="00835753">
              <w:rPr>
                <w:rFonts w:ascii="Times New Roman" w:hAnsi="Times New Roman"/>
                <w:b/>
                <w:sz w:val="24"/>
              </w:rPr>
              <w:t>Inne wpływy środków pieniężnych</w:t>
            </w:r>
          </w:p>
          <w:p w14:paraId="677097E1" w14:textId="476F21CD" w:rsidR="001E06A3" w:rsidRPr="00835753" w:rsidRDefault="001E06A3" w:rsidP="001E06A3">
            <w:pPr>
              <w:spacing w:after="120" w:line="278" w:lineRule="exact"/>
              <w:jc w:val="both"/>
              <w:rPr>
                <w:rFonts w:ascii="Times New Roman" w:hAnsi="Times New Roman" w:cs="Times New Roman"/>
                <w:sz w:val="24"/>
              </w:rPr>
            </w:pPr>
            <w:r w:rsidRPr="00835753">
              <w:rPr>
                <w:rFonts w:ascii="Times New Roman" w:hAnsi="Times New Roman"/>
                <w:sz w:val="24"/>
              </w:rPr>
              <w:t>Instytucje ujawniają odpowiednio, jako wartość nieważoną</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o wartość ważoną, sumę odpowiednio całkowitych kwot</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wpł</w:t>
            </w:r>
            <w:r w:rsidRPr="00835753">
              <w:rPr>
                <w:rFonts w:ascii="Times New Roman" w:hAnsi="Times New Roman"/>
                <w:sz w:val="24"/>
              </w:rPr>
              <w:t>ywów pozycji:</w:t>
            </w:r>
          </w:p>
          <w:p w14:paraId="657F84C7" w14:textId="1D74C7D6"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środki</w:t>
            </w:r>
            <w:proofErr w:type="gramEnd"/>
            <w:r w:rsidRPr="00835753">
              <w:rPr>
                <w:rFonts w:ascii="Times New Roman" w:hAnsi="Times New Roman"/>
                <w:sz w:val="24"/>
              </w:rPr>
              <w:t xml:space="preserve"> pieniężne należne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papierów wartościowych, których termin zapadalności przypada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cią</w:t>
            </w:r>
            <w:r w:rsidRPr="00835753">
              <w:rPr>
                <w:rFonts w:ascii="Times New Roman" w:hAnsi="Times New Roman"/>
                <w:sz w:val="24"/>
              </w:rPr>
              <w:t>gu 30 dni, jak 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 xml:space="preserve">c) rozporządzenia delegowanego Komisji (UE) 2015/61; </w:t>
            </w:r>
          </w:p>
          <w:p w14:paraId="6815B1AA" w14:textId="15D52AFF"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kredyty</w:t>
            </w:r>
            <w:proofErr w:type="gramEnd"/>
            <w:r w:rsidRPr="00835753">
              <w:rPr>
                <w:rFonts w:ascii="Times New Roman" w:hAnsi="Times New Roman"/>
                <w:sz w:val="24"/>
              </w:rPr>
              <w:t>, których termin zapadalności nie został określony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umo</w:t>
            </w:r>
            <w:r w:rsidRPr="00835753">
              <w:rPr>
                <w:rFonts w:ascii="Times New Roman" w:hAnsi="Times New Roman"/>
                <w:sz w:val="24"/>
              </w:rPr>
              <w:t>wie,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ust.</w:t>
            </w:r>
            <w:r w:rsidR="00835753" w:rsidRPr="00835753">
              <w:rPr>
                <w:rFonts w:ascii="Times New Roman" w:hAnsi="Times New Roman"/>
                <w:sz w:val="24"/>
              </w:rPr>
              <w:t> </w:t>
            </w:r>
            <w:r w:rsidRPr="00835753">
              <w:rPr>
                <w:rFonts w:ascii="Times New Roman" w:hAnsi="Times New Roman"/>
                <w:sz w:val="24"/>
              </w:rPr>
              <w:t>3 lit.</w:t>
            </w:r>
            <w:r w:rsidR="00835753" w:rsidRPr="00835753">
              <w:rPr>
                <w:rFonts w:ascii="Times New Roman" w:hAnsi="Times New Roman"/>
                <w:sz w:val="24"/>
              </w:rPr>
              <w:t> </w:t>
            </w:r>
            <w:r w:rsidRPr="00835753">
              <w:rPr>
                <w:rFonts w:ascii="Times New Roman" w:hAnsi="Times New Roman"/>
                <w:sz w:val="24"/>
              </w:rPr>
              <w:t>i) rozporządzenia delegowanego Komisji (UE) 2015/61;</w:t>
            </w:r>
          </w:p>
          <w:p w14:paraId="234DABC3" w14:textId="70DE9275"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środki</w:t>
            </w:r>
            <w:proofErr w:type="gramEnd"/>
            <w:r w:rsidRPr="00835753">
              <w:rPr>
                <w:rFonts w:ascii="Times New Roman" w:hAnsi="Times New Roman"/>
                <w:sz w:val="24"/>
              </w:rPr>
              <w:t xml:space="preserve"> pieniężne należne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pozycji wchodzących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skł</w:t>
            </w:r>
            <w:r w:rsidRPr="00835753">
              <w:rPr>
                <w:rFonts w:ascii="Times New Roman" w:hAnsi="Times New Roman"/>
                <w:sz w:val="24"/>
              </w:rPr>
              <w:t>ad głównych indeksów instrumentów kapitałowych, pod warunkiem że nie liczy się ich podwójnie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akt</w:t>
            </w:r>
            <w:r w:rsidRPr="00835753">
              <w:rPr>
                <w:rFonts w:ascii="Times New Roman" w:hAnsi="Times New Roman"/>
                <w:sz w:val="24"/>
              </w:rPr>
              <w:t>ywami płynnymi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d) rozporządzenia delegowanego Komisji (UE) 2015/61. Pozycja ta obejmuje środki pieniężne wymagane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umo</w:t>
            </w:r>
            <w:r w:rsidRPr="00835753">
              <w:rPr>
                <w:rFonts w:ascii="Times New Roman" w:hAnsi="Times New Roman"/>
                <w:sz w:val="24"/>
              </w:rPr>
              <w:t>wą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cią</w:t>
            </w:r>
            <w:r w:rsidRPr="00835753">
              <w:rPr>
                <w:rFonts w:ascii="Times New Roman" w:hAnsi="Times New Roman"/>
                <w:sz w:val="24"/>
              </w:rPr>
              <w:t>gu 30 dni kalendarzowych, takie jak dywidendy pieniężne od głównych indeksów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śro</w:t>
            </w:r>
            <w:r w:rsidRPr="00835753">
              <w:rPr>
                <w:rFonts w:ascii="Times New Roman" w:hAnsi="Times New Roman"/>
                <w:sz w:val="24"/>
              </w:rPr>
              <w:t>dki pieniężne należne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tych instrumentów kapitałowych sprzedanych, ale jeszcze nierozliczonych, jeżeli nie uznaje się ich za aktywa płynne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ułem II rozporządzenia delegowanego Komisji (UE) 2015/61;</w:t>
            </w:r>
          </w:p>
          <w:p w14:paraId="75C32BFB" w14:textId="3DD0A579"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wpływy</w:t>
            </w:r>
            <w:proofErr w:type="gramEnd"/>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uwo</w:t>
            </w:r>
            <w:r w:rsidRPr="00835753">
              <w:rPr>
                <w:rFonts w:ascii="Times New Roman" w:hAnsi="Times New Roman"/>
                <w:sz w:val="24"/>
              </w:rPr>
              <w:t>lnionych kwot posiadanych na oddzielnych rachunkach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ogami regulacyjnymi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ochrony aktywów klienta przeznaczonych do obrotu, jak 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ust.</w:t>
            </w:r>
            <w:r w:rsidR="00835753" w:rsidRPr="00835753">
              <w:rPr>
                <w:rFonts w:ascii="Times New Roman" w:hAnsi="Times New Roman"/>
                <w:sz w:val="24"/>
              </w:rPr>
              <w:t> </w:t>
            </w:r>
            <w:r w:rsidRPr="00835753">
              <w:rPr>
                <w:rFonts w:ascii="Times New Roman" w:hAnsi="Times New Roman"/>
                <w:sz w:val="24"/>
              </w:rPr>
              <w:t>4 rozporządzenia delegowanego Komisji (UE) 2015/61. Wpływy uznaje się jedynie wtedy, gdy wspomniane kwoty są utrzymywane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taci aktywów płynnych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 xml:space="preserve">ułem II rozporządzenia delegowanego Komisji (UE) 2015/61; </w:t>
            </w:r>
          </w:p>
          <w:p w14:paraId="5B7B3BB6" w14:textId="0FF815A5"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wpływy</w:t>
            </w:r>
            <w:proofErr w:type="gramEnd"/>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instrumentów pochodnych, jak 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ust.</w:t>
            </w:r>
            <w:r w:rsidR="00835753" w:rsidRPr="00835753">
              <w:rPr>
                <w:rFonts w:ascii="Times New Roman" w:hAnsi="Times New Roman"/>
                <w:sz w:val="24"/>
              </w:rPr>
              <w:t> </w:t>
            </w:r>
            <w:r w:rsidRPr="00835753">
              <w:rPr>
                <w:rFonts w:ascii="Times New Roman" w:hAnsi="Times New Roman"/>
                <w:sz w:val="24"/>
              </w:rPr>
              <w:t>5</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zwi</w:t>
            </w:r>
            <w:r w:rsidRPr="00835753">
              <w:rPr>
                <w:rFonts w:ascii="Times New Roman" w:hAnsi="Times New Roman"/>
                <w:sz w:val="24"/>
              </w:rPr>
              <w:t>ązku</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21 rozporządzenia delegowanego Komisji (UE) 2015/61;</w:t>
            </w:r>
          </w:p>
          <w:p w14:paraId="21AE94F4" w14:textId="5F0FD7ED"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wpływy</w:t>
            </w:r>
            <w:proofErr w:type="gramEnd"/>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nie</w:t>
            </w:r>
            <w:r w:rsidRPr="00835753">
              <w:rPr>
                <w:rFonts w:ascii="Times New Roman" w:hAnsi="Times New Roman"/>
                <w:sz w:val="24"/>
              </w:rPr>
              <w:t>wykorzystanych instrumentów kredytowych lub instrumentów wsparcia płynności otrzymanych od członków grupy lub instytucjonalnego systemu ochrony, jeżeli właściwe organy wyraziły zgodę na stosowanie wyższego wskaźnika wpływów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 xml:space="preserve">34 rozporządzenia delegowanego Komisji (UE) 2015/61; </w:t>
            </w:r>
          </w:p>
          <w:p w14:paraId="41951454" w14:textId="1A4A76F4"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proofErr w:type="gramStart"/>
            <w:r w:rsidRPr="00835753">
              <w:rPr>
                <w:rFonts w:ascii="Times New Roman" w:hAnsi="Times New Roman"/>
                <w:sz w:val="24"/>
              </w:rPr>
              <w:t>inne</w:t>
            </w:r>
            <w:proofErr w:type="gramEnd"/>
            <w:r w:rsidRPr="00835753">
              <w:rPr>
                <w:rFonts w:ascii="Times New Roman" w:hAnsi="Times New Roman"/>
                <w:sz w:val="24"/>
              </w:rPr>
              <w:t xml:space="preserve"> wpływy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ust.</w:t>
            </w:r>
            <w:r w:rsidR="00835753" w:rsidRPr="00835753">
              <w:rPr>
                <w:rFonts w:ascii="Times New Roman" w:hAnsi="Times New Roman"/>
                <w:sz w:val="24"/>
              </w:rPr>
              <w:t> </w:t>
            </w:r>
            <w:r w:rsidRPr="00835753">
              <w:rPr>
                <w:rFonts w:ascii="Times New Roman" w:hAnsi="Times New Roman"/>
                <w:sz w:val="24"/>
              </w:rPr>
              <w:t xml:space="preserve">2 rozporządzenia delegowanego Komisji (UE) 2015/61. </w:t>
            </w:r>
          </w:p>
        </w:tc>
      </w:tr>
      <w:tr w:rsidR="001E06A3" w:rsidRPr="00835753" w14:paraId="41CB1A87" w14:textId="77777777" w:rsidTr="001E06A3">
        <w:trPr>
          <w:trHeight w:val="316"/>
        </w:trPr>
        <w:tc>
          <w:tcPr>
            <w:tcW w:w="1384" w:type="dxa"/>
          </w:tcPr>
          <w:p w14:paraId="360D7E9C"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lastRenderedPageBreak/>
              <w:t>EU-19a</w:t>
            </w:r>
          </w:p>
        </w:tc>
        <w:tc>
          <w:tcPr>
            <w:tcW w:w="7655" w:type="dxa"/>
          </w:tcPr>
          <w:p w14:paraId="3EBEE53D" w14:textId="36D50353" w:rsidR="001E06A3" w:rsidRPr="00835753" w:rsidRDefault="001E06A3" w:rsidP="001E06A3">
            <w:pPr>
              <w:spacing w:before="120" w:after="120" w:line="278" w:lineRule="exact"/>
              <w:rPr>
                <w:rFonts w:ascii="Times New Roman" w:hAnsi="Times New Roman" w:cs="Times New Roman"/>
                <w:b/>
                <w:sz w:val="24"/>
              </w:rPr>
            </w:pPr>
            <w:r w:rsidRPr="00835753">
              <w:rPr>
                <w:rFonts w:ascii="Times New Roman" w:hAnsi="Times New Roman"/>
                <w:b/>
                <w:sz w:val="24"/>
              </w:rPr>
              <w:t>(Różnica między całkowitą ważoną kwotą wpływów</w:t>
            </w:r>
            <w:r w:rsidR="00835753" w:rsidRPr="00835753">
              <w:rPr>
                <w:rFonts w:ascii="Times New Roman" w:hAnsi="Times New Roman"/>
                <w:b/>
                <w:sz w:val="24"/>
              </w:rPr>
              <w:t xml:space="preserve"> a</w:t>
            </w:r>
            <w:r w:rsidR="00835753">
              <w:rPr>
                <w:rFonts w:ascii="Times New Roman" w:hAnsi="Times New Roman"/>
                <w:b/>
                <w:sz w:val="24"/>
              </w:rPr>
              <w:t> </w:t>
            </w:r>
            <w:r w:rsidR="00835753" w:rsidRPr="00835753">
              <w:rPr>
                <w:rFonts w:ascii="Times New Roman" w:hAnsi="Times New Roman"/>
                <w:b/>
                <w:sz w:val="24"/>
              </w:rPr>
              <w:t>cał</w:t>
            </w:r>
            <w:r w:rsidRPr="00835753">
              <w:rPr>
                <w:rFonts w:ascii="Times New Roman" w:hAnsi="Times New Roman"/>
                <w:b/>
                <w:sz w:val="24"/>
              </w:rPr>
              <w:t>kowitą ważoną kwotą wypływów wynikających</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tra</w:t>
            </w:r>
            <w:r w:rsidRPr="00835753">
              <w:rPr>
                <w:rFonts w:ascii="Times New Roman" w:hAnsi="Times New Roman"/>
                <w:b/>
                <w:sz w:val="24"/>
              </w:rPr>
              <w:t>nsakcji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pań</w:t>
            </w:r>
            <w:r w:rsidRPr="00835753">
              <w:rPr>
                <w:rFonts w:ascii="Times New Roman" w:hAnsi="Times New Roman"/>
                <w:b/>
                <w:sz w:val="24"/>
              </w:rPr>
              <w:t>stwach trzecich,</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któ</w:t>
            </w:r>
            <w:r w:rsidRPr="00835753">
              <w:rPr>
                <w:rFonts w:ascii="Times New Roman" w:hAnsi="Times New Roman"/>
                <w:b/>
                <w:sz w:val="24"/>
              </w:rPr>
              <w:t>rych istnieją ograniczenia transferu, lub które są denominowane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wal</w:t>
            </w:r>
            <w:r w:rsidRPr="00835753">
              <w:rPr>
                <w:rFonts w:ascii="Times New Roman" w:hAnsi="Times New Roman"/>
                <w:b/>
                <w:sz w:val="24"/>
              </w:rPr>
              <w:t>utach niewymienialnych)</w:t>
            </w:r>
          </w:p>
          <w:p w14:paraId="3C6D2256" w14:textId="091B5589" w:rsidR="001E06A3" w:rsidRPr="00835753" w:rsidRDefault="001E06A3" w:rsidP="001E06A3">
            <w:pPr>
              <w:spacing w:after="120" w:line="278" w:lineRule="exact"/>
              <w:jc w:val="both"/>
              <w:rPr>
                <w:rFonts w:ascii="Times New Roman" w:hAnsi="Times New Roman" w:cs="Times New Roman"/>
                <w:sz w:val="24"/>
              </w:rPr>
            </w:pPr>
            <w:r w:rsidRPr="00835753">
              <w:rPr>
                <w:rFonts w:ascii="Times New Roman" w:hAnsi="Times New Roman"/>
                <w:sz w:val="24"/>
              </w:rPr>
              <w:t>Jak 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ust.</w:t>
            </w:r>
            <w:r w:rsidR="00835753" w:rsidRPr="00835753">
              <w:rPr>
                <w:rFonts w:ascii="Times New Roman" w:hAnsi="Times New Roman"/>
                <w:sz w:val="24"/>
              </w:rPr>
              <w:t> </w:t>
            </w:r>
            <w:r w:rsidRPr="00835753">
              <w:rPr>
                <w:rFonts w:ascii="Times New Roman" w:hAnsi="Times New Roman"/>
                <w:sz w:val="24"/>
              </w:rPr>
              <w:t>8 rozporządzenia delegowanego Komisji (UE) 2015/61 instytucje ujawniają jako wartość ważoną nadwyżkę tej ważonej kwoty wpływów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sunku do ważonej kwoty wypływów.</w:t>
            </w:r>
          </w:p>
        </w:tc>
      </w:tr>
      <w:tr w:rsidR="001E06A3" w:rsidRPr="00835753" w14:paraId="23724CD1" w14:textId="77777777" w:rsidTr="001E06A3">
        <w:trPr>
          <w:trHeight w:val="316"/>
        </w:trPr>
        <w:tc>
          <w:tcPr>
            <w:tcW w:w="1384" w:type="dxa"/>
          </w:tcPr>
          <w:p w14:paraId="27C58C5B"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t>EU-19b</w:t>
            </w:r>
          </w:p>
        </w:tc>
        <w:tc>
          <w:tcPr>
            <w:tcW w:w="7655" w:type="dxa"/>
          </w:tcPr>
          <w:p w14:paraId="60A63455" w14:textId="2C49B71B" w:rsidR="001E06A3" w:rsidRPr="00835753" w:rsidRDefault="001E06A3" w:rsidP="001E06A3">
            <w:pPr>
              <w:spacing w:before="120" w:after="120" w:line="190" w:lineRule="exact"/>
              <w:jc w:val="both"/>
              <w:rPr>
                <w:rFonts w:ascii="Times New Roman" w:hAnsi="Times New Roman" w:cs="Times New Roman"/>
                <w:b/>
                <w:sz w:val="24"/>
              </w:rPr>
            </w:pPr>
            <w:r w:rsidRPr="00835753">
              <w:rPr>
                <w:rFonts w:ascii="Times New Roman" w:hAnsi="Times New Roman"/>
                <w:b/>
                <w:sz w:val="24"/>
              </w:rPr>
              <w:t>(Nadwyżka wpływów</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pow</w:t>
            </w:r>
            <w:r w:rsidRPr="00835753">
              <w:rPr>
                <w:rFonts w:ascii="Times New Roman" w:hAnsi="Times New Roman"/>
                <w:b/>
                <w:sz w:val="24"/>
              </w:rPr>
              <w:t>iązanej wyspecjalizowanej instytucji kredytowej)</w:t>
            </w:r>
          </w:p>
          <w:p w14:paraId="63328056" w14:textId="377278FE" w:rsidR="001E06A3" w:rsidRPr="00835753" w:rsidRDefault="001E06A3" w:rsidP="001E06A3">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Jak przewidziano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 ust.</w:t>
            </w:r>
            <w:r w:rsidR="00835753" w:rsidRPr="00835753">
              <w:rPr>
                <w:rFonts w:ascii="Times New Roman" w:hAnsi="Times New Roman"/>
                <w:sz w:val="24"/>
              </w:rPr>
              <w:t> </w:t>
            </w:r>
            <w:r w:rsidRPr="00835753">
              <w:rPr>
                <w:rFonts w:ascii="Times New Roman" w:hAnsi="Times New Roman"/>
                <w:sz w:val="24"/>
              </w:rPr>
              <w:t>3 lit.</w:t>
            </w:r>
            <w:r w:rsidR="00835753" w:rsidRPr="00835753">
              <w:rPr>
                <w:rFonts w:ascii="Times New Roman" w:hAnsi="Times New Roman"/>
                <w:sz w:val="24"/>
              </w:rPr>
              <w:t> </w:t>
            </w:r>
            <w:r w:rsidRPr="00835753">
              <w:rPr>
                <w:rFonts w:ascii="Times New Roman" w:hAnsi="Times New Roman"/>
                <w:sz w:val="24"/>
              </w:rPr>
              <w:t>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33 ust.</w:t>
            </w:r>
            <w:r w:rsidR="00835753" w:rsidRPr="00835753">
              <w:rPr>
                <w:rFonts w:ascii="Times New Roman" w:hAnsi="Times New Roman"/>
                <w:sz w:val="24"/>
              </w:rPr>
              <w:t> </w:t>
            </w:r>
            <w:r w:rsidRPr="00835753">
              <w:rPr>
                <w:rFonts w:ascii="Times New Roman" w:hAnsi="Times New Roman"/>
                <w:sz w:val="24"/>
              </w:rPr>
              <w:t>6 rozporządzenia delegowanego Komisji (UE) 2015/61, instytucje kredytowe, do celów ujawniania informacji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uję</w:t>
            </w:r>
            <w:r w:rsidRPr="00835753">
              <w:rPr>
                <w:rFonts w:ascii="Times New Roman" w:hAnsi="Times New Roman"/>
                <w:sz w:val="24"/>
              </w:rPr>
              <w:t>ciu skonsolidowanym, ujawniają jako wartość ważoną kwotę wpływów</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iązanej wyspecjalizowanej instytucji kredytowej,</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rej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33 ust.</w:t>
            </w:r>
            <w:r w:rsidR="00835753" w:rsidRPr="00835753">
              <w:rPr>
                <w:rFonts w:ascii="Times New Roman" w:hAnsi="Times New Roman"/>
                <w:sz w:val="24"/>
              </w:rPr>
              <w:t> </w:t>
            </w:r>
            <w:r w:rsidRPr="00835753">
              <w:rPr>
                <w:rFonts w:ascii="Times New Roman" w:hAnsi="Times New Roman"/>
                <w:sz w:val="24"/>
              </w:rPr>
              <w:t>3</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4</w:t>
            </w:r>
            <w:r w:rsidRPr="00835753">
              <w:rPr>
                <w:rFonts w:ascii="Times New Roman" w:hAnsi="Times New Roman"/>
                <w:sz w:val="24"/>
              </w:rPr>
              <w:t xml:space="preserve"> rozporządzenia delegowanego Komisji (UE) 2015/61, które przekraczają kwotę wypływów pochodzących od tego samego przedsiębiorstwa.</w:t>
            </w:r>
          </w:p>
        </w:tc>
      </w:tr>
      <w:tr w:rsidR="001E06A3" w:rsidRPr="00835753" w14:paraId="0C34B7D2" w14:textId="77777777" w:rsidTr="001E06A3">
        <w:trPr>
          <w:trHeight w:val="316"/>
        </w:trPr>
        <w:tc>
          <w:tcPr>
            <w:tcW w:w="1384" w:type="dxa"/>
          </w:tcPr>
          <w:p w14:paraId="72F9C524"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t>20</w:t>
            </w:r>
          </w:p>
        </w:tc>
        <w:tc>
          <w:tcPr>
            <w:tcW w:w="7655" w:type="dxa"/>
          </w:tcPr>
          <w:p w14:paraId="730CE066" w14:textId="77777777" w:rsidR="001E06A3" w:rsidRPr="00835753" w:rsidRDefault="001E06A3" w:rsidP="001E06A3">
            <w:pPr>
              <w:spacing w:before="120" w:after="120" w:line="190" w:lineRule="exact"/>
              <w:rPr>
                <w:rFonts w:ascii="Times New Roman" w:hAnsi="Times New Roman" w:cs="Times New Roman"/>
                <w:b/>
                <w:sz w:val="24"/>
              </w:rPr>
            </w:pPr>
            <w:r w:rsidRPr="00835753">
              <w:rPr>
                <w:rFonts w:ascii="Times New Roman" w:hAnsi="Times New Roman"/>
                <w:b/>
                <w:sz w:val="24"/>
              </w:rPr>
              <w:t>CAŁKOWITE WPŁYWY ŚRODKÓW PIENIĘŻNYCH</w:t>
            </w:r>
          </w:p>
          <w:p w14:paraId="50099FAA" w14:textId="547E3DFB" w:rsidR="001E06A3" w:rsidRPr="00835753" w:rsidRDefault="001E06A3" w:rsidP="001E06A3">
            <w:pPr>
              <w:spacing w:after="120" w:line="288" w:lineRule="exact"/>
              <w:rPr>
                <w:rFonts w:ascii="Times New Roman" w:hAnsi="Times New Roman" w:cs="Times New Roman"/>
                <w:sz w:val="24"/>
              </w:rPr>
            </w:pPr>
            <w:r w:rsidRPr="00835753">
              <w:rPr>
                <w:rFonts w:ascii="Times New Roman" w:hAnsi="Times New Roman"/>
                <w:sz w:val="24"/>
              </w:rPr>
              <w:t>Instytucje ujawniają sumę wartości nieważonej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waż</w:t>
            </w:r>
            <w:r w:rsidRPr="00835753">
              <w:rPr>
                <w:rFonts w:ascii="Times New Roman" w:hAnsi="Times New Roman"/>
                <w:sz w:val="24"/>
              </w:rPr>
              <w:t>onej następujących pozycji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iejszymi instrukcjami:</w:t>
            </w:r>
          </w:p>
          <w:p w14:paraId="1C3F2B48" w14:textId="755FB686"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wiersz</w:t>
            </w:r>
            <w:proofErr w:type="gramEnd"/>
            <w:r w:rsidRPr="00835753">
              <w:rPr>
                <w:rFonts w:ascii="Times New Roman" w:hAnsi="Times New Roman"/>
                <w:sz w:val="24"/>
              </w:rPr>
              <w:t xml:space="preserve"> 17 niniejszego wzoru: Zabezpieczone transakcje kredytowe (np. transakcje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otr</w:t>
            </w:r>
            <w:r w:rsidRPr="00835753">
              <w:rPr>
                <w:rFonts w:ascii="Times New Roman" w:hAnsi="Times New Roman"/>
                <w:sz w:val="24"/>
              </w:rPr>
              <w:t>zymanym przyrzeczeniem odkupu)</w:t>
            </w:r>
          </w:p>
          <w:p w14:paraId="3E6C198F" w14:textId="09AA00CE"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wiersz</w:t>
            </w:r>
            <w:proofErr w:type="gramEnd"/>
            <w:r w:rsidRPr="00835753">
              <w:rPr>
                <w:rFonts w:ascii="Times New Roman" w:hAnsi="Times New Roman"/>
                <w:sz w:val="24"/>
              </w:rPr>
              <w:t xml:space="preserve"> 18 niniejszego wzoru: Wpływy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ekspozycji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peł</w:t>
            </w:r>
            <w:r w:rsidRPr="00835753">
              <w:rPr>
                <w:rFonts w:ascii="Times New Roman" w:hAnsi="Times New Roman"/>
                <w:sz w:val="24"/>
              </w:rPr>
              <w:t>ni obsługiwanych</w:t>
            </w:r>
          </w:p>
          <w:p w14:paraId="541D69D3" w14:textId="6E34E00C"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wiersz</w:t>
            </w:r>
            <w:proofErr w:type="gramEnd"/>
            <w:r w:rsidRPr="00835753">
              <w:rPr>
                <w:rFonts w:ascii="Times New Roman" w:hAnsi="Times New Roman"/>
                <w:sz w:val="24"/>
              </w:rPr>
              <w:t xml:space="preserve"> 19 niniejszego wzoru: Inne wpływy środków pieniężnych</w:t>
            </w:r>
          </w:p>
          <w:p w14:paraId="0771AC8E" w14:textId="77777777"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pomniejszoną</w:t>
            </w:r>
            <w:proofErr w:type="gramEnd"/>
            <w:r w:rsidRPr="00835753">
              <w:rPr>
                <w:rFonts w:ascii="Times New Roman" w:hAnsi="Times New Roman"/>
                <w:sz w:val="24"/>
              </w:rPr>
              <w:t xml:space="preserve"> o:</w:t>
            </w:r>
          </w:p>
          <w:p w14:paraId="2EF58274" w14:textId="30852C73"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wiersz</w:t>
            </w:r>
            <w:proofErr w:type="gramEnd"/>
            <w:r w:rsidRPr="00835753">
              <w:rPr>
                <w:rFonts w:ascii="Times New Roman" w:hAnsi="Times New Roman"/>
                <w:sz w:val="24"/>
              </w:rPr>
              <w:t xml:space="preserve"> EU-19a niniejszego wzoru: (Różnica między całkowitą ważoną kwotą wpływów</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cał</w:t>
            </w:r>
            <w:r w:rsidRPr="00835753">
              <w:rPr>
                <w:rFonts w:ascii="Times New Roman" w:hAnsi="Times New Roman"/>
                <w:sz w:val="24"/>
              </w:rPr>
              <w:t>kowitą ważoną kwotą wypływów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tra</w:t>
            </w:r>
            <w:r w:rsidRPr="00835753">
              <w:rPr>
                <w:rFonts w:ascii="Times New Roman" w:hAnsi="Times New Roman"/>
                <w:sz w:val="24"/>
              </w:rPr>
              <w:t>nsakcji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pań</w:t>
            </w:r>
            <w:r w:rsidRPr="00835753">
              <w:rPr>
                <w:rFonts w:ascii="Times New Roman" w:hAnsi="Times New Roman"/>
                <w:sz w:val="24"/>
              </w:rPr>
              <w:t>stwach trzecich,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istnieją ograniczenia transferu, lub które są denominowane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wal</w:t>
            </w:r>
            <w:r w:rsidRPr="00835753">
              <w:rPr>
                <w:rFonts w:ascii="Times New Roman" w:hAnsi="Times New Roman"/>
                <w:sz w:val="24"/>
              </w:rPr>
              <w:t>utach niewymienialnych)</w:t>
            </w:r>
          </w:p>
          <w:p w14:paraId="1B9A5ED4" w14:textId="23FF5AB8" w:rsidR="001E06A3" w:rsidRPr="0083575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835753">
              <w:rPr>
                <w:rFonts w:ascii="Times New Roman" w:hAnsi="Times New Roman"/>
                <w:sz w:val="24"/>
              </w:rPr>
              <w:t>wiersz</w:t>
            </w:r>
            <w:proofErr w:type="gramEnd"/>
            <w:r w:rsidRPr="00835753">
              <w:rPr>
                <w:rFonts w:ascii="Times New Roman" w:hAnsi="Times New Roman"/>
                <w:sz w:val="24"/>
              </w:rPr>
              <w:t xml:space="preserve"> EU-19b niniejszego wzoru: (Nadwyżka wpływów</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iązanej wyspecjalizowanej instytucji kredytowej)</w:t>
            </w:r>
          </w:p>
        </w:tc>
      </w:tr>
      <w:tr w:rsidR="001E06A3" w:rsidRPr="00835753" w14:paraId="622AC049" w14:textId="77777777" w:rsidTr="001E06A3">
        <w:trPr>
          <w:trHeight w:val="316"/>
        </w:trPr>
        <w:tc>
          <w:tcPr>
            <w:tcW w:w="1384" w:type="dxa"/>
          </w:tcPr>
          <w:p w14:paraId="5D7CADBB"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t>EU-20a</w:t>
            </w:r>
          </w:p>
        </w:tc>
        <w:tc>
          <w:tcPr>
            <w:tcW w:w="7655" w:type="dxa"/>
          </w:tcPr>
          <w:p w14:paraId="1321D2DA" w14:textId="77777777" w:rsidR="001E06A3" w:rsidRPr="00835753" w:rsidRDefault="001E06A3" w:rsidP="001E06A3">
            <w:pPr>
              <w:spacing w:before="120" w:after="120" w:line="190" w:lineRule="exact"/>
              <w:rPr>
                <w:rFonts w:ascii="Times New Roman" w:hAnsi="Times New Roman" w:cs="Times New Roman"/>
                <w:b/>
                <w:sz w:val="24"/>
              </w:rPr>
            </w:pPr>
            <w:r w:rsidRPr="00835753">
              <w:rPr>
                <w:rFonts w:ascii="Times New Roman" w:hAnsi="Times New Roman"/>
                <w:b/>
                <w:sz w:val="24"/>
              </w:rPr>
              <w:t>Wpływy całkowicie wyłączone</w:t>
            </w:r>
          </w:p>
          <w:p w14:paraId="13A2A899" w14:textId="21D75600" w:rsidR="001E06A3" w:rsidRPr="00835753" w:rsidRDefault="001E06A3" w:rsidP="001E06A3">
            <w:pPr>
              <w:spacing w:after="120"/>
              <w:jc w:val="both"/>
              <w:rPr>
                <w:rFonts w:ascii="Times New Roman" w:hAnsi="Times New Roman" w:cs="Times New Roman"/>
                <w:b/>
                <w:sz w:val="24"/>
              </w:rPr>
            </w:pPr>
            <w:r w:rsidRPr="00835753">
              <w:rPr>
                <w:rFonts w:ascii="Times New Roman" w:hAnsi="Times New Roman"/>
                <w:sz w:val="24"/>
              </w:rPr>
              <w:t>Instytucje ujawniają odpowiednio, jako wartość nieważoną</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o wartość ważoną całkowitą kwotę aktywów/środki pieniężne należne/maksymalną kwotę, która może zostać wykorzystana, oraz ich odpowiednie całkowite wpływy, które zostały wyłączone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ogr</w:t>
            </w:r>
            <w:r w:rsidRPr="00835753">
              <w:rPr>
                <w:rFonts w:ascii="Times New Roman" w:hAnsi="Times New Roman"/>
                <w:sz w:val="24"/>
              </w:rPr>
              <w:t>aniczenia wpływów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32, 33</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3</w:t>
            </w:r>
            <w:r w:rsidRPr="00835753">
              <w:rPr>
                <w:rFonts w:ascii="Times New Roman" w:hAnsi="Times New Roman"/>
                <w:sz w:val="24"/>
              </w:rPr>
              <w:t>4 rozporządzenia delegowanego Komisji (UE) 2015/61.</w:t>
            </w:r>
          </w:p>
        </w:tc>
      </w:tr>
      <w:tr w:rsidR="001E06A3" w:rsidRPr="00835753" w14:paraId="07522956" w14:textId="77777777" w:rsidTr="001E06A3">
        <w:trPr>
          <w:trHeight w:val="316"/>
        </w:trPr>
        <w:tc>
          <w:tcPr>
            <w:tcW w:w="1384" w:type="dxa"/>
          </w:tcPr>
          <w:p w14:paraId="1D1F8E08"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t>EU-20b</w:t>
            </w:r>
          </w:p>
        </w:tc>
        <w:tc>
          <w:tcPr>
            <w:tcW w:w="7655" w:type="dxa"/>
          </w:tcPr>
          <w:p w14:paraId="5E9896C1" w14:textId="4D775B39" w:rsidR="001E06A3" w:rsidRPr="00835753" w:rsidRDefault="001E06A3" w:rsidP="001E06A3">
            <w:pPr>
              <w:spacing w:before="120" w:after="120" w:line="190" w:lineRule="exact"/>
              <w:rPr>
                <w:rFonts w:ascii="Times New Roman" w:hAnsi="Times New Roman" w:cs="Times New Roman"/>
                <w:b/>
                <w:sz w:val="24"/>
              </w:rPr>
            </w:pPr>
            <w:r w:rsidRPr="00835753">
              <w:rPr>
                <w:rFonts w:ascii="Times New Roman" w:hAnsi="Times New Roman"/>
                <w:b/>
                <w:sz w:val="24"/>
              </w:rPr>
              <w:t>Wpływy podlegające ograniczeniu</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wys</w:t>
            </w:r>
            <w:r w:rsidRPr="00835753">
              <w:rPr>
                <w:rFonts w:ascii="Times New Roman" w:hAnsi="Times New Roman"/>
                <w:b/>
                <w:sz w:val="24"/>
              </w:rPr>
              <w:t>okości 90 %</w:t>
            </w:r>
          </w:p>
          <w:p w14:paraId="1EDC5FC1" w14:textId="429BC018" w:rsidR="001E06A3" w:rsidRPr="00835753" w:rsidRDefault="001E06A3" w:rsidP="001E06A3">
            <w:pPr>
              <w:spacing w:after="120"/>
              <w:jc w:val="both"/>
              <w:rPr>
                <w:rFonts w:ascii="Times New Roman" w:hAnsi="Times New Roman" w:cs="Times New Roman"/>
                <w:b/>
                <w:sz w:val="24"/>
              </w:rPr>
            </w:pPr>
            <w:r w:rsidRPr="00835753">
              <w:rPr>
                <w:rFonts w:ascii="Times New Roman" w:hAnsi="Times New Roman"/>
                <w:sz w:val="24"/>
              </w:rPr>
              <w:t>Instytucje ujawniają odpowiednio, jako wartość nieważoną</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 xml:space="preserve">o wartość ważoną, całkowitą kwotę aktywów/środki pieniężne należne/maksymalną kwotę, która może zostać wykorzystana, oraz ich odpowiednie całkowite </w:t>
            </w:r>
            <w:r w:rsidRPr="00835753">
              <w:rPr>
                <w:rFonts w:ascii="Times New Roman" w:hAnsi="Times New Roman"/>
                <w:sz w:val="24"/>
              </w:rPr>
              <w:lastRenderedPageBreak/>
              <w:t>wpływy, które podlegają ograniczeniu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wys</w:t>
            </w:r>
            <w:r w:rsidRPr="00835753">
              <w:rPr>
                <w:rFonts w:ascii="Times New Roman" w:hAnsi="Times New Roman"/>
                <w:sz w:val="24"/>
              </w:rPr>
              <w:t>okości 90</w:t>
            </w:r>
            <w:r w:rsidR="00835753" w:rsidRPr="00835753">
              <w:rPr>
                <w:rFonts w:ascii="Times New Roman" w:hAnsi="Times New Roman"/>
                <w:sz w:val="24"/>
              </w:rPr>
              <w:t> </w:t>
            </w:r>
            <w:r w:rsidRPr="00835753">
              <w:rPr>
                <w:rFonts w:ascii="Times New Roman" w:hAnsi="Times New Roman"/>
                <w:sz w:val="24"/>
              </w:rPr>
              <w:t>%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32, 33</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3</w:t>
            </w:r>
            <w:r w:rsidRPr="00835753">
              <w:rPr>
                <w:rFonts w:ascii="Times New Roman" w:hAnsi="Times New Roman"/>
                <w:sz w:val="24"/>
              </w:rPr>
              <w:t>4 rozporządzenia delegowanego Komisji (UE) 2015/61.</w:t>
            </w:r>
          </w:p>
        </w:tc>
      </w:tr>
      <w:tr w:rsidR="001E06A3" w:rsidRPr="00835753" w14:paraId="413BE40E" w14:textId="77777777" w:rsidTr="001E06A3">
        <w:trPr>
          <w:trHeight w:val="316"/>
        </w:trPr>
        <w:tc>
          <w:tcPr>
            <w:tcW w:w="1384" w:type="dxa"/>
          </w:tcPr>
          <w:p w14:paraId="760880E3"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lastRenderedPageBreak/>
              <w:t>EU-20c</w:t>
            </w:r>
          </w:p>
        </w:tc>
        <w:tc>
          <w:tcPr>
            <w:tcW w:w="7655" w:type="dxa"/>
          </w:tcPr>
          <w:p w14:paraId="3F456A98" w14:textId="7E298EBA" w:rsidR="001E06A3" w:rsidRPr="00835753" w:rsidRDefault="001E06A3" w:rsidP="001E06A3">
            <w:pPr>
              <w:spacing w:before="120" w:after="120" w:line="190" w:lineRule="exact"/>
              <w:rPr>
                <w:rFonts w:ascii="Times New Roman" w:hAnsi="Times New Roman" w:cs="Times New Roman"/>
                <w:b/>
                <w:sz w:val="24"/>
              </w:rPr>
            </w:pPr>
            <w:r w:rsidRPr="00835753">
              <w:rPr>
                <w:rFonts w:ascii="Times New Roman" w:hAnsi="Times New Roman"/>
                <w:b/>
                <w:sz w:val="24"/>
              </w:rPr>
              <w:t>Wpływy podlegające ograniczeniu</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wys</w:t>
            </w:r>
            <w:r w:rsidRPr="00835753">
              <w:rPr>
                <w:rFonts w:ascii="Times New Roman" w:hAnsi="Times New Roman"/>
                <w:b/>
                <w:sz w:val="24"/>
              </w:rPr>
              <w:t>okości 75 %</w:t>
            </w:r>
          </w:p>
          <w:p w14:paraId="651712DF" w14:textId="5ED22ADE" w:rsidR="001E06A3" w:rsidRPr="00835753" w:rsidRDefault="001E06A3" w:rsidP="001E06A3">
            <w:pPr>
              <w:spacing w:after="120" w:line="288" w:lineRule="exact"/>
              <w:jc w:val="both"/>
              <w:rPr>
                <w:rFonts w:ascii="Times New Roman" w:hAnsi="Times New Roman" w:cs="Times New Roman"/>
                <w:b/>
                <w:sz w:val="24"/>
              </w:rPr>
            </w:pPr>
            <w:r w:rsidRPr="00835753">
              <w:rPr>
                <w:rFonts w:ascii="Times New Roman" w:hAnsi="Times New Roman"/>
                <w:sz w:val="24"/>
              </w:rPr>
              <w:t>Instytucje ujawniają, jako wartość nieważoną</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o wartość ważoną, odpowiednio całkowitą kwotę aktywów/środki pieniężne należne/maksymalną kwotę, która może zostać wykorzystana, oraz ich odpowiednie całkowite wpływy, które podlegają ograniczeniu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wys</w:t>
            </w:r>
            <w:r w:rsidRPr="00835753">
              <w:rPr>
                <w:rFonts w:ascii="Times New Roman" w:hAnsi="Times New Roman"/>
                <w:sz w:val="24"/>
              </w:rPr>
              <w:t>okości 75</w:t>
            </w:r>
            <w:r w:rsidR="00835753" w:rsidRPr="00835753">
              <w:rPr>
                <w:rFonts w:ascii="Times New Roman" w:hAnsi="Times New Roman"/>
                <w:sz w:val="24"/>
              </w:rPr>
              <w:t> </w:t>
            </w:r>
            <w:r w:rsidRPr="00835753">
              <w:rPr>
                <w:rFonts w:ascii="Times New Roman" w:hAnsi="Times New Roman"/>
                <w:sz w:val="24"/>
              </w:rPr>
              <w:t>%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32, 33</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3</w:t>
            </w:r>
            <w:r w:rsidRPr="00835753">
              <w:rPr>
                <w:rFonts w:ascii="Times New Roman" w:hAnsi="Times New Roman"/>
                <w:sz w:val="24"/>
              </w:rPr>
              <w:t>4 rozporządzenia delegowanego Komisji (UE) 2015/61.</w:t>
            </w:r>
          </w:p>
        </w:tc>
      </w:tr>
      <w:tr w:rsidR="001E06A3" w:rsidRPr="00835753" w14:paraId="7E6FFA19" w14:textId="77777777" w:rsidTr="001E06A3">
        <w:trPr>
          <w:trHeight w:val="316"/>
        </w:trPr>
        <w:tc>
          <w:tcPr>
            <w:tcW w:w="1384" w:type="dxa"/>
          </w:tcPr>
          <w:p w14:paraId="31A8CE45"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t>EU-21</w:t>
            </w:r>
          </w:p>
        </w:tc>
        <w:tc>
          <w:tcPr>
            <w:tcW w:w="7655" w:type="dxa"/>
          </w:tcPr>
          <w:p w14:paraId="33FDF719" w14:textId="77777777" w:rsidR="001E06A3" w:rsidRPr="00835753" w:rsidRDefault="001E06A3" w:rsidP="001E06A3">
            <w:pPr>
              <w:spacing w:before="120" w:after="120" w:line="190" w:lineRule="exact"/>
              <w:rPr>
                <w:rFonts w:ascii="Times New Roman" w:hAnsi="Times New Roman"/>
                <w:sz w:val="24"/>
              </w:rPr>
            </w:pPr>
            <w:r w:rsidRPr="00835753">
              <w:rPr>
                <w:rFonts w:ascii="Times New Roman" w:hAnsi="Times New Roman"/>
                <w:b/>
                <w:sz w:val="24"/>
              </w:rPr>
              <w:t>ZABEZPIECZENIE PRZED UTRATĄ PŁYNNOŚCI</w:t>
            </w:r>
          </w:p>
          <w:p w14:paraId="30FD3F3E" w14:textId="1D500C83" w:rsidR="001E06A3" w:rsidRPr="00835753" w:rsidRDefault="001E06A3" w:rsidP="001E06A3">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Instytucje ujawniają jako wartość skorygowaną wartość zabezpieczenia instytucji przed utratą płynności obliczoną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ącznikiem I do rozporządzenia delegowanego Komisji (UE) 2015/61 – Wzory do określania struktury zabezpieczenia przed utratą płynności.</w:t>
            </w:r>
          </w:p>
        </w:tc>
      </w:tr>
      <w:tr w:rsidR="001E06A3" w:rsidRPr="00835753" w14:paraId="17F23E34" w14:textId="77777777" w:rsidTr="001E06A3">
        <w:trPr>
          <w:trHeight w:val="316"/>
        </w:trPr>
        <w:tc>
          <w:tcPr>
            <w:tcW w:w="1384" w:type="dxa"/>
          </w:tcPr>
          <w:p w14:paraId="28DA8359"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t>22</w:t>
            </w:r>
          </w:p>
        </w:tc>
        <w:tc>
          <w:tcPr>
            <w:tcW w:w="7655" w:type="dxa"/>
          </w:tcPr>
          <w:p w14:paraId="61EDC752" w14:textId="77777777" w:rsidR="001E06A3" w:rsidRPr="00835753" w:rsidRDefault="001E06A3" w:rsidP="001E06A3">
            <w:pPr>
              <w:spacing w:before="120" w:after="120" w:line="190" w:lineRule="exact"/>
              <w:rPr>
                <w:rFonts w:ascii="Times New Roman" w:hAnsi="Times New Roman"/>
                <w:sz w:val="24"/>
              </w:rPr>
            </w:pPr>
            <w:r w:rsidRPr="00835753">
              <w:rPr>
                <w:rFonts w:ascii="Times New Roman" w:hAnsi="Times New Roman"/>
                <w:b/>
                <w:sz w:val="24"/>
              </w:rPr>
              <w:t>CAŁKOWITE WYPŁYWY ŚRODKÓW PIENIĘŻNYCH NETTO</w:t>
            </w:r>
          </w:p>
          <w:p w14:paraId="7A047465" w14:textId="572848A1" w:rsidR="001E06A3" w:rsidRPr="00835753" w:rsidRDefault="001E06A3" w:rsidP="001E06A3">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Instytucje ujawniają skorygowaną wartość wypływu płynności netto, która jest równa całkowitym wypływom pomniejszonym</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red</w:t>
            </w:r>
            <w:r w:rsidRPr="00835753">
              <w:rPr>
                <w:rFonts w:ascii="Times New Roman" w:hAnsi="Times New Roman"/>
                <w:sz w:val="24"/>
              </w:rPr>
              <w:t>ukcję wpływów całkowicie wyłączonych, pomniejszonym</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red</w:t>
            </w:r>
            <w:r w:rsidRPr="00835753">
              <w:rPr>
                <w:rFonts w:ascii="Times New Roman" w:hAnsi="Times New Roman"/>
                <w:sz w:val="24"/>
              </w:rPr>
              <w:t>ukcję wpływów podlegających ograniczeniu wynoszącemu 90</w:t>
            </w:r>
            <w:r w:rsidR="00835753" w:rsidRPr="00835753">
              <w:rPr>
                <w:rFonts w:ascii="Times New Roman" w:hAnsi="Times New Roman"/>
                <w:sz w:val="24"/>
              </w:rPr>
              <w:t> </w:t>
            </w:r>
            <w:r w:rsidRPr="00835753">
              <w:rPr>
                <w:rFonts w:ascii="Times New Roman" w:hAnsi="Times New Roman"/>
                <w:sz w:val="24"/>
              </w:rPr>
              <w:t>%</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pom</w:t>
            </w:r>
            <w:r w:rsidRPr="00835753">
              <w:rPr>
                <w:rFonts w:ascii="Times New Roman" w:hAnsi="Times New Roman"/>
                <w:sz w:val="24"/>
              </w:rPr>
              <w:t>niejszonym</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red</w:t>
            </w:r>
            <w:r w:rsidRPr="00835753">
              <w:rPr>
                <w:rFonts w:ascii="Times New Roman" w:hAnsi="Times New Roman"/>
                <w:sz w:val="24"/>
              </w:rPr>
              <w:t>ukcję wpływów podlegających ograniczeniu wynoszącemu 75</w:t>
            </w:r>
            <w:r w:rsidR="00835753" w:rsidRPr="00835753">
              <w:rPr>
                <w:rFonts w:ascii="Times New Roman" w:hAnsi="Times New Roman"/>
                <w:sz w:val="24"/>
              </w:rPr>
              <w:t> </w:t>
            </w:r>
            <w:r w:rsidRPr="00835753">
              <w:rPr>
                <w:rFonts w:ascii="Times New Roman" w:hAnsi="Times New Roman"/>
                <w:sz w:val="24"/>
              </w:rPr>
              <w:t>%.</w:t>
            </w:r>
          </w:p>
        </w:tc>
      </w:tr>
      <w:tr w:rsidR="001E06A3" w:rsidRPr="00835753" w14:paraId="01A8493C" w14:textId="77777777" w:rsidTr="001E06A3">
        <w:trPr>
          <w:trHeight w:val="316"/>
        </w:trPr>
        <w:tc>
          <w:tcPr>
            <w:tcW w:w="1384" w:type="dxa"/>
          </w:tcPr>
          <w:p w14:paraId="43491FF1" w14:textId="77777777" w:rsidR="001E06A3" w:rsidRPr="00835753" w:rsidRDefault="001E06A3" w:rsidP="001E06A3">
            <w:pPr>
              <w:autoSpaceDE w:val="0"/>
              <w:autoSpaceDN w:val="0"/>
              <w:adjustRightInd w:val="0"/>
              <w:spacing w:after="120"/>
              <w:jc w:val="center"/>
              <w:rPr>
                <w:rFonts w:ascii="Times New Roman" w:eastAsia="Times New Roman" w:hAnsi="Times New Roman" w:cs="Times New Roman"/>
                <w:sz w:val="24"/>
              </w:rPr>
            </w:pPr>
            <w:r w:rsidRPr="00835753">
              <w:rPr>
                <w:rFonts w:ascii="Times New Roman" w:hAnsi="Times New Roman"/>
                <w:sz w:val="24"/>
              </w:rPr>
              <w:t>23</w:t>
            </w:r>
          </w:p>
        </w:tc>
        <w:tc>
          <w:tcPr>
            <w:tcW w:w="7655" w:type="dxa"/>
          </w:tcPr>
          <w:p w14:paraId="675B2C3A" w14:textId="77777777" w:rsidR="001E06A3" w:rsidRPr="00835753" w:rsidRDefault="001E06A3" w:rsidP="001E06A3">
            <w:pPr>
              <w:autoSpaceDE w:val="0"/>
              <w:autoSpaceDN w:val="0"/>
              <w:adjustRightInd w:val="0"/>
              <w:spacing w:before="120" w:after="120"/>
              <w:jc w:val="both"/>
              <w:rPr>
                <w:rFonts w:ascii="Times New Roman" w:hAnsi="Times New Roman"/>
                <w:sz w:val="24"/>
              </w:rPr>
            </w:pPr>
            <w:r w:rsidRPr="00835753">
              <w:rPr>
                <w:rFonts w:ascii="Times New Roman" w:hAnsi="Times New Roman"/>
                <w:b/>
                <w:sz w:val="24"/>
              </w:rPr>
              <w:t>WSKAŹNIK POKRYCIA WYPŁYWÓW NETTO (%)</w:t>
            </w:r>
          </w:p>
          <w:p w14:paraId="2FBC9872" w14:textId="47C892BB" w:rsidR="001E06A3" w:rsidRPr="00835753" w:rsidRDefault="001E06A3" w:rsidP="001E06A3">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Instytucje ujawniają jako wartość skorygowaną wyrażony procentowo „wskaźnik pokrycia wypływów netto</w:t>
            </w:r>
            <w:proofErr w:type="gramStart"/>
            <w:r w:rsidRPr="00835753">
              <w:rPr>
                <w:rFonts w:ascii="Times New Roman" w:hAnsi="Times New Roman"/>
                <w:sz w:val="24"/>
              </w:rPr>
              <w:t xml:space="preserve"> (%)” określony</w:t>
            </w:r>
            <w:proofErr w:type="gramEnd"/>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 ust.</w:t>
            </w:r>
            <w:r w:rsidR="00835753" w:rsidRPr="00835753">
              <w:rPr>
                <w:rFonts w:ascii="Times New Roman" w:hAnsi="Times New Roman"/>
                <w:sz w:val="24"/>
              </w:rPr>
              <w:t> </w:t>
            </w:r>
            <w:r w:rsidRPr="00835753">
              <w:rPr>
                <w:rFonts w:ascii="Times New Roman" w:hAnsi="Times New Roman"/>
                <w:sz w:val="24"/>
              </w:rPr>
              <w:t>1 rozporządzenia delegowanego Komisji (UE) 2015/61.</w:t>
            </w:r>
          </w:p>
          <w:p w14:paraId="71310C0D" w14:textId="77777777" w:rsidR="001E06A3" w:rsidRPr="00835753" w:rsidRDefault="001E06A3" w:rsidP="001E06A3">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Wskaźnik pokrycia wypływów netto jest równy stosunkowi posiadanego przez instytucję kredytową zabezpieczenia przed utratą płynności do jej wypływów płynności netto przez okres występowania warunków skrajnych trwający 30 dni kalendarzowych; wskaźnik ten jest wyrażony procentowo.</w:t>
            </w:r>
          </w:p>
        </w:tc>
      </w:tr>
    </w:tbl>
    <w:p w14:paraId="300E35AD" w14:textId="77777777" w:rsidR="001E06A3" w:rsidRPr="00835753" w:rsidRDefault="001E06A3" w:rsidP="001E06A3">
      <w:pPr>
        <w:rPr>
          <w:rFonts w:ascii="Times New Roman" w:hAnsi="Times New Roman" w:cs="Times New Roman"/>
          <w:sz w:val="24"/>
        </w:rPr>
      </w:pPr>
    </w:p>
    <w:p w14:paraId="2C2DEE24" w14:textId="26B1DEB1" w:rsidR="001E06A3" w:rsidRPr="00835753" w:rsidRDefault="001E06A3" w:rsidP="001E06A3">
      <w:pPr>
        <w:pStyle w:val="Titlelevel2"/>
        <w:spacing w:before="120" w:after="120"/>
        <w:rPr>
          <w:rFonts w:ascii="Times New Roman" w:hAnsi="Times New Roman"/>
          <w:b/>
          <w:color w:val="auto"/>
          <w:sz w:val="24"/>
        </w:rPr>
      </w:pPr>
      <w:r w:rsidRPr="00835753">
        <w:rPr>
          <w:rFonts w:ascii="Times New Roman" w:hAnsi="Times New Roman"/>
          <w:b/>
          <w:color w:val="auto"/>
          <w:sz w:val="24"/>
        </w:rPr>
        <w:t xml:space="preserve">Tabela EU LIQB dotycząca informacji jakościowych na temat wskaźnika pokrycia wypływów netto, która uzupełnia wzór EU LIQ1 </w:t>
      </w:r>
    </w:p>
    <w:p w14:paraId="79159435" w14:textId="7C8BE27D"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W celu wypełnienia tabeli EU LIQB zamieszczonej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XIII do niniejszego rozporządzenia wykonawczego instytucje podlegające części szóstej CRR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451a ust.</w:t>
      </w:r>
      <w:r w:rsidR="00835753" w:rsidRPr="00835753">
        <w:rPr>
          <w:rFonts w:ascii="Times New Roman" w:hAnsi="Times New Roman"/>
          <w:sz w:val="24"/>
        </w:rPr>
        <w:t> </w:t>
      </w:r>
      <w:r w:rsidRPr="00835753">
        <w:rPr>
          <w:rFonts w:ascii="Times New Roman" w:hAnsi="Times New Roman"/>
          <w:sz w:val="24"/>
        </w:rPr>
        <w:t>2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p>
    <w:p w14:paraId="4BE3B57E" w14:textId="6F908E62"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Tabela EU LIQB zawiera informacje jakościowe na temat pozycji zawartych we wzorze EU LIQ1 dotyczącym informacji ilościowych na temat wskaźnika pokrycia wypływów netto.</w:t>
      </w:r>
    </w:p>
    <w:p w14:paraId="79B68B25" w14:textId="3BC3AC74"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Instytucje podlegające części szóstej CRR traktują pola tekstowe znajdujące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tej</w:t>
      </w:r>
      <w:r w:rsidRPr="00835753">
        <w:rPr>
          <w:rFonts w:ascii="Times New Roman" w:hAnsi="Times New Roman"/>
          <w:sz w:val="24"/>
        </w:rPr>
        <w:t xml:space="preserve"> tabeli jako pola na tekst dowolny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w:t>
      </w:r>
      <w:r w:rsidR="00835753">
        <w:rPr>
          <w:rFonts w:ascii="Times New Roman" w:hAnsi="Times New Roman"/>
          <w:sz w:val="24"/>
        </w:rPr>
        <w:t> </w:t>
      </w:r>
      <w:r w:rsidR="00835753" w:rsidRPr="00835753">
        <w:rPr>
          <w:rFonts w:ascii="Times New Roman" w:hAnsi="Times New Roman"/>
          <w:sz w:val="24"/>
        </w:rPr>
        <w:t>mia</w:t>
      </w:r>
      <w:r w:rsidRPr="00835753">
        <w:rPr>
          <w:rFonts w:ascii="Times New Roman" w:hAnsi="Times New Roman"/>
          <w:sz w:val="24"/>
        </w:rPr>
        <w:t>rę możliwości ujawniają zawarte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nic</w:t>
      </w:r>
      <w:r w:rsidRPr="00835753">
        <w:rPr>
          <w:rFonts w:ascii="Times New Roman" w:hAnsi="Times New Roman"/>
          <w:sz w:val="24"/>
        </w:rPr>
        <w:t>h pozycje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ich</w:t>
      </w:r>
      <w:r w:rsidRPr="00835753">
        <w:rPr>
          <w:rFonts w:ascii="Times New Roman" w:hAnsi="Times New Roman"/>
          <w:sz w:val="24"/>
        </w:rPr>
        <w:t xml:space="preserve"> uwzględnieniem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kon</w:t>
      </w:r>
      <w:r w:rsidRPr="00835753">
        <w:rPr>
          <w:rFonts w:ascii="Times New Roman" w:hAnsi="Times New Roman"/>
          <w:sz w:val="24"/>
        </w:rPr>
        <w:t xml:space="preserve">tekście definicji wskaźnika </w:t>
      </w:r>
      <w:r w:rsidRPr="00835753">
        <w:rPr>
          <w:rFonts w:ascii="Times New Roman" w:hAnsi="Times New Roman"/>
          <w:sz w:val="24"/>
        </w:rPr>
        <w:lastRenderedPageBreak/>
        <w:t>pokrycia wypływów netto zawartej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porządzeniu delegowanym Komisji (UE) 2015/61 oraz dodatkowych wskaźników monitorowania płynności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dziale 7b rozporządzenia wykonawczego Komisji (UE) nr</w:t>
      </w:r>
      <w:r w:rsidR="00835753" w:rsidRPr="00835753">
        <w:rPr>
          <w:rFonts w:ascii="Times New Roman" w:hAnsi="Times New Roman"/>
          <w:sz w:val="24"/>
        </w:rPr>
        <w:t> </w:t>
      </w:r>
      <w:r w:rsidRPr="00835753">
        <w:rPr>
          <w:rFonts w:ascii="Times New Roman" w:hAnsi="Times New Roman"/>
          <w:sz w:val="24"/>
        </w:rPr>
        <w:t>680/2014</w:t>
      </w:r>
      <w:r w:rsidRPr="00835753">
        <w:rPr>
          <w:rStyle w:val="FootnoteReference"/>
          <w:rFonts w:ascii="Times New Roman" w:hAnsi="Times New Roman" w:cs="Times New Roman"/>
          <w:sz w:val="24"/>
        </w:rPr>
        <w:footnoteReference w:id="26"/>
      </w:r>
      <w:r w:rsidRPr="00835753">
        <w:rPr>
          <w:rFonts w:ascii="Times New Roman" w:hAnsi="Times New Roman"/>
          <w:sz w:val="24"/>
        </w:rPr>
        <w:t>.</w:t>
      </w:r>
    </w:p>
    <w:p w14:paraId="6B050B9E" w14:textId="60807A3B" w:rsidR="001E06A3" w:rsidRPr="00835753" w:rsidRDefault="001E06A3" w:rsidP="001E06A3">
      <w:pPr>
        <w:pStyle w:val="ListNumber"/>
        <w:numPr>
          <w:ilvl w:val="0"/>
          <w:numId w:val="0"/>
        </w:numPr>
        <w:ind w:left="357" w:hanging="357"/>
        <w:jc w:val="both"/>
        <w:rPr>
          <w:rFonts w:ascii="Times New Roman" w:hAnsi="Times New Roman"/>
          <w:b/>
          <w:sz w:val="24"/>
        </w:rPr>
      </w:pPr>
      <w:r w:rsidRPr="00835753">
        <w:rPr>
          <w:rFonts w:ascii="Times New Roman" w:hAnsi="Times New Roman"/>
          <w:b/>
          <w:sz w:val="24"/>
        </w:rPr>
        <w:t>Instrukcje dotyczące wzoru EU LIQ2 na potrzeby ujawniania wskaźnika stabilnego finansowania netto</w:t>
      </w:r>
    </w:p>
    <w:p w14:paraId="3B9B8BEF" w14:textId="33371E85"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Instytucje podlegające części szóstej CRR ujawniają informacje zawarte we wzorze EU LIQ2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451a ust.</w:t>
      </w:r>
      <w:r w:rsidR="00835753" w:rsidRPr="00835753">
        <w:rPr>
          <w:rFonts w:ascii="Times New Roman" w:hAnsi="Times New Roman"/>
          <w:sz w:val="24"/>
        </w:rPr>
        <w:t> </w:t>
      </w:r>
      <w:r w:rsidRPr="00835753">
        <w:rPr>
          <w:rFonts w:ascii="Times New Roman" w:hAnsi="Times New Roman"/>
          <w:sz w:val="24"/>
        </w:rPr>
        <w:t>3 CRR, stosując się do instrukcji przedstawionych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 Dla każdego kwartału odnośnego okresu, za który informacje podlegają ujawnieniu, ujawnia się wartości liczbowe na koniec kwartału. Na przykład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ujawniania danych rocznych obejmuje ono cztery zbiory danych obejmujące ostatni kwartał</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trz</w:t>
      </w:r>
      <w:r w:rsidRPr="00835753">
        <w:rPr>
          <w:rFonts w:ascii="Times New Roman" w:hAnsi="Times New Roman"/>
          <w:sz w:val="24"/>
        </w:rPr>
        <w:t xml:space="preserve">y poprzedzające kwartały. </w:t>
      </w:r>
    </w:p>
    <w:p w14:paraId="59541A14" w14:textId="125CEF23"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Informacje wymagane we wzorze EU LIQ2 obejmują wszystkie aktywa, zobowiązania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ycje pozabilansowe, niezależnie od waluty,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rej są denominowane, i są ujawniane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wal</w:t>
      </w:r>
      <w:r w:rsidRPr="00835753">
        <w:rPr>
          <w:rFonts w:ascii="Times New Roman" w:hAnsi="Times New Roman"/>
          <w:sz w:val="24"/>
        </w:rPr>
        <w:t>ucie sprawozdawczej zdefiniowanej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411 pkt</w:t>
      </w:r>
      <w:r w:rsidR="00835753" w:rsidRPr="00835753">
        <w:rPr>
          <w:rFonts w:ascii="Times New Roman" w:hAnsi="Times New Roman"/>
          <w:sz w:val="24"/>
        </w:rPr>
        <w:t> </w:t>
      </w:r>
      <w:r w:rsidRPr="00835753">
        <w:rPr>
          <w:rFonts w:ascii="Times New Roman" w:hAnsi="Times New Roman"/>
          <w:sz w:val="24"/>
        </w:rPr>
        <w:t>15 CRR.</w:t>
      </w:r>
    </w:p>
    <w:p w14:paraId="0A794B55" w14:textId="289AAFBE" w:rsidR="001E06A3" w:rsidRPr="00835753" w:rsidRDefault="003414D7"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Aby uniknąć podwójnego liczenia, instytucje nie ujawniają aktywów ani zobowiązań, które są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zab</w:t>
      </w:r>
      <w:r w:rsidRPr="00835753">
        <w:rPr>
          <w:rFonts w:ascii="Times New Roman" w:hAnsi="Times New Roman"/>
          <w:sz w:val="24"/>
        </w:rPr>
        <w:t>ezpieczeniem przekazanym lub otrzymanym jako zmienny depozyt zabezpieczający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428k ust.</w:t>
      </w:r>
      <w:r w:rsidR="00835753" w:rsidRPr="00835753">
        <w:rPr>
          <w:rFonts w:ascii="Times New Roman" w:hAnsi="Times New Roman"/>
          <w:sz w:val="24"/>
        </w:rPr>
        <w:t> </w:t>
      </w:r>
      <w:r w:rsidRPr="00835753">
        <w:rPr>
          <w:rFonts w:ascii="Times New Roman" w:hAnsi="Times New Roman"/>
          <w:sz w:val="24"/>
        </w:rPr>
        <w:t>4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428ah ust.</w:t>
      </w:r>
      <w:r w:rsidR="00835753" w:rsidRPr="00835753">
        <w:rPr>
          <w:rFonts w:ascii="Times New Roman" w:hAnsi="Times New Roman"/>
          <w:sz w:val="24"/>
        </w:rPr>
        <w:t> </w:t>
      </w:r>
      <w:r w:rsidRPr="00835753">
        <w:rPr>
          <w:rFonts w:ascii="Times New Roman" w:hAnsi="Times New Roman"/>
          <w:sz w:val="24"/>
        </w:rPr>
        <w:t>2 CRR, początkowy depozyt zabezpieczający oraz wkład do funduszu kontrahenta centralnego na wypadek niewykonania zobowiązania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428ag lit.</w:t>
      </w:r>
      <w:r w:rsidR="00835753" w:rsidRPr="00835753">
        <w:rPr>
          <w:rFonts w:ascii="Times New Roman" w:hAnsi="Times New Roman"/>
          <w:sz w:val="24"/>
        </w:rPr>
        <w:t> </w:t>
      </w:r>
      <w:r w:rsidRPr="00835753">
        <w:rPr>
          <w:rFonts w:ascii="Times New Roman" w:hAnsi="Times New Roman"/>
          <w:sz w:val="24"/>
        </w:rPr>
        <w:t>a) i b) CRR.</w:t>
      </w:r>
    </w:p>
    <w:p w14:paraId="6A4BBC17" w14:textId="0CF5BC48"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Depozyty utrzymywane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kon</w:t>
      </w:r>
      <w:r w:rsidRPr="00835753">
        <w:rPr>
          <w:rFonts w:ascii="Times New Roman" w:hAnsi="Times New Roman"/>
          <w:sz w:val="24"/>
        </w:rPr>
        <w:t>tekście instytucjonalnego systemu ochrony lub sieci współpracy, które uznaje się za aktywa płynne, ujawnia się jako takie. Inne pozycje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grupy lub instytucjonalnego systemu ochrony ujawnia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owiednich kategoriach ogólnych we wzorze dotyczącym wymaganego lub dostępnego stabilnego finansowania.</w:t>
      </w:r>
    </w:p>
    <w:p w14:paraId="767BB1BE" w14:textId="6481E08C"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W kolumnach a), b), c) oraz d) wzoru jako „wartość nieważoną według rezydualnego terminu zapadalności” instytucje zawsze ujawniają wartości księgowe,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wyj</w:t>
      </w:r>
      <w:r w:rsidRPr="00835753">
        <w:rPr>
          <w:rFonts w:ascii="Times New Roman" w:hAnsi="Times New Roman"/>
          <w:sz w:val="24"/>
        </w:rPr>
        <w:t>ątkiem instrumentów pochodnych,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których instytucje odnoszą się do wartości godziwej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428d ust.</w:t>
      </w:r>
      <w:r w:rsidR="00835753" w:rsidRPr="00835753">
        <w:rPr>
          <w:rFonts w:ascii="Times New Roman" w:hAnsi="Times New Roman"/>
          <w:sz w:val="24"/>
        </w:rPr>
        <w:t> </w:t>
      </w:r>
      <w:r w:rsidRPr="00835753">
        <w:rPr>
          <w:rFonts w:ascii="Times New Roman" w:hAnsi="Times New Roman"/>
          <w:sz w:val="24"/>
        </w:rPr>
        <w:t>2 CRR.</w:t>
      </w:r>
    </w:p>
    <w:p w14:paraId="025EBBBD" w14:textId="142DC82B"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W kolumnie e) niniejszego wzoru instytucje ujawniają „wartość ważoną”. Wartość ta musi odzwierciedlać wartość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428c ust.</w:t>
      </w:r>
      <w:r w:rsidR="00835753" w:rsidRPr="00835753">
        <w:rPr>
          <w:rFonts w:ascii="Times New Roman" w:hAnsi="Times New Roman"/>
          <w:sz w:val="24"/>
        </w:rPr>
        <w:t> </w:t>
      </w:r>
      <w:r w:rsidRPr="00835753">
        <w:rPr>
          <w:rFonts w:ascii="Times New Roman" w:hAnsi="Times New Roman"/>
          <w:sz w:val="24"/>
        </w:rPr>
        <w:t>2 CRR, która jest iloczynem wartości nieważonej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wsp</w:t>
      </w:r>
      <w:r w:rsidRPr="00835753">
        <w:rPr>
          <w:rFonts w:ascii="Times New Roman" w:hAnsi="Times New Roman"/>
          <w:sz w:val="24"/>
        </w:rPr>
        <w:t>ółczynników stabilnego finansowania.</w:t>
      </w:r>
    </w:p>
    <w:p w14:paraId="075502ED" w14:textId="5CD8CE4C"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W przypadku gdy ma zastosowanie art.</w:t>
      </w:r>
      <w:r w:rsidR="00835753" w:rsidRPr="00835753">
        <w:rPr>
          <w:rFonts w:ascii="Times New Roman" w:hAnsi="Times New Roman"/>
          <w:sz w:val="24"/>
        </w:rPr>
        <w:t> </w:t>
      </w:r>
      <w:r w:rsidRPr="00835753">
        <w:rPr>
          <w:rFonts w:ascii="Times New Roman" w:hAnsi="Times New Roman"/>
          <w:sz w:val="24"/>
        </w:rPr>
        <w:t>428e CRR, kwotę aktywów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zob</w:t>
      </w:r>
      <w:r w:rsidRPr="00835753">
        <w:rPr>
          <w:rFonts w:ascii="Times New Roman" w:hAnsi="Times New Roman"/>
          <w:sz w:val="24"/>
        </w:rPr>
        <w:t>owiązań wynikających z SFT</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jed</w:t>
      </w:r>
      <w:r w:rsidRPr="00835753">
        <w:rPr>
          <w:rFonts w:ascii="Times New Roman" w:hAnsi="Times New Roman"/>
          <w:sz w:val="24"/>
        </w:rPr>
        <w:t>nym kontrahentem uwzględnia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uję</w:t>
      </w:r>
      <w:r w:rsidRPr="00835753">
        <w:rPr>
          <w:rFonts w:ascii="Times New Roman" w:hAnsi="Times New Roman"/>
          <w:sz w:val="24"/>
        </w:rPr>
        <w:t>ciu netto</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gdy poszczególne kompensowane transakcje podlegały różnym współczynnikom wymaganego stabilnego finansowania, jeśli były uwzględniane oddzielnie, ujawniana kwota kompensowana, jeśli jest składnikiem aktywów, podlega wyższemu ze wspomnianych współczynników stabilnego finansowania.</w:t>
      </w:r>
    </w:p>
    <w:p w14:paraId="635DF997" w14:textId="6C7DD583"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Instytucje przedstawiają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opi</w:t>
      </w:r>
      <w:r w:rsidRPr="00835753">
        <w:rPr>
          <w:rFonts w:ascii="Times New Roman" w:hAnsi="Times New Roman"/>
          <w:sz w:val="24"/>
        </w:rPr>
        <w:t>sie dołączonym do niniejszego wzoru wszelkie wyjaśnienia niezbędne do ułatwienia zrozumienia wyników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tow</w:t>
      </w:r>
      <w:r w:rsidRPr="00835753">
        <w:rPr>
          <w:rFonts w:ascii="Times New Roman" w:hAnsi="Times New Roman"/>
          <w:sz w:val="24"/>
        </w:rPr>
        <w:t xml:space="preserve">arzyszących im </w:t>
      </w:r>
      <w:r w:rsidRPr="00835753">
        <w:rPr>
          <w:rFonts w:ascii="Times New Roman" w:hAnsi="Times New Roman"/>
          <w:sz w:val="24"/>
        </w:rPr>
        <w:lastRenderedPageBreak/>
        <w:t>danych. Instytucje wyjaśniają co najmniej:</w:t>
      </w:r>
    </w:p>
    <w:p w14:paraId="273D0F3B" w14:textId="001F7A26" w:rsidR="001E06A3" w:rsidRPr="00835753" w:rsidRDefault="001E06A3" w:rsidP="00E70D84">
      <w:pPr>
        <w:pStyle w:val="ListNumber"/>
        <w:numPr>
          <w:ilvl w:val="1"/>
          <w:numId w:val="36"/>
        </w:numPr>
        <w:spacing w:after="150"/>
        <w:jc w:val="both"/>
        <w:rPr>
          <w:rFonts w:ascii="Times New Roman" w:hAnsi="Times New Roman"/>
          <w:sz w:val="24"/>
        </w:rPr>
      </w:pPr>
      <w:proofErr w:type="gramStart"/>
      <w:r w:rsidRPr="00835753">
        <w:rPr>
          <w:rFonts w:ascii="Times New Roman" w:hAnsi="Times New Roman"/>
          <w:sz w:val="24"/>
        </w:rPr>
        <w:t>czynniki</w:t>
      </w:r>
      <w:proofErr w:type="gramEnd"/>
      <w:r w:rsidRPr="00835753">
        <w:rPr>
          <w:rFonts w:ascii="Times New Roman" w:hAnsi="Times New Roman"/>
          <w:sz w:val="24"/>
        </w:rPr>
        <w:t xml:space="preserve"> wpływające na wyniki ich wskaźnika stabilnego finansowania netto oraz przyczyny zmian wewnątrzokresowych, jak również zmian</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cza</w:t>
      </w:r>
      <w:r w:rsidRPr="00835753">
        <w:rPr>
          <w:rFonts w:ascii="Times New Roman" w:hAnsi="Times New Roman"/>
          <w:sz w:val="24"/>
        </w:rPr>
        <w:t>sie (np. zmian strategii, struktury finansowania, okoliczności) oraz</w:t>
      </w:r>
    </w:p>
    <w:p w14:paraId="6C7E1EE0" w14:textId="77777777" w:rsidR="001E06A3" w:rsidRPr="00835753" w:rsidRDefault="001E06A3" w:rsidP="001E06A3">
      <w:pPr>
        <w:pStyle w:val="ListNumber"/>
        <w:numPr>
          <w:ilvl w:val="0"/>
          <w:numId w:val="0"/>
        </w:numPr>
        <w:ind w:left="1071"/>
        <w:jc w:val="both"/>
        <w:rPr>
          <w:rFonts w:ascii="Times New Roman" w:hAnsi="Times New Roman"/>
          <w:sz w:val="24"/>
        </w:rPr>
      </w:pPr>
    </w:p>
    <w:p w14:paraId="3D736C6A" w14:textId="743231F3" w:rsidR="001E06A3" w:rsidRPr="00835753" w:rsidRDefault="001E06A3" w:rsidP="00E70D84">
      <w:pPr>
        <w:pStyle w:val="ListNumber"/>
        <w:numPr>
          <w:ilvl w:val="1"/>
          <w:numId w:val="36"/>
        </w:numPr>
        <w:spacing w:after="150"/>
        <w:jc w:val="both"/>
        <w:rPr>
          <w:rFonts w:ascii="Times New Roman" w:hAnsi="Times New Roman"/>
          <w:sz w:val="24"/>
        </w:rPr>
      </w:pPr>
      <w:proofErr w:type="gramStart"/>
      <w:r w:rsidRPr="00835753">
        <w:rPr>
          <w:rFonts w:ascii="Times New Roman" w:hAnsi="Times New Roman"/>
          <w:sz w:val="24"/>
        </w:rPr>
        <w:t>strukturę</w:t>
      </w:r>
      <w:proofErr w:type="gramEnd"/>
      <w:r w:rsidRPr="00835753">
        <w:rPr>
          <w:rFonts w:ascii="Times New Roman" w:hAnsi="Times New Roman"/>
          <w:sz w:val="24"/>
        </w:rPr>
        <w:t xml:space="preserve"> współzależnych aktywów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zob</w:t>
      </w:r>
      <w:r w:rsidRPr="00835753">
        <w:rPr>
          <w:rFonts w:ascii="Times New Roman" w:hAnsi="Times New Roman"/>
          <w:sz w:val="24"/>
        </w:rPr>
        <w:t>owiązań instytucji oraz zakres,</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im transakcje te są wzajemnie powiązane.</w:t>
      </w:r>
    </w:p>
    <w:p w14:paraId="1012EDDC" w14:textId="77777777" w:rsidR="001E06A3" w:rsidRPr="00835753" w:rsidRDefault="001E06A3" w:rsidP="001E06A3">
      <w:pPr>
        <w:rPr>
          <w:rFonts w:ascii="Times New Roman" w:hAnsi="Times New Roman"/>
          <w:b/>
          <w:sz w:val="24"/>
        </w:rPr>
      </w:pPr>
      <w:r w:rsidRPr="00835753">
        <w:rPr>
          <w:rFonts w:ascii="Times New Roman" w:hAnsi="Times New Roman"/>
          <w:b/>
          <w:sz w:val="24"/>
        </w:rPr>
        <w:t>Pozycje dostępnego stabilnego finansowania</w:t>
      </w:r>
    </w:p>
    <w:p w14:paraId="413BD21C" w14:textId="606C5E6B"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428i CRR,</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ile</w:t>
      </w:r>
      <w:r w:rsidRPr="00835753">
        <w:rPr>
          <w:rFonts w:ascii="Times New Roman" w:hAnsi="Times New Roman"/>
          <w:sz w:val="24"/>
        </w:rPr>
        <w:t xml:space="preserve"> nie określono inaczej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szóstej tytuł IV rozdział 3 CRR, kwotę dostępnego stabilnego finansowania oblicza się, mnożąc kwotę zobowiązań oraz funduszy własnych, jako wartość nieważoną, przez współczynniki dostępnego stabilnego finansowania. Wartość ważona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e) niniejszego wzoru odzwierciedla kwotę dostępnego stabilnego finansowania.</w:t>
      </w:r>
    </w:p>
    <w:p w14:paraId="2EF85710" w14:textId="33F9FA2A"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Wszystkie zobowiązania oraz fundusze własne ujawnia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a), b), c) oraz d) niniejszego wzoru według ich rezydualnego terminu zapadalności, który oblicza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428j, 428o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4</w:t>
      </w:r>
      <w:r w:rsidRPr="00835753">
        <w:rPr>
          <w:rFonts w:ascii="Times New Roman" w:hAnsi="Times New Roman"/>
          <w:sz w:val="24"/>
        </w:rPr>
        <w:t>28ak CRR,</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nas</w:t>
      </w:r>
      <w:r w:rsidRPr="00835753">
        <w:rPr>
          <w:rFonts w:ascii="Times New Roman" w:hAnsi="Times New Roman"/>
          <w:sz w:val="24"/>
        </w:rPr>
        <w:t>tępującym podziałem według klas zapadalności:</w:t>
      </w:r>
    </w:p>
    <w:p w14:paraId="0830C0F4" w14:textId="77777777" w:rsidR="001E06A3" w:rsidRPr="00835753" w:rsidRDefault="001E06A3" w:rsidP="001E06A3">
      <w:pPr>
        <w:pStyle w:val="ListNumber"/>
        <w:numPr>
          <w:ilvl w:val="0"/>
          <w:numId w:val="0"/>
        </w:numPr>
        <w:ind w:left="714"/>
        <w:jc w:val="both"/>
        <w:rPr>
          <w:rFonts w:ascii="Times New Roman" w:hAnsi="Times New Roman"/>
          <w:sz w:val="24"/>
        </w:rPr>
      </w:pPr>
    </w:p>
    <w:p w14:paraId="516716B3" w14:textId="2C2ED99E" w:rsidR="001E06A3" w:rsidRPr="00835753" w:rsidRDefault="001E06A3" w:rsidP="00E70D84">
      <w:pPr>
        <w:pStyle w:val="ListNumber"/>
        <w:numPr>
          <w:ilvl w:val="1"/>
          <w:numId w:val="42"/>
        </w:numPr>
        <w:spacing w:after="150"/>
        <w:jc w:val="both"/>
        <w:rPr>
          <w:rFonts w:ascii="Times New Roman" w:hAnsi="Times New Roman"/>
          <w:sz w:val="24"/>
        </w:rPr>
      </w:pPr>
      <w:proofErr w:type="gramStart"/>
      <w:r w:rsidRPr="00835753">
        <w:rPr>
          <w:rFonts w:ascii="Times New Roman" w:hAnsi="Times New Roman"/>
          <w:sz w:val="24"/>
        </w:rPr>
        <w:t>brak</w:t>
      </w:r>
      <w:proofErr w:type="gramEnd"/>
      <w:r w:rsidRPr="00835753">
        <w:rPr>
          <w:rFonts w:ascii="Times New Roman" w:hAnsi="Times New Roman"/>
          <w:sz w:val="24"/>
        </w:rPr>
        <w:t xml:space="preserve"> terminu zapadalności: pozycje ujawniane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edziale czasowym „brak terminu zapadalności” nie mają określonego terminu zapadalności lub są instrumentami wieczystymi;</w:t>
      </w:r>
    </w:p>
    <w:p w14:paraId="7ADEA47F" w14:textId="77777777" w:rsidR="001E06A3" w:rsidRPr="00835753" w:rsidRDefault="001E06A3" w:rsidP="001E06A3">
      <w:pPr>
        <w:pStyle w:val="ListNumber"/>
        <w:numPr>
          <w:ilvl w:val="0"/>
          <w:numId w:val="0"/>
        </w:numPr>
        <w:ind w:left="1071"/>
        <w:jc w:val="both"/>
        <w:rPr>
          <w:rFonts w:ascii="Times New Roman" w:hAnsi="Times New Roman"/>
          <w:sz w:val="24"/>
        </w:rPr>
      </w:pPr>
    </w:p>
    <w:p w14:paraId="4A598350" w14:textId="77777777" w:rsidR="001E06A3" w:rsidRPr="00835753" w:rsidRDefault="001E06A3" w:rsidP="00E70D84">
      <w:pPr>
        <w:pStyle w:val="ListNumber"/>
        <w:numPr>
          <w:ilvl w:val="1"/>
          <w:numId w:val="36"/>
        </w:numPr>
        <w:spacing w:after="150"/>
        <w:jc w:val="both"/>
        <w:rPr>
          <w:rFonts w:ascii="Times New Roman" w:hAnsi="Times New Roman"/>
          <w:sz w:val="24"/>
        </w:rPr>
      </w:pPr>
      <w:proofErr w:type="gramStart"/>
      <w:r w:rsidRPr="00835753">
        <w:rPr>
          <w:rFonts w:ascii="Times New Roman" w:hAnsi="Times New Roman"/>
          <w:sz w:val="24"/>
        </w:rPr>
        <w:t>rezydualny</w:t>
      </w:r>
      <w:proofErr w:type="gramEnd"/>
      <w:r w:rsidRPr="00835753">
        <w:rPr>
          <w:rFonts w:ascii="Times New Roman" w:hAnsi="Times New Roman"/>
          <w:sz w:val="24"/>
        </w:rPr>
        <w:t xml:space="preserve"> termin zapadalności krótszy niż sześć miesięcy;</w:t>
      </w:r>
    </w:p>
    <w:p w14:paraId="670F728C" w14:textId="77777777" w:rsidR="001E06A3" w:rsidRPr="00835753" w:rsidRDefault="001E06A3" w:rsidP="001E06A3">
      <w:pPr>
        <w:pStyle w:val="ListNumber"/>
        <w:numPr>
          <w:ilvl w:val="0"/>
          <w:numId w:val="0"/>
        </w:numPr>
        <w:ind w:left="1071"/>
        <w:jc w:val="both"/>
        <w:rPr>
          <w:rFonts w:ascii="Times New Roman" w:hAnsi="Times New Roman"/>
          <w:sz w:val="24"/>
        </w:rPr>
      </w:pPr>
    </w:p>
    <w:p w14:paraId="56AA4092" w14:textId="77777777" w:rsidR="001E06A3" w:rsidRPr="00835753" w:rsidRDefault="001E06A3" w:rsidP="00E70D84">
      <w:pPr>
        <w:pStyle w:val="ListNumber"/>
        <w:numPr>
          <w:ilvl w:val="1"/>
          <w:numId w:val="36"/>
        </w:numPr>
        <w:spacing w:after="150"/>
        <w:jc w:val="both"/>
        <w:rPr>
          <w:rFonts w:ascii="Times New Roman" w:hAnsi="Times New Roman"/>
          <w:sz w:val="24"/>
        </w:rPr>
      </w:pPr>
      <w:proofErr w:type="gramStart"/>
      <w:r w:rsidRPr="00835753">
        <w:rPr>
          <w:rFonts w:ascii="Times New Roman" w:hAnsi="Times New Roman"/>
          <w:sz w:val="24"/>
        </w:rPr>
        <w:t>rezydualny</w:t>
      </w:r>
      <w:proofErr w:type="gramEnd"/>
      <w:r w:rsidRPr="00835753">
        <w:rPr>
          <w:rFonts w:ascii="Times New Roman" w:hAnsi="Times New Roman"/>
          <w:sz w:val="24"/>
        </w:rPr>
        <w:t xml:space="preserve"> termin zapadalności wynoszący co najmniej sześć miesięcy, ale krótszy niż jeden rok, oraz</w:t>
      </w:r>
    </w:p>
    <w:p w14:paraId="5C7C0777" w14:textId="77777777" w:rsidR="001E06A3" w:rsidRPr="00835753" w:rsidRDefault="001E06A3" w:rsidP="001E06A3">
      <w:pPr>
        <w:pStyle w:val="ListNumber"/>
        <w:numPr>
          <w:ilvl w:val="0"/>
          <w:numId w:val="0"/>
        </w:numPr>
        <w:ind w:left="1071"/>
        <w:jc w:val="both"/>
        <w:rPr>
          <w:rFonts w:ascii="Times New Roman" w:hAnsi="Times New Roman"/>
          <w:sz w:val="24"/>
        </w:rPr>
      </w:pPr>
    </w:p>
    <w:p w14:paraId="1D3745B0" w14:textId="77777777" w:rsidR="001E06A3" w:rsidRPr="00835753" w:rsidRDefault="001E06A3" w:rsidP="00E70D84">
      <w:pPr>
        <w:pStyle w:val="ListNumber"/>
        <w:numPr>
          <w:ilvl w:val="1"/>
          <w:numId w:val="36"/>
        </w:numPr>
        <w:spacing w:after="150"/>
        <w:jc w:val="both"/>
        <w:rPr>
          <w:rFonts w:ascii="Times New Roman" w:hAnsi="Times New Roman"/>
          <w:sz w:val="24"/>
        </w:rPr>
      </w:pPr>
      <w:r w:rsidRPr="00835753">
        <w:tab/>
      </w:r>
      <w:proofErr w:type="gramStart"/>
      <w:r w:rsidRPr="00835753">
        <w:rPr>
          <w:rFonts w:ascii="Times New Roman" w:hAnsi="Times New Roman"/>
          <w:sz w:val="24"/>
        </w:rPr>
        <w:t>rezydualny</w:t>
      </w:r>
      <w:proofErr w:type="gramEnd"/>
      <w:r w:rsidRPr="00835753">
        <w:rPr>
          <w:rFonts w:ascii="Times New Roman" w:hAnsi="Times New Roman"/>
          <w:sz w:val="24"/>
        </w:rPr>
        <w:t xml:space="preserve"> termin zapadalności wynoszący co najmniej jeden rok.</w:t>
      </w:r>
    </w:p>
    <w:p w14:paraId="6C79222A" w14:textId="77777777" w:rsidR="001E06A3" w:rsidRPr="00835753" w:rsidRDefault="001E06A3" w:rsidP="001E06A3">
      <w:pPr>
        <w:pStyle w:val="ListNumber"/>
        <w:numPr>
          <w:ilvl w:val="0"/>
          <w:numId w:val="0"/>
        </w:numPr>
        <w:rPr>
          <w:rFonts w:ascii="Times New Roman" w:hAnsi="Times New Roman"/>
          <w:sz w:val="24"/>
        </w:rPr>
      </w:pPr>
    </w:p>
    <w:p w14:paraId="7E208C0E" w14:textId="77777777" w:rsidR="001E06A3" w:rsidRPr="00835753" w:rsidRDefault="001E06A3" w:rsidP="001E06A3">
      <w:pPr>
        <w:pStyle w:val="ListNumber"/>
        <w:numPr>
          <w:ilvl w:val="0"/>
          <w:numId w:val="0"/>
        </w:numPr>
        <w:ind w:left="357" w:hanging="357"/>
        <w:jc w:val="both"/>
        <w:rPr>
          <w:rFonts w:ascii="Times New Roman" w:hAnsi="Times New Roman"/>
          <w:b/>
          <w:sz w:val="24"/>
        </w:rPr>
      </w:pPr>
      <w:r w:rsidRPr="00835753">
        <w:rPr>
          <w:rFonts w:ascii="Times New Roman" w:hAnsi="Times New Roman"/>
          <w:b/>
          <w:sz w:val="24"/>
        </w:rPr>
        <w:t>Pozycje wymaganego stabilnego finansowania</w:t>
      </w:r>
    </w:p>
    <w:p w14:paraId="41A9FD61" w14:textId="3EA55357"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Instytucje ujawniają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owiedniej kategorii wszystkie aktywa, wobec których zachowują prawa własności rzeczywistej, nawet jeżeli aktywa te nie są ujęte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ich</w:t>
      </w:r>
      <w:r w:rsidRPr="00835753">
        <w:rPr>
          <w:rFonts w:ascii="Times New Roman" w:hAnsi="Times New Roman"/>
          <w:sz w:val="24"/>
        </w:rPr>
        <w:t xml:space="preserve"> bilansie. Aktywów, wobec których instytucje nie zachowują praw własności rzeczywistej, nie ujawnia się, nawet jeśli aktywa te są ujęte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bil</w:t>
      </w:r>
      <w:r w:rsidRPr="00835753">
        <w:rPr>
          <w:rFonts w:ascii="Times New Roman" w:hAnsi="Times New Roman"/>
          <w:sz w:val="24"/>
        </w:rPr>
        <w:t>ansie instytucji.</w:t>
      </w:r>
    </w:p>
    <w:p w14:paraId="316A5BAA" w14:textId="410D0631"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428p CRR,</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ile</w:t>
      </w:r>
      <w:r w:rsidRPr="00835753">
        <w:rPr>
          <w:rFonts w:ascii="Times New Roman" w:hAnsi="Times New Roman"/>
          <w:sz w:val="24"/>
        </w:rPr>
        <w:t xml:space="preserve"> nie określono inaczej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szóstej tytuł IV rozdział 4 CRR, kwotę wymaganego stabilnego finansowania oblicza się, mnożąc wartość nieważoną aktywów oraz pozycji pozabilansowych przez współczynniki wymaganego stabilnego finansowania.</w:t>
      </w:r>
    </w:p>
    <w:p w14:paraId="584B5209" w14:textId="1C48F8A0"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Aktywa, które kwalifikują się jako aktywa płynne wysokiej jakości (HQLA)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delegowanym Komisji (UE) 2015/61, ujawnia się jako takie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wyz</w:t>
      </w:r>
      <w:r w:rsidRPr="00835753">
        <w:rPr>
          <w:rFonts w:ascii="Times New Roman" w:hAnsi="Times New Roman"/>
          <w:sz w:val="24"/>
        </w:rPr>
        <w:t>naczonym wierszu niezależnie od ich rezydualnego terminu zapadalności.</w:t>
      </w:r>
    </w:p>
    <w:p w14:paraId="5C9715D5" w14:textId="3B927818" w:rsidR="001E06A3" w:rsidRPr="0083575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35753">
        <w:rPr>
          <w:rFonts w:ascii="Times New Roman" w:hAnsi="Times New Roman"/>
          <w:sz w:val="24"/>
        </w:rPr>
        <w:t>Wszystkie aktywa inne niż HQLA oraz pozycje pozabilansowe ujawnia się według ich rezydualnego terminu zapadalności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 xml:space="preserve">428q CRR. Klasy </w:t>
      </w:r>
      <w:r w:rsidRPr="00835753">
        <w:rPr>
          <w:rFonts w:ascii="Times New Roman" w:hAnsi="Times New Roman"/>
          <w:sz w:val="24"/>
        </w:rPr>
        <w:lastRenderedPageBreak/>
        <w:t>zapadalności kwot, współczynniki standardowe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wsp</w:t>
      </w:r>
      <w:r w:rsidRPr="00835753">
        <w:rPr>
          <w:rFonts w:ascii="Times New Roman" w:hAnsi="Times New Roman"/>
          <w:sz w:val="24"/>
        </w:rPr>
        <w:t>ółczynniki mające zastosowanie są następujące:</w:t>
      </w:r>
    </w:p>
    <w:p w14:paraId="2B2D822B" w14:textId="77777777" w:rsidR="001E06A3" w:rsidRPr="00835753" w:rsidRDefault="001E06A3" w:rsidP="001E06A3">
      <w:pPr>
        <w:pStyle w:val="ListNumber"/>
        <w:numPr>
          <w:ilvl w:val="0"/>
          <w:numId w:val="0"/>
        </w:numPr>
        <w:ind w:left="1071"/>
        <w:jc w:val="both"/>
        <w:rPr>
          <w:rFonts w:ascii="Times New Roman" w:hAnsi="Times New Roman"/>
          <w:sz w:val="24"/>
        </w:rPr>
      </w:pPr>
    </w:p>
    <w:p w14:paraId="0BE773C8" w14:textId="77777777" w:rsidR="001E06A3" w:rsidRPr="00835753" w:rsidRDefault="001E06A3" w:rsidP="00E70D84">
      <w:pPr>
        <w:pStyle w:val="ListNumber"/>
        <w:numPr>
          <w:ilvl w:val="1"/>
          <w:numId w:val="43"/>
        </w:numPr>
        <w:spacing w:after="150"/>
        <w:jc w:val="both"/>
        <w:rPr>
          <w:rFonts w:ascii="Times New Roman" w:hAnsi="Times New Roman"/>
          <w:sz w:val="24"/>
        </w:rPr>
      </w:pPr>
      <w:proofErr w:type="gramStart"/>
      <w:r w:rsidRPr="00835753">
        <w:rPr>
          <w:rFonts w:ascii="Times New Roman" w:hAnsi="Times New Roman"/>
          <w:sz w:val="24"/>
        </w:rPr>
        <w:t>rezydualny</w:t>
      </w:r>
      <w:proofErr w:type="gramEnd"/>
      <w:r w:rsidRPr="00835753">
        <w:rPr>
          <w:rFonts w:ascii="Times New Roman" w:hAnsi="Times New Roman"/>
          <w:sz w:val="24"/>
        </w:rPr>
        <w:t xml:space="preserve"> termin zapadalności krótszy niż sześć miesięcy lub brak określonego terminu zapadalności;</w:t>
      </w:r>
    </w:p>
    <w:p w14:paraId="4951700F" w14:textId="77777777" w:rsidR="001E06A3" w:rsidRPr="00835753" w:rsidRDefault="001E06A3" w:rsidP="001E06A3">
      <w:pPr>
        <w:pStyle w:val="ListNumber"/>
        <w:numPr>
          <w:ilvl w:val="0"/>
          <w:numId w:val="0"/>
        </w:numPr>
        <w:ind w:left="1071"/>
        <w:jc w:val="both"/>
        <w:rPr>
          <w:rFonts w:ascii="Times New Roman" w:hAnsi="Times New Roman"/>
          <w:sz w:val="24"/>
        </w:rPr>
      </w:pPr>
    </w:p>
    <w:p w14:paraId="5444D653" w14:textId="77777777" w:rsidR="001E06A3" w:rsidRPr="00835753" w:rsidRDefault="001E06A3" w:rsidP="00E70D84">
      <w:pPr>
        <w:pStyle w:val="ListNumber"/>
        <w:numPr>
          <w:ilvl w:val="1"/>
          <w:numId w:val="36"/>
        </w:numPr>
        <w:spacing w:after="150"/>
        <w:jc w:val="both"/>
        <w:rPr>
          <w:rFonts w:ascii="Times New Roman" w:hAnsi="Times New Roman"/>
          <w:sz w:val="24"/>
        </w:rPr>
      </w:pPr>
      <w:proofErr w:type="gramStart"/>
      <w:r w:rsidRPr="00835753">
        <w:rPr>
          <w:rFonts w:ascii="Times New Roman" w:hAnsi="Times New Roman"/>
          <w:sz w:val="24"/>
        </w:rPr>
        <w:t>rezydualny</w:t>
      </w:r>
      <w:proofErr w:type="gramEnd"/>
      <w:r w:rsidRPr="00835753">
        <w:rPr>
          <w:rFonts w:ascii="Times New Roman" w:hAnsi="Times New Roman"/>
          <w:sz w:val="24"/>
        </w:rPr>
        <w:t xml:space="preserve"> termin zapadalności wynoszący co najmniej sześć miesięcy, ale krótszy niż jeden rok, oraz</w:t>
      </w:r>
    </w:p>
    <w:p w14:paraId="6FDF170D" w14:textId="77777777" w:rsidR="001E06A3" w:rsidRPr="00835753" w:rsidRDefault="001E06A3" w:rsidP="001E06A3">
      <w:pPr>
        <w:pStyle w:val="ListNumber"/>
        <w:numPr>
          <w:ilvl w:val="0"/>
          <w:numId w:val="0"/>
        </w:numPr>
        <w:ind w:left="1071"/>
        <w:jc w:val="both"/>
        <w:rPr>
          <w:rFonts w:ascii="Times New Roman" w:hAnsi="Times New Roman"/>
          <w:sz w:val="24"/>
        </w:rPr>
      </w:pPr>
    </w:p>
    <w:p w14:paraId="5C8432F3" w14:textId="77777777" w:rsidR="001E06A3" w:rsidRPr="00835753" w:rsidRDefault="001E06A3" w:rsidP="00E70D84">
      <w:pPr>
        <w:pStyle w:val="ListNumber"/>
        <w:numPr>
          <w:ilvl w:val="1"/>
          <w:numId w:val="36"/>
        </w:numPr>
        <w:spacing w:after="150"/>
        <w:jc w:val="both"/>
        <w:rPr>
          <w:rFonts w:ascii="Times New Roman" w:hAnsi="Times New Roman"/>
          <w:sz w:val="24"/>
        </w:rPr>
      </w:pPr>
      <w:proofErr w:type="gramStart"/>
      <w:r w:rsidRPr="00835753">
        <w:rPr>
          <w:rFonts w:ascii="Times New Roman" w:hAnsi="Times New Roman"/>
          <w:sz w:val="24"/>
        </w:rPr>
        <w:t>rezydualny</w:t>
      </w:r>
      <w:proofErr w:type="gramEnd"/>
      <w:r w:rsidRPr="00835753">
        <w:rPr>
          <w:rFonts w:ascii="Times New Roman" w:hAnsi="Times New Roman"/>
          <w:sz w:val="24"/>
        </w:rPr>
        <w:t xml:space="preserve"> termin zapadalności wynoszący co najmniej jeden rok.</w:t>
      </w:r>
    </w:p>
    <w:p w14:paraId="56A37D67" w14:textId="77777777" w:rsidR="001E06A3" w:rsidRPr="00835753"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32"/>
        <w:gridCol w:w="7439"/>
      </w:tblGrid>
      <w:tr w:rsidR="001E06A3" w:rsidRPr="00835753"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D4A0820" w:rsidR="001E06A3" w:rsidRPr="00835753" w:rsidRDefault="001E06A3" w:rsidP="001E06A3">
            <w:pPr>
              <w:rPr>
                <w:rFonts w:ascii="Times New Roman" w:hAnsi="Times New Roman"/>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1E06A3" w:rsidRPr="00835753" w14:paraId="3F683FB2" w14:textId="77777777" w:rsidTr="0066076D">
        <w:trPr>
          <w:trHeight w:val="567"/>
        </w:trPr>
        <w:tc>
          <w:tcPr>
            <w:tcW w:w="1355" w:type="dxa"/>
            <w:shd w:val="clear" w:color="auto" w:fill="D9D9D9" w:themeFill="background1" w:themeFillShade="D9"/>
          </w:tcPr>
          <w:p w14:paraId="00EFBB8E" w14:textId="77777777" w:rsidR="001E06A3" w:rsidRPr="00835753" w:rsidRDefault="001E06A3" w:rsidP="001E06A3">
            <w:pPr>
              <w:rPr>
                <w:rFonts w:ascii="Times New Roman" w:hAnsi="Times New Roman"/>
                <w:b/>
                <w:sz w:val="24"/>
              </w:rPr>
            </w:pPr>
            <w:r w:rsidRPr="00835753">
              <w:rPr>
                <w:rFonts w:ascii="Times New Roman" w:hAnsi="Times New Roman"/>
                <w:b/>
                <w:sz w:val="24"/>
              </w:rPr>
              <w:t>Wiersz</w:t>
            </w:r>
          </w:p>
        </w:tc>
        <w:tc>
          <w:tcPr>
            <w:tcW w:w="7705" w:type="dxa"/>
            <w:shd w:val="clear" w:color="auto" w:fill="D0CECE"/>
          </w:tcPr>
          <w:p w14:paraId="07FAE678" w14:textId="77777777" w:rsidR="001E06A3" w:rsidRPr="00835753" w:rsidRDefault="001E06A3" w:rsidP="001E06A3">
            <w:pPr>
              <w:rPr>
                <w:rFonts w:ascii="Times New Roman" w:hAnsi="Times New Roman"/>
                <w:sz w:val="24"/>
              </w:rPr>
            </w:pPr>
            <w:r w:rsidRPr="00835753">
              <w:rPr>
                <w:rFonts w:ascii="Times New Roman" w:hAnsi="Times New Roman"/>
                <w:b/>
                <w:sz w:val="24"/>
              </w:rPr>
              <w:t>Wyjaśnienie</w:t>
            </w:r>
          </w:p>
        </w:tc>
      </w:tr>
      <w:tr w:rsidR="001E06A3" w:rsidRPr="00835753" w14:paraId="436B6233" w14:textId="77777777" w:rsidTr="00CB5E7D">
        <w:trPr>
          <w:trHeight w:val="567"/>
        </w:trPr>
        <w:tc>
          <w:tcPr>
            <w:tcW w:w="1355" w:type="dxa"/>
            <w:shd w:val="clear" w:color="auto" w:fill="D0CECE"/>
          </w:tcPr>
          <w:p w14:paraId="1D605430" w14:textId="77777777" w:rsidR="001E06A3" w:rsidRPr="00835753" w:rsidRDefault="001E06A3" w:rsidP="001E06A3">
            <w:pPr>
              <w:rPr>
                <w:rFonts w:ascii="Times New Roman" w:hAnsi="Times New Roman"/>
                <w:sz w:val="24"/>
              </w:rPr>
            </w:pPr>
          </w:p>
        </w:tc>
        <w:tc>
          <w:tcPr>
            <w:tcW w:w="7705" w:type="dxa"/>
            <w:shd w:val="clear" w:color="auto" w:fill="D0CECE"/>
          </w:tcPr>
          <w:p w14:paraId="138A805E" w14:textId="77777777" w:rsidR="001E06A3" w:rsidRPr="00835753" w:rsidRDefault="001E06A3" w:rsidP="001E06A3">
            <w:pPr>
              <w:rPr>
                <w:rFonts w:ascii="Times New Roman" w:hAnsi="Times New Roman"/>
                <w:b/>
                <w:sz w:val="24"/>
              </w:rPr>
            </w:pPr>
            <w:r w:rsidRPr="00835753">
              <w:rPr>
                <w:rFonts w:ascii="Times New Roman" w:hAnsi="Times New Roman"/>
                <w:b/>
                <w:sz w:val="24"/>
              </w:rPr>
              <w:t>Pozycje dostępnego stabilnego finansowania</w:t>
            </w:r>
          </w:p>
        </w:tc>
      </w:tr>
      <w:tr w:rsidR="001E06A3" w:rsidRPr="00835753" w14:paraId="579EBB5A" w14:textId="77777777" w:rsidTr="00CB5E7D">
        <w:tc>
          <w:tcPr>
            <w:tcW w:w="1355" w:type="dxa"/>
          </w:tcPr>
          <w:p w14:paraId="09A32662"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1</w:t>
            </w:r>
          </w:p>
        </w:tc>
        <w:tc>
          <w:tcPr>
            <w:tcW w:w="7705" w:type="dxa"/>
          </w:tcPr>
          <w:p w14:paraId="530427A3" w14:textId="12A2D218" w:rsidR="001E06A3" w:rsidRPr="00835753" w:rsidRDefault="001E06A3" w:rsidP="001E06A3">
            <w:pPr>
              <w:spacing w:after="240"/>
              <w:jc w:val="both"/>
              <w:rPr>
                <w:rFonts w:ascii="Times New Roman" w:hAnsi="Times New Roman"/>
                <w:sz w:val="24"/>
              </w:rPr>
            </w:pPr>
            <w:r w:rsidRPr="00835753">
              <w:rPr>
                <w:rFonts w:ascii="Times New Roman" w:hAnsi="Times New Roman"/>
                <w:b/>
                <w:sz w:val="24"/>
              </w:rPr>
              <w:t>Pozycje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trumenty kapitałowe</w:t>
            </w:r>
          </w:p>
          <w:p w14:paraId="61716E3B" w14:textId="7F428B91"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ujawniają sumę wierszy 2</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3</w:t>
            </w:r>
            <w:r w:rsidRPr="00835753">
              <w:rPr>
                <w:rFonts w:ascii="Times New Roman" w:hAnsi="Times New Roman"/>
                <w:sz w:val="24"/>
              </w:rPr>
              <w:t xml:space="preserve"> niniejszego wzoru.</w:t>
            </w:r>
          </w:p>
        </w:tc>
      </w:tr>
      <w:tr w:rsidR="001E06A3" w:rsidRPr="00835753" w14:paraId="15DE331F" w14:textId="77777777" w:rsidTr="00CB5E7D">
        <w:tc>
          <w:tcPr>
            <w:tcW w:w="1355" w:type="dxa"/>
          </w:tcPr>
          <w:p w14:paraId="7F865770"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2</w:t>
            </w:r>
          </w:p>
        </w:tc>
        <w:tc>
          <w:tcPr>
            <w:tcW w:w="7705" w:type="dxa"/>
          </w:tcPr>
          <w:p w14:paraId="5FD56B88" w14:textId="77777777"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Fundusze własne</w:t>
            </w:r>
          </w:p>
          <w:p w14:paraId="198B2663" w14:textId="6D6BCBB9"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Art. 428o lit.</w:t>
            </w:r>
            <w:r w:rsidR="00835753" w:rsidRPr="00835753">
              <w:rPr>
                <w:rFonts w:ascii="Times New Roman" w:hAnsi="Times New Roman"/>
                <w:sz w:val="24"/>
              </w:rPr>
              <w:t> </w:t>
            </w:r>
            <w:r w:rsidRPr="00835753">
              <w:rPr>
                <w:rFonts w:ascii="Times New Roman" w:hAnsi="Times New Roman"/>
                <w:sz w:val="24"/>
              </w:rPr>
              <w:t>a), b) i c) CRR</w:t>
            </w:r>
          </w:p>
          <w:p w14:paraId="0A4C5F9D"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uwzględniają sumę następujących pozycji:</w:t>
            </w:r>
          </w:p>
          <w:p w14:paraId="2EFCADA1" w14:textId="7ABC0366" w:rsidR="001E06A3" w:rsidRPr="00835753" w:rsidRDefault="001E06A3" w:rsidP="00E70D84">
            <w:pPr>
              <w:pStyle w:val="ListParagraph"/>
              <w:numPr>
                <w:ilvl w:val="0"/>
                <w:numId w:val="40"/>
              </w:numPr>
              <w:spacing w:after="240"/>
              <w:contextualSpacing/>
              <w:jc w:val="both"/>
              <w:rPr>
                <w:rFonts w:ascii="Times New Roman" w:hAnsi="Times New Roman"/>
                <w:sz w:val="24"/>
              </w:rPr>
            </w:pPr>
            <w:proofErr w:type="gramStart"/>
            <w:r w:rsidRPr="00835753">
              <w:rPr>
                <w:rFonts w:ascii="Times New Roman" w:hAnsi="Times New Roman"/>
                <w:sz w:val="24"/>
              </w:rPr>
              <w:t>pozycje</w:t>
            </w:r>
            <w:proofErr w:type="gramEnd"/>
            <w:r w:rsidRPr="00835753">
              <w:rPr>
                <w:rFonts w:ascii="Times New Roman" w:hAnsi="Times New Roman"/>
                <w:sz w:val="24"/>
              </w:rPr>
              <w:t xml:space="preserve"> kapitału podstawowego Tier I przed zastosowaniem filtrów ostrożnościowych, odliczeń oraz wyłączeń lub opcji alternatywnych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32–36, 48, 49</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7</w:t>
            </w:r>
            <w:r w:rsidRPr="00835753">
              <w:rPr>
                <w:rFonts w:ascii="Times New Roman" w:hAnsi="Times New Roman"/>
                <w:sz w:val="24"/>
              </w:rPr>
              <w:t>9 CRR;</w:t>
            </w:r>
          </w:p>
          <w:p w14:paraId="2E9DB7AE" w14:textId="45938226" w:rsidR="001E06A3" w:rsidRPr="00835753" w:rsidRDefault="001E06A3" w:rsidP="00E70D84">
            <w:pPr>
              <w:pStyle w:val="ListParagraph"/>
              <w:numPr>
                <w:ilvl w:val="0"/>
                <w:numId w:val="40"/>
              </w:numPr>
              <w:spacing w:after="240"/>
              <w:contextualSpacing/>
              <w:jc w:val="both"/>
              <w:rPr>
                <w:rFonts w:ascii="Times New Roman" w:hAnsi="Times New Roman"/>
                <w:sz w:val="24"/>
              </w:rPr>
            </w:pPr>
            <w:proofErr w:type="gramStart"/>
            <w:r w:rsidRPr="00835753">
              <w:rPr>
                <w:rFonts w:ascii="Times New Roman" w:hAnsi="Times New Roman"/>
                <w:sz w:val="24"/>
              </w:rPr>
              <w:t>pozycje</w:t>
            </w:r>
            <w:proofErr w:type="gramEnd"/>
            <w:r w:rsidRPr="00835753">
              <w:rPr>
                <w:rFonts w:ascii="Times New Roman" w:hAnsi="Times New Roman"/>
                <w:sz w:val="24"/>
              </w:rPr>
              <w:t xml:space="preserve"> kapitału dodatkowego Tier I przed zastosowaniem odliczeń oraz wyłączeń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56</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7</w:t>
            </w:r>
            <w:r w:rsidRPr="00835753">
              <w:rPr>
                <w:rFonts w:ascii="Times New Roman" w:hAnsi="Times New Roman"/>
                <w:sz w:val="24"/>
              </w:rPr>
              <w:t>9 CRR oraz</w:t>
            </w:r>
          </w:p>
          <w:p w14:paraId="739C5EE8" w14:textId="1ECB070F" w:rsidR="001E06A3" w:rsidRPr="00835753" w:rsidRDefault="001E06A3" w:rsidP="00E70D84">
            <w:pPr>
              <w:pStyle w:val="ListParagraph"/>
              <w:numPr>
                <w:ilvl w:val="0"/>
                <w:numId w:val="40"/>
              </w:numPr>
              <w:spacing w:after="240"/>
              <w:contextualSpacing/>
              <w:jc w:val="both"/>
              <w:rPr>
                <w:rFonts w:ascii="Times New Roman" w:hAnsi="Times New Roman"/>
                <w:sz w:val="24"/>
              </w:rPr>
            </w:pPr>
            <w:proofErr w:type="gramStart"/>
            <w:r w:rsidRPr="00835753">
              <w:rPr>
                <w:rFonts w:ascii="Times New Roman" w:hAnsi="Times New Roman"/>
                <w:sz w:val="24"/>
              </w:rPr>
              <w:t>pozycje</w:t>
            </w:r>
            <w:proofErr w:type="gramEnd"/>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 przed zastosowaniem odliczeń</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wył</w:t>
            </w:r>
            <w:r w:rsidRPr="00835753">
              <w:rPr>
                <w:rFonts w:ascii="Times New Roman" w:hAnsi="Times New Roman"/>
                <w:sz w:val="24"/>
              </w:rPr>
              <w:t>ączeń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66</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7</w:t>
            </w:r>
            <w:r w:rsidRPr="00835753">
              <w:rPr>
                <w:rFonts w:ascii="Times New Roman" w:hAnsi="Times New Roman"/>
                <w:sz w:val="24"/>
              </w:rPr>
              <w:t>9 CRR</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rez</w:t>
            </w:r>
            <w:r w:rsidRPr="00835753">
              <w:rPr>
                <w:rFonts w:ascii="Times New Roman" w:hAnsi="Times New Roman"/>
                <w:sz w:val="24"/>
              </w:rPr>
              <w:t>ydualnym terminie zapadalności wynoszącym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dni</w:t>
            </w:r>
            <w:r w:rsidRPr="00835753">
              <w:rPr>
                <w:rFonts w:ascii="Times New Roman" w:hAnsi="Times New Roman"/>
                <w:sz w:val="24"/>
              </w:rPr>
              <w:t>u odniesienia do celów ujawniania informacji co najmniej jeden rok.</w:t>
            </w:r>
          </w:p>
          <w:p w14:paraId="50F1DC2C" w14:textId="1AA020B4"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Pozycje kapitału podstawowego Tier 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ycje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dodatkowym Tier I są instrumentami wieczystymi, które ujawnia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edziale czasowym „brak terminu zapadalności”</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pozycji kapitału dodatkowego Tier 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opc</w:t>
            </w:r>
            <w:r w:rsidRPr="00835753">
              <w:rPr>
                <w:rFonts w:ascii="Times New Roman" w:hAnsi="Times New Roman"/>
                <w:sz w:val="24"/>
              </w:rPr>
              <w:t>ją wykupu przez instytucję, wyłącznie jeśli okres do daty opcji wykupu jest krótszy niż jeden rok, nie zostaną one ujawnione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edziale czasowym „brak terminu zapadalności”, ale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owiednim przedziale czasowym (tj. „rezydualny termin zapadalności krótszy niż sześć miesięcy” lub „rezydualny termin zapadalności wynoszący co najmniej sześć miesięcy, ale krótszy niż jeden rok”). Powyższe jest niezależne od tego, czy wykonano tę opcję.</w:t>
            </w:r>
          </w:p>
          <w:p w14:paraId="6998616B" w14:textId="27D6F509" w:rsidR="001E06A3" w:rsidRPr="00835753" w:rsidRDefault="001E06A3" w:rsidP="001E06A3">
            <w:pPr>
              <w:spacing w:after="240"/>
              <w:jc w:val="both"/>
              <w:rPr>
                <w:rFonts w:ascii="Times New Roman" w:hAnsi="Times New Roman"/>
                <w:sz w:val="24"/>
              </w:rPr>
            </w:pPr>
            <w:r w:rsidRPr="00835753">
              <w:rPr>
                <w:rFonts w:ascii="Times New Roman" w:hAnsi="Times New Roman"/>
                <w:sz w:val="24"/>
              </w:rPr>
              <w:lastRenderedPageBreak/>
              <w:t>W odniesieniu do 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 klasa zapadalności, dla której termin zapadalności wynosi co najmniej jeden rok, obejmuje instrumenty</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rów</w:t>
            </w:r>
            <w:r w:rsidRPr="00835753">
              <w:rPr>
                <w:rFonts w:ascii="Times New Roman" w:hAnsi="Times New Roman"/>
                <w:sz w:val="24"/>
              </w:rPr>
              <w:t>noważnym rezydualnym terminie zapadalności,</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w</w:t>
            </w:r>
            <w:r w:rsidR="00835753">
              <w:rPr>
                <w:rFonts w:ascii="Times New Roman" w:hAnsi="Times New Roman"/>
                <w:sz w:val="24"/>
              </w:rPr>
              <w:t> </w:t>
            </w:r>
            <w:r w:rsidR="00835753" w:rsidRPr="00835753">
              <w:rPr>
                <w:rFonts w:ascii="Times New Roman" w:hAnsi="Times New Roman"/>
                <w:sz w:val="24"/>
              </w:rPr>
              <w:t>wyj</w:t>
            </w:r>
            <w:r w:rsidRPr="00835753">
              <w:rPr>
                <w:rFonts w:ascii="Times New Roman" w:hAnsi="Times New Roman"/>
                <w:sz w:val="24"/>
              </w:rPr>
              <w:t>ątkowych przypadkach instrumentów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 bez terminu zapadalności – również te instrumenty</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opc</w:t>
            </w:r>
            <w:r w:rsidRPr="00835753">
              <w:rPr>
                <w:rFonts w:ascii="Times New Roman" w:hAnsi="Times New Roman"/>
                <w:sz w:val="24"/>
              </w:rPr>
              <w:t>ją wykupu przez instytucję, niezależnie od tego, czy instytucja wykonała tę opcję,</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rez</w:t>
            </w:r>
            <w:r w:rsidRPr="00835753">
              <w:rPr>
                <w:rFonts w:ascii="Times New Roman" w:hAnsi="Times New Roman"/>
                <w:sz w:val="24"/>
              </w:rPr>
              <w:t>ydualnym terminie zapadalności instrumentu będzie decydowała data opcji wykupu</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im przypadku instytucja ujawnia te pozycje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owiednim przedziale czasowym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nie</w:t>
            </w:r>
            <w:r w:rsidRPr="00835753">
              <w:rPr>
                <w:rFonts w:ascii="Times New Roman" w:hAnsi="Times New Roman"/>
                <w:sz w:val="24"/>
              </w:rPr>
              <w:t xml:space="preserve"> stosuje współczynnika dostępnego stabilnego finansowania wynoszącego 100</w:t>
            </w:r>
            <w:r w:rsidR="00835753" w:rsidRPr="00835753">
              <w:rPr>
                <w:rFonts w:ascii="Times New Roman" w:hAnsi="Times New Roman"/>
                <w:sz w:val="24"/>
              </w:rPr>
              <w:t> </w:t>
            </w:r>
            <w:r w:rsidRPr="00835753">
              <w:rPr>
                <w:rFonts w:ascii="Times New Roman" w:hAnsi="Times New Roman"/>
                <w:sz w:val="24"/>
              </w:rPr>
              <w:t>%, jeśli opcja może zostać wykonana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ter</w:t>
            </w:r>
            <w:r w:rsidRPr="00835753">
              <w:rPr>
                <w:rFonts w:ascii="Times New Roman" w:hAnsi="Times New Roman"/>
                <w:sz w:val="24"/>
              </w:rPr>
              <w:t>minie jednego roku.</w:t>
            </w:r>
          </w:p>
        </w:tc>
      </w:tr>
      <w:tr w:rsidR="001E06A3" w:rsidRPr="00835753" w14:paraId="4FD46919" w14:textId="77777777" w:rsidTr="00CB5E7D">
        <w:tc>
          <w:tcPr>
            <w:tcW w:w="1355" w:type="dxa"/>
          </w:tcPr>
          <w:p w14:paraId="085BD94C"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lastRenderedPageBreak/>
              <w:t>3</w:t>
            </w:r>
          </w:p>
        </w:tc>
        <w:tc>
          <w:tcPr>
            <w:tcW w:w="7705" w:type="dxa"/>
          </w:tcPr>
          <w:p w14:paraId="46ABF274" w14:textId="77777777"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Inne instrumenty kapitałowe</w:t>
            </w:r>
          </w:p>
          <w:p w14:paraId="4D812EAC" w14:textId="12232124" w:rsidR="001E06A3" w:rsidRPr="00835753" w:rsidRDefault="001E06A3" w:rsidP="001E06A3">
            <w:pPr>
              <w:pStyle w:val="TableParagraph"/>
              <w:spacing w:after="240"/>
              <w:jc w:val="both"/>
              <w:rPr>
                <w:rFonts w:ascii="Times New Roman" w:hAnsi="Times New Roman"/>
                <w:sz w:val="24"/>
                <w:szCs w:val="24"/>
              </w:rPr>
            </w:pPr>
            <w:r w:rsidRPr="00835753">
              <w:rPr>
                <w:rFonts w:ascii="Times New Roman" w:hAnsi="Times New Roman"/>
                <w:sz w:val="24"/>
                <w:szCs w:val="24"/>
              </w:rPr>
              <w:t>Art. 428o lit.</w:t>
            </w:r>
            <w:r w:rsidR="00835753" w:rsidRPr="00835753">
              <w:rPr>
                <w:rFonts w:ascii="Times New Roman" w:hAnsi="Times New Roman"/>
                <w:sz w:val="24"/>
                <w:szCs w:val="24"/>
              </w:rPr>
              <w:t> </w:t>
            </w:r>
            <w:r w:rsidRPr="00835753">
              <w:rPr>
                <w:rFonts w:ascii="Times New Roman" w:hAnsi="Times New Roman"/>
                <w:sz w:val="24"/>
                <w:szCs w:val="24"/>
              </w:rPr>
              <w:t>d) oraz art.</w:t>
            </w:r>
            <w:r w:rsidR="00835753" w:rsidRPr="00835753">
              <w:rPr>
                <w:rFonts w:ascii="Times New Roman" w:hAnsi="Times New Roman"/>
                <w:sz w:val="24"/>
                <w:szCs w:val="24"/>
              </w:rPr>
              <w:t> </w:t>
            </w:r>
            <w:r w:rsidRPr="00835753">
              <w:rPr>
                <w:rFonts w:ascii="Times New Roman" w:hAnsi="Times New Roman"/>
                <w:sz w:val="24"/>
                <w:szCs w:val="24"/>
              </w:rPr>
              <w:t>428k ust.</w:t>
            </w:r>
            <w:r w:rsidR="00835753" w:rsidRPr="00835753">
              <w:rPr>
                <w:rFonts w:ascii="Times New Roman" w:hAnsi="Times New Roman"/>
                <w:sz w:val="24"/>
                <w:szCs w:val="24"/>
              </w:rPr>
              <w:t> </w:t>
            </w:r>
            <w:r w:rsidRPr="00835753">
              <w:rPr>
                <w:rFonts w:ascii="Times New Roman" w:hAnsi="Times New Roman"/>
                <w:sz w:val="24"/>
                <w:szCs w:val="24"/>
              </w:rPr>
              <w:t>3 lit.</w:t>
            </w:r>
            <w:r w:rsidR="00835753" w:rsidRPr="00835753">
              <w:rPr>
                <w:rFonts w:ascii="Times New Roman" w:hAnsi="Times New Roman"/>
                <w:sz w:val="24"/>
                <w:szCs w:val="24"/>
              </w:rPr>
              <w:t> </w:t>
            </w:r>
            <w:r w:rsidRPr="00835753">
              <w:rPr>
                <w:rFonts w:ascii="Times New Roman" w:hAnsi="Times New Roman"/>
                <w:sz w:val="24"/>
                <w:szCs w:val="24"/>
              </w:rPr>
              <w:t>d) CRR</w:t>
            </w:r>
          </w:p>
          <w:p w14:paraId="6FE850DA" w14:textId="2509E841" w:rsidR="001E06A3" w:rsidRPr="00835753" w:rsidRDefault="001E06A3" w:rsidP="001E06A3">
            <w:pPr>
              <w:pStyle w:val="TableParagraph"/>
              <w:spacing w:after="240"/>
              <w:jc w:val="both"/>
              <w:rPr>
                <w:rFonts w:ascii="Times New Roman" w:hAnsi="Times New Roman"/>
                <w:sz w:val="24"/>
                <w:szCs w:val="24"/>
              </w:rPr>
            </w:pPr>
            <w:r w:rsidRPr="00835753">
              <w:rPr>
                <w:rFonts w:ascii="Times New Roman" w:hAnsi="Times New Roman"/>
                <w:sz w:val="24"/>
                <w:szCs w:val="24"/>
              </w:rPr>
              <w:t>Inne instrumenty kapitałowe</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rez</w:t>
            </w:r>
            <w:r w:rsidRPr="00835753">
              <w:rPr>
                <w:rFonts w:ascii="Times New Roman" w:hAnsi="Times New Roman"/>
                <w:sz w:val="24"/>
                <w:szCs w:val="24"/>
              </w:rPr>
              <w:t>ydualnym terminie zapadalności wynoszącym</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dni</w:t>
            </w:r>
            <w:r w:rsidRPr="00835753">
              <w:rPr>
                <w:rFonts w:ascii="Times New Roman" w:hAnsi="Times New Roman"/>
                <w:sz w:val="24"/>
                <w:szCs w:val="24"/>
              </w:rPr>
              <w:t>u odniesienia do celów ujawniania informacji co najmniej jeden rok.</w:t>
            </w:r>
          </w:p>
          <w:p w14:paraId="3E72A944" w14:textId="10A46798" w:rsidR="001E06A3" w:rsidRPr="00835753" w:rsidRDefault="001E06A3" w:rsidP="001E06A3">
            <w:pPr>
              <w:pStyle w:val="TableParagraph"/>
              <w:spacing w:after="240"/>
              <w:jc w:val="both"/>
              <w:rPr>
                <w:rFonts w:ascii="Times New Roman" w:hAnsi="Times New Roman"/>
                <w:sz w:val="24"/>
                <w:szCs w:val="24"/>
              </w:rPr>
            </w:pPr>
            <w:r w:rsidRPr="00835753">
              <w:rPr>
                <w:rFonts w:ascii="Times New Roman" w:hAnsi="Times New Roman"/>
                <w:sz w:val="24"/>
                <w:szCs w:val="24"/>
              </w:rPr>
              <w:t>W przypadku innych instrumentów kapitałowych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opc</w:t>
            </w:r>
            <w:r w:rsidRPr="00835753">
              <w:rPr>
                <w:rFonts w:ascii="Times New Roman" w:hAnsi="Times New Roman"/>
                <w:sz w:val="24"/>
                <w:szCs w:val="24"/>
              </w:rPr>
              <w:t>ją wykupu przez instytucję, niezależnie od tego, czy instytucja wykonała tę opcję,</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rez</w:t>
            </w:r>
            <w:r w:rsidRPr="00835753">
              <w:rPr>
                <w:rFonts w:ascii="Times New Roman" w:hAnsi="Times New Roman"/>
                <w:sz w:val="24"/>
                <w:szCs w:val="24"/>
              </w:rPr>
              <w:t>ydualnym terminie zapadalności instrumentu będzie decydowała data opcji wykupu</w:t>
            </w:r>
            <w:r w:rsidR="00835753" w:rsidRPr="00835753">
              <w:rPr>
                <w:rFonts w:ascii="Times New Roman" w:hAnsi="Times New Roman"/>
                <w:sz w:val="24"/>
                <w:szCs w:val="24"/>
              </w:rPr>
              <w:t>. W</w:t>
            </w:r>
            <w:r w:rsidR="00835753">
              <w:rPr>
                <w:rFonts w:ascii="Times New Roman" w:hAnsi="Times New Roman"/>
                <w:sz w:val="24"/>
                <w:szCs w:val="24"/>
              </w:rPr>
              <w:t> </w:t>
            </w:r>
            <w:r w:rsidR="00835753" w:rsidRPr="00835753">
              <w:rPr>
                <w:rFonts w:ascii="Times New Roman" w:hAnsi="Times New Roman"/>
                <w:sz w:val="24"/>
                <w:szCs w:val="24"/>
              </w:rPr>
              <w:t>tak</w:t>
            </w:r>
            <w:r w:rsidRPr="00835753">
              <w:rPr>
                <w:rFonts w:ascii="Times New Roman" w:hAnsi="Times New Roman"/>
                <w:sz w:val="24"/>
                <w:szCs w:val="24"/>
              </w:rPr>
              <w:t>im przypadku instytucja ujawnia te pozycje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odp</w:t>
            </w:r>
            <w:r w:rsidRPr="00835753">
              <w:rPr>
                <w:rFonts w:ascii="Times New Roman" w:hAnsi="Times New Roman"/>
                <w:sz w:val="24"/>
                <w:szCs w:val="24"/>
              </w:rPr>
              <w:t>owiednim przedziale czasowym</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nie</w:t>
            </w:r>
            <w:r w:rsidRPr="00835753">
              <w:rPr>
                <w:rFonts w:ascii="Times New Roman" w:hAnsi="Times New Roman"/>
                <w:sz w:val="24"/>
                <w:szCs w:val="24"/>
              </w:rPr>
              <w:t xml:space="preserve"> stosuje współczynnika dostępnego stabilnego finansowania wynoszącego 100</w:t>
            </w:r>
            <w:r w:rsidR="00835753" w:rsidRPr="00835753">
              <w:rPr>
                <w:rFonts w:ascii="Times New Roman" w:hAnsi="Times New Roman"/>
                <w:sz w:val="24"/>
                <w:szCs w:val="24"/>
              </w:rPr>
              <w:t> </w:t>
            </w:r>
            <w:r w:rsidRPr="00835753">
              <w:rPr>
                <w:rFonts w:ascii="Times New Roman" w:hAnsi="Times New Roman"/>
                <w:sz w:val="24"/>
                <w:szCs w:val="24"/>
              </w:rPr>
              <w:t>%, jeśli opcja może zostać wykonana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ter</w:t>
            </w:r>
            <w:r w:rsidRPr="00835753">
              <w:rPr>
                <w:rFonts w:ascii="Times New Roman" w:hAnsi="Times New Roman"/>
                <w:sz w:val="24"/>
                <w:szCs w:val="24"/>
              </w:rPr>
              <w:t>minie jednego roku.</w:t>
            </w:r>
          </w:p>
        </w:tc>
      </w:tr>
      <w:tr w:rsidR="001E06A3" w:rsidRPr="00835753" w14:paraId="4A7BF272" w14:textId="77777777" w:rsidTr="00CB5E7D">
        <w:tc>
          <w:tcPr>
            <w:tcW w:w="1355" w:type="dxa"/>
          </w:tcPr>
          <w:p w14:paraId="22D0C44B"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4</w:t>
            </w:r>
          </w:p>
        </w:tc>
        <w:tc>
          <w:tcPr>
            <w:tcW w:w="7705" w:type="dxa"/>
          </w:tcPr>
          <w:p w14:paraId="3E072D6A" w14:textId="77777777"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Depozyty detaliczne</w:t>
            </w:r>
          </w:p>
          <w:p w14:paraId="34660FE1" w14:textId="67F6B54A" w:rsidR="001E06A3" w:rsidRPr="00835753" w:rsidRDefault="001E06A3" w:rsidP="001E06A3">
            <w:pPr>
              <w:spacing w:after="240"/>
              <w:jc w:val="both"/>
            </w:pPr>
            <w:r w:rsidRPr="00835753">
              <w:rPr>
                <w:rFonts w:ascii="Times New Roman" w:hAnsi="Times New Roman"/>
                <w:sz w:val="24"/>
              </w:rPr>
              <w:t>W tej sekcji instytucje ujawniają sumę wierszy 5</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6</w:t>
            </w:r>
            <w:r w:rsidRPr="00835753">
              <w:rPr>
                <w:rFonts w:ascii="Times New Roman" w:hAnsi="Times New Roman"/>
                <w:sz w:val="24"/>
              </w:rPr>
              <w:t xml:space="preserve"> niniejszego wzoru.</w:t>
            </w:r>
          </w:p>
        </w:tc>
      </w:tr>
      <w:tr w:rsidR="001E06A3" w:rsidRPr="00835753" w14:paraId="4B4D6290" w14:textId="77777777" w:rsidTr="00CB5E7D">
        <w:tc>
          <w:tcPr>
            <w:tcW w:w="1355" w:type="dxa"/>
          </w:tcPr>
          <w:p w14:paraId="1010D2BD"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5</w:t>
            </w:r>
          </w:p>
        </w:tc>
        <w:tc>
          <w:tcPr>
            <w:tcW w:w="7705" w:type="dxa"/>
          </w:tcPr>
          <w:p w14:paraId="70714F89" w14:textId="77777777"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Stabilne depozyty detaliczne</w:t>
            </w:r>
          </w:p>
          <w:p w14:paraId="4605216C" w14:textId="77777777" w:rsidR="001E06A3" w:rsidRPr="00835753" w:rsidRDefault="001E06A3" w:rsidP="001E06A3">
            <w:pPr>
              <w:pStyle w:val="TableParagraph"/>
              <w:spacing w:after="240"/>
              <w:jc w:val="both"/>
              <w:rPr>
                <w:rFonts w:ascii="Times New Roman" w:hAnsi="Times New Roman"/>
                <w:sz w:val="24"/>
              </w:rPr>
            </w:pPr>
            <w:r w:rsidRPr="00835753">
              <w:rPr>
                <w:rFonts w:ascii="Times New Roman" w:hAnsi="Times New Roman"/>
                <w:sz w:val="24"/>
              </w:rPr>
              <w:t>Art. 428n CRR</w:t>
            </w:r>
          </w:p>
          <w:p w14:paraId="4DE00061" w14:textId="63183134" w:rsidR="001E06A3" w:rsidRPr="00835753" w:rsidRDefault="001E06A3" w:rsidP="001E06A3">
            <w:pPr>
              <w:pStyle w:val="TableParagraph"/>
              <w:spacing w:after="240"/>
              <w:jc w:val="both"/>
              <w:rPr>
                <w:rFonts w:ascii="Times New Roman" w:hAnsi="Times New Roman"/>
                <w:sz w:val="24"/>
                <w:szCs w:val="24"/>
              </w:rPr>
            </w:pPr>
            <w:r w:rsidRPr="00835753">
              <w:rPr>
                <w:rFonts w:ascii="Times New Roman" w:hAnsi="Times New Roman"/>
                <w:sz w:val="24"/>
                <w:szCs w:val="24"/>
              </w:rPr>
              <w:t>Instytucje uwzględniają część kwot depozytów detalicznych objętych systemem gwarancji depozytów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dyr</w:t>
            </w:r>
            <w:r w:rsidRPr="00835753">
              <w:rPr>
                <w:rFonts w:ascii="Times New Roman" w:hAnsi="Times New Roman"/>
                <w:sz w:val="24"/>
                <w:szCs w:val="24"/>
              </w:rPr>
              <w:t>ektywą 94/19/WE lub dyrektywą 2014/49/UE lub równoważnym systemem gwarantowania depozytów</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pań</w:t>
            </w:r>
            <w:r w:rsidRPr="00835753">
              <w:rPr>
                <w:rFonts w:ascii="Times New Roman" w:hAnsi="Times New Roman"/>
                <w:sz w:val="24"/>
                <w:szCs w:val="24"/>
              </w:rPr>
              <w:t>stwie trzecim, które są odpowiednio elementem utrwalonej relacji, co sprawia, że ich wycofanie jest bardzo mało prawdopodobne, albo są utrzymywane na rachunku transakcyjnym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24 ust.</w:t>
            </w:r>
            <w:r w:rsidR="00835753" w:rsidRPr="00835753">
              <w:rPr>
                <w:rFonts w:ascii="Times New Roman" w:hAnsi="Times New Roman"/>
                <w:sz w:val="24"/>
                <w:szCs w:val="24"/>
              </w:rPr>
              <w:t> </w:t>
            </w:r>
            <w:r w:rsidRPr="00835753">
              <w:rPr>
                <w:rFonts w:ascii="Times New Roman" w:hAnsi="Times New Roman"/>
                <w:sz w:val="24"/>
                <w:szCs w:val="24"/>
              </w:rPr>
              <w:t>2</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3</w:t>
            </w:r>
            <w:r w:rsidRPr="00835753">
              <w:rPr>
                <w:rFonts w:ascii="Times New Roman" w:hAnsi="Times New Roman"/>
                <w:sz w:val="24"/>
                <w:szCs w:val="24"/>
              </w:rPr>
              <w:t xml:space="preserve"> rozporządzenia delegowanego Komisji (UE) 2015/61, oraz</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ypadku gdy:</w:t>
            </w:r>
          </w:p>
          <w:p w14:paraId="257B6268" w14:textId="3AFB7B2D" w:rsidR="001E06A3" w:rsidRPr="00835753" w:rsidRDefault="001E06A3" w:rsidP="00E70D84">
            <w:pPr>
              <w:pStyle w:val="TableParagraph"/>
              <w:numPr>
                <w:ilvl w:val="0"/>
                <w:numId w:val="37"/>
              </w:numPr>
              <w:spacing w:after="240"/>
              <w:ind w:left="714" w:hanging="357"/>
              <w:jc w:val="both"/>
              <w:rPr>
                <w:rFonts w:ascii="Times New Roman" w:hAnsi="Times New Roman"/>
                <w:sz w:val="24"/>
                <w:szCs w:val="24"/>
              </w:rPr>
            </w:pPr>
            <w:proofErr w:type="gramStart"/>
            <w:r w:rsidRPr="00835753">
              <w:rPr>
                <w:rFonts w:ascii="Times New Roman" w:hAnsi="Times New Roman"/>
                <w:sz w:val="24"/>
                <w:szCs w:val="24"/>
              </w:rPr>
              <w:t>depozyty</w:t>
            </w:r>
            <w:proofErr w:type="gramEnd"/>
            <w:r w:rsidRPr="00835753">
              <w:rPr>
                <w:rFonts w:ascii="Times New Roman" w:hAnsi="Times New Roman"/>
                <w:sz w:val="24"/>
                <w:szCs w:val="24"/>
              </w:rPr>
              <w:t xml:space="preserve"> te nie spełniają kryteriów dotyczących wyższego wskaźnika wypływów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25 ust.</w:t>
            </w:r>
            <w:r w:rsidR="00835753" w:rsidRPr="00835753">
              <w:rPr>
                <w:rFonts w:ascii="Times New Roman" w:hAnsi="Times New Roman"/>
                <w:sz w:val="24"/>
                <w:szCs w:val="24"/>
              </w:rPr>
              <w:t> </w:t>
            </w:r>
            <w:r w:rsidRPr="00835753">
              <w:rPr>
                <w:rFonts w:ascii="Times New Roman" w:hAnsi="Times New Roman"/>
                <w:sz w:val="24"/>
                <w:szCs w:val="24"/>
              </w:rPr>
              <w:t>2, 3</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5</w:t>
            </w:r>
            <w:r w:rsidRPr="00835753">
              <w:rPr>
                <w:rFonts w:ascii="Times New Roman" w:hAnsi="Times New Roman"/>
                <w:sz w:val="24"/>
                <w:szCs w:val="24"/>
              </w:rPr>
              <w:t xml:space="preserve"> rozporządzenia delegowanego Komisji (UE) 2015/61</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wów</w:t>
            </w:r>
            <w:r w:rsidRPr="00835753">
              <w:rPr>
                <w:rFonts w:ascii="Times New Roman" w:hAnsi="Times New Roman"/>
                <w:sz w:val="24"/>
                <w:szCs w:val="24"/>
              </w:rPr>
              <w:t xml:space="preserve">czas uwzględnia się je </w:t>
            </w:r>
            <w:r w:rsidRPr="00835753">
              <w:rPr>
                <w:rFonts w:ascii="Times New Roman" w:hAnsi="Times New Roman"/>
                <w:sz w:val="24"/>
                <w:szCs w:val="24"/>
              </w:rPr>
              <w:lastRenderedPageBreak/>
              <w:t>jako „mniej stabilne depozyty” lub</w:t>
            </w:r>
          </w:p>
          <w:p w14:paraId="097AE91B" w14:textId="52F8C397" w:rsidR="001E06A3" w:rsidRPr="00835753" w:rsidRDefault="001E06A3" w:rsidP="00E70D84">
            <w:pPr>
              <w:pStyle w:val="TableParagraph"/>
              <w:numPr>
                <w:ilvl w:val="0"/>
                <w:numId w:val="37"/>
              </w:numPr>
              <w:spacing w:after="240"/>
              <w:ind w:left="714" w:hanging="357"/>
              <w:jc w:val="both"/>
              <w:rPr>
                <w:rFonts w:ascii="Times New Roman" w:hAnsi="Times New Roman"/>
                <w:sz w:val="24"/>
                <w:szCs w:val="24"/>
              </w:rPr>
            </w:pPr>
            <w:proofErr w:type="gramStart"/>
            <w:r w:rsidRPr="00835753">
              <w:rPr>
                <w:rFonts w:ascii="Times New Roman" w:hAnsi="Times New Roman"/>
                <w:sz w:val="24"/>
                <w:szCs w:val="24"/>
              </w:rPr>
              <w:t>depozyty</w:t>
            </w:r>
            <w:proofErr w:type="gramEnd"/>
            <w:r w:rsidRPr="00835753">
              <w:rPr>
                <w:rFonts w:ascii="Times New Roman" w:hAnsi="Times New Roman"/>
                <w:sz w:val="24"/>
                <w:szCs w:val="24"/>
              </w:rPr>
              <w:t xml:space="preserve"> te nie zostały pozyskane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pań</w:t>
            </w:r>
            <w:r w:rsidRPr="00835753">
              <w:rPr>
                <w:rFonts w:ascii="Times New Roman" w:hAnsi="Times New Roman"/>
                <w:sz w:val="24"/>
                <w:szCs w:val="24"/>
              </w:rPr>
              <w:t>stwach trzecich,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któ</w:t>
            </w:r>
            <w:r w:rsidRPr="00835753">
              <w:rPr>
                <w:rFonts w:ascii="Times New Roman" w:hAnsi="Times New Roman"/>
                <w:sz w:val="24"/>
                <w:szCs w:val="24"/>
              </w:rPr>
              <w:t>rych stosuje się wyższy wskaźnik wypływów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25 ust.</w:t>
            </w:r>
            <w:r w:rsidR="00835753" w:rsidRPr="00835753">
              <w:rPr>
                <w:rFonts w:ascii="Times New Roman" w:hAnsi="Times New Roman"/>
                <w:sz w:val="24"/>
                <w:szCs w:val="24"/>
              </w:rPr>
              <w:t> </w:t>
            </w:r>
            <w:r w:rsidRPr="00835753">
              <w:rPr>
                <w:rFonts w:ascii="Times New Roman" w:hAnsi="Times New Roman"/>
                <w:sz w:val="24"/>
                <w:szCs w:val="24"/>
              </w:rPr>
              <w:t>5 rozporządzenia delegowanego Komisji (UE) 2015/61,</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wów</w:t>
            </w:r>
            <w:r w:rsidRPr="00835753">
              <w:rPr>
                <w:rFonts w:ascii="Times New Roman" w:hAnsi="Times New Roman"/>
                <w:sz w:val="24"/>
                <w:szCs w:val="24"/>
              </w:rPr>
              <w:t>czas uwzględnia się je jako „mniej stabilne depozyty”.</w:t>
            </w:r>
          </w:p>
        </w:tc>
      </w:tr>
      <w:tr w:rsidR="001E06A3" w:rsidRPr="00835753" w14:paraId="77A51963" w14:textId="77777777" w:rsidTr="00CB5E7D">
        <w:tc>
          <w:tcPr>
            <w:tcW w:w="1355" w:type="dxa"/>
          </w:tcPr>
          <w:p w14:paraId="72CAF92A"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lastRenderedPageBreak/>
              <w:t>6</w:t>
            </w:r>
          </w:p>
        </w:tc>
        <w:tc>
          <w:tcPr>
            <w:tcW w:w="7705" w:type="dxa"/>
          </w:tcPr>
          <w:p w14:paraId="6FC5ABB4" w14:textId="77777777"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Mniej stabilne depozyty detaliczne</w:t>
            </w:r>
          </w:p>
          <w:p w14:paraId="0D590484" w14:textId="77777777" w:rsidR="001E06A3" w:rsidRPr="00835753" w:rsidRDefault="001E06A3" w:rsidP="001E06A3">
            <w:pPr>
              <w:pStyle w:val="TableParagraph"/>
              <w:spacing w:after="240"/>
              <w:jc w:val="both"/>
              <w:rPr>
                <w:rFonts w:ascii="Times New Roman" w:hAnsi="Times New Roman"/>
                <w:sz w:val="24"/>
                <w:szCs w:val="24"/>
              </w:rPr>
            </w:pPr>
            <w:r w:rsidRPr="00835753">
              <w:rPr>
                <w:rFonts w:ascii="Times New Roman" w:hAnsi="Times New Roman"/>
                <w:sz w:val="24"/>
                <w:szCs w:val="24"/>
              </w:rPr>
              <w:t>Art. 428m CRR</w:t>
            </w:r>
          </w:p>
          <w:p w14:paraId="2B0EF3A0" w14:textId="306A7D5F"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Instytucje ujawniają kwotę innych depozytów detalicznych niż ujęte jako „stabilne depozyty detaliczne”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5 niniejszego wzoru.</w:t>
            </w:r>
          </w:p>
        </w:tc>
      </w:tr>
      <w:tr w:rsidR="001E06A3" w:rsidRPr="00835753" w14:paraId="216D727E" w14:textId="77777777" w:rsidTr="00CB5E7D">
        <w:tc>
          <w:tcPr>
            <w:tcW w:w="1355" w:type="dxa"/>
          </w:tcPr>
          <w:p w14:paraId="13CBEA1F"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7</w:t>
            </w:r>
          </w:p>
        </w:tc>
        <w:tc>
          <w:tcPr>
            <w:tcW w:w="7705" w:type="dxa"/>
          </w:tcPr>
          <w:p w14:paraId="10E1642E" w14:textId="77777777"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Finansowanie na rynku międzybankowym:</w:t>
            </w:r>
          </w:p>
          <w:p w14:paraId="31CD060A" w14:textId="30784B6A"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ujawniają sumę wierszy 8</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9</w:t>
            </w:r>
            <w:r w:rsidRPr="00835753">
              <w:rPr>
                <w:rFonts w:ascii="Times New Roman" w:hAnsi="Times New Roman"/>
                <w:sz w:val="24"/>
              </w:rPr>
              <w:t xml:space="preserve"> niniejszego wzoru.</w:t>
            </w:r>
          </w:p>
        </w:tc>
      </w:tr>
      <w:tr w:rsidR="001E06A3" w:rsidRPr="00835753" w14:paraId="200EB805" w14:textId="77777777" w:rsidTr="00CB5E7D">
        <w:tc>
          <w:tcPr>
            <w:tcW w:w="1355" w:type="dxa"/>
          </w:tcPr>
          <w:p w14:paraId="7ECE22D6"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8</w:t>
            </w:r>
          </w:p>
        </w:tc>
        <w:tc>
          <w:tcPr>
            <w:tcW w:w="7705" w:type="dxa"/>
          </w:tcPr>
          <w:p w14:paraId="451B6E7E" w14:textId="77777777" w:rsidR="001E06A3" w:rsidRPr="00835753" w:rsidRDefault="001E06A3" w:rsidP="001E06A3">
            <w:pPr>
              <w:spacing w:after="240"/>
              <w:jc w:val="both"/>
              <w:rPr>
                <w:rFonts w:ascii="Times New Roman" w:hAnsi="Times New Roman"/>
                <w:b/>
                <w:sz w:val="24"/>
                <w:u w:val="single"/>
              </w:rPr>
            </w:pPr>
            <w:r w:rsidRPr="00835753">
              <w:rPr>
                <w:rFonts w:ascii="Times New Roman" w:hAnsi="Times New Roman"/>
                <w:b/>
                <w:sz w:val="24"/>
              </w:rPr>
              <w:t>Depozyty operacyjne</w:t>
            </w:r>
          </w:p>
          <w:p w14:paraId="486AB043" w14:textId="13E539E3" w:rsidR="001E06A3" w:rsidRPr="00835753" w:rsidRDefault="001E06A3" w:rsidP="001E06A3">
            <w:pPr>
              <w:pStyle w:val="TableParagraph"/>
              <w:spacing w:after="240"/>
              <w:jc w:val="both"/>
              <w:rPr>
                <w:rFonts w:ascii="Times New Roman" w:hAnsi="Times New Roman"/>
                <w:sz w:val="24"/>
                <w:szCs w:val="24"/>
              </w:rPr>
            </w:pPr>
            <w:r w:rsidRPr="00835753">
              <w:rPr>
                <w:rFonts w:ascii="Times New Roman" w:hAnsi="Times New Roman"/>
                <w:sz w:val="24"/>
                <w:szCs w:val="24"/>
              </w:rPr>
              <w:t>Art. 428l lit.</w:t>
            </w:r>
            <w:r w:rsidR="00835753" w:rsidRPr="00835753">
              <w:rPr>
                <w:rFonts w:ascii="Times New Roman" w:hAnsi="Times New Roman"/>
                <w:sz w:val="24"/>
                <w:szCs w:val="24"/>
              </w:rPr>
              <w:t> </w:t>
            </w:r>
            <w:r w:rsidRPr="00835753">
              <w:rPr>
                <w:rFonts w:ascii="Times New Roman" w:hAnsi="Times New Roman"/>
                <w:sz w:val="24"/>
                <w:szCs w:val="24"/>
              </w:rPr>
              <w:t>a) CRR</w:t>
            </w:r>
          </w:p>
          <w:p w14:paraId="3FF8E809" w14:textId="235B7B23" w:rsidR="001E06A3" w:rsidRPr="00835753" w:rsidRDefault="001E06A3" w:rsidP="001E06A3">
            <w:pPr>
              <w:pStyle w:val="TableParagraph"/>
              <w:spacing w:after="240"/>
              <w:jc w:val="both"/>
              <w:rPr>
                <w:rFonts w:ascii="Times New Roman" w:hAnsi="Times New Roman"/>
                <w:sz w:val="24"/>
                <w:szCs w:val="24"/>
              </w:rPr>
            </w:pPr>
            <w:r w:rsidRPr="00835753">
              <w:rPr>
                <w:rFonts w:ascii="Times New Roman" w:hAnsi="Times New Roman"/>
                <w:sz w:val="24"/>
                <w:szCs w:val="24"/>
              </w:rPr>
              <w:t>W tej sekcji instytucje ujawniają część otrzymanych depozytów (zarówno od klientów finansowych, jak i od innych klientów niefinansowych) spełniających kryteria depozytów operacyjnych określone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27 rozporządzenia delegowanego Komisji (UE) 2015/61, która to część jest niezbędna do świadczenia usług operacyjnych</w:t>
            </w:r>
            <w:r w:rsidR="00835753" w:rsidRPr="00835753">
              <w:rPr>
                <w:rFonts w:ascii="Times New Roman" w:hAnsi="Times New Roman"/>
                <w:sz w:val="24"/>
                <w:szCs w:val="24"/>
              </w:rPr>
              <w:t>. W</w:t>
            </w:r>
            <w:r w:rsidR="00835753">
              <w:rPr>
                <w:rFonts w:ascii="Times New Roman" w:hAnsi="Times New Roman"/>
                <w:sz w:val="24"/>
                <w:szCs w:val="24"/>
              </w:rPr>
              <w:t> </w:t>
            </w:r>
            <w:r w:rsidR="00835753" w:rsidRPr="00835753">
              <w:rPr>
                <w:rFonts w:ascii="Times New Roman" w:hAnsi="Times New Roman"/>
                <w:sz w:val="24"/>
                <w:szCs w:val="24"/>
              </w:rPr>
              <w:t>tej</w:t>
            </w:r>
            <w:r w:rsidRPr="00835753">
              <w:rPr>
                <w:rFonts w:ascii="Times New Roman" w:hAnsi="Times New Roman"/>
                <w:sz w:val="24"/>
                <w:szCs w:val="24"/>
              </w:rPr>
              <w:t xml:space="preserve"> sekcji nie ujmuje się depozytów operacyjnych przekraczających kwotę niezbędną do świadczenia usług operacyjnych – takie depozyty należy uwzględnić</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 xml:space="preserve">rszu 9 „Pozostałe finansowanie na rynku międzybankowym” </w:t>
            </w:r>
            <w:r w:rsidRPr="00835753">
              <w:rPr>
                <w:rFonts w:ascii="Times New Roman" w:hAnsi="Times New Roman"/>
                <w:sz w:val="24"/>
              </w:rPr>
              <w:t>niniejszego wzoru</w:t>
            </w:r>
            <w:r w:rsidRPr="00835753">
              <w:rPr>
                <w:rFonts w:ascii="Times New Roman" w:hAnsi="Times New Roman"/>
                <w:sz w:val="24"/>
                <w:szCs w:val="24"/>
              </w:rPr>
              <w:t>.</w:t>
            </w:r>
          </w:p>
          <w:p w14:paraId="4AEA781C" w14:textId="20DA0A44" w:rsidR="001E06A3" w:rsidRPr="00835753" w:rsidRDefault="001E06A3" w:rsidP="001E06A3">
            <w:pPr>
              <w:pStyle w:val="TableParagraph"/>
              <w:spacing w:after="240"/>
              <w:jc w:val="both"/>
              <w:rPr>
                <w:rFonts w:ascii="Times New Roman" w:hAnsi="Times New Roman"/>
                <w:sz w:val="24"/>
                <w:szCs w:val="24"/>
              </w:rPr>
            </w:pPr>
            <w:r w:rsidRPr="00835753">
              <w:rPr>
                <w:rFonts w:ascii="Times New Roman" w:hAnsi="Times New Roman"/>
                <w:sz w:val="24"/>
                <w:szCs w:val="24"/>
              </w:rPr>
              <w:t>Depozyty powstałe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wyn</w:t>
            </w:r>
            <w:r w:rsidRPr="00835753">
              <w:rPr>
                <w:rFonts w:ascii="Times New Roman" w:hAnsi="Times New Roman"/>
                <w:sz w:val="24"/>
                <w:szCs w:val="24"/>
              </w:rPr>
              <w:t>iku relacji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zak</w:t>
            </w:r>
            <w:r w:rsidRPr="00835753">
              <w:rPr>
                <w:rFonts w:ascii="Times New Roman" w:hAnsi="Times New Roman"/>
                <w:sz w:val="24"/>
                <w:szCs w:val="24"/>
              </w:rPr>
              <w:t>resie bankowości korespondenckiej lub świadczenia usług brokerskich uznaje się za depozyty nieoperacyjne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27 ust.</w:t>
            </w:r>
            <w:r w:rsidR="00835753" w:rsidRPr="00835753">
              <w:rPr>
                <w:rFonts w:ascii="Times New Roman" w:hAnsi="Times New Roman"/>
                <w:sz w:val="24"/>
                <w:szCs w:val="24"/>
              </w:rPr>
              <w:t> </w:t>
            </w:r>
            <w:r w:rsidRPr="00835753">
              <w:rPr>
                <w:rFonts w:ascii="Times New Roman" w:hAnsi="Times New Roman"/>
                <w:sz w:val="24"/>
                <w:szCs w:val="24"/>
              </w:rPr>
              <w:t>5 rozporządzenia delegowanego Komisji (UE) 2015/61</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uja</w:t>
            </w:r>
            <w:r w:rsidRPr="00835753">
              <w:rPr>
                <w:rFonts w:ascii="Times New Roman" w:hAnsi="Times New Roman"/>
                <w:sz w:val="24"/>
                <w:szCs w:val="24"/>
              </w:rPr>
              <w:t>wnia się</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 xml:space="preserve">rszu 9 „Pozostałe finansowanie na rynku międzybankowym” </w:t>
            </w:r>
            <w:r w:rsidRPr="00835753">
              <w:rPr>
                <w:rFonts w:ascii="Times New Roman" w:hAnsi="Times New Roman"/>
                <w:sz w:val="24"/>
              </w:rPr>
              <w:t>niniejszego wzoru.</w:t>
            </w:r>
          </w:p>
        </w:tc>
      </w:tr>
      <w:tr w:rsidR="001E06A3" w:rsidRPr="00835753" w14:paraId="0B0DC7CE" w14:textId="77777777" w:rsidTr="00CB5E7D">
        <w:tc>
          <w:tcPr>
            <w:tcW w:w="1355" w:type="dxa"/>
          </w:tcPr>
          <w:p w14:paraId="6FB6563B"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9</w:t>
            </w:r>
          </w:p>
        </w:tc>
        <w:tc>
          <w:tcPr>
            <w:tcW w:w="7705" w:type="dxa"/>
          </w:tcPr>
          <w:p w14:paraId="4116FB09" w14:textId="77777777"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Pozostałe finansowanie na rynku międzybankowym</w:t>
            </w:r>
          </w:p>
          <w:p w14:paraId="29A96DCD" w14:textId="3245DA41"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Art. 428l lit.</w:t>
            </w:r>
            <w:r w:rsidR="00835753" w:rsidRPr="00835753">
              <w:rPr>
                <w:rFonts w:ascii="Times New Roman" w:hAnsi="Times New Roman"/>
                <w:sz w:val="24"/>
              </w:rPr>
              <w:t> </w:t>
            </w:r>
            <w:r w:rsidRPr="00835753">
              <w:rPr>
                <w:rFonts w:ascii="Times New Roman" w:hAnsi="Times New Roman"/>
                <w:sz w:val="24"/>
              </w:rPr>
              <w:t>b</w:t>
            </w:r>
            <w:proofErr w:type="gramStart"/>
            <w:r w:rsidRPr="00835753">
              <w:rPr>
                <w:rFonts w:ascii="Times New Roman" w:hAnsi="Times New Roman"/>
                <w:sz w:val="24"/>
              </w:rPr>
              <w:t>)–d</w:t>
            </w:r>
            <w:proofErr w:type="gramEnd"/>
            <w:r w:rsidRPr="00835753">
              <w:rPr>
                <w:rFonts w:ascii="Times New Roman" w:hAnsi="Times New Roman"/>
                <w:sz w:val="24"/>
              </w:rPr>
              <w:t>), art.</w:t>
            </w:r>
            <w:r w:rsidR="00835753" w:rsidRPr="00835753">
              <w:rPr>
                <w:rFonts w:ascii="Times New Roman" w:hAnsi="Times New Roman"/>
                <w:sz w:val="24"/>
              </w:rPr>
              <w:t> </w:t>
            </w:r>
            <w:r w:rsidRPr="00835753">
              <w:rPr>
                <w:rFonts w:ascii="Times New Roman" w:hAnsi="Times New Roman"/>
                <w:sz w:val="24"/>
              </w:rPr>
              <w:t>428g oraz art.</w:t>
            </w:r>
            <w:r w:rsidR="00835753" w:rsidRPr="00835753">
              <w:rPr>
                <w:rFonts w:ascii="Times New Roman" w:hAnsi="Times New Roman"/>
                <w:sz w:val="24"/>
              </w:rPr>
              <w:t> </w:t>
            </w:r>
            <w:r w:rsidRPr="00835753">
              <w:rPr>
                <w:rFonts w:ascii="Times New Roman" w:hAnsi="Times New Roman"/>
                <w:sz w:val="24"/>
              </w:rPr>
              <w:t>428k ust.</w:t>
            </w:r>
            <w:r w:rsidR="00835753" w:rsidRPr="00835753">
              <w:rPr>
                <w:rFonts w:ascii="Times New Roman" w:hAnsi="Times New Roman"/>
                <w:sz w:val="24"/>
              </w:rPr>
              <w:t> </w:t>
            </w:r>
            <w:r w:rsidRPr="00835753">
              <w:rPr>
                <w:rFonts w:ascii="Times New Roman" w:hAnsi="Times New Roman"/>
                <w:sz w:val="24"/>
              </w:rPr>
              <w:t>3 lit.</w:t>
            </w:r>
            <w:r w:rsidR="00835753" w:rsidRPr="00835753">
              <w:rPr>
                <w:rFonts w:ascii="Times New Roman" w:hAnsi="Times New Roman"/>
                <w:sz w:val="24"/>
              </w:rPr>
              <w:t> </w:t>
            </w:r>
            <w:r w:rsidRPr="00835753">
              <w:rPr>
                <w:rFonts w:ascii="Times New Roman" w:hAnsi="Times New Roman"/>
                <w:sz w:val="24"/>
              </w:rPr>
              <w:t>c) i d) CRR</w:t>
            </w:r>
          </w:p>
          <w:p w14:paraId="63E609AB" w14:textId="7BBC98E1"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ujawniają finansowanie na rynku międzybankowym inne niż kwota depozytów operacyjnych niezbędna do świadczenia usług operacyjnych. Obejmuje ono zobowiązania rządów centralnych, samorządów regionalnych, władz lokalnych, podmiotów sektora publicznego, wielostronnych banków rozwoju, organizacji międzynarodowych, banków centralnych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wsz</w:t>
            </w:r>
            <w:r w:rsidRPr="00835753">
              <w:rPr>
                <w:rFonts w:ascii="Times New Roman" w:hAnsi="Times New Roman"/>
                <w:sz w:val="24"/>
              </w:rPr>
              <w:t>elkich innych klientów niefinansowych lub finansowych, jak również zobowiązania,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 xml:space="preserve">ypadku </w:t>
            </w:r>
            <w:r w:rsidRPr="00835753">
              <w:rPr>
                <w:rFonts w:ascii="Times New Roman" w:hAnsi="Times New Roman"/>
                <w:sz w:val="24"/>
              </w:rPr>
              <w:lastRenderedPageBreak/>
              <w:t>gdy nie można zidentyfikować kontrahenta,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wyemitowane papiery wartościowe,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gdy nie można zidentyfikować ich posiadacza.</w:t>
            </w:r>
          </w:p>
        </w:tc>
      </w:tr>
      <w:tr w:rsidR="001E06A3" w:rsidRPr="00835753" w14:paraId="51A93DB5" w14:textId="77777777" w:rsidTr="00CB5E7D">
        <w:tc>
          <w:tcPr>
            <w:tcW w:w="1355" w:type="dxa"/>
          </w:tcPr>
          <w:p w14:paraId="2AB6E5C8"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lastRenderedPageBreak/>
              <w:t>10</w:t>
            </w:r>
          </w:p>
        </w:tc>
        <w:tc>
          <w:tcPr>
            <w:tcW w:w="7705" w:type="dxa"/>
          </w:tcPr>
          <w:p w14:paraId="4599E91F"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b/>
                <w:sz w:val="24"/>
              </w:rPr>
              <w:t>Zobowiązania współzależne</w:t>
            </w:r>
            <w:r w:rsidRPr="00835753">
              <w:rPr>
                <w:rFonts w:ascii="Times New Roman" w:hAnsi="Times New Roman"/>
                <w:sz w:val="24"/>
              </w:rPr>
              <w:t xml:space="preserve"> </w:t>
            </w:r>
          </w:p>
          <w:p w14:paraId="3C911E55" w14:textId="3CE6B43B" w:rsidR="001E06A3" w:rsidRPr="00835753" w:rsidRDefault="001E06A3" w:rsidP="001E06A3">
            <w:pPr>
              <w:pStyle w:val="TableParagraph"/>
              <w:spacing w:after="240"/>
              <w:jc w:val="both"/>
              <w:rPr>
                <w:rFonts w:ascii="Times New Roman" w:hAnsi="Times New Roman"/>
                <w:sz w:val="24"/>
                <w:szCs w:val="24"/>
              </w:rPr>
            </w:pPr>
            <w:r w:rsidRPr="00835753">
              <w:rPr>
                <w:rFonts w:ascii="Times New Roman" w:hAnsi="Times New Roman"/>
                <w:sz w:val="24"/>
                <w:szCs w:val="24"/>
              </w:rPr>
              <w:t>Art. 428k ust.</w:t>
            </w:r>
            <w:r w:rsidR="00835753" w:rsidRPr="00835753">
              <w:rPr>
                <w:rFonts w:ascii="Times New Roman" w:hAnsi="Times New Roman"/>
                <w:sz w:val="24"/>
                <w:szCs w:val="24"/>
              </w:rPr>
              <w:t> </w:t>
            </w:r>
            <w:r w:rsidRPr="00835753">
              <w:rPr>
                <w:rFonts w:ascii="Times New Roman" w:hAnsi="Times New Roman"/>
                <w:sz w:val="24"/>
                <w:szCs w:val="24"/>
              </w:rPr>
              <w:t>3 lit.</w:t>
            </w:r>
            <w:r w:rsidR="00835753" w:rsidRPr="00835753">
              <w:rPr>
                <w:rFonts w:ascii="Times New Roman" w:hAnsi="Times New Roman"/>
                <w:sz w:val="24"/>
                <w:szCs w:val="24"/>
              </w:rPr>
              <w:t> </w:t>
            </w:r>
            <w:r w:rsidRPr="00835753">
              <w:rPr>
                <w:rFonts w:ascii="Times New Roman" w:hAnsi="Times New Roman"/>
                <w:sz w:val="24"/>
                <w:szCs w:val="24"/>
              </w:rPr>
              <w:t>b) CRR</w:t>
            </w:r>
          </w:p>
          <w:p w14:paraId="26457514" w14:textId="247B1E1E" w:rsidR="001E06A3" w:rsidRPr="00835753" w:rsidRDefault="001E06A3" w:rsidP="001E06A3">
            <w:pPr>
              <w:pStyle w:val="TableParagraph"/>
              <w:spacing w:after="240"/>
              <w:jc w:val="both"/>
              <w:rPr>
                <w:rFonts w:ascii="Times New Roman" w:hAnsi="Times New Roman"/>
                <w:sz w:val="24"/>
              </w:rPr>
            </w:pPr>
            <w:r w:rsidRPr="00835753">
              <w:rPr>
                <w:rFonts w:ascii="Times New Roman" w:hAnsi="Times New Roman"/>
                <w:sz w:val="24"/>
                <w:szCs w:val="24"/>
              </w:rPr>
              <w:t>Instytucje ujawniają zobowiązania, które po zatwierdzeniu przez odpowiedni właściwy organ traktuje się jako współzależne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akt</w:t>
            </w:r>
            <w:r w:rsidRPr="00835753">
              <w:rPr>
                <w:rFonts w:ascii="Times New Roman" w:hAnsi="Times New Roman"/>
                <w:sz w:val="24"/>
                <w:szCs w:val="24"/>
              </w:rPr>
              <w:t>ywami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428f CRR.</w:t>
            </w:r>
          </w:p>
        </w:tc>
      </w:tr>
      <w:tr w:rsidR="001E06A3" w:rsidRPr="00835753" w14:paraId="7798E2F7" w14:textId="77777777" w:rsidTr="00CB5E7D">
        <w:tc>
          <w:tcPr>
            <w:tcW w:w="1355" w:type="dxa"/>
          </w:tcPr>
          <w:p w14:paraId="64B1207E"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11</w:t>
            </w:r>
          </w:p>
        </w:tc>
        <w:tc>
          <w:tcPr>
            <w:tcW w:w="7705" w:type="dxa"/>
          </w:tcPr>
          <w:p w14:paraId="7A387682" w14:textId="77777777"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 xml:space="preserve">Inne zobowiązania </w:t>
            </w:r>
          </w:p>
          <w:p w14:paraId="63275947" w14:textId="28DD59B6"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ujawniają sumę wierszy 12</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3 niniejszego wzoru.</w:t>
            </w:r>
          </w:p>
        </w:tc>
      </w:tr>
      <w:tr w:rsidR="001E06A3" w:rsidRPr="00835753" w14:paraId="43B6E696" w14:textId="77777777" w:rsidTr="00CB5E7D">
        <w:tc>
          <w:tcPr>
            <w:tcW w:w="1355" w:type="dxa"/>
          </w:tcPr>
          <w:p w14:paraId="3F480655"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12</w:t>
            </w:r>
          </w:p>
        </w:tc>
        <w:tc>
          <w:tcPr>
            <w:tcW w:w="7705" w:type="dxa"/>
          </w:tcPr>
          <w:p w14:paraId="4927B43C" w14:textId="2B860B49" w:rsidR="001E06A3" w:rsidRPr="00835753" w:rsidRDefault="001E06A3" w:rsidP="001E06A3">
            <w:pPr>
              <w:spacing w:after="240"/>
              <w:jc w:val="both"/>
              <w:rPr>
                <w:rFonts w:ascii="Times New Roman" w:hAnsi="Times New Roman"/>
                <w:b/>
                <w:sz w:val="24"/>
                <w:u w:val="single"/>
              </w:rPr>
            </w:pPr>
            <w:r w:rsidRPr="00835753">
              <w:rPr>
                <w:rFonts w:ascii="Times New Roman" w:hAnsi="Times New Roman"/>
                <w:b/>
                <w:sz w:val="24"/>
              </w:rPr>
              <w:t>Zobowiązania</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tyt</w:t>
            </w:r>
            <w:r w:rsidRPr="00835753">
              <w:rPr>
                <w:rFonts w:ascii="Times New Roman" w:hAnsi="Times New Roman"/>
                <w:b/>
                <w:sz w:val="24"/>
              </w:rPr>
              <w:t>ułu instrumentów pochodnych</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ram</w:t>
            </w:r>
            <w:r w:rsidRPr="00835753">
              <w:rPr>
                <w:rFonts w:ascii="Times New Roman" w:hAnsi="Times New Roman"/>
                <w:b/>
                <w:sz w:val="24"/>
              </w:rPr>
              <w:t>ach wskaźnika stabilnego finansowania netto</w:t>
            </w:r>
          </w:p>
          <w:p w14:paraId="133A34F8" w14:textId="612D8FC6" w:rsidR="001E06A3" w:rsidRPr="00835753" w:rsidRDefault="001E06A3" w:rsidP="001E06A3">
            <w:pPr>
              <w:pStyle w:val="TableParagraph"/>
              <w:spacing w:after="240"/>
              <w:jc w:val="both"/>
              <w:rPr>
                <w:rFonts w:ascii="Times New Roman" w:hAnsi="Times New Roman"/>
                <w:sz w:val="24"/>
                <w:szCs w:val="24"/>
              </w:rPr>
            </w:pPr>
            <w:r w:rsidRPr="00835753">
              <w:rPr>
                <w:rFonts w:ascii="Times New Roman" w:hAnsi="Times New Roman"/>
                <w:sz w:val="24"/>
                <w:szCs w:val="24"/>
              </w:rPr>
              <w:t>Art. 428k ust.</w:t>
            </w:r>
            <w:r w:rsidR="00835753" w:rsidRPr="00835753">
              <w:rPr>
                <w:rFonts w:ascii="Times New Roman" w:hAnsi="Times New Roman"/>
                <w:sz w:val="24"/>
                <w:szCs w:val="24"/>
              </w:rPr>
              <w:t> </w:t>
            </w:r>
            <w:r w:rsidRPr="00835753">
              <w:rPr>
                <w:rFonts w:ascii="Times New Roman" w:hAnsi="Times New Roman"/>
                <w:sz w:val="24"/>
                <w:szCs w:val="24"/>
              </w:rPr>
              <w:t>4 CRR</w:t>
            </w:r>
          </w:p>
          <w:p w14:paraId="3B0ED966" w14:textId="15C88D69"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Instytucje ujawniają bezwzględną kwotę ujemnej różnicy między pakietami kompensowania obliczonej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428k ust.</w:t>
            </w:r>
            <w:r w:rsidR="00835753" w:rsidRPr="00835753">
              <w:rPr>
                <w:rFonts w:ascii="Times New Roman" w:hAnsi="Times New Roman"/>
                <w:sz w:val="24"/>
              </w:rPr>
              <w:t> </w:t>
            </w:r>
            <w:r w:rsidRPr="00835753">
              <w:rPr>
                <w:rFonts w:ascii="Times New Roman" w:hAnsi="Times New Roman"/>
                <w:sz w:val="24"/>
              </w:rPr>
              <w:t>4 CRR.</w:t>
            </w:r>
          </w:p>
        </w:tc>
      </w:tr>
      <w:tr w:rsidR="001E06A3" w:rsidRPr="00835753" w14:paraId="544A711E" w14:textId="77777777" w:rsidTr="00CB5E7D">
        <w:tc>
          <w:tcPr>
            <w:tcW w:w="1355" w:type="dxa"/>
          </w:tcPr>
          <w:p w14:paraId="5AB8DBBC"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13</w:t>
            </w:r>
          </w:p>
        </w:tc>
        <w:tc>
          <w:tcPr>
            <w:tcW w:w="7705" w:type="dxa"/>
          </w:tcPr>
          <w:p w14:paraId="00D2B3F0" w14:textId="4A4A8DCA"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Wszystkie pozostałe zobowiązania</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trumenty kapitałowe nieujęte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pow</w:t>
            </w:r>
            <w:r w:rsidRPr="00835753">
              <w:rPr>
                <w:rFonts w:ascii="Times New Roman" w:hAnsi="Times New Roman"/>
                <w:b/>
                <w:sz w:val="24"/>
              </w:rPr>
              <w:t>yższych kategoriach</w:t>
            </w:r>
          </w:p>
          <w:p w14:paraId="2E4D9C3C" w14:textId="083DDD6B"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Art. 428k ust.</w:t>
            </w:r>
            <w:r w:rsidR="00835753" w:rsidRPr="00835753">
              <w:rPr>
                <w:rFonts w:ascii="Times New Roman" w:hAnsi="Times New Roman"/>
                <w:sz w:val="24"/>
              </w:rPr>
              <w:t> </w:t>
            </w:r>
            <w:r w:rsidRPr="00835753">
              <w:rPr>
                <w:rFonts w:ascii="Times New Roman" w:hAnsi="Times New Roman"/>
                <w:sz w:val="24"/>
              </w:rPr>
              <w:t>1 oraz art.</w:t>
            </w:r>
            <w:r w:rsidR="00835753" w:rsidRPr="00835753">
              <w:rPr>
                <w:rFonts w:ascii="Times New Roman" w:hAnsi="Times New Roman"/>
                <w:sz w:val="24"/>
              </w:rPr>
              <w:t> </w:t>
            </w:r>
            <w:r w:rsidRPr="00835753">
              <w:rPr>
                <w:rFonts w:ascii="Times New Roman" w:hAnsi="Times New Roman"/>
                <w:sz w:val="24"/>
              </w:rPr>
              <w:t>428k ust.</w:t>
            </w:r>
            <w:r w:rsidR="00835753" w:rsidRPr="00835753">
              <w:rPr>
                <w:rFonts w:ascii="Times New Roman" w:hAnsi="Times New Roman"/>
                <w:sz w:val="24"/>
              </w:rPr>
              <w:t> </w:t>
            </w:r>
            <w:r w:rsidRPr="00835753">
              <w:rPr>
                <w:rFonts w:ascii="Times New Roman" w:hAnsi="Times New Roman"/>
                <w:sz w:val="24"/>
              </w:rPr>
              <w:t>3 CRR</w:t>
            </w:r>
          </w:p>
          <w:p w14:paraId="726F7D6A"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ujawniają sumę następujących pozycji:</w:t>
            </w:r>
          </w:p>
          <w:p w14:paraId="3A2B4C1F" w14:textId="105078FE" w:rsidR="001E06A3" w:rsidRPr="00835753" w:rsidRDefault="001E06A3" w:rsidP="00E70D84">
            <w:pPr>
              <w:pStyle w:val="ListParagraph"/>
              <w:numPr>
                <w:ilvl w:val="0"/>
                <w:numId w:val="39"/>
              </w:numPr>
              <w:spacing w:after="240"/>
              <w:contextualSpacing/>
              <w:jc w:val="both"/>
              <w:rPr>
                <w:rFonts w:ascii="Times New Roman" w:hAnsi="Times New Roman"/>
                <w:sz w:val="24"/>
              </w:rPr>
            </w:pPr>
            <w:proofErr w:type="gramStart"/>
            <w:r w:rsidRPr="00835753">
              <w:rPr>
                <w:rFonts w:ascii="Times New Roman" w:hAnsi="Times New Roman"/>
                <w:sz w:val="24"/>
              </w:rPr>
              <w:t>zobowiązania</w:t>
            </w:r>
            <w:proofErr w:type="gramEnd"/>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dac</w:t>
            </w:r>
            <w:r w:rsidRPr="00835753">
              <w:rPr>
                <w:rFonts w:ascii="Times New Roman" w:hAnsi="Times New Roman"/>
                <w:sz w:val="24"/>
              </w:rPr>
              <w:t>ie zawarcia transakcji wynikające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upów instrumentów finansowych, walut obcych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tow</w:t>
            </w:r>
            <w:r w:rsidRPr="00835753">
              <w:rPr>
                <w:rFonts w:ascii="Times New Roman" w:hAnsi="Times New Roman"/>
                <w:sz w:val="24"/>
              </w:rPr>
              <w:t>arów,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których oczekuje się, że zostaną rozliczone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sta</w:t>
            </w:r>
            <w:r w:rsidRPr="00835753">
              <w:rPr>
                <w:rFonts w:ascii="Times New Roman" w:hAnsi="Times New Roman"/>
                <w:sz w:val="24"/>
              </w:rPr>
              <w:t>ndardowym cyklu lub okresie rozliczeniowym zwyczajowo stosowanym na odnośnej giełdzie lub do odnośnego rodzaju transakcji, lub których rozliczenie nie powiodło się, ale nadal oczekuje się, że zostaną rozliczone,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428k ust.</w:t>
            </w:r>
            <w:r w:rsidR="00835753" w:rsidRPr="00835753">
              <w:rPr>
                <w:rFonts w:ascii="Times New Roman" w:hAnsi="Times New Roman"/>
                <w:sz w:val="24"/>
              </w:rPr>
              <w:t> </w:t>
            </w:r>
            <w:r w:rsidRPr="00835753">
              <w:rPr>
                <w:rFonts w:ascii="Times New Roman" w:hAnsi="Times New Roman"/>
                <w:sz w:val="24"/>
              </w:rPr>
              <w:t>3 lit.</w:t>
            </w:r>
            <w:r w:rsidR="00835753" w:rsidRPr="00835753">
              <w:rPr>
                <w:rFonts w:ascii="Times New Roman" w:hAnsi="Times New Roman"/>
                <w:sz w:val="24"/>
              </w:rPr>
              <w:t> </w:t>
            </w:r>
            <w:r w:rsidRPr="00835753">
              <w:rPr>
                <w:rFonts w:ascii="Times New Roman" w:hAnsi="Times New Roman"/>
                <w:sz w:val="24"/>
              </w:rPr>
              <w:t>a) CRR;</w:t>
            </w:r>
          </w:p>
          <w:p w14:paraId="2A142631" w14:textId="3247F9BC" w:rsidR="001E06A3" w:rsidRPr="00835753" w:rsidRDefault="001E06A3" w:rsidP="00E70D84">
            <w:pPr>
              <w:pStyle w:val="ListParagraph"/>
              <w:numPr>
                <w:ilvl w:val="0"/>
                <w:numId w:val="39"/>
              </w:numPr>
              <w:spacing w:after="240"/>
              <w:contextualSpacing/>
              <w:jc w:val="both"/>
              <w:rPr>
                <w:rFonts w:ascii="Times New Roman" w:hAnsi="Times New Roman"/>
                <w:sz w:val="24"/>
              </w:rPr>
            </w:pPr>
            <w:proofErr w:type="gramStart"/>
            <w:r w:rsidRPr="00835753">
              <w:rPr>
                <w:rFonts w:ascii="Times New Roman" w:hAnsi="Times New Roman"/>
                <w:sz w:val="24"/>
              </w:rPr>
              <w:t>rezerwy</w:t>
            </w:r>
            <w:proofErr w:type="gramEnd"/>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 uznając najbliższą możliwą datę, kiedy ich kwotę można zrealizować, za rezydualny termin zapadalności,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428k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a) CRR;</w:t>
            </w:r>
          </w:p>
          <w:p w14:paraId="6209F2FA" w14:textId="6BD39CAE" w:rsidR="001E06A3" w:rsidRPr="00835753" w:rsidRDefault="001E06A3" w:rsidP="00E70D84">
            <w:pPr>
              <w:pStyle w:val="ListParagraph"/>
              <w:numPr>
                <w:ilvl w:val="0"/>
                <w:numId w:val="39"/>
              </w:numPr>
              <w:spacing w:after="240"/>
              <w:contextualSpacing/>
              <w:jc w:val="both"/>
              <w:rPr>
                <w:rFonts w:ascii="Times New Roman" w:hAnsi="Times New Roman"/>
                <w:sz w:val="24"/>
              </w:rPr>
            </w:pPr>
            <w:proofErr w:type="gramStart"/>
            <w:r w:rsidRPr="00835753">
              <w:rPr>
                <w:rFonts w:ascii="Times New Roman" w:hAnsi="Times New Roman"/>
                <w:sz w:val="24"/>
              </w:rPr>
              <w:t>udziały</w:t>
            </w:r>
            <w:proofErr w:type="gramEnd"/>
            <w:r w:rsidRPr="00835753">
              <w:rPr>
                <w:rFonts w:ascii="Times New Roman" w:hAnsi="Times New Roman"/>
                <w:sz w:val="24"/>
              </w:rPr>
              <w:t xml:space="preserve"> mniejszości, uznając termin instrumentu za rezydualny termin zapadalności,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428k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b) CRR oraz</w:t>
            </w:r>
          </w:p>
          <w:p w14:paraId="32BB3E1B" w14:textId="3CB76F62" w:rsidR="001E06A3" w:rsidRPr="00835753" w:rsidRDefault="001E06A3" w:rsidP="00E70D84">
            <w:pPr>
              <w:pStyle w:val="ListParagraph"/>
              <w:numPr>
                <w:ilvl w:val="0"/>
                <w:numId w:val="39"/>
              </w:numPr>
              <w:spacing w:after="240"/>
              <w:contextualSpacing/>
              <w:jc w:val="both"/>
              <w:rPr>
                <w:rFonts w:ascii="Times New Roman" w:hAnsi="Times New Roman"/>
                <w:sz w:val="24"/>
              </w:rPr>
            </w:pPr>
            <w:proofErr w:type="gramStart"/>
            <w:r w:rsidRPr="00835753">
              <w:rPr>
                <w:rFonts w:ascii="Times New Roman" w:hAnsi="Times New Roman"/>
                <w:sz w:val="24"/>
              </w:rPr>
              <w:t>pozostałe</w:t>
            </w:r>
            <w:proofErr w:type="gramEnd"/>
            <w:r w:rsidRPr="00835753">
              <w:rPr>
                <w:rFonts w:ascii="Times New Roman" w:hAnsi="Times New Roman"/>
                <w:sz w:val="24"/>
              </w:rPr>
              <w:t xml:space="preserve"> zobowiązania, na przykład pozycje krótkie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ycje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otw</w:t>
            </w:r>
            <w:r w:rsidRPr="00835753">
              <w:rPr>
                <w:rFonts w:ascii="Times New Roman" w:hAnsi="Times New Roman"/>
                <w:sz w:val="24"/>
              </w:rPr>
              <w:t>artym terminie zapadalności,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428k ust.</w:t>
            </w:r>
            <w:r w:rsidR="00835753" w:rsidRPr="00835753">
              <w:rPr>
                <w:rFonts w:ascii="Times New Roman" w:hAnsi="Times New Roman"/>
                <w:sz w:val="24"/>
              </w:rPr>
              <w:t> </w:t>
            </w:r>
            <w:r w:rsidRPr="00835753">
              <w:rPr>
                <w:rFonts w:ascii="Times New Roman" w:hAnsi="Times New Roman"/>
                <w:sz w:val="24"/>
              </w:rPr>
              <w:t>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428k ust.</w:t>
            </w:r>
            <w:r w:rsidR="00835753" w:rsidRPr="00835753">
              <w:rPr>
                <w:rFonts w:ascii="Times New Roman" w:hAnsi="Times New Roman"/>
                <w:sz w:val="24"/>
              </w:rPr>
              <w:t> </w:t>
            </w:r>
            <w:r w:rsidRPr="00835753">
              <w:rPr>
                <w:rFonts w:ascii="Times New Roman" w:hAnsi="Times New Roman"/>
                <w:sz w:val="24"/>
              </w:rPr>
              <w:t>3 CRR.</w:t>
            </w:r>
          </w:p>
        </w:tc>
      </w:tr>
      <w:tr w:rsidR="001E06A3" w:rsidRPr="00835753" w14:paraId="034F79BB" w14:textId="77777777" w:rsidTr="00CB5E7D">
        <w:tc>
          <w:tcPr>
            <w:tcW w:w="1355" w:type="dxa"/>
          </w:tcPr>
          <w:p w14:paraId="46E26789"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14</w:t>
            </w:r>
          </w:p>
        </w:tc>
        <w:tc>
          <w:tcPr>
            <w:tcW w:w="7705" w:type="dxa"/>
          </w:tcPr>
          <w:p w14:paraId="76AAD23A"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b/>
                <w:sz w:val="24"/>
              </w:rPr>
              <w:t>Całkowite dostępne stabilne finansowanie</w:t>
            </w:r>
          </w:p>
          <w:p w14:paraId="124FE4A6" w14:textId="77777777" w:rsidR="001E06A3" w:rsidRPr="00835753" w:rsidRDefault="001E06A3" w:rsidP="001E06A3">
            <w:pPr>
              <w:pStyle w:val="TableParagraph"/>
              <w:spacing w:after="240"/>
              <w:jc w:val="both"/>
              <w:rPr>
                <w:rFonts w:ascii="Times New Roman" w:eastAsia="Times New Roman" w:hAnsi="Times New Roman"/>
                <w:sz w:val="24"/>
                <w:szCs w:val="24"/>
              </w:rPr>
            </w:pPr>
            <w:r w:rsidRPr="00835753">
              <w:rPr>
                <w:rFonts w:ascii="Times New Roman" w:hAnsi="Times New Roman"/>
                <w:sz w:val="24"/>
                <w:szCs w:val="24"/>
              </w:rPr>
              <w:lastRenderedPageBreak/>
              <w:t>Część szósta tytuł IV rozdział 3 CRR</w:t>
            </w:r>
          </w:p>
          <w:p w14:paraId="1E03653C" w14:textId="132A3FC6" w:rsidR="001E06A3" w:rsidRPr="00835753" w:rsidRDefault="001E06A3" w:rsidP="001E06A3">
            <w:pPr>
              <w:pStyle w:val="TableParagraph"/>
              <w:spacing w:after="240"/>
              <w:jc w:val="both"/>
              <w:rPr>
                <w:rFonts w:ascii="Times New Roman" w:hAnsi="Times New Roman"/>
                <w:sz w:val="24"/>
              </w:rPr>
            </w:pPr>
            <w:r w:rsidRPr="00835753">
              <w:rPr>
                <w:rFonts w:ascii="Times New Roman" w:hAnsi="Times New Roman"/>
                <w:sz w:val="24"/>
                <w:szCs w:val="24"/>
              </w:rPr>
              <w:t>W tej sekcji instytucje ujawniają sumę pozycji zapewniających dostępne stabilne finansowanie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 xml:space="preserve">ścią szóstą tytuł IV rozdział 3 CRR (suma </w:t>
            </w:r>
            <w:r w:rsidRPr="00835753">
              <w:rPr>
                <w:rFonts w:ascii="Times New Roman" w:hAnsi="Times New Roman"/>
                <w:sz w:val="24"/>
              </w:rPr>
              <w:t>kwot</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szCs w:val="24"/>
              </w:rPr>
              <w:t>wie</w:t>
            </w:r>
            <w:r w:rsidRPr="00835753">
              <w:rPr>
                <w:rFonts w:ascii="Times New Roman" w:hAnsi="Times New Roman"/>
                <w:sz w:val="24"/>
                <w:szCs w:val="24"/>
              </w:rPr>
              <w:t>rszy 1, 4, 7, 10</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1</w:t>
            </w:r>
            <w:r w:rsidRPr="00835753">
              <w:rPr>
                <w:rFonts w:ascii="Times New Roman" w:hAnsi="Times New Roman"/>
                <w:sz w:val="24"/>
                <w:szCs w:val="24"/>
              </w:rPr>
              <w:t xml:space="preserve">1 </w:t>
            </w:r>
            <w:r w:rsidRPr="00835753">
              <w:rPr>
                <w:rFonts w:ascii="Times New Roman" w:hAnsi="Times New Roman"/>
                <w:sz w:val="24"/>
              </w:rPr>
              <w:t>niniejszego wzoru</w:t>
            </w:r>
            <w:r w:rsidRPr="00835753">
              <w:rPr>
                <w:rFonts w:ascii="Times New Roman" w:hAnsi="Times New Roman"/>
                <w:sz w:val="24"/>
                <w:szCs w:val="24"/>
              </w:rPr>
              <w:t>).</w:t>
            </w:r>
          </w:p>
        </w:tc>
      </w:tr>
      <w:tr w:rsidR="001E06A3" w:rsidRPr="00835753" w14:paraId="3B80FD70" w14:textId="77777777" w:rsidTr="00CB5E7D">
        <w:trPr>
          <w:trHeight w:val="567"/>
        </w:trPr>
        <w:tc>
          <w:tcPr>
            <w:tcW w:w="1355" w:type="dxa"/>
            <w:shd w:val="clear" w:color="auto" w:fill="D0CECE"/>
          </w:tcPr>
          <w:p w14:paraId="1AFDA0A0" w14:textId="77777777" w:rsidR="001E06A3" w:rsidRPr="00835753" w:rsidRDefault="001E06A3" w:rsidP="001E06A3">
            <w:pPr>
              <w:spacing w:after="240"/>
              <w:rPr>
                <w:rFonts w:ascii="Times New Roman" w:hAnsi="Times New Roman"/>
                <w:color w:val="000000" w:themeColor="text1"/>
                <w:sz w:val="24"/>
              </w:rPr>
            </w:pPr>
          </w:p>
        </w:tc>
        <w:tc>
          <w:tcPr>
            <w:tcW w:w="7705" w:type="dxa"/>
            <w:shd w:val="clear" w:color="auto" w:fill="D0CECE"/>
          </w:tcPr>
          <w:p w14:paraId="0F07DB9E" w14:textId="77777777" w:rsidR="001E06A3" w:rsidRPr="00835753" w:rsidRDefault="001E06A3" w:rsidP="001E06A3">
            <w:pPr>
              <w:spacing w:after="240"/>
              <w:rPr>
                <w:rFonts w:ascii="Times New Roman" w:hAnsi="Times New Roman"/>
                <w:b/>
                <w:color w:val="000000" w:themeColor="text1"/>
                <w:sz w:val="24"/>
              </w:rPr>
            </w:pPr>
            <w:r w:rsidRPr="00835753">
              <w:rPr>
                <w:rFonts w:ascii="Times New Roman" w:hAnsi="Times New Roman"/>
                <w:b/>
                <w:color w:val="000000" w:themeColor="text1"/>
                <w:sz w:val="24"/>
              </w:rPr>
              <w:t>Pozycje wymaganego stabilnego finansowania</w:t>
            </w:r>
          </w:p>
        </w:tc>
      </w:tr>
      <w:tr w:rsidR="001E06A3" w:rsidRPr="00835753" w14:paraId="30D38A5D" w14:textId="77777777" w:rsidTr="00CB5E7D">
        <w:tc>
          <w:tcPr>
            <w:tcW w:w="1355" w:type="dxa"/>
          </w:tcPr>
          <w:p w14:paraId="5E877EA3"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15</w:t>
            </w:r>
          </w:p>
        </w:tc>
        <w:tc>
          <w:tcPr>
            <w:tcW w:w="7705" w:type="dxa"/>
          </w:tcPr>
          <w:p w14:paraId="0F1221F6" w14:textId="77777777"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Całkowite aktywa płynne wysokiej jakości (HQLA)</w:t>
            </w:r>
          </w:p>
          <w:p w14:paraId="45AD9FAD" w14:textId="49238BF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uwzględniają również obciążone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wol</w:t>
            </w:r>
            <w:r w:rsidRPr="00835753">
              <w:rPr>
                <w:rFonts w:ascii="Times New Roman" w:hAnsi="Times New Roman"/>
                <w:sz w:val="24"/>
              </w:rPr>
              <w:t>ne od obciążeń aktywa płynne wysokiej jakości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delegowanym Komisji (UE) 2015/61, niezależnie od tego, czy spełniają one wymogi operacyjne,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8 wspomnianego rozporządzenia delegowanego,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428r–428ae CRR.</w:t>
            </w:r>
          </w:p>
        </w:tc>
      </w:tr>
      <w:tr w:rsidR="001E06A3" w:rsidRPr="00835753" w14:paraId="3B88071A" w14:textId="77777777" w:rsidTr="00CB5E7D">
        <w:tc>
          <w:tcPr>
            <w:tcW w:w="1355" w:type="dxa"/>
          </w:tcPr>
          <w:p w14:paraId="3E6FD572"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EU-15a</w:t>
            </w:r>
          </w:p>
        </w:tc>
        <w:tc>
          <w:tcPr>
            <w:tcW w:w="7705" w:type="dxa"/>
          </w:tcPr>
          <w:p w14:paraId="635C5113" w14:textId="67B8AD2C" w:rsidR="001E06A3" w:rsidRPr="00835753" w:rsidRDefault="001E06A3" w:rsidP="001E06A3">
            <w:pPr>
              <w:spacing w:after="240"/>
              <w:jc w:val="both"/>
              <w:rPr>
                <w:rFonts w:ascii="Times New Roman" w:hAnsi="Times New Roman"/>
                <w:sz w:val="24"/>
              </w:rPr>
            </w:pPr>
            <w:r w:rsidRPr="00835753">
              <w:rPr>
                <w:rFonts w:ascii="Times New Roman" w:hAnsi="Times New Roman"/>
                <w:b/>
                <w:sz w:val="24"/>
              </w:rPr>
              <w:t>Aktywa obciążone na rezydualny termin zapadalności wynoszący co najmniej jeden rok</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pul</w:t>
            </w:r>
            <w:r w:rsidRPr="00835753">
              <w:rPr>
                <w:rFonts w:ascii="Times New Roman" w:hAnsi="Times New Roman"/>
                <w:b/>
                <w:sz w:val="24"/>
              </w:rPr>
              <w:t>i aktywów stanowiących zabezpieczenie</w:t>
            </w:r>
          </w:p>
          <w:p w14:paraId="679F3DDC" w14:textId="73B29805" w:rsidR="001E06A3" w:rsidRPr="00835753" w:rsidRDefault="001E06A3" w:rsidP="001E06A3">
            <w:pPr>
              <w:pStyle w:val="TableParagraph"/>
              <w:spacing w:after="240"/>
              <w:jc w:val="both"/>
              <w:rPr>
                <w:rFonts w:ascii="Times New Roman" w:hAnsi="Times New Roman"/>
                <w:sz w:val="24"/>
                <w:szCs w:val="24"/>
              </w:rPr>
            </w:pPr>
            <w:r w:rsidRPr="00835753">
              <w:rPr>
                <w:rFonts w:ascii="Times New Roman" w:hAnsi="Times New Roman"/>
                <w:sz w:val="24"/>
                <w:szCs w:val="24"/>
              </w:rPr>
              <w:t>Art. 428ag lit.</w:t>
            </w:r>
            <w:r w:rsidR="00835753" w:rsidRPr="00835753">
              <w:rPr>
                <w:rFonts w:ascii="Times New Roman" w:hAnsi="Times New Roman"/>
                <w:sz w:val="24"/>
                <w:szCs w:val="24"/>
              </w:rPr>
              <w:t> </w:t>
            </w:r>
            <w:r w:rsidRPr="00835753">
              <w:rPr>
                <w:rFonts w:ascii="Times New Roman" w:hAnsi="Times New Roman"/>
                <w:sz w:val="24"/>
                <w:szCs w:val="24"/>
              </w:rPr>
              <w:t>h) CRR</w:t>
            </w:r>
          </w:p>
          <w:p w14:paraId="631519B4" w14:textId="31AFEE4F" w:rsidR="001E06A3" w:rsidRPr="00835753" w:rsidRDefault="001E06A3" w:rsidP="001E06A3">
            <w:pPr>
              <w:pStyle w:val="TableParagraph"/>
              <w:spacing w:after="240"/>
              <w:jc w:val="both"/>
              <w:rPr>
                <w:rFonts w:ascii="Times New Roman" w:hAnsi="Times New Roman"/>
                <w:sz w:val="24"/>
              </w:rPr>
            </w:pPr>
            <w:r w:rsidRPr="00835753">
              <w:rPr>
                <w:rFonts w:ascii="Times New Roman" w:hAnsi="Times New Roman"/>
                <w:sz w:val="24"/>
                <w:szCs w:val="24"/>
              </w:rPr>
              <w:t>W tej sekcji instytucje ujawniają kwotę środków pieniężnych należnych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pożyczek, których nie dotyczy niewykonanie zobowiązania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178 CRR, oraz aktywów płynnych, które są obciążone na rezydualny termin zapadalności wynoszący co najmniej jeden rok</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pul</w:t>
            </w:r>
            <w:r w:rsidRPr="00835753">
              <w:rPr>
                <w:rFonts w:ascii="Times New Roman" w:hAnsi="Times New Roman"/>
                <w:sz w:val="24"/>
                <w:szCs w:val="24"/>
              </w:rPr>
              <w:t>i aktywów stanowiących zabezpieczenie finansowanej</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obl</w:t>
            </w:r>
            <w:r w:rsidRPr="00835753">
              <w:rPr>
                <w:rFonts w:ascii="Times New Roman" w:hAnsi="Times New Roman"/>
                <w:sz w:val="24"/>
                <w:szCs w:val="24"/>
              </w:rPr>
              <w:t>igacji zabezpieczonych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52 ust.</w:t>
            </w:r>
            <w:r w:rsidR="00835753" w:rsidRPr="00835753">
              <w:rPr>
                <w:rFonts w:ascii="Times New Roman" w:hAnsi="Times New Roman"/>
                <w:sz w:val="24"/>
                <w:szCs w:val="24"/>
              </w:rPr>
              <w:t> </w:t>
            </w:r>
            <w:r w:rsidRPr="00835753">
              <w:rPr>
                <w:rFonts w:ascii="Times New Roman" w:hAnsi="Times New Roman"/>
                <w:sz w:val="24"/>
                <w:szCs w:val="24"/>
              </w:rPr>
              <w:t>4 dyrektywy 2009/65/WE</w:t>
            </w:r>
            <w:r w:rsidRPr="00835753">
              <w:rPr>
                <w:rStyle w:val="FootnoteReference"/>
                <w:rFonts w:ascii="Times New Roman" w:eastAsia="Times New Roman" w:hAnsi="Times New Roman"/>
                <w:sz w:val="24"/>
                <w:szCs w:val="24"/>
                <w:lang w:eastAsia="sv-SE"/>
              </w:rPr>
              <w:footnoteReference w:id="27"/>
            </w:r>
            <w:r w:rsidRPr="00835753">
              <w:rPr>
                <w:rFonts w:ascii="Times New Roman" w:hAnsi="Times New Roman"/>
                <w:sz w:val="24"/>
                <w:szCs w:val="24"/>
              </w:rPr>
              <w:t xml:space="preserve"> lub obligacji zabezpieczonych, które spełniają wymogi kwalifikowalności określone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129 ust.</w:t>
            </w:r>
            <w:r w:rsidR="00835753" w:rsidRPr="00835753">
              <w:rPr>
                <w:rFonts w:ascii="Times New Roman" w:hAnsi="Times New Roman"/>
                <w:sz w:val="24"/>
                <w:szCs w:val="24"/>
              </w:rPr>
              <w:t> </w:t>
            </w:r>
            <w:r w:rsidRPr="00835753">
              <w:rPr>
                <w:rFonts w:ascii="Times New Roman" w:hAnsi="Times New Roman"/>
                <w:sz w:val="24"/>
                <w:szCs w:val="24"/>
              </w:rPr>
              <w:t>4 lub</w:t>
            </w:r>
            <w:r w:rsidR="00835753" w:rsidRPr="00835753">
              <w:rPr>
                <w:rFonts w:ascii="Times New Roman" w:hAnsi="Times New Roman"/>
                <w:sz w:val="24"/>
                <w:szCs w:val="24"/>
              </w:rPr>
              <w:t> </w:t>
            </w:r>
            <w:r w:rsidRPr="00835753">
              <w:rPr>
                <w:rFonts w:ascii="Times New Roman" w:hAnsi="Times New Roman"/>
                <w:sz w:val="24"/>
                <w:szCs w:val="24"/>
              </w:rPr>
              <w:t>5 CRR.</w:t>
            </w:r>
          </w:p>
        </w:tc>
      </w:tr>
      <w:tr w:rsidR="001E06A3" w:rsidRPr="00835753" w14:paraId="0EAD5EF9" w14:textId="77777777" w:rsidTr="00CB5E7D">
        <w:tc>
          <w:tcPr>
            <w:tcW w:w="1355" w:type="dxa"/>
          </w:tcPr>
          <w:p w14:paraId="6C853BD2"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16</w:t>
            </w:r>
          </w:p>
        </w:tc>
        <w:tc>
          <w:tcPr>
            <w:tcW w:w="7705" w:type="dxa"/>
          </w:tcPr>
          <w:p w14:paraId="4E54DD27" w14:textId="2437AC3B"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Depozyty utrzymywane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inn</w:t>
            </w:r>
            <w:r w:rsidRPr="00835753">
              <w:rPr>
                <w:rFonts w:ascii="Times New Roman" w:hAnsi="Times New Roman"/>
                <w:b/>
                <w:sz w:val="24"/>
              </w:rPr>
              <w:t>ych instytucjach finansowych do celów operacyjnych</w:t>
            </w:r>
          </w:p>
          <w:p w14:paraId="28B4F05E" w14:textId="5E07835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Art. 428ad lit.</w:t>
            </w:r>
            <w:r w:rsidR="00835753" w:rsidRPr="00835753">
              <w:rPr>
                <w:rFonts w:ascii="Times New Roman" w:hAnsi="Times New Roman"/>
                <w:sz w:val="24"/>
              </w:rPr>
              <w:t> </w:t>
            </w:r>
            <w:r w:rsidRPr="00835753">
              <w:rPr>
                <w:rFonts w:ascii="Times New Roman" w:hAnsi="Times New Roman"/>
                <w:sz w:val="24"/>
              </w:rPr>
              <w:t>b) CRR</w:t>
            </w:r>
          </w:p>
          <w:p w14:paraId="40761FC3" w14:textId="02F0804F"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ujawniają kwoty środków pieniężnych należnych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pożyczek, których nie dotyczy niewykonanie zobowiązania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178 CRR, które stanowią depozyty operacyjne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delegowanym Komisji (UE) 2015/61 i są niezbędne do świadczenia usług operacyjnych.</w:t>
            </w:r>
          </w:p>
        </w:tc>
      </w:tr>
      <w:tr w:rsidR="001E06A3" w:rsidRPr="00835753" w14:paraId="6BF89581" w14:textId="77777777" w:rsidTr="00CB5E7D">
        <w:tc>
          <w:tcPr>
            <w:tcW w:w="1355" w:type="dxa"/>
          </w:tcPr>
          <w:p w14:paraId="2C2135D9"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17</w:t>
            </w:r>
          </w:p>
        </w:tc>
        <w:tc>
          <w:tcPr>
            <w:tcW w:w="7705" w:type="dxa"/>
          </w:tcPr>
          <w:p w14:paraId="111B92F0" w14:textId="58D1AAA5"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Obsługiwane kredyty</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pap</w:t>
            </w:r>
            <w:r w:rsidRPr="00835753">
              <w:rPr>
                <w:rFonts w:ascii="Times New Roman" w:hAnsi="Times New Roman"/>
                <w:b/>
                <w:sz w:val="24"/>
              </w:rPr>
              <w:t>iery wartościowe:</w:t>
            </w:r>
          </w:p>
          <w:p w14:paraId="69E0B124" w14:textId="4B76488B"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ujawniają sumę wierszy 18, 19, 20, 22</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2</w:t>
            </w:r>
            <w:r w:rsidRPr="00835753">
              <w:rPr>
                <w:rFonts w:ascii="Times New Roman" w:hAnsi="Times New Roman"/>
                <w:sz w:val="24"/>
              </w:rPr>
              <w:t>4 niniejszego wzoru.</w:t>
            </w:r>
          </w:p>
        </w:tc>
      </w:tr>
      <w:tr w:rsidR="001E06A3" w:rsidRPr="00835753" w14:paraId="57AA25FE" w14:textId="77777777" w:rsidTr="00CB5E7D">
        <w:tc>
          <w:tcPr>
            <w:tcW w:w="1355" w:type="dxa"/>
          </w:tcPr>
          <w:p w14:paraId="3A8C777D"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lastRenderedPageBreak/>
              <w:t>18</w:t>
            </w:r>
          </w:p>
        </w:tc>
        <w:tc>
          <w:tcPr>
            <w:tcW w:w="7705" w:type="dxa"/>
          </w:tcPr>
          <w:p w14:paraId="39D0D98A" w14:textId="1E7BC0A1" w:rsidR="001E06A3" w:rsidRPr="00835753" w:rsidRDefault="001E06A3" w:rsidP="001E06A3">
            <w:pPr>
              <w:spacing w:after="240"/>
              <w:jc w:val="both"/>
              <w:rPr>
                <w:rFonts w:ascii="Times New Roman" w:hAnsi="Times New Roman"/>
                <w:sz w:val="24"/>
              </w:rPr>
            </w:pPr>
            <w:r w:rsidRPr="00835753">
              <w:rPr>
                <w:rFonts w:ascii="Times New Roman" w:hAnsi="Times New Roman"/>
                <w:b/>
                <w:sz w:val="24"/>
              </w:rPr>
              <w:t>Obsługiwane transakcje finansowane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uży</w:t>
            </w:r>
            <w:r w:rsidRPr="00835753">
              <w:rPr>
                <w:rFonts w:ascii="Times New Roman" w:hAnsi="Times New Roman"/>
                <w:b/>
                <w:sz w:val="24"/>
              </w:rPr>
              <w:t>ciem papierów wartościowych</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kli</w:t>
            </w:r>
            <w:r w:rsidRPr="00835753">
              <w:rPr>
                <w:rFonts w:ascii="Times New Roman" w:hAnsi="Times New Roman"/>
                <w:b/>
                <w:sz w:val="24"/>
              </w:rPr>
              <w:t>entami finansowymi zabezpieczone aktywami płynnymi wysokiej jakości poziomu 1</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zas</w:t>
            </w:r>
            <w:r w:rsidRPr="00835753">
              <w:rPr>
                <w:rFonts w:ascii="Times New Roman" w:hAnsi="Times New Roman"/>
                <w:b/>
                <w:sz w:val="24"/>
              </w:rPr>
              <w:t>tosowaniem redukcji wartości równej 0</w:t>
            </w:r>
            <w:r w:rsidR="00835753" w:rsidRPr="00835753">
              <w:rPr>
                <w:rFonts w:ascii="Times New Roman" w:hAnsi="Times New Roman"/>
                <w:b/>
                <w:sz w:val="24"/>
              </w:rPr>
              <w:t> </w:t>
            </w:r>
            <w:r w:rsidRPr="00835753">
              <w:rPr>
                <w:rFonts w:ascii="Times New Roman" w:hAnsi="Times New Roman"/>
                <w:b/>
                <w:sz w:val="24"/>
              </w:rPr>
              <w:t>%</w:t>
            </w:r>
          </w:p>
          <w:p w14:paraId="1C3668E3" w14:textId="5339F800" w:rsidR="001E06A3" w:rsidRPr="00835753" w:rsidRDefault="001E06A3" w:rsidP="001E06A3">
            <w:pPr>
              <w:spacing w:after="240"/>
              <w:jc w:val="both"/>
            </w:pPr>
            <w:r w:rsidRPr="00835753">
              <w:rPr>
                <w:rFonts w:ascii="Times New Roman" w:hAnsi="Times New Roman"/>
                <w:sz w:val="24"/>
              </w:rPr>
              <w:t>Art. 428e, art.</w:t>
            </w:r>
            <w:r w:rsidR="00835753" w:rsidRPr="00835753">
              <w:rPr>
                <w:rFonts w:ascii="Times New Roman" w:hAnsi="Times New Roman"/>
                <w:sz w:val="24"/>
              </w:rPr>
              <w:t> </w:t>
            </w:r>
            <w:r w:rsidRPr="00835753">
              <w:rPr>
                <w:rFonts w:ascii="Times New Roman" w:hAnsi="Times New Roman"/>
                <w:sz w:val="24"/>
              </w:rPr>
              <w:t>428r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g) oraz art.</w:t>
            </w:r>
            <w:r w:rsidR="00835753" w:rsidRPr="00835753">
              <w:rPr>
                <w:rFonts w:ascii="Times New Roman" w:hAnsi="Times New Roman"/>
                <w:sz w:val="24"/>
              </w:rPr>
              <w:t> </w:t>
            </w:r>
            <w:r w:rsidRPr="00835753">
              <w:rPr>
                <w:rFonts w:ascii="Times New Roman" w:hAnsi="Times New Roman"/>
                <w:sz w:val="24"/>
              </w:rPr>
              <w:t>428s lit.</w:t>
            </w:r>
            <w:r w:rsidR="00835753" w:rsidRPr="00835753">
              <w:rPr>
                <w:rFonts w:ascii="Times New Roman" w:hAnsi="Times New Roman"/>
                <w:sz w:val="24"/>
              </w:rPr>
              <w:t> </w:t>
            </w:r>
            <w:r w:rsidRPr="00835753">
              <w:rPr>
                <w:rFonts w:ascii="Times New Roman" w:hAnsi="Times New Roman"/>
                <w:sz w:val="24"/>
              </w:rPr>
              <w:t>b) CRR</w:t>
            </w:r>
          </w:p>
          <w:p w14:paraId="6E629990" w14:textId="45C83AAB"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ujawniają kwotę środków pieniężnych należnych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transakcji finansowanych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uży</w:t>
            </w:r>
            <w:r w:rsidRPr="00835753">
              <w:rPr>
                <w:rFonts w:ascii="Times New Roman" w:hAnsi="Times New Roman"/>
                <w:sz w:val="24"/>
              </w:rPr>
              <w:t>ciem papierów wartościowych, których nie dotyczy niewykonanie zobowiązania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178 CRR, zawartych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kli</w:t>
            </w:r>
            <w:r w:rsidRPr="00835753">
              <w:rPr>
                <w:rFonts w:ascii="Times New Roman" w:hAnsi="Times New Roman"/>
                <w:sz w:val="24"/>
              </w:rPr>
              <w:t>entami finansowymi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re są zabezpieczone aktywami poziomu 1 kwalifikującymi się do redukcji wartości wynoszącej 0</w:t>
            </w:r>
            <w:r w:rsidR="00835753" w:rsidRPr="00835753">
              <w:rPr>
                <w:rFonts w:ascii="Times New Roman" w:hAnsi="Times New Roman"/>
                <w:sz w:val="24"/>
              </w:rPr>
              <w:t> </w:t>
            </w:r>
            <w:r w:rsidRPr="00835753">
              <w:rPr>
                <w:rFonts w:ascii="Times New Roman" w:hAnsi="Times New Roman"/>
                <w:sz w:val="24"/>
              </w:rPr>
              <w:t>%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delegowanym Komisji (UE) 2015/61.</w:t>
            </w:r>
          </w:p>
        </w:tc>
      </w:tr>
      <w:tr w:rsidR="001E06A3" w:rsidRPr="00835753" w14:paraId="2BD49200" w14:textId="77777777" w:rsidTr="00CB5E7D">
        <w:tc>
          <w:tcPr>
            <w:tcW w:w="1355" w:type="dxa"/>
          </w:tcPr>
          <w:p w14:paraId="358064B4"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19</w:t>
            </w:r>
          </w:p>
        </w:tc>
        <w:tc>
          <w:tcPr>
            <w:tcW w:w="7705" w:type="dxa"/>
          </w:tcPr>
          <w:p w14:paraId="19A428A8" w14:textId="10EFB617" w:rsidR="001E06A3" w:rsidRPr="00835753" w:rsidRDefault="001E06A3" w:rsidP="001E06A3">
            <w:pPr>
              <w:pStyle w:val="TableParagraph"/>
              <w:spacing w:after="240"/>
              <w:ind w:right="96"/>
              <w:jc w:val="both"/>
              <w:rPr>
                <w:rFonts w:ascii="Times New Roman" w:hAnsi="Times New Roman"/>
                <w:sz w:val="24"/>
                <w:szCs w:val="24"/>
              </w:rPr>
            </w:pPr>
            <w:r w:rsidRPr="00835753">
              <w:rPr>
                <w:rFonts w:ascii="Times New Roman" w:hAnsi="Times New Roman"/>
                <w:b/>
                <w:sz w:val="24"/>
                <w:szCs w:val="24"/>
              </w:rPr>
              <w:t>Obsługiwane transakcje finansowane</w:t>
            </w:r>
            <w:r w:rsidR="00835753" w:rsidRPr="00835753">
              <w:rPr>
                <w:rFonts w:ascii="Times New Roman" w:hAnsi="Times New Roman"/>
                <w:b/>
                <w:sz w:val="24"/>
                <w:szCs w:val="24"/>
              </w:rPr>
              <w:t xml:space="preserve"> z</w:t>
            </w:r>
            <w:r w:rsidR="00835753">
              <w:rPr>
                <w:rFonts w:ascii="Times New Roman" w:hAnsi="Times New Roman"/>
                <w:b/>
                <w:sz w:val="24"/>
                <w:szCs w:val="24"/>
              </w:rPr>
              <w:t> </w:t>
            </w:r>
            <w:r w:rsidR="00835753" w:rsidRPr="00835753">
              <w:rPr>
                <w:rFonts w:ascii="Times New Roman" w:hAnsi="Times New Roman"/>
                <w:b/>
                <w:sz w:val="24"/>
                <w:szCs w:val="24"/>
              </w:rPr>
              <w:t>uży</w:t>
            </w:r>
            <w:r w:rsidRPr="00835753">
              <w:rPr>
                <w:rFonts w:ascii="Times New Roman" w:hAnsi="Times New Roman"/>
                <w:b/>
                <w:sz w:val="24"/>
                <w:szCs w:val="24"/>
              </w:rPr>
              <w:t>ciem papierów wartościowych</w:t>
            </w:r>
            <w:r w:rsidR="00835753" w:rsidRPr="00835753">
              <w:rPr>
                <w:rFonts w:ascii="Times New Roman" w:hAnsi="Times New Roman"/>
                <w:b/>
                <w:sz w:val="24"/>
                <w:szCs w:val="24"/>
              </w:rPr>
              <w:t xml:space="preserve"> z</w:t>
            </w:r>
            <w:r w:rsidR="00835753">
              <w:rPr>
                <w:rFonts w:ascii="Times New Roman" w:hAnsi="Times New Roman"/>
                <w:b/>
                <w:sz w:val="24"/>
                <w:szCs w:val="24"/>
              </w:rPr>
              <w:t> </w:t>
            </w:r>
            <w:r w:rsidR="00835753" w:rsidRPr="00835753">
              <w:rPr>
                <w:rFonts w:ascii="Times New Roman" w:hAnsi="Times New Roman"/>
                <w:b/>
                <w:sz w:val="24"/>
                <w:szCs w:val="24"/>
              </w:rPr>
              <w:t>kli</w:t>
            </w:r>
            <w:r w:rsidRPr="00835753">
              <w:rPr>
                <w:rFonts w:ascii="Times New Roman" w:hAnsi="Times New Roman"/>
                <w:b/>
                <w:sz w:val="24"/>
                <w:szCs w:val="24"/>
              </w:rPr>
              <w:t>entem finansowym zabezpieczone innymi aktywami oraz pożyczkami</w:t>
            </w:r>
            <w:r w:rsidR="00835753" w:rsidRPr="00835753">
              <w:rPr>
                <w:rFonts w:ascii="Times New Roman" w:hAnsi="Times New Roman"/>
                <w:b/>
                <w:sz w:val="24"/>
                <w:szCs w:val="24"/>
              </w:rPr>
              <w:t xml:space="preserve"> i</w:t>
            </w:r>
            <w:r w:rsidR="00835753">
              <w:rPr>
                <w:rFonts w:ascii="Times New Roman" w:hAnsi="Times New Roman"/>
                <w:b/>
                <w:sz w:val="24"/>
                <w:szCs w:val="24"/>
              </w:rPr>
              <w:t> </w:t>
            </w:r>
            <w:r w:rsidR="00835753" w:rsidRPr="00835753">
              <w:rPr>
                <w:rFonts w:ascii="Times New Roman" w:hAnsi="Times New Roman"/>
                <w:b/>
                <w:sz w:val="24"/>
                <w:szCs w:val="24"/>
              </w:rPr>
              <w:t>zal</w:t>
            </w:r>
            <w:r w:rsidRPr="00835753">
              <w:rPr>
                <w:rFonts w:ascii="Times New Roman" w:hAnsi="Times New Roman"/>
                <w:b/>
                <w:sz w:val="24"/>
                <w:szCs w:val="24"/>
              </w:rPr>
              <w:t>iczkami na rzecz instytucji finansowych</w:t>
            </w:r>
          </w:p>
          <w:p w14:paraId="49B871A6" w14:textId="2766B3E5" w:rsidR="001E06A3" w:rsidRPr="00835753" w:rsidRDefault="001E06A3" w:rsidP="001E06A3">
            <w:pPr>
              <w:pStyle w:val="TableParagraph"/>
              <w:spacing w:after="240"/>
              <w:ind w:right="96"/>
              <w:jc w:val="both"/>
              <w:rPr>
                <w:rFonts w:ascii="Times New Roman" w:hAnsi="Times New Roman"/>
                <w:sz w:val="24"/>
              </w:rPr>
            </w:pPr>
            <w:r w:rsidRPr="00835753">
              <w:rPr>
                <w:rFonts w:ascii="Times New Roman" w:hAnsi="Times New Roman"/>
                <w:sz w:val="24"/>
                <w:szCs w:val="24"/>
              </w:rPr>
              <w:t>Art. 428s lit.</w:t>
            </w:r>
            <w:r w:rsidR="00835753" w:rsidRPr="00835753">
              <w:rPr>
                <w:rFonts w:ascii="Times New Roman" w:hAnsi="Times New Roman"/>
                <w:sz w:val="24"/>
                <w:szCs w:val="24"/>
              </w:rPr>
              <w:t> </w:t>
            </w:r>
            <w:r w:rsidRPr="00835753">
              <w:rPr>
                <w:rFonts w:ascii="Times New Roman" w:hAnsi="Times New Roman"/>
                <w:sz w:val="24"/>
                <w:szCs w:val="24"/>
              </w:rPr>
              <w:t>b), art.</w:t>
            </w:r>
            <w:r w:rsidR="00835753" w:rsidRPr="00835753">
              <w:rPr>
                <w:rFonts w:ascii="Times New Roman" w:hAnsi="Times New Roman"/>
                <w:sz w:val="24"/>
                <w:szCs w:val="24"/>
              </w:rPr>
              <w:t> </w:t>
            </w:r>
            <w:r w:rsidRPr="00835753">
              <w:rPr>
                <w:rFonts w:ascii="Times New Roman" w:hAnsi="Times New Roman"/>
                <w:sz w:val="24"/>
                <w:szCs w:val="24"/>
              </w:rPr>
              <w:t>428ad lit.</w:t>
            </w:r>
            <w:r w:rsidR="00835753" w:rsidRPr="00835753">
              <w:rPr>
                <w:rFonts w:ascii="Times New Roman" w:hAnsi="Times New Roman"/>
                <w:sz w:val="24"/>
                <w:szCs w:val="24"/>
              </w:rPr>
              <w:t> </w:t>
            </w:r>
            <w:r w:rsidRPr="00835753">
              <w:rPr>
                <w:rFonts w:ascii="Times New Roman" w:hAnsi="Times New Roman"/>
                <w:sz w:val="24"/>
                <w:szCs w:val="24"/>
              </w:rPr>
              <w:t>d), art.</w:t>
            </w:r>
            <w:r w:rsidR="00835753" w:rsidRPr="00835753">
              <w:rPr>
                <w:rFonts w:ascii="Times New Roman" w:hAnsi="Times New Roman"/>
                <w:sz w:val="24"/>
                <w:szCs w:val="24"/>
              </w:rPr>
              <w:t> </w:t>
            </w:r>
            <w:r w:rsidRPr="00835753">
              <w:rPr>
                <w:rFonts w:ascii="Times New Roman" w:hAnsi="Times New Roman"/>
                <w:sz w:val="24"/>
                <w:szCs w:val="24"/>
              </w:rPr>
              <w:t>428ah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b) oraz art.</w:t>
            </w:r>
            <w:r w:rsidR="00835753" w:rsidRPr="00835753">
              <w:rPr>
                <w:rFonts w:ascii="Times New Roman" w:hAnsi="Times New Roman"/>
                <w:sz w:val="24"/>
                <w:szCs w:val="24"/>
              </w:rPr>
              <w:t> </w:t>
            </w:r>
            <w:r w:rsidRPr="00835753">
              <w:rPr>
                <w:rFonts w:ascii="Times New Roman" w:hAnsi="Times New Roman"/>
                <w:sz w:val="24"/>
                <w:szCs w:val="24"/>
              </w:rPr>
              <w:t>428v lit.</w:t>
            </w:r>
            <w:r w:rsidR="00835753" w:rsidRPr="00835753">
              <w:rPr>
                <w:rFonts w:ascii="Times New Roman" w:hAnsi="Times New Roman"/>
                <w:sz w:val="24"/>
                <w:szCs w:val="24"/>
              </w:rPr>
              <w:t> </w:t>
            </w:r>
            <w:r w:rsidRPr="00835753">
              <w:rPr>
                <w:rFonts w:ascii="Times New Roman" w:hAnsi="Times New Roman"/>
                <w:sz w:val="24"/>
                <w:szCs w:val="24"/>
              </w:rPr>
              <w:t>a) CRR</w:t>
            </w:r>
          </w:p>
          <w:p w14:paraId="43ECC51F"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ujawniają sumę następujących pozycji:</w:t>
            </w:r>
          </w:p>
          <w:p w14:paraId="6D530B9A" w14:textId="5379E86A" w:rsidR="001E06A3" w:rsidRPr="00835753" w:rsidRDefault="001E06A3" w:rsidP="00E70D84">
            <w:pPr>
              <w:pStyle w:val="ListParagraph"/>
              <w:numPr>
                <w:ilvl w:val="0"/>
                <w:numId w:val="38"/>
              </w:numPr>
              <w:spacing w:after="240"/>
              <w:contextualSpacing/>
              <w:jc w:val="both"/>
              <w:rPr>
                <w:rFonts w:ascii="Times New Roman" w:hAnsi="Times New Roman"/>
                <w:sz w:val="24"/>
              </w:rPr>
            </w:pPr>
            <w:proofErr w:type="gramStart"/>
            <w:r w:rsidRPr="00835753">
              <w:rPr>
                <w:rFonts w:ascii="Times New Roman" w:hAnsi="Times New Roman"/>
                <w:sz w:val="24"/>
              </w:rPr>
              <w:t>kwota</w:t>
            </w:r>
            <w:proofErr w:type="gramEnd"/>
            <w:r w:rsidRPr="00835753">
              <w:rPr>
                <w:rFonts w:ascii="Times New Roman" w:hAnsi="Times New Roman"/>
                <w:sz w:val="24"/>
              </w:rPr>
              <w:t xml:space="preserve"> środków pieniężnych należnych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transakcji finansowanych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uży</w:t>
            </w:r>
            <w:r w:rsidRPr="00835753">
              <w:rPr>
                <w:rFonts w:ascii="Times New Roman" w:hAnsi="Times New Roman"/>
                <w:sz w:val="24"/>
              </w:rPr>
              <w:t>ciem papierów wartościowych, których nie dotyczy niewykonanie zobowiązania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178 CRR, zawartych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kli</w:t>
            </w:r>
            <w:r w:rsidRPr="00835753">
              <w:rPr>
                <w:rFonts w:ascii="Times New Roman" w:hAnsi="Times New Roman"/>
                <w:sz w:val="24"/>
              </w:rPr>
              <w:t>entami finansowymi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zab</w:t>
            </w:r>
            <w:r w:rsidRPr="00835753">
              <w:rPr>
                <w:rFonts w:ascii="Times New Roman" w:hAnsi="Times New Roman"/>
                <w:sz w:val="24"/>
              </w:rPr>
              <w:t>ezpieczonych aktywami innymi niż aktywa poziomu 1 kwalifikujące się do redukcji wartości wynoszącej 0</w:t>
            </w:r>
            <w:r w:rsidR="00835753" w:rsidRPr="00835753">
              <w:rPr>
                <w:rFonts w:ascii="Times New Roman" w:hAnsi="Times New Roman"/>
                <w:sz w:val="24"/>
              </w:rPr>
              <w:t> </w:t>
            </w:r>
            <w:r w:rsidRPr="00835753">
              <w:rPr>
                <w:rFonts w:ascii="Times New Roman" w:hAnsi="Times New Roman"/>
                <w:sz w:val="24"/>
              </w:rPr>
              <w:t>%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delegowanym Komisji (UE) 2015/61 oraz</w:t>
            </w:r>
          </w:p>
          <w:p w14:paraId="25F10EE1" w14:textId="726FBC44" w:rsidR="001E06A3" w:rsidRPr="00835753" w:rsidRDefault="001E06A3" w:rsidP="00E70D84">
            <w:pPr>
              <w:pStyle w:val="ListParagraph"/>
              <w:numPr>
                <w:ilvl w:val="0"/>
                <w:numId w:val="38"/>
              </w:numPr>
              <w:spacing w:after="240"/>
              <w:contextualSpacing/>
              <w:jc w:val="both"/>
              <w:rPr>
                <w:rFonts w:ascii="Times New Roman" w:hAnsi="Times New Roman"/>
                <w:sz w:val="24"/>
              </w:rPr>
            </w:pPr>
            <w:proofErr w:type="gramStart"/>
            <w:r w:rsidRPr="00835753">
              <w:rPr>
                <w:rFonts w:ascii="Times New Roman" w:hAnsi="Times New Roman"/>
                <w:sz w:val="24"/>
              </w:rPr>
              <w:t>kwota</w:t>
            </w:r>
            <w:proofErr w:type="gramEnd"/>
            <w:r w:rsidRPr="00835753">
              <w:rPr>
                <w:rFonts w:ascii="Times New Roman" w:hAnsi="Times New Roman"/>
                <w:sz w:val="24"/>
              </w:rPr>
              <w:t xml:space="preserve"> środków pieniężnych należnych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innych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których nie dotyczy niewykonanie zobowiązania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178 CRR, udzielonych klientom finansowym,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428v lit.</w:t>
            </w:r>
            <w:r w:rsidR="00835753" w:rsidRPr="00835753">
              <w:rPr>
                <w:rFonts w:ascii="Times New Roman" w:hAnsi="Times New Roman"/>
                <w:sz w:val="24"/>
              </w:rPr>
              <w:t> </w:t>
            </w:r>
            <w:r w:rsidRPr="00835753">
              <w:rPr>
                <w:rFonts w:ascii="Times New Roman" w:hAnsi="Times New Roman"/>
                <w:sz w:val="24"/>
              </w:rPr>
              <w:t>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428ad lit.</w:t>
            </w:r>
            <w:r w:rsidR="00835753" w:rsidRPr="00835753">
              <w:rPr>
                <w:rFonts w:ascii="Times New Roman" w:hAnsi="Times New Roman"/>
                <w:sz w:val="24"/>
              </w:rPr>
              <w:t> </w:t>
            </w:r>
            <w:r w:rsidRPr="00835753">
              <w:rPr>
                <w:rFonts w:ascii="Times New Roman" w:hAnsi="Times New Roman"/>
                <w:sz w:val="24"/>
              </w:rPr>
              <w:t>d) ppkt (iii) CRR.</w:t>
            </w:r>
          </w:p>
        </w:tc>
      </w:tr>
      <w:tr w:rsidR="001E06A3" w:rsidRPr="00835753" w14:paraId="23D883F8" w14:textId="77777777" w:rsidTr="00CB5E7D">
        <w:tc>
          <w:tcPr>
            <w:tcW w:w="1355" w:type="dxa"/>
          </w:tcPr>
          <w:p w14:paraId="14F1CFB0"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20</w:t>
            </w:r>
          </w:p>
        </w:tc>
        <w:tc>
          <w:tcPr>
            <w:tcW w:w="7705" w:type="dxa"/>
          </w:tcPr>
          <w:p w14:paraId="1BB94392" w14:textId="1D354E46"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Obsługiwane kredyty udzielone niefinansowym klientom korporacyjnym, kredyty udzielone klientom detalicznym</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mał</w:t>
            </w:r>
            <w:r w:rsidRPr="00835753">
              <w:rPr>
                <w:rFonts w:ascii="Times New Roman" w:hAnsi="Times New Roman"/>
                <w:b/>
                <w:sz w:val="24"/>
              </w:rPr>
              <w:t>ym przedsiębiorstwom oraz kredyty udzielone państwom</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pod</w:t>
            </w:r>
            <w:r w:rsidRPr="00835753">
              <w:rPr>
                <w:rFonts w:ascii="Times New Roman" w:hAnsi="Times New Roman"/>
                <w:b/>
                <w:sz w:val="24"/>
              </w:rPr>
              <w:t>miotom sektora publicznego,</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w:t>
            </w:r>
          </w:p>
          <w:p w14:paraId="2D61E718" w14:textId="325199BC"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Art. 428ad lit.</w:t>
            </w:r>
            <w:r w:rsidR="00835753" w:rsidRPr="00835753">
              <w:rPr>
                <w:rFonts w:ascii="Times New Roman" w:hAnsi="Times New Roman"/>
                <w:sz w:val="24"/>
              </w:rPr>
              <w:t> </w:t>
            </w:r>
            <w:r w:rsidRPr="00835753">
              <w:rPr>
                <w:rFonts w:ascii="Times New Roman" w:hAnsi="Times New Roman"/>
                <w:sz w:val="24"/>
              </w:rPr>
              <w:t>c), art.</w:t>
            </w:r>
            <w:r w:rsidR="00835753" w:rsidRPr="00835753">
              <w:rPr>
                <w:rFonts w:ascii="Times New Roman" w:hAnsi="Times New Roman"/>
                <w:sz w:val="24"/>
              </w:rPr>
              <w:t> </w:t>
            </w:r>
            <w:r w:rsidRPr="00835753">
              <w:rPr>
                <w:rFonts w:ascii="Times New Roman" w:hAnsi="Times New Roman"/>
                <w:sz w:val="24"/>
              </w:rPr>
              <w:t>428af oraz art.</w:t>
            </w:r>
            <w:r w:rsidR="00835753" w:rsidRPr="00835753">
              <w:rPr>
                <w:rFonts w:ascii="Times New Roman" w:hAnsi="Times New Roman"/>
                <w:sz w:val="24"/>
              </w:rPr>
              <w:t> </w:t>
            </w:r>
            <w:r w:rsidRPr="00835753">
              <w:rPr>
                <w:rFonts w:ascii="Times New Roman" w:hAnsi="Times New Roman"/>
                <w:sz w:val="24"/>
              </w:rPr>
              <w:t>428ag lit.</w:t>
            </w:r>
            <w:r w:rsidR="00835753" w:rsidRPr="00835753">
              <w:rPr>
                <w:rFonts w:ascii="Times New Roman" w:hAnsi="Times New Roman"/>
                <w:sz w:val="24"/>
              </w:rPr>
              <w:t> </w:t>
            </w:r>
            <w:r w:rsidRPr="00835753">
              <w:rPr>
                <w:rFonts w:ascii="Times New Roman" w:hAnsi="Times New Roman"/>
                <w:sz w:val="24"/>
              </w:rPr>
              <w:t>c) CRR</w:t>
            </w:r>
          </w:p>
          <w:p w14:paraId="1FEB6042" w14:textId="5B3225C4"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ujawniają kwoty środków pieniężnych należnych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kredytów, których nie dotyczy niewykonanie zobowiązania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178 CRR, które są kredytami na nieruchomości mieszkalne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peł</w:t>
            </w:r>
            <w:r w:rsidRPr="00835753">
              <w:rPr>
                <w:rFonts w:ascii="Times New Roman" w:hAnsi="Times New Roman"/>
                <w:sz w:val="24"/>
              </w:rPr>
              <w:t>ni gwarantowanymi przez uznanego dostawcę ochrony,</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rym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129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e) CRR, lub kredytami –</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wył</w:t>
            </w:r>
            <w:r w:rsidRPr="00835753">
              <w:rPr>
                <w:rFonts w:ascii="Times New Roman" w:hAnsi="Times New Roman"/>
                <w:sz w:val="24"/>
              </w:rPr>
              <w:t>ączeniem kredytów dla klientów finansowych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kre</w:t>
            </w:r>
            <w:r w:rsidRPr="00835753">
              <w:rPr>
                <w:rFonts w:ascii="Times New Roman" w:hAnsi="Times New Roman"/>
                <w:sz w:val="24"/>
              </w:rPr>
              <w:t>dytów,</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428r–428ad,</w:t>
            </w:r>
            <w:r w:rsidR="00835753" w:rsidRPr="00835753">
              <w:rPr>
                <w:rFonts w:ascii="Times New Roman" w:hAnsi="Times New Roman"/>
                <w:sz w:val="24"/>
              </w:rPr>
              <w:t xml:space="preserve"> </w:t>
            </w:r>
            <w:r w:rsidR="00835753" w:rsidRPr="00835753">
              <w:rPr>
                <w:rFonts w:ascii="Times New Roman" w:hAnsi="Times New Roman"/>
                <w:sz w:val="24"/>
              </w:rPr>
              <w:lastRenderedPageBreak/>
              <w:t>z</w:t>
            </w:r>
            <w:r w:rsidR="00835753">
              <w:rPr>
                <w:rFonts w:ascii="Times New Roman" w:hAnsi="Times New Roman"/>
                <w:sz w:val="24"/>
              </w:rPr>
              <w:t> </w:t>
            </w:r>
            <w:r w:rsidR="00835753" w:rsidRPr="00835753">
              <w:rPr>
                <w:rFonts w:ascii="Times New Roman" w:hAnsi="Times New Roman"/>
                <w:sz w:val="24"/>
              </w:rPr>
              <w:t>wyj</w:t>
            </w:r>
            <w:r w:rsidRPr="00835753">
              <w:rPr>
                <w:rFonts w:ascii="Times New Roman" w:hAnsi="Times New Roman"/>
                <w:sz w:val="24"/>
              </w:rPr>
              <w:t>ątkiem art.</w:t>
            </w:r>
            <w:r w:rsidR="00835753" w:rsidRPr="00835753">
              <w:rPr>
                <w:rFonts w:ascii="Times New Roman" w:hAnsi="Times New Roman"/>
                <w:sz w:val="24"/>
              </w:rPr>
              <w:t> </w:t>
            </w:r>
            <w:r w:rsidRPr="00835753">
              <w:rPr>
                <w:rFonts w:ascii="Times New Roman" w:hAnsi="Times New Roman"/>
                <w:sz w:val="24"/>
              </w:rPr>
              <w:t>428ad lit.</w:t>
            </w:r>
            <w:r w:rsidR="00835753" w:rsidRPr="00835753">
              <w:rPr>
                <w:rFonts w:ascii="Times New Roman" w:hAnsi="Times New Roman"/>
                <w:sz w:val="24"/>
              </w:rPr>
              <w:t> </w:t>
            </w:r>
            <w:r w:rsidRPr="00835753">
              <w:rPr>
                <w:rFonts w:ascii="Times New Roman" w:hAnsi="Times New Roman"/>
                <w:sz w:val="24"/>
              </w:rPr>
              <w:t>c) CRR, niezależnie od wag ryzyka przypisanych tym kredytom. Kwota ta nie obejmuje ekspozycji zabezpieczonych hipotekami na nieruchomościach mieszkalnych.</w:t>
            </w:r>
          </w:p>
        </w:tc>
      </w:tr>
      <w:tr w:rsidR="001E06A3" w:rsidRPr="00835753" w14:paraId="640960C5" w14:textId="77777777" w:rsidTr="00CB5E7D">
        <w:tc>
          <w:tcPr>
            <w:tcW w:w="1355" w:type="dxa"/>
          </w:tcPr>
          <w:p w14:paraId="444B7937"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lastRenderedPageBreak/>
              <w:t>21</w:t>
            </w:r>
          </w:p>
        </w:tc>
        <w:tc>
          <w:tcPr>
            <w:tcW w:w="7705" w:type="dxa"/>
          </w:tcPr>
          <w:p w14:paraId="1E760EB2" w14:textId="1F69BF1B" w:rsidR="001E06A3" w:rsidRPr="00835753" w:rsidRDefault="001E06A3" w:rsidP="001E06A3">
            <w:pPr>
              <w:spacing w:after="240"/>
              <w:jc w:val="both"/>
              <w:rPr>
                <w:rFonts w:ascii="Times New Roman" w:hAnsi="Times New Roman"/>
                <w:sz w:val="24"/>
              </w:rPr>
            </w:pPr>
            <w:r w:rsidRPr="00835753">
              <w:rPr>
                <w:rFonts w:ascii="Times New Roman" w:hAnsi="Times New Roman"/>
                <w:b/>
                <w:sz w:val="24"/>
              </w:rPr>
              <w:t>O wadze ryzyka nieprzekraczającej 35</w:t>
            </w:r>
            <w:r w:rsidR="00835753" w:rsidRPr="00835753">
              <w:rPr>
                <w:rFonts w:ascii="Times New Roman" w:hAnsi="Times New Roman"/>
                <w:b/>
                <w:sz w:val="24"/>
              </w:rPr>
              <w:t> </w:t>
            </w:r>
            <w:r w:rsidRPr="00835753">
              <w:rPr>
                <w:rFonts w:ascii="Times New Roman" w:hAnsi="Times New Roman"/>
                <w:b/>
                <w:sz w:val="24"/>
              </w:rPr>
              <w:t>% zgodnie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met</w:t>
            </w:r>
            <w:r w:rsidRPr="00835753">
              <w:rPr>
                <w:rFonts w:ascii="Times New Roman" w:hAnsi="Times New Roman"/>
                <w:b/>
                <w:sz w:val="24"/>
              </w:rPr>
              <w:t>odą standardową określoną</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reg</w:t>
            </w:r>
            <w:r w:rsidRPr="00835753">
              <w:rPr>
                <w:rFonts w:ascii="Times New Roman" w:hAnsi="Times New Roman"/>
                <w:b/>
                <w:sz w:val="24"/>
              </w:rPr>
              <w:t>ulacjach Bazylea II</w:t>
            </w:r>
          </w:p>
          <w:p w14:paraId="321E82BB" w14:textId="04C96DC5" w:rsidR="001E06A3" w:rsidRPr="00835753" w:rsidRDefault="001E06A3" w:rsidP="001E06A3">
            <w:pPr>
              <w:pStyle w:val="TableParagraph"/>
              <w:spacing w:after="240"/>
              <w:ind w:right="99"/>
              <w:jc w:val="both"/>
              <w:rPr>
                <w:rFonts w:ascii="Times New Roman" w:hAnsi="Times New Roman"/>
                <w:sz w:val="24"/>
                <w:szCs w:val="24"/>
              </w:rPr>
            </w:pPr>
            <w:r w:rsidRPr="00835753">
              <w:rPr>
                <w:rFonts w:ascii="Times New Roman" w:hAnsi="Times New Roman"/>
                <w:sz w:val="24"/>
                <w:szCs w:val="24"/>
              </w:rPr>
              <w:t>Art. 428ad lit.</w:t>
            </w:r>
            <w:r w:rsidR="00835753" w:rsidRPr="00835753">
              <w:rPr>
                <w:rFonts w:ascii="Times New Roman" w:hAnsi="Times New Roman"/>
                <w:sz w:val="24"/>
                <w:szCs w:val="24"/>
              </w:rPr>
              <w:t> </w:t>
            </w:r>
            <w:r w:rsidRPr="00835753">
              <w:rPr>
                <w:rFonts w:ascii="Times New Roman" w:hAnsi="Times New Roman"/>
                <w:sz w:val="24"/>
                <w:szCs w:val="24"/>
              </w:rPr>
              <w:t>c) oraz art.</w:t>
            </w:r>
            <w:r w:rsidR="00835753" w:rsidRPr="00835753">
              <w:rPr>
                <w:rFonts w:ascii="Times New Roman" w:hAnsi="Times New Roman"/>
                <w:sz w:val="24"/>
                <w:szCs w:val="24"/>
              </w:rPr>
              <w:t> </w:t>
            </w:r>
            <w:r w:rsidRPr="00835753">
              <w:rPr>
                <w:rFonts w:ascii="Times New Roman" w:hAnsi="Times New Roman"/>
                <w:sz w:val="24"/>
                <w:szCs w:val="24"/>
              </w:rPr>
              <w:t>428af CRR</w:t>
            </w:r>
          </w:p>
          <w:p w14:paraId="5789FF06" w14:textId="5DD5DF55"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ujawniają kwoty kredytów</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 21 niniejszego wzoru, którym przypisuje się wagę ryzyka nieprzekraczającą 35</w:t>
            </w:r>
            <w:r w:rsidR="00835753" w:rsidRPr="00835753">
              <w:rPr>
                <w:rFonts w:ascii="Times New Roman" w:hAnsi="Times New Roman"/>
                <w:sz w:val="24"/>
              </w:rPr>
              <w:t> </w:t>
            </w:r>
            <w:r w:rsidRPr="00835753">
              <w:rPr>
                <w:rFonts w:ascii="Times New Roman" w:hAnsi="Times New Roman"/>
                <w:sz w:val="24"/>
              </w:rPr>
              <w:t>%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2 CRR.</w:t>
            </w:r>
          </w:p>
        </w:tc>
      </w:tr>
      <w:tr w:rsidR="001E06A3" w:rsidRPr="00835753" w14:paraId="752E7570" w14:textId="77777777" w:rsidTr="00CB5E7D">
        <w:tc>
          <w:tcPr>
            <w:tcW w:w="1355" w:type="dxa"/>
          </w:tcPr>
          <w:p w14:paraId="56D24C5E"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22</w:t>
            </w:r>
          </w:p>
        </w:tc>
        <w:tc>
          <w:tcPr>
            <w:tcW w:w="7705" w:type="dxa"/>
          </w:tcPr>
          <w:p w14:paraId="5CC89414" w14:textId="6EB4610F" w:rsidR="001E06A3" w:rsidRPr="00835753" w:rsidRDefault="001E06A3" w:rsidP="001E06A3">
            <w:pPr>
              <w:spacing w:after="240"/>
              <w:jc w:val="both"/>
              <w:rPr>
                <w:rFonts w:ascii="Times New Roman" w:hAnsi="Times New Roman" w:cs="Times New Roman"/>
                <w:b/>
                <w:sz w:val="24"/>
              </w:rPr>
            </w:pPr>
            <w:r w:rsidRPr="00835753">
              <w:rPr>
                <w:rFonts w:ascii="Times New Roman" w:hAnsi="Times New Roman"/>
                <w:b/>
                <w:sz w:val="24"/>
              </w:rPr>
              <w:t>Obsługiwane kredyty hipoteczne,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w:t>
            </w:r>
          </w:p>
          <w:p w14:paraId="15E5AC9E" w14:textId="632E4DED" w:rsidR="001E06A3" w:rsidRPr="00835753" w:rsidRDefault="001E06A3" w:rsidP="001E06A3">
            <w:pPr>
              <w:spacing w:after="240"/>
              <w:jc w:val="both"/>
              <w:rPr>
                <w:rFonts w:ascii="Times New Roman" w:hAnsi="Times New Roman"/>
                <w:b/>
                <w:sz w:val="24"/>
              </w:rPr>
            </w:pPr>
            <w:r w:rsidRPr="00835753">
              <w:rPr>
                <w:rFonts w:ascii="Times New Roman" w:hAnsi="Times New Roman"/>
                <w:sz w:val="24"/>
              </w:rPr>
              <w:t>Art. 428ad lit.</w:t>
            </w:r>
            <w:r w:rsidR="00835753" w:rsidRPr="00835753">
              <w:rPr>
                <w:rFonts w:ascii="Times New Roman" w:hAnsi="Times New Roman"/>
                <w:sz w:val="24"/>
              </w:rPr>
              <w:t> </w:t>
            </w:r>
            <w:r w:rsidRPr="00835753">
              <w:rPr>
                <w:rFonts w:ascii="Times New Roman" w:hAnsi="Times New Roman"/>
                <w:sz w:val="24"/>
              </w:rPr>
              <w:t>c), art.</w:t>
            </w:r>
            <w:r w:rsidR="00835753" w:rsidRPr="00835753">
              <w:rPr>
                <w:rFonts w:ascii="Times New Roman" w:hAnsi="Times New Roman"/>
                <w:sz w:val="24"/>
              </w:rPr>
              <w:t> </w:t>
            </w:r>
            <w:r w:rsidRPr="00835753">
              <w:rPr>
                <w:rFonts w:ascii="Times New Roman" w:hAnsi="Times New Roman"/>
                <w:sz w:val="24"/>
              </w:rPr>
              <w:t>428af lit.</w:t>
            </w:r>
            <w:r w:rsidR="00835753" w:rsidRPr="00835753">
              <w:rPr>
                <w:rFonts w:ascii="Times New Roman" w:hAnsi="Times New Roman"/>
                <w:sz w:val="24"/>
              </w:rPr>
              <w:t> </w:t>
            </w:r>
            <w:r w:rsidRPr="00835753">
              <w:rPr>
                <w:rFonts w:ascii="Times New Roman" w:hAnsi="Times New Roman"/>
                <w:sz w:val="24"/>
              </w:rPr>
              <w:t>a) oraz art.</w:t>
            </w:r>
            <w:r w:rsidR="00835753" w:rsidRPr="00835753">
              <w:rPr>
                <w:rFonts w:ascii="Times New Roman" w:hAnsi="Times New Roman"/>
                <w:sz w:val="24"/>
              </w:rPr>
              <w:t> </w:t>
            </w:r>
            <w:r w:rsidRPr="00835753">
              <w:rPr>
                <w:rFonts w:ascii="Times New Roman" w:hAnsi="Times New Roman"/>
                <w:sz w:val="24"/>
              </w:rPr>
              <w:t>428ag lit.</w:t>
            </w:r>
            <w:r w:rsidR="00835753" w:rsidRPr="00835753">
              <w:rPr>
                <w:rFonts w:ascii="Times New Roman" w:hAnsi="Times New Roman"/>
                <w:sz w:val="24"/>
              </w:rPr>
              <w:t> </w:t>
            </w:r>
            <w:r w:rsidRPr="00835753">
              <w:rPr>
                <w:rFonts w:ascii="Times New Roman" w:hAnsi="Times New Roman"/>
                <w:sz w:val="24"/>
              </w:rPr>
              <w:t>c) CRR</w:t>
            </w:r>
          </w:p>
          <w:p w14:paraId="271BEBB6" w14:textId="039DE681" w:rsidR="001E06A3" w:rsidRPr="00835753" w:rsidRDefault="001E06A3" w:rsidP="001E06A3">
            <w:pPr>
              <w:pStyle w:val="TableParagraph"/>
              <w:spacing w:after="240"/>
              <w:ind w:right="99"/>
              <w:jc w:val="both"/>
              <w:rPr>
                <w:rFonts w:ascii="Times New Roman" w:hAnsi="Times New Roman"/>
                <w:sz w:val="24"/>
                <w:szCs w:val="24"/>
              </w:rPr>
            </w:pPr>
            <w:r w:rsidRPr="00835753">
              <w:rPr>
                <w:rFonts w:ascii="Times New Roman" w:hAnsi="Times New Roman"/>
                <w:sz w:val="24"/>
                <w:szCs w:val="24"/>
              </w:rPr>
              <w:t>W tej sekcji instytucje ujawniają kwoty środków pieniężnych należnych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kredytów, których nie dotyczy niewykonanie zobowiązania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178 CRR, które są kredytami zabezpieczonymi hipotekami na nieruchomościach mieszkalnych,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wył</w:t>
            </w:r>
            <w:r w:rsidRPr="00835753">
              <w:rPr>
                <w:rFonts w:ascii="Times New Roman" w:hAnsi="Times New Roman"/>
                <w:sz w:val="24"/>
                <w:szCs w:val="24"/>
              </w:rPr>
              <w:t>ączeniem kredytów dla klientów finansowych</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kre</w:t>
            </w:r>
            <w:r w:rsidRPr="00835753">
              <w:rPr>
                <w:rFonts w:ascii="Times New Roman" w:hAnsi="Times New Roman"/>
                <w:sz w:val="24"/>
                <w:szCs w:val="24"/>
              </w:rPr>
              <w:t>dytów,</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któ</w:t>
            </w:r>
            <w:r w:rsidRPr="00835753">
              <w:rPr>
                <w:rFonts w:ascii="Times New Roman" w:hAnsi="Times New Roman"/>
                <w:sz w:val="24"/>
                <w:szCs w:val="24"/>
              </w:rPr>
              <w:t>rych mowa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428r–428ad CRR,</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wyj</w:t>
            </w:r>
            <w:r w:rsidRPr="00835753">
              <w:rPr>
                <w:rFonts w:ascii="Times New Roman" w:hAnsi="Times New Roman"/>
                <w:sz w:val="24"/>
                <w:szCs w:val="24"/>
              </w:rPr>
              <w:t>ątkiem art.</w:t>
            </w:r>
            <w:r w:rsidR="00835753" w:rsidRPr="00835753">
              <w:rPr>
                <w:rFonts w:ascii="Times New Roman" w:hAnsi="Times New Roman"/>
                <w:sz w:val="24"/>
                <w:szCs w:val="24"/>
              </w:rPr>
              <w:t> </w:t>
            </w:r>
            <w:r w:rsidRPr="00835753">
              <w:rPr>
                <w:rFonts w:ascii="Times New Roman" w:hAnsi="Times New Roman"/>
                <w:sz w:val="24"/>
                <w:szCs w:val="24"/>
              </w:rPr>
              <w:t>428ad lit.</w:t>
            </w:r>
            <w:r w:rsidR="00835753" w:rsidRPr="00835753">
              <w:rPr>
                <w:rFonts w:ascii="Times New Roman" w:hAnsi="Times New Roman"/>
                <w:sz w:val="24"/>
                <w:szCs w:val="24"/>
              </w:rPr>
              <w:t> </w:t>
            </w:r>
            <w:r w:rsidRPr="00835753">
              <w:rPr>
                <w:rFonts w:ascii="Times New Roman" w:hAnsi="Times New Roman"/>
                <w:sz w:val="24"/>
                <w:szCs w:val="24"/>
              </w:rPr>
              <w:t>c) CRR, niezależnie od wag ryzyka przypisanych tym kredytom.</w:t>
            </w:r>
          </w:p>
        </w:tc>
      </w:tr>
      <w:tr w:rsidR="001E06A3" w:rsidRPr="00835753" w14:paraId="16C048BA" w14:textId="77777777" w:rsidTr="00CB5E7D">
        <w:tc>
          <w:tcPr>
            <w:tcW w:w="1355" w:type="dxa"/>
          </w:tcPr>
          <w:p w14:paraId="125C3F1A"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23</w:t>
            </w:r>
          </w:p>
        </w:tc>
        <w:tc>
          <w:tcPr>
            <w:tcW w:w="7705" w:type="dxa"/>
          </w:tcPr>
          <w:p w14:paraId="77ED9432" w14:textId="3D0E79EF" w:rsidR="001E06A3" w:rsidRPr="00835753" w:rsidRDefault="001E06A3" w:rsidP="001E06A3">
            <w:pPr>
              <w:spacing w:after="240"/>
              <w:jc w:val="both"/>
              <w:rPr>
                <w:rFonts w:ascii="Times New Roman" w:hAnsi="Times New Roman"/>
                <w:sz w:val="24"/>
              </w:rPr>
            </w:pPr>
            <w:r w:rsidRPr="00835753">
              <w:rPr>
                <w:rFonts w:ascii="Times New Roman" w:hAnsi="Times New Roman"/>
                <w:b/>
                <w:sz w:val="24"/>
              </w:rPr>
              <w:t>O wadze ryzyka nieprzekraczającej 35</w:t>
            </w:r>
            <w:r w:rsidR="00835753" w:rsidRPr="00835753">
              <w:rPr>
                <w:rFonts w:ascii="Times New Roman" w:hAnsi="Times New Roman"/>
                <w:b/>
                <w:sz w:val="24"/>
              </w:rPr>
              <w:t> </w:t>
            </w:r>
            <w:r w:rsidRPr="00835753">
              <w:rPr>
                <w:rFonts w:ascii="Times New Roman" w:hAnsi="Times New Roman"/>
                <w:b/>
                <w:sz w:val="24"/>
              </w:rPr>
              <w:t>% zgodnie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met</w:t>
            </w:r>
            <w:r w:rsidRPr="00835753">
              <w:rPr>
                <w:rFonts w:ascii="Times New Roman" w:hAnsi="Times New Roman"/>
                <w:b/>
                <w:sz w:val="24"/>
              </w:rPr>
              <w:t>odą standardową określoną</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reg</w:t>
            </w:r>
            <w:r w:rsidRPr="00835753">
              <w:rPr>
                <w:rFonts w:ascii="Times New Roman" w:hAnsi="Times New Roman"/>
                <w:b/>
                <w:sz w:val="24"/>
              </w:rPr>
              <w:t>ulacjach Bazylea II</w:t>
            </w:r>
          </w:p>
          <w:p w14:paraId="705B3481" w14:textId="2C5D79C0"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Art. 428ad lit.</w:t>
            </w:r>
            <w:r w:rsidR="00835753" w:rsidRPr="00835753">
              <w:rPr>
                <w:rFonts w:ascii="Times New Roman" w:hAnsi="Times New Roman"/>
                <w:sz w:val="24"/>
              </w:rPr>
              <w:t> </w:t>
            </w:r>
            <w:r w:rsidRPr="00835753">
              <w:rPr>
                <w:rFonts w:ascii="Times New Roman" w:hAnsi="Times New Roman"/>
                <w:sz w:val="24"/>
              </w:rPr>
              <w:t>c) oraz art.</w:t>
            </w:r>
            <w:r w:rsidR="00835753" w:rsidRPr="00835753">
              <w:rPr>
                <w:rFonts w:ascii="Times New Roman" w:hAnsi="Times New Roman"/>
                <w:sz w:val="24"/>
              </w:rPr>
              <w:t> </w:t>
            </w:r>
            <w:r w:rsidRPr="00835753">
              <w:rPr>
                <w:rFonts w:ascii="Times New Roman" w:hAnsi="Times New Roman"/>
                <w:sz w:val="24"/>
              </w:rPr>
              <w:t>428af lit.</w:t>
            </w:r>
            <w:r w:rsidR="00835753" w:rsidRPr="00835753">
              <w:rPr>
                <w:rFonts w:ascii="Times New Roman" w:hAnsi="Times New Roman"/>
                <w:sz w:val="24"/>
              </w:rPr>
              <w:t> </w:t>
            </w:r>
            <w:r w:rsidRPr="00835753">
              <w:rPr>
                <w:rFonts w:ascii="Times New Roman" w:hAnsi="Times New Roman"/>
                <w:sz w:val="24"/>
              </w:rPr>
              <w:t>a) CRR</w:t>
            </w:r>
          </w:p>
          <w:p w14:paraId="75FA19E4" w14:textId="2FFA1793"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uwzględniają kwoty kredytów</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 22 niniejszego wzoru, którym przypisuje się wagę ryzyka nieprzekraczającą 35</w:t>
            </w:r>
            <w:r w:rsidR="00835753" w:rsidRPr="00835753">
              <w:rPr>
                <w:rFonts w:ascii="Times New Roman" w:hAnsi="Times New Roman"/>
                <w:sz w:val="24"/>
              </w:rPr>
              <w:t> </w:t>
            </w:r>
            <w:r w:rsidRPr="00835753">
              <w:rPr>
                <w:rFonts w:ascii="Times New Roman" w:hAnsi="Times New Roman"/>
                <w:sz w:val="24"/>
              </w:rPr>
              <w:t>%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2 CRR.</w:t>
            </w:r>
          </w:p>
        </w:tc>
      </w:tr>
      <w:tr w:rsidR="001E06A3" w:rsidRPr="00835753" w14:paraId="4A951DDA" w14:textId="77777777" w:rsidTr="00CB5E7D">
        <w:tc>
          <w:tcPr>
            <w:tcW w:w="1355" w:type="dxa"/>
          </w:tcPr>
          <w:p w14:paraId="69B2B5A6"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24</w:t>
            </w:r>
          </w:p>
        </w:tc>
        <w:tc>
          <w:tcPr>
            <w:tcW w:w="7705" w:type="dxa"/>
          </w:tcPr>
          <w:p w14:paraId="07EF9659" w14:textId="58B31B75"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Inne kredyty</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pap</w:t>
            </w:r>
            <w:r w:rsidRPr="00835753">
              <w:rPr>
                <w:rFonts w:ascii="Times New Roman" w:hAnsi="Times New Roman"/>
                <w:b/>
                <w:sz w:val="24"/>
              </w:rPr>
              <w:t>iery wartościowe, których nie dotyczy niewykonanie zobowiązania</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któ</w:t>
            </w:r>
            <w:r w:rsidRPr="00835753">
              <w:rPr>
                <w:rFonts w:ascii="Times New Roman" w:hAnsi="Times New Roman"/>
                <w:b/>
                <w:sz w:val="24"/>
              </w:rPr>
              <w:t>re nie kwalifikują się jako HQLA,</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giełdowe instrumenty kapitałowe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bil</w:t>
            </w:r>
            <w:r w:rsidRPr="00835753">
              <w:rPr>
                <w:rFonts w:ascii="Times New Roman" w:hAnsi="Times New Roman"/>
                <w:b/>
                <w:sz w:val="24"/>
              </w:rPr>
              <w:t>ansowe produkty związane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fin</w:t>
            </w:r>
            <w:r w:rsidRPr="00835753">
              <w:rPr>
                <w:rFonts w:ascii="Times New Roman" w:hAnsi="Times New Roman"/>
                <w:b/>
                <w:sz w:val="24"/>
              </w:rPr>
              <w:t>ansowaniem handlu</w:t>
            </w:r>
          </w:p>
          <w:p w14:paraId="0D677D2C"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ujawniają sumę:</w:t>
            </w:r>
          </w:p>
          <w:p w14:paraId="5639B43C" w14:textId="6A8B3B45" w:rsidR="001E06A3" w:rsidRPr="00835753" w:rsidRDefault="001E06A3" w:rsidP="00E70D84">
            <w:pPr>
              <w:pStyle w:val="ListParagraph"/>
              <w:numPr>
                <w:ilvl w:val="0"/>
                <w:numId w:val="38"/>
              </w:numPr>
              <w:spacing w:after="240"/>
              <w:contextualSpacing/>
              <w:jc w:val="both"/>
              <w:rPr>
                <w:rFonts w:ascii="Times New Roman" w:hAnsi="Times New Roman"/>
                <w:sz w:val="24"/>
              </w:rPr>
            </w:pPr>
            <w:proofErr w:type="gramStart"/>
            <w:r w:rsidRPr="00835753">
              <w:rPr>
                <w:rFonts w:ascii="Times New Roman" w:hAnsi="Times New Roman"/>
                <w:sz w:val="24"/>
              </w:rPr>
              <w:t>zgodnie</w:t>
            </w:r>
            <w:proofErr w:type="gramEnd"/>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428ag lit.</w:t>
            </w:r>
            <w:r w:rsidR="00835753" w:rsidRPr="00835753">
              <w:rPr>
                <w:rFonts w:ascii="Times New Roman" w:hAnsi="Times New Roman"/>
                <w:sz w:val="24"/>
              </w:rPr>
              <w:t> </w:t>
            </w:r>
            <w:r w:rsidRPr="00835753">
              <w:rPr>
                <w:rFonts w:ascii="Times New Roman" w:hAnsi="Times New Roman"/>
                <w:sz w:val="24"/>
              </w:rPr>
              <w:t>e) i f) CRR papierów wartościowych, których nie dotyczy niewykonanie zobowiązania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178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re nie są aktywami płynnymi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delegowanym Komisji (UE) 2015/61, niezależnie od tego, czy spełniają one określone we wspomnianym rozporządzeniu wymogi operacyjne, oraz</w:t>
            </w:r>
          </w:p>
          <w:p w14:paraId="7EC444EC" w14:textId="5AC481AA" w:rsidR="001E06A3" w:rsidRPr="00835753" w:rsidRDefault="001E06A3" w:rsidP="00E70D84">
            <w:pPr>
              <w:pStyle w:val="ListParagraph"/>
              <w:numPr>
                <w:ilvl w:val="0"/>
                <w:numId w:val="38"/>
              </w:numPr>
              <w:spacing w:after="240"/>
              <w:contextualSpacing/>
              <w:jc w:val="both"/>
              <w:rPr>
                <w:rFonts w:ascii="Times New Roman" w:hAnsi="Times New Roman"/>
                <w:sz w:val="24"/>
              </w:rPr>
            </w:pPr>
            <w:proofErr w:type="gramStart"/>
            <w:r w:rsidRPr="00835753">
              <w:rPr>
                <w:rFonts w:ascii="Times New Roman" w:hAnsi="Times New Roman"/>
                <w:sz w:val="24"/>
              </w:rPr>
              <w:t>produktów</w:t>
            </w:r>
            <w:proofErr w:type="gramEnd"/>
            <w:r w:rsidRPr="00835753">
              <w:rPr>
                <w:rFonts w:ascii="Times New Roman" w:hAnsi="Times New Roman"/>
                <w:sz w:val="24"/>
              </w:rPr>
              <w:t xml:space="preserve">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bil</w:t>
            </w:r>
            <w:r w:rsidRPr="00835753">
              <w:rPr>
                <w:rFonts w:ascii="Times New Roman" w:hAnsi="Times New Roman"/>
                <w:sz w:val="24"/>
              </w:rPr>
              <w:t>ansowym finansowaniem handlu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428v lit.</w:t>
            </w:r>
            <w:r w:rsidR="00835753" w:rsidRPr="00835753">
              <w:rPr>
                <w:rFonts w:ascii="Times New Roman" w:hAnsi="Times New Roman"/>
                <w:sz w:val="24"/>
              </w:rPr>
              <w:t> </w:t>
            </w:r>
            <w:r w:rsidRPr="00835753">
              <w:rPr>
                <w:rFonts w:ascii="Times New Roman" w:hAnsi="Times New Roman"/>
                <w:sz w:val="24"/>
              </w:rPr>
              <w:t>b), art.</w:t>
            </w:r>
            <w:r w:rsidR="00835753" w:rsidRPr="00835753">
              <w:rPr>
                <w:rFonts w:ascii="Times New Roman" w:hAnsi="Times New Roman"/>
                <w:sz w:val="24"/>
              </w:rPr>
              <w:t> </w:t>
            </w:r>
            <w:r w:rsidRPr="00835753">
              <w:rPr>
                <w:rFonts w:ascii="Times New Roman" w:hAnsi="Times New Roman"/>
                <w:sz w:val="24"/>
              </w:rPr>
              <w:t>428ad lit.</w:t>
            </w:r>
            <w:r w:rsidR="00835753" w:rsidRPr="00835753">
              <w:rPr>
                <w:rFonts w:ascii="Times New Roman" w:hAnsi="Times New Roman"/>
                <w:sz w:val="24"/>
              </w:rPr>
              <w:t> </w:t>
            </w:r>
            <w:r w:rsidRPr="00835753">
              <w:rPr>
                <w:rFonts w:ascii="Times New Roman" w:hAnsi="Times New Roman"/>
                <w:sz w:val="24"/>
              </w:rPr>
              <w:t>e) oraz 428ag lit.</w:t>
            </w:r>
            <w:r w:rsidR="00835753" w:rsidRPr="00835753">
              <w:rPr>
                <w:rFonts w:ascii="Times New Roman" w:hAnsi="Times New Roman"/>
                <w:sz w:val="24"/>
              </w:rPr>
              <w:t> </w:t>
            </w:r>
            <w:r w:rsidRPr="00835753">
              <w:rPr>
                <w:rFonts w:ascii="Times New Roman" w:hAnsi="Times New Roman"/>
                <w:sz w:val="24"/>
              </w:rPr>
              <w:t>d) CRR.</w:t>
            </w:r>
          </w:p>
        </w:tc>
      </w:tr>
      <w:tr w:rsidR="001E06A3" w:rsidRPr="00835753" w14:paraId="086F2410" w14:textId="77777777" w:rsidTr="00CB5E7D">
        <w:tc>
          <w:tcPr>
            <w:tcW w:w="1355" w:type="dxa"/>
          </w:tcPr>
          <w:p w14:paraId="55A70172"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lastRenderedPageBreak/>
              <w:t>25</w:t>
            </w:r>
          </w:p>
        </w:tc>
        <w:tc>
          <w:tcPr>
            <w:tcW w:w="7705" w:type="dxa"/>
          </w:tcPr>
          <w:p w14:paraId="02EF56AC" w14:textId="77777777"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Współzależne aktywa</w:t>
            </w:r>
          </w:p>
          <w:p w14:paraId="32DCB94F" w14:textId="33BD019C" w:rsidR="001E06A3" w:rsidRPr="00835753" w:rsidRDefault="001E06A3" w:rsidP="001E06A3">
            <w:pPr>
              <w:pStyle w:val="TableParagraph"/>
              <w:spacing w:after="240"/>
              <w:ind w:right="99"/>
              <w:jc w:val="both"/>
              <w:rPr>
                <w:rFonts w:ascii="Times New Roman" w:hAnsi="Times New Roman"/>
                <w:sz w:val="24"/>
                <w:szCs w:val="24"/>
              </w:rPr>
            </w:pPr>
            <w:r w:rsidRPr="00835753">
              <w:rPr>
                <w:rFonts w:ascii="Times New Roman" w:hAnsi="Times New Roman"/>
                <w:sz w:val="24"/>
                <w:szCs w:val="24"/>
              </w:rPr>
              <w:t>Art. 428f oraz art.</w:t>
            </w:r>
            <w:r w:rsidR="00835753" w:rsidRPr="00835753">
              <w:rPr>
                <w:rFonts w:ascii="Times New Roman" w:hAnsi="Times New Roman"/>
                <w:sz w:val="24"/>
                <w:szCs w:val="24"/>
              </w:rPr>
              <w:t> </w:t>
            </w:r>
            <w:r w:rsidRPr="00835753">
              <w:rPr>
                <w:rFonts w:ascii="Times New Roman" w:hAnsi="Times New Roman"/>
                <w:sz w:val="24"/>
                <w:szCs w:val="24"/>
              </w:rPr>
              <w:t>428r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f) CRR</w:t>
            </w:r>
          </w:p>
          <w:p w14:paraId="58BDE7B6" w14:textId="7F21EFC5"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ujawniają aktywa, które – po uzyskaniu zezwolenia właściwych organów – są współzależne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zob</w:t>
            </w:r>
            <w:r w:rsidRPr="00835753">
              <w:rPr>
                <w:rFonts w:ascii="Times New Roman" w:hAnsi="Times New Roman"/>
                <w:sz w:val="24"/>
              </w:rPr>
              <w:t>owiązaniami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428f CRR.</w:t>
            </w:r>
          </w:p>
        </w:tc>
      </w:tr>
      <w:tr w:rsidR="001E06A3" w:rsidRPr="00835753" w14:paraId="2DFEA855" w14:textId="77777777" w:rsidTr="00CB5E7D">
        <w:tc>
          <w:tcPr>
            <w:tcW w:w="1355" w:type="dxa"/>
          </w:tcPr>
          <w:p w14:paraId="2AC71F5A"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26</w:t>
            </w:r>
          </w:p>
        </w:tc>
        <w:tc>
          <w:tcPr>
            <w:tcW w:w="7705" w:type="dxa"/>
          </w:tcPr>
          <w:p w14:paraId="340A999C"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b/>
                <w:sz w:val="24"/>
              </w:rPr>
              <w:t>Inne aktywa:</w:t>
            </w:r>
          </w:p>
          <w:p w14:paraId="15B3CE51" w14:textId="0B1E6D94"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ujawniają sumę wierszy 27, 28, 29, 30</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3</w:t>
            </w:r>
            <w:r w:rsidRPr="00835753">
              <w:rPr>
                <w:rFonts w:ascii="Times New Roman" w:hAnsi="Times New Roman"/>
                <w:sz w:val="24"/>
              </w:rPr>
              <w:t>1 niniejszego wzoru.</w:t>
            </w:r>
          </w:p>
        </w:tc>
      </w:tr>
      <w:tr w:rsidR="001E06A3" w:rsidRPr="00835753" w14:paraId="64BFB991" w14:textId="77777777" w:rsidTr="00CB5E7D">
        <w:tc>
          <w:tcPr>
            <w:tcW w:w="1355" w:type="dxa"/>
          </w:tcPr>
          <w:p w14:paraId="1D8C937B"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27</w:t>
            </w:r>
          </w:p>
        </w:tc>
        <w:tc>
          <w:tcPr>
            <w:tcW w:w="7705" w:type="dxa"/>
          </w:tcPr>
          <w:p w14:paraId="35029DEA"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b/>
                <w:sz w:val="24"/>
              </w:rPr>
              <w:t>Towary będące przedmiotem fizycznego obrotu</w:t>
            </w:r>
          </w:p>
          <w:p w14:paraId="4070F7BE" w14:textId="284BFC38" w:rsidR="001E06A3" w:rsidRPr="00835753" w:rsidRDefault="001E06A3" w:rsidP="001E06A3">
            <w:pPr>
              <w:pStyle w:val="TableParagraph"/>
              <w:spacing w:after="240"/>
              <w:ind w:right="99"/>
              <w:jc w:val="both"/>
              <w:rPr>
                <w:rFonts w:ascii="Times New Roman" w:hAnsi="Times New Roman"/>
                <w:sz w:val="24"/>
              </w:rPr>
            </w:pPr>
            <w:r w:rsidRPr="00835753">
              <w:rPr>
                <w:rFonts w:ascii="Times New Roman" w:hAnsi="Times New Roman"/>
                <w:sz w:val="24"/>
                <w:szCs w:val="24"/>
              </w:rPr>
              <w:t>Art. 428ag lit.</w:t>
            </w:r>
            <w:r w:rsidR="00835753" w:rsidRPr="00835753">
              <w:rPr>
                <w:rFonts w:ascii="Times New Roman" w:hAnsi="Times New Roman"/>
                <w:sz w:val="24"/>
                <w:szCs w:val="24"/>
              </w:rPr>
              <w:t> </w:t>
            </w:r>
            <w:r w:rsidRPr="00835753">
              <w:rPr>
                <w:rFonts w:ascii="Times New Roman" w:hAnsi="Times New Roman"/>
                <w:sz w:val="24"/>
                <w:szCs w:val="24"/>
              </w:rPr>
              <w:t>g) CRR</w:t>
            </w:r>
          </w:p>
          <w:p w14:paraId="48DD16C7"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ujawniają kwotę towarów będących przedmiotem fizycznego obrotu. Kwota ta nie może obejmować towarowych instrumentów pochodnych.</w:t>
            </w:r>
          </w:p>
        </w:tc>
      </w:tr>
      <w:tr w:rsidR="001E06A3" w:rsidRPr="00835753" w14:paraId="4322E562" w14:textId="77777777" w:rsidTr="00CB5E7D">
        <w:tc>
          <w:tcPr>
            <w:tcW w:w="1355" w:type="dxa"/>
          </w:tcPr>
          <w:p w14:paraId="2A3ED162"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28</w:t>
            </w:r>
          </w:p>
        </w:tc>
        <w:tc>
          <w:tcPr>
            <w:tcW w:w="7705" w:type="dxa"/>
          </w:tcPr>
          <w:p w14:paraId="46F3710C" w14:textId="683EB6D9" w:rsidR="001E06A3" w:rsidRPr="00835753" w:rsidRDefault="001E06A3" w:rsidP="001E06A3">
            <w:pPr>
              <w:spacing w:after="240"/>
              <w:jc w:val="both"/>
              <w:rPr>
                <w:rFonts w:ascii="Times New Roman" w:hAnsi="Times New Roman"/>
                <w:sz w:val="24"/>
              </w:rPr>
            </w:pPr>
            <w:r w:rsidRPr="00835753">
              <w:rPr>
                <w:rFonts w:ascii="Times New Roman" w:hAnsi="Times New Roman"/>
                <w:b/>
                <w:sz w:val="24"/>
              </w:rPr>
              <w:t>Aktywa wniesione jako początkowy depozyt zabezpieczający</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odn</w:t>
            </w:r>
            <w:r w:rsidRPr="00835753">
              <w:rPr>
                <w:rFonts w:ascii="Times New Roman" w:hAnsi="Times New Roman"/>
                <w:b/>
                <w:sz w:val="24"/>
              </w:rPr>
              <w:t>iesieniu do kontraktów na instrumenty pochodne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wkł</w:t>
            </w:r>
            <w:r w:rsidRPr="00835753">
              <w:rPr>
                <w:rFonts w:ascii="Times New Roman" w:hAnsi="Times New Roman"/>
                <w:b/>
                <w:sz w:val="24"/>
              </w:rPr>
              <w:t>ady do funduszy kontrahentów centralnych na wypadek niewykonania zobowiązania</w:t>
            </w:r>
          </w:p>
          <w:p w14:paraId="0444A80A" w14:textId="77777777" w:rsidR="001E06A3" w:rsidRPr="00835753" w:rsidRDefault="001E06A3" w:rsidP="001E06A3">
            <w:pPr>
              <w:pStyle w:val="TableParagraph"/>
              <w:spacing w:after="240"/>
              <w:ind w:right="99"/>
              <w:jc w:val="both"/>
              <w:rPr>
                <w:rFonts w:ascii="Times New Roman" w:hAnsi="Times New Roman"/>
                <w:sz w:val="24"/>
                <w:szCs w:val="24"/>
              </w:rPr>
            </w:pPr>
            <w:r w:rsidRPr="00835753">
              <w:rPr>
                <w:rFonts w:ascii="Times New Roman" w:hAnsi="Times New Roman"/>
                <w:sz w:val="24"/>
                <w:szCs w:val="24"/>
              </w:rPr>
              <w:t>W tej sekcji instytucje ujawniają sumę następujących kwot:</w:t>
            </w:r>
          </w:p>
          <w:p w14:paraId="58EF3078" w14:textId="41A0F2A1" w:rsidR="001E06A3" w:rsidRPr="00835753" w:rsidRDefault="001E06A3" w:rsidP="00E70D84">
            <w:pPr>
              <w:pStyle w:val="ListParagraph"/>
              <w:numPr>
                <w:ilvl w:val="0"/>
                <w:numId w:val="38"/>
              </w:numPr>
              <w:jc w:val="both"/>
              <w:rPr>
                <w:rFonts w:ascii="Times New Roman" w:hAnsi="Times New Roman"/>
                <w:sz w:val="24"/>
              </w:rPr>
            </w:pPr>
            <w:proofErr w:type="gramStart"/>
            <w:r w:rsidRPr="00835753">
              <w:rPr>
                <w:rFonts w:ascii="Times New Roman" w:hAnsi="Times New Roman"/>
                <w:sz w:val="24"/>
              </w:rPr>
              <w:t>kwota</w:t>
            </w:r>
            <w:proofErr w:type="gramEnd"/>
            <w:r w:rsidRPr="00835753">
              <w:rPr>
                <w:rFonts w:ascii="Times New Roman" w:hAnsi="Times New Roman"/>
                <w:sz w:val="24"/>
              </w:rPr>
              <w:t xml:space="preserve"> wymaganego stabilnego finansowania wynikającego</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trumentów pochodnych,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428d, art.</w:t>
            </w:r>
            <w:r w:rsidR="00835753" w:rsidRPr="00835753">
              <w:rPr>
                <w:rFonts w:ascii="Times New Roman" w:hAnsi="Times New Roman"/>
                <w:sz w:val="24"/>
              </w:rPr>
              <w:t> </w:t>
            </w:r>
            <w:r w:rsidRPr="00835753">
              <w:rPr>
                <w:rFonts w:ascii="Times New Roman" w:hAnsi="Times New Roman"/>
                <w:sz w:val="24"/>
              </w:rPr>
              <w:t>428s ust.</w:t>
            </w:r>
            <w:r w:rsidR="00835753" w:rsidRPr="00835753">
              <w:rPr>
                <w:rFonts w:ascii="Times New Roman" w:hAnsi="Times New Roman"/>
                <w:sz w:val="24"/>
              </w:rPr>
              <w:t> </w:t>
            </w:r>
            <w:r w:rsidRPr="00835753">
              <w:rPr>
                <w:rFonts w:ascii="Times New Roman" w:hAnsi="Times New Roman"/>
                <w:sz w:val="24"/>
              </w:rPr>
              <w:t>2, art.</w:t>
            </w:r>
            <w:r w:rsidR="00835753" w:rsidRPr="00835753">
              <w:rPr>
                <w:rFonts w:ascii="Times New Roman" w:hAnsi="Times New Roman"/>
                <w:sz w:val="24"/>
              </w:rPr>
              <w:t> </w:t>
            </w:r>
            <w:r w:rsidRPr="00835753">
              <w:rPr>
                <w:rFonts w:ascii="Times New Roman" w:hAnsi="Times New Roman"/>
                <w:sz w:val="24"/>
              </w:rPr>
              <w:t>428ag lit.</w:t>
            </w:r>
            <w:r w:rsidR="00835753" w:rsidRPr="00835753">
              <w:rPr>
                <w:rFonts w:ascii="Times New Roman" w:hAnsi="Times New Roman"/>
                <w:sz w:val="24"/>
              </w:rPr>
              <w:t> </w:t>
            </w:r>
            <w:r w:rsidRPr="00835753">
              <w:rPr>
                <w:rFonts w:ascii="Times New Roman" w:hAnsi="Times New Roman"/>
                <w:sz w:val="24"/>
              </w:rPr>
              <w:t>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428ah ust.</w:t>
            </w:r>
            <w:r w:rsidR="00835753" w:rsidRPr="00835753">
              <w:rPr>
                <w:rFonts w:ascii="Times New Roman" w:hAnsi="Times New Roman"/>
                <w:sz w:val="24"/>
              </w:rPr>
              <w:t> </w:t>
            </w:r>
            <w:r w:rsidRPr="00835753">
              <w:rPr>
                <w:rFonts w:ascii="Times New Roman" w:hAnsi="Times New Roman"/>
                <w:sz w:val="24"/>
              </w:rPr>
              <w:t>2 CRR, która jest związana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poc</w:t>
            </w:r>
            <w:r w:rsidRPr="00835753">
              <w:rPr>
                <w:rFonts w:ascii="Times New Roman" w:hAnsi="Times New Roman"/>
                <w:sz w:val="24"/>
              </w:rPr>
              <w:t>zątkowymi depozytami zabezpieczającymi dla kontraktów na instrumenty pochodne, oraz</w:t>
            </w:r>
          </w:p>
          <w:p w14:paraId="6B234535" w14:textId="49FB4515" w:rsidR="001E06A3" w:rsidRPr="00835753" w:rsidRDefault="001E06A3" w:rsidP="00E70D84">
            <w:pPr>
              <w:pStyle w:val="ListParagraph"/>
              <w:numPr>
                <w:ilvl w:val="0"/>
                <w:numId w:val="38"/>
              </w:numPr>
              <w:spacing w:after="240"/>
              <w:jc w:val="both"/>
              <w:rPr>
                <w:rFonts w:ascii="Times New Roman" w:hAnsi="Times New Roman"/>
                <w:sz w:val="24"/>
              </w:rPr>
            </w:pPr>
            <w:proofErr w:type="gramStart"/>
            <w:r w:rsidRPr="00835753">
              <w:rPr>
                <w:rFonts w:ascii="Times New Roman" w:hAnsi="Times New Roman"/>
                <w:sz w:val="24"/>
              </w:rPr>
              <w:t>kwota</w:t>
            </w:r>
            <w:proofErr w:type="gramEnd"/>
            <w:r w:rsidRPr="00835753">
              <w:rPr>
                <w:rFonts w:ascii="Times New Roman" w:hAnsi="Times New Roman"/>
                <w:sz w:val="24"/>
              </w:rPr>
              <w:t xml:space="preserve"> związana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ycjami przekazanymi jako wkład do funduszu kontrahenta centralnego na wypadek niewykonania zobowiązania,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428ag lit.</w:t>
            </w:r>
            <w:r w:rsidR="00835753" w:rsidRPr="00835753">
              <w:rPr>
                <w:rFonts w:ascii="Times New Roman" w:hAnsi="Times New Roman"/>
                <w:sz w:val="24"/>
              </w:rPr>
              <w:t> </w:t>
            </w:r>
            <w:r w:rsidRPr="00835753">
              <w:rPr>
                <w:rFonts w:ascii="Times New Roman" w:hAnsi="Times New Roman"/>
                <w:sz w:val="24"/>
              </w:rPr>
              <w:t>b) CRR.</w:t>
            </w:r>
          </w:p>
        </w:tc>
      </w:tr>
      <w:tr w:rsidR="001E06A3" w:rsidRPr="00835753" w14:paraId="66BC96FD" w14:textId="77777777" w:rsidTr="00CB5E7D">
        <w:tc>
          <w:tcPr>
            <w:tcW w:w="1355" w:type="dxa"/>
          </w:tcPr>
          <w:p w14:paraId="2CC6C66E"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29</w:t>
            </w:r>
          </w:p>
        </w:tc>
        <w:tc>
          <w:tcPr>
            <w:tcW w:w="7705" w:type="dxa"/>
          </w:tcPr>
          <w:p w14:paraId="60B73E07" w14:textId="6518EE0B"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Aktywa</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tyt</w:t>
            </w:r>
            <w:r w:rsidRPr="00835753">
              <w:rPr>
                <w:rFonts w:ascii="Times New Roman" w:hAnsi="Times New Roman"/>
                <w:b/>
                <w:sz w:val="24"/>
              </w:rPr>
              <w:t>ułu instrumentów pochodnych</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ram</w:t>
            </w:r>
            <w:r w:rsidRPr="00835753">
              <w:rPr>
                <w:rFonts w:ascii="Times New Roman" w:hAnsi="Times New Roman"/>
                <w:b/>
                <w:sz w:val="24"/>
              </w:rPr>
              <w:t>ach wskaźnika stabilnego finansowania netto</w:t>
            </w:r>
          </w:p>
          <w:p w14:paraId="70D38B1A" w14:textId="58105283" w:rsidR="001E06A3" w:rsidRPr="00835753" w:rsidRDefault="001E06A3" w:rsidP="001E06A3">
            <w:pPr>
              <w:pStyle w:val="TableParagraph"/>
              <w:spacing w:after="240"/>
              <w:ind w:right="99"/>
              <w:jc w:val="both"/>
              <w:rPr>
                <w:rFonts w:ascii="Times New Roman" w:hAnsi="Times New Roman"/>
                <w:sz w:val="24"/>
                <w:szCs w:val="24"/>
              </w:rPr>
            </w:pPr>
            <w:r w:rsidRPr="00835753">
              <w:rPr>
                <w:rFonts w:ascii="Times New Roman" w:hAnsi="Times New Roman"/>
                <w:sz w:val="24"/>
                <w:szCs w:val="24"/>
              </w:rPr>
              <w:t>Art. 428d oraz art.</w:t>
            </w:r>
            <w:r w:rsidR="00835753" w:rsidRPr="00835753">
              <w:rPr>
                <w:rFonts w:ascii="Times New Roman" w:hAnsi="Times New Roman"/>
                <w:sz w:val="24"/>
                <w:szCs w:val="24"/>
              </w:rPr>
              <w:t> </w:t>
            </w:r>
            <w:r w:rsidRPr="00835753">
              <w:rPr>
                <w:rFonts w:ascii="Times New Roman" w:hAnsi="Times New Roman"/>
                <w:sz w:val="24"/>
                <w:szCs w:val="24"/>
              </w:rPr>
              <w:t>428ah ust.</w:t>
            </w:r>
            <w:r w:rsidR="00835753" w:rsidRPr="00835753">
              <w:rPr>
                <w:rFonts w:ascii="Times New Roman" w:hAnsi="Times New Roman"/>
                <w:sz w:val="24"/>
                <w:szCs w:val="24"/>
              </w:rPr>
              <w:t> </w:t>
            </w:r>
            <w:r w:rsidRPr="00835753">
              <w:rPr>
                <w:rFonts w:ascii="Times New Roman" w:hAnsi="Times New Roman"/>
                <w:sz w:val="24"/>
                <w:szCs w:val="24"/>
              </w:rPr>
              <w:t>2 CRR</w:t>
            </w:r>
          </w:p>
          <w:p w14:paraId="7E8C483F" w14:textId="1B5D001F" w:rsidR="001E06A3" w:rsidRPr="00835753" w:rsidRDefault="001E06A3" w:rsidP="001E06A3">
            <w:pPr>
              <w:pStyle w:val="TableParagraph"/>
              <w:spacing w:after="240"/>
              <w:ind w:right="99"/>
              <w:jc w:val="both"/>
              <w:rPr>
                <w:rFonts w:ascii="Times New Roman" w:hAnsi="Times New Roman"/>
                <w:sz w:val="24"/>
              </w:rPr>
            </w:pPr>
            <w:r w:rsidRPr="00835753">
              <w:rPr>
                <w:rFonts w:ascii="Times New Roman" w:hAnsi="Times New Roman"/>
                <w:sz w:val="24"/>
                <w:szCs w:val="24"/>
              </w:rPr>
              <w:t>W tej sekcji instytucje uwzględniają kwotę wymaganego stabilnego finansowania wynikającego</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ins</w:t>
            </w:r>
            <w:r w:rsidRPr="00835753">
              <w:rPr>
                <w:rFonts w:ascii="Times New Roman" w:hAnsi="Times New Roman"/>
                <w:sz w:val="24"/>
                <w:szCs w:val="24"/>
              </w:rPr>
              <w:t>trumentów pochodnych,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428d, art.</w:t>
            </w:r>
            <w:r w:rsidR="00835753" w:rsidRPr="00835753">
              <w:rPr>
                <w:rFonts w:ascii="Times New Roman" w:hAnsi="Times New Roman"/>
                <w:sz w:val="24"/>
                <w:szCs w:val="24"/>
              </w:rPr>
              <w:t> </w:t>
            </w:r>
            <w:r w:rsidRPr="00835753">
              <w:rPr>
                <w:rFonts w:ascii="Times New Roman" w:hAnsi="Times New Roman"/>
                <w:sz w:val="24"/>
                <w:szCs w:val="24"/>
              </w:rPr>
              <w:t>428s ust.</w:t>
            </w:r>
            <w:r w:rsidR="00835753" w:rsidRPr="00835753">
              <w:rPr>
                <w:rFonts w:ascii="Times New Roman" w:hAnsi="Times New Roman"/>
                <w:sz w:val="24"/>
                <w:szCs w:val="24"/>
              </w:rPr>
              <w:t> </w:t>
            </w:r>
            <w:r w:rsidRPr="00835753">
              <w:rPr>
                <w:rFonts w:ascii="Times New Roman" w:hAnsi="Times New Roman"/>
                <w:sz w:val="24"/>
                <w:szCs w:val="24"/>
              </w:rPr>
              <w:t>2, art.</w:t>
            </w:r>
            <w:r w:rsidR="00835753" w:rsidRPr="00835753">
              <w:rPr>
                <w:rFonts w:ascii="Times New Roman" w:hAnsi="Times New Roman"/>
                <w:sz w:val="24"/>
                <w:szCs w:val="24"/>
              </w:rPr>
              <w:t> </w:t>
            </w:r>
            <w:r w:rsidRPr="00835753">
              <w:rPr>
                <w:rFonts w:ascii="Times New Roman" w:hAnsi="Times New Roman"/>
                <w:sz w:val="24"/>
                <w:szCs w:val="24"/>
              </w:rPr>
              <w:t>428ag lit.</w:t>
            </w:r>
            <w:r w:rsidR="00835753" w:rsidRPr="00835753">
              <w:rPr>
                <w:rFonts w:ascii="Times New Roman" w:hAnsi="Times New Roman"/>
                <w:sz w:val="24"/>
                <w:szCs w:val="24"/>
              </w:rPr>
              <w:t> </w:t>
            </w:r>
            <w:r w:rsidRPr="00835753">
              <w:rPr>
                <w:rFonts w:ascii="Times New Roman" w:hAnsi="Times New Roman"/>
                <w:sz w:val="24"/>
                <w:szCs w:val="24"/>
              </w:rPr>
              <w:t>a)</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428ah ust.</w:t>
            </w:r>
            <w:r w:rsidR="00835753" w:rsidRPr="00835753">
              <w:rPr>
                <w:rFonts w:ascii="Times New Roman" w:hAnsi="Times New Roman"/>
                <w:sz w:val="24"/>
                <w:szCs w:val="24"/>
              </w:rPr>
              <w:t> </w:t>
            </w:r>
            <w:r w:rsidRPr="00835753">
              <w:rPr>
                <w:rFonts w:ascii="Times New Roman" w:hAnsi="Times New Roman"/>
                <w:sz w:val="24"/>
                <w:szCs w:val="24"/>
              </w:rPr>
              <w:t>2 CRR, którą oblicza się jako bezwzględną kwotę dodatniej różnicy między pakietami kompensowania obliczonymi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428ah ust.</w:t>
            </w:r>
            <w:r w:rsidR="00835753" w:rsidRPr="00835753">
              <w:rPr>
                <w:rFonts w:ascii="Times New Roman" w:hAnsi="Times New Roman"/>
                <w:sz w:val="24"/>
                <w:szCs w:val="24"/>
              </w:rPr>
              <w:t> </w:t>
            </w:r>
            <w:r w:rsidRPr="00835753">
              <w:rPr>
                <w:rFonts w:ascii="Times New Roman" w:hAnsi="Times New Roman"/>
                <w:sz w:val="24"/>
                <w:szCs w:val="24"/>
              </w:rPr>
              <w:t>2 CRR.</w:t>
            </w:r>
          </w:p>
        </w:tc>
      </w:tr>
      <w:tr w:rsidR="001E06A3" w:rsidRPr="00835753" w14:paraId="5702ED11" w14:textId="77777777" w:rsidTr="00CB5E7D">
        <w:tc>
          <w:tcPr>
            <w:tcW w:w="1355" w:type="dxa"/>
          </w:tcPr>
          <w:p w14:paraId="6BF95CB9"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lastRenderedPageBreak/>
              <w:t>30</w:t>
            </w:r>
          </w:p>
        </w:tc>
        <w:tc>
          <w:tcPr>
            <w:tcW w:w="7705" w:type="dxa"/>
          </w:tcPr>
          <w:p w14:paraId="586705DD" w14:textId="58241798"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Zobowiązania</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tyt</w:t>
            </w:r>
            <w:r w:rsidRPr="00835753">
              <w:rPr>
                <w:rFonts w:ascii="Times New Roman" w:hAnsi="Times New Roman"/>
                <w:b/>
                <w:sz w:val="24"/>
              </w:rPr>
              <w:t>ułu instrumentów pochodnych</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ram</w:t>
            </w:r>
            <w:r w:rsidRPr="00835753">
              <w:rPr>
                <w:rFonts w:ascii="Times New Roman" w:hAnsi="Times New Roman"/>
                <w:b/>
                <w:sz w:val="24"/>
              </w:rPr>
              <w:t>ach wskaźnika stabilnego finansowania netto przed odliczeniem wniesionego zmiennego depozytu zabezpieczającego</w:t>
            </w:r>
          </w:p>
          <w:p w14:paraId="0358D56B" w14:textId="4230C32F" w:rsidR="001E06A3" w:rsidRPr="00835753" w:rsidRDefault="001E06A3" w:rsidP="001E06A3">
            <w:pPr>
              <w:pStyle w:val="TableParagraph"/>
              <w:spacing w:after="240"/>
              <w:ind w:right="99"/>
              <w:jc w:val="both"/>
              <w:rPr>
                <w:rFonts w:ascii="Times New Roman" w:hAnsi="Times New Roman"/>
                <w:sz w:val="24"/>
                <w:szCs w:val="24"/>
              </w:rPr>
            </w:pPr>
            <w:r w:rsidRPr="00835753">
              <w:rPr>
                <w:rFonts w:ascii="Times New Roman" w:hAnsi="Times New Roman"/>
                <w:sz w:val="24"/>
                <w:szCs w:val="24"/>
              </w:rPr>
              <w:t>Art. 428s ust.</w:t>
            </w:r>
            <w:r w:rsidR="00835753" w:rsidRPr="00835753">
              <w:rPr>
                <w:rFonts w:ascii="Times New Roman" w:hAnsi="Times New Roman"/>
                <w:sz w:val="24"/>
                <w:szCs w:val="24"/>
              </w:rPr>
              <w:t> </w:t>
            </w:r>
            <w:r w:rsidRPr="00835753">
              <w:rPr>
                <w:rFonts w:ascii="Times New Roman" w:hAnsi="Times New Roman"/>
                <w:sz w:val="24"/>
                <w:szCs w:val="24"/>
              </w:rPr>
              <w:t>2 CRR</w:t>
            </w:r>
          </w:p>
          <w:p w14:paraId="02000D17" w14:textId="66518BFA"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ujawniają kwotę wymaganego stabilnego finansowania związanego</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trumentami pochodnymi będącymi zobowiązaniami,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428d, art.</w:t>
            </w:r>
            <w:r w:rsidR="00835753" w:rsidRPr="00835753">
              <w:rPr>
                <w:rFonts w:ascii="Times New Roman" w:hAnsi="Times New Roman"/>
                <w:sz w:val="24"/>
              </w:rPr>
              <w:t> </w:t>
            </w:r>
            <w:r w:rsidRPr="00835753">
              <w:rPr>
                <w:rFonts w:ascii="Times New Roman" w:hAnsi="Times New Roman"/>
                <w:sz w:val="24"/>
              </w:rPr>
              <w:t>428s ust.</w:t>
            </w:r>
            <w:r w:rsidR="00835753" w:rsidRPr="00835753">
              <w:rPr>
                <w:rFonts w:ascii="Times New Roman" w:hAnsi="Times New Roman"/>
                <w:sz w:val="24"/>
              </w:rPr>
              <w:t> </w:t>
            </w:r>
            <w:r w:rsidRPr="00835753">
              <w:rPr>
                <w:rFonts w:ascii="Times New Roman" w:hAnsi="Times New Roman"/>
                <w:sz w:val="24"/>
              </w:rPr>
              <w:t>2, art.</w:t>
            </w:r>
            <w:r w:rsidR="00835753" w:rsidRPr="00835753">
              <w:rPr>
                <w:rFonts w:ascii="Times New Roman" w:hAnsi="Times New Roman"/>
                <w:sz w:val="24"/>
              </w:rPr>
              <w:t> </w:t>
            </w:r>
            <w:r w:rsidRPr="00835753">
              <w:rPr>
                <w:rFonts w:ascii="Times New Roman" w:hAnsi="Times New Roman"/>
                <w:sz w:val="24"/>
              </w:rPr>
              <w:t>428ag lit.</w:t>
            </w:r>
            <w:r w:rsidR="00835753" w:rsidRPr="00835753">
              <w:rPr>
                <w:rFonts w:ascii="Times New Roman" w:hAnsi="Times New Roman"/>
                <w:sz w:val="24"/>
              </w:rPr>
              <w:t> </w:t>
            </w:r>
            <w:r w:rsidRPr="00835753">
              <w:rPr>
                <w:rFonts w:ascii="Times New Roman" w:hAnsi="Times New Roman"/>
                <w:sz w:val="24"/>
              </w:rPr>
              <w:t>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428ah ust.</w:t>
            </w:r>
            <w:r w:rsidR="00835753" w:rsidRPr="00835753">
              <w:rPr>
                <w:rFonts w:ascii="Times New Roman" w:hAnsi="Times New Roman"/>
                <w:sz w:val="24"/>
              </w:rPr>
              <w:t> </w:t>
            </w:r>
            <w:r w:rsidRPr="00835753">
              <w:rPr>
                <w:rFonts w:ascii="Times New Roman" w:hAnsi="Times New Roman"/>
                <w:sz w:val="24"/>
              </w:rPr>
              <w:t>2 CRR, która jest bezwzględną wartością godziwą pakietów kompensowania</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uje</w:t>
            </w:r>
            <w:r w:rsidRPr="00835753">
              <w:rPr>
                <w:rFonts w:ascii="Times New Roman" w:hAnsi="Times New Roman"/>
                <w:sz w:val="24"/>
              </w:rPr>
              <w:t>mnej wartości godziwej obliczonej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428s ust.</w:t>
            </w:r>
            <w:r w:rsidR="00835753" w:rsidRPr="00835753">
              <w:rPr>
                <w:rFonts w:ascii="Times New Roman" w:hAnsi="Times New Roman"/>
                <w:sz w:val="24"/>
              </w:rPr>
              <w:t> </w:t>
            </w:r>
            <w:r w:rsidRPr="00835753">
              <w:rPr>
                <w:rFonts w:ascii="Times New Roman" w:hAnsi="Times New Roman"/>
                <w:sz w:val="24"/>
              </w:rPr>
              <w:t>2 CRR.</w:t>
            </w:r>
          </w:p>
        </w:tc>
      </w:tr>
      <w:tr w:rsidR="001E06A3" w:rsidRPr="00835753" w14:paraId="04BE9D64" w14:textId="77777777" w:rsidTr="00CB5E7D">
        <w:tc>
          <w:tcPr>
            <w:tcW w:w="1355" w:type="dxa"/>
          </w:tcPr>
          <w:p w14:paraId="264D8A7C"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31</w:t>
            </w:r>
          </w:p>
        </w:tc>
        <w:tc>
          <w:tcPr>
            <w:tcW w:w="7705" w:type="dxa"/>
          </w:tcPr>
          <w:p w14:paraId="07C67158" w14:textId="1FE0AD3D"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Wszystkie pozostałe aktywa nieujęte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pow</w:t>
            </w:r>
            <w:r w:rsidRPr="00835753">
              <w:rPr>
                <w:rFonts w:ascii="Times New Roman" w:hAnsi="Times New Roman"/>
                <w:b/>
                <w:sz w:val="24"/>
              </w:rPr>
              <w:t>yższych kategoriach</w:t>
            </w:r>
          </w:p>
          <w:p w14:paraId="62F6FC95" w14:textId="77777777" w:rsidR="001E06A3" w:rsidRPr="00835753" w:rsidRDefault="001E06A3" w:rsidP="001E06A3">
            <w:pPr>
              <w:jc w:val="both"/>
              <w:rPr>
                <w:rFonts w:ascii="Times New Roman" w:hAnsi="Times New Roman"/>
                <w:sz w:val="24"/>
              </w:rPr>
            </w:pPr>
            <w:r w:rsidRPr="00835753">
              <w:rPr>
                <w:rFonts w:ascii="Times New Roman" w:hAnsi="Times New Roman"/>
                <w:sz w:val="24"/>
              </w:rPr>
              <w:t>W tej sekcji instytucje uwzględniają sumę następujących pozycji:</w:t>
            </w:r>
          </w:p>
          <w:p w14:paraId="3844C223" w14:textId="7FA1BD52" w:rsidR="001E06A3" w:rsidRPr="00835753" w:rsidRDefault="001E06A3" w:rsidP="00E70D84">
            <w:pPr>
              <w:pStyle w:val="ListParagraph"/>
              <w:numPr>
                <w:ilvl w:val="0"/>
                <w:numId w:val="41"/>
              </w:numPr>
              <w:jc w:val="both"/>
              <w:rPr>
                <w:rFonts w:ascii="Times New Roman" w:hAnsi="Times New Roman"/>
                <w:sz w:val="24"/>
              </w:rPr>
            </w:pPr>
            <w:proofErr w:type="gramStart"/>
            <w:r w:rsidRPr="00835753">
              <w:rPr>
                <w:rFonts w:ascii="Times New Roman" w:hAnsi="Times New Roman"/>
                <w:sz w:val="24"/>
              </w:rPr>
              <w:t>należności</w:t>
            </w:r>
            <w:proofErr w:type="gramEnd"/>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dac</w:t>
            </w:r>
            <w:r w:rsidRPr="00835753">
              <w:rPr>
                <w:rFonts w:ascii="Times New Roman" w:hAnsi="Times New Roman"/>
                <w:sz w:val="24"/>
              </w:rPr>
              <w:t>ie zawarcia transakcji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428r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e) CRR;</w:t>
            </w:r>
          </w:p>
          <w:p w14:paraId="40D882AB" w14:textId="5F1BD74D" w:rsidR="001E06A3" w:rsidRPr="00835753" w:rsidRDefault="001E06A3" w:rsidP="00E70D84">
            <w:pPr>
              <w:pStyle w:val="ListParagraph"/>
              <w:numPr>
                <w:ilvl w:val="0"/>
                <w:numId w:val="41"/>
              </w:numPr>
              <w:jc w:val="both"/>
              <w:rPr>
                <w:rFonts w:ascii="Times New Roman" w:hAnsi="Times New Roman"/>
                <w:sz w:val="24"/>
              </w:rPr>
            </w:pPr>
            <w:proofErr w:type="gramStart"/>
            <w:r w:rsidRPr="00835753">
              <w:rPr>
                <w:rFonts w:ascii="Times New Roman" w:hAnsi="Times New Roman"/>
                <w:sz w:val="24"/>
              </w:rPr>
              <w:t>aktywa</w:t>
            </w:r>
            <w:proofErr w:type="gramEnd"/>
            <w:r w:rsidRPr="00835753">
              <w:rPr>
                <w:rFonts w:ascii="Times New Roman" w:hAnsi="Times New Roman"/>
                <w:sz w:val="24"/>
              </w:rPr>
              <w:t xml:space="preserve"> nieobsługiwane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428ah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b) CRR;</w:t>
            </w:r>
          </w:p>
          <w:p w14:paraId="4D19BEAD" w14:textId="7C3C0D17" w:rsidR="001E06A3" w:rsidRPr="00835753" w:rsidRDefault="001E06A3" w:rsidP="00E70D84">
            <w:pPr>
              <w:pStyle w:val="ListParagraph"/>
              <w:numPr>
                <w:ilvl w:val="0"/>
                <w:numId w:val="41"/>
              </w:numPr>
              <w:jc w:val="both"/>
              <w:rPr>
                <w:rFonts w:ascii="Times New Roman" w:hAnsi="Times New Roman"/>
                <w:sz w:val="24"/>
              </w:rPr>
            </w:pPr>
            <w:proofErr w:type="gramStart"/>
            <w:r w:rsidRPr="00835753">
              <w:rPr>
                <w:rFonts w:ascii="Times New Roman" w:hAnsi="Times New Roman"/>
                <w:sz w:val="24"/>
              </w:rPr>
              <w:t>kapitały</w:t>
            </w:r>
            <w:proofErr w:type="gramEnd"/>
            <w:r w:rsidRPr="00835753">
              <w:rPr>
                <w:rFonts w:ascii="Times New Roman" w:hAnsi="Times New Roman"/>
                <w:sz w:val="24"/>
              </w:rPr>
              <w:t xml:space="preserve"> rezerwowe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ban</w:t>
            </w:r>
            <w:r w:rsidRPr="00835753">
              <w:rPr>
                <w:rFonts w:ascii="Times New Roman" w:hAnsi="Times New Roman"/>
                <w:sz w:val="24"/>
              </w:rPr>
              <w:t>kach centralnych, których nie uznaje się za HQLA, oraz</w:t>
            </w:r>
          </w:p>
          <w:p w14:paraId="6FB4C38B" w14:textId="2051F285" w:rsidR="001E06A3" w:rsidRPr="00835753" w:rsidRDefault="001E06A3" w:rsidP="00E70D84">
            <w:pPr>
              <w:pStyle w:val="ListParagraph"/>
              <w:numPr>
                <w:ilvl w:val="0"/>
                <w:numId w:val="41"/>
              </w:numPr>
              <w:spacing w:after="240"/>
              <w:jc w:val="both"/>
              <w:rPr>
                <w:rFonts w:ascii="Times New Roman" w:hAnsi="Times New Roman"/>
                <w:sz w:val="24"/>
              </w:rPr>
            </w:pPr>
            <w:proofErr w:type="gramStart"/>
            <w:r w:rsidRPr="00835753">
              <w:rPr>
                <w:rFonts w:ascii="Times New Roman" w:hAnsi="Times New Roman"/>
                <w:sz w:val="24"/>
              </w:rPr>
              <w:t>inne</w:t>
            </w:r>
            <w:proofErr w:type="gramEnd"/>
            <w:r w:rsidRPr="00835753">
              <w:rPr>
                <w:rFonts w:ascii="Times New Roman" w:hAnsi="Times New Roman"/>
                <w:sz w:val="24"/>
              </w:rPr>
              <w:t xml:space="preserve"> aktywa,</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nie ma mowy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pop</w:t>
            </w:r>
            <w:r w:rsidRPr="00835753">
              <w:rPr>
                <w:rFonts w:ascii="Times New Roman" w:hAnsi="Times New Roman"/>
                <w:sz w:val="24"/>
              </w:rPr>
              <w:t>rzednich pozycjach wymienionych powyżej.</w:t>
            </w:r>
          </w:p>
        </w:tc>
      </w:tr>
      <w:tr w:rsidR="001E06A3" w:rsidRPr="00835753" w14:paraId="5CF2D15B" w14:textId="77777777" w:rsidTr="00CB5E7D">
        <w:tc>
          <w:tcPr>
            <w:tcW w:w="1355" w:type="dxa"/>
          </w:tcPr>
          <w:p w14:paraId="1FA8BC67"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32</w:t>
            </w:r>
          </w:p>
        </w:tc>
        <w:tc>
          <w:tcPr>
            <w:tcW w:w="7705" w:type="dxa"/>
          </w:tcPr>
          <w:p w14:paraId="2750824D" w14:textId="77777777" w:rsidR="001E06A3" w:rsidRPr="00835753" w:rsidRDefault="001E06A3" w:rsidP="001E06A3">
            <w:pPr>
              <w:spacing w:after="240"/>
              <w:jc w:val="both"/>
              <w:rPr>
                <w:rFonts w:ascii="Times New Roman" w:hAnsi="Times New Roman"/>
                <w:b/>
                <w:sz w:val="24"/>
              </w:rPr>
            </w:pPr>
            <w:r w:rsidRPr="00835753">
              <w:rPr>
                <w:rFonts w:ascii="Times New Roman" w:hAnsi="Times New Roman"/>
                <w:b/>
                <w:sz w:val="24"/>
              </w:rPr>
              <w:t>Pozycje pozabilansowe</w:t>
            </w:r>
          </w:p>
          <w:p w14:paraId="56A3975E"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W tej sekcji instytucje ujawniają kwotę pozycji pozabilansowych, które są objęte wymogami dotyczącymi wymaganego stabilnego finansowania.</w:t>
            </w:r>
          </w:p>
        </w:tc>
      </w:tr>
      <w:tr w:rsidR="001E06A3" w:rsidRPr="00835753" w14:paraId="761DE446" w14:textId="77777777" w:rsidTr="00CB5E7D">
        <w:tc>
          <w:tcPr>
            <w:tcW w:w="1355" w:type="dxa"/>
          </w:tcPr>
          <w:p w14:paraId="6A567296"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33</w:t>
            </w:r>
          </w:p>
        </w:tc>
        <w:tc>
          <w:tcPr>
            <w:tcW w:w="7705" w:type="dxa"/>
          </w:tcPr>
          <w:p w14:paraId="1176DF3A"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b/>
                <w:sz w:val="24"/>
              </w:rPr>
              <w:t>Całkowite wymagane stabilne finansowanie</w:t>
            </w:r>
          </w:p>
          <w:p w14:paraId="185E7BC8" w14:textId="77777777" w:rsidR="001E06A3" w:rsidRPr="00835753" w:rsidRDefault="001E06A3" w:rsidP="001E06A3">
            <w:pPr>
              <w:pStyle w:val="TableParagraph"/>
              <w:spacing w:after="240"/>
              <w:jc w:val="both"/>
              <w:rPr>
                <w:rFonts w:ascii="Times New Roman" w:eastAsia="Times New Roman" w:hAnsi="Times New Roman"/>
                <w:sz w:val="24"/>
                <w:szCs w:val="24"/>
              </w:rPr>
            </w:pPr>
            <w:r w:rsidRPr="00835753">
              <w:rPr>
                <w:rFonts w:ascii="Times New Roman" w:hAnsi="Times New Roman"/>
                <w:sz w:val="24"/>
                <w:szCs w:val="24"/>
              </w:rPr>
              <w:t>Część szósta tytuł IV rozdział 4 CRR</w:t>
            </w:r>
          </w:p>
          <w:p w14:paraId="7BBF549C" w14:textId="3BC956E6" w:rsidR="001E06A3" w:rsidRPr="00835753" w:rsidRDefault="001E06A3" w:rsidP="001E06A3">
            <w:pPr>
              <w:pStyle w:val="TableParagraph"/>
              <w:spacing w:after="240"/>
              <w:jc w:val="both"/>
              <w:rPr>
                <w:rFonts w:ascii="Times New Roman" w:hAnsi="Times New Roman"/>
                <w:sz w:val="24"/>
                <w:szCs w:val="24"/>
              </w:rPr>
            </w:pPr>
            <w:r w:rsidRPr="00835753">
              <w:rPr>
                <w:rFonts w:ascii="Times New Roman" w:hAnsi="Times New Roman"/>
                <w:sz w:val="24"/>
                <w:szCs w:val="24"/>
              </w:rPr>
              <w:t>W tej sekcji instytucje uwzględniają</w:t>
            </w:r>
            <w:r w:rsidRPr="00835753">
              <w:t xml:space="preserve"> </w:t>
            </w:r>
            <w:r w:rsidRPr="00835753">
              <w:rPr>
                <w:rFonts w:ascii="Times New Roman" w:hAnsi="Times New Roman"/>
                <w:sz w:val="24"/>
                <w:szCs w:val="24"/>
              </w:rPr>
              <w:t>sumę pozycji, które są objęte wymaganym stabilnym finansowaniem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ścią szóstą tytuł IV rozdział 4 CRR (suma wierszy 15, EU-15a, 16, 17, 25, 26</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3</w:t>
            </w:r>
            <w:r w:rsidRPr="00835753">
              <w:rPr>
                <w:rFonts w:ascii="Times New Roman" w:hAnsi="Times New Roman"/>
                <w:sz w:val="24"/>
                <w:szCs w:val="24"/>
              </w:rPr>
              <w:t>2 niniejszego wzoru).</w:t>
            </w:r>
          </w:p>
        </w:tc>
      </w:tr>
      <w:tr w:rsidR="001E06A3" w:rsidRPr="00835753" w14:paraId="5E612895" w14:textId="77777777" w:rsidTr="00CB5E7D">
        <w:trPr>
          <w:trHeight w:val="274"/>
        </w:trPr>
        <w:tc>
          <w:tcPr>
            <w:tcW w:w="1355" w:type="dxa"/>
          </w:tcPr>
          <w:p w14:paraId="73CB3827"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sz w:val="24"/>
              </w:rPr>
              <w:t>34</w:t>
            </w:r>
          </w:p>
        </w:tc>
        <w:tc>
          <w:tcPr>
            <w:tcW w:w="7705" w:type="dxa"/>
          </w:tcPr>
          <w:p w14:paraId="56363191" w14:textId="77777777" w:rsidR="001E06A3" w:rsidRPr="00835753" w:rsidRDefault="001E06A3" w:rsidP="001E06A3">
            <w:pPr>
              <w:spacing w:after="240"/>
              <w:jc w:val="both"/>
              <w:rPr>
                <w:rFonts w:ascii="Times New Roman" w:hAnsi="Times New Roman"/>
                <w:sz w:val="24"/>
              </w:rPr>
            </w:pPr>
            <w:r w:rsidRPr="00835753">
              <w:rPr>
                <w:rFonts w:ascii="Times New Roman" w:hAnsi="Times New Roman"/>
                <w:b/>
                <w:sz w:val="24"/>
              </w:rPr>
              <w:t>Wskaźnik stabilnego finansowania netto (%)</w:t>
            </w:r>
          </w:p>
          <w:p w14:paraId="78187C30" w14:textId="1E7BAF81" w:rsidR="001E06A3" w:rsidRPr="00835753" w:rsidRDefault="001E06A3" w:rsidP="001E06A3">
            <w:pPr>
              <w:pStyle w:val="TableParagraph"/>
              <w:spacing w:after="240"/>
              <w:jc w:val="both"/>
              <w:rPr>
                <w:rFonts w:ascii="Times New Roman" w:hAnsi="Times New Roman"/>
                <w:sz w:val="24"/>
                <w:szCs w:val="24"/>
              </w:rPr>
            </w:pPr>
            <w:r w:rsidRPr="00835753">
              <w:rPr>
                <w:rFonts w:ascii="Times New Roman" w:hAnsi="Times New Roman"/>
                <w:sz w:val="24"/>
                <w:szCs w:val="24"/>
              </w:rPr>
              <w:t>Wskaźnik stabilnego finansowania netto obliczony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428b ust.</w:t>
            </w:r>
            <w:r w:rsidR="00835753" w:rsidRPr="00835753">
              <w:rPr>
                <w:rFonts w:ascii="Times New Roman" w:hAnsi="Times New Roman"/>
                <w:sz w:val="24"/>
                <w:szCs w:val="24"/>
              </w:rPr>
              <w:t> </w:t>
            </w:r>
            <w:r w:rsidRPr="00835753">
              <w:rPr>
                <w:rFonts w:ascii="Times New Roman" w:hAnsi="Times New Roman"/>
                <w:sz w:val="24"/>
                <w:szCs w:val="24"/>
              </w:rPr>
              <w:t>1 CRR</w:t>
            </w:r>
          </w:p>
        </w:tc>
      </w:tr>
    </w:tbl>
    <w:p w14:paraId="7C272ABF" w14:textId="77777777" w:rsidR="0081579E" w:rsidRPr="00835753"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835753" w:rsidSect="00155C96">
          <w:pgSz w:w="11900" w:h="16840"/>
          <w:pgMar w:top="2268" w:right="1418" w:bottom="1134" w:left="1701" w:header="709" w:footer="709" w:gutter="0"/>
          <w:pgNumType w:start="1" w:chapStyle="1"/>
          <w:cols w:space="708"/>
          <w:docGrid w:linePitch="299"/>
        </w:sectPr>
      </w:pPr>
    </w:p>
    <w:p w14:paraId="01443745" w14:textId="2A88225A" w:rsidR="000A7015" w:rsidRPr="00835753" w:rsidRDefault="000A7015" w:rsidP="00E258D8">
      <w:pPr>
        <w:tabs>
          <w:tab w:val="left" w:pos="1430"/>
        </w:tabs>
        <w:rPr>
          <w:rFonts w:ascii="Times New Roman" w:hAnsi="Times New Roman" w:cs="Times New Roman"/>
          <w:b/>
          <w:sz w:val="24"/>
        </w:rPr>
      </w:pPr>
    </w:p>
    <w:p w14:paraId="2021E2BE" w14:textId="43B6D203" w:rsidR="004E71F4" w:rsidRPr="00835753" w:rsidRDefault="004E71F4" w:rsidP="004E71F4">
      <w:pPr>
        <w:pStyle w:val="Annexetitre"/>
        <w:spacing w:before="0"/>
      </w:pPr>
      <w:r w:rsidRPr="00835753">
        <w:t>ZAŁĄCZNIK XVI – Instrukcje dotyczące ujawniania celów</w:t>
      </w:r>
      <w:r w:rsidR="00835753" w:rsidRPr="00835753">
        <w:t xml:space="preserve"> i</w:t>
      </w:r>
      <w:r w:rsidR="00835753">
        <w:t> </w:t>
      </w:r>
      <w:r w:rsidR="00835753" w:rsidRPr="00835753">
        <w:t>str</w:t>
      </w:r>
      <w:r w:rsidRPr="00835753">
        <w:t>ategii</w:t>
      </w:r>
      <w:r w:rsidR="00835753" w:rsidRPr="00835753">
        <w:t xml:space="preserve"> w</w:t>
      </w:r>
      <w:r w:rsidR="00835753">
        <w:t> </w:t>
      </w:r>
      <w:r w:rsidR="00835753" w:rsidRPr="00835753">
        <w:t>zak</w:t>
      </w:r>
      <w:r w:rsidRPr="00835753">
        <w:t>resie zarządzania ryzykiem, ekspozycji na ryzyko kredytowe, ryzyka rozmycia</w:t>
      </w:r>
      <w:r w:rsidR="00835753" w:rsidRPr="00835753">
        <w:t xml:space="preserve"> i</w:t>
      </w:r>
      <w:r w:rsidR="00835753">
        <w:t> </w:t>
      </w:r>
      <w:r w:rsidR="00835753" w:rsidRPr="00835753">
        <w:t>jak</w:t>
      </w:r>
      <w:r w:rsidRPr="00835753">
        <w:t>ości kredytowej</w:t>
      </w:r>
    </w:p>
    <w:p w14:paraId="4F04453A" w14:textId="17EBFC67" w:rsidR="004E71F4" w:rsidRPr="00835753" w:rsidRDefault="004E71F4" w:rsidP="00051895">
      <w:pPr>
        <w:pStyle w:val="ListParagraph"/>
        <w:numPr>
          <w:ilvl w:val="0"/>
          <w:numId w:val="46"/>
        </w:numPr>
        <w:spacing w:after="120"/>
        <w:jc w:val="both"/>
        <w:rPr>
          <w:rFonts w:ascii="Times New Roman" w:hAnsi="Times New Roman"/>
          <w:bCs/>
          <w:sz w:val="24"/>
        </w:rPr>
      </w:pPr>
      <w:r w:rsidRPr="00835753">
        <w:rPr>
          <w:rFonts w:ascii="Times New Roman" w:hAnsi="Times New Roman"/>
          <w:sz w:val="24"/>
        </w:rPr>
        <w:t>Załącznik XV do niniejszego rozporządzenia wykonawczego zawiera zestaw wzorów, które mają zastosowanie do wszystkich instytucji podlegających przepisom art.</w:t>
      </w:r>
      <w:r w:rsidR="00835753" w:rsidRPr="00835753">
        <w:rPr>
          <w:rFonts w:ascii="Times New Roman" w:hAnsi="Times New Roman"/>
          <w:sz w:val="24"/>
        </w:rPr>
        <w:t> </w:t>
      </w:r>
      <w:r w:rsidRPr="00835753">
        <w:rPr>
          <w:rFonts w:ascii="Times New Roman" w:hAnsi="Times New Roman"/>
          <w:sz w:val="24"/>
        </w:rPr>
        <w:t>442 CRR. Zawiera on również pewne dodatkowe wzory wymagane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dużych instytucji, których wskaźnik określający stosunek między wartością bilansową brutto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objętych przepisami art.</w:t>
      </w:r>
      <w:r w:rsidR="00835753" w:rsidRPr="00835753">
        <w:rPr>
          <w:rFonts w:ascii="Times New Roman" w:hAnsi="Times New Roman"/>
          <w:sz w:val="24"/>
        </w:rPr>
        <w:t> </w:t>
      </w:r>
      <w:r w:rsidRPr="00835753">
        <w:rPr>
          <w:rFonts w:ascii="Times New Roman" w:hAnsi="Times New Roman"/>
          <w:sz w:val="24"/>
        </w:rPr>
        <w:t>47a ust.</w:t>
      </w:r>
      <w:r w:rsidR="00835753" w:rsidRPr="00835753">
        <w:rPr>
          <w:rFonts w:ascii="Times New Roman" w:hAnsi="Times New Roman"/>
          <w:sz w:val="24"/>
        </w:rPr>
        <w:t> </w:t>
      </w:r>
      <w:r w:rsidRPr="00835753">
        <w:rPr>
          <w:rFonts w:ascii="Times New Roman" w:hAnsi="Times New Roman"/>
          <w:sz w:val="24"/>
        </w:rPr>
        <w:t>3 rozporządzenia (UE) nr</w:t>
      </w:r>
      <w:r w:rsidR="00835753" w:rsidRPr="00835753">
        <w:rPr>
          <w:rFonts w:ascii="Times New Roman" w:hAnsi="Times New Roman"/>
          <w:sz w:val="24"/>
        </w:rPr>
        <w:t> </w:t>
      </w:r>
      <w:r w:rsidRPr="00835753">
        <w:rPr>
          <w:rFonts w:ascii="Times New Roman" w:hAnsi="Times New Roman"/>
          <w:sz w:val="24"/>
        </w:rPr>
        <w:t>575/2013</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łąc</w:t>
      </w:r>
      <w:r w:rsidRPr="00835753">
        <w:rPr>
          <w:rFonts w:ascii="Times New Roman" w:hAnsi="Times New Roman"/>
          <w:sz w:val="24"/>
        </w:rPr>
        <w:t>zną wartością bilansową brutto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objętych przepisami art.</w:t>
      </w:r>
      <w:r w:rsidR="00835753" w:rsidRPr="00835753">
        <w:rPr>
          <w:rFonts w:ascii="Times New Roman" w:hAnsi="Times New Roman"/>
          <w:sz w:val="24"/>
        </w:rPr>
        <w:t> </w:t>
      </w:r>
      <w:r w:rsidRPr="00835753">
        <w:rPr>
          <w:rFonts w:ascii="Times New Roman" w:hAnsi="Times New Roman"/>
          <w:sz w:val="24"/>
        </w:rPr>
        <w:t>47a ust.</w:t>
      </w:r>
      <w:r w:rsidR="00835753" w:rsidRPr="00835753">
        <w:rPr>
          <w:rFonts w:ascii="Times New Roman" w:hAnsi="Times New Roman"/>
          <w:sz w:val="24"/>
        </w:rPr>
        <w:t> </w:t>
      </w:r>
      <w:r w:rsidRPr="00835753">
        <w:rPr>
          <w:rFonts w:ascii="Times New Roman" w:hAnsi="Times New Roman"/>
          <w:sz w:val="24"/>
        </w:rPr>
        <w:t>1 rozporządzenia (UE) nr</w:t>
      </w:r>
      <w:r w:rsidR="00835753" w:rsidRPr="00835753">
        <w:rPr>
          <w:rFonts w:ascii="Times New Roman" w:hAnsi="Times New Roman"/>
          <w:sz w:val="24"/>
        </w:rPr>
        <w:t> </w:t>
      </w:r>
      <w:r w:rsidRPr="00835753">
        <w:rPr>
          <w:rFonts w:ascii="Times New Roman" w:hAnsi="Times New Roman"/>
          <w:sz w:val="24"/>
        </w:rPr>
        <w:t>575/2013 wynosi co najmniej 5</w:t>
      </w:r>
      <w:r w:rsidR="00835753" w:rsidRPr="00835753">
        <w:rPr>
          <w:rFonts w:ascii="Times New Roman" w:hAnsi="Times New Roman"/>
          <w:sz w:val="24"/>
        </w:rPr>
        <w:t> </w:t>
      </w:r>
      <w:r w:rsidRPr="00835753">
        <w:rPr>
          <w:rFonts w:ascii="Times New Roman" w:hAnsi="Times New Roman"/>
          <w:sz w:val="24"/>
        </w:rPr>
        <w:t>%. Do celów tego wskaźnika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wzo</w:t>
      </w:r>
      <w:r w:rsidRPr="00835753">
        <w:rPr>
          <w:rFonts w:ascii="Times New Roman" w:hAnsi="Times New Roman"/>
          <w:sz w:val="24"/>
        </w:rPr>
        <w:t>rów zawartych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XV zarówno</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mia</w:t>
      </w:r>
      <w:r w:rsidRPr="00835753">
        <w:rPr>
          <w:rFonts w:ascii="Times New Roman" w:hAnsi="Times New Roman"/>
          <w:sz w:val="24"/>
        </w:rPr>
        <w:t>nownika, jak</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w:t>
      </w:r>
      <w:r w:rsidR="00835753">
        <w:rPr>
          <w:rFonts w:ascii="Times New Roman" w:hAnsi="Times New Roman"/>
          <w:sz w:val="24"/>
        </w:rPr>
        <w:t> </w:t>
      </w:r>
      <w:r w:rsidR="00835753" w:rsidRPr="00835753">
        <w:rPr>
          <w:rFonts w:ascii="Times New Roman" w:hAnsi="Times New Roman"/>
          <w:sz w:val="24"/>
        </w:rPr>
        <w:t>lic</w:t>
      </w:r>
      <w:r w:rsidRPr="00835753">
        <w:rPr>
          <w:rFonts w:ascii="Times New Roman" w:hAnsi="Times New Roman"/>
          <w:sz w:val="24"/>
        </w:rPr>
        <w:t>znika wskaźników oraz</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rszy dotyczących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zawartych we wzorach wyłącza się kredyty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iczki sklasyfikowane jako przeznaczone do sprzedaży, salda pieniężne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ban</w:t>
      </w:r>
      <w:r w:rsidRPr="00835753">
        <w:rPr>
          <w:rFonts w:ascii="Times New Roman" w:hAnsi="Times New Roman"/>
          <w:sz w:val="24"/>
        </w:rPr>
        <w:t>kach centralnych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inn</w:t>
      </w:r>
      <w:r w:rsidRPr="00835753">
        <w:rPr>
          <w:rFonts w:ascii="Times New Roman" w:hAnsi="Times New Roman"/>
          <w:sz w:val="24"/>
        </w:rPr>
        <w:t>e depozyty płatne na żądanie</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nie</w:t>
      </w:r>
      <w:r w:rsidRPr="00835753">
        <w:rPr>
          <w:rFonts w:ascii="Times New Roman" w:hAnsi="Times New Roman"/>
          <w:sz w:val="24"/>
        </w:rPr>
        <w:t>których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nic</w:t>
      </w:r>
      <w:r w:rsidRPr="00835753">
        <w:rPr>
          <w:rFonts w:ascii="Times New Roman" w:hAnsi="Times New Roman"/>
          <w:sz w:val="24"/>
        </w:rPr>
        <w:t>h informacje dotyczące sald pieniężnych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ban</w:t>
      </w:r>
      <w:r w:rsidRPr="00835753">
        <w:rPr>
          <w:rFonts w:ascii="Times New Roman" w:hAnsi="Times New Roman"/>
          <w:sz w:val="24"/>
        </w:rPr>
        <w:t>kach centralnych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inn</w:t>
      </w:r>
      <w:r w:rsidRPr="00835753">
        <w:rPr>
          <w:rFonts w:ascii="Times New Roman" w:hAnsi="Times New Roman"/>
          <w:sz w:val="24"/>
        </w:rPr>
        <w:t>ych depozytów płatnych na żądanie ujawnia się oddzielnie.</w:t>
      </w:r>
    </w:p>
    <w:p w14:paraId="71E0905E" w14:textId="6AAD8532" w:rsidR="004E71F4" w:rsidRPr="00835753" w:rsidRDefault="004E71F4" w:rsidP="004E71F4">
      <w:pPr>
        <w:pStyle w:val="ListParagraph"/>
        <w:numPr>
          <w:ilvl w:val="0"/>
          <w:numId w:val="46"/>
        </w:numPr>
        <w:spacing w:after="120"/>
        <w:jc w:val="both"/>
        <w:rPr>
          <w:rFonts w:ascii="Times New Roman" w:hAnsi="Times New Roman"/>
          <w:bCs/>
          <w:sz w:val="24"/>
        </w:rPr>
      </w:pPr>
      <w:r w:rsidRPr="00835753">
        <w:rPr>
          <w:rFonts w:ascii="Times New Roman" w:hAnsi="Times New Roman"/>
          <w:sz w:val="24"/>
        </w:rPr>
        <w:t>Dodatkowe szablony są wymagane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przekazania użytkownikom tych informacji dostatecznie wyczerpujących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ównywalnych informacji, aby mogli oni ocenić profile ryzyka instytucji</w:t>
      </w:r>
      <w:r w:rsidR="00835753" w:rsidRPr="00835753">
        <w:rPr>
          <w:rFonts w:ascii="Times New Roman" w:hAnsi="Times New Roman"/>
          <w:sz w:val="24"/>
        </w:rPr>
        <w:t>. Z</w:t>
      </w:r>
      <w:r w:rsidR="00835753">
        <w:rPr>
          <w:rFonts w:ascii="Times New Roman" w:hAnsi="Times New Roman"/>
          <w:sz w:val="24"/>
        </w:rPr>
        <w:t> </w:t>
      </w:r>
      <w:r w:rsidR="00835753" w:rsidRPr="00835753">
        <w:rPr>
          <w:rFonts w:ascii="Times New Roman" w:hAnsi="Times New Roman"/>
          <w:sz w:val="24"/>
        </w:rPr>
        <w:t>teg</w:t>
      </w:r>
      <w:r w:rsidRPr="00835753">
        <w:rPr>
          <w:rFonts w:ascii="Times New Roman" w:hAnsi="Times New Roman"/>
          <w:sz w:val="24"/>
        </w:rPr>
        <w:t>o powodu, zapoznając się</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iejszymi instrukcjami, instytucje uwzględniają kryteria proporcjonalności zawarte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 niniejszego rozporządzenia wykonawczego.</w:t>
      </w:r>
    </w:p>
    <w:p w14:paraId="4F0F5F3B" w14:textId="4FF1B43B" w:rsidR="004E71F4" w:rsidRPr="00835753" w:rsidRDefault="00D95507" w:rsidP="004E71F4">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Tabela EU CRA: Ogólne informacje jakościowe na temat ryzyka kredytowego</w:t>
      </w:r>
    </w:p>
    <w:p w14:paraId="1BC548A8" w14:textId="66DF481E" w:rsidR="004E71F4" w:rsidRPr="00835753" w:rsidRDefault="004E71F4" w:rsidP="004E71F4">
      <w:pPr>
        <w:pStyle w:val="ListParagraph"/>
        <w:numPr>
          <w:ilvl w:val="0"/>
          <w:numId w:val="46"/>
        </w:numPr>
        <w:spacing w:after="120"/>
        <w:jc w:val="both"/>
        <w:rPr>
          <w:rFonts w:ascii="Times New Roman" w:hAnsi="Times New Roman"/>
          <w:bCs/>
          <w:sz w:val="24"/>
        </w:rPr>
      </w:pPr>
      <w:r w:rsidRPr="00835753">
        <w:rPr>
          <w:rFonts w:ascii="Times New Roman" w:hAnsi="Times New Roman"/>
          <w:sz w:val="24"/>
        </w:rPr>
        <w:t>W celu wypełnienia tabeli EU CRA zamieszczonej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 xml:space="preserve">ączniku XV do niniejszego rozporządzenia wykonawczego </w:t>
      </w:r>
      <w:r w:rsidRPr="00835753">
        <w:rPr>
          <w:rFonts w:ascii="Times New Roman" w:hAnsi="Times New Roman"/>
          <w:bCs/>
          <w:sz w:val="24"/>
        </w:rPr>
        <w:t xml:space="preserve">instytucje </w:t>
      </w:r>
      <w:r w:rsidRPr="00835753">
        <w:rPr>
          <w:rFonts w:ascii="Times New Roman" w:hAnsi="Times New Roman"/>
          <w:sz w:val="24"/>
        </w:rPr>
        <w:t>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435 ust.</w:t>
      </w:r>
      <w:r w:rsidR="00835753" w:rsidRPr="00835753">
        <w:rPr>
          <w:rFonts w:ascii="Times New Roman" w:hAnsi="Times New Roman"/>
          <w:bCs/>
          <w:sz w:val="24"/>
        </w:rPr>
        <w:t> </w:t>
      </w:r>
      <w:r w:rsidRPr="00835753">
        <w:rPr>
          <w:rFonts w:ascii="Times New Roman" w:hAnsi="Times New Roman"/>
          <w:bCs/>
          <w:sz w:val="24"/>
        </w:rPr>
        <w:t>1 lit.</w:t>
      </w:r>
      <w:r w:rsidR="00835753" w:rsidRPr="00835753">
        <w:rPr>
          <w:rFonts w:ascii="Times New Roman" w:hAnsi="Times New Roman"/>
          <w:bCs/>
          <w:sz w:val="24"/>
        </w:rPr>
        <w:t> </w:t>
      </w:r>
      <w:r w:rsidRPr="00835753">
        <w:rPr>
          <w:rFonts w:ascii="Times New Roman" w:hAnsi="Times New Roman"/>
          <w:bCs/>
          <w:sz w:val="24"/>
        </w:rPr>
        <w:t xml:space="preserve">a), b), d) i f) </w:t>
      </w:r>
      <w:r w:rsidRPr="00835753">
        <w:rPr>
          <w:rFonts w:ascii="Times New Roman" w:hAnsi="Times New Roman"/>
          <w:color w:val="000000"/>
          <w:sz w:val="24"/>
        </w:rPr>
        <w:t>rozporządzenia (UE) nr</w:t>
      </w:r>
      <w:r w:rsidR="00835753" w:rsidRPr="00835753">
        <w:rPr>
          <w:rFonts w:ascii="Times New Roman" w:hAnsi="Times New Roman"/>
          <w:color w:val="000000"/>
          <w:sz w:val="24"/>
        </w:rPr>
        <w:t> </w:t>
      </w:r>
      <w:r w:rsidRPr="00835753">
        <w:rPr>
          <w:rFonts w:ascii="Times New Roman" w:hAnsi="Times New Roman"/>
          <w:color w:val="000000"/>
          <w:sz w:val="24"/>
        </w:rPr>
        <w:t>575/2013</w:t>
      </w:r>
      <w:r w:rsidRPr="00835753">
        <w:rPr>
          <w:rStyle w:val="FootnoteReference"/>
          <w:color w:val="000000"/>
        </w:rPr>
        <w:footnoteReference w:id="28"/>
      </w:r>
      <w:r w:rsidRPr="00835753">
        <w:rPr>
          <w:rFonts w:ascii="Times New Roman" w:hAnsi="Times New Roman"/>
          <w:color w:val="000000"/>
          <w:sz w:val="24"/>
        </w:rPr>
        <w:t xml:space="preserve"> („CRR”)</w:t>
      </w:r>
      <w:r w:rsidRPr="00835753">
        <w:rPr>
          <w:rFonts w:ascii="Times New Roman" w:hAnsi="Times New Roman"/>
          <w:bCs/>
          <w:sz w:val="24"/>
        </w:rPr>
        <w:t>, dotyczące ich celów</w:t>
      </w:r>
      <w:r w:rsidR="00835753" w:rsidRPr="00835753">
        <w:rPr>
          <w:rFonts w:ascii="Times New Roman" w:hAnsi="Times New Roman"/>
          <w:bCs/>
          <w:sz w:val="24"/>
        </w:rPr>
        <w:t xml:space="preserve"> i</w:t>
      </w:r>
      <w:r w:rsidR="00835753">
        <w:rPr>
          <w:rFonts w:ascii="Times New Roman" w:hAnsi="Times New Roman"/>
          <w:bCs/>
          <w:sz w:val="24"/>
        </w:rPr>
        <w:t> </w:t>
      </w:r>
      <w:r w:rsidR="00835753" w:rsidRPr="00835753">
        <w:rPr>
          <w:rFonts w:ascii="Times New Roman" w:hAnsi="Times New Roman"/>
          <w:bCs/>
          <w:sz w:val="24"/>
        </w:rPr>
        <w:t>str</w:t>
      </w:r>
      <w:r w:rsidRPr="00835753">
        <w:rPr>
          <w:rFonts w:ascii="Times New Roman" w:hAnsi="Times New Roman"/>
          <w:bCs/>
          <w:sz w:val="24"/>
        </w:rPr>
        <w:t>ategii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zak</w:t>
      </w:r>
      <w:r w:rsidRPr="00835753">
        <w:rPr>
          <w:rFonts w:ascii="Times New Roman" w:hAnsi="Times New Roman"/>
          <w:bCs/>
          <w:sz w:val="24"/>
        </w:rPr>
        <w:t>resie zarządzania ryzykiem kredytowym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2F4B7B28" w:rsidR="004E71F4" w:rsidRPr="00835753" w:rsidRDefault="004E71F4"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0DD24241" w14:textId="77777777" w:rsidTr="00155C96">
        <w:trPr>
          <w:trHeight w:val="238"/>
        </w:trPr>
        <w:tc>
          <w:tcPr>
            <w:tcW w:w="1384" w:type="dxa"/>
            <w:shd w:val="clear" w:color="auto" w:fill="D9D9D9" w:themeFill="background1" w:themeFillShade="D9"/>
          </w:tcPr>
          <w:p w14:paraId="50A52832"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6B03DA15"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4E71F4" w:rsidRPr="00835753" w14:paraId="08E28A42" w14:textId="77777777" w:rsidTr="00155C96">
        <w:trPr>
          <w:trHeight w:val="935"/>
        </w:trPr>
        <w:tc>
          <w:tcPr>
            <w:tcW w:w="1384" w:type="dxa"/>
          </w:tcPr>
          <w:p w14:paraId="56447D5F" w14:textId="303A538F" w:rsidR="004E71F4" w:rsidRPr="00835753" w:rsidRDefault="00555DE1" w:rsidP="00555DE1">
            <w:pPr>
              <w:pStyle w:val="Applicationdirecte"/>
              <w:spacing w:before="0"/>
              <w:jc w:val="center"/>
            </w:pPr>
            <w:proofErr w:type="gramStart"/>
            <w:r w:rsidRPr="00835753">
              <w:t>a</w:t>
            </w:r>
            <w:proofErr w:type="gramEnd"/>
            <w:r w:rsidRPr="00835753">
              <w:t>)</w:t>
            </w:r>
          </w:p>
        </w:tc>
        <w:tc>
          <w:tcPr>
            <w:tcW w:w="7655" w:type="dxa"/>
          </w:tcPr>
          <w:p w14:paraId="1C8A8379" w14:textId="5427B0C7" w:rsidR="004E71F4" w:rsidRPr="00835753" w:rsidRDefault="004E71F4" w:rsidP="00155C96">
            <w:pPr>
              <w:pStyle w:val="Applicationdirecte"/>
              <w:spacing w:before="0"/>
            </w:pPr>
            <w:r w:rsidRPr="00835753">
              <w:t>W zwięzłym oświadczeniu na temat ryzyka zgodnie</w:t>
            </w:r>
            <w:r w:rsidR="00835753" w:rsidRPr="00835753">
              <w:t xml:space="preserve"> z</w:t>
            </w:r>
            <w:r w:rsidR="00835753">
              <w:t> </w:t>
            </w:r>
            <w:r w:rsidR="00835753" w:rsidRPr="00835753">
              <w:t>art</w:t>
            </w:r>
            <w:r w:rsidRPr="00835753">
              <w:t>.</w:t>
            </w:r>
            <w:r w:rsidR="00835753" w:rsidRPr="00835753">
              <w:t> </w:t>
            </w:r>
            <w:r w:rsidRPr="00835753">
              <w:t>435 ust.</w:t>
            </w:r>
            <w:r w:rsidR="00835753" w:rsidRPr="00835753">
              <w:t> </w:t>
            </w:r>
            <w:r w:rsidRPr="00835753">
              <w:t>1 lit.</w:t>
            </w:r>
            <w:r w:rsidR="00835753" w:rsidRPr="00835753">
              <w:t> </w:t>
            </w:r>
            <w:r w:rsidRPr="00835753">
              <w:t>f) CRR –</w:t>
            </w:r>
            <w:r w:rsidR="00835753" w:rsidRPr="00835753">
              <w:t xml:space="preserve"> w</w:t>
            </w:r>
            <w:r w:rsidR="00835753">
              <w:t> </w:t>
            </w:r>
            <w:r w:rsidR="00835753" w:rsidRPr="00835753">
              <w:t>jak</w:t>
            </w:r>
            <w:r w:rsidRPr="00835753">
              <w:t>i sposób model biznesowy przekłada się na części składowe profilu ryzyka kredytowego instytucji</w:t>
            </w:r>
          </w:p>
        </w:tc>
      </w:tr>
      <w:tr w:rsidR="004E71F4" w:rsidRPr="00835753" w14:paraId="1B71C28C" w14:textId="77777777" w:rsidTr="00155C96">
        <w:trPr>
          <w:trHeight w:val="1403"/>
        </w:trPr>
        <w:tc>
          <w:tcPr>
            <w:tcW w:w="1384" w:type="dxa"/>
          </w:tcPr>
          <w:p w14:paraId="75DEBC85" w14:textId="498C5810" w:rsidR="004E71F4" w:rsidRPr="00835753" w:rsidRDefault="00555DE1" w:rsidP="00555DE1">
            <w:pPr>
              <w:pStyle w:val="Applicationdirecte"/>
              <w:spacing w:before="0"/>
              <w:jc w:val="center"/>
            </w:pPr>
            <w:proofErr w:type="gramStart"/>
            <w:r w:rsidRPr="00835753">
              <w:t>b</w:t>
            </w:r>
            <w:proofErr w:type="gramEnd"/>
            <w:r w:rsidRPr="00835753">
              <w:t>)</w:t>
            </w:r>
          </w:p>
        </w:tc>
        <w:tc>
          <w:tcPr>
            <w:tcW w:w="7655" w:type="dxa"/>
          </w:tcPr>
          <w:p w14:paraId="7CF34382" w14:textId="42377FE2" w:rsidR="004E71F4" w:rsidRPr="00835753" w:rsidRDefault="004E71F4" w:rsidP="00155C96">
            <w:pPr>
              <w:pStyle w:val="Fait"/>
              <w:spacing w:before="0" w:after="120"/>
            </w:pPr>
            <w:r w:rsidRPr="00835753">
              <w:t>W ramach omawiania swoich strategii</w:t>
            </w:r>
            <w:r w:rsidR="00835753" w:rsidRPr="00835753">
              <w:t xml:space="preserve"> i</w:t>
            </w:r>
            <w:r w:rsidR="00835753">
              <w:t> </w:t>
            </w:r>
            <w:r w:rsidR="00835753" w:rsidRPr="00835753">
              <w:t>pro</w:t>
            </w:r>
            <w:r w:rsidRPr="00835753">
              <w:t>cesów zarządzania ryzykiem kredytowym oraz strategii</w:t>
            </w:r>
            <w:r w:rsidR="00835753" w:rsidRPr="00835753">
              <w:t xml:space="preserve"> w</w:t>
            </w:r>
            <w:r w:rsidR="00835753">
              <w:t> </w:t>
            </w:r>
            <w:r w:rsidR="00835753" w:rsidRPr="00835753">
              <w:t>zak</w:t>
            </w:r>
            <w:r w:rsidRPr="00835753">
              <w:t>resie zabezpieczenia</w:t>
            </w:r>
            <w:r w:rsidR="00835753" w:rsidRPr="00835753">
              <w:t xml:space="preserve"> i</w:t>
            </w:r>
            <w:r w:rsidR="00835753">
              <w:t> </w:t>
            </w:r>
            <w:r w:rsidR="00835753" w:rsidRPr="00835753">
              <w:t>ogr</w:t>
            </w:r>
            <w:r w:rsidRPr="00835753">
              <w:t>aniczenia tego ryzyka zgodnie</w:t>
            </w:r>
            <w:r w:rsidR="00835753" w:rsidRPr="00835753">
              <w:t xml:space="preserve"> z</w:t>
            </w:r>
            <w:r w:rsidR="00835753">
              <w:t> </w:t>
            </w:r>
            <w:r w:rsidR="00835753" w:rsidRPr="00835753">
              <w:t>art</w:t>
            </w:r>
            <w:r w:rsidRPr="00835753">
              <w:t>.</w:t>
            </w:r>
            <w:r w:rsidR="00835753" w:rsidRPr="00835753">
              <w:t> </w:t>
            </w:r>
            <w:r w:rsidRPr="00835753">
              <w:t>435 ust.</w:t>
            </w:r>
            <w:r w:rsidR="00835753" w:rsidRPr="00835753">
              <w:t> </w:t>
            </w:r>
            <w:r w:rsidRPr="00835753">
              <w:t>1 lit.</w:t>
            </w:r>
            <w:r w:rsidR="00835753" w:rsidRPr="00835753">
              <w:t> </w:t>
            </w:r>
            <w:r w:rsidRPr="00835753">
              <w:t>a) i d) CRR – kryteria</w:t>
            </w:r>
            <w:r w:rsidR="00835753" w:rsidRPr="00835753">
              <w:t xml:space="preserve"> i</w:t>
            </w:r>
            <w:r w:rsidR="00835753">
              <w:t> </w:t>
            </w:r>
            <w:r w:rsidR="00835753" w:rsidRPr="00835753">
              <w:t>met</w:t>
            </w:r>
            <w:r w:rsidRPr="00835753">
              <w:t>ody stosowane do określania strategii zarządzania ryzykiem kredytowym</w:t>
            </w:r>
            <w:r w:rsidR="00835753" w:rsidRPr="00835753">
              <w:t xml:space="preserve"> i</w:t>
            </w:r>
            <w:r w:rsidR="00835753">
              <w:t> </w:t>
            </w:r>
            <w:r w:rsidR="00835753" w:rsidRPr="00835753">
              <w:t>ust</w:t>
            </w:r>
            <w:r w:rsidRPr="00835753">
              <w:t>alania limitów ryzyka kredytowego</w:t>
            </w:r>
          </w:p>
        </w:tc>
      </w:tr>
      <w:tr w:rsidR="004E71F4" w:rsidRPr="00835753" w14:paraId="178A46CE" w14:textId="77777777" w:rsidTr="00155C96">
        <w:trPr>
          <w:trHeight w:val="755"/>
        </w:trPr>
        <w:tc>
          <w:tcPr>
            <w:tcW w:w="1384" w:type="dxa"/>
          </w:tcPr>
          <w:p w14:paraId="7641331F" w14:textId="40CA5622" w:rsidR="004E71F4" w:rsidRPr="00835753" w:rsidRDefault="00555DE1" w:rsidP="00555DE1">
            <w:pPr>
              <w:pStyle w:val="Applicationdirecte"/>
              <w:spacing w:before="0"/>
              <w:jc w:val="center"/>
            </w:pPr>
            <w:proofErr w:type="gramStart"/>
            <w:r w:rsidRPr="00835753">
              <w:lastRenderedPageBreak/>
              <w:t>c</w:t>
            </w:r>
            <w:proofErr w:type="gramEnd"/>
            <w:r w:rsidRPr="00835753">
              <w:t>)</w:t>
            </w:r>
          </w:p>
        </w:tc>
        <w:tc>
          <w:tcPr>
            <w:tcW w:w="7655" w:type="dxa"/>
          </w:tcPr>
          <w:p w14:paraId="3E532A4B" w14:textId="392B2D97" w:rsidR="004E71F4" w:rsidRPr="00835753" w:rsidRDefault="004E71F4" w:rsidP="00155C96">
            <w:pPr>
              <w:pStyle w:val="Applicationdirecte"/>
              <w:spacing w:before="0"/>
            </w:pPr>
            <w:r w:rsidRPr="00835753">
              <w:t>Podczas informowania</w:t>
            </w:r>
            <w:r w:rsidR="00835753" w:rsidRPr="00835753">
              <w:t xml:space="preserve"> o</w:t>
            </w:r>
            <w:r w:rsidR="00835753">
              <w:t> </w:t>
            </w:r>
            <w:r w:rsidR="00835753" w:rsidRPr="00835753">
              <w:t>str</w:t>
            </w:r>
            <w:r w:rsidRPr="00835753">
              <w:t>ukturze</w:t>
            </w:r>
            <w:r w:rsidR="00835753" w:rsidRPr="00835753">
              <w:t xml:space="preserve"> i</w:t>
            </w:r>
            <w:r w:rsidR="00835753">
              <w:t> </w:t>
            </w:r>
            <w:r w:rsidR="00835753" w:rsidRPr="00835753">
              <w:t>org</w:t>
            </w:r>
            <w:r w:rsidRPr="00835753">
              <w:t>anizacji funkcji zarządzania ryzykiem zgodnie</w:t>
            </w:r>
            <w:r w:rsidR="00835753" w:rsidRPr="00835753">
              <w:t xml:space="preserve"> z</w:t>
            </w:r>
            <w:r w:rsidR="00835753">
              <w:t> </w:t>
            </w:r>
            <w:r w:rsidR="00835753" w:rsidRPr="00835753">
              <w:t>art</w:t>
            </w:r>
            <w:r w:rsidRPr="00835753">
              <w:t>.</w:t>
            </w:r>
            <w:r w:rsidR="00835753" w:rsidRPr="00835753">
              <w:t> </w:t>
            </w:r>
            <w:r w:rsidRPr="00835753">
              <w:t>435 ust.</w:t>
            </w:r>
            <w:r w:rsidR="00835753" w:rsidRPr="00835753">
              <w:t> </w:t>
            </w:r>
            <w:r w:rsidRPr="00835753">
              <w:t>1 lit.</w:t>
            </w:r>
            <w:r w:rsidR="00835753" w:rsidRPr="00835753">
              <w:t> </w:t>
            </w:r>
            <w:r w:rsidRPr="00835753">
              <w:t>b) CRR – struktura</w:t>
            </w:r>
            <w:r w:rsidR="00835753" w:rsidRPr="00835753">
              <w:t xml:space="preserve"> i</w:t>
            </w:r>
            <w:r w:rsidR="00835753">
              <w:t> </w:t>
            </w:r>
            <w:r w:rsidR="00835753" w:rsidRPr="00835753">
              <w:t>org</w:t>
            </w:r>
            <w:r w:rsidRPr="00835753">
              <w:t>anizacja funkcji zarządzania ryzykiem kredytowym</w:t>
            </w:r>
            <w:r w:rsidR="00835753" w:rsidRPr="00835753">
              <w:t xml:space="preserve"> i</w:t>
            </w:r>
            <w:r w:rsidR="00835753">
              <w:t> </w:t>
            </w:r>
            <w:r w:rsidR="00835753" w:rsidRPr="00835753">
              <w:t>fun</w:t>
            </w:r>
            <w:r w:rsidRPr="00835753">
              <w:t>kcji kontroli</w:t>
            </w:r>
          </w:p>
        </w:tc>
      </w:tr>
      <w:tr w:rsidR="004E71F4" w:rsidRPr="00835753" w14:paraId="31DFB78E" w14:textId="77777777" w:rsidTr="00155C96">
        <w:trPr>
          <w:trHeight w:val="755"/>
        </w:trPr>
        <w:tc>
          <w:tcPr>
            <w:tcW w:w="1384" w:type="dxa"/>
          </w:tcPr>
          <w:p w14:paraId="2ECB1239" w14:textId="73A34545" w:rsidR="004E71F4" w:rsidRPr="00835753" w:rsidRDefault="00555DE1" w:rsidP="00555DE1">
            <w:pPr>
              <w:pStyle w:val="Applicationdirecte"/>
              <w:spacing w:before="0"/>
              <w:jc w:val="center"/>
            </w:pPr>
            <w:proofErr w:type="gramStart"/>
            <w:r w:rsidRPr="00835753">
              <w:t>d</w:t>
            </w:r>
            <w:proofErr w:type="gramEnd"/>
            <w:r w:rsidRPr="00835753">
              <w:t>)</w:t>
            </w:r>
          </w:p>
        </w:tc>
        <w:tc>
          <w:tcPr>
            <w:tcW w:w="7655" w:type="dxa"/>
          </w:tcPr>
          <w:p w14:paraId="3F86CFD3" w14:textId="6C575028" w:rsidR="004E71F4" w:rsidRPr="00835753" w:rsidRDefault="004E71F4" w:rsidP="00155C96">
            <w:pPr>
              <w:pStyle w:val="Applicationdirecte"/>
              <w:spacing w:before="0"/>
            </w:pPr>
            <w:r w:rsidRPr="00835753">
              <w:t>Podczas informowania</w:t>
            </w:r>
            <w:r w:rsidR="00835753" w:rsidRPr="00835753">
              <w:t xml:space="preserve"> o</w:t>
            </w:r>
            <w:r w:rsidR="00835753">
              <w:t> </w:t>
            </w:r>
            <w:r w:rsidR="00835753" w:rsidRPr="00835753">
              <w:t>org</w:t>
            </w:r>
            <w:r w:rsidRPr="00835753">
              <w:t>anie, statusie</w:t>
            </w:r>
            <w:r w:rsidR="00835753" w:rsidRPr="00835753">
              <w:t xml:space="preserve"> i</w:t>
            </w:r>
            <w:r w:rsidR="00835753">
              <w:t> </w:t>
            </w:r>
            <w:r w:rsidR="00835753" w:rsidRPr="00835753">
              <w:t>inn</w:t>
            </w:r>
            <w:r w:rsidRPr="00835753">
              <w:t>ych ustaleniach dotyczących funkcji zarządzania ryzykiem zgodnie</w:t>
            </w:r>
            <w:r w:rsidR="00835753" w:rsidRPr="00835753">
              <w:t xml:space="preserve"> z</w:t>
            </w:r>
            <w:r w:rsidR="00835753">
              <w:t> </w:t>
            </w:r>
            <w:r w:rsidR="00835753" w:rsidRPr="00835753">
              <w:t>art</w:t>
            </w:r>
            <w:r w:rsidRPr="00835753">
              <w:t>.</w:t>
            </w:r>
            <w:r w:rsidR="00835753" w:rsidRPr="00835753">
              <w:t> </w:t>
            </w:r>
            <w:r w:rsidRPr="00835753">
              <w:t>435 ust.</w:t>
            </w:r>
            <w:r w:rsidR="00835753" w:rsidRPr="00835753">
              <w:t> </w:t>
            </w:r>
            <w:r w:rsidRPr="00835753">
              <w:t>1 lit.</w:t>
            </w:r>
            <w:r w:rsidR="00835753" w:rsidRPr="00835753">
              <w:t> </w:t>
            </w:r>
            <w:r w:rsidRPr="00835753">
              <w:t>b) CRR – związek między funkcjami zarządzania ryzykiem kredytowym, kontroli ryzyka, zgodności</w:t>
            </w:r>
            <w:r w:rsidR="00835753" w:rsidRPr="00835753">
              <w:t xml:space="preserve"> i</w:t>
            </w:r>
            <w:r w:rsidR="00835753">
              <w:t> </w:t>
            </w:r>
            <w:r w:rsidR="00835753" w:rsidRPr="00835753">
              <w:t>aud</w:t>
            </w:r>
            <w:r w:rsidRPr="00835753">
              <w:t>ytu wewnętrznego</w:t>
            </w:r>
          </w:p>
        </w:tc>
      </w:tr>
    </w:tbl>
    <w:p w14:paraId="6E919D9F" w14:textId="715B2898" w:rsidR="004E71F4" w:rsidRPr="00835753" w:rsidRDefault="00D95507" w:rsidP="004E71F4">
      <w:pPr>
        <w:autoSpaceDE w:val="0"/>
        <w:autoSpaceDN w:val="0"/>
        <w:adjustRightInd w:val="0"/>
        <w:spacing w:before="240" w:after="120"/>
        <w:rPr>
          <w:rFonts w:ascii="Times New Roman" w:hAnsi="Times New Roman" w:cs="Times New Roman"/>
          <w:b/>
          <w:sz w:val="24"/>
        </w:rPr>
      </w:pPr>
      <w:r w:rsidRPr="00835753">
        <w:rPr>
          <w:rFonts w:ascii="Times New Roman" w:hAnsi="Times New Roman"/>
          <w:b/>
          <w:sz w:val="24"/>
        </w:rPr>
        <w:t>Tabela EU CRB: Ujawnianie dodatkowych informacji dotyczących jakości kredytowej aktywów</w:t>
      </w:r>
    </w:p>
    <w:p w14:paraId="6358D133" w14:textId="19C6428A" w:rsidR="004E71F4" w:rsidRPr="00835753" w:rsidRDefault="004E71F4" w:rsidP="004E71F4">
      <w:pPr>
        <w:pStyle w:val="ListParagraph"/>
        <w:numPr>
          <w:ilvl w:val="0"/>
          <w:numId w:val="46"/>
        </w:numPr>
        <w:autoSpaceDE w:val="0"/>
        <w:autoSpaceDN w:val="0"/>
        <w:adjustRightInd w:val="0"/>
        <w:spacing w:after="120"/>
        <w:jc w:val="both"/>
        <w:rPr>
          <w:rFonts w:ascii="Times New Roman" w:hAnsi="Times New Roman"/>
          <w:sz w:val="24"/>
        </w:rPr>
      </w:pPr>
      <w:r w:rsidRPr="00835753">
        <w:rPr>
          <w:rFonts w:ascii="Times New Roman" w:hAnsi="Times New Roman"/>
          <w:sz w:val="24"/>
        </w:rPr>
        <w:t>W celu wypełnienia tabeli EU CRB zamieszczonej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 xml:space="preserve">ączniku XV do niniejszego rozporządzenia wykonawczego </w:t>
      </w:r>
      <w:r w:rsidRPr="00835753">
        <w:rPr>
          <w:rFonts w:ascii="Times New Roman" w:hAnsi="Times New Roman"/>
          <w:bCs/>
          <w:sz w:val="24"/>
        </w:rPr>
        <w:t xml:space="preserve">instytucje </w:t>
      </w:r>
      <w:r w:rsidRPr="00835753">
        <w:rPr>
          <w:rFonts w:ascii="Times New Roman" w:hAnsi="Times New Roman"/>
          <w:sz w:val="24"/>
        </w:rPr>
        <w:t>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442 lit.</w:t>
      </w:r>
      <w:r w:rsidR="00835753" w:rsidRPr="00835753">
        <w:rPr>
          <w:rFonts w:ascii="Times New Roman" w:hAnsi="Times New Roman"/>
          <w:bCs/>
          <w:sz w:val="24"/>
        </w:rPr>
        <w:t> </w:t>
      </w:r>
      <w:r w:rsidRPr="00835753">
        <w:rPr>
          <w:rFonts w:ascii="Times New Roman" w:hAnsi="Times New Roman"/>
          <w:bCs/>
          <w:sz w:val="24"/>
        </w:rPr>
        <w:t xml:space="preserve">a) i b) </w:t>
      </w:r>
      <w:r w:rsidRPr="00835753">
        <w:rPr>
          <w:rFonts w:ascii="Times New Roman" w:hAnsi="Times New Roman"/>
          <w:color w:val="000000"/>
          <w:sz w:val="24"/>
        </w:rPr>
        <w:t>CRR</w:t>
      </w:r>
      <w:r w:rsidRPr="00835753">
        <w:rPr>
          <w:rFonts w:ascii="Times New Roman" w:hAnsi="Times New Roman"/>
          <w:bCs/>
          <w:sz w:val="24"/>
        </w:rPr>
        <w:t>,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w:t>
      </w:r>
      <w:r w:rsidRPr="00835753">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5B8A01E1" w:rsidR="004E71F4" w:rsidRPr="00835753" w:rsidRDefault="004E71F4"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26556FF9" w14:textId="77777777" w:rsidTr="00155C96">
        <w:trPr>
          <w:trHeight w:val="238"/>
        </w:trPr>
        <w:tc>
          <w:tcPr>
            <w:tcW w:w="1384" w:type="dxa"/>
            <w:shd w:val="clear" w:color="auto" w:fill="D9D9D9" w:themeFill="background1" w:themeFillShade="D9"/>
          </w:tcPr>
          <w:p w14:paraId="3DDF285F"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351CA0E6"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6C4B59" w:rsidRPr="00835753" w14:paraId="4A0466B8" w14:textId="77777777" w:rsidTr="00155C96">
        <w:trPr>
          <w:trHeight w:val="710"/>
        </w:trPr>
        <w:tc>
          <w:tcPr>
            <w:tcW w:w="1384" w:type="dxa"/>
          </w:tcPr>
          <w:p w14:paraId="36B563D2" w14:textId="64D5D3DD" w:rsidR="006C4B59" w:rsidRPr="00835753" w:rsidRDefault="006C4B59" w:rsidP="006C4B59">
            <w:pPr>
              <w:pStyle w:val="Applicationdirecte"/>
              <w:spacing w:before="0"/>
              <w:jc w:val="center"/>
            </w:pPr>
            <w:proofErr w:type="gramStart"/>
            <w:r w:rsidRPr="00835753">
              <w:t>a</w:t>
            </w:r>
            <w:proofErr w:type="gramEnd"/>
            <w:r w:rsidRPr="00835753">
              <w:t>)</w:t>
            </w:r>
          </w:p>
        </w:tc>
        <w:tc>
          <w:tcPr>
            <w:tcW w:w="7655" w:type="dxa"/>
          </w:tcPr>
          <w:p w14:paraId="67C34A40" w14:textId="73EB554E" w:rsidR="006C4B59" w:rsidRPr="00835753" w:rsidRDefault="006C4B59" w:rsidP="006C4B59">
            <w:pPr>
              <w:pStyle w:val="Applicationdirecte"/>
              <w:spacing w:before="0"/>
            </w:pPr>
            <w:r w:rsidRPr="00835753">
              <w:t>Zakres</w:t>
            </w:r>
            <w:r w:rsidR="00835753" w:rsidRPr="00835753">
              <w:t xml:space="preserve"> i</w:t>
            </w:r>
            <w:r w:rsidR="00835753">
              <w:t> </w:t>
            </w:r>
            <w:r w:rsidR="00835753" w:rsidRPr="00835753">
              <w:t>def</w:t>
            </w:r>
            <w:r w:rsidRPr="00835753">
              <w:t>inicje ekspozycji „przeterminowanych” i „dotkniętych utratą wartości” stosowane</w:t>
            </w:r>
            <w:r w:rsidR="00835753" w:rsidRPr="00835753">
              <w:t xml:space="preserve"> w</w:t>
            </w:r>
            <w:r w:rsidR="00835753">
              <w:t> </w:t>
            </w:r>
            <w:r w:rsidR="00835753" w:rsidRPr="00835753">
              <w:t>rac</w:t>
            </w:r>
            <w:r w:rsidRPr="00835753">
              <w:t>hunkowości oraz różnice, jeśli takie występują, między definicjami ekspozycji „przeterminowanych” i „których dotyczy niewykonanie zobowiązania” stosowanymi</w:t>
            </w:r>
            <w:r w:rsidR="00835753" w:rsidRPr="00835753">
              <w:t xml:space="preserve"> w</w:t>
            </w:r>
            <w:r w:rsidR="00835753">
              <w:t> </w:t>
            </w:r>
            <w:r w:rsidR="00835753" w:rsidRPr="00835753">
              <w:t>rac</w:t>
            </w:r>
            <w:r w:rsidRPr="00835753">
              <w:t>hunkowości i do celów regulacyjnych zgodnie</w:t>
            </w:r>
            <w:r w:rsidR="00835753" w:rsidRPr="00835753">
              <w:t xml:space="preserve"> z</w:t>
            </w:r>
            <w:r w:rsidR="00835753">
              <w:t> </w:t>
            </w:r>
            <w:r w:rsidR="00835753" w:rsidRPr="00835753">
              <w:t>art</w:t>
            </w:r>
            <w:r w:rsidRPr="00835753">
              <w:t>.</w:t>
            </w:r>
            <w:r w:rsidR="00835753" w:rsidRPr="00835753">
              <w:t> </w:t>
            </w:r>
            <w:r w:rsidRPr="00835753">
              <w:t>178 CRR.</w:t>
            </w:r>
          </w:p>
        </w:tc>
      </w:tr>
      <w:tr w:rsidR="006C4B59" w:rsidRPr="00835753" w14:paraId="193BE82D" w14:textId="77777777" w:rsidTr="00155C96">
        <w:trPr>
          <w:trHeight w:val="800"/>
        </w:trPr>
        <w:tc>
          <w:tcPr>
            <w:tcW w:w="1384" w:type="dxa"/>
          </w:tcPr>
          <w:p w14:paraId="25E58925" w14:textId="458E85A8" w:rsidR="006C4B59" w:rsidRPr="00835753" w:rsidRDefault="006C4B59" w:rsidP="006C4B59">
            <w:pPr>
              <w:pStyle w:val="Applicationdirecte"/>
              <w:spacing w:before="0"/>
              <w:jc w:val="center"/>
            </w:pPr>
            <w:proofErr w:type="gramStart"/>
            <w:r w:rsidRPr="00835753">
              <w:t>b</w:t>
            </w:r>
            <w:proofErr w:type="gramEnd"/>
            <w:r w:rsidRPr="00835753">
              <w:t>)</w:t>
            </w:r>
          </w:p>
        </w:tc>
        <w:tc>
          <w:tcPr>
            <w:tcW w:w="7655" w:type="dxa"/>
          </w:tcPr>
          <w:p w14:paraId="71CB2449" w14:textId="3764216C" w:rsidR="006C4B59" w:rsidRPr="00835753" w:rsidRDefault="006C4B59" w:rsidP="006C4B59">
            <w:pPr>
              <w:pStyle w:val="Fait"/>
              <w:spacing w:before="0" w:after="120"/>
            </w:pPr>
            <w:r w:rsidRPr="00835753">
              <w:t>Zakres,</w:t>
            </w:r>
            <w:r w:rsidR="00835753" w:rsidRPr="00835753">
              <w:t xml:space="preserve"> w</w:t>
            </w:r>
            <w:r w:rsidR="00835753">
              <w:t> </w:t>
            </w:r>
            <w:r w:rsidR="00835753" w:rsidRPr="00835753">
              <w:t>jak</w:t>
            </w:r>
            <w:r w:rsidRPr="00835753">
              <w:t>im ekspozycje przeterminowane (ponad 90 dni) nie są uznawane za ekspozycje dotknięte utratą wartości oraz jaki jest tego powód</w:t>
            </w:r>
          </w:p>
        </w:tc>
      </w:tr>
      <w:tr w:rsidR="006C4B59" w:rsidRPr="00835753" w14:paraId="3C7E51BE" w14:textId="77777777" w:rsidTr="00155C96">
        <w:trPr>
          <w:trHeight w:val="755"/>
        </w:trPr>
        <w:tc>
          <w:tcPr>
            <w:tcW w:w="1384" w:type="dxa"/>
          </w:tcPr>
          <w:p w14:paraId="2A46D04E" w14:textId="2C2AE0FF" w:rsidR="006C4B59" w:rsidRPr="00835753" w:rsidRDefault="006C4B59" w:rsidP="006C4B59">
            <w:pPr>
              <w:pStyle w:val="Applicationdirecte"/>
              <w:spacing w:before="0"/>
              <w:jc w:val="center"/>
            </w:pPr>
            <w:proofErr w:type="gramStart"/>
            <w:r w:rsidRPr="00835753">
              <w:t>c</w:t>
            </w:r>
            <w:proofErr w:type="gramEnd"/>
            <w:r w:rsidRPr="00835753">
              <w:t>)</w:t>
            </w:r>
          </w:p>
        </w:tc>
        <w:tc>
          <w:tcPr>
            <w:tcW w:w="7655" w:type="dxa"/>
          </w:tcPr>
          <w:p w14:paraId="79B1FE86" w14:textId="4CC4443C" w:rsidR="006C4B59" w:rsidRPr="00835753" w:rsidRDefault="006C4B59" w:rsidP="006C4B59">
            <w:pPr>
              <w:pStyle w:val="Applicationdirecte"/>
              <w:spacing w:before="0"/>
            </w:pPr>
            <w:r w:rsidRPr="00835753">
              <w:t>Opis metod stosowanych do celów określania korekt</w:t>
            </w:r>
            <w:r w:rsidR="00835753" w:rsidRPr="00835753">
              <w:t xml:space="preserve"> z</w:t>
            </w:r>
            <w:r w:rsidR="00835753">
              <w:t> </w:t>
            </w:r>
            <w:r w:rsidR="00835753" w:rsidRPr="00835753">
              <w:t>tyt</w:t>
            </w:r>
            <w:r w:rsidRPr="00835753">
              <w:t>ułu ogólnego</w:t>
            </w:r>
            <w:r w:rsidR="00835753" w:rsidRPr="00835753">
              <w:t xml:space="preserve"> i</w:t>
            </w:r>
            <w:r w:rsidR="00835753">
              <w:t> </w:t>
            </w:r>
            <w:r w:rsidR="00835753" w:rsidRPr="00835753">
              <w:t>szc</w:t>
            </w:r>
            <w:r w:rsidRPr="00835753">
              <w:t>zególnego ryzyka kredytowego.</w:t>
            </w:r>
          </w:p>
        </w:tc>
      </w:tr>
      <w:tr w:rsidR="006C4B59" w:rsidRPr="00835753" w14:paraId="17D3C32C" w14:textId="77777777" w:rsidTr="00155C96">
        <w:trPr>
          <w:trHeight w:val="755"/>
        </w:trPr>
        <w:tc>
          <w:tcPr>
            <w:tcW w:w="1384" w:type="dxa"/>
          </w:tcPr>
          <w:p w14:paraId="5512B1A0" w14:textId="047D9C5C" w:rsidR="006C4B59" w:rsidRPr="00835753" w:rsidRDefault="006C4B59" w:rsidP="006C4B59">
            <w:pPr>
              <w:pStyle w:val="Applicationdirecte"/>
              <w:spacing w:before="0"/>
              <w:jc w:val="center"/>
            </w:pPr>
            <w:proofErr w:type="gramStart"/>
            <w:r w:rsidRPr="00835753">
              <w:t>d</w:t>
            </w:r>
            <w:proofErr w:type="gramEnd"/>
            <w:r w:rsidRPr="00835753">
              <w:t>)</w:t>
            </w:r>
          </w:p>
        </w:tc>
        <w:tc>
          <w:tcPr>
            <w:tcW w:w="7655" w:type="dxa"/>
          </w:tcPr>
          <w:p w14:paraId="49352B87" w14:textId="33DD7B27" w:rsidR="006C4B59" w:rsidRPr="00835753" w:rsidRDefault="006C4B59" w:rsidP="006C4B59">
            <w:pPr>
              <w:pStyle w:val="Applicationdirecte"/>
              <w:spacing w:before="0"/>
            </w:pPr>
            <w:r w:rsidRPr="00835753">
              <w:t>Własna definicja ekspozycji objętej restrukturyzacją stosowana przez instytucję</w:t>
            </w:r>
            <w:r w:rsidR="00835753" w:rsidRPr="00835753">
              <w:t xml:space="preserve"> w</w:t>
            </w:r>
            <w:r w:rsidR="00835753">
              <w:t> </w:t>
            </w:r>
            <w:r w:rsidR="00835753" w:rsidRPr="00835753">
              <w:t>cel</w:t>
            </w:r>
            <w:r w:rsidRPr="00835753">
              <w:t>u wdrożenia art.</w:t>
            </w:r>
            <w:r w:rsidR="00835753" w:rsidRPr="00835753">
              <w:t> </w:t>
            </w:r>
            <w:r w:rsidRPr="00835753">
              <w:t>178 ust.</w:t>
            </w:r>
            <w:r w:rsidR="00835753" w:rsidRPr="00835753">
              <w:t> </w:t>
            </w:r>
            <w:r w:rsidRPr="00835753">
              <w:t>3 lit.</w:t>
            </w:r>
            <w:r w:rsidR="00835753" w:rsidRPr="00835753">
              <w:t> </w:t>
            </w:r>
            <w:r w:rsidRPr="00835753">
              <w:t>d) CRR zgodnie</w:t>
            </w:r>
            <w:r w:rsidR="00835753" w:rsidRPr="00835753">
              <w:t xml:space="preserve"> z</w:t>
            </w:r>
            <w:r w:rsidR="00835753">
              <w:t> </w:t>
            </w:r>
            <w:r w:rsidR="00835753" w:rsidRPr="00835753">
              <w:t>art</w:t>
            </w:r>
            <w:r w:rsidRPr="00835753">
              <w:t>.</w:t>
            </w:r>
            <w:r w:rsidR="00835753" w:rsidRPr="00835753">
              <w:t> </w:t>
            </w:r>
            <w:r w:rsidRPr="00835753">
              <w:t>178 CRR, jeśli różni się ona od definicji ekspozycji objętych działaniami restrukturyzacyjnymi zawartej</w:t>
            </w:r>
            <w:r w:rsidR="00835753" w:rsidRPr="00835753">
              <w:t xml:space="preserve"> w</w:t>
            </w:r>
            <w:r w:rsidR="00835753">
              <w:t> </w:t>
            </w:r>
            <w:r w:rsidR="00835753" w:rsidRPr="00835753">
              <w:t>art</w:t>
            </w:r>
            <w:r w:rsidRPr="00835753">
              <w:t>.</w:t>
            </w:r>
            <w:r w:rsidR="00835753" w:rsidRPr="00835753">
              <w:t> </w:t>
            </w:r>
            <w:r w:rsidRPr="00835753">
              <w:t>47b CRR.</w:t>
            </w:r>
          </w:p>
        </w:tc>
      </w:tr>
    </w:tbl>
    <w:p w14:paraId="31F31C64" w14:textId="77777777" w:rsidR="004E71F4" w:rsidRPr="00835753" w:rsidRDefault="004E71F4" w:rsidP="004E71F4">
      <w:pPr>
        <w:autoSpaceDE w:val="0"/>
        <w:autoSpaceDN w:val="0"/>
        <w:adjustRightInd w:val="0"/>
        <w:spacing w:after="120"/>
        <w:jc w:val="both"/>
        <w:rPr>
          <w:rFonts w:ascii="Times New Roman" w:hAnsi="Times New Roman"/>
          <w:b/>
          <w:sz w:val="24"/>
        </w:rPr>
      </w:pPr>
    </w:p>
    <w:p w14:paraId="56950503" w14:textId="7D508A63" w:rsidR="004E71F4" w:rsidRPr="00835753" w:rsidRDefault="00CD362D" w:rsidP="004E71F4">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Wzór EU CR1: Ekspozycje obsługiwane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nie</w:t>
      </w:r>
      <w:r w:rsidRPr="00835753">
        <w:rPr>
          <w:rFonts w:ascii="Times New Roman" w:hAnsi="Times New Roman"/>
          <w:b/>
          <w:sz w:val="24"/>
        </w:rPr>
        <w:t>obsługiwane oraz powiązane rezerwy</w:t>
      </w:r>
    </w:p>
    <w:p w14:paraId="2DEE3861" w14:textId="4BED16E9" w:rsidR="004E71F4" w:rsidRPr="00835753" w:rsidRDefault="004E71F4" w:rsidP="004E71F4">
      <w:pPr>
        <w:pStyle w:val="ListParagraph"/>
        <w:numPr>
          <w:ilvl w:val="0"/>
          <w:numId w:val="46"/>
        </w:numPr>
        <w:autoSpaceDE w:val="0"/>
        <w:autoSpaceDN w:val="0"/>
        <w:adjustRightInd w:val="0"/>
        <w:spacing w:after="120"/>
        <w:contextualSpacing/>
        <w:jc w:val="both"/>
        <w:rPr>
          <w:rFonts w:ascii="Times New Roman" w:hAnsi="Times New Roman"/>
          <w:sz w:val="24"/>
        </w:rPr>
      </w:pPr>
      <w:r w:rsidRPr="00835753">
        <w:rPr>
          <w:rFonts w:ascii="Times New Roman" w:hAnsi="Times New Roman"/>
          <w:bCs/>
          <w:sz w:val="24"/>
        </w:rPr>
        <w:t>W celu wypełnienia wzoru EU CR1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ączniku XV do niniejszego rozporządzenia wykonawczego instytucje ujawniają informacje,</w:t>
      </w:r>
      <w:r w:rsidR="00835753" w:rsidRPr="00835753">
        <w:rPr>
          <w:rFonts w:ascii="Times New Roman" w:hAnsi="Times New Roman"/>
          <w:bCs/>
          <w:sz w:val="24"/>
        </w:rPr>
        <w:t xml:space="preserve"> o</w:t>
      </w:r>
      <w:r w:rsidR="00835753">
        <w:rPr>
          <w:rFonts w:ascii="Times New Roman" w:hAnsi="Times New Roman"/>
          <w:bCs/>
          <w:sz w:val="24"/>
        </w:rPr>
        <w:t> </w:t>
      </w:r>
      <w:r w:rsidR="00835753" w:rsidRPr="00835753">
        <w:rPr>
          <w:rFonts w:ascii="Times New Roman" w:hAnsi="Times New Roman"/>
          <w:bCs/>
          <w:sz w:val="24"/>
        </w:rPr>
        <w:t>któ</w:t>
      </w:r>
      <w:r w:rsidRPr="00835753">
        <w:rPr>
          <w:rFonts w:ascii="Times New Roman" w:hAnsi="Times New Roman"/>
          <w:bCs/>
          <w:sz w:val="24"/>
        </w:rPr>
        <w:t>rych mowa</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442 lit.</w:t>
      </w:r>
      <w:r w:rsidR="00835753" w:rsidRPr="00835753">
        <w:rPr>
          <w:rFonts w:ascii="Times New Roman" w:hAnsi="Times New Roman"/>
          <w:bCs/>
          <w:sz w:val="24"/>
        </w:rPr>
        <w:t> </w:t>
      </w:r>
      <w:r w:rsidRPr="00835753">
        <w:rPr>
          <w:rFonts w:ascii="Times New Roman" w:hAnsi="Times New Roman"/>
          <w:bCs/>
          <w:sz w:val="24"/>
        </w:rPr>
        <w:t xml:space="preserve">c) i e) </w:t>
      </w:r>
      <w:r w:rsidRPr="00835753">
        <w:rPr>
          <w:rFonts w:ascii="Times New Roman" w:hAnsi="Times New Roman"/>
          <w:color w:val="000000"/>
          <w:sz w:val="24"/>
        </w:rPr>
        <w:t>CRR</w:t>
      </w:r>
      <w:r w:rsidRPr="00835753">
        <w:rPr>
          <w:rFonts w:ascii="Times New Roman" w:hAnsi="Times New Roman"/>
          <w:bCs/>
          <w:sz w:val="24"/>
        </w:rPr>
        <w:t>,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35A3EEFF" w:rsidR="004E71F4" w:rsidRPr="00835753" w:rsidRDefault="004E71F4"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5B8EB450" w14:textId="77777777" w:rsidTr="00155C96">
        <w:trPr>
          <w:trHeight w:val="238"/>
        </w:trPr>
        <w:tc>
          <w:tcPr>
            <w:tcW w:w="1384" w:type="dxa"/>
            <w:shd w:val="clear" w:color="auto" w:fill="D9D9D9" w:themeFill="background1" w:themeFillShade="D9"/>
          </w:tcPr>
          <w:p w14:paraId="229A58D4"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164E7943"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4E71F4" w:rsidRPr="00835753" w14:paraId="28F735B5" w14:textId="77777777" w:rsidTr="00155C96">
        <w:trPr>
          <w:trHeight w:val="845"/>
        </w:trPr>
        <w:tc>
          <w:tcPr>
            <w:tcW w:w="1384" w:type="dxa"/>
          </w:tcPr>
          <w:p w14:paraId="0CA84B04" w14:textId="77777777" w:rsidR="004E71F4" w:rsidRPr="00835753" w:rsidRDefault="004E71F4" w:rsidP="00155C96">
            <w:pPr>
              <w:pStyle w:val="Applicationdirecte"/>
              <w:spacing w:before="0"/>
            </w:pPr>
            <w:r w:rsidRPr="00835753">
              <w:lastRenderedPageBreak/>
              <w:t>005</w:t>
            </w:r>
          </w:p>
        </w:tc>
        <w:tc>
          <w:tcPr>
            <w:tcW w:w="7655" w:type="dxa"/>
          </w:tcPr>
          <w:p w14:paraId="2F5285C9" w14:textId="18A2ED76" w:rsidR="004E71F4" w:rsidRPr="00835753" w:rsidRDefault="004E71F4" w:rsidP="00155C96">
            <w:pPr>
              <w:pStyle w:val="Applicationdirecte"/>
              <w:spacing w:before="0"/>
              <w:rPr>
                <w:b/>
              </w:rPr>
            </w:pPr>
            <w:r w:rsidRPr="00835753">
              <w:rPr>
                <w:b/>
              </w:rPr>
              <w:t>Salda pieniężne</w:t>
            </w:r>
            <w:r w:rsidR="00835753" w:rsidRPr="00835753">
              <w:rPr>
                <w:b/>
              </w:rPr>
              <w:t xml:space="preserve"> w</w:t>
            </w:r>
            <w:r w:rsidR="00835753">
              <w:rPr>
                <w:b/>
              </w:rPr>
              <w:t> </w:t>
            </w:r>
            <w:r w:rsidR="00835753" w:rsidRPr="00835753">
              <w:rPr>
                <w:b/>
              </w:rPr>
              <w:t>ban</w:t>
            </w:r>
            <w:r w:rsidRPr="00835753">
              <w:rPr>
                <w:b/>
              </w:rPr>
              <w:t>kach centralnych</w:t>
            </w:r>
            <w:r w:rsidR="00835753" w:rsidRPr="00835753">
              <w:rPr>
                <w:b/>
              </w:rPr>
              <w:t xml:space="preserve"> i</w:t>
            </w:r>
            <w:r w:rsidR="00835753">
              <w:rPr>
                <w:b/>
              </w:rPr>
              <w:t> </w:t>
            </w:r>
            <w:r w:rsidR="00835753" w:rsidRPr="00835753">
              <w:rPr>
                <w:b/>
              </w:rPr>
              <w:t>inn</w:t>
            </w:r>
            <w:r w:rsidRPr="00835753">
              <w:rPr>
                <w:b/>
              </w:rPr>
              <w:t>e depozyty płatne na żądanie</w:t>
            </w:r>
          </w:p>
          <w:p w14:paraId="0BE345BE" w14:textId="225B36FB" w:rsidR="004E71F4" w:rsidRPr="00835753" w:rsidRDefault="004E71F4" w:rsidP="00155C96">
            <w:pPr>
              <w:pStyle w:val="Applicationdirecte"/>
              <w:spacing w:before="0"/>
            </w:pPr>
            <w:r w:rsidRPr="00835753">
              <w:t>Instytucje ujawniają te informacje zgodnie</w:t>
            </w:r>
            <w:r w:rsidR="00835753" w:rsidRPr="00835753">
              <w:t xml:space="preserve"> z</w:t>
            </w:r>
            <w:r w:rsidR="00835753">
              <w:t> </w:t>
            </w:r>
            <w:r w:rsidR="00835753" w:rsidRPr="00835753">
              <w:t>inf</w:t>
            </w:r>
            <w:r w:rsidRPr="00835753">
              <w:t>ormacjami przedstawionymi</w:t>
            </w:r>
            <w:r w:rsidR="00835753" w:rsidRPr="00835753">
              <w:t xml:space="preserve"> w</w:t>
            </w:r>
            <w:r w:rsidR="00835753">
              <w:t> </w:t>
            </w:r>
            <w:r w:rsidR="00835753" w:rsidRPr="00835753">
              <w:t>zał</w:t>
            </w:r>
            <w:r w:rsidRPr="00835753">
              <w:t>ącznikach III i IV do rozporządzenia wykonawczego Komisji (UE) nr</w:t>
            </w:r>
            <w:r w:rsidR="00835753" w:rsidRPr="00835753">
              <w:t> </w:t>
            </w:r>
            <w:r w:rsidRPr="00835753">
              <w:t>680/2014</w:t>
            </w:r>
            <w:r w:rsidRPr="00835753">
              <w:rPr>
                <w:rStyle w:val="FootnoteReference"/>
              </w:rPr>
              <w:footnoteReference w:id="29"/>
            </w:r>
            <w:r w:rsidRPr="00835753">
              <w:t>.</w:t>
            </w:r>
          </w:p>
        </w:tc>
      </w:tr>
      <w:tr w:rsidR="004E71F4" w:rsidRPr="00835753" w14:paraId="4A9485D2" w14:textId="77777777" w:rsidTr="00155C96">
        <w:trPr>
          <w:trHeight w:val="845"/>
        </w:trPr>
        <w:tc>
          <w:tcPr>
            <w:tcW w:w="1384" w:type="dxa"/>
          </w:tcPr>
          <w:p w14:paraId="2ED436A0" w14:textId="77777777" w:rsidR="004E71F4" w:rsidRPr="00835753" w:rsidRDefault="004E71F4" w:rsidP="00155C96">
            <w:pPr>
              <w:pStyle w:val="Applicationdirecte"/>
              <w:spacing w:before="0"/>
            </w:pPr>
            <w:r w:rsidRPr="00835753">
              <w:t>010</w:t>
            </w:r>
          </w:p>
        </w:tc>
        <w:tc>
          <w:tcPr>
            <w:tcW w:w="7655" w:type="dxa"/>
          </w:tcPr>
          <w:p w14:paraId="1E4051BF" w14:textId="6F205186" w:rsidR="004E71F4" w:rsidRPr="00835753" w:rsidRDefault="004E71F4" w:rsidP="00155C96">
            <w:pPr>
              <w:pStyle w:val="Applicationdirecte"/>
              <w:spacing w:before="0"/>
              <w:rPr>
                <w:b/>
              </w:rPr>
            </w:pPr>
            <w:r w:rsidRPr="00835753">
              <w:rPr>
                <w:b/>
              </w:rPr>
              <w:t>Kredyty</w:t>
            </w:r>
            <w:r w:rsidR="00835753" w:rsidRPr="00835753">
              <w:rPr>
                <w:b/>
              </w:rPr>
              <w:t xml:space="preserve"> i</w:t>
            </w:r>
            <w:r w:rsidR="00835753">
              <w:rPr>
                <w:b/>
              </w:rPr>
              <w:t> </w:t>
            </w:r>
            <w:r w:rsidR="00835753" w:rsidRPr="00835753">
              <w:rPr>
                <w:b/>
              </w:rPr>
              <w:t>zal</w:t>
            </w:r>
            <w:r w:rsidRPr="00835753">
              <w:rPr>
                <w:b/>
              </w:rPr>
              <w:t>iczki</w:t>
            </w:r>
          </w:p>
          <w:p w14:paraId="248CDA04" w14:textId="5936547F" w:rsidR="004E71F4" w:rsidRPr="00835753" w:rsidRDefault="004E71F4" w:rsidP="00155C96">
            <w:pPr>
              <w:pStyle w:val="Applicationdirecte"/>
              <w:spacing w:before="0"/>
            </w:pPr>
            <w:r w:rsidRPr="00835753">
              <w:t>Kredyty</w:t>
            </w:r>
            <w:r w:rsidR="00835753" w:rsidRPr="00835753">
              <w:t xml:space="preserve"> i</w:t>
            </w:r>
            <w:r w:rsidR="00835753">
              <w:t> </w:t>
            </w:r>
            <w:r w:rsidR="00835753" w:rsidRPr="00835753">
              <w:t>zal</w:t>
            </w:r>
            <w:r w:rsidRPr="00835753">
              <w:t>iczki są to posiadane przez instytucje instrumenty dłużne niebędące papierami wartościowymi; pozycja ta obejmuje „kredyty” zgodnie</w:t>
            </w:r>
            <w:r w:rsidR="00835753" w:rsidRPr="00835753">
              <w:t xml:space="preserve"> z</w:t>
            </w:r>
            <w:r w:rsidR="00835753">
              <w:t> </w:t>
            </w:r>
            <w:r w:rsidR="00835753" w:rsidRPr="00835753">
              <w:t>roz</w:t>
            </w:r>
            <w:r w:rsidRPr="00835753">
              <w:t>porządzeniem (UE) nr</w:t>
            </w:r>
            <w:r w:rsidR="00835753" w:rsidRPr="00835753">
              <w:t> </w:t>
            </w:r>
            <w:r w:rsidRPr="00835753">
              <w:t>1071/2013 („rozporządzenie EBC</w:t>
            </w:r>
            <w:r w:rsidR="00835753" w:rsidRPr="00835753">
              <w:t xml:space="preserve"> w</w:t>
            </w:r>
            <w:r w:rsidR="00835753">
              <w:t> </w:t>
            </w:r>
            <w:r w:rsidR="00835753" w:rsidRPr="00835753">
              <w:t>spr</w:t>
            </w:r>
            <w:r w:rsidRPr="00835753">
              <w:t>awie pozycji bilansowych</w:t>
            </w:r>
            <w:proofErr w:type="gramStart"/>
            <w:r w:rsidRPr="00835753">
              <w:t>”)</w:t>
            </w:r>
            <w:r w:rsidRPr="00835753">
              <w:rPr>
                <w:rStyle w:val="FootnoteReference"/>
              </w:rPr>
              <w:footnoteReference w:id="30"/>
            </w:r>
            <w:r w:rsidRPr="00835753">
              <w:t>, jak</w:t>
            </w:r>
            <w:proofErr w:type="gramEnd"/>
            <w:r w:rsidRPr="00835753">
              <w:t xml:space="preserve"> również zaliczki, których nie można sklasyfikować jako „kredyty”, zgodnie</w:t>
            </w:r>
            <w:r w:rsidR="00835753" w:rsidRPr="00835753">
              <w:t xml:space="preserve"> z</w:t>
            </w:r>
            <w:r w:rsidR="00835753">
              <w:t> </w:t>
            </w:r>
            <w:r w:rsidR="00835753" w:rsidRPr="00835753">
              <w:t>roz</w:t>
            </w:r>
            <w:r w:rsidRPr="00835753">
              <w:t>porządzeniem EBC</w:t>
            </w:r>
            <w:r w:rsidR="00835753" w:rsidRPr="00835753">
              <w:t xml:space="preserve"> w</w:t>
            </w:r>
            <w:r w:rsidR="00835753">
              <w:t> </w:t>
            </w:r>
            <w:r w:rsidR="00835753" w:rsidRPr="00835753">
              <w:t>spr</w:t>
            </w:r>
            <w:r w:rsidRPr="00835753">
              <w:t>awie pozycji bilansowych, jak określono</w:t>
            </w:r>
            <w:r w:rsidR="00835753" w:rsidRPr="00835753">
              <w:t xml:space="preserve"> w</w:t>
            </w:r>
            <w:r w:rsidR="00835753">
              <w:t> </w:t>
            </w:r>
            <w:r w:rsidR="00835753" w:rsidRPr="00835753">
              <w:t>czę</w:t>
            </w:r>
            <w:r w:rsidRPr="00835753">
              <w:t>ści 1 pkt</w:t>
            </w:r>
            <w:r w:rsidR="00835753" w:rsidRPr="00835753">
              <w:t> </w:t>
            </w:r>
            <w:r w:rsidRPr="00835753">
              <w:t>32 załącznika V do rozporządzenia wykonawczego Komisji (UE) nr</w:t>
            </w:r>
            <w:r w:rsidR="00835753" w:rsidRPr="00835753">
              <w:t> </w:t>
            </w:r>
            <w:r w:rsidRPr="00835753">
              <w:t>680/2014,</w:t>
            </w:r>
            <w:r w:rsidR="00835753" w:rsidRPr="00835753">
              <w:t xml:space="preserve"> z</w:t>
            </w:r>
            <w:r w:rsidR="00835753">
              <w:t> </w:t>
            </w:r>
            <w:r w:rsidR="00835753" w:rsidRPr="00835753">
              <w:t>wył</w:t>
            </w:r>
            <w:r w:rsidRPr="00835753">
              <w:t>ączeniem kredytów</w:t>
            </w:r>
            <w:r w:rsidR="00835753" w:rsidRPr="00835753">
              <w:t xml:space="preserve"> i</w:t>
            </w:r>
            <w:r w:rsidR="00835753">
              <w:t> </w:t>
            </w:r>
            <w:r w:rsidR="00835753" w:rsidRPr="00835753">
              <w:t>zal</w:t>
            </w:r>
            <w:r w:rsidRPr="00835753">
              <w:t>iczek sklasyfikowanych jako przeznaczone do sprzedaży, sald pieniężnych</w:t>
            </w:r>
            <w:r w:rsidR="00835753" w:rsidRPr="00835753">
              <w:t xml:space="preserve"> w</w:t>
            </w:r>
            <w:r w:rsidR="00835753">
              <w:t> </w:t>
            </w:r>
            <w:r w:rsidR="00835753" w:rsidRPr="00835753">
              <w:t>ban</w:t>
            </w:r>
            <w:r w:rsidRPr="00835753">
              <w:t>kach centralnych</w:t>
            </w:r>
            <w:r w:rsidR="00835753" w:rsidRPr="00835753">
              <w:t xml:space="preserve"> i</w:t>
            </w:r>
            <w:r w:rsidR="00835753">
              <w:t> </w:t>
            </w:r>
            <w:r w:rsidR="00835753" w:rsidRPr="00835753">
              <w:t>inn</w:t>
            </w:r>
            <w:r w:rsidRPr="00835753">
              <w:t>ych depozytów płatnych na żądanie</w:t>
            </w:r>
            <w:r w:rsidRPr="00835753">
              <w:rPr>
                <w:sz w:val="22"/>
                <w:szCs w:val="22"/>
              </w:rPr>
              <w:t>.</w:t>
            </w:r>
          </w:p>
        </w:tc>
      </w:tr>
      <w:tr w:rsidR="004E71F4" w:rsidRPr="00835753" w14:paraId="2E905633" w14:textId="77777777" w:rsidTr="00155C96">
        <w:trPr>
          <w:trHeight w:val="3366"/>
        </w:trPr>
        <w:tc>
          <w:tcPr>
            <w:tcW w:w="1384" w:type="dxa"/>
          </w:tcPr>
          <w:p w14:paraId="3EDEB63C" w14:textId="77777777" w:rsidR="004E71F4" w:rsidRPr="00835753" w:rsidRDefault="004E71F4" w:rsidP="00155C96">
            <w:pPr>
              <w:pStyle w:val="Applicationdirecte"/>
              <w:spacing w:before="0"/>
            </w:pPr>
            <w:r w:rsidRPr="00835753">
              <w:t>020–060, 080, 100–140, 160–210</w:t>
            </w:r>
          </w:p>
        </w:tc>
        <w:tc>
          <w:tcPr>
            <w:tcW w:w="7655" w:type="dxa"/>
          </w:tcPr>
          <w:p w14:paraId="0101F9B0" w14:textId="77777777" w:rsidR="004E71F4" w:rsidRPr="00835753" w:rsidRDefault="004E71F4" w:rsidP="00155C96">
            <w:pPr>
              <w:pStyle w:val="Applicationdirecte"/>
              <w:spacing w:before="0"/>
              <w:rPr>
                <w:b/>
              </w:rPr>
            </w:pPr>
            <w:r w:rsidRPr="00835753">
              <w:rPr>
                <w:b/>
              </w:rPr>
              <w:t>Podział według kontrahentów</w:t>
            </w:r>
          </w:p>
          <w:p w14:paraId="43D478E7" w14:textId="29138C96" w:rsidR="004E71F4" w:rsidRPr="00835753" w:rsidRDefault="004E71F4" w:rsidP="00155C96">
            <w:pPr>
              <w:pStyle w:val="Applicationdirecte"/>
              <w:spacing w:before="0"/>
            </w:pPr>
            <w:r w:rsidRPr="00835753">
              <w:t>Instytucje stosują podział według kontrahentów, jak określono</w:t>
            </w:r>
            <w:r w:rsidR="00835753" w:rsidRPr="00835753">
              <w:t xml:space="preserve"> w</w:t>
            </w:r>
            <w:r w:rsidR="00835753">
              <w:t> </w:t>
            </w:r>
            <w:r w:rsidR="00835753" w:rsidRPr="00835753">
              <w:t>czę</w:t>
            </w:r>
            <w:r w:rsidRPr="00835753">
              <w:t>ści 1 pkt</w:t>
            </w:r>
            <w:r w:rsidR="00835753" w:rsidRPr="00835753">
              <w:t> </w:t>
            </w:r>
            <w:r w:rsidRPr="00835753">
              <w:t>42 załącznika V do rozporządzenia wykonawczego Komisji (UE) nr</w:t>
            </w:r>
            <w:r w:rsidR="00835753" w:rsidRPr="00835753">
              <w:t> </w:t>
            </w:r>
            <w:r w:rsidRPr="00835753">
              <w:t>680/2014.</w:t>
            </w:r>
          </w:p>
          <w:p w14:paraId="492F16F3" w14:textId="3ACD40A3" w:rsidR="004E71F4" w:rsidRPr="00835753" w:rsidRDefault="004E71F4" w:rsidP="00155C96">
            <w:pPr>
              <w:pStyle w:val="Fait"/>
              <w:spacing w:before="0" w:after="120"/>
            </w:pPr>
            <w:r w:rsidRPr="00835753">
              <w:t>Przypisanie do sektora kontrahentów opiera się wyłącznie na charakterze bezpośredniego kontrahenta. Ekspozycje utworzone wspólnie przez więcej niż jednego dłużnika klasyfikuje się</w:t>
            </w:r>
            <w:r w:rsidR="00835753" w:rsidRPr="00835753">
              <w:t xml:space="preserve"> w</w:t>
            </w:r>
            <w:r w:rsidR="00835753">
              <w:t> </w:t>
            </w:r>
            <w:r w:rsidR="00835753" w:rsidRPr="00835753">
              <w:t>opa</w:t>
            </w:r>
            <w:r w:rsidRPr="00835753">
              <w:t>rciu</w:t>
            </w:r>
            <w:r w:rsidR="00835753" w:rsidRPr="00835753">
              <w:t xml:space="preserve"> o</w:t>
            </w:r>
            <w:r w:rsidR="00835753">
              <w:t> </w:t>
            </w:r>
            <w:r w:rsidR="00835753" w:rsidRPr="00835753">
              <w:t>cec</w:t>
            </w:r>
            <w:r w:rsidRPr="00835753">
              <w:t>hy tego dłużnika, który miał dla instytucji większe lub decydujące znaczenie przy podejmowaniu decyzji</w:t>
            </w:r>
            <w:r w:rsidR="00835753" w:rsidRPr="00835753">
              <w:t xml:space="preserve"> o</w:t>
            </w:r>
            <w:r w:rsidR="00835753">
              <w:t> </w:t>
            </w:r>
            <w:r w:rsidR="00835753" w:rsidRPr="00835753">
              <w:t>prz</w:t>
            </w:r>
            <w:r w:rsidRPr="00835753">
              <w:t>yznaniu ekspozycji. Spośród innych klasyfikacji podział wspólnie utworzonych ekspozycji według sektora kontrahentów, kraju siedziby</w:t>
            </w:r>
            <w:r w:rsidR="00835753" w:rsidRPr="00835753">
              <w:t xml:space="preserve"> i</w:t>
            </w:r>
            <w:r w:rsidR="00835753">
              <w:t> </w:t>
            </w:r>
            <w:r w:rsidR="00835753" w:rsidRPr="00835753">
              <w:t>kod</w:t>
            </w:r>
            <w:r w:rsidRPr="00835753">
              <w:t>ów NACE opiera się na cechach tego dłużnika, który ma większe lub decydujące znaczenie.</w:t>
            </w:r>
          </w:p>
        </w:tc>
      </w:tr>
      <w:tr w:rsidR="004E71F4" w:rsidRPr="00835753" w14:paraId="41D8B1F4" w14:textId="77777777" w:rsidTr="00155C96">
        <w:trPr>
          <w:trHeight w:val="316"/>
        </w:trPr>
        <w:tc>
          <w:tcPr>
            <w:tcW w:w="1384" w:type="dxa"/>
          </w:tcPr>
          <w:p w14:paraId="7247A7E8"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sz w:val="24"/>
              </w:rPr>
              <w:t>070</w:t>
            </w:r>
          </w:p>
        </w:tc>
        <w:tc>
          <w:tcPr>
            <w:tcW w:w="7655" w:type="dxa"/>
          </w:tcPr>
          <w:p w14:paraId="42017720"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MŚP</w:t>
            </w:r>
          </w:p>
          <w:p w14:paraId="4D43EC9A" w14:textId="1D90EB97"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Jak określono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1 pkt</w:t>
            </w:r>
            <w:r w:rsidR="00835753" w:rsidRPr="00835753">
              <w:rPr>
                <w:rFonts w:ascii="Times New Roman" w:hAnsi="Times New Roman"/>
                <w:sz w:val="24"/>
              </w:rPr>
              <w:t> </w:t>
            </w:r>
            <w:r w:rsidRPr="00835753">
              <w:rPr>
                <w:rFonts w:ascii="Times New Roman" w:hAnsi="Times New Roman"/>
                <w:sz w:val="24"/>
              </w:rPr>
              <w:t>5 lit.</w:t>
            </w:r>
            <w:r w:rsidR="00835753" w:rsidRPr="00835753">
              <w:rPr>
                <w:rFonts w:ascii="Times New Roman" w:hAnsi="Times New Roman"/>
                <w:sz w:val="24"/>
              </w:rPr>
              <w:t> </w:t>
            </w:r>
            <w:r w:rsidRPr="00835753">
              <w:rPr>
                <w:rFonts w:ascii="Times New Roman" w:hAnsi="Times New Roman"/>
                <w:sz w:val="24"/>
              </w:rPr>
              <w:t>i) załącznika V do rozporządzenia wykonawczego Komisji (UE) nr</w:t>
            </w:r>
            <w:r w:rsidR="00835753" w:rsidRPr="00835753">
              <w:rPr>
                <w:rFonts w:ascii="Times New Roman" w:hAnsi="Times New Roman"/>
                <w:sz w:val="24"/>
              </w:rPr>
              <w:t> </w:t>
            </w:r>
            <w:r w:rsidRPr="00835753">
              <w:rPr>
                <w:rFonts w:ascii="Times New Roman" w:hAnsi="Times New Roman"/>
                <w:sz w:val="24"/>
              </w:rPr>
              <w:t>680/2014.</w:t>
            </w:r>
          </w:p>
        </w:tc>
      </w:tr>
      <w:tr w:rsidR="004E71F4" w:rsidRPr="00835753" w14:paraId="56A27E04" w14:textId="77777777" w:rsidTr="00155C96">
        <w:trPr>
          <w:trHeight w:val="530"/>
        </w:trPr>
        <w:tc>
          <w:tcPr>
            <w:tcW w:w="1384" w:type="dxa"/>
          </w:tcPr>
          <w:p w14:paraId="312FA799"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090</w:t>
            </w:r>
          </w:p>
        </w:tc>
        <w:tc>
          <w:tcPr>
            <w:tcW w:w="7655" w:type="dxa"/>
          </w:tcPr>
          <w:p w14:paraId="0C3D56C7"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Dłużne papiery wartościowe</w:t>
            </w:r>
          </w:p>
          <w:p w14:paraId="2836BAA1" w14:textId="5D5A75C6" w:rsidR="004E71F4" w:rsidRPr="00835753" w:rsidRDefault="004E71F4" w:rsidP="00155C96">
            <w:pPr>
              <w:pStyle w:val="Applicationdirecte"/>
              <w:spacing w:before="0"/>
            </w:pPr>
            <w:r w:rsidRPr="00835753">
              <w:t>Dłużne papiery wartościowe są to posiadane przez instytucję instrumenty dłużne wyemitowane jako papiery wartościowe niebędące kredytami zgodnie</w:t>
            </w:r>
            <w:r w:rsidR="00835753" w:rsidRPr="00835753">
              <w:t xml:space="preserve"> z</w:t>
            </w:r>
            <w:r w:rsidR="00835753">
              <w:t> </w:t>
            </w:r>
            <w:r w:rsidR="00835753" w:rsidRPr="00835753">
              <w:t>roz</w:t>
            </w:r>
            <w:r w:rsidRPr="00835753">
              <w:t>porządzeniem EBC</w:t>
            </w:r>
            <w:r w:rsidR="00835753" w:rsidRPr="00835753">
              <w:t xml:space="preserve"> w</w:t>
            </w:r>
            <w:r w:rsidR="00835753">
              <w:t> </w:t>
            </w:r>
            <w:r w:rsidR="00835753" w:rsidRPr="00835753">
              <w:t>spr</w:t>
            </w:r>
            <w:r w:rsidRPr="00835753">
              <w:t>awie pozycji bilansowych, jak określono</w:t>
            </w:r>
            <w:r w:rsidR="00835753" w:rsidRPr="00835753">
              <w:t xml:space="preserve"> w</w:t>
            </w:r>
            <w:r w:rsidR="00835753">
              <w:t> </w:t>
            </w:r>
            <w:r w:rsidR="00835753" w:rsidRPr="00835753">
              <w:t>czę</w:t>
            </w:r>
            <w:r w:rsidRPr="00835753">
              <w:t>ści 1 pkt</w:t>
            </w:r>
            <w:r w:rsidR="00835753" w:rsidRPr="00835753">
              <w:t> </w:t>
            </w:r>
            <w:r w:rsidRPr="00835753">
              <w:t>31 załącznika V do rozporządzenia wykonawczego Komisji (UE) nr</w:t>
            </w:r>
            <w:r w:rsidR="00835753" w:rsidRPr="00835753">
              <w:t> </w:t>
            </w:r>
            <w:r w:rsidRPr="00835753">
              <w:t>680/2014.</w:t>
            </w:r>
          </w:p>
        </w:tc>
      </w:tr>
      <w:tr w:rsidR="004E71F4" w:rsidRPr="00835753" w14:paraId="63FDFBDF" w14:textId="77777777" w:rsidTr="00155C96">
        <w:trPr>
          <w:trHeight w:val="620"/>
        </w:trPr>
        <w:tc>
          <w:tcPr>
            <w:tcW w:w="1384" w:type="dxa"/>
          </w:tcPr>
          <w:p w14:paraId="32C93CE4"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150</w:t>
            </w:r>
          </w:p>
        </w:tc>
        <w:tc>
          <w:tcPr>
            <w:tcW w:w="7655" w:type="dxa"/>
          </w:tcPr>
          <w:p w14:paraId="6D31BDB5"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Ekspozycje pozabilansowe</w:t>
            </w:r>
          </w:p>
          <w:p w14:paraId="2847C284" w14:textId="0AA55A62" w:rsidR="004E71F4" w:rsidRPr="00835753" w:rsidRDefault="004E71F4" w:rsidP="00155C96">
            <w:pPr>
              <w:pStyle w:val="Applicationdirecte"/>
              <w:spacing w:before="0"/>
            </w:pPr>
            <w:r w:rsidRPr="00835753">
              <w:t>Ekspozycje pozabilansowe obejmują pozycje pozabilansowe wymienione</w:t>
            </w:r>
            <w:r w:rsidR="00835753" w:rsidRPr="00835753">
              <w:t xml:space="preserve"> w</w:t>
            </w:r>
            <w:r w:rsidR="00835753">
              <w:t> </w:t>
            </w:r>
            <w:r w:rsidR="00835753" w:rsidRPr="00835753">
              <w:t>zał</w:t>
            </w:r>
            <w:r w:rsidRPr="00835753">
              <w:t>ączniku I do CRR.</w:t>
            </w:r>
          </w:p>
        </w:tc>
      </w:tr>
      <w:tr w:rsidR="004E71F4" w:rsidRPr="00835753" w14:paraId="3F2DE830" w14:textId="77777777" w:rsidTr="00155C96">
        <w:trPr>
          <w:trHeight w:val="144"/>
        </w:trPr>
        <w:tc>
          <w:tcPr>
            <w:tcW w:w="1384" w:type="dxa"/>
          </w:tcPr>
          <w:p w14:paraId="21B48383"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lastRenderedPageBreak/>
              <w:t>220</w:t>
            </w:r>
          </w:p>
        </w:tc>
        <w:tc>
          <w:tcPr>
            <w:tcW w:w="7655" w:type="dxa"/>
          </w:tcPr>
          <w:p w14:paraId="252608D7"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Ogółem</w:t>
            </w:r>
          </w:p>
        </w:tc>
      </w:tr>
    </w:tbl>
    <w:p w14:paraId="5F31493C" w14:textId="77777777" w:rsidR="004E71F4" w:rsidRPr="00835753"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4A27ED45" w14:textId="77777777" w:rsidTr="00155C96">
        <w:trPr>
          <w:trHeight w:val="238"/>
        </w:trPr>
        <w:tc>
          <w:tcPr>
            <w:tcW w:w="9039" w:type="dxa"/>
            <w:gridSpan w:val="2"/>
            <w:shd w:val="clear" w:color="auto" w:fill="D9D9D9" w:themeFill="background1" w:themeFillShade="D9"/>
          </w:tcPr>
          <w:p w14:paraId="00D36DCC" w14:textId="70F19714"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74A0F8A2" w14:textId="77777777" w:rsidTr="00155C96">
        <w:trPr>
          <w:trHeight w:val="238"/>
        </w:trPr>
        <w:tc>
          <w:tcPr>
            <w:tcW w:w="1384" w:type="dxa"/>
            <w:shd w:val="clear" w:color="auto" w:fill="D9D9D9" w:themeFill="background1" w:themeFillShade="D9"/>
          </w:tcPr>
          <w:p w14:paraId="78C658D0"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6C4A2CAE"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Wyjaśnienie</w:t>
            </w:r>
          </w:p>
        </w:tc>
      </w:tr>
      <w:tr w:rsidR="004E71F4" w:rsidRPr="00835753" w14:paraId="49D8844E" w14:textId="77777777" w:rsidTr="00155C96">
        <w:trPr>
          <w:trHeight w:val="841"/>
        </w:trPr>
        <w:tc>
          <w:tcPr>
            <w:tcW w:w="1384" w:type="dxa"/>
          </w:tcPr>
          <w:p w14:paraId="5E6F4E91" w14:textId="77777777" w:rsidR="004E71F4" w:rsidRPr="00835753" w:rsidRDefault="004E71F4" w:rsidP="00155C96">
            <w:pPr>
              <w:pStyle w:val="Applicationdirecte"/>
              <w:spacing w:before="0"/>
            </w:pPr>
            <w:proofErr w:type="gramStart"/>
            <w:r w:rsidRPr="00835753">
              <w:t>a</w:t>
            </w:r>
            <w:proofErr w:type="gramEnd"/>
            <w:r w:rsidRPr="00835753">
              <w:t>)</w:t>
            </w:r>
          </w:p>
        </w:tc>
        <w:tc>
          <w:tcPr>
            <w:tcW w:w="7655" w:type="dxa"/>
          </w:tcPr>
          <w:p w14:paraId="6F260A48" w14:textId="77777777" w:rsidR="004E71F4" w:rsidRPr="00835753" w:rsidRDefault="004E71F4" w:rsidP="00155C96">
            <w:pPr>
              <w:pStyle w:val="Fait"/>
              <w:spacing w:before="0" w:after="120"/>
              <w:rPr>
                <w:rFonts w:eastAsiaTheme="minorEastAsia"/>
                <w:b/>
              </w:rPr>
            </w:pPr>
            <w:r w:rsidRPr="00835753">
              <w:rPr>
                <w:b/>
              </w:rPr>
              <w:t>Wartość bilansowa brutto / kwota nominalna ekspozycji obsługiwanych</w:t>
            </w:r>
          </w:p>
          <w:p w14:paraId="216564CB" w14:textId="7B7F7AC5" w:rsidR="004E71F4" w:rsidRPr="00835753" w:rsidRDefault="004E71F4" w:rsidP="00155C96">
            <w:pPr>
              <w:pStyle w:val="Fait"/>
              <w:spacing w:before="0" w:after="120"/>
            </w:pPr>
            <w:r w:rsidRPr="00835753">
              <w:t>Wartość bilansowa brutto zgodnie</w:t>
            </w:r>
            <w:r w:rsidR="00835753" w:rsidRPr="00835753">
              <w:t xml:space="preserve"> z</w:t>
            </w:r>
            <w:r w:rsidR="00835753">
              <w:t> </w:t>
            </w:r>
            <w:r w:rsidR="00835753" w:rsidRPr="00835753">
              <w:t>def</w:t>
            </w:r>
            <w:r w:rsidRPr="00835753">
              <w:t>inicją zawartą</w:t>
            </w:r>
            <w:r w:rsidR="00835753" w:rsidRPr="00835753">
              <w:t xml:space="preserve"> w</w:t>
            </w:r>
            <w:r w:rsidR="00835753">
              <w:t> </w:t>
            </w:r>
            <w:r w:rsidR="00835753" w:rsidRPr="00835753">
              <w:t>czę</w:t>
            </w:r>
            <w:r w:rsidRPr="00835753">
              <w:t>ści 1 pkt</w:t>
            </w:r>
            <w:r w:rsidR="00835753" w:rsidRPr="00835753">
              <w:t> </w:t>
            </w:r>
            <w:r w:rsidRPr="00835753">
              <w:t>34 załącznika V do rozporządzenia wykonawczego Komisji (UE) nr</w:t>
            </w:r>
            <w:r w:rsidR="00835753" w:rsidRPr="00835753">
              <w:t> </w:t>
            </w:r>
            <w:r w:rsidRPr="00835753">
              <w:t>680/2014; kwota</w:t>
            </w:r>
            <w:r w:rsidRPr="00835753">
              <w:rPr>
                <w:i/>
              </w:rPr>
              <w:t xml:space="preserve"> nominalna zgodnie</w:t>
            </w:r>
            <w:r w:rsidR="00835753" w:rsidRPr="00835753">
              <w:rPr>
                <w:i/>
              </w:rPr>
              <w:t xml:space="preserve"> z</w:t>
            </w:r>
            <w:r w:rsidR="00835753">
              <w:rPr>
                <w:i/>
              </w:rPr>
              <w:t> </w:t>
            </w:r>
            <w:r w:rsidR="00835753" w:rsidRPr="00835753">
              <w:rPr>
                <w:i/>
              </w:rPr>
              <w:t>def</w:t>
            </w:r>
            <w:r w:rsidRPr="00835753">
              <w:rPr>
                <w:i/>
              </w:rPr>
              <w:t>inicją zawartą</w:t>
            </w:r>
            <w:r w:rsidR="00835753" w:rsidRPr="00835753">
              <w:rPr>
                <w:i/>
              </w:rPr>
              <w:t xml:space="preserve"> w</w:t>
            </w:r>
            <w:r w:rsidR="00835753">
              <w:rPr>
                <w:i/>
              </w:rPr>
              <w:t> </w:t>
            </w:r>
            <w:r w:rsidR="00835753" w:rsidRPr="00835753">
              <w:rPr>
                <w:i/>
              </w:rPr>
              <w:t>czę</w:t>
            </w:r>
            <w:r w:rsidRPr="00835753">
              <w:rPr>
                <w:i/>
              </w:rPr>
              <w:t>ści 2 pkt</w:t>
            </w:r>
            <w:r w:rsidR="00835753" w:rsidRPr="00835753">
              <w:rPr>
                <w:i/>
              </w:rPr>
              <w:t> </w:t>
            </w:r>
            <w:r w:rsidRPr="00835753">
              <w:rPr>
                <w:i/>
              </w:rPr>
              <w:t>118 załącznika V do rozporządzenia wykonawczego Komisji (UE) nr</w:t>
            </w:r>
            <w:r w:rsidR="00835753" w:rsidRPr="00835753">
              <w:rPr>
                <w:i/>
              </w:rPr>
              <w:t> </w:t>
            </w:r>
            <w:r w:rsidRPr="00835753">
              <w:rPr>
                <w:i/>
              </w:rPr>
              <w:t>680/2014</w:t>
            </w:r>
            <w:r w:rsidRPr="00835753">
              <w:t>.</w:t>
            </w:r>
          </w:p>
        </w:tc>
      </w:tr>
      <w:tr w:rsidR="004E71F4" w:rsidRPr="00835753" w14:paraId="742E1384" w14:textId="77777777" w:rsidTr="00155C96">
        <w:trPr>
          <w:trHeight w:val="841"/>
        </w:trPr>
        <w:tc>
          <w:tcPr>
            <w:tcW w:w="1384" w:type="dxa"/>
          </w:tcPr>
          <w:p w14:paraId="125885E5" w14:textId="77777777" w:rsidR="004E71F4" w:rsidRPr="00835753" w:rsidRDefault="004E71F4" w:rsidP="00155C96">
            <w:pPr>
              <w:pStyle w:val="Applicationdirecte"/>
              <w:spacing w:before="0"/>
            </w:pPr>
            <w:proofErr w:type="gramStart"/>
            <w:r w:rsidRPr="00835753">
              <w:rPr>
                <w:color w:val="000000"/>
              </w:rPr>
              <w:t>b</w:t>
            </w:r>
            <w:proofErr w:type="gramEnd"/>
            <w:r w:rsidRPr="00835753">
              <w:rPr>
                <w:color w:val="000000"/>
              </w:rPr>
              <w:t>), c), e), f), h), i), k) oraz l)</w:t>
            </w:r>
          </w:p>
        </w:tc>
        <w:tc>
          <w:tcPr>
            <w:tcW w:w="7655" w:type="dxa"/>
          </w:tcPr>
          <w:p w14:paraId="691568B2"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 tym faza 1/faza 2/faza 3</w:t>
            </w:r>
          </w:p>
          <w:p w14:paraId="755E71F1" w14:textId="76D3090A" w:rsidR="004E71F4" w:rsidRPr="00835753" w:rsidRDefault="004E71F4" w:rsidP="00155C96">
            <w:pPr>
              <w:pStyle w:val="Fait"/>
              <w:spacing w:before="0" w:after="120"/>
            </w:pPr>
            <w:r w:rsidRPr="00835753">
              <w:t>W przypadku instytucji stosujących MSSF kategorie utraty wartości zdefiniowane w MSSF 9 pkt</w:t>
            </w:r>
            <w:r w:rsidR="00835753" w:rsidRPr="00835753">
              <w:t> </w:t>
            </w:r>
            <w:r w:rsidRPr="00835753">
              <w:t>5.5. „Faza 1” odnosi się do utraty wartości zmierzonej zgodnie z MSSF 9 pkt</w:t>
            </w:r>
            <w:r w:rsidR="00835753" w:rsidRPr="00835753">
              <w:t> </w:t>
            </w:r>
            <w:r w:rsidRPr="00835753">
              <w:t>5.5.5. „Faza 2” odnosi się do utraty wartości zmierzonej zgodnie z MSSF 9 pkt</w:t>
            </w:r>
            <w:r w:rsidR="00835753" w:rsidRPr="00835753">
              <w:t> </w:t>
            </w:r>
            <w:r w:rsidRPr="00835753">
              <w:t>5.5.3. „Faza 3” odnosi się do utraty wartości aktywów dotkniętych utratą wartości ze względu na ryzyko kredytowe zgodnie</w:t>
            </w:r>
            <w:r w:rsidR="00835753" w:rsidRPr="00835753">
              <w:t xml:space="preserve"> z</w:t>
            </w:r>
            <w:r w:rsidR="00835753">
              <w:t> </w:t>
            </w:r>
            <w:r w:rsidR="00835753" w:rsidRPr="00835753">
              <w:t>def</w:t>
            </w:r>
            <w:r w:rsidRPr="00835753">
              <w:t>inicją zawartą w MSSF 9 załącznik A.</w:t>
            </w:r>
          </w:p>
          <w:p w14:paraId="43461F5D" w14:textId="06B9549A" w:rsidR="004E71F4" w:rsidRPr="00835753" w:rsidRDefault="004E71F4" w:rsidP="006127E4">
            <w:pPr>
              <w:pStyle w:val="Fait"/>
              <w:spacing w:before="0" w:after="120"/>
              <w:rPr>
                <w:rFonts w:eastAsiaTheme="minorEastAsia"/>
              </w:rPr>
            </w:pPr>
            <w:r w:rsidRPr="00835753">
              <w:t>Wartości</w:t>
            </w:r>
            <w:r w:rsidR="00835753" w:rsidRPr="00835753">
              <w:t xml:space="preserve"> w</w:t>
            </w:r>
            <w:r w:rsidR="00835753">
              <w:t> </w:t>
            </w:r>
            <w:r w:rsidR="00835753" w:rsidRPr="00835753">
              <w:t>kol</w:t>
            </w:r>
            <w:r w:rsidRPr="00835753">
              <w:t>umnach „W tym faza 1”, „W tym faza 2” i „W tym faza 3” nie ujawniają instytucje, które stosują ogólnie przyjęte krajowe zasady rachunkowości oparte na dyrektywie Rady 86/635/EWG</w:t>
            </w:r>
            <w:r w:rsidRPr="00835753">
              <w:rPr>
                <w:rStyle w:val="FootnoteReference"/>
              </w:rPr>
              <w:footnoteReference w:id="31"/>
            </w:r>
            <w:r w:rsidR="00835753" w:rsidRPr="00835753">
              <w:t xml:space="preserve"> w</w:t>
            </w:r>
            <w:r w:rsidR="00835753">
              <w:t> </w:t>
            </w:r>
            <w:r w:rsidR="00835753" w:rsidRPr="00835753">
              <w:t>spr</w:t>
            </w:r>
            <w:r w:rsidRPr="00835753">
              <w:t>awie rocznych</w:t>
            </w:r>
            <w:r w:rsidR="00835753" w:rsidRPr="00835753">
              <w:t xml:space="preserve"> i</w:t>
            </w:r>
            <w:r w:rsidR="00835753">
              <w:t> </w:t>
            </w:r>
            <w:r w:rsidR="00835753" w:rsidRPr="00835753">
              <w:t>sko</w:t>
            </w:r>
            <w:r w:rsidRPr="00835753">
              <w:t>nsolidowanych sprawozdań finansowych banków</w:t>
            </w:r>
            <w:r w:rsidR="00835753" w:rsidRPr="00835753">
              <w:t xml:space="preserve"> i</w:t>
            </w:r>
            <w:r w:rsidR="00835753">
              <w:t> </w:t>
            </w:r>
            <w:r w:rsidR="00835753" w:rsidRPr="00835753">
              <w:t>inn</w:t>
            </w:r>
            <w:r w:rsidRPr="00835753">
              <w:t>ych instytucji finansowych.</w:t>
            </w:r>
          </w:p>
        </w:tc>
      </w:tr>
      <w:tr w:rsidR="004E71F4" w:rsidRPr="00835753" w14:paraId="235B370E" w14:textId="77777777" w:rsidTr="00155C96">
        <w:trPr>
          <w:trHeight w:val="841"/>
        </w:trPr>
        <w:tc>
          <w:tcPr>
            <w:tcW w:w="1384" w:type="dxa"/>
          </w:tcPr>
          <w:p w14:paraId="26AF9BE7" w14:textId="77777777" w:rsidR="004E71F4" w:rsidRPr="00835753" w:rsidRDefault="004E71F4" w:rsidP="00155C96">
            <w:pPr>
              <w:pStyle w:val="Applicationdirecte"/>
              <w:spacing w:before="0"/>
            </w:pPr>
            <w:proofErr w:type="gramStart"/>
            <w:r w:rsidRPr="00835753">
              <w:t>d</w:t>
            </w:r>
            <w:proofErr w:type="gramEnd"/>
            <w:r w:rsidRPr="00835753">
              <w:t>)</w:t>
            </w:r>
          </w:p>
        </w:tc>
        <w:tc>
          <w:tcPr>
            <w:tcW w:w="7655" w:type="dxa"/>
          </w:tcPr>
          <w:p w14:paraId="39FCA497" w14:textId="77777777" w:rsidR="004E71F4" w:rsidRPr="00835753" w:rsidRDefault="004E71F4" w:rsidP="00155C96">
            <w:pPr>
              <w:pStyle w:val="Fait"/>
              <w:spacing w:before="0" w:after="120"/>
              <w:rPr>
                <w:rFonts w:eastAsiaTheme="minorEastAsia"/>
                <w:b/>
              </w:rPr>
            </w:pPr>
            <w:r w:rsidRPr="00835753">
              <w:rPr>
                <w:b/>
              </w:rPr>
              <w:t>Wartość bilansowa brutto / kwota nominalna ekspozycji nieobsługiwanych</w:t>
            </w:r>
          </w:p>
          <w:p w14:paraId="2C430D1F" w14:textId="1A2AFB78" w:rsidR="004E71F4" w:rsidRPr="00835753" w:rsidRDefault="004E71F4" w:rsidP="00155C96">
            <w:pPr>
              <w:pStyle w:val="Fait"/>
              <w:spacing w:before="0" w:after="120"/>
              <w:rPr>
                <w:b/>
              </w:rPr>
            </w:pPr>
            <w:r w:rsidRPr="00835753">
              <w:t>Wartość bilansowa brutto zgodnie</w:t>
            </w:r>
            <w:r w:rsidR="00835753" w:rsidRPr="00835753">
              <w:t xml:space="preserve"> z</w:t>
            </w:r>
            <w:r w:rsidR="00835753">
              <w:t> </w:t>
            </w:r>
            <w:r w:rsidR="00835753" w:rsidRPr="00835753">
              <w:t>def</w:t>
            </w:r>
            <w:r w:rsidRPr="00835753">
              <w:t>inicją zawartą</w:t>
            </w:r>
            <w:r w:rsidR="00835753" w:rsidRPr="00835753">
              <w:t xml:space="preserve"> w</w:t>
            </w:r>
            <w:r w:rsidR="00835753">
              <w:t> </w:t>
            </w:r>
            <w:r w:rsidR="00835753" w:rsidRPr="00835753">
              <w:t>czę</w:t>
            </w:r>
            <w:r w:rsidRPr="00835753">
              <w:t>ści 1 pkt</w:t>
            </w:r>
            <w:r w:rsidR="00835753" w:rsidRPr="00835753">
              <w:t> </w:t>
            </w:r>
            <w:r w:rsidRPr="00835753">
              <w:t>34 załącznika V do rozporządzenia wykonawczego Komisji (UE) nr</w:t>
            </w:r>
            <w:r w:rsidR="00835753" w:rsidRPr="00835753">
              <w:t> </w:t>
            </w:r>
            <w:r w:rsidRPr="00835753">
              <w:t>680/2014; kwota</w:t>
            </w:r>
            <w:r w:rsidRPr="00835753">
              <w:rPr>
                <w:i/>
              </w:rPr>
              <w:t xml:space="preserve"> nominalna zgodnie</w:t>
            </w:r>
            <w:r w:rsidR="00835753" w:rsidRPr="00835753">
              <w:rPr>
                <w:i/>
              </w:rPr>
              <w:t xml:space="preserve"> z</w:t>
            </w:r>
            <w:r w:rsidR="00835753">
              <w:rPr>
                <w:i/>
              </w:rPr>
              <w:t> </w:t>
            </w:r>
            <w:r w:rsidR="00835753" w:rsidRPr="00835753">
              <w:rPr>
                <w:i/>
              </w:rPr>
              <w:t>def</w:t>
            </w:r>
            <w:r w:rsidRPr="00835753">
              <w:rPr>
                <w:i/>
              </w:rPr>
              <w:t>inicją zawartą</w:t>
            </w:r>
            <w:r w:rsidR="00835753" w:rsidRPr="00835753">
              <w:rPr>
                <w:i/>
              </w:rPr>
              <w:t xml:space="preserve"> w</w:t>
            </w:r>
            <w:r w:rsidR="00835753">
              <w:rPr>
                <w:i/>
              </w:rPr>
              <w:t> </w:t>
            </w:r>
            <w:r w:rsidR="00835753" w:rsidRPr="00835753">
              <w:rPr>
                <w:i/>
              </w:rPr>
              <w:t>czę</w:t>
            </w:r>
            <w:r w:rsidRPr="00835753">
              <w:rPr>
                <w:i/>
              </w:rPr>
              <w:t>ści 2 pkt</w:t>
            </w:r>
            <w:r w:rsidR="00835753" w:rsidRPr="00835753">
              <w:rPr>
                <w:i/>
              </w:rPr>
              <w:t> </w:t>
            </w:r>
            <w:r w:rsidRPr="00835753">
              <w:rPr>
                <w:i/>
              </w:rPr>
              <w:t>118 załącznika V do rozporządzenia wykonawczego Komisji (UE) nr</w:t>
            </w:r>
            <w:r w:rsidR="00835753" w:rsidRPr="00835753">
              <w:rPr>
                <w:i/>
              </w:rPr>
              <w:t> </w:t>
            </w:r>
            <w:r w:rsidRPr="00835753">
              <w:rPr>
                <w:i/>
              </w:rPr>
              <w:t>680/2014</w:t>
            </w:r>
            <w:r w:rsidRPr="00835753">
              <w:t>. ekspozycje nieobsługiwane określone</w:t>
            </w:r>
            <w:r w:rsidR="00835753" w:rsidRPr="00835753">
              <w:t xml:space="preserve"> w</w:t>
            </w:r>
            <w:r w:rsidR="00835753">
              <w:t> </w:t>
            </w:r>
            <w:r w:rsidR="00835753" w:rsidRPr="00835753">
              <w:t>art</w:t>
            </w:r>
            <w:r w:rsidRPr="00835753">
              <w:t>.</w:t>
            </w:r>
            <w:r w:rsidR="00835753" w:rsidRPr="00835753">
              <w:t> </w:t>
            </w:r>
            <w:r w:rsidRPr="00835753">
              <w:t>47a CRR.</w:t>
            </w:r>
          </w:p>
        </w:tc>
      </w:tr>
      <w:tr w:rsidR="004E71F4" w:rsidRPr="00835753" w14:paraId="54D6AAA1" w14:textId="77777777" w:rsidTr="00155C96">
        <w:trPr>
          <w:trHeight w:val="316"/>
        </w:trPr>
        <w:tc>
          <w:tcPr>
            <w:tcW w:w="1384" w:type="dxa"/>
          </w:tcPr>
          <w:p w14:paraId="7D5BD0ED"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proofErr w:type="gramStart"/>
            <w:r w:rsidRPr="00835753">
              <w:rPr>
                <w:rFonts w:ascii="Times New Roman" w:hAnsi="Times New Roman"/>
                <w:color w:val="000000"/>
                <w:sz w:val="24"/>
              </w:rPr>
              <w:t>g</w:t>
            </w:r>
            <w:proofErr w:type="gramEnd"/>
            <w:r w:rsidRPr="00835753">
              <w:rPr>
                <w:rFonts w:ascii="Times New Roman" w:hAnsi="Times New Roman"/>
                <w:color w:val="000000"/>
                <w:sz w:val="24"/>
              </w:rPr>
              <w:t>)</w:t>
            </w:r>
          </w:p>
        </w:tc>
        <w:tc>
          <w:tcPr>
            <w:tcW w:w="7655" w:type="dxa"/>
          </w:tcPr>
          <w:p w14:paraId="466B00D2" w14:textId="0AD4CC7A"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Ekspozycje obsługiwane – skumulowana utrata wartości</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rez</w:t>
            </w:r>
            <w:r w:rsidRPr="00835753">
              <w:rPr>
                <w:rFonts w:ascii="Times New Roman" w:hAnsi="Times New Roman"/>
                <w:b/>
                <w:sz w:val="24"/>
              </w:rPr>
              <w:t>erwy</w:t>
            </w:r>
          </w:p>
          <w:p w14:paraId="120B4159" w14:textId="369DD052" w:rsidR="004E71F4" w:rsidRPr="00835753" w:rsidRDefault="004E71F4" w:rsidP="00155C96">
            <w:pPr>
              <w:pStyle w:val="Fait"/>
              <w:spacing w:before="0" w:after="120"/>
            </w:pPr>
            <w:r w:rsidRPr="00835753">
              <w:t>W tej pozycji ujmuje się kwoty ustalone zgodnie</w:t>
            </w:r>
            <w:r w:rsidR="00835753" w:rsidRPr="00835753">
              <w:t xml:space="preserve"> z</w:t>
            </w:r>
            <w:r w:rsidR="00835753">
              <w:t> </w:t>
            </w:r>
            <w:r w:rsidR="00835753" w:rsidRPr="00835753">
              <w:t>czę</w:t>
            </w:r>
            <w:r w:rsidRPr="00835753">
              <w:t>ścią 2 pkt</w:t>
            </w:r>
            <w:r w:rsidR="00835753" w:rsidRPr="00835753">
              <w:t> </w:t>
            </w:r>
            <w:r w:rsidRPr="00835753">
              <w:t>11, 69–71, 106</w:t>
            </w:r>
            <w:r w:rsidR="00835753" w:rsidRPr="00835753">
              <w:t xml:space="preserve"> i</w:t>
            </w:r>
            <w:r w:rsidR="00835753">
              <w:t> </w:t>
            </w:r>
            <w:r w:rsidR="00835753" w:rsidRPr="00835753">
              <w:t>1</w:t>
            </w:r>
            <w:r w:rsidRPr="00835753">
              <w:t>10 załącznika V do rozporządzenia wykonawczego Komisji (UE) nr</w:t>
            </w:r>
            <w:r w:rsidR="00835753" w:rsidRPr="00835753">
              <w:t> </w:t>
            </w:r>
            <w:r w:rsidRPr="00835753">
              <w:t>680/2014.</w:t>
            </w:r>
          </w:p>
        </w:tc>
      </w:tr>
      <w:tr w:rsidR="004E71F4" w:rsidRPr="00835753" w14:paraId="66A5BADE" w14:textId="77777777" w:rsidTr="00155C96">
        <w:trPr>
          <w:trHeight w:val="316"/>
        </w:trPr>
        <w:tc>
          <w:tcPr>
            <w:tcW w:w="1384" w:type="dxa"/>
          </w:tcPr>
          <w:p w14:paraId="4A5CBE46"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proofErr w:type="gramStart"/>
            <w:r w:rsidRPr="00835753">
              <w:rPr>
                <w:rFonts w:ascii="Times New Roman" w:hAnsi="Times New Roman"/>
                <w:color w:val="000000"/>
                <w:sz w:val="24"/>
              </w:rPr>
              <w:t>j</w:t>
            </w:r>
            <w:proofErr w:type="gramEnd"/>
            <w:r w:rsidRPr="00835753">
              <w:rPr>
                <w:rFonts w:ascii="Times New Roman" w:hAnsi="Times New Roman"/>
                <w:color w:val="000000"/>
                <w:sz w:val="24"/>
              </w:rPr>
              <w:t>)</w:t>
            </w:r>
          </w:p>
        </w:tc>
        <w:tc>
          <w:tcPr>
            <w:tcW w:w="7655" w:type="dxa"/>
          </w:tcPr>
          <w:p w14:paraId="62FC70D3" w14:textId="3C140314"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Ekspozycje nieobsługiwane – skumulowana utrata wartości, skumulowane ujemne zmiany wartości godziwej</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pow</w:t>
            </w:r>
            <w:r w:rsidRPr="00835753">
              <w:rPr>
                <w:rFonts w:ascii="Times New Roman" w:hAnsi="Times New Roman"/>
                <w:b/>
                <w:sz w:val="24"/>
              </w:rPr>
              <w:t>odu ryzyka kredytowego</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rez</w:t>
            </w:r>
            <w:r w:rsidRPr="00835753">
              <w:rPr>
                <w:rFonts w:ascii="Times New Roman" w:hAnsi="Times New Roman"/>
                <w:b/>
                <w:sz w:val="24"/>
              </w:rPr>
              <w:t>erwy</w:t>
            </w:r>
          </w:p>
          <w:p w14:paraId="09812FFD" w14:textId="19209F01" w:rsidR="004E71F4" w:rsidRPr="00835753" w:rsidRDefault="004E71F4" w:rsidP="00155C96">
            <w:pPr>
              <w:pStyle w:val="Fait"/>
              <w:spacing w:before="0" w:after="120"/>
            </w:pPr>
            <w:r w:rsidRPr="00835753">
              <w:lastRenderedPageBreak/>
              <w:t>Ekspozycje nieobsługiwane określone</w:t>
            </w:r>
            <w:r w:rsidR="00835753" w:rsidRPr="00835753">
              <w:t xml:space="preserve"> w</w:t>
            </w:r>
            <w:r w:rsidR="00835753">
              <w:t> </w:t>
            </w:r>
            <w:r w:rsidR="00835753" w:rsidRPr="00835753">
              <w:t>art</w:t>
            </w:r>
            <w:r w:rsidRPr="00835753">
              <w:t>.</w:t>
            </w:r>
            <w:r w:rsidR="00835753" w:rsidRPr="00835753">
              <w:t> </w:t>
            </w:r>
            <w:r w:rsidRPr="00835753">
              <w:t>47a CRR</w:t>
            </w:r>
          </w:p>
          <w:p w14:paraId="3C1AAE83" w14:textId="58B15A69" w:rsidR="004E71F4" w:rsidRPr="00835753" w:rsidRDefault="004E71F4" w:rsidP="00155C96">
            <w:pPr>
              <w:pStyle w:val="Fait"/>
              <w:spacing w:before="0" w:after="120"/>
              <w:rPr>
                <w:b/>
              </w:rPr>
            </w:pPr>
            <w:r w:rsidRPr="00835753">
              <w:t>W tej pozycji ujmuje się kwoty ustalone zgodnie</w:t>
            </w:r>
            <w:r w:rsidR="00835753" w:rsidRPr="00835753">
              <w:t xml:space="preserve"> z</w:t>
            </w:r>
            <w:r w:rsidR="00835753">
              <w:t> </w:t>
            </w:r>
            <w:r w:rsidR="00835753" w:rsidRPr="00835753">
              <w:t>czę</w:t>
            </w:r>
            <w:r w:rsidRPr="00835753">
              <w:t>ścią 2 pkt</w:t>
            </w:r>
            <w:r w:rsidR="00835753" w:rsidRPr="00835753">
              <w:t> </w:t>
            </w:r>
            <w:r w:rsidRPr="00835753">
              <w:t>11, 69–71, 106</w:t>
            </w:r>
            <w:r w:rsidR="00835753" w:rsidRPr="00835753">
              <w:t xml:space="preserve"> i</w:t>
            </w:r>
            <w:r w:rsidR="00835753">
              <w:t> </w:t>
            </w:r>
            <w:r w:rsidR="00835753" w:rsidRPr="00835753">
              <w:t>1</w:t>
            </w:r>
            <w:r w:rsidRPr="00835753">
              <w:t>10 załącznika V do rozporządzenia wykonawczego Komisji (UE) nr</w:t>
            </w:r>
            <w:r w:rsidR="00835753" w:rsidRPr="00835753">
              <w:t> </w:t>
            </w:r>
            <w:r w:rsidRPr="00835753">
              <w:t>680/2014.</w:t>
            </w:r>
          </w:p>
        </w:tc>
      </w:tr>
      <w:tr w:rsidR="004E71F4" w:rsidRPr="00835753" w14:paraId="2A6D57F2" w14:textId="77777777" w:rsidTr="00155C96">
        <w:trPr>
          <w:trHeight w:val="316"/>
        </w:trPr>
        <w:tc>
          <w:tcPr>
            <w:tcW w:w="1384" w:type="dxa"/>
          </w:tcPr>
          <w:p w14:paraId="7EFECA56"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lastRenderedPageBreak/>
              <w:t>m</w:t>
            </w:r>
            <w:proofErr w:type="gramEnd"/>
            <w:r w:rsidRPr="00835753">
              <w:rPr>
                <w:rFonts w:ascii="Times New Roman" w:hAnsi="Times New Roman"/>
                <w:sz w:val="24"/>
              </w:rPr>
              <w:t>)</w:t>
            </w:r>
          </w:p>
        </w:tc>
        <w:tc>
          <w:tcPr>
            <w:tcW w:w="7655" w:type="dxa"/>
          </w:tcPr>
          <w:p w14:paraId="0FA53078"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Skumulowane odpisania częściowe</w:t>
            </w:r>
          </w:p>
          <w:p w14:paraId="4F411C5F" w14:textId="6315A6E3" w:rsidR="004E71F4" w:rsidRPr="00835753" w:rsidRDefault="004E71F4"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Obejmują skumulowaną częściową kwotę na sprawozdawczy dzień odniesienia kwoty głównej oraz naliczonych zaległych odsetek</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opł</w:t>
            </w:r>
            <w:r w:rsidRPr="00835753">
              <w:rPr>
                <w:rFonts w:ascii="Times New Roman" w:hAnsi="Times New Roman"/>
                <w:sz w:val="24"/>
              </w:rPr>
              <w:t>at</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każdego instrumentu dłużnego, który do tej pory zaprzestano ujmować</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wyk</w:t>
            </w:r>
            <w:r w:rsidRPr="00835753">
              <w:rPr>
                <w:rFonts w:ascii="Times New Roman" w:hAnsi="Times New Roman"/>
                <w:sz w:val="24"/>
              </w:rPr>
              <w:t>orzystaniem którejkolwiek</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 opisanych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2 pkt</w:t>
            </w:r>
            <w:r w:rsidR="00835753" w:rsidRPr="00835753">
              <w:rPr>
                <w:rFonts w:ascii="Times New Roman" w:hAnsi="Times New Roman"/>
                <w:sz w:val="24"/>
              </w:rPr>
              <w:t> </w:t>
            </w:r>
            <w:r w:rsidRPr="00835753">
              <w:rPr>
                <w:rFonts w:ascii="Times New Roman" w:hAnsi="Times New Roman"/>
                <w:sz w:val="24"/>
              </w:rPr>
              <w:t>74 załącznika V do rozporządzenia wykonawczego Komisji (UE) nr</w:t>
            </w:r>
            <w:r w:rsidR="00835753" w:rsidRPr="00835753">
              <w:rPr>
                <w:rFonts w:ascii="Times New Roman" w:hAnsi="Times New Roman"/>
                <w:sz w:val="24"/>
              </w:rPr>
              <w:t> </w:t>
            </w:r>
            <w:r w:rsidRPr="00835753">
              <w:rPr>
                <w:rFonts w:ascii="Times New Roman" w:hAnsi="Times New Roman"/>
                <w:sz w:val="24"/>
              </w:rPr>
              <w:t>680/2014, które to kwoty należy ujawnić, ponieważ instytucja nie może zasadnie oczekiwać odzyskania przepływów pieniężnych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umo</w:t>
            </w:r>
            <w:r w:rsidRPr="00835753">
              <w:rPr>
                <w:rFonts w:ascii="Times New Roman" w:hAnsi="Times New Roman"/>
                <w:sz w:val="24"/>
              </w:rPr>
              <w:t>wy. Kwoty te ujawnia się do momentu całkowitego wygaśnięcia wszystkich praw instytucji (wskutek upływu terminu przedawnienia, umorzenia lub</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inn</w:t>
            </w:r>
            <w:r w:rsidRPr="00835753">
              <w:rPr>
                <w:rFonts w:ascii="Times New Roman" w:hAnsi="Times New Roman"/>
                <w:sz w:val="24"/>
              </w:rPr>
              <w:t>ej przyczyny) lub do momentu ich odzyskania</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zwi</w:t>
            </w:r>
            <w:r w:rsidRPr="00835753">
              <w:rPr>
                <w:rFonts w:ascii="Times New Roman" w:hAnsi="Times New Roman"/>
                <w:sz w:val="24"/>
              </w:rPr>
              <w:t>ązku</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tym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nieodzyskania spisanych kwot podlegają one ujawnieniu, gdy pozostają przedmiotem czynności egzekucyjnych.</w:t>
            </w:r>
          </w:p>
          <w:p w14:paraId="0FEA4BDF" w14:textId="47D9426D" w:rsidR="004E71F4" w:rsidRPr="00835753" w:rsidRDefault="004E71F4" w:rsidP="00155C96">
            <w:pPr>
              <w:autoSpaceDE w:val="0"/>
              <w:autoSpaceDN w:val="0"/>
              <w:adjustRightInd w:val="0"/>
              <w:spacing w:after="120"/>
              <w:rPr>
                <w:rFonts w:ascii="Times New Roman" w:hAnsi="Times New Roman" w:cs="Times New Roman"/>
                <w:sz w:val="24"/>
              </w:rPr>
            </w:pPr>
            <w:r w:rsidRPr="00835753">
              <w:rPr>
                <w:rFonts w:ascii="Times New Roman" w:hAnsi="Times New Roman"/>
                <w:sz w:val="24"/>
              </w:rPr>
              <w:t>Odpisy stanowią zdarzenie prowadzące do zaprzestania ujmowania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dot</w:t>
            </w:r>
            <w:r w:rsidRPr="00835753">
              <w:rPr>
                <w:rFonts w:ascii="Times New Roman" w:hAnsi="Times New Roman"/>
                <w:sz w:val="24"/>
              </w:rPr>
              <w:t>yczą całego składnika aktywów finansowych lub (w przypadku częściowego odpisu) jego części,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również wówczas, gdy modyfikacja składnika aktywów sprawia, że instytucja rezygnuje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ysługującego jej prawa do otrzymywania przepływów pieniężnych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albo całości tego składnika.</w:t>
            </w:r>
          </w:p>
        </w:tc>
      </w:tr>
      <w:tr w:rsidR="004E71F4" w:rsidRPr="00835753" w14:paraId="7FDCAB70" w14:textId="77777777" w:rsidTr="00155C96">
        <w:trPr>
          <w:trHeight w:val="695"/>
        </w:trPr>
        <w:tc>
          <w:tcPr>
            <w:tcW w:w="1384" w:type="dxa"/>
          </w:tcPr>
          <w:p w14:paraId="3FD39FA7"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n</w:t>
            </w:r>
            <w:proofErr w:type="gramEnd"/>
            <w:r w:rsidRPr="00835753">
              <w:rPr>
                <w:rFonts w:ascii="Times New Roman" w:hAnsi="Times New Roman"/>
                <w:sz w:val="24"/>
              </w:rPr>
              <w:t>)</w:t>
            </w:r>
          </w:p>
        </w:tc>
        <w:tc>
          <w:tcPr>
            <w:tcW w:w="7655" w:type="dxa"/>
          </w:tcPr>
          <w:p w14:paraId="34A0A11C" w14:textId="53041F01"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Otrzymane zabezpieczenia</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gwa</w:t>
            </w:r>
            <w:r w:rsidRPr="00835753">
              <w:rPr>
                <w:rFonts w:ascii="Times New Roman" w:hAnsi="Times New Roman"/>
                <w:b/>
                <w:sz w:val="24"/>
              </w:rPr>
              <w:t>rancje finansowe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tyt</w:t>
            </w:r>
            <w:r w:rsidRPr="00835753">
              <w:rPr>
                <w:rFonts w:ascii="Times New Roman" w:hAnsi="Times New Roman"/>
                <w:b/>
                <w:sz w:val="24"/>
              </w:rPr>
              <w:t>ułu ekspozycji obsługiwanych</w:t>
            </w:r>
          </w:p>
          <w:p w14:paraId="1151880A" w14:textId="62DD48E1" w:rsidR="004E71F4" w:rsidRPr="00835753" w:rsidRDefault="004E71F4" w:rsidP="00155C96">
            <w:pPr>
              <w:pStyle w:val="Fait"/>
              <w:spacing w:before="0" w:after="120"/>
            </w:pPr>
            <w:r w:rsidRPr="00835753">
              <w:t>Kwoty otrzymanych zabezpieczeń</w:t>
            </w:r>
            <w:r w:rsidR="00835753" w:rsidRPr="00835753">
              <w:t xml:space="preserve"> i</w:t>
            </w:r>
            <w:r w:rsidR="00835753">
              <w:t> </w:t>
            </w:r>
            <w:r w:rsidR="00835753" w:rsidRPr="00835753">
              <w:t>otr</w:t>
            </w:r>
            <w:r w:rsidRPr="00835753">
              <w:t>zymanych gwarancji oblicza się zgodnie</w:t>
            </w:r>
            <w:r w:rsidR="00835753" w:rsidRPr="00835753">
              <w:t xml:space="preserve"> z</w:t>
            </w:r>
            <w:r w:rsidR="00835753">
              <w:t> </w:t>
            </w:r>
            <w:r w:rsidR="00835753" w:rsidRPr="00835753">
              <w:t>czę</w:t>
            </w:r>
            <w:r w:rsidRPr="00835753">
              <w:t>ścią 2 pkt</w:t>
            </w:r>
            <w:r w:rsidR="00835753" w:rsidRPr="00835753">
              <w:t> </w:t>
            </w:r>
            <w:r w:rsidRPr="00835753">
              <w:t>239 załącznika V do rozporządzenia wykonawczego Komisji (UE) nr</w:t>
            </w:r>
            <w:r w:rsidR="00835753" w:rsidRPr="00835753">
              <w:t> </w:t>
            </w:r>
            <w:r w:rsidRPr="00835753">
              <w:t>680/2014. Suma kwot</w:t>
            </w:r>
            <w:r w:rsidR="00835753" w:rsidRPr="00835753">
              <w:t xml:space="preserve"> w</w:t>
            </w:r>
            <w:r w:rsidR="00835753">
              <w:t> </w:t>
            </w:r>
            <w:r w:rsidR="00835753" w:rsidRPr="00835753">
              <w:t>odn</w:t>
            </w:r>
            <w:r w:rsidRPr="00835753">
              <w:t>iesieniu do zabezpieczeń</w:t>
            </w:r>
            <w:r w:rsidR="00835753" w:rsidRPr="00835753">
              <w:t xml:space="preserve"> i</w:t>
            </w:r>
            <w:r w:rsidR="00835753">
              <w:t> </w:t>
            </w:r>
            <w:r w:rsidR="00835753" w:rsidRPr="00835753">
              <w:t>gwa</w:t>
            </w:r>
            <w:r w:rsidRPr="00835753">
              <w:t>rancji razem jest ograniczona do wartości bilansowej ekspozycji powiązanej.</w:t>
            </w:r>
          </w:p>
        </w:tc>
      </w:tr>
      <w:tr w:rsidR="004E71F4" w:rsidRPr="00835753" w14:paraId="6E9D1787" w14:textId="77777777" w:rsidTr="00155C96">
        <w:trPr>
          <w:trHeight w:val="695"/>
        </w:trPr>
        <w:tc>
          <w:tcPr>
            <w:tcW w:w="1384" w:type="dxa"/>
          </w:tcPr>
          <w:p w14:paraId="4FA9F6A6"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o</w:t>
            </w:r>
            <w:proofErr w:type="gramEnd"/>
            <w:r w:rsidRPr="00835753">
              <w:rPr>
                <w:rFonts w:ascii="Times New Roman" w:hAnsi="Times New Roman"/>
                <w:sz w:val="24"/>
              </w:rPr>
              <w:t>)</w:t>
            </w:r>
          </w:p>
        </w:tc>
        <w:tc>
          <w:tcPr>
            <w:tcW w:w="7655" w:type="dxa"/>
          </w:tcPr>
          <w:p w14:paraId="46682E06" w14:textId="51B7ACC6"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Otrzymane zabezpieczenia</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gwa</w:t>
            </w:r>
            <w:r w:rsidRPr="00835753">
              <w:rPr>
                <w:rFonts w:ascii="Times New Roman" w:hAnsi="Times New Roman"/>
                <w:b/>
                <w:sz w:val="24"/>
              </w:rPr>
              <w:t>rancje finansowe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tyt</w:t>
            </w:r>
            <w:r w:rsidRPr="00835753">
              <w:rPr>
                <w:rFonts w:ascii="Times New Roman" w:hAnsi="Times New Roman"/>
                <w:b/>
                <w:sz w:val="24"/>
              </w:rPr>
              <w:t xml:space="preserve">ułu ekspozycji nieobsługiwanych </w:t>
            </w:r>
          </w:p>
          <w:p w14:paraId="25BA6F5A" w14:textId="262B0966" w:rsidR="004E71F4" w:rsidRPr="00835753" w:rsidRDefault="004E71F4" w:rsidP="00155C96">
            <w:pPr>
              <w:pStyle w:val="Fait"/>
              <w:spacing w:before="0" w:after="120"/>
            </w:pPr>
            <w:r w:rsidRPr="00835753">
              <w:t>Ekspozycje nieobsługiwane określone</w:t>
            </w:r>
            <w:r w:rsidR="00835753" w:rsidRPr="00835753">
              <w:t xml:space="preserve"> w</w:t>
            </w:r>
            <w:r w:rsidR="00835753">
              <w:t> </w:t>
            </w:r>
            <w:r w:rsidR="00835753" w:rsidRPr="00835753">
              <w:t>art</w:t>
            </w:r>
            <w:r w:rsidRPr="00835753">
              <w:t>.</w:t>
            </w:r>
            <w:r w:rsidR="00835753" w:rsidRPr="00835753">
              <w:t> </w:t>
            </w:r>
            <w:r w:rsidRPr="00835753">
              <w:t>47a CRR</w:t>
            </w:r>
          </w:p>
          <w:p w14:paraId="7C4E9AFF" w14:textId="6DE1DB0C" w:rsidR="004E71F4" w:rsidRPr="00835753" w:rsidRDefault="004E71F4" w:rsidP="00155C96">
            <w:pPr>
              <w:pStyle w:val="Fait"/>
              <w:spacing w:before="0" w:after="120"/>
              <w:rPr>
                <w:b/>
              </w:rPr>
            </w:pPr>
            <w:r w:rsidRPr="00835753">
              <w:t>Kwoty otrzymanych zabezpieczeń</w:t>
            </w:r>
            <w:r w:rsidR="00835753" w:rsidRPr="00835753">
              <w:t xml:space="preserve"> i</w:t>
            </w:r>
            <w:r w:rsidR="00835753">
              <w:t> </w:t>
            </w:r>
            <w:r w:rsidR="00835753" w:rsidRPr="00835753">
              <w:t>otr</w:t>
            </w:r>
            <w:r w:rsidRPr="00835753">
              <w:t>zymanych gwarancji oblicza się zgodnie</w:t>
            </w:r>
            <w:r w:rsidR="00835753" w:rsidRPr="00835753">
              <w:t xml:space="preserve"> z</w:t>
            </w:r>
            <w:r w:rsidR="00835753">
              <w:t> </w:t>
            </w:r>
            <w:r w:rsidR="00835753" w:rsidRPr="00835753">
              <w:t>czę</w:t>
            </w:r>
            <w:r w:rsidRPr="00835753">
              <w:t>ścią 2 pkt</w:t>
            </w:r>
            <w:r w:rsidR="00835753" w:rsidRPr="00835753">
              <w:t> </w:t>
            </w:r>
            <w:r w:rsidRPr="00835753">
              <w:t>239 załącznika V do rozporządzenia wykonawczego Komisji (UE) nr</w:t>
            </w:r>
            <w:r w:rsidR="00835753" w:rsidRPr="00835753">
              <w:t> </w:t>
            </w:r>
            <w:r w:rsidRPr="00835753">
              <w:t>680/2014. Suma kwot</w:t>
            </w:r>
            <w:r w:rsidR="00835753" w:rsidRPr="00835753">
              <w:t xml:space="preserve"> w</w:t>
            </w:r>
            <w:r w:rsidR="00835753">
              <w:t> </w:t>
            </w:r>
            <w:r w:rsidR="00835753" w:rsidRPr="00835753">
              <w:t>odn</w:t>
            </w:r>
            <w:r w:rsidRPr="00835753">
              <w:t>iesieniu do zabezpieczeń</w:t>
            </w:r>
            <w:r w:rsidR="00835753" w:rsidRPr="00835753">
              <w:t xml:space="preserve"> i</w:t>
            </w:r>
            <w:r w:rsidR="00835753">
              <w:t> </w:t>
            </w:r>
            <w:r w:rsidR="00835753" w:rsidRPr="00835753">
              <w:t>gwa</w:t>
            </w:r>
            <w:r w:rsidRPr="00835753">
              <w:t>rancji razem jest ograniczona do wartości bilansowej ekspozycji powiązanej.</w:t>
            </w:r>
          </w:p>
        </w:tc>
      </w:tr>
    </w:tbl>
    <w:p w14:paraId="1B9C8FA7" w14:textId="77777777" w:rsidR="004E71F4" w:rsidRPr="00835753" w:rsidRDefault="004E71F4" w:rsidP="004E71F4">
      <w:pPr>
        <w:spacing w:after="120"/>
        <w:jc w:val="both"/>
        <w:rPr>
          <w:rFonts w:ascii="Times New Roman" w:hAnsi="Times New Roman" w:cs="Times New Roman"/>
          <w:bCs/>
          <w:sz w:val="24"/>
        </w:rPr>
      </w:pPr>
    </w:p>
    <w:p w14:paraId="603FCC03" w14:textId="27D08FEB" w:rsidR="004E71F4" w:rsidRPr="00835753" w:rsidRDefault="00CD362D" w:rsidP="004E71F4">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Wzór EU CR1-A: Termin zapadalności ekspozycji</w:t>
      </w:r>
    </w:p>
    <w:p w14:paraId="0A8280D6" w14:textId="6B39DAF3" w:rsidR="004E71F4" w:rsidRPr="00835753" w:rsidRDefault="004E71F4" w:rsidP="004E71F4">
      <w:pPr>
        <w:pStyle w:val="ListParagraph"/>
        <w:numPr>
          <w:ilvl w:val="0"/>
          <w:numId w:val="46"/>
        </w:numPr>
        <w:autoSpaceDE w:val="0"/>
        <w:autoSpaceDN w:val="0"/>
        <w:adjustRightInd w:val="0"/>
        <w:spacing w:after="120"/>
        <w:jc w:val="both"/>
        <w:rPr>
          <w:rFonts w:ascii="Times New Roman" w:hAnsi="Times New Roman"/>
          <w:b/>
          <w:sz w:val="24"/>
        </w:rPr>
      </w:pPr>
      <w:r w:rsidRPr="00835753">
        <w:rPr>
          <w:rFonts w:ascii="Times New Roman" w:hAnsi="Times New Roman"/>
          <w:bCs/>
          <w:sz w:val="24"/>
        </w:rPr>
        <w:t>W celu wypełnienia wzoru EU CR1-A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 xml:space="preserve">ączniku XV do niniejszego rozporządzenia wykonawczego instytucje </w:t>
      </w:r>
      <w:r w:rsidRPr="00835753">
        <w:rPr>
          <w:rFonts w:ascii="Times New Roman" w:hAnsi="Times New Roman"/>
          <w:sz w:val="24"/>
        </w:rPr>
        <w:t>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442 lit.</w:t>
      </w:r>
      <w:r w:rsidR="00835753" w:rsidRPr="00835753">
        <w:rPr>
          <w:rFonts w:ascii="Times New Roman" w:hAnsi="Times New Roman"/>
          <w:bCs/>
          <w:sz w:val="24"/>
        </w:rPr>
        <w:t> </w:t>
      </w:r>
      <w:r w:rsidRPr="00835753">
        <w:rPr>
          <w:rFonts w:ascii="Times New Roman" w:hAnsi="Times New Roman"/>
          <w:bCs/>
          <w:sz w:val="24"/>
        </w:rPr>
        <w:t xml:space="preserve">g) </w:t>
      </w:r>
      <w:r w:rsidRPr="00835753">
        <w:rPr>
          <w:rFonts w:ascii="Times New Roman" w:hAnsi="Times New Roman"/>
          <w:color w:val="000000"/>
          <w:sz w:val="24"/>
        </w:rPr>
        <w:t>CRR</w:t>
      </w:r>
      <w:r w:rsidRPr="00835753">
        <w:rPr>
          <w:rFonts w:ascii="Times New Roman" w:hAnsi="Times New Roman"/>
          <w:bCs/>
          <w:sz w:val="24"/>
        </w:rPr>
        <w:t>,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w:t>
      </w:r>
      <w:r w:rsidRPr="00835753">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F3FA7C0" w:rsidR="004E71F4" w:rsidRPr="00835753" w:rsidRDefault="004E71F4" w:rsidP="00155C96">
            <w:pPr>
              <w:spacing w:after="120"/>
              <w:rPr>
                <w:rFonts w:ascii="Times New Roman" w:hAnsi="Times New Roman" w:cs="Times New Roman"/>
                <w:b/>
                <w:sz w:val="24"/>
              </w:rPr>
            </w:pPr>
            <w:r w:rsidRPr="00835753">
              <w:rPr>
                <w:rFonts w:ascii="Times New Roman" w:hAnsi="Times New Roman"/>
                <w:b/>
                <w:sz w:val="24"/>
              </w:rPr>
              <w:lastRenderedPageBreak/>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5457407F" w14:textId="77777777" w:rsidTr="00155C96">
        <w:trPr>
          <w:trHeight w:val="238"/>
        </w:trPr>
        <w:tc>
          <w:tcPr>
            <w:tcW w:w="1384" w:type="dxa"/>
            <w:shd w:val="clear" w:color="auto" w:fill="D9D9D9" w:themeFill="background1" w:themeFillShade="D9"/>
          </w:tcPr>
          <w:p w14:paraId="2CF528EF"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543019B6"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4E71F4" w:rsidRPr="00835753" w14:paraId="1FB6AC8C" w14:textId="77777777" w:rsidTr="00155C96">
        <w:trPr>
          <w:trHeight w:val="316"/>
        </w:trPr>
        <w:tc>
          <w:tcPr>
            <w:tcW w:w="1384" w:type="dxa"/>
          </w:tcPr>
          <w:p w14:paraId="325218C3"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010</w:t>
            </w:r>
          </w:p>
        </w:tc>
        <w:tc>
          <w:tcPr>
            <w:tcW w:w="7655" w:type="dxa"/>
          </w:tcPr>
          <w:p w14:paraId="128CB567" w14:textId="5D711185"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Kredyty</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zal</w:t>
            </w:r>
            <w:r w:rsidRPr="00835753">
              <w:rPr>
                <w:rFonts w:ascii="Times New Roman" w:hAnsi="Times New Roman"/>
                <w:b/>
                <w:sz w:val="24"/>
              </w:rPr>
              <w:t>iczki</w:t>
            </w:r>
          </w:p>
          <w:p w14:paraId="3B17EB9D" w14:textId="18AD0DF7" w:rsidR="004E71F4" w:rsidRPr="00835753" w:rsidRDefault="004E71F4" w:rsidP="00155C96">
            <w:pPr>
              <w:pStyle w:val="Fait"/>
              <w:spacing w:before="0" w:after="120"/>
              <w:rPr>
                <w:b/>
              </w:rPr>
            </w:pPr>
            <w:r w:rsidRPr="00835753">
              <w:t>Kredyty</w:t>
            </w:r>
            <w:r w:rsidR="00835753" w:rsidRPr="00835753">
              <w:t xml:space="preserve"> i</w:t>
            </w:r>
            <w:r w:rsidR="00835753">
              <w:t> </w:t>
            </w:r>
            <w:r w:rsidR="00835753" w:rsidRPr="00835753">
              <w:t>zal</w:t>
            </w:r>
            <w:r w:rsidRPr="00835753">
              <w:t>iczki są to posiadane przez instytucje instrumenty dłużne niebędące papierami wartościowymi; pozycja ta obejmuje „kredyty” zgodnie</w:t>
            </w:r>
            <w:r w:rsidR="00835753" w:rsidRPr="00835753">
              <w:t xml:space="preserve"> z</w:t>
            </w:r>
            <w:r w:rsidR="00835753">
              <w:t> </w:t>
            </w:r>
            <w:r w:rsidR="00835753" w:rsidRPr="00835753">
              <w:t>roz</w:t>
            </w:r>
            <w:r w:rsidRPr="00835753">
              <w:t>porządzeniem EBC</w:t>
            </w:r>
            <w:r w:rsidR="00835753" w:rsidRPr="00835753">
              <w:t xml:space="preserve"> w</w:t>
            </w:r>
            <w:r w:rsidR="00835753">
              <w:t> </w:t>
            </w:r>
            <w:r w:rsidR="00835753" w:rsidRPr="00835753">
              <w:t>spr</w:t>
            </w:r>
            <w:r w:rsidRPr="00835753">
              <w:t>awie pozycji bilansowych, jak również zaliczki, których nie można sklasyfikować jako „kredyty”, zgodnie</w:t>
            </w:r>
            <w:r w:rsidR="00835753" w:rsidRPr="00835753">
              <w:t xml:space="preserve"> z</w:t>
            </w:r>
            <w:r w:rsidR="00835753">
              <w:t> </w:t>
            </w:r>
            <w:r w:rsidR="00835753" w:rsidRPr="00835753">
              <w:t>roz</w:t>
            </w:r>
            <w:r w:rsidRPr="00835753">
              <w:t>porządzeniem EBC</w:t>
            </w:r>
            <w:r w:rsidR="00835753" w:rsidRPr="00835753">
              <w:t xml:space="preserve"> w</w:t>
            </w:r>
            <w:r w:rsidR="00835753">
              <w:t> </w:t>
            </w:r>
            <w:r w:rsidR="00835753" w:rsidRPr="00835753">
              <w:t>spr</w:t>
            </w:r>
            <w:r w:rsidRPr="00835753">
              <w:t>awie pozycji bilansowych, jak określono</w:t>
            </w:r>
            <w:r w:rsidR="00835753" w:rsidRPr="00835753">
              <w:t xml:space="preserve"> w</w:t>
            </w:r>
            <w:r w:rsidR="00835753">
              <w:t> </w:t>
            </w:r>
            <w:r w:rsidR="00835753" w:rsidRPr="00835753">
              <w:t>czę</w:t>
            </w:r>
            <w:r w:rsidRPr="00835753">
              <w:t>ści 1 pkt</w:t>
            </w:r>
            <w:r w:rsidR="00835753" w:rsidRPr="00835753">
              <w:t> </w:t>
            </w:r>
            <w:r w:rsidRPr="00835753">
              <w:t>32 załącznika V do rozporządzenia wykonawczego Komisji (UE) nr</w:t>
            </w:r>
            <w:r w:rsidR="00835753" w:rsidRPr="00835753">
              <w:t> </w:t>
            </w:r>
            <w:r w:rsidRPr="00835753">
              <w:t>680/2014,</w:t>
            </w:r>
            <w:r w:rsidR="00835753" w:rsidRPr="00835753">
              <w:t xml:space="preserve"> z</w:t>
            </w:r>
            <w:r w:rsidR="00835753">
              <w:t> </w:t>
            </w:r>
            <w:r w:rsidR="00835753" w:rsidRPr="00835753">
              <w:t>wył</w:t>
            </w:r>
            <w:r w:rsidRPr="00835753">
              <w:t>ączeniem kredytów</w:t>
            </w:r>
            <w:r w:rsidR="00835753" w:rsidRPr="00835753">
              <w:t xml:space="preserve"> i</w:t>
            </w:r>
            <w:r w:rsidR="00835753">
              <w:t> </w:t>
            </w:r>
            <w:r w:rsidR="00835753" w:rsidRPr="00835753">
              <w:t>zal</w:t>
            </w:r>
            <w:r w:rsidRPr="00835753">
              <w:t>iczek sklasyfikowanych jako przeznaczone do sprzedaży, sald pieniężnych</w:t>
            </w:r>
            <w:r w:rsidR="00835753" w:rsidRPr="00835753">
              <w:t xml:space="preserve"> w</w:t>
            </w:r>
            <w:r w:rsidR="00835753">
              <w:t> </w:t>
            </w:r>
            <w:r w:rsidR="00835753" w:rsidRPr="00835753">
              <w:t>ban</w:t>
            </w:r>
            <w:r w:rsidRPr="00835753">
              <w:t>kach centralnych</w:t>
            </w:r>
            <w:r w:rsidR="00835753" w:rsidRPr="00835753">
              <w:t xml:space="preserve"> i</w:t>
            </w:r>
            <w:r w:rsidR="00835753">
              <w:t> </w:t>
            </w:r>
            <w:r w:rsidR="00835753" w:rsidRPr="00835753">
              <w:t>inn</w:t>
            </w:r>
            <w:r w:rsidRPr="00835753">
              <w:t>ych depozytów płatnych na żądanie.</w:t>
            </w:r>
          </w:p>
        </w:tc>
      </w:tr>
      <w:tr w:rsidR="004E71F4" w:rsidRPr="00835753" w14:paraId="49A1075F" w14:textId="77777777" w:rsidTr="00155C96">
        <w:trPr>
          <w:trHeight w:val="316"/>
        </w:trPr>
        <w:tc>
          <w:tcPr>
            <w:tcW w:w="1384" w:type="dxa"/>
          </w:tcPr>
          <w:p w14:paraId="3E06276A"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020</w:t>
            </w:r>
          </w:p>
        </w:tc>
        <w:tc>
          <w:tcPr>
            <w:tcW w:w="7655" w:type="dxa"/>
          </w:tcPr>
          <w:p w14:paraId="0D22DBF6"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Dłużne papiery wartościowe</w:t>
            </w:r>
          </w:p>
          <w:p w14:paraId="0D5D26AA" w14:textId="45C11D75" w:rsidR="004E71F4" w:rsidRPr="00835753" w:rsidRDefault="004E71F4" w:rsidP="00155C96">
            <w:pPr>
              <w:pStyle w:val="Fait"/>
              <w:spacing w:before="0" w:after="120"/>
              <w:rPr>
                <w:b/>
              </w:rPr>
            </w:pPr>
            <w:r w:rsidRPr="00835753">
              <w:t>Dłużne papiery wartościowe są to posiadane przez instytucję instrumenty dłużne wyemitowane jako papiery wartościowe niebędące kredytami zgodnie</w:t>
            </w:r>
            <w:r w:rsidR="00835753" w:rsidRPr="00835753">
              <w:t xml:space="preserve"> z</w:t>
            </w:r>
            <w:r w:rsidR="00835753">
              <w:t> </w:t>
            </w:r>
            <w:r w:rsidR="00835753" w:rsidRPr="00835753">
              <w:t>roz</w:t>
            </w:r>
            <w:r w:rsidRPr="00835753">
              <w:t>porządzeniem EBC</w:t>
            </w:r>
            <w:r w:rsidR="00835753" w:rsidRPr="00835753">
              <w:t xml:space="preserve"> w</w:t>
            </w:r>
            <w:r w:rsidR="00835753">
              <w:t> </w:t>
            </w:r>
            <w:r w:rsidR="00835753" w:rsidRPr="00835753">
              <w:t>spr</w:t>
            </w:r>
            <w:r w:rsidRPr="00835753">
              <w:t>awie pozycji bilansowych, jak określono</w:t>
            </w:r>
            <w:r w:rsidR="00835753" w:rsidRPr="00835753">
              <w:t xml:space="preserve"> w</w:t>
            </w:r>
            <w:r w:rsidR="00835753">
              <w:t> </w:t>
            </w:r>
            <w:r w:rsidR="00835753" w:rsidRPr="00835753">
              <w:t>czę</w:t>
            </w:r>
            <w:r w:rsidRPr="00835753">
              <w:t>ści 1 pkt</w:t>
            </w:r>
            <w:r w:rsidR="00835753" w:rsidRPr="00835753">
              <w:t> </w:t>
            </w:r>
            <w:r w:rsidRPr="00835753">
              <w:t>31 załącznika V do rozporządzenia wykonawczego Komisji (UE) nr</w:t>
            </w:r>
            <w:r w:rsidR="00835753" w:rsidRPr="00835753">
              <w:t> </w:t>
            </w:r>
            <w:r w:rsidRPr="00835753">
              <w:t>680/2014.</w:t>
            </w:r>
          </w:p>
        </w:tc>
      </w:tr>
      <w:tr w:rsidR="004E71F4" w:rsidRPr="00835753" w14:paraId="0357C4A0" w14:textId="77777777" w:rsidTr="00155C96">
        <w:trPr>
          <w:trHeight w:val="316"/>
        </w:trPr>
        <w:tc>
          <w:tcPr>
            <w:tcW w:w="1384" w:type="dxa"/>
          </w:tcPr>
          <w:p w14:paraId="41A4A985"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030</w:t>
            </w:r>
          </w:p>
        </w:tc>
        <w:tc>
          <w:tcPr>
            <w:tcW w:w="7655" w:type="dxa"/>
          </w:tcPr>
          <w:p w14:paraId="65081D45"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 xml:space="preserve">Ogółem </w:t>
            </w:r>
          </w:p>
        </w:tc>
      </w:tr>
    </w:tbl>
    <w:p w14:paraId="591ED875" w14:textId="77777777" w:rsidR="004E71F4" w:rsidRPr="00835753"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61F9EA20" w14:textId="77777777" w:rsidTr="00155C96">
        <w:trPr>
          <w:trHeight w:val="238"/>
        </w:trPr>
        <w:tc>
          <w:tcPr>
            <w:tcW w:w="9039" w:type="dxa"/>
            <w:gridSpan w:val="2"/>
            <w:shd w:val="clear" w:color="auto" w:fill="D9D9D9" w:themeFill="background1" w:themeFillShade="D9"/>
          </w:tcPr>
          <w:p w14:paraId="0F62F266" w14:textId="4E70E54B"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7C9005FC" w14:textId="77777777" w:rsidTr="00155C96">
        <w:trPr>
          <w:trHeight w:val="238"/>
        </w:trPr>
        <w:tc>
          <w:tcPr>
            <w:tcW w:w="1384" w:type="dxa"/>
            <w:shd w:val="clear" w:color="auto" w:fill="D9D9D9" w:themeFill="background1" w:themeFillShade="D9"/>
          </w:tcPr>
          <w:p w14:paraId="4B97BADF"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16E8D069"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Wyjaśnienie</w:t>
            </w:r>
          </w:p>
        </w:tc>
      </w:tr>
      <w:tr w:rsidR="004E71F4" w:rsidRPr="00835753" w14:paraId="447C7898" w14:textId="77777777" w:rsidTr="00155C96">
        <w:trPr>
          <w:trHeight w:val="841"/>
        </w:trPr>
        <w:tc>
          <w:tcPr>
            <w:tcW w:w="1384" w:type="dxa"/>
          </w:tcPr>
          <w:p w14:paraId="3C429D71" w14:textId="067A77A7" w:rsidR="004E71F4" w:rsidRPr="00835753" w:rsidRDefault="004E71F4" w:rsidP="00155C96">
            <w:pPr>
              <w:pStyle w:val="Applicationdirecte"/>
              <w:spacing w:before="0"/>
            </w:pPr>
            <w:r w:rsidRPr="00835753">
              <w:t>a</w:t>
            </w:r>
            <w:proofErr w:type="gramStart"/>
            <w:r w:rsidR="00892879">
              <w:t>)</w:t>
            </w:r>
            <w:r w:rsidRPr="00835753">
              <w:t>–e</w:t>
            </w:r>
            <w:proofErr w:type="gramEnd"/>
            <w:r w:rsidR="00892879">
              <w:t>)</w:t>
            </w:r>
          </w:p>
        </w:tc>
        <w:tc>
          <w:tcPr>
            <w:tcW w:w="7655" w:type="dxa"/>
          </w:tcPr>
          <w:p w14:paraId="629ECC7E"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 xml:space="preserve">Wartości netto ekspozycji </w:t>
            </w:r>
          </w:p>
          <w:p w14:paraId="0117F2D1" w14:textId="4B2574FC" w:rsidR="004E71F4" w:rsidRPr="00835753" w:rsidRDefault="004E71F4" w:rsidP="00155C96">
            <w:pPr>
              <w:pStyle w:val="Fait"/>
              <w:spacing w:before="0" w:after="120"/>
            </w:pPr>
            <w:r w:rsidRPr="00835753">
              <w:t>Wartości netto ujawnia się</w:t>
            </w:r>
            <w:r w:rsidR="00835753" w:rsidRPr="00835753">
              <w:t xml:space="preserve"> w</w:t>
            </w:r>
            <w:r w:rsidR="00835753">
              <w:t> </w:t>
            </w:r>
            <w:r w:rsidR="00835753" w:rsidRPr="00835753">
              <w:t>pod</w:t>
            </w:r>
            <w:r w:rsidRPr="00835753">
              <w:t>ziale na wynikające</w:t>
            </w:r>
            <w:r w:rsidR="00835753" w:rsidRPr="00835753">
              <w:t xml:space="preserve"> z</w:t>
            </w:r>
            <w:r w:rsidR="00835753">
              <w:t> </w:t>
            </w:r>
            <w:r w:rsidR="00835753" w:rsidRPr="00835753">
              <w:t>umo</w:t>
            </w:r>
            <w:r w:rsidRPr="00835753">
              <w:t>wy rezydualne terminy zapadalności.</w:t>
            </w:r>
          </w:p>
          <w:p w14:paraId="0ECAE4C4" w14:textId="3D10FD9C" w:rsidR="004E71F4" w:rsidRPr="00835753" w:rsidRDefault="004E71F4" w:rsidP="00155C96">
            <w:pPr>
              <w:pStyle w:val="Fait"/>
              <w:spacing w:before="0" w:after="120"/>
            </w:pPr>
            <w:r w:rsidRPr="00835753">
              <w:t>Wartość netto ekspozycji: W przypadku pozycji bilansowych wartość netto jest wartością bilansową brutto ekspozycji pomniejszoną</w:t>
            </w:r>
            <w:r w:rsidR="00835753" w:rsidRPr="00835753">
              <w:t xml:space="preserve"> o</w:t>
            </w:r>
            <w:r w:rsidR="00835753">
              <w:t> </w:t>
            </w:r>
            <w:r w:rsidR="00835753" w:rsidRPr="00835753">
              <w:t>odp</w:t>
            </w:r>
            <w:r w:rsidRPr="00835753">
              <w:t>isy aktualizujące/utratę wartości</w:t>
            </w:r>
            <w:r w:rsidR="00835753" w:rsidRPr="00835753">
              <w:t>. W</w:t>
            </w:r>
            <w:r w:rsidR="00835753">
              <w:t> </w:t>
            </w:r>
            <w:r w:rsidR="00835753" w:rsidRPr="00835753">
              <w:t>prz</w:t>
            </w:r>
            <w:r w:rsidRPr="00835753">
              <w:t>ypadku pozycji pozabilansowych wartość netto jest wartością bilansową brutto ekspozycji pomniejszoną</w:t>
            </w:r>
            <w:r w:rsidR="00835753" w:rsidRPr="00835753">
              <w:t xml:space="preserve"> o</w:t>
            </w:r>
            <w:r w:rsidR="00835753">
              <w:t> </w:t>
            </w:r>
            <w:r w:rsidR="00835753" w:rsidRPr="00835753">
              <w:t>rez</w:t>
            </w:r>
            <w:r w:rsidRPr="00835753">
              <w:t xml:space="preserve">erwy. </w:t>
            </w:r>
          </w:p>
          <w:p w14:paraId="18B6E675" w14:textId="2B3B137B" w:rsidR="004E71F4" w:rsidRPr="00835753" w:rsidRDefault="004E71F4" w:rsidP="00155C96">
            <w:pPr>
              <w:pStyle w:val="Fait"/>
              <w:spacing w:before="0" w:after="120"/>
            </w:pPr>
            <w:r w:rsidRPr="00835753">
              <w:t>Ekspozycja: Zgodnie</w:t>
            </w:r>
            <w:r w:rsidR="00835753" w:rsidRPr="00835753">
              <w:t xml:space="preserve"> z</w:t>
            </w:r>
            <w:r w:rsidR="00835753">
              <w:t> </w:t>
            </w:r>
            <w:r w:rsidR="00835753" w:rsidRPr="00835753">
              <w:t>art</w:t>
            </w:r>
            <w:r w:rsidRPr="00835753">
              <w:t>.</w:t>
            </w:r>
            <w:r w:rsidR="00835753" w:rsidRPr="00835753">
              <w:t> </w:t>
            </w:r>
            <w:r w:rsidRPr="00835753">
              <w:t>5 CRR ekspozycja odnosi się do pozycji aktywów lub pozycji pozabilansowej, która zgodnie z CRR powoduje ekspozycję na ryzyko kredytowe.</w:t>
            </w:r>
          </w:p>
          <w:p w14:paraId="3BB3DEC6" w14:textId="7348D898" w:rsidR="004E71F4" w:rsidRPr="00835753" w:rsidRDefault="004E71F4" w:rsidP="00155C96">
            <w:pPr>
              <w:pStyle w:val="Fait"/>
              <w:spacing w:before="0" w:after="120"/>
            </w:pPr>
            <w:r w:rsidRPr="00835753">
              <w:t>Wartości bilansowe brutto: Wartość księgowa przed dokonaniem odpisów aktualizujących/utratą wartości, ale po uwzględnieniu odpisów. Instytucje nie uwzględniają żadnej techniki ograniczania ryzyka kredytowego zgodnie</w:t>
            </w:r>
            <w:r w:rsidR="00835753" w:rsidRPr="00835753">
              <w:t xml:space="preserve"> z</w:t>
            </w:r>
            <w:r w:rsidR="00835753">
              <w:t> </w:t>
            </w:r>
            <w:r w:rsidR="00835753" w:rsidRPr="00835753">
              <w:t>czę</w:t>
            </w:r>
            <w:r w:rsidRPr="00835753">
              <w:t>ścią trzecią tytuł II rozdział 4 CRR. Pozycje pozabilansowe ujawnia się</w:t>
            </w:r>
            <w:r w:rsidR="00835753" w:rsidRPr="00835753">
              <w:t xml:space="preserve"> w</w:t>
            </w:r>
            <w:r w:rsidR="00835753">
              <w:t> </w:t>
            </w:r>
            <w:r w:rsidR="00835753" w:rsidRPr="00835753">
              <w:t>kwo</w:t>
            </w:r>
            <w:r w:rsidRPr="00835753">
              <w:t>cie nominalnej przed uwzględnieniem wszelkich współczynników konwersji kredytowej mających zastosowanie zgodnie</w:t>
            </w:r>
            <w:r w:rsidR="00835753" w:rsidRPr="00835753">
              <w:t xml:space="preserve"> z</w:t>
            </w:r>
            <w:r w:rsidR="00835753">
              <w:t> </w:t>
            </w:r>
            <w:r w:rsidR="00835753" w:rsidRPr="00835753">
              <w:t>art</w:t>
            </w:r>
            <w:r w:rsidRPr="00835753">
              <w:t>.</w:t>
            </w:r>
            <w:r w:rsidR="00835753" w:rsidRPr="00835753">
              <w:t> </w:t>
            </w:r>
            <w:r w:rsidRPr="00835753">
              <w:t>111</w:t>
            </w:r>
            <w:r w:rsidR="00835753" w:rsidRPr="00835753">
              <w:t xml:space="preserve"> i</w:t>
            </w:r>
            <w:r w:rsidR="00835753">
              <w:t> </w:t>
            </w:r>
            <w:r w:rsidR="00835753" w:rsidRPr="00835753">
              <w:t>1</w:t>
            </w:r>
            <w:r w:rsidRPr="00835753">
              <w:t>66 CRR lub technik ograniczania ryzyka kredytowego,</w:t>
            </w:r>
            <w:r w:rsidR="00835753" w:rsidRPr="00835753">
              <w:t xml:space="preserve"> a</w:t>
            </w:r>
            <w:r w:rsidR="00835753">
              <w:t> </w:t>
            </w:r>
            <w:r w:rsidR="00835753" w:rsidRPr="00835753">
              <w:t>tak</w:t>
            </w:r>
            <w:r w:rsidRPr="00835753">
              <w:t>że</w:t>
            </w:r>
            <w:r w:rsidR="00835753" w:rsidRPr="00835753">
              <w:t xml:space="preserve"> w</w:t>
            </w:r>
            <w:r w:rsidR="00835753">
              <w:t> </w:t>
            </w:r>
            <w:r w:rsidR="00835753" w:rsidRPr="00835753">
              <w:t>kwo</w:t>
            </w:r>
            <w:r w:rsidRPr="00835753">
              <w:t>cie brutto każdej rezerwy,</w:t>
            </w:r>
            <w:r w:rsidR="00835753" w:rsidRPr="00835753">
              <w:t xml:space="preserve"> w</w:t>
            </w:r>
            <w:r w:rsidR="00835753">
              <w:t> </w:t>
            </w:r>
            <w:r w:rsidR="00835753" w:rsidRPr="00835753">
              <w:t>szc</w:t>
            </w:r>
            <w:r w:rsidRPr="00835753">
              <w:t xml:space="preserve">zególności a) udzielonych gwarancji (maksymalna kwota, </w:t>
            </w:r>
            <w:r w:rsidRPr="00835753">
              <w:lastRenderedPageBreak/>
              <w:t>którą instytucja musiałaby zapłacić</w:t>
            </w:r>
            <w:r w:rsidR="00835753" w:rsidRPr="00835753">
              <w:t xml:space="preserve"> w</w:t>
            </w:r>
            <w:r w:rsidR="00835753">
              <w:t> </w:t>
            </w:r>
            <w:r w:rsidR="00835753" w:rsidRPr="00835753">
              <w:t>prz</w:t>
            </w:r>
            <w:r w:rsidRPr="00835753">
              <w:t>ypadku uruchomienia gwarancji) oraz b) zobowiązań do udzielenia kredytu</w:t>
            </w:r>
            <w:r w:rsidR="00835753" w:rsidRPr="00835753">
              <w:t xml:space="preserve"> i</w:t>
            </w:r>
            <w:r w:rsidR="00835753">
              <w:t> </w:t>
            </w:r>
            <w:r w:rsidR="00835753" w:rsidRPr="00835753">
              <w:t>inn</w:t>
            </w:r>
            <w:r w:rsidRPr="00835753">
              <w:t>ych zobowiązań (całkowita kwota, którą instytucja zobowiązała się pożyczyć).</w:t>
            </w:r>
          </w:p>
          <w:p w14:paraId="7E761FF7" w14:textId="77777777" w:rsidR="004E71F4" w:rsidRPr="00835753" w:rsidRDefault="004E71F4" w:rsidP="00155C96">
            <w:pPr>
              <w:pStyle w:val="Fait"/>
              <w:spacing w:before="0" w:after="120"/>
            </w:pPr>
            <w:r w:rsidRPr="00835753">
              <w:t>W ramach ujawniania tych informacji:</w:t>
            </w:r>
          </w:p>
          <w:p w14:paraId="14B53A93" w14:textId="5CB90AE8" w:rsidR="004E71F4" w:rsidRPr="00835753" w:rsidRDefault="004E71F4" w:rsidP="00155C96">
            <w:pPr>
              <w:pStyle w:val="Fait"/>
              <w:spacing w:before="0" w:after="120"/>
            </w:pPr>
            <w:r w:rsidRPr="00835753">
              <w:t xml:space="preserve"> –</w:t>
            </w:r>
            <w:r w:rsidR="00835753" w:rsidRPr="00835753">
              <w:t xml:space="preserve"> w</w:t>
            </w:r>
            <w:r w:rsidR="00835753">
              <w:t> </w:t>
            </w:r>
            <w:r w:rsidR="00835753" w:rsidRPr="00835753">
              <w:t>prz</w:t>
            </w:r>
            <w:r w:rsidRPr="00835753">
              <w:t>ypadku gdy kontrahent ma możliwość wyboru terminu spłaty tej kwoty, kwotę tę umieszcza się</w:t>
            </w:r>
            <w:r w:rsidR="00835753" w:rsidRPr="00835753">
              <w:t xml:space="preserve"> w</w:t>
            </w:r>
            <w:r w:rsidR="00835753">
              <w:t> </w:t>
            </w:r>
            <w:r w:rsidR="00835753" w:rsidRPr="00835753">
              <w:t>kol</w:t>
            </w:r>
            <w:r w:rsidRPr="00835753">
              <w:t>umnie „na żądanie”. Kolumna zawiera salda płatne na żądanie (wezwanie),</w:t>
            </w:r>
            <w:r w:rsidR="00835753" w:rsidRPr="00835753">
              <w:t xml:space="preserve"> w</w:t>
            </w:r>
            <w:r w:rsidR="00835753">
              <w:t> </w:t>
            </w:r>
            <w:r w:rsidR="00835753" w:rsidRPr="00835753">
              <w:t>kró</w:t>
            </w:r>
            <w:r w:rsidRPr="00835753">
              <w:t>tkim terminie, rachunki bieżące</w:t>
            </w:r>
            <w:r w:rsidR="00835753" w:rsidRPr="00835753">
              <w:t xml:space="preserve"> i</w:t>
            </w:r>
            <w:r w:rsidR="00835753">
              <w:t> </w:t>
            </w:r>
            <w:r w:rsidR="00835753" w:rsidRPr="00835753">
              <w:t>pod</w:t>
            </w:r>
            <w:r w:rsidRPr="00835753">
              <w:t xml:space="preserve">obne salda (które mogą obejmować kredyty będące depozytami </w:t>
            </w:r>
            <w:r w:rsidRPr="00835753">
              <w:rPr>
                <w:i/>
              </w:rPr>
              <w:t>overnight</w:t>
            </w:r>
            <w:r w:rsidRPr="00835753">
              <w:t xml:space="preserve"> na rzecz kredytobiorcy, niezależnie od ich formy prawnej). Zawiera ona również „kredyty</w:t>
            </w:r>
            <w:r w:rsidR="00835753" w:rsidRPr="00835753">
              <w:t xml:space="preserve"> w</w:t>
            </w:r>
            <w:r w:rsidR="00835753">
              <w:t> </w:t>
            </w:r>
            <w:r w:rsidR="00835753" w:rsidRPr="00835753">
              <w:t>rac</w:t>
            </w:r>
            <w:r w:rsidRPr="00835753">
              <w:t>hunku bieżącym” będące saldami ujemnymi na saldach obrotów bieżących;</w:t>
            </w:r>
          </w:p>
          <w:p w14:paraId="0794C5FD" w14:textId="64FAF9DF" w:rsidR="004E71F4" w:rsidRPr="00835753" w:rsidRDefault="004E71F4" w:rsidP="00155C96">
            <w:pPr>
              <w:pStyle w:val="Fait"/>
              <w:spacing w:before="0" w:after="120"/>
            </w:pPr>
            <w:r w:rsidRPr="00835753">
              <w:t xml:space="preserve"> –</w:t>
            </w:r>
            <w:r w:rsidR="00835753" w:rsidRPr="00835753">
              <w:t xml:space="preserve"> w</w:t>
            </w:r>
            <w:r w:rsidR="00835753">
              <w:t> </w:t>
            </w:r>
            <w:r w:rsidR="00835753" w:rsidRPr="00835753">
              <w:t>prz</w:t>
            </w:r>
            <w:r w:rsidRPr="00835753">
              <w:t>ypadku gdy ekspozycja nie ma określonego terminu zapadalności</w:t>
            </w:r>
            <w:r w:rsidR="00835753" w:rsidRPr="00835753">
              <w:t xml:space="preserve"> z</w:t>
            </w:r>
            <w:r w:rsidR="00835753">
              <w:t> </w:t>
            </w:r>
            <w:r w:rsidR="00835753" w:rsidRPr="00835753">
              <w:t>inn</w:t>
            </w:r>
            <w:r w:rsidRPr="00835753">
              <w:t>ych powodów niż możliwość wyboru terminu spłaty przez kontrahenta, kwotę tej ekspozycji ujawnia się</w:t>
            </w:r>
            <w:r w:rsidR="00835753" w:rsidRPr="00835753">
              <w:t xml:space="preserve"> w</w:t>
            </w:r>
            <w:r w:rsidR="00835753">
              <w:t> </w:t>
            </w:r>
            <w:r w:rsidR="00835753" w:rsidRPr="00835753">
              <w:t>kol</w:t>
            </w:r>
            <w:r w:rsidRPr="00835753">
              <w:t>umnie „brak określonego terminu zapadalności”;</w:t>
            </w:r>
          </w:p>
          <w:p w14:paraId="717C314E" w14:textId="7A82FACE" w:rsidR="004E71F4" w:rsidRPr="00835753" w:rsidRDefault="004E71F4" w:rsidP="00155C96">
            <w:pPr>
              <w:pStyle w:val="Fait"/>
              <w:spacing w:before="0" w:after="120"/>
              <w:rPr>
                <w:rFonts w:eastAsiaTheme="minorEastAsia"/>
                <w:i/>
              </w:rPr>
            </w:pPr>
            <w:r w:rsidRPr="00835753">
              <w:t xml:space="preserve"> –</w:t>
            </w:r>
            <w:r w:rsidR="00835753" w:rsidRPr="00835753">
              <w:t xml:space="preserve"> w</w:t>
            </w:r>
            <w:r w:rsidR="00835753">
              <w:t> </w:t>
            </w:r>
            <w:r w:rsidR="00835753" w:rsidRPr="00835753">
              <w:t>prz</w:t>
            </w:r>
            <w:r w:rsidRPr="00835753">
              <w:t>ypadku gdy kwota jest spłacana</w:t>
            </w:r>
            <w:r w:rsidR="00835753" w:rsidRPr="00835753">
              <w:t xml:space="preserve"> w</w:t>
            </w:r>
            <w:r w:rsidR="00835753">
              <w:t> </w:t>
            </w:r>
            <w:r w:rsidR="00835753" w:rsidRPr="00835753">
              <w:t>rat</w:t>
            </w:r>
            <w:r w:rsidRPr="00835753">
              <w:t>ach, ekspozycję przypisuje się do klasy zapadalności odpowiadającej ostatniej racie.</w:t>
            </w:r>
          </w:p>
        </w:tc>
      </w:tr>
      <w:tr w:rsidR="004E71F4" w:rsidRPr="00835753" w14:paraId="74073BCD" w14:textId="77777777" w:rsidTr="00155C96">
        <w:trPr>
          <w:trHeight w:val="274"/>
        </w:trPr>
        <w:tc>
          <w:tcPr>
            <w:tcW w:w="1384" w:type="dxa"/>
          </w:tcPr>
          <w:p w14:paraId="762B3169" w14:textId="77777777" w:rsidR="004E71F4" w:rsidRPr="00835753" w:rsidRDefault="004E71F4" w:rsidP="00155C96">
            <w:pPr>
              <w:pStyle w:val="Applicationdirecte"/>
              <w:spacing w:before="0"/>
            </w:pPr>
            <w:proofErr w:type="gramStart"/>
            <w:r w:rsidRPr="00835753">
              <w:lastRenderedPageBreak/>
              <w:t>f</w:t>
            </w:r>
            <w:proofErr w:type="gramEnd"/>
            <w:r w:rsidRPr="00835753">
              <w:t>)</w:t>
            </w:r>
          </w:p>
        </w:tc>
        <w:tc>
          <w:tcPr>
            <w:tcW w:w="7655" w:type="dxa"/>
          </w:tcPr>
          <w:p w14:paraId="7213934F" w14:textId="77777777" w:rsidR="004E71F4" w:rsidRPr="00835753" w:rsidRDefault="004E71F4" w:rsidP="00155C96">
            <w:pPr>
              <w:autoSpaceDE w:val="0"/>
              <w:autoSpaceDN w:val="0"/>
              <w:adjustRightInd w:val="0"/>
              <w:spacing w:after="120"/>
            </w:pPr>
            <w:r w:rsidRPr="00835753">
              <w:rPr>
                <w:rFonts w:ascii="Times New Roman" w:hAnsi="Times New Roman"/>
                <w:b/>
                <w:sz w:val="24"/>
              </w:rPr>
              <w:t>Ogółem</w:t>
            </w:r>
          </w:p>
        </w:tc>
      </w:tr>
    </w:tbl>
    <w:p w14:paraId="548E1C49" w14:textId="77777777" w:rsidR="004E71F4" w:rsidRPr="00835753" w:rsidRDefault="004E71F4" w:rsidP="004E71F4">
      <w:pPr>
        <w:spacing w:after="120"/>
        <w:jc w:val="both"/>
        <w:rPr>
          <w:rFonts w:ascii="Times New Roman" w:hAnsi="Times New Roman" w:cs="Times New Roman"/>
          <w:bCs/>
          <w:sz w:val="24"/>
        </w:rPr>
      </w:pPr>
    </w:p>
    <w:p w14:paraId="6ADFFD40" w14:textId="2BB51449" w:rsidR="004E71F4" w:rsidRPr="00835753" w:rsidRDefault="00CD362D" w:rsidP="004E71F4">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Wzór EU CR2: Zmiany stanu nieobsługiwanych kredytów</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zal</w:t>
      </w:r>
      <w:r w:rsidRPr="00835753">
        <w:rPr>
          <w:rFonts w:ascii="Times New Roman" w:hAnsi="Times New Roman"/>
          <w:b/>
          <w:sz w:val="24"/>
        </w:rPr>
        <w:t>iczek</w:t>
      </w:r>
    </w:p>
    <w:p w14:paraId="2E036D32" w14:textId="5DA70005" w:rsidR="004E71F4" w:rsidRPr="00835753" w:rsidRDefault="004E71F4" w:rsidP="004E71F4">
      <w:pPr>
        <w:pStyle w:val="ListParagraph"/>
        <w:numPr>
          <w:ilvl w:val="0"/>
          <w:numId w:val="48"/>
        </w:numPr>
        <w:spacing w:after="120"/>
        <w:jc w:val="both"/>
        <w:rPr>
          <w:rFonts w:ascii="Times New Roman" w:hAnsi="Times New Roman"/>
          <w:sz w:val="24"/>
        </w:rPr>
      </w:pPr>
      <w:r w:rsidRPr="00835753">
        <w:rPr>
          <w:rFonts w:ascii="Times New Roman" w:hAnsi="Times New Roman"/>
          <w:bCs/>
          <w:sz w:val="24"/>
        </w:rPr>
        <w:t>W celu wypełnienia wzoru EU CR2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 xml:space="preserve">ączniku XV do niniejszego rozporządzenia wykonawczego instytucje </w:t>
      </w:r>
      <w:r w:rsidRPr="00835753">
        <w:rPr>
          <w:rFonts w:ascii="Times New Roman" w:hAnsi="Times New Roman"/>
          <w:sz w:val="24"/>
        </w:rPr>
        <w:t>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442 lit.</w:t>
      </w:r>
      <w:r w:rsidR="00835753" w:rsidRPr="00835753">
        <w:rPr>
          <w:rFonts w:ascii="Times New Roman" w:hAnsi="Times New Roman"/>
          <w:bCs/>
          <w:sz w:val="24"/>
        </w:rPr>
        <w:t> </w:t>
      </w:r>
      <w:r w:rsidRPr="00835753">
        <w:rPr>
          <w:rFonts w:ascii="Times New Roman" w:hAnsi="Times New Roman"/>
          <w:bCs/>
          <w:sz w:val="24"/>
        </w:rPr>
        <w:t xml:space="preserve">f) </w:t>
      </w:r>
      <w:r w:rsidRPr="00835753">
        <w:rPr>
          <w:rFonts w:ascii="Times New Roman" w:hAnsi="Times New Roman"/>
          <w:color w:val="000000"/>
          <w:sz w:val="24"/>
        </w:rPr>
        <w:t>CRR</w:t>
      </w:r>
      <w:r w:rsidRPr="00835753">
        <w:rPr>
          <w:rFonts w:ascii="Times New Roman" w:hAnsi="Times New Roman"/>
          <w:bCs/>
          <w:sz w:val="24"/>
        </w:rPr>
        <w:t>,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Instytucje wyjaśniają</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opi</w:t>
      </w:r>
      <w:r w:rsidRPr="00835753">
        <w:rPr>
          <w:rFonts w:ascii="Times New Roman" w:hAnsi="Times New Roman"/>
          <w:bCs/>
          <w:sz w:val="24"/>
        </w:rPr>
        <w:t>sie dołączonym do tych wzorów wszelkie istotne różnice między wartościami nieobsługiwanymi ujawnionymi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każ</w:t>
      </w:r>
      <w:r w:rsidRPr="00835753">
        <w:rPr>
          <w:rFonts w:ascii="Times New Roman" w:hAnsi="Times New Roman"/>
          <w:bCs/>
          <w:sz w:val="24"/>
        </w:rPr>
        <w:t>dym wierszu</w:t>
      </w:r>
      <w:r w:rsidR="00835753" w:rsidRPr="00835753">
        <w:rPr>
          <w:rFonts w:ascii="Times New Roman" w:hAnsi="Times New Roman"/>
          <w:bCs/>
          <w:sz w:val="24"/>
        </w:rPr>
        <w:t xml:space="preserve"> a</w:t>
      </w:r>
      <w:r w:rsidR="00835753">
        <w:rPr>
          <w:rFonts w:ascii="Times New Roman" w:hAnsi="Times New Roman"/>
          <w:bCs/>
          <w:sz w:val="24"/>
        </w:rPr>
        <w:t> </w:t>
      </w:r>
      <w:r w:rsidR="00835753" w:rsidRPr="00835753">
        <w:rPr>
          <w:rFonts w:ascii="Times New Roman" w:hAnsi="Times New Roman"/>
          <w:bCs/>
          <w:sz w:val="24"/>
        </w:rPr>
        <w:t>war</w:t>
      </w:r>
      <w:r w:rsidRPr="00835753">
        <w:rPr>
          <w:rFonts w:ascii="Times New Roman" w:hAnsi="Times New Roman"/>
          <w:bCs/>
          <w:sz w:val="24"/>
        </w:rPr>
        <w:t>tościami wynikającymi</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zas</w:t>
      </w:r>
      <w:r w:rsidRPr="00835753">
        <w:rPr>
          <w:rFonts w:ascii="Times New Roman" w:hAnsi="Times New Roman"/>
          <w:bCs/>
          <w:sz w:val="24"/>
        </w:rPr>
        <w:t>tosowania definicji niewykonania zobowiązania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178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2CD3DBB" w:rsidR="004E71F4" w:rsidRPr="00835753" w:rsidRDefault="004E71F4"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2A62740D" w14:textId="77777777" w:rsidTr="00155C96">
        <w:trPr>
          <w:trHeight w:val="238"/>
        </w:trPr>
        <w:tc>
          <w:tcPr>
            <w:tcW w:w="1384" w:type="dxa"/>
            <w:shd w:val="clear" w:color="auto" w:fill="D9D9D9" w:themeFill="background1" w:themeFillShade="D9"/>
          </w:tcPr>
          <w:p w14:paraId="5525AD89"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217F440D"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4E71F4" w:rsidRPr="00835753" w14:paraId="638CB5A3" w14:textId="77777777" w:rsidTr="00155C96">
        <w:trPr>
          <w:trHeight w:val="971"/>
        </w:trPr>
        <w:tc>
          <w:tcPr>
            <w:tcW w:w="1384" w:type="dxa"/>
          </w:tcPr>
          <w:p w14:paraId="1E0ADB96" w14:textId="77777777" w:rsidR="004E71F4" w:rsidRPr="00835753" w:rsidRDefault="004E71F4" w:rsidP="00155C96">
            <w:pPr>
              <w:pStyle w:val="Applicationdirecte"/>
              <w:spacing w:before="0"/>
            </w:pPr>
            <w:r w:rsidRPr="00835753">
              <w:t>010</w:t>
            </w:r>
          </w:p>
        </w:tc>
        <w:tc>
          <w:tcPr>
            <w:tcW w:w="7655" w:type="dxa"/>
          </w:tcPr>
          <w:p w14:paraId="2196BA33" w14:textId="60DE23C6"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Początkowy stan nieobsługiwanych kredytów</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zal</w:t>
            </w:r>
            <w:r w:rsidRPr="00835753">
              <w:rPr>
                <w:rFonts w:ascii="Times New Roman" w:hAnsi="Times New Roman"/>
                <w:b/>
                <w:sz w:val="24"/>
              </w:rPr>
              <w:t>iczek</w:t>
            </w:r>
          </w:p>
          <w:p w14:paraId="2E71EC8D" w14:textId="6C36656A"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Wartość bilansowa brutto stanu nieobsługiwanych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na koniec ostatniego roku obrachunkowego</w:t>
            </w:r>
          </w:p>
        </w:tc>
      </w:tr>
      <w:tr w:rsidR="004E71F4" w:rsidRPr="00835753" w14:paraId="6FED36BF" w14:textId="77777777" w:rsidTr="00155C96">
        <w:trPr>
          <w:trHeight w:val="316"/>
        </w:trPr>
        <w:tc>
          <w:tcPr>
            <w:tcW w:w="1384" w:type="dxa"/>
          </w:tcPr>
          <w:p w14:paraId="282114F1" w14:textId="77777777" w:rsidR="004E71F4" w:rsidRPr="00835753" w:rsidRDefault="004E71F4" w:rsidP="00155C96">
            <w:pPr>
              <w:autoSpaceDE w:val="0"/>
              <w:autoSpaceDN w:val="0"/>
              <w:adjustRightInd w:val="0"/>
              <w:spacing w:after="120"/>
              <w:jc w:val="both"/>
              <w:rPr>
                <w:rFonts w:ascii="Times New Roman" w:hAnsi="Times New Roman" w:cs="Times New Roman"/>
                <w:color w:val="000000"/>
                <w:sz w:val="24"/>
              </w:rPr>
            </w:pPr>
            <w:r w:rsidRPr="00835753">
              <w:rPr>
                <w:rFonts w:ascii="Times New Roman" w:hAnsi="Times New Roman"/>
                <w:color w:val="000000"/>
                <w:sz w:val="24"/>
              </w:rPr>
              <w:t>020</w:t>
            </w:r>
          </w:p>
        </w:tc>
        <w:tc>
          <w:tcPr>
            <w:tcW w:w="7655" w:type="dxa"/>
          </w:tcPr>
          <w:p w14:paraId="182D3C84" w14:textId="77777777"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Wpływy do portfeli nieobsługiwanych</w:t>
            </w:r>
          </w:p>
          <w:p w14:paraId="1A775B10" w14:textId="4513F17E" w:rsidR="004E71F4" w:rsidRPr="00835753" w:rsidRDefault="004E71F4"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Wartość bilansowa brutto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które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cią</w:t>
            </w:r>
            <w:r w:rsidRPr="00835753">
              <w:rPr>
                <w:rFonts w:ascii="Times New Roman" w:hAnsi="Times New Roman"/>
                <w:sz w:val="24"/>
              </w:rPr>
              <w:t>gu danego okresu (od końca ostatniego roku obrachunkowego) uzyskały status nieobsługiwanych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w:t>
            </w:r>
          </w:p>
        </w:tc>
      </w:tr>
      <w:tr w:rsidR="004E71F4" w:rsidRPr="00835753" w14:paraId="77F3A129" w14:textId="77777777" w:rsidTr="00155C96">
        <w:trPr>
          <w:trHeight w:val="316"/>
        </w:trPr>
        <w:tc>
          <w:tcPr>
            <w:tcW w:w="1384" w:type="dxa"/>
          </w:tcPr>
          <w:p w14:paraId="7A5A3797" w14:textId="77777777" w:rsidR="004E71F4" w:rsidRPr="00835753" w:rsidRDefault="004E71F4" w:rsidP="00155C96">
            <w:pPr>
              <w:autoSpaceDE w:val="0"/>
              <w:autoSpaceDN w:val="0"/>
              <w:adjustRightInd w:val="0"/>
              <w:spacing w:after="120"/>
              <w:jc w:val="both"/>
              <w:rPr>
                <w:rFonts w:ascii="Times New Roman" w:hAnsi="Times New Roman" w:cs="Times New Roman"/>
                <w:color w:val="000000"/>
                <w:sz w:val="24"/>
              </w:rPr>
            </w:pPr>
            <w:r w:rsidRPr="00835753">
              <w:rPr>
                <w:rFonts w:ascii="Times New Roman" w:hAnsi="Times New Roman"/>
                <w:color w:val="000000"/>
                <w:sz w:val="24"/>
              </w:rPr>
              <w:t>030</w:t>
            </w:r>
          </w:p>
        </w:tc>
        <w:tc>
          <w:tcPr>
            <w:tcW w:w="7655" w:type="dxa"/>
          </w:tcPr>
          <w:p w14:paraId="7213A5F2" w14:textId="50B797E6"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Wypływy</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por</w:t>
            </w:r>
            <w:r w:rsidRPr="00835753">
              <w:rPr>
                <w:rFonts w:ascii="Times New Roman" w:hAnsi="Times New Roman"/>
                <w:b/>
                <w:sz w:val="24"/>
              </w:rPr>
              <w:t>tfeli nieobsługiwanych</w:t>
            </w:r>
          </w:p>
          <w:p w14:paraId="76D22C1F" w14:textId="098662DA"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Wartość bilansowa brutto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które utraciły status nieobsługiwanych</w:t>
            </w:r>
          </w:p>
        </w:tc>
      </w:tr>
      <w:tr w:rsidR="004E71F4" w:rsidRPr="00835753" w14:paraId="32B7AFDC" w14:textId="77777777" w:rsidTr="00155C96">
        <w:trPr>
          <w:trHeight w:val="316"/>
        </w:trPr>
        <w:tc>
          <w:tcPr>
            <w:tcW w:w="1384" w:type="dxa"/>
          </w:tcPr>
          <w:p w14:paraId="587AA47E" w14:textId="77777777" w:rsidR="004E71F4" w:rsidRPr="00835753" w:rsidRDefault="004E71F4" w:rsidP="00155C96">
            <w:pPr>
              <w:autoSpaceDE w:val="0"/>
              <w:autoSpaceDN w:val="0"/>
              <w:adjustRightInd w:val="0"/>
              <w:spacing w:after="120"/>
              <w:jc w:val="both"/>
              <w:rPr>
                <w:rFonts w:ascii="Times New Roman" w:hAnsi="Times New Roman" w:cs="Times New Roman"/>
                <w:color w:val="000000"/>
                <w:sz w:val="24"/>
              </w:rPr>
            </w:pPr>
            <w:r w:rsidRPr="00835753">
              <w:rPr>
                <w:rFonts w:ascii="Times New Roman" w:hAnsi="Times New Roman"/>
                <w:color w:val="000000"/>
                <w:sz w:val="24"/>
              </w:rPr>
              <w:lastRenderedPageBreak/>
              <w:t>040</w:t>
            </w:r>
          </w:p>
        </w:tc>
        <w:tc>
          <w:tcPr>
            <w:tcW w:w="7655" w:type="dxa"/>
          </w:tcPr>
          <w:p w14:paraId="740566B0" w14:textId="24744D46"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Wypływ</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pow</w:t>
            </w:r>
            <w:r w:rsidRPr="00835753">
              <w:rPr>
                <w:rFonts w:ascii="Times New Roman" w:hAnsi="Times New Roman"/>
                <w:b/>
                <w:sz w:val="24"/>
              </w:rPr>
              <w:t xml:space="preserve">odu odpisów </w:t>
            </w:r>
          </w:p>
          <w:p w14:paraId="0E4163E1" w14:textId="672BD12B" w:rsidR="004E71F4" w:rsidRPr="00835753" w:rsidRDefault="004E71F4"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Całkowite lub częściowe odpisy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ogółem odnotowane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sprawozdawczym</w:t>
            </w:r>
          </w:p>
          <w:p w14:paraId="7DA15E9D" w14:textId="03526F12"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Odpis (całkowity lub częściowy) stanowi zdarzenie prowadzące do zaprzestania ujmowania</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zwi</w:t>
            </w:r>
            <w:r w:rsidRPr="00835753">
              <w:rPr>
                <w:rFonts w:ascii="Times New Roman" w:hAnsi="Times New Roman"/>
                <w:sz w:val="24"/>
              </w:rPr>
              <w:t>ązku</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wartość bilansowa brutto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pomniejsza się</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kwo</w:t>
            </w:r>
            <w:r w:rsidRPr="00835753">
              <w:rPr>
                <w:rFonts w:ascii="Times New Roman" w:hAnsi="Times New Roman"/>
                <w:sz w:val="24"/>
              </w:rPr>
              <w:t>tę odpisów. Ponadto do tej kategorii należy zaliczyć również umorzenie długu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kon</w:t>
            </w:r>
            <w:r w:rsidRPr="00835753">
              <w:rPr>
                <w:rFonts w:ascii="Times New Roman" w:hAnsi="Times New Roman"/>
                <w:sz w:val="24"/>
              </w:rPr>
              <w:t>tekście działań restrukturyzacyjnych, tj. odpisy,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których umorzono kwotę zadłużenia niespłaconego przez kredytobiorcę (instytucja traci prawo do jego legalnego odzyskania).</w:t>
            </w:r>
          </w:p>
        </w:tc>
      </w:tr>
      <w:tr w:rsidR="004E71F4" w:rsidRPr="00835753" w14:paraId="6452F6F0" w14:textId="77777777" w:rsidTr="00155C96">
        <w:trPr>
          <w:trHeight w:val="316"/>
        </w:trPr>
        <w:tc>
          <w:tcPr>
            <w:tcW w:w="1384" w:type="dxa"/>
          </w:tcPr>
          <w:p w14:paraId="4BE26A74" w14:textId="77777777" w:rsidR="004E71F4" w:rsidRPr="00835753" w:rsidRDefault="004E71F4" w:rsidP="00155C96">
            <w:pPr>
              <w:autoSpaceDE w:val="0"/>
              <w:autoSpaceDN w:val="0"/>
              <w:adjustRightInd w:val="0"/>
              <w:spacing w:after="120"/>
              <w:jc w:val="both"/>
              <w:rPr>
                <w:rFonts w:ascii="Times New Roman" w:hAnsi="Times New Roman" w:cs="Times New Roman"/>
                <w:color w:val="000000"/>
                <w:sz w:val="24"/>
              </w:rPr>
            </w:pPr>
            <w:r w:rsidRPr="00835753">
              <w:rPr>
                <w:rFonts w:ascii="Times New Roman" w:hAnsi="Times New Roman"/>
                <w:color w:val="000000"/>
                <w:sz w:val="24"/>
              </w:rPr>
              <w:t>050</w:t>
            </w:r>
          </w:p>
        </w:tc>
        <w:tc>
          <w:tcPr>
            <w:tcW w:w="7655" w:type="dxa"/>
          </w:tcPr>
          <w:p w14:paraId="481AD4AF" w14:textId="775F1983"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Wypływ</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inn</w:t>
            </w:r>
            <w:r w:rsidRPr="00835753">
              <w:rPr>
                <w:rFonts w:ascii="Times New Roman" w:hAnsi="Times New Roman"/>
                <w:b/>
                <w:sz w:val="24"/>
              </w:rPr>
              <w:t xml:space="preserve">ych powodów </w:t>
            </w:r>
          </w:p>
          <w:p w14:paraId="485E10AB" w14:textId="7EC54BDB" w:rsidR="004E71F4" w:rsidRPr="00835753" w:rsidRDefault="004E71F4"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 wierszu tym ujmuje się wszelkie inne zmniejszenia wartości bilansowej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poza odpisami. Korekty te mogą obejmować na przykład wypływ</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odu: (i) spłaty kredytu, częściowej lub całkowitej; (ii) likwidacji zabezpieczeń; (iii) przejęcia zabezpieczenia; (iv) sprzedaży instrumentów; (v) przeniesień ryzyka; (vi) zmian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ryz</w:t>
            </w:r>
            <w:r w:rsidRPr="00835753">
              <w:rPr>
                <w:rFonts w:ascii="Times New Roman" w:hAnsi="Times New Roman"/>
                <w:sz w:val="24"/>
              </w:rPr>
              <w:t>ykiem walutowym; (vii) innych czynności zamknięcia; (viii) przeklasyfikowania między klasami aktywów itp. Ponadto korekty obejmują wypływ</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 xml:space="preserve">odu przeklasyfikowania ekspozycji do kategorii ekspozycji przeznaczonych do sprzedaży. </w:t>
            </w:r>
          </w:p>
          <w:p w14:paraId="5BB25AD1" w14:textId="3D76EC23"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W przypadku gdy kwota dotycząca tej kategorii jest znacząca, instytucje są proszone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ekazanie dodatkowych informacji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opi</w:t>
            </w:r>
            <w:r w:rsidRPr="00835753">
              <w:rPr>
                <w:rFonts w:ascii="Times New Roman" w:hAnsi="Times New Roman"/>
                <w:sz w:val="24"/>
              </w:rPr>
              <w:t>sie dołączonym do niniejszego wzoru.</w:t>
            </w:r>
          </w:p>
        </w:tc>
      </w:tr>
      <w:tr w:rsidR="004E71F4" w:rsidRPr="00835753" w14:paraId="0CCFE3B3" w14:textId="77777777" w:rsidTr="00155C96">
        <w:trPr>
          <w:trHeight w:val="316"/>
        </w:trPr>
        <w:tc>
          <w:tcPr>
            <w:tcW w:w="1384" w:type="dxa"/>
          </w:tcPr>
          <w:p w14:paraId="5DD84E6C" w14:textId="77777777" w:rsidR="004E71F4" w:rsidRPr="00835753" w:rsidRDefault="004E71F4" w:rsidP="00155C96">
            <w:pPr>
              <w:autoSpaceDE w:val="0"/>
              <w:autoSpaceDN w:val="0"/>
              <w:adjustRightInd w:val="0"/>
              <w:spacing w:after="120"/>
              <w:jc w:val="both"/>
              <w:rPr>
                <w:rFonts w:ascii="Times New Roman" w:hAnsi="Times New Roman" w:cs="Times New Roman"/>
                <w:color w:val="000000"/>
                <w:sz w:val="24"/>
              </w:rPr>
            </w:pPr>
            <w:r w:rsidRPr="00835753">
              <w:rPr>
                <w:rFonts w:ascii="Times New Roman" w:hAnsi="Times New Roman"/>
                <w:color w:val="000000"/>
                <w:sz w:val="24"/>
              </w:rPr>
              <w:t>060</w:t>
            </w:r>
          </w:p>
        </w:tc>
        <w:tc>
          <w:tcPr>
            <w:tcW w:w="7655" w:type="dxa"/>
          </w:tcPr>
          <w:p w14:paraId="4E455B07" w14:textId="4BC31C6B"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Końcowy stan nieobsługiwanych kredytów</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zal</w:t>
            </w:r>
            <w:r w:rsidRPr="00835753">
              <w:rPr>
                <w:rFonts w:ascii="Times New Roman" w:hAnsi="Times New Roman"/>
                <w:b/>
                <w:sz w:val="24"/>
              </w:rPr>
              <w:t>iczek</w:t>
            </w:r>
          </w:p>
          <w:p w14:paraId="55C1F48F" w14:textId="32C38A26"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Wartość bilansowa brutto stanu nieobsługiwanych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dni</w:t>
            </w:r>
            <w:r w:rsidRPr="00835753">
              <w:rPr>
                <w:rFonts w:ascii="Times New Roman" w:hAnsi="Times New Roman"/>
                <w:sz w:val="24"/>
              </w:rPr>
              <w:t>u odniesienia do celów ujawniania informacji.</w:t>
            </w:r>
          </w:p>
        </w:tc>
      </w:tr>
    </w:tbl>
    <w:p w14:paraId="1E5F0406" w14:textId="77777777" w:rsidR="004E71F4" w:rsidRPr="00835753"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71BED0A5" w14:textId="77777777" w:rsidTr="00155C96">
        <w:trPr>
          <w:trHeight w:val="238"/>
        </w:trPr>
        <w:tc>
          <w:tcPr>
            <w:tcW w:w="9039" w:type="dxa"/>
            <w:gridSpan w:val="2"/>
            <w:shd w:val="clear" w:color="auto" w:fill="D9D9D9" w:themeFill="background1" w:themeFillShade="D9"/>
          </w:tcPr>
          <w:p w14:paraId="3E2A2449" w14:textId="135314B7"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66E8FE29" w14:textId="77777777" w:rsidTr="00155C96">
        <w:trPr>
          <w:trHeight w:val="238"/>
        </w:trPr>
        <w:tc>
          <w:tcPr>
            <w:tcW w:w="1384" w:type="dxa"/>
            <w:shd w:val="clear" w:color="auto" w:fill="D9D9D9" w:themeFill="background1" w:themeFillShade="D9"/>
          </w:tcPr>
          <w:p w14:paraId="405738C3" w14:textId="77777777"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6D295D30" w14:textId="77777777"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Wyjaśnienie</w:t>
            </w:r>
          </w:p>
        </w:tc>
      </w:tr>
      <w:tr w:rsidR="004E71F4" w:rsidRPr="00835753" w14:paraId="26011557" w14:textId="77777777" w:rsidTr="00155C96">
        <w:trPr>
          <w:trHeight w:val="841"/>
        </w:trPr>
        <w:tc>
          <w:tcPr>
            <w:tcW w:w="1384" w:type="dxa"/>
          </w:tcPr>
          <w:p w14:paraId="136B5153" w14:textId="77777777" w:rsidR="004E71F4" w:rsidRPr="00835753" w:rsidRDefault="004E71F4" w:rsidP="00155C96">
            <w:pPr>
              <w:pStyle w:val="Applicationdirecte"/>
              <w:spacing w:before="0"/>
            </w:pPr>
            <w:proofErr w:type="gramStart"/>
            <w:r w:rsidRPr="00835753">
              <w:t>a</w:t>
            </w:r>
            <w:proofErr w:type="gramEnd"/>
            <w:r w:rsidRPr="00835753">
              <w:t>)</w:t>
            </w:r>
          </w:p>
        </w:tc>
        <w:tc>
          <w:tcPr>
            <w:tcW w:w="7655" w:type="dxa"/>
          </w:tcPr>
          <w:p w14:paraId="171B9C3F" w14:textId="77777777" w:rsidR="004E71F4" w:rsidRPr="00835753" w:rsidRDefault="004E71F4" w:rsidP="00155C96">
            <w:pPr>
              <w:pStyle w:val="Fait"/>
              <w:spacing w:before="0" w:after="120"/>
              <w:rPr>
                <w:rFonts w:eastAsiaTheme="minorEastAsia"/>
                <w:b/>
              </w:rPr>
            </w:pPr>
            <w:r w:rsidRPr="00835753">
              <w:rPr>
                <w:b/>
              </w:rPr>
              <w:t xml:space="preserve">Wartość bilansowa brutto </w:t>
            </w:r>
          </w:p>
          <w:p w14:paraId="1945CE1E" w14:textId="2CF095D9" w:rsidR="004E71F4" w:rsidRPr="00835753" w:rsidRDefault="004E71F4" w:rsidP="00155C96">
            <w:pPr>
              <w:autoSpaceDE w:val="0"/>
              <w:autoSpaceDN w:val="0"/>
              <w:adjustRightInd w:val="0"/>
              <w:spacing w:after="120"/>
              <w:jc w:val="both"/>
            </w:pPr>
            <w:r w:rsidRPr="00835753">
              <w:rPr>
                <w:rFonts w:ascii="Times New Roman" w:hAnsi="Times New Roman"/>
                <w:sz w:val="24"/>
              </w:rPr>
              <w:t>Wartość bilansowa brutto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def</w:t>
            </w:r>
            <w:r w:rsidRPr="00835753">
              <w:rPr>
                <w:rFonts w:ascii="Times New Roman" w:hAnsi="Times New Roman"/>
                <w:sz w:val="24"/>
              </w:rPr>
              <w:t>inicją zawartą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1 pkt</w:t>
            </w:r>
            <w:r w:rsidR="00835753" w:rsidRPr="00835753">
              <w:rPr>
                <w:rFonts w:ascii="Times New Roman" w:hAnsi="Times New Roman"/>
                <w:sz w:val="24"/>
              </w:rPr>
              <w:t> </w:t>
            </w:r>
            <w:r w:rsidRPr="00835753">
              <w:rPr>
                <w:rFonts w:ascii="Times New Roman" w:hAnsi="Times New Roman"/>
                <w:sz w:val="24"/>
              </w:rPr>
              <w:t>34 załącznika V do rozporządzenia wykonawczego Komisji (UE) nr</w:t>
            </w:r>
            <w:r w:rsidR="00835753" w:rsidRPr="00835753">
              <w:rPr>
                <w:rFonts w:ascii="Times New Roman" w:hAnsi="Times New Roman"/>
                <w:sz w:val="24"/>
              </w:rPr>
              <w:t> </w:t>
            </w:r>
            <w:r w:rsidRPr="00835753">
              <w:rPr>
                <w:rFonts w:ascii="Times New Roman" w:hAnsi="Times New Roman"/>
                <w:sz w:val="24"/>
              </w:rPr>
              <w:t>680/2014.</w:t>
            </w:r>
          </w:p>
        </w:tc>
      </w:tr>
    </w:tbl>
    <w:p w14:paraId="129C662D" w14:textId="77777777" w:rsidR="004E71F4" w:rsidRPr="00835753" w:rsidRDefault="004E71F4" w:rsidP="004E71F4">
      <w:pPr>
        <w:spacing w:after="120"/>
        <w:jc w:val="both"/>
        <w:rPr>
          <w:rFonts w:ascii="Times New Roman" w:hAnsi="Times New Roman" w:cs="Times New Roman"/>
          <w:bCs/>
          <w:sz w:val="24"/>
        </w:rPr>
      </w:pPr>
    </w:p>
    <w:p w14:paraId="15088F56" w14:textId="1FB1AF39" w:rsidR="004E71F4" w:rsidRPr="00835753" w:rsidRDefault="00CD362D" w:rsidP="004E71F4">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Wzór EU CR2a: Zmiany stanu nieobsługiwanych kredytów</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zal</w:t>
      </w:r>
      <w:r w:rsidRPr="00835753">
        <w:rPr>
          <w:rFonts w:ascii="Times New Roman" w:hAnsi="Times New Roman"/>
          <w:b/>
          <w:sz w:val="24"/>
        </w:rPr>
        <w:t>iczek oraz powiązanych skumulowanych odzyskanych kwot netto</w:t>
      </w:r>
    </w:p>
    <w:p w14:paraId="046F988F" w14:textId="037650CE" w:rsidR="004E71F4" w:rsidRPr="00835753"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sidRPr="00835753">
        <w:rPr>
          <w:rFonts w:ascii="Times New Roman" w:hAnsi="Times New Roman"/>
          <w:bCs/>
          <w:sz w:val="24"/>
        </w:rPr>
        <w:t>W celu wypełnienia wzoru EU CR2a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 xml:space="preserve">ączniku XV do niniejszego rozporządzenia wykonawczego instytucje </w:t>
      </w:r>
      <w:r w:rsidRPr="00835753">
        <w:rPr>
          <w:rFonts w:ascii="Times New Roman" w:hAnsi="Times New Roman"/>
          <w:sz w:val="24"/>
        </w:rPr>
        <w:t>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442 lit.</w:t>
      </w:r>
      <w:r w:rsidR="00835753" w:rsidRPr="00835753">
        <w:rPr>
          <w:rFonts w:ascii="Times New Roman" w:hAnsi="Times New Roman"/>
          <w:bCs/>
          <w:sz w:val="24"/>
        </w:rPr>
        <w:t> </w:t>
      </w:r>
      <w:r w:rsidRPr="00835753">
        <w:rPr>
          <w:rFonts w:ascii="Times New Roman" w:hAnsi="Times New Roman"/>
          <w:bCs/>
          <w:sz w:val="24"/>
        </w:rPr>
        <w:t xml:space="preserve">c) i f) </w:t>
      </w:r>
      <w:r w:rsidRPr="00835753">
        <w:rPr>
          <w:rFonts w:ascii="Times New Roman" w:hAnsi="Times New Roman"/>
          <w:color w:val="000000"/>
          <w:sz w:val="24"/>
        </w:rPr>
        <w:t>CRR</w:t>
      </w:r>
      <w:r w:rsidRPr="00835753">
        <w:rPr>
          <w:rFonts w:ascii="Times New Roman" w:hAnsi="Times New Roman"/>
          <w:bCs/>
          <w:sz w:val="24"/>
        </w:rPr>
        <w:t>,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Instytucje wyjaśniają</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opi</w:t>
      </w:r>
      <w:r w:rsidRPr="00835753">
        <w:rPr>
          <w:rFonts w:ascii="Times New Roman" w:hAnsi="Times New Roman"/>
          <w:bCs/>
          <w:sz w:val="24"/>
        </w:rPr>
        <w:t>sie dołączonym do tych wzorów wszelkie istotne różnice między wartościami nieobsługiwanymi ujawnionymi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każ</w:t>
      </w:r>
      <w:r w:rsidRPr="00835753">
        <w:rPr>
          <w:rFonts w:ascii="Times New Roman" w:hAnsi="Times New Roman"/>
          <w:bCs/>
          <w:sz w:val="24"/>
        </w:rPr>
        <w:t>dym wierszu</w:t>
      </w:r>
      <w:r w:rsidR="00835753" w:rsidRPr="00835753">
        <w:rPr>
          <w:rFonts w:ascii="Times New Roman" w:hAnsi="Times New Roman"/>
          <w:bCs/>
          <w:sz w:val="24"/>
        </w:rPr>
        <w:t xml:space="preserve"> </w:t>
      </w:r>
      <w:r w:rsidR="00835753" w:rsidRPr="00835753">
        <w:rPr>
          <w:rFonts w:ascii="Times New Roman" w:hAnsi="Times New Roman"/>
          <w:bCs/>
          <w:sz w:val="24"/>
        </w:rPr>
        <w:lastRenderedPageBreak/>
        <w:t>a</w:t>
      </w:r>
      <w:r w:rsidR="00835753">
        <w:rPr>
          <w:rFonts w:ascii="Times New Roman" w:hAnsi="Times New Roman"/>
          <w:bCs/>
          <w:sz w:val="24"/>
        </w:rPr>
        <w:t> </w:t>
      </w:r>
      <w:r w:rsidR="00835753" w:rsidRPr="00835753">
        <w:rPr>
          <w:rFonts w:ascii="Times New Roman" w:hAnsi="Times New Roman"/>
          <w:bCs/>
          <w:sz w:val="24"/>
        </w:rPr>
        <w:t>war</w:t>
      </w:r>
      <w:r w:rsidRPr="00835753">
        <w:rPr>
          <w:rFonts w:ascii="Times New Roman" w:hAnsi="Times New Roman"/>
          <w:bCs/>
          <w:sz w:val="24"/>
        </w:rPr>
        <w:t>tościami wynikającymi</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zas</w:t>
      </w:r>
      <w:r w:rsidRPr="00835753">
        <w:rPr>
          <w:rFonts w:ascii="Times New Roman" w:hAnsi="Times New Roman"/>
          <w:bCs/>
          <w:sz w:val="24"/>
        </w:rPr>
        <w:t>tosowania definicji niewykonania zobowiązania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178 CRR,</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szc</w:t>
      </w:r>
      <w:r w:rsidRPr="00835753">
        <w:rPr>
          <w:rFonts w:ascii="Times New Roman" w:hAnsi="Times New Roman"/>
          <w:bCs/>
          <w:sz w:val="24"/>
        </w:rPr>
        <w:t>zególności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odn</w:t>
      </w:r>
      <w:r w:rsidRPr="00835753">
        <w:rPr>
          <w:rFonts w:ascii="Times New Roman" w:hAnsi="Times New Roman"/>
          <w:bCs/>
          <w:sz w:val="24"/>
        </w:rPr>
        <w:t>iesieniu do wierszy 010, 030, 100</w:t>
      </w:r>
      <w:r w:rsidR="00835753" w:rsidRPr="00835753">
        <w:rPr>
          <w:rFonts w:ascii="Times New Roman" w:hAnsi="Times New Roman"/>
          <w:bCs/>
          <w:sz w:val="24"/>
        </w:rPr>
        <w:t xml:space="preserve"> i</w:t>
      </w:r>
      <w:r w:rsidR="00835753">
        <w:rPr>
          <w:rFonts w:ascii="Times New Roman" w:hAnsi="Times New Roman"/>
          <w:bCs/>
          <w:sz w:val="24"/>
        </w:rPr>
        <w:t> </w:t>
      </w:r>
      <w:r w:rsidR="00835753" w:rsidRPr="00835753">
        <w:rPr>
          <w:rFonts w:ascii="Times New Roman" w:hAnsi="Times New Roman"/>
          <w:bCs/>
          <w:sz w:val="24"/>
        </w:rPr>
        <w:t>1</w:t>
      </w:r>
      <w:r w:rsidRPr="00835753">
        <w:rPr>
          <w:rFonts w:ascii="Times New Roman" w:hAnsi="Times New Roman"/>
          <w:bCs/>
          <w:sz w:val="24"/>
        </w:rPr>
        <w:t>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3ABEA6A" w:rsidR="004E71F4" w:rsidRPr="00835753" w:rsidRDefault="004E71F4"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33E953D3" w14:textId="77777777" w:rsidTr="00155C96">
        <w:trPr>
          <w:trHeight w:val="238"/>
        </w:trPr>
        <w:tc>
          <w:tcPr>
            <w:tcW w:w="1384" w:type="dxa"/>
            <w:shd w:val="clear" w:color="auto" w:fill="D9D9D9" w:themeFill="background1" w:themeFillShade="D9"/>
          </w:tcPr>
          <w:p w14:paraId="3FA0B458"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133358FB"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4E71F4" w:rsidRPr="00835753" w14:paraId="7B41F9A6" w14:textId="77777777" w:rsidTr="00155C96">
        <w:trPr>
          <w:trHeight w:val="971"/>
        </w:trPr>
        <w:tc>
          <w:tcPr>
            <w:tcW w:w="1384" w:type="dxa"/>
          </w:tcPr>
          <w:p w14:paraId="194199CD" w14:textId="77777777" w:rsidR="004E71F4" w:rsidRPr="00835753" w:rsidRDefault="004E71F4" w:rsidP="00155C96">
            <w:pPr>
              <w:pStyle w:val="Applicationdirecte"/>
              <w:spacing w:before="0"/>
            </w:pPr>
            <w:r w:rsidRPr="00835753">
              <w:t>010</w:t>
            </w:r>
          </w:p>
        </w:tc>
        <w:tc>
          <w:tcPr>
            <w:tcW w:w="7655" w:type="dxa"/>
          </w:tcPr>
          <w:p w14:paraId="04B60047" w14:textId="05C2C5CC"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Początkowy stan nieobsługiwanych kredytów</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zal</w:t>
            </w:r>
            <w:r w:rsidRPr="00835753">
              <w:rPr>
                <w:rFonts w:ascii="Times New Roman" w:hAnsi="Times New Roman"/>
                <w:b/>
                <w:sz w:val="24"/>
              </w:rPr>
              <w:t>iczek</w:t>
            </w:r>
          </w:p>
          <w:p w14:paraId="55355D1D" w14:textId="366D7F6B"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Wartość bilansowa brutto stanu nieobsługiwanych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na koniec ostatniego roku obrachunkowego</w:t>
            </w:r>
          </w:p>
        </w:tc>
      </w:tr>
      <w:tr w:rsidR="004E71F4" w:rsidRPr="00835753" w14:paraId="3F29387A" w14:textId="77777777" w:rsidTr="00155C96">
        <w:trPr>
          <w:trHeight w:val="316"/>
        </w:trPr>
        <w:tc>
          <w:tcPr>
            <w:tcW w:w="1384" w:type="dxa"/>
          </w:tcPr>
          <w:p w14:paraId="2D134686"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020</w:t>
            </w:r>
          </w:p>
        </w:tc>
        <w:tc>
          <w:tcPr>
            <w:tcW w:w="7655" w:type="dxa"/>
          </w:tcPr>
          <w:p w14:paraId="578547D6" w14:textId="77777777"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Wpływy do portfeli nieobsługiwanych</w:t>
            </w:r>
          </w:p>
          <w:p w14:paraId="2F21CFAF" w14:textId="618550C7" w:rsidR="004E71F4" w:rsidRPr="00835753" w:rsidRDefault="004E71F4"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Wartość bilansowa brutto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które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cią</w:t>
            </w:r>
            <w:r w:rsidRPr="00835753">
              <w:rPr>
                <w:rFonts w:ascii="Times New Roman" w:hAnsi="Times New Roman"/>
                <w:sz w:val="24"/>
              </w:rPr>
              <w:t>gu danego okresu (od końca ostatniego roku obrachunkowego) uzyskały status nieobsługiwanych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w:t>
            </w:r>
          </w:p>
        </w:tc>
      </w:tr>
      <w:tr w:rsidR="004E71F4" w:rsidRPr="00835753" w14:paraId="6DBEF69A" w14:textId="77777777" w:rsidTr="00155C96">
        <w:trPr>
          <w:trHeight w:val="316"/>
        </w:trPr>
        <w:tc>
          <w:tcPr>
            <w:tcW w:w="1384" w:type="dxa"/>
          </w:tcPr>
          <w:p w14:paraId="2B687A3C"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030</w:t>
            </w:r>
          </w:p>
        </w:tc>
        <w:tc>
          <w:tcPr>
            <w:tcW w:w="7655" w:type="dxa"/>
          </w:tcPr>
          <w:p w14:paraId="6226286F" w14:textId="3C1FC64E"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Wypływy</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por</w:t>
            </w:r>
            <w:r w:rsidRPr="00835753">
              <w:rPr>
                <w:rFonts w:ascii="Times New Roman" w:hAnsi="Times New Roman"/>
                <w:b/>
                <w:sz w:val="24"/>
              </w:rPr>
              <w:t>tfeli nieobsługiwanych</w:t>
            </w:r>
          </w:p>
          <w:p w14:paraId="6CEA25F4" w14:textId="77EC1F74"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Wartość bilansowa brutto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które utraciły status nieobsługiwanych</w:t>
            </w:r>
          </w:p>
        </w:tc>
      </w:tr>
      <w:tr w:rsidR="004E71F4" w:rsidRPr="00835753" w14:paraId="095740CA" w14:textId="77777777" w:rsidTr="00155C96">
        <w:trPr>
          <w:trHeight w:val="316"/>
        </w:trPr>
        <w:tc>
          <w:tcPr>
            <w:tcW w:w="1384" w:type="dxa"/>
          </w:tcPr>
          <w:p w14:paraId="5207609D"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040</w:t>
            </w:r>
          </w:p>
        </w:tc>
        <w:tc>
          <w:tcPr>
            <w:tcW w:w="7655" w:type="dxa"/>
          </w:tcPr>
          <w:p w14:paraId="00124BD1" w14:textId="77777777"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Wypływ do portfela obsługiwanego</w:t>
            </w:r>
          </w:p>
          <w:p w14:paraId="58F3502A" w14:textId="463B0519"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Wartość bilansowa brutto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które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cią</w:t>
            </w:r>
            <w:r w:rsidRPr="00835753">
              <w:rPr>
                <w:rFonts w:ascii="Times New Roman" w:hAnsi="Times New Roman"/>
                <w:sz w:val="24"/>
              </w:rPr>
              <w:t>gu danego okresu (od końca ostatniego roku obrachunkowego) utraciły status nieobsługiwanych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sta</w:t>
            </w:r>
            <w:r w:rsidRPr="00835753">
              <w:rPr>
                <w:rFonts w:ascii="Times New Roman" w:hAnsi="Times New Roman"/>
                <w:sz w:val="24"/>
              </w:rPr>
              <w:t>ły się obsługiwane</w:t>
            </w:r>
          </w:p>
        </w:tc>
      </w:tr>
      <w:tr w:rsidR="004E71F4" w:rsidRPr="00835753" w14:paraId="40CAD972" w14:textId="77777777" w:rsidTr="00155C96">
        <w:trPr>
          <w:trHeight w:val="316"/>
        </w:trPr>
        <w:tc>
          <w:tcPr>
            <w:tcW w:w="1384" w:type="dxa"/>
          </w:tcPr>
          <w:p w14:paraId="735D4B37"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050</w:t>
            </w:r>
          </w:p>
        </w:tc>
        <w:tc>
          <w:tcPr>
            <w:tcW w:w="7655" w:type="dxa"/>
          </w:tcPr>
          <w:p w14:paraId="5D1B61E8" w14:textId="50C070F2"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Wypływ</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pow</w:t>
            </w:r>
            <w:r w:rsidRPr="00835753">
              <w:rPr>
                <w:rFonts w:ascii="Times New Roman" w:hAnsi="Times New Roman"/>
                <w:b/>
                <w:sz w:val="24"/>
              </w:rPr>
              <w:t>odu spłaty kredytu, częściowej lub całkowitej</w:t>
            </w:r>
          </w:p>
          <w:p w14:paraId="7E87F4E4" w14:textId="0382F3D5"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Obniżenie wartości bilansowej brutto nieobsługiwanych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odu płatności gotówkowych, mianowicie regularnych spłat kapitału</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wsz</w:t>
            </w:r>
            <w:r w:rsidRPr="00835753">
              <w:rPr>
                <w:rFonts w:ascii="Times New Roman" w:hAnsi="Times New Roman"/>
                <w:sz w:val="24"/>
              </w:rPr>
              <w:t>elkich spłat ad hoc</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okresie (od końca ostatniego roku obrachunkowego)</w:t>
            </w:r>
          </w:p>
        </w:tc>
      </w:tr>
      <w:tr w:rsidR="004E71F4" w:rsidRPr="00835753" w14:paraId="64211CFF" w14:textId="77777777" w:rsidTr="00155C96">
        <w:trPr>
          <w:trHeight w:val="316"/>
        </w:trPr>
        <w:tc>
          <w:tcPr>
            <w:tcW w:w="1384" w:type="dxa"/>
          </w:tcPr>
          <w:p w14:paraId="4104C5C0"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060</w:t>
            </w:r>
          </w:p>
        </w:tc>
        <w:tc>
          <w:tcPr>
            <w:tcW w:w="7655" w:type="dxa"/>
          </w:tcPr>
          <w:p w14:paraId="6F2340B2" w14:textId="441F20F6"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Wypływ</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pow</w:t>
            </w:r>
            <w:r w:rsidRPr="00835753">
              <w:rPr>
                <w:rFonts w:ascii="Times New Roman" w:hAnsi="Times New Roman"/>
                <w:b/>
                <w:sz w:val="24"/>
              </w:rPr>
              <w:t xml:space="preserve">odu likwidacji zabezpieczeń </w:t>
            </w:r>
          </w:p>
          <w:p w14:paraId="3675E6B9" w14:textId="5E355687"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W tym wierszu ujawnia się wpływ likwidacji dowolnego rodzaju zabezpieczenia na wartość bilansową brutto instrumentu</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wierszu uwzględnia się również wypływy wynikające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inn</w:t>
            </w:r>
            <w:r w:rsidRPr="00835753">
              <w:rPr>
                <w:rFonts w:ascii="Times New Roman" w:hAnsi="Times New Roman"/>
                <w:sz w:val="24"/>
              </w:rPr>
              <w:t>ych procedur likwidacyjnych lub prawnych oraz dobrowolnej sprzedaży nieruchomości</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uniknięcia wątpliwości należy zauważyć, że ujawnia się wartość bilansową brutto instrumentu,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wszelkie ewentualne towarzyszące jej częściowe odpisy. Należy również zwrócić uwagę, że wypływy mogą nie być równe sumie skumulowanych odzyskanych kwot netto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ściowych odpisów.</w:t>
            </w:r>
          </w:p>
        </w:tc>
      </w:tr>
      <w:tr w:rsidR="004E71F4" w:rsidRPr="00835753" w14:paraId="153EAF92" w14:textId="77777777" w:rsidTr="00155C96">
        <w:trPr>
          <w:trHeight w:val="316"/>
        </w:trPr>
        <w:tc>
          <w:tcPr>
            <w:tcW w:w="1384" w:type="dxa"/>
          </w:tcPr>
          <w:p w14:paraId="65626203"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060 kolumna b)</w:t>
            </w:r>
          </w:p>
        </w:tc>
        <w:tc>
          <w:tcPr>
            <w:tcW w:w="7655" w:type="dxa"/>
          </w:tcPr>
          <w:p w14:paraId="0A570534" w14:textId="77777777"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 xml:space="preserve">Powiązane skumulowane odzyskane kwoty netto </w:t>
            </w:r>
          </w:p>
          <w:p w14:paraId="476F55E3" w14:textId="6A7E31DF"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W tym wierszu ujawnia się odzyskane środki pieniężne lub ekwiwalenty środków pieniężnych otrzymane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likwidacji zabezpieczeń (po potrąceniu odpowiednich kosztów likwidacji zabezpieczeń).</w:t>
            </w:r>
          </w:p>
        </w:tc>
      </w:tr>
      <w:tr w:rsidR="004E71F4" w:rsidRPr="00835753" w14:paraId="285633E4" w14:textId="77777777" w:rsidTr="00155C96">
        <w:trPr>
          <w:trHeight w:val="316"/>
        </w:trPr>
        <w:tc>
          <w:tcPr>
            <w:tcW w:w="1384" w:type="dxa"/>
          </w:tcPr>
          <w:p w14:paraId="20E2402B"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070</w:t>
            </w:r>
          </w:p>
        </w:tc>
        <w:tc>
          <w:tcPr>
            <w:tcW w:w="7655" w:type="dxa"/>
          </w:tcPr>
          <w:p w14:paraId="22C47A14" w14:textId="7D5FF65E"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Wypływ</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pow</w:t>
            </w:r>
            <w:r w:rsidRPr="00835753">
              <w:rPr>
                <w:rFonts w:ascii="Times New Roman" w:hAnsi="Times New Roman"/>
                <w:b/>
                <w:sz w:val="24"/>
              </w:rPr>
              <w:t xml:space="preserve">odu przejęcia zabezpieczenia </w:t>
            </w:r>
          </w:p>
          <w:p w14:paraId="668C1D8A" w14:textId="719E445C"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lastRenderedPageBreak/>
              <w:t>W tym wierszu ujawnia się wpływ na wartość bilansową brutto instrumentu wynikający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egz</w:t>
            </w:r>
            <w:r w:rsidRPr="00835753">
              <w:rPr>
                <w:rFonts w:ascii="Times New Roman" w:hAnsi="Times New Roman"/>
                <w:sz w:val="24"/>
              </w:rPr>
              <w:t>ekucji dowolnego rodzaju zabezpieczenia. Przejęcie odnosi się do nabycia zabezpieczenia niegotówkowego, które stało się własnością instytucji lub jednostki zależnej grupy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rego instytucja lub jednostka nie sprzedała jeszcze osobie trzeciej. Kategoria ta obejmuje również zamianę długu na aktywa, dobrowolny wykup</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zam</w:t>
            </w:r>
            <w:r w:rsidRPr="00835753">
              <w:rPr>
                <w:rFonts w:ascii="Times New Roman" w:hAnsi="Times New Roman"/>
                <w:sz w:val="24"/>
              </w:rPr>
              <w:t>ianę długu na kapitał własny</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uniknięcia wątpliwości należy zauważyć, że ujawnia się wartość bilansową brutto instrumentu,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wszelkie ewentualne towarzyszące jej częściowe odpisy. Należy również zwrócić uwagę, że wypływy mogą nie być równe sumie skumulowanych odzyskanych kwot netto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ściowych odpisów.</w:t>
            </w:r>
          </w:p>
        </w:tc>
      </w:tr>
      <w:tr w:rsidR="004E71F4" w:rsidRPr="00835753" w14:paraId="33D462F0" w14:textId="77777777" w:rsidTr="00155C96">
        <w:trPr>
          <w:trHeight w:val="316"/>
        </w:trPr>
        <w:tc>
          <w:tcPr>
            <w:tcW w:w="1384" w:type="dxa"/>
          </w:tcPr>
          <w:p w14:paraId="0E1175DE"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lastRenderedPageBreak/>
              <w:t xml:space="preserve">070 kolumna b) </w:t>
            </w:r>
          </w:p>
        </w:tc>
        <w:tc>
          <w:tcPr>
            <w:tcW w:w="7655" w:type="dxa"/>
          </w:tcPr>
          <w:p w14:paraId="4EE3766D" w14:textId="77777777"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 xml:space="preserve">Powiązane skumulowane odzyskane kwoty netto </w:t>
            </w:r>
          </w:p>
          <w:p w14:paraId="074316F5" w14:textId="29A777C6"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W tym wierszu należy ujawnić początkowe ujęcie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bil</w:t>
            </w:r>
            <w:r w:rsidRPr="00835753">
              <w:rPr>
                <w:rFonts w:ascii="Times New Roman" w:hAnsi="Times New Roman"/>
                <w:sz w:val="24"/>
              </w:rPr>
              <w:t>ansie instytucji wartości godziwej zabezpieczenia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mom</w:t>
            </w:r>
            <w:r w:rsidRPr="00835753">
              <w:rPr>
                <w:rFonts w:ascii="Times New Roman" w:hAnsi="Times New Roman"/>
                <w:sz w:val="24"/>
              </w:rPr>
              <w:t>encie przejęcia. Odzyskanych środków pieniężnych lub ekwiwalentów środków pieniężnych otrzymanych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kon</w:t>
            </w:r>
            <w:r w:rsidRPr="00835753">
              <w:rPr>
                <w:rFonts w:ascii="Times New Roman" w:hAnsi="Times New Roman"/>
                <w:sz w:val="24"/>
              </w:rPr>
              <w:t>tekście przejęcia zabezpieczenia po odliczeniu kosztów nie ujawnia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wierszu, lecz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ycji „Wypływ</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odu spłaty kredytu, częściowej lub całkowitej”.</w:t>
            </w:r>
          </w:p>
        </w:tc>
      </w:tr>
      <w:tr w:rsidR="004E71F4" w:rsidRPr="00835753" w14:paraId="150C15B1" w14:textId="77777777" w:rsidTr="00155C96">
        <w:trPr>
          <w:trHeight w:val="316"/>
        </w:trPr>
        <w:tc>
          <w:tcPr>
            <w:tcW w:w="1384" w:type="dxa"/>
          </w:tcPr>
          <w:p w14:paraId="75E451EC"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080</w:t>
            </w:r>
          </w:p>
        </w:tc>
        <w:tc>
          <w:tcPr>
            <w:tcW w:w="7655" w:type="dxa"/>
          </w:tcPr>
          <w:p w14:paraId="5327C88A" w14:textId="1A221E26"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Wypływ</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pow</w:t>
            </w:r>
            <w:r w:rsidRPr="00835753">
              <w:rPr>
                <w:rFonts w:ascii="Times New Roman" w:hAnsi="Times New Roman"/>
                <w:b/>
                <w:sz w:val="24"/>
              </w:rPr>
              <w:t xml:space="preserve">odu sprzedaży instrumentów </w:t>
            </w:r>
          </w:p>
          <w:p w14:paraId="38452F13" w14:textId="3DD61DFF" w:rsidR="004E71F4" w:rsidRPr="00835753" w:rsidRDefault="004E71F4"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Zmiany całkowitego salda wynikające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kre</w:t>
            </w:r>
            <w:r w:rsidRPr="00835753">
              <w:rPr>
                <w:rFonts w:ascii="Times New Roman" w:hAnsi="Times New Roman"/>
                <w:sz w:val="24"/>
              </w:rPr>
              <w:t>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sprzedanych innym instytucjom,</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wył</w:t>
            </w:r>
            <w:r w:rsidRPr="00835753">
              <w:rPr>
                <w:rFonts w:ascii="Times New Roman" w:hAnsi="Times New Roman"/>
                <w:sz w:val="24"/>
              </w:rPr>
              <w:t>ączeniem transakcji wewnątrzgrupowych</w:t>
            </w:r>
          </w:p>
          <w:p w14:paraId="512BB6AE" w14:textId="71521D99"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W celu uniknięcia wątpliwości instytucje zwracają uwagę, że należy ujawnić wartość bilansową brutto sprzedanych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(w tym wszelkie ewentualne towarzyszące jej częściowe odpisy),</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nie</w:t>
            </w:r>
            <w:r w:rsidRPr="00835753">
              <w:rPr>
                <w:rFonts w:ascii="Times New Roman" w:hAnsi="Times New Roman"/>
                <w:sz w:val="24"/>
              </w:rPr>
              <w:t xml:space="preserve"> ich wycenę lub cenę podczas transakcji. </w:t>
            </w:r>
            <w:proofErr w:type="gramStart"/>
            <w:r w:rsidRPr="00835753">
              <w:rPr>
                <w:rFonts w:ascii="Times New Roman" w:hAnsi="Times New Roman"/>
                <w:sz w:val="24"/>
              </w:rPr>
              <w:t>instytucje</w:t>
            </w:r>
            <w:proofErr w:type="gramEnd"/>
            <w:r w:rsidRPr="00835753">
              <w:rPr>
                <w:rFonts w:ascii="Times New Roman" w:hAnsi="Times New Roman"/>
                <w:sz w:val="24"/>
              </w:rPr>
              <w:t xml:space="preserve"> zwracają również uwagę, że wypływy mogą nie być równe sumie skumulowanych odzyskanych kwot netto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ściowych odpisów.</w:t>
            </w:r>
          </w:p>
        </w:tc>
      </w:tr>
      <w:tr w:rsidR="004E71F4" w:rsidRPr="00835753" w14:paraId="74F305DB" w14:textId="77777777" w:rsidTr="00155C96">
        <w:trPr>
          <w:trHeight w:val="316"/>
        </w:trPr>
        <w:tc>
          <w:tcPr>
            <w:tcW w:w="1384" w:type="dxa"/>
          </w:tcPr>
          <w:p w14:paraId="0BA8F109"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 xml:space="preserve">080 kolumna b) </w:t>
            </w:r>
          </w:p>
        </w:tc>
        <w:tc>
          <w:tcPr>
            <w:tcW w:w="7655" w:type="dxa"/>
          </w:tcPr>
          <w:p w14:paraId="6B338F8D" w14:textId="77777777"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 xml:space="preserve">Powiązane skumulowane odzyskane kwoty netto </w:t>
            </w:r>
          </w:p>
          <w:p w14:paraId="341717A6" w14:textId="1FB9F75D"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W tym wierszu ujmuje się odzyskane środki pieniężne lub ekwiwalenty środków pieniężnych otrzymane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kon</w:t>
            </w:r>
            <w:r w:rsidRPr="00835753">
              <w:rPr>
                <w:rFonts w:ascii="Times New Roman" w:hAnsi="Times New Roman"/>
                <w:sz w:val="24"/>
              </w:rPr>
              <w:t>tekście sprzedaży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po odliczeniu kosztów sprzedaży.</w:t>
            </w:r>
          </w:p>
        </w:tc>
      </w:tr>
      <w:tr w:rsidR="004E71F4" w:rsidRPr="00835753" w14:paraId="3F2F03C0" w14:textId="77777777" w:rsidTr="00155C96">
        <w:trPr>
          <w:trHeight w:val="316"/>
        </w:trPr>
        <w:tc>
          <w:tcPr>
            <w:tcW w:w="1384" w:type="dxa"/>
          </w:tcPr>
          <w:p w14:paraId="2A34987F"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090</w:t>
            </w:r>
          </w:p>
        </w:tc>
        <w:tc>
          <w:tcPr>
            <w:tcW w:w="7655" w:type="dxa"/>
          </w:tcPr>
          <w:p w14:paraId="3ECB1661" w14:textId="0EB5C458"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Wypływ</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pow</w:t>
            </w:r>
            <w:r w:rsidRPr="00835753">
              <w:rPr>
                <w:rFonts w:ascii="Times New Roman" w:hAnsi="Times New Roman"/>
                <w:b/>
                <w:sz w:val="24"/>
              </w:rPr>
              <w:t xml:space="preserve">odu przeniesienia ryzyka </w:t>
            </w:r>
          </w:p>
          <w:p w14:paraId="102663B4" w14:textId="663D92DF" w:rsidR="004E71F4" w:rsidRPr="00835753" w:rsidRDefault="004E71F4"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Obniżenie wartości brutto nieobsługiwanych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odu sekurytyzacji lub innych przeniesień ryzyka kwalifikujących się do zaprzestania ujmowania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bil</w:t>
            </w:r>
            <w:r w:rsidRPr="00835753">
              <w:rPr>
                <w:rFonts w:ascii="Times New Roman" w:hAnsi="Times New Roman"/>
                <w:sz w:val="24"/>
              </w:rPr>
              <w:t>ansie</w:t>
            </w:r>
          </w:p>
          <w:p w14:paraId="2BCBA96A" w14:textId="6873EF2D"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Instytucje zwracają uwagę, że wypływy mogą nie być równe sumie skumulowanych odzyskanych kwot netto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ściowych odpisów.</w:t>
            </w:r>
          </w:p>
        </w:tc>
      </w:tr>
      <w:tr w:rsidR="004E71F4" w:rsidRPr="00835753" w14:paraId="21AD089B" w14:textId="77777777" w:rsidTr="00155C96">
        <w:trPr>
          <w:trHeight w:val="316"/>
        </w:trPr>
        <w:tc>
          <w:tcPr>
            <w:tcW w:w="1384" w:type="dxa"/>
          </w:tcPr>
          <w:p w14:paraId="09AFB817"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 xml:space="preserve">090 kolumna b) </w:t>
            </w:r>
          </w:p>
        </w:tc>
        <w:tc>
          <w:tcPr>
            <w:tcW w:w="7655" w:type="dxa"/>
          </w:tcPr>
          <w:p w14:paraId="35360DF1" w14:textId="77777777"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 xml:space="preserve">Powiązane skumulowane odzyskane kwoty netto </w:t>
            </w:r>
          </w:p>
          <w:p w14:paraId="75C1AA3E" w14:textId="0DC2085C"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W tym wierszu ujawnia się odzyskane środki pieniężne lub ekwiwalenty środków pieniężnych otrzymane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kon</w:t>
            </w:r>
            <w:r w:rsidRPr="00835753">
              <w:rPr>
                <w:rFonts w:ascii="Times New Roman" w:hAnsi="Times New Roman"/>
                <w:sz w:val="24"/>
              </w:rPr>
              <w:t>tekście wypływów</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odu przeniesień istotnej części ryzyka.</w:t>
            </w:r>
          </w:p>
        </w:tc>
      </w:tr>
      <w:tr w:rsidR="004E71F4" w:rsidRPr="00835753" w14:paraId="725FD537" w14:textId="77777777" w:rsidTr="00155C96">
        <w:trPr>
          <w:trHeight w:val="316"/>
        </w:trPr>
        <w:tc>
          <w:tcPr>
            <w:tcW w:w="1384" w:type="dxa"/>
          </w:tcPr>
          <w:p w14:paraId="062FF45C"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100</w:t>
            </w:r>
          </w:p>
        </w:tc>
        <w:tc>
          <w:tcPr>
            <w:tcW w:w="7655" w:type="dxa"/>
          </w:tcPr>
          <w:p w14:paraId="78BE1CEC" w14:textId="64857FE7"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Wypływ</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pow</w:t>
            </w:r>
            <w:r w:rsidRPr="00835753">
              <w:rPr>
                <w:rFonts w:ascii="Times New Roman" w:hAnsi="Times New Roman"/>
                <w:b/>
                <w:sz w:val="24"/>
              </w:rPr>
              <w:t xml:space="preserve">odu odpisów </w:t>
            </w:r>
          </w:p>
          <w:p w14:paraId="30689015" w14:textId="75D08A2A" w:rsidR="004E71F4" w:rsidRPr="00835753" w:rsidRDefault="004E71F4"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lastRenderedPageBreak/>
              <w:t>Całkowite lub częściowe odpisy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ogółem odnotowane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sprawozdawczym</w:t>
            </w:r>
          </w:p>
          <w:p w14:paraId="366C4355" w14:textId="17FF0461"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Odpis (całkowity lub częściowy) stanowi zdarzenie prowadzące do zaprzestania ujmowania</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zwi</w:t>
            </w:r>
            <w:r w:rsidRPr="00835753">
              <w:rPr>
                <w:rFonts w:ascii="Times New Roman" w:hAnsi="Times New Roman"/>
                <w:sz w:val="24"/>
              </w:rPr>
              <w:t>ązku</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wartość bilansowa brutto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pomniejsza się</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kwo</w:t>
            </w:r>
            <w:r w:rsidRPr="00835753">
              <w:rPr>
                <w:rFonts w:ascii="Times New Roman" w:hAnsi="Times New Roman"/>
                <w:sz w:val="24"/>
              </w:rPr>
              <w:t>tę odpisów</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uniknięcia wątpliwości należy pamiętać, że wiersz ten odzwierciedla zmiany wartości bilansowej brutto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nie ujmuje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nim</w:t>
            </w:r>
            <w:r w:rsidRPr="00835753">
              <w:rPr>
                <w:rFonts w:ascii="Times New Roman" w:hAnsi="Times New Roman"/>
                <w:sz w:val="24"/>
              </w:rPr>
              <w:t xml:space="preserve"> natomiast żadnych potencjalnych częściowych odpisów, które ujawniono już</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pop</w:t>
            </w:r>
            <w:r w:rsidRPr="00835753">
              <w:rPr>
                <w:rFonts w:ascii="Times New Roman" w:hAnsi="Times New Roman"/>
                <w:sz w:val="24"/>
              </w:rPr>
              <w:t>rzednich wierszach (np. towarzyszącej sprzedaży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likwidacji zabezpieczeń, przejęcia zabezpieczeń lub przeniesienia istotnej części ryzyka). Ponadto do tej kategorii należy zaliczyć również umorzenie długu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kon</w:t>
            </w:r>
            <w:r w:rsidRPr="00835753">
              <w:rPr>
                <w:rFonts w:ascii="Times New Roman" w:hAnsi="Times New Roman"/>
                <w:sz w:val="24"/>
              </w:rPr>
              <w:t>tekście działań restrukturyzacyjnych, tj. odpisy,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których umorzono kwotę zadłużenia niespłaconego przez kredytobiorcę (instytucja traci prawo do jego legalnego odzyskania).</w:t>
            </w:r>
          </w:p>
        </w:tc>
      </w:tr>
      <w:tr w:rsidR="004E71F4" w:rsidRPr="00835753" w14:paraId="631DBA25" w14:textId="77777777" w:rsidTr="00155C96">
        <w:trPr>
          <w:trHeight w:val="316"/>
        </w:trPr>
        <w:tc>
          <w:tcPr>
            <w:tcW w:w="1384" w:type="dxa"/>
          </w:tcPr>
          <w:p w14:paraId="618387CE"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lastRenderedPageBreak/>
              <w:t>110</w:t>
            </w:r>
          </w:p>
        </w:tc>
        <w:tc>
          <w:tcPr>
            <w:tcW w:w="7655" w:type="dxa"/>
          </w:tcPr>
          <w:p w14:paraId="0DFDC82D" w14:textId="3E81B59E"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Wypływ</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inn</w:t>
            </w:r>
            <w:r w:rsidRPr="00835753">
              <w:rPr>
                <w:rFonts w:ascii="Times New Roman" w:hAnsi="Times New Roman"/>
                <w:b/>
                <w:sz w:val="24"/>
              </w:rPr>
              <w:t xml:space="preserve">ych powodów </w:t>
            </w:r>
          </w:p>
          <w:p w14:paraId="5BF50DC2" w14:textId="7697E953"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W wierszu tym ujmuje się wszelkie inne zmniejszenia wartości bilansowej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których nie dotyczą wyżej wymienione zdarzenia. Korekty te mogą obejmować na przykład zmiany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ryz</w:t>
            </w:r>
            <w:r w:rsidRPr="00835753">
              <w:rPr>
                <w:rFonts w:ascii="Times New Roman" w:hAnsi="Times New Roman"/>
                <w:sz w:val="24"/>
              </w:rPr>
              <w:t>ykiem walutowym, inne czynności zamknięcia, przeklasyfikowania między klasami aktywów itp</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gdy kwota dotycząca tej kategorii jest znacząca, instytucje są proszone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ekazanie dodatkowych informacji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opi</w:t>
            </w:r>
            <w:r w:rsidRPr="00835753">
              <w:rPr>
                <w:rFonts w:ascii="Times New Roman" w:hAnsi="Times New Roman"/>
                <w:sz w:val="24"/>
              </w:rPr>
              <w:t>sie dołączonym do niniejszego wzoru.</w:t>
            </w:r>
          </w:p>
        </w:tc>
      </w:tr>
      <w:tr w:rsidR="004E71F4" w:rsidRPr="00835753" w14:paraId="1655BD69" w14:textId="77777777" w:rsidTr="00155C96">
        <w:trPr>
          <w:trHeight w:val="316"/>
        </w:trPr>
        <w:tc>
          <w:tcPr>
            <w:tcW w:w="1384" w:type="dxa"/>
          </w:tcPr>
          <w:p w14:paraId="067B0226"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120</w:t>
            </w:r>
          </w:p>
        </w:tc>
        <w:tc>
          <w:tcPr>
            <w:tcW w:w="7655" w:type="dxa"/>
          </w:tcPr>
          <w:p w14:paraId="380E2414" w14:textId="65B7248A"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Wypływ</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pow</w:t>
            </w:r>
            <w:r w:rsidRPr="00835753">
              <w:rPr>
                <w:rFonts w:ascii="Times New Roman" w:hAnsi="Times New Roman"/>
                <w:b/>
                <w:sz w:val="24"/>
              </w:rPr>
              <w:t xml:space="preserve">odu przeklasyfikowania ekspozycji do kategorii ekspozycji przeznaczonych do sprzedaży </w:t>
            </w:r>
          </w:p>
          <w:p w14:paraId="118AD68E" w14:textId="6D1FA831"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Zmniejszenia wartości bilansowej nieobsługiwanych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odu ich przeklasyfikowania do kategorii instrumentów przeznaczonych do sprzedaży</w:t>
            </w:r>
          </w:p>
        </w:tc>
      </w:tr>
      <w:tr w:rsidR="004E71F4" w:rsidRPr="00835753" w14:paraId="04398009" w14:textId="77777777" w:rsidTr="00155C96">
        <w:trPr>
          <w:trHeight w:val="316"/>
        </w:trPr>
        <w:tc>
          <w:tcPr>
            <w:tcW w:w="1384" w:type="dxa"/>
          </w:tcPr>
          <w:p w14:paraId="725024FB"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130</w:t>
            </w:r>
          </w:p>
        </w:tc>
        <w:tc>
          <w:tcPr>
            <w:tcW w:w="7655" w:type="dxa"/>
          </w:tcPr>
          <w:p w14:paraId="07A7A819" w14:textId="02980BE5"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Końcowy stan nieobsługiwanych kredytów</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zal</w:t>
            </w:r>
            <w:r w:rsidRPr="00835753">
              <w:rPr>
                <w:rFonts w:ascii="Times New Roman" w:hAnsi="Times New Roman"/>
                <w:b/>
                <w:sz w:val="24"/>
              </w:rPr>
              <w:t>iczek</w:t>
            </w:r>
          </w:p>
          <w:p w14:paraId="45E884BF" w14:textId="2D090F2C"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Wartość bilansowa brutto stanu nieobsługiwanych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dni</w:t>
            </w:r>
            <w:r w:rsidRPr="00835753">
              <w:rPr>
                <w:rFonts w:ascii="Times New Roman" w:hAnsi="Times New Roman"/>
                <w:sz w:val="24"/>
              </w:rPr>
              <w:t>u odniesienia do celów ujawniania informacji</w:t>
            </w:r>
          </w:p>
        </w:tc>
      </w:tr>
    </w:tbl>
    <w:p w14:paraId="2CF19B48" w14:textId="77777777" w:rsidR="004E71F4" w:rsidRPr="00835753"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434250A1" w14:textId="77777777" w:rsidTr="00155C96">
        <w:trPr>
          <w:trHeight w:val="238"/>
        </w:trPr>
        <w:tc>
          <w:tcPr>
            <w:tcW w:w="9039" w:type="dxa"/>
            <w:gridSpan w:val="2"/>
            <w:shd w:val="clear" w:color="auto" w:fill="D9D9D9" w:themeFill="background1" w:themeFillShade="D9"/>
          </w:tcPr>
          <w:p w14:paraId="4BDEF3F8" w14:textId="38A3EC00"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62A839AD" w14:textId="77777777" w:rsidTr="00155C96">
        <w:trPr>
          <w:trHeight w:val="238"/>
        </w:trPr>
        <w:tc>
          <w:tcPr>
            <w:tcW w:w="1384" w:type="dxa"/>
            <w:shd w:val="clear" w:color="auto" w:fill="D9D9D9" w:themeFill="background1" w:themeFillShade="D9"/>
          </w:tcPr>
          <w:p w14:paraId="621BFAAA"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666C4537"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Wyjaśnienie</w:t>
            </w:r>
          </w:p>
        </w:tc>
      </w:tr>
      <w:tr w:rsidR="004E71F4" w:rsidRPr="00835753" w14:paraId="5AA76A3E" w14:textId="77777777" w:rsidTr="00155C96">
        <w:trPr>
          <w:trHeight w:val="841"/>
        </w:trPr>
        <w:tc>
          <w:tcPr>
            <w:tcW w:w="1384" w:type="dxa"/>
          </w:tcPr>
          <w:p w14:paraId="6AB994DC" w14:textId="77777777" w:rsidR="004E71F4" w:rsidRPr="00835753" w:rsidRDefault="004E71F4" w:rsidP="00155C96">
            <w:pPr>
              <w:pStyle w:val="Applicationdirecte"/>
              <w:spacing w:before="0"/>
            </w:pPr>
            <w:proofErr w:type="gramStart"/>
            <w:r w:rsidRPr="00835753">
              <w:t>a</w:t>
            </w:r>
            <w:proofErr w:type="gramEnd"/>
            <w:r w:rsidRPr="00835753">
              <w:t>)</w:t>
            </w:r>
          </w:p>
        </w:tc>
        <w:tc>
          <w:tcPr>
            <w:tcW w:w="7655" w:type="dxa"/>
          </w:tcPr>
          <w:p w14:paraId="6C90B527" w14:textId="77777777" w:rsidR="004E71F4" w:rsidRPr="00835753" w:rsidRDefault="004E71F4" w:rsidP="00155C96">
            <w:pPr>
              <w:pStyle w:val="Fait"/>
              <w:spacing w:before="0" w:after="120"/>
              <w:rPr>
                <w:rFonts w:eastAsiaTheme="minorEastAsia"/>
                <w:b/>
              </w:rPr>
            </w:pPr>
            <w:r w:rsidRPr="00835753">
              <w:rPr>
                <w:b/>
              </w:rPr>
              <w:t xml:space="preserve">Wartość bilansowa brutto </w:t>
            </w:r>
          </w:p>
          <w:p w14:paraId="06829554" w14:textId="61FCE598" w:rsidR="004E71F4" w:rsidRPr="00835753" w:rsidRDefault="004E71F4" w:rsidP="00155C96">
            <w:pPr>
              <w:autoSpaceDE w:val="0"/>
              <w:autoSpaceDN w:val="0"/>
              <w:adjustRightInd w:val="0"/>
              <w:spacing w:after="120"/>
            </w:pPr>
            <w:r w:rsidRPr="00835753">
              <w:rPr>
                <w:rFonts w:ascii="Times New Roman" w:hAnsi="Times New Roman"/>
                <w:sz w:val="24"/>
              </w:rPr>
              <w:t>Wartość bilansowa brutto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def</w:t>
            </w:r>
            <w:r w:rsidRPr="00835753">
              <w:rPr>
                <w:rFonts w:ascii="Times New Roman" w:hAnsi="Times New Roman"/>
                <w:sz w:val="24"/>
              </w:rPr>
              <w:t>inicją zawartą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1 pkt</w:t>
            </w:r>
            <w:r w:rsidR="00835753" w:rsidRPr="00835753">
              <w:rPr>
                <w:rFonts w:ascii="Times New Roman" w:hAnsi="Times New Roman"/>
                <w:sz w:val="24"/>
              </w:rPr>
              <w:t> </w:t>
            </w:r>
            <w:r w:rsidRPr="00835753">
              <w:rPr>
                <w:rFonts w:ascii="Times New Roman" w:hAnsi="Times New Roman"/>
                <w:sz w:val="24"/>
              </w:rPr>
              <w:t>34 załącznika V do rozporządzenia wykonawczego Komisji (UE) nr</w:t>
            </w:r>
            <w:r w:rsidR="00835753" w:rsidRPr="00835753">
              <w:rPr>
                <w:rFonts w:ascii="Times New Roman" w:hAnsi="Times New Roman"/>
                <w:sz w:val="24"/>
              </w:rPr>
              <w:t> </w:t>
            </w:r>
            <w:r w:rsidRPr="00835753">
              <w:rPr>
                <w:rFonts w:ascii="Times New Roman" w:hAnsi="Times New Roman"/>
                <w:sz w:val="24"/>
              </w:rPr>
              <w:t>680/2014.</w:t>
            </w:r>
          </w:p>
        </w:tc>
      </w:tr>
      <w:tr w:rsidR="004E71F4" w:rsidRPr="00835753" w14:paraId="6B86705F" w14:textId="77777777" w:rsidTr="00155C96">
        <w:trPr>
          <w:trHeight w:val="841"/>
        </w:trPr>
        <w:tc>
          <w:tcPr>
            <w:tcW w:w="1384" w:type="dxa"/>
          </w:tcPr>
          <w:p w14:paraId="63A3A53D" w14:textId="77777777" w:rsidR="004E71F4" w:rsidRPr="00835753" w:rsidRDefault="004E71F4" w:rsidP="00155C96">
            <w:pPr>
              <w:pStyle w:val="Applicationdirecte"/>
              <w:spacing w:before="0"/>
            </w:pPr>
            <w:proofErr w:type="gramStart"/>
            <w:r w:rsidRPr="00835753">
              <w:t>b</w:t>
            </w:r>
            <w:proofErr w:type="gramEnd"/>
            <w:r w:rsidRPr="00835753">
              <w:t>)</w:t>
            </w:r>
          </w:p>
        </w:tc>
        <w:tc>
          <w:tcPr>
            <w:tcW w:w="7655" w:type="dxa"/>
          </w:tcPr>
          <w:p w14:paraId="1806F166" w14:textId="77777777" w:rsidR="004E71F4" w:rsidRPr="00835753" w:rsidRDefault="004E71F4" w:rsidP="00155C96">
            <w:pPr>
              <w:pStyle w:val="Fait"/>
              <w:spacing w:before="0" w:after="120"/>
              <w:rPr>
                <w:rFonts w:eastAsiaTheme="minorEastAsia"/>
                <w:b/>
              </w:rPr>
            </w:pPr>
            <w:r w:rsidRPr="00835753">
              <w:rPr>
                <w:b/>
              </w:rPr>
              <w:t>Powiązane skumulowane odzyskane kwoty netto</w:t>
            </w:r>
          </w:p>
          <w:p w14:paraId="5D67A088" w14:textId="0E26B0C6" w:rsidR="004E71F4" w:rsidRPr="00835753" w:rsidRDefault="004E71F4" w:rsidP="00155C96">
            <w:pPr>
              <w:autoSpaceDE w:val="0"/>
              <w:autoSpaceDN w:val="0"/>
              <w:adjustRightInd w:val="0"/>
              <w:spacing w:after="120"/>
            </w:pPr>
            <w:r w:rsidRPr="00835753">
              <w:rPr>
                <w:rFonts w:ascii="Times New Roman" w:hAnsi="Times New Roman"/>
                <w:sz w:val="24"/>
              </w:rPr>
              <w:t>Należy zapoznać się</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def</w:t>
            </w:r>
            <w:r w:rsidRPr="00835753">
              <w:rPr>
                <w:rFonts w:ascii="Times New Roman" w:hAnsi="Times New Roman"/>
                <w:sz w:val="24"/>
              </w:rPr>
              <w:t>inicjami dotyczącymi wierszy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wzorze.</w:t>
            </w:r>
          </w:p>
        </w:tc>
      </w:tr>
    </w:tbl>
    <w:p w14:paraId="1F91ED17" w14:textId="77777777" w:rsidR="004E71F4" w:rsidRPr="00835753" w:rsidRDefault="004E71F4" w:rsidP="004E71F4">
      <w:pPr>
        <w:autoSpaceDE w:val="0"/>
        <w:autoSpaceDN w:val="0"/>
        <w:adjustRightInd w:val="0"/>
        <w:spacing w:after="120"/>
        <w:rPr>
          <w:rFonts w:ascii="Times New Roman" w:hAnsi="Times New Roman" w:cs="Times New Roman"/>
          <w:b/>
          <w:sz w:val="24"/>
        </w:rPr>
      </w:pPr>
    </w:p>
    <w:p w14:paraId="3C415982" w14:textId="75D3A3CD" w:rsidR="004E71F4" w:rsidRPr="00835753" w:rsidRDefault="00CD362D" w:rsidP="004E71F4">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lastRenderedPageBreak/>
        <w:t>Wzór EU CQ1: Jakość kredytowa ekspozycji restrukturyzowanych</w:t>
      </w:r>
    </w:p>
    <w:p w14:paraId="32139503" w14:textId="791CB5BF" w:rsidR="004E71F4" w:rsidRPr="00835753" w:rsidRDefault="004E71F4" w:rsidP="004E71F4">
      <w:pPr>
        <w:pStyle w:val="ListParagraph"/>
        <w:numPr>
          <w:ilvl w:val="0"/>
          <w:numId w:val="48"/>
        </w:numPr>
        <w:spacing w:after="120"/>
        <w:contextualSpacing/>
        <w:jc w:val="both"/>
        <w:rPr>
          <w:rFonts w:ascii="Times New Roman" w:hAnsi="Times New Roman"/>
          <w:sz w:val="24"/>
        </w:rPr>
      </w:pPr>
      <w:r w:rsidRPr="00835753">
        <w:rPr>
          <w:rFonts w:ascii="Times New Roman" w:hAnsi="Times New Roman"/>
          <w:bCs/>
          <w:sz w:val="24"/>
        </w:rPr>
        <w:t>W celu wypełnienia wzoru EU CQ1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 xml:space="preserve">ączniku XV do niniejszego rozporządzenia wykonawczego instytucje </w:t>
      </w:r>
      <w:r w:rsidRPr="00835753">
        <w:rPr>
          <w:rFonts w:ascii="Times New Roman" w:hAnsi="Times New Roman"/>
          <w:sz w:val="24"/>
        </w:rPr>
        <w:t>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442 lit.</w:t>
      </w:r>
      <w:r w:rsidR="00835753" w:rsidRPr="00835753">
        <w:rPr>
          <w:rFonts w:ascii="Times New Roman" w:hAnsi="Times New Roman"/>
          <w:bCs/>
          <w:sz w:val="24"/>
        </w:rPr>
        <w:t> </w:t>
      </w:r>
      <w:r w:rsidRPr="00835753">
        <w:rPr>
          <w:rFonts w:ascii="Times New Roman" w:hAnsi="Times New Roman"/>
          <w:bCs/>
          <w:sz w:val="24"/>
        </w:rPr>
        <w:t>c) CRR,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D1E04FD" w:rsidR="004E71F4" w:rsidRPr="00835753" w:rsidRDefault="004E71F4"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1AC37209" w14:textId="77777777" w:rsidTr="00155C96">
        <w:trPr>
          <w:trHeight w:val="238"/>
        </w:trPr>
        <w:tc>
          <w:tcPr>
            <w:tcW w:w="1384" w:type="dxa"/>
            <w:shd w:val="clear" w:color="auto" w:fill="D9D9D9" w:themeFill="background1" w:themeFillShade="D9"/>
          </w:tcPr>
          <w:p w14:paraId="06ABCCF5"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07E296E5"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4E71F4" w:rsidRPr="00835753" w14:paraId="16EA0564" w14:textId="77777777" w:rsidTr="00155C96">
        <w:trPr>
          <w:trHeight w:val="935"/>
        </w:trPr>
        <w:tc>
          <w:tcPr>
            <w:tcW w:w="1384" w:type="dxa"/>
          </w:tcPr>
          <w:p w14:paraId="56FA8881" w14:textId="77777777" w:rsidR="004E71F4" w:rsidRPr="00835753" w:rsidRDefault="004E71F4" w:rsidP="00155C96">
            <w:pPr>
              <w:pStyle w:val="Applicationdirecte"/>
              <w:spacing w:before="0"/>
            </w:pPr>
            <w:r w:rsidRPr="00835753">
              <w:t>005</w:t>
            </w:r>
          </w:p>
        </w:tc>
        <w:tc>
          <w:tcPr>
            <w:tcW w:w="7655" w:type="dxa"/>
          </w:tcPr>
          <w:p w14:paraId="64539068" w14:textId="2BB925BC" w:rsidR="004E71F4" w:rsidRPr="00835753" w:rsidRDefault="004E71F4" w:rsidP="00155C96">
            <w:pPr>
              <w:pStyle w:val="Applicationdirecte"/>
              <w:spacing w:before="0"/>
              <w:rPr>
                <w:b/>
              </w:rPr>
            </w:pPr>
            <w:r w:rsidRPr="00835753">
              <w:rPr>
                <w:b/>
              </w:rPr>
              <w:t>Salda pieniężne</w:t>
            </w:r>
            <w:r w:rsidR="00835753" w:rsidRPr="00835753">
              <w:rPr>
                <w:b/>
              </w:rPr>
              <w:t xml:space="preserve"> w</w:t>
            </w:r>
            <w:r w:rsidR="00835753">
              <w:rPr>
                <w:b/>
              </w:rPr>
              <w:t> </w:t>
            </w:r>
            <w:r w:rsidR="00835753" w:rsidRPr="00835753">
              <w:rPr>
                <w:b/>
              </w:rPr>
              <w:t>ban</w:t>
            </w:r>
            <w:r w:rsidRPr="00835753">
              <w:rPr>
                <w:b/>
              </w:rPr>
              <w:t>kach centralnych</w:t>
            </w:r>
            <w:r w:rsidR="00835753" w:rsidRPr="00835753">
              <w:rPr>
                <w:b/>
              </w:rPr>
              <w:t xml:space="preserve"> i</w:t>
            </w:r>
            <w:r w:rsidR="00835753">
              <w:rPr>
                <w:b/>
              </w:rPr>
              <w:t> </w:t>
            </w:r>
            <w:r w:rsidR="00835753" w:rsidRPr="00835753">
              <w:rPr>
                <w:b/>
              </w:rPr>
              <w:t>inn</w:t>
            </w:r>
            <w:r w:rsidRPr="00835753">
              <w:rPr>
                <w:b/>
              </w:rPr>
              <w:t>e depozyty płatne na żądanie</w:t>
            </w:r>
          </w:p>
          <w:p w14:paraId="74D7D3EC" w14:textId="3A6A5C51" w:rsidR="004E71F4" w:rsidRPr="00835753" w:rsidRDefault="004E71F4" w:rsidP="00155C96">
            <w:pPr>
              <w:pStyle w:val="Applicationdirecte"/>
              <w:spacing w:before="0"/>
            </w:pPr>
            <w:r w:rsidRPr="00835753">
              <w:t>Instytucje ujawniają te informacje zgodnie</w:t>
            </w:r>
            <w:r w:rsidR="00835753" w:rsidRPr="00835753">
              <w:t xml:space="preserve"> z</w:t>
            </w:r>
            <w:r w:rsidR="00835753">
              <w:t> </w:t>
            </w:r>
            <w:r w:rsidR="00835753" w:rsidRPr="00835753">
              <w:t>inf</w:t>
            </w:r>
            <w:r w:rsidRPr="00835753">
              <w:t>ormacjami przedstawionymi</w:t>
            </w:r>
            <w:r w:rsidR="00835753" w:rsidRPr="00835753">
              <w:t xml:space="preserve"> w</w:t>
            </w:r>
            <w:r w:rsidR="00835753">
              <w:t> </w:t>
            </w:r>
            <w:r w:rsidR="00835753" w:rsidRPr="00835753">
              <w:t>zał</w:t>
            </w:r>
            <w:r w:rsidRPr="00835753">
              <w:t>ącznikach III i IV do rozporządzenia wykonawczego Komisji (UE) nr</w:t>
            </w:r>
            <w:r w:rsidR="00835753" w:rsidRPr="00835753">
              <w:t> </w:t>
            </w:r>
            <w:r w:rsidRPr="00835753">
              <w:t>680/2014.</w:t>
            </w:r>
          </w:p>
        </w:tc>
      </w:tr>
      <w:tr w:rsidR="004E71F4" w:rsidRPr="00835753" w14:paraId="3E70430D" w14:textId="77777777" w:rsidTr="00155C96">
        <w:trPr>
          <w:trHeight w:val="935"/>
        </w:trPr>
        <w:tc>
          <w:tcPr>
            <w:tcW w:w="1384" w:type="dxa"/>
          </w:tcPr>
          <w:p w14:paraId="2ADD7C29" w14:textId="77777777" w:rsidR="004E71F4" w:rsidRPr="00835753" w:rsidRDefault="004E71F4" w:rsidP="00155C96">
            <w:pPr>
              <w:pStyle w:val="Applicationdirecte"/>
              <w:spacing w:before="0"/>
            </w:pPr>
            <w:r w:rsidRPr="00835753">
              <w:t>010</w:t>
            </w:r>
          </w:p>
        </w:tc>
        <w:tc>
          <w:tcPr>
            <w:tcW w:w="7655" w:type="dxa"/>
          </w:tcPr>
          <w:p w14:paraId="0DF0F888" w14:textId="0C7ACA9B" w:rsidR="004E71F4" w:rsidRPr="00835753" w:rsidRDefault="004E71F4" w:rsidP="00155C96">
            <w:pPr>
              <w:pStyle w:val="Applicationdirecte"/>
              <w:spacing w:before="0"/>
              <w:rPr>
                <w:b/>
              </w:rPr>
            </w:pPr>
            <w:r w:rsidRPr="00835753">
              <w:rPr>
                <w:b/>
              </w:rPr>
              <w:t>Kredyty</w:t>
            </w:r>
            <w:r w:rsidR="00835753" w:rsidRPr="00835753">
              <w:rPr>
                <w:b/>
              </w:rPr>
              <w:t xml:space="preserve"> i</w:t>
            </w:r>
            <w:r w:rsidR="00835753">
              <w:rPr>
                <w:b/>
              </w:rPr>
              <w:t> </w:t>
            </w:r>
            <w:r w:rsidR="00835753" w:rsidRPr="00835753">
              <w:rPr>
                <w:b/>
              </w:rPr>
              <w:t>zal</w:t>
            </w:r>
            <w:r w:rsidRPr="00835753">
              <w:rPr>
                <w:b/>
              </w:rPr>
              <w:t>iczki</w:t>
            </w:r>
          </w:p>
          <w:p w14:paraId="707B1F64" w14:textId="740E88A6" w:rsidR="004E71F4" w:rsidRPr="00835753" w:rsidRDefault="004E71F4" w:rsidP="00155C96">
            <w:pPr>
              <w:pStyle w:val="Applicationdirecte"/>
              <w:spacing w:before="0"/>
            </w:pPr>
            <w:r w:rsidRPr="00835753">
              <w:t>Zob. definicja w EU CR1: Ekspozycje obsługiwane</w:t>
            </w:r>
            <w:r w:rsidR="00835753" w:rsidRPr="00835753">
              <w:t xml:space="preserve"> i</w:t>
            </w:r>
            <w:r w:rsidR="00835753">
              <w:t> </w:t>
            </w:r>
            <w:r w:rsidR="00835753" w:rsidRPr="00835753">
              <w:t>nie</w:t>
            </w:r>
            <w:r w:rsidRPr="00835753">
              <w:t>obsługiwane oraz powiązane rezerwy</w:t>
            </w:r>
          </w:p>
        </w:tc>
      </w:tr>
      <w:tr w:rsidR="004E71F4" w:rsidRPr="00835753" w14:paraId="04F37130" w14:textId="77777777" w:rsidTr="00155C96">
        <w:trPr>
          <w:trHeight w:val="3815"/>
        </w:trPr>
        <w:tc>
          <w:tcPr>
            <w:tcW w:w="1384" w:type="dxa"/>
          </w:tcPr>
          <w:p w14:paraId="73C93026" w14:textId="77777777" w:rsidR="004E71F4" w:rsidRPr="00835753" w:rsidRDefault="004E71F4" w:rsidP="00155C96">
            <w:pPr>
              <w:pStyle w:val="Applicationdirecte"/>
              <w:spacing w:before="0"/>
            </w:pPr>
            <w:r w:rsidRPr="00835753">
              <w:t>020–070</w:t>
            </w:r>
          </w:p>
        </w:tc>
        <w:tc>
          <w:tcPr>
            <w:tcW w:w="7655" w:type="dxa"/>
          </w:tcPr>
          <w:p w14:paraId="08490743" w14:textId="77777777" w:rsidR="004E71F4" w:rsidRPr="00835753" w:rsidRDefault="004E71F4" w:rsidP="00155C96">
            <w:pPr>
              <w:pStyle w:val="Applicationdirecte"/>
              <w:spacing w:before="0"/>
              <w:rPr>
                <w:b/>
              </w:rPr>
            </w:pPr>
            <w:r w:rsidRPr="00835753">
              <w:rPr>
                <w:b/>
              </w:rPr>
              <w:t>Podział według kontrahentów</w:t>
            </w:r>
          </w:p>
          <w:p w14:paraId="74A846B7" w14:textId="0612D1E1" w:rsidR="004E71F4" w:rsidRPr="00835753" w:rsidRDefault="004E71F4" w:rsidP="00155C96">
            <w:pPr>
              <w:pStyle w:val="Applicationdirecte"/>
              <w:spacing w:before="0"/>
            </w:pPr>
            <w:r w:rsidRPr="00835753">
              <w:t>Instytucje stosują podział według kontrahentów, jak określono</w:t>
            </w:r>
            <w:r w:rsidR="00835753" w:rsidRPr="00835753">
              <w:t xml:space="preserve"> w</w:t>
            </w:r>
            <w:r w:rsidR="00835753">
              <w:t> </w:t>
            </w:r>
            <w:r w:rsidR="00835753" w:rsidRPr="00835753">
              <w:t>czę</w:t>
            </w:r>
            <w:r w:rsidRPr="00835753">
              <w:t>ści 1 pkt</w:t>
            </w:r>
            <w:r w:rsidR="00835753" w:rsidRPr="00835753">
              <w:t> </w:t>
            </w:r>
            <w:r w:rsidRPr="00835753">
              <w:t>42 załącznika V do rozporządzenia wykonawczego Komisji (UE) nr</w:t>
            </w:r>
            <w:r w:rsidR="00835753" w:rsidRPr="00835753">
              <w:t> </w:t>
            </w:r>
            <w:r w:rsidRPr="00835753">
              <w:t>680/2014.</w:t>
            </w:r>
          </w:p>
          <w:p w14:paraId="76ADCF37" w14:textId="027E6946" w:rsidR="004E71F4" w:rsidRPr="00835753" w:rsidRDefault="004E71F4" w:rsidP="00155C96">
            <w:pPr>
              <w:pStyle w:val="Fait"/>
              <w:spacing w:before="0" w:after="120"/>
            </w:pPr>
            <w:r w:rsidRPr="00835753">
              <w:t>Przypisanie do sektora kontrahentów opiera się wyłącznie na charakterze bezpośredniego kontrahenta. Ekspozycje utworzone wspólnie przez więcej niż jednego dłużnika klasyfikuje się</w:t>
            </w:r>
            <w:r w:rsidR="00835753" w:rsidRPr="00835753">
              <w:t xml:space="preserve"> w</w:t>
            </w:r>
            <w:r w:rsidR="00835753">
              <w:t> </w:t>
            </w:r>
            <w:r w:rsidR="00835753" w:rsidRPr="00835753">
              <w:t>opa</w:t>
            </w:r>
            <w:r w:rsidRPr="00835753">
              <w:t>rciu</w:t>
            </w:r>
            <w:r w:rsidR="00835753" w:rsidRPr="00835753">
              <w:t xml:space="preserve"> o</w:t>
            </w:r>
            <w:r w:rsidR="00835753">
              <w:t> </w:t>
            </w:r>
            <w:r w:rsidR="00835753" w:rsidRPr="00835753">
              <w:t>cec</w:t>
            </w:r>
            <w:r w:rsidRPr="00835753">
              <w:t>hy tego dłużnika, który miał dla instytucji większe lub decydujące znaczenie przy podejmowaniu decyzji</w:t>
            </w:r>
            <w:r w:rsidR="00835753" w:rsidRPr="00835753">
              <w:t xml:space="preserve"> o</w:t>
            </w:r>
            <w:r w:rsidR="00835753">
              <w:t> </w:t>
            </w:r>
            <w:r w:rsidR="00835753" w:rsidRPr="00835753">
              <w:t>prz</w:t>
            </w:r>
            <w:r w:rsidRPr="00835753">
              <w:t>yznaniu ekspozycji. Spośród innych klasyfikacji podział wspólnie utworzonych ekspozycji według sektora kontrahentów, kraju siedziby</w:t>
            </w:r>
            <w:r w:rsidR="00835753" w:rsidRPr="00835753">
              <w:t xml:space="preserve"> i</w:t>
            </w:r>
            <w:r w:rsidR="00835753">
              <w:t> </w:t>
            </w:r>
            <w:r w:rsidR="00835753" w:rsidRPr="00835753">
              <w:t>kod</w:t>
            </w:r>
            <w:r w:rsidRPr="00835753">
              <w:t>ów NACE opiera się na cechach tego dłużnika, który ma większe lub decydujące znaczenie.</w:t>
            </w:r>
          </w:p>
        </w:tc>
      </w:tr>
      <w:tr w:rsidR="004E71F4" w:rsidRPr="00835753" w14:paraId="4649EF46" w14:textId="77777777" w:rsidTr="00155C96">
        <w:trPr>
          <w:trHeight w:val="755"/>
        </w:trPr>
        <w:tc>
          <w:tcPr>
            <w:tcW w:w="1384" w:type="dxa"/>
          </w:tcPr>
          <w:p w14:paraId="0A49E9D3" w14:textId="77777777" w:rsidR="004E71F4" w:rsidRPr="00835753" w:rsidRDefault="004E71F4" w:rsidP="00155C96">
            <w:pPr>
              <w:pStyle w:val="Applicationdirecte"/>
              <w:spacing w:before="0"/>
            </w:pPr>
            <w:r w:rsidRPr="00835753">
              <w:t>080</w:t>
            </w:r>
          </w:p>
        </w:tc>
        <w:tc>
          <w:tcPr>
            <w:tcW w:w="7655" w:type="dxa"/>
          </w:tcPr>
          <w:p w14:paraId="509BFDA5" w14:textId="77777777" w:rsidR="004E71F4" w:rsidRPr="00835753" w:rsidRDefault="004E71F4" w:rsidP="00155C96">
            <w:pPr>
              <w:pStyle w:val="Applicationdirecte"/>
              <w:spacing w:before="0"/>
              <w:rPr>
                <w:b/>
              </w:rPr>
            </w:pPr>
            <w:r w:rsidRPr="00835753">
              <w:rPr>
                <w:b/>
              </w:rPr>
              <w:t>Dłużne papiery wartościowe</w:t>
            </w:r>
          </w:p>
          <w:p w14:paraId="0B5E936A" w14:textId="7349C1CE" w:rsidR="004E71F4" w:rsidRPr="00835753" w:rsidRDefault="004E71F4" w:rsidP="00155C96">
            <w:pPr>
              <w:pStyle w:val="Applicationdirecte"/>
              <w:spacing w:before="0"/>
            </w:pPr>
            <w:r w:rsidRPr="00835753">
              <w:t>Zob. definicja w EU CR1: Ekspozycje obsługiwane</w:t>
            </w:r>
            <w:r w:rsidR="00835753" w:rsidRPr="00835753">
              <w:t xml:space="preserve"> i</w:t>
            </w:r>
            <w:r w:rsidR="00835753">
              <w:t> </w:t>
            </w:r>
            <w:r w:rsidR="00835753" w:rsidRPr="00835753">
              <w:t>nie</w:t>
            </w:r>
            <w:r w:rsidRPr="00835753">
              <w:t>obsługiwane oraz powiązane rezerwy</w:t>
            </w:r>
          </w:p>
        </w:tc>
      </w:tr>
      <w:tr w:rsidR="004E71F4" w:rsidRPr="00835753" w14:paraId="480B47FB" w14:textId="77777777" w:rsidTr="00155C96">
        <w:trPr>
          <w:trHeight w:val="890"/>
        </w:trPr>
        <w:tc>
          <w:tcPr>
            <w:tcW w:w="1384" w:type="dxa"/>
          </w:tcPr>
          <w:p w14:paraId="1D6D18E3" w14:textId="77777777" w:rsidR="004E71F4" w:rsidRPr="00835753" w:rsidRDefault="004E71F4" w:rsidP="00155C96">
            <w:pPr>
              <w:pStyle w:val="Applicationdirecte"/>
              <w:spacing w:before="0"/>
            </w:pPr>
            <w:r w:rsidRPr="00835753">
              <w:t>090</w:t>
            </w:r>
          </w:p>
        </w:tc>
        <w:tc>
          <w:tcPr>
            <w:tcW w:w="7655" w:type="dxa"/>
          </w:tcPr>
          <w:p w14:paraId="7D6088BD" w14:textId="77777777" w:rsidR="004E71F4" w:rsidRPr="00835753" w:rsidRDefault="004E71F4" w:rsidP="00155C96">
            <w:pPr>
              <w:pStyle w:val="Applicationdirecte"/>
              <w:spacing w:before="0"/>
              <w:rPr>
                <w:b/>
              </w:rPr>
            </w:pPr>
            <w:r w:rsidRPr="00835753">
              <w:rPr>
                <w:b/>
              </w:rPr>
              <w:t>Udzielone zobowiązania do udzielenia kredytu</w:t>
            </w:r>
          </w:p>
          <w:p w14:paraId="7B6AB76A" w14:textId="0AF54B28" w:rsidR="004E71F4" w:rsidRPr="00835753" w:rsidRDefault="004E71F4" w:rsidP="00155C96">
            <w:pPr>
              <w:pStyle w:val="Fait"/>
              <w:spacing w:before="0" w:after="120"/>
            </w:pPr>
            <w:r w:rsidRPr="00835753">
              <w:t>W przypadku udzielonych zobowiązań do udzielenia kredytu ujawnia się kwotę nominalną zgodnie</w:t>
            </w:r>
            <w:r w:rsidR="00835753" w:rsidRPr="00835753">
              <w:t xml:space="preserve"> z</w:t>
            </w:r>
            <w:r w:rsidR="00835753">
              <w:t> </w:t>
            </w:r>
            <w:r w:rsidR="00835753" w:rsidRPr="00835753">
              <w:t>def</w:t>
            </w:r>
            <w:r w:rsidRPr="00835753">
              <w:t>inicją zawartą</w:t>
            </w:r>
            <w:r w:rsidR="00835753" w:rsidRPr="00835753">
              <w:t xml:space="preserve"> w</w:t>
            </w:r>
            <w:r w:rsidR="00835753">
              <w:t> </w:t>
            </w:r>
            <w:r w:rsidR="00835753" w:rsidRPr="00835753">
              <w:t>czę</w:t>
            </w:r>
            <w:r w:rsidRPr="00835753">
              <w:t>ści 2 pkt</w:t>
            </w:r>
            <w:r w:rsidR="00835753" w:rsidRPr="00835753">
              <w:t> </w:t>
            </w:r>
            <w:r w:rsidRPr="00835753">
              <w:t>118 załącznika V do rozporządzenia wykonawczego Komisji (UE) nr</w:t>
            </w:r>
            <w:r w:rsidR="00835753" w:rsidRPr="00835753">
              <w:t> </w:t>
            </w:r>
            <w:r w:rsidRPr="00835753">
              <w:t>680/2014</w:t>
            </w:r>
          </w:p>
        </w:tc>
      </w:tr>
      <w:tr w:rsidR="004E71F4" w:rsidRPr="00835753" w14:paraId="1671CF3F" w14:textId="77777777" w:rsidTr="00155C96">
        <w:trPr>
          <w:trHeight w:val="274"/>
        </w:trPr>
        <w:tc>
          <w:tcPr>
            <w:tcW w:w="1384" w:type="dxa"/>
          </w:tcPr>
          <w:p w14:paraId="73D5465E"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sz w:val="24"/>
              </w:rPr>
              <w:t>100</w:t>
            </w:r>
          </w:p>
        </w:tc>
        <w:tc>
          <w:tcPr>
            <w:tcW w:w="7655" w:type="dxa"/>
          </w:tcPr>
          <w:p w14:paraId="57F96A59"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Ogółem</w:t>
            </w:r>
          </w:p>
        </w:tc>
      </w:tr>
    </w:tbl>
    <w:p w14:paraId="2728617B" w14:textId="77777777" w:rsidR="004E71F4" w:rsidRPr="00835753"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0385A523" w14:textId="77777777" w:rsidTr="00155C96">
        <w:trPr>
          <w:trHeight w:val="238"/>
        </w:trPr>
        <w:tc>
          <w:tcPr>
            <w:tcW w:w="9039" w:type="dxa"/>
            <w:gridSpan w:val="2"/>
            <w:shd w:val="clear" w:color="auto" w:fill="D9D9D9" w:themeFill="background1" w:themeFillShade="D9"/>
          </w:tcPr>
          <w:p w14:paraId="53306AFF" w14:textId="15C594AA"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6A006A78" w14:textId="77777777" w:rsidTr="00155C96">
        <w:trPr>
          <w:trHeight w:val="238"/>
        </w:trPr>
        <w:tc>
          <w:tcPr>
            <w:tcW w:w="1384" w:type="dxa"/>
            <w:shd w:val="clear" w:color="auto" w:fill="D9D9D9" w:themeFill="background1" w:themeFillShade="D9"/>
          </w:tcPr>
          <w:p w14:paraId="391CE3CA"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245B9F71"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Wyjaśnienie</w:t>
            </w:r>
          </w:p>
        </w:tc>
      </w:tr>
      <w:tr w:rsidR="004E71F4" w:rsidRPr="00835753" w14:paraId="66D72C9F" w14:textId="77777777" w:rsidTr="00155C96">
        <w:trPr>
          <w:trHeight w:val="841"/>
        </w:trPr>
        <w:tc>
          <w:tcPr>
            <w:tcW w:w="1384" w:type="dxa"/>
          </w:tcPr>
          <w:p w14:paraId="2D01752E" w14:textId="77777777" w:rsidR="004E71F4" w:rsidRPr="00835753" w:rsidRDefault="004E71F4" w:rsidP="00155C96">
            <w:pPr>
              <w:pStyle w:val="Applicationdirecte"/>
              <w:spacing w:before="0"/>
            </w:pPr>
            <w:proofErr w:type="gramStart"/>
            <w:r w:rsidRPr="00835753">
              <w:lastRenderedPageBreak/>
              <w:t>a</w:t>
            </w:r>
            <w:proofErr w:type="gramEnd"/>
            <w:r w:rsidRPr="00835753">
              <w:t>)</w:t>
            </w:r>
          </w:p>
        </w:tc>
        <w:tc>
          <w:tcPr>
            <w:tcW w:w="7655" w:type="dxa"/>
          </w:tcPr>
          <w:p w14:paraId="2BF93BA8" w14:textId="7B6EAB01" w:rsidR="004E71F4" w:rsidRPr="00835753" w:rsidRDefault="004E71F4" w:rsidP="00155C96">
            <w:pPr>
              <w:pStyle w:val="Fait"/>
              <w:spacing w:before="0" w:after="120"/>
              <w:rPr>
                <w:rFonts w:eastAsiaTheme="minorEastAsia"/>
                <w:b/>
              </w:rPr>
            </w:pPr>
            <w:r w:rsidRPr="00835753">
              <w:rPr>
                <w:b/>
              </w:rPr>
              <w:t>Wartość bilansowa brutto / kwota nominalna ekspozycji objętych działaniami restrukturyzacyjnymi –</w:t>
            </w:r>
            <w:r w:rsidR="00835753" w:rsidRPr="00835753">
              <w:rPr>
                <w:b/>
              </w:rPr>
              <w:t xml:space="preserve"> w</w:t>
            </w:r>
            <w:r w:rsidR="00835753">
              <w:rPr>
                <w:b/>
              </w:rPr>
              <w:t> </w:t>
            </w:r>
            <w:r w:rsidR="00835753" w:rsidRPr="00835753">
              <w:rPr>
                <w:b/>
              </w:rPr>
              <w:t>tym</w:t>
            </w:r>
            <w:r w:rsidRPr="00835753">
              <w:rPr>
                <w:b/>
              </w:rPr>
              <w:t xml:space="preserve"> obsługiwane ekspozycje restrukturyzowane</w:t>
            </w:r>
          </w:p>
          <w:p w14:paraId="13725C9F" w14:textId="66234A0E" w:rsidR="004E71F4" w:rsidRPr="00835753" w:rsidRDefault="004E71F4" w:rsidP="00155C96">
            <w:pPr>
              <w:pStyle w:val="Institutionquisigne"/>
              <w:spacing w:before="0" w:after="120"/>
            </w:pPr>
            <w:r w:rsidRPr="00835753">
              <w:rPr>
                <w:i w:val="0"/>
              </w:rPr>
              <w:t>Wartość bilansowa brutto zgodnie</w:t>
            </w:r>
            <w:r w:rsidR="00835753" w:rsidRPr="00835753">
              <w:rPr>
                <w:i w:val="0"/>
              </w:rPr>
              <w:t xml:space="preserve"> z</w:t>
            </w:r>
            <w:r w:rsidR="00835753">
              <w:rPr>
                <w:i w:val="0"/>
              </w:rPr>
              <w:t> </w:t>
            </w:r>
            <w:r w:rsidR="00835753" w:rsidRPr="00835753">
              <w:rPr>
                <w:i w:val="0"/>
              </w:rPr>
              <w:t>def</w:t>
            </w:r>
            <w:r w:rsidRPr="00835753">
              <w:rPr>
                <w:i w:val="0"/>
              </w:rPr>
              <w:t>inicją zawartą</w:t>
            </w:r>
            <w:r w:rsidR="00835753" w:rsidRPr="00835753">
              <w:rPr>
                <w:i w:val="0"/>
              </w:rPr>
              <w:t xml:space="preserve"> w</w:t>
            </w:r>
            <w:r w:rsidR="00835753">
              <w:rPr>
                <w:i w:val="0"/>
              </w:rPr>
              <w:t> </w:t>
            </w:r>
            <w:r w:rsidR="00835753" w:rsidRPr="00835753">
              <w:rPr>
                <w:i w:val="0"/>
              </w:rPr>
              <w:t>czę</w:t>
            </w:r>
            <w:r w:rsidRPr="00835753">
              <w:rPr>
                <w:i w:val="0"/>
              </w:rPr>
              <w:t>ści 1 pkt</w:t>
            </w:r>
            <w:r w:rsidR="00835753" w:rsidRPr="00835753">
              <w:rPr>
                <w:i w:val="0"/>
              </w:rPr>
              <w:t> </w:t>
            </w:r>
            <w:r w:rsidRPr="00835753">
              <w:rPr>
                <w:i w:val="0"/>
              </w:rPr>
              <w:t>34 załącznika V do rozporządzenia wykonawczego Komisji (UE) nr</w:t>
            </w:r>
            <w:r w:rsidR="00835753" w:rsidRPr="00835753">
              <w:rPr>
                <w:i w:val="0"/>
              </w:rPr>
              <w:t> </w:t>
            </w:r>
            <w:r w:rsidRPr="00835753">
              <w:rPr>
                <w:i w:val="0"/>
              </w:rPr>
              <w:t>680/2014; kwota nominalna zgodnie</w:t>
            </w:r>
            <w:r w:rsidR="00835753" w:rsidRPr="00835753">
              <w:rPr>
                <w:i w:val="0"/>
              </w:rPr>
              <w:t xml:space="preserve"> z</w:t>
            </w:r>
            <w:r w:rsidR="00835753">
              <w:rPr>
                <w:i w:val="0"/>
              </w:rPr>
              <w:t> </w:t>
            </w:r>
            <w:r w:rsidR="00835753" w:rsidRPr="00835753">
              <w:rPr>
                <w:i w:val="0"/>
              </w:rPr>
              <w:t>def</w:t>
            </w:r>
            <w:r w:rsidRPr="00835753">
              <w:rPr>
                <w:i w:val="0"/>
              </w:rPr>
              <w:t>inicją zawartą</w:t>
            </w:r>
            <w:r w:rsidR="00835753" w:rsidRPr="00835753">
              <w:rPr>
                <w:i w:val="0"/>
              </w:rPr>
              <w:t xml:space="preserve"> w</w:t>
            </w:r>
            <w:r w:rsidR="00835753">
              <w:rPr>
                <w:i w:val="0"/>
              </w:rPr>
              <w:t> </w:t>
            </w:r>
            <w:r w:rsidR="00835753" w:rsidRPr="00835753">
              <w:rPr>
                <w:i w:val="0"/>
              </w:rPr>
              <w:t>czę</w:t>
            </w:r>
            <w:r w:rsidRPr="00835753">
              <w:rPr>
                <w:i w:val="0"/>
              </w:rPr>
              <w:t>ści 2 pkt</w:t>
            </w:r>
            <w:r w:rsidR="00835753" w:rsidRPr="00835753">
              <w:rPr>
                <w:i w:val="0"/>
              </w:rPr>
              <w:t> </w:t>
            </w:r>
            <w:r w:rsidRPr="00835753">
              <w:rPr>
                <w:i w:val="0"/>
              </w:rPr>
              <w:t>118 załącznika V do rozporządzenia wykonawczego Komisji (UE) nr</w:t>
            </w:r>
            <w:r w:rsidR="00835753" w:rsidRPr="00835753">
              <w:rPr>
                <w:i w:val="0"/>
              </w:rPr>
              <w:t> </w:t>
            </w:r>
            <w:r w:rsidRPr="00835753">
              <w:rPr>
                <w:i w:val="0"/>
              </w:rPr>
              <w:t>680/2014; ekspozycje objęte działaniami restrukturyzacyjnymi zgodnie</w:t>
            </w:r>
            <w:r w:rsidR="00835753" w:rsidRPr="00835753">
              <w:rPr>
                <w:i w:val="0"/>
              </w:rPr>
              <w:t xml:space="preserve"> z</w:t>
            </w:r>
            <w:r w:rsidR="00835753">
              <w:rPr>
                <w:i w:val="0"/>
              </w:rPr>
              <w:t> </w:t>
            </w:r>
            <w:r w:rsidR="00835753" w:rsidRPr="00835753">
              <w:rPr>
                <w:i w:val="0"/>
              </w:rPr>
              <w:t>def</w:t>
            </w:r>
            <w:r w:rsidRPr="00835753">
              <w:rPr>
                <w:i w:val="0"/>
              </w:rPr>
              <w:t>inicją zawartą</w:t>
            </w:r>
            <w:r w:rsidR="00835753" w:rsidRPr="00835753">
              <w:rPr>
                <w:i w:val="0"/>
              </w:rPr>
              <w:t xml:space="preserve"> w</w:t>
            </w:r>
            <w:r w:rsidR="00835753">
              <w:rPr>
                <w:i w:val="0"/>
              </w:rPr>
              <w:t> </w:t>
            </w:r>
            <w:r w:rsidR="00835753" w:rsidRPr="00835753">
              <w:rPr>
                <w:i w:val="0"/>
              </w:rPr>
              <w:t>art</w:t>
            </w:r>
            <w:r w:rsidRPr="00835753">
              <w:rPr>
                <w:i w:val="0"/>
              </w:rPr>
              <w:t>.</w:t>
            </w:r>
            <w:r w:rsidR="00835753" w:rsidRPr="00835753">
              <w:rPr>
                <w:i w:val="0"/>
              </w:rPr>
              <w:t> </w:t>
            </w:r>
            <w:r w:rsidRPr="00835753">
              <w:rPr>
                <w:i w:val="0"/>
              </w:rPr>
              <w:t>47b CRR</w:t>
            </w:r>
          </w:p>
          <w:p w14:paraId="25580945" w14:textId="77777777" w:rsidR="004E71F4" w:rsidRPr="00835753" w:rsidRDefault="004E71F4" w:rsidP="00155C96">
            <w:pPr>
              <w:pStyle w:val="Fait"/>
              <w:spacing w:before="0" w:after="120"/>
            </w:pPr>
            <w:r w:rsidRPr="00835753">
              <w:t>Wartość bilansowa brutto ekspozycji podlegających utracie wartości jest wartością netto skumulowanych należności częściowo lub całkowicie spisanych.</w:t>
            </w:r>
          </w:p>
          <w:p w14:paraId="3D6856D0" w14:textId="2A9C2D03" w:rsidR="004E71F4" w:rsidRPr="00835753" w:rsidRDefault="004E71F4" w:rsidP="00155C96">
            <w:pPr>
              <w:pStyle w:val="Institutionquisigne"/>
              <w:spacing w:before="0" w:after="120"/>
              <w:rPr>
                <w:rFonts w:eastAsiaTheme="minorEastAsia"/>
                <w:i w:val="0"/>
              </w:rPr>
            </w:pPr>
            <w:r w:rsidRPr="00835753">
              <w:rPr>
                <w:i w:val="0"/>
              </w:rPr>
              <w:t>W zależności od tego, czy ekspozycje restrukturyzowane spełniają warunki konieczne określone</w:t>
            </w:r>
            <w:r w:rsidR="00835753" w:rsidRPr="00835753">
              <w:rPr>
                <w:i w:val="0"/>
              </w:rPr>
              <w:t xml:space="preserve"> w</w:t>
            </w:r>
            <w:r w:rsidR="00835753">
              <w:rPr>
                <w:i w:val="0"/>
              </w:rPr>
              <w:t> </w:t>
            </w:r>
            <w:r w:rsidR="00835753" w:rsidRPr="00835753">
              <w:rPr>
                <w:i w:val="0"/>
              </w:rPr>
              <w:t>art</w:t>
            </w:r>
            <w:r w:rsidRPr="00835753">
              <w:rPr>
                <w:i w:val="0"/>
              </w:rPr>
              <w:t>.</w:t>
            </w:r>
            <w:r w:rsidR="00835753" w:rsidRPr="00835753">
              <w:rPr>
                <w:i w:val="0"/>
              </w:rPr>
              <w:t> </w:t>
            </w:r>
            <w:r w:rsidRPr="00835753">
              <w:rPr>
                <w:i w:val="0"/>
              </w:rPr>
              <w:t>47a CRR, można je określić jako ekspozycje obsługiwane lub nieobsługiwane.</w:t>
            </w:r>
          </w:p>
        </w:tc>
      </w:tr>
      <w:tr w:rsidR="004E71F4" w:rsidRPr="00835753" w14:paraId="0D7DFE39" w14:textId="77777777" w:rsidTr="00155C96">
        <w:trPr>
          <w:trHeight w:val="841"/>
        </w:trPr>
        <w:tc>
          <w:tcPr>
            <w:tcW w:w="1384" w:type="dxa"/>
          </w:tcPr>
          <w:p w14:paraId="67D7BF67" w14:textId="77777777" w:rsidR="004E71F4" w:rsidRPr="00835753" w:rsidRDefault="004E71F4" w:rsidP="00155C96">
            <w:pPr>
              <w:pStyle w:val="Applicationdirecte"/>
              <w:spacing w:before="0"/>
            </w:pPr>
            <w:proofErr w:type="gramStart"/>
            <w:r w:rsidRPr="00835753">
              <w:t>b</w:t>
            </w:r>
            <w:proofErr w:type="gramEnd"/>
            <w:r w:rsidRPr="00835753">
              <w:t>)</w:t>
            </w:r>
          </w:p>
        </w:tc>
        <w:tc>
          <w:tcPr>
            <w:tcW w:w="7655" w:type="dxa"/>
          </w:tcPr>
          <w:p w14:paraId="5AD6C4FB" w14:textId="362A7786" w:rsidR="004E71F4" w:rsidRPr="00835753" w:rsidRDefault="004E71F4" w:rsidP="00155C96">
            <w:pPr>
              <w:pStyle w:val="Fait"/>
              <w:spacing w:before="0" w:after="120"/>
              <w:rPr>
                <w:rFonts w:eastAsiaTheme="minorEastAsia"/>
                <w:b/>
              </w:rPr>
            </w:pPr>
            <w:r w:rsidRPr="00835753">
              <w:rPr>
                <w:b/>
              </w:rPr>
              <w:t>Wartość bilansowa brutto / kwota nominalna ekspozycji objętych działaniami restrukturyzacyjnymi –</w:t>
            </w:r>
            <w:r w:rsidR="00835753" w:rsidRPr="00835753">
              <w:rPr>
                <w:b/>
              </w:rPr>
              <w:t xml:space="preserve"> w</w:t>
            </w:r>
            <w:r w:rsidR="00835753">
              <w:rPr>
                <w:b/>
              </w:rPr>
              <w:t> </w:t>
            </w:r>
            <w:r w:rsidR="00835753" w:rsidRPr="00835753">
              <w:rPr>
                <w:b/>
              </w:rPr>
              <w:t>tym</w:t>
            </w:r>
            <w:r w:rsidRPr="00835753">
              <w:rPr>
                <w:b/>
              </w:rPr>
              <w:t xml:space="preserve"> nieobsługiwane ekspozycje restrukturyzowane</w:t>
            </w:r>
          </w:p>
          <w:p w14:paraId="7C4FC6F8" w14:textId="7BBE2971" w:rsidR="004E71F4" w:rsidRPr="00835753" w:rsidRDefault="004E71F4" w:rsidP="00155C96">
            <w:pPr>
              <w:pStyle w:val="Institutionquisigne"/>
              <w:spacing w:before="0" w:after="120"/>
              <w:rPr>
                <w:i w:val="0"/>
              </w:rPr>
            </w:pPr>
            <w:r w:rsidRPr="00835753">
              <w:rPr>
                <w:i w:val="0"/>
              </w:rPr>
              <w:t>Wartość bilansowa brutto zgodnie</w:t>
            </w:r>
            <w:r w:rsidR="00835753" w:rsidRPr="00835753">
              <w:rPr>
                <w:i w:val="0"/>
              </w:rPr>
              <w:t xml:space="preserve"> z</w:t>
            </w:r>
            <w:r w:rsidR="00835753">
              <w:rPr>
                <w:i w:val="0"/>
              </w:rPr>
              <w:t> </w:t>
            </w:r>
            <w:r w:rsidR="00835753" w:rsidRPr="00835753">
              <w:rPr>
                <w:i w:val="0"/>
              </w:rPr>
              <w:t>def</w:t>
            </w:r>
            <w:r w:rsidRPr="00835753">
              <w:rPr>
                <w:i w:val="0"/>
              </w:rPr>
              <w:t>inicją zawartą</w:t>
            </w:r>
            <w:r w:rsidR="00835753" w:rsidRPr="00835753">
              <w:rPr>
                <w:i w:val="0"/>
              </w:rPr>
              <w:t xml:space="preserve"> w</w:t>
            </w:r>
            <w:r w:rsidR="00835753">
              <w:rPr>
                <w:i w:val="0"/>
              </w:rPr>
              <w:t> </w:t>
            </w:r>
            <w:r w:rsidR="00835753" w:rsidRPr="00835753">
              <w:rPr>
                <w:i w:val="0"/>
              </w:rPr>
              <w:t>czę</w:t>
            </w:r>
            <w:r w:rsidRPr="00835753">
              <w:rPr>
                <w:i w:val="0"/>
              </w:rPr>
              <w:t>ści 1 pkt</w:t>
            </w:r>
            <w:r w:rsidR="00835753" w:rsidRPr="00835753">
              <w:rPr>
                <w:i w:val="0"/>
              </w:rPr>
              <w:t> </w:t>
            </w:r>
            <w:r w:rsidRPr="00835753">
              <w:rPr>
                <w:i w:val="0"/>
              </w:rPr>
              <w:t>34 załącznika V do rozporządzenia wykonawczego Komisji (UE) nr</w:t>
            </w:r>
            <w:r w:rsidR="00835753" w:rsidRPr="00835753">
              <w:rPr>
                <w:i w:val="0"/>
              </w:rPr>
              <w:t> </w:t>
            </w:r>
            <w:r w:rsidRPr="00835753">
              <w:rPr>
                <w:i w:val="0"/>
              </w:rPr>
              <w:t>680/2014; kwota nominalna zgodnie</w:t>
            </w:r>
            <w:r w:rsidR="00835753" w:rsidRPr="00835753">
              <w:rPr>
                <w:i w:val="0"/>
              </w:rPr>
              <w:t xml:space="preserve"> z</w:t>
            </w:r>
            <w:r w:rsidR="00835753">
              <w:rPr>
                <w:i w:val="0"/>
              </w:rPr>
              <w:t> </w:t>
            </w:r>
            <w:r w:rsidR="00835753" w:rsidRPr="00835753">
              <w:rPr>
                <w:i w:val="0"/>
              </w:rPr>
              <w:t>def</w:t>
            </w:r>
            <w:r w:rsidRPr="00835753">
              <w:rPr>
                <w:i w:val="0"/>
              </w:rPr>
              <w:t>inicją zawartą</w:t>
            </w:r>
            <w:r w:rsidR="00835753" w:rsidRPr="00835753">
              <w:rPr>
                <w:i w:val="0"/>
              </w:rPr>
              <w:t xml:space="preserve"> w</w:t>
            </w:r>
            <w:r w:rsidR="00835753">
              <w:rPr>
                <w:i w:val="0"/>
              </w:rPr>
              <w:t> </w:t>
            </w:r>
            <w:r w:rsidR="00835753" w:rsidRPr="00835753">
              <w:rPr>
                <w:i w:val="0"/>
              </w:rPr>
              <w:t>czę</w:t>
            </w:r>
            <w:r w:rsidRPr="00835753">
              <w:rPr>
                <w:i w:val="0"/>
              </w:rPr>
              <w:t>ści 2 pkt</w:t>
            </w:r>
            <w:r w:rsidR="00835753" w:rsidRPr="00835753">
              <w:rPr>
                <w:i w:val="0"/>
              </w:rPr>
              <w:t> </w:t>
            </w:r>
            <w:r w:rsidRPr="00835753">
              <w:rPr>
                <w:i w:val="0"/>
              </w:rPr>
              <w:t>118 załącznika V do rozporządzenia wykonawczego Komisji (UE) nr</w:t>
            </w:r>
            <w:r w:rsidR="00835753" w:rsidRPr="00835753">
              <w:rPr>
                <w:i w:val="0"/>
              </w:rPr>
              <w:t> </w:t>
            </w:r>
            <w:r w:rsidRPr="00835753">
              <w:rPr>
                <w:i w:val="0"/>
              </w:rPr>
              <w:t>680/2014;</w:t>
            </w:r>
          </w:p>
          <w:p w14:paraId="1B91069E" w14:textId="77777777" w:rsidR="004E71F4" w:rsidRPr="00835753" w:rsidRDefault="004E71F4" w:rsidP="00155C96">
            <w:pPr>
              <w:pStyle w:val="Fait"/>
              <w:spacing w:before="0" w:after="120"/>
            </w:pPr>
            <w:r w:rsidRPr="00835753">
              <w:t>Wartość bilansowa brutto ekspozycji podlegających utracie wartości jest wartością netto skumulowanych należności częściowo lub całkowicie spisanych.</w:t>
            </w:r>
          </w:p>
          <w:p w14:paraId="25B78BE1" w14:textId="474C94BC" w:rsidR="004E71F4" w:rsidRPr="00835753" w:rsidRDefault="004E71F4" w:rsidP="00155C96">
            <w:pPr>
              <w:pStyle w:val="Fait"/>
              <w:spacing w:before="0" w:after="120"/>
            </w:pPr>
            <w:r w:rsidRPr="00835753">
              <w:t>Ekspozycje nieobsługiwane objęte działaniami restrukturyzacyjnymi (nieobsługiwane ekspozycje restrukturyzowane) obejmują ekspozycje restrukturyzowane, które spełniają kryteria uznania ich za nieobsługiwane i są uwzględniane</w:t>
            </w:r>
            <w:r w:rsidR="00835753" w:rsidRPr="00835753">
              <w:t xml:space="preserve"> w</w:t>
            </w:r>
            <w:r w:rsidR="00835753">
              <w:t> </w:t>
            </w:r>
            <w:r w:rsidR="00835753" w:rsidRPr="00835753">
              <w:t>kat</w:t>
            </w:r>
            <w:r w:rsidRPr="00835753">
              <w:t>egorii ekspozycji nieobsługiwanych. Te nieobsługiwane ekspozycje restrukturyzowane obejmują: a) ekspozycje, które zostały sklasyfikowane jako nieobsługiwane</w:t>
            </w:r>
            <w:r w:rsidR="00835753" w:rsidRPr="00835753">
              <w:t xml:space="preserve"> z</w:t>
            </w:r>
            <w:r w:rsidR="00835753">
              <w:t> </w:t>
            </w:r>
            <w:r w:rsidR="00835753" w:rsidRPr="00835753">
              <w:t>pow</w:t>
            </w:r>
            <w:r w:rsidRPr="00835753">
              <w:t>odu podjęcia działań restrukturyzacyjnych; b) ekspozycje, które zostały sklasyfikowane jako nieobsługiwane przed podjęciem działań restrukturyzacyjnych; c) ekspozycje restrukturyzowane, które zostały usunięte</w:t>
            </w:r>
            <w:r w:rsidR="00835753" w:rsidRPr="00835753">
              <w:t xml:space="preserve"> z</w:t>
            </w:r>
            <w:r w:rsidR="00835753">
              <w:t> </w:t>
            </w:r>
            <w:r w:rsidR="00835753" w:rsidRPr="00835753">
              <w:t>kat</w:t>
            </w:r>
            <w:r w:rsidRPr="00835753">
              <w:t>egorii ekspozycji obsługiwanych,</w:t>
            </w:r>
            <w:r w:rsidR="00835753" w:rsidRPr="00835753">
              <w:t xml:space="preserve"> w</w:t>
            </w:r>
            <w:r w:rsidR="00835753">
              <w:t> </w:t>
            </w:r>
            <w:r w:rsidR="00835753" w:rsidRPr="00835753">
              <w:t>tym</w:t>
            </w:r>
            <w:r w:rsidRPr="00835753">
              <w:t xml:space="preserve"> ekspozycje usunięte zgodnie</w:t>
            </w:r>
            <w:r w:rsidR="00835753" w:rsidRPr="00835753">
              <w:t xml:space="preserve"> z</w:t>
            </w:r>
            <w:r w:rsidR="00835753">
              <w:t> </w:t>
            </w:r>
            <w:r w:rsidR="00835753" w:rsidRPr="00835753">
              <w:t>art</w:t>
            </w:r>
            <w:r w:rsidRPr="00835753">
              <w:t>.</w:t>
            </w:r>
            <w:r w:rsidR="00835753" w:rsidRPr="00835753">
              <w:t> </w:t>
            </w:r>
            <w:r w:rsidRPr="00835753">
              <w:t>47a CRR.</w:t>
            </w:r>
          </w:p>
        </w:tc>
      </w:tr>
      <w:tr w:rsidR="004E71F4" w:rsidRPr="00835753" w14:paraId="417D461F" w14:textId="77777777" w:rsidTr="00155C96">
        <w:trPr>
          <w:trHeight w:val="841"/>
        </w:trPr>
        <w:tc>
          <w:tcPr>
            <w:tcW w:w="1384" w:type="dxa"/>
          </w:tcPr>
          <w:p w14:paraId="358E8F20" w14:textId="77777777" w:rsidR="004E71F4" w:rsidRPr="00835753" w:rsidRDefault="004E71F4" w:rsidP="00155C96">
            <w:pPr>
              <w:pStyle w:val="Applicationdirecte"/>
              <w:spacing w:before="0"/>
            </w:pPr>
            <w:proofErr w:type="gramStart"/>
            <w:r w:rsidRPr="00835753">
              <w:t>c</w:t>
            </w:r>
            <w:proofErr w:type="gramEnd"/>
            <w:r w:rsidRPr="00835753">
              <w:t>)</w:t>
            </w:r>
          </w:p>
        </w:tc>
        <w:tc>
          <w:tcPr>
            <w:tcW w:w="7655" w:type="dxa"/>
          </w:tcPr>
          <w:p w14:paraId="39157DDD" w14:textId="77777777" w:rsidR="004E71F4" w:rsidRPr="00835753" w:rsidRDefault="004E71F4" w:rsidP="00155C96">
            <w:pPr>
              <w:pStyle w:val="Fait"/>
              <w:spacing w:before="0" w:after="120"/>
              <w:ind w:left="720"/>
              <w:rPr>
                <w:rFonts w:eastAsiaTheme="minorEastAsia"/>
                <w:b/>
              </w:rPr>
            </w:pPr>
            <w:r w:rsidRPr="00835753">
              <w:rPr>
                <w:b/>
              </w:rPr>
              <w:t>W tym ekspozycje, których dotyczy niewykonanie zobowiązania</w:t>
            </w:r>
          </w:p>
          <w:p w14:paraId="088A6CD1" w14:textId="4AFF1CB1" w:rsidR="004E71F4" w:rsidRPr="00835753" w:rsidRDefault="004E71F4" w:rsidP="00155C96">
            <w:pPr>
              <w:pStyle w:val="Fait"/>
              <w:spacing w:before="0" w:after="120"/>
              <w:rPr>
                <w:rFonts w:eastAsiaTheme="minorEastAsia"/>
              </w:rPr>
            </w:pPr>
            <w:r w:rsidRPr="00835753">
              <w:t>Ekspozycje restrukturyzowane, które zostały sklasyfikowane również jako ekspozycje, których dotyczy niewykonanie zobowiązania, zgodnie</w:t>
            </w:r>
            <w:r w:rsidR="00835753" w:rsidRPr="00835753">
              <w:t xml:space="preserve"> z</w:t>
            </w:r>
            <w:r w:rsidR="00835753">
              <w:t> </w:t>
            </w:r>
            <w:r w:rsidR="00835753" w:rsidRPr="00835753">
              <w:t>art</w:t>
            </w:r>
            <w:r w:rsidRPr="00835753">
              <w:t>.</w:t>
            </w:r>
            <w:r w:rsidR="00835753" w:rsidRPr="00835753">
              <w:t> </w:t>
            </w:r>
            <w:r w:rsidRPr="00835753">
              <w:t>178 CRR</w:t>
            </w:r>
          </w:p>
        </w:tc>
      </w:tr>
      <w:tr w:rsidR="004E71F4" w:rsidRPr="00835753" w14:paraId="26DC2509" w14:textId="77777777" w:rsidTr="00155C96">
        <w:trPr>
          <w:trHeight w:val="841"/>
        </w:trPr>
        <w:tc>
          <w:tcPr>
            <w:tcW w:w="1384" w:type="dxa"/>
          </w:tcPr>
          <w:p w14:paraId="7DF7F5F0" w14:textId="77777777" w:rsidR="004E71F4" w:rsidRPr="00835753" w:rsidRDefault="004E71F4" w:rsidP="00155C96">
            <w:pPr>
              <w:pStyle w:val="Applicationdirecte"/>
              <w:spacing w:before="0"/>
            </w:pPr>
            <w:proofErr w:type="gramStart"/>
            <w:r w:rsidRPr="00835753">
              <w:t>d</w:t>
            </w:r>
            <w:proofErr w:type="gramEnd"/>
            <w:r w:rsidRPr="00835753">
              <w:t>)</w:t>
            </w:r>
          </w:p>
        </w:tc>
        <w:tc>
          <w:tcPr>
            <w:tcW w:w="7655" w:type="dxa"/>
          </w:tcPr>
          <w:p w14:paraId="2CA300DC" w14:textId="77777777" w:rsidR="004E71F4" w:rsidRPr="00835753" w:rsidRDefault="004E71F4" w:rsidP="00155C96">
            <w:pPr>
              <w:pStyle w:val="Fait"/>
              <w:spacing w:before="0" w:after="120"/>
              <w:ind w:left="720"/>
              <w:rPr>
                <w:rFonts w:eastAsiaTheme="minorEastAsia"/>
                <w:b/>
              </w:rPr>
            </w:pPr>
            <w:r w:rsidRPr="00835753">
              <w:rPr>
                <w:b/>
              </w:rPr>
              <w:t>W tym: ekspozycje dotknięte utratą wartości</w:t>
            </w:r>
          </w:p>
          <w:p w14:paraId="0464B764" w14:textId="0768F67C" w:rsidR="004E71F4" w:rsidRPr="00835753" w:rsidRDefault="004E71F4" w:rsidP="00155C96">
            <w:pPr>
              <w:pStyle w:val="Fait"/>
              <w:spacing w:before="0" w:after="120"/>
              <w:rPr>
                <w:rFonts w:eastAsiaTheme="minorEastAsia"/>
              </w:rPr>
            </w:pPr>
            <w:r w:rsidRPr="00835753">
              <w:t>Ekspozycje restrukturyzowane, które są również dotknięte utratą wartości zgodnie</w:t>
            </w:r>
            <w:r w:rsidR="00835753" w:rsidRPr="00835753">
              <w:t xml:space="preserve"> z</w:t>
            </w:r>
            <w:r w:rsidR="00835753">
              <w:t> </w:t>
            </w:r>
            <w:r w:rsidR="00835753" w:rsidRPr="00835753">
              <w:t>obo</w:t>
            </w:r>
            <w:r w:rsidRPr="00835753">
              <w:t xml:space="preserve">wiązującymi standardami rachunkowości na podstawie części 2 </w:t>
            </w:r>
            <w:r w:rsidRPr="00835753">
              <w:lastRenderedPageBreak/>
              <w:t>pkt</w:t>
            </w:r>
            <w:r w:rsidR="00835753" w:rsidRPr="00835753">
              <w:t> </w:t>
            </w:r>
            <w:r w:rsidRPr="00835753">
              <w:t>215 załącznika V do rozporządzenia wykonawczego Komisji (UE) nr</w:t>
            </w:r>
            <w:r w:rsidR="00835753" w:rsidRPr="00835753">
              <w:t> </w:t>
            </w:r>
            <w:r w:rsidRPr="00835753">
              <w:t>680/2014</w:t>
            </w:r>
          </w:p>
        </w:tc>
      </w:tr>
      <w:tr w:rsidR="004E71F4" w:rsidRPr="00835753" w14:paraId="39E2CA79" w14:textId="77777777" w:rsidTr="00155C96">
        <w:trPr>
          <w:trHeight w:val="841"/>
        </w:trPr>
        <w:tc>
          <w:tcPr>
            <w:tcW w:w="1384" w:type="dxa"/>
          </w:tcPr>
          <w:p w14:paraId="66859C77" w14:textId="77777777" w:rsidR="004E71F4" w:rsidRPr="00835753" w:rsidRDefault="004E71F4" w:rsidP="00155C96">
            <w:pPr>
              <w:pStyle w:val="Applicationdirecte"/>
              <w:spacing w:before="0"/>
            </w:pPr>
            <w:proofErr w:type="gramStart"/>
            <w:r w:rsidRPr="00835753">
              <w:lastRenderedPageBreak/>
              <w:t>e</w:t>
            </w:r>
            <w:proofErr w:type="gramEnd"/>
            <w:r w:rsidRPr="00835753">
              <w:t>)</w:t>
            </w:r>
          </w:p>
        </w:tc>
        <w:tc>
          <w:tcPr>
            <w:tcW w:w="7655" w:type="dxa"/>
          </w:tcPr>
          <w:p w14:paraId="2ED06509" w14:textId="3E7BD19A"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Skumulowane utraty wartości, skumulowane ujemne zmiany wartości godziwej</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pow</w:t>
            </w:r>
            <w:r w:rsidRPr="00835753">
              <w:rPr>
                <w:rFonts w:ascii="Times New Roman" w:hAnsi="Times New Roman"/>
                <w:b/>
                <w:sz w:val="24"/>
              </w:rPr>
              <w:t>odu ryzyka kredytowego</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rez</w:t>
            </w:r>
            <w:r w:rsidRPr="00835753">
              <w:rPr>
                <w:rFonts w:ascii="Times New Roman" w:hAnsi="Times New Roman"/>
                <w:b/>
                <w:sz w:val="24"/>
              </w:rPr>
              <w:t>erwy na obsługiwane ekspozycje restrukturyzowane</w:t>
            </w:r>
          </w:p>
          <w:p w14:paraId="0BC0E204" w14:textId="52BE3B55" w:rsidR="004E71F4" w:rsidRPr="00835753" w:rsidRDefault="004E71F4" w:rsidP="00155C96">
            <w:pPr>
              <w:pStyle w:val="Fait"/>
              <w:spacing w:before="0" w:after="120"/>
            </w:pPr>
            <w:r w:rsidRPr="00835753">
              <w:t>Ekspozycje objęte działaniami restrukturyzacyjnymi zgodnie</w:t>
            </w:r>
            <w:r w:rsidR="00835753" w:rsidRPr="00835753">
              <w:t xml:space="preserve"> z</w:t>
            </w:r>
            <w:r w:rsidR="00835753">
              <w:t> </w:t>
            </w:r>
            <w:r w:rsidR="00835753" w:rsidRPr="00835753">
              <w:t>def</w:t>
            </w:r>
            <w:r w:rsidRPr="00835753">
              <w:t>inicją zawartą</w:t>
            </w:r>
            <w:r w:rsidR="00835753" w:rsidRPr="00835753">
              <w:t xml:space="preserve"> w</w:t>
            </w:r>
            <w:r w:rsidR="00835753">
              <w:t> </w:t>
            </w:r>
            <w:r w:rsidR="00835753" w:rsidRPr="00835753">
              <w:t>art</w:t>
            </w:r>
            <w:r w:rsidRPr="00835753">
              <w:t>.</w:t>
            </w:r>
            <w:r w:rsidR="00835753" w:rsidRPr="00835753">
              <w:t> </w:t>
            </w:r>
            <w:r w:rsidRPr="00835753">
              <w:t xml:space="preserve">47b CRR </w:t>
            </w:r>
          </w:p>
          <w:p w14:paraId="01AB5B78" w14:textId="215DC783" w:rsidR="004E71F4" w:rsidRPr="00835753" w:rsidRDefault="004E71F4" w:rsidP="00155C96">
            <w:pPr>
              <w:pStyle w:val="Fait"/>
              <w:spacing w:before="0" w:after="120"/>
            </w:pPr>
            <w:r w:rsidRPr="00835753">
              <w:t>Instytucje uwzględniają kwoty ustalone zgodnie</w:t>
            </w:r>
            <w:r w:rsidR="00835753" w:rsidRPr="00835753">
              <w:t xml:space="preserve"> z</w:t>
            </w:r>
            <w:r w:rsidR="00835753">
              <w:t> </w:t>
            </w:r>
            <w:r w:rsidR="00835753" w:rsidRPr="00835753">
              <w:t>czę</w:t>
            </w:r>
            <w:r w:rsidRPr="00835753">
              <w:t>ścią 2 pkt</w:t>
            </w:r>
            <w:r w:rsidR="00835753" w:rsidRPr="00835753">
              <w:t> </w:t>
            </w:r>
            <w:r w:rsidRPr="00835753">
              <w:t>11, 69–71, 106</w:t>
            </w:r>
            <w:r w:rsidR="00835753" w:rsidRPr="00835753">
              <w:t xml:space="preserve"> i</w:t>
            </w:r>
            <w:r w:rsidR="00835753">
              <w:t> </w:t>
            </w:r>
            <w:r w:rsidR="00835753" w:rsidRPr="00835753">
              <w:t>1</w:t>
            </w:r>
            <w:r w:rsidRPr="00835753">
              <w:t>10 załącznika V do rozporządzenia wykonawczego Komisji (UE) nr</w:t>
            </w:r>
            <w:r w:rsidR="00835753" w:rsidRPr="00835753">
              <w:t> </w:t>
            </w:r>
            <w:r w:rsidRPr="00835753">
              <w:t>680/2014.</w:t>
            </w:r>
          </w:p>
          <w:p w14:paraId="25E0BDEC" w14:textId="7EDBCEC7" w:rsidR="004E71F4" w:rsidRPr="00835753" w:rsidRDefault="004E71F4" w:rsidP="00155C96">
            <w:pPr>
              <w:pStyle w:val="Fait"/>
              <w:spacing w:before="0" w:after="120"/>
              <w:rPr>
                <w:rFonts w:eastAsiaTheme="minorEastAsia"/>
              </w:rPr>
            </w:pPr>
            <w:r w:rsidRPr="00835753">
              <w:t>W zależności od tego, czy ekspozycje restrukturyzowane spełniają warunki konieczne określone</w:t>
            </w:r>
            <w:r w:rsidR="00835753" w:rsidRPr="00835753">
              <w:t xml:space="preserve"> w</w:t>
            </w:r>
            <w:r w:rsidR="00835753">
              <w:t> </w:t>
            </w:r>
            <w:r w:rsidR="00835753" w:rsidRPr="00835753">
              <w:t>art</w:t>
            </w:r>
            <w:r w:rsidRPr="00835753">
              <w:t>.</w:t>
            </w:r>
            <w:r w:rsidR="00835753" w:rsidRPr="00835753">
              <w:t> </w:t>
            </w:r>
            <w:r w:rsidRPr="00835753">
              <w:t>47a</w:t>
            </w:r>
            <w:r w:rsidR="00835753" w:rsidRPr="00835753">
              <w:t xml:space="preserve"> i</w:t>
            </w:r>
            <w:r w:rsidR="00835753">
              <w:t> </w:t>
            </w:r>
            <w:r w:rsidR="00835753" w:rsidRPr="00835753">
              <w:t>4</w:t>
            </w:r>
            <w:r w:rsidRPr="00835753">
              <w:t>7b CRR, można je określić jako ekspozycje obsługiwane lub nieobsługiwane.</w:t>
            </w:r>
          </w:p>
        </w:tc>
      </w:tr>
      <w:tr w:rsidR="004E71F4" w:rsidRPr="00835753" w14:paraId="0D46FDFB" w14:textId="77777777" w:rsidTr="00155C96">
        <w:trPr>
          <w:trHeight w:val="841"/>
        </w:trPr>
        <w:tc>
          <w:tcPr>
            <w:tcW w:w="1384" w:type="dxa"/>
          </w:tcPr>
          <w:p w14:paraId="4C7E563A" w14:textId="77777777" w:rsidR="004E71F4" w:rsidRPr="00835753" w:rsidRDefault="004E71F4" w:rsidP="00155C96">
            <w:pPr>
              <w:pStyle w:val="Applicationdirecte"/>
              <w:spacing w:before="0"/>
            </w:pPr>
            <w:proofErr w:type="gramStart"/>
            <w:r w:rsidRPr="00835753">
              <w:t>f</w:t>
            </w:r>
            <w:proofErr w:type="gramEnd"/>
            <w:r w:rsidRPr="00835753">
              <w:t>)</w:t>
            </w:r>
          </w:p>
        </w:tc>
        <w:tc>
          <w:tcPr>
            <w:tcW w:w="7655" w:type="dxa"/>
          </w:tcPr>
          <w:p w14:paraId="25BED9D8" w14:textId="751D6634"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Skumulowane utraty wartości, skumulowane ujemne zmiany wartości godziwej</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pow</w:t>
            </w:r>
            <w:r w:rsidRPr="00835753">
              <w:rPr>
                <w:rFonts w:ascii="Times New Roman" w:hAnsi="Times New Roman"/>
                <w:b/>
                <w:sz w:val="24"/>
              </w:rPr>
              <w:t>odu ryzyka kredytowego</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rez</w:t>
            </w:r>
            <w:r w:rsidRPr="00835753">
              <w:rPr>
                <w:rFonts w:ascii="Times New Roman" w:hAnsi="Times New Roman"/>
                <w:b/>
                <w:sz w:val="24"/>
              </w:rPr>
              <w:t>erwy na nieobsługiwane ekspozycje restrukturyzowane</w:t>
            </w:r>
          </w:p>
          <w:p w14:paraId="25B80717" w14:textId="651BDCF6" w:rsidR="004E71F4" w:rsidRPr="00835753" w:rsidRDefault="004E71F4" w:rsidP="00155C96">
            <w:pPr>
              <w:pStyle w:val="Fait"/>
              <w:spacing w:before="0" w:after="120"/>
            </w:pPr>
            <w:r w:rsidRPr="00835753">
              <w:t>W tej pozycji ujmuje się kwoty ustalone zgodnie</w:t>
            </w:r>
            <w:r w:rsidR="00835753" w:rsidRPr="00835753">
              <w:t xml:space="preserve"> z</w:t>
            </w:r>
            <w:r w:rsidR="00835753">
              <w:t> </w:t>
            </w:r>
            <w:r w:rsidR="00835753" w:rsidRPr="00835753">
              <w:t>czę</w:t>
            </w:r>
            <w:r w:rsidRPr="00835753">
              <w:t>ścią 2 pkt</w:t>
            </w:r>
            <w:r w:rsidR="00835753" w:rsidRPr="00835753">
              <w:t> </w:t>
            </w:r>
            <w:r w:rsidRPr="00835753">
              <w:t>11, 69–71, 106</w:t>
            </w:r>
            <w:r w:rsidR="00835753" w:rsidRPr="00835753">
              <w:t xml:space="preserve"> i</w:t>
            </w:r>
            <w:r w:rsidR="00835753">
              <w:t> </w:t>
            </w:r>
            <w:r w:rsidR="00835753" w:rsidRPr="00835753">
              <w:t>1</w:t>
            </w:r>
            <w:r w:rsidRPr="00835753">
              <w:t>10 załącznika V do rozporządzenia wykonawczego Komisji (UE) nr</w:t>
            </w:r>
            <w:r w:rsidR="00835753" w:rsidRPr="00835753">
              <w:t> </w:t>
            </w:r>
            <w:r w:rsidRPr="00835753">
              <w:t>680/2014.</w:t>
            </w:r>
          </w:p>
          <w:p w14:paraId="1FF4CC1B" w14:textId="45670322" w:rsidR="004E71F4" w:rsidRPr="00835753" w:rsidRDefault="004E71F4" w:rsidP="00155C96">
            <w:pPr>
              <w:pStyle w:val="Fait"/>
              <w:spacing w:before="0" w:after="120"/>
              <w:rPr>
                <w:rFonts w:eastAsiaTheme="minorEastAsia"/>
              </w:rPr>
            </w:pPr>
            <w:r w:rsidRPr="00835753">
              <w:t>Ekspozycje nieobsługiwane objęte działaniami restrukturyzacyjnymi (nieobsługiwane ekspozycje restrukturyzowane) obejmują ekspozycje restrukturyzowane, które spełniają kryteria uznania ich za nieobsługiwane i są uwzględniane</w:t>
            </w:r>
            <w:r w:rsidR="00835753" w:rsidRPr="00835753">
              <w:t xml:space="preserve"> w</w:t>
            </w:r>
            <w:r w:rsidR="00835753">
              <w:t> </w:t>
            </w:r>
            <w:r w:rsidR="00835753" w:rsidRPr="00835753">
              <w:t>kat</w:t>
            </w:r>
            <w:r w:rsidRPr="00835753">
              <w:t>egorii ekspozycji nieobsługiwanych. Te nieobsługiwane ekspozycje restrukturyzowane obejmują: a) ekspozycje, które zostały sklasyfikowane jako nieobsługiwane</w:t>
            </w:r>
            <w:r w:rsidR="00835753" w:rsidRPr="00835753">
              <w:t xml:space="preserve"> z</w:t>
            </w:r>
            <w:r w:rsidR="00835753">
              <w:t> </w:t>
            </w:r>
            <w:r w:rsidR="00835753" w:rsidRPr="00835753">
              <w:t>pow</w:t>
            </w:r>
            <w:r w:rsidRPr="00835753">
              <w:t>odu podjęcia działań restrukturyzacyjnych; b) ekspozycje, które zostały sklasyfikowane jako nieobsługiwane przed podjęciem działań restrukturyzacyjnych; c) ekspozycje restrukturyzowane, które zostały usunięte</w:t>
            </w:r>
            <w:r w:rsidR="00835753" w:rsidRPr="00835753">
              <w:t xml:space="preserve"> z</w:t>
            </w:r>
            <w:r w:rsidR="00835753">
              <w:t> </w:t>
            </w:r>
            <w:r w:rsidR="00835753" w:rsidRPr="00835753">
              <w:t>kat</w:t>
            </w:r>
            <w:r w:rsidRPr="00835753">
              <w:t>egorii ekspozycji obsługiwanych,</w:t>
            </w:r>
            <w:r w:rsidR="00835753" w:rsidRPr="00835753">
              <w:t xml:space="preserve"> w</w:t>
            </w:r>
            <w:r w:rsidR="00835753">
              <w:t> </w:t>
            </w:r>
            <w:r w:rsidR="00835753" w:rsidRPr="00835753">
              <w:t>tym</w:t>
            </w:r>
            <w:r w:rsidRPr="00835753">
              <w:t xml:space="preserve"> ekspozycje usunięte zgodnie</w:t>
            </w:r>
            <w:r w:rsidR="00835753" w:rsidRPr="00835753">
              <w:t xml:space="preserve"> z</w:t>
            </w:r>
            <w:r w:rsidR="00835753">
              <w:t> </w:t>
            </w:r>
            <w:r w:rsidR="00835753" w:rsidRPr="00835753">
              <w:t>art</w:t>
            </w:r>
            <w:r w:rsidRPr="00835753">
              <w:t>.</w:t>
            </w:r>
            <w:r w:rsidR="00835753" w:rsidRPr="00835753">
              <w:t> </w:t>
            </w:r>
            <w:r w:rsidRPr="00835753">
              <w:t>47a CRR.</w:t>
            </w:r>
          </w:p>
        </w:tc>
      </w:tr>
      <w:tr w:rsidR="004E71F4" w:rsidRPr="00835753" w14:paraId="5BED3824" w14:textId="77777777" w:rsidTr="00155C96">
        <w:trPr>
          <w:trHeight w:val="841"/>
        </w:trPr>
        <w:tc>
          <w:tcPr>
            <w:tcW w:w="1384" w:type="dxa"/>
          </w:tcPr>
          <w:p w14:paraId="778A354F" w14:textId="77777777" w:rsidR="004E71F4" w:rsidRPr="00835753" w:rsidRDefault="004E71F4" w:rsidP="00155C96">
            <w:pPr>
              <w:pStyle w:val="Applicationdirecte"/>
              <w:spacing w:before="0"/>
            </w:pPr>
            <w:proofErr w:type="gramStart"/>
            <w:r w:rsidRPr="00835753">
              <w:t>g</w:t>
            </w:r>
            <w:proofErr w:type="gramEnd"/>
            <w:r w:rsidRPr="00835753">
              <w:t>)</w:t>
            </w:r>
          </w:p>
        </w:tc>
        <w:tc>
          <w:tcPr>
            <w:tcW w:w="7655" w:type="dxa"/>
          </w:tcPr>
          <w:p w14:paraId="0C2C2192" w14:textId="24A55F0D" w:rsidR="004E71F4" w:rsidRPr="00835753" w:rsidRDefault="004E71F4" w:rsidP="00155C96">
            <w:pPr>
              <w:pStyle w:val="Fait"/>
              <w:spacing w:before="0" w:after="120"/>
              <w:rPr>
                <w:rFonts w:eastAsiaTheme="minorEastAsia"/>
                <w:b/>
              </w:rPr>
            </w:pPr>
            <w:r w:rsidRPr="00835753">
              <w:rPr>
                <w:b/>
              </w:rPr>
              <w:t>Otrzymane zabezpieczenia</w:t>
            </w:r>
            <w:r w:rsidR="00835753" w:rsidRPr="00835753">
              <w:rPr>
                <w:b/>
              </w:rPr>
              <w:t xml:space="preserve"> i</w:t>
            </w:r>
            <w:r w:rsidR="00835753">
              <w:rPr>
                <w:b/>
              </w:rPr>
              <w:t> </w:t>
            </w:r>
            <w:r w:rsidR="00835753" w:rsidRPr="00835753">
              <w:rPr>
                <w:b/>
              </w:rPr>
              <w:t>gwa</w:t>
            </w:r>
            <w:r w:rsidRPr="00835753">
              <w:rPr>
                <w:b/>
              </w:rPr>
              <w:t>rancje finansowe</w:t>
            </w:r>
            <w:r w:rsidR="00835753" w:rsidRPr="00835753">
              <w:rPr>
                <w:b/>
              </w:rPr>
              <w:t xml:space="preserve"> z</w:t>
            </w:r>
            <w:r w:rsidR="00835753">
              <w:rPr>
                <w:b/>
              </w:rPr>
              <w:t> </w:t>
            </w:r>
            <w:r w:rsidR="00835753" w:rsidRPr="00835753">
              <w:rPr>
                <w:b/>
              </w:rPr>
              <w:t>tyt</w:t>
            </w:r>
            <w:r w:rsidRPr="00835753">
              <w:rPr>
                <w:b/>
              </w:rPr>
              <w:t>ułu ekspozycji restrukturyzowanych</w:t>
            </w:r>
          </w:p>
          <w:p w14:paraId="141099E9" w14:textId="5D97D4AC" w:rsidR="004E71F4" w:rsidRPr="00835753" w:rsidRDefault="004E71F4" w:rsidP="00155C96">
            <w:pPr>
              <w:pStyle w:val="Fait"/>
              <w:spacing w:before="0" w:after="120"/>
              <w:rPr>
                <w:rFonts w:eastAsiaTheme="minorEastAsia"/>
              </w:rPr>
            </w:pPr>
            <w:r w:rsidRPr="00835753">
              <w:t>Ujawnia się je</w:t>
            </w:r>
            <w:r w:rsidR="00835753" w:rsidRPr="00835753">
              <w:t xml:space="preserve"> w</w:t>
            </w:r>
            <w:r w:rsidR="00835753">
              <w:t> </w:t>
            </w:r>
            <w:r w:rsidR="00835753" w:rsidRPr="00835753">
              <w:t>odn</w:t>
            </w:r>
            <w:r w:rsidRPr="00835753">
              <w:t>iesieniu do wszystkich ekspozycji objętych działaniami restrukturyzacyjnymi niezależnie od tego, czy są to ekspozycje obsługiwane czy nieobsługiwane. Kwoty otrzymanych zabezpieczeń</w:t>
            </w:r>
            <w:r w:rsidR="00835753" w:rsidRPr="00835753">
              <w:t xml:space="preserve"> i</w:t>
            </w:r>
            <w:r w:rsidR="00835753">
              <w:t> </w:t>
            </w:r>
            <w:r w:rsidR="00835753" w:rsidRPr="00835753">
              <w:t>otr</w:t>
            </w:r>
            <w:r w:rsidRPr="00835753">
              <w:t>zymanych gwarancji oblicza się zgodnie</w:t>
            </w:r>
            <w:r w:rsidR="00835753" w:rsidRPr="00835753">
              <w:t xml:space="preserve"> z</w:t>
            </w:r>
            <w:r w:rsidR="00835753">
              <w:t> </w:t>
            </w:r>
            <w:r w:rsidR="00835753" w:rsidRPr="00835753">
              <w:t>czę</w:t>
            </w:r>
            <w:r w:rsidRPr="00835753">
              <w:t>ścią 2 pkt</w:t>
            </w:r>
            <w:r w:rsidR="00835753" w:rsidRPr="00835753">
              <w:t> </w:t>
            </w:r>
            <w:r w:rsidRPr="00835753">
              <w:t>239 załącznika V do rozporządzenia wykonawczego Komisji (UE) nr</w:t>
            </w:r>
            <w:r w:rsidR="00835753" w:rsidRPr="00835753">
              <w:t> </w:t>
            </w:r>
            <w:r w:rsidRPr="00835753">
              <w:t>680/2014. Suma kwot</w:t>
            </w:r>
            <w:r w:rsidR="00835753" w:rsidRPr="00835753">
              <w:t xml:space="preserve"> w</w:t>
            </w:r>
            <w:r w:rsidR="00835753">
              <w:t> </w:t>
            </w:r>
            <w:r w:rsidR="00835753" w:rsidRPr="00835753">
              <w:t>odn</w:t>
            </w:r>
            <w:r w:rsidRPr="00835753">
              <w:t>iesieniu do zabezpieczeń</w:t>
            </w:r>
            <w:r w:rsidR="00835753" w:rsidRPr="00835753">
              <w:t xml:space="preserve"> i</w:t>
            </w:r>
            <w:r w:rsidR="00835753">
              <w:t> </w:t>
            </w:r>
            <w:r w:rsidR="00835753" w:rsidRPr="00835753">
              <w:t>gwa</w:t>
            </w:r>
            <w:r w:rsidRPr="00835753">
              <w:t>rancji razem jest ograniczona do wartości bilansowej ekspozycji powiązanej.</w:t>
            </w:r>
          </w:p>
        </w:tc>
      </w:tr>
      <w:tr w:rsidR="004E71F4" w:rsidRPr="00835753" w14:paraId="3A548F70" w14:textId="77777777" w:rsidTr="00155C96">
        <w:trPr>
          <w:trHeight w:val="841"/>
        </w:trPr>
        <w:tc>
          <w:tcPr>
            <w:tcW w:w="1384" w:type="dxa"/>
          </w:tcPr>
          <w:p w14:paraId="368F9545" w14:textId="77777777" w:rsidR="004E71F4" w:rsidRPr="00835753" w:rsidRDefault="004E71F4" w:rsidP="00155C96">
            <w:pPr>
              <w:pStyle w:val="Applicationdirecte"/>
              <w:spacing w:before="0"/>
            </w:pPr>
            <w:proofErr w:type="gramStart"/>
            <w:r w:rsidRPr="00835753">
              <w:t>h</w:t>
            </w:r>
            <w:proofErr w:type="gramEnd"/>
            <w:r w:rsidRPr="00835753">
              <w:t>)</w:t>
            </w:r>
          </w:p>
        </w:tc>
        <w:tc>
          <w:tcPr>
            <w:tcW w:w="7655" w:type="dxa"/>
          </w:tcPr>
          <w:p w14:paraId="3D5E49E3" w14:textId="3030A0DB" w:rsidR="004E71F4" w:rsidRPr="00835753" w:rsidRDefault="004E71F4" w:rsidP="00155C96">
            <w:pPr>
              <w:pStyle w:val="Fait"/>
              <w:spacing w:before="0" w:after="120"/>
              <w:ind w:left="720"/>
              <w:rPr>
                <w:rFonts w:eastAsiaTheme="minorEastAsia"/>
                <w:b/>
              </w:rPr>
            </w:pPr>
            <w:r w:rsidRPr="00835753">
              <w:rPr>
                <w:b/>
              </w:rPr>
              <w:t>W tym otrzymane zabezpieczenia</w:t>
            </w:r>
            <w:r w:rsidR="00835753" w:rsidRPr="00835753">
              <w:rPr>
                <w:b/>
              </w:rPr>
              <w:t xml:space="preserve"> i</w:t>
            </w:r>
            <w:r w:rsidR="00835753">
              <w:rPr>
                <w:b/>
              </w:rPr>
              <w:t> </w:t>
            </w:r>
            <w:r w:rsidR="00835753" w:rsidRPr="00835753">
              <w:rPr>
                <w:b/>
              </w:rPr>
              <w:t>gwa</w:t>
            </w:r>
            <w:r w:rsidRPr="00835753">
              <w:rPr>
                <w:b/>
              </w:rPr>
              <w:t>rancje finansowe</w:t>
            </w:r>
            <w:r w:rsidR="00835753" w:rsidRPr="00835753">
              <w:rPr>
                <w:b/>
              </w:rPr>
              <w:t xml:space="preserve"> z</w:t>
            </w:r>
            <w:r w:rsidR="00835753">
              <w:rPr>
                <w:b/>
              </w:rPr>
              <w:t> </w:t>
            </w:r>
            <w:r w:rsidR="00835753" w:rsidRPr="00835753">
              <w:rPr>
                <w:b/>
              </w:rPr>
              <w:t>tyt</w:t>
            </w:r>
            <w:r w:rsidRPr="00835753">
              <w:rPr>
                <w:b/>
              </w:rPr>
              <w:t>ułu ekspozycji nieobsługiwanych objętych działaniami restrukturyzacyjnymi</w:t>
            </w:r>
          </w:p>
          <w:p w14:paraId="654570CA" w14:textId="29F9665F" w:rsidR="004E71F4" w:rsidRPr="00835753" w:rsidRDefault="004E71F4" w:rsidP="00155C96">
            <w:pPr>
              <w:pStyle w:val="Fait"/>
              <w:spacing w:before="0" w:after="120"/>
            </w:pPr>
            <w:r w:rsidRPr="00835753">
              <w:t>Kwoty otrzymanych zabezpieczeń</w:t>
            </w:r>
            <w:r w:rsidR="00835753" w:rsidRPr="00835753">
              <w:t xml:space="preserve"> i</w:t>
            </w:r>
            <w:r w:rsidR="00835753">
              <w:t> </w:t>
            </w:r>
            <w:r w:rsidR="00835753" w:rsidRPr="00835753">
              <w:t>otr</w:t>
            </w:r>
            <w:r w:rsidRPr="00835753">
              <w:t>zymanych gwarancji oblicza się zgodnie</w:t>
            </w:r>
            <w:r w:rsidR="00835753" w:rsidRPr="00835753">
              <w:t xml:space="preserve"> z</w:t>
            </w:r>
            <w:r w:rsidR="00835753">
              <w:t> </w:t>
            </w:r>
            <w:r w:rsidR="00835753" w:rsidRPr="00835753">
              <w:t>czę</w:t>
            </w:r>
            <w:r w:rsidRPr="00835753">
              <w:t>ścią 2 pkt</w:t>
            </w:r>
            <w:r w:rsidR="00835753" w:rsidRPr="00835753">
              <w:t> </w:t>
            </w:r>
            <w:r w:rsidRPr="00835753">
              <w:t xml:space="preserve">239 załącznika V do rozporządzenia wykonawczego </w:t>
            </w:r>
            <w:r w:rsidRPr="00835753">
              <w:lastRenderedPageBreak/>
              <w:t>Komisji (UE) nr</w:t>
            </w:r>
            <w:r w:rsidR="00835753" w:rsidRPr="00835753">
              <w:t> </w:t>
            </w:r>
            <w:r w:rsidRPr="00835753">
              <w:t>680/2014. Suma kwot</w:t>
            </w:r>
            <w:r w:rsidR="00835753" w:rsidRPr="00835753">
              <w:t xml:space="preserve"> w</w:t>
            </w:r>
            <w:r w:rsidR="00835753">
              <w:t> </w:t>
            </w:r>
            <w:r w:rsidR="00835753" w:rsidRPr="00835753">
              <w:t>odn</w:t>
            </w:r>
            <w:r w:rsidRPr="00835753">
              <w:t>iesieniu do zabezpieczeń</w:t>
            </w:r>
            <w:r w:rsidR="00835753" w:rsidRPr="00835753">
              <w:t xml:space="preserve"> i</w:t>
            </w:r>
            <w:r w:rsidR="00835753">
              <w:t> </w:t>
            </w:r>
            <w:r w:rsidR="00835753" w:rsidRPr="00835753">
              <w:t>gwa</w:t>
            </w:r>
            <w:r w:rsidRPr="00835753">
              <w:t>rancji razem jest ograniczona do wartości bilansowej ekspozycji powiązanej.</w:t>
            </w:r>
          </w:p>
          <w:p w14:paraId="3404E1BB" w14:textId="28525D57" w:rsidR="004E71F4" w:rsidRPr="00835753" w:rsidRDefault="004E71F4" w:rsidP="00155C96">
            <w:pPr>
              <w:pStyle w:val="Fait"/>
              <w:spacing w:before="0" w:after="120"/>
              <w:rPr>
                <w:rFonts w:eastAsiaTheme="minorEastAsia"/>
              </w:rPr>
            </w:pPr>
            <w:r w:rsidRPr="00835753">
              <w:t>Ekspozycje nieobsługiwane objęte działaniami restrukturyzacyjnymi (nieobsługiwane ekspozycje restrukturyzowane) obejmują ekspozycje restrukturyzowane, które spełniają kryteria uznania ich za nieobsługiwane i są uwzględniane</w:t>
            </w:r>
            <w:r w:rsidR="00835753" w:rsidRPr="00835753">
              <w:t xml:space="preserve"> w</w:t>
            </w:r>
            <w:r w:rsidR="00835753">
              <w:t> </w:t>
            </w:r>
            <w:r w:rsidR="00835753" w:rsidRPr="00835753">
              <w:t>kat</w:t>
            </w:r>
            <w:r w:rsidRPr="00835753">
              <w:t>egorii ekspozycji nieobsługiwanych. Te nieobsługiwane ekspozycje restrukturyzowane obejmują: a) ekspozycje, które zostały sklasyfikowane jako nieobsługiwane</w:t>
            </w:r>
            <w:r w:rsidR="00835753" w:rsidRPr="00835753">
              <w:t xml:space="preserve"> z</w:t>
            </w:r>
            <w:r w:rsidR="00835753">
              <w:t> </w:t>
            </w:r>
            <w:r w:rsidR="00835753" w:rsidRPr="00835753">
              <w:t>pow</w:t>
            </w:r>
            <w:r w:rsidRPr="00835753">
              <w:t>odu podjęcia działań restrukturyzacyjnych; b) ekspozycje, które zostały sklasyfikowane jako nieobsługiwane przed podjęciem działań restrukturyzacyjnych; c) ekspozycje restrukturyzowane, które zostały usunięte</w:t>
            </w:r>
            <w:r w:rsidR="00835753" w:rsidRPr="00835753">
              <w:t xml:space="preserve"> z</w:t>
            </w:r>
            <w:r w:rsidR="00835753">
              <w:t> </w:t>
            </w:r>
            <w:r w:rsidR="00835753" w:rsidRPr="00835753">
              <w:t>kat</w:t>
            </w:r>
            <w:r w:rsidRPr="00835753">
              <w:t>egorii ekspozycji obsługiwanych,</w:t>
            </w:r>
            <w:r w:rsidR="00835753" w:rsidRPr="00835753">
              <w:t xml:space="preserve"> w</w:t>
            </w:r>
            <w:r w:rsidR="00835753">
              <w:t> </w:t>
            </w:r>
            <w:r w:rsidR="00835753" w:rsidRPr="00835753">
              <w:t>tym</w:t>
            </w:r>
            <w:r w:rsidRPr="00835753">
              <w:t xml:space="preserve"> ekspozycje usunięte zgodnie</w:t>
            </w:r>
            <w:r w:rsidR="00835753" w:rsidRPr="00835753">
              <w:t xml:space="preserve"> z</w:t>
            </w:r>
            <w:r w:rsidR="00835753">
              <w:t> </w:t>
            </w:r>
            <w:r w:rsidR="00835753" w:rsidRPr="00835753">
              <w:t>art</w:t>
            </w:r>
            <w:r w:rsidRPr="00835753">
              <w:t>.</w:t>
            </w:r>
            <w:r w:rsidR="00835753" w:rsidRPr="00835753">
              <w:t> </w:t>
            </w:r>
            <w:r w:rsidRPr="00835753">
              <w:t>47a CRR.</w:t>
            </w:r>
          </w:p>
        </w:tc>
      </w:tr>
    </w:tbl>
    <w:p w14:paraId="590F809F" w14:textId="77777777" w:rsidR="004E71F4" w:rsidRPr="00835753" w:rsidRDefault="004E71F4" w:rsidP="004E71F4">
      <w:pPr>
        <w:autoSpaceDE w:val="0"/>
        <w:autoSpaceDN w:val="0"/>
        <w:adjustRightInd w:val="0"/>
        <w:spacing w:after="120"/>
        <w:jc w:val="both"/>
        <w:rPr>
          <w:rFonts w:ascii="Times New Roman" w:hAnsi="Times New Roman" w:cs="Times New Roman"/>
          <w:b/>
          <w:sz w:val="24"/>
        </w:rPr>
      </w:pPr>
    </w:p>
    <w:p w14:paraId="42C631CC" w14:textId="3A6E63C3" w:rsidR="004E71F4" w:rsidRPr="00835753" w:rsidRDefault="00CD362D" w:rsidP="004E71F4">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Wzór EU CQ2: Jakość działań restrukturyzacyjnych</w:t>
      </w:r>
    </w:p>
    <w:p w14:paraId="48713760" w14:textId="5D855649" w:rsidR="004E71F4" w:rsidRPr="00835753" w:rsidRDefault="004E71F4" w:rsidP="004E71F4">
      <w:pPr>
        <w:pStyle w:val="ListParagraph"/>
        <w:numPr>
          <w:ilvl w:val="0"/>
          <w:numId w:val="47"/>
        </w:numPr>
        <w:spacing w:after="120"/>
        <w:jc w:val="both"/>
        <w:rPr>
          <w:rFonts w:ascii="Times New Roman" w:hAnsi="Times New Roman"/>
          <w:bCs/>
          <w:sz w:val="24"/>
        </w:rPr>
      </w:pPr>
      <w:r w:rsidRPr="00835753">
        <w:rPr>
          <w:rFonts w:ascii="Times New Roman" w:hAnsi="Times New Roman"/>
          <w:bCs/>
          <w:sz w:val="24"/>
        </w:rPr>
        <w:t>W celu wypełnienia wzoru EU CQ2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 xml:space="preserve">ączniku XV do niniejszego rozporządzenia wykonawczego instytucje </w:t>
      </w:r>
      <w:r w:rsidRPr="00835753">
        <w:rPr>
          <w:rFonts w:ascii="Times New Roman" w:hAnsi="Times New Roman"/>
          <w:sz w:val="24"/>
        </w:rPr>
        <w:t>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442 lit.</w:t>
      </w:r>
      <w:r w:rsidR="00835753" w:rsidRPr="00835753">
        <w:rPr>
          <w:rFonts w:ascii="Times New Roman" w:hAnsi="Times New Roman"/>
          <w:bCs/>
          <w:sz w:val="24"/>
        </w:rPr>
        <w:t> </w:t>
      </w:r>
      <w:r w:rsidRPr="00835753">
        <w:rPr>
          <w:rFonts w:ascii="Times New Roman" w:hAnsi="Times New Roman"/>
          <w:bCs/>
          <w:sz w:val="24"/>
        </w:rPr>
        <w:t xml:space="preserve">c) </w:t>
      </w:r>
      <w:r w:rsidRPr="00835753">
        <w:rPr>
          <w:rFonts w:ascii="Times New Roman" w:hAnsi="Times New Roman"/>
          <w:color w:val="000000"/>
          <w:sz w:val="24"/>
        </w:rPr>
        <w:t>CRR</w:t>
      </w:r>
      <w:r w:rsidRPr="00835753">
        <w:rPr>
          <w:rFonts w:ascii="Times New Roman" w:hAnsi="Times New Roman"/>
          <w:bCs/>
          <w:sz w:val="24"/>
        </w:rPr>
        <w:t>,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p>
    <w:p w14:paraId="3A6636AA" w14:textId="77777777" w:rsidR="004E71F4" w:rsidRPr="00835753"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0FAE693F" w:rsidR="004E71F4" w:rsidRPr="00835753" w:rsidRDefault="004E71F4"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4CF8AE9F" w14:textId="77777777" w:rsidTr="00155C96">
        <w:trPr>
          <w:trHeight w:val="238"/>
        </w:trPr>
        <w:tc>
          <w:tcPr>
            <w:tcW w:w="1384" w:type="dxa"/>
            <w:shd w:val="clear" w:color="auto" w:fill="D9D9D9" w:themeFill="background1" w:themeFillShade="D9"/>
          </w:tcPr>
          <w:p w14:paraId="275BE76A"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0BC984CF"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4E71F4" w:rsidRPr="00835753" w14:paraId="51A2129F" w14:textId="77777777" w:rsidTr="00155C96">
        <w:trPr>
          <w:trHeight w:val="2033"/>
        </w:trPr>
        <w:tc>
          <w:tcPr>
            <w:tcW w:w="1384" w:type="dxa"/>
          </w:tcPr>
          <w:p w14:paraId="7B4FF727" w14:textId="77777777" w:rsidR="004E71F4" w:rsidRPr="00835753" w:rsidRDefault="004E71F4" w:rsidP="00155C96">
            <w:pPr>
              <w:pStyle w:val="Applicationdirecte"/>
              <w:spacing w:before="0"/>
            </w:pPr>
            <w:r w:rsidRPr="00835753">
              <w:t>010</w:t>
            </w:r>
          </w:p>
        </w:tc>
        <w:tc>
          <w:tcPr>
            <w:tcW w:w="7655" w:type="dxa"/>
          </w:tcPr>
          <w:p w14:paraId="45C99ADD" w14:textId="7343179D" w:rsidR="004E71F4" w:rsidRPr="00835753" w:rsidRDefault="004E71F4" w:rsidP="00155C96">
            <w:pPr>
              <w:pStyle w:val="Applicationdirecte"/>
              <w:spacing w:before="0"/>
              <w:rPr>
                <w:b/>
              </w:rPr>
            </w:pPr>
            <w:r w:rsidRPr="00835753">
              <w:rPr>
                <w:b/>
              </w:rPr>
              <w:t>Kredyty</w:t>
            </w:r>
            <w:r w:rsidR="00835753" w:rsidRPr="00835753">
              <w:rPr>
                <w:b/>
              </w:rPr>
              <w:t xml:space="preserve"> i</w:t>
            </w:r>
            <w:r w:rsidR="00835753">
              <w:rPr>
                <w:b/>
              </w:rPr>
              <w:t> </w:t>
            </w:r>
            <w:r w:rsidR="00835753" w:rsidRPr="00835753">
              <w:rPr>
                <w:b/>
              </w:rPr>
              <w:t>zal</w:t>
            </w:r>
            <w:r w:rsidRPr="00835753">
              <w:rPr>
                <w:b/>
              </w:rPr>
              <w:t>iczki, które restrukturyzowano więcej niż dwukrotnie</w:t>
            </w:r>
          </w:p>
          <w:p w14:paraId="6246E853" w14:textId="3BA8D792" w:rsidR="004E71F4" w:rsidRPr="00835753" w:rsidRDefault="004E71F4" w:rsidP="00155C96">
            <w:pPr>
              <w:pStyle w:val="Fait"/>
              <w:spacing w:before="0" w:after="120"/>
            </w:pPr>
            <w:r w:rsidRPr="00835753">
              <w:t>Wartość bilansowa brutto kredytów</w:t>
            </w:r>
            <w:r w:rsidR="00835753" w:rsidRPr="00835753">
              <w:t xml:space="preserve"> i</w:t>
            </w:r>
            <w:r w:rsidR="00835753">
              <w:t> </w:t>
            </w:r>
            <w:r w:rsidR="00835753" w:rsidRPr="00835753">
              <w:t>zal</w:t>
            </w:r>
            <w:r w:rsidRPr="00835753">
              <w:t>iczek objętych</w:t>
            </w:r>
            <w:r w:rsidR="00835753" w:rsidRPr="00835753">
              <w:t xml:space="preserve"> w</w:t>
            </w:r>
            <w:r w:rsidR="00835753">
              <w:t> </w:t>
            </w:r>
            <w:r w:rsidR="00835753" w:rsidRPr="00835753">
              <w:t>prz</w:t>
            </w:r>
            <w:r w:rsidRPr="00835753">
              <w:t>eszłości działaniami restrukturyzacyjnymi dwukrotnie</w:t>
            </w:r>
          </w:p>
          <w:p w14:paraId="554BA266" w14:textId="2BA5BA60" w:rsidR="004E71F4" w:rsidRPr="00835753" w:rsidRDefault="004E71F4" w:rsidP="00155C96">
            <w:pPr>
              <w:pStyle w:val="Fait"/>
              <w:spacing w:before="0" w:after="120"/>
            </w:pPr>
            <w:r w:rsidRPr="00835753">
              <w:t>W tej sekcji ujmuje się również kredyty</w:t>
            </w:r>
            <w:r w:rsidR="00835753" w:rsidRPr="00835753">
              <w:t xml:space="preserve"> i</w:t>
            </w:r>
            <w:r w:rsidR="00835753">
              <w:t> </w:t>
            </w:r>
            <w:r w:rsidR="00835753" w:rsidRPr="00835753">
              <w:t>zal</w:t>
            </w:r>
            <w:r w:rsidRPr="00835753">
              <w:t>iczki objęte działaniami restrukturyzacyjnymi, które opuściły kategorię kredytów</w:t>
            </w:r>
            <w:r w:rsidR="00835753" w:rsidRPr="00835753">
              <w:t xml:space="preserve"> i</w:t>
            </w:r>
            <w:r w:rsidR="00835753">
              <w:t> </w:t>
            </w:r>
            <w:r w:rsidR="00835753" w:rsidRPr="00835753">
              <w:t>zal</w:t>
            </w:r>
            <w:r w:rsidRPr="00835753">
              <w:t>iczek restrukturyzowanych (tj. kredyty</w:t>
            </w:r>
            <w:r w:rsidR="00835753" w:rsidRPr="00835753">
              <w:t xml:space="preserve"> i</w:t>
            </w:r>
            <w:r w:rsidR="00835753">
              <w:t> </w:t>
            </w:r>
            <w:r w:rsidR="00835753" w:rsidRPr="00835753">
              <w:t>zal</w:t>
            </w:r>
            <w:r w:rsidRPr="00835753">
              <w:t>iczki restrukturyzowane,</w:t>
            </w:r>
            <w:r w:rsidR="00835753" w:rsidRPr="00835753">
              <w:t xml:space="preserve"> w</w:t>
            </w:r>
            <w:r w:rsidR="00835753">
              <w:t> </w:t>
            </w:r>
            <w:r w:rsidR="00835753" w:rsidRPr="00835753">
              <w:t>prz</w:t>
            </w:r>
            <w:r w:rsidRPr="00835753">
              <w:t>ypadku których odnotowano poprawę sytuacji),</w:t>
            </w:r>
            <w:r w:rsidR="00835753" w:rsidRPr="00835753">
              <w:t xml:space="preserve"> w</w:t>
            </w:r>
            <w:r w:rsidR="00835753">
              <w:t> </w:t>
            </w:r>
            <w:r w:rsidR="00835753" w:rsidRPr="00835753">
              <w:t>prz</w:t>
            </w:r>
            <w:r w:rsidRPr="00835753">
              <w:t>ypadku gdy przeprowadzono nowe działanie restrukturyzacyjne.</w:t>
            </w:r>
          </w:p>
        </w:tc>
      </w:tr>
      <w:tr w:rsidR="004E71F4" w:rsidRPr="00835753" w14:paraId="7BA7E1A9" w14:textId="77777777" w:rsidTr="00155C96">
        <w:trPr>
          <w:trHeight w:val="316"/>
        </w:trPr>
        <w:tc>
          <w:tcPr>
            <w:tcW w:w="1384" w:type="dxa"/>
          </w:tcPr>
          <w:p w14:paraId="51B1495C"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sz w:val="24"/>
              </w:rPr>
              <w:t>020</w:t>
            </w:r>
          </w:p>
        </w:tc>
        <w:tc>
          <w:tcPr>
            <w:tcW w:w="7655" w:type="dxa"/>
          </w:tcPr>
          <w:p w14:paraId="195821F8" w14:textId="156E12D1"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Nieobsługiwane kredyty</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zal</w:t>
            </w:r>
            <w:r w:rsidRPr="00835753">
              <w:rPr>
                <w:rFonts w:ascii="Times New Roman" w:hAnsi="Times New Roman"/>
                <w:b/>
                <w:sz w:val="24"/>
              </w:rPr>
              <w:t>iczki restrukturyzowane, które nie spełniały kryteriów przeniesienia</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kat</w:t>
            </w:r>
            <w:r w:rsidRPr="00835753">
              <w:rPr>
                <w:rFonts w:ascii="Times New Roman" w:hAnsi="Times New Roman"/>
                <w:b/>
                <w:sz w:val="24"/>
              </w:rPr>
              <w:t>egorii ekspozycji nieobsługiwanych</w:t>
            </w:r>
          </w:p>
          <w:p w14:paraId="651BEEE0" w14:textId="0E8DBFC3" w:rsidR="004E71F4" w:rsidRPr="00835753" w:rsidRDefault="004E71F4" w:rsidP="00155C96">
            <w:pPr>
              <w:pStyle w:val="Fait"/>
              <w:spacing w:before="0" w:after="120"/>
              <w:rPr>
                <w:b/>
              </w:rPr>
            </w:pPr>
            <w:r w:rsidRPr="00835753">
              <w:t>Wartość bilansowa brutto nieobsługiwanych kredytów</w:t>
            </w:r>
            <w:r w:rsidR="00835753" w:rsidRPr="00835753">
              <w:t xml:space="preserve"> i</w:t>
            </w:r>
            <w:r w:rsidR="00835753">
              <w:t> </w:t>
            </w:r>
            <w:r w:rsidR="00835753" w:rsidRPr="00835753">
              <w:t>zal</w:t>
            </w:r>
            <w:r w:rsidRPr="00835753">
              <w:t>iczek restrukturyzowanych, które należą do kategorii nieobsługiwanych kredytów</w:t>
            </w:r>
            <w:r w:rsidR="00835753" w:rsidRPr="00835753">
              <w:t xml:space="preserve"> i</w:t>
            </w:r>
            <w:r w:rsidR="00835753">
              <w:t> </w:t>
            </w:r>
            <w:r w:rsidR="00835753" w:rsidRPr="00835753">
              <w:t>zal</w:t>
            </w:r>
            <w:r w:rsidRPr="00835753">
              <w:t>iczek restrukturyzowanych</w:t>
            </w:r>
            <w:r w:rsidR="00835753" w:rsidRPr="00835753">
              <w:t xml:space="preserve"> w</w:t>
            </w:r>
            <w:r w:rsidR="00835753">
              <w:t> </w:t>
            </w:r>
            <w:r w:rsidR="00835753" w:rsidRPr="00835753">
              <w:t>trw</w:t>
            </w:r>
            <w:r w:rsidRPr="00835753">
              <w:t>ającym jeden rok okresie warunkowym</w:t>
            </w:r>
            <w:r w:rsidR="00835753" w:rsidRPr="00835753">
              <w:t xml:space="preserve"> i</w:t>
            </w:r>
            <w:r w:rsidR="00835753">
              <w:t> </w:t>
            </w:r>
            <w:r w:rsidR="00835753" w:rsidRPr="00835753">
              <w:t>w</w:t>
            </w:r>
            <w:r w:rsidR="00835753">
              <w:t> </w:t>
            </w:r>
            <w:r w:rsidR="00835753" w:rsidRPr="00835753">
              <w:t>prz</w:t>
            </w:r>
            <w:r w:rsidRPr="00835753">
              <w:t>ypadku których nie zrealizowano działań restrukturyzacyjnych po</w:t>
            </w:r>
            <w:r w:rsidR="00835753" w:rsidRPr="00835753">
              <w:t> </w:t>
            </w:r>
            <w:r w:rsidRPr="00835753">
              <w:t>12-miesięcznym okresie warunkowym,</w:t>
            </w:r>
            <w:r w:rsidR="00835753" w:rsidRPr="00835753">
              <w:t xml:space="preserve"> w</w:t>
            </w:r>
            <w:r w:rsidR="00835753">
              <w:t> </w:t>
            </w:r>
            <w:r w:rsidR="00835753" w:rsidRPr="00835753">
              <w:t>zwi</w:t>
            </w:r>
            <w:r w:rsidRPr="00835753">
              <w:t>ązku</w:t>
            </w:r>
            <w:r w:rsidR="00835753" w:rsidRPr="00835753">
              <w:t xml:space="preserve"> z</w:t>
            </w:r>
            <w:r w:rsidR="00835753">
              <w:t> </w:t>
            </w:r>
            <w:r w:rsidR="00835753" w:rsidRPr="00835753">
              <w:t>czy</w:t>
            </w:r>
            <w:r w:rsidRPr="00835753">
              <w:t>m nie zmieniły statusu na obsługiwane kredyty</w:t>
            </w:r>
            <w:r w:rsidR="00835753" w:rsidRPr="00835753">
              <w:t xml:space="preserve"> i</w:t>
            </w:r>
            <w:r w:rsidR="00835753">
              <w:t> </w:t>
            </w:r>
            <w:r w:rsidR="00835753" w:rsidRPr="00835753">
              <w:t>zal</w:t>
            </w:r>
            <w:r w:rsidRPr="00835753">
              <w:t>iczki restrukturyzowane, lecz zachowały status nieobsługiwanych kredytów</w:t>
            </w:r>
            <w:r w:rsidR="00835753" w:rsidRPr="00835753">
              <w:t xml:space="preserve"> i</w:t>
            </w:r>
            <w:r w:rsidR="00835753">
              <w:t> </w:t>
            </w:r>
            <w:r w:rsidR="00835753" w:rsidRPr="00835753">
              <w:t>zal</w:t>
            </w:r>
            <w:r w:rsidRPr="00835753">
              <w:t>iczek restrukturyzowanych podczas okresu warunkowego</w:t>
            </w:r>
          </w:p>
        </w:tc>
      </w:tr>
    </w:tbl>
    <w:p w14:paraId="72890BE0" w14:textId="77777777" w:rsidR="004E71F4" w:rsidRPr="00835753"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30867AF8" w14:textId="77777777" w:rsidTr="00155C96">
        <w:trPr>
          <w:trHeight w:val="238"/>
        </w:trPr>
        <w:tc>
          <w:tcPr>
            <w:tcW w:w="9039" w:type="dxa"/>
            <w:gridSpan w:val="2"/>
            <w:shd w:val="clear" w:color="auto" w:fill="D9D9D9" w:themeFill="background1" w:themeFillShade="D9"/>
          </w:tcPr>
          <w:p w14:paraId="0E997768" w14:textId="62471E7B"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lastRenderedPageBreak/>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619087BF" w14:textId="77777777" w:rsidTr="00155C96">
        <w:trPr>
          <w:trHeight w:val="238"/>
        </w:trPr>
        <w:tc>
          <w:tcPr>
            <w:tcW w:w="1384" w:type="dxa"/>
            <w:shd w:val="clear" w:color="auto" w:fill="D9D9D9" w:themeFill="background1" w:themeFillShade="D9"/>
          </w:tcPr>
          <w:p w14:paraId="322839B0"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4C39D440"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Wyjaśnienie</w:t>
            </w:r>
          </w:p>
        </w:tc>
      </w:tr>
      <w:tr w:rsidR="004E71F4" w:rsidRPr="00835753" w14:paraId="1FE78F1D" w14:textId="77777777" w:rsidTr="00155C96">
        <w:trPr>
          <w:trHeight w:val="841"/>
        </w:trPr>
        <w:tc>
          <w:tcPr>
            <w:tcW w:w="1384" w:type="dxa"/>
          </w:tcPr>
          <w:p w14:paraId="00B484D4" w14:textId="77777777" w:rsidR="004E71F4" w:rsidRPr="00835753" w:rsidRDefault="004E71F4" w:rsidP="00155C96">
            <w:pPr>
              <w:pStyle w:val="Applicationdirecte"/>
              <w:spacing w:before="0"/>
            </w:pPr>
            <w:proofErr w:type="gramStart"/>
            <w:r w:rsidRPr="00835753">
              <w:t>a</w:t>
            </w:r>
            <w:proofErr w:type="gramEnd"/>
            <w:r w:rsidRPr="00835753">
              <w:t>)</w:t>
            </w:r>
          </w:p>
        </w:tc>
        <w:tc>
          <w:tcPr>
            <w:tcW w:w="7655" w:type="dxa"/>
          </w:tcPr>
          <w:p w14:paraId="285875B6" w14:textId="77777777" w:rsidR="004E71F4" w:rsidRPr="00835753" w:rsidRDefault="004E71F4" w:rsidP="00155C96">
            <w:pPr>
              <w:pStyle w:val="Fait"/>
              <w:spacing w:before="0" w:after="120"/>
              <w:rPr>
                <w:rFonts w:eastAsiaTheme="minorEastAsia"/>
                <w:b/>
              </w:rPr>
            </w:pPr>
            <w:r w:rsidRPr="00835753">
              <w:rPr>
                <w:b/>
              </w:rPr>
              <w:t>Wartość bilansowa brutto ekspozycji restrukturyzowanych</w:t>
            </w:r>
          </w:p>
          <w:p w14:paraId="64A87F8A" w14:textId="705057C1" w:rsidR="004E71F4" w:rsidRPr="00835753" w:rsidRDefault="004E71F4" w:rsidP="00155C96">
            <w:pPr>
              <w:pStyle w:val="Institutionquisigne"/>
              <w:spacing w:before="0" w:after="120"/>
              <w:rPr>
                <w:i w:val="0"/>
              </w:rPr>
            </w:pPr>
            <w:r w:rsidRPr="00835753">
              <w:rPr>
                <w:i w:val="0"/>
              </w:rPr>
              <w:t>Wartość bilansowa brutto zgodnie</w:t>
            </w:r>
            <w:r w:rsidR="00835753" w:rsidRPr="00835753">
              <w:rPr>
                <w:i w:val="0"/>
              </w:rPr>
              <w:t xml:space="preserve"> z</w:t>
            </w:r>
            <w:r w:rsidR="00835753">
              <w:rPr>
                <w:i w:val="0"/>
              </w:rPr>
              <w:t> </w:t>
            </w:r>
            <w:r w:rsidR="00835753" w:rsidRPr="00835753">
              <w:rPr>
                <w:i w:val="0"/>
              </w:rPr>
              <w:t>def</w:t>
            </w:r>
            <w:r w:rsidRPr="00835753">
              <w:rPr>
                <w:i w:val="0"/>
              </w:rPr>
              <w:t>inicją zawartą</w:t>
            </w:r>
            <w:r w:rsidR="00835753" w:rsidRPr="00835753">
              <w:rPr>
                <w:i w:val="0"/>
              </w:rPr>
              <w:t xml:space="preserve"> w</w:t>
            </w:r>
            <w:r w:rsidR="00835753">
              <w:rPr>
                <w:i w:val="0"/>
              </w:rPr>
              <w:t> </w:t>
            </w:r>
            <w:r w:rsidR="00835753" w:rsidRPr="00835753">
              <w:rPr>
                <w:i w:val="0"/>
              </w:rPr>
              <w:t>czę</w:t>
            </w:r>
            <w:r w:rsidRPr="00835753">
              <w:rPr>
                <w:i w:val="0"/>
              </w:rPr>
              <w:t>ści 1 pkt</w:t>
            </w:r>
            <w:r w:rsidR="00835753" w:rsidRPr="00835753">
              <w:rPr>
                <w:i w:val="0"/>
              </w:rPr>
              <w:t> </w:t>
            </w:r>
            <w:r w:rsidRPr="00835753">
              <w:rPr>
                <w:i w:val="0"/>
              </w:rPr>
              <w:t>34 załącznika V do rozporządzenia wykonawczego Komisji (UE) nr</w:t>
            </w:r>
            <w:r w:rsidR="00835753" w:rsidRPr="00835753">
              <w:rPr>
                <w:i w:val="0"/>
              </w:rPr>
              <w:t> </w:t>
            </w:r>
            <w:r w:rsidRPr="00835753">
              <w:rPr>
                <w:i w:val="0"/>
              </w:rPr>
              <w:t>680/2014; ekspozycje objęte działaniami restrukturyzacyjnymi zgodnie</w:t>
            </w:r>
            <w:r w:rsidR="00835753" w:rsidRPr="00835753">
              <w:rPr>
                <w:i w:val="0"/>
              </w:rPr>
              <w:t xml:space="preserve"> z</w:t>
            </w:r>
            <w:r w:rsidR="00835753">
              <w:rPr>
                <w:i w:val="0"/>
              </w:rPr>
              <w:t> </w:t>
            </w:r>
            <w:r w:rsidR="00835753" w:rsidRPr="00835753">
              <w:rPr>
                <w:i w:val="0"/>
              </w:rPr>
              <w:t>def</w:t>
            </w:r>
            <w:r w:rsidRPr="00835753">
              <w:rPr>
                <w:i w:val="0"/>
              </w:rPr>
              <w:t>inicją zawartą</w:t>
            </w:r>
            <w:r w:rsidR="00835753" w:rsidRPr="00835753">
              <w:rPr>
                <w:i w:val="0"/>
              </w:rPr>
              <w:t xml:space="preserve"> w</w:t>
            </w:r>
            <w:r w:rsidR="00835753">
              <w:rPr>
                <w:i w:val="0"/>
              </w:rPr>
              <w:t> </w:t>
            </w:r>
            <w:r w:rsidR="00835753" w:rsidRPr="00835753">
              <w:rPr>
                <w:i w:val="0"/>
              </w:rPr>
              <w:t>art</w:t>
            </w:r>
            <w:r w:rsidRPr="00835753">
              <w:rPr>
                <w:i w:val="0"/>
              </w:rPr>
              <w:t>.</w:t>
            </w:r>
            <w:r w:rsidR="00835753" w:rsidRPr="00835753">
              <w:rPr>
                <w:i w:val="0"/>
              </w:rPr>
              <w:t> </w:t>
            </w:r>
            <w:r w:rsidRPr="00835753">
              <w:rPr>
                <w:i w:val="0"/>
              </w:rPr>
              <w:t>47b CRR</w:t>
            </w:r>
          </w:p>
          <w:p w14:paraId="2F31ADDC" w14:textId="552603C9" w:rsidR="004E71F4" w:rsidRPr="00835753" w:rsidRDefault="004E71F4" w:rsidP="00155C96">
            <w:pPr>
              <w:pStyle w:val="Institutionquisigne"/>
              <w:spacing w:before="0" w:after="120"/>
            </w:pPr>
            <w:r w:rsidRPr="00835753">
              <w:rPr>
                <w:i w:val="0"/>
              </w:rPr>
              <w:t>W zależności od tego, czy ekspozycje restrukturyzowane spełniają warunki konieczne określone</w:t>
            </w:r>
            <w:r w:rsidR="00835753" w:rsidRPr="00835753">
              <w:rPr>
                <w:i w:val="0"/>
              </w:rPr>
              <w:t xml:space="preserve"> w</w:t>
            </w:r>
            <w:r w:rsidR="00835753">
              <w:rPr>
                <w:i w:val="0"/>
              </w:rPr>
              <w:t> </w:t>
            </w:r>
            <w:r w:rsidR="00835753" w:rsidRPr="00835753">
              <w:rPr>
                <w:i w:val="0"/>
              </w:rPr>
              <w:t>art</w:t>
            </w:r>
            <w:r w:rsidRPr="00835753">
              <w:rPr>
                <w:i w:val="0"/>
              </w:rPr>
              <w:t>.</w:t>
            </w:r>
            <w:r w:rsidR="00835753" w:rsidRPr="00835753">
              <w:rPr>
                <w:i w:val="0"/>
              </w:rPr>
              <w:t> </w:t>
            </w:r>
            <w:r w:rsidRPr="00835753">
              <w:rPr>
                <w:i w:val="0"/>
              </w:rPr>
              <w:t>47a lub</w:t>
            </w:r>
            <w:r w:rsidR="00835753" w:rsidRPr="00835753">
              <w:rPr>
                <w:i w:val="0"/>
              </w:rPr>
              <w:t> </w:t>
            </w:r>
            <w:r w:rsidRPr="00835753">
              <w:rPr>
                <w:i w:val="0"/>
              </w:rPr>
              <w:t>47b CRR, można je określić jako ekspozycje obsługiwane lub nieobsługiwane.</w:t>
            </w:r>
          </w:p>
        </w:tc>
      </w:tr>
    </w:tbl>
    <w:p w14:paraId="116A1C3C" w14:textId="77777777" w:rsidR="004E71F4" w:rsidRPr="00835753"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835753" w:rsidRDefault="004E71F4" w:rsidP="004E71F4">
      <w:pPr>
        <w:autoSpaceDE w:val="0"/>
        <w:autoSpaceDN w:val="0"/>
        <w:adjustRightInd w:val="0"/>
        <w:spacing w:after="120"/>
        <w:jc w:val="both"/>
        <w:rPr>
          <w:rFonts w:ascii="Times New Roman" w:hAnsi="Times New Roman" w:cs="Times New Roman"/>
          <w:b/>
          <w:sz w:val="24"/>
        </w:rPr>
      </w:pPr>
    </w:p>
    <w:p w14:paraId="14D54E97" w14:textId="0163F927" w:rsidR="004E71F4" w:rsidRPr="00835753" w:rsidRDefault="00CD362D" w:rsidP="004E71F4">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Wzór EU CQ3: Jakość kredytowa przeterminowanych ekspozycji obsługiwanych</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nie</w:t>
      </w:r>
      <w:r w:rsidRPr="00835753">
        <w:rPr>
          <w:rFonts w:ascii="Times New Roman" w:hAnsi="Times New Roman"/>
          <w:b/>
          <w:sz w:val="24"/>
        </w:rPr>
        <w:t>obsługiwanych</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pod</w:t>
      </w:r>
      <w:r w:rsidRPr="00835753">
        <w:rPr>
          <w:rFonts w:ascii="Times New Roman" w:hAnsi="Times New Roman"/>
          <w:b/>
          <w:sz w:val="24"/>
        </w:rPr>
        <w:t>ziale według liczby dni przeterminowania</w:t>
      </w:r>
    </w:p>
    <w:p w14:paraId="5634BDBD" w14:textId="4D4F006B" w:rsidR="004E71F4" w:rsidRPr="00835753" w:rsidRDefault="004E71F4" w:rsidP="004E71F4">
      <w:pPr>
        <w:pStyle w:val="ListParagraph"/>
        <w:numPr>
          <w:ilvl w:val="0"/>
          <w:numId w:val="48"/>
        </w:numPr>
        <w:spacing w:after="120"/>
        <w:jc w:val="both"/>
        <w:rPr>
          <w:rFonts w:ascii="Times New Roman" w:hAnsi="Times New Roman"/>
          <w:bCs/>
          <w:sz w:val="24"/>
        </w:rPr>
      </w:pPr>
      <w:r w:rsidRPr="00835753">
        <w:rPr>
          <w:rFonts w:ascii="Times New Roman" w:hAnsi="Times New Roman"/>
          <w:bCs/>
          <w:sz w:val="24"/>
        </w:rPr>
        <w:t>W celu wypełnienia wzoru EU CQ3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 xml:space="preserve">ączniku XV do niniejszego rozporządzenia wykonawczego instytucje </w:t>
      </w:r>
      <w:r w:rsidRPr="00835753">
        <w:rPr>
          <w:rFonts w:ascii="Times New Roman" w:hAnsi="Times New Roman"/>
          <w:sz w:val="24"/>
        </w:rPr>
        <w:t>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442 lit.</w:t>
      </w:r>
      <w:r w:rsidR="00835753" w:rsidRPr="00835753">
        <w:rPr>
          <w:rFonts w:ascii="Times New Roman" w:hAnsi="Times New Roman"/>
          <w:bCs/>
          <w:sz w:val="24"/>
        </w:rPr>
        <w:t> </w:t>
      </w:r>
      <w:r w:rsidRPr="00835753">
        <w:rPr>
          <w:rFonts w:ascii="Times New Roman" w:hAnsi="Times New Roman"/>
          <w:bCs/>
          <w:sz w:val="24"/>
        </w:rPr>
        <w:t xml:space="preserve">d) </w:t>
      </w:r>
      <w:r w:rsidRPr="00835753">
        <w:rPr>
          <w:rFonts w:ascii="Times New Roman" w:hAnsi="Times New Roman"/>
          <w:color w:val="000000"/>
          <w:sz w:val="24"/>
        </w:rPr>
        <w:t>CRR</w:t>
      </w:r>
      <w:r w:rsidRPr="00835753">
        <w:rPr>
          <w:rFonts w:ascii="Times New Roman" w:hAnsi="Times New Roman"/>
          <w:bCs/>
          <w:sz w:val="24"/>
        </w:rPr>
        <w:t>,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p>
    <w:p w14:paraId="405FCF0E" w14:textId="77777777" w:rsidR="004E71F4" w:rsidRPr="00835753"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5920A92" w:rsidR="004E71F4" w:rsidRPr="00835753" w:rsidRDefault="004E71F4"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2184228E" w14:textId="77777777" w:rsidTr="00155C96">
        <w:trPr>
          <w:trHeight w:val="238"/>
        </w:trPr>
        <w:tc>
          <w:tcPr>
            <w:tcW w:w="1384" w:type="dxa"/>
            <w:shd w:val="clear" w:color="auto" w:fill="D9D9D9" w:themeFill="background1" w:themeFillShade="D9"/>
          </w:tcPr>
          <w:p w14:paraId="53B575A9"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736FC276"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4E71F4" w:rsidRPr="00835753" w14:paraId="4456E34A" w14:textId="77777777" w:rsidTr="00155C96">
        <w:trPr>
          <w:trHeight w:val="845"/>
        </w:trPr>
        <w:tc>
          <w:tcPr>
            <w:tcW w:w="1384" w:type="dxa"/>
          </w:tcPr>
          <w:p w14:paraId="652E5476" w14:textId="77777777" w:rsidR="004E71F4" w:rsidRPr="00835753" w:rsidRDefault="004E71F4" w:rsidP="00155C96">
            <w:pPr>
              <w:pStyle w:val="Applicationdirecte"/>
              <w:spacing w:before="0"/>
            </w:pPr>
            <w:r w:rsidRPr="00835753">
              <w:t>005</w:t>
            </w:r>
          </w:p>
        </w:tc>
        <w:tc>
          <w:tcPr>
            <w:tcW w:w="7655" w:type="dxa"/>
          </w:tcPr>
          <w:p w14:paraId="3D6B1985" w14:textId="7BD4B0C4" w:rsidR="004E71F4" w:rsidRPr="00835753" w:rsidRDefault="004E71F4" w:rsidP="00155C96">
            <w:pPr>
              <w:pStyle w:val="Applicationdirecte"/>
              <w:spacing w:before="0"/>
              <w:rPr>
                <w:b/>
              </w:rPr>
            </w:pPr>
            <w:r w:rsidRPr="00835753">
              <w:rPr>
                <w:b/>
              </w:rPr>
              <w:t>Salda pieniężne</w:t>
            </w:r>
            <w:r w:rsidR="00835753" w:rsidRPr="00835753">
              <w:rPr>
                <w:b/>
              </w:rPr>
              <w:t xml:space="preserve"> w</w:t>
            </w:r>
            <w:r w:rsidR="00835753">
              <w:rPr>
                <w:b/>
              </w:rPr>
              <w:t> </w:t>
            </w:r>
            <w:r w:rsidR="00835753" w:rsidRPr="00835753">
              <w:rPr>
                <w:b/>
              </w:rPr>
              <w:t>ban</w:t>
            </w:r>
            <w:r w:rsidRPr="00835753">
              <w:rPr>
                <w:b/>
              </w:rPr>
              <w:t>kach centralnych</w:t>
            </w:r>
            <w:r w:rsidR="00835753" w:rsidRPr="00835753">
              <w:rPr>
                <w:b/>
              </w:rPr>
              <w:t xml:space="preserve"> i</w:t>
            </w:r>
            <w:r w:rsidR="00835753">
              <w:rPr>
                <w:b/>
              </w:rPr>
              <w:t> </w:t>
            </w:r>
            <w:r w:rsidR="00835753" w:rsidRPr="00835753">
              <w:rPr>
                <w:b/>
              </w:rPr>
              <w:t>inn</w:t>
            </w:r>
            <w:r w:rsidRPr="00835753">
              <w:rPr>
                <w:b/>
              </w:rPr>
              <w:t>e depozyty płatne na żądanie</w:t>
            </w:r>
          </w:p>
          <w:p w14:paraId="50BED74F" w14:textId="6CF43AA8" w:rsidR="004E71F4" w:rsidRPr="00835753" w:rsidRDefault="004E71F4" w:rsidP="00155C96">
            <w:pPr>
              <w:pStyle w:val="Applicationdirecte"/>
              <w:spacing w:before="0"/>
            </w:pPr>
            <w:r w:rsidRPr="00835753">
              <w:t>Instytucje ujawniają te informacje zgodnie</w:t>
            </w:r>
            <w:r w:rsidR="00835753" w:rsidRPr="00835753">
              <w:t xml:space="preserve"> z</w:t>
            </w:r>
            <w:r w:rsidR="00835753">
              <w:t> </w:t>
            </w:r>
            <w:r w:rsidR="00835753" w:rsidRPr="00835753">
              <w:t>inf</w:t>
            </w:r>
            <w:r w:rsidRPr="00835753">
              <w:t>ormacjami przedstawionymi</w:t>
            </w:r>
            <w:r w:rsidR="00835753" w:rsidRPr="00835753">
              <w:t xml:space="preserve"> w</w:t>
            </w:r>
            <w:r w:rsidR="00835753">
              <w:t> </w:t>
            </w:r>
            <w:r w:rsidR="00835753" w:rsidRPr="00835753">
              <w:t>zał</w:t>
            </w:r>
            <w:r w:rsidRPr="00835753">
              <w:t>ącznikach III i IV do rozporządzenia wykonawczego Komisji (UE) nr</w:t>
            </w:r>
            <w:r w:rsidR="00835753" w:rsidRPr="00835753">
              <w:t> </w:t>
            </w:r>
            <w:r w:rsidRPr="00835753">
              <w:t>680/2014.</w:t>
            </w:r>
          </w:p>
        </w:tc>
      </w:tr>
      <w:tr w:rsidR="004E71F4" w:rsidRPr="00835753" w14:paraId="327FB056" w14:textId="77777777" w:rsidTr="00155C96">
        <w:trPr>
          <w:trHeight w:val="845"/>
        </w:trPr>
        <w:tc>
          <w:tcPr>
            <w:tcW w:w="1384" w:type="dxa"/>
          </w:tcPr>
          <w:p w14:paraId="545A75CF" w14:textId="77777777" w:rsidR="004E71F4" w:rsidRPr="00835753" w:rsidRDefault="004E71F4" w:rsidP="00155C96">
            <w:pPr>
              <w:pStyle w:val="Applicationdirecte"/>
              <w:spacing w:before="0"/>
            </w:pPr>
            <w:r w:rsidRPr="00835753">
              <w:t>010</w:t>
            </w:r>
          </w:p>
        </w:tc>
        <w:tc>
          <w:tcPr>
            <w:tcW w:w="7655" w:type="dxa"/>
          </w:tcPr>
          <w:p w14:paraId="2D665D91" w14:textId="2101AB80" w:rsidR="004E71F4" w:rsidRPr="00835753" w:rsidRDefault="004E71F4" w:rsidP="00155C96">
            <w:pPr>
              <w:pStyle w:val="Applicationdirecte"/>
              <w:spacing w:before="0"/>
              <w:rPr>
                <w:b/>
              </w:rPr>
            </w:pPr>
            <w:r w:rsidRPr="00835753">
              <w:rPr>
                <w:b/>
              </w:rPr>
              <w:t>Kredyty</w:t>
            </w:r>
            <w:r w:rsidR="00835753" w:rsidRPr="00835753">
              <w:rPr>
                <w:b/>
              </w:rPr>
              <w:t xml:space="preserve"> i</w:t>
            </w:r>
            <w:r w:rsidR="00835753">
              <w:rPr>
                <w:b/>
              </w:rPr>
              <w:t> </w:t>
            </w:r>
            <w:r w:rsidR="00835753" w:rsidRPr="00835753">
              <w:rPr>
                <w:b/>
              </w:rPr>
              <w:t>zal</w:t>
            </w:r>
            <w:r w:rsidRPr="00835753">
              <w:rPr>
                <w:b/>
              </w:rPr>
              <w:t>iczki</w:t>
            </w:r>
          </w:p>
          <w:p w14:paraId="4B205592" w14:textId="589FF520" w:rsidR="004E71F4" w:rsidRPr="00835753" w:rsidRDefault="004E71F4" w:rsidP="00155C96">
            <w:pPr>
              <w:pStyle w:val="Applicationdirecte"/>
              <w:spacing w:before="0"/>
            </w:pPr>
            <w:r w:rsidRPr="00835753">
              <w:t>Zob. definicja w EU CR1: Ekspozycje obsługiwane</w:t>
            </w:r>
            <w:r w:rsidR="00835753" w:rsidRPr="00835753">
              <w:t xml:space="preserve"> i</w:t>
            </w:r>
            <w:r w:rsidR="00835753">
              <w:t> </w:t>
            </w:r>
            <w:r w:rsidR="00835753" w:rsidRPr="00835753">
              <w:t>nie</w:t>
            </w:r>
            <w:r w:rsidRPr="00835753">
              <w:t>obsługiwane oraz powiązane rezerwy</w:t>
            </w:r>
          </w:p>
        </w:tc>
      </w:tr>
      <w:tr w:rsidR="004E71F4" w:rsidRPr="00835753" w14:paraId="1CF6B9A3" w14:textId="77777777" w:rsidTr="00155C96">
        <w:trPr>
          <w:trHeight w:val="3815"/>
        </w:trPr>
        <w:tc>
          <w:tcPr>
            <w:tcW w:w="1384" w:type="dxa"/>
          </w:tcPr>
          <w:p w14:paraId="679C951A" w14:textId="77777777" w:rsidR="004E71F4" w:rsidRPr="00835753" w:rsidRDefault="004E71F4" w:rsidP="00155C96">
            <w:pPr>
              <w:pStyle w:val="Applicationdirecte"/>
              <w:spacing w:before="0"/>
            </w:pPr>
            <w:r w:rsidRPr="00835753">
              <w:lastRenderedPageBreak/>
              <w:t>020–060, 080, 100–140, 160–210</w:t>
            </w:r>
          </w:p>
        </w:tc>
        <w:tc>
          <w:tcPr>
            <w:tcW w:w="7655" w:type="dxa"/>
          </w:tcPr>
          <w:p w14:paraId="7D10F9AE" w14:textId="77777777" w:rsidR="004E71F4" w:rsidRPr="00835753" w:rsidRDefault="004E71F4" w:rsidP="00155C96">
            <w:pPr>
              <w:pStyle w:val="Applicationdirecte"/>
              <w:spacing w:before="0"/>
              <w:rPr>
                <w:b/>
              </w:rPr>
            </w:pPr>
            <w:r w:rsidRPr="00835753">
              <w:rPr>
                <w:b/>
              </w:rPr>
              <w:t>Podział według kontrahentów</w:t>
            </w:r>
          </w:p>
          <w:p w14:paraId="0F47965A" w14:textId="34203DA9" w:rsidR="004E71F4" w:rsidRPr="00835753" w:rsidRDefault="004E71F4" w:rsidP="00155C96">
            <w:pPr>
              <w:pStyle w:val="Applicationdirecte"/>
              <w:spacing w:before="0"/>
            </w:pPr>
            <w:r w:rsidRPr="00835753">
              <w:t>Instytucje stosują podział według kontrahentów, jak określono</w:t>
            </w:r>
            <w:r w:rsidR="00835753" w:rsidRPr="00835753">
              <w:t xml:space="preserve"> w</w:t>
            </w:r>
            <w:r w:rsidR="00835753">
              <w:t> </w:t>
            </w:r>
            <w:r w:rsidR="00835753" w:rsidRPr="00835753">
              <w:t>czę</w:t>
            </w:r>
            <w:r w:rsidRPr="00835753">
              <w:t>ści 1 pkt</w:t>
            </w:r>
            <w:r w:rsidR="00835753" w:rsidRPr="00835753">
              <w:t> </w:t>
            </w:r>
            <w:r w:rsidRPr="00835753">
              <w:t>42 załącznika V do rozporządzenia wykonawczego Komisji (UE) nr</w:t>
            </w:r>
            <w:r w:rsidR="00835753" w:rsidRPr="00835753">
              <w:t> </w:t>
            </w:r>
            <w:r w:rsidRPr="00835753">
              <w:t>680/2014.</w:t>
            </w:r>
          </w:p>
          <w:p w14:paraId="485FC433" w14:textId="15FD34FB" w:rsidR="004E71F4" w:rsidRPr="00835753" w:rsidRDefault="004E71F4" w:rsidP="00155C96">
            <w:pPr>
              <w:pStyle w:val="Fait"/>
              <w:spacing w:before="0" w:after="120"/>
            </w:pPr>
            <w:r w:rsidRPr="00835753">
              <w:t>Przypisanie do sektora kontrahentów opiera się wyłącznie na charakterze bezpośredniego kontrahenta. Ekspozycje utworzone wspólnie przez więcej niż jednego dłużnika klasyfikuje się</w:t>
            </w:r>
            <w:r w:rsidR="00835753" w:rsidRPr="00835753">
              <w:t xml:space="preserve"> w</w:t>
            </w:r>
            <w:r w:rsidR="00835753">
              <w:t> </w:t>
            </w:r>
            <w:r w:rsidR="00835753" w:rsidRPr="00835753">
              <w:t>opa</w:t>
            </w:r>
            <w:r w:rsidRPr="00835753">
              <w:t>rciu</w:t>
            </w:r>
            <w:r w:rsidR="00835753" w:rsidRPr="00835753">
              <w:t xml:space="preserve"> o</w:t>
            </w:r>
            <w:r w:rsidR="00835753">
              <w:t> </w:t>
            </w:r>
            <w:r w:rsidR="00835753" w:rsidRPr="00835753">
              <w:t>cec</w:t>
            </w:r>
            <w:r w:rsidRPr="00835753">
              <w:t>hy tego dłużnika, który miał dla instytucji większe lub decydujące znaczenie przy podejmowaniu decyzji</w:t>
            </w:r>
            <w:r w:rsidR="00835753" w:rsidRPr="00835753">
              <w:t xml:space="preserve"> o</w:t>
            </w:r>
            <w:r w:rsidR="00835753">
              <w:t> </w:t>
            </w:r>
            <w:r w:rsidR="00835753" w:rsidRPr="00835753">
              <w:t>prz</w:t>
            </w:r>
            <w:r w:rsidRPr="00835753">
              <w:t>yznaniu ekspozycji. Spośród innych klasyfikacji podział wspólnie utworzonych ekspozycji według sektora kontrahentów, kraju siedziby</w:t>
            </w:r>
            <w:r w:rsidR="00835753" w:rsidRPr="00835753">
              <w:t xml:space="preserve"> i</w:t>
            </w:r>
            <w:r w:rsidR="00835753">
              <w:t> </w:t>
            </w:r>
            <w:r w:rsidR="00835753" w:rsidRPr="00835753">
              <w:t>kod</w:t>
            </w:r>
            <w:r w:rsidRPr="00835753">
              <w:t>ów NACE opiera się na cechach tego dłużnika, który ma większe lub decydujące znaczenie.</w:t>
            </w:r>
          </w:p>
        </w:tc>
      </w:tr>
      <w:tr w:rsidR="004E71F4" w:rsidRPr="00835753" w14:paraId="55315A3B" w14:textId="77777777" w:rsidTr="00155C96">
        <w:trPr>
          <w:trHeight w:val="316"/>
        </w:trPr>
        <w:tc>
          <w:tcPr>
            <w:tcW w:w="1384" w:type="dxa"/>
          </w:tcPr>
          <w:p w14:paraId="403C6547"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sz w:val="24"/>
              </w:rPr>
              <w:t>070</w:t>
            </w:r>
          </w:p>
        </w:tc>
        <w:tc>
          <w:tcPr>
            <w:tcW w:w="7655" w:type="dxa"/>
          </w:tcPr>
          <w:p w14:paraId="68061E12"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MŚP</w:t>
            </w:r>
          </w:p>
          <w:p w14:paraId="4DBC8B1B" w14:textId="1A74C8EB"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Jak określono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1 pkt</w:t>
            </w:r>
            <w:r w:rsidR="00835753" w:rsidRPr="00835753">
              <w:rPr>
                <w:rFonts w:ascii="Times New Roman" w:hAnsi="Times New Roman"/>
                <w:sz w:val="24"/>
              </w:rPr>
              <w:t> </w:t>
            </w:r>
            <w:r w:rsidRPr="00835753">
              <w:rPr>
                <w:rFonts w:ascii="Times New Roman" w:hAnsi="Times New Roman"/>
                <w:sz w:val="24"/>
              </w:rPr>
              <w:t>5 lit.</w:t>
            </w:r>
            <w:r w:rsidR="00835753" w:rsidRPr="00835753">
              <w:rPr>
                <w:rFonts w:ascii="Times New Roman" w:hAnsi="Times New Roman"/>
                <w:sz w:val="24"/>
              </w:rPr>
              <w:t> </w:t>
            </w:r>
            <w:r w:rsidRPr="00835753">
              <w:rPr>
                <w:rFonts w:ascii="Times New Roman" w:hAnsi="Times New Roman"/>
                <w:sz w:val="24"/>
              </w:rPr>
              <w:t>i) załącznika V do rozporządzenia wykonawczego Komisji (UE) nr</w:t>
            </w:r>
            <w:r w:rsidR="00835753" w:rsidRPr="00835753">
              <w:rPr>
                <w:rFonts w:ascii="Times New Roman" w:hAnsi="Times New Roman"/>
                <w:sz w:val="24"/>
              </w:rPr>
              <w:t> </w:t>
            </w:r>
            <w:r w:rsidRPr="00835753">
              <w:rPr>
                <w:rFonts w:ascii="Times New Roman" w:hAnsi="Times New Roman"/>
                <w:sz w:val="24"/>
              </w:rPr>
              <w:t>680/2014.</w:t>
            </w:r>
          </w:p>
        </w:tc>
      </w:tr>
      <w:tr w:rsidR="004E71F4" w:rsidRPr="00835753" w14:paraId="6B9153EE" w14:textId="77777777" w:rsidTr="00155C96">
        <w:trPr>
          <w:trHeight w:val="530"/>
        </w:trPr>
        <w:tc>
          <w:tcPr>
            <w:tcW w:w="1384" w:type="dxa"/>
          </w:tcPr>
          <w:p w14:paraId="615F77F3"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090</w:t>
            </w:r>
          </w:p>
        </w:tc>
        <w:tc>
          <w:tcPr>
            <w:tcW w:w="7655" w:type="dxa"/>
          </w:tcPr>
          <w:p w14:paraId="2689A269"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Dłużne papiery wartościowe</w:t>
            </w:r>
          </w:p>
          <w:p w14:paraId="092856A9" w14:textId="40283FE3" w:rsidR="004E71F4" w:rsidRPr="00835753" w:rsidRDefault="004E71F4" w:rsidP="00155C96">
            <w:pPr>
              <w:pStyle w:val="Applicationdirecte"/>
              <w:spacing w:before="0"/>
            </w:pPr>
            <w:r w:rsidRPr="00835753">
              <w:t>Zob. definicja w EU CR1: Ekspozycje obsługiwane</w:t>
            </w:r>
            <w:r w:rsidR="00835753" w:rsidRPr="00835753">
              <w:t xml:space="preserve"> i</w:t>
            </w:r>
            <w:r w:rsidR="00835753">
              <w:t> </w:t>
            </w:r>
            <w:r w:rsidR="00835753" w:rsidRPr="00835753">
              <w:t>nie</w:t>
            </w:r>
            <w:r w:rsidRPr="00835753">
              <w:t>obsługiwane oraz powiązane rezerwy</w:t>
            </w:r>
          </w:p>
        </w:tc>
      </w:tr>
      <w:tr w:rsidR="004E71F4" w:rsidRPr="00835753" w14:paraId="7A92C4D0" w14:textId="77777777" w:rsidTr="00155C96">
        <w:trPr>
          <w:trHeight w:val="620"/>
        </w:trPr>
        <w:tc>
          <w:tcPr>
            <w:tcW w:w="1384" w:type="dxa"/>
          </w:tcPr>
          <w:p w14:paraId="414DB6B0"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150</w:t>
            </w:r>
          </w:p>
        </w:tc>
        <w:tc>
          <w:tcPr>
            <w:tcW w:w="7655" w:type="dxa"/>
          </w:tcPr>
          <w:p w14:paraId="5D66670F"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Ekspozycje pozabilansowe</w:t>
            </w:r>
          </w:p>
          <w:p w14:paraId="3C8CA495" w14:textId="27132CE3" w:rsidR="004E71F4" w:rsidRPr="00835753" w:rsidRDefault="004E71F4" w:rsidP="00155C96">
            <w:pPr>
              <w:pStyle w:val="Applicationdirecte"/>
              <w:spacing w:before="0"/>
            </w:pPr>
            <w:r w:rsidRPr="00835753">
              <w:t>Zob. definicja w EU CR1: Ekspozycje obsługiwane</w:t>
            </w:r>
            <w:r w:rsidR="00835753" w:rsidRPr="00835753">
              <w:t xml:space="preserve"> i</w:t>
            </w:r>
            <w:r w:rsidR="00835753">
              <w:t> </w:t>
            </w:r>
            <w:r w:rsidR="00835753" w:rsidRPr="00835753">
              <w:t>nie</w:t>
            </w:r>
            <w:r w:rsidRPr="00835753">
              <w:t>obsługiwane oraz powiązane rezerwy</w:t>
            </w:r>
          </w:p>
        </w:tc>
      </w:tr>
      <w:tr w:rsidR="004E71F4" w:rsidRPr="00835753" w14:paraId="5F50AD39" w14:textId="77777777" w:rsidTr="00155C96">
        <w:trPr>
          <w:trHeight w:val="273"/>
        </w:trPr>
        <w:tc>
          <w:tcPr>
            <w:tcW w:w="1384" w:type="dxa"/>
          </w:tcPr>
          <w:p w14:paraId="6B9553D9"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210</w:t>
            </w:r>
          </w:p>
        </w:tc>
        <w:tc>
          <w:tcPr>
            <w:tcW w:w="7655" w:type="dxa"/>
          </w:tcPr>
          <w:p w14:paraId="5ABEA870"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Ogółem</w:t>
            </w:r>
          </w:p>
        </w:tc>
      </w:tr>
    </w:tbl>
    <w:p w14:paraId="35124A0F" w14:textId="77777777" w:rsidR="004E71F4" w:rsidRPr="00835753"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0FFA4F8A" w14:textId="77777777" w:rsidTr="00155C96">
        <w:trPr>
          <w:trHeight w:val="238"/>
        </w:trPr>
        <w:tc>
          <w:tcPr>
            <w:tcW w:w="9039" w:type="dxa"/>
            <w:gridSpan w:val="2"/>
            <w:shd w:val="clear" w:color="auto" w:fill="D9D9D9" w:themeFill="background1" w:themeFillShade="D9"/>
          </w:tcPr>
          <w:p w14:paraId="19AFFFF0" w14:textId="0D2017B4"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004F64FE" w14:textId="77777777" w:rsidTr="00155C96">
        <w:trPr>
          <w:trHeight w:val="238"/>
        </w:trPr>
        <w:tc>
          <w:tcPr>
            <w:tcW w:w="1384" w:type="dxa"/>
            <w:shd w:val="clear" w:color="auto" w:fill="D9D9D9" w:themeFill="background1" w:themeFillShade="D9"/>
          </w:tcPr>
          <w:p w14:paraId="10CA2133"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3568609E"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Wyjaśnienie</w:t>
            </w:r>
          </w:p>
        </w:tc>
      </w:tr>
      <w:tr w:rsidR="004E71F4" w:rsidRPr="00835753" w14:paraId="4D1F4E45" w14:textId="77777777" w:rsidTr="00155C96">
        <w:trPr>
          <w:trHeight w:val="841"/>
        </w:trPr>
        <w:tc>
          <w:tcPr>
            <w:tcW w:w="1384" w:type="dxa"/>
          </w:tcPr>
          <w:p w14:paraId="00E224B7" w14:textId="77777777" w:rsidR="004E71F4" w:rsidRPr="00835753" w:rsidRDefault="004E71F4" w:rsidP="00155C96">
            <w:pPr>
              <w:pStyle w:val="Applicationdirecte"/>
              <w:spacing w:before="0"/>
            </w:pPr>
            <w:proofErr w:type="gramStart"/>
            <w:r w:rsidRPr="00835753">
              <w:t>a</w:t>
            </w:r>
            <w:proofErr w:type="gramEnd"/>
            <w:r w:rsidRPr="00835753">
              <w:t>)</w:t>
            </w:r>
          </w:p>
        </w:tc>
        <w:tc>
          <w:tcPr>
            <w:tcW w:w="7655" w:type="dxa"/>
          </w:tcPr>
          <w:p w14:paraId="7EA73C0C" w14:textId="77777777" w:rsidR="004E71F4" w:rsidRPr="00835753" w:rsidRDefault="004E71F4" w:rsidP="00155C96">
            <w:pPr>
              <w:pStyle w:val="Fait"/>
              <w:spacing w:before="0" w:after="120"/>
              <w:rPr>
                <w:rFonts w:eastAsiaTheme="minorEastAsia"/>
                <w:b/>
              </w:rPr>
            </w:pPr>
            <w:r w:rsidRPr="00835753">
              <w:rPr>
                <w:b/>
              </w:rPr>
              <w:t xml:space="preserve">Wartość bilansowa brutto / kwota nominalna ekspozycji obsługiwanych </w:t>
            </w:r>
          </w:p>
          <w:p w14:paraId="70B79014" w14:textId="4F25DB72" w:rsidR="004E71F4" w:rsidRPr="00835753" w:rsidRDefault="004E71F4" w:rsidP="00155C96">
            <w:pPr>
              <w:pStyle w:val="Fait"/>
              <w:spacing w:before="0" w:after="120"/>
            </w:pPr>
            <w:r w:rsidRPr="00835753">
              <w:t>Wartość bilansowa brutto zgodnie</w:t>
            </w:r>
            <w:r w:rsidR="00835753" w:rsidRPr="00835753">
              <w:t xml:space="preserve"> z</w:t>
            </w:r>
            <w:r w:rsidR="00835753">
              <w:t> </w:t>
            </w:r>
            <w:r w:rsidR="00835753" w:rsidRPr="00835753">
              <w:t>def</w:t>
            </w:r>
            <w:r w:rsidRPr="00835753">
              <w:t>inicją zawartą</w:t>
            </w:r>
            <w:r w:rsidR="00835753" w:rsidRPr="00835753">
              <w:t xml:space="preserve"> w</w:t>
            </w:r>
            <w:r w:rsidR="00835753">
              <w:t> </w:t>
            </w:r>
            <w:r w:rsidR="00835753" w:rsidRPr="00835753">
              <w:t>czę</w:t>
            </w:r>
            <w:r w:rsidRPr="00835753">
              <w:t>ści 1 pkt</w:t>
            </w:r>
            <w:r w:rsidR="00835753" w:rsidRPr="00835753">
              <w:t> </w:t>
            </w:r>
            <w:r w:rsidRPr="00835753">
              <w:t>34 załącznika V do rozporządzenia wykonawczego Komisji (UE) nr</w:t>
            </w:r>
            <w:r w:rsidR="00835753" w:rsidRPr="00835753">
              <w:t> </w:t>
            </w:r>
            <w:r w:rsidRPr="00835753">
              <w:t>680/2014; kwota nominalna zgodnie</w:t>
            </w:r>
            <w:r w:rsidR="00835753" w:rsidRPr="00835753">
              <w:t xml:space="preserve"> z</w:t>
            </w:r>
            <w:r w:rsidR="00835753">
              <w:t> </w:t>
            </w:r>
            <w:r w:rsidR="00835753" w:rsidRPr="00835753">
              <w:t>def</w:t>
            </w:r>
            <w:r w:rsidRPr="00835753">
              <w:t>inicją zawartą</w:t>
            </w:r>
            <w:r w:rsidR="00835753" w:rsidRPr="00835753">
              <w:t xml:space="preserve"> w</w:t>
            </w:r>
            <w:r w:rsidR="00835753">
              <w:t> </w:t>
            </w:r>
            <w:r w:rsidR="00835753" w:rsidRPr="00835753">
              <w:t>czę</w:t>
            </w:r>
            <w:r w:rsidRPr="00835753">
              <w:t>ści 2 pkt</w:t>
            </w:r>
            <w:r w:rsidR="00835753" w:rsidRPr="00835753">
              <w:t> </w:t>
            </w:r>
            <w:r w:rsidRPr="00835753">
              <w:t>118 załącznika V do rozporządzenia wykonawczego Komisji (UE) nr</w:t>
            </w:r>
            <w:r w:rsidR="00835753" w:rsidRPr="00835753">
              <w:t> </w:t>
            </w:r>
            <w:r w:rsidRPr="00835753">
              <w:t>680/2014.</w:t>
            </w:r>
          </w:p>
        </w:tc>
      </w:tr>
      <w:tr w:rsidR="004E71F4" w:rsidRPr="00835753" w14:paraId="341C51F7" w14:textId="77777777" w:rsidTr="00155C96">
        <w:trPr>
          <w:trHeight w:val="841"/>
        </w:trPr>
        <w:tc>
          <w:tcPr>
            <w:tcW w:w="1384" w:type="dxa"/>
          </w:tcPr>
          <w:p w14:paraId="450A8269" w14:textId="77777777" w:rsidR="004E71F4" w:rsidRPr="00835753" w:rsidRDefault="004E71F4" w:rsidP="00155C96">
            <w:pPr>
              <w:pStyle w:val="Applicationdirecte"/>
              <w:spacing w:before="0"/>
            </w:pPr>
            <w:proofErr w:type="gramStart"/>
            <w:r w:rsidRPr="00835753">
              <w:t>b</w:t>
            </w:r>
            <w:proofErr w:type="gramEnd"/>
            <w:r w:rsidRPr="00835753">
              <w:t>)</w:t>
            </w:r>
          </w:p>
        </w:tc>
        <w:tc>
          <w:tcPr>
            <w:tcW w:w="7655" w:type="dxa"/>
          </w:tcPr>
          <w:p w14:paraId="3F39CBB7" w14:textId="77777777" w:rsidR="004E71F4" w:rsidRPr="00835753" w:rsidRDefault="004E71F4" w:rsidP="00155C96">
            <w:pPr>
              <w:pStyle w:val="Fait"/>
              <w:spacing w:before="0" w:after="120"/>
              <w:ind w:left="720"/>
              <w:rPr>
                <w:rFonts w:eastAsiaTheme="minorEastAsia"/>
                <w:b/>
              </w:rPr>
            </w:pPr>
            <w:proofErr w:type="gramStart"/>
            <w:r w:rsidRPr="00835753">
              <w:rPr>
                <w:b/>
              </w:rPr>
              <w:t>w</w:t>
            </w:r>
            <w:proofErr w:type="gramEnd"/>
            <w:r w:rsidRPr="00835753">
              <w:rPr>
                <w:b/>
              </w:rPr>
              <w:t xml:space="preserve"> tym: nieprzeterminowane lub przeterminowane o ≤ 30 dni</w:t>
            </w:r>
          </w:p>
          <w:p w14:paraId="2748EF98" w14:textId="3BC1D0D3" w:rsidR="004E71F4" w:rsidRPr="00835753" w:rsidRDefault="004E71F4" w:rsidP="00155C96">
            <w:pPr>
              <w:pStyle w:val="Fait"/>
              <w:spacing w:before="0" w:after="120"/>
              <w:rPr>
                <w:rFonts w:eastAsiaTheme="minorEastAsia"/>
              </w:rPr>
            </w:pPr>
            <w:r w:rsidRPr="00835753">
              <w:t>Podkategoria ekspozycji obsługiwanych, które nie są przeterminowane lub są przeterminowane</w:t>
            </w:r>
            <w:r w:rsidR="00835753" w:rsidRPr="00835753">
              <w:t xml:space="preserve"> o</w:t>
            </w:r>
            <w:r w:rsidR="00835753">
              <w:t> </w:t>
            </w:r>
            <w:r w:rsidR="00835753" w:rsidRPr="00835753">
              <w:t>1</w:t>
            </w:r>
            <w:r w:rsidRPr="00835753">
              <w:t>–30 dni</w:t>
            </w:r>
          </w:p>
        </w:tc>
      </w:tr>
      <w:tr w:rsidR="004E71F4" w:rsidRPr="00835753" w14:paraId="045F8077" w14:textId="77777777" w:rsidTr="00155C96">
        <w:trPr>
          <w:trHeight w:val="841"/>
        </w:trPr>
        <w:tc>
          <w:tcPr>
            <w:tcW w:w="1384" w:type="dxa"/>
          </w:tcPr>
          <w:p w14:paraId="3D814FF7" w14:textId="77777777" w:rsidR="004E71F4" w:rsidRPr="00835753" w:rsidRDefault="004E71F4" w:rsidP="00155C96">
            <w:pPr>
              <w:pStyle w:val="Applicationdirecte"/>
              <w:spacing w:before="0"/>
            </w:pPr>
            <w:proofErr w:type="gramStart"/>
            <w:r w:rsidRPr="00835753">
              <w:t>c</w:t>
            </w:r>
            <w:proofErr w:type="gramEnd"/>
            <w:r w:rsidRPr="00835753">
              <w:t>)</w:t>
            </w:r>
          </w:p>
        </w:tc>
        <w:tc>
          <w:tcPr>
            <w:tcW w:w="7655" w:type="dxa"/>
          </w:tcPr>
          <w:p w14:paraId="24E58B67" w14:textId="77777777" w:rsidR="004E71F4" w:rsidRPr="00835753" w:rsidRDefault="004E71F4" w:rsidP="00155C96">
            <w:pPr>
              <w:pStyle w:val="Fait"/>
              <w:spacing w:before="0" w:after="120"/>
              <w:ind w:left="720"/>
              <w:rPr>
                <w:rFonts w:eastAsiaTheme="minorEastAsia"/>
                <w:b/>
              </w:rPr>
            </w:pPr>
            <w:proofErr w:type="gramStart"/>
            <w:r w:rsidRPr="00835753">
              <w:rPr>
                <w:b/>
              </w:rPr>
              <w:t>w</w:t>
            </w:r>
            <w:proofErr w:type="gramEnd"/>
            <w:r w:rsidRPr="00835753">
              <w:rPr>
                <w:b/>
              </w:rPr>
              <w:t xml:space="preserve"> tym: Przeterminowane o &gt; 30 dni ≤ 90 dni</w:t>
            </w:r>
          </w:p>
          <w:p w14:paraId="1521ABA3" w14:textId="2DD762AA" w:rsidR="004E71F4" w:rsidRPr="00835753" w:rsidRDefault="004E71F4" w:rsidP="00155C96">
            <w:pPr>
              <w:pStyle w:val="Fait"/>
              <w:spacing w:before="0" w:after="120"/>
            </w:pPr>
            <w:r w:rsidRPr="00835753">
              <w:t>Podkategoria ekspozycji obsługiwanych, które są przeterminowane</w:t>
            </w:r>
            <w:r w:rsidR="00835753" w:rsidRPr="00835753">
              <w:t xml:space="preserve"> o</w:t>
            </w:r>
            <w:r w:rsidR="00835753">
              <w:t> </w:t>
            </w:r>
            <w:r w:rsidR="00835753" w:rsidRPr="00835753">
              <w:t>3</w:t>
            </w:r>
            <w:r w:rsidRPr="00835753">
              <w:t>1–90 dni</w:t>
            </w:r>
          </w:p>
          <w:p w14:paraId="47C24F0D" w14:textId="3D3A4B12" w:rsidR="004E71F4" w:rsidRPr="00835753" w:rsidRDefault="004E71F4" w:rsidP="00155C96">
            <w:pPr>
              <w:pStyle w:val="Fait"/>
              <w:spacing w:before="0" w:after="120"/>
              <w:rPr>
                <w:rFonts w:eastAsiaTheme="minorEastAsia"/>
              </w:rPr>
            </w:pPr>
            <w:r w:rsidRPr="00835753">
              <w:t>Ponadto do tej podkategorii zalicza się ekspozycje przeterminowane</w:t>
            </w:r>
            <w:r w:rsidR="00835753" w:rsidRPr="00835753">
              <w:t xml:space="preserve"> o</w:t>
            </w:r>
            <w:r w:rsidR="00835753">
              <w:t> </w:t>
            </w:r>
            <w:r w:rsidR="00835753" w:rsidRPr="00835753">
              <w:t>pon</w:t>
            </w:r>
            <w:r w:rsidRPr="00835753">
              <w:t>ad 90 dni, które nie są istotne.</w:t>
            </w:r>
          </w:p>
        </w:tc>
      </w:tr>
      <w:tr w:rsidR="004E71F4" w:rsidRPr="00835753" w14:paraId="28287BB1" w14:textId="77777777" w:rsidTr="00155C96">
        <w:trPr>
          <w:trHeight w:val="841"/>
        </w:trPr>
        <w:tc>
          <w:tcPr>
            <w:tcW w:w="1384" w:type="dxa"/>
          </w:tcPr>
          <w:p w14:paraId="5ED0076E" w14:textId="77777777" w:rsidR="004E71F4" w:rsidRPr="00835753" w:rsidRDefault="004E71F4" w:rsidP="00155C96">
            <w:pPr>
              <w:pStyle w:val="Applicationdirecte"/>
              <w:spacing w:before="0"/>
            </w:pPr>
            <w:proofErr w:type="gramStart"/>
            <w:r w:rsidRPr="00835753">
              <w:lastRenderedPageBreak/>
              <w:t>d</w:t>
            </w:r>
            <w:proofErr w:type="gramEnd"/>
            <w:r w:rsidRPr="00835753">
              <w:t>)</w:t>
            </w:r>
          </w:p>
        </w:tc>
        <w:tc>
          <w:tcPr>
            <w:tcW w:w="7655" w:type="dxa"/>
          </w:tcPr>
          <w:p w14:paraId="6DB9FB9F" w14:textId="77777777" w:rsidR="004E71F4" w:rsidRPr="00835753" w:rsidRDefault="004E71F4" w:rsidP="00155C96">
            <w:pPr>
              <w:pStyle w:val="Fait"/>
              <w:spacing w:before="0" w:after="120"/>
              <w:rPr>
                <w:rFonts w:eastAsiaTheme="minorEastAsia"/>
                <w:b/>
              </w:rPr>
            </w:pPr>
            <w:r w:rsidRPr="00835753">
              <w:rPr>
                <w:b/>
              </w:rPr>
              <w:t>Wartość bilansowa brutto / kwota nominalna ekspozycji nieobsługiwanych</w:t>
            </w:r>
          </w:p>
          <w:p w14:paraId="12F6FBD9" w14:textId="12E9F59B" w:rsidR="004E71F4" w:rsidRPr="00835753" w:rsidRDefault="004E71F4" w:rsidP="00155C96">
            <w:pPr>
              <w:pStyle w:val="Fait"/>
              <w:spacing w:before="0" w:after="120"/>
              <w:rPr>
                <w:b/>
              </w:rPr>
            </w:pPr>
            <w:r w:rsidRPr="00835753">
              <w:t>Wartość bilansowa brutto zgodnie</w:t>
            </w:r>
            <w:r w:rsidR="00835753" w:rsidRPr="00835753">
              <w:t xml:space="preserve"> z</w:t>
            </w:r>
            <w:r w:rsidR="00835753">
              <w:t> </w:t>
            </w:r>
            <w:r w:rsidR="00835753" w:rsidRPr="00835753">
              <w:t>def</w:t>
            </w:r>
            <w:r w:rsidRPr="00835753">
              <w:t>inicją zawartą</w:t>
            </w:r>
            <w:r w:rsidR="00835753" w:rsidRPr="00835753">
              <w:t xml:space="preserve"> w</w:t>
            </w:r>
            <w:r w:rsidR="00835753">
              <w:t> </w:t>
            </w:r>
            <w:r w:rsidR="00835753" w:rsidRPr="00835753">
              <w:t>czę</w:t>
            </w:r>
            <w:r w:rsidRPr="00835753">
              <w:t>ści 1 pkt</w:t>
            </w:r>
            <w:r w:rsidR="00835753" w:rsidRPr="00835753">
              <w:t> </w:t>
            </w:r>
            <w:r w:rsidRPr="00835753">
              <w:t>34 załącznika V do rozporządzenia wykonawczego Komisji (UE) nr</w:t>
            </w:r>
            <w:r w:rsidR="00835753" w:rsidRPr="00835753">
              <w:t> </w:t>
            </w:r>
            <w:r w:rsidRPr="00835753">
              <w:t>680/2014; kwota</w:t>
            </w:r>
            <w:r w:rsidRPr="00835753">
              <w:rPr>
                <w:i/>
              </w:rPr>
              <w:t xml:space="preserve"> nominalna zgodnie</w:t>
            </w:r>
            <w:r w:rsidR="00835753" w:rsidRPr="00835753">
              <w:rPr>
                <w:i/>
              </w:rPr>
              <w:t xml:space="preserve"> z</w:t>
            </w:r>
            <w:r w:rsidR="00835753">
              <w:rPr>
                <w:i/>
              </w:rPr>
              <w:t> </w:t>
            </w:r>
            <w:r w:rsidR="00835753" w:rsidRPr="00835753">
              <w:rPr>
                <w:i/>
              </w:rPr>
              <w:t>def</w:t>
            </w:r>
            <w:r w:rsidRPr="00835753">
              <w:rPr>
                <w:i/>
              </w:rPr>
              <w:t>inicją zawartą</w:t>
            </w:r>
            <w:r w:rsidR="00835753" w:rsidRPr="00835753">
              <w:rPr>
                <w:i/>
              </w:rPr>
              <w:t xml:space="preserve"> w</w:t>
            </w:r>
            <w:r w:rsidR="00835753">
              <w:rPr>
                <w:i/>
              </w:rPr>
              <w:t> </w:t>
            </w:r>
            <w:r w:rsidR="00835753" w:rsidRPr="00835753">
              <w:rPr>
                <w:i/>
              </w:rPr>
              <w:t>czę</w:t>
            </w:r>
            <w:r w:rsidRPr="00835753">
              <w:rPr>
                <w:i/>
              </w:rPr>
              <w:t>ści 2 pkt</w:t>
            </w:r>
            <w:r w:rsidR="00835753" w:rsidRPr="00835753">
              <w:rPr>
                <w:i/>
              </w:rPr>
              <w:t> </w:t>
            </w:r>
            <w:r w:rsidRPr="00835753">
              <w:rPr>
                <w:i/>
              </w:rPr>
              <w:t>118 załącznika V do rozporządzenia wykonawczego Komisji (UE) nr</w:t>
            </w:r>
            <w:r w:rsidR="00835753" w:rsidRPr="00835753">
              <w:rPr>
                <w:i/>
              </w:rPr>
              <w:t> </w:t>
            </w:r>
            <w:r w:rsidRPr="00835753">
              <w:rPr>
                <w:i/>
              </w:rPr>
              <w:t>680/2014</w:t>
            </w:r>
            <w:r w:rsidRPr="00835753">
              <w:t>. ekspozycje nieobsługiwane określone</w:t>
            </w:r>
            <w:r w:rsidR="00835753" w:rsidRPr="00835753">
              <w:t xml:space="preserve"> w</w:t>
            </w:r>
            <w:r w:rsidR="00835753">
              <w:t> </w:t>
            </w:r>
            <w:r w:rsidR="00835753" w:rsidRPr="00835753">
              <w:t>art</w:t>
            </w:r>
            <w:r w:rsidRPr="00835753">
              <w:t>.</w:t>
            </w:r>
            <w:r w:rsidR="00835753" w:rsidRPr="00835753">
              <w:t> </w:t>
            </w:r>
            <w:r w:rsidRPr="00835753">
              <w:t>47a CRR.</w:t>
            </w:r>
          </w:p>
        </w:tc>
      </w:tr>
      <w:tr w:rsidR="004E71F4" w:rsidRPr="00835753" w14:paraId="2F264390" w14:textId="77777777" w:rsidTr="00155C96">
        <w:trPr>
          <w:trHeight w:val="316"/>
        </w:trPr>
        <w:tc>
          <w:tcPr>
            <w:tcW w:w="1384" w:type="dxa"/>
          </w:tcPr>
          <w:p w14:paraId="341DF032" w14:textId="77777777" w:rsidR="004E71F4" w:rsidRPr="00835753" w:rsidRDefault="004E71F4" w:rsidP="00155C96">
            <w:pPr>
              <w:pStyle w:val="Applicationdirecte"/>
              <w:spacing w:before="0"/>
            </w:pPr>
            <w:proofErr w:type="gramStart"/>
            <w:r w:rsidRPr="00835753">
              <w:t>e</w:t>
            </w:r>
            <w:proofErr w:type="gramEnd"/>
            <w:r w:rsidRPr="00835753">
              <w:t>)</w:t>
            </w:r>
          </w:p>
        </w:tc>
        <w:tc>
          <w:tcPr>
            <w:tcW w:w="7655" w:type="dxa"/>
          </w:tcPr>
          <w:p w14:paraId="7B947F29" w14:textId="77777777" w:rsidR="004E71F4" w:rsidRPr="00835753" w:rsidRDefault="004E71F4" w:rsidP="00155C96">
            <w:pPr>
              <w:autoSpaceDE w:val="0"/>
              <w:autoSpaceDN w:val="0"/>
              <w:adjustRightInd w:val="0"/>
              <w:spacing w:after="120"/>
              <w:ind w:left="720"/>
              <w:jc w:val="both"/>
              <w:rPr>
                <w:rFonts w:ascii="Times New Roman" w:hAnsi="Times New Roman" w:cs="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Z małym prawdopodobieństwem spłaty, które nie są przeterminowane lub są przeterminowane o ≤ 90 dni</w:t>
            </w:r>
          </w:p>
          <w:p w14:paraId="0ADF2F4D" w14:textId="5CFE231E" w:rsidR="004E71F4" w:rsidRPr="00835753" w:rsidRDefault="004E71F4"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Podkategoria ekspozycji, które nie są przeterminowane albo są przeterminowane do</w:t>
            </w:r>
            <w:r w:rsidR="00835753" w:rsidRPr="00835753">
              <w:rPr>
                <w:rFonts w:ascii="Times New Roman" w:hAnsi="Times New Roman"/>
                <w:sz w:val="24"/>
              </w:rPr>
              <w:t> </w:t>
            </w:r>
            <w:r w:rsidRPr="00835753">
              <w:rPr>
                <w:rFonts w:ascii="Times New Roman" w:hAnsi="Times New Roman"/>
                <w:sz w:val="24"/>
              </w:rPr>
              <w:t>90 dni, ale mimo to uznano je za nieobsługiwane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47a CRR</w:t>
            </w:r>
          </w:p>
        </w:tc>
      </w:tr>
      <w:tr w:rsidR="004E71F4" w:rsidRPr="00835753" w14:paraId="24C98E1F" w14:textId="77777777" w:rsidTr="00155C96">
        <w:trPr>
          <w:trHeight w:val="316"/>
        </w:trPr>
        <w:tc>
          <w:tcPr>
            <w:tcW w:w="1384" w:type="dxa"/>
          </w:tcPr>
          <w:p w14:paraId="69FAB3B1"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f</w:t>
            </w:r>
            <w:proofErr w:type="gramEnd"/>
            <w:r w:rsidRPr="00835753">
              <w:rPr>
                <w:rFonts w:ascii="Times New Roman" w:hAnsi="Times New Roman"/>
                <w:sz w:val="24"/>
              </w:rPr>
              <w:t>)</w:t>
            </w:r>
          </w:p>
        </w:tc>
        <w:tc>
          <w:tcPr>
            <w:tcW w:w="7655" w:type="dxa"/>
          </w:tcPr>
          <w:p w14:paraId="51CC78F9" w14:textId="77777777" w:rsidR="004E71F4" w:rsidRPr="00835753" w:rsidRDefault="004E71F4" w:rsidP="00155C96">
            <w:pPr>
              <w:autoSpaceDE w:val="0"/>
              <w:autoSpaceDN w:val="0"/>
              <w:adjustRightInd w:val="0"/>
              <w:spacing w:after="120"/>
              <w:ind w:left="720"/>
              <w:jc w:val="both"/>
              <w:rPr>
                <w:rFonts w:ascii="Times New Roman" w:hAnsi="Times New Roman" w:cs="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Przeterminowane o &gt; 90 dni ≤ 180 dni</w:t>
            </w:r>
          </w:p>
          <w:p w14:paraId="2C49C2F9" w14:textId="4601956B"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Podkategoria ekspozycji nieobsługiwanych, które są przeterminowane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ad 90 dni, ale nie więcej niż 180 dni</w:t>
            </w:r>
          </w:p>
        </w:tc>
      </w:tr>
      <w:tr w:rsidR="004E71F4" w:rsidRPr="00835753" w14:paraId="6F94FF85" w14:textId="77777777" w:rsidTr="00155C96">
        <w:trPr>
          <w:trHeight w:val="316"/>
        </w:trPr>
        <w:tc>
          <w:tcPr>
            <w:tcW w:w="1384" w:type="dxa"/>
          </w:tcPr>
          <w:p w14:paraId="635DEF8F"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g</w:t>
            </w:r>
            <w:proofErr w:type="gramEnd"/>
            <w:r w:rsidRPr="00835753">
              <w:rPr>
                <w:rFonts w:ascii="Times New Roman" w:hAnsi="Times New Roman"/>
                <w:sz w:val="24"/>
              </w:rPr>
              <w:t>)</w:t>
            </w:r>
          </w:p>
        </w:tc>
        <w:tc>
          <w:tcPr>
            <w:tcW w:w="7655" w:type="dxa"/>
          </w:tcPr>
          <w:p w14:paraId="25BC38E9" w14:textId="77777777" w:rsidR="004E71F4" w:rsidRPr="00835753" w:rsidRDefault="004E71F4" w:rsidP="00155C96">
            <w:pPr>
              <w:autoSpaceDE w:val="0"/>
              <w:autoSpaceDN w:val="0"/>
              <w:adjustRightInd w:val="0"/>
              <w:spacing w:after="120"/>
              <w:ind w:left="720"/>
              <w:jc w:val="both"/>
              <w:rPr>
                <w:rFonts w:ascii="Times New Roman" w:hAnsi="Times New Roman" w:cs="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Przeterminowane o &gt; 180 dni ≤ 1 rok</w:t>
            </w:r>
          </w:p>
          <w:p w14:paraId="40E01511" w14:textId="205C0CBB" w:rsidR="004E71F4" w:rsidRPr="00835753" w:rsidRDefault="004E71F4"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Podkategoria ekspozycji nieobsługiwanych, które są przeterminowane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ad 180 dni, ale nie więcej niż 1 rok</w:t>
            </w:r>
          </w:p>
        </w:tc>
      </w:tr>
      <w:tr w:rsidR="004E71F4" w:rsidRPr="00835753" w14:paraId="370A57D9" w14:textId="77777777" w:rsidTr="00155C96">
        <w:trPr>
          <w:trHeight w:val="695"/>
        </w:trPr>
        <w:tc>
          <w:tcPr>
            <w:tcW w:w="1384" w:type="dxa"/>
          </w:tcPr>
          <w:p w14:paraId="421B830F"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h</w:t>
            </w:r>
            <w:proofErr w:type="gramEnd"/>
            <w:r w:rsidRPr="00835753">
              <w:rPr>
                <w:rFonts w:ascii="Times New Roman" w:hAnsi="Times New Roman"/>
                <w:sz w:val="24"/>
              </w:rPr>
              <w:t>)</w:t>
            </w:r>
          </w:p>
        </w:tc>
        <w:tc>
          <w:tcPr>
            <w:tcW w:w="7655" w:type="dxa"/>
          </w:tcPr>
          <w:p w14:paraId="347FA619" w14:textId="77777777" w:rsidR="004E71F4" w:rsidRPr="00835753" w:rsidRDefault="004E71F4" w:rsidP="00155C96">
            <w:pPr>
              <w:autoSpaceDE w:val="0"/>
              <w:autoSpaceDN w:val="0"/>
              <w:adjustRightInd w:val="0"/>
              <w:spacing w:after="120"/>
              <w:ind w:left="720"/>
              <w:rPr>
                <w:rFonts w:ascii="Times New Roman" w:hAnsi="Times New Roman" w:cs="Times New Roman"/>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Przeterminowane o &gt; 1 rok ≤ 2 lata</w:t>
            </w:r>
            <w:r w:rsidRPr="00835753">
              <w:rPr>
                <w:rFonts w:ascii="Times New Roman" w:hAnsi="Times New Roman"/>
                <w:sz w:val="24"/>
              </w:rPr>
              <w:t xml:space="preserve"> </w:t>
            </w:r>
          </w:p>
          <w:p w14:paraId="2013EA25" w14:textId="2CAE8ABD"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sz w:val="24"/>
              </w:rPr>
              <w:t>Podkategoria ekspozycji nieobsługiwanych, które są przeterminowane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ad 1 rok, ale nie więcej niż 2 lata</w:t>
            </w:r>
          </w:p>
        </w:tc>
      </w:tr>
      <w:tr w:rsidR="004E71F4" w:rsidRPr="00835753" w14:paraId="36F34A9E" w14:textId="77777777" w:rsidTr="00155C96">
        <w:trPr>
          <w:trHeight w:val="695"/>
        </w:trPr>
        <w:tc>
          <w:tcPr>
            <w:tcW w:w="1384" w:type="dxa"/>
          </w:tcPr>
          <w:p w14:paraId="22D8E179"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i</w:t>
            </w:r>
            <w:proofErr w:type="gramEnd"/>
            <w:r w:rsidRPr="00835753">
              <w:rPr>
                <w:rFonts w:ascii="Times New Roman" w:hAnsi="Times New Roman"/>
                <w:sz w:val="24"/>
              </w:rPr>
              <w:t>)</w:t>
            </w:r>
          </w:p>
        </w:tc>
        <w:tc>
          <w:tcPr>
            <w:tcW w:w="7655" w:type="dxa"/>
          </w:tcPr>
          <w:p w14:paraId="754E96ED" w14:textId="77777777" w:rsidR="004E71F4" w:rsidRPr="00835753" w:rsidRDefault="004E71F4" w:rsidP="00155C96">
            <w:pPr>
              <w:autoSpaceDE w:val="0"/>
              <w:autoSpaceDN w:val="0"/>
              <w:adjustRightInd w:val="0"/>
              <w:spacing w:after="120"/>
              <w:ind w:left="720"/>
              <w:rPr>
                <w:rFonts w:ascii="Times New Roman" w:hAnsi="Times New Roman" w:cs="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Przeterminowane o &gt; 2 lata ≤ 5 lat</w:t>
            </w:r>
          </w:p>
          <w:p w14:paraId="6300F63C" w14:textId="66FB4674"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sz w:val="24"/>
              </w:rPr>
              <w:t>Podkategoria ekspozycji nieobsługiwanych, które są przeterminowane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ad 2 lata, ale nie więcej niż 5 lat</w:t>
            </w:r>
          </w:p>
        </w:tc>
      </w:tr>
      <w:tr w:rsidR="004E71F4" w:rsidRPr="00835753" w14:paraId="65433D17" w14:textId="77777777" w:rsidTr="00155C96">
        <w:trPr>
          <w:trHeight w:val="695"/>
        </w:trPr>
        <w:tc>
          <w:tcPr>
            <w:tcW w:w="1384" w:type="dxa"/>
          </w:tcPr>
          <w:p w14:paraId="2E825BAD"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j</w:t>
            </w:r>
            <w:proofErr w:type="gramEnd"/>
            <w:r w:rsidRPr="00835753">
              <w:rPr>
                <w:rFonts w:ascii="Times New Roman" w:hAnsi="Times New Roman"/>
                <w:sz w:val="24"/>
              </w:rPr>
              <w:t>)</w:t>
            </w:r>
          </w:p>
        </w:tc>
        <w:tc>
          <w:tcPr>
            <w:tcW w:w="7655" w:type="dxa"/>
          </w:tcPr>
          <w:p w14:paraId="5A03D23D" w14:textId="77777777" w:rsidR="004E71F4" w:rsidRPr="00835753" w:rsidRDefault="004E71F4" w:rsidP="00155C96">
            <w:pPr>
              <w:autoSpaceDE w:val="0"/>
              <w:autoSpaceDN w:val="0"/>
              <w:adjustRightInd w:val="0"/>
              <w:spacing w:after="120"/>
              <w:ind w:left="720"/>
              <w:rPr>
                <w:rFonts w:ascii="Times New Roman" w:hAnsi="Times New Roman" w:cs="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Przeterminowane o &gt; 5 lata ≤ 7 lat</w:t>
            </w:r>
          </w:p>
          <w:p w14:paraId="5FA5588F" w14:textId="4ABD5F39"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sz w:val="24"/>
              </w:rPr>
              <w:t>Podkategoria ekspozycji nieobsługiwanych, które są przeterminowane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ad 5 lat, ale nie więcej niż 7 lat</w:t>
            </w:r>
          </w:p>
        </w:tc>
      </w:tr>
      <w:tr w:rsidR="004E71F4" w:rsidRPr="00835753" w14:paraId="3A875F54" w14:textId="77777777" w:rsidTr="00155C96">
        <w:trPr>
          <w:trHeight w:val="695"/>
        </w:trPr>
        <w:tc>
          <w:tcPr>
            <w:tcW w:w="1384" w:type="dxa"/>
          </w:tcPr>
          <w:p w14:paraId="5F8B7EB5"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k</w:t>
            </w:r>
            <w:proofErr w:type="gramEnd"/>
            <w:r w:rsidRPr="00835753">
              <w:rPr>
                <w:rFonts w:ascii="Times New Roman" w:hAnsi="Times New Roman"/>
                <w:sz w:val="24"/>
              </w:rPr>
              <w:t>)</w:t>
            </w:r>
          </w:p>
        </w:tc>
        <w:tc>
          <w:tcPr>
            <w:tcW w:w="7655" w:type="dxa"/>
          </w:tcPr>
          <w:p w14:paraId="0588E06A" w14:textId="77777777" w:rsidR="004E71F4" w:rsidRPr="00835753" w:rsidRDefault="004E71F4" w:rsidP="00155C96">
            <w:pPr>
              <w:autoSpaceDE w:val="0"/>
              <w:autoSpaceDN w:val="0"/>
              <w:adjustRightInd w:val="0"/>
              <w:spacing w:after="120"/>
              <w:ind w:left="720"/>
              <w:rPr>
                <w:rFonts w:ascii="Times New Roman" w:hAnsi="Times New Roman" w:cs="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Przeterminowane o &gt; 7 lat</w:t>
            </w:r>
          </w:p>
          <w:p w14:paraId="6F16033E" w14:textId="12925D3D"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sz w:val="24"/>
              </w:rPr>
              <w:t>Podkategoria ekspozycji nieobsługiwanych, które są przeterminowane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ad 7 lat</w:t>
            </w:r>
          </w:p>
        </w:tc>
      </w:tr>
      <w:tr w:rsidR="004E71F4" w:rsidRPr="00835753" w14:paraId="14A411B1" w14:textId="77777777" w:rsidTr="00155C96">
        <w:trPr>
          <w:trHeight w:val="695"/>
        </w:trPr>
        <w:tc>
          <w:tcPr>
            <w:tcW w:w="1384" w:type="dxa"/>
          </w:tcPr>
          <w:p w14:paraId="7660F274"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l</w:t>
            </w:r>
            <w:proofErr w:type="gramEnd"/>
            <w:r w:rsidRPr="00835753">
              <w:rPr>
                <w:rFonts w:ascii="Times New Roman" w:hAnsi="Times New Roman"/>
                <w:sz w:val="24"/>
              </w:rPr>
              <w:t>)</w:t>
            </w:r>
          </w:p>
        </w:tc>
        <w:tc>
          <w:tcPr>
            <w:tcW w:w="7655" w:type="dxa"/>
          </w:tcPr>
          <w:p w14:paraId="00423D49" w14:textId="77777777" w:rsidR="004E71F4" w:rsidRPr="00835753" w:rsidRDefault="004E71F4" w:rsidP="00155C96">
            <w:pPr>
              <w:autoSpaceDE w:val="0"/>
              <w:autoSpaceDN w:val="0"/>
              <w:adjustRightInd w:val="0"/>
              <w:spacing w:after="120"/>
              <w:ind w:left="720"/>
              <w:rPr>
                <w:rFonts w:ascii="Times New Roman" w:hAnsi="Times New Roman" w:cs="Times New Roman"/>
                <w:b/>
                <w:sz w:val="24"/>
              </w:rPr>
            </w:pPr>
            <w:r w:rsidRPr="00835753">
              <w:rPr>
                <w:rFonts w:ascii="Times New Roman" w:hAnsi="Times New Roman"/>
                <w:b/>
                <w:sz w:val="24"/>
              </w:rPr>
              <w:t>W tym ekspozycje, których dotyczy niewykonanie zobowiązania</w:t>
            </w:r>
          </w:p>
          <w:p w14:paraId="0835D7CA" w14:textId="738D19C1" w:rsidR="004E71F4" w:rsidRPr="00835753" w:rsidRDefault="004E71F4" w:rsidP="00155C96">
            <w:pPr>
              <w:autoSpaceDE w:val="0"/>
              <w:autoSpaceDN w:val="0"/>
              <w:adjustRightInd w:val="0"/>
              <w:spacing w:after="120"/>
              <w:rPr>
                <w:rFonts w:ascii="Times New Roman" w:hAnsi="Times New Roman" w:cs="Times New Roman"/>
                <w:sz w:val="24"/>
              </w:rPr>
            </w:pPr>
            <w:r w:rsidRPr="00835753">
              <w:rPr>
                <w:rFonts w:ascii="Times New Roman" w:hAnsi="Times New Roman"/>
                <w:sz w:val="24"/>
              </w:rPr>
              <w:t>Ekspozycje, których dotyczy niewykonanie zobowiązania,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178 CRR</w:t>
            </w:r>
          </w:p>
        </w:tc>
      </w:tr>
    </w:tbl>
    <w:p w14:paraId="754762B8" w14:textId="77777777" w:rsidR="004E71F4" w:rsidRPr="00835753" w:rsidRDefault="004E71F4" w:rsidP="004E71F4">
      <w:pPr>
        <w:autoSpaceDE w:val="0"/>
        <w:autoSpaceDN w:val="0"/>
        <w:adjustRightInd w:val="0"/>
        <w:spacing w:after="120"/>
        <w:rPr>
          <w:rFonts w:ascii="Times New Roman" w:hAnsi="Times New Roman" w:cs="Times New Roman"/>
          <w:sz w:val="24"/>
        </w:rPr>
      </w:pPr>
    </w:p>
    <w:p w14:paraId="4EA31CF9" w14:textId="188E6930" w:rsidR="004E71F4" w:rsidRPr="00835753" w:rsidRDefault="00CD362D" w:rsidP="004E71F4">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Wzór EU CQ4: Jakość ekspozycji nieobsługiwanych</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pod</w:t>
      </w:r>
      <w:r w:rsidRPr="00835753">
        <w:rPr>
          <w:rFonts w:ascii="Times New Roman" w:hAnsi="Times New Roman"/>
          <w:b/>
          <w:sz w:val="24"/>
        </w:rPr>
        <w:t>ziale geograficznym </w:t>
      </w:r>
    </w:p>
    <w:p w14:paraId="629B62E2" w14:textId="03AF7E48" w:rsidR="004E71F4" w:rsidRPr="00835753" w:rsidRDefault="004E71F4" w:rsidP="004E71F4">
      <w:pPr>
        <w:pStyle w:val="ListParagraph"/>
        <w:numPr>
          <w:ilvl w:val="0"/>
          <w:numId w:val="48"/>
        </w:numPr>
        <w:spacing w:after="120"/>
        <w:jc w:val="both"/>
        <w:rPr>
          <w:rFonts w:ascii="Times New Roman" w:hAnsi="Times New Roman"/>
          <w:bCs/>
          <w:sz w:val="24"/>
        </w:rPr>
      </w:pPr>
      <w:r w:rsidRPr="00835753">
        <w:rPr>
          <w:rFonts w:ascii="Times New Roman" w:hAnsi="Times New Roman"/>
          <w:bCs/>
          <w:sz w:val="24"/>
        </w:rPr>
        <w:t>W przypadku gdy zagraniczne pierwotne ekspozycje we wszystkich państwach „zewnętrznych” we wszystkich kategoriach ekspozycji są równe lub wyższe niż 10</w:t>
      </w:r>
      <w:r w:rsidR="00835753" w:rsidRPr="00835753">
        <w:rPr>
          <w:rFonts w:ascii="Times New Roman" w:hAnsi="Times New Roman"/>
          <w:bCs/>
          <w:sz w:val="24"/>
        </w:rPr>
        <w:t> </w:t>
      </w:r>
      <w:r w:rsidRPr="00835753">
        <w:rPr>
          <w:rFonts w:ascii="Times New Roman" w:hAnsi="Times New Roman"/>
          <w:bCs/>
          <w:sz w:val="24"/>
        </w:rPr>
        <w:t>% łącznych ekspozycji pierwotnych (krajowych</w:t>
      </w:r>
      <w:r w:rsidR="00835753" w:rsidRPr="00835753">
        <w:rPr>
          <w:rFonts w:ascii="Times New Roman" w:hAnsi="Times New Roman"/>
          <w:bCs/>
          <w:sz w:val="24"/>
        </w:rPr>
        <w:t xml:space="preserve"> i</w:t>
      </w:r>
      <w:r w:rsidR="00835753">
        <w:rPr>
          <w:rFonts w:ascii="Times New Roman" w:hAnsi="Times New Roman"/>
          <w:bCs/>
          <w:sz w:val="24"/>
        </w:rPr>
        <w:t> </w:t>
      </w:r>
      <w:r w:rsidR="00835753" w:rsidRPr="00835753">
        <w:rPr>
          <w:rFonts w:ascii="Times New Roman" w:hAnsi="Times New Roman"/>
          <w:bCs/>
          <w:sz w:val="24"/>
        </w:rPr>
        <w:t>zag</w:t>
      </w:r>
      <w:r w:rsidRPr="00835753">
        <w:rPr>
          <w:rFonts w:ascii="Times New Roman" w:hAnsi="Times New Roman"/>
          <w:bCs/>
          <w:sz w:val="24"/>
        </w:rPr>
        <w:t>ranicznych),</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cel</w:t>
      </w:r>
      <w:r w:rsidRPr="00835753">
        <w:rPr>
          <w:rFonts w:ascii="Times New Roman" w:hAnsi="Times New Roman"/>
          <w:bCs/>
          <w:sz w:val="24"/>
        </w:rPr>
        <w:t>u wypełnienia wzoru EU CQ4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 xml:space="preserve">ączniku XV do niniejszego </w:t>
      </w:r>
      <w:r w:rsidRPr="00835753">
        <w:rPr>
          <w:rFonts w:ascii="Times New Roman" w:hAnsi="Times New Roman"/>
          <w:bCs/>
          <w:sz w:val="24"/>
        </w:rPr>
        <w:lastRenderedPageBreak/>
        <w:t xml:space="preserve">rozporządzenia wykonawczego instytucje </w:t>
      </w:r>
      <w:r w:rsidRPr="00835753">
        <w:rPr>
          <w:rFonts w:ascii="Times New Roman" w:hAnsi="Times New Roman"/>
          <w:sz w:val="24"/>
        </w:rPr>
        <w:t>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442 lit.</w:t>
      </w:r>
      <w:r w:rsidR="00835753" w:rsidRPr="00835753">
        <w:rPr>
          <w:rFonts w:ascii="Times New Roman" w:hAnsi="Times New Roman"/>
          <w:bCs/>
          <w:sz w:val="24"/>
        </w:rPr>
        <w:t> </w:t>
      </w:r>
      <w:r w:rsidRPr="00835753">
        <w:rPr>
          <w:rFonts w:ascii="Times New Roman" w:hAnsi="Times New Roman"/>
          <w:bCs/>
          <w:sz w:val="24"/>
        </w:rPr>
        <w:t xml:space="preserve">c) i e) </w:t>
      </w:r>
      <w:r w:rsidRPr="00835753">
        <w:rPr>
          <w:rFonts w:ascii="Times New Roman" w:hAnsi="Times New Roman"/>
          <w:color w:val="000000"/>
          <w:sz w:val="24"/>
        </w:rPr>
        <w:t>CRR</w:t>
      </w:r>
      <w:r w:rsidRPr="00835753">
        <w:rPr>
          <w:rFonts w:ascii="Times New Roman" w:hAnsi="Times New Roman"/>
          <w:bCs/>
          <w:sz w:val="24"/>
        </w:rPr>
        <w:t>,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p>
    <w:p w14:paraId="7E2D5D8D" w14:textId="77777777" w:rsidR="004E71F4" w:rsidRPr="00835753"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69507C77" w:rsidR="004E71F4" w:rsidRPr="00835753" w:rsidRDefault="004E71F4"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31829FD2" w14:textId="77777777" w:rsidTr="00155C96">
        <w:trPr>
          <w:trHeight w:val="238"/>
        </w:trPr>
        <w:tc>
          <w:tcPr>
            <w:tcW w:w="1384" w:type="dxa"/>
            <w:shd w:val="clear" w:color="auto" w:fill="D9D9D9" w:themeFill="background1" w:themeFillShade="D9"/>
          </w:tcPr>
          <w:p w14:paraId="09EE8C9C"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1F94FB8A"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4E71F4" w:rsidRPr="00835753" w14:paraId="5725EA0A" w14:textId="77777777" w:rsidTr="00155C96">
        <w:trPr>
          <w:trHeight w:val="971"/>
        </w:trPr>
        <w:tc>
          <w:tcPr>
            <w:tcW w:w="1384" w:type="dxa"/>
          </w:tcPr>
          <w:p w14:paraId="7B3A0816" w14:textId="77777777" w:rsidR="004E71F4" w:rsidRPr="00835753" w:rsidRDefault="004E71F4" w:rsidP="00155C96">
            <w:pPr>
              <w:pStyle w:val="Applicationdirecte"/>
              <w:spacing w:before="0"/>
            </w:pPr>
            <w:r w:rsidRPr="00835753">
              <w:t>010</w:t>
            </w:r>
          </w:p>
        </w:tc>
        <w:tc>
          <w:tcPr>
            <w:tcW w:w="7655" w:type="dxa"/>
          </w:tcPr>
          <w:p w14:paraId="7C553B29" w14:textId="77777777" w:rsidR="004E71F4" w:rsidRPr="00835753" w:rsidRDefault="004E71F4" w:rsidP="00155C96">
            <w:pPr>
              <w:pStyle w:val="Applicationdirecte"/>
              <w:spacing w:before="0"/>
              <w:rPr>
                <w:b/>
              </w:rPr>
            </w:pPr>
            <w:r w:rsidRPr="00835753">
              <w:rPr>
                <w:b/>
              </w:rPr>
              <w:t>Ekspozycje bilansowe</w:t>
            </w:r>
          </w:p>
          <w:p w14:paraId="6CCB87CE" w14:textId="77777777" w:rsidR="004E71F4" w:rsidRPr="00835753" w:rsidRDefault="004E71F4" w:rsidP="00155C96">
            <w:pPr>
              <w:pStyle w:val="Fait"/>
              <w:spacing w:before="0" w:after="120"/>
            </w:pPr>
            <w:r w:rsidRPr="00835753">
              <w:t>Całkowite ekspozycje bilansowe</w:t>
            </w:r>
          </w:p>
        </w:tc>
      </w:tr>
      <w:tr w:rsidR="004E71F4" w:rsidRPr="00835753" w14:paraId="54474621" w14:textId="77777777" w:rsidTr="00155C96">
        <w:trPr>
          <w:trHeight w:val="3491"/>
        </w:trPr>
        <w:tc>
          <w:tcPr>
            <w:tcW w:w="1384" w:type="dxa"/>
          </w:tcPr>
          <w:p w14:paraId="64905361" w14:textId="437ECAC4" w:rsidR="004E71F4" w:rsidRPr="00835753" w:rsidRDefault="004E71F4" w:rsidP="00155C96">
            <w:pPr>
              <w:pStyle w:val="Applicationdirecte"/>
              <w:spacing w:before="0"/>
            </w:pPr>
            <w:r w:rsidRPr="00835753">
              <w:t>020–070</w:t>
            </w:r>
            <w:r w:rsidR="00835753" w:rsidRPr="00835753">
              <w:t xml:space="preserve"> i</w:t>
            </w:r>
            <w:r w:rsidR="00835753">
              <w:t> </w:t>
            </w:r>
            <w:r w:rsidR="00835753" w:rsidRPr="00835753">
              <w:t>0</w:t>
            </w:r>
            <w:r w:rsidRPr="00835753">
              <w:t>90–140</w:t>
            </w:r>
          </w:p>
        </w:tc>
        <w:tc>
          <w:tcPr>
            <w:tcW w:w="7655" w:type="dxa"/>
          </w:tcPr>
          <w:p w14:paraId="0FDB9099" w14:textId="77777777" w:rsidR="004E71F4" w:rsidRPr="00835753" w:rsidRDefault="004E71F4" w:rsidP="00155C96">
            <w:pPr>
              <w:pStyle w:val="Applicationdirecte"/>
              <w:spacing w:before="0"/>
              <w:rPr>
                <w:b/>
              </w:rPr>
            </w:pPr>
            <w:r w:rsidRPr="00835753">
              <w:rPr>
                <w:b/>
              </w:rPr>
              <w:t>Państwo</w:t>
            </w:r>
          </w:p>
          <w:p w14:paraId="754707AF" w14:textId="5723976D" w:rsidR="004E71F4" w:rsidRPr="00835753" w:rsidRDefault="004E71F4" w:rsidP="00155C96">
            <w:pPr>
              <w:pStyle w:val="Fait"/>
              <w:spacing w:before="0" w:after="120"/>
            </w:pPr>
            <w:r w:rsidRPr="00835753">
              <w:t>Państwo,</w:t>
            </w:r>
            <w:r w:rsidR="00835753" w:rsidRPr="00835753">
              <w:t xml:space="preserve"> w</w:t>
            </w:r>
            <w:r w:rsidR="00835753">
              <w:t> </w:t>
            </w:r>
            <w:r w:rsidR="00835753" w:rsidRPr="00835753">
              <w:t>któ</w:t>
            </w:r>
            <w:r w:rsidRPr="00835753">
              <w:t>rym ekspozycje instytucji są istotne zgodnie</w:t>
            </w:r>
            <w:r w:rsidR="00835753" w:rsidRPr="00835753">
              <w:t xml:space="preserve"> z</w:t>
            </w:r>
            <w:r w:rsidR="00835753">
              <w:t> </w:t>
            </w:r>
            <w:r w:rsidR="00835753" w:rsidRPr="00835753">
              <w:t>art</w:t>
            </w:r>
            <w:r w:rsidRPr="00835753">
              <w:t>.</w:t>
            </w:r>
            <w:r w:rsidR="00835753" w:rsidRPr="00835753">
              <w:t> </w:t>
            </w:r>
            <w:r w:rsidRPr="00835753">
              <w:t>432 CRR.</w:t>
            </w:r>
          </w:p>
          <w:p w14:paraId="40FEB711" w14:textId="213E2437" w:rsidR="004E71F4" w:rsidRPr="00835753" w:rsidRDefault="004E71F4"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 przypadku gdy istotność państw ustala się przy użyciu progu istotności, ujawnia się ten próg, podobnie jak listę państw nieistotnych ujętych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rszach „Inne państwa”.</w:t>
            </w:r>
          </w:p>
          <w:p w14:paraId="06C1CFA3" w14:textId="77777777" w:rsidR="004E71F4" w:rsidRPr="00835753" w:rsidRDefault="004E71F4" w:rsidP="00155C96">
            <w:pPr>
              <w:autoSpaceDE w:val="0"/>
              <w:autoSpaceDN w:val="0"/>
              <w:adjustRightInd w:val="0"/>
              <w:spacing w:after="120"/>
              <w:jc w:val="both"/>
            </w:pPr>
            <w:r w:rsidRPr="00835753">
              <w:rPr>
                <w:rFonts w:ascii="Times New Roman" w:hAnsi="Times New Roman"/>
                <w:sz w:val="24"/>
              </w:rPr>
              <w:t>Instytucje przypisują ekspozycje do istotnego państwa na podstawie siedziby bezpośredniego kontrahenta. Ekspozycje wobec organizacji ponadnarodowych przypisuje się nie do państwa siedziby instytucji, tylko do „Innych państw”.</w:t>
            </w:r>
          </w:p>
        </w:tc>
      </w:tr>
      <w:tr w:rsidR="004E71F4" w:rsidRPr="00835753" w14:paraId="5823936A" w14:textId="77777777" w:rsidTr="00155C96">
        <w:trPr>
          <w:trHeight w:val="728"/>
        </w:trPr>
        <w:tc>
          <w:tcPr>
            <w:tcW w:w="1384" w:type="dxa"/>
          </w:tcPr>
          <w:p w14:paraId="4D5A3661" w14:textId="77777777" w:rsidR="004E71F4" w:rsidRPr="00835753" w:rsidRDefault="004E71F4" w:rsidP="00155C96">
            <w:pPr>
              <w:pStyle w:val="Applicationdirecte"/>
              <w:spacing w:before="0"/>
            </w:pPr>
            <w:r w:rsidRPr="00835753">
              <w:t>080</w:t>
            </w:r>
          </w:p>
        </w:tc>
        <w:tc>
          <w:tcPr>
            <w:tcW w:w="7655" w:type="dxa"/>
          </w:tcPr>
          <w:p w14:paraId="18E511A4" w14:textId="77777777" w:rsidR="004E71F4" w:rsidRPr="00835753" w:rsidRDefault="004E71F4" w:rsidP="00155C96">
            <w:pPr>
              <w:pStyle w:val="Applicationdirecte"/>
              <w:spacing w:before="0"/>
              <w:rPr>
                <w:b/>
              </w:rPr>
            </w:pPr>
            <w:r w:rsidRPr="00835753">
              <w:rPr>
                <w:b/>
              </w:rPr>
              <w:t>Ekspozycje pozabilansowe</w:t>
            </w:r>
          </w:p>
          <w:p w14:paraId="26E2715C" w14:textId="1A20BEE3" w:rsidR="004E71F4" w:rsidRPr="00835753" w:rsidRDefault="004E71F4" w:rsidP="00155C96">
            <w:pPr>
              <w:autoSpaceDE w:val="0"/>
              <w:autoSpaceDN w:val="0"/>
              <w:adjustRightInd w:val="0"/>
              <w:spacing w:after="120"/>
              <w:jc w:val="both"/>
            </w:pPr>
            <w:r w:rsidRPr="00835753">
              <w:rPr>
                <w:rFonts w:ascii="Times New Roman" w:hAnsi="Times New Roman"/>
                <w:sz w:val="24"/>
              </w:rPr>
              <w:t>Zob. definicja w EU CR1: Ekspozycje obsługiwane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nie</w:t>
            </w:r>
            <w:r w:rsidRPr="00835753">
              <w:rPr>
                <w:rFonts w:ascii="Times New Roman" w:hAnsi="Times New Roman"/>
                <w:sz w:val="24"/>
              </w:rPr>
              <w:t>obsługiwane oraz powiązane rezerwy</w:t>
            </w:r>
          </w:p>
        </w:tc>
      </w:tr>
      <w:tr w:rsidR="004E71F4" w:rsidRPr="00835753" w14:paraId="660866D7" w14:textId="77777777" w:rsidTr="00155C96">
        <w:trPr>
          <w:trHeight w:val="367"/>
        </w:trPr>
        <w:tc>
          <w:tcPr>
            <w:tcW w:w="1384" w:type="dxa"/>
          </w:tcPr>
          <w:p w14:paraId="67DB1DCD"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sz w:val="24"/>
              </w:rPr>
              <w:t>150</w:t>
            </w:r>
          </w:p>
        </w:tc>
        <w:tc>
          <w:tcPr>
            <w:tcW w:w="7655" w:type="dxa"/>
          </w:tcPr>
          <w:p w14:paraId="5C132893"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Ogółem</w:t>
            </w:r>
          </w:p>
        </w:tc>
      </w:tr>
    </w:tbl>
    <w:p w14:paraId="6B5E4555" w14:textId="77777777" w:rsidR="004E71F4" w:rsidRPr="00835753"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231FB366" w14:textId="77777777" w:rsidTr="00155C96">
        <w:trPr>
          <w:trHeight w:val="238"/>
        </w:trPr>
        <w:tc>
          <w:tcPr>
            <w:tcW w:w="9039" w:type="dxa"/>
            <w:gridSpan w:val="2"/>
            <w:shd w:val="clear" w:color="auto" w:fill="D9D9D9" w:themeFill="background1" w:themeFillShade="D9"/>
          </w:tcPr>
          <w:p w14:paraId="1A96B80E" w14:textId="53B4B6DD"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2E11FA90" w14:textId="77777777" w:rsidTr="00155C96">
        <w:trPr>
          <w:trHeight w:val="238"/>
        </w:trPr>
        <w:tc>
          <w:tcPr>
            <w:tcW w:w="1384" w:type="dxa"/>
            <w:shd w:val="clear" w:color="auto" w:fill="D9D9D9" w:themeFill="background1" w:themeFillShade="D9"/>
          </w:tcPr>
          <w:p w14:paraId="12322062"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2810F84A"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Wyjaśnienie</w:t>
            </w:r>
          </w:p>
        </w:tc>
      </w:tr>
      <w:tr w:rsidR="004E71F4" w:rsidRPr="00835753" w14:paraId="39269B3E" w14:textId="77777777" w:rsidTr="00155C96">
        <w:trPr>
          <w:trHeight w:val="841"/>
        </w:trPr>
        <w:tc>
          <w:tcPr>
            <w:tcW w:w="1384" w:type="dxa"/>
          </w:tcPr>
          <w:p w14:paraId="02C62B53" w14:textId="77777777" w:rsidR="004E71F4" w:rsidRPr="00835753" w:rsidRDefault="004E71F4" w:rsidP="00155C96">
            <w:pPr>
              <w:pStyle w:val="Applicationdirecte"/>
              <w:spacing w:before="0"/>
            </w:pPr>
            <w:proofErr w:type="gramStart"/>
            <w:r w:rsidRPr="00835753">
              <w:t>a</w:t>
            </w:r>
            <w:proofErr w:type="gramEnd"/>
            <w:r w:rsidRPr="00835753">
              <w:t>)</w:t>
            </w:r>
          </w:p>
        </w:tc>
        <w:tc>
          <w:tcPr>
            <w:tcW w:w="7655" w:type="dxa"/>
          </w:tcPr>
          <w:p w14:paraId="0778CDCC" w14:textId="77777777" w:rsidR="004E71F4" w:rsidRPr="00835753" w:rsidRDefault="004E71F4" w:rsidP="00155C96">
            <w:pPr>
              <w:pStyle w:val="Fait"/>
              <w:spacing w:before="0" w:after="120"/>
              <w:rPr>
                <w:rFonts w:eastAsiaTheme="minorEastAsia"/>
                <w:b/>
              </w:rPr>
            </w:pPr>
            <w:r w:rsidRPr="00835753">
              <w:rPr>
                <w:b/>
              </w:rPr>
              <w:t xml:space="preserve">Wartość bilansowa brutto / kwota nominalna </w:t>
            </w:r>
          </w:p>
          <w:p w14:paraId="407BB8E5" w14:textId="22D516DE" w:rsidR="004E71F4" w:rsidRPr="00835753" w:rsidRDefault="004E71F4" w:rsidP="00155C96">
            <w:pPr>
              <w:pStyle w:val="Fait"/>
              <w:spacing w:before="0" w:after="120"/>
            </w:pPr>
            <w:r w:rsidRPr="00835753">
              <w:t>Wartość bilansowa brutto zgodnie</w:t>
            </w:r>
            <w:r w:rsidR="00835753" w:rsidRPr="00835753">
              <w:t xml:space="preserve"> z</w:t>
            </w:r>
            <w:r w:rsidR="00835753">
              <w:t> </w:t>
            </w:r>
            <w:r w:rsidR="00835753" w:rsidRPr="00835753">
              <w:t>def</w:t>
            </w:r>
            <w:r w:rsidRPr="00835753">
              <w:t>inicją zawartą</w:t>
            </w:r>
            <w:r w:rsidR="00835753" w:rsidRPr="00835753">
              <w:t xml:space="preserve"> w</w:t>
            </w:r>
            <w:r w:rsidR="00835753">
              <w:t> </w:t>
            </w:r>
            <w:r w:rsidR="00835753" w:rsidRPr="00835753">
              <w:t>czę</w:t>
            </w:r>
            <w:r w:rsidRPr="00835753">
              <w:t>ści 1 pkt</w:t>
            </w:r>
            <w:r w:rsidR="00835753" w:rsidRPr="00835753">
              <w:t> </w:t>
            </w:r>
            <w:r w:rsidRPr="00835753">
              <w:t>34 załącznika V do rozporządzenia wykonawczego Komisji (UE) nr</w:t>
            </w:r>
            <w:r w:rsidR="00835753" w:rsidRPr="00835753">
              <w:t> </w:t>
            </w:r>
            <w:r w:rsidRPr="00835753">
              <w:t>680/2014; kwota nominalna zgodnie</w:t>
            </w:r>
            <w:r w:rsidR="00835753" w:rsidRPr="00835753">
              <w:t xml:space="preserve"> z</w:t>
            </w:r>
            <w:r w:rsidR="00835753">
              <w:t> </w:t>
            </w:r>
            <w:r w:rsidR="00835753" w:rsidRPr="00835753">
              <w:t>def</w:t>
            </w:r>
            <w:r w:rsidRPr="00835753">
              <w:t>inicją zawartą</w:t>
            </w:r>
            <w:r w:rsidR="00835753" w:rsidRPr="00835753">
              <w:t xml:space="preserve"> w</w:t>
            </w:r>
            <w:r w:rsidR="00835753">
              <w:t> </w:t>
            </w:r>
            <w:r w:rsidR="00835753" w:rsidRPr="00835753">
              <w:t>czę</w:t>
            </w:r>
            <w:r w:rsidRPr="00835753">
              <w:t>ści 2 pkt</w:t>
            </w:r>
            <w:r w:rsidR="00835753" w:rsidRPr="00835753">
              <w:t> </w:t>
            </w:r>
            <w:r w:rsidRPr="00835753">
              <w:t>118 załącznika V do rozporządzenia wykonawczego Komisji (UE) nr</w:t>
            </w:r>
            <w:r w:rsidR="00835753" w:rsidRPr="00835753">
              <w:t> </w:t>
            </w:r>
            <w:r w:rsidRPr="00835753">
              <w:t>680/2014;</w:t>
            </w:r>
          </w:p>
          <w:p w14:paraId="6570F2FC" w14:textId="77777777" w:rsidR="004E71F4" w:rsidRPr="00835753" w:rsidRDefault="004E71F4" w:rsidP="00155C96">
            <w:pPr>
              <w:pStyle w:val="Fait"/>
              <w:spacing w:before="0" w:after="120"/>
            </w:pPr>
            <w:r w:rsidRPr="00835753">
              <w:t>Wartość bilansowa brutto ekspozycji podlegających utracie wartości jest wartością netto skumulowanych należności częściowo lub całkowicie spisanych.</w:t>
            </w:r>
          </w:p>
        </w:tc>
      </w:tr>
      <w:tr w:rsidR="004E71F4" w:rsidRPr="00835753" w14:paraId="0BA09C4F" w14:textId="77777777" w:rsidTr="00155C96">
        <w:trPr>
          <w:trHeight w:val="841"/>
        </w:trPr>
        <w:tc>
          <w:tcPr>
            <w:tcW w:w="1384" w:type="dxa"/>
          </w:tcPr>
          <w:p w14:paraId="191E705E" w14:textId="77777777" w:rsidR="004E71F4" w:rsidRPr="00835753" w:rsidRDefault="004E71F4" w:rsidP="00155C96">
            <w:pPr>
              <w:pStyle w:val="Applicationdirecte"/>
              <w:spacing w:before="0"/>
            </w:pPr>
            <w:proofErr w:type="gramStart"/>
            <w:r w:rsidRPr="00835753">
              <w:lastRenderedPageBreak/>
              <w:t>b</w:t>
            </w:r>
            <w:proofErr w:type="gramEnd"/>
            <w:r w:rsidRPr="00835753">
              <w:t>)</w:t>
            </w:r>
          </w:p>
        </w:tc>
        <w:tc>
          <w:tcPr>
            <w:tcW w:w="7655" w:type="dxa"/>
          </w:tcPr>
          <w:p w14:paraId="3FC98DA1" w14:textId="64B9E754" w:rsidR="004E71F4" w:rsidRPr="00835753" w:rsidRDefault="004E71F4" w:rsidP="00155C96">
            <w:pPr>
              <w:pStyle w:val="Fait"/>
              <w:spacing w:before="0" w:after="120"/>
              <w:rPr>
                <w:rFonts w:eastAsiaTheme="minorEastAsia"/>
                <w:b/>
              </w:rPr>
            </w:pPr>
            <w:r w:rsidRPr="00835753">
              <w:rPr>
                <w:b/>
              </w:rPr>
              <w:t>Wartość bilansowa brutto/kwota nominalna –</w:t>
            </w:r>
            <w:r w:rsidR="00835753" w:rsidRPr="00835753">
              <w:rPr>
                <w:b/>
              </w:rPr>
              <w:t xml:space="preserve"> w</w:t>
            </w:r>
            <w:r w:rsidR="00835753">
              <w:rPr>
                <w:b/>
              </w:rPr>
              <w:t> </w:t>
            </w:r>
            <w:r w:rsidR="00835753" w:rsidRPr="00835753">
              <w:rPr>
                <w:b/>
              </w:rPr>
              <w:t>tym</w:t>
            </w:r>
            <w:r w:rsidRPr="00835753">
              <w:rPr>
                <w:b/>
              </w:rPr>
              <w:t xml:space="preserve"> ekspozycje nieobsługiwane</w:t>
            </w:r>
          </w:p>
          <w:p w14:paraId="324B3E45" w14:textId="2E085451" w:rsidR="004E71F4" w:rsidRPr="00835753" w:rsidRDefault="004E71F4" w:rsidP="00155C96">
            <w:pPr>
              <w:pStyle w:val="Fait"/>
              <w:spacing w:before="0" w:after="120"/>
              <w:rPr>
                <w:b/>
              </w:rPr>
            </w:pPr>
            <w:r w:rsidRPr="00835753">
              <w:t>Wartość bilansowa brutto zgodnie</w:t>
            </w:r>
            <w:r w:rsidR="00835753" w:rsidRPr="00835753">
              <w:t xml:space="preserve"> z</w:t>
            </w:r>
            <w:r w:rsidR="00835753">
              <w:t> </w:t>
            </w:r>
            <w:r w:rsidR="00835753" w:rsidRPr="00835753">
              <w:t>def</w:t>
            </w:r>
            <w:r w:rsidRPr="00835753">
              <w:t>inicją zawartą</w:t>
            </w:r>
            <w:r w:rsidR="00835753" w:rsidRPr="00835753">
              <w:t xml:space="preserve"> w</w:t>
            </w:r>
            <w:r w:rsidR="00835753">
              <w:t> </w:t>
            </w:r>
            <w:r w:rsidR="00835753" w:rsidRPr="00835753">
              <w:t>czę</w:t>
            </w:r>
            <w:r w:rsidRPr="00835753">
              <w:t>ści 1 pkt</w:t>
            </w:r>
            <w:r w:rsidR="00835753" w:rsidRPr="00835753">
              <w:t> </w:t>
            </w:r>
            <w:r w:rsidRPr="00835753">
              <w:t>34 załącznika V do rozporządzenia wykonawczego Komisji (UE) nr</w:t>
            </w:r>
            <w:r w:rsidR="00835753" w:rsidRPr="00835753">
              <w:t> </w:t>
            </w:r>
            <w:r w:rsidRPr="00835753">
              <w:t>680/2014; kwota nominalna zgodnie</w:t>
            </w:r>
            <w:r w:rsidR="00835753" w:rsidRPr="00835753">
              <w:t xml:space="preserve"> z</w:t>
            </w:r>
            <w:r w:rsidR="00835753">
              <w:t> </w:t>
            </w:r>
            <w:r w:rsidR="00835753" w:rsidRPr="00835753">
              <w:t>def</w:t>
            </w:r>
            <w:r w:rsidRPr="00835753">
              <w:t>inicją zawartą</w:t>
            </w:r>
            <w:r w:rsidR="00835753" w:rsidRPr="00835753">
              <w:t xml:space="preserve"> w</w:t>
            </w:r>
            <w:r w:rsidR="00835753">
              <w:t> </w:t>
            </w:r>
            <w:r w:rsidR="00835753" w:rsidRPr="00835753">
              <w:t>czę</w:t>
            </w:r>
            <w:r w:rsidRPr="00835753">
              <w:t>ści 2 pkt</w:t>
            </w:r>
            <w:r w:rsidR="00835753" w:rsidRPr="00835753">
              <w:t> </w:t>
            </w:r>
            <w:r w:rsidRPr="00835753">
              <w:t>118 załącznika V do rozporządzenia wykonawczego Komisji (UE) nr</w:t>
            </w:r>
            <w:r w:rsidR="00835753" w:rsidRPr="00835753">
              <w:t> </w:t>
            </w:r>
            <w:r w:rsidRPr="00835753">
              <w:t>680/2014; ekspozycje nieobsługiwane określone</w:t>
            </w:r>
            <w:r w:rsidR="00835753" w:rsidRPr="00835753">
              <w:t xml:space="preserve"> w</w:t>
            </w:r>
            <w:r w:rsidR="00835753">
              <w:t> </w:t>
            </w:r>
            <w:r w:rsidR="00835753" w:rsidRPr="00835753">
              <w:t>art</w:t>
            </w:r>
            <w:r w:rsidRPr="00835753">
              <w:t>.</w:t>
            </w:r>
            <w:r w:rsidR="00835753" w:rsidRPr="00835753">
              <w:t> </w:t>
            </w:r>
            <w:r w:rsidRPr="00835753">
              <w:t>47a CRR.</w:t>
            </w:r>
          </w:p>
        </w:tc>
      </w:tr>
      <w:tr w:rsidR="004E71F4" w:rsidRPr="00835753" w14:paraId="2816521D" w14:textId="77777777" w:rsidTr="00155C96">
        <w:trPr>
          <w:trHeight w:val="316"/>
        </w:trPr>
        <w:tc>
          <w:tcPr>
            <w:tcW w:w="1384" w:type="dxa"/>
          </w:tcPr>
          <w:p w14:paraId="2B9941DE"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proofErr w:type="gramStart"/>
            <w:r w:rsidRPr="00835753">
              <w:rPr>
                <w:rFonts w:ascii="Times New Roman" w:hAnsi="Times New Roman"/>
                <w:color w:val="000000"/>
                <w:sz w:val="24"/>
              </w:rPr>
              <w:t>c</w:t>
            </w:r>
            <w:proofErr w:type="gramEnd"/>
            <w:r w:rsidRPr="00835753">
              <w:rPr>
                <w:rFonts w:ascii="Times New Roman" w:hAnsi="Times New Roman"/>
                <w:color w:val="000000"/>
                <w:sz w:val="24"/>
              </w:rPr>
              <w:t>)</w:t>
            </w:r>
          </w:p>
        </w:tc>
        <w:tc>
          <w:tcPr>
            <w:tcW w:w="7655" w:type="dxa"/>
          </w:tcPr>
          <w:p w14:paraId="318099D9" w14:textId="77777777" w:rsidR="004E71F4" w:rsidRPr="00835753" w:rsidRDefault="004E71F4" w:rsidP="00155C96">
            <w:pPr>
              <w:autoSpaceDE w:val="0"/>
              <w:autoSpaceDN w:val="0"/>
              <w:adjustRightInd w:val="0"/>
              <w:spacing w:after="120"/>
              <w:ind w:left="720"/>
              <w:rPr>
                <w:rFonts w:ascii="Times New Roman" w:hAnsi="Times New Roman" w:cs="Times New Roman"/>
                <w:b/>
                <w:sz w:val="24"/>
              </w:rPr>
            </w:pPr>
            <w:r w:rsidRPr="00835753">
              <w:rPr>
                <w:rFonts w:ascii="Times New Roman" w:hAnsi="Times New Roman"/>
                <w:b/>
                <w:sz w:val="24"/>
              </w:rPr>
              <w:t>W tym ekspozycje, których dotyczy niewykonanie zobowiązania</w:t>
            </w:r>
          </w:p>
          <w:p w14:paraId="2D9AD627" w14:textId="1618A022" w:rsidR="004E71F4" w:rsidRPr="00835753" w:rsidRDefault="004E71F4" w:rsidP="00155C96">
            <w:pPr>
              <w:pStyle w:val="Fait"/>
              <w:spacing w:before="0" w:after="120"/>
            </w:pPr>
            <w:r w:rsidRPr="00835753">
              <w:t>Ekspozycje, których dotyczy niewykonanie zobowiązania, zgodnie</w:t>
            </w:r>
            <w:r w:rsidR="00835753" w:rsidRPr="00835753">
              <w:t xml:space="preserve"> z</w:t>
            </w:r>
            <w:r w:rsidR="00835753">
              <w:t> </w:t>
            </w:r>
            <w:r w:rsidR="00835753" w:rsidRPr="00835753">
              <w:t>art</w:t>
            </w:r>
            <w:r w:rsidRPr="00835753">
              <w:t>.</w:t>
            </w:r>
            <w:r w:rsidR="00835753" w:rsidRPr="00835753">
              <w:t> </w:t>
            </w:r>
            <w:r w:rsidRPr="00835753">
              <w:t>178 CRR</w:t>
            </w:r>
          </w:p>
        </w:tc>
      </w:tr>
      <w:tr w:rsidR="004E71F4" w:rsidRPr="00835753" w14:paraId="3E4CA1D8" w14:textId="77777777" w:rsidTr="00155C96">
        <w:trPr>
          <w:trHeight w:val="316"/>
        </w:trPr>
        <w:tc>
          <w:tcPr>
            <w:tcW w:w="1384" w:type="dxa"/>
          </w:tcPr>
          <w:p w14:paraId="7B58E1FF"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d</w:t>
            </w:r>
            <w:proofErr w:type="gramEnd"/>
            <w:r w:rsidRPr="00835753">
              <w:rPr>
                <w:rFonts w:ascii="Times New Roman" w:hAnsi="Times New Roman"/>
                <w:sz w:val="24"/>
              </w:rPr>
              <w:t>)</w:t>
            </w:r>
          </w:p>
        </w:tc>
        <w:tc>
          <w:tcPr>
            <w:tcW w:w="7655" w:type="dxa"/>
          </w:tcPr>
          <w:p w14:paraId="1BE2EE12" w14:textId="089999C5"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Wartość bilansowa brutto/kwota nominalna</w:t>
            </w:r>
            <w:r w:rsidRPr="00835753">
              <w:rPr>
                <w:b/>
              </w:rPr>
              <w:t xml:space="preserve"> –</w:t>
            </w:r>
            <w:r w:rsidR="00835753" w:rsidRPr="00835753">
              <w:rPr>
                <w:b/>
              </w:rPr>
              <w:t xml:space="preserve"> </w:t>
            </w:r>
            <w:r w:rsidR="00835753" w:rsidRPr="00835753">
              <w:rPr>
                <w:rFonts w:ascii="Times New Roman" w:hAnsi="Times New Roman"/>
                <w:b/>
                <w:sz w:val="24"/>
              </w:rPr>
              <w:t>w</w:t>
            </w:r>
            <w:r w:rsidR="00835753">
              <w:rPr>
                <w:b/>
              </w:rPr>
              <w:t> </w:t>
            </w:r>
            <w:r w:rsidR="00835753" w:rsidRPr="00835753">
              <w:rPr>
                <w:rFonts w:ascii="Times New Roman" w:hAnsi="Times New Roman"/>
                <w:b/>
                <w:sz w:val="24"/>
              </w:rPr>
              <w:t>tym</w:t>
            </w:r>
            <w:r w:rsidRPr="00835753">
              <w:rPr>
                <w:rFonts w:ascii="Times New Roman" w:hAnsi="Times New Roman"/>
                <w:b/>
                <w:sz w:val="24"/>
              </w:rPr>
              <w:t xml:space="preserve"> ekspozycje podlegające utracie wartości</w:t>
            </w:r>
          </w:p>
          <w:p w14:paraId="6BD3FAE2" w14:textId="1B0713F1" w:rsidR="004E71F4" w:rsidRPr="00835753" w:rsidRDefault="004E71F4" w:rsidP="00155C96">
            <w:pPr>
              <w:pStyle w:val="Fait"/>
              <w:spacing w:before="0" w:after="120"/>
            </w:pPr>
            <w:r w:rsidRPr="00835753">
              <w:t>Wartość bilansowa brutto lub kwota nominalna ekspozycji, które podlegają wymogom</w:t>
            </w:r>
            <w:r w:rsidR="00835753" w:rsidRPr="00835753">
              <w:t xml:space="preserve"> z</w:t>
            </w:r>
            <w:r w:rsidR="00835753">
              <w:t> </w:t>
            </w:r>
            <w:r w:rsidR="00835753" w:rsidRPr="00835753">
              <w:t>zak</w:t>
            </w:r>
            <w:r w:rsidRPr="00835753">
              <w:t>resu utraty wartości zgodnie</w:t>
            </w:r>
            <w:r w:rsidR="00835753" w:rsidRPr="00835753">
              <w:t xml:space="preserve"> z</w:t>
            </w:r>
            <w:r w:rsidR="00835753">
              <w:t> </w:t>
            </w:r>
            <w:r w:rsidR="00835753" w:rsidRPr="00835753">
              <w:t>obo</w:t>
            </w:r>
            <w:r w:rsidRPr="00835753">
              <w:t>wiązującymi standardami rachunkowości</w:t>
            </w:r>
          </w:p>
        </w:tc>
      </w:tr>
      <w:tr w:rsidR="004E71F4" w:rsidRPr="00835753" w14:paraId="5FF5E291" w14:textId="77777777" w:rsidTr="00155C96">
        <w:trPr>
          <w:trHeight w:val="316"/>
        </w:trPr>
        <w:tc>
          <w:tcPr>
            <w:tcW w:w="1384" w:type="dxa"/>
          </w:tcPr>
          <w:p w14:paraId="1CE9AB1F"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e</w:t>
            </w:r>
            <w:proofErr w:type="gramEnd"/>
            <w:r w:rsidRPr="00835753">
              <w:rPr>
                <w:rFonts w:ascii="Times New Roman" w:hAnsi="Times New Roman"/>
                <w:sz w:val="24"/>
              </w:rPr>
              <w:t>)</w:t>
            </w:r>
          </w:p>
        </w:tc>
        <w:tc>
          <w:tcPr>
            <w:tcW w:w="7655" w:type="dxa"/>
          </w:tcPr>
          <w:p w14:paraId="4B567AF6"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Skumulowana utrata wartości</w:t>
            </w:r>
          </w:p>
          <w:p w14:paraId="4FB7F9C5" w14:textId="28736D6D" w:rsidR="004E71F4" w:rsidRPr="00835753" w:rsidRDefault="004E71F4" w:rsidP="00155C96">
            <w:pPr>
              <w:pStyle w:val="Fait"/>
              <w:spacing w:before="0" w:after="120"/>
            </w:pPr>
            <w:r w:rsidRPr="00835753">
              <w:t>Ujmuje się kwoty ustalone zgodnie</w:t>
            </w:r>
            <w:r w:rsidR="00835753" w:rsidRPr="00835753">
              <w:t xml:space="preserve"> z</w:t>
            </w:r>
            <w:r w:rsidR="00835753">
              <w:t> </w:t>
            </w:r>
            <w:r w:rsidR="00835753" w:rsidRPr="00835753">
              <w:t>czę</w:t>
            </w:r>
            <w:r w:rsidRPr="00835753">
              <w:t>ścią 2 pkt</w:t>
            </w:r>
            <w:r w:rsidR="00835753" w:rsidRPr="00835753">
              <w:t> </w:t>
            </w:r>
            <w:r w:rsidRPr="00835753">
              <w:t>11, 69–71, 106</w:t>
            </w:r>
            <w:r w:rsidR="00835753" w:rsidRPr="00835753">
              <w:t xml:space="preserve"> i</w:t>
            </w:r>
            <w:r w:rsidR="00835753">
              <w:t> </w:t>
            </w:r>
            <w:r w:rsidR="00835753" w:rsidRPr="00835753">
              <w:t>1</w:t>
            </w:r>
            <w:r w:rsidRPr="00835753">
              <w:t>10 załącznika V do rozporządzenia wykonawczego Komisji (UE) nr</w:t>
            </w:r>
            <w:r w:rsidR="00835753" w:rsidRPr="00835753">
              <w:t> </w:t>
            </w:r>
            <w:r w:rsidRPr="00835753">
              <w:t>680/2014.</w:t>
            </w:r>
          </w:p>
        </w:tc>
      </w:tr>
      <w:tr w:rsidR="004E71F4" w:rsidRPr="00835753" w14:paraId="46415016" w14:textId="77777777" w:rsidTr="00155C96">
        <w:trPr>
          <w:trHeight w:val="695"/>
        </w:trPr>
        <w:tc>
          <w:tcPr>
            <w:tcW w:w="1384" w:type="dxa"/>
          </w:tcPr>
          <w:p w14:paraId="7701B302"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f</w:t>
            </w:r>
            <w:proofErr w:type="gramEnd"/>
            <w:r w:rsidRPr="00835753">
              <w:rPr>
                <w:rFonts w:ascii="Times New Roman" w:hAnsi="Times New Roman"/>
                <w:sz w:val="24"/>
              </w:rPr>
              <w:t>)</w:t>
            </w:r>
          </w:p>
        </w:tc>
        <w:tc>
          <w:tcPr>
            <w:tcW w:w="7655" w:type="dxa"/>
          </w:tcPr>
          <w:p w14:paraId="173D47DE" w14:textId="0D566CF1"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Rezerwy na zobowiązania pozabilansowe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udz</w:t>
            </w:r>
            <w:r w:rsidRPr="00835753">
              <w:rPr>
                <w:rFonts w:ascii="Times New Roman" w:hAnsi="Times New Roman"/>
                <w:b/>
                <w:sz w:val="24"/>
              </w:rPr>
              <w:t>ielone gwarancje finansowe</w:t>
            </w:r>
          </w:p>
          <w:p w14:paraId="24FAD81B" w14:textId="0FAAD757" w:rsidR="004E71F4" w:rsidRPr="00835753" w:rsidRDefault="004E71F4" w:rsidP="00155C96">
            <w:pPr>
              <w:autoSpaceDE w:val="0"/>
              <w:autoSpaceDN w:val="0"/>
              <w:adjustRightInd w:val="0"/>
              <w:spacing w:after="120"/>
              <w:rPr>
                <w:rFonts w:ascii="Times New Roman" w:hAnsi="Times New Roman" w:cs="Times New Roman"/>
                <w:sz w:val="24"/>
              </w:rPr>
            </w:pPr>
            <w:r w:rsidRPr="00835753">
              <w:rPr>
                <w:rFonts w:ascii="Times New Roman" w:hAnsi="Times New Roman"/>
                <w:sz w:val="24"/>
              </w:rPr>
              <w:t>W tym wierszu ujmuje się rezerwy na zobowiązania pozabilansowe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udz</w:t>
            </w:r>
            <w:r w:rsidRPr="00835753">
              <w:rPr>
                <w:rFonts w:ascii="Times New Roman" w:hAnsi="Times New Roman"/>
                <w:sz w:val="24"/>
              </w:rPr>
              <w:t>ielone gwarancje finansowe.</w:t>
            </w:r>
          </w:p>
        </w:tc>
      </w:tr>
      <w:tr w:rsidR="004E71F4" w:rsidRPr="00835753" w14:paraId="3067476F" w14:textId="77777777" w:rsidTr="00155C96">
        <w:trPr>
          <w:trHeight w:val="695"/>
        </w:trPr>
        <w:tc>
          <w:tcPr>
            <w:tcW w:w="1384" w:type="dxa"/>
          </w:tcPr>
          <w:p w14:paraId="52AA3262"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g</w:t>
            </w:r>
            <w:proofErr w:type="gramEnd"/>
            <w:r w:rsidRPr="00835753">
              <w:rPr>
                <w:rFonts w:ascii="Times New Roman" w:hAnsi="Times New Roman"/>
                <w:sz w:val="24"/>
              </w:rPr>
              <w:t>)</w:t>
            </w:r>
          </w:p>
        </w:tc>
        <w:tc>
          <w:tcPr>
            <w:tcW w:w="7655" w:type="dxa"/>
          </w:tcPr>
          <w:p w14:paraId="665BC3FF" w14:textId="5A6F6E6A"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Skumulowane ujemne zmiany wartości godziwej</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pow</w:t>
            </w:r>
            <w:r w:rsidRPr="00835753">
              <w:rPr>
                <w:rFonts w:ascii="Times New Roman" w:hAnsi="Times New Roman"/>
                <w:b/>
                <w:sz w:val="24"/>
              </w:rPr>
              <w:t>odu ryzyka kredytowego</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tyt</w:t>
            </w:r>
            <w:r w:rsidRPr="00835753">
              <w:rPr>
                <w:rFonts w:ascii="Times New Roman" w:hAnsi="Times New Roman"/>
                <w:b/>
                <w:sz w:val="24"/>
              </w:rPr>
              <w:t>ułu ekspozycji nieobsługiwanych</w:t>
            </w:r>
          </w:p>
          <w:p w14:paraId="697B0B24" w14:textId="1CD8D4A1" w:rsidR="004E71F4" w:rsidRPr="00835753" w:rsidRDefault="004E71F4" w:rsidP="00155C96">
            <w:pPr>
              <w:pStyle w:val="Fait"/>
              <w:spacing w:before="0" w:after="120"/>
            </w:pPr>
            <w:r w:rsidRPr="00835753">
              <w:t>W tej pozycji ujmuje się kwoty ustalone zgodnie</w:t>
            </w:r>
            <w:r w:rsidR="00835753" w:rsidRPr="00835753">
              <w:t xml:space="preserve"> z</w:t>
            </w:r>
            <w:r w:rsidR="00835753">
              <w:t> </w:t>
            </w:r>
            <w:r w:rsidR="00835753" w:rsidRPr="00835753">
              <w:t>czę</w:t>
            </w:r>
            <w:r w:rsidRPr="00835753">
              <w:t>ścią 2 pkt</w:t>
            </w:r>
            <w:r w:rsidR="00835753" w:rsidRPr="00835753">
              <w:t> </w:t>
            </w:r>
            <w:r w:rsidRPr="00835753">
              <w:t>11, 69–71, 106</w:t>
            </w:r>
            <w:r w:rsidR="00835753" w:rsidRPr="00835753">
              <w:t xml:space="preserve"> i</w:t>
            </w:r>
            <w:r w:rsidR="00835753">
              <w:t> </w:t>
            </w:r>
            <w:r w:rsidR="00835753" w:rsidRPr="00835753">
              <w:t>1</w:t>
            </w:r>
            <w:r w:rsidRPr="00835753">
              <w:t>10 załącznika V do rozporządzenia wykonawczego Komisji (UE) nr</w:t>
            </w:r>
            <w:r w:rsidR="00835753" w:rsidRPr="00835753">
              <w:t> </w:t>
            </w:r>
            <w:r w:rsidRPr="00835753">
              <w:t>680/2014.</w:t>
            </w:r>
          </w:p>
        </w:tc>
      </w:tr>
    </w:tbl>
    <w:p w14:paraId="052C419F" w14:textId="77777777" w:rsidR="004E71F4" w:rsidRPr="00835753" w:rsidRDefault="004E71F4" w:rsidP="004E71F4">
      <w:pPr>
        <w:autoSpaceDE w:val="0"/>
        <w:autoSpaceDN w:val="0"/>
        <w:adjustRightInd w:val="0"/>
        <w:spacing w:after="120"/>
        <w:rPr>
          <w:rFonts w:ascii="Times New Roman" w:hAnsi="Times New Roman" w:cs="Times New Roman"/>
          <w:sz w:val="24"/>
        </w:rPr>
      </w:pPr>
    </w:p>
    <w:p w14:paraId="0DDE3181" w14:textId="7C9D8978" w:rsidR="004E71F4" w:rsidRPr="00835753" w:rsidRDefault="00CD362D" w:rsidP="004E71F4">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Wzór EU CQ5: Jakość kredytowa kredytów</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zal</w:t>
      </w:r>
      <w:r w:rsidRPr="00835753">
        <w:rPr>
          <w:rFonts w:ascii="Times New Roman" w:hAnsi="Times New Roman"/>
          <w:b/>
          <w:sz w:val="24"/>
        </w:rPr>
        <w:t>iczek udzielanych przedsiębiorstwom niefinansowym według branż</w:t>
      </w:r>
    </w:p>
    <w:p w14:paraId="201DD2F2" w14:textId="359B770B" w:rsidR="004E71F4" w:rsidRPr="00835753"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sidRPr="00835753">
        <w:rPr>
          <w:rFonts w:ascii="Times New Roman" w:hAnsi="Times New Roman"/>
          <w:bCs/>
          <w:sz w:val="24"/>
        </w:rPr>
        <w:t>W celu wypełnienia wzoru EU CQ5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ączniku XV do niniejszego rozporządzenia wykonawczego instytucje ujawniają informacje,</w:t>
      </w:r>
      <w:r w:rsidR="00835753" w:rsidRPr="00835753">
        <w:rPr>
          <w:rFonts w:ascii="Times New Roman" w:hAnsi="Times New Roman"/>
          <w:bCs/>
          <w:sz w:val="24"/>
        </w:rPr>
        <w:t xml:space="preserve"> o</w:t>
      </w:r>
      <w:r w:rsidR="00835753">
        <w:rPr>
          <w:rFonts w:ascii="Times New Roman" w:hAnsi="Times New Roman"/>
          <w:bCs/>
          <w:sz w:val="24"/>
        </w:rPr>
        <w:t> </w:t>
      </w:r>
      <w:r w:rsidR="00835753" w:rsidRPr="00835753">
        <w:rPr>
          <w:rFonts w:ascii="Times New Roman" w:hAnsi="Times New Roman"/>
          <w:bCs/>
          <w:sz w:val="24"/>
        </w:rPr>
        <w:t>któ</w:t>
      </w:r>
      <w:r w:rsidRPr="00835753">
        <w:rPr>
          <w:rFonts w:ascii="Times New Roman" w:hAnsi="Times New Roman"/>
          <w:bCs/>
          <w:sz w:val="24"/>
        </w:rPr>
        <w:t>rych mowa</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442 lit.</w:t>
      </w:r>
      <w:r w:rsidR="00835753" w:rsidRPr="00835753">
        <w:rPr>
          <w:rFonts w:ascii="Times New Roman" w:hAnsi="Times New Roman"/>
          <w:bCs/>
          <w:sz w:val="24"/>
        </w:rPr>
        <w:t> </w:t>
      </w:r>
      <w:r w:rsidRPr="00835753">
        <w:rPr>
          <w:rFonts w:ascii="Times New Roman" w:hAnsi="Times New Roman"/>
          <w:bCs/>
          <w:sz w:val="24"/>
        </w:rPr>
        <w:t xml:space="preserve">c) i e) </w:t>
      </w:r>
      <w:r w:rsidRPr="00835753">
        <w:rPr>
          <w:rFonts w:ascii="Times New Roman" w:hAnsi="Times New Roman"/>
          <w:color w:val="000000"/>
          <w:sz w:val="24"/>
        </w:rPr>
        <w:t>CRR</w:t>
      </w:r>
      <w:r w:rsidRPr="00835753">
        <w:rPr>
          <w:rFonts w:ascii="Times New Roman" w:hAnsi="Times New Roman"/>
          <w:bCs/>
          <w:sz w:val="24"/>
        </w:rPr>
        <w:t>,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FCED824" w:rsidR="004E71F4" w:rsidRPr="00835753" w:rsidRDefault="004E71F4"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0CFFFD8C" w14:textId="77777777" w:rsidTr="00155C96">
        <w:trPr>
          <w:trHeight w:val="238"/>
        </w:trPr>
        <w:tc>
          <w:tcPr>
            <w:tcW w:w="1384" w:type="dxa"/>
            <w:shd w:val="clear" w:color="auto" w:fill="D9D9D9" w:themeFill="background1" w:themeFillShade="D9"/>
          </w:tcPr>
          <w:p w14:paraId="469957D0"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03CA8FEC"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4E71F4" w:rsidRPr="00835753" w14:paraId="621C4383" w14:textId="77777777" w:rsidTr="00155C96">
        <w:trPr>
          <w:trHeight w:val="971"/>
        </w:trPr>
        <w:tc>
          <w:tcPr>
            <w:tcW w:w="1384" w:type="dxa"/>
          </w:tcPr>
          <w:p w14:paraId="53AE88CC" w14:textId="77777777" w:rsidR="004E71F4" w:rsidRPr="00835753" w:rsidRDefault="004E71F4" w:rsidP="00155C96">
            <w:pPr>
              <w:pStyle w:val="Applicationdirecte"/>
              <w:spacing w:before="0"/>
            </w:pPr>
            <w:r w:rsidRPr="00835753">
              <w:lastRenderedPageBreak/>
              <w:t>010–190</w:t>
            </w:r>
          </w:p>
        </w:tc>
        <w:tc>
          <w:tcPr>
            <w:tcW w:w="7655" w:type="dxa"/>
          </w:tcPr>
          <w:p w14:paraId="69C2E900" w14:textId="77777777" w:rsidR="004E71F4" w:rsidRPr="00835753" w:rsidRDefault="004E71F4" w:rsidP="00155C96">
            <w:pPr>
              <w:pStyle w:val="Fait"/>
              <w:spacing w:before="0" w:after="120"/>
              <w:rPr>
                <w:b/>
              </w:rPr>
            </w:pPr>
            <w:r w:rsidRPr="00835753">
              <w:rPr>
                <w:b/>
              </w:rPr>
              <w:t>Podział kontrahentów według branży</w:t>
            </w:r>
          </w:p>
          <w:p w14:paraId="75719E9B" w14:textId="07D69C61" w:rsidR="004E71F4" w:rsidRPr="00835753" w:rsidRDefault="004E71F4" w:rsidP="00155C96">
            <w:pPr>
              <w:pStyle w:val="Fait"/>
              <w:spacing w:before="0" w:after="120"/>
            </w:pPr>
            <w:r w:rsidRPr="00835753">
              <w:t>Przypisanie kontrahentów do sektora obejmuje wyłącznie sektory powiązane</w:t>
            </w:r>
            <w:r w:rsidR="00835753" w:rsidRPr="00835753">
              <w:t xml:space="preserve"> z</w:t>
            </w:r>
            <w:r w:rsidR="00835753">
              <w:t> </w:t>
            </w:r>
            <w:r w:rsidR="00835753" w:rsidRPr="00835753">
              <w:t>kon</w:t>
            </w:r>
            <w:r w:rsidRPr="00835753">
              <w:t>trahentem będącym przedsiębiorstwem niefinansowym.</w:t>
            </w:r>
          </w:p>
          <w:p w14:paraId="22DE98F2" w14:textId="708DB1C4" w:rsidR="004E71F4" w:rsidRPr="00835753" w:rsidRDefault="004E71F4" w:rsidP="00155C96">
            <w:pPr>
              <w:pStyle w:val="Fait"/>
              <w:spacing w:before="0" w:after="120"/>
            </w:pPr>
            <w:r w:rsidRPr="00835753">
              <w:t>Przypisanie do sektora kontrahentów opiera się wyłącznie na charakterze bezpośredniego kontrahenta. Ekspozycje utworzone wspólnie przez więcej niż jednego dłużnika klasyfikuje się</w:t>
            </w:r>
            <w:r w:rsidR="00835753" w:rsidRPr="00835753">
              <w:t xml:space="preserve"> w</w:t>
            </w:r>
            <w:r w:rsidR="00835753">
              <w:t> </w:t>
            </w:r>
            <w:r w:rsidR="00835753" w:rsidRPr="00835753">
              <w:t>opa</w:t>
            </w:r>
            <w:r w:rsidRPr="00835753">
              <w:t>rciu</w:t>
            </w:r>
            <w:r w:rsidR="00835753" w:rsidRPr="00835753">
              <w:t xml:space="preserve"> o</w:t>
            </w:r>
            <w:r w:rsidR="00835753">
              <w:t> </w:t>
            </w:r>
            <w:r w:rsidR="00835753" w:rsidRPr="00835753">
              <w:t>cec</w:t>
            </w:r>
            <w:r w:rsidRPr="00835753">
              <w:t>hy tego dłużnika, który miał dla instytucji większe lub decydujące znaczenie przy podejmowaniu decyzji</w:t>
            </w:r>
            <w:r w:rsidR="00835753" w:rsidRPr="00835753">
              <w:t xml:space="preserve"> o</w:t>
            </w:r>
            <w:r w:rsidR="00835753">
              <w:t> </w:t>
            </w:r>
            <w:r w:rsidR="00835753" w:rsidRPr="00835753">
              <w:t>prz</w:t>
            </w:r>
            <w:r w:rsidRPr="00835753">
              <w:t>yznaniu ekspozycji.</w:t>
            </w:r>
          </w:p>
          <w:p w14:paraId="509E4079" w14:textId="5C7499D2" w:rsidR="004E71F4" w:rsidRPr="00835753" w:rsidRDefault="004E71F4" w:rsidP="00155C96">
            <w:pPr>
              <w:pStyle w:val="Fait"/>
              <w:spacing w:before="0" w:after="120"/>
            </w:pPr>
            <w:r w:rsidRPr="00835753">
              <w:t>Wiersze wykorzystuje się</w:t>
            </w:r>
            <w:r w:rsidR="00835753" w:rsidRPr="00835753">
              <w:t xml:space="preserve"> w</w:t>
            </w:r>
            <w:r w:rsidR="00835753">
              <w:t> </w:t>
            </w:r>
            <w:r w:rsidR="00835753" w:rsidRPr="00835753">
              <w:t>cel</w:t>
            </w:r>
            <w:r w:rsidRPr="00835753">
              <w:t>u ujawnienia istotnych sektorów przemysłu lub rodzajów kontrahentów, wobec których instytucje mają ekspozycje. Istotność ocenia się zgodnie</w:t>
            </w:r>
            <w:r w:rsidR="00835753" w:rsidRPr="00835753">
              <w:t xml:space="preserve"> z</w:t>
            </w:r>
            <w:r w:rsidR="00835753">
              <w:t> </w:t>
            </w:r>
            <w:r w:rsidR="00835753" w:rsidRPr="00835753">
              <w:t>art</w:t>
            </w:r>
            <w:r w:rsidRPr="00835753">
              <w:t>.</w:t>
            </w:r>
            <w:r w:rsidR="00835753" w:rsidRPr="00835753">
              <w:t> </w:t>
            </w:r>
            <w:r w:rsidRPr="00835753">
              <w:t>432 CRR,</w:t>
            </w:r>
            <w:r w:rsidR="00835753" w:rsidRPr="00835753">
              <w:t xml:space="preserve"> a</w:t>
            </w:r>
            <w:r w:rsidR="00835753">
              <w:t> </w:t>
            </w:r>
            <w:r w:rsidR="00835753" w:rsidRPr="00835753">
              <w:t>nie</w:t>
            </w:r>
            <w:r w:rsidRPr="00835753">
              <w:t>istotne sektory przemysłu lub rodzaje kontrahentów sumuje się</w:t>
            </w:r>
            <w:r w:rsidR="00835753" w:rsidRPr="00835753">
              <w:t xml:space="preserve"> w</w:t>
            </w:r>
            <w:r w:rsidR="00835753">
              <w:t> </w:t>
            </w:r>
            <w:r w:rsidR="00835753" w:rsidRPr="00835753">
              <w:t>wie</w:t>
            </w:r>
            <w:r w:rsidRPr="00835753">
              <w:t>rszu „Pozostała działalność usługowa”.</w:t>
            </w:r>
          </w:p>
        </w:tc>
      </w:tr>
      <w:tr w:rsidR="004E71F4" w:rsidRPr="00835753" w14:paraId="7C4A0B77" w14:textId="77777777" w:rsidTr="00155C96">
        <w:trPr>
          <w:trHeight w:val="316"/>
        </w:trPr>
        <w:tc>
          <w:tcPr>
            <w:tcW w:w="1384" w:type="dxa"/>
          </w:tcPr>
          <w:p w14:paraId="7156E575"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200</w:t>
            </w:r>
          </w:p>
        </w:tc>
        <w:tc>
          <w:tcPr>
            <w:tcW w:w="7655" w:type="dxa"/>
          </w:tcPr>
          <w:p w14:paraId="2DADB6C9"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Ogółem</w:t>
            </w:r>
          </w:p>
        </w:tc>
      </w:tr>
    </w:tbl>
    <w:p w14:paraId="3FA6DB40" w14:textId="77777777" w:rsidR="004E71F4" w:rsidRPr="00835753"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5785AED1" w14:textId="77777777" w:rsidTr="00155C96">
        <w:trPr>
          <w:trHeight w:val="238"/>
        </w:trPr>
        <w:tc>
          <w:tcPr>
            <w:tcW w:w="9039" w:type="dxa"/>
            <w:gridSpan w:val="2"/>
            <w:shd w:val="clear" w:color="auto" w:fill="D9D9D9" w:themeFill="background1" w:themeFillShade="D9"/>
          </w:tcPr>
          <w:p w14:paraId="7F360C60" w14:textId="2E23FAE2"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076A6EC7" w14:textId="77777777" w:rsidTr="00155C96">
        <w:trPr>
          <w:trHeight w:val="238"/>
        </w:trPr>
        <w:tc>
          <w:tcPr>
            <w:tcW w:w="1384" w:type="dxa"/>
            <w:shd w:val="clear" w:color="auto" w:fill="D9D9D9" w:themeFill="background1" w:themeFillShade="D9"/>
          </w:tcPr>
          <w:p w14:paraId="3E907027"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462B550B"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Wyjaśnienie</w:t>
            </w:r>
          </w:p>
        </w:tc>
      </w:tr>
      <w:tr w:rsidR="004E71F4" w:rsidRPr="00835753" w14:paraId="1BB55FB9" w14:textId="77777777" w:rsidTr="00155C96">
        <w:trPr>
          <w:trHeight w:val="841"/>
        </w:trPr>
        <w:tc>
          <w:tcPr>
            <w:tcW w:w="1384" w:type="dxa"/>
          </w:tcPr>
          <w:p w14:paraId="19286B5D" w14:textId="77777777" w:rsidR="004E71F4" w:rsidRPr="00835753" w:rsidRDefault="004E71F4" w:rsidP="00155C96">
            <w:pPr>
              <w:pStyle w:val="Applicationdirecte"/>
              <w:spacing w:before="0"/>
            </w:pPr>
            <w:proofErr w:type="gramStart"/>
            <w:r w:rsidRPr="00835753">
              <w:t>a</w:t>
            </w:r>
            <w:proofErr w:type="gramEnd"/>
            <w:r w:rsidRPr="00835753">
              <w:t>)</w:t>
            </w:r>
          </w:p>
        </w:tc>
        <w:tc>
          <w:tcPr>
            <w:tcW w:w="7655" w:type="dxa"/>
          </w:tcPr>
          <w:p w14:paraId="3EAB8290" w14:textId="77777777" w:rsidR="004E71F4" w:rsidRPr="00835753" w:rsidRDefault="004E71F4" w:rsidP="00155C96">
            <w:pPr>
              <w:pStyle w:val="Fait"/>
              <w:spacing w:before="0" w:after="120"/>
              <w:rPr>
                <w:rFonts w:eastAsiaTheme="minorEastAsia"/>
                <w:b/>
              </w:rPr>
            </w:pPr>
            <w:r w:rsidRPr="00835753">
              <w:rPr>
                <w:b/>
              </w:rPr>
              <w:t xml:space="preserve">Wartość bilansowa brutto </w:t>
            </w:r>
          </w:p>
          <w:p w14:paraId="54BC957E" w14:textId="26889833" w:rsidR="004E71F4" w:rsidRPr="00835753" w:rsidRDefault="004E71F4" w:rsidP="00155C96">
            <w:pPr>
              <w:pStyle w:val="Fait"/>
              <w:spacing w:before="0" w:after="120"/>
            </w:pPr>
            <w:r w:rsidRPr="00835753">
              <w:t>Wartość bilansowa brutto zgodnie</w:t>
            </w:r>
            <w:r w:rsidR="00835753" w:rsidRPr="00835753">
              <w:t xml:space="preserve"> z</w:t>
            </w:r>
            <w:r w:rsidR="00835753">
              <w:t> </w:t>
            </w:r>
            <w:r w:rsidR="00835753" w:rsidRPr="00835753">
              <w:t>def</w:t>
            </w:r>
            <w:r w:rsidRPr="00835753">
              <w:t>inicją zawartą</w:t>
            </w:r>
            <w:r w:rsidR="00835753" w:rsidRPr="00835753">
              <w:t xml:space="preserve"> w</w:t>
            </w:r>
            <w:r w:rsidR="00835753">
              <w:t> </w:t>
            </w:r>
            <w:r w:rsidR="00835753" w:rsidRPr="00835753">
              <w:t>czę</w:t>
            </w:r>
            <w:r w:rsidRPr="00835753">
              <w:t>ści 1 pkt</w:t>
            </w:r>
            <w:r w:rsidR="00835753" w:rsidRPr="00835753">
              <w:t> </w:t>
            </w:r>
            <w:r w:rsidRPr="00835753">
              <w:t>34 załącznika V do rozporządzenia wykonawczego Komisji (UE) nr</w:t>
            </w:r>
            <w:r w:rsidR="00835753" w:rsidRPr="00835753">
              <w:t> </w:t>
            </w:r>
            <w:r w:rsidRPr="00835753">
              <w:t>680/2014.</w:t>
            </w:r>
          </w:p>
          <w:p w14:paraId="61BFF20A" w14:textId="77777777" w:rsidR="004E71F4" w:rsidRPr="00835753" w:rsidRDefault="004E71F4" w:rsidP="00155C96">
            <w:pPr>
              <w:pStyle w:val="Fait"/>
              <w:spacing w:before="0" w:after="120"/>
            </w:pPr>
            <w:r w:rsidRPr="00835753">
              <w:t>Wartość bilansowa brutto ekspozycji podlegających utracie wartości jest wartością netto skumulowanych należności częściowo lub całkowicie spisanych.</w:t>
            </w:r>
          </w:p>
        </w:tc>
      </w:tr>
      <w:tr w:rsidR="004E71F4" w:rsidRPr="00835753" w14:paraId="73F33D97" w14:textId="77777777" w:rsidTr="00155C96">
        <w:trPr>
          <w:trHeight w:val="841"/>
        </w:trPr>
        <w:tc>
          <w:tcPr>
            <w:tcW w:w="1384" w:type="dxa"/>
          </w:tcPr>
          <w:p w14:paraId="1825F9E0" w14:textId="77777777" w:rsidR="004E71F4" w:rsidRPr="00835753" w:rsidRDefault="004E71F4" w:rsidP="00155C96">
            <w:pPr>
              <w:pStyle w:val="Applicationdirecte"/>
              <w:spacing w:before="0"/>
            </w:pPr>
            <w:proofErr w:type="gramStart"/>
            <w:r w:rsidRPr="00835753">
              <w:t>b</w:t>
            </w:r>
            <w:proofErr w:type="gramEnd"/>
            <w:r w:rsidRPr="00835753">
              <w:t>)</w:t>
            </w:r>
          </w:p>
        </w:tc>
        <w:tc>
          <w:tcPr>
            <w:tcW w:w="7655" w:type="dxa"/>
          </w:tcPr>
          <w:p w14:paraId="03EFCCA9" w14:textId="62675955" w:rsidR="004E71F4" w:rsidRPr="00835753" w:rsidRDefault="004E71F4" w:rsidP="00155C96">
            <w:pPr>
              <w:pStyle w:val="Fait"/>
              <w:spacing w:before="0" w:after="120"/>
              <w:rPr>
                <w:b/>
              </w:rPr>
            </w:pPr>
            <w:r w:rsidRPr="00835753">
              <w:rPr>
                <w:b/>
              </w:rPr>
              <w:t>Wartość bilansowa brutto –</w:t>
            </w:r>
            <w:r w:rsidR="00835753" w:rsidRPr="00835753">
              <w:rPr>
                <w:b/>
              </w:rPr>
              <w:t xml:space="preserve"> w</w:t>
            </w:r>
            <w:r w:rsidR="00835753">
              <w:rPr>
                <w:b/>
              </w:rPr>
              <w:t> </w:t>
            </w:r>
            <w:r w:rsidR="00835753" w:rsidRPr="00835753">
              <w:rPr>
                <w:b/>
              </w:rPr>
              <w:t>tym</w:t>
            </w:r>
            <w:r w:rsidRPr="00835753">
              <w:rPr>
                <w:b/>
              </w:rPr>
              <w:t xml:space="preserve"> ekspozycje nieobsługiwane </w:t>
            </w:r>
          </w:p>
          <w:p w14:paraId="218B3169" w14:textId="16B7622E" w:rsidR="004E71F4" w:rsidRPr="00835753" w:rsidRDefault="004E71F4" w:rsidP="00155C96">
            <w:pPr>
              <w:pStyle w:val="Fait"/>
              <w:spacing w:before="0" w:after="120"/>
              <w:rPr>
                <w:rFonts w:eastAsiaTheme="minorEastAsia"/>
              </w:rPr>
            </w:pPr>
            <w:r w:rsidRPr="00835753">
              <w:t>Wartość bilansowa brutto zgodnie</w:t>
            </w:r>
            <w:r w:rsidR="00835753" w:rsidRPr="00835753">
              <w:t xml:space="preserve"> z</w:t>
            </w:r>
            <w:r w:rsidR="00835753">
              <w:t> </w:t>
            </w:r>
            <w:r w:rsidR="00835753" w:rsidRPr="00835753">
              <w:t>def</w:t>
            </w:r>
            <w:r w:rsidRPr="00835753">
              <w:t>inicją zawartą</w:t>
            </w:r>
            <w:r w:rsidR="00835753" w:rsidRPr="00835753">
              <w:t xml:space="preserve"> w</w:t>
            </w:r>
            <w:r w:rsidR="00835753">
              <w:t> </w:t>
            </w:r>
            <w:r w:rsidR="00835753" w:rsidRPr="00835753">
              <w:t>czę</w:t>
            </w:r>
            <w:r w:rsidRPr="00835753">
              <w:t>ści 1 pkt</w:t>
            </w:r>
            <w:r w:rsidR="00835753" w:rsidRPr="00835753">
              <w:t> </w:t>
            </w:r>
            <w:r w:rsidRPr="00835753">
              <w:t>34 załącznika V do rozporządzenia wykonawczego Komisji (UE) nr</w:t>
            </w:r>
            <w:r w:rsidR="00835753" w:rsidRPr="00835753">
              <w:t> </w:t>
            </w:r>
            <w:r w:rsidRPr="00835753">
              <w:t>680/2014; ekspozycje nieobsługiwane określone</w:t>
            </w:r>
            <w:r w:rsidR="00835753" w:rsidRPr="00835753">
              <w:t xml:space="preserve"> w</w:t>
            </w:r>
            <w:r w:rsidR="00835753">
              <w:t> </w:t>
            </w:r>
            <w:r w:rsidR="00835753" w:rsidRPr="00835753">
              <w:t>art</w:t>
            </w:r>
            <w:r w:rsidRPr="00835753">
              <w:t>.</w:t>
            </w:r>
            <w:r w:rsidR="00835753" w:rsidRPr="00835753">
              <w:t> </w:t>
            </w:r>
            <w:r w:rsidRPr="00835753">
              <w:t>47a CRR</w:t>
            </w:r>
          </w:p>
        </w:tc>
      </w:tr>
      <w:tr w:rsidR="004E71F4" w:rsidRPr="00835753" w14:paraId="371E1F32" w14:textId="77777777" w:rsidTr="00155C96">
        <w:trPr>
          <w:trHeight w:val="841"/>
        </w:trPr>
        <w:tc>
          <w:tcPr>
            <w:tcW w:w="1384" w:type="dxa"/>
          </w:tcPr>
          <w:p w14:paraId="558ECFC0" w14:textId="77777777" w:rsidR="004E71F4" w:rsidRPr="00835753" w:rsidRDefault="004E71F4" w:rsidP="00155C96">
            <w:pPr>
              <w:pStyle w:val="Applicationdirecte"/>
              <w:spacing w:before="0"/>
            </w:pPr>
            <w:proofErr w:type="gramStart"/>
            <w:r w:rsidRPr="00835753">
              <w:t>c</w:t>
            </w:r>
            <w:proofErr w:type="gramEnd"/>
            <w:r w:rsidRPr="00835753">
              <w:t>)</w:t>
            </w:r>
          </w:p>
        </w:tc>
        <w:tc>
          <w:tcPr>
            <w:tcW w:w="7655" w:type="dxa"/>
          </w:tcPr>
          <w:p w14:paraId="62C4E95E" w14:textId="77777777" w:rsidR="004E71F4" w:rsidRPr="00835753" w:rsidRDefault="004E71F4" w:rsidP="00155C96">
            <w:pPr>
              <w:pStyle w:val="Fait"/>
              <w:spacing w:before="0" w:after="120"/>
              <w:ind w:left="720"/>
              <w:rPr>
                <w:rFonts w:eastAsiaTheme="minorEastAsia"/>
                <w:b/>
              </w:rPr>
            </w:pPr>
            <w:r w:rsidRPr="00835753">
              <w:rPr>
                <w:b/>
              </w:rPr>
              <w:t>W tym ekspozycje, których dotyczy niewykonanie zobowiązania</w:t>
            </w:r>
          </w:p>
          <w:p w14:paraId="37399537" w14:textId="4128F0F7" w:rsidR="004E71F4" w:rsidRPr="00835753" w:rsidRDefault="004E71F4" w:rsidP="00155C96">
            <w:pPr>
              <w:pStyle w:val="Fait"/>
              <w:spacing w:before="0" w:after="120"/>
              <w:rPr>
                <w:rFonts w:eastAsiaTheme="minorEastAsia"/>
              </w:rPr>
            </w:pPr>
            <w:r w:rsidRPr="00835753">
              <w:t>Ekspozycje, których dotyczy niewykonanie zobowiązania, zgodnie</w:t>
            </w:r>
            <w:r w:rsidR="00835753" w:rsidRPr="00835753">
              <w:t xml:space="preserve"> z</w:t>
            </w:r>
            <w:r w:rsidR="00835753">
              <w:t> </w:t>
            </w:r>
            <w:r w:rsidR="00835753" w:rsidRPr="00835753">
              <w:t>art</w:t>
            </w:r>
            <w:r w:rsidRPr="00835753">
              <w:t>.</w:t>
            </w:r>
            <w:r w:rsidR="00835753" w:rsidRPr="00835753">
              <w:t> </w:t>
            </w:r>
            <w:r w:rsidRPr="00835753">
              <w:t>178 CRR</w:t>
            </w:r>
          </w:p>
        </w:tc>
      </w:tr>
      <w:tr w:rsidR="004E71F4" w:rsidRPr="00835753" w14:paraId="213D77F3" w14:textId="77777777" w:rsidTr="00155C96">
        <w:trPr>
          <w:trHeight w:val="841"/>
        </w:trPr>
        <w:tc>
          <w:tcPr>
            <w:tcW w:w="1384" w:type="dxa"/>
          </w:tcPr>
          <w:p w14:paraId="199F8E31" w14:textId="77777777" w:rsidR="004E71F4" w:rsidRPr="00835753" w:rsidRDefault="004E71F4" w:rsidP="00155C96">
            <w:pPr>
              <w:pStyle w:val="Applicationdirecte"/>
              <w:spacing w:before="0"/>
            </w:pPr>
            <w:proofErr w:type="gramStart"/>
            <w:r w:rsidRPr="00835753">
              <w:t>d</w:t>
            </w:r>
            <w:proofErr w:type="gramEnd"/>
            <w:r w:rsidRPr="00835753">
              <w:t>)</w:t>
            </w:r>
          </w:p>
        </w:tc>
        <w:tc>
          <w:tcPr>
            <w:tcW w:w="7655" w:type="dxa"/>
          </w:tcPr>
          <w:p w14:paraId="191EBD27" w14:textId="5FB10D01" w:rsidR="004E71F4" w:rsidRPr="00835753" w:rsidRDefault="004E71F4" w:rsidP="00155C96">
            <w:pPr>
              <w:pStyle w:val="Fait"/>
              <w:spacing w:before="0" w:after="120"/>
              <w:rPr>
                <w:b/>
              </w:rPr>
            </w:pPr>
            <w:r w:rsidRPr="00835753">
              <w:rPr>
                <w:b/>
              </w:rPr>
              <w:t>Wartość bilansowa brutto –</w:t>
            </w:r>
            <w:r w:rsidR="00835753" w:rsidRPr="00835753">
              <w:rPr>
                <w:b/>
              </w:rPr>
              <w:t xml:space="preserve"> w</w:t>
            </w:r>
            <w:r w:rsidR="00835753">
              <w:rPr>
                <w:b/>
              </w:rPr>
              <w:t> </w:t>
            </w:r>
            <w:r w:rsidR="00835753" w:rsidRPr="00835753">
              <w:rPr>
                <w:b/>
              </w:rPr>
              <w:t>tym</w:t>
            </w:r>
            <w:r w:rsidRPr="00835753">
              <w:rPr>
                <w:b/>
              </w:rPr>
              <w:t xml:space="preserve"> kredyty</w:t>
            </w:r>
            <w:r w:rsidR="00835753" w:rsidRPr="00835753">
              <w:rPr>
                <w:b/>
              </w:rPr>
              <w:t xml:space="preserve"> i</w:t>
            </w:r>
            <w:r w:rsidR="00835753">
              <w:rPr>
                <w:b/>
              </w:rPr>
              <w:t> </w:t>
            </w:r>
            <w:r w:rsidR="00835753" w:rsidRPr="00835753">
              <w:rPr>
                <w:b/>
              </w:rPr>
              <w:t>zal</w:t>
            </w:r>
            <w:r w:rsidRPr="00835753">
              <w:rPr>
                <w:b/>
              </w:rPr>
              <w:t>iczki podlegające utracie wartości</w:t>
            </w:r>
          </w:p>
          <w:p w14:paraId="4B4B425B" w14:textId="3CDAC439" w:rsidR="004E71F4" w:rsidRPr="00835753" w:rsidRDefault="004E71F4" w:rsidP="00155C96">
            <w:pPr>
              <w:pStyle w:val="Fait"/>
              <w:spacing w:before="0" w:after="120"/>
            </w:pPr>
            <w:r w:rsidRPr="00835753">
              <w:t>Wartość bilansowa brutto kredytów</w:t>
            </w:r>
            <w:r w:rsidR="00835753" w:rsidRPr="00835753">
              <w:t xml:space="preserve"> i</w:t>
            </w:r>
            <w:r w:rsidR="00835753">
              <w:t> </w:t>
            </w:r>
            <w:r w:rsidR="00835753" w:rsidRPr="00835753">
              <w:t>zal</w:t>
            </w:r>
            <w:r w:rsidRPr="00835753">
              <w:t>iczek, które podlegają wymogom</w:t>
            </w:r>
            <w:r w:rsidR="00835753" w:rsidRPr="00835753">
              <w:t xml:space="preserve"> z</w:t>
            </w:r>
            <w:r w:rsidR="00835753">
              <w:t> </w:t>
            </w:r>
            <w:r w:rsidR="00835753" w:rsidRPr="00835753">
              <w:t>zak</w:t>
            </w:r>
            <w:r w:rsidRPr="00835753">
              <w:t>resu utraty wartości zgodnie</w:t>
            </w:r>
            <w:r w:rsidR="00835753" w:rsidRPr="00835753">
              <w:t xml:space="preserve"> z</w:t>
            </w:r>
            <w:r w:rsidR="00835753">
              <w:t> </w:t>
            </w:r>
            <w:r w:rsidR="00835753" w:rsidRPr="00835753">
              <w:t>obo</w:t>
            </w:r>
            <w:r w:rsidRPr="00835753">
              <w:t>wiązującymi standardami rachunkowości</w:t>
            </w:r>
          </w:p>
        </w:tc>
      </w:tr>
      <w:tr w:rsidR="004E71F4" w:rsidRPr="00835753" w14:paraId="3AE4B1A3" w14:textId="77777777" w:rsidTr="00155C96">
        <w:trPr>
          <w:trHeight w:val="316"/>
        </w:trPr>
        <w:tc>
          <w:tcPr>
            <w:tcW w:w="1384" w:type="dxa"/>
          </w:tcPr>
          <w:p w14:paraId="4E2F656A"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proofErr w:type="gramStart"/>
            <w:r w:rsidRPr="00835753">
              <w:rPr>
                <w:rFonts w:ascii="Times New Roman" w:hAnsi="Times New Roman"/>
                <w:color w:val="000000"/>
                <w:sz w:val="24"/>
              </w:rPr>
              <w:t>e</w:t>
            </w:r>
            <w:proofErr w:type="gramEnd"/>
            <w:r w:rsidRPr="00835753">
              <w:rPr>
                <w:rFonts w:ascii="Times New Roman" w:hAnsi="Times New Roman"/>
                <w:color w:val="000000"/>
                <w:sz w:val="24"/>
              </w:rPr>
              <w:t>)</w:t>
            </w:r>
          </w:p>
        </w:tc>
        <w:tc>
          <w:tcPr>
            <w:tcW w:w="7655" w:type="dxa"/>
          </w:tcPr>
          <w:p w14:paraId="0B527FEF" w14:textId="77777777" w:rsidR="004E71F4" w:rsidRPr="00835753" w:rsidRDefault="004E71F4" w:rsidP="00155C96">
            <w:pPr>
              <w:pStyle w:val="Fait"/>
              <w:spacing w:before="0" w:after="120"/>
              <w:rPr>
                <w:b/>
              </w:rPr>
            </w:pPr>
            <w:r w:rsidRPr="00835753">
              <w:rPr>
                <w:b/>
              </w:rPr>
              <w:t>Skumulowana utrata wartości</w:t>
            </w:r>
          </w:p>
          <w:p w14:paraId="7702A0EE" w14:textId="56D765DA" w:rsidR="004E71F4" w:rsidRPr="00835753" w:rsidRDefault="004E71F4" w:rsidP="00155C96">
            <w:pPr>
              <w:pStyle w:val="Fait"/>
              <w:spacing w:before="0" w:after="120"/>
            </w:pPr>
            <w:r w:rsidRPr="00835753">
              <w:t>W tej pozycji ujmuje się kwoty ustalone zgodnie</w:t>
            </w:r>
            <w:r w:rsidR="00835753" w:rsidRPr="00835753">
              <w:t xml:space="preserve"> z</w:t>
            </w:r>
            <w:r w:rsidR="00835753">
              <w:t> </w:t>
            </w:r>
            <w:r w:rsidR="00835753" w:rsidRPr="00835753">
              <w:t>czę</w:t>
            </w:r>
            <w:r w:rsidRPr="00835753">
              <w:t>ścią 2 pkt</w:t>
            </w:r>
            <w:r w:rsidR="00835753" w:rsidRPr="00835753">
              <w:t> </w:t>
            </w:r>
            <w:r w:rsidRPr="00835753">
              <w:t>11, 69–71, 106</w:t>
            </w:r>
            <w:r w:rsidR="00835753" w:rsidRPr="00835753">
              <w:t xml:space="preserve"> i</w:t>
            </w:r>
            <w:r w:rsidR="00835753">
              <w:t> </w:t>
            </w:r>
            <w:r w:rsidR="00835753" w:rsidRPr="00835753">
              <w:t>1</w:t>
            </w:r>
            <w:r w:rsidRPr="00835753">
              <w:t>10 załącznika V do rozporządzenia wykonawczego Komisji (UE) nr</w:t>
            </w:r>
            <w:r w:rsidR="00835753" w:rsidRPr="00835753">
              <w:t> </w:t>
            </w:r>
            <w:r w:rsidRPr="00835753">
              <w:t>680/2014.</w:t>
            </w:r>
          </w:p>
        </w:tc>
      </w:tr>
      <w:tr w:rsidR="004E71F4" w:rsidRPr="00835753" w14:paraId="62C1F901" w14:textId="77777777" w:rsidTr="00155C96">
        <w:trPr>
          <w:trHeight w:val="316"/>
        </w:trPr>
        <w:tc>
          <w:tcPr>
            <w:tcW w:w="1384" w:type="dxa"/>
          </w:tcPr>
          <w:p w14:paraId="727F98B2"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lastRenderedPageBreak/>
              <w:t>f</w:t>
            </w:r>
            <w:proofErr w:type="gramEnd"/>
            <w:r w:rsidRPr="00835753">
              <w:rPr>
                <w:rFonts w:ascii="Times New Roman" w:hAnsi="Times New Roman"/>
                <w:sz w:val="24"/>
              </w:rPr>
              <w:t>)</w:t>
            </w:r>
          </w:p>
        </w:tc>
        <w:tc>
          <w:tcPr>
            <w:tcW w:w="7655" w:type="dxa"/>
          </w:tcPr>
          <w:p w14:paraId="2411E6BE" w14:textId="6374F232" w:rsidR="004E71F4" w:rsidRPr="00835753" w:rsidRDefault="004E71F4" w:rsidP="00155C96">
            <w:pPr>
              <w:pStyle w:val="Fait"/>
              <w:spacing w:before="0" w:after="120"/>
              <w:rPr>
                <w:b/>
              </w:rPr>
            </w:pPr>
            <w:r w:rsidRPr="00835753">
              <w:rPr>
                <w:b/>
              </w:rPr>
              <w:t>Skumulowane ujemne zmiany wartości godziwej</w:t>
            </w:r>
            <w:r w:rsidR="00835753" w:rsidRPr="00835753">
              <w:rPr>
                <w:b/>
              </w:rPr>
              <w:t xml:space="preserve"> z</w:t>
            </w:r>
            <w:r w:rsidR="00835753">
              <w:rPr>
                <w:b/>
              </w:rPr>
              <w:t> </w:t>
            </w:r>
            <w:r w:rsidR="00835753" w:rsidRPr="00835753">
              <w:rPr>
                <w:b/>
              </w:rPr>
              <w:t>pow</w:t>
            </w:r>
            <w:r w:rsidRPr="00835753">
              <w:rPr>
                <w:b/>
              </w:rPr>
              <w:t>odu ryzyka kredytowego</w:t>
            </w:r>
            <w:r w:rsidR="00835753" w:rsidRPr="00835753">
              <w:rPr>
                <w:b/>
              </w:rPr>
              <w:t xml:space="preserve"> z</w:t>
            </w:r>
            <w:r w:rsidR="00835753">
              <w:rPr>
                <w:b/>
              </w:rPr>
              <w:t> </w:t>
            </w:r>
            <w:r w:rsidR="00835753" w:rsidRPr="00835753">
              <w:rPr>
                <w:b/>
              </w:rPr>
              <w:t>tyt</w:t>
            </w:r>
            <w:r w:rsidRPr="00835753">
              <w:rPr>
                <w:b/>
              </w:rPr>
              <w:t>ułu ekspozycji nieobsługiwanych</w:t>
            </w:r>
          </w:p>
          <w:p w14:paraId="5DCDC716" w14:textId="501A9707" w:rsidR="004E71F4" w:rsidRPr="00835753" w:rsidRDefault="004E71F4" w:rsidP="00155C96">
            <w:pPr>
              <w:pStyle w:val="Fait"/>
              <w:spacing w:before="0" w:after="120"/>
            </w:pPr>
            <w:r w:rsidRPr="00835753">
              <w:t>Ekspozycje nieobsługiwane określone</w:t>
            </w:r>
            <w:r w:rsidR="00835753" w:rsidRPr="00835753">
              <w:t xml:space="preserve"> w</w:t>
            </w:r>
            <w:r w:rsidR="00835753">
              <w:t> </w:t>
            </w:r>
            <w:r w:rsidR="00835753" w:rsidRPr="00835753">
              <w:t>art</w:t>
            </w:r>
            <w:r w:rsidRPr="00835753">
              <w:t>.</w:t>
            </w:r>
            <w:r w:rsidR="00835753" w:rsidRPr="00835753">
              <w:t> </w:t>
            </w:r>
            <w:r w:rsidRPr="00835753">
              <w:t>47a CRR</w:t>
            </w:r>
          </w:p>
          <w:p w14:paraId="3A5B7C72" w14:textId="6A77A243" w:rsidR="004E71F4" w:rsidRPr="00835753" w:rsidRDefault="004E71F4" w:rsidP="00155C96">
            <w:pPr>
              <w:pStyle w:val="Fait"/>
              <w:spacing w:before="0" w:after="120"/>
            </w:pPr>
            <w:r w:rsidRPr="00835753">
              <w:t>Instytucje uwzględniają kwoty ustalone zgodnie</w:t>
            </w:r>
            <w:r w:rsidR="00835753" w:rsidRPr="00835753">
              <w:t xml:space="preserve"> z</w:t>
            </w:r>
            <w:r w:rsidR="00835753">
              <w:t> </w:t>
            </w:r>
            <w:r w:rsidR="00835753" w:rsidRPr="00835753">
              <w:t>czę</w:t>
            </w:r>
            <w:r w:rsidRPr="00835753">
              <w:t>ścią 2 pkt</w:t>
            </w:r>
            <w:r w:rsidR="00835753" w:rsidRPr="00835753">
              <w:t> </w:t>
            </w:r>
            <w:r w:rsidRPr="00835753">
              <w:t>11, 69–71, 106</w:t>
            </w:r>
            <w:r w:rsidR="00835753" w:rsidRPr="00835753">
              <w:t xml:space="preserve"> i</w:t>
            </w:r>
            <w:r w:rsidR="00835753">
              <w:t> </w:t>
            </w:r>
            <w:r w:rsidR="00835753" w:rsidRPr="00835753">
              <w:t>1</w:t>
            </w:r>
            <w:r w:rsidRPr="00835753">
              <w:t>10 załącznika V do rozporządzenia wykonawczego Komisji (UE) nr</w:t>
            </w:r>
            <w:r w:rsidR="00835753" w:rsidRPr="00835753">
              <w:t> </w:t>
            </w:r>
            <w:r w:rsidRPr="00835753">
              <w:t>680/2014.</w:t>
            </w:r>
          </w:p>
        </w:tc>
      </w:tr>
    </w:tbl>
    <w:p w14:paraId="467A822A" w14:textId="77777777" w:rsidR="004E71F4" w:rsidRPr="00835753" w:rsidRDefault="004E71F4" w:rsidP="004E71F4">
      <w:pPr>
        <w:autoSpaceDE w:val="0"/>
        <w:autoSpaceDN w:val="0"/>
        <w:adjustRightInd w:val="0"/>
        <w:spacing w:after="120"/>
        <w:jc w:val="both"/>
        <w:rPr>
          <w:rFonts w:ascii="Times New Roman" w:hAnsi="Times New Roman" w:cs="Times New Roman"/>
          <w:b/>
          <w:sz w:val="24"/>
        </w:rPr>
      </w:pPr>
    </w:p>
    <w:p w14:paraId="64E06730" w14:textId="2406F38A" w:rsidR="004E71F4" w:rsidRPr="00835753" w:rsidRDefault="00CD362D" w:rsidP="004E71F4">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Wzór EU CQ6: Wycena zabezpieczenia – kredyty</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zal</w:t>
      </w:r>
      <w:r w:rsidRPr="00835753">
        <w:rPr>
          <w:rFonts w:ascii="Times New Roman" w:hAnsi="Times New Roman"/>
          <w:b/>
          <w:sz w:val="24"/>
        </w:rPr>
        <w:t>iczki</w:t>
      </w:r>
    </w:p>
    <w:p w14:paraId="0FE385CA" w14:textId="75023662" w:rsidR="004E71F4" w:rsidRPr="00835753" w:rsidRDefault="004E71F4" w:rsidP="004E71F4">
      <w:pPr>
        <w:pStyle w:val="ListParagraph"/>
        <w:numPr>
          <w:ilvl w:val="0"/>
          <w:numId w:val="48"/>
        </w:numPr>
        <w:spacing w:after="120"/>
        <w:jc w:val="both"/>
        <w:rPr>
          <w:rFonts w:ascii="Times New Roman" w:hAnsi="Times New Roman"/>
          <w:bCs/>
          <w:sz w:val="24"/>
        </w:rPr>
      </w:pPr>
      <w:r w:rsidRPr="00835753">
        <w:rPr>
          <w:rFonts w:ascii="Times New Roman" w:hAnsi="Times New Roman"/>
          <w:bCs/>
          <w:sz w:val="24"/>
        </w:rPr>
        <w:t>W celu wypełnienia wzoru EU CQ6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 xml:space="preserve">ączniku XV do niniejszego rozporządzenia wykonawczego instytucje </w:t>
      </w:r>
      <w:r w:rsidRPr="00835753">
        <w:rPr>
          <w:rFonts w:ascii="Times New Roman" w:hAnsi="Times New Roman"/>
          <w:sz w:val="24"/>
        </w:rPr>
        <w:t>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442 lit.</w:t>
      </w:r>
      <w:r w:rsidR="00835753" w:rsidRPr="00835753">
        <w:rPr>
          <w:rFonts w:ascii="Times New Roman" w:hAnsi="Times New Roman"/>
          <w:bCs/>
          <w:sz w:val="24"/>
        </w:rPr>
        <w:t> </w:t>
      </w:r>
      <w:r w:rsidRPr="00835753">
        <w:rPr>
          <w:rFonts w:ascii="Times New Roman" w:hAnsi="Times New Roman"/>
          <w:bCs/>
          <w:sz w:val="24"/>
        </w:rPr>
        <w:t xml:space="preserve">c) </w:t>
      </w:r>
      <w:r w:rsidRPr="00835753">
        <w:rPr>
          <w:rFonts w:ascii="Times New Roman" w:hAnsi="Times New Roman"/>
          <w:color w:val="000000"/>
          <w:sz w:val="24"/>
        </w:rPr>
        <w:t>CRR</w:t>
      </w:r>
      <w:r w:rsidRPr="00835753">
        <w:rPr>
          <w:rFonts w:ascii="Times New Roman" w:hAnsi="Times New Roman"/>
          <w:bCs/>
          <w:sz w:val="24"/>
        </w:rPr>
        <w:t>,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r w:rsidRPr="00835753">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2E6A121B" w:rsidR="004E71F4" w:rsidRPr="00835753" w:rsidRDefault="004E71F4"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13BEB25F" w14:textId="77777777" w:rsidTr="00155C96">
        <w:trPr>
          <w:trHeight w:val="238"/>
        </w:trPr>
        <w:tc>
          <w:tcPr>
            <w:tcW w:w="1384" w:type="dxa"/>
            <w:shd w:val="clear" w:color="auto" w:fill="D9D9D9" w:themeFill="background1" w:themeFillShade="D9"/>
          </w:tcPr>
          <w:p w14:paraId="553FDCF5"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0E0C950C"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4E71F4" w:rsidRPr="00835753" w14:paraId="167093C2" w14:textId="77777777" w:rsidTr="00155C96">
        <w:trPr>
          <w:trHeight w:val="971"/>
        </w:trPr>
        <w:tc>
          <w:tcPr>
            <w:tcW w:w="1384" w:type="dxa"/>
          </w:tcPr>
          <w:p w14:paraId="15CDA528" w14:textId="77777777" w:rsidR="004E71F4" w:rsidRPr="00835753" w:rsidRDefault="004E71F4" w:rsidP="00155C96">
            <w:pPr>
              <w:pStyle w:val="Applicationdirecte"/>
              <w:spacing w:before="0"/>
            </w:pPr>
            <w:r w:rsidRPr="00835753">
              <w:t>010</w:t>
            </w:r>
          </w:p>
        </w:tc>
        <w:tc>
          <w:tcPr>
            <w:tcW w:w="7655" w:type="dxa"/>
          </w:tcPr>
          <w:p w14:paraId="0D459D51" w14:textId="77777777" w:rsidR="004E71F4" w:rsidRPr="00835753" w:rsidRDefault="004E71F4" w:rsidP="00155C96">
            <w:pPr>
              <w:pStyle w:val="Fait"/>
              <w:spacing w:before="0" w:after="120"/>
              <w:rPr>
                <w:rFonts w:eastAsiaTheme="minorEastAsia"/>
                <w:b/>
              </w:rPr>
            </w:pPr>
            <w:r w:rsidRPr="00835753">
              <w:rPr>
                <w:b/>
              </w:rPr>
              <w:t xml:space="preserve">Wartość bilansowa brutto </w:t>
            </w:r>
          </w:p>
          <w:p w14:paraId="42B0DF3A" w14:textId="5D792BA2" w:rsidR="004E71F4" w:rsidRPr="00835753" w:rsidRDefault="004E71F4" w:rsidP="00155C96">
            <w:pPr>
              <w:pStyle w:val="Fait"/>
              <w:spacing w:before="0" w:after="120"/>
            </w:pPr>
            <w:r w:rsidRPr="00835753">
              <w:t>Wartość bilansowa brutto zgodnie</w:t>
            </w:r>
            <w:r w:rsidR="00835753" w:rsidRPr="00835753">
              <w:t xml:space="preserve"> z</w:t>
            </w:r>
            <w:r w:rsidR="00835753">
              <w:t> </w:t>
            </w:r>
            <w:r w:rsidR="00835753" w:rsidRPr="00835753">
              <w:t>def</w:t>
            </w:r>
            <w:r w:rsidRPr="00835753">
              <w:t>inicją zawartą</w:t>
            </w:r>
            <w:r w:rsidR="00835753" w:rsidRPr="00835753">
              <w:t xml:space="preserve"> w</w:t>
            </w:r>
            <w:r w:rsidR="00835753">
              <w:t> </w:t>
            </w:r>
            <w:r w:rsidR="00835753" w:rsidRPr="00835753">
              <w:t>czę</w:t>
            </w:r>
            <w:r w:rsidRPr="00835753">
              <w:t>ści 1 pkt</w:t>
            </w:r>
            <w:r w:rsidR="00835753" w:rsidRPr="00835753">
              <w:t> </w:t>
            </w:r>
            <w:r w:rsidRPr="00835753">
              <w:t>34 załącznika V do rozporządzenia wykonawczego Komisji (UE) nr</w:t>
            </w:r>
            <w:r w:rsidR="00835753" w:rsidRPr="00835753">
              <w:t> </w:t>
            </w:r>
            <w:r w:rsidRPr="00835753">
              <w:t>680/2014.</w:t>
            </w:r>
          </w:p>
        </w:tc>
      </w:tr>
      <w:tr w:rsidR="004E71F4" w:rsidRPr="00835753" w14:paraId="17DE3FE5" w14:textId="77777777" w:rsidTr="00155C96">
        <w:trPr>
          <w:trHeight w:val="971"/>
        </w:trPr>
        <w:tc>
          <w:tcPr>
            <w:tcW w:w="1384" w:type="dxa"/>
          </w:tcPr>
          <w:p w14:paraId="77E12B3A" w14:textId="77777777" w:rsidR="004E71F4" w:rsidRPr="00835753" w:rsidRDefault="004E71F4" w:rsidP="00155C96">
            <w:pPr>
              <w:pStyle w:val="Applicationdirecte"/>
              <w:spacing w:before="0"/>
            </w:pPr>
            <w:r w:rsidRPr="00835753">
              <w:t>020</w:t>
            </w:r>
          </w:p>
        </w:tc>
        <w:tc>
          <w:tcPr>
            <w:tcW w:w="7655" w:type="dxa"/>
          </w:tcPr>
          <w:p w14:paraId="1444414A" w14:textId="77777777" w:rsidR="004E71F4" w:rsidRPr="00835753" w:rsidRDefault="004E71F4" w:rsidP="00155C96">
            <w:pPr>
              <w:pStyle w:val="Fait"/>
              <w:spacing w:before="0" w:after="120"/>
              <w:ind w:left="720"/>
              <w:rPr>
                <w:rFonts w:eastAsiaTheme="minorEastAsia"/>
                <w:b/>
              </w:rPr>
            </w:pPr>
            <w:proofErr w:type="gramStart"/>
            <w:r w:rsidRPr="00835753">
              <w:rPr>
                <w:b/>
              </w:rPr>
              <w:t>w</w:t>
            </w:r>
            <w:proofErr w:type="gramEnd"/>
            <w:r w:rsidRPr="00835753">
              <w:rPr>
                <w:b/>
              </w:rPr>
              <w:t xml:space="preserve"> tym zabezpieczone </w:t>
            </w:r>
          </w:p>
          <w:p w14:paraId="1989790B" w14:textId="793C2C4B" w:rsidR="004E71F4" w:rsidRPr="00835753" w:rsidRDefault="004E71F4" w:rsidP="00155C96">
            <w:pPr>
              <w:pStyle w:val="Fait"/>
              <w:spacing w:before="0" w:after="120"/>
            </w:pPr>
            <w:r w:rsidRPr="00835753">
              <w:t>W tym wierszu ujawnia się wartość bilansową brutto, jak określono</w:t>
            </w:r>
            <w:r w:rsidR="00835753" w:rsidRPr="00835753">
              <w:t xml:space="preserve"> w</w:t>
            </w:r>
            <w:r w:rsidR="00835753">
              <w:t> </w:t>
            </w:r>
            <w:r w:rsidR="00835753" w:rsidRPr="00835753">
              <w:t>czę</w:t>
            </w:r>
            <w:r w:rsidRPr="00835753">
              <w:t>ści 1 pkt</w:t>
            </w:r>
            <w:r w:rsidR="00835753" w:rsidRPr="00835753">
              <w:t> </w:t>
            </w:r>
            <w:r w:rsidRPr="00835753">
              <w:t>34 załącznika V do rozporządzenia wykonawczego Komisji (UE) nr</w:t>
            </w:r>
            <w:r w:rsidR="00835753" w:rsidRPr="00835753">
              <w:t> </w:t>
            </w:r>
            <w:r w:rsidRPr="00835753">
              <w:t>680/2014, kredytów zabezpieczonych</w:t>
            </w:r>
            <w:r w:rsidR="00835753" w:rsidRPr="00835753">
              <w:t xml:space="preserve"> i</w:t>
            </w:r>
            <w:r w:rsidR="00835753">
              <w:t> </w:t>
            </w:r>
            <w:r w:rsidR="00835753" w:rsidRPr="00835753">
              <w:t>czę</w:t>
            </w:r>
            <w:r w:rsidRPr="00835753">
              <w:t>ściowo zabezpieczonych.</w:t>
            </w:r>
          </w:p>
          <w:p w14:paraId="49F56793" w14:textId="48375CC3" w:rsidR="004E71F4" w:rsidRPr="00835753" w:rsidRDefault="004E71F4" w:rsidP="00155C96">
            <w:pPr>
              <w:pStyle w:val="Fait"/>
              <w:spacing w:before="0" w:after="120"/>
            </w:pPr>
            <w:r w:rsidRPr="00835753">
              <w:t>Pozycja „Niezabezpieczone kredyty</w:t>
            </w:r>
            <w:r w:rsidR="00835753" w:rsidRPr="00835753">
              <w:t xml:space="preserve"> i</w:t>
            </w:r>
            <w:r w:rsidR="00835753">
              <w:t> </w:t>
            </w:r>
            <w:r w:rsidR="00835753" w:rsidRPr="00835753">
              <w:t>zal</w:t>
            </w:r>
            <w:r w:rsidRPr="00835753">
              <w:t>iczki” obejmuje ekspozycje,</w:t>
            </w:r>
            <w:r w:rsidR="00835753" w:rsidRPr="00835753">
              <w:t xml:space="preserve"> w</w:t>
            </w:r>
            <w:r w:rsidR="00835753">
              <w:t> </w:t>
            </w:r>
            <w:r w:rsidR="00835753" w:rsidRPr="00835753">
              <w:t>prz</w:t>
            </w:r>
            <w:r w:rsidRPr="00835753">
              <w:t>ypadku których nie ustanowiono zabezpieczenia ani nie otrzymano gwarancji finansowych;</w:t>
            </w:r>
            <w:r w:rsidR="00835753" w:rsidRPr="00835753">
              <w:t xml:space="preserve"> w</w:t>
            </w:r>
            <w:r w:rsidR="00835753">
              <w:t> </w:t>
            </w:r>
            <w:r w:rsidR="00835753" w:rsidRPr="00835753">
              <w:t>tym</w:t>
            </w:r>
            <w:r w:rsidRPr="00835753">
              <w:t xml:space="preserve"> wierszu uwzględniana się niezabezpieczoną część ekspozycji częściowo zabezpieczonej lub częściowo gwarantowanej zgodnie</w:t>
            </w:r>
            <w:r w:rsidR="00835753" w:rsidRPr="00835753">
              <w:t xml:space="preserve"> z</w:t>
            </w:r>
            <w:r w:rsidR="00835753">
              <w:t> </w:t>
            </w:r>
            <w:r w:rsidR="00835753" w:rsidRPr="00835753">
              <w:t>czę</w:t>
            </w:r>
            <w:r w:rsidRPr="00835753">
              <w:t>ścią 2 pkt</w:t>
            </w:r>
            <w:r w:rsidR="00835753" w:rsidRPr="00835753">
              <w:t> </w:t>
            </w:r>
            <w:r w:rsidRPr="00835753">
              <w:t>323 załącznika V do rozporządzenia wykonawczego Komisji (UE) nr</w:t>
            </w:r>
            <w:r w:rsidR="00835753" w:rsidRPr="00835753">
              <w:t> </w:t>
            </w:r>
            <w:r w:rsidRPr="00835753">
              <w:t>680/2014.</w:t>
            </w:r>
          </w:p>
          <w:p w14:paraId="66933E4D" w14:textId="3A9A6CDB" w:rsidR="004E71F4" w:rsidRPr="00835753" w:rsidRDefault="004E71F4" w:rsidP="00155C96">
            <w:pPr>
              <w:pStyle w:val="Fait"/>
              <w:spacing w:before="0" w:after="120"/>
            </w:pPr>
            <w:r w:rsidRPr="00835753">
              <w:t>W związku</w:t>
            </w:r>
            <w:r w:rsidR="00835753" w:rsidRPr="00835753">
              <w:t xml:space="preserve"> z</w:t>
            </w:r>
            <w:r w:rsidR="00835753">
              <w:t> </w:t>
            </w:r>
            <w:r w:rsidR="00835753" w:rsidRPr="00835753">
              <w:t>tym</w:t>
            </w:r>
            <w:r w:rsidRPr="00835753">
              <w:t xml:space="preserve"> zabezpieczone kredyty</w:t>
            </w:r>
            <w:r w:rsidR="00835753" w:rsidRPr="00835753">
              <w:t xml:space="preserve"> i</w:t>
            </w:r>
            <w:r w:rsidR="00835753">
              <w:t> </w:t>
            </w:r>
            <w:r w:rsidR="00835753" w:rsidRPr="00835753">
              <w:t>zal</w:t>
            </w:r>
            <w:r w:rsidRPr="00835753">
              <w:t>iczki należy obliczać jako różnicę między wartością bilansową brutto wszystkich kredytów</w:t>
            </w:r>
            <w:r w:rsidR="00835753" w:rsidRPr="00835753">
              <w:t xml:space="preserve"> i</w:t>
            </w:r>
            <w:r w:rsidR="00835753">
              <w:t> </w:t>
            </w:r>
            <w:r w:rsidR="00835753" w:rsidRPr="00835753">
              <w:t>zal</w:t>
            </w:r>
            <w:r w:rsidRPr="00835753">
              <w:t>iczek</w:t>
            </w:r>
            <w:r w:rsidR="00835753" w:rsidRPr="00835753">
              <w:t xml:space="preserve"> a</w:t>
            </w:r>
            <w:r w:rsidR="00835753">
              <w:t> </w:t>
            </w:r>
            <w:r w:rsidR="00835753" w:rsidRPr="00835753">
              <w:t>war</w:t>
            </w:r>
            <w:r w:rsidRPr="00835753">
              <w:t>tością bilansową brutto niezabezpieczonych kredytów</w:t>
            </w:r>
            <w:r w:rsidR="00835753" w:rsidRPr="00835753">
              <w:t xml:space="preserve"> i</w:t>
            </w:r>
            <w:r w:rsidR="00835753">
              <w:t> </w:t>
            </w:r>
            <w:r w:rsidR="00835753" w:rsidRPr="00835753">
              <w:t>zal</w:t>
            </w:r>
            <w:r w:rsidRPr="00835753">
              <w:t>iczek,</w:t>
            </w:r>
            <w:r w:rsidR="00835753" w:rsidRPr="00835753">
              <w:t xml:space="preserve"> i</w:t>
            </w:r>
            <w:r w:rsidR="00835753">
              <w:t> </w:t>
            </w:r>
            <w:r w:rsidR="00835753" w:rsidRPr="00835753">
              <w:t>będ</w:t>
            </w:r>
            <w:r w:rsidRPr="00835753">
              <w:t>ą one obejmować zarówno zabezpieczoną, jak</w:t>
            </w:r>
            <w:r w:rsidR="00835753" w:rsidRPr="00835753">
              <w:t xml:space="preserve"> i</w:t>
            </w:r>
            <w:r w:rsidR="00835753">
              <w:t> </w:t>
            </w:r>
            <w:r w:rsidR="00835753" w:rsidRPr="00835753">
              <w:t>nie</w:t>
            </w:r>
            <w:r w:rsidRPr="00835753">
              <w:t>zabezpieczoną część kredytu.</w:t>
            </w:r>
          </w:p>
          <w:p w14:paraId="39CA1040" w14:textId="77777777" w:rsidR="004E71F4" w:rsidRPr="00835753" w:rsidRDefault="004E71F4" w:rsidP="00155C96">
            <w:pPr>
              <w:pStyle w:val="Institutionquisigne"/>
              <w:spacing w:before="0" w:after="120"/>
            </w:pPr>
            <w:r w:rsidRPr="00835753">
              <w:rPr>
                <w:i w:val="0"/>
              </w:rPr>
              <w:t>W przypadku nadzabezpieczenia ujawnia się wartość bilansową brutto kredytu.</w:t>
            </w:r>
          </w:p>
        </w:tc>
      </w:tr>
      <w:tr w:rsidR="004E71F4" w:rsidRPr="00835753" w14:paraId="754A3D91" w14:textId="77777777" w:rsidTr="00155C96">
        <w:trPr>
          <w:trHeight w:val="971"/>
        </w:trPr>
        <w:tc>
          <w:tcPr>
            <w:tcW w:w="1384" w:type="dxa"/>
          </w:tcPr>
          <w:p w14:paraId="4445E319" w14:textId="77777777" w:rsidR="004E71F4" w:rsidRPr="00835753" w:rsidRDefault="004E71F4" w:rsidP="00155C96">
            <w:pPr>
              <w:pStyle w:val="Applicationdirecte"/>
              <w:spacing w:before="0"/>
            </w:pPr>
            <w:r w:rsidRPr="00835753">
              <w:t>030</w:t>
            </w:r>
          </w:p>
        </w:tc>
        <w:tc>
          <w:tcPr>
            <w:tcW w:w="7655" w:type="dxa"/>
          </w:tcPr>
          <w:p w14:paraId="482604AE" w14:textId="77777777" w:rsidR="004E71F4" w:rsidRPr="00835753" w:rsidRDefault="004E71F4" w:rsidP="00155C96">
            <w:pPr>
              <w:pStyle w:val="Fait"/>
              <w:spacing w:before="0" w:after="120"/>
              <w:ind w:left="1440"/>
              <w:rPr>
                <w:rFonts w:eastAsiaTheme="minorEastAsia"/>
                <w:b/>
              </w:rPr>
            </w:pPr>
            <w:proofErr w:type="gramStart"/>
            <w:r w:rsidRPr="00835753">
              <w:rPr>
                <w:b/>
              </w:rPr>
              <w:t>w</w:t>
            </w:r>
            <w:proofErr w:type="gramEnd"/>
            <w:r w:rsidRPr="00835753">
              <w:rPr>
                <w:b/>
              </w:rPr>
              <w:t xml:space="preserve"> tym zabezpieczone nieruchomościami</w:t>
            </w:r>
          </w:p>
          <w:p w14:paraId="758E75CD" w14:textId="17E582BD" w:rsidR="004E71F4" w:rsidRPr="00835753" w:rsidRDefault="004E71F4" w:rsidP="00155C96">
            <w:pPr>
              <w:pStyle w:val="Fait"/>
              <w:spacing w:before="0" w:after="120"/>
            </w:pPr>
            <w:r w:rsidRPr="00835753">
              <w:t>Kredyty zabezpieczone nieruchomościami obejmują kredyty</w:t>
            </w:r>
            <w:r w:rsidR="00835753" w:rsidRPr="00835753">
              <w:t xml:space="preserve"> i</w:t>
            </w:r>
            <w:r w:rsidR="00835753">
              <w:t> </w:t>
            </w:r>
            <w:r w:rsidR="00835753" w:rsidRPr="00835753">
              <w:t>zal</w:t>
            </w:r>
            <w:r w:rsidRPr="00835753">
              <w:t xml:space="preserve">iczki formalnie zabezpieczone nieruchomościami mieszkalnymi lub komercyjnymi niezależnie od wartości współczynnika kredytu do jego zabezpieczenia (powszechnie zwanego „współczynnikiem LTV” – ang. </w:t>
            </w:r>
            <w:r w:rsidRPr="00835753">
              <w:rPr>
                <w:i/>
              </w:rPr>
              <w:t>loan-to-value</w:t>
            </w:r>
            <w:r w:rsidRPr="00835753">
              <w:t>)</w:t>
            </w:r>
            <w:r w:rsidR="00835753" w:rsidRPr="00835753">
              <w:t xml:space="preserve"> </w:t>
            </w:r>
            <w:r w:rsidR="00835753" w:rsidRPr="00835753">
              <w:lastRenderedPageBreak/>
              <w:t>i</w:t>
            </w:r>
            <w:r w:rsidR="00835753">
              <w:t> </w:t>
            </w:r>
            <w:r w:rsidR="00835753" w:rsidRPr="00835753">
              <w:t>for</w:t>
            </w:r>
            <w:r w:rsidRPr="00835753">
              <w:t>my prawnej zabezpieczenia, jak określono</w:t>
            </w:r>
            <w:r w:rsidR="00835753" w:rsidRPr="00835753">
              <w:t xml:space="preserve"> w</w:t>
            </w:r>
            <w:r w:rsidR="00835753">
              <w:t> </w:t>
            </w:r>
            <w:r w:rsidR="00835753" w:rsidRPr="00835753">
              <w:t>czę</w:t>
            </w:r>
            <w:r w:rsidRPr="00835753">
              <w:t>ści 2 pkt</w:t>
            </w:r>
            <w:r w:rsidR="00835753" w:rsidRPr="00835753">
              <w:t> </w:t>
            </w:r>
            <w:r w:rsidRPr="00835753">
              <w:t>86 lit.</w:t>
            </w:r>
            <w:r w:rsidR="00835753" w:rsidRPr="00835753">
              <w:t> </w:t>
            </w:r>
            <w:r w:rsidRPr="00835753">
              <w:t>a) załącznika V do rozporządzenia wykonawczego Komisji (UE) nr</w:t>
            </w:r>
            <w:r w:rsidR="00835753" w:rsidRPr="00835753">
              <w:t> </w:t>
            </w:r>
            <w:r w:rsidRPr="00835753">
              <w:t>680/2014.</w:t>
            </w:r>
          </w:p>
        </w:tc>
      </w:tr>
      <w:tr w:rsidR="004E71F4" w:rsidRPr="00835753" w14:paraId="4D807938" w14:textId="77777777" w:rsidTr="00155C96">
        <w:trPr>
          <w:trHeight w:val="971"/>
        </w:trPr>
        <w:tc>
          <w:tcPr>
            <w:tcW w:w="1384" w:type="dxa"/>
          </w:tcPr>
          <w:p w14:paraId="3C28ECDF" w14:textId="77777777" w:rsidR="004E71F4" w:rsidRPr="00835753" w:rsidRDefault="004E71F4" w:rsidP="00155C96">
            <w:pPr>
              <w:pStyle w:val="Applicationdirecte"/>
              <w:spacing w:before="0"/>
            </w:pPr>
            <w:r w:rsidRPr="00835753">
              <w:lastRenderedPageBreak/>
              <w:t>040</w:t>
            </w:r>
          </w:p>
        </w:tc>
        <w:tc>
          <w:tcPr>
            <w:tcW w:w="7655" w:type="dxa"/>
          </w:tcPr>
          <w:p w14:paraId="0913F0F8" w14:textId="320CABFB" w:rsidR="004E71F4" w:rsidRPr="00835753" w:rsidRDefault="004E71F4" w:rsidP="00155C96">
            <w:pPr>
              <w:pStyle w:val="Fait"/>
              <w:spacing w:before="0" w:after="120"/>
              <w:ind w:left="2160"/>
              <w:rPr>
                <w:rFonts w:eastAsiaTheme="minorEastAsia"/>
                <w:b/>
              </w:rPr>
            </w:pPr>
            <w:proofErr w:type="gramStart"/>
            <w:r w:rsidRPr="00835753">
              <w:rPr>
                <w:b/>
              </w:rPr>
              <w:t>w</w:t>
            </w:r>
            <w:proofErr w:type="gramEnd"/>
            <w:r w:rsidRPr="00835753">
              <w:rPr>
                <w:b/>
              </w:rPr>
              <w:t xml:space="preserve"> tym instrumenty</w:t>
            </w:r>
            <w:r w:rsidR="00835753" w:rsidRPr="00835753">
              <w:rPr>
                <w:b/>
              </w:rPr>
              <w:t xml:space="preserve"> o</w:t>
            </w:r>
            <w:r w:rsidR="00835753">
              <w:rPr>
                <w:b/>
              </w:rPr>
              <w:t> </w:t>
            </w:r>
            <w:r w:rsidR="00835753" w:rsidRPr="00835753">
              <w:rPr>
                <w:b/>
              </w:rPr>
              <w:t>wsp</w:t>
            </w:r>
            <w:r w:rsidRPr="00835753">
              <w:rPr>
                <w:b/>
              </w:rPr>
              <w:t>ółczynniku LTV wyższym niż 60 %</w:t>
            </w:r>
            <w:r w:rsidR="00835753" w:rsidRPr="00835753">
              <w:rPr>
                <w:b/>
              </w:rPr>
              <w:t xml:space="preserve"> i</w:t>
            </w:r>
            <w:r w:rsidR="00835753">
              <w:rPr>
                <w:b/>
              </w:rPr>
              <w:t> </w:t>
            </w:r>
            <w:r w:rsidR="00835753" w:rsidRPr="00835753">
              <w:rPr>
                <w:b/>
              </w:rPr>
              <w:t>nie</w:t>
            </w:r>
            <w:r w:rsidRPr="00835753">
              <w:rPr>
                <w:b/>
              </w:rPr>
              <w:t xml:space="preserve"> wyższym niż 80 %</w:t>
            </w:r>
          </w:p>
          <w:p w14:paraId="5D101848" w14:textId="39C3C185" w:rsidR="004E71F4" w:rsidRPr="00835753" w:rsidRDefault="004E71F4" w:rsidP="00155C96">
            <w:pPr>
              <w:pStyle w:val="Institutionquisigne"/>
              <w:spacing w:before="0" w:after="120"/>
              <w:rPr>
                <w:rFonts w:eastAsiaTheme="minorEastAsia"/>
              </w:rPr>
            </w:pPr>
            <w:r w:rsidRPr="00835753">
              <w:rPr>
                <w:i w:val="0"/>
              </w:rPr>
              <w:t>Współczynnik LTV oblicza się przy użyciu metody obliczeniowej określonej dla „bieżącego wskaźnika wysokości kredytu do wartości zabezpieczenia” (LTV-C)</w:t>
            </w:r>
            <w:r w:rsidR="00835753" w:rsidRPr="00835753">
              <w:rPr>
                <w:i w:val="0"/>
              </w:rPr>
              <w:t xml:space="preserve"> w</w:t>
            </w:r>
            <w:r w:rsidR="00835753">
              <w:rPr>
                <w:i w:val="0"/>
              </w:rPr>
              <w:t> </w:t>
            </w:r>
            <w:r w:rsidR="00835753" w:rsidRPr="00835753">
              <w:rPr>
                <w:i w:val="0"/>
              </w:rPr>
              <w:t>zal</w:t>
            </w:r>
            <w:r w:rsidRPr="00835753">
              <w:rPr>
                <w:i w:val="0"/>
              </w:rPr>
              <w:t>eceniu Europejskiej Rady ds. Ryzyka Systemowego</w:t>
            </w:r>
            <w:r w:rsidR="00835753" w:rsidRPr="00835753">
              <w:rPr>
                <w:i w:val="0"/>
              </w:rPr>
              <w:t xml:space="preserve"> w</w:t>
            </w:r>
            <w:r w:rsidR="00835753">
              <w:rPr>
                <w:i w:val="0"/>
              </w:rPr>
              <w:t> </w:t>
            </w:r>
            <w:r w:rsidR="00835753" w:rsidRPr="00835753">
              <w:rPr>
                <w:i w:val="0"/>
              </w:rPr>
              <w:t>spr</w:t>
            </w:r>
            <w:r w:rsidRPr="00835753">
              <w:rPr>
                <w:i w:val="0"/>
              </w:rPr>
              <w:t>awie uzupełniania luk</w:t>
            </w:r>
            <w:r w:rsidR="00835753" w:rsidRPr="00835753">
              <w:rPr>
                <w:i w:val="0"/>
              </w:rPr>
              <w:t xml:space="preserve"> w</w:t>
            </w:r>
            <w:r w:rsidR="00835753">
              <w:rPr>
                <w:i w:val="0"/>
              </w:rPr>
              <w:t> </w:t>
            </w:r>
            <w:r w:rsidR="00835753" w:rsidRPr="00835753">
              <w:rPr>
                <w:i w:val="0"/>
              </w:rPr>
              <w:t>dan</w:t>
            </w:r>
            <w:r w:rsidRPr="00835753">
              <w:rPr>
                <w:i w:val="0"/>
              </w:rPr>
              <w:t>ych dotyczących sektora nieruchomości (ERRS/2016/14)</w:t>
            </w:r>
            <w:r w:rsidRPr="00835753">
              <w:rPr>
                <w:rStyle w:val="FootnoteReference"/>
                <w:i w:val="0"/>
              </w:rPr>
              <w:footnoteReference w:id="32"/>
            </w:r>
            <w:r w:rsidRPr="00835753">
              <w:rPr>
                <w:i w:val="0"/>
              </w:rPr>
              <w:t>. Instytucje ujawniają wartość bilansową brutto kredytów</w:t>
            </w:r>
            <w:r w:rsidR="00835753" w:rsidRPr="00835753">
              <w:rPr>
                <w:i w:val="0"/>
              </w:rPr>
              <w:t xml:space="preserve"> i</w:t>
            </w:r>
            <w:r w:rsidR="00835753">
              <w:rPr>
                <w:i w:val="0"/>
              </w:rPr>
              <w:t> </w:t>
            </w:r>
            <w:r w:rsidR="00835753" w:rsidRPr="00835753">
              <w:rPr>
                <w:i w:val="0"/>
              </w:rPr>
              <w:t>zal</w:t>
            </w:r>
            <w:r w:rsidRPr="00835753">
              <w:rPr>
                <w:i w:val="0"/>
              </w:rPr>
              <w:t>iczek, których współczynnik LTV jest wyższy niż 60</w:t>
            </w:r>
            <w:r w:rsidR="00835753" w:rsidRPr="00835753">
              <w:rPr>
                <w:i w:val="0"/>
              </w:rPr>
              <w:t> </w:t>
            </w:r>
            <w:r w:rsidRPr="00835753">
              <w:rPr>
                <w:i w:val="0"/>
              </w:rPr>
              <w:t>%</w:t>
            </w:r>
            <w:r w:rsidR="00835753" w:rsidRPr="00835753">
              <w:rPr>
                <w:i w:val="0"/>
              </w:rPr>
              <w:t xml:space="preserve"> i</w:t>
            </w:r>
            <w:r w:rsidR="00835753">
              <w:rPr>
                <w:i w:val="0"/>
              </w:rPr>
              <w:t> </w:t>
            </w:r>
            <w:r w:rsidR="00835753" w:rsidRPr="00835753">
              <w:rPr>
                <w:i w:val="0"/>
              </w:rPr>
              <w:t>nie</w:t>
            </w:r>
            <w:r w:rsidRPr="00835753">
              <w:rPr>
                <w:i w:val="0"/>
              </w:rPr>
              <w:t xml:space="preserve"> wyższy niż 80</w:t>
            </w:r>
            <w:r w:rsidR="00835753" w:rsidRPr="00835753">
              <w:rPr>
                <w:i w:val="0"/>
              </w:rPr>
              <w:t> </w:t>
            </w:r>
            <w:r w:rsidRPr="00835753">
              <w:rPr>
                <w:i w:val="0"/>
              </w:rPr>
              <w:t>%.</w:t>
            </w:r>
          </w:p>
        </w:tc>
      </w:tr>
      <w:tr w:rsidR="004E71F4" w:rsidRPr="00835753" w14:paraId="0B8B1CCB" w14:textId="77777777" w:rsidTr="00155C96">
        <w:trPr>
          <w:trHeight w:val="971"/>
        </w:trPr>
        <w:tc>
          <w:tcPr>
            <w:tcW w:w="1384" w:type="dxa"/>
          </w:tcPr>
          <w:p w14:paraId="54B724DF" w14:textId="77777777" w:rsidR="004E71F4" w:rsidRPr="00835753" w:rsidRDefault="004E71F4" w:rsidP="00155C96">
            <w:pPr>
              <w:pStyle w:val="Applicationdirecte"/>
              <w:spacing w:before="0"/>
            </w:pPr>
            <w:r w:rsidRPr="00835753">
              <w:t>050</w:t>
            </w:r>
          </w:p>
        </w:tc>
        <w:tc>
          <w:tcPr>
            <w:tcW w:w="7655" w:type="dxa"/>
          </w:tcPr>
          <w:p w14:paraId="110E5C73" w14:textId="470D7B44" w:rsidR="004E71F4" w:rsidRPr="00835753" w:rsidRDefault="004E71F4" w:rsidP="00155C96">
            <w:pPr>
              <w:pStyle w:val="Fait"/>
              <w:spacing w:before="0" w:after="120"/>
              <w:ind w:left="2160"/>
              <w:rPr>
                <w:rFonts w:eastAsiaTheme="minorEastAsia"/>
                <w:b/>
              </w:rPr>
            </w:pPr>
            <w:proofErr w:type="gramStart"/>
            <w:r w:rsidRPr="00835753">
              <w:rPr>
                <w:b/>
              </w:rPr>
              <w:t>w</w:t>
            </w:r>
            <w:proofErr w:type="gramEnd"/>
            <w:r w:rsidRPr="00835753">
              <w:rPr>
                <w:b/>
              </w:rPr>
              <w:t xml:space="preserve"> tym instrumenty</w:t>
            </w:r>
            <w:r w:rsidR="00835753" w:rsidRPr="00835753">
              <w:rPr>
                <w:b/>
              </w:rPr>
              <w:t xml:space="preserve"> o</w:t>
            </w:r>
            <w:r w:rsidR="00835753">
              <w:rPr>
                <w:b/>
              </w:rPr>
              <w:t> </w:t>
            </w:r>
            <w:r w:rsidR="00835753" w:rsidRPr="00835753">
              <w:rPr>
                <w:b/>
              </w:rPr>
              <w:t>wsp</w:t>
            </w:r>
            <w:r w:rsidRPr="00835753">
              <w:rPr>
                <w:b/>
              </w:rPr>
              <w:t>ółczynniku LTV wyższym niż 80 %</w:t>
            </w:r>
            <w:r w:rsidR="00835753" w:rsidRPr="00835753">
              <w:rPr>
                <w:b/>
              </w:rPr>
              <w:t xml:space="preserve"> i</w:t>
            </w:r>
            <w:r w:rsidR="00835753">
              <w:rPr>
                <w:b/>
              </w:rPr>
              <w:t> </w:t>
            </w:r>
            <w:r w:rsidR="00835753" w:rsidRPr="00835753">
              <w:rPr>
                <w:b/>
              </w:rPr>
              <w:t>nie</w:t>
            </w:r>
            <w:r w:rsidRPr="00835753">
              <w:rPr>
                <w:b/>
              </w:rPr>
              <w:t xml:space="preserve"> wyższym niż 100 %</w:t>
            </w:r>
          </w:p>
          <w:p w14:paraId="6EFD6EA8" w14:textId="6EE2D0E4" w:rsidR="004E71F4" w:rsidRPr="00835753" w:rsidRDefault="004E71F4" w:rsidP="00155C96">
            <w:pPr>
              <w:pStyle w:val="Institutionquisigne"/>
              <w:spacing w:before="0" w:after="120"/>
              <w:rPr>
                <w:rFonts w:eastAsiaTheme="minorEastAsia"/>
              </w:rPr>
            </w:pPr>
            <w:r w:rsidRPr="00835753">
              <w:rPr>
                <w:i w:val="0"/>
              </w:rPr>
              <w:t>Instytucje ujawniają wartość bilansową brutto kredytów</w:t>
            </w:r>
            <w:r w:rsidR="00835753" w:rsidRPr="00835753">
              <w:rPr>
                <w:i w:val="0"/>
              </w:rPr>
              <w:t xml:space="preserve"> i</w:t>
            </w:r>
            <w:r w:rsidR="00835753">
              <w:rPr>
                <w:i w:val="0"/>
              </w:rPr>
              <w:t> </w:t>
            </w:r>
            <w:r w:rsidR="00835753" w:rsidRPr="00835753">
              <w:rPr>
                <w:i w:val="0"/>
              </w:rPr>
              <w:t>zal</w:t>
            </w:r>
            <w:r w:rsidRPr="00835753">
              <w:rPr>
                <w:i w:val="0"/>
              </w:rPr>
              <w:t>iczek, których współczynnik LTV jest wyższy niż 80</w:t>
            </w:r>
            <w:r w:rsidR="00835753" w:rsidRPr="00835753">
              <w:rPr>
                <w:i w:val="0"/>
              </w:rPr>
              <w:t> </w:t>
            </w:r>
            <w:r w:rsidRPr="00835753">
              <w:rPr>
                <w:i w:val="0"/>
              </w:rPr>
              <w:t>%</w:t>
            </w:r>
            <w:r w:rsidR="00835753" w:rsidRPr="00835753">
              <w:rPr>
                <w:i w:val="0"/>
              </w:rPr>
              <w:t xml:space="preserve"> i</w:t>
            </w:r>
            <w:r w:rsidR="00835753">
              <w:rPr>
                <w:i w:val="0"/>
              </w:rPr>
              <w:t> </w:t>
            </w:r>
            <w:r w:rsidR="00835753" w:rsidRPr="00835753">
              <w:rPr>
                <w:i w:val="0"/>
              </w:rPr>
              <w:t>niż</w:t>
            </w:r>
            <w:r w:rsidRPr="00835753">
              <w:rPr>
                <w:i w:val="0"/>
              </w:rPr>
              <w:t>szy lub równy 100</w:t>
            </w:r>
            <w:r w:rsidR="00835753" w:rsidRPr="00835753">
              <w:rPr>
                <w:i w:val="0"/>
              </w:rPr>
              <w:t> </w:t>
            </w:r>
            <w:r w:rsidRPr="00835753">
              <w:rPr>
                <w:i w:val="0"/>
              </w:rPr>
              <w:t>%.</w:t>
            </w:r>
          </w:p>
        </w:tc>
      </w:tr>
      <w:tr w:rsidR="004E71F4" w:rsidRPr="00835753" w14:paraId="76DD2D26" w14:textId="77777777" w:rsidTr="00155C96">
        <w:trPr>
          <w:trHeight w:val="971"/>
        </w:trPr>
        <w:tc>
          <w:tcPr>
            <w:tcW w:w="1384" w:type="dxa"/>
          </w:tcPr>
          <w:p w14:paraId="72DC51AA" w14:textId="77777777" w:rsidR="004E71F4" w:rsidRPr="00835753" w:rsidRDefault="004E71F4" w:rsidP="00155C96">
            <w:pPr>
              <w:pStyle w:val="Applicationdirecte"/>
              <w:spacing w:before="0"/>
            </w:pPr>
            <w:r w:rsidRPr="00835753">
              <w:t>060</w:t>
            </w:r>
          </w:p>
        </w:tc>
        <w:tc>
          <w:tcPr>
            <w:tcW w:w="7655" w:type="dxa"/>
          </w:tcPr>
          <w:p w14:paraId="0935D043" w14:textId="570C9C55" w:rsidR="004E71F4" w:rsidRPr="00835753" w:rsidRDefault="004E71F4" w:rsidP="00155C96">
            <w:pPr>
              <w:pStyle w:val="Fait"/>
              <w:spacing w:before="0" w:after="120"/>
              <w:ind w:left="2160"/>
              <w:rPr>
                <w:rFonts w:eastAsiaTheme="minorEastAsia"/>
                <w:b/>
              </w:rPr>
            </w:pPr>
            <w:proofErr w:type="gramStart"/>
            <w:r w:rsidRPr="00835753">
              <w:rPr>
                <w:b/>
              </w:rPr>
              <w:t>w</w:t>
            </w:r>
            <w:proofErr w:type="gramEnd"/>
            <w:r w:rsidRPr="00835753">
              <w:rPr>
                <w:b/>
              </w:rPr>
              <w:t xml:space="preserve"> tym instrumenty</w:t>
            </w:r>
            <w:r w:rsidR="00835753" w:rsidRPr="00835753">
              <w:rPr>
                <w:b/>
              </w:rPr>
              <w:t xml:space="preserve"> o</w:t>
            </w:r>
            <w:r w:rsidR="00835753">
              <w:rPr>
                <w:b/>
              </w:rPr>
              <w:t> </w:t>
            </w:r>
            <w:r w:rsidR="00835753" w:rsidRPr="00835753">
              <w:rPr>
                <w:b/>
              </w:rPr>
              <w:t>wsp</w:t>
            </w:r>
            <w:r w:rsidRPr="00835753">
              <w:rPr>
                <w:b/>
              </w:rPr>
              <w:t>ółczynniku LTV wyższym niż 100</w:t>
            </w:r>
            <w:r w:rsidR="00835753" w:rsidRPr="00835753">
              <w:rPr>
                <w:b/>
              </w:rPr>
              <w:t> </w:t>
            </w:r>
            <w:r w:rsidRPr="00835753">
              <w:rPr>
                <w:b/>
              </w:rPr>
              <w:t>%</w:t>
            </w:r>
          </w:p>
          <w:p w14:paraId="70834439" w14:textId="30DB459A" w:rsidR="004E71F4" w:rsidRPr="00835753" w:rsidRDefault="004E71F4" w:rsidP="00155C96">
            <w:pPr>
              <w:pStyle w:val="Institutionquisigne"/>
              <w:spacing w:before="0" w:after="120"/>
              <w:rPr>
                <w:rFonts w:eastAsiaTheme="minorEastAsia"/>
              </w:rPr>
            </w:pPr>
            <w:r w:rsidRPr="00835753">
              <w:rPr>
                <w:i w:val="0"/>
              </w:rPr>
              <w:t>Wartość bilansowa brutto kredytów</w:t>
            </w:r>
            <w:r w:rsidR="00835753" w:rsidRPr="00835753">
              <w:rPr>
                <w:i w:val="0"/>
              </w:rPr>
              <w:t xml:space="preserve"> i</w:t>
            </w:r>
            <w:r w:rsidR="00835753">
              <w:rPr>
                <w:i w:val="0"/>
              </w:rPr>
              <w:t> </w:t>
            </w:r>
            <w:r w:rsidR="00835753" w:rsidRPr="00835753">
              <w:rPr>
                <w:i w:val="0"/>
              </w:rPr>
              <w:t>zal</w:t>
            </w:r>
            <w:r w:rsidRPr="00835753">
              <w:rPr>
                <w:i w:val="0"/>
              </w:rPr>
              <w:t>iczek</w:t>
            </w:r>
            <w:r w:rsidR="00835753" w:rsidRPr="00835753">
              <w:rPr>
                <w:i w:val="0"/>
              </w:rPr>
              <w:t xml:space="preserve"> o</w:t>
            </w:r>
            <w:r w:rsidR="00835753">
              <w:rPr>
                <w:i w:val="0"/>
              </w:rPr>
              <w:t> </w:t>
            </w:r>
            <w:r w:rsidR="00835753" w:rsidRPr="00835753">
              <w:rPr>
                <w:i w:val="0"/>
              </w:rPr>
              <w:t>wsp</w:t>
            </w:r>
            <w:r w:rsidRPr="00835753">
              <w:rPr>
                <w:i w:val="0"/>
              </w:rPr>
              <w:t>ółczynniku LTV wyższym niż 100</w:t>
            </w:r>
            <w:r w:rsidR="00835753" w:rsidRPr="00835753">
              <w:rPr>
                <w:i w:val="0"/>
              </w:rPr>
              <w:t> </w:t>
            </w:r>
            <w:r w:rsidRPr="00835753">
              <w:rPr>
                <w:i w:val="0"/>
              </w:rPr>
              <w:t>%</w:t>
            </w:r>
          </w:p>
        </w:tc>
      </w:tr>
      <w:tr w:rsidR="004E71F4" w:rsidRPr="00835753" w14:paraId="57A25CD3" w14:textId="77777777" w:rsidTr="00155C96">
        <w:trPr>
          <w:trHeight w:val="316"/>
        </w:trPr>
        <w:tc>
          <w:tcPr>
            <w:tcW w:w="1384" w:type="dxa"/>
          </w:tcPr>
          <w:p w14:paraId="1E1A011E"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070</w:t>
            </w:r>
          </w:p>
        </w:tc>
        <w:tc>
          <w:tcPr>
            <w:tcW w:w="7655" w:type="dxa"/>
          </w:tcPr>
          <w:p w14:paraId="66A9AE8B"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Skumulowana utrata wartości aktywów zabezpieczonych</w:t>
            </w:r>
          </w:p>
          <w:p w14:paraId="1699F1C0" w14:textId="1D839ABA" w:rsidR="004E71F4" w:rsidRPr="00835753" w:rsidRDefault="004E71F4" w:rsidP="00155C96">
            <w:pPr>
              <w:pStyle w:val="Fait"/>
              <w:spacing w:before="0" w:after="120"/>
            </w:pPr>
            <w:r w:rsidRPr="00835753">
              <w:t>W przypadku zabezpieczonych instrumentów dłużnych skumulowaną utratę wartości oblicza się jako skumulowaną kwotę strat</w:t>
            </w:r>
            <w:r w:rsidR="00835753" w:rsidRPr="00835753">
              <w:t xml:space="preserve"> z</w:t>
            </w:r>
            <w:r w:rsidR="00835753">
              <w:t> </w:t>
            </w:r>
            <w:r w:rsidR="00835753" w:rsidRPr="00835753">
              <w:t>tyt</w:t>
            </w:r>
            <w:r w:rsidRPr="00835753">
              <w:t>ułu utraty wartości po odliczeniu wykorzystania</w:t>
            </w:r>
            <w:r w:rsidR="00835753" w:rsidRPr="00835753">
              <w:t xml:space="preserve"> i</w:t>
            </w:r>
            <w:r w:rsidR="00835753">
              <w:t> </w:t>
            </w:r>
            <w:r w:rsidR="00835753" w:rsidRPr="00835753">
              <w:t>odw</w:t>
            </w:r>
            <w:r w:rsidRPr="00835753">
              <w:t>róceń, które ujęto,</w:t>
            </w:r>
            <w:r w:rsidR="00835753" w:rsidRPr="00835753">
              <w:t xml:space="preserve"> w</w:t>
            </w:r>
            <w:r w:rsidR="00835753">
              <w:t> </w:t>
            </w:r>
            <w:r w:rsidR="00835753" w:rsidRPr="00835753">
              <w:t>sto</w:t>
            </w:r>
            <w:r w:rsidRPr="00835753">
              <w:t>sownych przypadkach, dla każdej</w:t>
            </w:r>
            <w:r w:rsidR="00835753" w:rsidRPr="00835753">
              <w:t xml:space="preserve"> z</w:t>
            </w:r>
            <w:r w:rsidR="00835753">
              <w:t> </w:t>
            </w:r>
            <w:r w:rsidR="00835753" w:rsidRPr="00835753">
              <w:t>faz</w:t>
            </w:r>
            <w:r w:rsidRPr="00835753">
              <w:t xml:space="preserve"> utraty wartości (część 2 pkt</w:t>
            </w:r>
            <w:r w:rsidR="00835753" w:rsidRPr="00835753">
              <w:t> </w:t>
            </w:r>
            <w:r w:rsidRPr="00835753">
              <w:t>70 załącznika V do rozporządzenia wykonawczego Komisji (UE) nr</w:t>
            </w:r>
            <w:r w:rsidR="00835753" w:rsidRPr="00835753">
              <w:t> </w:t>
            </w:r>
            <w:r w:rsidRPr="00835753">
              <w:t>680/2014).</w:t>
            </w:r>
          </w:p>
          <w:p w14:paraId="2ADC11C4" w14:textId="1AAAEB6C" w:rsidR="004E71F4" w:rsidRPr="00835753" w:rsidRDefault="004E71F4" w:rsidP="00155C96">
            <w:pPr>
              <w:pStyle w:val="Fait"/>
              <w:spacing w:before="0" w:after="120"/>
              <w:rPr>
                <w:b/>
              </w:rPr>
            </w:pPr>
            <w:r w:rsidRPr="00835753">
              <w:t>W tym wierszu uwzględniana się skumulowaną utratę wartości związaną</w:t>
            </w:r>
            <w:r w:rsidR="00835753" w:rsidRPr="00835753">
              <w:t xml:space="preserve"> z</w:t>
            </w:r>
            <w:r w:rsidR="00835753">
              <w:t> </w:t>
            </w:r>
            <w:r w:rsidR="00835753" w:rsidRPr="00835753">
              <w:t>nie</w:t>
            </w:r>
            <w:r w:rsidRPr="00835753">
              <w:t>zabezpieczoną częścią ekspozycji częściowo zabezpieczonej lub częściowo gwarantowanej.</w:t>
            </w:r>
          </w:p>
        </w:tc>
      </w:tr>
      <w:tr w:rsidR="004E71F4" w:rsidRPr="00835753" w14:paraId="2290904B" w14:textId="77777777" w:rsidTr="00155C96">
        <w:trPr>
          <w:trHeight w:val="316"/>
        </w:trPr>
        <w:tc>
          <w:tcPr>
            <w:tcW w:w="1384" w:type="dxa"/>
          </w:tcPr>
          <w:p w14:paraId="0ACFF594"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090</w:t>
            </w:r>
          </w:p>
        </w:tc>
        <w:tc>
          <w:tcPr>
            <w:tcW w:w="7655" w:type="dxa"/>
          </w:tcPr>
          <w:p w14:paraId="670CE9F5" w14:textId="7F24157D"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Zabezpieczenia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wartość ograniczona do wartości ekspozycji</w:t>
            </w:r>
          </w:p>
          <w:p w14:paraId="757848DF" w14:textId="67780257" w:rsidR="004E71F4" w:rsidRPr="00835753" w:rsidRDefault="004E71F4" w:rsidP="00155C96">
            <w:pPr>
              <w:pStyle w:val="Fait"/>
              <w:spacing w:before="0" w:after="120"/>
              <w:rPr>
                <w:b/>
              </w:rPr>
            </w:pPr>
            <w:r w:rsidRPr="00835753">
              <w:t>Kwoty otrzymanego zabezpieczenia oblicza się zgodnie</w:t>
            </w:r>
            <w:r w:rsidR="00835753" w:rsidRPr="00835753">
              <w:t xml:space="preserve"> z</w:t>
            </w:r>
            <w:r w:rsidR="00835753">
              <w:t> </w:t>
            </w:r>
            <w:r w:rsidR="00835753" w:rsidRPr="00835753">
              <w:t>czę</w:t>
            </w:r>
            <w:r w:rsidRPr="00835753">
              <w:t>ścią 2 pkt</w:t>
            </w:r>
            <w:r w:rsidR="00835753" w:rsidRPr="00835753">
              <w:t> </w:t>
            </w:r>
            <w:r w:rsidRPr="00835753">
              <w:t>239 załącznika V do rozporządzenia wykonawczego Komisji (UE) nr</w:t>
            </w:r>
            <w:r w:rsidR="00835753" w:rsidRPr="00835753">
              <w:t> </w:t>
            </w:r>
            <w:r w:rsidRPr="00835753">
              <w:t>680/2014. Suma kwot</w:t>
            </w:r>
            <w:r w:rsidR="00835753" w:rsidRPr="00835753">
              <w:t xml:space="preserve"> w</w:t>
            </w:r>
            <w:r w:rsidR="00835753">
              <w:t> </w:t>
            </w:r>
            <w:r w:rsidR="00835753" w:rsidRPr="00835753">
              <w:t>odn</w:t>
            </w:r>
            <w:r w:rsidRPr="00835753">
              <w:t>iesieniu do zabezpieczeń</w:t>
            </w:r>
            <w:r w:rsidR="00835753" w:rsidRPr="00835753">
              <w:t xml:space="preserve"> w</w:t>
            </w:r>
            <w:r w:rsidR="00835753">
              <w:t> </w:t>
            </w:r>
            <w:r w:rsidR="00835753" w:rsidRPr="00835753">
              <w:t>tym</w:t>
            </w:r>
            <w:r w:rsidRPr="00835753">
              <w:t xml:space="preserve"> wierszu jest ograniczona do wartości bilansowej ekspozycji powiązanej.</w:t>
            </w:r>
          </w:p>
        </w:tc>
      </w:tr>
      <w:tr w:rsidR="004E71F4" w:rsidRPr="00835753" w14:paraId="081E7193" w14:textId="77777777" w:rsidTr="00155C96">
        <w:trPr>
          <w:trHeight w:val="316"/>
        </w:trPr>
        <w:tc>
          <w:tcPr>
            <w:tcW w:w="1384" w:type="dxa"/>
          </w:tcPr>
          <w:p w14:paraId="1EFC5BB3"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100</w:t>
            </w:r>
          </w:p>
        </w:tc>
        <w:tc>
          <w:tcPr>
            <w:tcW w:w="7655" w:type="dxa"/>
          </w:tcPr>
          <w:p w14:paraId="52569C52" w14:textId="77777777" w:rsidR="004E71F4" w:rsidRPr="00835753" w:rsidRDefault="004E71F4" w:rsidP="00155C96">
            <w:pPr>
              <w:autoSpaceDE w:val="0"/>
              <w:autoSpaceDN w:val="0"/>
              <w:adjustRightInd w:val="0"/>
              <w:spacing w:after="120"/>
              <w:ind w:left="720"/>
              <w:rPr>
                <w:rFonts w:ascii="Times New Roman" w:hAnsi="Times New Roman" w:cs="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nieruchomości</w:t>
            </w:r>
          </w:p>
          <w:p w14:paraId="5FB7DBC4" w14:textId="30AE76E8" w:rsidR="004E71F4" w:rsidRPr="00835753" w:rsidRDefault="004E71F4" w:rsidP="00155C96">
            <w:pPr>
              <w:pStyle w:val="Fait"/>
              <w:spacing w:before="0" w:after="120"/>
            </w:pPr>
            <w:r w:rsidRPr="00835753">
              <w:lastRenderedPageBreak/>
              <w:t>Część zabezpieczenia składająca się</w:t>
            </w:r>
            <w:r w:rsidR="00835753" w:rsidRPr="00835753">
              <w:t xml:space="preserve"> z</w:t>
            </w:r>
            <w:r w:rsidR="00835753">
              <w:t> </w:t>
            </w:r>
            <w:r w:rsidR="00835753" w:rsidRPr="00835753">
              <w:t>nie</w:t>
            </w:r>
            <w:r w:rsidRPr="00835753">
              <w:t>ruchomości mieszkalnych lub komercyjnych (część 2 pkt</w:t>
            </w:r>
            <w:r w:rsidR="00835753" w:rsidRPr="00835753">
              <w:t> </w:t>
            </w:r>
            <w:r w:rsidRPr="00835753">
              <w:t>173 lit.</w:t>
            </w:r>
            <w:r w:rsidR="00835753" w:rsidRPr="00835753">
              <w:t> </w:t>
            </w:r>
            <w:r w:rsidRPr="00835753">
              <w:t>a) załącznika V do rozporządzenia wykonawczego Komisji (UE) nr</w:t>
            </w:r>
            <w:r w:rsidR="00835753" w:rsidRPr="00835753">
              <w:t> </w:t>
            </w:r>
            <w:r w:rsidRPr="00835753">
              <w:t>680/2014)</w:t>
            </w:r>
          </w:p>
          <w:p w14:paraId="2B76D036" w14:textId="4EE342DB" w:rsidR="004E71F4" w:rsidRPr="00835753" w:rsidRDefault="004E71F4" w:rsidP="00155C96">
            <w:pPr>
              <w:pStyle w:val="Fait"/>
              <w:spacing w:before="0" w:after="120"/>
              <w:rPr>
                <w:b/>
              </w:rPr>
            </w:pPr>
            <w:r w:rsidRPr="00835753">
              <w:t>Suma kwot</w:t>
            </w:r>
            <w:r w:rsidR="00835753" w:rsidRPr="00835753">
              <w:t xml:space="preserve"> w</w:t>
            </w:r>
            <w:r w:rsidR="00835753">
              <w:t> </w:t>
            </w:r>
            <w:r w:rsidR="00835753" w:rsidRPr="00835753">
              <w:t>odn</w:t>
            </w:r>
            <w:r w:rsidRPr="00835753">
              <w:t>iesieniu do zabezpieczeń</w:t>
            </w:r>
            <w:r w:rsidR="00835753" w:rsidRPr="00835753">
              <w:t xml:space="preserve"> w</w:t>
            </w:r>
            <w:r w:rsidR="00835753">
              <w:t> </w:t>
            </w:r>
            <w:r w:rsidR="00835753" w:rsidRPr="00835753">
              <w:t>tym</w:t>
            </w:r>
            <w:r w:rsidRPr="00835753">
              <w:t xml:space="preserve"> wierszu jest ograniczona do wartości bilansowej ekspozycji powiązanej.</w:t>
            </w:r>
          </w:p>
        </w:tc>
      </w:tr>
      <w:tr w:rsidR="004E71F4" w:rsidRPr="00835753" w14:paraId="6B3FB7FD" w14:textId="77777777" w:rsidTr="00155C96">
        <w:trPr>
          <w:trHeight w:val="316"/>
        </w:trPr>
        <w:tc>
          <w:tcPr>
            <w:tcW w:w="1384" w:type="dxa"/>
          </w:tcPr>
          <w:p w14:paraId="12F7D299"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lastRenderedPageBreak/>
              <w:t>110</w:t>
            </w:r>
          </w:p>
        </w:tc>
        <w:tc>
          <w:tcPr>
            <w:tcW w:w="7655" w:type="dxa"/>
          </w:tcPr>
          <w:p w14:paraId="4856E1EB" w14:textId="4C0D8DDF"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Zabezpieczenia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wartość powyżej pułapu</w:t>
            </w:r>
          </w:p>
          <w:p w14:paraId="4825BFE6" w14:textId="5A4854FF" w:rsidR="004E71F4" w:rsidRPr="00835753" w:rsidRDefault="004E71F4" w:rsidP="00155C96">
            <w:pPr>
              <w:pStyle w:val="Fait"/>
              <w:spacing w:before="0" w:after="120"/>
              <w:rPr>
                <w:b/>
              </w:rPr>
            </w:pPr>
            <w:r w:rsidRPr="00835753">
              <w:t>W tym wierszu tym ujawnia się różnicę pomiędzy rzeczywistą wartością zabezpieczenia</w:t>
            </w:r>
            <w:r w:rsidR="00835753" w:rsidRPr="00835753">
              <w:t xml:space="preserve"> a</w:t>
            </w:r>
            <w:r w:rsidR="00835753">
              <w:t> </w:t>
            </w:r>
            <w:r w:rsidR="00835753" w:rsidRPr="00835753">
              <w:t>ogr</w:t>
            </w:r>
            <w:r w:rsidRPr="00835753">
              <w:t>aniczoną wartością zabezpieczenia (wartością bilansową powiązanej ekspozycji) (instytucje nie stosują do obliczania rzeczywistej wartości zabezpieczenia części 2 pkt</w:t>
            </w:r>
            <w:r w:rsidR="00835753" w:rsidRPr="00835753">
              <w:t> </w:t>
            </w:r>
            <w:r w:rsidRPr="00835753">
              <w:t>239 załącznika V do rozporządzenia wykonawczego Komisji (UE) nr</w:t>
            </w:r>
            <w:r w:rsidR="00835753" w:rsidRPr="00835753">
              <w:t> </w:t>
            </w:r>
            <w:r w:rsidRPr="00835753">
              <w:t>680/2014).</w:t>
            </w:r>
          </w:p>
        </w:tc>
      </w:tr>
      <w:tr w:rsidR="004E71F4" w:rsidRPr="00835753" w14:paraId="22C06DA6" w14:textId="77777777" w:rsidTr="00155C96">
        <w:trPr>
          <w:trHeight w:val="316"/>
        </w:trPr>
        <w:tc>
          <w:tcPr>
            <w:tcW w:w="1384" w:type="dxa"/>
          </w:tcPr>
          <w:p w14:paraId="06825229"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120</w:t>
            </w:r>
          </w:p>
        </w:tc>
        <w:tc>
          <w:tcPr>
            <w:tcW w:w="7655" w:type="dxa"/>
          </w:tcPr>
          <w:p w14:paraId="50969C13" w14:textId="77777777" w:rsidR="004E71F4" w:rsidRPr="00835753" w:rsidRDefault="004E71F4" w:rsidP="00155C96">
            <w:pPr>
              <w:autoSpaceDE w:val="0"/>
              <w:autoSpaceDN w:val="0"/>
              <w:adjustRightInd w:val="0"/>
              <w:spacing w:after="120"/>
              <w:ind w:left="720"/>
              <w:rPr>
                <w:rFonts w:ascii="Times New Roman" w:hAnsi="Times New Roman" w:cs="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nieruchomości</w:t>
            </w:r>
          </w:p>
          <w:p w14:paraId="3CEE730C" w14:textId="023D18DA" w:rsidR="004E71F4" w:rsidRPr="00835753" w:rsidRDefault="004E71F4" w:rsidP="00155C96">
            <w:pPr>
              <w:pStyle w:val="Fait"/>
              <w:spacing w:before="0" w:after="120"/>
              <w:rPr>
                <w:b/>
              </w:rPr>
            </w:pPr>
            <w:r w:rsidRPr="00835753">
              <w:t>Różnica między wartością rzeczywistą</w:t>
            </w:r>
            <w:r w:rsidR="00835753" w:rsidRPr="00835753">
              <w:t xml:space="preserve"> a</w:t>
            </w:r>
            <w:r w:rsidR="00835753">
              <w:t> </w:t>
            </w:r>
            <w:r w:rsidR="00835753" w:rsidRPr="00835753">
              <w:t>ogr</w:t>
            </w:r>
            <w:r w:rsidRPr="00835753">
              <w:t>aniczoną wartością części zabezpieczenia składającej się</w:t>
            </w:r>
            <w:r w:rsidR="00835753" w:rsidRPr="00835753">
              <w:t xml:space="preserve"> z</w:t>
            </w:r>
            <w:r w:rsidR="00835753">
              <w:t> </w:t>
            </w:r>
            <w:r w:rsidR="00835753" w:rsidRPr="00835753">
              <w:t>nie</w:t>
            </w:r>
            <w:r w:rsidRPr="00835753">
              <w:t>ruchomości mieszkalnych lub komercyjnych (część 2 pkt</w:t>
            </w:r>
            <w:r w:rsidR="00835753" w:rsidRPr="00835753">
              <w:t> </w:t>
            </w:r>
            <w:r w:rsidRPr="00835753">
              <w:t>173 lit.</w:t>
            </w:r>
            <w:r w:rsidR="00835753" w:rsidRPr="00835753">
              <w:t> </w:t>
            </w:r>
            <w:r w:rsidRPr="00835753">
              <w:t>a) załącznika V do rozporządzenia wykonawczego Komisji (UE) nr</w:t>
            </w:r>
            <w:r w:rsidR="00835753" w:rsidRPr="00835753">
              <w:t> </w:t>
            </w:r>
            <w:r w:rsidRPr="00835753">
              <w:t>680/2014)</w:t>
            </w:r>
          </w:p>
        </w:tc>
      </w:tr>
      <w:tr w:rsidR="004E71F4" w:rsidRPr="00835753" w14:paraId="1B02068D" w14:textId="77777777" w:rsidTr="00155C96">
        <w:trPr>
          <w:trHeight w:val="316"/>
        </w:trPr>
        <w:tc>
          <w:tcPr>
            <w:tcW w:w="1384" w:type="dxa"/>
          </w:tcPr>
          <w:p w14:paraId="4B3B4E6C"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130</w:t>
            </w:r>
          </w:p>
        </w:tc>
        <w:tc>
          <w:tcPr>
            <w:tcW w:w="7655" w:type="dxa"/>
          </w:tcPr>
          <w:p w14:paraId="3D3C6C43"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Otrzymane gwarancje finansowe</w:t>
            </w:r>
          </w:p>
          <w:p w14:paraId="521216D0" w14:textId="70001390" w:rsidR="004E71F4" w:rsidRPr="00835753" w:rsidRDefault="004E71F4" w:rsidP="00155C96">
            <w:pPr>
              <w:pStyle w:val="Fait"/>
              <w:spacing w:before="0" w:after="120"/>
              <w:rPr>
                <w:b/>
              </w:rPr>
            </w:pPr>
            <w:r w:rsidRPr="00835753">
              <w:t>Jak określono</w:t>
            </w:r>
            <w:r w:rsidR="00835753" w:rsidRPr="00835753">
              <w:t xml:space="preserve"> w</w:t>
            </w:r>
            <w:r w:rsidR="00835753">
              <w:t> </w:t>
            </w:r>
            <w:r w:rsidR="00835753" w:rsidRPr="00835753">
              <w:t>czę</w:t>
            </w:r>
            <w:r w:rsidRPr="00835753">
              <w:t>ści 2 pkt</w:t>
            </w:r>
            <w:r w:rsidR="00835753" w:rsidRPr="00835753">
              <w:t> </w:t>
            </w:r>
            <w:r w:rsidRPr="00835753">
              <w:t>114 załącznika V do rozporządzenia wykonawczego Komisji (UE) nr</w:t>
            </w:r>
            <w:r w:rsidR="00835753" w:rsidRPr="00835753">
              <w:t> </w:t>
            </w:r>
            <w:r w:rsidRPr="00835753">
              <w:t>680/2014</w:t>
            </w:r>
          </w:p>
        </w:tc>
      </w:tr>
      <w:tr w:rsidR="004E71F4" w:rsidRPr="00835753" w14:paraId="3081B96F" w14:textId="77777777" w:rsidTr="00155C96">
        <w:trPr>
          <w:trHeight w:val="316"/>
        </w:trPr>
        <w:tc>
          <w:tcPr>
            <w:tcW w:w="1384" w:type="dxa"/>
          </w:tcPr>
          <w:p w14:paraId="37C212A9"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140</w:t>
            </w:r>
          </w:p>
        </w:tc>
        <w:tc>
          <w:tcPr>
            <w:tcW w:w="7655" w:type="dxa"/>
          </w:tcPr>
          <w:p w14:paraId="2B52A328"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Skumulowane odpisania częściowe</w:t>
            </w:r>
          </w:p>
          <w:p w14:paraId="1C49ED21" w14:textId="1DA862B7" w:rsidR="004E71F4" w:rsidRPr="00835753" w:rsidRDefault="004E71F4" w:rsidP="00155C96">
            <w:pPr>
              <w:pStyle w:val="Fait"/>
              <w:spacing w:before="0" w:after="120"/>
            </w:pPr>
            <w:r w:rsidRPr="00835753">
              <w:t>Obejmują skumulowaną częściową kwotę na sprawozdawczy dzień odniesienia kwoty głównej oraz naliczonych zaległych odsetek</w:t>
            </w:r>
            <w:r w:rsidR="00835753" w:rsidRPr="00835753">
              <w:t xml:space="preserve"> i</w:t>
            </w:r>
            <w:r w:rsidR="00835753">
              <w:t> </w:t>
            </w:r>
            <w:r w:rsidR="00835753" w:rsidRPr="00835753">
              <w:t>opł</w:t>
            </w:r>
            <w:r w:rsidRPr="00835753">
              <w:t>at</w:t>
            </w:r>
            <w:r w:rsidR="00835753" w:rsidRPr="00835753">
              <w:t xml:space="preserve"> z</w:t>
            </w:r>
            <w:r w:rsidR="00835753">
              <w:t> </w:t>
            </w:r>
            <w:r w:rsidR="00835753" w:rsidRPr="00835753">
              <w:t>tyt</w:t>
            </w:r>
            <w:r w:rsidRPr="00835753">
              <w:t>ułu każdego instrumentu dłużnego, który do tej pory zaprzestano ujmować</w:t>
            </w:r>
            <w:r w:rsidR="00835753" w:rsidRPr="00835753">
              <w:t xml:space="preserve"> z</w:t>
            </w:r>
            <w:r w:rsidR="00835753">
              <w:t> </w:t>
            </w:r>
            <w:r w:rsidR="00835753" w:rsidRPr="00835753">
              <w:t>wyk</w:t>
            </w:r>
            <w:r w:rsidRPr="00835753">
              <w:t>orzystaniem którejkolwiek</w:t>
            </w:r>
            <w:r w:rsidR="00835753" w:rsidRPr="00835753">
              <w:t xml:space="preserve"> z</w:t>
            </w:r>
            <w:r w:rsidR="00835753">
              <w:t> </w:t>
            </w:r>
            <w:r w:rsidR="00835753" w:rsidRPr="00835753">
              <w:t>met</w:t>
            </w:r>
            <w:r w:rsidRPr="00835753">
              <w:t>od opisanych</w:t>
            </w:r>
            <w:r w:rsidR="00835753" w:rsidRPr="00835753">
              <w:t xml:space="preserve"> w</w:t>
            </w:r>
            <w:r w:rsidR="00835753">
              <w:t> </w:t>
            </w:r>
            <w:r w:rsidR="00835753" w:rsidRPr="00835753">
              <w:t>czę</w:t>
            </w:r>
            <w:r w:rsidRPr="00835753">
              <w:t>ści 2 pkt</w:t>
            </w:r>
            <w:r w:rsidR="00835753" w:rsidRPr="00835753">
              <w:t> </w:t>
            </w:r>
            <w:r w:rsidRPr="00835753">
              <w:t>74 załącznika V do rozporządzenia wykonawczego Komisji (UE) nr</w:t>
            </w:r>
            <w:r w:rsidR="00835753" w:rsidRPr="00835753">
              <w:t> </w:t>
            </w:r>
            <w:r w:rsidRPr="00835753">
              <w:t>680/2014, które to kwoty należy ujawnić, ponieważ instytucja nie może zasadnie oczekiwać odzyskania przepływów pieniężnych wynikających</w:t>
            </w:r>
            <w:r w:rsidR="00835753" w:rsidRPr="00835753">
              <w:t xml:space="preserve"> z</w:t>
            </w:r>
            <w:r w:rsidR="00835753">
              <w:t> </w:t>
            </w:r>
            <w:r w:rsidR="00835753" w:rsidRPr="00835753">
              <w:t>umo</w:t>
            </w:r>
            <w:r w:rsidRPr="00835753">
              <w:t>wy. Kwoty te ujawnia się do momentu całkowitego wygaśnięcia wszystkich praw instytucji (wskutek upływu terminu przedawnienia, umorzenia lub</w:t>
            </w:r>
            <w:r w:rsidR="00835753" w:rsidRPr="00835753">
              <w:t xml:space="preserve"> z</w:t>
            </w:r>
            <w:r w:rsidR="00835753">
              <w:t> </w:t>
            </w:r>
            <w:r w:rsidR="00835753" w:rsidRPr="00835753">
              <w:t>inn</w:t>
            </w:r>
            <w:r w:rsidRPr="00835753">
              <w:t>ej przyczyny) lub do momentu ich odzyskania</w:t>
            </w:r>
            <w:r w:rsidR="00835753" w:rsidRPr="00835753">
              <w:t>. W</w:t>
            </w:r>
            <w:r w:rsidR="00835753">
              <w:t> </w:t>
            </w:r>
            <w:r w:rsidR="00835753" w:rsidRPr="00835753">
              <w:t>zwi</w:t>
            </w:r>
            <w:r w:rsidRPr="00835753">
              <w:t>ązku</w:t>
            </w:r>
            <w:r w:rsidR="00835753" w:rsidRPr="00835753">
              <w:t xml:space="preserve"> z</w:t>
            </w:r>
            <w:r w:rsidR="00835753">
              <w:t> </w:t>
            </w:r>
            <w:r w:rsidR="00835753" w:rsidRPr="00835753">
              <w:t>tym w</w:t>
            </w:r>
            <w:r w:rsidR="00835753">
              <w:t> </w:t>
            </w:r>
            <w:r w:rsidR="00835753" w:rsidRPr="00835753">
              <w:t>prz</w:t>
            </w:r>
            <w:r w:rsidRPr="00835753">
              <w:t>ypadku nieodzyskania spisanych kwot podlegają one ujawnieniu, gdy pozostają przedmiotem czynności egzekucyjnych.</w:t>
            </w:r>
          </w:p>
          <w:p w14:paraId="5B1ADC49" w14:textId="4158DCE9" w:rsidR="004E71F4" w:rsidRPr="00835753" w:rsidRDefault="004E71F4" w:rsidP="00155C96">
            <w:pPr>
              <w:pStyle w:val="Fait"/>
              <w:spacing w:before="0" w:after="120"/>
            </w:pPr>
            <w:r w:rsidRPr="00835753">
              <w:t>Odpisy stanowią zdarzenie prowadzące do zaprzestania ujmowania</w:t>
            </w:r>
            <w:r w:rsidR="00835753" w:rsidRPr="00835753">
              <w:t xml:space="preserve"> i</w:t>
            </w:r>
            <w:r w:rsidR="00835753">
              <w:t> </w:t>
            </w:r>
            <w:r w:rsidR="00835753" w:rsidRPr="00835753">
              <w:t>dot</w:t>
            </w:r>
            <w:r w:rsidRPr="00835753">
              <w:t>yczą całego składnika aktywów finansowych lub (w przypadku częściowego odpisu) jego części,</w:t>
            </w:r>
            <w:r w:rsidR="00835753" w:rsidRPr="00835753">
              <w:t xml:space="preserve"> w</w:t>
            </w:r>
            <w:r w:rsidR="00835753">
              <w:t> </w:t>
            </w:r>
            <w:r w:rsidR="00835753" w:rsidRPr="00835753">
              <w:t>tym</w:t>
            </w:r>
            <w:r w:rsidRPr="00835753">
              <w:t xml:space="preserve"> również wówczas, gdy modyfikacja składnika aktywów sprawia, że instytucja rezygnuje</w:t>
            </w:r>
            <w:r w:rsidR="00835753" w:rsidRPr="00835753">
              <w:t xml:space="preserve"> z</w:t>
            </w:r>
            <w:r w:rsidR="00835753">
              <w:t> </w:t>
            </w:r>
            <w:r w:rsidR="00835753" w:rsidRPr="00835753">
              <w:t>prz</w:t>
            </w:r>
            <w:r w:rsidRPr="00835753">
              <w:t>ysługującego jej prawa do otrzymywania przepływów pieniężnych</w:t>
            </w:r>
            <w:r w:rsidR="00835753" w:rsidRPr="00835753">
              <w:t xml:space="preserve"> z</w:t>
            </w:r>
            <w:r w:rsidR="00835753">
              <w:t> </w:t>
            </w:r>
            <w:r w:rsidR="00835753" w:rsidRPr="00835753">
              <w:t>czę</w:t>
            </w:r>
            <w:r w:rsidRPr="00835753">
              <w:t>ści albo całości tego składnika.</w:t>
            </w:r>
          </w:p>
        </w:tc>
      </w:tr>
    </w:tbl>
    <w:p w14:paraId="7BB393CA" w14:textId="77777777" w:rsidR="004E71F4" w:rsidRPr="00835753"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443A83DC" w14:textId="77777777" w:rsidTr="00155C96">
        <w:trPr>
          <w:trHeight w:val="238"/>
        </w:trPr>
        <w:tc>
          <w:tcPr>
            <w:tcW w:w="9039" w:type="dxa"/>
            <w:gridSpan w:val="2"/>
            <w:shd w:val="clear" w:color="auto" w:fill="D9D9D9" w:themeFill="background1" w:themeFillShade="D9"/>
          </w:tcPr>
          <w:p w14:paraId="33399CA0" w14:textId="457F38D5"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175FFDF9" w14:textId="77777777" w:rsidTr="00155C96">
        <w:trPr>
          <w:trHeight w:val="238"/>
        </w:trPr>
        <w:tc>
          <w:tcPr>
            <w:tcW w:w="1384" w:type="dxa"/>
            <w:shd w:val="clear" w:color="auto" w:fill="D9D9D9" w:themeFill="background1" w:themeFillShade="D9"/>
          </w:tcPr>
          <w:p w14:paraId="13E171AE"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4AD2E31F"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Wyjaśnienie</w:t>
            </w:r>
          </w:p>
        </w:tc>
      </w:tr>
      <w:tr w:rsidR="004E71F4" w:rsidRPr="00835753" w14:paraId="49E905AB" w14:textId="77777777" w:rsidTr="00155C96">
        <w:trPr>
          <w:trHeight w:val="841"/>
        </w:trPr>
        <w:tc>
          <w:tcPr>
            <w:tcW w:w="1384" w:type="dxa"/>
          </w:tcPr>
          <w:p w14:paraId="589EE789" w14:textId="77777777" w:rsidR="004E71F4" w:rsidRPr="00835753" w:rsidRDefault="004E71F4" w:rsidP="00155C96">
            <w:pPr>
              <w:pStyle w:val="Applicationdirecte"/>
              <w:spacing w:before="0"/>
            </w:pPr>
            <w:proofErr w:type="gramStart"/>
            <w:r w:rsidRPr="00835753">
              <w:lastRenderedPageBreak/>
              <w:t>a</w:t>
            </w:r>
            <w:proofErr w:type="gramEnd"/>
            <w:r w:rsidRPr="00835753">
              <w:t>)</w:t>
            </w:r>
          </w:p>
        </w:tc>
        <w:tc>
          <w:tcPr>
            <w:tcW w:w="7655" w:type="dxa"/>
          </w:tcPr>
          <w:p w14:paraId="632567CE" w14:textId="58D3A7A6" w:rsidR="004E71F4" w:rsidRPr="00835753" w:rsidRDefault="004E71F4" w:rsidP="00155C96">
            <w:pPr>
              <w:pStyle w:val="Institutionquisigne"/>
              <w:spacing w:before="0" w:after="120"/>
              <w:rPr>
                <w:rFonts w:eastAsiaTheme="minorEastAsia"/>
                <w:b/>
                <w:i w:val="0"/>
              </w:rPr>
            </w:pPr>
            <w:r w:rsidRPr="00835753">
              <w:rPr>
                <w:b/>
                <w:i w:val="0"/>
              </w:rPr>
              <w:t>Kredyty</w:t>
            </w:r>
            <w:r w:rsidR="00835753" w:rsidRPr="00835753">
              <w:rPr>
                <w:b/>
                <w:i w:val="0"/>
              </w:rPr>
              <w:t xml:space="preserve"> i</w:t>
            </w:r>
            <w:r w:rsidR="00835753">
              <w:rPr>
                <w:b/>
                <w:i w:val="0"/>
              </w:rPr>
              <w:t> </w:t>
            </w:r>
            <w:r w:rsidR="00835753" w:rsidRPr="00835753">
              <w:rPr>
                <w:b/>
                <w:i w:val="0"/>
              </w:rPr>
              <w:t>zal</w:t>
            </w:r>
            <w:r w:rsidRPr="00835753">
              <w:rPr>
                <w:b/>
                <w:i w:val="0"/>
              </w:rPr>
              <w:t>iczki</w:t>
            </w:r>
          </w:p>
          <w:p w14:paraId="2D0C3F66" w14:textId="4E9FE9C0" w:rsidR="004E71F4" w:rsidRPr="00835753" w:rsidRDefault="004E71F4" w:rsidP="00155C96">
            <w:pPr>
              <w:pStyle w:val="Fait"/>
              <w:spacing w:before="0" w:after="120"/>
              <w:rPr>
                <w:rFonts w:eastAsiaTheme="minorEastAsia"/>
              </w:rPr>
            </w:pPr>
            <w:r w:rsidRPr="00835753">
              <w:t>Zob. definicja we wzorze EU CR1: Ekspozycje obsługiwane</w:t>
            </w:r>
            <w:r w:rsidR="00835753" w:rsidRPr="00835753">
              <w:t xml:space="preserve"> i</w:t>
            </w:r>
            <w:r w:rsidR="00835753">
              <w:t> </w:t>
            </w:r>
            <w:r w:rsidR="00835753" w:rsidRPr="00835753">
              <w:t>nie</w:t>
            </w:r>
            <w:r w:rsidRPr="00835753">
              <w:t>obsługiwane oraz powiązane rezerwy</w:t>
            </w:r>
          </w:p>
        </w:tc>
      </w:tr>
      <w:tr w:rsidR="004E71F4" w:rsidRPr="00835753" w14:paraId="4C2EBB9F" w14:textId="77777777" w:rsidTr="00155C96">
        <w:trPr>
          <w:trHeight w:val="841"/>
        </w:trPr>
        <w:tc>
          <w:tcPr>
            <w:tcW w:w="1384" w:type="dxa"/>
          </w:tcPr>
          <w:p w14:paraId="0B8B5441" w14:textId="77777777" w:rsidR="004E71F4" w:rsidRPr="00835753" w:rsidRDefault="004E71F4" w:rsidP="00155C96">
            <w:pPr>
              <w:pStyle w:val="Applicationdirecte"/>
              <w:spacing w:before="0"/>
            </w:pPr>
            <w:proofErr w:type="gramStart"/>
            <w:r w:rsidRPr="00835753">
              <w:t>b</w:t>
            </w:r>
            <w:proofErr w:type="gramEnd"/>
            <w:r w:rsidRPr="00835753">
              <w:t>)</w:t>
            </w:r>
          </w:p>
        </w:tc>
        <w:tc>
          <w:tcPr>
            <w:tcW w:w="7655" w:type="dxa"/>
          </w:tcPr>
          <w:p w14:paraId="7B2C0100" w14:textId="1F9940B1" w:rsidR="004E71F4" w:rsidRPr="00835753" w:rsidRDefault="004E71F4" w:rsidP="00155C96">
            <w:pPr>
              <w:pStyle w:val="Institutionquisigne"/>
              <w:spacing w:before="0" w:after="120"/>
              <w:rPr>
                <w:rFonts w:eastAsiaTheme="minorEastAsia"/>
                <w:b/>
                <w:i w:val="0"/>
              </w:rPr>
            </w:pPr>
            <w:r w:rsidRPr="00835753">
              <w:rPr>
                <w:b/>
                <w:i w:val="0"/>
              </w:rPr>
              <w:t>Kredyty</w:t>
            </w:r>
            <w:r w:rsidR="00835753" w:rsidRPr="00835753">
              <w:rPr>
                <w:b/>
                <w:i w:val="0"/>
              </w:rPr>
              <w:t xml:space="preserve"> i</w:t>
            </w:r>
            <w:r w:rsidR="00835753">
              <w:rPr>
                <w:b/>
                <w:i w:val="0"/>
              </w:rPr>
              <w:t> </w:t>
            </w:r>
            <w:r w:rsidR="00835753" w:rsidRPr="00835753">
              <w:rPr>
                <w:b/>
                <w:i w:val="0"/>
              </w:rPr>
              <w:t>zal</w:t>
            </w:r>
            <w:r w:rsidRPr="00835753">
              <w:rPr>
                <w:b/>
                <w:i w:val="0"/>
              </w:rPr>
              <w:t>iczki –</w:t>
            </w:r>
            <w:r w:rsidR="00835753" w:rsidRPr="00835753">
              <w:rPr>
                <w:b/>
                <w:i w:val="0"/>
              </w:rPr>
              <w:t xml:space="preserve"> w</w:t>
            </w:r>
            <w:r w:rsidR="00835753">
              <w:rPr>
                <w:b/>
                <w:i w:val="0"/>
              </w:rPr>
              <w:t> </w:t>
            </w:r>
            <w:r w:rsidR="00835753" w:rsidRPr="00835753">
              <w:rPr>
                <w:b/>
                <w:i w:val="0"/>
              </w:rPr>
              <w:t>tym</w:t>
            </w:r>
            <w:r w:rsidRPr="00835753">
              <w:rPr>
                <w:b/>
                <w:i w:val="0"/>
              </w:rPr>
              <w:t xml:space="preserve"> obsługiwane </w:t>
            </w:r>
          </w:p>
          <w:p w14:paraId="622F5076" w14:textId="034C3618" w:rsidR="004E71F4" w:rsidRPr="00835753" w:rsidRDefault="004E71F4" w:rsidP="00155C96">
            <w:pPr>
              <w:pStyle w:val="Fait"/>
              <w:spacing w:before="0" w:after="120"/>
              <w:rPr>
                <w:rFonts w:eastAsiaTheme="minorEastAsia"/>
              </w:rPr>
            </w:pPr>
            <w:r w:rsidRPr="00835753">
              <w:t>Zob. definicja we wzorze EU CR1: Ekspozycje obsługiwane</w:t>
            </w:r>
            <w:r w:rsidR="00835753" w:rsidRPr="00835753">
              <w:t xml:space="preserve"> i</w:t>
            </w:r>
            <w:r w:rsidR="00835753">
              <w:t> </w:t>
            </w:r>
            <w:r w:rsidR="00835753" w:rsidRPr="00835753">
              <w:t>nie</w:t>
            </w:r>
            <w:r w:rsidRPr="00835753">
              <w:t>obsługiwane oraz powiązane rezerwy</w:t>
            </w:r>
          </w:p>
        </w:tc>
      </w:tr>
      <w:tr w:rsidR="004E71F4" w:rsidRPr="00835753" w14:paraId="0BB7D76C" w14:textId="77777777" w:rsidTr="00155C96">
        <w:trPr>
          <w:trHeight w:val="841"/>
        </w:trPr>
        <w:tc>
          <w:tcPr>
            <w:tcW w:w="1384" w:type="dxa"/>
          </w:tcPr>
          <w:p w14:paraId="37E0AD29" w14:textId="77777777" w:rsidR="004E71F4" w:rsidRPr="00835753" w:rsidRDefault="004E71F4" w:rsidP="00155C96">
            <w:pPr>
              <w:pStyle w:val="Applicationdirecte"/>
              <w:spacing w:before="0"/>
            </w:pPr>
            <w:proofErr w:type="gramStart"/>
            <w:r w:rsidRPr="00835753">
              <w:t>c</w:t>
            </w:r>
            <w:proofErr w:type="gramEnd"/>
            <w:r w:rsidRPr="00835753">
              <w:t>)</w:t>
            </w:r>
          </w:p>
        </w:tc>
        <w:tc>
          <w:tcPr>
            <w:tcW w:w="7655" w:type="dxa"/>
          </w:tcPr>
          <w:p w14:paraId="415FD509" w14:textId="77777777" w:rsidR="004E71F4" w:rsidRPr="00835753" w:rsidRDefault="004E71F4" w:rsidP="00155C96">
            <w:pPr>
              <w:pStyle w:val="Institutionquisigne"/>
              <w:spacing w:before="0" w:after="120"/>
              <w:ind w:left="720"/>
              <w:rPr>
                <w:rFonts w:eastAsiaTheme="minorEastAsia"/>
                <w:b/>
                <w:i w:val="0"/>
              </w:rPr>
            </w:pPr>
            <w:r w:rsidRPr="00835753">
              <w:rPr>
                <w:b/>
                <w:i w:val="0"/>
              </w:rPr>
              <w:t>W tym przeterminowane o &gt; 30 dni ≤ 90 dni</w:t>
            </w:r>
          </w:p>
          <w:p w14:paraId="147C9DA1" w14:textId="50D1DEAE" w:rsidR="004E71F4" w:rsidRPr="00835753" w:rsidRDefault="004E71F4" w:rsidP="00155C96">
            <w:pPr>
              <w:pStyle w:val="Fait"/>
              <w:spacing w:before="0" w:after="120"/>
              <w:rPr>
                <w:rFonts w:eastAsiaTheme="minorEastAsia"/>
              </w:rPr>
            </w:pPr>
            <w:r w:rsidRPr="00835753">
              <w:t>Podkategoria obsługiwanych kredytów</w:t>
            </w:r>
            <w:r w:rsidR="00835753" w:rsidRPr="00835753">
              <w:t xml:space="preserve"> i</w:t>
            </w:r>
            <w:r w:rsidR="00835753">
              <w:t> </w:t>
            </w:r>
            <w:r w:rsidR="00835753" w:rsidRPr="00835753">
              <w:t>zal</w:t>
            </w:r>
            <w:r w:rsidRPr="00835753">
              <w:t>iczek, które są przeterminowane</w:t>
            </w:r>
            <w:r w:rsidR="00835753" w:rsidRPr="00835753">
              <w:t xml:space="preserve"> o</w:t>
            </w:r>
            <w:r w:rsidR="00835753">
              <w:t> </w:t>
            </w:r>
            <w:r w:rsidR="00835753" w:rsidRPr="00835753">
              <w:t>3</w:t>
            </w:r>
            <w:r w:rsidRPr="00835753">
              <w:t>1–90 dni</w:t>
            </w:r>
          </w:p>
        </w:tc>
      </w:tr>
      <w:tr w:rsidR="004E71F4" w:rsidRPr="00835753" w14:paraId="362B92AC" w14:textId="77777777" w:rsidTr="00155C96">
        <w:trPr>
          <w:trHeight w:val="841"/>
        </w:trPr>
        <w:tc>
          <w:tcPr>
            <w:tcW w:w="1384" w:type="dxa"/>
          </w:tcPr>
          <w:p w14:paraId="26D00AF9" w14:textId="77777777" w:rsidR="004E71F4" w:rsidRPr="00835753" w:rsidRDefault="004E71F4" w:rsidP="00155C96">
            <w:pPr>
              <w:pStyle w:val="Applicationdirecte"/>
              <w:spacing w:before="0"/>
            </w:pPr>
            <w:proofErr w:type="gramStart"/>
            <w:r w:rsidRPr="00835753">
              <w:t>d</w:t>
            </w:r>
            <w:proofErr w:type="gramEnd"/>
            <w:r w:rsidRPr="00835753">
              <w:t>)</w:t>
            </w:r>
          </w:p>
        </w:tc>
        <w:tc>
          <w:tcPr>
            <w:tcW w:w="7655" w:type="dxa"/>
          </w:tcPr>
          <w:p w14:paraId="1641C9E7" w14:textId="1FF36BC3" w:rsidR="004E71F4" w:rsidRPr="00835753" w:rsidRDefault="004E71F4" w:rsidP="00155C96">
            <w:pPr>
              <w:pStyle w:val="Fait"/>
              <w:spacing w:before="0" w:after="120"/>
              <w:rPr>
                <w:b/>
              </w:rPr>
            </w:pPr>
            <w:r w:rsidRPr="00835753">
              <w:rPr>
                <w:b/>
              </w:rPr>
              <w:t>Kredyty</w:t>
            </w:r>
            <w:r w:rsidR="00835753" w:rsidRPr="00835753">
              <w:rPr>
                <w:b/>
              </w:rPr>
              <w:t xml:space="preserve"> i</w:t>
            </w:r>
            <w:r w:rsidR="00835753">
              <w:rPr>
                <w:b/>
              </w:rPr>
              <w:t> </w:t>
            </w:r>
            <w:r w:rsidR="00835753" w:rsidRPr="00835753">
              <w:rPr>
                <w:b/>
              </w:rPr>
              <w:t>zal</w:t>
            </w:r>
            <w:r w:rsidRPr="00835753">
              <w:rPr>
                <w:b/>
              </w:rPr>
              <w:t>iczki –</w:t>
            </w:r>
            <w:r w:rsidR="00835753" w:rsidRPr="00835753">
              <w:rPr>
                <w:b/>
              </w:rPr>
              <w:t xml:space="preserve"> w</w:t>
            </w:r>
            <w:r w:rsidR="00835753">
              <w:rPr>
                <w:b/>
              </w:rPr>
              <w:t> </w:t>
            </w:r>
            <w:r w:rsidR="00835753" w:rsidRPr="00835753">
              <w:rPr>
                <w:b/>
              </w:rPr>
              <w:t>tym</w:t>
            </w:r>
            <w:r w:rsidRPr="00835753">
              <w:rPr>
                <w:b/>
              </w:rPr>
              <w:t xml:space="preserve"> ekspozycje nieobsługiwane</w:t>
            </w:r>
          </w:p>
          <w:p w14:paraId="74EB556B" w14:textId="25E01B9C" w:rsidR="004E71F4" w:rsidRPr="00835753" w:rsidRDefault="004E71F4" w:rsidP="00155C96">
            <w:pPr>
              <w:pStyle w:val="Fait"/>
              <w:spacing w:before="0" w:after="120"/>
            </w:pPr>
            <w:r w:rsidRPr="00835753">
              <w:t>Ekspozycje nieobsługiwane określone</w:t>
            </w:r>
            <w:r w:rsidR="00835753" w:rsidRPr="00835753">
              <w:t xml:space="preserve"> w</w:t>
            </w:r>
            <w:r w:rsidR="00835753">
              <w:t> </w:t>
            </w:r>
            <w:r w:rsidR="00835753" w:rsidRPr="00835753">
              <w:t>art</w:t>
            </w:r>
            <w:r w:rsidRPr="00835753">
              <w:t>.</w:t>
            </w:r>
            <w:r w:rsidR="00835753" w:rsidRPr="00835753">
              <w:t> </w:t>
            </w:r>
            <w:r w:rsidRPr="00835753">
              <w:t>47a CRR</w:t>
            </w:r>
          </w:p>
          <w:p w14:paraId="0338D40C" w14:textId="04CFC352" w:rsidR="004E71F4" w:rsidRPr="00835753" w:rsidRDefault="004E71F4" w:rsidP="00155C96">
            <w:pPr>
              <w:pStyle w:val="Fait"/>
              <w:spacing w:before="0" w:after="120"/>
            </w:pPr>
            <w:r w:rsidRPr="00835753">
              <w:t>Zob. definicja we wzorze EU CR1: Ekspozycje obsługiwane</w:t>
            </w:r>
            <w:r w:rsidR="00835753" w:rsidRPr="00835753">
              <w:t xml:space="preserve"> i</w:t>
            </w:r>
            <w:r w:rsidR="00835753">
              <w:t> </w:t>
            </w:r>
            <w:r w:rsidR="00835753" w:rsidRPr="00835753">
              <w:t>nie</w:t>
            </w:r>
            <w:r w:rsidRPr="00835753">
              <w:t>obsługiwane oraz powiązane rezerwy</w:t>
            </w:r>
          </w:p>
        </w:tc>
      </w:tr>
      <w:tr w:rsidR="004E71F4" w:rsidRPr="00835753" w14:paraId="307D99E8" w14:textId="77777777" w:rsidTr="00155C96">
        <w:trPr>
          <w:trHeight w:val="316"/>
        </w:trPr>
        <w:tc>
          <w:tcPr>
            <w:tcW w:w="1384" w:type="dxa"/>
          </w:tcPr>
          <w:p w14:paraId="40A6A0CF"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proofErr w:type="gramStart"/>
            <w:r w:rsidRPr="00835753">
              <w:rPr>
                <w:rFonts w:ascii="Times New Roman" w:hAnsi="Times New Roman"/>
                <w:color w:val="000000"/>
                <w:sz w:val="24"/>
              </w:rPr>
              <w:t>e</w:t>
            </w:r>
            <w:proofErr w:type="gramEnd"/>
            <w:r w:rsidRPr="00835753">
              <w:rPr>
                <w:rFonts w:ascii="Times New Roman" w:hAnsi="Times New Roman"/>
                <w:color w:val="000000"/>
                <w:sz w:val="24"/>
              </w:rPr>
              <w:t>)</w:t>
            </w:r>
          </w:p>
        </w:tc>
        <w:tc>
          <w:tcPr>
            <w:tcW w:w="7655" w:type="dxa"/>
          </w:tcPr>
          <w:p w14:paraId="53740B40" w14:textId="6EAB96B1" w:rsidR="004E71F4" w:rsidRPr="00835753" w:rsidRDefault="004E71F4" w:rsidP="00155C96">
            <w:pPr>
              <w:pStyle w:val="Fait"/>
              <w:spacing w:before="0" w:after="120"/>
              <w:ind w:left="720"/>
              <w:rPr>
                <w:b/>
              </w:rPr>
            </w:pPr>
            <w:proofErr w:type="gramStart"/>
            <w:r w:rsidRPr="00835753">
              <w:rPr>
                <w:b/>
              </w:rPr>
              <w:t>w</w:t>
            </w:r>
            <w:proofErr w:type="gramEnd"/>
            <w:r w:rsidRPr="00835753">
              <w:rPr>
                <w:b/>
              </w:rPr>
              <w:t xml:space="preserve"> tym</w:t>
            </w:r>
            <w:r w:rsidR="00835753" w:rsidRPr="00835753">
              <w:rPr>
                <w:b/>
              </w:rPr>
              <w:t xml:space="preserve"> z</w:t>
            </w:r>
            <w:r w:rsidR="00835753">
              <w:rPr>
                <w:b/>
              </w:rPr>
              <w:t> </w:t>
            </w:r>
            <w:r w:rsidR="00835753" w:rsidRPr="00835753">
              <w:rPr>
                <w:b/>
              </w:rPr>
              <w:t>mał</w:t>
            </w:r>
            <w:r w:rsidRPr="00835753">
              <w:rPr>
                <w:b/>
              </w:rPr>
              <w:t>ym prawdopodobieństwem spłaty, które nie są przeterminowane lub są przeterminowane o ≤ 90 dni</w:t>
            </w:r>
          </w:p>
          <w:p w14:paraId="25E07F3A" w14:textId="2530D611" w:rsidR="004E71F4" w:rsidRPr="00835753" w:rsidRDefault="004E71F4" w:rsidP="00155C96">
            <w:pPr>
              <w:pStyle w:val="Fait"/>
              <w:spacing w:before="0" w:after="120"/>
            </w:pPr>
            <w:r w:rsidRPr="00835753">
              <w:t>Podkategoria kredytów</w:t>
            </w:r>
            <w:r w:rsidR="00835753" w:rsidRPr="00835753">
              <w:t xml:space="preserve"> i</w:t>
            </w:r>
            <w:r w:rsidR="00835753">
              <w:t> </w:t>
            </w:r>
            <w:r w:rsidR="00835753" w:rsidRPr="00835753">
              <w:t>zal</w:t>
            </w:r>
            <w:r w:rsidRPr="00835753">
              <w:t>iczek, które nie są przeterminowane albo są przeterminowane do</w:t>
            </w:r>
            <w:r w:rsidR="00835753" w:rsidRPr="00835753">
              <w:t> </w:t>
            </w:r>
            <w:r w:rsidRPr="00835753">
              <w:t>90 dni, ale mimo to uznano je za nieobsługiwane ze względu na prawdopodobieństwo braku pełnej spłaty zgodnie</w:t>
            </w:r>
            <w:r w:rsidR="00835753" w:rsidRPr="00835753">
              <w:t xml:space="preserve"> z</w:t>
            </w:r>
            <w:r w:rsidR="00835753">
              <w:t> </w:t>
            </w:r>
            <w:r w:rsidR="00835753" w:rsidRPr="00835753">
              <w:t>art</w:t>
            </w:r>
            <w:r w:rsidRPr="00835753">
              <w:t>.</w:t>
            </w:r>
            <w:r w:rsidR="00835753" w:rsidRPr="00835753">
              <w:t> </w:t>
            </w:r>
            <w:r w:rsidRPr="00835753">
              <w:t>47a CRR</w:t>
            </w:r>
          </w:p>
        </w:tc>
      </w:tr>
      <w:tr w:rsidR="004E71F4" w:rsidRPr="00835753" w14:paraId="67C76979" w14:textId="77777777" w:rsidTr="00155C96">
        <w:trPr>
          <w:trHeight w:val="316"/>
        </w:trPr>
        <w:tc>
          <w:tcPr>
            <w:tcW w:w="1384" w:type="dxa"/>
          </w:tcPr>
          <w:p w14:paraId="5D8617D8"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f</w:t>
            </w:r>
            <w:proofErr w:type="gramEnd"/>
            <w:r w:rsidRPr="00835753">
              <w:rPr>
                <w:rFonts w:ascii="Times New Roman" w:hAnsi="Times New Roman"/>
                <w:sz w:val="24"/>
              </w:rPr>
              <w:t>)</w:t>
            </w:r>
          </w:p>
        </w:tc>
        <w:tc>
          <w:tcPr>
            <w:tcW w:w="7655" w:type="dxa"/>
          </w:tcPr>
          <w:p w14:paraId="7C4DAD01" w14:textId="77777777" w:rsidR="004E71F4" w:rsidRPr="00835753" w:rsidRDefault="004E71F4" w:rsidP="00155C96">
            <w:pPr>
              <w:autoSpaceDE w:val="0"/>
              <w:autoSpaceDN w:val="0"/>
              <w:adjustRightInd w:val="0"/>
              <w:spacing w:after="120"/>
              <w:ind w:left="720"/>
              <w:rPr>
                <w:rFonts w:ascii="Times New Roman" w:hAnsi="Times New Roman" w:cs="Times New Roman"/>
                <w:b/>
                <w:sz w:val="24"/>
              </w:rPr>
            </w:pPr>
            <w:r w:rsidRPr="00835753">
              <w:rPr>
                <w:rFonts w:ascii="Times New Roman" w:hAnsi="Times New Roman"/>
                <w:b/>
                <w:sz w:val="24"/>
              </w:rPr>
              <w:t>Przeterminowane o &gt; 90 dni</w:t>
            </w:r>
          </w:p>
          <w:p w14:paraId="4AF30303" w14:textId="2E3F9648" w:rsidR="004E71F4" w:rsidRPr="00835753" w:rsidRDefault="004E71F4" w:rsidP="00155C96">
            <w:pPr>
              <w:pStyle w:val="Fait"/>
              <w:spacing w:before="0" w:after="120"/>
            </w:pPr>
            <w:r w:rsidRPr="00835753">
              <w:t>Podkategoria kredytów</w:t>
            </w:r>
            <w:r w:rsidR="00835753" w:rsidRPr="00835753">
              <w:t xml:space="preserve"> i</w:t>
            </w:r>
            <w:r w:rsidR="00835753">
              <w:t> </w:t>
            </w:r>
            <w:r w:rsidR="00835753" w:rsidRPr="00835753">
              <w:t>zal</w:t>
            </w:r>
            <w:r w:rsidRPr="00835753">
              <w:t>iczek przeterminowanych</w:t>
            </w:r>
            <w:r w:rsidR="00835753" w:rsidRPr="00835753">
              <w:t xml:space="preserve"> o</w:t>
            </w:r>
            <w:r w:rsidR="00835753">
              <w:t> </w:t>
            </w:r>
            <w:r w:rsidR="00835753" w:rsidRPr="00835753">
              <w:t>pon</w:t>
            </w:r>
            <w:r w:rsidRPr="00835753">
              <w:t>ad 90 dni</w:t>
            </w:r>
          </w:p>
        </w:tc>
      </w:tr>
      <w:tr w:rsidR="004E71F4" w:rsidRPr="00835753" w14:paraId="428FE74F" w14:textId="77777777" w:rsidTr="00155C96">
        <w:trPr>
          <w:trHeight w:val="316"/>
        </w:trPr>
        <w:tc>
          <w:tcPr>
            <w:tcW w:w="1384" w:type="dxa"/>
          </w:tcPr>
          <w:p w14:paraId="6826298F"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g</w:t>
            </w:r>
            <w:proofErr w:type="gramEnd"/>
            <w:r w:rsidRPr="00835753">
              <w:rPr>
                <w:rFonts w:ascii="Times New Roman" w:hAnsi="Times New Roman"/>
                <w:sz w:val="24"/>
              </w:rPr>
              <w:t>)</w:t>
            </w:r>
          </w:p>
        </w:tc>
        <w:tc>
          <w:tcPr>
            <w:tcW w:w="7655" w:type="dxa"/>
          </w:tcPr>
          <w:p w14:paraId="1B1554A7" w14:textId="77777777" w:rsidR="004E71F4" w:rsidRPr="00835753" w:rsidRDefault="004E71F4" w:rsidP="00155C96">
            <w:pPr>
              <w:autoSpaceDE w:val="0"/>
              <w:autoSpaceDN w:val="0"/>
              <w:adjustRightInd w:val="0"/>
              <w:spacing w:after="120"/>
              <w:ind w:left="720"/>
              <w:rPr>
                <w:rFonts w:ascii="Times New Roman" w:hAnsi="Times New Roman" w:cs="Times New Roman"/>
                <w:b/>
                <w:sz w:val="24"/>
              </w:rPr>
            </w:pPr>
            <w:r w:rsidRPr="00835753">
              <w:rPr>
                <w:rFonts w:ascii="Times New Roman" w:hAnsi="Times New Roman"/>
                <w:b/>
                <w:sz w:val="24"/>
              </w:rPr>
              <w:t>W tym przeterminowane o &gt; 90 dni ≤ 180 dni</w:t>
            </w:r>
          </w:p>
          <w:p w14:paraId="1C5D4E41" w14:textId="71352FDB" w:rsidR="004E71F4" w:rsidRPr="00835753" w:rsidRDefault="004E71F4" w:rsidP="00155C96">
            <w:pPr>
              <w:autoSpaceDE w:val="0"/>
              <w:autoSpaceDN w:val="0"/>
              <w:adjustRightInd w:val="0"/>
              <w:spacing w:after="120"/>
              <w:rPr>
                <w:rFonts w:ascii="Times New Roman" w:hAnsi="Times New Roman" w:cs="Times New Roman"/>
                <w:sz w:val="24"/>
              </w:rPr>
            </w:pPr>
            <w:r w:rsidRPr="00835753">
              <w:rPr>
                <w:rFonts w:ascii="Times New Roman" w:hAnsi="Times New Roman"/>
                <w:sz w:val="24"/>
              </w:rPr>
              <w:t>Podkategoria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które są przeterminowane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9</w:t>
            </w:r>
            <w:r w:rsidRPr="00835753">
              <w:rPr>
                <w:rFonts w:ascii="Times New Roman" w:hAnsi="Times New Roman"/>
                <w:sz w:val="24"/>
              </w:rPr>
              <w:t>1–180 dni</w:t>
            </w:r>
          </w:p>
        </w:tc>
      </w:tr>
      <w:tr w:rsidR="004E71F4" w:rsidRPr="00835753" w14:paraId="0959DA4C" w14:textId="77777777" w:rsidTr="00155C96">
        <w:trPr>
          <w:trHeight w:val="316"/>
        </w:trPr>
        <w:tc>
          <w:tcPr>
            <w:tcW w:w="1384" w:type="dxa"/>
          </w:tcPr>
          <w:p w14:paraId="25A9976B"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h</w:t>
            </w:r>
            <w:proofErr w:type="gramEnd"/>
            <w:r w:rsidRPr="00835753">
              <w:rPr>
                <w:rFonts w:ascii="Times New Roman" w:hAnsi="Times New Roman"/>
                <w:sz w:val="24"/>
              </w:rPr>
              <w:t>)</w:t>
            </w:r>
          </w:p>
        </w:tc>
        <w:tc>
          <w:tcPr>
            <w:tcW w:w="7655" w:type="dxa"/>
          </w:tcPr>
          <w:p w14:paraId="7622B5EA" w14:textId="77777777" w:rsidR="004E71F4" w:rsidRPr="00835753" w:rsidRDefault="004E71F4" w:rsidP="00155C96">
            <w:pPr>
              <w:autoSpaceDE w:val="0"/>
              <w:autoSpaceDN w:val="0"/>
              <w:adjustRightInd w:val="0"/>
              <w:spacing w:after="120"/>
              <w:ind w:left="720"/>
              <w:rPr>
                <w:rFonts w:ascii="Times New Roman" w:hAnsi="Times New Roman" w:cs="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przeterminowane o &gt; 180 dni ≤ 1 rok</w:t>
            </w:r>
          </w:p>
          <w:p w14:paraId="2CA9CE3E" w14:textId="3B4FC937" w:rsidR="004E71F4" w:rsidRPr="00835753" w:rsidRDefault="004E71F4" w:rsidP="00155C96">
            <w:pPr>
              <w:autoSpaceDE w:val="0"/>
              <w:autoSpaceDN w:val="0"/>
              <w:adjustRightInd w:val="0"/>
              <w:spacing w:after="120"/>
              <w:rPr>
                <w:rFonts w:ascii="Times New Roman" w:hAnsi="Times New Roman" w:cs="Times New Roman"/>
                <w:sz w:val="24"/>
              </w:rPr>
            </w:pPr>
            <w:r w:rsidRPr="00835753">
              <w:rPr>
                <w:rFonts w:ascii="Times New Roman" w:hAnsi="Times New Roman"/>
                <w:sz w:val="24"/>
              </w:rPr>
              <w:t>Podkategoria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które są przeterminowane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81 dni do</w:t>
            </w:r>
            <w:r w:rsidR="00835753" w:rsidRPr="00835753">
              <w:rPr>
                <w:rFonts w:ascii="Times New Roman" w:hAnsi="Times New Roman"/>
                <w:sz w:val="24"/>
              </w:rPr>
              <w:t> </w:t>
            </w:r>
            <w:r w:rsidRPr="00835753">
              <w:rPr>
                <w:rFonts w:ascii="Times New Roman" w:hAnsi="Times New Roman"/>
                <w:sz w:val="24"/>
              </w:rPr>
              <w:t>1 roku</w:t>
            </w:r>
          </w:p>
        </w:tc>
      </w:tr>
      <w:tr w:rsidR="004E71F4" w:rsidRPr="00835753" w14:paraId="13BD0DB2" w14:textId="77777777" w:rsidTr="00155C96">
        <w:trPr>
          <w:trHeight w:val="316"/>
        </w:trPr>
        <w:tc>
          <w:tcPr>
            <w:tcW w:w="1384" w:type="dxa"/>
          </w:tcPr>
          <w:p w14:paraId="57184ACF"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i</w:t>
            </w:r>
            <w:proofErr w:type="gramEnd"/>
            <w:r w:rsidRPr="00835753">
              <w:rPr>
                <w:rFonts w:ascii="Times New Roman" w:hAnsi="Times New Roman"/>
                <w:sz w:val="24"/>
              </w:rPr>
              <w:t>)</w:t>
            </w:r>
          </w:p>
        </w:tc>
        <w:tc>
          <w:tcPr>
            <w:tcW w:w="7655" w:type="dxa"/>
          </w:tcPr>
          <w:p w14:paraId="59FABFB0" w14:textId="77777777" w:rsidR="004E71F4" w:rsidRPr="00835753" w:rsidRDefault="004E71F4" w:rsidP="00155C96">
            <w:pPr>
              <w:autoSpaceDE w:val="0"/>
              <w:autoSpaceDN w:val="0"/>
              <w:adjustRightInd w:val="0"/>
              <w:spacing w:after="120"/>
              <w:ind w:left="720"/>
              <w:rPr>
                <w:rFonts w:ascii="Times New Roman" w:hAnsi="Times New Roman" w:cs="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przeterminowane o &gt; 1 rok ≤ 2 lata</w:t>
            </w:r>
          </w:p>
          <w:p w14:paraId="0398B0A3" w14:textId="3459E5EC"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sz w:val="24"/>
              </w:rPr>
              <w:t>Podkategoria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które są przeterminowane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 xml:space="preserve"> rok do</w:t>
            </w:r>
            <w:r w:rsidR="00835753" w:rsidRPr="00835753">
              <w:rPr>
                <w:rFonts w:ascii="Times New Roman" w:hAnsi="Times New Roman"/>
                <w:sz w:val="24"/>
              </w:rPr>
              <w:t> </w:t>
            </w:r>
            <w:r w:rsidRPr="00835753">
              <w:rPr>
                <w:rFonts w:ascii="Times New Roman" w:hAnsi="Times New Roman"/>
                <w:sz w:val="24"/>
              </w:rPr>
              <w:t>2 lat</w:t>
            </w:r>
          </w:p>
        </w:tc>
      </w:tr>
      <w:tr w:rsidR="004E71F4" w:rsidRPr="00835753" w14:paraId="4CE47F71" w14:textId="77777777" w:rsidTr="00155C96">
        <w:trPr>
          <w:trHeight w:val="316"/>
        </w:trPr>
        <w:tc>
          <w:tcPr>
            <w:tcW w:w="1384" w:type="dxa"/>
          </w:tcPr>
          <w:p w14:paraId="56C32D25"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j</w:t>
            </w:r>
            <w:proofErr w:type="gramEnd"/>
            <w:r w:rsidRPr="00835753">
              <w:rPr>
                <w:rFonts w:ascii="Times New Roman" w:hAnsi="Times New Roman"/>
                <w:sz w:val="24"/>
              </w:rPr>
              <w:t>)</w:t>
            </w:r>
          </w:p>
        </w:tc>
        <w:tc>
          <w:tcPr>
            <w:tcW w:w="7655" w:type="dxa"/>
          </w:tcPr>
          <w:p w14:paraId="18A7C939" w14:textId="77777777" w:rsidR="004E71F4" w:rsidRPr="00835753" w:rsidRDefault="004E71F4" w:rsidP="00155C96">
            <w:pPr>
              <w:autoSpaceDE w:val="0"/>
              <w:autoSpaceDN w:val="0"/>
              <w:adjustRightInd w:val="0"/>
              <w:spacing w:after="120"/>
              <w:ind w:left="720"/>
              <w:rPr>
                <w:rFonts w:ascii="Times New Roman" w:hAnsi="Times New Roman" w:cs="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przeterminowane o &gt; 2 rok ≤ 5 lata</w:t>
            </w:r>
          </w:p>
          <w:p w14:paraId="77DF4EF2" w14:textId="0622C1B9"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sz w:val="24"/>
              </w:rPr>
              <w:t>Podkategoria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które są przeterminowane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2</w:t>
            </w:r>
            <w:r w:rsidRPr="00835753">
              <w:rPr>
                <w:rFonts w:ascii="Times New Roman" w:hAnsi="Times New Roman"/>
                <w:sz w:val="24"/>
              </w:rPr>
              <w:t>–5 lat</w:t>
            </w:r>
          </w:p>
        </w:tc>
      </w:tr>
      <w:tr w:rsidR="004E71F4" w:rsidRPr="00835753" w14:paraId="4F5EC3C5" w14:textId="77777777" w:rsidTr="00155C96">
        <w:trPr>
          <w:trHeight w:val="316"/>
        </w:trPr>
        <w:tc>
          <w:tcPr>
            <w:tcW w:w="1384" w:type="dxa"/>
          </w:tcPr>
          <w:p w14:paraId="74F9F0AF"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k</w:t>
            </w:r>
            <w:proofErr w:type="gramEnd"/>
            <w:r w:rsidRPr="00835753">
              <w:rPr>
                <w:rFonts w:ascii="Times New Roman" w:hAnsi="Times New Roman"/>
                <w:sz w:val="24"/>
              </w:rPr>
              <w:t>)</w:t>
            </w:r>
          </w:p>
        </w:tc>
        <w:tc>
          <w:tcPr>
            <w:tcW w:w="7655" w:type="dxa"/>
          </w:tcPr>
          <w:p w14:paraId="33935339" w14:textId="77777777" w:rsidR="004E71F4" w:rsidRPr="00835753" w:rsidRDefault="004E71F4" w:rsidP="00155C96">
            <w:pPr>
              <w:autoSpaceDE w:val="0"/>
              <w:autoSpaceDN w:val="0"/>
              <w:adjustRightInd w:val="0"/>
              <w:spacing w:after="120"/>
              <w:ind w:left="720"/>
              <w:rPr>
                <w:rFonts w:ascii="Times New Roman" w:hAnsi="Times New Roman" w:cs="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przeterminowane o &gt; 5 rok ≤ 7 lata</w:t>
            </w:r>
          </w:p>
          <w:p w14:paraId="35EC900B" w14:textId="6020DF40"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sz w:val="24"/>
              </w:rPr>
              <w:t>Podkategoria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które są przeterminowane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5</w:t>
            </w:r>
            <w:r w:rsidRPr="00835753">
              <w:rPr>
                <w:rFonts w:ascii="Times New Roman" w:hAnsi="Times New Roman"/>
                <w:sz w:val="24"/>
              </w:rPr>
              <w:t>-7 lat</w:t>
            </w:r>
          </w:p>
        </w:tc>
      </w:tr>
      <w:tr w:rsidR="004E71F4" w:rsidRPr="00835753" w14:paraId="5CF3AF80" w14:textId="77777777" w:rsidTr="00155C96">
        <w:trPr>
          <w:trHeight w:val="316"/>
        </w:trPr>
        <w:tc>
          <w:tcPr>
            <w:tcW w:w="1384" w:type="dxa"/>
          </w:tcPr>
          <w:p w14:paraId="01894B3D" w14:textId="77777777" w:rsidR="004E71F4" w:rsidRPr="00835753" w:rsidRDefault="004E71F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l</w:t>
            </w:r>
            <w:proofErr w:type="gramEnd"/>
            <w:r w:rsidRPr="00835753">
              <w:rPr>
                <w:rFonts w:ascii="Times New Roman" w:hAnsi="Times New Roman"/>
                <w:sz w:val="24"/>
              </w:rPr>
              <w:t>)</w:t>
            </w:r>
          </w:p>
        </w:tc>
        <w:tc>
          <w:tcPr>
            <w:tcW w:w="7655" w:type="dxa"/>
          </w:tcPr>
          <w:p w14:paraId="0B182181" w14:textId="77777777" w:rsidR="004E71F4" w:rsidRPr="00835753" w:rsidRDefault="004E71F4" w:rsidP="00155C96">
            <w:pPr>
              <w:autoSpaceDE w:val="0"/>
              <w:autoSpaceDN w:val="0"/>
              <w:adjustRightInd w:val="0"/>
              <w:spacing w:after="120"/>
              <w:ind w:left="720"/>
              <w:rPr>
                <w:rFonts w:ascii="Times New Roman" w:hAnsi="Times New Roman" w:cs="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przeterminowane o &gt; 7 lat</w:t>
            </w:r>
          </w:p>
          <w:p w14:paraId="37CA0A23" w14:textId="2AE8133A"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sz w:val="24"/>
              </w:rPr>
              <w:t>Podkategoria kredytów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iczek, które są przeterminowane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ad 7 lat.</w:t>
            </w:r>
          </w:p>
        </w:tc>
      </w:tr>
    </w:tbl>
    <w:p w14:paraId="0BA0AE4D" w14:textId="77777777" w:rsidR="004E71F4" w:rsidRPr="00835753" w:rsidRDefault="004E71F4" w:rsidP="004E71F4">
      <w:pPr>
        <w:autoSpaceDE w:val="0"/>
        <w:autoSpaceDN w:val="0"/>
        <w:adjustRightInd w:val="0"/>
        <w:spacing w:after="120"/>
        <w:jc w:val="both"/>
        <w:rPr>
          <w:rFonts w:ascii="Times New Roman" w:hAnsi="Times New Roman" w:cs="Times New Roman"/>
          <w:b/>
          <w:sz w:val="24"/>
        </w:rPr>
      </w:pPr>
    </w:p>
    <w:p w14:paraId="2E4B698F" w14:textId="2273CB80" w:rsidR="004E71F4" w:rsidRPr="00835753" w:rsidRDefault="00CD362D" w:rsidP="004E71F4">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Wzór EU CQ7: Zabezpieczenia uzyskane przez przejęcie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pos</w:t>
      </w:r>
      <w:r w:rsidRPr="00835753">
        <w:rPr>
          <w:rFonts w:ascii="Times New Roman" w:hAnsi="Times New Roman"/>
          <w:b/>
          <w:sz w:val="24"/>
        </w:rPr>
        <w:t>tępowania egzekucyjne</w:t>
      </w:r>
    </w:p>
    <w:p w14:paraId="1E1D6586" w14:textId="7E1A512B" w:rsidR="004E71F4" w:rsidRPr="00835753"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sidRPr="00835753">
        <w:rPr>
          <w:rFonts w:ascii="Times New Roman" w:hAnsi="Times New Roman"/>
          <w:bCs/>
          <w:sz w:val="24"/>
        </w:rPr>
        <w:lastRenderedPageBreak/>
        <w:t>W celu wypełnienia wzoru EU CQ7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ączniku XV do niniejszego rozporządzenia wykonawczego instytucje ujawniają informacje,</w:t>
      </w:r>
      <w:r w:rsidR="00835753" w:rsidRPr="00835753">
        <w:rPr>
          <w:rFonts w:ascii="Times New Roman" w:hAnsi="Times New Roman"/>
          <w:bCs/>
          <w:sz w:val="24"/>
        </w:rPr>
        <w:t xml:space="preserve"> o</w:t>
      </w:r>
      <w:r w:rsidR="00835753">
        <w:rPr>
          <w:rFonts w:ascii="Times New Roman" w:hAnsi="Times New Roman"/>
          <w:bCs/>
          <w:sz w:val="24"/>
        </w:rPr>
        <w:t> </w:t>
      </w:r>
      <w:r w:rsidR="00835753" w:rsidRPr="00835753">
        <w:rPr>
          <w:rFonts w:ascii="Times New Roman" w:hAnsi="Times New Roman"/>
          <w:bCs/>
          <w:sz w:val="24"/>
        </w:rPr>
        <w:t>któ</w:t>
      </w:r>
      <w:r w:rsidRPr="00835753">
        <w:rPr>
          <w:rFonts w:ascii="Times New Roman" w:hAnsi="Times New Roman"/>
          <w:bCs/>
          <w:sz w:val="24"/>
        </w:rPr>
        <w:t>rych mowa</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442 lit.</w:t>
      </w:r>
      <w:r w:rsidR="00835753" w:rsidRPr="00835753">
        <w:rPr>
          <w:rFonts w:ascii="Times New Roman" w:hAnsi="Times New Roman"/>
          <w:bCs/>
          <w:sz w:val="24"/>
        </w:rPr>
        <w:t> </w:t>
      </w:r>
      <w:r w:rsidRPr="00835753">
        <w:rPr>
          <w:rFonts w:ascii="Times New Roman" w:hAnsi="Times New Roman"/>
          <w:bCs/>
          <w:sz w:val="24"/>
        </w:rPr>
        <w:t>c) CRR,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21840471" w:rsidR="004E71F4" w:rsidRPr="00835753" w:rsidRDefault="004E71F4"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270AAA17" w14:textId="77777777" w:rsidTr="00155C96">
        <w:trPr>
          <w:trHeight w:val="238"/>
        </w:trPr>
        <w:tc>
          <w:tcPr>
            <w:tcW w:w="1384" w:type="dxa"/>
            <w:shd w:val="clear" w:color="auto" w:fill="D9D9D9" w:themeFill="background1" w:themeFillShade="D9"/>
          </w:tcPr>
          <w:p w14:paraId="4C51C7E0"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786DCAD1"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4E71F4" w:rsidRPr="00835753" w14:paraId="06463967" w14:textId="77777777" w:rsidTr="00155C96">
        <w:trPr>
          <w:trHeight w:val="1286"/>
        </w:trPr>
        <w:tc>
          <w:tcPr>
            <w:tcW w:w="1384" w:type="dxa"/>
          </w:tcPr>
          <w:p w14:paraId="5F2BF910" w14:textId="77777777" w:rsidR="004E71F4" w:rsidRPr="00835753" w:rsidRDefault="004E71F4" w:rsidP="00155C96">
            <w:pPr>
              <w:spacing w:after="120"/>
            </w:pPr>
            <w:r w:rsidRPr="00835753">
              <w:t>010</w:t>
            </w:r>
          </w:p>
        </w:tc>
        <w:tc>
          <w:tcPr>
            <w:tcW w:w="7655" w:type="dxa"/>
          </w:tcPr>
          <w:p w14:paraId="34FECA4F"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Rzeczowe aktywa trwałe</w:t>
            </w:r>
          </w:p>
          <w:p w14:paraId="2DA3F6F7" w14:textId="413C2872" w:rsidR="004E71F4" w:rsidRPr="00835753" w:rsidRDefault="004E71F4" w:rsidP="00155C96">
            <w:pPr>
              <w:pStyle w:val="Institutionquisigne"/>
              <w:spacing w:before="0" w:after="120"/>
              <w:rPr>
                <w:i w:val="0"/>
              </w:rPr>
            </w:pPr>
            <w:r w:rsidRPr="00835753">
              <w:rPr>
                <w:i w:val="0"/>
              </w:rPr>
              <w:t>Instytucje ujawniają stan zabezpieczenia uzyskanego przez przejęcie, które pozostaje ujęte</w:t>
            </w:r>
            <w:r w:rsidR="00835753" w:rsidRPr="00835753">
              <w:rPr>
                <w:i w:val="0"/>
              </w:rPr>
              <w:t xml:space="preserve"> w</w:t>
            </w:r>
            <w:r w:rsidR="00835753">
              <w:rPr>
                <w:i w:val="0"/>
              </w:rPr>
              <w:t> </w:t>
            </w:r>
            <w:r w:rsidR="00835753" w:rsidRPr="00835753">
              <w:rPr>
                <w:i w:val="0"/>
              </w:rPr>
              <w:t>bil</w:t>
            </w:r>
            <w:r w:rsidRPr="00835753">
              <w:rPr>
                <w:i w:val="0"/>
              </w:rPr>
              <w:t>ansie</w:t>
            </w:r>
            <w:r w:rsidR="00835753" w:rsidRPr="00835753">
              <w:rPr>
                <w:i w:val="0"/>
              </w:rPr>
              <w:t xml:space="preserve"> w</w:t>
            </w:r>
            <w:r w:rsidR="00835753">
              <w:rPr>
                <w:i w:val="0"/>
              </w:rPr>
              <w:t> </w:t>
            </w:r>
            <w:r w:rsidR="00835753" w:rsidRPr="00835753">
              <w:rPr>
                <w:i w:val="0"/>
              </w:rPr>
              <w:t>spr</w:t>
            </w:r>
            <w:r w:rsidRPr="00835753">
              <w:rPr>
                <w:i w:val="0"/>
              </w:rPr>
              <w:t>awozdawczym dniu odniesienia</w:t>
            </w:r>
            <w:r w:rsidR="00835753" w:rsidRPr="00835753">
              <w:rPr>
                <w:i w:val="0"/>
              </w:rPr>
              <w:t xml:space="preserve"> i</w:t>
            </w:r>
            <w:r w:rsidR="00835753">
              <w:rPr>
                <w:i w:val="0"/>
              </w:rPr>
              <w:t> </w:t>
            </w:r>
            <w:r w:rsidR="00835753" w:rsidRPr="00835753">
              <w:rPr>
                <w:i w:val="0"/>
              </w:rPr>
              <w:t>któ</w:t>
            </w:r>
            <w:r w:rsidRPr="00835753">
              <w:rPr>
                <w:i w:val="0"/>
              </w:rPr>
              <w:t>re sklasyfikowano jako rzeczowe aktywa trwałe.</w:t>
            </w:r>
          </w:p>
        </w:tc>
      </w:tr>
      <w:tr w:rsidR="004E71F4" w:rsidRPr="00835753" w14:paraId="2CAA4945" w14:textId="77777777" w:rsidTr="00155C96">
        <w:trPr>
          <w:trHeight w:val="620"/>
        </w:trPr>
        <w:tc>
          <w:tcPr>
            <w:tcW w:w="1384" w:type="dxa"/>
          </w:tcPr>
          <w:p w14:paraId="4F14C576" w14:textId="77777777" w:rsidR="004E71F4" w:rsidRPr="00835753" w:rsidRDefault="004E71F4" w:rsidP="00155C96">
            <w:pPr>
              <w:spacing w:after="120"/>
            </w:pPr>
            <w:r w:rsidRPr="00835753">
              <w:t>020</w:t>
            </w:r>
          </w:p>
        </w:tc>
        <w:tc>
          <w:tcPr>
            <w:tcW w:w="7655" w:type="dxa"/>
          </w:tcPr>
          <w:p w14:paraId="6AE81DAD"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Inne niż rzeczowe aktywa trwałe</w:t>
            </w:r>
          </w:p>
          <w:p w14:paraId="65C75F92" w14:textId="1D8A7C38" w:rsidR="004E71F4" w:rsidRPr="00835753" w:rsidRDefault="004E71F4" w:rsidP="00155C96">
            <w:pPr>
              <w:pStyle w:val="Institutionquisigne"/>
              <w:spacing w:before="0" w:after="120"/>
              <w:rPr>
                <w:b/>
              </w:rPr>
            </w:pPr>
            <w:r w:rsidRPr="00835753">
              <w:rPr>
                <w:i w:val="0"/>
              </w:rPr>
              <w:t>W tym wierszu zostanie automatycznie ujawniony stan zabezpieczenia uzyskanego przez przejęcie, które pozostaje ujęte</w:t>
            </w:r>
            <w:r w:rsidR="00835753" w:rsidRPr="00835753">
              <w:rPr>
                <w:i w:val="0"/>
              </w:rPr>
              <w:t xml:space="preserve"> w</w:t>
            </w:r>
            <w:r w:rsidR="00835753">
              <w:rPr>
                <w:i w:val="0"/>
              </w:rPr>
              <w:t> </w:t>
            </w:r>
            <w:r w:rsidR="00835753" w:rsidRPr="00835753">
              <w:rPr>
                <w:i w:val="0"/>
              </w:rPr>
              <w:t>bil</w:t>
            </w:r>
            <w:r w:rsidRPr="00835753">
              <w:rPr>
                <w:i w:val="0"/>
              </w:rPr>
              <w:t>ansie</w:t>
            </w:r>
            <w:r w:rsidR="00835753" w:rsidRPr="00835753">
              <w:rPr>
                <w:i w:val="0"/>
              </w:rPr>
              <w:t xml:space="preserve"> w</w:t>
            </w:r>
            <w:r w:rsidR="00835753">
              <w:rPr>
                <w:i w:val="0"/>
              </w:rPr>
              <w:t> </w:t>
            </w:r>
            <w:r w:rsidR="00835753" w:rsidRPr="00835753">
              <w:rPr>
                <w:i w:val="0"/>
              </w:rPr>
              <w:t>spr</w:t>
            </w:r>
            <w:r w:rsidRPr="00835753">
              <w:rPr>
                <w:i w:val="0"/>
              </w:rPr>
              <w:t>awozdawczym dniu odniesienia</w:t>
            </w:r>
            <w:r w:rsidR="00835753" w:rsidRPr="00835753">
              <w:rPr>
                <w:i w:val="0"/>
              </w:rPr>
              <w:t xml:space="preserve"> i</w:t>
            </w:r>
            <w:r w:rsidR="00835753">
              <w:rPr>
                <w:i w:val="0"/>
              </w:rPr>
              <w:t> </w:t>
            </w:r>
            <w:r w:rsidR="00835753" w:rsidRPr="00835753">
              <w:rPr>
                <w:i w:val="0"/>
              </w:rPr>
              <w:t>któ</w:t>
            </w:r>
            <w:r w:rsidRPr="00835753">
              <w:rPr>
                <w:i w:val="0"/>
              </w:rPr>
              <w:t>rego nie sklasyfikowano jako rzeczowe aktywa trwałe. Całkowity stan zostanie obliczony</w:t>
            </w:r>
            <w:r w:rsidR="00835753" w:rsidRPr="00835753">
              <w:rPr>
                <w:i w:val="0"/>
              </w:rPr>
              <w:t xml:space="preserve"> z</w:t>
            </w:r>
            <w:r w:rsidR="00835753">
              <w:rPr>
                <w:i w:val="0"/>
              </w:rPr>
              <w:t> </w:t>
            </w:r>
            <w:r w:rsidR="00835753" w:rsidRPr="00835753">
              <w:rPr>
                <w:i w:val="0"/>
              </w:rPr>
              <w:t>uwz</w:t>
            </w:r>
            <w:r w:rsidRPr="00835753">
              <w:rPr>
                <w:i w:val="0"/>
              </w:rPr>
              <w:t>ględnieniem stanu początkowego (od końca ostatniego roku obrachunkowego) oraz wpływów</w:t>
            </w:r>
            <w:r w:rsidR="00835753" w:rsidRPr="00835753">
              <w:rPr>
                <w:i w:val="0"/>
              </w:rPr>
              <w:t xml:space="preserve"> i</w:t>
            </w:r>
            <w:r w:rsidR="00835753">
              <w:rPr>
                <w:i w:val="0"/>
              </w:rPr>
              <w:t> </w:t>
            </w:r>
            <w:r w:rsidR="00835753" w:rsidRPr="00835753">
              <w:rPr>
                <w:i w:val="0"/>
              </w:rPr>
              <w:t>wyp</w:t>
            </w:r>
            <w:r w:rsidRPr="00835753">
              <w:rPr>
                <w:i w:val="0"/>
              </w:rPr>
              <w:t>ływów, które miały miejsce</w:t>
            </w:r>
            <w:r w:rsidR="00835753" w:rsidRPr="00835753">
              <w:rPr>
                <w:i w:val="0"/>
              </w:rPr>
              <w:t xml:space="preserve"> w</w:t>
            </w:r>
            <w:r w:rsidR="00835753">
              <w:rPr>
                <w:i w:val="0"/>
              </w:rPr>
              <w:t> </w:t>
            </w:r>
            <w:r w:rsidR="00835753" w:rsidRPr="00835753">
              <w:rPr>
                <w:i w:val="0"/>
              </w:rPr>
              <w:t>okr</w:t>
            </w:r>
            <w:r w:rsidRPr="00835753">
              <w:rPr>
                <w:i w:val="0"/>
              </w:rPr>
              <w:t>esie, za który informacje podlegają ujawnieniu (od końca ostatniego roku obrachunkowego). Zabezpieczenie uzyskane przez przejęcie (inne niż rzeczowe aktywa trwałe) wykazuje się</w:t>
            </w:r>
            <w:r w:rsidR="00835753" w:rsidRPr="00835753">
              <w:rPr>
                <w:i w:val="0"/>
              </w:rPr>
              <w:t xml:space="preserve"> w</w:t>
            </w:r>
            <w:r w:rsidR="00835753">
              <w:rPr>
                <w:i w:val="0"/>
              </w:rPr>
              <w:t> </w:t>
            </w:r>
            <w:r w:rsidR="00835753" w:rsidRPr="00835753">
              <w:rPr>
                <w:i w:val="0"/>
              </w:rPr>
              <w:t>wie</w:t>
            </w:r>
            <w:r w:rsidRPr="00835753">
              <w:rPr>
                <w:i w:val="0"/>
              </w:rPr>
              <w:t>rszach według rodzaju zabezpieczenia.</w:t>
            </w:r>
          </w:p>
        </w:tc>
      </w:tr>
      <w:tr w:rsidR="004E71F4" w:rsidRPr="00835753" w14:paraId="4A563A7A" w14:textId="77777777" w:rsidTr="00155C96">
        <w:trPr>
          <w:trHeight w:val="1286"/>
        </w:trPr>
        <w:tc>
          <w:tcPr>
            <w:tcW w:w="1384" w:type="dxa"/>
          </w:tcPr>
          <w:p w14:paraId="1BC99EC1" w14:textId="77777777" w:rsidR="004E71F4" w:rsidRPr="00835753" w:rsidRDefault="004E71F4" w:rsidP="00155C96">
            <w:pPr>
              <w:spacing w:after="120"/>
            </w:pPr>
            <w:r w:rsidRPr="00835753">
              <w:t>030</w:t>
            </w:r>
          </w:p>
        </w:tc>
        <w:tc>
          <w:tcPr>
            <w:tcW w:w="7655" w:type="dxa"/>
          </w:tcPr>
          <w:p w14:paraId="20DC1EEB"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Nieruchomości mieszkalne</w:t>
            </w:r>
          </w:p>
          <w:p w14:paraId="379AD7D1" w14:textId="0B9D3B64" w:rsidR="004E71F4" w:rsidRPr="00835753" w:rsidRDefault="004E71F4" w:rsidP="00155C96">
            <w:pPr>
              <w:pStyle w:val="Institutionquisigne"/>
              <w:spacing w:before="0" w:after="120"/>
              <w:rPr>
                <w:b/>
              </w:rPr>
            </w:pPr>
            <w:r w:rsidRPr="00835753">
              <w:rPr>
                <w:i w:val="0"/>
              </w:rPr>
              <w:t>Zabezpieczenie uzyskane przez przejęcie nieruchomości mieszkalnych (np. domów, mieszkań itp.) lub nieruchomości, które zostaną potencjalnie wykorzystane jako takie</w:t>
            </w:r>
            <w:r w:rsidR="00835753" w:rsidRPr="00835753">
              <w:rPr>
                <w:i w:val="0"/>
              </w:rPr>
              <w:t xml:space="preserve"> w</w:t>
            </w:r>
            <w:r w:rsidR="00835753">
              <w:rPr>
                <w:i w:val="0"/>
              </w:rPr>
              <w:t> </w:t>
            </w:r>
            <w:r w:rsidR="00835753" w:rsidRPr="00835753">
              <w:rPr>
                <w:i w:val="0"/>
              </w:rPr>
              <w:t>prz</w:t>
            </w:r>
            <w:r w:rsidRPr="00835753">
              <w:rPr>
                <w:i w:val="0"/>
              </w:rPr>
              <w:t>yszłości (np. niewykończone nieruchomości mieszkalne itp.)</w:t>
            </w:r>
          </w:p>
        </w:tc>
      </w:tr>
      <w:tr w:rsidR="004E71F4" w:rsidRPr="00835753" w14:paraId="06E88BCE" w14:textId="77777777" w:rsidTr="00155C96">
        <w:trPr>
          <w:trHeight w:val="1286"/>
        </w:trPr>
        <w:tc>
          <w:tcPr>
            <w:tcW w:w="1384" w:type="dxa"/>
          </w:tcPr>
          <w:p w14:paraId="690E3415" w14:textId="77777777" w:rsidR="004E71F4" w:rsidRPr="00835753" w:rsidRDefault="004E71F4" w:rsidP="00155C96">
            <w:pPr>
              <w:spacing w:after="120"/>
            </w:pPr>
            <w:r w:rsidRPr="00835753">
              <w:t>040</w:t>
            </w:r>
          </w:p>
        </w:tc>
        <w:tc>
          <w:tcPr>
            <w:tcW w:w="7655" w:type="dxa"/>
            <w:shd w:val="clear" w:color="auto" w:fill="auto"/>
          </w:tcPr>
          <w:p w14:paraId="60F0FAB2"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Nieruchomości komercyjne</w:t>
            </w:r>
          </w:p>
          <w:p w14:paraId="17CE5C2D" w14:textId="77777777" w:rsidR="004E71F4" w:rsidRPr="00835753" w:rsidRDefault="004E71F4" w:rsidP="00155C96">
            <w:pPr>
              <w:pStyle w:val="Institutionquisigne"/>
              <w:spacing w:before="0" w:after="120"/>
              <w:rPr>
                <w:i w:val="0"/>
              </w:rPr>
            </w:pPr>
            <w:r w:rsidRPr="00835753">
              <w:rPr>
                <w:i w:val="0"/>
              </w:rPr>
              <w:t>Zabezpieczenie uzyskane przez przejęcie nieruchomości komercyjnych lub przemysłowych, które mogą być wykorzystywane do celów biznesowych lub inwestycyjnych, lub wszelkich nieruchomości, które nie są nieruchomościami mieszkalnymi, jak opisano powyżej.</w:t>
            </w:r>
          </w:p>
          <w:p w14:paraId="62B2F832" w14:textId="43A4F074" w:rsidR="004E71F4" w:rsidRPr="00835753" w:rsidRDefault="004E71F4" w:rsidP="00155C96">
            <w:pPr>
              <w:pStyle w:val="Institutionquisigne"/>
              <w:spacing w:before="0" w:after="120"/>
              <w:rPr>
                <w:b/>
              </w:rPr>
            </w:pPr>
            <w:r w:rsidRPr="00835753">
              <w:rPr>
                <w:i w:val="0"/>
              </w:rPr>
              <w:t>Do tej kategorii zalicza się również grunty (zarówno nierolnicze, jak</w:t>
            </w:r>
            <w:r w:rsidR="00835753" w:rsidRPr="00835753">
              <w:rPr>
                <w:i w:val="0"/>
              </w:rPr>
              <w:t xml:space="preserve"> i</w:t>
            </w:r>
            <w:r w:rsidR="00835753">
              <w:rPr>
                <w:i w:val="0"/>
              </w:rPr>
              <w:t> </w:t>
            </w:r>
            <w:r w:rsidR="00835753" w:rsidRPr="00835753">
              <w:rPr>
                <w:i w:val="0"/>
              </w:rPr>
              <w:t>rol</w:t>
            </w:r>
            <w:r w:rsidRPr="00835753">
              <w:rPr>
                <w:i w:val="0"/>
              </w:rPr>
              <w:t>ne).</w:t>
            </w:r>
          </w:p>
        </w:tc>
      </w:tr>
      <w:tr w:rsidR="004E71F4" w:rsidRPr="00835753" w14:paraId="7CE04469" w14:textId="77777777" w:rsidTr="00155C96">
        <w:trPr>
          <w:trHeight w:val="1286"/>
        </w:trPr>
        <w:tc>
          <w:tcPr>
            <w:tcW w:w="1384" w:type="dxa"/>
          </w:tcPr>
          <w:p w14:paraId="2248180F" w14:textId="77777777" w:rsidR="004E71F4" w:rsidRPr="00835753" w:rsidRDefault="004E71F4" w:rsidP="00155C96">
            <w:pPr>
              <w:spacing w:after="120"/>
            </w:pPr>
            <w:r w:rsidRPr="00835753">
              <w:t>050</w:t>
            </w:r>
          </w:p>
        </w:tc>
        <w:tc>
          <w:tcPr>
            <w:tcW w:w="7655" w:type="dxa"/>
            <w:shd w:val="clear" w:color="auto" w:fill="auto"/>
          </w:tcPr>
          <w:p w14:paraId="42CFB018"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Ruchomości (pojazdy, statki itp.)</w:t>
            </w:r>
          </w:p>
          <w:p w14:paraId="34A36ED9" w14:textId="77777777" w:rsidR="004E71F4" w:rsidRPr="00835753" w:rsidRDefault="004E71F4" w:rsidP="00155C96">
            <w:pPr>
              <w:pStyle w:val="Institutionquisigne"/>
              <w:spacing w:before="0" w:after="120"/>
              <w:rPr>
                <w:b/>
              </w:rPr>
            </w:pPr>
            <w:r w:rsidRPr="00835753">
              <w:rPr>
                <w:i w:val="0"/>
              </w:rPr>
              <w:t>W tym wierszu ujawnia się zabezpieczenie uzyskane przez przejęcie majątku innego niż nieruchomości.</w:t>
            </w:r>
          </w:p>
        </w:tc>
      </w:tr>
      <w:tr w:rsidR="004E71F4" w:rsidRPr="00835753" w14:paraId="30FA7DF1" w14:textId="77777777" w:rsidTr="00155C96">
        <w:trPr>
          <w:trHeight w:val="1286"/>
        </w:trPr>
        <w:tc>
          <w:tcPr>
            <w:tcW w:w="1384" w:type="dxa"/>
          </w:tcPr>
          <w:p w14:paraId="42AD5838" w14:textId="77777777" w:rsidR="004E71F4" w:rsidRPr="00835753" w:rsidRDefault="004E71F4" w:rsidP="00155C96">
            <w:pPr>
              <w:spacing w:after="120"/>
            </w:pPr>
            <w:r w:rsidRPr="00835753">
              <w:t>060</w:t>
            </w:r>
          </w:p>
        </w:tc>
        <w:tc>
          <w:tcPr>
            <w:tcW w:w="7655" w:type="dxa"/>
            <w:shd w:val="clear" w:color="auto" w:fill="auto"/>
          </w:tcPr>
          <w:p w14:paraId="0F1E41BA" w14:textId="6632D24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Instrumenty kapitałowe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dłu</w:t>
            </w:r>
            <w:r w:rsidRPr="00835753">
              <w:rPr>
                <w:rFonts w:ascii="Times New Roman" w:hAnsi="Times New Roman"/>
                <w:b/>
                <w:sz w:val="24"/>
              </w:rPr>
              <w:t>żne</w:t>
            </w:r>
          </w:p>
          <w:p w14:paraId="16CC26D5" w14:textId="77777777" w:rsidR="004E71F4" w:rsidRPr="00835753" w:rsidRDefault="004E71F4" w:rsidP="00155C96">
            <w:pPr>
              <w:pStyle w:val="Institutionquisigne"/>
              <w:spacing w:before="0" w:after="120"/>
              <w:rPr>
                <w:b/>
              </w:rPr>
            </w:pPr>
            <w:r w:rsidRPr="00835753">
              <w:rPr>
                <w:i w:val="0"/>
              </w:rPr>
              <w:t>W tym wierszu ujawnia się zabezpieczenie uzyskane przez przejęcie instrumentów kapitałowych lub dłużnych.</w:t>
            </w:r>
          </w:p>
        </w:tc>
      </w:tr>
      <w:tr w:rsidR="004E71F4" w:rsidRPr="00835753" w14:paraId="3011266C" w14:textId="77777777" w:rsidTr="00155C96">
        <w:trPr>
          <w:trHeight w:val="1286"/>
        </w:trPr>
        <w:tc>
          <w:tcPr>
            <w:tcW w:w="1384" w:type="dxa"/>
          </w:tcPr>
          <w:p w14:paraId="14BE41BF" w14:textId="77777777" w:rsidR="004E71F4" w:rsidRPr="00835753" w:rsidRDefault="004E71F4" w:rsidP="00155C96">
            <w:pPr>
              <w:spacing w:after="120"/>
            </w:pPr>
            <w:r w:rsidRPr="00835753">
              <w:lastRenderedPageBreak/>
              <w:t>070</w:t>
            </w:r>
          </w:p>
        </w:tc>
        <w:tc>
          <w:tcPr>
            <w:tcW w:w="7655" w:type="dxa"/>
          </w:tcPr>
          <w:p w14:paraId="61ED02E4"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Inne zabezpieczenia</w:t>
            </w:r>
          </w:p>
          <w:p w14:paraId="5C94E21B" w14:textId="6C9EDFB1" w:rsidR="004E71F4" w:rsidRPr="00835753" w:rsidRDefault="004E71F4" w:rsidP="00155C96">
            <w:pPr>
              <w:pStyle w:val="Institutionquisigne"/>
              <w:spacing w:before="0" w:after="120"/>
              <w:rPr>
                <w:i w:val="0"/>
              </w:rPr>
            </w:pPr>
            <w:r w:rsidRPr="00835753">
              <w:rPr>
                <w:i w:val="0"/>
              </w:rPr>
              <w:t>Zabezpieczenie uzyskane przez przejęcie, które nie należy do kategorii</w:t>
            </w:r>
            <w:r w:rsidR="00835753" w:rsidRPr="00835753">
              <w:rPr>
                <w:i w:val="0"/>
              </w:rPr>
              <w:t xml:space="preserve"> w</w:t>
            </w:r>
            <w:r w:rsidR="00835753">
              <w:rPr>
                <w:i w:val="0"/>
              </w:rPr>
              <w:t> </w:t>
            </w:r>
            <w:r w:rsidR="00835753" w:rsidRPr="00835753">
              <w:rPr>
                <w:i w:val="0"/>
              </w:rPr>
              <w:t>poz</w:t>
            </w:r>
            <w:r w:rsidRPr="00835753">
              <w:rPr>
                <w:i w:val="0"/>
              </w:rPr>
              <w:t>ostałych wierszach</w:t>
            </w:r>
          </w:p>
          <w:p w14:paraId="56B31A9F" w14:textId="7C49B7CD" w:rsidR="004E71F4" w:rsidRPr="00835753" w:rsidRDefault="004E71F4" w:rsidP="00155C96">
            <w:pPr>
              <w:pStyle w:val="Institutionquisigne"/>
              <w:spacing w:before="0" w:after="120"/>
              <w:rPr>
                <w:b/>
              </w:rPr>
            </w:pPr>
            <w:r w:rsidRPr="00835753">
              <w:rPr>
                <w:i w:val="0"/>
              </w:rPr>
              <w:t>Jeżeli kwota</w:t>
            </w:r>
            <w:r w:rsidR="00835753" w:rsidRPr="00835753">
              <w:rPr>
                <w:i w:val="0"/>
              </w:rPr>
              <w:t xml:space="preserve"> w</w:t>
            </w:r>
            <w:r w:rsidR="00835753">
              <w:rPr>
                <w:i w:val="0"/>
              </w:rPr>
              <w:t> </w:t>
            </w:r>
            <w:r w:rsidR="00835753" w:rsidRPr="00835753">
              <w:rPr>
                <w:i w:val="0"/>
              </w:rPr>
              <w:t>tym</w:t>
            </w:r>
            <w:r w:rsidRPr="00835753">
              <w:rPr>
                <w:i w:val="0"/>
              </w:rPr>
              <w:t xml:space="preserve"> wierszu jest stosunkowo istotna, instytucje przekazują dodatkowe informacje</w:t>
            </w:r>
            <w:r w:rsidR="00835753" w:rsidRPr="00835753">
              <w:rPr>
                <w:i w:val="0"/>
              </w:rPr>
              <w:t xml:space="preserve"> w</w:t>
            </w:r>
            <w:r w:rsidR="00835753">
              <w:rPr>
                <w:i w:val="0"/>
              </w:rPr>
              <w:t> </w:t>
            </w:r>
            <w:r w:rsidR="00835753" w:rsidRPr="00835753">
              <w:rPr>
                <w:i w:val="0"/>
              </w:rPr>
              <w:t>opi</w:t>
            </w:r>
            <w:r w:rsidRPr="00835753">
              <w:rPr>
                <w:i w:val="0"/>
              </w:rPr>
              <w:t>sie dołączonym do niniejszego wzoru.</w:t>
            </w:r>
          </w:p>
        </w:tc>
      </w:tr>
      <w:tr w:rsidR="004E71F4" w:rsidRPr="00835753" w14:paraId="1741AC10" w14:textId="77777777" w:rsidTr="00155C96">
        <w:trPr>
          <w:trHeight w:val="316"/>
        </w:trPr>
        <w:tc>
          <w:tcPr>
            <w:tcW w:w="1384" w:type="dxa"/>
          </w:tcPr>
          <w:p w14:paraId="1CFBBCDA"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080</w:t>
            </w:r>
          </w:p>
        </w:tc>
        <w:tc>
          <w:tcPr>
            <w:tcW w:w="7655" w:type="dxa"/>
          </w:tcPr>
          <w:p w14:paraId="0088B2D8"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 xml:space="preserve">Ogółem </w:t>
            </w:r>
          </w:p>
        </w:tc>
      </w:tr>
    </w:tbl>
    <w:p w14:paraId="4D72A001" w14:textId="77777777" w:rsidR="004E71F4" w:rsidRPr="00835753"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2C47C887" w14:textId="77777777" w:rsidTr="00155C96">
        <w:trPr>
          <w:trHeight w:val="238"/>
        </w:trPr>
        <w:tc>
          <w:tcPr>
            <w:tcW w:w="9039" w:type="dxa"/>
            <w:gridSpan w:val="2"/>
            <w:shd w:val="clear" w:color="auto" w:fill="D9D9D9" w:themeFill="background1" w:themeFillShade="D9"/>
          </w:tcPr>
          <w:p w14:paraId="41712290" w14:textId="1E38F680"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24952D61" w14:textId="77777777" w:rsidTr="00155C96">
        <w:trPr>
          <w:trHeight w:val="238"/>
        </w:trPr>
        <w:tc>
          <w:tcPr>
            <w:tcW w:w="1384" w:type="dxa"/>
            <w:shd w:val="clear" w:color="auto" w:fill="D9D9D9" w:themeFill="background1" w:themeFillShade="D9"/>
          </w:tcPr>
          <w:p w14:paraId="58E4B131"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586E8FF2"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Wyjaśnienie</w:t>
            </w:r>
          </w:p>
        </w:tc>
      </w:tr>
      <w:tr w:rsidR="004E71F4" w:rsidRPr="00835753" w14:paraId="6C66025E" w14:textId="77777777" w:rsidTr="00155C96">
        <w:trPr>
          <w:trHeight w:val="841"/>
        </w:trPr>
        <w:tc>
          <w:tcPr>
            <w:tcW w:w="1384" w:type="dxa"/>
          </w:tcPr>
          <w:p w14:paraId="09FA9C63" w14:textId="77777777" w:rsidR="004E71F4" w:rsidRPr="00835753" w:rsidRDefault="004E71F4" w:rsidP="00155C96">
            <w:pPr>
              <w:pStyle w:val="Applicationdirecte"/>
              <w:spacing w:before="0"/>
            </w:pPr>
            <w:proofErr w:type="gramStart"/>
            <w:r w:rsidRPr="00835753">
              <w:t>a</w:t>
            </w:r>
            <w:proofErr w:type="gramEnd"/>
            <w:r w:rsidRPr="00835753">
              <w:t>)</w:t>
            </w:r>
          </w:p>
        </w:tc>
        <w:tc>
          <w:tcPr>
            <w:tcW w:w="7655" w:type="dxa"/>
          </w:tcPr>
          <w:p w14:paraId="6E4E33A4" w14:textId="4854CCD0" w:rsidR="004E71F4" w:rsidRPr="00835753" w:rsidRDefault="004E71F4" w:rsidP="00155C96">
            <w:pPr>
              <w:pStyle w:val="Institutionquisigne"/>
              <w:spacing w:before="0" w:after="120"/>
              <w:rPr>
                <w:rFonts w:eastAsiaTheme="minorEastAsia"/>
                <w:b/>
                <w:i w:val="0"/>
              </w:rPr>
            </w:pPr>
            <w:r w:rsidRPr="00835753">
              <w:rPr>
                <w:b/>
                <w:i w:val="0"/>
              </w:rPr>
              <w:t>Zabezpieczenie uzyskane przez przejęcie – Wartość</w:t>
            </w:r>
            <w:r w:rsidR="00835753" w:rsidRPr="00835753">
              <w:rPr>
                <w:b/>
                <w:i w:val="0"/>
              </w:rPr>
              <w:t xml:space="preserve"> w</w:t>
            </w:r>
            <w:r w:rsidR="00835753">
              <w:rPr>
                <w:b/>
                <w:i w:val="0"/>
              </w:rPr>
              <w:t> </w:t>
            </w:r>
            <w:r w:rsidR="00835753" w:rsidRPr="00835753">
              <w:rPr>
                <w:b/>
                <w:i w:val="0"/>
              </w:rPr>
              <w:t>mom</w:t>
            </w:r>
            <w:r w:rsidRPr="00835753">
              <w:rPr>
                <w:b/>
                <w:i w:val="0"/>
              </w:rPr>
              <w:t>encie początkowego ujęcia</w:t>
            </w:r>
          </w:p>
          <w:p w14:paraId="492004D4" w14:textId="5955F286" w:rsidR="004E71F4" w:rsidRPr="00835753" w:rsidRDefault="004E71F4" w:rsidP="00155C96">
            <w:pPr>
              <w:pStyle w:val="Institutionquisigne"/>
              <w:spacing w:before="0" w:after="120"/>
            </w:pPr>
            <w:r w:rsidRPr="00835753">
              <w:rPr>
                <w:i w:val="0"/>
              </w:rPr>
              <w:t>Instytucje ujawniają</w:t>
            </w:r>
            <w:r w:rsidR="00835753" w:rsidRPr="00835753">
              <w:rPr>
                <w:i w:val="0"/>
              </w:rPr>
              <w:t xml:space="preserve"> w</w:t>
            </w:r>
            <w:r w:rsidR="00835753">
              <w:rPr>
                <w:i w:val="0"/>
              </w:rPr>
              <w:t> </w:t>
            </w:r>
            <w:r w:rsidR="00835753" w:rsidRPr="00835753">
              <w:rPr>
                <w:i w:val="0"/>
              </w:rPr>
              <w:t>tej</w:t>
            </w:r>
            <w:r w:rsidRPr="00835753">
              <w:rPr>
                <w:i w:val="0"/>
              </w:rPr>
              <w:t xml:space="preserve"> kolumnie wartość bilansową brutto zabezpieczenia uzyskanego przez przejęcie</w:t>
            </w:r>
            <w:r w:rsidR="00835753" w:rsidRPr="00835753">
              <w:rPr>
                <w:i w:val="0"/>
              </w:rPr>
              <w:t xml:space="preserve"> w</w:t>
            </w:r>
            <w:r w:rsidR="00835753">
              <w:rPr>
                <w:i w:val="0"/>
              </w:rPr>
              <w:t> </w:t>
            </w:r>
            <w:r w:rsidR="00835753" w:rsidRPr="00835753">
              <w:rPr>
                <w:i w:val="0"/>
              </w:rPr>
              <w:t>mom</w:t>
            </w:r>
            <w:r w:rsidRPr="00835753">
              <w:rPr>
                <w:i w:val="0"/>
              </w:rPr>
              <w:t>encie początkowego ujęcia</w:t>
            </w:r>
            <w:r w:rsidR="00835753" w:rsidRPr="00835753">
              <w:rPr>
                <w:i w:val="0"/>
              </w:rPr>
              <w:t xml:space="preserve"> w</w:t>
            </w:r>
            <w:r w:rsidR="00835753">
              <w:rPr>
                <w:i w:val="0"/>
              </w:rPr>
              <w:t> </w:t>
            </w:r>
            <w:r w:rsidR="00835753" w:rsidRPr="00835753">
              <w:rPr>
                <w:i w:val="0"/>
              </w:rPr>
              <w:t>bil</w:t>
            </w:r>
            <w:r w:rsidRPr="00835753">
              <w:rPr>
                <w:i w:val="0"/>
              </w:rPr>
              <w:t>ansie instytucji.</w:t>
            </w:r>
          </w:p>
        </w:tc>
      </w:tr>
      <w:tr w:rsidR="004E71F4" w:rsidRPr="00835753" w14:paraId="68455EBD" w14:textId="77777777" w:rsidTr="00155C96">
        <w:trPr>
          <w:trHeight w:val="841"/>
        </w:trPr>
        <w:tc>
          <w:tcPr>
            <w:tcW w:w="1384" w:type="dxa"/>
          </w:tcPr>
          <w:p w14:paraId="2075C9AF" w14:textId="77777777" w:rsidR="004E71F4" w:rsidRPr="00835753" w:rsidRDefault="004E71F4" w:rsidP="00155C96">
            <w:pPr>
              <w:pStyle w:val="Applicationdirecte"/>
              <w:spacing w:before="0"/>
            </w:pPr>
            <w:proofErr w:type="gramStart"/>
            <w:r w:rsidRPr="00835753">
              <w:t>b</w:t>
            </w:r>
            <w:proofErr w:type="gramEnd"/>
            <w:r w:rsidRPr="00835753">
              <w:t>)</w:t>
            </w:r>
          </w:p>
        </w:tc>
        <w:tc>
          <w:tcPr>
            <w:tcW w:w="7655" w:type="dxa"/>
          </w:tcPr>
          <w:p w14:paraId="61C70A06" w14:textId="77777777" w:rsidR="004E71F4" w:rsidRPr="00835753" w:rsidRDefault="004E71F4" w:rsidP="00155C96">
            <w:pPr>
              <w:pStyle w:val="Fait"/>
              <w:spacing w:before="0" w:after="120"/>
              <w:rPr>
                <w:b/>
              </w:rPr>
            </w:pPr>
            <w:r w:rsidRPr="00835753">
              <w:rPr>
                <w:b/>
              </w:rPr>
              <w:t>Zabezpieczenie uzyskane przez przejęcie – Skumulowane ujemne zmiany</w:t>
            </w:r>
          </w:p>
          <w:p w14:paraId="2BD88503" w14:textId="21D77FD9" w:rsidR="004E71F4" w:rsidRPr="00835753" w:rsidRDefault="004E71F4" w:rsidP="00155C96">
            <w:pPr>
              <w:pStyle w:val="Institutionquisigne"/>
              <w:spacing w:before="0" w:after="120"/>
              <w:rPr>
                <w:i w:val="0"/>
              </w:rPr>
            </w:pPr>
            <w:r w:rsidRPr="00835753">
              <w:rPr>
                <w:i w:val="0"/>
              </w:rPr>
              <w:t>Skumulowana utrata wartości lub skumulowane ujemne zmiany wartości</w:t>
            </w:r>
            <w:r w:rsidR="00835753" w:rsidRPr="00835753">
              <w:rPr>
                <w:i w:val="0"/>
              </w:rPr>
              <w:t xml:space="preserve"> w</w:t>
            </w:r>
            <w:r w:rsidR="00835753">
              <w:rPr>
                <w:i w:val="0"/>
              </w:rPr>
              <w:t> </w:t>
            </w:r>
            <w:r w:rsidR="00835753" w:rsidRPr="00835753">
              <w:rPr>
                <w:i w:val="0"/>
              </w:rPr>
              <w:t>mom</w:t>
            </w:r>
            <w:r w:rsidRPr="00835753">
              <w:rPr>
                <w:i w:val="0"/>
              </w:rPr>
              <w:t>encie początkowego ujęcia zabezpieczenia uzyskanego przez przejęcie, jak opisano powyżej</w:t>
            </w:r>
          </w:p>
          <w:p w14:paraId="2C738F18" w14:textId="79457950" w:rsidR="004E71F4" w:rsidRPr="00835753" w:rsidRDefault="004E71F4" w:rsidP="00155C96">
            <w:pPr>
              <w:pStyle w:val="Institutionquisigne"/>
              <w:spacing w:before="0" w:after="120"/>
            </w:pPr>
            <w:r w:rsidRPr="00835753">
              <w:rPr>
                <w:i w:val="0"/>
              </w:rPr>
              <w:t>Instytucje ujmują również</w:t>
            </w:r>
            <w:r w:rsidR="00835753" w:rsidRPr="00835753">
              <w:rPr>
                <w:i w:val="0"/>
              </w:rPr>
              <w:t xml:space="preserve"> w</w:t>
            </w:r>
            <w:r w:rsidR="00835753">
              <w:rPr>
                <w:i w:val="0"/>
              </w:rPr>
              <w:t> </w:t>
            </w:r>
            <w:r w:rsidR="00835753" w:rsidRPr="00835753">
              <w:rPr>
                <w:i w:val="0"/>
              </w:rPr>
              <w:t>sto</w:t>
            </w:r>
            <w:r w:rsidRPr="00835753">
              <w:rPr>
                <w:i w:val="0"/>
              </w:rPr>
              <w:t>sownych przypadkach skumulowane ujemne zmiany wynikające</w:t>
            </w:r>
            <w:r w:rsidR="00835753" w:rsidRPr="00835753">
              <w:rPr>
                <w:i w:val="0"/>
              </w:rPr>
              <w:t xml:space="preserve"> z</w:t>
            </w:r>
            <w:r w:rsidR="00835753">
              <w:rPr>
                <w:i w:val="0"/>
              </w:rPr>
              <w:t> </w:t>
            </w:r>
            <w:r w:rsidR="00835753" w:rsidRPr="00835753">
              <w:rPr>
                <w:i w:val="0"/>
              </w:rPr>
              <w:t>amo</w:t>
            </w:r>
            <w:r w:rsidRPr="00835753">
              <w:rPr>
                <w:i w:val="0"/>
              </w:rPr>
              <w:t>rtyzacji</w:t>
            </w:r>
            <w:r w:rsidR="00835753" w:rsidRPr="00835753">
              <w:rPr>
                <w:i w:val="0"/>
              </w:rPr>
              <w:t xml:space="preserve"> w</w:t>
            </w:r>
            <w:r w:rsidR="00835753">
              <w:rPr>
                <w:i w:val="0"/>
              </w:rPr>
              <w:t> </w:t>
            </w:r>
            <w:r w:rsidR="00835753" w:rsidRPr="00835753">
              <w:rPr>
                <w:i w:val="0"/>
              </w:rPr>
              <w:t>prz</w:t>
            </w:r>
            <w:r w:rsidRPr="00835753">
              <w:rPr>
                <w:i w:val="0"/>
              </w:rPr>
              <w:t>ypadku rzeczowych aktywów trwałych</w:t>
            </w:r>
            <w:r w:rsidR="00835753" w:rsidRPr="00835753">
              <w:rPr>
                <w:i w:val="0"/>
              </w:rPr>
              <w:t xml:space="preserve"> i</w:t>
            </w:r>
            <w:r w:rsidR="00835753">
              <w:rPr>
                <w:i w:val="0"/>
              </w:rPr>
              <w:t> </w:t>
            </w:r>
            <w:r w:rsidR="00835753" w:rsidRPr="00835753">
              <w:rPr>
                <w:i w:val="0"/>
              </w:rPr>
              <w:t>nie</w:t>
            </w:r>
            <w:r w:rsidRPr="00835753">
              <w:rPr>
                <w:i w:val="0"/>
              </w:rPr>
              <w:t>ruchomości inwestycyjnych.</w:t>
            </w:r>
          </w:p>
        </w:tc>
      </w:tr>
    </w:tbl>
    <w:p w14:paraId="48505C64" w14:textId="77777777" w:rsidR="004E71F4" w:rsidRPr="00835753" w:rsidRDefault="004E71F4" w:rsidP="004E71F4">
      <w:pPr>
        <w:autoSpaceDE w:val="0"/>
        <w:autoSpaceDN w:val="0"/>
        <w:adjustRightInd w:val="0"/>
        <w:spacing w:after="120"/>
        <w:jc w:val="both"/>
        <w:rPr>
          <w:rFonts w:ascii="Times New Roman" w:hAnsi="Times New Roman" w:cs="Times New Roman"/>
          <w:b/>
          <w:sz w:val="24"/>
        </w:rPr>
      </w:pPr>
    </w:p>
    <w:p w14:paraId="4DF5391A" w14:textId="0F1A1A0D" w:rsidR="004E71F4" w:rsidRPr="00835753" w:rsidRDefault="00CD362D" w:rsidP="004E71F4">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Wzór EU CQ8: Zabezpieczenia uzyskane przez przejęcie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pos</w:t>
      </w:r>
      <w:r w:rsidRPr="00835753">
        <w:rPr>
          <w:rFonts w:ascii="Times New Roman" w:hAnsi="Times New Roman"/>
          <w:b/>
          <w:sz w:val="24"/>
        </w:rPr>
        <w:t>tępowania egzekucyjne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pod</w:t>
      </w:r>
      <w:r w:rsidRPr="00835753">
        <w:rPr>
          <w:rFonts w:ascii="Times New Roman" w:hAnsi="Times New Roman"/>
          <w:b/>
          <w:sz w:val="24"/>
        </w:rPr>
        <w:t>ziale według analiz analogicznych</w:t>
      </w:r>
    </w:p>
    <w:p w14:paraId="539C6CF1" w14:textId="3B8BD6CE" w:rsidR="004E71F4" w:rsidRPr="00835753" w:rsidRDefault="004E71F4" w:rsidP="004E71F4">
      <w:pPr>
        <w:pStyle w:val="ListParagraph"/>
        <w:numPr>
          <w:ilvl w:val="0"/>
          <w:numId w:val="48"/>
        </w:numPr>
        <w:spacing w:after="120"/>
        <w:jc w:val="both"/>
        <w:rPr>
          <w:rFonts w:ascii="Times New Roman" w:hAnsi="Times New Roman"/>
          <w:bCs/>
          <w:sz w:val="24"/>
        </w:rPr>
      </w:pPr>
      <w:r w:rsidRPr="00835753">
        <w:rPr>
          <w:rFonts w:ascii="Times New Roman" w:hAnsi="Times New Roman"/>
          <w:bCs/>
          <w:sz w:val="24"/>
        </w:rPr>
        <w:t>W celu wypełnienia wzoru EU CQ8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 xml:space="preserve">ączniku XV do niniejszego rozporządzenia wykonawczego instytucje </w:t>
      </w:r>
      <w:r w:rsidRPr="00835753">
        <w:rPr>
          <w:rFonts w:ascii="Times New Roman" w:hAnsi="Times New Roman"/>
          <w:sz w:val="24"/>
        </w:rPr>
        <w:t>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442 lit.</w:t>
      </w:r>
      <w:r w:rsidR="00835753" w:rsidRPr="00835753">
        <w:rPr>
          <w:rFonts w:ascii="Times New Roman" w:hAnsi="Times New Roman"/>
          <w:bCs/>
          <w:sz w:val="24"/>
        </w:rPr>
        <w:t> </w:t>
      </w:r>
      <w:r w:rsidRPr="00835753">
        <w:rPr>
          <w:rFonts w:ascii="Times New Roman" w:hAnsi="Times New Roman"/>
          <w:bCs/>
          <w:sz w:val="24"/>
        </w:rPr>
        <w:t xml:space="preserve">c) </w:t>
      </w:r>
      <w:r w:rsidRPr="00835753">
        <w:rPr>
          <w:rFonts w:ascii="Times New Roman" w:hAnsi="Times New Roman"/>
          <w:color w:val="000000"/>
          <w:sz w:val="24"/>
        </w:rPr>
        <w:t>CRR</w:t>
      </w:r>
      <w:r w:rsidRPr="00835753">
        <w:rPr>
          <w:rFonts w:ascii="Times New Roman" w:hAnsi="Times New Roman"/>
          <w:bCs/>
          <w:sz w:val="24"/>
        </w:rPr>
        <w:t>,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835753"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DD1D5FB"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06175B80" w14:textId="77777777" w:rsidTr="00155C96">
        <w:trPr>
          <w:trHeight w:val="238"/>
        </w:trPr>
        <w:tc>
          <w:tcPr>
            <w:tcW w:w="1384" w:type="dxa"/>
            <w:shd w:val="clear" w:color="auto" w:fill="D9D9D9" w:themeFill="background1" w:themeFillShade="D9"/>
          </w:tcPr>
          <w:p w14:paraId="3408D528"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51E62B48"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4E71F4" w:rsidRPr="00835753" w14:paraId="3419B38B" w14:textId="77777777" w:rsidTr="00155C96">
        <w:trPr>
          <w:trHeight w:val="1286"/>
        </w:trPr>
        <w:tc>
          <w:tcPr>
            <w:tcW w:w="1384" w:type="dxa"/>
          </w:tcPr>
          <w:p w14:paraId="491DF805" w14:textId="77777777" w:rsidR="004E71F4" w:rsidRPr="00835753" w:rsidRDefault="004E71F4" w:rsidP="00155C96">
            <w:pPr>
              <w:spacing w:after="120"/>
            </w:pPr>
            <w:r w:rsidRPr="00835753">
              <w:t>010</w:t>
            </w:r>
          </w:p>
        </w:tc>
        <w:tc>
          <w:tcPr>
            <w:tcW w:w="7655" w:type="dxa"/>
          </w:tcPr>
          <w:p w14:paraId="1DC0AC57"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Rzeczowe aktywa trwałe</w:t>
            </w:r>
          </w:p>
          <w:p w14:paraId="03A034E4" w14:textId="1679ED33" w:rsidR="004E71F4" w:rsidRPr="00835753" w:rsidRDefault="004E71F4" w:rsidP="00155C96">
            <w:pPr>
              <w:pStyle w:val="Institutionquisigne"/>
              <w:spacing w:before="0" w:after="120"/>
              <w:rPr>
                <w:i w:val="0"/>
              </w:rPr>
            </w:pPr>
            <w:r w:rsidRPr="00835753">
              <w:rPr>
                <w:i w:val="0"/>
              </w:rPr>
              <w:t>Instytucje ujawniają stan zabezpieczenia uzyskanego przez przejęcie, które pozostaje ujęte</w:t>
            </w:r>
            <w:r w:rsidR="00835753" w:rsidRPr="00835753">
              <w:rPr>
                <w:i w:val="0"/>
              </w:rPr>
              <w:t xml:space="preserve"> w</w:t>
            </w:r>
            <w:r w:rsidR="00835753">
              <w:rPr>
                <w:i w:val="0"/>
              </w:rPr>
              <w:t> </w:t>
            </w:r>
            <w:r w:rsidR="00835753" w:rsidRPr="00835753">
              <w:rPr>
                <w:i w:val="0"/>
              </w:rPr>
              <w:t>bil</w:t>
            </w:r>
            <w:r w:rsidRPr="00835753">
              <w:rPr>
                <w:i w:val="0"/>
              </w:rPr>
              <w:t>ansie</w:t>
            </w:r>
            <w:r w:rsidR="00835753" w:rsidRPr="00835753">
              <w:rPr>
                <w:i w:val="0"/>
              </w:rPr>
              <w:t xml:space="preserve"> w</w:t>
            </w:r>
            <w:r w:rsidR="00835753">
              <w:rPr>
                <w:i w:val="0"/>
              </w:rPr>
              <w:t> </w:t>
            </w:r>
            <w:r w:rsidR="00835753" w:rsidRPr="00835753">
              <w:rPr>
                <w:i w:val="0"/>
              </w:rPr>
              <w:t>spr</w:t>
            </w:r>
            <w:r w:rsidRPr="00835753">
              <w:rPr>
                <w:i w:val="0"/>
              </w:rPr>
              <w:t>awozdawczym dniu odniesienia</w:t>
            </w:r>
            <w:r w:rsidR="00835753" w:rsidRPr="00835753">
              <w:rPr>
                <w:i w:val="0"/>
              </w:rPr>
              <w:t xml:space="preserve"> i</w:t>
            </w:r>
            <w:r w:rsidR="00835753">
              <w:rPr>
                <w:i w:val="0"/>
              </w:rPr>
              <w:t> </w:t>
            </w:r>
            <w:r w:rsidR="00835753" w:rsidRPr="00835753">
              <w:rPr>
                <w:i w:val="0"/>
              </w:rPr>
              <w:t>któ</w:t>
            </w:r>
            <w:r w:rsidRPr="00835753">
              <w:rPr>
                <w:i w:val="0"/>
              </w:rPr>
              <w:t>re sklasyfikowano jako rzeczowe aktywa trwałe.</w:t>
            </w:r>
          </w:p>
        </w:tc>
      </w:tr>
      <w:tr w:rsidR="004E71F4" w:rsidRPr="00835753" w14:paraId="2D8396B0" w14:textId="77777777" w:rsidTr="00155C96">
        <w:trPr>
          <w:trHeight w:val="620"/>
        </w:trPr>
        <w:tc>
          <w:tcPr>
            <w:tcW w:w="1384" w:type="dxa"/>
          </w:tcPr>
          <w:p w14:paraId="5909B57C" w14:textId="77777777" w:rsidR="004E71F4" w:rsidRPr="00835753" w:rsidRDefault="004E71F4" w:rsidP="00155C96">
            <w:pPr>
              <w:spacing w:after="120"/>
            </w:pPr>
            <w:r w:rsidRPr="00835753">
              <w:t>020</w:t>
            </w:r>
          </w:p>
        </w:tc>
        <w:tc>
          <w:tcPr>
            <w:tcW w:w="7655" w:type="dxa"/>
          </w:tcPr>
          <w:p w14:paraId="648435A7"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Inne niż rzeczowe aktywa trwałe</w:t>
            </w:r>
          </w:p>
          <w:p w14:paraId="3F0B3F2E" w14:textId="145DE5B8" w:rsidR="004E71F4" w:rsidRPr="00835753" w:rsidRDefault="004E71F4" w:rsidP="00155C96">
            <w:pPr>
              <w:pStyle w:val="Institutionquisigne"/>
              <w:spacing w:before="0" w:after="120"/>
              <w:rPr>
                <w:i w:val="0"/>
              </w:rPr>
            </w:pPr>
            <w:r w:rsidRPr="00835753">
              <w:rPr>
                <w:i w:val="0"/>
              </w:rPr>
              <w:t>W tym wierszu zostanie automatycznie ujawniony stan zabezpieczenia uzyskanego przez przejęcie, które pozostaje ujęte</w:t>
            </w:r>
            <w:r w:rsidR="00835753" w:rsidRPr="00835753">
              <w:rPr>
                <w:i w:val="0"/>
              </w:rPr>
              <w:t xml:space="preserve"> w</w:t>
            </w:r>
            <w:r w:rsidR="00835753">
              <w:rPr>
                <w:i w:val="0"/>
              </w:rPr>
              <w:t> </w:t>
            </w:r>
            <w:r w:rsidR="00835753" w:rsidRPr="00835753">
              <w:rPr>
                <w:i w:val="0"/>
              </w:rPr>
              <w:t>bil</w:t>
            </w:r>
            <w:r w:rsidRPr="00835753">
              <w:rPr>
                <w:i w:val="0"/>
              </w:rPr>
              <w:t>ansie</w:t>
            </w:r>
            <w:r w:rsidR="00835753" w:rsidRPr="00835753">
              <w:rPr>
                <w:i w:val="0"/>
              </w:rPr>
              <w:t xml:space="preserve"> </w:t>
            </w:r>
            <w:r w:rsidR="00835753" w:rsidRPr="00835753">
              <w:rPr>
                <w:i w:val="0"/>
              </w:rPr>
              <w:lastRenderedPageBreak/>
              <w:t>w</w:t>
            </w:r>
            <w:r w:rsidR="00835753">
              <w:rPr>
                <w:i w:val="0"/>
              </w:rPr>
              <w:t> </w:t>
            </w:r>
            <w:r w:rsidR="00835753" w:rsidRPr="00835753">
              <w:rPr>
                <w:i w:val="0"/>
              </w:rPr>
              <w:t>spr</w:t>
            </w:r>
            <w:r w:rsidRPr="00835753">
              <w:rPr>
                <w:i w:val="0"/>
              </w:rPr>
              <w:t>awozdawczym dniu odniesienia</w:t>
            </w:r>
            <w:r w:rsidR="00835753" w:rsidRPr="00835753">
              <w:rPr>
                <w:i w:val="0"/>
              </w:rPr>
              <w:t xml:space="preserve"> i</w:t>
            </w:r>
            <w:r w:rsidR="00835753">
              <w:rPr>
                <w:i w:val="0"/>
              </w:rPr>
              <w:t> </w:t>
            </w:r>
            <w:r w:rsidR="00835753" w:rsidRPr="00835753">
              <w:rPr>
                <w:i w:val="0"/>
              </w:rPr>
              <w:t>któ</w:t>
            </w:r>
            <w:r w:rsidRPr="00835753">
              <w:rPr>
                <w:i w:val="0"/>
              </w:rPr>
              <w:t>rego nie sklasyfikowano jako rzeczowe aktywa trwałe. Całkowity stan zostanie obliczony</w:t>
            </w:r>
            <w:r w:rsidR="00835753" w:rsidRPr="00835753">
              <w:rPr>
                <w:i w:val="0"/>
              </w:rPr>
              <w:t xml:space="preserve"> z</w:t>
            </w:r>
            <w:r w:rsidR="00835753">
              <w:rPr>
                <w:i w:val="0"/>
              </w:rPr>
              <w:t> </w:t>
            </w:r>
            <w:r w:rsidR="00835753" w:rsidRPr="00835753">
              <w:rPr>
                <w:i w:val="0"/>
              </w:rPr>
              <w:t>uwz</w:t>
            </w:r>
            <w:r w:rsidRPr="00835753">
              <w:rPr>
                <w:i w:val="0"/>
              </w:rPr>
              <w:t>ględnieniem stanu początkowego (od końca ostatniego roku obrachunkowego) oraz wpływów</w:t>
            </w:r>
            <w:r w:rsidR="00835753" w:rsidRPr="00835753">
              <w:rPr>
                <w:i w:val="0"/>
              </w:rPr>
              <w:t xml:space="preserve"> i</w:t>
            </w:r>
            <w:r w:rsidR="00835753">
              <w:rPr>
                <w:i w:val="0"/>
              </w:rPr>
              <w:t> </w:t>
            </w:r>
            <w:r w:rsidR="00835753" w:rsidRPr="00835753">
              <w:rPr>
                <w:i w:val="0"/>
              </w:rPr>
              <w:t>wyp</w:t>
            </w:r>
            <w:r w:rsidRPr="00835753">
              <w:rPr>
                <w:i w:val="0"/>
              </w:rPr>
              <w:t>ływów, które miały miejsce</w:t>
            </w:r>
            <w:r w:rsidR="00835753" w:rsidRPr="00835753">
              <w:rPr>
                <w:i w:val="0"/>
              </w:rPr>
              <w:t xml:space="preserve"> w</w:t>
            </w:r>
            <w:r w:rsidR="00835753">
              <w:rPr>
                <w:i w:val="0"/>
              </w:rPr>
              <w:t> </w:t>
            </w:r>
            <w:r w:rsidR="00835753" w:rsidRPr="00835753">
              <w:rPr>
                <w:i w:val="0"/>
              </w:rPr>
              <w:t>okr</w:t>
            </w:r>
            <w:r w:rsidRPr="00835753">
              <w:rPr>
                <w:i w:val="0"/>
              </w:rPr>
              <w:t>esie, za który informacje podlegają ujawnieniu (od końca ostatniego roku obrachunkowego). Zabezpieczenie uzyskane przez przejęcie (inne niż rzeczowe aktywa trwałe) wykazuje się</w:t>
            </w:r>
            <w:r w:rsidR="00835753" w:rsidRPr="00835753">
              <w:rPr>
                <w:i w:val="0"/>
              </w:rPr>
              <w:t xml:space="preserve"> w</w:t>
            </w:r>
            <w:r w:rsidR="00835753">
              <w:rPr>
                <w:i w:val="0"/>
              </w:rPr>
              <w:t> </w:t>
            </w:r>
            <w:r w:rsidR="00835753" w:rsidRPr="00835753">
              <w:rPr>
                <w:i w:val="0"/>
              </w:rPr>
              <w:t>wie</w:t>
            </w:r>
            <w:r w:rsidRPr="00835753">
              <w:rPr>
                <w:i w:val="0"/>
              </w:rPr>
              <w:t>rszach według rodzaju zabezpieczenia.</w:t>
            </w:r>
          </w:p>
        </w:tc>
      </w:tr>
      <w:tr w:rsidR="004E71F4" w:rsidRPr="00835753" w14:paraId="2DD0F14F" w14:textId="77777777" w:rsidTr="00155C96">
        <w:trPr>
          <w:trHeight w:val="1286"/>
        </w:trPr>
        <w:tc>
          <w:tcPr>
            <w:tcW w:w="1384" w:type="dxa"/>
          </w:tcPr>
          <w:p w14:paraId="2C38A2A6" w14:textId="77777777" w:rsidR="004E71F4" w:rsidRPr="00835753" w:rsidRDefault="004E71F4" w:rsidP="00155C96">
            <w:pPr>
              <w:spacing w:after="120"/>
            </w:pPr>
            <w:r w:rsidRPr="00835753">
              <w:lastRenderedPageBreak/>
              <w:t>030</w:t>
            </w:r>
          </w:p>
        </w:tc>
        <w:tc>
          <w:tcPr>
            <w:tcW w:w="7655" w:type="dxa"/>
          </w:tcPr>
          <w:p w14:paraId="13C48370"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Nieruchomości mieszkalne</w:t>
            </w:r>
          </w:p>
          <w:p w14:paraId="74F31DF3" w14:textId="06754365" w:rsidR="004E71F4" w:rsidRPr="00835753" w:rsidRDefault="004E71F4" w:rsidP="00155C96">
            <w:pPr>
              <w:pStyle w:val="Institutionquisigne"/>
              <w:spacing w:before="0" w:after="120"/>
              <w:rPr>
                <w:b/>
              </w:rPr>
            </w:pPr>
            <w:r w:rsidRPr="00835753">
              <w:rPr>
                <w:i w:val="0"/>
              </w:rPr>
              <w:t>Zabezpieczenie uzyskane przez przejęcie nieruchomości mieszkalnych (np. domów, mieszkań itp.) lub nieruchomości, które zostaną potencjalnie wykorzystane jako takie</w:t>
            </w:r>
            <w:r w:rsidR="00835753" w:rsidRPr="00835753">
              <w:rPr>
                <w:i w:val="0"/>
              </w:rPr>
              <w:t xml:space="preserve"> w</w:t>
            </w:r>
            <w:r w:rsidR="00835753">
              <w:rPr>
                <w:i w:val="0"/>
              </w:rPr>
              <w:t> </w:t>
            </w:r>
            <w:r w:rsidR="00835753" w:rsidRPr="00835753">
              <w:rPr>
                <w:i w:val="0"/>
              </w:rPr>
              <w:t>prz</w:t>
            </w:r>
            <w:r w:rsidRPr="00835753">
              <w:rPr>
                <w:i w:val="0"/>
              </w:rPr>
              <w:t>yszłości (np. niewykończone nieruchomości mieszkalne itp.)</w:t>
            </w:r>
          </w:p>
        </w:tc>
      </w:tr>
      <w:tr w:rsidR="004E71F4" w:rsidRPr="00835753" w14:paraId="4CE1CC54" w14:textId="77777777" w:rsidTr="007C38AF">
        <w:trPr>
          <w:trHeight w:val="554"/>
        </w:trPr>
        <w:tc>
          <w:tcPr>
            <w:tcW w:w="1384" w:type="dxa"/>
          </w:tcPr>
          <w:p w14:paraId="43C62B41" w14:textId="77777777" w:rsidR="004E71F4" w:rsidRPr="00835753" w:rsidRDefault="004E71F4" w:rsidP="00155C96">
            <w:pPr>
              <w:spacing w:after="120"/>
            </w:pPr>
            <w:r w:rsidRPr="00835753">
              <w:t>040</w:t>
            </w:r>
          </w:p>
        </w:tc>
        <w:tc>
          <w:tcPr>
            <w:tcW w:w="7655" w:type="dxa"/>
          </w:tcPr>
          <w:p w14:paraId="4D828500" w14:textId="77777777" w:rsidR="00BE57B5" w:rsidRPr="00835753" w:rsidRDefault="004E71F4" w:rsidP="00BE57B5">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Nieruchomości komercyjne</w:t>
            </w:r>
          </w:p>
          <w:p w14:paraId="68C2D2E7" w14:textId="78F44185" w:rsidR="004E71F4" w:rsidRPr="00835753" w:rsidRDefault="004E71F4" w:rsidP="00BE57B5">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Zabezpieczenie uzyskane przez przejęcie nieruchomości komercyjnych lub przemysłowych, które mogą być wykorzystywane do celów biznesowych lub inwestycyjnych, lub wszelkich nieruchomości, które nie są nieruchomościami mieszkalnymi, jak opisano powyżej.</w:t>
            </w:r>
          </w:p>
          <w:p w14:paraId="1521CDD3" w14:textId="40DF70D5" w:rsidR="004E71F4" w:rsidRPr="00835753" w:rsidRDefault="004E71F4" w:rsidP="00155C96">
            <w:pPr>
              <w:pStyle w:val="Institutionquisigne"/>
              <w:spacing w:before="0" w:after="120"/>
              <w:rPr>
                <w:b/>
              </w:rPr>
            </w:pPr>
            <w:r w:rsidRPr="00835753">
              <w:rPr>
                <w:i w:val="0"/>
              </w:rPr>
              <w:t>Do tej kategorii zalicza się również grunty (zarówno nierolnicze, jak</w:t>
            </w:r>
            <w:r w:rsidR="00835753" w:rsidRPr="00835753">
              <w:rPr>
                <w:i w:val="0"/>
              </w:rPr>
              <w:t xml:space="preserve"> i</w:t>
            </w:r>
            <w:r w:rsidR="00835753">
              <w:rPr>
                <w:i w:val="0"/>
              </w:rPr>
              <w:t> </w:t>
            </w:r>
            <w:r w:rsidR="00835753" w:rsidRPr="00835753">
              <w:rPr>
                <w:i w:val="0"/>
              </w:rPr>
              <w:t>rol</w:t>
            </w:r>
            <w:r w:rsidRPr="00835753">
              <w:rPr>
                <w:i w:val="0"/>
              </w:rPr>
              <w:t>ne).</w:t>
            </w:r>
          </w:p>
        </w:tc>
      </w:tr>
      <w:tr w:rsidR="004E71F4" w:rsidRPr="00835753" w14:paraId="3412E18B" w14:textId="77777777" w:rsidTr="007C38AF">
        <w:trPr>
          <w:trHeight w:val="1003"/>
        </w:trPr>
        <w:tc>
          <w:tcPr>
            <w:tcW w:w="1384" w:type="dxa"/>
          </w:tcPr>
          <w:p w14:paraId="0D688098" w14:textId="77777777" w:rsidR="004E71F4" w:rsidRPr="00835753" w:rsidRDefault="004E71F4" w:rsidP="00155C96">
            <w:pPr>
              <w:spacing w:after="120"/>
            </w:pPr>
            <w:r w:rsidRPr="00835753">
              <w:t>050</w:t>
            </w:r>
          </w:p>
        </w:tc>
        <w:tc>
          <w:tcPr>
            <w:tcW w:w="7655" w:type="dxa"/>
          </w:tcPr>
          <w:p w14:paraId="7D1A0508"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Ruchomości (pojazdy, statki itp.)</w:t>
            </w:r>
          </w:p>
          <w:p w14:paraId="6A3FFE7D" w14:textId="77777777" w:rsidR="004E71F4" w:rsidRPr="00835753" w:rsidRDefault="004E71F4" w:rsidP="00155C96">
            <w:pPr>
              <w:pStyle w:val="Institutionquisigne"/>
              <w:spacing w:before="0" w:after="120"/>
              <w:rPr>
                <w:b/>
              </w:rPr>
            </w:pPr>
            <w:r w:rsidRPr="00835753">
              <w:rPr>
                <w:i w:val="0"/>
              </w:rPr>
              <w:t>W tym wierszu ujawnia się zabezpieczenie uzyskane przez przejęcie majątku innego niż nieruchomości.</w:t>
            </w:r>
          </w:p>
        </w:tc>
      </w:tr>
      <w:tr w:rsidR="004E71F4" w:rsidRPr="00835753" w14:paraId="6EB6B8F1" w14:textId="77777777" w:rsidTr="007C38AF">
        <w:trPr>
          <w:trHeight w:val="636"/>
        </w:trPr>
        <w:tc>
          <w:tcPr>
            <w:tcW w:w="1384" w:type="dxa"/>
          </w:tcPr>
          <w:p w14:paraId="53636D0F" w14:textId="77777777" w:rsidR="004E71F4" w:rsidRPr="00835753" w:rsidRDefault="004E71F4" w:rsidP="00155C96">
            <w:pPr>
              <w:spacing w:after="120"/>
            </w:pPr>
            <w:r w:rsidRPr="00835753">
              <w:t>060</w:t>
            </w:r>
          </w:p>
        </w:tc>
        <w:tc>
          <w:tcPr>
            <w:tcW w:w="7655" w:type="dxa"/>
          </w:tcPr>
          <w:p w14:paraId="285BB0F1" w14:textId="21F4DFD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Instrumenty kapitałowe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dłu</w:t>
            </w:r>
            <w:r w:rsidRPr="00835753">
              <w:rPr>
                <w:rFonts w:ascii="Times New Roman" w:hAnsi="Times New Roman"/>
                <w:b/>
                <w:sz w:val="24"/>
              </w:rPr>
              <w:t>żne</w:t>
            </w:r>
          </w:p>
          <w:p w14:paraId="609FD4E1" w14:textId="77777777" w:rsidR="004E71F4" w:rsidRPr="00835753" w:rsidRDefault="004E71F4" w:rsidP="00155C96">
            <w:pPr>
              <w:pStyle w:val="Institutionquisigne"/>
              <w:spacing w:before="0" w:after="120"/>
              <w:rPr>
                <w:b/>
              </w:rPr>
            </w:pPr>
            <w:r w:rsidRPr="00835753">
              <w:rPr>
                <w:i w:val="0"/>
              </w:rPr>
              <w:t>W tym wierszu ujawnia się zabezpieczenie uzyskane przez przejęcie instrumentów kapitałowych lub dłużnych.</w:t>
            </w:r>
          </w:p>
        </w:tc>
      </w:tr>
      <w:tr w:rsidR="004E71F4" w:rsidRPr="00835753" w14:paraId="223F854F" w14:textId="77777777" w:rsidTr="00155C96">
        <w:trPr>
          <w:trHeight w:val="1286"/>
        </w:trPr>
        <w:tc>
          <w:tcPr>
            <w:tcW w:w="1384" w:type="dxa"/>
          </w:tcPr>
          <w:p w14:paraId="72E1E365" w14:textId="77777777" w:rsidR="004E71F4" w:rsidRPr="00835753" w:rsidRDefault="004E71F4" w:rsidP="00155C96">
            <w:pPr>
              <w:spacing w:after="120"/>
            </w:pPr>
            <w:r w:rsidRPr="00835753">
              <w:t>070</w:t>
            </w:r>
          </w:p>
        </w:tc>
        <w:tc>
          <w:tcPr>
            <w:tcW w:w="7655" w:type="dxa"/>
          </w:tcPr>
          <w:p w14:paraId="5EDD7E9E"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Inne zabezpieczenia</w:t>
            </w:r>
          </w:p>
          <w:p w14:paraId="724F6703" w14:textId="136207D9" w:rsidR="004E71F4" w:rsidRPr="00835753" w:rsidRDefault="004E71F4" w:rsidP="00155C96">
            <w:pPr>
              <w:pStyle w:val="Institutionquisigne"/>
              <w:spacing w:before="0" w:after="120"/>
              <w:rPr>
                <w:i w:val="0"/>
              </w:rPr>
            </w:pPr>
            <w:r w:rsidRPr="00835753">
              <w:rPr>
                <w:i w:val="0"/>
              </w:rPr>
              <w:t>Zabezpieczenie uzyskane przez przejęcie, które nie należy do kategorii</w:t>
            </w:r>
            <w:r w:rsidR="00835753" w:rsidRPr="00835753">
              <w:rPr>
                <w:i w:val="0"/>
              </w:rPr>
              <w:t xml:space="preserve"> w</w:t>
            </w:r>
            <w:r w:rsidR="00835753">
              <w:rPr>
                <w:i w:val="0"/>
              </w:rPr>
              <w:t> </w:t>
            </w:r>
            <w:r w:rsidR="00835753" w:rsidRPr="00835753">
              <w:rPr>
                <w:i w:val="0"/>
              </w:rPr>
              <w:t>poz</w:t>
            </w:r>
            <w:r w:rsidRPr="00835753">
              <w:rPr>
                <w:i w:val="0"/>
              </w:rPr>
              <w:t xml:space="preserve">ostałych wierszach. </w:t>
            </w:r>
          </w:p>
          <w:p w14:paraId="6B2FC257" w14:textId="0D2DB31D" w:rsidR="004E71F4" w:rsidRPr="00835753" w:rsidRDefault="004E71F4" w:rsidP="00155C96">
            <w:pPr>
              <w:pStyle w:val="Institutionquisigne"/>
              <w:spacing w:before="0" w:after="120"/>
              <w:rPr>
                <w:b/>
              </w:rPr>
            </w:pPr>
            <w:r w:rsidRPr="00835753">
              <w:rPr>
                <w:i w:val="0"/>
              </w:rPr>
              <w:t>Jeżeli kwota</w:t>
            </w:r>
            <w:r w:rsidR="00835753" w:rsidRPr="00835753">
              <w:rPr>
                <w:i w:val="0"/>
              </w:rPr>
              <w:t xml:space="preserve"> w</w:t>
            </w:r>
            <w:r w:rsidR="00835753">
              <w:rPr>
                <w:i w:val="0"/>
              </w:rPr>
              <w:t> </w:t>
            </w:r>
            <w:r w:rsidR="00835753" w:rsidRPr="00835753">
              <w:rPr>
                <w:i w:val="0"/>
              </w:rPr>
              <w:t>tym</w:t>
            </w:r>
            <w:r w:rsidRPr="00835753">
              <w:rPr>
                <w:i w:val="0"/>
              </w:rPr>
              <w:t xml:space="preserve"> wierszu jest stosunkowo istotna, instytucje przekazują dodatkowe informacje</w:t>
            </w:r>
            <w:r w:rsidR="00835753" w:rsidRPr="00835753">
              <w:rPr>
                <w:i w:val="0"/>
              </w:rPr>
              <w:t xml:space="preserve"> w</w:t>
            </w:r>
            <w:r w:rsidR="00835753">
              <w:rPr>
                <w:i w:val="0"/>
              </w:rPr>
              <w:t> </w:t>
            </w:r>
            <w:r w:rsidR="00835753" w:rsidRPr="00835753">
              <w:rPr>
                <w:i w:val="0"/>
              </w:rPr>
              <w:t>opi</w:t>
            </w:r>
            <w:r w:rsidRPr="00835753">
              <w:rPr>
                <w:i w:val="0"/>
              </w:rPr>
              <w:t>sie dołączonym do niniejszego wzoru.</w:t>
            </w:r>
          </w:p>
        </w:tc>
      </w:tr>
      <w:tr w:rsidR="004E71F4" w:rsidRPr="00835753" w14:paraId="283E34BE" w14:textId="77777777" w:rsidTr="00155C96">
        <w:trPr>
          <w:trHeight w:val="316"/>
        </w:trPr>
        <w:tc>
          <w:tcPr>
            <w:tcW w:w="1384" w:type="dxa"/>
          </w:tcPr>
          <w:p w14:paraId="79E9EB5B" w14:textId="77777777" w:rsidR="004E71F4" w:rsidRPr="00835753" w:rsidRDefault="004E71F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color w:val="000000"/>
                <w:sz w:val="24"/>
              </w:rPr>
              <w:t>080</w:t>
            </w:r>
          </w:p>
        </w:tc>
        <w:tc>
          <w:tcPr>
            <w:tcW w:w="7655" w:type="dxa"/>
          </w:tcPr>
          <w:p w14:paraId="1DF70316"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Ogółem</w:t>
            </w:r>
          </w:p>
        </w:tc>
      </w:tr>
      <w:tr w:rsidR="004E71F4" w:rsidRPr="00835753" w14:paraId="67D1E4EB" w14:textId="77777777" w:rsidTr="00155C96">
        <w:trPr>
          <w:trHeight w:val="238"/>
        </w:trPr>
        <w:tc>
          <w:tcPr>
            <w:tcW w:w="9039" w:type="dxa"/>
            <w:gridSpan w:val="2"/>
            <w:shd w:val="clear" w:color="auto" w:fill="D9D9D9" w:themeFill="background1" w:themeFillShade="D9"/>
          </w:tcPr>
          <w:p w14:paraId="757A1704" w14:textId="77306BEF"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4E71F4" w:rsidRPr="00835753" w14:paraId="248EE231" w14:textId="77777777" w:rsidTr="00155C96">
        <w:trPr>
          <w:trHeight w:val="238"/>
        </w:trPr>
        <w:tc>
          <w:tcPr>
            <w:tcW w:w="1384" w:type="dxa"/>
            <w:shd w:val="clear" w:color="auto" w:fill="D9D9D9" w:themeFill="background1" w:themeFillShade="D9"/>
          </w:tcPr>
          <w:p w14:paraId="7A47FDEF"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36E5AF9D" w14:textId="77777777" w:rsidR="004E71F4" w:rsidRPr="00835753" w:rsidRDefault="004E71F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Wyjaśnienie</w:t>
            </w:r>
          </w:p>
        </w:tc>
      </w:tr>
      <w:tr w:rsidR="004E71F4" w:rsidRPr="00835753" w14:paraId="14C68D76" w14:textId="77777777" w:rsidTr="00155C96">
        <w:trPr>
          <w:trHeight w:val="841"/>
        </w:trPr>
        <w:tc>
          <w:tcPr>
            <w:tcW w:w="1384" w:type="dxa"/>
          </w:tcPr>
          <w:p w14:paraId="18884892" w14:textId="77777777" w:rsidR="004E71F4" w:rsidRPr="00835753" w:rsidRDefault="004E71F4" w:rsidP="00155C96">
            <w:pPr>
              <w:pStyle w:val="Applicationdirecte"/>
              <w:spacing w:before="0"/>
            </w:pPr>
            <w:proofErr w:type="gramStart"/>
            <w:r w:rsidRPr="00835753">
              <w:t>a</w:t>
            </w:r>
            <w:proofErr w:type="gramEnd"/>
            <w:r w:rsidRPr="00835753">
              <w:t>)</w:t>
            </w:r>
          </w:p>
        </w:tc>
        <w:tc>
          <w:tcPr>
            <w:tcW w:w="7655" w:type="dxa"/>
          </w:tcPr>
          <w:p w14:paraId="3F54C98D" w14:textId="77777777" w:rsidR="004E71F4" w:rsidRPr="00835753" w:rsidRDefault="004E71F4" w:rsidP="00155C96">
            <w:pPr>
              <w:pStyle w:val="Institutionquisigne"/>
              <w:spacing w:before="0" w:after="120"/>
              <w:rPr>
                <w:rFonts w:eastAsiaTheme="minorEastAsia"/>
                <w:b/>
                <w:i w:val="0"/>
              </w:rPr>
            </w:pPr>
            <w:r w:rsidRPr="00835753">
              <w:rPr>
                <w:b/>
                <w:i w:val="0"/>
              </w:rPr>
              <w:t>Zmniejszenie salda zadłużenia – Wartość bilansowa brutto</w:t>
            </w:r>
          </w:p>
          <w:p w14:paraId="32C50F20" w14:textId="20489DD8" w:rsidR="004E71F4" w:rsidRPr="00835753" w:rsidRDefault="004E71F4" w:rsidP="00155C96">
            <w:pPr>
              <w:pStyle w:val="Institutionquisigne"/>
              <w:spacing w:before="0" w:after="120"/>
              <w:rPr>
                <w:i w:val="0"/>
              </w:rPr>
            </w:pPr>
            <w:r w:rsidRPr="00835753">
              <w:rPr>
                <w:i w:val="0"/>
              </w:rPr>
              <w:t>Kwota brutto zadłużenia, którą anulowano</w:t>
            </w:r>
            <w:r w:rsidR="00835753" w:rsidRPr="00835753">
              <w:rPr>
                <w:i w:val="0"/>
              </w:rPr>
              <w:t xml:space="preserve"> w</w:t>
            </w:r>
            <w:r w:rsidR="00835753">
              <w:rPr>
                <w:i w:val="0"/>
              </w:rPr>
              <w:t> </w:t>
            </w:r>
            <w:r w:rsidR="00835753" w:rsidRPr="00835753">
              <w:rPr>
                <w:i w:val="0"/>
              </w:rPr>
              <w:t>zam</w:t>
            </w:r>
            <w:r w:rsidRPr="00835753">
              <w:rPr>
                <w:i w:val="0"/>
              </w:rPr>
              <w:t>ian za zabezpieczenie uzyskane przez przejęcie, dokładnie</w:t>
            </w:r>
            <w:r w:rsidR="00835753" w:rsidRPr="00835753">
              <w:rPr>
                <w:i w:val="0"/>
              </w:rPr>
              <w:t xml:space="preserve"> z</w:t>
            </w:r>
            <w:r w:rsidR="00835753">
              <w:rPr>
                <w:i w:val="0"/>
              </w:rPr>
              <w:t> </w:t>
            </w:r>
            <w:r w:rsidR="00835753" w:rsidRPr="00835753">
              <w:rPr>
                <w:i w:val="0"/>
              </w:rPr>
              <w:t>mom</w:t>
            </w:r>
            <w:r w:rsidRPr="00835753">
              <w:rPr>
                <w:i w:val="0"/>
              </w:rPr>
              <w:t>encie wymiany,</w:t>
            </w:r>
            <w:r w:rsidR="00835753" w:rsidRPr="00835753">
              <w:rPr>
                <w:i w:val="0"/>
              </w:rPr>
              <w:t xml:space="preserve"> w</w:t>
            </w:r>
            <w:r w:rsidR="00835753">
              <w:rPr>
                <w:i w:val="0"/>
              </w:rPr>
              <w:t> </w:t>
            </w:r>
            <w:r w:rsidR="00835753" w:rsidRPr="00835753">
              <w:rPr>
                <w:i w:val="0"/>
              </w:rPr>
              <w:t>dro</w:t>
            </w:r>
            <w:r w:rsidRPr="00835753">
              <w:rPr>
                <w:i w:val="0"/>
              </w:rPr>
              <w:t>dze postępowań sądowych lub umowy dwustronnej</w:t>
            </w:r>
          </w:p>
          <w:p w14:paraId="4CE1FD7D" w14:textId="04F08AA0" w:rsidR="004E71F4" w:rsidRPr="00835753" w:rsidRDefault="004E71F4" w:rsidP="00155C96">
            <w:pPr>
              <w:pStyle w:val="Institutionquisigne"/>
              <w:spacing w:before="0" w:after="120"/>
            </w:pPr>
            <w:r w:rsidRPr="00835753">
              <w:rPr>
                <w:i w:val="0"/>
              </w:rPr>
              <w:t>Kwotę brutto oblicza się jako zmniejszenie salda instrumentu brutto bez uwzględniania jakichkolwiek rezerw</w:t>
            </w:r>
            <w:r w:rsidR="00835753" w:rsidRPr="00835753">
              <w:rPr>
                <w:i w:val="0"/>
              </w:rPr>
              <w:t>. W</w:t>
            </w:r>
            <w:r w:rsidR="00835753">
              <w:rPr>
                <w:i w:val="0"/>
              </w:rPr>
              <w:t> </w:t>
            </w:r>
            <w:r w:rsidR="00835753" w:rsidRPr="00835753">
              <w:rPr>
                <w:i w:val="0"/>
              </w:rPr>
              <w:t>cel</w:t>
            </w:r>
            <w:r w:rsidRPr="00835753">
              <w:rPr>
                <w:i w:val="0"/>
              </w:rPr>
              <w:t>u uniknięcia wątpliwości</w:t>
            </w:r>
            <w:r w:rsidR="00835753" w:rsidRPr="00835753">
              <w:rPr>
                <w:i w:val="0"/>
              </w:rPr>
              <w:t xml:space="preserve"> </w:t>
            </w:r>
            <w:r w:rsidR="00835753" w:rsidRPr="00835753">
              <w:rPr>
                <w:i w:val="0"/>
              </w:rPr>
              <w:lastRenderedPageBreak/>
              <w:t>w</w:t>
            </w:r>
            <w:r w:rsidR="00835753">
              <w:rPr>
                <w:i w:val="0"/>
              </w:rPr>
              <w:t> </w:t>
            </w:r>
            <w:r w:rsidR="00835753" w:rsidRPr="00835753">
              <w:rPr>
                <w:i w:val="0"/>
              </w:rPr>
              <w:t>kol</w:t>
            </w:r>
            <w:r w:rsidRPr="00835753">
              <w:rPr>
                <w:i w:val="0"/>
              </w:rPr>
              <w:t>umnie tej nie ujmuje się przypadków zmniejszenia salda wynikających</w:t>
            </w:r>
            <w:r w:rsidR="00835753" w:rsidRPr="00835753">
              <w:rPr>
                <w:i w:val="0"/>
              </w:rPr>
              <w:t xml:space="preserve"> z</w:t>
            </w:r>
            <w:r w:rsidR="00835753">
              <w:rPr>
                <w:i w:val="0"/>
              </w:rPr>
              <w:t> </w:t>
            </w:r>
            <w:r w:rsidR="00835753" w:rsidRPr="00835753">
              <w:rPr>
                <w:i w:val="0"/>
              </w:rPr>
              <w:t>inn</w:t>
            </w:r>
            <w:r w:rsidRPr="00835753">
              <w:rPr>
                <w:i w:val="0"/>
              </w:rPr>
              <w:t>ych przyczyn (np. przepływów pieniężnych).</w:t>
            </w:r>
          </w:p>
        </w:tc>
      </w:tr>
      <w:tr w:rsidR="004E71F4" w:rsidRPr="00835753" w14:paraId="2A837B98" w14:textId="77777777" w:rsidTr="00155C96">
        <w:trPr>
          <w:trHeight w:val="841"/>
        </w:trPr>
        <w:tc>
          <w:tcPr>
            <w:tcW w:w="1384" w:type="dxa"/>
          </w:tcPr>
          <w:p w14:paraId="202DB4AC" w14:textId="77777777" w:rsidR="004E71F4" w:rsidRPr="00835753" w:rsidRDefault="004E71F4" w:rsidP="00155C96">
            <w:pPr>
              <w:pStyle w:val="Applicationdirecte"/>
              <w:spacing w:before="0"/>
            </w:pPr>
            <w:proofErr w:type="gramStart"/>
            <w:r w:rsidRPr="00835753">
              <w:lastRenderedPageBreak/>
              <w:t>b</w:t>
            </w:r>
            <w:proofErr w:type="gramEnd"/>
            <w:r w:rsidRPr="00835753">
              <w:t>)</w:t>
            </w:r>
          </w:p>
        </w:tc>
        <w:tc>
          <w:tcPr>
            <w:tcW w:w="7655" w:type="dxa"/>
          </w:tcPr>
          <w:p w14:paraId="1478E4EE" w14:textId="77777777" w:rsidR="004E71F4" w:rsidRPr="00835753" w:rsidRDefault="004E71F4" w:rsidP="00155C96">
            <w:pPr>
              <w:pStyle w:val="Institutionquisigne"/>
              <w:spacing w:before="0" w:after="120"/>
              <w:rPr>
                <w:b/>
                <w:i w:val="0"/>
              </w:rPr>
            </w:pPr>
            <w:r w:rsidRPr="00835753">
              <w:rPr>
                <w:b/>
                <w:i w:val="0"/>
              </w:rPr>
              <w:t>Zmniejszenie salda zadłużenia – Skumulowane ujemne zmiany</w:t>
            </w:r>
          </w:p>
          <w:p w14:paraId="7CF34C02" w14:textId="17561A1C" w:rsidR="004E71F4" w:rsidRPr="00835753" w:rsidRDefault="004E71F4" w:rsidP="00155C96">
            <w:pPr>
              <w:pStyle w:val="Institutionquisigne"/>
              <w:spacing w:before="0" w:after="120"/>
              <w:rPr>
                <w:i w:val="0"/>
              </w:rPr>
            </w:pPr>
            <w:r w:rsidRPr="00835753">
              <w:rPr>
                <w:i w:val="0"/>
              </w:rPr>
              <w:t>Skumulowana utrata wartości lub skumulowane ujemne zmiany wartości</w:t>
            </w:r>
            <w:r w:rsidR="00835753" w:rsidRPr="00835753">
              <w:rPr>
                <w:i w:val="0"/>
              </w:rPr>
              <w:t xml:space="preserve"> w</w:t>
            </w:r>
            <w:r w:rsidR="00835753">
              <w:rPr>
                <w:i w:val="0"/>
              </w:rPr>
              <w:t> </w:t>
            </w:r>
            <w:r w:rsidR="00835753" w:rsidRPr="00835753">
              <w:rPr>
                <w:i w:val="0"/>
              </w:rPr>
              <w:t>mom</w:t>
            </w:r>
            <w:r w:rsidRPr="00835753">
              <w:rPr>
                <w:i w:val="0"/>
              </w:rPr>
              <w:t>encie początkowego ujęcia zabezpieczenia uzyskanego przez przejęcie, jak opisano powyżej</w:t>
            </w:r>
          </w:p>
          <w:p w14:paraId="1CB7E8DB" w14:textId="43826701" w:rsidR="004E71F4" w:rsidRPr="00835753" w:rsidRDefault="004E71F4" w:rsidP="00155C96">
            <w:pPr>
              <w:pStyle w:val="Institutionquisigne"/>
              <w:spacing w:before="0" w:after="120"/>
              <w:rPr>
                <w:i w:val="0"/>
              </w:rPr>
            </w:pPr>
            <w:r w:rsidRPr="00835753">
              <w:rPr>
                <w:i w:val="0"/>
              </w:rPr>
              <w:t>Zob. definicja we wzorze CQ7, „Zabezpieczenia uzyskane przez przejęcie</w:t>
            </w:r>
            <w:r w:rsidR="00835753" w:rsidRPr="00835753">
              <w:rPr>
                <w:i w:val="0"/>
              </w:rPr>
              <w:t xml:space="preserve"> i</w:t>
            </w:r>
            <w:r w:rsidR="00835753">
              <w:rPr>
                <w:i w:val="0"/>
              </w:rPr>
              <w:t> </w:t>
            </w:r>
            <w:r w:rsidR="00835753" w:rsidRPr="00835753">
              <w:rPr>
                <w:i w:val="0"/>
              </w:rPr>
              <w:t>pos</w:t>
            </w:r>
            <w:r w:rsidRPr="00835753">
              <w:rPr>
                <w:i w:val="0"/>
              </w:rPr>
              <w:t>tępowania egzekucyjne”.</w:t>
            </w:r>
          </w:p>
          <w:p w14:paraId="566CE469" w14:textId="46C418BC" w:rsidR="004E71F4" w:rsidRPr="00835753" w:rsidRDefault="004E71F4" w:rsidP="00155C96">
            <w:pPr>
              <w:pStyle w:val="Institutionquisigne"/>
              <w:spacing w:before="0" w:after="120"/>
            </w:pPr>
            <w:r w:rsidRPr="00835753">
              <w:rPr>
                <w:i w:val="0"/>
              </w:rPr>
              <w:t>Instytucje uwzględniają</w:t>
            </w:r>
            <w:r w:rsidR="00835753" w:rsidRPr="00835753">
              <w:rPr>
                <w:i w:val="0"/>
              </w:rPr>
              <w:t xml:space="preserve"> w</w:t>
            </w:r>
            <w:r w:rsidR="00835753">
              <w:rPr>
                <w:i w:val="0"/>
              </w:rPr>
              <w:t> </w:t>
            </w:r>
            <w:r w:rsidR="00835753" w:rsidRPr="00835753">
              <w:rPr>
                <w:i w:val="0"/>
              </w:rPr>
              <w:t>sto</w:t>
            </w:r>
            <w:r w:rsidRPr="00835753">
              <w:rPr>
                <w:i w:val="0"/>
              </w:rPr>
              <w:t>sownych przypadkach skumulowane ujemne zmiany wynikające</w:t>
            </w:r>
            <w:r w:rsidR="00835753" w:rsidRPr="00835753">
              <w:rPr>
                <w:i w:val="0"/>
              </w:rPr>
              <w:t xml:space="preserve"> z</w:t>
            </w:r>
            <w:r w:rsidR="00835753">
              <w:rPr>
                <w:i w:val="0"/>
              </w:rPr>
              <w:t> </w:t>
            </w:r>
            <w:r w:rsidR="00835753" w:rsidRPr="00835753">
              <w:rPr>
                <w:i w:val="0"/>
              </w:rPr>
              <w:t>amo</w:t>
            </w:r>
            <w:r w:rsidRPr="00835753">
              <w:rPr>
                <w:i w:val="0"/>
              </w:rPr>
              <w:t>rtyzacji</w:t>
            </w:r>
            <w:r w:rsidR="00835753" w:rsidRPr="00835753">
              <w:rPr>
                <w:i w:val="0"/>
              </w:rPr>
              <w:t xml:space="preserve"> w</w:t>
            </w:r>
            <w:r w:rsidR="00835753">
              <w:rPr>
                <w:i w:val="0"/>
              </w:rPr>
              <w:t> </w:t>
            </w:r>
            <w:r w:rsidR="00835753" w:rsidRPr="00835753">
              <w:rPr>
                <w:i w:val="0"/>
              </w:rPr>
              <w:t>prz</w:t>
            </w:r>
            <w:r w:rsidRPr="00835753">
              <w:rPr>
                <w:i w:val="0"/>
              </w:rPr>
              <w:t>ypadku rzeczowych aktywów trwałych</w:t>
            </w:r>
            <w:r w:rsidR="00835753" w:rsidRPr="00835753">
              <w:rPr>
                <w:i w:val="0"/>
              </w:rPr>
              <w:t xml:space="preserve"> i</w:t>
            </w:r>
            <w:r w:rsidR="00835753">
              <w:rPr>
                <w:i w:val="0"/>
              </w:rPr>
              <w:t> </w:t>
            </w:r>
            <w:r w:rsidR="00835753" w:rsidRPr="00835753">
              <w:rPr>
                <w:i w:val="0"/>
              </w:rPr>
              <w:t>nie</w:t>
            </w:r>
            <w:r w:rsidRPr="00835753">
              <w:rPr>
                <w:i w:val="0"/>
              </w:rPr>
              <w:t>ruchomości inwestycyjnych.</w:t>
            </w:r>
          </w:p>
        </w:tc>
      </w:tr>
      <w:tr w:rsidR="004E71F4" w:rsidRPr="00835753" w14:paraId="2867ED39" w14:textId="77777777" w:rsidTr="00155C96">
        <w:trPr>
          <w:trHeight w:val="841"/>
        </w:trPr>
        <w:tc>
          <w:tcPr>
            <w:tcW w:w="1384" w:type="dxa"/>
          </w:tcPr>
          <w:p w14:paraId="11293BD5" w14:textId="77777777" w:rsidR="004E71F4" w:rsidRPr="00835753" w:rsidRDefault="004E71F4" w:rsidP="00155C96">
            <w:pPr>
              <w:pStyle w:val="Applicationdirecte"/>
              <w:spacing w:before="0"/>
            </w:pPr>
            <w:proofErr w:type="gramStart"/>
            <w:r w:rsidRPr="00835753">
              <w:t>c</w:t>
            </w:r>
            <w:proofErr w:type="gramEnd"/>
            <w:r w:rsidRPr="00835753">
              <w:t>)</w:t>
            </w:r>
          </w:p>
        </w:tc>
        <w:tc>
          <w:tcPr>
            <w:tcW w:w="7655" w:type="dxa"/>
          </w:tcPr>
          <w:p w14:paraId="75E90409" w14:textId="06E2201C" w:rsidR="004E71F4" w:rsidRPr="00835753" w:rsidRDefault="004E71F4" w:rsidP="00155C96">
            <w:pPr>
              <w:pStyle w:val="Institutionquisigne"/>
              <w:spacing w:before="0" w:after="120"/>
              <w:rPr>
                <w:b/>
                <w:i w:val="0"/>
              </w:rPr>
            </w:pPr>
            <w:r w:rsidRPr="00835753">
              <w:rPr>
                <w:b/>
                <w:i w:val="0"/>
              </w:rPr>
              <w:t>Łączne zabezpieczenia uzyskane przez przejęcie – Wartość</w:t>
            </w:r>
            <w:r w:rsidR="00835753" w:rsidRPr="00835753">
              <w:rPr>
                <w:b/>
                <w:i w:val="0"/>
              </w:rPr>
              <w:t xml:space="preserve"> w</w:t>
            </w:r>
            <w:r w:rsidR="00835753">
              <w:rPr>
                <w:b/>
                <w:i w:val="0"/>
              </w:rPr>
              <w:t> </w:t>
            </w:r>
            <w:r w:rsidR="00835753" w:rsidRPr="00835753">
              <w:rPr>
                <w:b/>
                <w:i w:val="0"/>
              </w:rPr>
              <w:t>mom</w:t>
            </w:r>
            <w:r w:rsidRPr="00835753">
              <w:rPr>
                <w:b/>
                <w:i w:val="0"/>
              </w:rPr>
              <w:t>encie początkowego ujęcia</w:t>
            </w:r>
          </w:p>
          <w:p w14:paraId="074CCD2D" w14:textId="1992A331" w:rsidR="004E71F4" w:rsidRPr="00835753" w:rsidRDefault="004E71F4" w:rsidP="00155C96">
            <w:pPr>
              <w:pStyle w:val="Institutionquisigne"/>
              <w:spacing w:before="0" w:after="120"/>
              <w:rPr>
                <w:b/>
                <w:i w:val="0"/>
              </w:rPr>
            </w:pPr>
            <w:r w:rsidRPr="00835753">
              <w:rPr>
                <w:i w:val="0"/>
              </w:rPr>
              <w:t>W tej kolumnie ujawnia się wartość bilansową brutto zabezpieczenia uzyskanego przez przejęcie</w:t>
            </w:r>
            <w:r w:rsidR="00835753" w:rsidRPr="00835753">
              <w:rPr>
                <w:i w:val="0"/>
              </w:rPr>
              <w:t xml:space="preserve"> w</w:t>
            </w:r>
            <w:r w:rsidR="00835753">
              <w:rPr>
                <w:i w:val="0"/>
              </w:rPr>
              <w:t> </w:t>
            </w:r>
            <w:r w:rsidR="00835753" w:rsidRPr="00835753">
              <w:rPr>
                <w:i w:val="0"/>
              </w:rPr>
              <w:t>mom</w:t>
            </w:r>
            <w:r w:rsidRPr="00835753">
              <w:rPr>
                <w:i w:val="0"/>
              </w:rPr>
              <w:t>encie początkowego ujęcia</w:t>
            </w:r>
            <w:r w:rsidR="00835753" w:rsidRPr="00835753">
              <w:rPr>
                <w:i w:val="0"/>
              </w:rPr>
              <w:t xml:space="preserve"> w</w:t>
            </w:r>
            <w:r w:rsidR="00835753">
              <w:rPr>
                <w:i w:val="0"/>
              </w:rPr>
              <w:t> </w:t>
            </w:r>
            <w:r w:rsidR="00835753" w:rsidRPr="00835753">
              <w:rPr>
                <w:i w:val="0"/>
              </w:rPr>
              <w:t>bil</w:t>
            </w:r>
            <w:r w:rsidRPr="00835753">
              <w:rPr>
                <w:i w:val="0"/>
              </w:rPr>
              <w:t>ansie instytucji.</w:t>
            </w:r>
          </w:p>
        </w:tc>
      </w:tr>
      <w:tr w:rsidR="004E71F4" w:rsidRPr="00835753" w14:paraId="5135AB5A" w14:textId="77777777" w:rsidTr="00155C96">
        <w:trPr>
          <w:trHeight w:val="841"/>
        </w:trPr>
        <w:tc>
          <w:tcPr>
            <w:tcW w:w="1384" w:type="dxa"/>
          </w:tcPr>
          <w:p w14:paraId="36046E30" w14:textId="77777777" w:rsidR="004E71F4" w:rsidRPr="00835753" w:rsidRDefault="004E71F4" w:rsidP="00155C96">
            <w:pPr>
              <w:pStyle w:val="Applicationdirecte"/>
              <w:spacing w:before="0"/>
            </w:pPr>
            <w:proofErr w:type="gramStart"/>
            <w:r w:rsidRPr="00835753">
              <w:t>d</w:t>
            </w:r>
            <w:proofErr w:type="gramEnd"/>
            <w:r w:rsidRPr="00835753">
              <w:t>)</w:t>
            </w:r>
          </w:p>
        </w:tc>
        <w:tc>
          <w:tcPr>
            <w:tcW w:w="7655" w:type="dxa"/>
          </w:tcPr>
          <w:p w14:paraId="6303F00B" w14:textId="77777777" w:rsidR="004E71F4" w:rsidRPr="00835753" w:rsidRDefault="004E71F4" w:rsidP="00155C96">
            <w:pPr>
              <w:pStyle w:val="Institutionquisigne"/>
              <w:spacing w:before="0" w:after="120"/>
              <w:rPr>
                <w:b/>
                <w:i w:val="0"/>
              </w:rPr>
            </w:pPr>
            <w:r w:rsidRPr="00835753">
              <w:rPr>
                <w:b/>
                <w:i w:val="0"/>
              </w:rPr>
              <w:t>Łączne zabezpieczenia uzyskane przez przejęcie – Skumulowane ujemne zmiany</w:t>
            </w:r>
          </w:p>
          <w:p w14:paraId="291CB036" w14:textId="1C0E1D80" w:rsidR="004E71F4" w:rsidRPr="00835753" w:rsidRDefault="004E71F4" w:rsidP="00155C96">
            <w:pPr>
              <w:pStyle w:val="Institutionquisigne"/>
              <w:spacing w:before="0" w:after="120"/>
              <w:rPr>
                <w:i w:val="0"/>
              </w:rPr>
            </w:pPr>
            <w:r w:rsidRPr="00835753">
              <w:rPr>
                <w:i w:val="0"/>
              </w:rPr>
              <w:t>Skumulowana utrata wartości lub skumulowane ujemne zmiany wartości</w:t>
            </w:r>
            <w:r w:rsidR="00835753" w:rsidRPr="00835753">
              <w:rPr>
                <w:i w:val="0"/>
              </w:rPr>
              <w:t xml:space="preserve"> w</w:t>
            </w:r>
            <w:r w:rsidR="00835753">
              <w:rPr>
                <w:i w:val="0"/>
              </w:rPr>
              <w:t> </w:t>
            </w:r>
            <w:r w:rsidR="00835753" w:rsidRPr="00835753">
              <w:rPr>
                <w:i w:val="0"/>
              </w:rPr>
              <w:t>mom</w:t>
            </w:r>
            <w:r w:rsidRPr="00835753">
              <w:rPr>
                <w:i w:val="0"/>
              </w:rPr>
              <w:t xml:space="preserve">encie początkowego ujęcia zabezpieczenia uzyskanego przez przejęcie, jak opisano powyżej </w:t>
            </w:r>
          </w:p>
          <w:p w14:paraId="4CA0D5C4" w14:textId="4388080D" w:rsidR="004E71F4" w:rsidRPr="00835753" w:rsidRDefault="004E71F4" w:rsidP="00155C96">
            <w:pPr>
              <w:pStyle w:val="Institutionquisigne"/>
              <w:spacing w:before="0" w:after="120"/>
            </w:pPr>
            <w:r w:rsidRPr="00835753">
              <w:rPr>
                <w:i w:val="0"/>
              </w:rPr>
              <w:t>Instytucje uwzględniają</w:t>
            </w:r>
            <w:r w:rsidR="00835753" w:rsidRPr="00835753">
              <w:rPr>
                <w:i w:val="0"/>
              </w:rPr>
              <w:t xml:space="preserve"> w</w:t>
            </w:r>
            <w:r w:rsidR="00835753">
              <w:rPr>
                <w:i w:val="0"/>
              </w:rPr>
              <w:t> </w:t>
            </w:r>
            <w:r w:rsidR="00835753" w:rsidRPr="00835753">
              <w:rPr>
                <w:i w:val="0"/>
              </w:rPr>
              <w:t>sto</w:t>
            </w:r>
            <w:r w:rsidRPr="00835753">
              <w:rPr>
                <w:i w:val="0"/>
              </w:rPr>
              <w:t>sownych przypadkach skumulowane ujemne zmiany wynikające</w:t>
            </w:r>
            <w:r w:rsidR="00835753" w:rsidRPr="00835753">
              <w:rPr>
                <w:i w:val="0"/>
              </w:rPr>
              <w:t xml:space="preserve"> z</w:t>
            </w:r>
            <w:r w:rsidR="00835753">
              <w:rPr>
                <w:i w:val="0"/>
              </w:rPr>
              <w:t> </w:t>
            </w:r>
            <w:r w:rsidR="00835753" w:rsidRPr="00835753">
              <w:rPr>
                <w:i w:val="0"/>
              </w:rPr>
              <w:t>amo</w:t>
            </w:r>
            <w:r w:rsidRPr="00835753">
              <w:rPr>
                <w:i w:val="0"/>
              </w:rPr>
              <w:t>rtyzacji</w:t>
            </w:r>
            <w:r w:rsidR="00835753" w:rsidRPr="00835753">
              <w:rPr>
                <w:i w:val="0"/>
              </w:rPr>
              <w:t xml:space="preserve"> w</w:t>
            </w:r>
            <w:r w:rsidR="00835753">
              <w:rPr>
                <w:i w:val="0"/>
              </w:rPr>
              <w:t> </w:t>
            </w:r>
            <w:r w:rsidR="00835753" w:rsidRPr="00835753">
              <w:rPr>
                <w:i w:val="0"/>
              </w:rPr>
              <w:t>prz</w:t>
            </w:r>
            <w:r w:rsidRPr="00835753">
              <w:rPr>
                <w:i w:val="0"/>
              </w:rPr>
              <w:t>ypadku rzeczowych aktywów trwałych</w:t>
            </w:r>
            <w:r w:rsidR="00835753" w:rsidRPr="00835753">
              <w:rPr>
                <w:i w:val="0"/>
              </w:rPr>
              <w:t xml:space="preserve"> i</w:t>
            </w:r>
            <w:r w:rsidR="00835753">
              <w:rPr>
                <w:i w:val="0"/>
              </w:rPr>
              <w:t> </w:t>
            </w:r>
            <w:r w:rsidR="00835753" w:rsidRPr="00835753">
              <w:rPr>
                <w:i w:val="0"/>
              </w:rPr>
              <w:t>nie</w:t>
            </w:r>
            <w:r w:rsidRPr="00835753">
              <w:rPr>
                <w:i w:val="0"/>
              </w:rPr>
              <w:t>ruchomości inwestycyjnych.</w:t>
            </w:r>
          </w:p>
        </w:tc>
      </w:tr>
      <w:tr w:rsidR="004E71F4" w:rsidRPr="00835753" w14:paraId="4813D4EB" w14:textId="77777777" w:rsidTr="00155C96">
        <w:trPr>
          <w:trHeight w:val="841"/>
        </w:trPr>
        <w:tc>
          <w:tcPr>
            <w:tcW w:w="1384" w:type="dxa"/>
          </w:tcPr>
          <w:p w14:paraId="12FB6BCC" w14:textId="77777777" w:rsidR="004E71F4" w:rsidRPr="00835753" w:rsidRDefault="004E71F4" w:rsidP="00155C96">
            <w:pPr>
              <w:pStyle w:val="Applicationdirecte"/>
              <w:spacing w:before="0"/>
            </w:pPr>
            <w:proofErr w:type="gramStart"/>
            <w:r w:rsidRPr="00835753">
              <w:t>e</w:t>
            </w:r>
            <w:proofErr w:type="gramEnd"/>
            <w:r w:rsidRPr="00835753">
              <w:t>)</w:t>
            </w:r>
          </w:p>
        </w:tc>
        <w:tc>
          <w:tcPr>
            <w:tcW w:w="7655" w:type="dxa"/>
          </w:tcPr>
          <w:p w14:paraId="52632B41" w14:textId="31C956F8" w:rsidR="004E71F4" w:rsidRPr="00835753" w:rsidRDefault="004E71F4" w:rsidP="00155C96">
            <w:pPr>
              <w:pStyle w:val="Institutionquisigne"/>
              <w:spacing w:before="0" w:after="120"/>
              <w:rPr>
                <w:b/>
                <w:i w:val="0"/>
              </w:rPr>
            </w:pPr>
            <w:r w:rsidRPr="00835753">
              <w:rPr>
                <w:b/>
                <w:i w:val="0"/>
              </w:rPr>
              <w:t>Łączne zabezpieczenia uzyskane przez przejęcie – Niewykonanie zobowiązania ≤ 2 lata –</w:t>
            </w:r>
            <w:r w:rsidR="00835753" w:rsidRPr="00835753">
              <w:rPr>
                <w:b/>
                <w:i w:val="0"/>
              </w:rPr>
              <w:t xml:space="preserve"> w</w:t>
            </w:r>
            <w:r w:rsidR="00835753">
              <w:rPr>
                <w:b/>
                <w:i w:val="0"/>
              </w:rPr>
              <w:t> </w:t>
            </w:r>
            <w:r w:rsidR="00835753" w:rsidRPr="00835753">
              <w:rPr>
                <w:b/>
                <w:i w:val="0"/>
              </w:rPr>
              <w:t>tym</w:t>
            </w:r>
            <w:r w:rsidRPr="00835753">
              <w:rPr>
                <w:b/>
                <w:i w:val="0"/>
              </w:rPr>
              <w:t xml:space="preserve"> wartość</w:t>
            </w:r>
            <w:r w:rsidR="00835753" w:rsidRPr="00835753">
              <w:rPr>
                <w:b/>
                <w:i w:val="0"/>
              </w:rPr>
              <w:t xml:space="preserve"> w</w:t>
            </w:r>
            <w:r w:rsidR="00835753">
              <w:rPr>
                <w:b/>
                <w:i w:val="0"/>
              </w:rPr>
              <w:t> </w:t>
            </w:r>
            <w:r w:rsidR="00835753" w:rsidRPr="00835753">
              <w:rPr>
                <w:b/>
                <w:i w:val="0"/>
              </w:rPr>
              <w:t>mom</w:t>
            </w:r>
            <w:r w:rsidRPr="00835753">
              <w:rPr>
                <w:b/>
                <w:i w:val="0"/>
              </w:rPr>
              <w:t xml:space="preserve">encie początkowego ujęcia </w:t>
            </w:r>
          </w:p>
          <w:p w14:paraId="417F34A7" w14:textId="3B4D961E" w:rsidR="004E71F4" w:rsidRPr="00835753" w:rsidRDefault="004E71F4" w:rsidP="00155C96">
            <w:pPr>
              <w:pStyle w:val="Institutionquisigne"/>
              <w:spacing w:before="0" w:after="120"/>
              <w:rPr>
                <w:i w:val="0"/>
              </w:rPr>
            </w:pPr>
            <w:r w:rsidRPr="00835753">
              <w:rPr>
                <w:i w:val="0"/>
              </w:rPr>
              <w:t>Wartość</w:t>
            </w:r>
            <w:r w:rsidR="00835753" w:rsidRPr="00835753">
              <w:rPr>
                <w:i w:val="0"/>
              </w:rPr>
              <w:t xml:space="preserve"> w</w:t>
            </w:r>
            <w:r w:rsidR="00835753">
              <w:rPr>
                <w:i w:val="0"/>
              </w:rPr>
              <w:t> </w:t>
            </w:r>
            <w:r w:rsidR="00835753" w:rsidRPr="00835753">
              <w:rPr>
                <w:i w:val="0"/>
              </w:rPr>
              <w:t>mom</w:t>
            </w:r>
            <w:r w:rsidRPr="00835753">
              <w:rPr>
                <w:i w:val="0"/>
              </w:rPr>
              <w:t>encie początkowego ujęcia</w:t>
            </w:r>
            <w:r w:rsidR="00835753" w:rsidRPr="00835753">
              <w:rPr>
                <w:i w:val="0"/>
              </w:rPr>
              <w:t xml:space="preserve"> w</w:t>
            </w:r>
            <w:r w:rsidR="00835753">
              <w:rPr>
                <w:i w:val="0"/>
              </w:rPr>
              <w:t> </w:t>
            </w:r>
            <w:r w:rsidR="00835753" w:rsidRPr="00835753">
              <w:rPr>
                <w:i w:val="0"/>
              </w:rPr>
              <w:t>prz</w:t>
            </w:r>
            <w:r w:rsidRPr="00835753">
              <w:rPr>
                <w:i w:val="0"/>
              </w:rPr>
              <w:t>ypadku zabezpieczenia uzyskanego przez przejęcie</w:t>
            </w:r>
            <w:r w:rsidR="00835753" w:rsidRPr="00835753">
              <w:rPr>
                <w:i w:val="0"/>
              </w:rPr>
              <w:t xml:space="preserve"> i</w:t>
            </w:r>
            <w:r w:rsidR="00835753">
              <w:rPr>
                <w:i w:val="0"/>
              </w:rPr>
              <w:t> </w:t>
            </w:r>
            <w:r w:rsidR="00835753" w:rsidRPr="00835753">
              <w:rPr>
                <w:i w:val="0"/>
              </w:rPr>
              <w:t>uję</w:t>
            </w:r>
            <w:r w:rsidRPr="00835753">
              <w:rPr>
                <w:i w:val="0"/>
              </w:rPr>
              <w:t>tego</w:t>
            </w:r>
            <w:r w:rsidR="00835753" w:rsidRPr="00835753">
              <w:rPr>
                <w:i w:val="0"/>
              </w:rPr>
              <w:t xml:space="preserve"> w</w:t>
            </w:r>
            <w:r w:rsidR="00835753">
              <w:rPr>
                <w:i w:val="0"/>
              </w:rPr>
              <w:t> </w:t>
            </w:r>
            <w:r w:rsidR="00835753" w:rsidRPr="00835753">
              <w:rPr>
                <w:i w:val="0"/>
              </w:rPr>
              <w:t>bil</w:t>
            </w:r>
            <w:r w:rsidRPr="00835753">
              <w:rPr>
                <w:i w:val="0"/>
              </w:rPr>
              <w:t>ansie na</w:t>
            </w:r>
            <w:r w:rsidR="00835753" w:rsidRPr="00835753">
              <w:rPr>
                <w:i w:val="0"/>
              </w:rPr>
              <w:t> </w:t>
            </w:r>
            <w:r w:rsidRPr="00835753">
              <w:rPr>
                <w:i w:val="0"/>
              </w:rPr>
              <w:t>2 lata lub mniej na sprawozdawczy dzień odniesienia</w:t>
            </w:r>
          </w:p>
        </w:tc>
      </w:tr>
      <w:tr w:rsidR="004E71F4" w:rsidRPr="00835753" w14:paraId="196048A5" w14:textId="77777777" w:rsidTr="00155C96">
        <w:trPr>
          <w:trHeight w:val="841"/>
        </w:trPr>
        <w:tc>
          <w:tcPr>
            <w:tcW w:w="1384" w:type="dxa"/>
          </w:tcPr>
          <w:p w14:paraId="3BDC0494" w14:textId="77777777" w:rsidR="004E71F4" w:rsidRPr="00835753" w:rsidRDefault="004E71F4" w:rsidP="00155C96">
            <w:pPr>
              <w:pStyle w:val="Applicationdirecte"/>
              <w:spacing w:before="0"/>
            </w:pPr>
            <w:proofErr w:type="gramStart"/>
            <w:r w:rsidRPr="00835753">
              <w:t>f</w:t>
            </w:r>
            <w:proofErr w:type="gramEnd"/>
            <w:r w:rsidRPr="00835753">
              <w:t>)</w:t>
            </w:r>
          </w:p>
        </w:tc>
        <w:tc>
          <w:tcPr>
            <w:tcW w:w="7655" w:type="dxa"/>
          </w:tcPr>
          <w:p w14:paraId="02A86701" w14:textId="7BF5C2A4" w:rsidR="004E71F4" w:rsidRPr="00835753" w:rsidRDefault="004E71F4" w:rsidP="00155C96">
            <w:pPr>
              <w:pStyle w:val="Institutionquisigne"/>
              <w:spacing w:before="0" w:after="120"/>
              <w:rPr>
                <w:b/>
                <w:i w:val="0"/>
              </w:rPr>
            </w:pPr>
            <w:r w:rsidRPr="00835753">
              <w:rPr>
                <w:b/>
                <w:i w:val="0"/>
              </w:rPr>
              <w:t>Łączne zabezpieczenia uzyskane przez przejęcie – Niewykonanie zobowiązania ≤ 2 lata –</w:t>
            </w:r>
            <w:r w:rsidR="00835753" w:rsidRPr="00835753">
              <w:rPr>
                <w:b/>
                <w:i w:val="0"/>
              </w:rPr>
              <w:t xml:space="preserve"> w</w:t>
            </w:r>
            <w:r w:rsidR="00835753">
              <w:rPr>
                <w:b/>
                <w:i w:val="0"/>
              </w:rPr>
              <w:t> </w:t>
            </w:r>
            <w:r w:rsidR="00835753" w:rsidRPr="00835753">
              <w:rPr>
                <w:b/>
                <w:i w:val="0"/>
              </w:rPr>
              <w:t>tym</w:t>
            </w:r>
            <w:r w:rsidRPr="00835753">
              <w:rPr>
                <w:b/>
                <w:i w:val="0"/>
              </w:rPr>
              <w:t xml:space="preserve"> skumulowane ujemne zmiany</w:t>
            </w:r>
          </w:p>
          <w:p w14:paraId="11843E8C" w14:textId="529FA641" w:rsidR="004E71F4" w:rsidRPr="00835753" w:rsidRDefault="004E71F4" w:rsidP="00155C96">
            <w:pPr>
              <w:pStyle w:val="Institutionquisigne"/>
              <w:spacing w:before="0" w:after="120"/>
            </w:pPr>
            <w:r w:rsidRPr="00835753">
              <w:rPr>
                <w:i w:val="0"/>
              </w:rPr>
              <w:t>Skumulowane ujemne zmiany</w:t>
            </w:r>
            <w:r w:rsidR="00835753" w:rsidRPr="00835753">
              <w:rPr>
                <w:i w:val="0"/>
              </w:rPr>
              <w:t xml:space="preserve"> w</w:t>
            </w:r>
            <w:r w:rsidR="00835753">
              <w:rPr>
                <w:i w:val="0"/>
              </w:rPr>
              <w:t> </w:t>
            </w:r>
            <w:r w:rsidR="00835753" w:rsidRPr="00835753">
              <w:rPr>
                <w:i w:val="0"/>
              </w:rPr>
              <w:t>prz</w:t>
            </w:r>
            <w:r w:rsidRPr="00835753">
              <w:rPr>
                <w:i w:val="0"/>
              </w:rPr>
              <w:t>ypadku zabezpieczenia uzyskanego przez przejęcie</w:t>
            </w:r>
            <w:r w:rsidR="00835753" w:rsidRPr="00835753">
              <w:rPr>
                <w:i w:val="0"/>
              </w:rPr>
              <w:t xml:space="preserve"> i</w:t>
            </w:r>
            <w:r w:rsidR="00835753">
              <w:rPr>
                <w:i w:val="0"/>
              </w:rPr>
              <w:t> </w:t>
            </w:r>
            <w:r w:rsidR="00835753" w:rsidRPr="00835753">
              <w:rPr>
                <w:i w:val="0"/>
              </w:rPr>
              <w:t>uję</w:t>
            </w:r>
            <w:r w:rsidRPr="00835753">
              <w:rPr>
                <w:i w:val="0"/>
              </w:rPr>
              <w:t>tego</w:t>
            </w:r>
            <w:r w:rsidR="00835753" w:rsidRPr="00835753">
              <w:rPr>
                <w:i w:val="0"/>
              </w:rPr>
              <w:t xml:space="preserve"> w</w:t>
            </w:r>
            <w:r w:rsidR="00835753">
              <w:rPr>
                <w:i w:val="0"/>
              </w:rPr>
              <w:t> </w:t>
            </w:r>
            <w:r w:rsidR="00835753" w:rsidRPr="00835753">
              <w:rPr>
                <w:i w:val="0"/>
              </w:rPr>
              <w:t>bil</w:t>
            </w:r>
            <w:r w:rsidRPr="00835753">
              <w:rPr>
                <w:i w:val="0"/>
              </w:rPr>
              <w:t>ansie na</w:t>
            </w:r>
            <w:r w:rsidR="00835753" w:rsidRPr="00835753">
              <w:rPr>
                <w:i w:val="0"/>
              </w:rPr>
              <w:t> </w:t>
            </w:r>
            <w:r w:rsidRPr="00835753">
              <w:rPr>
                <w:i w:val="0"/>
              </w:rPr>
              <w:t>2 lata lub mniej na sprawozdawczy dzień odniesienia</w:t>
            </w:r>
          </w:p>
        </w:tc>
      </w:tr>
      <w:tr w:rsidR="004E71F4" w:rsidRPr="00835753" w14:paraId="4B75CE28" w14:textId="77777777" w:rsidTr="00155C96">
        <w:trPr>
          <w:trHeight w:val="841"/>
        </w:trPr>
        <w:tc>
          <w:tcPr>
            <w:tcW w:w="1384" w:type="dxa"/>
          </w:tcPr>
          <w:p w14:paraId="1DCFACDF" w14:textId="77777777" w:rsidR="004E71F4" w:rsidRPr="00835753" w:rsidRDefault="004E71F4" w:rsidP="00155C96">
            <w:pPr>
              <w:pStyle w:val="Applicationdirecte"/>
              <w:spacing w:before="0"/>
            </w:pPr>
            <w:proofErr w:type="gramStart"/>
            <w:r w:rsidRPr="00835753">
              <w:t>g</w:t>
            </w:r>
            <w:proofErr w:type="gramEnd"/>
            <w:r w:rsidRPr="00835753">
              <w:t>)</w:t>
            </w:r>
          </w:p>
        </w:tc>
        <w:tc>
          <w:tcPr>
            <w:tcW w:w="7655" w:type="dxa"/>
          </w:tcPr>
          <w:p w14:paraId="4327B310" w14:textId="77A58887" w:rsidR="004E71F4" w:rsidRPr="00835753" w:rsidRDefault="004E71F4" w:rsidP="00155C96">
            <w:pPr>
              <w:pStyle w:val="Institutionquisigne"/>
              <w:spacing w:before="0" w:after="120"/>
              <w:rPr>
                <w:b/>
                <w:i w:val="0"/>
              </w:rPr>
            </w:pPr>
            <w:r w:rsidRPr="00835753">
              <w:rPr>
                <w:b/>
                <w:i w:val="0"/>
              </w:rPr>
              <w:t>Łączne zabezpieczenia uzyskane przez przejęcie – Niewykonanie zobowiązania &gt; 2 lata ≤ 5 lat –</w:t>
            </w:r>
            <w:r w:rsidR="00835753" w:rsidRPr="00835753">
              <w:rPr>
                <w:b/>
                <w:i w:val="0"/>
              </w:rPr>
              <w:t xml:space="preserve"> w</w:t>
            </w:r>
            <w:r w:rsidR="00835753">
              <w:rPr>
                <w:b/>
                <w:i w:val="0"/>
              </w:rPr>
              <w:t> </w:t>
            </w:r>
            <w:r w:rsidR="00835753" w:rsidRPr="00835753">
              <w:rPr>
                <w:b/>
                <w:i w:val="0"/>
              </w:rPr>
              <w:t>tym</w:t>
            </w:r>
            <w:r w:rsidRPr="00835753">
              <w:rPr>
                <w:b/>
                <w:i w:val="0"/>
              </w:rPr>
              <w:t xml:space="preserve"> wartość</w:t>
            </w:r>
            <w:r w:rsidR="00835753" w:rsidRPr="00835753">
              <w:rPr>
                <w:b/>
                <w:i w:val="0"/>
              </w:rPr>
              <w:t xml:space="preserve"> w</w:t>
            </w:r>
            <w:r w:rsidR="00835753">
              <w:rPr>
                <w:b/>
                <w:i w:val="0"/>
              </w:rPr>
              <w:t> </w:t>
            </w:r>
            <w:r w:rsidR="00835753" w:rsidRPr="00835753">
              <w:rPr>
                <w:b/>
                <w:i w:val="0"/>
              </w:rPr>
              <w:t>mom</w:t>
            </w:r>
            <w:r w:rsidRPr="00835753">
              <w:rPr>
                <w:b/>
                <w:i w:val="0"/>
              </w:rPr>
              <w:t xml:space="preserve">encie początkowego ujęcia </w:t>
            </w:r>
          </w:p>
          <w:p w14:paraId="650D54A9" w14:textId="5C324556" w:rsidR="004E71F4" w:rsidRPr="00835753" w:rsidRDefault="004E71F4" w:rsidP="00155C96">
            <w:pPr>
              <w:pStyle w:val="Institutionquisigne"/>
              <w:spacing w:before="0" w:after="120"/>
              <w:rPr>
                <w:b/>
                <w:i w:val="0"/>
              </w:rPr>
            </w:pPr>
            <w:r w:rsidRPr="00835753">
              <w:rPr>
                <w:i w:val="0"/>
              </w:rPr>
              <w:t>Wartość</w:t>
            </w:r>
            <w:r w:rsidR="00835753" w:rsidRPr="00835753">
              <w:rPr>
                <w:i w:val="0"/>
              </w:rPr>
              <w:t xml:space="preserve"> w</w:t>
            </w:r>
            <w:r w:rsidR="00835753">
              <w:rPr>
                <w:i w:val="0"/>
              </w:rPr>
              <w:t> </w:t>
            </w:r>
            <w:r w:rsidR="00835753" w:rsidRPr="00835753">
              <w:rPr>
                <w:i w:val="0"/>
              </w:rPr>
              <w:t>mom</w:t>
            </w:r>
            <w:r w:rsidRPr="00835753">
              <w:rPr>
                <w:i w:val="0"/>
              </w:rPr>
              <w:t>encie początkowego ujęcia</w:t>
            </w:r>
            <w:r w:rsidR="00835753" w:rsidRPr="00835753">
              <w:rPr>
                <w:i w:val="0"/>
              </w:rPr>
              <w:t xml:space="preserve"> w</w:t>
            </w:r>
            <w:r w:rsidR="00835753">
              <w:rPr>
                <w:i w:val="0"/>
              </w:rPr>
              <w:t> </w:t>
            </w:r>
            <w:r w:rsidR="00835753" w:rsidRPr="00835753">
              <w:rPr>
                <w:i w:val="0"/>
              </w:rPr>
              <w:t>prz</w:t>
            </w:r>
            <w:r w:rsidRPr="00835753">
              <w:rPr>
                <w:i w:val="0"/>
              </w:rPr>
              <w:t>ypadku zabezpieczenia uzyskanego przez przejęcie</w:t>
            </w:r>
            <w:r w:rsidR="00835753" w:rsidRPr="00835753">
              <w:rPr>
                <w:i w:val="0"/>
              </w:rPr>
              <w:t xml:space="preserve"> i</w:t>
            </w:r>
            <w:r w:rsidR="00835753">
              <w:rPr>
                <w:i w:val="0"/>
              </w:rPr>
              <w:t> </w:t>
            </w:r>
            <w:r w:rsidR="00835753" w:rsidRPr="00835753">
              <w:rPr>
                <w:i w:val="0"/>
              </w:rPr>
              <w:t>uję</w:t>
            </w:r>
            <w:r w:rsidRPr="00835753">
              <w:rPr>
                <w:i w:val="0"/>
              </w:rPr>
              <w:t>tego</w:t>
            </w:r>
            <w:r w:rsidR="00835753" w:rsidRPr="00835753">
              <w:rPr>
                <w:i w:val="0"/>
              </w:rPr>
              <w:t xml:space="preserve"> w</w:t>
            </w:r>
            <w:r w:rsidR="00835753">
              <w:rPr>
                <w:i w:val="0"/>
              </w:rPr>
              <w:t> </w:t>
            </w:r>
            <w:r w:rsidR="00835753" w:rsidRPr="00835753">
              <w:rPr>
                <w:i w:val="0"/>
              </w:rPr>
              <w:t>bil</w:t>
            </w:r>
            <w:r w:rsidRPr="00835753">
              <w:rPr>
                <w:i w:val="0"/>
              </w:rPr>
              <w:t>ansie na ponad 2 lata</w:t>
            </w:r>
            <w:r w:rsidR="00835753" w:rsidRPr="00835753">
              <w:rPr>
                <w:i w:val="0"/>
              </w:rPr>
              <w:t xml:space="preserve"> i</w:t>
            </w:r>
            <w:r w:rsidR="00835753">
              <w:rPr>
                <w:i w:val="0"/>
              </w:rPr>
              <w:t> </w:t>
            </w:r>
            <w:r w:rsidR="00835753" w:rsidRPr="00835753">
              <w:rPr>
                <w:i w:val="0"/>
              </w:rPr>
              <w:t>mak</w:t>
            </w:r>
            <w:r w:rsidRPr="00835753">
              <w:rPr>
                <w:i w:val="0"/>
              </w:rPr>
              <w:t>symalnie 5 lat na sprawozdawczy dzień odniesienia</w:t>
            </w:r>
          </w:p>
        </w:tc>
      </w:tr>
      <w:tr w:rsidR="004E71F4" w:rsidRPr="00835753" w14:paraId="79BDEC9D" w14:textId="77777777" w:rsidTr="00155C96">
        <w:trPr>
          <w:trHeight w:val="841"/>
        </w:trPr>
        <w:tc>
          <w:tcPr>
            <w:tcW w:w="1384" w:type="dxa"/>
          </w:tcPr>
          <w:p w14:paraId="0172AA8E" w14:textId="77777777" w:rsidR="004E71F4" w:rsidRPr="00835753" w:rsidRDefault="004E71F4" w:rsidP="00155C96">
            <w:pPr>
              <w:pStyle w:val="Applicationdirecte"/>
              <w:spacing w:before="0"/>
            </w:pPr>
            <w:proofErr w:type="gramStart"/>
            <w:r w:rsidRPr="00835753">
              <w:lastRenderedPageBreak/>
              <w:t>h</w:t>
            </w:r>
            <w:proofErr w:type="gramEnd"/>
            <w:r w:rsidRPr="00835753">
              <w:t>)</w:t>
            </w:r>
          </w:p>
        </w:tc>
        <w:tc>
          <w:tcPr>
            <w:tcW w:w="7655" w:type="dxa"/>
          </w:tcPr>
          <w:p w14:paraId="2705AAC8" w14:textId="063F1E94" w:rsidR="004E71F4" w:rsidRPr="00835753" w:rsidRDefault="004E71F4" w:rsidP="00155C96">
            <w:pPr>
              <w:pStyle w:val="Institutionquisigne"/>
              <w:spacing w:before="0" w:after="120"/>
              <w:rPr>
                <w:b/>
                <w:i w:val="0"/>
              </w:rPr>
            </w:pPr>
            <w:r w:rsidRPr="00835753">
              <w:rPr>
                <w:b/>
                <w:i w:val="0"/>
              </w:rPr>
              <w:t>Łączne zabezpieczenia uzyskane przez przejęcie – Niewykonanie zobowiązania &gt; 2 lata ≤ 5 lat –</w:t>
            </w:r>
            <w:r w:rsidR="00835753" w:rsidRPr="00835753">
              <w:rPr>
                <w:b/>
                <w:i w:val="0"/>
              </w:rPr>
              <w:t xml:space="preserve"> w</w:t>
            </w:r>
            <w:r w:rsidR="00835753">
              <w:rPr>
                <w:b/>
                <w:i w:val="0"/>
              </w:rPr>
              <w:t> </w:t>
            </w:r>
            <w:r w:rsidR="00835753" w:rsidRPr="00835753">
              <w:rPr>
                <w:b/>
                <w:i w:val="0"/>
              </w:rPr>
              <w:t>tym</w:t>
            </w:r>
            <w:r w:rsidRPr="00835753">
              <w:rPr>
                <w:b/>
                <w:i w:val="0"/>
              </w:rPr>
              <w:t xml:space="preserve"> skumulowane ujemne zmiany</w:t>
            </w:r>
          </w:p>
          <w:p w14:paraId="1F75800B" w14:textId="29A2EDA5" w:rsidR="004E71F4" w:rsidRPr="00835753" w:rsidRDefault="004E71F4" w:rsidP="00155C96">
            <w:pPr>
              <w:pStyle w:val="Institutionquisigne"/>
              <w:spacing w:before="0" w:after="120"/>
            </w:pPr>
            <w:r w:rsidRPr="00835753">
              <w:rPr>
                <w:i w:val="0"/>
              </w:rPr>
              <w:t>Skumulowane ujemne zmiany</w:t>
            </w:r>
            <w:r w:rsidR="00835753" w:rsidRPr="00835753">
              <w:rPr>
                <w:i w:val="0"/>
              </w:rPr>
              <w:t xml:space="preserve"> w</w:t>
            </w:r>
            <w:r w:rsidR="00835753">
              <w:rPr>
                <w:i w:val="0"/>
              </w:rPr>
              <w:t> </w:t>
            </w:r>
            <w:r w:rsidR="00835753" w:rsidRPr="00835753">
              <w:rPr>
                <w:i w:val="0"/>
              </w:rPr>
              <w:t>prz</w:t>
            </w:r>
            <w:r w:rsidRPr="00835753">
              <w:rPr>
                <w:i w:val="0"/>
              </w:rPr>
              <w:t>ypadku zabezpieczenia uzyskanego przez przejęcie</w:t>
            </w:r>
            <w:r w:rsidR="00835753" w:rsidRPr="00835753">
              <w:rPr>
                <w:i w:val="0"/>
              </w:rPr>
              <w:t xml:space="preserve"> i</w:t>
            </w:r>
            <w:r w:rsidR="00835753">
              <w:rPr>
                <w:i w:val="0"/>
              </w:rPr>
              <w:t> </w:t>
            </w:r>
            <w:r w:rsidR="00835753" w:rsidRPr="00835753">
              <w:rPr>
                <w:i w:val="0"/>
              </w:rPr>
              <w:t>uję</w:t>
            </w:r>
            <w:r w:rsidRPr="00835753">
              <w:rPr>
                <w:i w:val="0"/>
              </w:rPr>
              <w:t>tego</w:t>
            </w:r>
            <w:r w:rsidR="00835753" w:rsidRPr="00835753">
              <w:rPr>
                <w:i w:val="0"/>
              </w:rPr>
              <w:t xml:space="preserve"> w</w:t>
            </w:r>
            <w:r w:rsidR="00835753">
              <w:rPr>
                <w:i w:val="0"/>
              </w:rPr>
              <w:t> </w:t>
            </w:r>
            <w:r w:rsidR="00835753" w:rsidRPr="00835753">
              <w:rPr>
                <w:i w:val="0"/>
              </w:rPr>
              <w:t>bil</w:t>
            </w:r>
            <w:r w:rsidRPr="00835753">
              <w:rPr>
                <w:i w:val="0"/>
              </w:rPr>
              <w:t>ansie na ponad 2 lata</w:t>
            </w:r>
            <w:r w:rsidR="00835753" w:rsidRPr="00835753">
              <w:rPr>
                <w:i w:val="0"/>
              </w:rPr>
              <w:t xml:space="preserve"> i</w:t>
            </w:r>
            <w:r w:rsidR="00835753">
              <w:rPr>
                <w:i w:val="0"/>
              </w:rPr>
              <w:t> </w:t>
            </w:r>
            <w:r w:rsidR="00835753" w:rsidRPr="00835753">
              <w:rPr>
                <w:i w:val="0"/>
              </w:rPr>
              <w:t>mak</w:t>
            </w:r>
            <w:r w:rsidRPr="00835753">
              <w:rPr>
                <w:i w:val="0"/>
              </w:rPr>
              <w:t>symalnie 5 lat na sprawozdawczy dzień odniesienia</w:t>
            </w:r>
          </w:p>
        </w:tc>
      </w:tr>
      <w:tr w:rsidR="004E71F4" w:rsidRPr="00835753" w14:paraId="7F1CB134" w14:textId="77777777" w:rsidTr="00155C96">
        <w:trPr>
          <w:trHeight w:val="841"/>
        </w:trPr>
        <w:tc>
          <w:tcPr>
            <w:tcW w:w="1384" w:type="dxa"/>
          </w:tcPr>
          <w:p w14:paraId="062B3797" w14:textId="77777777" w:rsidR="004E71F4" w:rsidRPr="00835753" w:rsidRDefault="004E71F4" w:rsidP="00155C96">
            <w:pPr>
              <w:pStyle w:val="Applicationdirecte"/>
              <w:spacing w:before="0"/>
            </w:pPr>
            <w:proofErr w:type="gramStart"/>
            <w:r w:rsidRPr="00835753">
              <w:t>i</w:t>
            </w:r>
            <w:proofErr w:type="gramEnd"/>
            <w:r w:rsidRPr="00835753">
              <w:t>)</w:t>
            </w:r>
          </w:p>
        </w:tc>
        <w:tc>
          <w:tcPr>
            <w:tcW w:w="7655" w:type="dxa"/>
          </w:tcPr>
          <w:p w14:paraId="430050FB" w14:textId="62452B2A" w:rsidR="004E71F4" w:rsidRPr="00835753" w:rsidRDefault="004E71F4" w:rsidP="00155C96">
            <w:pPr>
              <w:pStyle w:val="Institutionquisigne"/>
              <w:spacing w:before="0" w:after="120"/>
              <w:rPr>
                <w:b/>
                <w:i w:val="0"/>
              </w:rPr>
            </w:pPr>
            <w:r w:rsidRPr="00835753">
              <w:rPr>
                <w:b/>
                <w:i w:val="0"/>
              </w:rPr>
              <w:t>Łączne zabezpieczenia uzyskane przez przejęcie – Niewykonanie zobowiązania &gt; 5 lat –</w:t>
            </w:r>
            <w:r w:rsidR="00835753" w:rsidRPr="00835753">
              <w:rPr>
                <w:b/>
                <w:i w:val="0"/>
              </w:rPr>
              <w:t xml:space="preserve"> w</w:t>
            </w:r>
            <w:r w:rsidR="00835753">
              <w:rPr>
                <w:b/>
                <w:i w:val="0"/>
              </w:rPr>
              <w:t> </w:t>
            </w:r>
            <w:r w:rsidR="00835753" w:rsidRPr="00835753">
              <w:rPr>
                <w:b/>
                <w:i w:val="0"/>
              </w:rPr>
              <w:t>tym</w:t>
            </w:r>
            <w:r w:rsidRPr="00835753">
              <w:rPr>
                <w:b/>
                <w:i w:val="0"/>
              </w:rPr>
              <w:t xml:space="preserve"> wartość</w:t>
            </w:r>
            <w:r w:rsidR="00835753" w:rsidRPr="00835753">
              <w:rPr>
                <w:b/>
                <w:i w:val="0"/>
              </w:rPr>
              <w:t xml:space="preserve"> w</w:t>
            </w:r>
            <w:r w:rsidR="00835753">
              <w:rPr>
                <w:b/>
                <w:i w:val="0"/>
              </w:rPr>
              <w:t> </w:t>
            </w:r>
            <w:r w:rsidR="00835753" w:rsidRPr="00835753">
              <w:rPr>
                <w:b/>
                <w:i w:val="0"/>
              </w:rPr>
              <w:t>mom</w:t>
            </w:r>
            <w:r w:rsidRPr="00835753">
              <w:rPr>
                <w:b/>
                <w:i w:val="0"/>
              </w:rPr>
              <w:t>encie początkowego ujęcia</w:t>
            </w:r>
          </w:p>
          <w:p w14:paraId="7E2F7EB4" w14:textId="471FC156" w:rsidR="004E71F4" w:rsidRPr="00835753" w:rsidRDefault="004E71F4" w:rsidP="00155C96">
            <w:pPr>
              <w:pStyle w:val="Institutionquisigne"/>
              <w:spacing w:before="0" w:after="120"/>
              <w:rPr>
                <w:b/>
                <w:i w:val="0"/>
              </w:rPr>
            </w:pPr>
            <w:r w:rsidRPr="00835753">
              <w:rPr>
                <w:i w:val="0"/>
              </w:rPr>
              <w:t>Wartość</w:t>
            </w:r>
            <w:r w:rsidR="00835753" w:rsidRPr="00835753">
              <w:rPr>
                <w:i w:val="0"/>
              </w:rPr>
              <w:t xml:space="preserve"> w</w:t>
            </w:r>
            <w:r w:rsidR="00835753">
              <w:rPr>
                <w:i w:val="0"/>
              </w:rPr>
              <w:t> </w:t>
            </w:r>
            <w:r w:rsidR="00835753" w:rsidRPr="00835753">
              <w:rPr>
                <w:i w:val="0"/>
              </w:rPr>
              <w:t>mom</w:t>
            </w:r>
            <w:r w:rsidRPr="00835753">
              <w:rPr>
                <w:i w:val="0"/>
              </w:rPr>
              <w:t>encie początkowego ujęcia</w:t>
            </w:r>
            <w:r w:rsidR="00835753" w:rsidRPr="00835753">
              <w:rPr>
                <w:i w:val="0"/>
              </w:rPr>
              <w:t xml:space="preserve"> w</w:t>
            </w:r>
            <w:r w:rsidR="00835753">
              <w:rPr>
                <w:i w:val="0"/>
              </w:rPr>
              <w:t> </w:t>
            </w:r>
            <w:r w:rsidR="00835753" w:rsidRPr="00835753">
              <w:rPr>
                <w:i w:val="0"/>
              </w:rPr>
              <w:t>prz</w:t>
            </w:r>
            <w:r w:rsidRPr="00835753">
              <w:rPr>
                <w:i w:val="0"/>
              </w:rPr>
              <w:t>ypadku zabezpieczenia uzyskanego przez przejęcie</w:t>
            </w:r>
            <w:r w:rsidR="00835753" w:rsidRPr="00835753">
              <w:rPr>
                <w:i w:val="0"/>
              </w:rPr>
              <w:t xml:space="preserve"> i</w:t>
            </w:r>
            <w:r w:rsidR="00835753">
              <w:rPr>
                <w:i w:val="0"/>
              </w:rPr>
              <w:t> </w:t>
            </w:r>
            <w:r w:rsidR="00835753" w:rsidRPr="00835753">
              <w:rPr>
                <w:i w:val="0"/>
              </w:rPr>
              <w:t>uję</w:t>
            </w:r>
            <w:r w:rsidRPr="00835753">
              <w:rPr>
                <w:i w:val="0"/>
              </w:rPr>
              <w:t>tego</w:t>
            </w:r>
            <w:r w:rsidR="00835753" w:rsidRPr="00835753">
              <w:rPr>
                <w:i w:val="0"/>
              </w:rPr>
              <w:t xml:space="preserve"> w</w:t>
            </w:r>
            <w:r w:rsidR="00835753">
              <w:rPr>
                <w:i w:val="0"/>
              </w:rPr>
              <w:t> </w:t>
            </w:r>
            <w:r w:rsidR="00835753" w:rsidRPr="00835753">
              <w:rPr>
                <w:i w:val="0"/>
              </w:rPr>
              <w:t>bil</w:t>
            </w:r>
            <w:r w:rsidRPr="00835753">
              <w:rPr>
                <w:i w:val="0"/>
              </w:rPr>
              <w:t>ansie na ponad 5 lat na sprawozdawczy dzień odniesienia</w:t>
            </w:r>
          </w:p>
        </w:tc>
      </w:tr>
      <w:tr w:rsidR="004E71F4" w:rsidRPr="00835753" w14:paraId="6FD41509" w14:textId="77777777" w:rsidTr="00155C96">
        <w:trPr>
          <w:trHeight w:val="841"/>
        </w:trPr>
        <w:tc>
          <w:tcPr>
            <w:tcW w:w="1384" w:type="dxa"/>
          </w:tcPr>
          <w:p w14:paraId="0AC714CD" w14:textId="77777777" w:rsidR="004E71F4" w:rsidRPr="00835753" w:rsidRDefault="004E71F4" w:rsidP="00155C96">
            <w:pPr>
              <w:pStyle w:val="Applicationdirecte"/>
              <w:spacing w:before="0"/>
            </w:pPr>
            <w:proofErr w:type="gramStart"/>
            <w:r w:rsidRPr="00835753">
              <w:t>j</w:t>
            </w:r>
            <w:proofErr w:type="gramEnd"/>
            <w:r w:rsidRPr="00835753">
              <w:t>)</w:t>
            </w:r>
          </w:p>
        </w:tc>
        <w:tc>
          <w:tcPr>
            <w:tcW w:w="7655" w:type="dxa"/>
          </w:tcPr>
          <w:p w14:paraId="1275A829" w14:textId="29870428" w:rsidR="004E71F4" w:rsidRPr="00835753" w:rsidRDefault="004E71F4" w:rsidP="00155C96">
            <w:pPr>
              <w:pStyle w:val="Institutionquisigne"/>
              <w:spacing w:before="0" w:after="120"/>
              <w:rPr>
                <w:b/>
                <w:i w:val="0"/>
              </w:rPr>
            </w:pPr>
            <w:r w:rsidRPr="00835753">
              <w:rPr>
                <w:b/>
                <w:i w:val="0"/>
              </w:rPr>
              <w:t>Łączne zabezpieczenia uzyskane przez przejęcie – Niewykonanie zobowiązania &gt; 5 lat –</w:t>
            </w:r>
            <w:r w:rsidR="00835753" w:rsidRPr="00835753">
              <w:rPr>
                <w:b/>
                <w:i w:val="0"/>
              </w:rPr>
              <w:t xml:space="preserve"> w</w:t>
            </w:r>
            <w:r w:rsidR="00835753">
              <w:rPr>
                <w:b/>
                <w:i w:val="0"/>
              </w:rPr>
              <w:t> </w:t>
            </w:r>
            <w:r w:rsidR="00835753" w:rsidRPr="00835753">
              <w:rPr>
                <w:b/>
                <w:i w:val="0"/>
              </w:rPr>
              <w:t>tym</w:t>
            </w:r>
            <w:r w:rsidRPr="00835753">
              <w:rPr>
                <w:b/>
                <w:i w:val="0"/>
              </w:rPr>
              <w:t xml:space="preserve"> skumulowane ujemne zmiany</w:t>
            </w:r>
          </w:p>
          <w:p w14:paraId="46C0DC66" w14:textId="3026D377" w:rsidR="004E71F4" w:rsidRPr="00835753" w:rsidRDefault="004E71F4" w:rsidP="00155C96">
            <w:pPr>
              <w:pStyle w:val="Institutionquisigne"/>
              <w:spacing w:before="0" w:after="120"/>
            </w:pPr>
            <w:r w:rsidRPr="00835753">
              <w:rPr>
                <w:i w:val="0"/>
              </w:rPr>
              <w:t>Skumulowane ujemne zmiany</w:t>
            </w:r>
            <w:r w:rsidR="00835753" w:rsidRPr="00835753">
              <w:rPr>
                <w:i w:val="0"/>
              </w:rPr>
              <w:t xml:space="preserve"> w</w:t>
            </w:r>
            <w:r w:rsidR="00835753">
              <w:rPr>
                <w:i w:val="0"/>
              </w:rPr>
              <w:t> </w:t>
            </w:r>
            <w:r w:rsidR="00835753" w:rsidRPr="00835753">
              <w:rPr>
                <w:i w:val="0"/>
              </w:rPr>
              <w:t>prz</w:t>
            </w:r>
            <w:r w:rsidRPr="00835753">
              <w:rPr>
                <w:i w:val="0"/>
              </w:rPr>
              <w:t>ypadku zabezpieczenia uzyskanego przez przejęcie</w:t>
            </w:r>
            <w:r w:rsidR="00835753" w:rsidRPr="00835753">
              <w:rPr>
                <w:i w:val="0"/>
              </w:rPr>
              <w:t xml:space="preserve"> i</w:t>
            </w:r>
            <w:r w:rsidR="00835753">
              <w:rPr>
                <w:i w:val="0"/>
              </w:rPr>
              <w:t> </w:t>
            </w:r>
            <w:r w:rsidR="00835753" w:rsidRPr="00835753">
              <w:rPr>
                <w:i w:val="0"/>
              </w:rPr>
              <w:t>uję</w:t>
            </w:r>
            <w:r w:rsidRPr="00835753">
              <w:rPr>
                <w:i w:val="0"/>
              </w:rPr>
              <w:t>tego</w:t>
            </w:r>
            <w:r w:rsidR="00835753" w:rsidRPr="00835753">
              <w:rPr>
                <w:i w:val="0"/>
              </w:rPr>
              <w:t xml:space="preserve"> w</w:t>
            </w:r>
            <w:r w:rsidR="00835753">
              <w:rPr>
                <w:i w:val="0"/>
              </w:rPr>
              <w:t> </w:t>
            </w:r>
            <w:r w:rsidR="00835753" w:rsidRPr="00835753">
              <w:rPr>
                <w:i w:val="0"/>
              </w:rPr>
              <w:t>bil</w:t>
            </w:r>
            <w:r w:rsidRPr="00835753">
              <w:rPr>
                <w:i w:val="0"/>
              </w:rPr>
              <w:t>ansie na ponad 5 lat na sprawozdawczy dzień odniesienia</w:t>
            </w:r>
          </w:p>
        </w:tc>
      </w:tr>
      <w:tr w:rsidR="004E71F4" w:rsidRPr="00835753" w14:paraId="251796EA" w14:textId="77777777" w:rsidTr="00155C96">
        <w:trPr>
          <w:trHeight w:val="841"/>
        </w:trPr>
        <w:tc>
          <w:tcPr>
            <w:tcW w:w="1384" w:type="dxa"/>
          </w:tcPr>
          <w:p w14:paraId="3637EE42" w14:textId="77777777" w:rsidR="004E71F4" w:rsidRPr="00835753" w:rsidRDefault="004E71F4" w:rsidP="00155C96">
            <w:pPr>
              <w:pStyle w:val="Applicationdirecte"/>
              <w:spacing w:before="0"/>
            </w:pPr>
            <w:proofErr w:type="gramStart"/>
            <w:r w:rsidRPr="00835753">
              <w:t>k</w:t>
            </w:r>
            <w:proofErr w:type="gramEnd"/>
            <w:r w:rsidRPr="00835753">
              <w:t>)</w:t>
            </w:r>
          </w:p>
        </w:tc>
        <w:tc>
          <w:tcPr>
            <w:tcW w:w="7655" w:type="dxa"/>
          </w:tcPr>
          <w:p w14:paraId="1ABC3AB6" w14:textId="4D88F3B7" w:rsidR="004E71F4" w:rsidRPr="00835753" w:rsidRDefault="004E71F4" w:rsidP="00155C96">
            <w:pPr>
              <w:pStyle w:val="Institutionquisigne"/>
              <w:spacing w:before="0" w:after="120"/>
              <w:rPr>
                <w:b/>
                <w:i w:val="0"/>
              </w:rPr>
            </w:pPr>
            <w:r w:rsidRPr="00835753">
              <w:rPr>
                <w:b/>
                <w:i w:val="0"/>
              </w:rPr>
              <w:t>Łączne zabezpieczenia uzyskane przez przejęcie –</w:t>
            </w:r>
            <w:r w:rsidR="00835753" w:rsidRPr="00835753">
              <w:rPr>
                <w:b/>
                <w:i w:val="0"/>
              </w:rPr>
              <w:t xml:space="preserve"> w</w:t>
            </w:r>
            <w:r w:rsidR="00835753">
              <w:rPr>
                <w:b/>
                <w:i w:val="0"/>
              </w:rPr>
              <w:t> </w:t>
            </w:r>
            <w:r w:rsidR="00835753" w:rsidRPr="00835753">
              <w:rPr>
                <w:b/>
                <w:i w:val="0"/>
              </w:rPr>
              <w:t>tym</w:t>
            </w:r>
            <w:r w:rsidRPr="00835753">
              <w:rPr>
                <w:b/>
                <w:i w:val="0"/>
              </w:rPr>
              <w:t xml:space="preserve"> aktywa trwałe przeznaczone do sprzedaży –</w:t>
            </w:r>
            <w:r w:rsidR="00835753" w:rsidRPr="00835753">
              <w:rPr>
                <w:b/>
                <w:i w:val="0"/>
              </w:rPr>
              <w:t xml:space="preserve"> w</w:t>
            </w:r>
            <w:r w:rsidR="00835753">
              <w:rPr>
                <w:b/>
                <w:i w:val="0"/>
              </w:rPr>
              <w:t> </w:t>
            </w:r>
            <w:r w:rsidR="00835753" w:rsidRPr="00835753">
              <w:rPr>
                <w:b/>
                <w:i w:val="0"/>
              </w:rPr>
              <w:t>tym</w:t>
            </w:r>
            <w:r w:rsidRPr="00835753">
              <w:rPr>
                <w:b/>
                <w:i w:val="0"/>
              </w:rPr>
              <w:t xml:space="preserve"> wartość</w:t>
            </w:r>
            <w:r w:rsidR="00835753" w:rsidRPr="00835753">
              <w:rPr>
                <w:b/>
                <w:i w:val="0"/>
              </w:rPr>
              <w:t xml:space="preserve"> w</w:t>
            </w:r>
            <w:r w:rsidR="00835753">
              <w:rPr>
                <w:b/>
                <w:i w:val="0"/>
              </w:rPr>
              <w:t> </w:t>
            </w:r>
            <w:r w:rsidR="00835753" w:rsidRPr="00835753">
              <w:rPr>
                <w:b/>
                <w:i w:val="0"/>
              </w:rPr>
              <w:t>mom</w:t>
            </w:r>
            <w:r w:rsidRPr="00835753">
              <w:rPr>
                <w:b/>
                <w:i w:val="0"/>
              </w:rPr>
              <w:t>encie początkowego ujęcia</w:t>
            </w:r>
          </w:p>
          <w:p w14:paraId="42251EB3" w14:textId="77777777" w:rsidR="004E71F4" w:rsidRPr="00835753" w:rsidRDefault="004E71F4" w:rsidP="00155C96">
            <w:pPr>
              <w:pStyle w:val="Institutionquisigne"/>
              <w:spacing w:before="0" w:after="120"/>
              <w:rPr>
                <w:b/>
                <w:i w:val="0"/>
              </w:rPr>
            </w:pPr>
            <w:r w:rsidRPr="00835753">
              <w:rPr>
                <w:i w:val="0"/>
              </w:rPr>
              <w:t>Ujawnia się początkową wartość zabezpieczenia uzyskanego przez przejęcie, które sklasyfikowano jako aktywa trwałe przeznaczone do sprzedaży. Informacji tej nie podaje się, jeśli klasyfikacja ta nie jest istotna zgodnie ze standardami rachunkowości mającymi zastosowanie do danej instytucji.</w:t>
            </w:r>
          </w:p>
        </w:tc>
      </w:tr>
      <w:tr w:rsidR="004E71F4" w:rsidRPr="00835753" w14:paraId="6557F5DD" w14:textId="77777777" w:rsidTr="00155C96">
        <w:trPr>
          <w:trHeight w:val="841"/>
        </w:trPr>
        <w:tc>
          <w:tcPr>
            <w:tcW w:w="1384" w:type="dxa"/>
          </w:tcPr>
          <w:p w14:paraId="15055957" w14:textId="77777777" w:rsidR="004E71F4" w:rsidRPr="00835753" w:rsidRDefault="004E71F4" w:rsidP="00155C96">
            <w:pPr>
              <w:pStyle w:val="Applicationdirecte"/>
              <w:spacing w:before="0"/>
            </w:pPr>
            <w:proofErr w:type="gramStart"/>
            <w:r w:rsidRPr="00835753">
              <w:t>l</w:t>
            </w:r>
            <w:proofErr w:type="gramEnd"/>
            <w:r w:rsidRPr="00835753">
              <w:t>)</w:t>
            </w:r>
          </w:p>
        </w:tc>
        <w:tc>
          <w:tcPr>
            <w:tcW w:w="7655" w:type="dxa"/>
          </w:tcPr>
          <w:p w14:paraId="09411947" w14:textId="376BD5B7" w:rsidR="004E71F4" w:rsidRPr="00835753" w:rsidRDefault="004E71F4" w:rsidP="00155C96">
            <w:pPr>
              <w:pStyle w:val="Institutionquisigne"/>
              <w:spacing w:before="0" w:after="120"/>
              <w:rPr>
                <w:b/>
                <w:i w:val="0"/>
              </w:rPr>
            </w:pPr>
            <w:r w:rsidRPr="00835753">
              <w:rPr>
                <w:b/>
                <w:i w:val="0"/>
              </w:rPr>
              <w:t>Łączne zabezpieczenia uzyskane przez przejęcie –</w:t>
            </w:r>
            <w:r w:rsidR="00835753" w:rsidRPr="00835753">
              <w:rPr>
                <w:b/>
                <w:i w:val="0"/>
              </w:rPr>
              <w:t xml:space="preserve"> w</w:t>
            </w:r>
            <w:r w:rsidR="00835753">
              <w:rPr>
                <w:b/>
                <w:i w:val="0"/>
              </w:rPr>
              <w:t> </w:t>
            </w:r>
            <w:r w:rsidR="00835753" w:rsidRPr="00835753">
              <w:rPr>
                <w:b/>
                <w:i w:val="0"/>
              </w:rPr>
              <w:t>tym</w:t>
            </w:r>
            <w:r w:rsidRPr="00835753">
              <w:rPr>
                <w:b/>
                <w:i w:val="0"/>
              </w:rPr>
              <w:t xml:space="preserve"> aktywa trwałe przeznaczone do sprzedaży –</w:t>
            </w:r>
            <w:r w:rsidR="00835753" w:rsidRPr="00835753">
              <w:rPr>
                <w:b/>
                <w:i w:val="0"/>
              </w:rPr>
              <w:t xml:space="preserve"> w</w:t>
            </w:r>
            <w:r w:rsidR="00835753">
              <w:rPr>
                <w:b/>
                <w:i w:val="0"/>
              </w:rPr>
              <w:t> </w:t>
            </w:r>
            <w:r w:rsidR="00835753" w:rsidRPr="00835753">
              <w:rPr>
                <w:b/>
                <w:i w:val="0"/>
              </w:rPr>
              <w:t>tym</w:t>
            </w:r>
            <w:r w:rsidRPr="00835753">
              <w:rPr>
                <w:b/>
                <w:i w:val="0"/>
              </w:rPr>
              <w:t xml:space="preserve"> skumulowane ujemne zmiany</w:t>
            </w:r>
          </w:p>
          <w:p w14:paraId="217374E3" w14:textId="77777777" w:rsidR="004E71F4" w:rsidRPr="00835753" w:rsidRDefault="004E71F4" w:rsidP="00155C96">
            <w:pPr>
              <w:pStyle w:val="Personnequisigne"/>
              <w:spacing w:after="120"/>
              <w:jc w:val="both"/>
            </w:pPr>
            <w:r w:rsidRPr="00835753">
              <w:rPr>
                <w:i w:val="0"/>
              </w:rPr>
              <w:t>Ujawnia się skumulowane ujemne zmiany zabezpieczenia uzyskanego przez przejęcie, które sklasyfikowano jako aktywa trwałe przeznaczone do sprzedaży. Informacji tej nie podaje się, jeśli klasyfikacja ta nie jest istotna zgodnie ze standardami rachunkowości mającymi zastosowanie do danej instytucji.</w:t>
            </w:r>
          </w:p>
        </w:tc>
      </w:tr>
    </w:tbl>
    <w:p w14:paraId="7A801179" w14:textId="77777777" w:rsidR="004E71F4" w:rsidRPr="00835753"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835753" w:rsidRDefault="001C2E4C">
      <w:pPr>
        <w:rPr>
          <w:rFonts w:ascii="Times New Roman" w:hAnsi="Times New Roman" w:cs="Times New Roman"/>
          <w:b/>
          <w:sz w:val="24"/>
        </w:rPr>
        <w:sectPr w:rsidR="0081579E" w:rsidRPr="00835753" w:rsidSect="00155C96">
          <w:pgSz w:w="11900" w:h="16840"/>
          <w:pgMar w:top="2268" w:right="1418" w:bottom="1134" w:left="1701" w:header="709" w:footer="709" w:gutter="0"/>
          <w:pgNumType w:start="1" w:chapStyle="1"/>
          <w:cols w:space="708"/>
          <w:docGrid w:linePitch="299"/>
        </w:sectPr>
      </w:pPr>
      <w:r w:rsidRPr="00835753">
        <w:br w:type="page"/>
      </w:r>
    </w:p>
    <w:p w14:paraId="5DD256D6" w14:textId="77777777" w:rsidR="001C2E4C" w:rsidRPr="00835753" w:rsidRDefault="001C2E4C" w:rsidP="001C2E4C">
      <w:pPr>
        <w:pStyle w:val="Annexetitre"/>
        <w:spacing w:before="0"/>
      </w:pPr>
      <w:r w:rsidRPr="00835753">
        <w:lastRenderedPageBreak/>
        <w:t>ZAŁĄCZNIK XVIII – Ujawnianie informacji na temat stosowania technik ograniczania ryzyka kredytowego</w:t>
      </w:r>
    </w:p>
    <w:p w14:paraId="695A387D" w14:textId="77777777" w:rsidR="001C2E4C" w:rsidRPr="00835753" w:rsidRDefault="001C2E4C" w:rsidP="001C2E4C">
      <w:pPr>
        <w:spacing w:after="120"/>
        <w:rPr>
          <w:rFonts w:ascii="Times New Roman" w:hAnsi="Times New Roman" w:cs="Times New Roman"/>
          <w:sz w:val="24"/>
        </w:rPr>
      </w:pPr>
    </w:p>
    <w:p w14:paraId="45361111" w14:textId="6BD56861" w:rsidR="001C2E4C" w:rsidRPr="00835753" w:rsidRDefault="00D95507" w:rsidP="001C2E4C">
      <w:pPr>
        <w:spacing w:after="120"/>
        <w:rPr>
          <w:rFonts w:ascii="Times New Roman" w:hAnsi="Times New Roman"/>
          <w:sz w:val="24"/>
        </w:rPr>
      </w:pPr>
      <w:r w:rsidRPr="00835753">
        <w:rPr>
          <w:rFonts w:ascii="Times New Roman" w:hAnsi="Times New Roman"/>
          <w:b/>
          <w:sz w:val="24"/>
        </w:rPr>
        <w:t>Tabela EU CRC – Wymogi dotyczące ujawniania informacji jakościowych na temat technik ograniczania ryzyka kredytowego. Tabela</w:t>
      </w:r>
      <w:r w:rsidR="00835753" w:rsidRPr="00835753">
        <w:rPr>
          <w:rFonts w:ascii="Times New Roman" w:hAnsi="Times New Roman"/>
          <w:b/>
          <w:sz w:val="24"/>
        </w:rPr>
        <w:t xml:space="preserve"> o</w:t>
      </w:r>
      <w:r w:rsidR="00835753">
        <w:rPr>
          <w:rFonts w:ascii="Times New Roman" w:hAnsi="Times New Roman"/>
          <w:b/>
          <w:sz w:val="24"/>
        </w:rPr>
        <w:t> </w:t>
      </w:r>
      <w:r w:rsidR="00835753" w:rsidRPr="00835753">
        <w:rPr>
          <w:rFonts w:ascii="Times New Roman" w:hAnsi="Times New Roman"/>
          <w:b/>
          <w:sz w:val="24"/>
        </w:rPr>
        <w:t>for</w:t>
      </w:r>
      <w:r w:rsidRPr="00835753">
        <w:rPr>
          <w:rFonts w:ascii="Times New Roman" w:hAnsi="Times New Roman"/>
          <w:b/>
          <w:sz w:val="24"/>
        </w:rPr>
        <w:t>macie elastycznym</w:t>
      </w:r>
    </w:p>
    <w:p w14:paraId="4639841B" w14:textId="3F7C2767" w:rsidR="001C2E4C" w:rsidRPr="00835753" w:rsidRDefault="001C2E4C" w:rsidP="001C2E4C">
      <w:pPr>
        <w:spacing w:after="120"/>
        <w:jc w:val="both"/>
        <w:rPr>
          <w:rFonts w:ascii="Times New Roman" w:hAnsi="Times New Roman" w:cs="Times New Roman"/>
          <w:sz w:val="24"/>
        </w:rPr>
      </w:pPr>
      <w:r w:rsidRPr="00835753">
        <w:rPr>
          <w:rFonts w:ascii="Times New Roman" w:hAnsi="Times New Roman"/>
          <w:sz w:val="24"/>
        </w:rPr>
        <w:t>W celu wypełnienia tabeli EU CRC zamieszczonej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XVII instytucje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453 lit.</w:t>
      </w:r>
      <w:r w:rsidR="00835753" w:rsidRPr="00835753">
        <w:rPr>
          <w:rFonts w:ascii="Times New Roman" w:hAnsi="Times New Roman"/>
          <w:sz w:val="24"/>
        </w:rPr>
        <w:t> </w:t>
      </w:r>
      <w:r w:rsidRPr="00835753">
        <w:rPr>
          <w:rFonts w:ascii="Times New Roman" w:hAnsi="Times New Roman"/>
          <w:sz w:val="24"/>
        </w:rPr>
        <w:t>a</w:t>
      </w:r>
      <w:proofErr w:type="gramStart"/>
      <w:r w:rsidRPr="00835753">
        <w:rPr>
          <w:rFonts w:ascii="Times New Roman" w:hAnsi="Times New Roman"/>
          <w:sz w:val="24"/>
        </w:rPr>
        <w:t>)–e</w:t>
      </w:r>
      <w:proofErr w:type="gramEnd"/>
      <w:r w:rsidRPr="00835753">
        <w:rPr>
          <w:rFonts w:ascii="Times New Roman" w:hAnsi="Times New Roman"/>
          <w:sz w:val="24"/>
        </w:rPr>
        <w:t xml:space="preserve">) </w:t>
      </w:r>
      <w:r w:rsidRPr="00835753">
        <w:rPr>
          <w:rFonts w:ascii="Times New Roman" w:hAnsi="Times New Roman"/>
          <w:iCs/>
          <w:sz w:val="24"/>
        </w:rPr>
        <w:t>rozporządzenia (UE) nr</w:t>
      </w:r>
      <w:r w:rsidR="00835753" w:rsidRPr="00835753">
        <w:rPr>
          <w:rFonts w:ascii="Times New Roman" w:hAnsi="Times New Roman"/>
          <w:iCs/>
          <w:sz w:val="24"/>
        </w:rPr>
        <w:t> </w:t>
      </w:r>
      <w:r w:rsidRPr="00835753">
        <w:rPr>
          <w:rFonts w:ascii="Times New Roman" w:hAnsi="Times New Roman"/>
          <w:sz w:val="24"/>
        </w:rPr>
        <w:t>575/2013</w:t>
      </w:r>
      <w:r w:rsidRPr="00835753">
        <w:rPr>
          <w:rStyle w:val="FootnoteReference"/>
          <w:rFonts w:ascii="Times New Roman" w:hAnsi="Times New Roman" w:cs="Times New Roman"/>
          <w:sz w:val="24"/>
          <w:szCs w:val="24"/>
        </w:rPr>
        <w:footnoteReference w:id="33"/>
      </w:r>
      <w:r w:rsidRPr="00835753">
        <w:rPr>
          <w:rFonts w:ascii="Times New Roman" w:hAnsi="Times New Roman"/>
          <w:sz w:val="24"/>
        </w:rPr>
        <w:t xml:space="preserve"> („CRR”), stosując instrukcje zawarte poniżej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835753"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835753" w:rsidRDefault="001C2E4C"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Oznaczenie</w:t>
            </w:r>
          </w:p>
          <w:p w14:paraId="05D29EC7" w14:textId="77777777" w:rsidR="001C2E4C" w:rsidRPr="00835753" w:rsidRDefault="001C2E4C" w:rsidP="00155C96">
            <w:pPr>
              <w:autoSpaceDE w:val="0"/>
              <w:autoSpaceDN w:val="0"/>
              <w:adjustRightInd w:val="0"/>
              <w:spacing w:after="120"/>
              <w:rPr>
                <w:rFonts w:ascii="Times New Roman" w:hAnsi="Times New Roman" w:cs="Times New Roman"/>
                <w:b/>
                <w:sz w:val="24"/>
              </w:rPr>
            </w:pPr>
            <w:proofErr w:type="gramStart"/>
            <w:r w:rsidRPr="00835753">
              <w:rPr>
                <w:rFonts w:ascii="Times New Roman" w:hAnsi="Times New Roman"/>
                <w:b/>
                <w:sz w:val="24"/>
              </w:rPr>
              <w:t>wiersza</w:t>
            </w:r>
            <w:proofErr w:type="gramEnd"/>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0F93E915" w:rsidR="001C2E4C" w:rsidRPr="00835753" w:rsidRDefault="001C2E4C" w:rsidP="00155C96">
            <w:pPr>
              <w:spacing w:after="120"/>
              <w:rPr>
                <w:rFonts w:ascii="Times New Roman" w:hAnsi="Times New Roman" w:cs="Times New Roman"/>
                <w:b/>
                <w:sz w:val="24"/>
              </w:rPr>
            </w:pPr>
            <w:r w:rsidRPr="00835753">
              <w:rPr>
                <w:rFonts w:ascii="Times New Roman" w:hAnsi="Times New Roman"/>
                <w:b/>
                <w:sz w:val="24"/>
              </w:rPr>
              <w:t>Odniesienie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1C2E4C" w:rsidRPr="00835753"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835753"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835753" w:rsidRDefault="001C2E4C" w:rsidP="00155C96">
            <w:pPr>
              <w:spacing w:after="120"/>
              <w:rPr>
                <w:rFonts w:ascii="Times New Roman" w:hAnsi="Times New Roman" w:cs="Times New Roman"/>
                <w:b/>
                <w:sz w:val="24"/>
              </w:rPr>
            </w:pPr>
            <w:r w:rsidRPr="00835753">
              <w:rPr>
                <w:rFonts w:ascii="Times New Roman" w:hAnsi="Times New Roman"/>
                <w:b/>
                <w:sz w:val="24"/>
              </w:rPr>
              <w:t>Wyjaśnienie</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7"/>
        <w:gridCol w:w="883"/>
        <w:gridCol w:w="6782"/>
      </w:tblGrid>
      <w:tr w:rsidR="001C2E4C" w:rsidRPr="00835753"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835753" w:rsidRDefault="001C2E4C" w:rsidP="00155C96">
            <w:pPr>
              <w:spacing w:after="120"/>
              <w:jc w:val="both"/>
              <w:rPr>
                <w:rFonts w:ascii="Times New Roman" w:hAnsi="Times New Roman" w:cs="Times New Roman"/>
                <w:sz w:val="24"/>
              </w:rPr>
            </w:pPr>
            <w:proofErr w:type="gramStart"/>
            <w:r w:rsidRPr="00835753">
              <w:rPr>
                <w:rFonts w:ascii="Times New Roman" w:hAnsi="Times New Roman"/>
                <w:color w:val="000000"/>
                <w:sz w:val="24"/>
              </w:rPr>
              <w:t>a</w:t>
            </w:r>
            <w:proofErr w:type="gramEnd"/>
            <w:r w:rsidRPr="00835753">
              <w:rPr>
                <w:rFonts w:ascii="Times New Roman" w:hAnsi="Times New Roman"/>
                <w:color w:val="000000"/>
                <w:sz w:val="24"/>
              </w:rPr>
              <w:t>)</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001074B0"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iCs/>
                <w:sz w:val="24"/>
              </w:rPr>
              <w:t>Art. 453 lit.</w:t>
            </w:r>
            <w:r w:rsidR="00835753" w:rsidRPr="00835753">
              <w:rPr>
                <w:rFonts w:ascii="Times New Roman" w:hAnsi="Times New Roman"/>
                <w:iCs/>
                <w:sz w:val="24"/>
              </w:rPr>
              <w:t> </w:t>
            </w:r>
            <w:r w:rsidRPr="00835753">
              <w:rPr>
                <w:rFonts w:ascii="Times New Roman" w:hAnsi="Times New Roman"/>
                <w:iCs/>
                <w:sz w:val="24"/>
              </w:rPr>
              <w:t>a)</w:t>
            </w:r>
            <w:r w:rsidRPr="00835753">
              <w:rPr>
                <w:rFonts w:ascii="Times New Roman" w:hAnsi="Times New Roman"/>
                <w:sz w:val="24"/>
              </w:rPr>
              <w:t xml:space="preserve">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008AD4A2"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Ujawniając informacje na temat swoich polityk kompensowania oraz stosowania kompensowania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453 lit.</w:t>
            </w:r>
            <w:r w:rsidR="00835753" w:rsidRPr="00835753">
              <w:rPr>
                <w:rFonts w:ascii="Times New Roman" w:hAnsi="Times New Roman"/>
                <w:sz w:val="24"/>
              </w:rPr>
              <w:t> </w:t>
            </w:r>
            <w:r w:rsidRPr="00835753">
              <w:rPr>
                <w:rFonts w:ascii="Times New Roman" w:hAnsi="Times New Roman"/>
                <w:sz w:val="24"/>
              </w:rPr>
              <w:t>a) CRR, instytucje przedstawiają jednoznaczny opis polityk</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pro</w:t>
            </w:r>
            <w:r w:rsidRPr="00835753">
              <w:rPr>
                <w:rFonts w:ascii="Times New Roman" w:hAnsi="Times New Roman"/>
                <w:sz w:val="24"/>
              </w:rPr>
              <w:t>cesów ograniczania ryzyka kredytowego dotyczących kompensowania pozycji bilansowych, pozabilansowych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umó</w:t>
            </w:r>
            <w:r w:rsidRPr="00835753">
              <w:rPr>
                <w:rFonts w:ascii="Times New Roman" w:hAnsi="Times New Roman"/>
                <w:sz w:val="24"/>
              </w:rPr>
              <w:t>w ramowych</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kom</w:t>
            </w:r>
            <w:r w:rsidRPr="00835753">
              <w:rPr>
                <w:rFonts w:ascii="Times New Roman" w:hAnsi="Times New Roman"/>
                <w:sz w:val="24"/>
              </w:rPr>
              <w:t>pensowaniu zobowiązań. Wskazują również,</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im zakresie zastosowano kompensowanie pozycji bilansowych, pozabilansowych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umó</w:t>
            </w:r>
            <w:r w:rsidRPr="00835753">
              <w:rPr>
                <w:rFonts w:ascii="Times New Roman" w:hAnsi="Times New Roman"/>
                <w:sz w:val="24"/>
              </w:rPr>
              <w:t>w ramowych</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kom</w:t>
            </w:r>
            <w:r w:rsidRPr="00835753">
              <w:rPr>
                <w:rFonts w:ascii="Times New Roman" w:hAnsi="Times New Roman"/>
                <w:sz w:val="24"/>
              </w:rPr>
              <w:t>pensowaniu zobowiązań oraz jakie jest ich znaczenie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zarządzania ryzykiem kredytowym. Instytucje mogłyby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szc</w:t>
            </w:r>
            <w:r w:rsidRPr="00835753">
              <w:rPr>
                <w:rFonts w:ascii="Times New Roman" w:hAnsi="Times New Roman"/>
                <w:sz w:val="24"/>
              </w:rPr>
              <w:t>zególności podawać szczegółowe informacje na temat stosowanych technik, jak również pozycji objętych umowami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kom</w:t>
            </w:r>
            <w:r w:rsidRPr="00835753">
              <w:rPr>
                <w:rFonts w:ascii="Times New Roman" w:hAnsi="Times New Roman"/>
                <w:sz w:val="24"/>
              </w:rPr>
              <w:t>pensowaniu pozycji bilansowych oraz instrumentów finansowych objętych umowami ramowymi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kom</w:t>
            </w:r>
            <w:r w:rsidRPr="00835753">
              <w:rPr>
                <w:rFonts w:ascii="Times New Roman" w:hAnsi="Times New Roman"/>
                <w:sz w:val="24"/>
              </w:rPr>
              <w:t>pensowaniu zobowiązań. Ponadto mogłyby również opisywać warunki niezbędne do zapewnienia skuteczności tych technik</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kon</w:t>
            </w:r>
            <w:r w:rsidRPr="00835753">
              <w:rPr>
                <w:rFonts w:ascii="Times New Roman" w:hAnsi="Times New Roman"/>
                <w:sz w:val="24"/>
              </w:rPr>
              <w:t>troli stosowanych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ryzyka prawnego.</w:t>
            </w:r>
          </w:p>
        </w:tc>
      </w:tr>
      <w:tr w:rsidR="001C2E4C" w:rsidRPr="00835753" w14:paraId="6FBF74D8" w14:textId="77777777" w:rsidTr="00155C96">
        <w:trPr>
          <w:trHeight w:val="841"/>
        </w:trPr>
        <w:tc>
          <w:tcPr>
            <w:tcW w:w="1407" w:type="dxa"/>
          </w:tcPr>
          <w:p w14:paraId="1AB3C80B" w14:textId="77777777" w:rsidR="001C2E4C" w:rsidRPr="00835753" w:rsidRDefault="001C2E4C" w:rsidP="00155C96">
            <w:pPr>
              <w:spacing w:after="120"/>
              <w:jc w:val="both"/>
              <w:rPr>
                <w:rFonts w:ascii="Times New Roman" w:hAnsi="Times New Roman" w:cs="Times New Roman"/>
                <w:sz w:val="24"/>
              </w:rPr>
            </w:pPr>
            <w:proofErr w:type="gramStart"/>
            <w:r w:rsidRPr="00835753">
              <w:rPr>
                <w:rFonts w:ascii="Times New Roman" w:hAnsi="Times New Roman"/>
                <w:color w:val="000000"/>
                <w:sz w:val="24"/>
              </w:rPr>
              <w:t>b</w:t>
            </w:r>
            <w:proofErr w:type="gramEnd"/>
            <w:r w:rsidRPr="00835753">
              <w:rPr>
                <w:rFonts w:ascii="Times New Roman" w:hAnsi="Times New Roman"/>
                <w:color w:val="000000"/>
                <w:sz w:val="24"/>
              </w:rPr>
              <w:t>)</w:t>
            </w:r>
          </w:p>
        </w:tc>
        <w:tc>
          <w:tcPr>
            <w:tcW w:w="883" w:type="dxa"/>
          </w:tcPr>
          <w:p w14:paraId="7E0E0ECE" w14:textId="300A04FA" w:rsidR="001C2E4C" w:rsidRPr="00835753" w:rsidRDefault="001C2E4C" w:rsidP="00155C96">
            <w:pPr>
              <w:spacing w:after="120"/>
              <w:jc w:val="both"/>
              <w:rPr>
                <w:rFonts w:ascii="Times New Roman" w:eastAsia="Times New Roman" w:hAnsi="Times New Roman" w:cs="Times New Roman"/>
                <w:iCs/>
                <w:sz w:val="24"/>
              </w:rPr>
            </w:pPr>
            <w:r w:rsidRPr="00835753">
              <w:rPr>
                <w:rFonts w:ascii="Times New Roman" w:hAnsi="Times New Roman"/>
                <w:iCs/>
                <w:sz w:val="24"/>
              </w:rPr>
              <w:t>Art. 453 lit.</w:t>
            </w:r>
            <w:r w:rsidR="00835753" w:rsidRPr="00835753">
              <w:rPr>
                <w:rFonts w:ascii="Times New Roman" w:hAnsi="Times New Roman"/>
                <w:iCs/>
                <w:sz w:val="24"/>
              </w:rPr>
              <w:t> </w:t>
            </w:r>
            <w:r w:rsidRPr="00835753">
              <w:rPr>
                <w:rFonts w:ascii="Times New Roman" w:hAnsi="Times New Roman"/>
                <w:iCs/>
                <w:sz w:val="24"/>
              </w:rPr>
              <w:t>b)</w:t>
            </w:r>
          </w:p>
          <w:p w14:paraId="7C5AF99B" w14:textId="77777777"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CRR</w:t>
            </w:r>
          </w:p>
        </w:tc>
        <w:tc>
          <w:tcPr>
            <w:tcW w:w="6782" w:type="dxa"/>
          </w:tcPr>
          <w:p w14:paraId="4926AA6A" w14:textId="512B356B"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W ramach ujawniania informacji na temat najważniejszych cech swoich polityk</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pro</w:t>
            </w:r>
            <w:r w:rsidRPr="00835753">
              <w:rPr>
                <w:rFonts w:ascii="Times New Roman" w:hAnsi="Times New Roman"/>
                <w:sz w:val="24"/>
              </w:rPr>
              <w:t>cesów służących wycenie uznanych zabezpieczeń</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zar</w:t>
            </w:r>
            <w:r w:rsidRPr="00835753">
              <w:rPr>
                <w:rFonts w:ascii="Times New Roman" w:hAnsi="Times New Roman"/>
                <w:sz w:val="24"/>
              </w:rPr>
              <w:t>ządzaniu nimi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453 lit.</w:t>
            </w:r>
            <w:r w:rsidR="00835753" w:rsidRPr="00835753">
              <w:rPr>
                <w:rFonts w:ascii="Times New Roman" w:hAnsi="Times New Roman"/>
                <w:sz w:val="24"/>
              </w:rPr>
              <w:t> </w:t>
            </w:r>
            <w:r w:rsidRPr="00835753">
              <w:rPr>
                <w:rFonts w:ascii="Times New Roman" w:hAnsi="Times New Roman"/>
                <w:sz w:val="24"/>
              </w:rPr>
              <w:t>b) CRR instytucje ujawniają:</w:t>
            </w:r>
          </w:p>
          <w:p w14:paraId="6B648F21" w14:textId="48E6C79D"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 podstawę oceny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wyc</w:t>
            </w:r>
            <w:r w:rsidRPr="00835753">
              <w:rPr>
                <w:rFonts w:ascii="Times New Roman" w:hAnsi="Times New Roman"/>
                <w:sz w:val="24"/>
              </w:rPr>
              <w:t>eny zastawionego zabezpieczenia,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ocenę pewności prawa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zwi</w:t>
            </w:r>
            <w:r w:rsidRPr="00835753">
              <w:rPr>
                <w:rFonts w:ascii="Times New Roman" w:hAnsi="Times New Roman"/>
                <w:sz w:val="24"/>
              </w:rPr>
              <w:t>ązku</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tec</w:t>
            </w:r>
            <w:r w:rsidRPr="00835753">
              <w:rPr>
                <w:rFonts w:ascii="Times New Roman" w:hAnsi="Times New Roman"/>
                <w:sz w:val="24"/>
              </w:rPr>
              <w:t>hnikami ograniczania ryzyka kredytowego;</w:t>
            </w:r>
          </w:p>
          <w:p w14:paraId="0BD3D10A" w14:textId="77777777"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 rodzaj wyceny (wartość rynkowa, bankowo-hipoteczna wartość nieruchomości, inne rodzaje wartości);</w:t>
            </w:r>
          </w:p>
          <w:p w14:paraId="58071D69" w14:textId="41A5E9D3"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im zakresie obliczona wartość zabezpieczenia jest pomniejszona</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red</w:t>
            </w:r>
            <w:r w:rsidRPr="00835753">
              <w:rPr>
                <w:rFonts w:ascii="Times New Roman" w:hAnsi="Times New Roman"/>
                <w:sz w:val="24"/>
              </w:rPr>
              <w:t>ukcję wartości;</w:t>
            </w:r>
          </w:p>
          <w:p w14:paraId="24002880" w14:textId="14E15769"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 proces, częstotliwość</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ody stosowane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monitorowania wartości zabezpieczenia hipotecznego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inn</w:t>
            </w:r>
            <w:r w:rsidRPr="00835753">
              <w:rPr>
                <w:rFonts w:ascii="Times New Roman" w:hAnsi="Times New Roman"/>
                <w:sz w:val="24"/>
              </w:rPr>
              <w:t>ego rodzaju zabezpieczeń rzeczowych.</w:t>
            </w:r>
          </w:p>
          <w:p w14:paraId="351E8ACC" w14:textId="77777777"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lastRenderedPageBreak/>
              <w:t>Ponadto instytucje mogłyby również ujawniać, czy istnieje system limitów ekspozycji kredytowej oraz wpływ przyjętego zabezpieczenia na kwantyfikację tych limitów.</w:t>
            </w:r>
          </w:p>
        </w:tc>
      </w:tr>
      <w:tr w:rsidR="001C2E4C" w:rsidRPr="00835753" w:rsidDel="00915DC9" w14:paraId="2F808C5D" w14:textId="77777777" w:rsidTr="00155C96">
        <w:trPr>
          <w:trHeight w:val="973"/>
        </w:trPr>
        <w:tc>
          <w:tcPr>
            <w:tcW w:w="1407" w:type="dxa"/>
          </w:tcPr>
          <w:p w14:paraId="1EF28047" w14:textId="77777777" w:rsidR="001C2E4C" w:rsidRPr="00835753" w:rsidRDefault="001C2E4C" w:rsidP="00155C96">
            <w:pPr>
              <w:spacing w:after="120"/>
              <w:jc w:val="both"/>
              <w:rPr>
                <w:rFonts w:ascii="Times New Roman" w:hAnsi="Times New Roman" w:cs="Times New Roman"/>
                <w:sz w:val="24"/>
              </w:rPr>
            </w:pPr>
            <w:proofErr w:type="gramStart"/>
            <w:r w:rsidRPr="00835753">
              <w:rPr>
                <w:rFonts w:ascii="Times New Roman" w:hAnsi="Times New Roman"/>
                <w:color w:val="000000"/>
                <w:sz w:val="24"/>
              </w:rPr>
              <w:lastRenderedPageBreak/>
              <w:t>c</w:t>
            </w:r>
            <w:proofErr w:type="gramEnd"/>
            <w:r w:rsidRPr="00835753">
              <w:rPr>
                <w:rFonts w:ascii="Times New Roman" w:hAnsi="Times New Roman"/>
                <w:color w:val="000000"/>
                <w:sz w:val="24"/>
              </w:rPr>
              <w:t>)</w:t>
            </w:r>
          </w:p>
        </w:tc>
        <w:tc>
          <w:tcPr>
            <w:tcW w:w="883" w:type="dxa"/>
          </w:tcPr>
          <w:p w14:paraId="582FD65E" w14:textId="2519476C"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iCs/>
                <w:sz w:val="24"/>
              </w:rPr>
              <w:t>Art. 453 lit.</w:t>
            </w:r>
            <w:r w:rsidR="00835753" w:rsidRPr="00835753">
              <w:rPr>
                <w:rFonts w:ascii="Times New Roman" w:hAnsi="Times New Roman"/>
                <w:iCs/>
                <w:sz w:val="24"/>
              </w:rPr>
              <w:t> </w:t>
            </w:r>
            <w:r w:rsidRPr="00835753">
              <w:rPr>
                <w:rFonts w:ascii="Times New Roman" w:hAnsi="Times New Roman"/>
                <w:iCs/>
                <w:sz w:val="24"/>
              </w:rPr>
              <w:t>c)</w:t>
            </w:r>
            <w:r w:rsidRPr="00835753">
              <w:rPr>
                <w:rFonts w:ascii="Times New Roman" w:hAnsi="Times New Roman"/>
                <w:sz w:val="24"/>
              </w:rPr>
              <w:t xml:space="preserve"> CRR</w:t>
            </w:r>
          </w:p>
        </w:tc>
        <w:tc>
          <w:tcPr>
            <w:tcW w:w="6782" w:type="dxa"/>
          </w:tcPr>
          <w:p w14:paraId="3E3FC54A" w14:textId="242F36C2" w:rsidR="001C2E4C" w:rsidRPr="00835753" w:rsidDel="00915DC9" w:rsidRDefault="001C2E4C" w:rsidP="00155C96">
            <w:pPr>
              <w:spacing w:after="120"/>
              <w:jc w:val="both"/>
              <w:rPr>
                <w:rFonts w:ascii="Times New Roman" w:hAnsi="Times New Roman" w:cs="Times New Roman"/>
                <w:sz w:val="24"/>
              </w:rPr>
            </w:pPr>
            <w:r w:rsidRPr="00835753">
              <w:rPr>
                <w:rFonts w:ascii="Times New Roman" w:hAnsi="Times New Roman"/>
                <w:sz w:val="24"/>
              </w:rPr>
              <w:t>Opisując zabezpieczenia przyjęte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453 lit.</w:t>
            </w:r>
            <w:r w:rsidR="00835753" w:rsidRPr="00835753">
              <w:rPr>
                <w:rFonts w:ascii="Times New Roman" w:hAnsi="Times New Roman"/>
                <w:sz w:val="24"/>
              </w:rPr>
              <w:t> </w:t>
            </w:r>
            <w:r w:rsidRPr="00835753">
              <w:rPr>
                <w:rFonts w:ascii="Times New Roman" w:hAnsi="Times New Roman"/>
                <w:sz w:val="24"/>
              </w:rPr>
              <w:t>c) CRR, instytucje przedstawiają szczegółowy opis głównych rodzajów zabezpieczenia przyjętego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ograniczania ryzyka kredytowego, według rodzaju ekspozycji.</w:t>
            </w:r>
          </w:p>
        </w:tc>
      </w:tr>
      <w:tr w:rsidR="001C2E4C" w:rsidRPr="00835753" w14:paraId="3549FC01" w14:textId="77777777" w:rsidTr="00155C96">
        <w:trPr>
          <w:trHeight w:val="1265"/>
        </w:trPr>
        <w:tc>
          <w:tcPr>
            <w:tcW w:w="1407" w:type="dxa"/>
          </w:tcPr>
          <w:p w14:paraId="71959583" w14:textId="77777777" w:rsidR="001C2E4C" w:rsidRPr="00835753" w:rsidRDefault="001C2E4C" w:rsidP="00155C96">
            <w:pPr>
              <w:spacing w:after="120"/>
              <w:jc w:val="both"/>
              <w:rPr>
                <w:rFonts w:ascii="Times New Roman" w:hAnsi="Times New Roman" w:cs="Times New Roman"/>
                <w:sz w:val="24"/>
              </w:rPr>
            </w:pPr>
            <w:proofErr w:type="gramStart"/>
            <w:r w:rsidRPr="00835753">
              <w:rPr>
                <w:rFonts w:ascii="Times New Roman" w:hAnsi="Times New Roman"/>
                <w:color w:val="000000"/>
                <w:sz w:val="24"/>
              </w:rPr>
              <w:t>d</w:t>
            </w:r>
            <w:proofErr w:type="gramEnd"/>
            <w:r w:rsidRPr="00835753">
              <w:rPr>
                <w:rFonts w:ascii="Times New Roman" w:hAnsi="Times New Roman"/>
                <w:color w:val="000000"/>
                <w:sz w:val="24"/>
              </w:rPr>
              <w:t>)</w:t>
            </w:r>
          </w:p>
        </w:tc>
        <w:tc>
          <w:tcPr>
            <w:tcW w:w="883" w:type="dxa"/>
          </w:tcPr>
          <w:p w14:paraId="1295B89B" w14:textId="04607035"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iCs/>
                <w:sz w:val="24"/>
              </w:rPr>
              <w:t>Art. 453 lit.</w:t>
            </w:r>
            <w:r w:rsidR="00835753" w:rsidRPr="00835753">
              <w:rPr>
                <w:rFonts w:ascii="Times New Roman" w:hAnsi="Times New Roman"/>
                <w:iCs/>
                <w:sz w:val="24"/>
              </w:rPr>
              <w:t> </w:t>
            </w:r>
            <w:r w:rsidRPr="00835753">
              <w:rPr>
                <w:rFonts w:ascii="Times New Roman" w:hAnsi="Times New Roman"/>
                <w:iCs/>
                <w:sz w:val="24"/>
              </w:rPr>
              <w:t>d) CRR</w:t>
            </w:r>
          </w:p>
        </w:tc>
        <w:tc>
          <w:tcPr>
            <w:tcW w:w="6782" w:type="dxa"/>
          </w:tcPr>
          <w:p w14:paraId="14D7C916" w14:textId="4C8BBD6C"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Opis głównych rodzajów gwarantów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kon</w:t>
            </w:r>
            <w:r w:rsidRPr="00835753">
              <w:rPr>
                <w:rFonts w:ascii="Times New Roman" w:hAnsi="Times New Roman"/>
                <w:sz w:val="24"/>
              </w:rPr>
              <w:t>trahentów kredytowych instrumentów pochodnych oraz ich wiarygodności kredytowej, który należy ujawnić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453 lit.</w:t>
            </w:r>
            <w:r w:rsidR="00835753" w:rsidRPr="00835753">
              <w:rPr>
                <w:rFonts w:ascii="Times New Roman" w:hAnsi="Times New Roman"/>
                <w:sz w:val="24"/>
              </w:rPr>
              <w:t> </w:t>
            </w:r>
            <w:r w:rsidRPr="00835753">
              <w:rPr>
                <w:rFonts w:ascii="Times New Roman" w:hAnsi="Times New Roman"/>
                <w:sz w:val="24"/>
              </w:rPr>
              <w:t>d) CRR, obejmuje kredytowe instrumenty pochodne wykorzystywane do celów obniżenia wymogów kapitałowych,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wył</w:t>
            </w:r>
            <w:r w:rsidRPr="00835753">
              <w:rPr>
                <w:rFonts w:ascii="Times New Roman" w:hAnsi="Times New Roman"/>
                <w:sz w:val="24"/>
              </w:rPr>
              <w:t>ączeniem tych wykorzystywanych jako część programów sekurytyzacji syntetycznej. Instytucje mogłyby również dołączyć opis metod stosowanych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ujmowania skutków gwarancji lub kredytowych instrumentów pochodnych udzielonych przez główne rodzaje gwarantów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kon</w:t>
            </w:r>
            <w:r w:rsidRPr="00835753">
              <w:rPr>
                <w:rFonts w:ascii="Times New Roman" w:hAnsi="Times New Roman"/>
                <w:sz w:val="24"/>
              </w:rPr>
              <w:t xml:space="preserve">trahentów. </w:t>
            </w:r>
          </w:p>
        </w:tc>
      </w:tr>
      <w:tr w:rsidR="001C2E4C" w:rsidRPr="00835753" w14:paraId="078F2BF9" w14:textId="77777777" w:rsidTr="00155C96">
        <w:trPr>
          <w:trHeight w:val="1405"/>
        </w:trPr>
        <w:tc>
          <w:tcPr>
            <w:tcW w:w="1407" w:type="dxa"/>
          </w:tcPr>
          <w:p w14:paraId="72556FE0" w14:textId="77777777" w:rsidR="001C2E4C" w:rsidRPr="00835753" w:rsidRDefault="001C2E4C" w:rsidP="00155C96">
            <w:pPr>
              <w:spacing w:after="120"/>
              <w:jc w:val="both"/>
              <w:rPr>
                <w:rFonts w:ascii="Times New Roman" w:hAnsi="Times New Roman" w:cs="Times New Roman"/>
                <w:sz w:val="24"/>
              </w:rPr>
            </w:pPr>
            <w:proofErr w:type="gramStart"/>
            <w:r w:rsidRPr="00835753">
              <w:rPr>
                <w:rFonts w:ascii="Times New Roman" w:hAnsi="Times New Roman"/>
                <w:color w:val="000000"/>
                <w:sz w:val="24"/>
              </w:rPr>
              <w:t>e</w:t>
            </w:r>
            <w:proofErr w:type="gramEnd"/>
            <w:r w:rsidRPr="00835753">
              <w:rPr>
                <w:rFonts w:ascii="Times New Roman" w:hAnsi="Times New Roman"/>
                <w:color w:val="000000"/>
                <w:sz w:val="24"/>
              </w:rPr>
              <w:t>)</w:t>
            </w:r>
          </w:p>
        </w:tc>
        <w:tc>
          <w:tcPr>
            <w:tcW w:w="883" w:type="dxa"/>
          </w:tcPr>
          <w:p w14:paraId="52B1E972" w14:textId="6A94F39C"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iCs/>
                <w:sz w:val="24"/>
              </w:rPr>
              <w:t>Art. 453 lit.</w:t>
            </w:r>
            <w:r w:rsidR="00835753" w:rsidRPr="00835753">
              <w:rPr>
                <w:rFonts w:ascii="Times New Roman" w:hAnsi="Times New Roman"/>
                <w:iCs/>
                <w:sz w:val="24"/>
              </w:rPr>
              <w:t> </w:t>
            </w:r>
            <w:r w:rsidRPr="00835753">
              <w:rPr>
                <w:rFonts w:ascii="Times New Roman" w:hAnsi="Times New Roman"/>
                <w:iCs/>
                <w:sz w:val="24"/>
              </w:rPr>
              <w:t>e) CRR</w:t>
            </w:r>
          </w:p>
        </w:tc>
        <w:tc>
          <w:tcPr>
            <w:tcW w:w="6782" w:type="dxa"/>
          </w:tcPr>
          <w:p w14:paraId="0E55AB09" w14:textId="131F1F1B"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Ujawniając informacje na temat koncentracji ryzyka rynkowego lub kredytowego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podjętych działań</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ograniczania ryzyka kredytowego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453 lit.</w:t>
            </w:r>
            <w:r w:rsidR="00835753" w:rsidRPr="00835753">
              <w:rPr>
                <w:rFonts w:ascii="Times New Roman" w:hAnsi="Times New Roman"/>
                <w:sz w:val="24"/>
              </w:rPr>
              <w:t> </w:t>
            </w:r>
            <w:r w:rsidRPr="00835753">
              <w:rPr>
                <w:rFonts w:ascii="Times New Roman" w:hAnsi="Times New Roman"/>
                <w:sz w:val="24"/>
              </w:rPr>
              <w:t>e) CRR, instytucje przedstawiają analizę wszelkich koncentracji, które powstają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wyn</w:t>
            </w:r>
            <w:r w:rsidRPr="00835753">
              <w:rPr>
                <w:rFonts w:ascii="Times New Roman" w:hAnsi="Times New Roman"/>
                <w:sz w:val="24"/>
              </w:rPr>
              <w:t>iku środków ograniczania ryzyka kredytowego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mog</w:t>
            </w:r>
            <w:r w:rsidRPr="00835753">
              <w:rPr>
                <w:rFonts w:ascii="Times New Roman" w:hAnsi="Times New Roman"/>
                <w:sz w:val="24"/>
              </w:rPr>
              <w:t>ą uniemożliwić skuteczne działanie instrumentów ograniczania ryzyka kredytowego. Koncentracje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ujawniania tych informacji mogą obejmować koncentracje według rodzaju instrumentu wykorzystywanego jako zabezpieczenie, podmiotu (koncentracja według rodzaju gwaranta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dos</w:t>
            </w:r>
            <w:r w:rsidRPr="00835753">
              <w:rPr>
                <w:rFonts w:ascii="Times New Roman" w:hAnsi="Times New Roman"/>
                <w:sz w:val="24"/>
              </w:rPr>
              <w:t>tawców kredytowych instrumentów pochodnych), sektora, obszaru geograficznego, waluty, ratingu lub innych czynników, które potencjalnie wpływają na wartość ochrony,</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samym zmniejszają tę ochronę.</w:t>
            </w:r>
          </w:p>
        </w:tc>
      </w:tr>
    </w:tbl>
    <w:p w14:paraId="1A96AFAC" w14:textId="77777777" w:rsidR="001C2E4C" w:rsidRPr="00835753" w:rsidRDefault="001C2E4C" w:rsidP="001C2E4C">
      <w:pPr>
        <w:spacing w:after="120"/>
        <w:rPr>
          <w:rFonts w:ascii="Times New Roman" w:hAnsi="Times New Roman" w:cs="Times New Roman"/>
          <w:sz w:val="24"/>
        </w:rPr>
      </w:pPr>
    </w:p>
    <w:p w14:paraId="21DE2683" w14:textId="3377D3D9" w:rsidR="001C2E4C" w:rsidRPr="00835753" w:rsidRDefault="00CD362D" w:rsidP="001C2E4C">
      <w:pPr>
        <w:spacing w:after="120"/>
        <w:rPr>
          <w:rFonts w:ascii="Times New Roman" w:hAnsi="Times New Roman" w:cs="Times New Roman"/>
          <w:b/>
          <w:sz w:val="24"/>
        </w:rPr>
      </w:pPr>
      <w:r w:rsidRPr="00835753">
        <w:rPr>
          <w:rFonts w:ascii="Times New Roman" w:hAnsi="Times New Roman"/>
          <w:b/>
          <w:sz w:val="24"/>
        </w:rPr>
        <w:t>Wzór EU CR3 – Przegląd technik ograniczania ryzyka kredytowego: Ujawnianie informacji na temat stosowania technik ograniczania ryzyka kredytowego. Wzór</w:t>
      </w:r>
      <w:r w:rsidR="00835753" w:rsidRPr="00835753">
        <w:rPr>
          <w:rFonts w:ascii="Times New Roman" w:hAnsi="Times New Roman"/>
          <w:b/>
          <w:sz w:val="24"/>
        </w:rPr>
        <w:t xml:space="preserve"> o</w:t>
      </w:r>
      <w:r w:rsidR="00835753">
        <w:rPr>
          <w:rFonts w:ascii="Times New Roman" w:hAnsi="Times New Roman"/>
          <w:b/>
          <w:sz w:val="24"/>
        </w:rPr>
        <w:t> </w:t>
      </w:r>
      <w:r w:rsidR="00835753" w:rsidRPr="00835753">
        <w:rPr>
          <w:rFonts w:ascii="Times New Roman" w:hAnsi="Times New Roman"/>
          <w:b/>
          <w:sz w:val="24"/>
        </w:rPr>
        <w:t>for</w:t>
      </w:r>
      <w:r w:rsidRPr="00835753">
        <w:rPr>
          <w:rFonts w:ascii="Times New Roman" w:hAnsi="Times New Roman"/>
          <w:b/>
          <w:sz w:val="24"/>
        </w:rPr>
        <w:t>macie stałym</w:t>
      </w:r>
    </w:p>
    <w:p w14:paraId="62783EF0" w14:textId="36CE2152" w:rsidR="001C2E4C" w:rsidRPr="00835753" w:rsidRDefault="001C2E4C" w:rsidP="001C2E4C">
      <w:pPr>
        <w:spacing w:after="120"/>
        <w:jc w:val="both"/>
        <w:rPr>
          <w:rFonts w:ascii="Times New Roman" w:hAnsi="Times New Roman" w:cs="Times New Roman"/>
          <w:sz w:val="24"/>
        </w:rPr>
      </w:pPr>
      <w:r w:rsidRPr="00835753">
        <w:rPr>
          <w:rFonts w:ascii="Times New Roman" w:hAnsi="Times New Roman"/>
          <w:sz w:val="24"/>
        </w:rPr>
        <w:t>W celu wypełnienia wzoru EU CR3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XVII do niniejszego rozporządzenia wykonawczego instytucja ujawnia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 xml:space="preserve">453 </w:t>
      </w:r>
      <w:r w:rsidRPr="00835753">
        <w:rPr>
          <w:rFonts w:ascii="Times New Roman" w:hAnsi="Times New Roman"/>
          <w:sz w:val="24"/>
        </w:rPr>
        <w:t>lit.</w:t>
      </w:r>
      <w:r w:rsidR="00835753" w:rsidRPr="00835753">
        <w:rPr>
          <w:rFonts w:ascii="Times New Roman" w:hAnsi="Times New Roman"/>
          <w:sz w:val="24"/>
        </w:rPr>
        <w:t> </w:t>
      </w:r>
      <w:r w:rsidRPr="00835753">
        <w:rPr>
          <w:rFonts w:ascii="Times New Roman" w:hAnsi="Times New Roman"/>
          <w:sz w:val="24"/>
        </w:rPr>
        <w:t>f) CRR, stosując instrukcje zawarte poniżej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p>
    <w:p w14:paraId="3A1364BD" w14:textId="1FCCBD62" w:rsidR="001C2E4C" w:rsidRPr="00835753" w:rsidRDefault="001C2E4C" w:rsidP="001C2E4C">
      <w:pPr>
        <w:spacing w:after="120"/>
        <w:jc w:val="both"/>
        <w:rPr>
          <w:rFonts w:ascii="Times New Roman" w:eastAsia="Times New Roman" w:hAnsi="Times New Roman" w:cs="Times New Roman"/>
          <w:b/>
          <w:iCs/>
          <w:sz w:val="24"/>
        </w:rPr>
      </w:pPr>
      <w:r w:rsidRPr="00835753">
        <w:rPr>
          <w:rFonts w:ascii="Times New Roman" w:hAnsi="Times New Roman"/>
          <w:sz w:val="24"/>
        </w:rPr>
        <w:t>Niniejszy wzór obejmuje wszystkie techniki ograniczania ryzyka kredytowego uznane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maj</w:t>
      </w:r>
      <w:r w:rsidRPr="00835753">
        <w:rPr>
          <w:rFonts w:ascii="Times New Roman" w:hAnsi="Times New Roman"/>
          <w:sz w:val="24"/>
        </w:rPr>
        <w:t xml:space="preserve">ącymi zastosowanie standardami rachunkowości, </w:t>
      </w:r>
      <w:r w:rsidRPr="00835753">
        <w:rPr>
          <w:rFonts w:ascii="Times New Roman" w:hAnsi="Times New Roman"/>
          <w:iCs/>
          <w:sz w:val="24"/>
        </w:rPr>
        <w:t>niezależnie od tego, czy techniki te uznano na mocy CRR</w:t>
      </w:r>
      <w:r w:rsidRPr="00835753">
        <w:rPr>
          <w:rFonts w:ascii="Times New Roman" w:hAnsi="Times New Roman"/>
          <w:sz w:val="24"/>
        </w:rPr>
        <w:t>,</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tym</w:t>
      </w:r>
      <w:r w:rsidRPr="00835753">
        <w:rPr>
          <w:rFonts w:ascii="Times New Roman" w:hAnsi="Times New Roman"/>
          <w:iCs/>
          <w:sz w:val="24"/>
        </w:rPr>
        <w:t xml:space="preserve"> między innymi wszystkie rodzaje zabezpieczenia, gwarancji finansowych</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kre</w:t>
      </w:r>
      <w:r w:rsidRPr="00835753">
        <w:rPr>
          <w:rFonts w:ascii="Times New Roman" w:hAnsi="Times New Roman"/>
          <w:iCs/>
          <w:sz w:val="24"/>
        </w:rPr>
        <w:t>dytowych instrumentów pochodnych stosowanych</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odn</w:t>
      </w:r>
      <w:r w:rsidRPr="00835753">
        <w:rPr>
          <w:rFonts w:ascii="Times New Roman" w:hAnsi="Times New Roman"/>
          <w:iCs/>
          <w:sz w:val="24"/>
        </w:rPr>
        <w:t>iesieniu do wszystkich zabezpieczonych ekspozycji, niezależnie od tego, czy do obliczania kwoty ekspozycji ważonej ryzykiem stosuje się metodę standardową czy metodę IRB. Instytucje uzupełniają wzór uwagami zamieszczonymi</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opi</w:t>
      </w:r>
      <w:r w:rsidRPr="00835753">
        <w:rPr>
          <w:rFonts w:ascii="Times New Roman" w:hAnsi="Times New Roman"/>
          <w:iCs/>
          <w:sz w:val="24"/>
        </w:rPr>
        <w:t>sie</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cel</w:t>
      </w:r>
      <w:r w:rsidRPr="00835753">
        <w:rPr>
          <w:rFonts w:ascii="Times New Roman" w:hAnsi="Times New Roman"/>
          <w:iCs/>
          <w:sz w:val="24"/>
        </w:rPr>
        <w:t xml:space="preserve">u wyjaśnienia </w:t>
      </w:r>
      <w:r w:rsidRPr="00835753">
        <w:rPr>
          <w:rFonts w:ascii="Times New Roman" w:hAnsi="Times New Roman"/>
          <w:iCs/>
          <w:sz w:val="24"/>
        </w:rPr>
        <w:lastRenderedPageBreak/>
        <w:t>wszelkich istotnych zmian</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okr</w:t>
      </w:r>
      <w:r w:rsidRPr="00835753">
        <w:rPr>
          <w:rFonts w:ascii="Times New Roman" w:hAnsi="Times New Roman"/>
          <w:iCs/>
          <w:sz w:val="24"/>
        </w:rPr>
        <w:t>esie, za który informacje podlegają ujawnieniu, oraz głównych czynników powodujących takie zmiany.</w:t>
      </w:r>
    </w:p>
    <w:p w14:paraId="150C818D" w14:textId="77777777" w:rsidR="001C2E4C" w:rsidRPr="00835753"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835753"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835753" w:rsidRDefault="001C2E4C"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Oznaczenie kolumny</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5CDEF88" w:rsidR="001C2E4C" w:rsidRPr="00835753" w:rsidRDefault="001C2E4C"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1C2E4C" w:rsidRPr="00835753"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835753"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835753" w:rsidRDefault="001C2E4C" w:rsidP="00155C96">
            <w:pPr>
              <w:spacing w:after="120"/>
              <w:rPr>
                <w:rFonts w:ascii="Times New Roman" w:hAnsi="Times New Roman" w:cs="Times New Roman"/>
                <w:b/>
                <w:sz w:val="24"/>
              </w:rPr>
            </w:pPr>
            <w:r w:rsidRPr="00835753">
              <w:rPr>
                <w:rFonts w:ascii="Times New Roman" w:hAnsi="Times New Roman"/>
                <w:b/>
                <w:sz w:val="24"/>
              </w:rPr>
              <w:t>Wyjaśnienie</w:t>
            </w:r>
          </w:p>
        </w:tc>
      </w:tr>
      <w:tr w:rsidR="001C2E4C" w:rsidRPr="00835753" w14:paraId="33083224" w14:textId="77777777" w:rsidTr="00155C96">
        <w:trPr>
          <w:trHeight w:val="316"/>
        </w:trPr>
        <w:tc>
          <w:tcPr>
            <w:tcW w:w="1413" w:type="dxa"/>
          </w:tcPr>
          <w:p w14:paraId="51124D3C" w14:textId="77777777" w:rsidR="001C2E4C" w:rsidRPr="00835753" w:rsidRDefault="001C2E4C"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654" w:type="dxa"/>
          </w:tcPr>
          <w:p w14:paraId="4629D4D5" w14:textId="77777777" w:rsidR="001C2E4C" w:rsidRPr="00835753" w:rsidRDefault="001C2E4C" w:rsidP="00155C96">
            <w:pPr>
              <w:autoSpaceDE w:val="0"/>
              <w:autoSpaceDN w:val="0"/>
              <w:adjustRightInd w:val="0"/>
              <w:spacing w:after="120"/>
              <w:jc w:val="both"/>
              <w:rPr>
                <w:rFonts w:ascii="Times New Roman" w:eastAsia="Times New Roman" w:hAnsi="Times New Roman" w:cs="Times New Roman"/>
                <w:b/>
                <w:iCs/>
                <w:sz w:val="24"/>
              </w:rPr>
            </w:pPr>
            <w:r w:rsidRPr="00835753">
              <w:rPr>
                <w:rFonts w:ascii="Times New Roman" w:hAnsi="Times New Roman"/>
                <w:b/>
                <w:iCs/>
                <w:sz w:val="24"/>
              </w:rPr>
              <w:t xml:space="preserve">Niezabezpieczona wartość bilansowa: </w:t>
            </w:r>
          </w:p>
          <w:p w14:paraId="4DD6C7A5" w14:textId="77777777" w:rsidR="001C2E4C" w:rsidRPr="00835753" w:rsidRDefault="001C2E4C"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 xml:space="preserve">Wartość bilansowa ekspozycji (po odliczeniu odpisów aktualizujących/utraty wartości), które nie są objęte żadną techniką ograniczania ryzyka kredytowego, niezależnie od tego, czy technikę tę uznano na mocy CRR </w:t>
            </w:r>
          </w:p>
          <w:p w14:paraId="43B5DDBB" w14:textId="1CCC6CA0" w:rsidR="001C2E4C" w:rsidRPr="00835753" w:rsidRDefault="001C2E4C"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iCs/>
                <w:sz w:val="24"/>
              </w:rPr>
              <w:t>W szczególności odnosi się ona do ekspozycji,</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prz</w:t>
            </w:r>
            <w:r w:rsidRPr="00835753">
              <w:rPr>
                <w:rFonts w:ascii="Times New Roman" w:hAnsi="Times New Roman"/>
                <w:iCs/>
                <w:sz w:val="24"/>
              </w:rPr>
              <w:t>ypadku których nie ustanowiono zabezpieczenia ani nie otrzymano gwarancji finansowej; nie uwzględnia się niezabezpieczonej części ekspozycji częściowo zabezpieczonej lub częściowo gwarantowanej.</w:t>
            </w:r>
          </w:p>
        </w:tc>
      </w:tr>
      <w:tr w:rsidR="001C2E4C" w:rsidRPr="00835753" w14:paraId="58BFB6E3" w14:textId="77777777" w:rsidTr="00155C96">
        <w:trPr>
          <w:trHeight w:val="316"/>
        </w:trPr>
        <w:tc>
          <w:tcPr>
            <w:tcW w:w="1413" w:type="dxa"/>
          </w:tcPr>
          <w:p w14:paraId="5C78556F" w14:textId="77777777" w:rsidR="001C2E4C" w:rsidRPr="00835753" w:rsidRDefault="001C2E4C"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654" w:type="dxa"/>
          </w:tcPr>
          <w:p w14:paraId="0F7272AC" w14:textId="77777777" w:rsidR="001C2E4C" w:rsidRPr="00835753" w:rsidRDefault="001C2E4C" w:rsidP="00155C96">
            <w:pPr>
              <w:autoSpaceDE w:val="0"/>
              <w:autoSpaceDN w:val="0"/>
              <w:adjustRightInd w:val="0"/>
              <w:spacing w:after="120"/>
              <w:jc w:val="both"/>
              <w:rPr>
                <w:rFonts w:ascii="Times New Roman" w:eastAsia="Times New Roman" w:hAnsi="Times New Roman" w:cs="Times New Roman"/>
                <w:b/>
                <w:iCs/>
                <w:sz w:val="24"/>
              </w:rPr>
            </w:pPr>
            <w:r w:rsidRPr="00835753">
              <w:rPr>
                <w:rFonts w:ascii="Times New Roman" w:hAnsi="Times New Roman"/>
                <w:b/>
                <w:iCs/>
                <w:sz w:val="24"/>
              </w:rPr>
              <w:t xml:space="preserve">Zabezpieczona wartość bilansowa: </w:t>
            </w:r>
          </w:p>
          <w:p w14:paraId="34A5E0D0" w14:textId="2394ACA6" w:rsidR="001C2E4C" w:rsidRPr="00835753" w:rsidRDefault="001C2E4C"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Wartość bilansowa ekspozycji,</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któ</w:t>
            </w:r>
            <w:r w:rsidRPr="00835753">
              <w:rPr>
                <w:rFonts w:ascii="Times New Roman" w:hAnsi="Times New Roman"/>
                <w:iCs/>
                <w:sz w:val="24"/>
              </w:rPr>
              <w:t>rymi powiązana jest co najmniej jedna technika ograniczania ryzyka kredytowego (zabezpieczenia, gwarancje finansowe, kredytowe instrumenty pochodne)</w:t>
            </w:r>
          </w:p>
          <w:p w14:paraId="5AAE6B78" w14:textId="2B63AD9B" w:rsidR="001C2E4C" w:rsidRPr="00835753" w:rsidRDefault="001C2E4C"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W przypadku gdy wartość zabezpieczenia, gwarancji finansowych</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kre</w:t>
            </w:r>
            <w:r w:rsidRPr="00835753">
              <w:rPr>
                <w:rFonts w:ascii="Times New Roman" w:hAnsi="Times New Roman"/>
                <w:iCs/>
                <w:sz w:val="24"/>
              </w:rPr>
              <w:t>dytowych instrumentów pochodnych zabezpieczających ekspozycję przewyższa wartość bilansową tej ekspozycji, ujmuje się jedynie wartości do wysokości wartości bilansowej tej ekspozycji</w:t>
            </w:r>
            <w:r w:rsidR="00835753" w:rsidRPr="00835753">
              <w:rPr>
                <w:rFonts w:ascii="Times New Roman" w:hAnsi="Times New Roman"/>
                <w:iCs/>
                <w:sz w:val="24"/>
              </w:rPr>
              <w:t>. W</w:t>
            </w:r>
            <w:r w:rsidR="00835753">
              <w:rPr>
                <w:rFonts w:ascii="Times New Roman" w:hAnsi="Times New Roman"/>
                <w:iCs/>
                <w:sz w:val="24"/>
              </w:rPr>
              <w:t> </w:t>
            </w:r>
            <w:r w:rsidR="00835753" w:rsidRPr="00835753">
              <w:rPr>
                <w:rFonts w:ascii="Times New Roman" w:hAnsi="Times New Roman"/>
                <w:iCs/>
                <w:sz w:val="24"/>
              </w:rPr>
              <w:t>prz</w:t>
            </w:r>
            <w:r w:rsidRPr="00835753">
              <w:rPr>
                <w:rFonts w:ascii="Times New Roman" w:hAnsi="Times New Roman"/>
                <w:iCs/>
                <w:sz w:val="24"/>
              </w:rPr>
              <w:t>ypadku gdy wartość bilansowa ekspozycji przewyższa wartość zabezpieczeń, gwarancji finansowych</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kre</w:t>
            </w:r>
            <w:r w:rsidRPr="00835753">
              <w:rPr>
                <w:rFonts w:ascii="Times New Roman" w:hAnsi="Times New Roman"/>
                <w:iCs/>
                <w:sz w:val="24"/>
              </w:rPr>
              <w:t>dytowych instrumentów pochodnych zabezpieczających tę ekspozycję, ujmuje się pełną wartość bilansową tej ekspozycji.</w:t>
            </w:r>
          </w:p>
          <w:p w14:paraId="705DC79D" w14:textId="4CF6DD99" w:rsidR="001C2E4C" w:rsidRPr="00835753" w:rsidRDefault="001C2E4C"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iCs/>
                <w:sz w:val="24"/>
              </w:rPr>
              <w:t>Do celów poniższych kolumn c), d) i e) przypisanie wartości bilansowej ekspozycji zabezpieczonych na wiele sposobów do poszczególnych technik ograniczania ryzyka kredytowego odbywa się według hierarchii ważności, począwszy od techniki ograniczania ryzyka kredytowego, która ma być wykorzystana</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pie</w:t>
            </w:r>
            <w:r w:rsidRPr="00835753">
              <w:rPr>
                <w:rFonts w:ascii="Times New Roman" w:hAnsi="Times New Roman"/>
                <w:iCs/>
                <w:sz w:val="24"/>
              </w:rPr>
              <w:t>rwszej kolejności</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prz</w:t>
            </w:r>
            <w:r w:rsidRPr="00835753">
              <w:rPr>
                <w:rFonts w:ascii="Times New Roman" w:hAnsi="Times New Roman"/>
                <w:iCs/>
                <w:sz w:val="24"/>
              </w:rPr>
              <w:t>ypadku braku zapłaty, oraz</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gra</w:t>
            </w:r>
            <w:r w:rsidRPr="00835753">
              <w:rPr>
                <w:rFonts w:ascii="Times New Roman" w:hAnsi="Times New Roman"/>
                <w:iCs/>
                <w:sz w:val="24"/>
              </w:rPr>
              <w:t>nicach wartości bilansowej ekspozycji zabezpieczonych. Dowolną część ekspozycji ujmuje się tylko</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jed</w:t>
            </w:r>
            <w:r w:rsidRPr="00835753">
              <w:rPr>
                <w:rFonts w:ascii="Times New Roman" w:hAnsi="Times New Roman"/>
                <w:iCs/>
                <w:sz w:val="24"/>
              </w:rPr>
              <w:t>nej</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kol</w:t>
            </w:r>
            <w:r w:rsidRPr="00835753">
              <w:rPr>
                <w:rFonts w:ascii="Times New Roman" w:hAnsi="Times New Roman"/>
                <w:iCs/>
                <w:sz w:val="24"/>
              </w:rPr>
              <w:t xml:space="preserve">umn c), d) lub e) niniejszego wzoru. </w:t>
            </w:r>
          </w:p>
        </w:tc>
      </w:tr>
      <w:tr w:rsidR="001C2E4C" w:rsidRPr="00835753" w14:paraId="73EB0C4B" w14:textId="77777777" w:rsidTr="00155C96">
        <w:trPr>
          <w:trHeight w:val="316"/>
        </w:trPr>
        <w:tc>
          <w:tcPr>
            <w:tcW w:w="1413" w:type="dxa"/>
          </w:tcPr>
          <w:p w14:paraId="4DD80F2F" w14:textId="77777777" w:rsidR="001C2E4C" w:rsidRPr="00835753" w:rsidRDefault="001C2E4C"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c</w:t>
            </w:r>
            <w:proofErr w:type="gramEnd"/>
            <w:r w:rsidRPr="00835753">
              <w:rPr>
                <w:rFonts w:ascii="Times New Roman" w:hAnsi="Times New Roman"/>
                <w:sz w:val="24"/>
              </w:rPr>
              <w:t>)</w:t>
            </w:r>
          </w:p>
        </w:tc>
        <w:tc>
          <w:tcPr>
            <w:tcW w:w="7654" w:type="dxa"/>
          </w:tcPr>
          <w:p w14:paraId="74CB6D6A" w14:textId="77777777" w:rsidR="001C2E4C" w:rsidRPr="00835753" w:rsidRDefault="001C2E4C" w:rsidP="00155C96">
            <w:pPr>
              <w:autoSpaceDE w:val="0"/>
              <w:autoSpaceDN w:val="0"/>
              <w:adjustRightInd w:val="0"/>
              <w:spacing w:after="120"/>
              <w:jc w:val="both"/>
              <w:rPr>
                <w:rFonts w:ascii="Times New Roman" w:eastAsia="Times New Roman" w:hAnsi="Times New Roman" w:cs="Times New Roman"/>
                <w:b/>
                <w:iCs/>
                <w:sz w:val="24"/>
              </w:rPr>
            </w:pPr>
            <w:proofErr w:type="gramStart"/>
            <w:r w:rsidRPr="00835753">
              <w:rPr>
                <w:rFonts w:ascii="Times New Roman" w:hAnsi="Times New Roman"/>
                <w:b/>
                <w:iCs/>
                <w:sz w:val="24"/>
              </w:rPr>
              <w:t>w</w:t>
            </w:r>
            <w:proofErr w:type="gramEnd"/>
            <w:r w:rsidRPr="00835753">
              <w:rPr>
                <w:rFonts w:ascii="Times New Roman" w:hAnsi="Times New Roman"/>
                <w:b/>
                <w:iCs/>
                <w:sz w:val="24"/>
              </w:rPr>
              <w:t xml:space="preserve"> tym objęte zabezpieczeniem: </w:t>
            </w:r>
          </w:p>
          <w:p w14:paraId="3B317890" w14:textId="1EE052F1" w:rsidR="001C2E4C" w:rsidRPr="00835753" w:rsidRDefault="001C2E4C"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Jest to podzbiór kolumny b) niniejszego wzoru</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odp</w:t>
            </w:r>
            <w:r w:rsidRPr="00835753">
              <w:rPr>
                <w:rFonts w:ascii="Times New Roman" w:hAnsi="Times New Roman"/>
                <w:iCs/>
                <w:sz w:val="24"/>
              </w:rPr>
              <w:t>owiada wartości bilansowej ekspozycji (po odliczeniu odpisów aktualizujących/utraty wartości) lub części ekspozycji objętych zabezpieczeniem</w:t>
            </w:r>
            <w:r w:rsidR="00835753" w:rsidRPr="00835753">
              <w:rPr>
                <w:rFonts w:ascii="Times New Roman" w:hAnsi="Times New Roman"/>
                <w:iCs/>
                <w:sz w:val="24"/>
              </w:rPr>
              <w:t>. W</w:t>
            </w:r>
            <w:r w:rsidR="00835753">
              <w:rPr>
                <w:rFonts w:ascii="Times New Roman" w:hAnsi="Times New Roman"/>
                <w:iCs/>
                <w:sz w:val="24"/>
              </w:rPr>
              <w:t> </w:t>
            </w:r>
            <w:r w:rsidR="00835753" w:rsidRPr="00835753">
              <w:rPr>
                <w:rFonts w:ascii="Times New Roman" w:hAnsi="Times New Roman"/>
                <w:iCs/>
                <w:sz w:val="24"/>
              </w:rPr>
              <w:t>prz</w:t>
            </w:r>
            <w:r w:rsidRPr="00835753">
              <w:rPr>
                <w:rFonts w:ascii="Times New Roman" w:hAnsi="Times New Roman"/>
                <w:iCs/>
                <w:sz w:val="24"/>
              </w:rPr>
              <w:t>ypadku gdy ekspozycja objęta jest zabezpieczeniem</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inn</w:t>
            </w:r>
            <w:r w:rsidRPr="00835753">
              <w:rPr>
                <w:rFonts w:ascii="Times New Roman" w:hAnsi="Times New Roman"/>
                <w:iCs/>
                <w:sz w:val="24"/>
              </w:rPr>
              <w:t>ymi technikami ograniczania ryzyka kredytowego, które mają być wykorzystane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wyp</w:t>
            </w:r>
            <w:r w:rsidRPr="00835753">
              <w:rPr>
                <w:rFonts w:ascii="Times New Roman" w:hAnsi="Times New Roman"/>
                <w:iCs/>
                <w:sz w:val="24"/>
              </w:rPr>
              <w:t>rzedzeniem</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prz</w:t>
            </w:r>
            <w:r w:rsidRPr="00835753">
              <w:rPr>
                <w:rFonts w:ascii="Times New Roman" w:hAnsi="Times New Roman"/>
                <w:iCs/>
                <w:sz w:val="24"/>
              </w:rPr>
              <w:t>ypadku braku zapłaty, wartością bilansową ekspozycji objętej zabezpieczeniem jest pozostała część ekspozycji po uwzględnieniu części ekspozycji już objętych innymi technikami ograniczania ryzyka, do wysokości wartości bilansowej tej ekspozycji.</w:t>
            </w:r>
          </w:p>
        </w:tc>
      </w:tr>
      <w:tr w:rsidR="001C2E4C" w:rsidRPr="00835753" w14:paraId="729301CB" w14:textId="77777777" w:rsidTr="00155C96">
        <w:trPr>
          <w:trHeight w:val="316"/>
        </w:trPr>
        <w:tc>
          <w:tcPr>
            <w:tcW w:w="1413" w:type="dxa"/>
          </w:tcPr>
          <w:p w14:paraId="1B438D3D" w14:textId="77777777" w:rsidR="001C2E4C" w:rsidRPr="00835753" w:rsidRDefault="001C2E4C"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d</w:t>
            </w:r>
            <w:proofErr w:type="gramEnd"/>
            <w:r w:rsidRPr="00835753">
              <w:rPr>
                <w:rFonts w:ascii="Times New Roman" w:hAnsi="Times New Roman"/>
                <w:sz w:val="24"/>
              </w:rPr>
              <w:t>)</w:t>
            </w:r>
          </w:p>
        </w:tc>
        <w:tc>
          <w:tcPr>
            <w:tcW w:w="7654" w:type="dxa"/>
          </w:tcPr>
          <w:p w14:paraId="098E1788" w14:textId="77777777" w:rsidR="001C2E4C" w:rsidRPr="00835753" w:rsidRDefault="001C2E4C" w:rsidP="00155C96">
            <w:pPr>
              <w:autoSpaceDE w:val="0"/>
              <w:autoSpaceDN w:val="0"/>
              <w:adjustRightInd w:val="0"/>
              <w:spacing w:after="120"/>
              <w:jc w:val="both"/>
              <w:rPr>
                <w:rFonts w:ascii="Times New Roman" w:eastAsia="Times New Roman" w:hAnsi="Times New Roman" w:cs="Times New Roman"/>
                <w:b/>
                <w:iCs/>
                <w:sz w:val="24"/>
              </w:rPr>
            </w:pPr>
            <w:proofErr w:type="gramStart"/>
            <w:r w:rsidRPr="00835753">
              <w:rPr>
                <w:rFonts w:ascii="Times New Roman" w:hAnsi="Times New Roman"/>
                <w:b/>
                <w:iCs/>
                <w:sz w:val="24"/>
              </w:rPr>
              <w:t>w</w:t>
            </w:r>
            <w:proofErr w:type="gramEnd"/>
            <w:r w:rsidRPr="00835753">
              <w:rPr>
                <w:rFonts w:ascii="Times New Roman" w:hAnsi="Times New Roman"/>
                <w:b/>
                <w:iCs/>
                <w:sz w:val="24"/>
              </w:rPr>
              <w:t xml:space="preserve"> tym zabezpieczone gwarancjami finansowymi: </w:t>
            </w:r>
          </w:p>
          <w:p w14:paraId="2B2982FE" w14:textId="1653F1C9" w:rsidR="001C2E4C" w:rsidRPr="00835753" w:rsidRDefault="001C2E4C"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lastRenderedPageBreak/>
              <w:t>Jest to podzbiór kolumny b) niniejszego wzoru</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odp</w:t>
            </w:r>
            <w:r w:rsidRPr="00835753">
              <w:rPr>
                <w:rFonts w:ascii="Times New Roman" w:hAnsi="Times New Roman"/>
                <w:iCs/>
                <w:sz w:val="24"/>
              </w:rPr>
              <w:t>owiada wartości bilansowej ekspozycji (po odliczeniu odpisów aktualizujących/utraty wartości) lub części ekspozycji objętych gwarancjami</w:t>
            </w:r>
            <w:r w:rsidR="00835753" w:rsidRPr="00835753">
              <w:rPr>
                <w:rFonts w:ascii="Times New Roman" w:hAnsi="Times New Roman"/>
                <w:iCs/>
                <w:sz w:val="24"/>
              </w:rPr>
              <w:t>. W</w:t>
            </w:r>
            <w:r w:rsidR="00835753">
              <w:rPr>
                <w:rFonts w:ascii="Times New Roman" w:hAnsi="Times New Roman"/>
                <w:iCs/>
                <w:sz w:val="24"/>
              </w:rPr>
              <w:t> </w:t>
            </w:r>
            <w:r w:rsidR="00835753" w:rsidRPr="00835753">
              <w:rPr>
                <w:rFonts w:ascii="Times New Roman" w:hAnsi="Times New Roman"/>
                <w:iCs/>
                <w:sz w:val="24"/>
              </w:rPr>
              <w:t>prz</w:t>
            </w:r>
            <w:r w:rsidRPr="00835753">
              <w:rPr>
                <w:rFonts w:ascii="Times New Roman" w:hAnsi="Times New Roman"/>
                <w:iCs/>
                <w:sz w:val="24"/>
              </w:rPr>
              <w:t>ypadku gdy ekspozycja objęta jest gwarancjami</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inn</w:t>
            </w:r>
            <w:r w:rsidRPr="00835753">
              <w:rPr>
                <w:rFonts w:ascii="Times New Roman" w:hAnsi="Times New Roman"/>
                <w:iCs/>
                <w:sz w:val="24"/>
              </w:rPr>
              <w:t>ymi technikami ograniczania ryzyka kredytowego, które mają być wykorzystane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wyp</w:t>
            </w:r>
            <w:r w:rsidRPr="00835753">
              <w:rPr>
                <w:rFonts w:ascii="Times New Roman" w:hAnsi="Times New Roman"/>
                <w:iCs/>
                <w:sz w:val="24"/>
              </w:rPr>
              <w:t>rzedzeniem</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prz</w:t>
            </w:r>
            <w:r w:rsidRPr="00835753">
              <w:rPr>
                <w:rFonts w:ascii="Times New Roman" w:hAnsi="Times New Roman"/>
                <w:iCs/>
                <w:sz w:val="24"/>
              </w:rPr>
              <w:t>ypadku braku zapłaty, wartością bilansową ekspozycji zabezpieczonej gwarancjami jest pozostała część ekspozycji po uwzględnieniu części ekspozycji już objętych innymi technikami ograniczania ryzyka, do wysokości wartości bilansowej tej ekspozycji.</w:t>
            </w:r>
          </w:p>
        </w:tc>
      </w:tr>
      <w:tr w:rsidR="001C2E4C" w:rsidRPr="00835753" w14:paraId="4C5B2660" w14:textId="77777777" w:rsidTr="00155C96">
        <w:trPr>
          <w:trHeight w:val="316"/>
        </w:trPr>
        <w:tc>
          <w:tcPr>
            <w:tcW w:w="1413" w:type="dxa"/>
          </w:tcPr>
          <w:p w14:paraId="0CB8B971" w14:textId="77777777" w:rsidR="001C2E4C" w:rsidRPr="00835753" w:rsidRDefault="001C2E4C"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lastRenderedPageBreak/>
              <w:t>e</w:t>
            </w:r>
            <w:proofErr w:type="gramEnd"/>
            <w:r w:rsidRPr="00835753">
              <w:rPr>
                <w:rFonts w:ascii="Times New Roman" w:hAnsi="Times New Roman"/>
                <w:sz w:val="24"/>
              </w:rPr>
              <w:t>)</w:t>
            </w:r>
          </w:p>
        </w:tc>
        <w:tc>
          <w:tcPr>
            <w:tcW w:w="7654" w:type="dxa"/>
          </w:tcPr>
          <w:p w14:paraId="25AEDEB9" w14:textId="77777777" w:rsidR="001C2E4C" w:rsidRPr="00835753" w:rsidRDefault="001C2E4C" w:rsidP="00155C96">
            <w:pPr>
              <w:autoSpaceDE w:val="0"/>
              <w:autoSpaceDN w:val="0"/>
              <w:adjustRightInd w:val="0"/>
              <w:spacing w:after="120"/>
              <w:jc w:val="both"/>
              <w:rPr>
                <w:rFonts w:ascii="Times New Roman" w:eastAsia="Times New Roman" w:hAnsi="Times New Roman" w:cs="Times New Roman"/>
                <w:b/>
                <w:iCs/>
                <w:sz w:val="24"/>
              </w:rPr>
            </w:pPr>
            <w:proofErr w:type="gramStart"/>
            <w:r w:rsidRPr="00835753">
              <w:rPr>
                <w:rFonts w:ascii="Times New Roman" w:hAnsi="Times New Roman"/>
                <w:b/>
                <w:iCs/>
                <w:sz w:val="24"/>
              </w:rPr>
              <w:t>w</w:t>
            </w:r>
            <w:proofErr w:type="gramEnd"/>
            <w:r w:rsidRPr="00835753">
              <w:rPr>
                <w:rFonts w:ascii="Times New Roman" w:hAnsi="Times New Roman"/>
                <w:b/>
                <w:iCs/>
                <w:sz w:val="24"/>
              </w:rPr>
              <w:t xml:space="preserve"> tym zabezpieczone kredytowymi instrumentami pochodnymi: </w:t>
            </w:r>
          </w:p>
          <w:p w14:paraId="40A31B4D" w14:textId="4A8E1339" w:rsidR="001C2E4C" w:rsidRPr="00835753" w:rsidRDefault="001C2E4C"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Jest to podzbiór kolumny d) niniejszego wzoru (gwarancje finansowe)</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odp</w:t>
            </w:r>
            <w:r w:rsidRPr="00835753">
              <w:rPr>
                <w:rFonts w:ascii="Times New Roman" w:hAnsi="Times New Roman"/>
                <w:iCs/>
                <w:sz w:val="24"/>
              </w:rPr>
              <w:t>owiada wartości bilansowej ekspozycji (po odliczeniu odpisów aktualizujących/utraty wartości) lub części ekspozycji zabezpieczonych kredytowymi instrumentami pochodnymi</w:t>
            </w:r>
            <w:r w:rsidR="00835753" w:rsidRPr="00835753">
              <w:rPr>
                <w:rFonts w:ascii="Times New Roman" w:hAnsi="Times New Roman"/>
                <w:iCs/>
                <w:sz w:val="24"/>
              </w:rPr>
              <w:t>. W</w:t>
            </w:r>
            <w:r w:rsidR="00835753">
              <w:rPr>
                <w:rFonts w:ascii="Times New Roman" w:hAnsi="Times New Roman"/>
                <w:iCs/>
                <w:sz w:val="24"/>
              </w:rPr>
              <w:t> </w:t>
            </w:r>
            <w:r w:rsidR="00835753" w:rsidRPr="00835753">
              <w:rPr>
                <w:rFonts w:ascii="Times New Roman" w:hAnsi="Times New Roman"/>
                <w:iCs/>
                <w:sz w:val="24"/>
              </w:rPr>
              <w:t>prz</w:t>
            </w:r>
            <w:r w:rsidRPr="00835753">
              <w:rPr>
                <w:rFonts w:ascii="Times New Roman" w:hAnsi="Times New Roman"/>
                <w:iCs/>
                <w:sz w:val="24"/>
              </w:rPr>
              <w:t>ypadku gdy ekspozycja objęta jest kredytowymi instrumentami pochodnymi</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inn</w:t>
            </w:r>
            <w:r w:rsidRPr="00835753">
              <w:rPr>
                <w:rFonts w:ascii="Times New Roman" w:hAnsi="Times New Roman"/>
                <w:iCs/>
                <w:sz w:val="24"/>
              </w:rPr>
              <w:t>ymi technikami ograniczania ryzyka kredytowego, które mają być wykorzystane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wyp</w:t>
            </w:r>
            <w:r w:rsidRPr="00835753">
              <w:rPr>
                <w:rFonts w:ascii="Times New Roman" w:hAnsi="Times New Roman"/>
                <w:iCs/>
                <w:sz w:val="24"/>
              </w:rPr>
              <w:t>rzedzeniem</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prz</w:t>
            </w:r>
            <w:r w:rsidRPr="00835753">
              <w:rPr>
                <w:rFonts w:ascii="Times New Roman" w:hAnsi="Times New Roman"/>
                <w:iCs/>
                <w:sz w:val="24"/>
              </w:rPr>
              <w:t xml:space="preserve">ypadku braku zapłaty, wartością bilansową ekspozycji zabezpieczonej kredytowymi instrumentami pochodnymi jest pozostała część ekspozycji po uwzględnieniu części ekspozycji już objętych innymi technikami ograniczania ryzyka, do wysokości wartości bilansowej tej ekspozycji. </w:t>
            </w:r>
          </w:p>
        </w:tc>
      </w:tr>
    </w:tbl>
    <w:p w14:paraId="5FDBFCB3" w14:textId="77777777" w:rsidR="001C2E4C" w:rsidRPr="00835753"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835753"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835753" w:rsidRDefault="001C2E4C"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Oznaczenie wiersza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640E85E4" w:rsidR="001C2E4C" w:rsidRPr="00835753" w:rsidRDefault="001C2E4C"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1C2E4C" w:rsidRPr="00835753"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835753"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835753" w:rsidRDefault="001C2E4C" w:rsidP="00155C96">
            <w:pPr>
              <w:spacing w:after="120"/>
              <w:rPr>
                <w:rFonts w:ascii="Times New Roman" w:hAnsi="Times New Roman" w:cs="Times New Roman"/>
                <w:b/>
                <w:sz w:val="24"/>
              </w:rPr>
            </w:pPr>
            <w:r w:rsidRPr="00835753">
              <w:rPr>
                <w:rFonts w:ascii="Times New Roman" w:hAnsi="Times New Roman"/>
                <w:b/>
                <w:sz w:val="24"/>
              </w:rPr>
              <w:t>Wyjaśnienie</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835753"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00ADD869" w:rsidR="001C2E4C" w:rsidRPr="00835753" w:rsidRDefault="001C2E4C" w:rsidP="00155C96">
            <w:pPr>
              <w:spacing w:after="120"/>
              <w:jc w:val="both"/>
              <w:rPr>
                <w:rFonts w:ascii="Times New Roman" w:hAnsi="Times New Roman" w:cs="Times New Roman"/>
                <w:b/>
                <w:sz w:val="24"/>
                <w:u w:val="single"/>
              </w:rPr>
            </w:pPr>
            <w:r w:rsidRPr="00835753">
              <w:rPr>
                <w:rFonts w:ascii="Times New Roman" w:hAnsi="Times New Roman"/>
                <w:b/>
                <w:sz w:val="24"/>
                <w:u w:val="single"/>
              </w:rPr>
              <w:t>Kredyty</w:t>
            </w:r>
            <w:r w:rsidR="00835753" w:rsidRPr="00835753">
              <w:rPr>
                <w:rFonts w:ascii="Times New Roman" w:hAnsi="Times New Roman"/>
                <w:b/>
                <w:sz w:val="24"/>
                <w:u w:val="single"/>
              </w:rPr>
              <w:t xml:space="preserve"> i</w:t>
            </w:r>
            <w:r w:rsidR="00835753">
              <w:rPr>
                <w:rFonts w:ascii="Times New Roman" w:hAnsi="Times New Roman"/>
                <w:b/>
                <w:sz w:val="24"/>
                <w:u w:val="single"/>
              </w:rPr>
              <w:t> </w:t>
            </w:r>
            <w:r w:rsidR="00835753" w:rsidRPr="00835753">
              <w:rPr>
                <w:rFonts w:ascii="Times New Roman" w:hAnsi="Times New Roman"/>
                <w:b/>
                <w:sz w:val="24"/>
                <w:u w:val="single"/>
              </w:rPr>
              <w:t>zal</w:t>
            </w:r>
            <w:r w:rsidRPr="00835753">
              <w:rPr>
                <w:rFonts w:ascii="Times New Roman" w:hAnsi="Times New Roman"/>
                <w:b/>
                <w:sz w:val="24"/>
                <w:u w:val="single"/>
              </w:rPr>
              <w:t>iczki</w:t>
            </w:r>
          </w:p>
          <w:p w14:paraId="32C72B69" w14:textId="38BAF51F"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„Kredyty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iczki” są to posiadane przez instytucje instrumenty dłużne niebędące papierami wartościowymi; pozycja ta obejmuje „kredyty”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(UE) nr</w:t>
            </w:r>
            <w:r w:rsidR="00835753" w:rsidRPr="00835753">
              <w:rPr>
                <w:rFonts w:ascii="Times New Roman" w:hAnsi="Times New Roman"/>
                <w:sz w:val="24"/>
              </w:rPr>
              <w:t> </w:t>
            </w:r>
            <w:r w:rsidRPr="00835753">
              <w:rPr>
                <w:rFonts w:ascii="Times New Roman" w:hAnsi="Times New Roman"/>
                <w:sz w:val="24"/>
              </w:rPr>
              <w:t>1071/2013 („rozporządzenie EBC</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awie pozycji bilansowych</w:t>
            </w:r>
            <w:proofErr w:type="gramStart"/>
            <w:r w:rsidRPr="00835753">
              <w:rPr>
                <w:rFonts w:ascii="Times New Roman" w:hAnsi="Times New Roman"/>
                <w:sz w:val="24"/>
              </w:rPr>
              <w:t>”)</w:t>
            </w:r>
            <w:r w:rsidRPr="00835753">
              <w:rPr>
                <w:rStyle w:val="FootnoteReference"/>
                <w:rFonts w:ascii="Times New Roman" w:hAnsi="Times New Roman" w:cs="Times New Roman"/>
                <w:sz w:val="24"/>
                <w:szCs w:val="24"/>
              </w:rPr>
              <w:footnoteReference w:id="34"/>
            </w:r>
            <w:r w:rsidRPr="00835753">
              <w:rPr>
                <w:rFonts w:ascii="Times New Roman" w:hAnsi="Times New Roman"/>
                <w:sz w:val="24"/>
              </w:rPr>
              <w:t>, jak</w:t>
            </w:r>
            <w:proofErr w:type="gramEnd"/>
            <w:r w:rsidRPr="00835753">
              <w:rPr>
                <w:rFonts w:ascii="Times New Roman" w:hAnsi="Times New Roman"/>
                <w:sz w:val="24"/>
              </w:rPr>
              <w:t xml:space="preserve"> również zaliczki, których nie można sklasyfikować jako „kredyty”,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EBC</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awie pozycji bilansowych, jak określono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1 pkt</w:t>
            </w:r>
            <w:r w:rsidR="00835753" w:rsidRPr="00835753">
              <w:rPr>
                <w:rFonts w:ascii="Times New Roman" w:hAnsi="Times New Roman"/>
                <w:sz w:val="24"/>
              </w:rPr>
              <w:t> </w:t>
            </w:r>
            <w:r w:rsidRPr="00835753">
              <w:rPr>
                <w:rFonts w:ascii="Times New Roman" w:hAnsi="Times New Roman"/>
                <w:sz w:val="24"/>
              </w:rPr>
              <w:t>32 załącznika V do rozporządzenia wykonawczego Komisji (UE) nr</w:t>
            </w:r>
            <w:r w:rsidR="00835753" w:rsidRPr="00835753">
              <w:rPr>
                <w:rFonts w:ascii="Times New Roman" w:hAnsi="Times New Roman"/>
                <w:sz w:val="24"/>
              </w:rPr>
              <w:t> </w:t>
            </w:r>
            <w:r w:rsidRPr="00835753">
              <w:rPr>
                <w:rFonts w:ascii="Times New Roman" w:hAnsi="Times New Roman"/>
                <w:sz w:val="24"/>
              </w:rPr>
              <w:t>680/2014</w:t>
            </w:r>
            <w:r w:rsidRPr="00835753">
              <w:rPr>
                <w:rStyle w:val="FootnoteReference"/>
                <w:rFonts w:ascii="Times New Roman" w:hAnsi="Times New Roman" w:cs="Times New Roman"/>
                <w:sz w:val="24"/>
                <w:szCs w:val="24"/>
              </w:rPr>
              <w:footnoteReference w:id="35"/>
            </w:r>
            <w:r w:rsidRPr="00835753">
              <w:rPr>
                <w:rFonts w:ascii="Times New Roman" w:hAnsi="Times New Roman"/>
                <w:sz w:val="24"/>
              </w:rPr>
              <w:t>.</w:t>
            </w:r>
          </w:p>
        </w:tc>
      </w:tr>
      <w:tr w:rsidR="001C2E4C" w:rsidRPr="00835753"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610F1F0B" w14:textId="77777777" w:rsidR="001C2E4C" w:rsidRPr="00835753" w:rsidRDefault="001C2E4C" w:rsidP="00155C96">
            <w:pPr>
              <w:spacing w:after="120"/>
              <w:jc w:val="both"/>
              <w:rPr>
                <w:rFonts w:ascii="Times New Roman" w:hAnsi="Times New Roman" w:cs="Times New Roman"/>
                <w:b/>
                <w:sz w:val="24"/>
                <w:u w:val="single"/>
              </w:rPr>
            </w:pPr>
            <w:r w:rsidRPr="00835753">
              <w:rPr>
                <w:rFonts w:ascii="Times New Roman" w:hAnsi="Times New Roman"/>
                <w:b/>
                <w:sz w:val="24"/>
                <w:u w:val="single"/>
              </w:rPr>
              <w:t>Dłużne papiery wartościowe</w:t>
            </w:r>
          </w:p>
          <w:p w14:paraId="1C26E60E" w14:textId="77C5FE0A"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Dłużne papiery wartościowe są to posiadane przez instytucję instrumenty dłużne wyemitowane jako papiery wartościowe niebędące kredytami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EBC</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awie pozycji bilansowych, jak określono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1 pkt</w:t>
            </w:r>
            <w:r w:rsidR="00835753" w:rsidRPr="00835753">
              <w:rPr>
                <w:rFonts w:ascii="Times New Roman" w:hAnsi="Times New Roman"/>
                <w:sz w:val="24"/>
              </w:rPr>
              <w:t> </w:t>
            </w:r>
            <w:r w:rsidRPr="00835753">
              <w:rPr>
                <w:rFonts w:ascii="Times New Roman" w:hAnsi="Times New Roman"/>
                <w:sz w:val="24"/>
              </w:rPr>
              <w:t>31 załącznika V do rozporządzenia wykonawczego Komisji (UE) nr</w:t>
            </w:r>
            <w:r w:rsidR="00835753" w:rsidRPr="00835753">
              <w:rPr>
                <w:rFonts w:ascii="Times New Roman" w:hAnsi="Times New Roman"/>
                <w:sz w:val="24"/>
              </w:rPr>
              <w:t> </w:t>
            </w:r>
            <w:r w:rsidRPr="00835753">
              <w:rPr>
                <w:rFonts w:ascii="Times New Roman" w:hAnsi="Times New Roman"/>
                <w:sz w:val="24"/>
              </w:rPr>
              <w:t>680/2014.</w:t>
            </w:r>
          </w:p>
        </w:tc>
      </w:tr>
      <w:tr w:rsidR="001C2E4C" w:rsidRPr="00835753"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lastRenderedPageBreak/>
              <w:t>3</w:t>
            </w:r>
          </w:p>
        </w:tc>
        <w:tc>
          <w:tcPr>
            <w:tcW w:w="8266" w:type="dxa"/>
            <w:tcBorders>
              <w:top w:val="single" w:sz="4" w:space="0" w:color="auto"/>
              <w:left w:val="single" w:sz="4" w:space="0" w:color="auto"/>
              <w:right w:val="single" w:sz="4" w:space="0" w:color="auto"/>
            </w:tcBorders>
          </w:tcPr>
          <w:p w14:paraId="57A37914" w14:textId="77777777" w:rsidR="001C2E4C" w:rsidRPr="00835753" w:rsidRDefault="001C2E4C" w:rsidP="00155C96">
            <w:pPr>
              <w:spacing w:after="120"/>
              <w:jc w:val="both"/>
              <w:rPr>
                <w:rFonts w:ascii="Times New Roman" w:hAnsi="Times New Roman" w:cs="Times New Roman"/>
                <w:b/>
                <w:sz w:val="24"/>
                <w:u w:val="single"/>
              </w:rPr>
            </w:pPr>
            <w:r w:rsidRPr="00835753">
              <w:rPr>
                <w:rFonts w:ascii="Times New Roman" w:hAnsi="Times New Roman"/>
                <w:b/>
                <w:sz w:val="24"/>
                <w:u w:val="single"/>
              </w:rPr>
              <w:t>Ogółem</w:t>
            </w:r>
          </w:p>
          <w:p w14:paraId="3568E0D6" w14:textId="0DBB6A92"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Suma wierszy 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2</w:t>
            </w:r>
            <w:r w:rsidRPr="00835753">
              <w:rPr>
                <w:rFonts w:ascii="Times New Roman" w:hAnsi="Times New Roman"/>
                <w:sz w:val="24"/>
              </w:rPr>
              <w:t xml:space="preserve"> niniejszego wzoru</w:t>
            </w:r>
          </w:p>
        </w:tc>
      </w:tr>
      <w:tr w:rsidR="001C2E4C" w:rsidRPr="00835753"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1F05ACD2" w14:textId="77777777" w:rsidR="001C2E4C" w:rsidRPr="00835753" w:rsidRDefault="001C2E4C" w:rsidP="00155C96">
            <w:pPr>
              <w:spacing w:after="120"/>
              <w:jc w:val="both"/>
              <w:rPr>
                <w:rFonts w:ascii="Times New Roman" w:hAnsi="Times New Roman" w:cs="Times New Roman"/>
                <w:b/>
                <w:sz w:val="24"/>
                <w:u w:val="single"/>
              </w:rPr>
            </w:pPr>
            <w:proofErr w:type="gramStart"/>
            <w:r w:rsidRPr="00835753">
              <w:rPr>
                <w:rFonts w:ascii="Times New Roman" w:hAnsi="Times New Roman"/>
                <w:b/>
                <w:sz w:val="24"/>
                <w:u w:val="single"/>
              </w:rPr>
              <w:t>w</w:t>
            </w:r>
            <w:proofErr w:type="gramEnd"/>
            <w:r w:rsidRPr="00835753">
              <w:rPr>
                <w:rFonts w:ascii="Times New Roman" w:hAnsi="Times New Roman"/>
                <w:b/>
                <w:sz w:val="24"/>
                <w:u w:val="single"/>
              </w:rPr>
              <w:t xml:space="preserve"> tym ekspozycje nieobsługiwane</w:t>
            </w:r>
          </w:p>
          <w:p w14:paraId="37C3C1FE" w14:textId="10E0EF1F"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Ekspozycje nieobsługiwane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47a CRR.</w:t>
            </w:r>
          </w:p>
        </w:tc>
      </w:tr>
      <w:tr w:rsidR="001C2E4C" w:rsidRPr="00835753"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40F24979" w14:textId="77777777" w:rsidR="001C2E4C" w:rsidRPr="00835753" w:rsidRDefault="001C2E4C" w:rsidP="00155C96">
            <w:pPr>
              <w:spacing w:after="120"/>
              <w:jc w:val="both"/>
              <w:rPr>
                <w:rFonts w:ascii="Times New Roman" w:hAnsi="Times New Roman" w:cs="Times New Roman"/>
                <w:b/>
                <w:sz w:val="24"/>
                <w:u w:val="single"/>
              </w:rPr>
            </w:pPr>
            <w:r w:rsidRPr="00835753">
              <w:rPr>
                <w:rFonts w:ascii="Times New Roman" w:hAnsi="Times New Roman"/>
                <w:b/>
                <w:sz w:val="24"/>
                <w:u w:val="single"/>
              </w:rPr>
              <w:t>W tym ekspozycje, których dotyczy niewykonanie zobowiązania</w:t>
            </w:r>
          </w:p>
          <w:p w14:paraId="29F974BC" w14:textId="6091E1BC" w:rsidR="001C2E4C" w:rsidRPr="00835753" w:rsidRDefault="001C2E4C" w:rsidP="00155C96">
            <w:pPr>
              <w:spacing w:after="120"/>
              <w:jc w:val="both"/>
              <w:rPr>
                <w:rFonts w:ascii="Times New Roman" w:hAnsi="Times New Roman" w:cs="Times New Roman"/>
                <w:sz w:val="24"/>
              </w:rPr>
            </w:pPr>
            <w:r w:rsidRPr="00835753">
              <w:rPr>
                <w:rFonts w:ascii="Times New Roman" w:hAnsi="Times New Roman"/>
                <w:sz w:val="24"/>
              </w:rPr>
              <w:t>Ekspozycje, których dotyczy niewykonanie zobowiązania,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178 CRR</w:t>
            </w:r>
          </w:p>
        </w:tc>
      </w:tr>
    </w:tbl>
    <w:p w14:paraId="38BCB0A6" w14:textId="77777777" w:rsidR="001C2E4C" w:rsidRPr="00835753" w:rsidRDefault="001C2E4C" w:rsidP="001C2E4C">
      <w:pPr>
        <w:spacing w:after="120"/>
        <w:rPr>
          <w:rFonts w:ascii="Times New Roman" w:hAnsi="Times New Roman" w:cs="Times New Roman"/>
          <w:sz w:val="24"/>
          <w:highlight w:val="yellow"/>
        </w:rPr>
      </w:pPr>
    </w:p>
    <w:p w14:paraId="39D1AEF1" w14:textId="77777777" w:rsidR="001C2E4C" w:rsidRPr="00835753" w:rsidRDefault="001C2E4C" w:rsidP="001C2E4C">
      <w:pPr>
        <w:spacing w:after="120"/>
        <w:rPr>
          <w:rFonts w:ascii="Times New Roman" w:hAnsi="Times New Roman" w:cs="Times New Roman"/>
          <w:sz w:val="24"/>
          <w:highlight w:val="yellow"/>
        </w:rPr>
      </w:pPr>
    </w:p>
    <w:p w14:paraId="075BB84F" w14:textId="77777777" w:rsidR="0081579E" w:rsidRPr="00835753" w:rsidRDefault="001C2E4C">
      <w:pPr>
        <w:rPr>
          <w:rFonts w:ascii="Times New Roman" w:hAnsi="Times New Roman" w:cs="Times New Roman"/>
          <w:b/>
          <w:sz w:val="24"/>
        </w:rPr>
        <w:sectPr w:rsidR="0081579E" w:rsidRPr="00835753" w:rsidSect="00155C96">
          <w:pgSz w:w="11900" w:h="16840"/>
          <w:pgMar w:top="2268" w:right="1418" w:bottom="1134" w:left="1701" w:header="709" w:footer="709" w:gutter="0"/>
          <w:pgNumType w:start="1" w:chapStyle="1"/>
          <w:cols w:space="708"/>
          <w:docGrid w:linePitch="299"/>
        </w:sectPr>
      </w:pPr>
      <w:r w:rsidRPr="00835753">
        <w:br w:type="page"/>
      </w:r>
    </w:p>
    <w:p w14:paraId="577DF1A2" w14:textId="65B97032" w:rsidR="00563C4F" w:rsidRPr="00835753" w:rsidRDefault="00563C4F" w:rsidP="00563C4F">
      <w:pPr>
        <w:pStyle w:val="Annexetitre"/>
        <w:spacing w:before="0"/>
      </w:pPr>
      <w:r w:rsidRPr="00835753">
        <w:lastRenderedPageBreak/>
        <w:t>ZAŁĄCZNIK XX – Instrukcje dotyczące ujawniania informacji na temat stosowania metody standardowej oceny ryzyka kredytowego (z wyłączeniem ryzyka kredytowego kontrahenta</w:t>
      </w:r>
      <w:r w:rsidR="00835753" w:rsidRPr="00835753">
        <w:t xml:space="preserve"> i</w:t>
      </w:r>
      <w:r w:rsidR="00835753">
        <w:t> </w:t>
      </w:r>
      <w:r w:rsidR="00835753" w:rsidRPr="00835753">
        <w:t>poz</w:t>
      </w:r>
      <w:r w:rsidRPr="00835753">
        <w:t>ycji sekurytyzacyjnych)</w:t>
      </w:r>
    </w:p>
    <w:p w14:paraId="15ABB962" w14:textId="77777777" w:rsidR="00563C4F" w:rsidRPr="00835753" w:rsidRDefault="00563C4F" w:rsidP="00563C4F">
      <w:pPr>
        <w:spacing w:after="120"/>
        <w:rPr>
          <w:rFonts w:ascii="Times New Roman" w:hAnsi="Times New Roman" w:cs="Times New Roman"/>
          <w:sz w:val="24"/>
        </w:rPr>
      </w:pPr>
    </w:p>
    <w:p w14:paraId="77F39CCB" w14:textId="64743634" w:rsidR="00563C4F" w:rsidRPr="00835753" w:rsidRDefault="00563C4F" w:rsidP="00563C4F">
      <w:pPr>
        <w:pStyle w:val="ListParagraph"/>
        <w:numPr>
          <w:ilvl w:val="0"/>
          <w:numId w:val="49"/>
        </w:numPr>
        <w:spacing w:after="120"/>
        <w:ind w:left="425" w:hanging="357"/>
        <w:jc w:val="both"/>
        <w:rPr>
          <w:rFonts w:ascii="Times New Roman" w:hAnsi="Times New Roman"/>
          <w:sz w:val="24"/>
        </w:rPr>
      </w:pPr>
      <w:r w:rsidRPr="00835753">
        <w:rPr>
          <w:rFonts w:ascii="Times New Roman" w:hAnsi="Times New Roman"/>
          <w:sz w:val="24"/>
        </w:rPr>
        <w:t>Wzorami, do których instrukcje znajdują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 nie są objęte instrumenty podlegające przepisom części trzeciej tytuł II rozdział 6 CRR (ekspozycje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CCR), jak również instrumenty, do których mają zastosowanie wymogi części trzeciej tytuł II rozdział 5 CRR (ekspozycje sekurytyzacyjne).</w:t>
      </w:r>
    </w:p>
    <w:p w14:paraId="57D320CA" w14:textId="46AF2B49" w:rsidR="00563C4F" w:rsidRPr="00835753" w:rsidRDefault="00D95507" w:rsidP="00563C4F">
      <w:pPr>
        <w:spacing w:after="120"/>
        <w:rPr>
          <w:rFonts w:ascii="Times New Roman" w:hAnsi="Times New Roman" w:cs="Times New Roman"/>
          <w:b/>
          <w:sz w:val="24"/>
        </w:rPr>
      </w:pPr>
      <w:r w:rsidRPr="00835753">
        <w:rPr>
          <w:rFonts w:ascii="Times New Roman" w:hAnsi="Times New Roman"/>
          <w:b/>
          <w:sz w:val="24"/>
        </w:rPr>
        <w:t xml:space="preserve">Tabela EU CRD – Wymogi dotyczące ujawniania informacji jakościowych na temat metody standardowej. </w:t>
      </w:r>
      <w:r w:rsidRPr="00835753">
        <w:rPr>
          <w:rFonts w:ascii="Times New Roman" w:hAnsi="Times New Roman"/>
          <w:sz w:val="24"/>
        </w:rPr>
        <w:t>Format elastyczny</w:t>
      </w:r>
    </w:p>
    <w:p w14:paraId="599DC7C3" w14:textId="0ED2CAEA" w:rsidR="00563C4F" w:rsidRPr="00835753" w:rsidRDefault="00563C4F" w:rsidP="00563C4F">
      <w:pPr>
        <w:pStyle w:val="ListParagraph"/>
        <w:numPr>
          <w:ilvl w:val="0"/>
          <w:numId w:val="49"/>
        </w:numPr>
        <w:spacing w:after="120"/>
        <w:ind w:left="425" w:hanging="357"/>
        <w:jc w:val="both"/>
        <w:rPr>
          <w:rFonts w:ascii="Times New Roman" w:hAnsi="Times New Roman"/>
          <w:sz w:val="24"/>
        </w:rPr>
      </w:pPr>
      <w:r w:rsidRPr="00835753">
        <w:rPr>
          <w:rFonts w:ascii="Times New Roman" w:hAnsi="Times New Roman"/>
          <w:sz w:val="24"/>
        </w:rPr>
        <w:t>W celu wypełnienia tabeli EU CRD zamieszczonej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XIX do niniejszego rozporządzenia wykonawczego instytucje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444 lit.</w:t>
      </w:r>
      <w:r w:rsidR="00835753" w:rsidRPr="00835753">
        <w:rPr>
          <w:rFonts w:ascii="Times New Roman" w:hAnsi="Times New Roman"/>
          <w:sz w:val="24"/>
        </w:rPr>
        <w:t> </w:t>
      </w:r>
      <w:r w:rsidRPr="00835753">
        <w:rPr>
          <w:rFonts w:ascii="Times New Roman" w:hAnsi="Times New Roman"/>
          <w:sz w:val="24"/>
        </w:rPr>
        <w:t>a</w:t>
      </w:r>
      <w:proofErr w:type="gramStart"/>
      <w:r w:rsidRPr="00835753">
        <w:rPr>
          <w:rFonts w:ascii="Times New Roman" w:hAnsi="Times New Roman"/>
          <w:sz w:val="24"/>
        </w:rPr>
        <w:t>)–d</w:t>
      </w:r>
      <w:proofErr w:type="gramEnd"/>
      <w:r w:rsidRPr="00835753">
        <w:rPr>
          <w:rFonts w:ascii="Times New Roman" w:hAnsi="Times New Roman"/>
          <w:sz w:val="24"/>
        </w:rPr>
        <w:t>) rozporządzenia (UE) nr</w:t>
      </w:r>
      <w:r w:rsidR="00835753" w:rsidRPr="00835753">
        <w:rPr>
          <w:rFonts w:ascii="Times New Roman" w:hAnsi="Times New Roman"/>
          <w:sz w:val="24"/>
        </w:rPr>
        <w:t> </w:t>
      </w:r>
      <w:r w:rsidRPr="00835753">
        <w:rPr>
          <w:rFonts w:ascii="Times New Roman" w:hAnsi="Times New Roman"/>
          <w:sz w:val="24"/>
        </w:rPr>
        <w:t>575/2013</w:t>
      </w:r>
      <w:r w:rsidRPr="00835753">
        <w:rPr>
          <w:rStyle w:val="FootnoteReference"/>
        </w:rPr>
        <w:footnoteReference w:id="36"/>
      </w:r>
      <w:r w:rsidRPr="00835753">
        <w:rPr>
          <w:rFonts w:ascii="Times New Roman" w:hAnsi="Times New Roman"/>
          <w:sz w:val="24"/>
        </w:rPr>
        <w:t xml:space="preserve"> („CRR”), stosując instrukcje zawarte poniżej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835753" w14:paraId="114D434D"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77777777" w:rsidR="00563C4F" w:rsidRPr="00835753" w:rsidRDefault="00563C4F"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Oznaczenie</w:t>
            </w:r>
          </w:p>
          <w:p w14:paraId="0CBEED2B" w14:textId="77777777" w:rsidR="00563C4F" w:rsidRPr="00835753" w:rsidRDefault="00563C4F" w:rsidP="00155C96">
            <w:pPr>
              <w:autoSpaceDE w:val="0"/>
              <w:autoSpaceDN w:val="0"/>
              <w:adjustRightInd w:val="0"/>
              <w:spacing w:after="120"/>
              <w:rPr>
                <w:rFonts w:ascii="Times New Roman" w:hAnsi="Times New Roman" w:cs="Times New Roman"/>
                <w:b/>
                <w:sz w:val="24"/>
              </w:rPr>
            </w:pPr>
            <w:proofErr w:type="gramStart"/>
            <w:r w:rsidRPr="00835753">
              <w:rPr>
                <w:rFonts w:ascii="Times New Roman" w:hAnsi="Times New Roman"/>
                <w:b/>
                <w:sz w:val="24"/>
              </w:rPr>
              <w:t>wiersza</w:t>
            </w:r>
            <w:proofErr w:type="gramEnd"/>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9D36D5" w14:textId="2EA49FE0" w:rsidR="00563C4F" w:rsidRPr="00835753" w:rsidRDefault="00563C4F" w:rsidP="00155C96">
            <w:pPr>
              <w:spacing w:after="120"/>
              <w:rPr>
                <w:rFonts w:ascii="Times New Roman" w:hAnsi="Times New Roman" w:cs="Times New Roman"/>
                <w:b/>
                <w:sz w:val="24"/>
              </w:rPr>
            </w:pPr>
            <w:r w:rsidRPr="00835753">
              <w:rPr>
                <w:rFonts w:ascii="Times New Roman" w:hAnsi="Times New Roman"/>
                <w:b/>
                <w:sz w:val="24"/>
              </w:rPr>
              <w:t>Odniesienie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563C4F" w:rsidRPr="00835753" w14:paraId="0C5E7552"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C1BA41B" w14:textId="77777777" w:rsidR="00563C4F" w:rsidRPr="00835753"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835753" w:rsidRDefault="00563C4F" w:rsidP="00155C96">
            <w:pPr>
              <w:spacing w:after="120"/>
              <w:rPr>
                <w:rFonts w:ascii="Times New Roman" w:hAnsi="Times New Roman" w:cs="Times New Roman"/>
                <w:b/>
                <w:sz w:val="24"/>
              </w:rPr>
            </w:pPr>
            <w:r w:rsidRPr="00835753">
              <w:rPr>
                <w:rFonts w:ascii="Times New Roman" w:hAnsi="Times New Roman"/>
                <w:b/>
                <w:sz w:val="24"/>
              </w:rPr>
              <w:t>Wyjaśnienie</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6"/>
        <w:gridCol w:w="883"/>
        <w:gridCol w:w="6783"/>
      </w:tblGrid>
      <w:tr w:rsidR="00563C4F" w:rsidRPr="00835753"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77777777" w:rsidR="00563C4F" w:rsidRPr="00835753" w:rsidRDefault="00563C4F" w:rsidP="00155C96">
            <w:pPr>
              <w:spacing w:after="120"/>
              <w:jc w:val="center"/>
              <w:rPr>
                <w:rFonts w:ascii="Times New Roman" w:hAnsi="Times New Roman" w:cs="Times New Roman"/>
                <w:sz w:val="24"/>
              </w:rPr>
            </w:pPr>
            <w:proofErr w:type="gramStart"/>
            <w:r w:rsidRPr="00835753">
              <w:t>a</w:t>
            </w:r>
            <w:proofErr w:type="gramEnd"/>
            <w:r w:rsidRPr="00835753">
              <w:t>)</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0D65698A" w:rsidR="00563C4F" w:rsidRPr="00835753" w:rsidRDefault="00563C4F" w:rsidP="00155C96">
            <w:pPr>
              <w:spacing w:after="120"/>
              <w:jc w:val="both"/>
              <w:rPr>
                <w:rFonts w:ascii="Times New Roman" w:hAnsi="Times New Roman" w:cs="Times New Roman"/>
                <w:sz w:val="24"/>
              </w:rPr>
            </w:pPr>
            <w:r w:rsidRPr="00835753">
              <w:rPr>
                <w:rFonts w:ascii="Times New Roman" w:hAnsi="Times New Roman"/>
                <w:iCs/>
                <w:sz w:val="24"/>
              </w:rPr>
              <w:t>Art. 444 lit.</w:t>
            </w:r>
            <w:r w:rsidR="00835753" w:rsidRPr="00835753">
              <w:rPr>
                <w:rFonts w:ascii="Times New Roman" w:hAnsi="Times New Roman"/>
                <w:iCs/>
                <w:sz w:val="24"/>
              </w:rPr>
              <w:t> </w:t>
            </w:r>
            <w:r w:rsidRPr="00835753">
              <w:rPr>
                <w:rFonts w:ascii="Times New Roman" w:hAnsi="Times New Roman"/>
                <w:iCs/>
                <w:sz w:val="24"/>
              </w:rPr>
              <w:t>a)</w:t>
            </w:r>
            <w:r w:rsidRPr="00835753">
              <w:rPr>
                <w:rFonts w:ascii="Times New Roman" w:hAnsi="Times New Roman"/>
                <w:sz w:val="24"/>
              </w:rPr>
              <w:t xml:space="preserve"> CRR</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49C09FBA" w:rsidR="00563C4F" w:rsidRPr="00835753" w:rsidRDefault="00563C4F" w:rsidP="00155C96">
            <w:pPr>
              <w:spacing w:after="120"/>
              <w:jc w:val="both"/>
              <w:rPr>
                <w:rFonts w:ascii="Times New Roman" w:hAnsi="Times New Roman" w:cs="Times New Roman"/>
                <w:sz w:val="24"/>
              </w:rPr>
            </w:pPr>
            <w:r w:rsidRPr="00835753">
              <w:rPr>
                <w:rFonts w:ascii="Times New Roman" w:hAnsi="Times New Roman"/>
                <w:sz w:val="24"/>
              </w:rPr>
              <w:t>Instytucje ujawniają nazwy wyznaczonych zewnętrznych instytucji oceny wiarygodności kredytowej (ECAI)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age</w:t>
            </w:r>
            <w:r w:rsidRPr="00835753">
              <w:rPr>
                <w:rFonts w:ascii="Times New Roman" w:hAnsi="Times New Roman"/>
                <w:sz w:val="24"/>
              </w:rPr>
              <w:t>ncji kredytów eksportowych (ECA), które wykorzystano, oraz przyczyny ewentualnych zmian</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nazewnictwie dokonanych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 xml:space="preserve">esie, za który informacje podlegają ujawnieniu. </w:t>
            </w:r>
          </w:p>
        </w:tc>
      </w:tr>
      <w:tr w:rsidR="00563C4F" w:rsidRPr="00835753" w14:paraId="2C10014A" w14:textId="77777777" w:rsidTr="00155C96">
        <w:trPr>
          <w:trHeight w:val="1492"/>
        </w:trPr>
        <w:tc>
          <w:tcPr>
            <w:tcW w:w="1406" w:type="dxa"/>
            <w:vAlign w:val="top"/>
          </w:tcPr>
          <w:p w14:paraId="574F04C4" w14:textId="77777777" w:rsidR="00563C4F" w:rsidRPr="00835753" w:rsidRDefault="00563C4F" w:rsidP="00155C96">
            <w:pPr>
              <w:spacing w:after="120"/>
              <w:jc w:val="center"/>
              <w:rPr>
                <w:rFonts w:ascii="Times New Roman" w:hAnsi="Times New Roman" w:cs="Times New Roman"/>
                <w:sz w:val="24"/>
              </w:rPr>
            </w:pPr>
            <w:proofErr w:type="gramStart"/>
            <w:r w:rsidRPr="00835753">
              <w:t>b</w:t>
            </w:r>
            <w:proofErr w:type="gramEnd"/>
            <w:r w:rsidRPr="00835753">
              <w:t>)</w:t>
            </w:r>
          </w:p>
        </w:tc>
        <w:tc>
          <w:tcPr>
            <w:tcW w:w="883" w:type="dxa"/>
          </w:tcPr>
          <w:p w14:paraId="0D76C480" w14:textId="248423B5" w:rsidR="00563C4F" w:rsidRPr="00835753" w:rsidRDefault="00563C4F" w:rsidP="00155C96">
            <w:pPr>
              <w:spacing w:after="120"/>
              <w:jc w:val="both"/>
              <w:rPr>
                <w:rFonts w:ascii="Times New Roman" w:hAnsi="Times New Roman" w:cs="Times New Roman"/>
                <w:sz w:val="24"/>
              </w:rPr>
            </w:pPr>
            <w:r w:rsidRPr="00835753">
              <w:rPr>
                <w:rFonts w:ascii="Times New Roman" w:hAnsi="Times New Roman"/>
                <w:iCs/>
                <w:sz w:val="24"/>
              </w:rPr>
              <w:t>Art. 444 lit.</w:t>
            </w:r>
            <w:r w:rsidR="00835753" w:rsidRPr="00835753">
              <w:rPr>
                <w:rFonts w:ascii="Times New Roman" w:hAnsi="Times New Roman"/>
                <w:iCs/>
                <w:sz w:val="24"/>
              </w:rPr>
              <w:t> </w:t>
            </w:r>
            <w:r w:rsidRPr="00835753">
              <w:rPr>
                <w:rFonts w:ascii="Times New Roman" w:hAnsi="Times New Roman"/>
                <w:iCs/>
                <w:sz w:val="24"/>
              </w:rPr>
              <w:t xml:space="preserve">b) </w:t>
            </w:r>
            <w:r w:rsidRPr="00835753">
              <w:rPr>
                <w:rFonts w:ascii="Times New Roman" w:hAnsi="Times New Roman"/>
                <w:sz w:val="24"/>
              </w:rPr>
              <w:t>CRR</w:t>
            </w:r>
          </w:p>
        </w:tc>
        <w:tc>
          <w:tcPr>
            <w:tcW w:w="6783" w:type="dxa"/>
          </w:tcPr>
          <w:p w14:paraId="205D0831" w14:textId="2620DA52" w:rsidR="00563C4F" w:rsidRPr="00835753" w:rsidRDefault="00563C4F" w:rsidP="00155C96">
            <w:pPr>
              <w:spacing w:after="120"/>
              <w:jc w:val="both"/>
              <w:rPr>
                <w:rFonts w:ascii="Times New Roman" w:hAnsi="Times New Roman" w:cs="Times New Roman"/>
                <w:sz w:val="24"/>
              </w:rPr>
            </w:pPr>
            <w:r w:rsidRPr="00835753">
              <w:rPr>
                <w:rFonts w:ascii="Times New Roman" w:hAnsi="Times New Roman"/>
                <w:sz w:val="24"/>
              </w:rPr>
              <w:t>Instytucje ujawniają kategorie ekspozycji określone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112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których instytucje obliczają kwoty ekspozycji ważonych ryzykiem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 xml:space="preserve">ścią trzecią tytuł II rozdział 2 CRR, wykorzystując ocenę kredytową wyznaczonej ECAI lub ECA. </w:t>
            </w:r>
          </w:p>
        </w:tc>
      </w:tr>
      <w:tr w:rsidR="00563C4F" w:rsidRPr="00835753" w:rsidDel="00915DC9" w14:paraId="1018CEAB" w14:textId="77777777" w:rsidTr="00155C96">
        <w:trPr>
          <w:trHeight w:val="973"/>
        </w:trPr>
        <w:tc>
          <w:tcPr>
            <w:tcW w:w="1406" w:type="dxa"/>
            <w:vAlign w:val="top"/>
          </w:tcPr>
          <w:p w14:paraId="7D0E4447" w14:textId="77777777" w:rsidR="00563C4F" w:rsidRPr="00835753" w:rsidRDefault="00563C4F" w:rsidP="00155C96">
            <w:pPr>
              <w:spacing w:after="120"/>
              <w:jc w:val="center"/>
              <w:rPr>
                <w:rFonts w:ascii="Times New Roman" w:hAnsi="Times New Roman" w:cs="Times New Roman"/>
                <w:sz w:val="24"/>
              </w:rPr>
            </w:pPr>
            <w:proofErr w:type="gramStart"/>
            <w:r w:rsidRPr="00835753">
              <w:t>c</w:t>
            </w:r>
            <w:proofErr w:type="gramEnd"/>
            <w:r w:rsidRPr="00835753">
              <w:t>)</w:t>
            </w:r>
          </w:p>
        </w:tc>
        <w:tc>
          <w:tcPr>
            <w:tcW w:w="883" w:type="dxa"/>
          </w:tcPr>
          <w:p w14:paraId="275E542D" w14:textId="59D41799" w:rsidR="00563C4F" w:rsidRPr="00835753" w:rsidRDefault="00563C4F" w:rsidP="00155C96">
            <w:pPr>
              <w:spacing w:after="120"/>
              <w:jc w:val="both"/>
              <w:rPr>
                <w:rFonts w:ascii="Times New Roman" w:hAnsi="Times New Roman" w:cs="Times New Roman"/>
                <w:sz w:val="24"/>
              </w:rPr>
            </w:pPr>
            <w:r w:rsidRPr="00835753">
              <w:rPr>
                <w:rFonts w:ascii="Times New Roman" w:hAnsi="Times New Roman"/>
                <w:iCs/>
                <w:sz w:val="24"/>
              </w:rPr>
              <w:t>Art. 444 lit.</w:t>
            </w:r>
            <w:r w:rsidR="00835753" w:rsidRPr="00835753">
              <w:rPr>
                <w:rFonts w:ascii="Times New Roman" w:hAnsi="Times New Roman"/>
                <w:iCs/>
                <w:sz w:val="24"/>
              </w:rPr>
              <w:t> </w:t>
            </w:r>
            <w:r w:rsidRPr="00835753">
              <w:rPr>
                <w:rFonts w:ascii="Times New Roman" w:hAnsi="Times New Roman"/>
                <w:iCs/>
                <w:sz w:val="24"/>
              </w:rPr>
              <w:t>c)</w:t>
            </w:r>
            <w:r w:rsidRPr="00835753">
              <w:rPr>
                <w:rFonts w:ascii="Times New Roman" w:hAnsi="Times New Roman"/>
                <w:sz w:val="24"/>
              </w:rPr>
              <w:t xml:space="preserve"> CRR</w:t>
            </w:r>
          </w:p>
        </w:tc>
        <w:tc>
          <w:tcPr>
            <w:tcW w:w="6783" w:type="dxa"/>
          </w:tcPr>
          <w:p w14:paraId="68D009E7" w14:textId="737C9530" w:rsidR="00563C4F" w:rsidRPr="00835753" w:rsidDel="00915DC9" w:rsidRDefault="00563C4F" w:rsidP="00155C96">
            <w:pPr>
              <w:spacing w:after="120"/>
              <w:jc w:val="both"/>
              <w:rPr>
                <w:rFonts w:ascii="Times New Roman" w:hAnsi="Times New Roman" w:cs="Times New Roman"/>
                <w:sz w:val="24"/>
              </w:rPr>
            </w:pPr>
            <w:r w:rsidRPr="00835753">
              <w:rPr>
                <w:rFonts w:ascii="Times New Roman" w:hAnsi="Times New Roman"/>
                <w:sz w:val="24"/>
              </w:rPr>
              <w:t>W przypadku gdy do ustalenia wagi ryzyka, jaką należy przypisać ekspozycji nieuwzględnionej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tfelu handlowym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2 art.</w:t>
            </w:r>
            <w:r w:rsidR="00835753" w:rsidRPr="00835753">
              <w:rPr>
                <w:rFonts w:ascii="Times New Roman" w:hAnsi="Times New Roman"/>
                <w:sz w:val="24"/>
              </w:rPr>
              <w:t> </w:t>
            </w:r>
            <w:r w:rsidRPr="00835753">
              <w:rPr>
                <w:rFonts w:ascii="Times New Roman" w:hAnsi="Times New Roman"/>
                <w:sz w:val="24"/>
              </w:rPr>
              <w:t>139 CRR, stosuje się ocenę kredytową emitenta lub emisji, instytucje opisują stosowany proces.</w:t>
            </w:r>
          </w:p>
        </w:tc>
      </w:tr>
      <w:tr w:rsidR="00563C4F" w:rsidRPr="00835753" w14:paraId="11E18846" w14:textId="77777777" w:rsidTr="00155C96">
        <w:trPr>
          <w:trHeight w:val="1265"/>
        </w:trPr>
        <w:tc>
          <w:tcPr>
            <w:tcW w:w="1406" w:type="dxa"/>
            <w:vAlign w:val="top"/>
          </w:tcPr>
          <w:p w14:paraId="22BD313E" w14:textId="77777777" w:rsidR="00563C4F" w:rsidRPr="00835753" w:rsidRDefault="00563C4F" w:rsidP="00155C96">
            <w:pPr>
              <w:spacing w:after="120"/>
              <w:jc w:val="center"/>
              <w:rPr>
                <w:rFonts w:ascii="Times New Roman" w:hAnsi="Times New Roman" w:cs="Times New Roman"/>
                <w:sz w:val="24"/>
              </w:rPr>
            </w:pPr>
            <w:proofErr w:type="gramStart"/>
            <w:r w:rsidRPr="00835753">
              <w:t>d</w:t>
            </w:r>
            <w:proofErr w:type="gramEnd"/>
            <w:r w:rsidRPr="00835753">
              <w:t>)</w:t>
            </w:r>
          </w:p>
        </w:tc>
        <w:tc>
          <w:tcPr>
            <w:tcW w:w="883" w:type="dxa"/>
          </w:tcPr>
          <w:p w14:paraId="4F16D710" w14:textId="67D0704C" w:rsidR="00563C4F" w:rsidRPr="00835753" w:rsidRDefault="00563C4F" w:rsidP="00155C96">
            <w:pPr>
              <w:spacing w:after="120"/>
              <w:jc w:val="both"/>
              <w:rPr>
                <w:rFonts w:ascii="Times New Roman" w:hAnsi="Times New Roman" w:cs="Times New Roman"/>
                <w:sz w:val="24"/>
              </w:rPr>
            </w:pPr>
            <w:r w:rsidRPr="00835753">
              <w:rPr>
                <w:rFonts w:ascii="Times New Roman" w:hAnsi="Times New Roman"/>
                <w:iCs/>
                <w:sz w:val="24"/>
              </w:rPr>
              <w:t>Art. 444 lit.</w:t>
            </w:r>
            <w:r w:rsidR="00835753" w:rsidRPr="00835753">
              <w:rPr>
                <w:rFonts w:ascii="Times New Roman" w:hAnsi="Times New Roman"/>
                <w:iCs/>
                <w:sz w:val="24"/>
              </w:rPr>
              <w:t> </w:t>
            </w:r>
            <w:r w:rsidRPr="00835753">
              <w:rPr>
                <w:rFonts w:ascii="Times New Roman" w:hAnsi="Times New Roman"/>
                <w:iCs/>
                <w:sz w:val="24"/>
              </w:rPr>
              <w:t>d) CRR</w:t>
            </w:r>
          </w:p>
        </w:tc>
        <w:tc>
          <w:tcPr>
            <w:tcW w:w="6783" w:type="dxa"/>
          </w:tcPr>
          <w:p w14:paraId="3A455BDA" w14:textId="0F8C250E" w:rsidR="00563C4F" w:rsidRPr="00835753" w:rsidRDefault="00563C4F" w:rsidP="00155C96">
            <w:pPr>
              <w:spacing w:after="120"/>
              <w:jc w:val="both"/>
              <w:rPr>
                <w:rFonts w:ascii="Times New Roman" w:hAnsi="Times New Roman" w:cs="Times New Roman"/>
                <w:sz w:val="24"/>
              </w:rPr>
            </w:pPr>
            <w:r w:rsidRPr="00835753">
              <w:rPr>
                <w:rFonts w:ascii="Times New Roman" w:hAnsi="Times New Roman"/>
                <w:sz w:val="24"/>
              </w:rPr>
              <w:t>Dla każdej kategorii ekspozycji określonej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112 CRR instytucje wskazują skalę alfanumeryczną każdej</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wyz</w:t>
            </w:r>
            <w:r w:rsidRPr="00835753">
              <w:rPr>
                <w:rFonts w:ascii="Times New Roman" w:hAnsi="Times New Roman"/>
                <w:sz w:val="24"/>
              </w:rPr>
              <w:t>naczonych ECAI/ECA (o której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a) niniejszego wzoru)</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wag</w:t>
            </w:r>
            <w:r w:rsidRPr="00835753">
              <w:rPr>
                <w:rFonts w:ascii="Times New Roman" w:hAnsi="Times New Roman"/>
                <w:sz w:val="24"/>
              </w:rPr>
              <w:t>ami ryzyka, które odpowiadają stopniom jakości kredytowej określonym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 2 CRR,</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wyj</w:t>
            </w:r>
            <w:r w:rsidRPr="00835753">
              <w:rPr>
                <w:rFonts w:ascii="Times New Roman" w:hAnsi="Times New Roman"/>
                <w:sz w:val="24"/>
              </w:rPr>
              <w:t xml:space="preserve">ątkiem przypadków, gdy instytucje stosują standardowy system przyporządkowywania ocen opublikowany przez EUNB. </w:t>
            </w:r>
          </w:p>
        </w:tc>
      </w:tr>
    </w:tbl>
    <w:p w14:paraId="1435A340" w14:textId="77777777" w:rsidR="00563C4F" w:rsidRPr="00835753" w:rsidRDefault="00563C4F" w:rsidP="00563C4F">
      <w:pPr>
        <w:spacing w:after="120"/>
        <w:rPr>
          <w:rFonts w:ascii="Times New Roman" w:hAnsi="Times New Roman" w:cs="Times New Roman"/>
          <w:sz w:val="24"/>
        </w:rPr>
      </w:pPr>
    </w:p>
    <w:p w14:paraId="68C47C1B" w14:textId="77777777" w:rsidR="00563C4F" w:rsidRPr="00835753" w:rsidRDefault="00563C4F" w:rsidP="00563C4F">
      <w:pPr>
        <w:spacing w:after="120"/>
        <w:rPr>
          <w:rFonts w:ascii="Times New Roman" w:hAnsi="Times New Roman" w:cs="Times New Roman"/>
          <w:sz w:val="24"/>
        </w:rPr>
      </w:pPr>
    </w:p>
    <w:p w14:paraId="54D9F7F1" w14:textId="16496A7C" w:rsidR="00563C4F" w:rsidRPr="00835753" w:rsidRDefault="00CD362D" w:rsidP="00563C4F">
      <w:pPr>
        <w:spacing w:after="120"/>
        <w:rPr>
          <w:rFonts w:ascii="Times New Roman" w:hAnsi="Times New Roman" w:cs="Times New Roman"/>
          <w:sz w:val="24"/>
        </w:rPr>
      </w:pPr>
      <w:r w:rsidRPr="00835753">
        <w:rPr>
          <w:rFonts w:ascii="Times New Roman" w:hAnsi="Times New Roman"/>
          <w:b/>
          <w:sz w:val="24"/>
        </w:rPr>
        <w:lastRenderedPageBreak/>
        <w:t>Wzór EU CR4 – Ekspozycja na ryzyko kredytowe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sku</w:t>
      </w:r>
      <w:r w:rsidRPr="00835753">
        <w:rPr>
          <w:rFonts w:ascii="Times New Roman" w:hAnsi="Times New Roman"/>
          <w:b/>
          <w:sz w:val="24"/>
        </w:rPr>
        <w:t>tki ograniczania ryzyka kredytowego.</w:t>
      </w:r>
      <w:r w:rsidRPr="00835753">
        <w:rPr>
          <w:rFonts w:ascii="Times New Roman" w:hAnsi="Times New Roman"/>
          <w:sz w:val="24"/>
        </w:rPr>
        <w:t xml:space="preserve"> Format stały</w:t>
      </w:r>
    </w:p>
    <w:p w14:paraId="4909B41D" w14:textId="38D69843" w:rsidR="00563C4F" w:rsidRPr="00835753" w:rsidRDefault="00563C4F" w:rsidP="00563C4F">
      <w:pPr>
        <w:pStyle w:val="ListParagraph"/>
        <w:numPr>
          <w:ilvl w:val="0"/>
          <w:numId w:val="49"/>
        </w:numPr>
        <w:spacing w:after="120"/>
        <w:ind w:left="425" w:hanging="357"/>
        <w:jc w:val="both"/>
        <w:rPr>
          <w:rFonts w:ascii="Times New Roman" w:hAnsi="Times New Roman"/>
          <w:sz w:val="24"/>
        </w:rPr>
      </w:pPr>
      <w:r w:rsidRPr="00835753">
        <w:rPr>
          <w:rFonts w:ascii="Times New Roman" w:hAnsi="Times New Roman"/>
          <w:sz w:val="24"/>
        </w:rPr>
        <w:t>Instytucje obliczające kwoty ekspozycji ważonych ryzykiem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ryzyka kredytowego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2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wypełnienia wzoru EU CR4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XIX do niniejszego rozporządzenia wykonawczego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453 lit.</w:t>
      </w:r>
      <w:r w:rsidR="00835753" w:rsidRPr="00835753">
        <w:rPr>
          <w:rFonts w:ascii="Times New Roman" w:hAnsi="Times New Roman"/>
          <w:sz w:val="24"/>
        </w:rPr>
        <w:t> </w:t>
      </w:r>
      <w:r w:rsidRPr="00835753">
        <w:rPr>
          <w:rFonts w:ascii="Times New Roman" w:hAnsi="Times New Roman"/>
          <w:sz w:val="24"/>
        </w:rPr>
        <w:t>g), h) oraz i)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444 lit.</w:t>
      </w:r>
      <w:r w:rsidR="00835753" w:rsidRPr="00835753">
        <w:rPr>
          <w:rFonts w:ascii="Times New Roman" w:hAnsi="Times New Roman"/>
          <w:sz w:val="24"/>
        </w:rPr>
        <w:t> </w:t>
      </w:r>
      <w:r w:rsidRPr="00835753">
        <w:rPr>
          <w:rFonts w:ascii="Times New Roman" w:hAnsi="Times New Roman"/>
          <w:sz w:val="24"/>
        </w:rPr>
        <w:t>e)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835753"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835753" w:rsidRDefault="00563C4F"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Oznaczenie kolumny</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3E9660B6" w:rsidR="00563C4F" w:rsidRPr="00835753" w:rsidRDefault="00563C4F"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563C4F" w:rsidRPr="00835753"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835753"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835753" w:rsidRDefault="00563C4F" w:rsidP="00155C96">
            <w:pPr>
              <w:spacing w:after="120"/>
              <w:rPr>
                <w:rFonts w:ascii="Times New Roman" w:hAnsi="Times New Roman" w:cs="Times New Roman"/>
                <w:b/>
                <w:sz w:val="24"/>
              </w:rPr>
            </w:pPr>
            <w:r w:rsidRPr="00835753">
              <w:rPr>
                <w:rFonts w:ascii="Times New Roman" w:hAnsi="Times New Roman"/>
                <w:b/>
                <w:sz w:val="24"/>
              </w:rPr>
              <w:t>Wyjaśnienie</w:t>
            </w:r>
          </w:p>
        </w:tc>
      </w:tr>
      <w:tr w:rsidR="00563C4F" w:rsidRPr="00835753" w14:paraId="72EF60FE" w14:textId="77777777" w:rsidTr="00155C96">
        <w:trPr>
          <w:trHeight w:val="316"/>
        </w:trPr>
        <w:tc>
          <w:tcPr>
            <w:tcW w:w="1413" w:type="dxa"/>
            <w:vAlign w:val="center"/>
          </w:tcPr>
          <w:p w14:paraId="4A3134D7" w14:textId="77777777" w:rsidR="00563C4F" w:rsidRPr="00835753" w:rsidRDefault="00563C4F"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654" w:type="dxa"/>
          </w:tcPr>
          <w:p w14:paraId="5CC4FAAA" w14:textId="779E1CCE" w:rsidR="00563C4F" w:rsidRPr="00835753" w:rsidRDefault="00563C4F" w:rsidP="00155C96">
            <w:pPr>
              <w:autoSpaceDE w:val="0"/>
              <w:autoSpaceDN w:val="0"/>
              <w:adjustRightInd w:val="0"/>
              <w:spacing w:after="120"/>
              <w:jc w:val="both"/>
              <w:rPr>
                <w:rFonts w:ascii="Times New Roman" w:eastAsia="Times New Roman" w:hAnsi="Times New Roman" w:cs="Times New Roman"/>
                <w:b/>
                <w:iCs/>
                <w:sz w:val="24"/>
              </w:rPr>
            </w:pPr>
            <w:r w:rsidRPr="00835753">
              <w:rPr>
                <w:rFonts w:ascii="Times New Roman" w:hAnsi="Times New Roman"/>
                <w:b/>
                <w:iCs/>
                <w:sz w:val="24"/>
              </w:rPr>
              <w:t>Ekspozycje przed zastosowaniem współczynnika konwersji kredytowej</w:t>
            </w:r>
            <w:r w:rsidR="00835753" w:rsidRPr="00835753">
              <w:rPr>
                <w:rFonts w:ascii="Times New Roman" w:hAnsi="Times New Roman"/>
                <w:b/>
                <w:iCs/>
                <w:sz w:val="24"/>
              </w:rPr>
              <w:t xml:space="preserve"> i</w:t>
            </w:r>
            <w:r w:rsidR="00835753">
              <w:rPr>
                <w:rFonts w:ascii="Times New Roman" w:hAnsi="Times New Roman"/>
                <w:b/>
                <w:iCs/>
                <w:sz w:val="24"/>
              </w:rPr>
              <w:t> </w:t>
            </w:r>
            <w:r w:rsidR="00835753" w:rsidRPr="00835753">
              <w:rPr>
                <w:rFonts w:ascii="Times New Roman" w:hAnsi="Times New Roman"/>
                <w:b/>
                <w:iCs/>
                <w:sz w:val="24"/>
              </w:rPr>
              <w:t>prz</w:t>
            </w:r>
            <w:r w:rsidRPr="00835753">
              <w:rPr>
                <w:rFonts w:ascii="Times New Roman" w:hAnsi="Times New Roman"/>
                <w:b/>
                <w:iCs/>
                <w:sz w:val="24"/>
              </w:rPr>
              <w:t xml:space="preserve">ed ograniczaniem ryzyka kredytowego – Ekspozycje bilansowe: </w:t>
            </w:r>
          </w:p>
          <w:p w14:paraId="0BD12E71" w14:textId="228C3CA9" w:rsidR="00563C4F" w:rsidRPr="00835753" w:rsidRDefault="00563C4F"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Instytucje ujawniają wartość ekspozycji bilansowych objętych zakresem konsolidacji ostrożnościowej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 xml:space="preserve">111 </w:t>
            </w:r>
            <w:r w:rsidRPr="00835753">
              <w:rPr>
                <w:rFonts w:ascii="Times New Roman" w:hAnsi="Times New Roman"/>
                <w:sz w:val="24"/>
              </w:rPr>
              <w:t xml:space="preserve">CRR </w:t>
            </w:r>
            <w:r w:rsidRPr="00835753">
              <w:rPr>
                <w:rFonts w:ascii="Times New Roman" w:hAnsi="Times New Roman"/>
                <w:iCs/>
                <w:sz w:val="24"/>
              </w:rPr>
              <w:t>po dokonaniu korekt</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tyt</w:t>
            </w:r>
            <w:r w:rsidRPr="00835753">
              <w:rPr>
                <w:rFonts w:ascii="Times New Roman" w:hAnsi="Times New Roman"/>
                <w:iCs/>
                <w:sz w:val="24"/>
              </w:rPr>
              <w:t>ułu szczególnego ryzyka kredytowego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110 CRR, dodatkowych korekt wartości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34</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1</w:t>
            </w:r>
            <w:r w:rsidRPr="00835753">
              <w:rPr>
                <w:rFonts w:ascii="Times New Roman" w:hAnsi="Times New Roman"/>
                <w:iCs/>
                <w:sz w:val="24"/>
              </w:rPr>
              <w:t>05 CRR, odliczenia kwot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36 ust.</w:t>
            </w:r>
            <w:r w:rsidR="00835753" w:rsidRPr="00835753">
              <w:rPr>
                <w:rFonts w:ascii="Times New Roman" w:hAnsi="Times New Roman"/>
                <w:iCs/>
                <w:sz w:val="24"/>
              </w:rPr>
              <w:t> </w:t>
            </w:r>
            <w:r w:rsidRPr="00835753">
              <w:rPr>
                <w:rFonts w:ascii="Times New Roman" w:hAnsi="Times New Roman"/>
                <w:iCs/>
                <w:sz w:val="24"/>
              </w:rPr>
              <w:t>1 lit.</w:t>
            </w:r>
            <w:r w:rsidR="00835753" w:rsidRPr="00835753">
              <w:rPr>
                <w:rFonts w:ascii="Times New Roman" w:hAnsi="Times New Roman"/>
                <w:iCs/>
                <w:sz w:val="24"/>
              </w:rPr>
              <w:t> </w:t>
            </w:r>
            <w:r w:rsidRPr="00835753">
              <w:rPr>
                <w:rFonts w:ascii="Times New Roman" w:hAnsi="Times New Roman"/>
                <w:iCs/>
                <w:sz w:val="24"/>
              </w:rPr>
              <w:t>m) CRR, innych redukcji funduszy własnych</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odp</w:t>
            </w:r>
            <w:r w:rsidRPr="00835753">
              <w:rPr>
                <w:rFonts w:ascii="Times New Roman" w:hAnsi="Times New Roman"/>
                <w:iCs/>
                <w:sz w:val="24"/>
              </w:rPr>
              <w:t>isów (jak określono</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maj</w:t>
            </w:r>
            <w:r w:rsidRPr="00835753">
              <w:rPr>
                <w:rFonts w:ascii="Times New Roman" w:hAnsi="Times New Roman"/>
                <w:iCs/>
                <w:sz w:val="24"/>
              </w:rPr>
              <w:t>ących zastosowanie standardach rachunkowości), ale przed (i) zastosowaniem współczynników konwersji kredytowej określonych</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tym</w:t>
            </w:r>
            <w:r w:rsidRPr="00835753">
              <w:rPr>
                <w:rFonts w:ascii="Times New Roman" w:hAnsi="Times New Roman"/>
                <w:iCs/>
                <w:sz w:val="24"/>
              </w:rPr>
              <w:t xml:space="preserve"> samym artykule oraz (ii) zastosowaniem technik ograniczania ryzyka kredytowego określonych</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czę</w:t>
            </w:r>
            <w:r w:rsidRPr="00835753">
              <w:rPr>
                <w:rFonts w:ascii="Times New Roman" w:hAnsi="Times New Roman"/>
                <w:iCs/>
                <w:sz w:val="24"/>
              </w:rPr>
              <w:t xml:space="preserve">ści trzeciej tytuł II rozdział 4 </w:t>
            </w:r>
            <w:r w:rsidRPr="00835753">
              <w:rPr>
                <w:rFonts w:ascii="Times New Roman" w:hAnsi="Times New Roman"/>
                <w:sz w:val="24"/>
              </w:rPr>
              <w:t>CRR</w:t>
            </w:r>
            <w:r w:rsidRPr="00835753">
              <w:rPr>
                <w:rFonts w:ascii="Times New Roman" w:hAnsi="Times New Roman"/>
                <w:iCs/>
                <w:sz w:val="24"/>
              </w:rPr>
              <w:t>. Wartości ekspozycji</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tyt</w:t>
            </w:r>
            <w:r w:rsidRPr="00835753">
              <w:rPr>
                <w:rFonts w:ascii="Times New Roman" w:hAnsi="Times New Roman"/>
                <w:iCs/>
                <w:sz w:val="24"/>
              </w:rPr>
              <w:t>ułu leasingu podlegają przepisom art.</w:t>
            </w:r>
            <w:r w:rsidR="00835753" w:rsidRPr="00835753">
              <w:rPr>
                <w:rFonts w:ascii="Times New Roman" w:hAnsi="Times New Roman"/>
                <w:iCs/>
                <w:sz w:val="24"/>
              </w:rPr>
              <w:t> </w:t>
            </w:r>
            <w:r w:rsidRPr="00835753">
              <w:rPr>
                <w:rFonts w:ascii="Times New Roman" w:hAnsi="Times New Roman"/>
                <w:iCs/>
                <w:sz w:val="24"/>
              </w:rPr>
              <w:t>134 ust.</w:t>
            </w:r>
            <w:r w:rsidR="00835753" w:rsidRPr="00835753">
              <w:rPr>
                <w:rFonts w:ascii="Times New Roman" w:hAnsi="Times New Roman"/>
                <w:iCs/>
                <w:sz w:val="24"/>
              </w:rPr>
              <w:t> </w:t>
            </w:r>
            <w:r w:rsidRPr="00835753">
              <w:rPr>
                <w:rFonts w:ascii="Times New Roman" w:hAnsi="Times New Roman"/>
                <w:iCs/>
                <w:sz w:val="24"/>
              </w:rPr>
              <w:t>7 CRR.</w:t>
            </w:r>
            <w:r w:rsidRPr="00835753">
              <w:rPr>
                <w:rFonts w:ascii="Times New Roman" w:hAnsi="Times New Roman"/>
                <w:sz w:val="24"/>
                <w:highlight w:val="yellow"/>
              </w:rPr>
              <w:t xml:space="preserve"> </w:t>
            </w:r>
          </w:p>
        </w:tc>
      </w:tr>
      <w:tr w:rsidR="00563C4F" w:rsidRPr="00835753" w14:paraId="19FF6081" w14:textId="77777777" w:rsidTr="00155C96">
        <w:trPr>
          <w:trHeight w:val="316"/>
        </w:trPr>
        <w:tc>
          <w:tcPr>
            <w:tcW w:w="1413" w:type="dxa"/>
            <w:vAlign w:val="center"/>
          </w:tcPr>
          <w:p w14:paraId="6468D619" w14:textId="77777777" w:rsidR="00563C4F" w:rsidRPr="00835753" w:rsidRDefault="00563C4F"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654" w:type="dxa"/>
          </w:tcPr>
          <w:p w14:paraId="24EA7797" w14:textId="35734AA6" w:rsidR="00563C4F" w:rsidRPr="00835753" w:rsidRDefault="00563C4F" w:rsidP="00155C96">
            <w:pPr>
              <w:autoSpaceDE w:val="0"/>
              <w:autoSpaceDN w:val="0"/>
              <w:adjustRightInd w:val="0"/>
              <w:spacing w:after="120"/>
              <w:jc w:val="both"/>
              <w:rPr>
                <w:rFonts w:ascii="Times New Roman" w:eastAsia="Times New Roman" w:hAnsi="Times New Roman" w:cs="Times New Roman"/>
                <w:b/>
                <w:iCs/>
                <w:sz w:val="24"/>
              </w:rPr>
            </w:pPr>
            <w:r w:rsidRPr="00835753">
              <w:rPr>
                <w:rFonts w:ascii="Times New Roman" w:hAnsi="Times New Roman"/>
                <w:b/>
                <w:iCs/>
                <w:sz w:val="24"/>
              </w:rPr>
              <w:t>Ekspozycje przed zastosowaniem współczynnika konwersji kredytowej</w:t>
            </w:r>
            <w:r w:rsidR="00835753" w:rsidRPr="00835753">
              <w:rPr>
                <w:rFonts w:ascii="Times New Roman" w:hAnsi="Times New Roman"/>
                <w:b/>
                <w:iCs/>
                <w:sz w:val="24"/>
              </w:rPr>
              <w:t xml:space="preserve"> i</w:t>
            </w:r>
            <w:r w:rsidR="00835753">
              <w:rPr>
                <w:rFonts w:ascii="Times New Roman" w:hAnsi="Times New Roman"/>
                <w:b/>
                <w:iCs/>
                <w:sz w:val="24"/>
              </w:rPr>
              <w:t> </w:t>
            </w:r>
            <w:r w:rsidR="00835753" w:rsidRPr="00835753">
              <w:rPr>
                <w:rFonts w:ascii="Times New Roman" w:hAnsi="Times New Roman"/>
                <w:b/>
                <w:iCs/>
                <w:sz w:val="24"/>
              </w:rPr>
              <w:t>ogr</w:t>
            </w:r>
            <w:r w:rsidRPr="00835753">
              <w:rPr>
                <w:rFonts w:ascii="Times New Roman" w:hAnsi="Times New Roman"/>
                <w:b/>
                <w:iCs/>
                <w:sz w:val="24"/>
              </w:rPr>
              <w:t>aniczania ryzyka kredytowego – Ekspozycje pozabilansowe:</w:t>
            </w:r>
          </w:p>
          <w:p w14:paraId="51FAB505" w14:textId="2CB2AAB6" w:rsidR="00563C4F" w:rsidRPr="00835753" w:rsidRDefault="00563C4F"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iCs/>
                <w:sz w:val="24"/>
              </w:rPr>
              <w:t>Instytucje ujawniają wartość ekspozycji bilansowych objętych zakresem konsolidacji ostrożnościowej po pomniejszeniu</w:t>
            </w:r>
            <w:r w:rsidR="00835753" w:rsidRPr="00835753">
              <w:rPr>
                <w:rFonts w:ascii="Times New Roman" w:hAnsi="Times New Roman"/>
                <w:iCs/>
                <w:sz w:val="24"/>
              </w:rPr>
              <w:t xml:space="preserve"> o</w:t>
            </w:r>
            <w:r w:rsidR="00835753">
              <w:rPr>
                <w:rFonts w:ascii="Times New Roman" w:hAnsi="Times New Roman"/>
                <w:iCs/>
                <w:sz w:val="24"/>
              </w:rPr>
              <w:t> </w:t>
            </w:r>
            <w:r w:rsidR="00835753" w:rsidRPr="00835753">
              <w:rPr>
                <w:rFonts w:ascii="Times New Roman" w:hAnsi="Times New Roman"/>
                <w:iCs/>
                <w:sz w:val="24"/>
              </w:rPr>
              <w:t>kor</w:t>
            </w:r>
            <w:r w:rsidRPr="00835753">
              <w:rPr>
                <w:rFonts w:ascii="Times New Roman" w:hAnsi="Times New Roman"/>
                <w:iCs/>
                <w:sz w:val="24"/>
              </w:rPr>
              <w:t>ekty</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tyt</w:t>
            </w:r>
            <w:r w:rsidRPr="00835753">
              <w:rPr>
                <w:rFonts w:ascii="Times New Roman" w:hAnsi="Times New Roman"/>
                <w:iCs/>
                <w:sz w:val="24"/>
              </w:rPr>
              <w:t>ułu szczególnego ryzyka kredytowego</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odl</w:t>
            </w:r>
            <w:r w:rsidRPr="00835753">
              <w:rPr>
                <w:rFonts w:ascii="Times New Roman" w:hAnsi="Times New Roman"/>
                <w:iCs/>
                <w:sz w:val="24"/>
              </w:rPr>
              <w:t>iczenia kwot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36 ust.</w:t>
            </w:r>
            <w:r w:rsidR="00835753" w:rsidRPr="00835753">
              <w:rPr>
                <w:rFonts w:ascii="Times New Roman" w:hAnsi="Times New Roman"/>
                <w:iCs/>
                <w:sz w:val="24"/>
              </w:rPr>
              <w:t> </w:t>
            </w:r>
            <w:r w:rsidRPr="00835753">
              <w:rPr>
                <w:rFonts w:ascii="Times New Roman" w:hAnsi="Times New Roman"/>
                <w:iCs/>
                <w:sz w:val="24"/>
              </w:rPr>
              <w:t>1 lit.</w:t>
            </w:r>
            <w:r w:rsidR="00835753" w:rsidRPr="00835753">
              <w:rPr>
                <w:rFonts w:ascii="Times New Roman" w:hAnsi="Times New Roman"/>
                <w:iCs/>
                <w:sz w:val="24"/>
              </w:rPr>
              <w:t> </w:t>
            </w:r>
            <w:r w:rsidRPr="00835753">
              <w:rPr>
                <w:rFonts w:ascii="Times New Roman" w:hAnsi="Times New Roman"/>
                <w:iCs/>
                <w:sz w:val="24"/>
              </w:rPr>
              <w:t>m) CRR, ale przed zastosowaniem współczynników konwersji kredytowej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 xml:space="preserve">111 </w:t>
            </w:r>
            <w:r w:rsidRPr="00835753">
              <w:rPr>
                <w:rFonts w:ascii="Times New Roman" w:hAnsi="Times New Roman"/>
                <w:sz w:val="24"/>
              </w:rPr>
              <w:t>CRR</w:t>
            </w:r>
            <w:r w:rsidRPr="00835753">
              <w:rPr>
                <w:rFonts w:ascii="Times New Roman" w:hAnsi="Times New Roman"/>
                <w:iCs/>
                <w:sz w:val="24"/>
              </w:rPr>
              <w:t xml:space="preserve"> oraz przed uwzględnieniem skutków technik ograniczania ryzyka kredytowego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czę</w:t>
            </w:r>
            <w:r w:rsidRPr="00835753">
              <w:rPr>
                <w:rFonts w:ascii="Times New Roman" w:hAnsi="Times New Roman"/>
                <w:iCs/>
                <w:sz w:val="24"/>
              </w:rPr>
              <w:t>ścią trzecią tytuł II rozdział 4 CRR).</w:t>
            </w:r>
          </w:p>
        </w:tc>
      </w:tr>
      <w:tr w:rsidR="00563C4F" w:rsidRPr="00835753" w14:paraId="054B6883" w14:textId="77777777" w:rsidTr="00155C96">
        <w:trPr>
          <w:trHeight w:val="316"/>
        </w:trPr>
        <w:tc>
          <w:tcPr>
            <w:tcW w:w="1413" w:type="dxa"/>
            <w:vAlign w:val="center"/>
          </w:tcPr>
          <w:p w14:paraId="7525E69D" w14:textId="77777777" w:rsidR="00563C4F" w:rsidRPr="00835753" w:rsidRDefault="00563C4F"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c</w:t>
            </w:r>
            <w:proofErr w:type="gramEnd"/>
            <w:r w:rsidRPr="00835753">
              <w:rPr>
                <w:rFonts w:ascii="Times New Roman" w:hAnsi="Times New Roman"/>
                <w:sz w:val="24"/>
              </w:rPr>
              <w:t>)</w:t>
            </w:r>
          </w:p>
        </w:tc>
        <w:tc>
          <w:tcPr>
            <w:tcW w:w="7654" w:type="dxa"/>
          </w:tcPr>
          <w:p w14:paraId="4A0D0640" w14:textId="11DD0622" w:rsidR="00563C4F" w:rsidRPr="00835753" w:rsidRDefault="00563C4F" w:rsidP="00155C96">
            <w:pPr>
              <w:autoSpaceDE w:val="0"/>
              <w:autoSpaceDN w:val="0"/>
              <w:adjustRightInd w:val="0"/>
              <w:spacing w:after="120"/>
              <w:jc w:val="both"/>
              <w:rPr>
                <w:rFonts w:ascii="Times New Roman" w:eastAsia="Times New Roman" w:hAnsi="Times New Roman" w:cs="Times New Roman"/>
                <w:b/>
                <w:iCs/>
                <w:sz w:val="24"/>
              </w:rPr>
            </w:pPr>
            <w:r w:rsidRPr="00835753">
              <w:rPr>
                <w:rFonts w:ascii="Times New Roman" w:hAnsi="Times New Roman"/>
                <w:b/>
                <w:iCs/>
                <w:sz w:val="24"/>
              </w:rPr>
              <w:t>Ekspozycje po zastosowaniu współczynnika konwersji kredytowej</w:t>
            </w:r>
            <w:r w:rsidR="00835753" w:rsidRPr="00835753">
              <w:rPr>
                <w:rFonts w:ascii="Times New Roman" w:hAnsi="Times New Roman"/>
                <w:b/>
                <w:iCs/>
                <w:sz w:val="24"/>
              </w:rPr>
              <w:t xml:space="preserve"> i</w:t>
            </w:r>
            <w:r w:rsidR="00835753">
              <w:rPr>
                <w:rFonts w:ascii="Times New Roman" w:hAnsi="Times New Roman"/>
                <w:b/>
                <w:iCs/>
                <w:sz w:val="24"/>
              </w:rPr>
              <w:t> </w:t>
            </w:r>
            <w:r w:rsidR="00835753" w:rsidRPr="00835753">
              <w:rPr>
                <w:rFonts w:ascii="Times New Roman" w:hAnsi="Times New Roman"/>
                <w:b/>
                <w:iCs/>
                <w:sz w:val="24"/>
              </w:rPr>
              <w:t>tec</w:t>
            </w:r>
            <w:r w:rsidRPr="00835753">
              <w:rPr>
                <w:rFonts w:ascii="Times New Roman" w:hAnsi="Times New Roman"/>
                <w:b/>
                <w:iCs/>
                <w:sz w:val="24"/>
              </w:rPr>
              <w:t xml:space="preserve">hnik ograniczania ryzyka kredytowego – Ekspozycje bilansowe: </w:t>
            </w:r>
          </w:p>
          <w:p w14:paraId="70B5B0C5" w14:textId="69216B2C" w:rsidR="00563C4F" w:rsidRPr="00835753" w:rsidRDefault="00563C4F"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Instytucje ujawniają wartość ekspozycji bilansowych objętych zakresem konsolidacji ostrożnościowej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 xml:space="preserve">111 </w:t>
            </w:r>
            <w:r w:rsidRPr="00835753">
              <w:rPr>
                <w:rFonts w:ascii="Times New Roman" w:hAnsi="Times New Roman"/>
                <w:sz w:val="24"/>
              </w:rPr>
              <w:t>CRR</w:t>
            </w:r>
            <w:r w:rsidRPr="00835753">
              <w:rPr>
                <w:rFonts w:ascii="Times New Roman" w:hAnsi="Times New Roman"/>
                <w:iCs/>
                <w:sz w:val="24"/>
              </w:rPr>
              <w:t>) po dokonaniu korekt</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tyt</w:t>
            </w:r>
            <w:r w:rsidRPr="00835753">
              <w:rPr>
                <w:rFonts w:ascii="Times New Roman" w:hAnsi="Times New Roman"/>
                <w:iCs/>
                <w:sz w:val="24"/>
              </w:rPr>
              <w:t>ułu szczególnego ryzyka kredytowego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110 CRR, dodatkowych korekt wartości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34</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1</w:t>
            </w:r>
            <w:r w:rsidRPr="00835753">
              <w:rPr>
                <w:rFonts w:ascii="Times New Roman" w:hAnsi="Times New Roman"/>
                <w:iCs/>
                <w:sz w:val="24"/>
              </w:rPr>
              <w:t>05 CRR, odliczenia kwot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36 ust.</w:t>
            </w:r>
            <w:r w:rsidR="00835753" w:rsidRPr="00835753">
              <w:rPr>
                <w:rFonts w:ascii="Times New Roman" w:hAnsi="Times New Roman"/>
                <w:iCs/>
                <w:sz w:val="24"/>
              </w:rPr>
              <w:t> </w:t>
            </w:r>
            <w:r w:rsidRPr="00835753">
              <w:rPr>
                <w:rFonts w:ascii="Times New Roman" w:hAnsi="Times New Roman"/>
                <w:iCs/>
                <w:sz w:val="24"/>
              </w:rPr>
              <w:t>1 lit.</w:t>
            </w:r>
            <w:r w:rsidR="00835753" w:rsidRPr="00835753">
              <w:rPr>
                <w:rFonts w:ascii="Times New Roman" w:hAnsi="Times New Roman"/>
                <w:iCs/>
                <w:sz w:val="24"/>
              </w:rPr>
              <w:t> </w:t>
            </w:r>
            <w:r w:rsidRPr="00835753">
              <w:rPr>
                <w:rFonts w:ascii="Times New Roman" w:hAnsi="Times New Roman"/>
                <w:iCs/>
                <w:sz w:val="24"/>
              </w:rPr>
              <w:t>m) CRR, innych redukcji funduszy własnych</w:t>
            </w:r>
            <w:r w:rsidR="00835753" w:rsidRPr="00835753">
              <w:rPr>
                <w:rFonts w:ascii="Times New Roman" w:hAnsi="Times New Roman"/>
                <w:sz w:val="24"/>
              </w:rPr>
              <w:t xml:space="preserve"> </w:t>
            </w:r>
            <w:r w:rsidR="00835753" w:rsidRPr="00835753">
              <w:rPr>
                <w:rFonts w:ascii="Times New Roman" w:hAnsi="Times New Roman"/>
                <w:iCs/>
                <w:sz w:val="24"/>
              </w:rPr>
              <w:t>i</w:t>
            </w:r>
            <w:r w:rsidR="00835753">
              <w:rPr>
                <w:rFonts w:ascii="Times New Roman" w:hAnsi="Times New Roman"/>
                <w:sz w:val="24"/>
              </w:rPr>
              <w:t> </w:t>
            </w:r>
            <w:r w:rsidR="00835753" w:rsidRPr="00835753">
              <w:rPr>
                <w:rFonts w:ascii="Times New Roman" w:hAnsi="Times New Roman"/>
                <w:iCs/>
                <w:sz w:val="24"/>
              </w:rPr>
              <w:t>odp</w:t>
            </w:r>
            <w:r w:rsidRPr="00835753">
              <w:rPr>
                <w:rFonts w:ascii="Times New Roman" w:hAnsi="Times New Roman"/>
                <w:iCs/>
                <w:sz w:val="24"/>
              </w:rPr>
              <w:t>isów, jak określono</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maj</w:t>
            </w:r>
            <w:r w:rsidRPr="00835753">
              <w:rPr>
                <w:rFonts w:ascii="Times New Roman" w:hAnsi="Times New Roman"/>
                <w:iCs/>
                <w:sz w:val="24"/>
              </w:rPr>
              <w:t>ących zastosowanie standardach rachunkowości, po zastosowaniu wszystkich czynników łagodzących ryzyko kredytowe</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wsp</w:t>
            </w:r>
            <w:r w:rsidRPr="00835753">
              <w:rPr>
                <w:rFonts w:ascii="Times New Roman" w:hAnsi="Times New Roman"/>
                <w:iCs/>
                <w:sz w:val="24"/>
              </w:rPr>
              <w:t>ółczynników konwersji kredytowej. Jest to kwota, do której stosuje się wagi ryzyka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113 CRR oraz</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czę</w:t>
            </w:r>
            <w:r w:rsidRPr="00835753">
              <w:rPr>
                <w:rFonts w:ascii="Times New Roman" w:hAnsi="Times New Roman"/>
                <w:iCs/>
                <w:sz w:val="24"/>
              </w:rPr>
              <w:t xml:space="preserve">ścią trzecią tytuł II rozdział 2 sekcja 1 CRR). Jest to kwota równoważna kredytom netto po </w:t>
            </w:r>
            <w:r w:rsidRPr="00835753">
              <w:rPr>
                <w:rFonts w:ascii="Times New Roman" w:hAnsi="Times New Roman"/>
                <w:iCs/>
                <w:sz w:val="24"/>
              </w:rPr>
              <w:lastRenderedPageBreak/>
              <w:t>zastosowaniu technik ograniczania ryzyka kredytowego</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wsp</w:t>
            </w:r>
            <w:r w:rsidRPr="00835753">
              <w:rPr>
                <w:rFonts w:ascii="Times New Roman" w:hAnsi="Times New Roman"/>
                <w:iCs/>
                <w:sz w:val="24"/>
              </w:rPr>
              <w:t>ółczynnika konwersji kredytowej.</w:t>
            </w:r>
          </w:p>
        </w:tc>
      </w:tr>
      <w:tr w:rsidR="00563C4F" w:rsidRPr="00835753" w14:paraId="53D56F9F" w14:textId="77777777" w:rsidTr="00155C96">
        <w:trPr>
          <w:trHeight w:val="316"/>
        </w:trPr>
        <w:tc>
          <w:tcPr>
            <w:tcW w:w="1413" w:type="dxa"/>
            <w:vAlign w:val="center"/>
          </w:tcPr>
          <w:p w14:paraId="38F50F48" w14:textId="77777777" w:rsidR="00563C4F" w:rsidRPr="00835753" w:rsidRDefault="00563C4F"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lastRenderedPageBreak/>
              <w:t>d</w:t>
            </w:r>
            <w:proofErr w:type="gramEnd"/>
            <w:r w:rsidRPr="00835753">
              <w:rPr>
                <w:rFonts w:ascii="Times New Roman" w:hAnsi="Times New Roman"/>
                <w:sz w:val="24"/>
              </w:rPr>
              <w:t>)</w:t>
            </w:r>
          </w:p>
        </w:tc>
        <w:tc>
          <w:tcPr>
            <w:tcW w:w="7654" w:type="dxa"/>
          </w:tcPr>
          <w:p w14:paraId="2C57FEA5" w14:textId="258DEA3D" w:rsidR="00563C4F" w:rsidRPr="00835753" w:rsidRDefault="00563C4F" w:rsidP="00155C96">
            <w:pPr>
              <w:autoSpaceDE w:val="0"/>
              <w:autoSpaceDN w:val="0"/>
              <w:adjustRightInd w:val="0"/>
              <w:spacing w:after="120"/>
              <w:jc w:val="both"/>
              <w:rPr>
                <w:rFonts w:ascii="Times New Roman" w:eastAsia="Times New Roman" w:hAnsi="Times New Roman" w:cs="Times New Roman"/>
                <w:b/>
                <w:iCs/>
                <w:sz w:val="24"/>
              </w:rPr>
            </w:pPr>
            <w:r w:rsidRPr="00835753">
              <w:rPr>
                <w:rFonts w:ascii="Times New Roman" w:hAnsi="Times New Roman"/>
                <w:b/>
                <w:iCs/>
                <w:sz w:val="24"/>
              </w:rPr>
              <w:t>Ekspozycje po zastosowaniu współczynnika konwersji kredytowej</w:t>
            </w:r>
            <w:r w:rsidR="00835753" w:rsidRPr="00835753">
              <w:rPr>
                <w:rFonts w:ascii="Times New Roman" w:hAnsi="Times New Roman"/>
                <w:b/>
                <w:iCs/>
                <w:sz w:val="24"/>
              </w:rPr>
              <w:t xml:space="preserve"> i</w:t>
            </w:r>
            <w:r w:rsidR="00835753">
              <w:rPr>
                <w:rFonts w:ascii="Times New Roman" w:hAnsi="Times New Roman"/>
                <w:b/>
                <w:iCs/>
                <w:sz w:val="24"/>
              </w:rPr>
              <w:t> </w:t>
            </w:r>
            <w:r w:rsidR="00835753" w:rsidRPr="00835753">
              <w:rPr>
                <w:rFonts w:ascii="Times New Roman" w:hAnsi="Times New Roman"/>
                <w:b/>
                <w:iCs/>
                <w:sz w:val="24"/>
              </w:rPr>
              <w:t>tec</w:t>
            </w:r>
            <w:r w:rsidRPr="00835753">
              <w:rPr>
                <w:rFonts w:ascii="Times New Roman" w:hAnsi="Times New Roman"/>
                <w:b/>
                <w:iCs/>
                <w:sz w:val="24"/>
              </w:rPr>
              <w:t xml:space="preserve">hnik ograniczania ryzyka kredytowego – Ekspozycje bilansowe: </w:t>
            </w:r>
          </w:p>
          <w:p w14:paraId="46D0D057" w14:textId="61BE2FBC" w:rsidR="00563C4F" w:rsidRPr="00835753" w:rsidRDefault="00563C4F"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Instytucje ujawniają wartość ekspozycji pozabilansowych po dokonaniu korekt</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tyt</w:t>
            </w:r>
            <w:r w:rsidRPr="00835753">
              <w:rPr>
                <w:rFonts w:ascii="Times New Roman" w:hAnsi="Times New Roman"/>
                <w:iCs/>
                <w:sz w:val="24"/>
              </w:rPr>
              <w:t>ułu szczególnego ryzyka kredytowego, jak określono</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roz</w:t>
            </w:r>
            <w:r w:rsidRPr="00835753">
              <w:rPr>
                <w:rFonts w:ascii="Times New Roman" w:hAnsi="Times New Roman"/>
                <w:iCs/>
                <w:sz w:val="24"/>
              </w:rPr>
              <w:t>porządzeniu delegowanym Komisji (UE) nr</w:t>
            </w:r>
            <w:r w:rsidR="00835753" w:rsidRPr="00835753">
              <w:rPr>
                <w:rFonts w:ascii="Times New Roman" w:hAnsi="Times New Roman"/>
                <w:iCs/>
                <w:sz w:val="24"/>
              </w:rPr>
              <w:t> </w:t>
            </w:r>
            <w:r w:rsidRPr="00835753">
              <w:rPr>
                <w:rFonts w:ascii="Times New Roman" w:hAnsi="Times New Roman"/>
                <w:iCs/>
                <w:sz w:val="24"/>
              </w:rPr>
              <w:t>183/2014</w:t>
            </w:r>
            <w:r w:rsidRPr="00835753">
              <w:rPr>
                <w:rStyle w:val="FootnoteReference"/>
                <w:rFonts w:eastAsia="Times New Roman" w:cs="Times New Roman"/>
                <w:iCs/>
              </w:rPr>
              <w:footnoteReference w:id="37"/>
            </w:r>
            <w:r w:rsidRPr="00835753">
              <w:rPr>
                <w:rFonts w:ascii="Times New Roman" w:hAnsi="Times New Roman"/>
                <w:iCs/>
                <w:sz w:val="24"/>
              </w:rPr>
              <w:t>, dodatkowych korekt wartości</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inn</w:t>
            </w:r>
            <w:r w:rsidRPr="00835753">
              <w:rPr>
                <w:rFonts w:ascii="Times New Roman" w:hAnsi="Times New Roman"/>
                <w:iCs/>
                <w:sz w:val="24"/>
              </w:rPr>
              <w:t>ych redukcji funduszy własnych, po zastosowaniu wszystkich czynników łagodzących ryzyko kredytowe</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wsp</w:t>
            </w:r>
            <w:r w:rsidRPr="00835753">
              <w:rPr>
                <w:rFonts w:ascii="Times New Roman" w:hAnsi="Times New Roman"/>
                <w:iCs/>
                <w:sz w:val="24"/>
              </w:rPr>
              <w:t>ółczynników konwersji kredytowej. Jest to kwota, do której stosuje się wagi ryzyka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113 CRR oraz</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czę</w:t>
            </w:r>
            <w:r w:rsidRPr="00835753">
              <w:rPr>
                <w:rFonts w:ascii="Times New Roman" w:hAnsi="Times New Roman"/>
                <w:iCs/>
                <w:sz w:val="24"/>
              </w:rPr>
              <w:t>ścią trzecią tytuł II rozdział 2 sekcja 1 CRR). Jest to kwota równoważna kredytom netto po zastosowaniu technik ograniczania ryzyka kredytowego</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wsp</w:t>
            </w:r>
            <w:r w:rsidRPr="00835753">
              <w:rPr>
                <w:rFonts w:ascii="Times New Roman" w:hAnsi="Times New Roman"/>
                <w:iCs/>
                <w:sz w:val="24"/>
              </w:rPr>
              <w:t>ółczynnika konwersji kredytowej.</w:t>
            </w:r>
          </w:p>
        </w:tc>
      </w:tr>
      <w:tr w:rsidR="00563C4F" w:rsidRPr="00835753" w14:paraId="783F84F2" w14:textId="77777777" w:rsidTr="00155C96">
        <w:trPr>
          <w:trHeight w:val="316"/>
        </w:trPr>
        <w:tc>
          <w:tcPr>
            <w:tcW w:w="1413" w:type="dxa"/>
            <w:vAlign w:val="center"/>
          </w:tcPr>
          <w:p w14:paraId="3E2814AF" w14:textId="77777777" w:rsidR="00563C4F" w:rsidRPr="00835753" w:rsidRDefault="00563C4F"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e</w:t>
            </w:r>
            <w:proofErr w:type="gramEnd"/>
            <w:r w:rsidRPr="00835753">
              <w:rPr>
                <w:rFonts w:ascii="Times New Roman" w:hAnsi="Times New Roman"/>
                <w:sz w:val="24"/>
              </w:rPr>
              <w:t>)</w:t>
            </w:r>
          </w:p>
        </w:tc>
        <w:tc>
          <w:tcPr>
            <w:tcW w:w="7654" w:type="dxa"/>
          </w:tcPr>
          <w:p w14:paraId="22AE42F6" w14:textId="77777777" w:rsidR="00563C4F" w:rsidRPr="00835753" w:rsidRDefault="00563C4F" w:rsidP="00155C96">
            <w:pPr>
              <w:autoSpaceDE w:val="0"/>
              <w:autoSpaceDN w:val="0"/>
              <w:adjustRightInd w:val="0"/>
              <w:spacing w:after="120"/>
              <w:jc w:val="both"/>
              <w:rPr>
                <w:rFonts w:ascii="Times New Roman" w:eastAsia="Times New Roman" w:hAnsi="Times New Roman" w:cs="Times New Roman"/>
                <w:b/>
                <w:iCs/>
                <w:sz w:val="24"/>
              </w:rPr>
            </w:pPr>
            <w:r w:rsidRPr="00835753">
              <w:rPr>
                <w:rFonts w:ascii="Times New Roman" w:hAnsi="Times New Roman"/>
                <w:b/>
                <w:iCs/>
                <w:sz w:val="24"/>
              </w:rPr>
              <w:t>Kwoty ekspozycji ważonych ryzykiem</w:t>
            </w:r>
          </w:p>
          <w:p w14:paraId="124B927D" w14:textId="2B1CA830" w:rsidR="00563C4F" w:rsidRPr="00835753" w:rsidRDefault="00563C4F"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sz w:val="24"/>
              </w:rPr>
              <w:t>Kwoty ekspozycji ważonych ryzykiem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2 sekcja 1 CRR.</w:t>
            </w:r>
          </w:p>
        </w:tc>
      </w:tr>
      <w:tr w:rsidR="00563C4F" w:rsidRPr="00835753" w14:paraId="25CBF74C" w14:textId="77777777" w:rsidTr="00155C96">
        <w:trPr>
          <w:trHeight w:val="316"/>
        </w:trPr>
        <w:tc>
          <w:tcPr>
            <w:tcW w:w="1413" w:type="dxa"/>
            <w:vAlign w:val="center"/>
          </w:tcPr>
          <w:p w14:paraId="37DC3951" w14:textId="77777777" w:rsidR="00563C4F" w:rsidRPr="00835753" w:rsidRDefault="00563C4F"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f</w:t>
            </w:r>
            <w:proofErr w:type="gramEnd"/>
            <w:r w:rsidRPr="00835753">
              <w:rPr>
                <w:rFonts w:ascii="Times New Roman" w:hAnsi="Times New Roman"/>
                <w:sz w:val="24"/>
              </w:rPr>
              <w:t>)</w:t>
            </w:r>
          </w:p>
        </w:tc>
        <w:tc>
          <w:tcPr>
            <w:tcW w:w="7654" w:type="dxa"/>
          </w:tcPr>
          <w:p w14:paraId="168FA694" w14:textId="2CAE5917" w:rsidR="00563C4F" w:rsidRPr="00835753" w:rsidRDefault="00644661" w:rsidP="00155C96">
            <w:pPr>
              <w:autoSpaceDE w:val="0"/>
              <w:autoSpaceDN w:val="0"/>
              <w:adjustRightInd w:val="0"/>
              <w:spacing w:after="120"/>
              <w:jc w:val="both"/>
              <w:rPr>
                <w:rFonts w:ascii="Times New Roman" w:eastAsia="Times New Roman" w:hAnsi="Times New Roman" w:cs="Times New Roman"/>
                <w:b/>
                <w:iCs/>
                <w:sz w:val="24"/>
              </w:rPr>
            </w:pPr>
            <w:r w:rsidRPr="00835753">
              <w:rPr>
                <w:rFonts w:ascii="Times New Roman" w:hAnsi="Times New Roman"/>
                <w:b/>
                <w:iCs/>
                <w:sz w:val="24"/>
              </w:rPr>
              <w:t>Stosunek kwot ekspozycji ważonych ryzykiem do wartości ekspozycji</w:t>
            </w:r>
          </w:p>
          <w:p w14:paraId="1FF6408D" w14:textId="77777777" w:rsidR="00563C4F" w:rsidRPr="00835753" w:rsidRDefault="00563C4F"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(Kolumna e</w:t>
            </w:r>
            <w:proofErr w:type="gramStart"/>
            <w:r w:rsidRPr="00835753">
              <w:rPr>
                <w:rFonts w:ascii="Times New Roman" w:hAnsi="Times New Roman"/>
                <w:iCs/>
                <w:sz w:val="24"/>
              </w:rPr>
              <w:t>)/Kolumny</w:t>
            </w:r>
            <w:proofErr w:type="gramEnd"/>
            <w:r w:rsidRPr="00835753">
              <w:rPr>
                <w:rFonts w:ascii="Times New Roman" w:hAnsi="Times New Roman"/>
                <w:iCs/>
                <w:sz w:val="24"/>
              </w:rPr>
              <w:t xml:space="preserve"> (c)+d))</w:t>
            </w:r>
            <w:r w:rsidRPr="00835753">
              <w:rPr>
                <w:rFonts w:ascii="Times New Roman" w:hAnsi="Times New Roman"/>
                <w:sz w:val="24"/>
              </w:rPr>
              <w:t xml:space="preserve"> niniejszego wzoru</w:t>
            </w:r>
            <w:r w:rsidRPr="00835753">
              <w:rPr>
                <w:rFonts w:ascii="Times New Roman" w:hAnsi="Times New Roman"/>
                <w:iCs/>
                <w:sz w:val="24"/>
              </w:rPr>
              <w:t>)</w:t>
            </w:r>
          </w:p>
          <w:p w14:paraId="45173152" w14:textId="44897B79" w:rsidR="00563C4F" w:rsidRPr="00835753" w:rsidRDefault="00563C4F"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Wskaźnik ten oblicza się, dzieląc kwoty ekspozycji ważonych ryzykiem odpowiedniej kategorii ekspozycji (kolumna e)</w:t>
            </w:r>
            <w:r w:rsidRPr="00835753">
              <w:rPr>
                <w:rFonts w:ascii="Times New Roman" w:hAnsi="Times New Roman"/>
                <w:sz w:val="24"/>
              </w:rPr>
              <w:t xml:space="preserve"> niniejszego wzoru</w:t>
            </w:r>
            <w:r w:rsidRPr="00835753">
              <w:rPr>
                <w:rFonts w:ascii="Times New Roman" w:hAnsi="Times New Roman"/>
                <w:iCs/>
                <w:sz w:val="24"/>
              </w:rPr>
              <w:t>) przez kwotę odpowiednich ekspozycji po uwzględnieniu wszystkich czynników łagodzących ryzyko kredytowe</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wsp</w:t>
            </w:r>
            <w:r w:rsidRPr="00835753">
              <w:rPr>
                <w:rFonts w:ascii="Times New Roman" w:hAnsi="Times New Roman"/>
                <w:iCs/>
                <w:sz w:val="24"/>
              </w:rPr>
              <w:t>ółczynników konwersji kredytowej (suma kwot</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kol</w:t>
            </w:r>
            <w:r w:rsidRPr="00835753">
              <w:rPr>
                <w:rFonts w:ascii="Times New Roman" w:hAnsi="Times New Roman"/>
                <w:iCs/>
                <w:sz w:val="24"/>
              </w:rPr>
              <w:t xml:space="preserve">umn c) i d) </w:t>
            </w:r>
            <w:r w:rsidRPr="00835753">
              <w:rPr>
                <w:rFonts w:ascii="Times New Roman" w:hAnsi="Times New Roman"/>
                <w:sz w:val="24"/>
              </w:rPr>
              <w:t>niniejszego wzoru</w:t>
            </w:r>
            <w:r w:rsidRPr="00835753">
              <w:rPr>
                <w:rFonts w:ascii="Times New Roman" w:hAnsi="Times New Roman"/>
                <w:iCs/>
                <w:sz w:val="24"/>
              </w:rPr>
              <w:t>).</w:t>
            </w:r>
          </w:p>
        </w:tc>
      </w:tr>
    </w:tbl>
    <w:p w14:paraId="1CDAF6A7" w14:textId="77777777" w:rsidR="00563C4F" w:rsidRPr="00835753"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835753"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77777777" w:rsidR="00563C4F" w:rsidRPr="00835753" w:rsidRDefault="00563C4F"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15BEC989" w:rsidR="00563C4F" w:rsidRPr="00835753" w:rsidRDefault="00563C4F"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563C4F" w:rsidRPr="00835753"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835753"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835753" w:rsidRDefault="00563C4F"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563C4F" w:rsidRPr="00835753" w14:paraId="18C002DC" w14:textId="77777777" w:rsidTr="00155C96">
        <w:trPr>
          <w:trHeight w:val="699"/>
        </w:trPr>
        <w:tc>
          <w:tcPr>
            <w:tcW w:w="1413" w:type="dxa"/>
            <w:shd w:val="clear" w:color="auto" w:fill="auto"/>
          </w:tcPr>
          <w:p w14:paraId="6599D5AF" w14:textId="77777777" w:rsidR="00563C4F" w:rsidRPr="00835753" w:rsidRDefault="00563C4F"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1–16</w:t>
            </w:r>
          </w:p>
        </w:tc>
        <w:tc>
          <w:tcPr>
            <w:tcW w:w="7654" w:type="dxa"/>
            <w:shd w:val="clear" w:color="auto" w:fill="auto"/>
          </w:tcPr>
          <w:p w14:paraId="59A78199" w14:textId="679E21CA" w:rsidR="00563C4F" w:rsidRPr="00835753" w:rsidRDefault="00563C4F" w:rsidP="00155C96">
            <w:pPr>
              <w:spacing w:after="120"/>
              <w:jc w:val="both"/>
              <w:rPr>
                <w:rFonts w:ascii="Times New Roman" w:hAnsi="Times New Roman" w:cs="Times New Roman"/>
                <w:sz w:val="24"/>
              </w:rPr>
            </w:pPr>
            <w:r w:rsidRPr="00835753">
              <w:rPr>
                <w:rFonts w:ascii="Times New Roman" w:hAnsi="Times New Roman"/>
                <w:sz w:val="24"/>
              </w:rPr>
              <w:t>Kategorie ekspozycji zdefiniowane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112 CRR</w:t>
            </w:r>
          </w:p>
          <w:p w14:paraId="0A23C16C" w14:textId="734206DA" w:rsidR="00563C4F" w:rsidRPr="00835753" w:rsidRDefault="00563C4F" w:rsidP="00631845">
            <w:pPr>
              <w:spacing w:after="120"/>
              <w:jc w:val="both"/>
              <w:rPr>
                <w:rFonts w:ascii="Times New Roman" w:eastAsia="Times New Roman" w:hAnsi="Times New Roman" w:cs="Times New Roman"/>
                <w:sz w:val="24"/>
              </w:rPr>
            </w:pPr>
            <w:r w:rsidRPr="00835753">
              <w:rPr>
                <w:rFonts w:ascii="Times New Roman" w:hAnsi="Times New Roman"/>
                <w:sz w:val="24"/>
              </w:rPr>
              <w:t>Nie ujmuje się ekspozycji zaklasyfikowanych do kategorii ekspozycji „pozycje stanowiące pozycje sekurytyzacyjne”,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112 lit.</w:t>
            </w:r>
            <w:r w:rsidR="00835753" w:rsidRPr="00835753">
              <w:rPr>
                <w:rFonts w:ascii="Times New Roman" w:hAnsi="Times New Roman"/>
                <w:sz w:val="24"/>
              </w:rPr>
              <w:t> </w:t>
            </w:r>
            <w:r w:rsidRPr="00835753">
              <w:rPr>
                <w:rFonts w:ascii="Times New Roman" w:hAnsi="Times New Roman"/>
                <w:sz w:val="24"/>
              </w:rPr>
              <w:t>m) CRR.</w:t>
            </w:r>
          </w:p>
        </w:tc>
      </w:tr>
      <w:tr w:rsidR="00563C4F" w:rsidRPr="00835753" w14:paraId="2B66124F" w14:textId="77777777" w:rsidTr="00155C96">
        <w:trPr>
          <w:trHeight w:val="558"/>
        </w:trPr>
        <w:tc>
          <w:tcPr>
            <w:tcW w:w="1413" w:type="dxa"/>
          </w:tcPr>
          <w:p w14:paraId="193A755C" w14:textId="77777777" w:rsidR="00563C4F" w:rsidRPr="00835753" w:rsidRDefault="00563C4F"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16</w:t>
            </w:r>
          </w:p>
        </w:tc>
        <w:tc>
          <w:tcPr>
            <w:tcW w:w="7654" w:type="dxa"/>
          </w:tcPr>
          <w:p w14:paraId="72B5102D" w14:textId="77777777" w:rsidR="00563C4F" w:rsidRPr="00835753" w:rsidRDefault="00563C4F" w:rsidP="00155C96">
            <w:pPr>
              <w:spacing w:after="120"/>
              <w:jc w:val="both"/>
              <w:rPr>
                <w:rFonts w:ascii="Times New Roman" w:eastAsiaTheme="minorHAnsi" w:hAnsi="Times New Roman" w:cs="Times New Roman"/>
                <w:sz w:val="24"/>
              </w:rPr>
            </w:pPr>
            <w:r w:rsidRPr="00835753">
              <w:rPr>
                <w:rFonts w:ascii="Times New Roman" w:hAnsi="Times New Roman"/>
                <w:sz w:val="24"/>
              </w:rPr>
              <w:t>Kategoria ekspozycji „Inne pozycje” odnosi się do:</w:t>
            </w:r>
          </w:p>
          <w:p w14:paraId="273A92AC" w14:textId="33ECE5BE" w:rsidR="00563C4F" w:rsidRPr="00835753" w:rsidRDefault="00563C4F" w:rsidP="00155C96">
            <w:pPr>
              <w:spacing w:after="120"/>
              <w:jc w:val="both"/>
              <w:rPr>
                <w:rFonts w:ascii="Times New Roman" w:eastAsiaTheme="minorHAnsi" w:hAnsi="Times New Roman" w:cs="Times New Roman"/>
                <w:sz w:val="24"/>
              </w:rPr>
            </w:pPr>
            <w:r w:rsidRPr="00835753">
              <w:rPr>
                <w:rFonts w:ascii="Times New Roman" w:hAnsi="Times New Roman"/>
                <w:sz w:val="24"/>
              </w:rPr>
              <w:t>– aktywów podlegających określonej wadze ryzyka ustanowionej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134 CRR;</w:t>
            </w:r>
          </w:p>
          <w:p w14:paraId="0D19A1EF" w14:textId="3AE80611" w:rsidR="00563C4F" w:rsidRPr="00835753" w:rsidRDefault="00563C4F" w:rsidP="00155C96">
            <w:pPr>
              <w:spacing w:after="120"/>
              <w:jc w:val="both"/>
              <w:rPr>
                <w:rFonts w:ascii="Times New Roman" w:hAnsi="Times New Roman" w:cs="Times New Roman"/>
                <w:sz w:val="24"/>
              </w:rPr>
            </w:pPr>
            <w:r w:rsidRPr="00835753">
              <w:rPr>
                <w:rFonts w:ascii="Times New Roman" w:hAnsi="Times New Roman"/>
                <w:sz w:val="24"/>
              </w:rPr>
              <w:t>– aktywów, które nie podlegają odliczeniu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39 CRR (nadpłaty podatku, straty podatkowe przeniesione na poprzednie lata oraz aktywa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 nieoparte na przyszłej rentowności), art.</w:t>
            </w:r>
            <w:r w:rsidR="00835753" w:rsidRPr="00835753">
              <w:rPr>
                <w:rFonts w:ascii="Times New Roman" w:hAnsi="Times New Roman"/>
                <w:sz w:val="24"/>
              </w:rPr>
              <w:t> </w:t>
            </w:r>
            <w:r w:rsidRPr="00835753">
              <w:rPr>
                <w:rFonts w:ascii="Times New Roman" w:hAnsi="Times New Roman"/>
                <w:sz w:val="24"/>
              </w:rPr>
              <w:t xml:space="preserve">41 CRR (aktywa funduszu emerytalnego ze </w:t>
            </w:r>
            <w:r w:rsidRPr="00835753">
              <w:rPr>
                <w:rFonts w:ascii="Times New Roman" w:hAnsi="Times New Roman"/>
                <w:sz w:val="24"/>
              </w:rPr>
              <w:lastRenderedPageBreak/>
              <w:t>zdefiniowanymi świadczeniami), art.</w:t>
            </w:r>
            <w:r w:rsidR="00835753" w:rsidRPr="00835753">
              <w:rPr>
                <w:rFonts w:ascii="Times New Roman" w:hAnsi="Times New Roman"/>
                <w:sz w:val="24"/>
              </w:rPr>
              <w:t> </w:t>
            </w:r>
            <w:r w:rsidRPr="00835753">
              <w:rPr>
                <w:rFonts w:ascii="Times New Roman" w:hAnsi="Times New Roman"/>
                <w:sz w:val="24"/>
              </w:rPr>
              <w:t>46 CRR (nieznaczne inwestycje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 podstawowy Tier I podmiotów sektora finansowego), art.</w:t>
            </w:r>
            <w:r w:rsidR="00835753" w:rsidRPr="00835753">
              <w:rPr>
                <w:rFonts w:ascii="Times New Roman" w:hAnsi="Times New Roman"/>
                <w:sz w:val="24"/>
              </w:rPr>
              <w:t> </w:t>
            </w:r>
            <w:r w:rsidRPr="00835753">
              <w:rPr>
                <w:rFonts w:ascii="Times New Roman" w:hAnsi="Times New Roman"/>
                <w:sz w:val="24"/>
              </w:rPr>
              <w:t>48 CRR (aktywa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 oraz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inwestycje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trumenty własne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 podmiotów sektora finansowego do określonego progu), art.</w:t>
            </w:r>
            <w:r w:rsidR="00835753" w:rsidRPr="00835753">
              <w:rPr>
                <w:rFonts w:ascii="Times New Roman" w:hAnsi="Times New Roman"/>
                <w:sz w:val="24"/>
              </w:rPr>
              <w:t> </w:t>
            </w:r>
            <w:r w:rsidRPr="00835753">
              <w:rPr>
                <w:rFonts w:ascii="Times New Roman" w:hAnsi="Times New Roman"/>
                <w:sz w:val="24"/>
              </w:rPr>
              <w:t>49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471 CRR (udziały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miotach ubezpieczeniowych, niezależnie od tego, czy podmioty ubezpieczeniowe są objęte nadzorem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episami dyrektywy</w:t>
            </w:r>
            <w:r w:rsidR="00835753" w:rsidRPr="00835753">
              <w:rPr>
                <w:rFonts w:ascii="Times New Roman" w:hAnsi="Times New Roman"/>
                <w:sz w:val="24"/>
              </w:rPr>
              <w:t xml:space="preserve"> w</w:t>
            </w:r>
            <w:r w:rsidR="00835753">
              <w:rPr>
                <w:rFonts w:ascii="Times New Roman" w:hAnsi="Times New Roman"/>
                <w:sz w:val="24"/>
              </w:rPr>
              <w:t> </w:t>
            </w:r>
            <w:proofErr w:type="gramStart"/>
            <w:r w:rsidR="00835753" w:rsidRPr="00835753">
              <w:rPr>
                <w:rFonts w:ascii="Times New Roman" w:hAnsi="Times New Roman"/>
                <w:sz w:val="24"/>
              </w:rPr>
              <w:t>spr</w:t>
            </w:r>
            <w:r w:rsidRPr="00835753">
              <w:rPr>
                <w:rFonts w:ascii="Times New Roman" w:hAnsi="Times New Roman"/>
                <w:sz w:val="24"/>
              </w:rPr>
              <w:t>awie</w:t>
            </w:r>
            <w:proofErr w:type="gramEnd"/>
            <w:r w:rsidRPr="00835753">
              <w:rPr>
                <w:rFonts w:ascii="Times New Roman" w:hAnsi="Times New Roman"/>
                <w:sz w:val="24"/>
              </w:rPr>
              <w:t xml:space="preserve"> konglomeratów, czy też nie), art.</w:t>
            </w:r>
            <w:r w:rsidR="00835753" w:rsidRPr="00835753">
              <w:rPr>
                <w:rFonts w:ascii="Times New Roman" w:hAnsi="Times New Roman"/>
                <w:sz w:val="24"/>
              </w:rPr>
              <w:t> </w:t>
            </w:r>
            <w:r w:rsidRPr="00835753">
              <w:rPr>
                <w:rFonts w:ascii="Times New Roman" w:hAnsi="Times New Roman"/>
                <w:sz w:val="24"/>
              </w:rPr>
              <w:t>60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475 CRR (nieznaczne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zna</w:t>
            </w:r>
            <w:r w:rsidRPr="00835753">
              <w:rPr>
                <w:rFonts w:ascii="Times New Roman" w:hAnsi="Times New Roman"/>
                <w:sz w:val="24"/>
              </w:rPr>
              <w:t>czne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inwestycje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 kapitale dodatkowym Tier 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Tie</w:t>
            </w:r>
            <w:r w:rsidRPr="00835753">
              <w:rPr>
                <w:rFonts w:ascii="Times New Roman" w:hAnsi="Times New Roman"/>
                <w:sz w:val="24"/>
              </w:rPr>
              <w:t>r II podmiotów sektora finansowego), art.</w:t>
            </w:r>
            <w:r w:rsidR="00835753" w:rsidRPr="00835753">
              <w:rPr>
                <w:rFonts w:ascii="Times New Roman" w:hAnsi="Times New Roman"/>
                <w:sz w:val="24"/>
              </w:rPr>
              <w:t> </w:t>
            </w:r>
            <w:r w:rsidRPr="00835753">
              <w:rPr>
                <w:rFonts w:ascii="Times New Roman" w:hAnsi="Times New Roman"/>
                <w:sz w:val="24"/>
              </w:rPr>
              <w:t>70 CRR (nieznaczne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zna</w:t>
            </w:r>
            <w:r w:rsidRPr="00835753">
              <w:rPr>
                <w:rFonts w:ascii="Times New Roman" w:hAnsi="Times New Roman"/>
                <w:sz w:val="24"/>
              </w:rPr>
              <w:t>czne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podstawowym Tier II podmiotu sektora finansowego), jeśli nie przydzielono ich do innych kategorii ekspozycji, oraz do znacznych pakietów akcji poza sektorem finansowym, które nie kwalifikują się do wagi ryzyka równej 1 250</w:t>
            </w:r>
            <w:r w:rsidR="00835753" w:rsidRPr="00835753">
              <w:rPr>
                <w:rFonts w:ascii="Times New Roman" w:hAnsi="Times New Roman"/>
                <w:sz w:val="24"/>
              </w:rPr>
              <w:t> </w:t>
            </w:r>
            <w:r w:rsidRPr="00835753">
              <w:rPr>
                <w:rFonts w:ascii="Times New Roman" w:hAnsi="Times New Roman"/>
                <w:sz w:val="24"/>
              </w:rPr>
              <w:t>%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drugą tytuł I rozdział 1 art.</w:t>
            </w:r>
            <w:r w:rsidR="00835753" w:rsidRPr="00835753">
              <w:rPr>
                <w:rFonts w:ascii="Times New Roman" w:hAnsi="Times New Roman"/>
                <w:sz w:val="24"/>
              </w:rPr>
              <w:t> </w:t>
            </w:r>
            <w:r w:rsidRPr="00835753">
              <w:rPr>
                <w:rFonts w:ascii="Times New Roman" w:hAnsi="Times New Roman"/>
                <w:sz w:val="24"/>
              </w:rPr>
              <w:t>36 lit.</w:t>
            </w:r>
            <w:r w:rsidR="00835753" w:rsidRPr="00835753">
              <w:rPr>
                <w:rFonts w:ascii="Times New Roman" w:hAnsi="Times New Roman"/>
                <w:sz w:val="24"/>
              </w:rPr>
              <w:t> </w:t>
            </w:r>
            <w:r w:rsidRPr="00835753">
              <w:rPr>
                <w:rFonts w:ascii="Times New Roman" w:hAnsi="Times New Roman"/>
                <w:sz w:val="24"/>
              </w:rPr>
              <w:t>k) CRR).</w:t>
            </w:r>
          </w:p>
        </w:tc>
      </w:tr>
    </w:tbl>
    <w:p w14:paraId="05D93B4B" w14:textId="77777777" w:rsidR="00563C4F" w:rsidRPr="00835753" w:rsidRDefault="00563C4F" w:rsidP="00563C4F">
      <w:pPr>
        <w:spacing w:after="120"/>
        <w:rPr>
          <w:rFonts w:ascii="Times New Roman" w:hAnsi="Times New Roman" w:cs="Times New Roman"/>
          <w:sz w:val="24"/>
        </w:rPr>
      </w:pPr>
    </w:p>
    <w:p w14:paraId="79C45082" w14:textId="33F986C4" w:rsidR="00563C4F" w:rsidRPr="00835753" w:rsidRDefault="00CD362D" w:rsidP="00563C4F">
      <w:pPr>
        <w:spacing w:after="120"/>
        <w:rPr>
          <w:rFonts w:ascii="Times New Roman" w:hAnsi="Times New Roman" w:cs="Times New Roman"/>
          <w:sz w:val="24"/>
        </w:rPr>
      </w:pPr>
      <w:r w:rsidRPr="00835753">
        <w:rPr>
          <w:rFonts w:ascii="Times New Roman" w:hAnsi="Times New Roman"/>
          <w:b/>
          <w:sz w:val="24"/>
        </w:rPr>
        <w:t>Wzór EU CR5 – Metoda standardowa</w:t>
      </w:r>
      <w:r w:rsidRPr="00835753">
        <w:rPr>
          <w:rFonts w:ascii="Times New Roman" w:hAnsi="Times New Roman"/>
          <w:sz w:val="24"/>
        </w:rPr>
        <w:t>. Format stały</w:t>
      </w:r>
    </w:p>
    <w:p w14:paraId="7B518821" w14:textId="02024279" w:rsidR="00563C4F" w:rsidRPr="00835753" w:rsidRDefault="00563C4F" w:rsidP="00563C4F">
      <w:pPr>
        <w:pStyle w:val="ListParagraph"/>
        <w:numPr>
          <w:ilvl w:val="0"/>
          <w:numId w:val="49"/>
        </w:numPr>
        <w:spacing w:after="120"/>
        <w:ind w:left="425" w:hanging="357"/>
        <w:jc w:val="both"/>
        <w:rPr>
          <w:rFonts w:ascii="Times New Roman" w:hAnsi="Times New Roman"/>
          <w:sz w:val="24"/>
        </w:rPr>
      </w:pPr>
      <w:r w:rsidRPr="00835753">
        <w:rPr>
          <w:rFonts w:ascii="Times New Roman" w:hAnsi="Times New Roman"/>
          <w:sz w:val="24"/>
        </w:rPr>
        <w:t>W celu wypełnienia wzoru EU CR5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XIX do niniejszego rozporządzenia wykonawczego instytucje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444 lit.</w:t>
      </w:r>
      <w:r w:rsidR="00835753" w:rsidRPr="00835753">
        <w:rPr>
          <w:rFonts w:ascii="Times New Roman" w:hAnsi="Times New Roman"/>
          <w:sz w:val="24"/>
        </w:rPr>
        <w:t> </w:t>
      </w:r>
      <w:r w:rsidRPr="00835753">
        <w:rPr>
          <w:rFonts w:ascii="Times New Roman" w:hAnsi="Times New Roman"/>
          <w:sz w:val="24"/>
        </w:rPr>
        <w:t>e)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835753"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835753" w:rsidRDefault="00563C4F"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Oznaczenie kolumny</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1D2741FE" w:rsidR="00563C4F" w:rsidRPr="00835753" w:rsidRDefault="00563C4F"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563C4F" w:rsidRPr="00835753"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835753"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835753" w:rsidRDefault="00563C4F" w:rsidP="00155C96">
            <w:pPr>
              <w:spacing w:after="120"/>
              <w:rPr>
                <w:rFonts w:ascii="Times New Roman" w:hAnsi="Times New Roman" w:cs="Times New Roman"/>
                <w:b/>
                <w:sz w:val="24"/>
              </w:rPr>
            </w:pPr>
            <w:r w:rsidRPr="00835753">
              <w:rPr>
                <w:rFonts w:ascii="Times New Roman" w:hAnsi="Times New Roman"/>
                <w:b/>
                <w:sz w:val="24"/>
              </w:rPr>
              <w:t>Wyjaśnienie</w:t>
            </w:r>
          </w:p>
        </w:tc>
      </w:tr>
      <w:tr w:rsidR="00563C4F" w:rsidRPr="00835753" w14:paraId="4B4D2444" w14:textId="77777777" w:rsidTr="00155C96">
        <w:trPr>
          <w:trHeight w:val="316"/>
        </w:trPr>
        <w:tc>
          <w:tcPr>
            <w:tcW w:w="1413" w:type="dxa"/>
            <w:vAlign w:val="center"/>
          </w:tcPr>
          <w:p w14:paraId="47F5081F" w14:textId="720542EC" w:rsidR="00563C4F" w:rsidRPr="00835753" w:rsidRDefault="00563C4F"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a</w:t>
            </w:r>
            <w:proofErr w:type="gramStart"/>
            <w:r w:rsidR="00892879">
              <w:rPr>
                <w:rFonts w:ascii="Times New Roman" w:hAnsi="Times New Roman"/>
                <w:sz w:val="24"/>
              </w:rPr>
              <w:t>)</w:t>
            </w:r>
            <w:r w:rsidRPr="00835753">
              <w:rPr>
                <w:rFonts w:ascii="Times New Roman" w:hAnsi="Times New Roman"/>
                <w:sz w:val="24"/>
              </w:rPr>
              <w:t>–o</w:t>
            </w:r>
            <w:proofErr w:type="gramEnd"/>
            <w:r w:rsidR="00892879">
              <w:rPr>
                <w:rFonts w:ascii="Times New Roman" w:hAnsi="Times New Roman"/>
                <w:sz w:val="24"/>
              </w:rPr>
              <w:t>)</w:t>
            </w:r>
          </w:p>
        </w:tc>
        <w:tc>
          <w:tcPr>
            <w:tcW w:w="7654" w:type="dxa"/>
          </w:tcPr>
          <w:p w14:paraId="1E4578F0" w14:textId="77777777" w:rsidR="00563C4F" w:rsidRPr="00835753" w:rsidRDefault="00563C4F" w:rsidP="00155C96">
            <w:pPr>
              <w:autoSpaceDE w:val="0"/>
              <w:autoSpaceDN w:val="0"/>
              <w:adjustRightInd w:val="0"/>
              <w:spacing w:after="120"/>
              <w:jc w:val="both"/>
              <w:rPr>
                <w:rFonts w:ascii="Times New Roman" w:eastAsia="Times New Roman" w:hAnsi="Times New Roman" w:cs="Times New Roman"/>
                <w:b/>
                <w:iCs/>
                <w:sz w:val="24"/>
              </w:rPr>
            </w:pPr>
            <w:r w:rsidRPr="00835753">
              <w:rPr>
                <w:rFonts w:ascii="Times New Roman" w:hAnsi="Times New Roman"/>
                <w:b/>
                <w:iCs/>
                <w:sz w:val="24"/>
              </w:rPr>
              <w:t xml:space="preserve">Waga ryzyka: </w:t>
            </w:r>
          </w:p>
          <w:p w14:paraId="6A3D4356" w14:textId="4BBCB404" w:rsidR="00563C4F" w:rsidRPr="00835753" w:rsidRDefault="00563C4F"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iCs/>
                <w:sz w:val="24"/>
              </w:rPr>
              <w:t>Instytucje ujawniają informacje na temat przypisania wag ryzyka</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ram</w:t>
            </w:r>
            <w:r w:rsidRPr="00835753">
              <w:rPr>
                <w:rFonts w:ascii="Times New Roman" w:hAnsi="Times New Roman"/>
                <w:iCs/>
                <w:sz w:val="24"/>
              </w:rPr>
              <w:t>ach danej kategorii ekspozycji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czę</w:t>
            </w:r>
            <w:r w:rsidRPr="00835753">
              <w:rPr>
                <w:rFonts w:ascii="Times New Roman" w:hAnsi="Times New Roman"/>
                <w:iCs/>
                <w:sz w:val="24"/>
              </w:rPr>
              <w:t xml:space="preserve">ścią trzecią tytuł II rozdział 2 sekcja 2 </w:t>
            </w:r>
            <w:r w:rsidRPr="00835753">
              <w:rPr>
                <w:rFonts w:ascii="Times New Roman" w:hAnsi="Times New Roman"/>
                <w:sz w:val="24"/>
              </w:rPr>
              <w:t>CRR</w:t>
            </w:r>
            <w:r w:rsidRPr="00835753">
              <w:rPr>
                <w:rFonts w:ascii="Times New Roman" w:hAnsi="Times New Roman"/>
                <w:iCs/>
                <w:sz w:val="24"/>
              </w:rPr>
              <w:t>.</w:t>
            </w:r>
          </w:p>
        </w:tc>
      </w:tr>
      <w:tr w:rsidR="00563C4F" w:rsidRPr="00835753" w14:paraId="0D2F3586" w14:textId="77777777" w:rsidTr="00155C96">
        <w:trPr>
          <w:trHeight w:val="316"/>
        </w:trPr>
        <w:tc>
          <w:tcPr>
            <w:tcW w:w="1413" w:type="dxa"/>
            <w:vAlign w:val="center"/>
          </w:tcPr>
          <w:p w14:paraId="69751F5D" w14:textId="77777777" w:rsidR="00563C4F" w:rsidRPr="00835753" w:rsidRDefault="00563C4F"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p</w:t>
            </w:r>
            <w:proofErr w:type="gramEnd"/>
            <w:r w:rsidRPr="00835753">
              <w:rPr>
                <w:rFonts w:ascii="Times New Roman" w:hAnsi="Times New Roman"/>
                <w:sz w:val="24"/>
              </w:rPr>
              <w:t>)</w:t>
            </w:r>
          </w:p>
        </w:tc>
        <w:tc>
          <w:tcPr>
            <w:tcW w:w="7654" w:type="dxa"/>
          </w:tcPr>
          <w:p w14:paraId="4D412ABF" w14:textId="77777777" w:rsidR="00563C4F" w:rsidRPr="00835753" w:rsidRDefault="00563C4F" w:rsidP="00155C96">
            <w:pPr>
              <w:autoSpaceDE w:val="0"/>
              <w:autoSpaceDN w:val="0"/>
              <w:adjustRightInd w:val="0"/>
              <w:spacing w:after="120"/>
              <w:jc w:val="both"/>
              <w:rPr>
                <w:rFonts w:ascii="Times New Roman" w:eastAsia="Times New Roman" w:hAnsi="Times New Roman" w:cs="Times New Roman"/>
                <w:b/>
                <w:iCs/>
                <w:sz w:val="24"/>
              </w:rPr>
            </w:pPr>
            <w:r w:rsidRPr="00835753">
              <w:rPr>
                <w:rFonts w:ascii="Times New Roman" w:hAnsi="Times New Roman"/>
                <w:b/>
                <w:iCs/>
                <w:sz w:val="24"/>
              </w:rPr>
              <w:t xml:space="preserve">Ogółem: </w:t>
            </w:r>
          </w:p>
          <w:p w14:paraId="5811B3CF" w14:textId="7020B18C" w:rsidR="00563C4F" w:rsidRPr="00835753" w:rsidRDefault="00563C4F"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Całkowita kwota ekspozycji bilansowych</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poz</w:t>
            </w:r>
            <w:r w:rsidRPr="00835753">
              <w:rPr>
                <w:rFonts w:ascii="Times New Roman" w:hAnsi="Times New Roman"/>
                <w:iCs/>
                <w:sz w:val="24"/>
              </w:rPr>
              <w:t xml:space="preserve">abilansowych objętych zakresem konsolidacji ostrożnościowej: </w:t>
            </w:r>
          </w:p>
          <w:p w14:paraId="3A2BDE8C" w14:textId="1393AFCA" w:rsidR="00563C4F" w:rsidRPr="00835753" w:rsidRDefault="00563C4F"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 po dokonaniu korekt</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tyt</w:t>
            </w:r>
            <w:r w:rsidRPr="00835753">
              <w:rPr>
                <w:rFonts w:ascii="Times New Roman" w:hAnsi="Times New Roman"/>
                <w:iCs/>
                <w:sz w:val="24"/>
              </w:rPr>
              <w:t>ułu szczególnego ryzyka kredytowego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110 CRR, dodatkowych korekt wartości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34</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1</w:t>
            </w:r>
            <w:r w:rsidRPr="00835753">
              <w:rPr>
                <w:rFonts w:ascii="Times New Roman" w:hAnsi="Times New Roman"/>
                <w:iCs/>
                <w:sz w:val="24"/>
              </w:rPr>
              <w:t>05 CRR, odliczenia kwot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36 ust.</w:t>
            </w:r>
            <w:r w:rsidR="00835753" w:rsidRPr="00835753">
              <w:rPr>
                <w:rFonts w:ascii="Times New Roman" w:hAnsi="Times New Roman"/>
                <w:iCs/>
                <w:sz w:val="24"/>
              </w:rPr>
              <w:t> </w:t>
            </w:r>
            <w:r w:rsidRPr="00835753">
              <w:rPr>
                <w:rFonts w:ascii="Times New Roman" w:hAnsi="Times New Roman"/>
                <w:iCs/>
                <w:sz w:val="24"/>
              </w:rPr>
              <w:t>1 lit.</w:t>
            </w:r>
            <w:r w:rsidR="00835753" w:rsidRPr="00835753">
              <w:rPr>
                <w:rFonts w:ascii="Times New Roman" w:hAnsi="Times New Roman"/>
                <w:iCs/>
                <w:sz w:val="24"/>
              </w:rPr>
              <w:t> </w:t>
            </w:r>
            <w:r w:rsidRPr="00835753">
              <w:rPr>
                <w:rFonts w:ascii="Times New Roman" w:hAnsi="Times New Roman"/>
                <w:iCs/>
                <w:sz w:val="24"/>
              </w:rPr>
              <w:t>m) CRR, innych redukcji funduszy własnych</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odp</w:t>
            </w:r>
            <w:r w:rsidRPr="00835753">
              <w:rPr>
                <w:rFonts w:ascii="Times New Roman" w:hAnsi="Times New Roman"/>
                <w:iCs/>
                <w:sz w:val="24"/>
              </w:rPr>
              <w:t>isów (jak określono</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maj</w:t>
            </w:r>
            <w:r w:rsidRPr="00835753">
              <w:rPr>
                <w:rFonts w:ascii="Times New Roman" w:hAnsi="Times New Roman"/>
                <w:iCs/>
                <w:sz w:val="24"/>
              </w:rPr>
              <w:t>ących zastosowanie standardach rachunkowości)</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odn</w:t>
            </w:r>
            <w:r w:rsidRPr="00835753">
              <w:rPr>
                <w:rFonts w:ascii="Times New Roman" w:hAnsi="Times New Roman"/>
                <w:iCs/>
                <w:sz w:val="24"/>
              </w:rPr>
              <w:t>iesieniu do ekspozycji bilansowych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111 CRR;</w:t>
            </w:r>
          </w:p>
          <w:p w14:paraId="40056C3D" w14:textId="54D92DC3" w:rsidR="00563C4F" w:rsidRPr="00835753" w:rsidRDefault="00563C4F"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 po pomniejszeniu</w:t>
            </w:r>
            <w:r w:rsidR="00835753" w:rsidRPr="00835753">
              <w:rPr>
                <w:rFonts w:ascii="Times New Roman" w:hAnsi="Times New Roman"/>
                <w:iCs/>
                <w:sz w:val="24"/>
              </w:rPr>
              <w:t xml:space="preserve"> o</w:t>
            </w:r>
            <w:r w:rsidR="00835753">
              <w:rPr>
                <w:rFonts w:ascii="Times New Roman" w:hAnsi="Times New Roman"/>
                <w:iCs/>
                <w:sz w:val="24"/>
              </w:rPr>
              <w:t> </w:t>
            </w:r>
            <w:r w:rsidR="00835753" w:rsidRPr="00835753">
              <w:rPr>
                <w:rFonts w:ascii="Times New Roman" w:hAnsi="Times New Roman"/>
                <w:iCs/>
                <w:sz w:val="24"/>
              </w:rPr>
              <w:t>kor</w:t>
            </w:r>
            <w:r w:rsidRPr="00835753">
              <w:rPr>
                <w:rFonts w:ascii="Times New Roman" w:hAnsi="Times New Roman"/>
                <w:iCs/>
                <w:sz w:val="24"/>
              </w:rPr>
              <w:t>ekty</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tyt</w:t>
            </w:r>
            <w:r w:rsidRPr="00835753">
              <w:rPr>
                <w:rFonts w:ascii="Times New Roman" w:hAnsi="Times New Roman"/>
                <w:iCs/>
                <w:sz w:val="24"/>
              </w:rPr>
              <w:t>ułu szczególnego ryzyka kredytowego</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odl</w:t>
            </w:r>
            <w:r w:rsidRPr="00835753">
              <w:rPr>
                <w:rFonts w:ascii="Times New Roman" w:hAnsi="Times New Roman"/>
                <w:iCs/>
                <w:sz w:val="24"/>
              </w:rPr>
              <w:t>iczenia kwot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36 ust.</w:t>
            </w:r>
            <w:r w:rsidR="00835753" w:rsidRPr="00835753">
              <w:rPr>
                <w:rFonts w:ascii="Times New Roman" w:hAnsi="Times New Roman"/>
                <w:iCs/>
                <w:sz w:val="24"/>
              </w:rPr>
              <w:t> </w:t>
            </w:r>
            <w:r w:rsidRPr="00835753">
              <w:rPr>
                <w:rFonts w:ascii="Times New Roman" w:hAnsi="Times New Roman"/>
                <w:iCs/>
                <w:sz w:val="24"/>
              </w:rPr>
              <w:t>1 lit.</w:t>
            </w:r>
            <w:r w:rsidR="00835753" w:rsidRPr="00835753">
              <w:rPr>
                <w:rFonts w:ascii="Times New Roman" w:hAnsi="Times New Roman"/>
                <w:iCs/>
                <w:sz w:val="24"/>
              </w:rPr>
              <w:t> </w:t>
            </w:r>
            <w:r w:rsidRPr="00835753">
              <w:rPr>
                <w:rFonts w:ascii="Times New Roman" w:hAnsi="Times New Roman"/>
                <w:iCs/>
                <w:sz w:val="24"/>
              </w:rPr>
              <w:t>m) CRR</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odn</w:t>
            </w:r>
            <w:r w:rsidRPr="00835753">
              <w:rPr>
                <w:rFonts w:ascii="Times New Roman" w:hAnsi="Times New Roman"/>
                <w:iCs/>
                <w:sz w:val="24"/>
              </w:rPr>
              <w:t>iesieniu do ekspozycji pozabilansowych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111 CRR;</w:t>
            </w:r>
          </w:p>
          <w:p w14:paraId="2B162FA9" w14:textId="532731FE" w:rsidR="00563C4F" w:rsidRPr="00835753" w:rsidRDefault="00563C4F"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 po (i) zastosowaniu współczynników konwersji określonych</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tym</w:t>
            </w:r>
            <w:r w:rsidRPr="00835753">
              <w:rPr>
                <w:rFonts w:ascii="Times New Roman" w:hAnsi="Times New Roman"/>
                <w:iCs/>
                <w:sz w:val="24"/>
              </w:rPr>
              <w:t xml:space="preserve"> samym artykule oraz (ii) zastosowaniu technik ograniczania ryzyka kredytowego </w:t>
            </w:r>
            <w:r w:rsidRPr="00835753">
              <w:rPr>
                <w:rFonts w:ascii="Times New Roman" w:hAnsi="Times New Roman"/>
                <w:iCs/>
                <w:sz w:val="24"/>
              </w:rPr>
              <w:lastRenderedPageBreak/>
              <w:t>określonych</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czę</w:t>
            </w:r>
            <w:r w:rsidRPr="00835753">
              <w:rPr>
                <w:rFonts w:ascii="Times New Roman" w:hAnsi="Times New Roman"/>
                <w:iCs/>
                <w:sz w:val="24"/>
              </w:rPr>
              <w:t xml:space="preserve">ści trzeciej tytuł II rozdział 4 </w:t>
            </w:r>
            <w:r w:rsidRPr="00835753">
              <w:rPr>
                <w:rFonts w:ascii="Times New Roman" w:hAnsi="Times New Roman"/>
                <w:sz w:val="24"/>
              </w:rPr>
              <w:t>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ekspozycji bilansowych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abilansowych.</w:t>
            </w:r>
          </w:p>
        </w:tc>
      </w:tr>
      <w:tr w:rsidR="00563C4F" w:rsidRPr="00835753" w14:paraId="786795EA" w14:textId="77777777" w:rsidTr="00155C96">
        <w:trPr>
          <w:trHeight w:val="316"/>
        </w:trPr>
        <w:tc>
          <w:tcPr>
            <w:tcW w:w="1413" w:type="dxa"/>
            <w:vAlign w:val="center"/>
          </w:tcPr>
          <w:p w14:paraId="672501F6" w14:textId="5A8BC5EE" w:rsidR="00563C4F" w:rsidRPr="00835753" w:rsidRDefault="00563C4F"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lastRenderedPageBreak/>
              <w:t>q</w:t>
            </w:r>
            <w:proofErr w:type="gramEnd"/>
            <w:r w:rsidR="00892879">
              <w:rPr>
                <w:rFonts w:ascii="Times New Roman" w:hAnsi="Times New Roman"/>
                <w:sz w:val="24"/>
              </w:rPr>
              <w:t>)</w:t>
            </w:r>
          </w:p>
        </w:tc>
        <w:tc>
          <w:tcPr>
            <w:tcW w:w="7654" w:type="dxa"/>
          </w:tcPr>
          <w:p w14:paraId="11C9219F" w14:textId="77777777" w:rsidR="00563C4F" w:rsidRPr="00835753" w:rsidRDefault="00563C4F" w:rsidP="00155C96">
            <w:pPr>
              <w:autoSpaceDE w:val="0"/>
              <w:autoSpaceDN w:val="0"/>
              <w:adjustRightInd w:val="0"/>
              <w:spacing w:after="120"/>
              <w:jc w:val="both"/>
              <w:rPr>
                <w:rFonts w:ascii="Times New Roman" w:eastAsia="Times New Roman" w:hAnsi="Times New Roman" w:cs="Times New Roman"/>
                <w:b/>
                <w:iCs/>
                <w:sz w:val="24"/>
              </w:rPr>
            </w:pPr>
            <w:proofErr w:type="gramStart"/>
            <w:r w:rsidRPr="00835753">
              <w:rPr>
                <w:rFonts w:ascii="Times New Roman" w:hAnsi="Times New Roman"/>
                <w:b/>
                <w:iCs/>
                <w:sz w:val="24"/>
              </w:rPr>
              <w:t>w</w:t>
            </w:r>
            <w:proofErr w:type="gramEnd"/>
            <w:r w:rsidRPr="00835753">
              <w:rPr>
                <w:rFonts w:ascii="Times New Roman" w:hAnsi="Times New Roman"/>
                <w:b/>
                <w:iCs/>
                <w:sz w:val="24"/>
              </w:rPr>
              <w:t xml:space="preserve"> tym bez ratingu:</w:t>
            </w:r>
          </w:p>
          <w:p w14:paraId="6C1B8FC6" w14:textId="3413C0A2" w:rsidR="00563C4F" w:rsidRPr="00835753" w:rsidRDefault="00563C4F"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sz w:val="24"/>
              </w:rPr>
              <w:t>Ekspozycje, dla których nie jest dostępna ocena kredytowa wyznaczonej ECAI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rym przypisuje się wagi ryzyka szczególnego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eżności od kategorii ekspozycji, jak określono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113–134 CRR.</w:t>
            </w:r>
          </w:p>
        </w:tc>
      </w:tr>
    </w:tbl>
    <w:p w14:paraId="38EF1CEE" w14:textId="77777777" w:rsidR="00563C4F" w:rsidRPr="00835753"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835753"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77777777" w:rsidR="00563C4F" w:rsidRPr="00835753" w:rsidRDefault="00563C4F"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2EEC4CF4" w:rsidR="00563C4F" w:rsidRPr="00835753" w:rsidRDefault="00563C4F"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563C4F" w:rsidRPr="00835753"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835753"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835753" w:rsidRDefault="00563C4F"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563C4F" w:rsidRPr="00835753" w14:paraId="473F79FF" w14:textId="77777777" w:rsidTr="00155C96">
        <w:trPr>
          <w:trHeight w:val="507"/>
        </w:trPr>
        <w:tc>
          <w:tcPr>
            <w:tcW w:w="1413" w:type="dxa"/>
            <w:shd w:val="clear" w:color="auto" w:fill="auto"/>
          </w:tcPr>
          <w:p w14:paraId="50315820" w14:textId="77777777" w:rsidR="00563C4F" w:rsidRPr="00835753" w:rsidRDefault="00563C4F"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1–16</w:t>
            </w:r>
          </w:p>
        </w:tc>
        <w:tc>
          <w:tcPr>
            <w:tcW w:w="7654" w:type="dxa"/>
            <w:shd w:val="clear" w:color="auto" w:fill="auto"/>
          </w:tcPr>
          <w:p w14:paraId="100EA329" w14:textId="3AFD51E3" w:rsidR="00563C4F" w:rsidRPr="00835753" w:rsidRDefault="00563C4F" w:rsidP="00155C96">
            <w:pPr>
              <w:spacing w:after="120"/>
              <w:jc w:val="both"/>
              <w:rPr>
                <w:rFonts w:ascii="Times New Roman" w:hAnsi="Times New Roman" w:cs="Times New Roman"/>
                <w:sz w:val="24"/>
              </w:rPr>
            </w:pPr>
            <w:r w:rsidRPr="00835753">
              <w:rPr>
                <w:rFonts w:ascii="Times New Roman" w:hAnsi="Times New Roman"/>
                <w:sz w:val="24"/>
              </w:rPr>
              <w:t>Kategorie ekspozycji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112 CRR</w:t>
            </w:r>
          </w:p>
          <w:p w14:paraId="1C962613" w14:textId="7CE260E5" w:rsidR="00563C4F" w:rsidRPr="00835753" w:rsidRDefault="00563C4F" w:rsidP="00631845">
            <w:pPr>
              <w:spacing w:after="120"/>
              <w:jc w:val="both"/>
              <w:rPr>
                <w:rFonts w:ascii="Times New Roman" w:hAnsi="Times New Roman" w:cs="Times New Roman"/>
                <w:sz w:val="24"/>
              </w:rPr>
            </w:pPr>
            <w:r w:rsidRPr="00835753">
              <w:rPr>
                <w:rFonts w:ascii="Times New Roman" w:hAnsi="Times New Roman"/>
                <w:sz w:val="24"/>
              </w:rPr>
              <w:t>Nie ujmuje się ekspozycji zaklasyfikowanych do kategorii ekspozycji „pozycje stanowiące pozycje sekurytyzacyjne”,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112 lit.</w:t>
            </w:r>
            <w:r w:rsidR="00835753" w:rsidRPr="00835753">
              <w:rPr>
                <w:rFonts w:ascii="Times New Roman" w:hAnsi="Times New Roman"/>
                <w:sz w:val="24"/>
              </w:rPr>
              <w:t> </w:t>
            </w:r>
            <w:r w:rsidRPr="00835753">
              <w:rPr>
                <w:rFonts w:ascii="Times New Roman" w:hAnsi="Times New Roman"/>
                <w:sz w:val="24"/>
              </w:rPr>
              <w:t>m) CRR.</w:t>
            </w:r>
          </w:p>
        </w:tc>
      </w:tr>
      <w:tr w:rsidR="00563C4F" w:rsidRPr="00835753" w14:paraId="40E22753" w14:textId="77777777" w:rsidTr="00155C96">
        <w:trPr>
          <w:trHeight w:val="4791"/>
        </w:trPr>
        <w:tc>
          <w:tcPr>
            <w:tcW w:w="1413" w:type="dxa"/>
          </w:tcPr>
          <w:p w14:paraId="69381655" w14:textId="77777777" w:rsidR="00563C4F" w:rsidRPr="00835753" w:rsidRDefault="00563C4F"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16</w:t>
            </w:r>
          </w:p>
        </w:tc>
        <w:tc>
          <w:tcPr>
            <w:tcW w:w="7654" w:type="dxa"/>
          </w:tcPr>
          <w:p w14:paraId="27BDADE5" w14:textId="77777777" w:rsidR="00563C4F" w:rsidRPr="00835753" w:rsidRDefault="00563C4F" w:rsidP="00155C96">
            <w:pPr>
              <w:spacing w:after="120"/>
              <w:jc w:val="both"/>
              <w:rPr>
                <w:rFonts w:ascii="Times New Roman" w:eastAsiaTheme="minorHAnsi" w:hAnsi="Times New Roman" w:cs="Times New Roman"/>
                <w:sz w:val="24"/>
              </w:rPr>
            </w:pPr>
            <w:r w:rsidRPr="00835753">
              <w:rPr>
                <w:rFonts w:ascii="Times New Roman" w:hAnsi="Times New Roman"/>
                <w:sz w:val="24"/>
              </w:rPr>
              <w:t>Kategoria ekspozycji „Inne pozycje” odnosi się do:</w:t>
            </w:r>
          </w:p>
          <w:p w14:paraId="32C4FD10" w14:textId="37E632C3" w:rsidR="00563C4F" w:rsidRPr="00835753" w:rsidRDefault="00563C4F" w:rsidP="00155C96">
            <w:pPr>
              <w:spacing w:after="120"/>
              <w:jc w:val="both"/>
              <w:rPr>
                <w:rFonts w:ascii="Times New Roman" w:eastAsiaTheme="minorHAnsi" w:hAnsi="Times New Roman" w:cs="Times New Roman"/>
                <w:sz w:val="24"/>
              </w:rPr>
            </w:pPr>
            <w:r w:rsidRPr="00835753">
              <w:rPr>
                <w:rFonts w:ascii="Times New Roman" w:hAnsi="Times New Roman"/>
                <w:sz w:val="24"/>
              </w:rPr>
              <w:t>– aktywów podlegających określonej wadze ryzyka ustanowionej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 4 art.</w:t>
            </w:r>
            <w:r w:rsidR="00835753" w:rsidRPr="00835753">
              <w:rPr>
                <w:rFonts w:ascii="Times New Roman" w:hAnsi="Times New Roman"/>
                <w:sz w:val="24"/>
              </w:rPr>
              <w:t> </w:t>
            </w:r>
            <w:r w:rsidRPr="00835753">
              <w:rPr>
                <w:rFonts w:ascii="Times New Roman" w:hAnsi="Times New Roman"/>
                <w:sz w:val="24"/>
              </w:rPr>
              <w:t>134 CRR;</w:t>
            </w:r>
          </w:p>
          <w:p w14:paraId="4A2D249B" w14:textId="01947C1F" w:rsidR="00563C4F" w:rsidRPr="00835753" w:rsidRDefault="00563C4F" w:rsidP="00155C96">
            <w:pPr>
              <w:spacing w:after="120"/>
              <w:jc w:val="both"/>
              <w:rPr>
                <w:rFonts w:ascii="Times New Roman" w:hAnsi="Times New Roman" w:cs="Times New Roman"/>
                <w:sz w:val="24"/>
              </w:rPr>
            </w:pPr>
            <w:r w:rsidRPr="00835753">
              <w:rPr>
                <w:rFonts w:ascii="Times New Roman" w:hAnsi="Times New Roman"/>
                <w:sz w:val="24"/>
              </w:rPr>
              <w:t>– aktywów, które nie podlegają odliczeniu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39 CRR (nadpłaty podatku, straty podatkowe przeniesione na poprzednie lata raz aktywa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 nieoparte na przyszłej rentowności), art.</w:t>
            </w:r>
            <w:r w:rsidR="00835753" w:rsidRPr="00835753">
              <w:rPr>
                <w:rFonts w:ascii="Times New Roman" w:hAnsi="Times New Roman"/>
                <w:sz w:val="24"/>
              </w:rPr>
              <w:t> </w:t>
            </w:r>
            <w:r w:rsidRPr="00835753">
              <w:rPr>
                <w:rFonts w:ascii="Times New Roman" w:hAnsi="Times New Roman"/>
                <w:sz w:val="24"/>
              </w:rPr>
              <w:t>41 CRR (aktywa funduszu emerytalnego ze zdefiniowanymi świadczeniami), art.</w:t>
            </w:r>
            <w:r w:rsidR="00835753" w:rsidRPr="00835753">
              <w:rPr>
                <w:rFonts w:ascii="Times New Roman" w:hAnsi="Times New Roman"/>
                <w:sz w:val="24"/>
              </w:rPr>
              <w:t> </w:t>
            </w:r>
            <w:r w:rsidRPr="00835753">
              <w:rPr>
                <w:rFonts w:ascii="Times New Roman" w:hAnsi="Times New Roman"/>
                <w:sz w:val="24"/>
              </w:rPr>
              <w:t>46</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4</w:t>
            </w:r>
            <w:r w:rsidRPr="00835753">
              <w:rPr>
                <w:rFonts w:ascii="Times New Roman" w:hAnsi="Times New Roman"/>
                <w:sz w:val="24"/>
              </w:rPr>
              <w:t>69 CRR (nieznaczne inwestycje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 podstawowy Tier I podmiotów sektora finansowego), art.</w:t>
            </w:r>
            <w:r w:rsidR="00835753" w:rsidRPr="00835753">
              <w:rPr>
                <w:rFonts w:ascii="Times New Roman" w:hAnsi="Times New Roman"/>
                <w:sz w:val="24"/>
              </w:rPr>
              <w:t> </w:t>
            </w:r>
            <w:r w:rsidRPr="00835753">
              <w:rPr>
                <w:rFonts w:ascii="Times New Roman" w:hAnsi="Times New Roman"/>
                <w:sz w:val="24"/>
              </w:rPr>
              <w:t>49</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4</w:t>
            </w:r>
            <w:r w:rsidRPr="00835753">
              <w:rPr>
                <w:rFonts w:ascii="Times New Roman" w:hAnsi="Times New Roman"/>
                <w:sz w:val="24"/>
              </w:rPr>
              <w:t>71 CRR (udziały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miotach ubezpieczeniowych, niezależnie od tego, czy podmioty ubezpieczeniowe są objęte nadzorem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episami dyrektywy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awie konglomeratów, czy też nie), art.</w:t>
            </w:r>
            <w:r w:rsidR="00835753" w:rsidRPr="00835753">
              <w:rPr>
                <w:rFonts w:ascii="Times New Roman" w:hAnsi="Times New Roman"/>
                <w:sz w:val="24"/>
              </w:rPr>
              <w:t> </w:t>
            </w:r>
            <w:r w:rsidRPr="00835753">
              <w:rPr>
                <w:rFonts w:ascii="Times New Roman" w:hAnsi="Times New Roman"/>
                <w:sz w:val="24"/>
              </w:rPr>
              <w:t>60</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4</w:t>
            </w:r>
            <w:r w:rsidRPr="00835753">
              <w:rPr>
                <w:rFonts w:ascii="Times New Roman" w:hAnsi="Times New Roman"/>
                <w:sz w:val="24"/>
              </w:rPr>
              <w:t>75 CRR (nieznaczne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zna</w:t>
            </w:r>
            <w:r w:rsidRPr="00835753">
              <w:rPr>
                <w:rFonts w:ascii="Times New Roman" w:hAnsi="Times New Roman"/>
                <w:sz w:val="24"/>
              </w:rPr>
              <w:t>czne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inwestycje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 dodatkowy Tier I podmiotów sektora finansowego), art.</w:t>
            </w:r>
            <w:r w:rsidR="00835753" w:rsidRPr="00835753">
              <w:rPr>
                <w:rFonts w:ascii="Times New Roman" w:hAnsi="Times New Roman"/>
                <w:sz w:val="24"/>
              </w:rPr>
              <w:t> </w:t>
            </w:r>
            <w:r w:rsidRPr="00835753">
              <w:rPr>
                <w:rFonts w:ascii="Times New Roman" w:hAnsi="Times New Roman"/>
                <w:sz w:val="24"/>
              </w:rPr>
              <w:t>70</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4</w:t>
            </w:r>
            <w:r w:rsidRPr="00835753">
              <w:rPr>
                <w:rFonts w:ascii="Times New Roman" w:hAnsi="Times New Roman"/>
                <w:sz w:val="24"/>
              </w:rPr>
              <w:t>77 CRR (nieznaczne</w:t>
            </w:r>
            <w:r w:rsidR="00835753" w:rsidRPr="00835753">
              <w:rPr>
                <w:rFonts w:ascii="Times New Roman" w:hAnsi="Times New Roman"/>
                <w:sz w:val="24"/>
              </w:rPr>
              <w:t xml:space="preserve"> i</w:t>
            </w:r>
            <w:r w:rsidR="00835753">
              <w:rPr>
                <w:rFonts w:ascii="Times New Roman" w:hAnsi="Times New Roman"/>
                <w:sz w:val="24"/>
              </w:rPr>
              <w:t> </w:t>
            </w:r>
            <w:proofErr w:type="gramStart"/>
            <w:r w:rsidR="00835753" w:rsidRPr="00835753">
              <w:rPr>
                <w:rFonts w:ascii="Times New Roman" w:hAnsi="Times New Roman"/>
                <w:sz w:val="24"/>
              </w:rPr>
              <w:t>zna</w:t>
            </w:r>
            <w:r w:rsidRPr="00835753">
              <w:rPr>
                <w:rFonts w:ascii="Times New Roman" w:hAnsi="Times New Roman"/>
                <w:sz w:val="24"/>
              </w:rPr>
              <w:t>czne</w:t>
            </w:r>
            <w:proofErr w:type="gramEnd"/>
            <w:r w:rsidRPr="00835753">
              <w:rPr>
                <w:rFonts w:ascii="Times New Roman" w:hAnsi="Times New Roman"/>
                <w:sz w:val="24"/>
              </w:rPr>
              <w:t xml:space="preserve"> bezpośrednie,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 podmiotu sektora finansowego), jeżeli nie przydzielono ich do innych kategorii ekspozycji, oraz do znacznych pakietów akcji poza sektorem finansowym, które nie kwalifikują się do wagi ryzyka równej 1 250</w:t>
            </w:r>
            <w:r w:rsidR="00835753" w:rsidRPr="00835753">
              <w:rPr>
                <w:rFonts w:ascii="Times New Roman" w:hAnsi="Times New Roman"/>
                <w:sz w:val="24"/>
              </w:rPr>
              <w:t> </w:t>
            </w:r>
            <w:r w:rsidRPr="00835753">
              <w:rPr>
                <w:rFonts w:ascii="Times New Roman" w:hAnsi="Times New Roman"/>
                <w:sz w:val="24"/>
              </w:rPr>
              <w:t>%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drugą tytuł I rozdział 1 art.</w:t>
            </w:r>
            <w:r w:rsidR="00835753" w:rsidRPr="00835753">
              <w:rPr>
                <w:rFonts w:ascii="Times New Roman" w:hAnsi="Times New Roman"/>
                <w:sz w:val="24"/>
              </w:rPr>
              <w:t> </w:t>
            </w:r>
            <w:r w:rsidRPr="00835753">
              <w:rPr>
                <w:rFonts w:ascii="Times New Roman" w:hAnsi="Times New Roman"/>
                <w:sz w:val="24"/>
              </w:rPr>
              <w:t>36 lit.</w:t>
            </w:r>
            <w:r w:rsidR="00835753" w:rsidRPr="00835753">
              <w:rPr>
                <w:rFonts w:ascii="Times New Roman" w:hAnsi="Times New Roman"/>
                <w:sz w:val="24"/>
              </w:rPr>
              <w:t> </w:t>
            </w:r>
            <w:r w:rsidRPr="00835753">
              <w:rPr>
                <w:rFonts w:ascii="Times New Roman" w:hAnsi="Times New Roman"/>
                <w:sz w:val="24"/>
              </w:rPr>
              <w:t>k) CRR).</w:t>
            </w:r>
          </w:p>
        </w:tc>
      </w:tr>
    </w:tbl>
    <w:p w14:paraId="3F0B6CE6" w14:textId="77777777" w:rsidR="00563C4F" w:rsidRPr="00835753" w:rsidRDefault="00563C4F" w:rsidP="00563C4F">
      <w:pPr>
        <w:spacing w:after="120"/>
        <w:rPr>
          <w:rFonts w:ascii="Times New Roman" w:hAnsi="Times New Roman" w:cs="Times New Roman"/>
          <w:sz w:val="24"/>
        </w:rPr>
      </w:pPr>
    </w:p>
    <w:p w14:paraId="3A67C2F0" w14:textId="1A142E21" w:rsidR="0081579E" w:rsidRPr="00835753" w:rsidRDefault="0081579E">
      <w:pPr>
        <w:rPr>
          <w:rFonts w:ascii="Times New Roman" w:hAnsi="Times New Roman" w:cs="Times New Roman"/>
          <w:b/>
          <w:sz w:val="24"/>
        </w:rPr>
        <w:sectPr w:rsidR="0081579E" w:rsidRPr="00835753" w:rsidSect="00155C96">
          <w:pgSz w:w="11900" w:h="16840"/>
          <w:pgMar w:top="2268" w:right="1418" w:bottom="1134" w:left="1701" w:header="709" w:footer="709" w:gutter="0"/>
          <w:pgNumType w:start="1" w:chapStyle="1"/>
          <w:cols w:space="708"/>
          <w:docGrid w:linePitch="299"/>
        </w:sectPr>
      </w:pPr>
    </w:p>
    <w:p w14:paraId="7C07F769" w14:textId="1132FF72" w:rsidR="000646F8" w:rsidRPr="00835753" w:rsidRDefault="000646F8" w:rsidP="000646F8">
      <w:pPr>
        <w:pStyle w:val="Annexetitre"/>
        <w:spacing w:before="0"/>
      </w:pPr>
      <w:r w:rsidRPr="00835753">
        <w:lastRenderedPageBreak/>
        <w:t>ZAŁĄCZNIK XXII – Ujawnianie informacji na temat stosowania metody IRB</w:t>
      </w:r>
      <w:r w:rsidR="00835753" w:rsidRPr="00835753">
        <w:t xml:space="preserve"> w</w:t>
      </w:r>
      <w:r w:rsidR="00835753">
        <w:t> </w:t>
      </w:r>
      <w:r w:rsidR="00835753" w:rsidRPr="00835753">
        <w:t>odn</w:t>
      </w:r>
      <w:r w:rsidRPr="00835753">
        <w:t>iesieniu do ryzyka kredytowego (z wyłączeniem ryzyka kredytowego kontrahenta)</w:t>
      </w:r>
    </w:p>
    <w:p w14:paraId="58AB8056" w14:textId="77777777" w:rsidR="000646F8" w:rsidRPr="00835753" w:rsidRDefault="000646F8" w:rsidP="000646F8">
      <w:pPr>
        <w:spacing w:after="120"/>
        <w:rPr>
          <w:rFonts w:ascii="Times New Roman" w:hAnsi="Times New Roman" w:cs="Times New Roman"/>
          <w:sz w:val="24"/>
        </w:rPr>
      </w:pPr>
    </w:p>
    <w:p w14:paraId="4667538F" w14:textId="79D6382A" w:rsidR="000646F8" w:rsidRPr="00835753" w:rsidRDefault="00D95507" w:rsidP="000646F8">
      <w:pPr>
        <w:spacing w:after="120"/>
        <w:rPr>
          <w:rFonts w:ascii="Times New Roman" w:hAnsi="Times New Roman" w:cs="Times New Roman"/>
          <w:sz w:val="24"/>
        </w:rPr>
      </w:pPr>
      <w:r w:rsidRPr="00835753">
        <w:rPr>
          <w:rFonts w:ascii="Times New Roman" w:hAnsi="Times New Roman"/>
          <w:b/>
          <w:sz w:val="24"/>
        </w:rPr>
        <w:t>Tabela EU CRE – Wymogi dotyczące ujawniania informacji jakościowych na temat metody IRB. Tabela</w:t>
      </w:r>
      <w:r w:rsidR="00835753" w:rsidRPr="00835753">
        <w:rPr>
          <w:rFonts w:ascii="Times New Roman" w:hAnsi="Times New Roman"/>
          <w:b/>
          <w:sz w:val="24"/>
        </w:rPr>
        <w:t xml:space="preserve"> o</w:t>
      </w:r>
      <w:r w:rsidR="00835753">
        <w:rPr>
          <w:rFonts w:ascii="Times New Roman" w:hAnsi="Times New Roman"/>
          <w:b/>
          <w:sz w:val="24"/>
        </w:rPr>
        <w:t> </w:t>
      </w:r>
      <w:r w:rsidR="00835753" w:rsidRPr="00835753">
        <w:rPr>
          <w:rFonts w:ascii="Times New Roman" w:hAnsi="Times New Roman"/>
          <w:b/>
          <w:sz w:val="24"/>
        </w:rPr>
        <w:t>for</w:t>
      </w:r>
      <w:r w:rsidRPr="00835753">
        <w:rPr>
          <w:rFonts w:ascii="Times New Roman" w:hAnsi="Times New Roman"/>
          <w:b/>
          <w:sz w:val="24"/>
        </w:rPr>
        <w:t>macie elastycznym</w:t>
      </w:r>
      <w:r w:rsidRPr="00835753">
        <w:rPr>
          <w:rFonts w:ascii="Times New Roman" w:hAnsi="Times New Roman"/>
          <w:sz w:val="24"/>
        </w:rPr>
        <w:t>.</w:t>
      </w:r>
    </w:p>
    <w:p w14:paraId="04FD7982" w14:textId="4BA014BD" w:rsidR="000646F8" w:rsidRPr="00835753" w:rsidRDefault="000646F8" w:rsidP="000646F8">
      <w:pPr>
        <w:pStyle w:val="ListParagraph"/>
        <w:numPr>
          <w:ilvl w:val="0"/>
          <w:numId w:val="51"/>
        </w:numPr>
        <w:spacing w:after="120"/>
        <w:jc w:val="both"/>
        <w:rPr>
          <w:rFonts w:ascii="Times New Roman" w:hAnsi="Times New Roman"/>
          <w:sz w:val="24"/>
        </w:rPr>
      </w:pPr>
      <w:r w:rsidRPr="00835753">
        <w:rPr>
          <w:rFonts w:ascii="Times New Roman" w:hAnsi="Times New Roman"/>
          <w:sz w:val="24"/>
        </w:rPr>
        <w:t>W celu wypełnienia tabeli EU CRE zamieszczonej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XXI do niniejszego rozporządzenia wykonawczego instytucje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452 lit.</w:t>
      </w:r>
      <w:r w:rsidR="00835753" w:rsidRPr="00835753">
        <w:rPr>
          <w:rFonts w:ascii="Times New Roman" w:hAnsi="Times New Roman"/>
          <w:sz w:val="24"/>
        </w:rPr>
        <w:t> </w:t>
      </w:r>
      <w:r w:rsidRPr="00835753">
        <w:rPr>
          <w:rFonts w:ascii="Times New Roman" w:hAnsi="Times New Roman"/>
          <w:sz w:val="24"/>
        </w:rPr>
        <w:t>a</w:t>
      </w:r>
      <w:proofErr w:type="gramStart"/>
      <w:r w:rsidRPr="00835753">
        <w:rPr>
          <w:rFonts w:ascii="Times New Roman" w:hAnsi="Times New Roman"/>
          <w:sz w:val="24"/>
        </w:rPr>
        <w:t>)–f</w:t>
      </w:r>
      <w:proofErr w:type="gramEnd"/>
      <w:r w:rsidRPr="00835753">
        <w:rPr>
          <w:rFonts w:ascii="Times New Roman" w:hAnsi="Times New Roman"/>
          <w:sz w:val="24"/>
        </w:rPr>
        <w:t>) rozporządzenia (UE) nr</w:t>
      </w:r>
      <w:r w:rsidR="00835753" w:rsidRPr="00835753">
        <w:rPr>
          <w:rFonts w:ascii="Times New Roman" w:hAnsi="Times New Roman"/>
          <w:sz w:val="24"/>
        </w:rPr>
        <w:t> </w:t>
      </w:r>
      <w:r w:rsidRPr="00835753">
        <w:rPr>
          <w:rFonts w:ascii="Times New Roman" w:hAnsi="Times New Roman"/>
          <w:sz w:val="24"/>
        </w:rPr>
        <w:t>575/2013</w:t>
      </w:r>
      <w:r w:rsidRPr="00835753">
        <w:rPr>
          <w:rStyle w:val="FootnoteReference"/>
        </w:rPr>
        <w:footnoteReference w:id="38"/>
      </w:r>
      <w:r w:rsidRPr="00835753">
        <w:rPr>
          <w:rFonts w:ascii="Times New Roman" w:hAnsi="Times New Roman"/>
          <w:sz w:val="24"/>
        </w:rPr>
        <w:t xml:space="preserve">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646F8" w:rsidRPr="00835753" w14:paraId="0DCD028B"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835753" w:rsidRDefault="000646F8"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Oznaczenie wiersza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FA6D1D8" w14:textId="1293E6D8" w:rsidR="000646F8" w:rsidRPr="00835753" w:rsidRDefault="000646F8"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0646F8" w:rsidRPr="00835753" w14:paraId="5A20500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0CE75562" w14:textId="77777777" w:rsidR="000646F8" w:rsidRPr="00835753" w:rsidRDefault="000646F8"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835753" w:rsidRDefault="000646F8" w:rsidP="00155C96">
            <w:pPr>
              <w:spacing w:after="120"/>
              <w:rPr>
                <w:rFonts w:ascii="Times New Roman" w:hAnsi="Times New Roman" w:cs="Times New Roman"/>
                <w:b/>
                <w:sz w:val="24"/>
              </w:rPr>
            </w:pPr>
            <w:r w:rsidRPr="00835753">
              <w:rPr>
                <w:rFonts w:ascii="Times New Roman" w:hAnsi="Times New Roman"/>
                <w:b/>
                <w:sz w:val="24"/>
              </w:rPr>
              <w:t>Wyjaśnienie</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646F8" w:rsidRPr="00835753"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77777777" w:rsidR="000646F8" w:rsidRPr="00835753" w:rsidRDefault="000646F8" w:rsidP="00155C96">
            <w:pPr>
              <w:spacing w:after="120"/>
              <w:jc w:val="both"/>
              <w:rPr>
                <w:rFonts w:ascii="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7F6CA7A5"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iCs/>
                <w:sz w:val="24"/>
              </w:rPr>
              <w:t>Art. 452 lit.</w:t>
            </w:r>
            <w:r w:rsidR="00835753" w:rsidRPr="00835753">
              <w:rPr>
                <w:rFonts w:ascii="Times New Roman" w:hAnsi="Times New Roman"/>
                <w:iCs/>
                <w:sz w:val="24"/>
              </w:rPr>
              <w:t> </w:t>
            </w:r>
            <w:r w:rsidRPr="00835753">
              <w:rPr>
                <w:rFonts w:ascii="Times New Roman" w:hAnsi="Times New Roman"/>
                <w:iCs/>
                <w:sz w:val="24"/>
              </w:rPr>
              <w:t>a)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3E562359"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Ujawniając informacje na temat zakresu zezwolenia właściwego organu na stosowanie tej metody lub zmianę metody już stosowanej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452 lit.</w:t>
            </w:r>
            <w:r w:rsidR="00835753" w:rsidRPr="00835753">
              <w:rPr>
                <w:rFonts w:ascii="Times New Roman" w:hAnsi="Times New Roman"/>
                <w:sz w:val="24"/>
              </w:rPr>
              <w:t> </w:t>
            </w:r>
            <w:r w:rsidRPr="00835753">
              <w:rPr>
                <w:rFonts w:ascii="Times New Roman" w:hAnsi="Times New Roman"/>
                <w:sz w:val="24"/>
              </w:rPr>
              <w:t>a) CRR, instytucje opisują najważniejsze cechy systemów ratingowych stosowanych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metody IRB,</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których właściwy organ udzielił zezwolenia, oraz rodzaje ekspozycji objętych tymi systemami ratingowymi. Instytucje opisują również rodzaje ekspozycji,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których uzyskały zezwolenie na stałe stosowanie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nie</w:t>
            </w:r>
            <w:r w:rsidRPr="00835753">
              <w:rPr>
                <w:rFonts w:ascii="Times New Roman" w:hAnsi="Times New Roman"/>
                <w:sz w:val="24"/>
              </w:rPr>
              <w:t>pełnym zakresie metody standardowej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150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re są objęte ich planami wdrożenia metody standardowej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148 CRR. Opis ten przedstawia się na poziomie grupy.</w:t>
            </w:r>
          </w:p>
        </w:tc>
      </w:tr>
      <w:tr w:rsidR="000646F8" w:rsidRPr="00835753" w14:paraId="1564FC55" w14:textId="77777777" w:rsidTr="00155C96">
        <w:trPr>
          <w:trHeight w:val="557"/>
        </w:trPr>
        <w:tc>
          <w:tcPr>
            <w:tcW w:w="1363" w:type="dxa"/>
            <w:vAlign w:val="top"/>
          </w:tcPr>
          <w:p w14:paraId="14A340DD" w14:textId="77777777" w:rsidR="000646F8" w:rsidRPr="00835753" w:rsidRDefault="000646F8" w:rsidP="00155C96">
            <w:pPr>
              <w:spacing w:after="120"/>
              <w:jc w:val="both"/>
              <w:rPr>
                <w:rFonts w:ascii="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1179" w:type="dxa"/>
          </w:tcPr>
          <w:p w14:paraId="55FC216B" w14:textId="784F1640"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iCs/>
                <w:sz w:val="24"/>
              </w:rPr>
              <w:t>Art. 452 lit.</w:t>
            </w:r>
            <w:r w:rsidR="00835753" w:rsidRPr="00835753">
              <w:rPr>
                <w:rFonts w:ascii="Times New Roman" w:hAnsi="Times New Roman"/>
                <w:iCs/>
                <w:sz w:val="24"/>
              </w:rPr>
              <w:t> </w:t>
            </w:r>
            <w:r w:rsidRPr="00835753">
              <w:rPr>
                <w:rFonts w:ascii="Times New Roman" w:hAnsi="Times New Roman"/>
                <w:iCs/>
                <w:sz w:val="24"/>
              </w:rPr>
              <w:t>c) ppkt (i</w:t>
            </w:r>
            <w:proofErr w:type="gramStart"/>
            <w:r w:rsidRPr="00835753">
              <w:rPr>
                <w:rFonts w:ascii="Times New Roman" w:hAnsi="Times New Roman"/>
                <w:iCs/>
                <w:sz w:val="24"/>
              </w:rPr>
              <w:t>)–(iv</w:t>
            </w:r>
            <w:proofErr w:type="gramEnd"/>
            <w:r w:rsidRPr="00835753">
              <w:rPr>
                <w:rFonts w:ascii="Times New Roman" w:hAnsi="Times New Roman"/>
                <w:iCs/>
                <w:sz w:val="24"/>
              </w:rPr>
              <w:t>) CRR</w:t>
            </w:r>
          </w:p>
        </w:tc>
        <w:tc>
          <w:tcPr>
            <w:tcW w:w="7087" w:type="dxa"/>
          </w:tcPr>
          <w:p w14:paraId="449AFC7C" w14:textId="4D33EEC6"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Opis mechanizmów kontroli dla systemów ratingowych obejmuje oszacowanie parametrów ryzyka,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opracowanie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kal</w:t>
            </w:r>
            <w:r w:rsidRPr="00835753">
              <w:rPr>
                <w:rFonts w:ascii="Times New Roman" w:hAnsi="Times New Roman"/>
                <w:sz w:val="24"/>
              </w:rPr>
              <w:t>ibrację modelu wewnętrznego,</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że środki kontrolne stosowane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modeli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zmi</w:t>
            </w:r>
            <w:r w:rsidRPr="00835753">
              <w:rPr>
                <w:rFonts w:ascii="Times New Roman" w:hAnsi="Times New Roman"/>
                <w:sz w:val="24"/>
              </w:rPr>
              <w:t xml:space="preserve">any systemów ratingowych. </w:t>
            </w:r>
          </w:p>
          <w:p w14:paraId="08D4E922" w14:textId="3020EC04"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452 lit.</w:t>
            </w:r>
            <w:r w:rsidR="00835753" w:rsidRPr="00835753">
              <w:rPr>
                <w:rFonts w:ascii="Times New Roman" w:hAnsi="Times New Roman"/>
                <w:sz w:val="24"/>
              </w:rPr>
              <w:t> </w:t>
            </w:r>
            <w:r w:rsidRPr="00835753">
              <w:rPr>
                <w:rFonts w:ascii="Times New Roman" w:hAnsi="Times New Roman"/>
                <w:sz w:val="24"/>
              </w:rPr>
              <w:t>c) ppkt (i</w:t>
            </w:r>
            <w:proofErr w:type="gramStart"/>
            <w:r w:rsidRPr="00835753">
              <w:rPr>
                <w:rFonts w:ascii="Times New Roman" w:hAnsi="Times New Roman"/>
                <w:sz w:val="24"/>
              </w:rPr>
              <w:t>)–(iv</w:t>
            </w:r>
            <w:proofErr w:type="gramEnd"/>
            <w:r w:rsidRPr="00835753">
              <w:rPr>
                <w:rFonts w:ascii="Times New Roman" w:hAnsi="Times New Roman"/>
                <w:sz w:val="24"/>
              </w:rPr>
              <w:t>) CRR opis roli funkcji,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 powyżej, obejmuje również informacje na temat:</w:t>
            </w:r>
          </w:p>
          <w:p w14:paraId="6B0066C9" w14:textId="7BCA08FA" w:rsidR="000646F8" w:rsidRPr="00835753" w:rsidRDefault="000646F8" w:rsidP="000646F8">
            <w:pPr>
              <w:pStyle w:val="ListParagraph"/>
              <w:numPr>
                <w:ilvl w:val="0"/>
                <w:numId w:val="50"/>
              </w:numPr>
              <w:spacing w:after="120"/>
              <w:jc w:val="both"/>
              <w:rPr>
                <w:rFonts w:ascii="Times New Roman" w:hAnsi="Times New Roman"/>
                <w:sz w:val="24"/>
                <w:szCs w:val="24"/>
              </w:rPr>
            </w:pPr>
            <w:proofErr w:type="gramStart"/>
            <w:r w:rsidRPr="00835753">
              <w:rPr>
                <w:rFonts w:ascii="Times New Roman" w:hAnsi="Times New Roman"/>
                <w:sz w:val="24"/>
                <w:szCs w:val="24"/>
              </w:rPr>
              <w:t>związku</w:t>
            </w:r>
            <w:proofErr w:type="gramEnd"/>
            <w:r w:rsidRPr="00835753">
              <w:rPr>
                <w:rFonts w:ascii="Times New Roman" w:hAnsi="Times New Roman"/>
                <w:sz w:val="24"/>
                <w:szCs w:val="24"/>
              </w:rPr>
              <w:t xml:space="preserve"> między funkcją zarządzania ryzykiem</w:t>
            </w:r>
            <w:r w:rsidR="00835753" w:rsidRPr="00835753">
              <w:rPr>
                <w:rFonts w:ascii="Times New Roman" w:hAnsi="Times New Roman"/>
                <w:sz w:val="24"/>
                <w:szCs w:val="24"/>
              </w:rPr>
              <w:t xml:space="preserve"> a</w:t>
            </w:r>
            <w:r w:rsidR="00835753">
              <w:rPr>
                <w:rFonts w:ascii="Times New Roman" w:hAnsi="Times New Roman"/>
                <w:sz w:val="24"/>
                <w:szCs w:val="24"/>
              </w:rPr>
              <w:t> </w:t>
            </w:r>
            <w:r w:rsidR="00835753" w:rsidRPr="00835753">
              <w:rPr>
                <w:rFonts w:ascii="Times New Roman" w:hAnsi="Times New Roman"/>
                <w:sz w:val="24"/>
                <w:szCs w:val="24"/>
              </w:rPr>
              <w:t>fun</w:t>
            </w:r>
            <w:r w:rsidRPr="00835753">
              <w:rPr>
                <w:rFonts w:ascii="Times New Roman" w:hAnsi="Times New Roman"/>
                <w:sz w:val="24"/>
                <w:szCs w:val="24"/>
              </w:rPr>
              <w:t xml:space="preserve">kcją audytu wewnętrznego, </w:t>
            </w:r>
          </w:p>
          <w:p w14:paraId="09741805" w14:textId="0DB9A11A" w:rsidR="000646F8" w:rsidRPr="00835753" w:rsidRDefault="000646F8" w:rsidP="000646F8">
            <w:pPr>
              <w:pStyle w:val="ListParagraph"/>
              <w:numPr>
                <w:ilvl w:val="0"/>
                <w:numId w:val="50"/>
              </w:numPr>
              <w:spacing w:after="120"/>
              <w:jc w:val="both"/>
              <w:rPr>
                <w:rFonts w:ascii="Times New Roman" w:hAnsi="Times New Roman"/>
                <w:sz w:val="24"/>
                <w:szCs w:val="24"/>
              </w:rPr>
            </w:pPr>
            <w:proofErr w:type="gramStart"/>
            <w:r w:rsidRPr="00835753">
              <w:rPr>
                <w:rFonts w:ascii="Times New Roman" w:hAnsi="Times New Roman"/>
                <w:sz w:val="24"/>
                <w:szCs w:val="24"/>
              </w:rPr>
              <w:t>procedur</w:t>
            </w:r>
            <w:proofErr w:type="gramEnd"/>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met</w:t>
            </w:r>
            <w:r w:rsidRPr="00835753">
              <w:rPr>
                <w:rFonts w:ascii="Times New Roman" w:hAnsi="Times New Roman"/>
                <w:sz w:val="24"/>
                <w:szCs w:val="24"/>
              </w:rPr>
              <w:t>od przeglądu systemów ratingowych,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regularnych przeglądów oszacowań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179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c) CRR</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wal</w:t>
            </w:r>
            <w:r w:rsidRPr="00835753">
              <w:rPr>
                <w:rFonts w:ascii="Times New Roman" w:hAnsi="Times New Roman"/>
                <w:sz w:val="24"/>
                <w:szCs w:val="24"/>
              </w:rPr>
              <w:t xml:space="preserve">idacji, </w:t>
            </w:r>
          </w:p>
          <w:p w14:paraId="45CA39FA" w14:textId="3B0BE2EE" w:rsidR="000646F8" w:rsidRPr="00835753" w:rsidRDefault="000646F8" w:rsidP="000646F8">
            <w:pPr>
              <w:pStyle w:val="ListParagraph"/>
              <w:numPr>
                <w:ilvl w:val="0"/>
                <w:numId w:val="50"/>
              </w:numPr>
              <w:spacing w:after="120"/>
              <w:jc w:val="both"/>
              <w:rPr>
                <w:rFonts w:ascii="Times New Roman" w:hAnsi="Times New Roman"/>
                <w:sz w:val="24"/>
                <w:szCs w:val="24"/>
              </w:rPr>
            </w:pPr>
            <w:proofErr w:type="gramStart"/>
            <w:r w:rsidRPr="00835753">
              <w:rPr>
                <w:rFonts w:ascii="Times New Roman" w:hAnsi="Times New Roman"/>
                <w:sz w:val="24"/>
                <w:szCs w:val="24"/>
              </w:rPr>
              <w:t>procedur</w:t>
            </w:r>
            <w:proofErr w:type="gramEnd"/>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ust</w:t>
            </w:r>
            <w:r w:rsidRPr="00835753">
              <w:rPr>
                <w:rFonts w:ascii="Times New Roman" w:hAnsi="Times New Roman"/>
                <w:sz w:val="24"/>
                <w:szCs w:val="24"/>
              </w:rPr>
              <w:t>aleń organizacyjnych służących zapewnieniu niezależności funkcji odpowiedzialnej za dokonywanie przeglądu modeli (funkcja walidacji) od funkcji odpowiedzialnych za opracowywanie</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kal</w:t>
            </w:r>
            <w:r w:rsidRPr="00835753">
              <w:rPr>
                <w:rFonts w:ascii="Times New Roman" w:hAnsi="Times New Roman"/>
                <w:sz w:val="24"/>
                <w:szCs w:val="24"/>
              </w:rPr>
              <w:t xml:space="preserve">ibrację modeli </w:t>
            </w:r>
          </w:p>
          <w:p w14:paraId="7A1F1491" w14:textId="1638C0B0" w:rsidR="000646F8" w:rsidRPr="00835753" w:rsidRDefault="000646F8" w:rsidP="000646F8">
            <w:pPr>
              <w:pStyle w:val="ListParagraph"/>
              <w:numPr>
                <w:ilvl w:val="0"/>
                <w:numId w:val="50"/>
              </w:numPr>
              <w:spacing w:after="120"/>
              <w:jc w:val="both"/>
              <w:rPr>
                <w:rFonts w:ascii="Times New Roman" w:hAnsi="Times New Roman"/>
                <w:sz w:val="24"/>
                <w:szCs w:val="24"/>
              </w:rPr>
            </w:pPr>
            <w:proofErr w:type="gramStart"/>
            <w:r w:rsidRPr="00835753">
              <w:rPr>
                <w:rFonts w:ascii="Times New Roman" w:hAnsi="Times New Roman"/>
                <w:sz w:val="24"/>
                <w:szCs w:val="24"/>
              </w:rPr>
              <w:lastRenderedPageBreak/>
              <w:t>oraz</w:t>
            </w:r>
            <w:proofErr w:type="gramEnd"/>
            <w:r w:rsidRPr="00835753">
              <w:rPr>
                <w:rFonts w:ascii="Times New Roman" w:hAnsi="Times New Roman"/>
                <w:sz w:val="24"/>
                <w:szCs w:val="24"/>
              </w:rPr>
              <w:t xml:space="preserve"> procedury służącej zapewnieniu rozliczalności funkcji odpowiedzialnych za opracowywanie modeli</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dok</w:t>
            </w:r>
            <w:r w:rsidRPr="00835753">
              <w:rPr>
                <w:rFonts w:ascii="Times New Roman" w:hAnsi="Times New Roman"/>
                <w:sz w:val="24"/>
                <w:szCs w:val="24"/>
              </w:rPr>
              <w:t>onywanie ich przeglądu.</w:t>
            </w:r>
          </w:p>
        </w:tc>
      </w:tr>
      <w:tr w:rsidR="000646F8" w:rsidRPr="00835753" w:rsidDel="00915DC9" w14:paraId="40E4A10C" w14:textId="77777777" w:rsidTr="00155C96">
        <w:trPr>
          <w:trHeight w:val="973"/>
        </w:trPr>
        <w:tc>
          <w:tcPr>
            <w:tcW w:w="1363" w:type="dxa"/>
            <w:vAlign w:val="top"/>
          </w:tcPr>
          <w:p w14:paraId="5E3113E1" w14:textId="77777777" w:rsidR="000646F8" w:rsidRPr="00835753" w:rsidRDefault="000646F8" w:rsidP="00155C96">
            <w:pPr>
              <w:spacing w:after="120"/>
              <w:jc w:val="both"/>
              <w:rPr>
                <w:rFonts w:ascii="Times New Roman" w:hAnsi="Times New Roman" w:cs="Times New Roman"/>
                <w:sz w:val="24"/>
              </w:rPr>
            </w:pPr>
            <w:proofErr w:type="gramStart"/>
            <w:r w:rsidRPr="00835753">
              <w:rPr>
                <w:rFonts w:ascii="Times New Roman" w:hAnsi="Times New Roman"/>
                <w:sz w:val="24"/>
              </w:rPr>
              <w:lastRenderedPageBreak/>
              <w:t>c</w:t>
            </w:r>
            <w:proofErr w:type="gramEnd"/>
            <w:r w:rsidRPr="00835753">
              <w:rPr>
                <w:rFonts w:ascii="Times New Roman" w:hAnsi="Times New Roman"/>
                <w:sz w:val="24"/>
              </w:rPr>
              <w:t>)</w:t>
            </w:r>
          </w:p>
        </w:tc>
        <w:tc>
          <w:tcPr>
            <w:tcW w:w="1179" w:type="dxa"/>
          </w:tcPr>
          <w:p w14:paraId="1BD49820" w14:textId="5A24154B"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iCs/>
                <w:sz w:val="24"/>
              </w:rPr>
              <w:t>Art. 452 lit.</w:t>
            </w:r>
            <w:r w:rsidR="00835753" w:rsidRPr="00835753">
              <w:rPr>
                <w:rFonts w:ascii="Times New Roman" w:hAnsi="Times New Roman"/>
                <w:iCs/>
                <w:sz w:val="24"/>
              </w:rPr>
              <w:t> </w:t>
            </w:r>
            <w:r w:rsidRPr="00835753">
              <w:rPr>
                <w:rFonts w:ascii="Times New Roman" w:hAnsi="Times New Roman"/>
                <w:iCs/>
                <w:sz w:val="24"/>
              </w:rPr>
              <w:t>d) CRR</w:t>
            </w:r>
          </w:p>
        </w:tc>
        <w:tc>
          <w:tcPr>
            <w:tcW w:w="7087" w:type="dxa"/>
          </w:tcPr>
          <w:p w14:paraId="45DCC0FE" w14:textId="2CCDA627" w:rsidR="000646F8" w:rsidRPr="00835753" w:rsidDel="00915DC9" w:rsidRDefault="000646F8" w:rsidP="00155C96">
            <w:pPr>
              <w:spacing w:after="120"/>
              <w:jc w:val="both"/>
              <w:rPr>
                <w:rFonts w:ascii="Times New Roman" w:hAnsi="Times New Roman" w:cs="Times New Roman"/>
                <w:sz w:val="24"/>
              </w:rPr>
            </w:pPr>
            <w:r w:rsidRPr="00835753">
              <w:rPr>
                <w:rFonts w:ascii="Times New Roman" w:hAnsi="Times New Roman"/>
                <w:sz w:val="24"/>
              </w:rPr>
              <w:t>Instytucje określają rolę funkcji zaangażowanych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opr</w:t>
            </w:r>
            <w:r w:rsidRPr="00835753">
              <w:rPr>
                <w:rFonts w:ascii="Times New Roman" w:hAnsi="Times New Roman"/>
                <w:sz w:val="24"/>
              </w:rPr>
              <w:t>acowywanie, kalibrację</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zat</w:t>
            </w:r>
            <w:r w:rsidRPr="00835753">
              <w:rPr>
                <w:rFonts w:ascii="Times New Roman" w:hAnsi="Times New Roman"/>
                <w:sz w:val="24"/>
              </w:rPr>
              <w:t>wierdzanie modeli oraz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póź</w:t>
            </w:r>
            <w:r w:rsidRPr="00835753">
              <w:rPr>
                <w:rFonts w:ascii="Times New Roman" w:hAnsi="Times New Roman"/>
                <w:sz w:val="24"/>
              </w:rPr>
              <w:t>niejsze ich zmiany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systemów ratingowych.</w:t>
            </w:r>
          </w:p>
        </w:tc>
      </w:tr>
      <w:tr w:rsidR="000646F8" w:rsidRPr="00835753" w14:paraId="038F0FCE" w14:textId="77777777" w:rsidTr="00155C96">
        <w:trPr>
          <w:trHeight w:val="1265"/>
        </w:trPr>
        <w:tc>
          <w:tcPr>
            <w:tcW w:w="1363" w:type="dxa"/>
            <w:vAlign w:val="top"/>
          </w:tcPr>
          <w:p w14:paraId="1E031BDC" w14:textId="77777777" w:rsidR="000646F8" w:rsidRPr="00835753" w:rsidRDefault="000646F8" w:rsidP="00155C96">
            <w:pPr>
              <w:spacing w:after="120"/>
              <w:jc w:val="both"/>
              <w:rPr>
                <w:rFonts w:ascii="Times New Roman" w:hAnsi="Times New Roman" w:cs="Times New Roman"/>
                <w:sz w:val="24"/>
              </w:rPr>
            </w:pPr>
            <w:proofErr w:type="gramStart"/>
            <w:r w:rsidRPr="00835753">
              <w:rPr>
                <w:rFonts w:ascii="Times New Roman" w:hAnsi="Times New Roman"/>
                <w:sz w:val="24"/>
              </w:rPr>
              <w:t>d</w:t>
            </w:r>
            <w:proofErr w:type="gramEnd"/>
            <w:r w:rsidRPr="00835753">
              <w:rPr>
                <w:rFonts w:ascii="Times New Roman" w:hAnsi="Times New Roman"/>
                <w:sz w:val="24"/>
              </w:rPr>
              <w:t>)</w:t>
            </w:r>
          </w:p>
        </w:tc>
        <w:tc>
          <w:tcPr>
            <w:tcW w:w="1179" w:type="dxa"/>
          </w:tcPr>
          <w:p w14:paraId="785079DF" w14:textId="1B7A50E2"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iCs/>
                <w:sz w:val="24"/>
              </w:rPr>
              <w:t>Art. 452 lit.</w:t>
            </w:r>
            <w:r w:rsidR="00835753" w:rsidRPr="00835753">
              <w:rPr>
                <w:rFonts w:ascii="Times New Roman" w:hAnsi="Times New Roman"/>
                <w:iCs/>
                <w:sz w:val="24"/>
              </w:rPr>
              <w:t> </w:t>
            </w:r>
            <w:r w:rsidRPr="00835753">
              <w:rPr>
                <w:rFonts w:ascii="Times New Roman" w:hAnsi="Times New Roman"/>
                <w:iCs/>
                <w:sz w:val="24"/>
              </w:rPr>
              <w:t>e) CRR</w:t>
            </w:r>
          </w:p>
        </w:tc>
        <w:tc>
          <w:tcPr>
            <w:tcW w:w="7087" w:type="dxa"/>
          </w:tcPr>
          <w:p w14:paraId="42604DA2" w14:textId="0768D0F9"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Instytucje ujawniają zakres</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głó</w:t>
            </w:r>
            <w:r w:rsidRPr="00835753">
              <w:rPr>
                <w:rFonts w:ascii="Times New Roman" w:hAnsi="Times New Roman"/>
                <w:sz w:val="24"/>
              </w:rPr>
              <w:t>wną treść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mod</w:t>
            </w:r>
            <w:r w:rsidRPr="00835753">
              <w:rPr>
                <w:rFonts w:ascii="Times New Roman" w:hAnsi="Times New Roman"/>
                <w:sz w:val="24"/>
              </w:rPr>
              <w:t>elami IRB sprawozdań zarządczych,</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189 CRR,</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że adresatów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 xml:space="preserve">stotliwość takich sprawozdań. </w:t>
            </w:r>
          </w:p>
        </w:tc>
      </w:tr>
      <w:tr w:rsidR="000646F8" w:rsidRPr="00835753" w14:paraId="394C27F8" w14:textId="77777777" w:rsidTr="00155C96">
        <w:trPr>
          <w:trHeight w:val="1405"/>
        </w:trPr>
        <w:tc>
          <w:tcPr>
            <w:tcW w:w="1363" w:type="dxa"/>
            <w:vAlign w:val="top"/>
          </w:tcPr>
          <w:p w14:paraId="225DFE0C" w14:textId="77777777" w:rsidR="000646F8" w:rsidRPr="00835753" w:rsidRDefault="000646F8" w:rsidP="00155C96">
            <w:pPr>
              <w:spacing w:after="120"/>
              <w:jc w:val="both"/>
              <w:rPr>
                <w:rFonts w:ascii="Times New Roman" w:hAnsi="Times New Roman" w:cs="Times New Roman"/>
                <w:sz w:val="24"/>
              </w:rPr>
            </w:pPr>
            <w:proofErr w:type="gramStart"/>
            <w:r w:rsidRPr="00835753">
              <w:rPr>
                <w:rFonts w:ascii="Times New Roman" w:hAnsi="Times New Roman"/>
                <w:iCs/>
                <w:sz w:val="24"/>
              </w:rPr>
              <w:t>e</w:t>
            </w:r>
            <w:proofErr w:type="gramEnd"/>
            <w:r w:rsidRPr="00835753">
              <w:rPr>
                <w:rFonts w:ascii="Times New Roman" w:hAnsi="Times New Roman"/>
                <w:iCs/>
                <w:sz w:val="24"/>
              </w:rPr>
              <w:t>)</w:t>
            </w:r>
          </w:p>
        </w:tc>
        <w:tc>
          <w:tcPr>
            <w:tcW w:w="1179" w:type="dxa"/>
          </w:tcPr>
          <w:p w14:paraId="0AE7CC48" w14:textId="68EF34E8"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iCs/>
                <w:sz w:val="24"/>
              </w:rPr>
              <w:t>Art. 452 lit.</w:t>
            </w:r>
            <w:r w:rsidR="00835753" w:rsidRPr="00835753">
              <w:rPr>
                <w:rFonts w:ascii="Times New Roman" w:hAnsi="Times New Roman"/>
                <w:iCs/>
                <w:sz w:val="24"/>
              </w:rPr>
              <w:t> </w:t>
            </w:r>
            <w:r w:rsidRPr="00835753">
              <w:rPr>
                <w:rFonts w:ascii="Times New Roman" w:hAnsi="Times New Roman"/>
                <w:iCs/>
                <w:sz w:val="24"/>
              </w:rPr>
              <w:t>f) CRR</w:t>
            </w:r>
          </w:p>
        </w:tc>
        <w:tc>
          <w:tcPr>
            <w:tcW w:w="7087" w:type="dxa"/>
          </w:tcPr>
          <w:p w14:paraId="7994A94A" w14:textId="0D865AED"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W ramach ujawnienia systemów ratingów wewnętrznych według kategorii ekspozycji uwzględnia się liczbę kluczowych modeli stosowanych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każ</w:t>
            </w:r>
            <w:r w:rsidRPr="00835753">
              <w:rPr>
                <w:rFonts w:ascii="Times New Roman" w:hAnsi="Times New Roman"/>
                <w:sz w:val="24"/>
              </w:rPr>
              <w:t>dej kategorii ekspozycji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poszczególnych rodzajów ekspozycji, wraz</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kró</w:t>
            </w:r>
            <w:r w:rsidRPr="00835753">
              <w:rPr>
                <w:rFonts w:ascii="Times New Roman" w:hAnsi="Times New Roman"/>
                <w:sz w:val="24"/>
              </w:rPr>
              <w:t>tkim omówieniem najważniejszych różnic pomiędzy modelami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tych samych kategorii ekspozycji. Uwzględnia się również opis głównych cech kluczowych zatwierdzonych modeli obejmujący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szc</w:t>
            </w:r>
            <w:r w:rsidRPr="00835753">
              <w:rPr>
                <w:rFonts w:ascii="Times New Roman" w:hAnsi="Times New Roman"/>
                <w:sz w:val="24"/>
              </w:rPr>
              <w:t xml:space="preserve">zególności: </w:t>
            </w:r>
          </w:p>
          <w:p w14:paraId="572F727E" w14:textId="5D9C2CAB"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(i) definicje, metody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e służące do oszacowania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wal</w:t>
            </w:r>
            <w:r w:rsidRPr="00835753">
              <w:rPr>
                <w:rFonts w:ascii="Times New Roman" w:hAnsi="Times New Roman"/>
                <w:sz w:val="24"/>
              </w:rPr>
              <w:t>idacji wartości PD, zawierające informacje na temat sposobu szacowania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wal</w:t>
            </w:r>
            <w:r w:rsidRPr="00835753">
              <w:rPr>
                <w:rFonts w:ascii="Times New Roman" w:hAnsi="Times New Roman"/>
                <w:sz w:val="24"/>
              </w:rPr>
              <w:t>idacji wartości PD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portfeli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nis</w:t>
            </w:r>
            <w:r w:rsidRPr="00835753">
              <w:rPr>
                <w:rFonts w:ascii="Times New Roman" w:hAnsi="Times New Roman"/>
                <w:sz w:val="24"/>
              </w:rPr>
              <w:t>kim prawdopodobieństwie niewykonania zobowiązania,</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że informacje na temat tego, czy w co najmniej trzech ostatnich latach zaobserwowano jakiekolwiek mające zastosowanie dolne pułapy regulacyjne oraz czynniki sprzyjające różnicom między oszacowaniem wartości PD</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rze</w:t>
            </w:r>
            <w:r w:rsidRPr="00835753">
              <w:rPr>
                <w:rFonts w:ascii="Times New Roman" w:hAnsi="Times New Roman"/>
                <w:sz w:val="24"/>
              </w:rPr>
              <w:t xml:space="preserve">czywistym współczynnikiem zobowiązania; </w:t>
            </w:r>
          </w:p>
          <w:p w14:paraId="52483A4B" w14:textId="36D7DFCB"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(ii)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 – definicje, metody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e służące do oszacowania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wal</w:t>
            </w:r>
            <w:r w:rsidRPr="00835753">
              <w:rPr>
                <w:rFonts w:ascii="Times New Roman" w:hAnsi="Times New Roman"/>
                <w:sz w:val="24"/>
              </w:rPr>
              <w:t>idacji LGD,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metody oszacowania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wal</w:t>
            </w:r>
            <w:r w:rsidRPr="00835753">
              <w:rPr>
                <w:rFonts w:ascii="Times New Roman" w:hAnsi="Times New Roman"/>
                <w:sz w:val="24"/>
              </w:rPr>
              <w:t>idacji LGD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pogorszenia koniunktury, informacje na temat sposobu szacowania LGD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portfeli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nis</w:t>
            </w:r>
            <w:r w:rsidRPr="00835753">
              <w:rPr>
                <w:rFonts w:ascii="Times New Roman" w:hAnsi="Times New Roman"/>
                <w:sz w:val="24"/>
              </w:rPr>
              <w:t>kim prawdopodobieństwie niewykonania zobowiązania, jak również na temat czasu, jaki upływa między zdarzeniem niewykonania zobowiązania</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zam</w:t>
            </w:r>
            <w:r w:rsidRPr="00835753">
              <w:rPr>
                <w:rFonts w:ascii="Times New Roman" w:hAnsi="Times New Roman"/>
                <w:sz w:val="24"/>
              </w:rPr>
              <w:t xml:space="preserve">knięciem ekspozycji; </w:t>
            </w:r>
          </w:p>
          <w:p w14:paraId="37F12604" w14:textId="38536E7E"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(iii) definicje, metody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e służące do oszacowania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wal</w:t>
            </w:r>
            <w:r w:rsidRPr="00835753">
              <w:rPr>
                <w:rFonts w:ascii="Times New Roman" w:hAnsi="Times New Roman"/>
                <w:sz w:val="24"/>
              </w:rPr>
              <w:t>idacji współczynników konwersji,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założenia użyte przy dokonywaniu tych oszacowań.</w:t>
            </w:r>
          </w:p>
        </w:tc>
      </w:tr>
    </w:tbl>
    <w:p w14:paraId="39A617A1" w14:textId="77777777" w:rsidR="000646F8" w:rsidRPr="00835753" w:rsidRDefault="000646F8" w:rsidP="000646F8">
      <w:pPr>
        <w:spacing w:after="120"/>
        <w:rPr>
          <w:rFonts w:ascii="Times New Roman" w:hAnsi="Times New Roman" w:cs="Times New Roman"/>
          <w:sz w:val="24"/>
        </w:rPr>
      </w:pPr>
    </w:p>
    <w:p w14:paraId="33E560B8" w14:textId="7C09F341" w:rsidR="000646F8" w:rsidRPr="00835753" w:rsidRDefault="00CD362D" w:rsidP="000646F8">
      <w:pPr>
        <w:spacing w:after="120"/>
        <w:rPr>
          <w:rFonts w:ascii="Times New Roman" w:hAnsi="Times New Roman"/>
          <w:sz w:val="24"/>
        </w:rPr>
      </w:pPr>
      <w:r w:rsidRPr="00835753">
        <w:rPr>
          <w:rFonts w:ascii="Times New Roman" w:hAnsi="Times New Roman"/>
          <w:b/>
          <w:sz w:val="24"/>
        </w:rPr>
        <w:t>Wzór EU CR6 – Metoda IRB – Ekspozycje na ryzyko kredytowe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pod</w:t>
      </w:r>
      <w:r w:rsidRPr="00835753">
        <w:rPr>
          <w:rFonts w:ascii="Times New Roman" w:hAnsi="Times New Roman"/>
          <w:b/>
          <w:sz w:val="24"/>
        </w:rPr>
        <w:t>ziale na kategorie ekspozycji</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resy wartości PD. Wzór</w:t>
      </w:r>
      <w:r w:rsidR="00835753" w:rsidRPr="00835753">
        <w:rPr>
          <w:rFonts w:ascii="Times New Roman" w:hAnsi="Times New Roman"/>
          <w:b/>
          <w:sz w:val="24"/>
        </w:rPr>
        <w:t xml:space="preserve"> o</w:t>
      </w:r>
      <w:r w:rsidR="00835753">
        <w:rPr>
          <w:rFonts w:ascii="Times New Roman" w:hAnsi="Times New Roman"/>
          <w:b/>
          <w:sz w:val="24"/>
        </w:rPr>
        <w:t> </w:t>
      </w:r>
      <w:r w:rsidR="00835753" w:rsidRPr="00835753">
        <w:rPr>
          <w:rFonts w:ascii="Times New Roman" w:hAnsi="Times New Roman"/>
          <w:b/>
          <w:sz w:val="24"/>
        </w:rPr>
        <w:t>for</w:t>
      </w:r>
      <w:r w:rsidRPr="00835753">
        <w:rPr>
          <w:rFonts w:ascii="Times New Roman" w:hAnsi="Times New Roman"/>
          <w:b/>
          <w:sz w:val="24"/>
        </w:rPr>
        <w:t>macie stałym</w:t>
      </w:r>
    </w:p>
    <w:p w14:paraId="01BC3589" w14:textId="291E29E2" w:rsidR="000646F8" w:rsidRPr="00835753" w:rsidRDefault="000646F8" w:rsidP="000646F8">
      <w:pPr>
        <w:pStyle w:val="ListParagraph"/>
        <w:numPr>
          <w:ilvl w:val="0"/>
          <w:numId w:val="51"/>
        </w:numPr>
        <w:spacing w:after="120"/>
        <w:jc w:val="both"/>
        <w:rPr>
          <w:rFonts w:ascii="Times New Roman" w:hAnsi="Times New Roman"/>
          <w:sz w:val="24"/>
        </w:rPr>
      </w:pPr>
      <w:r w:rsidRPr="00835753">
        <w:rPr>
          <w:rFonts w:ascii="Times New Roman" w:hAnsi="Times New Roman"/>
          <w:sz w:val="24"/>
        </w:rPr>
        <w:t>W celu wypełnienia wzoru EU CR6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XXI do niniejszego rozporządzenia wykonawczego instytucje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452 lit.</w:t>
      </w:r>
      <w:r w:rsidR="00835753" w:rsidRPr="00835753">
        <w:rPr>
          <w:rFonts w:ascii="Times New Roman" w:hAnsi="Times New Roman"/>
          <w:sz w:val="24"/>
        </w:rPr>
        <w:t> </w:t>
      </w:r>
      <w:r w:rsidRPr="00835753">
        <w:rPr>
          <w:rFonts w:ascii="Times New Roman" w:hAnsi="Times New Roman"/>
          <w:sz w:val="24"/>
        </w:rPr>
        <w:t>g) ppkt (i</w:t>
      </w:r>
      <w:proofErr w:type="gramStart"/>
      <w:r w:rsidRPr="00835753">
        <w:rPr>
          <w:rFonts w:ascii="Times New Roman" w:hAnsi="Times New Roman"/>
          <w:sz w:val="24"/>
        </w:rPr>
        <w:t>)–(v</w:t>
      </w:r>
      <w:proofErr w:type="gramEnd"/>
      <w:r w:rsidRPr="00835753">
        <w:rPr>
          <w:rFonts w:ascii="Times New Roman" w:hAnsi="Times New Roman"/>
          <w:sz w:val="24"/>
        </w:rPr>
        <w:t>) CRR, na temat najważniejszych parametrów stosowanych do obliczania wymogów kapitałowych dla metody IRB,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 Informacje ujawniane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wzorze nie uwzględniają danych dotyczących kredytowania </w:t>
      </w:r>
      <w:r w:rsidRPr="00835753">
        <w:rPr>
          <w:rFonts w:ascii="Times New Roman" w:hAnsi="Times New Roman"/>
          <w:sz w:val="24"/>
        </w:rPr>
        <w:lastRenderedPageBreak/>
        <w:t>specjalistycznego,</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rym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153 ust.</w:t>
      </w:r>
      <w:r w:rsidR="00835753" w:rsidRPr="00835753">
        <w:rPr>
          <w:rFonts w:ascii="Times New Roman" w:hAnsi="Times New Roman"/>
          <w:sz w:val="24"/>
        </w:rPr>
        <w:t> </w:t>
      </w:r>
      <w:r w:rsidRPr="00835753">
        <w:rPr>
          <w:rFonts w:ascii="Times New Roman" w:hAnsi="Times New Roman"/>
          <w:sz w:val="24"/>
        </w:rPr>
        <w:t>4 CRR. Ten wzór nie obejmuje ekspozycji na ryzyko kredytowe kontrahenta (CCR) (część trzecia tytuł II rozdział 6 CRR), ekspozycji sekurytyzacyjnych ani ekspozycji kapitałowych.</w:t>
      </w:r>
    </w:p>
    <w:p w14:paraId="2C5E6F36" w14:textId="77777777" w:rsidR="000646F8" w:rsidRPr="00835753" w:rsidRDefault="000646F8" w:rsidP="000646F8">
      <w:pPr>
        <w:spacing w:after="120"/>
        <w:rPr>
          <w:rFonts w:ascii="Times New Roman" w:hAnsi="Times New Roman" w:cs="Times New Roman"/>
          <w:sz w:val="24"/>
        </w:rPr>
      </w:pPr>
    </w:p>
    <w:p w14:paraId="3DDD2510" w14:textId="77777777" w:rsidR="000646F8" w:rsidRPr="00835753" w:rsidRDefault="000646F8" w:rsidP="000646F8">
      <w:pPr>
        <w:spacing w:after="120"/>
        <w:rPr>
          <w:rFonts w:ascii="Times New Roman" w:hAnsi="Times New Roman" w:cs="Times New Roman"/>
          <w:sz w:val="24"/>
        </w:rPr>
      </w:pPr>
    </w:p>
    <w:p w14:paraId="67E3BB5D" w14:textId="77777777" w:rsidR="000646F8" w:rsidRPr="00835753" w:rsidRDefault="000646F8"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835753"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835753" w:rsidRDefault="000646F8"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Oznaczenie kolumny</w:t>
            </w:r>
          </w:p>
        </w:tc>
        <w:tc>
          <w:tcPr>
            <w:tcW w:w="7483" w:type="dxa"/>
            <w:shd w:val="clear" w:color="auto" w:fill="D9D9D9" w:themeFill="background1" w:themeFillShade="D9"/>
          </w:tcPr>
          <w:p w14:paraId="29F3B15D" w14:textId="0C65FD21" w:rsidR="000646F8" w:rsidRPr="00835753" w:rsidRDefault="000646F8"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0646F8" w:rsidRPr="00835753" w14:paraId="6BF14EA4" w14:textId="77777777" w:rsidTr="00155C96">
        <w:trPr>
          <w:trHeight w:val="238"/>
        </w:trPr>
        <w:tc>
          <w:tcPr>
            <w:tcW w:w="1555" w:type="dxa"/>
            <w:vMerge/>
            <w:shd w:val="clear" w:color="auto" w:fill="D9D9D9" w:themeFill="background1" w:themeFillShade="D9"/>
          </w:tcPr>
          <w:p w14:paraId="518305CE" w14:textId="77777777" w:rsidR="000646F8" w:rsidRPr="00835753" w:rsidRDefault="000646F8"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835753" w:rsidRDefault="000646F8"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Wyjaśnienie</w:t>
            </w:r>
          </w:p>
        </w:tc>
      </w:tr>
      <w:tr w:rsidR="000646F8" w:rsidRPr="00835753" w14:paraId="79FE9B93" w14:textId="77777777" w:rsidTr="00155C96">
        <w:trPr>
          <w:trHeight w:val="841"/>
        </w:trPr>
        <w:tc>
          <w:tcPr>
            <w:tcW w:w="1555" w:type="dxa"/>
          </w:tcPr>
          <w:p w14:paraId="2362CC1C" w14:textId="77777777" w:rsidR="000646F8" w:rsidRPr="00835753" w:rsidRDefault="000646F8" w:rsidP="00155C96">
            <w:pPr>
              <w:pStyle w:val="Applicationdirecte"/>
              <w:spacing w:before="0"/>
              <w:rPr>
                <w:highlight w:val="yellow"/>
              </w:rPr>
            </w:pPr>
            <w:proofErr w:type="gramStart"/>
            <w:r w:rsidRPr="00835753">
              <w:t>a</w:t>
            </w:r>
            <w:proofErr w:type="gramEnd"/>
            <w:r w:rsidRPr="00835753">
              <w:t>)</w:t>
            </w:r>
          </w:p>
        </w:tc>
        <w:tc>
          <w:tcPr>
            <w:tcW w:w="7483" w:type="dxa"/>
          </w:tcPr>
          <w:p w14:paraId="203D229E" w14:textId="240581FA" w:rsidR="000646F8" w:rsidRPr="00835753" w:rsidRDefault="000646F8" w:rsidP="00155C96">
            <w:pPr>
              <w:pStyle w:val="Applicationdirecte"/>
              <w:spacing w:before="0"/>
              <w:rPr>
                <w:b/>
              </w:rPr>
            </w:pPr>
            <w:r w:rsidRPr="00835753">
              <w:rPr>
                <w:b/>
              </w:rPr>
              <w:t>Zakres wartości PD</w:t>
            </w:r>
          </w:p>
          <w:p w14:paraId="6465D612"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Jest to stały zakres wartości PD, którego nie wolno zmieniać.</w:t>
            </w:r>
          </w:p>
          <w:p w14:paraId="31D2661A" w14:textId="3BBD5C2F" w:rsidR="000646F8" w:rsidRPr="00835753" w:rsidRDefault="000646F8" w:rsidP="00155C96">
            <w:pPr>
              <w:pStyle w:val="Fait"/>
              <w:spacing w:before="0" w:after="120"/>
            </w:pPr>
            <w:r w:rsidRPr="00835753">
              <w:t>Jeżeli</w:t>
            </w:r>
            <w:r w:rsidR="00835753" w:rsidRPr="00835753">
              <w:t xml:space="preserve"> w</w:t>
            </w:r>
            <w:r w:rsidR="00835753">
              <w:t> </w:t>
            </w:r>
            <w:r w:rsidR="00835753" w:rsidRPr="00835753">
              <w:t>prz</w:t>
            </w:r>
            <w:r w:rsidRPr="00835753">
              <w:t>ypadku danych dotyczących ekspozycji, których dotyczy niewykonanie zobowiązania, zgodnie</w:t>
            </w:r>
            <w:r w:rsidR="00835753" w:rsidRPr="00835753">
              <w:t xml:space="preserve"> z</w:t>
            </w:r>
            <w:r w:rsidR="00835753">
              <w:t> </w:t>
            </w:r>
            <w:r w:rsidR="00835753" w:rsidRPr="00835753">
              <w:t>art</w:t>
            </w:r>
            <w:r w:rsidRPr="00835753">
              <w:t>.</w:t>
            </w:r>
            <w:r w:rsidR="00835753" w:rsidRPr="00835753">
              <w:t> </w:t>
            </w:r>
            <w:r w:rsidRPr="00835753">
              <w:t>178 CRR stosuje się dalszy podział według ewentualnych definicji kategorii ekspozycji, których dotyczy niewykonanie zobowiązania, dołącza się opis zawierający wyjaśnienie definicji</w:t>
            </w:r>
            <w:r w:rsidR="00835753" w:rsidRPr="00835753">
              <w:t xml:space="preserve"> i</w:t>
            </w:r>
            <w:r w:rsidR="00835753">
              <w:t> </w:t>
            </w:r>
            <w:r w:rsidR="00835753" w:rsidRPr="00835753">
              <w:t>kwo</w:t>
            </w:r>
            <w:r w:rsidRPr="00835753">
              <w:t>t</w:t>
            </w:r>
            <w:r w:rsidR="00835753" w:rsidRPr="00835753">
              <w:t xml:space="preserve"> w</w:t>
            </w:r>
            <w:r w:rsidR="00835753">
              <w:t> </w:t>
            </w:r>
            <w:r w:rsidR="00835753" w:rsidRPr="00835753">
              <w:t>odn</w:t>
            </w:r>
            <w:r w:rsidRPr="00835753">
              <w:t>iesieniu do kategorii ekspozycji, których dotyczy niewykonanie zobowiązania.</w:t>
            </w:r>
          </w:p>
          <w:p w14:paraId="6FA3CD0F" w14:textId="476315FF" w:rsidR="000646F8" w:rsidRPr="00835753" w:rsidRDefault="000646F8" w:rsidP="00155C96">
            <w:pPr>
              <w:pStyle w:val="Fait"/>
              <w:spacing w:before="0" w:after="120"/>
            </w:pPr>
            <w:r w:rsidRPr="00835753">
              <w:t>Ekspozycje przypisuje się do odpowiedniego koszyka</w:t>
            </w:r>
            <w:r w:rsidR="00835753" w:rsidRPr="00835753">
              <w:t xml:space="preserve"> o</w:t>
            </w:r>
            <w:r w:rsidR="00835753">
              <w:t> </w:t>
            </w:r>
            <w:r w:rsidR="00835753" w:rsidRPr="00835753">
              <w:t>sta</w:t>
            </w:r>
            <w:r w:rsidRPr="00835753">
              <w:t>łym zakresie wartości PD na podstawie wartości PD oszacowanej dla każdego dłużnika przyporządkowanego do danej kategorii ekspozycji (bez uwzględniania jakichkolwiek efektów subsytucyjnych wynikających</w:t>
            </w:r>
            <w:r w:rsidR="00835753" w:rsidRPr="00835753">
              <w:t xml:space="preserve"> z</w:t>
            </w:r>
            <w:r w:rsidR="00835753">
              <w:t> </w:t>
            </w:r>
            <w:r w:rsidR="00835753" w:rsidRPr="00835753">
              <w:t>ogr</w:t>
            </w:r>
            <w:r w:rsidRPr="00835753">
              <w:t>aniczenia ryzyka kredytowego). Wszystkie ekspozycje, których dotyczy niewykonanie zobowiązania, ujmuje się</w:t>
            </w:r>
            <w:r w:rsidR="00835753" w:rsidRPr="00835753">
              <w:t xml:space="preserve"> w</w:t>
            </w:r>
            <w:r w:rsidR="00835753">
              <w:t> </w:t>
            </w:r>
            <w:r w:rsidR="00835753" w:rsidRPr="00835753">
              <w:t>kos</w:t>
            </w:r>
            <w:r w:rsidRPr="00835753">
              <w:t>zyku odpowiadającym PD</w:t>
            </w:r>
            <w:r w:rsidR="00835753" w:rsidRPr="00835753">
              <w:t xml:space="preserve"> w</w:t>
            </w:r>
            <w:r w:rsidR="00835753">
              <w:t> </w:t>
            </w:r>
            <w:r w:rsidR="00835753" w:rsidRPr="00835753">
              <w:t>wys</w:t>
            </w:r>
            <w:r w:rsidRPr="00835753">
              <w:t>okości 100</w:t>
            </w:r>
            <w:r w:rsidR="00835753" w:rsidRPr="00835753">
              <w:t> </w:t>
            </w:r>
            <w:r w:rsidRPr="00835753">
              <w:t>%.</w:t>
            </w:r>
          </w:p>
        </w:tc>
      </w:tr>
      <w:tr w:rsidR="000646F8" w:rsidRPr="00835753" w14:paraId="15394B7C" w14:textId="77777777" w:rsidTr="00155C96">
        <w:trPr>
          <w:trHeight w:val="1320"/>
        </w:trPr>
        <w:tc>
          <w:tcPr>
            <w:tcW w:w="1555" w:type="dxa"/>
          </w:tcPr>
          <w:p w14:paraId="37A36298" w14:textId="77777777" w:rsidR="000646F8" w:rsidRPr="00835753" w:rsidRDefault="000646F8" w:rsidP="00155C96">
            <w:pPr>
              <w:pStyle w:val="Applicationdirecte"/>
              <w:spacing w:before="0"/>
            </w:pPr>
            <w:proofErr w:type="gramStart"/>
            <w:r w:rsidRPr="00835753">
              <w:t>b</w:t>
            </w:r>
            <w:proofErr w:type="gramEnd"/>
            <w:r w:rsidRPr="00835753">
              <w:t>)</w:t>
            </w:r>
          </w:p>
          <w:p w14:paraId="120A355E" w14:textId="77777777" w:rsidR="000646F8" w:rsidRPr="00835753" w:rsidRDefault="000646F8" w:rsidP="00155C96">
            <w:pPr>
              <w:pStyle w:val="Applicationdirecte"/>
              <w:spacing w:before="0"/>
              <w:rPr>
                <w:highlight w:val="yellow"/>
              </w:rPr>
            </w:pPr>
          </w:p>
        </w:tc>
        <w:tc>
          <w:tcPr>
            <w:tcW w:w="7483" w:type="dxa"/>
          </w:tcPr>
          <w:p w14:paraId="2CAE09F4" w14:textId="0915112F" w:rsidR="000646F8" w:rsidRPr="00835753" w:rsidRDefault="000646F8" w:rsidP="00155C96">
            <w:pPr>
              <w:pStyle w:val="Fait"/>
              <w:spacing w:before="0" w:after="120"/>
              <w:rPr>
                <w:b/>
              </w:rPr>
            </w:pPr>
            <w:r w:rsidRPr="00835753">
              <w:rPr>
                <w:b/>
              </w:rPr>
              <w:t>Ekspozycje bilansowe</w:t>
            </w:r>
          </w:p>
          <w:p w14:paraId="2BC08EF6" w14:textId="631BCA29" w:rsidR="000646F8" w:rsidRPr="00835753" w:rsidRDefault="000646F8" w:rsidP="00155C96">
            <w:pPr>
              <w:pStyle w:val="Fait"/>
              <w:spacing w:before="0" w:after="120"/>
            </w:pPr>
            <w:r w:rsidRPr="00835753">
              <w:t>Wartość ekspozycji obliczana zgodnie</w:t>
            </w:r>
            <w:r w:rsidR="00835753" w:rsidRPr="00835753">
              <w:t xml:space="preserve"> z</w:t>
            </w:r>
            <w:r w:rsidR="00835753">
              <w:t> </w:t>
            </w:r>
            <w:r w:rsidR="00835753" w:rsidRPr="00835753">
              <w:t>art</w:t>
            </w:r>
            <w:r w:rsidRPr="00835753">
              <w:t>.</w:t>
            </w:r>
            <w:r w:rsidR="00835753" w:rsidRPr="00835753">
              <w:t> </w:t>
            </w:r>
            <w:r w:rsidRPr="00835753">
              <w:t>166 ust.</w:t>
            </w:r>
            <w:r w:rsidR="00835753" w:rsidRPr="00835753">
              <w:t> </w:t>
            </w:r>
            <w:r w:rsidRPr="00835753">
              <w:t>1–7 CRR bez uwzględniania jakichkolwiek korekt</w:t>
            </w:r>
            <w:r w:rsidR="00835753" w:rsidRPr="00835753">
              <w:t xml:space="preserve"> z</w:t>
            </w:r>
            <w:r w:rsidR="00835753">
              <w:t> </w:t>
            </w:r>
            <w:r w:rsidR="00835753" w:rsidRPr="00835753">
              <w:t>tyt</w:t>
            </w:r>
            <w:r w:rsidRPr="00835753">
              <w:t>ułu ryzyka kredytowego</w:t>
            </w:r>
            <w:r w:rsidR="00835753" w:rsidRPr="00835753">
              <w:t xml:space="preserve"> i</w:t>
            </w:r>
            <w:r w:rsidR="00835753">
              <w:t> </w:t>
            </w:r>
            <w:r w:rsidR="00835753" w:rsidRPr="00835753">
              <w:t>jak</w:t>
            </w:r>
            <w:r w:rsidRPr="00835753">
              <w:t>ichkolwiek współczynników konwersji</w:t>
            </w:r>
          </w:p>
        </w:tc>
      </w:tr>
      <w:tr w:rsidR="000646F8" w:rsidRPr="00835753" w14:paraId="05F1583A" w14:textId="77777777" w:rsidTr="00155C96">
        <w:trPr>
          <w:trHeight w:val="316"/>
        </w:trPr>
        <w:tc>
          <w:tcPr>
            <w:tcW w:w="1555" w:type="dxa"/>
          </w:tcPr>
          <w:p w14:paraId="52119EE6" w14:textId="77777777" w:rsidR="000646F8" w:rsidRPr="00835753" w:rsidRDefault="000646F8" w:rsidP="00155C96">
            <w:pPr>
              <w:autoSpaceDE w:val="0"/>
              <w:autoSpaceDN w:val="0"/>
              <w:adjustRightInd w:val="0"/>
              <w:spacing w:after="120"/>
              <w:rPr>
                <w:rFonts w:ascii="Times New Roman" w:hAnsi="Times New Roman" w:cs="Times New Roman"/>
                <w:color w:val="000000"/>
                <w:sz w:val="24"/>
                <w:highlight w:val="yellow"/>
              </w:rPr>
            </w:pPr>
            <w:proofErr w:type="gramStart"/>
            <w:r w:rsidRPr="00835753">
              <w:rPr>
                <w:rFonts w:ascii="Times New Roman" w:hAnsi="Times New Roman"/>
                <w:sz w:val="24"/>
              </w:rPr>
              <w:t>c</w:t>
            </w:r>
            <w:proofErr w:type="gramEnd"/>
            <w:r w:rsidRPr="00835753">
              <w:rPr>
                <w:rFonts w:ascii="Times New Roman" w:hAnsi="Times New Roman"/>
                <w:sz w:val="24"/>
              </w:rPr>
              <w:t>)</w:t>
            </w:r>
          </w:p>
        </w:tc>
        <w:tc>
          <w:tcPr>
            <w:tcW w:w="7483" w:type="dxa"/>
          </w:tcPr>
          <w:p w14:paraId="0909C901" w14:textId="13D3608F" w:rsidR="000646F8" w:rsidRPr="00835753" w:rsidRDefault="000646F8"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Ekspozycje pozabilansowe przed uwzględnieniem współczynników konwersji</w:t>
            </w:r>
          </w:p>
          <w:p w14:paraId="5770F0F8" w14:textId="73F0F96E"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Wartość ekspozycji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166 ust.</w:t>
            </w:r>
            <w:r w:rsidR="00835753" w:rsidRPr="00835753">
              <w:rPr>
                <w:rFonts w:ascii="Times New Roman" w:hAnsi="Times New Roman"/>
                <w:sz w:val="24"/>
              </w:rPr>
              <w:t> </w:t>
            </w:r>
            <w:r w:rsidRPr="00835753">
              <w:rPr>
                <w:rFonts w:ascii="Times New Roman" w:hAnsi="Times New Roman"/>
                <w:sz w:val="24"/>
              </w:rPr>
              <w:t>1–7 CRR bez uwzględniania jakichkolwiek korekt</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kredytowego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ichkolwiek współczynników konwersji, ani oszacowań własnych, ani współczynników konwersji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166 ust.</w:t>
            </w:r>
            <w:r w:rsidR="00835753" w:rsidRPr="00835753">
              <w:rPr>
                <w:rFonts w:ascii="Times New Roman" w:hAnsi="Times New Roman"/>
                <w:sz w:val="24"/>
              </w:rPr>
              <w:t> </w:t>
            </w:r>
            <w:r w:rsidRPr="00835753">
              <w:rPr>
                <w:rFonts w:ascii="Times New Roman" w:hAnsi="Times New Roman"/>
                <w:sz w:val="24"/>
              </w:rPr>
              <w:t>8 CRR, ani też odsetek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166 ust.</w:t>
            </w:r>
            <w:r w:rsidR="00835753" w:rsidRPr="00835753">
              <w:rPr>
                <w:rFonts w:ascii="Times New Roman" w:hAnsi="Times New Roman"/>
                <w:sz w:val="24"/>
              </w:rPr>
              <w:t> </w:t>
            </w:r>
            <w:r w:rsidRPr="00835753">
              <w:rPr>
                <w:rFonts w:ascii="Times New Roman" w:hAnsi="Times New Roman"/>
                <w:sz w:val="24"/>
              </w:rPr>
              <w:t>10 CRR</w:t>
            </w:r>
          </w:p>
          <w:p w14:paraId="22D9507C" w14:textId="6824E7B3" w:rsidR="000646F8" w:rsidRPr="00835753" w:rsidRDefault="000646F8" w:rsidP="00155C96">
            <w:pPr>
              <w:autoSpaceDE w:val="0"/>
              <w:autoSpaceDN w:val="0"/>
              <w:adjustRightInd w:val="0"/>
              <w:spacing w:after="120"/>
              <w:jc w:val="both"/>
              <w:rPr>
                <w:rFonts w:ascii="Times New Roman" w:hAnsi="Times New Roman" w:cs="Times New Roman"/>
                <w:sz w:val="24"/>
                <w:highlight w:val="yellow"/>
              </w:rPr>
            </w:pPr>
            <w:r w:rsidRPr="00835753">
              <w:rPr>
                <w:rFonts w:ascii="Times New Roman" w:hAnsi="Times New Roman"/>
                <w:sz w:val="24"/>
              </w:rPr>
              <w:t>Ekspozycje pozabilansowe obejmują wszystkie zaangażowane, lecz niewykorzystane kwoty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wsz</w:t>
            </w:r>
            <w:r w:rsidRPr="00835753">
              <w:rPr>
                <w:rFonts w:ascii="Times New Roman" w:hAnsi="Times New Roman"/>
                <w:sz w:val="24"/>
              </w:rPr>
              <w:t>ystkie pozycje pozabilansowe wymienione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I do CRR.</w:t>
            </w:r>
          </w:p>
        </w:tc>
      </w:tr>
      <w:tr w:rsidR="000646F8" w:rsidRPr="00835753" w14:paraId="5E38209E" w14:textId="77777777" w:rsidTr="00155C96">
        <w:trPr>
          <w:trHeight w:val="316"/>
        </w:trPr>
        <w:tc>
          <w:tcPr>
            <w:tcW w:w="1555" w:type="dxa"/>
          </w:tcPr>
          <w:p w14:paraId="16D25EDF"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highlight w:val="yellow"/>
              </w:rPr>
            </w:pPr>
            <w:proofErr w:type="gramStart"/>
            <w:r w:rsidRPr="00835753">
              <w:rPr>
                <w:rFonts w:ascii="Times New Roman" w:hAnsi="Times New Roman"/>
                <w:sz w:val="24"/>
              </w:rPr>
              <w:t>d</w:t>
            </w:r>
            <w:proofErr w:type="gramEnd"/>
            <w:r w:rsidRPr="00835753">
              <w:rPr>
                <w:rFonts w:ascii="Times New Roman" w:hAnsi="Times New Roman"/>
                <w:sz w:val="24"/>
              </w:rPr>
              <w:t>)</w:t>
            </w:r>
          </w:p>
        </w:tc>
        <w:tc>
          <w:tcPr>
            <w:tcW w:w="7483" w:type="dxa"/>
          </w:tcPr>
          <w:p w14:paraId="1F8E5486" w14:textId="42D232D4" w:rsidR="000646F8" w:rsidRPr="00835753" w:rsidRDefault="000646F8"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Średni współczynnik konwersji kredytowej ważony ekspozycją</w:t>
            </w:r>
          </w:p>
          <w:p w14:paraId="324D6568" w14:textId="3E5BDF57" w:rsidR="000646F8" w:rsidRPr="00835753" w:rsidRDefault="000646F8" w:rsidP="00155C96">
            <w:pPr>
              <w:autoSpaceDE w:val="0"/>
              <w:autoSpaceDN w:val="0"/>
              <w:adjustRightInd w:val="0"/>
              <w:spacing w:after="120"/>
              <w:jc w:val="both"/>
              <w:rPr>
                <w:rFonts w:ascii="Times New Roman" w:hAnsi="Times New Roman" w:cs="Times New Roman"/>
                <w:sz w:val="24"/>
                <w:highlight w:val="yellow"/>
              </w:rPr>
            </w:pPr>
            <w:r w:rsidRPr="00835753">
              <w:rPr>
                <w:rFonts w:ascii="Times New Roman" w:hAnsi="Times New Roman"/>
                <w:sz w:val="24"/>
              </w:rPr>
              <w:t>W odniesieniu do wszystkich ekspozycji uwzględnionych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każ</w:t>
            </w:r>
            <w:r w:rsidRPr="00835753">
              <w:rPr>
                <w:rFonts w:ascii="Times New Roman" w:hAnsi="Times New Roman"/>
                <w:sz w:val="24"/>
              </w:rPr>
              <w:t>dym koszyku</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sta</w:t>
            </w:r>
            <w:r w:rsidRPr="00835753">
              <w:rPr>
                <w:rFonts w:ascii="Times New Roman" w:hAnsi="Times New Roman"/>
                <w:sz w:val="24"/>
              </w:rPr>
              <w:t xml:space="preserve">łym zakresie wartości PD średni współczynnik konwersji stosowany przez instytucje przy obliczaniu kwot ekspozycji ważonych </w:t>
            </w:r>
            <w:r w:rsidRPr="00835753">
              <w:rPr>
                <w:rFonts w:ascii="Times New Roman" w:hAnsi="Times New Roman"/>
                <w:sz w:val="24"/>
              </w:rPr>
              <w:lastRenderedPageBreak/>
              <w:t>ryzykiem, ważony ekspozycją pozabilansową przed uwzględnieniem współczynnika konwersji kredytowej zgłaszaną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c) niniejszego wzoru</w:t>
            </w:r>
          </w:p>
        </w:tc>
      </w:tr>
      <w:tr w:rsidR="000646F8" w:rsidRPr="00835753" w14:paraId="5A58EC34" w14:textId="77777777" w:rsidTr="00155C96">
        <w:trPr>
          <w:trHeight w:val="316"/>
        </w:trPr>
        <w:tc>
          <w:tcPr>
            <w:tcW w:w="1555" w:type="dxa"/>
          </w:tcPr>
          <w:p w14:paraId="2A48456F"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highlight w:val="yellow"/>
              </w:rPr>
            </w:pPr>
            <w:proofErr w:type="gramStart"/>
            <w:r w:rsidRPr="00835753">
              <w:rPr>
                <w:rFonts w:ascii="Times New Roman" w:hAnsi="Times New Roman"/>
                <w:sz w:val="24"/>
              </w:rPr>
              <w:lastRenderedPageBreak/>
              <w:t>e</w:t>
            </w:r>
            <w:proofErr w:type="gramEnd"/>
            <w:r w:rsidRPr="00835753">
              <w:rPr>
                <w:rFonts w:ascii="Times New Roman" w:hAnsi="Times New Roman"/>
                <w:sz w:val="24"/>
              </w:rPr>
              <w:t>)</w:t>
            </w:r>
          </w:p>
        </w:tc>
        <w:tc>
          <w:tcPr>
            <w:tcW w:w="7483" w:type="dxa"/>
          </w:tcPr>
          <w:p w14:paraId="319C8CB7" w14:textId="0CD9DAC0" w:rsidR="000646F8" w:rsidRPr="00835753" w:rsidRDefault="000646F8" w:rsidP="00155C96">
            <w:pPr>
              <w:autoSpaceDE w:val="0"/>
              <w:autoSpaceDN w:val="0"/>
              <w:adjustRightInd w:val="0"/>
              <w:spacing w:after="120"/>
              <w:rPr>
                <w:rFonts w:ascii="Times New Roman" w:eastAsia="Times New Roman" w:hAnsi="Times New Roman" w:cs="Times New Roman"/>
                <w:b/>
                <w:sz w:val="24"/>
              </w:rPr>
            </w:pPr>
            <w:r w:rsidRPr="00835753">
              <w:rPr>
                <w:rFonts w:ascii="Times New Roman" w:hAnsi="Times New Roman"/>
                <w:b/>
                <w:sz w:val="24"/>
              </w:rPr>
              <w:t>Ekspozycje po zastosowaniu współczynnika konwersji kredytowej</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tec</w:t>
            </w:r>
            <w:r w:rsidRPr="00835753">
              <w:rPr>
                <w:rFonts w:ascii="Times New Roman" w:hAnsi="Times New Roman"/>
                <w:b/>
                <w:sz w:val="24"/>
              </w:rPr>
              <w:t>hnik ograniczania ryzyka kredytowego</w:t>
            </w:r>
          </w:p>
          <w:p w14:paraId="5DCF16B4" w14:textId="2D227A1A" w:rsidR="000646F8" w:rsidRPr="00835753" w:rsidRDefault="000646F8" w:rsidP="00155C96">
            <w:pPr>
              <w:autoSpaceDE w:val="0"/>
              <w:autoSpaceDN w:val="0"/>
              <w:adjustRightInd w:val="0"/>
              <w:spacing w:after="120"/>
              <w:rPr>
                <w:rFonts w:ascii="Times New Roman" w:hAnsi="Times New Roman" w:cs="Times New Roman"/>
                <w:sz w:val="24"/>
              </w:rPr>
            </w:pPr>
            <w:r w:rsidRPr="00835753">
              <w:rPr>
                <w:rFonts w:ascii="Times New Roman" w:hAnsi="Times New Roman"/>
                <w:sz w:val="24"/>
              </w:rPr>
              <w:t>Wartość ekspozycji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 xml:space="preserve">166 CRR </w:t>
            </w:r>
          </w:p>
          <w:p w14:paraId="6CA6E981" w14:textId="4970BEAB" w:rsidR="000646F8" w:rsidRPr="00835753" w:rsidRDefault="000646F8" w:rsidP="00155C96">
            <w:pPr>
              <w:autoSpaceDE w:val="0"/>
              <w:autoSpaceDN w:val="0"/>
              <w:adjustRightInd w:val="0"/>
              <w:spacing w:after="120"/>
              <w:rPr>
                <w:rFonts w:ascii="Times New Roman" w:hAnsi="Times New Roman" w:cs="Times New Roman"/>
                <w:sz w:val="24"/>
                <w:highlight w:val="yellow"/>
              </w:rPr>
            </w:pPr>
            <w:r w:rsidRPr="00835753">
              <w:rPr>
                <w:rFonts w:ascii="Times New Roman" w:hAnsi="Times New Roman"/>
                <w:sz w:val="24"/>
              </w:rPr>
              <w:t>Kolumna ta zawiera sumę wartości ekspozycji bilansowych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tości ekspozycji pozabilansowych po uwzględnieniu współczynników konwersji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tości procentowych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166 ust.</w:t>
            </w:r>
            <w:r w:rsidR="00835753" w:rsidRPr="00835753">
              <w:rPr>
                <w:rFonts w:ascii="Times New Roman" w:hAnsi="Times New Roman"/>
                <w:sz w:val="24"/>
              </w:rPr>
              <w:t> </w:t>
            </w:r>
            <w:r w:rsidRPr="00835753">
              <w:rPr>
                <w:rFonts w:ascii="Times New Roman" w:hAnsi="Times New Roman"/>
                <w:sz w:val="24"/>
              </w:rPr>
              <w:t>8–10 CRR.</w:t>
            </w:r>
          </w:p>
        </w:tc>
      </w:tr>
      <w:tr w:rsidR="000646F8" w:rsidRPr="00835753" w14:paraId="4E924AB8" w14:textId="77777777" w:rsidTr="00155C96">
        <w:trPr>
          <w:trHeight w:val="695"/>
        </w:trPr>
        <w:tc>
          <w:tcPr>
            <w:tcW w:w="1555" w:type="dxa"/>
          </w:tcPr>
          <w:p w14:paraId="206A67ED"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highlight w:val="yellow"/>
              </w:rPr>
            </w:pPr>
            <w:proofErr w:type="gramStart"/>
            <w:r w:rsidRPr="00835753">
              <w:rPr>
                <w:rFonts w:ascii="Times New Roman" w:hAnsi="Times New Roman"/>
                <w:sz w:val="24"/>
              </w:rPr>
              <w:t>f</w:t>
            </w:r>
            <w:proofErr w:type="gramEnd"/>
            <w:r w:rsidRPr="00835753">
              <w:rPr>
                <w:rFonts w:ascii="Times New Roman" w:hAnsi="Times New Roman"/>
                <w:sz w:val="24"/>
              </w:rPr>
              <w:t>)</w:t>
            </w:r>
          </w:p>
        </w:tc>
        <w:tc>
          <w:tcPr>
            <w:tcW w:w="7483" w:type="dxa"/>
          </w:tcPr>
          <w:p w14:paraId="2D21AB31" w14:textId="370CC9A2" w:rsidR="000646F8" w:rsidRPr="00835753" w:rsidRDefault="000646F8"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Średnia wartość PD ważona ekspozycją (%)</w:t>
            </w:r>
          </w:p>
          <w:p w14:paraId="7FB14433" w14:textId="24359095" w:rsidR="000646F8" w:rsidRPr="00835753" w:rsidRDefault="000646F8" w:rsidP="00155C96">
            <w:pPr>
              <w:autoSpaceDE w:val="0"/>
              <w:autoSpaceDN w:val="0"/>
              <w:adjustRightInd w:val="0"/>
              <w:spacing w:after="120"/>
              <w:jc w:val="both"/>
              <w:rPr>
                <w:rFonts w:ascii="Times New Roman" w:hAnsi="Times New Roman" w:cs="Times New Roman"/>
                <w:sz w:val="24"/>
                <w:highlight w:val="yellow"/>
              </w:rPr>
            </w:pPr>
            <w:r w:rsidRPr="00835753">
              <w:rPr>
                <w:rFonts w:ascii="Times New Roman" w:hAnsi="Times New Roman"/>
                <w:sz w:val="24"/>
              </w:rPr>
              <w:t>W odniesieniu do wszystkich ekspozycji uwzględnionych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każ</w:t>
            </w:r>
            <w:r w:rsidRPr="00835753">
              <w:rPr>
                <w:rFonts w:ascii="Times New Roman" w:hAnsi="Times New Roman"/>
                <w:sz w:val="24"/>
              </w:rPr>
              <w:t>dym koszyku</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sta</w:t>
            </w:r>
            <w:r w:rsidRPr="00835753">
              <w:rPr>
                <w:rFonts w:ascii="Times New Roman" w:hAnsi="Times New Roman"/>
                <w:sz w:val="24"/>
              </w:rPr>
              <w:t>łym zakresie wartości PD średnie oszacowanie wartości PD dla każdego dłużnika, ważone wartością ekspozycji po zastosowaniu współczynnika konwersji kredytowej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ogr</w:t>
            </w:r>
            <w:r w:rsidRPr="00835753">
              <w:rPr>
                <w:rFonts w:ascii="Times New Roman" w:hAnsi="Times New Roman"/>
                <w:sz w:val="24"/>
              </w:rPr>
              <w:t>aniczeniu ryzyka kredytowego określoną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e) niniejszego wzoru</w:t>
            </w:r>
          </w:p>
        </w:tc>
      </w:tr>
      <w:tr w:rsidR="000646F8" w:rsidRPr="00835753" w14:paraId="7B688E9E" w14:textId="77777777" w:rsidTr="00155C96">
        <w:trPr>
          <w:trHeight w:val="316"/>
        </w:trPr>
        <w:tc>
          <w:tcPr>
            <w:tcW w:w="1555" w:type="dxa"/>
          </w:tcPr>
          <w:p w14:paraId="5D4947CA"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highlight w:val="yellow"/>
              </w:rPr>
            </w:pPr>
            <w:proofErr w:type="gramStart"/>
            <w:r w:rsidRPr="00835753">
              <w:rPr>
                <w:rFonts w:ascii="Times New Roman" w:hAnsi="Times New Roman"/>
                <w:sz w:val="24"/>
              </w:rPr>
              <w:t>g</w:t>
            </w:r>
            <w:proofErr w:type="gramEnd"/>
            <w:r w:rsidRPr="00835753">
              <w:rPr>
                <w:rFonts w:ascii="Times New Roman" w:hAnsi="Times New Roman"/>
                <w:sz w:val="24"/>
              </w:rPr>
              <w:t>)</w:t>
            </w:r>
          </w:p>
        </w:tc>
        <w:tc>
          <w:tcPr>
            <w:tcW w:w="7483" w:type="dxa"/>
          </w:tcPr>
          <w:p w14:paraId="5F53ED24" w14:textId="2E8B0E64" w:rsidR="000646F8" w:rsidRPr="00835753" w:rsidRDefault="004B15A9" w:rsidP="00155C96">
            <w:pPr>
              <w:autoSpaceDE w:val="0"/>
              <w:autoSpaceDN w:val="0"/>
              <w:adjustRightInd w:val="0"/>
              <w:spacing w:after="120"/>
              <w:rPr>
                <w:rFonts w:ascii="Times New Roman" w:eastAsia="Times New Roman" w:hAnsi="Times New Roman" w:cs="Times New Roman"/>
                <w:b/>
                <w:sz w:val="24"/>
              </w:rPr>
            </w:pPr>
            <w:r w:rsidRPr="00835753">
              <w:rPr>
                <w:rFonts w:ascii="Times New Roman" w:hAnsi="Times New Roman"/>
                <w:b/>
                <w:sz w:val="24"/>
              </w:rPr>
              <w:t>Liczba dłużników</w:t>
            </w:r>
          </w:p>
          <w:p w14:paraId="31BD7956" w14:textId="47B22906"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Liczba podmiotów prawnych lub dłużników przypisanych do każdego koszyka</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sta</w:t>
            </w:r>
            <w:r w:rsidRPr="00835753">
              <w:rPr>
                <w:rFonts w:ascii="Times New Roman" w:hAnsi="Times New Roman"/>
                <w:sz w:val="24"/>
              </w:rPr>
              <w:t>łym zakresie wartości PD, które oceniono oddzielnie, niezależnie od liczby różnych przyznanych pożyczek lub ekspozycji</w:t>
            </w:r>
          </w:p>
          <w:p w14:paraId="4CE4AA5D" w14:textId="56C27C5C" w:rsidR="000646F8" w:rsidRPr="00835753" w:rsidRDefault="000646F8" w:rsidP="00155C96">
            <w:pPr>
              <w:spacing w:after="120"/>
              <w:jc w:val="both"/>
              <w:rPr>
                <w:rFonts w:ascii="Times New Roman" w:hAnsi="Times New Roman" w:cs="Times New Roman"/>
                <w:b/>
                <w:sz w:val="24"/>
                <w:highlight w:val="yellow"/>
              </w:rPr>
            </w:pPr>
            <w:r w:rsidRPr="00835753">
              <w:rPr>
                <w:rFonts w:ascii="Times New Roman" w:hAnsi="Times New Roman"/>
                <w:sz w:val="24"/>
              </w:rPr>
              <w:t>Dłużników solidarnych traktuje się tak samo jak</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kalibracji PD. Jeżeli różne ekspozycje wobec tego samego dłużnika ocenia się oddzielnie, należy je liczyć oddzielnie. Taka sytuacja może mieć miejsce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kat</w:t>
            </w:r>
            <w:r w:rsidRPr="00835753">
              <w:rPr>
                <w:rFonts w:ascii="Times New Roman" w:hAnsi="Times New Roman"/>
                <w:sz w:val="24"/>
              </w:rPr>
              <w:t>egorii ekspozycji detalicznych, jeżeli definicję niewykonania zobowiązania stosuje się na poziomie poszczególnych instrumentów kredytowych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178 ust.</w:t>
            </w:r>
            <w:r w:rsidR="00835753" w:rsidRPr="00835753">
              <w:rPr>
                <w:rFonts w:ascii="Times New Roman" w:hAnsi="Times New Roman"/>
                <w:sz w:val="24"/>
              </w:rPr>
              <w:t> </w:t>
            </w:r>
            <w:r w:rsidRPr="00835753">
              <w:rPr>
                <w:rFonts w:ascii="Times New Roman" w:hAnsi="Times New Roman"/>
                <w:sz w:val="24"/>
              </w:rPr>
              <w:t>1 zdanie ostatnie CRR lub jeżeli odrębne ekspozycje wobec tego samego dłużnika są przypisane do różnych klas jakości dłużników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172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e) zdanie drugie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inn</w:t>
            </w:r>
            <w:r w:rsidRPr="00835753">
              <w:rPr>
                <w:rFonts w:ascii="Times New Roman" w:hAnsi="Times New Roman"/>
                <w:sz w:val="24"/>
              </w:rPr>
              <w:t>ych kategoriach ekspozycji.</w:t>
            </w:r>
          </w:p>
        </w:tc>
      </w:tr>
      <w:tr w:rsidR="000646F8" w:rsidRPr="00835753" w14:paraId="01C6B3D8" w14:textId="77777777" w:rsidTr="00155C96">
        <w:trPr>
          <w:trHeight w:val="695"/>
        </w:trPr>
        <w:tc>
          <w:tcPr>
            <w:tcW w:w="1555" w:type="dxa"/>
          </w:tcPr>
          <w:p w14:paraId="7534459F"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highlight w:val="yellow"/>
              </w:rPr>
            </w:pPr>
            <w:proofErr w:type="gramStart"/>
            <w:r w:rsidRPr="00835753">
              <w:rPr>
                <w:rFonts w:ascii="Times New Roman" w:hAnsi="Times New Roman"/>
                <w:sz w:val="24"/>
              </w:rPr>
              <w:t>h</w:t>
            </w:r>
            <w:proofErr w:type="gramEnd"/>
            <w:r w:rsidRPr="00835753">
              <w:rPr>
                <w:rFonts w:ascii="Times New Roman" w:hAnsi="Times New Roman"/>
                <w:sz w:val="24"/>
              </w:rPr>
              <w:t>)</w:t>
            </w:r>
          </w:p>
        </w:tc>
        <w:tc>
          <w:tcPr>
            <w:tcW w:w="7483" w:type="dxa"/>
          </w:tcPr>
          <w:p w14:paraId="715FD946" w14:textId="16C95439" w:rsidR="000646F8" w:rsidRPr="00835753" w:rsidRDefault="000646F8" w:rsidP="00155C96">
            <w:pPr>
              <w:pStyle w:val="Fait"/>
              <w:spacing w:before="0" w:after="120"/>
              <w:rPr>
                <w:b/>
              </w:rPr>
            </w:pPr>
            <w:r w:rsidRPr="00835753">
              <w:rPr>
                <w:b/>
              </w:rPr>
              <w:t>Średnia wartość LGD ważona ekspozycją (%)</w:t>
            </w:r>
          </w:p>
          <w:p w14:paraId="051F3DA8" w14:textId="4DFD2497"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 odniesieniu do wszystkich ekspozycji uwzględnionych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każ</w:t>
            </w:r>
            <w:r w:rsidRPr="00835753">
              <w:rPr>
                <w:rFonts w:ascii="Times New Roman" w:hAnsi="Times New Roman"/>
                <w:sz w:val="24"/>
              </w:rPr>
              <w:t>dym koszyku</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sta</w:t>
            </w:r>
            <w:r w:rsidRPr="00835753">
              <w:rPr>
                <w:rFonts w:ascii="Times New Roman" w:hAnsi="Times New Roman"/>
                <w:sz w:val="24"/>
              </w:rPr>
              <w:t>łym zakresie wartości PD średnie oszacowania LGD dla każdej ekspozycji, ważone wartością ekspozycji po zastosowaniu współczynnika konwersji kredytowej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ogr</w:t>
            </w:r>
            <w:r w:rsidRPr="00835753">
              <w:rPr>
                <w:rFonts w:ascii="Times New Roman" w:hAnsi="Times New Roman"/>
                <w:sz w:val="24"/>
              </w:rPr>
              <w:t>aniczeniu ryzyka kredytowego określoną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e) niniejszego wzoru</w:t>
            </w:r>
          </w:p>
          <w:p w14:paraId="1A8D06D0" w14:textId="1D8CD02F"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Ujawniona wartość LGD odpowiada ostatecznemu szacunkowi LGD wykorzystanemu do obliczenia kwot ważonych ryzykiem uzyskanych po uwzględnieniu wszelkich efektów ograniczenia ryzyka kredytowego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unków pogorszenia koniunktury,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ekspozycji detalicznych zabezpieczonych nieruchomościami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uja</w:t>
            </w:r>
            <w:r w:rsidRPr="00835753">
              <w:rPr>
                <w:rFonts w:ascii="Times New Roman" w:hAnsi="Times New Roman"/>
                <w:sz w:val="24"/>
              </w:rPr>
              <w:t>wnianej wartości LGD uwzględnia się dolne pułapy określone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164 ust.</w:t>
            </w:r>
            <w:r w:rsidR="00835753" w:rsidRPr="00835753">
              <w:rPr>
                <w:rFonts w:ascii="Times New Roman" w:hAnsi="Times New Roman"/>
                <w:sz w:val="24"/>
              </w:rPr>
              <w:t> </w:t>
            </w:r>
            <w:r w:rsidRPr="00835753">
              <w:rPr>
                <w:rFonts w:ascii="Times New Roman" w:hAnsi="Times New Roman"/>
                <w:sz w:val="24"/>
              </w:rPr>
              <w:t>4 CRR.</w:t>
            </w:r>
          </w:p>
          <w:p w14:paraId="2F4B168E" w14:textId="48B66467"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lastRenderedPageBreak/>
              <w:t>W przypadku ekspozycji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uwz</w:t>
            </w:r>
            <w:r w:rsidRPr="00835753">
              <w:rPr>
                <w:rFonts w:ascii="Times New Roman" w:hAnsi="Times New Roman"/>
                <w:sz w:val="24"/>
              </w:rPr>
              <w:t>ględnieniem ujęcia podwójnego niewykonania zobowiązania LGD, którą należy ujawnić, odpowiada LGD wybranej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161 ust.</w:t>
            </w:r>
            <w:r w:rsidR="00835753" w:rsidRPr="00835753">
              <w:rPr>
                <w:rFonts w:ascii="Times New Roman" w:hAnsi="Times New Roman"/>
                <w:sz w:val="24"/>
              </w:rPr>
              <w:t> </w:t>
            </w:r>
            <w:r w:rsidRPr="00835753">
              <w:rPr>
                <w:rFonts w:ascii="Times New Roman" w:hAnsi="Times New Roman"/>
                <w:sz w:val="24"/>
              </w:rPr>
              <w:t>4 CRR.</w:t>
            </w:r>
          </w:p>
          <w:p w14:paraId="6EAD19E1" w14:textId="31F80A3C" w:rsidR="000646F8" w:rsidRPr="00835753" w:rsidRDefault="000646F8" w:rsidP="00155C96">
            <w:pPr>
              <w:spacing w:after="120"/>
              <w:jc w:val="both"/>
              <w:rPr>
                <w:rFonts w:ascii="Times New Roman" w:hAnsi="Times New Roman" w:cs="Times New Roman"/>
                <w:sz w:val="24"/>
                <w:highlight w:val="yellow"/>
              </w:rPr>
            </w:pPr>
            <w:r w:rsidRPr="00835753">
              <w:rPr>
                <w:rFonts w:ascii="Times New Roman" w:hAnsi="Times New Roman"/>
                <w:sz w:val="24"/>
              </w:rPr>
              <w:t>W odniesieniu do ekspozycji objętych metodą A-IRB, których dotyczy niewykonanie zobowiązania, uwzględnia się przepisy określone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181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h) CRR. Ujawniona wartość LGD odpowiada szacunkowej wartości LGD, której dotyczy niewykonanie zobowiązania,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maj</w:t>
            </w:r>
            <w:r w:rsidRPr="00835753">
              <w:rPr>
                <w:rFonts w:ascii="Times New Roman" w:hAnsi="Times New Roman"/>
                <w:sz w:val="24"/>
              </w:rPr>
              <w:t>ącymi zastosowanie metodami szacowania.</w:t>
            </w:r>
          </w:p>
        </w:tc>
      </w:tr>
      <w:tr w:rsidR="000646F8" w:rsidRPr="00835753" w14:paraId="28DA65DE" w14:textId="77777777" w:rsidTr="00155C96">
        <w:trPr>
          <w:trHeight w:val="695"/>
        </w:trPr>
        <w:tc>
          <w:tcPr>
            <w:tcW w:w="1555" w:type="dxa"/>
          </w:tcPr>
          <w:p w14:paraId="3EEE168C"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rPr>
            </w:pPr>
          </w:p>
          <w:p w14:paraId="4EE3D1BA"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highlight w:val="yellow"/>
              </w:rPr>
            </w:pPr>
            <w:proofErr w:type="gramStart"/>
            <w:r w:rsidRPr="00835753">
              <w:rPr>
                <w:rFonts w:ascii="Times New Roman" w:hAnsi="Times New Roman"/>
                <w:sz w:val="24"/>
              </w:rPr>
              <w:t>i</w:t>
            </w:r>
            <w:proofErr w:type="gramEnd"/>
            <w:r w:rsidRPr="00835753">
              <w:rPr>
                <w:rFonts w:ascii="Times New Roman" w:hAnsi="Times New Roman"/>
                <w:sz w:val="24"/>
              </w:rPr>
              <w:t>)</w:t>
            </w:r>
          </w:p>
        </w:tc>
        <w:tc>
          <w:tcPr>
            <w:tcW w:w="7483" w:type="dxa"/>
          </w:tcPr>
          <w:p w14:paraId="14F1A763" w14:textId="2F788C74" w:rsidR="000646F8" w:rsidRPr="00835753" w:rsidRDefault="000646F8"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Średni termin zapadalności ważony ekspozycją (lata)</w:t>
            </w:r>
          </w:p>
          <w:p w14:paraId="15AF3A23" w14:textId="1A2C2430"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 odniesieniu do wszystkich ekspozycji uwzględnionych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każ</w:t>
            </w:r>
            <w:r w:rsidRPr="00835753">
              <w:rPr>
                <w:rFonts w:ascii="Times New Roman" w:hAnsi="Times New Roman"/>
                <w:sz w:val="24"/>
              </w:rPr>
              <w:t>dym koszyku</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sta</w:t>
            </w:r>
            <w:r w:rsidRPr="00835753">
              <w:rPr>
                <w:rFonts w:ascii="Times New Roman" w:hAnsi="Times New Roman"/>
                <w:sz w:val="24"/>
              </w:rPr>
              <w:t>łym zakresie wartości PD średni termin zapadalności każdej ekspozycji, ważony wartością ekspozycji po zastosowaniu współczynnika konwersji kredytowej określoną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e) niniejszego wzoru</w:t>
            </w:r>
          </w:p>
          <w:p w14:paraId="7E561AE4" w14:textId="7A5E286A" w:rsidR="000646F8" w:rsidRPr="00835753" w:rsidRDefault="000646F8" w:rsidP="00155C96">
            <w:pPr>
              <w:spacing w:after="120"/>
              <w:rPr>
                <w:rFonts w:ascii="Times New Roman" w:hAnsi="Times New Roman" w:cs="Times New Roman"/>
                <w:sz w:val="24"/>
              </w:rPr>
            </w:pPr>
            <w:r w:rsidRPr="00835753">
              <w:rPr>
                <w:rFonts w:ascii="Times New Roman" w:hAnsi="Times New Roman"/>
                <w:sz w:val="24"/>
              </w:rPr>
              <w:t>Ujawniona wartość terminu zapadalności odzwierciedla art.</w:t>
            </w:r>
            <w:r w:rsidR="00835753" w:rsidRPr="00835753">
              <w:rPr>
                <w:rFonts w:ascii="Times New Roman" w:hAnsi="Times New Roman"/>
                <w:sz w:val="24"/>
              </w:rPr>
              <w:t> </w:t>
            </w:r>
            <w:r w:rsidRPr="00835753">
              <w:rPr>
                <w:rFonts w:ascii="Times New Roman" w:hAnsi="Times New Roman"/>
                <w:sz w:val="24"/>
              </w:rPr>
              <w:t xml:space="preserve">162 CRR. </w:t>
            </w:r>
          </w:p>
          <w:p w14:paraId="48529649" w14:textId="2705F492" w:rsidR="000646F8" w:rsidRPr="00835753" w:rsidRDefault="000646F8" w:rsidP="00155C96">
            <w:pPr>
              <w:spacing w:after="120"/>
              <w:rPr>
                <w:rFonts w:ascii="Times New Roman" w:hAnsi="Times New Roman" w:cs="Times New Roman"/>
                <w:sz w:val="24"/>
              </w:rPr>
            </w:pPr>
            <w:r w:rsidRPr="00835753">
              <w:rPr>
                <w:rFonts w:ascii="Times New Roman" w:hAnsi="Times New Roman"/>
                <w:sz w:val="24"/>
              </w:rPr>
              <w:t>Średni termin zapadalności podaje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lat</w:t>
            </w:r>
            <w:r w:rsidRPr="00835753">
              <w:rPr>
                <w:rFonts w:ascii="Times New Roman" w:hAnsi="Times New Roman"/>
                <w:sz w:val="24"/>
              </w:rPr>
              <w:t>ach.</w:t>
            </w:r>
          </w:p>
          <w:p w14:paraId="235C594B" w14:textId="70FC37E6" w:rsidR="000646F8" w:rsidRPr="00835753" w:rsidRDefault="000646F8" w:rsidP="00155C96">
            <w:pPr>
              <w:autoSpaceDE w:val="0"/>
              <w:autoSpaceDN w:val="0"/>
              <w:adjustRightInd w:val="0"/>
              <w:spacing w:after="120"/>
              <w:jc w:val="both"/>
              <w:rPr>
                <w:rFonts w:ascii="Times New Roman" w:hAnsi="Times New Roman" w:cs="Times New Roman"/>
                <w:sz w:val="24"/>
                <w:highlight w:val="yellow"/>
              </w:rPr>
            </w:pPr>
            <w:r w:rsidRPr="00835753">
              <w:rPr>
                <w:rFonts w:ascii="Times New Roman" w:hAnsi="Times New Roman"/>
                <w:sz w:val="24"/>
              </w:rPr>
              <w:t>Dane te nie są ujawniane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 xml:space="preserve">iesieniu do wartości ekspozycji, dla których zapadalność nie jest elementem obliczeń </w:t>
            </w:r>
            <w:r w:rsidRPr="00835753">
              <w:rPr>
                <w:rStyle w:val="InstructionsTabelleText"/>
                <w:rFonts w:ascii="Times New Roman" w:hAnsi="Times New Roman"/>
                <w:sz w:val="24"/>
              </w:rPr>
              <w:t xml:space="preserve">kwot ekspozycji ważonych ryzykiem </w:t>
            </w:r>
            <w:r w:rsidRPr="00835753">
              <w:rPr>
                <w:rFonts w:ascii="Times New Roman" w:hAnsi="Times New Roman"/>
                <w:sz w:val="24"/>
              </w:rPr>
              <w:t>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3 CRR. Oznacza to, że kolumny tej nie wypełnia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kategorii ekspozycji „ekspozycje detaliczne”.</w:t>
            </w:r>
          </w:p>
        </w:tc>
      </w:tr>
      <w:tr w:rsidR="000646F8" w:rsidRPr="00835753" w14:paraId="2AC15C02" w14:textId="77777777" w:rsidTr="00155C96">
        <w:trPr>
          <w:trHeight w:val="695"/>
        </w:trPr>
        <w:tc>
          <w:tcPr>
            <w:tcW w:w="1555" w:type="dxa"/>
          </w:tcPr>
          <w:p w14:paraId="5D82C466" w14:textId="77777777" w:rsidR="000646F8" w:rsidRPr="00835753" w:rsidDel="00F079B2" w:rsidRDefault="000646F8"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j</w:t>
            </w:r>
            <w:proofErr w:type="gramEnd"/>
            <w:r w:rsidRPr="00835753">
              <w:rPr>
                <w:rFonts w:ascii="Times New Roman" w:hAnsi="Times New Roman"/>
                <w:sz w:val="24"/>
              </w:rPr>
              <w:t>)</w:t>
            </w:r>
          </w:p>
        </w:tc>
        <w:tc>
          <w:tcPr>
            <w:tcW w:w="7483" w:type="dxa"/>
          </w:tcPr>
          <w:p w14:paraId="7CB55338" w14:textId="501B7367" w:rsidR="000646F8" w:rsidRPr="00835753" w:rsidRDefault="000646F8"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Kwota ekspozycji ważonej ryzykiem po uwzględnieniu współczynników wsparcia</w:t>
            </w:r>
          </w:p>
          <w:p w14:paraId="53468733" w14:textId="2EE46DD4"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W odniesieniu do ekspozycji wobec rządów centralnych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ban</w:t>
            </w:r>
            <w:r w:rsidRPr="00835753">
              <w:rPr>
                <w:rFonts w:ascii="Times New Roman" w:hAnsi="Times New Roman"/>
                <w:sz w:val="24"/>
              </w:rPr>
              <w:t>ków centralnych oraz instytucji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edsiębiorstw – kwota ekspozycji ważonej ryzykiem obliczana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153 ust.</w:t>
            </w:r>
            <w:r w:rsidR="00835753" w:rsidRPr="00835753">
              <w:rPr>
                <w:rFonts w:ascii="Times New Roman" w:hAnsi="Times New Roman"/>
                <w:sz w:val="24"/>
              </w:rPr>
              <w:t> </w:t>
            </w:r>
            <w:r w:rsidRPr="00835753">
              <w:rPr>
                <w:rFonts w:ascii="Times New Roman" w:hAnsi="Times New Roman"/>
                <w:sz w:val="24"/>
              </w:rPr>
              <w:t>1–4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ekspozycji detalicznych – kwota ekspozycji ważonej ryzykiem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154 CRR.</w:t>
            </w:r>
          </w:p>
          <w:p w14:paraId="53BD931B" w14:textId="1AD7D3AC"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Należy wziąć pod uwagę współczynniki wsparcia MŚP oraz infrastruktury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501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5</w:t>
            </w:r>
            <w:r w:rsidRPr="00835753">
              <w:rPr>
                <w:rFonts w:ascii="Times New Roman" w:hAnsi="Times New Roman"/>
                <w:sz w:val="24"/>
              </w:rPr>
              <w:t xml:space="preserve">01a CRR. </w:t>
            </w:r>
          </w:p>
        </w:tc>
      </w:tr>
      <w:tr w:rsidR="000646F8" w:rsidRPr="00835753" w14:paraId="148722DE" w14:textId="77777777" w:rsidTr="00155C96">
        <w:trPr>
          <w:trHeight w:val="695"/>
        </w:trPr>
        <w:tc>
          <w:tcPr>
            <w:tcW w:w="1555" w:type="dxa"/>
          </w:tcPr>
          <w:p w14:paraId="56F39377"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highlight w:val="yellow"/>
              </w:rPr>
            </w:pPr>
            <w:proofErr w:type="gramStart"/>
            <w:r w:rsidRPr="00835753">
              <w:rPr>
                <w:rFonts w:ascii="Times New Roman" w:hAnsi="Times New Roman"/>
                <w:sz w:val="24"/>
              </w:rPr>
              <w:t>k</w:t>
            </w:r>
            <w:proofErr w:type="gramEnd"/>
            <w:r w:rsidRPr="00835753">
              <w:rPr>
                <w:rFonts w:ascii="Times New Roman" w:hAnsi="Times New Roman"/>
                <w:sz w:val="24"/>
              </w:rPr>
              <w:t>)</w:t>
            </w:r>
          </w:p>
        </w:tc>
        <w:tc>
          <w:tcPr>
            <w:tcW w:w="7483" w:type="dxa"/>
          </w:tcPr>
          <w:p w14:paraId="596D14CB" w14:textId="38D0B3C8"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b/>
                <w:sz w:val="24"/>
              </w:rPr>
              <w:t>Zagęszczenie kwot ekspozycji ważonych ryzykiem</w:t>
            </w:r>
          </w:p>
          <w:p w14:paraId="48C3A469" w14:textId="45C20F71" w:rsidR="000646F8" w:rsidRPr="00835753" w:rsidRDefault="000646F8" w:rsidP="00155C96">
            <w:pPr>
              <w:autoSpaceDE w:val="0"/>
              <w:autoSpaceDN w:val="0"/>
              <w:adjustRightInd w:val="0"/>
              <w:spacing w:after="120"/>
              <w:jc w:val="both"/>
              <w:rPr>
                <w:rFonts w:ascii="Times New Roman" w:hAnsi="Times New Roman" w:cs="Times New Roman"/>
                <w:b/>
                <w:sz w:val="24"/>
                <w:highlight w:val="yellow"/>
              </w:rPr>
            </w:pPr>
            <w:r w:rsidRPr="00835753">
              <w:rPr>
                <w:rFonts w:ascii="Times New Roman" w:hAnsi="Times New Roman"/>
                <w:sz w:val="24"/>
              </w:rPr>
              <w:t>Stosunek sumy kwot ekspozycji ważonych ryzykiem po uwzględnieniu współczynników wsparcia zgłoszonych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j) niniejszego wzoru do wartości ekspozycji zgłoszonej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e) niniejszego wzoru</w:t>
            </w:r>
          </w:p>
        </w:tc>
      </w:tr>
      <w:tr w:rsidR="000646F8" w:rsidRPr="00835753" w14:paraId="48A80F30" w14:textId="77777777" w:rsidTr="00155C96">
        <w:trPr>
          <w:trHeight w:val="695"/>
        </w:trPr>
        <w:tc>
          <w:tcPr>
            <w:tcW w:w="1555" w:type="dxa"/>
          </w:tcPr>
          <w:p w14:paraId="1F516682"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highlight w:val="yellow"/>
              </w:rPr>
            </w:pPr>
            <w:proofErr w:type="gramStart"/>
            <w:r w:rsidRPr="00835753">
              <w:rPr>
                <w:rFonts w:ascii="Times New Roman" w:hAnsi="Times New Roman"/>
                <w:sz w:val="24"/>
              </w:rPr>
              <w:t>l</w:t>
            </w:r>
            <w:proofErr w:type="gramEnd"/>
            <w:r w:rsidRPr="00835753">
              <w:rPr>
                <w:rFonts w:ascii="Times New Roman" w:hAnsi="Times New Roman"/>
                <w:sz w:val="24"/>
              </w:rPr>
              <w:t>)</w:t>
            </w:r>
          </w:p>
        </w:tc>
        <w:tc>
          <w:tcPr>
            <w:tcW w:w="7483" w:type="dxa"/>
          </w:tcPr>
          <w:p w14:paraId="10D64420" w14:textId="77777777" w:rsidR="000646F8" w:rsidRPr="00835753" w:rsidRDefault="000646F8"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Kwota oczekiwanej straty</w:t>
            </w:r>
          </w:p>
          <w:p w14:paraId="07002A43" w14:textId="1844D0AA" w:rsidR="000646F8" w:rsidRPr="00835753" w:rsidRDefault="000646F8" w:rsidP="00155C96">
            <w:pPr>
              <w:autoSpaceDE w:val="0"/>
              <w:autoSpaceDN w:val="0"/>
              <w:adjustRightInd w:val="0"/>
              <w:spacing w:after="120"/>
              <w:rPr>
                <w:rFonts w:ascii="Times New Roman" w:hAnsi="Times New Roman" w:cs="Times New Roman"/>
                <w:sz w:val="24"/>
              </w:rPr>
            </w:pPr>
            <w:r w:rsidRPr="00835753">
              <w:rPr>
                <w:rFonts w:ascii="Times New Roman" w:hAnsi="Times New Roman"/>
                <w:sz w:val="24"/>
              </w:rPr>
              <w:t>Kwota oczekiwanej straty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158 CRR.</w:t>
            </w:r>
          </w:p>
          <w:p w14:paraId="2C620D61" w14:textId="3E21F4ED" w:rsidR="000646F8" w:rsidRPr="00835753" w:rsidRDefault="000646F8" w:rsidP="00155C96">
            <w:pPr>
              <w:autoSpaceDE w:val="0"/>
              <w:autoSpaceDN w:val="0"/>
              <w:adjustRightInd w:val="0"/>
              <w:spacing w:after="120"/>
              <w:rPr>
                <w:rFonts w:ascii="Times New Roman" w:hAnsi="Times New Roman" w:cs="Times New Roman"/>
                <w:b/>
                <w:sz w:val="24"/>
                <w:highlight w:val="yellow"/>
              </w:rPr>
            </w:pPr>
            <w:r w:rsidRPr="00835753">
              <w:rPr>
                <w:rFonts w:ascii="Times New Roman" w:hAnsi="Times New Roman"/>
                <w:sz w:val="24"/>
              </w:rPr>
              <w:t>Kwota oczekiwanej straty, którą należy ujawnić, opiera się na parametrach rzeczywistego ryzyka wykorzystywanych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sys</w:t>
            </w:r>
            <w:r w:rsidRPr="00835753">
              <w:rPr>
                <w:rFonts w:ascii="Times New Roman" w:hAnsi="Times New Roman"/>
                <w:sz w:val="24"/>
              </w:rPr>
              <w:t>temie ratingów wewnętrznych zatwierdzonym przez odpowiedni właściwy organ.</w:t>
            </w:r>
          </w:p>
        </w:tc>
      </w:tr>
      <w:tr w:rsidR="000646F8" w:rsidRPr="00835753" w14:paraId="32CD3BD6" w14:textId="77777777" w:rsidTr="00155C96">
        <w:trPr>
          <w:trHeight w:val="695"/>
        </w:trPr>
        <w:tc>
          <w:tcPr>
            <w:tcW w:w="1555" w:type="dxa"/>
          </w:tcPr>
          <w:p w14:paraId="725B932E"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highlight w:val="yellow"/>
              </w:rPr>
            </w:pPr>
            <w:proofErr w:type="gramStart"/>
            <w:r w:rsidRPr="00835753">
              <w:rPr>
                <w:rFonts w:ascii="Times New Roman" w:hAnsi="Times New Roman"/>
                <w:sz w:val="24"/>
              </w:rPr>
              <w:t>m</w:t>
            </w:r>
            <w:proofErr w:type="gramEnd"/>
            <w:r w:rsidRPr="00835753">
              <w:rPr>
                <w:rFonts w:ascii="Times New Roman" w:hAnsi="Times New Roman"/>
                <w:sz w:val="24"/>
              </w:rPr>
              <w:t>)</w:t>
            </w:r>
          </w:p>
        </w:tc>
        <w:tc>
          <w:tcPr>
            <w:tcW w:w="7483" w:type="dxa"/>
          </w:tcPr>
          <w:p w14:paraId="3E2A3762" w14:textId="3D27B446" w:rsidR="000646F8" w:rsidRPr="00835753" w:rsidRDefault="000646F8"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Korekty wartości</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rez</w:t>
            </w:r>
            <w:r w:rsidRPr="00835753">
              <w:rPr>
                <w:rFonts w:ascii="Times New Roman" w:hAnsi="Times New Roman"/>
                <w:b/>
                <w:sz w:val="24"/>
              </w:rPr>
              <w:t>erwy</w:t>
            </w:r>
          </w:p>
          <w:p w14:paraId="749B8530" w14:textId="66D83122"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lastRenderedPageBreak/>
              <w:t>Korekty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szczególnego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ogó</w:t>
            </w:r>
            <w:r w:rsidRPr="00835753">
              <w:rPr>
                <w:rFonts w:ascii="Times New Roman" w:hAnsi="Times New Roman"/>
                <w:sz w:val="24"/>
              </w:rPr>
              <w:t>lnego ryzyka kredytowego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delegowanym Komisji (UE) 183/2014</w:t>
            </w:r>
            <w:r w:rsidRPr="00835753">
              <w:rPr>
                <w:rStyle w:val="FootnoteReference"/>
                <w:rFonts w:cs="Times New Roman"/>
              </w:rPr>
              <w:footnoteReference w:id="39"/>
            </w:r>
            <w:r w:rsidRPr="00835753">
              <w:rPr>
                <w:rFonts w:ascii="Times New Roman" w:hAnsi="Times New Roman"/>
                <w:sz w:val="24"/>
              </w:rPr>
              <w:t>, dodatkowe korekty wartości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34</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10 CRR,</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że inne redukcje funduszy własnych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eks</w:t>
            </w:r>
            <w:r w:rsidRPr="00835753">
              <w:rPr>
                <w:rFonts w:ascii="Times New Roman" w:hAnsi="Times New Roman"/>
                <w:sz w:val="24"/>
              </w:rPr>
              <w:t>pozycjami przypisanymi do każdego koszyka</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sta</w:t>
            </w:r>
            <w:r w:rsidRPr="00835753">
              <w:rPr>
                <w:rFonts w:ascii="Times New Roman" w:hAnsi="Times New Roman"/>
                <w:sz w:val="24"/>
              </w:rPr>
              <w:t>łym zakresie wartości PD</w:t>
            </w:r>
          </w:p>
          <w:p w14:paraId="0D51736F" w14:textId="5BD7107E"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Są to korekty wartości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rez</w:t>
            </w:r>
            <w:r w:rsidRPr="00835753">
              <w:rPr>
                <w:rFonts w:ascii="Times New Roman" w:hAnsi="Times New Roman"/>
                <w:sz w:val="24"/>
              </w:rPr>
              <w:t>erwy uwzględniane do celów wykonania art.</w:t>
            </w:r>
            <w:r w:rsidR="00835753" w:rsidRPr="00835753">
              <w:rPr>
                <w:rFonts w:ascii="Times New Roman" w:hAnsi="Times New Roman"/>
                <w:sz w:val="24"/>
              </w:rPr>
              <w:t> </w:t>
            </w:r>
            <w:r w:rsidRPr="00835753">
              <w:rPr>
                <w:rFonts w:ascii="Times New Roman" w:hAnsi="Times New Roman"/>
                <w:sz w:val="24"/>
              </w:rPr>
              <w:t xml:space="preserve">159 CRR. </w:t>
            </w:r>
          </w:p>
          <w:p w14:paraId="08C61982" w14:textId="64AF195B" w:rsidR="000646F8" w:rsidRPr="00835753" w:rsidRDefault="000646F8"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sz w:val="24"/>
              </w:rPr>
              <w:t>Rezerwy ogólne ujawnia się przez przypisanie kwoty proporcjonalnej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ocz</w:t>
            </w:r>
            <w:r w:rsidRPr="00835753">
              <w:rPr>
                <w:rFonts w:ascii="Times New Roman" w:hAnsi="Times New Roman"/>
                <w:sz w:val="24"/>
              </w:rPr>
              <w:t>ekiwaną stratą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róż</w:t>
            </w:r>
            <w:r w:rsidRPr="00835753">
              <w:rPr>
                <w:rFonts w:ascii="Times New Roman" w:hAnsi="Times New Roman"/>
                <w:sz w:val="24"/>
              </w:rPr>
              <w:t>nych klasach jakości dłużnika.</w:t>
            </w:r>
          </w:p>
        </w:tc>
      </w:tr>
    </w:tbl>
    <w:p w14:paraId="067D4FA5" w14:textId="77777777" w:rsidR="000646F8" w:rsidRPr="00835753" w:rsidRDefault="000646F8" w:rsidP="000646F8">
      <w:pPr>
        <w:spacing w:after="120"/>
        <w:rPr>
          <w:rFonts w:ascii="Times New Roman" w:hAnsi="Times New Roman" w:cs="Times New Roman"/>
          <w:sz w:val="24"/>
        </w:rPr>
      </w:pPr>
    </w:p>
    <w:p w14:paraId="10652AB0" w14:textId="77777777" w:rsidR="000646F8" w:rsidRPr="00835753"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835753"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835753" w:rsidRDefault="000646F8"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Oznaczenie wiersza</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27BEE350" w:rsidR="000646F8" w:rsidRPr="00835753" w:rsidRDefault="000646F8"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0646F8" w:rsidRPr="00835753"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835753"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835753" w:rsidRDefault="000646F8"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0646F8" w:rsidRPr="00835753" w14:paraId="4AE5C990" w14:textId="77777777" w:rsidTr="00155C96">
        <w:trPr>
          <w:trHeight w:val="1601"/>
        </w:trPr>
        <w:tc>
          <w:tcPr>
            <w:tcW w:w="1555" w:type="dxa"/>
          </w:tcPr>
          <w:p w14:paraId="6B2065A5" w14:textId="77777777" w:rsidR="000646F8" w:rsidRPr="00835753" w:rsidRDefault="000646F8" w:rsidP="00155C96">
            <w:pPr>
              <w:spacing w:after="120"/>
              <w:jc w:val="both"/>
              <w:rPr>
                <w:rFonts w:ascii="Times New Roman" w:hAnsi="Times New Roman" w:cs="Times New Roman"/>
                <w:b/>
                <w:sz w:val="24"/>
              </w:rPr>
            </w:pPr>
            <w:r w:rsidRPr="00835753">
              <w:rPr>
                <w:rFonts w:ascii="Times New Roman" w:hAnsi="Times New Roman"/>
                <w:b/>
                <w:sz w:val="24"/>
              </w:rPr>
              <w:t>Kategoria ekspozycji X</w:t>
            </w:r>
          </w:p>
          <w:p w14:paraId="54E86A05" w14:textId="77777777" w:rsidR="000646F8" w:rsidRPr="00835753"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1857F388"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Jeżeli instytucje otrzymały zezwolenie na stosowanie własnych LGD</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wsp</w:t>
            </w:r>
            <w:r w:rsidRPr="00835753">
              <w:rPr>
                <w:rFonts w:ascii="Times New Roman" w:hAnsi="Times New Roman"/>
                <w:sz w:val="24"/>
              </w:rPr>
              <w:t>ółczynników konwersji do obliczania kwot ekspozycji ważonych ryzykiem, ujawniają informacje wymagane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wzorze oddzielnie dla kategorii ekspozycji objętych tym zezwoleniem (A-IRB)</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kategorii ekspozycji, wobec których instytucja nie otrzymała zezwolenia na stosowanie własnych oszacowań LGD</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wsp</w:t>
            </w:r>
            <w:r w:rsidRPr="00835753">
              <w:rPr>
                <w:rFonts w:ascii="Times New Roman" w:hAnsi="Times New Roman"/>
                <w:sz w:val="24"/>
              </w:rPr>
              <w:t xml:space="preserve">ółczynników konwersji (F-IRB), instytucja ujawnia informacje na temat odpowiednich ekspozycji oddzielnie, korzystając ze wzoru F-IRB. </w:t>
            </w:r>
          </w:p>
        </w:tc>
      </w:tr>
      <w:tr w:rsidR="000646F8" w:rsidRPr="00835753" w14:paraId="136A8E66" w14:textId="77777777" w:rsidTr="00155C96">
        <w:trPr>
          <w:trHeight w:val="1124"/>
        </w:trPr>
        <w:tc>
          <w:tcPr>
            <w:tcW w:w="1555" w:type="dxa"/>
          </w:tcPr>
          <w:p w14:paraId="6C72886E" w14:textId="77777777" w:rsidR="000646F8" w:rsidRPr="00835753" w:rsidRDefault="000646F8" w:rsidP="00155C96">
            <w:pPr>
              <w:autoSpaceDE w:val="0"/>
              <w:autoSpaceDN w:val="0"/>
              <w:adjustRightInd w:val="0"/>
              <w:spacing w:after="120"/>
              <w:jc w:val="both"/>
              <w:rPr>
                <w:rFonts w:ascii="Times New Roman" w:hAnsi="Times New Roman" w:cs="Times New Roman"/>
                <w:sz w:val="24"/>
                <w:highlight w:val="yellow"/>
              </w:rPr>
            </w:pPr>
            <w:r w:rsidRPr="00835753">
              <w:rPr>
                <w:rFonts w:ascii="Times New Roman" w:hAnsi="Times New Roman"/>
                <w:iCs/>
                <w:sz w:val="24"/>
              </w:rPr>
              <w:t>A-IRB</w:t>
            </w:r>
          </w:p>
        </w:tc>
        <w:tc>
          <w:tcPr>
            <w:tcW w:w="7484" w:type="dxa"/>
          </w:tcPr>
          <w:p w14:paraId="00E8CC1E" w14:textId="77777777" w:rsidR="000646F8" w:rsidRPr="00835753" w:rsidRDefault="000646F8" w:rsidP="00155C96">
            <w:pPr>
              <w:spacing w:after="120"/>
              <w:jc w:val="both"/>
              <w:rPr>
                <w:rFonts w:ascii="Times New Roman" w:hAnsi="Times New Roman"/>
                <w:sz w:val="24"/>
              </w:rPr>
            </w:pPr>
            <w:r w:rsidRPr="00835753">
              <w:rPr>
                <w:rFonts w:ascii="Times New Roman" w:hAnsi="Times New Roman"/>
                <w:b/>
                <w:sz w:val="24"/>
              </w:rPr>
              <w:t>Kategoria ekspozycji X</w:t>
            </w:r>
          </w:p>
          <w:p w14:paraId="7DEB3A97" w14:textId="118E68AF"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iCs/>
                <w:sz w:val="24"/>
              </w:rPr>
              <w:t>Dla każdej kategorii ekspozycji wymienionej</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CRR,</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wyj</w:t>
            </w:r>
            <w:r w:rsidRPr="00835753">
              <w:rPr>
                <w:rFonts w:ascii="Times New Roman" w:hAnsi="Times New Roman"/>
                <w:iCs/>
                <w:sz w:val="24"/>
              </w:rPr>
              <w:t>ątkiem kategorii wymienionych powyżej, instytucje ujawniają oddzielny wzór</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dal</w:t>
            </w:r>
            <w:r w:rsidRPr="00835753">
              <w:rPr>
                <w:rFonts w:ascii="Times New Roman" w:hAnsi="Times New Roman"/>
                <w:iCs/>
                <w:sz w:val="24"/>
              </w:rPr>
              <w:t xml:space="preserve">szym podziałem na następujące kategorie ekspozycji: </w:t>
            </w:r>
          </w:p>
          <w:p w14:paraId="4433ACB1" w14:textId="7600E05C" w:rsidR="000646F8" w:rsidRPr="00835753" w:rsidRDefault="000646F8"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kat</w:t>
            </w:r>
            <w:r w:rsidRPr="00835753">
              <w:rPr>
                <w:rFonts w:ascii="Times New Roman" w:hAnsi="Times New Roman"/>
                <w:iCs/>
                <w:sz w:val="24"/>
              </w:rPr>
              <w:t>egorii ekspozycji „ekspozycje wobec przedsiębiorstw” (art.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lit.</w:t>
            </w:r>
            <w:r w:rsidR="00835753" w:rsidRPr="00835753">
              <w:rPr>
                <w:rFonts w:ascii="Times New Roman" w:hAnsi="Times New Roman"/>
                <w:iCs/>
                <w:sz w:val="24"/>
              </w:rPr>
              <w:t> </w:t>
            </w:r>
            <w:r w:rsidRPr="00835753">
              <w:rPr>
                <w:rFonts w:ascii="Times New Roman" w:hAnsi="Times New Roman"/>
                <w:iCs/>
                <w:sz w:val="24"/>
              </w:rPr>
              <w:t>c) CRR), podział na:</w:t>
            </w:r>
          </w:p>
          <w:p w14:paraId="0D74CEA8" w14:textId="724FB549" w:rsidR="000646F8" w:rsidRPr="00835753"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sidRPr="00835753">
              <w:rPr>
                <w:rFonts w:ascii="Times New Roman" w:hAnsi="Times New Roman"/>
                <w:iCs/>
                <w:sz w:val="24"/>
              </w:rPr>
              <w:t>a</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MŚP,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wew</w:t>
            </w:r>
            <w:r w:rsidRPr="00835753">
              <w:rPr>
                <w:rFonts w:ascii="Times New Roman" w:hAnsi="Times New Roman"/>
                <w:iCs/>
                <w:sz w:val="24"/>
              </w:rPr>
              <w:t>nętrzną klasyfikacją ekspozycji wobec przedsiębiorstw opartą na strategiach</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zak</w:t>
            </w:r>
            <w:r w:rsidRPr="00835753">
              <w:rPr>
                <w:rFonts w:ascii="Times New Roman" w:hAnsi="Times New Roman"/>
                <w:iCs/>
                <w:sz w:val="24"/>
              </w:rPr>
              <w:t>resie zarządzania ryzykiem;</w:t>
            </w:r>
          </w:p>
          <w:p w14:paraId="5528BA07" w14:textId="6B984D58" w:rsidR="000646F8" w:rsidRPr="00835753"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sidRPr="00835753">
              <w:rPr>
                <w:rFonts w:ascii="Times New Roman" w:hAnsi="Times New Roman"/>
                <w:iCs/>
                <w:sz w:val="24"/>
              </w:rPr>
              <w:t>b</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kredytowanie specjalistyczne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8 CRR;</w:t>
            </w:r>
          </w:p>
          <w:p w14:paraId="167584D3" w14:textId="77777777" w:rsidR="000646F8" w:rsidRPr="00835753"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sidRPr="00835753">
              <w:rPr>
                <w:rFonts w:ascii="Times New Roman" w:hAnsi="Times New Roman"/>
                <w:iCs/>
                <w:sz w:val="24"/>
              </w:rPr>
              <w:t>c</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inne.</w:t>
            </w:r>
          </w:p>
          <w:p w14:paraId="357543CE" w14:textId="797A54FC" w:rsidR="000646F8" w:rsidRPr="00835753" w:rsidRDefault="000646F8"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kat</w:t>
            </w:r>
            <w:r w:rsidRPr="00835753">
              <w:rPr>
                <w:rFonts w:ascii="Times New Roman" w:hAnsi="Times New Roman"/>
                <w:iCs/>
                <w:sz w:val="24"/>
              </w:rPr>
              <w:t>egorii ekspozycji „ekspozycje detaliczne” (art.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lit.</w:t>
            </w:r>
            <w:r w:rsidR="00835753" w:rsidRPr="00835753">
              <w:rPr>
                <w:rFonts w:ascii="Times New Roman" w:hAnsi="Times New Roman"/>
                <w:iCs/>
                <w:sz w:val="24"/>
              </w:rPr>
              <w:t> </w:t>
            </w:r>
            <w:r w:rsidRPr="00835753">
              <w:rPr>
                <w:rFonts w:ascii="Times New Roman" w:hAnsi="Times New Roman"/>
                <w:iCs/>
                <w:sz w:val="24"/>
              </w:rPr>
              <w:t>d)</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5 CRR) podział na:</w:t>
            </w:r>
          </w:p>
          <w:p w14:paraId="6EB715AB" w14:textId="773CAA72"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lastRenderedPageBreak/>
              <w:t>a</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detaliczne – ekspozycje wobec MŚP zabezpieczone nieruchomościami (art.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lit.</w:t>
            </w:r>
            <w:r w:rsidR="00835753" w:rsidRPr="00835753">
              <w:rPr>
                <w:rFonts w:ascii="Times New Roman" w:hAnsi="Times New Roman"/>
                <w:iCs/>
                <w:sz w:val="24"/>
              </w:rPr>
              <w:t> </w:t>
            </w:r>
            <w:r w:rsidRPr="00835753">
              <w:rPr>
                <w:rFonts w:ascii="Times New Roman" w:hAnsi="Times New Roman"/>
                <w:iCs/>
                <w:sz w:val="24"/>
              </w:rPr>
              <w:t>d) CRR</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zwi</w:t>
            </w:r>
            <w:r w:rsidRPr="00835753">
              <w:rPr>
                <w:rFonts w:ascii="Times New Roman" w:hAnsi="Times New Roman"/>
                <w:iCs/>
                <w:sz w:val="24"/>
              </w:rPr>
              <w:t>ązku</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154 ust.</w:t>
            </w:r>
            <w:r w:rsidR="00835753" w:rsidRPr="00835753">
              <w:rPr>
                <w:rFonts w:ascii="Times New Roman" w:hAnsi="Times New Roman"/>
                <w:iCs/>
                <w:sz w:val="24"/>
              </w:rPr>
              <w:t> </w:t>
            </w:r>
            <w:r w:rsidRPr="00835753">
              <w:rPr>
                <w:rFonts w:ascii="Times New Roman" w:hAnsi="Times New Roman"/>
                <w:iCs/>
                <w:sz w:val="24"/>
              </w:rPr>
              <w:t>2</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3</w:t>
            </w:r>
            <w:r w:rsidRPr="00835753">
              <w:rPr>
                <w:rFonts w:ascii="Times New Roman" w:hAnsi="Times New Roman"/>
                <w:iCs/>
                <w:sz w:val="24"/>
              </w:rPr>
              <w:t xml:space="preserve"> CRR);</w:t>
            </w:r>
          </w:p>
          <w:p w14:paraId="00C7272D" w14:textId="77777777"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proofErr w:type="gramStart"/>
            <w:r w:rsidRPr="00835753">
              <w:rPr>
                <w:rFonts w:ascii="Times New Roman" w:hAnsi="Times New Roman"/>
                <w:iCs/>
                <w:sz w:val="24"/>
              </w:rPr>
              <w:t>b</w:t>
            </w:r>
            <w:proofErr w:type="gramEnd"/>
            <w:r w:rsidRPr="00835753">
              <w:rPr>
                <w:rFonts w:ascii="Times New Roman" w:hAnsi="Times New Roman"/>
                <w:iCs/>
                <w:sz w:val="24"/>
              </w:rPr>
              <w:t>) ekspozycje detaliczne – inne ekspozycje wobec MŚP;</w:t>
            </w:r>
          </w:p>
          <w:p w14:paraId="7336AC1B" w14:textId="10427AC2"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c</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detaliczne – ekspozycje wobec podmiotów niebędących MŚP zabezpieczone nieruchomościami (art.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lit.</w:t>
            </w:r>
            <w:r w:rsidR="00835753" w:rsidRPr="00835753">
              <w:rPr>
                <w:rFonts w:ascii="Times New Roman" w:hAnsi="Times New Roman"/>
                <w:iCs/>
                <w:sz w:val="24"/>
              </w:rPr>
              <w:t> </w:t>
            </w:r>
            <w:r w:rsidRPr="00835753">
              <w:rPr>
                <w:rFonts w:ascii="Times New Roman" w:hAnsi="Times New Roman"/>
                <w:iCs/>
                <w:sz w:val="24"/>
              </w:rPr>
              <w:t>d) CRR</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zwi</w:t>
            </w:r>
            <w:r w:rsidRPr="00835753">
              <w:rPr>
                <w:rFonts w:ascii="Times New Roman" w:hAnsi="Times New Roman"/>
                <w:iCs/>
                <w:sz w:val="24"/>
              </w:rPr>
              <w:t>ązku</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154 ust.</w:t>
            </w:r>
            <w:r w:rsidR="00835753" w:rsidRPr="00835753">
              <w:rPr>
                <w:rFonts w:ascii="Times New Roman" w:hAnsi="Times New Roman"/>
                <w:iCs/>
                <w:sz w:val="24"/>
              </w:rPr>
              <w:t> </w:t>
            </w:r>
            <w:r w:rsidRPr="00835753">
              <w:rPr>
                <w:rFonts w:ascii="Times New Roman" w:hAnsi="Times New Roman"/>
                <w:iCs/>
                <w:sz w:val="24"/>
              </w:rPr>
              <w:t>3 CRR);</w:t>
            </w:r>
          </w:p>
          <w:p w14:paraId="137581F2" w14:textId="6F60F95B"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d</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detaliczne – kwalifikowane ekspozycje odnawialne (art.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lit.</w:t>
            </w:r>
            <w:r w:rsidR="00835753" w:rsidRPr="00835753">
              <w:rPr>
                <w:rFonts w:ascii="Times New Roman" w:hAnsi="Times New Roman"/>
                <w:iCs/>
                <w:sz w:val="24"/>
              </w:rPr>
              <w:t> </w:t>
            </w:r>
            <w:r w:rsidRPr="00835753">
              <w:rPr>
                <w:rFonts w:ascii="Times New Roman" w:hAnsi="Times New Roman"/>
                <w:iCs/>
                <w:sz w:val="24"/>
              </w:rPr>
              <w:t>d) CRR</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zwi</w:t>
            </w:r>
            <w:r w:rsidRPr="00835753">
              <w:rPr>
                <w:rFonts w:ascii="Times New Roman" w:hAnsi="Times New Roman"/>
                <w:iCs/>
                <w:sz w:val="24"/>
              </w:rPr>
              <w:t>ązku</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154 ust.</w:t>
            </w:r>
            <w:r w:rsidR="00835753" w:rsidRPr="00835753">
              <w:rPr>
                <w:rFonts w:ascii="Times New Roman" w:hAnsi="Times New Roman"/>
                <w:iCs/>
                <w:sz w:val="24"/>
              </w:rPr>
              <w:t> </w:t>
            </w:r>
            <w:r w:rsidRPr="00835753">
              <w:rPr>
                <w:rFonts w:ascii="Times New Roman" w:hAnsi="Times New Roman"/>
                <w:iCs/>
                <w:sz w:val="24"/>
              </w:rPr>
              <w:t>4 CRR);</w:t>
            </w:r>
          </w:p>
          <w:p w14:paraId="1E06E2C7" w14:textId="6F5BDF97"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proofErr w:type="gramStart"/>
            <w:r w:rsidRPr="00835753">
              <w:rPr>
                <w:rFonts w:ascii="Times New Roman" w:hAnsi="Times New Roman"/>
                <w:iCs/>
                <w:sz w:val="24"/>
              </w:rPr>
              <w:t>e)         ekspozycje</w:t>
            </w:r>
            <w:proofErr w:type="gramEnd"/>
            <w:r w:rsidRPr="00835753">
              <w:rPr>
                <w:rFonts w:ascii="Times New Roman" w:hAnsi="Times New Roman"/>
                <w:iCs/>
                <w:sz w:val="24"/>
              </w:rPr>
              <w:t xml:space="preserve"> detaliczne – inne ekspozycje wobec podmiotów niebędących MŚP.</w:t>
            </w:r>
          </w:p>
          <w:p w14:paraId="0936B92C" w14:textId="6610A444" w:rsidR="000646F8" w:rsidRPr="00835753" w:rsidRDefault="000646F8" w:rsidP="00155C96">
            <w:pPr>
              <w:autoSpaceDE w:val="0"/>
              <w:autoSpaceDN w:val="0"/>
              <w:adjustRightInd w:val="0"/>
              <w:spacing w:after="120"/>
              <w:jc w:val="both"/>
              <w:rPr>
                <w:rFonts w:ascii="Times New Roman" w:hAnsi="Times New Roman" w:cs="Times New Roman"/>
                <w:sz w:val="24"/>
                <w:highlight w:val="yellow"/>
              </w:rPr>
            </w:pPr>
            <w:r w:rsidRPr="00835753">
              <w:rPr>
                <w:rFonts w:ascii="Times New Roman" w:hAnsi="Times New Roman"/>
                <w:iCs/>
                <w:sz w:val="24"/>
              </w:rPr>
              <w:t>Całkowitą wartość ekspozycji zgłasza się</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ost</w:t>
            </w:r>
            <w:r w:rsidRPr="00835753">
              <w:rPr>
                <w:rFonts w:ascii="Times New Roman" w:hAnsi="Times New Roman"/>
                <w:iCs/>
                <w:sz w:val="24"/>
              </w:rPr>
              <w:t>atnim wierszu każdego oddzielnego wzoru dla poszczególnych kategoria ekspozycji.</w:t>
            </w:r>
          </w:p>
        </w:tc>
      </w:tr>
      <w:tr w:rsidR="000646F8" w:rsidRPr="00835753" w14:paraId="52820316" w14:textId="77777777" w:rsidTr="00155C96">
        <w:trPr>
          <w:trHeight w:val="316"/>
        </w:trPr>
        <w:tc>
          <w:tcPr>
            <w:tcW w:w="1555" w:type="dxa"/>
          </w:tcPr>
          <w:p w14:paraId="79E5A87B" w14:textId="77777777" w:rsidR="000646F8" w:rsidRPr="00835753" w:rsidRDefault="000646F8" w:rsidP="00155C96">
            <w:pPr>
              <w:autoSpaceDE w:val="0"/>
              <w:autoSpaceDN w:val="0"/>
              <w:adjustRightInd w:val="0"/>
              <w:spacing w:after="120"/>
              <w:rPr>
                <w:rFonts w:ascii="Times New Roman" w:hAnsi="Times New Roman" w:cs="Times New Roman"/>
                <w:color w:val="000000"/>
                <w:sz w:val="24"/>
                <w:highlight w:val="yellow"/>
              </w:rPr>
            </w:pPr>
            <w:r w:rsidRPr="00835753">
              <w:rPr>
                <w:rFonts w:ascii="Times New Roman" w:hAnsi="Times New Roman"/>
                <w:color w:val="000000"/>
                <w:sz w:val="24"/>
              </w:rPr>
              <w:lastRenderedPageBreak/>
              <w:t>Podstawowa metoda IRB (F-IRB)</w:t>
            </w:r>
          </w:p>
        </w:tc>
        <w:tc>
          <w:tcPr>
            <w:tcW w:w="7484" w:type="dxa"/>
          </w:tcPr>
          <w:p w14:paraId="7A7D772F" w14:textId="77777777" w:rsidR="000646F8" w:rsidRPr="00835753" w:rsidRDefault="000646F8" w:rsidP="00155C96">
            <w:pPr>
              <w:spacing w:after="120"/>
              <w:jc w:val="both"/>
              <w:rPr>
                <w:rFonts w:ascii="Times New Roman" w:hAnsi="Times New Roman"/>
                <w:b/>
                <w:sz w:val="24"/>
              </w:rPr>
            </w:pPr>
            <w:r w:rsidRPr="00835753">
              <w:rPr>
                <w:rFonts w:ascii="Times New Roman" w:hAnsi="Times New Roman"/>
                <w:b/>
                <w:sz w:val="24"/>
              </w:rPr>
              <w:t xml:space="preserve">Kategoria ekspozycji X </w:t>
            </w:r>
          </w:p>
          <w:p w14:paraId="3A5233B2" w14:textId="592C59BC" w:rsidR="000646F8" w:rsidRPr="00835753" w:rsidRDefault="000646F8" w:rsidP="00155C96">
            <w:pPr>
              <w:spacing w:after="120"/>
              <w:jc w:val="both"/>
              <w:rPr>
                <w:rFonts w:ascii="Times New Roman" w:eastAsia="Times New Roman" w:hAnsi="Times New Roman" w:cs="Times New Roman"/>
                <w:iCs/>
                <w:sz w:val="24"/>
              </w:rPr>
            </w:pPr>
            <w:r w:rsidRPr="00835753">
              <w:rPr>
                <w:rFonts w:ascii="Times New Roman" w:hAnsi="Times New Roman"/>
                <w:iCs/>
                <w:sz w:val="24"/>
              </w:rPr>
              <w:t>Dla każdej kategorii ekspozycji wymienionej</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CRR,</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wyj</w:t>
            </w:r>
            <w:r w:rsidRPr="00835753">
              <w:rPr>
                <w:rFonts w:ascii="Times New Roman" w:hAnsi="Times New Roman"/>
                <w:iCs/>
                <w:sz w:val="24"/>
              </w:rPr>
              <w:t>ątkiem kategorii wymienionych powyżej, instytucje ujawniają oddzielny wzór</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dal</w:t>
            </w:r>
            <w:r w:rsidRPr="00835753">
              <w:rPr>
                <w:rFonts w:ascii="Times New Roman" w:hAnsi="Times New Roman"/>
                <w:iCs/>
                <w:sz w:val="24"/>
              </w:rPr>
              <w:t>szym podziałem na następujące kategorie ekspozycji:</w:t>
            </w:r>
          </w:p>
          <w:p w14:paraId="7E96039C" w14:textId="49B54D1A" w:rsidR="000646F8" w:rsidRPr="00835753" w:rsidRDefault="000646F8"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kat</w:t>
            </w:r>
            <w:r w:rsidRPr="00835753">
              <w:rPr>
                <w:rFonts w:ascii="Times New Roman" w:hAnsi="Times New Roman"/>
                <w:iCs/>
                <w:sz w:val="24"/>
              </w:rPr>
              <w:t>egorii ekspozycji „ekspozycje wobec przedsiębiorstw” (art.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lit.</w:t>
            </w:r>
            <w:r w:rsidR="00835753" w:rsidRPr="00835753">
              <w:rPr>
                <w:rFonts w:ascii="Times New Roman" w:hAnsi="Times New Roman"/>
                <w:iCs/>
                <w:sz w:val="24"/>
              </w:rPr>
              <w:t> </w:t>
            </w:r>
            <w:r w:rsidRPr="00835753">
              <w:rPr>
                <w:rFonts w:ascii="Times New Roman" w:hAnsi="Times New Roman"/>
                <w:iCs/>
                <w:sz w:val="24"/>
              </w:rPr>
              <w:t>c) CRR), podział na:</w:t>
            </w:r>
          </w:p>
          <w:p w14:paraId="5C15709B" w14:textId="14A8E6A8"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a</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MŚP,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wew</w:t>
            </w:r>
            <w:r w:rsidRPr="00835753">
              <w:rPr>
                <w:rFonts w:ascii="Times New Roman" w:hAnsi="Times New Roman"/>
                <w:iCs/>
                <w:sz w:val="24"/>
              </w:rPr>
              <w:t>nętrzną klasyfikacją ekspozycji wobec przedsiębiorstw opartą na strategiach</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zak</w:t>
            </w:r>
            <w:r w:rsidRPr="00835753">
              <w:rPr>
                <w:rFonts w:ascii="Times New Roman" w:hAnsi="Times New Roman"/>
                <w:iCs/>
                <w:sz w:val="24"/>
              </w:rPr>
              <w:t>resie zarządzania ryzykiem;</w:t>
            </w:r>
          </w:p>
          <w:p w14:paraId="3D8DCABE" w14:textId="3E0A4CB2"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b</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kredytowanie specjalistyczne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8 CRR;</w:t>
            </w:r>
          </w:p>
          <w:p w14:paraId="03A7AC1A" w14:textId="77777777"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sz w:val="24"/>
                <w:highlight w:val="yellow"/>
              </w:rPr>
            </w:pPr>
            <w:r w:rsidRPr="00835753">
              <w:rPr>
                <w:rFonts w:ascii="Times New Roman" w:hAnsi="Times New Roman"/>
                <w:iCs/>
                <w:sz w:val="24"/>
              </w:rPr>
              <w:t>c</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inne.</w:t>
            </w:r>
          </w:p>
        </w:tc>
      </w:tr>
    </w:tbl>
    <w:p w14:paraId="60BD522F" w14:textId="77777777" w:rsidR="000646F8" w:rsidRPr="00835753" w:rsidRDefault="000646F8" w:rsidP="000646F8">
      <w:pPr>
        <w:spacing w:after="120"/>
        <w:rPr>
          <w:rFonts w:ascii="Times New Roman" w:hAnsi="Times New Roman" w:cs="Times New Roman"/>
          <w:sz w:val="24"/>
          <w:highlight w:val="yellow"/>
        </w:rPr>
      </w:pPr>
    </w:p>
    <w:p w14:paraId="5A06C431" w14:textId="77777777" w:rsidR="000646F8" w:rsidRPr="00835753" w:rsidRDefault="000646F8" w:rsidP="000646F8">
      <w:pPr>
        <w:spacing w:after="120"/>
        <w:rPr>
          <w:rFonts w:ascii="Times New Roman" w:hAnsi="Times New Roman" w:cs="Times New Roman"/>
          <w:sz w:val="24"/>
          <w:highlight w:val="yellow"/>
        </w:rPr>
      </w:pPr>
    </w:p>
    <w:p w14:paraId="50A173F3" w14:textId="1AAB81B6" w:rsidR="000646F8" w:rsidRPr="00835753" w:rsidRDefault="00CD362D" w:rsidP="000646F8">
      <w:pPr>
        <w:spacing w:after="120"/>
        <w:rPr>
          <w:rFonts w:ascii="Times New Roman" w:hAnsi="Times New Roman" w:cs="Times New Roman"/>
          <w:b/>
          <w:sz w:val="24"/>
        </w:rPr>
      </w:pPr>
      <w:r w:rsidRPr="00835753">
        <w:rPr>
          <w:rFonts w:ascii="Times New Roman" w:hAnsi="Times New Roman"/>
          <w:b/>
          <w:sz w:val="24"/>
        </w:rPr>
        <w:t>Wzór EU CR6-A – Metoda IRB – zakres stosowania metody IRB</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met</w:t>
      </w:r>
      <w:r w:rsidRPr="00835753">
        <w:rPr>
          <w:rFonts w:ascii="Times New Roman" w:hAnsi="Times New Roman"/>
          <w:b/>
          <w:sz w:val="24"/>
        </w:rPr>
        <w:t>ody standardowej. Wzór</w:t>
      </w:r>
      <w:r w:rsidR="00835753" w:rsidRPr="00835753">
        <w:rPr>
          <w:rFonts w:ascii="Times New Roman" w:hAnsi="Times New Roman"/>
          <w:b/>
          <w:sz w:val="24"/>
        </w:rPr>
        <w:t xml:space="preserve"> o</w:t>
      </w:r>
      <w:r w:rsidR="00835753">
        <w:rPr>
          <w:rFonts w:ascii="Times New Roman" w:hAnsi="Times New Roman"/>
          <w:b/>
          <w:sz w:val="24"/>
        </w:rPr>
        <w:t> </w:t>
      </w:r>
      <w:r w:rsidR="00835753" w:rsidRPr="00835753">
        <w:rPr>
          <w:rFonts w:ascii="Times New Roman" w:hAnsi="Times New Roman"/>
          <w:b/>
          <w:sz w:val="24"/>
        </w:rPr>
        <w:t>for</w:t>
      </w:r>
      <w:r w:rsidRPr="00835753">
        <w:rPr>
          <w:rFonts w:ascii="Times New Roman" w:hAnsi="Times New Roman"/>
          <w:b/>
          <w:sz w:val="24"/>
        </w:rPr>
        <w:t>macie stałym</w:t>
      </w:r>
    </w:p>
    <w:p w14:paraId="5CEA1D8C" w14:textId="77777777" w:rsidR="000646F8" w:rsidRPr="00835753" w:rsidRDefault="000646F8" w:rsidP="000646F8">
      <w:pPr>
        <w:spacing w:after="120"/>
        <w:rPr>
          <w:rFonts w:ascii="Times New Roman" w:hAnsi="Times New Roman" w:cs="Times New Roman"/>
          <w:sz w:val="24"/>
        </w:rPr>
      </w:pPr>
    </w:p>
    <w:p w14:paraId="1C7C6FC2" w14:textId="7BE8797E" w:rsidR="000646F8" w:rsidRPr="00835753" w:rsidRDefault="000646F8" w:rsidP="000646F8">
      <w:pPr>
        <w:pStyle w:val="ListParagraph"/>
        <w:numPr>
          <w:ilvl w:val="0"/>
          <w:numId w:val="51"/>
        </w:numPr>
        <w:spacing w:after="120"/>
        <w:jc w:val="both"/>
        <w:rPr>
          <w:rFonts w:ascii="Times New Roman" w:hAnsi="Times New Roman"/>
          <w:sz w:val="24"/>
        </w:rPr>
      </w:pPr>
      <w:r w:rsidRPr="00835753">
        <w:rPr>
          <w:rFonts w:ascii="Times New Roman" w:hAnsi="Times New Roman"/>
          <w:sz w:val="24"/>
        </w:rPr>
        <w:t>W celu wypełnienia wzoru EU CR6-A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XXI do niniejszego rozporządzenia wykonawczego instytucje obliczające kwoty ekspozycji ważonych ryzykiem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odą IRB do ryzyka kredytowego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452 lit.</w:t>
      </w:r>
      <w:r w:rsidR="00835753" w:rsidRPr="00835753">
        <w:rPr>
          <w:rFonts w:ascii="Times New Roman" w:hAnsi="Times New Roman"/>
          <w:sz w:val="24"/>
        </w:rPr>
        <w:t> </w:t>
      </w:r>
      <w:r w:rsidRPr="00835753">
        <w:rPr>
          <w:rFonts w:ascii="Times New Roman" w:hAnsi="Times New Roman"/>
          <w:sz w:val="24"/>
        </w:rPr>
        <w:t>b)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p>
    <w:p w14:paraId="6CD82E87" w14:textId="3A5D604D" w:rsidR="000646F8" w:rsidRPr="00835753" w:rsidRDefault="000646F8" w:rsidP="000646F8">
      <w:pPr>
        <w:pStyle w:val="ListParagraph"/>
        <w:numPr>
          <w:ilvl w:val="0"/>
          <w:numId w:val="51"/>
        </w:numPr>
        <w:spacing w:after="120"/>
        <w:jc w:val="both"/>
        <w:rPr>
          <w:rFonts w:ascii="Times New Roman" w:hAnsi="Times New Roman"/>
          <w:sz w:val="24"/>
        </w:rPr>
      </w:pPr>
      <w:r w:rsidRPr="00835753">
        <w:rPr>
          <w:rFonts w:ascii="Times New Roman" w:hAnsi="Times New Roman"/>
          <w:sz w:val="24"/>
        </w:rPr>
        <w:t>Do celów niniejszego wzoru instytucje przypisują swoje ekspozycje według metody standardowej określonej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 2 lub metody IRB określonej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 3 do kategorii ekspozycji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 xml:space="preserve">ach metody IRB. Ten wzór nie obejmuje ekspozycji na ryzyko kredytowe </w:t>
      </w:r>
      <w:r w:rsidRPr="00835753">
        <w:rPr>
          <w:rFonts w:ascii="Times New Roman" w:hAnsi="Times New Roman"/>
          <w:sz w:val="24"/>
        </w:rPr>
        <w:lastRenderedPageBreak/>
        <w:t>kontrahenta (CCR) (część trzecia tytuł II rozdział 6 CRR) ani ekspozycji sekurytyzacyjnych.</w:t>
      </w:r>
    </w:p>
    <w:p w14:paraId="3C7DF511" w14:textId="0392CAA9" w:rsidR="000646F8" w:rsidRPr="00835753" w:rsidRDefault="000646F8" w:rsidP="000646F8">
      <w:pPr>
        <w:pStyle w:val="ListParagraph"/>
        <w:numPr>
          <w:ilvl w:val="0"/>
          <w:numId w:val="51"/>
        </w:numPr>
        <w:spacing w:after="120"/>
        <w:ind w:left="714" w:hanging="357"/>
        <w:jc w:val="both"/>
        <w:rPr>
          <w:rFonts w:ascii="Times New Roman" w:hAnsi="Times New Roman"/>
          <w:sz w:val="24"/>
        </w:rPr>
      </w:pPr>
      <w:r w:rsidRPr="00835753">
        <w:rPr>
          <w:rFonts w:ascii="Times New Roman" w:hAnsi="Times New Roman"/>
          <w:sz w:val="24"/>
        </w:rPr>
        <w:t>Instytucje wyjaśniają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opi</w:t>
      </w:r>
      <w:r w:rsidRPr="00835753">
        <w:rPr>
          <w:rFonts w:ascii="Times New Roman" w:hAnsi="Times New Roman"/>
          <w:sz w:val="24"/>
        </w:rPr>
        <w:t>sie dołączonym do niniejszego wzoru wszelkie istotne różnice między wartością ekspozycji określoną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166</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ekspozycji według metody IRB, zgłoszoną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a) niniejszego wzoru,</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tością ekspozycji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tych samych ekspozycji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429 ust.</w:t>
      </w:r>
      <w:r w:rsidR="00835753" w:rsidRPr="00835753">
        <w:rPr>
          <w:rFonts w:ascii="Times New Roman" w:hAnsi="Times New Roman"/>
          <w:sz w:val="24"/>
        </w:rPr>
        <w:t> </w:t>
      </w:r>
      <w:r w:rsidRPr="00835753">
        <w:rPr>
          <w:rFonts w:ascii="Times New Roman" w:hAnsi="Times New Roman"/>
          <w:sz w:val="24"/>
        </w:rPr>
        <w:t>4 CRR zgłoszoną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b) i d) niniejszego wzoru.</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835753"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38355F83" w:rsidR="000646F8" w:rsidRPr="00835753" w:rsidRDefault="000646F8" w:rsidP="00155C96">
            <w:pPr>
              <w:spacing w:after="120"/>
              <w:rPr>
                <w:rFonts w:ascii="Times New Roman" w:hAnsi="Times New Roman" w:cs="Times New Roman"/>
                <w:b/>
                <w:sz w:val="24"/>
                <w:highlight w:val="yellow"/>
              </w:rPr>
            </w:pPr>
            <w:r w:rsidRPr="00835753">
              <w:rPr>
                <w:rFonts w:ascii="Times New Roman" w:hAnsi="Times New Roman"/>
                <w:b/>
                <w:sz w:val="24"/>
                <w:highlight w:val="lightGray"/>
              </w:rPr>
              <w:t>Odniesienia prawne</w:t>
            </w:r>
            <w:r w:rsidR="00835753" w:rsidRPr="00835753">
              <w:rPr>
                <w:rFonts w:ascii="Times New Roman" w:hAnsi="Times New Roman"/>
                <w:b/>
                <w:sz w:val="24"/>
                <w:highlight w:val="lightGray"/>
              </w:rPr>
              <w:t xml:space="preserve"> i</w:t>
            </w:r>
            <w:r w:rsidR="00835753">
              <w:rPr>
                <w:rFonts w:ascii="Times New Roman" w:hAnsi="Times New Roman"/>
                <w:b/>
                <w:sz w:val="24"/>
                <w:highlight w:val="lightGray"/>
              </w:rPr>
              <w:t> </w:t>
            </w:r>
            <w:r w:rsidR="00835753" w:rsidRPr="00835753">
              <w:rPr>
                <w:rFonts w:ascii="Times New Roman" w:hAnsi="Times New Roman"/>
                <w:b/>
                <w:sz w:val="24"/>
                <w:highlight w:val="lightGray"/>
              </w:rPr>
              <w:t>ins</w:t>
            </w:r>
            <w:r w:rsidRPr="00835753">
              <w:rPr>
                <w:rFonts w:ascii="Times New Roman" w:hAnsi="Times New Roman"/>
                <w:b/>
                <w:sz w:val="24"/>
                <w:highlight w:val="lightGray"/>
              </w:rPr>
              <w:t>trukcje</w:t>
            </w:r>
          </w:p>
        </w:tc>
      </w:tr>
      <w:tr w:rsidR="000646F8" w:rsidRPr="00835753"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835753" w:rsidRDefault="000646F8" w:rsidP="00155C96">
            <w:pPr>
              <w:autoSpaceDE w:val="0"/>
              <w:autoSpaceDN w:val="0"/>
              <w:adjustRightInd w:val="0"/>
              <w:spacing w:after="120"/>
              <w:rPr>
                <w:rFonts w:ascii="Times New Roman" w:hAnsi="Times New Roman" w:cs="Times New Roman"/>
                <w:b/>
                <w:sz w:val="24"/>
                <w:highlight w:val="lightGray"/>
              </w:rPr>
            </w:pPr>
            <w:r w:rsidRPr="00835753">
              <w:rPr>
                <w:rFonts w:ascii="Times New Roman" w:hAnsi="Times New Roman"/>
                <w:b/>
                <w:sz w:val="24"/>
                <w:highlight w:val="lightGray"/>
              </w:rPr>
              <w:t>Oznaczenie kolumny</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835753" w:rsidRDefault="000646F8" w:rsidP="00155C96">
            <w:pPr>
              <w:autoSpaceDE w:val="0"/>
              <w:autoSpaceDN w:val="0"/>
              <w:adjustRightInd w:val="0"/>
              <w:spacing w:after="120"/>
              <w:rPr>
                <w:rFonts w:ascii="Times New Roman" w:hAnsi="Times New Roman" w:cs="Times New Roman"/>
                <w:color w:val="000000"/>
                <w:sz w:val="24"/>
                <w:highlight w:val="lightGray"/>
              </w:rPr>
            </w:pPr>
            <w:r w:rsidRPr="00835753">
              <w:rPr>
                <w:rFonts w:ascii="Times New Roman" w:hAnsi="Times New Roman"/>
                <w:b/>
                <w:sz w:val="24"/>
                <w:highlight w:val="lightGray"/>
              </w:rPr>
              <w:t>Wyjaśnienie</w:t>
            </w:r>
          </w:p>
        </w:tc>
      </w:tr>
      <w:tr w:rsidR="000646F8" w:rsidRPr="00835753"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632" w:type="dxa"/>
            <w:tcBorders>
              <w:top w:val="single" w:sz="4" w:space="0" w:color="auto"/>
              <w:left w:val="single" w:sz="4" w:space="0" w:color="auto"/>
              <w:bottom w:val="single" w:sz="4" w:space="0" w:color="auto"/>
              <w:right w:val="single" w:sz="4" w:space="0" w:color="auto"/>
            </w:tcBorders>
          </w:tcPr>
          <w:p w14:paraId="3695A53C" w14:textId="3E11A17D" w:rsidR="000646F8" w:rsidRPr="00835753" w:rsidRDefault="000646F8" w:rsidP="00155C96">
            <w:pPr>
              <w:autoSpaceDE w:val="0"/>
              <w:autoSpaceDN w:val="0"/>
              <w:adjustRightInd w:val="0"/>
              <w:spacing w:after="120"/>
              <w:jc w:val="both"/>
              <w:rPr>
                <w:rFonts w:ascii="Times New Roman" w:hAnsi="Times New Roman" w:cs="Times New Roman"/>
                <w:b/>
                <w:spacing w:val="-2"/>
                <w:sz w:val="24"/>
              </w:rPr>
            </w:pPr>
            <w:r w:rsidRPr="00835753">
              <w:rPr>
                <w:rFonts w:ascii="Times New Roman" w:hAnsi="Times New Roman"/>
                <w:b/>
                <w:sz w:val="24"/>
              </w:rPr>
              <w:t>Wartość ekspozycji określona</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art</w:t>
            </w:r>
            <w:r w:rsidRPr="00835753">
              <w:rPr>
                <w:rFonts w:ascii="Times New Roman" w:hAnsi="Times New Roman"/>
                <w:b/>
                <w:sz w:val="24"/>
              </w:rPr>
              <w:t>.</w:t>
            </w:r>
            <w:r w:rsidR="00835753" w:rsidRPr="00835753">
              <w:rPr>
                <w:rFonts w:ascii="Times New Roman" w:hAnsi="Times New Roman"/>
                <w:b/>
                <w:sz w:val="24"/>
              </w:rPr>
              <w:t> </w:t>
            </w:r>
            <w:r w:rsidRPr="00835753">
              <w:rPr>
                <w:rFonts w:ascii="Times New Roman" w:hAnsi="Times New Roman"/>
                <w:b/>
                <w:sz w:val="24"/>
              </w:rPr>
              <w:t>166 CRR</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odn</w:t>
            </w:r>
            <w:r w:rsidRPr="00835753">
              <w:rPr>
                <w:rFonts w:ascii="Times New Roman" w:hAnsi="Times New Roman"/>
                <w:b/>
                <w:sz w:val="24"/>
              </w:rPr>
              <w:t>iesieniu do ekspozycji objętych metodą IRB</w:t>
            </w:r>
          </w:p>
          <w:p w14:paraId="25F0B59B" w14:textId="54DD26EA" w:rsidR="000646F8" w:rsidRPr="00835753" w:rsidRDefault="000646F8" w:rsidP="00155C96">
            <w:pPr>
              <w:autoSpaceDE w:val="0"/>
              <w:autoSpaceDN w:val="0"/>
              <w:adjustRightInd w:val="0"/>
              <w:spacing w:after="120"/>
              <w:jc w:val="both"/>
              <w:rPr>
                <w:rFonts w:ascii="Times New Roman" w:hAnsi="Times New Roman" w:cs="Times New Roman"/>
                <w:spacing w:val="-2"/>
                <w:sz w:val="24"/>
              </w:rPr>
            </w:pPr>
            <w:r w:rsidRPr="00835753">
              <w:rPr>
                <w:rFonts w:ascii="Times New Roman" w:hAnsi="Times New Roman"/>
                <w:sz w:val="24"/>
              </w:rPr>
              <w:t>W tej kolumnie instytucje ujawniają wartość ekspozycji określoną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166 CRR wyłącznie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ekspozycji według metody IRB.</w:t>
            </w:r>
          </w:p>
        </w:tc>
      </w:tr>
      <w:tr w:rsidR="000646F8" w:rsidRPr="00835753"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632" w:type="dxa"/>
            <w:tcBorders>
              <w:top w:val="single" w:sz="4" w:space="0" w:color="auto"/>
              <w:left w:val="single" w:sz="4" w:space="0" w:color="auto"/>
              <w:bottom w:val="single" w:sz="4" w:space="0" w:color="auto"/>
              <w:right w:val="single" w:sz="4" w:space="0" w:color="auto"/>
            </w:tcBorders>
          </w:tcPr>
          <w:p w14:paraId="6D41EB47" w14:textId="63DB00B6" w:rsidR="000646F8" w:rsidRPr="00835753" w:rsidRDefault="000646F8" w:rsidP="00155C96">
            <w:pPr>
              <w:autoSpaceDE w:val="0"/>
              <w:autoSpaceDN w:val="0"/>
              <w:adjustRightInd w:val="0"/>
              <w:spacing w:after="120"/>
              <w:jc w:val="both"/>
              <w:rPr>
                <w:rFonts w:ascii="Times New Roman" w:hAnsi="Times New Roman"/>
                <w:b/>
                <w:spacing w:val="-2"/>
                <w:sz w:val="24"/>
              </w:rPr>
            </w:pPr>
            <w:r w:rsidRPr="00835753">
              <w:rPr>
                <w:rFonts w:ascii="Times New Roman" w:hAnsi="Times New Roman"/>
                <w:b/>
                <w:sz w:val="24"/>
              </w:rPr>
              <w:t>Całkowita wartość ekspozycji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odn</w:t>
            </w:r>
            <w:r w:rsidRPr="00835753">
              <w:rPr>
                <w:rFonts w:ascii="Times New Roman" w:hAnsi="Times New Roman"/>
                <w:b/>
                <w:sz w:val="24"/>
              </w:rPr>
              <w:t>iesieniu do ekspozycji według metody standardowej</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wed</w:t>
            </w:r>
            <w:r w:rsidRPr="00835753">
              <w:rPr>
                <w:rFonts w:ascii="Times New Roman" w:hAnsi="Times New Roman"/>
                <w:b/>
                <w:sz w:val="24"/>
              </w:rPr>
              <w:t>ług metody IRB</w:t>
            </w:r>
          </w:p>
          <w:p w14:paraId="14EC010D" w14:textId="020CAAB2"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Instytucje stosują wartość ekspozycji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429 ust.</w:t>
            </w:r>
            <w:r w:rsidR="00835753" w:rsidRPr="00835753">
              <w:rPr>
                <w:rFonts w:ascii="Times New Roman" w:hAnsi="Times New Roman"/>
                <w:sz w:val="24"/>
              </w:rPr>
              <w:t> </w:t>
            </w:r>
            <w:r w:rsidRPr="00835753">
              <w:rPr>
                <w:rFonts w:ascii="Times New Roman" w:hAnsi="Times New Roman"/>
                <w:sz w:val="24"/>
              </w:rPr>
              <w:t>4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ujawnienia całkowitej wartości ekspozycji,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zarówno ekspozycji podlegających metodzie standardowej, jak</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eks</w:t>
            </w:r>
            <w:r w:rsidRPr="00835753">
              <w:rPr>
                <w:rFonts w:ascii="Times New Roman" w:hAnsi="Times New Roman"/>
                <w:sz w:val="24"/>
              </w:rPr>
              <w:t xml:space="preserve">pozycji podlegających metodzie IRB. </w:t>
            </w:r>
          </w:p>
        </w:tc>
      </w:tr>
      <w:tr w:rsidR="000646F8" w:rsidRPr="00835753"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c</w:t>
            </w:r>
            <w:proofErr w:type="gramEnd"/>
            <w:r w:rsidRPr="00835753">
              <w:rPr>
                <w:rFonts w:ascii="Times New Roman" w:hAnsi="Times New Roman"/>
                <w:sz w:val="24"/>
              </w:rPr>
              <w:t>)</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835753" w:rsidRDefault="000646F8" w:rsidP="00155C96">
            <w:pPr>
              <w:autoSpaceDE w:val="0"/>
              <w:autoSpaceDN w:val="0"/>
              <w:adjustRightInd w:val="0"/>
              <w:spacing w:after="120"/>
              <w:jc w:val="both"/>
              <w:rPr>
                <w:rFonts w:ascii="Times New Roman" w:hAnsi="Times New Roman" w:cs="Times New Roman"/>
                <w:b/>
                <w:spacing w:val="-2"/>
                <w:sz w:val="24"/>
              </w:rPr>
            </w:pPr>
            <w:r w:rsidRPr="00835753">
              <w:rPr>
                <w:rFonts w:ascii="Times New Roman" w:hAnsi="Times New Roman"/>
                <w:b/>
                <w:sz w:val="24"/>
              </w:rPr>
              <w:t>Odsetek całkowitej wartości ekspozycji podlegający stałemu zastosowaniu częściowemu metody standardowej (%)</w:t>
            </w:r>
          </w:p>
          <w:p w14:paraId="488DCA7D" w14:textId="11C7E051"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Część ekspozycji dla każdej kategorii ekspozycji podlegająca metodzie standardowej (ekspozycja podlegająca metodzie standardowej określonej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 2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resem otrzymanego od właściwego organu zezwolenia na stałe stosowanie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nie</w:t>
            </w:r>
            <w:r w:rsidRPr="00835753">
              <w:rPr>
                <w:rFonts w:ascii="Times New Roman" w:hAnsi="Times New Roman"/>
                <w:sz w:val="24"/>
              </w:rPr>
              <w:t>pełnym zakresie metody standardowej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150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sunku do ekspozycji całkowitej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tej</w:t>
            </w:r>
            <w:r w:rsidRPr="00835753">
              <w:rPr>
                <w:rFonts w:ascii="Times New Roman" w:hAnsi="Times New Roman"/>
                <w:sz w:val="24"/>
              </w:rPr>
              <w:t xml:space="preserve"> kategorii ekspozycji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b) niniejszego wzoru.</w:t>
            </w:r>
          </w:p>
        </w:tc>
      </w:tr>
      <w:tr w:rsidR="000646F8" w:rsidRPr="00835753"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d</w:t>
            </w:r>
            <w:proofErr w:type="gramEnd"/>
            <w:r w:rsidRPr="00835753">
              <w:rPr>
                <w:rFonts w:ascii="Times New Roman" w:hAnsi="Times New Roman"/>
                <w:sz w:val="24"/>
              </w:rPr>
              <w:t>)</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835753" w:rsidRDefault="000646F8" w:rsidP="00155C96">
            <w:pPr>
              <w:autoSpaceDE w:val="0"/>
              <w:autoSpaceDN w:val="0"/>
              <w:adjustRightInd w:val="0"/>
              <w:spacing w:after="120"/>
              <w:rPr>
                <w:rFonts w:ascii="Times New Roman" w:hAnsi="Times New Roman" w:cs="Times New Roman"/>
                <w:b/>
                <w:spacing w:val="-2"/>
                <w:sz w:val="24"/>
              </w:rPr>
            </w:pPr>
            <w:r w:rsidRPr="00835753">
              <w:rPr>
                <w:rFonts w:ascii="Times New Roman" w:hAnsi="Times New Roman"/>
                <w:b/>
                <w:sz w:val="24"/>
              </w:rPr>
              <w:t>Odsetek całkowitej wartości ekspozycji według metody IRB (%)</w:t>
            </w:r>
          </w:p>
          <w:p w14:paraId="76473BF7" w14:textId="29EF822F" w:rsidR="000646F8" w:rsidRPr="00835753" w:rsidRDefault="000646F8" w:rsidP="00155C96">
            <w:pPr>
              <w:autoSpaceDE w:val="0"/>
              <w:autoSpaceDN w:val="0"/>
              <w:adjustRightInd w:val="0"/>
              <w:spacing w:after="120"/>
              <w:jc w:val="both"/>
              <w:rPr>
                <w:rFonts w:ascii="Times New Roman" w:hAnsi="Times New Roman" w:cs="Times New Roman"/>
                <w:spacing w:val="-2"/>
                <w:sz w:val="24"/>
              </w:rPr>
            </w:pPr>
            <w:r w:rsidRPr="00835753">
              <w:rPr>
                <w:rFonts w:ascii="Times New Roman" w:hAnsi="Times New Roman"/>
                <w:sz w:val="24"/>
              </w:rPr>
              <w:t>Część ekspozycji dla każdej kategorii ekspozycji podlegająca metodzie IRB (ekspozycja podlegająca metodzie IRB określonej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 3</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sunku do ekspozycji całkowitej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tej</w:t>
            </w:r>
            <w:r w:rsidRPr="00835753">
              <w:rPr>
                <w:rFonts w:ascii="Times New Roman" w:hAnsi="Times New Roman"/>
                <w:sz w:val="24"/>
              </w:rPr>
              <w:t xml:space="preserve"> kategorii ekspozycji)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resem otrzymanego od właściwego organu zezwolenia na stosowanie metody IRB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143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sunku do ekspozycji całkowitej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tej</w:t>
            </w:r>
            <w:r w:rsidRPr="00835753">
              <w:rPr>
                <w:rFonts w:ascii="Times New Roman" w:hAnsi="Times New Roman"/>
                <w:sz w:val="24"/>
              </w:rPr>
              <w:t xml:space="preserve"> kategorii ekspozycji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b) niniejszego wzoru. Obejmuje to zarówno ekspozycje,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których instytucje mają zezwolenie na stosowanie własnych oszacowań wartości LGD</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wsp</w:t>
            </w:r>
            <w:r w:rsidRPr="00835753">
              <w:rPr>
                <w:rFonts w:ascii="Times New Roman" w:hAnsi="Times New Roman"/>
                <w:sz w:val="24"/>
              </w:rPr>
              <w:t>ółczynników konwersji lub nie (F-IRB i A-IRB), łącznie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odą klasyfikacji nadzorczej dla ekspozycji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kre</w:t>
            </w:r>
            <w:r w:rsidRPr="00835753">
              <w:rPr>
                <w:rFonts w:ascii="Times New Roman" w:hAnsi="Times New Roman"/>
                <w:sz w:val="24"/>
              </w:rPr>
              <w:t>dytowaniem specjalistycznym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eks</w:t>
            </w:r>
            <w:r w:rsidRPr="00835753">
              <w:rPr>
                <w:rFonts w:ascii="Times New Roman" w:hAnsi="Times New Roman"/>
                <w:sz w:val="24"/>
              </w:rPr>
              <w:t>pozycji kapitałowych według uproszczonej metody ważenia ryzykiem.</w:t>
            </w:r>
          </w:p>
        </w:tc>
      </w:tr>
      <w:tr w:rsidR="000646F8" w:rsidRPr="00835753"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lastRenderedPageBreak/>
              <w:t>e</w:t>
            </w:r>
            <w:proofErr w:type="gramEnd"/>
            <w:r w:rsidRPr="00835753">
              <w:rPr>
                <w:rFonts w:ascii="Times New Roman" w:hAnsi="Times New Roman"/>
                <w:sz w:val="24"/>
              </w:rPr>
              <w:t>)</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835753" w:rsidRDefault="000646F8" w:rsidP="00155C96">
            <w:pPr>
              <w:autoSpaceDE w:val="0"/>
              <w:autoSpaceDN w:val="0"/>
              <w:adjustRightInd w:val="0"/>
              <w:spacing w:after="120"/>
              <w:jc w:val="both"/>
              <w:rPr>
                <w:rFonts w:ascii="Times New Roman" w:hAnsi="Times New Roman" w:cs="Times New Roman"/>
                <w:b/>
                <w:spacing w:val="-2"/>
                <w:sz w:val="24"/>
              </w:rPr>
            </w:pPr>
            <w:r w:rsidRPr="00835753">
              <w:rPr>
                <w:rFonts w:ascii="Times New Roman" w:hAnsi="Times New Roman"/>
                <w:b/>
                <w:sz w:val="24"/>
              </w:rPr>
              <w:t>Wyrażona procentowo całkowita wartość ekspozycji objętej planem wdrożenia metody (%)</w:t>
            </w:r>
          </w:p>
          <w:p w14:paraId="0A1E83BC" w14:textId="6409E0A2" w:rsidR="000646F8" w:rsidRPr="00835753" w:rsidRDefault="000646F8" w:rsidP="00155C96">
            <w:pPr>
              <w:autoSpaceDE w:val="0"/>
              <w:autoSpaceDN w:val="0"/>
              <w:adjustRightInd w:val="0"/>
              <w:spacing w:after="120"/>
              <w:jc w:val="both"/>
              <w:rPr>
                <w:rFonts w:ascii="Times New Roman" w:hAnsi="Times New Roman" w:cs="Times New Roman"/>
                <w:spacing w:val="-2"/>
                <w:sz w:val="24"/>
              </w:rPr>
            </w:pPr>
            <w:r w:rsidRPr="00835753">
              <w:rPr>
                <w:rFonts w:ascii="Times New Roman" w:hAnsi="Times New Roman"/>
                <w:sz w:val="24"/>
              </w:rPr>
              <w:t>Część ekspozycji dla każdej kategorii ekspozycji podlegająca sekwencyjnemu wdrażaniu metody IRB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148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sunku do ekspozycji całkowitej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tej</w:t>
            </w:r>
            <w:r w:rsidRPr="00835753">
              <w:rPr>
                <w:rFonts w:ascii="Times New Roman" w:hAnsi="Times New Roman"/>
                <w:sz w:val="24"/>
              </w:rPr>
              <w:t xml:space="preserve"> kategorii ekspozycji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b</w:t>
            </w:r>
            <w:proofErr w:type="gramStart"/>
            <w:r w:rsidRPr="00835753">
              <w:rPr>
                <w:rFonts w:ascii="Times New Roman" w:hAnsi="Times New Roman"/>
                <w:sz w:val="24"/>
              </w:rPr>
              <w:t>). Obejmuje</w:t>
            </w:r>
            <w:proofErr w:type="gramEnd"/>
            <w:r w:rsidRPr="00835753">
              <w:rPr>
                <w:rFonts w:ascii="Times New Roman" w:hAnsi="Times New Roman"/>
                <w:sz w:val="24"/>
              </w:rPr>
              <w:t xml:space="preserve"> to:</w:t>
            </w:r>
          </w:p>
          <w:p w14:paraId="4FB079D8" w14:textId="4F7E4885" w:rsidR="000646F8" w:rsidRPr="00835753"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proofErr w:type="gramStart"/>
            <w:r w:rsidRPr="00835753">
              <w:rPr>
                <w:rFonts w:ascii="Times New Roman" w:hAnsi="Times New Roman"/>
                <w:sz w:val="24"/>
              </w:rPr>
              <w:t>zarówno</w:t>
            </w:r>
            <w:proofErr w:type="gramEnd"/>
            <w:r w:rsidRPr="00835753">
              <w:rPr>
                <w:rFonts w:ascii="Times New Roman" w:hAnsi="Times New Roman"/>
                <w:sz w:val="24"/>
              </w:rPr>
              <w:t xml:space="preserve"> ekspozycje,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których instytucje planują stosować metodę IRB</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uwz</w:t>
            </w:r>
            <w:r w:rsidRPr="00835753">
              <w:rPr>
                <w:rFonts w:ascii="Times New Roman" w:hAnsi="Times New Roman"/>
                <w:sz w:val="24"/>
              </w:rPr>
              <w:t>ględnieniem własnych oszacowań wartości LGD</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wsp</w:t>
            </w:r>
            <w:r w:rsidRPr="00835753">
              <w:rPr>
                <w:rFonts w:ascii="Times New Roman" w:hAnsi="Times New Roman"/>
                <w:sz w:val="24"/>
              </w:rPr>
              <w:t>ółczynników konwersji lub bez (F-IRB lub A-IRB),</w:t>
            </w:r>
          </w:p>
          <w:p w14:paraId="403F364D" w14:textId="68F66947" w:rsidR="000646F8" w:rsidRPr="00835753"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proofErr w:type="gramStart"/>
            <w:r w:rsidRPr="00835753">
              <w:rPr>
                <w:rFonts w:ascii="Times New Roman" w:hAnsi="Times New Roman"/>
                <w:sz w:val="24"/>
              </w:rPr>
              <w:t>nieistotne</w:t>
            </w:r>
            <w:proofErr w:type="gramEnd"/>
            <w:r w:rsidRPr="00835753">
              <w:rPr>
                <w:rFonts w:ascii="Times New Roman" w:hAnsi="Times New Roman"/>
                <w:sz w:val="24"/>
              </w:rPr>
              <w:t xml:space="preserve"> ekspozycje kapitałowe, których nie uwzględniono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c) i d) niniejszego wzoru,</w:t>
            </w:r>
          </w:p>
          <w:p w14:paraId="5412F1DA" w14:textId="5DFA5EF3" w:rsidR="000646F8" w:rsidRPr="00835753"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proofErr w:type="gramStart"/>
            <w:r w:rsidRPr="00835753">
              <w:rPr>
                <w:rFonts w:ascii="Times New Roman" w:hAnsi="Times New Roman"/>
                <w:sz w:val="24"/>
              </w:rPr>
              <w:t>ekspozycje</w:t>
            </w:r>
            <w:proofErr w:type="gramEnd"/>
            <w:r w:rsidRPr="00835753">
              <w:rPr>
                <w:rFonts w:ascii="Times New Roman" w:hAnsi="Times New Roman"/>
                <w:sz w:val="24"/>
              </w:rPr>
              <w:t xml:space="preserve"> podlegające już metodzie F-IRB,</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gdy instytucja planuje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yszłości zastosować metodę A-IRB,</w:t>
            </w:r>
          </w:p>
          <w:p w14:paraId="75D515C7" w14:textId="571AE214" w:rsidR="000646F8" w:rsidRPr="00835753" w:rsidRDefault="000646F8" w:rsidP="000646F8">
            <w:pPr>
              <w:pStyle w:val="ListParagraph"/>
              <w:numPr>
                <w:ilvl w:val="0"/>
                <w:numId w:val="52"/>
              </w:numPr>
              <w:spacing w:after="120"/>
              <w:jc w:val="both"/>
              <w:rPr>
                <w:rFonts w:ascii="Times New Roman" w:hAnsi="Times New Roman"/>
                <w:sz w:val="24"/>
              </w:rPr>
            </w:pPr>
            <w:proofErr w:type="gramStart"/>
            <w:r w:rsidRPr="00835753">
              <w:rPr>
                <w:rFonts w:ascii="Times New Roman" w:hAnsi="Times New Roman"/>
                <w:sz w:val="24"/>
              </w:rPr>
              <w:t>ekspozycje</w:t>
            </w:r>
            <w:proofErr w:type="gramEnd"/>
            <w:r w:rsidRPr="00835753">
              <w:rPr>
                <w:rFonts w:ascii="Times New Roman" w:hAnsi="Times New Roman"/>
                <w:sz w:val="24"/>
              </w:rPr>
              <w:t xml:space="preserve">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kre</w:t>
            </w:r>
            <w:r w:rsidRPr="00835753">
              <w:rPr>
                <w:rFonts w:ascii="Times New Roman" w:hAnsi="Times New Roman"/>
                <w:sz w:val="24"/>
              </w:rPr>
              <w:t>dytowaniem specjalistycznym podlegającym metodzie klasyfikacji nadzorczej, nieuwzględnione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d) niniejszego wzoru.</w:t>
            </w:r>
          </w:p>
        </w:tc>
      </w:tr>
    </w:tbl>
    <w:p w14:paraId="53E80979" w14:textId="77777777" w:rsidR="000646F8" w:rsidRPr="00835753"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835753"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7777777" w:rsidR="000646F8" w:rsidRPr="00835753" w:rsidRDefault="000646F8"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45A9AF43" w:rsidR="000646F8" w:rsidRPr="00835753" w:rsidRDefault="000646F8"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0646F8" w:rsidRPr="00835753"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835753"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835753" w:rsidRDefault="000646F8"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0646F8" w:rsidRPr="00835753" w14:paraId="4A04EB84" w14:textId="77777777" w:rsidTr="00155C96">
        <w:trPr>
          <w:trHeight w:val="316"/>
        </w:trPr>
        <w:tc>
          <w:tcPr>
            <w:tcW w:w="1413" w:type="dxa"/>
          </w:tcPr>
          <w:p w14:paraId="08EE6AD8"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Kategorie ekspozycji</w:t>
            </w:r>
          </w:p>
        </w:tc>
        <w:tc>
          <w:tcPr>
            <w:tcW w:w="7654" w:type="dxa"/>
          </w:tcPr>
          <w:p w14:paraId="3D859DD6" w14:textId="1062E86D" w:rsidR="000646F8" w:rsidRPr="00835753" w:rsidRDefault="000646F8" w:rsidP="00155C96">
            <w:pPr>
              <w:spacing w:after="120"/>
              <w:jc w:val="both"/>
              <w:rPr>
                <w:rFonts w:ascii="Times New Roman" w:eastAsiaTheme="minorHAnsi" w:hAnsi="Times New Roman" w:cs="Times New Roman"/>
                <w:sz w:val="24"/>
              </w:rPr>
            </w:pPr>
            <w:r w:rsidRPr="00835753">
              <w:rPr>
                <w:rFonts w:ascii="Times New Roman" w:hAnsi="Times New Roman"/>
                <w:sz w:val="24"/>
              </w:rPr>
              <w:t>Instytucje uwzględniają we wzorze CR 6-A informacje według kategorii ekspozycji,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ziałem na kategorie ekspozycji zawartym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rszach tego wzoru.</w:t>
            </w:r>
          </w:p>
        </w:tc>
      </w:tr>
    </w:tbl>
    <w:p w14:paraId="39CBF973" w14:textId="77777777" w:rsidR="000646F8" w:rsidRPr="00835753" w:rsidRDefault="000646F8" w:rsidP="000646F8">
      <w:pPr>
        <w:spacing w:after="120"/>
        <w:rPr>
          <w:rFonts w:ascii="Times New Roman" w:hAnsi="Times New Roman" w:cs="Times New Roman"/>
          <w:sz w:val="24"/>
        </w:rPr>
      </w:pPr>
    </w:p>
    <w:p w14:paraId="612D8A17" w14:textId="4B75E593" w:rsidR="000646F8" w:rsidRPr="00835753" w:rsidRDefault="00CD362D" w:rsidP="000646F8">
      <w:pPr>
        <w:spacing w:after="120"/>
        <w:rPr>
          <w:rFonts w:ascii="Times New Roman" w:hAnsi="Times New Roman" w:cs="Times New Roman"/>
          <w:b/>
          <w:sz w:val="24"/>
        </w:rPr>
      </w:pPr>
      <w:r w:rsidRPr="00835753">
        <w:rPr>
          <w:rFonts w:ascii="Times New Roman" w:hAnsi="Times New Roman"/>
          <w:b/>
          <w:sz w:val="24"/>
        </w:rPr>
        <w:t>Wzór EU CR7 – Metoda IRB – wpływ kredytowych instrumentów pochodnych stosowanych jako techniki ograniczania ryzyka kredytowego na kwoty ekspozycji ważonych ryzykiem. Wzór</w:t>
      </w:r>
      <w:r w:rsidR="00835753" w:rsidRPr="00835753">
        <w:rPr>
          <w:rFonts w:ascii="Times New Roman" w:hAnsi="Times New Roman"/>
          <w:b/>
          <w:sz w:val="24"/>
        </w:rPr>
        <w:t xml:space="preserve"> o</w:t>
      </w:r>
      <w:r w:rsidR="00835753">
        <w:rPr>
          <w:rFonts w:ascii="Times New Roman" w:hAnsi="Times New Roman"/>
          <w:b/>
          <w:sz w:val="24"/>
        </w:rPr>
        <w:t> </w:t>
      </w:r>
      <w:r w:rsidR="00835753" w:rsidRPr="00835753">
        <w:rPr>
          <w:rFonts w:ascii="Times New Roman" w:hAnsi="Times New Roman"/>
          <w:b/>
          <w:sz w:val="24"/>
        </w:rPr>
        <w:t>for</w:t>
      </w:r>
      <w:r w:rsidRPr="00835753">
        <w:rPr>
          <w:rFonts w:ascii="Times New Roman" w:hAnsi="Times New Roman"/>
          <w:b/>
          <w:sz w:val="24"/>
        </w:rPr>
        <w:t>macie stałym</w:t>
      </w:r>
    </w:p>
    <w:p w14:paraId="2B1781FA" w14:textId="2580E331" w:rsidR="000646F8" w:rsidRPr="00835753" w:rsidRDefault="000646F8" w:rsidP="000646F8">
      <w:pPr>
        <w:pStyle w:val="ListParagraph"/>
        <w:numPr>
          <w:ilvl w:val="0"/>
          <w:numId w:val="51"/>
        </w:numPr>
        <w:spacing w:after="120"/>
        <w:jc w:val="both"/>
        <w:rPr>
          <w:rFonts w:ascii="Times New Roman" w:hAnsi="Times New Roman"/>
          <w:sz w:val="24"/>
        </w:rPr>
      </w:pPr>
      <w:r w:rsidRPr="00835753">
        <w:rPr>
          <w:rFonts w:ascii="Times New Roman" w:hAnsi="Times New Roman"/>
          <w:sz w:val="24"/>
        </w:rPr>
        <w:t>W celu wypełnienia wzoru EU CR7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XXI do niniejszego rozporządzenia wykonawczego instytucje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453 lit.</w:t>
      </w:r>
      <w:r w:rsidR="00835753" w:rsidRPr="00835753">
        <w:rPr>
          <w:rFonts w:ascii="Times New Roman" w:hAnsi="Times New Roman"/>
          <w:sz w:val="24"/>
        </w:rPr>
        <w:t> </w:t>
      </w:r>
      <w:r w:rsidRPr="00835753">
        <w:rPr>
          <w:rFonts w:ascii="Times New Roman" w:hAnsi="Times New Roman"/>
          <w:sz w:val="24"/>
        </w:rPr>
        <w:t>j)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 Instytucje dołączają do tego wzoru opis zawierający wyjaśnienie wpływu kredytowych instrumentów pochodnych na kwoty ekspozycji ważonych ryzykiem. Ten wzór nie obejmuje ekspozycji na ryzyko kredytowe kontrahenta (CCR) (część trzecia tytuł II rozdział 6 CRR), ekspozycji sekurytyzacyjnych, innych aktywów niegenerujących zobowiązania kredytowego ani ekspozycji kapitałowych.</w:t>
      </w:r>
    </w:p>
    <w:p w14:paraId="3FE223B2" w14:textId="77777777" w:rsidR="000646F8" w:rsidRPr="00835753"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835753"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835753" w:rsidRDefault="000646F8"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Oznaczenie kolumny</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03E3400C" w:rsidR="000646F8" w:rsidRPr="00835753" w:rsidRDefault="000646F8"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0646F8" w:rsidRPr="00835753"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835753"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835753" w:rsidRDefault="000646F8"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0646F8" w:rsidRPr="00835753" w14:paraId="4F6A3256" w14:textId="77777777" w:rsidTr="00155C96">
        <w:trPr>
          <w:trHeight w:val="316"/>
        </w:trPr>
        <w:tc>
          <w:tcPr>
            <w:tcW w:w="1413" w:type="dxa"/>
          </w:tcPr>
          <w:p w14:paraId="49F03C7F"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lastRenderedPageBreak/>
              <w:t>a</w:t>
            </w:r>
            <w:proofErr w:type="gramEnd"/>
            <w:r w:rsidRPr="00835753">
              <w:rPr>
                <w:rFonts w:ascii="Times New Roman" w:hAnsi="Times New Roman"/>
                <w:sz w:val="24"/>
              </w:rPr>
              <w:t>)</w:t>
            </w:r>
          </w:p>
        </w:tc>
        <w:tc>
          <w:tcPr>
            <w:tcW w:w="7654" w:type="dxa"/>
          </w:tcPr>
          <w:p w14:paraId="204DB09A" w14:textId="51A52C8E" w:rsidR="000646F8" w:rsidRPr="00835753" w:rsidRDefault="000646F8" w:rsidP="00155C96">
            <w:pPr>
              <w:pStyle w:val="Default"/>
              <w:spacing w:after="120"/>
              <w:rPr>
                <w:rFonts w:ascii="Times New Roman" w:hAnsi="Times New Roman" w:cs="Times New Roman"/>
                <w:b/>
                <w:color w:val="auto"/>
              </w:rPr>
            </w:pPr>
            <w:r w:rsidRPr="00835753">
              <w:rPr>
                <w:rFonts w:ascii="Times New Roman" w:hAnsi="Times New Roman"/>
                <w:b/>
                <w:color w:val="auto"/>
              </w:rPr>
              <w:t>Kwota ekspozycji ważonej ryzykiem przed uwzględnieniem kredytowych instrumentów pochodnych</w:t>
            </w:r>
          </w:p>
          <w:p w14:paraId="5F7CBCF7" w14:textId="37ECA89D" w:rsidR="000646F8" w:rsidRPr="00835753" w:rsidRDefault="000646F8" w:rsidP="00155C96">
            <w:pPr>
              <w:pStyle w:val="Default"/>
              <w:spacing w:after="120"/>
              <w:rPr>
                <w:rFonts w:ascii="Times New Roman" w:hAnsi="Times New Roman" w:cs="Times New Roman"/>
              </w:rPr>
            </w:pPr>
            <w:r w:rsidRPr="00835753">
              <w:rPr>
                <w:rFonts w:ascii="Times New Roman" w:hAnsi="Times New Roman"/>
                <w:color w:val="auto"/>
              </w:rPr>
              <w:t>Hipotetyczna kwota ekspozycji ważonej ryzykiem obliczona na podstawie rzeczywistej RWEA</w:t>
            </w:r>
            <w:r w:rsidR="00835753" w:rsidRPr="00835753">
              <w:rPr>
                <w:rFonts w:ascii="Times New Roman" w:hAnsi="Times New Roman"/>
                <w:color w:val="auto"/>
              </w:rPr>
              <w:t xml:space="preserve"> z</w:t>
            </w:r>
            <w:r w:rsidR="00835753">
              <w:rPr>
                <w:rFonts w:ascii="Times New Roman" w:hAnsi="Times New Roman"/>
                <w:color w:val="auto"/>
              </w:rPr>
              <w:t> </w:t>
            </w:r>
            <w:r w:rsidR="00835753" w:rsidRPr="00835753">
              <w:rPr>
                <w:rFonts w:ascii="Times New Roman" w:hAnsi="Times New Roman"/>
                <w:color w:val="auto"/>
              </w:rPr>
              <w:t>zał</w:t>
            </w:r>
            <w:r w:rsidRPr="00835753">
              <w:rPr>
                <w:rFonts w:ascii="Times New Roman" w:hAnsi="Times New Roman"/>
                <w:color w:val="auto"/>
              </w:rPr>
              <w:t>ożeniem wyłącznie braku uznania kredytowego instrumentu pochodnego jako techniki ograniczania ryzyka kredytowego, jak określono</w:t>
            </w:r>
            <w:r w:rsidR="00835753" w:rsidRPr="00835753">
              <w:rPr>
                <w:rFonts w:ascii="Times New Roman" w:hAnsi="Times New Roman"/>
                <w:color w:val="auto"/>
              </w:rPr>
              <w:t xml:space="preserve"> w</w:t>
            </w:r>
            <w:r w:rsidR="00835753">
              <w:rPr>
                <w:rFonts w:ascii="Times New Roman" w:hAnsi="Times New Roman"/>
                <w:color w:val="auto"/>
              </w:rPr>
              <w:t> </w:t>
            </w:r>
            <w:r w:rsidR="00835753" w:rsidRPr="00835753">
              <w:rPr>
                <w:rFonts w:ascii="Times New Roman" w:hAnsi="Times New Roman"/>
                <w:color w:val="auto"/>
              </w:rPr>
              <w:t>art</w:t>
            </w:r>
            <w:r w:rsidRPr="00835753">
              <w:rPr>
                <w:rFonts w:ascii="Times New Roman" w:hAnsi="Times New Roman"/>
                <w:color w:val="auto"/>
              </w:rPr>
              <w:t>.</w:t>
            </w:r>
            <w:r w:rsidR="00835753" w:rsidRPr="00835753">
              <w:rPr>
                <w:rFonts w:ascii="Times New Roman" w:hAnsi="Times New Roman"/>
                <w:color w:val="auto"/>
              </w:rPr>
              <w:t> </w:t>
            </w:r>
            <w:r w:rsidRPr="00835753">
              <w:rPr>
                <w:rFonts w:ascii="Times New Roman" w:hAnsi="Times New Roman"/>
                <w:color w:val="auto"/>
              </w:rPr>
              <w:t>204 CRR. Kwoty te przedstawia się</w:t>
            </w:r>
            <w:r w:rsidR="00835753" w:rsidRPr="00835753">
              <w:rPr>
                <w:rFonts w:ascii="Times New Roman" w:hAnsi="Times New Roman"/>
                <w:color w:val="auto"/>
              </w:rPr>
              <w:t xml:space="preserve"> w</w:t>
            </w:r>
            <w:r w:rsidR="00835753">
              <w:rPr>
                <w:rFonts w:ascii="Times New Roman" w:hAnsi="Times New Roman"/>
                <w:color w:val="auto"/>
              </w:rPr>
              <w:t> </w:t>
            </w:r>
            <w:r w:rsidR="00835753" w:rsidRPr="00835753">
              <w:rPr>
                <w:rFonts w:ascii="Times New Roman" w:hAnsi="Times New Roman"/>
                <w:color w:val="auto"/>
              </w:rPr>
              <w:t>kat</w:t>
            </w:r>
            <w:r w:rsidRPr="00835753">
              <w:rPr>
                <w:rFonts w:ascii="Times New Roman" w:hAnsi="Times New Roman"/>
                <w:color w:val="auto"/>
              </w:rPr>
              <w:t>egoriach ekspozycji istotnych dla ekspozycji wobec dłużnika pierwotnego.</w:t>
            </w:r>
          </w:p>
        </w:tc>
      </w:tr>
      <w:tr w:rsidR="000646F8" w:rsidRPr="00835753" w14:paraId="5F7C6B10" w14:textId="77777777" w:rsidTr="00155C96">
        <w:trPr>
          <w:trHeight w:val="316"/>
        </w:trPr>
        <w:tc>
          <w:tcPr>
            <w:tcW w:w="1413" w:type="dxa"/>
          </w:tcPr>
          <w:p w14:paraId="3819E895"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654" w:type="dxa"/>
          </w:tcPr>
          <w:p w14:paraId="54FC5FB7" w14:textId="257AA22A" w:rsidR="000646F8" w:rsidRPr="00835753" w:rsidRDefault="000646F8" w:rsidP="00155C96">
            <w:pPr>
              <w:spacing w:after="120"/>
              <w:jc w:val="both"/>
              <w:rPr>
                <w:rFonts w:ascii="Times New Roman" w:hAnsi="Times New Roman" w:cs="Times New Roman"/>
                <w:b/>
                <w:sz w:val="24"/>
              </w:rPr>
            </w:pPr>
            <w:r w:rsidRPr="00835753">
              <w:rPr>
                <w:rFonts w:ascii="Times New Roman" w:hAnsi="Times New Roman"/>
                <w:b/>
                <w:sz w:val="24"/>
              </w:rPr>
              <w:t>Rzeczywista kwota ekspozycji ważonej ryzykiem</w:t>
            </w:r>
          </w:p>
          <w:p w14:paraId="70F0C32C" w14:textId="3344818F"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Kwota ekspozycji ważonej ryzykiem obliczona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uwz</w:t>
            </w:r>
            <w:r w:rsidRPr="00835753">
              <w:rPr>
                <w:rFonts w:ascii="Times New Roman" w:hAnsi="Times New Roman"/>
                <w:sz w:val="24"/>
              </w:rPr>
              <w:t>ględnieniem wpływu kredytowych instrumentów pochodnych. Jeżeli instytucje zastępują wagę ryzyka lub parametry ryzyka dłużnika wagą ryzyka lub parametrami ryzyka dostawcy ochrony, kwoty ekspozycji ważonych ryzykiem przedstawia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kat</w:t>
            </w:r>
            <w:r w:rsidRPr="00835753">
              <w:rPr>
                <w:rFonts w:ascii="Times New Roman" w:hAnsi="Times New Roman"/>
                <w:sz w:val="24"/>
              </w:rPr>
              <w:t>egorii ekspozycji istotnej</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pun</w:t>
            </w:r>
            <w:r w:rsidRPr="00835753">
              <w:rPr>
                <w:rFonts w:ascii="Times New Roman" w:hAnsi="Times New Roman"/>
                <w:sz w:val="24"/>
              </w:rPr>
              <w:t>ktu widzenia bezpośrednich ekspozycji wobec dostawcy ochrony.</w:t>
            </w:r>
          </w:p>
        </w:tc>
      </w:tr>
    </w:tbl>
    <w:p w14:paraId="43243D39" w14:textId="77777777" w:rsidR="000646F8" w:rsidRPr="00835753"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835753"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835753" w:rsidRDefault="000646F8"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Oznaczenie wiersza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0DBEA278" w:rsidR="000646F8" w:rsidRPr="00835753" w:rsidRDefault="000646F8"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0646F8" w:rsidRPr="00835753"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835753"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835753" w:rsidRDefault="000646F8"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0646F8" w:rsidRPr="00835753" w14:paraId="7B016DBA" w14:textId="77777777" w:rsidTr="00155C96">
        <w:trPr>
          <w:trHeight w:val="316"/>
        </w:trPr>
        <w:tc>
          <w:tcPr>
            <w:tcW w:w="1413" w:type="dxa"/>
          </w:tcPr>
          <w:p w14:paraId="34D7D2BB" w14:textId="706757B5"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1 do</w:t>
            </w:r>
            <w:r w:rsidR="00835753" w:rsidRPr="00835753">
              <w:rPr>
                <w:rFonts w:ascii="Times New Roman" w:hAnsi="Times New Roman"/>
                <w:sz w:val="24"/>
              </w:rPr>
              <w:t> </w:t>
            </w:r>
            <w:r w:rsidRPr="00835753">
              <w:rPr>
                <w:rFonts w:ascii="Times New Roman" w:hAnsi="Times New Roman"/>
                <w:sz w:val="24"/>
              </w:rPr>
              <w:t>9</w:t>
            </w:r>
          </w:p>
        </w:tc>
        <w:tc>
          <w:tcPr>
            <w:tcW w:w="7654" w:type="dxa"/>
          </w:tcPr>
          <w:p w14:paraId="56BC30F7" w14:textId="3010075E" w:rsidR="000646F8" w:rsidRPr="00835753" w:rsidRDefault="000646F8" w:rsidP="00155C96">
            <w:pPr>
              <w:pStyle w:val="Default"/>
              <w:spacing w:after="120"/>
              <w:jc w:val="both"/>
              <w:rPr>
                <w:rFonts w:ascii="Times New Roman" w:hAnsi="Times New Roman" w:cs="Times New Roman"/>
                <w:color w:val="auto"/>
              </w:rPr>
            </w:pPr>
            <w:r w:rsidRPr="00835753">
              <w:rPr>
                <w:rFonts w:ascii="Times New Roman" w:hAnsi="Times New Roman"/>
                <w:iCs/>
              </w:rPr>
              <w:t>Instytucje uwzględniają kwotę ekspozycji ważonej ryzykiem przed uwzględnieniem kredytowych instrumentów pochodnych</w:t>
            </w:r>
            <w:r w:rsidR="00835753" w:rsidRPr="00835753">
              <w:rPr>
                <w:rFonts w:ascii="Times New Roman" w:hAnsi="Times New Roman"/>
                <w:iCs/>
              </w:rPr>
              <w:t xml:space="preserve"> i</w:t>
            </w:r>
            <w:r w:rsidR="00835753">
              <w:rPr>
                <w:rFonts w:ascii="Times New Roman" w:hAnsi="Times New Roman"/>
                <w:iCs/>
              </w:rPr>
              <w:t> </w:t>
            </w:r>
            <w:r w:rsidR="00835753" w:rsidRPr="00835753">
              <w:rPr>
                <w:rFonts w:ascii="Times New Roman" w:hAnsi="Times New Roman"/>
                <w:iCs/>
              </w:rPr>
              <w:t>rze</w:t>
            </w:r>
            <w:r w:rsidRPr="00835753">
              <w:rPr>
                <w:rFonts w:ascii="Times New Roman" w:hAnsi="Times New Roman"/>
                <w:iCs/>
              </w:rPr>
              <w:t>czywistej ekspozycji ważonej ryzykiem</w:t>
            </w:r>
            <w:r w:rsidR="00835753" w:rsidRPr="00835753">
              <w:rPr>
                <w:rFonts w:ascii="Times New Roman" w:hAnsi="Times New Roman"/>
                <w:iCs/>
              </w:rPr>
              <w:t xml:space="preserve"> w</w:t>
            </w:r>
            <w:r w:rsidR="00835753">
              <w:rPr>
                <w:rFonts w:ascii="Times New Roman" w:hAnsi="Times New Roman"/>
                <w:iCs/>
              </w:rPr>
              <w:t> </w:t>
            </w:r>
            <w:r w:rsidR="00835753" w:rsidRPr="00835753">
              <w:rPr>
                <w:rFonts w:ascii="Times New Roman" w:hAnsi="Times New Roman"/>
                <w:iCs/>
              </w:rPr>
              <w:t>pod</w:t>
            </w:r>
            <w:r w:rsidRPr="00835753">
              <w:rPr>
                <w:rFonts w:ascii="Times New Roman" w:hAnsi="Times New Roman"/>
                <w:iCs/>
              </w:rPr>
              <w:t>ziale według kategorii ekspozycji zgodnie</w:t>
            </w:r>
            <w:r w:rsidR="00835753" w:rsidRPr="00835753">
              <w:rPr>
                <w:rFonts w:ascii="Times New Roman" w:hAnsi="Times New Roman"/>
                <w:iCs/>
              </w:rPr>
              <w:t xml:space="preserve"> z</w:t>
            </w:r>
            <w:r w:rsidR="00835753">
              <w:rPr>
                <w:rFonts w:ascii="Times New Roman" w:hAnsi="Times New Roman"/>
                <w:iCs/>
              </w:rPr>
              <w:t> </w:t>
            </w:r>
            <w:r w:rsidR="00835753" w:rsidRPr="00835753">
              <w:rPr>
                <w:rFonts w:ascii="Times New Roman" w:hAnsi="Times New Roman"/>
                <w:iCs/>
              </w:rPr>
              <w:t>kat</w:t>
            </w:r>
            <w:r w:rsidRPr="00835753">
              <w:rPr>
                <w:rFonts w:ascii="Times New Roman" w:hAnsi="Times New Roman"/>
                <w:iCs/>
              </w:rPr>
              <w:t>egoriami ekspozycji wymienionymi</w:t>
            </w:r>
            <w:r w:rsidR="00835753" w:rsidRPr="00835753">
              <w:rPr>
                <w:rFonts w:ascii="Times New Roman" w:hAnsi="Times New Roman"/>
                <w:iCs/>
              </w:rPr>
              <w:t xml:space="preserve"> w</w:t>
            </w:r>
            <w:r w:rsidR="00835753">
              <w:rPr>
                <w:rFonts w:ascii="Times New Roman" w:hAnsi="Times New Roman"/>
                <w:iCs/>
              </w:rPr>
              <w:t> </w:t>
            </w:r>
            <w:r w:rsidR="00835753" w:rsidRPr="00835753">
              <w:rPr>
                <w:rFonts w:ascii="Times New Roman" w:hAnsi="Times New Roman"/>
                <w:iCs/>
              </w:rPr>
              <w:t>art</w:t>
            </w:r>
            <w:r w:rsidRPr="00835753">
              <w:rPr>
                <w:rFonts w:ascii="Times New Roman" w:hAnsi="Times New Roman"/>
                <w:iCs/>
              </w:rPr>
              <w:t>.</w:t>
            </w:r>
            <w:r w:rsidR="00835753" w:rsidRPr="00835753">
              <w:rPr>
                <w:rFonts w:ascii="Times New Roman" w:hAnsi="Times New Roman"/>
                <w:iCs/>
              </w:rPr>
              <w:t> </w:t>
            </w:r>
            <w:r w:rsidRPr="00835753">
              <w:rPr>
                <w:rFonts w:ascii="Times New Roman" w:hAnsi="Times New Roman"/>
                <w:iCs/>
              </w:rPr>
              <w:t>147 CRR</w:t>
            </w:r>
            <w:r w:rsidR="00835753" w:rsidRPr="00835753">
              <w:rPr>
                <w:rFonts w:ascii="Times New Roman" w:hAnsi="Times New Roman"/>
                <w:iCs/>
              </w:rPr>
              <w:t xml:space="preserve"> i</w:t>
            </w:r>
            <w:r w:rsidR="00835753">
              <w:rPr>
                <w:rFonts w:ascii="Times New Roman" w:hAnsi="Times New Roman"/>
                <w:iCs/>
              </w:rPr>
              <w:t> </w:t>
            </w:r>
            <w:r w:rsidR="00835753" w:rsidRPr="00835753">
              <w:rPr>
                <w:rFonts w:ascii="Times New Roman" w:hAnsi="Times New Roman"/>
                <w:iCs/>
              </w:rPr>
              <w:t>z</w:t>
            </w:r>
            <w:r w:rsidR="00835753">
              <w:rPr>
                <w:rFonts w:ascii="Times New Roman" w:hAnsi="Times New Roman"/>
                <w:iCs/>
              </w:rPr>
              <w:t> </w:t>
            </w:r>
            <w:r w:rsidR="00835753" w:rsidRPr="00835753">
              <w:rPr>
                <w:rFonts w:ascii="Times New Roman" w:hAnsi="Times New Roman"/>
                <w:iCs/>
              </w:rPr>
              <w:t>dal</w:t>
            </w:r>
            <w:r w:rsidRPr="00835753">
              <w:rPr>
                <w:rFonts w:ascii="Times New Roman" w:hAnsi="Times New Roman"/>
                <w:iCs/>
              </w:rPr>
              <w:t>szym podziałem stosowanym</w:t>
            </w:r>
            <w:r w:rsidR="00835753" w:rsidRPr="00835753">
              <w:rPr>
                <w:rFonts w:ascii="Times New Roman" w:hAnsi="Times New Roman"/>
                <w:iCs/>
              </w:rPr>
              <w:t xml:space="preserve"> w</w:t>
            </w:r>
            <w:r w:rsidR="00835753">
              <w:rPr>
                <w:rFonts w:ascii="Times New Roman" w:hAnsi="Times New Roman"/>
                <w:iCs/>
              </w:rPr>
              <w:t> </w:t>
            </w:r>
            <w:r w:rsidR="00835753" w:rsidRPr="00835753">
              <w:rPr>
                <w:rFonts w:ascii="Times New Roman" w:hAnsi="Times New Roman"/>
                <w:iCs/>
              </w:rPr>
              <w:t>nin</w:t>
            </w:r>
            <w:r w:rsidRPr="00835753">
              <w:rPr>
                <w:rFonts w:ascii="Times New Roman" w:hAnsi="Times New Roman"/>
                <w:iCs/>
              </w:rPr>
              <w:t>iejszym wzorze oraz oddzielnie dla ekspozycji objętych metodą F-IRB</w:t>
            </w:r>
            <w:r w:rsidR="00835753" w:rsidRPr="00835753">
              <w:rPr>
                <w:rFonts w:ascii="Times New Roman" w:hAnsi="Times New Roman"/>
                <w:iCs/>
              </w:rPr>
              <w:t xml:space="preserve"> i</w:t>
            </w:r>
            <w:r w:rsidR="00835753">
              <w:rPr>
                <w:rFonts w:ascii="Times New Roman" w:hAnsi="Times New Roman"/>
                <w:iCs/>
              </w:rPr>
              <w:t> </w:t>
            </w:r>
            <w:r w:rsidR="00835753" w:rsidRPr="00835753">
              <w:rPr>
                <w:rFonts w:ascii="Times New Roman" w:hAnsi="Times New Roman"/>
                <w:iCs/>
              </w:rPr>
              <w:t>eks</w:t>
            </w:r>
            <w:r w:rsidRPr="00835753">
              <w:rPr>
                <w:rFonts w:ascii="Times New Roman" w:hAnsi="Times New Roman"/>
                <w:iCs/>
              </w:rPr>
              <w:t>pozycji objętych metodą A-IRB</w:t>
            </w:r>
            <w:r w:rsidR="00835753" w:rsidRPr="00835753">
              <w:rPr>
                <w:rFonts w:ascii="Times New Roman" w:hAnsi="Times New Roman"/>
                <w:color w:val="auto"/>
              </w:rPr>
              <w:t>. W</w:t>
            </w:r>
            <w:r w:rsidR="00835753">
              <w:rPr>
                <w:rFonts w:ascii="Times New Roman" w:hAnsi="Times New Roman"/>
                <w:color w:val="auto"/>
              </w:rPr>
              <w:t> </w:t>
            </w:r>
            <w:r w:rsidR="00835753" w:rsidRPr="00835753">
              <w:rPr>
                <w:rFonts w:ascii="Times New Roman" w:hAnsi="Times New Roman"/>
                <w:color w:val="auto"/>
              </w:rPr>
              <w:t>wie</w:t>
            </w:r>
            <w:r w:rsidRPr="00835753">
              <w:rPr>
                <w:rFonts w:ascii="Times New Roman" w:hAnsi="Times New Roman"/>
                <w:color w:val="auto"/>
              </w:rPr>
              <w:t>rszach 1</w:t>
            </w:r>
            <w:r w:rsidR="00835753" w:rsidRPr="00835753">
              <w:rPr>
                <w:rFonts w:ascii="Times New Roman" w:hAnsi="Times New Roman"/>
                <w:color w:val="auto"/>
              </w:rPr>
              <w:t xml:space="preserve"> i</w:t>
            </w:r>
            <w:r w:rsidR="00835753">
              <w:rPr>
                <w:rFonts w:ascii="Times New Roman" w:hAnsi="Times New Roman"/>
                <w:color w:val="auto"/>
              </w:rPr>
              <w:t> </w:t>
            </w:r>
            <w:r w:rsidR="00835753" w:rsidRPr="00835753">
              <w:rPr>
                <w:rFonts w:ascii="Times New Roman" w:hAnsi="Times New Roman"/>
                <w:color w:val="auto"/>
              </w:rPr>
              <w:t>6</w:t>
            </w:r>
            <w:r w:rsidRPr="00835753">
              <w:rPr>
                <w:rFonts w:ascii="Times New Roman" w:hAnsi="Times New Roman"/>
                <w:color w:val="auto"/>
              </w:rPr>
              <w:t xml:space="preserve"> </w:t>
            </w:r>
            <w:r w:rsidRPr="00835753">
              <w:rPr>
                <w:rFonts w:ascii="Times New Roman" w:hAnsi="Times New Roman"/>
              </w:rPr>
              <w:t>niniejszego wzoru</w:t>
            </w:r>
            <w:r w:rsidRPr="00835753">
              <w:rPr>
                <w:rFonts w:ascii="Times New Roman" w:hAnsi="Times New Roman"/>
                <w:color w:val="auto"/>
              </w:rPr>
              <w:t xml:space="preserve"> instytucje ujawniają sumę cząstkową dla ekspozycji objętych metodą F-IRB</w:t>
            </w:r>
            <w:r w:rsidR="00835753" w:rsidRPr="00835753">
              <w:rPr>
                <w:rFonts w:ascii="Times New Roman" w:hAnsi="Times New Roman"/>
                <w:color w:val="auto"/>
              </w:rPr>
              <w:t xml:space="preserve"> i</w:t>
            </w:r>
            <w:r w:rsidR="00835753">
              <w:rPr>
                <w:rFonts w:ascii="Times New Roman" w:hAnsi="Times New Roman"/>
                <w:color w:val="auto"/>
              </w:rPr>
              <w:t> </w:t>
            </w:r>
            <w:r w:rsidR="00835753" w:rsidRPr="00835753">
              <w:rPr>
                <w:rFonts w:ascii="Times New Roman" w:hAnsi="Times New Roman"/>
                <w:color w:val="auto"/>
              </w:rPr>
              <w:t>sum</w:t>
            </w:r>
            <w:r w:rsidRPr="00835753">
              <w:rPr>
                <w:rFonts w:ascii="Times New Roman" w:hAnsi="Times New Roman"/>
                <w:color w:val="auto"/>
              </w:rPr>
              <w:t>ę cząstkową dla ekspozycji objętych metodą A-IRB.</w:t>
            </w:r>
          </w:p>
          <w:p w14:paraId="0CAF5631" w14:textId="522EDC65" w:rsidR="000646F8" w:rsidRPr="00835753" w:rsidRDefault="000646F8"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W odniesieniu do kategorii ekspozycji „Ekspozycje wobec przedsiębiorstw” (art.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lit.</w:t>
            </w:r>
            <w:r w:rsidR="00835753" w:rsidRPr="00835753">
              <w:rPr>
                <w:rFonts w:ascii="Times New Roman" w:hAnsi="Times New Roman"/>
                <w:iCs/>
                <w:sz w:val="24"/>
              </w:rPr>
              <w:t> </w:t>
            </w:r>
            <w:r w:rsidRPr="00835753">
              <w:rPr>
                <w:rFonts w:ascii="Times New Roman" w:hAnsi="Times New Roman"/>
                <w:iCs/>
                <w:sz w:val="24"/>
              </w:rPr>
              <w:t>c) CRR) instytucje ujawniają dalszy podział na:</w:t>
            </w:r>
          </w:p>
          <w:p w14:paraId="3D8A3CD7" w14:textId="4A20425F"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a</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MŚP,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wew</w:t>
            </w:r>
            <w:r w:rsidRPr="00835753">
              <w:rPr>
                <w:rFonts w:ascii="Times New Roman" w:hAnsi="Times New Roman"/>
                <w:iCs/>
                <w:sz w:val="24"/>
              </w:rPr>
              <w:t>nętrzną klasyfikacją ekspozycji wobec przedsiębiorstw opartą na strategiach</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zak</w:t>
            </w:r>
            <w:r w:rsidRPr="00835753">
              <w:rPr>
                <w:rFonts w:ascii="Times New Roman" w:hAnsi="Times New Roman"/>
                <w:iCs/>
                <w:sz w:val="24"/>
              </w:rPr>
              <w:t>resie zarządzania ryzykiem;</w:t>
            </w:r>
          </w:p>
          <w:p w14:paraId="7B4CCFEE" w14:textId="3E4874F1"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b</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kredytowanie specjalistyczne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8 CRR,</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wył</w:t>
            </w:r>
            <w:r w:rsidRPr="00835753">
              <w:rPr>
                <w:rFonts w:ascii="Times New Roman" w:hAnsi="Times New Roman"/>
                <w:iCs/>
                <w:sz w:val="24"/>
              </w:rPr>
              <w:t>ączeniem ekspozycji związanych</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kre</w:t>
            </w:r>
            <w:r w:rsidRPr="00835753">
              <w:rPr>
                <w:rFonts w:ascii="Times New Roman" w:hAnsi="Times New Roman"/>
                <w:iCs/>
                <w:sz w:val="24"/>
              </w:rPr>
              <w:t>dytowaniem specjalistycznym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met</w:t>
            </w:r>
            <w:r w:rsidRPr="00835753">
              <w:rPr>
                <w:rFonts w:ascii="Times New Roman" w:hAnsi="Times New Roman"/>
                <w:iCs/>
                <w:sz w:val="24"/>
              </w:rPr>
              <w:t>odą klasyfikacji;</w:t>
            </w:r>
          </w:p>
          <w:p w14:paraId="4CD1D6C5" w14:textId="77777777"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c</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inne.</w:t>
            </w:r>
          </w:p>
          <w:p w14:paraId="29292067" w14:textId="651AFC26" w:rsidR="000646F8" w:rsidRPr="00835753" w:rsidRDefault="000646F8"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W odniesieniu do kategorii ekspozycji „Ekspozycje detaliczne” (art.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lit.</w:t>
            </w:r>
            <w:r w:rsidR="00835753" w:rsidRPr="00835753">
              <w:rPr>
                <w:rFonts w:ascii="Times New Roman" w:hAnsi="Times New Roman"/>
                <w:iCs/>
                <w:sz w:val="24"/>
              </w:rPr>
              <w:t> </w:t>
            </w:r>
            <w:r w:rsidRPr="00835753">
              <w:rPr>
                <w:rFonts w:ascii="Times New Roman" w:hAnsi="Times New Roman"/>
                <w:iCs/>
                <w:sz w:val="24"/>
              </w:rPr>
              <w:t>d)</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5 CRR) instytucje ujawniają dalszy podział na:</w:t>
            </w:r>
          </w:p>
          <w:p w14:paraId="29CCEB48" w14:textId="3612F536"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a</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detaliczne – ekspozycje wobec MŚP zabezpieczone nieruchomościami (w związku</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154 ust.</w:t>
            </w:r>
            <w:r w:rsidR="00835753" w:rsidRPr="00835753">
              <w:rPr>
                <w:rFonts w:ascii="Times New Roman" w:hAnsi="Times New Roman"/>
                <w:iCs/>
                <w:sz w:val="24"/>
              </w:rPr>
              <w:t> </w:t>
            </w:r>
            <w:r w:rsidRPr="00835753">
              <w:rPr>
                <w:rFonts w:ascii="Times New Roman" w:hAnsi="Times New Roman"/>
                <w:iCs/>
                <w:sz w:val="24"/>
              </w:rPr>
              <w:t>2</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3</w:t>
            </w:r>
            <w:r w:rsidRPr="00835753">
              <w:rPr>
                <w:rFonts w:ascii="Times New Roman" w:hAnsi="Times New Roman"/>
                <w:iCs/>
                <w:sz w:val="24"/>
              </w:rPr>
              <w:t xml:space="preserve"> CRR);</w:t>
            </w:r>
          </w:p>
          <w:p w14:paraId="356AF728" w14:textId="21905EDF"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lastRenderedPageBreak/>
              <w:t>b</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detaliczne – ekspozycje wobec podmiotów niebędących MŚP zabezpieczone nieruchomościami (w związku</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154 ust.</w:t>
            </w:r>
            <w:r w:rsidR="00835753" w:rsidRPr="00835753">
              <w:rPr>
                <w:rFonts w:ascii="Times New Roman" w:hAnsi="Times New Roman"/>
                <w:iCs/>
                <w:sz w:val="24"/>
              </w:rPr>
              <w:t> </w:t>
            </w:r>
            <w:r w:rsidRPr="00835753">
              <w:rPr>
                <w:rFonts w:ascii="Times New Roman" w:hAnsi="Times New Roman"/>
                <w:iCs/>
                <w:sz w:val="24"/>
              </w:rPr>
              <w:t>3 CRR);</w:t>
            </w:r>
          </w:p>
          <w:p w14:paraId="639896BD" w14:textId="725A50D5"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c</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detaliczne – kwalifikowane ekspozycje odnawialne (w związku</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154 ust.</w:t>
            </w:r>
            <w:r w:rsidR="00835753" w:rsidRPr="00835753">
              <w:rPr>
                <w:rFonts w:ascii="Times New Roman" w:hAnsi="Times New Roman"/>
                <w:iCs/>
                <w:sz w:val="24"/>
              </w:rPr>
              <w:t> </w:t>
            </w:r>
            <w:r w:rsidRPr="00835753">
              <w:rPr>
                <w:rFonts w:ascii="Times New Roman" w:hAnsi="Times New Roman"/>
                <w:iCs/>
                <w:sz w:val="24"/>
              </w:rPr>
              <w:t>4 CRR);</w:t>
            </w:r>
          </w:p>
          <w:p w14:paraId="6FDBCF5C" w14:textId="77777777"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proofErr w:type="gramStart"/>
            <w:r w:rsidRPr="00835753">
              <w:rPr>
                <w:rFonts w:ascii="Times New Roman" w:hAnsi="Times New Roman"/>
                <w:iCs/>
                <w:sz w:val="24"/>
              </w:rPr>
              <w:t>d)         ekspozycje</w:t>
            </w:r>
            <w:proofErr w:type="gramEnd"/>
            <w:r w:rsidRPr="00835753">
              <w:rPr>
                <w:rFonts w:ascii="Times New Roman" w:hAnsi="Times New Roman"/>
                <w:iCs/>
                <w:sz w:val="24"/>
              </w:rPr>
              <w:t xml:space="preserve"> detaliczne – inne ekspozycje wobec MŚP;</w:t>
            </w:r>
          </w:p>
          <w:p w14:paraId="5EAF028B" w14:textId="77777777" w:rsidR="000646F8" w:rsidRPr="00835753" w:rsidRDefault="000646F8" w:rsidP="00155C96">
            <w:pPr>
              <w:autoSpaceDE w:val="0"/>
              <w:autoSpaceDN w:val="0"/>
              <w:adjustRightInd w:val="0"/>
              <w:spacing w:after="120"/>
              <w:ind w:left="720"/>
              <w:jc w:val="both"/>
              <w:rPr>
                <w:rFonts w:ascii="Times New Roman" w:hAnsi="Times New Roman" w:cs="Times New Roman"/>
                <w:sz w:val="24"/>
              </w:rPr>
            </w:pPr>
            <w:proofErr w:type="gramStart"/>
            <w:r w:rsidRPr="00835753">
              <w:rPr>
                <w:rFonts w:ascii="Times New Roman" w:hAnsi="Times New Roman"/>
                <w:iCs/>
                <w:sz w:val="24"/>
              </w:rPr>
              <w:t>e)         ekspozycje</w:t>
            </w:r>
            <w:proofErr w:type="gramEnd"/>
            <w:r w:rsidRPr="00835753">
              <w:rPr>
                <w:rFonts w:ascii="Times New Roman" w:hAnsi="Times New Roman"/>
                <w:iCs/>
                <w:sz w:val="24"/>
              </w:rPr>
              <w:t xml:space="preserve"> detaliczne – inne ekspozycje wobec podmiotów niebędących MŚP.</w:t>
            </w:r>
          </w:p>
        </w:tc>
      </w:tr>
      <w:tr w:rsidR="000646F8" w:rsidRPr="00835753" w14:paraId="1CFE88CD" w14:textId="77777777" w:rsidTr="00155C96">
        <w:trPr>
          <w:trHeight w:val="316"/>
        </w:trPr>
        <w:tc>
          <w:tcPr>
            <w:tcW w:w="1413" w:type="dxa"/>
          </w:tcPr>
          <w:p w14:paraId="00DB739B"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lastRenderedPageBreak/>
              <w:t>10</w:t>
            </w:r>
          </w:p>
        </w:tc>
        <w:tc>
          <w:tcPr>
            <w:tcW w:w="7654" w:type="dxa"/>
          </w:tcPr>
          <w:p w14:paraId="7DEEBEAC" w14:textId="09C7DC08"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EKSPOZYCJE OGÓŁEM (w tym ekspozycje objęte metodą F-IRB</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eks</w:t>
            </w:r>
            <w:r w:rsidRPr="00835753">
              <w:rPr>
                <w:rFonts w:ascii="Times New Roman" w:hAnsi="Times New Roman"/>
                <w:sz w:val="24"/>
              </w:rPr>
              <w:t>pozycje objęte metodą A-IRB)</w:t>
            </w:r>
          </w:p>
          <w:p w14:paraId="4B15C39F" w14:textId="20557A45"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Całkowita kwota ekspozycji ważonej ryzykiem przed uwzględnieniem kredytowych instrumentów pochodnych oraz całkowita rzeczywista kwota ekspozycji ważonej ryzykiem dla wszystkich ekspozycji według metody IRB (uwzględniając metodę F-IRB i A-IRB)</w:t>
            </w:r>
          </w:p>
        </w:tc>
      </w:tr>
    </w:tbl>
    <w:p w14:paraId="6BD2D25F" w14:textId="77777777" w:rsidR="000646F8" w:rsidRPr="00835753" w:rsidRDefault="000646F8" w:rsidP="000646F8">
      <w:pPr>
        <w:spacing w:after="120"/>
        <w:rPr>
          <w:rFonts w:ascii="Times New Roman" w:hAnsi="Times New Roman" w:cs="Times New Roman"/>
          <w:sz w:val="24"/>
        </w:rPr>
      </w:pPr>
    </w:p>
    <w:p w14:paraId="11DD85AB" w14:textId="2CF6BC6B" w:rsidR="000646F8" w:rsidRPr="00835753" w:rsidRDefault="00CD362D" w:rsidP="000646F8">
      <w:pPr>
        <w:spacing w:after="120"/>
        <w:rPr>
          <w:rFonts w:ascii="Times New Roman" w:hAnsi="Times New Roman" w:cs="Times New Roman"/>
          <w:b/>
          <w:sz w:val="24"/>
        </w:rPr>
      </w:pPr>
      <w:r w:rsidRPr="00835753">
        <w:rPr>
          <w:rFonts w:ascii="Times New Roman" w:hAnsi="Times New Roman"/>
          <w:b/>
          <w:sz w:val="24"/>
        </w:rPr>
        <w:t xml:space="preserve">Wzór EU CR7-A – Metoda IRB – Ujawnianie zakresu stosowania techniki ograniczania ryzyka kredytowego </w:t>
      </w:r>
    </w:p>
    <w:p w14:paraId="7A5DAE09" w14:textId="573F554E" w:rsidR="000646F8" w:rsidRPr="00835753" w:rsidRDefault="000646F8" w:rsidP="000646F8">
      <w:pPr>
        <w:pStyle w:val="ListParagraph"/>
        <w:numPr>
          <w:ilvl w:val="0"/>
          <w:numId w:val="51"/>
        </w:numPr>
        <w:spacing w:after="120"/>
        <w:ind w:left="714" w:hanging="357"/>
        <w:jc w:val="both"/>
        <w:rPr>
          <w:rFonts w:ascii="Times New Roman" w:hAnsi="Times New Roman"/>
          <w:sz w:val="24"/>
        </w:rPr>
      </w:pPr>
      <w:r w:rsidRPr="00835753">
        <w:rPr>
          <w:rFonts w:ascii="Times New Roman" w:hAnsi="Times New Roman"/>
          <w:sz w:val="24"/>
        </w:rPr>
        <w:t>W celu wypełnienia wzoru EU CR7-A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XXI do niniejszego rozporządzenia wykonawczego instytucje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453 lit.</w:t>
      </w:r>
      <w:r w:rsidR="00835753" w:rsidRPr="00835753">
        <w:rPr>
          <w:rFonts w:ascii="Times New Roman" w:hAnsi="Times New Roman"/>
          <w:sz w:val="24"/>
        </w:rPr>
        <w:t> </w:t>
      </w:r>
      <w:r w:rsidRPr="00835753">
        <w:rPr>
          <w:rFonts w:ascii="Times New Roman" w:hAnsi="Times New Roman"/>
          <w:sz w:val="24"/>
        </w:rPr>
        <w:t>g) CRR, oddzielnie dla ekspozycji według metody A-IRB</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wed</w:t>
      </w:r>
      <w:r w:rsidRPr="00835753">
        <w:rPr>
          <w:rFonts w:ascii="Times New Roman" w:hAnsi="Times New Roman"/>
          <w:sz w:val="24"/>
        </w:rPr>
        <w:t>ług metody F-IRB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 Jeżeli pozycja ochrony kredytowej rzeczywistej ma zastosowanie do więcej niż jednej ekspozycji, suma ujętych ekspozycji zabezpieczonych tą pozycją nie może przekraczać wartości tej pozycji ochrony kredytowej.</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835753"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835753" w:rsidRDefault="000646F8"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Oznaczenie kolumny</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74D9FED5" w:rsidR="000646F8" w:rsidRPr="00835753" w:rsidRDefault="000646F8"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0646F8" w:rsidRPr="00835753"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835753"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835753" w:rsidRDefault="000646F8"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0646F8" w:rsidRPr="00835753" w14:paraId="64CA6538" w14:textId="77777777" w:rsidTr="00155C96">
        <w:trPr>
          <w:trHeight w:val="2388"/>
        </w:trPr>
        <w:tc>
          <w:tcPr>
            <w:tcW w:w="1413" w:type="dxa"/>
          </w:tcPr>
          <w:p w14:paraId="0F41D8A4" w14:textId="77777777" w:rsidR="000646F8" w:rsidRPr="00835753" w:rsidRDefault="000646F8" w:rsidP="00155C96">
            <w:pPr>
              <w:spacing w:after="120"/>
              <w:jc w:val="both"/>
              <w:rPr>
                <w:rFonts w:ascii="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654" w:type="dxa"/>
          </w:tcPr>
          <w:p w14:paraId="6C20BE14" w14:textId="4AA60E28" w:rsidR="000646F8" w:rsidRPr="00835753" w:rsidRDefault="009674E9" w:rsidP="00155C96">
            <w:pPr>
              <w:spacing w:after="120"/>
              <w:jc w:val="both"/>
              <w:rPr>
                <w:rFonts w:ascii="Times New Roman" w:hAnsi="Times New Roman" w:cs="Times New Roman"/>
                <w:b/>
                <w:sz w:val="24"/>
              </w:rPr>
            </w:pPr>
            <w:r w:rsidRPr="00835753">
              <w:rPr>
                <w:rFonts w:ascii="Times New Roman" w:hAnsi="Times New Roman"/>
                <w:b/>
                <w:sz w:val="24"/>
              </w:rPr>
              <w:t>Ekspozycje całkowite</w:t>
            </w:r>
          </w:p>
          <w:p w14:paraId="3F28EF70" w14:textId="1F801083"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Wartość ekspozycji (po uwzględnieniu współczynników konwersji)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166–167 CRR</w:t>
            </w:r>
          </w:p>
          <w:p w14:paraId="2076845D" w14:textId="661A8E91"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Ekspozycje ujawnia się według kategorii ekspozycji mających zastosowanie do dłużnika bez uwzględniania jakichkolwiek efektów substytucyjnych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ist</w:t>
            </w:r>
            <w:r w:rsidRPr="00835753">
              <w:rPr>
                <w:rFonts w:ascii="Times New Roman" w:hAnsi="Times New Roman"/>
                <w:sz w:val="24"/>
              </w:rPr>
              <w:t>nienia gwarancji.</w:t>
            </w:r>
          </w:p>
          <w:p w14:paraId="7DC0B41B" w14:textId="5F066FF6"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Instytucje stosujące uproszczoną metodę ważenia ryzykiem uwzględniają również przepisy dotyczące kompensowania,</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155 ust.</w:t>
            </w:r>
            <w:r w:rsidR="00835753" w:rsidRPr="00835753">
              <w:rPr>
                <w:rFonts w:ascii="Times New Roman" w:hAnsi="Times New Roman"/>
                <w:sz w:val="24"/>
              </w:rPr>
              <w:t> </w:t>
            </w:r>
            <w:r w:rsidRPr="00835753">
              <w:rPr>
                <w:rFonts w:ascii="Times New Roman" w:hAnsi="Times New Roman"/>
                <w:sz w:val="24"/>
              </w:rPr>
              <w:t>2 CRR.</w:t>
            </w:r>
          </w:p>
        </w:tc>
      </w:tr>
      <w:tr w:rsidR="000646F8" w:rsidRPr="00835753" w14:paraId="20E39548" w14:textId="77777777" w:rsidTr="00155C96">
        <w:trPr>
          <w:trHeight w:val="316"/>
        </w:trPr>
        <w:tc>
          <w:tcPr>
            <w:tcW w:w="1413" w:type="dxa"/>
          </w:tcPr>
          <w:p w14:paraId="439A0776"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654" w:type="dxa"/>
          </w:tcPr>
          <w:p w14:paraId="071D05D9" w14:textId="3C8375D6" w:rsidR="000646F8" w:rsidRPr="00835753" w:rsidRDefault="000646F8"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Ochrona kredytowa rzeczywista – Odsetek ekspozycji zabezpieczonych zabezpieczeniem finansowym (%)</w:t>
            </w:r>
          </w:p>
          <w:p w14:paraId="7F761059" w14:textId="3B681B64"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Odsetek ekspozycji objętych zabezpieczeniem finansowym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sunku do ekspozycji całkowitych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a) niniejszego wzoru.</w:t>
            </w:r>
          </w:p>
          <w:p w14:paraId="6F5E2136" w14:textId="61C8E0F9"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lastRenderedPageBreak/>
              <w:t>Zabezpieczenia finansowe,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zabezpieczenie gotówkowe, dłużne papiery wartościowe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zło</w:t>
            </w:r>
            <w:r w:rsidRPr="00835753">
              <w:rPr>
                <w:rFonts w:ascii="Times New Roman" w:hAnsi="Times New Roman"/>
                <w:sz w:val="24"/>
              </w:rPr>
              <w:t>to, wymienione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197</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98 CRR, ujmuje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lic</w:t>
            </w:r>
            <w:r w:rsidRPr="00835753">
              <w:rPr>
                <w:rFonts w:ascii="Times New Roman" w:hAnsi="Times New Roman"/>
                <w:sz w:val="24"/>
              </w:rPr>
              <w:t>zniku, jeżeli zostały spełnione wszystkie wymogi określone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207 ust.</w:t>
            </w:r>
            <w:r w:rsidR="00835753" w:rsidRPr="00835753">
              <w:rPr>
                <w:rFonts w:ascii="Times New Roman" w:hAnsi="Times New Roman"/>
                <w:sz w:val="24"/>
              </w:rPr>
              <w:t> </w:t>
            </w:r>
            <w:r w:rsidRPr="00835753">
              <w:rPr>
                <w:rFonts w:ascii="Times New Roman" w:hAnsi="Times New Roman"/>
                <w:sz w:val="24"/>
              </w:rPr>
              <w:t>2–4 CRR. Wartość ujawnianego zabezpieczenia ogranicza się do wartości ekspozycji na poziomie indywidualnej ekspozycji.</w:t>
            </w:r>
          </w:p>
          <w:p w14:paraId="092D10A1" w14:textId="3F753F37"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W przypadku stosowania własnych oszacowań LGD: zabezpieczenia finansowe 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osz</w:t>
            </w:r>
            <w:r w:rsidRPr="00835753">
              <w:rPr>
                <w:rFonts w:ascii="Times New Roman" w:hAnsi="Times New Roman"/>
                <w:sz w:val="24"/>
              </w:rPr>
              <w:t>acowaniach LGD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181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 xml:space="preserve">e) i f) CRR. Kwotą, którą należy ujawnić, jest szacunkowa wartość rynkowa zabezpieczenia. </w:t>
            </w:r>
          </w:p>
        </w:tc>
      </w:tr>
      <w:tr w:rsidR="000646F8" w:rsidRPr="00835753" w14:paraId="5EB574BD" w14:textId="77777777" w:rsidTr="00155C96">
        <w:trPr>
          <w:trHeight w:val="316"/>
        </w:trPr>
        <w:tc>
          <w:tcPr>
            <w:tcW w:w="1413" w:type="dxa"/>
          </w:tcPr>
          <w:p w14:paraId="55E2A5C0"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lastRenderedPageBreak/>
              <w:t>c</w:t>
            </w:r>
            <w:proofErr w:type="gramEnd"/>
            <w:r w:rsidRPr="00835753">
              <w:rPr>
                <w:rFonts w:ascii="Times New Roman" w:hAnsi="Times New Roman"/>
                <w:sz w:val="24"/>
              </w:rPr>
              <w:t>)</w:t>
            </w:r>
          </w:p>
        </w:tc>
        <w:tc>
          <w:tcPr>
            <w:tcW w:w="7654" w:type="dxa"/>
          </w:tcPr>
          <w:p w14:paraId="72FD923C"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Ochrona kredytowa rzeczywista – Odsetek ekspozycji zabezpieczonych innymi uznanymi zabezpieczeniami (%)</w:t>
            </w:r>
          </w:p>
          <w:p w14:paraId="04DFFFB0" w14:textId="1416A112"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Odsetek ekspozycji objętych innymi uznanymi zabezpieczeniami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sunku do ekspozycji całkowitych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a) niniejszego wzoru</w:t>
            </w:r>
          </w:p>
          <w:p w14:paraId="2060A807" w14:textId="45F0FA18"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Wartości ujawniane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tej</w:t>
            </w:r>
            <w:r w:rsidRPr="00835753">
              <w:rPr>
                <w:rFonts w:ascii="Times New Roman" w:hAnsi="Times New Roman"/>
                <w:sz w:val="24"/>
              </w:rPr>
              <w:t xml:space="preserve"> kolumnie są sumą wartości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d</w:t>
            </w:r>
            <w:proofErr w:type="gramStart"/>
            <w:r w:rsidRPr="00835753">
              <w:rPr>
                <w:rFonts w:ascii="Times New Roman" w:hAnsi="Times New Roman"/>
                <w:sz w:val="24"/>
              </w:rPr>
              <w:t>)–f</w:t>
            </w:r>
            <w:proofErr w:type="gramEnd"/>
            <w:r w:rsidRPr="00835753">
              <w:rPr>
                <w:rFonts w:ascii="Times New Roman" w:hAnsi="Times New Roman"/>
                <w:sz w:val="24"/>
              </w:rPr>
              <w:t>) niniejszego wzoru.</w:t>
            </w:r>
          </w:p>
          <w:p w14:paraId="371AEB03" w14:textId="1DAD2C1B" w:rsidR="000646F8" w:rsidRPr="00835753" w:rsidRDefault="000646F8" w:rsidP="00155C96">
            <w:pPr>
              <w:spacing w:after="120"/>
              <w:rPr>
                <w:rFonts w:ascii="Times New Roman" w:hAnsi="Times New Roman"/>
                <w:sz w:val="24"/>
              </w:rPr>
            </w:pPr>
            <w:r w:rsidRPr="00835753">
              <w:rPr>
                <w:rFonts w:ascii="Times New Roman" w:hAnsi="Times New Roman"/>
                <w:sz w:val="24"/>
              </w:rPr>
              <w:t>W przypadku niestosowania własnych oszacowań LGD: art.</w:t>
            </w:r>
            <w:r w:rsidR="00835753" w:rsidRPr="00835753">
              <w:rPr>
                <w:rFonts w:ascii="Times New Roman" w:hAnsi="Times New Roman"/>
                <w:sz w:val="24"/>
              </w:rPr>
              <w:t> </w:t>
            </w:r>
            <w:r w:rsidRPr="00835753">
              <w:rPr>
                <w:rFonts w:ascii="Times New Roman" w:hAnsi="Times New Roman"/>
                <w:sz w:val="24"/>
              </w:rPr>
              <w:t>199 ust.</w:t>
            </w:r>
            <w:r w:rsidR="00835753" w:rsidRPr="00835753">
              <w:rPr>
                <w:rFonts w:ascii="Times New Roman" w:hAnsi="Times New Roman"/>
                <w:sz w:val="24"/>
              </w:rPr>
              <w:t> </w:t>
            </w:r>
            <w:r w:rsidRPr="00835753">
              <w:rPr>
                <w:rFonts w:ascii="Times New Roman" w:hAnsi="Times New Roman"/>
                <w:sz w:val="24"/>
              </w:rPr>
              <w:t>1–8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229 CRR.</w:t>
            </w:r>
          </w:p>
          <w:p w14:paraId="1EB69D18" w14:textId="5A6639DF"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 przypadku stosowania własnych oszacowań LGD: inne zabezpieczenia uwzględnione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osz</w:t>
            </w:r>
            <w:r w:rsidRPr="00835753">
              <w:rPr>
                <w:rFonts w:ascii="Times New Roman" w:hAnsi="Times New Roman"/>
                <w:sz w:val="24"/>
              </w:rPr>
              <w:t>acowaniach LGD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181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e) i f) CRR.</w:t>
            </w:r>
          </w:p>
        </w:tc>
      </w:tr>
      <w:tr w:rsidR="000646F8" w:rsidRPr="00835753" w14:paraId="39BA0574" w14:textId="77777777" w:rsidTr="00155C96">
        <w:trPr>
          <w:trHeight w:val="316"/>
        </w:trPr>
        <w:tc>
          <w:tcPr>
            <w:tcW w:w="1413" w:type="dxa"/>
          </w:tcPr>
          <w:p w14:paraId="724C5A63"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d</w:t>
            </w:r>
            <w:proofErr w:type="gramEnd"/>
            <w:r w:rsidRPr="00835753">
              <w:rPr>
                <w:rFonts w:ascii="Times New Roman" w:hAnsi="Times New Roman"/>
                <w:sz w:val="24"/>
              </w:rPr>
              <w:t>)</w:t>
            </w:r>
          </w:p>
        </w:tc>
        <w:tc>
          <w:tcPr>
            <w:tcW w:w="7654" w:type="dxa"/>
          </w:tcPr>
          <w:p w14:paraId="76347F19" w14:textId="052F0FD0" w:rsidR="000646F8" w:rsidRPr="00835753" w:rsidRDefault="000646F8"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Ochrona kredytowa rzeczywista – Odsetek ekspozycji zabezpieczonych zabezpieczeniami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for</w:t>
            </w:r>
            <w:r w:rsidRPr="00835753">
              <w:rPr>
                <w:rFonts w:ascii="Times New Roman" w:hAnsi="Times New Roman"/>
                <w:b/>
                <w:sz w:val="24"/>
              </w:rPr>
              <w:t>mie nieruchomości (%)</w:t>
            </w:r>
          </w:p>
          <w:p w14:paraId="56FCDB17" w14:textId="2332DECE"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Odsetek ekspozycji zabezpieczonych nieruchomościami,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uwz</w:t>
            </w:r>
            <w:r w:rsidRPr="00835753">
              <w:rPr>
                <w:rFonts w:ascii="Times New Roman" w:hAnsi="Times New Roman"/>
                <w:sz w:val="24"/>
              </w:rPr>
              <w:t>ględnieniem nieruchomości oddanych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lea</w:t>
            </w:r>
            <w:r w:rsidRPr="00835753">
              <w:rPr>
                <w:rFonts w:ascii="Times New Roman" w:hAnsi="Times New Roman"/>
                <w:sz w:val="24"/>
              </w:rPr>
              <w:t>sing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199 ust.</w:t>
            </w:r>
            <w:r w:rsidR="00835753" w:rsidRPr="00835753">
              <w:rPr>
                <w:rFonts w:ascii="Times New Roman" w:hAnsi="Times New Roman"/>
                <w:sz w:val="24"/>
              </w:rPr>
              <w:t> </w:t>
            </w:r>
            <w:r w:rsidRPr="00835753">
              <w:rPr>
                <w:rFonts w:ascii="Times New Roman" w:hAnsi="Times New Roman"/>
                <w:sz w:val="24"/>
              </w:rPr>
              <w:t>7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sunku do ekspozycji całkowitych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a) niniejszego wzoru.</w:t>
            </w:r>
          </w:p>
          <w:p w14:paraId="3D6DE8AF" w14:textId="2A35ECFA" w:rsidR="000646F8" w:rsidRPr="00835753" w:rsidRDefault="000646F8" w:rsidP="00155C96">
            <w:pPr>
              <w:spacing w:after="120"/>
              <w:rPr>
                <w:rFonts w:ascii="Times New Roman" w:hAnsi="Times New Roman" w:cs="Times New Roman"/>
                <w:sz w:val="24"/>
              </w:rPr>
            </w:pPr>
            <w:r w:rsidRPr="00835753">
              <w:rPr>
                <w:rFonts w:ascii="Times New Roman" w:hAnsi="Times New Roman"/>
                <w:sz w:val="24"/>
              </w:rPr>
              <w:t>Zabezpieczenie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for</w:t>
            </w:r>
            <w:r w:rsidRPr="00835753">
              <w:rPr>
                <w:rFonts w:ascii="Times New Roman" w:hAnsi="Times New Roman"/>
                <w:sz w:val="24"/>
              </w:rPr>
              <w:t>mie nieruchomości ujmuje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lic</w:t>
            </w:r>
            <w:r w:rsidRPr="00835753">
              <w:rPr>
                <w:rFonts w:ascii="Times New Roman" w:hAnsi="Times New Roman"/>
                <w:sz w:val="24"/>
              </w:rPr>
              <w:t>zniku,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gdy spełnia wszystkie wymogi kwalifikowalności określone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208 ust.</w:t>
            </w:r>
            <w:r w:rsidR="00835753" w:rsidRPr="00835753">
              <w:rPr>
                <w:rFonts w:ascii="Times New Roman" w:hAnsi="Times New Roman"/>
                <w:sz w:val="24"/>
              </w:rPr>
              <w:t> </w:t>
            </w:r>
            <w:r w:rsidRPr="00835753">
              <w:rPr>
                <w:rFonts w:ascii="Times New Roman" w:hAnsi="Times New Roman"/>
                <w:sz w:val="24"/>
              </w:rPr>
              <w:t xml:space="preserve">2–5 CRR. </w:t>
            </w:r>
          </w:p>
          <w:p w14:paraId="3C84478F" w14:textId="2400F589" w:rsidR="000646F8" w:rsidRPr="00835753" w:rsidRDefault="000646F8" w:rsidP="00155C96">
            <w:pPr>
              <w:autoSpaceDE w:val="0"/>
              <w:autoSpaceDN w:val="0"/>
              <w:adjustRightInd w:val="0"/>
              <w:spacing w:after="120"/>
              <w:jc w:val="both"/>
            </w:pPr>
            <w:r w:rsidRPr="00835753">
              <w:rPr>
                <w:rFonts w:ascii="Times New Roman" w:hAnsi="Times New Roman"/>
                <w:sz w:val="24"/>
              </w:rPr>
              <w:t>Leasing nieruchomości ujmuje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lic</w:t>
            </w:r>
            <w:r w:rsidRPr="00835753">
              <w:rPr>
                <w:rFonts w:ascii="Times New Roman" w:hAnsi="Times New Roman"/>
                <w:sz w:val="24"/>
              </w:rPr>
              <w:t>zniku,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gdy spełnia wszystkie wymogi kwalifikowalności określone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211 CRR. Ujawniana wartość zabezpieczenia ogranicza się do wartości ekspozycji na poziomie indywidualnej ekspozycji.</w:t>
            </w:r>
          </w:p>
        </w:tc>
      </w:tr>
      <w:tr w:rsidR="000646F8" w:rsidRPr="00835753" w14:paraId="2C9D2CBE" w14:textId="77777777" w:rsidTr="00155C96">
        <w:trPr>
          <w:trHeight w:val="316"/>
        </w:trPr>
        <w:tc>
          <w:tcPr>
            <w:tcW w:w="1413" w:type="dxa"/>
          </w:tcPr>
          <w:p w14:paraId="306FF813"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e</w:t>
            </w:r>
            <w:proofErr w:type="gramEnd"/>
            <w:r w:rsidRPr="00835753">
              <w:rPr>
                <w:rFonts w:ascii="Times New Roman" w:hAnsi="Times New Roman"/>
                <w:sz w:val="24"/>
              </w:rPr>
              <w:t>)</w:t>
            </w:r>
          </w:p>
        </w:tc>
        <w:tc>
          <w:tcPr>
            <w:tcW w:w="7654" w:type="dxa"/>
          </w:tcPr>
          <w:p w14:paraId="528CCEF0"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Odsetek ekspozycji zabezpieczonych wierzytelnościami (%)</w:t>
            </w:r>
          </w:p>
          <w:p w14:paraId="7EEBA573" w14:textId="386449FE"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Odsetek ekspozycji zabezpieczonych wierzytelnościami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199 ust.</w:t>
            </w:r>
            <w:r w:rsidR="00835753" w:rsidRPr="00835753">
              <w:rPr>
                <w:rFonts w:ascii="Times New Roman" w:hAnsi="Times New Roman"/>
                <w:sz w:val="24"/>
              </w:rPr>
              <w:t> </w:t>
            </w:r>
            <w:r w:rsidRPr="00835753">
              <w:rPr>
                <w:rFonts w:ascii="Times New Roman" w:hAnsi="Times New Roman"/>
                <w:sz w:val="24"/>
              </w:rPr>
              <w:t>5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sunku do ekspozycji całkowitych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a) niniejszego wzoru</w:t>
            </w:r>
          </w:p>
          <w:p w14:paraId="31372BEF" w14:textId="6670A151"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Należności ujmuje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lic</w:t>
            </w:r>
            <w:r w:rsidRPr="00835753">
              <w:rPr>
                <w:rFonts w:ascii="Times New Roman" w:hAnsi="Times New Roman"/>
                <w:sz w:val="24"/>
              </w:rPr>
              <w:t>zniku,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gdy spełniają wszystkie wymogi kwalifikowalności określone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209 CRR. Ujawniana wartość zabezpieczenia ogranicza się do wartości ekspozycji na poziomie indywidualnej ekspozycji.</w:t>
            </w:r>
          </w:p>
        </w:tc>
      </w:tr>
      <w:tr w:rsidR="000646F8" w:rsidRPr="00835753" w14:paraId="3E72DD3E" w14:textId="77777777" w:rsidTr="00155C96">
        <w:trPr>
          <w:trHeight w:val="316"/>
        </w:trPr>
        <w:tc>
          <w:tcPr>
            <w:tcW w:w="1413" w:type="dxa"/>
          </w:tcPr>
          <w:p w14:paraId="24CA425A"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f</w:t>
            </w:r>
            <w:proofErr w:type="gramEnd"/>
            <w:r w:rsidRPr="00835753">
              <w:rPr>
                <w:rFonts w:ascii="Times New Roman" w:hAnsi="Times New Roman"/>
                <w:sz w:val="24"/>
              </w:rPr>
              <w:t>)</w:t>
            </w:r>
          </w:p>
        </w:tc>
        <w:tc>
          <w:tcPr>
            <w:tcW w:w="7654" w:type="dxa"/>
          </w:tcPr>
          <w:p w14:paraId="7E603B8D"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Odsetek ekspozycji zabezpieczonych innego rodzaju zabezpieczeniami rzeczowymi (%)</w:t>
            </w:r>
          </w:p>
          <w:p w14:paraId="4CD98DA7" w14:textId="6FBDCE91"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lastRenderedPageBreak/>
              <w:t>Odsetek ekspozycji zabezpieczonych innego rodzaju zabezpieczeniami rzeczowymi,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leasingiem tych zabezpieczeń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199 ust.</w:t>
            </w:r>
            <w:r w:rsidR="00835753" w:rsidRPr="00835753">
              <w:rPr>
                <w:rFonts w:ascii="Times New Roman" w:hAnsi="Times New Roman"/>
                <w:sz w:val="24"/>
              </w:rPr>
              <w:t> </w:t>
            </w:r>
            <w:r w:rsidRPr="00835753">
              <w:rPr>
                <w:rFonts w:ascii="Times New Roman" w:hAnsi="Times New Roman"/>
                <w:sz w:val="24"/>
              </w:rPr>
              <w:t>6</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8</w:t>
            </w:r>
            <w:r w:rsidRPr="00835753">
              <w:rPr>
                <w:rFonts w:ascii="Times New Roman" w:hAnsi="Times New Roman"/>
                <w:sz w:val="24"/>
              </w:rPr>
              <w:t xml:space="preserve">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sunku do ekspozycji całkowitych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a) niniejszego wzoru</w:t>
            </w:r>
          </w:p>
          <w:p w14:paraId="511C1C34" w14:textId="197C39C6" w:rsidR="000646F8" w:rsidRPr="00835753" w:rsidRDefault="000646F8" w:rsidP="00155C96">
            <w:pPr>
              <w:spacing w:after="120"/>
              <w:rPr>
                <w:rFonts w:ascii="Times New Roman" w:eastAsia="Times New Roman" w:hAnsi="Times New Roman" w:cs="Times New Roman"/>
                <w:sz w:val="24"/>
              </w:rPr>
            </w:pPr>
            <w:r w:rsidRPr="00835753">
              <w:rPr>
                <w:rFonts w:ascii="Times New Roman" w:hAnsi="Times New Roman"/>
                <w:sz w:val="24"/>
              </w:rPr>
              <w:t>Inne zabezpieczenia rzeczowe ujmuje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lic</w:t>
            </w:r>
            <w:r w:rsidRPr="00835753">
              <w:rPr>
                <w:rFonts w:ascii="Times New Roman" w:hAnsi="Times New Roman"/>
                <w:sz w:val="24"/>
              </w:rPr>
              <w:t>zniku,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gdy spełniają wszystkie wymogi kwalifikowalności określone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210 CRR. Ujawniana wartość zabezpieczenia ogranicza się do wartości ekspozycji na poziomie indywidualnej ekspozycji.</w:t>
            </w:r>
          </w:p>
        </w:tc>
      </w:tr>
      <w:tr w:rsidR="000646F8" w:rsidRPr="00835753" w14:paraId="13C30B60" w14:textId="77777777" w:rsidTr="00155C96">
        <w:trPr>
          <w:trHeight w:val="316"/>
        </w:trPr>
        <w:tc>
          <w:tcPr>
            <w:tcW w:w="1413" w:type="dxa"/>
          </w:tcPr>
          <w:p w14:paraId="579E7202"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lastRenderedPageBreak/>
              <w:t>g</w:t>
            </w:r>
            <w:proofErr w:type="gramEnd"/>
            <w:r w:rsidRPr="00835753">
              <w:rPr>
                <w:rFonts w:ascii="Times New Roman" w:hAnsi="Times New Roman"/>
                <w:sz w:val="24"/>
              </w:rPr>
              <w:t>)</w:t>
            </w:r>
          </w:p>
        </w:tc>
        <w:tc>
          <w:tcPr>
            <w:tcW w:w="7654" w:type="dxa"/>
          </w:tcPr>
          <w:p w14:paraId="74889270"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Ochrona kredytowa rzeczywista – Odsetek ekspozycji objętych innymi rodzajami ochrony kredytowej rzeczywistej (%)</w:t>
            </w:r>
          </w:p>
          <w:p w14:paraId="3666B91E" w14:textId="099F30CC"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Odsetek ekspozycji zabezpieczonych innymi rodzajami ochrony kredytowej rzeczywistej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sunku do ekspozycji całkowitych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a)</w:t>
            </w:r>
          </w:p>
          <w:p w14:paraId="1DD87311" w14:textId="3396B2E0"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Wartości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tej</w:t>
            </w:r>
            <w:r w:rsidRPr="00835753">
              <w:rPr>
                <w:rFonts w:ascii="Times New Roman" w:hAnsi="Times New Roman"/>
                <w:sz w:val="24"/>
              </w:rPr>
              <w:t xml:space="preserve"> kolumnie są sumą wartości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h), i) oraz j) niniejszego wzoru.</w:t>
            </w:r>
          </w:p>
        </w:tc>
      </w:tr>
      <w:tr w:rsidR="000646F8" w:rsidRPr="00835753" w14:paraId="6224A848" w14:textId="77777777" w:rsidTr="00155C96">
        <w:trPr>
          <w:trHeight w:val="316"/>
        </w:trPr>
        <w:tc>
          <w:tcPr>
            <w:tcW w:w="1413" w:type="dxa"/>
          </w:tcPr>
          <w:p w14:paraId="3C981E31"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h</w:t>
            </w:r>
            <w:proofErr w:type="gramEnd"/>
            <w:r w:rsidRPr="00835753">
              <w:rPr>
                <w:rFonts w:ascii="Times New Roman" w:hAnsi="Times New Roman"/>
                <w:sz w:val="24"/>
              </w:rPr>
              <w:t>)</w:t>
            </w:r>
          </w:p>
          <w:p w14:paraId="32CB201C"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6E421B20" w:rsidR="000646F8" w:rsidRPr="00835753" w:rsidRDefault="000646F8"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Ochrona kredytowa rzeczywista – Odsetek ekspozycji objętych środkami pieniężnymi znajdującymi się</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dep</w:t>
            </w:r>
            <w:r w:rsidRPr="00835753">
              <w:rPr>
                <w:rFonts w:ascii="Times New Roman" w:hAnsi="Times New Roman"/>
                <w:b/>
                <w:sz w:val="24"/>
              </w:rPr>
              <w:t>ozycie (%)</w:t>
            </w:r>
          </w:p>
          <w:p w14:paraId="2C2EEE49" w14:textId="03A9A575"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Odsetek ekspozycji zabezpieczonych środkami pieniężnymi lub bankowymi instrumentami pieniężnymi utrzymywanymi przez instytucję będącą osobą trzecią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sunku do ekspozycji całkowitych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a) niniejszego wzoru;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200 lit.</w:t>
            </w:r>
            <w:r w:rsidR="00835753" w:rsidRPr="00835753">
              <w:rPr>
                <w:rFonts w:ascii="Times New Roman" w:hAnsi="Times New Roman"/>
                <w:sz w:val="24"/>
              </w:rPr>
              <w:t> </w:t>
            </w:r>
            <w:r w:rsidRPr="00835753">
              <w:rPr>
                <w:rFonts w:ascii="Times New Roman" w:hAnsi="Times New Roman"/>
                <w:sz w:val="24"/>
              </w:rPr>
              <w:t>a) CRR inne rodzaje ochrony kredytowej rzeczywistej obejmują środki pieniężne zdeponowane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tytucji będącej osobą trzecią lub bankowe instrumenty pieniężne utrzymywane przez instytucję będącą osobą trzecią nietrzymane na powierniczym rachunku zastrzeżonym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zas</w:t>
            </w:r>
            <w:r w:rsidRPr="00835753">
              <w:rPr>
                <w:rFonts w:ascii="Times New Roman" w:hAnsi="Times New Roman"/>
                <w:sz w:val="24"/>
              </w:rPr>
              <w:t xml:space="preserve">tawione na rzecz instytucji kredytującej. </w:t>
            </w:r>
          </w:p>
          <w:p w14:paraId="1F7838B8" w14:textId="77777777"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Ujawniana wartość zabezpieczenia ogranicza się do wartości ekspozycji na poziomie indywidualnej ekspozycji.</w:t>
            </w:r>
          </w:p>
        </w:tc>
      </w:tr>
      <w:tr w:rsidR="000646F8" w:rsidRPr="00835753" w14:paraId="28666159" w14:textId="77777777" w:rsidTr="00155C96">
        <w:trPr>
          <w:trHeight w:val="316"/>
        </w:trPr>
        <w:tc>
          <w:tcPr>
            <w:tcW w:w="1413" w:type="dxa"/>
          </w:tcPr>
          <w:p w14:paraId="3358D043"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i</w:t>
            </w:r>
            <w:proofErr w:type="gramEnd"/>
            <w:r w:rsidRPr="00835753">
              <w:rPr>
                <w:rFonts w:ascii="Times New Roman" w:hAnsi="Times New Roman"/>
                <w:sz w:val="24"/>
              </w:rPr>
              <w:t>)</w:t>
            </w:r>
          </w:p>
        </w:tc>
        <w:tc>
          <w:tcPr>
            <w:tcW w:w="7654" w:type="dxa"/>
          </w:tcPr>
          <w:p w14:paraId="713A68B6" w14:textId="10944047" w:rsidR="000646F8" w:rsidRPr="00835753" w:rsidRDefault="000646F8"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Ochrona kredytowa rzeczywista – Odsetek ekspozycji objętych polisami ubezpieczeniowymi na życie (%)</w:t>
            </w:r>
          </w:p>
          <w:p w14:paraId="68D00E2B" w14:textId="160B7F4C"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Odsetek ekspozycji zabezpieczonych polisami ubezpieczeniowymi na życie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sunku do ekspozycji całkowitych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a) niniejszego wzoru</w:t>
            </w:r>
          </w:p>
          <w:p w14:paraId="10BC71CC" w14:textId="47C3C5CD"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200 lit.</w:t>
            </w:r>
            <w:r w:rsidR="00835753" w:rsidRPr="00835753">
              <w:rPr>
                <w:rFonts w:ascii="Times New Roman" w:hAnsi="Times New Roman"/>
                <w:sz w:val="24"/>
              </w:rPr>
              <w:t> </w:t>
            </w:r>
            <w:r w:rsidRPr="00835753">
              <w:rPr>
                <w:rFonts w:ascii="Times New Roman" w:hAnsi="Times New Roman"/>
                <w:sz w:val="24"/>
              </w:rPr>
              <w:t>b) CRR inne rodzaje ochrony kredytowej rzeczywistej obejmują polisy ubezpieczeniowe na życie zastawione na rzecz instytucji kredytującej. Ujawniana wartość zabezpieczenia ogranicza się do wartości ekspozycji na poziomie indywidualnej ekspozycji.</w:t>
            </w:r>
          </w:p>
        </w:tc>
      </w:tr>
      <w:tr w:rsidR="000646F8" w:rsidRPr="00835753" w14:paraId="33EEEDB9" w14:textId="77777777" w:rsidTr="00155C96">
        <w:trPr>
          <w:trHeight w:val="316"/>
        </w:trPr>
        <w:tc>
          <w:tcPr>
            <w:tcW w:w="1413" w:type="dxa"/>
          </w:tcPr>
          <w:p w14:paraId="7AB15CAF"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j</w:t>
            </w:r>
            <w:proofErr w:type="gramEnd"/>
            <w:r w:rsidRPr="00835753">
              <w:rPr>
                <w:rFonts w:ascii="Times New Roman" w:hAnsi="Times New Roman"/>
                <w:sz w:val="24"/>
              </w:rPr>
              <w:t>)</w:t>
            </w:r>
          </w:p>
        </w:tc>
        <w:tc>
          <w:tcPr>
            <w:tcW w:w="7654" w:type="dxa"/>
          </w:tcPr>
          <w:p w14:paraId="013D9F1D" w14:textId="0BCE6F51" w:rsidR="000646F8" w:rsidRPr="00835753" w:rsidRDefault="000646F8"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Ochrona kredytowa rzeczywista – Odsetek ekspozycji objętych instrumentami będącymi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pos</w:t>
            </w:r>
            <w:r w:rsidRPr="00835753">
              <w:rPr>
                <w:rFonts w:ascii="Times New Roman" w:hAnsi="Times New Roman"/>
                <w:b/>
                <w:sz w:val="24"/>
              </w:rPr>
              <w:t>iadaniu osoby trzeciej</w:t>
            </w:r>
          </w:p>
          <w:p w14:paraId="340DC0A0" w14:textId="04A3E40D"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Odsetek ekspozycji objętych zabezpieczeniem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for</w:t>
            </w:r>
            <w:r w:rsidRPr="00835753">
              <w:rPr>
                <w:rFonts w:ascii="Times New Roman" w:hAnsi="Times New Roman"/>
                <w:sz w:val="24"/>
              </w:rPr>
              <w:t>mie instrumentów będących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iadaniu osoby trzeciej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sunku do ekspozycji całkowitych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 xml:space="preserve">umnie a) niniejszego wzoru; odsetek ekspozycji objętych </w:t>
            </w:r>
            <w:r w:rsidRPr="00835753">
              <w:rPr>
                <w:rFonts w:ascii="Times New Roman" w:hAnsi="Times New Roman"/>
                <w:sz w:val="24"/>
              </w:rPr>
              <w:lastRenderedPageBreak/>
              <w:t>instrumentami wyemitowanymi przez osobę trzecią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sunku do ekspozycji całkowitych</w:t>
            </w:r>
          </w:p>
          <w:p w14:paraId="0EA39099" w14:textId="50716EC2"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200 lit.</w:t>
            </w:r>
            <w:r w:rsidR="00835753" w:rsidRPr="00835753">
              <w:rPr>
                <w:rFonts w:ascii="Times New Roman" w:hAnsi="Times New Roman"/>
                <w:sz w:val="24"/>
              </w:rPr>
              <w:t> </w:t>
            </w:r>
            <w:r w:rsidRPr="00835753">
              <w:rPr>
                <w:rFonts w:ascii="Times New Roman" w:hAnsi="Times New Roman"/>
                <w:sz w:val="24"/>
              </w:rPr>
              <w:t>c) CRR ujawniana wartość obejmuje instrumenty emitowane przez instytucję będącą osobą trzecią, które podlegają wykupowi przez tę instytucję na żądanie. Wartość zabezpieczenia ogranicza się do wartości ekspozycji na poziomie indywidualnej ekspozycji</w:t>
            </w:r>
            <w:r w:rsidR="00835753" w:rsidRPr="00835753">
              <w:rPr>
                <w:rFonts w:ascii="Times New Roman" w:hAnsi="Times New Roman"/>
                <w:sz w:val="24"/>
              </w:rPr>
              <w:t>. Z</w:t>
            </w:r>
            <w:r w:rsidR="00835753">
              <w:rPr>
                <w:rFonts w:ascii="Times New Roman" w:hAnsi="Times New Roman"/>
                <w:sz w:val="24"/>
              </w:rPr>
              <w:t> </w:t>
            </w:r>
            <w:r w:rsidR="00835753" w:rsidRPr="00835753">
              <w:rPr>
                <w:rFonts w:ascii="Times New Roman" w:hAnsi="Times New Roman"/>
                <w:sz w:val="24"/>
              </w:rPr>
              <w:t>ods</w:t>
            </w:r>
            <w:r w:rsidRPr="00835753">
              <w:rPr>
                <w:rFonts w:ascii="Times New Roman" w:hAnsi="Times New Roman"/>
                <w:sz w:val="24"/>
              </w:rPr>
              <w:t>etka należy wyłączyć ekspozycje objęte instrumentami będącymi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iadaniu osoby trzeciej, jeżeli –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232 ust.</w:t>
            </w:r>
            <w:r w:rsidR="00835753" w:rsidRPr="00835753">
              <w:rPr>
                <w:rFonts w:ascii="Times New Roman" w:hAnsi="Times New Roman"/>
                <w:sz w:val="24"/>
              </w:rPr>
              <w:t> </w:t>
            </w:r>
            <w:r w:rsidRPr="00835753">
              <w:rPr>
                <w:rFonts w:ascii="Times New Roman" w:hAnsi="Times New Roman"/>
                <w:sz w:val="24"/>
              </w:rPr>
              <w:t>4 CRR instytucje traktują instrumenty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opc</w:t>
            </w:r>
            <w:r w:rsidRPr="00835753">
              <w:rPr>
                <w:rFonts w:ascii="Times New Roman" w:hAnsi="Times New Roman"/>
                <w:sz w:val="24"/>
              </w:rPr>
              <w:t>ją wykupu na żądanie, uznane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200 lit.</w:t>
            </w:r>
            <w:r w:rsidR="00835753" w:rsidRPr="00835753">
              <w:rPr>
                <w:rFonts w:ascii="Times New Roman" w:hAnsi="Times New Roman"/>
                <w:sz w:val="24"/>
              </w:rPr>
              <w:t> </w:t>
            </w:r>
            <w:r w:rsidRPr="00835753">
              <w:rPr>
                <w:rFonts w:ascii="Times New Roman" w:hAnsi="Times New Roman"/>
                <w:sz w:val="24"/>
              </w:rPr>
              <w:t xml:space="preserve">c) CRR, jako gwarancję udzieloną przez instytucję emitującą. </w:t>
            </w:r>
          </w:p>
        </w:tc>
      </w:tr>
      <w:tr w:rsidR="000646F8" w:rsidRPr="00835753" w14:paraId="21700143" w14:textId="77777777" w:rsidTr="00155C96">
        <w:trPr>
          <w:trHeight w:val="316"/>
        </w:trPr>
        <w:tc>
          <w:tcPr>
            <w:tcW w:w="1413" w:type="dxa"/>
          </w:tcPr>
          <w:p w14:paraId="7022B3E0"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lastRenderedPageBreak/>
              <w:t>k</w:t>
            </w:r>
            <w:proofErr w:type="gramEnd"/>
            <w:r w:rsidRPr="00835753">
              <w:rPr>
                <w:rFonts w:ascii="Times New Roman" w:hAnsi="Times New Roman"/>
                <w:sz w:val="24"/>
              </w:rPr>
              <w:t>)</w:t>
            </w:r>
          </w:p>
        </w:tc>
        <w:tc>
          <w:tcPr>
            <w:tcW w:w="7654" w:type="dxa"/>
          </w:tcPr>
          <w:p w14:paraId="7E5B7C83" w14:textId="704B6B34" w:rsidR="000646F8" w:rsidRPr="00835753" w:rsidRDefault="000646F8" w:rsidP="00155C96">
            <w:pPr>
              <w:spacing w:after="120"/>
              <w:rPr>
                <w:rFonts w:ascii="Times New Roman" w:hAnsi="Times New Roman" w:cs="Times New Roman"/>
                <w:b/>
                <w:sz w:val="24"/>
              </w:rPr>
            </w:pPr>
            <w:r w:rsidRPr="00835753">
              <w:rPr>
                <w:rFonts w:ascii="Times New Roman" w:hAnsi="Times New Roman"/>
                <w:b/>
                <w:sz w:val="24"/>
              </w:rPr>
              <w:t>Ochrona kredytowa nierzeczywista – Odsetek ekspozycji objętych gwarancjami (%)</w:t>
            </w:r>
          </w:p>
          <w:p w14:paraId="16C4B7FC" w14:textId="4CFDD585"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Odsetek ekspozycji zabezpieczonych gwarancjami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sunku do ekspozycji całkowitych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 xml:space="preserve">umnie a) niniejszego wzoru. </w:t>
            </w:r>
          </w:p>
          <w:p w14:paraId="13D304E8" w14:textId="6B0292C5"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Gwarancje spełniają wymóg określony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213, 214, 215 oraz,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 art.</w:t>
            </w:r>
            <w:r w:rsidR="00835753" w:rsidRPr="00835753">
              <w:rPr>
                <w:rFonts w:ascii="Times New Roman" w:hAnsi="Times New Roman"/>
                <w:sz w:val="24"/>
              </w:rPr>
              <w:t> </w:t>
            </w:r>
            <w:r w:rsidRPr="00835753">
              <w:rPr>
                <w:rFonts w:ascii="Times New Roman" w:hAnsi="Times New Roman"/>
                <w:sz w:val="24"/>
              </w:rPr>
              <w:t>217</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232 ust.</w:t>
            </w:r>
            <w:r w:rsidR="00835753" w:rsidRPr="00835753">
              <w:rPr>
                <w:rFonts w:ascii="Times New Roman" w:hAnsi="Times New Roman"/>
                <w:sz w:val="24"/>
              </w:rPr>
              <w:t> </w:t>
            </w:r>
            <w:r w:rsidRPr="00835753">
              <w:rPr>
                <w:rFonts w:ascii="Times New Roman" w:hAnsi="Times New Roman"/>
                <w:sz w:val="24"/>
              </w:rPr>
              <w:t>4 CRR. Wartość gwarancji ogranicza się do wartości ekspozycji na poziomie indywidualnej ekspozycji.</w:t>
            </w:r>
          </w:p>
        </w:tc>
      </w:tr>
      <w:tr w:rsidR="000646F8" w:rsidRPr="00835753" w14:paraId="514C2F0C" w14:textId="77777777" w:rsidTr="00155C96">
        <w:trPr>
          <w:trHeight w:val="316"/>
        </w:trPr>
        <w:tc>
          <w:tcPr>
            <w:tcW w:w="1413" w:type="dxa"/>
          </w:tcPr>
          <w:p w14:paraId="60ED3E08"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l</w:t>
            </w:r>
            <w:proofErr w:type="gramEnd"/>
            <w:r w:rsidRPr="00835753">
              <w:rPr>
                <w:rFonts w:ascii="Times New Roman" w:hAnsi="Times New Roman"/>
                <w:sz w:val="24"/>
              </w:rPr>
              <w:t>)</w:t>
            </w:r>
          </w:p>
        </w:tc>
        <w:tc>
          <w:tcPr>
            <w:tcW w:w="7654" w:type="dxa"/>
          </w:tcPr>
          <w:p w14:paraId="087198D1" w14:textId="266E86AC" w:rsidR="000646F8" w:rsidRPr="00835753" w:rsidRDefault="000646F8" w:rsidP="00155C96">
            <w:pPr>
              <w:spacing w:after="120"/>
              <w:rPr>
                <w:rFonts w:ascii="Times New Roman" w:hAnsi="Times New Roman" w:cs="Times New Roman"/>
                <w:b/>
                <w:sz w:val="24"/>
              </w:rPr>
            </w:pPr>
            <w:r w:rsidRPr="00835753">
              <w:rPr>
                <w:rFonts w:ascii="Times New Roman" w:hAnsi="Times New Roman"/>
                <w:b/>
                <w:sz w:val="24"/>
              </w:rPr>
              <w:t xml:space="preserve">Ochrona kredytowa nierzeczywista – Odsetek ekspozycji objętych kredytowymi instrumentami pochodnymi (%) </w:t>
            </w:r>
          </w:p>
          <w:p w14:paraId="09005096" w14:textId="4ED0265D"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Odsetek ekspozycji zabezpieczonych kredytowymi instrumentami pochodnymi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sunku do ekspozycji całkowitych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a) niniejszego wzoru.</w:t>
            </w:r>
          </w:p>
          <w:p w14:paraId="6C2048FB" w14:textId="3CEB8B43"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Kredytowe instrumenty pochodne obejmują:</w:t>
            </w:r>
          </w:p>
          <w:p w14:paraId="2D9CB1C2" w14:textId="77777777"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 xml:space="preserve">– swapy ryzyka kredytowego </w:t>
            </w:r>
          </w:p>
          <w:p w14:paraId="6F5C1A98" w14:textId="77777777"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 swapy przychodu całkowitego</w:t>
            </w:r>
          </w:p>
          <w:p w14:paraId="3B751F1F" w14:textId="32D7D900"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 obligacje powiązane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ryz</w:t>
            </w:r>
            <w:r w:rsidRPr="00835753">
              <w:rPr>
                <w:rFonts w:ascii="Times New Roman" w:hAnsi="Times New Roman"/>
                <w:sz w:val="24"/>
              </w:rPr>
              <w:t>ykiem kredytowym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im są one opłacone środkami pieniężnymi.</w:t>
            </w:r>
          </w:p>
          <w:p w14:paraId="1737C34D" w14:textId="6EF9696E"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Instrumenty te spełniają wymóg określony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204 ust.</w:t>
            </w:r>
            <w:r w:rsidR="00835753" w:rsidRPr="00835753">
              <w:rPr>
                <w:rFonts w:ascii="Times New Roman" w:hAnsi="Times New Roman"/>
                <w:sz w:val="24"/>
              </w:rPr>
              <w:t> </w:t>
            </w:r>
            <w:r w:rsidRPr="00835753">
              <w:rPr>
                <w:rFonts w:ascii="Times New Roman" w:hAnsi="Times New Roman"/>
                <w:sz w:val="24"/>
              </w:rPr>
              <w:t>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2</w:t>
            </w:r>
            <w:r w:rsidRPr="00835753">
              <w:rPr>
                <w:rFonts w:ascii="Times New Roman" w:hAnsi="Times New Roman"/>
                <w:sz w:val="24"/>
              </w:rPr>
              <w:t>, art.</w:t>
            </w:r>
            <w:r w:rsidR="00835753" w:rsidRPr="00835753">
              <w:rPr>
                <w:rFonts w:ascii="Times New Roman" w:hAnsi="Times New Roman"/>
                <w:sz w:val="24"/>
              </w:rPr>
              <w:t> </w:t>
            </w:r>
            <w:r w:rsidRPr="00835753">
              <w:rPr>
                <w:rFonts w:ascii="Times New Roman" w:hAnsi="Times New Roman"/>
                <w:sz w:val="24"/>
              </w:rPr>
              <w:t>213, art.</w:t>
            </w:r>
            <w:r w:rsidR="00835753" w:rsidRPr="00835753">
              <w:rPr>
                <w:rFonts w:ascii="Times New Roman" w:hAnsi="Times New Roman"/>
                <w:sz w:val="24"/>
              </w:rPr>
              <w:t> </w:t>
            </w:r>
            <w:r w:rsidRPr="00835753">
              <w:rPr>
                <w:rFonts w:ascii="Times New Roman" w:hAnsi="Times New Roman"/>
                <w:sz w:val="24"/>
              </w:rPr>
              <w:t>216 oraz,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 art.</w:t>
            </w:r>
            <w:r w:rsidR="00835753" w:rsidRPr="00835753">
              <w:rPr>
                <w:rFonts w:ascii="Times New Roman" w:hAnsi="Times New Roman"/>
                <w:sz w:val="24"/>
              </w:rPr>
              <w:t> </w:t>
            </w:r>
            <w:r w:rsidRPr="00835753">
              <w:rPr>
                <w:rFonts w:ascii="Times New Roman" w:hAnsi="Times New Roman"/>
                <w:sz w:val="24"/>
              </w:rPr>
              <w:t>217 CRR. Wartość kredytowych instrumentów pochodnych ogranicza się do wartości ekspozycji na poziomie indywidualnej ekspozycji.</w:t>
            </w:r>
          </w:p>
        </w:tc>
      </w:tr>
      <w:tr w:rsidR="000646F8" w:rsidRPr="00835753" w14:paraId="5C95ED94" w14:textId="77777777" w:rsidTr="00155C96">
        <w:trPr>
          <w:trHeight w:val="316"/>
        </w:trPr>
        <w:tc>
          <w:tcPr>
            <w:tcW w:w="1413" w:type="dxa"/>
          </w:tcPr>
          <w:p w14:paraId="72B5C389"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m</w:t>
            </w:r>
            <w:proofErr w:type="gramEnd"/>
            <w:r w:rsidRPr="00835753">
              <w:rPr>
                <w:rFonts w:ascii="Times New Roman" w:hAnsi="Times New Roman"/>
                <w:sz w:val="24"/>
              </w:rPr>
              <w:t>)</w:t>
            </w:r>
          </w:p>
        </w:tc>
        <w:tc>
          <w:tcPr>
            <w:tcW w:w="7654" w:type="dxa"/>
          </w:tcPr>
          <w:p w14:paraId="421B595A" w14:textId="525B35D8" w:rsidR="000646F8" w:rsidRPr="00835753" w:rsidRDefault="000646F8"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Kwota ekspozycji ważonej ryzykiem bez efektów substytucyjnych (tylko efekty ograniczające)</w:t>
            </w:r>
          </w:p>
          <w:p w14:paraId="2E3FB1D4" w14:textId="31A8786A"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Kwoty ekspozycji ważonych ryzykiem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92 ust.</w:t>
            </w:r>
            <w:r w:rsidR="00835753" w:rsidRPr="00835753">
              <w:rPr>
                <w:rFonts w:ascii="Times New Roman" w:hAnsi="Times New Roman"/>
                <w:sz w:val="24"/>
              </w:rPr>
              <w:t> </w:t>
            </w:r>
            <w:r w:rsidRPr="00835753">
              <w:rPr>
                <w:rFonts w:ascii="Times New Roman" w:hAnsi="Times New Roman"/>
                <w:sz w:val="24"/>
              </w:rPr>
              <w:t>3 lit.</w:t>
            </w:r>
            <w:r w:rsidR="00835753" w:rsidRPr="00835753">
              <w:rPr>
                <w:rFonts w:ascii="Times New Roman" w:hAnsi="Times New Roman"/>
                <w:sz w:val="24"/>
              </w:rPr>
              <w:t> </w:t>
            </w:r>
            <w:r w:rsidRPr="00835753">
              <w:rPr>
                <w:rFonts w:ascii="Times New Roman" w:hAnsi="Times New Roman"/>
                <w:sz w:val="24"/>
              </w:rPr>
              <w:t>a) i f)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wszelkie zmniejszenia kwoty ekspozycji ważonej ryzykiem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zwi</w:t>
            </w:r>
            <w:r w:rsidRPr="00835753">
              <w:rPr>
                <w:rFonts w:ascii="Times New Roman" w:hAnsi="Times New Roman"/>
                <w:sz w:val="24"/>
              </w:rPr>
              <w:t>ązku</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ist</w:t>
            </w:r>
            <w:r w:rsidRPr="00835753">
              <w:rPr>
                <w:rFonts w:ascii="Times New Roman" w:hAnsi="Times New Roman"/>
                <w:sz w:val="24"/>
              </w:rPr>
              <w:t>nieniem ochrony kredytowej rzeczywistej lub nierzeczywistej, również</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gdy zastępuje się PD i LGD lub wagę ryzyka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zwi</w:t>
            </w:r>
            <w:r w:rsidRPr="00835753">
              <w:rPr>
                <w:rFonts w:ascii="Times New Roman" w:hAnsi="Times New Roman"/>
                <w:sz w:val="24"/>
              </w:rPr>
              <w:t>ązku</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ist</w:t>
            </w:r>
            <w:r w:rsidRPr="00835753">
              <w:rPr>
                <w:rFonts w:ascii="Times New Roman" w:hAnsi="Times New Roman"/>
                <w:sz w:val="24"/>
              </w:rPr>
              <w:t>nieniem ochrony kredytowej nierzeczywistej. We wszystkich przypadkach,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stosowania metody substytucyjnej, ekspozycje ujawnia się jednak</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pie</w:t>
            </w:r>
            <w:r w:rsidRPr="00835753">
              <w:rPr>
                <w:rFonts w:ascii="Times New Roman" w:hAnsi="Times New Roman"/>
                <w:sz w:val="24"/>
              </w:rPr>
              <w:t>rwotnych kategoriach ekspozycji mających zastosowanie do dłużnika.</w:t>
            </w:r>
          </w:p>
        </w:tc>
      </w:tr>
      <w:tr w:rsidR="000646F8" w:rsidRPr="00835753" w14:paraId="11F252FB" w14:textId="77777777" w:rsidTr="00155C96">
        <w:trPr>
          <w:trHeight w:val="316"/>
        </w:trPr>
        <w:tc>
          <w:tcPr>
            <w:tcW w:w="1413" w:type="dxa"/>
          </w:tcPr>
          <w:p w14:paraId="7EC81F41"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lastRenderedPageBreak/>
              <w:t>n</w:t>
            </w:r>
            <w:proofErr w:type="gramEnd"/>
            <w:r w:rsidRPr="00835753">
              <w:rPr>
                <w:rFonts w:ascii="Times New Roman" w:hAnsi="Times New Roman"/>
                <w:sz w:val="24"/>
              </w:rPr>
              <w:t>)</w:t>
            </w:r>
          </w:p>
        </w:tc>
        <w:tc>
          <w:tcPr>
            <w:tcW w:w="7654" w:type="dxa"/>
          </w:tcPr>
          <w:p w14:paraId="5E63EE4F" w14:textId="73B3B3E6" w:rsidR="000646F8" w:rsidRPr="00835753" w:rsidRDefault="000646F8"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Kwota ekspozycji ważonej ryzykiem</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efe</w:t>
            </w:r>
            <w:r w:rsidRPr="00835753">
              <w:rPr>
                <w:rFonts w:ascii="Times New Roman" w:hAnsi="Times New Roman"/>
                <w:b/>
                <w:sz w:val="24"/>
              </w:rPr>
              <w:t>ktami substytucyjnymi (zarówno efekty ograniczające, jak</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sub</w:t>
            </w:r>
            <w:r w:rsidRPr="00835753">
              <w:rPr>
                <w:rFonts w:ascii="Times New Roman" w:hAnsi="Times New Roman"/>
                <w:b/>
                <w:sz w:val="24"/>
              </w:rPr>
              <w:t>stytucyjne)</w:t>
            </w:r>
          </w:p>
          <w:p w14:paraId="3ABA238B" w14:textId="644EA110"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Kwoty ekspozycji ważonych ryzykiem obliczane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153–157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wszelkie zmniejszenia kwoty ekspozycji ważonej ryzykiem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zwi</w:t>
            </w:r>
            <w:r w:rsidRPr="00835753">
              <w:rPr>
                <w:rFonts w:ascii="Times New Roman" w:hAnsi="Times New Roman"/>
                <w:sz w:val="24"/>
              </w:rPr>
              <w:t>ązku</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ist</w:t>
            </w:r>
            <w:r w:rsidRPr="00835753">
              <w:rPr>
                <w:rFonts w:ascii="Times New Roman" w:hAnsi="Times New Roman"/>
                <w:sz w:val="24"/>
              </w:rPr>
              <w:t>nieniem ochrony kredytowej rzeczywistej lub nierzeczywistej</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gdy zastępuje się PD i LGD lub wagę ryzyka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zwi</w:t>
            </w:r>
            <w:r w:rsidRPr="00835753">
              <w:rPr>
                <w:rFonts w:ascii="Times New Roman" w:hAnsi="Times New Roman"/>
                <w:sz w:val="24"/>
              </w:rPr>
              <w:t>ązku</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ist</w:t>
            </w:r>
            <w:r w:rsidRPr="00835753">
              <w:rPr>
                <w:rFonts w:ascii="Times New Roman" w:hAnsi="Times New Roman"/>
                <w:sz w:val="24"/>
              </w:rPr>
              <w:t>nieniem ochrony kredytowej nierzeczywistej, ekspozycje ujawnia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kat</w:t>
            </w:r>
            <w:r w:rsidRPr="00835753">
              <w:rPr>
                <w:rFonts w:ascii="Times New Roman" w:hAnsi="Times New Roman"/>
                <w:sz w:val="24"/>
              </w:rPr>
              <w:t>egorii ekspozycji mającej zastosowanie do podmiotu zapewniającego ochronę.</w:t>
            </w:r>
          </w:p>
        </w:tc>
      </w:tr>
    </w:tbl>
    <w:p w14:paraId="1866259A" w14:textId="77777777" w:rsidR="000646F8" w:rsidRPr="00835753"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835753"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835753" w:rsidRDefault="000646F8"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Oznaczenie wiersza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0C95CF56" w:rsidR="000646F8" w:rsidRPr="00835753" w:rsidRDefault="000646F8"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0646F8" w:rsidRPr="00835753"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835753"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835753" w:rsidRDefault="000646F8"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0646F8" w:rsidRPr="00835753" w14:paraId="00F7D46C" w14:textId="77777777" w:rsidTr="00155C96">
        <w:trPr>
          <w:trHeight w:val="316"/>
        </w:trPr>
        <w:tc>
          <w:tcPr>
            <w:tcW w:w="1413" w:type="dxa"/>
          </w:tcPr>
          <w:p w14:paraId="1793C373"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 xml:space="preserve"> </w:t>
            </w:r>
          </w:p>
        </w:tc>
        <w:tc>
          <w:tcPr>
            <w:tcW w:w="7654" w:type="dxa"/>
          </w:tcPr>
          <w:p w14:paraId="1ABDDDEF" w14:textId="165E42AE" w:rsidR="000646F8" w:rsidRPr="00835753" w:rsidRDefault="000646F8" w:rsidP="00155C96">
            <w:pPr>
              <w:pStyle w:val="Default"/>
              <w:spacing w:after="120"/>
              <w:jc w:val="both"/>
              <w:rPr>
                <w:rFonts w:ascii="Times New Roman" w:hAnsi="Times New Roman" w:cs="Times New Roman"/>
              </w:rPr>
            </w:pPr>
            <w:r w:rsidRPr="00835753">
              <w:rPr>
                <w:rFonts w:ascii="Times New Roman" w:hAnsi="Times New Roman"/>
                <w:iCs/>
              </w:rPr>
              <w:t>Ujawnienia tych informacji dokonuje się oddzielnie dla ekspozycji objętych metodą A-IRB, metodą F-IRB, jak również kredytowaniem specjalistycznym zgodnie</w:t>
            </w:r>
            <w:r w:rsidR="00835753" w:rsidRPr="00835753">
              <w:rPr>
                <w:rFonts w:ascii="Times New Roman" w:hAnsi="Times New Roman"/>
                <w:iCs/>
              </w:rPr>
              <w:t xml:space="preserve"> z</w:t>
            </w:r>
            <w:r w:rsidR="00835753">
              <w:rPr>
                <w:rFonts w:ascii="Times New Roman" w:hAnsi="Times New Roman"/>
                <w:iCs/>
              </w:rPr>
              <w:t> </w:t>
            </w:r>
            <w:r w:rsidR="00835753" w:rsidRPr="00835753">
              <w:rPr>
                <w:rFonts w:ascii="Times New Roman" w:hAnsi="Times New Roman"/>
                <w:iCs/>
              </w:rPr>
              <w:t>met</w:t>
            </w:r>
            <w:r w:rsidRPr="00835753">
              <w:rPr>
                <w:rFonts w:ascii="Times New Roman" w:hAnsi="Times New Roman"/>
                <w:iCs/>
              </w:rPr>
              <w:t>odą klasyfikacji oraz ekspozycji kapitałowych.</w:t>
            </w:r>
            <w:r w:rsidRPr="00835753">
              <w:tab/>
            </w:r>
          </w:p>
        </w:tc>
      </w:tr>
      <w:tr w:rsidR="000646F8" w:rsidRPr="00835753" w14:paraId="70E1B28D" w14:textId="77777777" w:rsidTr="00155C96">
        <w:trPr>
          <w:trHeight w:val="316"/>
        </w:trPr>
        <w:tc>
          <w:tcPr>
            <w:tcW w:w="1413" w:type="dxa"/>
          </w:tcPr>
          <w:p w14:paraId="3E9CE85C"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52D2C6E4"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Zaawansowana metoda IRB (A-IRB)</w:t>
            </w:r>
          </w:p>
        </w:tc>
        <w:tc>
          <w:tcPr>
            <w:tcW w:w="7654" w:type="dxa"/>
          </w:tcPr>
          <w:p w14:paraId="7F3134D4" w14:textId="7F197CCF" w:rsidR="000646F8" w:rsidRPr="00835753" w:rsidRDefault="000646F8" w:rsidP="00155C96">
            <w:pPr>
              <w:pStyle w:val="Default"/>
              <w:spacing w:after="120"/>
              <w:rPr>
                <w:rFonts w:ascii="Times New Roman" w:eastAsia="Times New Roman" w:hAnsi="Times New Roman" w:cs="Times New Roman"/>
                <w:iCs/>
              </w:rPr>
            </w:pPr>
            <w:r w:rsidRPr="00835753">
              <w:rPr>
                <w:rFonts w:ascii="Times New Roman" w:hAnsi="Times New Roman"/>
                <w:iCs/>
              </w:rPr>
              <w:t>Instytucje uwzględniają informacje dotyczące technik ograniczania ryzyka kredytowego zawarte</w:t>
            </w:r>
            <w:r w:rsidR="00835753" w:rsidRPr="00835753">
              <w:rPr>
                <w:rFonts w:ascii="Times New Roman" w:hAnsi="Times New Roman"/>
                <w:iCs/>
              </w:rPr>
              <w:t xml:space="preserve"> w</w:t>
            </w:r>
            <w:r w:rsidR="00835753">
              <w:rPr>
                <w:rFonts w:ascii="Times New Roman" w:hAnsi="Times New Roman"/>
                <w:iCs/>
              </w:rPr>
              <w:t> </w:t>
            </w:r>
            <w:r w:rsidR="00835753" w:rsidRPr="00835753">
              <w:rPr>
                <w:rFonts w:ascii="Times New Roman" w:hAnsi="Times New Roman"/>
                <w:iCs/>
              </w:rPr>
              <w:t>nin</w:t>
            </w:r>
            <w:r w:rsidRPr="00835753">
              <w:rPr>
                <w:rFonts w:ascii="Times New Roman" w:hAnsi="Times New Roman"/>
                <w:iCs/>
              </w:rPr>
              <w:t>iejszym wzorze według kategorii ekspozycji, zgodnie</w:t>
            </w:r>
            <w:r w:rsidR="00835753" w:rsidRPr="00835753">
              <w:rPr>
                <w:rFonts w:ascii="Times New Roman" w:hAnsi="Times New Roman"/>
                <w:iCs/>
              </w:rPr>
              <w:t xml:space="preserve"> z</w:t>
            </w:r>
            <w:r w:rsidR="00835753">
              <w:rPr>
                <w:rFonts w:ascii="Times New Roman" w:hAnsi="Times New Roman"/>
                <w:iCs/>
              </w:rPr>
              <w:t> </w:t>
            </w:r>
            <w:r w:rsidR="00835753" w:rsidRPr="00835753">
              <w:rPr>
                <w:rFonts w:ascii="Times New Roman" w:hAnsi="Times New Roman"/>
                <w:iCs/>
              </w:rPr>
              <w:t>kat</w:t>
            </w:r>
            <w:r w:rsidRPr="00835753">
              <w:rPr>
                <w:rFonts w:ascii="Times New Roman" w:hAnsi="Times New Roman"/>
                <w:iCs/>
              </w:rPr>
              <w:t>egoriami ekspozycji wymienionymi</w:t>
            </w:r>
            <w:r w:rsidR="00835753" w:rsidRPr="00835753">
              <w:rPr>
                <w:rFonts w:ascii="Times New Roman" w:hAnsi="Times New Roman"/>
                <w:iCs/>
              </w:rPr>
              <w:t xml:space="preserve"> w</w:t>
            </w:r>
            <w:r w:rsidR="00835753">
              <w:rPr>
                <w:rFonts w:ascii="Times New Roman" w:hAnsi="Times New Roman"/>
                <w:iCs/>
              </w:rPr>
              <w:t> </w:t>
            </w:r>
            <w:r w:rsidR="00835753" w:rsidRPr="00835753">
              <w:rPr>
                <w:rFonts w:ascii="Times New Roman" w:hAnsi="Times New Roman"/>
                <w:iCs/>
              </w:rPr>
              <w:t>art</w:t>
            </w:r>
            <w:r w:rsidRPr="00835753">
              <w:rPr>
                <w:rFonts w:ascii="Times New Roman" w:hAnsi="Times New Roman"/>
                <w:iCs/>
              </w:rPr>
              <w:t>.</w:t>
            </w:r>
            <w:r w:rsidR="00835753" w:rsidRPr="00835753">
              <w:rPr>
                <w:rFonts w:ascii="Times New Roman" w:hAnsi="Times New Roman"/>
                <w:iCs/>
              </w:rPr>
              <w:t> </w:t>
            </w:r>
            <w:r w:rsidRPr="00835753">
              <w:rPr>
                <w:rFonts w:ascii="Times New Roman" w:hAnsi="Times New Roman"/>
                <w:iCs/>
              </w:rPr>
              <w:t>147 CRR,</w:t>
            </w:r>
            <w:r w:rsidR="00835753" w:rsidRPr="00835753">
              <w:rPr>
                <w:rFonts w:ascii="Times New Roman" w:hAnsi="Times New Roman"/>
                <w:iCs/>
              </w:rPr>
              <w:t xml:space="preserve"> z</w:t>
            </w:r>
            <w:r w:rsidR="00835753">
              <w:rPr>
                <w:rFonts w:ascii="Times New Roman" w:hAnsi="Times New Roman"/>
                <w:iCs/>
              </w:rPr>
              <w:t> </w:t>
            </w:r>
            <w:r w:rsidR="00835753" w:rsidRPr="00835753">
              <w:rPr>
                <w:rFonts w:ascii="Times New Roman" w:hAnsi="Times New Roman"/>
                <w:iCs/>
              </w:rPr>
              <w:t>dal</w:t>
            </w:r>
            <w:r w:rsidRPr="00835753">
              <w:rPr>
                <w:rFonts w:ascii="Times New Roman" w:hAnsi="Times New Roman"/>
                <w:iCs/>
              </w:rPr>
              <w:t>szym podziałem na kategorie ekspozycji „ekspozycje wobec przedsiębiorstw” (art.</w:t>
            </w:r>
            <w:r w:rsidR="00835753" w:rsidRPr="00835753">
              <w:rPr>
                <w:rFonts w:ascii="Times New Roman" w:hAnsi="Times New Roman"/>
                <w:iCs/>
              </w:rPr>
              <w:t> </w:t>
            </w:r>
            <w:r w:rsidRPr="00835753">
              <w:rPr>
                <w:rFonts w:ascii="Times New Roman" w:hAnsi="Times New Roman"/>
                <w:iCs/>
              </w:rPr>
              <w:t>147 ust.</w:t>
            </w:r>
            <w:r w:rsidR="00835753" w:rsidRPr="00835753">
              <w:rPr>
                <w:rFonts w:ascii="Times New Roman" w:hAnsi="Times New Roman"/>
                <w:iCs/>
              </w:rPr>
              <w:t> </w:t>
            </w:r>
            <w:r w:rsidRPr="00835753">
              <w:rPr>
                <w:rFonts w:ascii="Times New Roman" w:hAnsi="Times New Roman"/>
                <w:iCs/>
              </w:rPr>
              <w:t>2 lit.</w:t>
            </w:r>
            <w:r w:rsidR="00835753" w:rsidRPr="00835753">
              <w:rPr>
                <w:rFonts w:ascii="Times New Roman" w:hAnsi="Times New Roman"/>
                <w:iCs/>
              </w:rPr>
              <w:t> </w:t>
            </w:r>
            <w:r w:rsidRPr="00835753">
              <w:rPr>
                <w:rFonts w:ascii="Times New Roman" w:hAnsi="Times New Roman"/>
                <w:iCs/>
              </w:rPr>
              <w:t>c) CRR) zgodnie</w:t>
            </w:r>
            <w:r w:rsidR="00835753" w:rsidRPr="00835753">
              <w:rPr>
                <w:rFonts w:ascii="Times New Roman" w:hAnsi="Times New Roman"/>
                <w:iCs/>
              </w:rPr>
              <w:t xml:space="preserve"> z</w:t>
            </w:r>
            <w:r w:rsidR="00835753">
              <w:rPr>
                <w:rFonts w:ascii="Times New Roman" w:hAnsi="Times New Roman"/>
                <w:iCs/>
              </w:rPr>
              <w:t> </w:t>
            </w:r>
            <w:r w:rsidR="00835753" w:rsidRPr="00835753">
              <w:rPr>
                <w:rFonts w:ascii="Times New Roman" w:hAnsi="Times New Roman"/>
                <w:iCs/>
              </w:rPr>
              <w:t>pon</w:t>
            </w:r>
            <w:r w:rsidRPr="00835753">
              <w:rPr>
                <w:rFonts w:ascii="Times New Roman" w:hAnsi="Times New Roman"/>
                <w:iCs/>
              </w:rPr>
              <w:t>iższym:</w:t>
            </w:r>
          </w:p>
          <w:p w14:paraId="1DC49DD5" w14:textId="1D75503C"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a</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MŚP,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wew</w:t>
            </w:r>
            <w:r w:rsidRPr="00835753">
              <w:rPr>
                <w:rFonts w:ascii="Times New Roman" w:hAnsi="Times New Roman"/>
                <w:iCs/>
                <w:sz w:val="24"/>
              </w:rPr>
              <w:t>nętrzną klasyfikacją ekspozycji wobec przedsiębiorstw opartą na strategiach</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zak</w:t>
            </w:r>
            <w:r w:rsidRPr="00835753">
              <w:rPr>
                <w:rFonts w:ascii="Times New Roman" w:hAnsi="Times New Roman"/>
                <w:iCs/>
                <w:sz w:val="24"/>
              </w:rPr>
              <w:t>resie zarządzania ryzykiem;</w:t>
            </w:r>
          </w:p>
          <w:p w14:paraId="1AE7AEC0" w14:textId="1FF07630"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b</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kredytowanie specjalistyczne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8 CRR,</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wył</w:t>
            </w:r>
            <w:r w:rsidRPr="00835753">
              <w:rPr>
                <w:rFonts w:ascii="Times New Roman" w:hAnsi="Times New Roman"/>
                <w:iCs/>
                <w:sz w:val="24"/>
              </w:rPr>
              <w:t>ączeniem ekspozycji związanych</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kre</w:t>
            </w:r>
            <w:r w:rsidRPr="00835753">
              <w:rPr>
                <w:rFonts w:ascii="Times New Roman" w:hAnsi="Times New Roman"/>
                <w:iCs/>
                <w:sz w:val="24"/>
              </w:rPr>
              <w:t>dytowaniem specjalistycznym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met</w:t>
            </w:r>
            <w:r w:rsidRPr="00835753">
              <w:rPr>
                <w:rFonts w:ascii="Times New Roman" w:hAnsi="Times New Roman"/>
                <w:iCs/>
                <w:sz w:val="24"/>
              </w:rPr>
              <w:t>odą klasyfikacji;</w:t>
            </w:r>
          </w:p>
          <w:p w14:paraId="4527C255" w14:textId="31C23D9C"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c</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inne.</w:t>
            </w:r>
          </w:p>
          <w:p w14:paraId="215714C4" w14:textId="62B29705" w:rsidR="000646F8" w:rsidRPr="00835753" w:rsidRDefault="000646F8"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Instytucje ujawniają dalszy podział na kategorię ekspozycji „Ekspozycje detaliczne” (art.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lit.</w:t>
            </w:r>
            <w:r w:rsidR="00835753" w:rsidRPr="00835753">
              <w:rPr>
                <w:rFonts w:ascii="Times New Roman" w:hAnsi="Times New Roman"/>
                <w:iCs/>
                <w:sz w:val="24"/>
              </w:rPr>
              <w:t> </w:t>
            </w:r>
            <w:r w:rsidRPr="00835753">
              <w:rPr>
                <w:rFonts w:ascii="Times New Roman" w:hAnsi="Times New Roman"/>
                <w:iCs/>
                <w:sz w:val="24"/>
              </w:rPr>
              <w:t>d)</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5 CRR). Instytucje ujawniają dalszy podział na:</w:t>
            </w:r>
          </w:p>
          <w:p w14:paraId="24C46D89" w14:textId="0E84213C"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a</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detaliczne – ekspozycje wobec MŚP zabezpieczone nieruchomościami (w związku</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154 ust.</w:t>
            </w:r>
            <w:r w:rsidR="00835753" w:rsidRPr="00835753">
              <w:rPr>
                <w:rFonts w:ascii="Times New Roman" w:hAnsi="Times New Roman"/>
                <w:iCs/>
                <w:sz w:val="24"/>
              </w:rPr>
              <w:t> </w:t>
            </w:r>
            <w:r w:rsidRPr="00835753">
              <w:rPr>
                <w:rFonts w:ascii="Times New Roman" w:hAnsi="Times New Roman"/>
                <w:iCs/>
                <w:sz w:val="24"/>
              </w:rPr>
              <w:t>2</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3</w:t>
            </w:r>
            <w:r w:rsidRPr="00835753">
              <w:rPr>
                <w:rFonts w:ascii="Times New Roman" w:hAnsi="Times New Roman"/>
                <w:iCs/>
                <w:sz w:val="24"/>
              </w:rPr>
              <w:t xml:space="preserve"> CRR);</w:t>
            </w:r>
          </w:p>
          <w:p w14:paraId="1EAADB71" w14:textId="50B975A2"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b</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detaliczne – ekspozycje wobec podmiotów niebędących MŚP zabezpieczone nieruchomościami (w związku</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154 ust.</w:t>
            </w:r>
            <w:r w:rsidR="00835753" w:rsidRPr="00835753">
              <w:rPr>
                <w:rFonts w:ascii="Times New Roman" w:hAnsi="Times New Roman"/>
                <w:iCs/>
                <w:sz w:val="24"/>
              </w:rPr>
              <w:t> </w:t>
            </w:r>
            <w:r w:rsidRPr="00835753">
              <w:rPr>
                <w:rFonts w:ascii="Times New Roman" w:hAnsi="Times New Roman"/>
                <w:iCs/>
                <w:sz w:val="24"/>
              </w:rPr>
              <w:t>3 CRR);</w:t>
            </w:r>
          </w:p>
          <w:p w14:paraId="1BB13A25" w14:textId="4DFC3B24"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c</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detaliczne – kwalifikowane ekspozycje odnawialne (w związku</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154 ust.</w:t>
            </w:r>
            <w:r w:rsidR="00835753" w:rsidRPr="00835753">
              <w:rPr>
                <w:rFonts w:ascii="Times New Roman" w:hAnsi="Times New Roman"/>
                <w:iCs/>
                <w:sz w:val="24"/>
              </w:rPr>
              <w:t> </w:t>
            </w:r>
            <w:r w:rsidRPr="00835753">
              <w:rPr>
                <w:rFonts w:ascii="Times New Roman" w:hAnsi="Times New Roman"/>
                <w:iCs/>
                <w:sz w:val="24"/>
              </w:rPr>
              <w:t>4 CRR);</w:t>
            </w:r>
          </w:p>
          <w:p w14:paraId="79106AD7" w14:textId="77777777"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proofErr w:type="gramStart"/>
            <w:r w:rsidRPr="00835753">
              <w:rPr>
                <w:rFonts w:ascii="Times New Roman" w:hAnsi="Times New Roman"/>
                <w:iCs/>
                <w:sz w:val="24"/>
              </w:rPr>
              <w:t>d)         ekspozycje</w:t>
            </w:r>
            <w:proofErr w:type="gramEnd"/>
            <w:r w:rsidRPr="00835753">
              <w:rPr>
                <w:rFonts w:ascii="Times New Roman" w:hAnsi="Times New Roman"/>
                <w:iCs/>
                <w:sz w:val="24"/>
              </w:rPr>
              <w:t xml:space="preserve"> detaliczne – inne ekspozycje wobec MŚP;</w:t>
            </w:r>
          </w:p>
          <w:p w14:paraId="05DFAC4D" w14:textId="77777777" w:rsidR="000646F8" w:rsidRPr="00835753" w:rsidRDefault="000646F8" w:rsidP="00155C96">
            <w:pPr>
              <w:autoSpaceDE w:val="0"/>
              <w:autoSpaceDN w:val="0"/>
              <w:adjustRightInd w:val="0"/>
              <w:spacing w:after="120"/>
              <w:ind w:left="720"/>
              <w:jc w:val="both"/>
              <w:rPr>
                <w:rFonts w:ascii="Times New Roman" w:hAnsi="Times New Roman" w:cs="Times New Roman"/>
                <w:sz w:val="24"/>
              </w:rPr>
            </w:pPr>
            <w:proofErr w:type="gramStart"/>
            <w:r w:rsidRPr="00835753">
              <w:rPr>
                <w:rFonts w:ascii="Times New Roman" w:hAnsi="Times New Roman"/>
                <w:iCs/>
                <w:sz w:val="24"/>
              </w:rPr>
              <w:lastRenderedPageBreak/>
              <w:t>e)         ekspozycje</w:t>
            </w:r>
            <w:proofErr w:type="gramEnd"/>
            <w:r w:rsidRPr="00835753">
              <w:rPr>
                <w:rFonts w:ascii="Times New Roman" w:hAnsi="Times New Roman"/>
                <w:iCs/>
                <w:sz w:val="24"/>
              </w:rPr>
              <w:t xml:space="preserve"> detaliczne – inne ekspozycje wobec podmiotów niebędących MŚP.</w:t>
            </w:r>
          </w:p>
        </w:tc>
      </w:tr>
      <w:tr w:rsidR="000646F8" w:rsidRPr="00835753" w14:paraId="7E87A8DB" w14:textId="77777777" w:rsidTr="00155C96">
        <w:trPr>
          <w:trHeight w:val="316"/>
        </w:trPr>
        <w:tc>
          <w:tcPr>
            <w:tcW w:w="1413" w:type="dxa"/>
          </w:tcPr>
          <w:p w14:paraId="1D8BCE59"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Podstawowa metoda IRB (F-IRB)</w:t>
            </w:r>
          </w:p>
        </w:tc>
        <w:tc>
          <w:tcPr>
            <w:tcW w:w="7654" w:type="dxa"/>
          </w:tcPr>
          <w:p w14:paraId="71D99FEE" w14:textId="248ACD0E" w:rsidR="000646F8" w:rsidRPr="00835753" w:rsidRDefault="000646F8" w:rsidP="00155C96">
            <w:pPr>
              <w:pStyle w:val="Default"/>
              <w:spacing w:after="120"/>
              <w:rPr>
                <w:rFonts w:ascii="Times New Roman" w:eastAsia="Times New Roman" w:hAnsi="Times New Roman" w:cs="Times New Roman"/>
                <w:iCs/>
              </w:rPr>
            </w:pPr>
            <w:r w:rsidRPr="00835753">
              <w:rPr>
                <w:rFonts w:ascii="Times New Roman" w:hAnsi="Times New Roman"/>
                <w:iCs/>
              </w:rPr>
              <w:t>Instytucje uwzględniają informacje dotyczące technik ograniczania ryzyka kredytowego zawarte</w:t>
            </w:r>
            <w:r w:rsidR="00835753" w:rsidRPr="00835753">
              <w:rPr>
                <w:rFonts w:ascii="Times New Roman" w:hAnsi="Times New Roman"/>
                <w:iCs/>
              </w:rPr>
              <w:t xml:space="preserve"> w</w:t>
            </w:r>
            <w:r w:rsidR="00835753">
              <w:rPr>
                <w:rFonts w:ascii="Times New Roman" w:hAnsi="Times New Roman"/>
                <w:iCs/>
              </w:rPr>
              <w:t> </w:t>
            </w:r>
            <w:r w:rsidR="00835753" w:rsidRPr="00835753">
              <w:rPr>
                <w:rFonts w:ascii="Times New Roman" w:hAnsi="Times New Roman"/>
                <w:iCs/>
              </w:rPr>
              <w:t>nin</w:t>
            </w:r>
            <w:r w:rsidRPr="00835753">
              <w:rPr>
                <w:rFonts w:ascii="Times New Roman" w:hAnsi="Times New Roman"/>
                <w:iCs/>
              </w:rPr>
              <w:t>iejszym wzorze według kategorii ekspozycji, zgodnie</w:t>
            </w:r>
            <w:r w:rsidR="00835753" w:rsidRPr="00835753">
              <w:rPr>
                <w:rFonts w:ascii="Times New Roman" w:hAnsi="Times New Roman"/>
                <w:iCs/>
              </w:rPr>
              <w:t xml:space="preserve"> z</w:t>
            </w:r>
            <w:r w:rsidR="00835753">
              <w:rPr>
                <w:rFonts w:ascii="Times New Roman" w:hAnsi="Times New Roman"/>
                <w:iCs/>
              </w:rPr>
              <w:t> </w:t>
            </w:r>
            <w:r w:rsidR="00835753" w:rsidRPr="00835753">
              <w:rPr>
                <w:rFonts w:ascii="Times New Roman" w:hAnsi="Times New Roman"/>
                <w:iCs/>
              </w:rPr>
              <w:t>kat</w:t>
            </w:r>
            <w:r w:rsidRPr="00835753">
              <w:rPr>
                <w:rFonts w:ascii="Times New Roman" w:hAnsi="Times New Roman"/>
                <w:iCs/>
              </w:rPr>
              <w:t>egoriami ekspozycji wymienionymi</w:t>
            </w:r>
            <w:r w:rsidR="00835753" w:rsidRPr="00835753">
              <w:rPr>
                <w:rFonts w:ascii="Times New Roman" w:hAnsi="Times New Roman"/>
                <w:iCs/>
              </w:rPr>
              <w:t xml:space="preserve"> w</w:t>
            </w:r>
            <w:r w:rsidR="00835753">
              <w:rPr>
                <w:rFonts w:ascii="Times New Roman" w:hAnsi="Times New Roman"/>
                <w:iCs/>
              </w:rPr>
              <w:t> </w:t>
            </w:r>
            <w:r w:rsidR="00835753" w:rsidRPr="00835753">
              <w:rPr>
                <w:rFonts w:ascii="Times New Roman" w:hAnsi="Times New Roman"/>
                <w:iCs/>
              </w:rPr>
              <w:t>art</w:t>
            </w:r>
            <w:r w:rsidRPr="00835753">
              <w:rPr>
                <w:rFonts w:ascii="Times New Roman" w:hAnsi="Times New Roman"/>
                <w:iCs/>
              </w:rPr>
              <w:t>.</w:t>
            </w:r>
            <w:r w:rsidR="00835753" w:rsidRPr="00835753">
              <w:rPr>
                <w:rFonts w:ascii="Times New Roman" w:hAnsi="Times New Roman"/>
                <w:iCs/>
              </w:rPr>
              <w:t> </w:t>
            </w:r>
            <w:r w:rsidRPr="00835753">
              <w:rPr>
                <w:rFonts w:ascii="Times New Roman" w:hAnsi="Times New Roman"/>
                <w:iCs/>
              </w:rPr>
              <w:t>147 CRR,</w:t>
            </w:r>
            <w:r w:rsidR="00835753" w:rsidRPr="00835753">
              <w:rPr>
                <w:rFonts w:ascii="Times New Roman" w:hAnsi="Times New Roman"/>
                <w:iCs/>
              </w:rPr>
              <w:t xml:space="preserve"> z</w:t>
            </w:r>
            <w:r w:rsidR="00835753">
              <w:rPr>
                <w:rFonts w:ascii="Times New Roman" w:hAnsi="Times New Roman"/>
                <w:iCs/>
              </w:rPr>
              <w:t> </w:t>
            </w:r>
            <w:r w:rsidR="00835753" w:rsidRPr="00835753">
              <w:rPr>
                <w:rFonts w:ascii="Times New Roman" w:hAnsi="Times New Roman"/>
                <w:iCs/>
              </w:rPr>
              <w:t>dal</w:t>
            </w:r>
            <w:r w:rsidRPr="00835753">
              <w:rPr>
                <w:rFonts w:ascii="Times New Roman" w:hAnsi="Times New Roman"/>
                <w:iCs/>
              </w:rPr>
              <w:t xml:space="preserve">szym podziałem na kategorie ekspozycji </w:t>
            </w:r>
          </w:p>
          <w:p w14:paraId="44D9686B" w14:textId="2BF25AAD" w:rsidR="000646F8" w:rsidRPr="00835753" w:rsidRDefault="000646F8" w:rsidP="00155C96">
            <w:pPr>
              <w:pStyle w:val="Default"/>
              <w:spacing w:after="120"/>
              <w:rPr>
                <w:rFonts w:ascii="Times New Roman" w:eastAsia="Times New Roman" w:hAnsi="Times New Roman" w:cs="Times New Roman"/>
                <w:iCs/>
              </w:rPr>
            </w:pPr>
            <w:r w:rsidRPr="00835753">
              <w:rPr>
                <w:rFonts w:ascii="Times New Roman" w:hAnsi="Times New Roman"/>
                <w:iCs/>
              </w:rPr>
              <w:t>„ekspozycje wobec przedsiębiorstw” (art.</w:t>
            </w:r>
            <w:r w:rsidR="00835753" w:rsidRPr="00835753">
              <w:rPr>
                <w:rFonts w:ascii="Times New Roman" w:hAnsi="Times New Roman"/>
                <w:iCs/>
              </w:rPr>
              <w:t> </w:t>
            </w:r>
            <w:r w:rsidRPr="00835753">
              <w:rPr>
                <w:rFonts w:ascii="Times New Roman" w:hAnsi="Times New Roman"/>
                <w:iCs/>
              </w:rPr>
              <w:t>147 ust.</w:t>
            </w:r>
            <w:r w:rsidR="00835753" w:rsidRPr="00835753">
              <w:rPr>
                <w:rFonts w:ascii="Times New Roman" w:hAnsi="Times New Roman"/>
                <w:iCs/>
              </w:rPr>
              <w:t> </w:t>
            </w:r>
            <w:r w:rsidRPr="00835753">
              <w:rPr>
                <w:rFonts w:ascii="Times New Roman" w:hAnsi="Times New Roman"/>
                <w:iCs/>
              </w:rPr>
              <w:t>2 lit.</w:t>
            </w:r>
            <w:r w:rsidR="00835753" w:rsidRPr="00835753">
              <w:rPr>
                <w:rFonts w:ascii="Times New Roman" w:hAnsi="Times New Roman"/>
                <w:iCs/>
              </w:rPr>
              <w:t> </w:t>
            </w:r>
            <w:r w:rsidRPr="00835753">
              <w:rPr>
                <w:rFonts w:ascii="Times New Roman" w:hAnsi="Times New Roman"/>
                <w:iCs/>
              </w:rPr>
              <w:t>c) CRR) zgodnie</w:t>
            </w:r>
            <w:r w:rsidR="00835753" w:rsidRPr="00835753">
              <w:rPr>
                <w:rFonts w:ascii="Times New Roman" w:hAnsi="Times New Roman"/>
                <w:iCs/>
              </w:rPr>
              <w:t xml:space="preserve"> z</w:t>
            </w:r>
            <w:r w:rsidR="00835753">
              <w:rPr>
                <w:rFonts w:ascii="Times New Roman" w:hAnsi="Times New Roman"/>
                <w:iCs/>
              </w:rPr>
              <w:t> </w:t>
            </w:r>
            <w:r w:rsidR="00835753" w:rsidRPr="00835753">
              <w:rPr>
                <w:rFonts w:ascii="Times New Roman" w:hAnsi="Times New Roman"/>
                <w:iCs/>
              </w:rPr>
              <w:t>pon</w:t>
            </w:r>
            <w:r w:rsidRPr="00835753">
              <w:rPr>
                <w:rFonts w:ascii="Times New Roman" w:hAnsi="Times New Roman"/>
                <w:iCs/>
              </w:rPr>
              <w:t>iższym:</w:t>
            </w:r>
          </w:p>
          <w:p w14:paraId="6387AD8E" w14:textId="4BFDBEAE"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a</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MŚP,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wew</w:t>
            </w:r>
            <w:r w:rsidRPr="00835753">
              <w:rPr>
                <w:rFonts w:ascii="Times New Roman" w:hAnsi="Times New Roman"/>
                <w:iCs/>
                <w:sz w:val="24"/>
              </w:rPr>
              <w:t>nętrzną klasyfikacją ekspozycji wobec przedsiębiorstw opartą na strategiach</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zak</w:t>
            </w:r>
            <w:r w:rsidRPr="00835753">
              <w:rPr>
                <w:rFonts w:ascii="Times New Roman" w:hAnsi="Times New Roman"/>
                <w:iCs/>
                <w:sz w:val="24"/>
              </w:rPr>
              <w:t>resie zarządzania ryzykiem;</w:t>
            </w:r>
          </w:p>
          <w:p w14:paraId="671A14DF" w14:textId="603FC5E5"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b</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kredytowanie specjalistyczne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8 CRR,</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wył</w:t>
            </w:r>
            <w:r w:rsidRPr="00835753">
              <w:rPr>
                <w:rFonts w:ascii="Times New Roman" w:hAnsi="Times New Roman"/>
                <w:iCs/>
                <w:sz w:val="24"/>
              </w:rPr>
              <w:t>ączeniem ekspozycji związanych</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kre</w:t>
            </w:r>
            <w:r w:rsidRPr="00835753">
              <w:rPr>
                <w:rFonts w:ascii="Times New Roman" w:hAnsi="Times New Roman"/>
                <w:iCs/>
                <w:sz w:val="24"/>
              </w:rPr>
              <w:t>dytowaniem specjalistycznym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met</w:t>
            </w:r>
            <w:r w:rsidRPr="00835753">
              <w:rPr>
                <w:rFonts w:ascii="Times New Roman" w:hAnsi="Times New Roman"/>
                <w:iCs/>
                <w:sz w:val="24"/>
              </w:rPr>
              <w:t>odą klasyfikacji;</w:t>
            </w:r>
          </w:p>
          <w:p w14:paraId="6E9FAB9D" w14:textId="24F374B6"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c</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inne.</w:t>
            </w:r>
          </w:p>
        </w:tc>
      </w:tr>
    </w:tbl>
    <w:p w14:paraId="3565DF75" w14:textId="265587EE" w:rsidR="000646F8" w:rsidRPr="00835753" w:rsidRDefault="00CD362D" w:rsidP="000646F8">
      <w:pPr>
        <w:spacing w:before="240" w:after="120"/>
        <w:rPr>
          <w:rFonts w:ascii="Times New Roman" w:hAnsi="Times New Roman" w:cs="Times New Roman"/>
          <w:b/>
          <w:sz w:val="24"/>
        </w:rPr>
      </w:pPr>
      <w:r w:rsidRPr="00835753">
        <w:rPr>
          <w:rFonts w:ascii="Times New Roman" w:hAnsi="Times New Roman"/>
          <w:b/>
          <w:sz w:val="24"/>
        </w:rPr>
        <w:t>Wzór EU CR8 – Rachunek przepływów kwot ekspozycji ważonych ryzykiem</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odn</w:t>
      </w:r>
      <w:r w:rsidRPr="00835753">
        <w:rPr>
          <w:rFonts w:ascii="Times New Roman" w:hAnsi="Times New Roman"/>
          <w:b/>
          <w:sz w:val="24"/>
        </w:rPr>
        <w:t>iesieniu do ekspozycji na ryzyko kredytowe według metody IRB. Wzór</w:t>
      </w:r>
      <w:r w:rsidR="00835753" w:rsidRPr="00835753">
        <w:rPr>
          <w:rFonts w:ascii="Times New Roman" w:hAnsi="Times New Roman"/>
          <w:b/>
          <w:sz w:val="24"/>
        </w:rPr>
        <w:t xml:space="preserve"> o</w:t>
      </w:r>
      <w:r w:rsidR="00835753">
        <w:rPr>
          <w:rFonts w:ascii="Times New Roman" w:hAnsi="Times New Roman"/>
          <w:b/>
          <w:sz w:val="24"/>
        </w:rPr>
        <w:t> </w:t>
      </w:r>
      <w:r w:rsidR="00835753" w:rsidRPr="00835753">
        <w:rPr>
          <w:rFonts w:ascii="Times New Roman" w:hAnsi="Times New Roman"/>
          <w:b/>
          <w:sz w:val="24"/>
        </w:rPr>
        <w:t>for</w:t>
      </w:r>
      <w:r w:rsidRPr="00835753">
        <w:rPr>
          <w:rFonts w:ascii="Times New Roman" w:hAnsi="Times New Roman"/>
          <w:b/>
          <w:sz w:val="24"/>
        </w:rPr>
        <w:t xml:space="preserve">macie stałym </w:t>
      </w:r>
    </w:p>
    <w:p w14:paraId="203A55C3" w14:textId="4A0C838D" w:rsidR="000646F8" w:rsidRPr="00835753" w:rsidRDefault="000646F8" w:rsidP="000646F8">
      <w:pPr>
        <w:pStyle w:val="ListParagraph"/>
        <w:numPr>
          <w:ilvl w:val="0"/>
          <w:numId w:val="51"/>
        </w:numPr>
        <w:spacing w:after="120"/>
        <w:ind w:left="714" w:hanging="357"/>
        <w:jc w:val="both"/>
        <w:rPr>
          <w:rFonts w:ascii="Times New Roman" w:hAnsi="Times New Roman"/>
          <w:sz w:val="24"/>
        </w:rPr>
      </w:pPr>
      <w:r w:rsidRPr="00835753">
        <w:rPr>
          <w:rFonts w:ascii="Times New Roman" w:hAnsi="Times New Roman"/>
          <w:sz w:val="24"/>
        </w:rPr>
        <w:t>W celu wypełnienia wzoru EU CR8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XXI do niniejszego rozporządzenia wykonawczego instytucje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438 lit.</w:t>
      </w:r>
      <w:r w:rsidR="00835753" w:rsidRPr="00835753">
        <w:rPr>
          <w:rFonts w:ascii="Times New Roman" w:hAnsi="Times New Roman"/>
          <w:sz w:val="24"/>
        </w:rPr>
        <w:t> </w:t>
      </w:r>
      <w:r w:rsidRPr="00835753">
        <w:rPr>
          <w:rFonts w:ascii="Times New Roman" w:hAnsi="Times New Roman"/>
          <w:sz w:val="24"/>
        </w:rPr>
        <w:t>h)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 Informacje zawarte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wzorze nie obejmują ekspozycji na ryzyko kredytowe kontrahenta (CCR) (część trzecia tytuł II rozdział 6 CRR).</w:t>
      </w:r>
    </w:p>
    <w:p w14:paraId="78F8CD8A" w14:textId="2651E809" w:rsidR="000646F8" w:rsidRPr="00835753" w:rsidRDefault="000646F8" w:rsidP="000646F8">
      <w:pPr>
        <w:pStyle w:val="ListParagraph"/>
        <w:numPr>
          <w:ilvl w:val="0"/>
          <w:numId w:val="51"/>
        </w:numPr>
        <w:spacing w:after="120"/>
        <w:jc w:val="both"/>
        <w:rPr>
          <w:rFonts w:ascii="Times New Roman" w:hAnsi="Times New Roman"/>
          <w:sz w:val="24"/>
          <w:szCs w:val="24"/>
        </w:rPr>
      </w:pPr>
      <w:r w:rsidRPr="00835753">
        <w:rPr>
          <w:rFonts w:ascii="Times New Roman" w:hAnsi="Times New Roman"/>
          <w:bCs/>
          <w:color w:val="000000"/>
          <w:sz w:val="24"/>
          <w:szCs w:val="24"/>
        </w:rPr>
        <w:t xml:space="preserve">Instytucje ujawniają przepływy kwot ekspozycji ważonych ryzykiem jako zmiany </w:t>
      </w:r>
      <w:r w:rsidRPr="00835753">
        <w:rPr>
          <w:rFonts w:ascii="Times New Roman" w:hAnsi="Times New Roman"/>
          <w:color w:val="000000"/>
          <w:sz w:val="24"/>
          <w:szCs w:val="24"/>
        </w:rPr>
        <w:t>między kwotami</w:t>
      </w:r>
      <w:r w:rsidRPr="00835753">
        <w:rPr>
          <w:rFonts w:ascii="Times New Roman" w:hAnsi="Times New Roman"/>
          <w:sz w:val="24"/>
          <w:szCs w:val="24"/>
        </w:rPr>
        <w:t xml:space="preserve"> ekspozycji ważonych ryzykiem na koniec </w:t>
      </w:r>
      <w:r w:rsidRPr="00835753">
        <w:rPr>
          <w:rFonts w:ascii="Times New Roman" w:hAnsi="Times New Roman"/>
          <w:color w:val="000000"/>
          <w:sz w:val="24"/>
          <w:szCs w:val="24"/>
        </w:rPr>
        <w:t>okresu odniesienia do celów ujawniania informacji (jak określono poniżej</w:t>
      </w:r>
      <w:r w:rsidR="00835753" w:rsidRPr="00835753">
        <w:rPr>
          <w:rFonts w:ascii="Times New Roman" w:hAnsi="Times New Roman"/>
          <w:color w:val="000000"/>
          <w:sz w:val="24"/>
          <w:szCs w:val="24"/>
        </w:rPr>
        <w:t xml:space="preserve"> w</w:t>
      </w:r>
      <w:r w:rsidR="00835753">
        <w:rPr>
          <w:rFonts w:ascii="Times New Roman" w:hAnsi="Times New Roman"/>
          <w:color w:val="000000"/>
          <w:sz w:val="24"/>
          <w:szCs w:val="24"/>
        </w:rPr>
        <w:t> </w:t>
      </w:r>
      <w:r w:rsidR="00835753" w:rsidRPr="00835753">
        <w:rPr>
          <w:rFonts w:ascii="Times New Roman" w:hAnsi="Times New Roman"/>
          <w:color w:val="000000"/>
          <w:sz w:val="24"/>
          <w:szCs w:val="24"/>
        </w:rPr>
        <w:t>wie</w:t>
      </w:r>
      <w:r w:rsidRPr="00835753">
        <w:rPr>
          <w:rFonts w:ascii="Times New Roman" w:hAnsi="Times New Roman"/>
          <w:color w:val="000000"/>
          <w:sz w:val="24"/>
          <w:szCs w:val="24"/>
        </w:rPr>
        <w:t xml:space="preserve">rszu </w:t>
      </w:r>
      <w:r w:rsidRPr="00835753">
        <w:rPr>
          <w:rFonts w:ascii="Times New Roman" w:hAnsi="Times New Roman"/>
          <w:bCs/>
          <w:color w:val="000000"/>
          <w:sz w:val="24"/>
          <w:szCs w:val="24"/>
        </w:rPr>
        <w:t xml:space="preserve">9 </w:t>
      </w:r>
      <w:r w:rsidRPr="00835753">
        <w:rPr>
          <w:rFonts w:ascii="Times New Roman" w:hAnsi="Times New Roman"/>
          <w:sz w:val="24"/>
        </w:rPr>
        <w:t>niniejszego wzoru</w:t>
      </w:r>
      <w:r w:rsidRPr="00835753">
        <w:rPr>
          <w:rFonts w:ascii="Times New Roman" w:hAnsi="Times New Roman"/>
          <w:color w:val="000000"/>
          <w:sz w:val="24"/>
        </w:rPr>
        <w:t>),</w:t>
      </w:r>
      <w:r w:rsidR="00835753" w:rsidRPr="00835753">
        <w:rPr>
          <w:rFonts w:ascii="Times New Roman" w:hAnsi="Times New Roman"/>
          <w:color w:val="000000"/>
          <w:sz w:val="24"/>
        </w:rPr>
        <w:t xml:space="preserve"> a</w:t>
      </w:r>
      <w:r w:rsidR="00835753">
        <w:rPr>
          <w:rFonts w:ascii="Times New Roman" w:hAnsi="Times New Roman"/>
          <w:color w:val="000000"/>
          <w:sz w:val="24"/>
        </w:rPr>
        <w:t> </w:t>
      </w:r>
      <w:r w:rsidR="00835753" w:rsidRPr="00835753">
        <w:rPr>
          <w:rFonts w:ascii="Times New Roman" w:hAnsi="Times New Roman"/>
          <w:sz w:val="24"/>
        </w:rPr>
        <w:t>kwo</w:t>
      </w:r>
      <w:r w:rsidRPr="00835753">
        <w:rPr>
          <w:rFonts w:ascii="Times New Roman" w:hAnsi="Times New Roman"/>
          <w:sz w:val="24"/>
        </w:rPr>
        <w:t xml:space="preserve">tami ekspozycji ważonych ryzykiem na </w:t>
      </w:r>
      <w:r w:rsidRPr="00835753">
        <w:rPr>
          <w:rFonts w:ascii="Times New Roman" w:hAnsi="Times New Roman"/>
          <w:color w:val="000000"/>
          <w:sz w:val="24"/>
          <w:szCs w:val="24"/>
        </w:rPr>
        <w:t xml:space="preserve">koniec </w:t>
      </w:r>
      <w:r w:rsidRPr="00835753">
        <w:rPr>
          <w:rFonts w:ascii="Times New Roman" w:hAnsi="Times New Roman"/>
          <w:bCs/>
          <w:color w:val="000000"/>
          <w:sz w:val="24"/>
          <w:szCs w:val="24"/>
        </w:rPr>
        <w:t xml:space="preserve">poprzedniego okresu odniesienia do celów ujawniania informacji </w:t>
      </w:r>
      <w:r w:rsidRPr="00835753">
        <w:rPr>
          <w:rFonts w:ascii="Times New Roman" w:hAnsi="Times New Roman"/>
          <w:color w:val="000000"/>
          <w:sz w:val="24"/>
          <w:szCs w:val="24"/>
        </w:rPr>
        <w:t>(jak określono poniżej</w:t>
      </w:r>
      <w:r w:rsidR="00835753" w:rsidRPr="00835753">
        <w:rPr>
          <w:rFonts w:ascii="Times New Roman" w:hAnsi="Times New Roman"/>
          <w:color w:val="000000"/>
          <w:sz w:val="24"/>
          <w:szCs w:val="24"/>
        </w:rPr>
        <w:t xml:space="preserve"> w</w:t>
      </w:r>
      <w:r w:rsidR="00835753">
        <w:rPr>
          <w:rFonts w:ascii="Times New Roman" w:hAnsi="Times New Roman"/>
          <w:color w:val="000000"/>
          <w:sz w:val="24"/>
          <w:szCs w:val="24"/>
        </w:rPr>
        <w:t> </w:t>
      </w:r>
      <w:r w:rsidR="00835753" w:rsidRPr="00835753">
        <w:rPr>
          <w:rFonts w:ascii="Times New Roman" w:hAnsi="Times New Roman"/>
          <w:color w:val="000000"/>
          <w:sz w:val="24"/>
          <w:szCs w:val="24"/>
        </w:rPr>
        <w:t>wie</w:t>
      </w:r>
      <w:r w:rsidRPr="00835753">
        <w:rPr>
          <w:rFonts w:ascii="Times New Roman" w:hAnsi="Times New Roman"/>
          <w:color w:val="000000"/>
          <w:sz w:val="24"/>
          <w:szCs w:val="24"/>
        </w:rPr>
        <w:t>rszu 1</w:t>
      </w:r>
      <w:r w:rsidRPr="00835753">
        <w:rPr>
          <w:rFonts w:ascii="Times New Roman" w:hAnsi="Times New Roman"/>
          <w:sz w:val="24"/>
        </w:rPr>
        <w:t xml:space="preserve"> niniejszego wzoru</w:t>
      </w:r>
      <w:r w:rsidRPr="00835753">
        <w:rPr>
          <w:rFonts w:ascii="Times New Roman" w:hAnsi="Times New Roman"/>
          <w:bCs/>
          <w:color w:val="000000"/>
          <w:sz w:val="24"/>
          <w:szCs w:val="24"/>
        </w:rPr>
        <w:t>;</w:t>
      </w:r>
      <w:r w:rsidR="00835753" w:rsidRPr="00835753">
        <w:rPr>
          <w:rFonts w:ascii="Times New Roman" w:hAnsi="Times New Roman"/>
          <w:bCs/>
          <w:color w:val="000000"/>
          <w:sz w:val="24"/>
          <w:szCs w:val="24"/>
        </w:rPr>
        <w:t xml:space="preserve"> w</w:t>
      </w:r>
      <w:r w:rsidR="00835753">
        <w:rPr>
          <w:rFonts w:ascii="Times New Roman" w:hAnsi="Times New Roman"/>
          <w:bCs/>
          <w:color w:val="000000"/>
          <w:sz w:val="24"/>
          <w:szCs w:val="24"/>
        </w:rPr>
        <w:t> </w:t>
      </w:r>
      <w:r w:rsidR="00835753" w:rsidRPr="00835753">
        <w:rPr>
          <w:rFonts w:ascii="Times New Roman" w:hAnsi="Times New Roman"/>
          <w:bCs/>
          <w:color w:val="000000"/>
          <w:sz w:val="24"/>
          <w:szCs w:val="24"/>
        </w:rPr>
        <w:t>prz</w:t>
      </w:r>
      <w:r w:rsidRPr="00835753">
        <w:rPr>
          <w:rFonts w:ascii="Times New Roman" w:hAnsi="Times New Roman"/>
          <w:bCs/>
          <w:color w:val="000000"/>
          <w:sz w:val="24"/>
          <w:szCs w:val="24"/>
        </w:rPr>
        <w:t>ypadku informacji ujawnianych co kwartał – na koniec kwartału poprzedzającego kwartał będący okresem odniesienia do celów ujawniania informacji).</w:t>
      </w:r>
      <w:r w:rsidRPr="00835753">
        <w:rPr>
          <w:rFonts w:ascii="Times New Roman" w:hAnsi="Times New Roman"/>
          <w:color w:val="000000"/>
          <w:sz w:val="24"/>
          <w:szCs w:val="24"/>
        </w:rPr>
        <w:t xml:space="preserve"> Instytucje mogą uzupełnić ujawnione przez siebie informacje</w:t>
      </w:r>
      <w:r w:rsidR="00835753" w:rsidRPr="00835753">
        <w:rPr>
          <w:rFonts w:ascii="Times New Roman" w:hAnsi="Times New Roman"/>
          <w:color w:val="000000"/>
          <w:sz w:val="24"/>
          <w:szCs w:val="24"/>
        </w:rPr>
        <w:t xml:space="preserve"> w</w:t>
      </w:r>
      <w:r w:rsidR="00835753">
        <w:rPr>
          <w:rFonts w:ascii="Times New Roman" w:hAnsi="Times New Roman"/>
          <w:color w:val="000000"/>
          <w:sz w:val="24"/>
          <w:szCs w:val="24"/>
        </w:rPr>
        <w:t> </w:t>
      </w:r>
      <w:r w:rsidR="00835753" w:rsidRPr="00835753">
        <w:rPr>
          <w:rFonts w:ascii="Times New Roman" w:hAnsi="Times New Roman"/>
          <w:color w:val="000000"/>
          <w:sz w:val="24"/>
          <w:szCs w:val="24"/>
        </w:rPr>
        <w:t>ram</w:t>
      </w:r>
      <w:r w:rsidRPr="00835753">
        <w:rPr>
          <w:rFonts w:ascii="Times New Roman" w:hAnsi="Times New Roman"/>
          <w:color w:val="000000"/>
          <w:sz w:val="24"/>
          <w:szCs w:val="24"/>
        </w:rPr>
        <w:t xml:space="preserve">ach filaru III, </w:t>
      </w:r>
      <w:r w:rsidRPr="00835753">
        <w:rPr>
          <w:rFonts w:ascii="Times New Roman" w:hAnsi="Times New Roman"/>
          <w:bCs/>
          <w:color w:val="000000"/>
          <w:sz w:val="24"/>
          <w:szCs w:val="24"/>
        </w:rPr>
        <w:t>ujawniając analogiczne informacje dotyczące</w:t>
      </w:r>
      <w:r w:rsidRPr="00835753">
        <w:rPr>
          <w:rFonts w:ascii="Times New Roman" w:hAnsi="Times New Roman"/>
          <w:color w:val="000000"/>
          <w:sz w:val="24"/>
          <w:szCs w:val="24"/>
        </w:rPr>
        <w:t xml:space="preserve"> </w:t>
      </w:r>
      <w:r w:rsidRPr="00835753">
        <w:rPr>
          <w:rFonts w:ascii="Times New Roman" w:hAnsi="Times New Roman"/>
          <w:bCs/>
          <w:color w:val="000000"/>
          <w:sz w:val="24"/>
          <w:szCs w:val="24"/>
        </w:rPr>
        <w:t>trzech</w:t>
      </w:r>
      <w:r w:rsidRPr="00835753">
        <w:rPr>
          <w:rFonts w:ascii="Times New Roman" w:hAnsi="Times New Roman"/>
          <w:color w:val="000000"/>
          <w:sz w:val="24"/>
          <w:szCs w:val="24"/>
        </w:rPr>
        <w:t xml:space="preserve"> poprzedzających kwartałów</w:t>
      </w:r>
      <w:r w:rsidRPr="00835753">
        <w:rPr>
          <w:rFonts w:ascii="Times New Roman" w:hAnsi="Times New Roman"/>
          <w:bCs/>
          <w:color w:val="000000"/>
          <w:sz w:val="24"/>
          <w:szCs w:val="24"/>
        </w:rPr>
        <w:t>.</w:t>
      </w:r>
    </w:p>
    <w:p w14:paraId="7BF20DB5" w14:textId="2FB1ECA3" w:rsidR="000646F8" w:rsidRPr="00835753" w:rsidRDefault="000646F8" w:rsidP="000646F8">
      <w:pPr>
        <w:pStyle w:val="ListParagraph"/>
        <w:numPr>
          <w:ilvl w:val="0"/>
          <w:numId w:val="51"/>
        </w:numPr>
        <w:spacing w:after="120"/>
        <w:ind w:left="714" w:hanging="357"/>
        <w:jc w:val="both"/>
        <w:rPr>
          <w:rFonts w:ascii="Times New Roman" w:hAnsi="Times New Roman"/>
          <w:sz w:val="24"/>
        </w:rPr>
      </w:pPr>
      <w:r w:rsidRPr="00835753">
        <w:rPr>
          <w:rFonts w:ascii="Times New Roman" w:hAnsi="Times New Roman"/>
          <w:sz w:val="24"/>
        </w:rPr>
        <w:t>Instytucje uzupełniają wzór wyjaśnieniami dotyczącymi danych liczbowych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8 niniejszego wzoru, tj. danych na temat wszelkich innych czynników wywierających istotny wpływ na zmiany kwoty ekspozycji ważonej ryzykiem,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opi</w:t>
      </w:r>
      <w:r w:rsidRPr="00835753">
        <w:rPr>
          <w:rFonts w:ascii="Times New Roman" w:hAnsi="Times New Roman"/>
          <w:sz w:val="24"/>
        </w:rPr>
        <w:t xml:space="preserve">sie towarzyszącym wzorowi.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835753"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835753" w:rsidRDefault="000646F8"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Oznaczenie kolumny</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39E28237" w:rsidR="000646F8" w:rsidRPr="00835753" w:rsidRDefault="000646F8"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0646F8" w:rsidRPr="00835753"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835753"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835753" w:rsidRDefault="000646F8"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0646F8" w:rsidRPr="00835753" w14:paraId="579F295F" w14:textId="77777777" w:rsidTr="00155C96">
        <w:trPr>
          <w:trHeight w:val="741"/>
        </w:trPr>
        <w:tc>
          <w:tcPr>
            <w:tcW w:w="1413" w:type="dxa"/>
            <w:shd w:val="clear" w:color="auto" w:fill="auto"/>
          </w:tcPr>
          <w:p w14:paraId="1AC43A96"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lastRenderedPageBreak/>
              <w:t>a</w:t>
            </w:r>
            <w:proofErr w:type="gramEnd"/>
            <w:r w:rsidRPr="00835753">
              <w:rPr>
                <w:rFonts w:ascii="Times New Roman" w:hAnsi="Times New Roman"/>
                <w:sz w:val="24"/>
              </w:rPr>
              <w:t>)</w:t>
            </w:r>
          </w:p>
        </w:tc>
        <w:tc>
          <w:tcPr>
            <w:tcW w:w="7654" w:type="dxa"/>
            <w:shd w:val="clear" w:color="auto" w:fill="auto"/>
          </w:tcPr>
          <w:p w14:paraId="2E02EE38" w14:textId="7520E353" w:rsidR="00D74376" w:rsidRPr="00835753" w:rsidRDefault="00D74376"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Kwota ekspozycji ważonej ryzykiem</w:t>
            </w:r>
          </w:p>
          <w:p w14:paraId="750839D2" w14:textId="3561182F"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Całkowita kwota ekspozycji ważonej ryzykiem</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kredytowego obliczana według metody IRB</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uwz</w:t>
            </w:r>
            <w:r w:rsidRPr="00835753">
              <w:rPr>
                <w:rFonts w:ascii="Times New Roman" w:hAnsi="Times New Roman"/>
                <w:sz w:val="24"/>
              </w:rPr>
              <w:t>ględnieniem współczynników wsparcia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501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5</w:t>
            </w:r>
            <w:r w:rsidRPr="00835753">
              <w:rPr>
                <w:rFonts w:ascii="Times New Roman" w:hAnsi="Times New Roman"/>
                <w:sz w:val="24"/>
              </w:rPr>
              <w:t>01a CRR.</w:t>
            </w:r>
          </w:p>
        </w:tc>
      </w:tr>
    </w:tbl>
    <w:p w14:paraId="1002F390" w14:textId="77777777" w:rsidR="000646F8" w:rsidRPr="00835753"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835753"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77777777" w:rsidR="000646F8" w:rsidRPr="00835753" w:rsidRDefault="000646F8"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0A6A36CC" w:rsidR="000646F8" w:rsidRPr="00835753" w:rsidRDefault="000646F8"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0646F8" w:rsidRPr="00835753"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835753"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835753" w:rsidRDefault="000646F8"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0646F8" w:rsidRPr="00835753" w14:paraId="0DE36E2F" w14:textId="77777777" w:rsidTr="00155C96">
        <w:trPr>
          <w:trHeight w:val="741"/>
        </w:trPr>
        <w:tc>
          <w:tcPr>
            <w:tcW w:w="1413" w:type="dxa"/>
            <w:shd w:val="clear" w:color="auto" w:fill="auto"/>
          </w:tcPr>
          <w:p w14:paraId="2E6151CA"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1</w:t>
            </w:r>
          </w:p>
        </w:tc>
        <w:tc>
          <w:tcPr>
            <w:tcW w:w="7654" w:type="dxa"/>
            <w:shd w:val="clear" w:color="auto" w:fill="auto"/>
          </w:tcPr>
          <w:p w14:paraId="668B6D0D"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Kwota ekspozycji ważonych ryzykiem na koniec poprzedniego okresu, za który informacje podlegają ujawnieniu</w:t>
            </w:r>
          </w:p>
        </w:tc>
      </w:tr>
      <w:tr w:rsidR="000646F8" w:rsidRPr="00835753" w14:paraId="5546C98F" w14:textId="77777777" w:rsidTr="00155C96">
        <w:trPr>
          <w:trHeight w:val="316"/>
        </w:trPr>
        <w:tc>
          <w:tcPr>
            <w:tcW w:w="1413" w:type="dxa"/>
          </w:tcPr>
          <w:p w14:paraId="6906A81C"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2</w:t>
            </w:r>
          </w:p>
        </w:tc>
        <w:tc>
          <w:tcPr>
            <w:tcW w:w="7654" w:type="dxa"/>
          </w:tcPr>
          <w:p w14:paraId="3F6C2C5D" w14:textId="14FB8FB9" w:rsidR="000646F8" w:rsidRPr="00835753" w:rsidRDefault="00D74376" w:rsidP="00155C96">
            <w:pPr>
              <w:spacing w:after="120"/>
              <w:jc w:val="both"/>
              <w:rPr>
                <w:rFonts w:ascii="Times New Roman" w:eastAsiaTheme="minorHAnsi" w:hAnsi="Times New Roman" w:cs="Times New Roman"/>
                <w:b/>
                <w:sz w:val="24"/>
              </w:rPr>
            </w:pPr>
            <w:r w:rsidRPr="00835753">
              <w:rPr>
                <w:rFonts w:ascii="Times New Roman" w:hAnsi="Times New Roman"/>
                <w:b/>
                <w:sz w:val="24"/>
              </w:rPr>
              <w:t>Wielkość aktywów (+/-)</w:t>
            </w:r>
          </w:p>
          <w:p w14:paraId="33EEBEBB" w14:textId="09E3C181" w:rsidR="000646F8" w:rsidRPr="00835753" w:rsidRDefault="000646F8" w:rsidP="00155C96">
            <w:pPr>
              <w:spacing w:after="120"/>
              <w:jc w:val="both"/>
              <w:rPr>
                <w:rFonts w:ascii="Times New Roman" w:eastAsiaTheme="minorHAnsi" w:hAnsi="Times New Roman" w:cs="Times New Roman"/>
                <w:sz w:val="24"/>
              </w:rPr>
            </w:pPr>
            <w:r w:rsidRPr="00835753">
              <w:rPr>
                <w:rFonts w:ascii="Times New Roman" w:hAnsi="Times New Roman"/>
                <w:sz w:val="24"/>
              </w:rPr>
              <w:t>Zmiana wysokości kwoty ekspozycji ważonej ryzykiem, jaka zaszła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od końca poprzedniego okresu, za który informacje podlegają ujawnieniu, do końca bieżącego okresu, za który informacje podlegają ujawnieniu, spowodowana wielkością aktywów, tj. organicznymi zmianami wielkości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skł</w:t>
            </w:r>
            <w:r w:rsidRPr="00835753">
              <w:rPr>
                <w:rFonts w:ascii="Times New Roman" w:hAnsi="Times New Roman"/>
                <w:sz w:val="24"/>
              </w:rPr>
              <w:t>adu portfela (m.in. wskutek powstawania nowych przedsiębiorstw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upł</w:t>
            </w:r>
            <w:r w:rsidRPr="00835753">
              <w:rPr>
                <w:rFonts w:ascii="Times New Roman" w:hAnsi="Times New Roman"/>
                <w:sz w:val="24"/>
              </w:rPr>
              <w:t>ywu terminów zapadalności ekspozycji),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wył</w:t>
            </w:r>
            <w:r w:rsidRPr="00835753">
              <w:rPr>
                <w:rFonts w:ascii="Times New Roman" w:hAnsi="Times New Roman"/>
                <w:sz w:val="24"/>
              </w:rPr>
              <w:t>ączeniem zmian wielkości portfela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ejęć</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zby</w:t>
            </w:r>
            <w:r w:rsidRPr="00835753">
              <w:rPr>
                <w:rFonts w:ascii="Times New Roman" w:hAnsi="Times New Roman"/>
                <w:sz w:val="24"/>
              </w:rPr>
              <w:t>ć podmiotów</w:t>
            </w:r>
          </w:p>
          <w:p w14:paraId="6917E8B1" w14:textId="5A917481"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Wzrost kwot ekspozycji ważonych ryzykiem ujawnia się jako kwotę dodatnią,</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spa</w:t>
            </w:r>
            <w:r w:rsidRPr="00835753">
              <w:rPr>
                <w:rFonts w:ascii="Times New Roman" w:hAnsi="Times New Roman"/>
                <w:sz w:val="24"/>
              </w:rPr>
              <w:t>dek kwot ekspozycji ważonych ryzykiem – jako kwotę ujemną.</w:t>
            </w:r>
          </w:p>
        </w:tc>
      </w:tr>
      <w:tr w:rsidR="000646F8" w:rsidRPr="00835753" w14:paraId="41E09E9B" w14:textId="77777777" w:rsidTr="00155C96">
        <w:trPr>
          <w:trHeight w:val="316"/>
        </w:trPr>
        <w:tc>
          <w:tcPr>
            <w:tcW w:w="1413" w:type="dxa"/>
          </w:tcPr>
          <w:p w14:paraId="17AF4513"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3</w:t>
            </w:r>
          </w:p>
        </w:tc>
        <w:tc>
          <w:tcPr>
            <w:tcW w:w="7654" w:type="dxa"/>
          </w:tcPr>
          <w:p w14:paraId="39F9A060" w14:textId="437E97BA" w:rsidR="000646F8" w:rsidRPr="00835753" w:rsidRDefault="00D74376" w:rsidP="00155C96">
            <w:pPr>
              <w:autoSpaceDE w:val="0"/>
              <w:autoSpaceDN w:val="0"/>
              <w:adjustRightInd w:val="0"/>
              <w:spacing w:after="120"/>
              <w:jc w:val="both"/>
              <w:rPr>
                <w:rFonts w:ascii="Times New Roman" w:eastAsiaTheme="minorHAnsi" w:hAnsi="Times New Roman" w:cs="Times New Roman"/>
                <w:b/>
                <w:sz w:val="24"/>
              </w:rPr>
            </w:pPr>
            <w:r w:rsidRPr="00835753">
              <w:rPr>
                <w:rFonts w:ascii="Times New Roman" w:hAnsi="Times New Roman"/>
                <w:b/>
                <w:sz w:val="24"/>
              </w:rPr>
              <w:t>Jakość aktywów (+/-)</w:t>
            </w:r>
          </w:p>
          <w:p w14:paraId="388A5EBD" w14:textId="41EFEB3D"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Zmiana wysokości kwoty ekspozycji ważonej ryzykiem, jaka zaszła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od końca poprzedniego okresu, za który informacje podlegają ujawnieniu, do końca bieżącego okresu, za który informacje podlegają ujawnieniu, spowodowana jakością aktywów, tj. zmianami oceny jakości aktywów danej instytucji wynikającymi ze zmian ryzyka kredytobiorcy,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na skutek migracji ratingowej lub podobnych efektów</w:t>
            </w:r>
          </w:p>
          <w:p w14:paraId="2F6146A9" w14:textId="0CFADEF1"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Wzrost kwot ekspozycji ważonych ryzykiem ujawnia się jako kwotę dodatnią,</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spa</w:t>
            </w:r>
            <w:r w:rsidRPr="00835753">
              <w:rPr>
                <w:rFonts w:ascii="Times New Roman" w:hAnsi="Times New Roman"/>
                <w:sz w:val="24"/>
              </w:rPr>
              <w:t>dek kwot ekspozycji ważonych ryzykiem – jako kwotę ujemną.</w:t>
            </w:r>
          </w:p>
        </w:tc>
      </w:tr>
      <w:tr w:rsidR="000646F8" w:rsidRPr="00835753" w14:paraId="450D7E57" w14:textId="77777777" w:rsidTr="00155C96">
        <w:trPr>
          <w:trHeight w:val="316"/>
        </w:trPr>
        <w:tc>
          <w:tcPr>
            <w:tcW w:w="1413" w:type="dxa"/>
          </w:tcPr>
          <w:p w14:paraId="613178A6"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4</w:t>
            </w:r>
          </w:p>
        </w:tc>
        <w:tc>
          <w:tcPr>
            <w:tcW w:w="7654" w:type="dxa"/>
          </w:tcPr>
          <w:p w14:paraId="41EE5810" w14:textId="05783F36" w:rsidR="000646F8" w:rsidRPr="00835753" w:rsidRDefault="00D74376" w:rsidP="00155C96">
            <w:pPr>
              <w:autoSpaceDE w:val="0"/>
              <w:autoSpaceDN w:val="0"/>
              <w:adjustRightInd w:val="0"/>
              <w:spacing w:after="120"/>
              <w:jc w:val="both"/>
              <w:rPr>
                <w:rFonts w:ascii="Times New Roman" w:eastAsiaTheme="minorHAnsi" w:hAnsi="Times New Roman" w:cs="Times New Roman"/>
                <w:b/>
                <w:sz w:val="24"/>
              </w:rPr>
            </w:pPr>
            <w:r w:rsidRPr="00835753">
              <w:rPr>
                <w:rFonts w:ascii="Times New Roman" w:hAnsi="Times New Roman"/>
                <w:b/>
                <w:sz w:val="24"/>
              </w:rPr>
              <w:t>Aktualizacje modeli (+/-)</w:t>
            </w:r>
          </w:p>
          <w:p w14:paraId="6FB53CE5" w14:textId="5CDD9EF8"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Zmiana wysokości kwoty ekspozycji ważonej ryzykiem, jaka zaszła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od końca poprzedniego okresu, za który informacje podlegają ujawnieniu, do końca bieżącego okresu, za który informacje podlegają ujawnieniu, spowodowana aktualizacjami modeli, tj. zmianami wynikającymi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wdr</w:t>
            </w:r>
            <w:r w:rsidRPr="00835753">
              <w:rPr>
                <w:rFonts w:ascii="Times New Roman" w:hAnsi="Times New Roman"/>
                <w:sz w:val="24"/>
              </w:rPr>
              <w:t>ożenia nowych modeli, zmianami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mod</w:t>
            </w:r>
            <w:r w:rsidRPr="00835753">
              <w:rPr>
                <w:rFonts w:ascii="Times New Roman" w:hAnsi="Times New Roman"/>
                <w:sz w:val="24"/>
              </w:rPr>
              <w:t>elach, zmianami zakresu modeli lub wszelkimi zmianami służącymi wyeliminowaniu słabych punktów modelu</w:t>
            </w:r>
          </w:p>
          <w:p w14:paraId="16EE0A4A" w14:textId="54FF6276"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Wzrost kwot ekspozycji ważonych ryzykiem ujawnia się jako kwotę dodatnią,</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spa</w:t>
            </w:r>
            <w:r w:rsidRPr="00835753">
              <w:rPr>
                <w:rFonts w:ascii="Times New Roman" w:hAnsi="Times New Roman"/>
                <w:sz w:val="24"/>
              </w:rPr>
              <w:t>dek kwot ekspozycji ważonych ryzykiem – jako kwotę ujemną.</w:t>
            </w:r>
          </w:p>
        </w:tc>
      </w:tr>
      <w:tr w:rsidR="000646F8" w:rsidRPr="00835753" w14:paraId="08C38FBA" w14:textId="77777777" w:rsidTr="00155C96">
        <w:trPr>
          <w:trHeight w:val="316"/>
        </w:trPr>
        <w:tc>
          <w:tcPr>
            <w:tcW w:w="1413" w:type="dxa"/>
          </w:tcPr>
          <w:p w14:paraId="31B4B80F"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5</w:t>
            </w:r>
          </w:p>
        </w:tc>
        <w:tc>
          <w:tcPr>
            <w:tcW w:w="7654" w:type="dxa"/>
          </w:tcPr>
          <w:p w14:paraId="7D05D2DD" w14:textId="0056813D" w:rsidR="000646F8" w:rsidRPr="00835753" w:rsidRDefault="00D74376" w:rsidP="00155C96">
            <w:pPr>
              <w:autoSpaceDE w:val="0"/>
              <w:autoSpaceDN w:val="0"/>
              <w:adjustRightInd w:val="0"/>
              <w:spacing w:after="120"/>
              <w:jc w:val="both"/>
              <w:rPr>
                <w:rFonts w:ascii="Times New Roman" w:eastAsiaTheme="minorHAnsi" w:hAnsi="Times New Roman" w:cs="Times New Roman"/>
                <w:b/>
                <w:sz w:val="24"/>
              </w:rPr>
            </w:pPr>
            <w:r w:rsidRPr="00835753">
              <w:rPr>
                <w:rFonts w:ascii="Times New Roman" w:hAnsi="Times New Roman"/>
                <w:b/>
                <w:sz w:val="24"/>
              </w:rPr>
              <w:t>Metodyka</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pol</w:t>
            </w:r>
            <w:r w:rsidRPr="00835753">
              <w:rPr>
                <w:rFonts w:ascii="Times New Roman" w:hAnsi="Times New Roman"/>
                <w:b/>
                <w:sz w:val="24"/>
              </w:rPr>
              <w:t>ityka (+/-)</w:t>
            </w:r>
          </w:p>
          <w:p w14:paraId="63776A0F" w14:textId="6C388CCB"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Zmiana wysokości kwoty ekspozycji ważonej ryzykiem, jaka zaszła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 xml:space="preserve">esie od końca poprzedniego okresu, za który informacje podlegają ujawnieniu, do końca bieżącego okresu, za który informacje podlegają ujawnieniu, </w:t>
            </w:r>
            <w:r w:rsidRPr="00835753">
              <w:rPr>
                <w:rFonts w:ascii="Times New Roman" w:hAnsi="Times New Roman"/>
                <w:sz w:val="24"/>
              </w:rPr>
              <w:lastRenderedPageBreak/>
              <w:t>spowodowana zmianami metodyki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pol</w:t>
            </w:r>
            <w:r w:rsidRPr="00835753">
              <w:rPr>
                <w:rFonts w:ascii="Times New Roman" w:hAnsi="Times New Roman"/>
                <w:sz w:val="24"/>
              </w:rPr>
              <w:t>ityki, tj. zmianami metody dokonywania obliczeń</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wyn</w:t>
            </w:r>
            <w:r w:rsidRPr="00835753">
              <w:rPr>
                <w:rFonts w:ascii="Times New Roman" w:hAnsi="Times New Roman"/>
                <w:sz w:val="24"/>
              </w:rPr>
              <w:t>iku zmian polityki regulacyjnej,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zarówno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wyn</w:t>
            </w:r>
            <w:r w:rsidRPr="00835753">
              <w:rPr>
                <w:rFonts w:ascii="Times New Roman" w:hAnsi="Times New Roman"/>
                <w:sz w:val="24"/>
              </w:rPr>
              <w:t>iku zmian obowiązujących regulacji, jak</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wpr</w:t>
            </w:r>
            <w:r w:rsidRPr="00835753">
              <w:rPr>
                <w:rFonts w:ascii="Times New Roman" w:hAnsi="Times New Roman"/>
                <w:sz w:val="24"/>
              </w:rPr>
              <w:t>owadzania nowych regulacji,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wył</w:t>
            </w:r>
            <w:r w:rsidRPr="00835753">
              <w:rPr>
                <w:rFonts w:ascii="Times New Roman" w:hAnsi="Times New Roman"/>
                <w:sz w:val="24"/>
              </w:rPr>
              <w:t>ączeniem zmian</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mod</w:t>
            </w:r>
            <w:r w:rsidRPr="00835753">
              <w:rPr>
                <w:rFonts w:ascii="Times New Roman" w:hAnsi="Times New Roman"/>
                <w:sz w:val="24"/>
              </w:rPr>
              <w:t>elach, które uwzględnia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 xml:space="preserve">rszu 4 </w:t>
            </w:r>
          </w:p>
          <w:p w14:paraId="772CB25D" w14:textId="23393A0C"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Wzrost kwot ekspozycji ważonych ryzykiem ujawnia się jako kwotę dodatnią,</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spa</w:t>
            </w:r>
            <w:r w:rsidRPr="00835753">
              <w:rPr>
                <w:rFonts w:ascii="Times New Roman" w:hAnsi="Times New Roman"/>
                <w:sz w:val="24"/>
              </w:rPr>
              <w:t>dek kwot ekspozycji ważonych ryzykiem – jako kwotę ujemną.</w:t>
            </w:r>
          </w:p>
        </w:tc>
      </w:tr>
      <w:tr w:rsidR="000646F8" w:rsidRPr="00835753" w14:paraId="550810A7" w14:textId="77777777" w:rsidTr="00155C96">
        <w:trPr>
          <w:trHeight w:val="316"/>
        </w:trPr>
        <w:tc>
          <w:tcPr>
            <w:tcW w:w="1413" w:type="dxa"/>
          </w:tcPr>
          <w:p w14:paraId="516D8273"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lastRenderedPageBreak/>
              <w:t>6</w:t>
            </w:r>
          </w:p>
        </w:tc>
        <w:tc>
          <w:tcPr>
            <w:tcW w:w="7654" w:type="dxa"/>
          </w:tcPr>
          <w:p w14:paraId="7132523C" w14:textId="73F0B9DE" w:rsidR="000646F8" w:rsidRPr="00835753" w:rsidRDefault="000646F8" w:rsidP="00155C96">
            <w:pPr>
              <w:autoSpaceDE w:val="0"/>
              <w:autoSpaceDN w:val="0"/>
              <w:adjustRightInd w:val="0"/>
              <w:spacing w:after="120"/>
              <w:jc w:val="both"/>
              <w:rPr>
                <w:rFonts w:ascii="Times New Roman" w:eastAsiaTheme="minorHAnsi" w:hAnsi="Times New Roman" w:cs="Times New Roman"/>
                <w:b/>
                <w:sz w:val="24"/>
              </w:rPr>
            </w:pPr>
            <w:r w:rsidRPr="00835753">
              <w:rPr>
                <w:rFonts w:ascii="Times New Roman" w:hAnsi="Times New Roman"/>
                <w:b/>
                <w:sz w:val="24"/>
              </w:rPr>
              <w:t>Nabycia</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zby</w:t>
            </w:r>
            <w:r w:rsidRPr="00835753">
              <w:rPr>
                <w:rFonts w:ascii="Times New Roman" w:hAnsi="Times New Roman"/>
                <w:b/>
                <w:sz w:val="24"/>
              </w:rPr>
              <w:t>cia (+/-)</w:t>
            </w:r>
          </w:p>
          <w:p w14:paraId="3289CD8C" w14:textId="5B0A4966"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Zmiana wysokości kwoty ekspozycji ważonej ryzykiem, jaka zaszła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od końca poprzedniego okresu, za który informacje podlegają ujawnieniu, do końca bieżącego okresu, za który informacje podlegają ujawnieniu, spowodowana przejęciami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zby</w:t>
            </w:r>
            <w:r w:rsidRPr="00835753">
              <w:rPr>
                <w:rFonts w:ascii="Times New Roman" w:hAnsi="Times New Roman"/>
                <w:sz w:val="24"/>
              </w:rPr>
              <w:t>ciami, tj. zmianami wielkości portfela wynikającymi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ejęć lub zbyć</w:t>
            </w:r>
          </w:p>
          <w:p w14:paraId="6B9F302D" w14:textId="6B912935"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Wzrost kwot ekspozycji ważonych ryzykiem ujawnia się jako kwotę dodatnią,</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spa</w:t>
            </w:r>
            <w:r w:rsidRPr="00835753">
              <w:rPr>
                <w:rFonts w:ascii="Times New Roman" w:hAnsi="Times New Roman"/>
                <w:sz w:val="24"/>
              </w:rPr>
              <w:t>dek kwot ekspozycji ważonych ryzykiem – jako kwotę ujemną.</w:t>
            </w:r>
          </w:p>
        </w:tc>
      </w:tr>
      <w:tr w:rsidR="000646F8" w:rsidRPr="00835753" w14:paraId="319251DF" w14:textId="77777777" w:rsidTr="00155C96">
        <w:trPr>
          <w:trHeight w:val="316"/>
        </w:trPr>
        <w:tc>
          <w:tcPr>
            <w:tcW w:w="1413" w:type="dxa"/>
          </w:tcPr>
          <w:p w14:paraId="3173BC7F"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7</w:t>
            </w:r>
          </w:p>
        </w:tc>
        <w:tc>
          <w:tcPr>
            <w:tcW w:w="7654" w:type="dxa"/>
          </w:tcPr>
          <w:p w14:paraId="40132835" w14:textId="2D13FE88" w:rsidR="000646F8" w:rsidRPr="00835753" w:rsidRDefault="000646F8" w:rsidP="00155C96">
            <w:pPr>
              <w:autoSpaceDE w:val="0"/>
              <w:autoSpaceDN w:val="0"/>
              <w:adjustRightInd w:val="0"/>
              <w:spacing w:after="120"/>
              <w:jc w:val="both"/>
              <w:rPr>
                <w:rFonts w:ascii="Times New Roman" w:eastAsiaTheme="minorHAnsi" w:hAnsi="Times New Roman" w:cs="Times New Roman"/>
                <w:b/>
                <w:sz w:val="24"/>
              </w:rPr>
            </w:pPr>
            <w:r w:rsidRPr="00835753">
              <w:rPr>
                <w:rFonts w:ascii="Times New Roman" w:hAnsi="Times New Roman"/>
                <w:b/>
                <w:sz w:val="24"/>
              </w:rPr>
              <w:t>Wahania kursów walutowych (+/-)</w:t>
            </w:r>
          </w:p>
          <w:p w14:paraId="39FA4B73" w14:textId="29AB7C3D"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Zmiana wysokości kwoty ekspozycji ważonej ryzykiem, jaka zaszła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od końca poprzedniego okresu, za który informacje podlegają ujawnieniu, do końca bieżącego okresu, za który informacje podlegają ujawnieniu, spowodowana wahaniami kursów walutowych, tj. zmianami wynikającymi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wah</w:t>
            </w:r>
            <w:r w:rsidRPr="00835753">
              <w:rPr>
                <w:rFonts w:ascii="Times New Roman" w:hAnsi="Times New Roman"/>
                <w:sz w:val="24"/>
              </w:rPr>
              <w:t>ań przeliczenia waluty obcej</w:t>
            </w:r>
          </w:p>
          <w:p w14:paraId="522D5E95" w14:textId="1C9FD763"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Wzrost kwot ekspozycji ważonych ryzykiem ujawnia się jako kwotę dodatnią,</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spa</w:t>
            </w:r>
            <w:r w:rsidRPr="00835753">
              <w:rPr>
                <w:rFonts w:ascii="Times New Roman" w:hAnsi="Times New Roman"/>
                <w:sz w:val="24"/>
              </w:rPr>
              <w:t>dek kwot ekspozycji ważonych ryzykiem – jako kwotę ujemną.</w:t>
            </w:r>
          </w:p>
        </w:tc>
      </w:tr>
      <w:tr w:rsidR="000646F8" w:rsidRPr="00835753" w14:paraId="30E9B74A" w14:textId="77777777" w:rsidTr="00155C96">
        <w:trPr>
          <w:trHeight w:val="316"/>
        </w:trPr>
        <w:tc>
          <w:tcPr>
            <w:tcW w:w="1413" w:type="dxa"/>
          </w:tcPr>
          <w:p w14:paraId="555BA663"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8</w:t>
            </w:r>
          </w:p>
        </w:tc>
        <w:tc>
          <w:tcPr>
            <w:tcW w:w="7654" w:type="dxa"/>
          </w:tcPr>
          <w:p w14:paraId="380AFDA8" w14:textId="04DDABC8" w:rsidR="000646F8" w:rsidRPr="00835753" w:rsidRDefault="00D74376" w:rsidP="00155C96">
            <w:pPr>
              <w:autoSpaceDE w:val="0"/>
              <w:autoSpaceDN w:val="0"/>
              <w:adjustRightInd w:val="0"/>
              <w:spacing w:after="120"/>
              <w:jc w:val="both"/>
              <w:rPr>
                <w:rFonts w:ascii="Times New Roman" w:eastAsiaTheme="minorHAnsi" w:hAnsi="Times New Roman" w:cs="Times New Roman"/>
                <w:b/>
                <w:sz w:val="24"/>
              </w:rPr>
            </w:pPr>
            <w:r w:rsidRPr="00835753">
              <w:rPr>
                <w:rFonts w:ascii="Times New Roman" w:hAnsi="Times New Roman"/>
                <w:b/>
                <w:sz w:val="24"/>
              </w:rPr>
              <w:t>Inne (+/-)</w:t>
            </w:r>
          </w:p>
          <w:p w14:paraId="18B1D9C5" w14:textId="7FB4C5C6"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Zmiana wysokości kwoty ekspozycji ważonej ryzykiem, jaka zaszła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od końca poprzedniego okresu, za który informacje podlegają ujawnieniu, do końca bieżącego okresu, za który informacje podlegają ujawnieniu, spowodowana innymi czynnikami</w:t>
            </w:r>
          </w:p>
          <w:p w14:paraId="79FC15D5" w14:textId="2AAB4482"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Tę kategorię wykorzystuje się do ujmowania zmian, których nie można przypisać do żadnej</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yższych kategorii</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opi</w:t>
            </w:r>
            <w:r w:rsidRPr="00835753">
              <w:rPr>
                <w:rFonts w:ascii="Times New Roman" w:hAnsi="Times New Roman"/>
                <w:sz w:val="24"/>
              </w:rPr>
              <w:t>sie dołączonym do niniejszego wzoru instytucje przedstawiają dodatkowe informacje na temat ujętych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wierszu wszelkich innych istotnych czynników wywierających wpływ na zmiany wysokości kwot ważonych ryzykiem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za który informacje podlegają ujawnieniu.</w:t>
            </w:r>
          </w:p>
          <w:p w14:paraId="56DE8038" w14:textId="4E99BA5A"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Wzrost kwot ekspozycji ważonych ryzykiem ujawnia się jako kwotę dodatnią,</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spa</w:t>
            </w:r>
            <w:r w:rsidRPr="00835753">
              <w:rPr>
                <w:rFonts w:ascii="Times New Roman" w:hAnsi="Times New Roman"/>
                <w:sz w:val="24"/>
              </w:rPr>
              <w:t>dek kwot ekspozycji ważonych ryzykiem – jako kwotę ujemną.</w:t>
            </w:r>
          </w:p>
        </w:tc>
      </w:tr>
      <w:tr w:rsidR="000646F8" w:rsidRPr="00835753" w14:paraId="2CA2D7DD" w14:textId="77777777" w:rsidTr="00155C96">
        <w:trPr>
          <w:trHeight w:val="316"/>
        </w:trPr>
        <w:tc>
          <w:tcPr>
            <w:tcW w:w="1413" w:type="dxa"/>
          </w:tcPr>
          <w:p w14:paraId="11296EA6"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9</w:t>
            </w:r>
          </w:p>
        </w:tc>
        <w:tc>
          <w:tcPr>
            <w:tcW w:w="7654" w:type="dxa"/>
          </w:tcPr>
          <w:p w14:paraId="7D8684D5" w14:textId="77777777" w:rsidR="000646F8" w:rsidRPr="00835753" w:rsidRDefault="000646F8"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Kwota ekspozycji ważonych ryzykiem na koniec okresu, za który informacje podlegają ujawnieniu</w:t>
            </w:r>
          </w:p>
        </w:tc>
      </w:tr>
    </w:tbl>
    <w:p w14:paraId="7E40161E" w14:textId="77777777" w:rsidR="000646F8" w:rsidRPr="00835753" w:rsidRDefault="000646F8" w:rsidP="000646F8">
      <w:pPr>
        <w:spacing w:after="120"/>
        <w:rPr>
          <w:rFonts w:ascii="Times New Roman" w:hAnsi="Times New Roman" w:cs="Times New Roman"/>
          <w:sz w:val="24"/>
        </w:rPr>
      </w:pPr>
    </w:p>
    <w:p w14:paraId="7B9D7F1F" w14:textId="14C75951" w:rsidR="000646F8" w:rsidRPr="00835753" w:rsidRDefault="00CD362D" w:rsidP="000646F8">
      <w:pPr>
        <w:spacing w:after="120"/>
        <w:rPr>
          <w:rFonts w:ascii="Times New Roman" w:hAnsi="Times New Roman"/>
          <w:sz w:val="24"/>
        </w:rPr>
      </w:pPr>
      <w:r w:rsidRPr="00835753">
        <w:rPr>
          <w:rFonts w:ascii="Times New Roman" w:hAnsi="Times New Roman"/>
          <w:b/>
          <w:sz w:val="24"/>
        </w:rPr>
        <w:t xml:space="preserve">Wzór EU CR9 – </w:t>
      </w:r>
      <w:r w:rsidRPr="00835753">
        <w:tab/>
      </w:r>
      <w:r w:rsidR="00835753" w:rsidRPr="00835753">
        <w:rPr>
          <w:rFonts w:ascii="Times New Roman" w:hAnsi="Times New Roman"/>
          <w:b/>
          <w:sz w:val="24"/>
        </w:rPr>
        <w:t xml:space="preserve"> </w:t>
      </w:r>
      <w:r w:rsidRPr="00835753">
        <w:rPr>
          <w:rFonts w:ascii="Times New Roman" w:hAnsi="Times New Roman"/>
          <w:b/>
          <w:sz w:val="24"/>
        </w:rPr>
        <w:t>– Metoda IRB – Weryfikacja historyczna wartości PD</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pod</w:t>
      </w:r>
      <w:r w:rsidRPr="00835753">
        <w:rPr>
          <w:rFonts w:ascii="Times New Roman" w:hAnsi="Times New Roman"/>
          <w:b/>
          <w:sz w:val="24"/>
        </w:rPr>
        <w:t>ziale na kategorie ekspozycji. Wzór</w:t>
      </w:r>
      <w:r w:rsidR="00835753" w:rsidRPr="00835753">
        <w:rPr>
          <w:rFonts w:ascii="Times New Roman" w:hAnsi="Times New Roman"/>
          <w:b/>
          <w:sz w:val="24"/>
        </w:rPr>
        <w:t xml:space="preserve"> o</w:t>
      </w:r>
      <w:r w:rsidR="00835753">
        <w:rPr>
          <w:rFonts w:ascii="Times New Roman" w:hAnsi="Times New Roman"/>
          <w:b/>
          <w:sz w:val="24"/>
        </w:rPr>
        <w:t> </w:t>
      </w:r>
      <w:r w:rsidR="00835753" w:rsidRPr="00835753">
        <w:rPr>
          <w:rFonts w:ascii="Times New Roman" w:hAnsi="Times New Roman"/>
          <w:b/>
          <w:sz w:val="24"/>
        </w:rPr>
        <w:t>for</w:t>
      </w:r>
      <w:r w:rsidRPr="00835753">
        <w:rPr>
          <w:rFonts w:ascii="Times New Roman" w:hAnsi="Times New Roman"/>
          <w:b/>
          <w:sz w:val="24"/>
        </w:rPr>
        <w:t>macie stałym</w:t>
      </w:r>
    </w:p>
    <w:p w14:paraId="6422BCC6" w14:textId="7D44BD08" w:rsidR="000646F8" w:rsidRPr="00835753" w:rsidRDefault="000646F8" w:rsidP="000646F8">
      <w:pPr>
        <w:pStyle w:val="ListParagraph"/>
        <w:numPr>
          <w:ilvl w:val="0"/>
          <w:numId w:val="51"/>
        </w:numPr>
        <w:spacing w:after="120"/>
        <w:ind w:left="714" w:hanging="357"/>
        <w:jc w:val="both"/>
        <w:rPr>
          <w:rFonts w:ascii="Times New Roman" w:hAnsi="Times New Roman"/>
          <w:sz w:val="24"/>
        </w:rPr>
      </w:pPr>
      <w:r w:rsidRPr="00835753">
        <w:rPr>
          <w:rFonts w:ascii="Times New Roman" w:hAnsi="Times New Roman"/>
          <w:sz w:val="24"/>
        </w:rPr>
        <w:lastRenderedPageBreak/>
        <w:t>W celu wypełnienia wzoru EU CR9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XXI do niniejszego rozporządzenia wykonawczego instytucje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452 lit.</w:t>
      </w:r>
      <w:r w:rsidR="00835753" w:rsidRPr="00835753">
        <w:rPr>
          <w:rFonts w:ascii="Times New Roman" w:hAnsi="Times New Roman"/>
          <w:sz w:val="24"/>
        </w:rPr>
        <w:t> </w:t>
      </w:r>
      <w:r w:rsidRPr="00835753">
        <w:rPr>
          <w:rFonts w:ascii="Times New Roman" w:hAnsi="Times New Roman"/>
          <w:sz w:val="24"/>
        </w:rPr>
        <w:t>h) CRR, stosując instrukcje zawarte poniżej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gdy instytucja stosuje zarówno metodę F-IRB, jak</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odę A-IRB, ujawnia dwa oddzielne zestawy wzorów, jeden dla metody F-IRB</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jed</w:t>
      </w:r>
      <w:r w:rsidRPr="00835753">
        <w:rPr>
          <w:rFonts w:ascii="Times New Roman" w:hAnsi="Times New Roman"/>
          <w:sz w:val="24"/>
        </w:rPr>
        <w:t>en dla metody A-IRB, przy czym na każdą kategorię ekspozycji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każ</w:t>
      </w:r>
      <w:r w:rsidRPr="00835753">
        <w:rPr>
          <w:rFonts w:ascii="Times New Roman" w:hAnsi="Times New Roman"/>
          <w:sz w:val="24"/>
        </w:rPr>
        <w:t xml:space="preserve">dym zestawie przypada jeden wzór. </w:t>
      </w:r>
    </w:p>
    <w:p w14:paraId="23B0E327" w14:textId="6367A456" w:rsidR="000646F8" w:rsidRPr="00835753" w:rsidRDefault="000646F8" w:rsidP="000646F8">
      <w:pPr>
        <w:pStyle w:val="ListParagraph"/>
        <w:numPr>
          <w:ilvl w:val="0"/>
          <w:numId w:val="51"/>
        </w:numPr>
        <w:spacing w:after="120"/>
        <w:ind w:left="714" w:hanging="357"/>
        <w:jc w:val="both"/>
        <w:rPr>
          <w:rFonts w:ascii="Times New Roman" w:hAnsi="Times New Roman"/>
          <w:sz w:val="24"/>
        </w:rPr>
      </w:pPr>
      <w:r w:rsidRPr="00835753">
        <w:rPr>
          <w:rFonts w:ascii="Times New Roman" w:hAnsi="Times New Roman"/>
          <w:sz w:val="24"/>
        </w:rPr>
        <w:t>Instytucja uwzględnia modele stosowane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każ</w:t>
      </w:r>
      <w:r w:rsidRPr="00835753">
        <w:rPr>
          <w:rFonts w:ascii="Times New Roman" w:hAnsi="Times New Roman"/>
          <w:sz w:val="24"/>
        </w:rPr>
        <w:t>dej kategorii ekspozycji, wyjaśniające procentowy udział kwoty ekspozycji ważonych ryzykiem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owiedniej kategorii ekspozycji objętej modelami, dla których ujawnia się tu wyniki weryfikacji historycznej.</w:t>
      </w:r>
    </w:p>
    <w:p w14:paraId="5407263C" w14:textId="31A6EA78" w:rsidR="000646F8" w:rsidRPr="00835753" w:rsidRDefault="000646F8" w:rsidP="000646F8">
      <w:pPr>
        <w:pStyle w:val="ListParagraph"/>
        <w:numPr>
          <w:ilvl w:val="0"/>
          <w:numId w:val="51"/>
        </w:numPr>
        <w:spacing w:after="120"/>
        <w:ind w:left="714" w:hanging="357"/>
        <w:jc w:val="both"/>
        <w:rPr>
          <w:rFonts w:ascii="Times New Roman" w:hAnsi="Times New Roman"/>
          <w:sz w:val="24"/>
        </w:rPr>
      </w:pPr>
      <w:r w:rsidRPr="00835753">
        <w:rPr>
          <w:rFonts w:ascii="Times New Roman" w:hAnsi="Times New Roman"/>
          <w:sz w:val="24"/>
        </w:rPr>
        <w:t>W opisie dołączonym do niniejszego wzoru instytucje wyjaśniają, jaka jest łączna liczba dłużników posiadających na dzień ujawnienia umowy krótkoterminowe,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wsk</w:t>
      </w:r>
      <w:r w:rsidRPr="00835753">
        <w:rPr>
          <w:rFonts w:ascii="Times New Roman" w:hAnsi="Times New Roman"/>
          <w:sz w:val="24"/>
        </w:rPr>
        <w:t>azują, które kategorie ekspozycji charakteryzują się większą liczbą dłużników posiadających umowy krótkoterminowe. Umowy krótkoterminowe oznaczają umowy, których rezydualny termin zapadalności jest krótszy niż 12 miesięcy. Instytucje wyjaśniają również, czy przy obliczaniu długoterminowych średnich współczynników PD występują pokrywające się ramy czasowe.</w:t>
      </w:r>
    </w:p>
    <w:p w14:paraId="3152A82F" w14:textId="1A634E5C" w:rsidR="000646F8" w:rsidRPr="00835753" w:rsidRDefault="000646F8" w:rsidP="000646F8">
      <w:pPr>
        <w:pStyle w:val="ListParagraph"/>
        <w:numPr>
          <w:ilvl w:val="0"/>
          <w:numId w:val="51"/>
        </w:numPr>
        <w:spacing w:after="120"/>
        <w:jc w:val="both"/>
        <w:rPr>
          <w:rFonts w:ascii="Times New Roman" w:hAnsi="Times New Roman"/>
          <w:sz w:val="24"/>
        </w:rPr>
      </w:pPr>
      <w:r w:rsidRPr="00835753">
        <w:rPr>
          <w:rFonts w:ascii="Times New Roman" w:hAnsi="Times New Roman"/>
          <w:sz w:val="24"/>
        </w:rPr>
        <w:t>Niniejszy wzór nie obejmuje ekspozycji na ryzyko kredytowe kontrahenta (CCR) (część trzecia tytuł II rozdział 6 CRR), pozycji sekurytyzacyjnych, innych aktywów niegenerujących zobowiązania kredytowego oraz ekspozycji kapitałowych.</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835753"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835753" w:rsidRDefault="000646F8"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Oznaczenie kolumny</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363B0BC1" w:rsidR="000646F8" w:rsidRPr="00835753" w:rsidRDefault="000646F8"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0646F8" w:rsidRPr="00835753"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835753"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835753" w:rsidRDefault="000646F8"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0646F8" w:rsidRPr="00835753" w14:paraId="72280A41" w14:textId="77777777" w:rsidTr="00155C96">
        <w:trPr>
          <w:gridAfter w:val="1"/>
          <w:wAfter w:w="28" w:type="dxa"/>
          <w:trHeight w:val="841"/>
        </w:trPr>
        <w:tc>
          <w:tcPr>
            <w:tcW w:w="1413" w:type="dxa"/>
          </w:tcPr>
          <w:p w14:paraId="40491275" w14:textId="77777777" w:rsidR="000646F8" w:rsidRPr="00835753" w:rsidRDefault="000646F8" w:rsidP="00155C96">
            <w:pPr>
              <w:pStyle w:val="Applicationdirecte"/>
              <w:spacing w:before="0"/>
              <w:rPr>
                <w:highlight w:val="yellow"/>
              </w:rPr>
            </w:pPr>
            <w:proofErr w:type="gramStart"/>
            <w:r w:rsidRPr="00835753">
              <w:t>a</w:t>
            </w:r>
            <w:proofErr w:type="gramEnd"/>
            <w:r w:rsidRPr="00835753">
              <w:t>) (A-IRB)</w:t>
            </w:r>
          </w:p>
        </w:tc>
        <w:tc>
          <w:tcPr>
            <w:tcW w:w="7626" w:type="dxa"/>
          </w:tcPr>
          <w:p w14:paraId="4E55FC01" w14:textId="5901D489" w:rsidR="000646F8" w:rsidRPr="00835753" w:rsidRDefault="00D74376" w:rsidP="00155C96">
            <w:pPr>
              <w:spacing w:after="120"/>
              <w:jc w:val="both"/>
              <w:rPr>
                <w:rFonts w:ascii="Times New Roman" w:hAnsi="Times New Roman" w:cs="Times New Roman"/>
                <w:b/>
                <w:sz w:val="24"/>
              </w:rPr>
            </w:pPr>
            <w:r w:rsidRPr="00835753">
              <w:rPr>
                <w:rFonts w:ascii="Times New Roman" w:hAnsi="Times New Roman"/>
                <w:b/>
                <w:sz w:val="24"/>
              </w:rPr>
              <w:t>Kategorie ekspozycji</w:t>
            </w:r>
          </w:p>
          <w:p w14:paraId="53B1829C" w14:textId="4A71AA54" w:rsidR="000646F8" w:rsidRPr="00835753" w:rsidRDefault="000646F8" w:rsidP="00155C96">
            <w:pPr>
              <w:spacing w:after="120"/>
              <w:rPr>
                <w:rFonts w:ascii="Times New Roman" w:hAnsi="Times New Roman" w:cs="Times New Roman"/>
                <w:sz w:val="24"/>
              </w:rPr>
            </w:pPr>
            <w:r w:rsidRPr="00835753">
              <w:rPr>
                <w:rFonts w:ascii="Times New Roman" w:hAnsi="Times New Roman"/>
                <w:iCs/>
                <w:sz w:val="24"/>
              </w:rPr>
              <w:t>Dla każdej kategorii ekspozycji wymienionej</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CRR instytucje ujawniają oddzielny wzór</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dal</w:t>
            </w:r>
            <w:r w:rsidRPr="00835753">
              <w:rPr>
                <w:rFonts w:ascii="Times New Roman" w:hAnsi="Times New Roman"/>
                <w:iCs/>
                <w:sz w:val="24"/>
              </w:rPr>
              <w:t xml:space="preserve">szym podziałem na następujące kategorie ekspozycji: </w:t>
            </w:r>
          </w:p>
          <w:p w14:paraId="5BEC891D" w14:textId="520CB46D" w:rsidR="000646F8" w:rsidRPr="00835753" w:rsidRDefault="000646F8"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kat</w:t>
            </w:r>
            <w:r w:rsidRPr="00835753">
              <w:rPr>
                <w:rFonts w:ascii="Times New Roman" w:hAnsi="Times New Roman"/>
                <w:iCs/>
                <w:sz w:val="24"/>
              </w:rPr>
              <w:t>egorii ekspozycji „ekspozycje wobec przedsiębiorstw” (art.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lit.</w:t>
            </w:r>
            <w:r w:rsidR="00835753" w:rsidRPr="00835753">
              <w:rPr>
                <w:rFonts w:ascii="Times New Roman" w:hAnsi="Times New Roman"/>
                <w:iCs/>
                <w:sz w:val="24"/>
              </w:rPr>
              <w:t> </w:t>
            </w:r>
            <w:r w:rsidRPr="00835753">
              <w:rPr>
                <w:rFonts w:ascii="Times New Roman" w:hAnsi="Times New Roman"/>
                <w:iCs/>
                <w:sz w:val="24"/>
              </w:rPr>
              <w:t>c) CRR), podział na:</w:t>
            </w:r>
          </w:p>
          <w:p w14:paraId="1C5513B3" w14:textId="7051E5C6"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a</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MŚP,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wew</w:t>
            </w:r>
            <w:r w:rsidRPr="00835753">
              <w:rPr>
                <w:rFonts w:ascii="Times New Roman" w:hAnsi="Times New Roman"/>
                <w:iCs/>
                <w:sz w:val="24"/>
              </w:rPr>
              <w:t>nętrzną klasyfikacją ekspozycji wobec przedsiębiorstw opartą na strategiach</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zak</w:t>
            </w:r>
            <w:r w:rsidRPr="00835753">
              <w:rPr>
                <w:rFonts w:ascii="Times New Roman" w:hAnsi="Times New Roman"/>
                <w:iCs/>
                <w:sz w:val="24"/>
              </w:rPr>
              <w:t>resie zarządzania ryzykiem;</w:t>
            </w:r>
          </w:p>
          <w:p w14:paraId="06E17EAA" w14:textId="29FC2050"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b</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kredytowanie specjalistyczne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8 CRR;</w:t>
            </w:r>
          </w:p>
          <w:p w14:paraId="13C501EC" w14:textId="77777777"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c</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inne.</w:t>
            </w:r>
          </w:p>
          <w:p w14:paraId="07E77D20" w14:textId="436C4A2C" w:rsidR="000646F8" w:rsidRPr="00835753" w:rsidRDefault="000646F8"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kat</w:t>
            </w:r>
            <w:r w:rsidRPr="00835753">
              <w:rPr>
                <w:rFonts w:ascii="Times New Roman" w:hAnsi="Times New Roman"/>
                <w:iCs/>
                <w:sz w:val="24"/>
              </w:rPr>
              <w:t>egorii ekspozycji „ekspozycje detaliczne” (art.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lit.</w:t>
            </w:r>
            <w:r w:rsidR="00835753" w:rsidRPr="00835753">
              <w:rPr>
                <w:rFonts w:ascii="Times New Roman" w:hAnsi="Times New Roman"/>
                <w:iCs/>
                <w:sz w:val="24"/>
              </w:rPr>
              <w:t> </w:t>
            </w:r>
            <w:r w:rsidRPr="00835753">
              <w:rPr>
                <w:rFonts w:ascii="Times New Roman" w:hAnsi="Times New Roman"/>
                <w:iCs/>
                <w:sz w:val="24"/>
              </w:rPr>
              <w:t>d)</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5 CRR) podział na:</w:t>
            </w:r>
          </w:p>
          <w:p w14:paraId="56B7E58D" w14:textId="579C291B"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a</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detaliczne – ekspozycje wobec MŚP zabezpieczone nieruchomościami (art.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lit.</w:t>
            </w:r>
            <w:r w:rsidR="00835753" w:rsidRPr="00835753">
              <w:rPr>
                <w:rFonts w:ascii="Times New Roman" w:hAnsi="Times New Roman"/>
                <w:iCs/>
                <w:sz w:val="24"/>
              </w:rPr>
              <w:t> </w:t>
            </w:r>
            <w:r w:rsidRPr="00835753">
              <w:rPr>
                <w:rFonts w:ascii="Times New Roman" w:hAnsi="Times New Roman"/>
                <w:iCs/>
                <w:sz w:val="24"/>
              </w:rPr>
              <w:t>d) CRR</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zwi</w:t>
            </w:r>
            <w:r w:rsidRPr="00835753">
              <w:rPr>
                <w:rFonts w:ascii="Times New Roman" w:hAnsi="Times New Roman"/>
                <w:iCs/>
                <w:sz w:val="24"/>
              </w:rPr>
              <w:t>ązku</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154 ust.</w:t>
            </w:r>
            <w:r w:rsidR="00835753" w:rsidRPr="00835753">
              <w:rPr>
                <w:rFonts w:ascii="Times New Roman" w:hAnsi="Times New Roman"/>
                <w:iCs/>
                <w:sz w:val="24"/>
              </w:rPr>
              <w:t> </w:t>
            </w:r>
            <w:r w:rsidRPr="00835753">
              <w:rPr>
                <w:rFonts w:ascii="Times New Roman" w:hAnsi="Times New Roman"/>
                <w:iCs/>
                <w:sz w:val="24"/>
              </w:rPr>
              <w:t>2</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3</w:t>
            </w:r>
            <w:r w:rsidRPr="00835753">
              <w:rPr>
                <w:rFonts w:ascii="Times New Roman" w:hAnsi="Times New Roman"/>
                <w:iCs/>
                <w:sz w:val="24"/>
              </w:rPr>
              <w:t xml:space="preserve"> CRR);</w:t>
            </w:r>
          </w:p>
          <w:p w14:paraId="67EE4383" w14:textId="1842B484"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lastRenderedPageBreak/>
              <w:t>b</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detaliczne – ekspozycje wobec podmiotów niebędących MŚP zabezpieczone nieruchomościami (art.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lit.</w:t>
            </w:r>
            <w:r w:rsidR="00835753" w:rsidRPr="00835753">
              <w:rPr>
                <w:rFonts w:ascii="Times New Roman" w:hAnsi="Times New Roman"/>
                <w:iCs/>
                <w:sz w:val="24"/>
              </w:rPr>
              <w:t> </w:t>
            </w:r>
            <w:r w:rsidRPr="00835753">
              <w:rPr>
                <w:rFonts w:ascii="Times New Roman" w:hAnsi="Times New Roman"/>
                <w:iCs/>
                <w:sz w:val="24"/>
              </w:rPr>
              <w:t>d) CRR</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zwi</w:t>
            </w:r>
            <w:r w:rsidRPr="00835753">
              <w:rPr>
                <w:rFonts w:ascii="Times New Roman" w:hAnsi="Times New Roman"/>
                <w:iCs/>
                <w:sz w:val="24"/>
              </w:rPr>
              <w:t>ązku</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154 ust.</w:t>
            </w:r>
            <w:r w:rsidR="00835753" w:rsidRPr="00835753">
              <w:rPr>
                <w:rFonts w:ascii="Times New Roman" w:hAnsi="Times New Roman"/>
                <w:iCs/>
                <w:sz w:val="24"/>
              </w:rPr>
              <w:t> </w:t>
            </w:r>
            <w:r w:rsidRPr="00835753">
              <w:rPr>
                <w:rFonts w:ascii="Times New Roman" w:hAnsi="Times New Roman"/>
                <w:iCs/>
                <w:sz w:val="24"/>
              </w:rPr>
              <w:t>3 CRR);</w:t>
            </w:r>
          </w:p>
          <w:p w14:paraId="3AA0EB02" w14:textId="09C48287"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c</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detaliczne – kwalifikowane ekspozycje odnawialne (art.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lit.</w:t>
            </w:r>
            <w:r w:rsidR="00835753" w:rsidRPr="00835753">
              <w:rPr>
                <w:rFonts w:ascii="Times New Roman" w:hAnsi="Times New Roman"/>
                <w:iCs/>
                <w:sz w:val="24"/>
              </w:rPr>
              <w:t> </w:t>
            </w:r>
            <w:r w:rsidRPr="00835753">
              <w:rPr>
                <w:rFonts w:ascii="Times New Roman" w:hAnsi="Times New Roman"/>
                <w:iCs/>
                <w:sz w:val="24"/>
              </w:rPr>
              <w:t>d) CRR</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zwi</w:t>
            </w:r>
            <w:r w:rsidRPr="00835753">
              <w:rPr>
                <w:rFonts w:ascii="Times New Roman" w:hAnsi="Times New Roman"/>
                <w:iCs/>
                <w:sz w:val="24"/>
              </w:rPr>
              <w:t>ązku</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154 ust.</w:t>
            </w:r>
            <w:r w:rsidR="00835753" w:rsidRPr="00835753">
              <w:rPr>
                <w:rFonts w:ascii="Times New Roman" w:hAnsi="Times New Roman"/>
                <w:iCs/>
                <w:sz w:val="24"/>
              </w:rPr>
              <w:t> </w:t>
            </w:r>
            <w:r w:rsidRPr="00835753">
              <w:rPr>
                <w:rFonts w:ascii="Times New Roman" w:hAnsi="Times New Roman"/>
                <w:iCs/>
                <w:sz w:val="24"/>
              </w:rPr>
              <w:t>4 CRR);</w:t>
            </w:r>
          </w:p>
          <w:p w14:paraId="4A646D37" w14:textId="77777777"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proofErr w:type="gramStart"/>
            <w:r w:rsidRPr="00835753">
              <w:rPr>
                <w:rFonts w:ascii="Times New Roman" w:hAnsi="Times New Roman"/>
                <w:iCs/>
                <w:sz w:val="24"/>
              </w:rPr>
              <w:t>d)         ekspozycje</w:t>
            </w:r>
            <w:proofErr w:type="gramEnd"/>
            <w:r w:rsidRPr="00835753">
              <w:rPr>
                <w:rFonts w:ascii="Times New Roman" w:hAnsi="Times New Roman"/>
                <w:iCs/>
                <w:sz w:val="24"/>
              </w:rPr>
              <w:t xml:space="preserve"> detaliczne – inne ekspozycje wobec MŚP;</w:t>
            </w:r>
          </w:p>
          <w:p w14:paraId="09BEA762" w14:textId="77777777" w:rsidR="000646F8" w:rsidRPr="00835753" w:rsidRDefault="000646F8" w:rsidP="00155C96">
            <w:pPr>
              <w:autoSpaceDE w:val="0"/>
              <w:autoSpaceDN w:val="0"/>
              <w:adjustRightInd w:val="0"/>
              <w:spacing w:after="120"/>
              <w:ind w:left="720"/>
              <w:jc w:val="both"/>
              <w:rPr>
                <w:rFonts w:ascii="Times New Roman" w:hAnsi="Times New Roman" w:cs="Times New Roman"/>
                <w:sz w:val="24"/>
                <w:highlight w:val="yellow"/>
              </w:rPr>
            </w:pPr>
            <w:proofErr w:type="gramStart"/>
            <w:r w:rsidRPr="00835753">
              <w:rPr>
                <w:rFonts w:ascii="Times New Roman" w:hAnsi="Times New Roman"/>
                <w:iCs/>
                <w:sz w:val="24"/>
              </w:rPr>
              <w:t>e)         ekspozycje</w:t>
            </w:r>
            <w:proofErr w:type="gramEnd"/>
            <w:r w:rsidRPr="00835753">
              <w:rPr>
                <w:rFonts w:ascii="Times New Roman" w:hAnsi="Times New Roman"/>
                <w:iCs/>
                <w:sz w:val="24"/>
              </w:rPr>
              <w:t xml:space="preserve"> detaliczne – inne ekspozycje wobec podmiotów niebędących MŚP.</w:t>
            </w:r>
          </w:p>
        </w:tc>
      </w:tr>
      <w:tr w:rsidR="000646F8" w:rsidRPr="00835753" w14:paraId="03E52636" w14:textId="77777777" w:rsidTr="00155C96">
        <w:trPr>
          <w:gridAfter w:val="1"/>
          <w:wAfter w:w="28" w:type="dxa"/>
          <w:trHeight w:val="841"/>
        </w:trPr>
        <w:tc>
          <w:tcPr>
            <w:tcW w:w="1413" w:type="dxa"/>
          </w:tcPr>
          <w:p w14:paraId="051E4D89" w14:textId="77777777" w:rsidR="000646F8" w:rsidRPr="00835753" w:rsidRDefault="000646F8" w:rsidP="00155C96">
            <w:pPr>
              <w:pStyle w:val="Applicationdirecte"/>
              <w:spacing w:before="0"/>
            </w:pPr>
            <w:proofErr w:type="gramStart"/>
            <w:r w:rsidRPr="00835753">
              <w:lastRenderedPageBreak/>
              <w:t>a</w:t>
            </w:r>
            <w:proofErr w:type="gramEnd"/>
            <w:r w:rsidRPr="00835753">
              <w:t>) (F-IRB)</w:t>
            </w:r>
          </w:p>
        </w:tc>
        <w:tc>
          <w:tcPr>
            <w:tcW w:w="7626" w:type="dxa"/>
          </w:tcPr>
          <w:p w14:paraId="7691463A" w14:textId="77777777" w:rsidR="000646F8" w:rsidRPr="00835753" w:rsidRDefault="000646F8" w:rsidP="008E292A">
            <w:pPr>
              <w:spacing w:after="120"/>
              <w:jc w:val="both"/>
              <w:rPr>
                <w:rFonts w:ascii="Times New Roman" w:hAnsi="Times New Roman" w:cs="Times New Roman"/>
                <w:b/>
                <w:sz w:val="24"/>
              </w:rPr>
            </w:pPr>
            <w:r w:rsidRPr="00835753">
              <w:rPr>
                <w:rFonts w:ascii="Times New Roman" w:hAnsi="Times New Roman"/>
                <w:b/>
                <w:sz w:val="24"/>
              </w:rPr>
              <w:t>Kategorie ekspozycji</w:t>
            </w:r>
          </w:p>
          <w:p w14:paraId="3E400785" w14:textId="478BCC3F" w:rsidR="000646F8" w:rsidRPr="00835753" w:rsidRDefault="000646F8"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Dla każdej kategorii ekspozycji wymienionej</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CRR instytucje ujawniają oddzielny wzór</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dal</w:t>
            </w:r>
            <w:r w:rsidRPr="00835753">
              <w:rPr>
                <w:rFonts w:ascii="Times New Roman" w:hAnsi="Times New Roman"/>
                <w:iCs/>
                <w:sz w:val="24"/>
              </w:rPr>
              <w:t>szym podziałem na następujące kategorie ekspozycji:</w:t>
            </w:r>
          </w:p>
          <w:p w14:paraId="396D5B40" w14:textId="46C1E77E" w:rsidR="000646F8" w:rsidRPr="00835753" w:rsidRDefault="000646F8" w:rsidP="00155C96">
            <w:pPr>
              <w:autoSpaceDE w:val="0"/>
              <w:autoSpaceDN w:val="0"/>
              <w:adjustRightInd w:val="0"/>
              <w:spacing w:after="120"/>
              <w:jc w:val="both"/>
              <w:rPr>
                <w:rFonts w:ascii="Times New Roman" w:eastAsia="Times New Roman" w:hAnsi="Times New Roman" w:cs="Times New Roman"/>
                <w:iCs/>
                <w:sz w:val="24"/>
              </w:rPr>
            </w:pPr>
            <w:r w:rsidRPr="00835753">
              <w:rPr>
                <w:rFonts w:ascii="Times New Roman" w:hAnsi="Times New Roman"/>
                <w:iCs/>
                <w:sz w:val="24"/>
              </w:rPr>
              <w:t>–</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kat</w:t>
            </w:r>
            <w:r w:rsidRPr="00835753">
              <w:rPr>
                <w:rFonts w:ascii="Times New Roman" w:hAnsi="Times New Roman"/>
                <w:iCs/>
                <w:sz w:val="24"/>
              </w:rPr>
              <w:t>egorii ekspozycji „ekspozycje wobec przedsiębiorstw” (art.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2 lit.</w:t>
            </w:r>
            <w:r w:rsidR="00835753" w:rsidRPr="00835753">
              <w:rPr>
                <w:rFonts w:ascii="Times New Roman" w:hAnsi="Times New Roman"/>
                <w:iCs/>
                <w:sz w:val="24"/>
              </w:rPr>
              <w:t> </w:t>
            </w:r>
            <w:r w:rsidRPr="00835753">
              <w:rPr>
                <w:rFonts w:ascii="Times New Roman" w:hAnsi="Times New Roman"/>
                <w:iCs/>
                <w:sz w:val="24"/>
              </w:rPr>
              <w:t>c) CRR), podział na:</w:t>
            </w:r>
          </w:p>
          <w:p w14:paraId="3352693D" w14:textId="7F05CA46"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a</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MŚP,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wew</w:t>
            </w:r>
            <w:r w:rsidRPr="00835753">
              <w:rPr>
                <w:rFonts w:ascii="Times New Roman" w:hAnsi="Times New Roman"/>
                <w:iCs/>
                <w:sz w:val="24"/>
              </w:rPr>
              <w:t>nętrzną klasyfikacją ekspozycji wobec przedsiębiorstw opartą na strategiach</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zak</w:t>
            </w:r>
            <w:r w:rsidRPr="00835753">
              <w:rPr>
                <w:rFonts w:ascii="Times New Roman" w:hAnsi="Times New Roman"/>
                <w:iCs/>
                <w:sz w:val="24"/>
              </w:rPr>
              <w:t>resie zarządzania ryzykiem;</w:t>
            </w:r>
          </w:p>
          <w:p w14:paraId="7B9C0B78" w14:textId="2E6D6D8F" w:rsidR="000646F8" w:rsidRPr="00835753"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835753">
              <w:rPr>
                <w:rFonts w:ascii="Times New Roman" w:hAnsi="Times New Roman"/>
                <w:iCs/>
                <w:sz w:val="24"/>
              </w:rPr>
              <w:t>b</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kredytowanie specjalistyczne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147 ust.</w:t>
            </w:r>
            <w:r w:rsidR="00835753" w:rsidRPr="00835753">
              <w:rPr>
                <w:rFonts w:ascii="Times New Roman" w:hAnsi="Times New Roman"/>
                <w:iCs/>
                <w:sz w:val="24"/>
              </w:rPr>
              <w:t> </w:t>
            </w:r>
            <w:r w:rsidRPr="00835753">
              <w:rPr>
                <w:rFonts w:ascii="Times New Roman" w:hAnsi="Times New Roman"/>
                <w:iCs/>
                <w:sz w:val="24"/>
              </w:rPr>
              <w:t>8 CRR;</w:t>
            </w:r>
          </w:p>
          <w:p w14:paraId="2C70F148" w14:textId="77777777" w:rsidR="000646F8" w:rsidRPr="00835753" w:rsidRDefault="000646F8" w:rsidP="00155C96">
            <w:pPr>
              <w:autoSpaceDE w:val="0"/>
              <w:autoSpaceDN w:val="0"/>
              <w:adjustRightInd w:val="0"/>
              <w:spacing w:after="120"/>
              <w:ind w:left="720"/>
              <w:jc w:val="both"/>
              <w:rPr>
                <w:rFonts w:ascii="Times New Roman" w:hAnsi="Times New Roman" w:cs="Times New Roman"/>
                <w:sz w:val="24"/>
                <w:highlight w:val="yellow"/>
              </w:rPr>
            </w:pPr>
            <w:r w:rsidRPr="00835753">
              <w:rPr>
                <w:rFonts w:ascii="Times New Roman" w:hAnsi="Times New Roman"/>
                <w:iCs/>
                <w:sz w:val="24"/>
              </w:rPr>
              <w:t>c</w:t>
            </w:r>
            <w:proofErr w:type="gramStart"/>
            <w:r w:rsidRPr="00835753">
              <w:rPr>
                <w:rFonts w:ascii="Times New Roman" w:hAnsi="Times New Roman"/>
                <w:iCs/>
                <w:sz w:val="24"/>
              </w:rPr>
              <w:t>)</w:t>
            </w:r>
            <w:r w:rsidRPr="00835753">
              <w:tab/>
            </w:r>
            <w:r w:rsidRPr="00835753">
              <w:rPr>
                <w:rFonts w:ascii="Times New Roman" w:hAnsi="Times New Roman"/>
                <w:iCs/>
                <w:sz w:val="24"/>
              </w:rPr>
              <w:t>ekspozycje</w:t>
            </w:r>
            <w:proofErr w:type="gramEnd"/>
            <w:r w:rsidRPr="00835753">
              <w:rPr>
                <w:rFonts w:ascii="Times New Roman" w:hAnsi="Times New Roman"/>
                <w:iCs/>
                <w:sz w:val="24"/>
              </w:rPr>
              <w:t xml:space="preserve"> wobec przedsiębiorstw – inne.</w:t>
            </w:r>
          </w:p>
        </w:tc>
      </w:tr>
      <w:tr w:rsidR="000646F8" w:rsidRPr="00835753" w14:paraId="1B51F2A1" w14:textId="77777777" w:rsidTr="00155C96">
        <w:trPr>
          <w:gridAfter w:val="1"/>
          <w:wAfter w:w="28" w:type="dxa"/>
          <w:trHeight w:val="841"/>
        </w:trPr>
        <w:tc>
          <w:tcPr>
            <w:tcW w:w="1413" w:type="dxa"/>
          </w:tcPr>
          <w:p w14:paraId="08F78AEF" w14:textId="77777777" w:rsidR="000646F8" w:rsidRPr="00835753" w:rsidRDefault="000646F8" w:rsidP="00155C96">
            <w:pPr>
              <w:pStyle w:val="Applicationdirecte"/>
              <w:spacing w:before="0"/>
            </w:pPr>
            <w:r w:rsidRPr="00835753">
              <w:t xml:space="preserve"> </w:t>
            </w:r>
            <w:proofErr w:type="gramStart"/>
            <w:r w:rsidRPr="00835753">
              <w:t>b</w:t>
            </w:r>
            <w:proofErr w:type="gramEnd"/>
            <w:r w:rsidRPr="00835753">
              <w:t>)</w:t>
            </w:r>
          </w:p>
        </w:tc>
        <w:tc>
          <w:tcPr>
            <w:tcW w:w="7626" w:type="dxa"/>
          </w:tcPr>
          <w:p w14:paraId="1B99B7D6" w14:textId="3632C72B" w:rsidR="000646F8" w:rsidRPr="00835753" w:rsidRDefault="000646F8" w:rsidP="00155C96">
            <w:pPr>
              <w:pStyle w:val="Applicationdirecte"/>
              <w:spacing w:before="0"/>
              <w:rPr>
                <w:b/>
              </w:rPr>
            </w:pPr>
            <w:r w:rsidRPr="00835753">
              <w:rPr>
                <w:b/>
              </w:rPr>
              <w:t>Zakres wartości PD</w:t>
            </w:r>
          </w:p>
          <w:p w14:paraId="732E4B61" w14:textId="77777777"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Jest to stały zakres wartości PD, którego nie wolno zmieniać.</w:t>
            </w:r>
          </w:p>
          <w:p w14:paraId="520EC2BF" w14:textId="7A445BC2"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Ekspozycje przypisuje się do odpowiedniego koszyka</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sta</w:t>
            </w:r>
            <w:r w:rsidRPr="00835753">
              <w:rPr>
                <w:rFonts w:ascii="Times New Roman" w:hAnsi="Times New Roman"/>
                <w:sz w:val="24"/>
              </w:rPr>
              <w:t>łym zakresie wartości PD na wartości podstawie PD oszacowanej na początku okresu, za który informacje podlegają ujawnieniu, dla każdego dłużnika przyporządkowanego do danej kategorii ekspozycji (bez uwzględniania jakichkolwiek efektów substytucyjnych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ogr</w:t>
            </w:r>
            <w:r w:rsidRPr="00835753">
              <w:rPr>
                <w:rFonts w:ascii="Times New Roman" w:hAnsi="Times New Roman"/>
                <w:sz w:val="24"/>
              </w:rPr>
              <w:t>aniczenia ryzyka kredytowego).</w:t>
            </w:r>
            <w:r w:rsidR="00835753" w:rsidRPr="00835753">
              <w:rPr>
                <w:rFonts w:ascii="Times New Roman" w:hAnsi="Times New Roman"/>
                <w:sz w:val="24"/>
              </w:rPr>
              <w:t xml:space="preserve"> </w:t>
            </w:r>
            <w:r w:rsidRPr="00835753">
              <w:rPr>
                <w:rFonts w:ascii="Times New Roman" w:hAnsi="Times New Roman"/>
                <w:sz w:val="24"/>
              </w:rPr>
              <w:t>Wszystkie ekspozycje, których dotyczy niewykonanie zobowiązania, ujmuje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kos</w:t>
            </w:r>
            <w:r w:rsidRPr="00835753">
              <w:rPr>
                <w:rFonts w:ascii="Times New Roman" w:hAnsi="Times New Roman"/>
                <w:sz w:val="24"/>
              </w:rPr>
              <w:t>zyku odpowiadającym PD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wys</w:t>
            </w:r>
            <w:r w:rsidRPr="00835753">
              <w:rPr>
                <w:rFonts w:ascii="Times New Roman" w:hAnsi="Times New Roman"/>
                <w:sz w:val="24"/>
              </w:rPr>
              <w:t>okości 100</w:t>
            </w:r>
            <w:r w:rsidR="00835753" w:rsidRPr="00835753">
              <w:rPr>
                <w:rFonts w:ascii="Times New Roman" w:hAnsi="Times New Roman"/>
                <w:sz w:val="24"/>
              </w:rPr>
              <w:t> </w:t>
            </w:r>
            <w:r w:rsidRPr="00835753">
              <w:rPr>
                <w:rFonts w:ascii="Times New Roman" w:hAnsi="Times New Roman"/>
                <w:sz w:val="24"/>
              </w:rPr>
              <w:t>%.</w:t>
            </w:r>
          </w:p>
        </w:tc>
      </w:tr>
      <w:tr w:rsidR="000646F8" w:rsidRPr="00835753" w14:paraId="36A8DE5A" w14:textId="77777777" w:rsidTr="00155C96">
        <w:trPr>
          <w:gridAfter w:val="1"/>
          <w:wAfter w:w="28" w:type="dxa"/>
          <w:trHeight w:val="554"/>
        </w:trPr>
        <w:tc>
          <w:tcPr>
            <w:tcW w:w="1413" w:type="dxa"/>
          </w:tcPr>
          <w:p w14:paraId="31D5CAC7" w14:textId="7640E499" w:rsidR="000646F8" w:rsidRPr="00835753" w:rsidRDefault="000646F8"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c</w:t>
            </w:r>
            <w:proofErr w:type="gramEnd"/>
            <w:r w:rsidR="00892879">
              <w:rPr>
                <w:rFonts w:ascii="Times New Roman" w:hAnsi="Times New Roman"/>
                <w:sz w:val="24"/>
              </w:rPr>
              <w:t>)</w:t>
            </w:r>
            <w:r w:rsidRPr="00835753">
              <w:rPr>
                <w:rFonts w:ascii="Times New Roman" w:hAnsi="Times New Roman"/>
                <w:sz w:val="24"/>
              </w:rPr>
              <w:t>, d</w:t>
            </w:r>
            <w:r w:rsidR="00892879">
              <w:rPr>
                <w:rFonts w:ascii="Times New Roman" w:hAnsi="Times New Roman"/>
                <w:sz w:val="24"/>
              </w:rPr>
              <w:t>)</w:t>
            </w:r>
          </w:p>
        </w:tc>
        <w:tc>
          <w:tcPr>
            <w:tcW w:w="7626" w:type="dxa"/>
          </w:tcPr>
          <w:p w14:paraId="71D10849" w14:textId="7AC60C3F" w:rsidR="000646F8" w:rsidRPr="00835753" w:rsidRDefault="000646F8"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Liczba dłużników na koniec poprzedniego roku</w:t>
            </w:r>
          </w:p>
          <w:p w14:paraId="7B37CA1C" w14:textId="77777777"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 xml:space="preserve">Instytucje ujawniają następujące dwa zestawy informacji: </w:t>
            </w:r>
          </w:p>
          <w:p w14:paraId="26517C19" w14:textId="77777777" w:rsidR="000646F8" w:rsidRPr="00835753" w:rsidRDefault="000646F8" w:rsidP="000646F8">
            <w:pPr>
              <w:pStyle w:val="ListParagraph"/>
              <w:numPr>
                <w:ilvl w:val="0"/>
                <w:numId w:val="53"/>
              </w:numPr>
              <w:autoSpaceDE w:val="0"/>
              <w:autoSpaceDN w:val="0"/>
              <w:adjustRightInd w:val="0"/>
              <w:spacing w:after="120"/>
              <w:jc w:val="both"/>
              <w:rPr>
                <w:rFonts w:ascii="Times New Roman" w:hAnsi="Times New Roman"/>
                <w:sz w:val="24"/>
              </w:rPr>
            </w:pPr>
            <w:proofErr w:type="gramStart"/>
            <w:r w:rsidRPr="00835753">
              <w:rPr>
                <w:rFonts w:ascii="Times New Roman" w:hAnsi="Times New Roman"/>
                <w:sz w:val="24"/>
                <w:szCs w:val="24"/>
              </w:rPr>
              <w:t>liczba</w:t>
            </w:r>
            <w:proofErr w:type="gramEnd"/>
            <w:r w:rsidRPr="00835753">
              <w:rPr>
                <w:rFonts w:ascii="Times New Roman" w:hAnsi="Times New Roman"/>
                <w:sz w:val="24"/>
                <w:szCs w:val="24"/>
              </w:rPr>
              <w:t xml:space="preserve"> dłużników na koniec poprzedniego roku (kolumna C </w:t>
            </w:r>
            <w:r w:rsidRPr="00835753">
              <w:rPr>
                <w:rFonts w:ascii="Times New Roman" w:hAnsi="Times New Roman"/>
                <w:sz w:val="24"/>
              </w:rPr>
              <w:t>niniejszego wzoru</w:t>
            </w:r>
            <w:r w:rsidRPr="00835753">
              <w:rPr>
                <w:rFonts w:ascii="Times New Roman" w:hAnsi="Times New Roman"/>
                <w:sz w:val="24"/>
                <w:szCs w:val="24"/>
              </w:rPr>
              <w:t>);</w:t>
            </w:r>
          </w:p>
          <w:p w14:paraId="1F12A287" w14:textId="77777777" w:rsidR="000646F8" w:rsidRPr="00835753"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proofErr w:type="gramStart"/>
            <w:r w:rsidRPr="00835753">
              <w:rPr>
                <w:rFonts w:ascii="Times New Roman" w:hAnsi="Times New Roman"/>
                <w:sz w:val="24"/>
                <w:szCs w:val="24"/>
              </w:rPr>
              <w:t>liczba</w:t>
            </w:r>
            <w:proofErr w:type="gramEnd"/>
            <w:r w:rsidRPr="00835753">
              <w:rPr>
                <w:rFonts w:ascii="Times New Roman" w:hAnsi="Times New Roman"/>
                <w:sz w:val="24"/>
                <w:szCs w:val="24"/>
              </w:rPr>
              <w:t xml:space="preserve"> dłużników na koniec roku, za który informacje podlegają ujawnieniu </w:t>
            </w:r>
          </w:p>
          <w:p w14:paraId="28F1C78C" w14:textId="14DF0203" w:rsidR="000646F8" w:rsidRPr="00835753"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sidRPr="00835753">
              <w:rPr>
                <w:rFonts w:ascii="Times New Roman" w:hAnsi="Times New Roman"/>
                <w:sz w:val="24"/>
                <w:szCs w:val="24"/>
              </w:rPr>
              <w:t>W obu przypadkach uwzględnia się wszystkich dłużników, na których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dan</w:t>
            </w:r>
            <w:r w:rsidRPr="00835753">
              <w:rPr>
                <w:rFonts w:ascii="Times New Roman" w:hAnsi="Times New Roman"/>
                <w:sz w:val="24"/>
                <w:szCs w:val="24"/>
              </w:rPr>
              <w:t>ym momencie ciąży zobowiązanie kredytowe.</w:t>
            </w:r>
          </w:p>
          <w:p w14:paraId="5E8109AB" w14:textId="2C26A864" w:rsidR="000646F8" w:rsidRPr="00835753" w:rsidRDefault="000646F8" w:rsidP="00155C96">
            <w:pPr>
              <w:pStyle w:val="ListParagraph"/>
              <w:autoSpaceDE w:val="0"/>
              <w:autoSpaceDN w:val="0"/>
              <w:adjustRightInd w:val="0"/>
              <w:spacing w:after="120"/>
              <w:ind w:left="1080"/>
              <w:jc w:val="both"/>
              <w:rPr>
                <w:rFonts w:ascii="Times New Roman" w:hAnsi="Times New Roman"/>
                <w:sz w:val="24"/>
              </w:rPr>
            </w:pPr>
            <w:r w:rsidRPr="00835753">
              <w:rPr>
                <w:rFonts w:ascii="Times New Roman" w:hAnsi="Times New Roman"/>
                <w:sz w:val="24"/>
                <w:szCs w:val="24"/>
              </w:rPr>
              <w:lastRenderedPageBreak/>
              <w:t>Instytucje ujawniają liczbę podmiotów prawnych lub dłużników przypisanych do każdego koszyka</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sta</w:t>
            </w:r>
            <w:r w:rsidRPr="00835753">
              <w:rPr>
                <w:rFonts w:ascii="Times New Roman" w:hAnsi="Times New Roman"/>
                <w:sz w:val="24"/>
                <w:szCs w:val="24"/>
              </w:rPr>
              <w:t xml:space="preserve">łym zakresie wartości PD na koniec poprzedniego roku, które oceniono oddzielnie, niezależnie od liczby różnych przyznanych pożyczek lub ekspozycji. </w:t>
            </w:r>
          </w:p>
          <w:p w14:paraId="175CCDB9" w14:textId="094FC555" w:rsidR="000646F8" w:rsidRPr="00835753" w:rsidRDefault="000646F8" w:rsidP="00155C96">
            <w:pPr>
              <w:pStyle w:val="ListParagraph"/>
              <w:autoSpaceDE w:val="0"/>
              <w:autoSpaceDN w:val="0"/>
              <w:adjustRightInd w:val="0"/>
              <w:spacing w:after="120"/>
              <w:ind w:left="1080"/>
              <w:jc w:val="both"/>
              <w:rPr>
                <w:rFonts w:ascii="Times New Roman" w:hAnsi="Times New Roman"/>
                <w:sz w:val="24"/>
              </w:rPr>
            </w:pPr>
            <w:r w:rsidRPr="00835753">
              <w:rPr>
                <w:rFonts w:ascii="Times New Roman" w:hAnsi="Times New Roman"/>
                <w:sz w:val="24"/>
              </w:rPr>
              <w:t>Dłużników solidarnych traktuje się tak samo jak</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kalibracji PD.</w:t>
            </w:r>
            <w:r w:rsidRPr="00835753">
              <w:rPr>
                <w:rFonts w:ascii="Times New Roman" w:hAnsi="Times New Roman"/>
                <w:sz w:val="24"/>
                <w:szCs w:val="24"/>
              </w:rPr>
              <w:t xml:space="preserve"> Jeżeli różne ekspozycje wobec tego samego dłużnika ocenia się oddzielnie, należy je liczyć oddzielnie. Taka sytuacja może mieć miejsce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kat</w:t>
            </w:r>
            <w:r w:rsidRPr="00835753">
              <w:rPr>
                <w:rFonts w:ascii="Times New Roman" w:hAnsi="Times New Roman"/>
                <w:sz w:val="24"/>
                <w:szCs w:val="24"/>
              </w:rPr>
              <w:t>egorii ekspozycji detalicznych,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ypadku których definicję niewykonania zobowiązania stosuje się na poziomie poszczególnych instrumentów kredytowych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178 ust.</w:t>
            </w:r>
            <w:r w:rsidR="00835753" w:rsidRPr="00835753">
              <w:rPr>
                <w:rFonts w:ascii="Times New Roman" w:hAnsi="Times New Roman"/>
                <w:sz w:val="24"/>
                <w:szCs w:val="24"/>
              </w:rPr>
              <w:t> </w:t>
            </w:r>
            <w:r w:rsidRPr="00835753">
              <w:rPr>
                <w:rFonts w:ascii="Times New Roman" w:hAnsi="Times New Roman"/>
                <w:sz w:val="24"/>
                <w:szCs w:val="24"/>
              </w:rPr>
              <w:t>1 zdanie ostatnie CRR. Taka sytuacja może również mieć miejsce, jeżeli odrębne ekspozycje wobec tego samego dłużnika są przypisane do różnych klas jakości dłużników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172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e) zdanie drugie CRR</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inn</w:t>
            </w:r>
            <w:r w:rsidRPr="00835753">
              <w:rPr>
                <w:rFonts w:ascii="Times New Roman" w:hAnsi="Times New Roman"/>
                <w:sz w:val="24"/>
                <w:szCs w:val="24"/>
              </w:rPr>
              <w:t>ych kategoriach ekspozycji.</w:t>
            </w:r>
          </w:p>
          <w:p w14:paraId="5E4CFB8F" w14:textId="56C1677D" w:rsidR="000646F8" w:rsidRPr="00835753" w:rsidRDefault="000646F8" w:rsidP="000646F8">
            <w:pPr>
              <w:pStyle w:val="ListParagraph"/>
              <w:numPr>
                <w:ilvl w:val="0"/>
                <w:numId w:val="53"/>
              </w:numPr>
              <w:spacing w:after="120"/>
              <w:jc w:val="both"/>
              <w:rPr>
                <w:rFonts w:ascii="Times New Roman" w:hAnsi="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liczba dłużników, którzy nie wykonali zobowiązania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cią</w:t>
            </w:r>
            <w:r w:rsidRPr="00835753">
              <w:rPr>
                <w:rFonts w:ascii="Times New Roman" w:hAnsi="Times New Roman"/>
                <w:sz w:val="24"/>
              </w:rPr>
              <w:t xml:space="preserve">gu roku poprzedzającego dzień ujawnienia (kolumna d) niniejszego wzoru) </w:t>
            </w:r>
          </w:p>
          <w:p w14:paraId="4A5B967C" w14:textId="28FA853C" w:rsidR="000646F8" w:rsidRPr="00835753" w:rsidRDefault="000646F8" w:rsidP="00155C96">
            <w:pPr>
              <w:pStyle w:val="ListParagraph"/>
              <w:spacing w:after="120"/>
              <w:ind w:left="1080"/>
              <w:jc w:val="both"/>
              <w:rPr>
                <w:rFonts w:ascii="Times New Roman" w:hAnsi="Times New Roman"/>
                <w:sz w:val="24"/>
              </w:rPr>
            </w:pPr>
            <w:r w:rsidRPr="00835753">
              <w:rPr>
                <w:rFonts w:ascii="Times New Roman" w:hAnsi="Times New Roman"/>
                <w:sz w:val="24"/>
              </w:rPr>
              <w:t>Jest to podzbiór kolumny C niniejszego wzoru</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rep</w:t>
            </w:r>
            <w:r w:rsidRPr="00835753">
              <w:rPr>
                <w:rFonts w:ascii="Times New Roman" w:hAnsi="Times New Roman"/>
                <w:sz w:val="24"/>
              </w:rPr>
              <w:t>rezentuje liczbę dłużników, którzy nie wykonali zobowiązania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cią</w:t>
            </w:r>
            <w:r w:rsidRPr="00835753">
              <w:rPr>
                <w:rFonts w:ascii="Times New Roman" w:hAnsi="Times New Roman"/>
                <w:sz w:val="24"/>
              </w:rPr>
              <w:t>gu roku. Przypadki niewykonania zobowiązania określa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178 CRR</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lic</w:t>
            </w:r>
            <w:r w:rsidRPr="00835753">
              <w:rPr>
                <w:rFonts w:ascii="Times New Roman" w:hAnsi="Times New Roman"/>
                <w:sz w:val="24"/>
              </w:rPr>
              <w:t>zniku</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mia</w:t>
            </w:r>
            <w:r w:rsidRPr="00835753">
              <w:rPr>
                <w:rFonts w:ascii="Times New Roman" w:hAnsi="Times New Roman"/>
                <w:sz w:val="24"/>
              </w:rPr>
              <w:t>nowniku wyliczenia jednorocznego współczynnika niewykonania zobowiązania każdego dłużnika niewykonującego zobowiązania liczy się tylko raz, nawet jeśli dłużnik nie wykonał zobowiązania więcej niż raz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cią</w:t>
            </w:r>
            <w:r w:rsidRPr="00835753">
              <w:rPr>
                <w:rFonts w:ascii="Times New Roman" w:hAnsi="Times New Roman"/>
                <w:sz w:val="24"/>
              </w:rPr>
              <w:t>gu danego okresu jednego roku.</w:t>
            </w:r>
          </w:p>
        </w:tc>
      </w:tr>
      <w:tr w:rsidR="000646F8" w:rsidRPr="00835753" w14:paraId="37AC228F" w14:textId="77777777" w:rsidTr="00155C96">
        <w:trPr>
          <w:gridAfter w:val="1"/>
          <w:wAfter w:w="28" w:type="dxa"/>
          <w:trHeight w:val="316"/>
        </w:trPr>
        <w:tc>
          <w:tcPr>
            <w:tcW w:w="1413" w:type="dxa"/>
          </w:tcPr>
          <w:p w14:paraId="0766EB3B"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lastRenderedPageBreak/>
              <w:t>e</w:t>
            </w:r>
            <w:proofErr w:type="gramEnd"/>
            <w:r w:rsidRPr="00835753">
              <w:rPr>
                <w:rFonts w:ascii="Times New Roman" w:hAnsi="Times New Roman"/>
                <w:sz w:val="24"/>
              </w:rPr>
              <w:t>)</w:t>
            </w:r>
          </w:p>
        </w:tc>
        <w:tc>
          <w:tcPr>
            <w:tcW w:w="7626" w:type="dxa"/>
          </w:tcPr>
          <w:p w14:paraId="125AE352" w14:textId="5BE5FDFC" w:rsidR="000646F8" w:rsidRPr="00835753" w:rsidRDefault="000646F8"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Zaobserwowana średnia wartość współczynnika niewykonania zobowiązania</w:t>
            </w:r>
          </w:p>
          <w:p w14:paraId="43CF6CB2" w14:textId="7192D625"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Średnia arytmetyczna jednorocznych wskaźników niewykonania zobowiązania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 ust.</w:t>
            </w:r>
            <w:r w:rsidR="00835753" w:rsidRPr="00835753">
              <w:rPr>
                <w:rFonts w:ascii="Times New Roman" w:hAnsi="Times New Roman"/>
                <w:sz w:val="24"/>
              </w:rPr>
              <w:t> </w:t>
            </w:r>
            <w:r w:rsidRPr="00835753">
              <w:rPr>
                <w:rFonts w:ascii="Times New Roman" w:hAnsi="Times New Roman"/>
                <w:sz w:val="24"/>
              </w:rPr>
              <w:t>1 pkt</w:t>
            </w:r>
            <w:r w:rsidR="00835753" w:rsidRPr="00835753">
              <w:rPr>
                <w:rFonts w:ascii="Times New Roman" w:hAnsi="Times New Roman"/>
                <w:sz w:val="24"/>
              </w:rPr>
              <w:t> </w:t>
            </w:r>
            <w:r w:rsidRPr="00835753">
              <w:rPr>
                <w:rFonts w:ascii="Times New Roman" w:hAnsi="Times New Roman"/>
                <w:sz w:val="24"/>
              </w:rPr>
              <w:t>78 CRR, zaobserwowanych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dos</w:t>
            </w:r>
            <w:r w:rsidRPr="00835753">
              <w:rPr>
                <w:rFonts w:ascii="Times New Roman" w:hAnsi="Times New Roman"/>
                <w:sz w:val="24"/>
              </w:rPr>
              <w:t>tępnym zbiorze danych.</w:t>
            </w:r>
          </w:p>
          <w:p w14:paraId="0789D371" w14:textId="77777777" w:rsidR="000646F8" w:rsidRPr="00835753" w:rsidRDefault="000646F8"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Przy obliczaniu jednorocznych wskaźników niewykonania zobowiązania instytucje zapewniają, aby zarówno:</w:t>
            </w:r>
          </w:p>
          <w:p w14:paraId="4D81434F" w14:textId="05EA3A1D" w:rsidR="000646F8" w:rsidRPr="00835753" w:rsidRDefault="000646F8" w:rsidP="00155C96">
            <w:pPr>
              <w:autoSpaceDE w:val="0"/>
              <w:autoSpaceDN w:val="0"/>
              <w:adjustRightInd w:val="0"/>
              <w:spacing w:after="120"/>
              <w:jc w:val="both"/>
              <w:rPr>
                <w:rFonts w:ascii="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 mianownik składał się</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lic</w:t>
            </w:r>
            <w:r w:rsidRPr="00835753">
              <w:rPr>
                <w:rFonts w:ascii="Times New Roman" w:hAnsi="Times New Roman"/>
                <w:sz w:val="24"/>
              </w:rPr>
              <w:t>zby dłużników, którzy nie dopuścili się niewykonania zobowiązania,</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zobowiązania kredytowe odnotowano na początku rocznego okresu obserwacji (na początku poprzedniego okresu, za który informacje podlegają ujawnieniu, tj. na początku roku poprzedzającego dzień odniesienia do celów ujawniania informacji);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kontekście zobowiązanie kredytowe odnosi się do obu poniższych wariantów: (i) dowolnej pozycji bilansowej,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wszelkie kwoty kapitału, odsetek</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opł</w:t>
            </w:r>
            <w:r w:rsidRPr="00835753">
              <w:rPr>
                <w:rFonts w:ascii="Times New Roman" w:hAnsi="Times New Roman"/>
                <w:sz w:val="24"/>
              </w:rPr>
              <w:t>at; (ii) dowolnych pozycji pozabilansowych,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gwarancji wydanych przez instytucję jako gwaranta;</w:t>
            </w:r>
          </w:p>
          <w:p w14:paraId="72FFFC72" w14:textId="2BEA5DAF" w:rsidR="000646F8" w:rsidRPr="00835753" w:rsidRDefault="000646F8" w:rsidP="00155C96">
            <w:pPr>
              <w:autoSpaceDE w:val="0"/>
              <w:autoSpaceDN w:val="0"/>
              <w:adjustRightInd w:val="0"/>
              <w:spacing w:after="120"/>
              <w:jc w:val="both"/>
              <w:rPr>
                <w:rFonts w:ascii="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 licznik obejmował wszystkich dłużników uwzględnionych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mia</w:t>
            </w:r>
            <w:r w:rsidRPr="00835753">
              <w:rPr>
                <w:rFonts w:ascii="Times New Roman" w:hAnsi="Times New Roman"/>
                <w:sz w:val="24"/>
              </w:rPr>
              <w:t>nowniku,</w:t>
            </w:r>
            <w:r w:rsidR="00835753" w:rsidRPr="00835753">
              <w:rPr>
                <w:rFonts w:ascii="Times New Roman" w:hAnsi="Times New Roman"/>
                <w:sz w:val="24"/>
              </w:rPr>
              <w:t xml:space="preserve"> u</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wystąpił co najmniej jeden przypadek niewykonania zobowiązania</w:t>
            </w:r>
            <w:r w:rsidR="00835753" w:rsidRPr="00835753">
              <w:rPr>
                <w:rFonts w:ascii="Times New Roman" w:hAnsi="Times New Roman"/>
                <w:sz w:val="24"/>
              </w:rPr>
              <w:t xml:space="preserve"> </w:t>
            </w:r>
            <w:r w:rsidR="00835753" w:rsidRPr="00835753">
              <w:rPr>
                <w:rFonts w:ascii="Times New Roman" w:hAnsi="Times New Roman"/>
                <w:sz w:val="24"/>
              </w:rPr>
              <w:lastRenderedPageBreak/>
              <w:t>w</w:t>
            </w:r>
            <w:r w:rsidR="00835753">
              <w:rPr>
                <w:rFonts w:ascii="Times New Roman" w:hAnsi="Times New Roman"/>
                <w:sz w:val="24"/>
              </w:rPr>
              <w:t> </w:t>
            </w:r>
            <w:r w:rsidR="00835753" w:rsidRPr="00835753">
              <w:rPr>
                <w:rFonts w:ascii="Times New Roman" w:hAnsi="Times New Roman"/>
                <w:sz w:val="24"/>
              </w:rPr>
              <w:t>jed</w:t>
            </w:r>
            <w:r w:rsidRPr="00835753">
              <w:rPr>
                <w:rFonts w:ascii="Times New Roman" w:hAnsi="Times New Roman"/>
                <w:sz w:val="24"/>
              </w:rPr>
              <w:t>norocznym okresie obserwacji (rok poprzedzający dzień odniesienia do celów ujawniania informacji).</w:t>
            </w:r>
          </w:p>
          <w:p w14:paraId="61849DF1" w14:textId="0CE3983C"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W celu obliczenia zaobserwowanej średniej wartości współczynnika niewykonania zobowiązania instytucje wybierają odpowiednią metodę między metodą opartą na pokrywających się lub jednorocznych oknach czasowych</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odą opartą na pokrywających się jednorocznych ramach czasowych.</w:t>
            </w:r>
          </w:p>
        </w:tc>
      </w:tr>
      <w:tr w:rsidR="000646F8" w:rsidRPr="00835753" w14:paraId="34E87C9A" w14:textId="77777777" w:rsidTr="00155C96">
        <w:trPr>
          <w:gridAfter w:val="1"/>
          <w:wAfter w:w="28" w:type="dxa"/>
          <w:trHeight w:val="316"/>
        </w:trPr>
        <w:tc>
          <w:tcPr>
            <w:tcW w:w="1413" w:type="dxa"/>
          </w:tcPr>
          <w:p w14:paraId="61B69307"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lastRenderedPageBreak/>
              <w:t>f</w:t>
            </w:r>
            <w:proofErr w:type="gramEnd"/>
            <w:r w:rsidRPr="00835753">
              <w:rPr>
                <w:rFonts w:ascii="Times New Roman" w:hAnsi="Times New Roman"/>
                <w:sz w:val="24"/>
              </w:rPr>
              <w:t>)</w:t>
            </w:r>
          </w:p>
        </w:tc>
        <w:tc>
          <w:tcPr>
            <w:tcW w:w="7626" w:type="dxa"/>
          </w:tcPr>
          <w:p w14:paraId="34334D88" w14:textId="7C9B9B00" w:rsidR="000646F8" w:rsidRPr="00835753" w:rsidRDefault="000646F8" w:rsidP="00155C96">
            <w:pPr>
              <w:autoSpaceDE w:val="0"/>
              <w:autoSpaceDN w:val="0"/>
              <w:adjustRightInd w:val="0"/>
              <w:spacing w:after="120"/>
              <w:jc w:val="both"/>
              <w:rPr>
                <w:rFonts w:ascii="Times New Roman" w:eastAsia="Times New Roman" w:hAnsi="Times New Roman" w:cs="Times New Roman"/>
                <w:b/>
                <w:sz w:val="24"/>
              </w:rPr>
            </w:pPr>
            <w:r w:rsidRPr="00835753">
              <w:rPr>
                <w:rFonts w:ascii="Times New Roman" w:hAnsi="Times New Roman"/>
                <w:b/>
                <w:sz w:val="24"/>
              </w:rPr>
              <w:t>Średnia wartość PD ważona ekspozycją (%)</w:t>
            </w:r>
          </w:p>
          <w:p w14:paraId="2F323A04" w14:textId="1A6BD82D"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Średnia wartość PD ważona ekspozycją (%) określona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f) wzoru EU CR6;</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wszystkich ekspozycji uwzględnionych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każ</w:t>
            </w:r>
            <w:r w:rsidRPr="00835753">
              <w:rPr>
                <w:rFonts w:ascii="Times New Roman" w:hAnsi="Times New Roman"/>
                <w:sz w:val="24"/>
              </w:rPr>
              <w:t>dym koszyku</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sta</w:t>
            </w:r>
            <w:r w:rsidRPr="00835753">
              <w:rPr>
                <w:rFonts w:ascii="Times New Roman" w:hAnsi="Times New Roman"/>
                <w:sz w:val="24"/>
              </w:rPr>
              <w:t>łym zakresie wartości PD średnie oszacowanie wartości PD dla każdego dłużnika, ważone wartością ekspozycji po zastosowaniu współczynnika konwersji kredytowej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ogr</w:t>
            </w:r>
            <w:r w:rsidRPr="00835753">
              <w:rPr>
                <w:rFonts w:ascii="Times New Roman" w:hAnsi="Times New Roman"/>
                <w:sz w:val="24"/>
              </w:rPr>
              <w:t>aniczeniu ryzyka kredytowego określoną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e) wzoru EU CR6</w:t>
            </w:r>
          </w:p>
        </w:tc>
      </w:tr>
      <w:tr w:rsidR="000646F8" w:rsidRPr="00835753" w14:paraId="35C8B720" w14:textId="77777777" w:rsidTr="00155C96">
        <w:trPr>
          <w:gridAfter w:val="1"/>
          <w:wAfter w:w="28" w:type="dxa"/>
          <w:trHeight w:val="316"/>
        </w:trPr>
        <w:tc>
          <w:tcPr>
            <w:tcW w:w="1413" w:type="dxa"/>
          </w:tcPr>
          <w:p w14:paraId="5600EEEB"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g</w:t>
            </w:r>
            <w:proofErr w:type="gramEnd"/>
            <w:r w:rsidRPr="00835753">
              <w:rPr>
                <w:rFonts w:ascii="Times New Roman" w:hAnsi="Times New Roman"/>
                <w:sz w:val="24"/>
              </w:rPr>
              <w:t>)</w:t>
            </w:r>
          </w:p>
        </w:tc>
        <w:tc>
          <w:tcPr>
            <w:tcW w:w="7626" w:type="dxa"/>
          </w:tcPr>
          <w:p w14:paraId="7CDA9871" w14:textId="55837706" w:rsidR="000646F8" w:rsidRPr="00835753" w:rsidRDefault="000646F8" w:rsidP="00155C96">
            <w:pPr>
              <w:autoSpaceDE w:val="0"/>
              <w:autoSpaceDN w:val="0"/>
              <w:adjustRightInd w:val="0"/>
              <w:spacing w:after="120"/>
              <w:rPr>
                <w:rFonts w:ascii="Times New Roman" w:eastAsia="Times New Roman" w:hAnsi="Times New Roman" w:cs="Times New Roman"/>
                <w:b/>
                <w:sz w:val="24"/>
              </w:rPr>
            </w:pPr>
            <w:r w:rsidRPr="00835753">
              <w:rPr>
                <w:rFonts w:ascii="Times New Roman" w:hAnsi="Times New Roman"/>
                <w:b/>
                <w:sz w:val="24"/>
              </w:rPr>
              <w:t>Średnia wartość PD na dzień ujawnienia (%)</w:t>
            </w:r>
          </w:p>
          <w:p w14:paraId="6917168B" w14:textId="00B02889" w:rsidR="000646F8" w:rsidRPr="00835753" w:rsidRDefault="000646F8"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Średnia arytmetyczna wartości PD na początku okresu, za który informacje podlegają ujawnieniu,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dłużników, których można przyporządkować do danego koszyka</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sta</w:t>
            </w:r>
            <w:r w:rsidRPr="00835753">
              <w:rPr>
                <w:rFonts w:ascii="Times New Roman" w:hAnsi="Times New Roman"/>
                <w:sz w:val="24"/>
              </w:rPr>
              <w:t>łym zakresie wartości PD, wyliczona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d (średnia ważona liczba dłużników)</w:t>
            </w:r>
          </w:p>
        </w:tc>
      </w:tr>
      <w:tr w:rsidR="000646F8" w:rsidRPr="00835753" w14:paraId="26F2C08B" w14:textId="77777777" w:rsidTr="00155C96">
        <w:trPr>
          <w:gridAfter w:val="1"/>
          <w:wAfter w:w="28" w:type="dxa"/>
          <w:trHeight w:val="316"/>
        </w:trPr>
        <w:tc>
          <w:tcPr>
            <w:tcW w:w="1413" w:type="dxa"/>
          </w:tcPr>
          <w:p w14:paraId="70261E4A" w14:textId="77777777" w:rsidR="000646F8" w:rsidRPr="00835753" w:rsidRDefault="000646F8"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h</w:t>
            </w:r>
            <w:proofErr w:type="gramEnd"/>
            <w:r w:rsidRPr="00835753">
              <w:rPr>
                <w:rFonts w:ascii="Times New Roman" w:hAnsi="Times New Roman"/>
                <w:sz w:val="24"/>
              </w:rPr>
              <w:t>)</w:t>
            </w:r>
          </w:p>
        </w:tc>
        <w:tc>
          <w:tcPr>
            <w:tcW w:w="7626" w:type="dxa"/>
          </w:tcPr>
          <w:p w14:paraId="0164EAA8" w14:textId="19B3621F" w:rsidR="000646F8" w:rsidRPr="00835753" w:rsidRDefault="000646F8" w:rsidP="00155C96">
            <w:pPr>
              <w:spacing w:after="120"/>
              <w:rPr>
                <w:rFonts w:ascii="Times New Roman" w:eastAsia="Times New Roman" w:hAnsi="Times New Roman" w:cs="Times New Roman"/>
                <w:b/>
                <w:sz w:val="24"/>
              </w:rPr>
            </w:pPr>
            <w:r w:rsidRPr="00835753">
              <w:rPr>
                <w:rFonts w:ascii="Times New Roman" w:hAnsi="Times New Roman"/>
                <w:b/>
                <w:sz w:val="24"/>
              </w:rPr>
              <w:t>Średnia historyczna wartość rocznego współczynnika niewykonania zobowiązania (%)</w:t>
            </w:r>
          </w:p>
          <w:p w14:paraId="178AE68E" w14:textId="6EC54759" w:rsidR="000646F8" w:rsidRPr="00835753" w:rsidRDefault="000646F8" w:rsidP="00155C96">
            <w:pPr>
              <w:spacing w:after="120"/>
              <w:jc w:val="both"/>
              <w:rPr>
                <w:rFonts w:ascii="Times New Roman" w:eastAsia="Times New Roman" w:hAnsi="Times New Roman" w:cs="Times New Roman"/>
                <w:sz w:val="24"/>
              </w:rPr>
            </w:pPr>
            <w:r w:rsidRPr="00835753">
              <w:rPr>
                <w:rFonts w:ascii="Times New Roman" w:hAnsi="Times New Roman"/>
                <w:sz w:val="24"/>
              </w:rPr>
              <w:t>Średnia arytmetyczna rocznego współczynnika niewykonania zobowiązania z co najmniej pięciu ostatnich lat (dłużnicy na początku każdego roku, którzy nie wykonują zobowiązań</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cią</w:t>
            </w:r>
            <w:r w:rsidRPr="00835753">
              <w:rPr>
                <w:rFonts w:ascii="Times New Roman" w:hAnsi="Times New Roman"/>
                <w:sz w:val="24"/>
              </w:rPr>
              <w:t>gu tego roku/całkowita liczba dłużników na początku roku)</w:t>
            </w:r>
          </w:p>
          <w:p w14:paraId="46BB9FEA" w14:textId="142A186A" w:rsidR="000646F8" w:rsidRPr="00835753" w:rsidRDefault="000646F8" w:rsidP="00155C96">
            <w:pPr>
              <w:spacing w:after="120"/>
              <w:jc w:val="both"/>
              <w:rPr>
                <w:rFonts w:ascii="Times New Roman" w:hAnsi="Times New Roman" w:cs="Times New Roman"/>
                <w:sz w:val="24"/>
              </w:rPr>
            </w:pPr>
            <w:r w:rsidRPr="00835753">
              <w:rPr>
                <w:rFonts w:ascii="Times New Roman" w:hAnsi="Times New Roman"/>
                <w:sz w:val="24"/>
              </w:rPr>
              <w:t>Instytucja może stosować dłuższy okres historyczny, który jest zgodny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rze</w:t>
            </w:r>
            <w:r w:rsidRPr="00835753">
              <w:rPr>
                <w:rFonts w:ascii="Times New Roman" w:hAnsi="Times New Roman"/>
                <w:sz w:val="24"/>
              </w:rPr>
              <w:t>czywistymi praktykami zarządzania ryzykiem stosowanymi przez tę instytucję. Jeśli instytucja stosuje dłuższy okres historyczny, tłumaczy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wyj</w:t>
            </w:r>
            <w:r w:rsidRPr="00835753">
              <w:rPr>
                <w:rFonts w:ascii="Times New Roman" w:hAnsi="Times New Roman"/>
                <w:sz w:val="24"/>
              </w:rPr>
              <w:t>aśnia ten wybór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opi</w:t>
            </w:r>
            <w:r w:rsidRPr="00835753">
              <w:rPr>
                <w:rFonts w:ascii="Times New Roman" w:hAnsi="Times New Roman"/>
                <w:sz w:val="24"/>
              </w:rPr>
              <w:t>sie dołączonym do niniejszego wzoru.</w:t>
            </w:r>
          </w:p>
        </w:tc>
      </w:tr>
    </w:tbl>
    <w:p w14:paraId="49D15F46" w14:textId="77777777" w:rsidR="000646F8" w:rsidRPr="00835753" w:rsidRDefault="000646F8" w:rsidP="000646F8">
      <w:pPr>
        <w:spacing w:after="120"/>
        <w:rPr>
          <w:rFonts w:ascii="Times New Roman" w:hAnsi="Times New Roman" w:cs="Times New Roman"/>
          <w:sz w:val="24"/>
        </w:rPr>
      </w:pPr>
    </w:p>
    <w:p w14:paraId="0040E4EA" w14:textId="77777777" w:rsidR="000646F8" w:rsidRPr="00835753" w:rsidRDefault="000646F8" w:rsidP="000646F8">
      <w:pPr>
        <w:spacing w:after="120"/>
        <w:rPr>
          <w:rFonts w:ascii="Times New Roman" w:hAnsi="Times New Roman" w:cs="Times New Roman"/>
          <w:sz w:val="24"/>
        </w:rPr>
      </w:pPr>
    </w:p>
    <w:p w14:paraId="549A885F" w14:textId="461CB674" w:rsidR="000646F8" w:rsidRPr="00835753" w:rsidRDefault="00CD362D" w:rsidP="000646F8">
      <w:pPr>
        <w:spacing w:after="120"/>
        <w:rPr>
          <w:rFonts w:ascii="Times New Roman" w:hAnsi="Times New Roman" w:cs="Times New Roman"/>
          <w:b/>
          <w:sz w:val="24"/>
        </w:rPr>
      </w:pPr>
      <w:r w:rsidRPr="00835753">
        <w:rPr>
          <w:rFonts w:ascii="Times New Roman" w:hAnsi="Times New Roman"/>
          <w:b/>
          <w:sz w:val="24"/>
        </w:rPr>
        <w:t>Wzór EU CR9.1 – Metoda IRB – Weryfikacja historyczna PD</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pod</w:t>
      </w:r>
      <w:r w:rsidRPr="00835753">
        <w:rPr>
          <w:rFonts w:ascii="Times New Roman" w:hAnsi="Times New Roman"/>
          <w:b/>
          <w:sz w:val="24"/>
        </w:rPr>
        <w:t>ziale na kategorie ekspozycji (wyłącznie do celów oszacowania PD zgodnie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art</w:t>
      </w:r>
      <w:r w:rsidRPr="00835753">
        <w:rPr>
          <w:rFonts w:ascii="Times New Roman" w:hAnsi="Times New Roman"/>
          <w:b/>
          <w:sz w:val="24"/>
        </w:rPr>
        <w:t>.</w:t>
      </w:r>
      <w:r w:rsidR="00835753" w:rsidRPr="00835753">
        <w:rPr>
          <w:rFonts w:ascii="Times New Roman" w:hAnsi="Times New Roman"/>
          <w:b/>
          <w:sz w:val="24"/>
        </w:rPr>
        <w:t> </w:t>
      </w:r>
      <w:r w:rsidRPr="00835753">
        <w:rPr>
          <w:rFonts w:ascii="Times New Roman" w:hAnsi="Times New Roman"/>
          <w:b/>
          <w:sz w:val="24"/>
        </w:rPr>
        <w:t>180 ust.</w:t>
      </w:r>
      <w:r w:rsidR="00835753" w:rsidRPr="00835753">
        <w:rPr>
          <w:rFonts w:ascii="Times New Roman" w:hAnsi="Times New Roman"/>
          <w:b/>
          <w:sz w:val="24"/>
        </w:rPr>
        <w:t> </w:t>
      </w:r>
      <w:r w:rsidRPr="00835753">
        <w:rPr>
          <w:rFonts w:ascii="Times New Roman" w:hAnsi="Times New Roman"/>
          <w:b/>
          <w:sz w:val="24"/>
        </w:rPr>
        <w:t>1 lit.</w:t>
      </w:r>
      <w:r w:rsidR="00835753" w:rsidRPr="00835753">
        <w:rPr>
          <w:rFonts w:ascii="Times New Roman" w:hAnsi="Times New Roman"/>
          <w:b/>
          <w:sz w:val="24"/>
        </w:rPr>
        <w:t> </w:t>
      </w:r>
      <w:r w:rsidRPr="00835753">
        <w:rPr>
          <w:rFonts w:ascii="Times New Roman" w:hAnsi="Times New Roman"/>
          <w:b/>
          <w:sz w:val="24"/>
        </w:rPr>
        <w:t>f) CRR)</w:t>
      </w:r>
    </w:p>
    <w:p w14:paraId="476E9A86" w14:textId="77777777" w:rsidR="000646F8" w:rsidRPr="00835753" w:rsidRDefault="000646F8" w:rsidP="000646F8">
      <w:pPr>
        <w:spacing w:after="120"/>
        <w:rPr>
          <w:rFonts w:ascii="Times New Roman" w:hAnsi="Times New Roman" w:cs="Times New Roman"/>
          <w:sz w:val="24"/>
        </w:rPr>
      </w:pPr>
    </w:p>
    <w:p w14:paraId="792AF220" w14:textId="2924FA01" w:rsidR="000646F8" w:rsidRPr="00835753" w:rsidRDefault="000646F8" w:rsidP="000646F8">
      <w:pPr>
        <w:pStyle w:val="ListParagraph"/>
        <w:numPr>
          <w:ilvl w:val="0"/>
          <w:numId w:val="51"/>
        </w:numPr>
        <w:spacing w:after="120"/>
        <w:ind w:left="714" w:hanging="357"/>
        <w:jc w:val="both"/>
        <w:rPr>
          <w:rFonts w:ascii="Times New Roman" w:hAnsi="Times New Roman"/>
          <w:sz w:val="24"/>
        </w:rPr>
      </w:pPr>
      <w:r w:rsidRPr="00835753">
        <w:rPr>
          <w:rFonts w:ascii="Times New Roman" w:hAnsi="Times New Roman"/>
          <w:sz w:val="24"/>
        </w:rPr>
        <w:t>Oprócz wzoru EU CR9 instytucje ujawniają informacje zawarte we wzorze EU CR9.1,</w:t>
      </w:r>
      <w:r w:rsidR="00835753" w:rsidRPr="00835753">
        <w:rPr>
          <w:rFonts w:ascii="Times New Roman" w:hAnsi="Times New Roman"/>
          <w:sz w:val="24"/>
        </w:rPr>
        <w:t xml:space="preserve"> </w:t>
      </w:r>
      <w:proofErr w:type="gramStart"/>
      <w:r w:rsidR="00835753" w:rsidRPr="00835753">
        <w:rPr>
          <w:rFonts w:ascii="Times New Roman" w:hAnsi="Times New Roman"/>
          <w:sz w:val="24"/>
        </w:rPr>
        <w:t>w</w:t>
      </w:r>
      <w:proofErr w:type="gramEnd"/>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gdy stosują się do wymogów art.</w:t>
      </w:r>
      <w:r w:rsidR="00835753" w:rsidRPr="00835753">
        <w:rPr>
          <w:rFonts w:ascii="Times New Roman" w:hAnsi="Times New Roman"/>
          <w:sz w:val="24"/>
        </w:rPr>
        <w:t> </w:t>
      </w:r>
      <w:r w:rsidRPr="00835753">
        <w:rPr>
          <w:rFonts w:ascii="Times New Roman" w:hAnsi="Times New Roman"/>
          <w:sz w:val="24"/>
        </w:rPr>
        <w:t>180 ust.</w:t>
      </w:r>
      <w:r w:rsidR="00835753" w:rsidRPr="00835753">
        <w:rPr>
          <w:rFonts w:ascii="Times New Roman" w:hAnsi="Times New Roman"/>
          <w:sz w:val="24"/>
        </w:rPr>
        <w:t> </w:t>
      </w:r>
      <w:r w:rsidRPr="00835753">
        <w:rPr>
          <w:rFonts w:ascii="Times New Roman" w:hAnsi="Times New Roman"/>
          <w:sz w:val="24"/>
        </w:rPr>
        <w:t>1</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lit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f) CRR przy oszacowywaniu PD</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wył</w:t>
      </w:r>
      <w:r w:rsidRPr="00835753">
        <w:rPr>
          <w:rFonts w:ascii="Times New Roman" w:hAnsi="Times New Roman"/>
          <w:sz w:val="24"/>
        </w:rPr>
        <w:t>ącznie do celów oszacowania PD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samym artykułem. Instrukcje są takie same jak dla wzoru EU CR9,</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nas</w:t>
      </w:r>
      <w:r w:rsidRPr="00835753">
        <w:rPr>
          <w:rFonts w:ascii="Times New Roman" w:hAnsi="Times New Roman"/>
          <w:sz w:val="24"/>
        </w:rPr>
        <w:t>tępującymi wyjątkami:</w:t>
      </w:r>
    </w:p>
    <w:p w14:paraId="7F97A198" w14:textId="4D7E7C5C" w:rsidR="000646F8" w:rsidRPr="00835753" w:rsidRDefault="000646F8" w:rsidP="000646F8">
      <w:pPr>
        <w:pStyle w:val="ListParagraph"/>
        <w:numPr>
          <w:ilvl w:val="1"/>
          <w:numId w:val="51"/>
        </w:numPr>
        <w:spacing w:after="120"/>
        <w:rPr>
          <w:rFonts w:ascii="Times New Roman" w:hAnsi="Times New Roman"/>
          <w:sz w:val="24"/>
        </w:rPr>
      </w:pPr>
      <w:r w:rsidRPr="00835753">
        <w:rPr>
          <w:rFonts w:ascii="Times New Roman" w:hAnsi="Times New Roman"/>
          <w:sz w:val="24"/>
        </w:rPr>
        <w:t>W kolumnie b) niniejszego wzoru instytucje ujawniają zakresy wartości PD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ich</w:t>
      </w:r>
      <w:r w:rsidRPr="00835753">
        <w:rPr>
          <w:rFonts w:ascii="Times New Roman" w:hAnsi="Times New Roman"/>
          <w:sz w:val="24"/>
        </w:rPr>
        <w:t xml:space="preserve"> wewnętrznymi klasami jakości, które przyporządkowują do </w:t>
      </w:r>
      <w:r w:rsidRPr="00835753">
        <w:rPr>
          <w:rFonts w:ascii="Times New Roman" w:hAnsi="Times New Roman"/>
          <w:sz w:val="24"/>
        </w:rPr>
        <w:lastRenderedPageBreak/>
        <w:t>skali stosowanej przez zewnętrzną ECAI, zamiast korzystać ze stałego zewnętrznego zakresu PD.</w:t>
      </w:r>
    </w:p>
    <w:p w14:paraId="771F3AAD" w14:textId="482FFA4F" w:rsidR="000646F8" w:rsidRPr="00835753" w:rsidRDefault="000646F8" w:rsidP="000646F8">
      <w:pPr>
        <w:pStyle w:val="ListParagraph"/>
        <w:numPr>
          <w:ilvl w:val="1"/>
          <w:numId w:val="51"/>
        </w:numPr>
        <w:spacing w:after="120"/>
        <w:rPr>
          <w:rFonts w:ascii="Times New Roman" w:hAnsi="Times New Roman"/>
          <w:sz w:val="24"/>
        </w:rPr>
      </w:pPr>
      <w:r w:rsidRPr="00835753">
        <w:rPr>
          <w:rFonts w:ascii="Times New Roman" w:hAnsi="Times New Roman"/>
          <w:sz w:val="24"/>
        </w:rPr>
        <w:t>Instytucje ujawniają jedną kolumnę dla każdej rozpatrywanej ECAI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180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f) CRR. Instytucje uwzględniają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tyc</w:t>
      </w:r>
      <w:r w:rsidRPr="00835753">
        <w:rPr>
          <w:rFonts w:ascii="Times New Roman" w:hAnsi="Times New Roman"/>
          <w:sz w:val="24"/>
        </w:rPr>
        <w:t>h kolumnach rating zewnętrzny, do którego przyporządkowywane są ich wewnętrzne zakresy wartości PD.</w:t>
      </w:r>
      <w:r w:rsidRPr="00835753">
        <w:tab/>
      </w:r>
    </w:p>
    <w:p w14:paraId="041B05CC" w14:textId="77777777" w:rsidR="000646F8" w:rsidRPr="00835753" w:rsidRDefault="000646F8" w:rsidP="000646F8">
      <w:pPr>
        <w:spacing w:after="120"/>
        <w:rPr>
          <w:rFonts w:ascii="Times New Roman" w:hAnsi="Times New Roman" w:cs="Times New Roman"/>
          <w:sz w:val="24"/>
        </w:rPr>
      </w:pPr>
    </w:p>
    <w:p w14:paraId="4014185A" w14:textId="77777777" w:rsidR="0081579E" w:rsidRPr="00835753" w:rsidRDefault="0081579E">
      <w:pPr>
        <w:rPr>
          <w:rFonts w:ascii="Times New Roman" w:hAnsi="Times New Roman" w:cs="Times New Roman"/>
          <w:b/>
          <w:sz w:val="24"/>
        </w:rPr>
        <w:sectPr w:rsidR="0081579E" w:rsidRPr="00835753" w:rsidSect="00155C96">
          <w:pgSz w:w="11900" w:h="16840"/>
          <w:pgMar w:top="2268" w:right="1418" w:bottom="1134" w:left="1701" w:header="709" w:footer="709" w:gutter="0"/>
          <w:pgNumType w:start="1" w:chapStyle="1"/>
          <w:cols w:space="708"/>
          <w:docGrid w:linePitch="299"/>
        </w:sectPr>
      </w:pPr>
    </w:p>
    <w:p w14:paraId="61BA9C7E" w14:textId="33E1E03D" w:rsidR="00F75FFC" w:rsidRPr="00835753" w:rsidRDefault="00F75FFC" w:rsidP="00F75FFC">
      <w:pPr>
        <w:pStyle w:val="Annexetitre"/>
        <w:spacing w:before="0"/>
      </w:pPr>
      <w:r w:rsidRPr="00835753">
        <w:lastRenderedPageBreak/>
        <w:t>ZAŁĄCZNIK XXIV - Ujawnianie informacji na temat kredytowania specjalistycznego</w:t>
      </w:r>
      <w:r w:rsidR="00835753" w:rsidRPr="00835753">
        <w:t xml:space="preserve"> i</w:t>
      </w:r>
      <w:r w:rsidR="00835753">
        <w:t> </w:t>
      </w:r>
      <w:r w:rsidR="00835753" w:rsidRPr="00835753">
        <w:t>eks</w:t>
      </w:r>
      <w:r w:rsidRPr="00835753">
        <w:t>pozycji kapitałowych zgodnie</w:t>
      </w:r>
      <w:r w:rsidR="00835753" w:rsidRPr="00835753">
        <w:t xml:space="preserve"> z</w:t>
      </w:r>
      <w:r w:rsidR="00835753">
        <w:t> </w:t>
      </w:r>
      <w:r w:rsidR="00835753" w:rsidRPr="00835753">
        <w:t>upr</w:t>
      </w:r>
      <w:r w:rsidRPr="00835753">
        <w:t>oszczoną metodą ważenia ryzykiem</w:t>
      </w:r>
    </w:p>
    <w:p w14:paraId="4F127519" w14:textId="77777777" w:rsidR="00F75FFC" w:rsidRPr="00835753" w:rsidRDefault="00F75FFC" w:rsidP="00F75FFC">
      <w:pPr>
        <w:spacing w:after="120"/>
        <w:rPr>
          <w:rFonts w:ascii="Times New Roman" w:hAnsi="Times New Roman" w:cs="Times New Roman"/>
          <w:sz w:val="24"/>
        </w:rPr>
      </w:pPr>
    </w:p>
    <w:p w14:paraId="12232C6E" w14:textId="355BEDD1" w:rsidR="00F75FFC" w:rsidRPr="00835753" w:rsidRDefault="00CD362D" w:rsidP="00F75FFC">
      <w:pPr>
        <w:spacing w:after="120"/>
        <w:ind w:left="3"/>
        <w:rPr>
          <w:rFonts w:ascii="Times New Roman" w:hAnsi="Times New Roman"/>
          <w:sz w:val="24"/>
        </w:rPr>
      </w:pPr>
      <w:r w:rsidRPr="00835753">
        <w:rPr>
          <w:rFonts w:ascii="Times New Roman" w:hAnsi="Times New Roman"/>
          <w:b/>
          <w:sz w:val="24"/>
        </w:rPr>
        <w:t>Wzór EU CR10 – Kredytowanie specjalistyczne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eks</w:t>
      </w:r>
      <w:r w:rsidRPr="00835753">
        <w:rPr>
          <w:rFonts w:ascii="Times New Roman" w:hAnsi="Times New Roman"/>
          <w:b/>
          <w:sz w:val="24"/>
        </w:rPr>
        <w:t>pozycje kapitałowe zgodnie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upr</w:t>
      </w:r>
      <w:r w:rsidRPr="00835753">
        <w:rPr>
          <w:rFonts w:ascii="Times New Roman" w:hAnsi="Times New Roman"/>
          <w:b/>
          <w:sz w:val="24"/>
        </w:rPr>
        <w:t>oszczoną metodą ważenia ryzykiem.</w:t>
      </w:r>
      <w:r w:rsidRPr="00835753">
        <w:rPr>
          <w:rFonts w:ascii="Times New Roman" w:hAnsi="Times New Roman"/>
          <w:sz w:val="24"/>
        </w:rPr>
        <w:t xml:space="preserve"> Wzór</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for</w:t>
      </w:r>
      <w:r w:rsidRPr="00835753">
        <w:rPr>
          <w:rFonts w:ascii="Times New Roman" w:hAnsi="Times New Roman"/>
          <w:sz w:val="24"/>
        </w:rPr>
        <w:t>macie stałym</w:t>
      </w:r>
    </w:p>
    <w:p w14:paraId="6A6C4476" w14:textId="74AC0802" w:rsidR="00F75FFC" w:rsidRPr="00835753" w:rsidRDefault="00F75FFC" w:rsidP="00F75FFC">
      <w:pPr>
        <w:pStyle w:val="ListParagraph"/>
        <w:numPr>
          <w:ilvl w:val="0"/>
          <w:numId w:val="55"/>
        </w:numPr>
        <w:spacing w:after="120"/>
        <w:ind w:hanging="357"/>
        <w:jc w:val="both"/>
        <w:rPr>
          <w:rFonts w:ascii="Times New Roman" w:hAnsi="Times New Roman"/>
          <w:sz w:val="24"/>
        </w:rPr>
      </w:pPr>
      <w:r w:rsidRPr="00835753">
        <w:rPr>
          <w:rFonts w:ascii="Times New Roman" w:hAnsi="Times New Roman"/>
          <w:sz w:val="24"/>
        </w:rPr>
        <w:t>W celu wypełnienia wzoru EU CR10 zamieszczonego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XXIII do niniejszego rozporządzenia wykonawczego instytucje ujawniają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438 lit.</w:t>
      </w:r>
      <w:r w:rsidR="00835753" w:rsidRPr="00835753">
        <w:rPr>
          <w:rFonts w:ascii="Times New Roman" w:hAnsi="Times New Roman"/>
          <w:sz w:val="24"/>
        </w:rPr>
        <w:t> </w:t>
      </w:r>
      <w:r w:rsidRPr="00835753">
        <w:rPr>
          <w:rFonts w:ascii="Times New Roman" w:hAnsi="Times New Roman"/>
          <w:sz w:val="24"/>
        </w:rPr>
        <w:t>e) rozporządzenia (UE) nr</w:t>
      </w:r>
      <w:r w:rsidR="00835753" w:rsidRPr="00835753">
        <w:rPr>
          <w:rFonts w:ascii="Times New Roman" w:hAnsi="Times New Roman"/>
          <w:sz w:val="24"/>
        </w:rPr>
        <w:t> </w:t>
      </w:r>
      <w:r w:rsidRPr="00835753">
        <w:rPr>
          <w:rFonts w:ascii="Times New Roman" w:hAnsi="Times New Roman"/>
          <w:sz w:val="24"/>
        </w:rPr>
        <w:t>575/2013</w:t>
      </w:r>
      <w:r w:rsidRPr="00835753">
        <w:rPr>
          <w:rStyle w:val="FootnoteReference"/>
        </w:rPr>
        <w:footnoteReference w:id="40"/>
      </w:r>
      <w:r w:rsidRPr="00835753">
        <w:rPr>
          <w:rFonts w:ascii="Times New Roman" w:hAnsi="Times New Roman"/>
          <w:sz w:val="24"/>
        </w:rPr>
        <w:t xml:space="preserve">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pon</w:t>
      </w:r>
      <w:r w:rsidRPr="00835753">
        <w:rPr>
          <w:rFonts w:ascii="Times New Roman" w:hAnsi="Times New Roman"/>
          <w:sz w:val="24"/>
        </w:rPr>
        <w:t>iższymi instrukcjami zawartymi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załączniku. Instytucje ujawniają:</w:t>
      </w:r>
    </w:p>
    <w:p w14:paraId="568B4E2A" w14:textId="059C4695" w:rsidR="00F75FFC" w:rsidRPr="00835753" w:rsidRDefault="00F75FFC" w:rsidP="00F75FFC">
      <w:pPr>
        <w:pStyle w:val="ListParagraph"/>
        <w:numPr>
          <w:ilvl w:val="1"/>
          <w:numId w:val="55"/>
        </w:numPr>
        <w:spacing w:after="120"/>
        <w:rPr>
          <w:rFonts w:ascii="Times New Roman" w:hAnsi="Times New Roman"/>
          <w:sz w:val="24"/>
          <w:szCs w:val="24"/>
        </w:rPr>
      </w:pPr>
      <w:proofErr w:type="gramStart"/>
      <w:r w:rsidRPr="00835753">
        <w:rPr>
          <w:rFonts w:ascii="Times New Roman" w:hAnsi="Times New Roman"/>
          <w:sz w:val="24"/>
          <w:szCs w:val="24"/>
        </w:rPr>
        <w:t>informacje</w:t>
      </w:r>
      <w:proofErr w:type="gramEnd"/>
      <w:r w:rsidRPr="00835753">
        <w:rPr>
          <w:rFonts w:ascii="Times New Roman" w:hAnsi="Times New Roman"/>
          <w:sz w:val="24"/>
          <w:szCs w:val="24"/>
        </w:rPr>
        <w:t xml:space="preserve"> na temat następujących rodzajów ekspozycji związanych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kre</w:t>
      </w:r>
      <w:r w:rsidRPr="00835753">
        <w:rPr>
          <w:rFonts w:ascii="Times New Roman" w:hAnsi="Times New Roman"/>
          <w:sz w:val="24"/>
          <w:szCs w:val="24"/>
        </w:rPr>
        <w:t>dytowaniem specjalistycznym,</w:t>
      </w:r>
      <w:r w:rsidR="00835753" w:rsidRPr="00835753">
        <w:rPr>
          <w:rFonts w:ascii="Times New Roman" w:hAnsi="Times New Roman"/>
          <w:sz w:val="24"/>
          <w:szCs w:val="24"/>
        </w:rPr>
        <w:t xml:space="preserve"> </w:t>
      </w:r>
      <w:r w:rsidR="00835753" w:rsidRPr="00835753">
        <w:rPr>
          <w:rFonts w:ascii="Times New Roman" w:hAnsi="Times New Roman"/>
          <w:sz w:val="24"/>
        </w:rPr>
        <w:t>o</w:t>
      </w:r>
      <w:r w:rsidR="00835753">
        <w:rPr>
          <w:rFonts w:ascii="Times New Roman" w:hAnsi="Times New Roman"/>
          <w:sz w:val="24"/>
          <w:szCs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153 ust.</w:t>
      </w:r>
      <w:r w:rsidR="00835753" w:rsidRPr="00835753">
        <w:rPr>
          <w:rFonts w:ascii="Times New Roman" w:hAnsi="Times New Roman"/>
          <w:sz w:val="24"/>
          <w:szCs w:val="24"/>
        </w:rPr>
        <w:t> </w:t>
      </w:r>
      <w:r w:rsidRPr="00835753">
        <w:rPr>
          <w:rFonts w:ascii="Times New Roman" w:hAnsi="Times New Roman"/>
          <w:sz w:val="24"/>
          <w:szCs w:val="24"/>
        </w:rPr>
        <w:t>5 tabela 1:</w:t>
      </w:r>
    </w:p>
    <w:p w14:paraId="39427F4B" w14:textId="135C25D3" w:rsidR="00F75FFC" w:rsidRPr="00835753" w:rsidRDefault="00F75FFC" w:rsidP="00F75FFC">
      <w:pPr>
        <w:pStyle w:val="ListParagraph"/>
        <w:numPr>
          <w:ilvl w:val="0"/>
          <w:numId w:val="54"/>
        </w:numPr>
        <w:spacing w:after="120"/>
        <w:ind w:hanging="357"/>
        <w:rPr>
          <w:rFonts w:ascii="Times New Roman" w:hAnsi="Times New Roman"/>
          <w:sz w:val="24"/>
          <w:szCs w:val="24"/>
        </w:rPr>
      </w:pPr>
      <w:r w:rsidRPr="00835753">
        <w:rPr>
          <w:rFonts w:ascii="Times New Roman" w:hAnsi="Times New Roman"/>
          <w:sz w:val="24"/>
          <w:szCs w:val="24"/>
        </w:rPr>
        <w:t>„finansowanie projektów”</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wzo</w:t>
      </w:r>
      <w:r w:rsidRPr="00835753">
        <w:rPr>
          <w:rFonts w:ascii="Times New Roman" w:hAnsi="Times New Roman"/>
          <w:sz w:val="24"/>
          <w:szCs w:val="24"/>
        </w:rPr>
        <w:t>ru EU CR10.1;</w:t>
      </w:r>
    </w:p>
    <w:p w14:paraId="471A3883" w14:textId="33E5DA86" w:rsidR="00F75FFC" w:rsidRPr="00835753" w:rsidRDefault="00F75FFC" w:rsidP="00F75FFC">
      <w:pPr>
        <w:pStyle w:val="ListParagraph"/>
        <w:numPr>
          <w:ilvl w:val="0"/>
          <w:numId w:val="54"/>
        </w:numPr>
        <w:spacing w:after="120"/>
        <w:ind w:hanging="357"/>
        <w:rPr>
          <w:rFonts w:ascii="Times New Roman" w:hAnsi="Times New Roman"/>
          <w:sz w:val="24"/>
          <w:szCs w:val="24"/>
        </w:rPr>
      </w:pPr>
      <w:r w:rsidRPr="00835753">
        <w:rPr>
          <w:rFonts w:ascii="Times New Roman" w:hAnsi="Times New Roman"/>
          <w:sz w:val="24"/>
          <w:szCs w:val="24"/>
        </w:rPr>
        <w:t>„nieruchomości przynoszące dochody</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nie</w:t>
      </w:r>
      <w:r w:rsidRPr="00835753">
        <w:rPr>
          <w:rFonts w:ascii="Times New Roman" w:hAnsi="Times New Roman"/>
          <w:sz w:val="24"/>
          <w:szCs w:val="24"/>
        </w:rPr>
        <w:t>ruchomości komercyjne charakteryzujące się dużą zmiennością”</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wzo</w:t>
      </w:r>
      <w:r w:rsidRPr="00835753">
        <w:rPr>
          <w:rFonts w:ascii="Times New Roman" w:hAnsi="Times New Roman"/>
          <w:sz w:val="24"/>
          <w:szCs w:val="24"/>
        </w:rPr>
        <w:t>ru EU CR10.2;</w:t>
      </w:r>
    </w:p>
    <w:p w14:paraId="53F6D261" w14:textId="3A0EE134" w:rsidR="00F75FFC" w:rsidRPr="00835753" w:rsidRDefault="00F75FFC" w:rsidP="00F75FFC">
      <w:pPr>
        <w:pStyle w:val="ListParagraph"/>
        <w:numPr>
          <w:ilvl w:val="0"/>
          <w:numId w:val="54"/>
        </w:numPr>
        <w:spacing w:after="120"/>
        <w:ind w:hanging="357"/>
        <w:rPr>
          <w:rFonts w:ascii="Times New Roman" w:hAnsi="Times New Roman"/>
          <w:sz w:val="24"/>
          <w:szCs w:val="24"/>
        </w:rPr>
      </w:pPr>
      <w:r w:rsidRPr="00835753">
        <w:rPr>
          <w:rFonts w:ascii="Times New Roman" w:hAnsi="Times New Roman"/>
          <w:sz w:val="24"/>
          <w:szCs w:val="24"/>
        </w:rPr>
        <w:t>„finansowanie obiektów”</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wzo</w:t>
      </w:r>
      <w:r w:rsidRPr="00835753">
        <w:rPr>
          <w:rFonts w:ascii="Times New Roman" w:hAnsi="Times New Roman"/>
          <w:sz w:val="24"/>
          <w:szCs w:val="24"/>
        </w:rPr>
        <w:t>ru EU CR10.3;</w:t>
      </w:r>
    </w:p>
    <w:p w14:paraId="3EF1B672" w14:textId="27DE6C07" w:rsidR="00F75FFC" w:rsidRPr="00835753" w:rsidRDefault="00F75FFC" w:rsidP="00F75FFC">
      <w:pPr>
        <w:pStyle w:val="ListParagraph"/>
        <w:numPr>
          <w:ilvl w:val="0"/>
          <w:numId w:val="54"/>
        </w:numPr>
        <w:spacing w:after="120"/>
        <w:ind w:hanging="357"/>
        <w:rPr>
          <w:rFonts w:ascii="Times New Roman" w:hAnsi="Times New Roman"/>
          <w:sz w:val="24"/>
          <w:szCs w:val="24"/>
        </w:rPr>
      </w:pPr>
      <w:r w:rsidRPr="00835753">
        <w:rPr>
          <w:rFonts w:ascii="Times New Roman" w:hAnsi="Times New Roman"/>
          <w:sz w:val="24"/>
          <w:szCs w:val="24"/>
        </w:rPr>
        <w:t>„finansowanie towarów”</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wzo</w:t>
      </w:r>
      <w:r w:rsidRPr="00835753">
        <w:rPr>
          <w:rFonts w:ascii="Times New Roman" w:hAnsi="Times New Roman"/>
          <w:sz w:val="24"/>
          <w:szCs w:val="24"/>
        </w:rPr>
        <w:t>ru EU CR10.4;</w:t>
      </w:r>
    </w:p>
    <w:p w14:paraId="59F0F9C5" w14:textId="152F18D8" w:rsidR="00F75FFC" w:rsidRPr="00835753" w:rsidRDefault="00F75FFC" w:rsidP="00F75FFC">
      <w:pPr>
        <w:pStyle w:val="ListParagraph"/>
        <w:numPr>
          <w:ilvl w:val="1"/>
          <w:numId w:val="55"/>
        </w:numPr>
        <w:spacing w:after="120"/>
        <w:ind w:hanging="357"/>
        <w:rPr>
          <w:rFonts w:ascii="Times New Roman" w:hAnsi="Times New Roman"/>
          <w:sz w:val="24"/>
          <w:szCs w:val="24"/>
        </w:rPr>
      </w:pPr>
      <w:proofErr w:type="gramStart"/>
      <w:r w:rsidRPr="00835753">
        <w:rPr>
          <w:rFonts w:ascii="Times New Roman" w:hAnsi="Times New Roman"/>
          <w:sz w:val="24"/>
          <w:szCs w:val="24"/>
        </w:rPr>
        <w:t>informacje</w:t>
      </w:r>
      <w:proofErr w:type="gramEnd"/>
      <w:r w:rsidRPr="00835753">
        <w:rPr>
          <w:rFonts w:ascii="Times New Roman" w:hAnsi="Times New Roman"/>
          <w:sz w:val="24"/>
          <w:szCs w:val="24"/>
        </w:rPr>
        <w:t xml:space="preserve"> na temat ekspozycji kapitałowych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upr</w:t>
      </w:r>
      <w:r w:rsidRPr="00835753">
        <w:rPr>
          <w:rFonts w:ascii="Times New Roman" w:hAnsi="Times New Roman"/>
          <w:sz w:val="24"/>
          <w:szCs w:val="24"/>
        </w:rPr>
        <w:t>oszczoną metodą ważenia ryzykiem</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wzo</w:t>
      </w:r>
      <w:r w:rsidRPr="00835753">
        <w:rPr>
          <w:rFonts w:ascii="Times New Roman" w:hAnsi="Times New Roman"/>
          <w:sz w:val="24"/>
          <w:szCs w:val="24"/>
        </w:rPr>
        <w:t>ru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835753" w14:paraId="094ED12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835753" w:rsidRDefault="00F75FFC"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Oznaczenie kolumny</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3A48D193" w:rsidR="00F75FFC" w:rsidRPr="00835753" w:rsidRDefault="00F75FFC"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F75FFC" w:rsidRPr="00835753" w14:paraId="7CD3FB6E"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FBA8BD4" w14:textId="77777777" w:rsidR="00F75FFC" w:rsidRPr="00835753"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2930282" w14:textId="77777777" w:rsidR="00F75FFC" w:rsidRPr="00835753" w:rsidRDefault="00F75FFC"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F75FFC" w:rsidRPr="00835753" w14:paraId="158AE7C6" w14:textId="77777777" w:rsidTr="00155C96">
        <w:trPr>
          <w:trHeight w:val="316"/>
        </w:trPr>
        <w:tc>
          <w:tcPr>
            <w:tcW w:w="1413" w:type="dxa"/>
          </w:tcPr>
          <w:p w14:paraId="6B61B2BB" w14:textId="77777777" w:rsidR="00F75FFC" w:rsidRPr="00835753" w:rsidRDefault="00F75FFC"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654" w:type="dxa"/>
          </w:tcPr>
          <w:p w14:paraId="1E128EDF" w14:textId="041BD017" w:rsidR="00F75FFC" w:rsidRPr="00835753" w:rsidRDefault="00F75FFC" w:rsidP="00155C96">
            <w:pPr>
              <w:spacing w:after="120"/>
              <w:jc w:val="both"/>
              <w:rPr>
                <w:rFonts w:ascii="Times New Roman" w:eastAsiaTheme="minorHAnsi" w:hAnsi="Times New Roman" w:cs="Times New Roman"/>
                <w:b/>
                <w:sz w:val="24"/>
              </w:rPr>
            </w:pPr>
            <w:r w:rsidRPr="00835753">
              <w:rPr>
                <w:rFonts w:ascii="Times New Roman" w:hAnsi="Times New Roman"/>
                <w:b/>
                <w:sz w:val="24"/>
              </w:rPr>
              <w:t>Ekspozycje bilansowe</w:t>
            </w:r>
          </w:p>
          <w:p w14:paraId="48FFB9E2" w14:textId="03E9528D" w:rsidR="00F75FFC" w:rsidRPr="00835753" w:rsidRDefault="00F75FFC" w:rsidP="00155C96">
            <w:pPr>
              <w:spacing w:after="120"/>
              <w:jc w:val="both"/>
              <w:rPr>
                <w:rFonts w:ascii="Times New Roman" w:hAnsi="Times New Roman" w:cs="Times New Roman"/>
                <w:sz w:val="24"/>
              </w:rPr>
            </w:pPr>
            <w:r w:rsidRPr="00835753">
              <w:rPr>
                <w:rFonts w:ascii="Times New Roman" w:hAnsi="Times New Roman"/>
                <w:sz w:val="24"/>
              </w:rPr>
              <w:t>Instytucje ujawniają wartość ekspozycji bilansowych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166 ust.</w:t>
            </w:r>
            <w:r w:rsidR="00835753" w:rsidRPr="00835753">
              <w:rPr>
                <w:rFonts w:ascii="Times New Roman" w:hAnsi="Times New Roman"/>
                <w:sz w:val="24"/>
              </w:rPr>
              <w:t> </w:t>
            </w:r>
            <w:r w:rsidRPr="00835753">
              <w:rPr>
                <w:rFonts w:ascii="Times New Roman" w:hAnsi="Times New Roman"/>
                <w:sz w:val="24"/>
              </w:rPr>
              <w:t>1–7</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167 ust.</w:t>
            </w:r>
            <w:r w:rsidR="00835753" w:rsidRPr="00835753">
              <w:rPr>
                <w:rFonts w:ascii="Times New Roman" w:hAnsi="Times New Roman"/>
                <w:sz w:val="24"/>
              </w:rPr>
              <w:t> </w:t>
            </w:r>
            <w:r w:rsidRPr="00835753">
              <w:rPr>
                <w:rFonts w:ascii="Times New Roman" w:hAnsi="Times New Roman"/>
                <w:sz w:val="24"/>
              </w:rPr>
              <w:t>1 CRR.</w:t>
            </w:r>
          </w:p>
        </w:tc>
      </w:tr>
      <w:tr w:rsidR="00F75FFC" w:rsidRPr="00835753" w14:paraId="0E3843BA" w14:textId="77777777" w:rsidTr="00155C96">
        <w:trPr>
          <w:trHeight w:val="316"/>
        </w:trPr>
        <w:tc>
          <w:tcPr>
            <w:tcW w:w="1413" w:type="dxa"/>
          </w:tcPr>
          <w:p w14:paraId="0CEA5426" w14:textId="77777777" w:rsidR="00F75FFC" w:rsidRPr="00835753" w:rsidRDefault="00F75FFC"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654" w:type="dxa"/>
          </w:tcPr>
          <w:p w14:paraId="14AAF8A5" w14:textId="29C8E1C6" w:rsidR="00F75FFC" w:rsidRPr="00835753" w:rsidRDefault="00F75FFC"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Ekspozycja pozabilansowa</w:t>
            </w:r>
          </w:p>
          <w:p w14:paraId="7E118650" w14:textId="12BBA852" w:rsidR="00F75FFC" w:rsidRPr="00835753" w:rsidRDefault="00F75FFC"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Instytucje ujawniają wartość ekspozycji pozabilansowych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166</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167 ust.</w:t>
            </w:r>
            <w:r w:rsidR="00835753" w:rsidRPr="00835753">
              <w:rPr>
                <w:rFonts w:ascii="Times New Roman" w:hAnsi="Times New Roman"/>
                <w:sz w:val="24"/>
              </w:rPr>
              <w:t> </w:t>
            </w:r>
            <w:r w:rsidRPr="00835753">
              <w:rPr>
                <w:rFonts w:ascii="Times New Roman" w:hAnsi="Times New Roman"/>
                <w:sz w:val="24"/>
              </w:rPr>
              <w:t>2 CRR bez uwzględniania jakichkolwiek współczynników konwersji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166 ust.</w:t>
            </w:r>
            <w:r w:rsidR="00835753" w:rsidRPr="00835753">
              <w:rPr>
                <w:rFonts w:ascii="Times New Roman" w:hAnsi="Times New Roman"/>
                <w:sz w:val="24"/>
              </w:rPr>
              <w:t> </w:t>
            </w:r>
            <w:r w:rsidRPr="00835753">
              <w:rPr>
                <w:rFonts w:ascii="Times New Roman" w:hAnsi="Times New Roman"/>
                <w:sz w:val="24"/>
              </w:rPr>
              <w:t>8 lub</w:t>
            </w:r>
            <w:r w:rsidR="00835753" w:rsidRPr="00835753">
              <w:rPr>
                <w:rFonts w:ascii="Times New Roman" w:hAnsi="Times New Roman"/>
                <w:sz w:val="24"/>
              </w:rPr>
              <w:t> </w:t>
            </w:r>
            <w:r w:rsidRPr="00835753">
              <w:rPr>
                <w:rFonts w:ascii="Times New Roman" w:hAnsi="Times New Roman"/>
                <w:sz w:val="24"/>
              </w:rPr>
              <w:t>9 CRR, ani też wartości procentowych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166 ust.</w:t>
            </w:r>
            <w:r w:rsidR="00835753" w:rsidRPr="00835753">
              <w:rPr>
                <w:rFonts w:ascii="Times New Roman" w:hAnsi="Times New Roman"/>
                <w:sz w:val="24"/>
              </w:rPr>
              <w:t> </w:t>
            </w:r>
            <w:r w:rsidRPr="00835753">
              <w:rPr>
                <w:rFonts w:ascii="Times New Roman" w:hAnsi="Times New Roman"/>
                <w:sz w:val="24"/>
              </w:rPr>
              <w:t>10 CRR.</w:t>
            </w:r>
          </w:p>
          <w:p w14:paraId="015AA9FF" w14:textId="4A672E90" w:rsidR="00F75FFC" w:rsidRPr="00835753" w:rsidRDefault="00F75FFC"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 xml:space="preserve">Ekspozycje pozabilansowe obejmują wszystkie zaangażowane, lecz </w:t>
            </w:r>
            <w:proofErr w:type="gramStart"/>
            <w:r w:rsidRPr="00835753">
              <w:rPr>
                <w:rFonts w:ascii="Times New Roman" w:hAnsi="Times New Roman"/>
                <w:sz w:val="24"/>
              </w:rPr>
              <w:t>nie wykorzystane</w:t>
            </w:r>
            <w:proofErr w:type="gramEnd"/>
            <w:r w:rsidRPr="00835753">
              <w:rPr>
                <w:rFonts w:ascii="Times New Roman" w:hAnsi="Times New Roman"/>
                <w:sz w:val="24"/>
              </w:rPr>
              <w:t xml:space="preserve"> kwoty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wsz</w:t>
            </w:r>
            <w:r w:rsidRPr="00835753">
              <w:rPr>
                <w:rFonts w:ascii="Times New Roman" w:hAnsi="Times New Roman"/>
                <w:sz w:val="24"/>
              </w:rPr>
              <w:t>ystkie pozycje pozabilansowe wymienione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I do CRR.</w:t>
            </w:r>
          </w:p>
        </w:tc>
      </w:tr>
      <w:tr w:rsidR="00F75FFC" w:rsidRPr="00835753" w14:paraId="41D6DC3C" w14:textId="77777777" w:rsidTr="00155C96">
        <w:trPr>
          <w:trHeight w:val="316"/>
        </w:trPr>
        <w:tc>
          <w:tcPr>
            <w:tcW w:w="1413" w:type="dxa"/>
          </w:tcPr>
          <w:p w14:paraId="1F8AF0DE" w14:textId="77777777" w:rsidR="00F75FFC" w:rsidRPr="00835753" w:rsidRDefault="00F75FFC"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c</w:t>
            </w:r>
            <w:proofErr w:type="gramEnd"/>
            <w:r w:rsidRPr="00835753">
              <w:rPr>
                <w:rFonts w:ascii="Times New Roman" w:hAnsi="Times New Roman"/>
                <w:sz w:val="24"/>
              </w:rPr>
              <w:t>)</w:t>
            </w:r>
          </w:p>
        </w:tc>
        <w:tc>
          <w:tcPr>
            <w:tcW w:w="7654" w:type="dxa"/>
          </w:tcPr>
          <w:p w14:paraId="30473FC4" w14:textId="27B6D291" w:rsidR="00F75FFC" w:rsidRPr="00835753" w:rsidRDefault="00F75FFC"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Waga ryzyka</w:t>
            </w:r>
          </w:p>
          <w:p w14:paraId="38660C7F" w14:textId="77777777" w:rsidR="00F75FFC" w:rsidRPr="00835753" w:rsidRDefault="00F75FFC"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 xml:space="preserve">Jest to stała kolumna. Nie wolno jej zmieniać. </w:t>
            </w:r>
          </w:p>
          <w:p w14:paraId="3DFA2E81" w14:textId="0F28DD69" w:rsidR="00F75FFC" w:rsidRPr="00835753" w:rsidRDefault="00F75FFC"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lastRenderedPageBreak/>
              <w:t>Tę kolumnę określono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153 ust.</w:t>
            </w:r>
            <w:r w:rsidR="00835753" w:rsidRPr="00835753">
              <w:rPr>
                <w:rFonts w:ascii="Times New Roman" w:hAnsi="Times New Roman"/>
                <w:sz w:val="24"/>
              </w:rPr>
              <w:t> </w:t>
            </w:r>
            <w:r w:rsidRPr="00835753">
              <w:rPr>
                <w:rFonts w:ascii="Times New Roman" w:hAnsi="Times New Roman"/>
                <w:sz w:val="24"/>
              </w:rPr>
              <w:t>5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 xml:space="preserve">ypadku wzorów od EU CR10.1 </w:t>
            </w:r>
            <w:proofErr w:type="gramStart"/>
            <w:r w:rsidRPr="00835753">
              <w:rPr>
                <w:rFonts w:ascii="Times New Roman" w:hAnsi="Times New Roman"/>
                <w:sz w:val="24"/>
              </w:rPr>
              <w:t>do</w:t>
            </w:r>
            <w:proofErr w:type="gramEnd"/>
            <w:r w:rsidRPr="00835753">
              <w:rPr>
                <w:rFonts w:ascii="Times New Roman" w:hAnsi="Times New Roman"/>
                <w:sz w:val="24"/>
              </w:rPr>
              <w:t xml:space="preserve"> EU CR10.4 </w:t>
            </w:r>
            <w:proofErr w:type="gramStart"/>
            <w:r w:rsidRPr="00835753">
              <w:rPr>
                <w:rFonts w:ascii="Times New Roman" w:hAnsi="Times New Roman"/>
                <w:sz w:val="24"/>
              </w:rPr>
              <w:t>oraz</w:t>
            </w:r>
            <w:proofErr w:type="gramEnd"/>
            <w:r w:rsidRPr="00835753">
              <w:rPr>
                <w:rFonts w:ascii="Times New Roman" w:hAnsi="Times New Roman"/>
                <w:sz w:val="24"/>
              </w:rPr>
              <w:t xml:space="preserv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155 ust.</w:t>
            </w:r>
            <w:r w:rsidR="00835753" w:rsidRPr="00835753">
              <w:rPr>
                <w:rFonts w:ascii="Times New Roman" w:hAnsi="Times New Roman"/>
                <w:sz w:val="24"/>
              </w:rPr>
              <w:t> </w:t>
            </w:r>
            <w:r w:rsidRPr="00835753">
              <w:rPr>
                <w:rFonts w:ascii="Times New Roman" w:hAnsi="Times New Roman"/>
                <w:sz w:val="24"/>
              </w:rPr>
              <w:t>2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wzoru EU CR10.5.</w:t>
            </w:r>
          </w:p>
        </w:tc>
      </w:tr>
      <w:tr w:rsidR="00F75FFC" w:rsidRPr="00835753" w14:paraId="5276575E" w14:textId="77777777" w:rsidTr="00155C96">
        <w:trPr>
          <w:trHeight w:val="316"/>
        </w:trPr>
        <w:tc>
          <w:tcPr>
            <w:tcW w:w="1413" w:type="dxa"/>
          </w:tcPr>
          <w:p w14:paraId="6ACBCDAD" w14:textId="77777777" w:rsidR="00F75FFC" w:rsidRPr="00835753" w:rsidRDefault="00F75FFC"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lastRenderedPageBreak/>
              <w:t>d</w:t>
            </w:r>
            <w:proofErr w:type="gramEnd"/>
            <w:r w:rsidRPr="00835753">
              <w:rPr>
                <w:rFonts w:ascii="Times New Roman" w:hAnsi="Times New Roman"/>
                <w:sz w:val="24"/>
              </w:rPr>
              <w:t>)</w:t>
            </w:r>
          </w:p>
        </w:tc>
        <w:tc>
          <w:tcPr>
            <w:tcW w:w="7654" w:type="dxa"/>
          </w:tcPr>
          <w:p w14:paraId="279E448F" w14:textId="5A8F6B30" w:rsidR="00F75FFC" w:rsidRPr="00835753" w:rsidRDefault="00F75FFC"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Wartość ekspozycji</w:t>
            </w:r>
          </w:p>
          <w:p w14:paraId="7DB8EC33" w14:textId="7066525B" w:rsidR="00F75FFC" w:rsidRPr="00835753" w:rsidRDefault="00F75FFC" w:rsidP="00155C96">
            <w:pPr>
              <w:autoSpaceDE w:val="0"/>
              <w:autoSpaceDN w:val="0"/>
              <w:adjustRightInd w:val="0"/>
              <w:spacing w:after="120"/>
              <w:rPr>
                <w:rFonts w:ascii="Times New Roman" w:hAnsi="Times New Roman" w:cs="Times New Roman"/>
                <w:sz w:val="24"/>
              </w:rPr>
            </w:pPr>
            <w:r w:rsidRPr="00835753">
              <w:rPr>
                <w:rFonts w:ascii="Times New Roman" w:hAnsi="Times New Roman"/>
                <w:sz w:val="24"/>
              </w:rPr>
              <w:t>Wartość ekspozycji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166 lub art.</w:t>
            </w:r>
            <w:r w:rsidR="00835753" w:rsidRPr="00835753">
              <w:rPr>
                <w:rFonts w:ascii="Times New Roman" w:hAnsi="Times New Roman"/>
                <w:sz w:val="24"/>
              </w:rPr>
              <w:t> </w:t>
            </w:r>
            <w:r w:rsidRPr="00835753">
              <w:rPr>
                <w:rFonts w:ascii="Times New Roman" w:hAnsi="Times New Roman"/>
                <w:sz w:val="24"/>
              </w:rPr>
              <w:t>167 CRR</w:t>
            </w:r>
          </w:p>
          <w:p w14:paraId="3A4A60F5" w14:textId="7CF20822" w:rsidR="00F75FFC" w:rsidRPr="00835753" w:rsidRDefault="00F75FFC" w:rsidP="00155C96">
            <w:pPr>
              <w:spacing w:after="120"/>
              <w:jc w:val="both"/>
              <w:rPr>
                <w:rFonts w:ascii="Times New Roman" w:hAnsi="Times New Roman" w:cs="Times New Roman"/>
                <w:sz w:val="24"/>
              </w:rPr>
            </w:pPr>
            <w:r w:rsidRPr="00835753">
              <w:rPr>
                <w:rFonts w:ascii="Times New Roman" w:hAnsi="Times New Roman"/>
                <w:sz w:val="24"/>
              </w:rPr>
              <w:t>Kolumna ta zawiera sumę wartości ekspozycji bilansowych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tości ekspozycji pozabilansowych po uwzględnieniu współczynników konwersji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tości procentowych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166 ust.</w:t>
            </w:r>
            <w:r w:rsidR="00835753" w:rsidRPr="00835753">
              <w:rPr>
                <w:rFonts w:ascii="Times New Roman" w:hAnsi="Times New Roman"/>
                <w:sz w:val="24"/>
              </w:rPr>
              <w:t> </w:t>
            </w:r>
            <w:r w:rsidRPr="00835753">
              <w:rPr>
                <w:rFonts w:ascii="Times New Roman" w:hAnsi="Times New Roman"/>
                <w:sz w:val="24"/>
              </w:rPr>
              <w:t xml:space="preserve">8–10 CRR. </w:t>
            </w:r>
          </w:p>
        </w:tc>
      </w:tr>
      <w:tr w:rsidR="00F75FFC" w:rsidRPr="00835753" w14:paraId="13CF4D96" w14:textId="77777777" w:rsidTr="00155C96">
        <w:trPr>
          <w:trHeight w:val="316"/>
        </w:trPr>
        <w:tc>
          <w:tcPr>
            <w:tcW w:w="1413" w:type="dxa"/>
            <w:tcBorders>
              <w:bottom w:val="single" w:sz="4" w:space="0" w:color="auto"/>
            </w:tcBorders>
          </w:tcPr>
          <w:p w14:paraId="21028C1D" w14:textId="6F9A8F50" w:rsidR="00F75FFC" w:rsidRPr="00835753" w:rsidRDefault="00F75FFC" w:rsidP="00D95507">
            <w:pPr>
              <w:autoSpaceDE w:val="0"/>
              <w:autoSpaceDN w:val="0"/>
              <w:adjustRightInd w:val="0"/>
              <w:spacing w:after="120"/>
              <w:jc w:val="both"/>
              <w:rPr>
                <w:rFonts w:ascii="Times New Roman" w:hAnsi="Times New Roman"/>
                <w:sz w:val="24"/>
              </w:rPr>
            </w:pPr>
            <w:proofErr w:type="gramStart"/>
            <w:r w:rsidRPr="00835753">
              <w:rPr>
                <w:rFonts w:ascii="Times New Roman" w:hAnsi="Times New Roman"/>
                <w:sz w:val="24"/>
              </w:rPr>
              <w:t>e</w:t>
            </w:r>
            <w:proofErr w:type="gramEnd"/>
            <w:r w:rsidRPr="00835753">
              <w:rPr>
                <w:rFonts w:ascii="Times New Roman" w:hAnsi="Times New Roman"/>
                <w:sz w:val="24"/>
              </w:rPr>
              <w:t xml:space="preserve">) (wzory od EU CR10.1 </w:t>
            </w:r>
            <w:proofErr w:type="gramStart"/>
            <w:r w:rsidRPr="00835753">
              <w:rPr>
                <w:rFonts w:ascii="Times New Roman" w:hAnsi="Times New Roman"/>
                <w:sz w:val="24"/>
              </w:rPr>
              <w:t>do</w:t>
            </w:r>
            <w:proofErr w:type="gramEnd"/>
            <w:r w:rsidRPr="00835753">
              <w:rPr>
                <w:rFonts w:ascii="Times New Roman" w:hAnsi="Times New Roman"/>
                <w:sz w:val="24"/>
              </w:rPr>
              <w:t xml:space="preserve"> EU CR10.4)</w:t>
            </w:r>
          </w:p>
        </w:tc>
        <w:tc>
          <w:tcPr>
            <w:tcW w:w="7654" w:type="dxa"/>
          </w:tcPr>
          <w:p w14:paraId="79C5FBA4" w14:textId="6330AB3C" w:rsidR="00F75FFC" w:rsidRPr="00835753" w:rsidRDefault="00F75FFC"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Kwota ekspozycji ważonej ryzykiem (ekspozycje związane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kre</w:t>
            </w:r>
            <w:r w:rsidRPr="00835753">
              <w:rPr>
                <w:rFonts w:ascii="Times New Roman" w:hAnsi="Times New Roman"/>
                <w:b/>
                <w:sz w:val="24"/>
              </w:rPr>
              <w:t>dytowaniem specjalistycznym objęte metodą klasyfikacji)</w:t>
            </w:r>
          </w:p>
          <w:p w14:paraId="3B53AAE1" w14:textId="7E57C6BF" w:rsidR="00F75FFC" w:rsidRPr="00835753" w:rsidRDefault="00F75FFC"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Kwota ekspozycji ważonej ryzykiem obliczana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153 ust.</w:t>
            </w:r>
            <w:r w:rsidR="00835753" w:rsidRPr="00835753">
              <w:rPr>
                <w:rFonts w:ascii="Times New Roman" w:hAnsi="Times New Roman"/>
                <w:sz w:val="24"/>
              </w:rPr>
              <w:t> </w:t>
            </w:r>
            <w:r w:rsidRPr="00835753">
              <w:rPr>
                <w:rFonts w:ascii="Times New Roman" w:hAnsi="Times New Roman"/>
                <w:sz w:val="24"/>
              </w:rPr>
              <w:t>5 CRR</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uwz</w:t>
            </w:r>
            <w:r w:rsidRPr="00835753">
              <w:rPr>
                <w:rFonts w:ascii="Times New Roman" w:hAnsi="Times New Roman"/>
                <w:sz w:val="24"/>
              </w:rPr>
              <w:t>ględnieniem współczynników wsparcia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501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5</w:t>
            </w:r>
            <w:r w:rsidRPr="00835753">
              <w:rPr>
                <w:rFonts w:ascii="Times New Roman" w:hAnsi="Times New Roman"/>
                <w:sz w:val="24"/>
              </w:rPr>
              <w:t>01a CRR.</w:t>
            </w:r>
          </w:p>
        </w:tc>
      </w:tr>
      <w:tr w:rsidR="00F75FFC" w:rsidRPr="00835753" w14:paraId="4174C902" w14:textId="77777777" w:rsidTr="00155C96">
        <w:trPr>
          <w:trHeight w:val="316"/>
        </w:trPr>
        <w:tc>
          <w:tcPr>
            <w:tcW w:w="1413" w:type="dxa"/>
            <w:tcBorders>
              <w:bottom w:val="single" w:sz="4" w:space="0" w:color="auto"/>
            </w:tcBorders>
          </w:tcPr>
          <w:p w14:paraId="12E030C9" w14:textId="02CCA531" w:rsidR="00F75FFC" w:rsidRPr="00835753" w:rsidRDefault="00F75FFC"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e</w:t>
            </w:r>
            <w:proofErr w:type="gramEnd"/>
            <w:r w:rsidRPr="00835753">
              <w:rPr>
                <w:rFonts w:ascii="Times New Roman" w:hAnsi="Times New Roman"/>
                <w:sz w:val="24"/>
              </w:rPr>
              <w:t>) (wzór EU CR10.5)</w:t>
            </w:r>
          </w:p>
        </w:tc>
        <w:tc>
          <w:tcPr>
            <w:tcW w:w="7654" w:type="dxa"/>
          </w:tcPr>
          <w:p w14:paraId="3DBC58D3" w14:textId="014B7274" w:rsidR="00F75FFC" w:rsidRPr="00835753" w:rsidRDefault="00F75FFC"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Kwota ekspozycji ważonej ryzykiem (ekspozycje kapitałowe objęte uproszczoną metodą ważenia ryzykiem)</w:t>
            </w:r>
          </w:p>
          <w:p w14:paraId="7DA86D44" w14:textId="429687DB" w:rsidR="00F75FFC" w:rsidRPr="00835753" w:rsidRDefault="00F75FFC"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Kwota ekspozycji ważonej ryzykiem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155 ust.</w:t>
            </w:r>
            <w:r w:rsidR="00835753" w:rsidRPr="00835753">
              <w:rPr>
                <w:rFonts w:ascii="Times New Roman" w:hAnsi="Times New Roman"/>
                <w:sz w:val="24"/>
              </w:rPr>
              <w:t> </w:t>
            </w:r>
            <w:r w:rsidRPr="00835753">
              <w:rPr>
                <w:rFonts w:ascii="Times New Roman" w:hAnsi="Times New Roman"/>
                <w:sz w:val="24"/>
              </w:rPr>
              <w:t>2 CRR</w:t>
            </w:r>
          </w:p>
        </w:tc>
      </w:tr>
      <w:tr w:rsidR="00F75FFC" w:rsidRPr="00835753" w14:paraId="32ABB4F4" w14:textId="77777777" w:rsidTr="00155C96">
        <w:trPr>
          <w:trHeight w:val="316"/>
        </w:trPr>
        <w:tc>
          <w:tcPr>
            <w:tcW w:w="1413" w:type="dxa"/>
            <w:tcBorders>
              <w:bottom w:val="nil"/>
            </w:tcBorders>
          </w:tcPr>
          <w:p w14:paraId="38501C95" w14:textId="50678C40" w:rsidR="00F75FFC" w:rsidRPr="00835753" w:rsidRDefault="00F75FFC" w:rsidP="00D95507">
            <w:pPr>
              <w:autoSpaceDE w:val="0"/>
              <w:autoSpaceDN w:val="0"/>
              <w:adjustRightInd w:val="0"/>
              <w:spacing w:after="120"/>
              <w:jc w:val="both"/>
              <w:rPr>
                <w:rFonts w:ascii="Times New Roman" w:hAnsi="Times New Roman"/>
                <w:sz w:val="24"/>
              </w:rPr>
            </w:pPr>
            <w:proofErr w:type="gramStart"/>
            <w:r w:rsidRPr="00835753">
              <w:rPr>
                <w:rFonts w:ascii="Times New Roman" w:hAnsi="Times New Roman"/>
                <w:sz w:val="24"/>
              </w:rPr>
              <w:t>f</w:t>
            </w:r>
            <w:proofErr w:type="gramEnd"/>
            <w:r w:rsidRPr="00835753">
              <w:rPr>
                <w:rFonts w:ascii="Times New Roman" w:hAnsi="Times New Roman"/>
                <w:sz w:val="24"/>
              </w:rPr>
              <w:t xml:space="preserve">) (wzory od EU CR10.1 </w:t>
            </w:r>
            <w:proofErr w:type="gramStart"/>
            <w:r w:rsidRPr="00835753">
              <w:rPr>
                <w:rFonts w:ascii="Times New Roman" w:hAnsi="Times New Roman"/>
                <w:sz w:val="24"/>
              </w:rPr>
              <w:t>do</w:t>
            </w:r>
            <w:proofErr w:type="gramEnd"/>
            <w:r w:rsidRPr="00835753">
              <w:rPr>
                <w:rFonts w:ascii="Times New Roman" w:hAnsi="Times New Roman"/>
                <w:sz w:val="24"/>
              </w:rPr>
              <w:t xml:space="preserve"> EU CR10.4)</w:t>
            </w:r>
          </w:p>
        </w:tc>
        <w:tc>
          <w:tcPr>
            <w:tcW w:w="7654" w:type="dxa"/>
          </w:tcPr>
          <w:p w14:paraId="74654536" w14:textId="78C76764" w:rsidR="00F75FFC" w:rsidRPr="00835753" w:rsidRDefault="00F75FFC"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Kwota oczekiwanej straty (ekspozycje związane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kre</w:t>
            </w:r>
            <w:r w:rsidRPr="00835753">
              <w:rPr>
                <w:rFonts w:ascii="Times New Roman" w:hAnsi="Times New Roman"/>
                <w:b/>
                <w:sz w:val="24"/>
              </w:rPr>
              <w:t>dytowaniem specjalistycznym zgodnie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met</w:t>
            </w:r>
            <w:r w:rsidRPr="00835753">
              <w:rPr>
                <w:rFonts w:ascii="Times New Roman" w:hAnsi="Times New Roman"/>
                <w:b/>
                <w:sz w:val="24"/>
              </w:rPr>
              <w:t>odą klasyfikacji)</w:t>
            </w:r>
          </w:p>
          <w:p w14:paraId="6C1D1496" w14:textId="6EF45663" w:rsidR="00F75FFC" w:rsidRPr="00835753" w:rsidRDefault="00F75FFC"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Kwota oczekiwanej straty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158 ust.</w:t>
            </w:r>
            <w:r w:rsidR="00835753" w:rsidRPr="00835753">
              <w:rPr>
                <w:rFonts w:ascii="Times New Roman" w:hAnsi="Times New Roman"/>
                <w:sz w:val="24"/>
              </w:rPr>
              <w:t> </w:t>
            </w:r>
            <w:r w:rsidRPr="00835753">
              <w:rPr>
                <w:rFonts w:ascii="Times New Roman" w:hAnsi="Times New Roman"/>
                <w:sz w:val="24"/>
              </w:rPr>
              <w:t>6 CRR</w:t>
            </w:r>
          </w:p>
        </w:tc>
      </w:tr>
      <w:tr w:rsidR="00F75FFC" w:rsidRPr="00835753" w14:paraId="1D239CA4" w14:textId="77777777" w:rsidTr="00155C96">
        <w:trPr>
          <w:trHeight w:val="316"/>
        </w:trPr>
        <w:tc>
          <w:tcPr>
            <w:tcW w:w="1413" w:type="dxa"/>
            <w:tcBorders>
              <w:top w:val="nil"/>
            </w:tcBorders>
          </w:tcPr>
          <w:p w14:paraId="0049D53A" w14:textId="0B537F48" w:rsidR="00F75FFC" w:rsidRPr="00835753" w:rsidRDefault="00F75FFC" w:rsidP="00155C96">
            <w:pPr>
              <w:autoSpaceDE w:val="0"/>
              <w:autoSpaceDN w:val="0"/>
              <w:adjustRightInd w:val="0"/>
              <w:spacing w:after="120"/>
              <w:jc w:val="both"/>
              <w:rPr>
                <w:rFonts w:ascii="Times New Roman" w:eastAsia="Times New Roman" w:hAnsi="Times New Roman" w:cs="Times New Roman"/>
                <w:sz w:val="24"/>
              </w:rPr>
            </w:pPr>
            <w:proofErr w:type="gramStart"/>
            <w:r w:rsidRPr="00835753">
              <w:rPr>
                <w:rFonts w:ascii="Times New Roman" w:hAnsi="Times New Roman"/>
                <w:sz w:val="24"/>
              </w:rPr>
              <w:t>f</w:t>
            </w:r>
            <w:proofErr w:type="gramEnd"/>
            <w:r w:rsidRPr="00835753">
              <w:rPr>
                <w:rFonts w:ascii="Times New Roman" w:hAnsi="Times New Roman"/>
                <w:sz w:val="24"/>
              </w:rPr>
              <w:t>) (wzór EU CR10.5)</w:t>
            </w:r>
          </w:p>
        </w:tc>
        <w:tc>
          <w:tcPr>
            <w:tcW w:w="7654" w:type="dxa"/>
          </w:tcPr>
          <w:p w14:paraId="2B85CAB8" w14:textId="1283F79A" w:rsidR="00F75FFC" w:rsidRPr="00835753" w:rsidRDefault="00F75FFC"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Kwota oczekiwanej straty (ekspozycje kapitałowe objęte uproszczoną metodą ważenia ryzykiem)</w:t>
            </w:r>
          </w:p>
          <w:p w14:paraId="46BEB49C" w14:textId="777FE0CD" w:rsidR="00F75FFC" w:rsidRPr="00835753" w:rsidRDefault="00F75FFC"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Kwota oczekiwanej straty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158 ust.</w:t>
            </w:r>
            <w:r w:rsidR="00835753" w:rsidRPr="00835753">
              <w:rPr>
                <w:rFonts w:ascii="Times New Roman" w:hAnsi="Times New Roman"/>
                <w:sz w:val="24"/>
              </w:rPr>
              <w:t> </w:t>
            </w:r>
            <w:r w:rsidRPr="00835753">
              <w:rPr>
                <w:rFonts w:ascii="Times New Roman" w:hAnsi="Times New Roman"/>
                <w:sz w:val="24"/>
              </w:rPr>
              <w:t>7 CRR</w:t>
            </w:r>
          </w:p>
        </w:tc>
      </w:tr>
    </w:tbl>
    <w:p w14:paraId="7A3CFC7E" w14:textId="77777777" w:rsidR="00F75FFC" w:rsidRPr="00835753" w:rsidRDefault="00F75FFC" w:rsidP="00F75FFC">
      <w:pPr>
        <w:spacing w:after="120"/>
        <w:rPr>
          <w:rFonts w:ascii="Times New Roman" w:hAnsi="Times New Roman" w:cs="Times New Roman"/>
          <w:sz w:val="24"/>
        </w:rPr>
      </w:pPr>
    </w:p>
    <w:p w14:paraId="10AF6177" w14:textId="77777777" w:rsidR="00F75FFC" w:rsidRPr="00835753" w:rsidRDefault="00F75FFC"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835753"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7777777" w:rsidR="00F75FFC" w:rsidRPr="00835753" w:rsidRDefault="00F75FFC"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329A7000" w:rsidR="00F75FFC" w:rsidRPr="00835753" w:rsidRDefault="00F75FFC"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F75FFC" w:rsidRPr="00835753"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835753"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835753" w:rsidRDefault="00F75FFC"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F75FFC" w:rsidRPr="00835753" w14:paraId="6D67A769" w14:textId="77777777" w:rsidTr="00155C96">
        <w:trPr>
          <w:trHeight w:val="316"/>
        </w:trPr>
        <w:tc>
          <w:tcPr>
            <w:tcW w:w="1413" w:type="dxa"/>
          </w:tcPr>
          <w:p w14:paraId="5C9D44D9" w14:textId="77777777" w:rsidR="00F75FFC" w:rsidRPr="00835753" w:rsidRDefault="00F75FFC"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Kategoria regulacyjna</w:t>
            </w:r>
          </w:p>
        </w:tc>
        <w:tc>
          <w:tcPr>
            <w:tcW w:w="7654" w:type="dxa"/>
          </w:tcPr>
          <w:p w14:paraId="18671DFD" w14:textId="1BE8AC3A" w:rsidR="00F75FFC" w:rsidRPr="00835753" w:rsidRDefault="00D95507" w:rsidP="00155C96">
            <w:pPr>
              <w:spacing w:after="120"/>
              <w:jc w:val="both"/>
              <w:rPr>
                <w:rFonts w:ascii="Times New Roman" w:eastAsiaTheme="minorHAnsi" w:hAnsi="Times New Roman" w:cs="Times New Roman"/>
                <w:b/>
                <w:sz w:val="24"/>
              </w:rPr>
            </w:pPr>
            <w:r w:rsidRPr="00835753">
              <w:rPr>
                <w:rFonts w:ascii="Times New Roman" w:hAnsi="Times New Roman"/>
                <w:b/>
                <w:sz w:val="24"/>
              </w:rPr>
              <w:t xml:space="preserve">Wzory od EU CR10.1 </w:t>
            </w:r>
            <w:proofErr w:type="gramStart"/>
            <w:r w:rsidRPr="00835753">
              <w:rPr>
                <w:rFonts w:ascii="Times New Roman" w:hAnsi="Times New Roman"/>
                <w:b/>
                <w:sz w:val="24"/>
              </w:rPr>
              <w:t>do</w:t>
            </w:r>
            <w:proofErr w:type="gramEnd"/>
            <w:r w:rsidRPr="00835753">
              <w:rPr>
                <w:rFonts w:ascii="Times New Roman" w:hAnsi="Times New Roman"/>
                <w:b/>
                <w:sz w:val="24"/>
              </w:rPr>
              <w:t xml:space="preserve"> EU CR10.4</w:t>
            </w:r>
          </w:p>
          <w:p w14:paraId="46F62EA1" w14:textId="34564A6E" w:rsidR="00F75FFC" w:rsidRPr="00835753" w:rsidRDefault="00F75FFC" w:rsidP="00155C96">
            <w:pPr>
              <w:spacing w:after="120"/>
              <w:jc w:val="both"/>
              <w:rPr>
                <w:rFonts w:ascii="Times New Roman" w:hAnsi="Times New Roman" w:cs="Times New Roman"/>
                <w:sz w:val="24"/>
              </w:rPr>
            </w:pPr>
            <w:r w:rsidRPr="00835753">
              <w:rPr>
                <w:rFonts w:ascii="Times New Roman" w:hAnsi="Times New Roman"/>
                <w:sz w:val="24"/>
              </w:rPr>
              <w:t>Kategorie regulacyjne mające zastosowanie do kredytowania specjalistycznego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 xml:space="preserve">odą klasyfikacji dla </w:t>
            </w:r>
            <w:r w:rsidRPr="00835753">
              <w:rPr>
                <w:rFonts w:ascii="Times New Roman" w:hAnsi="Times New Roman"/>
                <w:iCs/>
                <w:sz w:val="24"/>
              </w:rPr>
              <w:t>poszczególnych kategorii ekspozycji związanych</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kre</w:t>
            </w:r>
            <w:r w:rsidRPr="00835753">
              <w:rPr>
                <w:rFonts w:ascii="Times New Roman" w:hAnsi="Times New Roman"/>
                <w:iCs/>
                <w:sz w:val="24"/>
              </w:rPr>
              <w:t>dytowaniem specjalistycznym; j</w:t>
            </w:r>
            <w:r w:rsidRPr="00835753">
              <w:rPr>
                <w:rFonts w:ascii="Times New Roman" w:hAnsi="Times New Roman"/>
                <w:sz w:val="24"/>
              </w:rPr>
              <w:t>ak określono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153 ust.</w:t>
            </w:r>
            <w:r w:rsidR="00835753" w:rsidRPr="00835753">
              <w:rPr>
                <w:rFonts w:ascii="Times New Roman" w:hAnsi="Times New Roman"/>
                <w:sz w:val="24"/>
              </w:rPr>
              <w:t> </w:t>
            </w:r>
            <w:r w:rsidRPr="00835753">
              <w:rPr>
                <w:rFonts w:ascii="Times New Roman" w:hAnsi="Times New Roman"/>
                <w:sz w:val="24"/>
              </w:rPr>
              <w:t>5 CRR oraz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ost</w:t>
            </w:r>
            <w:r w:rsidRPr="00835753">
              <w:rPr>
                <w:rFonts w:ascii="Times New Roman" w:hAnsi="Times New Roman"/>
                <w:sz w:val="24"/>
              </w:rPr>
              <w:t>atecznym projekcie regulacyjnego standardu technicznego dotyczącego metody klasyfikacji</w:t>
            </w:r>
          </w:p>
        </w:tc>
      </w:tr>
      <w:tr w:rsidR="00F75FFC" w:rsidRPr="00835753" w14:paraId="17EF5C42" w14:textId="77777777" w:rsidTr="00155C96">
        <w:trPr>
          <w:trHeight w:val="316"/>
        </w:trPr>
        <w:tc>
          <w:tcPr>
            <w:tcW w:w="1413" w:type="dxa"/>
          </w:tcPr>
          <w:p w14:paraId="3C8E4794" w14:textId="77777777" w:rsidR="00F75FFC" w:rsidRPr="00835753" w:rsidRDefault="00F75FFC" w:rsidP="00155C96">
            <w:pPr>
              <w:autoSpaceDE w:val="0"/>
              <w:autoSpaceDN w:val="0"/>
              <w:adjustRightInd w:val="0"/>
              <w:spacing w:after="120"/>
              <w:jc w:val="both"/>
              <w:rPr>
                <w:rFonts w:ascii="Times New Roman" w:eastAsia="Times New Roman" w:hAnsi="Times New Roman" w:cs="Times New Roman"/>
                <w:sz w:val="24"/>
              </w:rPr>
            </w:pPr>
            <w:r w:rsidRPr="00835753">
              <w:rPr>
                <w:rFonts w:ascii="Times New Roman" w:hAnsi="Times New Roman"/>
                <w:sz w:val="24"/>
              </w:rPr>
              <w:t>Kategorie</w:t>
            </w:r>
          </w:p>
        </w:tc>
        <w:tc>
          <w:tcPr>
            <w:tcW w:w="7654" w:type="dxa"/>
          </w:tcPr>
          <w:p w14:paraId="395CC9EA" w14:textId="2B31B271" w:rsidR="00F75FFC" w:rsidRPr="00835753" w:rsidRDefault="00CD362D" w:rsidP="00155C96">
            <w:pPr>
              <w:spacing w:after="120"/>
              <w:jc w:val="both"/>
              <w:rPr>
                <w:rFonts w:ascii="Times New Roman" w:eastAsiaTheme="minorHAnsi" w:hAnsi="Times New Roman" w:cs="Times New Roman"/>
                <w:b/>
                <w:sz w:val="24"/>
              </w:rPr>
            </w:pPr>
            <w:r w:rsidRPr="00835753">
              <w:rPr>
                <w:rFonts w:ascii="Times New Roman" w:hAnsi="Times New Roman"/>
                <w:b/>
                <w:sz w:val="24"/>
              </w:rPr>
              <w:t>Wzór EU CR10.5 –</w:t>
            </w:r>
          </w:p>
          <w:p w14:paraId="37BAE4FC" w14:textId="28BB5445" w:rsidR="00F75FFC" w:rsidRPr="00835753" w:rsidRDefault="00F75FFC" w:rsidP="00155C96">
            <w:pPr>
              <w:spacing w:after="120"/>
              <w:jc w:val="both"/>
              <w:rPr>
                <w:rFonts w:ascii="Times New Roman" w:eastAsiaTheme="minorHAnsi" w:hAnsi="Times New Roman" w:cs="Times New Roman"/>
                <w:sz w:val="24"/>
              </w:rPr>
            </w:pPr>
            <w:r w:rsidRPr="00835753">
              <w:rPr>
                <w:rFonts w:ascii="Times New Roman" w:hAnsi="Times New Roman"/>
                <w:sz w:val="24"/>
              </w:rPr>
              <w:t>Kategorie regulacyjne mające zastosowanie do instrumentów kapitałowych objętych uproszczoną metodą ważenia ryzykiem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155 ust.</w:t>
            </w:r>
            <w:r w:rsidR="00835753" w:rsidRPr="00835753">
              <w:rPr>
                <w:rFonts w:ascii="Times New Roman" w:hAnsi="Times New Roman"/>
                <w:sz w:val="24"/>
              </w:rPr>
              <w:t> </w:t>
            </w:r>
            <w:r w:rsidRPr="00835753">
              <w:rPr>
                <w:rFonts w:ascii="Times New Roman" w:hAnsi="Times New Roman"/>
                <w:sz w:val="24"/>
              </w:rPr>
              <w:t>2 CRR</w:t>
            </w:r>
          </w:p>
        </w:tc>
      </w:tr>
    </w:tbl>
    <w:p w14:paraId="27F8CEE0" w14:textId="4AC3B6D6" w:rsidR="005710A4" w:rsidRPr="00835753" w:rsidRDefault="005710A4" w:rsidP="00E258D8">
      <w:pPr>
        <w:tabs>
          <w:tab w:val="left" w:pos="1430"/>
        </w:tabs>
        <w:rPr>
          <w:rFonts w:ascii="Times New Roman" w:hAnsi="Times New Roman" w:cs="Times New Roman"/>
          <w:sz w:val="24"/>
        </w:rPr>
      </w:pPr>
    </w:p>
    <w:p w14:paraId="5ECE1EAB" w14:textId="77777777" w:rsidR="0081579E" w:rsidRPr="00835753" w:rsidRDefault="005710A4">
      <w:pPr>
        <w:rPr>
          <w:rFonts w:ascii="Times New Roman" w:hAnsi="Times New Roman" w:cs="Times New Roman"/>
          <w:sz w:val="24"/>
        </w:rPr>
        <w:sectPr w:rsidR="0081579E" w:rsidRPr="00835753" w:rsidSect="00155C96">
          <w:pgSz w:w="11900" w:h="16840"/>
          <w:pgMar w:top="2268" w:right="1418" w:bottom="1134" w:left="1701" w:header="709" w:footer="709" w:gutter="0"/>
          <w:pgNumType w:start="1" w:chapStyle="1"/>
          <w:cols w:space="708"/>
          <w:docGrid w:linePitch="299"/>
        </w:sectPr>
      </w:pPr>
      <w:r w:rsidRPr="00835753">
        <w:br w:type="page"/>
      </w:r>
    </w:p>
    <w:p w14:paraId="54A04FC2" w14:textId="13BF44D1" w:rsidR="005710A4" w:rsidRPr="00835753" w:rsidRDefault="005710A4" w:rsidP="005710A4">
      <w:pPr>
        <w:pStyle w:val="Titlelevel2"/>
        <w:spacing w:before="0"/>
        <w:jc w:val="center"/>
        <w:rPr>
          <w:rFonts w:ascii="Times New Roman" w:hAnsi="Times New Roman" w:cs="Times New Roman"/>
          <w:b/>
          <w:color w:val="auto"/>
          <w:sz w:val="24"/>
          <w:u w:val="single"/>
        </w:rPr>
      </w:pPr>
      <w:r w:rsidRPr="00835753">
        <w:rPr>
          <w:rFonts w:ascii="Times New Roman" w:hAnsi="Times New Roman"/>
          <w:b/>
          <w:color w:val="auto"/>
          <w:sz w:val="24"/>
          <w:u w:val="single"/>
        </w:rPr>
        <w:lastRenderedPageBreak/>
        <w:t>ZAŁĄCZNIK XXVI – Tabele</w:t>
      </w:r>
      <w:r w:rsidR="00835753" w:rsidRPr="00835753">
        <w:rPr>
          <w:rFonts w:ascii="Times New Roman" w:hAnsi="Times New Roman"/>
          <w:b/>
          <w:color w:val="auto"/>
          <w:sz w:val="24"/>
          <w:u w:val="single"/>
        </w:rPr>
        <w:t xml:space="preserve"> i</w:t>
      </w:r>
      <w:r w:rsidR="00835753">
        <w:rPr>
          <w:rFonts w:ascii="Times New Roman" w:hAnsi="Times New Roman"/>
          <w:b/>
          <w:color w:val="auto"/>
          <w:sz w:val="24"/>
          <w:u w:val="single"/>
        </w:rPr>
        <w:t> </w:t>
      </w:r>
      <w:r w:rsidR="00835753" w:rsidRPr="00835753">
        <w:rPr>
          <w:rFonts w:ascii="Times New Roman" w:hAnsi="Times New Roman"/>
          <w:b/>
          <w:color w:val="auto"/>
          <w:sz w:val="24"/>
          <w:u w:val="single"/>
        </w:rPr>
        <w:t>wzo</w:t>
      </w:r>
      <w:r w:rsidRPr="00835753">
        <w:rPr>
          <w:rFonts w:ascii="Times New Roman" w:hAnsi="Times New Roman"/>
          <w:b/>
          <w:color w:val="auto"/>
          <w:sz w:val="24"/>
          <w:u w:val="single"/>
        </w:rPr>
        <w:t>ry do celów ujawniania informacji na temat ryzyka kredytowego kontrahenta: instrukcje</w:t>
      </w:r>
    </w:p>
    <w:p w14:paraId="25209BB9" w14:textId="44FAC0FD" w:rsidR="005710A4" w:rsidRPr="00835753" w:rsidRDefault="005710A4" w:rsidP="005710A4">
      <w:pPr>
        <w:pStyle w:val="Titlelevel2"/>
        <w:numPr>
          <w:ilvl w:val="0"/>
          <w:numId w:val="56"/>
        </w:numPr>
        <w:spacing w:before="0"/>
        <w:jc w:val="both"/>
        <w:rPr>
          <w:rFonts w:ascii="Times New Roman" w:hAnsi="Times New Roman" w:cs="Times New Roman"/>
          <w:color w:val="auto"/>
          <w:sz w:val="24"/>
        </w:rPr>
      </w:pPr>
      <w:r w:rsidRPr="00835753">
        <w:rPr>
          <w:rFonts w:ascii="Times New Roman" w:hAnsi="Times New Roman"/>
          <w:color w:val="auto"/>
          <w:sz w:val="24"/>
        </w:rPr>
        <w:t>W celu wypełnienia tabel</w:t>
      </w:r>
      <w:r w:rsidR="00835753" w:rsidRPr="00835753">
        <w:rPr>
          <w:rFonts w:ascii="Times New Roman" w:hAnsi="Times New Roman"/>
          <w:color w:val="auto"/>
          <w:sz w:val="24"/>
        </w:rPr>
        <w:t xml:space="preserve"> i</w:t>
      </w:r>
      <w:r w:rsidR="00835753">
        <w:rPr>
          <w:rFonts w:ascii="Times New Roman" w:hAnsi="Times New Roman"/>
          <w:color w:val="auto"/>
          <w:sz w:val="24"/>
        </w:rPr>
        <w:t> </w:t>
      </w:r>
      <w:r w:rsidR="00835753" w:rsidRPr="00835753">
        <w:rPr>
          <w:rFonts w:ascii="Times New Roman" w:hAnsi="Times New Roman"/>
          <w:color w:val="auto"/>
          <w:sz w:val="24"/>
        </w:rPr>
        <w:t>wzo</w:t>
      </w:r>
      <w:r w:rsidRPr="00835753">
        <w:rPr>
          <w:rFonts w:ascii="Times New Roman" w:hAnsi="Times New Roman"/>
          <w:color w:val="auto"/>
          <w:sz w:val="24"/>
        </w:rPr>
        <w:t>rów zamieszczonych</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zał</w:t>
      </w:r>
      <w:r w:rsidRPr="00835753">
        <w:rPr>
          <w:rFonts w:ascii="Times New Roman" w:hAnsi="Times New Roman"/>
          <w:color w:val="auto"/>
          <w:sz w:val="24"/>
        </w:rPr>
        <w:t>ączniku XXV do niniejszego rozporządzenia wykonawczego instytucje ujawniają informacje,</w:t>
      </w:r>
      <w:r w:rsidR="00835753" w:rsidRPr="00835753">
        <w:rPr>
          <w:rFonts w:ascii="Times New Roman" w:hAnsi="Times New Roman"/>
          <w:color w:val="auto"/>
          <w:sz w:val="24"/>
        </w:rPr>
        <w:t xml:space="preserve"> o</w:t>
      </w:r>
      <w:r w:rsidR="00835753">
        <w:rPr>
          <w:rFonts w:ascii="Times New Roman" w:hAnsi="Times New Roman"/>
          <w:color w:val="auto"/>
          <w:sz w:val="24"/>
        </w:rPr>
        <w:t> </w:t>
      </w:r>
      <w:r w:rsidR="00835753" w:rsidRPr="00835753">
        <w:rPr>
          <w:rFonts w:ascii="Times New Roman" w:hAnsi="Times New Roman"/>
          <w:color w:val="auto"/>
          <w:sz w:val="24"/>
        </w:rPr>
        <w:t>któ</w:t>
      </w:r>
      <w:r w:rsidRPr="00835753">
        <w:rPr>
          <w:rFonts w:ascii="Times New Roman" w:hAnsi="Times New Roman"/>
          <w:color w:val="auto"/>
          <w:sz w:val="24"/>
        </w:rPr>
        <w:t>rych mowa</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art</w:t>
      </w:r>
      <w:r w:rsidRPr="00835753">
        <w:rPr>
          <w:rFonts w:ascii="Times New Roman" w:hAnsi="Times New Roman"/>
          <w:color w:val="auto"/>
          <w:sz w:val="24"/>
        </w:rPr>
        <w:t>.</w:t>
      </w:r>
      <w:r w:rsidR="00835753" w:rsidRPr="00835753">
        <w:rPr>
          <w:rFonts w:ascii="Times New Roman" w:hAnsi="Times New Roman"/>
          <w:color w:val="auto"/>
          <w:sz w:val="24"/>
        </w:rPr>
        <w:t> </w:t>
      </w:r>
      <w:r w:rsidRPr="00835753">
        <w:rPr>
          <w:rFonts w:ascii="Times New Roman" w:hAnsi="Times New Roman"/>
          <w:color w:val="auto"/>
          <w:sz w:val="24"/>
        </w:rPr>
        <w:t>439 CRR, dotyczące ich ekspozycji na ryzyko kredytowe kontrahenta,</w:t>
      </w:r>
      <w:r w:rsidR="00835753" w:rsidRPr="00835753">
        <w:rPr>
          <w:rFonts w:ascii="Times New Roman" w:hAnsi="Times New Roman"/>
          <w:color w:val="auto"/>
          <w:sz w:val="24"/>
        </w:rPr>
        <w:t xml:space="preserve"> o</w:t>
      </w:r>
      <w:r w:rsidR="00835753">
        <w:rPr>
          <w:rFonts w:ascii="Times New Roman" w:hAnsi="Times New Roman"/>
          <w:color w:val="auto"/>
          <w:sz w:val="24"/>
        </w:rPr>
        <w:t> </w:t>
      </w:r>
      <w:r w:rsidR="00835753" w:rsidRPr="00835753">
        <w:rPr>
          <w:rFonts w:ascii="Times New Roman" w:hAnsi="Times New Roman"/>
          <w:color w:val="auto"/>
          <w:sz w:val="24"/>
        </w:rPr>
        <w:t>któ</w:t>
      </w:r>
      <w:r w:rsidRPr="00835753">
        <w:rPr>
          <w:rFonts w:ascii="Times New Roman" w:hAnsi="Times New Roman"/>
          <w:color w:val="auto"/>
          <w:sz w:val="24"/>
        </w:rPr>
        <w:t>rym mowa</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czę</w:t>
      </w:r>
      <w:r w:rsidRPr="00835753">
        <w:rPr>
          <w:rFonts w:ascii="Times New Roman" w:hAnsi="Times New Roman"/>
          <w:color w:val="auto"/>
          <w:sz w:val="24"/>
        </w:rPr>
        <w:t>ści trzeciej tytuł II rozdział 6 rozporządzenia (UE) nr</w:t>
      </w:r>
      <w:r w:rsidR="00835753" w:rsidRPr="00835753">
        <w:rPr>
          <w:rFonts w:ascii="Times New Roman" w:hAnsi="Times New Roman"/>
          <w:color w:val="auto"/>
          <w:sz w:val="24"/>
        </w:rPr>
        <w:t> </w:t>
      </w:r>
      <w:r w:rsidRPr="00835753">
        <w:rPr>
          <w:rFonts w:ascii="Times New Roman" w:hAnsi="Times New Roman"/>
          <w:color w:val="auto"/>
          <w:sz w:val="24"/>
        </w:rPr>
        <w:t>575/2013</w:t>
      </w:r>
      <w:r w:rsidRPr="00835753">
        <w:rPr>
          <w:rStyle w:val="FootnoteReference"/>
          <w:color w:val="auto"/>
        </w:rPr>
        <w:footnoteReference w:id="41"/>
      </w:r>
      <w:r w:rsidRPr="00835753">
        <w:rPr>
          <w:rFonts w:ascii="Times New Roman" w:hAnsi="Times New Roman"/>
          <w:color w:val="auto"/>
          <w:sz w:val="24"/>
        </w:rPr>
        <w:t xml:space="preserve"> („CRR”), stosując instrukcje zawarte</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nin</w:t>
      </w:r>
      <w:r w:rsidRPr="00835753">
        <w:rPr>
          <w:rFonts w:ascii="Times New Roman" w:hAnsi="Times New Roman"/>
          <w:color w:val="auto"/>
          <w:sz w:val="24"/>
        </w:rPr>
        <w:t xml:space="preserve">iejszym załączniku. </w:t>
      </w:r>
    </w:p>
    <w:p w14:paraId="6F02BE4D" w14:textId="66CD3031" w:rsidR="005710A4" w:rsidRPr="00835753" w:rsidRDefault="00D95507" w:rsidP="005710A4">
      <w:pPr>
        <w:pStyle w:val="Titlelevel2"/>
        <w:spacing w:before="0"/>
        <w:rPr>
          <w:rFonts w:ascii="Times New Roman" w:eastAsiaTheme="minorEastAsia" w:hAnsi="Times New Roman" w:cs="Times New Roman"/>
          <w:bCs w:val="0"/>
          <w:color w:val="000000"/>
          <w:sz w:val="24"/>
        </w:rPr>
      </w:pPr>
      <w:r w:rsidRPr="00835753">
        <w:rPr>
          <w:rFonts w:ascii="Times New Roman" w:hAnsi="Times New Roman"/>
          <w:b/>
          <w:color w:val="auto"/>
          <w:sz w:val="24"/>
        </w:rPr>
        <w:t>Tabela EU CCRA – Ujawnianie informacji jakościowych dotyczących ryzyka kredytowego kontrahenta (CCR):</w:t>
      </w:r>
      <w:r w:rsidRPr="00835753">
        <w:rPr>
          <w:rFonts w:ascii="Times New Roman" w:hAnsi="Times New Roman"/>
          <w:sz w:val="24"/>
        </w:rPr>
        <w:t xml:space="preserve"> </w:t>
      </w:r>
      <w:r w:rsidRPr="00835753">
        <w:rPr>
          <w:rFonts w:ascii="Times New Roman" w:hAnsi="Times New Roman"/>
          <w:bCs w:val="0"/>
          <w:color w:val="000000"/>
          <w:sz w:val="24"/>
        </w:rPr>
        <w:t>Pola na tekst</w:t>
      </w:r>
      <w:r w:rsidR="00835753" w:rsidRPr="00835753">
        <w:rPr>
          <w:rFonts w:ascii="Times New Roman" w:hAnsi="Times New Roman"/>
          <w:bCs w:val="0"/>
          <w:color w:val="000000"/>
          <w:sz w:val="24"/>
        </w:rPr>
        <w:t xml:space="preserve"> o</w:t>
      </w:r>
      <w:r w:rsidR="00835753">
        <w:rPr>
          <w:rFonts w:ascii="Times New Roman" w:hAnsi="Times New Roman"/>
          <w:bCs w:val="0"/>
          <w:color w:val="000000"/>
          <w:sz w:val="24"/>
        </w:rPr>
        <w:t> </w:t>
      </w:r>
      <w:r w:rsidR="00835753" w:rsidRPr="00835753">
        <w:rPr>
          <w:rFonts w:ascii="Times New Roman" w:hAnsi="Times New Roman"/>
          <w:bCs w:val="0"/>
          <w:color w:val="000000"/>
          <w:sz w:val="24"/>
        </w:rPr>
        <w:t>for</w:t>
      </w:r>
      <w:r w:rsidRPr="00835753">
        <w:rPr>
          <w:rFonts w:ascii="Times New Roman" w:hAnsi="Times New Roman"/>
          <w:bCs w:val="0"/>
          <w:color w:val="000000"/>
          <w:sz w:val="24"/>
        </w:rPr>
        <w:t xml:space="preserve">macie dowolnym </w:t>
      </w:r>
    </w:p>
    <w:p w14:paraId="574B95B8" w14:textId="13030CE9" w:rsidR="005710A4" w:rsidRPr="00835753" w:rsidRDefault="005710A4" w:rsidP="005710A4">
      <w:pPr>
        <w:pStyle w:val="Titlelevel2"/>
        <w:numPr>
          <w:ilvl w:val="0"/>
          <w:numId w:val="56"/>
        </w:numPr>
        <w:spacing w:before="0"/>
        <w:jc w:val="both"/>
        <w:rPr>
          <w:rFonts w:ascii="Times New Roman" w:hAnsi="Times New Roman" w:cs="Times New Roman"/>
          <w:sz w:val="24"/>
        </w:rPr>
      </w:pPr>
      <w:r w:rsidRPr="00835753">
        <w:rPr>
          <w:rFonts w:ascii="Times New Roman" w:hAnsi="Times New Roman"/>
          <w:bCs w:val="0"/>
          <w:color w:val="auto"/>
          <w:sz w:val="24"/>
        </w:rPr>
        <w:t xml:space="preserve">W celu wypełnienia tabeli </w:t>
      </w:r>
      <w:r w:rsidRPr="00835753">
        <w:rPr>
          <w:rFonts w:ascii="Times New Roman" w:hAnsi="Times New Roman"/>
          <w:bCs w:val="0"/>
          <w:color w:val="000000"/>
          <w:sz w:val="24"/>
        </w:rPr>
        <w:t>EU CCRA zamieszczonej</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ączniku XXV do niniejszego rozporządzenia wykonawczego instytucje ujawniają informacje</w:t>
      </w:r>
      <w:r w:rsidRPr="00835753">
        <w:rPr>
          <w:rFonts w:ascii="Times New Roman" w:hAnsi="Times New Roman"/>
          <w:bCs w:val="0"/>
          <w:color w:val="auto"/>
          <w:sz w:val="24"/>
        </w:rPr>
        <w:t>,</w:t>
      </w:r>
      <w:r w:rsidR="00835753" w:rsidRPr="00835753">
        <w:rPr>
          <w:rFonts w:ascii="Times New Roman" w:hAnsi="Times New Roman"/>
          <w:bCs w:val="0"/>
          <w:color w:val="auto"/>
          <w:sz w:val="24"/>
        </w:rPr>
        <w:t xml:space="preserve"> o</w:t>
      </w:r>
      <w:r w:rsidR="00835753">
        <w:rPr>
          <w:rFonts w:ascii="Times New Roman" w:hAnsi="Times New Roman"/>
          <w:bCs w:val="0"/>
          <w:color w:val="auto"/>
          <w:sz w:val="24"/>
        </w:rPr>
        <w:t> </w:t>
      </w:r>
      <w:r w:rsidR="00835753" w:rsidRPr="00835753">
        <w:rPr>
          <w:rFonts w:ascii="Times New Roman" w:hAnsi="Times New Roman"/>
          <w:bCs w:val="0"/>
          <w:color w:val="auto"/>
          <w:sz w:val="24"/>
        </w:rPr>
        <w:t>któ</w:t>
      </w:r>
      <w:r w:rsidRPr="00835753">
        <w:rPr>
          <w:rFonts w:ascii="Times New Roman" w:hAnsi="Times New Roman"/>
          <w:bCs w:val="0"/>
          <w:color w:val="auto"/>
          <w:sz w:val="24"/>
        </w:rPr>
        <w:t>rych mowa</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art</w:t>
      </w:r>
      <w:r w:rsidRPr="00835753">
        <w:rPr>
          <w:rFonts w:ascii="Times New Roman" w:hAnsi="Times New Roman"/>
          <w:bCs w:val="0"/>
          <w:color w:val="auto"/>
          <w:sz w:val="24"/>
        </w:rPr>
        <w:t>.</w:t>
      </w:r>
      <w:r w:rsidR="00835753" w:rsidRPr="00835753">
        <w:rPr>
          <w:rFonts w:ascii="Times New Roman" w:hAnsi="Times New Roman"/>
          <w:bCs w:val="0"/>
          <w:color w:val="auto"/>
          <w:sz w:val="24"/>
        </w:rPr>
        <w:t> </w:t>
      </w:r>
      <w:r w:rsidRPr="00835753">
        <w:rPr>
          <w:rFonts w:ascii="Times New Roman" w:hAnsi="Times New Roman"/>
          <w:bCs w:val="0"/>
          <w:color w:val="auto"/>
          <w:sz w:val="24"/>
        </w:rPr>
        <w:t>439 lit.</w:t>
      </w:r>
      <w:r w:rsidR="00835753" w:rsidRPr="00835753">
        <w:rPr>
          <w:rFonts w:ascii="Times New Roman" w:hAnsi="Times New Roman"/>
          <w:bCs w:val="0"/>
          <w:color w:val="auto"/>
          <w:sz w:val="24"/>
        </w:rPr>
        <w:t> </w:t>
      </w:r>
      <w:r w:rsidRPr="00835753">
        <w:rPr>
          <w:rFonts w:ascii="Times New Roman" w:hAnsi="Times New Roman"/>
          <w:bCs w:val="0"/>
          <w:color w:val="auto"/>
          <w:sz w:val="24"/>
        </w:rPr>
        <w:t>a</w:t>
      </w:r>
      <w:proofErr w:type="gramStart"/>
      <w:r w:rsidRPr="00835753">
        <w:rPr>
          <w:rFonts w:ascii="Times New Roman" w:hAnsi="Times New Roman"/>
          <w:bCs w:val="0"/>
          <w:color w:val="auto"/>
          <w:sz w:val="24"/>
        </w:rPr>
        <w:t>)–d</w:t>
      </w:r>
      <w:proofErr w:type="gramEnd"/>
      <w:r w:rsidRPr="00835753">
        <w:rPr>
          <w:rFonts w:ascii="Times New Roman" w:hAnsi="Times New Roman"/>
          <w:bCs w:val="0"/>
          <w:color w:val="auto"/>
          <w:sz w:val="24"/>
        </w:rPr>
        <w:t>) CRR</w:t>
      </w:r>
      <w:r w:rsidRPr="00835753">
        <w:rPr>
          <w:rFonts w:ascii="Times New Roman" w:hAnsi="Times New Roman"/>
          <w:bCs w:val="0"/>
          <w:color w:val="000000"/>
          <w:sz w:val="24"/>
        </w:rPr>
        <w:t>,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pon</w:t>
      </w:r>
      <w:r w:rsidRPr="00835753">
        <w:rPr>
          <w:rFonts w:ascii="Times New Roman" w:hAnsi="Times New Roman"/>
          <w:bCs w:val="0"/>
          <w:color w:val="000000"/>
          <w:sz w:val="24"/>
        </w:rPr>
        <w:t>iższymi instrukcjami zawartymi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835753"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0B039AFE" w:rsidR="005710A4" w:rsidRPr="00835753" w:rsidRDefault="005710A4" w:rsidP="00155C96">
            <w:pPr>
              <w:spacing w:after="24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5710A4" w:rsidRPr="00835753" w14:paraId="0BFA88FC" w14:textId="77777777" w:rsidTr="00155C96">
        <w:trPr>
          <w:trHeight w:val="238"/>
        </w:trPr>
        <w:tc>
          <w:tcPr>
            <w:tcW w:w="1384" w:type="dxa"/>
            <w:shd w:val="clear" w:color="auto" w:fill="D9D9D9" w:themeFill="background1" w:themeFillShade="D9"/>
          </w:tcPr>
          <w:p w14:paraId="66B6CD5F" w14:textId="77777777" w:rsidR="005710A4" w:rsidRPr="00835753" w:rsidRDefault="005710A4" w:rsidP="00155C96">
            <w:pPr>
              <w:autoSpaceDE w:val="0"/>
              <w:autoSpaceDN w:val="0"/>
              <w:adjustRightInd w:val="0"/>
              <w:spacing w:after="24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0DF1B006" w14:textId="77777777" w:rsidR="005710A4" w:rsidRPr="00835753" w:rsidRDefault="005710A4" w:rsidP="00155C96">
            <w:pPr>
              <w:autoSpaceDE w:val="0"/>
              <w:autoSpaceDN w:val="0"/>
              <w:adjustRightInd w:val="0"/>
              <w:spacing w:after="240"/>
              <w:rPr>
                <w:rFonts w:ascii="Times New Roman" w:hAnsi="Times New Roman" w:cs="Times New Roman"/>
                <w:color w:val="000000"/>
                <w:sz w:val="24"/>
              </w:rPr>
            </w:pPr>
            <w:r w:rsidRPr="00835753">
              <w:rPr>
                <w:rFonts w:ascii="Times New Roman" w:hAnsi="Times New Roman"/>
                <w:b/>
                <w:sz w:val="24"/>
              </w:rPr>
              <w:t>Wyjaśnienie</w:t>
            </w:r>
          </w:p>
        </w:tc>
      </w:tr>
      <w:tr w:rsidR="005710A4" w:rsidRPr="00835753" w14:paraId="05665A0F" w14:textId="77777777" w:rsidTr="00155C96">
        <w:trPr>
          <w:trHeight w:val="680"/>
        </w:trPr>
        <w:tc>
          <w:tcPr>
            <w:tcW w:w="1384" w:type="dxa"/>
          </w:tcPr>
          <w:p w14:paraId="2565E4DE" w14:textId="37B41AD5" w:rsidR="005710A4" w:rsidRPr="00835753" w:rsidRDefault="00CB5CCE" w:rsidP="00155C96">
            <w:pPr>
              <w:pStyle w:val="Applicationdirecte"/>
              <w:spacing w:before="0" w:after="240"/>
              <w:jc w:val="center"/>
            </w:pPr>
            <w:proofErr w:type="gramStart"/>
            <w:r w:rsidRPr="00835753">
              <w:t>a</w:t>
            </w:r>
            <w:proofErr w:type="gramEnd"/>
            <w:r w:rsidRPr="00835753">
              <w:t>)</w:t>
            </w:r>
          </w:p>
        </w:tc>
        <w:tc>
          <w:tcPr>
            <w:tcW w:w="7655" w:type="dxa"/>
            <w:vAlign w:val="center"/>
          </w:tcPr>
          <w:p w14:paraId="5109F0C3" w14:textId="0EBE3CA9"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Przy ujawnianiu informacji wymaganych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439 lit.</w:t>
            </w:r>
            <w:r w:rsidR="00835753" w:rsidRPr="00835753">
              <w:rPr>
                <w:rFonts w:ascii="Times New Roman" w:hAnsi="Times New Roman"/>
                <w:sz w:val="24"/>
              </w:rPr>
              <w:t> </w:t>
            </w:r>
            <w:r w:rsidRPr="00835753">
              <w:rPr>
                <w:rFonts w:ascii="Times New Roman" w:hAnsi="Times New Roman"/>
                <w:sz w:val="24"/>
              </w:rPr>
              <w:t>a) CRR instytucje zamieszczają opis metod stosowanych do przypisywania kapitału wewnętrznego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lim</w:t>
            </w:r>
            <w:r w:rsidRPr="00835753">
              <w:rPr>
                <w:rFonts w:ascii="Times New Roman" w:hAnsi="Times New Roman"/>
                <w:sz w:val="24"/>
              </w:rPr>
              <w:t>itów kredytowych do ekspozycji na ryzyko kredytowe kontrahenta,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metody stosowane do przypisywania tych limitów do ekspozycji wobec kontrahentów centralnych.</w:t>
            </w:r>
          </w:p>
        </w:tc>
      </w:tr>
      <w:tr w:rsidR="005710A4" w:rsidRPr="00835753" w14:paraId="77B03842" w14:textId="77777777" w:rsidTr="00155C96">
        <w:trPr>
          <w:trHeight w:val="680"/>
        </w:trPr>
        <w:tc>
          <w:tcPr>
            <w:tcW w:w="1384" w:type="dxa"/>
          </w:tcPr>
          <w:p w14:paraId="4299B689" w14:textId="2744A6CA" w:rsidR="005710A4" w:rsidRPr="00835753" w:rsidRDefault="00CB5CCE" w:rsidP="00155C96">
            <w:pPr>
              <w:pStyle w:val="Applicationdirecte"/>
              <w:spacing w:before="0" w:after="240"/>
              <w:jc w:val="center"/>
            </w:pPr>
            <w:proofErr w:type="gramStart"/>
            <w:r w:rsidRPr="00835753">
              <w:t>b</w:t>
            </w:r>
            <w:proofErr w:type="gramEnd"/>
            <w:r w:rsidRPr="00835753">
              <w:t>)</w:t>
            </w:r>
          </w:p>
        </w:tc>
        <w:tc>
          <w:tcPr>
            <w:tcW w:w="7655" w:type="dxa"/>
          </w:tcPr>
          <w:p w14:paraId="1DFC6B61" w14:textId="1F383B6D" w:rsidR="005710A4" w:rsidRPr="00835753" w:rsidRDefault="005710A4" w:rsidP="00155C96">
            <w:pPr>
              <w:spacing w:after="240"/>
              <w:jc w:val="both"/>
              <w:rPr>
                <w:rFonts w:ascii="Times New Roman" w:eastAsia="Times New Roman" w:hAnsi="Times New Roman" w:cs="Times New Roman"/>
                <w:sz w:val="24"/>
              </w:rPr>
            </w:pPr>
            <w:r w:rsidRPr="00835753">
              <w:rPr>
                <w:rFonts w:ascii="Times New Roman" w:hAnsi="Times New Roman"/>
                <w:sz w:val="24"/>
              </w:rPr>
              <w:t>Przy ujawnianiu informacji wymaganych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439 lit.</w:t>
            </w:r>
            <w:r w:rsidR="00835753" w:rsidRPr="00835753">
              <w:rPr>
                <w:rFonts w:ascii="Times New Roman" w:hAnsi="Times New Roman"/>
                <w:sz w:val="24"/>
              </w:rPr>
              <w:t> </w:t>
            </w:r>
            <w:r w:rsidRPr="00835753">
              <w:rPr>
                <w:rFonts w:ascii="Times New Roman" w:hAnsi="Times New Roman"/>
                <w:sz w:val="24"/>
              </w:rPr>
              <w:t xml:space="preserve">b) CRR instytucje zamieszczają </w:t>
            </w:r>
            <w:r w:rsidRPr="00835753">
              <w:rPr>
                <w:rFonts w:ascii="Times New Roman" w:hAnsi="Times New Roman"/>
                <w:color w:val="000000"/>
                <w:sz w:val="24"/>
              </w:rPr>
              <w:t>opis strategii dotyczących gwarancji</w:t>
            </w:r>
            <w:r w:rsidR="00835753" w:rsidRPr="00835753">
              <w:rPr>
                <w:rFonts w:ascii="Times New Roman" w:hAnsi="Times New Roman"/>
                <w:color w:val="000000"/>
                <w:sz w:val="24"/>
              </w:rPr>
              <w:t xml:space="preserve"> i</w:t>
            </w:r>
            <w:r w:rsidR="00835753">
              <w:rPr>
                <w:rFonts w:ascii="Times New Roman" w:hAnsi="Times New Roman"/>
                <w:color w:val="000000"/>
                <w:sz w:val="24"/>
              </w:rPr>
              <w:t> </w:t>
            </w:r>
            <w:r w:rsidR="00835753" w:rsidRPr="00835753">
              <w:rPr>
                <w:rFonts w:ascii="Times New Roman" w:hAnsi="Times New Roman"/>
                <w:color w:val="000000"/>
                <w:sz w:val="24"/>
              </w:rPr>
              <w:t>inn</w:t>
            </w:r>
            <w:r w:rsidRPr="00835753">
              <w:rPr>
                <w:rFonts w:ascii="Times New Roman" w:hAnsi="Times New Roman"/>
                <w:color w:val="000000"/>
                <w:sz w:val="24"/>
              </w:rPr>
              <w:t>ych czynników łagodzących ryzyko kredytowe, takich jak strategii ustanawiania zabezpieczenia</w:t>
            </w:r>
            <w:r w:rsidR="00835753" w:rsidRPr="00835753">
              <w:rPr>
                <w:rFonts w:ascii="Times New Roman" w:hAnsi="Times New Roman"/>
                <w:color w:val="000000"/>
                <w:sz w:val="24"/>
              </w:rPr>
              <w:t xml:space="preserve"> i</w:t>
            </w:r>
            <w:r w:rsidR="00835753">
              <w:rPr>
                <w:rFonts w:ascii="Times New Roman" w:hAnsi="Times New Roman"/>
                <w:color w:val="000000"/>
                <w:sz w:val="24"/>
              </w:rPr>
              <w:t> </w:t>
            </w:r>
            <w:r w:rsidR="00835753" w:rsidRPr="00835753">
              <w:rPr>
                <w:rFonts w:ascii="Times New Roman" w:hAnsi="Times New Roman"/>
                <w:color w:val="000000"/>
                <w:sz w:val="24"/>
              </w:rPr>
              <w:t>ust</w:t>
            </w:r>
            <w:r w:rsidRPr="00835753">
              <w:rPr>
                <w:rFonts w:ascii="Times New Roman" w:hAnsi="Times New Roman"/>
                <w:color w:val="000000"/>
                <w:sz w:val="24"/>
              </w:rPr>
              <w:t>alania rezerw kredytowych.</w:t>
            </w:r>
          </w:p>
        </w:tc>
      </w:tr>
      <w:tr w:rsidR="005710A4" w:rsidRPr="00835753" w14:paraId="16AFFB4D" w14:textId="77777777" w:rsidTr="00155C96">
        <w:trPr>
          <w:trHeight w:val="436"/>
        </w:trPr>
        <w:tc>
          <w:tcPr>
            <w:tcW w:w="1384" w:type="dxa"/>
          </w:tcPr>
          <w:p w14:paraId="3E6B3BE1" w14:textId="30FE8EAD" w:rsidR="005710A4" w:rsidRPr="00835753" w:rsidRDefault="00CB5CCE" w:rsidP="00155C96">
            <w:pPr>
              <w:pStyle w:val="Applicationdirecte"/>
              <w:spacing w:before="0" w:after="240"/>
              <w:jc w:val="center"/>
            </w:pPr>
            <w:proofErr w:type="gramStart"/>
            <w:r w:rsidRPr="00835753">
              <w:t>c</w:t>
            </w:r>
            <w:proofErr w:type="gramEnd"/>
            <w:r w:rsidRPr="00835753">
              <w:t>)</w:t>
            </w:r>
          </w:p>
        </w:tc>
        <w:tc>
          <w:tcPr>
            <w:tcW w:w="7655" w:type="dxa"/>
          </w:tcPr>
          <w:p w14:paraId="32E502FA" w14:textId="5830B050" w:rsidR="005710A4" w:rsidRPr="00835753" w:rsidRDefault="005710A4" w:rsidP="00155C96">
            <w:pPr>
              <w:spacing w:after="240"/>
              <w:jc w:val="both"/>
              <w:rPr>
                <w:rFonts w:ascii="Times New Roman" w:eastAsia="Times New Roman" w:hAnsi="Times New Roman" w:cs="Times New Roman"/>
                <w:sz w:val="24"/>
              </w:rPr>
            </w:pPr>
            <w:r w:rsidRPr="00835753">
              <w:rPr>
                <w:rFonts w:ascii="Times New Roman" w:hAnsi="Times New Roman"/>
                <w:sz w:val="24"/>
              </w:rPr>
              <w:t>Przy ujawnianiu informacji wymaganych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439 lit.</w:t>
            </w:r>
            <w:r w:rsidR="00835753" w:rsidRPr="00835753">
              <w:rPr>
                <w:rFonts w:ascii="Times New Roman" w:hAnsi="Times New Roman"/>
                <w:sz w:val="24"/>
              </w:rPr>
              <w:t> </w:t>
            </w:r>
            <w:r w:rsidRPr="00835753">
              <w:rPr>
                <w:rFonts w:ascii="Times New Roman" w:hAnsi="Times New Roman"/>
                <w:sz w:val="24"/>
              </w:rPr>
              <w:t xml:space="preserve">c) CRR instytucje zamieszczają </w:t>
            </w:r>
            <w:r w:rsidRPr="00835753">
              <w:rPr>
                <w:rFonts w:ascii="Times New Roman" w:hAnsi="Times New Roman"/>
                <w:color w:val="000000"/>
                <w:sz w:val="24"/>
              </w:rPr>
              <w:t>o</w:t>
            </w:r>
            <w:r w:rsidRPr="00835753">
              <w:rPr>
                <w:rFonts w:ascii="Times New Roman" w:hAnsi="Times New Roman"/>
                <w:sz w:val="24"/>
              </w:rPr>
              <w:t>pis strategii dotyczących ryzyka korelacji określonego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291 CRR.</w:t>
            </w:r>
          </w:p>
        </w:tc>
      </w:tr>
      <w:tr w:rsidR="005710A4" w:rsidRPr="00835753" w14:paraId="61203F55" w14:textId="77777777" w:rsidTr="00155C96">
        <w:trPr>
          <w:trHeight w:val="557"/>
        </w:trPr>
        <w:tc>
          <w:tcPr>
            <w:tcW w:w="1384" w:type="dxa"/>
          </w:tcPr>
          <w:p w14:paraId="78488193" w14:textId="7B1F25E0" w:rsidR="005710A4" w:rsidRPr="00835753" w:rsidRDefault="00CB5CCE" w:rsidP="00155C96">
            <w:pPr>
              <w:pStyle w:val="Applicationdirecte"/>
              <w:spacing w:before="0" w:after="240"/>
              <w:jc w:val="center"/>
            </w:pPr>
            <w:proofErr w:type="gramStart"/>
            <w:r w:rsidRPr="00835753">
              <w:t>d</w:t>
            </w:r>
            <w:proofErr w:type="gramEnd"/>
            <w:r w:rsidRPr="00835753">
              <w:t>)</w:t>
            </w:r>
          </w:p>
        </w:tc>
        <w:tc>
          <w:tcPr>
            <w:tcW w:w="7655" w:type="dxa"/>
          </w:tcPr>
          <w:p w14:paraId="109FE4FC" w14:textId="5497E80B" w:rsidR="005710A4" w:rsidRPr="00835753" w:rsidRDefault="005710A4" w:rsidP="00155C96">
            <w:pPr>
              <w:spacing w:after="240"/>
              <w:jc w:val="both"/>
              <w:rPr>
                <w:rFonts w:ascii="Times New Roman" w:hAnsi="Times New Roman" w:cs="Times New Roman"/>
                <w:color w:val="000000"/>
                <w:sz w:val="24"/>
              </w:rPr>
            </w:pPr>
            <w:r w:rsidRPr="00835753">
              <w:rPr>
                <w:rFonts w:ascii="Times New Roman" w:hAnsi="Times New Roman"/>
                <w:color w:val="000000"/>
                <w:sz w:val="24"/>
              </w:rPr>
              <w:t>Zgodnie</w:t>
            </w:r>
            <w:r w:rsidR="00835753" w:rsidRPr="00835753">
              <w:rPr>
                <w:rFonts w:ascii="Times New Roman" w:hAnsi="Times New Roman"/>
                <w:color w:val="000000"/>
                <w:sz w:val="24"/>
              </w:rPr>
              <w:t xml:space="preserve"> z</w:t>
            </w:r>
            <w:r w:rsidR="00835753">
              <w:rPr>
                <w:rFonts w:ascii="Times New Roman" w:hAnsi="Times New Roman"/>
                <w:color w:val="000000"/>
                <w:sz w:val="24"/>
              </w:rPr>
              <w:t> </w:t>
            </w:r>
            <w:r w:rsidR="00835753" w:rsidRPr="00835753">
              <w:rPr>
                <w:rFonts w:ascii="Times New Roman" w:hAnsi="Times New Roman"/>
                <w:color w:val="000000"/>
                <w:sz w:val="24"/>
              </w:rPr>
              <w:t>art</w:t>
            </w:r>
            <w:r w:rsidRPr="00835753">
              <w:rPr>
                <w:rFonts w:ascii="Times New Roman" w:hAnsi="Times New Roman"/>
                <w:color w:val="000000"/>
                <w:sz w:val="24"/>
              </w:rPr>
              <w:t>.</w:t>
            </w:r>
            <w:r w:rsidR="00835753" w:rsidRPr="00835753">
              <w:rPr>
                <w:rFonts w:ascii="Times New Roman" w:hAnsi="Times New Roman"/>
                <w:color w:val="000000"/>
                <w:sz w:val="24"/>
              </w:rPr>
              <w:t> </w:t>
            </w:r>
            <w:r w:rsidRPr="00835753">
              <w:rPr>
                <w:rFonts w:ascii="Times New Roman" w:hAnsi="Times New Roman"/>
                <w:color w:val="000000"/>
                <w:sz w:val="24"/>
              </w:rPr>
              <w:t>431 ust.</w:t>
            </w:r>
            <w:r w:rsidR="00835753" w:rsidRPr="00835753">
              <w:rPr>
                <w:rFonts w:ascii="Times New Roman" w:hAnsi="Times New Roman"/>
                <w:color w:val="000000"/>
                <w:sz w:val="24"/>
              </w:rPr>
              <w:t> </w:t>
            </w:r>
            <w:r w:rsidRPr="00835753">
              <w:rPr>
                <w:rFonts w:ascii="Times New Roman" w:hAnsi="Times New Roman"/>
                <w:color w:val="000000"/>
                <w:sz w:val="24"/>
              </w:rPr>
              <w:t>3</w:t>
            </w:r>
            <w:r w:rsidR="00835753" w:rsidRPr="00835753">
              <w:rPr>
                <w:rFonts w:ascii="Times New Roman" w:hAnsi="Times New Roman"/>
                <w:color w:val="000000"/>
                <w:sz w:val="24"/>
              </w:rPr>
              <w:t xml:space="preserve"> i</w:t>
            </w:r>
            <w:r w:rsidR="00835753">
              <w:rPr>
                <w:rFonts w:ascii="Times New Roman" w:hAnsi="Times New Roman"/>
                <w:color w:val="000000"/>
                <w:sz w:val="24"/>
              </w:rPr>
              <w:t> </w:t>
            </w:r>
            <w:r w:rsidR="00835753" w:rsidRPr="00835753">
              <w:rPr>
                <w:rFonts w:ascii="Times New Roman" w:hAnsi="Times New Roman"/>
                <w:color w:val="000000"/>
                <w:sz w:val="24"/>
              </w:rPr>
              <w:t>4</w:t>
            </w:r>
            <w:r w:rsidRPr="00835753">
              <w:rPr>
                <w:rFonts w:ascii="Times New Roman" w:hAnsi="Times New Roman"/>
                <w:color w:val="000000"/>
                <w:sz w:val="24"/>
              </w:rPr>
              <w:t xml:space="preserve"> CRR instytucje uzupełniają powyższe informacje informacjami na temat wszelkich innych celów</w:t>
            </w:r>
            <w:r w:rsidR="00835753" w:rsidRPr="00835753">
              <w:rPr>
                <w:rFonts w:ascii="Times New Roman" w:hAnsi="Times New Roman"/>
                <w:color w:val="000000"/>
                <w:sz w:val="24"/>
              </w:rPr>
              <w:t xml:space="preserve"> w</w:t>
            </w:r>
            <w:r w:rsidR="00835753">
              <w:rPr>
                <w:rFonts w:ascii="Times New Roman" w:hAnsi="Times New Roman"/>
                <w:color w:val="000000"/>
                <w:sz w:val="24"/>
              </w:rPr>
              <w:t> </w:t>
            </w:r>
            <w:r w:rsidR="00835753" w:rsidRPr="00835753">
              <w:rPr>
                <w:rFonts w:ascii="Times New Roman" w:hAnsi="Times New Roman"/>
                <w:color w:val="000000"/>
                <w:sz w:val="24"/>
              </w:rPr>
              <w:t>zak</w:t>
            </w:r>
            <w:r w:rsidRPr="00835753">
              <w:rPr>
                <w:rFonts w:ascii="Times New Roman" w:hAnsi="Times New Roman"/>
                <w:color w:val="000000"/>
                <w:sz w:val="24"/>
              </w:rPr>
              <w:t>resie zarządzania ryzykiem oraz odpowiednich strategii powiązanych</w:t>
            </w:r>
            <w:r w:rsidR="00835753" w:rsidRPr="00835753">
              <w:rPr>
                <w:rFonts w:ascii="Times New Roman" w:hAnsi="Times New Roman"/>
                <w:color w:val="000000"/>
                <w:sz w:val="24"/>
              </w:rPr>
              <w:t xml:space="preserve"> z</w:t>
            </w:r>
            <w:r w:rsidR="00835753">
              <w:rPr>
                <w:rFonts w:ascii="Times New Roman" w:hAnsi="Times New Roman"/>
                <w:color w:val="000000"/>
                <w:sz w:val="24"/>
              </w:rPr>
              <w:t> </w:t>
            </w:r>
            <w:r w:rsidR="00835753" w:rsidRPr="00835753">
              <w:rPr>
                <w:rFonts w:ascii="Times New Roman" w:hAnsi="Times New Roman"/>
                <w:color w:val="000000"/>
                <w:sz w:val="24"/>
              </w:rPr>
              <w:t>ryz</w:t>
            </w:r>
            <w:r w:rsidRPr="00835753">
              <w:rPr>
                <w:rFonts w:ascii="Times New Roman" w:hAnsi="Times New Roman"/>
                <w:color w:val="000000"/>
                <w:sz w:val="24"/>
              </w:rPr>
              <w:t>ykiem kredytowym kontrahenta.</w:t>
            </w:r>
          </w:p>
        </w:tc>
      </w:tr>
      <w:tr w:rsidR="005710A4" w:rsidRPr="00835753" w14:paraId="539DBB08" w14:textId="77777777" w:rsidTr="00155C96">
        <w:trPr>
          <w:trHeight w:val="557"/>
        </w:trPr>
        <w:tc>
          <w:tcPr>
            <w:tcW w:w="1384" w:type="dxa"/>
          </w:tcPr>
          <w:p w14:paraId="2D2A8B07" w14:textId="76794BB1" w:rsidR="005710A4" w:rsidRPr="00835753" w:rsidRDefault="00CB5CCE" w:rsidP="000561D1">
            <w:pPr>
              <w:pStyle w:val="Applicationdirecte"/>
              <w:spacing w:before="0" w:after="240"/>
              <w:jc w:val="center"/>
            </w:pPr>
            <w:proofErr w:type="gramStart"/>
            <w:r w:rsidRPr="00835753">
              <w:lastRenderedPageBreak/>
              <w:t>e</w:t>
            </w:r>
            <w:proofErr w:type="gramEnd"/>
            <w:r w:rsidRPr="00835753">
              <w:t>)</w:t>
            </w:r>
          </w:p>
        </w:tc>
        <w:tc>
          <w:tcPr>
            <w:tcW w:w="7655" w:type="dxa"/>
          </w:tcPr>
          <w:p w14:paraId="54245BA4" w14:textId="709AEBFD" w:rsidR="005710A4" w:rsidRPr="00835753" w:rsidRDefault="005710A4" w:rsidP="00155C96">
            <w:pPr>
              <w:spacing w:after="240"/>
              <w:jc w:val="both"/>
              <w:rPr>
                <w:rFonts w:ascii="Times New Roman" w:hAnsi="Times New Roman" w:cs="Times New Roman"/>
                <w:color w:val="000000"/>
                <w:sz w:val="24"/>
              </w:rPr>
            </w:pPr>
            <w:r w:rsidRPr="00835753">
              <w:rPr>
                <w:rFonts w:ascii="Times New Roman" w:hAnsi="Times New Roman"/>
                <w:color w:val="000000"/>
                <w:sz w:val="24"/>
              </w:rPr>
              <w:t>Przy ujawnianiu informacji wymaganych zgodnie</w:t>
            </w:r>
            <w:r w:rsidR="00835753" w:rsidRPr="00835753">
              <w:rPr>
                <w:rFonts w:ascii="Times New Roman" w:hAnsi="Times New Roman"/>
                <w:color w:val="000000"/>
                <w:sz w:val="24"/>
              </w:rPr>
              <w:t xml:space="preserve"> z</w:t>
            </w:r>
            <w:r w:rsidR="00835753">
              <w:rPr>
                <w:rFonts w:ascii="Times New Roman" w:hAnsi="Times New Roman"/>
                <w:color w:val="000000"/>
                <w:sz w:val="24"/>
              </w:rPr>
              <w:t> </w:t>
            </w:r>
            <w:r w:rsidR="00835753" w:rsidRPr="00835753">
              <w:rPr>
                <w:rFonts w:ascii="Times New Roman" w:hAnsi="Times New Roman"/>
                <w:color w:val="000000"/>
                <w:sz w:val="24"/>
              </w:rPr>
              <w:t>art</w:t>
            </w:r>
            <w:r w:rsidRPr="00835753">
              <w:rPr>
                <w:rFonts w:ascii="Times New Roman" w:hAnsi="Times New Roman"/>
                <w:color w:val="000000"/>
                <w:sz w:val="24"/>
              </w:rPr>
              <w:t>.</w:t>
            </w:r>
            <w:r w:rsidR="00835753" w:rsidRPr="00835753">
              <w:rPr>
                <w:rFonts w:ascii="Times New Roman" w:hAnsi="Times New Roman"/>
                <w:color w:val="000000"/>
                <w:sz w:val="24"/>
              </w:rPr>
              <w:t> </w:t>
            </w:r>
            <w:r w:rsidRPr="00835753">
              <w:rPr>
                <w:rFonts w:ascii="Times New Roman" w:hAnsi="Times New Roman"/>
                <w:color w:val="000000"/>
                <w:sz w:val="24"/>
              </w:rPr>
              <w:t>439 lit.</w:t>
            </w:r>
            <w:r w:rsidR="00835753" w:rsidRPr="00835753">
              <w:rPr>
                <w:rFonts w:ascii="Times New Roman" w:hAnsi="Times New Roman"/>
                <w:color w:val="000000"/>
                <w:sz w:val="24"/>
              </w:rPr>
              <w:t> </w:t>
            </w:r>
            <w:r w:rsidRPr="00835753">
              <w:rPr>
                <w:rFonts w:ascii="Times New Roman" w:hAnsi="Times New Roman"/>
                <w:color w:val="000000"/>
                <w:sz w:val="24"/>
              </w:rPr>
              <w:t xml:space="preserve">d) CRR instytucje przedstawiają kwotę zabezpieczenia, jakie instytucje musiałyby zapewnić przy obniżeniu oceny ich wiarygodności kredytowej. </w:t>
            </w:r>
          </w:p>
          <w:p w14:paraId="11DC8317" w14:textId="3016A33B" w:rsidR="005710A4" w:rsidRPr="00835753" w:rsidRDefault="005710A4" w:rsidP="00155C96">
            <w:pPr>
              <w:spacing w:after="240"/>
              <w:jc w:val="both"/>
              <w:rPr>
                <w:rFonts w:ascii="Times New Roman" w:eastAsia="Times New Roman" w:hAnsi="Times New Roman" w:cs="Times New Roman"/>
                <w:sz w:val="24"/>
              </w:rPr>
            </w:pPr>
            <w:r w:rsidRPr="00835753">
              <w:rPr>
                <w:rFonts w:ascii="Times New Roman" w:hAnsi="Times New Roman"/>
                <w:color w:val="000000"/>
                <w:sz w:val="24"/>
              </w:rPr>
              <w:t>Jeżeli bank centralny państwa członkowskiego zobowiązał się do udzielenia wsparcia płynnościowego</w:t>
            </w:r>
            <w:r w:rsidR="00835753" w:rsidRPr="00835753">
              <w:rPr>
                <w:rFonts w:ascii="Times New Roman" w:hAnsi="Times New Roman"/>
                <w:color w:val="000000"/>
                <w:sz w:val="24"/>
              </w:rPr>
              <w:t xml:space="preserve"> w</w:t>
            </w:r>
            <w:r w:rsidR="00835753">
              <w:rPr>
                <w:rFonts w:ascii="Times New Roman" w:hAnsi="Times New Roman"/>
                <w:color w:val="000000"/>
                <w:sz w:val="24"/>
              </w:rPr>
              <w:t> </w:t>
            </w:r>
            <w:r w:rsidR="00835753" w:rsidRPr="00835753">
              <w:rPr>
                <w:rFonts w:ascii="Times New Roman" w:hAnsi="Times New Roman"/>
                <w:color w:val="000000"/>
                <w:sz w:val="24"/>
              </w:rPr>
              <w:t>for</w:t>
            </w:r>
            <w:r w:rsidRPr="00835753">
              <w:rPr>
                <w:rFonts w:ascii="Times New Roman" w:hAnsi="Times New Roman"/>
                <w:color w:val="000000"/>
                <w:sz w:val="24"/>
              </w:rPr>
              <w:t>mie transakcji zabezpieczających swap, właściwy organ może zwolnić instytucje</w:t>
            </w:r>
            <w:r w:rsidR="00835753" w:rsidRPr="00835753">
              <w:rPr>
                <w:rFonts w:ascii="Times New Roman" w:hAnsi="Times New Roman"/>
                <w:color w:val="000000"/>
                <w:sz w:val="24"/>
              </w:rPr>
              <w:t xml:space="preserve"> z</w:t>
            </w:r>
            <w:r w:rsidR="00835753">
              <w:rPr>
                <w:rFonts w:ascii="Times New Roman" w:hAnsi="Times New Roman"/>
                <w:color w:val="000000"/>
                <w:sz w:val="24"/>
              </w:rPr>
              <w:t> </w:t>
            </w:r>
            <w:r w:rsidR="00835753" w:rsidRPr="00835753">
              <w:rPr>
                <w:rFonts w:ascii="Times New Roman" w:hAnsi="Times New Roman"/>
                <w:color w:val="000000"/>
                <w:sz w:val="24"/>
              </w:rPr>
              <w:t>obo</w:t>
            </w:r>
            <w:r w:rsidRPr="00835753">
              <w:rPr>
                <w:rFonts w:ascii="Times New Roman" w:hAnsi="Times New Roman"/>
                <w:color w:val="000000"/>
                <w:sz w:val="24"/>
              </w:rPr>
              <w:t>wiązku przekazania takich informacji, jeżeli uzna, że ich ujawnienie mogłoby doprowadzić do upublicznienia faktu, że dana instytucja korzysta</w:t>
            </w:r>
            <w:r w:rsidR="00835753" w:rsidRPr="00835753">
              <w:rPr>
                <w:rFonts w:ascii="Times New Roman" w:hAnsi="Times New Roman"/>
                <w:color w:val="000000"/>
                <w:sz w:val="24"/>
              </w:rPr>
              <w:t xml:space="preserve"> z</w:t>
            </w:r>
            <w:r w:rsidR="00835753">
              <w:rPr>
                <w:rFonts w:ascii="Times New Roman" w:hAnsi="Times New Roman"/>
                <w:color w:val="000000"/>
                <w:sz w:val="24"/>
              </w:rPr>
              <w:t> </w:t>
            </w:r>
            <w:r w:rsidR="00835753" w:rsidRPr="00835753">
              <w:rPr>
                <w:rFonts w:ascii="Times New Roman" w:hAnsi="Times New Roman"/>
                <w:color w:val="000000"/>
                <w:sz w:val="24"/>
              </w:rPr>
              <w:t>awa</w:t>
            </w:r>
            <w:r w:rsidRPr="00835753">
              <w:rPr>
                <w:rFonts w:ascii="Times New Roman" w:hAnsi="Times New Roman"/>
                <w:color w:val="000000"/>
                <w:sz w:val="24"/>
              </w:rPr>
              <w:t>ryjnego wsparcia płynnościowego</w:t>
            </w:r>
            <w:r w:rsidR="00835753" w:rsidRPr="00835753">
              <w:rPr>
                <w:rFonts w:ascii="Times New Roman" w:hAnsi="Times New Roman"/>
                <w:color w:val="000000"/>
                <w:sz w:val="24"/>
              </w:rPr>
              <w:t>. W</w:t>
            </w:r>
            <w:r w:rsidR="00835753">
              <w:rPr>
                <w:rFonts w:ascii="Times New Roman" w:hAnsi="Times New Roman"/>
                <w:color w:val="000000"/>
                <w:sz w:val="24"/>
              </w:rPr>
              <w:t> </w:t>
            </w:r>
            <w:r w:rsidR="00835753" w:rsidRPr="00835753">
              <w:rPr>
                <w:rFonts w:ascii="Times New Roman" w:hAnsi="Times New Roman"/>
                <w:color w:val="000000"/>
                <w:sz w:val="24"/>
              </w:rPr>
              <w:t>tym</w:t>
            </w:r>
            <w:r w:rsidRPr="00835753">
              <w:rPr>
                <w:rFonts w:ascii="Times New Roman" w:hAnsi="Times New Roman"/>
                <w:color w:val="000000"/>
                <w:sz w:val="24"/>
              </w:rPr>
              <w:t xml:space="preserve"> celu właściwy organ ustanawia odpowiednie progi</w:t>
            </w:r>
            <w:r w:rsidR="00835753" w:rsidRPr="00835753">
              <w:rPr>
                <w:rFonts w:ascii="Times New Roman" w:hAnsi="Times New Roman"/>
                <w:color w:val="000000"/>
                <w:sz w:val="24"/>
              </w:rPr>
              <w:t xml:space="preserve"> i</w:t>
            </w:r>
            <w:r w:rsidR="00835753">
              <w:rPr>
                <w:rFonts w:ascii="Times New Roman" w:hAnsi="Times New Roman"/>
                <w:color w:val="000000"/>
                <w:sz w:val="24"/>
              </w:rPr>
              <w:t> </w:t>
            </w:r>
            <w:r w:rsidR="00835753" w:rsidRPr="00835753">
              <w:rPr>
                <w:rFonts w:ascii="Times New Roman" w:hAnsi="Times New Roman"/>
                <w:color w:val="000000"/>
                <w:sz w:val="24"/>
              </w:rPr>
              <w:t>obi</w:t>
            </w:r>
            <w:r w:rsidRPr="00835753">
              <w:rPr>
                <w:rFonts w:ascii="Times New Roman" w:hAnsi="Times New Roman"/>
                <w:color w:val="000000"/>
                <w:sz w:val="24"/>
              </w:rPr>
              <w:t>ektywne kryteria.</w:t>
            </w:r>
          </w:p>
        </w:tc>
      </w:tr>
    </w:tbl>
    <w:p w14:paraId="651D0C27" w14:textId="77777777" w:rsidR="005710A4" w:rsidRPr="00835753" w:rsidRDefault="005710A4" w:rsidP="005710A4">
      <w:pPr>
        <w:pStyle w:val="Titlelevel2"/>
        <w:spacing w:before="0"/>
        <w:rPr>
          <w:rFonts w:ascii="Times New Roman" w:hAnsi="Times New Roman" w:cs="Times New Roman"/>
          <w:b/>
          <w:color w:val="auto"/>
          <w:sz w:val="24"/>
        </w:rPr>
      </w:pPr>
    </w:p>
    <w:p w14:paraId="266823BD" w14:textId="4A597791" w:rsidR="005710A4" w:rsidRPr="00835753" w:rsidRDefault="00CD362D" w:rsidP="005710A4">
      <w:pPr>
        <w:pStyle w:val="Titlelevel2"/>
        <w:spacing w:before="0"/>
        <w:rPr>
          <w:rFonts w:ascii="Times New Roman" w:hAnsi="Times New Roman" w:cs="Times New Roman"/>
          <w:color w:val="auto"/>
          <w:sz w:val="24"/>
        </w:rPr>
      </w:pPr>
      <w:r w:rsidRPr="00835753">
        <w:rPr>
          <w:rFonts w:ascii="Times New Roman" w:hAnsi="Times New Roman"/>
          <w:b/>
          <w:color w:val="auto"/>
          <w:sz w:val="24"/>
        </w:rPr>
        <w:t xml:space="preserve">Wzór EU CCR1 – Analiza ekspozycji na ryzyko kredytowe kontrahenta (CCR) według metody </w:t>
      </w:r>
      <w:r w:rsidRPr="00835753">
        <w:rPr>
          <w:rFonts w:ascii="Times New Roman" w:hAnsi="Times New Roman"/>
          <w:color w:val="auto"/>
          <w:sz w:val="24"/>
        </w:rPr>
        <w:t>Format stały</w:t>
      </w:r>
    </w:p>
    <w:p w14:paraId="042FCEE6" w14:textId="2D45C136" w:rsidR="005710A4" w:rsidRPr="00835753"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35753">
        <w:rPr>
          <w:rFonts w:ascii="Times New Roman" w:hAnsi="Times New Roman"/>
          <w:bCs w:val="0"/>
          <w:color w:val="000000"/>
          <w:sz w:val="24"/>
        </w:rPr>
        <w:t>W celu wypełnienia wzoru EU CCR1 zamieszczonego</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ączniku XXV do niniejszego rozporządzenia wykonawczego instytucje ujawniają informacje,</w:t>
      </w:r>
      <w:r w:rsidR="00835753" w:rsidRPr="00835753">
        <w:rPr>
          <w:rFonts w:ascii="Times New Roman" w:hAnsi="Times New Roman"/>
          <w:bCs w:val="0"/>
          <w:color w:val="000000"/>
          <w:sz w:val="24"/>
        </w:rPr>
        <w:t xml:space="preserve"> o</w:t>
      </w:r>
      <w:r w:rsidR="00835753">
        <w:rPr>
          <w:rFonts w:ascii="Times New Roman" w:hAnsi="Times New Roman"/>
          <w:bCs w:val="0"/>
          <w:color w:val="000000"/>
          <w:sz w:val="24"/>
        </w:rPr>
        <w:t> </w:t>
      </w:r>
      <w:r w:rsidR="00835753" w:rsidRPr="00835753">
        <w:rPr>
          <w:rFonts w:ascii="Times New Roman" w:hAnsi="Times New Roman"/>
          <w:bCs w:val="0"/>
          <w:color w:val="000000"/>
          <w:sz w:val="24"/>
        </w:rPr>
        <w:t>któ</w:t>
      </w:r>
      <w:r w:rsidRPr="00835753">
        <w:rPr>
          <w:rFonts w:ascii="Times New Roman" w:hAnsi="Times New Roman"/>
          <w:bCs w:val="0"/>
          <w:color w:val="000000"/>
          <w:sz w:val="24"/>
        </w:rPr>
        <w:t>rych mowa</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439 lit.</w:t>
      </w:r>
      <w:r w:rsidR="00835753" w:rsidRPr="00835753">
        <w:rPr>
          <w:rFonts w:ascii="Times New Roman" w:hAnsi="Times New Roman"/>
          <w:bCs w:val="0"/>
          <w:color w:val="000000"/>
          <w:sz w:val="24"/>
        </w:rPr>
        <w:t> </w:t>
      </w:r>
      <w:r w:rsidRPr="00835753">
        <w:rPr>
          <w:rFonts w:ascii="Times New Roman" w:hAnsi="Times New Roman"/>
          <w:bCs w:val="0"/>
          <w:color w:val="000000"/>
          <w:sz w:val="24"/>
        </w:rPr>
        <w:t>f), g) i k) CRR,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pon</w:t>
      </w:r>
      <w:r w:rsidRPr="00835753">
        <w:rPr>
          <w:rFonts w:ascii="Times New Roman" w:hAnsi="Times New Roman"/>
          <w:bCs w:val="0"/>
          <w:color w:val="000000"/>
          <w:sz w:val="24"/>
        </w:rPr>
        <w:t>iższymi instrukcjami zawartymi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załączniku.</w:t>
      </w:r>
    </w:p>
    <w:p w14:paraId="3920FABD" w14:textId="7F83445E" w:rsidR="005710A4" w:rsidRPr="00835753" w:rsidRDefault="005710A4" w:rsidP="005710A4">
      <w:pPr>
        <w:pStyle w:val="Titlelevel2"/>
        <w:numPr>
          <w:ilvl w:val="0"/>
          <w:numId w:val="56"/>
        </w:numPr>
        <w:spacing w:before="0"/>
        <w:jc w:val="both"/>
        <w:rPr>
          <w:rFonts w:ascii="Times New Roman" w:hAnsi="Times New Roman" w:cs="Times New Roman"/>
          <w:color w:val="auto"/>
          <w:sz w:val="24"/>
        </w:rPr>
      </w:pPr>
      <w:r w:rsidRPr="00835753">
        <w:rPr>
          <w:rFonts w:ascii="Times New Roman" w:hAnsi="Times New Roman"/>
          <w:bCs w:val="0"/>
          <w:color w:val="000000"/>
          <w:sz w:val="24"/>
        </w:rPr>
        <w:t>Z obliczeń przeprowadzanych na potrzeby tego wzoru wyłączono wymogi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zak</w:t>
      </w:r>
      <w:r w:rsidRPr="00835753">
        <w:rPr>
          <w:rFonts w:ascii="Times New Roman" w:hAnsi="Times New Roman"/>
          <w:bCs w:val="0"/>
          <w:color w:val="000000"/>
          <w:sz w:val="24"/>
        </w:rPr>
        <w:t>resie funduszy własnych</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tyt</w:t>
      </w:r>
      <w:r w:rsidRPr="00835753">
        <w:rPr>
          <w:rFonts w:ascii="Times New Roman" w:hAnsi="Times New Roman"/>
          <w:bCs w:val="0"/>
          <w:color w:val="000000"/>
          <w:sz w:val="24"/>
        </w:rPr>
        <w:t>ułu ryzyka związanego</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kor</w:t>
      </w:r>
      <w:r w:rsidRPr="00835753">
        <w:rPr>
          <w:rFonts w:ascii="Times New Roman" w:hAnsi="Times New Roman"/>
          <w:bCs w:val="0"/>
          <w:color w:val="000000"/>
          <w:sz w:val="24"/>
        </w:rPr>
        <w:t>ektą wyceny kredytowej (część trzecia tytuł VI CRR) oraz ekspozycje wobec kontrahenta centralnego (część trzecia tytuł II rozdział 6 sekcja 9 CRR) zdefiniowane na potrzeby wzoru EU CCR8</w:t>
      </w:r>
      <w:r w:rsidR="00835753" w:rsidRPr="00835753">
        <w:rPr>
          <w:rFonts w:ascii="Times New Roman" w:hAnsi="Times New Roman"/>
          <w:bCs w:val="0"/>
          <w:color w:val="000000"/>
          <w:sz w:val="24"/>
        </w:rPr>
        <w:t>.</w:t>
      </w:r>
      <w:r w:rsidR="00835753" w:rsidRPr="00835753">
        <w:t xml:space="preserve"> </w:t>
      </w:r>
      <w:r w:rsidR="00835753" w:rsidRPr="00835753">
        <w:rPr>
          <w:rFonts w:ascii="Times New Roman" w:hAnsi="Times New Roman"/>
          <w:bCs w:val="0"/>
          <w:color w:val="000000"/>
          <w:sz w:val="24"/>
        </w:rPr>
        <w:t>W</w:t>
      </w:r>
      <w:r w:rsidR="00835753">
        <w:rPr>
          <w:rFonts w:ascii="Times New Roman" w:hAnsi="Times New Roman"/>
          <w:bCs w:val="0"/>
          <w:color w:val="000000"/>
          <w:sz w:val="24"/>
        </w:rPr>
        <w:t> </w:t>
      </w:r>
      <w:r w:rsidR="00835753" w:rsidRPr="00835753">
        <w:rPr>
          <w:rFonts w:ascii="Times New Roman" w:hAnsi="Times New Roman"/>
          <w:bCs w:val="0"/>
          <w:color w:val="000000"/>
          <w:sz w:val="24"/>
        </w:rPr>
        <w:t>prz</w:t>
      </w:r>
      <w:r w:rsidRPr="00835753">
        <w:rPr>
          <w:rFonts w:ascii="Times New Roman" w:hAnsi="Times New Roman"/>
          <w:bCs w:val="0"/>
          <w:color w:val="000000"/>
          <w:sz w:val="24"/>
        </w:rPr>
        <w:t>ypadku transakcji finansowanych</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uży</w:t>
      </w:r>
      <w:r w:rsidRPr="00835753">
        <w:rPr>
          <w:rFonts w:ascii="Times New Roman" w:hAnsi="Times New Roman"/>
          <w:bCs w:val="0"/>
          <w:color w:val="000000"/>
          <w:sz w:val="24"/>
        </w:rPr>
        <w:t>ciem papierów wartościowych obliczenia obejmują wartości ekspozycji przed wystąpieniem skutku ograniczenia ryzyka kredytowego i po wystąpieniu tego skutku, ustalone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met</w:t>
      </w:r>
      <w:r w:rsidRPr="00835753">
        <w:rPr>
          <w:rFonts w:ascii="Times New Roman" w:hAnsi="Times New Roman"/>
          <w:bCs w:val="0"/>
          <w:color w:val="000000"/>
          <w:sz w:val="24"/>
        </w:rPr>
        <w:t>odami określonymi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czę</w:t>
      </w:r>
      <w:r w:rsidRPr="00835753">
        <w:rPr>
          <w:rFonts w:ascii="Times New Roman" w:hAnsi="Times New Roman"/>
          <w:bCs w:val="0"/>
          <w:color w:val="000000"/>
          <w:sz w:val="24"/>
        </w:rPr>
        <w:t>ści trzeciej tytuł II rozdział 4</w:t>
      </w:r>
      <w:r w:rsidR="00835753" w:rsidRPr="00835753">
        <w:rPr>
          <w:rFonts w:ascii="Times New Roman" w:hAnsi="Times New Roman"/>
          <w:bCs w:val="0"/>
          <w:color w:val="000000"/>
          <w:sz w:val="24"/>
        </w:rPr>
        <w:t xml:space="preserve"> i</w:t>
      </w:r>
      <w:r w:rsidR="00835753">
        <w:rPr>
          <w:rFonts w:ascii="Times New Roman" w:hAnsi="Times New Roman"/>
          <w:bCs w:val="0"/>
          <w:color w:val="000000"/>
          <w:sz w:val="24"/>
        </w:rPr>
        <w:t> </w:t>
      </w:r>
      <w:r w:rsidR="00835753" w:rsidRPr="00835753">
        <w:rPr>
          <w:rFonts w:ascii="Times New Roman" w:hAnsi="Times New Roman"/>
          <w:bCs w:val="0"/>
          <w:color w:val="000000"/>
          <w:sz w:val="24"/>
        </w:rPr>
        <w:t>6</w:t>
      </w:r>
      <w:r w:rsidRPr="00835753">
        <w:rPr>
          <w:rFonts w:ascii="Times New Roman" w:hAnsi="Times New Roman"/>
          <w:bCs w:val="0"/>
          <w:color w:val="000000"/>
          <w:sz w:val="24"/>
        </w:rPr>
        <w:t xml:space="preserve"> CRR,</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zal</w:t>
      </w:r>
      <w:r w:rsidRPr="00835753">
        <w:rPr>
          <w:rFonts w:ascii="Times New Roman" w:hAnsi="Times New Roman"/>
          <w:bCs w:val="0"/>
          <w:color w:val="000000"/>
          <w:sz w:val="24"/>
        </w:rPr>
        <w:t>eżności od zastosowanej metody,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439 lit.</w:t>
      </w:r>
      <w:r w:rsidR="00835753" w:rsidRPr="00835753">
        <w:rPr>
          <w:rFonts w:ascii="Times New Roman" w:hAnsi="Times New Roman"/>
          <w:bCs w:val="0"/>
          <w:color w:val="000000"/>
          <w:sz w:val="24"/>
        </w:rPr>
        <w:t> </w:t>
      </w:r>
      <w:r w:rsidRPr="00835753">
        <w:rPr>
          <w:rFonts w:ascii="Times New Roman" w:hAnsi="Times New Roman"/>
          <w:bCs w:val="0"/>
          <w:color w:val="000000"/>
          <w:sz w:val="24"/>
        </w:rPr>
        <w:t>g) CRR, oraz powiązane kwoty ekspozycji na ryzyko</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pod</w:t>
      </w:r>
      <w:r w:rsidRPr="00835753">
        <w:rPr>
          <w:rFonts w:ascii="Times New Roman" w:hAnsi="Times New Roman"/>
          <w:bCs w:val="0"/>
          <w:color w:val="000000"/>
          <w:sz w:val="24"/>
        </w:rPr>
        <w:t>ziale na mające zastosowanie metody.</w:t>
      </w:r>
    </w:p>
    <w:p w14:paraId="413FEC71" w14:textId="377FE9A1" w:rsidR="005710A4" w:rsidRPr="00835753" w:rsidRDefault="005710A4" w:rsidP="005710A4">
      <w:pPr>
        <w:pStyle w:val="Titlelevel2"/>
        <w:numPr>
          <w:ilvl w:val="0"/>
          <w:numId w:val="56"/>
        </w:numPr>
        <w:spacing w:before="0"/>
        <w:jc w:val="both"/>
        <w:rPr>
          <w:rFonts w:ascii="Times New Roman" w:hAnsi="Times New Roman" w:cs="Times New Roman"/>
          <w:color w:val="auto"/>
          <w:sz w:val="24"/>
        </w:rPr>
      </w:pPr>
      <w:r w:rsidRPr="00835753">
        <w:rPr>
          <w:rFonts w:ascii="Times New Roman" w:hAnsi="Times New Roman"/>
          <w:color w:val="auto"/>
          <w:sz w:val="24"/>
        </w:rPr>
        <w:t>Instytucje stosujące metody określone</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czę</w:t>
      </w:r>
      <w:r w:rsidRPr="00835753">
        <w:rPr>
          <w:rFonts w:ascii="Times New Roman" w:hAnsi="Times New Roman"/>
          <w:color w:val="auto"/>
          <w:sz w:val="24"/>
        </w:rPr>
        <w:t>ści trzeciej tytuł II rozdział 6 sekcje 4–5 CRR wskazują</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opi</w:t>
      </w:r>
      <w:r w:rsidRPr="00835753">
        <w:rPr>
          <w:rFonts w:ascii="Times New Roman" w:hAnsi="Times New Roman"/>
          <w:color w:val="auto"/>
          <w:sz w:val="24"/>
        </w:rPr>
        <w:t>sie towarzyszącym wzorowi wielkość ich działalności bilansowej</w:t>
      </w:r>
      <w:r w:rsidR="00835753" w:rsidRPr="00835753">
        <w:rPr>
          <w:rFonts w:ascii="Times New Roman" w:hAnsi="Times New Roman"/>
          <w:color w:val="auto"/>
          <w:sz w:val="24"/>
        </w:rPr>
        <w:t xml:space="preserve"> i</w:t>
      </w:r>
      <w:r w:rsidR="00835753">
        <w:rPr>
          <w:rFonts w:ascii="Times New Roman" w:hAnsi="Times New Roman"/>
          <w:color w:val="auto"/>
          <w:sz w:val="24"/>
        </w:rPr>
        <w:t> </w:t>
      </w:r>
      <w:r w:rsidR="00835753" w:rsidRPr="00835753">
        <w:rPr>
          <w:rFonts w:ascii="Times New Roman" w:hAnsi="Times New Roman"/>
          <w:color w:val="auto"/>
          <w:sz w:val="24"/>
        </w:rPr>
        <w:t>poz</w:t>
      </w:r>
      <w:r w:rsidRPr="00835753">
        <w:rPr>
          <w:rFonts w:ascii="Times New Roman" w:hAnsi="Times New Roman"/>
          <w:color w:val="auto"/>
          <w:sz w:val="24"/>
        </w:rPr>
        <w:t>abilansowej dotyczącej instrumentów pochodnych obliczoną zgodnie</w:t>
      </w:r>
      <w:r w:rsidR="00835753" w:rsidRPr="00835753">
        <w:rPr>
          <w:rFonts w:ascii="Times New Roman" w:hAnsi="Times New Roman"/>
          <w:color w:val="auto"/>
          <w:sz w:val="24"/>
        </w:rPr>
        <w:t xml:space="preserve"> z</w:t>
      </w:r>
      <w:r w:rsidR="00835753">
        <w:rPr>
          <w:rFonts w:ascii="Times New Roman" w:hAnsi="Times New Roman"/>
          <w:color w:val="auto"/>
          <w:sz w:val="24"/>
        </w:rPr>
        <w:t> </w:t>
      </w:r>
      <w:r w:rsidR="00835753" w:rsidRPr="00835753">
        <w:rPr>
          <w:rFonts w:ascii="Times New Roman" w:hAnsi="Times New Roman"/>
          <w:color w:val="auto"/>
          <w:sz w:val="24"/>
        </w:rPr>
        <w:t>art</w:t>
      </w:r>
      <w:r w:rsidRPr="00835753">
        <w:rPr>
          <w:rFonts w:ascii="Times New Roman" w:hAnsi="Times New Roman"/>
          <w:color w:val="auto"/>
          <w:sz w:val="24"/>
        </w:rPr>
        <w:t>.</w:t>
      </w:r>
      <w:r w:rsidR="00835753" w:rsidRPr="00835753">
        <w:rPr>
          <w:rFonts w:ascii="Times New Roman" w:hAnsi="Times New Roman"/>
          <w:color w:val="auto"/>
          <w:sz w:val="24"/>
        </w:rPr>
        <w:t> </w:t>
      </w:r>
      <w:r w:rsidRPr="00835753">
        <w:rPr>
          <w:rFonts w:ascii="Times New Roman" w:hAnsi="Times New Roman"/>
          <w:color w:val="auto"/>
          <w:sz w:val="24"/>
        </w:rPr>
        <w:t>273a ust.</w:t>
      </w:r>
      <w:r w:rsidR="00835753" w:rsidRPr="00835753">
        <w:rPr>
          <w:rFonts w:ascii="Times New Roman" w:hAnsi="Times New Roman"/>
          <w:color w:val="auto"/>
          <w:sz w:val="24"/>
        </w:rPr>
        <w:t> </w:t>
      </w:r>
      <w:r w:rsidRPr="00835753">
        <w:rPr>
          <w:rFonts w:ascii="Times New Roman" w:hAnsi="Times New Roman"/>
          <w:color w:val="auto"/>
          <w:sz w:val="24"/>
        </w:rPr>
        <w:t>1 lub</w:t>
      </w:r>
      <w:r w:rsidR="00835753" w:rsidRPr="00835753">
        <w:rPr>
          <w:rFonts w:ascii="Times New Roman" w:hAnsi="Times New Roman"/>
          <w:color w:val="auto"/>
          <w:sz w:val="24"/>
        </w:rPr>
        <w:t> </w:t>
      </w:r>
      <w:r w:rsidRPr="00835753">
        <w:rPr>
          <w:rFonts w:ascii="Times New Roman" w:hAnsi="Times New Roman"/>
          <w:color w:val="auto"/>
          <w:sz w:val="24"/>
        </w:rPr>
        <w:t>2 CRR,</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sto</w:t>
      </w:r>
      <w:r w:rsidRPr="00835753">
        <w:rPr>
          <w:rFonts w:ascii="Times New Roman" w:hAnsi="Times New Roman"/>
          <w:color w:val="auto"/>
          <w:sz w:val="24"/>
        </w:rPr>
        <w:t>sownych przypadkach,</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zas</w:t>
      </w:r>
      <w:r w:rsidRPr="00835753">
        <w:rPr>
          <w:rFonts w:ascii="Times New Roman" w:hAnsi="Times New Roman"/>
          <w:color w:val="auto"/>
          <w:sz w:val="24"/>
        </w:rPr>
        <w:t>tosowaniu art.</w:t>
      </w:r>
      <w:r w:rsidR="00835753" w:rsidRPr="00835753">
        <w:rPr>
          <w:rFonts w:ascii="Times New Roman" w:hAnsi="Times New Roman"/>
          <w:color w:val="auto"/>
          <w:sz w:val="24"/>
        </w:rPr>
        <w:t> </w:t>
      </w:r>
      <w:r w:rsidRPr="00835753">
        <w:rPr>
          <w:rFonts w:ascii="Times New Roman" w:hAnsi="Times New Roman"/>
          <w:color w:val="auto"/>
          <w:sz w:val="24"/>
        </w:rPr>
        <w:t>439 lit.</w:t>
      </w:r>
      <w:r w:rsidR="00835753" w:rsidRPr="00835753">
        <w:rPr>
          <w:rFonts w:ascii="Times New Roman" w:hAnsi="Times New Roman"/>
          <w:color w:val="auto"/>
          <w:sz w:val="24"/>
        </w:rPr>
        <w:t> </w:t>
      </w:r>
      <w:r w:rsidRPr="00835753">
        <w:rPr>
          <w:rFonts w:ascii="Times New Roman" w:hAnsi="Times New Roman"/>
          <w:color w:val="auto"/>
          <w:sz w:val="24"/>
        </w:rPr>
        <w:t>m)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835753"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4D45486A" w:rsidR="005710A4" w:rsidRPr="00835753" w:rsidRDefault="005710A4" w:rsidP="00155C96">
            <w:pPr>
              <w:spacing w:after="24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5710A4" w:rsidRPr="00835753" w14:paraId="173B950E" w14:textId="77777777" w:rsidTr="00155C96">
        <w:trPr>
          <w:trHeight w:val="238"/>
        </w:trPr>
        <w:tc>
          <w:tcPr>
            <w:tcW w:w="1384" w:type="dxa"/>
            <w:shd w:val="clear" w:color="auto" w:fill="D9D9D9" w:themeFill="background1" w:themeFillShade="D9"/>
          </w:tcPr>
          <w:p w14:paraId="43E9B33C" w14:textId="77777777" w:rsidR="005710A4" w:rsidRPr="00835753" w:rsidRDefault="005710A4" w:rsidP="00155C96">
            <w:pPr>
              <w:autoSpaceDE w:val="0"/>
              <w:autoSpaceDN w:val="0"/>
              <w:adjustRightInd w:val="0"/>
              <w:spacing w:after="240"/>
              <w:jc w:val="center"/>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778DD544" w14:textId="77777777" w:rsidR="005710A4" w:rsidRPr="00835753" w:rsidRDefault="005710A4" w:rsidP="00155C96">
            <w:pPr>
              <w:autoSpaceDE w:val="0"/>
              <w:autoSpaceDN w:val="0"/>
              <w:adjustRightInd w:val="0"/>
              <w:spacing w:after="240"/>
              <w:rPr>
                <w:rFonts w:ascii="Times New Roman" w:hAnsi="Times New Roman" w:cs="Times New Roman"/>
                <w:color w:val="000000"/>
                <w:sz w:val="24"/>
              </w:rPr>
            </w:pPr>
            <w:r w:rsidRPr="00835753">
              <w:rPr>
                <w:rFonts w:ascii="Times New Roman" w:hAnsi="Times New Roman"/>
                <w:b/>
                <w:sz w:val="24"/>
              </w:rPr>
              <w:t>Wyjaśnienie</w:t>
            </w:r>
          </w:p>
        </w:tc>
      </w:tr>
      <w:tr w:rsidR="005710A4" w:rsidRPr="00835753" w14:paraId="19C03A61" w14:textId="77777777" w:rsidTr="00155C96">
        <w:trPr>
          <w:trHeight w:val="680"/>
        </w:trPr>
        <w:tc>
          <w:tcPr>
            <w:tcW w:w="1384" w:type="dxa"/>
          </w:tcPr>
          <w:p w14:paraId="63D1FD98" w14:textId="472B2F5C" w:rsidR="005710A4" w:rsidRPr="00835753" w:rsidRDefault="005710A4" w:rsidP="00155C96">
            <w:pPr>
              <w:pStyle w:val="Applicationdirecte"/>
              <w:spacing w:before="0" w:after="240"/>
              <w:jc w:val="center"/>
            </w:pPr>
            <w:r w:rsidRPr="00835753">
              <w:t>EU-1</w:t>
            </w:r>
          </w:p>
        </w:tc>
        <w:tc>
          <w:tcPr>
            <w:tcW w:w="7655" w:type="dxa"/>
          </w:tcPr>
          <w:p w14:paraId="09FAA350" w14:textId="77777777" w:rsidR="005710A4" w:rsidRPr="00835753" w:rsidRDefault="005710A4" w:rsidP="00155C96">
            <w:pPr>
              <w:pStyle w:val="TableMainHeading"/>
              <w:spacing w:before="0" w:after="240"/>
              <w:jc w:val="both"/>
              <w:rPr>
                <w:rFonts w:ascii="Times New Roman" w:hAnsi="Times New Roman"/>
                <w:b/>
                <w:sz w:val="24"/>
                <w:szCs w:val="24"/>
              </w:rPr>
            </w:pPr>
            <w:r w:rsidRPr="00835753">
              <w:rPr>
                <w:rFonts w:ascii="Times New Roman" w:hAnsi="Times New Roman"/>
                <w:b/>
                <w:sz w:val="24"/>
                <w:szCs w:val="24"/>
              </w:rPr>
              <w:t>Metoda wyceny pierwotnej ekspozycji (w odniesieniu do instrumentów pochodnych)</w:t>
            </w:r>
          </w:p>
          <w:p w14:paraId="6F57E789" w14:textId="49ED490E" w:rsidR="005710A4" w:rsidRPr="00835753" w:rsidRDefault="005710A4" w:rsidP="00155C96">
            <w:pPr>
              <w:pStyle w:val="TableMainHeading"/>
              <w:spacing w:before="0" w:after="240"/>
              <w:jc w:val="both"/>
              <w:rPr>
                <w:rFonts w:ascii="Times New Roman" w:hAnsi="Times New Roman"/>
                <w:sz w:val="24"/>
                <w:szCs w:val="24"/>
              </w:rPr>
            </w:pPr>
            <w:r w:rsidRPr="00835753">
              <w:rPr>
                <w:rFonts w:ascii="Times New Roman" w:hAnsi="Times New Roman"/>
                <w:sz w:val="24"/>
                <w:szCs w:val="24"/>
              </w:rPr>
              <w:t>Instrumenty pochodne</w:t>
            </w:r>
            <w:r w:rsidRPr="00835753">
              <w:rPr>
                <w:rFonts w:ascii="Times New Roman" w:hAnsi="Times New Roman"/>
                <w:sz w:val="24"/>
              </w:rPr>
              <w:t xml:space="preserve"> oraz transakcje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dłu</w:t>
            </w:r>
            <w:r w:rsidRPr="00835753">
              <w:rPr>
                <w:rFonts w:ascii="Times New Roman" w:hAnsi="Times New Roman"/>
                <w:sz w:val="24"/>
              </w:rPr>
              <w:t xml:space="preserve">gim terminem rozliczenia, </w:t>
            </w:r>
            <w:r w:rsidRPr="00835753">
              <w:rPr>
                <w:rFonts w:ascii="Times New Roman" w:hAnsi="Times New Roman"/>
                <w:sz w:val="24"/>
                <w:szCs w:val="24"/>
              </w:rPr>
              <w:t xml:space="preserve">dla których instytucje zdecydowały się obliczyć wartość ekspozycji jako </w:t>
            </w:r>
            <w:r w:rsidRPr="00835753">
              <w:rPr>
                <w:rFonts w:ascii="Times New Roman" w:hAnsi="Times New Roman"/>
                <w:color w:val="000000"/>
                <w:sz w:val="24"/>
                <w:szCs w:val="24"/>
              </w:rPr>
              <w:lastRenderedPageBreak/>
              <w:t>alfa</w:t>
            </w:r>
            <w:r w:rsidRPr="00835753">
              <w:rPr>
                <w:rFonts w:ascii="Times New Roman" w:hAnsi="Times New Roman"/>
                <w:sz w:val="24"/>
                <w:szCs w:val="24"/>
              </w:rPr>
              <w:t>*</w:t>
            </w:r>
            <w:r w:rsidRPr="00835753">
              <w:rPr>
                <w:rFonts w:ascii="Times New Roman" w:hAnsi="Times New Roman"/>
                <w:color w:val="000000"/>
                <w:sz w:val="24"/>
                <w:szCs w:val="24"/>
              </w:rPr>
              <w:t>(</w:t>
            </w:r>
            <w:r w:rsidRPr="00835753">
              <w:rPr>
                <w:rFonts w:ascii="Times New Roman" w:hAnsi="Times New Roman"/>
                <w:sz w:val="24"/>
                <w:szCs w:val="24"/>
              </w:rPr>
              <w:t xml:space="preserve">RC+PFE), </w:t>
            </w:r>
            <w:r w:rsidRPr="00835753">
              <w:rPr>
                <w:rFonts w:ascii="Times New Roman" w:hAnsi="Times New Roman"/>
                <w:color w:val="000000"/>
                <w:sz w:val="24"/>
                <w:szCs w:val="24"/>
              </w:rPr>
              <w:t>przy czym α=1,4,</w:t>
            </w:r>
            <w:r w:rsidRPr="00835753">
              <w:rPr>
                <w:rFonts w:ascii="Times New Roman" w:hAnsi="Times New Roman"/>
                <w:sz w:val="24"/>
                <w:szCs w:val="24"/>
              </w:rPr>
              <w:t xml:space="preserve"> a RC i PFE oblicza się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ścią trzecią tytuł II rozdział 6 sekcja 5 art.</w:t>
            </w:r>
            <w:r w:rsidR="00835753" w:rsidRPr="00835753">
              <w:rPr>
                <w:rFonts w:ascii="Times New Roman" w:hAnsi="Times New Roman"/>
                <w:sz w:val="24"/>
                <w:szCs w:val="24"/>
              </w:rPr>
              <w:t> </w:t>
            </w:r>
            <w:r w:rsidRPr="00835753">
              <w:rPr>
                <w:rFonts w:ascii="Times New Roman" w:hAnsi="Times New Roman"/>
                <w:sz w:val="24"/>
                <w:szCs w:val="24"/>
              </w:rPr>
              <w:t>282 CRR</w:t>
            </w:r>
            <w:r w:rsidRPr="00835753">
              <w:rPr>
                <w:rFonts w:ascii="Times New Roman" w:hAnsi="Times New Roman"/>
                <w:sz w:val="24"/>
              </w:rPr>
              <w:t>.</w:t>
            </w:r>
          </w:p>
          <w:p w14:paraId="1A5A6ACF" w14:textId="3D8B16C6" w:rsidR="005710A4" w:rsidRPr="00835753" w:rsidRDefault="005710A4" w:rsidP="00155C96">
            <w:pPr>
              <w:pStyle w:val="TableMainHeading"/>
              <w:spacing w:before="0" w:after="240"/>
              <w:jc w:val="both"/>
              <w:rPr>
                <w:rFonts w:ascii="Times New Roman" w:hAnsi="Times New Roman"/>
                <w:sz w:val="24"/>
                <w:szCs w:val="24"/>
              </w:rPr>
            </w:pPr>
            <w:r w:rsidRPr="00835753">
              <w:rPr>
                <w:rFonts w:ascii="Times New Roman" w:hAnsi="Times New Roman"/>
                <w:sz w:val="24"/>
                <w:szCs w:val="24"/>
              </w:rPr>
              <w:t>Tę uproszczoną metodę obliczania wartości ekspozycji</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pozycji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ins</w:t>
            </w:r>
            <w:r w:rsidRPr="00835753">
              <w:rPr>
                <w:rFonts w:ascii="Times New Roman" w:hAnsi="Times New Roman"/>
                <w:sz w:val="24"/>
                <w:szCs w:val="24"/>
              </w:rPr>
              <w:t>trumentach pochodnych mogą stosować wyłącznie instytucje spełniające</w:t>
            </w:r>
            <w:r w:rsidRPr="00835753">
              <w:rPr>
                <w:rFonts w:ascii="Times New Roman" w:hAnsi="Times New Roman"/>
                <w:i/>
                <w:sz w:val="24"/>
                <w:szCs w:val="24"/>
              </w:rPr>
              <w:t xml:space="preserve"> </w:t>
            </w:r>
            <w:r w:rsidRPr="00835753">
              <w:rPr>
                <w:rFonts w:ascii="Times New Roman" w:hAnsi="Times New Roman"/>
                <w:sz w:val="24"/>
                <w:szCs w:val="24"/>
              </w:rPr>
              <w:t>warunki określone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 trzeciej tytuł II rozdział 6 art.</w:t>
            </w:r>
            <w:r w:rsidR="00835753" w:rsidRPr="00835753">
              <w:rPr>
                <w:rFonts w:ascii="Times New Roman" w:hAnsi="Times New Roman"/>
                <w:sz w:val="24"/>
                <w:szCs w:val="24"/>
              </w:rPr>
              <w:t> </w:t>
            </w:r>
            <w:r w:rsidRPr="00835753">
              <w:rPr>
                <w:rFonts w:ascii="Times New Roman" w:hAnsi="Times New Roman"/>
                <w:sz w:val="24"/>
                <w:szCs w:val="24"/>
              </w:rPr>
              <w:t>273a ust.</w:t>
            </w:r>
            <w:r w:rsidR="00835753" w:rsidRPr="00835753">
              <w:rPr>
                <w:rFonts w:ascii="Times New Roman" w:hAnsi="Times New Roman"/>
                <w:sz w:val="24"/>
                <w:szCs w:val="24"/>
              </w:rPr>
              <w:t> </w:t>
            </w:r>
            <w:r w:rsidRPr="00835753">
              <w:rPr>
                <w:rFonts w:ascii="Times New Roman" w:hAnsi="Times New Roman"/>
                <w:sz w:val="24"/>
                <w:szCs w:val="24"/>
              </w:rPr>
              <w:t>2 lub</w:t>
            </w:r>
            <w:r w:rsidR="00835753" w:rsidRPr="00835753">
              <w:rPr>
                <w:rFonts w:ascii="Times New Roman" w:hAnsi="Times New Roman"/>
                <w:sz w:val="24"/>
                <w:szCs w:val="24"/>
              </w:rPr>
              <w:t> </w:t>
            </w:r>
            <w:r w:rsidRPr="00835753">
              <w:rPr>
                <w:rFonts w:ascii="Times New Roman" w:hAnsi="Times New Roman"/>
                <w:sz w:val="24"/>
                <w:szCs w:val="24"/>
              </w:rPr>
              <w:t>4 CRR.</w:t>
            </w:r>
          </w:p>
        </w:tc>
      </w:tr>
      <w:tr w:rsidR="005710A4" w:rsidRPr="00835753" w14:paraId="7AACB16D" w14:textId="77777777" w:rsidTr="00155C96">
        <w:trPr>
          <w:trHeight w:val="680"/>
        </w:trPr>
        <w:tc>
          <w:tcPr>
            <w:tcW w:w="1384" w:type="dxa"/>
          </w:tcPr>
          <w:p w14:paraId="7E8C5109" w14:textId="3C38B04C" w:rsidR="005710A4" w:rsidRPr="00835753" w:rsidRDefault="005710A4" w:rsidP="00155C96">
            <w:pPr>
              <w:pStyle w:val="Applicationdirecte"/>
              <w:spacing w:before="0" w:after="240"/>
              <w:jc w:val="center"/>
            </w:pPr>
            <w:r w:rsidRPr="00835753">
              <w:lastRenderedPageBreak/>
              <w:t>EU-2</w:t>
            </w:r>
          </w:p>
        </w:tc>
        <w:tc>
          <w:tcPr>
            <w:tcW w:w="7655" w:type="dxa"/>
          </w:tcPr>
          <w:p w14:paraId="680DB024" w14:textId="77777777" w:rsidR="005710A4" w:rsidRPr="00835753" w:rsidRDefault="005710A4" w:rsidP="00155C96">
            <w:pPr>
              <w:pStyle w:val="TableMainHeading"/>
              <w:spacing w:before="0" w:after="240"/>
              <w:jc w:val="both"/>
              <w:rPr>
                <w:rFonts w:ascii="Times New Roman" w:hAnsi="Times New Roman"/>
                <w:b/>
                <w:sz w:val="24"/>
                <w:szCs w:val="24"/>
              </w:rPr>
            </w:pPr>
            <w:r w:rsidRPr="00835753">
              <w:rPr>
                <w:rFonts w:ascii="Times New Roman" w:hAnsi="Times New Roman"/>
                <w:b/>
                <w:sz w:val="24"/>
                <w:szCs w:val="24"/>
              </w:rPr>
              <w:t>Uproszczona metoda standardowa dotycząca ryzyka kredytowego kontrahenta (w odniesieniu do instrumentów pochodnych)</w:t>
            </w:r>
          </w:p>
          <w:p w14:paraId="702B483E" w14:textId="63A5FF3C" w:rsidR="005710A4" w:rsidRPr="00835753" w:rsidRDefault="005710A4" w:rsidP="00155C96">
            <w:pPr>
              <w:pStyle w:val="TableMainHeading"/>
              <w:spacing w:before="0" w:after="240"/>
              <w:jc w:val="both"/>
              <w:rPr>
                <w:rFonts w:ascii="Times New Roman" w:hAnsi="Times New Roman"/>
                <w:sz w:val="24"/>
                <w:szCs w:val="24"/>
              </w:rPr>
            </w:pPr>
            <w:r w:rsidRPr="00835753">
              <w:rPr>
                <w:rFonts w:ascii="Times New Roman" w:hAnsi="Times New Roman"/>
                <w:sz w:val="24"/>
                <w:szCs w:val="24"/>
              </w:rPr>
              <w:t>Instrumenty pochodne</w:t>
            </w:r>
            <w:r w:rsidRPr="00835753">
              <w:rPr>
                <w:rFonts w:ascii="Times New Roman" w:hAnsi="Times New Roman"/>
                <w:sz w:val="24"/>
              </w:rPr>
              <w:t xml:space="preserve"> oraz transakcje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dłu</w:t>
            </w:r>
            <w:r w:rsidRPr="00835753">
              <w:rPr>
                <w:rFonts w:ascii="Times New Roman" w:hAnsi="Times New Roman"/>
                <w:sz w:val="24"/>
              </w:rPr>
              <w:t xml:space="preserve">gim terminem rozliczenia, </w:t>
            </w:r>
            <w:r w:rsidRPr="00835753">
              <w:rPr>
                <w:rFonts w:ascii="Times New Roman" w:hAnsi="Times New Roman"/>
                <w:sz w:val="24"/>
                <w:szCs w:val="24"/>
              </w:rPr>
              <w:t xml:space="preserve">dla których instytucje zdecydowały się obliczyć wartość ekspozycji jako </w:t>
            </w:r>
            <w:r w:rsidRPr="00835753">
              <w:rPr>
                <w:rFonts w:ascii="Times New Roman" w:hAnsi="Times New Roman"/>
                <w:color w:val="000000"/>
                <w:sz w:val="24"/>
                <w:szCs w:val="24"/>
              </w:rPr>
              <w:t>alfa</w:t>
            </w:r>
            <w:r w:rsidRPr="00835753">
              <w:rPr>
                <w:rFonts w:ascii="Times New Roman" w:hAnsi="Times New Roman"/>
                <w:sz w:val="24"/>
                <w:szCs w:val="24"/>
              </w:rPr>
              <w:t>*</w:t>
            </w:r>
            <w:r w:rsidRPr="00835753">
              <w:rPr>
                <w:rFonts w:ascii="Times New Roman" w:hAnsi="Times New Roman"/>
                <w:color w:val="000000"/>
                <w:sz w:val="24"/>
                <w:szCs w:val="24"/>
              </w:rPr>
              <w:t>(</w:t>
            </w:r>
            <w:r w:rsidRPr="00835753">
              <w:rPr>
                <w:rFonts w:ascii="Times New Roman" w:hAnsi="Times New Roman"/>
                <w:sz w:val="24"/>
                <w:szCs w:val="24"/>
              </w:rPr>
              <w:t xml:space="preserve">RC+PFE), </w:t>
            </w:r>
            <w:r w:rsidRPr="00835753">
              <w:rPr>
                <w:rFonts w:ascii="Times New Roman" w:hAnsi="Times New Roman"/>
                <w:color w:val="000000"/>
                <w:sz w:val="24"/>
                <w:szCs w:val="24"/>
              </w:rPr>
              <w:t>przy czym α=1,4,</w:t>
            </w:r>
            <w:r w:rsidRPr="00835753">
              <w:rPr>
                <w:rFonts w:ascii="Times New Roman" w:hAnsi="Times New Roman"/>
                <w:sz w:val="24"/>
                <w:szCs w:val="24"/>
              </w:rPr>
              <w:t xml:space="preserve"> a RC i PFE oblicza się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ścią trzecią tytuł II rozdział 6 sekcja 4 art.</w:t>
            </w:r>
            <w:r w:rsidR="00835753" w:rsidRPr="00835753">
              <w:rPr>
                <w:rFonts w:ascii="Times New Roman" w:hAnsi="Times New Roman"/>
                <w:sz w:val="24"/>
                <w:szCs w:val="24"/>
              </w:rPr>
              <w:t> </w:t>
            </w:r>
            <w:r w:rsidRPr="00835753">
              <w:rPr>
                <w:rFonts w:ascii="Times New Roman" w:hAnsi="Times New Roman"/>
                <w:sz w:val="24"/>
                <w:szCs w:val="24"/>
              </w:rPr>
              <w:t>281 CRR</w:t>
            </w:r>
            <w:r w:rsidRPr="00835753">
              <w:rPr>
                <w:rFonts w:ascii="Times New Roman" w:hAnsi="Times New Roman"/>
                <w:sz w:val="24"/>
              </w:rPr>
              <w:t>.</w:t>
            </w:r>
          </w:p>
          <w:p w14:paraId="477F5355" w14:textId="2AB58A21" w:rsidR="005710A4" w:rsidRPr="00835753" w:rsidRDefault="005710A4" w:rsidP="00155C96">
            <w:pPr>
              <w:pStyle w:val="TableMainHeading"/>
              <w:spacing w:before="0" w:after="240"/>
              <w:jc w:val="both"/>
              <w:rPr>
                <w:rFonts w:ascii="Times New Roman" w:hAnsi="Times New Roman"/>
                <w:i/>
                <w:sz w:val="24"/>
                <w:szCs w:val="24"/>
              </w:rPr>
            </w:pPr>
            <w:r w:rsidRPr="00835753">
              <w:rPr>
                <w:rFonts w:ascii="Times New Roman" w:hAnsi="Times New Roman"/>
                <w:sz w:val="24"/>
                <w:szCs w:val="24"/>
              </w:rPr>
              <w:t>Tę uproszczoną metodę standardową służącą do obliczania wartości ekspozycji</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pozycji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ins</w:t>
            </w:r>
            <w:r w:rsidRPr="00835753">
              <w:rPr>
                <w:rFonts w:ascii="Times New Roman" w:hAnsi="Times New Roman"/>
                <w:sz w:val="24"/>
                <w:szCs w:val="24"/>
              </w:rPr>
              <w:t>trumentach pochodnych mogą stosować wyłącznie instytucje spełniające warunki określone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 trzeciej tytuł II rozdział 6 art.</w:t>
            </w:r>
            <w:r w:rsidR="00835753" w:rsidRPr="00835753">
              <w:rPr>
                <w:rFonts w:ascii="Times New Roman" w:hAnsi="Times New Roman"/>
                <w:sz w:val="24"/>
                <w:szCs w:val="24"/>
              </w:rPr>
              <w:t> </w:t>
            </w:r>
            <w:r w:rsidRPr="00835753">
              <w:rPr>
                <w:rFonts w:ascii="Times New Roman" w:hAnsi="Times New Roman"/>
                <w:sz w:val="24"/>
                <w:szCs w:val="24"/>
              </w:rPr>
              <w:t>273a ust.</w:t>
            </w:r>
            <w:r w:rsidR="00835753" w:rsidRPr="00835753">
              <w:rPr>
                <w:rFonts w:ascii="Times New Roman" w:hAnsi="Times New Roman"/>
                <w:sz w:val="24"/>
                <w:szCs w:val="24"/>
              </w:rPr>
              <w:t> </w:t>
            </w:r>
            <w:r w:rsidRPr="00835753">
              <w:rPr>
                <w:rFonts w:ascii="Times New Roman" w:hAnsi="Times New Roman"/>
                <w:sz w:val="24"/>
                <w:szCs w:val="24"/>
              </w:rPr>
              <w:t>1 lub</w:t>
            </w:r>
            <w:r w:rsidR="00835753" w:rsidRPr="00835753">
              <w:rPr>
                <w:rFonts w:ascii="Times New Roman" w:hAnsi="Times New Roman"/>
                <w:sz w:val="24"/>
                <w:szCs w:val="24"/>
              </w:rPr>
              <w:t> </w:t>
            </w:r>
            <w:r w:rsidRPr="00835753">
              <w:rPr>
                <w:rFonts w:ascii="Times New Roman" w:hAnsi="Times New Roman"/>
                <w:sz w:val="24"/>
                <w:szCs w:val="24"/>
              </w:rPr>
              <w:t xml:space="preserve">4 CRR. </w:t>
            </w:r>
          </w:p>
        </w:tc>
      </w:tr>
      <w:tr w:rsidR="005710A4" w:rsidRPr="00835753" w14:paraId="3833152F" w14:textId="77777777" w:rsidTr="00155C96">
        <w:trPr>
          <w:trHeight w:val="680"/>
        </w:trPr>
        <w:tc>
          <w:tcPr>
            <w:tcW w:w="1384" w:type="dxa"/>
          </w:tcPr>
          <w:p w14:paraId="4E1FA2B9" w14:textId="3B523E47" w:rsidR="005710A4" w:rsidRPr="00835753" w:rsidRDefault="00A03D37" w:rsidP="00155C96">
            <w:pPr>
              <w:pStyle w:val="Applicationdirecte"/>
              <w:spacing w:before="0" w:after="240"/>
              <w:jc w:val="center"/>
            </w:pPr>
            <w:r w:rsidRPr="00835753">
              <w:t>1</w:t>
            </w:r>
          </w:p>
        </w:tc>
        <w:tc>
          <w:tcPr>
            <w:tcW w:w="7655" w:type="dxa"/>
          </w:tcPr>
          <w:p w14:paraId="2EB2846D" w14:textId="77777777" w:rsidR="005710A4" w:rsidRPr="00835753" w:rsidRDefault="005710A4" w:rsidP="00155C96">
            <w:pPr>
              <w:pStyle w:val="Default"/>
              <w:spacing w:after="240"/>
              <w:jc w:val="both"/>
              <w:rPr>
                <w:rFonts w:ascii="Times New Roman" w:hAnsi="Times New Roman" w:cs="Times New Roman"/>
                <w:b/>
              </w:rPr>
            </w:pPr>
            <w:r w:rsidRPr="00835753">
              <w:rPr>
                <w:rFonts w:ascii="Times New Roman" w:hAnsi="Times New Roman"/>
                <w:b/>
              </w:rPr>
              <w:t>Metoda standardowa dotycząca ryzyka kredytowego kontrahenta (w odniesieniu do instrumentów pochodnych)</w:t>
            </w:r>
          </w:p>
          <w:p w14:paraId="118F0EAF" w14:textId="15B75D09" w:rsidR="005710A4" w:rsidRPr="00835753" w:rsidRDefault="005710A4" w:rsidP="00155C96">
            <w:pPr>
              <w:pStyle w:val="Default"/>
              <w:spacing w:after="240"/>
              <w:jc w:val="both"/>
              <w:rPr>
                <w:rFonts w:ascii="Times New Roman" w:hAnsi="Times New Roman" w:cs="Times New Roman"/>
                <w:i/>
              </w:rPr>
            </w:pPr>
            <w:r w:rsidRPr="00835753">
              <w:rPr>
                <w:rFonts w:ascii="Times New Roman" w:hAnsi="Times New Roman"/>
              </w:rPr>
              <w:t>Instrumenty pochodne oraz transakcje</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dłu</w:t>
            </w:r>
            <w:r w:rsidRPr="00835753">
              <w:rPr>
                <w:rFonts w:ascii="Times New Roman" w:hAnsi="Times New Roman"/>
              </w:rPr>
              <w:t>gim terminem rozliczenia, dla których instytucje zdecydowały się obliczyć wartość ekspozycji jako alfa*(RC+PFE), przy czym α=1,4, a RC i PFE oblicza się zgodnie</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czę</w:t>
            </w:r>
            <w:r w:rsidRPr="00835753">
              <w:rPr>
                <w:rFonts w:ascii="Times New Roman" w:hAnsi="Times New Roman"/>
              </w:rPr>
              <w:t>ścią trzecią tytuł II rozdział 6 sekcja 3 CRR.</w:t>
            </w:r>
          </w:p>
        </w:tc>
      </w:tr>
      <w:tr w:rsidR="005710A4" w:rsidRPr="00835753" w14:paraId="6C5F9E9B" w14:textId="77777777" w:rsidTr="00155C96">
        <w:trPr>
          <w:trHeight w:val="680"/>
        </w:trPr>
        <w:tc>
          <w:tcPr>
            <w:tcW w:w="1384" w:type="dxa"/>
          </w:tcPr>
          <w:p w14:paraId="1AC07C1A" w14:textId="3194BA3B" w:rsidR="005710A4" w:rsidRPr="00835753" w:rsidRDefault="00A03D37" w:rsidP="00155C96">
            <w:pPr>
              <w:pStyle w:val="Applicationdirecte"/>
              <w:spacing w:before="0" w:after="240"/>
              <w:jc w:val="center"/>
              <w:rPr>
                <w:highlight w:val="yellow"/>
              </w:rPr>
            </w:pPr>
            <w:r w:rsidRPr="00835753">
              <w:t>2</w:t>
            </w:r>
          </w:p>
        </w:tc>
        <w:tc>
          <w:tcPr>
            <w:tcW w:w="7655" w:type="dxa"/>
          </w:tcPr>
          <w:p w14:paraId="6565A49F" w14:textId="77777777" w:rsidR="005710A4" w:rsidRPr="00835753" w:rsidRDefault="005710A4" w:rsidP="00155C96">
            <w:pPr>
              <w:pStyle w:val="Default"/>
              <w:spacing w:after="240"/>
              <w:jc w:val="both"/>
              <w:rPr>
                <w:rFonts w:ascii="Times New Roman" w:hAnsi="Times New Roman" w:cs="Times New Roman"/>
                <w:b/>
              </w:rPr>
            </w:pPr>
            <w:r w:rsidRPr="00835753">
              <w:rPr>
                <w:rFonts w:ascii="Times New Roman" w:hAnsi="Times New Roman"/>
                <w:b/>
              </w:rPr>
              <w:t>Metoda modeli wewnętrznych (w odniesieniu do instrumentów pochodnych i SFT)</w:t>
            </w:r>
          </w:p>
          <w:p w14:paraId="076943ED" w14:textId="6445B05A" w:rsidR="005710A4" w:rsidRPr="00835753" w:rsidRDefault="005710A4" w:rsidP="00155C96">
            <w:pPr>
              <w:autoSpaceDE w:val="0"/>
              <w:autoSpaceDN w:val="0"/>
              <w:adjustRightInd w:val="0"/>
              <w:spacing w:after="240"/>
              <w:jc w:val="both"/>
              <w:rPr>
                <w:rFonts w:ascii="Times New Roman" w:hAnsi="Times New Roman" w:cs="Times New Roman"/>
                <w:i/>
                <w:sz w:val="24"/>
              </w:rPr>
            </w:pPr>
            <w:r w:rsidRPr="00835753">
              <w:rPr>
                <w:rFonts w:ascii="Times New Roman" w:hAnsi="Times New Roman"/>
                <w:color w:val="000000"/>
                <w:sz w:val="24"/>
              </w:rPr>
              <w:t>Instrumenty pochodne</w:t>
            </w:r>
            <w:r w:rsidRPr="00835753">
              <w:rPr>
                <w:rFonts w:ascii="Times New Roman" w:hAnsi="Times New Roman"/>
                <w:sz w:val="24"/>
              </w:rPr>
              <w:t xml:space="preserve"> oraz transakcje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dłu</w:t>
            </w:r>
            <w:r w:rsidRPr="00835753">
              <w:rPr>
                <w:rFonts w:ascii="Times New Roman" w:hAnsi="Times New Roman"/>
                <w:sz w:val="24"/>
              </w:rPr>
              <w:t xml:space="preserve">gim terminem rozliczenia </w:t>
            </w:r>
            <w:r w:rsidRPr="00835753">
              <w:rPr>
                <w:rFonts w:ascii="Times New Roman" w:hAnsi="Times New Roman"/>
                <w:color w:val="000000"/>
                <w:sz w:val="24"/>
              </w:rPr>
              <w:t>i SFT, dla których instytucjom pozwolono na obliczenie wartości ekspozycji</w:t>
            </w:r>
            <w:r w:rsidR="00835753" w:rsidRPr="00835753">
              <w:rPr>
                <w:rFonts w:ascii="Times New Roman" w:hAnsi="Times New Roman"/>
                <w:color w:val="000000"/>
                <w:sz w:val="24"/>
              </w:rPr>
              <w:t xml:space="preserve"> z</w:t>
            </w:r>
            <w:r w:rsidR="00835753">
              <w:rPr>
                <w:rFonts w:ascii="Times New Roman" w:hAnsi="Times New Roman"/>
                <w:color w:val="000000"/>
                <w:sz w:val="24"/>
              </w:rPr>
              <w:t> </w:t>
            </w:r>
            <w:r w:rsidR="00835753" w:rsidRPr="00835753">
              <w:rPr>
                <w:rFonts w:ascii="Times New Roman" w:hAnsi="Times New Roman"/>
                <w:color w:val="000000"/>
                <w:sz w:val="24"/>
              </w:rPr>
              <w:t>uży</w:t>
            </w:r>
            <w:r w:rsidRPr="00835753">
              <w:rPr>
                <w:rFonts w:ascii="Times New Roman" w:hAnsi="Times New Roman"/>
                <w:color w:val="000000"/>
                <w:sz w:val="24"/>
              </w:rPr>
              <w:t>ciem metody modeli wewnętrznych (IMM) zgodnie</w:t>
            </w:r>
            <w:r w:rsidR="00835753" w:rsidRPr="00835753">
              <w:rPr>
                <w:rFonts w:ascii="Times New Roman" w:hAnsi="Times New Roman"/>
                <w:color w:val="000000"/>
                <w:sz w:val="24"/>
              </w:rPr>
              <w:t xml:space="preserve"> z</w:t>
            </w:r>
            <w:r w:rsidR="00835753">
              <w:rPr>
                <w:rFonts w:ascii="Times New Roman" w:hAnsi="Times New Roman"/>
                <w:color w:val="000000"/>
                <w:sz w:val="24"/>
              </w:rPr>
              <w:t> </w:t>
            </w:r>
            <w:r w:rsidR="00835753" w:rsidRPr="00835753">
              <w:rPr>
                <w:rFonts w:ascii="Times New Roman" w:hAnsi="Times New Roman"/>
                <w:color w:val="000000"/>
                <w:sz w:val="24"/>
              </w:rPr>
              <w:t>czę</w:t>
            </w:r>
            <w:r w:rsidRPr="00835753">
              <w:rPr>
                <w:rFonts w:ascii="Times New Roman" w:hAnsi="Times New Roman"/>
                <w:color w:val="000000"/>
                <w:sz w:val="24"/>
              </w:rPr>
              <w:t>ścią trzecią tytuł II rozdział 6 sekcja 6 CRR</w:t>
            </w:r>
            <w:r w:rsidRPr="00835753">
              <w:rPr>
                <w:rFonts w:ascii="Times New Roman" w:hAnsi="Times New Roman"/>
                <w:sz w:val="24"/>
              </w:rPr>
              <w:t>.</w:t>
            </w:r>
          </w:p>
        </w:tc>
      </w:tr>
      <w:tr w:rsidR="005710A4" w:rsidRPr="00835753" w14:paraId="7B08E2AC" w14:textId="77777777" w:rsidTr="00155C96">
        <w:trPr>
          <w:trHeight w:val="680"/>
        </w:trPr>
        <w:tc>
          <w:tcPr>
            <w:tcW w:w="1384" w:type="dxa"/>
          </w:tcPr>
          <w:p w14:paraId="2B549366" w14:textId="77777777" w:rsidR="005710A4" w:rsidRPr="00835753" w:rsidRDefault="005710A4" w:rsidP="00155C96">
            <w:pPr>
              <w:pStyle w:val="Applicationdirecte"/>
              <w:spacing w:before="0" w:after="240"/>
              <w:jc w:val="center"/>
            </w:pPr>
            <w:r w:rsidRPr="00835753">
              <w:t>EU-2a</w:t>
            </w:r>
          </w:p>
        </w:tc>
        <w:tc>
          <w:tcPr>
            <w:tcW w:w="7655" w:type="dxa"/>
          </w:tcPr>
          <w:p w14:paraId="66A789E4" w14:textId="07FCA28C" w:rsidR="005710A4" w:rsidRPr="00835753" w:rsidRDefault="005710A4" w:rsidP="00155C96">
            <w:pPr>
              <w:pStyle w:val="Default"/>
              <w:spacing w:after="240"/>
              <w:jc w:val="both"/>
              <w:rPr>
                <w:rFonts w:ascii="Times New Roman" w:hAnsi="Times New Roman" w:cs="Times New Roman"/>
                <w:b/>
              </w:rPr>
            </w:pPr>
            <w:proofErr w:type="gramStart"/>
            <w:r w:rsidRPr="00835753">
              <w:rPr>
                <w:rFonts w:ascii="Times New Roman" w:hAnsi="Times New Roman"/>
                <w:b/>
              </w:rPr>
              <w:t>w</w:t>
            </w:r>
            <w:proofErr w:type="gramEnd"/>
            <w:r w:rsidRPr="00835753">
              <w:rPr>
                <w:rFonts w:ascii="Times New Roman" w:hAnsi="Times New Roman"/>
                <w:b/>
              </w:rPr>
              <w:t xml:space="preserve"> tym pakiety kompensowania transakcji finansowanych</w:t>
            </w:r>
            <w:r w:rsidR="00835753" w:rsidRPr="00835753">
              <w:rPr>
                <w:rFonts w:ascii="Times New Roman" w:hAnsi="Times New Roman"/>
                <w:b/>
              </w:rPr>
              <w:t xml:space="preserve"> z</w:t>
            </w:r>
            <w:r w:rsidR="00835753">
              <w:rPr>
                <w:rFonts w:ascii="Times New Roman" w:hAnsi="Times New Roman"/>
                <w:b/>
              </w:rPr>
              <w:t> </w:t>
            </w:r>
            <w:r w:rsidR="00835753" w:rsidRPr="00835753">
              <w:rPr>
                <w:rFonts w:ascii="Times New Roman" w:hAnsi="Times New Roman"/>
                <w:b/>
              </w:rPr>
              <w:t>uży</w:t>
            </w:r>
            <w:r w:rsidRPr="00835753">
              <w:rPr>
                <w:rFonts w:ascii="Times New Roman" w:hAnsi="Times New Roman"/>
                <w:b/>
              </w:rPr>
              <w:t>ciem papierów wartościowych</w:t>
            </w:r>
          </w:p>
          <w:p w14:paraId="4461E7DD" w14:textId="0D1C176D" w:rsidR="005710A4" w:rsidRPr="00835753" w:rsidRDefault="005710A4" w:rsidP="00155C96">
            <w:pPr>
              <w:pStyle w:val="Default"/>
              <w:spacing w:after="240"/>
              <w:jc w:val="both"/>
              <w:rPr>
                <w:rFonts w:ascii="Times New Roman" w:hAnsi="Times New Roman" w:cs="Times New Roman"/>
              </w:rPr>
            </w:pPr>
            <w:r w:rsidRPr="00835753">
              <w:rPr>
                <w:rFonts w:ascii="Times New Roman" w:hAnsi="Times New Roman"/>
              </w:rPr>
              <w:t>Pakiety kompensowania zawierające wyłącznie SFT określone</w:t>
            </w:r>
            <w:r w:rsidR="00835753" w:rsidRPr="00835753">
              <w:rPr>
                <w:rFonts w:ascii="Times New Roman" w:hAnsi="Times New Roman"/>
              </w:rPr>
              <w:t xml:space="preserve"> w</w:t>
            </w:r>
            <w:r w:rsidR="00835753">
              <w:rPr>
                <w:rFonts w:ascii="Times New Roman" w:hAnsi="Times New Roman"/>
              </w:rPr>
              <w:t> </w:t>
            </w:r>
            <w:r w:rsidR="00835753" w:rsidRPr="00835753">
              <w:rPr>
                <w:rFonts w:ascii="Times New Roman" w:hAnsi="Times New Roman"/>
              </w:rPr>
              <w:t>art</w:t>
            </w:r>
            <w:r w:rsidRPr="00835753">
              <w:rPr>
                <w:rFonts w:ascii="Times New Roman" w:hAnsi="Times New Roman"/>
              </w:rPr>
              <w:t>.</w:t>
            </w:r>
            <w:r w:rsidR="00835753" w:rsidRPr="00835753">
              <w:rPr>
                <w:rFonts w:ascii="Times New Roman" w:hAnsi="Times New Roman"/>
              </w:rPr>
              <w:t> </w:t>
            </w:r>
            <w:r w:rsidRPr="00835753">
              <w:rPr>
                <w:rFonts w:ascii="Times New Roman" w:hAnsi="Times New Roman"/>
              </w:rPr>
              <w:t>4 ust.</w:t>
            </w:r>
            <w:r w:rsidR="00835753" w:rsidRPr="00835753">
              <w:rPr>
                <w:rFonts w:ascii="Times New Roman" w:hAnsi="Times New Roman"/>
              </w:rPr>
              <w:t> </w:t>
            </w:r>
            <w:r w:rsidRPr="00835753">
              <w:rPr>
                <w:rFonts w:ascii="Times New Roman" w:hAnsi="Times New Roman"/>
              </w:rPr>
              <w:t>1 pkt</w:t>
            </w:r>
            <w:r w:rsidR="00835753" w:rsidRPr="00835753">
              <w:rPr>
                <w:rFonts w:ascii="Times New Roman" w:hAnsi="Times New Roman"/>
              </w:rPr>
              <w:t> </w:t>
            </w:r>
            <w:r w:rsidRPr="00835753">
              <w:rPr>
                <w:rFonts w:ascii="Times New Roman" w:hAnsi="Times New Roman"/>
              </w:rPr>
              <w:t>139 CRR, dla których instytucjom pozwolono na obliczenie wartości ekspozycji</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uży</w:t>
            </w:r>
            <w:r w:rsidRPr="00835753">
              <w:rPr>
                <w:rFonts w:ascii="Times New Roman" w:hAnsi="Times New Roman"/>
              </w:rPr>
              <w:t>ciem IMM</w:t>
            </w:r>
          </w:p>
        </w:tc>
      </w:tr>
      <w:tr w:rsidR="005710A4" w:rsidRPr="00835753" w14:paraId="72328FC2" w14:textId="77777777" w:rsidTr="00155C96">
        <w:trPr>
          <w:trHeight w:val="680"/>
        </w:trPr>
        <w:tc>
          <w:tcPr>
            <w:tcW w:w="1384" w:type="dxa"/>
          </w:tcPr>
          <w:p w14:paraId="1EECD513" w14:textId="77777777" w:rsidR="005710A4" w:rsidRPr="00835753" w:rsidRDefault="005710A4" w:rsidP="00155C96">
            <w:pPr>
              <w:pStyle w:val="Applicationdirecte"/>
              <w:spacing w:before="0" w:after="240"/>
              <w:jc w:val="center"/>
            </w:pPr>
            <w:r w:rsidRPr="00835753">
              <w:t>EU-2b</w:t>
            </w:r>
          </w:p>
        </w:tc>
        <w:tc>
          <w:tcPr>
            <w:tcW w:w="7655" w:type="dxa"/>
          </w:tcPr>
          <w:p w14:paraId="7EB705A7" w14:textId="7A5739BD" w:rsidR="005710A4" w:rsidRPr="00835753" w:rsidRDefault="005710A4" w:rsidP="00155C96">
            <w:pPr>
              <w:pStyle w:val="Default"/>
              <w:spacing w:after="240"/>
              <w:jc w:val="both"/>
              <w:rPr>
                <w:rFonts w:ascii="Times New Roman" w:hAnsi="Times New Roman" w:cs="Times New Roman"/>
                <w:b/>
              </w:rPr>
            </w:pPr>
            <w:proofErr w:type="gramStart"/>
            <w:r w:rsidRPr="00835753">
              <w:rPr>
                <w:rFonts w:ascii="Times New Roman" w:hAnsi="Times New Roman"/>
                <w:b/>
              </w:rPr>
              <w:t>w</w:t>
            </w:r>
            <w:proofErr w:type="gramEnd"/>
            <w:r w:rsidRPr="00835753">
              <w:rPr>
                <w:rFonts w:ascii="Times New Roman" w:hAnsi="Times New Roman"/>
                <w:b/>
              </w:rPr>
              <w:t xml:space="preserve"> tym pakiety kompensowania instrumentów pochodnych</w:t>
            </w:r>
            <w:r w:rsidR="00835753" w:rsidRPr="00835753">
              <w:rPr>
                <w:rFonts w:ascii="Times New Roman" w:hAnsi="Times New Roman"/>
                <w:b/>
              </w:rPr>
              <w:t xml:space="preserve"> i</w:t>
            </w:r>
            <w:r w:rsidR="00835753">
              <w:rPr>
                <w:rFonts w:ascii="Times New Roman" w:hAnsi="Times New Roman"/>
                <w:b/>
              </w:rPr>
              <w:t> </w:t>
            </w:r>
            <w:r w:rsidR="00835753" w:rsidRPr="00835753">
              <w:rPr>
                <w:rFonts w:ascii="Times New Roman" w:hAnsi="Times New Roman"/>
                <w:b/>
              </w:rPr>
              <w:t>tra</w:t>
            </w:r>
            <w:r w:rsidRPr="00835753">
              <w:rPr>
                <w:rFonts w:ascii="Times New Roman" w:hAnsi="Times New Roman"/>
                <w:b/>
              </w:rPr>
              <w:t>nsakcji</w:t>
            </w:r>
            <w:r w:rsidR="00835753" w:rsidRPr="00835753">
              <w:rPr>
                <w:rFonts w:ascii="Times New Roman" w:hAnsi="Times New Roman"/>
                <w:b/>
              </w:rPr>
              <w:t xml:space="preserve"> z</w:t>
            </w:r>
            <w:r w:rsidR="00835753">
              <w:rPr>
                <w:rFonts w:ascii="Times New Roman" w:hAnsi="Times New Roman"/>
                <w:b/>
              </w:rPr>
              <w:t> </w:t>
            </w:r>
            <w:r w:rsidR="00835753" w:rsidRPr="00835753">
              <w:rPr>
                <w:rFonts w:ascii="Times New Roman" w:hAnsi="Times New Roman"/>
                <w:b/>
              </w:rPr>
              <w:t>dłu</w:t>
            </w:r>
            <w:r w:rsidRPr="00835753">
              <w:rPr>
                <w:rFonts w:ascii="Times New Roman" w:hAnsi="Times New Roman"/>
                <w:b/>
              </w:rPr>
              <w:t>gim terminem rozliczenia</w:t>
            </w:r>
          </w:p>
          <w:p w14:paraId="4E60CA02" w14:textId="069FB61B" w:rsidR="005710A4" w:rsidRPr="00835753" w:rsidRDefault="005710A4" w:rsidP="00155C96">
            <w:pPr>
              <w:pStyle w:val="Default"/>
              <w:spacing w:after="240"/>
              <w:jc w:val="both"/>
              <w:rPr>
                <w:rFonts w:ascii="Times New Roman" w:hAnsi="Times New Roman" w:cs="Times New Roman"/>
                <w:i/>
              </w:rPr>
            </w:pPr>
            <w:r w:rsidRPr="00835753">
              <w:rPr>
                <w:rFonts w:ascii="Times New Roman" w:hAnsi="Times New Roman"/>
              </w:rPr>
              <w:t>Pakiety kompensowania zawierające wyłącznie instrumenty pochodne wymienione</w:t>
            </w:r>
            <w:r w:rsidR="00835753" w:rsidRPr="00835753">
              <w:rPr>
                <w:rFonts w:ascii="Times New Roman" w:hAnsi="Times New Roman"/>
              </w:rPr>
              <w:t xml:space="preserve"> w</w:t>
            </w:r>
            <w:r w:rsidR="00835753">
              <w:rPr>
                <w:rFonts w:ascii="Times New Roman" w:hAnsi="Times New Roman"/>
              </w:rPr>
              <w:t> </w:t>
            </w:r>
            <w:r w:rsidR="00835753" w:rsidRPr="00835753">
              <w:rPr>
                <w:rFonts w:ascii="Times New Roman" w:hAnsi="Times New Roman"/>
              </w:rPr>
              <w:t>zał</w:t>
            </w:r>
            <w:r w:rsidRPr="00835753">
              <w:rPr>
                <w:rFonts w:ascii="Times New Roman" w:hAnsi="Times New Roman"/>
              </w:rPr>
              <w:t>ączniku II do CRR oraz transakcje</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dłu</w:t>
            </w:r>
            <w:r w:rsidRPr="00835753">
              <w:rPr>
                <w:rFonts w:ascii="Times New Roman" w:hAnsi="Times New Roman"/>
              </w:rPr>
              <w:t xml:space="preserve">gim terminem </w:t>
            </w:r>
            <w:r w:rsidRPr="00835753">
              <w:rPr>
                <w:rFonts w:ascii="Times New Roman" w:hAnsi="Times New Roman"/>
              </w:rPr>
              <w:lastRenderedPageBreak/>
              <w:t>rozliczenia określone</w:t>
            </w:r>
            <w:r w:rsidR="00835753" w:rsidRPr="00835753">
              <w:rPr>
                <w:rFonts w:ascii="Times New Roman" w:hAnsi="Times New Roman"/>
              </w:rPr>
              <w:t xml:space="preserve"> w</w:t>
            </w:r>
            <w:r w:rsidR="00835753">
              <w:rPr>
                <w:rFonts w:ascii="Times New Roman" w:hAnsi="Times New Roman"/>
              </w:rPr>
              <w:t> </w:t>
            </w:r>
            <w:r w:rsidR="00835753" w:rsidRPr="00835753">
              <w:rPr>
                <w:rFonts w:ascii="Times New Roman" w:hAnsi="Times New Roman"/>
              </w:rPr>
              <w:t>art</w:t>
            </w:r>
            <w:r w:rsidRPr="00835753">
              <w:rPr>
                <w:rFonts w:ascii="Times New Roman" w:hAnsi="Times New Roman"/>
              </w:rPr>
              <w:t>.</w:t>
            </w:r>
            <w:r w:rsidR="00835753" w:rsidRPr="00835753">
              <w:rPr>
                <w:rFonts w:ascii="Times New Roman" w:hAnsi="Times New Roman"/>
              </w:rPr>
              <w:t> </w:t>
            </w:r>
            <w:r w:rsidRPr="00835753">
              <w:rPr>
                <w:rFonts w:ascii="Times New Roman" w:hAnsi="Times New Roman"/>
              </w:rPr>
              <w:t>272 pkt</w:t>
            </w:r>
            <w:r w:rsidR="00835753" w:rsidRPr="00835753">
              <w:rPr>
                <w:rFonts w:ascii="Times New Roman" w:hAnsi="Times New Roman"/>
              </w:rPr>
              <w:t> </w:t>
            </w:r>
            <w:r w:rsidRPr="00835753">
              <w:rPr>
                <w:rFonts w:ascii="Times New Roman" w:hAnsi="Times New Roman"/>
              </w:rPr>
              <w:t>2 CRR, dla których instytucjom pozwolono na obliczenie wartości ekspozycji</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uży</w:t>
            </w:r>
            <w:r w:rsidRPr="00835753">
              <w:rPr>
                <w:rFonts w:ascii="Times New Roman" w:hAnsi="Times New Roman"/>
              </w:rPr>
              <w:t>ciem IMM</w:t>
            </w:r>
          </w:p>
        </w:tc>
      </w:tr>
      <w:tr w:rsidR="005710A4" w:rsidRPr="00835753" w14:paraId="7C05BB47" w14:textId="77777777" w:rsidTr="00155C96">
        <w:trPr>
          <w:trHeight w:val="680"/>
        </w:trPr>
        <w:tc>
          <w:tcPr>
            <w:tcW w:w="1384" w:type="dxa"/>
          </w:tcPr>
          <w:p w14:paraId="18C1E7EF" w14:textId="77777777" w:rsidR="005710A4" w:rsidRPr="00835753" w:rsidRDefault="005710A4" w:rsidP="00155C96">
            <w:pPr>
              <w:pStyle w:val="Applicationdirecte"/>
              <w:spacing w:before="0" w:after="240"/>
              <w:jc w:val="center"/>
            </w:pPr>
            <w:r w:rsidRPr="00835753">
              <w:lastRenderedPageBreak/>
              <w:t>EU-2c</w:t>
            </w:r>
          </w:p>
        </w:tc>
        <w:tc>
          <w:tcPr>
            <w:tcW w:w="7655" w:type="dxa"/>
          </w:tcPr>
          <w:p w14:paraId="61EB8960" w14:textId="3E1190C6" w:rsidR="005710A4" w:rsidRPr="00835753" w:rsidRDefault="005710A4" w:rsidP="00155C96">
            <w:pPr>
              <w:pStyle w:val="Default"/>
              <w:spacing w:after="240"/>
              <w:jc w:val="both"/>
              <w:rPr>
                <w:rFonts w:ascii="Times New Roman" w:hAnsi="Times New Roman" w:cs="Times New Roman"/>
                <w:b/>
              </w:rPr>
            </w:pPr>
            <w:proofErr w:type="gramStart"/>
            <w:r w:rsidRPr="00835753">
              <w:rPr>
                <w:rFonts w:ascii="Times New Roman" w:hAnsi="Times New Roman"/>
                <w:b/>
              </w:rPr>
              <w:t>w</w:t>
            </w:r>
            <w:proofErr w:type="gramEnd"/>
            <w:r w:rsidRPr="00835753">
              <w:rPr>
                <w:rFonts w:ascii="Times New Roman" w:hAnsi="Times New Roman"/>
                <w:b/>
              </w:rPr>
              <w:t xml:space="preserve"> tym pakiety kompensowania, dla których istnieją umowy</w:t>
            </w:r>
            <w:r w:rsidR="00835753" w:rsidRPr="00835753">
              <w:rPr>
                <w:rFonts w:ascii="Times New Roman" w:hAnsi="Times New Roman"/>
                <w:b/>
              </w:rPr>
              <w:t xml:space="preserve"> o</w:t>
            </w:r>
            <w:r w:rsidR="00835753">
              <w:rPr>
                <w:rFonts w:ascii="Times New Roman" w:hAnsi="Times New Roman"/>
                <w:b/>
              </w:rPr>
              <w:t> </w:t>
            </w:r>
            <w:r w:rsidR="00835753" w:rsidRPr="00835753">
              <w:rPr>
                <w:rFonts w:ascii="Times New Roman" w:hAnsi="Times New Roman"/>
                <w:b/>
              </w:rPr>
              <w:t>kom</w:t>
            </w:r>
            <w:r w:rsidRPr="00835753">
              <w:rPr>
                <w:rFonts w:ascii="Times New Roman" w:hAnsi="Times New Roman"/>
                <w:b/>
              </w:rPr>
              <w:t>pensowaniu międzyproduktowym</w:t>
            </w:r>
          </w:p>
          <w:p w14:paraId="240201A4" w14:textId="5E0CF017" w:rsidR="005710A4" w:rsidRPr="00835753" w:rsidRDefault="005710A4" w:rsidP="00155C96">
            <w:pPr>
              <w:pStyle w:val="Default"/>
              <w:spacing w:after="240"/>
              <w:jc w:val="both"/>
              <w:rPr>
                <w:rFonts w:ascii="Times New Roman" w:hAnsi="Times New Roman" w:cs="Times New Roman"/>
                <w:i/>
              </w:rPr>
            </w:pPr>
            <w:r w:rsidRPr="00835753">
              <w:rPr>
                <w:rFonts w:ascii="Times New Roman" w:hAnsi="Times New Roman"/>
              </w:rPr>
              <w:t>Pakiety kompensowania zawierające transakcje dotyczące różnych kategorii produktów (art.</w:t>
            </w:r>
            <w:r w:rsidR="00835753" w:rsidRPr="00835753">
              <w:rPr>
                <w:rFonts w:ascii="Times New Roman" w:hAnsi="Times New Roman"/>
              </w:rPr>
              <w:t> </w:t>
            </w:r>
            <w:r w:rsidRPr="00835753">
              <w:rPr>
                <w:rFonts w:ascii="Times New Roman" w:hAnsi="Times New Roman"/>
              </w:rPr>
              <w:t>272 pkt</w:t>
            </w:r>
            <w:r w:rsidR="00835753" w:rsidRPr="00835753">
              <w:rPr>
                <w:rFonts w:ascii="Times New Roman" w:hAnsi="Times New Roman"/>
              </w:rPr>
              <w:t> </w:t>
            </w:r>
            <w:r w:rsidRPr="00835753">
              <w:rPr>
                <w:rFonts w:ascii="Times New Roman" w:hAnsi="Times New Roman"/>
              </w:rPr>
              <w:t>11 CRR), tj. instrumenty pochodne i SFT, dla których istnieje umowa</w:t>
            </w:r>
            <w:r w:rsidR="00835753" w:rsidRPr="00835753">
              <w:rPr>
                <w:rFonts w:ascii="Times New Roman" w:hAnsi="Times New Roman"/>
              </w:rPr>
              <w:t xml:space="preserve"> o</w:t>
            </w:r>
            <w:r w:rsidR="00835753">
              <w:rPr>
                <w:rFonts w:ascii="Times New Roman" w:hAnsi="Times New Roman"/>
              </w:rPr>
              <w:t> </w:t>
            </w:r>
            <w:r w:rsidR="00835753" w:rsidRPr="00835753">
              <w:rPr>
                <w:rFonts w:ascii="Times New Roman" w:hAnsi="Times New Roman"/>
              </w:rPr>
              <w:t>kom</w:t>
            </w:r>
            <w:r w:rsidRPr="00835753">
              <w:rPr>
                <w:rFonts w:ascii="Times New Roman" w:hAnsi="Times New Roman"/>
              </w:rPr>
              <w:t>pensowaniu międzyproduktowym określona</w:t>
            </w:r>
            <w:r w:rsidR="00835753" w:rsidRPr="00835753">
              <w:rPr>
                <w:rFonts w:ascii="Times New Roman" w:hAnsi="Times New Roman"/>
              </w:rPr>
              <w:t xml:space="preserve"> w</w:t>
            </w:r>
            <w:r w:rsidR="00835753">
              <w:rPr>
                <w:rFonts w:ascii="Times New Roman" w:hAnsi="Times New Roman"/>
              </w:rPr>
              <w:t> </w:t>
            </w:r>
            <w:r w:rsidR="00835753" w:rsidRPr="00835753">
              <w:rPr>
                <w:rFonts w:ascii="Times New Roman" w:hAnsi="Times New Roman"/>
              </w:rPr>
              <w:t>art</w:t>
            </w:r>
            <w:r w:rsidRPr="00835753">
              <w:rPr>
                <w:rFonts w:ascii="Times New Roman" w:hAnsi="Times New Roman"/>
              </w:rPr>
              <w:t>.</w:t>
            </w:r>
            <w:r w:rsidR="00835753" w:rsidRPr="00835753">
              <w:rPr>
                <w:rFonts w:ascii="Times New Roman" w:hAnsi="Times New Roman"/>
              </w:rPr>
              <w:t> </w:t>
            </w:r>
            <w:r w:rsidRPr="00835753">
              <w:rPr>
                <w:rFonts w:ascii="Times New Roman" w:hAnsi="Times New Roman"/>
              </w:rPr>
              <w:t>272 pkt</w:t>
            </w:r>
            <w:r w:rsidR="00835753" w:rsidRPr="00835753">
              <w:rPr>
                <w:rFonts w:ascii="Times New Roman" w:hAnsi="Times New Roman"/>
              </w:rPr>
              <w:t> </w:t>
            </w:r>
            <w:r w:rsidRPr="00835753">
              <w:rPr>
                <w:rFonts w:ascii="Times New Roman" w:hAnsi="Times New Roman"/>
              </w:rPr>
              <w:t>25 CRR</w:t>
            </w:r>
            <w:r w:rsidR="00835753" w:rsidRPr="00835753">
              <w:rPr>
                <w:rFonts w:ascii="Times New Roman" w:hAnsi="Times New Roman"/>
              </w:rPr>
              <w:t xml:space="preserve"> i</w:t>
            </w:r>
            <w:r w:rsidR="00835753">
              <w:rPr>
                <w:rFonts w:ascii="Times New Roman" w:hAnsi="Times New Roman"/>
              </w:rPr>
              <w:t> </w:t>
            </w:r>
            <w:r w:rsidR="00835753" w:rsidRPr="00835753">
              <w:rPr>
                <w:rFonts w:ascii="Times New Roman" w:hAnsi="Times New Roman"/>
              </w:rPr>
              <w:t>dla</w:t>
            </w:r>
            <w:r w:rsidRPr="00835753">
              <w:rPr>
                <w:rFonts w:ascii="Times New Roman" w:hAnsi="Times New Roman"/>
              </w:rPr>
              <w:t xml:space="preserve"> których instytucjom pozwolono na obliczenie wartości ekspozycji</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uży</w:t>
            </w:r>
            <w:r w:rsidRPr="00835753">
              <w:rPr>
                <w:rFonts w:ascii="Times New Roman" w:hAnsi="Times New Roman"/>
              </w:rPr>
              <w:t>ciem IMM</w:t>
            </w:r>
          </w:p>
        </w:tc>
      </w:tr>
      <w:tr w:rsidR="005710A4" w:rsidRPr="00835753" w14:paraId="0575C386" w14:textId="77777777" w:rsidTr="00155C96">
        <w:trPr>
          <w:trHeight w:val="680"/>
        </w:trPr>
        <w:tc>
          <w:tcPr>
            <w:tcW w:w="1384" w:type="dxa"/>
          </w:tcPr>
          <w:p w14:paraId="02EE96AC" w14:textId="411FD751" w:rsidR="005710A4" w:rsidRPr="00835753" w:rsidRDefault="00A03D37" w:rsidP="00A03D37">
            <w:pPr>
              <w:pStyle w:val="Applicationdirecte"/>
              <w:spacing w:before="0" w:after="240"/>
              <w:jc w:val="center"/>
            </w:pPr>
            <w:r w:rsidRPr="00835753">
              <w:t>3, 4</w:t>
            </w:r>
          </w:p>
        </w:tc>
        <w:tc>
          <w:tcPr>
            <w:tcW w:w="7655" w:type="dxa"/>
          </w:tcPr>
          <w:p w14:paraId="1616EBF9" w14:textId="665B9B46" w:rsidR="005710A4" w:rsidRPr="00835753" w:rsidRDefault="005710A4" w:rsidP="00155C96">
            <w:pPr>
              <w:pStyle w:val="TableMainHeading"/>
              <w:spacing w:before="0" w:after="240"/>
              <w:jc w:val="both"/>
              <w:rPr>
                <w:rFonts w:ascii="Times New Roman" w:hAnsi="Times New Roman"/>
                <w:b/>
                <w:sz w:val="24"/>
                <w:szCs w:val="24"/>
              </w:rPr>
            </w:pPr>
            <w:r w:rsidRPr="00835753">
              <w:rPr>
                <w:rFonts w:ascii="Times New Roman" w:hAnsi="Times New Roman"/>
                <w:b/>
                <w:sz w:val="24"/>
                <w:szCs w:val="24"/>
              </w:rPr>
              <w:t>Uproszczona metoda ujmowania zabezpieczeń finansowych (w odniesieniu do SFT)</w:t>
            </w:r>
            <w:r w:rsidR="00835753" w:rsidRPr="00835753">
              <w:rPr>
                <w:rFonts w:ascii="Times New Roman" w:hAnsi="Times New Roman"/>
                <w:b/>
                <w:sz w:val="24"/>
                <w:szCs w:val="24"/>
              </w:rPr>
              <w:t xml:space="preserve"> i</w:t>
            </w:r>
            <w:r w:rsidR="00835753">
              <w:rPr>
                <w:rFonts w:ascii="Times New Roman" w:hAnsi="Times New Roman"/>
                <w:b/>
                <w:sz w:val="24"/>
                <w:szCs w:val="24"/>
              </w:rPr>
              <w:t> </w:t>
            </w:r>
            <w:r w:rsidR="00835753" w:rsidRPr="00835753">
              <w:rPr>
                <w:rFonts w:ascii="Times New Roman" w:hAnsi="Times New Roman"/>
                <w:b/>
                <w:sz w:val="24"/>
                <w:szCs w:val="24"/>
              </w:rPr>
              <w:t>kom</w:t>
            </w:r>
            <w:r w:rsidRPr="00835753">
              <w:rPr>
                <w:rFonts w:ascii="Times New Roman" w:hAnsi="Times New Roman"/>
                <w:b/>
                <w:sz w:val="24"/>
                <w:szCs w:val="24"/>
              </w:rPr>
              <w:t>pleksowa metoda ujmowania zabezpieczeń finansowych (w odniesieniu do SFT)</w:t>
            </w:r>
          </w:p>
          <w:p w14:paraId="08677EBD" w14:textId="2DBAC409" w:rsidR="005710A4" w:rsidRPr="00835753" w:rsidRDefault="005710A4" w:rsidP="00155C96">
            <w:pPr>
              <w:pStyle w:val="TableMainHeading"/>
              <w:spacing w:before="0" w:after="240"/>
              <w:jc w:val="both"/>
              <w:rPr>
                <w:rFonts w:ascii="Times New Roman" w:hAnsi="Times New Roman"/>
                <w:i/>
                <w:sz w:val="24"/>
                <w:szCs w:val="24"/>
              </w:rPr>
            </w:pPr>
            <w:r w:rsidRPr="00835753">
              <w:rPr>
                <w:rFonts w:ascii="Times New Roman" w:hAnsi="Times New Roman"/>
                <w:sz w:val="24"/>
                <w:szCs w:val="24"/>
              </w:rPr>
              <w:t>Transakcje odkupu, transakcje udzielania lub zaciągania pożyczek papierów wartościowych lub towarów</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tra</w:t>
            </w:r>
            <w:r w:rsidRPr="00835753">
              <w:rPr>
                <w:rFonts w:ascii="Times New Roman" w:hAnsi="Times New Roman"/>
                <w:sz w:val="24"/>
                <w:szCs w:val="24"/>
              </w:rPr>
              <w:t>nsakcje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obo</w:t>
            </w:r>
            <w:r w:rsidRPr="00835753">
              <w:rPr>
                <w:rFonts w:ascii="Times New Roman" w:hAnsi="Times New Roman"/>
                <w:sz w:val="24"/>
                <w:szCs w:val="24"/>
              </w:rPr>
              <w:t>wiązkiem uzupełnienia zabezpieczenia kredytowego, dla których instytucje postanowiły ustalić wartość ekspozycji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ścią trzecią tytuł II rozdział 4 art.</w:t>
            </w:r>
            <w:r w:rsidR="00835753" w:rsidRPr="00835753">
              <w:rPr>
                <w:rFonts w:ascii="Times New Roman" w:hAnsi="Times New Roman"/>
                <w:sz w:val="24"/>
                <w:szCs w:val="24"/>
              </w:rPr>
              <w:t> </w:t>
            </w:r>
            <w:r w:rsidRPr="00835753">
              <w:rPr>
                <w:rFonts w:ascii="Times New Roman" w:hAnsi="Times New Roman"/>
                <w:sz w:val="24"/>
                <w:szCs w:val="24"/>
              </w:rPr>
              <w:t>222</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2</w:t>
            </w:r>
            <w:r w:rsidRPr="00835753">
              <w:rPr>
                <w:rFonts w:ascii="Times New Roman" w:hAnsi="Times New Roman"/>
                <w:sz w:val="24"/>
                <w:szCs w:val="24"/>
              </w:rPr>
              <w:t>23 CRR,</w:t>
            </w:r>
            <w:r w:rsidR="00835753" w:rsidRPr="00835753">
              <w:rPr>
                <w:rFonts w:ascii="Times New Roman" w:hAnsi="Times New Roman"/>
                <w:sz w:val="24"/>
                <w:szCs w:val="24"/>
              </w:rPr>
              <w:t xml:space="preserve"> a</w:t>
            </w:r>
            <w:r w:rsidR="00835753">
              <w:rPr>
                <w:rFonts w:ascii="Times New Roman" w:hAnsi="Times New Roman"/>
                <w:sz w:val="24"/>
                <w:szCs w:val="24"/>
              </w:rPr>
              <w:t> </w:t>
            </w:r>
            <w:r w:rsidR="00835753" w:rsidRPr="00835753">
              <w:rPr>
                <w:rFonts w:ascii="Times New Roman" w:hAnsi="Times New Roman"/>
                <w:sz w:val="24"/>
                <w:szCs w:val="24"/>
              </w:rPr>
              <w:t>nie z</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ścią trzecią tytuł II rozdział 6 art.</w:t>
            </w:r>
            <w:r w:rsidR="00835753" w:rsidRPr="00835753">
              <w:rPr>
                <w:rFonts w:ascii="Times New Roman" w:hAnsi="Times New Roman"/>
                <w:sz w:val="24"/>
                <w:szCs w:val="24"/>
              </w:rPr>
              <w:t> </w:t>
            </w:r>
            <w:r w:rsidRPr="00835753">
              <w:rPr>
                <w:rFonts w:ascii="Times New Roman" w:hAnsi="Times New Roman"/>
                <w:sz w:val="24"/>
                <w:szCs w:val="24"/>
              </w:rPr>
              <w:t>271 ust.</w:t>
            </w:r>
            <w:r w:rsidR="00835753" w:rsidRPr="00835753">
              <w:rPr>
                <w:rFonts w:ascii="Times New Roman" w:hAnsi="Times New Roman"/>
                <w:sz w:val="24"/>
                <w:szCs w:val="24"/>
              </w:rPr>
              <w:t> </w:t>
            </w:r>
            <w:r w:rsidRPr="00835753">
              <w:rPr>
                <w:rFonts w:ascii="Times New Roman" w:hAnsi="Times New Roman"/>
                <w:sz w:val="24"/>
                <w:szCs w:val="24"/>
              </w:rPr>
              <w:t>2 CRR</w:t>
            </w:r>
          </w:p>
        </w:tc>
      </w:tr>
      <w:tr w:rsidR="005710A4" w:rsidRPr="00835753" w14:paraId="5E414CD6" w14:textId="77777777" w:rsidTr="00155C96">
        <w:trPr>
          <w:trHeight w:val="680"/>
        </w:trPr>
        <w:tc>
          <w:tcPr>
            <w:tcW w:w="1384" w:type="dxa"/>
          </w:tcPr>
          <w:p w14:paraId="11DA9B43" w14:textId="315F2872" w:rsidR="005710A4" w:rsidRPr="00835753" w:rsidRDefault="005F3D92" w:rsidP="00155C96">
            <w:pPr>
              <w:pStyle w:val="Applicationdirecte"/>
              <w:spacing w:before="0" w:after="240"/>
              <w:jc w:val="center"/>
              <w:rPr>
                <w:highlight w:val="yellow"/>
              </w:rPr>
            </w:pPr>
            <w:r w:rsidRPr="00835753">
              <w:t>5</w:t>
            </w:r>
          </w:p>
        </w:tc>
        <w:tc>
          <w:tcPr>
            <w:tcW w:w="7655" w:type="dxa"/>
          </w:tcPr>
          <w:p w14:paraId="0A8319EE" w14:textId="65C3E907" w:rsidR="005710A4" w:rsidRPr="00835753" w:rsidRDefault="005710A4" w:rsidP="00155C96">
            <w:pPr>
              <w:pStyle w:val="TableMainHeading"/>
              <w:spacing w:before="0" w:after="240"/>
              <w:jc w:val="both"/>
              <w:rPr>
                <w:rFonts w:ascii="Times New Roman" w:hAnsi="Times New Roman"/>
                <w:b/>
                <w:sz w:val="24"/>
                <w:szCs w:val="24"/>
              </w:rPr>
            </w:pPr>
            <w:r w:rsidRPr="00835753">
              <w:rPr>
                <w:rFonts w:ascii="Times New Roman" w:hAnsi="Times New Roman"/>
                <w:b/>
                <w:sz w:val="24"/>
                <w:szCs w:val="24"/>
              </w:rPr>
              <w:t>VaR</w:t>
            </w:r>
            <w:r w:rsidR="00835753" w:rsidRPr="00835753">
              <w:rPr>
                <w:rFonts w:ascii="Times New Roman" w:hAnsi="Times New Roman"/>
                <w:b/>
                <w:sz w:val="24"/>
                <w:szCs w:val="24"/>
              </w:rPr>
              <w:t xml:space="preserve"> w</w:t>
            </w:r>
            <w:r w:rsidR="00835753">
              <w:rPr>
                <w:rFonts w:ascii="Times New Roman" w:hAnsi="Times New Roman"/>
                <w:b/>
                <w:sz w:val="24"/>
                <w:szCs w:val="24"/>
              </w:rPr>
              <w:t> </w:t>
            </w:r>
            <w:r w:rsidR="00835753" w:rsidRPr="00835753">
              <w:rPr>
                <w:rFonts w:ascii="Times New Roman" w:hAnsi="Times New Roman"/>
                <w:b/>
                <w:sz w:val="24"/>
                <w:szCs w:val="24"/>
              </w:rPr>
              <w:t>prz</w:t>
            </w:r>
            <w:r w:rsidRPr="00835753">
              <w:rPr>
                <w:rFonts w:ascii="Times New Roman" w:hAnsi="Times New Roman"/>
                <w:b/>
                <w:sz w:val="24"/>
                <w:szCs w:val="24"/>
              </w:rPr>
              <w:t>ypadku SFT</w:t>
            </w:r>
          </w:p>
          <w:p w14:paraId="628688F7" w14:textId="5EA95932" w:rsidR="005710A4" w:rsidRPr="00835753" w:rsidRDefault="005710A4" w:rsidP="00155C96">
            <w:pPr>
              <w:pStyle w:val="TableMainHeading"/>
              <w:spacing w:before="0" w:after="240"/>
              <w:jc w:val="both"/>
              <w:rPr>
                <w:rFonts w:ascii="Times New Roman" w:hAnsi="Times New Roman"/>
                <w:i/>
                <w:sz w:val="24"/>
                <w:szCs w:val="24"/>
              </w:rPr>
            </w:pPr>
            <w:r w:rsidRPr="00835753">
              <w:rPr>
                <w:rFonts w:ascii="Times New Roman" w:hAnsi="Times New Roman"/>
                <w:sz w:val="24"/>
                <w:szCs w:val="24"/>
              </w:rPr>
              <w:t>Transakcje odkupu, transakcje udzielania lub zaciągania pożyczek papierów wartościowych lub towarów, transakcje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obo</w:t>
            </w:r>
            <w:r w:rsidRPr="00835753">
              <w:rPr>
                <w:rFonts w:ascii="Times New Roman" w:hAnsi="Times New Roman"/>
                <w:sz w:val="24"/>
                <w:szCs w:val="24"/>
              </w:rPr>
              <w:t>wiązkiem uzupełnienia zabezpieczenia kredytowego lub inne transakcje oparte na rynku kapitałowym inne niż transakcje na instrumentach pochodnych, dla których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221 CRR) wartość ekspozycji oblicza się przy zastosowaniu metody modeli wewnętrznych uwzględniającej skutki korelacji pomiędzy pozycjami sekurytyzacyjnymi objętymi umową ramową</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kom</w:t>
            </w:r>
            <w:r w:rsidRPr="00835753">
              <w:rPr>
                <w:rFonts w:ascii="Times New Roman" w:hAnsi="Times New Roman"/>
                <w:sz w:val="24"/>
                <w:szCs w:val="24"/>
              </w:rPr>
              <w:t>pensowaniu zobowiązań oraz płynność danych instrumentów</w:t>
            </w:r>
          </w:p>
        </w:tc>
      </w:tr>
      <w:tr w:rsidR="005710A4" w:rsidRPr="00835753" w14:paraId="1B0E0B1F" w14:textId="77777777" w:rsidTr="00155C96">
        <w:trPr>
          <w:trHeight w:val="680"/>
        </w:trPr>
        <w:tc>
          <w:tcPr>
            <w:tcW w:w="1384" w:type="dxa"/>
          </w:tcPr>
          <w:p w14:paraId="0A2D972B" w14:textId="6094552B" w:rsidR="005710A4" w:rsidRPr="00835753" w:rsidRDefault="005F3D92" w:rsidP="00155C96">
            <w:pPr>
              <w:pStyle w:val="Applicationdirecte"/>
              <w:spacing w:before="0" w:after="240"/>
              <w:jc w:val="center"/>
            </w:pPr>
            <w:r w:rsidRPr="00835753">
              <w:t>6</w:t>
            </w:r>
          </w:p>
        </w:tc>
        <w:tc>
          <w:tcPr>
            <w:tcW w:w="7655" w:type="dxa"/>
          </w:tcPr>
          <w:p w14:paraId="120D15E7" w14:textId="77777777" w:rsidR="005710A4" w:rsidRPr="00835753" w:rsidRDefault="005710A4" w:rsidP="00155C96">
            <w:pPr>
              <w:pStyle w:val="TableMainHeading"/>
              <w:spacing w:before="0" w:after="240"/>
              <w:jc w:val="both"/>
              <w:rPr>
                <w:rFonts w:ascii="Times New Roman" w:hAnsi="Times New Roman"/>
                <w:b/>
                <w:sz w:val="24"/>
                <w:szCs w:val="24"/>
              </w:rPr>
            </w:pPr>
            <w:r w:rsidRPr="00835753">
              <w:rPr>
                <w:rFonts w:ascii="Times New Roman" w:hAnsi="Times New Roman"/>
                <w:b/>
                <w:sz w:val="24"/>
                <w:szCs w:val="24"/>
              </w:rPr>
              <w:t>Ogółem</w:t>
            </w:r>
          </w:p>
        </w:tc>
      </w:tr>
      <w:tr w:rsidR="005710A4" w:rsidRPr="00835753"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835753" w:rsidRDefault="005710A4" w:rsidP="00155C96">
            <w:pPr>
              <w:pStyle w:val="Applicationdirecte"/>
              <w:spacing w:before="0" w:after="240"/>
              <w:jc w:val="center"/>
              <w:rPr>
                <w:b/>
              </w:rPr>
            </w:pPr>
            <w:r w:rsidRPr="00835753">
              <w:rPr>
                <w:b/>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835753" w:rsidRDefault="005710A4" w:rsidP="00155C96">
            <w:pPr>
              <w:pStyle w:val="TableMainHeading"/>
              <w:spacing w:before="0" w:after="240"/>
              <w:rPr>
                <w:rFonts w:ascii="Times New Roman" w:hAnsi="Times New Roman"/>
                <w:b/>
                <w:sz w:val="24"/>
                <w:szCs w:val="24"/>
              </w:rPr>
            </w:pPr>
            <w:r w:rsidRPr="00835753">
              <w:rPr>
                <w:rFonts w:ascii="Times New Roman" w:hAnsi="Times New Roman"/>
                <w:b/>
                <w:sz w:val="24"/>
                <w:szCs w:val="24"/>
              </w:rPr>
              <w:t>Wyjaśnienie</w:t>
            </w:r>
          </w:p>
        </w:tc>
      </w:tr>
      <w:tr w:rsidR="005710A4" w:rsidRPr="00835753"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79056660" w:rsidR="005710A4" w:rsidRPr="00835753" w:rsidRDefault="005F3D92" w:rsidP="00155C96">
            <w:pPr>
              <w:pStyle w:val="Applicationdirecte"/>
              <w:spacing w:before="0" w:after="240"/>
              <w:jc w:val="center"/>
            </w:pPr>
            <w:proofErr w:type="gramStart"/>
            <w:r w:rsidRPr="00835753">
              <w:t>a</w:t>
            </w:r>
            <w:proofErr w:type="gramEnd"/>
            <w:r w:rsidR="00892879">
              <w:t>)</w:t>
            </w:r>
            <w:r w:rsidRPr="00835753">
              <w:t>, b</w:t>
            </w:r>
            <w:r w:rsidR="00892879">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BFC7A2" w14:textId="021194B7" w:rsidR="005710A4" w:rsidRPr="00835753" w:rsidRDefault="005710A4" w:rsidP="00155C96">
            <w:pPr>
              <w:pStyle w:val="TableMainHeading"/>
              <w:spacing w:before="0" w:after="240"/>
              <w:jc w:val="both"/>
              <w:rPr>
                <w:rFonts w:ascii="Times New Roman" w:hAnsi="Times New Roman"/>
                <w:b/>
                <w:sz w:val="24"/>
                <w:szCs w:val="24"/>
              </w:rPr>
            </w:pPr>
            <w:r w:rsidRPr="00835753">
              <w:rPr>
                <w:rFonts w:ascii="Times New Roman" w:hAnsi="Times New Roman"/>
                <w:b/>
                <w:sz w:val="24"/>
                <w:szCs w:val="24"/>
              </w:rPr>
              <w:t>Koszt odtworzenia (RC)</w:t>
            </w:r>
            <w:r w:rsidR="00835753" w:rsidRPr="00835753">
              <w:rPr>
                <w:rFonts w:ascii="Times New Roman" w:hAnsi="Times New Roman"/>
                <w:b/>
                <w:sz w:val="24"/>
                <w:szCs w:val="24"/>
              </w:rPr>
              <w:t xml:space="preserve"> i</w:t>
            </w:r>
            <w:r w:rsidR="00835753">
              <w:rPr>
                <w:rFonts w:ascii="Times New Roman" w:hAnsi="Times New Roman"/>
                <w:b/>
                <w:sz w:val="24"/>
                <w:szCs w:val="24"/>
              </w:rPr>
              <w:t> </w:t>
            </w:r>
            <w:r w:rsidR="00835753" w:rsidRPr="00835753">
              <w:rPr>
                <w:rFonts w:ascii="Times New Roman" w:hAnsi="Times New Roman"/>
                <w:b/>
                <w:sz w:val="24"/>
                <w:szCs w:val="24"/>
              </w:rPr>
              <w:t>pot</w:t>
            </w:r>
            <w:r w:rsidRPr="00835753">
              <w:rPr>
                <w:rFonts w:ascii="Times New Roman" w:hAnsi="Times New Roman"/>
                <w:b/>
                <w:sz w:val="24"/>
                <w:szCs w:val="24"/>
              </w:rPr>
              <w:t xml:space="preserve">encjalna przyszła ekspozycja (PFE) </w:t>
            </w:r>
          </w:p>
          <w:p w14:paraId="385A7715" w14:textId="77777777" w:rsidR="005710A4" w:rsidRPr="00835753" w:rsidRDefault="005710A4" w:rsidP="00155C96">
            <w:pPr>
              <w:pStyle w:val="TableMainHeading"/>
              <w:spacing w:before="0" w:after="240"/>
              <w:jc w:val="both"/>
              <w:rPr>
                <w:rFonts w:ascii="Times New Roman" w:hAnsi="Times New Roman"/>
                <w:sz w:val="24"/>
                <w:szCs w:val="24"/>
              </w:rPr>
            </w:pPr>
            <w:r w:rsidRPr="00835753">
              <w:rPr>
                <w:rFonts w:ascii="Times New Roman" w:hAnsi="Times New Roman"/>
                <w:sz w:val="24"/>
                <w:szCs w:val="24"/>
              </w:rPr>
              <w:t>RC i PFE oblicza się:</w:t>
            </w:r>
          </w:p>
          <w:p w14:paraId="01972352" w14:textId="1D72415B" w:rsidR="005710A4" w:rsidRPr="00835753" w:rsidRDefault="005710A4" w:rsidP="00155C96">
            <w:pPr>
              <w:pStyle w:val="TableMainHeading"/>
              <w:spacing w:before="0" w:after="240"/>
              <w:jc w:val="both"/>
              <w:rPr>
                <w:rFonts w:ascii="Times New Roman" w:hAnsi="Times New Roman"/>
                <w:sz w:val="24"/>
                <w:szCs w:val="24"/>
              </w:rPr>
            </w:pPr>
            <w:r w:rsidRPr="00835753">
              <w:rPr>
                <w:rFonts w:ascii="Times New Roman" w:hAnsi="Times New Roman"/>
                <w:sz w:val="24"/>
                <w:szCs w:val="24"/>
              </w:rPr>
              <w:t>–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ścią trzecią tytuł II rozdział 6 sekcja 5 art.</w:t>
            </w:r>
            <w:r w:rsidR="00835753" w:rsidRPr="00835753">
              <w:rPr>
                <w:rFonts w:ascii="Times New Roman" w:hAnsi="Times New Roman"/>
                <w:sz w:val="24"/>
                <w:szCs w:val="24"/>
              </w:rPr>
              <w:t> </w:t>
            </w:r>
            <w:r w:rsidRPr="00835753">
              <w:rPr>
                <w:rFonts w:ascii="Times New Roman" w:hAnsi="Times New Roman"/>
                <w:sz w:val="24"/>
                <w:szCs w:val="24"/>
              </w:rPr>
              <w:t>282 ust.</w:t>
            </w:r>
            <w:r w:rsidR="00835753" w:rsidRPr="00835753">
              <w:rPr>
                <w:rFonts w:ascii="Times New Roman" w:hAnsi="Times New Roman"/>
                <w:sz w:val="24"/>
                <w:szCs w:val="24"/>
              </w:rPr>
              <w:t> </w:t>
            </w:r>
            <w:r w:rsidRPr="00835753">
              <w:rPr>
                <w:rFonts w:ascii="Times New Roman" w:hAnsi="Times New Roman"/>
                <w:sz w:val="24"/>
                <w:szCs w:val="24"/>
              </w:rPr>
              <w:t>3</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4</w:t>
            </w:r>
            <w:r w:rsidRPr="00835753">
              <w:rPr>
                <w:rFonts w:ascii="Times New Roman" w:hAnsi="Times New Roman"/>
                <w:sz w:val="24"/>
                <w:szCs w:val="24"/>
              </w:rPr>
              <w:t xml:space="preserve"> CRR</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odn</w:t>
            </w:r>
            <w:r w:rsidRPr="00835753">
              <w:rPr>
                <w:rFonts w:ascii="Times New Roman" w:hAnsi="Times New Roman"/>
                <w:sz w:val="24"/>
                <w:szCs w:val="24"/>
              </w:rPr>
              <w:t xml:space="preserve">iesieniu do metody wyceny pierwotnej ekspozycji (wiersz EU-1 niniejszego wzoru); </w:t>
            </w:r>
          </w:p>
          <w:p w14:paraId="1E32A73B" w14:textId="32B24145" w:rsidR="005710A4" w:rsidRPr="00835753" w:rsidRDefault="005710A4" w:rsidP="00155C96">
            <w:pPr>
              <w:pStyle w:val="TableMainHeading"/>
              <w:spacing w:before="0" w:after="240"/>
              <w:jc w:val="both"/>
              <w:rPr>
                <w:rFonts w:ascii="Times New Roman" w:hAnsi="Times New Roman"/>
                <w:sz w:val="24"/>
                <w:szCs w:val="24"/>
              </w:rPr>
            </w:pPr>
            <w:r w:rsidRPr="00835753">
              <w:rPr>
                <w:rFonts w:ascii="Times New Roman" w:hAnsi="Times New Roman"/>
                <w:sz w:val="24"/>
                <w:szCs w:val="24"/>
              </w:rPr>
              <w:lastRenderedPageBreak/>
              <w:t>–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ścią trzecią tytuł II rozdział 6 sekcja 5 art.</w:t>
            </w:r>
            <w:r w:rsidR="00835753" w:rsidRPr="00835753">
              <w:rPr>
                <w:rFonts w:ascii="Times New Roman" w:hAnsi="Times New Roman"/>
                <w:sz w:val="24"/>
                <w:szCs w:val="24"/>
              </w:rPr>
              <w:t> </w:t>
            </w:r>
            <w:r w:rsidRPr="00835753">
              <w:rPr>
                <w:rFonts w:ascii="Times New Roman" w:hAnsi="Times New Roman"/>
                <w:sz w:val="24"/>
                <w:szCs w:val="24"/>
              </w:rPr>
              <w:t>281 CRR</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odn</w:t>
            </w:r>
            <w:r w:rsidRPr="00835753">
              <w:rPr>
                <w:rFonts w:ascii="Times New Roman" w:hAnsi="Times New Roman"/>
                <w:sz w:val="24"/>
                <w:szCs w:val="24"/>
              </w:rPr>
              <w:t>iesieniu do uproszczonej metody standardowej dotyczącej ryzyka kredytowego kontrahenta (wiersz EU-2 niniejszego wzoru);</w:t>
            </w:r>
          </w:p>
          <w:p w14:paraId="18463CE2" w14:textId="04DC0E7C" w:rsidR="005710A4" w:rsidRPr="00835753" w:rsidRDefault="005710A4" w:rsidP="00155C96">
            <w:pPr>
              <w:pStyle w:val="TableMainHeading"/>
              <w:spacing w:before="0" w:after="240"/>
              <w:jc w:val="both"/>
              <w:rPr>
                <w:rFonts w:ascii="Times New Roman" w:hAnsi="Times New Roman"/>
                <w:sz w:val="24"/>
                <w:szCs w:val="24"/>
              </w:rPr>
            </w:pPr>
            <w:r w:rsidRPr="00835753">
              <w:rPr>
                <w:rFonts w:ascii="Times New Roman" w:hAnsi="Times New Roman"/>
                <w:sz w:val="24"/>
                <w:szCs w:val="24"/>
              </w:rPr>
              <w:t>–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ścią trzecią tytuł II rozdział 6 sekcje 4</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5</w:t>
            </w:r>
            <w:r w:rsidRPr="00835753">
              <w:rPr>
                <w:rFonts w:ascii="Times New Roman" w:hAnsi="Times New Roman"/>
                <w:sz w:val="24"/>
                <w:szCs w:val="24"/>
              </w:rPr>
              <w:t xml:space="preserve"> art.</w:t>
            </w:r>
            <w:r w:rsidR="00835753" w:rsidRPr="00835753">
              <w:rPr>
                <w:rFonts w:ascii="Times New Roman" w:hAnsi="Times New Roman"/>
                <w:sz w:val="24"/>
                <w:szCs w:val="24"/>
              </w:rPr>
              <w:t> </w:t>
            </w:r>
            <w:r w:rsidRPr="00835753">
              <w:rPr>
                <w:rFonts w:ascii="Times New Roman" w:hAnsi="Times New Roman"/>
                <w:sz w:val="24"/>
                <w:szCs w:val="24"/>
              </w:rPr>
              <w:t>275</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2</w:t>
            </w:r>
            <w:r w:rsidRPr="00835753">
              <w:rPr>
                <w:rFonts w:ascii="Times New Roman" w:hAnsi="Times New Roman"/>
                <w:sz w:val="24"/>
                <w:szCs w:val="24"/>
              </w:rPr>
              <w:t>78 CRR</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odn</w:t>
            </w:r>
            <w:r w:rsidRPr="00835753">
              <w:rPr>
                <w:rFonts w:ascii="Times New Roman" w:hAnsi="Times New Roman"/>
                <w:sz w:val="24"/>
                <w:szCs w:val="24"/>
              </w:rPr>
              <w:t>iesieniu do metody standardowej dotyczącej CCR (wiersz 1 niniejszego wzoru).</w:t>
            </w:r>
          </w:p>
          <w:p w14:paraId="599A5CCA" w14:textId="62234B8B" w:rsidR="005710A4" w:rsidRPr="00835753" w:rsidRDefault="005710A4" w:rsidP="00155C96">
            <w:pPr>
              <w:spacing w:after="240"/>
            </w:pPr>
            <w:r w:rsidRPr="00835753">
              <w:rPr>
                <w:rFonts w:ascii="Times New Roman" w:hAnsi="Times New Roman"/>
                <w:sz w:val="24"/>
              </w:rPr>
              <w:t>Instytucje ujawniają sumę kosztów odtworzenia dla wszystkich pakietów kompensowania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owiednich wierszach.</w:t>
            </w:r>
          </w:p>
        </w:tc>
      </w:tr>
      <w:tr w:rsidR="005710A4" w:rsidRPr="00835753"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835753" w:rsidRDefault="005710A4" w:rsidP="005F3D92">
            <w:pPr>
              <w:pStyle w:val="Applicationdirecte"/>
              <w:spacing w:before="0" w:after="240"/>
              <w:jc w:val="center"/>
            </w:pPr>
            <w:proofErr w:type="gramStart"/>
            <w:r w:rsidRPr="00835753">
              <w:lastRenderedPageBreak/>
              <w:t>c</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835753" w:rsidRDefault="005710A4" w:rsidP="00155C96">
            <w:pPr>
              <w:pStyle w:val="Default"/>
              <w:spacing w:after="240"/>
              <w:jc w:val="both"/>
              <w:rPr>
                <w:rFonts w:ascii="Times New Roman" w:hAnsi="Times New Roman" w:cs="Times New Roman"/>
                <w:b/>
              </w:rPr>
            </w:pPr>
            <w:r w:rsidRPr="00835753">
              <w:rPr>
                <w:rFonts w:ascii="Times New Roman" w:hAnsi="Times New Roman"/>
                <w:b/>
              </w:rPr>
              <w:t>Efektywna dodatnia ekspozycja oczekiwana (EEPE)</w:t>
            </w:r>
          </w:p>
          <w:p w14:paraId="42C53635" w14:textId="57AE855E" w:rsidR="005710A4" w:rsidRPr="00835753" w:rsidRDefault="005710A4" w:rsidP="00155C96">
            <w:pPr>
              <w:pStyle w:val="Default"/>
              <w:spacing w:after="240"/>
              <w:jc w:val="both"/>
              <w:rPr>
                <w:rFonts w:ascii="Times New Roman" w:hAnsi="Times New Roman" w:cs="Times New Roman"/>
              </w:rPr>
            </w:pPr>
            <w:r w:rsidRPr="00835753">
              <w:rPr>
                <w:rFonts w:ascii="Times New Roman" w:hAnsi="Times New Roman"/>
              </w:rPr>
              <w:t>EEPE pakietu kompensowania zdefiniowano</w:t>
            </w:r>
            <w:r w:rsidR="00835753" w:rsidRPr="00835753">
              <w:rPr>
                <w:rFonts w:ascii="Times New Roman" w:hAnsi="Times New Roman"/>
              </w:rPr>
              <w:t xml:space="preserve"> w</w:t>
            </w:r>
            <w:r w:rsidR="00835753">
              <w:rPr>
                <w:rFonts w:ascii="Times New Roman" w:hAnsi="Times New Roman"/>
              </w:rPr>
              <w:t> </w:t>
            </w:r>
            <w:r w:rsidR="00835753" w:rsidRPr="00835753">
              <w:rPr>
                <w:rFonts w:ascii="Times New Roman" w:hAnsi="Times New Roman"/>
              </w:rPr>
              <w:t>art</w:t>
            </w:r>
            <w:r w:rsidRPr="00835753">
              <w:rPr>
                <w:rFonts w:ascii="Times New Roman" w:hAnsi="Times New Roman"/>
              </w:rPr>
              <w:t>.</w:t>
            </w:r>
            <w:r w:rsidR="00835753" w:rsidRPr="00835753">
              <w:rPr>
                <w:rFonts w:ascii="Times New Roman" w:hAnsi="Times New Roman"/>
              </w:rPr>
              <w:t> </w:t>
            </w:r>
            <w:r w:rsidRPr="00835753">
              <w:rPr>
                <w:rFonts w:ascii="Times New Roman" w:hAnsi="Times New Roman"/>
              </w:rPr>
              <w:t>272 pkt</w:t>
            </w:r>
            <w:r w:rsidR="00835753" w:rsidRPr="00835753">
              <w:rPr>
                <w:rFonts w:ascii="Times New Roman" w:hAnsi="Times New Roman"/>
              </w:rPr>
              <w:t> </w:t>
            </w:r>
            <w:r w:rsidRPr="00835753">
              <w:rPr>
                <w:rFonts w:ascii="Times New Roman" w:hAnsi="Times New Roman"/>
              </w:rPr>
              <w:t>22 CRR – oblicza się ją zgodnie</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wym</w:t>
            </w:r>
            <w:r w:rsidRPr="00835753">
              <w:rPr>
                <w:rFonts w:ascii="Times New Roman" w:hAnsi="Times New Roman"/>
              </w:rPr>
              <w:t>ogami art.</w:t>
            </w:r>
            <w:r w:rsidR="00835753" w:rsidRPr="00835753">
              <w:rPr>
                <w:rFonts w:ascii="Times New Roman" w:hAnsi="Times New Roman"/>
              </w:rPr>
              <w:t> </w:t>
            </w:r>
            <w:r w:rsidRPr="00835753">
              <w:rPr>
                <w:rFonts w:ascii="Times New Roman" w:hAnsi="Times New Roman"/>
              </w:rPr>
              <w:t>284 ust.</w:t>
            </w:r>
            <w:r w:rsidR="00835753" w:rsidRPr="00835753">
              <w:rPr>
                <w:rFonts w:ascii="Times New Roman" w:hAnsi="Times New Roman"/>
              </w:rPr>
              <w:t> </w:t>
            </w:r>
            <w:r w:rsidRPr="00835753">
              <w:rPr>
                <w:rFonts w:ascii="Times New Roman" w:hAnsi="Times New Roman"/>
              </w:rPr>
              <w:t>6 CRR.</w:t>
            </w:r>
          </w:p>
          <w:p w14:paraId="22BD6067" w14:textId="2FEB428E" w:rsidR="005710A4" w:rsidRPr="00835753" w:rsidRDefault="005710A4" w:rsidP="00155C96">
            <w:pPr>
              <w:pStyle w:val="Default"/>
              <w:spacing w:after="240"/>
              <w:jc w:val="both"/>
              <w:rPr>
                <w:rFonts w:ascii="Times New Roman" w:hAnsi="Times New Roman" w:cs="Times New Roman"/>
              </w:rPr>
            </w:pPr>
            <w:r w:rsidRPr="00835753">
              <w:rPr>
                <w:rFonts w:ascii="Times New Roman" w:hAnsi="Times New Roman"/>
              </w:rPr>
              <w:t>Ujawniania</w:t>
            </w:r>
            <w:r w:rsidR="00835753" w:rsidRPr="00835753">
              <w:rPr>
                <w:rFonts w:ascii="Times New Roman" w:hAnsi="Times New Roman"/>
              </w:rPr>
              <w:t xml:space="preserve"> w</w:t>
            </w:r>
            <w:r w:rsidR="00835753">
              <w:rPr>
                <w:rFonts w:ascii="Times New Roman" w:hAnsi="Times New Roman"/>
              </w:rPr>
              <w:t> </w:t>
            </w:r>
            <w:r w:rsidR="00835753" w:rsidRPr="00835753">
              <w:rPr>
                <w:rFonts w:ascii="Times New Roman" w:hAnsi="Times New Roman"/>
              </w:rPr>
              <w:t>nin</w:t>
            </w:r>
            <w:r w:rsidRPr="00835753">
              <w:rPr>
                <w:rFonts w:ascii="Times New Roman" w:hAnsi="Times New Roman"/>
              </w:rPr>
              <w:t>iejszym wzorze EEPE odpowiada EEPE stosowanej</w:t>
            </w:r>
            <w:r w:rsidR="00835753" w:rsidRPr="00835753">
              <w:rPr>
                <w:rFonts w:ascii="Times New Roman" w:hAnsi="Times New Roman"/>
              </w:rPr>
              <w:t xml:space="preserve"> w</w:t>
            </w:r>
            <w:r w:rsidR="00835753">
              <w:rPr>
                <w:rFonts w:ascii="Times New Roman" w:hAnsi="Times New Roman"/>
              </w:rPr>
              <w:t> </w:t>
            </w:r>
            <w:r w:rsidR="00835753" w:rsidRPr="00835753">
              <w:rPr>
                <w:rFonts w:ascii="Times New Roman" w:hAnsi="Times New Roman"/>
              </w:rPr>
              <w:t>cel</w:t>
            </w:r>
            <w:r w:rsidRPr="00835753">
              <w:rPr>
                <w:rFonts w:ascii="Times New Roman" w:hAnsi="Times New Roman"/>
              </w:rPr>
              <w:t>u określenia wymogów</w:t>
            </w:r>
            <w:r w:rsidR="00835753" w:rsidRPr="00835753">
              <w:rPr>
                <w:rFonts w:ascii="Times New Roman" w:hAnsi="Times New Roman"/>
              </w:rPr>
              <w:t xml:space="preserve"> w</w:t>
            </w:r>
            <w:r w:rsidR="00835753">
              <w:rPr>
                <w:rFonts w:ascii="Times New Roman" w:hAnsi="Times New Roman"/>
              </w:rPr>
              <w:t> </w:t>
            </w:r>
            <w:r w:rsidR="00835753" w:rsidRPr="00835753">
              <w:rPr>
                <w:rFonts w:ascii="Times New Roman" w:hAnsi="Times New Roman"/>
              </w:rPr>
              <w:t>zak</w:t>
            </w:r>
            <w:r w:rsidRPr="00835753">
              <w:rPr>
                <w:rFonts w:ascii="Times New Roman" w:hAnsi="Times New Roman"/>
              </w:rPr>
              <w:t>resie funduszy własnych zgodnie</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art</w:t>
            </w:r>
            <w:r w:rsidRPr="00835753">
              <w:rPr>
                <w:rFonts w:ascii="Times New Roman" w:hAnsi="Times New Roman"/>
              </w:rPr>
              <w:t>.</w:t>
            </w:r>
            <w:r w:rsidR="00835753" w:rsidRPr="00835753">
              <w:rPr>
                <w:rFonts w:ascii="Times New Roman" w:hAnsi="Times New Roman"/>
              </w:rPr>
              <w:t> </w:t>
            </w:r>
            <w:r w:rsidRPr="00835753">
              <w:rPr>
                <w:rFonts w:ascii="Times New Roman" w:hAnsi="Times New Roman"/>
              </w:rPr>
              <w:t>284 ust.</w:t>
            </w:r>
            <w:r w:rsidR="00835753" w:rsidRPr="00835753">
              <w:rPr>
                <w:rFonts w:ascii="Times New Roman" w:hAnsi="Times New Roman"/>
              </w:rPr>
              <w:t> </w:t>
            </w:r>
            <w:r w:rsidRPr="00835753">
              <w:rPr>
                <w:rFonts w:ascii="Times New Roman" w:hAnsi="Times New Roman"/>
              </w:rPr>
              <w:t>3 CRR, tj. EEPE obliczonej na podstawie bieżących danych rynkowych albo EEPE obliczonej przy zastosowaniu kalibracji dla warunków skrajnych,</w:t>
            </w:r>
            <w:r w:rsidR="00835753" w:rsidRPr="00835753">
              <w:rPr>
                <w:rFonts w:ascii="Times New Roman" w:hAnsi="Times New Roman"/>
              </w:rPr>
              <w:t xml:space="preserve"> w</w:t>
            </w:r>
            <w:r w:rsidR="00835753">
              <w:rPr>
                <w:rFonts w:ascii="Times New Roman" w:hAnsi="Times New Roman"/>
              </w:rPr>
              <w:t> </w:t>
            </w:r>
            <w:r w:rsidR="00835753" w:rsidRPr="00835753">
              <w:rPr>
                <w:rFonts w:ascii="Times New Roman" w:hAnsi="Times New Roman"/>
              </w:rPr>
              <w:t>zal</w:t>
            </w:r>
            <w:r w:rsidRPr="00835753">
              <w:rPr>
                <w:rFonts w:ascii="Times New Roman" w:hAnsi="Times New Roman"/>
              </w:rPr>
              <w:t>eżności od tego, która</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tyc</w:t>
            </w:r>
            <w:r w:rsidRPr="00835753">
              <w:rPr>
                <w:rFonts w:ascii="Times New Roman" w:hAnsi="Times New Roman"/>
              </w:rPr>
              <w:t>h wartości prowadzi do wyższego wymogu</w:t>
            </w:r>
            <w:r w:rsidR="00835753" w:rsidRPr="00835753">
              <w:rPr>
                <w:rFonts w:ascii="Times New Roman" w:hAnsi="Times New Roman"/>
              </w:rPr>
              <w:t xml:space="preserve"> w</w:t>
            </w:r>
            <w:r w:rsidR="00835753">
              <w:rPr>
                <w:rFonts w:ascii="Times New Roman" w:hAnsi="Times New Roman"/>
              </w:rPr>
              <w:t> </w:t>
            </w:r>
            <w:r w:rsidR="00835753" w:rsidRPr="00835753">
              <w:rPr>
                <w:rFonts w:ascii="Times New Roman" w:hAnsi="Times New Roman"/>
              </w:rPr>
              <w:t>zak</w:t>
            </w:r>
            <w:r w:rsidRPr="00835753">
              <w:rPr>
                <w:rFonts w:ascii="Times New Roman" w:hAnsi="Times New Roman"/>
              </w:rPr>
              <w:t>resie funduszy własnych.</w:t>
            </w:r>
          </w:p>
          <w:p w14:paraId="56281E64" w14:textId="77777777" w:rsidR="005710A4" w:rsidRPr="00835753" w:rsidRDefault="005710A4" w:rsidP="00155C96">
            <w:pPr>
              <w:pStyle w:val="Default"/>
              <w:spacing w:after="240"/>
              <w:jc w:val="both"/>
              <w:rPr>
                <w:rFonts w:ascii="Times New Roman" w:hAnsi="Times New Roman" w:cs="Times New Roman"/>
                <w:b/>
              </w:rPr>
            </w:pPr>
            <w:r w:rsidRPr="00835753">
              <w:rPr>
                <w:rFonts w:ascii="Times New Roman" w:hAnsi="Times New Roman"/>
              </w:rPr>
              <w:t xml:space="preserve">W opisie towarzyszącym niniejszemu wzorowi instytucje wskazują, którą EEPE podały. </w:t>
            </w:r>
          </w:p>
        </w:tc>
      </w:tr>
      <w:tr w:rsidR="005710A4" w:rsidRPr="00835753"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835753" w:rsidRDefault="005710A4" w:rsidP="005F3D92">
            <w:pPr>
              <w:pStyle w:val="Applicationdirecte"/>
              <w:spacing w:before="0" w:after="240"/>
              <w:jc w:val="center"/>
            </w:pPr>
            <w:proofErr w:type="gramStart"/>
            <w:r w:rsidRPr="00835753">
              <w:t>d</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835753" w:rsidRDefault="005710A4" w:rsidP="00155C96">
            <w:pPr>
              <w:pStyle w:val="Default"/>
              <w:spacing w:after="240"/>
              <w:jc w:val="both"/>
              <w:rPr>
                <w:rFonts w:ascii="Times New Roman" w:hAnsi="Times New Roman" w:cs="Times New Roman"/>
                <w:b/>
              </w:rPr>
            </w:pPr>
            <w:r w:rsidRPr="00835753">
              <w:rPr>
                <w:rFonts w:ascii="Times New Roman" w:hAnsi="Times New Roman"/>
                <w:b/>
              </w:rPr>
              <w:t>Wartość alfa stosowana do obliczania regulacyjnej wartości ekspozycji</w:t>
            </w:r>
          </w:p>
          <w:p w14:paraId="57DD8F13" w14:textId="604BCCD7" w:rsidR="005710A4" w:rsidRPr="00835753" w:rsidRDefault="005710A4" w:rsidP="00155C96">
            <w:pPr>
              <w:pStyle w:val="Default"/>
              <w:spacing w:after="240"/>
              <w:jc w:val="both"/>
              <w:rPr>
                <w:rFonts w:ascii="Times New Roman" w:hAnsi="Times New Roman" w:cs="Times New Roman"/>
              </w:rPr>
            </w:pPr>
            <w:r w:rsidRPr="00835753">
              <w:rPr>
                <w:rFonts w:ascii="Times New Roman" w:hAnsi="Times New Roman"/>
              </w:rPr>
              <w:t>Wartość α ustala się na stałe na poziomie 1,4</w:t>
            </w:r>
            <w:r w:rsidR="00835753" w:rsidRPr="00835753">
              <w:rPr>
                <w:rFonts w:ascii="Times New Roman" w:hAnsi="Times New Roman"/>
              </w:rPr>
              <w:t xml:space="preserve"> w</w:t>
            </w:r>
            <w:r w:rsidR="00835753">
              <w:rPr>
                <w:rFonts w:ascii="Times New Roman" w:hAnsi="Times New Roman"/>
              </w:rPr>
              <w:t> </w:t>
            </w:r>
            <w:r w:rsidR="00835753" w:rsidRPr="00835753">
              <w:rPr>
                <w:rFonts w:ascii="Times New Roman" w:hAnsi="Times New Roman"/>
              </w:rPr>
              <w:t>wie</w:t>
            </w:r>
            <w:r w:rsidRPr="00835753">
              <w:rPr>
                <w:rFonts w:ascii="Times New Roman" w:hAnsi="Times New Roman"/>
              </w:rPr>
              <w:t>rszach EU-1, EU-2 oraz 1 niniejszego wzoru zgodnie</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art</w:t>
            </w:r>
            <w:r w:rsidRPr="00835753">
              <w:rPr>
                <w:rFonts w:ascii="Times New Roman" w:hAnsi="Times New Roman"/>
              </w:rPr>
              <w:t>.</w:t>
            </w:r>
            <w:r w:rsidR="00835753" w:rsidRPr="00835753">
              <w:rPr>
                <w:rFonts w:ascii="Times New Roman" w:hAnsi="Times New Roman"/>
              </w:rPr>
              <w:t> </w:t>
            </w:r>
            <w:r w:rsidRPr="00835753">
              <w:rPr>
                <w:rFonts w:ascii="Times New Roman" w:hAnsi="Times New Roman"/>
              </w:rPr>
              <w:t>282 ust.</w:t>
            </w:r>
            <w:r w:rsidR="00835753" w:rsidRPr="00835753">
              <w:rPr>
                <w:rFonts w:ascii="Times New Roman" w:hAnsi="Times New Roman"/>
              </w:rPr>
              <w:t> </w:t>
            </w:r>
            <w:r w:rsidRPr="00835753">
              <w:rPr>
                <w:rFonts w:ascii="Times New Roman" w:hAnsi="Times New Roman"/>
              </w:rPr>
              <w:t>2, art.</w:t>
            </w:r>
            <w:r w:rsidR="00835753" w:rsidRPr="00835753">
              <w:rPr>
                <w:rFonts w:ascii="Times New Roman" w:hAnsi="Times New Roman"/>
              </w:rPr>
              <w:t> </w:t>
            </w:r>
            <w:r w:rsidRPr="00835753">
              <w:rPr>
                <w:rFonts w:ascii="Times New Roman" w:hAnsi="Times New Roman"/>
              </w:rPr>
              <w:t>281 ust.</w:t>
            </w:r>
            <w:r w:rsidR="00835753" w:rsidRPr="00835753">
              <w:rPr>
                <w:rFonts w:ascii="Times New Roman" w:hAnsi="Times New Roman"/>
              </w:rPr>
              <w:t> </w:t>
            </w:r>
            <w:r w:rsidRPr="00835753">
              <w:rPr>
                <w:rFonts w:ascii="Times New Roman" w:hAnsi="Times New Roman"/>
              </w:rPr>
              <w:t>1</w:t>
            </w:r>
            <w:r w:rsidR="00835753" w:rsidRPr="00835753">
              <w:rPr>
                <w:rFonts w:ascii="Times New Roman" w:hAnsi="Times New Roman"/>
              </w:rPr>
              <w:t xml:space="preserve"> i</w:t>
            </w:r>
            <w:r w:rsidR="00835753">
              <w:rPr>
                <w:rFonts w:ascii="Times New Roman" w:hAnsi="Times New Roman"/>
              </w:rPr>
              <w:t> </w:t>
            </w:r>
            <w:r w:rsidR="00835753" w:rsidRPr="00835753">
              <w:rPr>
                <w:rFonts w:ascii="Times New Roman" w:hAnsi="Times New Roman"/>
              </w:rPr>
              <w:t>art</w:t>
            </w:r>
            <w:r w:rsidRPr="00835753">
              <w:rPr>
                <w:rFonts w:ascii="Times New Roman" w:hAnsi="Times New Roman"/>
              </w:rPr>
              <w:t>.</w:t>
            </w:r>
            <w:r w:rsidR="00835753" w:rsidRPr="00835753">
              <w:rPr>
                <w:rFonts w:ascii="Times New Roman" w:hAnsi="Times New Roman"/>
              </w:rPr>
              <w:t> </w:t>
            </w:r>
            <w:r w:rsidRPr="00835753">
              <w:rPr>
                <w:rFonts w:ascii="Times New Roman" w:hAnsi="Times New Roman"/>
              </w:rPr>
              <w:t>274 ust.</w:t>
            </w:r>
            <w:r w:rsidR="00835753" w:rsidRPr="00835753">
              <w:rPr>
                <w:rFonts w:ascii="Times New Roman" w:hAnsi="Times New Roman"/>
              </w:rPr>
              <w:t> </w:t>
            </w:r>
            <w:r w:rsidRPr="00835753">
              <w:rPr>
                <w:rFonts w:ascii="Times New Roman" w:hAnsi="Times New Roman"/>
              </w:rPr>
              <w:t>2 CRR.</w:t>
            </w:r>
          </w:p>
          <w:p w14:paraId="69C6B9AC" w14:textId="5F871C23" w:rsidR="005710A4" w:rsidRPr="00835753" w:rsidRDefault="005710A4" w:rsidP="00155C96">
            <w:pPr>
              <w:pStyle w:val="Default"/>
              <w:spacing w:after="240"/>
              <w:jc w:val="both"/>
              <w:rPr>
                <w:rFonts w:ascii="Times New Roman" w:hAnsi="Times New Roman" w:cs="Times New Roman"/>
                <w:b/>
              </w:rPr>
            </w:pPr>
            <w:r w:rsidRPr="00835753">
              <w:rPr>
                <w:rFonts w:ascii="Times New Roman" w:hAnsi="Times New Roman"/>
              </w:rPr>
              <w:t>Do celów IMM wartość α może być wartością domyślną wynoszącą 1,4 albo inną, gdy właściwe organy wymagają wyższej wartości α zgodnie</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art</w:t>
            </w:r>
            <w:r w:rsidRPr="00835753">
              <w:rPr>
                <w:rFonts w:ascii="Times New Roman" w:hAnsi="Times New Roman"/>
              </w:rPr>
              <w:t>.</w:t>
            </w:r>
            <w:r w:rsidR="00835753" w:rsidRPr="00835753">
              <w:rPr>
                <w:rFonts w:ascii="Times New Roman" w:hAnsi="Times New Roman"/>
              </w:rPr>
              <w:t> </w:t>
            </w:r>
            <w:r w:rsidRPr="00835753">
              <w:rPr>
                <w:rFonts w:ascii="Times New Roman" w:hAnsi="Times New Roman"/>
              </w:rPr>
              <w:t>284 ust.</w:t>
            </w:r>
            <w:r w:rsidR="00835753" w:rsidRPr="00835753">
              <w:rPr>
                <w:rFonts w:ascii="Times New Roman" w:hAnsi="Times New Roman"/>
              </w:rPr>
              <w:t> </w:t>
            </w:r>
            <w:r w:rsidRPr="00835753">
              <w:rPr>
                <w:rFonts w:ascii="Times New Roman" w:hAnsi="Times New Roman"/>
              </w:rPr>
              <w:t>4 CRR lub zezwalają instytucjom na stosowanie własnych oszacowań zgodnie</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czę</w:t>
            </w:r>
            <w:r w:rsidRPr="00835753">
              <w:rPr>
                <w:rFonts w:ascii="Times New Roman" w:hAnsi="Times New Roman"/>
              </w:rPr>
              <w:t>ścią trzecią tytuł II rozdział 6 sekcja 6 art.</w:t>
            </w:r>
            <w:r w:rsidR="00835753" w:rsidRPr="00835753">
              <w:rPr>
                <w:rFonts w:ascii="Times New Roman" w:hAnsi="Times New Roman"/>
              </w:rPr>
              <w:t> </w:t>
            </w:r>
            <w:r w:rsidRPr="00835753">
              <w:rPr>
                <w:rFonts w:ascii="Times New Roman" w:hAnsi="Times New Roman"/>
              </w:rPr>
              <w:t>284 ust.</w:t>
            </w:r>
            <w:r w:rsidR="00835753" w:rsidRPr="00835753">
              <w:rPr>
                <w:rFonts w:ascii="Times New Roman" w:hAnsi="Times New Roman"/>
              </w:rPr>
              <w:t> </w:t>
            </w:r>
            <w:r w:rsidRPr="00835753">
              <w:rPr>
                <w:rFonts w:ascii="Times New Roman" w:hAnsi="Times New Roman"/>
              </w:rPr>
              <w:t>9 CRR.</w:t>
            </w:r>
          </w:p>
        </w:tc>
      </w:tr>
      <w:tr w:rsidR="005710A4" w:rsidRPr="00835753"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835753" w:rsidRDefault="005F3D92" w:rsidP="00155C96">
            <w:pPr>
              <w:pStyle w:val="Applicationdirecte"/>
              <w:spacing w:before="0" w:after="240"/>
              <w:jc w:val="center"/>
            </w:pPr>
            <w:proofErr w:type="gramStart"/>
            <w:r w:rsidRPr="00835753">
              <w:t>e</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835753" w:rsidRDefault="005710A4" w:rsidP="00155C96">
            <w:pPr>
              <w:pStyle w:val="TableMainHeading"/>
              <w:spacing w:before="0" w:after="240"/>
              <w:rPr>
                <w:rFonts w:ascii="Times New Roman" w:hAnsi="Times New Roman"/>
                <w:b/>
                <w:sz w:val="24"/>
                <w:szCs w:val="24"/>
              </w:rPr>
            </w:pPr>
            <w:r w:rsidRPr="00835753">
              <w:rPr>
                <w:rFonts w:ascii="Times New Roman" w:hAnsi="Times New Roman"/>
                <w:b/>
                <w:sz w:val="24"/>
                <w:szCs w:val="24"/>
              </w:rPr>
              <w:t>Wartość ekspozycji przed ograniczeniem ryzyka kredytowego</w:t>
            </w:r>
          </w:p>
          <w:p w14:paraId="3210D91E" w14:textId="04AAB6EE" w:rsidR="005710A4" w:rsidRPr="00835753" w:rsidRDefault="005710A4" w:rsidP="00155C96">
            <w:pPr>
              <w:pStyle w:val="TableMainHeading"/>
              <w:spacing w:before="0" w:after="240"/>
              <w:jc w:val="both"/>
              <w:rPr>
                <w:rFonts w:ascii="Times New Roman" w:hAnsi="Times New Roman"/>
                <w:sz w:val="24"/>
                <w:szCs w:val="24"/>
              </w:rPr>
            </w:pPr>
            <w:r w:rsidRPr="00835753">
              <w:rPr>
                <w:rFonts w:ascii="Times New Roman" w:hAnsi="Times New Roman"/>
                <w:sz w:val="24"/>
                <w:szCs w:val="24"/>
              </w:rPr>
              <w:t>Wartość ekspozycji przed ograniczeniem ryzyka kredytowego dla działalności związanej</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ryz</w:t>
            </w:r>
            <w:r w:rsidRPr="00835753">
              <w:rPr>
                <w:rFonts w:ascii="Times New Roman" w:hAnsi="Times New Roman"/>
                <w:sz w:val="24"/>
                <w:szCs w:val="24"/>
              </w:rPr>
              <w:t>ykiem kredytowym kontrahenta oblicza się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met</w:t>
            </w:r>
            <w:r w:rsidRPr="00835753">
              <w:rPr>
                <w:rFonts w:ascii="Times New Roman" w:hAnsi="Times New Roman"/>
                <w:sz w:val="24"/>
                <w:szCs w:val="24"/>
              </w:rPr>
              <w:t>odami określonymi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 trzeciej tytuł II rozdziały 4</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6</w:t>
            </w:r>
            <w:r w:rsidRPr="00835753">
              <w:rPr>
                <w:rFonts w:ascii="Times New Roman" w:hAnsi="Times New Roman"/>
                <w:sz w:val="24"/>
                <w:szCs w:val="24"/>
              </w:rPr>
              <w:t xml:space="preserve"> CRR, biorąc pod uwagę skutki kompensowania, lecz pomijając wszelkie inne techniki ograniczania ryzyka kredytowego (np. za pomocą zabezpieczenia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pos</w:t>
            </w:r>
            <w:r w:rsidRPr="00835753">
              <w:rPr>
                <w:rFonts w:ascii="Times New Roman" w:hAnsi="Times New Roman"/>
                <w:sz w:val="24"/>
                <w:szCs w:val="24"/>
              </w:rPr>
              <w:t>taci depozytu zabezpieczającego).</w:t>
            </w:r>
          </w:p>
          <w:p w14:paraId="4B6632C2" w14:textId="4EED3DF9" w:rsidR="005710A4" w:rsidRPr="00835753" w:rsidRDefault="005710A4" w:rsidP="00155C96">
            <w:pPr>
              <w:pStyle w:val="TableMainHeading"/>
              <w:spacing w:before="0" w:after="240"/>
              <w:jc w:val="both"/>
              <w:rPr>
                <w:rFonts w:ascii="Times New Roman" w:hAnsi="Times New Roman"/>
                <w:sz w:val="24"/>
                <w:szCs w:val="24"/>
              </w:rPr>
            </w:pPr>
            <w:r w:rsidRPr="00835753">
              <w:rPr>
                <w:rFonts w:ascii="Times New Roman" w:hAnsi="Times New Roman"/>
                <w:sz w:val="24"/>
                <w:szCs w:val="24"/>
              </w:rPr>
              <w:t>W przypadku SFT część transakcji obejmująca papiery wartościowe nie jest brana pod uwagę przy ustalaniu wartości ekspozycji przed ograniczeniem ryzyka kredytowego,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ypadku gdy otrzymywane jest zabezpieczenie,</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dla</w:t>
            </w:r>
            <w:r w:rsidRPr="00835753">
              <w:rPr>
                <w:rFonts w:ascii="Times New Roman" w:hAnsi="Times New Roman"/>
                <w:sz w:val="24"/>
                <w:szCs w:val="24"/>
              </w:rPr>
              <w:t xml:space="preserve">tego nie może zmniejszać wartości ekspozycji. Część transakcji </w:t>
            </w:r>
            <w:r w:rsidRPr="00835753">
              <w:rPr>
                <w:rFonts w:ascii="Times New Roman" w:hAnsi="Times New Roman"/>
                <w:sz w:val="24"/>
                <w:szCs w:val="24"/>
              </w:rPr>
              <w:lastRenderedPageBreak/>
              <w:t>obejmującą papiery wartościowe wykorzystywane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ram</w:t>
            </w:r>
            <w:r w:rsidRPr="00835753">
              <w:rPr>
                <w:rFonts w:ascii="Times New Roman" w:hAnsi="Times New Roman"/>
                <w:sz w:val="24"/>
                <w:szCs w:val="24"/>
              </w:rPr>
              <w:t>ach SFT należy natomiast</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nor</w:t>
            </w:r>
            <w:r w:rsidRPr="00835753">
              <w:rPr>
                <w:rFonts w:ascii="Times New Roman" w:hAnsi="Times New Roman"/>
                <w:sz w:val="24"/>
                <w:szCs w:val="24"/>
              </w:rPr>
              <w:t>malny sposób brać pod uwagę przy ustalaniu wartości ekspozycji przed ograniczeniem ryzyka kredytowego,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 xml:space="preserve">ypadku gdy wnoszone jest zabezpieczenie. </w:t>
            </w:r>
          </w:p>
          <w:p w14:paraId="2AB614AB" w14:textId="6B40A89F" w:rsidR="005710A4" w:rsidRPr="00835753" w:rsidRDefault="005710A4" w:rsidP="00155C96">
            <w:pPr>
              <w:pStyle w:val="TableMainHeading"/>
              <w:spacing w:before="0" w:after="240"/>
              <w:jc w:val="both"/>
              <w:rPr>
                <w:rFonts w:ascii="Times New Roman" w:hAnsi="Times New Roman"/>
                <w:sz w:val="24"/>
                <w:szCs w:val="24"/>
              </w:rPr>
            </w:pPr>
            <w:r w:rsidRPr="00835753">
              <w:rPr>
                <w:rFonts w:ascii="Times New Roman" w:hAnsi="Times New Roman"/>
                <w:sz w:val="24"/>
                <w:szCs w:val="24"/>
              </w:rPr>
              <w:t>Ponadto zabezpieczoną działalność należy traktować jako niezabezpieczoną, tzn. nie mają zastosowania skutki uzupełniania zabezpieczenia.</w:t>
            </w:r>
          </w:p>
          <w:p w14:paraId="2643B5F2" w14:textId="425EBB2F"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W przypadku transakcji,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stwierdzono szczególne ryzyko korelacji, wartość ekspozycji przed ograniczeniem ryzyka kredytowego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291 CRR.</w:t>
            </w:r>
          </w:p>
          <w:p w14:paraId="0EA7C5E1" w14:textId="79488BF3"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W wartości ekspozycji przed ograniczeniem ryzyka kredytowego nie uwzględnia się odliczenia poniesionej straty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korekty wyceny kredytowej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273 ust.</w:t>
            </w:r>
            <w:r w:rsidR="00835753" w:rsidRPr="00835753">
              <w:rPr>
                <w:rFonts w:ascii="Times New Roman" w:hAnsi="Times New Roman"/>
                <w:sz w:val="24"/>
              </w:rPr>
              <w:t> </w:t>
            </w:r>
            <w:r w:rsidRPr="00835753">
              <w:rPr>
                <w:rFonts w:ascii="Times New Roman" w:hAnsi="Times New Roman"/>
                <w:sz w:val="24"/>
              </w:rPr>
              <w:t>6 CRR.</w:t>
            </w:r>
          </w:p>
          <w:p w14:paraId="555F0EB8" w14:textId="5A3923D3" w:rsidR="005710A4" w:rsidRPr="00835753" w:rsidRDefault="005710A4" w:rsidP="00155C96">
            <w:pPr>
              <w:spacing w:after="240"/>
              <w:rPr>
                <w:rFonts w:ascii="Times New Roman" w:hAnsi="Times New Roman" w:cs="Times New Roman"/>
                <w:sz w:val="24"/>
              </w:rPr>
            </w:pPr>
            <w:r w:rsidRPr="00835753">
              <w:rPr>
                <w:rFonts w:ascii="Times New Roman" w:hAnsi="Times New Roman"/>
                <w:sz w:val="24"/>
              </w:rPr>
              <w:t>Instytucja jest zobowiązana ujawnić sumę wszystkich wartości ekspozycji przed ograniczeniem ryzyka kredytowego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owiednim wierszu.</w:t>
            </w:r>
          </w:p>
        </w:tc>
      </w:tr>
      <w:tr w:rsidR="005710A4" w:rsidRPr="00835753"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835753" w:rsidRDefault="005710A4" w:rsidP="005F3D92">
            <w:pPr>
              <w:pStyle w:val="Applicationdirecte"/>
              <w:spacing w:before="0" w:after="240"/>
              <w:jc w:val="center"/>
            </w:pPr>
            <w:proofErr w:type="gramStart"/>
            <w:r w:rsidRPr="00835753">
              <w:lastRenderedPageBreak/>
              <w:t>f</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835753" w:rsidRDefault="005710A4" w:rsidP="00155C96">
            <w:pPr>
              <w:pStyle w:val="TableMainHeading"/>
              <w:spacing w:before="0" w:after="240"/>
              <w:rPr>
                <w:rFonts w:ascii="Times New Roman" w:hAnsi="Times New Roman"/>
                <w:b/>
                <w:sz w:val="24"/>
                <w:szCs w:val="24"/>
              </w:rPr>
            </w:pPr>
            <w:r w:rsidRPr="00835753">
              <w:rPr>
                <w:rFonts w:ascii="Times New Roman" w:hAnsi="Times New Roman"/>
                <w:b/>
                <w:sz w:val="24"/>
                <w:szCs w:val="24"/>
              </w:rPr>
              <w:t>Wartość ekspozycji (po ograniczeniu ryzyka kredytowego)</w:t>
            </w:r>
          </w:p>
          <w:p w14:paraId="39EA24BE" w14:textId="553617BA" w:rsidR="005710A4" w:rsidRPr="00835753" w:rsidRDefault="005710A4" w:rsidP="00155C96">
            <w:pPr>
              <w:pStyle w:val="TableMainHeading"/>
              <w:spacing w:before="0" w:after="240"/>
              <w:jc w:val="both"/>
              <w:rPr>
                <w:rFonts w:ascii="Times New Roman" w:hAnsi="Times New Roman"/>
                <w:sz w:val="24"/>
                <w:szCs w:val="24"/>
              </w:rPr>
            </w:pPr>
            <w:r w:rsidRPr="00835753">
              <w:rPr>
                <w:rFonts w:ascii="Times New Roman" w:hAnsi="Times New Roman"/>
                <w:sz w:val="24"/>
                <w:szCs w:val="24"/>
              </w:rPr>
              <w:t>Wartość ekspozycji po ograniczeniu ryzyka kredytowego dla działalności związanej</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ryz</w:t>
            </w:r>
            <w:r w:rsidRPr="00835753">
              <w:rPr>
                <w:rFonts w:ascii="Times New Roman" w:hAnsi="Times New Roman"/>
                <w:sz w:val="24"/>
                <w:szCs w:val="24"/>
              </w:rPr>
              <w:t>ykiem kredytowym kontrahenta oblicza się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met</w:t>
            </w:r>
            <w:r w:rsidRPr="00835753">
              <w:rPr>
                <w:rFonts w:ascii="Times New Roman" w:hAnsi="Times New Roman"/>
                <w:sz w:val="24"/>
                <w:szCs w:val="24"/>
              </w:rPr>
              <w:t>odami określonymi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 trzeciej tytuł II rozdziały 4</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6</w:t>
            </w:r>
            <w:r w:rsidRPr="00835753">
              <w:rPr>
                <w:rFonts w:ascii="Times New Roman" w:hAnsi="Times New Roman"/>
                <w:sz w:val="24"/>
                <w:szCs w:val="24"/>
              </w:rPr>
              <w:t xml:space="preserve"> CRR, po zastosowaniu technik ograniczania ryzyka kredytowego stosowanych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ścią trzecią tytuł II rozdziały 4</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6</w:t>
            </w:r>
            <w:r w:rsidRPr="00835753">
              <w:rPr>
                <w:rFonts w:ascii="Times New Roman" w:hAnsi="Times New Roman"/>
                <w:sz w:val="24"/>
                <w:szCs w:val="24"/>
              </w:rPr>
              <w:t xml:space="preserve"> CRR</w:t>
            </w:r>
          </w:p>
          <w:p w14:paraId="669065D0" w14:textId="6D41CA32"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W przypadku transakcji,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stwierdzono szczególne ryzyko korelacji, wartość ekspozycji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291 CRR.</w:t>
            </w:r>
          </w:p>
          <w:p w14:paraId="4C9EBFC4" w14:textId="5B0E9B75"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273 ust.</w:t>
            </w:r>
            <w:r w:rsidR="00835753" w:rsidRPr="00835753">
              <w:rPr>
                <w:rFonts w:ascii="Times New Roman" w:hAnsi="Times New Roman"/>
                <w:sz w:val="24"/>
              </w:rPr>
              <w:t> </w:t>
            </w:r>
            <w:r w:rsidRPr="00835753">
              <w:rPr>
                <w:rFonts w:ascii="Times New Roman" w:hAnsi="Times New Roman"/>
                <w:sz w:val="24"/>
              </w:rPr>
              <w:t>6 CRR od wartości ekspozycji po ograniczeniu ryzyka kredytowego nie odlicza się poniesionej straty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korekty wyceny kredytowej.</w:t>
            </w:r>
          </w:p>
          <w:p w14:paraId="012FAEEE" w14:textId="09A8882F" w:rsidR="005710A4" w:rsidRPr="00835753" w:rsidRDefault="005710A4" w:rsidP="00155C96">
            <w:pPr>
              <w:spacing w:after="240"/>
              <w:rPr>
                <w:rFonts w:ascii="Times New Roman" w:hAnsi="Times New Roman" w:cs="Times New Roman"/>
                <w:sz w:val="24"/>
              </w:rPr>
            </w:pPr>
            <w:r w:rsidRPr="00835753">
              <w:rPr>
                <w:rFonts w:ascii="Times New Roman" w:hAnsi="Times New Roman"/>
                <w:sz w:val="24"/>
              </w:rPr>
              <w:t>Instytucja jest zobowiązana ujawnić sumę wszystkich wartości ekspozycji po ograniczeniu ryzyka kredytowego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owiednim wierszu.</w:t>
            </w:r>
          </w:p>
        </w:tc>
      </w:tr>
      <w:tr w:rsidR="005710A4" w:rsidRPr="00835753"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835753" w:rsidRDefault="005710A4" w:rsidP="005F3D92">
            <w:pPr>
              <w:pStyle w:val="Applicationdirecte"/>
              <w:spacing w:before="0" w:after="240"/>
              <w:jc w:val="center"/>
            </w:pPr>
            <w:proofErr w:type="gramStart"/>
            <w:r w:rsidRPr="00835753">
              <w:t>g</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835753" w:rsidRDefault="005710A4" w:rsidP="00155C96">
            <w:pPr>
              <w:pStyle w:val="TableMainHeading"/>
              <w:spacing w:before="0" w:after="240"/>
              <w:rPr>
                <w:rFonts w:ascii="Times New Roman" w:hAnsi="Times New Roman"/>
                <w:b/>
                <w:sz w:val="24"/>
                <w:szCs w:val="24"/>
              </w:rPr>
            </w:pPr>
            <w:r w:rsidRPr="00835753">
              <w:rPr>
                <w:rFonts w:ascii="Times New Roman" w:hAnsi="Times New Roman"/>
                <w:b/>
                <w:sz w:val="24"/>
                <w:szCs w:val="24"/>
              </w:rPr>
              <w:t>Wartość ekspozycji</w:t>
            </w:r>
          </w:p>
          <w:p w14:paraId="56E85DD0" w14:textId="3111F215" w:rsidR="005710A4" w:rsidRPr="00835753" w:rsidRDefault="005710A4" w:rsidP="00155C96">
            <w:pPr>
              <w:pStyle w:val="TableMainHeading"/>
              <w:spacing w:before="0" w:after="240"/>
              <w:jc w:val="both"/>
              <w:rPr>
                <w:rFonts w:ascii="Times New Roman" w:hAnsi="Times New Roman"/>
                <w:sz w:val="24"/>
                <w:szCs w:val="24"/>
              </w:rPr>
            </w:pPr>
            <w:r w:rsidRPr="00835753">
              <w:rPr>
                <w:rFonts w:ascii="Times New Roman" w:hAnsi="Times New Roman"/>
                <w:sz w:val="24"/>
                <w:szCs w:val="24"/>
              </w:rPr>
              <w:t>Wartość ekspozycji dla działalności związanej</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ryz</w:t>
            </w:r>
            <w:r w:rsidRPr="00835753">
              <w:rPr>
                <w:rFonts w:ascii="Times New Roman" w:hAnsi="Times New Roman"/>
                <w:sz w:val="24"/>
                <w:szCs w:val="24"/>
              </w:rPr>
              <w:t>ykiem kredytowym kontrahenta obliczoną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met</w:t>
            </w:r>
            <w:r w:rsidRPr="00835753">
              <w:rPr>
                <w:rFonts w:ascii="Times New Roman" w:hAnsi="Times New Roman"/>
                <w:sz w:val="24"/>
                <w:szCs w:val="24"/>
              </w:rPr>
              <w:t>odami określonymi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 trzeciej tytuł II rozdziały 4</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6</w:t>
            </w:r>
            <w:r w:rsidRPr="00835753">
              <w:rPr>
                <w:rFonts w:ascii="Times New Roman" w:hAnsi="Times New Roman"/>
                <w:sz w:val="24"/>
                <w:szCs w:val="24"/>
              </w:rPr>
              <w:t xml:space="preserve"> CRR, która jest kwotą istotną dla obliczenia wymogów</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zak</w:t>
            </w:r>
            <w:r w:rsidRPr="00835753">
              <w:rPr>
                <w:rFonts w:ascii="Times New Roman" w:hAnsi="Times New Roman"/>
                <w:sz w:val="24"/>
                <w:szCs w:val="24"/>
              </w:rPr>
              <w:t>resie funduszy własnych, tj. po zastosowaniu technik ograniczania ryzyka kredytowego stosowanych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ścią trzecią tytuł II rozdziały 4</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6</w:t>
            </w:r>
            <w:r w:rsidRPr="00835753">
              <w:rPr>
                <w:rFonts w:ascii="Times New Roman" w:hAnsi="Times New Roman"/>
                <w:sz w:val="24"/>
                <w:szCs w:val="24"/>
              </w:rPr>
              <w:t xml:space="preserve"> CRR, oraz uwzględniając odliczenie poniesionej straty</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korekty wyceny kredytowej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273 ust.</w:t>
            </w:r>
            <w:r w:rsidR="00835753" w:rsidRPr="00835753">
              <w:rPr>
                <w:rFonts w:ascii="Times New Roman" w:hAnsi="Times New Roman"/>
                <w:sz w:val="24"/>
                <w:szCs w:val="24"/>
              </w:rPr>
              <w:t> </w:t>
            </w:r>
            <w:r w:rsidRPr="00835753">
              <w:rPr>
                <w:rFonts w:ascii="Times New Roman" w:hAnsi="Times New Roman"/>
                <w:sz w:val="24"/>
                <w:szCs w:val="24"/>
              </w:rPr>
              <w:t>6 CRR</w:t>
            </w:r>
          </w:p>
          <w:p w14:paraId="2B63D9F1" w14:textId="7F27D48D"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Wartość ekspozycji dla transakcji,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stwierdzono szczególne ryzyko korelacji,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291 CRR.</w:t>
            </w:r>
          </w:p>
          <w:p w14:paraId="30ACC32D" w14:textId="2CF5D899"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lastRenderedPageBreak/>
              <w:t>W przypadkach,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stosuje się więcej niż jedną metodę obliczania ryzyka kredytowego kontrahenta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jednego kontrahenta, poniesioną stratę</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korekty wyceny kredytowej, którą odlicza się na poziomie kontrahenta, przypisuje się do wartości ekspozycji poszczególnych pakietów kompensowania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każ</w:t>
            </w:r>
            <w:r w:rsidRPr="00835753">
              <w:rPr>
                <w:rFonts w:ascii="Times New Roman" w:hAnsi="Times New Roman"/>
                <w:sz w:val="24"/>
              </w:rPr>
              <w:t>dej metodzie obliczania ryzyka kredytowego kontrahenta, odzwierciedlając stosunek wartości ekspozycji po ograniczeniu ryzyka kredytowego odpowiednich pakietów kompensowania do całkowitej wartości ekspozycji po ograniczeniu ryzyka kredytowego kontrahenta.</w:t>
            </w:r>
          </w:p>
          <w:p w14:paraId="6EC859E8" w14:textId="725E39CC" w:rsidR="005710A4" w:rsidRPr="00835753" w:rsidRDefault="005710A4" w:rsidP="00155C96">
            <w:pPr>
              <w:spacing w:after="240"/>
              <w:rPr>
                <w:rFonts w:ascii="Times New Roman" w:hAnsi="Times New Roman" w:cs="Times New Roman"/>
                <w:sz w:val="24"/>
              </w:rPr>
            </w:pPr>
            <w:r w:rsidRPr="00835753">
              <w:rPr>
                <w:rFonts w:ascii="Times New Roman" w:hAnsi="Times New Roman"/>
                <w:sz w:val="24"/>
              </w:rPr>
              <w:t>Instytucja jest zobowiązana ujawnić sumę wszystkich wartości ekspozycji po ograniczeniu ryzyka kredytowego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owiednim wierszu.</w:t>
            </w:r>
          </w:p>
        </w:tc>
      </w:tr>
      <w:tr w:rsidR="005710A4" w:rsidRPr="00835753"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835753" w:rsidRDefault="005F3D92" w:rsidP="00155C96">
            <w:pPr>
              <w:pStyle w:val="Applicationdirecte"/>
              <w:spacing w:before="0" w:after="240"/>
              <w:jc w:val="center"/>
            </w:pPr>
            <w:proofErr w:type="gramStart"/>
            <w:r w:rsidRPr="00835753">
              <w:lastRenderedPageBreak/>
              <w:t>h</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835753" w:rsidRDefault="005710A4" w:rsidP="00155C96">
            <w:pPr>
              <w:pStyle w:val="TableMainHeading"/>
              <w:spacing w:before="0" w:after="240"/>
              <w:rPr>
                <w:rFonts w:ascii="Times New Roman" w:hAnsi="Times New Roman"/>
                <w:b/>
                <w:sz w:val="24"/>
                <w:szCs w:val="24"/>
              </w:rPr>
            </w:pPr>
            <w:r w:rsidRPr="00835753">
              <w:rPr>
                <w:rFonts w:ascii="Times New Roman" w:hAnsi="Times New Roman"/>
                <w:b/>
                <w:sz w:val="24"/>
                <w:szCs w:val="24"/>
              </w:rPr>
              <w:t>Kwoty ekspozycji ważonej ryzykiem</w:t>
            </w:r>
          </w:p>
          <w:p w14:paraId="36D14BDF" w14:textId="739030AB" w:rsidR="005710A4" w:rsidRPr="00835753" w:rsidRDefault="005710A4" w:rsidP="00155C96">
            <w:pPr>
              <w:pStyle w:val="TableMainHeading"/>
              <w:spacing w:before="0" w:after="240"/>
              <w:jc w:val="both"/>
              <w:rPr>
                <w:rFonts w:ascii="Times New Roman" w:hAnsi="Times New Roman"/>
                <w:sz w:val="24"/>
                <w:szCs w:val="24"/>
              </w:rPr>
            </w:pPr>
            <w:r w:rsidRPr="00835753">
              <w:rPr>
                <w:rFonts w:ascii="Times New Roman" w:hAnsi="Times New Roman"/>
                <w:sz w:val="24"/>
                <w:szCs w:val="24"/>
              </w:rPr>
              <w:t>Kwoty ekspozycji ważonej ryzykiem, określone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92 ust.</w:t>
            </w:r>
            <w:r w:rsidR="00835753" w:rsidRPr="00835753">
              <w:rPr>
                <w:rFonts w:ascii="Times New Roman" w:hAnsi="Times New Roman"/>
                <w:sz w:val="24"/>
                <w:szCs w:val="24"/>
              </w:rPr>
              <w:t> </w:t>
            </w:r>
            <w:r w:rsidRPr="00835753">
              <w:rPr>
                <w:rFonts w:ascii="Times New Roman" w:hAnsi="Times New Roman"/>
                <w:sz w:val="24"/>
                <w:szCs w:val="24"/>
              </w:rPr>
              <w:t>3</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4</w:t>
            </w:r>
            <w:r w:rsidRPr="00835753">
              <w:rPr>
                <w:rFonts w:ascii="Times New Roman" w:hAnsi="Times New Roman"/>
                <w:sz w:val="24"/>
                <w:szCs w:val="24"/>
              </w:rPr>
              <w:t xml:space="preserve"> CRR oraz obliczone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107 CRR, dla elementów, których wagi ryzyka szacuje się na podstawie wymogów określonych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 trzeciej tytuł II rozdziały 2</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3</w:t>
            </w:r>
            <w:r w:rsidRPr="00835753">
              <w:rPr>
                <w:rFonts w:ascii="Times New Roman" w:hAnsi="Times New Roman"/>
                <w:sz w:val="24"/>
                <w:szCs w:val="24"/>
              </w:rPr>
              <w:t xml:space="preserve"> CRR</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dla</w:t>
            </w:r>
            <w:r w:rsidRPr="00835753">
              <w:rPr>
                <w:rFonts w:ascii="Times New Roman" w:hAnsi="Times New Roman"/>
                <w:sz w:val="24"/>
                <w:szCs w:val="24"/>
              </w:rPr>
              <w:t xml:space="preserve"> których wartość ekspozycji dla działalności związanej</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ryz</w:t>
            </w:r>
            <w:r w:rsidRPr="00835753">
              <w:rPr>
                <w:rFonts w:ascii="Times New Roman" w:hAnsi="Times New Roman"/>
                <w:sz w:val="24"/>
                <w:szCs w:val="24"/>
              </w:rPr>
              <w:t>ykiem kredytowym kontrahenta oblicza się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czę</w:t>
            </w:r>
            <w:r w:rsidRPr="00835753">
              <w:rPr>
                <w:rFonts w:ascii="Times New Roman" w:hAnsi="Times New Roman"/>
                <w:sz w:val="24"/>
                <w:szCs w:val="24"/>
              </w:rPr>
              <w:t>ścią trzecią tytuł II rozdziały 4</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6</w:t>
            </w:r>
            <w:r w:rsidRPr="00835753">
              <w:rPr>
                <w:rFonts w:ascii="Times New Roman" w:hAnsi="Times New Roman"/>
                <w:sz w:val="24"/>
                <w:szCs w:val="24"/>
              </w:rPr>
              <w:t xml:space="preserve"> CRR</w:t>
            </w:r>
          </w:p>
        </w:tc>
      </w:tr>
    </w:tbl>
    <w:p w14:paraId="5DE966CE" w14:textId="77777777" w:rsidR="005710A4" w:rsidRPr="00835753" w:rsidRDefault="005710A4" w:rsidP="005710A4">
      <w:pPr>
        <w:pStyle w:val="Titlelevel2"/>
        <w:spacing w:before="0"/>
        <w:rPr>
          <w:rFonts w:ascii="Times New Roman" w:hAnsi="Times New Roman" w:cs="Times New Roman"/>
          <w:b/>
          <w:color w:val="auto"/>
          <w:sz w:val="24"/>
        </w:rPr>
      </w:pPr>
      <w:r w:rsidRPr="00835753">
        <w:rPr>
          <w:rFonts w:ascii="Times New Roman" w:hAnsi="Times New Roman"/>
          <w:b/>
          <w:color w:val="auto"/>
          <w:sz w:val="24"/>
        </w:rPr>
        <w:t xml:space="preserve"> </w:t>
      </w:r>
    </w:p>
    <w:p w14:paraId="5E19CBFE" w14:textId="167C3B66" w:rsidR="005710A4" w:rsidRPr="00835753" w:rsidRDefault="00CD362D" w:rsidP="005710A4">
      <w:pPr>
        <w:spacing w:after="240"/>
        <w:jc w:val="both"/>
        <w:rPr>
          <w:rFonts w:ascii="Times New Roman" w:hAnsi="Times New Roman" w:cs="Times New Roman"/>
          <w:sz w:val="24"/>
        </w:rPr>
      </w:pPr>
      <w:r w:rsidRPr="00835753">
        <w:rPr>
          <w:rFonts w:ascii="Times New Roman" w:hAnsi="Times New Roman"/>
          <w:b/>
          <w:sz w:val="24"/>
        </w:rPr>
        <w:t>Wzór EU CCR2 – Transakcje podlegające wymogom</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funduszy własnych</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tyt</w:t>
      </w:r>
      <w:r w:rsidRPr="00835753">
        <w:rPr>
          <w:rFonts w:ascii="Times New Roman" w:hAnsi="Times New Roman"/>
          <w:b/>
          <w:sz w:val="24"/>
        </w:rPr>
        <w:t>ułu ryzyka związanego</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kor</w:t>
      </w:r>
      <w:r w:rsidRPr="00835753">
        <w:rPr>
          <w:rFonts w:ascii="Times New Roman" w:hAnsi="Times New Roman"/>
          <w:b/>
          <w:sz w:val="24"/>
        </w:rPr>
        <w:t xml:space="preserve">ektą wyceny kredytowej. </w:t>
      </w:r>
      <w:r w:rsidRPr="00835753">
        <w:rPr>
          <w:rFonts w:ascii="Times New Roman" w:hAnsi="Times New Roman"/>
          <w:sz w:val="24"/>
        </w:rPr>
        <w:t>Format stały</w:t>
      </w:r>
    </w:p>
    <w:p w14:paraId="1EB3C357" w14:textId="3BACD818" w:rsidR="005710A4" w:rsidRPr="00835753"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sidRPr="00835753">
        <w:rPr>
          <w:rFonts w:ascii="Times New Roman" w:hAnsi="Times New Roman"/>
          <w:bCs w:val="0"/>
          <w:color w:val="000000"/>
          <w:sz w:val="24"/>
        </w:rPr>
        <w:t>W celu</w:t>
      </w:r>
      <w:r w:rsidRPr="00835753">
        <w:rPr>
          <w:rFonts w:ascii="Times New Roman" w:hAnsi="Times New Roman"/>
          <w:bCs w:val="0"/>
          <w:color w:val="auto"/>
          <w:sz w:val="24"/>
        </w:rPr>
        <w:t xml:space="preserve"> wypełnienia wzoru EU CCR2 zamieszczonego</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zał</w:t>
      </w:r>
      <w:r w:rsidRPr="00835753">
        <w:rPr>
          <w:rFonts w:ascii="Times New Roman" w:hAnsi="Times New Roman"/>
          <w:bCs w:val="0"/>
          <w:color w:val="auto"/>
          <w:sz w:val="24"/>
        </w:rPr>
        <w:t>ączniku XXV</w:t>
      </w:r>
      <w:r w:rsidRPr="00835753">
        <w:rPr>
          <w:rFonts w:ascii="Times New Roman" w:hAnsi="Times New Roman"/>
          <w:bCs w:val="0"/>
          <w:color w:val="000000"/>
          <w:sz w:val="24"/>
        </w:rPr>
        <w:t xml:space="preserve"> do niniejszego rozporządzenia wykonawczego instytucje ujawniają informacje,</w:t>
      </w:r>
      <w:r w:rsidR="00835753" w:rsidRPr="00835753">
        <w:rPr>
          <w:rFonts w:ascii="Times New Roman" w:hAnsi="Times New Roman"/>
          <w:bCs w:val="0"/>
          <w:color w:val="000000"/>
          <w:sz w:val="24"/>
        </w:rPr>
        <w:t xml:space="preserve"> o</w:t>
      </w:r>
      <w:r w:rsidR="00835753">
        <w:rPr>
          <w:rFonts w:ascii="Times New Roman" w:hAnsi="Times New Roman"/>
          <w:bCs w:val="0"/>
          <w:color w:val="000000"/>
          <w:sz w:val="24"/>
        </w:rPr>
        <w:t> </w:t>
      </w:r>
      <w:r w:rsidR="00835753" w:rsidRPr="00835753">
        <w:rPr>
          <w:rFonts w:ascii="Times New Roman" w:hAnsi="Times New Roman"/>
          <w:bCs w:val="0"/>
          <w:color w:val="000000"/>
          <w:sz w:val="24"/>
        </w:rPr>
        <w:t>któ</w:t>
      </w:r>
      <w:r w:rsidRPr="00835753">
        <w:rPr>
          <w:rFonts w:ascii="Times New Roman" w:hAnsi="Times New Roman"/>
          <w:bCs w:val="0"/>
          <w:color w:val="000000"/>
          <w:sz w:val="24"/>
        </w:rPr>
        <w:t>rych mowa</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439 lit.</w:t>
      </w:r>
      <w:r w:rsidR="00835753" w:rsidRPr="00835753">
        <w:rPr>
          <w:rFonts w:ascii="Times New Roman" w:hAnsi="Times New Roman"/>
          <w:bCs w:val="0"/>
          <w:color w:val="000000"/>
          <w:sz w:val="24"/>
        </w:rPr>
        <w:t> </w:t>
      </w:r>
      <w:r w:rsidRPr="00835753">
        <w:rPr>
          <w:rFonts w:ascii="Times New Roman" w:hAnsi="Times New Roman"/>
          <w:bCs w:val="0"/>
          <w:color w:val="000000"/>
          <w:sz w:val="24"/>
        </w:rPr>
        <w:t>h) CRR,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pon</w:t>
      </w:r>
      <w:r w:rsidRPr="00835753">
        <w:rPr>
          <w:rFonts w:ascii="Times New Roman" w:hAnsi="Times New Roman"/>
          <w:bCs w:val="0"/>
          <w:color w:val="000000"/>
          <w:sz w:val="24"/>
        </w:rPr>
        <w:t>iższymi instrukcjami zawartymi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załączniku</w:t>
      </w:r>
      <w:r w:rsidRPr="00835753">
        <w:rPr>
          <w:rFonts w:ascii="Times New Roman" w:hAnsi="Times New Roman"/>
          <w:bCs w:val="0"/>
          <w:color w:val="auto"/>
          <w:sz w:val="24"/>
        </w:rPr>
        <w:t>.</w:t>
      </w:r>
    </w:p>
    <w:p w14:paraId="7159A1F1" w14:textId="340E4433" w:rsidR="005710A4" w:rsidRPr="00835753" w:rsidRDefault="005710A4" w:rsidP="005710A4">
      <w:pPr>
        <w:pStyle w:val="Titlelevel2"/>
        <w:numPr>
          <w:ilvl w:val="0"/>
          <w:numId w:val="56"/>
        </w:numPr>
        <w:spacing w:before="0"/>
        <w:jc w:val="both"/>
        <w:rPr>
          <w:rFonts w:ascii="Times New Roman" w:hAnsi="Times New Roman" w:cs="Times New Roman"/>
          <w:b/>
          <w:color w:val="auto"/>
          <w:sz w:val="24"/>
        </w:rPr>
      </w:pPr>
      <w:r w:rsidRPr="00835753">
        <w:rPr>
          <w:rFonts w:ascii="Times New Roman" w:hAnsi="Times New Roman"/>
          <w:bCs w:val="0"/>
          <w:color w:val="auto"/>
          <w:sz w:val="24"/>
        </w:rPr>
        <w:t>Niniejszy</w:t>
      </w:r>
      <w:r w:rsidRPr="00835753">
        <w:rPr>
          <w:rFonts w:ascii="Times New Roman" w:hAnsi="Times New Roman"/>
          <w:color w:val="auto"/>
          <w:sz w:val="24"/>
        </w:rPr>
        <w:t xml:space="preserve"> wzór należy wypełnić, podając informacje dotyczące korekty wyceny kredytowej dla wszystkich transakcji podlegających wymogom</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zak</w:t>
      </w:r>
      <w:r w:rsidRPr="00835753">
        <w:rPr>
          <w:rFonts w:ascii="Times New Roman" w:hAnsi="Times New Roman"/>
          <w:color w:val="auto"/>
          <w:sz w:val="24"/>
        </w:rPr>
        <w:t>resie funduszy własnych</w:t>
      </w:r>
      <w:r w:rsidR="00835753" w:rsidRPr="00835753">
        <w:rPr>
          <w:rFonts w:ascii="Times New Roman" w:hAnsi="Times New Roman"/>
          <w:color w:val="auto"/>
          <w:sz w:val="24"/>
        </w:rPr>
        <w:t xml:space="preserve"> z</w:t>
      </w:r>
      <w:r w:rsidR="00835753">
        <w:rPr>
          <w:rFonts w:ascii="Times New Roman" w:hAnsi="Times New Roman"/>
          <w:color w:val="auto"/>
          <w:sz w:val="24"/>
        </w:rPr>
        <w:t> </w:t>
      </w:r>
      <w:r w:rsidR="00835753" w:rsidRPr="00835753">
        <w:rPr>
          <w:rFonts w:ascii="Times New Roman" w:hAnsi="Times New Roman"/>
          <w:color w:val="auto"/>
          <w:sz w:val="24"/>
        </w:rPr>
        <w:t>tyt</w:t>
      </w:r>
      <w:r w:rsidRPr="00835753">
        <w:rPr>
          <w:rFonts w:ascii="Times New Roman" w:hAnsi="Times New Roman"/>
          <w:color w:val="auto"/>
          <w:sz w:val="24"/>
        </w:rPr>
        <w:t>ułu ryzyka związanego</w:t>
      </w:r>
      <w:r w:rsidR="00835753" w:rsidRPr="00835753">
        <w:rPr>
          <w:rFonts w:ascii="Times New Roman" w:hAnsi="Times New Roman"/>
          <w:color w:val="auto"/>
          <w:sz w:val="24"/>
        </w:rPr>
        <w:t xml:space="preserve"> z</w:t>
      </w:r>
      <w:r w:rsidR="00835753">
        <w:rPr>
          <w:rFonts w:ascii="Times New Roman" w:hAnsi="Times New Roman"/>
          <w:color w:val="auto"/>
          <w:sz w:val="24"/>
        </w:rPr>
        <w:t> </w:t>
      </w:r>
      <w:r w:rsidR="00835753" w:rsidRPr="00835753">
        <w:rPr>
          <w:rFonts w:ascii="Times New Roman" w:hAnsi="Times New Roman"/>
          <w:color w:val="auto"/>
          <w:sz w:val="24"/>
        </w:rPr>
        <w:t>kor</w:t>
      </w:r>
      <w:r w:rsidRPr="00835753">
        <w:rPr>
          <w:rFonts w:ascii="Times New Roman" w:hAnsi="Times New Roman"/>
          <w:color w:val="auto"/>
          <w:sz w:val="24"/>
        </w:rPr>
        <w:t xml:space="preserve">ektą wyceny kredytowej (część trzecia tytuł VI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835753"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4F2F6184" w:rsidR="005710A4" w:rsidRPr="00835753" w:rsidRDefault="005710A4" w:rsidP="00155C96">
            <w:pPr>
              <w:spacing w:after="24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5710A4" w:rsidRPr="00835753" w14:paraId="6682226A" w14:textId="77777777" w:rsidTr="00155C96">
        <w:trPr>
          <w:trHeight w:val="238"/>
        </w:trPr>
        <w:tc>
          <w:tcPr>
            <w:tcW w:w="1384" w:type="dxa"/>
            <w:shd w:val="clear" w:color="auto" w:fill="D9D9D9" w:themeFill="background1" w:themeFillShade="D9"/>
          </w:tcPr>
          <w:p w14:paraId="74155D64" w14:textId="77777777" w:rsidR="005710A4" w:rsidRPr="00835753" w:rsidRDefault="005710A4" w:rsidP="00155C96">
            <w:pPr>
              <w:autoSpaceDE w:val="0"/>
              <w:autoSpaceDN w:val="0"/>
              <w:adjustRightInd w:val="0"/>
              <w:spacing w:after="24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72ACB3FF" w14:textId="77777777" w:rsidR="005710A4" w:rsidRPr="00835753" w:rsidRDefault="005710A4" w:rsidP="00155C96">
            <w:pPr>
              <w:autoSpaceDE w:val="0"/>
              <w:autoSpaceDN w:val="0"/>
              <w:adjustRightInd w:val="0"/>
              <w:spacing w:after="240"/>
              <w:rPr>
                <w:rFonts w:ascii="Times New Roman" w:hAnsi="Times New Roman" w:cs="Times New Roman"/>
                <w:color w:val="000000"/>
                <w:sz w:val="24"/>
              </w:rPr>
            </w:pPr>
            <w:r w:rsidRPr="00835753">
              <w:rPr>
                <w:rFonts w:ascii="Times New Roman" w:hAnsi="Times New Roman"/>
                <w:b/>
                <w:sz w:val="24"/>
              </w:rPr>
              <w:t>Wyjaśnienie</w:t>
            </w:r>
          </w:p>
        </w:tc>
      </w:tr>
      <w:tr w:rsidR="005710A4" w:rsidRPr="00835753" w14:paraId="0F42B361" w14:textId="77777777" w:rsidTr="00155C96">
        <w:trPr>
          <w:trHeight w:val="680"/>
        </w:trPr>
        <w:tc>
          <w:tcPr>
            <w:tcW w:w="1384" w:type="dxa"/>
          </w:tcPr>
          <w:p w14:paraId="296F2230" w14:textId="4EFDDC0D" w:rsidR="005710A4" w:rsidRPr="00835753" w:rsidRDefault="005F3D92" w:rsidP="00155C96">
            <w:pPr>
              <w:pStyle w:val="Applicationdirecte"/>
              <w:spacing w:before="0" w:after="240"/>
              <w:jc w:val="center"/>
            </w:pPr>
            <w:r w:rsidRPr="00835753">
              <w:t>1</w:t>
            </w:r>
          </w:p>
        </w:tc>
        <w:tc>
          <w:tcPr>
            <w:tcW w:w="7655" w:type="dxa"/>
            <w:vAlign w:val="center"/>
          </w:tcPr>
          <w:p w14:paraId="277F5192" w14:textId="62C28F77" w:rsidR="005710A4" w:rsidRPr="00835753" w:rsidRDefault="005710A4" w:rsidP="00155C96">
            <w:pPr>
              <w:pStyle w:val="TableNote"/>
              <w:spacing w:before="0" w:after="240"/>
              <w:rPr>
                <w:rFonts w:ascii="Times New Roman" w:hAnsi="Times New Roman"/>
                <w:b/>
                <w:sz w:val="24"/>
                <w:szCs w:val="24"/>
              </w:rPr>
            </w:pPr>
            <w:r w:rsidRPr="00835753">
              <w:rPr>
                <w:rFonts w:ascii="Times New Roman" w:hAnsi="Times New Roman"/>
                <w:b/>
                <w:sz w:val="24"/>
                <w:szCs w:val="24"/>
              </w:rPr>
              <w:t>Transakcje objęte metodą zaawansowaną ogółem</w:t>
            </w:r>
          </w:p>
          <w:p w14:paraId="5A69287A" w14:textId="06085477" w:rsidR="005710A4" w:rsidRPr="00835753" w:rsidRDefault="005710A4" w:rsidP="00155C96">
            <w:pPr>
              <w:pStyle w:val="TableNote"/>
              <w:spacing w:before="0" w:after="240"/>
              <w:rPr>
                <w:rFonts w:ascii="Times New Roman" w:hAnsi="Times New Roman"/>
                <w:i/>
                <w:sz w:val="24"/>
                <w:szCs w:val="24"/>
              </w:rPr>
            </w:pPr>
            <w:r w:rsidRPr="00835753">
              <w:rPr>
                <w:rFonts w:ascii="Times New Roman" w:hAnsi="Times New Roman"/>
                <w:sz w:val="24"/>
                <w:szCs w:val="24"/>
              </w:rPr>
              <w:t>Transakcje objęte metodą zaawansowaną stosowaną</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cel</w:t>
            </w:r>
            <w:r w:rsidRPr="00835753">
              <w:rPr>
                <w:rFonts w:ascii="Times New Roman" w:hAnsi="Times New Roman"/>
                <w:sz w:val="24"/>
                <w:szCs w:val="24"/>
              </w:rPr>
              <w:t>u obliczenia wymogów</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zak</w:t>
            </w:r>
            <w:r w:rsidRPr="00835753">
              <w:rPr>
                <w:rFonts w:ascii="Times New Roman" w:hAnsi="Times New Roman"/>
                <w:sz w:val="24"/>
                <w:szCs w:val="24"/>
              </w:rPr>
              <w:t>resie funduszy własnych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ryzyka związanego</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kor</w:t>
            </w:r>
            <w:r w:rsidRPr="00835753">
              <w:rPr>
                <w:rFonts w:ascii="Times New Roman" w:hAnsi="Times New Roman"/>
                <w:sz w:val="24"/>
                <w:szCs w:val="24"/>
              </w:rPr>
              <w:t>ektą wyceny kredytowej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383 CRR</w:t>
            </w:r>
          </w:p>
        </w:tc>
      </w:tr>
      <w:tr w:rsidR="005710A4" w:rsidRPr="00835753" w14:paraId="4D09BE9A" w14:textId="77777777" w:rsidTr="00155C96">
        <w:trPr>
          <w:trHeight w:val="680"/>
        </w:trPr>
        <w:tc>
          <w:tcPr>
            <w:tcW w:w="1384" w:type="dxa"/>
          </w:tcPr>
          <w:p w14:paraId="0CE848AA" w14:textId="108606B7" w:rsidR="005710A4" w:rsidRPr="00835753" w:rsidRDefault="005F3D92" w:rsidP="00155C96">
            <w:pPr>
              <w:pStyle w:val="Applicationdirecte"/>
              <w:spacing w:before="0" w:after="240"/>
              <w:jc w:val="center"/>
            </w:pPr>
            <w:r w:rsidRPr="00835753">
              <w:t>2</w:t>
            </w:r>
          </w:p>
        </w:tc>
        <w:tc>
          <w:tcPr>
            <w:tcW w:w="7655" w:type="dxa"/>
            <w:vAlign w:val="center"/>
          </w:tcPr>
          <w:p w14:paraId="46384C9E" w14:textId="27436D83" w:rsidR="005710A4" w:rsidRPr="00835753" w:rsidRDefault="005710A4" w:rsidP="00155C96">
            <w:pPr>
              <w:pStyle w:val="TableNote"/>
              <w:spacing w:before="0" w:after="240"/>
              <w:rPr>
                <w:rFonts w:ascii="Times New Roman" w:hAnsi="Times New Roman"/>
                <w:b/>
                <w:sz w:val="24"/>
                <w:szCs w:val="24"/>
              </w:rPr>
            </w:pPr>
            <w:r w:rsidRPr="00835753">
              <w:rPr>
                <w:rFonts w:ascii="Times New Roman" w:hAnsi="Times New Roman"/>
                <w:b/>
                <w:sz w:val="24"/>
                <w:szCs w:val="24"/>
              </w:rPr>
              <w:t>Składnik VaR (uwzględniając mnożnik 3×)</w:t>
            </w:r>
          </w:p>
          <w:p w14:paraId="78E01F57" w14:textId="0E874177" w:rsidR="005710A4" w:rsidRPr="00835753" w:rsidRDefault="005710A4" w:rsidP="00155C96">
            <w:pPr>
              <w:pStyle w:val="TableNote"/>
              <w:spacing w:before="0" w:after="240"/>
              <w:rPr>
                <w:rFonts w:ascii="Times New Roman" w:hAnsi="Times New Roman"/>
                <w:sz w:val="24"/>
                <w:szCs w:val="24"/>
              </w:rPr>
            </w:pPr>
            <w:r w:rsidRPr="00835753">
              <w:rPr>
                <w:rFonts w:ascii="Times New Roman" w:hAnsi="Times New Roman"/>
                <w:sz w:val="24"/>
                <w:szCs w:val="24"/>
              </w:rPr>
              <w:lastRenderedPageBreak/>
              <w:t>Transakcje podlegające wymogom</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zak</w:t>
            </w:r>
            <w:r w:rsidRPr="00835753">
              <w:rPr>
                <w:rFonts w:ascii="Times New Roman" w:hAnsi="Times New Roman"/>
                <w:sz w:val="24"/>
                <w:szCs w:val="24"/>
              </w:rPr>
              <w:t>resie funduszy własnych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ryzyka związanego</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kor</w:t>
            </w:r>
            <w:r w:rsidRPr="00835753">
              <w:rPr>
                <w:rFonts w:ascii="Times New Roman" w:hAnsi="Times New Roman"/>
                <w:sz w:val="24"/>
                <w:szCs w:val="24"/>
              </w:rPr>
              <w:t>ektą wyceny kredytowej,</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ypadku których kwoty ekspozycji ważonej ryzykiem uzyskuje się na podstawie wzoru przedstawionego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383 CRR przy wykorzystaniu obliczeń VaR bazujących na modelach wewnętrznych dotyczących ryzyka rynkowego (bieżące kalibracje parametrów dla oczekiwanej ekspozycji przedstawione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292 ust.</w:t>
            </w:r>
            <w:r w:rsidR="00835753" w:rsidRPr="00835753">
              <w:rPr>
                <w:rFonts w:ascii="Times New Roman" w:hAnsi="Times New Roman"/>
                <w:sz w:val="24"/>
                <w:szCs w:val="24"/>
              </w:rPr>
              <w:t> </w:t>
            </w:r>
            <w:r w:rsidRPr="00835753">
              <w:rPr>
                <w:rFonts w:ascii="Times New Roman" w:hAnsi="Times New Roman"/>
                <w:sz w:val="24"/>
                <w:szCs w:val="24"/>
              </w:rPr>
              <w:t xml:space="preserve">2 akapit pierwszy CRR). </w:t>
            </w:r>
          </w:p>
          <w:p w14:paraId="491F338F" w14:textId="4BD8BB5B" w:rsidR="005710A4" w:rsidRPr="00835753" w:rsidRDefault="005710A4" w:rsidP="00155C96">
            <w:pPr>
              <w:pStyle w:val="TableNote"/>
              <w:spacing w:before="0" w:after="240"/>
              <w:rPr>
                <w:rFonts w:ascii="Times New Roman" w:hAnsi="Times New Roman"/>
                <w:i/>
                <w:sz w:val="24"/>
                <w:szCs w:val="24"/>
              </w:rPr>
            </w:pPr>
            <w:r w:rsidRPr="00835753">
              <w:rPr>
                <w:rFonts w:ascii="Times New Roman" w:hAnsi="Times New Roman"/>
                <w:sz w:val="24"/>
                <w:szCs w:val="24"/>
              </w:rPr>
              <w:t>W obliczeniach należy stosować mnożnik</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war</w:t>
            </w:r>
            <w:r w:rsidRPr="00835753">
              <w:rPr>
                <w:rFonts w:ascii="Times New Roman" w:hAnsi="Times New Roman"/>
                <w:sz w:val="24"/>
                <w:szCs w:val="24"/>
              </w:rPr>
              <w:t xml:space="preserve">tości co najmniej 3 (ustanowiony przez organ sprawujący nadzór). </w:t>
            </w:r>
          </w:p>
        </w:tc>
      </w:tr>
      <w:tr w:rsidR="005710A4" w:rsidRPr="00835753" w14:paraId="24504A39" w14:textId="77777777" w:rsidTr="00155C96">
        <w:trPr>
          <w:trHeight w:val="680"/>
        </w:trPr>
        <w:tc>
          <w:tcPr>
            <w:tcW w:w="1384" w:type="dxa"/>
          </w:tcPr>
          <w:p w14:paraId="09E208FE" w14:textId="6660F7AA" w:rsidR="005710A4" w:rsidRPr="00835753" w:rsidRDefault="005F3D92" w:rsidP="005F3D92">
            <w:pPr>
              <w:pStyle w:val="Applicationdirecte"/>
              <w:spacing w:before="0" w:after="240"/>
              <w:jc w:val="center"/>
            </w:pPr>
            <w:r w:rsidRPr="00835753">
              <w:lastRenderedPageBreak/>
              <w:t>3</w:t>
            </w:r>
          </w:p>
        </w:tc>
        <w:tc>
          <w:tcPr>
            <w:tcW w:w="7655" w:type="dxa"/>
            <w:vAlign w:val="center"/>
          </w:tcPr>
          <w:p w14:paraId="3F7FB318" w14:textId="57CF6E95" w:rsidR="005710A4" w:rsidRPr="00835753" w:rsidRDefault="005710A4" w:rsidP="00155C96">
            <w:pPr>
              <w:pStyle w:val="TableNote"/>
              <w:spacing w:before="0" w:after="240"/>
              <w:rPr>
                <w:rFonts w:ascii="Times New Roman" w:hAnsi="Times New Roman"/>
                <w:b/>
                <w:sz w:val="24"/>
                <w:szCs w:val="24"/>
              </w:rPr>
            </w:pPr>
            <w:r w:rsidRPr="00835753">
              <w:rPr>
                <w:rFonts w:ascii="Times New Roman" w:hAnsi="Times New Roman"/>
                <w:b/>
                <w:sz w:val="24"/>
                <w:szCs w:val="24"/>
              </w:rPr>
              <w:t>Składnik VaR</w:t>
            </w:r>
            <w:r w:rsidR="00835753" w:rsidRPr="00835753">
              <w:rPr>
                <w:rFonts w:ascii="Times New Roman" w:hAnsi="Times New Roman"/>
                <w:b/>
                <w:sz w:val="24"/>
                <w:szCs w:val="24"/>
              </w:rPr>
              <w:t xml:space="preserve"> w</w:t>
            </w:r>
            <w:r w:rsidR="00835753">
              <w:rPr>
                <w:rFonts w:ascii="Times New Roman" w:hAnsi="Times New Roman"/>
                <w:b/>
                <w:sz w:val="24"/>
                <w:szCs w:val="24"/>
              </w:rPr>
              <w:t> </w:t>
            </w:r>
            <w:r w:rsidR="00835753" w:rsidRPr="00835753">
              <w:rPr>
                <w:rFonts w:ascii="Times New Roman" w:hAnsi="Times New Roman"/>
                <w:b/>
                <w:sz w:val="24"/>
                <w:szCs w:val="24"/>
              </w:rPr>
              <w:t>war</w:t>
            </w:r>
            <w:r w:rsidRPr="00835753">
              <w:rPr>
                <w:rFonts w:ascii="Times New Roman" w:hAnsi="Times New Roman"/>
                <w:b/>
                <w:sz w:val="24"/>
                <w:szCs w:val="24"/>
              </w:rPr>
              <w:t>unkach skrajnych (uwzględniając mnożnik 3×)</w:t>
            </w:r>
          </w:p>
          <w:p w14:paraId="210669C0" w14:textId="3C99B0AA" w:rsidR="005710A4" w:rsidRPr="00835753" w:rsidRDefault="005710A4" w:rsidP="00155C96">
            <w:pPr>
              <w:pStyle w:val="TableNote"/>
              <w:spacing w:before="0" w:after="240"/>
              <w:rPr>
                <w:rFonts w:ascii="Times New Roman" w:hAnsi="Times New Roman"/>
                <w:sz w:val="24"/>
                <w:szCs w:val="24"/>
              </w:rPr>
            </w:pPr>
            <w:r w:rsidRPr="00835753">
              <w:rPr>
                <w:rFonts w:ascii="Times New Roman" w:hAnsi="Times New Roman"/>
                <w:sz w:val="24"/>
                <w:szCs w:val="24"/>
              </w:rPr>
              <w:t>Transakcje podlegające wymogom</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zak</w:t>
            </w:r>
            <w:r w:rsidRPr="00835753">
              <w:rPr>
                <w:rFonts w:ascii="Times New Roman" w:hAnsi="Times New Roman"/>
                <w:sz w:val="24"/>
                <w:szCs w:val="24"/>
              </w:rPr>
              <w:t>resie funduszy własnych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ryzyka związanego</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kor</w:t>
            </w:r>
            <w:r w:rsidRPr="00835753">
              <w:rPr>
                <w:rFonts w:ascii="Times New Roman" w:hAnsi="Times New Roman"/>
                <w:sz w:val="24"/>
                <w:szCs w:val="24"/>
              </w:rPr>
              <w:t>ektą wyceny kredytowej,</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ypadku których kwoty ekspozycji ważonej ryzykiem uzyskuje się na podstawie wzoru przedstawionego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383 CRR przy wykorzystaniu obliczeń VaR</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war</w:t>
            </w:r>
            <w:r w:rsidRPr="00835753">
              <w:rPr>
                <w:rFonts w:ascii="Times New Roman" w:hAnsi="Times New Roman"/>
                <w:sz w:val="24"/>
                <w:szCs w:val="24"/>
              </w:rPr>
              <w:t>unkach skrajnych bazujących na modelach wewnętrznych dotyczących ryzyka rynkowego (parametry na potrzeby kalibracji wzoru przedstawionego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292 ust.</w:t>
            </w:r>
            <w:r w:rsidR="00835753" w:rsidRPr="00835753">
              <w:rPr>
                <w:rFonts w:ascii="Times New Roman" w:hAnsi="Times New Roman"/>
                <w:sz w:val="24"/>
                <w:szCs w:val="24"/>
              </w:rPr>
              <w:t> </w:t>
            </w:r>
            <w:r w:rsidRPr="00835753">
              <w:rPr>
                <w:rFonts w:ascii="Times New Roman" w:hAnsi="Times New Roman"/>
                <w:sz w:val="24"/>
                <w:szCs w:val="24"/>
              </w:rPr>
              <w:t>2 akapit pierwszy CRR</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war</w:t>
            </w:r>
            <w:r w:rsidRPr="00835753">
              <w:rPr>
                <w:rFonts w:ascii="Times New Roman" w:hAnsi="Times New Roman"/>
                <w:sz w:val="24"/>
                <w:szCs w:val="24"/>
              </w:rPr>
              <w:t xml:space="preserve">unkach skrajnych). </w:t>
            </w:r>
          </w:p>
          <w:p w14:paraId="0E13AFEA" w14:textId="2C496A38" w:rsidR="005710A4" w:rsidRPr="00835753" w:rsidRDefault="005710A4" w:rsidP="00155C96">
            <w:pPr>
              <w:pStyle w:val="TableNote"/>
              <w:spacing w:before="0" w:after="240"/>
              <w:rPr>
                <w:rFonts w:ascii="Times New Roman" w:hAnsi="Times New Roman"/>
                <w:i/>
                <w:sz w:val="24"/>
                <w:szCs w:val="24"/>
              </w:rPr>
            </w:pPr>
            <w:r w:rsidRPr="00835753">
              <w:rPr>
                <w:rFonts w:ascii="Times New Roman" w:hAnsi="Times New Roman"/>
                <w:sz w:val="24"/>
                <w:szCs w:val="24"/>
              </w:rPr>
              <w:t>W obliczeniach należy stosować mnożnik</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war</w:t>
            </w:r>
            <w:r w:rsidRPr="00835753">
              <w:rPr>
                <w:rFonts w:ascii="Times New Roman" w:hAnsi="Times New Roman"/>
                <w:sz w:val="24"/>
                <w:szCs w:val="24"/>
              </w:rPr>
              <w:t xml:space="preserve">tości co najmniej 3 (ustanowiony przez organ sprawujący nadzór). </w:t>
            </w:r>
          </w:p>
        </w:tc>
      </w:tr>
      <w:tr w:rsidR="005710A4" w:rsidRPr="00835753" w14:paraId="5169B69F" w14:textId="77777777" w:rsidTr="00155C96">
        <w:trPr>
          <w:trHeight w:val="680"/>
        </w:trPr>
        <w:tc>
          <w:tcPr>
            <w:tcW w:w="1384" w:type="dxa"/>
          </w:tcPr>
          <w:p w14:paraId="373C389C" w14:textId="0EDF2B53" w:rsidR="005710A4" w:rsidRPr="00835753" w:rsidRDefault="005710A4" w:rsidP="005F3D92">
            <w:pPr>
              <w:pStyle w:val="Applicationdirecte"/>
              <w:spacing w:before="0" w:after="240"/>
              <w:jc w:val="center"/>
            </w:pPr>
            <w:r w:rsidRPr="00835753">
              <w:t>4</w:t>
            </w:r>
          </w:p>
        </w:tc>
        <w:tc>
          <w:tcPr>
            <w:tcW w:w="7655" w:type="dxa"/>
            <w:vAlign w:val="center"/>
          </w:tcPr>
          <w:p w14:paraId="1C549297" w14:textId="3E781B28" w:rsidR="005710A4" w:rsidRPr="00835753" w:rsidRDefault="005710A4" w:rsidP="00155C96">
            <w:pPr>
              <w:pStyle w:val="TableNote"/>
              <w:spacing w:before="0" w:after="240"/>
              <w:rPr>
                <w:rFonts w:ascii="Times New Roman" w:hAnsi="Times New Roman"/>
                <w:b/>
                <w:sz w:val="24"/>
                <w:szCs w:val="24"/>
              </w:rPr>
            </w:pPr>
            <w:r w:rsidRPr="00835753">
              <w:rPr>
                <w:rFonts w:ascii="Times New Roman" w:hAnsi="Times New Roman"/>
                <w:b/>
                <w:sz w:val="24"/>
                <w:szCs w:val="24"/>
              </w:rPr>
              <w:t>Transakcje podlegające metodzie standardowej</w:t>
            </w:r>
          </w:p>
          <w:p w14:paraId="73885D21" w14:textId="591E77DF" w:rsidR="005710A4" w:rsidRPr="00835753" w:rsidRDefault="005710A4" w:rsidP="00155C96">
            <w:pPr>
              <w:pStyle w:val="TableNote"/>
              <w:spacing w:before="0" w:after="240"/>
              <w:rPr>
                <w:rFonts w:ascii="Times New Roman" w:hAnsi="Times New Roman"/>
                <w:i/>
                <w:sz w:val="24"/>
                <w:szCs w:val="24"/>
              </w:rPr>
            </w:pPr>
            <w:r w:rsidRPr="00835753">
              <w:rPr>
                <w:rFonts w:ascii="Times New Roman" w:hAnsi="Times New Roman"/>
                <w:sz w:val="24"/>
                <w:szCs w:val="24"/>
              </w:rPr>
              <w:t>Transakcje podlegające metodzie standardowej stosowanej</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cel</w:t>
            </w:r>
            <w:r w:rsidRPr="00835753">
              <w:rPr>
                <w:rFonts w:ascii="Times New Roman" w:hAnsi="Times New Roman"/>
                <w:sz w:val="24"/>
                <w:szCs w:val="24"/>
              </w:rPr>
              <w:t>u obliczenia wymogów</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zak</w:t>
            </w:r>
            <w:r w:rsidRPr="00835753">
              <w:rPr>
                <w:rFonts w:ascii="Times New Roman" w:hAnsi="Times New Roman"/>
                <w:sz w:val="24"/>
                <w:szCs w:val="24"/>
              </w:rPr>
              <w:t>resie funduszy własnych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ryzyka związanego</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kor</w:t>
            </w:r>
            <w:r w:rsidRPr="00835753">
              <w:rPr>
                <w:rFonts w:ascii="Times New Roman" w:hAnsi="Times New Roman"/>
                <w:sz w:val="24"/>
                <w:szCs w:val="24"/>
              </w:rPr>
              <w:t>ektą wyceny kredytowej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384 CRR</w:t>
            </w:r>
          </w:p>
        </w:tc>
      </w:tr>
      <w:tr w:rsidR="005710A4" w:rsidRPr="00835753" w14:paraId="2ADC279A" w14:textId="77777777" w:rsidTr="00155C96">
        <w:trPr>
          <w:trHeight w:val="680"/>
        </w:trPr>
        <w:tc>
          <w:tcPr>
            <w:tcW w:w="1384" w:type="dxa"/>
          </w:tcPr>
          <w:p w14:paraId="5F8FC082" w14:textId="65EC5F52" w:rsidR="005710A4" w:rsidRPr="00835753" w:rsidRDefault="005710A4" w:rsidP="00155C96">
            <w:pPr>
              <w:pStyle w:val="Applicationdirecte"/>
              <w:spacing w:before="0" w:after="240"/>
              <w:jc w:val="center"/>
            </w:pPr>
            <w:r w:rsidRPr="00835753">
              <w:t>EU-4</w:t>
            </w:r>
          </w:p>
        </w:tc>
        <w:tc>
          <w:tcPr>
            <w:tcW w:w="7655" w:type="dxa"/>
            <w:vAlign w:val="center"/>
          </w:tcPr>
          <w:p w14:paraId="28D937C2" w14:textId="184E8EE5" w:rsidR="005710A4" w:rsidRPr="00835753" w:rsidRDefault="005710A4" w:rsidP="00155C96">
            <w:pPr>
              <w:spacing w:after="240"/>
              <w:rPr>
                <w:rFonts w:ascii="Times New Roman" w:hAnsi="Times New Roman" w:cs="Times New Roman"/>
                <w:b/>
                <w:sz w:val="24"/>
              </w:rPr>
            </w:pPr>
            <w:r w:rsidRPr="00835753">
              <w:rPr>
                <w:rFonts w:ascii="Times New Roman" w:hAnsi="Times New Roman"/>
                <w:b/>
                <w:sz w:val="24"/>
              </w:rPr>
              <w:t>Transakcje objęte metodą alternatywną (w oparciu</w:t>
            </w:r>
            <w:r w:rsidR="00835753" w:rsidRPr="00835753">
              <w:rPr>
                <w:rFonts w:ascii="Times New Roman" w:hAnsi="Times New Roman"/>
                <w:b/>
                <w:sz w:val="24"/>
              </w:rPr>
              <w:t xml:space="preserve"> o</w:t>
            </w:r>
            <w:r w:rsidR="00835753">
              <w:rPr>
                <w:rFonts w:ascii="Times New Roman" w:hAnsi="Times New Roman"/>
                <w:b/>
                <w:sz w:val="24"/>
              </w:rPr>
              <w:t> </w:t>
            </w:r>
            <w:r w:rsidR="00835753" w:rsidRPr="00835753">
              <w:rPr>
                <w:rFonts w:ascii="Times New Roman" w:hAnsi="Times New Roman"/>
                <w:b/>
                <w:sz w:val="24"/>
              </w:rPr>
              <w:t>met</w:t>
            </w:r>
            <w:r w:rsidRPr="00835753">
              <w:rPr>
                <w:rFonts w:ascii="Times New Roman" w:hAnsi="Times New Roman"/>
                <w:b/>
                <w:sz w:val="24"/>
              </w:rPr>
              <w:t>odę wyceny pierwotnej ekspozycji)</w:t>
            </w:r>
          </w:p>
          <w:p w14:paraId="303CE2F9" w14:textId="0411868E" w:rsidR="005710A4" w:rsidRPr="00835753" w:rsidRDefault="005710A4" w:rsidP="00155C96">
            <w:pPr>
              <w:spacing w:after="240"/>
              <w:jc w:val="both"/>
              <w:rPr>
                <w:rFonts w:ascii="Times New Roman" w:hAnsi="Times New Roman" w:cs="Times New Roman"/>
                <w:i/>
                <w:sz w:val="24"/>
              </w:rPr>
            </w:pPr>
            <w:r w:rsidRPr="00835753">
              <w:rPr>
                <w:rFonts w:ascii="Times New Roman" w:hAnsi="Times New Roman"/>
                <w:sz w:val="24"/>
              </w:rPr>
              <w:t>Transakcje objęte metodą alternatywną stosowaną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obliczenia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związanego</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kor</w:t>
            </w:r>
            <w:r w:rsidRPr="00835753">
              <w:rPr>
                <w:rFonts w:ascii="Times New Roman" w:hAnsi="Times New Roman"/>
                <w:sz w:val="24"/>
              </w:rPr>
              <w:t>ektą wyceny kredytowej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385 CRR</w:t>
            </w:r>
          </w:p>
        </w:tc>
      </w:tr>
      <w:tr w:rsidR="005710A4" w:rsidRPr="00835753" w14:paraId="2D4DF36D" w14:textId="77777777" w:rsidTr="00155C96">
        <w:trPr>
          <w:trHeight w:val="680"/>
        </w:trPr>
        <w:tc>
          <w:tcPr>
            <w:tcW w:w="1384" w:type="dxa"/>
          </w:tcPr>
          <w:p w14:paraId="5AE7FAD0" w14:textId="1F4F3595" w:rsidR="005710A4" w:rsidRPr="00835753" w:rsidRDefault="005710A4" w:rsidP="005F3D92">
            <w:pPr>
              <w:pStyle w:val="Applicationdirecte"/>
              <w:spacing w:before="0" w:after="240"/>
              <w:jc w:val="center"/>
            </w:pPr>
            <w:r w:rsidRPr="00835753">
              <w:t>5</w:t>
            </w:r>
          </w:p>
        </w:tc>
        <w:tc>
          <w:tcPr>
            <w:tcW w:w="7655" w:type="dxa"/>
          </w:tcPr>
          <w:p w14:paraId="108DDC6D" w14:textId="17A71118" w:rsidR="005710A4" w:rsidRPr="00835753" w:rsidRDefault="005710A4" w:rsidP="00155C96">
            <w:pPr>
              <w:spacing w:after="240"/>
              <w:rPr>
                <w:rFonts w:ascii="Times New Roman" w:hAnsi="Times New Roman" w:cs="Times New Roman"/>
                <w:b/>
                <w:sz w:val="24"/>
              </w:rPr>
            </w:pPr>
            <w:r w:rsidRPr="00835753">
              <w:rPr>
                <w:rFonts w:ascii="Times New Roman" w:hAnsi="Times New Roman"/>
                <w:b/>
                <w:sz w:val="24"/>
              </w:rPr>
              <w:t>Transakcje podlegające wymogom</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funduszy własnych</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tyt</w:t>
            </w:r>
            <w:r w:rsidRPr="00835753">
              <w:rPr>
                <w:rFonts w:ascii="Times New Roman" w:hAnsi="Times New Roman"/>
                <w:b/>
                <w:sz w:val="24"/>
              </w:rPr>
              <w:t>ułu ryzyka związanego</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kor</w:t>
            </w:r>
            <w:r w:rsidRPr="00835753">
              <w:rPr>
                <w:rFonts w:ascii="Times New Roman" w:hAnsi="Times New Roman"/>
                <w:b/>
                <w:sz w:val="24"/>
              </w:rPr>
              <w:t>ektą wyceny kredytowej – ogółem</w:t>
            </w:r>
          </w:p>
        </w:tc>
      </w:tr>
      <w:tr w:rsidR="005710A4" w:rsidRPr="00835753"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835753" w:rsidRDefault="005710A4" w:rsidP="00155C96">
            <w:pPr>
              <w:pStyle w:val="Applicationdirecte"/>
              <w:spacing w:before="0" w:after="240"/>
              <w:jc w:val="center"/>
              <w:rPr>
                <w:b/>
              </w:rPr>
            </w:pPr>
            <w:r w:rsidRPr="00835753">
              <w:rPr>
                <w:b/>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835753" w:rsidRDefault="005710A4" w:rsidP="00155C96">
            <w:pPr>
              <w:pStyle w:val="TableMainHeading"/>
              <w:spacing w:before="0" w:after="240"/>
              <w:rPr>
                <w:rFonts w:ascii="Times New Roman" w:hAnsi="Times New Roman"/>
                <w:b/>
                <w:sz w:val="24"/>
                <w:szCs w:val="24"/>
              </w:rPr>
            </w:pPr>
            <w:r w:rsidRPr="00835753">
              <w:rPr>
                <w:rFonts w:ascii="Times New Roman" w:hAnsi="Times New Roman"/>
                <w:b/>
                <w:sz w:val="24"/>
                <w:szCs w:val="24"/>
              </w:rPr>
              <w:t>Wyjaśnienie</w:t>
            </w:r>
          </w:p>
        </w:tc>
      </w:tr>
      <w:tr w:rsidR="005710A4" w:rsidRPr="00835753" w14:paraId="1B792DD3" w14:textId="77777777" w:rsidTr="00155C96">
        <w:trPr>
          <w:trHeight w:val="680"/>
        </w:trPr>
        <w:tc>
          <w:tcPr>
            <w:tcW w:w="1384" w:type="dxa"/>
          </w:tcPr>
          <w:p w14:paraId="5CA18617" w14:textId="4222C7A3" w:rsidR="005710A4" w:rsidRPr="00835753" w:rsidRDefault="005F3D92" w:rsidP="00155C96">
            <w:pPr>
              <w:pStyle w:val="Applicationdirecte"/>
              <w:spacing w:before="0" w:after="240"/>
              <w:jc w:val="center"/>
            </w:pPr>
            <w:proofErr w:type="gramStart"/>
            <w:r w:rsidRPr="00835753">
              <w:t>a</w:t>
            </w:r>
            <w:proofErr w:type="gramEnd"/>
            <w:r w:rsidRPr="00835753">
              <w:t>)</w:t>
            </w:r>
          </w:p>
        </w:tc>
        <w:tc>
          <w:tcPr>
            <w:tcW w:w="7655" w:type="dxa"/>
            <w:vAlign w:val="center"/>
          </w:tcPr>
          <w:p w14:paraId="3BA20BA7" w14:textId="28BABF0D" w:rsidR="005710A4" w:rsidRPr="00835753" w:rsidRDefault="005710A4" w:rsidP="00155C96">
            <w:pPr>
              <w:pStyle w:val="TableNote"/>
              <w:spacing w:before="0" w:after="240"/>
              <w:rPr>
                <w:rFonts w:ascii="Times New Roman" w:hAnsi="Times New Roman"/>
                <w:b/>
                <w:sz w:val="24"/>
                <w:szCs w:val="24"/>
              </w:rPr>
            </w:pPr>
            <w:r w:rsidRPr="00835753">
              <w:rPr>
                <w:rFonts w:ascii="Times New Roman" w:hAnsi="Times New Roman"/>
                <w:b/>
                <w:sz w:val="24"/>
                <w:szCs w:val="24"/>
              </w:rPr>
              <w:t>Wartość ekspozycji</w:t>
            </w:r>
          </w:p>
          <w:p w14:paraId="52A5E3B4" w14:textId="55EF7BF8"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W przypadku transakcji wchodzących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 części trzeciej tytuł VI CRR wartość ekspozycji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6 CRR (lub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4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transakcji wchodzących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 art.</w:t>
            </w:r>
            <w:r w:rsidR="00835753" w:rsidRPr="00835753">
              <w:rPr>
                <w:rFonts w:ascii="Times New Roman" w:hAnsi="Times New Roman"/>
                <w:sz w:val="24"/>
              </w:rPr>
              <w:t> </w:t>
            </w:r>
            <w:r w:rsidRPr="00835753">
              <w:rPr>
                <w:rFonts w:ascii="Times New Roman" w:hAnsi="Times New Roman"/>
                <w:sz w:val="24"/>
              </w:rPr>
              <w:t>271 ust.</w:t>
            </w:r>
            <w:r w:rsidR="00835753" w:rsidRPr="00835753">
              <w:rPr>
                <w:rFonts w:ascii="Times New Roman" w:hAnsi="Times New Roman"/>
                <w:sz w:val="24"/>
              </w:rPr>
              <w:t> </w:t>
            </w:r>
            <w:r w:rsidRPr="00835753">
              <w:rPr>
                <w:rFonts w:ascii="Times New Roman" w:hAnsi="Times New Roman"/>
                <w:sz w:val="24"/>
              </w:rPr>
              <w:t>2 CRR)</w:t>
            </w:r>
          </w:p>
          <w:p w14:paraId="411D48A8" w14:textId="707128D6"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lastRenderedPageBreak/>
              <w:t>Wartość ekspozycji musi odpowiadać wartości wykorzystanej do obliczenia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związanego</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kor</w:t>
            </w:r>
            <w:r w:rsidRPr="00835753">
              <w:rPr>
                <w:rFonts w:ascii="Times New Roman" w:hAnsi="Times New Roman"/>
                <w:sz w:val="24"/>
              </w:rPr>
              <w:t>ektą wyceny kredytowej, biorąc pod uwagę skutki ograniczania ryzyka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VI CRR</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transakcji ujmowanych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odą wyceny pierwotnej ekspozycji (podejście alternatywne) wartość ekspozycji musi odpowiadać wartości wykorzystanej do obliczenia kwot ekspozycji ważonej ryzykiem.</w:t>
            </w:r>
          </w:p>
        </w:tc>
      </w:tr>
      <w:tr w:rsidR="005710A4" w:rsidRPr="00835753" w14:paraId="26B38498" w14:textId="77777777" w:rsidTr="00155C96">
        <w:trPr>
          <w:trHeight w:val="412"/>
        </w:trPr>
        <w:tc>
          <w:tcPr>
            <w:tcW w:w="1384" w:type="dxa"/>
          </w:tcPr>
          <w:p w14:paraId="12DFB47F" w14:textId="601D650C" w:rsidR="005710A4" w:rsidRPr="00835753" w:rsidRDefault="005F3D92" w:rsidP="00155C96">
            <w:pPr>
              <w:pStyle w:val="Applicationdirecte"/>
              <w:spacing w:before="0" w:after="240"/>
              <w:jc w:val="center"/>
            </w:pPr>
            <w:proofErr w:type="gramStart"/>
            <w:r w:rsidRPr="00835753">
              <w:lastRenderedPageBreak/>
              <w:t>b</w:t>
            </w:r>
            <w:proofErr w:type="gramEnd"/>
            <w:r w:rsidRPr="00835753">
              <w:t>)</w:t>
            </w:r>
          </w:p>
        </w:tc>
        <w:tc>
          <w:tcPr>
            <w:tcW w:w="7655" w:type="dxa"/>
            <w:vAlign w:val="center"/>
          </w:tcPr>
          <w:p w14:paraId="2B1C327F" w14:textId="39DDED32" w:rsidR="005710A4" w:rsidRPr="00835753" w:rsidRDefault="005710A4" w:rsidP="00155C96">
            <w:pPr>
              <w:pStyle w:val="TableNote"/>
              <w:spacing w:before="0" w:after="240"/>
              <w:rPr>
                <w:rFonts w:ascii="Times New Roman" w:hAnsi="Times New Roman"/>
                <w:b/>
                <w:sz w:val="24"/>
                <w:szCs w:val="24"/>
              </w:rPr>
            </w:pPr>
            <w:r w:rsidRPr="00835753">
              <w:rPr>
                <w:rFonts w:ascii="Times New Roman" w:hAnsi="Times New Roman"/>
                <w:b/>
                <w:sz w:val="24"/>
                <w:szCs w:val="24"/>
              </w:rPr>
              <w:t>Kwoty ekspozycji ważonej ryzykiem</w:t>
            </w:r>
          </w:p>
          <w:p w14:paraId="73C9FB1D" w14:textId="0DAC2BF1" w:rsidR="005710A4" w:rsidRPr="00835753" w:rsidRDefault="005710A4" w:rsidP="00155C96">
            <w:pPr>
              <w:pStyle w:val="TableNote"/>
              <w:spacing w:before="0" w:after="240"/>
              <w:rPr>
                <w:rFonts w:ascii="Times New Roman" w:hAnsi="Times New Roman"/>
                <w:sz w:val="24"/>
                <w:szCs w:val="24"/>
              </w:rPr>
            </w:pPr>
            <w:r w:rsidRPr="00835753">
              <w:rPr>
                <w:rFonts w:ascii="Times New Roman" w:hAnsi="Times New Roman"/>
                <w:sz w:val="24"/>
                <w:szCs w:val="24"/>
              </w:rPr>
              <w:t>Kwoty ekspozycji ważonej ryzykiem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438 lit.</w:t>
            </w:r>
            <w:r w:rsidR="00835753" w:rsidRPr="00835753">
              <w:rPr>
                <w:rFonts w:ascii="Times New Roman" w:hAnsi="Times New Roman"/>
                <w:sz w:val="24"/>
                <w:szCs w:val="24"/>
              </w:rPr>
              <w:t> </w:t>
            </w:r>
            <w:r w:rsidRPr="00835753">
              <w:rPr>
                <w:rFonts w:ascii="Times New Roman" w:hAnsi="Times New Roman"/>
                <w:sz w:val="24"/>
                <w:szCs w:val="24"/>
              </w:rPr>
              <w:t>d)</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92 ust.</w:t>
            </w:r>
            <w:r w:rsidR="00835753" w:rsidRPr="00835753">
              <w:rPr>
                <w:rFonts w:ascii="Times New Roman" w:hAnsi="Times New Roman"/>
                <w:sz w:val="24"/>
                <w:szCs w:val="24"/>
              </w:rPr>
              <w:t> </w:t>
            </w:r>
            <w:r w:rsidRPr="00835753">
              <w:rPr>
                <w:rFonts w:ascii="Times New Roman" w:hAnsi="Times New Roman"/>
                <w:sz w:val="24"/>
                <w:szCs w:val="24"/>
              </w:rPr>
              <w:t>3 lit.</w:t>
            </w:r>
            <w:r w:rsidR="00835753" w:rsidRPr="00835753">
              <w:rPr>
                <w:rFonts w:ascii="Times New Roman" w:hAnsi="Times New Roman"/>
                <w:sz w:val="24"/>
                <w:szCs w:val="24"/>
              </w:rPr>
              <w:t> </w:t>
            </w:r>
            <w:r w:rsidRPr="00835753">
              <w:rPr>
                <w:rFonts w:ascii="Times New Roman" w:hAnsi="Times New Roman"/>
                <w:sz w:val="24"/>
                <w:szCs w:val="24"/>
              </w:rPr>
              <w:t>d) CRR, tj. wymogi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zak</w:t>
            </w:r>
            <w:r w:rsidRPr="00835753">
              <w:rPr>
                <w:rFonts w:ascii="Times New Roman" w:hAnsi="Times New Roman"/>
                <w:sz w:val="24"/>
                <w:szCs w:val="24"/>
              </w:rPr>
              <w:t>resie funduszy własnych</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ułu ryzyka związanego</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kor</w:t>
            </w:r>
            <w:r w:rsidRPr="00835753">
              <w:rPr>
                <w:rFonts w:ascii="Times New Roman" w:hAnsi="Times New Roman"/>
                <w:sz w:val="24"/>
                <w:szCs w:val="24"/>
              </w:rPr>
              <w:t>ektą wyceny kredytowej obliczone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zas</w:t>
            </w:r>
            <w:r w:rsidRPr="00835753">
              <w:rPr>
                <w:rFonts w:ascii="Times New Roman" w:hAnsi="Times New Roman"/>
                <w:sz w:val="24"/>
                <w:szCs w:val="24"/>
              </w:rPr>
              <w:t>tosowaniem wybranej metody</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emnożone przez 12,5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92 ust.</w:t>
            </w:r>
            <w:r w:rsidR="00835753" w:rsidRPr="00835753">
              <w:rPr>
                <w:rFonts w:ascii="Times New Roman" w:hAnsi="Times New Roman"/>
                <w:sz w:val="24"/>
                <w:szCs w:val="24"/>
              </w:rPr>
              <w:t> </w:t>
            </w:r>
            <w:r w:rsidRPr="00835753">
              <w:rPr>
                <w:rFonts w:ascii="Times New Roman" w:hAnsi="Times New Roman"/>
                <w:sz w:val="24"/>
                <w:szCs w:val="24"/>
              </w:rPr>
              <w:t>4 lit.</w:t>
            </w:r>
            <w:r w:rsidR="00835753" w:rsidRPr="00835753">
              <w:rPr>
                <w:rFonts w:ascii="Times New Roman" w:hAnsi="Times New Roman"/>
                <w:sz w:val="24"/>
                <w:szCs w:val="24"/>
              </w:rPr>
              <w:t> </w:t>
            </w:r>
            <w:r w:rsidRPr="00835753">
              <w:rPr>
                <w:rFonts w:ascii="Times New Roman" w:hAnsi="Times New Roman"/>
                <w:sz w:val="24"/>
                <w:szCs w:val="24"/>
              </w:rPr>
              <w:t>b) CRR</w:t>
            </w:r>
          </w:p>
        </w:tc>
      </w:tr>
    </w:tbl>
    <w:p w14:paraId="4FF274D7" w14:textId="4F389781" w:rsidR="005710A4" w:rsidRPr="00835753" w:rsidRDefault="00CD362D" w:rsidP="005710A4">
      <w:pPr>
        <w:pStyle w:val="Titlelevel2"/>
        <w:jc w:val="both"/>
        <w:rPr>
          <w:rFonts w:ascii="Times New Roman" w:hAnsi="Times New Roman" w:cs="Times New Roman"/>
          <w:color w:val="auto"/>
          <w:sz w:val="24"/>
        </w:rPr>
      </w:pPr>
      <w:r w:rsidRPr="00835753">
        <w:rPr>
          <w:rFonts w:ascii="Times New Roman" w:hAnsi="Times New Roman"/>
          <w:b/>
          <w:color w:val="auto"/>
          <w:sz w:val="24"/>
        </w:rPr>
        <w:t>Wzór EU CCR3 – Metoda standardowa – ekspozycje na ryzyko kredytowe kontrahenta (CCR) według regulacyjnych kategorii ekspozycji</w:t>
      </w:r>
      <w:r w:rsidR="00835753" w:rsidRPr="00835753">
        <w:rPr>
          <w:rFonts w:ascii="Times New Roman" w:hAnsi="Times New Roman"/>
          <w:b/>
          <w:color w:val="auto"/>
          <w:sz w:val="24"/>
        </w:rPr>
        <w:t xml:space="preserve"> i</w:t>
      </w:r>
      <w:r w:rsidR="00835753">
        <w:rPr>
          <w:rFonts w:ascii="Times New Roman" w:hAnsi="Times New Roman"/>
          <w:b/>
          <w:color w:val="auto"/>
          <w:sz w:val="24"/>
        </w:rPr>
        <w:t> </w:t>
      </w:r>
      <w:r w:rsidR="00835753" w:rsidRPr="00835753">
        <w:rPr>
          <w:rFonts w:ascii="Times New Roman" w:hAnsi="Times New Roman"/>
          <w:b/>
          <w:color w:val="auto"/>
          <w:sz w:val="24"/>
        </w:rPr>
        <w:t>wag</w:t>
      </w:r>
      <w:r w:rsidRPr="00835753">
        <w:rPr>
          <w:rFonts w:ascii="Times New Roman" w:hAnsi="Times New Roman"/>
          <w:b/>
          <w:color w:val="auto"/>
          <w:sz w:val="24"/>
        </w:rPr>
        <w:t xml:space="preserve"> ryzyka. </w:t>
      </w:r>
      <w:r w:rsidRPr="00835753">
        <w:rPr>
          <w:rFonts w:ascii="Times New Roman" w:hAnsi="Times New Roman"/>
          <w:color w:val="auto"/>
          <w:sz w:val="24"/>
        </w:rPr>
        <w:t>Format stały</w:t>
      </w:r>
    </w:p>
    <w:p w14:paraId="237929BC" w14:textId="4267075F" w:rsidR="005710A4" w:rsidRPr="00835753"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35753">
        <w:rPr>
          <w:rFonts w:ascii="Times New Roman" w:hAnsi="Times New Roman"/>
          <w:bCs w:val="0"/>
          <w:color w:val="000000"/>
          <w:sz w:val="24"/>
        </w:rPr>
        <w:t>W celu wypełnienia wzoru EU CCR3 zamieszczonego</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ączniku XXV do niniejszego rozporządzenia wykonawczego instytucje ujawniają informacje,</w:t>
      </w:r>
      <w:r w:rsidR="00835753" w:rsidRPr="00835753">
        <w:rPr>
          <w:rFonts w:ascii="Times New Roman" w:hAnsi="Times New Roman"/>
          <w:bCs w:val="0"/>
          <w:color w:val="000000"/>
          <w:sz w:val="24"/>
        </w:rPr>
        <w:t xml:space="preserve"> o</w:t>
      </w:r>
      <w:r w:rsidR="00835753">
        <w:rPr>
          <w:rFonts w:ascii="Times New Roman" w:hAnsi="Times New Roman"/>
          <w:bCs w:val="0"/>
          <w:color w:val="000000"/>
          <w:sz w:val="24"/>
        </w:rPr>
        <w:t> </w:t>
      </w:r>
      <w:r w:rsidR="00835753" w:rsidRPr="00835753">
        <w:rPr>
          <w:rFonts w:ascii="Times New Roman" w:hAnsi="Times New Roman"/>
          <w:bCs w:val="0"/>
          <w:color w:val="000000"/>
          <w:sz w:val="24"/>
        </w:rPr>
        <w:t>któ</w:t>
      </w:r>
      <w:r w:rsidRPr="00835753">
        <w:rPr>
          <w:rFonts w:ascii="Times New Roman" w:hAnsi="Times New Roman"/>
          <w:bCs w:val="0"/>
          <w:color w:val="000000"/>
          <w:sz w:val="24"/>
        </w:rPr>
        <w:t>rych mowa</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444 lit.</w:t>
      </w:r>
      <w:r w:rsidR="00835753" w:rsidRPr="00835753">
        <w:rPr>
          <w:rFonts w:ascii="Times New Roman" w:hAnsi="Times New Roman"/>
          <w:bCs w:val="0"/>
          <w:color w:val="000000"/>
          <w:sz w:val="24"/>
        </w:rPr>
        <w:t> </w:t>
      </w:r>
      <w:r w:rsidRPr="00835753">
        <w:rPr>
          <w:rFonts w:ascii="Times New Roman" w:hAnsi="Times New Roman"/>
          <w:bCs w:val="0"/>
          <w:color w:val="000000"/>
          <w:sz w:val="24"/>
        </w:rPr>
        <w:t>e) CRR,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pon</w:t>
      </w:r>
      <w:r w:rsidRPr="00835753">
        <w:rPr>
          <w:rFonts w:ascii="Times New Roman" w:hAnsi="Times New Roman"/>
          <w:bCs w:val="0"/>
          <w:color w:val="000000"/>
          <w:sz w:val="24"/>
        </w:rPr>
        <w:t>iższymi instrukcjami zawartymi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załączniku.</w:t>
      </w:r>
    </w:p>
    <w:p w14:paraId="7A42CBAA" w14:textId="5D2B1989" w:rsidR="005710A4" w:rsidRPr="00835753"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35753">
        <w:rPr>
          <w:rFonts w:ascii="Times New Roman" w:hAnsi="Times New Roman"/>
          <w:bCs w:val="0"/>
          <w:color w:val="000000"/>
          <w:sz w:val="24"/>
        </w:rPr>
        <w:t>Instytucje stosujące standardową metodę oceny ryzyka kredytowego do obliczania kwot ekspozycji ważonych ryzykiem (wyłączając kwoty ekspozycji wyprowadzone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wym</w:t>
      </w:r>
      <w:r w:rsidRPr="00835753">
        <w:rPr>
          <w:rFonts w:ascii="Times New Roman" w:hAnsi="Times New Roman"/>
          <w:bCs w:val="0"/>
          <w:color w:val="000000"/>
          <w:sz w:val="24"/>
        </w:rPr>
        <w:t>ogów</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zak</w:t>
      </w:r>
      <w:r w:rsidRPr="00835753">
        <w:rPr>
          <w:rFonts w:ascii="Times New Roman" w:hAnsi="Times New Roman"/>
          <w:bCs w:val="0"/>
          <w:color w:val="000000"/>
          <w:sz w:val="24"/>
        </w:rPr>
        <w:t>resie funduszy własnych</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tyt</w:t>
      </w:r>
      <w:r w:rsidRPr="00835753">
        <w:rPr>
          <w:rFonts w:ascii="Times New Roman" w:hAnsi="Times New Roman"/>
          <w:bCs w:val="0"/>
          <w:color w:val="000000"/>
          <w:sz w:val="24"/>
        </w:rPr>
        <w:t>ułu ryzyka związanego</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kor</w:t>
      </w:r>
      <w:r w:rsidRPr="00835753">
        <w:rPr>
          <w:rFonts w:ascii="Times New Roman" w:hAnsi="Times New Roman"/>
          <w:bCs w:val="0"/>
          <w:color w:val="000000"/>
          <w:sz w:val="24"/>
        </w:rPr>
        <w:t>ektą wyceny kredytowej</w:t>
      </w:r>
      <w:r w:rsidR="00835753" w:rsidRPr="00835753">
        <w:rPr>
          <w:rFonts w:ascii="Times New Roman" w:hAnsi="Times New Roman"/>
          <w:bCs w:val="0"/>
          <w:color w:val="000000"/>
          <w:sz w:val="24"/>
        </w:rPr>
        <w:t xml:space="preserve"> i</w:t>
      </w:r>
      <w:r w:rsidR="00835753">
        <w:rPr>
          <w:rFonts w:ascii="Times New Roman" w:hAnsi="Times New Roman"/>
          <w:bCs w:val="0"/>
          <w:color w:val="000000"/>
          <w:sz w:val="24"/>
        </w:rPr>
        <w:t> </w:t>
      </w:r>
      <w:r w:rsidR="00835753" w:rsidRPr="00835753">
        <w:rPr>
          <w:rFonts w:ascii="Times New Roman" w:hAnsi="Times New Roman"/>
          <w:bCs w:val="0"/>
          <w:color w:val="000000"/>
          <w:sz w:val="24"/>
        </w:rPr>
        <w:t>kwo</w:t>
      </w:r>
      <w:r w:rsidRPr="00835753">
        <w:rPr>
          <w:rFonts w:ascii="Times New Roman" w:hAnsi="Times New Roman"/>
          <w:bCs w:val="0"/>
          <w:color w:val="000000"/>
          <w:sz w:val="24"/>
        </w:rPr>
        <w:t>ty ekspozycji rozliczonych za pośrednictwem kontrahenta centralnego) ujawniają poniższe informacje dla wszystkich lub części swoich ekspozycji na ryzyko kredytowe kontrahenta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 xml:space="preserve">107 CRR, niezależnie od metody oceny ryzyka kredytowego kontrahenta stosowanej do ustalenia </w:t>
      </w:r>
      <w:r w:rsidRPr="00835753">
        <w:rPr>
          <w:rFonts w:ascii="Times New Roman" w:hAnsi="Times New Roman"/>
          <w:bCs w:val="0"/>
          <w:color w:val="auto"/>
          <w:sz w:val="24"/>
        </w:rPr>
        <w:t>wartości ekspozycji zgodnie</w:t>
      </w:r>
      <w:r w:rsidR="00835753" w:rsidRPr="00835753">
        <w:rPr>
          <w:rFonts w:ascii="Times New Roman" w:hAnsi="Times New Roman"/>
          <w:bCs w:val="0"/>
          <w:color w:val="auto"/>
          <w:sz w:val="24"/>
        </w:rPr>
        <w:t xml:space="preserve"> z</w:t>
      </w:r>
      <w:r w:rsidR="00835753">
        <w:rPr>
          <w:rFonts w:ascii="Times New Roman" w:hAnsi="Times New Roman"/>
          <w:bCs w:val="0"/>
          <w:color w:val="auto"/>
          <w:sz w:val="24"/>
        </w:rPr>
        <w:t> </w:t>
      </w:r>
      <w:r w:rsidR="00835753" w:rsidRPr="00835753">
        <w:rPr>
          <w:rFonts w:ascii="Times New Roman" w:hAnsi="Times New Roman"/>
          <w:color w:val="auto"/>
          <w:sz w:val="24"/>
        </w:rPr>
        <w:t>czę</w:t>
      </w:r>
      <w:r w:rsidRPr="00835753">
        <w:rPr>
          <w:rFonts w:ascii="Times New Roman" w:hAnsi="Times New Roman"/>
          <w:color w:val="auto"/>
          <w:sz w:val="24"/>
        </w:rPr>
        <w:t>ścią trzecią tytuł II rozdziały 4</w:t>
      </w:r>
      <w:r w:rsidR="00835753" w:rsidRPr="00835753">
        <w:rPr>
          <w:rFonts w:ascii="Times New Roman" w:hAnsi="Times New Roman"/>
          <w:color w:val="auto"/>
          <w:sz w:val="24"/>
        </w:rPr>
        <w:t xml:space="preserve"> i</w:t>
      </w:r>
      <w:r w:rsidR="00835753">
        <w:rPr>
          <w:rFonts w:ascii="Times New Roman" w:hAnsi="Times New Roman"/>
          <w:color w:val="auto"/>
          <w:sz w:val="24"/>
        </w:rPr>
        <w:t> </w:t>
      </w:r>
      <w:r w:rsidR="00835753" w:rsidRPr="00835753">
        <w:rPr>
          <w:rFonts w:ascii="Times New Roman" w:hAnsi="Times New Roman"/>
          <w:color w:val="auto"/>
          <w:sz w:val="24"/>
        </w:rPr>
        <w:t>6</w:t>
      </w:r>
      <w:r w:rsidRPr="00835753">
        <w:rPr>
          <w:rFonts w:ascii="Times New Roman" w:hAnsi="Times New Roman"/>
          <w:color w:val="auto"/>
          <w:sz w:val="24"/>
        </w:rPr>
        <w:t xml:space="preserve"> CRR</w:t>
      </w:r>
      <w:r w:rsidRPr="00835753">
        <w:rPr>
          <w:rFonts w:ascii="Times New Roman" w:hAnsi="Times New Roman"/>
          <w:bCs w:val="0"/>
          <w:color w:val="auto"/>
          <w:sz w:val="24"/>
        </w:rPr>
        <w:t xml:space="preserve">. </w:t>
      </w:r>
    </w:p>
    <w:p w14:paraId="6F8C25B3" w14:textId="2FCE2FAA" w:rsidR="005710A4" w:rsidRPr="00835753"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35753">
        <w:rPr>
          <w:rFonts w:ascii="Times New Roman" w:hAnsi="Times New Roman"/>
          <w:bCs w:val="0"/>
          <w:color w:val="000000"/>
          <w:sz w:val="24"/>
        </w:rPr>
        <w:t>Jeżeli instytucja uzna, że informacje, które należy zawrzeć</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wzorze, nie są istotne, ponieważ kwoty ekspozycji</w:t>
      </w:r>
      <w:r w:rsidR="00835753" w:rsidRPr="00835753">
        <w:rPr>
          <w:rFonts w:ascii="Times New Roman" w:hAnsi="Times New Roman"/>
          <w:bCs w:val="0"/>
          <w:color w:val="000000"/>
          <w:sz w:val="24"/>
        </w:rPr>
        <w:t xml:space="preserve"> i</w:t>
      </w:r>
      <w:r w:rsidR="00835753">
        <w:rPr>
          <w:rFonts w:ascii="Times New Roman" w:hAnsi="Times New Roman"/>
          <w:bCs w:val="0"/>
          <w:color w:val="000000"/>
          <w:sz w:val="24"/>
        </w:rPr>
        <w:t> </w:t>
      </w:r>
      <w:r w:rsidR="00835753" w:rsidRPr="00835753">
        <w:rPr>
          <w:rFonts w:ascii="Times New Roman" w:hAnsi="Times New Roman"/>
          <w:bCs w:val="0"/>
          <w:color w:val="000000"/>
          <w:sz w:val="24"/>
        </w:rPr>
        <w:t>eks</w:t>
      </w:r>
      <w:r w:rsidRPr="00835753">
        <w:rPr>
          <w:rFonts w:ascii="Times New Roman" w:hAnsi="Times New Roman"/>
          <w:bCs w:val="0"/>
          <w:color w:val="000000"/>
          <w:sz w:val="24"/>
        </w:rPr>
        <w:t>pozycji ważonej ryzykiem są nieznaczne, instytucja może podjąć decyzję</w:t>
      </w:r>
      <w:r w:rsidR="00835753" w:rsidRPr="00835753">
        <w:rPr>
          <w:rFonts w:ascii="Times New Roman" w:hAnsi="Times New Roman"/>
          <w:bCs w:val="0"/>
          <w:color w:val="000000"/>
          <w:sz w:val="24"/>
        </w:rPr>
        <w:t xml:space="preserve"> o</w:t>
      </w:r>
      <w:r w:rsidR="00835753">
        <w:rPr>
          <w:rFonts w:ascii="Times New Roman" w:hAnsi="Times New Roman"/>
          <w:bCs w:val="0"/>
          <w:color w:val="000000"/>
          <w:sz w:val="24"/>
        </w:rPr>
        <w:t> </w:t>
      </w:r>
      <w:r w:rsidR="00835753" w:rsidRPr="00835753">
        <w:rPr>
          <w:rFonts w:ascii="Times New Roman" w:hAnsi="Times New Roman"/>
          <w:bCs w:val="0"/>
          <w:color w:val="000000"/>
          <w:sz w:val="24"/>
        </w:rPr>
        <w:t>nie</w:t>
      </w:r>
      <w:r w:rsidRPr="00835753">
        <w:rPr>
          <w:rFonts w:ascii="Times New Roman" w:hAnsi="Times New Roman"/>
          <w:bCs w:val="0"/>
          <w:color w:val="000000"/>
          <w:sz w:val="24"/>
        </w:rPr>
        <w:t>ujawnianiu wzoru</w:t>
      </w:r>
      <w:r w:rsidR="00835753" w:rsidRPr="00835753">
        <w:rPr>
          <w:rFonts w:ascii="Times New Roman" w:hAnsi="Times New Roman"/>
          <w:bCs w:val="0"/>
          <w:color w:val="000000"/>
          <w:sz w:val="24"/>
        </w:rPr>
        <w:t>. W</w:t>
      </w:r>
      <w:r w:rsidR="00835753">
        <w:rPr>
          <w:rFonts w:ascii="Times New Roman" w:hAnsi="Times New Roman"/>
          <w:bCs w:val="0"/>
          <w:color w:val="000000"/>
          <w:sz w:val="24"/>
        </w:rPr>
        <w:t> </w:t>
      </w:r>
      <w:r w:rsidR="00835753" w:rsidRPr="00835753">
        <w:rPr>
          <w:rFonts w:ascii="Times New Roman" w:hAnsi="Times New Roman"/>
          <w:bCs w:val="0"/>
          <w:color w:val="000000"/>
          <w:sz w:val="24"/>
        </w:rPr>
        <w:t>tak</w:t>
      </w:r>
      <w:r w:rsidRPr="00835753">
        <w:rPr>
          <w:rFonts w:ascii="Times New Roman" w:hAnsi="Times New Roman"/>
          <w:bCs w:val="0"/>
          <w:color w:val="000000"/>
          <w:sz w:val="24"/>
        </w:rPr>
        <w:t>im przypadku instytucja jest jednak zobowiązana wyjaśnić</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uwa</w:t>
      </w:r>
      <w:r w:rsidRPr="00835753">
        <w:rPr>
          <w:rFonts w:ascii="Times New Roman" w:hAnsi="Times New Roman"/>
          <w:bCs w:val="0"/>
          <w:color w:val="000000"/>
          <w:sz w:val="24"/>
        </w:rPr>
        <w:t>gach zamieszczonych</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opi</w:t>
      </w:r>
      <w:r w:rsidRPr="00835753">
        <w:rPr>
          <w:rFonts w:ascii="Times New Roman" w:hAnsi="Times New Roman"/>
          <w:bCs w:val="0"/>
          <w:color w:val="000000"/>
          <w:sz w:val="24"/>
        </w:rPr>
        <w:t>sie, dlaczego uznała stosowne informacje za nieistotne, oraz opisać ekspozycje</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odp</w:t>
      </w:r>
      <w:r w:rsidRPr="00835753">
        <w:rPr>
          <w:rFonts w:ascii="Times New Roman" w:hAnsi="Times New Roman"/>
          <w:bCs w:val="0"/>
          <w:color w:val="000000"/>
          <w:sz w:val="24"/>
        </w:rPr>
        <w:t>owiednich portfelach</w:t>
      </w:r>
      <w:r w:rsidR="00835753" w:rsidRPr="00835753">
        <w:rPr>
          <w:rFonts w:ascii="Times New Roman" w:hAnsi="Times New Roman"/>
          <w:bCs w:val="0"/>
          <w:color w:val="000000"/>
          <w:sz w:val="24"/>
        </w:rPr>
        <w:t xml:space="preserve"> i</w:t>
      </w:r>
      <w:r w:rsidR="00835753">
        <w:rPr>
          <w:rFonts w:ascii="Times New Roman" w:hAnsi="Times New Roman"/>
          <w:bCs w:val="0"/>
          <w:color w:val="000000"/>
          <w:sz w:val="24"/>
        </w:rPr>
        <w:t> </w:t>
      </w:r>
      <w:r w:rsidR="00835753" w:rsidRPr="00835753">
        <w:rPr>
          <w:rFonts w:ascii="Times New Roman" w:hAnsi="Times New Roman"/>
          <w:bCs w:val="0"/>
          <w:color w:val="000000"/>
          <w:sz w:val="24"/>
        </w:rPr>
        <w:t>pod</w:t>
      </w:r>
      <w:r w:rsidRPr="00835753">
        <w:rPr>
          <w:rFonts w:ascii="Times New Roman" w:hAnsi="Times New Roman"/>
          <w:bCs w:val="0"/>
          <w:color w:val="000000"/>
          <w:sz w:val="24"/>
        </w:rPr>
        <w:t>ać zagregowane łączne kwoty ekspozycji ważonych ryzykiem</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tyt</w:t>
      </w:r>
      <w:r w:rsidRPr="00835753">
        <w:rPr>
          <w:rFonts w:ascii="Times New Roman" w:hAnsi="Times New Roman"/>
          <w:bCs w:val="0"/>
          <w:color w:val="000000"/>
          <w:sz w:val="24"/>
        </w:rPr>
        <w:t>ułu takich ekspozycji.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835753"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50AEC66D" w:rsidR="005710A4" w:rsidRPr="00835753" w:rsidRDefault="005710A4" w:rsidP="00155C96">
            <w:pPr>
              <w:spacing w:after="24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5710A4" w:rsidRPr="00835753" w14:paraId="196096A0" w14:textId="77777777" w:rsidTr="00155C96">
        <w:trPr>
          <w:trHeight w:val="238"/>
        </w:trPr>
        <w:tc>
          <w:tcPr>
            <w:tcW w:w="1384" w:type="dxa"/>
            <w:shd w:val="clear" w:color="auto" w:fill="D9D9D9" w:themeFill="background1" w:themeFillShade="D9"/>
          </w:tcPr>
          <w:p w14:paraId="181FB806" w14:textId="77777777" w:rsidR="005710A4" w:rsidRPr="00835753" w:rsidRDefault="005710A4" w:rsidP="00155C96">
            <w:pPr>
              <w:autoSpaceDE w:val="0"/>
              <w:autoSpaceDN w:val="0"/>
              <w:adjustRightInd w:val="0"/>
              <w:spacing w:after="24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13E37DDF" w14:textId="77777777" w:rsidR="005710A4" w:rsidRPr="00835753" w:rsidRDefault="005710A4" w:rsidP="00155C96">
            <w:pPr>
              <w:autoSpaceDE w:val="0"/>
              <w:autoSpaceDN w:val="0"/>
              <w:adjustRightInd w:val="0"/>
              <w:spacing w:after="240"/>
              <w:rPr>
                <w:rFonts w:ascii="Times New Roman" w:hAnsi="Times New Roman" w:cs="Times New Roman"/>
                <w:color w:val="000000"/>
                <w:sz w:val="24"/>
              </w:rPr>
            </w:pPr>
            <w:r w:rsidRPr="00835753">
              <w:rPr>
                <w:rFonts w:ascii="Times New Roman" w:hAnsi="Times New Roman"/>
                <w:b/>
                <w:sz w:val="24"/>
              </w:rPr>
              <w:t>Wyjaśnienie</w:t>
            </w:r>
          </w:p>
        </w:tc>
      </w:tr>
      <w:tr w:rsidR="005710A4" w:rsidRPr="00835753" w14:paraId="4FB02749" w14:textId="77777777" w:rsidTr="00155C96">
        <w:trPr>
          <w:trHeight w:val="680"/>
        </w:trPr>
        <w:tc>
          <w:tcPr>
            <w:tcW w:w="1384" w:type="dxa"/>
          </w:tcPr>
          <w:p w14:paraId="297F3DF6" w14:textId="7358EF6E" w:rsidR="005710A4" w:rsidRPr="00835753" w:rsidRDefault="005F3D92" w:rsidP="00880BCD">
            <w:pPr>
              <w:pStyle w:val="Applicationdirecte"/>
              <w:spacing w:before="0" w:after="240"/>
              <w:jc w:val="center"/>
            </w:pPr>
            <w:r w:rsidRPr="00835753">
              <w:t>1–9</w:t>
            </w:r>
          </w:p>
        </w:tc>
        <w:tc>
          <w:tcPr>
            <w:tcW w:w="7655" w:type="dxa"/>
            <w:vAlign w:val="center"/>
          </w:tcPr>
          <w:p w14:paraId="1178C4EF" w14:textId="5B8432F1" w:rsidR="005710A4" w:rsidRPr="00835753" w:rsidRDefault="005710A4" w:rsidP="00155C96">
            <w:pPr>
              <w:spacing w:after="240"/>
              <w:jc w:val="both"/>
              <w:rPr>
                <w:rFonts w:ascii="Times New Roman" w:eastAsia="Times New Roman" w:hAnsi="Times New Roman" w:cs="Times New Roman"/>
                <w:b/>
                <w:sz w:val="24"/>
              </w:rPr>
            </w:pPr>
            <w:r w:rsidRPr="00835753">
              <w:rPr>
                <w:rFonts w:ascii="Times New Roman" w:hAnsi="Times New Roman"/>
                <w:b/>
                <w:sz w:val="24"/>
              </w:rPr>
              <w:t>Kategorie ekspozycji</w:t>
            </w:r>
          </w:p>
          <w:p w14:paraId="6127D200" w14:textId="3781D310" w:rsidR="005710A4" w:rsidRPr="00835753" w:rsidRDefault="005710A4" w:rsidP="00155C96">
            <w:pPr>
              <w:spacing w:after="240"/>
              <w:jc w:val="both"/>
              <w:rPr>
                <w:rFonts w:ascii="Times New Roman" w:eastAsia="Times New Roman" w:hAnsi="Times New Roman" w:cs="Times New Roman"/>
                <w:sz w:val="24"/>
              </w:rPr>
            </w:pPr>
            <w:r w:rsidRPr="00835753">
              <w:rPr>
                <w:rFonts w:ascii="Times New Roman" w:hAnsi="Times New Roman"/>
                <w:sz w:val="24"/>
              </w:rPr>
              <w:lastRenderedPageBreak/>
              <w:t>Przedmiotowe wiersze odnoszą się do regulacyjnych kategorii ekspozycji zdefiniowanych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 4 art.</w:t>
            </w:r>
            <w:r w:rsidR="00835753" w:rsidRPr="00835753">
              <w:rPr>
                <w:rFonts w:ascii="Times New Roman" w:hAnsi="Times New Roman"/>
                <w:sz w:val="24"/>
              </w:rPr>
              <w:t> </w:t>
            </w:r>
            <w:r w:rsidRPr="00835753">
              <w:rPr>
                <w:rFonts w:ascii="Times New Roman" w:hAnsi="Times New Roman"/>
                <w:sz w:val="24"/>
              </w:rPr>
              <w:t>112–134 CRR</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każ</w:t>
            </w:r>
            <w:r w:rsidRPr="00835753">
              <w:rPr>
                <w:rFonts w:ascii="Times New Roman" w:hAnsi="Times New Roman"/>
                <w:sz w:val="24"/>
              </w:rPr>
              <w:t>dej linijce należy ujawnić odpowiednie wartości ekspozycji (zob. definicja przedstawiona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 xml:space="preserve">umnie g) wzoru EU CCR1). </w:t>
            </w:r>
          </w:p>
        </w:tc>
      </w:tr>
      <w:tr w:rsidR="005710A4" w:rsidRPr="00835753" w14:paraId="4CD3C533" w14:textId="77777777" w:rsidTr="00155C96">
        <w:trPr>
          <w:trHeight w:val="680"/>
        </w:trPr>
        <w:tc>
          <w:tcPr>
            <w:tcW w:w="1384" w:type="dxa"/>
          </w:tcPr>
          <w:p w14:paraId="33DFFAD4" w14:textId="4C7D7DD9" w:rsidR="005710A4" w:rsidRPr="00835753" w:rsidRDefault="005F3D92" w:rsidP="00880BCD">
            <w:pPr>
              <w:pStyle w:val="Applicationdirecte"/>
              <w:spacing w:before="0" w:after="240"/>
              <w:jc w:val="center"/>
            </w:pPr>
            <w:r w:rsidRPr="00835753">
              <w:lastRenderedPageBreak/>
              <w:t>10</w:t>
            </w:r>
          </w:p>
        </w:tc>
        <w:tc>
          <w:tcPr>
            <w:tcW w:w="7655" w:type="dxa"/>
            <w:vAlign w:val="center"/>
          </w:tcPr>
          <w:p w14:paraId="32A672A7" w14:textId="143FF4FE" w:rsidR="005710A4" w:rsidRPr="00835753" w:rsidRDefault="005710A4" w:rsidP="00155C96">
            <w:pPr>
              <w:spacing w:after="240"/>
              <w:jc w:val="both"/>
              <w:rPr>
                <w:rFonts w:ascii="Times New Roman" w:eastAsia="Times New Roman" w:hAnsi="Times New Roman" w:cs="Times New Roman"/>
                <w:b/>
                <w:sz w:val="24"/>
              </w:rPr>
            </w:pPr>
            <w:r w:rsidRPr="00835753">
              <w:rPr>
                <w:rFonts w:ascii="Times New Roman" w:hAnsi="Times New Roman"/>
                <w:b/>
                <w:sz w:val="24"/>
              </w:rPr>
              <w:t>Inne pozycje</w:t>
            </w:r>
          </w:p>
          <w:p w14:paraId="36895021" w14:textId="4BBB9B26" w:rsidR="005710A4" w:rsidRPr="00835753" w:rsidRDefault="005710A4" w:rsidP="00155C96">
            <w:pPr>
              <w:spacing w:after="240"/>
              <w:jc w:val="both"/>
              <w:rPr>
                <w:rFonts w:ascii="Times New Roman" w:eastAsia="Times New Roman" w:hAnsi="Times New Roman" w:cs="Times New Roman"/>
                <w:sz w:val="24"/>
              </w:rPr>
            </w:pPr>
            <w:r w:rsidRPr="00835753">
              <w:rPr>
                <w:rFonts w:ascii="Times New Roman" w:hAnsi="Times New Roman"/>
                <w:sz w:val="24"/>
              </w:rPr>
              <w:t>Wiersz ten odnosi się do aktywów podlegających określonej wadze ryzyka ustanowionej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 4 art.</w:t>
            </w:r>
            <w:r w:rsidR="00835753" w:rsidRPr="00835753">
              <w:rPr>
                <w:rFonts w:ascii="Times New Roman" w:hAnsi="Times New Roman"/>
                <w:sz w:val="24"/>
              </w:rPr>
              <w:t> </w:t>
            </w:r>
            <w:r w:rsidRPr="00835753">
              <w:rPr>
                <w:rFonts w:ascii="Times New Roman" w:hAnsi="Times New Roman"/>
                <w:sz w:val="24"/>
              </w:rPr>
              <w:t>134 CRR</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wsz</w:t>
            </w:r>
            <w:r w:rsidRPr="00835753">
              <w:rPr>
                <w:rFonts w:ascii="Times New Roman" w:hAnsi="Times New Roman"/>
                <w:sz w:val="24"/>
              </w:rPr>
              <w:t>elkich innych pozycji nieujętych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rszach 1–9 niniejszego wzoru. Odnosi się on również do aktywów, które nie podlegają odliczeniu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39 CRR (nadpłaty podatku, straty podatkowe przeniesione na poprzednie lata raz aktywa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odroczonego podatku dochodowego nieoparte na przyszłej rentowności), art.</w:t>
            </w:r>
            <w:r w:rsidR="00835753" w:rsidRPr="00835753">
              <w:rPr>
                <w:rFonts w:ascii="Times New Roman" w:hAnsi="Times New Roman"/>
                <w:sz w:val="24"/>
              </w:rPr>
              <w:t> </w:t>
            </w:r>
            <w:r w:rsidRPr="00835753">
              <w:rPr>
                <w:rFonts w:ascii="Times New Roman" w:hAnsi="Times New Roman"/>
                <w:sz w:val="24"/>
              </w:rPr>
              <w:t>41 CRR (aktywa funduszu emerytalnego ze zdefiniowanymi świadczeniami), art.</w:t>
            </w:r>
            <w:r w:rsidR="00835753" w:rsidRPr="00835753">
              <w:rPr>
                <w:rFonts w:ascii="Times New Roman" w:hAnsi="Times New Roman"/>
                <w:sz w:val="24"/>
              </w:rPr>
              <w:t> </w:t>
            </w:r>
            <w:r w:rsidRPr="00835753">
              <w:rPr>
                <w:rFonts w:ascii="Times New Roman" w:hAnsi="Times New Roman"/>
                <w:sz w:val="24"/>
              </w:rPr>
              <w:t>46</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4</w:t>
            </w:r>
            <w:r w:rsidRPr="00835753">
              <w:rPr>
                <w:rFonts w:ascii="Times New Roman" w:hAnsi="Times New Roman"/>
                <w:sz w:val="24"/>
              </w:rPr>
              <w:t>69 CRR (nieznaczne inwestycje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 podstawowy Tier I podmiotów sektora finansowego), art.</w:t>
            </w:r>
            <w:r w:rsidR="00835753" w:rsidRPr="00835753">
              <w:rPr>
                <w:rFonts w:ascii="Times New Roman" w:hAnsi="Times New Roman"/>
                <w:sz w:val="24"/>
              </w:rPr>
              <w:t> </w:t>
            </w:r>
            <w:r w:rsidRPr="00835753">
              <w:rPr>
                <w:rFonts w:ascii="Times New Roman" w:hAnsi="Times New Roman"/>
                <w:sz w:val="24"/>
              </w:rPr>
              <w:t>49</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4</w:t>
            </w:r>
            <w:r w:rsidRPr="00835753">
              <w:rPr>
                <w:rFonts w:ascii="Times New Roman" w:hAnsi="Times New Roman"/>
                <w:sz w:val="24"/>
              </w:rPr>
              <w:t>71 CRR (udziały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miotach ubezpieczeniowych, niezależnie od tego, czy podmioty ubezpieczeniowe są objęte nadzorem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episami dyrektywy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awie konglomeratów, czy też nie), art.</w:t>
            </w:r>
            <w:r w:rsidR="00835753" w:rsidRPr="00835753">
              <w:rPr>
                <w:rFonts w:ascii="Times New Roman" w:hAnsi="Times New Roman"/>
                <w:sz w:val="24"/>
              </w:rPr>
              <w:t> </w:t>
            </w:r>
            <w:r w:rsidRPr="00835753">
              <w:rPr>
                <w:rFonts w:ascii="Times New Roman" w:hAnsi="Times New Roman"/>
                <w:sz w:val="24"/>
              </w:rPr>
              <w:t>60</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4</w:t>
            </w:r>
            <w:r w:rsidRPr="00835753">
              <w:rPr>
                <w:rFonts w:ascii="Times New Roman" w:hAnsi="Times New Roman"/>
                <w:sz w:val="24"/>
              </w:rPr>
              <w:t>75 CRR (nieznaczne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zna</w:t>
            </w:r>
            <w:r w:rsidRPr="00835753">
              <w:rPr>
                <w:rFonts w:ascii="Times New Roman" w:hAnsi="Times New Roman"/>
                <w:sz w:val="24"/>
              </w:rPr>
              <w:t>czne pośrednie inwestycje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itał dodatkowy Tier I podmiotów sektora finansowego), art.</w:t>
            </w:r>
            <w:r w:rsidR="00835753" w:rsidRPr="00835753">
              <w:rPr>
                <w:rFonts w:ascii="Times New Roman" w:hAnsi="Times New Roman"/>
                <w:sz w:val="24"/>
              </w:rPr>
              <w:t> </w:t>
            </w:r>
            <w:r w:rsidRPr="00835753">
              <w:rPr>
                <w:rFonts w:ascii="Times New Roman" w:hAnsi="Times New Roman"/>
                <w:sz w:val="24"/>
              </w:rPr>
              <w:t>70</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4</w:t>
            </w:r>
            <w:r w:rsidRPr="00835753">
              <w:rPr>
                <w:rFonts w:ascii="Times New Roman" w:hAnsi="Times New Roman"/>
                <w:sz w:val="24"/>
              </w:rPr>
              <w:t>77 CRR (nieznaczne</w:t>
            </w:r>
            <w:r w:rsidR="00835753" w:rsidRPr="00835753">
              <w:rPr>
                <w:rFonts w:ascii="Times New Roman" w:hAnsi="Times New Roman"/>
                <w:sz w:val="24"/>
              </w:rPr>
              <w:t xml:space="preserve"> </w:t>
            </w:r>
            <w:proofErr w:type="gramStart"/>
            <w:r w:rsidR="00835753" w:rsidRPr="00835753">
              <w:rPr>
                <w:rFonts w:ascii="Times New Roman" w:hAnsi="Times New Roman"/>
                <w:sz w:val="24"/>
              </w:rPr>
              <w:t>i</w:t>
            </w:r>
            <w:proofErr w:type="gramEnd"/>
            <w:r w:rsidR="00835753">
              <w:rPr>
                <w:rFonts w:ascii="Times New Roman" w:hAnsi="Times New Roman"/>
                <w:sz w:val="24"/>
              </w:rPr>
              <w:t> </w:t>
            </w:r>
            <w:r w:rsidR="00835753" w:rsidRPr="00835753">
              <w:rPr>
                <w:rFonts w:ascii="Times New Roman" w:hAnsi="Times New Roman"/>
                <w:sz w:val="24"/>
              </w:rPr>
              <w:t>zna</w:t>
            </w:r>
            <w:r w:rsidRPr="00835753">
              <w:rPr>
                <w:rFonts w:ascii="Times New Roman" w:hAnsi="Times New Roman"/>
                <w:sz w:val="24"/>
              </w:rPr>
              <w:t>czne pośrednie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tetyczne udziały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kap</w:t>
            </w:r>
            <w:r w:rsidRPr="00835753">
              <w:rPr>
                <w:rFonts w:ascii="Times New Roman" w:hAnsi="Times New Roman"/>
                <w:sz w:val="24"/>
              </w:rPr>
              <w:t>itale Tier II podmiotu sektora finansowego), jeżeli nie przydzielono ich do innych kategorii ekspozycji, oraz do znacznych pakietów akcji poza sektorem finansowym, które nie kwalifikują się do wagi ryzyka równej 1 250</w:t>
            </w:r>
            <w:r w:rsidR="00835753" w:rsidRPr="00835753">
              <w:rPr>
                <w:rFonts w:ascii="Times New Roman" w:hAnsi="Times New Roman"/>
                <w:sz w:val="24"/>
              </w:rPr>
              <w:t> </w:t>
            </w:r>
            <w:r w:rsidRPr="00835753">
              <w:rPr>
                <w:rFonts w:ascii="Times New Roman" w:hAnsi="Times New Roman"/>
                <w:sz w:val="24"/>
              </w:rPr>
              <w:t>%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drugą tytuł I rozdział 2 art.</w:t>
            </w:r>
            <w:r w:rsidR="00835753" w:rsidRPr="00835753">
              <w:rPr>
                <w:rFonts w:ascii="Times New Roman" w:hAnsi="Times New Roman"/>
                <w:sz w:val="24"/>
              </w:rPr>
              <w:t> </w:t>
            </w:r>
            <w:r w:rsidRPr="00835753">
              <w:rPr>
                <w:rFonts w:ascii="Times New Roman" w:hAnsi="Times New Roman"/>
                <w:sz w:val="24"/>
              </w:rPr>
              <w:t>36 lit.</w:t>
            </w:r>
            <w:r w:rsidR="00835753" w:rsidRPr="00835753">
              <w:rPr>
                <w:rFonts w:ascii="Times New Roman" w:hAnsi="Times New Roman"/>
                <w:sz w:val="24"/>
              </w:rPr>
              <w:t> </w:t>
            </w:r>
            <w:r w:rsidRPr="00835753">
              <w:rPr>
                <w:rFonts w:ascii="Times New Roman" w:hAnsi="Times New Roman"/>
                <w:sz w:val="24"/>
              </w:rPr>
              <w:t>k) CRR.</w:t>
            </w:r>
          </w:p>
        </w:tc>
      </w:tr>
      <w:tr w:rsidR="005710A4" w:rsidRPr="00835753" w14:paraId="15C38995" w14:textId="77777777" w:rsidTr="00155C96">
        <w:trPr>
          <w:trHeight w:val="680"/>
        </w:trPr>
        <w:tc>
          <w:tcPr>
            <w:tcW w:w="1384" w:type="dxa"/>
          </w:tcPr>
          <w:p w14:paraId="73410CBE" w14:textId="3B9F431A" w:rsidR="005710A4" w:rsidRPr="00835753" w:rsidRDefault="005F3D92" w:rsidP="00880BCD">
            <w:pPr>
              <w:pStyle w:val="Applicationdirecte"/>
              <w:spacing w:before="0" w:after="240"/>
              <w:jc w:val="center"/>
            </w:pPr>
            <w:r w:rsidRPr="00835753">
              <w:t>11</w:t>
            </w:r>
          </w:p>
        </w:tc>
        <w:tc>
          <w:tcPr>
            <w:tcW w:w="7655" w:type="dxa"/>
            <w:vAlign w:val="center"/>
          </w:tcPr>
          <w:p w14:paraId="2192BF59" w14:textId="77777777" w:rsidR="005710A4" w:rsidRPr="00835753" w:rsidRDefault="005710A4" w:rsidP="00155C96">
            <w:pPr>
              <w:spacing w:after="240"/>
              <w:jc w:val="both"/>
              <w:rPr>
                <w:rFonts w:ascii="Times New Roman" w:eastAsia="Times New Roman" w:hAnsi="Times New Roman" w:cs="Times New Roman"/>
                <w:b/>
                <w:sz w:val="24"/>
              </w:rPr>
            </w:pPr>
            <w:r w:rsidRPr="00835753">
              <w:rPr>
                <w:rFonts w:ascii="Times New Roman" w:hAnsi="Times New Roman"/>
                <w:b/>
                <w:sz w:val="24"/>
              </w:rPr>
              <w:t>Całkowita wartość ekspozycji</w:t>
            </w:r>
          </w:p>
        </w:tc>
      </w:tr>
      <w:tr w:rsidR="005710A4" w:rsidRPr="00835753"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835753" w:rsidRDefault="005710A4" w:rsidP="00880BCD">
            <w:pPr>
              <w:pStyle w:val="Applicationdirecte"/>
              <w:spacing w:before="0" w:after="240"/>
              <w:jc w:val="center"/>
              <w:rPr>
                <w:b/>
              </w:rPr>
            </w:pPr>
            <w:r w:rsidRPr="00835753">
              <w:rPr>
                <w:b/>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835753" w:rsidRDefault="005710A4" w:rsidP="00155C96">
            <w:pPr>
              <w:pStyle w:val="TableMainHeading"/>
              <w:spacing w:before="0" w:after="240"/>
              <w:rPr>
                <w:rFonts w:ascii="Times New Roman" w:hAnsi="Times New Roman"/>
                <w:b/>
                <w:sz w:val="24"/>
                <w:szCs w:val="24"/>
              </w:rPr>
            </w:pPr>
            <w:r w:rsidRPr="00835753">
              <w:rPr>
                <w:rFonts w:ascii="Times New Roman" w:hAnsi="Times New Roman"/>
                <w:b/>
                <w:sz w:val="24"/>
                <w:szCs w:val="24"/>
              </w:rPr>
              <w:t>Wyjaśnienie</w:t>
            </w:r>
          </w:p>
        </w:tc>
      </w:tr>
      <w:tr w:rsidR="005710A4" w:rsidRPr="00835753" w14:paraId="178F5DDC" w14:textId="77777777" w:rsidTr="00155C96">
        <w:trPr>
          <w:trHeight w:val="680"/>
        </w:trPr>
        <w:tc>
          <w:tcPr>
            <w:tcW w:w="1384" w:type="dxa"/>
          </w:tcPr>
          <w:p w14:paraId="604A7A63" w14:textId="01D6F08B" w:rsidR="005710A4" w:rsidRPr="00835753" w:rsidRDefault="005F3D92" w:rsidP="00880BCD">
            <w:pPr>
              <w:pStyle w:val="Applicationdirecte"/>
              <w:spacing w:before="0" w:after="240"/>
              <w:jc w:val="center"/>
            </w:pPr>
            <w:r w:rsidRPr="00835753">
              <w:t>a</w:t>
            </w:r>
            <w:proofErr w:type="gramStart"/>
            <w:r w:rsidRPr="00835753">
              <w:t>)–k</w:t>
            </w:r>
            <w:proofErr w:type="gramEnd"/>
            <w:r w:rsidRPr="00835753">
              <w:t>)</w:t>
            </w:r>
          </w:p>
          <w:p w14:paraId="244610B7" w14:textId="77777777" w:rsidR="005710A4" w:rsidRPr="00835753" w:rsidRDefault="005710A4" w:rsidP="00880BCD">
            <w:pPr>
              <w:spacing w:after="240"/>
              <w:jc w:val="center"/>
              <w:rPr>
                <w:rFonts w:ascii="Times New Roman" w:hAnsi="Times New Roman" w:cs="Times New Roman"/>
                <w:sz w:val="24"/>
              </w:rPr>
            </w:pPr>
          </w:p>
        </w:tc>
        <w:tc>
          <w:tcPr>
            <w:tcW w:w="7655" w:type="dxa"/>
            <w:vAlign w:val="center"/>
          </w:tcPr>
          <w:p w14:paraId="2EFC13C6" w14:textId="200C03BD" w:rsidR="005710A4" w:rsidRPr="00835753" w:rsidRDefault="005710A4" w:rsidP="00155C96">
            <w:pPr>
              <w:spacing w:after="240"/>
              <w:jc w:val="both"/>
              <w:rPr>
                <w:rFonts w:ascii="Times New Roman" w:eastAsia="Times New Roman" w:hAnsi="Times New Roman" w:cs="Times New Roman"/>
                <w:i/>
                <w:sz w:val="24"/>
              </w:rPr>
            </w:pPr>
            <w:r w:rsidRPr="00835753">
              <w:rPr>
                <w:rFonts w:ascii="Times New Roman" w:hAnsi="Times New Roman"/>
                <w:sz w:val="24"/>
              </w:rPr>
              <w:t>Przedmiotowe kolumny odnoszą się do etapów oceny jakości ryzyka kredytowego/wag ryzyka określonych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 2 CRR, dla których należy ujawnić odpowiednie wartości ekspozycji (zob. definicja przedstawiona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 xml:space="preserve">umnie g wzoru EU CCR1). </w:t>
            </w:r>
          </w:p>
        </w:tc>
      </w:tr>
      <w:tr w:rsidR="005710A4" w:rsidRPr="00835753" w14:paraId="2B00EB40" w14:textId="77777777" w:rsidTr="00155C96">
        <w:trPr>
          <w:trHeight w:val="680"/>
        </w:trPr>
        <w:tc>
          <w:tcPr>
            <w:tcW w:w="1384" w:type="dxa"/>
          </w:tcPr>
          <w:p w14:paraId="72108CF9" w14:textId="0B5A0E37" w:rsidR="005710A4" w:rsidRPr="00835753" w:rsidRDefault="005710A4" w:rsidP="00880BCD">
            <w:pPr>
              <w:pStyle w:val="Applicationdirecte"/>
              <w:spacing w:before="0" w:after="240"/>
              <w:jc w:val="center"/>
            </w:pPr>
            <w:proofErr w:type="gramStart"/>
            <w:r w:rsidRPr="00835753">
              <w:t>l</w:t>
            </w:r>
            <w:proofErr w:type="gramEnd"/>
            <w:r w:rsidRPr="00835753">
              <w:t>)</w:t>
            </w:r>
          </w:p>
        </w:tc>
        <w:tc>
          <w:tcPr>
            <w:tcW w:w="7655" w:type="dxa"/>
            <w:vAlign w:val="center"/>
          </w:tcPr>
          <w:p w14:paraId="7FFD144E" w14:textId="77777777" w:rsidR="005710A4" w:rsidRPr="00835753" w:rsidRDefault="005710A4" w:rsidP="00155C96">
            <w:pPr>
              <w:spacing w:after="240"/>
              <w:jc w:val="both"/>
              <w:rPr>
                <w:rFonts w:ascii="Times New Roman" w:eastAsia="Times New Roman" w:hAnsi="Times New Roman" w:cs="Times New Roman"/>
                <w:b/>
                <w:sz w:val="24"/>
              </w:rPr>
            </w:pPr>
            <w:r w:rsidRPr="00835753">
              <w:rPr>
                <w:rFonts w:ascii="Times New Roman" w:hAnsi="Times New Roman"/>
                <w:b/>
                <w:sz w:val="24"/>
              </w:rPr>
              <w:t xml:space="preserve">Całkowita wartość ekspozycji </w:t>
            </w:r>
          </w:p>
        </w:tc>
      </w:tr>
    </w:tbl>
    <w:p w14:paraId="5D4DB3EA" w14:textId="77777777" w:rsidR="005710A4" w:rsidRPr="00835753" w:rsidRDefault="005710A4" w:rsidP="005710A4">
      <w:pPr>
        <w:pStyle w:val="Titlelevel2"/>
        <w:spacing w:before="0"/>
        <w:rPr>
          <w:rFonts w:ascii="Times New Roman" w:hAnsi="Times New Roman" w:cs="Times New Roman"/>
          <w:color w:val="auto"/>
          <w:sz w:val="24"/>
        </w:rPr>
      </w:pPr>
    </w:p>
    <w:p w14:paraId="08FC04A8" w14:textId="29467020" w:rsidR="005710A4" w:rsidRPr="00835753" w:rsidRDefault="00CD362D" w:rsidP="005710A4">
      <w:pPr>
        <w:pStyle w:val="Titlelevel2"/>
        <w:spacing w:before="0"/>
        <w:jc w:val="both"/>
        <w:rPr>
          <w:rFonts w:ascii="Times New Roman" w:hAnsi="Times New Roman" w:cs="Times New Roman"/>
          <w:b/>
          <w:color w:val="auto"/>
          <w:sz w:val="24"/>
        </w:rPr>
      </w:pPr>
      <w:r w:rsidRPr="00835753">
        <w:rPr>
          <w:rFonts w:ascii="Times New Roman" w:hAnsi="Times New Roman"/>
          <w:b/>
          <w:color w:val="auto"/>
          <w:sz w:val="24"/>
        </w:rPr>
        <w:t>Wzór EU CCR4 – Metoda IRB – ekspozycje na ryzyko kredytowe kontrahenta (CCR) według kategorii ekspozycji</w:t>
      </w:r>
      <w:r w:rsidR="00835753" w:rsidRPr="00835753">
        <w:rPr>
          <w:rFonts w:ascii="Times New Roman" w:hAnsi="Times New Roman"/>
          <w:b/>
          <w:color w:val="auto"/>
          <w:sz w:val="24"/>
        </w:rPr>
        <w:t xml:space="preserve"> i</w:t>
      </w:r>
      <w:r w:rsidR="00835753">
        <w:rPr>
          <w:rFonts w:ascii="Times New Roman" w:hAnsi="Times New Roman"/>
          <w:b/>
          <w:color w:val="auto"/>
          <w:sz w:val="24"/>
        </w:rPr>
        <w:t> </w:t>
      </w:r>
      <w:r w:rsidR="00835753" w:rsidRPr="00835753">
        <w:rPr>
          <w:rFonts w:ascii="Times New Roman" w:hAnsi="Times New Roman"/>
          <w:b/>
          <w:color w:val="auto"/>
          <w:sz w:val="24"/>
        </w:rPr>
        <w:t>ska</w:t>
      </w:r>
      <w:r w:rsidRPr="00835753">
        <w:rPr>
          <w:rFonts w:ascii="Times New Roman" w:hAnsi="Times New Roman"/>
          <w:b/>
          <w:color w:val="auto"/>
          <w:sz w:val="24"/>
        </w:rPr>
        <w:t xml:space="preserve">li PD. </w:t>
      </w:r>
      <w:r w:rsidRPr="00835753">
        <w:rPr>
          <w:rFonts w:ascii="Times New Roman" w:hAnsi="Times New Roman"/>
          <w:color w:val="auto"/>
          <w:sz w:val="24"/>
        </w:rPr>
        <w:t>Format stały</w:t>
      </w:r>
    </w:p>
    <w:p w14:paraId="474B630B" w14:textId="65B3718E" w:rsidR="005710A4" w:rsidRPr="00835753"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35753">
        <w:rPr>
          <w:rFonts w:ascii="Times New Roman" w:hAnsi="Times New Roman"/>
          <w:bCs w:val="0"/>
          <w:color w:val="000000"/>
          <w:sz w:val="24"/>
        </w:rPr>
        <w:t>W celu wypełnienia wzoru EU CCR4 zamieszczonego</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ączniku XXV do niniejszego rozporządzenia wykonawczego instytucje ujawniają informacje,</w:t>
      </w:r>
      <w:r w:rsidR="00835753" w:rsidRPr="00835753">
        <w:rPr>
          <w:rFonts w:ascii="Times New Roman" w:hAnsi="Times New Roman"/>
          <w:bCs w:val="0"/>
          <w:color w:val="000000"/>
          <w:sz w:val="24"/>
        </w:rPr>
        <w:t xml:space="preserve"> o</w:t>
      </w:r>
      <w:r w:rsidR="00835753">
        <w:rPr>
          <w:rFonts w:ascii="Times New Roman" w:hAnsi="Times New Roman"/>
          <w:bCs w:val="0"/>
          <w:color w:val="000000"/>
          <w:sz w:val="24"/>
        </w:rPr>
        <w:t> </w:t>
      </w:r>
      <w:r w:rsidR="00835753" w:rsidRPr="00835753">
        <w:rPr>
          <w:rFonts w:ascii="Times New Roman" w:hAnsi="Times New Roman"/>
          <w:bCs w:val="0"/>
          <w:color w:val="000000"/>
          <w:sz w:val="24"/>
        </w:rPr>
        <w:t>któ</w:t>
      </w:r>
      <w:r w:rsidRPr="00835753">
        <w:rPr>
          <w:rFonts w:ascii="Times New Roman" w:hAnsi="Times New Roman"/>
          <w:bCs w:val="0"/>
          <w:color w:val="000000"/>
          <w:sz w:val="24"/>
        </w:rPr>
        <w:t>rych mowa</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452 lit.</w:t>
      </w:r>
      <w:r w:rsidR="00835753" w:rsidRPr="00835753">
        <w:rPr>
          <w:rFonts w:ascii="Times New Roman" w:hAnsi="Times New Roman"/>
          <w:bCs w:val="0"/>
          <w:color w:val="000000"/>
          <w:sz w:val="24"/>
        </w:rPr>
        <w:t> </w:t>
      </w:r>
      <w:r w:rsidRPr="00835753">
        <w:rPr>
          <w:rFonts w:ascii="Times New Roman" w:hAnsi="Times New Roman"/>
          <w:bCs w:val="0"/>
          <w:color w:val="000000"/>
          <w:sz w:val="24"/>
        </w:rPr>
        <w:t>g) CRR,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pon</w:t>
      </w:r>
      <w:r w:rsidRPr="00835753">
        <w:rPr>
          <w:rFonts w:ascii="Times New Roman" w:hAnsi="Times New Roman"/>
          <w:bCs w:val="0"/>
          <w:color w:val="000000"/>
          <w:sz w:val="24"/>
        </w:rPr>
        <w:t>iższymi instrukcjami zawartymi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 xml:space="preserve">iejszym załączniku. </w:t>
      </w:r>
    </w:p>
    <w:p w14:paraId="322377CF" w14:textId="506DB08A" w:rsidR="005710A4" w:rsidRPr="00835753"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35753">
        <w:rPr>
          <w:rFonts w:ascii="Times New Roman" w:hAnsi="Times New Roman"/>
          <w:bCs w:val="0"/>
          <w:color w:val="000000"/>
          <w:sz w:val="24"/>
        </w:rPr>
        <w:lastRenderedPageBreak/>
        <w:t xml:space="preserve">Instytucje stosujące zaawansowaną albo podstawową metodę IRB do obliczania kwot ekspozycji ważonych </w:t>
      </w:r>
      <w:r w:rsidRPr="00835753">
        <w:rPr>
          <w:rFonts w:ascii="Times New Roman" w:hAnsi="Times New Roman"/>
          <w:bCs w:val="0"/>
          <w:color w:val="auto"/>
          <w:sz w:val="24"/>
        </w:rPr>
        <w:t>ryzykiem (wyłączając kwoty ekspozycji wyprowadzone</w:t>
      </w:r>
      <w:r w:rsidR="00835753" w:rsidRPr="00835753">
        <w:rPr>
          <w:rFonts w:ascii="Times New Roman" w:hAnsi="Times New Roman"/>
          <w:bCs w:val="0"/>
          <w:color w:val="auto"/>
          <w:sz w:val="24"/>
        </w:rPr>
        <w:t xml:space="preserve"> z</w:t>
      </w:r>
      <w:r w:rsidR="00835753">
        <w:rPr>
          <w:rFonts w:ascii="Times New Roman" w:hAnsi="Times New Roman"/>
          <w:bCs w:val="0"/>
          <w:color w:val="auto"/>
          <w:sz w:val="24"/>
        </w:rPr>
        <w:t> </w:t>
      </w:r>
      <w:r w:rsidR="00835753" w:rsidRPr="00835753">
        <w:rPr>
          <w:rFonts w:ascii="Times New Roman" w:hAnsi="Times New Roman"/>
          <w:bCs w:val="0"/>
          <w:color w:val="auto"/>
          <w:sz w:val="24"/>
        </w:rPr>
        <w:t>wym</w:t>
      </w:r>
      <w:r w:rsidRPr="00835753">
        <w:rPr>
          <w:rFonts w:ascii="Times New Roman" w:hAnsi="Times New Roman"/>
          <w:bCs w:val="0"/>
          <w:color w:val="auto"/>
          <w:sz w:val="24"/>
        </w:rPr>
        <w:t>ogów</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zak</w:t>
      </w:r>
      <w:r w:rsidRPr="00835753">
        <w:rPr>
          <w:rFonts w:ascii="Times New Roman" w:hAnsi="Times New Roman"/>
          <w:bCs w:val="0"/>
          <w:color w:val="auto"/>
          <w:sz w:val="24"/>
        </w:rPr>
        <w:t>resie funduszy własnych</w:t>
      </w:r>
      <w:r w:rsidR="00835753" w:rsidRPr="00835753">
        <w:rPr>
          <w:rFonts w:ascii="Times New Roman" w:hAnsi="Times New Roman"/>
          <w:bCs w:val="0"/>
          <w:color w:val="auto"/>
          <w:sz w:val="24"/>
        </w:rPr>
        <w:t xml:space="preserve"> z</w:t>
      </w:r>
      <w:r w:rsidR="00835753">
        <w:rPr>
          <w:rFonts w:ascii="Times New Roman" w:hAnsi="Times New Roman"/>
          <w:bCs w:val="0"/>
          <w:color w:val="auto"/>
          <w:sz w:val="24"/>
        </w:rPr>
        <w:t> </w:t>
      </w:r>
      <w:r w:rsidR="00835753" w:rsidRPr="00835753">
        <w:rPr>
          <w:rFonts w:ascii="Times New Roman" w:hAnsi="Times New Roman"/>
          <w:bCs w:val="0"/>
          <w:color w:val="auto"/>
          <w:sz w:val="24"/>
        </w:rPr>
        <w:t>tyt</w:t>
      </w:r>
      <w:r w:rsidRPr="00835753">
        <w:rPr>
          <w:rFonts w:ascii="Times New Roman" w:hAnsi="Times New Roman"/>
          <w:bCs w:val="0"/>
          <w:color w:val="auto"/>
          <w:sz w:val="24"/>
        </w:rPr>
        <w:t>ułu ryzyka związanego</w:t>
      </w:r>
      <w:r w:rsidR="00835753" w:rsidRPr="00835753">
        <w:rPr>
          <w:rFonts w:ascii="Times New Roman" w:hAnsi="Times New Roman"/>
          <w:bCs w:val="0"/>
          <w:color w:val="auto"/>
          <w:sz w:val="24"/>
        </w:rPr>
        <w:t xml:space="preserve"> z</w:t>
      </w:r>
      <w:r w:rsidR="00835753">
        <w:rPr>
          <w:rFonts w:ascii="Times New Roman" w:hAnsi="Times New Roman"/>
          <w:bCs w:val="0"/>
          <w:color w:val="auto"/>
          <w:sz w:val="24"/>
        </w:rPr>
        <w:t> </w:t>
      </w:r>
      <w:r w:rsidR="00835753" w:rsidRPr="00835753">
        <w:rPr>
          <w:rFonts w:ascii="Times New Roman" w:hAnsi="Times New Roman"/>
          <w:bCs w:val="0"/>
          <w:color w:val="auto"/>
          <w:sz w:val="24"/>
        </w:rPr>
        <w:t>kor</w:t>
      </w:r>
      <w:r w:rsidRPr="00835753">
        <w:rPr>
          <w:rFonts w:ascii="Times New Roman" w:hAnsi="Times New Roman"/>
          <w:bCs w:val="0"/>
          <w:color w:val="auto"/>
          <w:sz w:val="24"/>
        </w:rPr>
        <w:t>ektą wyceny kredytowej</w:t>
      </w:r>
      <w:r w:rsidR="00835753" w:rsidRPr="00835753">
        <w:rPr>
          <w:rFonts w:ascii="Times New Roman" w:hAnsi="Times New Roman"/>
          <w:bCs w:val="0"/>
          <w:color w:val="auto"/>
          <w:sz w:val="24"/>
        </w:rPr>
        <w:t xml:space="preserve"> i</w:t>
      </w:r>
      <w:r w:rsidR="00835753">
        <w:rPr>
          <w:rFonts w:ascii="Times New Roman" w:hAnsi="Times New Roman"/>
          <w:bCs w:val="0"/>
          <w:color w:val="auto"/>
          <w:sz w:val="24"/>
        </w:rPr>
        <w:t> </w:t>
      </w:r>
      <w:r w:rsidR="00835753" w:rsidRPr="00835753">
        <w:rPr>
          <w:rFonts w:ascii="Times New Roman" w:hAnsi="Times New Roman"/>
          <w:bCs w:val="0"/>
          <w:color w:val="auto"/>
          <w:sz w:val="24"/>
        </w:rPr>
        <w:t>kwo</w:t>
      </w:r>
      <w:r w:rsidRPr="00835753">
        <w:rPr>
          <w:rFonts w:ascii="Times New Roman" w:hAnsi="Times New Roman"/>
          <w:bCs w:val="0"/>
          <w:color w:val="auto"/>
          <w:sz w:val="24"/>
        </w:rPr>
        <w:t>ty ekspozycji rozliczonych za pośrednictwem kontrahenta centralnego) ujawniają następujące informacje dla wszystkich lub części swoich ekspozycji na ryzyko kredytowe kontrahenta zgodnie</w:t>
      </w:r>
      <w:r w:rsidR="00835753" w:rsidRPr="00835753">
        <w:rPr>
          <w:rFonts w:ascii="Times New Roman" w:hAnsi="Times New Roman"/>
          <w:bCs w:val="0"/>
          <w:color w:val="auto"/>
          <w:sz w:val="24"/>
        </w:rPr>
        <w:t xml:space="preserve"> z</w:t>
      </w:r>
      <w:r w:rsidR="00835753">
        <w:rPr>
          <w:rFonts w:ascii="Times New Roman" w:hAnsi="Times New Roman"/>
          <w:bCs w:val="0"/>
          <w:color w:val="auto"/>
          <w:sz w:val="24"/>
        </w:rPr>
        <w:t> </w:t>
      </w:r>
      <w:r w:rsidR="00835753" w:rsidRPr="00835753">
        <w:rPr>
          <w:rFonts w:ascii="Times New Roman" w:hAnsi="Times New Roman"/>
          <w:bCs w:val="0"/>
          <w:color w:val="auto"/>
          <w:sz w:val="24"/>
        </w:rPr>
        <w:t>art</w:t>
      </w:r>
      <w:r w:rsidRPr="00835753">
        <w:rPr>
          <w:rFonts w:ascii="Times New Roman" w:hAnsi="Times New Roman"/>
          <w:bCs w:val="0"/>
          <w:color w:val="auto"/>
          <w:sz w:val="24"/>
        </w:rPr>
        <w:t>.</w:t>
      </w:r>
      <w:r w:rsidR="00835753" w:rsidRPr="00835753">
        <w:rPr>
          <w:rFonts w:ascii="Times New Roman" w:hAnsi="Times New Roman"/>
          <w:bCs w:val="0"/>
          <w:color w:val="auto"/>
          <w:sz w:val="24"/>
        </w:rPr>
        <w:t> </w:t>
      </w:r>
      <w:r w:rsidRPr="00835753">
        <w:rPr>
          <w:rFonts w:ascii="Times New Roman" w:hAnsi="Times New Roman"/>
          <w:bCs w:val="0"/>
          <w:color w:val="auto"/>
          <w:sz w:val="24"/>
        </w:rPr>
        <w:t>107 CRR, niezależnie od metody oceny ryzyka kredytowego kontrahenta stosowanej do ustalenia wartości ekspozycji zgodnie</w:t>
      </w:r>
      <w:r w:rsidR="00835753" w:rsidRPr="00835753">
        <w:rPr>
          <w:rFonts w:ascii="Times New Roman" w:hAnsi="Times New Roman"/>
          <w:bCs w:val="0"/>
          <w:color w:val="auto"/>
          <w:sz w:val="24"/>
        </w:rPr>
        <w:t xml:space="preserve"> z</w:t>
      </w:r>
      <w:r w:rsidR="00835753">
        <w:rPr>
          <w:rFonts w:ascii="Times New Roman" w:hAnsi="Times New Roman"/>
          <w:bCs w:val="0"/>
          <w:color w:val="auto"/>
          <w:sz w:val="24"/>
        </w:rPr>
        <w:t> </w:t>
      </w:r>
      <w:r w:rsidR="00835753" w:rsidRPr="00835753">
        <w:rPr>
          <w:rFonts w:ascii="Times New Roman" w:hAnsi="Times New Roman"/>
          <w:bCs w:val="0"/>
          <w:color w:val="auto"/>
          <w:sz w:val="24"/>
        </w:rPr>
        <w:t>czę</w:t>
      </w:r>
      <w:r w:rsidRPr="00835753">
        <w:rPr>
          <w:rFonts w:ascii="Times New Roman" w:hAnsi="Times New Roman"/>
          <w:bCs w:val="0"/>
          <w:color w:val="auto"/>
          <w:sz w:val="24"/>
        </w:rPr>
        <w:t xml:space="preserve">ścią trzecią tytuł II </w:t>
      </w:r>
      <w:r w:rsidRPr="00835753">
        <w:rPr>
          <w:rFonts w:ascii="Times New Roman" w:hAnsi="Times New Roman"/>
          <w:color w:val="auto"/>
          <w:sz w:val="24"/>
        </w:rPr>
        <w:t>rozdziały 4</w:t>
      </w:r>
      <w:r w:rsidR="00835753" w:rsidRPr="00835753">
        <w:rPr>
          <w:rFonts w:ascii="Times New Roman" w:hAnsi="Times New Roman"/>
          <w:color w:val="auto"/>
          <w:sz w:val="24"/>
        </w:rPr>
        <w:t xml:space="preserve"> i</w:t>
      </w:r>
      <w:r w:rsidR="00835753">
        <w:rPr>
          <w:rFonts w:ascii="Times New Roman" w:hAnsi="Times New Roman"/>
          <w:color w:val="auto"/>
          <w:sz w:val="24"/>
        </w:rPr>
        <w:t> </w:t>
      </w:r>
      <w:r w:rsidR="00835753" w:rsidRPr="00835753">
        <w:rPr>
          <w:rFonts w:ascii="Times New Roman" w:hAnsi="Times New Roman"/>
          <w:color w:val="auto"/>
          <w:sz w:val="24"/>
        </w:rPr>
        <w:t>6</w:t>
      </w:r>
      <w:r w:rsidRPr="00835753">
        <w:rPr>
          <w:rFonts w:ascii="Times New Roman" w:hAnsi="Times New Roman"/>
          <w:color w:val="auto"/>
          <w:sz w:val="24"/>
        </w:rPr>
        <w:t xml:space="preserve"> CRR</w:t>
      </w:r>
      <w:r w:rsidRPr="00835753">
        <w:rPr>
          <w:rFonts w:ascii="Times New Roman" w:hAnsi="Times New Roman"/>
          <w:bCs w:val="0"/>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835753"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5F21FBAE" w:rsidR="005710A4" w:rsidRPr="00835753" w:rsidRDefault="005710A4" w:rsidP="00155C96">
            <w:pPr>
              <w:spacing w:after="24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5710A4" w:rsidRPr="00835753" w14:paraId="1C1B86E8" w14:textId="77777777" w:rsidTr="00155C96">
        <w:trPr>
          <w:trHeight w:val="238"/>
        </w:trPr>
        <w:tc>
          <w:tcPr>
            <w:tcW w:w="1384" w:type="dxa"/>
            <w:shd w:val="clear" w:color="auto" w:fill="D9D9D9" w:themeFill="background1" w:themeFillShade="D9"/>
          </w:tcPr>
          <w:p w14:paraId="2AF7D06B" w14:textId="77777777" w:rsidR="005710A4" w:rsidRPr="00835753" w:rsidRDefault="005710A4" w:rsidP="00155C96">
            <w:pPr>
              <w:autoSpaceDE w:val="0"/>
              <w:autoSpaceDN w:val="0"/>
              <w:adjustRightInd w:val="0"/>
              <w:spacing w:after="24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00035D36" w14:textId="77777777" w:rsidR="005710A4" w:rsidRPr="00835753" w:rsidRDefault="005710A4" w:rsidP="00155C96">
            <w:pPr>
              <w:autoSpaceDE w:val="0"/>
              <w:autoSpaceDN w:val="0"/>
              <w:adjustRightInd w:val="0"/>
              <w:spacing w:after="240"/>
              <w:rPr>
                <w:rFonts w:ascii="Times New Roman" w:hAnsi="Times New Roman" w:cs="Times New Roman"/>
                <w:color w:val="000000"/>
                <w:sz w:val="24"/>
              </w:rPr>
            </w:pPr>
            <w:r w:rsidRPr="00835753">
              <w:rPr>
                <w:rFonts w:ascii="Times New Roman" w:hAnsi="Times New Roman"/>
                <w:b/>
                <w:sz w:val="24"/>
              </w:rPr>
              <w:t>Wyjaśnienie</w:t>
            </w:r>
          </w:p>
        </w:tc>
      </w:tr>
      <w:tr w:rsidR="005710A4" w:rsidRPr="00835753" w14:paraId="6597AE3D" w14:textId="77777777" w:rsidTr="00155C96">
        <w:trPr>
          <w:trHeight w:val="680"/>
        </w:trPr>
        <w:tc>
          <w:tcPr>
            <w:tcW w:w="1384" w:type="dxa"/>
          </w:tcPr>
          <w:p w14:paraId="67134527" w14:textId="1D505557" w:rsidR="005710A4" w:rsidRPr="00835753" w:rsidRDefault="005F3D92" w:rsidP="00155C96">
            <w:pPr>
              <w:pStyle w:val="Applicationdirecte"/>
              <w:spacing w:before="0" w:after="240"/>
              <w:jc w:val="center"/>
            </w:pPr>
            <w:r w:rsidRPr="00835753">
              <w:t>1–8</w:t>
            </w:r>
          </w:p>
        </w:tc>
        <w:tc>
          <w:tcPr>
            <w:tcW w:w="7655" w:type="dxa"/>
            <w:vAlign w:val="center"/>
          </w:tcPr>
          <w:p w14:paraId="6950CCC8" w14:textId="1F4E348B" w:rsidR="005710A4" w:rsidRPr="00835753" w:rsidRDefault="005710A4" w:rsidP="00155C96">
            <w:pPr>
              <w:spacing w:after="240"/>
              <w:jc w:val="both"/>
              <w:rPr>
                <w:rFonts w:ascii="Times New Roman" w:eastAsia="Times New Roman" w:hAnsi="Times New Roman" w:cs="Times New Roman"/>
                <w:b/>
                <w:sz w:val="24"/>
              </w:rPr>
            </w:pPr>
            <w:r w:rsidRPr="00835753">
              <w:rPr>
                <w:rFonts w:ascii="Times New Roman" w:hAnsi="Times New Roman"/>
                <w:b/>
                <w:sz w:val="24"/>
              </w:rPr>
              <w:t>Skala PD</w:t>
            </w:r>
          </w:p>
          <w:p w14:paraId="5BCD147C" w14:textId="068AB8EB"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Ekspozycje na ryzyko kredytowe kontrahenta przypisuje się do odpowiedniego koszyka</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sta</w:t>
            </w:r>
            <w:r w:rsidRPr="00835753">
              <w:rPr>
                <w:rFonts w:ascii="Times New Roman" w:hAnsi="Times New Roman"/>
                <w:sz w:val="24"/>
              </w:rPr>
              <w:t>łej skali PD na podstawie PD oszacowanego dla każdego dłużnika przyporządkowanego do danej kategorii ekspozycji (bez uwzględniania jakiejkolwiek substytucji ze względu na istnienie gwarancji lub kredytowego instrumentu pochodnego). Instytucje przyporządkowują każdą ekspozycję do skali PD podanej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wzorze, uwzględniając również skale ciągłe. Wszystkie ekspozycje, których dotyczy niewykonanie zobowiązania, ujmuje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kos</w:t>
            </w:r>
            <w:r w:rsidRPr="00835753">
              <w:rPr>
                <w:rFonts w:ascii="Times New Roman" w:hAnsi="Times New Roman"/>
                <w:sz w:val="24"/>
              </w:rPr>
              <w:t>zyku odpowiadającym PD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wys</w:t>
            </w:r>
            <w:r w:rsidRPr="00835753">
              <w:rPr>
                <w:rFonts w:ascii="Times New Roman" w:hAnsi="Times New Roman"/>
                <w:sz w:val="24"/>
              </w:rPr>
              <w:t>okości 100</w:t>
            </w:r>
            <w:r w:rsidR="00835753" w:rsidRPr="00835753">
              <w:rPr>
                <w:rFonts w:ascii="Times New Roman" w:hAnsi="Times New Roman"/>
                <w:sz w:val="24"/>
              </w:rPr>
              <w:t> </w:t>
            </w:r>
            <w:r w:rsidRPr="00835753">
              <w:rPr>
                <w:rFonts w:ascii="Times New Roman" w:hAnsi="Times New Roman"/>
                <w:sz w:val="24"/>
              </w:rPr>
              <w:t>%.</w:t>
            </w:r>
          </w:p>
        </w:tc>
      </w:tr>
      <w:tr w:rsidR="005710A4" w:rsidRPr="00835753" w14:paraId="15128626" w14:textId="77777777" w:rsidTr="00155C96">
        <w:trPr>
          <w:trHeight w:val="680"/>
        </w:trPr>
        <w:tc>
          <w:tcPr>
            <w:tcW w:w="1384" w:type="dxa"/>
          </w:tcPr>
          <w:p w14:paraId="07044829" w14:textId="387085FA" w:rsidR="005710A4" w:rsidRPr="00835753" w:rsidRDefault="005F3D92" w:rsidP="00155C96">
            <w:pPr>
              <w:pStyle w:val="Applicationdirecte"/>
              <w:spacing w:before="0" w:after="240"/>
              <w:jc w:val="center"/>
            </w:pPr>
            <w:r w:rsidRPr="00835753">
              <w:t>1–x</w:t>
            </w:r>
          </w:p>
        </w:tc>
        <w:tc>
          <w:tcPr>
            <w:tcW w:w="7655" w:type="dxa"/>
            <w:vAlign w:val="center"/>
          </w:tcPr>
          <w:p w14:paraId="4A50F2E2" w14:textId="631D17B4" w:rsidR="005710A4" w:rsidRPr="00835753" w:rsidRDefault="005710A4" w:rsidP="00155C96">
            <w:pPr>
              <w:spacing w:after="240"/>
              <w:jc w:val="both"/>
              <w:rPr>
                <w:rFonts w:ascii="Times New Roman" w:eastAsia="Times New Roman" w:hAnsi="Times New Roman" w:cs="Times New Roman"/>
                <w:b/>
                <w:sz w:val="24"/>
              </w:rPr>
            </w:pPr>
            <w:r w:rsidRPr="00835753">
              <w:rPr>
                <w:rFonts w:ascii="Times New Roman" w:hAnsi="Times New Roman"/>
                <w:b/>
                <w:sz w:val="24"/>
              </w:rPr>
              <w:t>Kategoria ekspozycji X</w:t>
            </w:r>
          </w:p>
          <w:p w14:paraId="1E82A577" w14:textId="2A7AA8D6" w:rsidR="005710A4" w:rsidRPr="00835753" w:rsidRDefault="005710A4" w:rsidP="00155C96">
            <w:pPr>
              <w:spacing w:after="240"/>
              <w:jc w:val="both"/>
              <w:rPr>
                <w:rFonts w:ascii="Times New Roman" w:eastAsia="Times New Roman" w:hAnsi="Times New Roman" w:cs="Times New Roman"/>
                <w:sz w:val="24"/>
              </w:rPr>
            </w:pPr>
            <w:r w:rsidRPr="00835753">
              <w:rPr>
                <w:rFonts w:ascii="Times New Roman" w:hAnsi="Times New Roman"/>
                <w:sz w:val="24"/>
              </w:rPr>
              <w:t>Przedmiotowe wiersze odnoszą się do poszczególnych kategorii ekspozycji wymienionych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 3 art.</w:t>
            </w:r>
            <w:r w:rsidR="00835753" w:rsidRPr="00835753">
              <w:rPr>
                <w:rFonts w:ascii="Times New Roman" w:hAnsi="Times New Roman"/>
                <w:sz w:val="24"/>
              </w:rPr>
              <w:t> </w:t>
            </w:r>
            <w:r w:rsidRPr="00835753">
              <w:rPr>
                <w:rFonts w:ascii="Times New Roman" w:hAnsi="Times New Roman"/>
                <w:sz w:val="24"/>
              </w:rPr>
              <w:t>147 CRR.</w:t>
            </w:r>
          </w:p>
        </w:tc>
      </w:tr>
      <w:tr w:rsidR="005710A4" w:rsidRPr="00835753" w14:paraId="18CD3CBA" w14:textId="77777777" w:rsidTr="00155C96">
        <w:trPr>
          <w:trHeight w:val="680"/>
        </w:trPr>
        <w:tc>
          <w:tcPr>
            <w:tcW w:w="1384" w:type="dxa"/>
          </w:tcPr>
          <w:p w14:paraId="02B110F6" w14:textId="77777777" w:rsidR="005710A4" w:rsidRPr="00835753" w:rsidRDefault="005710A4" w:rsidP="00155C96">
            <w:pPr>
              <w:pStyle w:val="Applicationdirecte"/>
              <w:spacing w:before="0" w:after="240"/>
              <w:jc w:val="center"/>
            </w:pPr>
            <w:proofErr w:type="gramStart"/>
            <w:r w:rsidRPr="00835753">
              <w:t>x</w:t>
            </w:r>
            <w:proofErr w:type="gramEnd"/>
            <w:r w:rsidRPr="00835753">
              <w:t xml:space="preserve"> i y</w:t>
            </w:r>
          </w:p>
        </w:tc>
        <w:tc>
          <w:tcPr>
            <w:tcW w:w="7655" w:type="dxa"/>
            <w:vAlign w:val="center"/>
          </w:tcPr>
          <w:p w14:paraId="5DE466D6" w14:textId="33F47474" w:rsidR="005710A4" w:rsidRPr="00835753" w:rsidRDefault="005710A4" w:rsidP="00155C96">
            <w:pPr>
              <w:spacing w:after="240"/>
              <w:jc w:val="both"/>
              <w:rPr>
                <w:rFonts w:ascii="Times New Roman" w:eastAsia="Times New Roman" w:hAnsi="Times New Roman" w:cs="Times New Roman"/>
                <w:b/>
                <w:sz w:val="24"/>
              </w:rPr>
            </w:pPr>
            <w:r w:rsidRPr="00835753">
              <w:rPr>
                <w:rFonts w:ascii="Times New Roman" w:hAnsi="Times New Roman"/>
                <w:b/>
                <w:sz w:val="24"/>
              </w:rPr>
              <w:t>Suma częściowa (kategoria ekspozycji X) / suma całkowita (wszystkie kategorie ekspozycji istotne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kon</w:t>
            </w:r>
            <w:r w:rsidRPr="00835753">
              <w:rPr>
                <w:rFonts w:ascii="Times New Roman" w:hAnsi="Times New Roman"/>
                <w:b/>
                <w:sz w:val="24"/>
              </w:rPr>
              <w:t>tekście ryzyka kredytowego kontrahenta)</w:t>
            </w:r>
          </w:p>
          <w:p w14:paraId="1E4A05CD" w14:textId="51FBFD2B" w:rsidR="005710A4" w:rsidRPr="00835753" w:rsidRDefault="005710A4" w:rsidP="00155C96">
            <w:pPr>
              <w:spacing w:after="240"/>
              <w:jc w:val="both"/>
              <w:rPr>
                <w:rFonts w:ascii="Times New Roman" w:eastAsia="Times New Roman" w:hAnsi="Times New Roman" w:cs="Times New Roman"/>
                <w:sz w:val="24"/>
              </w:rPr>
            </w:pPr>
            <w:r w:rsidRPr="00835753">
              <w:rPr>
                <w:rFonts w:ascii="Times New Roman" w:hAnsi="Times New Roman"/>
                <w:sz w:val="24"/>
              </w:rPr>
              <w:t>Suma częściowa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sum</w:t>
            </w:r>
            <w:r w:rsidRPr="00835753">
              <w:rPr>
                <w:rFonts w:ascii="Times New Roman" w:hAnsi="Times New Roman"/>
                <w:sz w:val="24"/>
              </w:rPr>
              <w:t>a całkowita wartości ekspozycji, kwot ekspozycji ważonych ryzykiem oraz liczby dłużników musi odpowiadać sumie wartości znajdujących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owiednich kolumnach. Jeżeli chodzi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sunek poszczególnych parametrów takich jak średnie wartości PD, średnia LGD, średni termin zapadalności oraz stosunek kwot ekspozycji ważonych ryzykiem do wartości ekspozycji, poniższe definicje mają zastosowanie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próby kategorii ekspozycji X lub wszystkich kategorii ekspozycji istotnych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kon</w:t>
            </w:r>
            <w:r w:rsidRPr="00835753">
              <w:rPr>
                <w:rFonts w:ascii="Times New Roman" w:hAnsi="Times New Roman"/>
                <w:sz w:val="24"/>
              </w:rPr>
              <w:t>tekście ryzyka kredytowego kontrahenta.</w:t>
            </w:r>
          </w:p>
        </w:tc>
      </w:tr>
      <w:tr w:rsidR="005710A4" w:rsidRPr="00835753"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835753" w:rsidRDefault="005710A4" w:rsidP="00155C96">
            <w:pPr>
              <w:pStyle w:val="Applicationdirecte"/>
              <w:spacing w:before="0" w:after="240"/>
              <w:jc w:val="center"/>
              <w:rPr>
                <w:b/>
              </w:rPr>
            </w:pPr>
            <w:r w:rsidRPr="00835753">
              <w:rPr>
                <w:b/>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835753" w:rsidRDefault="005710A4" w:rsidP="00155C96">
            <w:pPr>
              <w:pStyle w:val="TableMainHeading"/>
              <w:spacing w:before="0" w:after="240"/>
              <w:rPr>
                <w:rFonts w:ascii="Times New Roman" w:hAnsi="Times New Roman"/>
                <w:b/>
                <w:sz w:val="24"/>
                <w:szCs w:val="24"/>
              </w:rPr>
            </w:pPr>
            <w:r w:rsidRPr="00835753">
              <w:rPr>
                <w:rFonts w:ascii="Times New Roman" w:hAnsi="Times New Roman"/>
                <w:b/>
                <w:sz w:val="24"/>
                <w:szCs w:val="24"/>
              </w:rPr>
              <w:t>Wyjaśnienie</w:t>
            </w:r>
          </w:p>
        </w:tc>
      </w:tr>
      <w:tr w:rsidR="005710A4" w:rsidRPr="00835753" w14:paraId="3BE62392" w14:textId="77777777" w:rsidTr="00155C96">
        <w:trPr>
          <w:trHeight w:val="680"/>
        </w:trPr>
        <w:tc>
          <w:tcPr>
            <w:tcW w:w="1384" w:type="dxa"/>
          </w:tcPr>
          <w:p w14:paraId="3F664FFA" w14:textId="5E7016CE" w:rsidR="005710A4" w:rsidRPr="00835753" w:rsidRDefault="00880BCD" w:rsidP="00155C96">
            <w:pPr>
              <w:pStyle w:val="Applicationdirecte"/>
              <w:spacing w:before="0" w:after="240"/>
              <w:jc w:val="center"/>
            </w:pPr>
            <w:proofErr w:type="gramStart"/>
            <w:r w:rsidRPr="00835753">
              <w:t>a</w:t>
            </w:r>
            <w:proofErr w:type="gramEnd"/>
            <w:r w:rsidRPr="00835753">
              <w:t>)</w:t>
            </w:r>
          </w:p>
        </w:tc>
        <w:tc>
          <w:tcPr>
            <w:tcW w:w="7655" w:type="dxa"/>
            <w:vAlign w:val="center"/>
          </w:tcPr>
          <w:p w14:paraId="53170D40" w14:textId="63CB1E33" w:rsidR="005710A4" w:rsidRPr="00835753" w:rsidRDefault="005F3D92" w:rsidP="00155C96">
            <w:pPr>
              <w:spacing w:after="240"/>
              <w:jc w:val="both"/>
              <w:rPr>
                <w:rFonts w:ascii="Times New Roman" w:hAnsi="Times New Roman" w:cs="Times New Roman"/>
                <w:b/>
                <w:sz w:val="24"/>
              </w:rPr>
            </w:pPr>
            <w:r w:rsidRPr="00835753">
              <w:rPr>
                <w:rFonts w:ascii="Times New Roman" w:hAnsi="Times New Roman"/>
                <w:b/>
                <w:sz w:val="24"/>
              </w:rPr>
              <w:t>Wartość ekspozycji</w:t>
            </w:r>
          </w:p>
          <w:p w14:paraId="36642B83" w14:textId="286A895A" w:rsidR="005710A4" w:rsidRPr="00835753" w:rsidRDefault="005710A4" w:rsidP="00155C96">
            <w:pPr>
              <w:spacing w:after="240"/>
              <w:jc w:val="both"/>
              <w:rPr>
                <w:rFonts w:ascii="Times New Roman" w:eastAsia="Times New Roman" w:hAnsi="Times New Roman" w:cs="Times New Roman"/>
                <w:sz w:val="24"/>
              </w:rPr>
            </w:pPr>
            <w:r w:rsidRPr="00835753">
              <w:rPr>
                <w:rFonts w:ascii="Times New Roman" w:hAnsi="Times New Roman"/>
                <w:sz w:val="24"/>
              </w:rPr>
              <w:lastRenderedPageBreak/>
              <w:t>Wartość ekspozycji (zob. definicja przedstawiona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g) wzoru EU CCR1)</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ziale na kategorie ekspozycji oraz odpowiednią skalę PD określone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 3 CRR</w:t>
            </w:r>
          </w:p>
        </w:tc>
      </w:tr>
      <w:tr w:rsidR="005710A4" w:rsidRPr="00835753" w14:paraId="1938C786" w14:textId="77777777" w:rsidTr="00155C96">
        <w:trPr>
          <w:trHeight w:val="680"/>
        </w:trPr>
        <w:tc>
          <w:tcPr>
            <w:tcW w:w="1384" w:type="dxa"/>
          </w:tcPr>
          <w:p w14:paraId="06EF6FDC" w14:textId="53550B7C" w:rsidR="005710A4" w:rsidRPr="00835753" w:rsidRDefault="00880BCD" w:rsidP="00155C96">
            <w:pPr>
              <w:pStyle w:val="Applicationdirecte"/>
              <w:spacing w:before="0" w:after="240"/>
              <w:jc w:val="center"/>
            </w:pPr>
            <w:proofErr w:type="gramStart"/>
            <w:r w:rsidRPr="00835753">
              <w:lastRenderedPageBreak/>
              <w:t>b</w:t>
            </w:r>
            <w:proofErr w:type="gramEnd"/>
            <w:r w:rsidRPr="00835753">
              <w:t>)</w:t>
            </w:r>
          </w:p>
        </w:tc>
        <w:tc>
          <w:tcPr>
            <w:tcW w:w="7655" w:type="dxa"/>
            <w:vAlign w:val="center"/>
          </w:tcPr>
          <w:p w14:paraId="2AA2F9E7" w14:textId="0211E49C" w:rsidR="005710A4" w:rsidRPr="00835753" w:rsidRDefault="005710A4" w:rsidP="00155C96">
            <w:pPr>
              <w:spacing w:after="240"/>
              <w:rPr>
                <w:rFonts w:ascii="Times New Roman" w:eastAsia="Times New Roman" w:hAnsi="Times New Roman" w:cs="Times New Roman"/>
                <w:b/>
                <w:sz w:val="24"/>
              </w:rPr>
            </w:pPr>
            <w:r w:rsidRPr="00835753">
              <w:rPr>
                <w:rFonts w:ascii="Times New Roman" w:hAnsi="Times New Roman"/>
                <w:b/>
                <w:sz w:val="24"/>
              </w:rPr>
              <w:t>Średnia wartość PD ważona ekspozycją (%)</w:t>
            </w:r>
          </w:p>
          <w:p w14:paraId="4959E87C" w14:textId="593876B6" w:rsidR="005710A4" w:rsidRPr="00835753" w:rsidRDefault="005710A4" w:rsidP="00155C96">
            <w:pPr>
              <w:spacing w:after="240"/>
              <w:rPr>
                <w:rFonts w:ascii="Times New Roman" w:eastAsia="Times New Roman" w:hAnsi="Times New Roman" w:cs="Times New Roman"/>
                <w:sz w:val="24"/>
              </w:rPr>
            </w:pPr>
            <w:r w:rsidRPr="00835753">
              <w:rPr>
                <w:rFonts w:ascii="Times New Roman" w:hAnsi="Times New Roman"/>
                <w:sz w:val="24"/>
              </w:rPr>
              <w:t>Średnia wartości PD poszczególnych klas jakości dłużników ważona odpowiadającą im wartością ekspozycji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a)</w:t>
            </w:r>
            <w:r w:rsidRPr="00835753">
              <w:t xml:space="preserve"> </w:t>
            </w:r>
            <w:r w:rsidRPr="00835753">
              <w:rPr>
                <w:rFonts w:ascii="Times New Roman" w:hAnsi="Times New Roman"/>
                <w:sz w:val="24"/>
              </w:rPr>
              <w:t>niniejszego wzoru</w:t>
            </w:r>
            <w:r w:rsidRPr="00835753">
              <w:t>.</w:t>
            </w:r>
          </w:p>
        </w:tc>
      </w:tr>
      <w:tr w:rsidR="005710A4" w:rsidRPr="00835753" w14:paraId="1723FE64" w14:textId="77777777" w:rsidTr="00155C96">
        <w:trPr>
          <w:trHeight w:val="680"/>
        </w:trPr>
        <w:tc>
          <w:tcPr>
            <w:tcW w:w="1384" w:type="dxa"/>
          </w:tcPr>
          <w:p w14:paraId="324B176D" w14:textId="74955344" w:rsidR="005710A4" w:rsidRPr="00835753" w:rsidRDefault="00880BCD" w:rsidP="00155C96">
            <w:pPr>
              <w:pStyle w:val="Applicationdirecte"/>
              <w:spacing w:before="0" w:after="240"/>
              <w:jc w:val="center"/>
            </w:pPr>
            <w:proofErr w:type="gramStart"/>
            <w:r w:rsidRPr="00835753">
              <w:t>c</w:t>
            </w:r>
            <w:proofErr w:type="gramEnd"/>
            <w:r w:rsidRPr="00835753">
              <w:t>)</w:t>
            </w:r>
          </w:p>
        </w:tc>
        <w:tc>
          <w:tcPr>
            <w:tcW w:w="7655" w:type="dxa"/>
            <w:vAlign w:val="center"/>
          </w:tcPr>
          <w:p w14:paraId="05CE8FD6" w14:textId="1C071BC0" w:rsidR="005710A4" w:rsidRPr="00835753" w:rsidRDefault="005710A4" w:rsidP="00155C96">
            <w:pPr>
              <w:spacing w:after="240"/>
              <w:rPr>
                <w:rFonts w:ascii="Times New Roman" w:eastAsia="Times New Roman" w:hAnsi="Times New Roman" w:cs="Times New Roman"/>
                <w:b/>
                <w:sz w:val="24"/>
              </w:rPr>
            </w:pPr>
            <w:r w:rsidRPr="00835753">
              <w:rPr>
                <w:rFonts w:ascii="Times New Roman" w:hAnsi="Times New Roman"/>
                <w:b/>
                <w:sz w:val="24"/>
              </w:rPr>
              <w:t>Liczba dłużników</w:t>
            </w:r>
          </w:p>
          <w:p w14:paraId="6070B30C" w14:textId="77777777" w:rsidR="005710A4" w:rsidRPr="00835753" w:rsidRDefault="005710A4" w:rsidP="00155C96">
            <w:pPr>
              <w:spacing w:after="240"/>
              <w:jc w:val="both"/>
              <w:rPr>
                <w:rFonts w:ascii="Times New Roman" w:eastAsia="Times New Roman" w:hAnsi="Times New Roman" w:cs="Times New Roman"/>
                <w:sz w:val="24"/>
              </w:rPr>
            </w:pPr>
            <w:r w:rsidRPr="00835753">
              <w:rPr>
                <w:rFonts w:ascii="Times New Roman" w:hAnsi="Times New Roman"/>
                <w:sz w:val="24"/>
              </w:rPr>
              <w:t>Liczba podmiotów prawnych lub dłużników przypisanych do każdego koszyka na stałej skali PD, których oceniono oddzielnie, niezależnie od liczby różnych przyznanych pożyczek lub ekspozycji.</w:t>
            </w:r>
          </w:p>
          <w:p w14:paraId="5E91B6F0" w14:textId="4B9EDF7B"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Jeżeli różne ekspozycje wobec tego samego dłużnika ocenia się oddzielnie, należy je liczyć oddzielnie. Taka sytuacja może mieć miejsce, jeżeli odrębne ekspozycje wobec tego samego dłużnika są przypisane do różnych klas jakości dłużników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172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e) zdanie drugie CRR.</w:t>
            </w:r>
          </w:p>
        </w:tc>
      </w:tr>
      <w:tr w:rsidR="005710A4" w:rsidRPr="00835753" w14:paraId="14B36B38" w14:textId="77777777" w:rsidTr="00155C96">
        <w:trPr>
          <w:trHeight w:val="680"/>
        </w:trPr>
        <w:tc>
          <w:tcPr>
            <w:tcW w:w="1384" w:type="dxa"/>
          </w:tcPr>
          <w:p w14:paraId="5AE2F6B4" w14:textId="11276E8C" w:rsidR="005710A4" w:rsidRPr="00835753" w:rsidRDefault="00880BCD" w:rsidP="00155C96">
            <w:pPr>
              <w:pStyle w:val="Applicationdirecte"/>
              <w:spacing w:before="0" w:after="240"/>
              <w:jc w:val="center"/>
            </w:pPr>
            <w:proofErr w:type="gramStart"/>
            <w:r w:rsidRPr="00835753">
              <w:t>d</w:t>
            </w:r>
            <w:proofErr w:type="gramEnd"/>
            <w:r w:rsidRPr="00835753">
              <w:t>)</w:t>
            </w:r>
          </w:p>
        </w:tc>
        <w:tc>
          <w:tcPr>
            <w:tcW w:w="7655" w:type="dxa"/>
            <w:vAlign w:val="center"/>
          </w:tcPr>
          <w:p w14:paraId="501F2FF5" w14:textId="36D97957" w:rsidR="005710A4" w:rsidRPr="00835753" w:rsidRDefault="005710A4" w:rsidP="00155C96">
            <w:pPr>
              <w:spacing w:after="240"/>
              <w:rPr>
                <w:rFonts w:ascii="Times New Roman" w:eastAsia="Times New Roman" w:hAnsi="Times New Roman" w:cs="Times New Roman"/>
                <w:b/>
                <w:sz w:val="24"/>
              </w:rPr>
            </w:pPr>
            <w:r w:rsidRPr="00835753">
              <w:rPr>
                <w:rFonts w:ascii="Times New Roman" w:hAnsi="Times New Roman"/>
                <w:b/>
                <w:sz w:val="24"/>
              </w:rPr>
              <w:t>Średnia wartość LGD ważona ekspozycją (%)</w:t>
            </w:r>
          </w:p>
          <w:p w14:paraId="577F984E" w14:textId="77777777" w:rsidR="005710A4" w:rsidRPr="00835753" w:rsidRDefault="005710A4" w:rsidP="00155C96">
            <w:pPr>
              <w:spacing w:after="240"/>
              <w:jc w:val="both"/>
              <w:rPr>
                <w:rFonts w:ascii="Times New Roman" w:eastAsia="Times New Roman" w:hAnsi="Times New Roman" w:cs="Times New Roman"/>
                <w:sz w:val="24"/>
              </w:rPr>
            </w:pPr>
            <w:r w:rsidRPr="00835753">
              <w:rPr>
                <w:rFonts w:ascii="Times New Roman" w:hAnsi="Times New Roman"/>
                <w:sz w:val="24"/>
              </w:rPr>
              <w:t>Średnia wartości LGD klas jakości dłużników ważona odpowiadającą im wartością ekspozycji</w:t>
            </w:r>
          </w:p>
          <w:p w14:paraId="5502BB0E" w14:textId="36690FE2" w:rsidR="005710A4" w:rsidRPr="00835753" w:rsidRDefault="005710A4" w:rsidP="00155C96">
            <w:pPr>
              <w:spacing w:after="240"/>
              <w:jc w:val="both"/>
              <w:rPr>
                <w:rFonts w:ascii="Times New Roman" w:eastAsia="Times New Roman" w:hAnsi="Times New Roman" w:cs="Times New Roman"/>
                <w:sz w:val="24"/>
              </w:rPr>
            </w:pPr>
            <w:r w:rsidRPr="00835753">
              <w:rPr>
                <w:rFonts w:ascii="Times New Roman" w:hAnsi="Times New Roman"/>
                <w:sz w:val="24"/>
              </w:rPr>
              <w:t>Ujawniona wartość LGD odpowiada ostatecznemu szacunkowi LGD wykorzystanemu do obliczenia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uzyskanych po uwzględnieniu wszelkich efektów ograniczania ryzyka kredytowego oraz –</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 xml:space="preserve">sownych przypadkach – warunków pogorszenia koniunktury. </w:t>
            </w:r>
          </w:p>
          <w:p w14:paraId="64CEF64E" w14:textId="2172B98D" w:rsidR="005710A4" w:rsidRPr="00835753" w:rsidRDefault="005710A4" w:rsidP="00155C96">
            <w:pPr>
              <w:spacing w:after="240"/>
              <w:jc w:val="both"/>
              <w:rPr>
                <w:rFonts w:ascii="Times New Roman" w:eastAsia="Times New Roman" w:hAnsi="Times New Roman" w:cs="Times New Roman"/>
                <w:sz w:val="24"/>
              </w:rPr>
            </w:pPr>
            <w:r w:rsidRPr="00835753">
              <w:rPr>
                <w:rFonts w:ascii="Times New Roman" w:hAnsi="Times New Roman"/>
                <w:sz w:val="24"/>
              </w:rPr>
              <w:t>W przypadku ekspozycji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uwz</w:t>
            </w:r>
            <w:r w:rsidRPr="00835753">
              <w:rPr>
                <w:rFonts w:ascii="Times New Roman" w:hAnsi="Times New Roman"/>
                <w:sz w:val="24"/>
              </w:rPr>
              <w:t>ględnieniem ujęcia podwójnego niewykonania zobowiązania LGD, którą należy ujawnić, odpowiada LGD wybranej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161 ust.</w:t>
            </w:r>
            <w:r w:rsidR="00835753" w:rsidRPr="00835753">
              <w:rPr>
                <w:rFonts w:ascii="Times New Roman" w:hAnsi="Times New Roman"/>
                <w:sz w:val="24"/>
              </w:rPr>
              <w:t> </w:t>
            </w:r>
            <w:r w:rsidRPr="00835753">
              <w:rPr>
                <w:rFonts w:ascii="Times New Roman" w:hAnsi="Times New Roman"/>
                <w:sz w:val="24"/>
              </w:rPr>
              <w:t>4 CRR.</w:t>
            </w:r>
          </w:p>
          <w:p w14:paraId="72CBEF97" w14:textId="01A990F7" w:rsidR="005710A4" w:rsidRPr="00835753" w:rsidRDefault="005710A4" w:rsidP="00155C96">
            <w:pPr>
              <w:spacing w:after="240"/>
              <w:jc w:val="both"/>
              <w:rPr>
                <w:rFonts w:ascii="Times New Roman" w:eastAsia="Times New Roman" w:hAnsi="Times New Roman" w:cs="Times New Roman"/>
                <w:sz w:val="24"/>
              </w:rPr>
            </w:pPr>
            <w:r w:rsidRPr="00835753">
              <w:rPr>
                <w:rFonts w:ascii="Times New Roman" w:hAnsi="Times New Roman"/>
                <w:sz w:val="24"/>
              </w:rPr>
              <w:t>W odniesieniu do ekspozycji objętych metodą A-IRB, których dotyczy niewykonanie zobowiązania, uwzględnia się przepisy określone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181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h) CRR. Ujawniona LGD odpowiada szacunkowej LGD, której dotyczy niewykonanie zobowiązania.</w:t>
            </w:r>
          </w:p>
        </w:tc>
      </w:tr>
      <w:tr w:rsidR="005710A4" w:rsidRPr="00835753" w14:paraId="29696B4D" w14:textId="77777777" w:rsidTr="00155C96">
        <w:trPr>
          <w:trHeight w:val="680"/>
        </w:trPr>
        <w:tc>
          <w:tcPr>
            <w:tcW w:w="1384" w:type="dxa"/>
          </w:tcPr>
          <w:p w14:paraId="42250475" w14:textId="63062378" w:rsidR="005710A4" w:rsidRPr="00835753" w:rsidRDefault="00880BCD" w:rsidP="00155C96">
            <w:pPr>
              <w:pStyle w:val="Applicationdirecte"/>
              <w:spacing w:before="0" w:after="240"/>
              <w:jc w:val="center"/>
            </w:pPr>
            <w:proofErr w:type="gramStart"/>
            <w:r w:rsidRPr="00835753">
              <w:t>e</w:t>
            </w:r>
            <w:proofErr w:type="gramEnd"/>
            <w:r w:rsidRPr="00835753">
              <w:t>)</w:t>
            </w:r>
          </w:p>
        </w:tc>
        <w:tc>
          <w:tcPr>
            <w:tcW w:w="7655" w:type="dxa"/>
            <w:vAlign w:val="center"/>
          </w:tcPr>
          <w:p w14:paraId="2128D06D" w14:textId="678AB02E" w:rsidR="005710A4" w:rsidRPr="00835753" w:rsidRDefault="005710A4" w:rsidP="00155C96">
            <w:pPr>
              <w:spacing w:after="240"/>
              <w:rPr>
                <w:rFonts w:ascii="Times New Roman" w:eastAsia="Times New Roman" w:hAnsi="Times New Roman" w:cs="Times New Roman"/>
                <w:b/>
                <w:sz w:val="24"/>
              </w:rPr>
            </w:pPr>
            <w:r w:rsidRPr="00835753">
              <w:rPr>
                <w:rFonts w:ascii="Times New Roman" w:hAnsi="Times New Roman"/>
                <w:b/>
                <w:sz w:val="24"/>
              </w:rPr>
              <w:t>Średni termin zapadalności ważony ekspozycją (lata)</w:t>
            </w:r>
          </w:p>
          <w:p w14:paraId="35D0A9DC" w14:textId="682506EB" w:rsidR="005710A4" w:rsidRPr="00835753" w:rsidRDefault="005710A4" w:rsidP="00155C96">
            <w:pPr>
              <w:spacing w:after="240"/>
              <w:jc w:val="both"/>
              <w:rPr>
                <w:rFonts w:ascii="Times New Roman" w:eastAsia="Times New Roman" w:hAnsi="Times New Roman" w:cs="Times New Roman"/>
                <w:sz w:val="24"/>
              </w:rPr>
            </w:pPr>
            <w:r w:rsidRPr="00835753">
              <w:rPr>
                <w:rFonts w:ascii="Times New Roman" w:hAnsi="Times New Roman"/>
                <w:sz w:val="24"/>
              </w:rPr>
              <w:t>Średnia terminów zapadalności dłużników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lat</w:t>
            </w:r>
            <w:r w:rsidRPr="00835753">
              <w:rPr>
                <w:rFonts w:ascii="Times New Roman" w:hAnsi="Times New Roman"/>
                <w:sz w:val="24"/>
              </w:rPr>
              <w:t>ach ważona odpowiadającą im wartością ekspozycji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a) niniejszego wzoru.</w:t>
            </w:r>
          </w:p>
          <w:p w14:paraId="2111229B" w14:textId="4543A084" w:rsidR="005710A4" w:rsidRPr="00835753" w:rsidRDefault="005710A4" w:rsidP="00155C96">
            <w:pPr>
              <w:spacing w:after="240"/>
              <w:jc w:val="both"/>
              <w:rPr>
                <w:rFonts w:ascii="Times New Roman" w:eastAsia="Times New Roman" w:hAnsi="Times New Roman" w:cs="Times New Roman"/>
                <w:sz w:val="24"/>
              </w:rPr>
            </w:pPr>
            <w:r w:rsidRPr="00835753">
              <w:rPr>
                <w:rFonts w:ascii="Times New Roman" w:hAnsi="Times New Roman"/>
                <w:sz w:val="24"/>
              </w:rPr>
              <w:t>Ujawnioną wartość terminu zapadalności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162 CRR.</w:t>
            </w:r>
          </w:p>
        </w:tc>
      </w:tr>
      <w:tr w:rsidR="005710A4" w:rsidRPr="00835753" w14:paraId="46988DB3" w14:textId="77777777" w:rsidTr="00155C96">
        <w:trPr>
          <w:trHeight w:val="680"/>
        </w:trPr>
        <w:tc>
          <w:tcPr>
            <w:tcW w:w="1384" w:type="dxa"/>
          </w:tcPr>
          <w:p w14:paraId="4C463E64" w14:textId="17AD2872" w:rsidR="005710A4" w:rsidRPr="00835753" w:rsidRDefault="00880BCD" w:rsidP="00155C96">
            <w:pPr>
              <w:pStyle w:val="Applicationdirecte"/>
              <w:spacing w:before="0" w:after="240"/>
              <w:jc w:val="center"/>
            </w:pPr>
            <w:proofErr w:type="gramStart"/>
            <w:r w:rsidRPr="00835753">
              <w:t>f</w:t>
            </w:r>
            <w:proofErr w:type="gramEnd"/>
            <w:r w:rsidRPr="00835753">
              <w:t>)</w:t>
            </w:r>
          </w:p>
        </w:tc>
        <w:tc>
          <w:tcPr>
            <w:tcW w:w="7655" w:type="dxa"/>
            <w:vAlign w:val="center"/>
          </w:tcPr>
          <w:p w14:paraId="3DD45EDD" w14:textId="77777777" w:rsidR="005710A4" w:rsidRPr="00835753" w:rsidRDefault="005710A4" w:rsidP="00155C96">
            <w:pPr>
              <w:spacing w:after="240"/>
              <w:rPr>
                <w:rFonts w:ascii="Times New Roman" w:eastAsia="Times New Roman" w:hAnsi="Times New Roman" w:cs="Times New Roman"/>
                <w:b/>
                <w:sz w:val="24"/>
              </w:rPr>
            </w:pPr>
            <w:r w:rsidRPr="00835753">
              <w:rPr>
                <w:rFonts w:ascii="Times New Roman" w:hAnsi="Times New Roman"/>
                <w:b/>
                <w:sz w:val="24"/>
              </w:rPr>
              <w:t>Kwoty ekspozycji ważonej ryzykiem</w:t>
            </w:r>
          </w:p>
          <w:p w14:paraId="17482AA4" w14:textId="680E7441" w:rsidR="005710A4" w:rsidRPr="00835753" w:rsidRDefault="005710A4" w:rsidP="00155C96">
            <w:pPr>
              <w:spacing w:after="240"/>
              <w:jc w:val="both"/>
              <w:rPr>
                <w:rFonts w:ascii="Times New Roman" w:eastAsia="Times New Roman" w:hAnsi="Times New Roman" w:cs="Times New Roman"/>
                <w:i/>
                <w:sz w:val="24"/>
              </w:rPr>
            </w:pPr>
            <w:r w:rsidRPr="00835753">
              <w:rPr>
                <w:rFonts w:ascii="Times New Roman" w:hAnsi="Times New Roman"/>
                <w:sz w:val="24"/>
              </w:rPr>
              <w:lastRenderedPageBreak/>
              <w:t>Kwoty ekspozycji ważonych ryzykiem obliczone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ogami ustanowionymi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 3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ekspozycji wobec rządów centralnych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ban</w:t>
            </w:r>
            <w:r w:rsidRPr="00835753">
              <w:rPr>
                <w:rFonts w:ascii="Times New Roman" w:hAnsi="Times New Roman"/>
                <w:sz w:val="24"/>
              </w:rPr>
              <w:t>ków centralnych oraz instytucji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edsiębiorstw – kwota ekspozycji ważonej ryzykiem obliczana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153 ust.</w:t>
            </w:r>
            <w:r w:rsidR="00835753" w:rsidRPr="00835753">
              <w:rPr>
                <w:rFonts w:ascii="Times New Roman" w:hAnsi="Times New Roman"/>
                <w:sz w:val="24"/>
              </w:rPr>
              <w:t> </w:t>
            </w:r>
            <w:r w:rsidRPr="00835753">
              <w:rPr>
                <w:rFonts w:ascii="Times New Roman" w:hAnsi="Times New Roman"/>
                <w:sz w:val="24"/>
              </w:rPr>
              <w:t>1–4 CRR; należy wziąć pod uwagę współczynniki wsparcia MŚP oraz infrastruktury ustalone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501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5</w:t>
            </w:r>
            <w:r w:rsidRPr="00835753">
              <w:rPr>
                <w:rFonts w:ascii="Times New Roman" w:hAnsi="Times New Roman"/>
                <w:sz w:val="24"/>
              </w:rPr>
              <w:t>01a CRR.</w:t>
            </w:r>
            <w:r w:rsidR="00835753" w:rsidRPr="00835753">
              <w:rPr>
                <w:rFonts w:ascii="Times New Roman" w:hAnsi="Times New Roman"/>
                <w:sz w:val="24"/>
              </w:rPr>
              <w:t xml:space="preserve"> </w:t>
            </w:r>
            <w:proofErr w:type="gramStart"/>
            <w:r w:rsidR="00835753" w:rsidRPr="00835753">
              <w:rPr>
                <w:rFonts w:ascii="Times New Roman" w:hAnsi="Times New Roman"/>
                <w:sz w:val="24"/>
              </w:rPr>
              <w:t>w</w:t>
            </w:r>
            <w:proofErr w:type="gramEnd"/>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ekspozycji kapitałowych podlegających podejściu PD/LGD – kwota ekspozycji ważonej ryzykiem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155 ust.</w:t>
            </w:r>
            <w:r w:rsidR="00835753" w:rsidRPr="00835753">
              <w:rPr>
                <w:rFonts w:ascii="Times New Roman" w:hAnsi="Times New Roman"/>
                <w:sz w:val="24"/>
              </w:rPr>
              <w:t> </w:t>
            </w:r>
            <w:r w:rsidRPr="00835753">
              <w:rPr>
                <w:rFonts w:ascii="Times New Roman" w:hAnsi="Times New Roman"/>
                <w:sz w:val="24"/>
              </w:rPr>
              <w:t>3 CRR.</w:t>
            </w:r>
          </w:p>
        </w:tc>
      </w:tr>
      <w:tr w:rsidR="005710A4" w:rsidRPr="00835753" w14:paraId="35B4FE02" w14:textId="77777777" w:rsidTr="00155C96">
        <w:trPr>
          <w:trHeight w:val="680"/>
        </w:trPr>
        <w:tc>
          <w:tcPr>
            <w:tcW w:w="1384" w:type="dxa"/>
          </w:tcPr>
          <w:p w14:paraId="6580E7BD" w14:textId="48ADB11C" w:rsidR="005710A4" w:rsidRPr="00835753" w:rsidRDefault="00880BCD" w:rsidP="00155C96">
            <w:pPr>
              <w:pStyle w:val="Applicationdirecte"/>
              <w:spacing w:before="0" w:after="240"/>
              <w:jc w:val="center"/>
            </w:pPr>
            <w:proofErr w:type="gramStart"/>
            <w:r w:rsidRPr="00835753">
              <w:lastRenderedPageBreak/>
              <w:t>g</w:t>
            </w:r>
            <w:proofErr w:type="gramEnd"/>
            <w:r w:rsidRPr="00835753">
              <w:t>)</w:t>
            </w:r>
          </w:p>
        </w:tc>
        <w:tc>
          <w:tcPr>
            <w:tcW w:w="7655" w:type="dxa"/>
            <w:vAlign w:val="center"/>
          </w:tcPr>
          <w:p w14:paraId="1D472417" w14:textId="62FF1C48" w:rsidR="005710A4" w:rsidRPr="00835753" w:rsidRDefault="005710A4" w:rsidP="00155C96">
            <w:pPr>
              <w:spacing w:after="240"/>
              <w:rPr>
                <w:rFonts w:ascii="Times New Roman" w:eastAsia="Times New Roman" w:hAnsi="Times New Roman" w:cs="Times New Roman"/>
                <w:b/>
                <w:sz w:val="24"/>
              </w:rPr>
            </w:pPr>
            <w:r w:rsidRPr="00835753">
              <w:rPr>
                <w:rFonts w:ascii="Times New Roman" w:hAnsi="Times New Roman"/>
                <w:b/>
                <w:sz w:val="24"/>
              </w:rPr>
              <w:t>Zagęszczenie kwot ekspozycji ważonych ryzykiem</w:t>
            </w:r>
          </w:p>
          <w:p w14:paraId="4D404572" w14:textId="63224EFC"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Stosunek łącznych kwot ekspozycji ważonych ryzykiem (w kolumnie f niniejszego wzoru) do wartości ekspozycji (w kolumnie a) niniejszego wzoru)</w:t>
            </w:r>
          </w:p>
        </w:tc>
      </w:tr>
    </w:tbl>
    <w:p w14:paraId="7B815329" w14:textId="77777777" w:rsidR="005710A4" w:rsidRPr="00835753" w:rsidRDefault="005710A4" w:rsidP="005710A4">
      <w:pPr>
        <w:pStyle w:val="Titlelevel2"/>
        <w:spacing w:before="0"/>
        <w:rPr>
          <w:rFonts w:ascii="Times New Roman" w:hAnsi="Times New Roman" w:cs="Times New Roman"/>
          <w:color w:val="auto"/>
          <w:sz w:val="24"/>
        </w:rPr>
      </w:pPr>
    </w:p>
    <w:p w14:paraId="2B605431" w14:textId="1351DAFA" w:rsidR="005710A4" w:rsidRPr="00835753" w:rsidRDefault="00CD362D" w:rsidP="005710A4">
      <w:pPr>
        <w:pStyle w:val="Titlelevel2"/>
        <w:spacing w:before="0"/>
        <w:rPr>
          <w:rFonts w:ascii="Times New Roman" w:hAnsi="Times New Roman" w:cs="Times New Roman"/>
          <w:color w:val="auto"/>
          <w:sz w:val="24"/>
        </w:rPr>
      </w:pPr>
      <w:r w:rsidRPr="00835753">
        <w:rPr>
          <w:rFonts w:ascii="Times New Roman" w:hAnsi="Times New Roman"/>
          <w:b/>
          <w:color w:val="auto"/>
          <w:sz w:val="24"/>
        </w:rPr>
        <w:t xml:space="preserve">Wzór EU CCR5 – Struktura zabezpieczenia dla ekspozycji na ryzyko kredytowe kontrahenta (CCR). </w:t>
      </w:r>
      <w:r w:rsidRPr="00835753">
        <w:rPr>
          <w:rFonts w:ascii="Times New Roman" w:hAnsi="Times New Roman"/>
          <w:color w:val="auto"/>
          <w:sz w:val="24"/>
        </w:rPr>
        <w:t>Stałe kolumny</w:t>
      </w:r>
    </w:p>
    <w:p w14:paraId="298A9EDD" w14:textId="1C88256B" w:rsidR="005710A4" w:rsidRPr="00835753"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35753">
        <w:rPr>
          <w:rFonts w:ascii="Times New Roman" w:hAnsi="Times New Roman"/>
          <w:bCs w:val="0"/>
          <w:color w:val="000000"/>
          <w:sz w:val="24"/>
        </w:rPr>
        <w:t>W celu wypełnienia wzoru EU CCR5 zamieszczonego</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ączniku XXV do niniejszego rozporządzenia wykonawczego instytucje ujawniają informacje,</w:t>
      </w:r>
      <w:r w:rsidR="00835753" w:rsidRPr="00835753">
        <w:rPr>
          <w:rFonts w:ascii="Times New Roman" w:hAnsi="Times New Roman"/>
          <w:bCs w:val="0"/>
          <w:color w:val="000000"/>
          <w:sz w:val="24"/>
        </w:rPr>
        <w:t xml:space="preserve"> o</w:t>
      </w:r>
      <w:r w:rsidR="00835753">
        <w:rPr>
          <w:rFonts w:ascii="Times New Roman" w:hAnsi="Times New Roman"/>
          <w:bCs w:val="0"/>
          <w:color w:val="000000"/>
          <w:sz w:val="24"/>
        </w:rPr>
        <w:t> </w:t>
      </w:r>
      <w:r w:rsidR="00835753" w:rsidRPr="00835753">
        <w:rPr>
          <w:rFonts w:ascii="Times New Roman" w:hAnsi="Times New Roman"/>
          <w:bCs w:val="0"/>
          <w:color w:val="000000"/>
          <w:sz w:val="24"/>
        </w:rPr>
        <w:t>któ</w:t>
      </w:r>
      <w:r w:rsidRPr="00835753">
        <w:rPr>
          <w:rFonts w:ascii="Times New Roman" w:hAnsi="Times New Roman"/>
          <w:bCs w:val="0"/>
          <w:color w:val="000000"/>
          <w:sz w:val="24"/>
        </w:rPr>
        <w:t>rych mowa</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439 lit.</w:t>
      </w:r>
      <w:r w:rsidR="00835753" w:rsidRPr="00835753">
        <w:rPr>
          <w:rFonts w:ascii="Times New Roman" w:hAnsi="Times New Roman"/>
          <w:bCs w:val="0"/>
          <w:color w:val="000000"/>
          <w:sz w:val="24"/>
        </w:rPr>
        <w:t> </w:t>
      </w:r>
      <w:r w:rsidRPr="00835753">
        <w:rPr>
          <w:rFonts w:ascii="Times New Roman" w:hAnsi="Times New Roman"/>
          <w:bCs w:val="0"/>
          <w:color w:val="000000"/>
          <w:sz w:val="24"/>
        </w:rPr>
        <w:t>e) CRR,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pon</w:t>
      </w:r>
      <w:r w:rsidRPr="00835753">
        <w:rPr>
          <w:rFonts w:ascii="Times New Roman" w:hAnsi="Times New Roman"/>
          <w:bCs w:val="0"/>
          <w:color w:val="000000"/>
          <w:sz w:val="24"/>
        </w:rPr>
        <w:t>iższymi instrukcjami zawartymi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załączniku.</w:t>
      </w:r>
    </w:p>
    <w:p w14:paraId="45FD4D91" w14:textId="5F79B1F3" w:rsidR="005710A4" w:rsidRPr="00835753"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35753">
        <w:rPr>
          <w:rFonts w:ascii="Times New Roman" w:hAnsi="Times New Roman"/>
          <w:bCs w:val="0"/>
          <w:color w:val="000000"/>
          <w:sz w:val="24"/>
        </w:rPr>
        <w:t>Przedmiotowy wzór należy wypełnić wartościami godziwymi zabezpieczenia (udzielonego lub otrzymanego) zastosowanymi do obliczenia ekspozycji na ryzyko kredytowe kontrahenta związanych</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tra</w:t>
      </w:r>
      <w:r w:rsidRPr="00835753">
        <w:rPr>
          <w:rFonts w:ascii="Times New Roman" w:hAnsi="Times New Roman"/>
          <w:bCs w:val="0"/>
          <w:color w:val="000000"/>
          <w:sz w:val="24"/>
        </w:rPr>
        <w:t xml:space="preserve">nsakcjami na instrumentach pochodnych lub SFT, niezależnie od tego, czy zostały one rozliczone za pośrednictwem kontrahenta centralnego oraz czy zabezpieczenia udzielono kontrahentowi centralnemu. </w:t>
      </w:r>
    </w:p>
    <w:p w14:paraId="21957FE1" w14:textId="09EA3EC8" w:rsidR="005710A4" w:rsidRPr="00835753"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35753">
        <w:rPr>
          <w:rFonts w:ascii="Times New Roman" w:hAnsi="Times New Roman"/>
          <w:bCs w:val="0"/>
          <w:color w:val="000000"/>
          <w:sz w:val="24"/>
        </w:rPr>
        <w:t>Jeżeli bank centralny państwa członkowskiego zobowiązał się do udzielenia wsparcia płynnościowego</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for</w:t>
      </w:r>
      <w:r w:rsidRPr="00835753">
        <w:rPr>
          <w:rFonts w:ascii="Times New Roman" w:hAnsi="Times New Roman"/>
          <w:bCs w:val="0"/>
          <w:color w:val="000000"/>
          <w:sz w:val="24"/>
        </w:rPr>
        <w:t>mie transakcji zabezpieczających swap, właściwy organ może zwolnić instytucje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obo</w:t>
      </w:r>
      <w:r w:rsidRPr="00835753">
        <w:rPr>
          <w:rFonts w:ascii="Times New Roman" w:hAnsi="Times New Roman"/>
          <w:bCs w:val="0"/>
          <w:color w:val="000000"/>
          <w:sz w:val="24"/>
        </w:rPr>
        <w:t>wiązku udzielenia informacji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wzorze, jeżeli uzna, że ich ujawnienie mogłoby doprowadzić do upublicznienia faktu, że dana instytucja korzysta</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awa</w:t>
      </w:r>
      <w:r w:rsidRPr="00835753">
        <w:rPr>
          <w:rFonts w:ascii="Times New Roman" w:hAnsi="Times New Roman"/>
          <w:bCs w:val="0"/>
          <w:color w:val="000000"/>
          <w:sz w:val="24"/>
        </w:rPr>
        <w:t>ryjnego wsparcia płynnościowego</w:t>
      </w:r>
      <w:r w:rsidR="00835753" w:rsidRPr="00835753">
        <w:rPr>
          <w:rFonts w:ascii="Times New Roman" w:hAnsi="Times New Roman"/>
          <w:bCs w:val="0"/>
          <w:color w:val="000000"/>
          <w:sz w:val="24"/>
        </w:rPr>
        <w:t>. W</w:t>
      </w:r>
      <w:r w:rsidR="00835753">
        <w:rPr>
          <w:rFonts w:ascii="Times New Roman" w:hAnsi="Times New Roman"/>
          <w:bCs w:val="0"/>
          <w:color w:val="000000"/>
          <w:sz w:val="24"/>
        </w:rPr>
        <w:t> </w:t>
      </w:r>
      <w:r w:rsidR="00835753" w:rsidRPr="00835753">
        <w:rPr>
          <w:rFonts w:ascii="Times New Roman" w:hAnsi="Times New Roman"/>
          <w:bCs w:val="0"/>
          <w:color w:val="000000"/>
          <w:sz w:val="24"/>
        </w:rPr>
        <w:t>tym</w:t>
      </w:r>
      <w:r w:rsidRPr="00835753">
        <w:rPr>
          <w:rFonts w:ascii="Times New Roman" w:hAnsi="Times New Roman"/>
          <w:bCs w:val="0"/>
          <w:color w:val="000000"/>
          <w:sz w:val="24"/>
        </w:rPr>
        <w:t xml:space="preserve"> celu właściwy organ ustanawia odpowiednie progi</w:t>
      </w:r>
      <w:r w:rsidR="00835753" w:rsidRPr="00835753">
        <w:rPr>
          <w:rFonts w:ascii="Times New Roman" w:hAnsi="Times New Roman"/>
          <w:bCs w:val="0"/>
          <w:color w:val="000000"/>
          <w:sz w:val="24"/>
        </w:rPr>
        <w:t xml:space="preserve"> i</w:t>
      </w:r>
      <w:r w:rsidR="00835753">
        <w:rPr>
          <w:rFonts w:ascii="Times New Roman" w:hAnsi="Times New Roman"/>
          <w:bCs w:val="0"/>
          <w:color w:val="000000"/>
          <w:sz w:val="24"/>
        </w:rPr>
        <w:t> </w:t>
      </w:r>
      <w:r w:rsidR="00835753" w:rsidRPr="00835753">
        <w:rPr>
          <w:rFonts w:ascii="Times New Roman" w:hAnsi="Times New Roman"/>
          <w:bCs w:val="0"/>
          <w:color w:val="000000"/>
          <w:sz w:val="24"/>
        </w:rPr>
        <w:t>obi</w:t>
      </w:r>
      <w:r w:rsidRPr="00835753">
        <w:rPr>
          <w:rFonts w:ascii="Times New Roman" w:hAnsi="Times New Roman"/>
          <w:bCs w:val="0"/>
          <w:color w:val="000000"/>
          <w:sz w:val="24"/>
        </w:rPr>
        <w:t>ektywne kryteria.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835753"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6067E0F7" w:rsidR="005710A4" w:rsidRPr="00835753" w:rsidRDefault="005710A4" w:rsidP="00155C96">
            <w:pPr>
              <w:spacing w:after="24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5710A4" w:rsidRPr="00835753" w14:paraId="7207C120" w14:textId="77777777" w:rsidTr="00155C96">
        <w:trPr>
          <w:trHeight w:val="238"/>
        </w:trPr>
        <w:tc>
          <w:tcPr>
            <w:tcW w:w="1384" w:type="dxa"/>
            <w:shd w:val="clear" w:color="auto" w:fill="D9D9D9" w:themeFill="background1" w:themeFillShade="D9"/>
          </w:tcPr>
          <w:p w14:paraId="50331A59" w14:textId="77777777" w:rsidR="005710A4" w:rsidRPr="00835753" w:rsidRDefault="005710A4" w:rsidP="00F40A8B">
            <w:pPr>
              <w:autoSpaceDE w:val="0"/>
              <w:autoSpaceDN w:val="0"/>
              <w:adjustRightInd w:val="0"/>
              <w:spacing w:after="240"/>
              <w:jc w:val="center"/>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5386B62D" w14:textId="77777777" w:rsidR="005710A4" w:rsidRPr="00835753" w:rsidRDefault="005710A4" w:rsidP="00155C96">
            <w:pPr>
              <w:autoSpaceDE w:val="0"/>
              <w:autoSpaceDN w:val="0"/>
              <w:adjustRightInd w:val="0"/>
              <w:spacing w:after="240"/>
              <w:rPr>
                <w:rFonts w:ascii="Times New Roman" w:hAnsi="Times New Roman" w:cs="Times New Roman"/>
                <w:color w:val="000000"/>
                <w:sz w:val="24"/>
              </w:rPr>
            </w:pPr>
            <w:r w:rsidRPr="00835753">
              <w:rPr>
                <w:rFonts w:ascii="Times New Roman" w:hAnsi="Times New Roman"/>
                <w:b/>
                <w:sz w:val="24"/>
              </w:rPr>
              <w:t>Wyjaśnienie</w:t>
            </w:r>
          </w:p>
        </w:tc>
      </w:tr>
      <w:tr w:rsidR="005710A4" w:rsidRPr="00835753" w14:paraId="78A82FC1" w14:textId="77777777" w:rsidTr="00155C96">
        <w:trPr>
          <w:trHeight w:val="680"/>
        </w:trPr>
        <w:tc>
          <w:tcPr>
            <w:tcW w:w="1384" w:type="dxa"/>
          </w:tcPr>
          <w:p w14:paraId="2E88CE3B" w14:textId="7340DC46" w:rsidR="005710A4" w:rsidRPr="00835753" w:rsidRDefault="00F40A8B" w:rsidP="00F40A8B">
            <w:pPr>
              <w:pStyle w:val="Applicationdirecte"/>
              <w:spacing w:before="0" w:after="240"/>
              <w:jc w:val="center"/>
            </w:pPr>
            <w:r w:rsidRPr="00835753">
              <w:t>1-8</w:t>
            </w:r>
          </w:p>
        </w:tc>
        <w:tc>
          <w:tcPr>
            <w:tcW w:w="7655" w:type="dxa"/>
            <w:vAlign w:val="center"/>
          </w:tcPr>
          <w:p w14:paraId="515C6C99" w14:textId="77777777" w:rsidR="005710A4" w:rsidRPr="00835753" w:rsidRDefault="005710A4" w:rsidP="00155C96">
            <w:pPr>
              <w:spacing w:after="240"/>
              <w:jc w:val="both"/>
              <w:rPr>
                <w:rFonts w:ascii="Times New Roman" w:eastAsia="Times New Roman" w:hAnsi="Times New Roman" w:cs="Times New Roman"/>
                <w:b/>
                <w:sz w:val="24"/>
              </w:rPr>
            </w:pPr>
            <w:r w:rsidRPr="00835753">
              <w:rPr>
                <w:rFonts w:ascii="Times New Roman" w:hAnsi="Times New Roman"/>
                <w:b/>
                <w:sz w:val="24"/>
              </w:rPr>
              <w:t>Rodzaj zabezpieczenia</w:t>
            </w:r>
          </w:p>
          <w:p w14:paraId="61BF0824" w14:textId="77777777"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Podział według rodzaju zabezpieczenia</w:t>
            </w:r>
          </w:p>
        </w:tc>
      </w:tr>
      <w:tr w:rsidR="005710A4" w:rsidRPr="00835753" w14:paraId="2CBB8E1E" w14:textId="77777777" w:rsidTr="00155C96">
        <w:trPr>
          <w:trHeight w:val="680"/>
        </w:trPr>
        <w:tc>
          <w:tcPr>
            <w:tcW w:w="1384" w:type="dxa"/>
          </w:tcPr>
          <w:p w14:paraId="673D07C8" w14:textId="65FFDC33" w:rsidR="005710A4" w:rsidRPr="00835753" w:rsidRDefault="00F40A8B" w:rsidP="00F40A8B">
            <w:pPr>
              <w:pStyle w:val="Applicationdirecte"/>
              <w:spacing w:before="0" w:after="240"/>
              <w:jc w:val="center"/>
            </w:pPr>
            <w:r w:rsidRPr="00835753">
              <w:t>9</w:t>
            </w:r>
          </w:p>
        </w:tc>
        <w:tc>
          <w:tcPr>
            <w:tcW w:w="7655" w:type="dxa"/>
          </w:tcPr>
          <w:p w14:paraId="2B60697C" w14:textId="77777777" w:rsidR="005710A4" w:rsidRPr="00835753" w:rsidRDefault="005710A4" w:rsidP="00155C96">
            <w:pPr>
              <w:spacing w:after="240"/>
              <w:rPr>
                <w:rFonts w:ascii="Times New Roman" w:eastAsia="Times New Roman" w:hAnsi="Times New Roman" w:cs="Times New Roman"/>
                <w:b/>
                <w:sz w:val="24"/>
              </w:rPr>
            </w:pPr>
            <w:r w:rsidRPr="00835753">
              <w:rPr>
                <w:rFonts w:ascii="Times New Roman" w:hAnsi="Times New Roman"/>
                <w:b/>
                <w:sz w:val="24"/>
              </w:rPr>
              <w:t>Ogółem</w:t>
            </w:r>
          </w:p>
        </w:tc>
      </w:tr>
      <w:tr w:rsidR="005710A4" w:rsidRPr="00835753"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835753" w:rsidRDefault="005710A4" w:rsidP="00F40A8B">
            <w:pPr>
              <w:pStyle w:val="Applicationdirecte"/>
              <w:spacing w:before="0" w:after="240"/>
              <w:jc w:val="center"/>
              <w:rPr>
                <w:b/>
              </w:rPr>
            </w:pPr>
            <w:r w:rsidRPr="00835753">
              <w:rPr>
                <w:b/>
              </w:rPr>
              <w:lastRenderedPageBreak/>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835753" w:rsidRDefault="005710A4" w:rsidP="00155C96">
            <w:pPr>
              <w:pStyle w:val="TableMainHeading"/>
              <w:spacing w:before="0" w:after="240"/>
              <w:rPr>
                <w:rFonts w:ascii="Times New Roman" w:hAnsi="Times New Roman"/>
                <w:b/>
                <w:sz w:val="24"/>
                <w:szCs w:val="24"/>
              </w:rPr>
            </w:pPr>
            <w:r w:rsidRPr="00835753">
              <w:rPr>
                <w:rFonts w:ascii="Times New Roman" w:hAnsi="Times New Roman"/>
                <w:b/>
                <w:sz w:val="24"/>
                <w:szCs w:val="24"/>
              </w:rPr>
              <w:t>Wyjaśnienie</w:t>
            </w:r>
          </w:p>
        </w:tc>
      </w:tr>
      <w:tr w:rsidR="005710A4" w:rsidRPr="00835753" w14:paraId="20BF58F3" w14:textId="77777777" w:rsidTr="00155C96">
        <w:trPr>
          <w:trHeight w:val="416"/>
        </w:trPr>
        <w:tc>
          <w:tcPr>
            <w:tcW w:w="1384" w:type="dxa"/>
          </w:tcPr>
          <w:p w14:paraId="5577989C" w14:textId="34A488E5" w:rsidR="005710A4" w:rsidRPr="00835753" w:rsidRDefault="00F40A8B" w:rsidP="00F40A8B">
            <w:pPr>
              <w:pStyle w:val="Applicationdirecte"/>
              <w:spacing w:before="0" w:after="240"/>
              <w:jc w:val="center"/>
            </w:pPr>
            <w:proofErr w:type="gramStart"/>
            <w:r w:rsidRPr="00835753">
              <w:t>a</w:t>
            </w:r>
            <w:proofErr w:type="gramEnd"/>
            <w:r w:rsidR="00892879">
              <w:t>)</w:t>
            </w:r>
            <w:r w:rsidRPr="00835753">
              <w:t>, c</w:t>
            </w:r>
            <w:r w:rsidR="00892879">
              <w:t>)</w:t>
            </w:r>
            <w:r w:rsidRPr="00835753">
              <w:t>, e</w:t>
            </w:r>
            <w:r w:rsidR="00892879">
              <w:t>)</w:t>
            </w:r>
            <w:r w:rsidRPr="00835753">
              <w:t xml:space="preserve"> oraz g</w:t>
            </w:r>
            <w:r w:rsidR="00892879">
              <w:t>)</w:t>
            </w:r>
          </w:p>
        </w:tc>
        <w:tc>
          <w:tcPr>
            <w:tcW w:w="7655" w:type="dxa"/>
            <w:vAlign w:val="center"/>
          </w:tcPr>
          <w:p w14:paraId="6826725C" w14:textId="31B3CC1A" w:rsidR="005710A4" w:rsidRPr="00835753" w:rsidRDefault="005710A4" w:rsidP="00155C96">
            <w:pPr>
              <w:spacing w:after="240"/>
              <w:jc w:val="both"/>
              <w:rPr>
                <w:rFonts w:ascii="Times New Roman" w:eastAsia="Calibri" w:hAnsi="Times New Roman" w:cs="Times New Roman"/>
                <w:b/>
                <w:sz w:val="24"/>
              </w:rPr>
            </w:pPr>
            <w:r w:rsidRPr="00835753">
              <w:rPr>
                <w:rFonts w:ascii="Times New Roman" w:hAnsi="Times New Roman"/>
                <w:b/>
                <w:sz w:val="24"/>
              </w:rPr>
              <w:t>Wyodrębnione</w:t>
            </w:r>
          </w:p>
          <w:p w14:paraId="25FE1D86" w14:textId="50E7521B"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Zabezpieczenie utrzymywane na zasadzie wyłączenia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mas</w:t>
            </w:r>
            <w:r w:rsidRPr="00835753">
              <w:rPr>
                <w:rFonts w:ascii="Times New Roman" w:hAnsi="Times New Roman"/>
                <w:sz w:val="24"/>
              </w:rPr>
              <w:t>y upadłościowej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def</w:t>
            </w:r>
            <w:r w:rsidRPr="00835753">
              <w:rPr>
                <w:rFonts w:ascii="Times New Roman" w:hAnsi="Times New Roman"/>
                <w:sz w:val="24"/>
              </w:rPr>
              <w:t>inicją ustanowioną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300 ust.</w:t>
            </w:r>
            <w:r w:rsidR="00835753" w:rsidRPr="00835753">
              <w:rPr>
                <w:rFonts w:ascii="Times New Roman" w:hAnsi="Times New Roman"/>
                <w:sz w:val="24"/>
              </w:rPr>
              <w:t> </w:t>
            </w:r>
            <w:r w:rsidRPr="00835753">
              <w:rPr>
                <w:rFonts w:ascii="Times New Roman" w:hAnsi="Times New Roman"/>
                <w:sz w:val="24"/>
              </w:rPr>
              <w:t>1 CRR</w:t>
            </w:r>
          </w:p>
        </w:tc>
      </w:tr>
      <w:tr w:rsidR="005710A4" w:rsidRPr="00835753" w14:paraId="008426BC" w14:textId="77777777" w:rsidTr="00155C96">
        <w:trPr>
          <w:trHeight w:val="680"/>
        </w:trPr>
        <w:tc>
          <w:tcPr>
            <w:tcW w:w="1384" w:type="dxa"/>
          </w:tcPr>
          <w:p w14:paraId="67C42FC0" w14:textId="35156252" w:rsidR="005710A4" w:rsidRPr="00835753" w:rsidRDefault="00F40A8B" w:rsidP="00F40A8B">
            <w:pPr>
              <w:pStyle w:val="Applicationdirecte"/>
              <w:spacing w:before="0" w:after="240"/>
              <w:jc w:val="center"/>
            </w:pPr>
            <w:proofErr w:type="gramStart"/>
            <w:r w:rsidRPr="00835753">
              <w:t>b</w:t>
            </w:r>
            <w:proofErr w:type="gramEnd"/>
            <w:r w:rsidR="00892879">
              <w:t>)</w:t>
            </w:r>
            <w:r w:rsidRPr="00835753">
              <w:t>, d</w:t>
            </w:r>
            <w:r w:rsidR="00892879">
              <w:t>)</w:t>
            </w:r>
            <w:r w:rsidRPr="00835753">
              <w:t>, f</w:t>
            </w:r>
            <w:r w:rsidR="00892879">
              <w:t>)</w:t>
            </w:r>
            <w:r w:rsidRPr="00835753">
              <w:t xml:space="preserve"> oraz h</w:t>
            </w:r>
            <w:r w:rsidR="00996FFB">
              <w:t>)</w:t>
            </w:r>
          </w:p>
        </w:tc>
        <w:tc>
          <w:tcPr>
            <w:tcW w:w="7655" w:type="dxa"/>
            <w:vAlign w:val="center"/>
          </w:tcPr>
          <w:p w14:paraId="6C68D1E8" w14:textId="11FA546F" w:rsidR="005710A4" w:rsidRPr="00835753" w:rsidRDefault="005710A4" w:rsidP="00155C96">
            <w:pPr>
              <w:spacing w:after="240"/>
              <w:jc w:val="both"/>
              <w:rPr>
                <w:rFonts w:ascii="Times New Roman" w:eastAsia="Calibri" w:hAnsi="Times New Roman" w:cs="Times New Roman"/>
                <w:b/>
                <w:sz w:val="24"/>
              </w:rPr>
            </w:pPr>
            <w:r w:rsidRPr="00835753">
              <w:rPr>
                <w:rFonts w:ascii="Times New Roman" w:hAnsi="Times New Roman"/>
                <w:b/>
                <w:sz w:val="24"/>
              </w:rPr>
              <w:t>Niewyodrębnione</w:t>
            </w:r>
          </w:p>
          <w:p w14:paraId="0C49A679" w14:textId="53C09982"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Zabezpieczenie, które nie jest utrzymywane na zasadzie wyłączenia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mas</w:t>
            </w:r>
            <w:r w:rsidRPr="00835753">
              <w:rPr>
                <w:rFonts w:ascii="Times New Roman" w:hAnsi="Times New Roman"/>
                <w:sz w:val="24"/>
              </w:rPr>
              <w:t>y upadłościowej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def</w:t>
            </w:r>
            <w:r w:rsidRPr="00835753">
              <w:rPr>
                <w:rFonts w:ascii="Times New Roman" w:hAnsi="Times New Roman"/>
                <w:sz w:val="24"/>
              </w:rPr>
              <w:t>inicją ustanowioną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300 ust.</w:t>
            </w:r>
            <w:r w:rsidR="00835753" w:rsidRPr="00835753">
              <w:rPr>
                <w:rFonts w:ascii="Times New Roman" w:hAnsi="Times New Roman"/>
                <w:sz w:val="24"/>
              </w:rPr>
              <w:t> </w:t>
            </w:r>
            <w:r w:rsidRPr="00835753">
              <w:rPr>
                <w:rFonts w:ascii="Times New Roman" w:hAnsi="Times New Roman"/>
                <w:sz w:val="24"/>
              </w:rPr>
              <w:t>1 CRR</w:t>
            </w:r>
          </w:p>
        </w:tc>
      </w:tr>
      <w:tr w:rsidR="005710A4" w:rsidRPr="00835753" w14:paraId="6933B5C4" w14:textId="77777777" w:rsidTr="00155C96">
        <w:trPr>
          <w:trHeight w:val="680"/>
        </w:trPr>
        <w:tc>
          <w:tcPr>
            <w:tcW w:w="1384" w:type="dxa"/>
          </w:tcPr>
          <w:p w14:paraId="68CEA54E" w14:textId="3DBFC655" w:rsidR="005710A4" w:rsidRPr="00835753" w:rsidRDefault="00F40A8B" w:rsidP="00F40A8B">
            <w:pPr>
              <w:pStyle w:val="Applicationdirecte"/>
              <w:spacing w:before="0" w:after="240"/>
              <w:jc w:val="center"/>
            </w:pPr>
            <w:r w:rsidRPr="00835753">
              <w:t>a</w:t>
            </w:r>
            <w:proofErr w:type="gramStart"/>
            <w:r w:rsidRPr="00835753">
              <w:t>)–d</w:t>
            </w:r>
            <w:proofErr w:type="gramEnd"/>
            <w:r w:rsidRPr="00835753">
              <w:t>)</w:t>
            </w:r>
          </w:p>
        </w:tc>
        <w:tc>
          <w:tcPr>
            <w:tcW w:w="7655" w:type="dxa"/>
            <w:vAlign w:val="center"/>
          </w:tcPr>
          <w:p w14:paraId="5AA88537" w14:textId="71A39CEE" w:rsidR="005710A4" w:rsidRPr="00835753" w:rsidRDefault="005710A4" w:rsidP="00155C96">
            <w:pPr>
              <w:pStyle w:val="numberedparagraph"/>
              <w:numPr>
                <w:ilvl w:val="0"/>
                <w:numId w:val="0"/>
              </w:numPr>
              <w:spacing w:before="0" w:after="240" w:line="240" w:lineRule="auto"/>
              <w:rPr>
                <w:rFonts w:ascii="Times New Roman" w:hAnsi="Times New Roman" w:cs="Times New Roman"/>
                <w:b/>
                <w:sz w:val="24"/>
              </w:rPr>
            </w:pPr>
            <w:r w:rsidRPr="00835753">
              <w:rPr>
                <w:rFonts w:ascii="Times New Roman" w:hAnsi="Times New Roman"/>
                <w:b/>
                <w:sz w:val="24"/>
              </w:rPr>
              <w:t>Zabezpieczenia stosowane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tra</w:t>
            </w:r>
            <w:r w:rsidRPr="00835753">
              <w:rPr>
                <w:rFonts w:ascii="Times New Roman" w:hAnsi="Times New Roman"/>
                <w:b/>
                <w:sz w:val="24"/>
              </w:rPr>
              <w:t>nsakcjach na instrumentach pochodnych</w:t>
            </w:r>
          </w:p>
          <w:p w14:paraId="0E0B7928" w14:textId="159E2B62" w:rsidR="005710A4" w:rsidRPr="00835753" w:rsidRDefault="005710A4" w:rsidP="00155C96">
            <w:pPr>
              <w:pStyle w:val="numberedparagraph"/>
              <w:numPr>
                <w:ilvl w:val="0"/>
                <w:numId w:val="0"/>
              </w:numPr>
              <w:spacing w:before="0" w:after="240" w:line="240" w:lineRule="auto"/>
              <w:rPr>
                <w:rFonts w:ascii="Times New Roman" w:hAnsi="Times New Roman" w:cs="Times New Roman"/>
                <w:sz w:val="24"/>
              </w:rPr>
            </w:pPr>
            <w:r w:rsidRPr="00835753">
              <w:rPr>
                <w:rFonts w:ascii="Times New Roman" w:hAnsi="Times New Roman"/>
                <w:sz w:val="24"/>
              </w:rPr>
              <w:t>Zabezpieczenia (w tym zabezpieczenie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taci początkowego depozytu zabezpieczającego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zab</w:t>
            </w:r>
            <w:r w:rsidRPr="00835753">
              <w:rPr>
                <w:rFonts w:ascii="Times New Roman" w:hAnsi="Times New Roman"/>
                <w:sz w:val="24"/>
              </w:rPr>
              <w:t>ezpieczenie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taci zmiennego depozytu zabezpieczającego) stosowane do obliczenia ekspozycji na ryzyko kredytowe kontrahenta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dow</w:t>
            </w:r>
            <w:r w:rsidRPr="00835753">
              <w:rPr>
                <w:rFonts w:ascii="Times New Roman" w:hAnsi="Times New Roman"/>
                <w:sz w:val="24"/>
              </w:rPr>
              <w:t>olnym instrumentem pochodnym wymienionym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zał</w:t>
            </w:r>
            <w:r w:rsidRPr="00835753">
              <w:rPr>
                <w:rFonts w:ascii="Times New Roman" w:hAnsi="Times New Roman"/>
                <w:sz w:val="24"/>
              </w:rPr>
              <w:t>ączniku II do CRR lub</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tra</w:t>
            </w:r>
            <w:r w:rsidRPr="00835753">
              <w:rPr>
                <w:rFonts w:ascii="Times New Roman" w:hAnsi="Times New Roman"/>
                <w:sz w:val="24"/>
              </w:rPr>
              <w:t>nsakcją</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dłu</w:t>
            </w:r>
            <w:r w:rsidRPr="00835753">
              <w:rPr>
                <w:rFonts w:ascii="Times New Roman" w:hAnsi="Times New Roman"/>
                <w:sz w:val="24"/>
              </w:rPr>
              <w:t>gim terminem rozliczenia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271 ust.</w:t>
            </w:r>
            <w:r w:rsidR="00835753" w:rsidRPr="00835753">
              <w:rPr>
                <w:rFonts w:ascii="Times New Roman" w:hAnsi="Times New Roman"/>
                <w:sz w:val="24"/>
              </w:rPr>
              <w:t> </w:t>
            </w:r>
            <w:r w:rsidRPr="00835753">
              <w:rPr>
                <w:rFonts w:ascii="Times New Roman" w:hAnsi="Times New Roman"/>
                <w:sz w:val="24"/>
              </w:rPr>
              <w:t>2 CRR, która nie kwalifikuje się do uznania jej za SFT</w:t>
            </w:r>
          </w:p>
        </w:tc>
      </w:tr>
      <w:tr w:rsidR="005710A4" w:rsidRPr="00835753" w14:paraId="76BCF0C3" w14:textId="77777777" w:rsidTr="00155C96">
        <w:trPr>
          <w:trHeight w:val="680"/>
        </w:trPr>
        <w:tc>
          <w:tcPr>
            <w:tcW w:w="1384" w:type="dxa"/>
          </w:tcPr>
          <w:p w14:paraId="7FD10FEB" w14:textId="5136EAC6" w:rsidR="005710A4" w:rsidRPr="00835753" w:rsidRDefault="00F40A8B" w:rsidP="00F40A8B">
            <w:pPr>
              <w:pStyle w:val="Applicationdirecte"/>
              <w:spacing w:before="0" w:after="240"/>
              <w:jc w:val="center"/>
            </w:pPr>
            <w:r w:rsidRPr="00835753">
              <w:t>e</w:t>
            </w:r>
            <w:proofErr w:type="gramStart"/>
            <w:r w:rsidR="00996FFB">
              <w:t>)</w:t>
            </w:r>
            <w:r w:rsidRPr="00835753">
              <w:t>–h</w:t>
            </w:r>
            <w:proofErr w:type="gramEnd"/>
            <w:r w:rsidR="00996FFB">
              <w:t>)</w:t>
            </w:r>
          </w:p>
        </w:tc>
        <w:tc>
          <w:tcPr>
            <w:tcW w:w="7655" w:type="dxa"/>
            <w:vAlign w:val="center"/>
          </w:tcPr>
          <w:p w14:paraId="125CA3E8" w14:textId="13B92637" w:rsidR="005710A4" w:rsidRPr="00835753" w:rsidRDefault="005710A4" w:rsidP="00155C96">
            <w:pPr>
              <w:pStyle w:val="numberedparagraph"/>
              <w:numPr>
                <w:ilvl w:val="0"/>
                <w:numId w:val="0"/>
              </w:numPr>
              <w:spacing w:before="0" w:after="240" w:line="240" w:lineRule="auto"/>
              <w:rPr>
                <w:rFonts w:ascii="Times New Roman" w:hAnsi="Times New Roman" w:cs="Times New Roman"/>
                <w:b/>
                <w:sz w:val="24"/>
              </w:rPr>
            </w:pPr>
            <w:r w:rsidRPr="00835753">
              <w:rPr>
                <w:rFonts w:ascii="Times New Roman" w:hAnsi="Times New Roman"/>
                <w:b/>
                <w:sz w:val="24"/>
              </w:rPr>
              <w:t>Zabezpieczenia stosowane w SFT</w:t>
            </w:r>
          </w:p>
          <w:p w14:paraId="0708C6BD" w14:textId="24E56842" w:rsidR="005710A4" w:rsidRPr="00835753" w:rsidRDefault="005710A4" w:rsidP="00155C96">
            <w:pPr>
              <w:pStyle w:val="numberedparagraph"/>
              <w:numPr>
                <w:ilvl w:val="0"/>
                <w:numId w:val="0"/>
              </w:numPr>
              <w:spacing w:before="0" w:after="240" w:line="240" w:lineRule="auto"/>
              <w:rPr>
                <w:rFonts w:ascii="Times New Roman" w:hAnsi="Times New Roman" w:cs="Times New Roman"/>
                <w:sz w:val="24"/>
              </w:rPr>
            </w:pPr>
            <w:r w:rsidRPr="00835753">
              <w:rPr>
                <w:rFonts w:ascii="Times New Roman" w:hAnsi="Times New Roman"/>
                <w:sz w:val="24"/>
              </w:rPr>
              <w:t>Zabezpieczenia (w tym zabezpieczenie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taci początkowego depozytu zabezpieczającego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zab</w:t>
            </w:r>
            <w:r w:rsidRPr="00835753">
              <w:rPr>
                <w:rFonts w:ascii="Times New Roman" w:hAnsi="Times New Roman"/>
                <w:sz w:val="24"/>
              </w:rPr>
              <w:t>ezpieczenie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taci zmiennego depozytu zabezpieczającego, jak również zabezpieczenie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taci części transakcji obejmującej papiery wartościowe wykorzystywane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SFT) stosowane do obliczenia ekspozycji na ryzyko kredytowe kontrahenta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dow</w:t>
            </w:r>
            <w:r w:rsidRPr="00835753">
              <w:rPr>
                <w:rFonts w:ascii="Times New Roman" w:hAnsi="Times New Roman"/>
                <w:sz w:val="24"/>
              </w:rPr>
              <w:t>olną transakcją finansowaną</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uży</w:t>
            </w:r>
            <w:r w:rsidRPr="00835753">
              <w:rPr>
                <w:rFonts w:ascii="Times New Roman" w:hAnsi="Times New Roman"/>
                <w:sz w:val="24"/>
              </w:rPr>
              <w:t>ciem papierów wartościowych lub transakcją</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dłu</w:t>
            </w:r>
            <w:r w:rsidRPr="00835753">
              <w:rPr>
                <w:rFonts w:ascii="Times New Roman" w:hAnsi="Times New Roman"/>
                <w:sz w:val="24"/>
              </w:rPr>
              <w:t>gim terminem rozliczenia, która nie kwalifikuje się do uznania jej za instrument pochodny</w:t>
            </w:r>
          </w:p>
        </w:tc>
      </w:tr>
    </w:tbl>
    <w:p w14:paraId="496D5A35" w14:textId="77777777" w:rsidR="005710A4" w:rsidRPr="00835753" w:rsidRDefault="005710A4" w:rsidP="005710A4">
      <w:pPr>
        <w:pStyle w:val="Titlelevel2"/>
        <w:spacing w:before="0"/>
        <w:rPr>
          <w:rFonts w:ascii="Times New Roman" w:hAnsi="Times New Roman" w:cs="Times New Roman"/>
          <w:color w:val="auto"/>
          <w:sz w:val="24"/>
        </w:rPr>
      </w:pPr>
    </w:p>
    <w:p w14:paraId="032A765A" w14:textId="5F6DD4C6" w:rsidR="005710A4" w:rsidRPr="00835753" w:rsidRDefault="00CD362D" w:rsidP="005710A4">
      <w:pPr>
        <w:pStyle w:val="Titlelevel2"/>
        <w:spacing w:before="0"/>
        <w:rPr>
          <w:rFonts w:ascii="Times New Roman" w:hAnsi="Times New Roman" w:cs="Times New Roman"/>
          <w:color w:val="auto"/>
          <w:sz w:val="24"/>
        </w:rPr>
      </w:pPr>
      <w:r w:rsidRPr="00835753">
        <w:rPr>
          <w:rFonts w:ascii="Times New Roman" w:hAnsi="Times New Roman"/>
          <w:b/>
          <w:color w:val="auto"/>
          <w:sz w:val="24"/>
        </w:rPr>
        <w:t>Wzór EU CCR6 – Ekspozycje</w:t>
      </w:r>
      <w:r w:rsidR="00835753" w:rsidRPr="00835753">
        <w:rPr>
          <w:rFonts w:ascii="Times New Roman" w:hAnsi="Times New Roman"/>
          <w:b/>
          <w:color w:val="auto"/>
          <w:sz w:val="24"/>
        </w:rPr>
        <w:t xml:space="preserve"> z</w:t>
      </w:r>
      <w:r w:rsidR="00835753">
        <w:rPr>
          <w:rFonts w:ascii="Times New Roman" w:hAnsi="Times New Roman"/>
          <w:b/>
          <w:color w:val="auto"/>
          <w:sz w:val="24"/>
        </w:rPr>
        <w:t> </w:t>
      </w:r>
      <w:r w:rsidR="00835753" w:rsidRPr="00835753">
        <w:rPr>
          <w:rFonts w:ascii="Times New Roman" w:hAnsi="Times New Roman"/>
          <w:b/>
          <w:color w:val="auto"/>
          <w:sz w:val="24"/>
        </w:rPr>
        <w:t>tyt</w:t>
      </w:r>
      <w:r w:rsidRPr="00835753">
        <w:rPr>
          <w:rFonts w:ascii="Times New Roman" w:hAnsi="Times New Roman"/>
          <w:b/>
          <w:color w:val="auto"/>
          <w:sz w:val="24"/>
        </w:rPr>
        <w:t xml:space="preserve">ułu kredytowych instrumentów pochodnych. </w:t>
      </w:r>
      <w:r w:rsidRPr="00835753">
        <w:rPr>
          <w:rFonts w:ascii="Times New Roman" w:hAnsi="Times New Roman"/>
          <w:color w:val="auto"/>
          <w:sz w:val="24"/>
        </w:rPr>
        <w:t>Format stały</w:t>
      </w:r>
    </w:p>
    <w:p w14:paraId="0F0B1F09" w14:textId="13D1315E" w:rsidR="005710A4" w:rsidRPr="00835753"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35753">
        <w:rPr>
          <w:rFonts w:ascii="Times New Roman" w:hAnsi="Times New Roman"/>
          <w:bCs w:val="0"/>
          <w:color w:val="000000"/>
          <w:sz w:val="24"/>
        </w:rPr>
        <w:t>W celu wypełnienia wzoru EU CCR6 zamieszczonego</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ączniku XXV do niniejszego rozporządzenia wykonawczego instytucje ujawniają informacje,</w:t>
      </w:r>
      <w:r w:rsidR="00835753" w:rsidRPr="00835753">
        <w:rPr>
          <w:rFonts w:ascii="Times New Roman" w:hAnsi="Times New Roman"/>
          <w:bCs w:val="0"/>
          <w:color w:val="000000"/>
          <w:sz w:val="24"/>
        </w:rPr>
        <w:t xml:space="preserve"> o</w:t>
      </w:r>
      <w:r w:rsidR="00835753">
        <w:rPr>
          <w:rFonts w:ascii="Times New Roman" w:hAnsi="Times New Roman"/>
          <w:bCs w:val="0"/>
          <w:color w:val="000000"/>
          <w:sz w:val="24"/>
        </w:rPr>
        <w:t> </w:t>
      </w:r>
      <w:r w:rsidR="00835753" w:rsidRPr="00835753">
        <w:rPr>
          <w:rFonts w:ascii="Times New Roman" w:hAnsi="Times New Roman"/>
          <w:bCs w:val="0"/>
          <w:color w:val="000000"/>
          <w:sz w:val="24"/>
        </w:rPr>
        <w:t>któ</w:t>
      </w:r>
      <w:r w:rsidRPr="00835753">
        <w:rPr>
          <w:rFonts w:ascii="Times New Roman" w:hAnsi="Times New Roman"/>
          <w:bCs w:val="0"/>
          <w:color w:val="000000"/>
          <w:sz w:val="24"/>
        </w:rPr>
        <w:t>rych mowa</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439 lit.</w:t>
      </w:r>
      <w:r w:rsidR="00835753" w:rsidRPr="00835753">
        <w:rPr>
          <w:rFonts w:ascii="Times New Roman" w:hAnsi="Times New Roman"/>
          <w:bCs w:val="0"/>
          <w:color w:val="000000"/>
          <w:sz w:val="24"/>
        </w:rPr>
        <w:t> </w:t>
      </w:r>
      <w:r w:rsidRPr="00835753">
        <w:rPr>
          <w:rFonts w:ascii="Times New Roman" w:hAnsi="Times New Roman"/>
          <w:bCs w:val="0"/>
          <w:color w:val="000000"/>
          <w:sz w:val="24"/>
        </w:rPr>
        <w:t>j) CRR,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pon</w:t>
      </w:r>
      <w:r w:rsidRPr="00835753">
        <w:rPr>
          <w:rFonts w:ascii="Times New Roman" w:hAnsi="Times New Roman"/>
          <w:bCs w:val="0"/>
          <w:color w:val="000000"/>
          <w:sz w:val="24"/>
        </w:rPr>
        <w:t>iższymi instrukcjami zawartymi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835753"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12F31840" w:rsidR="005710A4" w:rsidRPr="00835753" w:rsidRDefault="005710A4" w:rsidP="00155C96">
            <w:pPr>
              <w:spacing w:after="24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5710A4" w:rsidRPr="00835753" w14:paraId="4D4D6003" w14:textId="77777777" w:rsidTr="00155C96">
        <w:trPr>
          <w:trHeight w:val="238"/>
        </w:trPr>
        <w:tc>
          <w:tcPr>
            <w:tcW w:w="1384" w:type="dxa"/>
            <w:shd w:val="clear" w:color="auto" w:fill="D9D9D9" w:themeFill="background1" w:themeFillShade="D9"/>
          </w:tcPr>
          <w:p w14:paraId="6C3FD860" w14:textId="77777777" w:rsidR="005710A4" w:rsidRPr="00835753" w:rsidRDefault="005710A4" w:rsidP="00F40A8B">
            <w:pPr>
              <w:autoSpaceDE w:val="0"/>
              <w:autoSpaceDN w:val="0"/>
              <w:adjustRightInd w:val="0"/>
              <w:spacing w:after="240"/>
              <w:jc w:val="center"/>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685CDB13" w14:textId="77777777" w:rsidR="005710A4" w:rsidRPr="00835753" w:rsidRDefault="005710A4" w:rsidP="00155C96">
            <w:pPr>
              <w:autoSpaceDE w:val="0"/>
              <w:autoSpaceDN w:val="0"/>
              <w:adjustRightInd w:val="0"/>
              <w:spacing w:after="240"/>
              <w:rPr>
                <w:rFonts w:ascii="Times New Roman" w:hAnsi="Times New Roman" w:cs="Times New Roman"/>
                <w:color w:val="000000"/>
                <w:sz w:val="24"/>
              </w:rPr>
            </w:pPr>
            <w:r w:rsidRPr="00835753">
              <w:rPr>
                <w:rFonts w:ascii="Times New Roman" w:hAnsi="Times New Roman"/>
                <w:b/>
                <w:sz w:val="24"/>
              </w:rPr>
              <w:t>Wyjaśnienie</w:t>
            </w:r>
          </w:p>
        </w:tc>
      </w:tr>
      <w:tr w:rsidR="005710A4" w:rsidRPr="00835753"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835753" w:rsidRDefault="00F40A8B" w:rsidP="00F40A8B">
            <w:pPr>
              <w:autoSpaceDE w:val="0"/>
              <w:autoSpaceDN w:val="0"/>
              <w:adjustRightInd w:val="0"/>
              <w:spacing w:after="240"/>
              <w:jc w:val="center"/>
              <w:rPr>
                <w:rFonts w:ascii="Times New Roman" w:hAnsi="Times New Roman" w:cs="Times New Roman"/>
                <w:sz w:val="24"/>
              </w:rPr>
            </w:pPr>
            <w:r w:rsidRPr="00835753">
              <w:rPr>
                <w:rFonts w:ascii="Times New Roman" w:hAnsi="Times New Roman"/>
                <w:sz w:val="24"/>
              </w:rPr>
              <w:lastRenderedPageBreak/>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E78CE1" w14:textId="77777777" w:rsidR="005710A4" w:rsidRPr="00835753" w:rsidRDefault="005710A4" w:rsidP="00155C96">
            <w:pPr>
              <w:autoSpaceDE w:val="0"/>
              <w:autoSpaceDN w:val="0"/>
              <w:adjustRightInd w:val="0"/>
              <w:spacing w:after="240"/>
              <w:rPr>
                <w:rFonts w:ascii="Times New Roman" w:hAnsi="Times New Roman" w:cs="Times New Roman"/>
                <w:b/>
                <w:sz w:val="24"/>
              </w:rPr>
            </w:pPr>
            <w:r w:rsidRPr="00835753">
              <w:rPr>
                <w:rFonts w:ascii="Times New Roman" w:hAnsi="Times New Roman"/>
                <w:b/>
                <w:sz w:val="24"/>
              </w:rPr>
              <w:t xml:space="preserve">Kwoty referencyjne </w:t>
            </w:r>
          </w:p>
          <w:p w14:paraId="0014863C" w14:textId="16E639BD" w:rsidR="005710A4" w:rsidRPr="00835753" w:rsidRDefault="005710A4" w:rsidP="00155C96">
            <w:pPr>
              <w:autoSpaceDE w:val="0"/>
              <w:autoSpaceDN w:val="0"/>
              <w:adjustRightInd w:val="0"/>
              <w:spacing w:after="240"/>
              <w:rPr>
                <w:rFonts w:ascii="Times New Roman" w:hAnsi="Times New Roman" w:cs="Times New Roman"/>
                <w:sz w:val="24"/>
              </w:rPr>
            </w:pPr>
            <w:r w:rsidRPr="00835753">
              <w:rPr>
                <w:rFonts w:ascii="Times New Roman" w:hAnsi="Times New Roman"/>
                <w:sz w:val="24"/>
              </w:rPr>
              <w:t>Suma kwot referencyjnych instrumentu pochodnego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uję</w:t>
            </w:r>
            <w:r w:rsidRPr="00835753">
              <w:rPr>
                <w:rFonts w:ascii="Times New Roman" w:hAnsi="Times New Roman"/>
                <w:sz w:val="24"/>
              </w:rPr>
              <w:t>ciu bezwzględnym, przed jakimkolwiek kompensowaniem,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ziale na rodzaje produktów</w:t>
            </w:r>
          </w:p>
        </w:tc>
      </w:tr>
      <w:tr w:rsidR="005710A4" w:rsidRPr="00835753"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835753" w:rsidRDefault="00F40A8B" w:rsidP="00F40A8B">
            <w:pPr>
              <w:autoSpaceDE w:val="0"/>
              <w:autoSpaceDN w:val="0"/>
              <w:adjustRightInd w:val="0"/>
              <w:spacing w:after="240"/>
              <w:jc w:val="center"/>
              <w:rPr>
                <w:rFonts w:ascii="Times New Roman" w:hAnsi="Times New Roman" w:cs="Times New Roman"/>
                <w:sz w:val="24"/>
              </w:rPr>
            </w:pPr>
            <w:r w:rsidRPr="00835753">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835753" w:rsidRDefault="005710A4" w:rsidP="00155C96">
            <w:pPr>
              <w:autoSpaceDE w:val="0"/>
              <w:autoSpaceDN w:val="0"/>
              <w:adjustRightInd w:val="0"/>
              <w:spacing w:after="240"/>
              <w:rPr>
                <w:rFonts w:ascii="Times New Roman" w:hAnsi="Times New Roman" w:cs="Times New Roman"/>
                <w:b/>
                <w:sz w:val="24"/>
              </w:rPr>
            </w:pPr>
            <w:r w:rsidRPr="00835753">
              <w:rPr>
                <w:rFonts w:ascii="Times New Roman" w:hAnsi="Times New Roman"/>
                <w:b/>
                <w:sz w:val="24"/>
              </w:rPr>
              <w:t>Wartości godziwe</w:t>
            </w:r>
          </w:p>
          <w:p w14:paraId="4C584163" w14:textId="47288256" w:rsidR="005710A4" w:rsidRPr="00835753" w:rsidRDefault="005710A4" w:rsidP="00155C96">
            <w:pPr>
              <w:autoSpaceDE w:val="0"/>
              <w:autoSpaceDN w:val="0"/>
              <w:adjustRightInd w:val="0"/>
              <w:spacing w:after="240"/>
              <w:rPr>
                <w:rFonts w:ascii="Times New Roman" w:hAnsi="Times New Roman" w:cs="Times New Roman"/>
                <w:i/>
                <w:sz w:val="24"/>
              </w:rPr>
            </w:pPr>
            <w:r w:rsidRPr="00835753">
              <w:rPr>
                <w:rFonts w:ascii="Times New Roman" w:hAnsi="Times New Roman"/>
                <w:sz w:val="24"/>
              </w:rPr>
              <w:t>Wartości godziwe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ziale na aktywa (dodatnie wartości godziwe)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zob</w:t>
            </w:r>
            <w:r w:rsidRPr="00835753">
              <w:rPr>
                <w:rFonts w:ascii="Times New Roman" w:hAnsi="Times New Roman"/>
                <w:sz w:val="24"/>
              </w:rPr>
              <w:t>owiązania (ujemne wartości godziwe)</w:t>
            </w:r>
          </w:p>
        </w:tc>
      </w:tr>
      <w:tr w:rsidR="005710A4" w:rsidRPr="00835753"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835753" w:rsidRDefault="005710A4" w:rsidP="00F40A8B">
            <w:pPr>
              <w:pStyle w:val="Applicationdirecte"/>
              <w:spacing w:before="0" w:after="240"/>
              <w:jc w:val="center"/>
              <w:rPr>
                <w:b/>
              </w:rPr>
            </w:pPr>
            <w:r w:rsidRPr="00835753">
              <w:rPr>
                <w:b/>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835753" w:rsidRDefault="005710A4" w:rsidP="00155C96">
            <w:pPr>
              <w:pStyle w:val="TableMainHeading"/>
              <w:spacing w:before="0" w:after="240"/>
              <w:rPr>
                <w:rFonts w:ascii="Times New Roman" w:hAnsi="Times New Roman"/>
                <w:b/>
                <w:sz w:val="24"/>
                <w:szCs w:val="24"/>
              </w:rPr>
            </w:pPr>
            <w:r w:rsidRPr="00835753">
              <w:rPr>
                <w:rFonts w:ascii="Times New Roman" w:hAnsi="Times New Roman"/>
                <w:b/>
                <w:sz w:val="24"/>
                <w:szCs w:val="24"/>
              </w:rPr>
              <w:t>Wyjaśnienie</w:t>
            </w:r>
          </w:p>
        </w:tc>
      </w:tr>
      <w:tr w:rsidR="005710A4" w:rsidRPr="00835753"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835753" w:rsidRDefault="00F40A8B" w:rsidP="00F40A8B">
            <w:pPr>
              <w:autoSpaceDE w:val="0"/>
              <w:autoSpaceDN w:val="0"/>
              <w:adjustRightInd w:val="0"/>
              <w:spacing w:after="240"/>
              <w:jc w:val="center"/>
              <w:rPr>
                <w:rFonts w:ascii="Times New Roman" w:hAnsi="Times New Roman" w:cs="Times New Roman"/>
                <w:sz w:val="24"/>
              </w:rPr>
            </w:pPr>
            <w:r w:rsidRPr="00835753">
              <w:rPr>
                <w:rFonts w:ascii="Times New Roman" w:hAnsi="Times New Roman"/>
                <w:sz w:val="24"/>
              </w:rPr>
              <w:t>a</w:t>
            </w:r>
            <w:proofErr w:type="gramStart"/>
            <w:r w:rsidRPr="00835753">
              <w:rPr>
                <w:rFonts w:ascii="Times New Roman" w:hAnsi="Times New Roman"/>
                <w:sz w:val="24"/>
              </w:rPr>
              <w:t>)–b</w:t>
            </w:r>
            <w:proofErr w:type="gramEnd"/>
            <w:r w:rsidRPr="00835753">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3D3B0DA8" w:rsidR="005710A4" w:rsidRPr="00835753" w:rsidRDefault="005710A4" w:rsidP="00155C96">
            <w:pPr>
              <w:autoSpaceDE w:val="0"/>
              <w:autoSpaceDN w:val="0"/>
              <w:adjustRightInd w:val="0"/>
              <w:spacing w:after="240"/>
              <w:rPr>
                <w:rFonts w:ascii="Times New Roman" w:hAnsi="Times New Roman" w:cs="Times New Roman"/>
                <w:b/>
                <w:color w:val="000000"/>
                <w:sz w:val="24"/>
              </w:rPr>
            </w:pPr>
            <w:r w:rsidRPr="00835753">
              <w:rPr>
                <w:rFonts w:ascii="Times New Roman" w:hAnsi="Times New Roman"/>
                <w:b/>
                <w:color w:val="000000"/>
                <w:sz w:val="24"/>
              </w:rPr>
              <w:t>Ochrona</w:t>
            </w:r>
            <w:r w:rsidR="00835753" w:rsidRPr="00835753">
              <w:rPr>
                <w:rFonts w:ascii="Times New Roman" w:hAnsi="Times New Roman"/>
                <w:b/>
                <w:color w:val="000000"/>
                <w:sz w:val="24"/>
              </w:rPr>
              <w:t xml:space="preserve"> w</w:t>
            </w:r>
            <w:r w:rsidR="00835753">
              <w:rPr>
                <w:rFonts w:ascii="Times New Roman" w:hAnsi="Times New Roman"/>
                <w:b/>
                <w:color w:val="000000"/>
                <w:sz w:val="24"/>
              </w:rPr>
              <w:t> </w:t>
            </w:r>
            <w:r w:rsidR="00835753" w:rsidRPr="00835753">
              <w:rPr>
                <w:rFonts w:ascii="Times New Roman" w:hAnsi="Times New Roman"/>
                <w:b/>
                <w:color w:val="000000"/>
                <w:sz w:val="24"/>
              </w:rPr>
              <w:t>pos</w:t>
            </w:r>
            <w:r w:rsidRPr="00835753">
              <w:rPr>
                <w:rFonts w:ascii="Times New Roman" w:hAnsi="Times New Roman"/>
                <w:b/>
                <w:color w:val="000000"/>
                <w:sz w:val="24"/>
              </w:rPr>
              <w:t>taci kredytowego instrumentu pochodnego</w:t>
            </w:r>
          </w:p>
          <w:p w14:paraId="136A8655" w14:textId="1AD64361" w:rsidR="005710A4" w:rsidRPr="00835753" w:rsidRDefault="005710A4" w:rsidP="00155C96">
            <w:pPr>
              <w:autoSpaceDE w:val="0"/>
              <w:autoSpaceDN w:val="0"/>
              <w:adjustRightInd w:val="0"/>
              <w:spacing w:after="240"/>
              <w:jc w:val="both"/>
              <w:rPr>
                <w:rFonts w:ascii="Times New Roman" w:hAnsi="Times New Roman" w:cs="Times New Roman"/>
                <w:b/>
                <w:sz w:val="24"/>
              </w:rPr>
            </w:pPr>
            <w:r w:rsidRPr="00835753">
              <w:rPr>
                <w:rFonts w:ascii="Times New Roman" w:hAnsi="Times New Roman"/>
                <w:color w:val="000000"/>
                <w:sz w:val="24"/>
              </w:rPr>
              <w:t>Ochrona</w:t>
            </w:r>
            <w:r w:rsidR="00835753" w:rsidRPr="00835753">
              <w:rPr>
                <w:rFonts w:ascii="Times New Roman" w:hAnsi="Times New Roman"/>
                <w:color w:val="000000"/>
                <w:sz w:val="24"/>
              </w:rPr>
              <w:t xml:space="preserve"> w</w:t>
            </w:r>
            <w:r w:rsidR="00835753">
              <w:rPr>
                <w:rFonts w:ascii="Times New Roman" w:hAnsi="Times New Roman"/>
                <w:color w:val="000000"/>
                <w:sz w:val="24"/>
              </w:rPr>
              <w:t> </w:t>
            </w:r>
            <w:r w:rsidR="00835753" w:rsidRPr="00835753">
              <w:rPr>
                <w:rFonts w:ascii="Times New Roman" w:hAnsi="Times New Roman"/>
                <w:color w:val="000000"/>
                <w:sz w:val="24"/>
              </w:rPr>
              <w:t>pos</w:t>
            </w:r>
            <w:r w:rsidRPr="00835753">
              <w:rPr>
                <w:rFonts w:ascii="Times New Roman" w:hAnsi="Times New Roman"/>
                <w:color w:val="000000"/>
                <w:sz w:val="24"/>
              </w:rPr>
              <w:t>taci kredytowego instrumentu pochodnego nabytego lub sprzedanego zgodnie</w:t>
            </w:r>
            <w:r w:rsidR="00835753" w:rsidRPr="00835753">
              <w:rPr>
                <w:rFonts w:ascii="Times New Roman" w:hAnsi="Times New Roman"/>
                <w:color w:val="000000"/>
                <w:sz w:val="24"/>
              </w:rPr>
              <w:t xml:space="preserve"> z</w:t>
            </w:r>
            <w:r w:rsidR="00835753">
              <w:rPr>
                <w:rFonts w:ascii="Times New Roman" w:hAnsi="Times New Roman"/>
                <w:color w:val="000000"/>
                <w:sz w:val="24"/>
              </w:rPr>
              <w:t> </w:t>
            </w:r>
            <w:r w:rsidR="00835753" w:rsidRPr="00835753">
              <w:rPr>
                <w:rFonts w:ascii="Times New Roman" w:hAnsi="Times New Roman"/>
                <w:sz w:val="24"/>
              </w:rPr>
              <w:t>czę</w:t>
            </w:r>
            <w:r w:rsidRPr="00835753">
              <w:rPr>
                <w:rFonts w:ascii="Times New Roman" w:hAnsi="Times New Roman"/>
                <w:sz w:val="24"/>
              </w:rPr>
              <w:t>ścią trzecią tytuł II rozdział 6 CRR</w:t>
            </w:r>
          </w:p>
        </w:tc>
      </w:tr>
    </w:tbl>
    <w:p w14:paraId="167E06C3" w14:textId="77777777" w:rsidR="005710A4" w:rsidRPr="00835753" w:rsidRDefault="005710A4" w:rsidP="005710A4">
      <w:pPr>
        <w:pStyle w:val="Titlelevel2"/>
        <w:spacing w:before="0"/>
        <w:rPr>
          <w:rFonts w:ascii="Times New Roman" w:hAnsi="Times New Roman" w:cs="Times New Roman"/>
          <w:color w:val="auto"/>
          <w:sz w:val="24"/>
        </w:rPr>
      </w:pPr>
    </w:p>
    <w:p w14:paraId="7BD61990" w14:textId="4F4C757F" w:rsidR="005710A4" w:rsidRPr="00835753" w:rsidRDefault="00CD362D" w:rsidP="005710A4">
      <w:pPr>
        <w:pStyle w:val="Titlelevel2"/>
        <w:spacing w:before="0"/>
        <w:rPr>
          <w:rFonts w:ascii="Times New Roman" w:hAnsi="Times New Roman" w:cs="Times New Roman"/>
          <w:b/>
          <w:color w:val="auto"/>
          <w:sz w:val="24"/>
        </w:rPr>
      </w:pPr>
      <w:r w:rsidRPr="00835753">
        <w:rPr>
          <w:rFonts w:ascii="Times New Roman" w:hAnsi="Times New Roman"/>
          <w:b/>
          <w:color w:val="auto"/>
          <w:sz w:val="24"/>
        </w:rPr>
        <w:t>Wzór EU CCR7 – Rachunek przepływów kwot ekspozycji ważonych ryzykiem</w:t>
      </w:r>
      <w:r w:rsidR="00835753" w:rsidRPr="00835753">
        <w:rPr>
          <w:rFonts w:ascii="Times New Roman" w:hAnsi="Times New Roman"/>
          <w:b/>
          <w:color w:val="auto"/>
          <w:sz w:val="24"/>
        </w:rPr>
        <w:t xml:space="preserve"> w</w:t>
      </w:r>
      <w:r w:rsidR="00835753">
        <w:rPr>
          <w:rFonts w:ascii="Times New Roman" w:hAnsi="Times New Roman"/>
          <w:b/>
          <w:color w:val="auto"/>
          <w:sz w:val="24"/>
        </w:rPr>
        <w:t> </w:t>
      </w:r>
      <w:r w:rsidR="00835753" w:rsidRPr="00835753">
        <w:rPr>
          <w:rFonts w:ascii="Times New Roman" w:hAnsi="Times New Roman"/>
          <w:b/>
          <w:color w:val="auto"/>
          <w:sz w:val="24"/>
        </w:rPr>
        <w:t>odn</w:t>
      </w:r>
      <w:r w:rsidRPr="00835753">
        <w:rPr>
          <w:rFonts w:ascii="Times New Roman" w:hAnsi="Times New Roman"/>
          <w:b/>
          <w:color w:val="auto"/>
          <w:sz w:val="24"/>
        </w:rPr>
        <w:t xml:space="preserve">iesieniu do ekspozycji na ryzyko kredytowe kontrahenta (CCR) według metody modeli wewnętrznych. </w:t>
      </w:r>
      <w:r w:rsidRPr="00835753">
        <w:rPr>
          <w:rFonts w:ascii="Times New Roman" w:hAnsi="Times New Roman"/>
          <w:color w:val="auto"/>
          <w:sz w:val="24"/>
        </w:rPr>
        <w:t>Format stały</w:t>
      </w:r>
    </w:p>
    <w:p w14:paraId="5F9FA864" w14:textId="1B150CF5" w:rsidR="005710A4" w:rsidRPr="00835753"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35753">
        <w:rPr>
          <w:rFonts w:ascii="Times New Roman" w:hAnsi="Times New Roman"/>
          <w:bCs w:val="0"/>
          <w:color w:val="000000"/>
          <w:sz w:val="24"/>
        </w:rPr>
        <w:t>W celu wypełnienia wzoru EU CCR7 zamieszczonego</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ączniku XXV do niniejszego rozporządzenia wykonawczego instytucje ujawniają informacje,</w:t>
      </w:r>
      <w:r w:rsidR="00835753" w:rsidRPr="00835753">
        <w:rPr>
          <w:rFonts w:ascii="Times New Roman" w:hAnsi="Times New Roman"/>
          <w:bCs w:val="0"/>
          <w:color w:val="000000"/>
          <w:sz w:val="24"/>
        </w:rPr>
        <w:t xml:space="preserve"> o</w:t>
      </w:r>
      <w:r w:rsidR="00835753">
        <w:rPr>
          <w:rFonts w:ascii="Times New Roman" w:hAnsi="Times New Roman"/>
          <w:bCs w:val="0"/>
          <w:color w:val="000000"/>
          <w:sz w:val="24"/>
        </w:rPr>
        <w:t> </w:t>
      </w:r>
      <w:r w:rsidR="00835753" w:rsidRPr="00835753">
        <w:rPr>
          <w:rFonts w:ascii="Times New Roman" w:hAnsi="Times New Roman"/>
          <w:bCs w:val="0"/>
          <w:color w:val="000000"/>
          <w:sz w:val="24"/>
        </w:rPr>
        <w:t>któ</w:t>
      </w:r>
      <w:r w:rsidRPr="00835753">
        <w:rPr>
          <w:rFonts w:ascii="Times New Roman" w:hAnsi="Times New Roman"/>
          <w:bCs w:val="0"/>
          <w:color w:val="000000"/>
          <w:sz w:val="24"/>
        </w:rPr>
        <w:t>rych mowa</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438 lit.</w:t>
      </w:r>
      <w:r w:rsidR="00835753" w:rsidRPr="00835753">
        <w:rPr>
          <w:rFonts w:ascii="Times New Roman" w:hAnsi="Times New Roman"/>
          <w:bCs w:val="0"/>
          <w:color w:val="000000"/>
          <w:sz w:val="24"/>
        </w:rPr>
        <w:t> </w:t>
      </w:r>
      <w:r w:rsidRPr="00835753">
        <w:rPr>
          <w:rFonts w:ascii="Times New Roman" w:hAnsi="Times New Roman"/>
          <w:bCs w:val="0"/>
          <w:color w:val="000000"/>
          <w:sz w:val="24"/>
        </w:rPr>
        <w:t>h) CRR,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pon</w:t>
      </w:r>
      <w:r w:rsidRPr="00835753">
        <w:rPr>
          <w:rFonts w:ascii="Times New Roman" w:hAnsi="Times New Roman"/>
          <w:bCs w:val="0"/>
          <w:color w:val="000000"/>
          <w:sz w:val="24"/>
        </w:rPr>
        <w:t>iższymi instrukcjami zawartymi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załączniku.</w:t>
      </w:r>
    </w:p>
    <w:p w14:paraId="0B0BE092" w14:textId="705B0EB1" w:rsidR="005710A4" w:rsidRPr="00835753"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sidRPr="00835753">
        <w:rPr>
          <w:rFonts w:ascii="Times New Roman" w:hAnsi="Times New Roman"/>
          <w:color w:val="auto"/>
          <w:sz w:val="24"/>
        </w:rPr>
        <w:t>Instytucje stosujące IMM do obliczania kwot ekspozycji ważonych ryzykiem dla wszystkich swoich ekspozycji na ryzyko kredytowe kontrahenta lub dla części tych ekspozycji zgodnie</w:t>
      </w:r>
      <w:r w:rsidR="00835753" w:rsidRPr="00835753">
        <w:rPr>
          <w:rFonts w:ascii="Times New Roman" w:hAnsi="Times New Roman"/>
          <w:color w:val="auto"/>
          <w:sz w:val="24"/>
        </w:rPr>
        <w:t xml:space="preserve"> z</w:t>
      </w:r>
      <w:r w:rsidR="00835753">
        <w:rPr>
          <w:rFonts w:ascii="Times New Roman" w:hAnsi="Times New Roman"/>
          <w:color w:val="auto"/>
          <w:sz w:val="24"/>
        </w:rPr>
        <w:t> </w:t>
      </w:r>
      <w:r w:rsidR="00835753" w:rsidRPr="00835753">
        <w:rPr>
          <w:rFonts w:ascii="Times New Roman" w:hAnsi="Times New Roman"/>
          <w:color w:val="auto"/>
          <w:sz w:val="24"/>
        </w:rPr>
        <w:t>czę</w:t>
      </w:r>
      <w:r w:rsidRPr="00835753">
        <w:rPr>
          <w:rFonts w:ascii="Times New Roman" w:hAnsi="Times New Roman"/>
          <w:color w:val="auto"/>
          <w:sz w:val="24"/>
        </w:rPr>
        <w:t>ścią trzecią tytuł II rozdział 6 CRR, niezależnie od podejścia do ryzyka kredytowego zastosowanego</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cel</w:t>
      </w:r>
      <w:r w:rsidRPr="00835753">
        <w:rPr>
          <w:rFonts w:ascii="Times New Roman" w:hAnsi="Times New Roman"/>
          <w:color w:val="auto"/>
          <w:sz w:val="24"/>
        </w:rPr>
        <w:t>u ustalenia odpowiednich wag ryzyka, ujawniają rachunek przepływów wyjaśniający zmiany wysokości kwot ekspozycji ważonych ryzykiem dla instrumentów pochodnych i SFT wchodzących</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zak</w:t>
      </w:r>
      <w:r w:rsidRPr="00835753">
        <w:rPr>
          <w:rFonts w:ascii="Times New Roman" w:hAnsi="Times New Roman"/>
          <w:color w:val="auto"/>
          <w:sz w:val="24"/>
        </w:rPr>
        <w:t>res IMM zróżnicowanych na podstawie kluczowych czynników</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opa</w:t>
      </w:r>
      <w:r w:rsidRPr="00835753">
        <w:rPr>
          <w:rFonts w:ascii="Times New Roman" w:hAnsi="Times New Roman"/>
          <w:color w:val="auto"/>
          <w:sz w:val="24"/>
        </w:rPr>
        <w:t>rciu</w:t>
      </w:r>
      <w:r w:rsidR="00835753" w:rsidRPr="00835753">
        <w:rPr>
          <w:rFonts w:ascii="Times New Roman" w:hAnsi="Times New Roman"/>
          <w:color w:val="auto"/>
          <w:sz w:val="24"/>
        </w:rPr>
        <w:t xml:space="preserve"> o</w:t>
      </w:r>
      <w:r w:rsidR="00835753">
        <w:rPr>
          <w:rFonts w:ascii="Times New Roman" w:hAnsi="Times New Roman"/>
          <w:color w:val="auto"/>
          <w:sz w:val="24"/>
        </w:rPr>
        <w:t> </w:t>
      </w:r>
      <w:r w:rsidR="00835753" w:rsidRPr="00835753">
        <w:rPr>
          <w:rFonts w:ascii="Times New Roman" w:hAnsi="Times New Roman"/>
          <w:color w:val="auto"/>
          <w:sz w:val="24"/>
        </w:rPr>
        <w:t>wia</w:t>
      </w:r>
      <w:r w:rsidRPr="00835753">
        <w:rPr>
          <w:rFonts w:ascii="Times New Roman" w:hAnsi="Times New Roman"/>
          <w:color w:val="auto"/>
          <w:sz w:val="24"/>
        </w:rPr>
        <w:t>rygodne szacunki.</w:t>
      </w:r>
    </w:p>
    <w:p w14:paraId="61B2E527" w14:textId="30A7A4D3" w:rsidR="005710A4" w:rsidRPr="00835753"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sidRPr="00835753">
        <w:rPr>
          <w:rFonts w:ascii="Times New Roman" w:hAnsi="Times New Roman"/>
          <w:bCs w:val="0"/>
          <w:color w:val="auto"/>
          <w:sz w:val="24"/>
        </w:rPr>
        <w:t>Z obliczeń przeprowadzanych na potrzeby tego wzoru wyłączono kwoty ekspozycji ważonych ryzykiem</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odn</w:t>
      </w:r>
      <w:r w:rsidRPr="00835753">
        <w:rPr>
          <w:rFonts w:ascii="Times New Roman" w:hAnsi="Times New Roman"/>
          <w:bCs w:val="0"/>
          <w:color w:val="auto"/>
          <w:sz w:val="24"/>
        </w:rPr>
        <w:t>iesieniu do ryzyka korekty wyceny kredytowej (część trzecia tytuł VI CRR) oraz ekspozycje wobec kontrahenta centralnego (część trzecia tytuł II rozdział 6 sekcja 9 CRR).</w:t>
      </w:r>
    </w:p>
    <w:p w14:paraId="270DF823" w14:textId="22C186D1" w:rsidR="005710A4" w:rsidRPr="00835753"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sidRPr="00835753">
        <w:rPr>
          <w:rFonts w:ascii="Times New Roman" w:hAnsi="Times New Roman"/>
          <w:bCs w:val="0"/>
          <w:color w:val="auto"/>
          <w:sz w:val="24"/>
        </w:rPr>
        <w:t>Instytucje ujawniają przepływy kwot ekspozycji ważonych ryzykiem jako zmiany między k</w:t>
      </w:r>
      <w:r w:rsidRPr="00835753">
        <w:rPr>
          <w:rFonts w:ascii="Times New Roman" w:hAnsi="Times New Roman"/>
          <w:color w:val="auto"/>
          <w:sz w:val="24"/>
        </w:rPr>
        <w:t xml:space="preserve">wotami ekspozycji ważonych ryzykiem na koniec </w:t>
      </w:r>
      <w:r w:rsidRPr="00835753">
        <w:rPr>
          <w:rFonts w:ascii="Times New Roman" w:hAnsi="Times New Roman"/>
          <w:bCs w:val="0"/>
          <w:color w:val="auto"/>
          <w:sz w:val="24"/>
        </w:rPr>
        <w:t>okresu odniesienia do celów ujawniania informacji (jak określono poniżej</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wie</w:t>
      </w:r>
      <w:r w:rsidRPr="00835753">
        <w:rPr>
          <w:rFonts w:ascii="Times New Roman" w:hAnsi="Times New Roman"/>
          <w:bCs w:val="0"/>
          <w:color w:val="auto"/>
          <w:sz w:val="24"/>
        </w:rPr>
        <w:t>rszu 9 niniejszego wzoru)</w:t>
      </w:r>
      <w:r w:rsidR="00835753" w:rsidRPr="00835753">
        <w:rPr>
          <w:rFonts w:ascii="Times New Roman" w:hAnsi="Times New Roman"/>
          <w:bCs w:val="0"/>
          <w:color w:val="auto"/>
          <w:sz w:val="24"/>
        </w:rPr>
        <w:t xml:space="preserve"> a</w:t>
      </w:r>
      <w:r w:rsidR="00835753">
        <w:rPr>
          <w:rFonts w:ascii="Times New Roman" w:hAnsi="Times New Roman"/>
          <w:bCs w:val="0"/>
          <w:color w:val="auto"/>
          <w:sz w:val="24"/>
        </w:rPr>
        <w:t> </w:t>
      </w:r>
      <w:r w:rsidR="00835753" w:rsidRPr="00835753">
        <w:rPr>
          <w:rFonts w:ascii="Times New Roman" w:hAnsi="Times New Roman"/>
          <w:bCs w:val="0"/>
          <w:color w:val="auto"/>
          <w:sz w:val="24"/>
        </w:rPr>
        <w:t>kwo</w:t>
      </w:r>
      <w:r w:rsidRPr="00835753">
        <w:rPr>
          <w:rFonts w:ascii="Times New Roman" w:hAnsi="Times New Roman"/>
          <w:bCs w:val="0"/>
          <w:color w:val="auto"/>
          <w:sz w:val="24"/>
        </w:rPr>
        <w:t xml:space="preserve">tami </w:t>
      </w:r>
      <w:r w:rsidRPr="00835753">
        <w:rPr>
          <w:rFonts w:ascii="Times New Roman" w:hAnsi="Times New Roman"/>
          <w:color w:val="auto"/>
          <w:sz w:val="24"/>
        </w:rPr>
        <w:t xml:space="preserve">ekspozycji ważonych ryzykiem na </w:t>
      </w:r>
      <w:r w:rsidRPr="00835753">
        <w:rPr>
          <w:rFonts w:ascii="Times New Roman" w:hAnsi="Times New Roman"/>
          <w:bCs w:val="0"/>
          <w:color w:val="auto"/>
          <w:sz w:val="24"/>
        </w:rPr>
        <w:t>koniec poprzedniego okresu odniesienia do celów ujawniania informacji (jak określono poniżej</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wie</w:t>
      </w:r>
      <w:r w:rsidRPr="00835753">
        <w:rPr>
          <w:rFonts w:ascii="Times New Roman" w:hAnsi="Times New Roman"/>
          <w:bCs w:val="0"/>
          <w:color w:val="auto"/>
          <w:sz w:val="24"/>
        </w:rPr>
        <w:t>rszu 1 niniejszego wzoru;</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prz</w:t>
      </w:r>
      <w:r w:rsidRPr="00835753">
        <w:rPr>
          <w:rFonts w:ascii="Times New Roman" w:hAnsi="Times New Roman"/>
          <w:bCs w:val="0"/>
          <w:color w:val="auto"/>
          <w:sz w:val="24"/>
        </w:rPr>
        <w:t xml:space="preserve">ypadku informacji ujawnianych co kwartał – na koniec </w:t>
      </w:r>
      <w:r w:rsidRPr="00835753">
        <w:rPr>
          <w:rFonts w:ascii="Times New Roman" w:hAnsi="Times New Roman"/>
          <w:bCs w:val="0"/>
          <w:color w:val="auto"/>
          <w:sz w:val="24"/>
        </w:rPr>
        <w:lastRenderedPageBreak/>
        <w:t>kwartału poprzedzającego kwartał będący okresem odniesienia do celów ujawniania informacji). Instytucje mogą uzupełnić ujawnione przez siebie informacje</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ram</w:t>
      </w:r>
      <w:r w:rsidRPr="00835753">
        <w:rPr>
          <w:rFonts w:ascii="Times New Roman" w:hAnsi="Times New Roman"/>
          <w:bCs w:val="0"/>
          <w:color w:val="auto"/>
          <w:sz w:val="24"/>
        </w:rPr>
        <w:t>ach filaru III, ujawniając analogiczne informacje dotyczące trzech poprzedzających kwartałów.</w:t>
      </w:r>
    </w:p>
    <w:p w14:paraId="5DF530ED" w14:textId="371F2C31" w:rsidR="005710A4" w:rsidRPr="00835753" w:rsidRDefault="005710A4" w:rsidP="005710A4">
      <w:pPr>
        <w:pStyle w:val="Titlelevel2"/>
        <w:numPr>
          <w:ilvl w:val="0"/>
          <w:numId w:val="56"/>
        </w:numPr>
        <w:spacing w:before="0"/>
        <w:jc w:val="both"/>
        <w:rPr>
          <w:rFonts w:ascii="Times New Roman" w:hAnsi="Times New Roman"/>
          <w:color w:val="auto"/>
          <w:sz w:val="24"/>
        </w:rPr>
      </w:pPr>
      <w:r w:rsidRPr="00835753">
        <w:rPr>
          <w:rFonts w:ascii="Times New Roman" w:hAnsi="Times New Roman"/>
          <w:color w:val="auto"/>
          <w:sz w:val="24"/>
        </w:rPr>
        <w:t>W opisie dołączonym do niniejszego wzoru instytucje wyjaśniają dane liczbowe ujawnione</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wie</w:t>
      </w:r>
      <w:r w:rsidRPr="00835753">
        <w:rPr>
          <w:rFonts w:ascii="Times New Roman" w:hAnsi="Times New Roman"/>
          <w:color w:val="auto"/>
          <w:sz w:val="24"/>
        </w:rPr>
        <w:t>rszu 8 niniejszego wzoru, tj. dane na temat wszelkich innych czynników wywierających istotny wpływ na zmiany kwoty ekspozycji ważonej ryzykiem.</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835753"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08909B25" w:rsidR="005710A4" w:rsidRPr="00835753" w:rsidRDefault="005710A4" w:rsidP="00155C96">
            <w:pPr>
              <w:spacing w:after="24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5710A4" w:rsidRPr="00835753" w14:paraId="61857EFF" w14:textId="77777777" w:rsidTr="00155C96">
        <w:trPr>
          <w:trHeight w:val="238"/>
        </w:trPr>
        <w:tc>
          <w:tcPr>
            <w:tcW w:w="1384" w:type="dxa"/>
            <w:shd w:val="clear" w:color="auto" w:fill="D9D9D9" w:themeFill="background1" w:themeFillShade="D9"/>
          </w:tcPr>
          <w:p w14:paraId="776DAF62" w14:textId="77777777" w:rsidR="005710A4" w:rsidRPr="00835753" w:rsidRDefault="005710A4" w:rsidP="00F40A8B">
            <w:pPr>
              <w:autoSpaceDE w:val="0"/>
              <w:autoSpaceDN w:val="0"/>
              <w:adjustRightInd w:val="0"/>
              <w:spacing w:after="240"/>
              <w:jc w:val="center"/>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45EE4979" w14:textId="77777777" w:rsidR="005710A4" w:rsidRPr="00835753" w:rsidRDefault="005710A4" w:rsidP="00155C96">
            <w:pPr>
              <w:autoSpaceDE w:val="0"/>
              <w:autoSpaceDN w:val="0"/>
              <w:adjustRightInd w:val="0"/>
              <w:spacing w:after="240"/>
              <w:rPr>
                <w:rFonts w:ascii="Times New Roman" w:hAnsi="Times New Roman" w:cs="Times New Roman"/>
                <w:color w:val="000000"/>
                <w:sz w:val="24"/>
              </w:rPr>
            </w:pPr>
            <w:r w:rsidRPr="00835753">
              <w:rPr>
                <w:rFonts w:ascii="Times New Roman" w:hAnsi="Times New Roman"/>
                <w:b/>
                <w:sz w:val="24"/>
              </w:rPr>
              <w:t>Wyjaśnienie</w:t>
            </w:r>
          </w:p>
        </w:tc>
      </w:tr>
      <w:tr w:rsidR="005710A4" w:rsidRPr="00835753"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835753" w:rsidRDefault="00F40A8B" w:rsidP="00F40A8B">
            <w:pPr>
              <w:pStyle w:val="Applicationdirecte"/>
              <w:spacing w:before="0" w:after="240"/>
              <w:jc w:val="center"/>
            </w:pPr>
            <w:r w:rsidRPr="00835753">
              <w:t>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835753" w:rsidRDefault="005710A4" w:rsidP="00155C96">
            <w:pPr>
              <w:spacing w:after="240"/>
              <w:jc w:val="both"/>
              <w:rPr>
                <w:rFonts w:ascii="Times New Roman" w:hAnsi="Times New Roman" w:cs="Times New Roman"/>
                <w:b/>
                <w:sz w:val="24"/>
              </w:rPr>
            </w:pPr>
            <w:r w:rsidRPr="00835753">
              <w:rPr>
                <w:rFonts w:ascii="Times New Roman" w:hAnsi="Times New Roman"/>
                <w:b/>
                <w:sz w:val="24"/>
              </w:rPr>
              <w:t>Kwoty ekspozycji ważonych ryzykiem na koniec poprzedniego okresu, za który informacje podlegają ujawnieniu</w:t>
            </w:r>
          </w:p>
          <w:p w14:paraId="73649AB7" w14:textId="77777777"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Kwoty ekspozycji ważonych ryzykiem dla ekspozycji na ryzyko kredytowe kontrahenta obliczanych zgodnie z IMM na koniec poprzedniego okresu, za który informacje podlegają ujawnieniu.</w:t>
            </w:r>
          </w:p>
        </w:tc>
      </w:tr>
      <w:tr w:rsidR="005710A4" w:rsidRPr="00835753"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835753" w:rsidRDefault="00F40A8B" w:rsidP="00F40A8B">
            <w:pPr>
              <w:pStyle w:val="Applicationdirecte"/>
              <w:spacing w:before="0" w:after="240"/>
              <w:jc w:val="center"/>
            </w:pPr>
            <w:r w:rsidRPr="00835753">
              <w:t>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835753" w:rsidRDefault="005947B9" w:rsidP="00155C96">
            <w:pPr>
              <w:spacing w:after="240"/>
              <w:jc w:val="both"/>
              <w:rPr>
                <w:rFonts w:ascii="Times New Roman" w:hAnsi="Times New Roman" w:cs="Times New Roman"/>
                <w:b/>
                <w:sz w:val="24"/>
              </w:rPr>
            </w:pPr>
            <w:r w:rsidRPr="00835753">
              <w:rPr>
                <w:rFonts w:ascii="Times New Roman" w:hAnsi="Times New Roman"/>
                <w:b/>
                <w:sz w:val="24"/>
              </w:rPr>
              <w:t>Wielkość aktywów</w:t>
            </w:r>
          </w:p>
          <w:p w14:paraId="0373C5C0" w14:textId="149BC2B7"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Zmiany wysokości kwoty ekspozycji ważonej ryzykiem (o wartości dodatniej lub ujemnej) spowodowane organicznymi zmianami wielkości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skł</w:t>
            </w:r>
            <w:r w:rsidRPr="00835753">
              <w:rPr>
                <w:rFonts w:ascii="Times New Roman" w:hAnsi="Times New Roman"/>
                <w:sz w:val="24"/>
              </w:rPr>
              <w:t>adu portfela (m.in. wskutek powstawania nowych przedsiębiorstw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upł</w:t>
            </w:r>
            <w:r w:rsidRPr="00835753">
              <w:rPr>
                <w:rFonts w:ascii="Times New Roman" w:hAnsi="Times New Roman"/>
                <w:sz w:val="24"/>
              </w:rPr>
              <w:t>ywu terminów zapadalności ekspozycji),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wył</w:t>
            </w:r>
            <w:r w:rsidRPr="00835753">
              <w:rPr>
                <w:rFonts w:ascii="Times New Roman" w:hAnsi="Times New Roman"/>
                <w:sz w:val="24"/>
              </w:rPr>
              <w:t>ączeniem zmian wielkości portfela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ejęć</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zby</w:t>
            </w:r>
            <w:r w:rsidRPr="00835753">
              <w:rPr>
                <w:rFonts w:ascii="Times New Roman" w:hAnsi="Times New Roman"/>
                <w:sz w:val="24"/>
              </w:rPr>
              <w:t>ć podmiotów</w:t>
            </w:r>
          </w:p>
        </w:tc>
      </w:tr>
      <w:tr w:rsidR="005710A4" w:rsidRPr="00835753"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835753" w:rsidRDefault="00F40A8B" w:rsidP="00F40A8B">
            <w:pPr>
              <w:pStyle w:val="Applicationdirecte"/>
              <w:spacing w:before="0" w:after="240"/>
              <w:jc w:val="center"/>
            </w:pPr>
            <w:r w:rsidRPr="00835753">
              <w:t>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835753" w:rsidRDefault="005710A4" w:rsidP="00155C96">
            <w:pPr>
              <w:spacing w:after="240"/>
              <w:jc w:val="both"/>
              <w:rPr>
                <w:rFonts w:ascii="Times New Roman" w:hAnsi="Times New Roman" w:cs="Times New Roman"/>
                <w:b/>
                <w:sz w:val="24"/>
              </w:rPr>
            </w:pPr>
            <w:r w:rsidRPr="00835753">
              <w:rPr>
                <w:rFonts w:ascii="Times New Roman" w:hAnsi="Times New Roman"/>
                <w:b/>
                <w:sz w:val="24"/>
              </w:rPr>
              <w:t>Jakość kredytowa kontrahentów</w:t>
            </w:r>
          </w:p>
          <w:p w14:paraId="0CD63849" w14:textId="7B302F4F"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Zmiany wysokości kwoty ekspozycji ważonej ryzykiem (o wartości dodatniej lub ujemnej) spowodowane zmianami oceny jakości kredytowej kontrahentów instytucji mierzonymi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ami ryzyka kredytowego, niezależnie od podejścia stosowanego przez instytucję</w:t>
            </w:r>
          </w:p>
          <w:p w14:paraId="1139FE8C" w14:textId="07F2399A"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W tym wierszu zamieszcza się 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pot</w:t>
            </w:r>
            <w:r w:rsidRPr="00835753">
              <w:rPr>
                <w:rFonts w:ascii="Times New Roman" w:hAnsi="Times New Roman"/>
                <w:sz w:val="24"/>
              </w:rPr>
              <w:t>encjalnych zmianach kwoty ekspozycji ważonej ryzykiem wynikających ze stosowania modeli IRB, jeżeli instytucja stosuje metodę IRB.</w:t>
            </w:r>
          </w:p>
        </w:tc>
      </w:tr>
      <w:tr w:rsidR="005710A4" w:rsidRPr="00835753"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835753" w:rsidRDefault="00F40A8B" w:rsidP="00F40A8B">
            <w:pPr>
              <w:pStyle w:val="Applicationdirecte"/>
              <w:spacing w:before="0" w:after="240"/>
              <w:jc w:val="center"/>
            </w:pPr>
            <w:r w:rsidRPr="00835753">
              <w:t>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835753" w:rsidRDefault="005947B9" w:rsidP="00155C96">
            <w:pPr>
              <w:spacing w:after="240"/>
              <w:jc w:val="both"/>
              <w:rPr>
                <w:rFonts w:ascii="Times New Roman" w:hAnsi="Times New Roman" w:cs="Times New Roman"/>
                <w:b/>
                <w:sz w:val="24"/>
              </w:rPr>
            </w:pPr>
            <w:r w:rsidRPr="00835753">
              <w:rPr>
                <w:rFonts w:ascii="Times New Roman" w:hAnsi="Times New Roman"/>
                <w:b/>
                <w:sz w:val="24"/>
              </w:rPr>
              <w:t>Aktualizacje modeli (wyłącznie metoda modeli wewnętrznych)</w:t>
            </w:r>
          </w:p>
          <w:p w14:paraId="4DCE1D4C" w14:textId="551E25BF"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Zmiany wysokości kwoty ekspozycji ważonej ryzykiem (o wartości dodatniej lub ujemnej) spowodowane wdrożeniem modelu, zmianami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modelu lub wszelkimi zmianami służącymi wyeliminowaniu słabych punktów modelu</w:t>
            </w:r>
          </w:p>
          <w:p w14:paraId="7746D0C9" w14:textId="77777777"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Wiersz ten musi odzwierciedlać wyłącznie zmiany IMM.</w:t>
            </w:r>
          </w:p>
        </w:tc>
      </w:tr>
      <w:tr w:rsidR="005710A4" w:rsidRPr="00835753"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835753" w:rsidRDefault="00F40A8B" w:rsidP="00F40A8B">
            <w:pPr>
              <w:pStyle w:val="Applicationdirecte"/>
              <w:spacing w:before="0" w:after="240"/>
              <w:jc w:val="center"/>
            </w:pPr>
            <w:r w:rsidRPr="00835753">
              <w:lastRenderedPageBreak/>
              <w:t>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2FEEEB28" w:rsidR="005710A4" w:rsidRPr="00835753" w:rsidRDefault="005710A4" w:rsidP="00155C96">
            <w:pPr>
              <w:spacing w:after="240"/>
              <w:jc w:val="both"/>
              <w:rPr>
                <w:rFonts w:ascii="Times New Roman" w:hAnsi="Times New Roman" w:cs="Times New Roman"/>
                <w:b/>
                <w:sz w:val="24"/>
              </w:rPr>
            </w:pPr>
            <w:r w:rsidRPr="00835753">
              <w:rPr>
                <w:rFonts w:ascii="Times New Roman" w:hAnsi="Times New Roman"/>
                <w:b/>
                <w:sz w:val="24"/>
              </w:rPr>
              <w:t>Metodyka</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pol</w:t>
            </w:r>
            <w:r w:rsidRPr="00835753">
              <w:rPr>
                <w:rFonts w:ascii="Times New Roman" w:hAnsi="Times New Roman"/>
                <w:b/>
                <w:sz w:val="24"/>
              </w:rPr>
              <w:t>ityka (wyłącznie metoda modeli wewnętrznych)</w:t>
            </w:r>
          </w:p>
          <w:p w14:paraId="5D8B9073" w14:textId="7ABC3341"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Zmiany wysokości kwoty ekspozycji ważonej ryzykiem (o wartości dodatniej lub ujemnej) spowodowane zmianami metody dokonywania obliczeń</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wyn</w:t>
            </w:r>
            <w:r w:rsidRPr="00835753">
              <w:rPr>
                <w:rFonts w:ascii="Times New Roman" w:hAnsi="Times New Roman"/>
                <w:sz w:val="24"/>
              </w:rPr>
              <w:t>iku zmian polityki regulacyjnej, np. wskutek przyjęcia nowych przepisów (wyłącznie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IMM)</w:t>
            </w:r>
          </w:p>
        </w:tc>
      </w:tr>
      <w:tr w:rsidR="005710A4" w:rsidRPr="00835753"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835753" w:rsidRDefault="00F40A8B" w:rsidP="00F40A8B">
            <w:pPr>
              <w:pStyle w:val="Applicationdirecte"/>
              <w:spacing w:before="0" w:after="240"/>
              <w:jc w:val="center"/>
            </w:pPr>
            <w:r w:rsidRPr="00835753">
              <w:t>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387B895F" w:rsidR="005710A4" w:rsidRPr="00835753" w:rsidRDefault="005947B9" w:rsidP="00155C96">
            <w:pPr>
              <w:spacing w:after="240"/>
              <w:jc w:val="both"/>
              <w:rPr>
                <w:rFonts w:ascii="Times New Roman" w:hAnsi="Times New Roman" w:cs="Times New Roman"/>
                <w:b/>
                <w:sz w:val="24"/>
              </w:rPr>
            </w:pPr>
            <w:r w:rsidRPr="00835753">
              <w:rPr>
                <w:rFonts w:ascii="Times New Roman" w:hAnsi="Times New Roman"/>
                <w:b/>
                <w:sz w:val="24"/>
              </w:rPr>
              <w:t>Nabycia</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zby</w:t>
            </w:r>
            <w:r w:rsidRPr="00835753">
              <w:rPr>
                <w:rFonts w:ascii="Times New Roman" w:hAnsi="Times New Roman"/>
                <w:b/>
                <w:sz w:val="24"/>
              </w:rPr>
              <w:t>cia</w:t>
            </w:r>
          </w:p>
          <w:p w14:paraId="05149521" w14:textId="0EB32100"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Zmiany wysokości kwoty ekspozycji ważonej ryzykiem (o wartości dodatniej lub ujemnej) wywołane organicznymi zmianami wielkości portfela spowodowanymi przejęciami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zby</w:t>
            </w:r>
            <w:r w:rsidRPr="00835753">
              <w:rPr>
                <w:rFonts w:ascii="Times New Roman" w:hAnsi="Times New Roman"/>
                <w:sz w:val="24"/>
              </w:rPr>
              <w:t>ciami podmiotów</w:t>
            </w:r>
          </w:p>
        </w:tc>
      </w:tr>
      <w:tr w:rsidR="005710A4" w:rsidRPr="00835753"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835753" w:rsidRDefault="00F40A8B" w:rsidP="00F40A8B">
            <w:pPr>
              <w:pStyle w:val="Applicationdirecte"/>
              <w:spacing w:before="0" w:after="240"/>
              <w:jc w:val="center"/>
            </w:pPr>
            <w:r w:rsidRPr="00835753">
              <w:t>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835753" w:rsidRDefault="005947B9" w:rsidP="00155C96">
            <w:pPr>
              <w:spacing w:after="240"/>
              <w:jc w:val="both"/>
              <w:rPr>
                <w:rFonts w:ascii="Times New Roman" w:hAnsi="Times New Roman" w:cs="Times New Roman"/>
                <w:b/>
                <w:sz w:val="24"/>
              </w:rPr>
            </w:pPr>
            <w:r w:rsidRPr="00835753">
              <w:rPr>
                <w:rFonts w:ascii="Times New Roman" w:hAnsi="Times New Roman"/>
                <w:b/>
                <w:sz w:val="24"/>
              </w:rPr>
              <w:t>Wahania kursów walutowych</w:t>
            </w:r>
          </w:p>
          <w:p w14:paraId="76E6FC87" w14:textId="1D6B9EF3"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Zmiany wysokości kwoty ekspozycji ważonej ryzykiem (o wartości dodatniej lub ujemnej) spowodowane zmianami wynikającymi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wah</w:t>
            </w:r>
            <w:r w:rsidRPr="00835753">
              <w:rPr>
                <w:rFonts w:ascii="Times New Roman" w:hAnsi="Times New Roman"/>
                <w:sz w:val="24"/>
              </w:rPr>
              <w:t>ań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eliczaniem waluty obcej</w:t>
            </w:r>
          </w:p>
        </w:tc>
      </w:tr>
      <w:tr w:rsidR="005710A4" w:rsidRPr="00835753"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835753" w:rsidRDefault="00F40A8B" w:rsidP="00F40A8B">
            <w:pPr>
              <w:pStyle w:val="Applicationdirecte"/>
              <w:spacing w:before="0" w:after="240"/>
              <w:jc w:val="center"/>
            </w:pPr>
            <w:r w:rsidRPr="00835753">
              <w:t>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835753" w:rsidRDefault="005947B9" w:rsidP="00155C96">
            <w:pPr>
              <w:spacing w:after="240"/>
              <w:jc w:val="both"/>
              <w:rPr>
                <w:rFonts w:ascii="Times New Roman" w:hAnsi="Times New Roman" w:cs="Times New Roman"/>
                <w:b/>
                <w:sz w:val="24"/>
              </w:rPr>
            </w:pPr>
            <w:r w:rsidRPr="00835753">
              <w:rPr>
                <w:rFonts w:ascii="Times New Roman" w:hAnsi="Times New Roman"/>
                <w:b/>
                <w:sz w:val="24"/>
              </w:rPr>
              <w:t>Inne</w:t>
            </w:r>
          </w:p>
          <w:p w14:paraId="4B517DAA" w14:textId="050B12DE" w:rsidR="005710A4" w:rsidRPr="00835753" w:rsidRDefault="005710A4" w:rsidP="00155C96">
            <w:pPr>
              <w:spacing w:after="240"/>
              <w:jc w:val="both"/>
              <w:rPr>
                <w:rFonts w:ascii="Times New Roman" w:hAnsi="Times New Roman" w:cs="Times New Roman"/>
                <w:sz w:val="24"/>
              </w:rPr>
            </w:pPr>
            <w:r w:rsidRPr="00835753">
              <w:rPr>
                <w:rFonts w:ascii="Times New Roman" w:hAnsi="Times New Roman"/>
                <w:sz w:val="24"/>
              </w:rPr>
              <w:t>Tę kategorię wykorzystuje się do ujmowania zmian wysokości kwoty ekspozycji ważonej ryzykiem (o wartości dodatniej lub ujemnej), których nie można przypisać do żadnej</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yższych kategorii Instytucje uwzględniają sumę tego rodzaju zmian wysokości kwoty ekspozycji ważonej ryzykiem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wierszu</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opi</w:t>
            </w:r>
            <w:r w:rsidRPr="00835753">
              <w:rPr>
                <w:rFonts w:ascii="Times New Roman" w:hAnsi="Times New Roman"/>
                <w:sz w:val="24"/>
              </w:rPr>
              <w:t>sie dołączonym do niniejszego wzoru instytucje przedstawiają dodatkowe informacje na temat wszelkich innych istotnych czynników wywierających wpływ na zmiany wysokości kwot ważonych ryzykiem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za który informacje podlegają ujawnieniu.</w:t>
            </w:r>
          </w:p>
        </w:tc>
      </w:tr>
      <w:tr w:rsidR="005710A4" w:rsidRPr="00835753"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835753" w:rsidRDefault="00F40A8B" w:rsidP="00F40A8B">
            <w:pPr>
              <w:pStyle w:val="Applicationdirecte"/>
              <w:spacing w:before="0" w:after="240"/>
              <w:jc w:val="center"/>
            </w:pPr>
            <w:r w:rsidRPr="00835753">
              <w:t>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835753" w:rsidRDefault="005710A4" w:rsidP="00155C96">
            <w:pPr>
              <w:spacing w:after="240"/>
              <w:jc w:val="both"/>
              <w:rPr>
                <w:rFonts w:ascii="Times New Roman" w:hAnsi="Times New Roman" w:cs="Times New Roman"/>
                <w:b/>
                <w:sz w:val="24"/>
              </w:rPr>
            </w:pPr>
            <w:r w:rsidRPr="00835753">
              <w:rPr>
                <w:rFonts w:ascii="Times New Roman" w:hAnsi="Times New Roman"/>
                <w:b/>
                <w:sz w:val="24"/>
              </w:rPr>
              <w:t>Kwoty ekspozycji ważonych ryzykiem na koniec bieżącego okresu, za który informacje podlegają ujawnieniu</w:t>
            </w:r>
          </w:p>
          <w:p w14:paraId="747E8477" w14:textId="77777777" w:rsidR="005710A4" w:rsidRPr="00835753" w:rsidRDefault="005710A4" w:rsidP="00155C96">
            <w:pPr>
              <w:spacing w:after="240"/>
              <w:jc w:val="both"/>
              <w:rPr>
                <w:rFonts w:ascii="Times New Roman" w:hAnsi="Times New Roman" w:cs="Times New Roman"/>
                <w:i/>
                <w:sz w:val="24"/>
              </w:rPr>
            </w:pPr>
            <w:r w:rsidRPr="00835753">
              <w:rPr>
                <w:rFonts w:ascii="Times New Roman" w:hAnsi="Times New Roman"/>
                <w:sz w:val="24"/>
              </w:rPr>
              <w:t>Kwoty ekspozycji ważonych ryzykiem dla ekspozycji na ryzyko kredytowe kontrahenta obliczanych zgodnie z IMM na koniec bieżącego okresu, za który informacje podlegają ujawnieniu.</w:t>
            </w:r>
          </w:p>
        </w:tc>
      </w:tr>
      <w:tr w:rsidR="005710A4" w:rsidRPr="00835753"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835753" w:rsidRDefault="005710A4" w:rsidP="00F40A8B">
            <w:pPr>
              <w:pStyle w:val="Applicationdirecte"/>
              <w:spacing w:before="0" w:after="240"/>
              <w:jc w:val="center"/>
              <w:rPr>
                <w:b/>
              </w:rPr>
            </w:pPr>
            <w:r w:rsidRPr="00835753">
              <w:rPr>
                <w:b/>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835753" w:rsidRDefault="005710A4" w:rsidP="00155C96">
            <w:pPr>
              <w:spacing w:after="240"/>
              <w:jc w:val="both"/>
              <w:rPr>
                <w:rFonts w:ascii="Times New Roman" w:hAnsi="Times New Roman" w:cs="Times New Roman"/>
                <w:b/>
                <w:sz w:val="24"/>
              </w:rPr>
            </w:pPr>
            <w:r w:rsidRPr="00835753">
              <w:rPr>
                <w:rFonts w:ascii="Times New Roman" w:hAnsi="Times New Roman"/>
                <w:b/>
                <w:sz w:val="24"/>
              </w:rPr>
              <w:t>Wyjaśnienie</w:t>
            </w:r>
          </w:p>
        </w:tc>
      </w:tr>
      <w:tr w:rsidR="005710A4" w:rsidRPr="00835753" w14:paraId="0DB32B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835753" w:rsidRDefault="00F40A8B" w:rsidP="00F40A8B">
            <w:pPr>
              <w:pStyle w:val="Applicationdirecte"/>
              <w:spacing w:before="0" w:after="240"/>
              <w:jc w:val="center"/>
            </w:pPr>
            <w:proofErr w:type="gramStart"/>
            <w:r w:rsidRPr="00835753">
              <w:t>a</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835753" w:rsidRDefault="005710A4" w:rsidP="00155C96">
            <w:pPr>
              <w:spacing w:after="240"/>
              <w:jc w:val="both"/>
              <w:rPr>
                <w:rFonts w:ascii="Times New Roman" w:hAnsi="Times New Roman" w:cs="Times New Roman"/>
                <w:b/>
                <w:sz w:val="24"/>
              </w:rPr>
            </w:pPr>
            <w:r w:rsidRPr="00835753">
              <w:rPr>
                <w:rFonts w:ascii="Times New Roman" w:hAnsi="Times New Roman"/>
                <w:b/>
                <w:sz w:val="24"/>
              </w:rPr>
              <w:t>Kwoty ekspozycji ważonej ryzykiem</w:t>
            </w:r>
          </w:p>
        </w:tc>
      </w:tr>
    </w:tbl>
    <w:p w14:paraId="2D919E84" w14:textId="77777777" w:rsidR="005710A4" w:rsidRPr="00835753" w:rsidRDefault="005710A4" w:rsidP="005710A4">
      <w:pPr>
        <w:pStyle w:val="Titlelevel2"/>
        <w:spacing w:before="0"/>
        <w:rPr>
          <w:rFonts w:ascii="Times New Roman" w:hAnsi="Times New Roman" w:cs="Times New Roman"/>
          <w:b/>
          <w:color w:val="auto"/>
          <w:sz w:val="24"/>
        </w:rPr>
      </w:pPr>
    </w:p>
    <w:p w14:paraId="467AEA7F" w14:textId="07A70FF1" w:rsidR="005710A4" w:rsidRPr="00835753" w:rsidRDefault="00CD362D" w:rsidP="005710A4">
      <w:pPr>
        <w:pStyle w:val="Titlelevel2"/>
        <w:spacing w:before="0"/>
        <w:rPr>
          <w:rFonts w:ascii="Times New Roman" w:hAnsi="Times New Roman" w:cs="Times New Roman"/>
          <w:b/>
          <w:color w:val="auto"/>
          <w:sz w:val="24"/>
        </w:rPr>
      </w:pPr>
      <w:r w:rsidRPr="00835753">
        <w:rPr>
          <w:rFonts w:ascii="Times New Roman" w:hAnsi="Times New Roman"/>
          <w:b/>
          <w:color w:val="auto"/>
          <w:sz w:val="24"/>
        </w:rPr>
        <w:t xml:space="preserve">Wzór EU CCR8 – Ekspozycje wobec kontrahentów centralnych. </w:t>
      </w:r>
      <w:r w:rsidRPr="00835753">
        <w:rPr>
          <w:rFonts w:ascii="Times New Roman" w:hAnsi="Times New Roman"/>
          <w:color w:val="auto"/>
          <w:sz w:val="24"/>
        </w:rPr>
        <w:t>Format stały</w:t>
      </w:r>
      <w:r w:rsidRPr="00835753">
        <w:rPr>
          <w:rFonts w:ascii="Times New Roman" w:hAnsi="Times New Roman"/>
          <w:b/>
          <w:color w:val="auto"/>
          <w:sz w:val="24"/>
        </w:rPr>
        <w:t xml:space="preserve"> </w:t>
      </w:r>
    </w:p>
    <w:p w14:paraId="7482DAFB" w14:textId="16DBDEF6" w:rsidR="005710A4" w:rsidRPr="00835753"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35753">
        <w:rPr>
          <w:rFonts w:ascii="Times New Roman" w:hAnsi="Times New Roman"/>
          <w:bCs w:val="0"/>
          <w:color w:val="000000"/>
          <w:sz w:val="24"/>
        </w:rPr>
        <w:t>W celu wypełnienia wzoru EU CCR8 zamieszczonego</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ączniku XXV do niniejszego rozporządzenia wykonawczego instytucje ujawniają informacje,</w:t>
      </w:r>
      <w:r w:rsidR="00835753" w:rsidRPr="00835753">
        <w:rPr>
          <w:rFonts w:ascii="Times New Roman" w:hAnsi="Times New Roman"/>
          <w:bCs w:val="0"/>
          <w:color w:val="000000"/>
          <w:sz w:val="24"/>
        </w:rPr>
        <w:t xml:space="preserve"> </w:t>
      </w:r>
      <w:r w:rsidR="00835753" w:rsidRPr="00835753">
        <w:rPr>
          <w:rFonts w:ascii="Times New Roman" w:hAnsi="Times New Roman"/>
          <w:bCs w:val="0"/>
          <w:color w:val="000000"/>
          <w:sz w:val="24"/>
        </w:rPr>
        <w:lastRenderedPageBreak/>
        <w:t>o</w:t>
      </w:r>
      <w:r w:rsidR="00835753">
        <w:rPr>
          <w:rFonts w:ascii="Times New Roman" w:hAnsi="Times New Roman"/>
          <w:bCs w:val="0"/>
          <w:color w:val="000000"/>
          <w:sz w:val="24"/>
        </w:rPr>
        <w:t> </w:t>
      </w:r>
      <w:r w:rsidR="00835753" w:rsidRPr="00835753">
        <w:rPr>
          <w:rFonts w:ascii="Times New Roman" w:hAnsi="Times New Roman"/>
          <w:bCs w:val="0"/>
          <w:color w:val="000000"/>
          <w:sz w:val="24"/>
        </w:rPr>
        <w:t>któ</w:t>
      </w:r>
      <w:r w:rsidRPr="00835753">
        <w:rPr>
          <w:rFonts w:ascii="Times New Roman" w:hAnsi="Times New Roman"/>
          <w:bCs w:val="0"/>
          <w:color w:val="000000"/>
          <w:sz w:val="24"/>
        </w:rPr>
        <w:t>rych mowa</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439 lit.</w:t>
      </w:r>
      <w:r w:rsidR="00835753" w:rsidRPr="00835753">
        <w:rPr>
          <w:rFonts w:ascii="Times New Roman" w:hAnsi="Times New Roman"/>
          <w:bCs w:val="0"/>
          <w:color w:val="000000"/>
          <w:sz w:val="24"/>
        </w:rPr>
        <w:t> </w:t>
      </w:r>
      <w:r w:rsidRPr="00835753">
        <w:rPr>
          <w:rFonts w:ascii="Times New Roman" w:hAnsi="Times New Roman"/>
          <w:bCs w:val="0"/>
          <w:color w:val="000000"/>
          <w:sz w:val="24"/>
        </w:rPr>
        <w:t>i) CRR,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pon</w:t>
      </w:r>
      <w:r w:rsidRPr="00835753">
        <w:rPr>
          <w:rFonts w:ascii="Times New Roman" w:hAnsi="Times New Roman"/>
          <w:bCs w:val="0"/>
          <w:color w:val="000000"/>
          <w:sz w:val="24"/>
        </w:rPr>
        <w:t>iższymi instrukcjami zawartymi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załączniku.</w:t>
      </w:r>
    </w:p>
    <w:p w14:paraId="5B17CF03" w14:textId="15456917" w:rsidR="005710A4" w:rsidRPr="00835753" w:rsidRDefault="005710A4" w:rsidP="005710A4">
      <w:pPr>
        <w:pStyle w:val="Titlelevel2"/>
        <w:numPr>
          <w:ilvl w:val="0"/>
          <w:numId w:val="56"/>
        </w:numPr>
        <w:spacing w:before="0"/>
        <w:jc w:val="both"/>
        <w:rPr>
          <w:rFonts w:ascii="Times New Roman" w:hAnsi="Times New Roman"/>
          <w:b/>
          <w:color w:val="auto"/>
          <w:sz w:val="24"/>
        </w:rPr>
      </w:pPr>
      <w:r w:rsidRPr="00835753">
        <w:rPr>
          <w:rFonts w:ascii="Times New Roman" w:hAnsi="Times New Roman"/>
          <w:bCs w:val="0"/>
          <w:color w:val="000000"/>
          <w:sz w:val="24"/>
        </w:rPr>
        <w:t>Ekspozycje wobec kontrahentów centralnych: umowy</w:t>
      </w:r>
      <w:r w:rsidR="00835753" w:rsidRPr="00835753">
        <w:rPr>
          <w:rFonts w:ascii="Times New Roman" w:hAnsi="Times New Roman"/>
          <w:bCs w:val="0"/>
          <w:color w:val="000000"/>
          <w:sz w:val="24"/>
        </w:rPr>
        <w:t xml:space="preserve"> i</w:t>
      </w:r>
      <w:r w:rsidR="00835753">
        <w:rPr>
          <w:rFonts w:ascii="Times New Roman" w:hAnsi="Times New Roman"/>
          <w:bCs w:val="0"/>
          <w:color w:val="000000"/>
          <w:sz w:val="24"/>
        </w:rPr>
        <w:t> </w:t>
      </w:r>
      <w:r w:rsidR="00835753" w:rsidRPr="00835753">
        <w:rPr>
          <w:rFonts w:ascii="Times New Roman" w:hAnsi="Times New Roman"/>
          <w:bCs w:val="0"/>
          <w:color w:val="000000"/>
          <w:sz w:val="24"/>
        </w:rPr>
        <w:t>tra</w:t>
      </w:r>
      <w:r w:rsidRPr="00835753">
        <w:rPr>
          <w:rFonts w:ascii="Times New Roman" w:hAnsi="Times New Roman"/>
          <w:bCs w:val="0"/>
          <w:color w:val="000000"/>
          <w:sz w:val="24"/>
        </w:rPr>
        <w:t>nsakcje wymienione</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301 ust.</w:t>
      </w:r>
      <w:r w:rsidR="00835753" w:rsidRPr="00835753">
        <w:rPr>
          <w:rFonts w:ascii="Times New Roman" w:hAnsi="Times New Roman"/>
          <w:bCs w:val="0"/>
          <w:color w:val="000000"/>
          <w:sz w:val="24"/>
        </w:rPr>
        <w:t> </w:t>
      </w:r>
      <w:r w:rsidRPr="00835753">
        <w:rPr>
          <w:rFonts w:ascii="Times New Roman" w:hAnsi="Times New Roman"/>
          <w:bCs w:val="0"/>
          <w:color w:val="000000"/>
          <w:sz w:val="24"/>
        </w:rPr>
        <w:t>1 CRR przez cały okres, gdy pozostają one nierozliczone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kon</w:t>
      </w:r>
      <w:r w:rsidRPr="00835753">
        <w:rPr>
          <w:rFonts w:ascii="Times New Roman" w:hAnsi="Times New Roman"/>
          <w:bCs w:val="0"/>
          <w:color w:val="000000"/>
          <w:sz w:val="24"/>
        </w:rPr>
        <w:t>trahentem centralnym, uwzględniając ekspozycje wobec transakcji związanych</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kon</w:t>
      </w:r>
      <w:r w:rsidRPr="00835753">
        <w:rPr>
          <w:rFonts w:ascii="Times New Roman" w:hAnsi="Times New Roman"/>
          <w:bCs w:val="0"/>
          <w:color w:val="000000"/>
          <w:sz w:val="24"/>
        </w:rPr>
        <w:t>trahentami centralnymi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300 ust.</w:t>
      </w:r>
      <w:r w:rsidR="00835753" w:rsidRPr="00835753">
        <w:rPr>
          <w:rFonts w:ascii="Times New Roman" w:hAnsi="Times New Roman"/>
          <w:bCs w:val="0"/>
          <w:color w:val="000000"/>
          <w:sz w:val="24"/>
        </w:rPr>
        <w:t> </w:t>
      </w:r>
      <w:r w:rsidRPr="00835753">
        <w:rPr>
          <w:rFonts w:ascii="Times New Roman" w:hAnsi="Times New Roman"/>
          <w:bCs w:val="0"/>
          <w:color w:val="000000"/>
          <w:sz w:val="24"/>
        </w:rPr>
        <w:t>2 CRR,</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prz</w:t>
      </w:r>
      <w:r w:rsidRPr="00835753">
        <w:rPr>
          <w:rFonts w:ascii="Times New Roman" w:hAnsi="Times New Roman"/>
          <w:bCs w:val="0"/>
          <w:color w:val="000000"/>
          <w:sz w:val="24"/>
        </w:rPr>
        <w:t>ypadku których wymogi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zak</w:t>
      </w:r>
      <w:r w:rsidRPr="00835753">
        <w:rPr>
          <w:rFonts w:ascii="Times New Roman" w:hAnsi="Times New Roman"/>
          <w:bCs w:val="0"/>
          <w:color w:val="000000"/>
          <w:sz w:val="24"/>
        </w:rPr>
        <w:t>resie funduszy własnych oblicza się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czę</w:t>
      </w:r>
      <w:r w:rsidRPr="00835753">
        <w:rPr>
          <w:rFonts w:ascii="Times New Roman" w:hAnsi="Times New Roman"/>
          <w:bCs w:val="0"/>
          <w:color w:val="000000"/>
          <w:sz w:val="24"/>
        </w:rPr>
        <w:t xml:space="preserve">ścią trzecią tytuł II rozdział 6 sekcja 9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835753"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3A8DB3D3" w:rsidR="005710A4" w:rsidRPr="00835753" w:rsidRDefault="005710A4" w:rsidP="00155C96">
            <w:pPr>
              <w:spacing w:after="24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5710A4" w:rsidRPr="00835753" w14:paraId="6A42E7BB" w14:textId="77777777" w:rsidTr="00155C96">
        <w:trPr>
          <w:trHeight w:val="238"/>
        </w:trPr>
        <w:tc>
          <w:tcPr>
            <w:tcW w:w="1384" w:type="dxa"/>
            <w:shd w:val="clear" w:color="auto" w:fill="D9D9D9" w:themeFill="background1" w:themeFillShade="D9"/>
          </w:tcPr>
          <w:p w14:paraId="1651E34E" w14:textId="77777777" w:rsidR="005710A4" w:rsidRPr="00835753" w:rsidRDefault="005710A4" w:rsidP="00155C96">
            <w:pPr>
              <w:autoSpaceDE w:val="0"/>
              <w:autoSpaceDN w:val="0"/>
              <w:adjustRightInd w:val="0"/>
              <w:spacing w:after="24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5E89DF28" w14:textId="77777777" w:rsidR="005710A4" w:rsidRPr="00835753" w:rsidRDefault="005710A4" w:rsidP="00155C96">
            <w:pPr>
              <w:autoSpaceDE w:val="0"/>
              <w:autoSpaceDN w:val="0"/>
              <w:adjustRightInd w:val="0"/>
              <w:spacing w:after="240"/>
              <w:rPr>
                <w:rFonts w:ascii="Times New Roman" w:hAnsi="Times New Roman" w:cs="Times New Roman"/>
                <w:color w:val="000000"/>
                <w:sz w:val="24"/>
              </w:rPr>
            </w:pPr>
            <w:r w:rsidRPr="00835753">
              <w:rPr>
                <w:rFonts w:ascii="Times New Roman" w:hAnsi="Times New Roman"/>
                <w:b/>
                <w:sz w:val="24"/>
              </w:rPr>
              <w:t>Wyjaśnienie</w:t>
            </w:r>
          </w:p>
        </w:tc>
      </w:tr>
      <w:tr w:rsidR="005710A4" w:rsidRPr="00835753" w14:paraId="10377025" w14:textId="77777777" w:rsidTr="00155C96">
        <w:trPr>
          <w:trHeight w:val="680"/>
        </w:trPr>
        <w:tc>
          <w:tcPr>
            <w:tcW w:w="1384" w:type="dxa"/>
          </w:tcPr>
          <w:p w14:paraId="23C0E7D9" w14:textId="0F786C5D" w:rsidR="005710A4" w:rsidRPr="00835753" w:rsidRDefault="00F40A8B" w:rsidP="00BC5D5C">
            <w:pPr>
              <w:pStyle w:val="Applicationdirecte"/>
              <w:spacing w:before="0" w:after="240"/>
              <w:jc w:val="center"/>
            </w:pPr>
            <w:r w:rsidRPr="00835753">
              <w:t>1-10</w:t>
            </w:r>
          </w:p>
        </w:tc>
        <w:tc>
          <w:tcPr>
            <w:tcW w:w="7655" w:type="dxa"/>
            <w:vAlign w:val="center"/>
          </w:tcPr>
          <w:p w14:paraId="3A8B2D6C" w14:textId="6B1DE91F" w:rsidR="005710A4" w:rsidRPr="00835753" w:rsidRDefault="005710A4" w:rsidP="00155C96">
            <w:pPr>
              <w:keepNext/>
              <w:spacing w:after="240"/>
              <w:jc w:val="both"/>
              <w:rPr>
                <w:rFonts w:ascii="Times New Roman" w:eastAsia="Times New Roman" w:hAnsi="Times New Roman" w:cs="Times New Roman"/>
                <w:b/>
                <w:sz w:val="24"/>
              </w:rPr>
            </w:pPr>
            <w:r w:rsidRPr="00835753">
              <w:rPr>
                <w:rFonts w:ascii="Times New Roman" w:hAnsi="Times New Roman"/>
                <w:b/>
                <w:bCs/>
                <w:sz w:val="24"/>
              </w:rPr>
              <w:t xml:space="preserve">Kwalifikujący się kontrahent centralny </w:t>
            </w:r>
            <w:r w:rsidRPr="00835753">
              <w:rPr>
                <w:rFonts w:ascii="Times New Roman" w:hAnsi="Times New Roman"/>
                <w:b/>
                <w:sz w:val="24"/>
              </w:rPr>
              <w:t>(kwalifikujący się CCP)</w:t>
            </w:r>
          </w:p>
          <w:p w14:paraId="085A6DEA" w14:textId="0BB3EE4C" w:rsidR="005710A4" w:rsidRPr="00835753" w:rsidRDefault="005710A4" w:rsidP="00155C96">
            <w:pPr>
              <w:keepNext/>
              <w:spacing w:after="240"/>
              <w:jc w:val="both"/>
              <w:rPr>
                <w:rFonts w:ascii="Times New Roman" w:eastAsia="Times New Roman" w:hAnsi="Times New Roman" w:cs="Times New Roman"/>
                <w:sz w:val="24"/>
              </w:rPr>
            </w:pPr>
            <w:r w:rsidRPr="00835753">
              <w:rPr>
                <w:rFonts w:ascii="Times New Roman" w:hAnsi="Times New Roman"/>
                <w:sz w:val="24"/>
              </w:rPr>
              <w:t>Kwalifikujący się kontrahent centralny lub „kwalifikujący się CCP” zdefiniowany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 ust.</w:t>
            </w:r>
            <w:r w:rsidR="00835753" w:rsidRPr="00835753">
              <w:rPr>
                <w:rFonts w:ascii="Times New Roman" w:hAnsi="Times New Roman"/>
                <w:sz w:val="24"/>
              </w:rPr>
              <w:t> </w:t>
            </w:r>
            <w:r w:rsidRPr="00835753">
              <w:rPr>
                <w:rFonts w:ascii="Times New Roman" w:hAnsi="Times New Roman"/>
                <w:sz w:val="24"/>
              </w:rPr>
              <w:t>1 pkt</w:t>
            </w:r>
            <w:r w:rsidR="00835753" w:rsidRPr="00835753">
              <w:rPr>
                <w:rFonts w:ascii="Times New Roman" w:hAnsi="Times New Roman"/>
                <w:sz w:val="24"/>
              </w:rPr>
              <w:t> </w:t>
            </w:r>
            <w:r w:rsidRPr="00835753">
              <w:rPr>
                <w:rFonts w:ascii="Times New Roman" w:hAnsi="Times New Roman"/>
                <w:sz w:val="24"/>
              </w:rPr>
              <w:t>88 CRR.</w:t>
            </w:r>
          </w:p>
        </w:tc>
      </w:tr>
      <w:tr w:rsidR="005710A4" w:rsidRPr="00835753" w14:paraId="55CACFD0" w14:textId="77777777" w:rsidTr="00155C96">
        <w:trPr>
          <w:trHeight w:val="680"/>
        </w:trPr>
        <w:tc>
          <w:tcPr>
            <w:tcW w:w="1384" w:type="dxa"/>
          </w:tcPr>
          <w:p w14:paraId="39D5EF84" w14:textId="0A67D158" w:rsidR="005710A4" w:rsidRPr="00835753" w:rsidRDefault="00F40A8B" w:rsidP="00BC5D5C">
            <w:pPr>
              <w:pStyle w:val="Applicationdirecte"/>
              <w:spacing w:before="0" w:after="240"/>
              <w:jc w:val="center"/>
            </w:pPr>
            <w:r w:rsidRPr="00835753">
              <w:t>7</w:t>
            </w:r>
            <w:r w:rsidR="00835753" w:rsidRPr="00835753">
              <w:t xml:space="preserve"> i</w:t>
            </w:r>
            <w:r w:rsidR="00835753">
              <w:t> </w:t>
            </w:r>
            <w:r w:rsidR="00835753" w:rsidRPr="00835753">
              <w:t>8</w:t>
            </w:r>
          </w:p>
          <w:p w14:paraId="5F527E02" w14:textId="3B00E69B" w:rsidR="005710A4" w:rsidRPr="00835753" w:rsidRDefault="00F40A8B" w:rsidP="00BC5D5C">
            <w:pPr>
              <w:pStyle w:val="Fait"/>
              <w:spacing w:before="0" w:after="240"/>
              <w:jc w:val="center"/>
            </w:pPr>
            <w:r w:rsidRPr="00835753">
              <w:t>17</w:t>
            </w:r>
            <w:r w:rsidR="00835753" w:rsidRPr="00835753">
              <w:t xml:space="preserve"> i</w:t>
            </w:r>
            <w:r w:rsidR="00835753">
              <w:t> </w:t>
            </w:r>
            <w:r w:rsidR="00835753" w:rsidRPr="00835753">
              <w:t>1</w:t>
            </w:r>
            <w:r w:rsidRPr="00835753">
              <w:t>8</w:t>
            </w:r>
          </w:p>
        </w:tc>
        <w:tc>
          <w:tcPr>
            <w:tcW w:w="7655" w:type="dxa"/>
            <w:vAlign w:val="center"/>
          </w:tcPr>
          <w:p w14:paraId="7AB8F182" w14:textId="457543FF" w:rsidR="005710A4" w:rsidRPr="00835753" w:rsidRDefault="005710A4" w:rsidP="00155C96">
            <w:pPr>
              <w:keepNext/>
              <w:spacing w:after="240"/>
              <w:jc w:val="both"/>
              <w:rPr>
                <w:rFonts w:ascii="Times New Roman" w:eastAsia="Times New Roman" w:hAnsi="Times New Roman" w:cs="Times New Roman"/>
                <w:b/>
                <w:bCs/>
                <w:sz w:val="24"/>
              </w:rPr>
            </w:pPr>
            <w:r w:rsidRPr="00835753">
              <w:rPr>
                <w:rFonts w:ascii="Times New Roman" w:hAnsi="Times New Roman"/>
                <w:b/>
                <w:bCs/>
                <w:sz w:val="24"/>
              </w:rPr>
              <w:t>Początkowy depozyt zabezpieczający</w:t>
            </w:r>
          </w:p>
          <w:p w14:paraId="2415FFD0" w14:textId="68B9E40D" w:rsidR="005710A4" w:rsidRPr="00835753" w:rsidRDefault="005710A4" w:rsidP="00155C96">
            <w:pPr>
              <w:keepNext/>
              <w:spacing w:after="240"/>
              <w:jc w:val="both"/>
              <w:rPr>
                <w:rFonts w:ascii="Times New Roman" w:eastAsia="Times New Roman" w:hAnsi="Times New Roman" w:cs="Times New Roman"/>
                <w:sz w:val="24"/>
              </w:rPr>
            </w:pPr>
            <w:r w:rsidRPr="00835753">
              <w:rPr>
                <w:rFonts w:ascii="Times New Roman" w:hAnsi="Times New Roman"/>
                <w:sz w:val="24"/>
              </w:rPr>
              <w:t>Instytucje ujawniają wartości godziwe zabezpieczenia otrzymanego lub udzielonego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taci początkowego depozytu zabezpieczającego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def</w:t>
            </w:r>
            <w:r w:rsidRPr="00835753">
              <w:rPr>
                <w:rFonts w:ascii="Times New Roman" w:hAnsi="Times New Roman"/>
                <w:sz w:val="24"/>
              </w:rPr>
              <w:t>inicją ustanowioną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 ust.</w:t>
            </w:r>
            <w:r w:rsidR="00835753" w:rsidRPr="00835753">
              <w:rPr>
                <w:rFonts w:ascii="Times New Roman" w:hAnsi="Times New Roman"/>
                <w:sz w:val="24"/>
              </w:rPr>
              <w:t> </w:t>
            </w:r>
            <w:r w:rsidRPr="00835753">
              <w:rPr>
                <w:rFonts w:ascii="Times New Roman" w:hAnsi="Times New Roman"/>
                <w:sz w:val="24"/>
              </w:rPr>
              <w:t>1 pkt</w:t>
            </w:r>
            <w:r w:rsidR="00835753" w:rsidRPr="00835753">
              <w:rPr>
                <w:rFonts w:ascii="Times New Roman" w:hAnsi="Times New Roman"/>
                <w:sz w:val="24"/>
              </w:rPr>
              <w:t> </w:t>
            </w:r>
            <w:r w:rsidRPr="00835753">
              <w:rPr>
                <w:rFonts w:ascii="Times New Roman" w:hAnsi="Times New Roman"/>
                <w:sz w:val="24"/>
              </w:rPr>
              <w:t>140 CRR.</w:t>
            </w:r>
          </w:p>
          <w:p w14:paraId="7B03A481" w14:textId="2D78C86A" w:rsidR="005710A4" w:rsidRPr="00835753" w:rsidRDefault="005710A4" w:rsidP="00155C96">
            <w:pPr>
              <w:keepNext/>
              <w:spacing w:after="240"/>
              <w:jc w:val="both"/>
              <w:rPr>
                <w:rFonts w:ascii="Times New Roman" w:eastAsia="Times New Roman" w:hAnsi="Times New Roman" w:cs="Times New Roman"/>
                <w:i/>
                <w:sz w:val="24"/>
              </w:rPr>
            </w:pPr>
            <w:r w:rsidRPr="00835753">
              <w:rPr>
                <w:rFonts w:ascii="Times New Roman" w:hAnsi="Times New Roman"/>
                <w:sz w:val="24"/>
              </w:rPr>
              <w:t>Do celów niniejszego wzoru początkowy depozyt zabezpieczający nie obejmuje wkładów na rzecz kontrahenta centralnego wnoszonych na potrzeby uwspólnionych uzgodnień dotyczących podziału strat (tj.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 xml:space="preserve">ypadkach, gdy kontrahent centralny wykorzystuje początkowy depozyt zabezpieczający do uwspólniania strat między uczestnikami rozliczającym, taki wkład będzie traktowany jako ekspozycja wobec funduszu na wypadek niewykonania zobowiązania). </w:t>
            </w:r>
          </w:p>
        </w:tc>
      </w:tr>
      <w:tr w:rsidR="005710A4" w:rsidRPr="00835753" w14:paraId="468FD103" w14:textId="77777777" w:rsidTr="00155C96">
        <w:trPr>
          <w:trHeight w:val="680"/>
        </w:trPr>
        <w:tc>
          <w:tcPr>
            <w:tcW w:w="1384" w:type="dxa"/>
          </w:tcPr>
          <w:p w14:paraId="60934E94" w14:textId="1F52A968" w:rsidR="005710A4" w:rsidRPr="00835753" w:rsidRDefault="00F40A8B" w:rsidP="00BC5D5C">
            <w:pPr>
              <w:pStyle w:val="Applicationdirecte"/>
              <w:spacing w:before="0" w:after="240"/>
              <w:jc w:val="center"/>
            </w:pPr>
            <w:r w:rsidRPr="00835753">
              <w:t>9</w:t>
            </w:r>
            <w:r w:rsidR="00835753" w:rsidRPr="00835753">
              <w:t xml:space="preserve"> i</w:t>
            </w:r>
            <w:r w:rsidR="00835753">
              <w:t> </w:t>
            </w:r>
            <w:r w:rsidR="00835753" w:rsidRPr="00835753">
              <w:t>1</w:t>
            </w:r>
            <w:r w:rsidRPr="00835753">
              <w:t>9</w:t>
            </w:r>
          </w:p>
        </w:tc>
        <w:tc>
          <w:tcPr>
            <w:tcW w:w="7655" w:type="dxa"/>
            <w:vAlign w:val="center"/>
          </w:tcPr>
          <w:p w14:paraId="0E3A72D0" w14:textId="009C381A" w:rsidR="005710A4" w:rsidRPr="00835753" w:rsidRDefault="005710A4" w:rsidP="00155C96">
            <w:pPr>
              <w:keepNext/>
              <w:spacing w:after="240"/>
              <w:jc w:val="both"/>
              <w:rPr>
                <w:rFonts w:ascii="Times New Roman" w:eastAsia="Times New Roman" w:hAnsi="Times New Roman" w:cs="Times New Roman"/>
                <w:b/>
                <w:sz w:val="24"/>
              </w:rPr>
            </w:pPr>
            <w:r w:rsidRPr="00835753">
              <w:rPr>
                <w:rFonts w:ascii="Times New Roman" w:hAnsi="Times New Roman"/>
                <w:b/>
                <w:sz w:val="24"/>
              </w:rPr>
              <w:t>Wniesione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gór</w:t>
            </w:r>
            <w:r w:rsidRPr="00835753">
              <w:rPr>
                <w:rFonts w:ascii="Times New Roman" w:hAnsi="Times New Roman"/>
                <w:b/>
                <w:sz w:val="24"/>
              </w:rPr>
              <w:t>y wkłady do funduszu na wypadek niewykonania zobowiązania</w:t>
            </w:r>
          </w:p>
          <w:p w14:paraId="73535061" w14:textId="77777777" w:rsidR="005710A4" w:rsidRPr="00835753" w:rsidRDefault="005710A4" w:rsidP="00155C96">
            <w:pPr>
              <w:keepNext/>
              <w:spacing w:after="240"/>
              <w:jc w:val="both"/>
              <w:rPr>
                <w:rFonts w:ascii="Times New Roman" w:eastAsia="Times New Roman" w:hAnsi="Times New Roman" w:cs="Times New Roman"/>
                <w:sz w:val="24"/>
              </w:rPr>
            </w:pPr>
            <w:r w:rsidRPr="00835753">
              <w:rPr>
                <w:rFonts w:ascii="Times New Roman" w:hAnsi="Times New Roman"/>
                <w:sz w:val="24"/>
              </w:rPr>
              <w:t>Wkład do funduszu kontrahenta centralnego na wypadek niewykonania zobowiązania wnoszony przez instytucje.</w:t>
            </w:r>
          </w:p>
          <w:p w14:paraId="5E3F89A1" w14:textId="4CE0CFC6" w:rsidR="005710A4" w:rsidRPr="00835753" w:rsidRDefault="005710A4" w:rsidP="00155C96">
            <w:pPr>
              <w:keepNext/>
              <w:spacing w:after="240"/>
              <w:jc w:val="both"/>
              <w:rPr>
                <w:rFonts w:ascii="Times New Roman" w:eastAsia="Times New Roman" w:hAnsi="Times New Roman" w:cs="Times New Roman"/>
                <w:sz w:val="24"/>
              </w:rPr>
            </w:pPr>
            <w:r w:rsidRPr="00835753">
              <w:rPr>
                <w:rFonts w:ascii="Times New Roman" w:hAnsi="Times New Roman"/>
                <w:sz w:val="24"/>
              </w:rPr>
              <w:t>„Fundusz na wypadek niewykonania zobowiązania” został zdefiniowany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 ust.</w:t>
            </w:r>
            <w:r w:rsidR="00835753" w:rsidRPr="00835753">
              <w:rPr>
                <w:rFonts w:ascii="Times New Roman" w:hAnsi="Times New Roman"/>
                <w:sz w:val="24"/>
              </w:rPr>
              <w:t> </w:t>
            </w:r>
            <w:r w:rsidRPr="00835753">
              <w:rPr>
                <w:rFonts w:ascii="Times New Roman" w:hAnsi="Times New Roman"/>
                <w:sz w:val="24"/>
              </w:rPr>
              <w:t>1 pkt</w:t>
            </w:r>
            <w:r w:rsidR="00835753" w:rsidRPr="00835753">
              <w:rPr>
                <w:rFonts w:ascii="Times New Roman" w:hAnsi="Times New Roman"/>
                <w:sz w:val="24"/>
              </w:rPr>
              <w:t> </w:t>
            </w:r>
            <w:r w:rsidRPr="00835753">
              <w:rPr>
                <w:rFonts w:ascii="Times New Roman" w:hAnsi="Times New Roman"/>
                <w:sz w:val="24"/>
              </w:rPr>
              <w:t>89 CRR.</w:t>
            </w:r>
          </w:p>
        </w:tc>
      </w:tr>
      <w:tr w:rsidR="005710A4" w:rsidRPr="00835753" w14:paraId="2270D95C" w14:textId="77777777" w:rsidTr="00155C96">
        <w:trPr>
          <w:trHeight w:val="680"/>
        </w:trPr>
        <w:tc>
          <w:tcPr>
            <w:tcW w:w="1384" w:type="dxa"/>
          </w:tcPr>
          <w:p w14:paraId="16522CAB" w14:textId="76E2E973" w:rsidR="005710A4" w:rsidRPr="00835753" w:rsidRDefault="00F40A8B" w:rsidP="00BC5D5C">
            <w:pPr>
              <w:pStyle w:val="Applicationdirecte"/>
              <w:spacing w:before="0" w:after="240"/>
              <w:jc w:val="center"/>
            </w:pPr>
            <w:r w:rsidRPr="00835753">
              <w:t>20</w:t>
            </w:r>
          </w:p>
        </w:tc>
        <w:tc>
          <w:tcPr>
            <w:tcW w:w="7655" w:type="dxa"/>
            <w:vAlign w:val="center"/>
          </w:tcPr>
          <w:p w14:paraId="69886805" w14:textId="6AE9204F" w:rsidR="005710A4" w:rsidRPr="00835753" w:rsidRDefault="005710A4" w:rsidP="00155C96">
            <w:pPr>
              <w:keepNext/>
              <w:spacing w:after="240"/>
              <w:jc w:val="both"/>
              <w:rPr>
                <w:rFonts w:ascii="Times New Roman" w:eastAsia="Times New Roman" w:hAnsi="Times New Roman" w:cs="Times New Roman"/>
                <w:b/>
                <w:sz w:val="24"/>
              </w:rPr>
            </w:pPr>
            <w:r w:rsidRPr="00835753">
              <w:rPr>
                <w:rFonts w:ascii="Times New Roman" w:hAnsi="Times New Roman"/>
                <w:b/>
                <w:sz w:val="24"/>
              </w:rPr>
              <w:t>Niewniesione wkłady do funduszu na wypadek niewykonania zobowiązania</w:t>
            </w:r>
          </w:p>
          <w:p w14:paraId="310B8818" w14:textId="0C9CCC70" w:rsidR="005710A4" w:rsidRPr="00835753" w:rsidRDefault="005710A4" w:rsidP="00155C96">
            <w:pPr>
              <w:keepNext/>
              <w:spacing w:after="240"/>
              <w:jc w:val="both"/>
              <w:rPr>
                <w:rFonts w:ascii="Times New Roman" w:eastAsia="Times New Roman" w:hAnsi="Times New Roman" w:cs="Times New Roman"/>
                <w:sz w:val="24"/>
              </w:rPr>
            </w:pPr>
            <w:r w:rsidRPr="00835753">
              <w:rPr>
                <w:rFonts w:ascii="Times New Roman" w:hAnsi="Times New Roman"/>
                <w:sz w:val="24"/>
              </w:rPr>
              <w:t>Wkłady, które instytucja pełniąca rolę uczestnika rozliczającego na mocy umowy zobowiązała się przekazać na rzecz kontrahenta centralnego po wyczerpaniu przez niego jego funduszu na wypadek niewykonania zobowiązania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pokrycia strat, które kontrahent ten poniósł</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wyn</w:t>
            </w:r>
            <w:r w:rsidRPr="00835753">
              <w:rPr>
                <w:rFonts w:ascii="Times New Roman" w:hAnsi="Times New Roman"/>
                <w:sz w:val="24"/>
              </w:rPr>
              <w:t xml:space="preserve">iku </w:t>
            </w:r>
            <w:r w:rsidRPr="00835753">
              <w:rPr>
                <w:rFonts w:ascii="Times New Roman" w:hAnsi="Times New Roman"/>
                <w:sz w:val="24"/>
              </w:rPr>
              <w:lastRenderedPageBreak/>
              <w:t>niewykonania zobowiązania przez jednego ze swoich uczestników rozliczających lub przez większą liczbę swoich uczestników rozliczających. „Fundusz na wypadek niewykonania zobowiązania” został zdefiniowany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 ust.</w:t>
            </w:r>
            <w:r w:rsidR="00835753" w:rsidRPr="00835753">
              <w:rPr>
                <w:rFonts w:ascii="Times New Roman" w:hAnsi="Times New Roman"/>
                <w:sz w:val="24"/>
              </w:rPr>
              <w:t> </w:t>
            </w:r>
            <w:r w:rsidRPr="00835753">
              <w:rPr>
                <w:rFonts w:ascii="Times New Roman" w:hAnsi="Times New Roman"/>
                <w:sz w:val="24"/>
              </w:rPr>
              <w:t>1 pkt</w:t>
            </w:r>
            <w:r w:rsidR="00835753" w:rsidRPr="00835753">
              <w:rPr>
                <w:rFonts w:ascii="Times New Roman" w:hAnsi="Times New Roman"/>
                <w:sz w:val="24"/>
              </w:rPr>
              <w:t> </w:t>
            </w:r>
            <w:r w:rsidRPr="00835753">
              <w:rPr>
                <w:rFonts w:ascii="Times New Roman" w:hAnsi="Times New Roman"/>
                <w:sz w:val="24"/>
              </w:rPr>
              <w:t>89 CRR.</w:t>
            </w:r>
          </w:p>
        </w:tc>
      </w:tr>
      <w:tr w:rsidR="005710A4" w:rsidRPr="00835753" w14:paraId="3DB8D08A" w14:textId="77777777" w:rsidTr="00155C96">
        <w:trPr>
          <w:trHeight w:val="680"/>
        </w:trPr>
        <w:tc>
          <w:tcPr>
            <w:tcW w:w="1384" w:type="dxa"/>
          </w:tcPr>
          <w:p w14:paraId="5E4F73B0" w14:textId="081C62A3" w:rsidR="005710A4" w:rsidRPr="00835753" w:rsidRDefault="00F40A8B" w:rsidP="00BC5D5C">
            <w:pPr>
              <w:pStyle w:val="Applicationdirecte"/>
              <w:spacing w:before="0" w:after="240"/>
              <w:jc w:val="center"/>
            </w:pPr>
            <w:r w:rsidRPr="00835753">
              <w:lastRenderedPageBreak/>
              <w:t>7</w:t>
            </w:r>
            <w:r w:rsidR="00835753" w:rsidRPr="00835753">
              <w:t xml:space="preserve"> i</w:t>
            </w:r>
            <w:r w:rsidR="00835753">
              <w:t> </w:t>
            </w:r>
            <w:r w:rsidR="00835753" w:rsidRPr="00835753">
              <w:t>1</w:t>
            </w:r>
            <w:r w:rsidRPr="00835753">
              <w:t>7</w:t>
            </w:r>
          </w:p>
        </w:tc>
        <w:tc>
          <w:tcPr>
            <w:tcW w:w="7655" w:type="dxa"/>
            <w:vAlign w:val="center"/>
          </w:tcPr>
          <w:p w14:paraId="29161BE7" w14:textId="09DE421A" w:rsidR="005710A4" w:rsidRPr="00835753" w:rsidRDefault="005710A4" w:rsidP="00155C96">
            <w:pPr>
              <w:spacing w:after="240"/>
              <w:jc w:val="both"/>
              <w:rPr>
                <w:rFonts w:ascii="Times New Roman" w:eastAsia="Calibri" w:hAnsi="Times New Roman" w:cs="Times New Roman"/>
                <w:b/>
                <w:sz w:val="24"/>
              </w:rPr>
            </w:pPr>
            <w:r w:rsidRPr="00835753">
              <w:rPr>
                <w:rFonts w:ascii="Times New Roman" w:hAnsi="Times New Roman"/>
                <w:b/>
                <w:sz w:val="24"/>
              </w:rPr>
              <w:t>Wyodrębnione</w:t>
            </w:r>
          </w:p>
          <w:p w14:paraId="50393526" w14:textId="672204C8" w:rsidR="005710A4" w:rsidRPr="00835753" w:rsidRDefault="005710A4" w:rsidP="00155C96">
            <w:pPr>
              <w:spacing w:after="240"/>
              <w:jc w:val="both"/>
              <w:rPr>
                <w:rFonts w:ascii="Times New Roman" w:eastAsia="Calibri" w:hAnsi="Times New Roman" w:cs="Times New Roman"/>
                <w:sz w:val="24"/>
              </w:rPr>
            </w:pPr>
            <w:r w:rsidRPr="00835753">
              <w:rPr>
                <w:rFonts w:ascii="Times New Roman" w:hAnsi="Times New Roman"/>
                <w:sz w:val="24"/>
              </w:rPr>
              <w:t>Zob. definicja zawarta we wzorze EU CCR5.</w:t>
            </w:r>
          </w:p>
        </w:tc>
      </w:tr>
      <w:tr w:rsidR="005710A4" w:rsidRPr="00835753" w14:paraId="16586377" w14:textId="77777777" w:rsidTr="00155C96">
        <w:trPr>
          <w:trHeight w:val="680"/>
        </w:trPr>
        <w:tc>
          <w:tcPr>
            <w:tcW w:w="1384" w:type="dxa"/>
          </w:tcPr>
          <w:p w14:paraId="762520E3" w14:textId="3AA7F078" w:rsidR="005710A4" w:rsidRPr="00835753" w:rsidRDefault="00F40A8B" w:rsidP="00BC5D5C">
            <w:pPr>
              <w:pStyle w:val="Applicationdirecte"/>
              <w:spacing w:before="0" w:after="240"/>
              <w:jc w:val="center"/>
            </w:pPr>
            <w:r w:rsidRPr="00835753">
              <w:t>8</w:t>
            </w:r>
            <w:r w:rsidR="00835753" w:rsidRPr="00835753">
              <w:t xml:space="preserve"> i</w:t>
            </w:r>
            <w:r w:rsidR="00835753">
              <w:t> </w:t>
            </w:r>
            <w:r w:rsidR="00835753" w:rsidRPr="00835753">
              <w:t>1</w:t>
            </w:r>
            <w:r w:rsidRPr="00835753">
              <w:t>8</w:t>
            </w:r>
          </w:p>
        </w:tc>
        <w:tc>
          <w:tcPr>
            <w:tcW w:w="7655" w:type="dxa"/>
            <w:vAlign w:val="center"/>
          </w:tcPr>
          <w:p w14:paraId="096B8DBE" w14:textId="26151CFC" w:rsidR="005710A4" w:rsidRPr="00835753" w:rsidRDefault="005710A4" w:rsidP="00155C96">
            <w:pPr>
              <w:spacing w:after="240"/>
              <w:jc w:val="both"/>
              <w:rPr>
                <w:rFonts w:ascii="Times New Roman" w:eastAsia="Calibri" w:hAnsi="Times New Roman" w:cs="Times New Roman"/>
                <w:b/>
                <w:sz w:val="24"/>
              </w:rPr>
            </w:pPr>
            <w:r w:rsidRPr="00835753">
              <w:rPr>
                <w:rFonts w:ascii="Times New Roman" w:hAnsi="Times New Roman"/>
                <w:b/>
                <w:sz w:val="24"/>
              </w:rPr>
              <w:t>Niewyodrębnione</w:t>
            </w:r>
          </w:p>
          <w:p w14:paraId="7E296D70" w14:textId="5CF5909D" w:rsidR="005710A4" w:rsidRPr="00835753" w:rsidRDefault="005710A4" w:rsidP="00155C96">
            <w:pPr>
              <w:spacing w:after="240"/>
              <w:jc w:val="both"/>
              <w:rPr>
                <w:rFonts w:ascii="Times New Roman" w:eastAsia="Calibri" w:hAnsi="Times New Roman" w:cs="Times New Roman"/>
                <w:sz w:val="24"/>
              </w:rPr>
            </w:pPr>
            <w:r w:rsidRPr="00835753">
              <w:rPr>
                <w:rFonts w:ascii="Times New Roman" w:hAnsi="Times New Roman"/>
                <w:sz w:val="24"/>
              </w:rPr>
              <w:t>Zob. definicja zawarta we wzorze EU CCR5.</w:t>
            </w:r>
          </w:p>
        </w:tc>
      </w:tr>
      <w:tr w:rsidR="005710A4" w:rsidRPr="00835753"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835753" w:rsidRDefault="005710A4" w:rsidP="00BC5D5C">
            <w:pPr>
              <w:pStyle w:val="Applicationdirecte"/>
              <w:spacing w:before="0" w:after="240"/>
              <w:jc w:val="center"/>
              <w:rPr>
                <w:b/>
              </w:rPr>
            </w:pPr>
            <w:r w:rsidRPr="00835753">
              <w:rPr>
                <w:b/>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835753" w:rsidRDefault="005710A4" w:rsidP="00155C96">
            <w:pPr>
              <w:pStyle w:val="TableMainHeading"/>
              <w:spacing w:before="0" w:after="240"/>
              <w:rPr>
                <w:rFonts w:ascii="Times New Roman" w:hAnsi="Times New Roman"/>
                <w:b/>
                <w:sz w:val="24"/>
                <w:szCs w:val="24"/>
              </w:rPr>
            </w:pPr>
            <w:r w:rsidRPr="00835753">
              <w:rPr>
                <w:rFonts w:ascii="Times New Roman" w:hAnsi="Times New Roman"/>
                <w:b/>
                <w:sz w:val="24"/>
                <w:szCs w:val="24"/>
              </w:rPr>
              <w:t>Wyjaśnienie</w:t>
            </w:r>
          </w:p>
        </w:tc>
      </w:tr>
      <w:tr w:rsidR="005710A4" w:rsidRPr="00835753" w14:paraId="321B8E92" w14:textId="77777777" w:rsidTr="00155C96">
        <w:trPr>
          <w:trHeight w:val="680"/>
        </w:trPr>
        <w:tc>
          <w:tcPr>
            <w:tcW w:w="1384" w:type="dxa"/>
          </w:tcPr>
          <w:p w14:paraId="0790A097" w14:textId="5CB523B9" w:rsidR="005710A4" w:rsidRPr="00835753" w:rsidRDefault="00F40A8B" w:rsidP="00BC5D5C">
            <w:pPr>
              <w:pStyle w:val="Applicationdirecte"/>
              <w:spacing w:before="0" w:after="240"/>
              <w:jc w:val="center"/>
            </w:pPr>
            <w:proofErr w:type="gramStart"/>
            <w:r w:rsidRPr="00835753">
              <w:t>a</w:t>
            </w:r>
            <w:proofErr w:type="gramEnd"/>
            <w:r w:rsidRPr="00835753">
              <w:t>)</w:t>
            </w:r>
          </w:p>
        </w:tc>
        <w:tc>
          <w:tcPr>
            <w:tcW w:w="7655" w:type="dxa"/>
            <w:vAlign w:val="center"/>
          </w:tcPr>
          <w:p w14:paraId="526D821E" w14:textId="5F6E4255" w:rsidR="005710A4" w:rsidRPr="00835753" w:rsidRDefault="005710A4" w:rsidP="00155C96">
            <w:pPr>
              <w:keepNext/>
              <w:spacing w:after="240"/>
              <w:jc w:val="both"/>
              <w:rPr>
                <w:rFonts w:ascii="Times New Roman" w:eastAsia="Times New Roman" w:hAnsi="Times New Roman" w:cs="Times New Roman"/>
                <w:b/>
                <w:sz w:val="24"/>
              </w:rPr>
            </w:pPr>
            <w:r w:rsidRPr="00835753">
              <w:rPr>
                <w:rFonts w:ascii="Times New Roman" w:hAnsi="Times New Roman"/>
                <w:b/>
                <w:sz w:val="24"/>
              </w:rPr>
              <w:t>Wartość ekspozycji</w:t>
            </w:r>
          </w:p>
          <w:p w14:paraId="4E259AC1" w14:textId="560396A0" w:rsidR="005710A4" w:rsidRPr="00835753" w:rsidRDefault="005710A4" w:rsidP="00155C96">
            <w:pPr>
              <w:keepNext/>
              <w:spacing w:after="240"/>
              <w:jc w:val="both"/>
              <w:rPr>
                <w:rFonts w:ascii="Times New Roman" w:eastAsia="Times New Roman" w:hAnsi="Times New Roman" w:cs="Times New Roman"/>
                <w:sz w:val="24"/>
              </w:rPr>
            </w:pPr>
            <w:r w:rsidRPr="00835753">
              <w:rPr>
                <w:rFonts w:ascii="Times New Roman" w:hAnsi="Times New Roman"/>
                <w:sz w:val="24"/>
              </w:rPr>
              <w:t>Wartość ekspozycji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odami ustanowionymi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II rozdziały 4</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6</w:t>
            </w:r>
            <w:r w:rsidRPr="00835753">
              <w:rPr>
                <w:rFonts w:ascii="Times New Roman" w:hAnsi="Times New Roman"/>
                <w:sz w:val="24"/>
              </w:rPr>
              <w:t xml:space="preserve"> CRR dla transakcji wchodzących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 części trzeciej tytuł II rozdział 6 sekcja 9 CRR po dokonaniu odpowiednich korekt przewidzianych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304, 306</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3</w:t>
            </w:r>
            <w:r w:rsidRPr="00835753">
              <w:rPr>
                <w:rFonts w:ascii="Times New Roman" w:hAnsi="Times New Roman"/>
                <w:sz w:val="24"/>
              </w:rPr>
              <w:t xml:space="preserve">08 tej sekcji. </w:t>
            </w:r>
          </w:p>
          <w:p w14:paraId="13AEC07F" w14:textId="5D5E5C60" w:rsidR="005710A4" w:rsidRPr="00835753" w:rsidRDefault="005710A4" w:rsidP="00155C96">
            <w:pPr>
              <w:keepNext/>
              <w:spacing w:after="240"/>
              <w:jc w:val="both"/>
              <w:rPr>
                <w:rFonts w:ascii="Times New Roman" w:eastAsia="Times New Roman" w:hAnsi="Times New Roman" w:cs="Times New Roman"/>
                <w:i/>
                <w:sz w:val="24"/>
              </w:rPr>
            </w:pPr>
            <w:r w:rsidRPr="00835753">
              <w:rPr>
                <w:rFonts w:ascii="Times New Roman" w:hAnsi="Times New Roman"/>
                <w:sz w:val="24"/>
              </w:rPr>
              <w:t>Ekspozycja może być ekspozycją</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transakcji zdefiniowaną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 ust.</w:t>
            </w:r>
            <w:r w:rsidR="00835753" w:rsidRPr="00835753">
              <w:rPr>
                <w:rFonts w:ascii="Times New Roman" w:hAnsi="Times New Roman"/>
                <w:sz w:val="24"/>
              </w:rPr>
              <w:t> </w:t>
            </w:r>
            <w:r w:rsidRPr="00835753">
              <w:rPr>
                <w:rFonts w:ascii="Times New Roman" w:hAnsi="Times New Roman"/>
                <w:sz w:val="24"/>
              </w:rPr>
              <w:t>1 pkt</w:t>
            </w:r>
            <w:r w:rsidR="00835753" w:rsidRPr="00835753">
              <w:rPr>
                <w:rFonts w:ascii="Times New Roman" w:hAnsi="Times New Roman"/>
                <w:sz w:val="24"/>
              </w:rPr>
              <w:t> </w:t>
            </w:r>
            <w:r w:rsidRPr="00835753">
              <w:rPr>
                <w:rFonts w:ascii="Times New Roman" w:hAnsi="Times New Roman"/>
                <w:sz w:val="24"/>
              </w:rPr>
              <w:t>91 CRR. Ujawniona wartość ekspozycji odpowiada kwocie istotnej</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pun</w:t>
            </w:r>
            <w:r w:rsidRPr="00835753">
              <w:rPr>
                <w:rFonts w:ascii="Times New Roman" w:hAnsi="Times New Roman"/>
                <w:sz w:val="24"/>
              </w:rPr>
              <w:t>ktu widzenia obliczeń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przeprowadzanych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6 sekcja 9 CRR, biorąc pod uwagę wymogi ustanowione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497 CRR obowiązujące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przejściowym wyznaczonym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artykule.</w:t>
            </w:r>
          </w:p>
        </w:tc>
      </w:tr>
      <w:tr w:rsidR="005710A4" w:rsidRPr="00835753" w14:paraId="1E953D3B" w14:textId="77777777" w:rsidTr="00155C96">
        <w:trPr>
          <w:trHeight w:val="680"/>
        </w:trPr>
        <w:tc>
          <w:tcPr>
            <w:tcW w:w="1384" w:type="dxa"/>
          </w:tcPr>
          <w:p w14:paraId="663946FC" w14:textId="6141820A" w:rsidR="005710A4" w:rsidRPr="00835753" w:rsidRDefault="00F40A8B" w:rsidP="00BC5D5C">
            <w:pPr>
              <w:pStyle w:val="Applicationdirecte"/>
              <w:spacing w:before="0" w:after="240"/>
              <w:jc w:val="center"/>
            </w:pPr>
            <w:proofErr w:type="gramStart"/>
            <w:r w:rsidRPr="00835753">
              <w:t>b</w:t>
            </w:r>
            <w:proofErr w:type="gramEnd"/>
            <w:r w:rsidRPr="00835753">
              <w:t>)</w:t>
            </w:r>
          </w:p>
        </w:tc>
        <w:tc>
          <w:tcPr>
            <w:tcW w:w="7655" w:type="dxa"/>
            <w:vAlign w:val="center"/>
          </w:tcPr>
          <w:p w14:paraId="3E652A7B" w14:textId="77777777" w:rsidR="005710A4" w:rsidRPr="00835753" w:rsidRDefault="005710A4" w:rsidP="00155C96">
            <w:pPr>
              <w:keepNext/>
              <w:spacing w:after="240"/>
              <w:jc w:val="both"/>
              <w:rPr>
                <w:rFonts w:ascii="Times New Roman" w:eastAsia="Times New Roman" w:hAnsi="Times New Roman" w:cs="Times New Roman"/>
                <w:b/>
                <w:sz w:val="24"/>
              </w:rPr>
            </w:pPr>
            <w:r w:rsidRPr="00835753">
              <w:rPr>
                <w:rFonts w:ascii="Times New Roman" w:hAnsi="Times New Roman"/>
                <w:b/>
                <w:sz w:val="24"/>
              </w:rPr>
              <w:t>Kwoty ekspozycji ważonej ryzykiem</w:t>
            </w:r>
          </w:p>
          <w:p w14:paraId="4A1B90F7" w14:textId="3BBB69E5" w:rsidR="005710A4" w:rsidRPr="00835753" w:rsidRDefault="005710A4" w:rsidP="00155C96">
            <w:pPr>
              <w:keepNext/>
              <w:spacing w:after="240"/>
              <w:jc w:val="both"/>
              <w:rPr>
                <w:rFonts w:ascii="Times New Roman" w:eastAsia="Times New Roman" w:hAnsi="Times New Roman" w:cs="Times New Roman"/>
                <w:sz w:val="24"/>
              </w:rPr>
            </w:pPr>
            <w:r w:rsidRPr="00835753">
              <w:rPr>
                <w:rFonts w:ascii="Times New Roman" w:hAnsi="Times New Roman"/>
                <w:sz w:val="24"/>
              </w:rPr>
              <w:t>Kwoty ekspozycji ważonych ryzykiem,</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92 ust.</w:t>
            </w:r>
            <w:r w:rsidR="00835753" w:rsidRPr="00835753">
              <w:rPr>
                <w:rFonts w:ascii="Times New Roman" w:hAnsi="Times New Roman"/>
                <w:sz w:val="24"/>
              </w:rPr>
              <w:t> </w:t>
            </w:r>
            <w:r w:rsidRPr="00835753">
              <w:rPr>
                <w:rFonts w:ascii="Times New Roman" w:hAnsi="Times New Roman"/>
                <w:sz w:val="24"/>
              </w:rPr>
              <w:t>3 lit.</w:t>
            </w:r>
            <w:r w:rsidR="00835753" w:rsidRPr="00835753">
              <w:rPr>
                <w:rFonts w:ascii="Times New Roman" w:hAnsi="Times New Roman"/>
                <w:sz w:val="24"/>
              </w:rPr>
              <w:t> </w:t>
            </w:r>
            <w:r w:rsidRPr="00835753">
              <w:rPr>
                <w:rFonts w:ascii="Times New Roman" w:hAnsi="Times New Roman"/>
                <w:sz w:val="24"/>
              </w:rPr>
              <w:t xml:space="preserve">a) CRR, </w:t>
            </w:r>
            <w:r w:rsidRPr="00835753">
              <w:rPr>
                <w:rFonts w:ascii="Times New Roman" w:hAnsi="Times New Roman"/>
                <w:color w:val="000000"/>
                <w:sz w:val="24"/>
              </w:rPr>
              <w:t xml:space="preserve">obliczone </w:t>
            </w:r>
            <w:r w:rsidRPr="00835753">
              <w:rPr>
                <w:rFonts w:ascii="Times New Roman" w:hAnsi="Times New Roman"/>
                <w:sz w:val="24"/>
              </w:rPr>
              <w:t>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6 sekcja 9 art.</w:t>
            </w:r>
            <w:r w:rsidR="00835753" w:rsidRPr="00835753">
              <w:rPr>
                <w:rFonts w:ascii="Times New Roman" w:hAnsi="Times New Roman"/>
                <w:sz w:val="24"/>
              </w:rPr>
              <w:t> </w:t>
            </w:r>
            <w:r w:rsidRPr="00835753">
              <w:rPr>
                <w:rFonts w:ascii="Times New Roman" w:hAnsi="Times New Roman"/>
                <w:sz w:val="24"/>
              </w:rPr>
              <w:t>107 CRR.</w:t>
            </w:r>
          </w:p>
        </w:tc>
      </w:tr>
    </w:tbl>
    <w:p w14:paraId="5E5AD0AE" w14:textId="77777777" w:rsidR="005710A4" w:rsidRPr="00835753" w:rsidRDefault="005710A4" w:rsidP="005710A4">
      <w:pPr>
        <w:pStyle w:val="Titlelevel2"/>
        <w:spacing w:before="0"/>
        <w:rPr>
          <w:rFonts w:ascii="Times New Roman" w:hAnsi="Times New Roman" w:cs="Times New Roman"/>
          <w:color w:val="auto"/>
          <w:sz w:val="24"/>
        </w:rPr>
      </w:pPr>
    </w:p>
    <w:p w14:paraId="5D0491A7" w14:textId="77777777" w:rsidR="005710A4" w:rsidRPr="00835753" w:rsidRDefault="005710A4" w:rsidP="005710A4">
      <w:pPr>
        <w:spacing w:after="240"/>
        <w:rPr>
          <w:rFonts w:ascii="Times New Roman" w:hAnsi="Times New Roman" w:cs="Times New Roman"/>
          <w:sz w:val="24"/>
        </w:rPr>
      </w:pPr>
    </w:p>
    <w:p w14:paraId="090C84CE" w14:textId="77777777" w:rsidR="0081579E" w:rsidRPr="00835753" w:rsidRDefault="00FD656A">
      <w:pPr>
        <w:rPr>
          <w:rFonts w:ascii="Times New Roman" w:hAnsi="Times New Roman" w:cs="Times New Roman"/>
          <w:b/>
          <w:sz w:val="24"/>
        </w:rPr>
        <w:sectPr w:rsidR="0081579E" w:rsidRPr="00835753" w:rsidSect="00155C96">
          <w:pgSz w:w="11900" w:h="16840"/>
          <w:pgMar w:top="2268" w:right="1418" w:bottom="1134" w:left="1701" w:header="709" w:footer="709" w:gutter="0"/>
          <w:pgNumType w:start="1" w:chapStyle="1"/>
          <w:cols w:space="708"/>
          <w:docGrid w:linePitch="299"/>
        </w:sectPr>
      </w:pPr>
      <w:r w:rsidRPr="00835753">
        <w:br w:type="page"/>
      </w:r>
    </w:p>
    <w:p w14:paraId="292D1743" w14:textId="77777777" w:rsidR="00FD656A" w:rsidRPr="00835753" w:rsidRDefault="00FD656A" w:rsidP="00FD656A">
      <w:pPr>
        <w:pStyle w:val="Annexetitre"/>
        <w:spacing w:after="240"/>
      </w:pPr>
      <w:r w:rsidRPr="00835753">
        <w:lastRenderedPageBreak/>
        <w:t>ZAŁĄCZNIK XXVIII – Instrukcje dotyczące ujawniania informacji na temat ekspozycji na pozycje sekurytyzacyjne</w:t>
      </w:r>
    </w:p>
    <w:p w14:paraId="41E22AA6" w14:textId="1579C0E9" w:rsidR="00FD656A" w:rsidRPr="00835753" w:rsidRDefault="00D95507" w:rsidP="00FD656A">
      <w:pPr>
        <w:rPr>
          <w:rFonts w:ascii="Times New Roman" w:hAnsi="Times New Roman" w:cs="Times New Roman"/>
          <w:b/>
          <w:sz w:val="24"/>
        </w:rPr>
      </w:pPr>
      <w:r w:rsidRPr="00835753">
        <w:rPr>
          <w:rFonts w:ascii="Times New Roman" w:hAnsi="Times New Roman"/>
          <w:b/>
          <w:sz w:val="24"/>
        </w:rPr>
        <w:t xml:space="preserve">Tabela EU SECA – Wymogi dotyczące ujawniania informacji jakościowych na temat ekspozycji sekurytyzacyjnych. </w:t>
      </w:r>
      <w:r w:rsidRPr="00835753">
        <w:rPr>
          <w:rFonts w:ascii="Times New Roman" w:hAnsi="Times New Roman"/>
          <w:sz w:val="24"/>
        </w:rPr>
        <w:t>Pola na tekst</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for</w:t>
      </w:r>
      <w:r w:rsidRPr="00835753">
        <w:rPr>
          <w:rFonts w:ascii="Times New Roman" w:hAnsi="Times New Roman"/>
          <w:sz w:val="24"/>
        </w:rPr>
        <w:t>macie dowolnym do celów ujawniania informacji jakościowych</w:t>
      </w:r>
    </w:p>
    <w:p w14:paraId="1C8AFCD2" w14:textId="30BAFC72" w:rsidR="00FD656A" w:rsidRPr="00835753" w:rsidRDefault="00FD656A" w:rsidP="00FD656A">
      <w:pPr>
        <w:pStyle w:val="ListParagraph"/>
        <w:numPr>
          <w:ilvl w:val="0"/>
          <w:numId w:val="58"/>
        </w:numPr>
        <w:spacing w:before="120" w:after="120"/>
        <w:ind w:left="432"/>
        <w:jc w:val="both"/>
        <w:rPr>
          <w:rFonts w:ascii="Times New Roman" w:hAnsi="Times New Roman"/>
          <w:bCs/>
          <w:sz w:val="24"/>
        </w:rPr>
      </w:pPr>
      <w:r w:rsidRPr="00835753">
        <w:rPr>
          <w:rFonts w:ascii="Times New Roman" w:hAnsi="Times New Roman"/>
          <w:bCs/>
          <w:sz w:val="24"/>
        </w:rPr>
        <w:t>W celu wypełnienia tabeli EU SECA zamieszczonej</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ączniku XXVII do niniejszego rozporządzenia wykonawczego instytucje ujawniają informacje,</w:t>
      </w:r>
      <w:r w:rsidR="00835753" w:rsidRPr="00835753">
        <w:rPr>
          <w:rFonts w:ascii="Times New Roman" w:hAnsi="Times New Roman"/>
          <w:bCs/>
          <w:sz w:val="24"/>
        </w:rPr>
        <w:t xml:space="preserve"> o</w:t>
      </w:r>
      <w:r w:rsidR="00835753">
        <w:rPr>
          <w:rFonts w:ascii="Times New Roman" w:hAnsi="Times New Roman"/>
          <w:bCs/>
          <w:sz w:val="24"/>
        </w:rPr>
        <w:t> </w:t>
      </w:r>
      <w:r w:rsidR="00835753" w:rsidRPr="00835753">
        <w:rPr>
          <w:rFonts w:ascii="Times New Roman" w:hAnsi="Times New Roman"/>
          <w:bCs/>
          <w:sz w:val="24"/>
        </w:rPr>
        <w:t>któ</w:t>
      </w:r>
      <w:r w:rsidRPr="00835753">
        <w:rPr>
          <w:rFonts w:ascii="Times New Roman" w:hAnsi="Times New Roman"/>
          <w:bCs/>
          <w:sz w:val="24"/>
        </w:rPr>
        <w:t>rych mowa</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449 lit.</w:t>
      </w:r>
      <w:r w:rsidR="00835753" w:rsidRPr="00835753">
        <w:rPr>
          <w:rFonts w:ascii="Times New Roman" w:hAnsi="Times New Roman"/>
          <w:bCs/>
          <w:sz w:val="24"/>
        </w:rPr>
        <w:t> </w:t>
      </w:r>
      <w:r w:rsidRPr="00835753">
        <w:rPr>
          <w:rFonts w:ascii="Times New Roman" w:hAnsi="Times New Roman"/>
          <w:bCs/>
          <w:sz w:val="24"/>
        </w:rPr>
        <w:t>a</w:t>
      </w:r>
      <w:proofErr w:type="gramStart"/>
      <w:r w:rsidRPr="00835753">
        <w:rPr>
          <w:rFonts w:ascii="Times New Roman" w:hAnsi="Times New Roman"/>
          <w:bCs/>
          <w:sz w:val="24"/>
        </w:rPr>
        <w:t>)–i</w:t>
      </w:r>
      <w:proofErr w:type="gramEnd"/>
      <w:r w:rsidRPr="00835753">
        <w:rPr>
          <w:rFonts w:ascii="Times New Roman" w:hAnsi="Times New Roman"/>
          <w:bCs/>
          <w:sz w:val="24"/>
        </w:rPr>
        <w:t>) rozporządzenia (UE) nr</w:t>
      </w:r>
      <w:r w:rsidR="00835753" w:rsidRPr="00835753">
        <w:rPr>
          <w:rFonts w:ascii="Times New Roman" w:hAnsi="Times New Roman"/>
          <w:bCs/>
          <w:sz w:val="24"/>
        </w:rPr>
        <w:t> </w:t>
      </w:r>
      <w:r w:rsidRPr="00835753">
        <w:rPr>
          <w:rFonts w:ascii="Times New Roman" w:hAnsi="Times New Roman"/>
          <w:bCs/>
          <w:sz w:val="24"/>
        </w:rPr>
        <w:t>575/2013</w:t>
      </w:r>
      <w:r w:rsidRPr="00835753">
        <w:rPr>
          <w:rStyle w:val="FootnoteReference"/>
          <w:bCs/>
        </w:rPr>
        <w:footnoteReference w:id="42"/>
      </w:r>
      <w:r w:rsidRPr="00835753">
        <w:rPr>
          <w:rFonts w:ascii="Times New Roman" w:hAnsi="Times New Roman"/>
          <w:bCs/>
          <w:sz w:val="24"/>
        </w:rPr>
        <w:t xml:space="preserve"> („CRR”),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835753"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DA97E1C" w:rsidR="00FD656A" w:rsidRPr="00835753" w:rsidRDefault="00FD656A" w:rsidP="00155C96">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FD656A" w:rsidRPr="00835753" w14:paraId="2CF0E96B" w14:textId="77777777" w:rsidTr="00155C96">
        <w:trPr>
          <w:trHeight w:val="238"/>
        </w:trPr>
        <w:tc>
          <w:tcPr>
            <w:tcW w:w="1413" w:type="dxa"/>
            <w:shd w:val="clear" w:color="auto" w:fill="D9D9D9" w:themeFill="background1" w:themeFillShade="D9"/>
          </w:tcPr>
          <w:p w14:paraId="260EE226" w14:textId="77777777" w:rsidR="00FD656A" w:rsidRPr="00835753" w:rsidRDefault="00FD656A" w:rsidP="00155C96">
            <w:pPr>
              <w:autoSpaceDE w:val="0"/>
              <w:autoSpaceDN w:val="0"/>
              <w:adjustRightInd w:val="0"/>
              <w:rPr>
                <w:rFonts w:ascii="Times New Roman" w:hAnsi="Times New Roman" w:cs="Times New Roman"/>
                <w:b/>
                <w:sz w:val="24"/>
              </w:rPr>
            </w:pPr>
            <w:r w:rsidRPr="00835753">
              <w:rPr>
                <w:rFonts w:ascii="Times New Roman" w:hAnsi="Times New Roman"/>
                <w:b/>
                <w:sz w:val="24"/>
              </w:rPr>
              <w:t>Oznaczenie wiersza</w:t>
            </w:r>
          </w:p>
        </w:tc>
        <w:tc>
          <w:tcPr>
            <w:tcW w:w="7654" w:type="dxa"/>
            <w:shd w:val="clear" w:color="auto" w:fill="D9D9D9" w:themeFill="background1" w:themeFillShade="D9"/>
          </w:tcPr>
          <w:p w14:paraId="24069E3A" w14:textId="77777777" w:rsidR="00FD656A" w:rsidRPr="00835753" w:rsidRDefault="00FD656A" w:rsidP="00155C96">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FD656A" w:rsidRPr="00835753" w14:paraId="2553A3E0" w14:textId="77777777" w:rsidTr="00155C96">
        <w:trPr>
          <w:trHeight w:val="316"/>
        </w:trPr>
        <w:tc>
          <w:tcPr>
            <w:tcW w:w="1413" w:type="dxa"/>
          </w:tcPr>
          <w:p w14:paraId="31377940" w14:textId="1605A211" w:rsidR="00FD656A" w:rsidRPr="00835753" w:rsidRDefault="003A2616" w:rsidP="004D58B3">
            <w:pPr>
              <w:autoSpaceDE w:val="0"/>
              <w:autoSpaceDN w:val="0"/>
              <w:adjustRightInd w:val="0"/>
              <w:spacing w:before="120" w:after="120"/>
              <w:jc w:val="center"/>
              <w:rPr>
                <w:rFonts w:ascii="Times New Roman" w:eastAsia="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654" w:type="dxa"/>
          </w:tcPr>
          <w:p w14:paraId="38335BC0" w14:textId="3A6F7DA4" w:rsidR="00FD656A" w:rsidRPr="00835753" w:rsidRDefault="00FD656A" w:rsidP="00850101">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Opis działalności sekurytyzacyjnej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dzi</w:t>
            </w:r>
            <w:r w:rsidRPr="00835753">
              <w:rPr>
                <w:rFonts w:ascii="Times New Roman" w:hAnsi="Times New Roman"/>
                <w:sz w:val="24"/>
              </w:rPr>
              <w:t>ałalności resekurytyzacyjnej;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celów zarządzania ryzykiem</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ów inwestycyjnych powiązanych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i rodzajami działalności, ich roli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tra</w:t>
            </w:r>
            <w:r w:rsidRPr="00835753">
              <w:rPr>
                <w:rFonts w:ascii="Times New Roman" w:hAnsi="Times New Roman"/>
                <w:sz w:val="24"/>
              </w:rPr>
              <w:t>nsakcjach sekurytyzacyjnych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res</w:t>
            </w:r>
            <w:r w:rsidRPr="00835753">
              <w:rPr>
                <w:rFonts w:ascii="Times New Roman" w:hAnsi="Times New Roman"/>
                <w:sz w:val="24"/>
              </w:rPr>
              <w:t>ekurytyzacyjnych, informacje na temat tego, czy stosują one ramy prostej, przejrzystej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sta</w:t>
            </w:r>
            <w:r w:rsidRPr="00835753">
              <w:rPr>
                <w:rFonts w:ascii="Times New Roman" w:hAnsi="Times New Roman"/>
                <w:sz w:val="24"/>
              </w:rPr>
              <w:t>ndardowej (STS) sekurytyzacji, oraz na temat zakresu,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im stosują one transakcje sekurytyzacyjne, aby przenieść na osoby trzecie ryzyko kredytowe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sekurytyzowanych 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odr</w:t>
            </w:r>
            <w:r w:rsidRPr="00835753">
              <w:rPr>
                <w:rFonts w:ascii="Times New Roman" w:hAnsi="Times New Roman"/>
                <w:sz w:val="24"/>
              </w:rPr>
              <w:t>ębnym opisem ich polityki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przenoszenia ryzyka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sekurytyzacji syntetycznej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449 lit.</w:t>
            </w:r>
            <w:r w:rsidR="00835753" w:rsidRPr="00835753">
              <w:rPr>
                <w:rFonts w:ascii="Times New Roman" w:hAnsi="Times New Roman"/>
                <w:sz w:val="24"/>
              </w:rPr>
              <w:t> </w:t>
            </w:r>
            <w:r w:rsidRPr="00835753">
              <w:rPr>
                <w:rFonts w:ascii="Times New Roman" w:hAnsi="Times New Roman"/>
                <w:sz w:val="24"/>
              </w:rPr>
              <w:t>a) CRR.</w:t>
            </w:r>
          </w:p>
        </w:tc>
      </w:tr>
      <w:tr w:rsidR="00FD656A" w:rsidRPr="00835753" w14:paraId="16B56EE8" w14:textId="77777777" w:rsidTr="00155C96">
        <w:trPr>
          <w:trHeight w:val="316"/>
        </w:trPr>
        <w:tc>
          <w:tcPr>
            <w:tcW w:w="1413" w:type="dxa"/>
          </w:tcPr>
          <w:p w14:paraId="14C29B06" w14:textId="183C86F9" w:rsidR="00FD656A" w:rsidRPr="00835753" w:rsidRDefault="003A2616" w:rsidP="004D58B3">
            <w:pPr>
              <w:autoSpaceDE w:val="0"/>
              <w:autoSpaceDN w:val="0"/>
              <w:adjustRightInd w:val="0"/>
              <w:spacing w:before="120" w:after="120"/>
              <w:jc w:val="center"/>
              <w:rPr>
                <w:rFonts w:ascii="Times New Roman" w:eastAsia="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654" w:type="dxa"/>
          </w:tcPr>
          <w:p w14:paraId="08C1F612" w14:textId="5A84DAF9"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Rodzaj ryzyka, na które narażone są instytucje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zwi</w:t>
            </w:r>
            <w:r w:rsidRPr="00835753">
              <w:rPr>
                <w:rFonts w:ascii="Times New Roman" w:hAnsi="Times New Roman"/>
                <w:sz w:val="24"/>
              </w:rPr>
              <w:t>ązku ze swoją działalnością sekurytyzacyjną</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res</w:t>
            </w:r>
            <w:r w:rsidRPr="00835753">
              <w:rPr>
                <w:rFonts w:ascii="Times New Roman" w:hAnsi="Times New Roman"/>
                <w:sz w:val="24"/>
              </w:rPr>
              <w:t>ekurytyzacyjną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ziale według stopnia uprzywilejowania odnośnych pozycji sekurytyzacyjnych, wraz</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różnieniem na pozycje będące sekurytyzacjami STS i na pozycje niebędące sekurytyzacjami STS oraz:</w:t>
            </w:r>
          </w:p>
          <w:p w14:paraId="1409CF8F" w14:textId="263283F0"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(i) ryzyko zatrzymane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tra</w:t>
            </w:r>
            <w:r w:rsidRPr="00835753">
              <w:rPr>
                <w:rFonts w:ascii="Times New Roman" w:hAnsi="Times New Roman"/>
                <w:sz w:val="24"/>
              </w:rPr>
              <w:t>nsakcjach zapoczątkowanych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wła</w:t>
            </w:r>
            <w:r w:rsidRPr="00835753">
              <w:rPr>
                <w:rFonts w:ascii="Times New Roman" w:hAnsi="Times New Roman"/>
                <w:sz w:val="24"/>
              </w:rPr>
              <w:t>snej inicjatywy;</w:t>
            </w:r>
          </w:p>
          <w:p w14:paraId="576C4B35" w14:textId="6046988A"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(ii) ryzyko poniesione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zwi</w:t>
            </w:r>
            <w:r w:rsidRPr="00835753">
              <w:rPr>
                <w:rFonts w:ascii="Times New Roman" w:hAnsi="Times New Roman"/>
                <w:sz w:val="24"/>
              </w:rPr>
              <w:t>ązku</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tra</w:t>
            </w:r>
            <w:r w:rsidRPr="00835753">
              <w:rPr>
                <w:rFonts w:ascii="Times New Roman" w:hAnsi="Times New Roman"/>
                <w:sz w:val="24"/>
              </w:rPr>
              <w:t>nsakcjami zapoczątkowanymi przez osoby trzecie</w:t>
            </w:r>
          </w:p>
          <w:p w14:paraId="708E1B2D" w14:textId="333DCF1D"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sz w:val="24"/>
              </w:rPr>
            </w:pPr>
            <w:proofErr w:type="gramStart"/>
            <w:r w:rsidRPr="00835753">
              <w:rPr>
                <w:rFonts w:ascii="Times New Roman" w:hAnsi="Times New Roman"/>
                <w:sz w:val="24"/>
              </w:rPr>
              <w:t>zgodnie</w:t>
            </w:r>
            <w:proofErr w:type="gramEnd"/>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449 lit.</w:t>
            </w:r>
            <w:r w:rsidR="00835753" w:rsidRPr="00835753">
              <w:rPr>
                <w:rFonts w:ascii="Times New Roman" w:hAnsi="Times New Roman"/>
                <w:sz w:val="24"/>
              </w:rPr>
              <w:t> </w:t>
            </w:r>
            <w:r w:rsidRPr="00835753">
              <w:rPr>
                <w:rFonts w:ascii="Times New Roman" w:hAnsi="Times New Roman"/>
                <w:sz w:val="24"/>
              </w:rPr>
              <w:t>b) CRR.</w:t>
            </w:r>
          </w:p>
        </w:tc>
      </w:tr>
      <w:tr w:rsidR="00FD656A" w:rsidRPr="00835753" w14:paraId="7D26D833" w14:textId="77777777" w:rsidTr="00155C96">
        <w:trPr>
          <w:trHeight w:val="316"/>
        </w:trPr>
        <w:tc>
          <w:tcPr>
            <w:tcW w:w="1413" w:type="dxa"/>
          </w:tcPr>
          <w:p w14:paraId="496C80F0" w14:textId="692EB3EE" w:rsidR="00FD656A" w:rsidRPr="00835753" w:rsidRDefault="003A2616" w:rsidP="004D58B3">
            <w:pPr>
              <w:autoSpaceDE w:val="0"/>
              <w:autoSpaceDN w:val="0"/>
              <w:adjustRightInd w:val="0"/>
              <w:spacing w:before="120" w:after="120"/>
              <w:jc w:val="center"/>
              <w:rPr>
                <w:rFonts w:ascii="Times New Roman" w:eastAsia="Times New Roman" w:hAnsi="Times New Roman" w:cs="Times New Roman"/>
                <w:sz w:val="24"/>
              </w:rPr>
            </w:pPr>
            <w:proofErr w:type="gramStart"/>
            <w:r w:rsidRPr="00835753">
              <w:rPr>
                <w:rFonts w:ascii="Times New Roman" w:hAnsi="Times New Roman"/>
                <w:sz w:val="24"/>
              </w:rPr>
              <w:t>c</w:t>
            </w:r>
            <w:proofErr w:type="gramEnd"/>
            <w:r w:rsidRPr="00835753">
              <w:rPr>
                <w:rFonts w:ascii="Times New Roman" w:hAnsi="Times New Roman"/>
                <w:sz w:val="24"/>
              </w:rPr>
              <w:t>)</w:t>
            </w:r>
          </w:p>
        </w:tc>
        <w:tc>
          <w:tcPr>
            <w:tcW w:w="7654" w:type="dxa"/>
          </w:tcPr>
          <w:p w14:paraId="629B5C0A" w14:textId="66E565DA"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Wykorzystywane przez instytucje metody obliczania kwot ekspozycji ważonych ryzykiem, które stosują wobec swojej działalności sekurytyzacyjnej,</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tym</w:t>
            </w:r>
            <w:r w:rsidRPr="00835753">
              <w:rPr>
                <w:rFonts w:ascii="Times New Roman" w:hAnsi="Times New Roman"/>
                <w:iCs/>
                <w:sz w:val="24"/>
              </w:rPr>
              <w:t xml:space="preserve"> wyszczególnienie typów pozycji sekurytyzacyjnych, do których mają zastosowanie poszczególne metody,</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roz</w:t>
            </w:r>
            <w:r w:rsidRPr="00835753">
              <w:rPr>
                <w:rFonts w:ascii="Times New Roman" w:hAnsi="Times New Roman"/>
                <w:iCs/>
                <w:sz w:val="24"/>
              </w:rPr>
              <w:t>różnieniem na pozycje będące sekurytyzacjami STS i na pozycje niebędące sekurytyzacjami STS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449 lit.</w:t>
            </w:r>
            <w:r w:rsidR="00835753" w:rsidRPr="00835753">
              <w:rPr>
                <w:rFonts w:ascii="Times New Roman" w:hAnsi="Times New Roman"/>
                <w:iCs/>
                <w:sz w:val="24"/>
              </w:rPr>
              <w:t> </w:t>
            </w:r>
            <w:r w:rsidRPr="00835753">
              <w:rPr>
                <w:rFonts w:ascii="Times New Roman" w:hAnsi="Times New Roman"/>
                <w:iCs/>
                <w:sz w:val="24"/>
              </w:rPr>
              <w:t>c) CRR.</w:t>
            </w:r>
          </w:p>
        </w:tc>
      </w:tr>
      <w:tr w:rsidR="00FD656A" w:rsidRPr="00835753" w14:paraId="72D476FA" w14:textId="77777777" w:rsidTr="00155C96">
        <w:trPr>
          <w:trHeight w:val="316"/>
        </w:trPr>
        <w:tc>
          <w:tcPr>
            <w:tcW w:w="1413" w:type="dxa"/>
          </w:tcPr>
          <w:p w14:paraId="5641244C" w14:textId="5EFA72AF" w:rsidR="00FD656A" w:rsidRPr="00835753" w:rsidRDefault="003A2616" w:rsidP="004D58B3">
            <w:pPr>
              <w:autoSpaceDE w:val="0"/>
              <w:autoSpaceDN w:val="0"/>
              <w:adjustRightInd w:val="0"/>
              <w:spacing w:before="120" w:after="120"/>
              <w:jc w:val="center"/>
              <w:rPr>
                <w:rFonts w:ascii="Times New Roman" w:eastAsia="Times New Roman" w:hAnsi="Times New Roman" w:cs="Times New Roman"/>
                <w:sz w:val="24"/>
              </w:rPr>
            </w:pPr>
            <w:proofErr w:type="gramStart"/>
            <w:r w:rsidRPr="00835753">
              <w:rPr>
                <w:rFonts w:ascii="Times New Roman" w:hAnsi="Times New Roman"/>
                <w:sz w:val="24"/>
              </w:rPr>
              <w:lastRenderedPageBreak/>
              <w:t>d</w:t>
            </w:r>
            <w:proofErr w:type="gramEnd"/>
            <w:r w:rsidRPr="00835753">
              <w:rPr>
                <w:rFonts w:ascii="Times New Roman" w:hAnsi="Times New Roman"/>
                <w:sz w:val="24"/>
              </w:rPr>
              <w:t>)</w:t>
            </w:r>
          </w:p>
        </w:tc>
        <w:tc>
          <w:tcPr>
            <w:tcW w:w="7654" w:type="dxa"/>
          </w:tcPr>
          <w:p w14:paraId="1C1A568C" w14:textId="4834B79F"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Wykaz jednostek specjalnego przeznaczenia do celów sekurytyzacji (SSPE) należących do dowolnej</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pon</w:t>
            </w:r>
            <w:r w:rsidRPr="00835753">
              <w:rPr>
                <w:rFonts w:ascii="Times New Roman" w:hAnsi="Times New Roman"/>
                <w:iCs/>
                <w:sz w:val="24"/>
              </w:rPr>
              <w:t>iższych kategorii, wraz</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opi</w:t>
            </w:r>
            <w:r w:rsidRPr="00835753">
              <w:rPr>
                <w:rFonts w:ascii="Times New Roman" w:hAnsi="Times New Roman"/>
                <w:iCs/>
                <w:sz w:val="24"/>
              </w:rPr>
              <w:t>sem rodzajów ekspozycji instytucji wobec tych SSPE, łącznie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kon</w:t>
            </w:r>
            <w:r w:rsidRPr="00835753">
              <w:rPr>
                <w:rFonts w:ascii="Times New Roman" w:hAnsi="Times New Roman"/>
                <w:iCs/>
                <w:sz w:val="24"/>
              </w:rPr>
              <w:t>traktami na instrumenty pochodne:</w:t>
            </w:r>
          </w:p>
          <w:p w14:paraId="3976F1A8" w14:textId="7777777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(i) SSPE, które nabywają ekspozycje utworzone przez instytucje;</w:t>
            </w:r>
          </w:p>
          <w:p w14:paraId="232187BC" w14:textId="7777777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 xml:space="preserve">(ii) SSPE sponsorowane przez instytucje; </w:t>
            </w:r>
          </w:p>
          <w:p w14:paraId="5860F8A2" w14:textId="08B70493"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(iii) SSPE</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inn</w:t>
            </w:r>
            <w:r w:rsidRPr="00835753">
              <w:rPr>
                <w:rFonts w:ascii="Times New Roman" w:hAnsi="Times New Roman"/>
                <w:iCs/>
                <w:sz w:val="24"/>
              </w:rPr>
              <w:t>e podmioty prawne, na rzecz których instytucje świadczą usługi związane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sek</w:t>
            </w:r>
            <w:r w:rsidRPr="00835753">
              <w:rPr>
                <w:rFonts w:ascii="Times New Roman" w:hAnsi="Times New Roman"/>
                <w:iCs/>
                <w:sz w:val="24"/>
              </w:rPr>
              <w:t>urytyzacją, na przykład usługi doradcze, usługi</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zak</w:t>
            </w:r>
            <w:r w:rsidRPr="00835753">
              <w:rPr>
                <w:rFonts w:ascii="Times New Roman" w:hAnsi="Times New Roman"/>
                <w:iCs/>
                <w:sz w:val="24"/>
              </w:rPr>
              <w:t xml:space="preserve">resie obsługi aktywów lub zarządzania aktywami; </w:t>
            </w:r>
          </w:p>
          <w:p w14:paraId="1B2F47AE" w14:textId="7B3F6596"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(iv) SSPE ujęte</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zak</w:t>
            </w:r>
            <w:r w:rsidRPr="00835753">
              <w:rPr>
                <w:rFonts w:ascii="Times New Roman" w:hAnsi="Times New Roman"/>
                <w:iCs/>
                <w:sz w:val="24"/>
              </w:rPr>
              <w:t>resie konsolidacji ostrożnościowej danej instytucji</w:t>
            </w:r>
          </w:p>
          <w:p w14:paraId="7FDD961B" w14:textId="3F9DA116"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proofErr w:type="gramStart"/>
            <w:r w:rsidRPr="00835753">
              <w:rPr>
                <w:rFonts w:ascii="Times New Roman" w:hAnsi="Times New Roman"/>
                <w:sz w:val="24"/>
              </w:rPr>
              <w:t>zgodnie</w:t>
            </w:r>
            <w:proofErr w:type="gramEnd"/>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449 lit.</w:t>
            </w:r>
            <w:r w:rsidR="00835753" w:rsidRPr="00835753">
              <w:rPr>
                <w:rFonts w:ascii="Times New Roman" w:hAnsi="Times New Roman"/>
                <w:sz w:val="24"/>
              </w:rPr>
              <w:t> </w:t>
            </w:r>
            <w:r w:rsidRPr="00835753">
              <w:rPr>
                <w:rFonts w:ascii="Times New Roman" w:hAnsi="Times New Roman"/>
                <w:sz w:val="24"/>
              </w:rPr>
              <w:t>d) CRR.</w:t>
            </w:r>
          </w:p>
        </w:tc>
      </w:tr>
      <w:tr w:rsidR="00FD656A" w:rsidRPr="00835753" w14:paraId="2D30FBEB" w14:textId="77777777" w:rsidTr="00155C96">
        <w:trPr>
          <w:trHeight w:val="316"/>
        </w:trPr>
        <w:tc>
          <w:tcPr>
            <w:tcW w:w="1413" w:type="dxa"/>
          </w:tcPr>
          <w:p w14:paraId="5BE547AF" w14:textId="2B72CF4F" w:rsidR="00FD656A" w:rsidRPr="00835753" w:rsidRDefault="003A2616" w:rsidP="004D58B3">
            <w:pPr>
              <w:autoSpaceDE w:val="0"/>
              <w:autoSpaceDN w:val="0"/>
              <w:adjustRightInd w:val="0"/>
              <w:spacing w:before="120" w:after="120"/>
              <w:jc w:val="center"/>
              <w:rPr>
                <w:rFonts w:ascii="Times New Roman" w:eastAsia="Times New Roman" w:hAnsi="Times New Roman" w:cs="Times New Roman"/>
                <w:sz w:val="24"/>
              </w:rPr>
            </w:pPr>
            <w:proofErr w:type="gramStart"/>
            <w:r w:rsidRPr="00835753">
              <w:rPr>
                <w:rFonts w:ascii="Times New Roman" w:hAnsi="Times New Roman"/>
                <w:sz w:val="24"/>
              </w:rPr>
              <w:t>e</w:t>
            </w:r>
            <w:proofErr w:type="gramEnd"/>
            <w:r w:rsidRPr="00835753">
              <w:rPr>
                <w:rFonts w:ascii="Times New Roman" w:hAnsi="Times New Roman"/>
                <w:sz w:val="24"/>
              </w:rPr>
              <w:t>)</w:t>
            </w:r>
          </w:p>
        </w:tc>
        <w:tc>
          <w:tcPr>
            <w:tcW w:w="7654" w:type="dxa"/>
          </w:tcPr>
          <w:p w14:paraId="05FBEFF3" w14:textId="6996D5FC"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Wykaz wszelkich podmiotów prawnych,</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odn</w:t>
            </w:r>
            <w:r w:rsidRPr="00835753">
              <w:rPr>
                <w:rFonts w:ascii="Times New Roman" w:hAnsi="Times New Roman"/>
                <w:iCs/>
                <w:sz w:val="24"/>
              </w:rPr>
              <w:t>iesieniu do których instytucje ujawniły informacje</w:t>
            </w:r>
            <w:r w:rsidR="00835753" w:rsidRPr="00835753">
              <w:rPr>
                <w:rFonts w:ascii="Times New Roman" w:hAnsi="Times New Roman"/>
                <w:iCs/>
                <w:sz w:val="24"/>
              </w:rPr>
              <w:t xml:space="preserve"> o</w:t>
            </w:r>
            <w:r w:rsidR="00835753">
              <w:rPr>
                <w:rFonts w:ascii="Times New Roman" w:hAnsi="Times New Roman"/>
                <w:iCs/>
                <w:sz w:val="24"/>
              </w:rPr>
              <w:t> </w:t>
            </w:r>
            <w:r w:rsidR="00835753" w:rsidRPr="00835753">
              <w:rPr>
                <w:rFonts w:ascii="Times New Roman" w:hAnsi="Times New Roman"/>
                <w:iCs/>
                <w:sz w:val="24"/>
              </w:rPr>
              <w:t>tym</w:t>
            </w:r>
            <w:r w:rsidRPr="00835753">
              <w:rPr>
                <w:rFonts w:ascii="Times New Roman" w:hAnsi="Times New Roman"/>
                <w:iCs/>
                <w:sz w:val="24"/>
              </w:rPr>
              <w:t>, że udzieliły wsparcia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czę</w:t>
            </w:r>
            <w:r w:rsidRPr="00835753">
              <w:rPr>
                <w:rFonts w:ascii="Times New Roman" w:hAnsi="Times New Roman"/>
                <w:iCs/>
                <w:sz w:val="24"/>
              </w:rPr>
              <w:t>ścią trzecią tytuł II rozdział 5 art.</w:t>
            </w:r>
            <w:r w:rsidR="00835753" w:rsidRPr="00835753">
              <w:rPr>
                <w:rFonts w:ascii="Times New Roman" w:hAnsi="Times New Roman"/>
                <w:iCs/>
                <w:sz w:val="24"/>
              </w:rPr>
              <w:t> </w:t>
            </w:r>
            <w:r w:rsidRPr="00835753">
              <w:rPr>
                <w:rFonts w:ascii="Times New Roman" w:hAnsi="Times New Roman"/>
                <w:iCs/>
                <w:sz w:val="24"/>
              </w:rPr>
              <w:t>449 lit.</w:t>
            </w:r>
            <w:r w:rsidR="00835753" w:rsidRPr="00835753">
              <w:rPr>
                <w:rFonts w:ascii="Times New Roman" w:hAnsi="Times New Roman"/>
                <w:iCs/>
                <w:sz w:val="24"/>
              </w:rPr>
              <w:t> </w:t>
            </w:r>
            <w:r w:rsidRPr="00835753">
              <w:rPr>
                <w:rFonts w:ascii="Times New Roman" w:hAnsi="Times New Roman"/>
                <w:iCs/>
                <w:sz w:val="24"/>
              </w:rPr>
              <w:t>e) CRR.</w:t>
            </w:r>
          </w:p>
        </w:tc>
      </w:tr>
      <w:tr w:rsidR="00FD656A" w:rsidRPr="00835753" w14:paraId="5AB66595" w14:textId="77777777" w:rsidTr="00155C96">
        <w:trPr>
          <w:trHeight w:val="316"/>
        </w:trPr>
        <w:tc>
          <w:tcPr>
            <w:tcW w:w="1413" w:type="dxa"/>
          </w:tcPr>
          <w:p w14:paraId="4B3D3A84" w14:textId="09EA4C33" w:rsidR="00FD656A" w:rsidRPr="00835753" w:rsidRDefault="003A2616" w:rsidP="004D58B3">
            <w:pPr>
              <w:autoSpaceDE w:val="0"/>
              <w:autoSpaceDN w:val="0"/>
              <w:adjustRightInd w:val="0"/>
              <w:spacing w:before="120" w:after="120"/>
              <w:jc w:val="center"/>
              <w:rPr>
                <w:rFonts w:ascii="Times New Roman" w:eastAsia="Times New Roman" w:hAnsi="Times New Roman" w:cs="Times New Roman"/>
                <w:sz w:val="24"/>
              </w:rPr>
            </w:pPr>
            <w:proofErr w:type="gramStart"/>
            <w:r w:rsidRPr="00835753">
              <w:rPr>
                <w:rFonts w:ascii="Times New Roman" w:hAnsi="Times New Roman"/>
                <w:sz w:val="24"/>
              </w:rPr>
              <w:t>f</w:t>
            </w:r>
            <w:proofErr w:type="gramEnd"/>
            <w:r w:rsidRPr="00835753">
              <w:rPr>
                <w:rFonts w:ascii="Times New Roman" w:hAnsi="Times New Roman"/>
                <w:sz w:val="24"/>
              </w:rPr>
              <w:t>)</w:t>
            </w:r>
          </w:p>
        </w:tc>
        <w:tc>
          <w:tcPr>
            <w:tcW w:w="7654" w:type="dxa"/>
          </w:tcPr>
          <w:p w14:paraId="06FAB31F" w14:textId="7558DF14"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Wykaz podmiotów prawnych, które są jednostkami powiązanymi instytucji</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któ</w:t>
            </w:r>
            <w:r w:rsidRPr="00835753">
              <w:rPr>
                <w:rFonts w:ascii="Times New Roman" w:hAnsi="Times New Roman"/>
                <w:iCs/>
                <w:sz w:val="24"/>
              </w:rPr>
              <w:t>re inwestują</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sek</w:t>
            </w:r>
            <w:r w:rsidRPr="00835753">
              <w:rPr>
                <w:rFonts w:ascii="Times New Roman" w:hAnsi="Times New Roman"/>
                <w:iCs/>
                <w:sz w:val="24"/>
              </w:rPr>
              <w:t>urytyzacje zapoczątkowane przez instytucje lub</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poz</w:t>
            </w:r>
            <w:r w:rsidRPr="00835753">
              <w:rPr>
                <w:rFonts w:ascii="Times New Roman" w:hAnsi="Times New Roman"/>
                <w:iCs/>
                <w:sz w:val="24"/>
              </w:rPr>
              <w:t>ycje sekurytyzacyjne emitowane przez SSPE sponsorowane przez instytucje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449 lit.</w:t>
            </w:r>
            <w:r w:rsidR="00835753" w:rsidRPr="00835753">
              <w:rPr>
                <w:rFonts w:ascii="Times New Roman" w:hAnsi="Times New Roman"/>
                <w:iCs/>
                <w:sz w:val="24"/>
              </w:rPr>
              <w:t> </w:t>
            </w:r>
            <w:r w:rsidRPr="00835753">
              <w:rPr>
                <w:rFonts w:ascii="Times New Roman" w:hAnsi="Times New Roman"/>
                <w:iCs/>
                <w:sz w:val="24"/>
              </w:rPr>
              <w:t>f) CRR.</w:t>
            </w:r>
          </w:p>
        </w:tc>
      </w:tr>
      <w:tr w:rsidR="00FD656A" w:rsidRPr="00835753" w14:paraId="5C90321B" w14:textId="77777777" w:rsidTr="00155C96">
        <w:trPr>
          <w:trHeight w:val="316"/>
        </w:trPr>
        <w:tc>
          <w:tcPr>
            <w:tcW w:w="1413" w:type="dxa"/>
          </w:tcPr>
          <w:p w14:paraId="2263DD3F" w14:textId="26FCF79D" w:rsidR="00FD656A" w:rsidRPr="00835753" w:rsidRDefault="00375DDC" w:rsidP="004D58B3">
            <w:pPr>
              <w:autoSpaceDE w:val="0"/>
              <w:autoSpaceDN w:val="0"/>
              <w:adjustRightInd w:val="0"/>
              <w:spacing w:before="120" w:after="120"/>
              <w:jc w:val="center"/>
              <w:rPr>
                <w:rFonts w:ascii="Times New Roman" w:eastAsia="Times New Roman" w:hAnsi="Times New Roman" w:cs="Times New Roman"/>
                <w:sz w:val="24"/>
              </w:rPr>
            </w:pPr>
            <w:proofErr w:type="gramStart"/>
            <w:r w:rsidRPr="00835753">
              <w:rPr>
                <w:rFonts w:ascii="Times New Roman" w:hAnsi="Times New Roman"/>
                <w:sz w:val="24"/>
              </w:rPr>
              <w:t>g</w:t>
            </w:r>
            <w:proofErr w:type="gramEnd"/>
            <w:r w:rsidRPr="00835753">
              <w:rPr>
                <w:rFonts w:ascii="Times New Roman" w:hAnsi="Times New Roman"/>
                <w:sz w:val="24"/>
              </w:rPr>
              <w:t>)</w:t>
            </w:r>
          </w:p>
        </w:tc>
        <w:tc>
          <w:tcPr>
            <w:tcW w:w="7654" w:type="dxa"/>
          </w:tcPr>
          <w:p w14:paraId="6C2B84BD" w14:textId="7A9FBD85"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Skrótowy opis zasad rachunkowości stosowanych przez instytucje</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odn</w:t>
            </w:r>
            <w:r w:rsidRPr="00835753">
              <w:rPr>
                <w:rFonts w:ascii="Times New Roman" w:hAnsi="Times New Roman"/>
                <w:iCs/>
                <w:sz w:val="24"/>
              </w:rPr>
              <w:t>iesieniu do działalności sekurytyzacyjnej,</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tym</w:t>
            </w:r>
            <w:r w:rsidRPr="00835753">
              <w:rPr>
                <w:rFonts w:ascii="Times New Roman" w:hAnsi="Times New Roman"/>
                <w:iCs/>
                <w:sz w:val="24"/>
              </w:rPr>
              <w:t xml:space="preserve"> –</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sto</w:t>
            </w:r>
            <w:r w:rsidRPr="00835753">
              <w:rPr>
                <w:rFonts w:ascii="Times New Roman" w:hAnsi="Times New Roman"/>
                <w:iCs/>
                <w:sz w:val="24"/>
              </w:rPr>
              <w:t>sownych przypadkach – rozróżnienie między pozycjami sekurytyzacyjnymi</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res</w:t>
            </w:r>
            <w:r w:rsidRPr="00835753">
              <w:rPr>
                <w:rFonts w:ascii="Times New Roman" w:hAnsi="Times New Roman"/>
                <w:iCs/>
                <w:sz w:val="24"/>
              </w:rPr>
              <w:t>ekurytyzacyjnymi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449 lit.</w:t>
            </w:r>
            <w:r w:rsidR="00835753" w:rsidRPr="00835753">
              <w:rPr>
                <w:rFonts w:ascii="Times New Roman" w:hAnsi="Times New Roman"/>
                <w:iCs/>
                <w:sz w:val="24"/>
              </w:rPr>
              <w:t> </w:t>
            </w:r>
            <w:r w:rsidRPr="00835753">
              <w:rPr>
                <w:rFonts w:ascii="Times New Roman" w:hAnsi="Times New Roman"/>
                <w:iCs/>
                <w:sz w:val="24"/>
              </w:rPr>
              <w:t>g) CRR.</w:t>
            </w:r>
          </w:p>
        </w:tc>
      </w:tr>
      <w:tr w:rsidR="00FD656A" w:rsidRPr="00835753" w14:paraId="6B7C5187" w14:textId="77777777" w:rsidTr="00155C96">
        <w:trPr>
          <w:trHeight w:val="316"/>
        </w:trPr>
        <w:tc>
          <w:tcPr>
            <w:tcW w:w="1413" w:type="dxa"/>
          </w:tcPr>
          <w:p w14:paraId="22DF21EF" w14:textId="02A8CF17" w:rsidR="00FD656A" w:rsidRPr="00835753" w:rsidRDefault="00375DDC" w:rsidP="004D58B3">
            <w:pPr>
              <w:autoSpaceDE w:val="0"/>
              <w:autoSpaceDN w:val="0"/>
              <w:adjustRightInd w:val="0"/>
              <w:spacing w:before="120" w:after="120"/>
              <w:jc w:val="center"/>
              <w:rPr>
                <w:rFonts w:ascii="Times New Roman" w:eastAsia="Times New Roman" w:hAnsi="Times New Roman" w:cs="Times New Roman"/>
                <w:sz w:val="24"/>
              </w:rPr>
            </w:pPr>
            <w:proofErr w:type="gramStart"/>
            <w:r w:rsidRPr="00835753">
              <w:rPr>
                <w:rFonts w:ascii="Times New Roman" w:hAnsi="Times New Roman"/>
                <w:sz w:val="24"/>
              </w:rPr>
              <w:t>h</w:t>
            </w:r>
            <w:proofErr w:type="gramEnd"/>
            <w:r w:rsidRPr="00835753">
              <w:rPr>
                <w:rFonts w:ascii="Times New Roman" w:hAnsi="Times New Roman"/>
                <w:sz w:val="24"/>
              </w:rPr>
              <w:t>)</w:t>
            </w:r>
          </w:p>
        </w:tc>
        <w:tc>
          <w:tcPr>
            <w:tcW w:w="7654" w:type="dxa"/>
          </w:tcPr>
          <w:p w14:paraId="6525856B" w14:textId="6EE92009"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Nazwy instytucje ECAI, których oceny są stosowane na potrzeby sekurytyzacji,</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rod</w:t>
            </w:r>
            <w:r w:rsidRPr="00835753">
              <w:rPr>
                <w:rFonts w:ascii="Times New Roman" w:hAnsi="Times New Roman"/>
                <w:iCs/>
                <w:sz w:val="24"/>
              </w:rPr>
              <w:t>zaje ekspozycji, do których stosuje się oceny poszczególnych agencji,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449 lit.</w:t>
            </w:r>
            <w:r w:rsidR="00835753" w:rsidRPr="00835753">
              <w:rPr>
                <w:rFonts w:ascii="Times New Roman" w:hAnsi="Times New Roman"/>
                <w:iCs/>
                <w:sz w:val="24"/>
              </w:rPr>
              <w:t> </w:t>
            </w:r>
            <w:r w:rsidRPr="00835753">
              <w:rPr>
                <w:rFonts w:ascii="Times New Roman" w:hAnsi="Times New Roman"/>
                <w:iCs/>
                <w:sz w:val="24"/>
              </w:rPr>
              <w:t>h) CRR.</w:t>
            </w:r>
          </w:p>
        </w:tc>
      </w:tr>
      <w:tr w:rsidR="00FD656A" w:rsidRPr="00835753" w14:paraId="3FA71EDB" w14:textId="77777777" w:rsidTr="00155C96">
        <w:trPr>
          <w:trHeight w:val="316"/>
        </w:trPr>
        <w:tc>
          <w:tcPr>
            <w:tcW w:w="1413" w:type="dxa"/>
          </w:tcPr>
          <w:p w14:paraId="1B50AB52" w14:textId="62CEB549" w:rsidR="00FD656A" w:rsidRPr="00835753" w:rsidRDefault="00375DDC" w:rsidP="004D58B3">
            <w:pPr>
              <w:autoSpaceDE w:val="0"/>
              <w:autoSpaceDN w:val="0"/>
              <w:adjustRightInd w:val="0"/>
              <w:spacing w:before="120" w:after="120"/>
              <w:jc w:val="center"/>
              <w:rPr>
                <w:rFonts w:ascii="Times New Roman" w:eastAsia="Times New Roman" w:hAnsi="Times New Roman" w:cs="Times New Roman"/>
                <w:sz w:val="24"/>
              </w:rPr>
            </w:pPr>
            <w:r w:rsidRPr="00835753">
              <w:rPr>
                <w:rFonts w:ascii="Times New Roman" w:hAnsi="Times New Roman"/>
                <w:sz w:val="24"/>
              </w:rPr>
              <w:t>(i)</w:t>
            </w:r>
          </w:p>
        </w:tc>
        <w:tc>
          <w:tcPr>
            <w:tcW w:w="7654" w:type="dxa"/>
          </w:tcPr>
          <w:p w14:paraId="00C92543" w14:textId="50CE0EE4"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W stosownych przypadkach, opis metody wewnętrznych oszacowań określonej</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prz</w:t>
            </w:r>
            <w:r w:rsidRPr="00835753">
              <w:rPr>
                <w:rFonts w:ascii="Times New Roman" w:hAnsi="Times New Roman"/>
                <w:iCs/>
                <w:sz w:val="24"/>
              </w:rPr>
              <w:t>episach części trzeciej tytuł II rozdział 5 CRR,</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tym</w:t>
            </w:r>
            <w:r w:rsidRPr="00835753">
              <w:rPr>
                <w:rFonts w:ascii="Times New Roman" w:hAnsi="Times New Roman"/>
                <w:iCs/>
                <w:sz w:val="24"/>
              </w:rPr>
              <w:t xml:space="preserve"> struktury procesu oceny wewnętrznej oraz związku pomiędzy oceną wewnętrzną</w:t>
            </w:r>
            <w:r w:rsidR="00835753" w:rsidRPr="00835753">
              <w:rPr>
                <w:rFonts w:ascii="Times New Roman" w:hAnsi="Times New Roman"/>
                <w:iCs/>
                <w:sz w:val="24"/>
              </w:rPr>
              <w:t xml:space="preserve"> a</w:t>
            </w:r>
            <w:r w:rsidR="00835753">
              <w:rPr>
                <w:rFonts w:ascii="Times New Roman" w:hAnsi="Times New Roman"/>
                <w:iCs/>
                <w:sz w:val="24"/>
              </w:rPr>
              <w:t> </w:t>
            </w:r>
            <w:r w:rsidR="00835753" w:rsidRPr="00835753">
              <w:rPr>
                <w:rFonts w:ascii="Times New Roman" w:hAnsi="Times New Roman"/>
                <w:iCs/>
                <w:sz w:val="24"/>
              </w:rPr>
              <w:t>rat</w:t>
            </w:r>
            <w:r w:rsidRPr="00835753">
              <w:rPr>
                <w:rFonts w:ascii="Times New Roman" w:hAnsi="Times New Roman"/>
                <w:iCs/>
                <w:sz w:val="24"/>
              </w:rPr>
              <w:t>ingiem zewnętrznym nadanym przez właściwą ECAI</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uja</w:t>
            </w:r>
            <w:r w:rsidRPr="00835753">
              <w:rPr>
                <w:rFonts w:ascii="Times New Roman" w:hAnsi="Times New Roman"/>
                <w:iCs/>
                <w:sz w:val="24"/>
              </w:rPr>
              <w:t>wnionym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lit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h), mechanizmów kontroli dotyczących procesu oceny wewnętrznej,</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tym</w:t>
            </w:r>
            <w:r w:rsidRPr="00835753">
              <w:rPr>
                <w:rFonts w:ascii="Times New Roman" w:hAnsi="Times New Roman"/>
                <w:iCs/>
                <w:sz w:val="24"/>
              </w:rPr>
              <w:t xml:space="preserve"> omówienie niezależności, odpowiedzialności oraz przeglądu procesu oceny wewnętrznej, rodzaje ekspozycji, do których ma zastosowanie proces oceny wewnętrznej, oraz czynniki skrajne, które są wykorzystywane do określania poziomów wsparcia jakości kredytowej,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449 lit.</w:t>
            </w:r>
            <w:r w:rsidR="00835753" w:rsidRPr="00835753">
              <w:rPr>
                <w:rFonts w:ascii="Times New Roman" w:hAnsi="Times New Roman"/>
                <w:iCs/>
                <w:sz w:val="24"/>
              </w:rPr>
              <w:t> </w:t>
            </w:r>
            <w:r w:rsidRPr="00835753">
              <w:rPr>
                <w:rFonts w:ascii="Times New Roman" w:hAnsi="Times New Roman"/>
                <w:iCs/>
                <w:sz w:val="24"/>
              </w:rPr>
              <w:t>i) CRR.</w:t>
            </w:r>
          </w:p>
        </w:tc>
      </w:tr>
    </w:tbl>
    <w:p w14:paraId="09579526" w14:textId="77777777" w:rsidR="00FD656A" w:rsidRPr="00835753" w:rsidRDefault="00FD656A" w:rsidP="00FD656A">
      <w:pPr>
        <w:rPr>
          <w:rFonts w:ascii="Times New Roman" w:hAnsi="Times New Roman" w:cs="Times New Roman"/>
          <w:sz w:val="24"/>
        </w:rPr>
      </w:pPr>
    </w:p>
    <w:p w14:paraId="00018CBA" w14:textId="27085CFC" w:rsidR="00FD656A" w:rsidRPr="00835753" w:rsidRDefault="00FD656A" w:rsidP="00FD656A">
      <w:pPr>
        <w:rPr>
          <w:rFonts w:ascii="Times New Roman" w:hAnsi="Times New Roman" w:cs="Times New Roman"/>
          <w:b/>
          <w:sz w:val="24"/>
        </w:rPr>
      </w:pPr>
      <w:r w:rsidRPr="00835753">
        <w:rPr>
          <w:rFonts w:ascii="Times New Roman" w:hAnsi="Times New Roman"/>
          <w:b/>
          <w:sz w:val="24"/>
        </w:rPr>
        <w:t>EU SEC1 – Ekspozycje sekurytyzacyjne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por</w:t>
      </w:r>
      <w:r w:rsidRPr="00835753">
        <w:rPr>
          <w:rFonts w:ascii="Times New Roman" w:hAnsi="Times New Roman"/>
          <w:b/>
          <w:sz w:val="24"/>
        </w:rPr>
        <w:t xml:space="preserve">tfelu bankowym. </w:t>
      </w:r>
      <w:r w:rsidRPr="00835753">
        <w:rPr>
          <w:rFonts w:ascii="Times New Roman" w:hAnsi="Times New Roman"/>
          <w:sz w:val="24"/>
        </w:rPr>
        <w:t>Format stały</w:t>
      </w:r>
    </w:p>
    <w:p w14:paraId="56807EB4" w14:textId="6404F15A" w:rsidR="00FD656A" w:rsidRPr="00835753" w:rsidRDefault="00FD656A" w:rsidP="00FD656A">
      <w:pPr>
        <w:pStyle w:val="ListParagraph"/>
        <w:numPr>
          <w:ilvl w:val="0"/>
          <w:numId w:val="58"/>
        </w:numPr>
        <w:spacing w:before="120" w:after="120"/>
        <w:ind w:left="432"/>
        <w:jc w:val="both"/>
        <w:rPr>
          <w:rFonts w:ascii="Times New Roman" w:hAnsi="Times New Roman"/>
          <w:bCs/>
          <w:sz w:val="24"/>
        </w:rPr>
      </w:pPr>
      <w:r w:rsidRPr="00835753">
        <w:rPr>
          <w:rFonts w:ascii="Times New Roman" w:hAnsi="Times New Roman"/>
          <w:bCs/>
          <w:sz w:val="24"/>
        </w:rPr>
        <w:t>W celu wypełnienia wzoru EU SEC1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ączniku XXVII do niniejszego rozporządzenia wykonawczego instytucje ujawniają informacje,</w:t>
      </w:r>
      <w:r w:rsidR="00835753" w:rsidRPr="00835753">
        <w:rPr>
          <w:rFonts w:ascii="Times New Roman" w:hAnsi="Times New Roman"/>
          <w:bCs/>
          <w:sz w:val="24"/>
        </w:rPr>
        <w:t xml:space="preserve"> o</w:t>
      </w:r>
      <w:r w:rsidR="00835753">
        <w:rPr>
          <w:rFonts w:ascii="Times New Roman" w:hAnsi="Times New Roman"/>
          <w:bCs/>
          <w:sz w:val="24"/>
        </w:rPr>
        <w:t> </w:t>
      </w:r>
      <w:r w:rsidR="00835753" w:rsidRPr="00835753">
        <w:rPr>
          <w:rFonts w:ascii="Times New Roman" w:hAnsi="Times New Roman"/>
          <w:bCs/>
          <w:sz w:val="24"/>
        </w:rPr>
        <w:t>któ</w:t>
      </w:r>
      <w:r w:rsidRPr="00835753">
        <w:rPr>
          <w:rFonts w:ascii="Times New Roman" w:hAnsi="Times New Roman"/>
          <w:bCs/>
          <w:sz w:val="24"/>
        </w:rPr>
        <w:t>rych mowa</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449 lit.</w:t>
      </w:r>
      <w:r w:rsidR="00835753" w:rsidRPr="00835753">
        <w:rPr>
          <w:rFonts w:ascii="Times New Roman" w:hAnsi="Times New Roman"/>
          <w:bCs/>
          <w:sz w:val="24"/>
        </w:rPr>
        <w:t> </w:t>
      </w:r>
      <w:r w:rsidRPr="00835753">
        <w:rPr>
          <w:rFonts w:ascii="Times New Roman" w:hAnsi="Times New Roman"/>
          <w:bCs/>
          <w:sz w:val="24"/>
        </w:rPr>
        <w:t>j) CRR,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zawartymi</w:t>
      </w:r>
      <w:r w:rsidR="00835753" w:rsidRPr="00835753">
        <w:rPr>
          <w:rFonts w:ascii="Times New Roman" w:hAnsi="Times New Roman"/>
          <w:bCs/>
          <w:sz w:val="24"/>
        </w:rPr>
        <w:t xml:space="preserve"> </w:t>
      </w:r>
      <w:r w:rsidR="00835753" w:rsidRPr="00835753">
        <w:rPr>
          <w:rFonts w:ascii="Times New Roman" w:hAnsi="Times New Roman"/>
          <w:bCs/>
          <w:sz w:val="24"/>
        </w:rPr>
        <w:lastRenderedPageBreak/>
        <w:t>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 Instytucje wyjaśniają</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opi</w:t>
      </w:r>
      <w:r w:rsidRPr="00835753">
        <w:rPr>
          <w:rFonts w:ascii="Times New Roman" w:hAnsi="Times New Roman"/>
          <w:bCs/>
          <w:sz w:val="24"/>
        </w:rPr>
        <w:t>sie towarzyszącym wzorowi, czy zawarły</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nim</w:t>
      </w:r>
      <w:r w:rsidRPr="00835753">
        <w:rPr>
          <w:rFonts w:ascii="Times New Roman" w:hAnsi="Times New Roman"/>
          <w:bCs/>
          <w:sz w:val="24"/>
        </w:rPr>
        <w:t xml:space="preserve"> swoje sekurytyzacje tradycyjne, programy emisji papierów komercyjnych zabezpieczonych należnościami oraz –</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sto</w:t>
      </w:r>
      <w:r w:rsidRPr="00835753">
        <w:rPr>
          <w:rFonts w:ascii="Times New Roman" w:hAnsi="Times New Roman"/>
          <w:bCs/>
          <w:sz w:val="24"/>
        </w:rPr>
        <w:t>sownych przypadkach – wielkość transakcji realizowanych</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ram</w:t>
      </w:r>
      <w:r w:rsidRPr="00835753">
        <w:rPr>
          <w:rFonts w:ascii="Times New Roman" w:hAnsi="Times New Roman"/>
          <w:bCs/>
          <w:sz w:val="24"/>
        </w:rPr>
        <w:t>ach programów emisji papierów komercyjnych zabezpieczonych należnościami.</w:t>
      </w:r>
    </w:p>
    <w:p w14:paraId="1A89B602" w14:textId="77777777" w:rsidR="00FD656A" w:rsidRPr="00835753"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835753"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0DE518CD" w:rsidR="00FD656A" w:rsidRPr="00835753" w:rsidRDefault="00FD656A" w:rsidP="00155C96">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FD656A" w:rsidRPr="00835753" w14:paraId="000023F8" w14:textId="77777777" w:rsidTr="00155C96">
        <w:trPr>
          <w:trHeight w:val="238"/>
        </w:trPr>
        <w:tc>
          <w:tcPr>
            <w:tcW w:w="1413" w:type="dxa"/>
            <w:shd w:val="clear" w:color="auto" w:fill="D9D9D9" w:themeFill="background1" w:themeFillShade="D9"/>
          </w:tcPr>
          <w:p w14:paraId="0D8F2564" w14:textId="77777777" w:rsidR="00FD656A" w:rsidRPr="00835753" w:rsidRDefault="00FD656A" w:rsidP="00155C96">
            <w:pPr>
              <w:autoSpaceDE w:val="0"/>
              <w:autoSpaceDN w:val="0"/>
              <w:adjustRightInd w:val="0"/>
              <w:rPr>
                <w:rFonts w:ascii="Times New Roman" w:hAnsi="Times New Roman" w:cs="Times New Roman"/>
                <w:b/>
                <w:sz w:val="24"/>
              </w:rPr>
            </w:pPr>
            <w:r w:rsidRPr="00835753">
              <w:rPr>
                <w:rFonts w:ascii="Times New Roman" w:hAnsi="Times New Roman"/>
                <w:b/>
                <w:sz w:val="24"/>
              </w:rPr>
              <w:t>Oznaczenie kolumny</w:t>
            </w:r>
          </w:p>
        </w:tc>
        <w:tc>
          <w:tcPr>
            <w:tcW w:w="7654" w:type="dxa"/>
            <w:shd w:val="clear" w:color="auto" w:fill="D9D9D9" w:themeFill="background1" w:themeFillShade="D9"/>
          </w:tcPr>
          <w:p w14:paraId="479A2812" w14:textId="77777777" w:rsidR="00FD656A" w:rsidRPr="00835753" w:rsidRDefault="00FD656A" w:rsidP="00155C96">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FD656A" w:rsidRPr="00835753" w14:paraId="7D06874C" w14:textId="77777777" w:rsidTr="00155C96">
        <w:trPr>
          <w:trHeight w:val="316"/>
        </w:trPr>
        <w:tc>
          <w:tcPr>
            <w:tcW w:w="1413" w:type="dxa"/>
          </w:tcPr>
          <w:p w14:paraId="20708403" w14:textId="6E33A8F2"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835753">
              <w:rPr>
                <w:rFonts w:ascii="Times New Roman" w:hAnsi="Times New Roman"/>
                <w:sz w:val="24"/>
              </w:rPr>
              <w:t>a</w:t>
            </w:r>
            <w:proofErr w:type="gramStart"/>
            <w:r w:rsidR="00996FFB">
              <w:rPr>
                <w:rFonts w:ascii="Times New Roman" w:hAnsi="Times New Roman"/>
                <w:sz w:val="24"/>
              </w:rPr>
              <w:t>)</w:t>
            </w:r>
            <w:r w:rsidRPr="00835753">
              <w:rPr>
                <w:rFonts w:ascii="Times New Roman" w:hAnsi="Times New Roman"/>
                <w:sz w:val="24"/>
              </w:rPr>
              <w:t>–g</w:t>
            </w:r>
            <w:proofErr w:type="gramEnd"/>
            <w:r w:rsidR="00996FFB">
              <w:rPr>
                <w:rFonts w:ascii="Times New Roman" w:hAnsi="Times New Roman"/>
                <w:sz w:val="24"/>
              </w:rPr>
              <w:t>)</w:t>
            </w:r>
          </w:p>
        </w:tc>
        <w:tc>
          <w:tcPr>
            <w:tcW w:w="7654" w:type="dxa"/>
          </w:tcPr>
          <w:p w14:paraId="1785334C" w14:textId="7777777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835753">
              <w:rPr>
                <w:rFonts w:ascii="Times New Roman" w:hAnsi="Times New Roman"/>
                <w:b/>
                <w:iCs/>
                <w:sz w:val="24"/>
              </w:rPr>
              <w:t xml:space="preserve">Instytucja działa jako jednostka inicjująca </w:t>
            </w:r>
          </w:p>
          <w:p w14:paraId="6C0DA174" w14:textId="7D2E6ED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W przypadku gdy „instytucja działa jako jednostka inicjująca”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def</w:t>
            </w:r>
            <w:r w:rsidRPr="00835753">
              <w:rPr>
                <w:rFonts w:ascii="Times New Roman" w:hAnsi="Times New Roman"/>
                <w:iCs/>
                <w:sz w:val="24"/>
              </w:rPr>
              <w:t>inicją zawartą</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4 ust.</w:t>
            </w:r>
            <w:r w:rsidR="00835753" w:rsidRPr="00835753">
              <w:rPr>
                <w:rFonts w:ascii="Times New Roman" w:hAnsi="Times New Roman"/>
                <w:iCs/>
                <w:sz w:val="24"/>
              </w:rPr>
              <w:t> </w:t>
            </w:r>
            <w:r w:rsidRPr="00835753">
              <w:rPr>
                <w:rFonts w:ascii="Times New Roman" w:hAnsi="Times New Roman"/>
                <w:iCs/>
                <w:sz w:val="24"/>
              </w:rPr>
              <w:t>1 pkt</w:t>
            </w:r>
            <w:r w:rsidR="00835753" w:rsidRPr="00835753">
              <w:rPr>
                <w:rFonts w:ascii="Times New Roman" w:hAnsi="Times New Roman"/>
                <w:iCs/>
                <w:sz w:val="24"/>
              </w:rPr>
              <w:t> </w:t>
            </w:r>
            <w:r w:rsidRPr="00835753">
              <w:rPr>
                <w:rFonts w:ascii="Times New Roman" w:hAnsi="Times New Roman"/>
                <w:iCs/>
                <w:sz w:val="24"/>
              </w:rPr>
              <w:t>13 CRR, ekspozycje sekurytyzacyjne stanowią pozycje zatrzymane, nawet jeżeli nie kwalifikują się do objęcia ramami sekurytyzacji</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uwa</w:t>
            </w:r>
            <w:r w:rsidRPr="00835753">
              <w:rPr>
                <w:rFonts w:ascii="Times New Roman" w:hAnsi="Times New Roman"/>
                <w:iCs/>
                <w:sz w:val="24"/>
              </w:rPr>
              <w:t>gi na brak przeniesienia istotnej części ryzyka. Ekspozycje sekurytyzacyjne</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tra</w:t>
            </w:r>
            <w:r w:rsidRPr="00835753">
              <w:rPr>
                <w:rFonts w:ascii="Times New Roman" w:hAnsi="Times New Roman"/>
                <w:iCs/>
                <w:sz w:val="24"/>
              </w:rPr>
              <w:t>nsakcjach,</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prz</w:t>
            </w:r>
            <w:r w:rsidRPr="00835753">
              <w:rPr>
                <w:rFonts w:ascii="Times New Roman" w:hAnsi="Times New Roman"/>
                <w:iCs/>
                <w:sz w:val="24"/>
              </w:rPr>
              <w:t>ypadku których doszło do przeniesienia istotnej części ryzyka, ujmuje się odrębnie.</w:t>
            </w:r>
          </w:p>
          <w:p w14:paraId="61F7DDD8" w14:textId="01B6D1CC"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W dniu ujawnienia jednostki inicjujące ujawniają wartość bilansową wszystkich aktualnych ekspozycji sekurytyzacyjnych, które utrzymują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zwi</w:t>
            </w:r>
            <w:r w:rsidRPr="00835753">
              <w:rPr>
                <w:rFonts w:ascii="Times New Roman" w:hAnsi="Times New Roman"/>
                <w:sz w:val="24"/>
              </w:rPr>
              <w:t>ązku</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zai</w:t>
            </w:r>
            <w:r w:rsidRPr="00835753">
              <w:rPr>
                <w:rFonts w:ascii="Times New Roman" w:hAnsi="Times New Roman"/>
                <w:sz w:val="24"/>
              </w:rPr>
              <w:t>nicjowanymi przez siebie transakcjami sekurytyzacyjnymi. Ujawnia się zatem bilansowe ekspozycje sekurytyzacyjne (np. obligacje, pożyczki podporządkowane), jak również pozabilansowe ekspozycje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trumenty pochodne (np. podporządkowane linie kredytowe, instrumenty wsparcia płynności, swapy stopy procentowej, swapy ryzyka kredytowego itp.), które wynikają</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sek</w:t>
            </w:r>
            <w:r w:rsidRPr="00835753">
              <w:rPr>
                <w:rFonts w:ascii="Times New Roman" w:hAnsi="Times New Roman"/>
                <w:sz w:val="24"/>
              </w:rPr>
              <w:t>urytyzacji.</w:t>
            </w:r>
          </w:p>
        </w:tc>
      </w:tr>
      <w:tr w:rsidR="00FD656A" w:rsidRPr="00835753" w14:paraId="78DDAA5D" w14:textId="77777777" w:rsidTr="00155C96">
        <w:trPr>
          <w:trHeight w:val="316"/>
        </w:trPr>
        <w:tc>
          <w:tcPr>
            <w:tcW w:w="1413" w:type="dxa"/>
          </w:tcPr>
          <w:p w14:paraId="7E817B06" w14:textId="0EFA61B5"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835753">
              <w:rPr>
                <w:rFonts w:ascii="Times New Roman" w:hAnsi="Times New Roman"/>
                <w:sz w:val="24"/>
              </w:rPr>
              <w:t>h</w:t>
            </w:r>
            <w:proofErr w:type="gramStart"/>
            <w:r w:rsidR="00996FFB">
              <w:rPr>
                <w:rFonts w:ascii="Times New Roman" w:hAnsi="Times New Roman"/>
                <w:sz w:val="24"/>
              </w:rPr>
              <w:t>)</w:t>
            </w:r>
            <w:r w:rsidRPr="00835753">
              <w:rPr>
                <w:rFonts w:ascii="Times New Roman" w:hAnsi="Times New Roman"/>
                <w:sz w:val="24"/>
              </w:rPr>
              <w:t>–k</w:t>
            </w:r>
            <w:proofErr w:type="gramEnd"/>
            <w:r w:rsidR="00996FFB">
              <w:rPr>
                <w:rFonts w:ascii="Times New Roman" w:hAnsi="Times New Roman"/>
                <w:sz w:val="24"/>
              </w:rPr>
              <w:t>)</w:t>
            </w:r>
          </w:p>
        </w:tc>
        <w:tc>
          <w:tcPr>
            <w:tcW w:w="7654" w:type="dxa"/>
          </w:tcPr>
          <w:p w14:paraId="48597E4E" w14:textId="7777777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835753">
              <w:rPr>
                <w:rFonts w:ascii="Times New Roman" w:hAnsi="Times New Roman"/>
                <w:b/>
                <w:iCs/>
                <w:sz w:val="24"/>
              </w:rPr>
              <w:t xml:space="preserve">Instytucja działa jako jednostka sponsorująca </w:t>
            </w:r>
          </w:p>
          <w:p w14:paraId="2C4F4A2F" w14:textId="465DE6B3"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iCs/>
                <w:sz w:val="24"/>
              </w:rPr>
              <w:t>W przypadku gdy „instytucja działa jako jednostka sponsorująca”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def</w:t>
            </w:r>
            <w:r w:rsidRPr="00835753">
              <w:rPr>
                <w:rFonts w:ascii="Times New Roman" w:hAnsi="Times New Roman"/>
                <w:iCs/>
                <w:sz w:val="24"/>
              </w:rPr>
              <w:t>inicją zawartą</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4 ust.</w:t>
            </w:r>
            <w:r w:rsidR="00835753" w:rsidRPr="00835753">
              <w:rPr>
                <w:rFonts w:ascii="Times New Roman" w:hAnsi="Times New Roman"/>
                <w:iCs/>
                <w:sz w:val="24"/>
              </w:rPr>
              <w:t> </w:t>
            </w:r>
            <w:r w:rsidRPr="00835753">
              <w:rPr>
                <w:rFonts w:ascii="Times New Roman" w:hAnsi="Times New Roman"/>
                <w:iCs/>
                <w:sz w:val="24"/>
              </w:rPr>
              <w:t>1 pkt</w:t>
            </w:r>
            <w:r w:rsidR="00835753" w:rsidRPr="00835753">
              <w:rPr>
                <w:rFonts w:ascii="Times New Roman" w:hAnsi="Times New Roman"/>
                <w:iCs/>
                <w:sz w:val="24"/>
              </w:rPr>
              <w:t> </w:t>
            </w:r>
            <w:r w:rsidRPr="00835753">
              <w:rPr>
                <w:rFonts w:ascii="Times New Roman" w:hAnsi="Times New Roman"/>
                <w:iCs/>
                <w:sz w:val="24"/>
              </w:rPr>
              <w:t>14 CRR), ekspozycje sekurytyzacyjne obejmują ekspozycje wobec spółek do celów emisji papierów dłużnych przedsiębiorstw, którym instytucja zapewnia wsparcie</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ram</w:t>
            </w:r>
            <w:r w:rsidRPr="00835753">
              <w:rPr>
                <w:rFonts w:ascii="Times New Roman" w:hAnsi="Times New Roman"/>
                <w:iCs/>
                <w:sz w:val="24"/>
              </w:rPr>
              <w:t>ach całego programu, płynność oraz inne instrumenty. Jeżeli instytucja pełni zarówno funkcję jednostki inicjującej, jak</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fun</w:t>
            </w:r>
            <w:r w:rsidRPr="00835753">
              <w:rPr>
                <w:rFonts w:ascii="Times New Roman" w:hAnsi="Times New Roman"/>
                <w:iCs/>
                <w:sz w:val="24"/>
              </w:rPr>
              <w:t>kcję jednostki sponsorującej, musi zadbać o to, aby nie doszło do przypadku podwójnego liczenia</w:t>
            </w:r>
            <w:r w:rsidR="00835753" w:rsidRPr="00835753">
              <w:rPr>
                <w:rFonts w:ascii="Times New Roman" w:hAnsi="Times New Roman"/>
                <w:iCs/>
                <w:sz w:val="24"/>
              </w:rPr>
              <w:t>. W</w:t>
            </w:r>
            <w:r w:rsidR="00835753">
              <w:rPr>
                <w:rFonts w:ascii="Times New Roman" w:hAnsi="Times New Roman"/>
                <w:iCs/>
                <w:sz w:val="24"/>
              </w:rPr>
              <w:t> </w:t>
            </w:r>
            <w:r w:rsidR="00835753" w:rsidRPr="00835753">
              <w:rPr>
                <w:rFonts w:ascii="Times New Roman" w:hAnsi="Times New Roman"/>
                <w:iCs/>
                <w:sz w:val="24"/>
              </w:rPr>
              <w:t>tym</w:t>
            </w:r>
            <w:r w:rsidRPr="00835753">
              <w:rPr>
                <w:rFonts w:ascii="Times New Roman" w:hAnsi="Times New Roman"/>
                <w:iCs/>
                <w:sz w:val="24"/>
              </w:rPr>
              <w:t xml:space="preserve"> względzie instytucja może połączyć dwie kolumny „instytucja działa jako jednostka inicjująca” oraz „instytucja działa jako jednostka sponsorująca”</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kor</w:t>
            </w:r>
            <w:r w:rsidRPr="00835753">
              <w:rPr>
                <w:rFonts w:ascii="Times New Roman" w:hAnsi="Times New Roman"/>
                <w:iCs/>
                <w:sz w:val="24"/>
              </w:rPr>
              <w:t>zystać</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kol</w:t>
            </w:r>
            <w:r w:rsidRPr="00835753">
              <w:rPr>
                <w:rFonts w:ascii="Times New Roman" w:hAnsi="Times New Roman"/>
                <w:iCs/>
                <w:sz w:val="24"/>
              </w:rPr>
              <w:t>umn „instytucja działa jako jednostka inicjująca/sponsorująca”.</w:t>
            </w:r>
          </w:p>
        </w:tc>
      </w:tr>
      <w:tr w:rsidR="00FD656A" w:rsidRPr="00835753" w14:paraId="56B6C1D2" w14:textId="77777777" w:rsidTr="00155C96">
        <w:trPr>
          <w:trHeight w:val="316"/>
        </w:trPr>
        <w:tc>
          <w:tcPr>
            <w:tcW w:w="1413" w:type="dxa"/>
          </w:tcPr>
          <w:p w14:paraId="6ADDA1F3" w14:textId="04272ECF"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835753">
              <w:rPr>
                <w:rFonts w:ascii="Times New Roman" w:hAnsi="Times New Roman"/>
                <w:sz w:val="24"/>
              </w:rPr>
              <w:t>l</w:t>
            </w:r>
            <w:proofErr w:type="gramStart"/>
            <w:r w:rsidR="00996FFB">
              <w:rPr>
                <w:rFonts w:ascii="Times New Roman" w:hAnsi="Times New Roman"/>
                <w:sz w:val="24"/>
              </w:rPr>
              <w:t>)</w:t>
            </w:r>
            <w:r w:rsidRPr="00835753">
              <w:rPr>
                <w:rFonts w:ascii="Times New Roman" w:hAnsi="Times New Roman"/>
                <w:sz w:val="24"/>
              </w:rPr>
              <w:t>–o</w:t>
            </w:r>
            <w:proofErr w:type="gramEnd"/>
            <w:r w:rsidR="00996FFB">
              <w:rPr>
                <w:rFonts w:ascii="Times New Roman" w:hAnsi="Times New Roman"/>
                <w:sz w:val="24"/>
              </w:rPr>
              <w:t>)</w:t>
            </w:r>
          </w:p>
        </w:tc>
        <w:tc>
          <w:tcPr>
            <w:tcW w:w="7654" w:type="dxa"/>
          </w:tcPr>
          <w:p w14:paraId="539AE455" w14:textId="7777777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835753">
              <w:rPr>
                <w:rFonts w:ascii="Times New Roman" w:hAnsi="Times New Roman"/>
                <w:b/>
                <w:iCs/>
                <w:sz w:val="24"/>
              </w:rPr>
              <w:t xml:space="preserve">Instytucja działa jako inwestor </w:t>
            </w:r>
          </w:p>
          <w:p w14:paraId="783670DC" w14:textId="6F6C717A"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W przypadku gdy „instytucja działa jako inwestor”, ekspozycje sekurytyzacyjne są pozycjami inwestycyjnymi nabywanymi</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ram</w:t>
            </w:r>
            <w:r w:rsidRPr="00835753">
              <w:rPr>
                <w:rFonts w:ascii="Times New Roman" w:hAnsi="Times New Roman"/>
                <w:iCs/>
                <w:sz w:val="24"/>
              </w:rPr>
              <w:t>ach transakcji</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oso</w:t>
            </w:r>
            <w:r w:rsidRPr="00835753">
              <w:rPr>
                <w:rFonts w:ascii="Times New Roman" w:hAnsi="Times New Roman"/>
                <w:iCs/>
                <w:sz w:val="24"/>
              </w:rPr>
              <w:t>bami trzecimi.</w:t>
            </w:r>
          </w:p>
          <w:p w14:paraId="5B949BE9" w14:textId="39F4B9EB"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W CRR nie ustanowiono wyraźnej definicji inwestora. Dlatego też</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tym</w:t>
            </w:r>
            <w:r w:rsidRPr="00835753">
              <w:rPr>
                <w:rFonts w:ascii="Times New Roman" w:hAnsi="Times New Roman"/>
                <w:iCs/>
                <w:sz w:val="24"/>
              </w:rPr>
              <w:t xml:space="preserve"> kontekście inwestora rozumie się jako instytucję, która posiada pozycje </w:t>
            </w:r>
            <w:r w:rsidRPr="00835753">
              <w:rPr>
                <w:rFonts w:ascii="Times New Roman" w:hAnsi="Times New Roman"/>
                <w:iCs/>
                <w:sz w:val="24"/>
              </w:rPr>
              <w:lastRenderedPageBreak/>
              <w:t>sekurytyzacyjne</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tra</w:t>
            </w:r>
            <w:r w:rsidRPr="00835753">
              <w:rPr>
                <w:rFonts w:ascii="Times New Roman" w:hAnsi="Times New Roman"/>
                <w:iCs/>
                <w:sz w:val="24"/>
              </w:rPr>
              <w:t>nsakcji sekurytyzacyjnej,</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któ</w:t>
            </w:r>
            <w:r w:rsidRPr="00835753">
              <w:rPr>
                <w:rFonts w:ascii="Times New Roman" w:hAnsi="Times New Roman"/>
                <w:iCs/>
                <w:sz w:val="24"/>
              </w:rPr>
              <w:t xml:space="preserve">rej nie jest ani jednostką inicjującą, ani jednostką sponsorującą. </w:t>
            </w:r>
          </w:p>
          <w:p w14:paraId="6F2E1A60" w14:textId="7777777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Jeżeli pula sekurytyzowanych ekspozycji stanowi połączenie pozycji sekurytyzacyjnych, instytucja musi wskazać najważniejszy rodzaj tych pozycji.</w:t>
            </w:r>
          </w:p>
        </w:tc>
      </w:tr>
      <w:tr w:rsidR="00FD656A" w:rsidRPr="00835753" w14:paraId="2F4A6C4E" w14:textId="77777777" w:rsidTr="00155C96">
        <w:trPr>
          <w:trHeight w:val="316"/>
        </w:trPr>
        <w:tc>
          <w:tcPr>
            <w:tcW w:w="1413" w:type="dxa"/>
          </w:tcPr>
          <w:p w14:paraId="3C367353" w14:textId="77777777"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835753">
              <w:rPr>
                <w:rFonts w:ascii="Times New Roman" w:hAnsi="Times New Roman"/>
                <w:sz w:val="24"/>
              </w:rPr>
              <w:lastRenderedPageBreak/>
              <w:t>a</w:t>
            </w:r>
            <w:proofErr w:type="gramStart"/>
            <w:r w:rsidRPr="00835753">
              <w:rPr>
                <w:rFonts w:ascii="Times New Roman" w:hAnsi="Times New Roman"/>
                <w:sz w:val="24"/>
              </w:rPr>
              <w:t>)–d</w:t>
            </w:r>
            <w:proofErr w:type="gramEnd"/>
            <w:r w:rsidRPr="00835753">
              <w:rPr>
                <w:rFonts w:ascii="Times New Roman" w:hAnsi="Times New Roman"/>
                <w:sz w:val="24"/>
              </w:rPr>
              <w:t>); h), i), l), m)</w:t>
            </w:r>
          </w:p>
        </w:tc>
        <w:tc>
          <w:tcPr>
            <w:tcW w:w="7654" w:type="dxa"/>
          </w:tcPr>
          <w:p w14:paraId="0FF30F6C" w14:textId="7777777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835753">
              <w:rPr>
                <w:rFonts w:ascii="Times New Roman" w:hAnsi="Times New Roman"/>
                <w:b/>
                <w:iCs/>
                <w:sz w:val="24"/>
              </w:rPr>
              <w:t xml:space="preserve">Transakcje tradycyjne </w:t>
            </w:r>
          </w:p>
          <w:p w14:paraId="7AA354A8" w14:textId="6A488EC9"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242 pkt</w:t>
            </w:r>
            <w:r w:rsidR="00835753" w:rsidRPr="00835753">
              <w:rPr>
                <w:rFonts w:ascii="Times New Roman" w:hAnsi="Times New Roman"/>
                <w:iCs/>
                <w:sz w:val="24"/>
              </w:rPr>
              <w:t> </w:t>
            </w:r>
            <w:r w:rsidRPr="00835753">
              <w:rPr>
                <w:rFonts w:ascii="Times New Roman" w:hAnsi="Times New Roman"/>
                <w:iCs/>
                <w:sz w:val="24"/>
              </w:rPr>
              <w:t>13 CRR</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zwi</w:t>
            </w:r>
            <w:r w:rsidRPr="00835753">
              <w:rPr>
                <w:rFonts w:ascii="Times New Roman" w:hAnsi="Times New Roman"/>
                <w:iCs/>
                <w:sz w:val="24"/>
              </w:rPr>
              <w:t>ązku</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2 pkt</w:t>
            </w:r>
            <w:r w:rsidR="00835753" w:rsidRPr="00835753">
              <w:rPr>
                <w:rFonts w:ascii="Times New Roman" w:hAnsi="Times New Roman"/>
                <w:iCs/>
                <w:sz w:val="24"/>
              </w:rPr>
              <w:t> </w:t>
            </w:r>
            <w:r w:rsidRPr="00835753">
              <w:rPr>
                <w:rFonts w:ascii="Times New Roman" w:hAnsi="Times New Roman"/>
                <w:iCs/>
                <w:sz w:val="24"/>
              </w:rPr>
              <w:t>9 rozporządzenia (UE) 2017/2402</w:t>
            </w:r>
            <w:r w:rsidRPr="00835753">
              <w:rPr>
                <w:rStyle w:val="FootnoteReference"/>
                <w:rFonts w:eastAsia="Times New Roman" w:cs="Times New Roman"/>
                <w:iCs/>
              </w:rPr>
              <w:footnoteReference w:id="43"/>
            </w:r>
            <w:r w:rsidRPr="00835753">
              <w:rPr>
                <w:rFonts w:ascii="Times New Roman" w:hAnsi="Times New Roman"/>
                <w:iCs/>
                <w:sz w:val="24"/>
              </w:rPr>
              <w:t xml:space="preserve"> „sekurytyzacja tradycyjna” oznacza sekurytyzację,</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ram</w:t>
            </w:r>
            <w:r w:rsidRPr="00835753">
              <w:rPr>
                <w:rFonts w:ascii="Times New Roman" w:hAnsi="Times New Roman"/>
                <w:iCs/>
                <w:sz w:val="24"/>
              </w:rPr>
              <w:t>ach której dokonuje się przeniesienia udziału gospodarczego</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eks</w:t>
            </w:r>
            <w:r w:rsidRPr="00835753">
              <w:rPr>
                <w:rFonts w:ascii="Times New Roman" w:hAnsi="Times New Roman"/>
                <w:iCs/>
                <w:sz w:val="24"/>
              </w:rPr>
              <w:t>pozycjach będących przedmiotem sekurytyzacji. Takiej sekurytyzacji dokonuje się</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dro</w:t>
            </w:r>
            <w:r w:rsidRPr="00835753">
              <w:rPr>
                <w:rFonts w:ascii="Times New Roman" w:hAnsi="Times New Roman"/>
                <w:iCs/>
                <w:sz w:val="24"/>
              </w:rPr>
              <w:t>dze przeniesienia własności ekspozycji będących przedmiotem sekurytyzacji</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jed</w:t>
            </w:r>
            <w:r w:rsidRPr="00835753">
              <w:rPr>
                <w:rFonts w:ascii="Times New Roman" w:hAnsi="Times New Roman"/>
                <w:iCs/>
                <w:sz w:val="24"/>
              </w:rPr>
              <w:t>nostki inicjującej na rzecz SSPE lub poprzez subpartycypację SSPE. Wyemitowane papiery wartościowe nie stanowią zobowiązań płatniczych jednostki inicjującej.</w:t>
            </w:r>
          </w:p>
          <w:p w14:paraId="66F3BA99" w14:textId="58150DA2"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W przypadku sekurytyzacji tradycyjnej,</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ram</w:t>
            </w:r>
            <w:r w:rsidRPr="00835753">
              <w:rPr>
                <w:rFonts w:ascii="Times New Roman" w:hAnsi="Times New Roman"/>
                <w:iCs/>
                <w:sz w:val="24"/>
              </w:rPr>
              <w:t xml:space="preserve">ach której jednostka inicjująca nie posiada żadnych pozycji, jednostka inicjująca nie uwzględnia tej sekurytyzacji przy ujawnianiu niniejszego wzoru. </w:t>
            </w:r>
          </w:p>
        </w:tc>
      </w:tr>
      <w:tr w:rsidR="00FD656A" w:rsidRPr="00835753" w14:paraId="36EDEA6A" w14:textId="77777777" w:rsidTr="00155C96">
        <w:trPr>
          <w:trHeight w:val="316"/>
        </w:trPr>
        <w:tc>
          <w:tcPr>
            <w:tcW w:w="1413" w:type="dxa"/>
          </w:tcPr>
          <w:p w14:paraId="5529B551" w14:textId="77777777"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proofErr w:type="gramStart"/>
            <w:r w:rsidRPr="00835753">
              <w:rPr>
                <w:rFonts w:ascii="Times New Roman" w:hAnsi="Times New Roman"/>
                <w:sz w:val="24"/>
              </w:rPr>
              <w:t>e</w:t>
            </w:r>
            <w:proofErr w:type="gramEnd"/>
            <w:r w:rsidRPr="00835753">
              <w:rPr>
                <w:rFonts w:ascii="Times New Roman" w:hAnsi="Times New Roman"/>
                <w:sz w:val="24"/>
              </w:rPr>
              <w:t>), f), j), n)</w:t>
            </w:r>
          </w:p>
        </w:tc>
        <w:tc>
          <w:tcPr>
            <w:tcW w:w="7654" w:type="dxa"/>
          </w:tcPr>
          <w:p w14:paraId="3C1DBB1E" w14:textId="7777777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835753">
              <w:rPr>
                <w:rFonts w:ascii="Times New Roman" w:hAnsi="Times New Roman"/>
                <w:b/>
                <w:iCs/>
                <w:sz w:val="24"/>
              </w:rPr>
              <w:t xml:space="preserve">Transakcje syntetyczne </w:t>
            </w:r>
          </w:p>
          <w:p w14:paraId="5BA04DCE" w14:textId="66C01A1C"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242 pkt</w:t>
            </w:r>
            <w:r w:rsidR="00835753" w:rsidRPr="00835753">
              <w:rPr>
                <w:rFonts w:ascii="Times New Roman" w:hAnsi="Times New Roman"/>
                <w:iCs/>
                <w:sz w:val="24"/>
              </w:rPr>
              <w:t> </w:t>
            </w:r>
            <w:r w:rsidRPr="00835753">
              <w:rPr>
                <w:rFonts w:ascii="Times New Roman" w:hAnsi="Times New Roman"/>
                <w:iCs/>
                <w:sz w:val="24"/>
              </w:rPr>
              <w:t>14 CRR</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zwi</w:t>
            </w:r>
            <w:r w:rsidRPr="00835753">
              <w:rPr>
                <w:rFonts w:ascii="Times New Roman" w:hAnsi="Times New Roman"/>
                <w:iCs/>
                <w:sz w:val="24"/>
              </w:rPr>
              <w:t>ązku</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2 pkt</w:t>
            </w:r>
            <w:r w:rsidR="00835753" w:rsidRPr="00835753">
              <w:rPr>
                <w:rFonts w:ascii="Times New Roman" w:hAnsi="Times New Roman"/>
                <w:iCs/>
                <w:sz w:val="24"/>
              </w:rPr>
              <w:t> </w:t>
            </w:r>
            <w:r w:rsidRPr="00835753">
              <w:rPr>
                <w:rFonts w:ascii="Times New Roman" w:hAnsi="Times New Roman"/>
                <w:iCs/>
                <w:sz w:val="24"/>
              </w:rPr>
              <w:t>10 rozporządzenia (UE) 2017/2402 „sekurytyzacja syntetyczna” oznacza sekurytyzację,</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ram</w:t>
            </w:r>
            <w:r w:rsidRPr="00835753">
              <w:rPr>
                <w:rFonts w:ascii="Times New Roman" w:hAnsi="Times New Roman"/>
                <w:iCs/>
                <w:sz w:val="24"/>
              </w:rPr>
              <w:t>ach której przeniesienie ryzyka odbywa się przy użyciu kredytowych instrumentów pochodnych lub gwarancji,</w:t>
            </w:r>
            <w:r w:rsidR="00835753" w:rsidRPr="00835753">
              <w:rPr>
                <w:rFonts w:ascii="Times New Roman" w:hAnsi="Times New Roman"/>
                <w:iCs/>
                <w:sz w:val="24"/>
              </w:rPr>
              <w:t xml:space="preserve"> a</w:t>
            </w:r>
            <w:r w:rsidR="00835753">
              <w:rPr>
                <w:rFonts w:ascii="Times New Roman" w:hAnsi="Times New Roman"/>
                <w:iCs/>
                <w:sz w:val="24"/>
              </w:rPr>
              <w:t> </w:t>
            </w:r>
            <w:r w:rsidR="00835753" w:rsidRPr="00835753">
              <w:rPr>
                <w:rFonts w:ascii="Times New Roman" w:hAnsi="Times New Roman"/>
                <w:iCs/>
                <w:sz w:val="24"/>
              </w:rPr>
              <w:t>eks</w:t>
            </w:r>
            <w:r w:rsidRPr="00835753">
              <w:rPr>
                <w:rFonts w:ascii="Times New Roman" w:hAnsi="Times New Roman"/>
                <w:iCs/>
                <w:sz w:val="24"/>
              </w:rPr>
              <w:t>pozycje będące przedmiotem sekurytyzacji pozostają ekspozycjami jednostki inicjującej.</w:t>
            </w:r>
          </w:p>
          <w:p w14:paraId="2FD5C4DC" w14:textId="6B0A2414"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Jeżeli instytucja nabyła ochronę, ujawnia kwoty ekspozycji netto, na które jest narażona</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któ</w:t>
            </w:r>
            <w:r w:rsidRPr="00835753">
              <w:rPr>
                <w:rFonts w:ascii="Times New Roman" w:hAnsi="Times New Roman"/>
                <w:iCs/>
                <w:sz w:val="24"/>
              </w:rPr>
              <w:t>re nie są objęte nabytą ochroną (tj. kwotę niezabezpieczoną),</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kol</w:t>
            </w:r>
            <w:r w:rsidRPr="00835753">
              <w:rPr>
                <w:rFonts w:ascii="Times New Roman" w:hAnsi="Times New Roman"/>
                <w:iCs/>
                <w:sz w:val="24"/>
              </w:rPr>
              <w:t>umnach jednostka inicjująca/sponsorująca niniejszego wzoru. Jeżeli instytucja sprzedała ochronę, kwotę ekspozycji</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tyt</w:t>
            </w:r>
            <w:r w:rsidRPr="00835753">
              <w:rPr>
                <w:rFonts w:ascii="Times New Roman" w:hAnsi="Times New Roman"/>
                <w:iCs/>
                <w:sz w:val="24"/>
              </w:rPr>
              <w:t>ułu ochrony kredytowej należy ujawnić</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kol</w:t>
            </w:r>
            <w:r w:rsidRPr="00835753">
              <w:rPr>
                <w:rFonts w:ascii="Times New Roman" w:hAnsi="Times New Roman"/>
                <w:iCs/>
                <w:sz w:val="24"/>
              </w:rPr>
              <w:t xml:space="preserve">umnie „inwestor” niniejszego wzoru. </w:t>
            </w:r>
          </w:p>
        </w:tc>
      </w:tr>
      <w:tr w:rsidR="00FD656A" w:rsidRPr="00835753" w14:paraId="2B856637" w14:textId="77777777" w:rsidTr="00155C96">
        <w:trPr>
          <w:trHeight w:val="316"/>
        </w:trPr>
        <w:tc>
          <w:tcPr>
            <w:tcW w:w="1413" w:type="dxa"/>
          </w:tcPr>
          <w:p w14:paraId="6046AAB7" w14:textId="7ED2C6C3"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 b), h), l)</w:t>
            </w:r>
          </w:p>
        </w:tc>
        <w:tc>
          <w:tcPr>
            <w:tcW w:w="7654" w:type="dxa"/>
          </w:tcPr>
          <w:p w14:paraId="12100FE4" w14:textId="5A639484"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835753">
              <w:rPr>
                <w:rFonts w:ascii="Times New Roman" w:hAnsi="Times New Roman"/>
                <w:b/>
                <w:iCs/>
                <w:sz w:val="24"/>
              </w:rPr>
              <w:t>Ekspozycja</w:t>
            </w:r>
            <w:r w:rsidR="00835753" w:rsidRPr="00835753">
              <w:rPr>
                <w:rFonts w:ascii="Times New Roman" w:hAnsi="Times New Roman"/>
                <w:b/>
                <w:iCs/>
                <w:sz w:val="24"/>
              </w:rPr>
              <w:t xml:space="preserve"> z</w:t>
            </w:r>
            <w:r w:rsidR="00835753">
              <w:rPr>
                <w:rFonts w:ascii="Times New Roman" w:hAnsi="Times New Roman"/>
                <w:b/>
                <w:iCs/>
                <w:sz w:val="24"/>
              </w:rPr>
              <w:t> </w:t>
            </w:r>
            <w:r w:rsidR="00835753" w:rsidRPr="00835753">
              <w:rPr>
                <w:rFonts w:ascii="Times New Roman" w:hAnsi="Times New Roman"/>
                <w:b/>
                <w:iCs/>
                <w:sz w:val="24"/>
              </w:rPr>
              <w:t>tyt</w:t>
            </w:r>
            <w:r w:rsidRPr="00835753">
              <w:rPr>
                <w:rFonts w:ascii="Times New Roman" w:hAnsi="Times New Roman"/>
                <w:b/>
                <w:iCs/>
                <w:sz w:val="24"/>
              </w:rPr>
              <w:t xml:space="preserve">ułu STS </w:t>
            </w:r>
          </w:p>
          <w:p w14:paraId="0D3E5667" w14:textId="314707BC" w:rsidR="00FD656A" w:rsidRPr="00835753" w:rsidRDefault="00FD656A" w:rsidP="00155C96">
            <w:pPr>
              <w:autoSpaceDE w:val="0"/>
              <w:autoSpaceDN w:val="0"/>
              <w:adjustRightInd w:val="0"/>
              <w:spacing w:before="120" w:after="120"/>
              <w:jc w:val="both"/>
              <w:rPr>
                <w:rFonts w:ascii="Times New Roman" w:hAnsi="Times New Roman"/>
                <w:sz w:val="24"/>
              </w:rPr>
            </w:pPr>
            <w:r w:rsidRPr="00835753">
              <w:rPr>
                <w:rFonts w:ascii="Times New Roman" w:hAnsi="Times New Roman"/>
                <w:iCs/>
                <w:sz w:val="24"/>
              </w:rPr>
              <w:t>Całkowita kwota pozycji sekurytyzacyjnych STS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kry</w:t>
            </w:r>
            <w:r w:rsidRPr="00835753">
              <w:rPr>
                <w:rFonts w:ascii="Times New Roman" w:hAnsi="Times New Roman"/>
                <w:iCs/>
                <w:sz w:val="24"/>
              </w:rPr>
              <w:t>teriami ustanowionymi</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 xml:space="preserve">18–26 </w:t>
            </w:r>
            <w:r w:rsidRPr="00835753">
              <w:rPr>
                <w:rFonts w:ascii="Times New Roman" w:hAnsi="Times New Roman"/>
                <w:sz w:val="24"/>
              </w:rPr>
              <w:t>rozporządzenia (UE) 2017/2402</w:t>
            </w:r>
          </w:p>
        </w:tc>
      </w:tr>
      <w:tr w:rsidR="00FD656A" w:rsidRPr="00835753" w14:paraId="2FF047DB" w14:textId="77777777" w:rsidTr="00155C96">
        <w:trPr>
          <w:trHeight w:val="316"/>
        </w:trPr>
        <w:tc>
          <w:tcPr>
            <w:tcW w:w="1413" w:type="dxa"/>
          </w:tcPr>
          <w:p w14:paraId="37AF19AF" w14:textId="77777777"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 d), f)</w:t>
            </w:r>
          </w:p>
        </w:tc>
        <w:tc>
          <w:tcPr>
            <w:tcW w:w="7654" w:type="dxa"/>
          </w:tcPr>
          <w:p w14:paraId="53790FE9" w14:textId="7089C1E4"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835753">
              <w:rPr>
                <w:rFonts w:ascii="Times New Roman" w:hAnsi="Times New Roman"/>
                <w:b/>
                <w:iCs/>
                <w:sz w:val="24"/>
              </w:rPr>
              <w:t>Ekspozycja</w:t>
            </w:r>
            <w:r w:rsidR="00835753" w:rsidRPr="00835753">
              <w:rPr>
                <w:rFonts w:ascii="Times New Roman" w:hAnsi="Times New Roman"/>
                <w:b/>
                <w:iCs/>
                <w:sz w:val="24"/>
              </w:rPr>
              <w:t xml:space="preserve"> z</w:t>
            </w:r>
            <w:r w:rsidR="00835753">
              <w:rPr>
                <w:rFonts w:ascii="Times New Roman" w:hAnsi="Times New Roman"/>
                <w:b/>
                <w:iCs/>
                <w:sz w:val="24"/>
              </w:rPr>
              <w:t> </w:t>
            </w:r>
            <w:r w:rsidR="00835753" w:rsidRPr="00835753">
              <w:rPr>
                <w:rFonts w:ascii="Times New Roman" w:hAnsi="Times New Roman"/>
                <w:b/>
                <w:iCs/>
                <w:sz w:val="24"/>
              </w:rPr>
              <w:t>tyt</w:t>
            </w:r>
            <w:r w:rsidRPr="00835753">
              <w:rPr>
                <w:rFonts w:ascii="Times New Roman" w:hAnsi="Times New Roman"/>
                <w:b/>
                <w:iCs/>
                <w:sz w:val="24"/>
              </w:rPr>
              <w:t xml:space="preserve">ułu SRT </w:t>
            </w:r>
          </w:p>
          <w:p w14:paraId="66644678" w14:textId="4BC8F121"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Całkowita kwota pozycji sekurytyzacyjnych,</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odn</w:t>
            </w:r>
            <w:r w:rsidRPr="00835753">
              <w:rPr>
                <w:rFonts w:ascii="Times New Roman" w:hAnsi="Times New Roman"/>
                <w:iCs/>
                <w:sz w:val="24"/>
              </w:rPr>
              <w:t>iesieniu do których jednostka inicjująca dokonała przeniesienia istotnej części ryzyka (SRT) zgodnie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244 (sekurytyzacja tradycyjna)</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245 (sekurytyzacja syntetyczna) CRR.</w:t>
            </w:r>
          </w:p>
        </w:tc>
      </w:tr>
    </w:tbl>
    <w:p w14:paraId="3001635E" w14:textId="77777777" w:rsidR="00FD656A" w:rsidRPr="00835753" w:rsidRDefault="00FD656A" w:rsidP="00FD656A">
      <w:pPr>
        <w:rPr>
          <w:rFonts w:ascii="Times New Roman" w:hAnsi="Times New Roman" w:cs="Times New Roman"/>
          <w:sz w:val="24"/>
        </w:rPr>
      </w:pPr>
    </w:p>
    <w:p w14:paraId="404DD993" w14:textId="77777777" w:rsidR="00FD656A" w:rsidRPr="00835753" w:rsidRDefault="00FD656A"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835753"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45C169F5" w:rsidR="00FD656A" w:rsidRPr="00835753" w:rsidRDefault="00FD656A" w:rsidP="00155C96">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FD656A" w:rsidRPr="00835753" w14:paraId="3891E7FA" w14:textId="77777777" w:rsidTr="00155C96">
        <w:trPr>
          <w:trHeight w:val="238"/>
        </w:trPr>
        <w:tc>
          <w:tcPr>
            <w:tcW w:w="1384" w:type="dxa"/>
            <w:shd w:val="clear" w:color="auto" w:fill="D9D9D9" w:themeFill="background1" w:themeFillShade="D9"/>
          </w:tcPr>
          <w:p w14:paraId="6453523F" w14:textId="77777777" w:rsidR="00FD656A" w:rsidRPr="00835753" w:rsidRDefault="00FD656A" w:rsidP="00155C96">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6B871733" w14:textId="77777777" w:rsidR="00FD656A" w:rsidRPr="00835753" w:rsidRDefault="00FD656A" w:rsidP="00155C96">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FD656A" w:rsidRPr="00835753" w14:paraId="2710BE65" w14:textId="77777777" w:rsidTr="00155C96">
        <w:trPr>
          <w:trHeight w:val="2195"/>
        </w:trPr>
        <w:tc>
          <w:tcPr>
            <w:tcW w:w="1384" w:type="dxa"/>
          </w:tcPr>
          <w:p w14:paraId="507D43C0" w14:textId="77777777" w:rsidR="00FD656A" w:rsidRPr="00835753" w:rsidRDefault="00FD656A" w:rsidP="00764687">
            <w:pPr>
              <w:pStyle w:val="Applicationdirecte"/>
              <w:spacing w:before="120"/>
              <w:jc w:val="center"/>
              <w:rPr>
                <w:highlight w:val="yellow"/>
              </w:rPr>
            </w:pPr>
            <w:r w:rsidRPr="00835753">
              <w:t>06, 12</w:t>
            </w:r>
          </w:p>
        </w:tc>
        <w:tc>
          <w:tcPr>
            <w:tcW w:w="7655" w:type="dxa"/>
          </w:tcPr>
          <w:p w14:paraId="709D0619" w14:textId="77777777" w:rsidR="00FD656A" w:rsidRPr="00835753" w:rsidRDefault="00FD656A" w:rsidP="00155C96">
            <w:pPr>
              <w:jc w:val="both"/>
              <w:rPr>
                <w:rFonts w:ascii="Times New Roman" w:hAnsi="Times New Roman" w:cs="Times New Roman"/>
                <w:b/>
                <w:sz w:val="24"/>
              </w:rPr>
            </w:pPr>
            <w:r w:rsidRPr="00835753">
              <w:rPr>
                <w:rFonts w:ascii="Times New Roman" w:hAnsi="Times New Roman"/>
                <w:b/>
                <w:sz w:val="24"/>
              </w:rPr>
              <w:t>Resekurytyzacja</w:t>
            </w:r>
          </w:p>
          <w:p w14:paraId="52FFD5C2" w14:textId="3DB19DD1"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835753">
              <w:rPr>
                <w:rFonts w:ascii="Times New Roman" w:hAnsi="Times New Roman"/>
                <w:iCs/>
                <w:sz w:val="24"/>
              </w:rPr>
              <w:t>Całkowita kwota należności</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tyt</w:t>
            </w:r>
            <w:r w:rsidRPr="00835753">
              <w:rPr>
                <w:rFonts w:ascii="Times New Roman" w:hAnsi="Times New Roman"/>
                <w:iCs/>
                <w:sz w:val="24"/>
              </w:rPr>
              <w:t>ułu pozycji resekurytyzacyjnych zdefiniowanych</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art</w:t>
            </w:r>
            <w:r w:rsidRPr="00835753">
              <w:rPr>
                <w:rFonts w:ascii="Times New Roman" w:hAnsi="Times New Roman"/>
                <w:iCs/>
                <w:sz w:val="24"/>
              </w:rPr>
              <w:t>.</w:t>
            </w:r>
            <w:r w:rsidR="00835753" w:rsidRPr="00835753">
              <w:rPr>
                <w:rFonts w:ascii="Times New Roman" w:hAnsi="Times New Roman"/>
                <w:iCs/>
                <w:sz w:val="24"/>
              </w:rPr>
              <w:t> </w:t>
            </w:r>
            <w:r w:rsidRPr="00835753">
              <w:rPr>
                <w:rFonts w:ascii="Times New Roman" w:hAnsi="Times New Roman"/>
                <w:iCs/>
                <w:sz w:val="24"/>
              </w:rPr>
              <w:t>4 ust.</w:t>
            </w:r>
            <w:r w:rsidR="00835753" w:rsidRPr="00835753">
              <w:rPr>
                <w:rFonts w:ascii="Times New Roman" w:hAnsi="Times New Roman"/>
                <w:iCs/>
                <w:sz w:val="24"/>
              </w:rPr>
              <w:t> </w:t>
            </w:r>
            <w:r w:rsidRPr="00835753">
              <w:rPr>
                <w:rFonts w:ascii="Times New Roman" w:hAnsi="Times New Roman"/>
                <w:iCs/>
                <w:sz w:val="24"/>
              </w:rPr>
              <w:t>1 pkt</w:t>
            </w:r>
            <w:r w:rsidR="00835753" w:rsidRPr="00835753">
              <w:rPr>
                <w:rFonts w:ascii="Times New Roman" w:hAnsi="Times New Roman"/>
                <w:iCs/>
                <w:sz w:val="24"/>
              </w:rPr>
              <w:t> </w:t>
            </w:r>
            <w:r w:rsidRPr="00835753">
              <w:rPr>
                <w:rFonts w:ascii="Times New Roman" w:hAnsi="Times New Roman"/>
                <w:iCs/>
                <w:sz w:val="24"/>
              </w:rPr>
              <w:t>63</w:t>
            </w:r>
            <w:r w:rsidR="00835753" w:rsidRPr="00835753">
              <w:rPr>
                <w:rFonts w:ascii="Times New Roman" w:hAnsi="Times New Roman"/>
                <w:iCs/>
                <w:sz w:val="24"/>
              </w:rPr>
              <w:t xml:space="preserve"> i</w:t>
            </w:r>
            <w:r w:rsidR="00835753">
              <w:rPr>
                <w:rFonts w:ascii="Times New Roman" w:hAnsi="Times New Roman"/>
                <w:iCs/>
                <w:sz w:val="24"/>
              </w:rPr>
              <w:t> </w:t>
            </w:r>
            <w:r w:rsidR="00835753" w:rsidRPr="00835753">
              <w:rPr>
                <w:rFonts w:ascii="Times New Roman" w:hAnsi="Times New Roman"/>
                <w:iCs/>
                <w:sz w:val="24"/>
              </w:rPr>
              <w:t>6</w:t>
            </w:r>
            <w:r w:rsidRPr="00835753">
              <w:rPr>
                <w:rFonts w:ascii="Times New Roman" w:hAnsi="Times New Roman"/>
                <w:iCs/>
                <w:sz w:val="24"/>
              </w:rPr>
              <w:t>4 CRR.</w:t>
            </w:r>
          </w:p>
          <w:p w14:paraId="3BB843E0" w14:textId="0BB7506F" w:rsidR="00FD656A" w:rsidRPr="00835753" w:rsidRDefault="00FD656A" w:rsidP="00155C96">
            <w:pPr>
              <w:jc w:val="both"/>
              <w:rPr>
                <w:rFonts w:ascii="Times New Roman" w:hAnsi="Times New Roman" w:cs="Times New Roman"/>
                <w:sz w:val="24"/>
                <w:highlight w:val="yellow"/>
              </w:rPr>
            </w:pPr>
            <w:r w:rsidRPr="00835753">
              <w:rPr>
                <w:rFonts w:ascii="Times New Roman" w:hAnsi="Times New Roman"/>
                <w:iCs/>
                <w:sz w:val="24"/>
              </w:rPr>
              <w:t>Informacje na temat wszystkich ekspozycji sekurytyzacyjnych powiązanych</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res</w:t>
            </w:r>
            <w:r w:rsidRPr="00835753">
              <w:rPr>
                <w:rFonts w:ascii="Times New Roman" w:hAnsi="Times New Roman"/>
                <w:iCs/>
                <w:sz w:val="24"/>
              </w:rPr>
              <w:t>ekurytyzacją należy ujawnić</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wie</w:t>
            </w:r>
            <w:r w:rsidRPr="00835753">
              <w:rPr>
                <w:rFonts w:ascii="Times New Roman" w:hAnsi="Times New Roman"/>
                <w:iCs/>
                <w:sz w:val="24"/>
              </w:rPr>
              <w:t>rszach „resekurytyzacja”,</w:t>
            </w:r>
            <w:r w:rsidR="00835753" w:rsidRPr="00835753">
              <w:rPr>
                <w:rFonts w:ascii="Times New Roman" w:hAnsi="Times New Roman"/>
                <w:iCs/>
                <w:sz w:val="24"/>
              </w:rPr>
              <w:t xml:space="preserve"> a</w:t>
            </w:r>
            <w:r w:rsidR="00835753">
              <w:rPr>
                <w:rFonts w:ascii="Times New Roman" w:hAnsi="Times New Roman"/>
                <w:iCs/>
                <w:sz w:val="24"/>
              </w:rPr>
              <w:t> </w:t>
            </w:r>
            <w:r w:rsidR="00835753" w:rsidRPr="00835753">
              <w:rPr>
                <w:rFonts w:ascii="Times New Roman" w:hAnsi="Times New Roman"/>
                <w:iCs/>
                <w:sz w:val="24"/>
              </w:rPr>
              <w:t>nie w</w:t>
            </w:r>
            <w:r w:rsidR="00835753">
              <w:rPr>
                <w:rFonts w:ascii="Times New Roman" w:hAnsi="Times New Roman"/>
                <w:iCs/>
                <w:sz w:val="24"/>
              </w:rPr>
              <w:t> </w:t>
            </w:r>
            <w:r w:rsidR="00835753" w:rsidRPr="00835753">
              <w:rPr>
                <w:rFonts w:ascii="Times New Roman" w:hAnsi="Times New Roman"/>
                <w:iCs/>
                <w:sz w:val="24"/>
              </w:rPr>
              <w:t>pop</w:t>
            </w:r>
            <w:r w:rsidRPr="00835753">
              <w:rPr>
                <w:rFonts w:ascii="Times New Roman" w:hAnsi="Times New Roman"/>
                <w:iCs/>
                <w:sz w:val="24"/>
              </w:rPr>
              <w:t>rzednich wierszach (według rodzaju aktywów bazowych),</w:t>
            </w:r>
            <w:r w:rsidR="00835753" w:rsidRPr="00835753">
              <w:rPr>
                <w:rFonts w:ascii="Times New Roman" w:hAnsi="Times New Roman"/>
                <w:iCs/>
                <w:sz w:val="24"/>
              </w:rPr>
              <w:t xml:space="preserve"> w</w:t>
            </w:r>
            <w:r w:rsidR="00835753">
              <w:rPr>
                <w:rFonts w:ascii="Times New Roman" w:hAnsi="Times New Roman"/>
                <w:iCs/>
                <w:sz w:val="24"/>
              </w:rPr>
              <w:t> </w:t>
            </w:r>
            <w:r w:rsidR="00835753" w:rsidRPr="00835753">
              <w:rPr>
                <w:rFonts w:ascii="Times New Roman" w:hAnsi="Times New Roman"/>
                <w:iCs/>
                <w:sz w:val="24"/>
              </w:rPr>
              <w:t>któ</w:t>
            </w:r>
            <w:r w:rsidRPr="00835753">
              <w:rPr>
                <w:rFonts w:ascii="Times New Roman" w:hAnsi="Times New Roman"/>
                <w:iCs/>
                <w:sz w:val="24"/>
              </w:rPr>
              <w:t>rych ujawnia się wyłącznie informacje na temat ekspozycji sekurytyzacyjnych innych niż powiązane</w:t>
            </w:r>
            <w:r w:rsidR="00835753" w:rsidRPr="00835753">
              <w:rPr>
                <w:rFonts w:ascii="Times New Roman" w:hAnsi="Times New Roman"/>
                <w:iCs/>
                <w:sz w:val="24"/>
              </w:rPr>
              <w:t xml:space="preserve"> z</w:t>
            </w:r>
            <w:r w:rsidR="00835753">
              <w:rPr>
                <w:rFonts w:ascii="Times New Roman" w:hAnsi="Times New Roman"/>
                <w:iCs/>
                <w:sz w:val="24"/>
              </w:rPr>
              <w:t> </w:t>
            </w:r>
            <w:r w:rsidR="00835753" w:rsidRPr="00835753">
              <w:rPr>
                <w:rFonts w:ascii="Times New Roman" w:hAnsi="Times New Roman"/>
                <w:iCs/>
                <w:sz w:val="24"/>
              </w:rPr>
              <w:t>res</w:t>
            </w:r>
            <w:r w:rsidRPr="00835753">
              <w:rPr>
                <w:rFonts w:ascii="Times New Roman" w:hAnsi="Times New Roman"/>
                <w:iCs/>
                <w:sz w:val="24"/>
              </w:rPr>
              <w:t>ekurytyzacją.</w:t>
            </w:r>
          </w:p>
        </w:tc>
      </w:tr>
    </w:tbl>
    <w:p w14:paraId="4864F03F" w14:textId="77777777" w:rsidR="00FD656A" w:rsidRPr="00835753" w:rsidRDefault="00FD656A" w:rsidP="00FD656A">
      <w:pPr>
        <w:rPr>
          <w:rFonts w:ascii="Times New Roman" w:hAnsi="Times New Roman" w:cs="Times New Roman"/>
          <w:sz w:val="24"/>
        </w:rPr>
      </w:pPr>
    </w:p>
    <w:p w14:paraId="63618CA2" w14:textId="77777777" w:rsidR="00FD656A" w:rsidRPr="00835753" w:rsidRDefault="00FD656A" w:rsidP="00FD656A">
      <w:pPr>
        <w:rPr>
          <w:rFonts w:ascii="Times New Roman" w:hAnsi="Times New Roman" w:cs="Times New Roman"/>
          <w:sz w:val="24"/>
        </w:rPr>
      </w:pPr>
    </w:p>
    <w:p w14:paraId="305D0456" w14:textId="5E0ABA14" w:rsidR="00FD656A" w:rsidRPr="00835753" w:rsidRDefault="00D95507" w:rsidP="00FD656A">
      <w:pPr>
        <w:rPr>
          <w:rFonts w:ascii="Times New Roman" w:hAnsi="Times New Roman" w:cs="Times New Roman"/>
          <w:sz w:val="24"/>
        </w:rPr>
      </w:pPr>
      <w:r w:rsidRPr="00835753">
        <w:rPr>
          <w:rFonts w:ascii="Times New Roman" w:hAnsi="Times New Roman"/>
          <w:b/>
          <w:sz w:val="24"/>
        </w:rPr>
        <w:t>Wzór SEC2 – Ekspozycje sekurytyzacyjne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por</w:t>
      </w:r>
      <w:r w:rsidRPr="00835753">
        <w:rPr>
          <w:rFonts w:ascii="Times New Roman" w:hAnsi="Times New Roman"/>
          <w:b/>
          <w:sz w:val="24"/>
        </w:rPr>
        <w:t xml:space="preserve">tfelu handlowym. </w:t>
      </w:r>
      <w:r w:rsidRPr="00835753">
        <w:rPr>
          <w:rFonts w:ascii="Times New Roman" w:hAnsi="Times New Roman"/>
          <w:sz w:val="24"/>
        </w:rPr>
        <w:t>Format stały</w:t>
      </w:r>
    </w:p>
    <w:p w14:paraId="7B7C16C7" w14:textId="299A3865" w:rsidR="00FD656A" w:rsidRPr="00835753" w:rsidRDefault="00FD656A" w:rsidP="00FD656A">
      <w:pPr>
        <w:pStyle w:val="ListParagraph"/>
        <w:numPr>
          <w:ilvl w:val="0"/>
          <w:numId w:val="58"/>
        </w:numPr>
        <w:spacing w:before="120" w:after="120"/>
        <w:ind w:left="432"/>
        <w:jc w:val="both"/>
        <w:rPr>
          <w:rFonts w:ascii="Times New Roman" w:hAnsi="Times New Roman"/>
          <w:bCs/>
          <w:sz w:val="24"/>
        </w:rPr>
      </w:pPr>
      <w:r w:rsidRPr="00835753">
        <w:rPr>
          <w:rFonts w:ascii="Times New Roman" w:hAnsi="Times New Roman"/>
          <w:bCs/>
          <w:sz w:val="24"/>
        </w:rPr>
        <w:t>W celu wypełnienia wzoru EU SEC2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ączniku XXVII do niniejszego rozporządzenia wykonawczego instytucje ujawniają informacje,</w:t>
      </w:r>
      <w:r w:rsidR="00835753" w:rsidRPr="00835753">
        <w:rPr>
          <w:rFonts w:ascii="Times New Roman" w:hAnsi="Times New Roman"/>
          <w:bCs/>
          <w:sz w:val="24"/>
        </w:rPr>
        <w:t xml:space="preserve"> o</w:t>
      </w:r>
      <w:r w:rsidR="00835753">
        <w:rPr>
          <w:rFonts w:ascii="Times New Roman" w:hAnsi="Times New Roman"/>
          <w:bCs/>
          <w:sz w:val="24"/>
        </w:rPr>
        <w:t> </w:t>
      </w:r>
      <w:r w:rsidR="00835753" w:rsidRPr="00835753">
        <w:rPr>
          <w:rFonts w:ascii="Times New Roman" w:hAnsi="Times New Roman"/>
          <w:bCs/>
          <w:sz w:val="24"/>
        </w:rPr>
        <w:t>któ</w:t>
      </w:r>
      <w:r w:rsidRPr="00835753">
        <w:rPr>
          <w:rFonts w:ascii="Times New Roman" w:hAnsi="Times New Roman"/>
          <w:bCs/>
          <w:sz w:val="24"/>
        </w:rPr>
        <w:t>rych mowa</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449 lit.</w:t>
      </w:r>
      <w:r w:rsidR="00835753" w:rsidRPr="00835753">
        <w:rPr>
          <w:rFonts w:ascii="Times New Roman" w:hAnsi="Times New Roman"/>
          <w:bCs/>
          <w:sz w:val="24"/>
        </w:rPr>
        <w:t> </w:t>
      </w:r>
      <w:r w:rsidRPr="00835753">
        <w:rPr>
          <w:rFonts w:ascii="Times New Roman" w:hAnsi="Times New Roman"/>
          <w:bCs/>
          <w:sz w:val="24"/>
        </w:rPr>
        <w:t>j) CRR,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p>
    <w:p w14:paraId="6282D1B1" w14:textId="6EBED804" w:rsidR="00FD656A" w:rsidRPr="00835753" w:rsidRDefault="00FD656A" w:rsidP="00FD656A">
      <w:pPr>
        <w:pStyle w:val="ListParagraph"/>
        <w:numPr>
          <w:ilvl w:val="0"/>
          <w:numId w:val="58"/>
        </w:numPr>
        <w:spacing w:before="120" w:after="120"/>
        <w:ind w:left="432"/>
        <w:jc w:val="both"/>
        <w:rPr>
          <w:rFonts w:ascii="Times New Roman" w:hAnsi="Times New Roman"/>
          <w:bCs/>
          <w:sz w:val="24"/>
        </w:rPr>
      </w:pPr>
      <w:r w:rsidRPr="00835753">
        <w:rPr>
          <w:rFonts w:ascii="Times New Roman" w:hAnsi="Times New Roman"/>
          <w:bCs/>
          <w:sz w:val="24"/>
        </w:rPr>
        <w:t>Instytucje stosują się do instrukcji dotyczących wzoru EU SEC1 – Ekspozycje sekurytyzacyjne</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por</w:t>
      </w:r>
      <w:r w:rsidRPr="00835753">
        <w:rPr>
          <w:rFonts w:ascii="Times New Roman" w:hAnsi="Times New Roman"/>
          <w:bCs/>
          <w:sz w:val="24"/>
        </w:rPr>
        <w:t>tfelu bankowym.</w:t>
      </w:r>
    </w:p>
    <w:p w14:paraId="4FB367D0" w14:textId="77777777" w:rsidR="00FD656A" w:rsidRPr="00835753" w:rsidRDefault="00FD656A" w:rsidP="00FD656A">
      <w:pPr>
        <w:rPr>
          <w:rFonts w:ascii="Times New Roman" w:hAnsi="Times New Roman" w:cs="Times New Roman"/>
          <w:sz w:val="24"/>
        </w:rPr>
      </w:pPr>
    </w:p>
    <w:p w14:paraId="30A281B6" w14:textId="3AE9E756" w:rsidR="00FD656A" w:rsidRPr="00835753" w:rsidRDefault="00D95507" w:rsidP="00FD656A">
      <w:pPr>
        <w:rPr>
          <w:rFonts w:ascii="Times New Roman" w:hAnsi="Times New Roman" w:cs="Times New Roman"/>
          <w:sz w:val="24"/>
        </w:rPr>
      </w:pPr>
      <w:r w:rsidRPr="00835753">
        <w:rPr>
          <w:rFonts w:ascii="Times New Roman" w:hAnsi="Times New Roman"/>
          <w:b/>
          <w:sz w:val="24"/>
        </w:rPr>
        <w:t>Wzór SEC3 – Ekspozycje sekurytyzacyjne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por</w:t>
      </w:r>
      <w:r w:rsidRPr="00835753">
        <w:rPr>
          <w:rFonts w:ascii="Times New Roman" w:hAnsi="Times New Roman"/>
          <w:b/>
          <w:sz w:val="24"/>
        </w:rPr>
        <w:t>tfelu bankowym</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pow</w:t>
      </w:r>
      <w:r w:rsidRPr="00835753">
        <w:rPr>
          <w:rFonts w:ascii="Times New Roman" w:hAnsi="Times New Roman"/>
          <w:b/>
          <w:sz w:val="24"/>
        </w:rPr>
        <w:t xml:space="preserve">iązane regulacyjne wymogi kapitałowe – instytucja działająca jako jednostka inicjująca lub jednostka sponsorująca. </w:t>
      </w:r>
      <w:r w:rsidRPr="00835753">
        <w:rPr>
          <w:rFonts w:ascii="Times New Roman" w:hAnsi="Times New Roman"/>
          <w:sz w:val="24"/>
        </w:rPr>
        <w:t>Format stały</w:t>
      </w:r>
    </w:p>
    <w:p w14:paraId="6556F337" w14:textId="6828E644" w:rsidR="00FD656A" w:rsidRPr="00835753" w:rsidRDefault="00FD656A" w:rsidP="00FD656A">
      <w:pPr>
        <w:pStyle w:val="ListParagraph"/>
        <w:numPr>
          <w:ilvl w:val="0"/>
          <w:numId w:val="58"/>
        </w:numPr>
        <w:spacing w:before="120" w:after="120"/>
        <w:ind w:left="432"/>
        <w:jc w:val="both"/>
        <w:rPr>
          <w:rFonts w:ascii="Times New Roman" w:hAnsi="Times New Roman"/>
          <w:bCs/>
          <w:sz w:val="24"/>
        </w:rPr>
      </w:pPr>
      <w:r w:rsidRPr="00835753">
        <w:rPr>
          <w:rFonts w:ascii="Times New Roman" w:hAnsi="Times New Roman"/>
          <w:bCs/>
          <w:sz w:val="24"/>
        </w:rPr>
        <w:t>W celu wypełnienia wzoru EU SEC3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ączniku XXVII do niniejszego rozporządzenia wykonawczego instytucje ujawniają informacje,</w:t>
      </w:r>
      <w:r w:rsidR="00835753" w:rsidRPr="00835753">
        <w:rPr>
          <w:rFonts w:ascii="Times New Roman" w:hAnsi="Times New Roman"/>
          <w:bCs/>
          <w:sz w:val="24"/>
        </w:rPr>
        <w:t xml:space="preserve"> o</w:t>
      </w:r>
      <w:r w:rsidR="00835753">
        <w:rPr>
          <w:rFonts w:ascii="Times New Roman" w:hAnsi="Times New Roman"/>
          <w:bCs/>
          <w:sz w:val="24"/>
        </w:rPr>
        <w:t> </w:t>
      </w:r>
      <w:r w:rsidR="00835753" w:rsidRPr="00835753">
        <w:rPr>
          <w:rFonts w:ascii="Times New Roman" w:hAnsi="Times New Roman"/>
          <w:bCs/>
          <w:sz w:val="24"/>
        </w:rPr>
        <w:t>któ</w:t>
      </w:r>
      <w:r w:rsidRPr="00835753">
        <w:rPr>
          <w:rFonts w:ascii="Times New Roman" w:hAnsi="Times New Roman"/>
          <w:bCs/>
          <w:sz w:val="24"/>
        </w:rPr>
        <w:t>rych mowa</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449 lit.</w:t>
      </w:r>
      <w:r w:rsidR="00835753" w:rsidRPr="00835753">
        <w:rPr>
          <w:rFonts w:ascii="Times New Roman" w:hAnsi="Times New Roman"/>
          <w:bCs/>
          <w:sz w:val="24"/>
        </w:rPr>
        <w:t> </w:t>
      </w:r>
      <w:r w:rsidRPr="00835753">
        <w:rPr>
          <w:rFonts w:ascii="Times New Roman" w:hAnsi="Times New Roman"/>
          <w:bCs/>
          <w:sz w:val="24"/>
        </w:rPr>
        <w:t>k) ppkt (i) CRR,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 xml:space="preserve">iejszym załączniku. </w:t>
      </w:r>
    </w:p>
    <w:p w14:paraId="53BD657D" w14:textId="77777777" w:rsidR="00FD656A" w:rsidRPr="00835753"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835753"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5EAB0D94" w:rsidR="00FD656A" w:rsidRPr="00835753" w:rsidRDefault="00FD656A" w:rsidP="00155C96">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FD656A" w:rsidRPr="00835753" w14:paraId="65983817" w14:textId="77777777" w:rsidTr="00155C96">
        <w:trPr>
          <w:trHeight w:val="741"/>
        </w:trPr>
        <w:tc>
          <w:tcPr>
            <w:tcW w:w="1413" w:type="dxa"/>
            <w:shd w:val="clear" w:color="auto" w:fill="D9D9D9" w:themeFill="background1" w:themeFillShade="D9"/>
          </w:tcPr>
          <w:p w14:paraId="0F9207C0" w14:textId="77777777" w:rsidR="00FD656A" w:rsidRPr="00835753" w:rsidRDefault="00FD656A" w:rsidP="00155C96">
            <w:pPr>
              <w:autoSpaceDE w:val="0"/>
              <w:autoSpaceDN w:val="0"/>
              <w:adjustRightInd w:val="0"/>
              <w:rPr>
                <w:rFonts w:ascii="Times New Roman" w:hAnsi="Times New Roman" w:cs="Times New Roman"/>
                <w:b/>
                <w:sz w:val="24"/>
              </w:rPr>
            </w:pPr>
            <w:r w:rsidRPr="00835753">
              <w:rPr>
                <w:rFonts w:ascii="Times New Roman" w:hAnsi="Times New Roman"/>
                <w:b/>
                <w:sz w:val="24"/>
              </w:rPr>
              <w:t>Oznaczenie kolumny</w:t>
            </w:r>
          </w:p>
        </w:tc>
        <w:tc>
          <w:tcPr>
            <w:tcW w:w="7654" w:type="dxa"/>
            <w:shd w:val="clear" w:color="auto" w:fill="D9D9D9" w:themeFill="background1" w:themeFillShade="D9"/>
          </w:tcPr>
          <w:p w14:paraId="704015FB" w14:textId="77777777" w:rsidR="00FD656A" w:rsidRPr="00835753" w:rsidRDefault="00FD656A" w:rsidP="00155C96">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FD656A" w:rsidRPr="00835753" w14:paraId="6F1EB7BA" w14:textId="77777777" w:rsidTr="00155C96">
        <w:trPr>
          <w:trHeight w:val="741"/>
        </w:trPr>
        <w:tc>
          <w:tcPr>
            <w:tcW w:w="1413" w:type="dxa"/>
            <w:shd w:val="clear" w:color="auto" w:fill="auto"/>
          </w:tcPr>
          <w:p w14:paraId="1BACB894" w14:textId="77777777"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835753">
              <w:rPr>
                <w:rFonts w:ascii="Times New Roman" w:hAnsi="Times New Roman"/>
                <w:sz w:val="24"/>
              </w:rPr>
              <w:t>a</w:t>
            </w:r>
            <w:proofErr w:type="gramStart"/>
            <w:r w:rsidRPr="00835753">
              <w:rPr>
                <w:rFonts w:ascii="Times New Roman" w:hAnsi="Times New Roman"/>
                <w:sz w:val="24"/>
              </w:rPr>
              <w:t>)–d</w:t>
            </w:r>
            <w:proofErr w:type="gramEnd"/>
            <w:r w:rsidRPr="00835753">
              <w:rPr>
                <w:rFonts w:ascii="Times New Roman" w:hAnsi="Times New Roman"/>
                <w:sz w:val="24"/>
              </w:rPr>
              <w:t>)</w:t>
            </w:r>
          </w:p>
        </w:tc>
        <w:tc>
          <w:tcPr>
            <w:tcW w:w="7654" w:type="dxa"/>
            <w:shd w:val="clear" w:color="auto" w:fill="auto"/>
          </w:tcPr>
          <w:p w14:paraId="4C31C0A9" w14:textId="7777777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835753">
              <w:rPr>
                <w:rFonts w:ascii="Times New Roman" w:hAnsi="Times New Roman"/>
                <w:b/>
                <w:sz w:val="24"/>
              </w:rPr>
              <w:t>Wartości ekspozycji (według przedziałów wag ryzyka/odliczeń)</w:t>
            </w:r>
          </w:p>
          <w:p w14:paraId="2BB8E465" w14:textId="76F1841E"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Wartości odnoszące się do regulacyjnych wag ryzyka podlegające ujawnieniu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a</w:t>
            </w:r>
            <w:proofErr w:type="gramStart"/>
            <w:r w:rsidRPr="00835753">
              <w:rPr>
                <w:rFonts w:ascii="Times New Roman" w:hAnsi="Times New Roman"/>
                <w:sz w:val="24"/>
              </w:rPr>
              <w:t>)–d</w:t>
            </w:r>
            <w:proofErr w:type="gramEnd"/>
            <w:r w:rsidRPr="00835753">
              <w:rPr>
                <w:rFonts w:ascii="Times New Roman" w:hAnsi="Times New Roman"/>
                <w:sz w:val="24"/>
              </w:rPr>
              <w:t>) niniejszego wzoru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5 CRR.</w:t>
            </w:r>
          </w:p>
        </w:tc>
      </w:tr>
      <w:tr w:rsidR="00FD656A" w:rsidRPr="00835753" w14:paraId="2FB338A2" w14:textId="77777777" w:rsidTr="00155C96">
        <w:trPr>
          <w:trHeight w:val="741"/>
        </w:trPr>
        <w:tc>
          <w:tcPr>
            <w:tcW w:w="1413" w:type="dxa"/>
            <w:shd w:val="clear" w:color="auto" w:fill="auto"/>
          </w:tcPr>
          <w:p w14:paraId="087B4DE4" w14:textId="77777777"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835753">
              <w:rPr>
                <w:rFonts w:ascii="Times New Roman" w:hAnsi="Times New Roman"/>
                <w:sz w:val="24"/>
              </w:rPr>
              <w:t>f</w:t>
            </w:r>
            <w:proofErr w:type="gramStart"/>
            <w:r w:rsidRPr="00835753">
              <w:rPr>
                <w:rFonts w:ascii="Times New Roman" w:hAnsi="Times New Roman"/>
                <w:sz w:val="24"/>
              </w:rPr>
              <w:t>)–h</w:t>
            </w:r>
            <w:proofErr w:type="gramEnd"/>
            <w:r w:rsidRPr="00835753">
              <w:rPr>
                <w:rFonts w:ascii="Times New Roman" w:hAnsi="Times New Roman"/>
                <w:sz w:val="24"/>
              </w:rPr>
              <w:t>)</w:t>
            </w:r>
          </w:p>
        </w:tc>
        <w:tc>
          <w:tcPr>
            <w:tcW w:w="7654" w:type="dxa"/>
            <w:shd w:val="clear" w:color="auto" w:fill="auto"/>
          </w:tcPr>
          <w:p w14:paraId="7D67C5EB" w14:textId="7777777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835753">
              <w:rPr>
                <w:rFonts w:ascii="Times New Roman" w:hAnsi="Times New Roman"/>
                <w:b/>
                <w:sz w:val="24"/>
              </w:rPr>
              <w:t>Wartości ekspozycji (według podejścia regulacyjnego)</w:t>
            </w:r>
          </w:p>
          <w:p w14:paraId="1120BB04" w14:textId="32E5346C"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Kolumny f</w:t>
            </w:r>
            <w:proofErr w:type="gramStart"/>
            <w:r w:rsidRPr="00835753">
              <w:rPr>
                <w:rFonts w:ascii="Times New Roman" w:hAnsi="Times New Roman"/>
                <w:sz w:val="24"/>
              </w:rPr>
              <w:t>)–h</w:t>
            </w:r>
            <w:proofErr w:type="gramEnd"/>
            <w:r w:rsidRPr="00835753">
              <w:rPr>
                <w:rFonts w:ascii="Times New Roman" w:hAnsi="Times New Roman"/>
                <w:sz w:val="24"/>
              </w:rPr>
              <w:t>) niniejszego wzoru odpowiadające metodzie regulacyjnej stosowanej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hie</w:t>
            </w:r>
            <w:r w:rsidRPr="00835753">
              <w:rPr>
                <w:rFonts w:ascii="Times New Roman" w:hAnsi="Times New Roman"/>
                <w:sz w:val="24"/>
              </w:rPr>
              <w:t>rarchią metod określoną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254 CRR.</w:t>
            </w:r>
          </w:p>
        </w:tc>
      </w:tr>
      <w:tr w:rsidR="00FD656A" w:rsidRPr="00835753"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proofErr w:type="gramStart"/>
            <w:r w:rsidRPr="00835753">
              <w:rPr>
                <w:rFonts w:ascii="Times New Roman" w:hAnsi="Times New Roman"/>
                <w:sz w:val="24"/>
              </w:rPr>
              <w:lastRenderedPageBreak/>
              <w:t>j</w:t>
            </w:r>
            <w:proofErr w:type="gramEnd"/>
            <w:r w:rsidRPr="00835753">
              <w:rPr>
                <w:rFonts w:ascii="Times New Roman" w:hAnsi="Times New Roman"/>
                <w:sz w:val="24"/>
              </w:rPr>
              <w:t>), k), l)</w:t>
            </w:r>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835753">
              <w:rPr>
                <w:rFonts w:ascii="Times New Roman" w:hAnsi="Times New Roman"/>
                <w:b/>
                <w:sz w:val="24"/>
              </w:rPr>
              <w:t>Kwota ekspozycji ważonej ryzykiem (według podejścia regulacyjnego)</w:t>
            </w:r>
          </w:p>
          <w:p w14:paraId="478B8E54" w14:textId="1CA8C49E"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Kwota ekspozycji ważonej ryzykiem według podejścia regulacyjnego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II rozdział 5 CRR przed zastosowaniem górnego pułapu.</w:t>
            </w:r>
          </w:p>
        </w:tc>
      </w:tr>
      <w:tr w:rsidR="00FD656A" w:rsidRPr="00835753" w14:paraId="201AC600" w14:textId="77777777" w:rsidTr="00155C96">
        <w:trPr>
          <w:trHeight w:val="741"/>
        </w:trPr>
        <w:tc>
          <w:tcPr>
            <w:tcW w:w="1413" w:type="dxa"/>
            <w:shd w:val="clear" w:color="auto" w:fill="auto"/>
          </w:tcPr>
          <w:p w14:paraId="5E7DB875" w14:textId="02688B19"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proofErr w:type="gramStart"/>
            <w:r w:rsidRPr="00835753">
              <w:rPr>
                <w:rFonts w:ascii="Times New Roman" w:hAnsi="Times New Roman"/>
                <w:sz w:val="24"/>
              </w:rPr>
              <w:t>od</w:t>
            </w:r>
            <w:proofErr w:type="gramEnd"/>
            <w:r w:rsidRPr="00835753">
              <w:rPr>
                <w:rFonts w:ascii="Times New Roman" w:hAnsi="Times New Roman"/>
                <w:sz w:val="24"/>
              </w:rPr>
              <w:t xml:space="preserve"> n) do EU-p</w:t>
            </w:r>
          </w:p>
        </w:tc>
        <w:tc>
          <w:tcPr>
            <w:tcW w:w="7654" w:type="dxa"/>
            <w:shd w:val="clear" w:color="auto" w:fill="auto"/>
          </w:tcPr>
          <w:p w14:paraId="181A3BB2" w14:textId="7777777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835753">
              <w:rPr>
                <w:rFonts w:ascii="Times New Roman" w:hAnsi="Times New Roman"/>
                <w:b/>
                <w:sz w:val="24"/>
              </w:rPr>
              <w:t>Narzut kapitałowy po uwzględnieniu ograniczenia</w:t>
            </w:r>
          </w:p>
          <w:p w14:paraId="4170D150" w14:textId="0A561E8C"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W kolumnach tych ujawnia się informacje dotyczące narzutu kapitałowego po zastosowaniu pułapu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267</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2</w:t>
            </w:r>
            <w:r w:rsidRPr="00835753">
              <w:rPr>
                <w:rFonts w:ascii="Times New Roman" w:hAnsi="Times New Roman"/>
                <w:sz w:val="24"/>
              </w:rPr>
              <w:t>68 CRR.</w:t>
            </w:r>
          </w:p>
        </w:tc>
      </w:tr>
      <w:tr w:rsidR="00FD656A" w:rsidRPr="00835753" w14:paraId="4F32B6B1" w14:textId="77777777" w:rsidTr="00155C96">
        <w:trPr>
          <w:trHeight w:val="741"/>
        </w:trPr>
        <w:tc>
          <w:tcPr>
            <w:tcW w:w="1413" w:type="dxa"/>
            <w:shd w:val="clear" w:color="auto" w:fill="auto"/>
          </w:tcPr>
          <w:p w14:paraId="3E2AC2F8" w14:textId="7FAD00FD"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proofErr w:type="gramStart"/>
            <w:r w:rsidRPr="00835753">
              <w:rPr>
                <w:rFonts w:ascii="Times New Roman" w:hAnsi="Times New Roman"/>
                <w:sz w:val="24"/>
              </w:rPr>
              <w:t>e</w:t>
            </w:r>
            <w:proofErr w:type="gramEnd"/>
            <w:r w:rsidRPr="00835753">
              <w:rPr>
                <w:rFonts w:ascii="Times New Roman" w:hAnsi="Times New Roman"/>
                <w:sz w:val="24"/>
              </w:rPr>
              <w:t>), i), m), EU-q</w:t>
            </w:r>
          </w:p>
        </w:tc>
        <w:tc>
          <w:tcPr>
            <w:tcW w:w="7654" w:type="dxa"/>
            <w:shd w:val="clear" w:color="auto" w:fill="auto"/>
          </w:tcPr>
          <w:p w14:paraId="09867D30" w14:textId="6D753E7E"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835753">
              <w:rPr>
                <w:rFonts w:ascii="Times New Roman" w:hAnsi="Times New Roman"/>
                <w:b/>
                <w:sz w:val="24"/>
              </w:rPr>
              <w:t>1250</w:t>
            </w:r>
            <w:r w:rsidR="00835753" w:rsidRPr="00835753">
              <w:rPr>
                <w:rFonts w:ascii="Times New Roman" w:hAnsi="Times New Roman"/>
                <w:b/>
                <w:sz w:val="24"/>
              </w:rPr>
              <w:t> </w:t>
            </w:r>
            <w:r w:rsidRPr="00835753">
              <w:rPr>
                <w:rFonts w:ascii="Times New Roman" w:hAnsi="Times New Roman"/>
                <w:b/>
                <w:sz w:val="24"/>
              </w:rPr>
              <w:t>% RW/odliczenia</w:t>
            </w:r>
          </w:p>
          <w:p w14:paraId="077D4CCB" w14:textId="7777777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Kolumny odnoszą się do pozycji:</w:t>
            </w:r>
          </w:p>
          <w:p w14:paraId="6CF7BD9E" w14:textId="53154B84" w:rsidR="00FD656A" w:rsidRPr="00835753"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proofErr w:type="gramStart"/>
            <w:r w:rsidRPr="00835753">
              <w:rPr>
                <w:rFonts w:ascii="Times New Roman" w:hAnsi="Times New Roman"/>
                <w:sz w:val="24"/>
                <w:szCs w:val="24"/>
              </w:rPr>
              <w:t>objętych</w:t>
            </w:r>
            <w:proofErr w:type="gramEnd"/>
            <w:r w:rsidRPr="00835753">
              <w:rPr>
                <w:rFonts w:ascii="Times New Roman" w:hAnsi="Times New Roman"/>
                <w:sz w:val="24"/>
                <w:szCs w:val="24"/>
              </w:rPr>
              <w:t xml:space="preserve"> wagą ryzyka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wys</w:t>
            </w:r>
            <w:r w:rsidRPr="00835753">
              <w:rPr>
                <w:rFonts w:ascii="Times New Roman" w:hAnsi="Times New Roman"/>
                <w:sz w:val="24"/>
                <w:szCs w:val="24"/>
              </w:rPr>
              <w:t>okości 1 250</w:t>
            </w:r>
            <w:r w:rsidR="00835753" w:rsidRPr="00835753">
              <w:rPr>
                <w:rFonts w:ascii="Times New Roman" w:hAnsi="Times New Roman"/>
                <w:sz w:val="24"/>
                <w:szCs w:val="24"/>
              </w:rPr>
              <w:t> </w:t>
            </w:r>
            <w:r w:rsidRPr="00835753">
              <w:rPr>
                <w:rFonts w:ascii="Times New Roman" w:hAnsi="Times New Roman"/>
                <w:sz w:val="24"/>
                <w:szCs w:val="24"/>
              </w:rPr>
              <w:t>% lub odjętych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rPr>
              <w:t>czę</w:t>
            </w:r>
            <w:r w:rsidRPr="00835753">
              <w:rPr>
                <w:rFonts w:ascii="Times New Roman" w:hAnsi="Times New Roman"/>
                <w:sz w:val="24"/>
              </w:rPr>
              <w:t>ścią trzecią tytuł II rozdział 5 CRR;</w:t>
            </w:r>
          </w:p>
          <w:p w14:paraId="7732473D" w14:textId="1229AB33" w:rsidR="00FD656A" w:rsidRPr="00835753"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proofErr w:type="gramStart"/>
            <w:r w:rsidRPr="00835753">
              <w:rPr>
                <w:rFonts w:ascii="Times New Roman" w:hAnsi="Times New Roman"/>
                <w:sz w:val="24"/>
                <w:szCs w:val="24"/>
              </w:rPr>
              <w:t>objętych</w:t>
            </w:r>
            <w:proofErr w:type="gramEnd"/>
            <w:r w:rsidRPr="00835753">
              <w:rPr>
                <w:rFonts w:ascii="Times New Roman" w:hAnsi="Times New Roman"/>
                <w:sz w:val="24"/>
                <w:szCs w:val="24"/>
              </w:rPr>
              <w:t xml:space="preserve"> wagą ryzyka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wys</w:t>
            </w:r>
            <w:r w:rsidRPr="00835753">
              <w:rPr>
                <w:rFonts w:ascii="Times New Roman" w:hAnsi="Times New Roman"/>
                <w:sz w:val="24"/>
                <w:szCs w:val="24"/>
              </w:rPr>
              <w:t>okości 1 250</w:t>
            </w:r>
            <w:r w:rsidR="00835753" w:rsidRPr="00835753">
              <w:rPr>
                <w:rFonts w:ascii="Times New Roman" w:hAnsi="Times New Roman"/>
                <w:sz w:val="24"/>
                <w:szCs w:val="24"/>
              </w:rPr>
              <w:t> </w:t>
            </w:r>
            <w:r w:rsidRPr="00835753">
              <w:rPr>
                <w:rFonts w:ascii="Times New Roman" w:hAnsi="Times New Roman"/>
                <w:sz w:val="24"/>
                <w:szCs w:val="24"/>
              </w:rPr>
              <w:t>% lub odjętych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244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b)</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245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b) CRR;</w:t>
            </w:r>
          </w:p>
          <w:p w14:paraId="5EE3DE47" w14:textId="6B3A2BF7" w:rsidR="00FD656A" w:rsidRPr="00835753"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proofErr w:type="gramStart"/>
            <w:r w:rsidRPr="00835753">
              <w:rPr>
                <w:rFonts w:ascii="Times New Roman" w:hAnsi="Times New Roman"/>
                <w:sz w:val="24"/>
                <w:szCs w:val="24"/>
              </w:rPr>
              <w:t>objętych</w:t>
            </w:r>
            <w:proofErr w:type="gramEnd"/>
            <w:r w:rsidRPr="00835753">
              <w:rPr>
                <w:rFonts w:ascii="Times New Roman" w:hAnsi="Times New Roman"/>
                <w:sz w:val="24"/>
                <w:szCs w:val="24"/>
              </w:rPr>
              <w:t xml:space="preserve"> wagą ryzyka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wys</w:t>
            </w:r>
            <w:r w:rsidRPr="00835753">
              <w:rPr>
                <w:rFonts w:ascii="Times New Roman" w:hAnsi="Times New Roman"/>
                <w:sz w:val="24"/>
                <w:szCs w:val="24"/>
              </w:rPr>
              <w:t>okości 1 250</w:t>
            </w:r>
            <w:r w:rsidR="00835753" w:rsidRPr="00835753">
              <w:rPr>
                <w:rFonts w:ascii="Times New Roman" w:hAnsi="Times New Roman"/>
                <w:sz w:val="24"/>
                <w:szCs w:val="24"/>
              </w:rPr>
              <w:t> </w:t>
            </w:r>
            <w:r w:rsidRPr="00835753">
              <w:rPr>
                <w:rFonts w:ascii="Times New Roman" w:hAnsi="Times New Roman"/>
                <w:sz w:val="24"/>
                <w:szCs w:val="24"/>
              </w:rPr>
              <w:t>%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254 ust.</w:t>
            </w:r>
            <w:r w:rsidR="00835753" w:rsidRPr="00835753">
              <w:rPr>
                <w:rFonts w:ascii="Times New Roman" w:hAnsi="Times New Roman"/>
                <w:sz w:val="24"/>
                <w:szCs w:val="24"/>
              </w:rPr>
              <w:t> </w:t>
            </w:r>
            <w:r w:rsidRPr="00835753">
              <w:rPr>
                <w:rFonts w:ascii="Times New Roman" w:hAnsi="Times New Roman"/>
                <w:sz w:val="24"/>
                <w:szCs w:val="24"/>
              </w:rPr>
              <w:t>7 CRR;</w:t>
            </w:r>
          </w:p>
          <w:p w14:paraId="66D33204" w14:textId="64C7C566" w:rsidR="00FD656A" w:rsidRPr="00835753"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proofErr w:type="gramStart"/>
            <w:r w:rsidRPr="00835753">
              <w:rPr>
                <w:rFonts w:ascii="Times New Roman" w:hAnsi="Times New Roman"/>
                <w:sz w:val="24"/>
                <w:szCs w:val="24"/>
              </w:rPr>
              <w:t>lub</w:t>
            </w:r>
            <w:proofErr w:type="gramEnd"/>
            <w:r w:rsidRPr="00835753">
              <w:rPr>
                <w:rFonts w:ascii="Times New Roman" w:hAnsi="Times New Roman"/>
                <w:sz w:val="24"/>
                <w:szCs w:val="24"/>
              </w:rPr>
              <w:t xml:space="preserve"> odjętych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 xml:space="preserve">253 CRR. </w:t>
            </w:r>
          </w:p>
        </w:tc>
      </w:tr>
    </w:tbl>
    <w:p w14:paraId="67978C13" w14:textId="77777777" w:rsidR="00FD656A" w:rsidRPr="00835753" w:rsidRDefault="00FD656A" w:rsidP="00FD656A">
      <w:pPr>
        <w:rPr>
          <w:rFonts w:ascii="Times New Roman" w:hAnsi="Times New Roman" w:cs="Times New Roman"/>
          <w:sz w:val="24"/>
        </w:rPr>
      </w:pPr>
    </w:p>
    <w:p w14:paraId="3BE5A4B2" w14:textId="77777777" w:rsidR="00FD656A" w:rsidRPr="00835753"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835753"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1F959A39" w:rsidR="00FD656A" w:rsidRPr="00835753" w:rsidRDefault="00FD656A" w:rsidP="00155C96">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FD656A" w:rsidRPr="00835753" w14:paraId="62700A45" w14:textId="77777777" w:rsidTr="00155C96">
        <w:trPr>
          <w:trHeight w:val="741"/>
        </w:trPr>
        <w:tc>
          <w:tcPr>
            <w:tcW w:w="1413" w:type="dxa"/>
            <w:shd w:val="clear" w:color="auto" w:fill="D9D9D9" w:themeFill="background1" w:themeFillShade="D9"/>
          </w:tcPr>
          <w:p w14:paraId="2E1F40DF" w14:textId="77777777" w:rsidR="00FD656A" w:rsidRPr="00835753" w:rsidRDefault="00FD656A" w:rsidP="00155C96">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4" w:type="dxa"/>
            <w:shd w:val="clear" w:color="auto" w:fill="D9D9D9" w:themeFill="background1" w:themeFillShade="D9"/>
          </w:tcPr>
          <w:p w14:paraId="000888AD" w14:textId="77777777" w:rsidR="00FD656A" w:rsidRPr="00835753" w:rsidRDefault="00FD656A" w:rsidP="00155C96">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FD656A" w:rsidRPr="00835753" w14:paraId="1F6C8707" w14:textId="77777777" w:rsidTr="00155C96">
        <w:trPr>
          <w:trHeight w:val="741"/>
        </w:trPr>
        <w:tc>
          <w:tcPr>
            <w:tcW w:w="1413" w:type="dxa"/>
            <w:shd w:val="clear" w:color="auto" w:fill="auto"/>
          </w:tcPr>
          <w:p w14:paraId="7F46E676" w14:textId="77777777"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835753">
              <w:rPr>
                <w:rFonts w:ascii="Times New Roman" w:hAnsi="Times New Roman"/>
                <w:sz w:val="24"/>
              </w:rPr>
              <w:t>1</w:t>
            </w:r>
          </w:p>
        </w:tc>
        <w:tc>
          <w:tcPr>
            <w:tcW w:w="7654" w:type="dxa"/>
            <w:shd w:val="clear" w:color="auto" w:fill="auto"/>
          </w:tcPr>
          <w:p w14:paraId="5E042BD6" w14:textId="7777777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835753">
              <w:rPr>
                <w:rFonts w:ascii="Times New Roman" w:hAnsi="Times New Roman"/>
                <w:b/>
                <w:sz w:val="24"/>
              </w:rPr>
              <w:t xml:space="preserve">Ekspozycje całkowite </w:t>
            </w:r>
          </w:p>
          <w:p w14:paraId="61128B07" w14:textId="0BCB1F96"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Ekspozycje całkowite odnoszą się do łącznej kwoty pozycji sekurytyzacyjnych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res</w:t>
            </w:r>
            <w:r w:rsidRPr="00835753">
              <w:rPr>
                <w:rFonts w:ascii="Times New Roman" w:hAnsi="Times New Roman"/>
                <w:sz w:val="24"/>
              </w:rPr>
              <w:t>ekurytyzacyjnych znajdujących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iadaniu instytucji działającej jako jednostka inicjująca lub jednostka sponsorująca</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tym należy zawrzeć podsumowanie informacji dotyczących sekurytyzacji tradycyjnych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syn</w:t>
            </w:r>
            <w:r w:rsidRPr="00835753">
              <w:rPr>
                <w:rFonts w:ascii="Times New Roman" w:hAnsi="Times New Roman"/>
                <w:sz w:val="24"/>
              </w:rPr>
              <w:t>tetycznych ujawnionych przez jednostki inicjujące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jed</w:t>
            </w:r>
            <w:r w:rsidRPr="00835753">
              <w:rPr>
                <w:rFonts w:ascii="Times New Roman" w:hAnsi="Times New Roman"/>
                <w:sz w:val="24"/>
              </w:rPr>
              <w:t>nostki sponsorujące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ejnych wierszach.</w:t>
            </w:r>
          </w:p>
        </w:tc>
      </w:tr>
      <w:tr w:rsidR="00FD656A" w:rsidRPr="00835753" w14:paraId="11F73E64" w14:textId="77777777" w:rsidTr="00155C96">
        <w:trPr>
          <w:trHeight w:val="741"/>
        </w:trPr>
        <w:tc>
          <w:tcPr>
            <w:tcW w:w="1413" w:type="dxa"/>
            <w:shd w:val="clear" w:color="auto" w:fill="auto"/>
          </w:tcPr>
          <w:p w14:paraId="2184D835" w14:textId="77777777"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835753">
              <w:rPr>
                <w:rFonts w:ascii="Times New Roman" w:hAnsi="Times New Roman"/>
                <w:sz w:val="24"/>
              </w:rPr>
              <w:t>2</w:t>
            </w:r>
          </w:p>
        </w:tc>
        <w:tc>
          <w:tcPr>
            <w:tcW w:w="7654" w:type="dxa"/>
            <w:shd w:val="clear" w:color="auto" w:fill="auto"/>
          </w:tcPr>
          <w:p w14:paraId="006739BB" w14:textId="7777777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835753">
              <w:rPr>
                <w:rFonts w:ascii="Times New Roman" w:hAnsi="Times New Roman"/>
                <w:b/>
                <w:sz w:val="24"/>
              </w:rPr>
              <w:t xml:space="preserve">Transakcje tradycyjne </w:t>
            </w:r>
          </w:p>
          <w:p w14:paraId="131E718F" w14:textId="56B5B5FE"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Zob. wyjaśnienie dotyczące wzoru EU SEC1.</w:t>
            </w:r>
          </w:p>
        </w:tc>
      </w:tr>
      <w:tr w:rsidR="00FD656A" w:rsidRPr="00835753" w14:paraId="572C0D34" w14:textId="77777777" w:rsidTr="00155C96">
        <w:trPr>
          <w:trHeight w:val="316"/>
        </w:trPr>
        <w:tc>
          <w:tcPr>
            <w:tcW w:w="1413" w:type="dxa"/>
          </w:tcPr>
          <w:p w14:paraId="55213017" w14:textId="77777777"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835753">
              <w:rPr>
                <w:rFonts w:ascii="Times New Roman" w:hAnsi="Times New Roman"/>
                <w:sz w:val="24"/>
              </w:rPr>
              <w:t>3, 10</w:t>
            </w:r>
          </w:p>
        </w:tc>
        <w:tc>
          <w:tcPr>
            <w:tcW w:w="7654" w:type="dxa"/>
          </w:tcPr>
          <w:p w14:paraId="753EC35E" w14:textId="7777777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835753">
              <w:rPr>
                <w:rFonts w:ascii="Times New Roman" w:hAnsi="Times New Roman"/>
                <w:b/>
                <w:sz w:val="24"/>
              </w:rPr>
              <w:t xml:space="preserve">Sekurytyzacja </w:t>
            </w:r>
          </w:p>
          <w:p w14:paraId="03D9D77A" w14:textId="26AC6B30" w:rsidR="00FD656A" w:rsidRPr="00835753" w:rsidRDefault="00FD656A" w:rsidP="00155C96">
            <w:pPr>
              <w:jc w:val="both"/>
              <w:rPr>
                <w:rFonts w:ascii="Times New Roman" w:hAnsi="Times New Roman" w:cs="Times New Roman"/>
                <w:sz w:val="24"/>
              </w:rPr>
            </w:pPr>
            <w:r w:rsidRPr="00835753">
              <w:rPr>
                <w:rFonts w:ascii="Times New Roman" w:hAnsi="Times New Roman"/>
                <w:sz w:val="24"/>
              </w:rPr>
              <w:t>Całkowita kwota należności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pozycji sekurytyzacyjnych zdefiniowanych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 ust.</w:t>
            </w:r>
            <w:r w:rsidR="00835753" w:rsidRPr="00835753">
              <w:rPr>
                <w:rFonts w:ascii="Times New Roman" w:hAnsi="Times New Roman"/>
                <w:sz w:val="24"/>
              </w:rPr>
              <w:t> </w:t>
            </w:r>
            <w:r w:rsidRPr="00835753">
              <w:rPr>
                <w:rFonts w:ascii="Times New Roman" w:hAnsi="Times New Roman"/>
                <w:sz w:val="24"/>
              </w:rPr>
              <w:t>1 pkt</w:t>
            </w:r>
            <w:r w:rsidR="00835753" w:rsidRPr="00835753">
              <w:rPr>
                <w:rFonts w:ascii="Times New Roman" w:hAnsi="Times New Roman"/>
                <w:sz w:val="24"/>
              </w:rPr>
              <w:t> </w:t>
            </w:r>
            <w:r w:rsidRPr="00835753">
              <w:rPr>
                <w:rFonts w:ascii="Times New Roman" w:hAnsi="Times New Roman"/>
                <w:sz w:val="24"/>
              </w:rPr>
              <w:t>62 CRR, które nie są pozycjami resekurytyzacyjnymi zdefiniowanymi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 ust.</w:t>
            </w:r>
            <w:r w:rsidR="00835753" w:rsidRPr="00835753">
              <w:rPr>
                <w:rFonts w:ascii="Times New Roman" w:hAnsi="Times New Roman"/>
                <w:sz w:val="24"/>
              </w:rPr>
              <w:t> </w:t>
            </w:r>
            <w:r w:rsidRPr="00835753">
              <w:rPr>
                <w:rFonts w:ascii="Times New Roman" w:hAnsi="Times New Roman"/>
                <w:sz w:val="24"/>
              </w:rPr>
              <w:t>1 pkt</w:t>
            </w:r>
            <w:r w:rsidR="00835753" w:rsidRPr="00835753">
              <w:rPr>
                <w:rFonts w:ascii="Times New Roman" w:hAnsi="Times New Roman"/>
                <w:sz w:val="24"/>
              </w:rPr>
              <w:t> </w:t>
            </w:r>
            <w:r w:rsidRPr="00835753">
              <w:rPr>
                <w:rFonts w:ascii="Times New Roman" w:hAnsi="Times New Roman"/>
                <w:sz w:val="24"/>
              </w:rPr>
              <w:t>64 CRR.</w:t>
            </w:r>
          </w:p>
        </w:tc>
      </w:tr>
      <w:tr w:rsidR="00FD656A" w:rsidRPr="00835753" w14:paraId="17935004" w14:textId="77777777" w:rsidTr="00155C96">
        <w:trPr>
          <w:trHeight w:val="316"/>
        </w:trPr>
        <w:tc>
          <w:tcPr>
            <w:tcW w:w="1413" w:type="dxa"/>
          </w:tcPr>
          <w:p w14:paraId="50037256" w14:textId="77777777"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835753">
              <w:rPr>
                <w:rFonts w:ascii="Times New Roman" w:hAnsi="Times New Roman"/>
                <w:sz w:val="24"/>
              </w:rPr>
              <w:t>5, 7</w:t>
            </w:r>
          </w:p>
        </w:tc>
        <w:tc>
          <w:tcPr>
            <w:tcW w:w="7654" w:type="dxa"/>
          </w:tcPr>
          <w:p w14:paraId="2F461D0B" w14:textId="77777777" w:rsidR="00FD656A" w:rsidRPr="00835753" w:rsidRDefault="00FD656A" w:rsidP="00155C96">
            <w:pPr>
              <w:autoSpaceDE w:val="0"/>
              <w:autoSpaceDN w:val="0"/>
              <w:adjustRightInd w:val="0"/>
              <w:spacing w:before="120" w:after="120"/>
              <w:jc w:val="both"/>
              <w:rPr>
                <w:rFonts w:ascii="Times New Roman" w:hAnsi="Times New Roman" w:cs="Times New Roman"/>
                <w:b/>
                <w:sz w:val="24"/>
              </w:rPr>
            </w:pPr>
            <w:r w:rsidRPr="00835753">
              <w:rPr>
                <w:rFonts w:ascii="Times New Roman" w:hAnsi="Times New Roman"/>
                <w:b/>
                <w:sz w:val="24"/>
              </w:rPr>
              <w:t xml:space="preserve">Sekurytyzacje STS </w:t>
            </w:r>
          </w:p>
          <w:p w14:paraId="2FD4F3A2" w14:textId="1898222F" w:rsidR="00FD656A" w:rsidRPr="00835753" w:rsidRDefault="00FD656A" w:rsidP="00155C96">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Zob. wyjaśnienie dotyczące wzoru EU SEC1.</w:t>
            </w:r>
          </w:p>
        </w:tc>
      </w:tr>
      <w:tr w:rsidR="00FD656A" w:rsidRPr="00835753" w14:paraId="667A5499" w14:textId="77777777" w:rsidTr="00155C96">
        <w:trPr>
          <w:trHeight w:val="316"/>
        </w:trPr>
        <w:tc>
          <w:tcPr>
            <w:tcW w:w="1413" w:type="dxa"/>
          </w:tcPr>
          <w:p w14:paraId="09716BD8" w14:textId="77777777"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835753">
              <w:rPr>
                <w:rFonts w:ascii="Times New Roman" w:hAnsi="Times New Roman"/>
                <w:sz w:val="24"/>
              </w:rPr>
              <w:t>8, 13</w:t>
            </w:r>
          </w:p>
        </w:tc>
        <w:tc>
          <w:tcPr>
            <w:tcW w:w="7654" w:type="dxa"/>
          </w:tcPr>
          <w:p w14:paraId="5F42EE65" w14:textId="77777777" w:rsidR="00FD656A" w:rsidRPr="00835753" w:rsidRDefault="00FD656A" w:rsidP="00155C96">
            <w:pPr>
              <w:autoSpaceDE w:val="0"/>
              <w:autoSpaceDN w:val="0"/>
              <w:adjustRightInd w:val="0"/>
              <w:spacing w:before="120" w:after="120"/>
              <w:jc w:val="both"/>
              <w:rPr>
                <w:rFonts w:ascii="Times New Roman" w:hAnsi="Times New Roman" w:cs="Times New Roman"/>
                <w:b/>
                <w:sz w:val="24"/>
              </w:rPr>
            </w:pPr>
            <w:r w:rsidRPr="00835753">
              <w:rPr>
                <w:rFonts w:ascii="Times New Roman" w:hAnsi="Times New Roman"/>
                <w:b/>
                <w:sz w:val="24"/>
              </w:rPr>
              <w:t>Resekurytyzacja</w:t>
            </w:r>
          </w:p>
          <w:p w14:paraId="25C089FC" w14:textId="516B4101" w:rsidR="00FD656A" w:rsidRPr="00835753" w:rsidRDefault="00FD656A" w:rsidP="00155C96">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lastRenderedPageBreak/>
              <w:t>Zob. wyjaśnienie dotyczące wzoru EU SEC1.</w:t>
            </w:r>
          </w:p>
        </w:tc>
      </w:tr>
      <w:tr w:rsidR="00FD656A" w:rsidRPr="00835753" w14:paraId="0A1C8A80" w14:textId="77777777" w:rsidTr="00155C96">
        <w:trPr>
          <w:trHeight w:val="316"/>
        </w:trPr>
        <w:tc>
          <w:tcPr>
            <w:tcW w:w="1413" w:type="dxa"/>
          </w:tcPr>
          <w:p w14:paraId="7E0C596E" w14:textId="77777777"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835753">
              <w:rPr>
                <w:rFonts w:ascii="Times New Roman" w:hAnsi="Times New Roman"/>
                <w:sz w:val="24"/>
              </w:rPr>
              <w:lastRenderedPageBreak/>
              <w:t>9</w:t>
            </w:r>
          </w:p>
        </w:tc>
        <w:tc>
          <w:tcPr>
            <w:tcW w:w="7654" w:type="dxa"/>
          </w:tcPr>
          <w:p w14:paraId="3ACFC7B9" w14:textId="77777777" w:rsidR="00FD656A" w:rsidRPr="00835753" w:rsidRDefault="00FD656A" w:rsidP="00155C96">
            <w:pPr>
              <w:autoSpaceDE w:val="0"/>
              <w:autoSpaceDN w:val="0"/>
              <w:adjustRightInd w:val="0"/>
              <w:spacing w:before="120" w:after="120"/>
              <w:jc w:val="both"/>
              <w:rPr>
                <w:rFonts w:ascii="Times New Roman" w:hAnsi="Times New Roman" w:cs="Times New Roman"/>
                <w:b/>
                <w:sz w:val="24"/>
              </w:rPr>
            </w:pPr>
            <w:r w:rsidRPr="00835753">
              <w:rPr>
                <w:rFonts w:ascii="Times New Roman" w:hAnsi="Times New Roman"/>
                <w:b/>
                <w:sz w:val="24"/>
              </w:rPr>
              <w:t>Transakcje syntetyczne</w:t>
            </w:r>
          </w:p>
          <w:p w14:paraId="502DDA4D" w14:textId="44D02D0E" w:rsidR="00FD656A" w:rsidRPr="00835753" w:rsidRDefault="00FD656A" w:rsidP="00155C96">
            <w:pPr>
              <w:autoSpaceDE w:val="0"/>
              <w:autoSpaceDN w:val="0"/>
              <w:adjustRightInd w:val="0"/>
              <w:spacing w:before="120" w:after="120"/>
              <w:jc w:val="both"/>
              <w:rPr>
                <w:rFonts w:ascii="Times New Roman" w:hAnsi="Times New Roman" w:cs="Times New Roman"/>
                <w:sz w:val="24"/>
              </w:rPr>
            </w:pPr>
            <w:r w:rsidRPr="00835753">
              <w:rPr>
                <w:rFonts w:ascii="Times New Roman" w:hAnsi="Times New Roman"/>
                <w:sz w:val="24"/>
              </w:rPr>
              <w:t>Zob. wyjaśnienie dotyczące wzoru EU SEC1.</w:t>
            </w:r>
          </w:p>
        </w:tc>
      </w:tr>
    </w:tbl>
    <w:p w14:paraId="03FA11C4" w14:textId="77777777" w:rsidR="00FD656A" w:rsidRPr="00835753" w:rsidRDefault="00FD656A" w:rsidP="00FD656A">
      <w:pPr>
        <w:rPr>
          <w:rFonts w:ascii="Times New Roman" w:hAnsi="Times New Roman" w:cs="Times New Roman"/>
          <w:sz w:val="24"/>
        </w:rPr>
      </w:pPr>
    </w:p>
    <w:p w14:paraId="2B8847B3" w14:textId="77777777" w:rsidR="00FD656A" w:rsidRPr="00835753" w:rsidRDefault="00FD656A" w:rsidP="00FD656A">
      <w:pPr>
        <w:rPr>
          <w:rFonts w:ascii="Times New Roman" w:hAnsi="Times New Roman" w:cs="Times New Roman"/>
          <w:sz w:val="24"/>
        </w:rPr>
      </w:pPr>
    </w:p>
    <w:p w14:paraId="26335A0C" w14:textId="5CDE2F47" w:rsidR="00FD656A" w:rsidRPr="00835753" w:rsidRDefault="00D95507" w:rsidP="00FD656A">
      <w:pPr>
        <w:rPr>
          <w:rFonts w:ascii="Times New Roman" w:hAnsi="Times New Roman" w:cs="Times New Roman"/>
          <w:sz w:val="24"/>
        </w:rPr>
      </w:pPr>
      <w:r w:rsidRPr="00835753">
        <w:rPr>
          <w:rFonts w:ascii="Times New Roman" w:hAnsi="Times New Roman"/>
          <w:b/>
          <w:sz w:val="24"/>
        </w:rPr>
        <w:t>Wzór EU SEC4 – Ekspozycje sekurytyzacyjne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por</w:t>
      </w:r>
      <w:r w:rsidRPr="00835753">
        <w:rPr>
          <w:rFonts w:ascii="Times New Roman" w:hAnsi="Times New Roman"/>
          <w:b/>
          <w:sz w:val="24"/>
        </w:rPr>
        <w:t>tfelu bankowym</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pow</w:t>
      </w:r>
      <w:r w:rsidRPr="00835753">
        <w:rPr>
          <w:rFonts w:ascii="Times New Roman" w:hAnsi="Times New Roman"/>
          <w:b/>
          <w:sz w:val="24"/>
        </w:rPr>
        <w:t xml:space="preserve">iązane regulacyjne wymogi kapitałowe – instytucja działająca jako inwestor. </w:t>
      </w:r>
      <w:r w:rsidRPr="00835753">
        <w:rPr>
          <w:rFonts w:ascii="Times New Roman" w:hAnsi="Times New Roman"/>
          <w:sz w:val="24"/>
        </w:rPr>
        <w:t>Format stały</w:t>
      </w:r>
    </w:p>
    <w:p w14:paraId="1B1244CB" w14:textId="6C2FB6EB" w:rsidR="00FD656A" w:rsidRPr="00835753" w:rsidRDefault="00FD656A" w:rsidP="00FD656A">
      <w:pPr>
        <w:pStyle w:val="ListParagraph"/>
        <w:numPr>
          <w:ilvl w:val="0"/>
          <w:numId w:val="58"/>
        </w:numPr>
        <w:spacing w:before="120" w:after="120"/>
        <w:ind w:left="432"/>
        <w:jc w:val="both"/>
        <w:rPr>
          <w:rFonts w:ascii="Times New Roman" w:hAnsi="Times New Roman"/>
          <w:bCs/>
          <w:sz w:val="24"/>
        </w:rPr>
      </w:pPr>
      <w:r w:rsidRPr="00835753">
        <w:rPr>
          <w:rFonts w:ascii="Times New Roman" w:hAnsi="Times New Roman"/>
          <w:bCs/>
          <w:sz w:val="24"/>
        </w:rPr>
        <w:t>W celu wypełnienia wzoru EU SEC4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ączniku XXVII do niniejszego rozporządzenia wykonawczego instytucje ujawniają informacje,</w:t>
      </w:r>
      <w:r w:rsidR="00835753" w:rsidRPr="00835753">
        <w:rPr>
          <w:rFonts w:ascii="Times New Roman" w:hAnsi="Times New Roman"/>
          <w:bCs/>
          <w:sz w:val="24"/>
        </w:rPr>
        <w:t xml:space="preserve"> o</w:t>
      </w:r>
      <w:r w:rsidR="00835753">
        <w:rPr>
          <w:rFonts w:ascii="Times New Roman" w:hAnsi="Times New Roman"/>
          <w:bCs/>
          <w:sz w:val="24"/>
        </w:rPr>
        <w:t> </w:t>
      </w:r>
      <w:r w:rsidR="00835753" w:rsidRPr="00835753">
        <w:rPr>
          <w:rFonts w:ascii="Times New Roman" w:hAnsi="Times New Roman"/>
          <w:bCs/>
          <w:sz w:val="24"/>
        </w:rPr>
        <w:t>któ</w:t>
      </w:r>
      <w:r w:rsidRPr="00835753">
        <w:rPr>
          <w:rFonts w:ascii="Times New Roman" w:hAnsi="Times New Roman"/>
          <w:bCs/>
          <w:sz w:val="24"/>
        </w:rPr>
        <w:t>rych mowa</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449 lit.</w:t>
      </w:r>
      <w:r w:rsidR="00835753" w:rsidRPr="00835753">
        <w:rPr>
          <w:rFonts w:ascii="Times New Roman" w:hAnsi="Times New Roman"/>
          <w:bCs/>
          <w:sz w:val="24"/>
        </w:rPr>
        <w:t> </w:t>
      </w:r>
      <w:r w:rsidRPr="00835753">
        <w:rPr>
          <w:rFonts w:ascii="Times New Roman" w:hAnsi="Times New Roman"/>
          <w:bCs/>
          <w:sz w:val="24"/>
        </w:rPr>
        <w:t>k) ppkt (ii) CRR,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p>
    <w:p w14:paraId="26E5EFB2" w14:textId="659BD346" w:rsidR="00FD656A" w:rsidRPr="00835753" w:rsidRDefault="00FD656A" w:rsidP="00FD656A">
      <w:pPr>
        <w:pStyle w:val="ListParagraph"/>
        <w:numPr>
          <w:ilvl w:val="0"/>
          <w:numId w:val="58"/>
        </w:numPr>
        <w:spacing w:before="120" w:after="120"/>
        <w:ind w:left="432"/>
        <w:jc w:val="both"/>
        <w:rPr>
          <w:rFonts w:ascii="Times New Roman" w:hAnsi="Times New Roman"/>
          <w:bCs/>
          <w:sz w:val="24"/>
        </w:rPr>
      </w:pPr>
      <w:r w:rsidRPr="00835753">
        <w:rPr>
          <w:rFonts w:ascii="Times New Roman" w:hAnsi="Times New Roman"/>
          <w:bCs/>
          <w:sz w:val="24"/>
        </w:rPr>
        <w:t xml:space="preserve">Instytucje stosują się do instrukcji dotyczących </w:t>
      </w:r>
      <w:r w:rsidRPr="00835753">
        <w:rPr>
          <w:rFonts w:ascii="Times New Roman" w:hAnsi="Times New Roman"/>
          <w:sz w:val="24"/>
        </w:rPr>
        <w:t xml:space="preserve">wzoru </w:t>
      </w:r>
      <w:r w:rsidRPr="00835753">
        <w:rPr>
          <w:rFonts w:ascii="Times New Roman" w:hAnsi="Times New Roman"/>
          <w:bCs/>
          <w:sz w:val="24"/>
        </w:rPr>
        <w:t>EU SEC3 – Ekspozycje sekurytyzacyjne</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por</w:t>
      </w:r>
      <w:r w:rsidRPr="00835753">
        <w:rPr>
          <w:rFonts w:ascii="Times New Roman" w:hAnsi="Times New Roman"/>
          <w:bCs/>
          <w:sz w:val="24"/>
        </w:rPr>
        <w:t>tfelu bankowym oraz powiązane regulacyjne wymogi kapitałowe – instytucja działająca jako jednostka inicjująca lub jednostka sponsorująca.</w:t>
      </w:r>
    </w:p>
    <w:p w14:paraId="5E29523C" w14:textId="77777777" w:rsidR="00FD656A" w:rsidRPr="00835753" w:rsidRDefault="00FD656A" w:rsidP="00FD656A">
      <w:pPr>
        <w:rPr>
          <w:rFonts w:ascii="Times New Roman" w:hAnsi="Times New Roman" w:cs="Times New Roman"/>
          <w:sz w:val="24"/>
        </w:rPr>
      </w:pPr>
    </w:p>
    <w:p w14:paraId="7244A814" w14:textId="5FC53520" w:rsidR="00FD656A" w:rsidRPr="00835753" w:rsidRDefault="00D95507" w:rsidP="00FD656A">
      <w:pPr>
        <w:rPr>
          <w:rFonts w:ascii="Times New Roman" w:hAnsi="Times New Roman" w:cs="Times New Roman"/>
          <w:b/>
          <w:sz w:val="24"/>
        </w:rPr>
      </w:pPr>
      <w:r w:rsidRPr="00835753">
        <w:rPr>
          <w:rFonts w:ascii="Times New Roman" w:hAnsi="Times New Roman"/>
          <w:b/>
          <w:sz w:val="24"/>
        </w:rPr>
        <w:t>Wzór EU SEC5 – Ekspozycje sekurytyzowane przez instytucję – Ekspozycje, których dotyczy niewykonanie zobowiązania, oraz korekty</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tyt</w:t>
      </w:r>
      <w:r w:rsidRPr="00835753">
        <w:rPr>
          <w:rFonts w:ascii="Times New Roman" w:hAnsi="Times New Roman"/>
          <w:b/>
          <w:sz w:val="24"/>
        </w:rPr>
        <w:t xml:space="preserve">ułu szczególnego ryzyka kredytowego. </w:t>
      </w:r>
      <w:r w:rsidRPr="00835753">
        <w:rPr>
          <w:rFonts w:ascii="Times New Roman" w:hAnsi="Times New Roman"/>
          <w:sz w:val="24"/>
        </w:rPr>
        <w:t>Format stały</w:t>
      </w:r>
    </w:p>
    <w:p w14:paraId="4EF0F0C4" w14:textId="1A67316B" w:rsidR="00FD656A" w:rsidRPr="00835753" w:rsidRDefault="00FD656A" w:rsidP="00FD656A">
      <w:pPr>
        <w:pStyle w:val="ListParagraph"/>
        <w:numPr>
          <w:ilvl w:val="0"/>
          <w:numId w:val="58"/>
        </w:numPr>
        <w:spacing w:before="120" w:after="120"/>
        <w:ind w:left="432"/>
        <w:jc w:val="both"/>
        <w:rPr>
          <w:rFonts w:ascii="Times New Roman" w:hAnsi="Times New Roman"/>
          <w:bCs/>
          <w:sz w:val="24"/>
        </w:rPr>
      </w:pPr>
      <w:r w:rsidRPr="00835753">
        <w:rPr>
          <w:rFonts w:ascii="Times New Roman" w:hAnsi="Times New Roman"/>
          <w:bCs/>
          <w:sz w:val="24"/>
        </w:rPr>
        <w:t>W celu wypełnienia wzoru EU SEC5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ączniku XXVII do niniejszego rozporządzenia wykonawczego instytucje ujawniają informacje,</w:t>
      </w:r>
      <w:r w:rsidR="00835753" w:rsidRPr="00835753">
        <w:rPr>
          <w:rFonts w:ascii="Times New Roman" w:hAnsi="Times New Roman"/>
          <w:bCs/>
          <w:sz w:val="24"/>
        </w:rPr>
        <w:t xml:space="preserve"> o</w:t>
      </w:r>
      <w:r w:rsidR="00835753">
        <w:rPr>
          <w:rFonts w:ascii="Times New Roman" w:hAnsi="Times New Roman"/>
          <w:bCs/>
          <w:sz w:val="24"/>
        </w:rPr>
        <w:t> </w:t>
      </w:r>
      <w:r w:rsidR="00835753" w:rsidRPr="00835753">
        <w:rPr>
          <w:rFonts w:ascii="Times New Roman" w:hAnsi="Times New Roman"/>
          <w:bCs/>
          <w:sz w:val="24"/>
        </w:rPr>
        <w:t>któ</w:t>
      </w:r>
      <w:r w:rsidRPr="00835753">
        <w:rPr>
          <w:rFonts w:ascii="Times New Roman" w:hAnsi="Times New Roman"/>
          <w:bCs/>
          <w:sz w:val="24"/>
        </w:rPr>
        <w:t>rych mowa</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449 lit.</w:t>
      </w:r>
      <w:r w:rsidR="00835753" w:rsidRPr="00835753">
        <w:rPr>
          <w:rFonts w:ascii="Times New Roman" w:hAnsi="Times New Roman"/>
          <w:bCs/>
          <w:sz w:val="24"/>
        </w:rPr>
        <w:t> </w:t>
      </w:r>
      <w:r w:rsidRPr="00835753">
        <w:rPr>
          <w:rFonts w:ascii="Times New Roman" w:hAnsi="Times New Roman"/>
          <w:bCs/>
          <w:sz w:val="24"/>
        </w:rPr>
        <w:t>l) CRR, według rodzaju ekspozycji sekurytyzacyjnej,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p>
    <w:p w14:paraId="0C515F74" w14:textId="77777777" w:rsidR="00FD656A" w:rsidRPr="00835753"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835753"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4E8BB89" w:rsidR="00FD656A" w:rsidRPr="00835753" w:rsidRDefault="00FD656A" w:rsidP="00155C96">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FD656A" w:rsidRPr="00835753" w14:paraId="0B36D42B" w14:textId="77777777" w:rsidTr="00155C96">
        <w:trPr>
          <w:trHeight w:val="741"/>
        </w:trPr>
        <w:tc>
          <w:tcPr>
            <w:tcW w:w="1413" w:type="dxa"/>
            <w:shd w:val="clear" w:color="auto" w:fill="D9D9D9" w:themeFill="background1" w:themeFillShade="D9"/>
          </w:tcPr>
          <w:p w14:paraId="1FBDC6DD" w14:textId="77777777" w:rsidR="00FD656A" w:rsidRPr="00835753" w:rsidRDefault="00FD656A" w:rsidP="00155C96">
            <w:pPr>
              <w:autoSpaceDE w:val="0"/>
              <w:autoSpaceDN w:val="0"/>
              <w:adjustRightInd w:val="0"/>
              <w:rPr>
                <w:rFonts w:ascii="Times New Roman" w:hAnsi="Times New Roman" w:cs="Times New Roman"/>
                <w:b/>
                <w:sz w:val="24"/>
              </w:rPr>
            </w:pPr>
            <w:r w:rsidRPr="00835753">
              <w:rPr>
                <w:rFonts w:ascii="Times New Roman" w:hAnsi="Times New Roman"/>
                <w:b/>
                <w:sz w:val="24"/>
              </w:rPr>
              <w:t>Oznaczenie kolumny</w:t>
            </w:r>
          </w:p>
        </w:tc>
        <w:tc>
          <w:tcPr>
            <w:tcW w:w="7654" w:type="dxa"/>
            <w:shd w:val="clear" w:color="auto" w:fill="D9D9D9" w:themeFill="background1" w:themeFillShade="D9"/>
          </w:tcPr>
          <w:p w14:paraId="4E82CE72" w14:textId="77777777" w:rsidR="00FD656A" w:rsidRPr="00835753" w:rsidRDefault="00FD656A" w:rsidP="00155C96">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FD656A" w:rsidRPr="00835753" w14:paraId="590FEA31" w14:textId="77777777" w:rsidTr="00155C96">
        <w:trPr>
          <w:trHeight w:val="741"/>
        </w:trPr>
        <w:tc>
          <w:tcPr>
            <w:tcW w:w="1413" w:type="dxa"/>
            <w:shd w:val="clear" w:color="auto" w:fill="auto"/>
          </w:tcPr>
          <w:p w14:paraId="5176268C" w14:textId="77777777"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654" w:type="dxa"/>
            <w:shd w:val="clear" w:color="auto" w:fill="auto"/>
          </w:tcPr>
          <w:p w14:paraId="3CB1BA27" w14:textId="213D045A"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835753">
              <w:rPr>
                <w:rFonts w:ascii="Times New Roman" w:hAnsi="Times New Roman"/>
                <w:b/>
                <w:sz w:val="24"/>
              </w:rPr>
              <w:t>Łączna nominalna kwota należności</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tyt</w:t>
            </w:r>
            <w:r w:rsidRPr="00835753">
              <w:rPr>
                <w:rFonts w:ascii="Times New Roman" w:hAnsi="Times New Roman"/>
                <w:b/>
                <w:sz w:val="24"/>
              </w:rPr>
              <w:t>ułu ekspozycji</w:t>
            </w:r>
          </w:p>
          <w:p w14:paraId="093F3639" w14:textId="08144815"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Łączna nominalna kwota należności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ekspozycji sekurytyzowanych przez instytucję (instytucja działająca jako jednostka inicjująca lub jednostka sponsorująca),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ziale według rodzaju ekspozycji sekurytyzacyjnej.</w:t>
            </w:r>
          </w:p>
        </w:tc>
      </w:tr>
      <w:tr w:rsidR="00FD656A" w:rsidRPr="00835753" w14:paraId="14BB4C13" w14:textId="77777777" w:rsidTr="00155C96">
        <w:trPr>
          <w:trHeight w:val="741"/>
        </w:trPr>
        <w:tc>
          <w:tcPr>
            <w:tcW w:w="1413" w:type="dxa"/>
            <w:shd w:val="clear" w:color="auto" w:fill="auto"/>
          </w:tcPr>
          <w:p w14:paraId="52985090" w14:textId="77777777"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654" w:type="dxa"/>
            <w:shd w:val="clear" w:color="auto" w:fill="auto"/>
          </w:tcPr>
          <w:p w14:paraId="38577A55" w14:textId="2FB98D4F"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835753">
              <w:rPr>
                <w:rFonts w:ascii="Times New Roman" w:hAnsi="Times New Roman"/>
                <w:b/>
                <w:sz w:val="24"/>
              </w:rPr>
              <w:t>Łączna nominalna kwota należności</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tyt</w:t>
            </w:r>
            <w:r w:rsidRPr="00835753">
              <w:rPr>
                <w:rFonts w:ascii="Times New Roman" w:hAnsi="Times New Roman"/>
                <w:b/>
                <w:sz w:val="24"/>
              </w:rPr>
              <w:t>ułu ekspozycji –</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tym</w:t>
            </w:r>
            <w:r w:rsidRPr="00835753">
              <w:rPr>
                <w:rFonts w:ascii="Times New Roman" w:hAnsi="Times New Roman"/>
                <w:b/>
                <w:sz w:val="24"/>
              </w:rPr>
              <w:t xml:space="preserve"> ekspozycji, których dotyczy niewykonanie zobowiązania</w:t>
            </w:r>
          </w:p>
          <w:p w14:paraId="0EFCD670" w14:textId="4F60452D"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835753">
              <w:rPr>
                <w:rStyle w:val="InstructionsTabelleText"/>
                <w:rFonts w:ascii="Times New Roman" w:hAnsi="Times New Roman"/>
                <w:sz w:val="24"/>
              </w:rPr>
              <w:t>Łączna nominalna kwota należności</w:t>
            </w:r>
            <w:r w:rsidR="00835753" w:rsidRPr="00835753">
              <w:rPr>
                <w:rStyle w:val="InstructionsTabelleText"/>
                <w:rFonts w:ascii="Times New Roman" w:hAnsi="Times New Roman"/>
                <w:sz w:val="24"/>
              </w:rPr>
              <w:t xml:space="preserve"> z</w:t>
            </w:r>
            <w:r w:rsidR="00835753">
              <w:rPr>
                <w:rStyle w:val="InstructionsTabelleText"/>
                <w:rFonts w:ascii="Times New Roman" w:hAnsi="Times New Roman"/>
                <w:sz w:val="24"/>
              </w:rPr>
              <w:t> </w:t>
            </w:r>
            <w:r w:rsidR="00835753" w:rsidRPr="00835753">
              <w:rPr>
                <w:rStyle w:val="InstructionsTabelleText"/>
                <w:rFonts w:ascii="Times New Roman" w:hAnsi="Times New Roman"/>
                <w:sz w:val="24"/>
              </w:rPr>
              <w:t>tyt</w:t>
            </w:r>
            <w:r w:rsidRPr="00835753">
              <w:rPr>
                <w:rStyle w:val="InstructionsTabelleText"/>
                <w:rFonts w:ascii="Times New Roman" w:hAnsi="Times New Roman"/>
                <w:sz w:val="24"/>
              </w:rPr>
              <w:t xml:space="preserve">ułu </w:t>
            </w:r>
            <w:r w:rsidRPr="00835753">
              <w:rPr>
                <w:rFonts w:ascii="Times New Roman" w:hAnsi="Times New Roman"/>
                <w:sz w:val="24"/>
              </w:rPr>
              <w:t>ekspozycji sekurytyzowanych przez instytucję (instytucja działająca jako jednostka inicjująca lub jednostka sponsorująca)</w:t>
            </w:r>
            <w:r w:rsidRPr="00835753">
              <w:rPr>
                <w:rStyle w:val="InstructionsTabelleText"/>
                <w:rFonts w:ascii="Times New Roman" w:hAnsi="Times New Roman"/>
                <w:sz w:val="24"/>
              </w:rPr>
              <w:t xml:space="preserve"> sklasyfikowanych jako „ekspozycje, których dotyczy niewykonanie zobowiązania”, zgodnie</w:t>
            </w:r>
            <w:r w:rsidR="00835753" w:rsidRPr="00835753">
              <w:rPr>
                <w:rStyle w:val="InstructionsTabelleText"/>
                <w:rFonts w:ascii="Times New Roman" w:hAnsi="Times New Roman"/>
                <w:sz w:val="24"/>
              </w:rPr>
              <w:t xml:space="preserve"> z</w:t>
            </w:r>
            <w:r w:rsidR="00835753">
              <w:rPr>
                <w:rStyle w:val="InstructionsTabelleText"/>
                <w:rFonts w:ascii="Times New Roman" w:hAnsi="Times New Roman"/>
                <w:sz w:val="24"/>
              </w:rPr>
              <w:t> </w:t>
            </w:r>
            <w:r w:rsidR="00835753" w:rsidRPr="00835753">
              <w:rPr>
                <w:rStyle w:val="InstructionsTabelleText"/>
                <w:rFonts w:ascii="Times New Roman" w:hAnsi="Times New Roman"/>
                <w:sz w:val="24"/>
              </w:rPr>
              <w:t>art</w:t>
            </w:r>
            <w:r w:rsidRPr="00835753">
              <w:rPr>
                <w:rStyle w:val="InstructionsTabelleText"/>
                <w:rFonts w:ascii="Times New Roman" w:hAnsi="Times New Roman"/>
                <w:sz w:val="24"/>
              </w:rPr>
              <w:t>.</w:t>
            </w:r>
            <w:r w:rsidR="00835753" w:rsidRPr="00835753">
              <w:rPr>
                <w:rStyle w:val="InstructionsTabelleText"/>
                <w:rFonts w:ascii="Times New Roman" w:hAnsi="Times New Roman"/>
                <w:sz w:val="24"/>
              </w:rPr>
              <w:t> </w:t>
            </w:r>
            <w:r w:rsidRPr="00835753">
              <w:rPr>
                <w:rStyle w:val="InstructionsTabelleText"/>
                <w:rFonts w:ascii="Times New Roman" w:hAnsi="Times New Roman"/>
                <w:sz w:val="24"/>
              </w:rPr>
              <w:t>178 CRR,</w:t>
            </w:r>
            <w:r w:rsidR="00835753" w:rsidRPr="00835753">
              <w:rPr>
                <w:rStyle w:val="InstructionsTabelleText"/>
                <w:rFonts w:ascii="Times New Roman" w:hAnsi="Times New Roman"/>
                <w:sz w:val="24"/>
              </w:rPr>
              <w:t xml:space="preserve"> </w:t>
            </w:r>
            <w:r w:rsidR="00835753" w:rsidRPr="00835753">
              <w:rPr>
                <w:rFonts w:ascii="Times New Roman" w:hAnsi="Times New Roman"/>
                <w:sz w:val="24"/>
              </w:rPr>
              <w:t>w</w:t>
            </w:r>
            <w:r w:rsidR="00835753">
              <w:rPr>
                <w:rStyle w:val="InstructionsTabelleText"/>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ziale według rodzaju ekspozycji sekurytyzacyjnej.</w:t>
            </w:r>
          </w:p>
        </w:tc>
      </w:tr>
      <w:tr w:rsidR="00FD656A" w:rsidRPr="00835753" w14:paraId="5BFEC22E" w14:textId="77777777" w:rsidTr="00155C96">
        <w:trPr>
          <w:trHeight w:val="741"/>
        </w:trPr>
        <w:tc>
          <w:tcPr>
            <w:tcW w:w="1413" w:type="dxa"/>
            <w:shd w:val="clear" w:color="auto" w:fill="auto"/>
          </w:tcPr>
          <w:p w14:paraId="70623005" w14:textId="77777777" w:rsidR="00FD656A" w:rsidRPr="00835753" w:rsidRDefault="00FD656A" w:rsidP="00764687">
            <w:pPr>
              <w:autoSpaceDE w:val="0"/>
              <w:autoSpaceDN w:val="0"/>
              <w:adjustRightInd w:val="0"/>
              <w:spacing w:before="120" w:after="120"/>
              <w:jc w:val="center"/>
              <w:rPr>
                <w:rFonts w:ascii="Times New Roman" w:eastAsia="Times New Roman" w:hAnsi="Times New Roman" w:cs="Times New Roman"/>
                <w:sz w:val="24"/>
              </w:rPr>
            </w:pPr>
            <w:proofErr w:type="gramStart"/>
            <w:r w:rsidRPr="00835753">
              <w:rPr>
                <w:rFonts w:ascii="Times New Roman" w:hAnsi="Times New Roman"/>
                <w:sz w:val="24"/>
              </w:rPr>
              <w:t>c</w:t>
            </w:r>
            <w:proofErr w:type="gramEnd"/>
            <w:r w:rsidRPr="00835753">
              <w:rPr>
                <w:rFonts w:ascii="Times New Roman" w:hAnsi="Times New Roman"/>
                <w:sz w:val="24"/>
              </w:rPr>
              <w:t>)</w:t>
            </w:r>
          </w:p>
        </w:tc>
        <w:tc>
          <w:tcPr>
            <w:tcW w:w="7654" w:type="dxa"/>
            <w:shd w:val="clear" w:color="auto" w:fill="auto"/>
          </w:tcPr>
          <w:p w14:paraId="01D915B9" w14:textId="4B67C198" w:rsidR="00FD656A" w:rsidRPr="00835753" w:rsidRDefault="00FD656A" w:rsidP="00155C96">
            <w:pPr>
              <w:rPr>
                <w:rFonts w:ascii="Times New Roman" w:eastAsia="Times New Roman" w:hAnsi="Times New Roman" w:cs="Times New Roman"/>
                <w:b/>
                <w:sz w:val="24"/>
              </w:rPr>
            </w:pPr>
            <w:r w:rsidRPr="00835753">
              <w:rPr>
                <w:rFonts w:ascii="Times New Roman" w:hAnsi="Times New Roman"/>
                <w:b/>
                <w:sz w:val="24"/>
              </w:rPr>
              <w:t>Korekty</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tyt</w:t>
            </w:r>
            <w:r w:rsidRPr="00835753">
              <w:rPr>
                <w:rFonts w:ascii="Times New Roman" w:hAnsi="Times New Roman"/>
                <w:b/>
                <w:sz w:val="24"/>
              </w:rPr>
              <w:t>ułu szczególnego ryzyka kredytowego dokonane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okr</w:t>
            </w:r>
            <w:r w:rsidRPr="00835753">
              <w:rPr>
                <w:rFonts w:ascii="Times New Roman" w:hAnsi="Times New Roman"/>
                <w:b/>
                <w:sz w:val="24"/>
              </w:rPr>
              <w:t>esie</w:t>
            </w:r>
          </w:p>
          <w:p w14:paraId="00230EE3" w14:textId="41B3DFD7" w:rsidR="00FD656A" w:rsidRPr="00835753"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835753">
              <w:rPr>
                <w:rFonts w:ascii="Times New Roman" w:hAnsi="Times New Roman"/>
                <w:sz w:val="24"/>
              </w:rPr>
              <w:t>Kwota korekt</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szczególnego ryzyka kredytowego dokonanych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110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 xml:space="preserve">iesieniu do ekspozycji </w:t>
            </w:r>
            <w:r w:rsidRPr="00835753">
              <w:rPr>
                <w:rFonts w:ascii="Times New Roman" w:hAnsi="Times New Roman"/>
                <w:sz w:val="24"/>
              </w:rPr>
              <w:lastRenderedPageBreak/>
              <w:t>sekurytyzowanych przez instytucję (instytucja działająca jako jednostka inicjująca lub jednostka sponsorująca),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ziale według rodzaju ekspozycji sekurytyzacyjnej.</w:t>
            </w:r>
          </w:p>
        </w:tc>
      </w:tr>
    </w:tbl>
    <w:p w14:paraId="576C3386" w14:textId="77777777" w:rsidR="00FD656A" w:rsidRPr="00835753" w:rsidRDefault="00FD656A" w:rsidP="00FD656A">
      <w:pPr>
        <w:rPr>
          <w:rFonts w:ascii="Times New Roman" w:hAnsi="Times New Roman" w:cs="Times New Roman"/>
          <w:sz w:val="24"/>
        </w:rPr>
      </w:pPr>
    </w:p>
    <w:p w14:paraId="3D9E91DC" w14:textId="27D5E86D" w:rsidR="0081579E" w:rsidRPr="00835753" w:rsidRDefault="0081579E">
      <w:pPr>
        <w:rPr>
          <w:rFonts w:ascii="Times New Roman" w:hAnsi="Times New Roman" w:cs="Times New Roman"/>
          <w:b/>
          <w:sz w:val="24"/>
        </w:rPr>
        <w:sectPr w:rsidR="0081579E" w:rsidRPr="00835753" w:rsidSect="00155C96">
          <w:pgSz w:w="11900" w:h="16840"/>
          <w:pgMar w:top="2268" w:right="1418" w:bottom="1134" w:left="1701" w:header="709" w:footer="709" w:gutter="0"/>
          <w:pgNumType w:start="1" w:chapStyle="1"/>
          <w:cols w:space="708"/>
          <w:docGrid w:linePitch="299"/>
        </w:sectPr>
      </w:pPr>
    </w:p>
    <w:p w14:paraId="10DD1F8C" w14:textId="46797C33" w:rsidR="00203C1C" w:rsidRPr="00835753" w:rsidRDefault="00203C1C">
      <w:pPr>
        <w:rPr>
          <w:rFonts w:ascii="Times New Roman" w:hAnsi="Times New Roman" w:cs="Times New Roman"/>
          <w:b/>
          <w:sz w:val="24"/>
        </w:rPr>
      </w:pPr>
    </w:p>
    <w:p w14:paraId="5F68E1BB" w14:textId="254E5FC2" w:rsidR="00203C1C" w:rsidRPr="00835753" w:rsidRDefault="00203C1C" w:rsidP="00203C1C">
      <w:pPr>
        <w:pStyle w:val="Titlelevel2"/>
        <w:spacing w:before="0"/>
        <w:rPr>
          <w:rFonts w:ascii="Times New Roman" w:hAnsi="Times New Roman" w:cs="Times New Roman"/>
          <w:b/>
          <w:color w:val="auto"/>
          <w:sz w:val="24"/>
        </w:rPr>
      </w:pPr>
      <w:r w:rsidRPr="00835753">
        <w:rPr>
          <w:rFonts w:ascii="Times New Roman" w:hAnsi="Times New Roman"/>
          <w:b/>
          <w:color w:val="auto"/>
          <w:sz w:val="24"/>
        </w:rPr>
        <w:t>ZAŁĄCZNIK XXX – Tabele</w:t>
      </w:r>
      <w:r w:rsidR="00835753" w:rsidRPr="00835753">
        <w:rPr>
          <w:rFonts w:ascii="Times New Roman" w:hAnsi="Times New Roman"/>
          <w:b/>
          <w:color w:val="auto"/>
          <w:sz w:val="24"/>
        </w:rPr>
        <w:t xml:space="preserve"> i</w:t>
      </w:r>
      <w:r w:rsidR="00835753">
        <w:rPr>
          <w:rFonts w:ascii="Times New Roman" w:hAnsi="Times New Roman"/>
          <w:b/>
          <w:color w:val="auto"/>
          <w:sz w:val="24"/>
        </w:rPr>
        <w:t> </w:t>
      </w:r>
      <w:r w:rsidR="00835753" w:rsidRPr="00835753">
        <w:rPr>
          <w:rFonts w:ascii="Times New Roman" w:hAnsi="Times New Roman"/>
          <w:b/>
          <w:color w:val="auto"/>
          <w:sz w:val="24"/>
        </w:rPr>
        <w:t>wzo</w:t>
      </w:r>
      <w:r w:rsidRPr="00835753">
        <w:rPr>
          <w:rFonts w:ascii="Times New Roman" w:hAnsi="Times New Roman"/>
          <w:b/>
          <w:color w:val="auto"/>
          <w:sz w:val="24"/>
        </w:rPr>
        <w:t>ry na potrzeby ujawniania informacji dotyczących ryzyka rynkowego zgodnie</w:t>
      </w:r>
      <w:r w:rsidR="00835753" w:rsidRPr="00835753">
        <w:rPr>
          <w:rFonts w:ascii="Times New Roman" w:hAnsi="Times New Roman"/>
          <w:b/>
          <w:color w:val="auto"/>
          <w:sz w:val="24"/>
        </w:rPr>
        <w:t xml:space="preserve"> z</w:t>
      </w:r>
      <w:r w:rsidR="00835753">
        <w:rPr>
          <w:rFonts w:ascii="Times New Roman" w:hAnsi="Times New Roman"/>
          <w:b/>
          <w:color w:val="auto"/>
          <w:sz w:val="24"/>
        </w:rPr>
        <w:t> </w:t>
      </w:r>
      <w:r w:rsidR="00835753" w:rsidRPr="00835753">
        <w:rPr>
          <w:rFonts w:ascii="Times New Roman" w:hAnsi="Times New Roman"/>
          <w:b/>
          <w:color w:val="auto"/>
          <w:sz w:val="24"/>
        </w:rPr>
        <w:t>met</w:t>
      </w:r>
      <w:r w:rsidRPr="00835753">
        <w:rPr>
          <w:rFonts w:ascii="Times New Roman" w:hAnsi="Times New Roman"/>
          <w:b/>
          <w:color w:val="auto"/>
          <w:sz w:val="24"/>
        </w:rPr>
        <w:t>odą standardową</w:t>
      </w:r>
      <w:r w:rsidR="00835753" w:rsidRPr="00835753">
        <w:rPr>
          <w:rFonts w:ascii="Times New Roman" w:hAnsi="Times New Roman"/>
          <w:b/>
          <w:color w:val="auto"/>
          <w:sz w:val="24"/>
        </w:rPr>
        <w:t xml:space="preserve"> i</w:t>
      </w:r>
      <w:r w:rsidR="00835753">
        <w:rPr>
          <w:rFonts w:ascii="Times New Roman" w:hAnsi="Times New Roman"/>
          <w:b/>
          <w:color w:val="auto"/>
          <w:sz w:val="24"/>
        </w:rPr>
        <w:t> </w:t>
      </w:r>
      <w:r w:rsidR="00835753" w:rsidRPr="00835753">
        <w:rPr>
          <w:rFonts w:ascii="Times New Roman" w:hAnsi="Times New Roman"/>
          <w:b/>
          <w:color w:val="auto"/>
          <w:sz w:val="24"/>
        </w:rPr>
        <w:t>wew</w:t>
      </w:r>
      <w:r w:rsidRPr="00835753">
        <w:rPr>
          <w:rFonts w:ascii="Times New Roman" w:hAnsi="Times New Roman"/>
          <w:b/>
          <w:color w:val="auto"/>
          <w:sz w:val="24"/>
        </w:rPr>
        <w:t xml:space="preserve">nętrzną: instrukcje </w:t>
      </w:r>
    </w:p>
    <w:p w14:paraId="55A8B293" w14:textId="79D90435" w:rsidR="00203C1C" w:rsidRPr="00835753" w:rsidRDefault="00203C1C" w:rsidP="00203C1C">
      <w:pPr>
        <w:pStyle w:val="Titlelevel2"/>
        <w:numPr>
          <w:ilvl w:val="0"/>
          <w:numId w:val="60"/>
        </w:numPr>
        <w:spacing w:before="0"/>
        <w:jc w:val="both"/>
        <w:rPr>
          <w:rFonts w:ascii="Times New Roman" w:hAnsi="Times New Roman" w:cs="Times New Roman"/>
          <w:color w:val="auto"/>
          <w:sz w:val="24"/>
        </w:rPr>
      </w:pPr>
      <w:r w:rsidRPr="00835753">
        <w:rPr>
          <w:rFonts w:ascii="Times New Roman" w:hAnsi="Times New Roman"/>
          <w:color w:val="auto"/>
          <w:sz w:val="24"/>
        </w:rPr>
        <w:t>W niniejszym załączniku zawarto instrukcje, które instytucje powinny stosować przy ujawnianiu informacji,</w:t>
      </w:r>
      <w:r w:rsidR="00835753" w:rsidRPr="00835753">
        <w:rPr>
          <w:rFonts w:ascii="Times New Roman" w:hAnsi="Times New Roman"/>
          <w:color w:val="auto"/>
          <w:sz w:val="24"/>
        </w:rPr>
        <w:t xml:space="preserve"> o</w:t>
      </w:r>
      <w:r w:rsidR="00835753">
        <w:rPr>
          <w:rFonts w:ascii="Times New Roman" w:hAnsi="Times New Roman"/>
          <w:color w:val="auto"/>
          <w:sz w:val="24"/>
        </w:rPr>
        <w:t> </w:t>
      </w:r>
      <w:r w:rsidR="00835753" w:rsidRPr="00835753">
        <w:rPr>
          <w:rFonts w:ascii="Times New Roman" w:hAnsi="Times New Roman"/>
          <w:color w:val="auto"/>
          <w:sz w:val="24"/>
        </w:rPr>
        <w:t>któ</w:t>
      </w:r>
      <w:r w:rsidRPr="00835753">
        <w:rPr>
          <w:rFonts w:ascii="Times New Roman" w:hAnsi="Times New Roman"/>
          <w:color w:val="auto"/>
          <w:sz w:val="24"/>
        </w:rPr>
        <w:t>rych mowa</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art</w:t>
      </w:r>
      <w:r w:rsidRPr="00835753">
        <w:rPr>
          <w:rFonts w:ascii="Times New Roman" w:hAnsi="Times New Roman"/>
          <w:color w:val="auto"/>
          <w:sz w:val="24"/>
        </w:rPr>
        <w:t>.</w:t>
      </w:r>
      <w:r w:rsidR="00835753" w:rsidRPr="00835753">
        <w:rPr>
          <w:rFonts w:ascii="Times New Roman" w:hAnsi="Times New Roman"/>
          <w:color w:val="auto"/>
          <w:sz w:val="24"/>
        </w:rPr>
        <w:t> </w:t>
      </w:r>
      <w:r w:rsidRPr="00835753">
        <w:rPr>
          <w:rFonts w:ascii="Times New Roman" w:hAnsi="Times New Roman"/>
          <w:color w:val="auto"/>
          <w:sz w:val="24"/>
        </w:rPr>
        <w:t>435, 445</w:t>
      </w:r>
      <w:r w:rsidR="00835753" w:rsidRPr="00835753">
        <w:rPr>
          <w:rFonts w:ascii="Times New Roman" w:hAnsi="Times New Roman"/>
          <w:color w:val="auto"/>
          <w:sz w:val="24"/>
        </w:rPr>
        <w:t xml:space="preserve"> i</w:t>
      </w:r>
      <w:r w:rsidR="00835753">
        <w:rPr>
          <w:rFonts w:ascii="Times New Roman" w:hAnsi="Times New Roman"/>
          <w:color w:val="auto"/>
          <w:sz w:val="24"/>
        </w:rPr>
        <w:t> </w:t>
      </w:r>
      <w:r w:rsidR="00835753" w:rsidRPr="00835753">
        <w:rPr>
          <w:rFonts w:ascii="Times New Roman" w:hAnsi="Times New Roman"/>
          <w:color w:val="auto"/>
          <w:sz w:val="24"/>
        </w:rPr>
        <w:t>4</w:t>
      </w:r>
      <w:r w:rsidRPr="00835753">
        <w:rPr>
          <w:rFonts w:ascii="Times New Roman" w:hAnsi="Times New Roman"/>
          <w:color w:val="auto"/>
          <w:sz w:val="24"/>
        </w:rPr>
        <w:t>55 rozporządzenia (UE) nr</w:t>
      </w:r>
      <w:r w:rsidR="00835753" w:rsidRPr="00835753">
        <w:rPr>
          <w:rFonts w:ascii="Times New Roman" w:hAnsi="Times New Roman"/>
          <w:color w:val="auto"/>
          <w:sz w:val="24"/>
        </w:rPr>
        <w:t> </w:t>
      </w:r>
      <w:r w:rsidRPr="00835753">
        <w:rPr>
          <w:rFonts w:ascii="Times New Roman" w:hAnsi="Times New Roman"/>
          <w:color w:val="auto"/>
          <w:sz w:val="24"/>
        </w:rPr>
        <w:t>575/2013</w:t>
      </w:r>
      <w:r w:rsidRPr="00835753">
        <w:rPr>
          <w:rStyle w:val="FootnoteReference"/>
          <w:rFonts w:cs="Times New Roman"/>
          <w:color w:val="auto"/>
        </w:rPr>
        <w:footnoteReference w:id="44"/>
      </w:r>
      <w:r w:rsidRPr="00835753">
        <w:rPr>
          <w:rFonts w:ascii="Times New Roman" w:hAnsi="Times New Roman"/>
          <w:color w:val="auto"/>
          <w:sz w:val="24"/>
        </w:rPr>
        <w:t xml:space="preserve"> („CRR”),</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cel</w:t>
      </w:r>
      <w:r w:rsidRPr="00835753">
        <w:rPr>
          <w:rFonts w:ascii="Times New Roman" w:hAnsi="Times New Roman"/>
          <w:color w:val="auto"/>
          <w:sz w:val="24"/>
        </w:rPr>
        <w:t>u wypełnienia tabeli</w:t>
      </w:r>
      <w:r w:rsidR="00835753" w:rsidRPr="00835753">
        <w:rPr>
          <w:rFonts w:ascii="Times New Roman" w:hAnsi="Times New Roman"/>
          <w:color w:val="auto"/>
          <w:sz w:val="24"/>
        </w:rPr>
        <w:t xml:space="preserve"> i</w:t>
      </w:r>
      <w:r w:rsidR="00835753">
        <w:rPr>
          <w:rFonts w:ascii="Times New Roman" w:hAnsi="Times New Roman"/>
          <w:color w:val="auto"/>
          <w:sz w:val="24"/>
        </w:rPr>
        <w:t> </w:t>
      </w:r>
      <w:r w:rsidR="00835753" w:rsidRPr="00835753">
        <w:rPr>
          <w:rFonts w:ascii="Times New Roman" w:hAnsi="Times New Roman"/>
          <w:color w:val="auto"/>
          <w:sz w:val="24"/>
        </w:rPr>
        <w:t>wzo</w:t>
      </w:r>
      <w:r w:rsidRPr="00835753">
        <w:rPr>
          <w:rFonts w:ascii="Times New Roman" w:hAnsi="Times New Roman"/>
          <w:color w:val="auto"/>
          <w:sz w:val="24"/>
        </w:rPr>
        <w:t>rów na potrzeby ujawniania informacji dotyczących ryzyka rynkowego przedstawionych</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zał</w:t>
      </w:r>
      <w:r w:rsidRPr="00835753">
        <w:rPr>
          <w:rFonts w:ascii="Times New Roman" w:hAnsi="Times New Roman"/>
          <w:color w:val="auto"/>
          <w:sz w:val="24"/>
        </w:rPr>
        <w:t xml:space="preserve">ączniku XXIX do niniejszego rozporządzenia wykonawczego. </w:t>
      </w:r>
    </w:p>
    <w:p w14:paraId="43D7A3F8" w14:textId="7DB37A34" w:rsidR="00203C1C" w:rsidRPr="00835753" w:rsidRDefault="00203C1C" w:rsidP="00203C1C">
      <w:pPr>
        <w:spacing w:after="240"/>
        <w:jc w:val="both"/>
        <w:rPr>
          <w:rFonts w:ascii="Times New Roman" w:hAnsi="Times New Roman" w:cs="Times New Roman"/>
          <w:sz w:val="24"/>
        </w:rPr>
      </w:pPr>
      <w:r w:rsidRPr="00835753">
        <w:rPr>
          <w:rFonts w:ascii="Times New Roman" w:hAnsi="Times New Roman"/>
          <w:b/>
          <w:sz w:val="24"/>
        </w:rPr>
        <w:t>Tabela EU MRA</w:t>
      </w:r>
      <w:r w:rsidR="00835753" w:rsidRPr="00835753">
        <w:rPr>
          <w:rFonts w:ascii="Times New Roman" w:hAnsi="Times New Roman"/>
          <w:sz w:val="24"/>
        </w:rPr>
        <w:t xml:space="preserve"> </w:t>
      </w:r>
      <w:r w:rsidRPr="00835753">
        <w:rPr>
          <w:rFonts w:ascii="Times New Roman" w:hAnsi="Times New Roman"/>
          <w:b/>
          <w:sz w:val="24"/>
        </w:rPr>
        <w:t>– Wymogi dotyczące ujawniania informacji jakościowych na temat ryzyka rynkowego.</w:t>
      </w:r>
      <w:r w:rsidRPr="00835753">
        <w:rPr>
          <w:rFonts w:ascii="Times New Roman" w:hAnsi="Times New Roman"/>
          <w:sz w:val="24"/>
        </w:rPr>
        <w:t xml:space="preserve"> Pola na tekst</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for</w:t>
      </w:r>
      <w:r w:rsidRPr="00835753">
        <w:rPr>
          <w:rFonts w:ascii="Times New Roman" w:hAnsi="Times New Roman"/>
          <w:sz w:val="24"/>
        </w:rPr>
        <w:t>macie dowolnym</w:t>
      </w:r>
    </w:p>
    <w:p w14:paraId="42BA3085" w14:textId="1805099E" w:rsidR="00203C1C" w:rsidRPr="00835753" w:rsidRDefault="00203C1C" w:rsidP="00203C1C">
      <w:pPr>
        <w:pStyle w:val="Titlelevel2"/>
        <w:numPr>
          <w:ilvl w:val="0"/>
          <w:numId w:val="60"/>
        </w:numPr>
        <w:spacing w:before="0"/>
        <w:jc w:val="both"/>
        <w:rPr>
          <w:rFonts w:ascii="Times New Roman" w:hAnsi="Times New Roman" w:cs="Times New Roman"/>
          <w:sz w:val="24"/>
        </w:rPr>
      </w:pPr>
      <w:r w:rsidRPr="00835753">
        <w:rPr>
          <w:rFonts w:ascii="Times New Roman" w:hAnsi="Times New Roman"/>
          <w:bCs w:val="0"/>
          <w:color w:val="000000"/>
          <w:sz w:val="24"/>
        </w:rPr>
        <w:t>W celu wypełnienia tabeli EU MRA zamieszczonej</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ączniku XXIX do niniejszego rozporządzenia wykonawczego instytucje ujawniają informacje na temat ryzyka rynkowego,</w:t>
      </w:r>
      <w:r w:rsidR="00835753" w:rsidRPr="00835753">
        <w:rPr>
          <w:rFonts w:ascii="Times New Roman" w:hAnsi="Times New Roman"/>
          <w:bCs w:val="0"/>
          <w:color w:val="000000"/>
          <w:sz w:val="24"/>
        </w:rPr>
        <w:t xml:space="preserve"> o</w:t>
      </w:r>
      <w:r w:rsidR="00835753">
        <w:rPr>
          <w:rFonts w:ascii="Times New Roman" w:hAnsi="Times New Roman"/>
          <w:bCs w:val="0"/>
          <w:color w:val="000000"/>
          <w:sz w:val="24"/>
        </w:rPr>
        <w:t> </w:t>
      </w:r>
      <w:r w:rsidR="00835753" w:rsidRPr="00835753">
        <w:rPr>
          <w:rFonts w:ascii="Times New Roman" w:hAnsi="Times New Roman"/>
          <w:bCs w:val="0"/>
          <w:color w:val="000000"/>
          <w:sz w:val="24"/>
        </w:rPr>
        <w:t>któ</w:t>
      </w:r>
      <w:r w:rsidRPr="00835753">
        <w:rPr>
          <w:rFonts w:ascii="Times New Roman" w:hAnsi="Times New Roman"/>
          <w:bCs w:val="0"/>
          <w:color w:val="000000"/>
          <w:sz w:val="24"/>
        </w:rPr>
        <w:t>rych mowa</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435 ust.</w:t>
      </w:r>
      <w:r w:rsidR="00835753" w:rsidRPr="00835753">
        <w:rPr>
          <w:rFonts w:ascii="Times New Roman" w:hAnsi="Times New Roman"/>
          <w:bCs w:val="0"/>
          <w:color w:val="000000"/>
          <w:sz w:val="24"/>
        </w:rPr>
        <w:t> </w:t>
      </w:r>
      <w:r w:rsidRPr="00835753">
        <w:rPr>
          <w:rFonts w:ascii="Times New Roman" w:hAnsi="Times New Roman"/>
          <w:bCs w:val="0"/>
          <w:color w:val="000000"/>
          <w:sz w:val="24"/>
        </w:rPr>
        <w:t>1 lit.</w:t>
      </w:r>
      <w:r w:rsidR="00835753" w:rsidRPr="00835753">
        <w:rPr>
          <w:rFonts w:ascii="Times New Roman" w:hAnsi="Times New Roman"/>
          <w:bCs w:val="0"/>
          <w:color w:val="000000"/>
          <w:sz w:val="24"/>
        </w:rPr>
        <w:t> </w:t>
      </w:r>
      <w:r w:rsidRPr="00835753">
        <w:rPr>
          <w:rFonts w:ascii="Times New Roman" w:hAnsi="Times New Roman"/>
          <w:bCs w:val="0"/>
          <w:color w:val="000000"/>
          <w:sz w:val="24"/>
        </w:rPr>
        <w:t>a</w:t>
      </w:r>
      <w:proofErr w:type="gramStart"/>
      <w:r w:rsidRPr="00835753">
        <w:rPr>
          <w:rFonts w:ascii="Times New Roman" w:hAnsi="Times New Roman"/>
          <w:bCs w:val="0"/>
          <w:color w:val="000000"/>
          <w:sz w:val="24"/>
        </w:rPr>
        <w:t>)–d</w:t>
      </w:r>
      <w:proofErr w:type="gramEnd"/>
      <w:r w:rsidRPr="00835753">
        <w:rPr>
          <w:rFonts w:ascii="Times New Roman" w:hAnsi="Times New Roman"/>
          <w:bCs w:val="0"/>
          <w:color w:val="000000"/>
          <w:sz w:val="24"/>
        </w:rPr>
        <w:t>) CRR,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pon</w:t>
      </w:r>
      <w:r w:rsidRPr="00835753">
        <w:rPr>
          <w:rFonts w:ascii="Times New Roman" w:hAnsi="Times New Roman"/>
          <w:bCs w:val="0"/>
          <w:color w:val="000000"/>
          <w:sz w:val="24"/>
        </w:rPr>
        <w:t>iższymi instrukcjami zawartymi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835753"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72231089"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203C1C" w:rsidRPr="00835753" w14:paraId="318767ED" w14:textId="77777777" w:rsidTr="00155C96">
        <w:trPr>
          <w:trHeight w:val="238"/>
        </w:trPr>
        <w:tc>
          <w:tcPr>
            <w:tcW w:w="1384" w:type="dxa"/>
            <w:shd w:val="clear" w:color="auto" w:fill="D9D9D9" w:themeFill="background1" w:themeFillShade="D9"/>
          </w:tcPr>
          <w:p w14:paraId="1E688E3C" w14:textId="77777777" w:rsidR="00203C1C" w:rsidRPr="00835753" w:rsidRDefault="00203C1C" w:rsidP="00155C96">
            <w:pPr>
              <w:autoSpaceDE w:val="0"/>
              <w:autoSpaceDN w:val="0"/>
              <w:adjustRightInd w:val="0"/>
              <w:spacing w:after="24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2C256459" w14:textId="77777777" w:rsidR="00203C1C" w:rsidRPr="00835753" w:rsidRDefault="00203C1C" w:rsidP="00155C96">
            <w:pPr>
              <w:autoSpaceDE w:val="0"/>
              <w:autoSpaceDN w:val="0"/>
              <w:adjustRightInd w:val="0"/>
              <w:spacing w:after="240"/>
              <w:rPr>
                <w:rFonts w:ascii="Times New Roman" w:hAnsi="Times New Roman" w:cs="Times New Roman"/>
                <w:color w:val="000000"/>
                <w:sz w:val="24"/>
              </w:rPr>
            </w:pPr>
            <w:r w:rsidRPr="00835753">
              <w:rPr>
                <w:rFonts w:ascii="Times New Roman" w:hAnsi="Times New Roman"/>
                <w:b/>
                <w:sz w:val="24"/>
              </w:rPr>
              <w:t>Wyjaśnienie</w:t>
            </w:r>
          </w:p>
        </w:tc>
      </w:tr>
      <w:tr w:rsidR="00203C1C" w:rsidRPr="00835753" w14:paraId="53C1F101" w14:textId="77777777" w:rsidTr="00155C96">
        <w:trPr>
          <w:trHeight w:val="680"/>
        </w:trPr>
        <w:tc>
          <w:tcPr>
            <w:tcW w:w="1384" w:type="dxa"/>
          </w:tcPr>
          <w:p w14:paraId="32AAAE6A" w14:textId="25546F83" w:rsidR="00203C1C" w:rsidRPr="00835753" w:rsidRDefault="006E02CE" w:rsidP="00155C96">
            <w:pPr>
              <w:pStyle w:val="Applicationdirecte"/>
              <w:spacing w:before="0" w:after="240"/>
              <w:jc w:val="center"/>
            </w:pPr>
            <w:proofErr w:type="gramStart"/>
            <w:r w:rsidRPr="00835753">
              <w:t>a</w:t>
            </w:r>
            <w:proofErr w:type="gramEnd"/>
            <w:r w:rsidRPr="00835753">
              <w:t>)</w:t>
            </w:r>
          </w:p>
        </w:tc>
        <w:tc>
          <w:tcPr>
            <w:tcW w:w="7655" w:type="dxa"/>
            <w:vAlign w:val="center"/>
          </w:tcPr>
          <w:p w14:paraId="58F1DEA4" w14:textId="52E6EE3F" w:rsidR="00203C1C" w:rsidRPr="00835753" w:rsidRDefault="00203C1C" w:rsidP="00155C96">
            <w:pPr>
              <w:spacing w:after="240"/>
              <w:jc w:val="both"/>
              <w:rPr>
                <w:rFonts w:ascii="Times New Roman" w:eastAsia="Times New Roman" w:hAnsi="Times New Roman" w:cs="Times New Roman"/>
                <w:sz w:val="24"/>
              </w:rPr>
            </w:pPr>
            <w:r w:rsidRPr="00835753">
              <w:rPr>
                <w:rFonts w:ascii="Times New Roman" w:hAnsi="Times New Roman"/>
                <w:sz w:val="24"/>
              </w:rPr>
              <w:t>Przy ujawnianiu informacji dotyczących celów</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str</w:t>
            </w:r>
            <w:r w:rsidRPr="00835753">
              <w:rPr>
                <w:rFonts w:ascii="Times New Roman" w:hAnsi="Times New Roman"/>
                <w:sz w:val="24"/>
              </w:rPr>
              <w:t>ategii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zarządzania ryzykiem rynkowym,</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i d) CRR, instytucje uwzględniają:</w:t>
            </w:r>
          </w:p>
          <w:p w14:paraId="51F71404" w14:textId="02991E39" w:rsidR="00203C1C" w:rsidRPr="00835753" w:rsidRDefault="00203C1C" w:rsidP="00203C1C">
            <w:pPr>
              <w:pStyle w:val="ListParagraph"/>
              <w:numPr>
                <w:ilvl w:val="0"/>
                <w:numId w:val="59"/>
              </w:numPr>
              <w:spacing w:after="240"/>
              <w:jc w:val="both"/>
              <w:rPr>
                <w:rFonts w:ascii="Times New Roman" w:hAnsi="Times New Roman"/>
                <w:sz w:val="24"/>
                <w:szCs w:val="24"/>
              </w:rPr>
            </w:pPr>
            <w:proofErr w:type="gramStart"/>
            <w:r w:rsidRPr="00835753">
              <w:rPr>
                <w:rFonts w:ascii="Times New Roman" w:hAnsi="Times New Roman"/>
                <w:sz w:val="24"/>
                <w:szCs w:val="24"/>
              </w:rPr>
              <w:t>objaśnienie</w:t>
            </w:r>
            <w:proofErr w:type="gramEnd"/>
            <w:r w:rsidRPr="00835753">
              <w:rPr>
                <w:rFonts w:ascii="Times New Roman" w:hAnsi="Times New Roman"/>
                <w:sz w:val="24"/>
                <w:szCs w:val="24"/>
              </w:rPr>
              <w:t xml:space="preserve"> celów strategicznych zarządu instytucji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zak</w:t>
            </w:r>
            <w:r w:rsidRPr="00835753">
              <w:rPr>
                <w:rFonts w:ascii="Times New Roman" w:hAnsi="Times New Roman"/>
                <w:sz w:val="24"/>
                <w:szCs w:val="24"/>
              </w:rPr>
              <w:t xml:space="preserve">resie prowadzenia działalności handlowej; </w:t>
            </w:r>
          </w:p>
          <w:p w14:paraId="0EC7C083" w14:textId="0B88D9EB" w:rsidR="00203C1C" w:rsidRPr="00835753" w:rsidRDefault="00203C1C" w:rsidP="00203C1C">
            <w:pPr>
              <w:pStyle w:val="ListParagraph"/>
              <w:numPr>
                <w:ilvl w:val="0"/>
                <w:numId w:val="59"/>
              </w:numPr>
              <w:spacing w:after="240"/>
              <w:jc w:val="both"/>
              <w:rPr>
                <w:rFonts w:ascii="Times New Roman" w:hAnsi="Times New Roman"/>
                <w:sz w:val="24"/>
                <w:szCs w:val="24"/>
              </w:rPr>
            </w:pPr>
            <w:proofErr w:type="gramStart"/>
            <w:r w:rsidRPr="00835753">
              <w:rPr>
                <w:rFonts w:ascii="Times New Roman" w:hAnsi="Times New Roman"/>
                <w:sz w:val="24"/>
                <w:szCs w:val="24"/>
              </w:rPr>
              <w:t>procesów</w:t>
            </w:r>
            <w:proofErr w:type="gramEnd"/>
            <w:r w:rsidRPr="00835753">
              <w:rPr>
                <w:rFonts w:ascii="Times New Roman" w:hAnsi="Times New Roman"/>
                <w:sz w:val="24"/>
                <w:szCs w:val="24"/>
              </w:rPr>
              <w:t xml:space="preserve"> stosowanych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cel</w:t>
            </w:r>
            <w:r w:rsidRPr="00835753">
              <w:rPr>
                <w:rFonts w:ascii="Times New Roman" w:hAnsi="Times New Roman"/>
                <w:sz w:val="24"/>
                <w:szCs w:val="24"/>
              </w:rPr>
              <w:t>u identyfikowania, pomiaru, monitorowania</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kon</w:t>
            </w:r>
            <w:r w:rsidRPr="00835753">
              <w:rPr>
                <w:rFonts w:ascii="Times New Roman" w:hAnsi="Times New Roman"/>
                <w:sz w:val="24"/>
                <w:szCs w:val="24"/>
              </w:rPr>
              <w:t>trolowania ryzyka rynkowego instytucji;</w:t>
            </w:r>
          </w:p>
          <w:p w14:paraId="20311A03" w14:textId="43A4BC8A" w:rsidR="00203C1C" w:rsidRPr="00835753" w:rsidRDefault="00203C1C" w:rsidP="00203C1C">
            <w:pPr>
              <w:pStyle w:val="ListParagraph"/>
              <w:numPr>
                <w:ilvl w:val="0"/>
                <w:numId w:val="59"/>
              </w:numPr>
              <w:spacing w:after="240"/>
              <w:jc w:val="both"/>
              <w:rPr>
                <w:rFonts w:ascii="Times New Roman" w:hAnsi="Times New Roman"/>
                <w:sz w:val="24"/>
                <w:szCs w:val="24"/>
              </w:rPr>
            </w:pPr>
            <w:proofErr w:type="gramStart"/>
            <w:r w:rsidRPr="00835753">
              <w:rPr>
                <w:rFonts w:ascii="Times New Roman" w:hAnsi="Times New Roman"/>
                <w:sz w:val="24"/>
                <w:szCs w:val="24"/>
              </w:rPr>
              <w:t>strategii</w:t>
            </w:r>
            <w:proofErr w:type="gramEnd"/>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zak</w:t>
            </w:r>
            <w:r w:rsidRPr="00835753">
              <w:rPr>
                <w:rFonts w:ascii="Times New Roman" w:hAnsi="Times New Roman"/>
                <w:sz w:val="24"/>
                <w:szCs w:val="24"/>
              </w:rPr>
              <w:t>resie zabezpieczenia</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ogr</w:t>
            </w:r>
            <w:r w:rsidRPr="00835753">
              <w:rPr>
                <w:rFonts w:ascii="Times New Roman" w:hAnsi="Times New Roman"/>
                <w:sz w:val="24"/>
                <w:szCs w:val="24"/>
              </w:rPr>
              <w:t>aniczenia ryzyka;</w:t>
            </w:r>
          </w:p>
          <w:p w14:paraId="16BFB651" w14:textId="6759905E" w:rsidR="00203C1C" w:rsidRPr="00835753" w:rsidRDefault="00203C1C" w:rsidP="00203C1C">
            <w:pPr>
              <w:pStyle w:val="ListParagraph"/>
              <w:numPr>
                <w:ilvl w:val="0"/>
                <w:numId w:val="59"/>
              </w:numPr>
              <w:spacing w:after="240"/>
              <w:jc w:val="both"/>
              <w:rPr>
                <w:rFonts w:ascii="Times New Roman" w:hAnsi="Times New Roman"/>
                <w:sz w:val="24"/>
                <w:szCs w:val="24"/>
              </w:rPr>
            </w:pPr>
            <w:proofErr w:type="gramStart"/>
            <w:r w:rsidRPr="00835753">
              <w:rPr>
                <w:rFonts w:ascii="Times New Roman" w:hAnsi="Times New Roman"/>
                <w:sz w:val="24"/>
                <w:szCs w:val="24"/>
              </w:rPr>
              <w:t>strategii</w:t>
            </w:r>
            <w:proofErr w:type="gramEnd"/>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pro</w:t>
            </w:r>
            <w:r w:rsidRPr="00835753">
              <w:rPr>
                <w:rFonts w:ascii="Times New Roman" w:hAnsi="Times New Roman"/>
                <w:sz w:val="24"/>
                <w:szCs w:val="24"/>
              </w:rPr>
              <w:t>cesów monitorowania stałej skuteczności zabezpieczeń.</w:t>
            </w:r>
          </w:p>
        </w:tc>
      </w:tr>
      <w:tr w:rsidR="00203C1C" w:rsidRPr="00835753" w14:paraId="3F01BBBA" w14:textId="77777777" w:rsidTr="00155C96">
        <w:trPr>
          <w:trHeight w:val="680"/>
        </w:trPr>
        <w:tc>
          <w:tcPr>
            <w:tcW w:w="1384" w:type="dxa"/>
          </w:tcPr>
          <w:p w14:paraId="52479A50" w14:textId="6847904F" w:rsidR="00203C1C" w:rsidRPr="00835753" w:rsidRDefault="006E02CE" w:rsidP="00155C96">
            <w:pPr>
              <w:pStyle w:val="Applicationdirecte"/>
              <w:spacing w:before="0" w:after="240"/>
              <w:jc w:val="center"/>
            </w:pPr>
            <w:proofErr w:type="gramStart"/>
            <w:r w:rsidRPr="00835753">
              <w:t>b</w:t>
            </w:r>
            <w:proofErr w:type="gramEnd"/>
            <w:r w:rsidRPr="00835753">
              <w:t>)</w:t>
            </w:r>
          </w:p>
        </w:tc>
        <w:tc>
          <w:tcPr>
            <w:tcW w:w="7655" w:type="dxa"/>
          </w:tcPr>
          <w:p w14:paraId="1FF7DEEF" w14:textId="08C2E05F" w:rsidR="00203C1C" w:rsidRPr="00835753" w:rsidRDefault="00203C1C" w:rsidP="00155C96">
            <w:pPr>
              <w:spacing w:after="240"/>
              <w:jc w:val="both"/>
              <w:rPr>
                <w:rFonts w:ascii="Times New Roman" w:eastAsia="Times New Roman" w:hAnsi="Times New Roman" w:cs="Times New Roman"/>
                <w:sz w:val="24"/>
              </w:rPr>
            </w:pPr>
            <w:r w:rsidRPr="00835753">
              <w:rPr>
                <w:rFonts w:ascii="Times New Roman" w:hAnsi="Times New Roman"/>
                <w:sz w:val="24"/>
              </w:rPr>
              <w:t>Przy ujawnianiu informacji dotyczących struktury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org</w:t>
            </w:r>
            <w:r w:rsidRPr="00835753">
              <w:rPr>
                <w:rFonts w:ascii="Times New Roman" w:hAnsi="Times New Roman"/>
                <w:sz w:val="24"/>
              </w:rPr>
              <w:t>anizacji funkcji zarządzania ryzykiem rynkowym,</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b) CRR, instytucje uwzględniają:</w:t>
            </w:r>
          </w:p>
          <w:p w14:paraId="03303192" w14:textId="1453236C" w:rsidR="00203C1C" w:rsidRPr="00835753" w:rsidRDefault="00203C1C" w:rsidP="00203C1C">
            <w:pPr>
              <w:pStyle w:val="ListParagraph"/>
              <w:numPr>
                <w:ilvl w:val="0"/>
                <w:numId w:val="59"/>
              </w:numPr>
              <w:spacing w:after="240"/>
              <w:jc w:val="both"/>
              <w:rPr>
                <w:rFonts w:ascii="Times New Roman" w:eastAsia="Times New Roman" w:hAnsi="Times New Roman"/>
                <w:sz w:val="24"/>
                <w:szCs w:val="24"/>
              </w:rPr>
            </w:pPr>
            <w:proofErr w:type="gramStart"/>
            <w:r w:rsidRPr="00835753">
              <w:rPr>
                <w:rFonts w:ascii="Times New Roman" w:hAnsi="Times New Roman"/>
                <w:sz w:val="24"/>
                <w:szCs w:val="24"/>
              </w:rPr>
              <w:t>opis</w:t>
            </w:r>
            <w:proofErr w:type="gramEnd"/>
            <w:r w:rsidRPr="00835753">
              <w:rPr>
                <w:rFonts w:ascii="Times New Roman" w:hAnsi="Times New Roman"/>
                <w:sz w:val="24"/>
                <w:szCs w:val="24"/>
              </w:rPr>
              <w:t xml:space="preserve"> struktury zarządzania ryzykiem rynkowym ustanowionej</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cel</w:t>
            </w:r>
            <w:r w:rsidRPr="00835753">
              <w:rPr>
                <w:rFonts w:ascii="Times New Roman" w:hAnsi="Times New Roman"/>
                <w:sz w:val="24"/>
                <w:szCs w:val="24"/>
              </w:rPr>
              <w:t>u wdrażania strategii</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pro</w:t>
            </w:r>
            <w:r w:rsidRPr="00835753">
              <w:rPr>
                <w:rFonts w:ascii="Times New Roman" w:hAnsi="Times New Roman"/>
                <w:sz w:val="24"/>
                <w:szCs w:val="24"/>
              </w:rPr>
              <w:t>cesów instytucji omówionych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wie</w:t>
            </w:r>
            <w:r w:rsidRPr="00835753">
              <w:rPr>
                <w:rFonts w:ascii="Times New Roman" w:hAnsi="Times New Roman"/>
                <w:sz w:val="24"/>
                <w:szCs w:val="24"/>
              </w:rPr>
              <w:t xml:space="preserve">rszu a) powyżej; </w:t>
            </w:r>
          </w:p>
          <w:p w14:paraId="6AEA7119" w14:textId="626B9B6A" w:rsidR="00203C1C" w:rsidRPr="00835753" w:rsidRDefault="00203C1C" w:rsidP="00203C1C">
            <w:pPr>
              <w:pStyle w:val="ListParagraph"/>
              <w:numPr>
                <w:ilvl w:val="0"/>
                <w:numId w:val="59"/>
              </w:numPr>
              <w:spacing w:after="240"/>
              <w:jc w:val="both"/>
              <w:rPr>
                <w:rFonts w:ascii="Times New Roman" w:eastAsia="Times New Roman" w:hAnsi="Times New Roman"/>
                <w:sz w:val="24"/>
                <w:szCs w:val="24"/>
              </w:rPr>
            </w:pPr>
            <w:proofErr w:type="gramStart"/>
            <w:r w:rsidRPr="00835753">
              <w:rPr>
                <w:rFonts w:ascii="Times New Roman" w:hAnsi="Times New Roman"/>
                <w:sz w:val="24"/>
                <w:szCs w:val="24"/>
              </w:rPr>
              <w:lastRenderedPageBreak/>
              <w:t>opis</w:t>
            </w:r>
            <w:proofErr w:type="gramEnd"/>
            <w:r w:rsidRPr="00835753">
              <w:rPr>
                <w:rFonts w:ascii="Times New Roman" w:hAnsi="Times New Roman"/>
                <w:sz w:val="24"/>
                <w:szCs w:val="24"/>
              </w:rPr>
              <w:t xml:space="preserve"> stosunków</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mec</w:t>
            </w:r>
            <w:r w:rsidRPr="00835753">
              <w:rPr>
                <w:rFonts w:ascii="Times New Roman" w:hAnsi="Times New Roman"/>
                <w:sz w:val="24"/>
                <w:szCs w:val="24"/>
              </w:rPr>
              <w:t>hanizmów komunikacji między poszczególnymi podmiotami biorącymi udział</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pro</w:t>
            </w:r>
            <w:r w:rsidRPr="00835753">
              <w:rPr>
                <w:rFonts w:ascii="Times New Roman" w:hAnsi="Times New Roman"/>
                <w:sz w:val="24"/>
                <w:szCs w:val="24"/>
              </w:rPr>
              <w:t xml:space="preserve">cesie zarządzania ryzykiem rynkowym. </w:t>
            </w:r>
          </w:p>
        </w:tc>
      </w:tr>
      <w:tr w:rsidR="00203C1C" w:rsidRPr="00835753" w14:paraId="0E940734" w14:textId="77777777" w:rsidTr="00155C96">
        <w:trPr>
          <w:trHeight w:val="436"/>
        </w:trPr>
        <w:tc>
          <w:tcPr>
            <w:tcW w:w="1384" w:type="dxa"/>
          </w:tcPr>
          <w:p w14:paraId="408BB1DA" w14:textId="1DB814BE" w:rsidR="00203C1C" w:rsidRPr="00835753" w:rsidRDefault="006E02CE" w:rsidP="00155C96">
            <w:pPr>
              <w:pStyle w:val="Applicationdirecte"/>
              <w:spacing w:before="0" w:after="240"/>
              <w:jc w:val="center"/>
            </w:pPr>
            <w:proofErr w:type="gramStart"/>
            <w:r w:rsidRPr="00835753">
              <w:lastRenderedPageBreak/>
              <w:t>c</w:t>
            </w:r>
            <w:proofErr w:type="gramEnd"/>
            <w:r w:rsidRPr="00835753">
              <w:t>)</w:t>
            </w:r>
          </w:p>
          <w:p w14:paraId="4A32C585" w14:textId="77777777" w:rsidR="00203C1C" w:rsidRPr="00835753" w:rsidRDefault="00203C1C" w:rsidP="00155C96">
            <w:pPr>
              <w:pStyle w:val="Fait"/>
              <w:spacing w:before="0" w:after="240"/>
            </w:pPr>
          </w:p>
        </w:tc>
        <w:tc>
          <w:tcPr>
            <w:tcW w:w="7655" w:type="dxa"/>
          </w:tcPr>
          <w:p w14:paraId="18D06A8B" w14:textId="3CEE8149" w:rsidR="00203C1C" w:rsidRPr="00835753" w:rsidRDefault="00203C1C" w:rsidP="00155C96">
            <w:pPr>
              <w:spacing w:after="240"/>
              <w:jc w:val="both"/>
              <w:rPr>
                <w:rFonts w:ascii="Times New Roman" w:eastAsia="Times New Roman" w:hAnsi="Times New Roman" w:cs="Times New Roman"/>
                <w:sz w:val="24"/>
              </w:rPr>
            </w:pPr>
            <w:r w:rsidRPr="00835753">
              <w:rPr>
                <w:rFonts w:ascii="Times New Roman" w:hAnsi="Times New Roman"/>
                <w:sz w:val="24"/>
              </w:rPr>
              <w:t>Przy ujawnianiu informacji dotyczących zakresu</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cha</w:t>
            </w:r>
            <w:r w:rsidRPr="00835753">
              <w:rPr>
                <w:rFonts w:ascii="Times New Roman" w:hAnsi="Times New Roman"/>
                <w:sz w:val="24"/>
              </w:rPr>
              <w:t>rakteru ujawnianych informacji na temat ryzyka rynkowego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sys</w:t>
            </w:r>
            <w:r w:rsidRPr="00835753">
              <w:rPr>
                <w:rFonts w:ascii="Times New Roman" w:hAnsi="Times New Roman"/>
                <w:sz w:val="24"/>
              </w:rPr>
              <w:t>temów pomiaru tego ryzyka,</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435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c) CRR, instytucje zamieszczają opis zakresu</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cha</w:t>
            </w:r>
            <w:r w:rsidRPr="00835753">
              <w:rPr>
                <w:rFonts w:ascii="Times New Roman" w:hAnsi="Times New Roman"/>
                <w:sz w:val="24"/>
              </w:rPr>
              <w:t>rakteru ujawnianych informacji na temat ryzyka rynkowego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sys</w:t>
            </w:r>
            <w:r w:rsidRPr="00835753">
              <w:rPr>
                <w:rFonts w:ascii="Times New Roman" w:hAnsi="Times New Roman"/>
                <w:sz w:val="24"/>
              </w:rPr>
              <w:t xml:space="preserve">temów pomiaru tego ryzyka. </w:t>
            </w:r>
          </w:p>
        </w:tc>
      </w:tr>
    </w:tbl>
    <w:p w14:paraId="5FE50BEA" w14:textId="77777777" w:rsidR="00203C1C" w:rsidRPr="00835753" w:rsidRDefault="00203C1C" w:rsidP="00203C1C">
      <w:pPr>
        <w:pStyle w:val="Titlelevel2"/>
        <w:spacing w:before="0"/>
        <w:rPr>
          <w:rFonts w:ascii="Times New Roman" w:hAnsi="Times New Roman"/>
          <w:b/>
          <w:sz w:val="24"/>
        </w:rPr>
      </w:pPr>
    </w:p>
    <w:p w14:paraId="7106E86C" w14:textId="2FED95AC" w:rsidR="00203C1C" w:rsidRPr="00835753" w:rsidRDefault="00203C1C" w:rsidP="00203C1C">
      <w:pPr>
        <w:pStyle w:val="Titlelevel2"/>
        <w:spacing w:before="0"/>
        <w:rPr>
          <w:rFonts w:ascii="Times New Roman" w:hAnsi="Times New Roman" w:cs="Times New Roman"/>
          <w:color w:val="auto"/>
          <w:sz w:val="24"/>
        </w:rPr>
      </w:pPr>
      <w:r w:rsidRPr="00835753">
        <w:rPr>
          <w:rFonts w:ascii="Times New Roman" w:hAnsi="Times New Roman"/>
          <w:b/>
          <w:color w:val="auto"/>
          <w:sz w:val="24"/>
        </w:rPr>
        <w:t>Wzór EU MR1 – Ryzyko rynkowe</w:t>
      </w:r>
      <w:r w:rsidR="00835753" w:rsidRPr="00835753">
        <w:rPr>
          <w:rFonts w:ascii="Times New Roman" w:hAnsi="Times New Roman"/>
          <w:b/>
          <w:color w:val="auto"/>
          <w:sz w:val="24"/>
        </w:rPr>
        <w:t xml:space="preserve"> w</w:t>
      </w:r>
      <w:r w:rsidR="00835753">
        <w:rPr>
          <w:rFonts w:ascii="Times New Roman" w:hAnsi="Times New Roman"/>
          <w:b/>
          <w:color w:val="auto"/>
          <w:sz w:val="24"/>
        </w:rPr>
        <w:t> </w:t>
      </w:r>
      <w:r w:rsidR="00835753" w:rsidRPr="00835753">
        <w:rPr>
          <w:rFonts w:ascii="Times New Roman" w:hAnsi="Times New Roman"/>
          <w:b/>
          <w:color w:val="auto"/>
          <w:sz w:val="24"/>
        </w:rPr>
        <w:t>ram</w:t>
      </w:r>
      <w:r w:rsidRPr="00835753">
        <w:rPr>
          <w:rFonts w:ascii="Times New Roman" w:hAnsi="Times New Roman"/>
          <w:b/>
          <w:color w:val="auto"/>
          <w:sz w:val="24"/>
        </w:rPr>
        <w:t>ach metody standardowej.</w:t>
      </w:r>
      <w:r w:rsidRPr="00835753">
        <w:rPr>
          <w:rFonts w:ascii="Times New Roman" w:hAnsi="Times New Roman"/>
          <w:color w:val="auto"/>
          <w:sz w:val="24"/>
        </w:rPr>
        <w:t xml:space="preserve"> Format stały</w:t>
      </w:r>
    </w:p>
    <w:p w14:paraId="310F5DF6" w14:textId="0518F3E6" w:rsidR="00203C1C" w:rsidRPr="00835753" w:rsidRDefault="00203C1C" w:rsidP="00203C1C">
      <w:pPr>
        <w:pStyle w:val="Titlelevel2"/>
        <w:numPr>
          <w:ilvl w:val="0"/>
          <w:numId w:val="60"/>
        </w:numPr>
        <w:spacing w:before="0"/>
        <w:jc w:val="both"/>
        <w:rPr>
          <w:rFonts w:ascii="Times New Roman" w:hAnsi="Times New Roman"/>
          <w:b/>
          <w:color w:val="auto"/>
          <w:sz w:val="24"/>
        </w:rPr>
      </w:pPr>
      <w:r w:rsidRPr="00835753">
        <w:rPr>
          <w:rFonts w:ascii="Times New Roman" w:hAnsi="Times New Roman"/>
          <w:bCs w:val="0"/>
          <w:color w:val="000000"/>
          <w:sz w:val="24"/>
        </w:rPr>
        <w:t>W celu wypełnienia wzoru EU MR1 zamieszczonego</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ączniku XXIX do niniejszego rozporządzenia wykonawczego instytucje ujawniają informacje,</w:t>
      </w:r>
      <w:r w:rsidR="00835753" w:rsidRPr="00835753">
        <w:rPr>
          <w:rFonts w:ascii="Times New Roman" w:hAnsi="Times New Roman"/>
          <w:bCs w:val="0"/>
          <w:color w:val="000000"/>
          <w:sz w:val="24"/>
        </w:rPr>
        <w:t xml:space="preserve"> o</w:t>
      </w:r>
      <w:r w:rsidR="00835753">
        <w:rPr>
          <w:rFonts w:ascii="Times New Roman" w:hAnsi="Times New Roman"/>
          <w:bCs w:val="0"/>
          <w:color w:val="000000"/>
          <w:sz w:val="24"/>
        </w:rPr>
        <w:t> </w:t>
      </w:r>
      <w:r w:rsidR="00835753" w:rsidRPr="00835753">
        <w:rPr>
          <w:rFonts w:ascii="Times New Roman" w:hAnsi="Times New Roman"/>
          <w:bCs w:val="0"/>
          <w:color w:val="000000"/>
          <w:sz w:val="24"/>
        </w:rPr>
        <w:t>któ</w:t>
      </w:r>
      <w:r w:rsidRPr="00835753">
        <w:rPr>
          <w:rFonts w:ascii="Times New Roman" w:hAnsi="Times New Roman"/>
          <w:bCs w:val="0"/>
          <w:color w:val="000000"/>
          <w:sz w:val="24"/>
        </w:rPr>
        <w:t>rych mowa</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445 CRR,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pon</w:t>
      </w:r>
      <w:r w:rsidRPr="00835753">
        <w:rPr>
          <w:rFonts w:ascii="Times New Roman" w:hAnsi="Times New Roman"/>
          <w:bCs w:val="0"/>
          <w:color w:val="000000"/>
          <w:sz w:val="24"/>
        </w:rPr>
        <w:t>iższymi instrukcjami zawartymi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załączniku.</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835753"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72A47B4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203C1C" w:rsidRPr="00835753"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Numer wiersza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Wyjaśnienie</w:t>
            </w:r>
          </w:p>
        </w:tc>
      </w:tr>
      <w:tr w:rsidR="00203C1C" w:rsidRPr="00835753"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835753"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835753" w:rsidRDefault="00203C1C" w:rsidP="00155C96">
            <w:pPr>
              <w:spacing w:after="240"/>
              <w:rPr>
                <w:rFonts w:ascii="Times New Roman" w:hAnsi="Times New Roman" w:cs="Times New Roman"/>
                <w:b/>
                <w:i/>
                <w:sz w:val="24"/>
              </w:rPr>
            </w:pPr>
            <w:r w:rsidRPr="00835753">
              <w:rPr>
                <w:rFonts w:ascii="Times New Roman" w:hAnsi="Times New Roman"/>
                <w:b/>
                <w:i/>
                <w:sz w:val="24"/>
              </w:rPr>
              <w:t>Produkty bezwarunkowe</w:t>
            </w:r>
          </w:p>
        </w:tc>
      </w:tr>
      <w:tr w:rsidR="00203C1C" w:rsidRPr="00835753"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835753" w:rsidRDefault="00076626" w:rsidP="00155C96">
            <w:pPr>
              <w:spacing w:after="240"/>
              <w:jc w:val="center"/>
              <w:rPr>
                <w:rFonts w:ascii="Times New Roman" w:hAnsi="Times New Roman" w:cs="Times New Roman"/>
                <w:sz w:val="24"/>
              </w:rPr>
            </w:pPr>
            <w:r w:rsidRPr="00835753">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8842E29" w14:textId="2A18A9A6"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Ryzyko stopy procentowej (ogólne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szc</w:t>
            </w:r>
            <w:r w:rsidRPr="00835753">
              <w:rPr>
                <w:rFonts w:ascii="Times New Roman" w:hAnsi="Times New Roman"/>
                <w:b/>
                <w:sz w:val="24"/>
              </w:rPr>
              <w:t xml:space="preserve">zególne) </w:t>
            </w:r>
          </w:p>
          <w:p w14:paraId="41EBBFD3" w14:textId="633DD8C2" w:rsidR="00203C1C" w:rsidRPr="00835753" w:rsidRDefault="00203C1C" w:rsidP="00155C96">
            <w:pPr>
              <w:autoSpaceDE w:val="0"/>
              <w:autoSpaceDN w:val="0"/>
              <w:adjustRightInd w:val="0"/>
              <w:spacing w:after="240"/>
              <w:jc w:val="both"/>
              <w:rPr>
                <w:rFonts w:ascii="Times New Roman" w:hAnsi="Times New Roman" w:cs="Times New Roman"/>
                <w:sz w:val="24"/>
              </w:rPr>
            </w:pPr>
            <w:r w:rsidRPr="00835753">
              <w:rPr>
                <w:rFonts w:ascii="Times New Roman" w:hAnsi="Times New Roman"/>
                <w:sz w:val="24"/>
              </w:rPr>
              <w:t>Ogólne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szc</w:t>
            </w:r>
            <w:r w:rsidRPr="00835753">
              <w:rPr>
                <w:rFonts w:ascii="Times New Roman" w:hAnsi="Times New Roman"/>
                <w:sz w:val="24"/>
              </w:rPr>
              <w:t>zególe ryzyko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ycjami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ryn</w:t>
            </w:r>
            <w:r w:rsidRPr="00835753">
              <w:rPr>
                <w:rFonts w:ascii="Times New Roman" w:hAnsi="Times New Roman"/>
                <w:sz w:val="24"/>
              </w:rPr>
              <w:t>kowych instrumentach dłużnych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tfelu handlowym, które nie są fakultatywne,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IV rozdział 2 CRR, wyłączając szczególne ryzyko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sek</w:t>
            </w:r>
            <w:r w:rsidRPr="00835753">
              <w:rPr>
                <w:rFonts w:ascii="Times New Roman" w:hAnsi="Times New Roman"/>
                <w:sz w:val="24"/>
              </w:rPr>
              <w:t>urytyzacją.</w:t>
            </w:r>
          </w:p>
        </w:tc>
      </w:tr>
      <w:tr w:rsidR="00203C1C" w:rsidRPr="00835753"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835753" w:rsidRDefault="00076626" w:rsidP="00155C96">
            <w:pPr>
              <w:spacing w:after="240"/>
              <w:jc w:val="center"/>
              <w:rPr>
                <w:rFonts w:ascii="Times New Roman" w:hAnsi="Times New Roman" w:cs="Times New Roman"/>
                <w:b/>
                <w:sz w:val="24"/>
              </w:rPr>
            </w:pPr>
            <w:r w:rsidRPr="00835753">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740D0147" w14:textId="04E9271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Ryzyko cen akcji (ogólne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szc</w:t>
            </w:r>
            <w:r w:rsidRPr="00835753">
              <w:rPr>
                <w:rFonts w:ascii="Times New Roman" w:hAnsi="Times New Roman"/>
                <w:b/>
                <w:sz w:val="24"/>
              </w:rPr>
              <w:t>zegółowe)</w:t>
            </w:r>
          </w:p>
          <w:p w14:paraId="31F702CB" w14:textId="35171149"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Ogólne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szc</w:t>
            </w:r>
            <w:r w:rsidRPr="00835753">
              <w:rPr>
                <w:rFonts w:ascii="Times New Roman" w:hAnsi="Times New Roman"/>
                <w:sz w:val="24"/>
              </w:rPr>
              <w:t>zególe ryzyko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trumentami kapitałowymi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tfelu handlowym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IV rozdział 2 CRR,</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wyj</w:t>
            </w:r>
            <w:r w:rsidRPr="00835753">
              <w:rPr>
                <w:rFonts w:ascii="Times New Roman" w:hAnsi="Times New Roman"/>
                <w:sz w:val="24"/>
              </w:rPr>
              <w:t>ątkiem instrumentów fakultatywnych.</w:t>
            </w:r>
          </w:p>
        </w:tc>
      </w:tr>
      <w:tr w:rsidR="00203C1C" w:rsidRPr="00835753"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835753" w:rsidRDefault="00076626" w:rsidP="00155C96">
            <w:pPr>
              <w:spacing w:after="240"/>
              <w:jc w:val="center"/>
              <w:rPr>
                <w:rFonts w:ascii="Times New Roman" w:hAnsi="Times New Roman" w:cs="Times New Roman"/>
                <w:b/>
                <w:sz w:val="24"/>
              </w:rPr>
            </w:pPr>
            <w:r w:rsidRPr="00835753">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Ryzyko walutowe</w:t>
            </w:r>
          </w:p>
          <w:p w14:paraId="7628F8C1" w14:textId="7CAB40DB"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Ryzyko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ycjami walutowymi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IV rozdział 3 CRR,</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wyj</w:t>
            </w:r>
            <w:r w:rsidRPr="00835753">
              <w:rPr>
                <w:rFonts w:ascii="Times New Roman" w:hAnsi="Times New Roman"/>
                <w:sz w:val="24"/>
              </w:rPr>
              <w:t>ątkiem instrumentów fakultatywnych.</w:t>
            </w:r>
          </w:p>
        </w:tc>
      </w:tr>
      <w:tr w:rsidR="00203C1C" w:rsidRPr="00835753"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835753" w:rsidRDefault="00076626" w:rsidP="00155C96">
            <w:pPr>
              <w:spacing w:after="240"/>
              <w:jc w:val="center"/>
              <w:rPr>
                <w:rFonts w:ascii="Times New Roman" w:hAnsi="Times New Roman" w:cs="Times New Roman"/>
                <w:b/>
                <w:sz w:val="24"/>
              </w:rPr>
            </w:pPr>
            <w:r w:rsidRPr="00835753">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Ryzyko cen towarów</w:t>
            </w:r>
          </w:p>
          <w:p w14:paraId="049FF5D5" w14:textId="57779531"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Ryzyko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ycjami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tow</w:t>
            </w:r>
            <w:r w:rsidRPr="00835753">
              <w:rPr>
                <w:rFonts w:ascii="Times New Roman" w:hAnsi="Times New Roman"/>
                <w:sz w:val="24"/>
              </w:rPr>
              <w:t>arach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IV rozdział 4 CRR,</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wyj</w:t>
            </w:r>
            <w:r w:rsidRPr="00835753">
              <w:rPr>
                <w:rFonts w:ascii="Times New Roman" w:hAnsi="Times New Roman"/>
                <w:sz w:val="24"/>
              </w:rPr>
              <w:t>ątkiem instrumentów fakultatywnych.</w:t>
            </w:r>
          </w:p>
        </w:tc>
      </w:tr>
      <w:tr w:rsidR="00203C1C" w:rsidRPr="00835753"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835753"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Opcje</w:t>
            </w:r>
          </w:p>
        </w:tc>
      </w:tr>
      <w:tr w:rsidR="00203C1C" w:rsidRPr="00835753"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835753" w:rsidRDefault="00076626" w:rsidP="00155C96">
            <w:pPr>
              <w:spacing w:after="240"/>
              <w:jc w:val="center"/>
              <w:rPr>
                <w:rFonts w:ascii="Times New Roman" w:hAnsi="Times New Roman" w:cs="Times New Roman"/>
                <w:b/>
                <w:sz w:val="24"/>
              </w:rPr>
            </w:pPr>
            <w:r w:rsidRPr="00835753">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b/>
                <w:sz w:val="24"/>
              </w:rPr>
              <w:t>Metoda uproszczona</w:t>
            </w:r>
          </w:p>
          <w:p w14:paraId="3C1371D3" w14:textId="65DD3B5E"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sz w:val="24"/>
              </w:rPr>
              <w:t>Opcje lub warranty zdefiniowane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IV rozdział 2 art.</w:t>
            </w:r>
            <w:r w:rsidR="00835753" w:rsidRPr="00835753">
              <w:rPr>
                <w:rFonts w:ascii="Times New Roman" w:hAnsi="Times New Roman"/>
                <w:sz w:val="24"/>
              </w:rPr>
              <w:t> </w:t>
            </w:r>
            <w:r w:rsidRPr="00835753">
              <w:rPr>
                <w:rFonts w:ascii="Times New Roman" w:hAnsi="Times New Roman"/>
                <w:sz w:val="24"/>
              </w:rPr>
              <w:t>329 ust.</w:t>
            </w:r>
            <w:r w:rsidR="00835753" w:rsidRPr="00835753">
              <w:rPr>
                <w:rFonts w:ascii="Times New Roman" w:hAnsi="Times New Roman"/>
                <w:sz w:val="24"/>
              </w:rPr>
              <w:t> </w:t>
            </w:r>
            <w:r w:rsidRPr="00835753">
              <w:rPr>
                <w:rFonts w:ascii="Times New Roman" w:hAnsi="Times New Roman"/>
                <w:sz w:val="24"/>
              </w:rPr>
              <w:t>3 CRR, dla których instytucje obliczają 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ryz</w:t>
            </w:r>
            <w:r w:rsidRPr="00835753">
              <w:rPr>
                <w:rFonts w:ascii="Times New Roman" w:hAnsi="Times New Roman"/>
                <w:sz w:val="24"/>
              </w:rPr>
              <w:t>ykiem innym niż ryzyko delta, korzystając</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ody uproszczonej</w:t>
            </w:r>
            <w:r w:rsidRPr="00835753">
              <w:rPr>
                <w:rStyle w:val="FootnoteReference"/>
                <w:rFonts w:eastAsia="Times New Roman" w:cs="Times New Roman"/>
              </w:rPr>
              <w:footnoteReference w:id="45"/>
            </w:r>
            <w:r w:rsidRPr="00835753">
              <w:t>.</w:t>
            </w:r>
          </w:p>
        </w:tc>
      </w:tr>
      <w:tr w:rsidR="00203C1C" w:rsidRPr="00835753"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835753" w:rsidRDefault="00076626" w:rsidP="00155C96">
            <w:pPr>
              <w:spacing w:after="240"/>
              <w:jc w:val="center"/>
              <w:rPr>
                <w:rFonts w:ascii="Times New Roman" w:hAnsi="Times New Roman" w:cs="Times New Roman"/>
                <w:b/>
                <w:sz w:val="24"/>
              </w:rPr>
            </w:pPr>
            <w:r w:rsidRPr="00835753">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b/>
                <w:sz w:val="24"/>
              </w:rPr>
              <w:t>Metoda delta plus</w:t>
            </w:r>
          </w:p>
          <w:p w14:paraId="11A872D3" w14:textId="28BF157E"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sz w:val="24"/>
              </w:rPr>
              <w:t>Opcje lub warranty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tfelu handlowym zdefiniowane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IV rozdział 2 art.</w:t>
            </w:r>
            <w:r w:rsidR="00835753" w:rsidRPr="00835753">
              <w:rPr>
                <w:rFonts w:ascii="Times New Roman" w:hAnsi="Times New Roman"/>
                <w:sz w:val="24"/>
              </w:rPr>
              <w:t> </w:t>
            </w:r>
            <w:r w:rsidRPr="00835753">
              <w:rPr>
                <w:rFonts w:ascii="Times New Roman" w:hAnsi="Times New Roman"/>
                <w:sz w:val="24"/>
              </w:rPr>
              <w:t>329 ust.</w:t>
            </w:r>
            <w:r w:rsidR="00835753" w:rsidRPr="00835753">
              <w:rPr>
                <w:rFonts w:ascii="Times New Roman" w:hAnsi="Times New Roman"/>
                <w:sz w:val="24"/>
              </w:rPr>
              <w:t> </w:t>
            </w:r>
            <w:r w:rsidRPr="00835753">
              <w:rPr>
                <w:rFonts w:ascii="Times New Roman" w:hAnsi="Times New Roman"/>
                <w:sz w:val="24"/>
              </w:rPr>
              <w:t>3 CRR, dla których instytucje obliczają 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ryz</w:t>
            </w:r>
            <w:r w:rsidRPr="00835753">
              <w:rPr>
                <w:rFonts w:ascii="Times New Roman" w:hAnsi="Times New Roman"/>
                <w:sz w:val="24"/>
              </w:rPr>
              <w:t>ykiem innym niż ryzyko delta, korzystając</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ody delta plus</w:t>
            </w:r>
            <w:r w:rsidRPr="00835753">
              <w:rPr>
                <w:rStyle w:val="FootnoteReference"/>
                <w:rFonts w:eastAsia="Times New Roman" w:cs="Times New Roman"/>
              </w:rPr>
              <w:footnoteReference w:id="46"/>
            </w:r>
            <w:r w:rsidRPr="00835753">
              <w:rPr>
                <w:rFonts w:ascii="Times New Roman" w:hAnsi="Times New Roman"/>
                <w:sz w:val="24"/>
              </w:rPr>
              <w:t>.</w:t>
            </w:r>
          </w:p>
        </w:tc>
      </w:tr>
      <w:tr w:rsidR="00203C1C" w:rsidRPr="00835753"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835753" w:rsidRDefault="00076626" w:rsidP="00155C96">
            <w:pPr>
              <w:spacing w:after="240"/>
              <w:jc w:val="center"/>
              <w:rPr>
                <w:rFonts w:ascii="Times New Roman" w:hAnsi="Times New Roman" w:cs="Times New Roman"/>
                <w:b/>
                <w:sz w:val="24"/>
              </w:rPr>
            </w:pPr>
            <w:r w:rsidRPr="00835753">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b/>
                <w:sz w:val="24"/>
              </w:rPr>
              <w:t>Metoda opierająca się na scenariuszu</w:t>
            </w:r>
          </w:p>
          <w:p w14:paraId="34E43048" w14:textId="70B65B2C"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sz w:val="24"/>
              </w:rPr>
              <w:t>Opcje lub warranty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tfelu handlowym zdefiniowane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IV rozdział 2 art.</w:t>
            </w:r>
            <w:r w:rsidR="00835753" w:rsidRPr="00835753">
              <w:rPr>
                <w:rFonts w:ascii="Times New Roman" w:hAnsi="Times New Roman"/>
                <w:sz w:val="24"/>
              </w:rPr>
              <w:t> </w:t>
            </w:r>
            <w:r w:rsidRPr="00835753">
              <w:rPr>
                <w:rFonts w:ascii="Times New Roman" w:hAnsi="Times New Roman"/>
                <w:sz w:val="24"/>
              </w:rPr>
              <w:t>329 ust.</w:t>
            </w:r>
            <w:r w:rsidR="00835753" w:rsidRPr="00835753">
              <w:rPr>
                <w:rFonts w:ascii="Times New Roman" w:hAnsi="Times New Roman"/>
                <w:sz w:val="24"/>
              </w:rPr>
              <w:t> </w:t>
            </w:r>
            <w:r w:rsidRPr="00835753">
              <w:rPr>
                <w:rFonts w:ascii="Times New Roman" w:hAnsi="Times New Roman"/>
                <w:sz w:val="24"/>
              </w:rPr>
              <w:t>3 CRR, dla których instytucje obliczają 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ryz</w:t>
            </w:r>
            <w:r w:rsidRPr="00835753">
              <w:rPr>
                <w:rFonts w:ascii="Times New Roman" w:hAnsi="Times New Roman"/>
                <w:sz w:val="24"/>
              </w:rPr>
              <w:t>ykiem innym niż ryzyko delta, korzystając</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ody opierającej się na scenariuszu</w:t>
            </w:r>
            <w:r w:rsidRPr="00835753">
              <w:rPr>
                <w:rStyle w:val="FootnoteReference"/>
                <w:rFonts w:eastAsia="Times New Roman" w:cs="Times New Roman"/>
              </w:rPr>
              <w:footnoteReference w:id="47"/>
            </w:r>
            <w:r w:rsidRPr="00835753">
              <w:rPr>
                <w:rFonts w:ascii="Times New Roman" w:hAnsi="Times New Roman"/>
                <w:sz w:val="24"/>
              </w:rPr>
              <w:t>.</w:t>
            </w:r>
          </w:p>
        </w:tc>
      </w:tr>
      <w:tr w:rsidR="00203C1C" w:rsidRPr="00835753"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835753" w:rsidRDefault="00076626" w:rsidP="00155C96">
            <w:pPr>
              <w:spacing w:after="240"/>
              <w:jc w:val="center"/>
              <w:rPr>
                <w:rFonts w:ascii="Times New Roman" w:hAnsi="Times New Roman" w:cs="Times New Roman"/>
                <w:sz w:val="24"/>
              </w:rPr>
            </w:pPr>
            <w:r w:rsidRPr="00835753">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Sekurytyzacja (ryzyko szczególne)</w:t>
            </w:r>
          </w:p>
          <w:p w14:paraId="4C3784F6" w14:textId="2E08467B" w:rsidR="00203C1C" w:rsidRPr="00835753" w:rsidRDefault="00203C1C" w:rsidP="006C27A8">
            <w:pPr>
              <w:spacing w:after="240"/>
              <w:jc w:val="both"/>
              <w:rPr>
                <w:rFonts w:ascii="Times New Roman" w:hAnsi="Times New Roman" w:cs="Times New Roman"/>
                <w:sz w:val="24"/>
              </w:rPr>
            </w:pPr>
            <w:r w:rsidRPr="00835753">
              <w:rPr>
                <w:rFonts w:ascii="Times New Roman" w:hAnsi="Times New Roman"/>
                <w:sz w:val="24"/>
              </w:rPr>
              <w:t>Ryzyko szczególne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ycjami sekurytyzacyjnymi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tfelu handlowym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IV rozdział 2 art.</w:t>
            </w:r>
            <w:r w:rsidR="00835753" w:rsidRPr="00835753">
              <w:rPr>
                <w:rFonts w:ascii="Times New Roman" w:hAnsi="Times New Roman"/>
                <w:sz w:val="24"/>
              </w:rPr>
              <w:t> </w:t>
            </w:r>
            <w:r w:rsidRPr="00835753">
              <w:rPr>
                <w:rFonts w:ascii="Times New Roman" w:hAnsi="Times New Roman"/>
                <w:sz w:val="24"/>
              </w:rPr>
              <w:t>337</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3</w:t>
            </w:r>
            <w:r w:rsidRPr="00835753">
              <w:rPr>
                <w:rFonts w:ascii="Times New Roman" w:hAnsi="Times New Roman"/>
                <w:sz w:val="24"/>
              </w:rPr>
              <w:t>38 CRR.</w:t>
            </w:r>
          </w:p>
        </w:tc>
      </w:tr>
      <w:tr w:rsidR="00203C1C" w:rsidRPr="00835753"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835753" w:rsidRDefault="00076626" w:rsidP="00155C96">
            <w:pPr>
              <w:spacing w:after="240"/>
              <w:jc w:val="center"/>
              <w:rPr>
                <w:rFonts w:ascii="Times New Roman" w:hAnsi="Times New Roman" w:cs="Times New Roman"/>
                <w:sz w:val="24"/>
              </w:rPr>
            </w:pPr>
            <w:r w:rsidRPr="00835753">
              <w:rPr>
                <w:rFonts w:ascii="Times New Roman" w:hAnsi="Times New Roman"/>
                <w:sz w:val="24"/>
              </w:rPr>
              <w:t>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Ogółem</w:t>
            </w:r>
          </w:p>
          <w:p w14:paraId="0B091741" w14:textId="77777777" w:rsidR="00203C1C" w:rsidRPr="00835753" w:rsidRDefault="00203C1C" w:rsidP="00155C96">
            <w:pPr>
              <w:spacing w:after="240"/>
              <w:rPr>
                <w:rFonts w:ascii="Times New Roman" w:hAnsi="Times New Roman" w:cs="Times New Roman"/>
                <w:sz w:val="24"/>
              </w:rPr>
            </w:pPr>
            <w:r w:rsidRPr="00835753">
              <w:rPr>
                <w:rFonts w:ascii="Times New Roman" w:hAnsi="Times New Roman"/>
                <w:sz w:val="24"/>
              </w:rPr>
              <w:t>Suma wierszy 1–8 niniejszego wzoru</w:t>
            </w:r>
          </w:p>
        </w:tc>
      </w:tr>
      <w:tr w:rsidR="00203C1C" w:rsidRPr="00835753"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Litera kolumny</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Wyjaśnienie</w:t>
            </w:r>
          </w:p>
        </w:tc>
      </w:tr>
      <w:tr w:rsidR="00203C1C" w:rsidRPr="00835753"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835753" w:rsidRDefault="009E7E40" w:rsidP="00155C96">
            <w:pPr>
              <w:spacing w:after="240"/>
              <w:jc w:val="center"/>
              <w:rPr>
                <w:rFonts w:ascii="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Kwoty ekspozycji ważonych ryzykiem</w:t>
            </w:r>
          </w:p>
          <w:p w14:paraId="56F10A61" w14:textId="76B730B7"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lastRenderedPageBreak/>
              <w:t>Ujawnianie informacji na temat ekspozycji ważonych ryzykiem,</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438 lit.</w:t>
            </w:r>
            <w:r w:rsidR="00835753" w:rsidRPr="00835753">
              <w:rPr>
                <w:rFonts w:ascii="Times New Roman" w:hAnsi="Times New Roman"/>
                <w:sz w:val="24"/>
              </w:rPr>
              <w:t> </w:t>
            </w:r>
            <w:r w:rsidRPr="00835753">
              <w:rPr>
                <w:rFonts w:ascii="Times New Roman" w:hAnsi="Times New Roman"/>
                <w:sz w:val="24"/>
              </w:rPr>
              <w:t>d) CRR, obliczonych po przemnożeniu wartości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b) przez 12,5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92 ust.</w:t>
            </w:r>
            <w:r w:rsidR="00835753" w:rsidRPr="00835753">
              <w:rPr>
                <w:rFonts w:ascii="Times New Roman" w:hAnsi="Times New Roman"/>
                <w:sz w:val="24"/>
              </w:rPr>
              <w:t> </w:t>
            </w:r>
            <w:r w:rsidRPr="00835753">
              <w:rPr>
                <w:rFonts w:ascii="Times New Roman" w:hAnsi="Times New Roman"/>
                <w:sz w:val="24"/>
              </w:rPr>
              <w:t>4 lit.</w:t>
            </w:r>
            <w:r w:rsidR="00835753" w:rsidRPr="00835753">
              <w:rPr>
                <w:rFonts w:ascii="Times New Roman" w:hAnsi="Times New Roman"/>
                <w:sz w:val="24"/>
              </w:rPr>
              <w:t> </w:t>
            </w:r>
            <w:r w:rsidRPr="00835753">
              <w:rPr>
                <w:rFonts w:ascii="Times New Roman" w:hAnsi="Times New Roman"/>
                <w:sz w:val="24"/>
              </w:rPr>
              <w:t>b) CRR.</w:t>
            </w:r>
          </w:p>
        </w:tc>
      </w:tr>
    </w:tbl>
    <w:p w14:paraId="349F27AF" w14:textId="77777777" w:rsidR="00203C1C" w:rsidRPr="00835753" w:rsidRDefault="00203C1C" w:rsidP="00203C1C">
      <w:pPr>
        <w:pStyle w:val="Titlelevel2"/>
        <w:spacing w:before="0"/>
        <w:rPr>
          <w:rFonts w:ascii="Times New Roman" w:hAnsi="Times New Roman" w:cs="Times New Roman"/>
          <w:b/>
          <w:color w:val="auto"/>
          <w:sz w:val="24"/>
        </w:rPr>
      </w:pPr>
    </w:p>
    <w:p w14:paraId="58C24575" w14:textId="77777777" w:rsidR="00203C1C" w:rsidRPr="00835753" w:rsidRDefault="00203C1C" w:rsidP="00203C1C">
      <w:pPr>
        <w:spacing w:after="240"/>
        <w:rPr>
          <w:rFonts w:ascii="Times New Roman" w:hAnsi="Times New Roman" w:cs="Times New Roman"/>
          <w:b/>
          <w:sz w:val="24"/>
        </w:rPr>
      </w:pPr>
    </w:p>
    <w:p w14:paraId="2FEF6E06" w14:textId="77777777" w:rsidR="00203C1C" w:rsidRPr="00835753" w:rsidRDefault="00203C1C" w:rsidP="00203C1C">
      <w:pPr>
        <w:spacing w:after="240"/>
        <w:rPr>
          <w:rFonts w:ascii="Times New Roman" w:hAnsi="Times New Roman" w:cs="Times New Roman"/>
          <w:b/>
          <w:sz w:val="24"/>
        </w:rPr>
      </w:pPr>
    </w:p>
    <w:p w14:paraId="0F5CB1D3" w14:textId="181E5AE4" w:rsidR="00203C1C" w:rsidRPr="00835753" w:rsidRDefault="00203C1C" w:rsidP="00203C1C">
      <w:pPr>
        <w:spacing w:after="240"/>
        <w:rPr>
          <w:rFonts w:ascii="Times New Roman" w:hAnsi="Times New Roman" w:cs="Times New Roman"/>
          <w:b/>
          <w:sz w:val="24"/>
        </w:rPr>
      </w:pPr>
      <w:r w:rsidRPr="00835753">
        <w:rPr>
          <w:rFonts w:ascii="Times New Roman" w:hAnsi="Times New Roman"/>
          <w:b/>
          <w:sz w:val="24"/>
        </w:rPr>
        <w:t>Tabela EU MRB: Wymogi dotyczące ujawniania informacji jakościowych obowiązujące instytucje stosujące wewnętrzne modele pomiaru ryzyka rynkowego</w:t>
      </w:r>
      <w:r w:rsidRPr="00835753">
        <w:rPr>
          <w:rFonts w:ascii="Times New Roman" w:hAnsi="Times New Roman"/>
          <w:sz w:val="24"/>
        </w:rPr>
        <w:t>: format tekstu dowolnego</w:t>
      </w:r>
    </w:p>
    <w:p w14:paraId="721EB6BA" w14:textId="727E0A1B" w:rsidR="00203C1C" w:rsidRPr="00835753" w:rsidRDefault="00203C1C" w:rsidP="00203C1C">
      <w:pPr>
        <w:pStyle w:val="Titlelevel2"/>
        <w:numPr>
          <w:ilvl w:val="0"/>
          <w:numId w:val="60"/>
        </w:numPr>
        <w:spacing w:before="0"/>
        <w:jc w:val="both"/>
        <w:rPr>
          <w:rFonts w:ascii="Times New Roman" w:hAnsi="Times New Roman" w:cs="Times New Roman"/>
          <w:b/>
          <w:sz w:val="24"/>
        </w:rPr>
      </w:pPr>
      <w:r w:rsidRPr="00835753">
        <w:rPr>
          <w:rFonts w:ascii="Times New Roman" w:hAnsi="Times New Roman"/>
          <w:bCs w:val="0"/>
          <w:color w:val="000000"/>
          <w:sz w:val="24"/>
        </w:rPr>
        <w:t>W celu wypełnienia tabeli EU MRB zamieszczonej</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ączniku XXIX do niniejszego rozporządzenia wykonawczego instytucje ujawniają informacje,</w:t>
      </w:r>
      <w:r w:rsidR="00835753" w:rsidRPr="00835753">
        <w:rPr>
          <w:rFonts w:ascii="Times New Roman" w:hAnsi="Times New Roman"/>
          <w:bCs w:val="0"/>
          <w:color w:val="000000"/>
          <w:sz w:val="24"/>
        </w:rPr>
        <w:t xml:space="preserve"> o</w:t>
      </w:r>
      <w:r w:rsidR="00835753">
        <w:rPr>
          <w:rFonts w:ascii="Times New Roman" w:hAnsi="Times New Roman"/>
          <w:bCs w:val="0"/>
          <w:color w:val="000000"/>
          <w:sz w:val="24"/>
        </w:rPr>
        <w:t> </w:t>
      </w:r>
      <w:r w:rsidR="00835753" w:rsidRPr="00835753">
        <w:rPr>
          <w:rFonts w:ascii="Times New Roman" w:hAnsi="Times New Roman"/>
          <w:bCs w:val="0"/>
          <w:color w:val="000000"/>
          <w:sz w:val="24"/>
        </w:rPr>
        <w:t>któ</w:t>
      </w:r>
      <w:r w:rsidRPr="00835753">
        <w:rPr>
          <w:rFonts w:ascii="Times New Roman" w:hAnsi="Times New Roman"/>
          <w:bCs w:val="0"/>
          <w:color w:val="000000"/>
          <w:sz w:val="24"/>
        </w:rPr>
        <w:t>rych mowa</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455 lit.</w:t>
      </w:r>
      <w:r w:rsidR="00835753" w:rsidRPr="00835753">
        <w:rPr>
          <w:rFonts w:ascii="Times New Roman" w:hAnsi="Times New Roman"/>
          <w:bCs w:val="0"/>
          <w:color w:val="000000"/>
          <w:sz w:val="24"/>
        </w:rPr>
        <w:t> </w:t>
      </w:r>
      <w:r w:rsidRPr="00835753">
        <w:rPr>
          <w:rFonts w:ascii="Times New Roman" w:hAnsi="Times New Roman"/>
          <w:bCs w:val="0"/>
          <w:color w:val="000000"/>
          <w:sz w:val="24"/>
        </w:rPr>
        <w:t>a), b), c) i f) CRR,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pon</w:t>
      </w:r>
      <w:r w:rsidRPr="00835753">
        <w:rPr>
          <w:rFonts w:ascii="Times New Roman" w:hAnsi="Times New Roman"/>
          <w:bCs w:val="0"/>
          <w:color w:val="000000"/>
          <w:sz w:val="24"/>
        </w:rPr>
        <w:t>iższymi instrukcjami zawartymi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załączniku.</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835753"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2EB43C43"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203C1C" w:rsidRPr="00835753"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Numer wiersza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Wyjaśnienie</w:t>
            </w:r>
          </w:p>
        </w:tc>
      </w:tr>
      <w:tr w:rsidR="00203C1C" w:rsidRPr="00835753"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9F5A6D2" w:rsidR="00203C1C" w:rsidRPr="00835753" w:rsidRDefault="00B77F75" w:rsidP="00B77F75">
            <w:pPr>
              <w:spacing w:after="240"/>
              <w:jc w:val="center"/>
              <w:rPr>
                <w:rFonts w:ascii="Times New Roman" w:hAnsi="Times New Roman" w:cs="Times New Roman"/>
                <w:b/>
                <w:sz w:val="24"/>
              </w:rPr>
            </w:pPr>
            <w:r w:rsidRPr="00835753">
              <w:rPr>
                <w:rFonts w:ascii="Times New Roman" w:hAnsi="Times New Roman"/>
                <w:sz w:val="24"/>
              </w:rPr>
              <w:t>EU a)</w:t>
            </w:r>
          </w:p>
        </w:tc>
        <w:tc>
          <w:tcPr>
            <w:tcW w:w="7242" w:type="dxa"/>
            <w:tcBorders>
              <w:top w:val="single" w:sz="4" w:space="0" w:color="auto"/>
              <w:left w:val="single" w:sz="4" w:space="0" w:color="auto"/>
              <w:bottom w:val="single" w:sz="4" w:space="0" w:color="auto"/>
              <w:right w:val="single" w:sz="4" w:space="0" w:color="auto"/>
            </w:tcBorders>
          </w:tcPr>
          <w:p w14:paraId="27BE73CC" w14:textId="07C0C891" w:rsidR="00203C1C" w:rsidRPr="00835753" w:rsidRDefault="00203C1C" w:rsidP="00155C96">
            <w:pPr>
              <w:spacing w:after="240"/>
              <w:jc w:val="both"/>
              <w:rPr>
                <w:rFonts w:ascii="Times New Roman" w:eastAsia="Times New Roman" w:hAnsi="Times New Roman" w:cs="Times New Roman"/>
                <w:sz w:val="24"/>
              </w:rPr>
            </w:pPr>
            <w:r w:rsidRPr="00835753">
              <w:rPr>
                <w:rFonts w:ascii="Times New Roman" w:hAnsi="Times New Roman"/>
                <w:sz w:val="24"/>
              </w:rPr>
              <w:t>Przy ujawnianiu informacji dotyczących zakresu</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 zgodności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ogami określonymi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104 CRR,</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c) CRR, instytucje uwzględniają:</w:t>
            </w:r>
          </w:p>
          <w:p w14:paraId="506D32A6" w14:textId="13340B15" w:rsidR="00203C1C" w:rsidRPr="00835753" w:rsidRDefault="00203C1C" w:rsidP="00203C1C">
            <w:pPr>
              <w:pStyle w:val="ListParagraph"/>
              <w:numPr>
                <w:ilvl w:val="0"/>
                <w:numId w:val="59"/>
              </w:numPr>
              <w:spacing w:after="240"/>
              <w:jc w:val="both"/>
              <w:rPr>
                <w:rFonts w:ascii="Times New Roman" w:hAnsi="Times New Roman"/>
                <w:b/>
                <w:sz w:val="24"/>
                <w:szCs w:val="24"/>
              </w:rPr>
            </w:pPr>
            <w:proofErr w:type="gramStart"/>
            <w:r w:rsidRPr="00835753">
              <w:rPr>
                <w:rFonts w:ascii="Times New Roman" w:hAnsi="Times New Roman"/>
                <w:sz w:val="24"/>
                <w:szCs w:val="24"/>
              </w:rPr>
              <w:t>opis</w:t>
            </w:r>
            <w:proofErr w:type="gramEnd"/>
            <w:r w:rsidRPr="00835753">
              <w:rPr>
                <w:rFonts w:ascii="Times New Roman" w:hAnsi="Times New Roman"/>
                <w:sz w:val="24"/>
                <w:szCs w:val="24"/>
              </w:rPr>
              <w:t xml:space="preserve"> procedur</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sys</w:t>
            </w:r>
            <w:r w:rsidRPr="00835753">
              <w:rPr>
                <w:rFonts w:ascii="Times New Roman" w:hAnsi="Times New Roman"/>
                <w:sz w:val="24"/>
                <w:szCs w:val="24"/>
              </w:rPr>
              <w:t>temów wdrożonych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cel</w:t>
            </w:r>
            <w:r w:rsidRPr="00835753">
              <w:rPr>
                <w:rFonts w:ascii="Times New Roman" w:hAnsi="Times New Roman"/>
                <w:sz w:val="24"/>
                <w:szCs w:val="24"/>
              </w:rPr>
              <w:t>u zapewnienia zbywalności pozycji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por</w:t>
            </w:r>
            <w:r w:rsidRPr="00835753">
              <w:rPr>
                <w:rFonts w:ascii="Times New Roman" w:hAnsi="Times New Roman"/>
                <w:sz w:val="24"/>
                <w:szCs w:val="24"/>
              </w:rPr>
              <w:t>tfelu handlowym, aby spełnić wymogi określone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104 CRR;</w:t>
            </w:r>
          </w:p>
          <w:p w14:paraId="083CE678" w14:textId="752C60F3" w:rsidR="00203C1C" w:rsidRPr="00835753" w:rsidRDefault="00203C1C" w:rsidP="00203C1C">
            <w:pPr>
              <w:pStyle w:val="ListParagraph"/>
              <w:numPr>
                <w:ilvl w:val="0"/>
                <w:numId w:val="59"/>
              </w:numPr>
              <w:spacing w:after="240"/>
              <w:jc w:val="both"/>
              <w:rPr>
                <w:rFonts w:ascii="Times New Roman" w:hAnsi="Times New Roman"/>
                <w:b/>
                <w:sz w:val="24"/>
                <w:szCs w:val="24"/>
              </w:rPr>
            </w:pPr>
            <w:proofErr w:type="gramStart"/>
            <w:r w:rsidRPr="00835753">
              <w:rPr>
                <w:rFonts w:ascii="Times New Roman" w:hAnsi="Times New Roman"/>
                <w:sz w:val="24"/>
                <w:szCs w:val="24"/>
              </w:rPr>
              <w:t>opis</w:t>
            </w:r>
            <w:proofErr w:type="gramEnd"/>
            <w:r w:rsidRPr="00835753">
              <w:rPr>
                <w:rFonts w:ascii="Times New Roman" w:hAnsi="Times New Roman"/>
                <w:sz w:val="24"/>
                <w:szCs w:val="24"/>
              </w:rPr>
              <w:t xml:space="preserve"> metody stosowanej</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cel</w:t>
            </w:r>
            <w:r w:rsidRPr="00835753">
              <w:rPr>
                <w:rFonts w:ascii="Times New Roman" w:hAnsi="Times New Roman"/>
                <w:sz w:val="24"/>
                <w:szCs w:val="24"/>
              </w:rPr>
              <w:t>u zapewnienia, aby wdrażane strategie</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pro</w:t>
            </w:r>
            <w:r w:rsidRPr="00835753">
              <w:rPr>
                <w:rFonts w:ascii="Times New Roman" w:hAnsi="Times New Roman"/>
                <w:sz w:val="24"/>
                <w:szCs w:val="24"/>
              </w:rPr>
              <w:t>cedury były odpowiednie pod względem ogólnego zarządzania portfelem handlowym.</w:t>
            </w:r>
          </w:p>
        </w:tc>
      </w:tr>
      <w:tr w:rsidR="00203C1C" w:rsidRPr="00835753"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02B92999" w:rsidR="00203C1C" w:rsidRPr="00835753" w:rsidRDefault="00B77F75" w:rsidP="00B77F75">
            <w:pPr>
              <w:spacing w:after="240"/>
              <w:jc w:val="center"/>
              <w:rPr>
                <w:rFonts w:ascii="Times New Roman" w:hAnsi="Times New Roman" w:cs="Times New Roman"/>
                <w:b/>
                <w:sz w:val="24"/>
              </w:rPr>
            </w:pPr>
            <w:r w:rsidRPr="00835753">
              <w:rPr>
                <w:rFonts w:ascii="Times New Roman" w:hAnsi="Times New Roman"/>
                <w:sz w:val="24"/>
              </w:rPr>
              <w:t>EU b)</w:t>
            </w:r>
          </w:p>
        </w:tc>
        <w:tc>
          <w:tcPr>
            <w:tcW w:w="7242" w:type="dxa"/>
            <w:tcBorders>
              <w:top w:val="single" w:sz="4" w:space="0" w:color="auto"/>
              <w:left w:val="single" w:sz="4" w:space="0" w:color="auto"/>
              <w:bottom w:val="single" w:sz="4" w:space="0" w:color="auto"/>
              <w:right w:val="single" w:sz="4" w:space="0" w:color="auto"/>
            </w:tcBorders>
          </w:tcPr>
          <w:p w14:paraId="3E574E9C" w14:textId="4722F331" w:rsidR="00203C1C" w:rsidRPr="00835753" w:rsidRDefault="00203C1C" w:rsidP="00155C96">
            <w:pPr>
              <w:spacing w:after="240"/>
              <w:jc w:val="both"/>
              <w:rPr>
                <w:rFonts w:ascii="Times New Roman" w:eastAsia="Times New Roman" w:hAnsi="Times New Roman" w:cs="Times New Roman"/>
                <w:sz w:val="24"/>
              </w:rPr>
            </w:pPr>
            <w:r w:rsidRPr="00835753">
              <w:rPr>
                <w:rFonts w:ascii="Times New Roman" w:hAnsi="Times New Roman"/>
                <w:sz w:val="24"/>
              </w:rPr>
              <w:t>Przy ujawnianiu informacji dotyczących zakresu</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 zgodności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ogami określonymi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105 CRR,</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c) CRR, instytucje uwzględniają:</w:t>
            </w:r>
          </w:p>
          <w:p w14:paraId="366F8858" w14:textId="5A784E71" w:rsidR="00203C1C" w:rsidRPr="00835753" w:rsidRDefault="00203C1C" w:rsidP="00203C1C">
            <w:pPr>
              <w:pStyle w:val="ListParagraph"/>
              <w:numPr>
                <w:ilvl w:val="0"/>
                <w:numId w:val="59"/>
              </w:numPr>
              <w:spacing w:after="240"/>
              <w:jc w:val="both"/>
              <w:rPr>
                <w:rFonts w:ascii="Times New Roman" w:eastAsia="Times New Roman" w:hAnsi="Times New Roman"/>
                <w:sz w:val="24"/>
                <w:szCs w:val="24"/>
              </w:rPr>
            </w:pPr>
            <w:proofErr w:type="gramStart"/>
            <w:r w:rsidRPr="00835753">
              <w:rPr>
                <w:rFonts w:ascii="Times New Roman" w:hAnsi="Times New Roman"/>
                <w:sz w:val="24"/>
                <w:szCs w:val="24"/>
              </w:rPr>
              <w:t>opis</w:t>
            </w:r>
            <w:proofErr w:type="gramEnd"/>
            <w:r w:rsidRPr="00835753">
              <w:rPr>
                <w:rFonts w:ascii="Times New Roman" w:hAnsi="Times New Roman"/>
                <w:sz w:val="24"/>
                <w:szCs w:val="24"/>
              </w:rPr>
              <w:t xml:space="preserve"> metod wyceny,</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w:t>
            </w:r>
            <w:r w:rsidRPr="00835753">
              <w:rPr>
                <w:rFonts w:ascii="Times New Roman" w:hAnsi="Times New Roman"/>
                <w:sz w:val="24"/>
                <w:szCs w:val="24"/>
              </w:rPr>
              <w:t xml:space="preserve"> wyjaśnienie dotyczące stopnia,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jak</w:t>
            </w:r>
            <w:r w:rsidRPr="00835753">
              <w:rPr>
                <w:rFonts w:ascii="Times New Roman" w:hAnsi="Times New Roman"/>
                <w:sz w:val="24"/>
                <w:szCs w:val="24"/>
              </w:rPr>
              <w:t>im wykorzystuje się metodę wyceny według wartości rynkowej</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met</w:t>
            </w:r>
            <w:r w:rsidRPr="00835753">
              <w:rPr>
                <w:rFonts w:ascii="Times New Roman" w:hAnsi="Times New Roman"/>
                <w:sz w:val="24"/>
                <w:szCs w:val="24"/>
              </w:rPr>
              <w:t>odę wyceny według modelu;</w:t>
            </w:r>
          </w:p>
          <w:p w14:paraId="6FCE715B" w14:textId="77777777" w:rsidR="00203C1C" w:rsidRPr="00835753" w:rsidRDefault="00203C1C" w:rsidP="00203C1C">
            <w:pPr>
              <w:pStyle w:val="ListParagraph"/>
              <w:numPr>
                <w:ilvl w:val="0"/>
                <w:numId w:val="59"/>
              </w:numPr>
              <w:spacing w:after="240"/>
              <w:jc w:val="both"/>
              <w:rPr>
                <w:rFonts w:ascii="Times New Roman" w:eastAsia="Times New Roman" w:hAnsi="Times New Roman"/>
                <w:sz w:val="24"/>
                <w:szCs w:val="24"/>
              </w:rPr>
            </w:pPr>
            <w:proofErr w:type="gramStart"/>
            <w:r w:rsidRPr="00835753">
              <w:rPr>
                <w:rFonts w:ascii="Times New Roman" w:hAnsi="Times New Roman"/>
                <w:sz w:val="24"/>
                <w:szCs w:val="24"/>
              </w:rPr>
              <w:t>opis</w:t>
            </w:r>
            <w:proofErr w:type="gramEnd"/>
            <w:r w:rsidRPr="00835753">
              <w:rPr>
                <w:rFonts w:ascii="Times New Roman" w:hAnsi="Times New Roman"/>
                <w:sz w:val="24"/>
                <w:szCs w:val="24"/>
              </w:rPr>
              <w:t xml:space="preserve"> procesu niezależnej weryfikacji cen;</w:t>
            </w:r>
          </w:p>
          <w:p w14:paraId="5DDFA4A5" w14:textId="560C3889" w:rsidR="00203C1C" w:rsidRPr="00835753" w:rsidRDefault="00203C1C" w:rsidP="00203C1C">
            <w:pPr>
              <w:pStyle w:val="ListParagraph"/>
              <w:numPr>
                <w:ilvl w:val="0"/>
                <w:numId w:val="59"/>
              </w:numPr>
              <w:spacing w:after="240"/>
              <w:jc w:val="both"/>
              <w:rPr>
                <w:rFonts w:ascii="Times New Roman" w:hAnsi="Times New Roman"/>
                <w:b/>
                <w:sz w:val="24"/>
                <w:szCs w:val="24"/>
              </w:rPr>
            </w:pPr>
            <w:proofErr w:type="gramStart"/>
            <w:r w:rsidRPr="00835753">
              <w:rPr>
                <w:rFonts w:ascii="Times New Roman" w:hAnsi="Times New Roman"/>
                <w:sz w:val="24"/>
                <w:szCs w:val="24"/>
              </w:rPr>
              <w:t>procedury</w:t>
            </w:r>
            <w:proofErr w:type="gramEnd"/>
            <w:r w:rsidRPr="00835753">
              <w:rPr>
                <w:rFonts w:ascii="Times New Roman" w:hAnsi="Times New Roman"/>
                <w:sz w:val="24"/>
                <w:szCs w:val="24"/>
              </w:rPr>
              <w:t xml:space="preserve"> na potrzeby korekt wyceny lub kapitałów rezerwowych (w tym opis procesu</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met</w:t>
            </w:r>
            <w:r w:rsidRPr="00835753">
              <w:rPr>
                <w:rFonts w:ascii="Times New Roman" w:hAnsi="Times New Roman"/>
                <w:sz w:val="24"/>
                <w:szCs w:val="24"/>
              </w:rPr>
              <w:t>ody wyceny pozycji portfela handlowego według rodzaju instrumentu).</w:t>
            </w:r>
          </w:p>
        </w:tc>
      </w:tr>
      <w:tr w:rsidR="00203C1C" w:rsidRPr="00835753"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4AB5C248" w:rsidR="00203C1C" w:rsidRPr="00835753" w:rsidRDefault="00B77F75" w:rsidP="00155C96">
            <w:pPr>
              <w:spacing w:after="240"/>
              <w:jc w:val="center"/>
              <w:rPr>
                <w:rFonts w:ascii="Times New Roman" w:hAnsi="Times New Roman" w:cs="Times New Roman"/>
                <w:b/>
                <w:sz w:val="24"/>
              </w:rPr>
            </w:pPr>
            <w:r w:rsidRPr="00835753">
              <w:rPr>
                <w:rFonts w:ascii="Times New Roman" w:hAnsi="Times New Roman"/>
                <w:b/>
                <w:sz w:val="24"/>
              </w:rPr>
              <w:lastRenderedPageBreak/>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2C7FBA43"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b/>
                <w:sz w:val="24"/>
              </w:rPr>
              <w:t>Instytucje stosujące modele wartości zagrożonej (VaR)</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mod</w:t>
            </w:r>
            <w:r w:rsidRPr="00835753">
              <w:rPr>
                <w:rFonts w:ascii="Times New Roman" w:hAnsi="Times New Roman"/>
                <w:b/>
                <w:sz w:val="24"/>
              </w:rPr>
              <w:t>ele wartości zagrożonej</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war</w:t>
            </w:r>
            <w:r w:rsidRPr="00835753">
              <w:rPr>
                <w:rFonts w:ascii="Times New Roman" w:hAnsi="Times New Roman"/>
                <w:b/>
                <w:sz w:val="24"/>
              </w:rPr>
              <w:t>unkach skrajnych (SVaR) zdefiniowane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art</w:t>
            </w:r>
            <w:r w:rsidRPr="00835753">
              <w:rPr>
                <w:rFonts w:ascii="Times New Roman" w:hAnsi="Times New Roman"/>
                <w:b/>
                <w:sz w:val="24"/>
              </w:rPr>
              <w:t>.</w:t>
            </w:r>
            <w:r w:rsidR="00835753" w:rsidRPr="00835753">
              <w:rPr>
                <w:rFonts w:ascii="Times New Roman" w:hAnsi="Times New Roman"/>
                <w:b/>
                <w:sz w:val="24"/>
              </w:rPr>
              <w:t> </w:t>
            </w:r>
            <w:r w:rsidRPr="00835753">
              <w:rPr>
                <w:rFonts w:ascii="Times New Roman" w:hAnsi="Times New Roman"/>
                <w:b/>
                <w:sz w:val="24"/>
              </w:rPr>
              <w:t>365 CRR</w:t>
            </w:r>
          </w:p>
        </w:tc>
      </w:tr>
      <w:tr w:rsidR="00203C1C" w:rsidRPr="00835753"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D520937" w:rsidR="00203C1C" w:rsidRPr="00835753" w:rsidRDefault="00B77F75" w:rsidP="00155C96">
            <w:pPr>
              <w:spacing w:after="240"/>
              <w:jc w:val="center"/>
              <w:rPr>
                <w:rFonts w:ascii="Times New Roman" w:hAnsi="Times New Roman" w:cs="Times New Roman"/>
                <w:b/>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072056DA" w14:textId="7C405C6C"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Przy ujawnianiu informacji,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a) ppkt (i)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b) CRR, instytucje uwzględniają opis działań</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ryz</w:t>
            </w:r>
            <w:r w:rsidRPr="00835753">
              <w:rPr>
                <w:rFonts w:ascii="Times New Roman" w:hAnsi="Times New Roman"/>
                <w:sz w:val="24"/>
              </w:rPr>
              <w:t>yk objętych modelami VaR i SVaR, wyszczególniając sposób ich rozkładu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tfelach/subportfelach,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których właściwy organ wydał zezwolenie.</w:t>
            </w:r>
          </w:p>
        </w:tc>
      </w:tr>
      <w:tr w:rsidR="00203C1C" w:rsidRPr="00835753"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30195905" w:rsidR="00203C1C" w:rsidRPr="00835753" w:rsidRDefault="00B77F75" w:rsidP="00155C96">
            <w:pPr>
              <w:spacing w:after="240"/>
              <w:jc w:val="center"/>
              <w:rPr>
                <w:rFonts w:ascii="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4F0B5FB4" w14:textId="5E4E5936"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Przy ujawnianiu informacji,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b) CRR, instytucje uwzględniają:</w:t>
            </w:r>
          </w:p>
          <w:p w14:paraId="02634B5E" w14:textId="063C85A1" w:rsidR="00203C1C" w:rsidRPr="00835753" w:rsidRDefault="00203C1C" w:rsidP="00203C1C">
            <w:pPr>
              <w:pStyle w:val="ListParagraph"/>
              <w:numPr>
                <w:ilvl w:val="0"/>
                <w:numId w:val="59"/>
              </w:numPr>
              <w:spacing w:after="240"/>
              <w:jc w:val="both"/>
              <w:rPr>
                <w:rFonts w:ascii="Times New Roman" w:hAnsi="Times New Roman"/>
                <w:sz w:val="24"/>
                <w:szCs w:val="24"/>
              </w:rPr>
            </w:pPr>
            <w:proofErr w:type="gramStart"/>
            <w:r w:rsidRPr="00835753">
              <w:rPr>
                <w:rFonts w:ascii="Times New Roman" w:hAnsi="Times New Roman"/>
                <w:sz w:val="24"/>
                <w:szCs w:val="24"/>
              </w:rPr>
              <w:t>opis</w:t>
            </w:r>
            <w:proofErr w:type="gramEnd"/>
            <w:r w:rsidRPr="00835753">
              <w:rPr>
                <w:rFonts w:ascii="Times New Roman" w:hAnsi="Times New Roman"/>
                <w:sz w:val="24"/>
                <w:szCs w:val="24"/>
              </w:rPr>
              <w:t xml:space="preserve"> zakresu stosowania modeli VaR i SVaR,</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odn</w:t>
            </w:r>
            <w:r w:rsidRPr="00835753">
              <w:rPr>
                <w:rFonts w:ascii="Times New Roman" w:hAnsi="Times New Roman"/>
                <w:sz w:val="24"/>
                <w:szCs w:val="24"/>
              </w:rPr>
              <w:t xml:space="preserve">iesieniu do których właściwy organ wydał zezwolenie; </w:t>
            </w:r>
          </w:p>
          <w:p w14:paraId="364F19DC" w14:textId="5617880F" w:rsidR="00203C1C" w:rsidRPr="00835753" w:rsidRDefault="00203C1C" w:rsidP="00203C1C">
            <w:pPr>
              <w:pStyle w:val="ListParagraph"/>
              <w:numPr>
                <w:ilvl w:val="0"/>
                <w:numId w:val="59"/>
              </w:numPr>
              <w:spacing w:after="240"/>
              <w:jc w:val="both"/>
              <w:rPr>
                <w:rFonts w:ascii="Times New Roman" w:hAnsi="Times New Roman"/>
                <w:sz w:val="24"/>
                <w:szCs w:val="24"/>
              </w:rPr>
            </w:pPr>
            <w:proofErr w:type="gramStart"/>
            <w:r w:rsidRPr="00835753">
              <w:rPr>
                <w:rFonts w:ascii="Times New Roman" w:hAnsi="Times New Roman"/>
                <w:sz w:val="24"/>
                <w:szCs w:val="24"/>
              </w:rPr>
              <w:t>w</w:t>
            </w:r>
            <w:proofErr w:type="gramEnd"/>
            <w:r w:rsidRPr="00835753">
              <w:rPr>
                <w:rFonts w:ascii="Times New Roman" w:hAnsi="Times New Roman"/>
                <w:sz w:val="24"/>
                <w:szCs w:val="24"/>
              </w:rPr>
              <w:t xml:space="preserve"> stosownych przypadkach, informacje na temat tego, które podmioty wchodzące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skł</w:t>
            </w:r>
            <w:r w:rsidRPr="00835753">
              <w:rPr>
                <w:rFonts w:ascii="Times New Roman" w:hAnsi="Times New Roman"/>
                <w:sz w:val="24"/>
                <w:szCs w:val="24"/>
              </w:rPr>
              <w:t>ad grupy stosują te modele oraz</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jak</w:t>
            </w:r>
            <w:r w:rsidRPr="00835753">
              <w:rPr>
                <w:rFonts w:ascii="Times New Roman" w:hAnsi="Times New Roman"/>
                <w:sz w:val="24"/>
                <w:szCs w:val="24"/>
              </w:rPr>
              <w:t>im stopniu modele te są reprezentatywne dla wszystkich modeli stosowanych na poziomie grupy,</w:t>
            </w:r>
            <w:r w:rsidR="00835753" w:rsidRPr="00835753">
              <w:rPr>
                <w:rFonts w:ascii="Times New Roman" w:hAnsi="Times New Roman"/>
                <w:sz w:val="24"/>
                <w:szCs w:val="24"/>
              </w:rPr>
              <w:t xml:space="preserve"> a</w:t>
            </w:r>
            <w:r w:rsidR="00835753">
              <w:rPr>
                <w:rFonts w:ascii="Times New Roman" w:hAnsi="Times New Roman"/>
                <w:sz w:val="24"/>
                <w:szCs w:val="24"/>
              </w:rPr>
              <w:t> </w:t>
            </w:r>
            <w:r w:rsidR="00835753" w:rsidRPr="00835753">
              <w:rPr>
                <w:rFonts w:ascii="Times New Roman" w:hAnsi="Times New Roman"/>
                <w:sz w:val="24"/>
                <w:szCs w:val="24"/>
              </w:rPr>
              <w:t>tak</w:t>
            </w:r>
            <w:r w:rsidRPr="00835753">
              <w:rPr>
                <w:rFonts w:ascii="Times New Roman" w:hAnsi="Times New Roman"/>
                <w:sz w:val="24"/>
                <w:szCs w:val="24"/>
              </w:rPr>
              <w:t>że informacje dotyczące odsetka wymogów</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zak</w:t>
            </w:r>
            <w:r w:rsidRPr="00835753">
              <w:rPr>
                <w:rFonts w:ascii="Times New Roman" w:hAnsi="Times New Roman"/>
                <w:sz w:val="24"/>
                <w:szCs w:val="24"/>
              </w:rPr>
              <w:t>resie funduszy własnych objętych modelami lub informacje na temat tego, czy wszystkie podmioty posiadające ekspozycję na ryzyko rynkowe stosują te same modele wartości zagrożonej/wartości zagrożonej</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war</w:t>
            </w:r>
            <w:r w:rsidRPr="00835753">
              <w:rPr>
                <w:rFonts w:ascii="Times New Roman" w:hAnsi="Times New Roman"/>
                <w:sz w:val="24"/>
                <w:szCs w:val="24"/>
              </w:rPr>
              <w:t>unkach skrajnych.</w:t>
            </w:r>
          </w:p>
        </w:tc>
      </w:tr>
      <w:tr w:rsidR="00203C1C" w:rsidRPr="00835753"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835753"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A57EDA9" w14:textId="4B888A76"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Ujawniane informacje dotyczące cech zastosowanego modelu,</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a) ppkt (i) CRR, obejmują:</w:t>
            </w:r>
          </w:p>
        </w:tc>
      </w:tr>
      <w:tr w:rsidR="00203C1C" w:rsidRPr="00835753"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2935BDCC" w:rsidR="00203C1C" w:rsidRPr="00835753" w:rsidRDefault="00B77F75" w:rsidP="00155C96">
            <w:pPr>
              <w:spacing w:after="240"/>
              <w:jc w:val="center"/>
              <w:rPr>
                <w:rFonts w:ascii="Times New Roman" w:hAnsi="Times New Roman" w:cs="Times New Roman"/>
                <w:b/>
                <w:sz w:val="24"/>
              </w:rPr>
            </w:pPr>
            <w:proofErr w:type="gramStart"/>
            <w:r w:rsidRPr="00835753">
              <w:rPr>
                <w:rFonts w:ascii="Times New Roman" w:hAnsi="Times New Roman"/>
                <w:sz w:val="24"/>
              </w:rPr>
              <w:t>c</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217A3392" w14:textId="3109B24F"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 xml:space="preserve">Ogólny opis regulacyjnych modeli VaR i SVaR. </w:t>
            </w:r>
          </w:p>
        </w:tc>
      </w:tr>
      <w:tr w:rsidR="00203C1C" w:rsidRPr="00835753"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12DABC82" w:rsidR="00203C1C" w:rsidRPr="00835753" w:rsidRDefault="00B77F75" w:rsidP="00155C96">
            <w:pPr>
              <w:spacing w:after="240"/>
              <w:jc w:val="center"/>
              <w:rPr>
                <w:rFonts w:ascii="Times New Roman" w:hAnsi="Times New Roman" w:cs="Times New Roman"/>
                <w:b/>
                <w:sz w:val="24"/>
              </w:rPr>
            </w:pPr>
            <w:proofErr w:type="gramStart"/>
            <w:r w:rsidRPr="00835753">
              <w:rPr>
                <w:rFonts w:ascii="Times New Roman" w:hAnsi="Times New Roman"/>
                <w:sz w:val="24"/>
              </w:rPr>
              <w:t>d</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1A60E272" w14:textId="76F1D3C6"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Omówienie najistotniejszych różnic –</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ile</w:t>
            </w:r>
            <w:r w:rsidRPr="00835753">
              <w:rPr>
                <w:rFonts w:ascii="Times New Roman" w:hAnsi="Times New Roman"/>
                <w:sz w:val="24"/>
              </w:rPr>
              <w:t xml:space="preserve"> takie istnieją – między modelami stosowanymi do celów zarządzania</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mod</w:t>
            </w:r>
            <w:r w:rsidRPr="00835753">
              <w:rPr>
                <w:rFonts w:ascii="Times New Roman" w:hAnsi="Times New Roman"/>
                <w:sz w:val="24"/>
              </w:rPr>
              <w:t>elem stosowanym do celów regulacyjnych (model 10-dniowy dla</w:t>
            </w:r>
            <w:r w:rsidR="00835753" w:rsidRPr="00835753">
              <w:rPr>
                <w:rFonts w:ascii="Times New Roman" w:hAnsi="Times New Roman"/>
                <w:sz w:val="24"/>
              </w:rPr>
              <w:t> </w:t>
            </w:r>
            <w:r w:rsidRPr="00835753">
              <w:rPr>
                <w:rFonts w:ascii="Times New Roman" w:hAnsi="Times New Roman"/>
                <w:sz w:val="24"/>
              </w:rPr>
              <w:t>99</w:t>
            </w:r>
            <w:r w:rsidR="00835753" w:rsidRPr="00835753">
              <w:rPr>
                <w:rFonts w:ascii="Times New Roman" w:hAnsi="Times New Roman"/>
                <w:sz w:val="24"/>
              </w:rPr>
              <w:t> </w:t>
            </w:r>
            <w:r w:rsidRPr="00835753">
              <w:rPr>
                <w:rFonts w:ascii="Times New Roman" w:hAnsi="Times New Roman"/>
                <w:sz w:val="24"/>
              </w:rPr>
              <w:t>% pozycji)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modeli VaR i SVaR.</w:t>
            </w:r>
          </w:p>
        </w:tc>
      </w:tr>
      <w:tr w:rsidR="00203C1C" w:rsidRPr="00835753"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5508DFE0" w:rsidR="00203C1C" w:rsidRPr="00835753" w:rsidRDefault="00B77F75" w:rsidP="00155C96">
            <w:pPr>
              <w:spacing w:after="240"/>
              <w:jc w:val="center"/>
              <w:rPr>
                <w:rFonts w:ascii="Times New Roman" w:hAnsi="Times New Roman" w:cs="Times New Roman"/>
                <w:b/>
                <w:sz w:val="24"/>
              </w:rPr>
            </w:pPr>
            <w:proofErr w:type="gramStart"/>
            <w:r w:rsidRPr="00835753">
              <w:rPr>
                <w:rFonts w:ascii="Times New Roman" w:hAnsi="Times New Roman"/>
                <w:sz w:val="24"/>
              </w:rPr>
              <w:t>e</w:t>
            </w:r>
            <w:proofErr w:type="gramEnd"/>
            <w:r w:rsidRPr="00835753">
              <w:rPr>
                <w:rFonts w:ascii="Times New Roman" w:hAnsi="Times New Roman"/>
                <w:sz w:val="24"/>
              </w:rPr>
              <w:t>)</w:t>
            </w:r>
          </w:p>
        </w:tc>
        <w:tc>
          <w:tcPr>
            <w:tcW w:w="7242" w:type="dxa"/>
            <w:tcBorders>
              <w:top w:val="single" w:sz="4" w:space="0" w:color="auto"/>
              <w:left w:val="single" w:sz="4" w:space="0" w:color="auto"/>
              <w:bottom w:val="nil"/>
              <w:right w:val="single" w:sz="4" w:space="0" w:color="auto"/>
            </w:tcBorders>
          </w:tcPr>
          <w:p w14:paraId="10D08378" w14:textId="2D74BBC9"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Jeżeli chodzi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mod</w:t>
            </w:r>
            <w:r w:rsidRPr="00835753">
              <w:rPr>
                <w:rFonts w:ascii="Times New Roman" w:hAnsi="Times New Roman"/>
                <w:sz w:val="24"/>
              </w:rPr>
              <w:t>ele VaR:</w:t>
            </w:r>
          </w:p>
        </w:tc>
      </w:tr>
      <w:tr w:rsidR="00203C1C" w:rsidRPr="00835753"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835753" w:rsidRDefault="00B77F75" w:rsidP="00155C96">
            <w:pPr>
              <w:spacing w:after="240"/>
              <w:jc w:val="right"/>
              <w:rPr>
                <w:rFonts w:ascii="Times New Roman" w:hAnsi="Times New Roman" w:cs="Times New Roman"/>
                <w:b/>
                <w:sz w:val="24"/>
              </w:rPr>
            </w:pPr>
            <w:r w:rsidRPr="00835753">
              <w:rPr>
                <w:rFonts w:ascii="Times New Roman" w:hAnsi="Times New Roman"/>
                <w:sz w:val="24"/>
              </w:rPr>
              <w:t>(i)</w:t>
            </w:r>
          </w:p>
        </w:tc>
        <w:tc>
          <w:tcPr>
            <w:tcW w:w="7242" w:type="dxa"/>
            <w:tcBorders>
              <w:top w:val="nil"/>
              <w:left w:val="single" w:sz="4" w:space="0" w:color="auto"/>
              <w:bottom w:val="nil"/>
              <w:right w:val="single" w:sz="4" w:space="0" w:color="auto"/>
            </w:tcBorders>
          </w:tcPr>
          <w:p w14:paraId="3681D9C8" w14:textId="77777777" w:rsidR="00203C1C" w:rsidRPr="00835753" w:rsidRDefault="00203C1C" w:rsidP="00155C96">
            <w:pPr>
              <w:spacing w:after="240"/>
              <w:ind w:left="280"/>
              <w:jc w:val="both"/>
              <w:rPr>
                <w:rFonts w:ascii="Times New Roman" w:hAnsi="Times New Roman" w:cs="Times New Roman"/>
                <w:sz w:val="24"/>
              </w:rPr>
            </w:pPr>
            <w:proofErr w:type="gramStart"/>
            <w:r w:rsidRPr="00835753">
              <w:rPr>
                <w:rFonts w:ascii="Times New Roman" w:hAnsi="Times New Roman"/>
                <w:sz w:val="24"/>
              </w:rPr>
              <w:t>częstotliwość</w:t>
            </w:r>
            <w:proofErr w:type="gramEnd"/>
            <w:r w:rsidRPr="00835753">
              <w:rPr>
                <w:rFonts w:ascii="Times New Roman" w:hAnsi="Times New Roman"/>
                <w:sz w:val="24"/>
              </w:rPr>
              <w:t xml:space="preserve"> aktualizowania danych;</w:t>
            </w:r>
          </w:p>
        </w:tc>
      </w:tr>
      <w:tr w:rsidR="00203C1C" w:rsidRPr="00835753"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835753" w:rsidRDefault="00B77F75" w:rsidP="00155C96">
            <w:pPr>
              <w:spacing w:after="240"/>
              <w:jc w:val="right"/>
              <w:rPr>
                <w:rFonts w:ascii="Times New Roman" w:hAnsi="Times New Roman" w:cs="Times New Roman"/>
                <w:b/>
                <w:sz w:val="24"/>
              </w:rPr>
            </w:pPr>
            <w:r w:rsidRPr="00835753">
              <w:rPr>
                <w:rFonts w:ascii="Times New Roman" w:hAnsi="Times New Roman"/>
                <w:sz w:val="24"/>
              </w:rPr>
              <w:t>(ii)</w:t>
            </w:r>
          </w:p>
        </w:tc>
        <w:tc>
          <w:tcPr>
            <w:tcW w:w="7242" w:type="dxa"/>
            <w:tcBorders>
              <w:top w:val="nil"/>
              <w:left w:val="single" w:sz="4" w:space="0" w:color="auto"/>
              <w:bottom w:val="nil"/>
              <w:right w:val="single" w:sz="4" w:space="0" w:color="auto"/>
            </w:tcBorders>
          </w:tcPr>
          <w:p w14:paraId="1AD51F60" w14:textId="77777777" w:rsidR="00203C1C" w:rsidRPr="00835753" w:rsidRDefault="00203C1C" w:rsidP="00155C96">
            <w:pPr>
              <w:spacing w:after="240"/>
              <w:ind w:left="280"/>
              <w:jc w:val="both"/>
              <w:rPr>
                <w:rFonts w:ascii="Times New Roman" w:hAnsi="Times New Roman" w:cs="Times New Roman"/>
                <w:sz w:val="24"/>
              </w:rPr>
            </w:pPr>
            <w:proofErr w:type="gramStart"/>
            <w:r w:rsidRPr="00835753">
              <w:rPr>
                <w:rFonts w:ascii="Times New Roman" w:hAnsi="Times New Roman"/>
                <w:sz w:val="24"/>
              </w:rPr>
              <w:t>długość</w:t>
            </w:r>
            <w:proofErr w:type="gramEnd"/>
            <w:r w:rsidRPr="00835753">
              <w:rPr>
                <w:rFonts w:ascii="Times New Roman" w:hAnsi="Times New Roman"/>
                <w:sz w:val="24"/>
              </w:rPr>
              <w:t xml:space="preserve"> okresu, którego dane dotyczą, wykorzystywanego do kalibracji modelu. Opis stosowanego systemu ważenia (w stosownych przypadkach);</w:t>
            </w:r>
          </w:p>
        </w:tc>
      </w:tr>
      <w:tr w:rsidR="00203C1C" w:rsidRPr="00835753"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835753" w:rsidRDefault="00B77F75" w:rsidP="00155C96">
            <w:pPr>
              <w:spacing w:after="240"/>
              <w:jc w:val="right"/>
              <w:rPr>
                <w:rFonts w:ascii="Times New Roman" w:hAnsi="Times New Roman" w:cs="Times New Roman"/>
                <w:b/>
                <w:sz w:val="24"/>
              </w:rPr>
            </w:pPr>
            <w:r w:rsidRPr="00835753">
              <w:rPr>
                <w:rFonts w:ascii="Times New Roman" w:hAnsi="Times New Roman"/>
                <w:sz w:val="24"/>
              </w:rPr>
              <w:t>(iii)</w:t>
            </w:r>
          </w:p>
        </w:tc>
        <w:tc>
          <w:tcPr>
            <w:tcW w:w="7242" w:type="dxa"/>
            <w:tcBorders>
              <w:top w:val="nil"/>
              <w:left w:val="single" w:sz="4" w:space="0" w:color="auto"/>
              <w:bottom w:val="nil"/>
              <w:right w:val="single" w:sz="4" w:space="0" w:color="auto"/>
            </w:tcBorders>
          </w:tcPr>
          <w:p w14:paraId="0243897C" w14:textId="6F846677" w:rsidR="00203C1C" w:rsidRPr="00835753" w:rsidRDefault="00203C1C" w:rsidP="00155C96">
            <w:pPr>
              <w:spacing w:after="240"/>
              <w:ind w:left="280"/>
              <w:jc w:val="both"/>
              <w:rPr>
                <w:rFonts w:ascii="Times New Roman" w:hAnsi="Times New Roman" w:cs="Times New Roman"/>
                <w:sz w:val="24"/>
              </w:rPr>
            </w:pPr>
            <w:proofErr w:type="gramStart"/>
            <w:r w:rsidRPr="00835753">
              <w:rPr>
                <w:rFonts w:ascii="Times New Roman" w:hAnsi="Times New Roman"/>
                <w:sz w:val="24"/>
              </w:rPr>
              <w:t>opis</w:t>
            </w:r>
            <w:proofErr w:type="gramEnd"/>
            <w:r w:rsidRPr="00835753">
              <w:rPr>
                <w:rFonts w:ascii="Times New Roman" w:hAnsi="Times New Roman"/>
                <w:sz w:val="24"/>
              </w:rPr>
              <w:t xml:space="preserve"> sposobu,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 instytucje ustalają 10-dniowy okres utrzymywania (np. czy instytucje zwiększają 1-dniową wartość zagrożoną</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pie</w:t>
            </w:r>
            <w:r w:rsidRPr="00835753">
              <w:rPr>
                <w:rFonts w:ascii="Times New Roman" w:hAnsi="Times New Roman"/>
                <w:sz w:val="24"/>
              </w:rPr>
              <w:t>rwiastek kwadratowy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0, czy też opierają się bezpośrednio na</w:t>
            </w:r>
            <w:r w:rsidR="00835753" w:rsidRPr="00835753">
              <w:rPr>
                <w:rFonts w:ascii="Times New Roman" w:hAnsi="Times New Roman"/>
                <w:sz w:val="24"/>
              </w:rPr>
              <w:t> </w:t>
            </w:r>
            <w:r w:rsidRPr="00835753">
              <w:rPr>
                <w:rFonts w:ascii="Times New Roman" w:hAnsi="Times New Roman"/>
                <w:sz w:val="24"/>
              </w:rPr>
              <w:t>10-dniowej wartości zagrożonej?);</w:t>
            </w:r>
          </w:p>
        </w:tc>
      </w:tr>
      <w:tr w:rsidR="00203C1C" w:rsidRPr="00835753"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835753" w:rsidRDefault="00B77F75" w:rsidP="00155C96">
            <w:pPr>
              <w:spacing w:after="240"/>
              <w:jc w:val="right"/>
              <w:rPr>
                <w:rFonts w:ascii="Times New Roman" w:hAnsi="Times New Roman" w:cs="Times New Roman"/>
                <w:b/>
                <w:sz w:val="24"/>
              </w:rPr>
            </w:pPr>
            <w:r w:rsidRPr="00835753">
              <w:rPr>
                <w:rFonts w:ascii="Times New Roman" w:hAnsi="Times New Roman"/>
                <w:sz w:val="24"/>
              </w:rPr>
              <w:lastRenderedPageBreak/>
              <w:t>(iv)</w:t>
            </w:r>
          </w:p>
        </w:tc>
        <w:tc>
          <w:tcPr>
            <w:tcW w:w="7242" w:type="dxa"/>
            <w:tcBorders>
              <w:top w:val="nil"/>
              <w:left w:val="single" w:sz="4" w:space="0" w:color="auto"/>
              <w:bottom w:val="nil"/>
              <w:right w:val="single" w:sz="4" w:space="0" w:color="auto"/>
            </w:tcBorders>
          </w:tcPr>
          <w:p w14:paraId="4939E928" w14:textId="5A20BC32" w:rsidR="00203C1C" w:rsidRPr="00835753" w:rsidRDefault="00203C1C" w:rsidP="00155C96">
            <w:pPr>
              <w:spacing w:after="240"/>
              <w:ind w:left="280"/>
              <w:jc w:val="both"/>
              <w:rPr>
                <w:rFonts w:ascii="Times New Roman" w:hAnsi="Times New Roman" w:cs="Times New Roman"/>
                <w:sz w:val="24"/>
              </w:rPr>
            </w:pPr>
            <w:proofErr w:type="gramStart"/>
            <w:r w:rsidRPr="00835753">
              <w:rPr>
                <w:rFonts w:ascii="Times New Roman" w:hAnsi="Times New Roman"/>
                <w:sz w:val="24"/>
              </w:rPr>
              <w:t>opis</w:t>
            </w:r>
            <w:proofErr w:type="gramEnd"/>
            <w:r w:rsidRPr="00835753">
              <w:rPr>
                <w:rFonts w:ascii="Times New Roman" w:hAnsi="Times New Roman"/>
                <w:sz w:val="24"/>
              </w:rPr>
              <w:t xml:space="preserve"> metody agregacji, która jest metodą agregowania ryzyka szczególnego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ogó</w:t>
            </w:r>
            <w:r w:rsidRPr="00835753">
              <w:rPr>
                <w:rFonts w:ascii="Times New Roman" w:hAnsi="Times New Roman"/>
                <w:sz w:val="24"/>
              </w:rPr>
              <w:t>lnego (tj. czy instytucje obliczają narzut kapitałowy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szczególnego jako wyznaczony niezależnie narzut kapitałowy, stosując metodę inną niż metoda stosowana do obliczania ryzyka ogólnego, czy też korzystają</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jed</w:t>
            </w:r>
            <w:r w:rsidRPr="00835753">
              <w:rPr>
                <w:rFonts w:ascii="Times New Roman" w:hAnsi="Times New Roman"/>
                <w:sz w:val="24"/>
              </w:rPr>
              <w:t>nego modelu różnicującego ryzyko na ryzyko ogólne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szc</w:t>
            </w:r>
            <w:r w:rsidRPr="00835753">
              <w:rPr>
                <w:rFonts w:ascii="Times New Roman" w:hAnsi="Times New Roman"/>
                <w:sz w:val="24"/>
              </w:rPr>
              <w:t>zególne?);</w:t>
            </w:r>
          </w:p>
        </w:tc>
      </w:tr>
      <w:tr w:rsidR="00203C1C" w:rsidRPr="00835753"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835753" w:rsidRDefault="00B77F75" w:rsidP="00155C96">
            <w:pPr>
              <w:spacing w:after="240"/>
              <w:jc w:val="right"/>
              <w:rPr>
                <w:rFonts w:ascii="Times New Roman" w:hAnsi="Times New Roman" w:cs="Times New Roman"/>
                <w:b/>
                <w:sz w:val="24"/>
              </w:rPr>
            </w:pPr>
            <w:r w:rsidRPr="00835753">
              <w:rPr>
                <w:rFonts w:ascii="Times New Roman" w:hAnsi="Times New Roman"/>
                <w:sz w:val="24"/>
              </w:rPr>
              <w:t>(v)</w:t>
            </w:r>
          </w:p>
        </w:tc>
        <w:tc>
          <w:tcPr>
            <w:tcW w:w="7242" w:type="dxa"/>
            <w:tcBorders>
              <w:top w:val="nil"/>
              <w:left w:val="single" w:sz="4" w:space="0" w:color="auto"/>
              <w:bottom w:val="nil"/>
              <w:right w:val="single" w:sz="4" w:space="0" w:color="auto"/>
            </w:tcBorders>
          </w:tcPr>
          <w:p w14:paraId="3F1254F1" w14:textId="77777777" w:rsidR="00203C1C" w:rsidRPr="00835753" w:rsidRDefault="00203C1C" w:rsidP="00155C96">
            <w:pPr>
              <w:spacing w:after="240"/>
              <w:ind w:left="280"/>
              <w:jc w:val="both"/>
              <w:rPr>
                <w:rFonts w:ascii="Times New Roman" w:hAnsi="Times New Roman" w:cs="Times New Roman"/>
                <w:sz w:val="24"/>
              </w:rPr>
            </w:pPr>
            <w:r w:rsidRPr="00835753">
              <w:rPr>
                <w:rFonts w:ascii="Times New Roman" w:hAnsi="Times New Roman"/>
                <w:sz w:val="24"/>
              </w:rPr>
              <w:t>Metoda wyceny (pełna rewaluacja lub stosowanie przybliżeń);</w:t>
            </w:r>
          </w:p>
        </w:tc>
      </w:tr>
      <w:tr w:rsidR="00203C1C" w:rsidRPr="00835753"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835753" w:rsidRDefault="00B77F75" w:rsidP="00155C96">
            <w:pPr>
              <w:spacing w:after="240"/>
              <w:jc w:val="right"/>
              <w:rPr>
                <w:rFonts w:ascii="Times New Roman" w:hAnsi="Times New Roman" w:cs="Times New Roman"/>
                <w:b/>
                <w:sz w:val="24"/>
              </w:rPr>
            </w:pPr>
            <w:r w:rsidRPr="00835753">
              <w:rPr>
                <w:rFonts w:ascii="Times New Roman" w:hAnsi="Times New Roman"/>
                <w:sz w:val="24"/>
              </w:rPr>
              <w:t>(vi)</w:t>
            </w:r>
          </w:p>
        </w:tc>
        <w:tc>
          <w:tcPr>
            <w:tcW w:w="7242" w:type="dxa"/>
            <w:tcBorders>
              <w:top w:val="nil"/>
              <w:left w:val="single" w:sz="4" w:space="0" w:color="auto"/>
              <w:bottom w:val="single" w:sz="4" w:space="0" w:color="auto"/>
              <w:right w:val="single" w:sz="4" w:space="0" w:color="auto"/>
            </w:tcBorders>
          </w:tcPr>
          <w:p w14:paraId="7787A0AD" w14:textId="77777777" w:rsidR="00203C1C" w:rsidRPr="00835753" w:rsidRDefault="00203C1C" w:rsidP="00155C96">
            <w:pPr>
              <w:spacing w:after="240"/>
              <w:ind w:left="280"/>
              <w:jc w:val="both"/>
              <w:rPr>
                <w:rFonts w:ascii="Times New Roman" w:hAnsi="Times New Roman" w:cs="Times New Roman"/>
                <w:sz w:val="24"/>
              </w:rPr>
            </w:pPr>
            <w:r w:rsidRPr="00835753">
              <w:rPr>
                <w:rFonts w:ascii="Times New Roman" w:hAnsi="Times New Roman"/>
                <w:sz w:val="24"/>
              </w:rPr>
              <w:t>Czy przy przeprowadzaniu symulacji potencjalnych zmian czynników ryzyka stosuje się bezwzględną czy względną stopę zwrotu (czy też metodę mieszaną) (tj. proporcjonalna zmiana poziomu cen lub stóp lub bezwzględna zmiana poziomu cen lub stóp).</w:t>
            </w:r>
          </w:p>
        </w:tc>
      </w:tr>
      <w:tr w:rsidR="00203C1C" w:rsidRPr="00835753"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ADAE4C8" w:rsidR="00203C1C" w:rsidRPr="00835753" w:rsidRDefault="00B77F75" w:rsidP="00155C96">
            <w:pPr>
              <w:spacing w:after="240"/>
              <w:jc w:val="center"/>
              <w:rPr>
                <w:rFonts w:ascii="Times New Roman" w:hAnsi="Times New Roman" w:cs="Times New Roman"/>
                <w:b/>
                <w:sz w:val="24"/>
              </w:rPr>
            </w:pPr>
            <w:proofErr w:type="gramStart"/>
            <w:r w:rsidRPr="00835753">
              <w:rPr>
                <w:rFonts w:ascii="Times New Roman" w:hAnsi="Times New Roman"/>
                <w:sz w:val="24"/>
              </w:rPr>
              <w:t>f</w:t>
            </w:r>
            <w:proofErr w:type="gramEnd"/>
            <w:r w:rsidRPr="00835753">
              <w:rPr>
                <w:rFonts w:ascii="Times New Roman" w:hAnsi="Times New Roman"/>
                <w:sz w:val="24"/>
              </w:rPr>
              <w:t>)</w:t>
            </w:r>
          </w:p>
        </w:tc>
        <w:tc>
          <w:tcPr>
            <w:tcW w:w="7242" w:type="dxa"/>
            <w:tcBorders>
              <w:top w:val="single" w:sz="4" w:space="0" w:color="auto"/>
              <w:left w:val="single" w:sz="4" w:space="0" w:color="auto"/>
              <w:bottom w:val="nil"/>
              <w:right w:val="single" w:sz="4" w:space="0" w:color="auto"/>
            </w:tcBorders>
          </w:tcPr>
          <w:p w14:paraId="16DE8F66" w14:textId="00E6224D"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Jeżeli chodzi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mod</w:t>
            </w:r>
            <w:r w:rsidRPr="00835753">
              <w:rPr>
                <w:rFonts w:ascii="Times New Roman" w:hAnsi="Times New Roman"/>
                <w:sz w:val="24"/>
              </w:rPr>
              <w:t>ele SVaR:</w:t>
            </w:r>
          </w:p>
        </w:tc>
      </w:tr>
      <w:tr w:rsidR="00203C1C" w:rsidRPr="00835753" w14:paraId="05EF3494" w14:textId="77777777" w:rsidTr="00155C96">
        <w:tc>
          <w:tcPr>
            <w:tcW w:w="1172" w:type="dxa"/>
            <w:tcBorders>
              <w:top w:val="nil"/>
              <w:left w:val="single" w:sz="4" w:space="0" w:color="auto"/>
              <w:bottom w:val="nil"/>
              <w:right w:val="single" w:sz="4" w:space="0" w:color="auto"/>
            </w:tcBorders>
          </w:tcPr>
          <w:p w14:paraId="0FDFD346" w14:textId="524A0D18" w:rsidR="00203C1C" w:rsidRPr="00835753" w:rsidRDefault="00B77F75" w:rsidP="00155C96">
            <w:pPr>
              <w:spacing w:after="240"/>
              <w:jc w:val="right"/>
              <w:rPr>
                <w:rFonts w:ascii="Times New Roman" w:hAnsi="Times New Roman" w:cs="Times New Roman"/>
                <w:b/>
                <w:sz w:val="24"/>
              </w:rPr>
            </w:pPr>
            <w:r w:rsidRPr="00835753">
              <w:rPr>
                <w:rFonts w:ascii="Times New Roman" w:hAnsi="Times New Roman"/>
                <w:sz w:val="24"/>
              </w:rPr>
              <w:t>(i)</w:t>
            </w:r>
          </w:p>
        </w:tc>
        <w:tc>
          <w:tcPr>
            <w:tcW w:w="7242" w:type="dxa"/>
            <w:tcBorders>
              <w:top w:val="nil"/>
              <w:left w:val="single" w:sz="4" w:space="0" w:color="auto"/>
              <w:bottom w:val="nil"/>
              <w:right w:val="single" w:sz="4" w:space="0" w:color="auto"/>
            </w:tcBorders>
          </w:tcPr>
          <w:p w14:paraId="18B8D5CF" w14:textId="6B3C1E62" w:rsidR="00203C1C" w:rsidRPr="00835753" w:rsidRDefault="00203C1C" w:rsidP="00155C96">
            <w:pPr>
              <w:spacing w:after="240"/>
              <w:ind w:left="280"/>
              <w:jc w:val="both"/>
              <w:rPr>
                <w:rFonts w:ascii="Times New Roman" w:hAnsi="Times New Roman" w:cs="Times New Roman"/>
                <w:sz w:val="24"/>
              </w:rPr>
            </w:pPr>
            <w:proofErr w:type="gramStart"/>
            <w:r w:rsidRPr="00835753">
              <w:rPr>
                <w:rFonts w:ascii="Times New Roman" w:hAnsi="Times New Roman"/>
                <w:sz w:val="24"/>
              </w:rPr>
              <w:t>opis</w:t>
            </w:r>
            <w:proofErr w:type="gramEnd"/>
            <w:r w:rsidRPr="00835753">
              <w:rPr>
                <w:rFonts w:ascii="Times New Roman" w:hAnsi="Times New Roman"/>
                <w:sz w:val="24"/>
              </w:rPr>
              <w:t xml:space="preserve"> sposobu,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 instytucje ustalają 10-dniowy okres utrzymywania. Na przykład, czy instytucje zwiększają 1-dniową wartość zagrożoną</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pie</w:t>
            </w:r>
            <w:r w:rsidRPr="00835753">
              <w:rPr>
                <w:rFonts w:ascii="Times New Roman" w:hAnsi="Times New Roman"/>
                <w:sz w:val="24"/>
              </w:rPr>
              <w:t>rwiastek kwadratowy</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0, czy też opierają się bezpośrednio na</w:t>
            </w:r>
            <w:r w:rsidR="00835753" w:rsidRPr="00835753">
              <w:rPr>
                <w:rFonts w:ascii="Times New Roman" w:hAnsi="Times New Roman"/>
                <w:sz w:val="24"/>
              </w:rPr>
              <w:t> </w:t>
            </w:r>
            <w:r w:rsidRPr="00835753">
              <w:rPr>
                <w:rFonts w:ascii="Times New Roman" w:hAnsi="Times New Roman"/>
                <w:sz w:val="24"/>
              </w:rPr>
              <w:t>10-dniowej wartości zagrożonej? Jeżeli stosowana metoda jest taka sama jak</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modeli VaR, instytucje mogą potwierdzić ten fakt</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zam</w:t>
            </w:r>
            <w:r w:rsidRPr="00835753">
              <w:rPr>
                <w:rFonts w:ascii="Times New Roman" w:hAnsi="Times New Roman"/>
                <w:sz w:val="24"/>
              </w:rPr>
              <w:t>ieścić odniesienie do informacji ujawnionych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e) ppkt (iii) powyżej;</w:t>
            </w:r>
          </w:p>
        </w:tc>
      </w:tr>
      <w:tr w:rsidR="00203C1C" w:rsidRPr="00835753"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835753" w:rsidRDefault="00B77F75" w:rsidP="00155C96">
            <w:pPr>
              <w:spacing w:after="240"/>
              <w:jc w:val="right"/>
              <w:rPr>
                <w:rFonts w:ascii="Times New Roman" w:hAnsi="Times New Roman" w:cs="Times New Roman"/>
                <w:b/>
                <w:sz w:val="24"/>
              </w:rPr>
            </w:pPr>
            <w:r w:rsidRPr="00835753">
              <w:rPr>
                <w:rFonts w:ascii="Times New Roman" w:hAnsi="Times New Roman"/>
                <w:sz w:val="24"/>
              </w:rPr>
              <w:t>(ii)</w:t>
            </w:r>
          </w:p>
        </w:tc>
        <w:tc>
          <w:tcPr>
            <w:tcW w:w="7242" w:type="dxa"/>
            <w:tcBorders>
              <w:top w:val="nil"/>
              <w:left w:val="single" w:sz="4" w:space="0" w:color="auto"/>
              <w:bottom w:val="nil"/>
              <w:right w:val="single" w:sz="4" w:space="0" w:color="auto"/>
            </w:tcBorders>
          </w:tcPr>
          <w:p w14:paraId="3255ED75" w14:textId="0D33DFEE" w:rsidR="00203C1C" w:rsidRPr="00835753" w:rsidRDefault="00203C1C" w:rsidP="00155C96">
            <w:pPr>
              <w:spacing w:after="240"/>
              <w:ind w:left="280"/>
              <w:jc w:val="both"/>
              <w:rPr>
                <w:rFonts w:ascii="Times New Roman" w:hAnsi="Times New Roman" w:cs="Times New Roman"/>
                <w:sz w:val="24"/>
              </w:rPr>
            </w:pPr>
            <w:proofErr w:type="gramStart"/>
            <w:r w:rsidRPr="00835753">
              <w:rPr>
                <w:rFonts w:ascii="Times New Roman" w:hAnsi="Times New Roman"/>
                <w:sz w:val="24"/>
              </w:rPr>
              <w:t>opis</w:t>
            </w:r>
            <w:proofErr w:type="gramEnd"/>
            <w:r w:rsidRPr="00835753">
              <w:rPr>
                <w:rFonts w:ascii="Times New Roman" w:hAnsi="Times New Roman"/>
                <w:sz w:val="24"/>
              </w:rPr>
              <w:t xml:space="preserve"> okresu występowania warunków skrajnych wybranego przez instytucję wraz</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uza</w:t>
            </w:r>
            <w:r w:rsidRPr="00835753">
              <w:rPr>
                <w:rFonts w:ascii="Times New Roman" w:hAnsi="Times New Roman"/>
                <w:sz w:val="24"/>
              </w:rPr>
              <w:t>sadnieniem tego wyboru;</w:t>
            </w:r>
          </w:p>
        </w:tc>
      </w:tr>
      <w:tr w:rsidR="00203C1C" w:rsidRPr="00835753"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835753" w:rsidRDefault="00B77F75" w:rsidP="00155C96">
            <w:pPr>
              <w:spacing w:after="240"/>
              <w:jc w:val="right"/>
              <w:rPr>
                <w:rFonts w:ascii="Times New Roman" w:hAnsi="Times New Roman" w:cs="Times New Roman"/>
                <w:b/>
                <w:sz w:val="24"/>
              </w:rPr>
            </w:pPr>
            <w:r w:rsidRPr="00835753">
              <w:rPr>
                <w:rFonts w:ascii="Times New Roman" w:hAnsi="Times New Roman"/>
                <w:sz w:val="24"/>
              </w:rPr>
              <w:t>(iii)</w:t>
            </w:r>
          </w:p>
        </w:tc>
        <w:tc>
          <w:tcPr>
            <w:tcW w:w="7242" w:type="dxa"/>
            <w:tcBorders>
              <w:top w:val="nil"/>
              <w:left w:val="single" w:sz="4" w:space="0" w:color="auto"/>
              <w:bottom w:val="single" w:sz="4" w:space="0" w:color="auto"/>
              <w:right w:val="single" w:sz="4" w:space="0" w:color="auto"/>
            </w:tcBorders>
          </w:tcPr>
          <w:p w14:paraId="5A8F9993" w14:textId="77777777" w:rsidR="00203C1C" w:rsidRPr="00835753" w:rsidRDefault="00203C1C" w:rsidP="00155C96">
            <w:pPr>
              <w:spacing w:after="240"/>
              <w:ind w:left="280"/>
              <w:jc w:val="both"/>
              <w:rPr>
                <w:rFonts w:ascii="Times New Roman" w:hAnsi="Times New Roman" w:cs="Times New Roman"/>
                <w:sz w:val="24"/>
              </w:rPr>
            </w:pPr>
            <w:proofErr w:type="gramStart"/>
            <w:r w:rsidRPr="00835753">
              <w:rPr>
                <w:rFonts w:ascii="Times New Roman" w:hAnsi="Times New Roman"/>
                <w:sz w:val="24"/>
              </w:rPr>
              <w:t>opis</w:t>
            </w:r>
            <w:proofErr w:type="gramEnd"/>
            <w:r w:rsidRPr="00835753">
              <w:rPr>
                <w:rFonts w:ascii="Times New Roman" w:hAnsi="Times New Roman"/>
                <w:sz w:val="24"/>
              </w:rPr>
              <w:t xml:space="preserve"> metody wyceny (pełna rewaluacja lub zastosowanie przybliżeń).</w:t>
            </w:r>
          </w:p>
        </w:tc>
      </w:tr>
      <w:tr w:rsidR="00203C1C" w:rsidRPr="00835753"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6D8F4C29" w:rsidR="00203C1C" w:rsidRPr="00835753" w:rsidRDefault="00B77F75" w:rsidP="00155C96">
            <w:pPr>
              <w:spacing w:after="240"/>
              <w:jc w:val="center"/>
              <w:rPr>
                <w:rFonts w:ascii="Times New Roman" w:hAnsi="Times New Roman" w:cs="Times New Roman"/>
                <w:sz w:val="24"/>
              </w:rPr>
            </w:pPr>
            <w:proofErr w:type="gramStart"/>
            <w:r w:rsidRPr="00835753">
              <w:rPr>
                <w:rFonts w:ascii="Times New Roman" w:hAnsi="Times New Roman"/>
                <w:sz w:val="24"/>
              </w:rPr>
              <w:t>g</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00C5352E"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Przy ujawnianiu informacji,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a) ppkt (iii) CRR, instytucje uwzględniają opis testów warunków skrajnych zastosowanych do parametrów modelowania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inf</w:t>
            </w:r>
            <w:r w:rsidRPr="00835753">
              <w:rPr>
                <w:rFonts w:ascii="Times New Roman" w:hAnsi="Times New Roman"/>
                <w:sz w:val="24"/>
              </w:rPr>
              <w:t>ormacjami ujawnionymi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A) a) powyżej (główne scenariusze opracowane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ujęcia cech portfeli, do których na poziomie grupy mają zastosowanie modele VaR i SVaR).</w:t>
            </w:r>
          </w:p>
        </w:tc>
      </w:tr>
      <w:tr w:rsidR="00203C1C" w:rsidRPr="00835753"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27397147" w:rsidR="00203C1C" w:rsidRPr="00835753" w:rsidRDefault="00B77F75" w:rsidP="00155C96">
            <w:pPr>
              <w:spacing w:after="240"/>
              <w:jc w:val="center"/>
              <w:rPr>
                <w:rFonts w:ascii="Times New Roman" w:hAnsi="Times New Roman" w:cs="Times New Roman"/>
                <w:sz w:val="24"/>
              </w:rPr>
            </w:pPr>
            <w:proofErr w:type="gramStart"/>
            <w:r w:rsidRPr="00835753">
              <w:rPr>
                <w:rFonts w:ascii="Times New Roman" w:hAnsi="Times New Roman"/>
                <w:sz w:val="24"/>
              </w:rPr>
              <w:t>h</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339C77FC"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Przy ujawnianiu informacji,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a) ppkt (iv) CRR, instytucje ujawniają opis metod zastosowanych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weryfikacji historycznej/weryfikacji dokładności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spó</w:t>
            </w:r>
            <w:r w:rsidRPr="00835753">
              <w:rPr>
                <w:rFonts w:ascii="Times New Roman" w:hAnsi="Times New Roman"/>
                <w:sz w:val="24"/>
              </w:rPr>
              <w:t>jności wewnętrznej danych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par</w:t>
            </w:r>
            <w:r w:rsidRPr="00835753">
              <w:rPr>
                <w:rFonts w:ascii="Times New Roman" w:hAnsi="Times New Roman"/>
                <w:sz w:val="24"/>
              </w:rPr>
              <w:t>ametrów stosowanych na potrzeby modeli wewnętrznych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pro</w:t>
            </w:r>
            <w:r w:rsidRPr="00835753">
              <w:rPr>
                <w:rFonts w:ascii="Times New Roman" w:hAnsi="Times New Roman"/>
                <w:sz w:val="24"/>
              </w:rPr>
              <w:t>cesów modelowania.</w:t>
            </w:r>
          </w:p>
        </w:tc>
      </w:tr>
      <w:tr w:rsidR="00203C1C" w:rsidRPr="00835753"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66CB37F8" w:rsidR="00203C1C" w:rsidRPr="00835753" w:rsidRDefault="00B77F75" w:rsidP="00155C96">
            <w:pPr>
              <w:spacing w:after="240"/>
              <w:jc w:val="center"/>
              <w:rPr>
                <w:rFonts w:ascii="Times New Roman" w:hAnsi="Times New Roman" w:cs="Times New Roman"/>
                <w:b/>
                <w:sz w:val="24"/>
              </w:rPr>
            </w:pPr>
            <w:r w:rsidRPr="00835753">
              <w:rPr>
                <w:rFonts w:ascii="Times New Roman" w:hAnsi="Times New Roman"/>
                <w:b/>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56D6DCE8"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b/>
                <w:sz w:val="24"/>
              </w:rPr>
              <w:t>Instytucje stosujące modele wewnętrzne do pomiaru wymogów</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funduszy własnych na potrzeby dodatkowego ryzyka niewykonania zobowiązań</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mig</w:t>
            </w:r>
            <w:r w:rsidRPr="00835753">
              <w:rPr>
                <w:rFonts w:ascii="Times New Roman" w:hAnsi="Times New Roman"/>
                <w:b/>
                <w:sz w:val="24"/>
              </w:rPr>
              <w:t>racji (IRC) zgodnie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czę</w:t>
            </w:r>
            <w:r w:rsidRPr="00835753">
              <w:rPr>
                <w:rFonts w:ascii="Times New Roman" w:hAnsi="Times New Roman"/>
                <w:b/>
                <w:sz w:val="24"/>
              </w:rPr>
              <w:t>ścią trzecią tytuł IV rozdział 5 sekcje 3</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4</w:t>
            </w:r>
            <w:r w:rsidRPr="00835753">
              <w:rPr>
                <w:rFonts w:ascii="Times New Roman" w:hAnsi="Times New Roman"/>
                <w:b/>
                <w:sz w:val="24"/>
              </w:rPr>
              <w:t xml:space="preserve"> CRR</w:t>
            </w:r>
          </w:p>
        </w:tc>
      </w:tr>
      <w:tr w:rsidR="00203C1C" w:rsidRPr="00835753"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5703436C" w:rsidR="00203C1C" w:rsidRPr="00835753" w:rsidRDefault="00B77F75" w:rsidP="00155C96">
            <w:pPr>
              <w:spacing w:after="240"/>
              <w:jc w:val="center"/>
              <w:rPr>
                <w:rFonts w:ascii="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332B4DA2" w14:textId="548A77DA"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Przy ujawnianiu informacji,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a) ppkt (ii)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 xml:space="preserve">b) CRR, instytucje uwzględniają opis ryzyk objętych </w:t>
            </w:r>
            <w:r w:rsidRPr="00835753">
              <w:rPr>
                <w:rFonts w:ascii="Times New Roman" w:hAnsi="Times New Roman"/>
                <w:sz w:val="24"/>
              </w:rPr>
              <w:lastRenderedPageBreak/>
              <w:t>modelami IRC, wyszczególniając sposób ich rozkładu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tfelach/subportfelach,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których właściwy organ wydał zezwolenie.</w:t>
            </w:r>
          </w:p>
        </w:tc>
      </w:tr>
      <w:tr w:rsidR="00203C1C" w:rsidRPr="00835753"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5447E45A" w:rsidR="00203C1C" w:rsidRPr="00835753" w:rsidRDefault="00B77F75" w:rsidP="00155C96">
            <w:pPr>
              <w:spacing w:after="240"/>
              <w:jc w:val="center"/>
              <w:rPr>
                <w:rFonts w:ascii="Times New Roman" w:hAnsi="Times New Roman" w:cs="Times New Roman"/>
                <w:sz w:val="24"/>
              </w:rPr>
            </w:pPr>
            <w:proofErr w:type="gramStart"/>
            <w:r w:rsidRPr="00835753">
              <w:rPr>
                <w:rFonts w:ascii="Times New Roman" w:hAnsi="Times New Roman"/>
                <w:sz w:val="24"/>
              </w:rPr>
              <w:lastRenderedPageBreak/>
              <w:t>b</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7DE18668" w14:textId="2D147A1B"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b) CRR, obejmują opis zakresu stosowania modelu IRC,</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którego właściwy organ wydał zezwolenie, oraz należy je uzupełnić informacjami na temat tego, które podmioty wchodzące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skł</w:t>
            </w:r>
            <w:r w:rsidRPr="00835753">
              <w:rPr>
                <w:rFonts w:ascii="Times New Roman" w:hAnsi="Times New Roman"/>
                <w:sz w:val="24"/>
              </w:rPr>
              <w:t>ad grupy stosują te modele oraz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im stopniu modele te są reprezentatywne dla wszystkich modeli stosowanych na poziomie grupy, uwzględniając informacje dotyczące odsetka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objętych modelami lub informacje na temat tego, czy wszystkie podmioty posiadające ekspozycję na ryzyko rynkowe stosują te same modele IRC.</w:t>
            </w:r>
          </w:p>
        </w:tc>
      </w:tr>
      <w:tr w:rsidR="00203C1C" w:rsidRPr="00835753"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835753"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5FF7F81" w14:textId="25DF62EF"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Informacje dotyczące cech stosowanych modeli IRC,</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a) ppkt (ii) CRR, obejmują:</w:t>
            </w:r>
          </w:p>
        </w:tc>
      </w:tr>
      <w:tr w:rsidR="00203C1C" w:rsidRPr="00835753"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37DA6290" w:rsidR="00203C1C" w:rsidRPr="00835753" w:rsidRDefault="00B77F75" w:rsidP="00155C96">
            <w:pPr>
              <w:spacing w:after="240"/>
              <w:jc w:val="center"/>
              <w:rPr>
                <w:rFonts w:ascii="Times New Roman" w:hAnsi="Times New Roman" w:cs="Times New Roman"/>
                <w:sz w:val="24"/>
              </w:rPr>
            </w:pPr>
            <w:proofErr w:type="gramStart"/>
            <w:r w:rsidRPr="00835753">
              <w:rPr>
                <w:rFonts w:ascii="Times New Roman" w:hAnsi="Times New Roman"/>
                <w:sz w:val="24"/>
              </w:rPr>
              <w:t>c</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5A0C4EFE" w14:textId="317F734E"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Ogólny opis metodyki stosowanej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wewnętrznych modeli dodatkowego ryzyka niewykonania zobowiązań</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mig</w:t>
            </w:r>
            <w:r w:rsidRPr="00835753">
              <w:rPr>
                <w:rFonts w:ascii="Times New Roman" w:hAnsi="Times New Roman"/>
                <w:sz w:val="24"/>
              </w:rPr>
              <w:t>racji,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w:t>
            </w:r>
          </w:p>
        </w:tc>
      </w:tr>
      <w:tr w:rsidR="00203C1C" w:rsidRPr="00835753"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6BD6E4D4" w:rsidR="00203C1C" w:rsidRPr="00835753" w:rsidRDefault="00B77F75" w:rsidP="00155C96">
            <w:pPr>
              <w:spacing w:after="240"/>
              <w:jc w:val="right"/>
              <w:rPr>
                <w:rFonts w:ascii="Times New Roman" w:hAnsi="Times New Roman" w:cs="Times New Roman"/>
                <w:sz w:val="24"/>
              </w:rPr>
            </w:pPr>
            <w:r w:rsidRPr="00835753">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7DFE3681" w14:textId="26ECA076" w:rsidR="00203C1C" w:rsidRPr="00835753" w:rsidRDefault="00203C1C" w:rsidP="00155C96">
            <w:pPr>
              <w:spacing w:after="240"/>
              <w:ind w:left="280"/>
              <w:jc w:val="both"/>
              <w:rPr>
                <w:rFonts w:ascii="Times New Roman" w:hAnsi="Times New Roman" w:cs="Times New Roman"/>
                <w:sz w:val="24"/>
              </w:rPr>
            </w:pPr>
            <w:r w:rsidRPr="00835753">
              <w:rPr>
                <w:rFonts w:ascii="Times New Roman" w:hAnsi="Times New Roman"/>
                <w:sz w:val="24"/>
              </w:rPr>
              <w:t>Informacje na temat ogólnej metody modelowania (w szczególności informacje dotyczące korzystania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mod</w:t>
            </w:r>
            <w:r w:rsidRPr="00835753">
              <w:rPr>
                <w:rFonts w:ascii="Times New Roman" w:hAnsi="Times New Roman"/>
                <w:sz w:val="24"/>
              </w:rPr>
              <w:t>eli bazujących na spreadach lub</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mod</w:t>
            </w:r>
            <w:r w:rsidRPr="00835753">
              <w:rPr>
                <w:rFonts w:ascii="Times New Roman" w:hAnsi="Times New Roman"/>
                <w:sz w:val="24"/>
              </w:rPr>
              <w:t>eli bazujących na macierzy przejścia);</w:t>
            </w:r>
          </w:p>
        </w:tc>
      </w:tr>
      <w:tr w:rsidR="00203C1C" w:rsidRPr="00835753"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835753" w:rsidRDefault="00B77F75" w:rsidP="00155C96">
            <w:pPr>
              <w:spacing w:after="240"/>
              <w:jc w:val="right"/>
              <w:rPr>
                <w:rFonts w:ascii="Times New Roman" w:hAnsi="Times New Roman" w:cs="Times New Roman"/>
                <w:sz w:val="24"/>
              </w:rPr>
            </w:pPr>
            <w:r w:rsidRPr="00835753">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210F7E57" w14:textId="77777777" w:rsidR="00203C1C" w:rsidRPr="00835753" w:rsidRDefault="00203C1C" w:rsidP="00155C96">
            <w:pPr>
              <w:spacing w:after="240"/>
              <w:ind w:left="280"/>
              <w:jc w:val="both"/>
              <w:rPr>
                <w:rFonts w:ascii="Times New Roman" w:hAnsi="Times New Roman" w:cs="Times New Roman"/>
                <w:sz w:val="24"/>
              </w:rPr>
            </w:pPr>
            <w:proofErr w:type="gramStart"/>
            <w:r w:rsidRPr="00835753">
              <w:rPr>
                <w:rFonts w:ascii="Times New Roman" w:hAnsi="Times New Roman"/>
                <w:sz w:val="24"/>
              </w:rPr>
              <w:t>informacje</w:t>
            </w:r>
            <w:proofErr w:type="gramEnd"/>
            <w:r w:rsidRPr="00835753">
              <w:rPr>
                <w:rFonts w:ascii="Times New Roman" w:hAnsi="Times New Roman"/>
                <w:sz w:val="24"/>
              </w:rPr>
              <w:t xml:space="preserve"> na temat kalibracji macierzy przejścia;</w:t>
            </w:r>
          </w:p>
        </w:tc>
      </w:tr>
      <w:tr w:rsidR="00203C1C" w:rsidRPr="00835753"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835753" w:rsidRDefault="00B77F75" w:rsidP="00155C96">
            <w:pPr>
              <w:spacing w:after="240"/>
              <w:jc w:val="right"/>
              <w:rPr>
                <w:rFonts w:ascii="Times New Roman" w:hAnsi="Times New Roman" w:cs="Times New Roman"/>
                <w:sz w:val="24"/>
              </w:rPr>
            </w:pPr>
            <w:r w:rsidRPr="00835753">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CE80998" w14:textId="77777777" w:rsidR="00203C1C" w:rsidRPr="00835753" w:rsidRDefault="00203C1C" w:rsidP="00155C96">
            <w:pPr>
              <w:spacing w:after="240"/>
              <w:ind w:left="280"/>
              <w:jc w:val="both"/>
              <w:rPr>
                <w:rFonts w:ascii="Times New Roman" w:hAnsi="Times New Roman" w:cs="Times New Roman"/>
                <w:sz w:val="24"/>
              </w:rPr>
            </w:pPr>
            <w:r w:rsidRPr="00835753">
              <w:rPr>
                <w:rFonts w:ascii="Times New Roman" w:hAnsi="Times New Roman"/>
                <w:sz w:val="24"/>
              </w:rPr>
              <w:t>Informacje na temat założeń dotyczących korelacji</w:t>
            </w:r>
          </w:p>
        </w:tc>
      </w:tr>
      <w:tr w:rsidR="00203C1C" w:rsidRPr="00835753"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65764E29" w:rsidR="00203C1C" w:rsidRPr="00835753" w:rsidRDefault="00B77F75" w:rsidP="00155C96">
            <w:pPr>
              <w:spacing w:after="240"/>
              <w:jc w:val="center"/>
              <w:rPr>
                <w:rFonts w:ascii="Times New Roman" w:hAnsi="Times New Roman" w:cs="Times New Roman"/>
                <w:sz w:val="24"/>
              </w:rPr>
            </w:pPr>
            <w:proofErr w:type="gramStart"/>
            <w:r w:rsidRPr="00835753">
              <w:rPr>
                <w:rFonts w:ascii="Times New Roman" w:hAnsi="Times New Roman"/>
                <w:sz w:val="24"/>
              </w:rPr>
              <w:t>d</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50AB1DAE" w14:textId="77777777"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Instytucje uwzględniają opis metody zastosowanej do ustalenia horyzontów płynnościowych.</w:t>
            </w:r>
          </w:p>
        </w:tc>
      </w:tr>
      <w:tr w:rsidR="00203C1C" w:rsidRPr="00835753"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614B2888" w:rsidR="00203C1C" w:rsidRPr="00835753" w:rsidRDefault="00B77F75" w:rsidP="00155C96">
            <w:pPr>
              <w:spacing w:after="240"/>
              <w:jc w:val="center"/>
              <w:rPr>
                <w:rFonts w:ascii="Times New Roman" w:hAnsi="Times New Roman" w:cs="Times New Roman"/>
                <w:sz w:val="24"/>
              </w:rPr>
            </w:pPr>
            <w:proofErr w:type="gramStart"/>
            <w:r w:rsidRPr="00835753">
              <w:rPr>
                <w:rFonts w:ascii="Times New Roman" w:hAnsi="Times New Roman"/>
                <w:sz w:val="24"/>
              </w:rPr>
              <w:t>e</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659DED47" w14:textId="3AED6C50"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Instytucje uwzględniają opis metody zastosowanej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dokonania oceny kapitałowej, która jest spójna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aganą normą ostrożnościową.</w:t>
            </w:r>
          </w:p>
        </w:tc>
      </w:tr>
      <w:tr w:rsidR="00203C1C" w:rsidRPr="00835753"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4EBB610" w:rsidR="00203C1C" w:rsidRPr="00835753" w:rsidRDefault="00B77F75" w:rsidP="00155C96">
            <w:pPr>
              <w:spacing w:after="240"/>
              <w:jc w:val="center"/>
              <w:rPr>
                <w:rFonts w:ascii="Times New Roman" w:hAnsi="Times New Roman" w:cs="Times New Roman"/>
                <w:sz w:val="24"/>
              </w:rPr>
            </w:pPr>
            <w:proofErr w:type="gramStart"/>
            <w:r w:rsidRPr="00835753">
              <w:rPr>
                <w:rFonts w:ascii="Times New Roman" w:hAnsi="Times New Roman"/>
                <w:sz w:val="24"/>
              </w:rPr>
              <w:t>f</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536D330C" w14:textId="77777777"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Instytucje uwzględniają opis metody zastosowanej do walidacji modeli.</w:t>
            </w:r>
          </w:p>
        </w:tc>
      </w:tr>
      <w:tr w:rsidR="00203C1C" w:rsidRPr="00835753"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78A4361D" w:rsidR="00203C1C" w:rsidRPr="00835753" w:rsidRDefault="00B77F75" w:rsidP="00B77F75">
            <w:pPr>
              <w:spacing w:after="240"/>
              <w:jc w:val="center"/>
              <w:rPr>
                <w:rFonts w:ascii="Times New Roman" w:hAnsi="Times New Roman" w:cs="Times New Roman"/>
                <w:sz w:val="24"/>
              </w:rPr>
            </w:pPr>
            <w:proofErr w:type="gramStart"/>
            <w:r w:rsidRPr="00835753">
              <w:rPr>
                <w:rFonts w:ascii="Times New Roman" w:hAnsi="Times New Roman"/>
                <w:sz w:val="24"/>
              </w:rPr>
              <w:t>g</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61FC9626" w14:textId="15F02A66"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a) ppkt (iii) CRR, obejmują opis testów warunków skrajnych zastosowanych do parametrów modelowania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inf</w:t>
            </w:r>
            <w:r w:rsidRPr="00835753">
              <w:rPr>
                <w:rFonts w:ascii="Times New Roman" w:hAnsi="Times New Roman"/>
                <w:sz w:val="24"/>
              </w:rPr>
              <w:t>ormacjami ujawnionymi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B) a) powyżej (główne scenariusze opracowane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ujęcia cech portfeli, do których na poziomie grupy mają zastosowanie modele IRC).</w:t>
            </w:r>
          </w:p>
        </w:tc>
      </w:tr>
      <w:tr w:rsidR="00203C1C" w:rsidRPr="00835753"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3FD21800" w:rsidR="00203C1C" w:rsidRPr="00835753" w:rsidRDefault="00B77F75" w:rsidP="00155C96">
            <w:pPr>
              <w:spacing w:after="240"/>
              <w:jc w:val="center"/>
              <w:rPr>
                <w:rFonts w:ascii="Times New Roman" w:hAnsi="Times New Roman" w:cs="Times New Roman"/>
                <w:sz w:val="24"/>
              </w:rPr>
            </w:pPr>
            <w:proofErr w:type="gramStart"/>
            <w:r w:rsidRPr="00835753">
              <w:rPr>
                <w:rFonts w:ascii="Times New Roman" w:hAnsi="Times New Roman"/>
                <w:sz w:val="24"/>
              </w:rPr>
              <w:t>h</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6E891590" w14:textId="4D67A142"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a) ppkt (iv) CRR, obejmują opis metod zastosowanych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weryfikacji historycznej/weryfikacji dokładności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spó</w:t>
            </w:r>
            <w:r w:rsidRPr="00835753">
              <w:rPr>
                <w:rFonts w:ascii="Times New Roman" w:hAnsi="Times New Roman"/>
                <w:sz w:val="24"/>
              </w:rPr>
              <w:t>jności wewnętrznej danych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par</w:t>
            </w:r>
            <w:r w:rsidRPr="00835753">
              <w:rPr>
                <w:rFonts w:ascii="Times New Roman" w:hAnsi="Times New Roman"/>
                <w:sz w:val="24"/>
              </w:rPr>
              <w:t>ametrów stosowanych na potrzeby modeli wewnętrznych IRC</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pro</w:t>
            </w:r>
            <w:r w:rsidRPr="00835753">
              <w:rPr>
                <w:rFonts w:ascii="Times New Roman" w:hAnsi="Times New Roman"/>
                <w:sz w:val="24"/>
              </w:rPr>
              <w:t>cesów modelowania IRC.</w:t>
            </w:r>
          </w:p>
        </w:tc>
      </w:tr>
      <w:tr w:rsidR="00203C1C" w:rsidRPr="00835753"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79A272A" w:rsidR="00203C1C" w:rsidRPr="00835753" w:rsidRDefault="00B77F75" w:rsidP="00155C96">
            <w:pPr>
              <w:spacing w:after="240"/>
              <w:jc w:val="center"/>
              <w:rPr>
                <w:rFonts w:ascii="Times New Roman" w:hAnsi="Times New Roman" w:cs="Times New Roman"/>
                <w:b/>
                <w:sz w:val="24"/>
              </w:rPr>
            </w:pPr>
            <w:r w:rsidRPr="00835753">
              <w:rPr>
                <w:rFonts w:ascii="Times New Roman" w:hAnsi="Times New Roman"/>
                <w:b/>
                <w:sz w:val="24"/>
              </w:rPr>
              <w:lastRenderedPageBreak/>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7E04AF43"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b/>
                <w:sz w:val="24"/>
              </w:rPr>
              <w:t>Instytucje stosujące modele wewnętrzne do pomiaru wymogów</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funduszy własnych na potrzeby korelacyjnego portfela handlowego (kompleksowa miara ryzyka) zgodnie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czę</w:t>
            </w:r>
            <w:r w:rsidRPr="00835753">
              <w:rPr>
                <w:rFonts w:ascii="Times New Roman" w:hAnsi="Times New Roman"/>
                <w:b/>
                <w:sz w:val="24"/>
              </w:rPr>
              <w:t>ścią trzecią tytuł IV rozdział 5 sekcja 5 CRR</w:t>
            </w:r>
          </w:p>
        </w:tc>
      </w:tr>
      <w:tr w:rsidR="00203C1C" w:rsidRPr="00835753"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3090265D" w:rsidR="00203C1C" w:rsidRPr="00835753" w:rsidRDefault="00B77F75" w:rsidP="00155C96">
            <w:pPr>
              <w:spacing w:after="240"/>
              <w:jc w:val="center"/>
              <w:rPr>
                <w:rFonts w:ascii="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1BC41A5D"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Przy ujawnianiu informacji,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a) ppkt (ii)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b) CRR, instytucje uwzględniają opis ryzyk objętych modelami kompleksowej miary ryzyka, wyszczególniając sposób ich rozkładu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por</w:t>
            </w:r>
            <w:r w:rsidRPr="00835753">
              <w:rPr>
                <w:rFonts w:ascii="Times New Roman" w:hAnsi="Times New Roman"/>
                <w:sz w:val="24"/>
              </w:rPr>
              <w:t>tfelach/subportfelach,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których właściwy organ wydał zezwolenie.</w:t>
            </w:r>
          </w:p>
        </w:tc>
      </w:tr>
      <w:tr w:rsidR="00203C1C" w:rsidRPr="00835753"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31600D18" w:rsidR="00203C1C" w:rsidRPr="00835753" w:rsidRDefault="00B77F75" w:rsidP="00155C96">
            <w:pPr>
              <w:spacing w:after="240"/>
              <w:jc w:val="center"/>
              <w:rPr>
                <w:rFonts w:ascii="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6EB07D4E"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b) CRR, obejmują opis zakresu stosowania modeli kompleksowej miary ryzyka,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których właściwy organ wydał zezwolenie. Należy je uzupełnić informacjami na temat tego, które podmioty wchodzące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skł</w:t>
            </w:r>
            <w:r w:rsidRPr="00835753">
              <w:rPr>
                <w:rFonts w:ascii="Times New Roman" w:hAnsi="Times New Roman"/>
                <w:sz w:val="24"/>
              </w:rPr>
              <w:t>ad grupy stosują te modele oraz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im stopniu modele te są reprezentatywne dla wszystkich modeli stosowanych na poziomie grupy, uwzględniając informacje dotyczące odsetka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objętych modelami lub informacje na temat tego, czy wszystkie podmioty posiadające ekspozycję na ryzyko rynkowe stosują te same modele IRC.</w:t>
            </w:r>
          </w:p>
        </w:tc>
      </w:tr>
      <w:tr w:rsidR="00203C1C" w:rsidRPr="00835753"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835753"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619BC522"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Informacje dotyczące cech stosowanych modeli kompleksowej miary ryzyka,</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a) ppkt (ii) CRR, obejmują:</w:t>
            </w:r>
          </w:p>
        </w:tc>
      </w:tr>
      <w:tr w:rsidR="00203C1C" w:rsidRPr="00835753"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EB5125A" w:rsidR="00203C1C" w:rsidRPr="00835753" w:rsidRDefault="00B77F75" w:rsidP="00155C96">
            <w:pPr>
              <w:spacing w:after="240"/>
              <w:jc w:val="center"/>
              <w:rPr>
                <w:rFonts w:ascii="Times New Roman" w:hAnsi="Times New Roman" w:cs="Times New Roman"/>
                <w:sz w:val="24"/>
              </w:rPr>
            </w:pPr>
            <w:proofErr w:type="gramStart"/>
            <w:r w:rsidRPr="00835753">
              <w:rPr>
                <w:rFonts w:ascii="Times New Roman" w:hAnsi="Times New Roman"/>
                <w:sz w:val="24"/>
              </w:rPr>
              <w:t>c</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785C397B"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Ogólny opis metod stosowanych do transakcji korelacyjnych,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w:t>
            </w:r>
          </w:p>
        </w:tc>
      </w:tr>
      <w:tr w:rsidR="00203C1C" w:rsidRPr="00835753"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1F95D627" w:rsidR="00203C1C" w:rsidRPr="00835753" w:rsidRDefault="00B77F75" w:rsidP="00155C96">
            <w:pPr>
              <w:spacing w:after="240"/>
              <w:jc w:val="right"/>
              <w:rPr>
                <w:rFonts w:ascii="Times New Roman" w:hAnsi="Times New Roman" w:cs="Times New Roman"/>
                <w:sz w:val="24"/>
              </w:rPr>
            </w:pPr>
            <w:r w:rsidRPr="00835753">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690A4E9E" w:rsidR="00203C1C" w:rsidRPr="00835753" w:rsidRDefault="00203C1C" w:rsidP="00155C96">
            <w:pPr>
              <w:spacing w:after="240"/>
              <w:ind w:left="280"/>
              <w:jc w:val="both"/>
              <w:rPr>
                <w:rFonts w:ascii="Times New Roman" w:hAnsi="Times New Roman" w:cs="Times New Roman"/>
                <w:sz w:val="24"/>
              </w:rPr>
            </w:pPr>
            <w:r w:rsidRPr="00835753">
              <w:rPr>
                <w:rFonts w:ascii="Times New Roman" w:hAnsi="Times New Roman"/>
                <w:sz w:val="24"/>
              </w:rPr>
              <w:t>Informacje na temat ogólnej metody modelowania (wybór korelacji modelu między niewykonaniem zobowiązań/migracjami</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eadem: (i) odrębne, ale skorelowane procesy stochastyczne wpływające na migrację/niewykonanie zobowiązań</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wah</w:t>
            </w:r>
            <w:r w:rsidRPr="00835753">
              <w:rPr>
                <w:rFonts w:ascii="Times New Roman" w:hAnsi="Times New Roman"/>
                <w:sz w:val="24"/>
              </w:rPr>
              <w:t>ania spreadu; (ii) zmiany spreadu wpływające na migrację/niewykonanie zobowiązań; lub (iii) niewykonanie zobowiązań/migracje wpływające na zmiany spreadu);</w:t>
            </w:r>
          </w:p>
        </w:tc>
      </w:tr>
      <w:tr w:rsidR="00203C1C" w:rsidRPr="00835753"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835753" w:rsidRDefault="00B77F75" w:rsidP="00155C96">
            <w:pPr>
              <w:spacing w:after="240"/>
              <w:jc w:val="right"/>
              <w:rPr>
                <w:rFonts w:ascii="Times New Roman" w:hAnsi="Times New Roman" w:cs="Times New Roman"/>
                <w:sz w:val="24"/>
              </w:rPr>
            </w:pPr>
            <w:r w:rsidRPr="00835753">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099FB947" w14:textId="77777777" w:rsidR="00203C1C" w:rsidRPr="00835753" w:rsidRDefault="00203C1C" w:rsidP="00155C96">
            <w:pPr>
              <w:spacing w:after="240"/>
              <w:ind w:left="280"/>
              <w:jc w:val="both"/>
              <w:rPr>
                <w:rFonts w:ascii="Times New Roman" w:hAnsi="Times New Roman" w:cs="Times New Roman"/>
                <w:sz w:val="24"/>
              </w:rPr>
            </w:pPr>
            <w:proofErr w:type="gramStart"/>
            <w:r w:rsidRPr="00835753">
              <w:rPr>
                <w:rFonts w:ascii="Times New Roman" w:hAnsi="Times New Roman"/>
                <w:sz w:val="24"/>
              </w:rPr>
              <w:t>informacje</w:t>
            </w:r>
            <w:proofErr w:type="gramEnd"/>
            <w:r w:rsidRPr="00835753">
              <w:rPr>
                <w:rFonts w:ascii="Times New Roman" w:hAnsi="Times New Roman"/>
                <w:sz w:val="24"/>
              </w:rPr>
              <w:t xml:space="preserve"> stosowane do kalibracji parametrów korelacji bazowej: wycena LGD transz (stała lub stochastyczna);</w:t>
            </w:r>
          </w:p>
        </w:tc>
      </w:tr>
      <w:tr w:rsidR="00203C1C" w:rsidRPr="00835753"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835753" w:rsidRDefault="00B77F75" w:rsidP="00155C96">
            <w:pPr>
              <w:spacing w:after="240"/>
              <w:jc w:val="right"/>
              <w:rPr>
                <w:rFonts w:ascii="Times New Roman" w:hAnsi="Times New Roman" w:cs="Times New Roman"/>
                <w:sz w:val="24"/>
              </w:rPr>
            </w:pPr>
            <w:r w:rsidRPr="00835753">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47B3BA0" w14:textId="20EDC1BD" w:rsidR="00203C1C" w:rsidRPr="00835753" w:rsidRDefault="00203C1C" w:rsidP="00155C96">
            <w:pPr>
              <w:spacing w:after="240"/>
              <w:ind w:left="280"/>
              <w:jc w:val="both"/>
              <w:rPr>
                <w:rFonts w:ascii="Times New Roman" w:hAnsi="Times New Roman" w:cs="Times New Roman"/>
                <w:sz w:val="24"/>
              </w:rPr>
            </w:pPr>
            <w:proofErr w:type="gramStart"/>
            <w:r w:rsidRPr="00835753">
              <w:rPr>
                <w:rFonts w:ascii="Times New Roman" w:hAnsi="Times New Roman"/>
                <w:sz w:val="24"/>
              </w:rPr>
              <w:t>informacje</w:t>
            </w:r>
            <w:proofErr w:type="gramEnd"/>
            <w:r w:rsidRPr="00835753">
              <w:rPr>
                <w:rFonts w:ascii="Times New Roman" w:hAnsi="Times New Roman"/>
                <w:sz w:val="24"/>
              </w:rPr>
              <w:t xml:space="preserve"> na temat decyzji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kwe</w:t>
            </w:r>
            <w:r w:rsidRPr="00835753">
              <w:rPr>
                <w:rFonts w:ascii="Times New Roman" w:hAnsi="Times New Roman"/>
                <w:sz w:val="24"/>
              </w:rPr>
              <w:t>stii ustalania struktury pozycji według terminów zapadalności (zyski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str</w:t>
            </w:r>
            <w:r w:rsidRPr="00835753">
              <w:rPr>
                <w:rFonts w:ascii="Times New Roman" w:hAnsi="Times New Roman"/>
                <w:sz w:val="24"/>
              </w:rPr>
              <w:t>aty określone na podstawie symulacji zmian rynkowych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mod</w:t>
            </w:r>
            <w:r w:rsidRPr="00835753">
              <w:rPr>
                <w:rFonts w:ascii="Times New Roman" w:hAnsi="Times New Roman"/>
                <w:sz w:val="24"/>
              </w:rPr>
              <w:t>elu obliczone na podstawie czasu pozostałego do wygaśnięcia poszczególnych pozycji na koniec 1-rocznego horyzontu kapitałowego lub na podstawie czasu pozostałego do ich wygaśnięcia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dni</w:t>
            </w:r>
            <w:r w:rsidRPr="00835753">
              <w:rPr>
                <w:rFonts w:ascii="Times New Roman" w:hAnsi="Times New Roman"/>
                <w:sz w:val="24"/>
              </w:rPr>
              <w:t>u dokonywania obliczeń);</w:t>
            </w:r>
          </w:p>
        </w:tc>
      </w:tr>
      <w:tr w:rsidR="00203C1C" w:rsidRPr="00835753"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4461DE01" w:rsidR="00203C1C" w:rsidRPr="00835753" w:rsidRDefault="00B77F75" w:rsidP="00155C96">
            <w:pPr>
              <w:spacing w:after="240"/>
              <w:jc w:val="center"/>
              <w:rPr>
                <w:rFonts w:ascii="Times New Roman" w:hAnsi="Times New Roman" w:cs="Times New Roman"/>
                <w:sz w:val="24"/>
              </w:rPr>
            </w:pPr>
            <w:proofErr w:type="gramStart"/>
            <w:r w:rsidRPr="00835753">
              <w:rPr>
                <w:rFonts w:ascii="Times New Roman" w:hAnsi="Times New Roman"/>
                <w:sz w:val="24"/>
              </w:rPr>
              <w:t>d</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Instytucje uwzględniają opis metody zastosowanej do ustalenia horyzontów płynnościowych.</w:t>
            </w:r>
          </w:p>
        </w:tc>
      </w:tr>
      <w:tr w:rsidR="00203C1C" w:rsidRPr="00835753"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4B9F9FEA" w:rsidR="00203C1C" w:rsidRPr="00835753" w:rsidRDefault="00B77F75" w:rsidP="00155C96">
            <w:pPr>
              <w:spacing w:after="240"/>
              <w:jc w:val="center"/>
              <w:rPr>
                <w:rFonts w:ascii="Times New Roman" w:hAnsi="Times New Roman" w:cs="Times New Roman"/>
                <w:sz w:val="24"/>
              </w:rPr>
            </w:pPr>
            <w:proofErr w:type="gramStart"/>
            <w:r w:rsidRPr="00835753">
              <w:rPr>
                <w:rFonts w:ascii="Times New Roman" w:hAnsi="Times New Roman"/>
                <w:sz w:val="24"/>
              </w:rPr>
              <w:t>e</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1937A552" w14:textId="4F74BAEC"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Instytucje uwzględniają opis metody stosowanej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dokonania oceny kapitałowej, która jest spójna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aganą normą ostrożnościową.</w:t>
            </w:r>
          </w:p>
        </w:tc>
      </w:tr>
      <w:tr w:rsidR="00203C1C" w:rsidRPr="00835753"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75E80D7F" w:rsidR="00203C1C" w:rsidRPr="00835753" w:rsidRDefault="00B77F75" w:rsidP="00155C96">
            <w:pPr>
              <w:spacing w:after="240"/>
              <w:jc w:val="center"/>
              <w:rPr>
                <w:rFonts w:ascii="Times New Roman" w:hAnsi="Times New Roman" w:cs="Times New Roman"/>
                <w:sz w:val="24"/>
              </w:rPr>
            </w:pPr>
            <w:proofErr w:type="gramStart"/>
            <w:r w:rsidRPr="00835753">
              <w:rPr>
                <w:rFonts w:ascii="Times New Roman" w:hAnsi="Times New Roman"/>
                <w:sz w:val="24"/>
              </w:rPr>
              <w:lastRenderedPageBreak/>
              <w:t>f</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Instytucje uwzględniają opis metody zastosowanej do walidacji modeli.</w:t>
            </w:r>
          </w:p>
        </w:tc>
      </w:tr>
      <w:tr w:rsidR="00203C1C" w:rsidRPr="00835753"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7316A6E9" w:rsidR="00203C1C" w:rsidRPr="00835753" w:rsidRDefault="00B77F75" w:rsidP="00B77F75">
            <w:pPr>
              <w:spacing w:after="240"/>
              <w:jc w:val="center"/>
              <w:rPr>
                <w:rFonts w:ascii="Times New Roman" w:hAnsi="Times New Roman" w:cs="Times New Roman"/>
                <w:sz w:val="24"/>
              </w:rPr>
            </w:pPr>
            <w:proofErr w:type="gramStart"/>
            <w:r w:rsidRPr="00835753">
              <w:rPr>
                <w:rFonts w:ascii="Times New Roman" w:hAnsi="Times New Roman"/>
                <w:sz w:val="24"/>
              </w:rPr>
              <w:t>g</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2837572F" w14:textId="7826A31C"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a) ppkt (iii) CRR, obejmują opis na poziomie grupy (główne scenariusze opracowane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ujęcia cech portfeli, do których na poziomie grupy mają zastosowanie modele kompleksowej miary ryzyka).</w:t>
            </w:r>
          </w:p>
        </w:tc>
      </w:tr>
      <w:tr w:rsidR="00203C1C" w:rsidRPr="00835753"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6BBFFAAC" w:rsidR="00203C1C" w:rsidRPr="00835753" w:rsidRDefault="00B77F75" w:rsidP="00155C96">
            <w:pPr>
              <w:spacing w:after="240"/>
              <w:jc w:val="center"/>
              <w:rPr>
                <w:rFonts w:ascii="Times New Roman" w:hAnsi="Times New Roman" w:cs="Times New Roman"/>
                <w:sz w:val="24"/>
              </w:rPr>
            </w:pPr>
            <w:proofErr w:type="gramStart"/>
            <w:r w:rsidRPr="00835753">
              <w:rPr>
                <w:rFonts w:ascii="Times New Roman" w:hAnsi="Times New Roman"/>
                <w:sz w:val="24"/>
              </w:rPr>
              <w:t>h</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67CA53E4" w14:textId="78499EA9"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a) ppkt (iv) CRR, obejmują opis metod zastosowanych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weryfikacji historycznej lub weryfikacji dokładności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spó</w:t>
            </w:r>
            <w:r w:rsidRPr="00835753">
              <w:rPr>
                <w:rFonts w:ascii="Times New Roman" w:hAnsi="Times New Roman"/>
                <w:sz w:val="24"/>
              </w:rPr>
              <w:t>jności wewnętrznej danych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par</w:t>
            </w:r>
            <w:r w:rsidRPr="00835753">
              <w:rPr>
                <w:rFonts w:ascii="Times New Roman" w:hAnsi="Times New Roman"/>
                <w:sz w:val="24"/>
              </w:rPr>
              <w:t>ametrów stosowanych na potrzeby modeli wewnętrznych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pro</w:t>
            </w:r>
            <w:r w:rsidRPr="00835753">
              <w:rPr>
                <w:rFonts w:ascii="Times New Roman" w:hAnsi="Times New Roman"/>
                <w:sz w:val="24"/>
              </w:rPr>
              <w:t>cesów modelowania kompleksowej miary ryzyka.</w:t>
            </w:r>
          </w:p>
        </w:tc>
      </w:tr>
      <w:tr w:rsidR="00203C1C" w:rsidRPr="00835753"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03316297" w:rsidR="00203C1C" w:rsidRPr="00835753" w:rsidRDefault="00B77F75" w:rsidP="00155C96">
            <w:pPr>
              <w:spacing w:after="240"/>
              <w:jc w:val="center"/>
              <w:rPr>
                <w:rFonts w:ascii="Times New Roman" w:hAnsi="Times New Roman" w:cs="Times New Roman"/>
                <w:sz w:val="24"/>
              </w:rPr>
            </w:pPr>
            <w:r w:rsidRPr="00835753">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6E294719" w14:textId="7D6CF055" w:rsidR="00203C1C" w:rsidRPr="00835753" w:rsidRDefault="00203C1C" w:rsidP="00B66069">
            <w:pPr>
              <w:spacing w:after="240"/>
              <w:jc w:val="both"/>
              <w:rPr>
                <w:rFonts w:ascii="Times New Roman" w:hAnsi="Times New Roman" w:cs="Times New Roman"/>
                <w:sz w:val="24"/>
              </w:rPr>
            </w:pPr>
            <w:r w:rsidRPr="00835753">
              <w:rPr>
                <w:rFonts w:ascii="Times New Roman" w:hAnsi="Times New Roman"/>
                <w:sz w:val="24"/>
              </w:rPr>
              <w:t>Instytucje uzupełniają ujawniane informacje dotyczące modeli wewnętrznych odnoszących się do dodatkowego ryzyka niewykonania zobowiązań</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mig</w:t>
            </w:r>
            <w:r w:rsidRPr="00835753">
              <w:rPr>
                <w:rFonts w:ascii="Times New Roman" w:hAnsi="Times New Roman"/>
                <w:sz w:val="24"/>
              </w:rPr>
              <w:t>racji oraz korelacyjnych portfeli handlowych informacjami dotyczącymi średniego ważonego horyzontu płynnościowego dla subportfeli,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f) CRR,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opi</w:t>
            </w:r>
            <w:r w:rsidRPr="00835753">
              <w:rPr>
                <w:rFonts w:ascii="Times New Roman" w:hAnsi="Times New Roman"/>
                <w:sz w:val="24"/>
              </w:rPr>
              <w:t>sem przedstawionym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rszach B) a) i d) oraz C) a) i 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tab</w:t>
            </w:r>
            <w:r w:rsidRPr="00835753">
              <w:rPr>
                <w:rFonts w:ascii="Times New Roman" w:hAnsi="Times New Roman"/>
                <w:sz w:val="24"/>
              </w:rPr>
              <w:t>eli EU MRB.</w:t>
            </w:r>
          </w:p>
        </w:tc>
      </w:tr>
    </w:tbl>
    <w:p w14:paraId="5AD1417E" w14:textId="27ED68E6" w:rsidR="00203C1C" w:rsidRPr="00835753" w:rsidRDefault="00203C1C" w:rsidP="00203C1C">
      <w:pPr>
        <w:pStyle w:val="Titlelevel2"/>
        <w:spacing w:before="0"/>
        <w:rPr>
          <w:rFonts w:ascii="Times New Roman" w:hAnsi="Times New Roman" w:cs="Times New Roman"/>
          <w:color w:val="auto"/>
          <w:sz w:val="24"/>
        </w:rPr>
      </w:pPr>
      <w:r w:rsidRPr="00835753">
        <w:rPr>
          <w:rFonts w:ascii="Times New Roman" w:hAnsi="Times New Roman"/>
          <w:b/>
          <w:color w:val="auto"/>
          <w:sz w:val="24"/>
        </w:rPr>
        <w:t>Wzór EU MR2-A – Ryzyko rynkowe</w:t>
      </w:r>
      <w:r w:rsidR="00835753" w:rsidRPr="00835753">
        <w:rPr>
          <w:rFonts w:ascii="Times New Roman" w:hAnsi="Times New Roman"/>
          <w:b/>
          <w:color w:val="auto"/>
          <w:sz w:val="24"/>
        </w:rPr>
        <w:t xml:space="preserve"> w</w:t>
      </w:r>
      <w:r w:rsidR="00835753">
        <w:rPr>
          <w:rFonts w:ascii="Times New Roman" w:hAnsi="Times New Roman"/>
          <w:b/>
          <w:color w:val="auto"/>
          <w:sz w:val="24"/>
        </w:rPr>
        <w:t> </w:t>
      </w:r>
      <w:r w:rsidR="00835753" w:rsidRPr="00835753">
        <w:rPr>
          <w:rFonts w:ascii="Times New Roman" w:hAnsi="Times New Roman"/>
          <w:b/>
          <w:color w:val="auto"/>
          <w:sz w:val="24"/>
        </w:rPr>
        <w:t>ram</w:t>
      </w:r>
      <w:r w:rsidRPr="00835753">
        <w:rPr>
          <w:rFonts w:ascii="Times New Roman" w:hAnsi="Times New Roman"/>
          <w:b/>
          <w:color w:val="auto"/>
          <w:sz w:val="24"/>
        </w:rPr>
        <w:t>ach metody modeli wewnętrznych.</w:t>
      </w:r>
      <w:r w:rsidRPr="00835753">
        <w:rPr>
          <w:rFonts w:ascii="Times New Roman" w:hAnsi="Times New Roman"/>
          <w:color w:val="auto"/>
          <w:sz w:val="24"/>
        </w:rPr>
        <w:t xml:space="preserve"> Format stały</w:t>
      </w:r>
    </w:p>
    <w:p w14:paraId="28CA69C6" w14:textId="0C0B70D3" w:rsidR="00203C1C" w:rsidRPr="00835753" w:rsidRDefault="00203C1C" w:rsidP="00203C1C">
      <w:pPr>
        <w:pStyle w:val="Titlelevel2"/>
        <w:numPr>
          <w:ilvl w:val="0"/>
          <w:numId w:val="60"/>
        </w:numPr>
        <w:spacing w:before="0"/>
        <w:jc w:val="both"/>
        <w:rPr>
          <w:rFonts w:ascii="Times New Roman" w:hAnsi="Times New Roman" w:cs="Times New Roman"/>
          <w:b/>
          <w:color w:val="auto"/>
          <w:sz w:val="24"/>
        </w:rPr>
      </w:pPr>
      <w:r w:rsidRPr="00835753">
        <w:rPr>
          <w:rFonts w:ascii="Times New Roman" w:hAnsi="Times New Roman"/>
          <w:bCs w:val="0"/>
          <w:color w:val="000000"/>
          <w:sz w:val="24"/>
        </w:rPr>
        <w:t>W celu wypełnienia wzoru EU MR2-A zamieszczonego</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ączniku XXIX do niniejszego rozporządzenia wykonawczego instytucje ujawniają informacje,</w:t>
      </w:r>
      <w:r w:rsidR="00835753" w:rsidRPr="00835753">
        <w:rPr>
          <w:rFonts w:ascii="Times New Roman" w:hAnsi="Times New Roman"/>
          <w:bCs w:val="0"/>
          <w:color w:val="000000"/>
          <w:sz w:val="24"/>
        </w:rPr>
        <w:t xml:space="preserve"> o</w:t>
      </w:r>
      <w:r w:rsidR="00835753">
        <w:rPr>
          <w:rFonts w:ascii="Times New Roman" w:hAnsi="Times New Roman"/>
          <w:bCs w:val="0"/>
          <w:color w:val="000000"/>
          <w:sz w:val="24"/>
        </w:rPr>
        <w:t> </w:t>
      </w:r>
      <w:r w:rsidR="00835753" w:rsidRPr="00835753">
        <w:rPr>
          <w:rFonts w:ascii="Times New Roman" w:hAnsi="Times New Roman"/>
          <w:bCs w:val="0"/>
          <w:color w:val="000000"/>
          <w:sz w:val="24"/>
        </w:rPr>
        <w:t>któ</w:t>
      </w:r>
      <w:r w:rsidRPr="00835753">
        <w:rPr>
          <w:rFonts w:ascii="Times New Roman" w:hAnsi="Times New Roman"/>
          <w:bCs w:val="0"/>
          <w:color w:val="000000"/>
          <w:sz w:val="24"/>
        </w:rPr>
        <w:t>rych mowa</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455 lit.</w:t>
      </w:r>
      <w:r w:rsidR="00835753" w:rsidRPr="00835753">
        <w:rPr>
          <w:rFonts w:ascii="Times New Roman" w:hAnsi="Times New Roman"/>
          <w:bCs w:val="0"/>
          <w:color w:val="000000"/>
          <w:sz w:val="24"/>
        </w:rPr>
        <w:t> </w:t>
      </w:r>
      <w:r w:rsidRPr="00835753">
        <w:rPr>
          <w:rFonts w:ascii="Times New Roman" w:hAnsi="Times New Roman"/>
          <w:bCs w:val="0"/>
          <w:color w:val="000000"/>
          <w:sz w:val="24"/>
        </w:rPr>
        <w:t>e) CRR,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pon</w:t>
      </w:r>
      <w:r w:rsidRPr="00835753">
        <w:rPr>
          <w:rFonts w:ascii="Times New Roman" w:hAnsi="Times New Roman"/>
          <w:bCs w:val="0"/>
          <w:color w:val="000000"/>
          <w:sz w:val="24"/>
        </w:rPr>
        <w:t>iższymi instrukcjami zawartymi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załączniku.</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835753"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53FA11BD"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203C1C" w:rsidRPr="00835753"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Numer wiersza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Wyjaśnienie</w:t>
            </w:r>
          </w:p>
        </w:tc>
      </w:tr>
      <w:tr w:rsidR="00203C1C" w:rsidRPr="00835753"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835753" w:rsidRDefault="00305345" w:rsidP="00155C96">
            <w:pPr>
              <w:spacing w:after="240"/>
              <w:jc w:val="center"/>
              <w:rPr>
                <w:rFonts w:ascii="Times New Roman" w:hAnsi="Times New Roman" w:cs="Times New Roman"/>
                <w:b/>
                <w:sz w:val="24"/>
              </w:rPr>
            </w:pPr>
            <w:r w:rsidRPr="00835753">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49A9436A" w14:textId="5FA950DA"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VaR</w:t>
            </w:r>
            <w:r w:rsidRPr="00835753">
              <w:rPr>
                <w:rFonts w:ascii="Times New Roman" w:hAnsi="Times New Roman"/>
                <w:sz w:val="24"/>
              </w:rPr>
              <w:t xml:space="preserve"> (wyższa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tości a i b)</w:t>
            </w:r>
          </w:p>
        </w:tc>
      </w:tr>
      <w:tr w:rsidR="00203C1C" w:rsidRPr="00835753"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835753" w:rsidRDefault="00203C1C" w:rsidP="005F06BF">
            <w:pPr>
              <w:spacing w:after="240"/>
              <w:jc w:val="right"/>
              <w:rPr>
                <w:rFonts w:ascii="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68AB70C4" w14:textId="08D854FA" w:rsidR="008D4828" w:rsidRPr="00835753" w:rsidRDefault="008D4828" w:rsidP="00EE0AA4">
            <w:pPr>
              <w:autoSpaceDE w:val="0"/>
              <w:autoSpaceDN w:val="0"/>
              <w:adjustRightInd w:val="0"/>
              <w:spacing w:after="240"/>
              <w:jc w:val="both"/>
              <w:rPr>
                <w:rFonts w:ascii="Times New Roman" w:hAnsi="Times New Roman" w:cs="Times New Roman"/>
                <w:i/>
                <w:sz w:val="24"/>
              </w:rPr>
            </w:pPr>
            <w:r w:rsidRPr="00835753">
              <w:rPr>
                <w:rFonts w:ascii="Times New Roman" w:hAnsi="Times New Roman"/>
                <w:i/>
                <w:sz w:val="24"/>
              </w:rPr>
              <w:t>Wartość zagrożona</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pop</w:t>
            </w:r>
            <w:r w:rsidRPr="00835753">
              <w:rPr>
                <w:rFonts w:ascii="Times New Roman" w:hAnsi="Times New Roman"/>
                <w:i/>
                <w:sz w:val="24"/>
              </w:rPr>
              <w:t>rzedniego dnia (VaRt-1)</w:t>
            </w:r>
          </w:p>
          <w:p w14:paraId="2904A28F" w14:textId="484D68D4" w:rsidR="00203C1C" w:rsidRPr="00835753" w:rsidRDefault="00203C1C" w:rsidP="00EE0AA4">
            <w:pPr>
              <w:autoSpaceDE w:val="0"/>
              <w:autoSpaceDN w:val="0"/>
              <w:adjustRightInd w:val="0"/>
              <w:spacing w:after="240"/>
              <w:jc w:val="both"/>
              <w:rPr>
                <w:rFonts w:ascii="Times New Roman" w:hAnsi="Times New Roman" w:cs="Times New Roman"/>
                <w:sz w:val="24"/>
              </w:rPr>
            </w:pPr>
            <w:r w:rsidRPr="00835753">
              <w:rPr>
                <w:rFonts w:ascii="Times New Roman" w:hAnsi="Times New Roman"/>
                <w:sz w:val="24"/>
              </w:rPr>
              <w:t>Miara wartości zagrożonej</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pop</w:t>
            </w:r>
            <w:r w:rsidRPr="00835753">
              <w:rPr>
                <w:rFonts w:ascii="Times New Roman" w:hAnsi="Times New Roman"/>
                <w:sz w:val="24"/>
              </w:rPr>
              <w:t>rzedniego dnia (VaR</w:t>
            </w:r>
            <w:r w:rsidRPr="00835753">
              <w:rPr>
                <w:rFonts w:ascii="Times New Roman" w:hAnsi="Times New Roman"/>
                <w:sz w:val="24"/>
                <w:vertAlign w:val="subscript"/>
              </w:rPr>
              <w:t>t-1</w:t>
            </w:r>
            <w:r w:rsidRPr="00835753">
              <w:rPr>
                <w:rFonts w:ascii="Times New Roman" w:hAnsi="Times New Roman"/>
                <w:sz w:val="24"/>
              </w:rPr>
              <w:t>)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365 ust.</w:t>
            </w:r>
            <w:r w:rsidR="00835753" w:rsidRPr="00835753">
              <w:rPr>
                <w:rFonts w:ascii="Times New Roman" w:hAnsi="Times New Roman"/>
                <w:sz w:val="24"/>
              </w:rPr>
              <w:t> </w:t>
            </w:r>
            <w:r w:rsidRPr="00835753">
              <w:rPr>
                <w:rFonts w:ascii="Times New Roman" w:hAnsi="Times New Roman"/>
                <w:sz w:val="24"/>
              </w:rPr>
              <w:t>1 CRR</w:t>
            </w:r>
          </w:p>
        </w:tc>
      </w:tr>
      <w:tr w:rsidR="00203C1C" w:rsidRPr="00835753"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835753" w:rsidRDefault="00203C1C" w:rsidP="005F06BF">
            <w:pPr>
              <w:spacing w:after="240"/>
              <w:jc w:val="right"/>
              <w:rPr>
                <w:rFonts w:ascii="Times New Roman" w:hAnsi="Times New Roman" w:cs="Times New Roman"/>
                <w:b/>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3947D49D" w14:textId="10EE7E53" w:rsidR="008D4828" w:rsidRPr="00835753" w:rsidRDefault="008D4828" w:rsidP="00155C96">
            <w:pPr>
              <w:spacing w:after="240"/>
              <w:jc w:val="both"/>
              <w:rPr>
                <w:rFonts w:ascii="Times New Roman" w:hAnsi="Times New Roman" w:cs="Times New Roman"/>
                <w:i/>
                <w:sz w:val="24"/>
              </w:rPr>
            </w:pPr>
            <w:r w:rsidRPr="00835753">
              <w:rPr>
                <w:rFonts w:ascii="Times New Roman" w:hAnsi="Times New Roman"/>
                <w:i/>
                <w:sz w:val="24"/>
              </w:rPr>
              <w:t>Mnożnik (mc) x średnia</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pop</w:t>
            </w:r>
            <w:r w:rsidRPr="00835753">
              <w:rPr>
                <w:rFonts w:ascii="Times New Roman" w:hAnsi="Times New Roman"/>
                <w:i/>
                <w:sz w:val="24"/>
              </w:rPr>
              <w:t>rzednich 60 dni roboczych (VaRavg)</w:t>
            </w:r>
          </w:p>
          <w:p w14:paraId="0F358415" w14:textId="10A3DFD3"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Średnia dziennych miar wartości zagrożonej obliczonych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365 ust.</w:t>
            </w:r>
            <w:r w:rsidR="00835753" w:rsidRPr="00835753">
              <w:rPr>
                <w:rFonts w:ascii="Times New Roman" w:hAnsi="Times New Roman"/>
                <w:sz w:val="24"/>
              </w:rPr>
              <w:t> </w:t>
            </w:r>
            <w:r w:rsidRPr="00835753">
              <w:rPr>
                <w:rFonts w:ascii="Times New Roman" w:hAnsi="Times New Roman"/>
                <w:sz w:val="24"/>
              </w:rPr>
              <w:t>1 osobno dla wszystkich poprzedzających 60 dni roboczych (VaR</w:t>
            </w:r>
            <w:r w:rsidRPr="00835753">
              <w:rPr>
                <w:rFonts w:ascii="Times New Roman" w:hAnsi="Times New Roman"/>
                <w:sz w:val="24"/>
                <w:vertAlign w:val="subscript"/>
              </w:rPr>
              <w:t>avg</w:t>
            </w:r>
            <w:r w:rsidRPr="00835753">
              <w:rPr>
                <w:rFonts w:ascii="Times New Roman" w:hAnsi="Times New Roman"/>
                <w:sz w:val="24"/>
              </w:rPr>
              <w:t>) pomnożona przez mnożnik (mc)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366 CRR</w:t>
            </w:r>
          </w:p>
        </w:tc>
      </w:tr>
      <w:tr w:rsidR="00203C1C" w:rsidRPr="00835753"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835753" w:rsidRDefault="00305345" w:rsidP="00155C96">
            <w:pPr>
              <w:spacing w:after="240"/>
              <w:jc w:val="center"/>
              <w:rPr>
                <w:rFonts w:ascii="Times New Roman" w:hAnsi="Times New Roman" w:cs="Times New Roman"/>
                <w:b/>
                <w:sz w:val="24"/>
              </w:rPr>
            </w:pPr>
            <w:r w:rsidRPr="00835753">
              <w:rPr>
                <w:rFonts w:ascii="Times New Roman" w:hAnsi="Times New Roman"/>
                <w:b/>
                <w:sz w:val="24"/>
              </w:rPr>
              <w:t>2</w:t>
            </w:r>
          </w:p>
        </w:tc>
        <w:tc>
          <w:tcPr>
            <w:tcW w:w="7242" w:type="dxa"/>
            <w:tcBorders>
              <w:top w:val="single" w:sz="4" w:space="0" w:color="auto"/>
              <w:left w:val="single" w:sz="4" w:space="0" w:color="auto"/>
              <w:bottom w:val="single" w:sz="4" w:space="0" w:color="auto"/>
              <w:right w:val="single" w:sz="4" w:space="0" w:color="auto"/>
            </w:tcBorders>
          </w:tcPr>
          <w:p w14:paraId="10A106B0" w14:textId="1E901AF9"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 xml:space="preserve">SVaR </w:t>
            </w:r>
            <w:r w:rsidRPr="00835753">
              <w:rPr>
                <w:rFonts w:ascii="Times New Roman" w:hAnsi="Times New Roman"/>
                <w:sz w:val="24"/>
              </w:rPr>
              <w:t>(wyższa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tości a i b)</w:t>
            </w:r>
          </w:p>
        </w:tc>
      </w:tr>
      <w:tr w:rsidR="00203C1C" w:rsidRPr="00835753"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835753" w:rsidRDefault="00203C1C" w:rsidP="005F06BF">
            <w:pPr>
              <w:spacing w:after="240"/>
              <w:jc w:val="right"/>
              <w:rPr>
                <w:rFonts w:ascii="Times New Roman" w:hAnsi="Times New Roman" w:cs="Times New Roman"/>
                <w:b/>
                <w:sz w:val="24"/>
              </w:rPr>
            </w:pPr>
            <w:proofErr w:type="gramStart"/>
            <w:r w:rsidRPr="00835753">
              <w:rPr>
                <w:rFonts w:ascii="Times New Roman" w:hAnsi="Times New Roman"/>
                <w:sz w:val="24"/>
              </w:rPr>
              <w:lastRenderedPageBreak/>
              <w:t>a</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74216442" w14:textId="78A17C14" w:rsidR="008D4828" w:rsidRPr="00835753" w:rsidRDefault="008D4828" w:rsidP="00155C96">
            <w:pPr>
              <w:autoSpaceDE w:val="0"/>
              <w:autoSpaceDN w:val="0"/>
              <w:adjustRightInd w:val="0"/>
              <w:spacing w:after="240"/>
              <w:jc w:val="both"/>
              <w:rPr>
                <w:rFonts w:ascii="Times New Roman" w:hAnsi="Times New Roman" w:cs="Times New Roman"/>
                <w:i/>
                <w:sz w:val="24"/>
              </w:rPr>
            </w:pPr>
            <w:r w:rsidRPr="00835753">
              <w:rPr>
                <w:rFonts w:ascii="Times New Roman" w:hAnsi="Times New Roman"/>
                <w:i/>
                <w:sz w:val="24"/>
              </w:rPr>
              <w:t>Najnowsza dostępna SVaR (SVaRt-1))</w:t>
            </w:r>
          </w:p>
          <w:p w14:paraId="06B35619" w14:textId="50BD8B3A" w:rsidR="00203C1C" w:rsidRPr="00835753" w:rsidRDefault="00203C1C" w:rsidP="00155C96">
            <w:pPr>
              <w:autoSpaceDE w:val="0"/>
              <w:autoSpaceDN w:val="0"/>
              <w:adjustRightInd w:val="0"/>
              <w:spacing w:after="240"/>
              <w:jc w:val="both"/>
              <w:rPr>
                <w:rFonts w:ascii="Times New Roman" w:hAnsi="Times New Roman" w:cs="Times New Roman"/>
                <w:b/>
                <w:sz w:val="24"/>
              </w:rPr>
            </w:pPr>
            <w:r w:rsidRPr="00835753">
              <w:rPr>
                <w:rFonts w:ascii="Times New Roman" w:hAnsi="Times New Roman"/>
                <w:sz w:val="24"/>
              </w:rPr>
              <w:t>Ostatnia dostępna miara wartości zagrożonej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unkach skrajnych (sVaR</w:t>
            </w:r>
            <w:r w:rsidRPr="00835753">
              <w:rPr>
                <w:rFonts w:ascii="Times New Roman" w:hAnsi="Times New Roman"/>
                <w:sz w:val="24"/>
                <w:vertAlign w:val="subscript"/>
              </w:rPr>
              <w:t>t-1</w:t>
            </w:r>
            <w:r w:rsidRPr="00835753">
              <w:rPr>
                <w:rFonts w:ascii="Times New Roman" w:hAnsi="Times New Roman"/>
                <w:sz w:val="24"/>
              </w:rPr>
              <w:t>)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365 ust.</w:t>
            </w:r>
            <w:r w:rsidR="00835753" w:rsidRPr="00835753">
              <w:rPr>
                <w:rFonts w:ascii="Times New Roman" w:hAnsi="Times New Roman"/>
                <w:sz w:val="24"/>
              </w:rPr>
              <w:t> </w:t>
            </w:r>
            <w:r w:rsidRPr="00835753">
              <w:rPr>
                <w:rFonts w:ascii="Times New Roman" w:hAnsi="Times New Roman"/>
                <w:sz w:val="24"/>
              </w:rPr>
              <w:t>2 CRR</w:t>
            </w:r>
          </w:p>
        </w:tc>
      </w:tr>
      <w:tr w:rsidR="00203C1C" w:rsidRPr="00835753"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835753" w:rsidRDefault="00203C1C" w:rsidP="005F06BF">
            <w:pPr>
              <w:spacing w:after="240"/>
              <w:jc w:val="right"/>
              <w:rPr>
                <w:rFonts w:ascii="Times New Roman" w:hAnsi="Times New Roman" w:cs="Times New Roman"/>
                <w:b/>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6E08B9F8" w14:textId="6358E0B4" w:rsidR="008D4828" w:rsidRPr="00835753" w:rsidRDefault="008D4828" w:rsidP="00155C96">
            <w:pPr>
              <w:autoSpaceDE w:val="0"/>
              <w:autoSpaceDN w:val="0"/>
              <w:adjustRightInd w:val="0"/>
              <w:spacing w:after="240"/>
              <w:jc w:val="both"/>
              <w:rPr>
                <w:rFonts w:ascii="Times New Roman" w:hAnsi="Times New Roman" w:cs="Times New Roman"/>
                <w:i/>
                <w:sz w:val="24"/>
              </w:rPr>
            </w:pPr>
            <w:r w:rsidRPr="00835753">
              <w:rPr>
                <w:rFonts w:ascii="Times New Roman" w:hAnsi="Times New Roman"/>
                <w:i/>
                <w:sz w:val="24"/>
              </w:rPr>
              <w:t>Mnożnik (ms) x średnia</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pop</w:t>
            </w:r>
            <w:r w:rsidRPr="00835753">
              <w:rPr>
                <w:rFonts w:ascii="Times New Roman" w:hAnsi="Times New Roman"/>
                <w:i/>
                <w:sz w:val="24"/>
              </w:rPr>
              <w:t>rzednich 60 dni roboczych (sVaRavg)</w:t>
            </w:r>
          </w:p>
          <w:p w14:paraId="3C1AEA07" w14:textId="6C7D970C" w:rsidR="00203C1C" w:rsidRPr="00835753" w:rsidRDefault="00203C1C" w:rsidP="00155C96">
            <w:pPr>
              <w:autoSpaceDE w:val="0"/>
              <w:autoSpaceDN w:val="0"/>
              <w:adjustRightInd w:val="0"/>
              <w:spacing w:after="240"/>
              <w:jc w:val="both"/>
              <w:rPr>
                <w:rFonts w:ascii="Times New Roman" w:hAnsi="Times New Roman" w:cs="Times New Roman"/>
                <w:sz w:val="24"/>
              </w:rPr>
            </w:pPr>
            <w:r w:rsidRPr="00835753">
              <w:rPr>
                <w:rFonts w:ascii="Times New Roman" w:hAnsi="Times New Roman"/>
                <w:sz w:val="24"/>
              </w:rPr>
              <w:t>Średnia miar wartości zagrożonej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unkach skrajnych obliczona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spo</w:t>
            </w:r>
            <w:r w:rsidRPr="00835753">
              <w:rPr>
                <w:rFonts w:ascii="Times New Roman" w:hAnsi="Times New Roman"/>
                <w:sz w:val="24"/>
              </w:rPr>
              <w:t>sób</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stotliwością, które określono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365 ust.</w:t>
            </w:r>
            <w:r w:rsidR="00835753" w:rsidRPr="00835753">
              <w:rPr>
                <w:rFonts w:ascii="Times New Roman" w:hAnsi="Times New Roman"/>
                <w:sz w:val="24"/>
              </w:rPr>
              <w:t> </w:t>
            </w:r>
            <w:r w:rsidRPr="00835753">
              <w:rPr>
                <w:rFonts w:ascii="Times New Roman" w:hAnsi="Times New Roman"/>
                <w:sz w:val="24"/>
              </w:rPr>
              <w:t>2 CRR, za poprzedzających sześćdziesięciu dni roboczych (sVaR</w:t>
            </w:r>
            <w:r w:rsidRPr="00835753">
              <w:rPr>
                <w:rFonts w:ascii="Times New Roman" w:hAnsi="Times New Roman"/>
                <w:sz w:val="24"/>
                <w:vertAlign w:val="subscript"/>
              </w:rPr>
              <w:t>avg</w:t>
            </w:r>
            <w:r w:rsidRPr="00835753">
              <w:rPr>
                <w:rFonts w:ascii="Times New Roman" w:hAnsi="Times New Roman"/>
                <w:sz w:val="24"/>
              </w:rPr>
              <w:t>), pomnożona przez mnożnik (ms)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366 CRR</w:t>
            </w:r>
          </w:p>
        </w:tc>
      </w:tr>
      <w:tr w:rsidR="00203C1C" w:rsidRPr="00835753"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835753" w:rsidRDefault="00305345" w:rsidP="00155C96">
            <w:pPr>
              <w:spacing w:after="240"/>
              <w:jc w:val="center"/>
              <w:rPr>
                <w:rFonts w:ascii="Times New Roman" w:hAnsi="Times New Roman" w:cs="Times New Roman"/>
                <w:b/>
                <w:sz w:val="24"/>
              </w:rPr>
            </w:pPr>
            <w:r w:rsidRPr="00835753">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0DAB103B" w14:textId="29BE8836"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IRC</w:t>
            </w:r>
            <w:r w:rsidRPr="00835753">
              <w:rPr>
                <w:rFonts w:ascii="Times New Roman" w:hAnsi="Times New Roman"/>
                <w:sz w:val="24"/>
              </w:rPr>
              <w:t xml:space="preserve"> (wyższa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tości a i b)</w:t>
            </w:r>
          </w:p>
        </w:tc>
      </w:tr>
      <w:tr w:rsidR="00203C1C" w:rsidRPr="00835753"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835753" w:rsidRDefault="00203C1C" w:rsidP="005F06BF">
            <w:pPr>
              <w:spacing w:after="240"/>
              <w:jc w:val="right"/>
              <w:rPr>
                <w:rFonts w:ascii="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835753" w:rsidRDefault="008D4828" w:rsidP="00155C96">
            <w:pPr>
              <w:autoSpaceDE w:val="0"/>
              <w:autoSpaceDN w:val="0"/>
              <w:adjustRightInd w:val="0"/>
              <w:spacing w:after="240"/>
              <w:jc w:val="both"/>
              <w:rPr>
                <w:rFonts w:ascii="Times New Roman" w:hAnsi="Times New Roman" w:cs="Times New Roman"/>
                <w:i/>
                <w:sz w:val="24"/>
              </w:rPr>
            </w:pPr>
            <w:r w:rsidRPr="00835753">
              <w:rPr>
                <w:rFonts w:ascii="Times New Roman" w:hAnsi="Times New Roman"/>
                <w:i/>
                <w:sz w:val="24"/>
              </w:rPr>
              <w:t>Najnowsza wartość IRC</w:t>
            </w:r>
          </w:p>
          <w:p w14:paraId="43020B50" w14:textId="2F8F13DF" w:rsidR="00203C1C" w:rsidRPr="00835753" w:rsidRDefault="00203C1C" w:rsidP="00155C96">
            <w:pPr>
              <w:autoSpaceDE w:val="0"/>
              <w:autoSpaceDN w:val="0"/>
              <w:adjustRightInd w:val="0"/>
              <w:spacing w:after="240"/>
              <w:jc w:val="both"/>
              <w:rPr>
                <w:rFonts w:ascii="Times New Roman" w:hAnsi="Times New Roman" w:cs="Times New Roman"/>
                <w:b/>
                <w:sz w:val="24"/>
              </w:rPr>
            </w:pPr>
            <w:r w:rsidRPr="00835753">
              <w:rPr>
                <w:rFonts w:ascii="Times New Roman" w:hAnsi="Times New Roman"/>
                <w:sz w:val="24"/>
              </w:rPr>
              <w:t>Najnowsza wartość liczbowa dodatkowego ryzyka niewykonania zobowiązań</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mig</w:t>
            </w:r>
            <w:r w:rsidRPr="00835753">
              <w:rPr>
                <w:rFonts w:ascii="Times New Roman" w:hAnsi="Times New Roman"/>
                <w:sz w:val="24"/>
              </w:rPr>
              <w:t>racji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IV rozdział 5 sekcja 3 CRR</w:t>
            </w:r>
          </w:p>
        </w:tc>
      </w:tr>
      <w:tr w:rsidR="00203C1C" w:rsidRPr="00835753"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835753" w:rsidRDefault="00203C1C" w:rsidP="005F06BF">
            <w:pPr>
              <w:spacing w:after="240"/>
              <w:jc w:val="right"/>
              <w:rPr>
                <w:rFonts w:ascii="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20F4B99D" w14:textId="5F590027" w:rsidR="008D4828" w:rsidRPr="00835753" w:rsidRDefault="008D4828" w:rsidP="00155C96">
            <w:pPr>
              <w:autoSpaceDE w:val="0"/>
              <w:autoSpaceDN w:val="0"/>
              <w:adjustRightInd w:val="0"/>
              <w:spacing w:after="240"/>
              <w:jc w:val="both"/>
              <w:rPr>
                <w:rFonts w:ascii="Times New Roman" w:hAnsi="Times New Roman" w:cs="Times New Roman"/>
                <w:i/>
                <w:sz w:val="24"/>
              </w:rPr>
            </w:pPr>
            <w:r w:rsidRPr="00835753">
              <w:rPr>
                <w:rFonts w:ascii="Times New Roman" w:hAnsi="Times New Roman"/>
                <w:i/>
                <w:sz w:val="24"/>
              </w:rPr>
              <w:t>Średnia wartość IRC</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1</w:t>
            </w:r>
            <w:r w:rsidRPr="00835753">
              <w:rPr>
                <w:rFonts w:ascii="Times New Roman" w:hAnsi="Times New Roman"/>
                <w:i/>
                <w:sz w:val="24"/>
              </w:rPr>
              <w:t>2 tygodni</w:t>
            </w:r>
          </w:p>
          <w:p w14:paraId="680EDF24" w14:textId="4D71CCD4" w:rsidR="00203C1C" w:rsidRPr="00835753" w:rsidRDefault="00203C1C" w:rsidP="00155C96">
            <w:pPr>
              <w:autoSpaceDE w:val="0"/>
              <w:autoSpaceDN w:val="0"/>
              <w:adjustRightInd w:val="0"/>
              <w:spacing w:after="240"/>
              <w:jc w:val="both"/>
              <w:rPr>
                <w:rFonts w:ascii="Times New Roman" w:hAnsi="Times New Roman" w:cs="Times New Roman"/>
                <w:b/>
                <w:sz w:val="24"/>
              </w:rPr>
            </w:pPr>
            <w:r w:rsidRPr="00835753">
              <w:rPr>
                <w:rFonts w:ascii="Times New Roman" w:hAnsi="Times New Roman"/>
                <w:sz w:val="24"/>
              </w:rPr>
              <w:t>Średnia wartość liczbowa dodatkowego ryzyka niewykonania zobowiązań</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mig</w:t>
            </w:r>
            <w:r w:rsidRPr="00835753">
              <w:rPr>
                <w:rFonts w:ascii="Times New Roman" w:hAnsi="Times New Roman"/>
                <w:sz w:val="24"/>
              </w:rPr>
              <w:t>racji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IV rozdział 5 sekcja 3 CRR za poprzedzających 12 tygodni</w:t>
            </w:r>
          </w:p>
        </w:tc>
      </w:tr>
      <w:tr w:rsidR="00203C1C" w:rsidRPr="00835753"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835753" w:rsidRDefault="00305345" w:rsidP="00155C96">
            <w:pPr>
              <w:spacing w:after="240"/>
              <w:jc w:val="center"/>
              <w:rPr>
                <w:rFonts w:ascii="Times New Roman" w:hAnsi="Times New Roman" w:cs="Times New Roman"/>
                <w:b/>
                <w:sz w:val="24"/>
              </w:rPr>
            </w:pPr>
            <w:r w:rsidRPr="00835753">
              <w:rPr>
                <w:rFonts w:ascii="Times New Roman" w:hAnsi="Times New Roman"/>
                <w:b/>
                <w:sz w:val="24"/>
              </w:rPr>
              <w:t>4</w:t>
            </w:r>
          </w:p>
        </w:tc>
        <w:tc>
          <w:tcPr>
            <w:tcW w:w="7242" w:type="dxa"/>
            <w:tcBorders>
              <w:top w:val="single" w:sz="4" w:space="0" w:color="auto"/>
              <w:left w:val="single" w:sz="4" w:space="0" w:color="auto"/>
              <w:bottom w:val="single" w:sz="4" w:space="0" w:color="auto"/>
              <w:right w:val="single" w:sz="4" w:space="0" w:color="auto"/>
            </w:tcBorders>
          </w:tcPr>
          <w:p w14:paraId="45F6E496" w14:textId="097FC50E"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Kompleksowa miara ryzyka</w:t>
            </w:r>
            <w:r w:rsidRPr="00835753">
              <w:rPr>
                <w:rFonts w:ascii="Times New Roman" w:hAnsi="Times New Roman"/>
                <w:sz w:val="24"/>
              </w:rPr>
              <w:t xml:space="preserve"> (wyższa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tości a, b i c)</w:t>
            </w:r>
          </w:p>
        </w:tc>
      </w:tr>
      <w:tr w:rsidR="00203C1C" w:rsidRPr="00835753"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835753" w:rsidRDefault="00203C1C" w:rsidP="005F06BF">
            <w:pPr>
              <w:spacing w:after="240"/>
              <w:jc w:val="right"/>
              <w:rPr>
                <w:rFonts w:ascii="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835753" w:rsidRDefault="00D51CB3" w:rsidP="00155C96">
            <w:pPr>
              <w:autoSpaceDE w:val="0"/>
              <w:autoSpaceDN w:val="0"/>
              <w:adjustRightInd w:val="0"/>
              <w:spacing w:after="240"/>
              <w:jc w:val="both"/>
              <w:rPr>
                <w:rFonts w:ascii="Times New Roman" w:hAnsi="Times New Roman" w:cs="Times New Roman"/>
                <w:i/>
                <w:sz w:val="24"/>
              </w:rPr>
            </w:pPr>
            <w:r w:rsidRPr="00835753">
              <w:rPr>
                <w:rFonts w:ascii="Times New Roman" w:hAnsi="Times New Roman"/>
                <w:i/>
                <w:sz w:val="24"/>
              </w:rPr>
              <w:t>Najnowsza wartość kompleksowej miary ryzyka</w:t>
            </w:r>
          </w:p>
          <w:p w14:paraId="33A8F77F" w14:textId="37E141C3" w:rsidR="00203C1C" w:rsidRPr="00835753" w:rsidRDefault="00203C1C" w:rsidP="00155C96">
            <w:pPr>
              <w:autoSpaceDE w:val="0"/>
              <w:autoSpaceDN w:val="0"/>
              <w:adjustRightInd w:val="0"/>
              <w:spacing w:after="240"/>
              <w:jc w:val="both"/>
              <w:rPr>
                <w:rFonts w:ascii="Times New Roman" w:hAnsi="Times New Roman" w:cs="Times New Roman"/>
                <w:b/>
                <w:sz w:val="24"/>
              </w:rPr>
            </w:pPr>
            <w:r w:rsidRPr="00835753">
              <w:rPr>
                <w:rFonts w:ascii="Times New Roman" w:hAnsi="Times New Roman"/>
                <w:sz w:val="24"/>
              </w:rPr>
              <w:t>Najnowsza wartość liczbowa ryzyka dotyczącego korelacyjnego portfela handlowego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IV rozdział 5 sekcja 5 CRR</w:t>
            </w:r>
          </w:p>
        </w:tc>
      </w:tr>
      <w:tr w:rsidR="00203C1C" w:rsidRPr="00835753"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835753" w:rsidRDefault="00203C1C" w:rsidP="005F06BF">
            <w:pPr>
              <w:spacing w:after="240"/>
              <w:jc w:val="right"/>
              <w:rPr>
                <w:rFonts w:ascii="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5B9B90CA" w14:textId="0EF3454C" w:rsidR="00D51CB3" w:rsidRPr="00835753" w:rsidRDefault="00D51CB3" w:rsidP="00155C96">
            <w:pPr>
              <w:spacing w:after="240"/>
              <w:jc w:val="both"/>
              <w:rPr>
                <w:rFonts w:ascii="Times New Roman" w:hAnsi="Times New Roman" w:cs="Times New Roman"/>
                <w:i/>
                <w:sz w:val="24"/>
              </w:rPr>
            </w:pPr>
            <w:r w:rsidRPr="00835753">
              <w:rPr>
                <w:rFonts w:ascii="Times New Roman" w:hAnsi="Times New Roman"/>
                <w:i/>
                <w:sz w:val="24"/>
              </w:rPr>
              <w:t>Średnia wartość kompleksowej miary ryzyka</w:t>
            </w:r>
            <w:r w:rsidR="00835753" w:rsidRPr="00835753">
              <w:rPr>
                <w:rFonts w:ascii="Times New Roman" w:hAnsi="Times New Roman"/>
                <w:i/>
                <w:sz w:val="24"/>
              </w:rPr>
              <w:t xml:space="preserve"> z</w:t>
            </w:r>
            <w:r w:rsidR="00835753">
              <w:rPr>
                <w:rFonts w:ascii="Times New Roman" w:hAnsi="Times New Roman"/>
                <w:i/>
                <w:sz w:val="24"/>
              </w:rPr>
              <w:t> </w:t>
            </w:r>
            <w:r w:rsidR="00835753" w:rsidRPr="00835753">
              <w:rPr>
                <w:rFonts w:ascii="Times New Roman" w:hAnsi="Times New Roman"/>
                <w:i/>
                <w:sz w:val="24"/>
              </w:rPr>
              <w:t>1</w:t>
            </w:r>
            <w:r w:rsidRPr="00835753">
              <w:rPr>
                <w:rFonts w:ascii="Times New Roman" w:hAnsi="Times New Roman"/>
                <w:i/>
                <w:sz w:val="24"/>
              </w:rPr>
              <w:t>2 tygodni</w:t>
            </w:r>
          </w:p>
          <w:p w14:paraId="33D5CC91" w14:textId="30179B4C"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sz w:val="24"/>
              </w:rPr>
              <w:t>Średnia wartość liczbowa ryzyka dotyczącego korelacyjnego portfela handlowego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IV rozdział 5 sekcja 5 CRR za poprzedzających 12 tygodni</w:t>
            </w:r>
          </w:p>
        </w:tc>
      </w:tr>
      <w:tr w:rsidR="00203C1C" w:rsidRPr="00835753"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835753" w:rsidRDefault="00203C1C" w:rsidP="005F06BF">
            <w:pPr>
              <w:spacing w:after="240"/>
              <w:jc w:val="right"/>
              <w:rPr>
                <w:rFonts w:ascii="Times New Roman" w:hAnsi="Times New Roman" w:cs="Times New Roman"/>
                <w:b/>
                <w:sz w:val="24"/>
              </w:rPr>
            </w:pPr>
            <w:proofErr w:type="gramStart"/>
            <w:r w:rsidRPr="00835753">
              <w:rPr>
                <w:rFonts w:ascii="Times New Roman" w:hAnsi="Times New Roman"/>
                <w:sz w:val="24"/>
              </w:rPr>
              <w:t>c</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835753" w:rsidRDefault="00D51CB3" w:rsidP="00155C96">
            <w:pPr>
              <w:autoSpaceDE w:val="0"/>
              <w:autoSpaceDN w:val="0"/>
              <w:adjustRightInd w:val="0"/>
              <w:spacing w:after="240"/>
              <w:jc w:val="both"/>
              <w:rPr>
                <w:rFonts w:ascii="Times New Roman" w:hAnsi="Times New Roman" w:cs="Times New Roman"/>
                <w:i/>
                <w:sz w:val="24"/>
              </w:rPr>
            </w:pPr>
            <w:r w:rsidRPr="00835753">
              <w:rPr>
                <w:rFonts w:ascii="Times New Roman" w:hAnsi="Times New Roman"/>
                <w:i/>
                <w:sz w:val="24"/>
              </w:rPr>
              <w:t>Dolna granica kompleksowej miary ryzyka</w:t>
            </w:r>
          </w:p>
          <w:p w14:paraId="4A95667F" w14:textId="578E9AA7" w:rsidR="00203C1C" w:rsidRPr="00835753" w:rsidRDefault="00203C1C" w:rsidP="00155C96">
            <w:pPr>
              <w:autoSpaceDE w:val="0"/>
              <w:autoSpaceDN w:val="0"/>
              <w:adjustRightInd w:val="0"/>
              <w:spacing w:after="240"/>
              <w:jc w:val="both"/>
              <w:rPr>
                <w:rFonts w:ascii="Times New Roman" w:hAnsi="Times New Roman" w:cs="Times New Roman"/>
                <w:b/>
                <w:sz w:val="24"/>
              </w:rPr>
            </w:pPr>
            <w:r w:rsidRPr="00835753">
              <w:rPr>
                <w:rFonts w:ascii="Times New Roman" w:hAnsi="Times New Roman"/>
                <w:sz w:val="24"/>
              </w:rPr>
              <w:t>8</w:t>
            </w:r>
            <w:r w:rsidR="00835753" w:rsidRPr="00835753">
              <w:rPr>
                <w:rFonts w:ascii="Times New Roman" w:hAnsi="Times New Roman"/>
                <w:sz w:val="24"/>
              </w:rPr>
              <w:t> </w:t>
            </w:r>
            <w:r w:rsidRPr="00835753">
              <w:rPr>
                <w:rFonts w:ascii="Times New Roman" w:hAnsi="Times New Roman"/>
                <w:sz w:val="24"/>
              </w:rPr>
              <w:t>% wymogu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które –</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mom</w:t>
            </w:r>
            <w:r w:rsidRPr="00835753">
              <w:rPr>
                <w:rFonts w:ascii="Times New Roman" w:hAnsi="Times New Roman"/>
                <w:sz w:val="24"/>
              </w:rPr>
              <w:t>encie obliczania najnowszej wartości liczbowej ryzyka,</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rej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a) niniejszego wzoru – oblicza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338 ust.</w:t>
            </w:r>
            <w:r w:rsidR="00835753" w:rsidRPr="00835753">
              <w:rPr>
                <w:rFonts w:ascii="Times New Roman" w:hAnsi="Times New Roman"/>
                <w:sz w:val="24"/>
              </w:rPr>
              <w:t> </w:t>
            </w:r>
            <w:r w:rsidRPr="00835753">
              <w:rPr>
                <w:rFonts w:ascii="Times New Roman" w:hAnsi="Times New Roman"/>
                <w:sz w:val="24"/>
              </w:rPr>
              <w:t>4 CRR</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wszystkich pozycji objętych modelem wewnętrznym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korelacyjnego portfela handlowego</w:t>
            </w:r>
          </w:p>
        </w:tc>
      </w:tr>
      <w:tr w:rsidR="00203C1C" w:rsidRPr="00835753"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835753" w:rsidRDefault="00305345" w:rsidP="00155C96">
            <w:pPr>
              <w:spacing w:after="240"/>
              <w:jc w:val="center"/>
              <w:rPr>
                <w:rFonts w:ascii="Times New Roman" w:hAnsi="Times New Roman" w:cs="Times New Roman"/>
                <w:b/>
                <w:sz w:val="24"/>
              </w:rPr>
            </w:pPr>
            <w:r w:rsidRPr="00835753">
              <w:rPr>
                <w:rFonts w:ascii="Times New Roman" w:hAnsi="Times New Roman"/>
                <w:b/>
                <w:sz w:val="24"/>
              </w:rPr>
              <w:t>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835753" w:rsidRDefault="00203C1C" w:rsidP="00155C96">
            <w:pPr>
              <w:autoSpaceDE w:val="0"/>
              <w:autoSpaceDN w:val="0"/>
              <w:adjustRightInd w:val="0"/>
              <w:spacing w:after="240"/>
              <w:jc w:val="both"/>
              <w:rPr>
                <w:rFonts w:ascii="Times New Roman" w:hAnsi="Times New Roman" w:cs="Times New Roman"/>
                <w:b/>
                <w:sz w:val="24"/>
              </w:rPr>
            </w:pPr>
            <w:r w:rsidRPr="00835753">
              <w:rPr>
                <w:rFonts w:ascii="Times New Roman" w:hAnsi="Times New Roman"/>
                <w:b/>
                <w:sz w:val="24"/>
              </w:rPr>
              <w:t>Inne</w:t>
            </w:r>
          </w:p>
          <w:p w14:paraId="6505B9DC" w14:textId="00A6D86B" w:rsidR="00203C1C" w:rsidRPr="00835753" w:rsidRDefault="00203C1C" w:rsidP="00155C96">
            <w:pPr>
              <w:autoSpaceDE w:val="0"/>
              <w:autoSpaceDN w:val="0"/>
              <w:adjustRightInd w:val="0"/>
              <w:spacing w:after="240"/>
              <w:jc w:val="both"/>
              <w:rPr>
                <w:rFonts w:ascii="Times New Roman" w:hAnsi="Times New Roman" w:cs="Times New Roman"/>
                <w:sz w:val="24"/>
              </w:rPr>
            </w:pPr>
            <w:r w:rsidRPr="00835753">
              <w:rPr>
                <w:rFonts w:ascii="Times New Roman" w:hAnsi="Times New Roman"/>
                <w:sz w:val="24"/>
              </w:rPr>
              <w:lastRenderedPageBreak/>
              <w:t>Pojęcie „inne” odnosi się do dodatkowych funduszy własnych wymaganych przez organy sprawujące nadzór od instytucji stosujących metodę modeli wewnętrznych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ryzyka rynkowego (np. kapitał dodatkowy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101 dyrektywy 2013/36/UE)</w:t>
            </w:r>
          </w:p>
        </w:tc>
      </w:tr>
      <w:tr w:rsidR="00203C1C" w:rsidRPr="00835753"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835753" w:rsidRDefault="00305345" w:rsidP="00155C96">
            <w:pPr>
              <w:spacing w:after="240"/>
              <w:jc w:val="center"/>
              <w:rPr>
                <w:rFonts w:ascii="Times New Roman" w:hAnsi="Times New Roman" w:cs="Times New Roman"/>
                <w:b/>
                <w:sz w:val="24"/>
              </w:rPr>
            </w:pPr>
            <w:r w:rsidRPr="00835753">
              <w:rPr>
                <w:rFonts w:ascii="Times New Roman" w:hAnsi="Times New Roman"/>
                <w:b/>
                <w:sz w:val="24"/>
              </w:rPr>
              <w:lastRenderedPageBreak/>
              <w:t>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835753" w:rsidRDefault="00203C1C" w:rsidP="00155C96">
            <w:pPr>
              <w:autoSpaceDE w:val="0"/>
              <w:autoSpaceDN w:val="0"/>
              <w:adjustRightInd w:val="0"/>
              <w:spacing w:after="240"/>
              <w:jc w:val="both"/>
              <w:rPr>
                <w:rFonts w:ascii="Times New Roman" w:hAnsi="Times New Roman" w:cs="Times New Roman"/>
                <w:sz w:val="24"/>
              </w:rPr>
            </w:pPr>
            <w:r w:rsidRPr="00835753">
              <w:rPr>
                <w:rFonts w:ascii="Times New Roman" w:hAnsi="Times New Roman"/>
                <w:b/>
                <w:sz w:val="24"/>
              </w:rPr>
              <w:t>Ogółem</w:t>
            </w:r>
            <w:r w:rsidRPr="00835753">
              <w:rPr>
                <w:rFonts w:ascii="Times New Roman" w:hAnsi="Times New Roman"/>
                <w:sz w:val="24"/>
              </w:rPr>
              <w:t xml:space="preserve"> (1+2+3+4+5)</w:t>
            </w:r>
          </w:p>
        </w:tc>
      </w:tr>
      <w:tr w:rsidR="00203C1C" w:rsidRPr="00835753"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Litera kolumny</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Wyjaśnienie</w:t>
            </w:r>
          </w:p>
        </w:tc>
      </w:tr>
      <w:tr w:rsidR="00203C1C" w:rsidRPr="00835753"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835753" w:rsidRDefault="00203C1C" w:rsidP="00155C96">
            <w:pPr>
              <w:spacing w:after="240"/>
              <w:jc w:val="center"/>
              <w:rPr>
                <w:rFonts w:ascii="Times New Roman" w:hAnsi="Times New Roman" w:cs="Times New Roman"/>
                <w:b/>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Kwoty ekspozycji ważonych ryzykiem</w:t>
            </w:r>
          </w:p>
          <w:p w14:paraId="7AA133AC" w14:textId="5229FFD4"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sz w:val="24"/>
              </w:rPr>
              <w:t>Ujawnianie informacji na temat ekspozycji ważonych ryzykiem,</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438 lit.</w:t>
            </w:r>
            <w:r w:rsidR="00835753" w:rsidRPr="00835753">
              <w:rPr>
                <w:rFonts w:ascii="Times New Roman" w:hAnsi="Times New Roman"/>
                <w:sz w:val="24"/>
              </w:rPr>
              <w:t> </w:t>
            </w:r>
            <w:r w:rsidRPr="00835753">
              <w:rPr>
                <w:rFonts w:ascii="Times New Roman" w:hAnsi="Times New Roman"/>
                <w:sz w:val="24"/>
              </w:rPr>
              <w:t>d) CRR, obliczonych po przemnożeniu wartości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b) przez 12,5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92 ust.</w:t>
            </w:r>
            <w:r w:rsidR="00835753" w:rsidRPr="00835753">
              <w:rPr>
                <w:rFonts w:ascii="Times New Roman" w:hAnsi="Times New Roman"/>
                <w:sz w:val="24"/>
              </w:rPr>
              <w:t> </w:t>
            </w:r>
            <w:r w:rsidRPr="00835753">
              <w:rPr>
                <w:rFonts w:ascii="Times New Roman" w:hAnsi="Times New Roman"/>
                <w:sz w:val="24"/>
              </w:rPr>
              <w:t>4 lit.</w:t>
            </w:r>
            <w:r w:rsidR="00835753" w:rsidRPr="00835753">
              <w:rPr>
                <w:rFonts w:ascii="Times New Roman" w:hAnsi="Times New Roman"/>
                <w:sz w:val="24"/>
              </w:rPr>
              <w:t> </w:t>
            </w:r>
            <w:r w:rsidRPr="00835753">
              <w:rPr>
                <w:rFonts w:ascii="Times New Roman" w:hAnsi="Times New Roman"/>
                <w:sz w:val="24"/>
              </w:rPr>
              <w:t>b) CRR.</w:t>
            </w:r>
          </w:p>
        </w:tc>
      </w:tr>
      <w:tr w:rsidR="00203C1C" w:rsidRPr="00835753"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835753" w:rsidRDefault="00203C1C" w:rsidP="00155C96">
            <w:pPr>
              <w:spacing w:after="240"/>
              <w:jc w:val="center"/>
              <w:rPr>
                <w:rFonts w:ascii="Times New Roman" w:hAnsi="Times New Roman" w:cs="Times New Roman"/>
                <w:b/>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68009806" w14:textId="5332407A" w:rsidR="00596AB8" w:rsidRPr="00835753" w:rsidRDefault="00596AB8" w:rsidP="00155C96">
            <w:pPr>
              <w:spacing w:after="240"/>
              <w:jc w:val="both"/>
              <w:rPr>
                <w:rFonts w:ascii="Times New Roman" w:eastAsia="Times New Roman" w:hAnsi="Times New Roman" w:cs="Times New Roman"/>
                <w:b/>
                <w:sz w:val="24"/>
              </w:rPr>
            </w:pPr>
            <w:r w:rsidRPr="00835753">
              <w:rPr>
                <w:rFonts w:ascii="Times New Roman" w:hAnsi="Times New Roman"/>
                <w:b/>
                <w:sz w:val="24"/>
              </w:rPr>
              <w:t>Wymogi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funduszy własnych</w:t>
            </w:r>
          </w:p>
          <w:p w14:paraId="7B42FEEB" w14:textId="563610DC"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sz w:val="24"/>
              </w:rPr>
              <w:t>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rynkowego, jak określono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 trzeciej tytuł IV rozdział 5 CRR, ustalone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ins</w:t>
            </w:r>
            <w:r w:rsidRPr="00835753">
              <w:rPr>
                <w:rFonts w:ascii="Times New Roman" w:hAnsi="Times New Roman"/>
                <w:sz w:val="24"/>
              </w:rPr>
              <w:t>trukcjami przedstawionymi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rszach 1–4 powyżej.</w:t>
            </w:r>
          </w:p>
        </w:tc>
      </w:tr>
    </w:tbl>
    <w:p w14:paraId="5FDCA595" w14:textId="77777777" w:rsidR="00203C1C" w:rsidRPr="00835753" w:rsidRDefault="00203C1C" w:rsidP="00203C1C">
      <w:pPr>
        <w:pStyle w:val="Titlelevel2"/>
        <w:spacing w:before="0"/>
        <w:rPr>
          <w:rFonts w:ascii="Times New Roman" w:hAnsi="Times New Roman" w:cs="Times New Roman"/>
          <w:b/>
          <w:color w:val="auto"/>
          <w:sz w:val="24"/>
        </w:rPr>
      </w:pPr>
    </w:p>
    <w:p w14:paraId="2EC9361F" w14:textId="20B27D01" w:rsidR="00203C1C" w:rsidRPr="00835753" w:rsidRDefault="00203C1C" w:rsidP="00203C1C">
      <w:pPr>
        <w:pStyle w:val="Titlelevel2"/>
        <w:spacing w:before="0"/>
        <w:rPr>
          <w:rFonts w:ascii="Times New Roman" w:hAnsi="Times New Roman" w:cs="Times New Roman"/>
          <w:color w:val="auto"/>
          <w:sz w:val="24"/>
        </w:rPr>
      </w:pPr>
      <w:r w:rsidRPr="00835753">
        <w:rPr>
          <w:rFonts w:ascii="Times New Roman" w:hAnsi="Times New Roman"/>
          <w:b/>
          <w:color w:val="auto"/>
          <w:sz w:val="24"/>
        </w:rPr>
        <w:t>Wzór EU MR2-B – Rachunek przepływów kwot ekspozycji ważonych ryzykiem dla ekspozycji na ryzyko rynkowe</w:t>
      </w:r>
      <w:r w:rsidR="00835753" w:rsidRPr="00835753">
        <w:rPr>
          <w:rFonts w:ascii="Times New Roman" w:hAnsi="Times New Roman"/>
          <w:b/>
          <w:color w:val="auto"/>
          <w:sz w:val="24"/>
        </w:rPr>
        <w:t xml:space="preserve"> w</w:t>
      </w:r>
      <w:r w:rsidR="00835753">
        <w:rPr>
          <w:rFonts w:ascii="Times New Roman" w:hAnsi="Times New Roman"/>
          <w:b/>
          <w:color w:val="auto"/>
          <w:sz w:val="24"/>
        </w:rPr>
        <w:t> </w:t>
      </w:r>
      <w:r w:rsidR="00835753" w:rsidRPr="00835753">
        <w:rPr>
          <w:rFonts w:ascii="Times New Roman" w:hAnsi="Times New Roman"/>
          <w:b/>
          <w:color w:val="auto"/>
          <w:sz w:val="24"/>
        </w:rPr>
        <w:t>ram</w:t>
      </w:r>
      <w:r w:rsidRPr="00835753">
        <w:rPr>
          <w:rFonts w:ascii="Times New Roman" w:hAnsi="Times New Roman"/>
          <w:b/>
          <w:color w:val="auto"/>
          <w:sz w:val="24"/>
        </w:rPr>
        <w:t>ach metody modeli wewnętrznych.</w:t>
      </w:r>
      <w:r w:rsidRPr="00835753">
        <w:rPr>
          <w:rFonts w:ascii="Times New Roman" w:hAnsi="Times New Roman"/>
          <w:color w:val="auto"/>
          <w:sz w:val="24"/>
        </w:rPr>
        <w:t xml:space="preserve"> Format stały</w:t>
      </w:r>
    </w:p>
    <w:p w14:paraId="782E19CD" w14:textId="69ABE03B" w:rsidR="00203C1C" w:rsidRPr="00835753" w:rsidRDefault="00203C1C" w:rsidP="00203C1C">
      <w:pPr>
        <w:pStyle w:val="Titlelevel2"/>
        <w:numPr>
          <w:ilvl w:val="0"/>
          <w:numId w:val="60"/>
        </w:numPr>
        <w:spacing w:before="0"/>
        <w:ind w:left="1066" w:hanging="357"/>
        <w:jc w:val="both"/>
        <w:rPr>
          <w:rFonts w:ascii="Times New Roman" w:hAnsi="Times New Roman" w:cs="Times New Roman"/>
          <w:b/>
          <w:color w:val="auto"/>
          <w:sz w:val="24"/>
        </w:rPr>
      </w:pPr>
      <w:r w:rsidRPr="00835753">
        <w:rPr>
          <w:rFonts w:ascii="Times New Roman" w:hAnsi="Times New Roman"/>
          <w:bCs w:val="0"/>
          <w:color w:val="000000"/>
          <w:sz w:val="24"/>
        </w:rPr>
        <w:t>W celu wypełnienia wzoru EU MR2-B zamieszczonego</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ączniku XXIX do niniejszego rozporządzenia wykonawczego instytucje ujawniają informacje,</w:t>
      </w:r>
      <w:r w:rsidR="00835753" w:rsidRPr="00835753">
        <w:rPr>
          <w:rFonts w:ascii="Times New Roman" w:hAnsi="Times New Roman"/>
          <w:bCs w:val="0"/>
          <w:color w:val="000000"/>
          <w:sz w:val="24"/>
        </w:rPr>
        <w:t xml:space="preserve"> o</w:t>
      </w:r>
      <w:r w:rsidR="00835753">
        <w:rPr>
          <w:rFonts w:ascii="Times New Roman" w:hAnsi="Times New Roman"/>
          <w:bCs w:val="0"/>
          <w:color w:val="000000"/>
          <w:sz w:val="24"/>
        </w:rPr>
        <w:t> </w:t>
      </w:r>
      <w:r w:rsidR="00835753" w:rsidRPr="00835753">
        <w:rPr>
          <w:rFonts w:ascii="Times New Roman" w:hAnsi="Times New Roman"/>
          <w:bCs w:val="0"/>
          <w:color w:val="000000"/>
          <w:sz w:val="24"/>
        </w:rPr>
        <w:t>któ</w:t>
      </w:r>
      <w:r w:rsidRPr="00835753">
        <w:rPr>
          <w:rFonts w:ascii="Times New Roman" w:hAnsi="Times New Roman"/>
          <w:bCs w:val="0"/>
          <w:color w:val="000000"/>
          <w:sz w:val="24"/>
        </w:rPr>
        <w:t>rych mowa</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438 lit.</w:t>
      </w:r>
      <w:r w:rsidR="00835753" w:rsidRPr="00835753">
        <w:rPr>
          <w:rFonts w:ascii="Times New Roman" w:hAnsi="Times New Roman"/>
          <w:bCs w:val="0"/>
          <w:color w:val="000000"/>
          <w:sz w:val="24"/>
        </w:rPr>
        <w:t> </w:t>
      </w:r>
      <w:r w:rsidRPr="00835753">
        <w:rPr>
          <w:rFonts w:ascii="Times New Roman" w:hAnsi="Times New Roman"/>
          <w:bCs w:val="0"/>
          <w:color w:val="000000"/>
          <w:sz w:val="24"/>
        </w:rPr>
        <w:t>h) CRR,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pon</w:t>
      </w:r>
      <w:r w:rsidRPr="00835753">
        <w:rPr>
          <w:rFonts w:ascii="Times New Roman" w:hAnsi="Times New Roman"/>
          <w:bCs w:val="0"/>
          <w:color w:val="000000"/>
          <w:sz w:val="24"/>
        </w:rPr>
        <w:t>iższymi instrukcjami zawartymi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 xml:space="preserve">iejszym załączniku. </w:t>
      </w:r>
    </w:p>
    <w:p w14:paraId="1BA0C5CF" w14:textId="71BDAB5C" w:rsidR="00203C1C" w:rsidRPr="00835753"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sidRPr="00835753">
        <w:rPr>
          <w:rFonts w:ascii="Times New Roman" w:hAnsi="Times New Roman"/>
          <w:bCs w:val="0"/>
          <w:color w:val="auto"/>
          <w:sz w:val="24"/>
        </w:rPr>
        <w:t xml:space="preserve">Instytucje ujawniają przepływy kwot ekspozycji ważonych ryzykiem jako zmiany między </w:t>
      </w:r>
      <w:r w:rsidRPr="00835753">
        <w:rPr>
          <w:rFonts w:ascii="Times New Roman" w:hAnsi="Times New Roman"/>
          <w:color w:val="auto"/>
          <w:sz w:val="24"/>
        </w:rPr>
        <w:t xml:space="preserve">kwotami ekspozycji ważonych ryzykiem na koniec </w:t>
      </w:r>
      <w:r w:rsidRPr="00835753">
        <w:rPr>
          <w:rFonts w:ascii="Times New Roman" w:hAnsi="Times New Roman"/>
          <w:bCs w:val="0"/>
          <w:color w:val="auto"/>
          <w:sz w:val="24"/>
        </w:rPr>
        <w:t>okresu odniesienia do celów ujawniania informacji (jak określono poniżej</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wie</w:t>
      </w:r>
      <w:r w:rsidRPr="00835753">
        <w:rPr>
          <w:rFonts w:ascii="Times New Roman" w:hAnsi="Times New Roman"/>
          <w:bCs w:val="0"/>
          <w:color w:val="auto"/>
          <w:sz w:val="24"/>
        </w:rPr>
        <w:t>rszu 8)</w:t>
      </w:r>
      <w:r w:rsidR="00835753" w:rsidRPr="00835753">
        <w:rPr>
          <w:rFonts w:ascii="Times New Roman" w:hAnsi="Times New Roman"/>
          <w:bCs w:val="0"/>
          <w:color w:val="auto"/>
          <w:sz w:val="24"/>
        </w:rPr>
        <w:t xml:space="preserve"> a</w:t>
      </w:r>
      <w:r w:rsidR="00835753">
        <w:rPr>
          <w:rFonts w:ascii="Times New Roman" w:hAnsi="Times New Roman"/>
          <w:bCs w:val="0"/>
          <w:color w:val="auto"/>
          <w:sz w:val="24"/>
        </w:rPr>
        <w:t> </w:t>
      </w:r>
      <w:r w:rsidR="00835753" w:rsidRPr="00835753">
        <w:rPr>
          <w:rFonts w:ascii="Times New Roman" w:hAnsi="Times New Roman"/>
          <w:bCs w:val="0"/>
          <w:color w:val="auto"/>
          <w:sz w:val="24"/>
        </w:rPr>
        <w:t>kwo</w:t>
      </w:r>
      <w:r w:rsidRPr="00835753">
        <w:rPr>
          <w:rFonts w:ascii="Times New Roman" w:hAnsi="Times New Roman"/>
          <w:bCs w:val="0"/>
          <w:color w:val="auto"/>
          <w:sz w:val="24"/>
        </w:rPr>
        <w:t xml:space="preserve">tami </w:t>
      </w:r>
      <w:r w:rsidRPr="00835753">
        <w:rPr>
          <w:rFonts w:ascii="Times New Roman" w:hAnsi="Times New Roman"/>
          <w:color w:val="auto"/>
          <w:sz w:val="24"/>
        </w:rPr>
        <w:t xml:space="preserve">ekspozycji ważonych ryzykiem na </w:t>
      </w:r>
      <w:r w:rsidRPr="00835753">
        <w:rPr>
          <w:rFonts w:ascii="Times New Roman" w:hAnsi="Times New Roman"/>
          <w:bCs w:val="0"/>
          <w:color w:val="auto"/>
          <w:sz w:val="24"/>
        </w:rPr>
        <w:t>koniec poprzedniego okresu odniesienia do celów ujawniania informacji (jak określono poniżej</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wie</w:t>
      </w:r>
      <w:r w:rsidRPr="00835753">
        <w:rPr>
          <w:rFonts w:ascii="Times New Roman" w:hAnsi="Times New Roman"/>
          <w:bCs w:val="0"/>
          <w:color w:val="auto"/>
          <w:sz w:val="24"/>
        </w:rPr>
        <w:t>rszu 1;</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prz</w:t>
      </w:r>
      <w:r w:rsidRPr="00835753">
        <w:rPr>
          <w:rFonts w:ascii="Times New Roman" w:hAnsi="Times New Roman"/>
          <w:bCs w:val="0"/>
          <w:color w:val="auto"/>
          <w:sz w:val="24"/>
        </w:rPr>
        <w:t>ypadku informacji ujawnianych co kwartał – na koniec kwartału poprzedzającego kwartał będący okresem odniesienia do celów ujawniania informacji). Instytucje mogą uzupełnić ujawnione przez siebie informacje</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ram</w:t>
      </w:r>
      <w:r w:rsidRPr="00835753">
        <w:rPr>
          <w:rFonts w:ascii="Times New Roman" w:hAnsi="Times New Roman"/>
          <w:bCs w:val="0"/>
          <w:color w:val="auto"/>
          <w:sz w:val="24"/>
        </w:rPr>
        <w:t>ach filaru III, ujawniając analogiczne informacje dotyczące trzech poprzedzających kwartałów.</w:t>
      </w:r>
    </w:p>
    <w:p w14:paraId="01D16541" w14:textId="7C2DC625" w:rsidR="00203C1C" w:rsidRPr="00835753"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sidRPr="00835753">
        <w:rPr>
          <w:rFonts w:ascii="Times New Roman" w:hAnsi="Times New Roman"/>
          <w:color w:val="auto"/>
          <w:sz w:val="24"/>
        </w:rPr>
        <w:t>W opisie dołączonym do niniejszego wzoru instytucje wyjaśniają dane liczbowe ujawnione</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wie</w:t>
      </w:r>
      <w:r w:rsidRPr="00835753">
        <w:rPr>
          <w:rFonts w:ascii="Times New Roman" w:hAnsi="Times New Roman"/>
          <w:color w:val="auto"/>
          <w:sz w:val="24"/>
        </w:rPr>
        <w:t>rszu 8 niniejszego wzoru, tj. dane na temat wszelkich innych czynników wywierających istotny wpływ na zmiany kwoty ekspozycji ważonej ryzykiem.</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7064"/>
      </w:tblGrid>
      <w:tr w:rsidR="00203C1C" w:rsidRPr="00835753"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23CF8D91"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203C1C" w:rsidRPr="00835753"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lastRenderedPageBreak/>
              <w:t>Numer wiersza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Wyjaśnienie</w:t>
            </w:r>
          </w:p>
        </w:tc>
      </w:tr>
      <w:tr w:rsidR="00203C1C" w:rsidRPr="00835753" w14:paraId="79571341" w14:textId="77777777" w:rsidTr="00155C96">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835753" w:rsidRDefault="00203C1C" w:rsidP="00350FB6">
            <w:pPr>
              <w:spacing w:after="240"/>
              <w:jc w:val="center"/>
              <w:rPr>
                <w:rFonts w:ascii="Times New Roman" w:hAnsi="Times New Roman" w:cs="Times New Roman"/>
                <w:b/>
                <w:sz w:val="24"/>
              </w:rPr>
            </w:pPr>
            <w:r w:rsidRPr="00835753">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Kwoty ekspozycji ważonych ryzykiem na koniec poprzedniego okresu</w:t>
            </w:r>
          </w:p>
          <w:p w14:paraId="17BE4483" w14:textId="2147888A"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sz w:val="24"/>
              </w:rPr>
              <w:t>Kwoty ekspozycji ważonych ryzykiem na koniec poprzedniego okresu wyprowadzone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sum</w:t>
            </w:r>
            <w:r w:rsidRPr="00835753">
              <w:rPr>
                <w:rFonts w:ascii="Times New Roman" w:hAnsi="Times New Roman"/>
                <w:sz w:val="24"/>
              </w:rPr>
              <w:t>y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364 CRR</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wył</w:t>
            </w:r>
            <w:r w:rsidRPr="00835753">
              <w:rPr>
                <w:rFonts w:ascii="Times New Roman" w:hAnsi="Times New Roman"/>
                <w:sz w:val="24"/>
              </w:rPr>
              <w:t>ączeniem art.</w:t>
            </w:r>
            <w:r w:rsidR="00835753" w:rsidRPr="00835753">
              <w:rPr>
                <w:rFonts w:ascii="Times New Roman" w:hAnsi="Times New Roman"/>
                <w:sz w:val="24"/>
              </w:rPr>
              <w:t> </w:t>
            </w:r>
            <w:r w:rsidRPr="00835753">
              <w:rPr>
                <w:rFonts w:ascii="Times New Roman" w:hAnsi="Times New Roman"/>
                <w:sz w:val="24"/>
              </w:rPr>
              <w:t>364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a) CRR,</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że wszelkie dodatkowe fundusze własne, których organy sprawujące nadzór wymagają od instytucji stosujących metodę modeli wewnętrznych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ryzyka rynkowego, przemnożone przez 12,5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92 ust.</w:t>
            </w:r>
            <w:r w:rsidR="00835753" w:rsidRPr="00835753">
              <w:rPr>
                <w:rFonts w:ascii="Times New Roman" w:hAnsi="Times New Roman"/>
                <w:sz w:val="24"/>
              </w:rPr>
              <w:t> </w:t>
            </w:r>
            <w:r w:rsidRPr="00835753">
              <w:rPr>
                <w:rFonts w:ascii="Times New Roman" w:hAnsi="Times New Roman"/>
                <w:sz w:val="24"/>
              </w:rPr>
              <w:t>4 lit.</w:t>
            </w:r>
            <w:r w:rsidR="00835753" w:rsidRPr="00835753">
              <w:rPr>
                <w:rFonts w:ascii="Times New Roman" w:hAnsi="Times New Roman"/>
                <w:sz w:val="24"/>
              </w:rPr>
              <w:t> </w:t>
            </w:r>
            <w:r w:rsidRPr="00835753">
              <w:rPr>
                <w:rFonts w:ascii="Times New Roman" w:hAnsi="Times New Roman"/>
                <w:sz w:val="24"/>
              </w:rPr>
              <w:t>b) CRR</w:t>
            </w:r>
          </w:p>
        </w:tc>
      </w:tr>
      <w:tr w:rsidR="00203C1C" w:rsidRPr="00835753"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835753" w:rsidRDefault="00203C1C" w:rsidP="00350FB6">
            <w:pPr>
              <w:spacing w:after="240"/>
              <w:jc w:val="center"/>
              <w:rPr>
                <w:rFonts w:ascii="Times New Roman" w:hAnsi="Times New Roman" w:cs="Times New Roman"/>
                <w:b/>
                <w:sz w:val="24"/>
              </w:rPr>
            </w:pPr>
            <w:r w:rsidRPr="00835753">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0AF37981" w14:textId="77777777" w:rsidR="00203C1C" w:rsidRPr="00835753" w:rsidRDefault="00203C1C" w:rsidP="00155C96">
            <w:pPr>
              <w:autoSpaceDE w:val="0"/>
              <w:autoSpaceDN w:val="0"/>
              <w:adjustRightInd w:val="0"/>
              <w:spacing w:after="240"/>
              <w:jc w:val="both"/>
              <w:rPr>
                <w:rFonts w:ascii="Times New Roman" w:hAnsi="Times New Roman" w:cs="Times New Roman"/>
                <w:color w:val="000000"/>
                <w:sz w:val="24"/>
              </w:rPr>
            </w:pPr>
            <w:r w:rsidRPr="00835753">
              <w:rPr>
                <w:rFonts w:ascii="Times New Roman" w:hAnsi="Times New Roman"/>
                <w:i/>
                <w:iCs/>
                <w:color w:val="000000"/>
                <w:sz w:val="24"/>
              </w:rPr>
              <w:t>Wahania poziomów ryzyka</w:t>
            </w:r>
          </w:p>
          <w:p w14:paraId="39890C40" w14:textId="77777777" w:rsidR="00203C1C" w:rsidRPr="00835753" w:rsidRDefault="00203C1C" w:rsidP="00155C96">
            <w:pPr>
              <w:autoSpaceDE w:val="0"/>
              <w:autoSpaceDN w:val="0"/>
              <w:adjustRightInd w:val="0"/>
              <w:spacing w:after="240"/>
              <w:jc w:val="both"/>
              <w:rPr>
                <w:rFonts w:ascii="Times New Roman" w:hAnsi="Times New Roman" w:cs="Times New Roman"/>
                <w:b/>
                <w:sz w:val="24"/>
              </w:rPr>
            </w:pPr>
            <w:r w:rsidRPr="00835753">
              <w:rPr>
                <w:rFonts w:ascii="Times New Roman" w:hAnsi="Times New Roman"/>
                <w:color w:val="000000"/>
                <w:sz w:val="24"/>
              </w:rPr>
              <w:t>Zmiany spowodowane zmianami pozycji innymi niż wynikające ze zmian polityki regulacyjnej</w:t>
            </w:r>
          </w:p>
        </w:tc>
      </w:tr>
      <w:tr w:rsidR="00203C1C" w:rsidRPr="00835753"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835753" w:rsidRDefault="00203C1C" w:rsidP="00350FB6">
            <w:pPr>
              <w:spacing w:after="240"/>
              <w:jc w:val="center"/>
              <w:rPr>
                <w:rFonts w:ascii="Times New Roman" w:hAnsi="Times New Roman" w:cs="Times New Roman"/>
                <w:b/>
                <w:sz w:val="24"/>
              </w:rPr>
            </w:pPr>
            <w:r w:rsidRPr="00835753">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835753" w:rsidRDefault="00203C1C" w:rsidP="00155C96">
            <w:pPr>
              <w:spacing w:after="240"/>
              <w:rPr>
                <w:rFonts w:ascii="Times New Roman" w:hAnsi="Times New Roman" w:cs="Times New Roman"/>
                <w:i/>
                <w:iCs/>
                <w:color w:val="000000"/>
                <w:sz w:val="24"/>
              </w:rPr>
            </w:pPr>
            <w:r w:rsidRPr="00835753">
              <w:rPr>
                <w:rFonts w:ascii="Times New Roman" w:hAnsi="Times New Roman"/>
                <w:i/>
                <w:iCs/>
                <w:color w:val="000000"/>
                <w:sz w:val="24"/>
              </w:rPr>
              <w:t>Zmiany modelu</w:t>
            </w:r>
          </w:p>
          <w:p w14:paraId="5C808E27" w14:textId="5EE1DBE4"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color w:val="000000"/>
                <w:sz w:val="24"/>
              </w:rPr>
              <w:t>Istotne aktualizacje modelu dokonywane</w:t>
            </w:r>
            <w:r w:rsidR="00835753" w:rsidRPr="00835753">
              <w:rPr>
                <w:rFonts w:ascii="Times New Roman" w:hAnsi="Times New Roman"/>
                <w:color w:val="000000"/>
                <w:sz w:val="24"/>
              </w:rPr>
              <w:t xml:space="preserve"> w</w:t>
            </w:r>
            <w:r w:rsidR="00835753">
              <w:rPr>
                <w:rFonts w:ascii="Times New Roman" w:hAnsi="Times New Roman"/>
                <w:color w:val="000000"/>
                <w:sz w:val="24"/>
              </w:rPr>
              <w:t> </w:t>
            </w:r>
            <w:r w:rsidR="00835753" w:rsidRPr="00835753">
              <w:rPr>
                <w:rFonts w:ascii="Times New Roman" w:hAnsi="Times New Roman"/>
                <w:color w:val="000000"/>
                <w:sz w:val="24"/>
              </w:rPr>
              <w:t>cel</w:t>
            </w:r>
            <w:r w:rsidRPr="00835753">
              <w:rPr>
                <w:rFonts w:ascii="Times New Roman" w:hAnsi="Times New Roman"/>
                <w:color w:val="000000"/>
                <w:sz w:val="24"/>
              </w:rPr>
              <w:t>u uwzględnienia ostatnich wydarzeń (np. rekalibracja),</w:t>
            </w:r>
            <w:r w:rsidR="00835753" w:rsidRPr="00835753">
              <w:rPr>
                <w:rFonts w:ascii="Times New Roman" w:hAnsi="Times New Roman"/>
                <w:color w:val="000000"/>
                <w:sz w:val="24"/>
              </w:rPr>
              <w:t xml:space="preserve"> a</w:t>
            </w:r>
            <w:r w:rsidR="00835753">
              <w:rPr>
                <w:rFonts w:ascii="Times New Roman" w:hAnsi="Times New Roman"/>
                <w:color w:val="000000"/>
                <w:sz w:val="24"/>
              </w:rPr>
              <w:t> </w:t>
            </w:r>
            <w:r w:rsidR="00835753" w:rsidRPr="00835753">
              <w:rPr>
                <w:rFonts w:ascii="Times New Roman" w:hAnsi="Times New Roman"/>
                <w:color w:val="000000"/>
                <w:sz w:val="24"/>
              </w:rPr>
              <w:t>tak</w:t>
            </w:r>
            <w:r w:rsidRPr="00835753">
              <w:rPr>
                <w:rFonts w:ascii="Times New Roman" w:hAnsi="Times New Roman"/>
                <w:color w:val="000000"/>
                <w:sz w:val="24"/>
              </w:rPr>
              <w:t>że istotne zmiany zakresu modelu. Jeżeli przeprowadzono więcej niż jedną aktualizację modelu, konieczne może okazać się dodanie dodatkowych wierszy.</w:t>
            </w:r>
          </w:p>
        </w:tc>
      </w:tr>
      <w:tr w:rsidR="00203C1C" w:rsidRPr="00835753"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835753" w:rsidRDefault="00203C1C" w:rsidP="00350FB6">
            <w:pPr>
              <w:spacing w:after="240"/>
              <w:jc w:val="center"/>
              <w:rPr>
                <w:rFonts w:ascii="Times New Roman" w:hAnsi="Times New Roman" w:cs="Times New Roman"/>
                <w:b/>
                <w:sz w:val="24"/>
              </w:rPr>
            </w:pPr>
            <w:r w:rsidRPr="00835753">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28970E06" w14:textId="24F06042" w:rsidR="00203C1C" w:rsidRPr="00835753" w:rsidRDefault="00203C1C" w:rsidP="00155C96">
            <w:pPr>
              <w:pStyle w:val="Default"/>
              <w:spacing w:after="240"/>
              <w:jc w:val="both"/>
              <w:rPr>
                <w:rFonts w:ascii="Times New Roman" w:hAnsi="Times New Roman" w:cs="Times New Roman"/>
              </w:rPr>
            </w:pPr>
            <w:r w:rsidRPr="00835753">
              <w:rPr>
                <w:rFonts w:ascii="Times New Roman" w:hAnsi="Times New Roman"/>
                <w:i/>
                <w:iCs/>
              </w:rPr>
              <w:t>Metodyka</w:t>
            </w:r>
            <w:r w:rsidR="00835753" w:rsidRPr="00835753">
              <w:rPr>
                <w:rFonts w:ascii="Times New Roman" w:hAnsi="Times New Roman"/>
                <w:i/>
                <w:iCs/>
              </w:rPr>
              <w:t xml:space="preserve"> i</w:t>
            </w:r>
            <w:r w:rsidR="00835753">
              <w:rPr>
                <w:rFonts w:ascii="Times New Roman" w:hAnsi="Times New Roman"/>
                <w:i/>
                <w:iCs/>
              </w:rPr>
              <w:t> </w:t>
            </w:r>
            <w:r w:rsidR="00835753" w:rsidRPr="00835753">
              <w:rPr>
                <w:rFonts w:ascii="Times New Roman" w:hAnsi="Times New Roman"/>
                <w:i/>
                <w:iCs/>
              </w:rPr>
              <w:t>pol</w:t>
            </w:r>
            <w:r w:rsidRPr="00835753">
              <w:rPr>
                <w:rFonts w:ascii="Times New Roman" w:hAnsi="Times New Roman"/>
                <w:i/>
                <w:iCs/>
              </w:rPr>
              <w:t>ityka</w:t>
            </w:r>
          </w:p>
          <w:p w14:paraId="4601C250" w14:textId="77777777" w:rsidR="00203C1C" w:rsidRPr="00835753" w:rsidRDefault="00203C1C" w:rsidP="00155C96">
            <w:pPr>
              <w:pStyle w:val="Default"/>
              <w:spacing w:after="240"/>
              <w:jc w:val="both"/>
              <w:rPr>
                <w:rFonts w:ascii="Times New Roman" w:hAnsi="Times New Roman" w:cs="Times New Roman"/>
                <w:b/>
              </w:rPr>
            </w:pPr>
            <w:r w:rsidRPr="00835753">
              <w:rPr>
                <w:rFonts w:ascii="Times New Roman" w:hAnsi="Times New Roman"/>
              </w:rPr>
              <w:t>Zmiany metodyki dokonywania obliczeń spowodowane zmianami polityki regulacyjnej</w:t>
            </w:r>
          </w:p>
        </w:tc>
      </w:tr>
      <w:tr w:rsidR="00203C1C" w:rsidRPr="00835753"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835753" w:rsidRDefault="00203C1C" w:rsidP="00350FB6">
            <w:pPr>
              <w:spacing w:after="240"/>
              <w:jc w:val="center"/>
              <w:rPr>
                <w:rFonts w:ascii="Times New Roman" w:hAnsi="Times New Roman" w:cs="Times New Roman"/>
                <w:b/>
                <w:sz w:val="24"/>
              </w:rPr>
            </w:pPr>
            <w:r w:rsidRPr="00835753">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222EC5E" w14:textId="4A8CCBA0" w:rsidR="00203C1C" w:rsidRPr="00835753" w:rsidRDefault="00203C1C" w:rsidP="00155C96">
            <w:pPr>
              <w:pStyle w:val="Default"/>
              <w:spacing w:after="240"/>
              <w:jc w:val="both"/>
              <w:rPr>
                <w:rFonts w:ascii="Times New Roman" w:hAnsi="Times New Roman" w:cs="Times New Roman"/>
              </w:rPr>
            </w:pPr>
            <w:r w:rsidRPr="00835753">
              <w:rPr>
                <w:rFonts w:ascii="Times New Roman" w:hAnsi="Times New Roman"/>
                <w:i/>
                <w:iCs/>
              </w:rPr>
              <w:t>Nabycia</w:t>
            </w:r>
            <w:r w:rsidR="00835753" w:rsidRPr="00835753">
              <w:rPr>
                <w:rFonts w:ascii="Times New Roman" w:hAnsi="Times New Roman"/>
                <w:i/>
                <w:iCs/>
              </w:rPr>
              <w:t xml:space="preserve"> i</w:t>
            </w:r>
            <w:r w:rsidR="00835753">
              <w:rPr>
                <w:rFonts w:ascii="Times New Roman" w:hAnsi="Times New Roman"/>
                <w:i/>
                <w:iCs/>
              </w:rPr>
              <w:t> </w:t>
            </w:r>
            <w:r w:rsidR="00835753" w:rsidRPr="00835753">
              <w:rPr>
                <w:rFonts w:ascii="Times New Roman" w:hAnsi="Times New Roman"/>
                <w:i/>
                <w:iCs/>
              </w:rPr>
              <w:t>zby</w:t>
            </w:r>
            <w:r w:rsidRPr="00835753">
              <w:rPr>
                <w:rFonts w:ascii="Times New Roman" w:hAnsi="Times New Roman"/>
                <w:i/>
                <w:iCs/>
              </w:rPr>
              <w:t>cia</w:t>
            </w:r>
          </w:p>
          <w:p w14:paraId="70D2C9BB" w14:textId="77777777" w:rsidR="00203C1C" w:rsidRPr="00835753" w:rsidRDefault="00203C1C" w:rsidP="00155C96">
            <w:pPr>
              <w:pStyle w:val="Default"/>
              <w:spacing w:after="240"/>
              <w:jc w:val="both"/>
              <w:rPr>
                <w:rFonts w:ascii="Times New Roman" w:hAnsi="Times New Roman" w:cs="Times New Roman"/>
              </w:rPr>
            </w:pPr>
            <w:r w:rsidRPr="00835753">
              <w:rPr>
                <w:rFonts w:ascii="Times New Roman" w:hAnsi="Times New Roman"/>
              </w:rPr>
              <w:t>Zmiany spowodowane przejęciem lub zbyciem przedsiębiorstwa/linii produkcyjnych lub podmiotów</w:t>
            </w:r>
          </w:p>
        </w:tc>
      </w:tr>
      <w:tr w:rsidR="00203C1C" w:rsidRPr="00835753"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835753" w:rsidRDefault="00203C1C" w:rsidP="00350FB6">
            <w:pPr>
              <w:spacing w:after="240"/>
              <w:jc w:val="center"/>
              <w:rPr>
                <w:rFonts w:ascii="Times New Roman" w:hAnsi="Times New Roman" w:cs="Times New Roman"/>
                <w:b/>
                <w:sz w:val="24"/>
              </w:rPr>
            </w:pPr>
            <w:r w:rsidRPr="00835753">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835753" w:rsidRDefault="00203C1C" w:rsidP="00155C96">
            <w:pPr>
              <w:pStyle w:val="Default"/>
              <w:spacing w:after="240"/>
              <w:jc w:val="both"/>
              <w:rPr>
                <w:rFonts w:ascii="Times New Roman" w:hAnsi="Times New Roman" w:cs="Times New Roman"/>
              </w:rPr>
            </w:pPr>
            <w:r w:rsidRPr="00835753">
              <w:rPr>
                <w:rFonts w:ascii="Times New Roman" w:hAnsi="Times New Roman"/>
                <w:i/>
                <w:iCs/>
              </w:rPr>
              <w:t>Wahania kursów walutowych</w:t>
            </w:r>
          </w:p>
          <w:p w14:paraId="6B59EAA1" w14:textId="6045371E" w:rsidR="00203C1C" w:rsidRPr="00835753" w:rsidRDefault="00203C1C" w:rsidP="00155C96">
            <w:pPr>
              <w:pStyle w:val="Default"/>
              <w:spacing w:after="240"/>
              <w:jc w:val="both"/>
              <w:rPr>
                <w:rFonts w:ascii="Times New Roman" w:hAnsi="Times New Roman" w:cs="Times New Roman"/>
              </w:rPr>
            </w:pPr>
            <w:r w:rsidRPr="00835753">
              <w:rPr>
                <w:rFonts w:ascii="Times New Roman" w:hAnsi="Times New Roman"/>
              </w:rPr>
              <w:t>Zmiany wynikające</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wah</w:t>
            </w:r>
            <w:r w:rsidRPr="00835753">
              <w:rPr>
                <w:rFonts w:ascii="Times New Roman" w:hAnsi="Times New Roman"/>
              </w:rPr>
              <w:t>ań związanych</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prz</w:t>
            </w:r>
            <w:r w:rsidRPr="00835753">
              <w:rPr>
                <w:rFonts w:ascii="Times New Roman" w:hAnsi="Times New Roman"/>
              </w:rPr>
              <w:t>eliczaniem waluty obcej</w:t>
            </w:r>
          </w:p>
        </w:tc>
      </w:tr>
      <w:tr w:rsidR="00203C1C" w:rsidRPr="00835753"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835753" w:rsidRDefault="00203C1C" w:rsidP="00350FB6">
            <w:pPr>
              <w:spacing w:after="240"/>
              <w:jc w:val="center"/>
              <w:rPr>
                <w:rFonts w:ascii="Times New Roman" w:hAnsi="Times New Roman" w:cs="Times New Roman"/>
                <w:b/>
                <w:sz w:val="24"/>
              </w:rPr>
            </w:pPr>
            <w:r w:rsidRPr="00835753">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i/>
                <w:iCs/>
                <w:sz w:val="24"/>
              </w:rPr>
              <w:t>Inne</w:t>
            </w:r>
          </w:p>
          <w:p w14:paraId="54C3644D" w14:textId="46EE0458"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sz w:val="24"/>
              </w:rPr>
              <w:t>Tę kategorię wykorzystuje się do ujmowania zmian, których nie można przypisać do żadnej</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kat</w:t>
            </w:r>
            <w:r w:rsidRPr="00835753">
              <w:rPr>
                <w:rFonts w:ascii="Times New Roman" w:hAnsi="Times New Roman"/>
                <w:sz w:val="24"/>
              </w:rPr>
              <w:t>egorii czynników przedstawionych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rszach 2–6 niniejszego wzoru, natomiast wyjaśnienia dotyczące czynników leżących</w:t>
            </w:r>
            <w:r w:rsidR="00835753" w:rsidRPr="00835753">
              <w:rPr>
                <w:rFonts w:ascii="Times New Roman" w:hAnsi="Times New Roman"/>
                <w:sz w:val="24"/>
              </w:rPr>
              <w:t xml:space="preserve"> u</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staw tych zmian należy przedstawić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opi</w:t>
            </w:r>
            <w:r w:rsidRPr="00835753">
              <w:rPr>
                <w:rFonts w:ascii="Times New Roman" w:hAnsi="Times New Roman"/>
                <w:sz w:val="24"/>
              </w:rPr>
              <w:t xml:space="preserve">sie dołączonym do niniejszego wzoru. </w:t>
            </w:r>
          </w:p>
        </w:tc>
      </w:tr>
      <w:tr w:rsidR="00203C1C" w:rsidRPr="00835753"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835753" w:rsidRDefault="00203C1C" w:rsidP="00350FB6">
            <w:pPr>
              <w:spacing w:after="240"/>
              <w:jc w:val="center"/>
              <w:rPr>
                <w:rFonts w:ascii="Times New Roman" w:hAnsi="Times New Roman" w:cs="Times New Roman"/>
                <w:b/>
                <w:i/>
                <w:sz w:val="24"/>
              </w:rPr>
            </w:pPr>
            <w:r w:rsidRPr="00835753">
              <w:rPr>
                <w:rFonts w:ascii="Times New Roman" w:hAnsi="Times New Roman"/>
                <w:b/>
                <w:sz w:val="24"/>
              </w:rPr>
              <w:lastRenderedPageBreak/>
              <w:t>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Kwoty ekspozycji ważonych ryzykiem na koniec okresu, za który informacje podlegają ujawnieniu</w:t>
            </w:r>
          </w:p>
          <w:p w14:paraId="12A5EFE7" w14:textId="2A688CDF"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sz w:val="24"/>
              </w:rPr>
              <w:t>Kwoty ekspozycji ważonych ryzykiem na koniec okresu wyprowadzone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sum</w:t>
            </w:r>
            <w:r w:rsidRPr="00835753">
              <w:rPr>
                <w:rFonts w:ascii="Times New Roman" w:hAnsi="Times New Roman"/>
                <w:sz w:val="24"/>
              </w:rPr>
              <w:t>y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364 CRR</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wył</w:t>
            </w:r>
            <w:r w:rsidRPr="00835753">
              <w:rPr>
                <w:rFonts w:ascii="Times New Roman" w:hAnsi="Times New Roman"/>
                <w:sz w:val="24"/>
              </w:rPr>
              <w:t>ączeniem art.</w:t>
            </w:r>
            <w:r w:rsidR="00835753" w:rsidRPr="00835753">
              <w:rPr>
                <w:rFonts w:ascii="Times New Roman" w:hAnsi="Times New Roman"/>
                <w:sz w:val="24"/>
              </w:rPr>
              <w:t> </w:t>
            </w:r>
            <w:r w:rsidRPr="00835753">
              <w:rPr>
                <w:rFonts w:ascii="Times New Roman" w:hAnsi="Times New Roman"/>
                <w:sz w:val="24"/>
              </w:rPr>
              <w:t>364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a) CRR,</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że wszelkie dodatkowe fundusze własne, których organy sprawujące nadzór wymagają od instytucji stosujących metodę modeli wewnętrznych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ryzyka rynkowego, przemnożone przez 12,5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92 ust.</w:t>
            </w:r>
            <w:r w:rsidR="00835753" w:rsidRPr="00835753">
              <w:rPr>
                <w:rFonts w:ascii="Times New Roman" w:hAnsi="Times New Roman"/>
                <w:sz w:val="24"/>
              </w:rPr>
              <w:t> </w:t>
            </w:r>
            <w:r w:rsidRPr="00835753">
              <w:rPr>
                <w:rFonts w:ascii="Times New Roman" w:hAnsi="Times New Roman"/>
                <w:sz w:val="24"/>
              </w:rPr>
              <w:t>4 lit.</w:t>
            </w:r>
            <w:r w:rsidR="00835753" w:rsidRPr="00835753">
              <w:rPr>
                <w:rFonts w:ascii="Times New Roman" w:hAnsi="Times New Roman"/>
                <w:sz w:val="24"/>
              </w:rPr>
              <w:t> </w:t>
            </w:r>
            <w:r w:rsidRPr="00835753">
              <w:rPr>
                <w:rFonts w:ascii="Times New Roman" w:hAnsi="Times New Roman"/>
                <w:sz w:val="24"/>
              </w:rPr>
              <w:t>b) CRR</w:t>
            </w:r>
          </w:p>
        </w:tc>
      </w:tr>
      <w:tr w:rsidR="00203C1C" w:rsidRPr="00835753"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835753" w:rsidRDefault="00203C1C" w:rsidP="00350FB6">
            <w:pPr>
              <w:spacing w:after="240"/>
              <w:jc w:val="center"/>
              <w:rPr>
                <w:rFonts w:ascii="Times New Roman" w:hAnsi="Times New Roman" w:cs="Times New Roman"/>
                <w:sz w:val="24"/>
              </w:rPr>
            </w:pPr>
            <w:r w:rsidRPr="00835753">
              <w:rPr>
                <w:rFonts w:ascii="Times New Roman" w:hAnsi="Times New Roman"/>
                <w:sz w:val="24"/>
              </w:rPr>
              <w:t>1a/1b/8a/8b</w:t>
            </w:r>
          </w:p>
        </w:tc>
        <w:tc>
          <w:tcPr>
            <w:tcW w:w="7242" w:type="dxa"/>
            <w:tcBorders>
              <w:top w:val="single" w:sz="4" w:space="0" w:color="auto"/>
              <w:left w:val="single" w:sz="4" w:space="0" w:color="auto"/>
              <w:bottom w:val="single" w:sz="4" w:space="0" w:color="auto"/>
              <w:right w:val="single" w:sz="4" w:space="0" w:color="auto"/>
            </w:tcBorders>
          </w:tcPr>
          <w:p w14:paraId="456AC99A" w14:textId="6678A47E"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Z wierszy 1a/1b</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8</w:t>
            </w:r>
            <w:r w:rsidRPr="00835753">
              <w:rPr>
                <w:rFonts w:ascii="Times New Roman" w:hAnsi="Times New Roman"/>
                <w:sz w:val="24"/>
              </w:rPr>
              <w:t>a/8b niniejszego wzoru należy korzystać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gdy aktywa ważone ryzykiem/wymogi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dow</w:t>
            </w:r>
            <w:r w:rsidRPr="00835753">
              <w:rPr>
                <w:rFonts w:ascii="Times New Roman" w:hAnsi="Times New Roman"/>
                <w:sz w:val="24"/>
              </w:rPr>
              <w:t>olnej</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 a</w:t>
            </w:r>
            <w:proofErr w:type="gramStart"/>
            <w:r w:rsidRPr="00835753">
              <w:rPr>
                <w:rFonts w:ascii="Times New Roman" w:hAnsi="Times New Roman"/>
                <w:sz w:val="24"/>
              </w:rPr>
              <w:t>)–d</w:t>
            </w:r>
            <w:proofErr w:type="gramEnd"/>
            <w:r w:rsidRPr="00835753">
              <w:rPr>
                <w:rFonts w:ascii="Times New Roman" w:hAnsi="Times New Roman"/>
                <w:sz w:val="24"/>
              </w:rPr>
              <w:t>) niniejszego wzoru będą odpowiadały średniej mierze 60-dniowej (w przypadku VaR i sVaR) lub średniej mierze 12-tygodniowej lub dolnemu pułapowi (w przypadku IRC</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kom</w:t>
            </w:r>
            <w:r w:rsidRPr="00835753">
              <w:rPr>
                <w:rFonts w:ascii="Times New Roman" w:hAnsi="Times New Roman"/>
                <w:sz w:val="24"/>
              </w:rPr>
              <w:t>pleksowej miary ryzyka),</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nie</w:t>
            </w:r>
            <w:r w:rsidRPr="00835753">
              <w:rPr>
                <w:rFonts w:ascii="Times New Roman" w:hAnsi="Times New Roman"/>
                <w:sz w:val="24"/>
              </w:rPr>
              <w:t xml:space="preserve"> aktywom ważonym ryzykiem/wymogom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na koniec okresu (poprzedniego okresu lub okresu, za który informacje podlegają ujawnieniu),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ppkt (i), art.</w:t>
            </w:r>
            <w:r w:rsidR="00835753" w:rsidRPr="00835753">
              <w:rPr>
                <w:rFonts w:ascii="Times New Roman" w:hAnsi="Times New Roman"/>
                <w:sz w:val="24"/>
              </w:rPr>
              <w:t> </w:t>
            </w:r>
            <w:r w:rsidRPr="00835753">
              <w:rPr>
                <w:rFonts w:ascii="Times New Roman" w:hAnsi="Times New Roman"/>
                <w:sz w:val="24"/>
              </w:rPr>
              <w:t>364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b) ppkt (i), art.</w:t>
            </w:r>
            <w:r w:rsidR="00835753" w:rsidRPr="00835753">
              <w:rPr>
                <w:rFonts w:ascii="Times New Roman" w:hAnsi="Times New Roman"/>
                <w:sz w:val="24"/>
              </w:rPr>
              <w:t> </w:t>
            </w:r>
            <w:r w:rsidRPr="00835753">
              <w:rPr>
                <w:rFonts w:ascii="Times New Roman" w:hAnsi="Times New Roman"/>
                <w:sz w:val="24"/>
              </w:rPr>
              <w:t>364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b) ppkt (i) oraz art.</w:t>
            </w:r>
            <w:r w:rsidR="00835753" w:rsidRPr="00835753">
              <w:rPr>
                <w:rFonts w:ascii="Times New Roman" w:hAnsi="Times New Roman"/>
                <w:sz w:val="24"/>
              </w:rPr>
              <w:t> </w:t>
            </w:r>
            <w:r w:rsidRPr="00835753">
              <w:rPr>
                <w:rFonts w:ascii="Times New Roman" w:hAnsi="Times New Roman"/>
                <w:sz w:val="24"/>
              </w:rPr>
              <w:t>364 ust.</w:t>
            </w:r>
            <w:r w:rsidR="00835753" w:rsidRPr="00835753">
              <w:rPr>
                <w:rFonts w:ascii="Times New Roman" w:hAnsi="Times New Roman"/>
                <w:sz w:val="24"/>
              </w:rPr>
              <w:t> </w:t>
            </w:r>
            <w:r w:rsidRPr="00835753">
              <w:rPr>
                <w:rFonts w:ascii="Times New Roman" w:hAnsi="Times New Roman"/>
                <w:sz w:val="24"/>
              </w:rPr>
              <w:t>3 lit.</w:t>
            </w:r>
            <w:r w:rsidR="00835753" w:rsidRPr="00835753">
              <w:rPr>
                <w:rFonts w:ascii="Times New Roman" w:hAnsi="Times New Roman"/>
                <w:sz w:val="24"/>
              </w:rPr>
              <w:t> </w:t>
            </w:r>
            <w:proofErr w:type="gramStart"/>
            <w:r w:rsidRPr="00835753">
              <w:rPr>
                <w:rFonts w:ascii="Times New Roman" w:hAnsi="Times New Roman"/>
                <w:sz w:val="24"/>
              </w:rPr>
              <w:t>a</w:t>
            </w:r>
            <w:proofErr w:type="gramEnd"/>
            <w:r w:rsidRPr="00835753">
              <w:rPr>
                <w:rFonts w:ascii="Times New Roman" w:hAnsi="Times New Roman"/>
                <w:sz w:val="24"/>
              </w:rPr>
              <w:t>) CRR. Kwota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dod</w:t>
            </w:r>
            <w:r w:rsidRPr="00835753">
              <w:rPr>
                <w:rFonts w:ascii="Times New Roman" w:hAnsi="Times New Roman"/>
                <w:sz w:val="24"/>
              </w:rPr>
              <w:t>atkowych wierszach 1a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8</w:t>
            </w:r>
            <w:r w:rsidRPr="00835753">
              <w:rPr>
                <w:rFonts w:ascii="Times New Roman" w:hAnsi="Times New Roman"/>
                <w:sz w:val="24"/>
              </w:rPr>
              <w:t>b odpowiada różnicy między ostateczną kwotą ekspozycji ważonej ryzykiem wyprowadzoną ze średnich miar, ujawnioną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rszach 1 lub</w:t>
            </w:r>
            <w:r w:rsidR="00835753" w:rsidRPr="00835753">
              <w:rPr>
                <w:rFonts w:ascii="Times New Roman" w:hAnsi="Times New Roman"/>
                <w:sz w:val="24"/>
              </w:rPr>
              <w:t> </w:t>
            </w:r>
            <w:r w:rsidRPr="00835753">
              <w:rPr>
                <w:rFonts w:ascii="Times New Roman" w:hAnsi="Times New Roman"/>
                <w:sz w:val="24"/>
              </w:rPr>
              <w:t>8 niniejszego wzoru</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mia</w:t>
            </w:r>
            <w:r w:rsidRPr="00835753">
              <w:rPr>
                <w:rFonts w:ascii="Times New Roman" w:hAnsi="Times New Roman"/>
                <w:sz w:val="24"/>
              </w:rPr>
              <w:t>rami wyprowadzonymi bezpośrednio</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mod</w:t>
            </w:r>
            <w:r w:rsidRPr="00835753">
              <w:rPr>
                <w:rFonts w:ascii="Times New Roman" w:hAnsi="Times New Roman"/>
                <w:sz w:val="24"/>
              </w:rPr>
              <w:t>eli przedstawionych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rszach 1b/8a niniejszego wzoru</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ich przypadkach dodatkowe wiersze na potrzeby korekty regulacyjnej (wiersze 1a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8</w:t>
            </w:r>
            <w:r w:rsidRPr="00835753">
              <w:rPr>
                <w:rFonts w:ascii="Times New Roman" w:hAnsi="Times New Roman"/>
                <w:sz w:val="24"/>
              </w:rPr>
              <w:t>b niniejszego wzoru) służą zapewnieniu, aby instytucja była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sta</w:t>
            </w:r>
            <w:r w:rsidRPr="00835753">
              <w:rPr>
                <w:rFonts w:ascii="Times New Roman" w:hAnsi="Times New Roman"/>
                <w:sz w:val="24"/>
              </w:rPr>
              <w:t>nie przedstawić źródło zmian aktywów ważonych ryzykiem/wymogu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na podstawie ostatniej miary aktywów ważonych ryzykiem/wymogu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na koniec okresu (poprzedniego okresu lub okresu, za który informacje podlegają ujawnieniu)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rszach 1b</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8</w:t>
            </w:r>
            <w:r w:rsidRPr="00835753">
              <w:rPr>
                <w:rFonts w:ascii="Times New Roman" w:hAnsi="Times New Roman"/>
                <w:sz w:val="24"/>
              </w:rPr>
              <w:t>a niniejszego wzoru</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przypadku wiersze 2, 3, 4, 5, 6</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7</w:t>
            </w:r>
            <w:r w:rsidRPr="00835753">
              <w:rPr>
                <w:rFonts w:ascii="Times New Roman" w:hAnsi="Times New Roman"/>
                <w:sz w:val="24"/>
              </w:rPr>
              <w:t xml:space="preserve"> niniejszego wzoru pozwalają uzgodnić wartość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rszach 1b</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8</w:t>
            </w:r>
            <w:r w:rsidRPr="00835753">
              <w:rPr>
                <w:rFonts w:ascii="Times New Roman" w:hAnsi="Times New Roman"/>
                <w:sz w:val="24"/>
              </w:rPr>
              <w:t>a</w:t>
            </w:r>
            <w:r w:rsidRPr="00835753">
              <w:rPr>
                <w:rStyle w:val="FootnoteReference"/>
                <w:rFonts w:ascii="Times New Roman" w:hAnsi="Times New Roman" w:cs="Times New Roman"/>
                <w:sz w:val="24"/>
                <w:szCs w:val="24"/>
              </w:rPr>
              <w:footnoteReference w:id="48"/>
            </w:r>
            <w:r w:rsidRPr="00835753">
              <w:rPr>
                <w:rFonts w:ascii="Times New Roman" w:hAnsi="Times New Roman"/>
                <w:sz w:val="24"/>
              </w:rPr>
              <w:t xml:space="preserve"> niniejszego wzoru. </w:t>
            </w:r>
          </w:p>
        </w:tc>
      </w:tr>
      <w:tr w:rsidR="00203C1C" w:rsidRPr="00835753"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Litera kolumny</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Wyjaśnienie</w:t>
            </w:r>
          </w:p>
        </w:tc>
      </w:tr>
      <w:tr w:rsidR="00203C1C" w:rsidRPr="00835753"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835753" w:rsidRDefault="00203C1C" w:rsidP="00940268">
            <w:pPr>
              <w:spacing w:after="240"/>
              <w:jc w:val="center"/>
              <w:rPr>
                <w:rFonts w:ascii="Times New Roman" w:hAnsi="Times New Roman" w:cs="Times New Roman"/>
                <w:b/>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160F26D2" w14:textId="4BCA5BBD"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i/>
                <w:sz w:val="24"/>
              </w:rPr>
              <w:t xml:space="preserve">VaR </w:t>
            </w:r>
            <w:r w:rsidRPr="00835753">
              <w:rPr>
                <w:rFonts w:ascii="Times New Roman" w:hAnsi="Times New Roman"/>
                <w:sz w:val="24"/>
              </w:rPr>
              <w:t>Kluczowe czynniki leżące</w:t>
            </w:r>
            <w:r w:rsidR="00835753" w:rsidRPr="00835753">
              <w:rPr>
                <w:rFonts w:ascii="Times New Roman" w:hAnsi="Times New Roman"/>
                <w:sz w:val="24"/>
              </w:rPr>
              <w:t xml:space="preserve"> u</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staw zmian wartości zagrożonej kwot ekspozycji ważonych ryzykiem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a) CRR, do których to zmian doszło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okresie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rszami 2–7 niniejszego wzoru (w oparciu</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wia</w:t>
            </w:r>
            <w:r w:rsidRPr="00835753">
              <w:rPr>
                <w:rFonts w:ascii="Times New Roman" w:hAnsi="Times New Roman"/>
                <w:sz w:val="24"/>
              </w:rPr>
              <w:t xml:space="preserve">rygodne szacunki) </w:t>
            </w:r>
          </w:p>
        </w:tc>
      </w:tr>
      <w:tr w:rsidR="00203C1C" w:rsidRPr="00835753"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835753" w:rsidRDefault="00203C1C" w:rsidP="00940268">
            <w:pPr>
              <w:spacing w:after="240"/>
              <w:jc w:val="center"/>
              <w:rPr>
                <w:rFonts w:ascii="Times New Roman" w:hAnsi="Times New Roman" w:cs="Times New Roman"/>
                <w:b/>
                <w:sz w:val="24"/>
              </w:rPr>
            </w:pPr>
            <w:proofErr w:type="gramStart"/>
            <w:r w:rsidRPr="00835753">
              <w:rPr>
                <w:rFonts w:ascii="Times New Roman" w:hAnsi="Times New Roman"/>
                <w:sz w:val="24"/>
              </w:rPr>
              <w:lastRenderedPageBreak/>
              <w:t>b</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835753" w:rsidRDefault="00203C1C" w:rsidP="00155C96">
            <w:pPr>
              <w:spacing w:after="240"/>
              <w:rPr>
                <w:rFonts w:ascii="Times New Roman" w:hAnsi="Times New Roman" w:cs="Times New Roman"/>
                <w:i/>
                <w:sz w:val="24"/>
              </w:rPr>
            </w:pPr>
            <w:r w:rsidRPr="00835753">
              <w:rPr>
                <w:rFonts w:ascii="Times New Roman" w:hAnsi="Times New Roman"/>
                <w:i/>
                <w:sz w:val="24"/>
              </w:rPr>
              <w:t>SVaR</w:t>
            </w:r>
          </w:p>
          <w:p w14:paraId="2F882761" w14:textId="7ED12F61" w:rsidR="00203C1C" w:rsidRPr="00835753" w:rsidRDefault="00203C1C" w:rsidP="00155C96">
            <w:pPr>
              <w:spacing w:after="240"/>
              <w:jc w:val="both"/>
              <w:rPr>
                <w:rFonts w:ascii="Times New Roman" w:hAnsi="Times New Roman" w:cs="Times New Roman"/>
                <w:b/>
                <w:sz w:val="24"/>
              </w:rPr>
            </w:pPr>
            <w:r w:rsidRPr="00835753">
              <w:rPr>
                <w:rFonts w:ascii="Times New Roman" w:hAnsi="Times New Roman"/>
                <w:sz w:val="24"/>
              </w:rPr>
              <w:t>Kluczowe czynniki leżące</w:t>
            </w:r>
            <w:r w:rsidR="00835753" w:rsidRPr="00835753">
              <w:rPr>
                <w:rFonts w:ascii="Times New Roman" w:hAnsi="Times New Roman"/>
                <w:sz w:val="24"/>
              </w:rPr>
              <w:t xml:space="preserve"> u</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staw zmian wartości zagrożonej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unkach skrajnych kwot ekspozycji ważonych ryzykiem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b) CRR oraz</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wsz</w:t>
            </w:r>
            <w:r w:rsidRPr="00835753">
              <w:rPr>
                <w:rFonts w:ascii="Times New Roman" w:hAnsi="Times New Roman"/>
                <w:sz w:val="24"/>
              </w:rPr>
              <w:t>elkich dodatkowych funduszy własnych wymaganych przez organy sprawujące nadzór, do których to zmian doszło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okresie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rszami 2–7 niniejszego wzoru (w oparciu</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wia</w:t>
            </w:r>
            <w:r w:rsidRPr="00835753">
              <w:rPr>
                <w:rFonts w:ascii="Times New Roman" w:hAnsi="Times New Roman"/>
                <w:sz w:val="24"/>
              </w:rPr>
              <w:t>rygodne szacunki)</w:t>
            </w:r>
          </w:p>
        </w:tc>
      </w:tr>
      <w:tr w:rsidR="00203C1C" w:rsidRPr="00835753"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835753" w:rsidRDefault="00203C1C" w:rsidP="00940268">
            <w:pPr>
              <w:spacing w:after="240"/>
              <w:jc w:val="center"/>
              <w:rPr>
                <w:rFonts w:ascii="Times New Roman" w:hAnsi="Times New Roman" w:cs="Times New Roman"/>
                <w:sz w:val="24"/>
              </w:rPr>
            </w:pPr>
            <w:proofErr w:type="gramStart"/>
            <w:r w:rsidRPr="00835753">
              <w:rPr>
                <w:rFonts w:ascii="Times New Roman" w:hAnsi="Times New Roman"/>
                <w:sz w:val="24"/>
              </w:rPr>
              <w:t>c</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835753" w:rsidRDefault="00203C1C" w:rsidP="00155C96">
            <w:pPr>
              <w:spacing w:after="240"/>
              <w:rPr>
                <w:rFonts w:ascii="Times New Roman" w:hAnsi="Times New Roman" w:cs="Times New Roman"/>
                <w:i/>
                <w:sz w:val="24"/>
              </w:rPr>
            </w:pPr>
            <w:r w:rsidRPr="00835753">
              <w:rPr>
                <w:rFonts w:ascii="Times New Roman" w:hAnsi="Times New Roman"/>
                <w:i/>
                <w:sz w:val="24"/>
              </w:rPr>
              <w:t>IRC</w:t>
            </w:r>
          </w:p>
          <w:p w14:paraId="2EF6A068" w14:textId="50D0ED37" w:rsidR="00203C1C" w:rsidRPr="00835753" w:rsidRDefault="00203C1C" w:rsidP="00155C96">
            <w:pPr>
              <w:autoSpaceDE w:val="0"/>
              <w:autoSpaceDN w:val="0"/>
              <w:adjustRightInd w:val="0"/>
              <w:spacing w:after="240"/>
              <w:jc w:val="both"/>
              <w:rPr>
                <w:rFonts w:ascii="Times New Roman" w:hAnsi="Times New Roman" w:cs="Times New Roman"/>
                <w:sz w:val="24"/>
              </w:rPr>
            </w:pPr>
            <w:r w:rsidRPr="00835753">
              <w:rPr>
                <w:rFonts w:ascii="Times New Roman" w:hAnsi="Times New Roman"/>
                <w:sz w:val="24"/>
              </w:rPr>
              <w:t>Kluczowe czynniki leżące</w:t>
            </w:r>
            <w:r w:rsidR="00835753" w:rsidRPr="00835753">
              <w:rPr>
                <w:rFonts w:ascii="Times New Roman" w:hAnsi="Times New Roman"/>
                <w:sz w:val="24"/>
              </w:rPr>
              <w:t xml:space="preserve"> u</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staw zmian ryzyka niewykonania zobowiązań</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mig</w:t>
            </w:r>
            <w:r w:rsidRPr="00835753">
              <w:rPr>
                <w:rFonts w:ascii="Times New Roman" w:hAnsi="Times New Roman"/>
                <w:sz w:val="24"/>
              </w:rPr>
              <w:t>racji odnoszącego się do kwot ekspozycji ważonych ryzykiem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364 ust.</w:t>
            </w:r>
            <w:r w:rsidR="00835753" w:rsidRPr="00835753">
              <w:rPr>
                <w:rFonts w:ascii="Times New Roman" w:hAnsi="Times New Roman"/>
                <w:sz w:val="24"/>
              </w:rPr>
              <w:t> </w:t>
            </w:r>
            <w:r w:rsidRPr="00835753">
              <w:rPr>
                <w:rFonts w:ascii="Times New Roman" w:hAnsi="Times New Roman"/>
                <w:sz w:val="24"/>
              </w:rPr>
              <w:t>2 lit.</w:t>
            </w:r>
            <w:r w:rsidR="00835753" w:rsidRPr="00835753">
              <w:rPr>
                <w:rFonts w:ascii="Times New Roman" w:hAnsi="Times New Roman"/>
                <w:sz w:val="24"/>
              </w:rPr>
              <w:t> </w:t>
            </w:r>
            <w:r w:rsidRPr="00835753">
              <w:rPr>
                <w:rFonts w:ascii="Times New Roman" w:hAnsi="Times New Roman"/>
                <w:sz w:val="24"/>
              </w:rPr>
              <w:t>b) CRR oraz</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wsz</w:t>
            </w:r>
            <w:r w:rsidRPr="00835753">
              <w:rPr>
                <w:rFonts w:ascii="Times New Roman" w:hAnsi="Times New Roman"/>
                <w:sz w:val="24"/>
              </w:rPr>
              <w:t>elkich dodatkowych funduszy własnych wymaganych przez organy sprawujące nadzór, do których to zmian doszło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okresie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rszami 2–7 niniejszego wzoru (w oparciu</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wia</w:t>
            </w:r>
            <w:r w:rsidRPr="00835753">
              <w:rPr>
                <w:rFonts w:ascii="Times New Roman" w:hAnsi="Times New Roman"/>
                <w:sz w:val="24"/>
              </w:rPr>
              <w:t>rygodne szacunki)</w:t>
            </w:r>
          </w:p>
        </w:tc>
      </w:tr>
      <w:tr w:rsidR="00203C1C" w:rsidRPr="00835753"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835753" w:rsidRDefault="00203C1C" w:rsidP="00940268">
            <w:pPr>
              <w:spacing w:after="240"/>
              <w:jc w:val="center"/>
              <w:rPr>
                <w:rFonts w:ascii="Times New Roman" w:hAnsi="Times New Roman" w:cs="Times New Roman"/>
                <w:sz w:val="24"/>
              </w:rPr>
            </w:pPr>
            <w:proofErr w:type="gramStart"/>
            <w:r w:rsidRPr="00835753">
              <w:rPr>
                <w:rFonts w:ascii="Times New Roman" w:hAnsi="Times New Roman"/>
                <w:sz w:val="24"/>
              </w:rPr>
              <w:t>d</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835753" w:rsidRDefault="00203C1C" w:rsidP="00155C96">
            <w:pPr>
              <w:spacing w:after="240"/>
              <w:jc w:val="both"/>
              <w:rPr>
                <w:rFonts w:ascii="Times New Roman" w:hAnsi="Times New Roman" w:cs="Times New Roman"/>
                <w:i/>
                <w:sz w:val="24"/>
              </w:rPr>
            </w:pPr>
            <w:r w:rsidRPr="00835753">
              <w:rPr>
                <w:rFonts w:ascii="Times New Roman" w:hAnsi="Times New Roman"/>
                <w:i/>
                <w:sz w:val="24"/>
              </w:rPr>
              <w:t>Kompleksowa miara ryzyka</w:t>
            </w:r>
          </w:p>
          <w:p w14:paraId="73C1B72E" w14:textId="7F18D5E0"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Kluczowe czynniki leżące</w:t>
            </w:r>
            <w:r w:rsidR="00835753" w:rsidRPr="00835753">
              <w:rPr>
                <w:rFonts w:ascii="Times New Roman" w:hAnsi="Times New Roman"/>
                <w:sz w:val="24"/>
              </w:rPr>
              <w:t xml:space="preserve"> u</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staw zmian korelacyjnego portfela handlowego kwot ekspozycji ważonych ryzykiem wynikających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wym</w:t>
            </w:r>
            <w:r w:rsidRPr="00835753">
              <w:rPr>
                <w:rFonts w:ascii="Times New Roman" w:hAnsi="Times New Roman"/>
                <w:sz w:val="24"/>
              </w:rPr>
              <w:t>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364 ust.</w:t>
            </w:r>
            <w:r w:rsidR="00835753" w:rsidRPr="00835753">
              <w:rPr>
                <w:rFonts w:ascii="Times New Roman" w:hAnsi="Times New Roman"/>
                <w:sz w:val="24"/>
              </w:rPr>
              <w:t> </w:t>
            </w:r>
            <w:r w:rsidRPr="00835753">
              <w:rPr>
                <w:rFonts w:ascii="Times New Roman" w:hAnsi="Times New Roman"/>
                <w:sz w:val="24"/>
              </w:rPr>
              <w:t>3 CRR oraz</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wsz</w:t>
            </w:r>
            <w:r w:rsidRPr="00835753">
              <w:rPr>
                <w:rFonts w:ascii="Times New Roman" w:hAnsi="Times New Roman"/>
                <w:sz w:val="24"/>
              </w:rPr>
              <w:t>elkich dodatkowych funduszy własnych wymaganych przez organy sprawujące nadzór, do których to zmian doszło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okresie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rszami 2–7 niniejszego wzoru (w oparciu</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wia</w:t>
            </w:r>
            <w:r w:rsidRPr="00835753">
              <w:rPr>
                <w:rFonts w:ascii="Times New Roman" w:hAnsi="Times New Roman"/>
                <w:sz w:val="24"/>
              </w:rPr>
              <w:t>rygodne szacunki)</w:t>
            </w:r>
          </w:p>
        </w:tc>
      </w:tr>
      <w:tr w:rsidR="00203C1C" w:rsidRPr="00835753"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835753" w:rsidRDefault="00203C1C" w:rsidP="00940268">
            <w:pPr>
              <w:spacing w:after="240"/>
              <w:jc w:val="center"/>
              <w:rPr>
                <w:rFonts w:ascii="Times New Roman" w:hAnsi="Times New Roman" w:cs="Times New Roman"/>
                <w:sz w:val="24"/>
              </w:rPr>
            </w:pPr>
            <w:proofErr w:type="gramStart"/>
            <w:r w:rsidRPr="00835753">
              <w:rPr>
                <w:rFonts w:ascii="Times New Roman" w:hAnsi="Times New Roman"/>
                <w:sz w:val="24"/>
              </w:rPr>
              <w:t>e</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835753" w:rsidRDefault="00203C1C" w:rsidP="00155C96">
            <w:pPr>
              <w:spacing w:after="240"/>
              <w:rPr>
                <w:rFonts w:ascii="Times New Roman" w:hAnsi="Times New Roman" w:cs="Times New Roman"/>
                <w:i/>
                <w:sz w:val="24"/>
              </w:rPr>
            </w:pPr>
            <w:r w:rsidRPr="00835753">
              <w:rPr>
                <w:rFonts w:ascii="Times New Roman" w:hAnsi="Times New Roman"/>
                <w:i/>
                <w:sz w:val="24"/>
              </w:rPr>
              <w:t>Inne</w:t>
            </w:r>
          </w:p>
          <w:p w14:paraId="3C5E8F71" w14:textId="10F27442"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Kluczowe czynniki zmian kwot ekspozycji ważonych ryzykiem ustalonych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opa</w:t>
            </w:r>
            <w:r w:rsidRPr="00835753">
              <w:rPr>
                <w:rFonts w:ascii="Times New Roman" w:hAnsi="Times New Roman"/>
                <w:sz w:val="24"/>
              </w:rPr>
              <w:t>rciu</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ody modeli, które nie zostały zgłoszone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a</w:t>
            </w:r>
            <w:proofErr w:type="gramStart"/>
            <w:r w:rsidRPr="00835753">
              <w:rPr>
                <w:rFonts w:ascii="Times New Roman" w:hAnsi="Times New Roman"/>
                <w:sz w:val="24"/>
              </w:rPr>
              <w:t>)–d</w:t>
            </w:r>
            <w:proofErr w:type="gramEnd"/>
            <w:r w:rsidRPr="00835753">
              <w:rPr>
                <w:rFonts w:ascii="Times New Roman" w:hAnsi="Times New Roman"/>
                <w:sz w:val="24"/>
              </w:rPr>
              <w:t>), do których doszło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okresie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rszami 2–7 niniejszego wzoru</w:t>
            </w:r>
          </w:p>
        </w:tc>
      </w:tr>
      <w:tr w:rsidR="00203C1C" w:rsidRPr="00835753"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835753" w:rsidRDefault="00203C1C" w:rsidP="00940268">
            <w:pPr>
              <w:spacing w:after="240"/>
              <w:jc w:val="center"/>
              <w:rPr>
                <w:rFonts w:ascii="Times New Roman" w:hAnsi="Times New Roman" w:cs="Times New Roman"/>
                <w:sz w:val="24"/>
              </w:rPr>
            </w:pPr>
            <w:proofErr w:type="gramStart"/>
            <w:r w:rsidRPr="00835753">
              <w:rPr>
                <w:rFonts w:ascii="Times New Roman" w:hAnsi="Times New Roman"/>
                <w:sz w:val="24"/>
              </w:rPr>
              <w:t>f</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835753" w:rsidRDefault="00203C1C" w:rsidP="00155C96">
            <w:pPr>
              <w:spacing w:after="240"/>
              <w:rPr>
                <w:rFonts w:ascii="Times New Roman" w:hAnsi="Times New Roman" w:cs="Times New Roman"/>
                <w:sz w:val="24"/>
              </w:rPr>
            </w:pPr>
            <w:r w:rsidRPr="00835753">
              <w:rPr>
                <w:rFonts w:ascii="Times New Roman" w:hAnsi="Times New Roman"/>
                <w:sz w:val="24"/>
              </w:rPr>
              <w:t>Łączne kwoty ekspozycji ważonych ryzykiem (a + b + c + d + e)</w:t>
            </w:r>
          </w:p>
        </w:tc>
      </w:tr>
      <w:tr w:rsidR="00203C1C" w:rsidRPr="00835753"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835753" w:rsidRDefault="00203C1C" w:rsidP="00940268">
            <w:pPr>
              <w:spacing w:after="240"/>
              <w:jc w:val="center"/>
              <w:rPr>
                <w:rFonts w:ascii="Times New Roman" w:hAnsi="Times New Roman" w:cs="Times New Roman"/>
                <w:sz w:val="24"/>
              </w:rPr>
            </w:pPr>
            <w:proofErr w:type="gramStart"/>
            <w:r w:rsidRPr="00835753">
              <w:rPr>
                <w:rFonts w:ascii="Times New Roman" w:hAnsi="Times New Roman"/>
                <w:sz w:val="24"/>
              </w:rPr>
              <w:t>g</w:t>
            </w:r>
            <w:proofErr w:type="gramEnd"/>
            <w:r w:rsidRPr="00835753">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7F2BCDF4" w14:textId="2F1B1754" w:rsidR="00203C1C" w:rsidRPr="00835753" w:rsidRDefault="00203C1C" w:rsidP="00155C96">
            <w:pPr>
              <w:spacing w:after="240"/>
              <w:rPr>
                <w:rFonts w:ascii="Times New Roman" w:hAnsi="Times New Roman" w:cs="Times New Roman"/>
                <w:b/>
                <w:sz w:val="24"/>
              </w:rPr>
            </w:pPr>
            <w:r w:rsidRPr="00835753">
              <w:rPr>
                <w:rFonts w:ascii="Times New Roman" w:hAnsi="Times New Roman"/>
                <w:sz w:val="24"/>
              </w:rPr>
              <w:t>Łączne 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(f x 8</w:t>
            </w:r>
            <w:r w:rsidR="00835753" w:rsidRPr="00835753">
              <w:rPr>
                <w:rFonts w:ascii="Times New Roman" w:hAnsi="Times New Roman"/>
                <w:sz w:val="24"/>
              </w:rPr>
              <w:t> </w:t>
            </w:r>
            <w:r w:rsidRPr="00835753">
              <w:rPr>
                <w:rFonts w:ascii="Times New Roman" w:hAnsi="Times New Roman"/>
                <w:sz w:val="24"/>
              </w:rPr>
              <w:t>%)</w:t>
            </w:r>
          </w:p>
        </w:tc>
      </w:tr>
    </w:tbl>
    <w:p w14:paraId="77BEF27F" w14:textId="77777777" w:rsidR="00203C1C" w:rsidRPr="00835753" w:rsidRDefault="00203C1C" w:rsidP="00203C1C">
      <w:pPr>
        <w:pStyle w:val="Titlelevel2"/>
        <w:spacing w:before="0"/>
        <w:rPr>
          <w:rFonts w:ascii="Times New Roman" w:hAnsi="Times New Roman" w:cs="Times New Roman"/>
          <w:b/>
          <w:color w:val="auto"/>
          <w:sz w:val="24"/>
        </w:rPr>
      </w:pPr>
    </w:p>
    <w:p w14:paraId="7369DA49" w14:textId="390F4D52" w:rsidR="00203C1C" w:rsidRPr="00835753" w:rsidRDefault="00203C1C" w:rsidP="00203C1C">
      <w:pPr>
        <w:pStyle w:val="Titlelevel2"/>
        <w:spacing w:before="0"/>
        <w:rPr>
          <w:rFonts w:ascii="Times New Roman" w:hAnsi="Times New Roman" w:cs="Times New Roman"/>
          <w:color w:val="auto"/>
          <w:sz w:val="24"/>
        </w:rPr>
      </w:pPr>
      <w:r w:rsidRPr="00835753">
        <w:rPr>
          <w:rFonts w:ascii="Times New Roman" w:hAnsi="Times New Roman"/>
          <w:b/>
          <w:color w:val="auto"/>
          <w:sz w:val="24"/>
        </w:rPr>
        <w:t>Wzór EU MR3 – Wartości metody modeli wewnętrznych dla portfeli handlowych.</w:t>
      </w:r>
      <w:r w:rsidRPr="00835753">
        <w:rPr>
          <w:rFonts w:ascii="Times New Roman" w:hAnsi="Times New Roman"/>
          <w:color w:val="auto"/>
          <w:sz w:val="24"/>
        </w:rPr>
        <w:t xml:space="preserve"> Format stały</w:t>
      </w:r>
    </w:p>
    <w:p w14:paraId="3EE80EF1" w14:textId="76E2E8C1" w:rsidR="00203C1C" w:rsidRPr="00835753" w:rsidRDefault="00203C1C" w:rsidP="00203C1C">
      <w:pPr>
        <w:pStyle w:val="Titlelevel2"/>
        <w:numPr>
          <w:ilvl w:val="0"/>
          <w:numId w:val="60"/>
        </w:numPr>
        <w:spacing w:before="0"/>
        <w:jc w:val="both"/>
        <w:rPr>
          <w:rFonts w:ascii="Times New Roman" w:eastAsiaTheme="minorEastAsia" w:hAnsi="Times New Roman" w:cs="Times New Roman"/>
          <w:bCs w:val="0"/>
          <w:color w:val="000000"/>
          <w:sz w:val="24"/>
        </w:rPr>
      </w:pPr>
      <w:r w:rsidRPr="00835753">
        <w:rPr>
          <w:rFonts w:ascii="Times New Roman" w:hAnsi="Times New Roman"/>
          <w:bCs w:val="0"/>
          <w:color w:val="000000"/>
          <w:sz w:val="24"/>
        </w:rPr>
        <w:t>W celu wypełnienia wzoru EU MR3 zamieszczonego</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zał</w:t>
      </w:r>
      <w:r w:rsidRPr="00835753">
        <w:rPr>
          <w:rFonts w:ascii="Times New Roman" w:hAnsi="Times New Roman"/>
          <w:bCs w:val="0"/>
          <w:color w:val="000000"/>
          <w:sz w:val="24"/>
        </w:rPr>
        <w:t>ączniku XXIX do niniejszego rozporządzenia wykonawczego instytucje ujawniają informacje,</w:t>
      </w:r>
      <w:r w:rsidR="00835753" w:rsidRPr="00835753">
        <w:rPr>
          <w:rFonts w:ascii="Times New Roman" w:hAnsi="Times New Roman"/>
          <w:bCs w:val="0"/>
          <w:color w:val="000000"/>
          <w:sz w:val="24"/>
        </w:rPr>
        <w:t xml:space="preserve"> o</w:t>
      </w:r>
      <w:r w:rsidR="00835753">
        <w:rPr>
          <w:rFonts w:ascii="Times New Roman" w:hAnsi="Times New Roman"/>
          <w:bCs w:val="0"/>
          <w:color w:val="000000"/>
          <w:sz w:val="24"/>
        </w:rPr>
        <w:t> </w:t>
      </w:r>
      <w:r w:rsidR="00835753" w:rsidRPr="00835753">
        <w:rPr>
          <w:rFonts w:ascii="Times New Roman" w:hAnsi="Times New Roman"/>
          <w:bCs w:val="0"/>
          <w:color w:val="000000"/>
          <w:sz w:val="24"/>
        </w:rPr>
        <w:t>któ</w:t>
      </w:r>
      <w:r w:rsidRPr="00835753">
        <w:rPr>
          <w:rFonts w:ascii="Times New Roman" w:hAnsi="Times New Roman"/>
          <w:bCs w:val="0"/>
          <w:color w:val="000000"/>
          <w:sz w:val="24"/>
        </w:rPr>
        <w:t>rych mowa</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art</w:t>
      </w:r>
      <w:r w:rsidRPr="00835753">
        <w:rPr>
          <w:rFonts w:ascii="Times New Roman" w:hAnsi="Times New Roman"/>
          <w:bCs w:val="0"/>
          <w:color w:val="000000"/>
          <w:sz w:val="24"/>
        </w:rPr>
        <w:t>.</w:t>
      </w:r>
      <w:r w:rsidR="00835753" w:rsidRPr="00835753">
        <w:rPr>
          <w:rFonts w:ascii="Times New Roman" w:hAnsi="Times New Roman"/>
          <w:bCs w:val="0"/>
          <w:color w:val="000000"/>
          <w:sz w:val="24"/>
        </w:rPr>
        <w:t> </w:t>
      </w:r>
      <w:r w:rsidRPr="00835753">
        <w:rPr>
          <w:rFonts w:ascii="Times New Roman" w:hAnsi="Times New Roman"/>
          <w:bCs w:val="0"/>
          <w:color w:val="000000"/>
          <w:sz w:val="24"/>
        </w:rPr>
        <w:t>455 lit.</w:t>
      </w:r>
      <w:r w:rsidR="00835753" w:rsidRPr="00835753">
        <w:rPr>
          <w:rFonts w:ascii="Times New Roman" w:hAnsi="Times New Roman"/>
          <w:bCs w:val="0"/>
          <w:color w:val="000000"/>
          <w:sz w:val="24"/>
        </w:rPr>
        <w:t> </w:t>
      </w:r>
      <w:r w:rsidRPr="00835753">
        <w:rPr>
          <w:rFonts w:ascii="Times New Roman" w:hAnsi="Times New Roman"/>
          <w:bCs w:val="0"/>
          <w:color w:val="000000"/>
          <w:sz w:val="24"/>
        </w:rPr>
        <w:t>d) CRR, zgodnie</w:t>
      </w:r>
      <w:r w:rsidR="00835753" w:rsidRPr="00835753">
        <w:rPr>
          <w:rFonts w:ascii="Times New Roman" w:hAnsi="Times New Roman"/>
          <w:bCs w:val="0"/>
          <w:color w:val="000000"/>
          <w:sz w:val="24"/>
        </w:rPr>
        <w:t xml:space="preserve"> z</w:t>
      </w:r>
      <w:r w:rsidR="00835753">
        <w:rPr>
          <w:rFonts w:ascii="Times New Roman" w:hAnsi="Times New Roman"/>
          <w:bCs w:val="0"/>
          <w:color w:val="000000"/>
          <w:sz w:val="24"/>
        </w:rPr>
        <w:t> </w:t>
      </w:r>
      <w:r w:rsidR="00835753" w:rsidRPr="00835753">
        <w:rPr>
          <w:rFonts w:ascii="Times New Roman" w:hAnsi="Times New Roman"/>
          <w:bCs w:val="0"/>
          <w:color w:val="000000"/>
          <w:sz w:val="24"/>
        </w:rPr>
        <w:t>pon</w:t>
      </w:r>
      <w:r w:rsidRPr="00835753">
        <w:rPr>
          <w:rFonts w:ascii="Times New Roman" w:hAnsi="Times New Roman"/>
          <w:bCs w:val="0"/>
          <w:color w:val="000000"/>
          <w:sz w:val="24"/>
        </w:rPr>
        <w:t>iższymi instrukcjami zawartymi</w:t>
      </w:r>
      <w:r w:rsidR="00835753" w:rsidRPr="00835753">
        <w:rPr>
          <w:rFonts w:ascii="Times New Roman" w:hAnsi="Times New Roman"/>
          <w:bCs w:val="0"/>
          <w:color w:val="000000"/>
          <w:sz w:val="24"/>
        </w:rPr>
        <w:t xml:space="preserve"> w</w:t>
      </w:r>
      <w:r w:rsidR="00835753">
        <w:rPr>
          <w:rFonts w:ascii="Times New Roman" w:hAnsi="Times New Roman"/>
          <w:bCs w:val="0"/>
          <w:color w:val="000000"/>
          <w:sz w:val="24"/>
        </w:rPr>
        <w:t> </w:t>
      </w:r>
      <w:r w:rsidR="00835753" w:rsidRPr="00835753">
        <w:rPr>
          <w:rFonts w:ascii="Times New Roman" w:hAnsi="Times New Roman"/>
          <w:bCs w:val="0"/>
          <w:color w:val="000000"/>
          <w:sz w:val="24"/>
        </w:rPr>
        <w:t>nin</w:t>
      </w:r>
      <w:r w:rsidRPr="00835753">
        <w:rPr>
          <w:rFonts w:ascii="Times New Roman" w:hAnsi="Times New Roman"/>
          <w:bCs w:val="0"/>
          <w:color w:val="000000"/>
          <w:sz w:val="24"/>
        </w:rPr>
        <w:t>iejszym załączniku.</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203C1C" w:rsidRPr="00835753"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335C6A80"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lastRenderedPageBreak/>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203C1C" w:rsidRPr="00835753"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Numer wiersza</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Wyjaśnienie</w:t>
            </w:r>
          </w:p>
        </w:tc>
      </w:tr>
      <w:tr w:rsidR="00203C1C" w:rsidRPr="00835753"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835753"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1BE7108C" w:rsidR="00203C1C" w:rsidRPr="00835753" w:rsidRDefault="00203C1C" w:rsidP="00155C96">
            <w:pPr>
              <w:spacing w:after="240"/>
              <w:jc w:val="both"/>
              <w:rPr>
                <w:rFonts w:ascii="Times New Roman" w:hAnsi="Times New Roman" w:cs="Times New Roman"/>
                <w:b/>
                <w:i/>
                <w:sz w:val="24"/>
              </w:rPr>
            </w:pPr>
            <w:r w:rsidRPr="00835753">
              <w:rPr>
                <w:rFonts w:ascii="Times New Roman" w:hAnsi="Times New Roman"/>
                <w:b/>
                <w:i/>
                <w:sz w:val="24"/>
              </w:rPr>
              <w:t>Wartość zagrożona (VaR) (model 10-dniowy dla</w:t>
            </w:r>
            <w:r w:rsidR="00835753" w:rsidRPr="00835753">
              <w:rPr>
                <w:rFonts w:ascii="Times New Roman" w:hAnsi="Times New Roman"/>
                <w:b/>
                <w:i/>
                <w:sz w:val="24"/>
              </w:rPr>
              <w:t> </w:t>
            </w:r>
            <w:r w:rsidRPr="00835753">
              <w:rPr>
                <w:rFonts w:ascii="Times New Roman" w:hAnsi="Times New Roman"/>
                <w:b/>
                <w:i/>
                <w:sz w:val="24"/>
              </w:rPr>
              <w:t>99</w:t>
            </w:r>
            <w:r w:rsidR="00835753" w:rsidRPr="00835753">
              <w:rPr>
                <w:rFonts w:ascii="Times New Roman" w:hAnsi="Times New Roman"/>
                <w:b/>
                <w:i/>
                <w:sz w:val="24"/>
              </w:rPr>
              <w:t> </w:t>
            </w:r>
            <w:r w:rsidRPr="00835753">
              <w:rPr>
                <w:rFonts w:ascii="Times New Roman" w:hAnsi="Times New Roman"/>
                <w:b/>
                <w:i/>
                <w:sz w:val="24"/>
              </w:rPr>
              <w:t>% pozycji)</w:t>
            </w:r>
          </w:p>
          <w:p w14:paraId="7FE86511" w14:textId="0C068E1D"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Miara wartości narażonej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365 ust.</w:t>
            </w:r>
            <w:r w:rsidR="00835753" w:rsidRPr="00835753">
              <w:rPr>
                <w:rFonts w:ascii="Times New Roman" w:hAnsi="Times New Roman"/>
                <w:sz w:val="24"/>
              </w:rPr>
              <w:t> </w:t>
            </w:r>
            <w:r w:rsidRPr="00835753">
              <w:rPr>
                <w:rFonts w:ascii="Times New Roman" w:hAnsi="Times New Roman"/>
                <w:sz w:val="24"/>
              </w:rPr>
              <w:t>1 CRR.</w:t>
            </w:r>
          </w:p>
          <w:p w14:paraId="117A294D" w14:textId="0D036409"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Kwoty nie mogą uwzględniać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dodatkowych funduszy własnych ustanowionych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dec</w:t>
            </w:r>
            <w:r w:rsidRPr="00835753">
              <w:rPr>
                <w:rFonts w:ascii="Times New Roman" w:hAnsi="Times New Roman"/>
                <w:sz w:val="24"/>
              </w:rPr>
              <w:t>yzji organu sprawującego nadzór (dotyczących np. mnożnika).</w:t>
            </w:r>
          </w:p>
        </w:tc>
      </w:tr>
      <w:tr w:rsidR="00203C1C" w:rsidRPr="00835753"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835753" w:rsidRDefault="00203C1C" w:rsidP="00DB1F94">
            <w:pPr>
              <w:spacing w:after="240"/>
              <w:jc w:val="center"/>
              <w:rPr>
                <w:rFonts w:ascii="Times New Roman" w:hAnsi="Times New Roman" w:cs="Times New Roman"/>
                <w:sz w:val="24"/>
              </w:rPr>
            </w:pPr>
            <w:r w:rsidRPr="00835753">
              <w:rPr>
                <w:rFonts w:ascii="Times New Roman" w:hAnsi="Times New Roman"/>
                <w:sz w:val="24"/>
              </w:rPr>
              <w:t>1–4</w:t>
            </w:r>
          </w:p>
        </w:tc>
        <w:tc>
          <w:tcPr>
            <w:tcW w:w="7070" w:type="dxa"/>
            <w:tcBorders>
              <w:top w:val="single" w:sz="4" w:space="0" w:color="auto"/>
              <w:left w:val="single" w:sz="4" w:space="0" w:color="auto"/>
              <w:bottom w:val="single" w:sz="4" w:space="0" w:color="auto"/>
              <w:right w:val="single" w:sz="4" w:space="0" w:color="auto"/>
            </w:tcBorders>
          </w:tcPr>
          <w:p w14:paraId="4AD9AA0B" w14:textId="396BD5EC"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Najwyższe/najniższe/średnie dzienne miary wartości narażonej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okresie oraz dzienna miara wartości narażonej na koniec okresu.</w:t>
            </w:r>
          </w:p>
        </w:tc>
      </w:tr>
      <w:tr w:rsidR="00203C1C" w:rsidRPr="00835753"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835753"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50606963" w:rsidR="00203C1C" w:rsidRPr="00835753" w:rsidRDefault="00203C1C" w:rsidP="00155C96">
            <w:pPr>
              <w:spacing w:after="240"/>
              <w:jc w:val="both"/>
              <w:rPr>
                <w:rFonts w:ascii="Times New Roman" w:hAnsi="Times New Roman" w:cs="Times New Roman"/>
                <w:b/>
                <w:i/>
                <w:sz w:val="24"/>
              </w:rPr>
            </w:pPr>
            <w:r w:rsidRPr="00835753">
              <w:rPr>
                <w:rFonts w:ascii="Times New Roman" w:hAnsi="Times New Roman"/>
                <w:b/>
                <w:i/>
                <w:sz w:val="24"/>
              </w:rPr>
              <w:t>Wartość zagrożona</w:t>
            </w:r>
            <w:r w:rsidR="00835753" w:rsidRPr="00835753">
              <w:rPr>
                <w:rFonts w:ascii="Times New Roman" w:hAnsi="Times New Roman"/>
                <w:b/>
                <w:i/>
                <w:sz w:val="24"/>
              </w:rPr>
              <w:t xml:space="preserve"> w</w:t>
            </w:r>
            <w:r w:rsidR="00835753">
              <w:rPr>
                <w:rFonts w:ascii="Times New Roman" w:hAnsi="Times New Roman"/>
                <w:b/>
                <w:i/>
                <w:sz w:val="24"/>
              </w:rPr>
              <w:t> </w:t>
            </w:r>
            <w:r w:rsidR="00835753" w:rsidRPr="00835753">
              <w:rPr>
                <w:rFonts w:ascii="Times New Roman" w:hAnsi="Times New Roman"/>
                <w:b/>
                <w:i/>
                <w:sz w:val="24"/>
              </w:rPr>
              <w:t>war</w:t>
            </w:r>
            <w:r w:rsidRPr="00835753">
              <w:rPr>
                <w:rFonts w:ascii="Times New Roman" w:hAnsi="Times New Roman"/>
                <w:b/>
                <w:i/>
                <w:sz w:val="24"/>
              </w:rPr>
              <w:t>unkach skrajnych (SVaR) (model 10-dniowy dla</w:t>
            </w:r>
            <w:r w:rsidR="00835753" w:rsidRPr="00835753">
              <w:rPr>
                <w:rFonts w:ascii="Times New Roman" w:hAnsi="Times New Roman"/>
                <w:b/>
                <w:i/>
                <w:sz w:val="24"/>
              </w:rPr>
              <w:t> </w:t>
            </w:r>
            <w:r w:rsidRPr="00835753">
              <w:rPr>
                <w:rFonts w:ascii="Times New Roman" w:hAnsi="Times New Roman"/>
                <w:b/>
                <w:i/>
                <w:sz w:val="24"/>
              </w:rPr>
              <w:t>99</w:t>
            </w:r>
            <w:r w:rsidR="00835753" w:rsidRPr="00835753">
              <w:rPr>
                <w:rFonts w:ascii="Times New Roman" w:hAnsi="Times New Roman"/>
                <w:b/>
                <w:i/>
                <w:sz w:val="24"/>
              </w:rPr>
              <w:t> </w:t>
            </w:r>
            <w:r w:rsidRPr="00835753">
              <w:rPr>
                <w:rFonts w:ascii="Times New Roman" w:hAnsi="Times New Roman"/>
                <w:b/>
                <w:i/>
                <w:sz w:val="24"/>
              </w:rPr>
              <w:t>% pozycji)</w:t>
            </w:r>
          </w:p>
          <w:p w14:paraId="2213DE21" w14:textId="2D443D8E" w:rsidR="00203C1C" w:rsidRPr="00835753" w:rsidRDefault="00203C1C" w:rsidP="00155C96">
            <w:pPr>
              <w:spacing w:after="240"/>
              <w:jc w:val="both"/>
              <w:rPr>
                <w:rFonts w:ascii="Times New Roman" w:eastAsia="Times New Roman" w:hAnsi="Times New Roman" w:cs="Times New Roman"/>
                <w:sz w:val="24"/>
              </w:rPr>
            </w:pPr>
            <w:r w:rsidRPr="00835753">
              <w:rPr>
                <w:rFonts w:ascii="Times New Roman" w:hAnsi="Times New Roman"/>
                <w:sz w:val="24"/>
              </w:rPr>
              <w:t>Miara wartości narażonej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unkach skrajnych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365 ust.</w:t>
            </w:r>
            <w:r w:rsidR="00835753" w:rsidRPr="00835753">
              <w:rPr>
                <w:rFonts w:ascii="Times New Roman" w:hAnsi="Times New Roman"/>
                <w:sz w:val="24"/>
              </w:rPr>
              <w:t> </w:t>
            </w:r>
            <w:r w:rsidRPr="00835753">
              <w:rPr>
                <w:rFonts w:ascii="Times New Roman" w:hAnsi="Times New Roman"/>
                <w:sz w:val="24"/>
              </w:rPr>
              <w:t>2 CRR.</w:t>
            </w:r>
          </w:p>
          <w:p w14:paraId="6F3D5188" w14:textId="1E6344AE"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Kwoty nie mogą uwzględniać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dodatkowych funduszy własnych ustanowionych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dec</w:t>
            </w:r>
            <w:r w:rsidRPr="00835753">
              <w:rPr>
                <w:rFonts w:ascii="Times New Roman" w:hAnsi="Times New Roman"/>
                <w:sz w:val="24"/>
              </w:rPr>
              <w:t>yzji organu sprawującego nadzór (mnożnik).</w:t>
            </w:r>
          </w:p>
        </w:tc>
      </w:tr>
      <w:tr w:rsidR="00203C1C" w:rsidRPr="00835753"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835753" w:rsidRDefault="00203C1C" w:rsidP="00DB1F94">
            <w:pPr>
              <w:spacing w:after="240"/>
              <w:jc w:val="center"/>
              <w:rPr>
                <w:rFonts w:ascii="Times New Roman" w:hAnsi="Times New Roman" w:cs="Times New Roman"/>
                <w:sz w:val="24"/>
              </w:rPr>
            </w:pPr>
            <w:r w:rsidRPr="00835753">
              <w:rPr>
                <w:rFonts w:ascii="Times New Roman" w:hAnsi="Times New Roman"/>
                <w:sz w:val="24"/>
              </w:rPr>
              <w:t>5–8</w:t>
            </w:r>
          </w:p>
        </w:tc>
        <w:tc>
          <w:tcPr>
            <w:tcW w:w="7070" w:type="dxa"/>
            <w:tcBorders>
              <w:top w:val="single" w:sz="4" w:space="0" w:color="auto"/>
              <w:left w:val="single" w:sz="4" w:space="0" w:color="auto"/>
              <w:bottom w:val="single" w:sz="4" w:space="0" w:color="auto"/>
              <w:right w:val="single" w:sz="4" w:space="0" w:color="auto"/>
            </w:tcBorders>
          </w:tcPr>
          <w:p w14:paraId="3791ED38" w14:textId="01696368"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Najwyższe/najniższe/średnie dzienne miary wartości narażonej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war</w:t>
            </w:r>
            <w:r w:rsidRPr="00835753">
              <w:rPr>
                <w:rFonts w:ascii="Times New Roman" w:hAnsi="Times New Roman"/>
                <w:sz w:val="24"/>
              </w:rPr>
              <w:t>unkach skrajnych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okresie oraz dzienna miara wartości narażonej na koniec okresu.</w:t>
            </w:r>
          </w:p>
        </w:tc>
      </w:tr>
      <w:tr w:rsidR="00203C1C" w:rsidRPr="00835753"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835753"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091BE9EB" w:rsidR="00203C1C" w:rsidRPr="00835753" w:rsidRDefault="00203C1C" w:rsidP="00155C96">
            <w:pPr>
              <w:spacing w:after="240"/>
              <w:jc w:val="both"/>
              <w:rPr>
                <w:rFonts w:ascii="Times New Roman" w:hAnsi="Times New Roman" w:cs="Times New Roman"/>
                <w:b/>
                <w:i/>
                <w:sz w:val="24"/>
              </w:rPr>
            </w:pPr>
            <w:r w:rsidRPr="00835753">
              <w:rPr>
                <w:rFonts w:ascii="Times New Roman" w:hAnsi="Times New Roman"/>
                <w:b/>
                <w:i/>
                <w:sz w:val="24"/>
              </w:rPr>
              <w:t>Narzut</w:t>
            </w:r>
            <w:r w:rsidR="00835753" w:rsidRPr="00835753">
              <w:rPr>
                <w:rFonts w:ascii="Times New Roman" w:hAnsi="Times New Roman"/>
                <w:b/>
                <w:i/>
                <w:sz w:val="24"/>
              </w:rPr>
              <w:t xml:space="preserve"> z</w:t>
            </w:r>
            <w:r w:rsidR="00835753">
              <w:rPr>
                <w:rFonts w:ascii="Times New Roman" w:hAnsi="Times New Roman"/>
                <w:b/>
                <w:i/>
                <w:sz w:val="24"/>
              </w:rPr>
              <w:t> </w:t>
            </w:r>
            <w:r w:rsidR="00835753" w:rsidRPr="00835753">
              <w:rPr>
                <w:rFonts w:ascii="Times New Roman" w:hAnsi="Times New Roman"/>
                <w:b/>
                <w:i/>
                <w:sz w:val="24"/>
              </w:rPr>
              <w:t>tyt</w:t>
            </w:r>
            <w:r w:rsidRPr="00835753">
              <w:rPr>
                <w:rFonts w:ascii="Times New Roman" w:hAnsi="Times New Roman"/>
                <w:b/>
                <w:i/>
                <w:sz w:val="24"/>
              </w:rPr>
              <w:t>ułu dodatkowego ryzyka niewykonania zobowiązań</w:t>
            </w:r>
            <w:r w:rsidR="00835753" w:rsidRPr="00835753">
              <w:rPr>
                <w:rFonts w:ascii="Times New Roman" w:hAnsi="Times New Roman"/>
                <w:b/>
                <w:i/>
                <w:sz w:val="24"/>
              </w:rPr>
              <w:t xml:space="preserve"> i</w:t>
            </w:r>
            <w:r w:rsidR="00835753">
              <w:rPr>
                <w:rFonts w:ascii="Times New Roman" w:hAnsi="Times New Roman"/>
                <w:b/>
                <w:i/>
                <w:sz w:val="24"/>
              </w:rPr>
              <w:t> </w:t>
            </w:r>
            <w:r w:rsidR="00835753" w:rsidRPr="00835753">
              <w:rPr>
                <w:rFonts w:ascii="Times New Roman" w:hAnsi="Times New Roman"/>
                <w:b/>
                <w:i/>
                <w:sz w:val="24"/>
              </w:rPr>
              <w:t>mig</w:t>
            </w:r>
            <w:r w:rsidRPr="00835753">
              <w:rPr>
                <w:rFonts w:ascii="Times New Roman" w:hAnsi="Times New Roman"/>
                <w:b/>
                <w:i/>
                <w:sz w:val="24"/>
              </w:rPr>
              <w:t>racji (IRC) (dla</w:t>
            </w:r>
            <w:r w:rsidR="00835753" w:rsidRPr="00835753">
              <w:rPr>
                <w:rFonts w:ascii="Times New Roman" w:hAnsi="Times New Roman"/>
                <w:b/>
                <w:i/>
                <w:sz w:val="24"/>
              </w:rPr>
              <w:t> </w:t>
            </w:r>
            <w:r w:rsidRPr="00835753">
              <w:rPr>
                <w:rFonts w:ascii="Times New Roman" w:hAnsi="Times New Roman"/>
                <w:b/>
                <w:i/>
                <w:sz w:val="24"/>
              </w:rPr>
              <w:t>99,9</w:t>
            </w:r>
            <w:r w:rsidR="00835753" w:rsidRPr="00835753">
              <w:rPr>
                <w:rFonts w:ascii="Times New Roman" w:hAnsi="Times New Roman"/>
                <w:b/>
                <w:i/>
                <w:sz w:val="24"/>
              </w:rPr>
              <w:t> </w:t>
            </w:r>
            <w:r w:rsidRPr="00835753">
              <w:rPr>
                <w:rFonts w:ascii="Times New Roman" w:hAnsi="Times New Roman"/>
                <w:b/>
                <w:i/>
                <w:sz w:val="24"/>
              </w:rPr>
              <w:t>% pozycji)</w:t>
            </w:r>
          </w:p>
          <w:p w14:paraId="3DBB70FE" w14:textId="6D66CB7C" w:rsidR="00203C1C" w:rsidRPr="00835753" w:rsidRDefault="00203C1C" w:rsidP="00155C96">
            <w:pPr>
              <w:spacing w:after="240"/>
              <w:jc w:val="both"/>
              <w:rPr>
                <w:rFonts w:ascii="Times New Roman" w:eastAsia="Times New Roman" w:hAnsi="Times New Roman" w:cs="Times New Roman"/>
                <w:sz w:val="24"/>
              </w:rPr>
            </w:pPr>
            <w:r w:rsidRPr="00835753">
              <w:rPr>
                <w:rFonts w:ascii="Times New Roman" w:hAnsi="Times New Roman"/>
                <w:sz w:val="24"/>
              </w:rPr>
              <w:t>Wartość dodatkowego ryzyka niewykonania zobowiązań</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mig</w:t>
            </w:r>
            <w:r w:rsidRPr="00835753">
              <w:rPr>
                <w:rFonts w:ascii="Times New Roman" w:hAnsi="Times New Roman"/>
                <w:sz w:val="24"/>
              </w:rPr>
              <w:t>racji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IV rozdział 5 sekcja 3 CRR.</w:t>
            </w:r>
          </w:p>
          <w:p w14:paraId="5AEA9A90" w14:textId="06AAE7F1"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Kwoty nie mogą uwzględniać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dodatkowych funduszy własnych ustanowionych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dec</w:t>
            </w:r>
            <w:r w:rsidRPr="00835753">
              <w:rPr>
                <w:rFonts w:ascii="Times New Roman" w:hAnsi="Times New Roman"/>
                <w:sz w:val="24"/>
              </w:rPr>
              <w:t>yzji organu sprawującego nadzór (mnożnik).</w:t>
            </w:r>
          </w:p>
        </w:tc>
      </w:tr>
      <w:tr w:rsidR="00203C1C" w:rsidRPr="00835753"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835753" w:rsidRDefault="00203C1C" w:rsidP="00DB1F94">
            <w:pPr>
              <w:spacing w:after="240"/>
              <w:jc w:val="center"/>
              <w:rPr>
                <w:rFonts w:ascii="Times New Roman" w:hAnsi="Times New Roman" w:cs="Times New Roman"/>
                <w:sz w:val="24"/>
              </w:rPr>
            </w:pPr>
            <w:r w:rsidRPr="00835753">
              <w:rPr>
                <w:rFonts w:ascii="Times New Roman" w:hAnsi="Times New Roman"/>
                <w:sz w:val="24"/>
              </w:rPr>
              <w:t>9–12</w:t>
            </w:r>
          </w:p>
        </w:tc>
        <w:tc>
          <w:tcPr>
            <w:tcW w:w="7070" w:type="dxa"/>
            <w:tcBorders>
              <w:top w:val="single" w:sz="4" w:space="0" w:color="auto"/>
              <w:left w:val="single" w:sz="4" w:space="0" w:color="auto"/>
              <w:bottom w:val="single" w:sz="4" w:space="0" w:color="auto"/>
              <w:right w:val="single" w:sz="4" w:space="0" w:color="auto"/>
            </w:tcBorders>
          </w:tcPr>
          <w:p w14:paraId="5AD9C775" w14:textId="5515F4D2"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Najwyższe/najniższe/średnie dzienne miary IRC</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okresie oraz dzienna miara wartości narażonej na koniec okresu.</w:t>
            </w:r>
          </w:p>
        </w:tc>
      </w:tr>
      <w:tr w:rsidR="00203C1C" w:rsidRPr="00835753"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835753"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631377E4" w:rsidR="00203C1C" w:rsidRPr="00835753" w:rsidRDefault="00203C1C" w:rsidP="00155C96">
            <w:pPr>
              <w:spacing w:after="240"/>
              <w:jc w:val="both"/>
              <w:rPr>
                <w:rFonts w:ascii="Times New Roman" w:hAnsi="Times New Roman" w:cs="Times New Roman"/>
                <w:b/>
                <w:i/>
                <w:sz w:val="24"/>
              </w:rPr>
            </w:pPr>
            <w:r w:rsidRPr="00835753">
              <w:rPr>
                <w:rFonts w:ascii="Times New Roman" w:hAnsi="Times New Roman"/>
                <w:b/>
                <w:i/>
                <w:sz w:val="24"/>
              </w:rPr>
              <w:t>Kompleksowa miara ryzyka (dla</w:t>
            </w:r>
            <w:r w:rsidR="00835753" w:rsidRPr="00835753">
              <w:rPr>
                <w:rFonts w:ascii="Times New Roman" w:hAnsi="Times New Roman"/>
                <w:b/>
                <w:i/>
                <w:sz w:val="24"/>
              </w:rPr>
              <w:t> </w:t>
            </w:r>
            <w:r w:rsidRPr="00835753">
              <w:rPr>
                <w:rFonts w:ascii="Times New Roman" w:hAnsi="Times New Roman"/>
                <w:b/>
                <w:i/>
                <w:sz w:val="24"/>
              </w:rPr>
              <w:t>99,9</w:t>
            </w:r>
            <w:r w:rsidR="00835753" w:rsidRPr="00835753">
              <w:rPr>
                <w:rFonts w:ascii="Times New Roman" w:hAnsi="Times New Roman"/>
                <w:b/>
                <w:i/>
                <w:sz w:val="24"/>
              </w:rPr>
              <w:t> </w:t>
            </w:r>
            <w:r w:rsidRPr="00835753">
              <w:rPr>
                <w:rFonts w:ascii="Times New Roman" w:hAnsi="Times New Roman"/>
                <w:b/>
                <w:i/>
                <w:sz w:val="24"/>
              </w:rPr>
              <w:t>% pozycji)</w:t>
            </w:r>
          </w:p>
          <w:p w14:paraId="313F8990" w14:textId="634CA4B0"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Wartość korelacyjnego portfela handlowego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czę</w:t>
            </w:r>
            <w:r w:rsidRPr="00835753">
              <w:rPr>
                <w:rFonts w:ascii="Times New Roman" w:hAnsi="Times New Roman"/>
                <w:sz w:val="24"/>
              </w:rPr>
              <w:t>ścią trzecią tytuł IV rozdział 5 sekcja 5 CRR.</w:t>
            </w:r>
          </w:p>
        </w:tc>
      </w:tr>
      <w:tr w:rsidR="00203C1C" w:rsidRPr="00835753"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835753" w:rsidRDefault="00203C1C" w:rsidP="00DB1F94">
            <w:pPr>
              <w:spacing w:after="240"/>
              <w:jc w:val="center"/>
              <w:rPr>
                <w:rFonts w:ascii="Times New Roman" w:hAnsi="Times New Roman" w:cs="Times New Roman"/>
                <w:sz w:val="24"/>
              </w:rPr>
            </w:pPr>
            <w:r w:rsidRPr="00835753">
              <w:rPr>
                <w:rFonts w:ascii="Times New Roman" w:hAnsi="Times New Roman"/>
                <w:sz w:val="24"/>
              </w:rPr>
              <w:lastRenderedPageBreak/>
              <w:t>13–16</w:t>
            </w:r>
          </w:p>
        </w:tc>
        <w:tc>
          <w:tcPr>
            <w:tcW w:w="7070" w:type="dxa"/>
            <w:tcBorders>
              <w:top w:val="single" w:sz="4" w:space="0" w:color="auto"/>
              <w:left w:val="single" w:sz="4" w:space="0" w:color="auto"/>
              <w:bottom w:val="single" w:sz="4" w:space="0" w:color="auto"/>
              <w:right w:val="single" w:sz="4" w:space="0" w:color="auto"/>
            </w:tcBorders>
          </w:tcPr>
          <w:p w14:paraId="5042A236" w14:textId="6AEB0D5B" w:rsidR="00203C1C" w:rsidRPr="00835753" w:rsidRDefault="00203C1C" w:rsidP="00155C96">
            <w:pPr>
              <w:spacing w:after="240"/>
              <w:jc w:val="both"/>
              <w:rPr>
                <w:rFonts w:ascii="Times New Roman" w:hAnsi="Times New Roman" w:cs="Times New Roman"/>
                <w:sz w:val="24"/>
              </w:rPr>
            </w:pPr>
            <w:r w:rsidRPr="00835753">
              <w:rPr>
                <w:rFonts w:ascii="Times New Roman" w:hAnsi="Times New Roman"/>
                <w:sz w:val="24"/>
              </w:rPr>
              <w:t>Najwyższe/najniższe/średnie dzienne miary korelacyjnego portfela handlowego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okresie oraz dzienna miara wartości narażonej na koniec okresu.</w:t>
            </w:r>
          </w:p>
        </w:tc>
      </w:tr>
      <w:tr w:rsidR="00203C1C" w:rsidRPr="00835753"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Litera kolumny</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Wyjaśnienie</w:t>
            </w:r>
          </w:p>
        </w:tc>
      </w:tr>
      <w:tr w:rsidR="00203C1C" w:rsidRPr="00835753"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835753" w:rsidRDefault="00203C1C" w:rsidP="00DB1F94">
            <w:pPr>
              <w:spacing w:after="240"/>
              <w:jc w:val="center"/>
              <w:rPr>
                <w:rFonts w:ascii="Times New Roman" w:hAnsi="Times New Roman" w:cs="Times New Roman"/>
                <w:b/>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070" w:type="dxa"/>
            <w:tcBorders>
              <w:top w:val="single" w:sz="4" w:space="0" w:color="auto"/>
              <w:left w:val="single" w:sz="4" w:space="0" w:color="auto"/>
              <w:bottom w:val="single" w:sz="4" w:space="0" w:color="auto"/>
              <w:right w:val="single" w:sz="4" w:space="0" w:color="auto"/>
            </w:tcBorders>
          </w:tcPr>
          <w:p w14:paraId="676662A9" w14:textId="49CA1EB7" w:rsidR="00203C1C" w:rsidRPr="00835753" w:rsidRDefault="00203C1C" w:rsidP="00155C96">
            <w:pPr>
              <w:spacing w:after="240"/>
              <w:rPr>
                <w:rFonts w:ascii="Times New Roman" w:hAnsi="Times New Roman" w:cs="Times New Roman"/>
                <w:sz w:val="24"/>
              </w:rPr>
            </w:pPr>
            <w:r w:rsidRPr="00835753">
              <w:rPr>
                <w:rFonts w:ascii="Times New Roman" w:hAnsi="Times New Roman"/>
                <w:sz w:val="24"/>
              </w:rPr>
              <w:t>Najwyższe/najniższe/średnie wartości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za który informacje podlegają ujawnieniu, oraz wartości na koniec okresu odpowiadające wierszom 1–16 niniejszego wzoru.</w:t>
            </w:r>
          </w:p>
        </w:tc>
      </w:tr>
    </w:tbl>
    <w:p w14:paraId="0A2D8EA1" w14:textId="77777777" w:rsidR="00203C1C" w:rsidRPr="00835753" w:rsidRDefault="00203C1C" w:rsidP="00203C1C">
      <w:pPr>
        <w:pStyle w:val="Titlelevel2"/>
        <w:spacing w:before="0"/>
        <w:rPr>
          <w:rFonts w:ascii="Times New Roman" w:hAnsi="Times New Roman" w:cs="Times New Roman"/>
          <w:b/>
          <w:color w:val="auto"/>
          <w:sz w:val="24"/>
        </w:rPr>
      </w:pPr>
    </w:p>
    <w:p w14:paraId="10C57FEC" w14:textId="30E2AF25" w:rsidR="00203C1C" w:rsidRPr="00835753" w:rsidRDefault="00203C1C" w:rsidP="00203C1C">
      <w:pPr>
        <w:pStyle w:val="Titlelevel2"/>
        <w:spacing w:before="0"/>
        <w:rPr>
          <w:rFonts w:ascii="Times New Roman" w:hAnsi="Times New Roman" w:cs="Times New Roman"/>
          <w:b/>
          <w:color w:val="auto"/>
          <w:sz w:val="24"/>
        </w:rPr>
      </w:pPr>
      <w:r w:rsidRPr="00835753">
        <w:rPr>
          <w:rFonts w:ascii="Times New Roman" w:hAnsi="Times New Roman"/>
          <w:b/>
          <w:color w:val="auto"/>
          <w:sz w:val="24"/>
        </w:rPr>
        <w:t>Wzór EU MR4 – Porównanie szacunkowych wartości zagrożonych</w:t>
      </w:r>
      <w:r w:rsidR="00835753" w:rsidRPr="00835753">
        <w:rPr>
          <w:rFonts w:ascii="Times New Roman" w:hAnsi="Times New Roman"/>
          <w:b/>
          <w:color w:val="auto"/>
          <w:sz w:val="24"/>
        </w:rPr>
        <w:t xml:space="preserve"> z</w:t>
      </w:r>
      <w:r w:rsidR="00835753">
        <w:rPr>
          <w:rFonts w:ascii="Times New Roman" w:hAnsi="Times New Roman"/>
          <w:b/>
          <w:color w:val="auto"/>
          <w:sz w:val="24"/>
        </w:rPr>
        <w:t> </w:t>
      </w:r>
      <w:r w:rsidR="00835753" w:rsidRPr="00835753">
        <w:rPr>
          <w:rFonts w:ascii="Times New Roman" w:hAnsi="Times New Roman"/>
          <w:b/>
          <w:color w:val="auto"/>
          <w:sz w:val="24"/>
        </w:rPr>
        <w:t>zys</w:t>
      </w:r>
      <w:r w:rsidRPr="00835753">
        <w:rPr>
          <w:rFonts w:ascii="Times New Roman" w:hAnsi="Times New Roman"/>
          <w:b/>
          <w:color w:val="auto"/>
          <w:sz w:val="24"/>
        </w:rPr>
        <w:t>kami/stratami. Wzór</w:t>
      </w:r>
      <w:r w:rsidR="00835753" w:rsidRPr="00835753">
        <w:rPr>
          <w:rFonts w:ascii="Times New Roman" w:hAnsi="Times New Roman"/>
          <w:b/>
          <w:color w:val="auto"/>
          <w:sz w:val="24"/>
        </w:rPr>
        <w:t xml:space="preserve"> o</w:t>
      </w:r>
      <w:r w:rsidR="00835753">
        <w:rPr>
          <w:rFonts w:ascii="Times New Roman" w:hAnsi="Times New Roman"/>
          <w:b/>
          <w:color w:val="auto"/>
          <w:sz w:val="24"/>
        </w:rPr>
        <w:t> </w:t>
      </w:r>
      <w:r w:rsidR="00835753" w:rsidRPr="00835753">
        <w:rPr>
          <w:rFonts w:ascii="Times New Roman" w:hAnsi="Times New Roman"/>
          <w:b/>
          <w:color w:val="auto"/>
          <w:sz w:val="24"/>
        </w:rPr>
        <w:t>for</w:t>
      </w:r>
      <w:r w:rsidRPr="00835753">
        <w:rPr>
          <w:rFonts w:ascii="Times New Roman" w:hAnsi="Times New Roman"/>
          <w:b/>
          <w:color w:val="auto"/>
          <w:sz w:val="24"/>
        </w:rPr>
        <w:t xml:space="preserve">macie elastycznym </w:t>
      </w:r>
    </w:p>
    <w:p w14:paraId="03C93484" w14:textId="3542F39D" w:rsidR="00203C1C" w:rsidRPr="00835753" w:rsidRDefault="00203C1C" w:rsidP="00203C1C">
      <w:pPr>
        <w:pStyle w:val="Titlelevel2"/>
        <w:numPr>
          <w:ilvl w:val="0"/>
          <w:numId w:val="60"/>
        </w:numPr>
        <w:spacing w:before="0"/>
        <w:jc w:val="both"/>
        <w:rPr>
          <w:rFonts w:ascii="Times New Roman" w:hAnsi="Times New Roman" w:cs="Times New Roman"/>
          <w:color w:val="auto"/>
          <w:sz w:val="24"/>
        </w:rPr>
      </w:pPr>
      <w:r w:rsidRPr="00835753">
        <w:rPr>
          <w:rFonts w:ascii="Times New Roman" w:hAnsi="Times New Roman"/>
          <w:color w:val="auto"/>
          <w:sz w:val="24"/>
        </w:rPr>
        <w:t>Jeżeli chodzi</w:t>
      </w:r>
      <w:r w:rsidR="00835753" w:rsidRPr="00835753">
        <w:rPr>
          <w:rFonts w:ascii="Times New Roman" w:hAnsi="Times New Roman"/>
          <w:color w:val="auto"/>
          <w:sz w:val="24"/>
        </w:rPr>
        <w:t xml:space="preserve"> o</w:t>
      </w:r>
      <w:r w:rsidR="00835753">
        <w:rPr>
          <w:rFonts w:ascii="Times New Roman" w:hAnsi="Times New Roman"/>
          <w:color w:val="auto"/>
          <w:sz w:val="24"/>
        </w:rPr>
        <w:t> </w:t>
      </w:r>
      <w:r w:rsidR="00835753" w:rsidRPr="00835753">
        <w:rPr>
          <w:rFonts w:ascii="Times New Roman" w:hAnsi="Times New Roman"/>
          <w:color w:val="auto"/>
          <w:sz w:val="24"/>
        </w:rPr>
        <w:t>inf</w:t>
      </w:r>
      <w:r w:rsidRPr="00835753">
        <w:rPr>
          <w:rFonts w:ascii="Times New Roman" w:hAnsi="Times New Roman"/>
          <w:color w:val="auto"/>
          <w:sz w:val="24"/>
        </w:rPr>
        <w:t>ormacje,</w:t>
      </w:r>
      <w:r w:rsidR="00835753" w:rsidRPr="00835753">
        <w:rPr>
          <w:rFonts w:ascii="Times New Roman" w:hAnsi="Times New Roman"/>
          <w:color w:val="auto"/>
          <w:sz w:val="24"/>
        </w:rPr>
        <w:t xml:space="preserve"> o</w:t>
      </w:r>
      <w:r w:rsidR="00835753">
        <w:rPr>
          <w:rFonts w:ascii="Times New Roman" w:hAnsi="Times New Roman"/>
          <w:color w:val="auto"/>
          <w:sz w:val="24"/>
        </w:rPr>
        <w:t> </w:t>
      </w:r>
      <w:r w:rsidR="00835753" w:rsidRPr="00835753">
        <w:rPr>
          <w:rFonts w:ascii="Times New Roman" w:hAnsi="Times New Roman"/>
          <w:color w:val="auto"/>
          <w:sz w:val="24"/>
        </w:rPr>
        <w:t>któ</w:t>
      </w:r>
      <w:r w:rsidRPr="00835753">
        <w:rPr>
          <w:rFonts w:ascii="Times New Roman" w:hAnsi="Times New Roman"/>
          <w:color w:val="auto"/>
          <w:sz w:val="24"/>
        </w:rPr>
        <w:t>rych mowa</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art</w:t>
      </w:r>
      <w:r w:rsidRPr="00835753">
        <w:rPr>
          <w:rFonts w:ascii="Times New Roman" w:hAnsi="Times New Roman"/>
          <w:color w:val="auto"/>
          <w:sz w:val="24"/>
        </w:rPr>
        <w:t>.</w:t>
      </w:r>
      <w:r w:rsidR="00835753" w:rsidRPr="00835753">
        <w:rPr>
          <w:rFonts w:ascii="Times New Roman" w:hAnsi="Times New Roman"/>
          <w:color w:val="auto"/>
          <w:sz w:val="24"/>
        </w:rPr>
        <w:t> </w:t>
      </w:r>
      <w:r w:rsidRPr="00835753">
        <w:rPr>
          <w:rFonts w:ascii="Times New Roman" w:hAnsi="Times New Roman"/>
          <w:color w:val="auto"/>
          <w:sz w:val="24"/>
        </w:rPr>
        <w:t>455 lit.</w:t>
      </w:r>
      <w:r w:rsidR="00835753" w:rsidRPr="00835753">
        <w:rPr>
          <w:rFonts w:ascii="Times New Roman" w:hAnsi="Times New Roman"/>
          <w:color w:val="auto"/>
          <w:sz w:val="24"/>
        </w:rPr>
        <w:t> </w:t>
      </w:r>
      <w:r w:rsidRPr="00835753">
        <w:rPr>
          <w:rFonts w:ascii="Times New Roman" w:hAnsi="Times New Roman"/>
          <w:color w:val="auto"/>
          <w:sz w:val="24"/>
        </w:rPr>
        <w:t>g) CRR, instytucje ujawniają schemat przedstawiony</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zał</w:t>
      </w:r>
      <w:r w:rsidRPr="00835753">
        <w:rPr>
          <w:rFonts w:ascii="Times New Roman" w:hAnsi="Times New Roman"/>
          <w:color w:val="auto"/>
          <w:sz w:val="24"/>
        </w:rPr>
        <w:t>ączniku XXIX do niniejszego rozporządzenia wykonawczego,</w:t>
      </w:r>
      <w:r w:rsidR="00835753" w:rsidRPr="00835753">
        <w:rPr>
          <w:rFonts w:ascii="Times New Roman" w:hAnsi="Times New Roman"/>
          <w:color w:val="auto"/>
          <w:sz w:val="24"/>
        </w:rPr>
        <w:t xml:space="preserve"> a</w:t>
      </w:r>
      <w:r w:rsidR="00835753">
        <w:rPr>
          <w:rFonts w:ascii="Times New Roman" w:hAnsi="Times New Roman"/>
          <w:color w:val="auto"/>
          <w:sz w:val="24"/>
        </w:rPr>
        <w:t> </w:t>
      </w:r>
      <w:r w:rsidR="00835753" w:rsidRPr="00835753">
        <w:rPr>
          <w:rFonts w:ascii="Times New Roman" w:hAnsi="Times New Roman"/>
          <w:color w:val="auto"/>
          <w:sz w:val="24"/>
        </w:rPr>
        <w:t>tak</w:t>
      </w:r>
      <w:r w:rsidRPr="00835753">
        <w:rPr>
          <w:rFonts w:ascii="Times New Roman" w:hAnsi="Times New Roman"/>
          <w:color w:val="auto"/>
          <w:sz w:val="24"/>
        </w:rPr>
        <w:t>że informacje wskazane</w:t>
      </w:r>
      <w:r w:rsidR="00835753" w:rsidRPr="00835753">
        <w:rPr>
          <w:rFonts w:ascii="Times New Roman" w:hAnsi="Times New Roman"/>
          <w:color w:val="auto"/>
          <w:sz w:val="24"/>
        </w:rPr>
        <w:t xml:space="preserve"> w</w:t>
      </w:r>
      <w:r w:rsidR="00835753">
        <w:rPr>
          <w:rFonts w:ascii="Times New Roman" w:hAnsi="Times New Roman"/>
          <w:color w:val="auto"/>
          <w:sz w:val="24"/>
        </w:rPr>
        <w:t> </w:t>
      </w:r>
      <w:r w:rsidR="00835753" w:rsidRPr="00835753">
        <w:rPr>
          <w:rFonts w:ascii="Times New Roman" w:hAnsi="Times New Roman"/>
          <w:color w:val="auto"/>
          <w:sz w:val="24"/>
        </w:rPr>
        <w:t>nin</w:t>
      </w:r>
      <w:r w:rsidRPr="00835753">
        <w:rPr>
          <w:rFonts w:ascii="Times New Roman" w:hAnsi="Times New Roman"/>
          <w:color w:val="auto"/>
          <w:sz w:val="24"/>
        </w:rPr>
        <w:t>iejszej tabeli.</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835753"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2849FCB2"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203C1C" w:rsidRPr="00835753"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835753"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835753" w:rsidRDefault="00203C1C" w:rsidP="00155C96">
            <w:pPr>
              <w:spacing w:after="240"/>
              <w:rPr>
                <w:rFonts w:ascii="Times New Roman" w:hAnsi="Times New Roman" w:cs="Times New Roman"/>
                <w:b/>
                <w:sz w:val="24"/>
              </w:rPr>
            </w:pPr>
            <w:r w:rsidRPr="00835753">
              <w:rPr>
                <w:rFonts w:ascii="Times New Roman" w:hAnsi="Times New Roman"/>
                <w:b/>
                <w:sz w:val="24"/>
              </w:rPr>
              <w:t>Wyjaśnienie</w:t>
            </w:r>
          </w:p>
        </w:tc>
      </w:tr>
      <w:tr w:rsidR="00203C1C" w:rsidRPr="00835753"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835753"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DD29358" w14:textId="1C6F46ED" w:rsidR="00203C1C" w:rsidRPr="00835753" w:rsidRDefault="00203C1C" w:rsidP="00A9116C">
            <w:pPr>
              <w:spacing w:after="240"/>
              <w:jc w:val="both"/>
              <w:rPr>
                <w:rFonts w:ascii="Times New Roman" w:hAnsi="Times New Roman" w:cs="Times New Roman"/>
                <w:sz w:val="24"/>
              </w:rPr>
            </w:pPr>
            <w:r w:rsidRPr="00835753">
              <w:rPr>
                <w:rFonts w:ascii="Times New Roman" w:hAnsi="Times New Roman"/>
                <w:sz w:val="24"/>
              </w:rPr>
              <w:t>Informacje,</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455 lit.</w:t>
            </w:r>
            <w:r w:rsidR="00835753" w:rsidRPr="00835753">
              <w:rPr>
                <w:rFonts w:ascii="Times New Roman" w:hAnsi="Times New Roman"/>
                <w:sz w:val="24"/>
              </w:rPr>
              <w:t> </w:t>
            </w:r>
            <w:r w:rsidRPr="00835753">
              <w:rPr>
                <w:rFonts w:ascii="Times New Roman" w:hAnsi="Times New Roman"/>
                <w:sz w:val="24"/>
              </w:rPr>
              <w:t>g) CRR, obejmują wartość miary ryzyka zastosowanej do celów regulacyjnych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365 ust.</w:t>
            </w:r>
            <w:r w:rsidR="00835753" w:rsidRPr="00835753">
              <w:rPr>
                <w:rFonts w:ascii="Times New Roman" w:hAnsi="Times New Roman"/>
                <w:sz w:val="24"/>
              </w:rPr>
              <w:t> </w:t>
            </w:r>
            <w:r w:rsidRPr="00835753">
              <w:rPr>
                <w:rFonts w:ascii="Times New Roman" w:hAnsi="Times New Roman"/>
                <w:sz w:val="24"/>
              </w:rPr>
              <w:t>1 CRR skalibrowaną do</w:t>
            </w:r>
            <w:r w:rsidR="00835753" w:rsidRPr="00835753">
              <w:rPr>
                <w:rFonts w:ascii="Times New Roman" w:hAnsi="Times New Roman"/>
                <w:sz w:val="24"/>
              </w:rPr>
              <w:t> </w:t>
            </w:r>
            <w:r w:rsidRPr="00835753">
              <w:rPr>
                <w:rFonts w:ascii="Times New Roman" w:hAnsi="Times New Roman"/>
                <w:sz w:val="24"/>
              </w:rPr>
              <w:t>1-dniowego okresu utrzymywania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porównania jej</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pow</w:t>
            </w:r>
            <w:r w:rsidRPr="00835753">
              <w:rPr>
                <w:rFonts w:ascii="Times New Roman" w:hAnsi="Times New Roman"/>
                <w:sz w:val="24"/>
              </w:rPr>
              <w:t>iązanymi wynikami handlowymi na poziomie ufności wynoszącym 99</w:t>
            </w:r>
            <w:r w:rsidR="00835753" w:rsidRPr="00835753">
              <w:rPr>
                <w:rFonts w:ascii="Times New Roman" w:hAnsi="Times New Roman"/>
                <w:sz w:val="24"/>
              </w:rPr>
              <w:t> </w:t>
            </w:r>
            <w:r w:rsidRPr="00835753">
              <w:rPr>
                <w:rFonts w:ascii="Times New Roman" w:hAnsi="Times New Roman"/>
                <w:sz w:val="24"/>
              </w:rPr>
              <w:t>%.</w:t>
            </w:r>
          </w:p>
        </w:tc>
      </w:tr>
      <w:tr w:rsidR="00203C1C" w:rsidRPr="00835753"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835753"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E2459F4" w14:textId="56547A1E" w:rsidR="00203C1C" w:rsidRPr="00835753" w:rsidRDefault="00203C1C" w:rsidP="00155C96">
            <w:pPr>
              <w:pStyle w:val="Default"/>
              <w:spacing w:after="240"/>
              <w:jc w:val="both"/>
              <w:rPr>
                <w:rFonts w:ascii="Times New Roman" w:hAnsi="Times New Roman" w:cs="Times New Roman"/>
              </w:rPr>
            </w:pPr>
            <w:r w:rsidRPr="00835753">
              <w:rPr>
                <w:rFonts w:ascii="Times New Roman" w:hAnsi="Times New Roman"/>
              </w:rPr>
              <w:t>Instytucje przedstawiają analizę „wartości oddalonych” (odstępstwa od zasady przeprowadzania weryfikacji historycznej zgodnie</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art</w:t>
            </w:r>
            <w:r w:rsidRPr="00835753">
              <w:rPr>
                <w:rFonts w:ascii="Times New Roman" w:hAnsi="Times New Roman"/>
              </w:rPr>
              <w:t>.</w:t>
            </w:r>
            <w:r w:rsidR="00835753" w:rsidRPr="00835753">
              <w:rPr>
                <w:rFonts w:ascii="Times New Roman" w:hAnsi="Times New Roman"/>
              </w:rPr>
              <w:t> </w:t>
            </w:r>
            <w:r w:rsidRPr="00835753">
              <w:rPr>
                <w:rFonts w:ascii="Times New Roman" w:hAnsi="Times New Roman"/>
              </w:rPr>
              <w:t>366 CRR)</w:t>
            </w:r>
            <w:r w:rsidR="00835753" w:rsidRPr="00835753">
              <w:rPr>
                <w:rFonts w:ascii="Times New Roman" w:hAnsi="Times New Roman"/>
              </w:rPr>
              <w:t xml:space="preserve"> w</w:t>
            </w:r>
            <w:r w:rsidR="00835753">
              <w:rPr>
                <w:rFonts w:ascii="Times New Roman" w:hAnsi="Times New Roman"/>
              </w:rPr>
              <w:t> </w:t>
            </w:r>
            <w:r w:rsidR="00835753" w:rsidRPr="00835753">
              <w:rPr>
                <w:rFonts w:ascii="Times New Roman" w:hAnsi="Times New Roman"/>
              </w:rPr>
              <w:t>wyn</w:t>
            </w:r>
            <w:r w:rsidRPr="00835753">
              <w:rPr>
                <w:rFonts w:ascii="Times New Roman" w:hAnsi="Times New Roman"/>
              </w:rPr>
              <w:t>ikach weryfikacji historycznej, wskazując stosowne terminy</w:t>
            </w:r>
            <w:r w:rsidR="00835753" w:rsidRPr="00835753">
              <w:rPr>
                <w:rFonts w:ascii="Times New Roman" w:hAnsi="Times New Roman"/>
              </w:rPr>
              <w:t xml:space="preserve"> i</w:t>
            </w:r>
            <w:r w:rsidR="00835753">
              <w:rPr>
                <w:rFonts w:ascii="Times New Roman" w:hAnsi="Times New Roman"/>
              </w:rPr>
              <w:t> </w:t>
            </w:r>
            <w:r w:rsidR="00835753" w:rsidRPr="00835753">
              <w:rPr>
                <w:rFonts w:ascii="Times New Roman" w:hAnsi="Times New Roman"/>
              </w:rPr>
              <w:t>odp</w:t>
            </w:r>
            <w:r w:rsidRPr="00835753">
              <w:rPr>
                <w:rFonts w:ascii="Times New Roman" w:hAnsi="Times New Roman"/>
              </w:rPr>
              <w:t>owiednie nadwyżki (VaR – zyski</w:t>
            </w:r>
            <w:r w:rsidR="00835753" w:rsidRPr="00835753">
              <w:rPr>
                <w:rFonts w:ascii="Times New Roman" w:hAnsi="Times New Roman"/>
              </w:rPr>
              <w:t xml:space="preserve"> i</w:t>
            </w:r>
            <w:r w:rsidR="00835753">
              <w:rPr>
                <w:rFonts w:ascii="Times New Roman" w:hAnsi="Times New Roman"/>
              </w:rPr>
              <w:t> </w:t>
            </w:r>
            <w:r w:rsidR="00835753" w:rsidRPr="00835753">
              <w:rPr>
                <w:rFonts w:ascii="Times New Roman" w:hAnsi="Times New Roman"/>
              </w:rPr>
              <w:t>str</w:t>
            </w:r>
            <w:r w:rsidRPr="00835753">
              <w:rPr>
                <w:rFonts w:ascii="Times New Roman" w:hAnsi="Times New Roman"/>
              </w:rPr>
              <w:t xml:space="preserve">aty). We wspomnianej analizie należy określić przynajmniej kluczowe czynniki uzasadniające zastosowanie odstępstw. </w:t>
            </w:r>
          </w:p>
          <w:p w14:paraId="439BBAAF" w14:textId="174C09DB" w:rsidR="00203C1C" w:rsidRPr="00835753" w:rsidRDefault="00203C1C" w:rsidP="00155C96">
            <w:pPr>
              <w:pStyle w:val="Default"/>
              <w:spacing w:after="240"/>
              <w:jc w:val="both"/>
              <w:rPr>
                <w:rFonts w:ascii="Times New Roman" w:hAnsi="Times New Roman" w:cs="Times New Roman"/>
              </w:rPr>
            </w:pPr>
            <w:r w:rsidRPr="00835753">
              <w:rPr>
                <w:rFonts w:ascii="Times New Roman" w:hAnsi="Times New Roman"/>
              </w:rPr>
              <w:t>Instytucje ujawniają podobne zestawienia rzeczywistych zysków</w:t>
            </w:r>
            <w:r w:rsidR="00835753" w:rsidRPr="00835753">
              <w:rPr>
                <w:rFonts w:ascii="Times New Roman" w:hAnsi="Times New Roman"/>
              </w:rPr>
              <w:t xml:space="preserve"> i</w:t>
            </w:r>
            <w:r w:rsidR="00835753">
              <w:rPr>
                <w:rFonts w:ascii="Times New Roman" w:hAnsi="Times New Roman"/>
              </w:rPr>
              <w:t> </w:t>
            </w:r>
            <w:r w:rsidR="00835753" w:rsidRPr="00835753">
              <w:rPr>
                <w:rFonts w:ascii="Times New Roman" w:hAnsi="Times New Roman"/>
              </w:rPr>
              <w:t>str</w:t>
            </w:r>
            <w:r w:rsidRPr="00835753">
              <w:rPr>
                <w:rFonts w:ascii="Times New Roman" w:hAnsi="Times New Roman"/>
              </w:rPr>
              <w:t>at</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hip</w:t>
            </w:r>
            <w:r w:rsidRPr="00835753">
              <w:rPr>
                <w:rFonts w:ascii="Times New Roman" w:hAnsi="Times New Roman"/>
              </w:rPr>
              <w:t>otetycznymi zyskami</w:t>
            </w:r>
            <w:r w:rsidR="00835753" w:rsidRPr="00835753">
              <w:rPr>
                <w:rFonts w:ascii="Times New Roman" w:hAnsi="Times New Roman"/>
              </w:rPr>
              <w:t xml:space="preserve"> i</w:t>
            </w:r>
            <w:r w:rsidR="00835753">
              <w:rPr>
                <w:rFonts w:ascii="Times New Roman" w:hAnsi="Times New Roman"/>
              </w:rPr>
              <w:t> </w:t>
            </w:r>
            <w:r w:rsidR="00835753" w:rsidRPr="00835753">
              <w:rPr>
                <w:rFonts w:ascii="Times New Roman" w:hAnsi="Times New Roman"/>
              </w:rPr>
              <w:t>str</w:t>
            </w:r>
            <w:r w:rsidRPr="00835753">
              <w:rPr>
                <w:rFonts w:ascii="Times New Roman" w:hAnsi="Times New Roman"/>
              </w:rPr>
              <w:t>atami (na podstawie hipotetycznych zmian wartości portfela, do których doszłoby, gdyby pozycje na koniec dnia pozostały niezmienione), zgodnie</w:t>
            </w:r>
            <w:r w:rsidR="00835753" w:rsidRPr="00835753">
              <w:rPr>
                <w:rFonts w:ascii="Times New Roman" w:hAnsi="Times New Roman"/>
              </w:rPr>
              <w:t xml:space="preserve"> z</w:t>
            </w:r>
            <w:r w:rsidR="00835753">
              <w:rPr>
                <w:rFonts w:ascii="Times New Roman" w:hAnsi="Times New Roman"/>
              </w:rPr>
              <w:t> </w:t>
            </w:r>
            <w:r w:rsidR="00835753" w:rsidRPr="00835753">
              <w:rPr>
                <w:rFonts w:ascii="Times New Roman" w:hAnsi="Times New Roman"/>
              </w:rPr>
              <w:t>art</w:t>
            </w:r>
            <w:r w:rsidRPr="00835753">
              <w:rPr>
                <w:rFonts w:ascii="Times New Roman" w:hAnsi="Times New Roman"/>
              </w:rPr>
              <w:t>.</w:t>
            </w:r>
            <w:r w:rsidR="00835753" w:rsidRPr="00835753">
              <w:rPr>
                <w:rFonts w:ascii="Times New Roman" w:hAnsi="Times New Roman"/>
              </w:rPr>
              <w:t> </w:t>
            </w:r>
            <w:r w:rsidRPr="00835753">
              <w:rPr>
                <w:rFonts w:ascii="Times New Roman" w:hAnsi="Times New Roman"/>
              </w:rPr>
              <w:t xml:space="preserve">366 CRR. </w:t>
            </w:r>
          </w:p>
          <w:p w14:paraId="4855ABA2" w14:textId="79F2BD33" w:rsidR="00203C1C" w:rsidRPr="00835753" w:rsidRDefault="00203C1C" w:rsidP="00830C7A">
            <w:pPr>
              <w:spacing w:after="240"/>
              <w:jc w:val="both"/>
              <w:rPr>
                <w:rFonts w:ascii="Times New Roman" w:hAnsi="Times New Roman" w:cs="Times New Roman"/>
                <w:b/>
                <w:sz w:val="24"/>
              </w:rPr>
            </w:pPr>
            <w:r w:rsidRPr="00835753">
              <w:rPr>
                <w:rFonts w:ascii="Times New Roman" w:hAnsi="Times New Roman"/>
                <w:sz w:val="24"/>
              </w:rPr>
              <w:t>Instytucje uzupełniają te informacje danymi dotyczącymi faktycznych zysków/strat,</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szc</w:t>
            </w:r>
            <w:r w:rsidRPr="00835753">
              <w:rPr>
                <w:rFonts w:ascii="Times New Roman" w:hAnsi="Times New Roman"/>
                <w:sz w:val="24"/>
              </w:rPr>
              <w:t>zególności wyjaśniają, czy dane te uwzględniają rezerwy,</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jeż</w:t>
            </w:r>
            <w:r w:rsidRPr="00835753">
              <w:rPr>
                <w:rFonts w:ascii="Times New Roman" w:hAnsi="Times New Roman"/>
                <w:sz w:val="24"/>
              </w:rPr>
              <w:t>eli nie –</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 xml:space="preserve">i sposób rezerwy są włączane do procesu weryfikacji historycznej. </w:t>
            </w:r>
          </w:p>
        </w:tc>
      </w:tr>
    </w:tbl>
    <w:p w14:paraId="191D0407" w14:textId="77777777" w:rsidR="00203C1C" w:rsidRPr="00835753" w:rsidRDefault="00203C1C" w:rsidP="00203C1C">
      <w:pPr>
        <w:pStyle w:val="Titlelevel2"/>
        <w:spacing w:before="0"/>
        <w:rPr>
          <w:rFonts w:ascii="Times New Roman" w:hAnsi="Times New Roman" w:cs="Times New Roman"/>
          <w:b/>
          <w:color w:val="auto"/>
          <w:sz w:val="22"/>
          <w:szCs w:val="22"/>
        </w:rPr>
      </w:pPr>
    </w:p>
    <w:p w14:paraId="09304781" w14:textId="77777777" w:rsidR="00203C1C" w:rsidRPr="00835753" w:rsidRDefault="00203C1C" w:rsidP="00203C1C">
      <w:pPr>
        <w:spacing w:after="240"/>
      </w:pPr>
    </w:p>
    <w:p w14:paraId="05B93B34" w14:textId="77777777" w:rsidR="003D6F47" w:rsidRPr="00835753" w:rsidRDefault="00FA02BC">
      <w:pPr>
        <w:rPr>
          <w:rFonts w:ascii="Times New Roman" w:hAnsi="Times New Roman" w:cs="Times New Roman"/>
          <w:b/>
          <w:sz w:val="24"/>
        </w:rPr>
        <w:sectPr w:rsidR="003D6F47" w:rsidRPr="00835753" w:rsidSect="00155C96">
          <w:pgSz w:w="11900" w:h="16840"/>
          <w:pgMar w:top="2268" w:right="1418" w:bottom="1134" w:left="1701" w:header="709" w:footer="709" w:gutter="0"/>
          <w:pgNumType w:start="1" w:chapStyle="1"/>
          <w:cols w:space="708"/>
          <w:docGrid w:linePitch="299"/>
        </w:sectPr>
      </w:pPr>
      <w:r w:rsidRPr="00835753">
        <w:lastRenderedPageBreak/>
        <w:br w:type="page"/>
      </w:r>
    </w:p>
    <w:p w14:paraId="04365699" w14:textId="77777777" w:rsidR="00FA02BC" w:rsidRPr="00835753" w:rsidRDefault="00FA02BC" w:rsidP="00FA02BC">
      <w:pPr>
        <w:pStyle w:val="Annexetitre"/>
        <w:spacing w:before="0"/>
      </w:pPr>
      <w:r w:rsidRPr="00835753">
        <w:lastRenderedPageBreak/>
        <w:t>ZAŁĄCZNIK XXXII – Instrukcje dotyczące wzorów do celów ujawniania informacji na temat ryzyka operacyjnego</w:t>
      </w:r>
    </w:p>
    <w:p w14:paraId="33A4E9C6" w14:textId="77777777" w:rsidR="00FA02BC" w:rsidRPr="00835753" w:rsidRDefault="00FA02BC" w:rsidP="00FA02BC">
      <w:pPr>
        <w:spacing w:after="120"/>
        <w:jc w:val="both"/>
        <w:rPr>
          <w:rFonts w:ascii="Times New Roman" w:hAnsi="Times New Roman"/>
          <w:b/>
          <w:bCs/>
          <w:sz w:val="24"/>
        </w:rPr>
      </w:pPr>
    </w:p>
    <w:p w14:paraId="58A921A0" w14:textId="2C5759E5" w:rsidR="00FA02BC" w:rsidRPr="00835753" w:rsidRDefault="00D95507" w:rsidP="00FA02BC">
      <w:pPr>
        <w:spacing w:after="120"/>
        <w:rPr>
          <w:rFonts w:ascii="Times New Roman" w:hAnsi="Times New Roman"/>
          <w:bCs/>
          <w:sz w:val="24"/>
        </w:rPr>
      </w:pPr>
      <w:r w:rsidRPr="00835753">
        <w:rPr>
          <w:rFonts w:ascii="Times New Roman" w:hAnsi="Times New Roman"/>
          <w:b/>
          <w:bCs/>
          <w:sz w:val="24"/>
        </w:rPr>
        <w:t xml:space="preserve">Tabela EU ORA – Informacje jakościowe na temat ryzyka operacyjnego. </w:t>
      </w:r>
      <w:r w:rsidRPr="00835753">
        <w:rPr>
          <w:rFonts w:ascii="Times New Roman" w:hAnsi="Times New Roman"/>
          <w:bCs/>
          <w:sz w:val="24"/>
        </w:rPr>
        <w:t>Tabela</w:t>
      </w:r>
      <w:r w:rsidR="00835753" w:rsidRPr="00835753">
        <w:rPr>
          <w:rFonts w:ascii="Times New Roman" w:hAnsi="Times New Roman"/>
          <w:bCs/>
          <w:sz w:val="24"/>
        </w:rPr>
        <w:t xml:space="preserve"> o</w:t>
      </w:r>
      <w:r w:rsidR="00835753">
        <w:rPr>
          <w:rFonts w:ascii="Times New Roman" w:hAnsi="Times New Roman"/>
          <w:bCs/>
          <w:sz w:val="24"/>
        </w:rPr>
        <w:t> </w:t>
      </w:r>
      <w:r w:rsidR="00835753" w:rsidRPr="00835753">
        <w:rPr>
          <w:rFonts w:ascii="Times New Roman" w:hAnsi="Times New Roman"/>
          <w:bCs/>
          <w:sz w:val="24"/>
        </w:rPr>
        <w:t>for</w:t>
      </w:r>
      <w:r w:rsidRPr="00835753">
        <w:rPr>
          <w:rFonts w:ascii="Times New Roman" w:hAnsi="Times New Roman"/>
          <w:bCs/>
          <w:sz w:val="24"/>
        </w:rPr>
        <w:t>macie elastycznym</w:t>
      </w:r>
    </w:p>
    <w:p w14:paraId="6B7BE904" w14:textId="198ACB4F" w:rsidR="00FA02BC" w:rsidRPr="00835753" w:rsidRDefault="00FA02BC" w:rsidP="00FA02BC">
      <w:pPr>
        <w:numPr>
          <w:ilvl w:val="0"/>
          <w:numId w:val="19"/>
        </w:numPr>
        <w:spacing w:after="120"/>
        <w:jc w:val="both"/>
        <w:rPr>
          <w:rFonts w:ascii="Calibri" w:eastAsia="Times New Roman" w:hAnsi="Calibri" w:cs="Times New Roman"/>
          <w:color w:val="000000"/>
          <w:szCs w:val="22"/>
        </w:rPr>
      </w:pPr>
      <w:r w:rsidRPr="00835753">
        <w:rPr>
          <w:rFonts w:ascii="Times New Roman" w:hAnsi="Times New Roman"/>
          <w:bCs/>
          <w:sz w:val="24"/>
        </w:rPr>
        <w:t>Instytucje ujawniają informacje zawarte</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iejszej tabeli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435 ust.</w:t>
      </w:r>
      <w:r w:rsidR="00835753" w:rsidRPr="00835753">
        <w:rPr>
          <w:rFonts w:ascii="Times New Roman" w:hAnsi="Times New Roman"/>
          <w:bCs/>
          <w:sz w:val="24"/>
        </w:rPr>
        <w:t> </w:t>
      </w:r>
      <w:r w:rsidRPr="00835753">
        <w:rPr>
          <w:rFonts w:ascii="Times New Roman" w:hAnsi="Times New Roman"/>
          <w:bCs/>
          <w:sz w:val="24"/>
        </w:rPr>
        <w:t>1, art.</w:t>
      </w:r>
      <w:r w:rsidR="00835753" w:rsidRPr="00835753">
        <w:rPr>
          <w:rFonts w:ascii="Times New Roman" w:hAnsi="Times New Roman"/>
          <w:bCs/>
          <w:sz w:val="24"/>
        </w:rPr>
        <w:t> </w:t>
      </w:r>
      <w:r w:rsidRPr="00835753">
        <w:rPr>
          <w:rFonts w:ascii="Times New Roman" w:hAnsi="Times New Roman"/>
          <w:bCs/>
          <w:sz w:val="24"/>
        </w:rPr>
        <w:t>446 oraz art.</w:t>
      </w:r>
      <w:r w:rsidR="00835753" w:rsidRPr="00835753">
        <w:rPr>
          <w:rFonts w:ascii="Times New Roman" w:hAnsi="Times New Roman"/>
          <w:bCs/>
          <w:sz w:val="24"/>
        </w:rPr>
        <w:t> </w:t>
      </w:r>
      <w:r w:rsidRPr="00835753">
        <w:rPr>
          <w:rFonts w:ascii="Times New Roman" w:hAnsi="Times New Roman"/>
          <w:bCs/>
          <w:sz w:val="24"/>
        </w:rPr>
        <w:t>454 rozporządzenia (UE) nr</w:t>
      </w:r>
      <w:r w:rsidR="00835753" w:rsidRPr="00835753">
        <w:rPr>
          <w:rFonts w:ascii="Times New Roman" w:hAnsi="Times New Roman"/>
          <w:bCs/>
          <w:sz w:val="24"/>
        </w:rPr>
        <w:t> </w:t>
      </w:r>
      <w:r w:rsidRPr="00835753">
        <w:rPr>
          <w:rFonts w:ascii="Times New Roman" w:hAnsi="Times New Roman"/>
          <w:bCs/>
          <w:sz w:val="24"/>
        </w:rPr>
        <w:t>575/2013</w:t>
      </w:r>
      <w:r w:rsidRPr="00835753">
        <w:rPr>
          <w:rStyle w:val="FootnoteReference"/>
          <w:rFonts w:ascii="Times New Roman" w:hAnsi="Times New Roman"/>
          <w:bCs/>
          <w:sz w:val="24"/>
        </w:rPr>
        <w:footnoteReference w:id="49"/>
      </w:r>
      <w:r w:rsidRPr="00835753">
        <w:rPr>
          <w:rFonts w:ascii="Times New Roman" w:hAnsi="Times New Roman"/>
          <w:bCs/>
          <w:sz w:val="24"/>
        </w:rPr>
        <w:t xml:space="preserve"> („CRR”).</w:t>
      </w:r>
    </w:p>
    <w:p w14:paraId="0BA71BE4" w14:textId="7F64107C" w:rsidR="00FA02BC" w:rsidRPr="00835753" w:rsidRDefault="00FA02BC" w:rsidP="00FA02BC">
      <w:pPr>
        <w:numPr>
          <w:ilvl w:val="0"/>
          <w:numId w:val="19"/>
        </w:numPr>
        <w:spacing w:after="120"/>
        <w:jc w:val="both"/>
        <w:rPr>
          <w:rFonts w:ascii="Times New Roman" w:hAnsi="Times New Roman"/>
          <w:bCs/>
          <w:sz w:val="24"/>
        </w:rPr>
      </w:pPr>
      <w:r w:rsidRPr="00835753">
        <w:rPr>
          <w:rFonts w:ascii="Times New Roman" w:hAnsi="Times New Roman"/>
          <w:bCs/>
          <w:sz w:val="24"/>
        </w:rPr>
        <w:t>W celu wypełnienia tabeli EU ORA do celów ujawniania informacji na temat ryzyka operacyjnego zamieszczonej</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ączniku XXXI do niniejszego rozporządzenia wykonawczego instytucje stosują instrukcje zawarte poniżej</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w:t>
      </w:r>
    </w:p>
    <w:tbl>
      <w:tblPr>
        <w:tblW w:w="8926" w:type="dxa"/>
        <w:tblLook w:val="04A0" w:firstRow="1" w:lastRow="0" w:firstColumn="1" w:lastColumn="0" w:noHBand="0" w:noVBand="1"/>
      </w:tblPr>
      <w:tblGrid>
        <w:gridCol w:w="1555"/>
        <w:gridCol w:w="7371"/>
      </w:tblGrid>
      <w:tr w:rsidR="00FA02BC" w:rsidRPr="00835753"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0D0B4856" w:rsidR="00FA02BC" w:rsidRPr="00835753" w:rsidRDefault="00FA02BC" w:rsidP="00155C96">
            <w:pPr>
              <w:spacing w:after="120"/>
              <w:rPr>
                <w:rFonts w:ascii="Times New Roman" w:eastAsia="Times New Roman" w:hAnsi="Times New Roman" w:cs="Times New Roman"/>
                <w:b/>
                <w:bCs/>
                <w:color w:val="000000"/>
                <w:sz w:val="24"/>
              </w:rPr>
            </w:pPr>
            <w:r w:rsidRPr="00835753">
              <w:rPr>
                <w:rFonts w:ascii="Times New Roman" w:hAnsi="Times New Roman"/>
                <w:b/>
                <w:bCs/>
                <w:color w:val="000000"/>
                <w:sz w:val="24"/>
              </w:rPr>
              <w:t>Odniesienia prawne</w:t>
            </w:r>
            <w:r w:rsidR="00835753" w:rsidRPr="00835753">
              <w:rPr>
                <w:rFonts w:ascii="Times New Roman" w:hAnsi="Times New Roman"/>
                <w:b/>
                <w:bCs/>
                <w:color w:val="000000"/>
                <w:sz w:val="24"/>
              </w:rPr>
              <w:t xml:space="preserve"> i</w:t>
            </w:r>
            <w:r w:rsidR="00835753">
              <w:rPr>
                <w:rFonts w:ascii="Times New Roman" w:hAnsi="Times New Roman"/>
                <w:b/>
                <w:bCs/>
                <w:color w:val="000000"/>
                <w:sz w:val="24"/>
              </w:rPr>
              <w:t> </w:t>
            </w:r>
            <w:r w:rsidR="00835753" w:rsidRPr="00835753">
              <w:rPr>
                <w:rFonts w:ascii="Times New Roman" w:hAnsi="Times New Roman"/>
                <w:b/>
                <w:bCs/>
                <w:color w:val="000000"/>
                <w:sz w:val="24"/>
              </w:rPr>
              <w:t>ins</w:t>
            </w:r>
            <w:r w:rsidRPr="00835753">
              <w:rPr>
                <w:rFonts w:ascii="Times New Roman" w:hAnsi="Times New Roman"/>
                <w:b/>
                <w:bCs/>
                <w:color w:val="000000"/>
                <w:sz w:val="24"/>
              </w:rPr>
              <w:t>trukcje</w:t>
            </w:r>
          </w:p>
        </w:tc>
      </w:tr>
      <w:tr w:rsidR="00FA02BC" w:rsidRPr="00835753"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835753" w:rsidRDefault="00FA02BC" w:rsidP="00155C96">
            <w:pPr>
              <w:spacing w:after="120"/>
              <w:rPr>
                <w:rFonts w:ascii="Times New Roman" w:eastAsia="Times New Roman" w:hAnsi="Times New Roman" w:cs="Times New Roman"/>
                <w:b/>
                <w:bCs/>
                <w:color w:val="000000"/>
                <w:sz w:val="24"/>
              </w:rPr>
            </w:pPr>
            <w:r w:rsidRPr="00835753">
              <w:rPr>
                <w:rFonts w:ascii="Times New Roman" w:hAnsi="Times New Roman"/>
                <w:b/>
                <w:bCs/>
                <w:color w:val="000000"/>
                <w:sz w:val="24"/>
              </w:rPr>
              <w:t>Numer wiersza</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835753" w:rsidRDefault="00FA02BC" w:rsidP="00155C96">
            <w:pPr>
              <w:spacing w:after="120"/>
              <w:rPr>
                <w:rFonts w:ascii="Times New Roman" w:eastAsia="Times New Roman" w:hAnsi="Times New Roman" w:cs="Times New Roman"/>
                <w:b/>
                <w:bCs/>
                <w:color w:val="000000"/>
                <w:sz w:val="24"/>
              </w:rPr>
            </w:pPr>
            <w:r w:rsidRPr="00835753">
              <w:rPr>
                <w:rFonts w:ascii="Times New Roman" w:hAnsi="Times New Roman"/>
                <w:b/>
                <w:bCs/>
                <w:color w:val="000000"/>
                <w:sz w:val="24"/>
              </w:rPr>
              <w:t>Wyjaśnienie</w:t>
            </w:r>
          </w:p>
        </w:tc>
      </w:tr>
      <w:tr w:rsidR="00FA02BC" w:rsidRPr="00835753"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77777777" w:rsidR="00FA02BC" w:rsidRPr="00835753" w:rsidRDefault="00FA02BC" w:rsidP="00155C96">
            <w:pPr>
              <w:spacing w:after="120"/>
              <w:jc w:val="center"/>
              <w:rPr>
                <w:rFonts w:ascii="Times New Roman" w:eastAsia="Times New Roman" w:hAnsi="Times New Roman" w:cs="Times New Roman"/>
                <w:color w:val="000000"/>
                <w:sz w:val="24"/>
              </w:rPr>
            </w:pPr>
            <w:proofErr w:type="gramStart"/>
            <w:r w:rsidRPr="00835753">
              <w:rPr>
                <w:rFonts w:ascii="Times New Roman" w:hAnsi="Times New Roman"/>
                <w:color w:val="000000"/>
                <w:sz w:val="24"/>
              </w:rPr>
              <w:t>a</w:t>
            </w:r>
            <w:proofErr w:type="gramEnd"/>
            <w:r w:rsidRPr="00835753">
              <w:rPr>
                <w:rFonts w:ascii="Times New Roman" w:hAnsi="Times New Roman"/>
                <w:color w:val="000000"/>
                <w:sz w:val="24"/>
              </w:rPr>
              <w:t>)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13558AB2" w:rsidR="00FA02BC" w:rsidRPr="00835753" w:rsidRDefault="00FA02BC" w:rsidP="00155C96">
            <w:pPr>
              <w:spacing w:after="120"/>
              <w:jc w:val="both"/>
              <w:rPr>
                <w:rFonts w:ascii="Times New Roman" w:eastAsia="Times New Roman" w:hAnsi="Times New Roman" w:cs="Times New Roman"/>
                <w:b/>
                <w:color w:val="000000"/>
                <w:sz w:val="24"/>
              </w:rPr>
            </w:pPr>
            <w:r w:rsidRPr="00835753">
              <w:rPr>
                <w:rFonts w:ascii="Times New Roman" w:hAnsi="Times New Roman"/>
                <w:b/>
                <w:color w:val="000000"/>
                <w:sz w:val="24"/>
              </w:rPr>
              <w:t>Ujawnianie informacji dotyczących celów</w:t>
            </w:r>
            <w:r w:rsidR="00835753" w:rsidRPr="00835753">
              <w:rPr>
                <w:rFonts w:ascii="Times New Roman" w:hAnsi="Times New Roman"/>
                <w:b/>
                <w:color w:val="000000"/>
                <w:sz w:val="24"/>
              </w:rPr>
              <w:t xml:space="preserve"> i</w:t>
            </w:r>
            <w:r w:rsidR="00835753">
              <w:rPr>
                <w:rFonts w:ascii="Times New Roman" w:hAnsi="Times New Roman"/>
                <w:b/>
                <w:color w:val="000000"/>
                <w:sz w:val="24"/>
              </w:rPr>
              <w:t> </w:t>
            </w:r>
            <w:r w:rsidR="00835753" w:rsidRPr="00835753">
              <w:rPr>
                <w:rFonts w:ascii="Times New Roman" w:hAnsi="Times New Roman"/>
                <w:b/>
                <w:color w:val="000000"/>
                <w:sz w:val="24"/>
              </w:rPr>
              <w:t>pol</w:t>
            </w:r>
            <w:r w:rsidRPr="00835753">
              <w:rPr>
                <w:rFonts w:ascii="Times New Roman" w:hAnsi="Times New Roman"/>
                <w:b/>
                <w:color w:val="000000"/>
                <w:sz w:val="24"/>
              </w:rPr>
              <w:t>ityk</w:t>
            </w:r>
            <w:r w:rsidR="00835753" w:rsidRPr="00835753">
              <w:rPr>
                <w:rFonts w:ascii="Times New Roman" w:hAnsi="Times New Roman"/>
                <w:b/>
                <w:color w:val="000000"/>
                <w:sz w:val="24"/>
              </w:rPr>
              <w:t xml:space="preserve"> w</w:t>
            </w:r>
            <w:r w:rsidR="00835753">
              <w:rPr>
                <w:rFonts w:ascii="Times New Roman" w:hAnsi="Times New Roman"/>
                <w:b/>
                <w:color w:val="000000"/>
                <w:sz w:val="24"/>
              </w:rPr>
              <w:t> </w:t>
            </w:r>
            <w:r w:rsidR="00835753" w:rsidRPr="00835753">
              <w:rPr>
                <w:rFonts w:ascii="Times New Roman" w:hAnsi="Times New Roman"/>
                <w:b/>
                <w:color w:val="000000"/>
                <w:sz w:val="24"/>
              </w:rPr>
              <w:t>zak</w:t>
            </w:r>
            <w:r w:rsidRPr="00835753">
              <w:rPr>
                <w:rFonts w:ascii="Times New Roman" w:hAnsi="Times New Roman"/>
                <w:b/>
                <w:color w:val="000000"/>
                <w:sz w:val="24"/>
              </w:rPr>
              <w:t>resie zarządzania ryzykiem</w:t>
            </w:r>
          </w:p>
          <w:p w14:paraId="222E16D0" w14:textId="191C79E9" w:rsidR="00FA02BC" w:rsidRPr="00835753" w:rsidRDefault="00FA02BC" w:rsidP="00155C96">
            <w:pPr>
              <w:spacing w:after="120"/>
              <w:jc w:val="both"/>
              <w:rPr>
                <w:rFonts w:ascii="Times New Roman" w:eastAsia="Times New Roman" w:hAnsi="Times New Roman" w:cs="Times New Roman"/>
                <w:color w:val="000000"/>
                <w:sz w:val="24"/>
              </w:rPr>
            </w:pPr>
            <w:r w:rsidRPr="00835753">
              <w:rPr>
                <w:rFonts w:ascii="Times New Roman" w:hAnsi="Times New Roman"/>
                <w:color w:val="000000"/>
                <w:sz w:val="24"/>
              </w:rPr>
              <w:t>Zgodnie</w:t>
            </w:r>
            <w:r w:rsidR="00835753" w:rsidRPr="00835753">
              <w:rPr>
                <w:rFonts w:ascii="Times New Roman" w:hAnsi="Times New Roman"/>
                <w:color w:val="000000"/>
                <w:sz w:val="24"/>
              </w:rPr>
              <w:t xml:space="preserve"> z</w:t>
            </w:r>
            <w:r w:rsidR="00835753">
              <w:rPr>
                <w:rFonts w:ascii="Times New Roman" w:hAnsi="Times New Roman"/>
                <w:color w:val="000000"/>
                <w:sz w:val="24"/>
              </w:rPr>
              <w:t> </w:t>
            </w:r>
            <w:r w:rsidR="00835753" w:rsidRPr="00835753">
              <w:rPr>
                <w:rFonts w:ascii="Times New Roman" w:hAnsi="Times New Roman"/>
                <w:color w:val="000000"/>
                <w:sz w:val="24"/>
              </w:rPr>
              <w:t>art</w:t>
            </w:r>
            <w:r w:rsidRPr="00835753">
              <w:rPr>
                <w:rFonts w:ascii="Times New Roman" w:hAnsi="Times New Roman"/>
                <w:color w:val="000000"/>
                <w:sz w:val="24"/>
              </w:rPr>
              <w:t>.</w:t>
            </w:r>
            <w:r w:rsidR="00835753" w:rsidRPr="00835753">
              <w:rPr>
                <w:rFonts w:ascii="Times New Roman" w:hAnsi="Times New Roman"/>
                <w:color w:val="000000"/>
                <w:sz w:val="24"/>
              </w:rPr>
              <w:t> </w:t>
            </w:r>
            <w:r w:rsidRPr="00835753">
              <w:rPr>
                <w:rFonts w:ascii="Times New Roman" w:hAnsi="Times New Roman"/>
                <w:color w:val="000000"/>
                <w:sz w:val="24"/>
              </w:rPr>
              <w:t>435 ust.</w:t>
            </w:r>
            <w:r w:rsidR="00835753" w:rsidRPr="00835753">
              <w:rPr>
                <w:rFonts w:ascii="Times New Roman" w:hAnsi="Times New Roman"/>
                <w:color w:val="000000"/>
                <w:sz w:val="24"/>
              </w:rPr>
              <w:t> </w:t>
            </w:r>
            <w:r w:rsidRPr="00835753">
              <w:rPr>
                <w:rFonts w:ascii="Times New Roman" w:hAnsi="Times New Roman"/>
                <w:color w:val="000000"/>
                <w:sz w:val="24"/>
              </w:rPr>
              <w:t>1 CRR instytucje ujawniają informacje na temat swoich celów</w:t>
            </w:r>
            <w:r w:rsidR="00835753" w:rsidRPr="00835753">
              <w:rPr>
                <w:rFonts w:ascii="Times New Roman" w:hAnsi="Times New Roman"/>
                <w:color w:val="000000"/>
                <w:sz w:val="24"/>
              </w:rPr>
              <w:t xml:space="preserve"> i</w:t>
            </w:r>
            <w:r w:rsidR="00835753">
              <w:rPr>
                <w:rFonts w:ascii="Times New Roman" w:hAnsi="Times New Roman"/>
                <w:color w:val="000000"/>
                <w:sz w:val="24"/>
              </w:rPr>
              <w:t> </w:t>
            </w:r>
            <w:r w:rsidR="00835753" w:rsidRPr="00835753">
              <w:rPr>
                <w:rFonts w:ascii="Times New Roman" w:hAnsi="Times New Roman"/>
                <w:color w:val="000000"/>
                <w:sz w:val="24"/>
              </w:rPr>
              <w:t>str</w:t>
            </w:r>
            <w:r w:rsidRPr="00835753">
              <w:rPr>
                <w:rFonts w:ascii="Times New Roman" w:hAnsi="Times New Roman"/>
                <w:color w:val="000000"/>
                <w:sz w:val="24"/>
              </w:rPr>
              <w:t>ategii</w:t>
            </w:r>
            <w:r w:rsidR="00835753" w:rsidRPr="00835753">
              <w:rPr>
                <w:rFonts w:ascii="Times New Roman" w:hAnsi="Times New Roman"/>
                <w:color w:val="000000"/>
                <w:sz w:val="24"/>
              </w:rPr>
              <w:t xml:space="preserve"> w</w:t>
            </w:r>
            <w:r w:rsidR="00835753">
              <w:rPr>
                <w:rFonts w:ascii="Times New Roman" w:hAnsi="Times New Roman"/>
                <w:color w:val="000000"/>
                <w:sz w:val="24"/>
              </w:rPr>
              <w:t> </w:t>
            </w:r>
            <w:r w:rsidR="00835753" w:rsidRPr="00835753">
              <w:rPr>
                <w:rFonts w:ascii="Times New Roman" w:hAnsi="Times New Roman"/>
                <w:color w:val="000000"/>
                <w:sz w:val="24"/>
              </w:rPr>
              <w:t>zak</w:t>
            </w:r>
            <w:r w:rsidRPr="00835753">
              <w:rPr>
                <w:rFonts w:ascii="Times New Roman" w:hAnsi="Times New Roman"/>
                <w:color w:val="000000"/>
                <w:sz w:val="24"/>
              </w:rPr>
              <w:t>resie zarządzania ryzykiem operacyjnym,</w:t>
            </w:r>
            <w:r w:rsidR="00835753" w:rsidRPr="00835753">
              <w:rPr>
                <w:rFonts w:ascii="Times New Roman" w:hAnsi="Times New Roman"/>
                <w:color w:val="000000"/>
                <w:sz w:val="24"/>
              </w:rPr>
              <w:t xml:space="preserve"> w</w:t>
            </w:r>
            <w:r w:rsidR="00835753">
              <w:rPr>
                <w:rFonts w:ascii="Times New Roman" w:hAnsi="Times New Roman"/>
                <w:color w:val="000000"/>
                <w:sz w:val="24"/>
              </w:rPr>
              <w:t> </w:t>
            </w:r>
            <w:r w:rsidR="00835753" w:rsidRPr="00835753">
              <w:rPr>
                <w:rFonts w:ascii="Times New Roman" w:hAnsi="Times New Roman"/>
                <w:color w:val="000000"/>
                <w:sz w:val="24"/>
              </w:rPr>
              <w:t>tym</w:t>
            </w:r>
            <w:r w:rsidRPr="00835753">
              <w:rPr>
                <w:rFonts w:ascii="Times New Roman" w:hAnsi="Times New Roman"/>
                <w:color w:val="000000"/>
                <w:sz w:val="24"/>
              </w:rPr>
              <w:t xml:space="preserve"> informacje dotyczące:</w:t>
            </w:r>
          </w:p>
          <w:p w14:paraId="5D2DF5EA" w14:textId="03EF2E06" w:rsidR="00FA02BC" w:rsidRPr="00835753" w:rsidRDefault="00FA02BC" w:rsidP="00155C96">
            <w:pPr>
              <w:spacing w:after="120"/>
              <w:rPr>
                <w:rFonts w:ascii="Times New Roman" w:eastAsia="Times New Roman" w:hAnsi="Times New Roman" w:cs="Times New Roman"/>
                <w:color w:val="000000"/>
                <w:sz w:val="24"/>
              </w:rPr>
            </w:pPr>
            <w:r w:rsidRPr="00835753">
              <w:rPr>
                <w:rFonts w:ascii="Times New Roman" w:hAnsi="Times New Roman"/>
                <w:color w:val="000000"/>
                <w:sz w:val="24"/>
              </w:rPr>
              <w:t>– strategii</w:t>
            </w:r>
            <w:r w:rsidR="00835753" w:rsidRPr="00835753">
              <w:rPr>
                <w:rFonts w:ascii="Times New Roman" w:hAnsi="Times New Roman"/>
                <w:color w:val="000000"/>
                <w:sz w:val="24"/>
              </w:rPr>
              <w:t xml:space="preserve"> i</w:t>
            </w:r>
            <w:r w:rsidR="00835753">
              <w:rPr>
                <w:rFonts w:ascii="Times New Roman" w:hAnsi="Times New Roman"/>
                <w:color w:val="000000"/>
                <w:sz w:val="24"/>
              </w:rPr>
              <w:t> </w:t>
            </w:r>
            <w:r w:rsidR="00835753" w:rsidRPr="00835753">
              <w:rPr>
                <w:rFonts w:ascii="Times New Roman" w:hAnsi="Times New Roman"/>
                <w:color w:val="000000"/>
                <w:sz w:val="24"/>
              </w:rPr>
              <w:t>pro</w:t>
            </w:r>
            <w:r w:rsidRPr="00835753">
              <w:rPr>
                <w:rFonts w:ascii="Times New Roman" w:hAnsi="Times New Roman"/>
                <w:color w:val="000000"/>
                <w:sz w:val="24"/>
              </w:rPr>
              <w:t>cesów;</w:t>
            </w:r>
            <w:r w:rsidRPr="00835753">
              <w:t xml:space="preserve"> </w:t>
            </w:r>
            <w:r w:rsidRPr="00835753">
              <w:br/>
            </w:r>
            <w:r w:rsidRPr="00835753">
              <w:rPr>
                <w:rFonts w:ascii="Times New Roman" w:hAnsi="Times New Roman"/>
                <w:color w:val="000000"/>
                <w:sz w:val="24"/>
              </w:rPr>
              <w:t>– struktury</w:t>
            </w:r>
            <w:r w:rsidR="00835753" w:rsidRPr="00835753">
              <w:rPr>
                <w:rFonts w:ascii="Times New Roman" w:hAnsi="Times New Roman"/>
                <w:color w:val="000000"/>
                <w:sz w:val="24"/>
              </w:rPr>
              <w:t xml:space="preserve"> i</w:t>
            </w:r>
            <w:r w:rsidR="00835753">
              <w:rPr>
                <w:rFonts w:ascii="Times New Roman" w:hAnsi="Times New Roman"/>
                <w:color w:val="000000"/>
                <w:sz w:val="24"/>
              </w:rPr>
              <w:t> </w:t>
            </w:r>
            <w:r w:rsidR="00835753" w:rsidRPr="00835753">
              <w:rPr>
                <w:rFonts w:ascii="Times New Roman" w:hAnsi="Times New Roman"/>
                <w:color w:val="000000"/>
                <w:sz w:val="24"/>
              </w:rPr>
              <w:t>org</w:t>
            </w:r>
            <w:r w:rsidRPr="00835753">
              <w:rPr>
                <w:rFonts w:ascii="Times New Roman" w:hAnsi="Times New Roman"/>
                <w:color w:val="000000"/>
                <w:sz w:val="24"/>
              </w:rPr>
              <w:t>anizacji funkcji zarządzania ryzykiem operacyjnym;</w:t>
            </w:r>
            <w:r w:rsidRPr="00835753">
              <w:t xml:space="preserve"> </w:t>
            </w:r>
            <w:r w:rsidRPr="00835753">
              <w:br/>
            </w:r>
            <w:r w:rsidRPr="00835753">
              <w:rPr>
                <w:rFonts w:ascii="Times New Roman" w:hAnsi="Times New Roman"/>
                <w:color w:val="000000"/>
                <w:sz w:val="24"/>
              </w:rPr>
              <w:t>– środków</w:t>
            </w:r>
            <w:r w:rsidR="00835753" w:rsidRPr="00835753">
              <w:rPr>
                <w:rFonts w:ascii="Times New Roman" w:hAnsi="Times New Roman"/>
                <w:color w:val="000000"/>
                <w:sz w:val="24"/>
              </w:rPr>
              <w:t xml:space="preserve"> w</w:t>
            </w:r>
            <w:r w:rsidR="00835753">
              <w:rPr>
                <w:rFonts w:ascii="Times New Roman" w:hAnsi="Times New Roman"/>
                <w:color w:val="000000"/>
                <w:sz w:val="24"/>
              </w:rPr>
              <w:t> </w:t>
            </w:r>
            <w:r w:rsidR="00835753" w:rsidRPr="00835753">
              <w:rPr>
                <w:rFonts w:ascii="Times New Roman" w:hAnsi="Times New Roman"/>
                <w:color w:val="000000"/>
                <w:sz w:val="24"/>
              </w:rPr>
              <w:t>zak</w:t>
            </w:r>
            <w:r w:rsidRPr="00835753">
              <w:rPr>
                <w:rFonts w:ascii="Times New Roman" w:hAnsi="Times New Roman"/>
                <w:color w:val="000000"/>
                <w:sz w:val="24"/>
              </w:rPr>
              <w:t>resie pomiaru</w:t>
            </w:r>
            <w:r w:rsidR="00835753" w:rsidRPr="00835753">
              <w:rPr>
                <w:rFonts w:ascii="Times New Roman" w:hAnsi="Times New Roman"/>
                <w:color w:val="000000"/>
                <w:sz w:val="24"/>
              </w:rPr>
              <w:t xml:space="preserve"> i</w:t>
            </w:r>
            <w:r w:rsidR="00835753">
              <w:rPr>
                <w:rFonts w:ascii="Times New Roman" w:hAnsi="Times New Roman"/>
                <w:color w:val="000000"/>
                <w:sz w:val="24"/>
              </w:rPr>
              <w:t> </w:t>
            </w:r>
            <w:r w:rsidR="00835753" w:rsidRPr="00835753">
              <w:rPr>
                <w:rFonts w:ascii="Times New Roman" w:hAnsi="Times New Roman"/>
                <w:color w:val="000000"/>
                <w:sz w:val="24"/>
              </w:rPr>
              <w:t>kon</w:t>
            </w:r>
            <w:r w:rsidRPr="00835753">
              <w:rPr>
                <w:rFonts w:ascii="Times New Roman" w:hAnsi="Times New Roman"/>
                <w:color w:val="000000"/>
                <w:sz w:val="24"/>
              </w:rPr>
              <w:t>troli ryzyka;</w:t>
            </w:r>
            <w:r w:rsidRPr="00835753">
              <w:t xml:space="preserve"> </w:t>
            </w:r>
            <w:r w:rsidRPr="00835753">
              <w:br/>
            </w:r>
            <w:r w:rsidRPr="00835753">
              <w:rPr>
                <w:rFonts w:ascii="Times New Roman" w:hAnsi="Times New Roman"/>
                <w:color w:val="000000"/>
                <w:sz w:val="24"/>
              </w:rPr>
              <w:t>– sprawozdawczości</w:t>
            </w:r>
            <w:r w:rsidR="00835753" w:rsidRPr="00835753">
              <w:rPr>
                <w:rFonts w:ascii="Times New Roman" w:hAnsi="Times New Roman"/>
                <w:color w:val="000000"/>
                <w:sz w:val="24"/>
              </w:rPr>
              <w:t xml:space="preserve"> w</w:t>
            </w:r>
            <w:r w:rsidR="00835753">
              <w:rPr>
                <w:rFonts w:ascii="Times New Roman" w:hAnsi="Times New Roman"/>
                <w:color w:val="000000"/>
                <w:sz w:val="24"/>
              </w:rPr>
              <w:t> </w:t>
            </w:r>
            <w:r w:rsidR="00835753" w:rsidRPr="00835753">
              <w:rPr>
                <w:rFonts w:ascii="Times New Roman" w:hAnsi="Times New Roman"/>
                <w:color w:val="000000"/>
                <w:sz w:val="24"/>
              </w:rPr>
              <w:t>dzi</w:t>
            </w:r>
            <w:r w:rsidRPr="00835753">
              <w:rPr>
                <w:rFonts w:ascii="Times New Roman" w:hAnsi="Times New Roman"/>
                <w:color w:val="000000"/>
                <w:sz w:val="24"/>
              </w:rPr>
              <w:t>edzinie ryzyka operacyjnego;</w:t>
            </w:r>
            <w:r w:rsidRPr="00835753">
              <w:t xml:space="preserve"> </w:t>
            </w:r>
            <w:r w:rsidRPr="00835753">
              <w:br/>
            </w:r>
            <w:r w:rsidRPr="00835753">
              <w:rPr>
                <w:rFonts w:ascii="Times New Roman" w:hAnsi="Times New Roman"/>
                <w:color w:val="000000"/>
                <w:sz w:val="24"/>
              </w:rPr>
              <w:t>– strategii</w:t>
            </w:r>
            <w:r w:rsidR="00835753" w:rsidRPr="00835753">
              <w:rPr>
                <w:rFonts w:ascii="Times New Roman" w:hAnsi="Times New Roman"/>
                <w:color w:val="000000"/>
                <w:sz w:val="24"/>
              </w:rPr>
              <w:t xml:space="preserve"> w</w:t>
            </w:r>
            <w:r w:rsidR="00835753">
              <w:rPr>
                <w:rFonts w:ascii="Times New Roman" w:hAnsi="Times New Roman"/>
                <w:color w:val="000000"/>
                <w:sz w:val="24"/>
              </w:rPr>
              <w:t> </w:t>
            </w:r>
            <w:r w:rsidR="00835753" w:rsidRPr="00835753">
              <w:rPr>
                <w:rFonts w:ascii="Times New Roman" w:hAnsi="Times New Roman"/>
                <w:color w:val="000000"/>
                <w:sz w:val="24"/>
              </w:rPr>
              <w:t>zak</w:t>
            </w:r>
            <w:r w:rsidRPr="00835753">
              <w:rPr>
                <w:rFonts w:ascii="Times New Roman" w:hAnsi="Times New Roman"/>
                <w:color w:val="000000"/>
                <w:sz w:val="24"/>
              </w:rPr>
              <w:t>resie zabezpieczenia</w:t>
            </w:r>
            <w:r w:rsidR="00835753" w:rsidRPr="00835753">
              <w:rPr>
                <w:rFonts w:ascii="Times New Roman" w:hAnsi="Times New Roman"/>
                <w:color w:val="000000"/>
                <w:sz w:val="24"/>
              </w:rPr>
              <w:t xml:space="preserve"> i</w:t>
            </w:r>
            <w:r w:rsidR="00835753">
              <w:rPr>
                <w:rFonts w:ascii="Times New Roman" w:hAnsi="Times New Roman"/>
                <w:color w:val="000000"/>
                <w:sz w:val="24"/>
              </w:rPr>
              <w:t> </w:t>
            </w:r>
            <w:r w:rsidR="00835753" w:rsidRPr="00835753">
              <w:rPr>
                <w:rFonts w:ascii="Times New Roman" w:hAnsi="Times New Roman"/>
                <w:color w:val="000000"/>
                <w:sz w:val="24"/>
              </w:rPr>
              <w:t>ogr</w:t>
            </w:r>
            <w:r w:rsidRPr="00835753">
              <w:rPr>
                <w:rFonts w:ascii="Times New Roman" w:hAnsi="Times New Roman"/>
                <w:color w:val="000000"/>
                <w:sz w:val="24"/>
              </w:rPr>
              <w:t>aniczenia ryzyka operacyjnego.</w:t>
            </w:r>
          </w:p>
        </w:tc>
      </w:tr>
      <w:tr w:rsidR="00FA02BC" w:rsidRPr="00835753"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77777777" w:rsidR="00FA02BC" w:rsidRPr="00835753" w:rsidRDefault="00FA02BC" w:rsidP="00155C96">
            <w:pPr>
              <w:spacing w:after="120"/>
              <w:jc w:val="center"/>
              <w:rPr>
                <w:rFonts w:ascii="Times New Roman" w:eastAsia="Times New Roman" w:hAnsi="Times New Roman" w:cs="Times New Roman"/>
                <w:color w:val="000000"/>
                <w:sz w:val="24"/>
              </w:rPr>
            </w:pPr>
            <w:proofErr w:type="gramStart"/>
            <w:r w:rsidRPr="00835753">
              <w:rPr>
                <w:rFonts w:ascii="Times New Roman" w:hAnsi="Times New Roman"/>
                <w:color w:val="000000"/>
                <w:sz w:val="24"/>
              </w:rPr>
              <w:t>b</w:t>
            </w:r>
            <w:proofErr w:type="gramEnd"/>
            <w:r w:rsidRPr="00835753">
              <w:rPr>
                <w:rFonts w:ascii="Times New Roman" w:hAnsi="Times New Roman"/>
                <w:color w:val="000000"/>
                <w:sz w:val="24"/>
              </w:rPr>
              <w:t>)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05F854A0" w:rsidR="00FA02BC" w:rsidRPr="00835753" w:rsidRDefault="00FA02BC" w:rsidP="00155C96">
            <w:pPr>
              <w:spacing w:after="120"/>
              <w:jc w:val="both"/>
              <w:rPr>
                <w:rFonts w:ascii="Times New Roman" w:eastAsia="Times New Roman" w:hAnsi="Times New Roman" w:cs="Times New Roman"/>
                <w:b/>
                <w:color w:val="000000"/>
                <w:sz w:val="24"/>
              </w:rPr>
            </w:pPr>
            <w:r w:rsidRPr="00835753">
              <w:rPr>
                <w:rFonts w:ascii="Times New Roman" w:hAnsi="Times New Roman"/>
                <w:b/>
                <w:color w:val="000000"/>
                <w:sz w:val="24"/>
              </w:rPr>
              <w:t>Ujawnianie informacji na temat metod oceny minimalnych wymogów</w:t>
            </w:r>
            <w:r w:rsidR="00835753" w:rsidRPr="00835753">
              <w:rPr>
                <w:rFonts w:ascii="Times New Roman" w:hAnsi="Times New Roman"/>
                <w:b/>
                <w:color w:val="000000"/>
                <w:sz w:val="24"/>
              </w:rPr>
              <w:t xml:space="preserve"> w</w:t>
            </w:r>
            <w:r w:rsidR="00835753">
              <w:rPr>
                <w:rFonts w:ascii="Times New Roman" w:hAnsi="Times New Roman"/>
                <w:b/>
                <w:color w:val="000000"/>
                <w:sz w:val="24"/>
              </w:rPr>
              <w:t> </w:t>
            </w:r>
            <w:r w:rsidR="00835753" w:rsidRPr="00835753">
              <w:rPr>
                <w:rFonts w:ascii="Times New Roman" w:hAnsi="Times New Roman"/>
                <w:b/>
                <w:color w:val="000000"/>
                <w:sz w:val="24"/>
              </w:rPr>
              <w:t>zak</w:t>
            </w:r>
            <w:r w:rsidRPr="00835753">
              <w:rPr>
                <w:rFonts w:ascii="Times New Roman" w:hAnsi="Times New Roman"/>
                <w:b/>
                <w:color w:val="000000"/>
                <w:sz w:val="24"/>
              </w:rPr>
              <w:t>resie funduszy własnych</w:t>
            </w:r>
          </w:p>
          <w:p w14:paraId="558C185E" w14:textId="20695E21" w:rsidR="00FA02BC" w:rsidRPr="00835753" w:rsidRDefault="00FA02BC" w:rsidP="00155C96">
            <w:pPr>
              <w:spacing w:after="120"/>
              <w:jc w:val="both"/>
              <w:rPr>
                <w:rFonts w:ascii="Times New Roman" w:eastAsia="Times New Roman" w:hAnsi="Times New Roman" w:cs="Times New Roman"/>
                <w:color w:val="000000"/>
                <w:sz w:val="24"/>
              </w:rPr>
            </w:pPr>
            <w:r w:rsidRPr="00835753">
              <w:rPr>
                <w:rFonts w:ascii="Times New Roman" w:hAnsi="Times New Roman"/>
                <w:color w:val="000000"/>
                <w:sz w:val="24"/>
              </w:rPr>
              <w:t>Instytucje zamieszczają opis metod stosowanych do obliczania wymogów</w:t>
            </w:r>
            <w:r w:rsidR="00835753" w:rsidRPr="00835753">
              <w:rPr>
                <w:rFonts w:ascii="Times New Roman" w:hAnsi="Times New Roman"/>
                <w:color w:val="000000"/>
                <w:sz w:val="24"/>
              </w:rPr>
              <w:t xml:space="preserve"> w</w:t>
            </w:r>
            <w:r w:rsidR="00835753">
              <w:rPr>
                <w:rFonts w:ascii="Times New Roman" w:hAnsi="Times New Roman"/>
                <w:color w:val="000000"/>
                <w:sz w:val="24"/>
              </w:rPr>
              <w:t> </w:t>
            </w:r>
            <w:r w:rsidR="00835753" w:rsidRPr="00835753">
              <w:rPr>
                <w:rFonts w:ascii="Times New Roman" w:hAnsi="Times New Roman"/>
                <w:color w:val="000000"/>
                <w:sz w:val="24"/>
              </w:rPr>
              <w:t>zak</w:t>
            </w:r>
            <w:r w:rsidRPr="00835753">
              <w:rPr>
                <w:rFonts w:ascii="Times New Roman" w:hAnsi="Times New Roman"/>
                <w:color w:val="000000"/>
                <w:sz w:val="24"/>
              </w:rPr>
              <w:t>resie funduszy własnych</w:t>
            </w:r>
            <w:r w:rsidR="00835753" w:rsidRPr="00835753">
              <w:rPr>
                <w:rFonts w:ascii="Times New Roman" w:hAnsi="Times New Roman"/>
                <w:color w:val="000000"/>
                <w:sz w:val="24"/>
              </w:rPr>
              <w:t xml:space="preserve"> z</w:t>
            </w:r>
            <w:r w:rsidR="00835753">
              <w:rPr>
                <w:rFonts w:ascii="Times New Roman" w:hAnsi="Times New Roman"/>
                <w:color w:val="000000"/>
                <w:sz w:val="24"/>
              </w:rPr>
              <w:t> </w:t>
            </w:r>
            <w:r w:rsidR="00835753" w:rsidRPr="00835753">
              <w:rPr>
                <w:rFonts w:ascii="Times New Roman" w:hAnsi="Times New Roman"/>
                <w:color w:val="000000"/>
                <w:sz w:val="24"/>
              </w:rPr>
              <w:t>tyt</w:t>
            </w:r>
            <w:r w:rsidRPr="00835753">
              <w:rPr>
                <w:rFonts w:ascii="Times New Roman" w:hAnsi="Times New Roman"/>
                <w:color w:val="000000"/>
                <w:sz w:val="24"/>
              </w:rPr>
              <w:t>ułu ryzyka operacyjnego oraz metod identyfikowania</w:t>
            </w:r>
            <w:r w:rsidR="00835753" w:rsidRPr="00835753">
              <w:rPr>
                <w:rFonts w:ascii="Times New Roman" w:hAnsi="Times New Roman"/>
                <w:color w:val="000000"/>
                <w:sz w:val="24"/>
              </w:rPr>
              <w:t xml:space="preserve"> i</w:t>
            </w:r>
            <w:r w:rsidR="00835753">
              <w:rPr>
                <w:rFonts w:ascii="Times New Roman" w:hAnsi="Times New Roman"/>
                <w:color w:val="000000"/>
                <w:sz w:val="24"/>
              </w:rPr>
              <w:t> </w:t>
            </w:r>
            <w:r w:rsidR="00835753" w:rsidRPr="00835753">
              <w:rPr>
                <w:rFonts w:ascii="Times New Roman" w:hAnsi="Times New Roman"/>
                <w:color w:val="000000"/>
                <w:sz w:val="24"/>
              </w:rPr>
              <w:t>oce</w:t>
            </w:r>
            <w:r w:rsidRPr="00835753">
              <w:rPr>
                <w:rFonts w:ascii="Times New Roman" w:hAnsi="Times New Roman"/>
                <w:color w:val="000000"/>
                <w:sz w:val="24"/>
              </w:rPr>
              <w:t>ny ryzyka operacyjnego oraz zarządzania tym ryzykiem.</w:t>
            </w:r>
          </w:p>
          <w:p w14:paraId="7A8FB446" w14:textId="1F8538E8" w:rsidR="00FA02BC" w:rsidRPr="00835753" w:rsidRDefault="00FA02BC" w:rsidP="00155C96">
            <w:pPr>
              <w:spacing w:after="120"/>
              <w:jc w:val="both"/>
              <w:rPr>
                <w:rFonts w:ascii="Times New Roman" w:eastAsia="Times New Roman" w:hAnsi="Times New Roman" w:cs="Times New Roman"/>
                <w:color w:val="000000"/>
                <w:sz w:val="24"/>
              </w:rPr>
            </w:pPr>
            <w:r w:rsidRPr="00835753">
              <w:rPr>
                <w:rFonts w:ascii="Times New Roman" w:hAnsi="Times New Roman"/>
                <w:color w:val="000000"/>
                <w:sz w:val="24"/>
              </w:rPr>
              <w:t>Jeżeli instytucje stosują połączenie szeregu metod, ujawniają zakres</w:t>
            </w:r>
            <w:r w:rsidR="00835753" w:rsidRPr="00835753">
              <w:rPr>
                <w:rFonts w:ascii="Times New Roman" w:hAnsi="Times New Roman"/>
                <w:color w:val="000000"/>
                <w:sz w:val="24"/>
              </w:rPr>
              <w:t xml:space="preserve"> i</w:t>
            </w:r>
            <w:r w:rsidR="00835753">
              <w:rPr>
                <w:rFonts w:ascii="Times New Roman" w:hAnsi="Times New Roman"/>
                <w:color w:val="000000"/>
                <w:sz w:val="24"/>
              </w:rPr>
              <w:t> </w:t>
            </w:r>
            <w:r w:rsidR="00835753" w:rsidRPr="00835753">
              <w:rPr>
                <w:rFonts w:ascii="Times New Roman" w:hAnsi="Times New Roman"/>
                <w:color w:val="000000"/>
                <w:sz w:val="24"/>
              </w:rPr>
              <w:t>zas</w:t>
            </w:r>
            <w:r w:rsidRPr="00835753">
              <w:rPr>
                <w:rFonts w:ascii="Times New Roman" w:hAnsi="Times New Roman"/>
                <w:color w:val="000000"/>
                <w:sz w:val="24"/>
              </w:rPr>
              <w:t>ięg poszczególnych stosowanych metod.</w:t>
            </w:r>
          </w:p>
        </w:tc>
      </w:tr>
      <w:tr w:rsidR="00FA02BC" w:rsidRPr="00835753"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7777777" w:rsidR="00FA02BC" w:rsidRPr="00835753" w:rsidRDefault="00FA02BC" w:rsidP="00155C96">
            <w:pPr>
              <w:spacing w:after="120"/>
              <w:jc w:val="center"/>
              <w:rPr>
                <w:rFonts w:ascii="Times New Roman" w:eastAsia="Times New Roman" w:hAnsi="Times New Roman" w:cs="Times New Roman"/>
                <w:color w:val="000000"/>
                <w:sz w:val="24"/>
              </w:rPr>
            </w:pPr>
            <w:proofErr w:type="gramStart"/>
            <w:r w:rsidRPr="00835753">
              <w:rPr>
                <w:rFonts w:ascii="Times New Roman" w:hAnsi="Times New Roman"/>
                <w:color w:val="000000"/>
                <w:sz w:val="24"/>
              </w:rPr>
              <w:t>c</w:t>
            </w:r>
            <w:proofErr w:type="gramEnd"/>
            <w:r w:rsidRPr="00835753">
              <w:rPr>
                <w:rFonts w:ascii="Times New Roman" w:hAnsi="Times New Roman"/>
                <w:color w:val="000000"/>
                <w:sz w:val="24"/>
              </w:rPr>
              <w:t>)</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835753" w:rsidRDefault="00FA02BC" w:rsidP="00155C96">
            <w:pPr>
              <w:spacing w:after="120"/>
              <w:jc w:val="both"/>
              <w:rPr>
                <w:rFonts w:ascii="Times New Roman" w:eastAsia="Times New Roman" w:hAnsi="Times New Roman" w:cs="Times New Roman"/>
                <w:b/>
                <w:color w:val="000000"/>
                <w:sz w:val="24"/>
              </w:rPr>
            </w:pPr>
            <w:r w:rsidRPr="00835753">
              <w:rPr>
                <w:rFonts w:ascii="Times New Roman" w:hAnsi="Times New Roman"/>
                <w:b/>
                <w:color w:val="000000"/>
                <w:sz w:val="24"/>
              </w:rPr>
              <w:t xml:space="preserve">Opis zastosowanego podejścia opartego na metodzie zaawansowanego pomiaru </w:t>
            </w:r>
            <w:r w:rsidRPr="00835753">
              <w:rPr>
                <w:rFonts w:ascii="Times New Roman" w:hAnsi="Times New Roman"/>
                <w:color w:val="000000"/>
                <w:sz w:val="24"/>
              </w:rPr>
              <w:t>(w stosownych przypadkach)</w:t>
            </w:r>
          </w:p>
          <w:p w14:paraId="4DECEB6A" w14:textId="4705404D" w:rsidR="00FA02BC" w:rsidRPr="00835753" w:rsidRDefault="00FA02BC" w:rsidP="00155C96">
            <w:pPr>
              <w:spacing w:after="120"/>
              <w:jc w:val="both"/>
              <w:rPr>
                <w:rFonts w:ascii="Times New Roman" w:eastAsia="Times New Roman" w:hAnsi="Times New Roman" w:cs="Times New Roman"/>
                <w:color w:val="000000"/>
                <w:sz w:val="24"/>
              </w:rPr>
            </w:pPr>
            <w:r w:rsidRPr="00835753">
              <w:rPr>
                <w:rFonts w:ascii="Times New Roman" w:hAnsi="Times New Roman"/>
                <w:color w:val="000000"/>
                <w:sz w:val="24"/>
              </w:rPr>
              <w:t>Instytucje ujawniające informacje na temat ryzyka operacyjnego zgodnie</w:t>
            </w:r>
            <w:r w:rsidR="00835753" w:rsidRPr="00835753">
              <w:rPr>
                <w:rFonts w:ascii="Times New Roman" w:hAnsi="Times New Roman"/>
                <w:color w:val="000000"/>
                <w:sz w:val="24"/>
              </w:rPr>
              <w:t xml:space="preserve"> z</w:t>
            </w:r>
            <w:r w:rsidR="00835753">
              <w:rPr>
                <w:rFonts w:ascii="Times New Roman" w:hAnsi="Times New Roman"/>
                <w:color w:val="000000"/>
                <w:sz w:val="24"/>
              </w:rPr>
              <w:t> </w:t>
            </w:r>
            <w:r w:rsidR="00835753" w:rsidRPr="00835753">
              <w:rPr>
                <w:rFonts w:ascii="Times New Roman" w:hAnsi="Times New Roman"/>
                <w:color w:val="000000"/>
                <w:sz w:val="24"/>
              </w:rPr>
              <w:t>art</w:t>
            </w:r>
            <w:r w:rsidRPr="00835753">
              <w:rPr>
                <w:rFonts w:ascii="Times New Roman" w:hAnsi="Times New Roman"/>
                <w:color w:val="000000"/>
                <w:sz w:val="24"/>
              </w:rPr>
              <w:t>.</w:t>
            </w:r>
            <w:r w:rsidR="00835753" w:rsidRPr="00835753">
              <w:rPr>
                <w:rFonts w:ascii="Times New Roman" w:hAnsi="Times New Roman"/>
                <w:color w:val="000000"/>
                <w:sz w:val="24"/>
              </w:rPr>
              <w:t> </w:t>
            </w:r>
            <w:r w:rsidRPr="00835753">
              <w:rPr>
                <w:rFonts w:ascii="Times New Roman" w:hAnsi="Times New Roman"/>
                <w:color w:val="000000"/>
                <w:sz w:val="24"/>
              </w:rPr>
              <w:t>312 ust.</w:t>
            </w:r>
            <w:r w:rsidR="00835753" w:rsidRPr="00835753">
              <w:rPr>
                <w:rFonts w:ascii="Times New Roman" w:hAnsi="Times New Roman"/>
                <w:color w:val="000000"/>
                <w:sz w:val="24"/>
              </w:rPr>
              <w:t> </w:t>
            </w:r>
            <w:r w:rsidRPr="00835753">
              <w:rPr>
                <w:rFonts w:ascii="Times New Roman" w:hAnsi="Times New Roman"/>
                <w:color w:val="000000"/>
                <w:sz w:val="24"/>
              </w:rPr>
              <w:t>2 CRR zamieszczają opis stosowanej metody, uwzględniając opis standardów dotyczących danych zewnętrznych</w:t>
            </w:r>
            <w:r w:rsidR="00835753" w:rsidRPr="00835753">
              <w:rPr>
                <w:rFonts w:ascii="Times New Roman" w:hAnsi="Times New Roman"/>
                <w:color w:val="000000"/>
                <w:sz w:val="24"/>
              </w:rPr>
              <w:t xml:space="preserve"> i</w:t>
            </w:r>
            <w:r w:rsidR="00835753">
              <w:rPr>
                <w:rFonts w:ascii="Times New Roman" w:hAnsi="Times New Roman"/>
                <w:color w:val="000000"/>
                <w:sz w:val="24"/>
              </w:rPr>
              <w:t> </w:t>
            </w:r>
            <w:r w:rsidR="00835753" w:rsidRPr="00835753">
              <w:rPr>
                <w:rFonts w:ascii="Times New Roman" w:hAnsi="Times New Roman"/>
                <w:color w:val="000000"/>
                <w:sz w:val="24"/>
              </w:rPr>
              <w:t>wew</w:t>
            </w:r>
            <w:r w:rsidRPr="00835753">
              <w:rPr>
                <w:rFonts w:ascii="Times New Roman" w:hAnsi="Times New Roman"/>
                <w:color w:val="000000"/>
                <w:sz w:val="24"/>
              </w:rPr>
              <w:t>nętrznych,</w:t>
            </w:r>
            <w:r w:rsidR="00835753" w:rsidRPr="00835753">
              <w:rPr>
                <w:rFonts w:ascii="Times New Roman" w:hAnsi="Times New Roman"/>
                <w:color w:val="000000"/>
                <w:sz w:val="24"/>
              </w:rPr>
              <w:t xml:space="preserve"> o</w:t>
            </w:r>
            <w:r w:rsidR="00835753">
              <w:rPr>
                <w:rFonts w:ascii="Times New Roman" w:hAnsi="Times New Roman"/>
                <w:color w:val="000000"/>
                <w:sz w:val="24"/>
              </w:rPr>
              <w:t> </w:t>
            </w:r>
            <w:r w:rsidR="00835753" w:rsidRPr="00835753">
              <w:rPr>
                <w:rFonts w:ascii="Times New Roman" w:hAnsi="Times New Roman"/>
                <w:color w:val="000000"/>
                <w:sz w:val="24"/>
              </w:rPr>
              <w:t>któ</w:t>
            </w:r>
            <w:r w:rsidRPr="00835753">
              <w:rPr>
                <w:rFonts w:ascii="Times New Roman" w:hAnsi="Times New Roman"/>
                <w:color w:val="000000"/>
                <w:sz w:val="24"/>
              </w:rPr>
              <w:t>rych mowa</w:t>
            </w:r>
            <w:r w:rsidR="00835753" w:rsidRPr="00835753">
              <w:rPr>
                <w:rFonts w:ascii="Times New Roman" w:hAnsi="Times New Roman"/>
                <w:color w:val="000000"/>
                <w:sz w:val="24"/>
              </w:rPr>
              <w:t xml:space="preserve"> w</w:t>
            </w:r>
            <w:r w:rsidR="00835753">
              <w:rPr>
                <w:rFonts w:ascii="Times New Roman" w:hAnsi="Times New Roman"/>
                <w:color w:val="000000"/>
                <w:sz w:val="24"/>
              </w:rPr>
              <w:t> </w:t>
            </w:r>
            <w:r w:rsidR="00835753" w:rsidRPr="00835753">
              <w:rPr>
                <w:rFonts w:ascii="Times New Roman" w:hAnsi="Times New Roman"/>
                <w:color w:val="000000"/>
                <w:sz w:val="24"/>
              </w:rPr>
              <w:t>art</w:t>
            </w:r>
            <w:r w:rsidRPr="00835753">
              <w:rPr>
                <w:rFonts w:ascii="Times New Roman" w:hAnsi="Times New Roman"/>
                <w:color w:val="000000"/>
                <w:sz w:val="24"/>
              </w:rPr>
              <w:t>.</w:t>
            </w:r>
            <w:r w:rsidR="00835753" w:rsidRPr="00835753">
              <w:rPr>
                <w:rFonts w:ascii="Times New Roman" w:hAnsi="Times New Roman"/>
                <w:color w:val="000000"/>
                <w:sz w:val="24"/>
              </w:rPr>
              <w:t> </w:t>
            </w:r>
            <w:r w:rsidRPr="00835753">
              <w:rPr>
                <w:rFonts w:ascii="Times New Roman" w:hAnsi="Times New Roman"/>
                <w:color w:val="000000"/>
                <w:sz w:val="24"/>
              </w:rPr>
              <w:t>322 ust.</w:t>
            </w:r>
            <w:r w:rsidR="00835753" w:rsidRPr="00835753">
              <w:rPr>
                <w:rFonts w:ascii="Times New Roman" w:hAnsi="Times New Roman"/>
                <w:color w:val="000000"/>
                <w:sz w:val="24"/>
              </w:rPr>
              <w:t> </w:t>
            </w:r>
            <w:r w:rsidRPr="00835753">
              <w:rPr>
                <w:rFonts w:ascii="Times New Roman" w:hAnsi="Times New Roman"/>
                <w:color w:val="000000"/>
                <w:sz w:val="24"/>
              </w:rPr>
              <w:t>3</w:t>
            </w:r>
            <w:r w:rsidR="00835753" w:rsidRPr="00835753">
              <w:rPr>
                <w:rFonts w:ascii="Times New Roman" w:hAnsi="Times New Roman"/>
                <w:color w:val="000000"/>
                <w:sz w:val="24"/>
              </w:rPr>
              <w:t xml:space="preserve"> i</w:t>
            </w:r>
            <w:r w:rsidR="00835753">
              <w:rPr>
                <w:rFonts w:ascii="Times New Roman" w:hAnsi="Times New Roman"/>
                <w:color w:val="000000"/>
                <w:sz w:val="24"/>
              </w:rPr>
              <w:t> </w:t>
            </w:r>
            <w:r w:rsidR="00835753" w:rsidRPr="00835753">
              <w:rPr>
                <w:rFonts w:ascii="Times New Roman" w:hAnsi="Times New Roman"/>
                <w:color w:val="000000"/>
                <w:sz w:val="24"/>
              </w:rPr>
              <w:t>4</w:t>
            </w:r>
            <w:r w:rsidRPr="00835753">
              <w:rPr>
                <w:rFonts w:ascii="Times New Roman" w:hAnsi="Times New Roman"/>
                <w:color w:val="000000"/>
                <w:sz w:val="24"/>
              </w:rPr>
              <w:t xml:space="preserve"> CRR.</w:t>
            </w:r>
          </w:p>
        </w:tc>
      </w:tr>
      <w:tr w:rsidR="00FA02BC" w:rsidRPr="00835753" w14:paraId="66A3AB54"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77777777" w:rsidR="00FA02BC" w:rsidRPr="00835753" w:rsidRDefault="00FA02BC" w:rsidP="00155C96">
            <w:pPr>
              <w:spacing w:after="120"/>
              <w:jc w:val="center"/>
              <w:rPr>
                <w:rFonts w:ascii="Times New Roman" w:eastAsia="Times New Roman" w:hAnsi="Times New Roman" w:cs="Times New Roman"/>
                <w:color w:val="000000"/>
                <w:sz w:val="24"/>
              </w:rPr>
            </w:pPr>
            <w:proofErr w:type="gramStart"/>
            <w:r w:rsidRPr="00835753">
              <w:rPr>
                <w:rFonts w:ascii="Times New Roman" w:hAnsi="Times New Roman"/>
                <w:color w:val="000000"/>
                <w:sz w:val="24"/>
              </w:rPr>
              <w:lastRenderedPageBreak/>
              <w:t>d</w:t>
            </w:r>
            <w:proofErr w:type="gramEnd"/>
            <w:r w:rsidRPr="00835753">
              <w:rPr>
                <w:rFonts w:ascii="Times New Roman" w:hAnsi="Times New Roman"/>
                <w:color w:val="000000"/>
                <w:sz w:val="24"/>
              </w:rPr>
              <w:t>)</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488801DC" w:rsidR="00FA02BC" w:rsidRPr="00835753" w:rsidRDefault="00FA02BC" w:rsidP="00155C96">
            <w:pPr>
              <w:spacing w:after="120"/>
              <w:jc w:val="both"/>
              <w:rPr>
                <w:rFonts w:ascii="Times New Roman" w:eastAsia="Times New Roman" w:hAnsi="Times New Roman" w:cs="Times New Roman"/>
                <w:color w:val="000000"/>
                <w:sz w:val="24"/>
              </w:rPr>
            </w:pPr>
            <w:r w:rsidRPr="00835753">
              <w:rPr>
                <w:rFonts w:ascii="Times New Roman" w:hAnsi="Times New Roman"/>
                <w:b/>
                <w:color w:val="000000"/>
                <w:sz w:val="24"/>
              </w:rPr>
              <w:t>Ujawnianie informacji na temat korzystania</w:t>
            </w:r>
            <w:r w:rsidR="00835753" w:rsidRPr="00835753">
              <w:rPr>
                <w:rFonts w:ascii="Times New Roman" w:hAnsi="Times New Roman"/>
                <w:b/>
                <w:color w:val="000000"/>
                <w:sz w:val="24"/>
              </w:rPr>
              <w:t xml:space="preserve"> z</w:t>
            </w:r>
            <w:r w:rsidR="00835753">
              <w:rPr>
                <w:rFonts w:ascii="Times New Roman" w:hAnsi="Times New Roman"/>
                <w:b/>
                <w:color w:val="000000"/>
                <w:sz w:val="24"/>
              </w:rPr>
              <w:t> </w:t>
            </w:r>
            <w:r w:rsidR="00835753" w:rsidRPr="00835753">
              <w:rPr>
                <w:rFonts w:ascii="Times New Roman" w:hAnsi="Times New Roman"/>
                <w:b/>
                <w:color w:val="000000"/>
                <w:sz w:val="24"/>
              </w:rPr>
              <w:t>ube</w:t>
            </w:r>
            <w:r w:rsidRPr="00835753">
              <w:rPr>
                <w:rFonts w:ascii="Times New Roman" w:hAnsi="Times New Roman"/>
                <w:b/>
                <w:color w:val="000000"/>
                <w:sz w:val="24"/>
              </w:rPr>
              <w:t>zpieczenia</w:t>
            </w:r>
            <w:r w:rsidR="00835753" w:rsidRPr="00835753">
              <w:rPr>
                <w:rFonts w:ascii="Times New Roman" w:hAnsi="Times New Roman"/>
                <w:b/>
                <w:color w:val="000000"/>
                <w:sz w:val="24"/>
              </w:rPr>
              <w:t xml:space="preserve"> w</w:t>
            </w:r>
            <w:r w:rsidR="00835753">
              <w:rPr>
                <w:rFonts w:ascii="Times New Roman" w:hAnsi="Times New Roman"/>
                <w:b/>
                <w:color w:val="000000"/>
                <w:sz w:val="24"/>
              </w:rPr>
              <w:t> </w:t>
            </w:r>
            <w:r w:rsidR="00835753" w:rsidRPr="00835753">
              <w:rPr>
                <w:rFonts w:ascii="Times New Roman" w:hAnsi="Times New Roman"/>
                <w:b/>
                <w:color w:val="000000"/>
                <w:sz w:val="24"/>
              </w:rPr>
              <w:t>cel</w:t>
            </w:r>
            <w:r w:rsidRPr="00835753">
              <w:rPr>
                <w:rFonts w:ascii="Times New Roman" w:hAnsi="Times New Roman"/>
                <w:b/>
                <w:color w:val="000000"/>
                <w:sz w:val="24"/>
              </w:rPr>
              <w:t>u ograniczenia ryzyka</w:t>
            </w:r>
            <w:r w:rsidR="00835753" w:rsidRPr="00835753">
              <w:rPr>
                <w:rFonts w:ascii="Times New Roman" w:hAnsi="Times New Roman"/>
                <w:b/>
                <w:color w:val="000000"/>
                <w:sz w:val="24"/>
              </w:rPr>
              <w:t xml:space="preserve"> w</w:t>
            </w:r>
            <w:r w:rsidR="00835753">
              <w:rPr>
                <w:rFonts w:ascii="Times New Roman" w:hAnsi="Times New Roman"/>
                <w:b/>
                <w:color w:val="000000"/>
                <w:sz w:val="24"/>
              </w:rPr>
              <w:t> </w:t>
            </w:r>
            <w:r w:rsidR="00835753" w:rsidRPr="00835753">
              <w:rPr>
                <w:rFonts w:ascii="Times New Roman" w:hAnsi="Times New Roman"/>
                <w:b/>
                <w:color w:val="000000"/>
                <w:sz w:val="24"/>
              </w:rPr>
              <w:t>ram</w:t>
            </w:r>
            <w:r w:rsidRPr="00835753">
              <w:rPr>
                <w:rFonts w:ascii="Times New Roman" w:hAnsi="Times New Roman"/>
                <w:b/>
                <w:color w:val="000000"/>
                <w:sz w:val="24"/>
              </w:rPr>
              <w:t>ach metody zaawansowanego pomiaru</w:t>
            </w:r>
            <w:r w:rsidRPr="00835753">
              <w:rPr>
                <w:rFonts w:ascii="Times New Roman" w:hAnsi="Times New Roman"/>
                <w:color w:val="000000"/>
                <w:sz w:val="24"/>
              </w:rPr>
              <w:t xml:space="preserve"> (w stosownych przypadkach)</w:t>
            </w:r>
          </w:p>
          <w:p w14:paraId="1C28DC99" w14:textId="11259908" w:rsidR="00FA02BC" w:rsidRPr="00835753" w:rsidRDefault="00FA02BC" w:rsidP="00155C96">
            <w:pPr>
              <w:spacing w:after="120"/>
              <w:jc w:val="both"/>
              <w:rPr>
                <w:rFonts w:ascii="Times New Roman" w:eastAsia="Times New Roman" w:hAnsi="Times New Roman" w:cs="Times New Roman"/>
                <w:color w:val="000000"/>
                <w:sz w:val="24"/>
              </w:rPr>
            </w:pPr>
            <w:r w:rsidRPr="00835753">
              <w:rPr>
                <w:rFonts w:ascii="Times New Roman" w:hAnsi="Times New Roman"/>
                <w:color w:val="000000"/>
                <w:sz w:val="24"/>
              </w:rPr>
              <w:t>Instytucje powinny przedstawić informacje dotyczące korzystania</w:t>
            </w:r>
            <w:r w:rsidR="00835753" w:rsidRPr="00835753">
              <w:rPr>
                <w:rFonts w:ascii="Times New Roman" w:hAnsi="Times New Roman"/>
                <w:color w:val="000000"/>
                <w:sz w:val="24"/>
              </w:rPr>
              <w:t xml:space="preserve"> z</w:t>
            </w:r>
            <w:r w:rsidR="00835753">
              <w:rPr>
                <w:rFonts w:ascii="Times New Roman" w:hAnsi="Times New Roman"/>
                <w:color w:val="000000"/>
                <w:sz w:val="24"/>
              </w:rPr>
              <w:t> </w:t>
            </w:r>
            <w:r w:rsidR="00835753" w:rsidRPr="00835753">
              <w:rPr>
                <w:rFonts w:ascii="Times New Roman" w:hAnsi="Times New Roman"/>
                <w:color w:val="000000"/>
                <w:sz w:val="24"/>
              </w:rPr>
              <w:t>ube</w:t>
            </w:r>
            <w:r w:rsidRPr="00835753">
              <w:rPr>
                <w:rFonts w:ascii="Times New Roman" w:hAnsi="Times New Roman"/>
                <w:color w:val="000000"/>
                <w:sz w:val="24"/>
              </w:rPr>
              <w:t>zpieczeń</w:t>
            </w:r>
            <w:r w:rsidR="00835753" w:rsidRPr="00835753">
              <w:rPr>
                <w:rFonts w:ascii="Times New Roman" w:hAnsi="Times New Roman"/>
                <w:color w:val="000000"/>
                <w:sz w:val="24"/>
              </w:rPr>
              <w:t xml:space="preserve"> i</w:t>
            </w:r>
            <w:r w:rsidR="00835753">
              <w:rPr>
                <w:rFonts w:ascii="Times New Roman" w:hAnsi="Times New Roman"/>
                <w:color w:val="000000"/>
                <w:sz w:val="24"/>
              </w:rPr>
              <w:t> </w:t>
            </w:r>
            <w:r w:rsidR="00835753" w:rsidRPr="00835753">
              <w:rPr>
                <w:rFonts w:ascii="Times New Roman" w:hAnsi="Times New Roman"/>
                <w:color w:val="000000"/>
                <w:sz w:val="24"/>
              </w:rPr>
              <w:t>inn</w:t>
            </w:r>
            <w:r w:rsidRPr="00835753">
              <w:rPr>
                <w:rFonts w:ascii="Times New Roman" w:hAnsi="Times New Roman"/>
                <w:color w:val="000000"/>
                <w:sz w:val="24"/>
              </w:rPr>
              <w:t>ych mechanizmów transferu ryzyka</w:t>
            </w:r>
            <w:r w:rsidR="00835753" w:rsidRPr="00835753">
              <w:rPr>
                <w:rFonts w:ascii="Times New Roman" w:hAnsi="Times New Roman"/>
                <w:color w:val="000000"/>
                <w:sz w:val="24"/>
              </w:rPr>
              <w:t xml:space="preserve"> w</w:t>
            </w:r>
            <w:r w:rsidR="00835753">
              <w:rPr>
                <w:rFonts w:ascii="Times New Roman" w:hAnsi="Times New Roman"/>
                <w:color w:val="000000"/>
                <w:sz w:val="24"/>
              </w:rPr>
              <w:t> </w:t>
            </w:r>
            <w:r w:rsidR="00835753" w:rsidRPr="00835753">
              <w:rPr>
                <w:rFonts w:ascii="Times New Roman" w:hAnsi="Times New Roman"/>
                <w:color w:val="000000"/>
                <w:sz w:val="24"/>
              </w:rPr>
              <w:t>cel</w:t>
            </w:r>
            <w:r w:rsidRPr="00835753">
              <w:rPr>
                <w:rFonts w:ascii="Times New Roman" w:hAnsi="Times New Roman"/>
                <w:color w:val="000000"/>
                <w:sz w:val="24"/>
              </w:rPr>
              <w:t>u ograniczenia ryzyka operacyjnego przy stosowaniu metod zaawansowanego pomiaru zgodnie</w:t>
            </w:r>
            <w:r w:rsidR="00835753" w:rsidRPr="00835753">
              <w:rPr>
                <w:rFonts w:ascii="Times New Roman" w:hAnsi="Times New Roman"/>
                <w:color w:val="000000"/>
                <w:sz w:val="24"/>
              </w:rPr>
              <w:t xml:space="preserve"> z</w:t>
            </w:r>
            <w:r w:rsidR="00835753">
              <w:rPr>
                <w:rFonts w:ascii="Times New Roman" w:hAnsi="Times New Roman"/>
                <w:color w:val="000000"/>
                <w:sz w:val="24"/>
              </w:rPr>
              <w:t> </w:t>
            </w:r>
            <w:r w:rsidR="00835753" w:rsidRPr="00835753">
              <w:rPr>
                <w:rFonts w:ascii="Times New Roman" w:hAnsi="Times New Roman"/>
                <w:color w:val="000000"/>
                <w:sz w:val="24"/>
              </w:rPr>
              <w:t>art</w:t>
            </w:r>
            <w:r w:rsidRPr="00835753">
              <w:rPr>
                <w:rFonts w:ascii="Times New Roman" w:hAnsi="Times New Roman"/>
                <w:color w:val="000000"/>
                <w:sz w:val="24"/>
              </w:rPr>
              <w:t>.</w:t>
            </w:r>
            <w:r w:rsidR="00835753" w:rsidRPr="00835753">
              <w:rPr>
                <w:rFonts w:ascii="Times New Roman" w:hAnsi="Times New Roman"/>
                <w:color w:val="000000"/>
                <w:sz w:val="24"/>
              </w:rPr>
              <w:t> </w:t>
            </w:r>
            <w:r w:rsidRPr="00835753">
              <w:rPr>
                <w:rFonts w:ascii="Times New Roman" w:hAnsi="Times New Roman"/>
                <w:color w:val="000000"/>
                <w:sz w:val="24"/>
              </w:rPr>
              <w:t>454 CRR.</w:t>
            </w:r>
          </w:p>
        </w:tc>
      </w:tr>
    </w:tbl>
    <w:p w14:paraId="2FF095E0" w14:textId="77777777" w:rsidR="00FA02BC" w:rsidRPr="00835753" w:rsidRDefault="00FA02BC" w:rsidP="00FA02BC">
      <w:pPr>
        <w:spacing w:after="120"/>
        <w:jc w:val="both"/>
        <w:rPr>
          <w:rFonts w:ascii="Times New Roman" w:hAnsi="Times New Roman" w:cs="Times New Roman"/>
          <w:b/>
          <w:bCs/>
          <w:sz w:val="24"/>
        </w:rPr>
      </w:pPr>
    </w:p>
    <w:p w14:paraId="3BB27C7B" w14:textId="1CE60265" w:rsidR="00FA02BC" w:rsidRPr="00835753" w:rsidRDefault="00D95507" w:rsidP="00FA02BC">
      <w:pPr>
        <w:spacing w:after="120"/>
        <w:jc w:val="both"/>
        <w:rPr>
          <w:rFonts w:ascii="Times New Roman" w:hAnsi="Times New Roman" w:cs="Times New Roman"/>
          <w:bCs/>
          <w:sz w:val="24"/>
        </w:rPr>
      </w:pPr>
      <w:r w:rsidRPr="00835753">
        <w:rPr>
          <w:rFonts w:ascii="Times New Roman" w:hAnsi="Times New Roman"/>
          <w:b/>
          <w:bCs/>
          <w:sz w:val="24"/>
        </w:rPr>
        <w:t>Wzór EU OR1 – Wymogi</w:t>
      </w:r>
      <w:r w:rsidR="00835753" w:rsidRPr="00835753">
        <w:rPr>
          <w:rFonts w:ascii="Times New Roman" w:hAnsi="Times New Roman"/>
          <w:b/>
          <w:bCs/>
          <w:sz w:val="24"/>
        </w:rPr>
        <w:t xml:space="preserve"> w</w:t>
      </w:r>
      <w:r w:rsidR="00835753">
        <w:rPr>
          <w:rFonts w:ascii="Times New Roman" w:hAnsi="Times New Roman"/>
          <w:b/>
          <w:bCs/>
          <w:sz w:val="24"/>
        </w:rPr>
        <w:t> </w:t>
      </w:r>
      <w:r w:rsidR="00835753" w:rsidRPr="00835753">
        <w:rPr>
          <w:rFonts w:ascii="Times New Roman" w:hAnsi="Times New Roman"/>
          <w:b/>
          <w:bCs/>
          <w:sz w:val="24"/>
        </w:rPr>
        <w:t>zak</w:t>
      </w:r>
      <w:r w:rsidRPr="00835753">
        <w:rPr>
          <w:rFonts w:ascii="Times New Roman" w:hAnsi="Times New Roman"/>
          <w:b/>
          <w:bCs/>
          <w:sz w:val="24"/>
        </w:rPr>
        <w:t>resie funduszy własnych</w:t>
      </w:r>
      <w:r w:rsidR="00835753" w:rsidRPr="00835753">
        <w:rPr>
          <w:rFonts w:ascii="Times New Roman" w:hAnsi="Times New Roman"/>
          <w:b/>
          <w:bCs/>
          <w:sz w:val="24"/>
        </w:rPr>
        <w:t xml:space="preserve"> z</w:t>
      </w:r>
      <w:r w:rsidR="00835753">
        <w:rPr>
          <w:rFonts w:ascii="Times New Roman" w:hAnsi="Times New Roman"/>
          <w:b/>
          <w:bCs/>
          <w:sz w:val="24"/>
        </w:rPr>
        <w:t> </w:t>
      </w:r>
      <w:r w:rsidR="00835753" w:rsidRPr="00835753">
        <w:rPr>
          <w:rFonts w:ascii="Times New Roman" w:hAnsi="Times New Roman"/>
          <w:b/>
          <w:bCs/>
          <w:sz w:val="24"/>
        </w:rPr>
        <w:t>tyt</w:t>
      </w:r>
      <w:r w:rsidRPr="00835753">
        <w:rPr>
          <w:rFonts w:ascii="Times New Roman" w:hAnsi="Times New Roman"/>
          <w:b/>
          <w:bCs/>
          <w:sz w:val="24"/>
        </w:rPr>
        <w:t>ułu ryzyka operacyjnego</w:t>
      </w:r>
      <w:r w:rsidR="00835753" w:rsidRPr="00835753">
        <w:rPr>
          <w:rFonts w:ascii="Times New Roman" w:hAnsi="Times New Roman"/>
          <w:b/>
          <w:bCs/>
          <w:sz w:val="24"/>
        </w:rPr>
        <w:t xml:space="preserve"> i</w:t>
      </w:r>
      <w:r w:rsidR="00835753">
        <w:rPr>
          <w:rFonts w:ascii="Times New Roman" w:hAnsi="Times New Roman"/>
          <w:b/>
          <w:bCs/>
          <w:sz w:val="24"/>
        </w:rPr>
        <w:t> </w:t>
      </w:r>
      <w:r w:rsidR="00835753" w:rsidRPr="00835753">
        <w:rPr>
          <w:rFonts w:ascii="Times New Roman" w:hAnsi="Times New Roman"/>
          <w:b/>
          <w:bCs/>
          <w:sz w:val="24"/>
        </w:rPr>
        <w:t>kwo</w:t>
      </w:r>
      <w:r w:rsidRPr="00835753">
        <w:rPr>
          <w:rFonts w:ascii="Times New Roman" w:hAnsi="Times New Roman"/>
          <w:b/>
          <w:bCs/>
          <w:sz w:val="24"/>
        </w:rPr>
        <w:t xml:space="preserve">ty ekspozycji ważonych ryzykiem. </w:t>
      </w:r>
      <w:r w:rsidRPr="00835753">
        <w:rPr>
          <w:rFonts w:ascii="Times New Roman" w:hAnsi="Times New Roman"/>
          <w:bCs/>
          <w:sz w:val="24"/>
        </w:rPr>
        <w:t>Wzór</w:t>
      </w:r>
      <w:r w:rsidR="00835753" w:rsidRPr="00835753">
        <w:rPr>
          <w:rFonts w:ascii="Times New Roman" w:hAnsi="Times New Roman"/>
          <w:bCs/>
          <w:sz w:val="24"/>
        </w:rPr>
        <w:t xml:space="preserve"> o</w:t>
      </w:r>
      <w:r w:rsidR="00835753">
        <w:rPr>
          <w:rFonts w:ascii="Times New Roman" w:hAnsi="Times New Roman"/>
          <w:bCs/>
          <w:sz w:val="24"/>
        </w:rPr>
        <w:t> </w:t>
      </w:r>
      <w:r w:rsidR="00835753" w:rsidRPr="00835753">
        <w:rPr>
          <w:rFonts w:ascii="Times New Roman" w:hAnsi="Times New Roman"/>
          <w:bCs/>
          <w:sz w:val="24"/>
        </w:rPr>
        <w:t>for</w:t>
      </w:r>
      <w:r w:rsidRPr="00835753">
        <w:rPr>
          <w:rFonts w:ascii="Times New Roman" w:hAnsi="Times New Roman"/>
          <w:bCs/>
          <w:sz w:val="24"/>
        </w:rPr>
        <w:t>macie stałym</w:t>
      </w:r>
    </w:p>
    <w:p w14:paraId="495E46CF" w14:textId="77777777" w:rsidR="00FA02BC" w:rsidRPr="00835753" w:rsidRDefault="00FA02BC" w:rsidP="00FA02BC">
      <w:pPr>
        <w:spacing w:after="120"/>
        <w:ind w:left="360"/>
        <w:jc w:val="both"/>
        <w:rPr>
          <w:rFonts w:ascii="Times New Roman" w:hAnsi="Times New Roman" w:cs="Times New Roman"/>
          <w:bCs/>
          <w:sz w:val="24"/>
        </w:rPr>
      </w:pPr>
    </w:p>
    <w:p w14:paraId="40CF6205" w14:textId="27B09D30" w:rsidR="00FA02BC" w:rsidRPr="00835753" w:rsidRDefault="00FA02BC" w:rsidP="00FA02BC">
      <w:pPr>
        <w:numPr>
          <w:ilvl w:val="0"/>
          <w:numId w:val="19"/>
        </w:numPr>
        <w:spacing w:after="120"/>
        <w:jc w:val="both"/>
        <w:rPr>
          <w:rFonts w:ascii="Times New Roman" w:hAnsi="Times New Roman" w:cs="Times New Roman"/>
          <w:bCs/>
          <w:sz w:val="24"/>
        </w:rPr>
      </w:pPr>
      <w:r w:rsidRPr="00835753">
        <w:rPr>
          <w:rFonts w:ascii="Times New Roman" w:hAnsi="Times New Roman"/>
          <w:bCs/>
          <w:sz w:val="24"/>
        </w:rPr>
        <w:t>W celu wypełnienia wzoru EU OR1 do celów ujawniania informacji na temat ryzyka operacyjnego zamieszczonego</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zał</w:t>
      </w:r>
      <w:r w:rsidRPr="00835753">
        <w:rPr>
          <w:rFonts w:ascii="Times New Roman" w:hAnsi="Times New Roman"/>
          <w:bCs/>
          <w:sz w:val="24"/>
        </w:rPr>
        <w:t>ączniku XXXI do niniejszego rozporządzenia wykonawczego instytucje ujawniają informacje,</w:t>
      </w:r>
      <w:r w:rsidR="00835753" w:rsidRPr="00835753">
        <w:rPr>
          <w:rFonts w:ascii="Times New Roman" w:hAnsi="Times New Roman"/>
          <w:bCs/>
          <w:sz w:val="24"/>
        </w:rPr>
        <w:t xml:space="preserve"> o</w:t>
      </w:r>
      <w:r w:rsidR="00835753">
        <w:rPr>
          <w:rFonts w:ascii="Times New Roman" w:hAnsi="Times New Roman"/>
          <w:bCs/>
          <w:sz w:val="24"/>
        </w:rPr>
        <w:t> </w:t>
      </w:r>
      <w:r w:rsidR="00835753" w:rsidRPr="00835753">
        <w:rPr>
          <w:rFonts w:ascii="Times New Roman" w:hAnsi="Times New Roman"/>
          <w:bCs/>
          <w:sz w:val="24"/>
        </w:rPr>
        <w:t>któ</w:t>
      </w:r>
      <w:r w:rsidRPr="00835753">
        <w:rPr>
          <w:rFonts w:ascii="Times New Roman" w:hAnsi="Times New Roman"/>
          <w:bCs/>
          <w:sz w:val="24"/>
        </w:rPr>
        <w:t>rych mowa</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art</w:t>
      </w:r>
      <w:r w:rsidRPr="00835753">
        <w:rPr>
          <w:rFonts w:ascii="Times New Roman" w:hAnsi="Times New Roman"/>
          <w:bCs/>
          <w:sz w:val="24"/>
        </w:rPr>
        <w:t>.</w:t>
      </w:r>
      <w:r w:rsidR="00835753" w:rsidRPr="00835753">
        <w:rPr>
          <w:rFonts w:ascii="Times New Roman" w:hAnsi="Times New Roman"/>
          <w:bCs/>
          <w:sz w:val="24"/>
        </w:rPr>
        <w:t> </w:t>
      </w:r>
      <w:r w:rsidRPr="00835753">
        <w:rPr>
          <w:rFonts w:ascii="Times New Roman" w:hAnsi="Times New Roman"/>
          <w:bCs/>
          <w:sz w:val="24"/>
        </w:rPr>
        <w:t>446</w:t>
      </w:r>
      <w:r w:rsidR="00835753" w:rsidRPr="00835753">
        <w:rPr>
          <w:rFonts w:ascii="Times New Roman" w:hAnsi="Times New Roman"/>
          <w:bCs/>
          <w:sz w:val="24"/>
        </w:rPr>
        <w:t xml:space="preserve"> i</w:t>
      </w:r>
      <w:r w:rsidR="00835753">
        <w:rPr>
          <w:rFonts w:ascii="Times New Roman" w:hAnsi="Times New Roman"/>
          <w:bCs/>
          <w:sz w:val="24"/>
        </w:rPr>
        <w:t> </w:t>
      </w:r>
      <w:r w:rsidR="00835753" w:rsidRPr="00835753">
        <w:rPr>
          <w:rFonts w:ascii="Times New Roman" w:hAnsi="Times New Roman"/>
          <w:bCs/>
          <w:sz w:val="24"/>
        </w:rPr>
        <w:t>4</w:t>
      </w:r>
      <w:r w:rsidRPr="00835753">
        <w:rPr>
          <w:rFonts w:ascii="Times New Roman" w:hAnsi="Times New Roman"/>
          <w:bCs/>
          <w:sz w:val="24"/>
        </w:rPr>
        <w:t>54 CRR,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pon</w:t>
      </w:r>
      <w:r w:rsidRPr="00835753">
        <w:rPr>
          <w:rFonts w:ascii="Times New Roman" w:hAnsi="Times New Roman"/>
          <w:bCs/>
          <w:sz w:val="24"/>
        </w:rPr>
        <w:t>iższymi instrukcjami zawartymi</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nin</w:t>
      </w:r>
      <w:r w:rsidRPr="00835753">
        <w:rPr>
          <w:rFonts w:ascii="Times New Roman" w:hAnsi="Times New Roman"/>
          <w:bCs/>
          <w:sz w:val="24"/>
        </w:rPr>
        <w:t>iejszym załączniku. Niniejszy wzór zawiera informacje na temat obliczania wymogów</w:t>
      </w:r>
      <w:r w:rsidR="00835753" w:rsidRPr="00835753">
        <w:rPr>
          <w:rFonts w:ascii="Times New Roman" w:hAnsi="Times New Roman"/>
          <w:bCs/>
          <w:sz w:val="24"/>
        </w:rPr>
        <w:t xml:space="preserve"> w</w:t>
      </w:r>
      <w:r w:rsidR="00835753">
        <w:rPr>
          <w:rFonts w:ascii="Times New Roman" w:hAnsi="Times New Roman"/>
          <w:bCs/>
          <w:sz w:val="24"/>
        </w:rPr>
        <w:t> </w:t>
      </w:r>
      <w:r w:rsidR="00835753" w:rsidRPr="00835753">
        <w:rPr>
          <w:rFonts w:ascii="Times New Roman" w:hAnsi="Times New Roman"/>
          <w:bCs/>
          <w:sz w:val="24"/>
        </w:rPr>
        <w:t>zak</w:t>
      </w:r>
      <w:r w:rsidRPr="00835753">
        <w:rPr>
          <w:rFonts w:ascii="Times New Roman" w:hAnsi="Times New Roman"/>
          <w:bCs/>
          <w:sz w:val="24"/>
        </w:rPr>
        <w:t>resie funduszy własnych zgodnie</w:t>
      </w:r>
      <w:r w:rsidR="00835753" w:rsidRPr="00835753">
        <w:rPr>
          <w:rFonts w:ascii="Times New Roman" w:hAnsi="Times New Roman"/>
          <w:bCs/>
          <w:sz w:val="24"/>
        </w:rPr>
        <w:t xml:space="preserve"> z</w:t>
      </w:r>
      <w:r w:rsidR="00835753">
        <w:rPr>
          <w:rFonts w:ascii="Times New Roman" w:hAnsi="Times New Roman"/>
          <w:bCs/>
          <w:sz w:val="24"/>
        </w:rPr>
        <w:t> </w:t>
      </w:r>
      <w:r w:rsidR="00835753" w:rsidRPr="00835753">
        <w:rPr>
          <w:rFonts w:ascii="Times New Roman" w:hAnsi="Times New Roman"/>
          <w:bCs/>
          <w:sz w:val="24"/>
        </w:rPr>
        <w:t>czę</w:t>
      </w:r>
      <w:r w:rsidRPr="00835753">
        <w:rPr>
          <w:rFonts w:ascii="Times New Roman" w:hAnsi="Times New Roman"/>
          <w:bCs/>
          <w:sz w:val="24"/>
        </w:rPr>
        <w:t>ścią trzecią tytuł III art.</w:t>
      </w:r>
      <w:r w:rsidR="00835753" w:rsidRPr="00835753">
        <w:rPr>
          <w:rFonts w:ascii="Times New Roman" w:hAnsi="Times New Roman"/>
          <w:bCs/>
          <w:sz w:val="24"/>
        </w:rPr>
        <w:t> </w:t>
      </w:r>
      <w:r w:rsidRPr="00835753">
        <w:rPr>
          <w:rFonts w:ascii="Times New Roman" w:hAnsi="Times New Roman"/>
          <w:bCs/>
          <w:sz w:val="24"/>
        </w:rPr>
        <w:t>312–324 CRR (z tytułu ryzyka operacyjnego według metody wskaźnika bazowego, metody standardowej, alternatywnej metody standardowej</w:t>
      </w:r>
      <w:r w:rsidR="00835753" w:rsidRPr="00835753">
        <w:rPr>
          <w:rFonts w:ascii="Times New Roman" w:hAnsi="Times New Roman"/>
          <w:bCs/>
          <w:sz w:val="24"/>
        </w:rPr>
        <w:t xml:space="preserve"> i</w:t>
      </w:r>
      <w:r w:rsidR="00835753">
        <w:rPr>
          <w:rFonts w:ascii="Times New Roman" w:hAnsi="Times New Roman"/>
          <w:bCs/>
          <w:sz w:val="24"/>
        </w:rPr>
        <w:t> </w:t>
      </w:r>
      <w:r w:rsidR="00835753" w:rsidRPr="00835753">
        <w:rPr>
          <w:rFonts w:ascii="Times New Roman" w:hAnsi="Times New Roman"/>
          <w:bCs/>
          <w:sz w:val="24"/>
        </w:rPr>
        <w:t>met</w:t>
      </w:r>
      <w:r w:rsidRPr="00835753">
        <w:rPr>
          <w:rFonts w:ascii="Times New Roman" w:hAnsi="Times New Roman"/>
          <w:bCs/>
          <w:sz w:val="24"/>
        </w:rPr>
        <w:t xml:space="preserve">od zaawansowanego pomiaru). </w:t>
      </w:r>
    </w:p>
    <w:p w14:paraId="6EF02617" w14:textId="7B464BBA" w:rsidR="00FA02BC" w:rsidRPr="00835753" w:rsidRDefault="00FA02BC" w:rsidP="00FA02BC">
      <w:pPr>
        <w:pStyle w:val="InstructionsText2"/>
        <w:numPr>
          <w:ilvl w:val="0"/>
          <w:numId w:val="19"/>
        </w:numPr>
        <w:spacing w:after="120"/>
      </w:pPr>
      <w:r w:rsidRPr="00835753">
        <w:t>Instytucje stosujące metodę wskaźnika bazowego, metodę standardową lub alternatywną metodę standardową wskazują</w:t>
      </w:r>
      <w:r w:rsidR="00835753" w:rsidRPr="00835753">
        <w:t xml:space="preserve"> w</w:t>
      </w:r>
      <w:r w:rsidR="00835753">
        <w:t> </w:t>
      </w:r>
      <w:r w:rsidR="00835753" w:rsidRPr="00835753">
        <w:t>opi</w:t>
      </w:r>
      <w:r w:rsidRPr="00835753">
        <w:t>sie towarzyszącym niniejszemu wzorowi, czy informacje na koniec roku obrachunkowego, które stosują do obliczania wymogów</w:t>
      </w:r>
      <w:r w:rsidR="00835753" w:rsidRPr="00835753">
        <w:t xml:space="preserve"> w</w:t>
      </w:r>
      <w:r w:rsidR="00835753">
        <w:t> </w:t>
      </w:r>
      <w:r w:rsidR="00835753" w:rsidRPr="00835753">
        <w:t>zak</w:t>
      </w:r>
      <w:r w:rsidRPr="00835753">
        <w:t>resie funduszy własnych: a) opierają się na danych zweryfikowanych przez biegłego rewidenta; lub b)</w:t>
      </w:r>
      <w:r w:rsidR="00835753" w:rsidRPr="00835753">
        <w:t xml:space="preserve"> w</w:t>
      </w:r>
      <w:r w:rsidR="00835753">
        <w:t> </w:t>
      </w:r>
      <w:r w:rsidR="00835753" w:rsidRPr="00835753">
        <w:t>prz</w:t>
      </w:r>
      <w:r w:rsidRPr="00835753">
        <w:t>ypadku braku dostępu do takich danych – na danych szacunkowych</w:t>
      </w:r>
      <w:r w:rsidR="00835753" w:rsidRPr="00835753">
        <w:t>. W</w:t>
      </w:r>
      <w:r w:rsidR="00835753">
        <w:t> </w:t>
      </w:r>
      <w:r w:rsidR="00835753" w:rsidRPr="00835753">
        <w:t>tym</w:t>
      </w:r>
      <w:r w:rsidRPr="00835753">
        <w:t xml:space="preserve"> drugim przypadku instytucje wskazują wszelkie wyjątkowe okoliczności, które doprowadziły do zmiany tych danych (np. niedawne przejęcia lub zbycia podmiotów lub obszarów działalności).</w:t>
      </w:r>
    </w:p>
    <w:p w14:paraId="0DF23D1D" w14:textId="77777777" w:rsidR="00FA02BC" w:rsidRPr="00835753" w:rsidRDefault="00FA02BC"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835753"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4114BEEC" w:rsidR="00FA02BC" w:rsidRPr="00835753" w:rsidRDefault="00FA02BC" w:rsidP="00155C96">
            <w:pPr>
              <w:pStyle w:val="TableTitle"/>
              <w:spacing w:before="0" w:after="120"/>
              <w:jc w:val="left"/>
              <w:rPr>
                <w:rFonts w:ascii="Times New Roman" w:hAnsi="Times New Roman"/>
                <w:noProof w:val="0"/>
                <w:sz w:val="24"/>
                <w:szCs w:val="24"/>
              </w:rPr>
            </w:pPr>
            <w:r w:rsidRPr="00835753">
              <w:rPr>
                <w:rFonts w:ascii="Times New Roman" w:hAnsi="Times New Roman"/>
                <w:noProof w:val="0"/>
                <w:sz w:val="24"/>
                <w:szCs w:val="24"/>
              </w:rPr>
              <w:t>Instrukcje wypełniania wzoru EU OR1 do celów ujawniania informacji</w:t>
            </w:r>
          </w:p>
        </w:tc>
      </w:tr>
      <w:tr w:rsidR="00FA02BC" w:rsidRPr="00835753"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835753" w:rsidRDefault="00FA02BC"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Kolumna</w:t>
            </w:r>
          </w:p>
        </w:tc>
        <w:tc>
          <w:tcPr>
            <w:tcW w:w="7768" w:type="dxa"/>
            <w:tcBorders>
              <w:bottom w:val="nil"/>
            </w:tcBorders>
            <w:shd w:val="clear" w:color="auto" w:fill="D9D9D9" w:themeFill="background1" w:themeFillShade="D9"/>
          </w:tcPr>
          <w:p w14:paraId="0EDA29AD" w14:textId="77777777" w:rsidR="00FA02BC" w:rsidRPr="00835753" w:rsidRDefault="00FA02BC"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FA02BC" w:rsidRPr="00835753" w14:paraId="436F41A0" w14:textId="77777777" w:rsidTr="00155C96">
        <w:trPr>
          <w:trHeight w:val="238"/>
        </w:trPr>
        <w:tc>
          <w:tcPr>
            <w:tcW w:w="1271" w:type="dxa"/>
            <w:shd w:val="clear" w:color="auto" w:fill="FFFFFF" w:themeFill="background1"/>
          </w:tcPr>
          <w:p w14:paraId="05E64204" w14:textId="5220E7A1" w:rsidR="00FA02BC" w:rsidRPr="00835753" w:rsidRDefault="00FA02BC" w:rsidP="00155C96">
            <w:pPr>
              <w:autoSpaceDE w:val="0"/>
              <w:autoSpaceDN w:val="0"/>
              <w:adjustRightInd w:val="0"/>
              <w:spacing w:after="120"/>
              <w:jc w:val="center"/>
              <w:rPr>
                <w:rFonts w:ascii="Times New Roman" w:hAnsi="Times New Roman" w:cs="Times New Roman"/>
                <w:b/>
                <w:sz w:val="24"/>
              </w:rPr>
            </w:pPr>
            <w:proofErr w:type="gramStart"/>
            <w:r w:rsidRPr="00835753">
              <w:rPr>
                <w:rFonts w:ascii="Times New Roman" w:hAnsi="Times New Roman"/>
                <w:b/>
                <w:sz w:val="24"/>
              </w:rPr>
              <w:t>a</w:t>
            </w:r>
            <w:proofErr w:type="gramEnd"/>
            <w:r w:rsidR="00996FFB">
              <w:rPr>
                <w:rFonts w:ascii="Times New Roman" w:hAnsi="Times New Roman"/>
                <w:b/>
                <w:sz w:val="24"/>
              </w:rPr>
              <w:t>)</w:t>
            </w:r>
            <w:r w:rsidRPr="00835753">
              <w:rPr>
                <w:rFonts w:ascii="Times New Roman" w:hAnsi="Times New Roman"/>
                <w:b/>
                <w:sz w:val="24"/>
              </w:rPr>
              <w:t>, b</w:t>
            </w:r>
            <w:r w:rsidR="00996FFB">
              <w:rPr>
                <w:rFonts w:ascii="Times New Roman" w:hAnsi="Times New Roman"/>
                <w:b/>
                <w:sz w:val="24"/>
              </w:rPr>
              <w:t>)</w:t>
            </w:r>
            <w:r w:rsidRPr="00835753">
              <w:rPr>
                <w:rFonts w:ascii="Times New Roman" w:hAnsi="Times New Roman"/>
                <w:b/>
                <w:sz w:val="24"/>
              </w:rPr>
              <w:t>, c</w:t>
            </w:r>
            <w:r w:rsidR="00996FFB">
              <w:rPr>
                <w:rFonts w:ascii="Times New Roman" w:hAnsi="Times New Roman"/>
                <w:b/>
                <w:sz w:val="24"/>
              </w:rPr>
              <w:t>)</w:t>
            </w:r>
          </w:p>
        </w:tc>
        <w:tc>
          <w:tcPr>
            <w:tcW w:w="7768" w:type="dxa"/>
            <w:shd w:val="clear" w:color="auto" w:fill="FFFFFF" w:themeFill="background1"/>
          </w:tcPr>
          <w:p w14:paraId="6D7F47D3" w14:textId="77777777" w:rsidR="00FA02BC" w:rsidRPr="00835753" w:rsidRDefault="00FA02BC" w:rsidP="00155C96">
            <w:pPr>
              <w:spacing w:after="120"/>
              <w:jc w:val="both"/>
              <w:rPr>
                <w:rFonts w:ascii="Times New Roman" w:eastAsia="Times New Roman" w:hAnsi="Times New Roman" w:cs="Times New Roman"/>
                <w:b/>
                <w:sz w:val="24"/>
              </w:rPr>
            </w:pPr>
            <w:r w:rsidRPr="00835753">
              <w:rPr>
                <w:rFonts w:ascii="Times New Roman" w:hAnsi="Times New Roman"/>
                <w:b/>
                <w:sz w:val="24"/>
              </w:rPr>
              <w:t>Odpowiedni wskaźnik</w:t>
            </w:r>
          </w:p>
          <w:p w14:paraId="46F36895" w14:textId="49A0E0A6" w:rsidR="00FA02BC" w:rsidRPr="00835753" w:rsidRDefault="00FA02BC" w:rsidP="00155C96">
            <w:pPr>
              <w:spacing w:after="120"/>
              <w:jc w:val="both"/>
              <w:rPr>
                <w:rFonts w:ascii="Times New Roman" w:hAnsi="Times New Roman" w:cs="Times New Roman"/>
                <w:sz w:val="24"/>
              </w:rPr>
            </w:pPr>
            <w:r w:rsidRPr="00835753">
              <w:rPr>
                <w:rFonts w:ascii="Times New Roman" w:hAnsi="Times New Roman"/>
                <w:sz w:val="24"/>
              </w:rPr>
              <w:t>Termin „odpowiedni wskaźnik” odnosi się do „sumy pozycji” na koniec roku obrachunkowego zdefiniowany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tab</w:t>
            </w:r>
            <w:r w:rsidRPr="00835753">
              <w:rPr>
                <w:rFonts w:ascii="Times New Roman" w:hAnsi="Times New Roman"/>
                <w:sz w:val="24"/>
              </w:rPr>
              <w:t>eli 1 (w przypadku instytucji stosujących metodę wskaźnika bazowego) zamieszczonej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316 ust.</w:t>
            </w:r>
            <w:r w:rsidR="00835753" w:rsidRPr="00835753">
              <w:rPr>
                <w:rFonts w:ascii="Times New Roman" w:hAnsi="Times New Roman"/>
                <w:sz w:val="24"/>
              </w:rPr>
              <w:t> </w:t>
            </w:r>
            <w:r w:rsidRPr="00835753">
              <w:rPr>
                <w:rFonts w:ascii="Times New Roman" w:hAnsi="Times New Roman"/>
                <w:sz w:val="24"/>
              </w:rPr>
              <w:t>1 CRR</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instytucji stosujących metodę standardową lub alternatywną metodę standardową zastosowanie ma „odpowiedni wskaźnik” na koniec roku obrachunkowego zdefiniowany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 xml:space="preserve">317–319 CRR. </w:t>
            </w:r>
          </w:p>
          <w:p w14:paraId="02FFEA95" w14:textId="15B9D9F2" w:rsidR="00FA02BC" w:rsidRPr="00835753" w:rsidRDefault="00FA02BC" w:rsidP="00155C96">
            <w:pPr>
              <w:spacing w:after="120"/>
              <w:jc w:val="both"/>
              <w:rPr>
                <w:rFonts w:ascii="Times New Roman" w:eastAsia="Times New Roman" w:hAnsi="Times New Roman" w:cs="Times New Roman"/>
                <w:sz w:val="24"/>
              </w:rPr>
            </w:pPr>
            <w:r w:rsidRPr="00835753">
              <w:rPr>
                <w:rFonts w:ascii="Times New Roman" w:hAnsi="Times New Roman"/>
                <w:sz w:val="24"/>
              </w:rPr>
              <w:t>Instytucje stosujące odpowiedni wskaźnik do obliczenia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operacyjnego (według metody wskaźnika bazowego, metody standardowej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alt</w:t>
            </w:r>
            <w:r w:rsidRPr="00835753">
              <w:rPr>
                <w:rFonts w:ascii="Times New Roman" w:hAnsi="Times New Roman"/>
                <w:sz w:val="24"/>
              </w:rPr>
              <w:t>ernatywnej metody standardowej) ujawniają odpowiedni wskaźnik dla poszczególnych lat</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umnach a</w:t>
            </w:r>
            <w:proofErr w:type="gramStart"/>
            <w:r w:rsidRPr="00835753">
              <w:rPr>
                <w:rFonts w:ascii="Times New Roman" w:hAnsi="Times New Roman"/>
                <w:sz w:val="24"/>
              </w:rPr>
              <w:t>)–c</w:t>
            </w:r>
            <w:proofErr w:type="gramEnd"/>
            <w:r w:rsidRPr="00835753">
              <w:rPr>
                <w:rFonts w:ascii="Times New Roman" w:hAnsi="Times New Roman"/>
                <w:sz w:val="24"/>
              </w:rPr>
              <w:t>) niniejszego wzoru. Ponadto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łącznego stosowania różnych metod,</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rym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 xml:space="preserve">314 CRR, instytucje ujawniają również odpowiedni </w:t>
            </w:r>
            <w:r w:rsidRPr="00835753">
              <w:rPr>
                <w:rFonts w:ascii="Times New Roman" w:hAnsi="Times New Roman"/>
                <w:sz w:val="24"/>
              </w:rPr>
              <w:lastRenderedPageBreak/>
              <w:t>wskaźnik dla działalności objętych metodą zaawansowanego pomiaru. Banki stosujące metodę zaawansowanego pomiaru ujawniają również odpowiedni wskaźnik dla działalności objętych metodą zaawansowanego pomiaru.</w:t>
            </w:r>
          </w:p>
          <w:p w14:paraId="2ED7106D" w14:textId="5AE41E36" w:rsidR="00FA02BC" w:rsidRPr="00835753" w:rsidRDefault="00FA02BC" w:rsidP="00155C96">
            <w:pPr>
              <w:spacing w:after="120"/>
              <w:jc w:val="both"/>
              <w:rPr>
                <w:rFonts w:ascii="Times New Roman" w:hAnsi="Times New Roman" w:cs="Times New Roman"/>
                <w:sz w:val="24"/>
              </w:rPr>
            </w:pPr>
            <w:r w:rsidRPr="00835753">
              <w:rPr>
                <w:rFonts w:ascii="Times New Roman" w:hAnsi="Times New Roman"/>
                <w:sz w:val="24"/>
              </w:rPr>
              <w:t>Jeżeli instytucja posiada dane dotyczące „odpowiedniego wskaźnika” za okres krótszy niż 3 lata, dostępne dane historyczne (dane zweryfikowane przez biegłego rewidenta) przypisywane są według pierwszeństwa do odpowiednich kolumn we wzorze. Jeżeli na przykład dostępne są dane historyczne tylko za jeden rok, dane te należy ujawnić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c) niniejszego wzoru</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 prognozowane dane szacunkowe ujmuje się następnie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b (oszacowania dla przyszłego roku) oraz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a) (oszacowania dla roku +2) niniejszego wzoru.</w:t>
            </w:r>
          </w:p>
          <w:p w14:paraId="0B9DE538" w14:textId="30AEBAEF" w:rsidR="00FA02BC" w:rsidRPr="00835753" w:rsidRDefault="00FA02BC" w:rsidP="00155C96">
            <w:pPr>
              <w:spacing w:after="120"/>
              <w:jc w:val="both"/>
              <w:rPr>
                <w:rFonts w:ascii="Times New Roman" w:hAnsi="Times New Roman" w:cs="Times New Roman"/>
                <w:sz w:val="24"/>
              </w:rPr>
            </w:pPr>
            <w:r w:rsidRPr="00835753">
              <w:rPr>
                <w:rFonts w:ascii="Times New Roman" w:hAnsi="Times New Roman"/>
                <w:sz w:val="24"/>
              </w:rPr>
              <w:t>Ponadto, jeżeli żadne dane historyczne dotyczące „odpowiedniego wskaźnika” nie są dostępne, instytucja może ujawnić prognozowane dane szacunkowe wykorzystywane do obliczania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p>
        </w:tc>
      </w:tr>
      <w:tr w:rsidR="00FA02BC" w:rsidRPr="00835753" w14:paraId="2B6A7CB9" w14:textId="77777777" w:rsidTr="00155C96">
        <w:trPr>
          <w:trHeight w:val="238"/>
        </w:trPr>
        <w:tc>
          <w:tcPr>
            <w:tcW w:w="1271" w:type="dxa"/>
            <w:shd w:val="clear" w:color="auto" w:fill="FFFFFF" w:themeFill="background1"/>
          </w:tcPr>
          <w:p w14:paraId="1E357E61" w14:textId="77777777" w:rsidR="00FA02BC" w:rsidRPr="00835753" w:rsidRDefault="00FA02BC" w:rsidP="00155C96">
            <w:pPr>
              <w:autoSpaceDE w:val="0"/>
              <w:autoSpaceDN w:val="0"/>
              <w:adjustRightInd w:val="0"/>
              <w:spacing w:after="120"/>
              <w:jc w:val="center"/>
              <w:rPr>
                <w:rFonts w:ascii="Times New Roman" w:hAnsi="Times New Roman" w:cs="Times New Roman"/>
                <w:b/>
                <w:sz w:val="24"/>
              </w:rPr>
            </w:pPr>
            <w:proofErr w:type="gramStart"/>
            <w:r w:rsidRPr="00835753">
              <w:rPr>
                <w:rFonts w:ascii="Times New Roman" w:hAnsi="Times New Roman"/>
                <w:b/>
                <w:sz w:val="24"/>
              </w:rPr>
              <w:lastRenderedPageBreak/>
              <w:t>d</w:t>
            </w:r>
            <w:proofErr w:type="gramEnd"/>
            <w:r w:rsidRPr="00835753">
              <w:rPr>
                <w:rFonts w:ascii="Times New Roman" w:hAnsi="Times New Roman"/>
                <w:b/>
                <w:sz w:val="24"/>
              </w:rPr>
              <w:t>)</w:t>
            </w:r>
          </w:p>
        </w:tc>
        <w:tc>
          <w:tcPr>
            <w:tcW w:w="7768" w:type="dxa"/>
            <w:shd w:val="clear" w:color="auto" w:fill="FFFFFF" w:themeFill="background1"/>
          </w:tcPr>
          <w:p w14:paraId="053E0E42" w14:textId="3DB29962" w:rsidR="00FA02BC" w:rsidRPr="00835753" w:rsidRDefault="00FA02BC" w:rsidP="00155C96">
            <w:pPr>
              <w:spacing w:after="120"/>
              <w:jc w:val="both"/>
              <w:rPr>
                <w:rFonts w:ascii="Times New Roman" w:eastAsia="Times New Roman" w:hAnsi="Times New Roman" w:cs="Times New Roman"/>
                <w:b/>
                <w:sz w:val="24"/>
              </w:rPr>
            </w:pPr>
            <w:r w:rsidRPr="00835753">
              <w:rPr>
                <w:rFonts w:ascii="Times New Roman" w:hAnsi="Times New Roman"/>
                <w:b/>
                <w:sz w:val="24"/>
              </w:rPr>
              <w:t>Wymogi</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zak</w:t>
            </w:r>
            <w:r w:rsidRPr="00835753">
              <w:rPr>
                <w:rFonts w:ascii="Times New Roman" w:hAnsi="Times New Roman"/>
                <w:b/>
                <w:sz w:val="24"/>
              </w:rPr>
              <w:t>resie funduszy własnych</w:t>
            </w:r>
          </w:p>
          <w:p w14:paraId="38B5A43D" w14:textId="2EB9D01D" w:rsidR="00FA02BC" w:rsidRPr="00835753" w:rsidRDefault="00FA02BC" w:rsidP="00155C96">
            <w:pPr>
              <w:spacing w:after="120"/>
              <w:jc w:val="both"/>
              <w:rPr>
                <w:rFonts w:ascii="Times New Roman" w:hAnsi="Times New Roman" w:cs="Times New Roman"/>
                <w:sz w:val="24"/>
              </w:rPr>
            </w:pPr>
            <w:r w:rsidRPr="00835753">
              <w:rPr>
                <w:rFonts w:ascii="Times New Roman" w:hAnsi="Times New Roman"/>
                <w:sz w:val="24"/>
              </w:rPr>
              <w:t>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oblicza się według metody zastosowanej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312–324 CRR. Kwotę będącą wynikiem tych obliczeń należy ujawnić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d) niniejszego wzoru.</w:t>
            </w:r>
          </w:p>
        </w:tc>
      </w:tr>
      <w:tr w:rsidR="00FA02BC" w:rsidRPr="00835753" w14:paraId="58A493E7" w14:textId="77777777" w:rsidTr="00155C96">
        <w:trPr>
          <w:trHeight w:val="238"/>
        </w:trPr>
        <w:tc>
          <w:tcPr>
            <w:tcW w:w="1271" w:type="dxa"/>
            <w:shd w:val="clear" w:color="auto" w:fill="FFFFFF" w:themeFill="background1"/>
          </w:tcPr>
          <w:p w14:paraId="2F3F8067" w14:textId="77777777" w:rsidR="00FA02BC" w:rsidRPr="00835753" w:rsidRDefault="00FA02BC" w:rsidP="00155C96">
            <w:pPr>
              <w:autoSpaceDE w:val="0"/>
              <w:autoSpaceDN w:val="0"/>
              <w:adjustRightInd w:val="0"/>
              <w:spacing w:after="120"/>
              <w:jc w:val="center"/>
              <w:rPr>
                <w:rFonts w:ascii="Times New Roman" w:hAnsi="Times New Roman" w:cs="Times New Roman"/>
                <w:b/>
                <w:sz w:val="24"/>
              </w:rPr>
            </w:pPr>
            <w:proofErr w:type="gramStart"/>
            <w:r w:rsidRPr="00835753">
              <w:rPr>
                <w:rFonts w:ascii="Times New Roman" w:hAnsi="Times New Roman"/>
                <w:b/>
                <w:sz w:val="24"/>
              </w:rPr>
              <w:t>e</w:t>
            </w:r>
            <w:proofErr w:type="gramEnd"/>
            <w:r w:rsidRPr="00835753">
              <w:rPr>
                <w:rFonts w:ascii="Times New Roman" w:hAnsi="Times New Roman"/>
                <w:b/>
                <w:sz w:val="24"/>
              </w:rPr>
              <w:t>)</w:t>
            </w:r>
          </w:p>
        </w:tc>
        <w:tc>
          <w:tcPr>
            <w:tcW w:w="7768" w:type="dxa"/>
            <w:shd w:val="clear" w:color="auto" w:fill="FFFFFF" w:themeFill="background1"/>
          </w:tcPr>
          <w:p w14:paraId="322DB5ED" w14:textId="77777777" w:rsidR="00FA02BC" w:rsidRPr="00835753" w:rsidRDefault="00FA02BC" w:rsidP="00155C96">
            <w:pPr>
              <w:spacing w:after="120"/>
              <w:jc w:val="both"/>
              <w:rPr>
                <w:rFonts w:ascii="Times New Roman" w:eastAsia="Times New Roman" w:hAnsi="Times New Roman" w:cs="Times New Roman"/>
                <w:b/>
                <w:sz w:val="24"/>
              </w:rPr>
            </w:pPr>
            <w:r w:rsidRPr="00835753">
              <w:rPr>
                <w:rFonts w:ascii="Times New Roman" w:hAnsi="Times New Roman"/>
                <w:b/>
                <w:sz w:val="24"/>
              </w:rPr>
              <w:t>Kwota ekspozycji na ryzyko</w:t>
            </w:r>
          </w:p>
          <w:p w14:paraId="1EA91C04" w14:textId="46253AAD" w:rsidR="00FA02BC" w:rsidRPr="00835753" w:rsidRDefault="00FA02BC" w:rsidP="00155C96">
            <w:pPr>
              <w:spacing w:after="120"/>
              <w:jc w:val="both"/>
              <w:rPr>
                <w:rFonts w:ascii="Times New Roman" w:hAnsi="Times New Roman" w:cs="Times New Roman"/>
                <w:b/>
                <w:sz w:val="24"/>
              </w:rPr>
            </w:pPr>
            <w:r w:rsidRPr="00835753">
              <w:rPr>
                <w:rFonts w:ascii="Times New Roman" w:hAnsi="Times New Roman"/>
                <w:sz w:val="24"/>
              </w:rPr>
              <w:t>Art. 92 ust.</w:t>
            </w:r>
            <w:r w:rsidR="00835753" w:rsidRPr="00835753">
              <w:rPr>
                <w:rFonts w:ascii="Times New Roman" w:hAnsi="Times New Roman"/>
                <w:sz w:val="24"/>
              </w:rPr>
              <w:t> </w:t>
            </w:r>
            <w:r w:rsidRPr="00835753">
              <w:rPr>
                <w:rFonts w:ascii="Times New Roman" w:hAnsi="Times New Roman"/>
                <w:sz w:val="24"/>
              </w:rPr>
              <w:t>3 lit.</w:t>
            </w:r>
            <w:r w:rsidR="00835753" w:rsidRPr="00835753">
              <w:rPr>
                <w:rFonts w:ascii="Times New Roman" w:hAnsi="Times New Roman"/>
                <w:sz w:val="24"/>
              </w:rPr>
              <w:t> </w:t>
            </w:r>
            <w:r w:rsidRPr="00835753">
              <w:rPr>
                <w:rFonts w:ascii="Times New Roman" w:hAnsi="Times New Roman"/>
                <w:sz w:val="24"/>
              </w:rPr>
              <w:t>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92 ust.</w:t>
            </w:r>
            <w:r w:rsidR="00835753" w:rsidRPr="00835753">
              <w:rPr>
                <w:rFonts w:ascii="Times New Roman" w:hAnsi="Times New Roman"/>
                <w:sz w:val="24"/>
              </w:rPr>
              <w:t> </w:t>
            </w:r>
            <w:r w:rsidRPr="00835753">
              <w:rPr>
                <w:rFonts w:ascii="Times New Roman" w:hAnsi="Times New Roman"/>
                <w:sz w:val="24"/>
              </w:rPr>
              <w:t>4 CRR. 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ujawnione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umnie d) niniejszego wzoru pomnożone przez 12,5.</w:t>
            </w:r>
          </w:p>
        </w:tc>
      </w:tr>
      <w:tr w:rsidR="00FA02BC" w:rsidRPr="00835753"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835753" w:rsidRDefault="00FA02BC"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 xml:space="preserve">Wiersz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835753" w:rsidRDefault="00FA02BC" w:rsidP="00155C96">
            <w:pPr>
              <w:spacing w:after="120"/>
              <w:rPr>
                <w:rFonts w:ascii="Times New Roman" w:hAnsi="Times New Roman" w:cs="Times New Roman"/>
                <w:b/>
                <w:sz w:val="24"/>
              </w:rPr>
            </w:pPr>
            <w:r w:rsidRPr="00835753">
              <w:rPr>
                <w:rFonts w:ascii="Times New Roman" w:hAnsi="Times New Roman"/>
                <w:b/>
                <w:sz w:val="24"/>
              </w:rPr>
              <w:t>Wyjaśnienie</w:t>
            </w:r>
          </w:p>
        </w:tc>
      </w:tr>
      <w:tr w:rsidR="00FA02BC" w:rsidRPr="00835753"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835753" w:rsidRDefault="00FA02BC" w:rsidP="00155C96">
            <w:pPr>
              <w:autoSpaceDE w:val="0"/>
              <w:autoSpaceDN w:val="0"/>
              <w:adjustRightInd w:val="0"/>
              <w:spacing w:after="120"/>
              <w:jc w:val="center"/>
              <w:rPr>
                <w:rFonts w:ascii="Times New Roman" w:hAnsi="Times New Roman" w:cs="Times New Roman"/>
                <w:b/>
                <w:sz w:val="24"/>
              </w:rPr>
            </w:pPr>
            <w:r w:rsidRPr="00835753">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835753" w:rsidRDefault="00FA02BC" w:rsidP="00155C96">
            <w:pPr>
              <w:spacing w:after="120"/>
              <w:jc w:val="both"/>
              <w:rPr>
                <w:rFonts w:ascii="Times New Roman" w:eastAsia="Times New Roman" w:hAnsi="Times New Roman" w:cs="Times New Roman"/>
                <w:b/>
                <w:sz w:val="24"/>
              </w:rPr>
            </w:pPr>
            <w:r w:rsidRPr="00835753">
              <w:rPr>
                <w:rFonts w:ascii="Times New Roman" w:hAnsi="Times New Roman"/>
                <w:b/>
                <w:sz w:val="24"/>
              </w:rPr>
              <w:t>Działalność bankowa objęta metodą wskaźnika bazowego</w:t>
            </w:r>
          </w:p>
          <w:p w14:paraId="06F86F19" w14:textId="7845C591" w:rsidR="00FA02BC" w:rsidRPr="00835753" w:rsidRDefault="00FA02BC" w:rsidP="00155C96">
            <w:pPr>
              <w:spacing w:after="120"/>
              <w:jc w:val="both"/>
              <w:rPr>
                <w:rFonts w:ascii="Times New Roman" w:eastAsia="Times New Roman" w:hAnsi="Times New Roman" w:cs="Times New Roman"/>
                <w:sz w:val="24"/>
              </w:rPr>
            </w:pPr>
            <w:r w:rsidRPr="00835753">
              <w:rPr>
                <w:rFonts w:ascii="Times New Roman" w:hAnsi="Times New Roman"/>
                <w:sz w:val="24"/>
              </w:rPr>
              <w:t>W wierszu tym należy przedstawić kwoty odpowiadające działalności objętej metodą wskaźnika bazowego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cel</w:t>
            </w:r>
            <w:r w:rsidRPr="00835753">
              <w:rPr>
                <w:rFonts w:ascii="Times New Roman" w:hAnsi="Times New Roman"/>
                <w:sz w:val="24"/>
              </w:rPr>
              <w:t>u obliczenia wymogów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tyt</w:t>
            </w:r>
            <w:r w:rsidRPr="00835753">
              <w:rPr>
                <w:rFonts w:ascii="Times New Roman" w:hAnsi="Times New Roman"/>
                <w:sz w:val="24"/>
              </w:rPr>
              <w:t>ułu ryzyka operacyjnego (art.</w:t>
            </w:r>
            <w:r w:rsidR="00835753" w:rsidRPr="00835753">
              <w:rPr>
                <w:rFonts w:ascii="Times New Roman" w:hAnsi="Times New Roman"/>
                <w:sz w:val="24"/>
              </w:rPr>
              <w:t> </w:t>
            </w:r>
            <w:r w:rsidRPr="00835753">
              <w:rPr>
                <w:rFonts w:ascii="Times New Roman" w:hAnsi="Times New Roman"/>
                <w:sz w:val="24"/>
              </w:rPr>
              <w:t>315</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3</w:t>
            </w:r>
            <w:r w:rsidRPr="00835753">
              <w:rPr>
                <w:rFonts w:ascii="Times New Roman" w:hAnsi="Times New Roman"/>
                <w:sz w:val="24"/>
              </w:rPr>
              <w:t>16 CRR).</w:t>
            </w:r>
          </w:p>
        </w:tc>
      </w:tr>
      <w:tr w:rsidR="00FA02BC" w:rsidRPr="00835753"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835753" w:rsidRDefault="00FA02BC" w:rsidP="00155C96">
            <w:pPr>
              <w:autoSpaceDE w:val="0"/>
              <w:autoSpaceDN w:val="0"/>
              <w:adjustRightInd w:val="0"/>
              <w:spacing w:after="120"/>
              <w:jc w:val="center"/>
              <w:rPr>
                <w:rFonts w:ascii="Times New Roman" w:hAnsi="Times New Roman" w:cs="Times New Roman"/>
                <w:b/>
                <w:sz w:val="24"/>
              </w:rPr>
            </w:pPr>
            <w:r w:rsidRPr="00835753">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835753" w:rsidRDefault="00FA02BC" w:rsidP="00155C96">
            <w:pPr>
              <w:spacing w:after="120"/>
              <w:jc w:val="both"/>
              <w:rPr>
                <w:rFonts w:ascii="Times New Roman" w:eastAsia="Times New Roman" w:hAnsi="Times New Roman" w:cs="Times New Roman"/>
                <w:b/>
                <w:sz w:val="24"/>
              </w:rPr>
            </w:pPr>
            <w:r w:rsidRPr="00835753">
              <w:rPr>
                <w:rFonts w:ascii="Times New Roman" w:hAnsi="Times New Roman"/>
                <w:b/>
                <w:sz w:val="24"/>
              </w:rPr>
              <w:t>Działalność bankowa objęta metodą standardową/alternatywną metodą standardową</w:t>
            </w:r>
          </w:p>
          <w:p w14:paraId="6667F8AA" w14:textId="39BE99D9" w:rsidR="00FA02BC" w:rsidRPr="00835753" w:rsidRDefault="00FA02BC" w:rsidP="00155C96">
            <w:pPr>
              <w:spacing w:after="120"/>
              <w:jc w:val="both"/>
              <w:rPr>
                <w:rFonts w:ascii="Times New Roman" w:eastAsia="Times New Roman" w:hAnsi="Times New Roman" w:cs="Times New Roman"/>
                <w:sz w:val="24"/>
              </w:rPr>
            </w:pPr>
            <w:r w:rsidRPr="00835753">
              <w:rPr>
                <w:rFonts w:ascii="Times New Roman" w:hAnsi="Times New Roman"/>
                <w:sz w:val="24"/>
              </w:rPr>
              <w:t>W wierszu tym należy przedstawić wymogi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zak</w:t>
            </w:r>
            <w:r w:rsidRPr="00835753">
              <w:rPr>
                <w:rFonts w:ascii="Times New Roman" w:hAnsi="Times New Roman"/>
                <w:sz w:val="24"/>
              </w:rPr>
              <w:t>resie funduszy własnych obliczone według metody standardowej</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alt</w:t>
            </w:r>
            <w:r w:rsidRPr="00835753">
              <w:rPr>
                <w:rFonts w:ascii="Times New Roman" w:hAnsi="Times New Roman"/>
                <w:sz w:val="24"/>
              </w:rPr>
              <w:t>ernatywnej metody standardowej (art.</w:t>
            </w:r>
            <w:r w:rsidR="00835753" w:rsidRPr="00835753">
              <w:rPr>
                <w:rFonts w:ascii="Times New Roman" w:hAnsi="Times New Roman"/>
                <w:sz w:val="24"/>
              </w:rPr>
              <w:t> </w:t>
            </w:r>
            <w:r w:rsidRPr="00835753">
              <w:rPr>
                <w:rFonts w:ascii="Times New Roman" w:hAnsi="Times New Roman"/>
                <w:sz w:val="24"/>
              </w:rPr>
              <w:t>317–320 CRR).</w:t>
            </w:r>
          </w:p>
        </w:tc>
      </w:tr>
      <w:tr w:rsidR="00FA02BC" w:rsidRPr="00835753"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835753" w:rsidRDefault="00FA02BC" w:rsidP="00155C96">
            <w:pPr>
              <w:autoSpaceDE w:val="0"/>
              <w:autoSpaceDN w:val="0"/>
              <w:adjustRightInd w:val="0"/>
              <w:spacing w:after="120"/>
              <w:jc w:val="center"/>
              <w:rPr>
                <w:rFonts w:ascii="Times New Roman" w:hAnsi="Times New Roman" w:cs="Times New Roman"/>
                <w:b/>
                <w:sz w:val="24"/>
              </w:rPr>
            </w:pPr>
            <w:r w:rsidRPr="00835753">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835753" w:rsidRDefault="00FA02BC" w:rsidP="00155C96">
            <w:pPr>
              <w:spacing w:after="120"/>
              <w:jc w:val="both"/>
              <w:rPr>
                <w:rStyle w:val="InstructionsTabelleberschrift"/>
                <w:rFonts w:ascii="Times New Roman" w:eastAsia="Times New Roman" w:hAnsi="Times New Roman"/>
                <w:bCs w:val="0"/>
                <w:sz w:val="24"/>
              </w:rPr>
            </w:pPr>
            <w:r w:rsidRPr="00835753">
              <w:rPr>
                <w:rStyle w:val="InstructionsTabelleberschrift"/>
                <w:rFonts w:ascii="Times New Roman" w:hAnsi="Times New Roman"/>
                <w:sz w:val="24"/>
              </w:rPr>
              <w:t>Objęta metodą standardową</w:t>
            </w:r>
          </w:p>
          <w:p w14:paraId="6DA3CF06" w14:textId="0E86CA5B" w:rsidR="00FA02BC" w:rsidRPr="00835753" w:rsidRDefault="00FA02BC" w:rsidP="00155C96">
            <w:pPr>
              <w:spacing w:after="120"/>
              <w:jc w:val="both"/>
              <w:rPr>
                <w:rFonts w:ascii="Times New Roman" w:eastAsia="Times New Roman" w:hAnsi="Times New Roman" w:cs="Times New Roman"/>
                <w:sz w:val="24"/>
              </w:rPr>
            </w:pPr>
            <w:r w:rsidRPr="00835753">
              <w:rPr>
                <w:rFonts w:ascii="Times New Roman" w:hAnsi="Times New Roman"/>
                <w:sz w:val="24"/>
              </w:rPr>
              <w:t>W przypadku korzystania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met</w:t>
            </w:r>
            <w:r w:rsidRPr="00835753">
              <w:rPr>
                <w:rFonts w:ascii="Times New Roman" w:hAnsi="Times New Roman"/>
                <w:sz w:val="24"/>
              </w:rPr>
              <w:t>ody standardowej odpowiedni wskaźnik dla każdego danego roku musi uwzględniać wszystkie linie biznesowe zdefiniowane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tab</w:t>
            </w:r>
            <w:r w:rsidRPr="00835753">
              <w:rPr>
                <w:rFonts w:ascii="Times New Roman" w:hAnsi="Times New Roman"/>
                <w:sz w:val="24"/>
              </w:rPr>
              <w:t>eli 2 zamieszczonej</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 xml:space="preserve">317 CRR. </w:t>
            </w:r>
          </w:p>
        </w:tc>
      </w:tr>
      <w:tr w:rsidR="00FA02BC" w:rsidRPr="00835753"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835753" w:rsidRDefault="00FA02BC" w:rsidP="00155C96">
            <w:pPr>
              <w:autoSpaceDE w:val="0"/>
              <w:autoSpaceDN w:val="0"/>
              <w:adjustRightInd w:val="0"/>
              <w:spacing w:after="120"/>
              <w:jc w:val="center"/>
              <w:rPr>
                <w:rFonts w:ascii="Times New Roman" w:hAnsi="Times New Roman" w:cs="Times New Roman"/>
                <w:b/>
                <w:sz w:val="24"/>
              </w:rPr>
            </w:pPr>
            <w:r w:rsidRPr="00835753">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835753" w:rsidRDefault="00FA02BC" w:rsidP="00155C96">
            <w:pPr>
              <w:spacing w:after="120"/>
              <w:jc w:val="both"/>
              <w:rPr>
                <w:rStyle w:val="InstructionsTabelleberschrift"/>
                <w:rFonts w:ascii="Times New Roman" w:eastAsia="Times New Roman" w:hAnsi="Times New Roman"/>
                <w:bCs w:val="0"/>
                <w:sz w:val="24"/>
              </w:rPr>
            </w:pPr>
            <w:r w:rsidRPr="00835753">
              <w:rPr>
                <w:rStyle w:val="InstructionsTabelleberschrift"/>
                <w:rFonts w:ascii="Times New Roman" w:hAnsi="Times New Roman"/>
                <w:sz w:val="24"/>
              </w:rPr>
              <w:t>Objęta alternatywną metodą standardową</w:t>
            </w:r>
          </w:p>
          <w:p w14:paraId="3A2759CA" w14:textId="5B7BB36E" w:rsidR="00FA02BC" w:rsidRPr="00835753" w:rsidRDefault="00FA02BC" w:rsidP="00155C96">
            <w:pPr>
              <w:spacing w:after="120"/>
              <w:jc w:val="both"/>
              <w:rPr>
                <w:rFonts w:ascii="Times New Roman" w:eastAsia="Times New Roman" w:hAnsi="Times New Roman" w:cs="Times New Roman"/>
                <w:sz w:val="24"/>
              </w:rPr>
            </w:pPr>
            <w:r w:rsidRPr="00835753">
              <w:rPr>
                <w:rFonts w:ascii="Times New Roman" w:hAnsi="Times New Roman"/>
                <w:sz w:val="24"/>
              </w:rPr>
              <w:t>Instytucje stosujące alternatywną metodę standardową (art.</w:t>
            </w:r>
            <w:r w:rsidR="00835753" w:rsidRPr="00835753">
              <w:rPr>
                <w:rFonts w:ascii="Times New Roman" w:hAnsi="Times New Roman"/>
                <w:sz w:val="24"/>
              </w:rPr>
              <w:t> </w:t>
            </w:r>
            <w:r w:rsidRPr="00835753">
              <w:rPr>
                <w:rFonts w:ascii="Times New Roman" w:hAnsi="Times New Roman"/>
                <w:sz w:val="24"/>
              </w:rPr>
              <w:t xml:space="preserve">319 CRR) ujawniają odpowiedni wskaźnik dla poszczególnych lat. </w:t>
            </w:r>
          </w:p>
        </w:tc>
      </w:tr>
      <w:tr w:rsidR="00FA02BC" w:rsidRPr="00835753"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835753" w:rsidRDefault="00FA02BC" w:rsidP="00155C96">
            <w:pPr>
              <w:autoSpaceDE w:val="0"/>
              <w:autoSpaceDN w:val="0"/>
              <w:adjustRightInd w:val="0"/>
              <w:spacing w:after="120"/>
              <w:jc w:val="center"/>
              <w:rPr>
                <w:rFonts w:ascii="Times New Roman" w:hAnsi="Times New Roman" w:cs="Times New Roman"/>
                <w:b/>
                <w:sz w:val="24"/>
              </w:rPr>
            </w:pPr>
            <w:r w:rsidRPr="00835753">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835753" w:rsidRDefault="00FA02BC" w:rsidP="00155C96">
            <w:pPr>
              <w:spacing w:after="120"/>
              <w:jc w:val="both"/>
              <w:rPr>
                <w:rFonts w:ascii="Times New Roman" w:eastAsia="Times New Roman" w:hAnsi="Times New Roman" w:cs="Times New Roman"/>
                <w:b/>
                <w:sz w:val="24"/>
              </w:rPr>
            </w:pPr>
            <w:r w:rsidRPr="00835753">
              <w:rPr>
                <w:rFonts w:ascii="Times New Roman" w:hAnsi="Times New Roman"/>
                <w:b/>
                <w:sz w:val="24"/>
              </w:rPr>
              <w:t>Działalność bankowa objęta metodami zaawansowanego pomiaru</w:t>
            </w:r>
          </w:p>
          <w:p w14:paraId="738BC1FE" w14:textId="041BD433" w:rsidR="00FA02BC" w:rsidRPr="00835753" w:rsidRDefault="00FA02BC" w:rsidP="00155C96">
            <w:pPr>
              <w:spacing w:after="120"/>
              <w:jc w:val="both"/>
              <w:rPr>
                <w:rFonts w:ascii="Times New Roman" w:eastAsia="Times New Roman" w:hAnsi="Times New Roman" w:cs="Times New Roman"/>
                <w:sz w:val="24"/>
              </w:rPr>
            </w:pPr>
            <w:r w:rsidRPr="00835753">
              <w:rPr>
                <w:rFonts w:ascii="Times New Roman" w:hAnsi="Times New Roman"/>
                <w:sz w:val="24"/>
              </w:rPr>
              <w:lastRenderedPageBreak/>
              <w:t>Należy ujawnić odpowiednie dane dotyczące instytucji stosujących metody zaawansowanego pomiaru (art.</w:t>
            </w:r>
            <w:r w:rsidR="00835753" w:rsidRPr="00835753">
              <w:rPr>
                <w:rFonts w:ascii="Times New Roman" w:hAnsi="Times New Roman"/>
                <w:sz w:val="24"/>
              </w:rPr>
              <w:t> </w:t>
            </w:r>
            <w:r w:rsidRPr="00835753">
              <w:rPr>
                <w:rFonts w:ascii="Times New Roman" w:hAnsi="Times New Roman"/>
                <w:sz w:val="24"/>
              </w:rPr>
              <w:t>312 ust.</w:t>
            </w:r>
            <w:r w:rsidR="00835753" w:rsidRPr="00835753">
              <w:rPr>
                <w:rFonts w:ascii="Times New Roman" w:hAnsi="Times New Roman"/>
                <w:sz w:val="24"/>
              </w:rPr>
              <w:t> </w:t>
            </w:r>
            <w:r w:rsidRPr="00835753">
              <w:rPr>
                <w:rFonts w:ascii="Times New Roman" w:hAnsi="Times New Roman"/>
                <w:sz w:val="24"/>
              </w:rPr>
              <w:t>2</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 xml:space="preserve">321–323 CRR). </w:t>
            </w:r>
          </w:p>
          <w:p w14:paraId="539E2E99" w14:textId="3057E852" w:rsidR="00FA02BC" w:rsidRPr="00835753" w:rsidRDefault="00FA02BC" w:rsidP="00155C96">
            <w:pPr>
              <w:spacing w:after="120"/>
              <w:jc w:val="both"/>
              <w:rPr>
                <w:rFonts w:ascii="Times New Roman" w:eastAsia="Times New Roman" w:hAnsi="Times New Roman" w:cs="Times New Roman"/>
                <w:b/>
                <w:sz w:val="24"/>
              </w:rPr>
            </w:pPr>
            <w:r w:rsidRPr="00835753">
              <w:rPr>
                <w:rFonts w:ascii="Times New Roman" w:hAnsi="Times New Roman"/>
                <w:sz w:val="24"/>
              </w:rPr>
              <w:t>W przypadku łącznego stosowania różnych metod,</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rym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314 CRR, należy również ujawnić odpowiedni wskaźnik dla działalności objętej metodą zaawansowanego pomiaru. Banki stosujące metodę zaawansowanego pomiaru ujawniają również odpowiedni wskaźnik dla działalności objętych metodą zaawansowanego pomiaru</w:t>
            </w:r>
            <w:r w:rsidRPr="00835753">
              <w:rPr>
                <w:rFonts w:ascii="Times New Roman" w:hAnsi="Times New Roman"/>
                <w:b/>
                <w:sz w:val="24"/>
              </w:rPr>
              <w:t>.</w:t>
            </w:r>
          </w:p>
        </w:tc>
      </w:tr>
    </w:tbl>
    <w:p w14:paraId="0AC547C5" w14:textId="77777777" w:rsidR="00FA02BC" w:rsidRPr="00835753" w:rsidRDefault="00FA02BC" w:rsidP="00FA02BC">
      <w:pPr>
        <w:spacing w:after="120"/>
        <w:rPr>
          <w:rFonts w:ascii="Times New Roman" w:eastAsia="Times New Roman" w:hAnsi="Times New Roman" w:cs="Times New Roman"/>
          <w:b/>
          <w:color w:val="000000"/>
          <w:sz w:val="24"/>
          <w:lang w:eastAsia="en-GB"/>
        </w:rPr>
      </w:pPr>
    </w:p>
    <w:p w14:paraId="4D5EF5F5" w14:textId="77777777" w:rsidR="00FA02BC" w:rsidRPr="00835753" w:rsidRDefault="00FA02BC" w:rsidP="00FA02BC">
      <w:pPr>
        <w:spacing w:after="120"/>
        <w:rPr>
          <w:rFonts w:ascii="Times New Roman" w:eastAsia="Times New Roman" w:hAnsi="Times New Roman" w:cs="Times New Roman"/>
          <w:b/>
          <w:color w:val="000000"/>
          <w:sz w:val="24"/>
          <w:lang w:eastAsia="en-GB"/>
        </w:rPr>
      </w:pPr>
    </w:p>
    <w:p w14:paraId="0046A23E" w14:textId="77777777" w:rsidR="003D6F47" w:rsidRPr="00835753" w:rsidRDefault="003D6F47" w:rsidP="00FA02BC">
      <w:pPr>
        <w:spacing w:after="120"/>
        <w:jc w:val="both"/>
        <w:rPr>
          <w:rFonts w:ascii="Times New Roman" w:eastAsia="Times New Roman" w:hAnsi="Times New Roman" w:cs="Times New Roman"/>
          <w:color w:val="000000"/>
          <w:sz w:val="24"/>
          <w:lang w:eastAsia="en-GB"/>
        </w:rPr>
        <w:sectPr w:rsidR="003D6F47" w:rsidRPr="00835753" w:rsidSect="00155C96">
          <w:pgSz w:w="11900" w:h="16840"/>
          <w:pgMar w:top="2268" w:right="1418" w:bottom="1134" w:left="1701" w:header="709" w:footer="709" w:gutter="0"/>
          <w:pgNumType w:start="1" w:chapStyle="1"/>
          <w:cols w:space="708"/>
          <w:docGrid w:linePitch="299"/>
        </w:sectPr>
      </w:pPr>
    </w:p>
    <w:p w14:paraId="7F17C8F9" w14:textId="46ACE74F" w:rsidR="009360C9" w:rsidRPr="00835753" w:rsidRDefault="009360C9" w:rsidP="009360C9">
      <w:pPr>
        <w:pStyle w:val="Annexetitre"/>
        <w:spacing w:after="240"/>
        <w:rPr>
          <w:u w:val="none"/>
        </w:rPr>
      </w:pPr>
      <w:r w:rsidRPr="00835753">
        <w:rPr>
          <w:u w:val="none"/>
        </w:rPr>
        <w:lastRenderedPageBreak/>
        <w:t>ZAŁĄCZNIK XXXIV – Instrukcje dotyczące wzorów do celów ujawniania informacji na temat polityki</w:t>
      </w:r>
      <w:r w:rsidR="00835753" w:rsidRPr="00835753">
        <w:rPr>
          <w:u w:val="none"/>
        </w:rPr>
        <w:t xml:space="preserve"> w</w:t>
      </w:r>
      <w:r w:rsidR="00835753">
        <w:rPr>
          <w:u w:val="none"/>
        </w:rPr>
        <w:t> </w:t>
      </w:r>
      <w:r w:rsidR="00835753" w:rsidRPr="00835753">
        <w:rPr>
          <w:u w:val="none"/>
        </w:rPr>
        <w:t>zak</w:t>
      </w:r>
      <w:r w:rsidRPr="00835753">
        <w:rPr>
          <w:u w:val="none"/>
        </w:rPr>
        <w:t>resie wynagrodzeń</w:t>
      </w:r>
    </w:p>
    <w:p w14:paraId="4E85F73C" w14:textId="77777777" w:rsidR="009360C9" w:rsidRPr="00835753" w:rsidRDefault="009360C9" w:rsidP="009360C9">
      <w:pPr>
        <w:pStyle w:val="Titlelevel2"/>
        <w:spacing w:before="120" w:after="120"/>
        <w:rPr>
          <w:rFonts w:ascii="Times New Roman" w:hAnsi="Times New Roman"/>
          <w:b/>
          <w:color w:val="auto"/>
          <w:sz w:val="22"/>
        </w:rPr>
      </w:pPr>
    </w:p>
    <w:p w14:paraId="046A9F87" w14:textId="0EE10F08" w:rsidR="009360C9" w:rsidRPr="00835753" w:rsidRDefault="00D95507" w:rsidP="009360C9">
      <w:pPr>
        <w:pStyle w:val="Titlelevel2"/>
        <w:spacing w:before="120" w:after="120"/>
        <w:rPr>
          <w:rFonts w:ascii="Times New Roman" w:hAnsi="Times New Roman" w:cs="Times New Roman"/>
          <w:b/>
          <w:color w:val="auto"/>
          <w:sz w:val="24"/>
        </w:rPr>
      </w:pPr>
      <w:r w:rsidRPr="00835753">
        <w:rPr>
          <w:rFonts w:ascii="Times New Roman" w:hAnsi="Times New Roman"/>
          <w:b/>
          <w:color w:val="auto"/>
          <w:sz w:val="24"/>
        </w:rPr>
        <w:t xml:space="preserve">Tabela EU REMA – Polityka wynagrodzeń. </w:t>
      </w:r>
      <w:r w:rsidRPr="00835753">
        <w:rPr>
          <w:rFonts w:ascii="Times New Roman" w:hAnsi="Times New Roman"/>
          <w:color w:val="auto"/>
          <w:sz w:val="24"/>
        </w:rPr>
        <w:t>Format elastyczny</w:t>
      </w:r>
    </w:p>
    <w:p w14:paraId="0976B2A5" w14:textId="4FA92212" w:rsidR="009360C9" w:rsidRPr="00835753"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35753">
        <w:rPr>
          <w:rFonts w:ascii="Times New Roman" w:hAnsi="Times New Roman"/>
          <w:bCs w:val="0"/>
          <w:color w:val="auto"/>
          <w:sz w:val="24"/>
        </w:rPr>
        <w:t>W celu wypełnienia tabeli EU REMA zamieszczonej</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zał</w:t>
      </w:r>
      <w:r w:rsidRPr="00835753">
        <w:rPr>
          <w:rFonts w:ascii="Times New Roman" w:hAnsi="Times New Roman"/>
          <w:bCs w:val="0"/>
          <w:color w:val="auto"/>
          <w:sz w:val="24"/>
        </w:rPr>
        <w:t>ączniku XXXIII do niniejszego rozporządzenia wykonawczego, instytucje ujawniają informacje,</w:t>
      </w:r>
      <w:r w:rsidR="00835753" w:rsidRPr="00835753">
        <w:rPr>
          <w:rFonts w:ascii="Times New Roman" w:hAnsi="Times New Roman"/>
          <w:bCs w:val="0"/>
          <w:color w:val="auto"/>
          <w:sz w:val="24"/>
        </w:rPr>
        <w:t xml:space="preserve"> o</w:t>
      </w:r>
      <w:r w:rsidR="00835753">
        <w:rPr>
          <w:rFonts w:ascii="Times New Roman" w:hAnsi="Times New Roman"/>
          <w:bCs w:val="0"/>
          <w:color w:val="auto"/>
          <w:sz w:val="24"/>
        </w:rPr>
        <w:t> </w:t>
      </w:r>
      <w:r w:rsidR="00835753" w:rsidRPr="00835753">
        <w:rPr>
          <w:rFonts w:ascii="Times New Roman" w:hAnsi="Times New Roman"/>
          <w:bCs w:val="0"/>
          <w:color w:val="auto"/>
          <w:sz w:val="24"/>
        </w:rPr>
        <w:t>któ</w:t>
      </w:r>
      <w:r w:rsidRPr="00835753">
        <w:rPr>
          <w:rFonts w:ascii="Times New Roman" w:hAnsi="Times New Roman"/>
          <w:bCs w:val="0"/>
          <w:color w:val="auto"/>
          <w:sz w:val="24"/>
        </w:rPr>
        <w:t>rych mowa</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art</w:t>
      </w:r>
      <w:r w:rsidRPr="00835753">
        <w:rPr>
          <w:rFonts w:ascii="Times New Roman" w:hAnsi="Times New Roman"/>
          <w:bCs w:val="0"/>
          <w:color w:val="auto"/>
          <w:sz w:val="24"/>
        </w:rPr>
        <w:t>.</w:t>
      </w:r>
      <w:r w:rsidR="00835753" w:rsidRPr="00835753">
        <w:rPr>
          <w:rFonts w:ascii="Times New Roman" w:hAnsi="Times New Roman"/>
          <w:bCs w:val="0"/>
          <w:color w:val="auto"/>
          <w:sz w:val="24"/>
        </w:rPr>
        <w:t> </w:t>
      </w:r>
      <w:r w:rsidRPr="00835753">
        <w:rPr>
          <w:rFonts w:ascii="Times New Roman" w:hAnsi="Times New Roman"/>
          <w:bCs w:val="0"/>
          <w:color w:val="auto"/>
          <w:sz w:val="24"/>
        </w:rPr>
        <w:t>450 ust.</w:t>
      </w:r>
      <w:r w:rsidR="00835753" w:rsidRPr="00835753">
        <w:rPr>
          <w:rFonts w:ascii="Times New Roman" w:hAnsi="Times New Roman"/>
          <w:bCs w:val="0"/>
          <w:color w:val="auto"/>
          <w:sz w:val="24"/>
        </w:rPr>
        <w:t> </w:t>
      </w:r>
      <w:r w:rsidRPr="00835753">
        <w:rPr>
          <w:rFonts w:ascii="Times New Roman" w:hAnsi="Times New Roman"/>
          <w:bCs w:val="0"/>
          <w:color w:val="auto"/>
          <w:sz w:val="24"/>
        </w:rPr>
        <w:t>1 lit.</w:t>
      </w:r>
      <w:r w:rsidR="00835753" w:rsidRPr="00835753">
        <w:rPr>
          <w:rFonts w:ascii="Times New Roman" w:hAnsi="Times New Roman"/>
          <w:bCs w:val="0"/>
          <w:color w:val="auto"/>
          <w:sz w:val="24"/>
        </w:rPr>
        <w:t> </w:t>
      </w:r>
      <w:r w:rsidRPr="00835753">
        <w:rPr>
          <w:rFonts w:ascii="Times New Roman" w:hAnsi="Times New Roman"/>
          <w:bCs w:val="0"/>
          <w:color w:val="auto"/>
          <w:sz w:val="24"/>
        </w:rPr>
        <w:t>a), b), c), d), e), f), j) i k) oraz</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art</w:t>
      </w:r>
      <w:r w:rsidRPr="00835753">
        <w:rPr>
          <w:rFonts w:ascii="Times New Roman" w:hAnsi="Times New Roman"/>
          <w:bCs w:val="0"/>
          <w:color w:val="auto"/>
          <w:sz w:val="24"/>
        </w:rPr>
        <w:t>.</w:t>
      </w:r>
      <w:r w:rsidR="00835753" w:rsidRPr="00835753">
        <w:rPr>
          <w:rFonts w:ascii="Times New Roman" w:hAnsi="Times New Roman"/>
          <w:bCs w:val="0"/>
          <w:color w:val="auto"/>
          <w:sz w:val="24"/>
        </w:rPr>
        <w:t> </w:t>
      </w:r>
      <w:r w:rsidRPr="00835753">
        <w:rPr>
          <w:rFonts w:ascii="Times New Roman" w:hAnsi="Times New Roman"/>
          <w:bCs w:val="0"/>
          <w:color w:val="auto"/>
          <w:sz w:val="24"/>
        </w:rPr>
        <w:t>450 ust.</w:t>
      </w:r>
      <w:r w:rsidR="00835753" w:rsidRPr="00835753">
        <w:rPr>
          <w:rFonts w:ascii="Times New Roman" w:hAnsi="Times New Roman"/>
          <w:bCs w:val="0"/>
          <w:color w:val="auto"/>
          <w:sz w:val="24"/>
        </w:rPr>
        <w:t> </w:t>
      </w:r>
      <w:r w:rsidRPr="00835753">
        <w:rPr>
          <w:rFonts w:ascii="Times New Roman" w:hAnsi="Times New Roman"/>
          <w:bCs w:val="0"/>
          <w:color w:val="auto"/>
          <w:sz w:val="24"/>
        </w:rPr>
        <w:t>2 CRR</w:t>
      </w:r>
      <w:r w:rsidRPr="00835753">
        <w:rPr>
          <w:rStyle w:val="FootnoteReference"/>
          <w:rFonts w:ascii="Times New Roman" w:eastAsiaTheme="minorEastAsia" w:hAnsi="Times New Roman" w:cs="Times New Roman"/>
          <w:bCs w:val="0"/>
          <w:color w:val="auto"/>
          <w:sz w:val="24"/>
          <w:szCs w:val="24"/>
        </w:rPr>
        <w:footnoteReference w:id="50"/>
      </w:r>
      <w:r w:rsidRPr="00835753">
        <w:rPr>
          <w:rFonts w:ascii="Times New Roman" w:hAnsi="Times New Roman"/>
          <w:bCs w:val="0"/>
          <w:color w:val="auto"/>
          <w:sz w:val="24"/>
        </w:rPr>
        <w:t>, zgodnie</w:t>
      </w:r>
      <w:r w:rsidR="00835753" w:rsidRPr="00835753">
        <w:rPr>
          <w:rFonts w:ascii="Times New Roman" w:hAnsi="Times New Roman"/>
          <w:bCs w:val="0"/>
          <w:color w:val="auto"/>
          <w:sz w:val="24"/>
        </w:rPr>
        <w:t xml:space="preserve"> z</w:t>
      </w:r>
      <w:r w:rsidR="00835753">
        <w:rPr>
          <w:rFonts w:ascii="Times New Roman" w:hAnsi="Times New Roman"/>
          <w:bCs w:val="0"/>
          <w:color w:val="auto"/>
          <w:sz w:val="24"/>
        </w:rPr>
        <w:t> </w:t>
      </w:r>
      <w:r w:rsidR="00835753" w:rsidRPr="00835753">
        <w:rPr>
          <w:rFonts w:ascii="Times New Roman" w:hAnsi="Times New Roman"/>
          <w:bCs w:val="0"/>
          <w:color w:val="auto"/>
          <w:sz w:val="24"/>
        </w:rPr>
        <w:t>pon</w:t>
      </w:r>
      <w:r w:rsidRPr="00835753">
        <w:rPr>
          <w:rFonts w:ascii="Times New Roman" w:hAnsi="Times New Roman"/>
          <w:bCs w:val="0"/>
          <w:color w:val="auto"/>
          <w:sz w:val="24"/>
        </w:rPr>
        <w:t>iższymi instrukcjami zawartymi</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nin</w:t>
      </w:r>
      <w:r w:rsidRPr="00835753">
        <w:rPr>
          <w:rFonts w:ascii="Times New Roman" w:hAnsi="Times New Roman"/>
          <w:bCs w:val="0"/>
          <w:color w:val="auto"/>
          <w:sz w:val="24"/>
        </w:rPr>
        <w:t>iejszym załączniku.</w:t>
      </w:r>
    </w:p>
    <w:p w14:paraId="29B02B0D" w14:textId="3A10A73B" w:rsidR="009360C9" w:rsidRPr="00835753"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35753">
        <w:rPr>
          <w:rFonts w:ascii="Times New Roman" w:hAnsi="Times New Roman"/>
          <w:bCs w:val="0"/>
          <w:color w:val="auto"/>
          <w:sz w:val="24"/>
        </w:rPr>
        <w:t>Tabela ta ma elastyczny format. Jeżeli instytucje korzystają</w:t>
      </w:r>
      <w:r w:rsidR="00835753" w:rsidRPr="00835753">
        <w:rPr>
          <w:rFonts w:ascii="Times New Roman" w:hAnsi="Times New Roman"/>
          <w:bCs w:val="0"/>
          <w:color w:val="auto"/>
          <w:sz w:val="24"/>
        </w:rPr>
        <w:t xml:space="preserve"> z</w:t>
      </w:r>
      <w:r w:rsidR="00835753">
        <w:rPr>
          <w:rFonts w:ascii="Times New Roman" w:hAnsi="Times New Roman"/>
          <w:bCs w:val="0"/>
          <w:color w:val="auto"/>
          <w:sz w:val="24"/>
        </w:rPr>
        <w:t> </w:t>
      </w:r>
      <w:r w:rsidR="00835753" w:rsidRPr="00835753">
        <w:rPr>
          <w:rFonts w:ascii="Times New Roman" w:hAnsi="Times New Roman"/>
          <w:bCs w:val="0"/>
          <w:color w:val="auto"/>
          <w:sz w:val="24"/>
        </w:rPr>
        <w:t>inn</w:t>
      </w:r>
      <w:r w:rsidRPr="00835753">
        <w:rPr>
          <w:rFonts w:ascii="Times New Roman" w:hAnsi="Times New Roman"/>
          <w:bCs w:val="0"/>
          <w:color w:val="auto"/>
          <w:sz w:val="24"/>
        </w:rPr>
        <w:t>ego formatu, przedstawiają informacje porównywalne</w:t>
      </w:r>
      <w:r w:rsidR="00835753" w:rsidRPr="00835753">
        <w:rPr>
          <w:rFonts w:ascii="Times New Roman" w:hAnsi="Times New Roman"/>
          <w:bCs w:val="0"/>
          <w:color w:val="auto"/>
          <w:sz w:val="24"/>
        </w:rPr>
        <w:t xml:space="preserve"> z</w:t>
      </w:r>
      <w:r w:rsidR="00835753">
        <w:rPr>
          <w:rFonts w:ascii="Times New Roman" w:hAnsi="Times New Roman"/>
          <w:bCs w:val="0"/>
          <w:color w:val="auto"/>
          <w:sz w:val="24"/>
        </w:rPr>
        <w:t> </w:t>
      </w:r>
      <w:r w:rsidR="00835753" w:rsidRPr="00835753">
        <w:rPr>
          <w:rFonts w:ascii="Times New Roman" w:hAnsi="Times New Roman"/>
          <w:bCs w:val="0"/>
          <w:color w:val="auto"/>
          <w:sz w:val="24"/>
        </w:rPr>
        <w:t>inf</w:t>
      </w:r>
      <w:r w:rsidRPr="00835753">
        <w:rPr>
          <w:rFonts w:ascii="Times New Roman" w:hAnsi="Times New Roman"/>
          <w:bCs w:val="0"/>
          <w:color w:val="auto"/>
          <w:sz w:val="24"/>
        </w:rPr>
        <w:t>ormacjami wymaganymi</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tej</w:t>
      </w:r>
      <w:r w:rsidRPr="00835753">
        <w:rPr>
          <w:rFonts w:ascii="Times New Roman" w:hAnsi="Times New Roman"/>
          <w:bCs w:val="0"/>
          <w:color w:val="auto"/>
          <w:sz w:val="24"/>
        </w:rPr>
        <w:t xml:space="preserve"> tabeli, które będą charakteryzowały się zbliżonym poziomem szczegółowości</w:t>
      </w:r>
      <w:r w:rsidR="00835753" w:rsidRPr="00835753">
        <w:rPr>
          <w:rFonts w:ascii="Times New Roman" w:hAnsi="Times New Roman"/>
          <w:bCs w:val="0"/>
          <w:color w:val="auto"/>
          <w:sz w:val="24"/>
        </w:rPr>
        <w:t xml:space="preserve"> i</w:t>
      </w:r>
      <w:r w:rsidR="00835753">
        <w:rPr>
          <w:rFonts w:ascii="Times New Roman" w:hAnsi="Times New Roman"/>
          <w:bCs w:val="0"/>
          <w:color w:val="auto"/>
          <w:sz w:val="24"/>
        </w:rPr>
        <w:t> </w:t>
      </w:r>
      <w:r w:rsidR="00835753" w:rsidRPr="00835753">
        <w:rPr>
          <w:rFonts w:ascii="Times New Roman" w:hAnsi="Times New Roman"/>
          <w:bCs w:val="0"/>
          <w:color w:val="auto"/>
          <w:sz w:val="24"/>
        </w:rPr>
        <w:t>któ</w:t>
      </w:r>
      <w:r w:rsidRPr="00835753">
        <w:rPr>
          <w:rFonts w:ascii="Times New Roman" w:hAnsi="Times New Roman"/>
          <w:bCs w:val="0"/>
          <w:color w:val="auto"/>
          <w:sz w:val="24"/>
        </w:rPr>
        <w:t>re będą uwzględniały wszystkie wymagane istotne dane.</w:t>
      </w:r>
    </w:p>
    <w:p w14:paraId="667053A8" w14:textId="7414F0D4" w:rsidR="009360C9" w:rsidRPr="00835753"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35753">
        <w:rPr>
          <w:rFonts w:ascii="Times New Roman" w:hAnsi="Times New Roman"/>
          <w:bCs w:val="0"/>
          <w:color w:val="auto"/>
          <w:sz w:val="24"/>
        </w:rPr>
        <w:t>Na potrzeby przedmiotowej tabeli</w:t>
      </w:r>
      <w:r w:rsidR="00835753" w:rsidRPr="00835753">
        <w:rPr>
          <w:rFonts w:ascii="Times New Roman" w:hAnsi="Times New Roman"/>
          <w:bCs w:val="0"/>
          <w:color w:val="auto"/>
          <w:sz w:val="24"/>
        </w:rPr>
        <w:t xml:space="preserve"> i</w:t>
      </w:r>
      <w:r w:rsidR="00835753">
        <w:rPr>
          <w:rFonts w:ascii="Times New Roman" w:hAnsi="Times New Roman"/>
          <w:bCs w:val="0"/>
          <w:color w:val="auto"/>
          <w:sz w:val="24"/>
        </w:rPr>
        <w:t> </w:t>
      </w:r>
      <w:r w:rsidR="00835753" w:rsidRPr="00835753">
        <w:rPr>
          <w:rFonts w:ascii="Times New Roman" w:hAnsi="Times New Roman"/>
          <w:bCs w:val="0"/>
          <w:color w:val="auto"/>
          <w:sz w:val="24"/>
        </w:rPr>
        <w:t>wzo</w:t>
      </w:r>
      <w:r w:rsidRPr="00835753">
        <w:rPr>
          <w:rFonts w:ascii="Times New Roman" w:hAnsi="Times New Roman"/>
          <w:bCs w:val="0"/>
          <w:color w:val="auto"/>
          <w:sz w:val="24"/>
        </w:rPr>
        <w:t>rów omówionych</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nin</w:t>
      </w:r>
      <w:r w:rsidRPr="00835753">
        <w:rPr>
          <w:rFonts w:ascii="Times New Roman" w:hAnsi="Times New Roman"/>
          <w:bCs w:val="0"/>
          <w:color w:val="auto"/>
          <w:sz w:val="24"/>
        </w:rPr>
        <w:t>iejszym załączniku „przyznanie” oznacza przydzielenie wynagrodzenia zmiennego za konkretny okres rozliczeniowy, niezależnie od momentu faktycznego wypłacenia przyznanej kwoty.</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835753"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CD625E1" w:rsidR="009360C9" w:rsidRPr="00835753" w:rsidRDefault="009360C9" w:rsidP="00155C96">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9360C9" w:rsidRPr="00835753" w14:paraId="136CBE19" w14:textId="77777777" w:rsidTr="00155C96">
        <w:trPr>
          <w:trHeight w:val="238"/>
        </w:trPr>
        <w:tc>
          <w:tcPr>
            <w:tcW w:w="1384" w:type="dxa"/>
            <w:shd w:val="clear" w:color="auto" w:fill="D9D9D9" w:themeFill="background1" w:themeFillShade="D9"/>
          </w:tcPr>
          <w:p w14:paraId="75FFE4E1" w14:textId="77777777" w:rsidR="009360C9" w:rsidRPr="00835753" w:rsidRDefault="009360C9" w:rsidP="00155C96">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74FC704A" w14:textId="77777777" w:rsidR="009360C9" w:rsidRPr="00835753" w:rsidRDefault="009360C9" w:rsidP="00155C96">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9360C9" w:rsidRPr="00835753"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18FFB94C" w:rsidR="009360C9" w:rsidRPr="00835753" w:rsidRDefault="00933038" w:rsidP="006D005E">
            <w:pPr>
              <w:pStyle w:val="Applicationdirecte"/>
              <w:spacing w:before="0" w:after="0"/>
              <w:jc w:val="center"/>
            </w:pPr>
            <w:proofErr w:type="gramStart"/>
            <w:r w:rsidRPr="00835753">
              <w:t>a</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835753" w:rsidRDefault="009360C9" w:rsidP="00155C96">
            <w:pPr>
              <w:spacing w:before="60" w:after="120"/>
              <w:jc w:val="both"/>
              <w:rPr>
                <w:rFonts w:ascii="Times New Roman" w:hAnsi="Times New Roman"/>
                <w:sz w:val="24"/>
              </w:rPr>
            </w:pPr>
            <w:r w:rsidRPr="00835753">
              <w:rPr>
                <w:rFonts w:ascii="Times New Roman" w:hAnsi="Times New Roman"/>
                <w:sz w:val="24"/>
              </w:rPr>
              <w:t>Informacje dotyczące organów nadzorujących politykę wynagrodzeń. Ujawniane informacje obejmują:</w:t>
            </w:r>
          </w:p>
          <w:p w14:paraId="34792097" w14:textId="3229B6F2" w:rsidR="009360C9" w:rsidRPr="00835753" w:rsidRDefault="009360C9" w:rsidP="009360C9">
            <w:pPr>
              <w:pStyle w:val="ListParagraph"/>
              <w:numPr>
                <w:ilvl w:val="0"/>
                <w:numId w:val="63"/>
              </w:numPr>
              <w:spacing w:before="60" w:after="120"/>
              <w:jc w:val="both"/>
              <w:rPr>
                <w:rFonts w:ascii="Times New Roman" w:hAnsi="Times New Roman"/>
                <w:sz w:val="24"/>
                <w:szCs w:val="24"/>
              </w:rPr>
            </w:pPr>
            <w:proofErr w:type="gramStart"/>
            <w:r w:rsidRPr="00835753">
              <w:rPr>
                <w:rFonts w:ascii="Times New Roman" w:hAnsi="Times New Roman"/>
                <w:sz w:val="24"/>
                <w:szCs w:val="24"/>
              </w:rPr>
              <w:t>nazwę</w:t>
            </w:r>
            <w:proofErr w:type="gramEnd"/>
            <w:r w:rsidRPr="00835753">
              <w:rPr>
                <w:rFonts w:ascii="Times New Roman" w:hAnsi="Times New Roman"/>
                <w:sz w:val="24"/>
                <w:szCs w:val="24"/>
              </w:rPr>
              <w:t>, skład</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zak</w:t>
            </w:r>
            <w:r w:rsidRPr="00835753">
              <w:rPr>
                <w:rFonts w:ascii="Times New Roman" w:hAnsi="Times New Roman"/>
                <w:sz w:val="24"/>
                <w:szCs w:val="24"/>
              </w:rPr>
              <w:t>res zadań głównego organu (organ zarządzający</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kom</w:t>
            </w:r>
            <w:r w:rsidRPr="00835753">
              <w:rPr>
                <w:rFonts w:ascii="Times New Roman" w:hAnsi="Times New Roman"/>
                <w:sz w:val="24"/>
                <w:szCs w:val="24"/>
              </w:rPr>
              <w:t>isja ds. wynagrodzeń, jeżeli ją ustanowiono) pełniącego nadzór nad polityką wynagrodzeń oraz liczbę posiedzeń, jakie główny organ odbył</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cią</w:t>
            </w:r>
            <w:r w:rsidRPr="00835753">
              <w:rPr>
                <w:rFonts w:ascii="Times New Roman" w:hAnsi="Times New Roman"/>
                <w:sz w:val="24"/>
                <w:szCs w:val="24"/>
              </w:rPr>
              <w:t>gu roku obrachunkowego;</w:t>
            </w:r>
          </w:p>
          <w:p w14:paraId="25E40D95" w14:textId="77777777" w:rsidR="009360C9" w:rsidRPr="00835753" w:rsidRDefault="009360C9" w:rsidP="009360C9">
            <w:pPr>
              <w:pStyle w:val="ListParagraph"/>
              <w:numPr>
                <w:ilvl w:val="0"/>
                <w:numId w:val="63"/>
              </w:numPr>
              <w:spacing w:before="60" w:after="120"/>
              <w:jc w:val="both"/>
              <w:rPr>
                <w:rFonts w:ascii="Times New Roman" w:hAnsi="Times New Roman"/>
                <w:sz w:val="24"/>
                <w:szCs w:val="24"/>
              </w:rPr>
            </w:pPr>
            <w:proofErr w:type="gramStart"/>
            <w:r w:rsidRPr="00835753">
              <w:rPr>
                <w:rFonts w:ascii="Times New Roman" w:hAnsi="Times New Roman"/>
                <w:sz w:val="24"/>
                <w:szCs w:val="24"/>
              </w:rPr>
              <w:t>informacje</w:t>
            </w:r>
            <w:proofErr w:type="gramEnd"/>
            <w:r w:rsidRPr="00835753">
              <w:rPr>
                <w:rFonts w:ascii="Times New Roman" w:hAnsi="Times New Roman"/>
                <w:sz w:val="24"/>
                <w:szCs w:val="24"/>
              </w:rPr>
              <w:t xml:space="preserve"> na temat konsultantów zewnętrznych, których porad zasięgnięto, organu, do którego należeli ci konsultanci, oraz obszarów ram wynagrodzeń, jakimi się oni zajmowali;</w:t>
            </w:r>
          </w:p>
          <w:p w14:paraId="38E9E6F8" w14:textId="16D25265" w:rsidR="009360C9" w:rsidRPr="00835753" w:rsidRDefault="009360C9" w:rsidP="009360C9">
            <w:pPr>
              <w:pStyle w:val="ListParagraph"/>
              <w:numPr>
                <w:ilvl w:val="0"/>
                <w:numId w:val="63"/>
              </w:numPr>
              <w:spacing w:before="60" w:after="120"/>
              <w:jc w:val="both"/>
              <w:rPr>
                <w:rFonts w:ascii="Times New Roman" w:hAnsi="Times New Roman"/>
                <w:sz w:val="24"/>
                <w:szCs w:val="24"/>
              </w:rPr>
            </w:pPr>
            <w:proofErr w:type="gramStart"/>
            <w:r w:rsidRPr="00835753">
              <w:rPr>
                <w:rFonts w:ascii="Times New Roman" w:hAnsi="Times New Roman"/>
                <w:sz w:val="24"/>
                <w:szCs w:val="24"/>
              </w:rPr>
              <w:t>opis</w:t>
            </w:r>
            <w:proofErr w:type="gramEnd"/>
            <w:r w:rsidRPr="00835753">
              <w:rPr>
                <w:rFonts w:ascii="Times New Roman" w:hAnsi="Times New Roman"/>
                <w:sz w:val="24"/>
                <w:szCs w:val="24"/>
              </w:rPr>
              <w:t xml:space="preserve"> zakresu polityki wynagrodzeń instytucji (np.</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pod</w:t>
            </w:r>
            <w:r w:rsidRPr="00835753">
              <w:rPr>
                <w:rFonts w:ascii="Times New Roman" w:hAnsi="Times New Roman"/>
                <w:sz w:val="24"/>
                <w:szCs w:val="24"/>
              </w:rPr>
              <w:t>ziale na regiony, linie biznesowe), uwzględniając informacje</w:t>
            </w:r>
            <w:r w:rsidR="00835753" w:rsidRPr="00835753">
              <w:rPr>
                <w:rFonts w:ascii="Times New Roman" w:hAnsi="Times New Roman"/>
                <w:sz w:val="24"/>
                <w:szCs w:val="24"/>
              </w:rPr>
              <w:t xml:space="preserve"> o</w:t>
            </w:r>
            <w:r w:rsidR="00835753">
              <w:rPr>
                <w:rFonts w:ascii="Times New Roman" w:hAnsi="Times New Roman"/>
                <w:sz w:val="24"/>
                <w:szCs w:val="24"/>
              </w:rPr>
              <w:t> </w:t>
            </w:r>
            <w:r w:rsidR="00835753" w:rsidRPr="00835753">
              <w:rPr>
                <w:rFonts w:ascii="Times New Roman" w:hAnsi="Times New Roman"/>
                <w:sz w:val="24"/>
                <w:szCs w:val="24"/>
              </w:rPr>
              <w:t>sto</w:t>
            </w:r>
            <w:r w:rsidRPr="00835753">
              <w:rPr>
                <w:rFonts w:ascii="Times New Roman" w:hAnsi="Times New Roman"/>
                <w:sz w:val="24"/>
                <w:szCs w:val="24"/>
              </w:rPr>
              <w:t>pniu,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jak</w:t>
            </w:r>
            <w:r w:rsidRPr="00835753">
              <w:rPr>
                <w:rFonts w:ascii="Times New Roman" w:hAnsi="Times New Roman"/>
                <w:sz w:val="24"/>
                <w:szCs w:val="24"/>
              </w:rPr>
              <w:t>im polityka ta ma zastosowanie do jednostek zależnych</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odd</w:t>
            </w:r>
            <w:r w:rsidRPr="00835753">
              <w:rPr>
                <w:rFonts w:ascii="Times New Roman" w:hAnsi="Times New Roman"/>
                <w:sz w:val="24"/>
                <w:szCs w:val="24"/>
              </w:rPr>
              <w:t>ziałów</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pań</w:t>
            </w:r>
            <w:r w:rsidRPr="00835753">
              <w:rPr>
                <w:rFonts w:ascii="Times New Roman" w:hAnsi="Times New Roman"/>
                <w:sz w:val="24"/>
                <w:szCs w:val="24"/>
              </w:rPr>
              <w:t>stwach trzecich;</w:t>
            </w:r>
          </w:p>
          <w:p w14:paraId="004E89C5" w14:textId="77777777" w:rsidR="009360C9" w:rsidRPr="00835753" w:rsidRDefault="009360C9" w:rsidP="009360C9">
            <w:pPr>
              <w:pStyle w:val="ListParagraph"/>
              <w:numPr>
                <w:ilvl w:val="0"/>
                <w:numId w:val="63"/>
              </w:numPr>
              <w:spacing w:before="60" w:after="120"/>
              <w:jc w:val="both"/>
              <w:rPr>
                <w:rFonts w:ascii="Times New Roman" w:hAnsi="Times New Roman"/>
                <w:sz w:val="24"/>
              </w:rPr>
            </w:pPr>
            <w:proofErr w:type="gramStart"/>
            <w:r w:rsidRPr="00835753">
              <w:rPr>
                <w:rFonts w:ascii="Times New Roman" w:hAnsi="Times New Roman"/>
                <w:sz w:val="24"/>
                <w:szCs w:val="24"/>
              </w:rPr>
              <w:t>opis</w:t>
            </w:r>
            <w:proofErr w:type="gramEnd"/>
            <w:r w:rsidRPr="00835753">
              <w:rPr>
                <w:rFonts w:ascii="Times New Roman" w:hAnsi="Times New Roman"/>
                <w:sz w:val="24"/>
                <w:szCs w:val="24"/>
              </w:rPr>
              <w:t xml:space="preserve"> pracowników lub kategorii pracowników, których działalność zawodowa ma istotny wpływ na profil ryzyka instytucji (określony personel).</w:t>
            </w:r>
          </w:p>
        </w:tc>
      </w:tr>
      <w:tr w:rsidR="009360C9" w:rsidRPr="00835753"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835753" w:rsidRDefault="00933038" w:rsidP="006D005E">
            <w:pPr>
              <w:pStyle w:val="Applicationdirecte"/>
              <w:spacing w:before="0" w:after="0"/>
              <w:jc w:val="center"/>
            </w:pPr>
            <w:proofErr w:type="gramStart"/>
            <w:r w:rsidRPr="00835753">
              <w:t>b</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2C26EB60" w:rsidR="009360C9" w:rsidRPr="00835753" w:rsidRDefault="009360C9" w:rsidP="00155C96">
            <w:pPr>
              <w:spacing w:before="60" w:after="120"/>
              <w:jc w:val="both"/>
              <w:rPr>
                <w:rFonts w:ascii="Times New Roman" w:hAnsi="Times New Roman"/>
                <w:sz w:val="24"/>
              </w:rPr>
            </w:pPr>
            <w:r w:rsidRPr="00835753">
              <w:rPr>
                <w:rFonts w:ascii="Times New Roman" w:hAnsi="Times New Roman"/>
                <w:sz w:val="24"/>
              </w:rPr>
              <w:t>Informacje dotyczące projektu</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str</w:t>
            </w:r>
            <w:r w:rsidRPr="00835753">
              <w:rPr>
                <w:rFonts w:ascii="Times New Roman" w:hAnsi="Times New Roman"/>
                <w:sz w:val="24"/>
              </w:rPr>
              <w:t>uktury systemu wynagradzania określonego personelu. Ujawniane informacje obejmują:</w:t>
            </w:r>
          </w:p>
          <w:p w14:paraId="4A3CCFC4" w14:textId="0B029443" w:rsidR="009360C9" w:rsidRPr="00835753" w:rsidRDefault="009360C9" w:rsidP="009360C9">
            <w:pPr>
              <w:pStyle w:val="ListParagraph"/>
              <w:numPr>
                <w:ilvl w:val="0"/>
                <w:numId w:val="64"/>
              </w:numPr>
              <w:spacing w:before="60" w:after="120"/>
              <w:jc w:val="both"/>
              <w:rPr>
                <w:rFonts w:ascii="Times New Roman" w:hAnsi="Times New Roman"/>
                <w:sz w:val="24"/>
                <w:szCs w:val="24"/>
              </w:rPr>
            </w:pPr>
            <w:proofErr w:type="gramStart"/>
            <w:r w:rsidRPr="00835753">
              <w:rPr>
                <w:rFonts w:ascii="Times New Roman" w:hAnsi="Times New Roman"/>
                <w:sz w:val="24"/>
                <w:szCs w:val="24"/>
              </w:rPr>
              <w:t>przegląd</w:t>
            </w:r>
            <w:proofErr w:type="gramEnd"/>
            <w:r w:rsidRPr="00835753">
              <w:rPr>
                <w:rFonts w:ascii="Times New Roman" w:hAnsi="Times New Roman"/>
                <w:sz w:val="24"/>
                <w:szCs w:val="24"/>
              </w:rPr>
              <w:t xml:space="preserve"> kluczowych cech</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cel</w:t>
            </w:r>
            <w:r w:rsidRPr="00835753">
              <w:rPr>
                <w:rFonts w:ascii="Times New Roman" w:hAnsi="Times New Roman"/>
                <w:sz w:val="24"/>
                <w:szCs w:val="24"/>
              </w:rPr>
              <w:t xml:space="preserve">ów polityki wynagrodzeń oraz informacje na temat procesu podejmowania decyzji służących </w:t>
            </w:r>
            <w:r w:rsidRPr="00835753">
              <w:rPr>
                <w:rFonts w:ascii="Times New Roman" w:hAnsi="Times New Roman"/>
                <w:sz w:val="24"/>
                <w:szCs w:val="24"/>
              </w:rPr>
              <w:lastRenderedPageBreak/>
              <w:t>kształtowaniu polityki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zak</w:t>
            </w:r>
            <w:r w:rsidRPr="00835753">
              <w:rPr>
                <w:rFonts w:ascii="Times New Roman" w:hAnsi="Times New Roman"/>
                <w:sz w:val="24"/>
                <w:szCs w:val="24"/>
              </w:rPr>
              <w:t>resie wynagrodzeń oraz na temat roli odpowiednich zainteresowanych stron (np. walne zgromadzenie udziałowców);</w:t>
            </w:r>
          </w:p>
          <w:p w14:paraId="19FB8179" w14:textId="2C40E6EB" w:rsidR="009360C9" w:rsidRPr="00835753" w:rsidRDefault="009360C9" w:rsidP="009360C9">
            <w:pPr>
              <w:pStyle w:val="ListParagraph"/>
              <w:numPr>
                <w:ilvl w:val="0"/>
                <w:numId w:val="64"/>
              </w:numPr>
              <w:spacing w:before="60" w:after="120"/>
              <w:jc w:val="both"/>
              <w:rPr>
                <w:rFonts w:ascii="Times New Roman" w:hAnsi="Times New Roman"/>
                <w:sz w:val="24"/>
                <w:szCs w:val="24"/>
              </w:rPr>
            </w:pPr>
            <w:proofErr w:type="gramStart"/>
            <w:r w:rsidRPr="00835753">
              <w:rPr>
                <w:rFonts w:ascii="Times New Roman" w:hAnsi="Times New Roman"/>
                <w:sz w:val="24"/>
                <w:szCs w:val="24"/>
              </w:rPr>
              <w:t>informacje</w:t>
            </w:r>
            <w:proofErr w:type="gramEnd"/>
            <w:r w:rsidRPr="00835753">
              <w:rPr>
                <w:rFonts w:ascii="Times New Roman" w:hAnsi="Times New Roman"/>
                <w:sz w:val="24"/>
                <w:szCs w:val="24"/>
              </w:rPr>
              <w:t xml:space="preserve"> na temat kryteriów stosowanych przy pomiarze wyników oraz przy przeprowadzaniu korekty</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tyt</w:t>
            </w:r>
            <w:r w:rsidRPr="00835753">
              <w:rPr>
                <w:rFonts w:ascii="Times New Roman" w:hAnsi="Times New Roman"/>
                <w:sz w:val="24"/>
                <w:szCs w:val="24"/>
              </w:rPr>
              <w:t xml:space="preserve">ułu ryzyka </w:t>
            </w:r>
            <w:r w:rsidRPr="00835753">
              <w:rPr>
                <w:rFonts w:ascii="Times New Roman" w:hAnsi="Times New Roman"/>
                <w:i/>
                <w:sz w:val="24"/>
                <w:szCs w:val="24"/>
              </w:rPr>
              <w:t>ex ante</w:t>
            </w:r>
            <w:r w:rsidRPr="00835753">
              <w:rPr>
                <w:rFonts w:ascii="Times New Roman" w:hAnsi="Times New Roman"/>
                <w:sz w:val="24"/>
                <w:szCs w:val="24"/>
              </w:rPr>
              <w:t xml:space="preserve"> i </w:t>
            </w:r>
            <w:r w:rsidRPr="00835753">
              <w:rPr>
                <w:rFonts w:ascii="Times New Roman" w:hAnsi="Times New Roman"/>
                <w:i/>
                <w:sz w:val="24"/>
                <w:szCs w:val="24"/>
              </w:rPr>
              <w:t>ex post</w:t>
            </w:r>
            <w:r w:rsidRPr="00835753">
              <w:rPr>
                <w:rFonts w:ascii="Times New Roman" w:hAnsi="Times New Roman"/>
                <w:sz w:val="24"/>
                <w:szCs w:val="24"/>
              </w:rPr>
              <w:t>;</w:t>
            </w:r>
          </w:p>
          <w:p w14:paraId="60A2CEAE" w14:textId="488FFA0B" w:rsidR="009360C9" w:rsidRPr="00835753" w:rsidRDefault="009360C9" w:rsidP="009360C9">
            <w:pPr>
              <w:pStyle w:val="ListParagraph"/>
              <w:numPr>
                <w:ilvl w:val="0"/>
                <w:numId w:val="64"/>
              </w:numPr>
              <w:spacing w:before="60" w:after="120"/>
              <w:jc w:val="both"/>
              <w:rPr>
                <w:rFonts w:ascii="Times New Roman" w:hAnsi="Times New Roman"/>
                <w:sz w:val="24"/>
                <w:szCs w:val="24"/>
              </w:rPr>
            </w:pPr>
            <w:proofErr w:type="gramStart"/>
            <w:r w:rsidRPr="00835753">
              <w:rPr>
                <w:rFonts w:ascii="Times New Roman" w:hAnsi="Times New Roman"/>
                <w:sz w:val="24"/>
                <w:szCs w:val="24"/>
              </w:rPr>
              <w:t>informacje</w:t>
            </w:r>
            <w:proofErr w:type="gramEnd"/>
            <w:r w:rsidRPr="00835753">
              <w:rPr>
                <w:rFonts w:ascii="Times New Roman" w:hAnsi="Times New Roman"/>
                <w:sz w:val="24"/>
                <w:szCs w:val="24"/>
              </w:rPr>
              <w:t xml:space="preserve"> na temat tego, czy organ zarządzający</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kom</w:t>
            </w:r>
            <w:r w:rsidRPr="00835753">
              <w:rPr>
                <w:rFonts w:ascii="Times New Roman" w:hAnsi="Times New Roman"/>
                <w:sz w:val="24"/>
                <w:szCs w:val="24"/>
              </w:rPr>
              <w:t>isja ds. wynagrodzeń, jeżeli ją ustanowiono, dokonały przeglądu polityki wynagrodzeń instytucji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min</w:t>
            </w:r>
            <w:r w:rsidRPr="00835753">
              <w:rPr>
                <w:rFonts w:ascii="Times New Roman" w:hAnsi="Times New Roman"/>
                <w:sz w:val="24"/>
                <w:szCs w:val="24"/>
              </w:rPr>
              <w:t>ionym roku,</w:t>
            </w:r>
            <w:r w:rsidR="00835753" w:rsidRPr="00835753">
              <w:rPr>
                <w:rFonts w:ascii="Times New Roman" w:hAnsi="Times New Roman"/>
                <w:sz w:val="24"/>
                <w:szCs w:val="24"/>
              </w:rPr>
              <w:t xml:space="preserve"> a</w:t>
            </w:r>
            <w:r w:rsidR="00835753">
              <w:rPr>
                <w:rFonts w:ascii="Times New Roman" w:hAnsi="Times New Roman"/>
                <w:sz w:val="24"/>
                <w:szCs w:val="24"/>
              </w:rPr>
              <w:t> </w:t>
            </w:r>
            <w:r w:rsidR="00835753" w:rsidRPr="00835753">
              <w:rPr>
                <w:rFonts w:ascii="Times New Roman" w:hAnsi="Times New Roman"/>
                <w:sz w:val="24"/>
                <w:szCs w:val="24"/>
              </w:rPr>
              <w:t>jeż</w:t>
            </w:r>
            <w:r w:rsidRPr="00835753">
              <w:rPr>
                <w:rFonts w:ascii="Times New Roman" w:hAnsi="Times New Roman"/>
                <w:sz w:val="24"/>
                <w:szCs w:val="24"/>
              </w:rPr>
              <w:t>eli tak – przegląd wszelkich wprowadzonych zmian wraz</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uza</w:t>
            </w:r>
            <w:r w:rsidRPr="00835753">
              <w:rPr>
                <w:rFonts w:ascii="Times New Roman" w:hAnsi="Times New Roman"/>
                <w:sz w:val="24"/>
                <w:szCs w:val="24"/>
              </w:rPr>
              <w:t>sadnieniem</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opi</w:t>
            </w:r>
            <w:r w:rsidRPr="00835753">
              <w:rPr>
                <w:rFonts w:ascii="Times New Roman" w:hAnsi="Times New Roman"/>
                <w:sz w:val="24"/>
                <w:szCs w:val="24"/>
              </w:rPr>
              <w:t>sem ich wpływu na wynagrodzenia;</w:t>
            </w:r>
          </w:p>
          <w:p w14:paraId="60DFCD3D" w14:textId="28AA7C83" w:rsidR="009360C9" w:rsidRPr="00835753" w:rsidRDefault="009360C9" w:rsidP="009360C9">
            <w:pPr>
              <w:pStyle w:val="ListParagraph"/>
              <w:numPr>
                <w:ilvl w:val="0"/>
                <w:numId w:val="64"/>
              </w:numPr>
              <w:spacing w:before="60" w:after="120"/>
              <w:jc w:val="both"/>
              <w:rPr>
                <w:rFonts w:ascii="Times New Roman" w:hAnsi="Times New Roman"/>
                <w:sz w:val="24"/>
                <w:szCs w:val="24"/>
              </w:rPr>
            </w:pPr>
            <w:proofErr w:type="gramStart"/>
            <w:r w:rsidRPr="00835753">
              <w:rPr>
                <w:rFonts w:ascii="Times New Roman" w:hAnsi="Times New Roman"/>
                <w:sz w:val="24"/>
                <w:szCs w:val="24"/>
              </w:rPr>
              <w:t>informacje</w:t>
            </w:r>
            <w:proofErr w:type="gramEnd"/>
            <w:r w:rsidRPr="00835753">
              <w:rPr>
                <w:rFonts w:ascii="Times New Roman" w:hAnsi="Times New Roman"/>
                <w:sz w:val="24"/>
                <w:szCs w:val="24"/>
              </w:rPr>
              <w:t xml:space="preserve"> na temat sposobu,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jak</w:t>
            </w:r>
            <w:r w:rsidRPr="00835753">
              <w:rPr>
                <w:rFonts w:ascii="Times New Roman" w:hAnsi="Times New Roman"/>
                <w:sz w:val="24"/>
                <w:szCs w:val="24"/>
              </w:rPr>
              <w:t>i instytucja zapewnia wynagradzanie pracowników pełniących funkcje związane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kon</w:t>
            </w:r>
            <w:r w:rsidRPr="00835753">
              <w:rPr>
                <w:rFonts w:ascii="Times New Roman" w:hAnsi="Times New Roman"/>
                <w:sz w:val="24"/>
                <w:szCs w:val="24"/>
              </w:rPr>
              <w:t>trolą wewnętrzną niezależnie od działalności, nad którą sprawują oni nadzór;</w:t>
            </w:r>
          </w:p>
          <w:p w14:paraId="04D189CF" w14:textId="5694B11E" w:rsidR="009360C9" w:rsidRPr="00835753" w:rsidRDefault="009360C9" w:rsidP="009360C9">
            <w:pPr>
              <w:pStyle w:val="ListParagraph"/>
              <w:numPr>
                <w:ilvl w:val="0"/>
                <w:numId w:val="64"/>
              </w:numPr>
              <w:spacing w:before="60" w:after="120"/>
              <w:jc w:val="both"/>
              <w:rPr>
                <w:rFonts w:ascii="Times New Roman" w:hAnsi="Times New Roman"/>
                <w:sz w:val="24"/>
                <w:szCs w:val="24"/>
              </w:rPr>
            </w:pPr>
            <w:proofErr w:type="gramStart"/>
            <w:r w:rsidRPr="00835753">
              <w:rPr>
                <w:rFonts w:ascii="Times New Roman" w:hAnsi="Times New Roman"/>
                <w:sz w:val="24"/>
                <w:szCs w:val="24"/>
              </w:rPr>
              <w:t>polityki</w:t>
            </w:r>
            <w:proofErr w:type="gramEnd"/>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kry</w:t>
            </w:r>
            <w:r w:rsidRPr="00835753">
              <w:rPr>
                <w:rFonts w:ascii="Times New Roman" w:hAnsi="Times New Roman"/>
                <w:sz w:val="24"/>
                <w:szCs w:val="24"/>
              </w:rPr>
              <w:t>teria stosowane przy przyznawaniu gwarantowanego wynagrodzenia zmiennego</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odp</w:t>
            </w:r>
            <w:r w:rsidRPr="00835753">
              <w:rPr>
                <w:rFonts w:ascii="Times New Roman" w:hAnsi="Times New Roman"/>
                <w:sz w:val="24"/>
                <w:szCs w:val="24"/>
              </w:rPr>
              <w:t>raw.</w:t>
            </w:r>
          </w:p>
        </w:tc>
      </w:tr>
      <w:tr w:rsidR="009360C9" w:rsidRPr="00835753"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835753" w:rsidRDefault="00933038" w:rsidP="006D005E">
            <w:pPr>
              <w:pStyle w:val="Applicationdirecte"/>
              <w:spacing w:before="0" w:after="0"/>
              <w:jc w:val="center"/>
            </w:pPr>
            <w:proofErr w:type="gramStart"/>
            <w:r w:rsidRPr="00835753">
              <w:lastRenderedPageBreak/>
              <w:t>c</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136D5DD4" w:rsidR="009360C9" w:rsidRPr="00835753" w:rsidRDefault="009360C9" w:rsidP="00155C96">
            <w:pPr>
              <w:spacing w:before="60" w:after="120"/>
              <w:jc w:val="both"/>
              <w:rPr>
                <w:rFonts w:ascii="Times New Roman" w:hAnsi="Times New Roman" w:cs="Times New Roman"/>
                <w:sz w:val="24"/>
              </w:rPr>
            </w:pPr>
            <w:r w:rsidRPr="00835753">
              <w:rPr>
                <w:rFonts w:ascii="Times New Roman" w:hAnsi="Times New Roman"/>
                <w:sz w:val="24"/>
              </w:rPr>
              <w:t>Opis sposobów uwzględniania aktualnego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yszłego ryzyka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pro</w:t>
            </w:r>
            <w:r w:rsidRPr="00835753">
              <w:rPr>
                <w:rFonts w:ascii="Times New Roman" w:hAnsi="Times New Roman"/>
                <w:sz w:val="24"/>
              </w:rPr>
              <w:t>cesach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wyn</w:t>
            </w:r>
            <w:r w:rsidRPr="00835753">
              <w:rPr>
                <w:rFonts w:ascii="Times New Roman" w:hAnsi="Times New Roman"/>
                <w:sz w:val="24"/>
              </w:rPr>
              <w:t xml:space="preserve">agrodzeniami. </w:t>
            </w:r>
          </w:p>
          <w:p w14:paraId="35EA9F51" w14:textId="77777777" w:rsidR="009360C9" w:rsidRPr="00835753" w:rsidRDefault="009360C9" w:rsidP="00155C96">
            <w:pPr>
              <w:spacing w:before="60" w:after="120"/>
              <w:jc w:val="both"/>
              <w:rPr>
                <w:rFonts w:ascii="Times New Roman" w:hAnsi="Times New Roman"/>
                <w:sz w:val="24"/>
              </w:rPr>
            </w:pPr>
            <w:r w:rsidRPr="00835753">
              <w:rPr>
                <w:rFonts w:ascii="Times New Roman" w:hAnsi="Times New Roman"/>
                <w:sz w:val="24"/>
              </w:rPr>
              <w:t>Ujawniane informacje obejmują przegląd kluczowych rodzajów ryzyka, metod dokonywania ich pomiaru oraz wpływu tych działań na wynagrodzenie</w:t>
            </w:r>
          </w:p>
        </w:tc>
      </w:tr>
      <w:tr w:rsidR="009360C9" w:rsidRPr="00835753"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835753" w:rsidRDefault="00933038" w:rsidP="006D005E">
            <w:pPr>
              <w:pStyle w:val="Applicationdirecte"/>
              <w:spacing w:before="0" w:after="0"/>
              <w:jc w:val="center"/>
            </w:pPr>
            <w:proofErr w:type="gramStart"/>
            <w:r w:rsidRPr="00835753">
              <w:t>d</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7EFFFD08" w:rsidR="009360C9" w:rsidRPr="00835753" w:rsidRDefault="009360C9" w:rsidP="00155C96">
            <w:pPr>
              <w:spacing w:before="60" w:after="120"/>
              <w:jc w:val="both"/>
              <w:rPr>
                <w:rFonts w:ascii="Times New Roman" w:hAnsi="Times New Roman"/>
                <w:sz w:val="24"/>
              </w:rPr>
            </w:pPr>
            <w:r w:rsidRPr="00835753">
              <w:rPr>
                <w:rFonts w:ascii="Times New Roman" w:hAnsi="Times New Roman"/>
                <w:sz w:val="24"/>
              </w:rPr>
              <w:t>Stosunek wynagrodzenia stałego do wynagrodzenia zmiennego ustalony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g) dyrektywy 2013/36/UE („CRD”)</w:t>
            </w:r>
            <w:r w:rsidRPr="00835753">
              <w:rPr>
                <w:rStyle w:val="FootnoteReference"/>
                <w:rFonts w:ascii="Times New Roman" w:hAnsi="Times New Roman"/>
                <w:sz w:val="24"/>
              </w:rPr>
              <w:footnoteReference w:id="51"/>
            </w:r>
            <w:r w:rsidRPr="00835753">
              <w:rPr>
                <w:rFonts w:ascii="Times New Roman" w:hAnsi="Times New Roman"/>
                <w:sz w:val="24"/>
              </w:rPr>
              <w:t>.</w:t>
            </w:r>
          </w:p>
        </w:tc>
      </w:tr>
      <w:tr w:rsidR="009360C9" w:rsidRPr="00835753"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835753" w:rsidRDefault="00933038" w:rsidP="006D005E">
            <w:pPr>
              <w:pStyle w:val="Applicationdirecte"/>
              <w:spacing w:before="0" w:after="0"/>
              <w:jc w:val="center"/>
            </w:pPr>
            <w:proofErr w:type="gramStart"/>
            <w:r w:rsidRPr="00835753">
              <w:t>e</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4D2EE0D5" w:rsidR="009360C9" w:rsidRPr="00835753" w:rsidRDefault="009360C9" w:rsidP="00155C96">
            <w:pPr>
              <w:spacing w:before="60" w:after="120"/>
              <w:jc w:val="both"/>
              <w:rPr>
                <w:rFonts w:ascii="Times New Roman" w:hAnsi="Times New Roman"/>
                <w:sz w:val="24"/>
              </w:rPr>
            </w:pPr>
            <w:r w:rsidRPr="00835753">
              <w:rPr>
                <w:rFonts w:ascii="Times New Roman" w:hAnsi="Times New Roman"/>
                <w:sz w:val="24"/>
              </w:rPr>
              <w:t>Opis sposobów,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ie instytucja zamierza powiązać wyniki uzyskane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okr</w:t>
            </w:r>
            <w:r w:rsidRPr="00835753">
              <w:rPr>
                <w:rFonts w:ascii="Times New Roman" w:hAnsi="Times New Roman"/>
                <w:sz w:val="24"/>
              </w:rPr>
              <w:t>esie pomiaru wyników</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poz</w:t>
            </w:r>
            <w:r w:rsidRPr="00835753">
              <w:rPr>
                <w:rFonts w:ascii="Times New Roman" w:hAnsi="Times New Roman"/>
                <w:sz w:val="24"/>
              </w:rPr>
              <w:t>iomami wynagrodzeń.</w:t>
            </w:r>
          </w:p>
          <w:p w14:paraId="4DF334B6" w14:textId="77777777" w:rsidR="009360C9" w:rsidRPr="00835753" w:rsidRDefault="009360C9" w:rsidP="00155C96">
            <w:pPr>
              <w:spacing w:before="60" w:after="120"/>
              <w:jc w:val="both"/>
              <w:rPr>
                <w:rFonts w:ascii="Times New Roman" w:hAnsi="Times New Roman" w:cs="Times New Roman"/>
                <w:sz w:val="24"/>
              </w:rPr>
            </w:pPr>
            <w:r w:rsidRPr="00835753">
              <w:rPr>
                <w:rFonts w:ascii="Times New Roman" w:hAnsi="Times New Roman"/>
                <w:sz w:val="24"/>
              </w:rPr>
              <w:t>Ujawniane informacje obejmują:</w:t>
            </w:r>
          </w:p>
          <w:p w14:paraId="063A0E13" w14:textId="40BF60A7" w:rsidR="009360C9" w:rsidRPr="00835753" w:rsidRDefault="009360C9" w:rsidP="009360C9">
            <w:pPr>
              <w:pStyle w:val="ListParagraph"/>
              <w:numPr>
                <w:ilvl w:val="0"/>
                <w:numId w:val="64"/>
              </w:numPr>
              <w:spacing w:before="60" w:after="120"/>
              <w:jc w:val="both"/>
              <w:rPr>
                <w:rFonts w:ascii="Times New Roman" w:hAnsi="Times New Roman"/>
                <w:sz w:val="24"/>
                <w:szCs w:val="24"/>
              </w:rPr>
            </w:pPr>
            <w:proofErr w:type="gramStart"/>
            <w:r w:rsidRPr="00835753">
              <w:rPr>
                <w:rFonts w:ascii="Times New Roman" w:hAnsi="Times New Roman"/>
                <w:sz w:val="24"/>
                <w:szCs w:val="24"/>
              </w:rPr>
              <w:t>przegląd</w:t>
            </w:r>
            <w:proofErr w:type="gramEnd"/>
            <w:r w:rsidRPr="00835753">
              <w:rPr>
                <w:rFonts w:ascii="Times New Roman" w:hAnsi="Times New Roman"/>
                <w:sz w:val="24"/>
                <w:szCs w:val="24"/>
              </w:rPr>
              <w:t xml:space="preserve"> głównych kryteriów</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wsk</w:t>
            </w:r>
            <w:r w:rsidRPr="00835753">
              <w:rPr>
                <w:rFonts w:ascii="Times New Roman" w:hAnsi="Times New Roman"/>
                <w:sz w:val="24"/>
                <w:szCs w:val="24"/>
              </w:rPr>
              <w:t>aźników wyników mających zastosowanie do instytucji, linii biznesowych</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osó</w:t>
            </w:r>
            <w:r w:rsidRPr="00835753">
              <w:rPr>
                <w:rFonts w:ascii="Times New Roman" w:hAnsi="Times New Roman"/>
                <w:sz w:val="24"/>
                <w:szCs w:val="24"/>
              </w:rPr>
              <w:t>b fizycznych;</w:t>
            </w:r>
          </w:p>
          <w:p w14:paraId="7C3AAE37" w14:textId="760F51C3" w:rsidR="009360C9" w:rsidRPr="00835753" w:rsidRDefault="009360C9" w:rsidP="009360C9">
            <w:pPr>
              <w:pStyle w:val="ListParagraph"/>
              <w:numPr>
                <w:ilvl w:val="0"/>
                <w:numId w:val="64"/>
              </w:numPr>
              <w:spacing w:before="60" w:after="120"/>
              <w:jc w:val="both"/>
              <w:rPr>
                <w:rFonts w:ascii="Times New Roman" w:hAnsi="Times New Roman"/>
                <w:sz w:val="24"/>
                <w:szCs w:val="24"/>
              </w:rPr>
            </w:pPr>
            <w:proofErr w:type="gramStart"/>
            <w:r w:rsidRPr="00835753">
              <w:rPr>
                <w:rFonts w:ascii="Times New Roman" w:hAnsi="Times New Roman"/>
                <w:sz w:val="24"/>
                <w:szCs w:val="24"/>
              </w:rPr>
              <w:t>przegląd</w:t>
            </w:r>
            <w:proofErr w:type="gramEnd"/>
            <w:r w:rsidRPr="00835753">
              <w:rPr>
                <w:rFonts w:ascii="Times New Roman" w:hAnsi="Times New Roman"/>
                <w:sz w:val="24"/>
                <w:szCs w:val="24"/>
              </w:rPr>
              <w:t xml:space="preserve"> sposobu,</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jak</w:t>
            </w:r>
            <w:r w:rsidRPr="00835753">
              <w:rPr>
                <w:rFonts w:ascii="Times New Roman" w:hAnsi="Times New Roman"/>
                <w:sz w:val="24"/>
                <w:szCs w:val="24"/>
              </w:rPr>
              <w:t>i wynagrodzenie zmienne pracownika jest powiązane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wyn</w:t>
            </w:r>
            <w:r w:rsidRPr="00835753">
              <w:rPr>
                <w:rFonts w:ascii="Times New Roman" w:hAnsi="Times New Roman"/>
                <w:sz w:val="24"/>
                <w:szCs w:val="24"/>
              </w:rPr>
              <w:t>ikami uzyskiwanymi na szczeblu instytucjonalnym</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wyn</w:t>
            </w:r>
            <w:r w:rsidRPr="00835753">
              <w:rPr>
                <w:rFonts w:ascii="Times New Roman" w:hAnsi="Times New Roman"/>
                <w:sz w:val="24"/>
                <w:szCs w:val="24"/>
              </w:rPr>
              <w:t>ikami indywidualnymi;</w:t>
            </w:r>
          </w:p>
          <w:p w14:paraId="723A6079" w14:textId="3A26003A" w:rsidR="009360C9" w:rsidRPr="00835753" w:rsidRDefault="009360C9" w:rsidP="009360C9">
            <w:pPr>
              <w:pStyle w:val="ListParagraph"/>
              <w:numPr>
                <w:ilvl w:val="0"/>
                <w:numId w:val="64"/>
              </w:numPr>
              <w:spacing w:before="60" w:after="120"/>
              <w:jc w:val="both"/>
              <w:rPr>
                <w:rFonts w:ascii="Times New Roman" w:hAnsi="Times New Roman"/>
                <w:sz w:val="24"/>
                <w:szCs w:val="24"/>
              </w:rPr>
            </w:pPr>
            <w:proofErr w:type="gramStart"/>
            <w:r w:rsidRPr="00835753">
              <w:rPr>
                <w:rFonts w:ascii="Times New Roman" w:hAnsi="Times New Roman"/>
                <w:sz w:val="24"/>
                <w:szCs w:val="24"/>
              </w:rPr>
              <w:t>informacje</w:t>
            </w:r>
            <w:proofErr w:type="gramEnd"/>
            <w:r w:rsidRPr="00835753">
              <w:rPr>
                <w:rFonts w:ascii="Times New Roman" w:hAnsi="Times New Roman"/>
                <w:sz w:val="24"/>
                <w:szCs w:val="24"/>
              </w:rPr>
              <w:t xml:space="preserve"> na temat kryteriów stosowanych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cel</w:t>
            </w:r>
            <w:r w:rsidRPr="00835753">
              <w:rPr>
                <w:rFonts w:ascii="Times New Roman" w:hAnsi="Times New Roman"/>
                <w:sz w:val="24"/>
                <w:szCs w:val="24"/>
              </w:rPr>
              <w:t>u ustalenia zależności między różnymi rodzajami przyznawanych instrumentów, np. akcjami, równoważnymi udziałami własnościowymi, opcjami</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inn</w:t>
            </w:r>
            <w:r w:rsidRPr="00835753">
              <w:rPr>
                <w:rFonts w:ascii="Times New Roman" w:hAnsi="Times New Roman"/>
                <w:sz w:val="24"/>
                <w:szCs w:val="24"/>
              </w:rPr>
              <w:t>ymi instrumentami;</w:t>
            </w:r>
          </w:p>
          <w:p w14:paraId="449402C2" w14:textId="5A9F4ECD" w:rsidR="009360C9" w:rsidRPr="00835753" w:rsidRDefault="009360C9" w:rsidP="009360C9">
            <w:pPr>
              <w:pStyle w:val="ListParagraph"/>
              <w:numPr>
                <w:ilvl w:val="0"/>
                <w:numId w:val="64"/>
              </w:numPr>
              <w:spacing w:before="60" w:after="120"/>
              <w:jc w:val="both"/>
              <w:rPr>
                <w:rFonts w:ascii="Times New Roman" w:hAnsi="Times New Roman"/>
                <w:sz w:val="24"/>
              </w:rPr>
            </w:pPr>
            <w:proofErr w:type="gramStart"/>
            <w:r w:rsidRPr="00835753">
              <w:rPr>
                <w:rFonts w:ascii="Times New Roman" w:hAnsi="Times New Roman"/>
                <w:sz w:val="24"/>
                <w:szCs w:val="24"/>
              </w:rPr>
              <w:t>informacje</w:t>
            </w:r>
            <w:proofErr w:type="gramEnd"/>
            <w:r w:rsidRPr="00835753">
              <w:rPr>
                <w:rFonts w:ascii="Times New Roman" w:hAnsi="Times New Roman"/>
                <w:sz w:val="24"/>
                <w:szCs w:val="24"/>
              </w:rPr>
              <w:t xml:space="preserve"> na temat środków, które instytucja wdroży</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cel</w:t>
            </w:r>
            <w:r w:rsidRPr="00835753">
              <w:rPr>
                <w:rFonts w:ascii="Times New Roman" w:hAnsi="Times New Roman"/>
                <w:sz w:val="24"/>
                <w:szCs w:val="24"/>
              </w:rPr>
              <w:t>u dostosowania wynagrodzenia zmiennego</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 xml:space="preserve">ypadku uzyskania niezadowalających wskaźników wynikowych, uwzględniając </w:t>
            </w:r>
            <w:r w:rsidRPr="00835753">
              <w:rPr>
                <w:rFonts w:ascii="Times New Roman" w:hAnsi="Times New Roman"/>
                <w:sz w:val="24"/>
                <w:szCs w:val="24"/>
              </w:rPr>
              <w:lastRenderedPageBreak/>
              <w:t>informacje na temat kryteriów stosowanych przez instytucję do ustalania wartości wskaźników wynikowych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syt</w:t>
            </w:r>
            <w:r w:rsidRPr="00835753">
              <w:rPr>
                <w:rFonts w:ascii="Times New Roman" w:hAnsi="Times New Roman"/>
                <w:sz w:val="24"/>
                <w:szCs w:val="24"/>
              </w:rPr>
              <w:t>uacji,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któ</w:t>
            </w:r>
            <w:r w:rsidRPr="00835753">
              <w:rPr>
                <w:rFonts w:ascii="Times New Roman" w:hAnsi="Times New Roman"/>
                <w:sz w:val="24"/>
                <w:szCs w:val="24"/>
              </w:rPr>
              <w:t>rej wskaźniki wynikowe uznano za „niezadowalające”.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art</w:t>
            </w:r>
            <w:r w:rsidRPr="00835753">
              <w:rPr>
                <w:rFonts w:ascii="Times New Roman" w:hAnsi="Times New Roman"/>
                <w:sz w:val="24"/>
                <w:szCs w:val="24"/>
              </w:rPr>
              <w:t>.</w:t>
            </w:r>
            <w:r w:rsidR="00835753" w:rsidRPr="00835753">
              <w:rPr>
                <w:rFonts w:ascii="Times New Roman" w:hAnsi="Times New Roman"/>
                <w:sz w:val="24"/>
                <w:szCs w:val="24"/>
              </w:rPr>
              <w:t> </w:t>
            </w:r>
            <w:r w:rsidRPr="00835753">
              <w:rPr>
                <w:rFonts w:ascii="Times New Roman" w:hAnsi="Times New Roman"/>
                <w:sz w:val="24"/>
                <w:szCs w:val="24"/>
              </w:rPr>
              <w:t>94 ust.</w:t>
            </w:r>
            <w:r w:rsidR="00835753" w:rsidRPr="00835753">
              <w:rPr>
                <w:rFonts w:ascii="Times New Roman" w:hAnsi="Times New Roman"/>
                <w:sz w:val="24"/>
                <w:szCs w:val="24"/>
              </w:rPr>
              <w:t> </w:t>
            </w:r>
            <w:r w:rsidRPr="00835753">
              <w:rPr>
                <w:rFonts w:ascii="Times New Roman" w:hAnsi="Times New Roman"/>
                <w:sz w:val="24"/>
                <w:szCs w:val="24"/>
              </w:rPr>
              <w:t>1 lit.</w:t>
            </w:r>
            <w:r w:rsidR="00835753" w:rsidRPr="00835753">
              <w:rPr>
                <w:rFonts w:ascii="Times New Roman" w:hAnsi="Times New Roman"/>
                <w:sz w:val="24"/>
                <w:szCs w:val="24"/>
              </w:rPr>
              <w:t> </w:t>
            </w:r>
            <w:r w:rsidRPr="00835753">
              <w:rPr>
                <w:rFonts w:ascii="Times New Roman" w:hAnsi="Times New Roman"/>
                <w:sz w:val="24"/>
                <w:szCs w:val="24"/>
              </w:rPr>
              <w:t>n) CRD wynagrodzenie zmienne jest wypłacane lub przysługuje do niego uprawnienie tylko wówczas, gdy jest to uzasadnione na podstawie wyników instytucji, danej jednostki organizacyjnej</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zai</w:t>
            </w:r>
            <w:r w:rsidRPr="00835753">
              <w:rPr>
                <w:rFonts w:ascii="Times New Roman" w:hAnsi="Times New Roman"/>
                <w:sz w:val="24"/>
                <w:szCs w:val="24"/>
              </w:rPr>
              <w:t>nteresowanego pracownika. Instytucje objaśniają kryteria/progi, na podstawie których stwierdzono, że wyniki są niezadowalające, wskutek czego wypłacenie wynagrodzenia zmiennego lub przyznanie uprawnienia do takiego wynagrodzenia uznano za nieuzasadnione.</w:t>
            </w:r>
          </w:p>
        </w:tc>
      </w:tr>
      <w:tr w:rsidR="009360C9" w:rsidRPr="00835753"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835753" w:rsidRDefault="00933038" w:rsidP="006D005E">
            <w:pPr>
              <w:pStyle w:val="Applicationdirecte"/>
              <w:spacing w:before="0" w:after="0"/>
              <w:jc w:val="center"/>
            </w:pPr>
            <w:proofErr w:type="gramStart"/>
            <w:r w:rsidRPr="00835753">
              <w:lastRenderedPageBreak/>
              <w:t>f</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68533FB8" w:rsidR="009360C9" w:rsidRPr="00835753" w:rsidRDefault="009360C9" w:rsidP="00155C96">
            <w:pPr>
              <w:spacing w:before="60" w:after="120"/>
              <w:jc w:val="both"/>
              <w:rPr>
                <w:rFonts w:ascii="Times New Roman" w:hAnsi="Times New Roman"/>
                <w:sz w:val="24"/>
              </w:rPr>
            </w:pPr>
            <w:r w:rsidRPr="00835753">
              <w:rPr>
                <w:rFonts w:ascii="Times New Roman" w:hAnsi="Times New Roman"/>
                <w:sz w:val="24"/>
              </w:rPr>
              <w:t>Opis sposobów,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jak</w:t>
            </w:r>
            <w:r w:rsidRPr="00835753">
              <w:rPr>
                <w:rFonts w:ascii="Times New Roman" w:hAnsi="Times New Roman"/>
                <w:sz w:val="24"/>
              </w:rPr>
              <w:t>ie instytucja zamierza dostosować poziom wynagrodzenia, aby należycie uwzględnić wyniki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per</w:t>
            </w:r>
            <w:r w:rsidRPr="00835753">
              <w:rPr>
                <w:rFonts w:ascii="Times New Roman" w:hAnsi="Times New Roman"/>
                <w:sz w:val="24"/>
              </w:rPr>
              <w:t>spektywie długoterminowej.</w:t>
            </w:r>
          </w:p>
          <w:p w14:paraId="14015C12" w14:textId="77777777" w:rsidR="009360C9" w:rsidRPr="00835753" w:rsidRDefault="009360C9" w:rsidP="00155C96">
            <w:pPr>
              <w:spacing w:before="60" w:after="120"/>
              <w:jc w:val="both"/>
              <w:rPr>
                <w:rFonts w:ascii="Times New Roman" w:hAnsi="Times New Roman" w:cs="Times New Roman"/>
                <w:sz w:val="24"/>
              </w:rPr>
            </w:pPr>
            <w:r w:rsidRPr="00835753">
              <w:rPr>
                <w:rFonts w:ascii="Times New Roman" w:hAnsi="Times New Roman"/>
                <w:sz w:val="24"/>
              </w:rPr>
              <w:t>Ujawniane informacje obejmują:</w:t>
            </w:r>
          </w:p>
          <w:p w14:paraId="1335D35E" w14:textId="640CA86E" w:rsidR="009360C9" w:rsidRPr="00835753" w:rsidRDefault="009360C9" w:rsidP="009360C9">
            <w:pPr>
              <w:pStyle w:val="ListParagraph"/>
              <w:numPr>
                <w:ilvl w:val="0"/>
                <w:numId w:val="64"/>
              </w:numPr>
              <w:spacing w:before="60" w:after="120"/>
              <w:jc w:val="both"/>
              <w:rPr>
                <w:rFonts w:ascii="Times New Roman" w:hAnsi="Times New Roman"/>
                <w:sz w:val="24"/>
                <w:szCs w:val="24"/>
              </w:rPr>
            </w:pPr>
            <w:proofErr w:type="gramStart"/>
            <w:r w:rsidRPr="00835753">
              <w:rPr>
                <w:rFonts w:ascii="Times New Roman" w:hAnsi="Times New Roman"/>
                <w:sz w:val="24"/>
                <w:szCs w:val="24"/>
              </w:rPr>
              <w:t>przegląd</w:t>
            </w:r>
            <w:proofErr w:type="gramEnd"/>
            <w:r w:rsidRPr="00835753">
              <w:rPr>
                <w:rFonts w:ascii="Times New Roman" w:hAnsi="Times New Roman"/>
                <w:sz w:val="24"/>
                <w:szCs w:val="24"/>
              </w:rPr>
              <w:t xml:space="preserve"> polityki instytucji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zak</w:t>
            </w:r>
            <w:r w:rsidRPr="00835753">
              <w:rPr>
                <w:rFonts w:ascii="Times New Roman" w:hAnsi="Times New Roman"/>
                <w:sz w:val="24"/>
                <w:szCs w:val="24"/>
              </w:rPr>
              <w:t>resie odraczania płatności, wypłaty</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ins</w:t>
            </w:r>
            <w:r w:rsidRPr="00835753">
              <w:rPr>
                <w:rFonts w:ascii="Times New Roman" w:hAnsi="Times New Roman"/>
                <w:sz w:val="24"/>
                <w:szCs w:val="24"/>
              </w:rPr>
              <w:t>trumentach, okresów zatrzymania wynagrodzenia zmiennego oraz nabywania uprawnień do takiego wynagrodzenia,</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tym w</w:t>
            </w:r>
            <w:r w:rsidR="00835753">
              <w:rPr>
                <w:rFonts w:ascii="Times New Roman" w:hAnsi="Times New Roman"/>
                <w:sz w:val="24"/>
                <w:szCs w:val="24"/>
              </w:rPr>
              <w:t> </w:t>
            </w:r>
            <w:r w:rsidR="00835753" w:rsidRPr="00835753">
              <w:rPr>
                <w:rFonts w:ascii="Times New Roman" w:hAnsi="Times New Roman"/>
                <w:sz w:val="24"/>
                <w:szCs w:val="24"/>
              </w:rPr>
              <w:t>prz</w:t>
            </w:r>
            <w:r w:rsidRPr="00835753">
              <w:rPr>
                <w:rFonts w:ascii="Times New Roman" w:hAnsi="Times New Roman"/>
                <w:sz w:val="24"/>
                <w:szCs w:val="24"/>
              </w:rPr>
              <w:t>ypadkach, gdy jest ono różne dla poszczególnych pracowników lub kategorii pracowników;</w:t>
            </w:r>
          </w:p>
          <w:p w14:paraId="12FA72CD" w14:textId="0653831A" w:rsidR="009360C9" w:rsidRPr="00835753" w:rsidRDefault="009360C9" w:rsidP="009360C9">
            <w:pPr>
              <w:pStyle w:val="ListParagraph"/>
              <w:numPr>
                <w:ilvl w:val="0"/>
                <w:numId w:val="64"/>
              </w:numPr>
              <w:spacing w:before="60" w:after="120"/>
              <w:jc w:val="both"/>
              <w:rPr>
                <w:rFonts w:ascii="Times New Roman" w:hAnsi="Times New Roman"/>
                <w:sz w:val="24"/>
                <w:szCs w:val="24"/>
              </w:rPr>
            </w:pPr>
            <w:proofErr w:type="gramStart"/>
            <w:r w:rsidRPr="00835753">
              <w:rPr>
                <w:rFonts w:ascii="Times New Roman" w:hAnsi="Times New Roman"/>
                <w:sz w:val="24"/>
                <w:szCs w:val="24"/>
              </w:rPr>
              <w:t>informacje</w:t>
            </w:r>
            <w:proofErr w:type="gramEnd"/>
            <w:r w:rsidRPr="00835753">
              <w:rPr>
                <w:rFonts w:ascii="Times New Roman" w:hAnsi="Times New Roman"/>
                <w:sz w:val="24"/>
                <w:szCs w:val="24"/>
              </w:rPr>
              <w:t xml:space="preserve"> na temat stosowanych przez instytucję kryteriów dokonywania korekt </w:t>
            </w:r>
            <w:r w:rsidRPr="00835753">
              <w:rPr>
                <w:rFonts w:ascii="Times New Roman" w:hAnsi="Times New Roman"/>
                <w:i/>
                <w:sz w:val="24"/>
                <w:szCs w:val="24"/>
              </w:rPr>
              <w:t>ex post</w:t>
            </w:r>
            <w:r w:rsidRPr="00835753">
              <w:rPr>
                <w:rFonts w:ascii="Times New Roman" w:hAnsi="Times New Roman"/>
                <w:sz w:val="24"/>
                <w:szCs w:val="24"/>
              </w:rPr>
              <w:t xml:space="preserve"> (zmniejszenie wysokości wypłaty</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okr</w:t>
            </w:r>
            <w:r w:rsidRPr="00835753">
              <w:rPr>
                <w:rFonts w:ascii="Times New Roman" w:hAnsi="Times New Roman"/>
                <w:sz w:val="24"/>
                <w:szCs w:val="24"/>
              </w:rPr>
              <w:t>esie odroczenia (</w:t>
            </w:r>
            <w:r w:rsidRPr="00835753">
              <w:rPr>
                <w:rFonts w:ascii="Times New Roman" w:hAnsi="Times New Roman"/>
                <w:i/>
                <w:sz w:val="24"/>
                <w:szCs w:val="24"/>
              </w:rPr>
              <w:t>malus</w:t>
            </w:r>
            <w:r w:rsidRPr="00835753">
              <w:rPr>
                <w:rFonts w:ascii="Times New Roman" w:hAnsi="Times New Roman"/>
                <w:sz w:val="24"/>
                <w:szCs w:val="24"/>
              </w:rPr>
              <w:t>)</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ode</w:t>
            </w:r>
            <w:r w:rsidRPr="00835753">
              <w:rPr>
                <w:rFonts w:ascii="Times New Roman" w:hAnsi="Times New Roman"/>
                <w:sz w:val="24"/>
                <w:szCs w:val="24"/>
              </w:rPr>
              <w:t>branie wcześniej wypłaconej premii (</w:t>
            </w:r>
            <w:r w:rsidRPr="00835753">
              <w:rPr>
                <w:rFonts w:ascii="Times New Roman" w:hAnsi="Times New Roman"/>
                <w:i/>
                <w:sz w:val="24"/>
                <w:szCs w:val="24"/>
              </w:rPr>
              <w:t>clawback</w:t>
            </w:r>
            <w:r w:rsidRPr="00835753">
              <w:rPr>
                <w:rFonts w:ascii="Times New Roman" w:hAnsi="Times New Roman"/>
                <w:sz w:val="24"/>
                <w:szCs w:val="24"/>
              </w:rPr>
              <w:t>), jeżeli zezwala na to prawo krajowe);</w:t>
            </w:r>
          </w:p>
          <w:p w14:paraId="2D12D80C" w14:textId="5A5F4749" w:rsidR="009360C9" w:rsidRPr="00835753" w:rsidRDefault="009360C9" w:rsidP="009360C9">
            <w:pPr>
              <w:pStyle w:val="ListParagraph"/>
              <w:numPr>
                <w:ilvl w:val="0"/>
                <w:numId w:val="64"/>
              </w:numPr>
              <w:spacing w:before="60" w:after="120"/>
              <w:jc w:val="both"/>
              <w:rPr>
                <w:rFonts w:ascii="Times New Roman" w:hAnsi="Times New Roman"/>
                <w:b/>
                <w:sz w:val="24"/>
                <w:szCs w:val="24"/>
              </w:rPr>
            </w:pPr>
            <w:proofErr w:type="gramStart"/>
            <w:r w:rsidRPr="00835753">
              <w:rPr>
                <w:rFonts w:ascii="Times New Roman" w:hAnsi="Times New Roman"/>
                <w:sz w:val="24"/>
                <w:szCs w:val="24"/>
              </w:rPr>
              <w:t>w</w:t>
            </w:r>
            <w:proofErr w:type="gramEnd"/>
            <w:r w:rsidRPr="00835753">
              <w:rPr>
                <w:rFonts w:ascii="Times New Roman" w:hAnsi="Times New Roman"/>
                <w:sz w:val="24"/>
                <w:szCs w:val="24"/>
              </w:rPr>
              <w:t xml:space="preserve"> stosownych przypadkach – wymogi</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zak</w:t>
            </w:r>
            <w:r w:rsidRPr="00835753">
              <w:rPr>
                <w:rFonts w:ascii="Times New Roman" w:hAnsi="Times New Roman"/>
                <w:sz w:val="24"/>
                <w:szCs w:val="24"/>
              </w:rPr>
              <w:t>resie posiadania udziałów</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ins</w:t>
            </w:r>
            <w:r w:rsidRPr="00835753">
              <w:rPr>
                <w:rFonts w:ascii="Times New Roman" w:hAnsi="Times New Roman"/>
                <w:sz w:val="24"/>
                <w:szCs w:val="24"/>
              </w:rPr>
              <w:t>tytucji, które mogą zostać nałożone na określony personel.</w:t>
            </w:r>
          </w:p>
        </w:tc>
      </w:tr>
      <w:tr w:rsidR="009360C9" w:rsidRPr="00835753"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835753" w:rsidRDefault="00933038" w:rsidP="006D005E">
            <w:pPr>
              <w:pStyle w:val="Applicationdirecte"/>
              <w:spacing w:before="0" w:after="0"/>
              <w:jc w:val="center"/>
            </w:pPr>
            <w:proofErr w:type="gramStart"/>
            <w:r w:rsidRPr="00835753">
              <w:t>g</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247E31E4" w:rsidR="009360C9" w:rsidRPr="00835753" w:rsidRDefault="009360C9" w:rsidP="00155C96">
            <w:pPr>
              <w:spacing w:before="60" w:after="120"/>
              <w:jc w:val="both"/>
              <w:rPr>
                <w:rFonts w:ascii="Times New Roman" w:hAnsi="Times New Roman"/>
                <w:sz w:val="24"/>
              </w:rPr>
            </w:pPr>
            <w:r w:rsidRPr="00835753">
              <w:rPr>
                <w:rFonts w:ascii="Times New Roman" w:hAnsi="Times New Roman"/>
                <w:sz w:val="24"/>
              </w:rPr>
              <w:t>Opis głównych parametrów oraz uzasadnienie wprowadzenia wszelkiego rodzaju systemu elementów zmiennych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wsz</w:t>
            </w:r>
            <w:r w:rsidRPr="00835753">
              <w:rPr>
                <w:rFonts w:ascii="Times New Roman" w:hAnsi="Times New Roman"/>
                <w:sz w:val="24"/>
              </w:rPr>
              <w:t>elkich innych świadczeń niepieniężnych,</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450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f) CRR. Ujawniane informacje obejmują:</w:t>
            </w:r>
          </w:p>
          <w:p w14:paraId="3A414D6B" w14:textId="4C59A7C6" w:rsidR="009360C9" w:rsidRPr="00835753" w:rsidRDefault="009360C9" w:rsidP="009360C9">
            <w:pPr>
              <w:pStyle w:val="ListParagraph"/>
              <w:numPr>
                <w:ilvl w:val="0"/>
                <w:numId w:val="64"/>
              </w:numPr>
              <w:spacing w:before="60" w:after="120"/>
              <w:jc w:val="both"/>
              <w:rPr>
                <w:rFonts w:ascii="Times New Roman" w:hAnsi="Times New Roman"/>
                <w:sz w:val="24"/>
                <w:szCs w:val="24"/>
              </w:rPr>
            </w:pPr>
            <w:proofErr w:type="gramStart"/>
            <w:r w:rsidRPr="00835753">
              <w:rPr>
                <w:rFonts w:ascii="Times New Roman" w:hAnsi="Times New Roman"/>
                <w:sz w:val="24"/>
                <w:szCs w:val="24"/>
              </w:rPr>
              <w:t>informacje</w:t>
            </w:r>
            <w:proofErr w:type="gramEnd"/>
            <w:r w:rsidRPr="00835753">
              <w:rPr>
                <w:rFonts w:ascii="Times New Roman" w:hAnsi="Times New Roman"/>
                <w:sz w:val="24"/>
                <w:szCs w:val="24"/>
              </w:rPr>
              <w:t xml:space="preserve"> na temat wskaźników ryzyka szczególnego/wskaźników wynikowych stosowanych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cel</w:t>
            </w:r>
            <w:r w:rsidRPr="00835753">
              <w:rPr>
                <w:rFonts w:ascii="Times New Roman" w:hAnsi="Times New Roman"/>
                <w:sz w:val="24"/>
                <w:szCs w:val="24"/>
              </w:rPr>
              <w:t>u zidentyfikowania elementów zmiennych wynagrodzenia oraz na temat kryteriów stosowanych</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cel</w:t>
            </w:r>
            <w:r w:rsidRPr="00835753">
              <w:rPr>
                <w:rFonts w:ascii="Times New Roman" w:hAnsi="Times New Roman"/>
                <w:sz w:val="24"/>
                <w:szCs w:val="24"/>
              </w:rPr>
              <w:t>u ustalenia zależności między różnymi rodzajami przyznawanych instrumentów, uwzględniając akcje, równoważne udziały własnościowe, instrumenty związane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akc</w:t>
            </w:r>
            <w:r w:rsidRPr="00835753">
              <w:rPr>
                <w:rFonts w:ascii="Times New Roman" w:hAnsi="Times New Roman"/>
                <w:sz w:val="24"/>
                <w:szCs w:val="24"/>
              </w:rPr>
              <w:t>jami, równoważne instrumenty niepieniężne, opcje</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inn</w:t>
            </w:r>
            <w:r w:rsidRPr="00835753">
              <w:rPr>
                <w:rFonts w:ascii="Times New Roman" w:hAnsi="Times New Roman"/>
                <w:sz w:val="24"/>
                <w:szCs w:val="24"/>
              </w:rPr>
              <w:t>e instrumenty.</w:t>
            </w:r>
          </w:p>
        </w:tc>
      </w:tr>
      <w:tr w:rsidR="009360C9" w:rsidRPr="00835753"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835753" w:rsidRDefault="00EA6540" w:rsidP="006D005E">
            <w:pPr>
              <w:pStyle w:val="Applicationdirecte"/>
              <w:spacing w:before="0" w:after="0"/>
              <w:jc w:val="center"/>
            </w:pPr>
            <w:proofErr w:type="gramStart"/>
            <w:r w:rsidRPr="00835753">
              <w:t>h</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1A7C9F2D" w:rsidR="009360C9" w:rsidRPr="00835753" w:rsidRDefault="009360C9" w:rsidP="00155C96">
            <w:pPr>
              <w:spacing w:before="60" w:after="120"/>
              <w:jc w:val="both"/>
              <w:rPr>
                <w:rFonts w:ascii="Times New Roman" w:hAnsi="Times New Roman"/>
                <w:sz w:val="24"/>
              </w:rPr>
            </w:pPr>
            <w:r w:rsidRPr="00835753">
              <w:rPr>
                <w:rFonts w:ascii="Times New Roman" w:hAnsi="Times New Roman"/>
                <w:sz w:val="24"/>
              </w:rPr>
              <w:t>Na żądanie właściwego państwa członkowskiego lub właściwego organu – łączne wynagrodzenie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ziale na każdego członka organu zarządzającego lub kadry kierowniczej wyższego szczebla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450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j) CRR.</w:t>
            </w:r>
          </w:p>
        </w:tc>
      </w:tr>
      <w:tr w:rsidR="009360C9" w:rsidRPr="00835753"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393A99CE" w:rsidR="009360C9" w:rsidRPr="00835753" w:rsidRDefault="00EA6540" w:rsidP="006D005E">
            <w:pPr>
              <w:pStyle w:val="Applicationdirecte"/>
              <w:spacing w:before="0" w:after="0"/>
              <w:jc w:val="center"/>
            </w:pPr>
            <w:r w:rsidRPr="00835753">
              <w:t>(i)</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5C8D903E" w:rsidR="009360C9" w:rsidRPr="00835753" w:rsidRDefault="009360C9" w:rsidP="00155C96">
            <w:pPr>
              <w:spacing w:before="60" w:after="120"/>
              <w:jc w:val="both"/>
              <w:rPr>
                <w:rFonts w:ascii="Times New Roman" w:hAnsi="Times New Roman"/>
                <w:sz w:val="24"/>
              </w:rPr>
            </w:pPr>
            <w:r w:rsidRPr="00835753">
              <w:rPr>
                <w:rFonts w:ascii="Times New Roman" w:hAnsi="Times New Roman"/>
                <w:sz w:val="24"/>
              </w:rPr>
              <w:t>Informacje na temat tego, czy instytucja korzysta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ods</w:t>
            </w:r>
            <w:r w:rsidRPr="00835753">
              <w:rPr>
                <w:rFonts w:ascii="Times New Roman" w:hAnsi="Times New Roman"/>
                <w:sz w:val="24"/>
              </w:rPr>
              <w:t>tępstwa określonego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3 CRD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450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k) CRR.</w:t>
            </w:r>
          </w:p>
          <w:p w14:paraId="7F8854DF" w14:textId="3B7D8BA5" w:rsidR="009360C9" w:rsidRPr="00835753" w:rsidRDefault="009360C9" w:rsidP="00155C96">
            <w:pPr>
              <w:spacing w:before="60" w:after="120"/>
              <w:jc w:val="both"/>
              <w:rPr>
                <w:rFonts w:ascii="Times New Roman" w:hAnsi="Times New Roman"/>
                <w:sz w:val="24"/>
              </w:rPr>
            </w:pPr>
            <w:r w:rsidRPr="00835753">
              <w:rPr>
                <w:rFonts w:ascii="Times New Roman" w:hAnsi="Times New Roman"/>
                <w:sz w:val="24"/>
              </w:rPr>
              <w:lastRenderedPageBreak/>
              <w:t>Do celów niniejszej litery instytucje korzystające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iego odstępstwa wskazują, czy odbywa się to na podstawie przepisów art.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3 lit.</w:t>
            </w:r>
            <w:r w:rsidR="00835753" w:rsidRPr="00835753">
              <w:rPr>
                <w:rFonts w:ascii="Times New Roman" w:hAnsi="Times New Roman"/>
                <w:sz w:val="24"/>
              </w:rPr>
              <w:t> </w:t>
            </w:r>
            <w:r w:rsidRPr="00835753">
              <w:rPr>
                <w:rFonts w:ascii="Times New Roman" w:hAnsi="Times New Roman"/>
                <w:sz w:val="24"/>
              </w:rPr>
              <w:t>a) lub b) CRD. Instytucje wskazują również,</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których wymogów dotyczących wynagrodzeń stosują odstępstwo/odstępstwa (tj. art.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l) lub m) lub o) CRD), jaka jest liczba pracowników korzystających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teg</w:t>
            </w:r>
            <w:r w:rsidRPr="00835753">
              <w:rPr>
                <w:rFonts w:ascii="Times New Roman" w:hAnsi="Times New Roman"/>
                <w:sz w:val="24"/>
              </w:rPr>
              <w:t>o odstępstwa/tych odstępstw oraz jakie jest ich łączne wynagrodzenie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ziałem na wynagrodzenie stałe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zmi</w:t>
            </w:r>
            <w:r w:rsidRPr="00835753">
              <w:rPr>
                <w:rFonts w:ascii="Times New Roman" w:hAnsi="Times New Roman"/>
                <w:sz w:val="24"/>
              </w:rPr>
              <w:t>enne.</w:t>
            </w:r>
          </w:p>
        </w:tc>
      </w:tr>
      <w:tr w:rsidR="009360C9" w:rsidRPr="00835753"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835753" w:rsidRDefault="00EA6540" w:rsidP="006D005E">
            <w:pPr>
              <w:pStyle w:val="Applicationdirecte"/>
              <w:spacing w:before="0" w:after="0"/>
              <w:jc w:val="center"/>
            </w:pPr>
            <w:proofErr w:type="gramStart"/>
            <w:r w:rsidRPr="00835753">
              <w:lastRenderedPageBreak/>
              <w:t>j</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66F3EA44" w:rsidR="009360C9" w:rsidRPr="00835753" w:rsidRDefault="009360C9" w:rsidP="00155C96">
            <w:pPr>
              <w:spacing w:before="60" w:after="120"/>
              <w:jc w:val="both"/>
              <w:rPr>
                <w:rFonts w:ascii="Times New Roman" w:hAnsi="Times New Roman"/>
                <w:sz w:val="24"/>
              </w:rPr>
            </w:pPr>
            <w:r w:rsidRPr="00835753">
              <w:rPr>
                <w:rFonts w:ascii="Times New Roman" w:hAnsi="Times New Roman"/>
                <w:sz w:val="24"/>
              </w:rPr>
              <w:t>Duże instytucje ujawniają informacje ilościowe dotyczące łącznego wynagrodzenia członków ich organu zarządzającego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ziale na członków wykonawczych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nie</w:t>
            </w:r>
            <w:r w:rsidRPr="00835753">
              <w:rPr>
                <w:rFonts w:ascii="Times New Roman" w:hAnsi="Times New Roman"/>
                <w:sz w:val="24"/>
              </w:rPr>
              <w:t>wykonawczych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450 ust.</w:t>
            </w:r>
            <w:r w:rsidR="00835753" w:rsidRPr="00835753">
              <w:rPr>
                <w:rFonts w:ascii="Times New Roman" w:hAnsi="Times New Roman"/>
                <w:sz w:val="24"/>
              </w:rPr>
              <w:t> </w:t>
            </w:r>
            <w:r w:rsidRPr="00835753">
              <w:rPr>
                <w:rFonts w:ascii="Times New Roman" w:hAnsi="Times New Roman"/>
                <w:sz w:val="24"/>
              </w:rPr>
              <w:t>2 CRR.</w:t>
            </w:r>
          </w:p>
        </w:tc>
      </w:tr>
    </w:tbl>
    <w:p w14:paraId="093C4B50" w14:textId="77777777" w:rsidR="009360C9" w:rsidRPr="00835753" w:rsidRDefault="009360C9" w:rsidP="009360C9">
      <w:pPr>
        <w:pStyle w:val="Titlelevel2"/>
        <w:spacing w:before="120" w:after="120"/>
        <w:rPr>
          <w:rFonts w:ascii="Times New Roman" w:hAnsi="Times New Roman" w:cs="Times New Roman"/>
          <w:b/>
          <w:color w:val="auto"/>
          <w:sz w:val="24"/>
        </w:rPr>
      </w:pPr>
    </w:p>
    <w:p w14:paraId="6921F53B" w14:textId="77777777" w:rsidR="009360C9" w:rsidRPr="00835753" w:rsidRDefault="009360C9" w:rsidP="009360C9">
      <w:pPr>
        <w:pStyle w:val="Titlelevel2"/>
        <w:spacing w:before="120" w:after="120"/>
        <w:rPr>
          <w:rFonts w:ascii="Times New Roman" w:hAnsi="Times New Roman" w:cs="Times New Roman"/>
          <w:b/>
          <w:color w:val="auto"/>
          <w:sz w:val="24"/>
        </w:rPr>
      </w:pPr>
    </w:p>
    <w:p w14:paraId="56C9C8FA" w14:textId="77777777" w:rsidR="009360C9" w:rsidRPr="00835753" w:rsidRDefault="009360C9" w:rsidP="009360C9">
      <w:pPr>
        <w:pStyle w:val="Titlelevel2"/>
        <w:spacing w:before="120" w:after="120"/>
        <w:rPr>
          <w:rFonts w:ascii="Times New Roman" w:hAnsi="Times New Roman" w:cs="Times New Roman"/>
          <w:b/>
          <w:color w:val="auto"/>
          <w:sz w:val="24"/>
        </w:rPr>
      </w:pPr>
    </w:p>
    <w:p w14:paraId="162FF1EB" w14:textId="77777777" w:rsidR="009360C9" w:rsidRPr="00835753" w:rsidRDefault="009360C9" w:rsidP="009360C9">
      <w:pPr>
        <w:pStyle w:val="Titlelevel2"/>
        <w:spacing w:before="120" w:after="120"/>
        <w:rPr>
          <w:rFonts w:ascii="Times New Roman" w:hAnsi="Times New Roman" w:cs="Times New Roman"/>
          <w:b/>
          <w:color w:val="auto"/>
          <w:sz w:val="24"/>
        </w:rPr>
      </w:pPr>
    </w:p>
    <w:p w14:paraId="486088B5" w14:textId="56742717" w:rsidR="009360C9" w:rsidRPr="00835753" w:rsidRDefault="00D95507" w:rsidP="009360C9">
      <w:pPr>
        <w:pStyle w:val="Titlelevel2"/>
        <w:spacing w:before="120" w:after="120"/>
        <w:rPr>
          <w:rFonts w:ascii="Times New Roman" w:hAnsi="Times New Roman" w:cs="Times New Roman"/>
          <w:color w:val="auto"/>
          <w:sz w:val="24"/>
        </w:rPr>
      </w:pPr>
      <w:r w:rsidRPr="00835753">
        <w:rPr>
          <w:rFonts w:ascii="Times New Roman" w:hAnsi="Times New Roman"/>
          <w:b/>
          <w:color w:val="auto"/>
          <w:sz w:val="24"/>
        </w:rPr>
        <w:t xml:space="preserve">Wzór EU REM1 – Wynagrodzenie przyznane za dany rok obrachunkowy. </w:t>
      </w:r>
      <w:r w:rsidRPr="00835753">
        <w:rPr>
          <w:rFonts w:ascii="Times New Roman" w:hAnsi="Times New Roman"/>
          <w:color w:val="auto"/>
          <w:sz w:val="24"/>
        </w:rPr>
        <w:t>Format stały</w:t>
      </w:r>
    </w:p>
    <w:p w14:paraId="3A695468" w14:textId="375B4566" w:rsidR="009360C9" w:rsidRPr="00835753"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35753">
        <w:rPr>
          <w:rFonts w:ascii="Times New Roman" w:hAnsi="Times New Roman"/>
          <w:bCs w:val="0"/>
          <w:color w:val="auto"/>
          <w:sz w:val="24"/>
        </w:rPr>
        <w:t>Instytucje stosują poniższe instrukcje zawarte</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nin</w:t>
      </w:r>
      <w:r w:rsidRPr="00835753">
        <w:rPr>
          <w:rFonts w:ascii="Times New Roman" w:hAnsi="Times New Roman"/>
          <w:bCs w:val="0"/>
          <w:color w:val="auto"/>
          <w:sz w:val="24"/>
        </w:rPr>
        <w:t>iejszym załączniku</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cel</w:t>
      </w:r>
      <w:r w:rsidRPr="00835753">
        <w:rPr>
          <w:rFonts w:ascii="Times New Roman" w:hAnsi="Times New Roman"/>
          <w:bCs w:val="0"/>
          <w:color w:val="auto"/>
          <w:sz w:val="24"/>
        </w:rPr>
        <w:t>u wypełnienia wzoru EU REM1 zamieszczonego</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zał</w:t>
      </w:r>
      <w:r w:rsidRPr="00835753">
        <w:rPr>
          <w:rFonts w:ascii="Times New Roman" w:hAnsi="Times New Roman"/>
          <w:bCs w:val="0"/>
          <w:color w:val="auto"/>
          <w:sz w:val="24"/>
        </w:rPr>
        <w:t>ączniku XXXIII do niniejszego rozporządzenia wykonawczego zgodnie</w:t>
      </w:r>
      <w:r w:rsidR="00835753" w:rsidRPr="00835753">
        <w:rPr>
          <w:rFonts w:ascii="Times New Roman" w:hAnsi="Times New Roman"/>
          <w:bCs w:val="0"/>
          <w:color w:val="auto"/>
          <w:sz w:val="24"/>
        </w:rPr>
        <w:t xml:space="preserve"> z</w:t>
      </w:r>
      <w:r w:rsidR="00835753">
        <w:rPr>
          <w:rFonts w:ascii="Times New Roman" w:hAnsi="Times New Roman"/>
          <w:bCs w:val="0"/>
          <w:color w:val="auto"/>
          <w:sz w:val="24"/>
        </w:rPr>
        <w:t> </w:t>
      </w:r>
      <w:r w:rsidR="00835753" w:rsidRPr="00835753">
        <w:rPr>
          <w:rFonts w:ascii="Times New Roman" w:hAnsi="Times New Roman"/>
          <w:bCs w:val="0"/>
          <w:color w:val="auto"/>
          <w:sz w:val="24"/>
        </w:rPr>
        <w:t>art</w:t>
      </w:r>
      <w:r w:rsidRPr="00835753">
        <w:rPr>
          <w:rFonts w:ascii="Times New Roman" w:hAnsi="Times New Roman"/>
          <w:bCs w:val="0"/>
          <w:color w:val="auto"/>
          <w:sz w:val="24"/>
        </w:rPr>
        <w:t>.</w:t>
      </w:r>
      <w:r w:rsidR="00835753" w:rsidRPr="00835753">
        <w:rPr>
          <w:rFonts w:ascii="Times New Roman" w:hAnsi="Times New Roman"/>
          <w:bCs w:val="0"/>
          <w:color w:val="auto"/>
          <w:sz w:val="24"/>
        </w:rPr>
        <w:t> </w:t>
      </w:r>
      <w:r w:rsidRPr="00835753">
        <w:rPr>
          <w:rFonts w:ascii="Times New Roman" w:hAnsi="Times New Roman"/>
          <w:bCs w:val="0"/>
          <w:color w:val="auto"/>
          <w:sz w:val="24"/>
        </w:rPr>
        <w:t>450 ust.</w:t>
      </w:r>
      <w:r w:rsidR="00835753" w:rsidRPr="00835753">
        <w:rPr>
          <w:rFonts w:ascii="Times New Roman" w:hAnsi="Times New Roman"/>
          <w:bCs w:val="0"/>
          <w:color w:val="auto"/>
          <w:sz w:val="24"/>
        </w:rPr>
        <w:t> </w:t>
      </w:r>
      <w:r w:rsidRPr="00835753">
        <w:rPr>
          <w:rFonts w:ascii="Times New Roman" w:hAnsi="Times New Roman"/>
          <w:bCs w:val="0"/>
          <w:color w:val="auto"/>
          <w:sz w:val="24"/>
        </w:rPr>
        <w:t>1 lit.</w:t>
      </w:r>
      <w:r w:rsidR="00835753" w:rsidRPr="00835753">
        <w:rPr>
          <w:rFonts w:ascii="Times New Roman" w:hAnsi="Times New Roman"/>
          <w:bCs w:val="0"/>
          <w:color w:val="auto"/>
          <w:sz w:val="24"/>
        </w:rPr>
        <w:t> </w:t>
      </w:r>
      <w:r w:rsidRPr="00835753">
        <w:rPr>
          <w:rFonts w:ascii="Times New Roman" w:hAnsi="Times New Roman"/>
          <w:bCs w:val="0"/>
          <w:color w:val="auto"/>
          <w:sz w:val="24"/>
        </w:rPr>
        <w:t>h) ppkt (i</w:t>
      </w:r>
      <w:proofErr w:type="gramStart"/>
      <w:r w:rsidRPr="00835753">
        <w:rPr>
          <w:rFonts w:ascii="Times New Roman" w:hAnsi="Times New Roman"/>
          <w:bCs w:val="0"/>
          <w:color w:val="auto"/>
          <w:sz w:val="24"/>
        </w:rPr>
        <w:t>)–(ii</w:t>
      </w:r>
      <w:proofErr w:type="gramEnd"/>
      <w:r w:rsidRPr="00835753">
        <w:rPr>
          <w:rFonts w:ascii="Times New Roman" w:hAnsi="Times New Roman"/>
          <w:bCs w:val="0"/>
          <w:color w:val="auto"/>
          <w:sz w:val="24"/>
        </w:rPr>
        <w:t>) CRR.</w:t>
      </w:r>
    </w:p>
    <w:p w14:paraId="75D7ECA6" w14:textId="77777777" w:rsidR="009360C9" w:rsidRPr="00835753" w:rsidRDefault="009360C9" w:rsidP="009360C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835753"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3EDDD4AD" w:rsidR="009360C9" w:rsidRPr="00835753" w:rsidRDefault="009360C9" w:rsidP="00155C96">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9360C9" w:rsidRPr="00835753" w14:paraId="26AFAF00" w14:textId="77777777" w:rsidTr="00155C96">
        <w:trPr>
          <w:trHeight w:val="238"/>
        </w:trPr>
        <w:tc>
          <w:tcPr>
            <w:tcW w:w="1384" w:type="dxa"/>
            <w:shd w:val="clear" w:color="auto" w:fill="D9D9D9" w:themeFill="background1" w:themeFillShade="D9"/>
          </w:tcPr>
          <w:p w14:paraId="670FF2CB" w14:textId="77777777" w:rsidR="009360C9" w:rsidRPr="00835753" w:rsidRDefault="009360C9" w:rsidP="00155C96">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69E238F3" w14:textId="77777777" w:rsidR="009360C9" w:rsidRPr="00835753" w:rsidRDefault="009360C9" w:rsidP="00155C96">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9360C9" w:rsidRPr="00835753"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06F4DCD7" w:rsidR="009360C9" w:rsidRPr="00835753" w:rsidRDefault="009360C9" w:rsidP="006D005E">
            <w:pPr>
              <w:autoSpaceDE w:val="0"/>
              <w:autoSpaceDN w:val="0"/>
              <w:adjustRightInd w:val="0"/>
              <w:jc w:val="center"/>
              <w:rPr>
                <w:rFonts w:ascii="Times New Roman" w:hAnsi="Times New Roman" w:cs="Times New Roman"/>
                <w:sz w:val="24"/>
              </w:rPr>
            </w:pPr>
            <w:r w:rsidRPr="00835753">
              <w:rPr>
                <w:rFonts w:ascii="Times New Roman" w:hAnsi="Times New Roman"/>
                <w:sz w:val="24"/>
              </w:rPr>
              <w:t>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835753" w:rsidRDefault="009360C9" w:rsidP="00155C96">
            <w:pPr>
              <w:autoSpaceDE w:val="0"/>
              <w:autoSpaceDN w:val="0"/>
              <w:adjustRightInd w:val="0"/>
              <w:spacing w:after="120"/>
              <w:rPr>
                <w:rFonts w:ascii="Times New Roman" w:hAnsi="Times New Roman"/>
                <w:sz w:val="24"/>
              </w:rPr>
            </w:pPr>
            <w:r w:rsidRPr="00835753">
              <w:rPr>
                <w:rFonts w:ascii="Times New Roman" w:hAnsi="Times New Roman"/>
                <w:sz w:val="24"/>
              </w:rPr>
              <w:t>Liczba pracowników należących do określonego personelu</w:t>
            </w:r>
          </w:p>
          <w:p w14:paraId="1D6BAB49" w14:textId="0998E609" w:rsidR="009360C9" w:rsidRPr="00835753" w:rsidRDefault="009360C9"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Liczba pracowników, których działalność zawodowa ma istotny wpływ na profil ryzyka instytucji,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92 CRD oraz</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delegowanym Komisji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awie określonego personelu</w:t>
            </w:r>
            <w:r w:rsidRPr="00835753">
              <w:rPr>
                <w:rStyle w:val="FootnoteReference"/>
                <w:rFonts w:ascii="Times New Roman" w:hAnsi="Times New Roman" w:cs="Times New Roman"/>
                <w:sz w:val="24"/>
                <w:szCs w:val="24"/>
              </w:rPr>
              <w:footnoteReference w:id="52"/>
            </w:r>
            <w:r w:rsidRPr="00835753">
              <w:rPr>
                <w:rFonts w:ascii="Times New Roman" w:hAnsi="Times New Roman"/>
                <w:sz w:val="24"/>
              </w:rPr>
              <w:t xml:space="preserve"> wdrażającym art.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2 CRD (określony personel),</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rzy są beneficjentami składników wynagrodzenia wymienionych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wzorze. Oblicza się ją, stosując metodę EPC (ekwiwalent pełnego czasu pracy)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innych niż członkowie organu zarządzającego pracowników należących do określonego personelu,</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których dane liczbowe ujawnia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taci liczby osób.</w:t>
            </w:r>
          </w:p>
        </w:tc>
      </w:tr>
      <w:tr w:rsidR="009360C9" w:rsidRPr="00835753"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835753" w:rsidRDefault="009360C9" w:rsidP="006D005E">
            <w:pPr>
              <w:autoSpaceDE w:val="0"/>
              <w:autoSpaceDN w:val="0"/>
              <w:adjustRightInd w:val="0"/>
              <w:jc w:val="center"/>
              <w:rPr>
                <w:rFonts w:ascii="Times New Roman" w:hAnsi="Times New Roman" w:cs="Times New Roman"/>
                <w:sz w:val="24"/>
              </w:rPr>
            </w:pPr>
            <w:r w:rsidRPr="00835753">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835753" w:rsidRDefault="009360C9" w:rsidP="00155C96">
            <w:pPr>
              <w:autoSpaceDE w:val="0"/>
              <w:autoSpaceDN w:val="0"/>
              <w:adjustRightInd w:val="0"/>
              <w:spacing w:after="120"/>
              <w:rPr>
                <w:rFonts w:ascii="Times New Roman" w:hAnsi="Times New Roman"/>
                <w:sz w:val="24"/>
              </w:rPr>
            </w:pPr>
            <w:r w:rsidRPr="00835753">
              <w:rPr>
                <w:rFonts w:ascii="Times New Roman" w:hAnsi="Times New Roman"/>
                <w:sz w:val="24"/>
              </w:rPr>
              <w:t>Wynagrodzenie stałe ogółem</w:t>
            </w:r>
          </w:p>
          <w:p w14:paraId="77F3767C" w14:textId="77777777" w:rsidR="009360C9" w:rsidRPr="00835753" w:rsidRDefault="009360C9" w:rsidP="00155C96">
            <w:pPr>
              <w:autoSpaceDE w:val="0"/>
              <w:autoSpaceDN w:val="0"/>
              <w:adjustRightInd w:val="0"/>
              <w:spacing w:after="120"/>
              <w:rPr>
                <w:rFonts w:ascii="Times New Roman" w:hAnsi="Times New Roman" w:cs="Times New Roman"/>
                <w:sz w:val="24"/>
              </w:rPr>
            </w:pPr>
            <w:r w:rsidRPr="00835753">
              <w:rPr>
                <w:rFonts w:ascii="Times New Roman" w:hAnsi="Times New Roman"/>
                <w:sz w:val="24"/>
              </w:rPr>
              <w:t>Suma wierszy 3–7 niniejszego wzoru.</w:t>
            </w:r>
          </w:p>
        </w:tc>
      </w:tr>
      <w:tr w:rsidR="009360C9" w:rsidRPr="00835753"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835753" w:rsidRDefault="009360C9" w:rsidP="006D005E">
            <w:pPr>
              <w:autoSpaceDE w:val="0"/>
              <w:autoSpaceDN w:val="0"/>
              <w:adjustRightInd w:val="0"/>
              <w:jc w:val="center"/>
              <w:rPr>
                <w:rFonts w:ascii="Times New Roman" w:hAnsi="Times New Roman" w:cs="Times New Roman"/>
                <w:sz w:val="24"/>
              </w:rPr>
            </w:pPr>
            <w:r w:rsidRPr="00835753">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C6A9AC8" w:rsidR="009360C9" w:rsidRPr="00835753" w:rsidRDefault="009360C9" w:rsidP="00155C96">
            <w:pPr>
              <w:autoSpaceDE w:val="0"/>
              <w:autoSpaceDN w:val="0"/>
              <w:adjustRightInd w:val="0"/>
              <w:spacing w:after="120"/>
              <w:rPr>
                <w:rFonts w:ascii="Times New Roman" w:hAnsi="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for</w:t>
            </w:r>
            <w:r w:rsidRPr="00835753">
              <w:rPr>
                <w:rFonts w:ascii="Times New Roman" w:hAnsi="Times New Roman"/>
                <w:sz w:val="24"/>
              </w:rPr>
              <w:t>mie środków pieniężnych</w:t>
            </w:r>
          </w:p>
          <w:p w14:paraId="7EEE3387" w14:textId="4B8B0461" w:rsidR="009360C9" w:rsidRPr="00835753" w:rsidRDefault="009360C9" w:rsidP="00155C96">
            <w:pPr>
              <w:autoSpaceDE w:val="0"/>
              <w:autoSpaceDN w:val="0"/>
              <w:adjustRightInd w:val="0"/>
              <w:spacing w:after="120"/>
              <w:rPr>
                <w:rFonts w:ascii="Times New Roman" w:hAnsi="Times New Roman" w:cs="Times New Roman"/>
                <w:sz w:val="24"/>
              </w:rPr>
            </w:pPr>
            <w:r w:rsidRPr="00835753">
              <w:rPr>
                <w:rFonts w:ascii="Times New Roman" w:hAnsi="Times New Roman"/>
                <w:sz w:val="24"/>
              </w:rPr>
              <w:lastRenderedPageBreak/>
              <w:t>Wysokość wynagrodzenia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for</w:t>
            </w:r>
            <w:r w:rsidRPr="00835753">
              <w:rPr>
                <w:rFonts w:ascii="Times New Roman" w:hAnsi="Times New Roman"/>
                <w:sz w:val="24"/>
              </w:rPr>
              <w:t>mie środków pieniężnych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wynagrodzenia stałego.</w:t>
            </w:r>
          </w:p>
        </w:tc>
      </w:tr>
      <w:tr w:rsidR="009360C9" w:rsidRPr="00835753"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835753" w:rsidRDefault="009360C9" w:rsidP="006D005E">
            <w:pPr>
              <w:autoSpaceDE w:val="0"/>
              <w:autoSpaceDN w:val="0"/>
              <w:adjustRightInd w:val="0"/>
              <w:jc w:val="center"/>
              <w:rPr>
                <w:rFonts w:ascii="Times New Roman" w:hAnsi="Times New Roman" w:cs="Times New Roman"/>
                <w:sz w:val="24"/>
              </w:rPr>
            </w:pPr>
            <w:r w:rsidRPr="00835753">
              <w:rPr>
                <w:rFonts w:ascii="Times New Roman" w:hAnsi="Times New Roman"/>
                <w:sz w:val="24"/>
              </w:rPr>
              <w:lastRenderedPageBreak/>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835753" w:rsidRDefault="009360C9" w:rsidP="00155C96">
            <w:pPr>
              <w:autoSpaceDE w:val="0"/>
              <w:autoSpaceDN w:val="0"/>
              <w:adjustRightInd w:val="0"/>
              <w:spacing w:after="120"/>
              <w:rPr>
                <w:rFonts w:ascii="Times New Roman" w:hAnsi="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akcje lub odpowiadające im tytuły własności</w:t>
            </w:r>
          </w:p>
          <w:p w14:paraId="7F8210BA" w14:textId="77517726" w:rsidR="009360C9" w:rsidRPr="00835753" w:rsidRDefault="009360C9"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Suma kwot akcji lub odpowiadających im tytułów własności,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eżności od struktury prawnej danej instytucji,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l) ppkt (i) CRD,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wynagrodzenia stałego.</w:t>
            </w:r>
          </w:p>
        </w:tc>
      </w:tr>
      <w:tr w:rsidR="009360C9" w:rsidRPr="00835753"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835753" w:rsidRDefault="009360C9" w:rsidP="006D005E">
            <w:pPr>
              <w:autoSpaceDE w:val="0"/>
              <w:autoSpaceDN w:val="0"/>
              <w:adjustRightInd w:val="0"/>
              <w:jc w:val="center"/>
              <w:rPr>
                <w:rFonts w:ascii="Times New Roman" w:hAnsi="Times New Roman" w:cs="Times New Roman"/>
                <w:sz w:val="24"/>
              </w:rPr>
            </w:pPr>
            <w:r w:rsidRPr="00835753">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64616084" w:rsidR="009360C9" w:rsidRPr="00835753" w:rsidRDefault="009360C9" w:rsidP="00155C96">
            <w:pPr>
              <w:autoSpaceDE w:val="0"/>
              <w:autoSpaceDN w:val="0"/>
              <w:adjustRightInd w:val="0"/>
              <w:spacing w:after="120"/>
              <w:rPr>
                <w:rFonts w:ascii="Times New Roman" w:hAnsi="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instrumenty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akc</w:t>
            </w:r>
            <w:r w:rsidRPr="00835753">
              <w:rPr>
                <w:rFonts w:ascii="Times New Roman" w:hAnsi="Times New Roman"/>
                <w:sz w:val="24"/>
              </w:rPr>
              <w:t xml:space="preserve">jami lub równoważne instrumenty niepieniężne </w:t>
            </w:r>
          </w:p>
          <w:p w14:paraId="10509704" w14:textId="48940211" w:rsidR="009360C9" w:rsidRPr="00835753" w:rsidRDefault="009360C9" w:rsidP="00155C96">
            <w:pPr>
              <w:autoSpaceDE w:val="0"/>
              <w:autoSpaceDN w:val="0"/>
              <w:adjustRightInd w:val="0"/>
              <w:spacing w:after="120"/>
              <w:jc w:val="both"/>
              <w:rPr>
                <w:rFonts w:ascii="Times New Roman" w:hAnsi="Times New Roman"/>
                <w:sz w:val="24"/>
              </w:rPr>
            </w:pPr>
            <w:r w:rsidRPr="00835753">
              <w:rPr>
                <w:rFonts w:ascii="Times New Roman" w:hAnsi="Times New Roman"/>
                <w:sz w:val="24"/>
              </w:rPr>
              <w:t>Suma kwot instrumentów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akc</w:t>
            </w:r>
            <w:r w:rsidRPr="00835753">
              <w:rPr>
                <w:rFonts w:ascii="Times New Roman" w:hAnsi="Times New Roman"/>
                <w:sz w:val="24"/>
              </w:rPr>
              <w:t>jami lub równoważnych instrumentów niepieniężnych,</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l) ppkt (i) CRD,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wynagrodzenia stałego.</w:t>
            </w:r>
          </w:p>
        </w:tc>
      </w:tr>
      <w:tr w:rsidR="009360C9" w:rsidRPr="00835753"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835753" w:rsidRDefault="009360C9" w:rsidP="006D005E">
            <w:pPr>
              <w:autoSpaceDE w:val="0"/>
              <w:autoSpaceDN w:val="0"/>
              <w:adjustRightInd w:val="0"/>
              <w:jc w:val="center"/>
              <w:rPr>
                <w:rFonts w:ascii="Times New Roman" w:hAnsi="Times New Roman" w:cs="Times New Roman"/>
                <w:sz w:val="24"/>
              </w:rPr>
            </w:pPr>
            <w:r w:rsidRPr="00835753">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835753" w:rsidRDefault="009360C9" w:rsidP="00155C96">
            <w:pPr>
              <w:autoSpaceDE w:val="0"/>
              <w:autoSpaceDN w:val="0"/>
              <w:adjustRightInd w:val="0"/>
              <w:spacing w:after="120"/>
              <w:rPr>
                <w:rFonts w:ascii="Times New Roman" w:hAnsi="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inne instrumenty</w:t>
            </w:r>
          </w:p>
          <w:p w14:paraId="3D5E7799" w14:textId="24076558" w:rsidR="009360C9" w:rsidRPr="00835753" w:rsidRDefault="009360C9" w:rsidP="00155C96">
            <w:pPr>
              <w:autoSpaceDE w:val="0"/>
              <w:autoSpaceDN w:val="0"/>
              <w:adjustRightInd w:val="0"/>
              <w:spacing w:after="120"/>
              <w:jc w:val="both"/>
              <w:rPr>
                <w:rFonts w:ascii="Times New Roman" w:hAnsi="Times New Roman"/>
                <w:sz w:val="24"/>
              </w:rPr>
            </w:pPr>
            <w:r w:rsidRPr="00835753">
              <w:rPr>
                <w:rFonts w:ascii="Times New Roman" w:hAnsi="Times New Roman"/>
                <w:sz w:val="24"/>
              </w:rPr>
              <w:t>Kwota innych instrumentów,</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l) ppkt (ii) CRD,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wynagrodzenia stałego.</w:t>
            </w:r>
          </w:p>
        </w:tc>
      </w:tr>
      <w:tr w:rsidR="009360C9" w:rsidRPr="00835753"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835753" w:rsidRDefault="009360C9" w:rsidP="006D005E">
            <w:pPr>
              <w:autoSpaceDE w:val="0"/>
              <w:autoSpaceDN w:val="0"/>
              <w:adjustRightInd w:val="0"/>
              <w:jc w:val="center"/>
              <w:rPr>
                <w:rFonts w:ascii="Times New Roman" w:hAnsi="Times New Roman" w:cs="Times New Roman"/>
                <w:sz w:val="24"/>
              </w:rPr>
            </w:pPr>
            <w:r w:rsidRPr="00835753">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835753" w:rsidRDefault="009360C9" w:rsidP="00155C96">
            <w:pPr>
              <w:autoSpaceDE w:val="0"/>
              <w:autoSpaceDN w:val="0"/>
              <w:adjustRightInd w:val="0"/>
              <w:spacing w:after="120"/>
              <w:rPr>
                <w:rFonts w:ascii="Times New Roman" w:hAnsi="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inne formy</w:t>
            </w:r>
          </w:p>
          <w:p w14:paraId="68716224" w14:textId="06A1AFDE" w:rsidR="009360C9" w:rsidRPr="00835753" w:rsidRDefault="009360C9"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Kwoty wynagrodzenia stałego przyznane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rok</w:t>
            </w:r>
            <w:r w:rsidRPr="00835753">
              <w:rPr>
                <w:rFonts w:ascii="Times New Roman" w:hAnsi="Times New Roman"/>
                <w:sz w:val="24"/>
              </w:rPr>
              <w:t>u obrachunkowym niebędące kwotami ujawnionymi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inn</w:t>
            </w:r>
            <w:r w:rsidRPr="00835753">
              <w:rPr>
                <w:rFonts w:ascii="Times New Roman" w:hAnsi="Times New Roman"/>
                <w:sz w:val="24"/>
              </w:rPr>
              <w:t>ych wierszach działu „Wynagrodzenie stałe ogółem”.</w:t>
            </w:r>
          </w:p>
          <w:p w14:paraId="60CEFAB5" w14:textId="2522695B" w:rsidR="009360C9" w:rsidRPr="00835753" w:rsidRDefault="009360C9"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Ta pozycja może obejmować proporcjonalne regularne składki emerytalne lub świadczenia (w przypadku gdy takie świadczenia nie zależą od żadnych kryteriów dotyczących wyników),</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mot</w:t>
            </w:r>
            <w:r w:rsidRPr="00835753">
              <w:rPr>
                <w:rFonts w:ascii="Times New Roman" w:hAnsi="Times New Roman"/>
                <w:sz w:val="24"/>
              </w:rPr>
              <w:t>ywie 64 CRD, lub inne formy wynagrodzenia, takie jak dodatek samochodowy.</w:t>
            </w:r>
          </w:p>
        </w:tc>
      </w:tr>
      <w:tr w:rsidR="009360C9" w:rsidRPr="00835753"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835753" w:rsidRDefault="009360C9" w:rsidP="006D005E">
            <w:pPr>
              <w:autoSpaceDE w:val="0"/>
              <w:autoSpaceDN w:val="0"/>
              <w:adjustRightInd w:val="0"/>
              <w:jc w:val="center"/>
              <w:rPr>
                <w:rFonts w:ascii="Times New Roman" w:hAnsi="Times New Roman" w:cs="Times New Roman"/>
                <w:sz w:val="24"/>
              </w:rPr>
            </w:pPr>
            <w:r w:rsidRPr="00835753">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835753" w:rsidRDefault="009360C9" w:rsidP="00155C96">
            <w:pPr>
              <w:autoSpaceDE w:val="0"/>
              <w:autoSpaceDN w:val="0"/>
              <w:adjustRightInd w:val="0"/>
              <w:spacing w:after="120"/>
              <w:rPr>
                <w:rFonts w:ascii="Times New Roman" w:hAnsi="Times New Roman"/>
                <w:sz w:val="24"/>
              </w:rPr>
            </w:pPr>
            <w:r w:rsidRPr="00835753">
              <w:rPr>
                <w:rFonts w:ascii="Times New Roman" w:hAnsi="Times New Roman"/>
                <w:sz w:val="24"/>
              </w:rPr>
              <w:t>Wynagrodzenie zmienne ogółem</w:t>
            </w:r>
          </w:p>
          <w:p w14:paraId="2AB55EF9" w14:textId="01F00317" w:rsidR="009360C9" w:rsidRPr="00835753" w:rsidRDefault="009360C9"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Suma wierszy 11, EU-13a, EU-13b, EU-14x</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5 niniejszego wzoru.</w:t>
            </w:r>
          </w:p>
          <w:p w14:paraId="0B093985" w14:textId="0BB7E5B7" w:rsidR="009360C9" w:rsidRPr="00835753" w:rsidRDefault="009360C9"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Suma wszystkich składników wynagrodzenia, które nie są wynagrodzeniem stałym ujawnionym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2 niniejszego wzoru, uwzględniając gwarantowane wynagrodzenie zmienne</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pła</w:t>
            </w:r>
            <w:r w:rsidRPr="00835753">
              <w:rPr>
                <w:rFonts w:ascii="Times New Roman" w:hAnsi="Times New Roman"/>
                <w:sz w:val="24"/>
              </w:rPr>
              <w:t>tności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rawą przyznane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roku.</w:t>
            </w:r>
          </w:p>
        </w:tc>
      </w:tr>
      <w:tr w:rsidR="009360C9" w:rsidRPr="00835753"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835753" w:rsidRDefault="009360C9" w:rsidP="006D005E">
            <w:pPr>
              <w:autoSpaceDE w:val="0"/>
              <w:autoSpaceDN w:val="0"/>
              <w:adjustRightInd w:val="0"/>
              <w:jc w:val="center"/>
              <w:rPr>
                <w:rFonts w:ascii="Times New Roman" w:hAnsi="Times New Roman" w:cs="Times New Roman"/>
                <w:sz w:val="24"/>
              </w:rPr>
            </w:pPr>
            <w:r w:rsidRPr="00835753">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2C82BF6B" w:rsidR="009360C9" w:rsidRPr="00835753" w:rsidRDefault="009360C9" w:rsidP="00155C96">
            <w:pPr>
              <w:autoSpaceDE w:val="0"/>
              <w:autoSpaceDN w:val="0"/>
              <w:adjustRightInd w:val="0"/>
              <w:spacing w:after="120"/>
              <w:rPr>
                <w:rFonts w:ascii="Times New Roman" w:hAnsi="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for</w:t>
            </w:r>
            <w:r w:rsidRPr="00835753">
              <w:rPr>
                <w:rFonts w:ascii="Times New Roman" w:hAnsi="Times New Roman"/>
                <w:sz w:val="24"/>
              </w:rPr>
              <w:t>mie środków pieniężnych</w:t>
            </w:r>
          </w:p>
          <w:p w14:paraId="52C09071" w14:textId="1284F038" w:rsidR="009360C9" w:rsidRPr="00835753" w:rsidRDefault="009360C9" w:rsidP="00155C96">
            <w:pPr>
              <w:autoSpaceDE w:val="0"/>
              <w:autoSpaceDN w:val="0"/>
              <w:adjustRightInd w:val="0"/>
              <w:spacing w:after="120"/>
              <w:rPr>
                <w:rFonts w:ascii="Times New Roman" w:hAnsi="Times New Roman"/>
                <w:sz w:val="24"/>
              </w:rPr>
            </w:pPr>
            <w:r w:rsidRPr="00835753">
              <w:rPr>
                <w:rFonts w:ascii="Times New Roman" w:hAnsi="Times New Roman"/>
                <w:sz w:val="24"/>
              </w:rPr>
              <w:t>Wysokość wynagrodzenia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for</w:t>
            </w:r>
            <w:r w:rsidRPr="00835753">
              <w:rPr>
                <w:rFonts w:ascii="Times New Roman" w:hAnsi="Times New Roman"/>
                <w:sz w:val="24"/>
              </w:rPr>
              <w:t>mie środków pieniężnych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wynagrodzenia zmiennego</w:t>
            </w:r>
          </w:p>
        </w:tc>
      </w:tr>
      <w:tr w:rsidR="009360C9" w:rsidRPr="00835753"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F63D85D" w:rsidR="009360C9" w:rsidRPr="00835753" w:rsidRDefault="009360C9" w:rsidP="006D005E">
            <w:pPr>
              <w:autoSpaceDE w:val="0"/>
              <w:autoSpaceDN w:val="0"/>
              <w:adjustRightInd w:val="0"/>
              <w:jc w:val="center"/>
              <w:rPr>
                <w:rFonts w:ascii="Times New Roman" w:hAnsi="Times New Roman" w:cs="Times New Roman"/>
                <w:sz w:val="24"/>
              </w:rPr>
            </w:pPr>
            <w:r w:rsidRPr="00835753">
              <w:rPr>
                <w:rFonts w:ascii="Times New Roman" w:hAnsi="Times New Roman"/>
                <w:sz w:val="24"/>
              </w:rPr>
              <w:t>12, EU-14a, EU-14b, EU-14y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835753" w:rsidRDefault="009360C9" w:rsidP="00155C96">
            <w:pPr>
              <w:autoSpaceDE w:val="0"/>
              <w:autoSpaceDN w:val="0"/>
              <w:adjustRightInd w:val="0"/>
              <w:spacing w:after="120"/>
              <w:rPr>
                <w:rFonts w:ascii="Times New Roman" w:hAnsi="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odroczone</w:t>
            </w:r>
          </w:p>
          <w:p w14:paraId="3327C4AA" w14:textId="1E324BCC" w:rsidR="009360C9" w:rsidRPr="00835753" w:rsidRDefault="009360C9"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Kwoty wynagrodzenia zmiennego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ziale na różne rodzaje odroczonych składników, które ustala się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CRD.</w:t>
            </w:r>
          </w:p>
        </w:tc>
      </w:tr>
      <w:tr w:rsidR="009360C9" w:rsidRPr="00835753"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835753" w:rsidRDefault="009360C9" w:rsidP="006D005E">
            <w:pPr>
              <w:autoSpaceDE w:val="0"/>
              <w:autoSpaceDN w:val="0"/>
              <w:adjustRightInd w:val="0"/>
              <w:jc w:val="center"/>
              <w:rPr>
                <w:rFonts w:ascii="Times New Roman" w:hAnsi="Times New Roman" w:cs="Times New Roman"/>
                <w:sz w:val="24"/>
              </w:rPr>
            </w:pPr>
            <w:r w:rsidRPr="00835753">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835753" w:rsidRDefault="009360C9" w:rsidP="00155C96">
            <w:pPr>
              <w:autoSpaceDE w:val="0"/>
              <w:autoSpaceDN w:val="0"/>
              <w:adjustRightInd w:val="0"/>
              <w:spacing w:after="120"/>
              <w:rPr>
                <w:rFonts w:ascii="Times New Roman" w:hAnsi="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akcje lub odpowiadające im tytuły własności</w:t>
            </w:r>
          </w:p>
          <w:p w14:paraId="2FBA92DD" w14:textId="3702EF7E" w:rsidR="009360C9" w:rsidRPr="00835753" w:rsidRDefault="009360C9"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Suma kwot akcji lub odpowiadających im tytułów własności,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eżności od struktury prawnej danej instytucji,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l) ppkt (i) CRD,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wynagrodzenia zmiennego</w:t>
            </w:r>
          </w:p>
        </w:tc>
      </w:tr>
      <w:tr w:rsidR="009360C9" w:rsidRPr="00835753"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835753" w:rsidRDefault="009360C9" w:rsidP="006D005E">
            <w:pPr>
              <w:autoSpaceDE w:val="0"/>
              <w:autoSpaceDN w:val="0"/>
              <w:adjustRightInd w:val="0"/>
              <w:jc w:val="center"/>
              <w:rPr>
                <w:rFonts w:ascii="Times New Roman" w:hAnsi="Times New Roman" w:cs="Times New Roman"/>
                <w:sz w:val="24"/>
              </w:rPr>
            </w:pPr>
            <w:r w:rsidRPr="00835753">
              <w:rPr>
                <w:rFonts w:ascii="Times New Roman" w:hAnsi="Times New Roman"/>
                <w:sz w:val="24"/>
              </w:rPr>
              <w:lastRenderedPageBreak/>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208FBFED" w:rsidR="009360C9" w:rsidRPr="00835753" w:rsidRDefault="009360C9" w:rsidP="00155C96">
            <w:pPr>
              <w:autoSpaceDE w:val="0"/>
              <w:autoSpaceDN w:val="0"/>
              <w:adjustRightInd w:val="0"/>
              <w:spacing w:after="120"/>
              <w:rPr>
                <w:rFonts w:ascii="Times New Roman" w:hAnsi="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instrumenty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akc</w:t>
            </w:r>
            <w:r w:rsidRPr="00835753">
              <w:rPr>
                <w:rFonts w:ascii="Times New Roman" w:hAnsi="Times New Roman"/>
                <w:sz w:val="24"/>
              </w:rPr>
              <w:t xml:space="preserve">jami lub równoważne instrumenty niepieniężne </w:t>
            </w:r>
          </w:p>
          <w:p w14:paraId="12117FCC" w14:textId="1EAA7E3A" w:rsidR="009360C9" w:rsidRPr="00835753" w:rsidRDefault="009360C9" w:rsidP="00155C96">
            <w:pPr>
              <w:autoSpaceDE w:val="0"/>
              <w:autoSpaceDN w:val="0"/>
              <w:adjustRightInd w:val="0"/>
              <w:spacing w:after="120"/>
              <w:jc w:val="both"/>
              <w:rPr>
                <w:rFonts w:ascii="Times New Roman" w:hAnsi="Times New Roman"/>
                <w:sz w:val="24"/>
              </w:rPr>
            </w:pPr>
            <w:r w:rsidRPr="00835753">
              <w:rPr>
                <w:rFonts w:ascii="Times New Roman" w:hAnsi="Times New Roman"/>
                <w:sz w:val="24"/>
              </w:rPr>
              <w:t>Suma kwot instrumentów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akc</w:t>
            </w:r>
            <w:r w:rsidRPr="00835753">
              <w:rPr>
                <w:rFonts w:ascii="Times New Roman" w:hAnsi="Times New Roman"/>
                <w:sz w:val="24"/>
              </w:rPr>
              <w:t>jami lub równoważnych instrumentów niepieniężnych,</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l) ppkt (i) CRD,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wynagrodzenia zmiennego</w:t>
            </w:r>
          </w:p>
        </w:tc>
      </w:tr>
      <w:tr w:rsidR="009360C9" w:rsidRPr="00835753"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835753" w:rsidRDefault="009360C9" w:rsidP="006D005E">
            <w:pPr>
              <w:autoSpaceDE w:val="0"/>
              <w:autoSpaceDN w:val="0"/>
              <w:adjustRightInd w:val="0"/>
              <w:jc w:val="center"/>
              <w:rPr>
                <w:rFonts w:ascii="Times New Roman" w:hAnsi="Times New Roman" w:cs="Times New Roman"/>
                <w:sz w:val="24"/>
              </w:rPr>
            </w:pPr>
            <w:r w:rsidRPr="00835753">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835753" w:rsidRDefault="009360C9" w:rsidP="00155C96">
            <w:pPr>
              <w:autoSpaceDE w:val="0"/>
              <w:autoSpaceDN w:val="0"/>
              <w:adjustRightInd w:val="0"/>
              <w:spacing w:after="120"/>
              <w:rPr>
                <w:rFonts w:ascii="Times New Roman" w:hAnsi="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inne instrumenty</w:t>
            </w:r>
          </w:p>
          <w:p w14:paraId="0335CACF" w14:textId="4D78DB3A" w:rsidR="009360C9" w:rsidRPr="00835753" w:rsidRDefault="009360C9" w:rsidP="00155C96">
            <w:pPr>
              <w:autoSpaceDE w:val="0"/>
              <w:autoSpaceDN w:val="0"/>
              <w:adjustRightInd w:val="0"/>
              <w:spacing w:after="120"/>
              <w:jc w:val="both"/>
              <w:rPr>
                <w:rFonts w:ascii="Times New Roman" w:hAnsi="Times New Roman"/>
                <w:b/>
                <w:sz w:val="24"/>
              </w:rPr>
            </w:pPr>
            <w:r w:rsidRPr="00835753">
              <w:rPr>
                <w:rFonts w:ascii="Times New Roman" w:hAnsi="Times New Roman"/>
                <w:sz w:val="24"/>
              </w:rPr>
              <w:t>Kwota innych instrumentów,</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l) ppkt (ii) CRD,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wynagrodzenia zmiennego</w:t>
            </w:r>
          </w:p>
        </w:tc>
      </w:tr>
      <w:tr w:rsidR="009360C9" w:rsidRPr="00835753"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835753" w:rsidRDefault="009360C9" w:rsidP="006D005E">
            <w:pPr>
              <w:autoSpaceDE w:val="0"/>
              <w:autoSpaceDN w:val="0"/>
              <w:adjustRightInd w:val="0"/>
              <w:jc w:val="center"/>
              <w:rPr>
                <w:rFonts w:ascii="Times New Roman" w:hAnsi="Times New Roman" w:cs="Times New Roman"/>
                <w:sz w:val="24"/>
              </w:rPr>
            </w:pPr>
            <w:r w:rsidRPr="00835753">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835753" w:rsidRDefault="009360C9" w:rsidP="00155C96">
            <w:pPr>
              <w:autoSpaceDE w:val="0"/>
              <w:autoSpaceDN w:val="0"/>
              <w:adjustRightInd w:val="0"/>
              <w:spacing w:after="120"/>
              <w:rPr>
                <w:rFonts w:ascii="Times New Roman" w:hAnsi="Times New Roman"/>
                <w:sz w:val="24"/>
              </w:rPr>
            </w:pPr>
            <w:proofErr w:type="gramStart"/>
            <w:r w:rsidRPr="00835753">
              <w:rPr>
                <w:rFonts w:ascii="Times New Roman" w:hAnsi="Times New Roman"/>
                <w:sz w:val="24"/>
              </w:rPr>
              <w:t>w</w:t>
            </w:r>
            <w:proofErr w:type="gramEnd"/>
            <w:r w:rsidRPr="00835753">
              <w:rPr>
                <w:rFonts w:ascii="Times New Roman" w:hAnsi="Times New Roman"/>
                <w:sz w:val="24"/>
              </w:rPr>
              <w:t xml:space="preserve"> tym: inne formy</w:t>
            </w:r>
          </w:p>
          <w:p w14:paraId="5CB11051" w14:textId="25A549C1" w:rsidR="009360C9" w:rsidRPr="00835753" w:rsidRDefault="009360C9"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Kwoty wynagrodzenia zmiennego przyznane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rok</w:t>
            </w:r>
            <w:r w:rsidRPr="00835753">
              <w:rPr>
                <w:rFonts w:ascii="Times New Roman" w:hAnsi="Times New Roman"/>
                <w:sz w:val="24"/>
              </w:rPr>
              <w:t>u obrachunkowym niebędące kwotami ujawnionymi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inn</w:t>
            </w:r>
            <w:r w:rsidRPr="00835753">
              <w:rPr>
                <w:rFonts w:ascii="Times New Roman" w:hAnsi="Times New Roman"/>
                <w:sz w:val="24"/>
              </w:rPr>
              <w:t>ych wierszach działu „Wynagrodzenie zmienne ogółem”.</w:t>
            </w:r>
          </w:p>
        </w:tc>
      </w:tr>
      <w:tr w:rsidR="009360C9" w:rsidRPr="00835753"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835753" w:rsidRDefault="009360C9" w:rsidP="006D005E">
            <w:pPr>
              <w:autoSpaceDE w:val="0"/>
              <w:autoSpaceDN w:val="0"/>
              <w:adjustRightInd w:val="0"/>
              <w:jc w:val="center"/>
              <w:rPr>
                <w:rFonts w:ascii="Times New Roman" w:hAnsi="Times New Roman" w:cs="Times New Roman"/>
                <w:sz w:val="24"/>
              </w:rPr>
            </w:pPr>
            <w:r w:rsidRPr="00835753">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835753" w:rsidRDefault="009360C9" w:rsidP="00155C96">
            <w:pPr>
              <w:autoSpaceDE w:val="0"/>
              <w:autoSpaceDN w:val="0"/>
              <w:adjustRightInd w:val="0"/>
              <w:spacing w:after="120"/>
              <w:rPr>
                <w:rFonts w:ascii="Times New Roman" w:hAnsi="Times New Roman"/>
                <w:sz w:val="24"/>
              </w:rPr>
            </w:pPr>
            <w:r w:rsidRPr="00835753">
              <w:rPr>
                <w:rFonts w:ascii="Times New Roman" w:hAnsi="Times New Roman"/>
                <w:sz w:val="24"/>
              </w:rPr>
              <w:t>Łączne wynagrodzenie</w:t>
            </w:r>
          </w:p>
          <w:p w14:paraId="181EB30A" w14:textId="0F5E17BA" w:rsidR="009360C9" w:rsidRPr="00835753" w:rsidRDefault="009360C9" w:rsidP="00155C96">
            <w:pPr>
              <w:autoSpaceDE w:val="0"/>
              <w:autoSpaceDN w:val="0"/>
              <w:adjustRightInd w:val="0"/>
              <w:spacing w:after="120"/>
              <w:rPr>
                <w:rFonts w:ascii="Times New Roman" w:hAnsi="Times New Roman" w:cs="Times New Roman"/>
                <w:sz w:val="24"/>
              </w:rPr>
            </w:pPr>
            <w:r w:rsidRPr="00835753">
              <w:rPr>
                <w:rFonts w:ascii="Times New Roman" w:hAnsi="Times New Roman"/>
                <w:sz w:val="24"/>
              </w:rPr>
              <w:t>Suma wierszy 2</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0 niniejszego wzoru.</w:t>
            </w:r>
          </w:p>
        </w:tc>
      </w:tr>
      <w:tr w:rsidR="009360C9" w:rsidRPr="00835753"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835753" w:rsidRDefault="009360C9" w:rsidP="006D005E">
            <w:pPr>
              <w:pStyle w:val="Applicationdirecte"/>
              <w:spacing w:before="0"/>
              <w:jc w:val="center"/>
              <w:rPr>
                <w:b/>
              </w:rPr>
            </w:pPr>
            <w:r w:rsidRPr="00835753">
              <w:rPr>
                <w:b/>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835753" w:rsidRDefault="009360C9" w:rsidP="00155C96">
            <w:pPr>
              <w:pStyle w:val="TableMainHeading"/>
              <w:spacing w:before="60"/>
              <w:rPr>
                <w:rFonts w:ascii="Times New Roman" w:hAnsi="Times New Roman"/>
                <w:b/>
                <w:sz w:val="24"/>
                <w:szCs w:val="24"/>
              </w:rPr>
            </w:pPr>
            <w:r w:rsidRPr="00835753">
              <w:rPr>
                <w:rFonts w:ascii="Times New Roman" w:hAnsi="Times New Roman"/>
                <w:b/>
                <w:sz w:val="24"/>
                <w:szCs w:val="24"/>
              </w:rPr>
              <w:t>Wyjaśnienie</w:t>
            </w:r>
          </w:p>
        </w:tc>
      </w:tr>
      <w:tr w:rsidR="009360C9" w:rsidRPr="00835753"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835753" w:rsidRDefault="009360C9" w:rsidP="006D005E">
            <w:pPr>
              <w:autoSpaceDE w:val="0"/>
              <w:autoSpaceDN w:val="0"/>
              <w:adjustRightInd w:val="0"/>
              <w:jc w:val="center"/>
              <w:rPr>
                <w:rFonts w:ascii="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835753" w:rsidRDefault="009360C9" w:rsidP="00155C96">
            <w:pPr>
              <w:autoSpaceDE w:val="0"/>
              <w:autoSpaceDN w:val="0"/>
              <w:adjustRightInd w:val="0"/>
              <w:spacing w:before="60" w:after="120"/>
              <w:jc w:val="both"/>
              <w:rPr>
                <w:rFonts w:ascii="Times New Roman" w:hAnsi="Times New Roman"/>
                <w:sz w:val="24"/>
              </w:rPr>
            </w:pPr>
            <w:r w:rsidRPr="00835753">
              <w:rPr>
                <w:rFonts w:ascii="Times New Roman" w:hAnsi="Times New Roman"/>
                <w:sz w:val="24"/>
              </w:rPr>
              <w:t>Funkcja nadzorcza organu zarządzającego</w:t>
            </w:r>
          </w:p>
          <w:p w14:paraId="4069090B" w14:textId="5A59B777"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Organ zarządzający pełniący funkcję nadzorczą jako organ zarządzający działający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swo</w:t>
            </w:r>
            <w:r w:rsidRPr="00835753">
              <w:rPr>
                <w:rFonts w:ascii="Times New Roman" w:hAnsi="Times New Roman"/>
                <w:sz w:val="24"/>
              </w:rPr>
              <w:t>jej roli nadzorowania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mon</w:t>
            </w:r>
            <w:r w:rsidRPr="00835753">
              <w:rPr>
                <w:rFonts w:ascii="Times New Roman" w:hAnsi="Times New Roman"/>
                <w:sz w:val="24"/>
              </w:rPr>
              <w:t>itorowania procesu podejmowania decyzji przez kierownictwo,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def</w:t>
            </w:r>
            <w:r w:rsidRPr="00835753">
              <w:rPr>
                <w:rFonts w:ascii="Times New Roman" w:hAnsi="Times New Roman"/>
                <w:sz w:val="24"/>
              </w:rPr>
              <w:t>inicją zawartą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 ust.</w:t>
            </w:r>
            <w:r w:rsidR="00835753" w:rsidRPr="00835753">
              <w:rPr>
                <w:rFonts w:ascii="Times New Roman" w:hAnsi="Times New Roman"/>
                <w:sz w:val="24"/>
              </w:rPr>
              <w:t> </w:t>
            </w:r>
            <w:r w:rsidRPr="00835753">
              <w:rPr>
                <w:rFonts w:ascii="Times New Roman" w:hAnsi="Times New Roman"/>
                <w:sz w:val="24"/>
              </w:rPr>
              <w:t>1 pkt</w:t>
            </w:r>
            <w:r w:rsidR="00835753" w:rsidRPr="00835753">
              <w:rPr>
                <w:rFonts w:ascii="Times New Roman" w:hAnsi="Times New Roman"/>
                <w:sz w:val="24"/>
              </w:rPr>
              <w:t> </w:t>
            </w:r>
            <w:r w:rsidRPr="00835753">
              <w:rPr>
                <w:rFonts w:ascii="Times New Roman" w:hAnsi="Times New Roman"/>
                <w:sz w:val="24"/>
              </w:rPr>
              <w:t xml:space="preserve">8 CRD </w:t>
            </w:r>
          </w:p>
          <w:p w14:paraId="188CC74F" w14:textId="77777777"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 xml:space="preserve">Instytucje ujawniają informacje na podstawie liczby osób. </w:t>
            </w:r>
          </w:p>
          <w:p w14:paraId="6BC6F325" w14:textId="445519EF"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13 CRR unijne instytucje dominujące ujawniają te informacje na podstawie swojej sytuacji skonsolidowanej,</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duż</w:t>
            </w:r>
            <w:r w:rsidRPr="00835753">
              <w:rPr>
                <w:rFonts w:ascii="Times New Roman" w:hAnsi="Times New Roman"/>
                <w:sz w:val="24"/>
              </w:rPr>
              <w:t>e jednostki zależne unijnych instytucji dominujących ujawniają te informacje na zasadzie indywidualnej lub,</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rozporządzeniem i CRD – na zasadzie subskonsolidowanej. Podmiot ujawniający zamieszcza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tej</w:t>
            </w:r>
            <w:r w:rsidRPr="00835753">
              <w:rPr>
                <w:rFonts w:ascii="Times New Roman" w:hAnsi="Times New Roman"/>
                <w:sz w:val="24"/>
              </w:rPr>
              <w:t xml:space="preserve"> kolumnie informacje na temat swojego organu zarządzającego</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ujawniania informacji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6</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3 CRR informacje ujawnia się na poziomie skonsolidowanym lub subskonsolidowanym –</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im przypadku informacje na temat określonego personelu organów zarządzających jednostek zależnych należy ujawnić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odpowiednich obszarów działalności.</w:t>
            </w:r>
          </w:p>
        </w:tc>
      </w:tr>
      <w:tr w:rsidR="009360C9" w:rsidRPr="00835753"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835753" w:rsidRDefault="009360C9" w:rsidP="006D005E">
            <w:pPr>
              <w:autoSpaceDE w:val="0"/>
              <w:autoSpaceDN w:val="0"/>
              <w:adjustRightInd w:val="0"/>
              <w:jc w:val="center"/>
              <w:rPr>
                <w:rFonts w:ascii="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835753" w:rsidRDefault="009360C9" w:rsidP="00155C96">
            <w:pPr>
              <w:autoSpaceDE w:val="0"/>
              <w:autoSpaceDN w:val="0"/>
              <w:adjustRightInd w:val="0"/>
              <w:spacing w:before="60" w:after="120"/>
              <w:jc w:val="both"/>
              <w:rPr>
                <w:rFonts w:ascii="Times New Roman" w:hAnsi="Times New Roman"/>
                <w:sz w:val="24"/>
              </w:rPr>
            </w:pPr>
            <w:r w:rsidRPr="00835753">
              <w:rPr>
                <w:rFonts w:ascii="Times New Roman" w:hAnsi="Times New Roman"/>
                <w:sz w:val="24"/>
              </w:rPr>
              <w:t xml:space="preserve">Funkcja zarządcza organu zarządzającego </w:t>
            </w:r>
          </w:p>
          <w:p w14:paraId="496ACAF7" w14:textId="77777777"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Członkowie organu zarządzającego, którzy są odpowiedzialni za jego funkcje zarządzania.</w:t>
            </w:r>
          </w:p>
          <w:p w14:paraId="20F94664" w14:textId="77777777"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Instytucje ujawniają informacje na podstawie liczby osób.</w:t>
            </w:r>
          </w:p>
          <w:p w14:paraId="160E29F2" w14:textId="6DEFC921"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Instytucje ujawniają informacje na podstawie liczby osób.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 xml:space="preserve">13 CRR. </w:t>
            </w:r>
            <w:proofErr w:type="gramStart"/>
            <w:r w:rsidRPr="00835753">
              <w:rPr>
                <w:rFonts w:ascii="Times New Roman" w:hAnsi="Times New Roman"/>
                <w:sz w:val="24"/>
              </w:rPr>
              <w:t>unijne</w:t>
            </w:r>
            <w:proofErr w:type="gramEnd"/>
            <w:r w:rsidRPr="00835753">
              <w:rPr>
                <w:rFonts w:ascii="Times New Roman" w:hAnsi="Times New Roman"/>
                <w:sz w:val="24"/>
              </w:rPr>
              <w:t xml:space="preserve"> instytucje dominujące ujawniają te informacje na podstawie swojej sytuacji skonsolidowanej,</w:t>
            </w:r>
            <w:r w:rsidR="00835753" w:rsidRPr="00835753">
              <w:rPr>
                <w:rFonts w:ascii="Times New Roman" w:hAnsi="Times New Roman"/>
                <w:sz w:val="24"/>
              </w:rPr>
              <w:t xml:space="preserve"> a</w:t>
            </w:r>
            <w:r w:rsidR="00835753">
              <w:rPr>
                <w:rFonts w:ascii="Times New Roman" w:hAnsi="Times New Roman"/>
                <w:sz w:val="24"/>
              </w:rPr>
              <w:t> </w:t>
            </w:r>
            <w:r w:rsidR="00835753" w:rsidRPr="00835753">
              <w:rPr>
                <w:rFonts w:ascii="Times New Roman" w:hAnsi="Times New Roman"/>
                <w:sz w:val="24"/>
              </w:rPr>
              <w:t>duż</w:t>
            </w:r>
            <w:r w:rsidRPr="00835753">
              <w:rPr>
                <w:rFonts w:ascii="Times New Roman" w:hAnsi="Times New Roman"/>
                <w:sz w:val="24"/>
              </w:rPr>
              <w:t xml:space="preserve">e jednostki zależne unijnych instytucji </w:t>
            </w:r>
            <w:r w:rsidRPr="00835753">
              <w:rPr>
                <w:rFonts w:ascii="Times New Roman" w:hAnsi="Times New Roman"/>
                <w:sz w:val="24"/>
              </w:rPr>
              <w:lastRenderedPageBreak/>
              <w:t>dominujących ujawniają te informacje na zasadzie indywidualnej lub,</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rozporządzeniem i CRD – na zasadzie subskonsolidowanej. Podmiot ujawniający zamieszcza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tej</w:t>
            </w:r>
            <w:r w:rsidRPr="00835753">
              <w:rPr>
                <w:rFonts w:ascii="Times New Roman" w:hAnsi="Times New Roman"/>
                <w:sz w:val="24"/>
              </w:rPr>
              <w:t xml:space="preserve"> kolumnie informacje na temat swojego organu zarządzającego</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ujawniania informacji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6</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3 CRR informacje ujawnia się na poziomie skonsolidowanym lub subskonsolidowanym –</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tak</w:t>
            </w:r>
            <w:r w:rsidRPr="00835753">
              <w:rPr>
                <w:rFonts w:ascii="Times New Roman" w:hAnsi="Times New Roman"/>
                <w:sz w:val="24"/>
              </w:rPr>
              <w:t>im przypadku informacje na temat określonego personelu organów zarządzających jednostek zależnych należy ujawnić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odpowiednich obszarów działalności.</w:t>
            </w:r>
          </w:p>
        </w:tc>
      </w:tr>
      <w:tr w:rsidR="009360C9" w:rsidRPr="00835753"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835753" w:rsidRDefault="009360C9" w:rsidP="006D005E">
            <w:pPr>
              <w:autoSpaceDE w:val="0"/>
              <w:autoSpaceDN w:val="0"/>
              <w:adjustRightInd w:val="0"/>
              <w:jc w:val="center"/>
              <w:rPr>
                <w:rFonts w:ascii="Times New Roman" w:hAnsi="Times New Roman" w:cs="Times New Roman"/>
                <w:sz w:val="24"/>
              </w:rPr>
            </w:pPr>
            <w:proofErr w:type="gramStart"/>
            <w:r w:rsidRPr="00835753">
              <w:rPr>
                <w:rFonts w:ascii="Times New Roman" w:hAnsi="Times New Roman"/>
                <w:sz w:val="24"/>
              </w:rPr>
              <w:lastRenderedPageBreak/>
              <w:t>c</w:t>
            </w:r>
            <w:proofErr w:type="gramEnd"/>
            <w:r w:rsidRPr="00835753">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835753" w:rsidRDefault="009360C9" w:rsidP="00155C96">
            <w:pPr>
              <w:autoSpaceDE w:val="0"/>
              <w:autoSpaceDN w:val="0"/>
              <w:adjustRightInd w:val="0"/>
              <w:spacing w:before="60" w:after="120"/>
              <w:jc w:val="both"/>
              <w:rPr>
                <w:rFonts w:ascii="Times New Roman" w:hAnsi="Times New Roman"/>
                <w:sz w:val="24"/>
              </w:rPr>
            </w:pPr>
            <w:r w:rsidRPr="00835753">
              <w:rPr>
                <w:rFonts w:ascii="Times New Roman" w:hAnsi="Times New Roman"/>
                <w:sz w:val="24"/>
              </w:rPr>
              <w:t>Pozostali członkowie kadry kierowniczej wyższego szczebla</w:t>
            </w:r>
          </w:p>
          <w:p w14:paraId="7260CFA7" w14:textId="3F65062B"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Kadra kierownicza wyższego szczebla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def</w:t>
            </w:r>
            <w:r w:rsidRPr="00835753">
              <w:rPr>
                <w:rFonts w:ascii="Times New Roman" w:hAnsi="Times New Roman"/>
                <w:sz w:val="24"/>
              </w:rPr>
              <w:t>inicją zawartą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 ust.</w:t>
            </w:r>
            <w:r w:rsidR="00835753" w:rsidRPr="00835753">
              <w:rPr>
                <w:rFonts w:ascii="Times New Roman" w:hAnsi="Times New Roman"/>
                <w:sz w:val="24"/>
              </w:rPr>
              <w:t> </w:t>
            </w:r>
            <w:r w:rsidRPr="00835753">
              <w:rPr>
                <w:rFonts w:ascii="Times New Roman" w:hAnsi="Times New Roman"/>
                <w:sz w:val="24"/>
              </w:rPr>
              <w:t>1 pkt</w:t>
            </w:r>
            <w:r w:rsidR="00835753" w:rsidRPr="00835753">
              <w:rPr>
                <w:rFonts w:ascii="Times New Roman" w:hAnsi="Times New Roman"/>
                <w:sz w:val="24"/>
              </w:rPr>
              <w:t> </w:t>
            </w:r>
            <w:r w:rsidRPr="00835753">
              <w:rPr>
                <w:rFonts w:ascii="Times New Roman" w:hAnsi="Times New Roman"/>
                <w:sz w:val="24"/>
              </w:rPr>
              <w:t>9 CRD</w:t>
            </w:r>
          </w:p>
          <w:p w14:paraId="070B2B90" w14:textId="664E2BF6"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Instytucje ujawniają liczbę członków kadry kierowniczej wyższego szczebla, których nie ujawniono jako członków organu zarządzającego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jeg</w:t>
            </w:r>
            <w:r w:rsidRPr="00835753">
              <w:rPr>
                <w:rFonts w:ascii="Times New Roman" w:hAnsi="Times New Roman"/>
                <w:sz w:val="24"/>
              </w:rPr>
              <w:t>o funkcji zarządzania ani jako Pozostały określony personel. Instytucje ujawniają informacje na podstawie EPC.</w:t>
            </w:r>
          </w:p>
        </w:tc>
      </w:tr>
      <w:tr w:rsidR="009360C9" w:rsidRPr="00835753"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835753" w:rsidRDefault="009360C9" w:rsidP="006D005E">
            <w:pPr>
              <w:autoSpaceDE w:val="0"/>
              <w:autoSpaceDN w:val="0"/>
              <w:adjustRightInd w:val="0"/>
              <w:jc w:val="center"/>
              <w:rPr>
                <w:rFonts w:ascii="Times New Roman" w:hAnsi="Times New Roman" w:cs="Times New Roman"/>
                <w:sz w:val="24"/>
              </w:rPr>
            </w:pPr>
            <w:proofErr w:type="gramStart"/>
            <w:r w:rsidRPr="00835753">
              <w:rPr>
                <w:rFonts w:ascii="Times New Roman" w:hAnsi="Times New Roman"/>
                <w:sz w:val="24"/>
              </w:rPr>
              <w:t>d</w:t>
            </w:r>
            <w:proofErr w:type="gramEnd"/>
            <w:r w:rsidRPr="00835753">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835753" w:rsidRDefault="009360C9" w:rsidP="00155C96">
            <w:pPr>
              <w:autoSpaceDE w:val="0"/>
              <w:autoSpaceDN w:val="0"/>
              <w:adjustRightInd w:val="0"/>
              <w:spacing w:before="60" w:after="120"/>
              <w:jc w:val="both"/>
              <w:rPr>
                <w:rFonts w:ascii="Times New Roman" w:hAnsi="Times New Roman"/>
                <w:sz w:val="24"/>
              </w:rPr>
            </w:pPr>
            <w:r w:rsidRPr="00835753">
              <w:rPr>
                <w:rFonts w:ascii="Times New Roman" w:hAnsi="Times New Roman"/>
                <w:sz w:val="24"/>
              </w:rPr>
              <w:t>Pozostały określony personel</w:t>
            </w:r>
          </w:p>
          <w:p w14:paraId="06269748" w14:textId="0152490F"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Pracownicy niebędący członkami organu zarządzającego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jeg</w:t>
            </w:r>
            <w:r w:rsidRPr="00835753">
              <w:rPr>
                <w:rFonts w:ascii="Times New Roman" w:hAnsi="Times New Roman"/>
                <w:sz w:val="24"/>
              </w:rPr>
              <w:t>o funkcji nadzorczej lub funkcji zarządzania oraz niebędący członkami kadry kierowniczej wyższego szczebla, których działalność zawodowa ma istotny wpływ na profil ryzyka instytucji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kry</w:t>
            </w:r>
            <w:r w:rsidRPr="00835753">
              <w:rPr>
                <w:rFonts w:ascii="Times New Roman" w:hAnsi="Times New Roman"/>
                <w:sz w:val="24"/>
              </w:rPr>
              <w:t>teriami określonymi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porządzeniu delegowanym Komisji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awie określonego personelu wdrażającym art.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2 CRD oraz,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 xml:space="preserve">sownych przypadkach, dodatkowo na podstawie kryteriów instytucji </w:t>
            </w:r>
          </w:p>
          <w:p w14:paraId="11866154" w14:textId="4D71DF30"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Instytucje mogą uwzględnić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wzorze podział na obszary działalności zaproponowany we wzorze EU REM5. Instytucje ujawniają informacje na podstawie EPC.</w:t>
            </w:r>
          </w:p>
        </w:tc>
      </w:tr>
    </w:tbl>
    <w:p w14:paraId="0A85B964" w14:textId="77777777" w:rsidR="009360C9" w:rsidRPr="00835753" w:rsidRDefault="009360C9" w:rsidP="009360C9">
      <w:pPr>
        <w:pStyle w:val="Titlelevel2"/>
        <w:spacing w:before="120" w:after="120"/>
        <w:rPr>
          <w:rFonts w:ascii="Times New Roman" w:hAnsi="Times New Roman" w:cs="Times New Roman"/>
          <w:color w:val="auto"/>
          <w:sz w:val="24"/>
        </w:rPr>
      </w:pPr>
    </w:p>
    <w:p w14:paraId="4725DE5C" w14:textId="08FB92B3" w:rsidR="009360C9" w:rsidRPr="00835753" w:rsidRDefault="00D95507" w:rsidP="009360C9">
      <w:pPr>
        <w:pStyle w:val="Titlelevel2"/>
        <w:spacing w:before="120" w:after="120"/>
        <w:rPr>
          <w:rFonts w:ascii="Times New Roman" w:hAnsi="Times New Roman" w:cs="Times New Roman"/>
          <w:b/>
          <w:color w:val="auto"/>
          <w:sz w:val="24"/>
        </w:rPr>
      </w:pPr>
      <w:r w:rsidRPr="00835753">
        <w:rPr>
          <w:rFonts w:ascii="Times New Roman" w:hAnsi="Times New Roman"/>
          <w:b/>
          <w:color w:val="auto"/>
          <w:sz w:val="24"/>
        </w:rPr>
        <w:t xml:space="preserve">Wzór EU REM2 – Płatności specjalne na rzecz pracowników, których działalność zawodowa ma istotny wpływ na profil ryzyka instytucji (określony personel). </w:t>
      </w:r>
      <w:r w:rsidRPr="00835753">
        <w:rPr>
          <w:rFonts w:ascii="Times New Roman" w:hAnsi="Times New Roman"/>
          <w:color w:val="auto"/>
          <w:sz w:val="24"/>
        </w:rPr>
        <w:t>Format stały</w:t>
      </w:r>
    </w:p>
    <w:p w14:paraId="12D04FA2" w14:textId="131671E3" w:rsidR="009360C9" w:rsidRPr="00835753"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35753">
        <w:rPr>
          <w:rFonts w:ascii="Times New Roman" w:hAnsi="Times New Roman"/>
          <w:bCs w:val="0"/>
          <w:color w:val="auto"/>
          <w:sz w:val="24"/>
        </w:rPr>
        <w:t>W celu wypełnienia wzoru EU REM2 zamieszczonego</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zał</w:t>
      </w:r>
      <w:r w:rsidRPr="00835753">
        <w:rPr>
          <w:rFonts w:ascii="Times New Roman" w:hAnsi="Times New Roman"/>
          <w:bCs w:val="0"/>
          <w:color w:val="auto"/>
          <w:sz w:val="24"/>
        </w:rPr>
        <w:t>ączniku XXXIII do niniejszego rozporządzenia wykonawczego instytucje ujawniają informacje,</w:t>
      </w:r>
      <w:r w:rsidR="00835753" w:rsidRPr="00835753">
        <w:rPr>
          <w:rFonts w:ascii="Times New Roman" w:hAnsi="Times New Roman"/>
          <w:bCs w:val="0"/>
          <w:color w:val="auto"/>
          <w:sz w:val="24"/>
        </w:rPr>
        <w:t xml:space="preserve"> o</w:t>
      </w:r>
      <w:r w:rsidR="00835753">
        <w:rPr>
          <w:rFonts w:ascii="Times New Roman" w:hAnsi="Times New Roman"/>
          <w:bCs w:val="0"/>
          <w:color w:val="auto"/>
          <w:sz w:val="24"/>
        </w:rPr>
        <w:t> </w:t>
      </w:r>
      <w:r w:rsidR="00835753" w:rsidRPr="00835753">
        <w:rPr>
          <w:rFonts w:ascii="Times New Roman" w:hAnsi="Times New Roman"/>
          <w:bCs w:val="0"/>
          <w:color w:val="auto"/>
          <w:sz w:val="24"/>
        </w:rPr>
        <w:t>któ</w:t>
      </w:r>
      <w:r w:rsidRPr="00835753">
        <w:rPr>
          <w:rFonts w:ascii="Times New Roman" w:hAnsi="Times New Roman"/>
          <w:bCs w:val="0"/>
          <w:color w:val="auto"/>
          <w:sz w:val="24"/>
        </w:rPr>
        <w:t>rych mowa</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art</w:t>
      </w:r>
      <w:r w:rsidRPr="00835753">
        <w:rPr>
          <w:rFonts w:ascii="Times New Roman" w:hAnsi="Times New Roman"/>
          <w:bCs w:val="0"/>
          <w:color w:val="auto"/>
          <w:sz w:val="24"/>
        </w:rPr>
        <w:t>.</w:t>
      </w:r>
      <w:r w:rsidR="00835753" w:rsidRPr="00835753">
        <w:rPr>
          <w:rFonts w:ascii="Times New Roman" w:hAnsi="Times New Roman"/>
          <w:bCs w:val="0"/>
          <w:color w:val="auto"/>
          <w:sz w:val="24"/>
        </w:rPr>
        <w:t> </w:t>
      </w:r>
      <w:r w:rsidRPr="00835753">
        <w:rPr>
          <w:rFonts w:ascii="Times New Roman" w:hAnsi="Times New Roman"/>
          <w:bCs w:val="0"/>
          <w:color w:val="auto"/>
          <w:sz w:val="24"/>
        </w:rPr>
        <w:t>450 ust.</w:t>
      </w:r>
      <w:r w:rsidR="00835753" w:rsidRPr="00835753">
        <w:rPr>
          <w:rFonts w:ascii="Times New Roman" w:hAnsi="Times New Roman"/>
          <w:bCs w:val="0"/>
          <w:color w:val="auto"/>
          <w:sz w:val="24"/>
        </w:rPr>
        <w:t> </w:t>
      </w:r>
      <w:r w:rsidRPr="00835753">
        <w:rPr>
          <w:rFonts w:ascii="Times New Roman" w:hAnsi="Times New Roman"/>
          <w:bCs w:val="0"/>
          <w:color w:val="auto"/>
          <w:sz w:val="24"/>
        </w:rPr>
        <w:t>1 lit.</w:t>
      </w:r>
      <w:r w:rsidR="00835753" w:rsidRPr="00835753">
        <w:rPr>
          <w:rFonts w:ascii="Times New Roman" w:hAnsi="Times New Roman"/>
          <w:bCs w:val="0"/>
          <w:color w:val="auto"/>
          <w:sz w:val="24"/>
        </w:rPr>
        <w:t> </w:t>
      </w:r>
      <w:r w:rsidRPr="00835753">
        <w:rPr>
          <w:rFonts w:ascii="Times New Roman" w:hAnsi="Times New Roman"/>
          <w:bCs w:val="0"/>
          <w:color w:val="auto"/>
          <w:sz w:val="24"/>
        </w:rPr>
        <w:t>h) ppkt (v</w:t>
      </w:r>
      <w:proofErr w:type="gramStart"/>
      <w:r w:rsidRPr="00835753">
        <w:rPr>
          <w:rFonts w:ascii="Times New Roman" w:hAnsi="Times New Roman"/>
          <w:bCs w:val="0"/>
          <w:color w:val="auto"/>
          <w:sz w:val="24"/>
        </w:rPr>
        <w:t>)–(vii</w:t>
      </w:r>
      <w:proofErr w:type="gramEnd"/>
      <w:r w:rsidRPr="00835753">
        <w:rPr>
          <w:rFonts w:ascii="Times New Roman" w:hAnsi="Times New Roman"/>
          <w:bCs w:val="0"/>
          <w:color w:val="auto"/>
          <w:sz w:val="24"/>
        </w:rPr>
        <w:t>) CRR, zgodnie</w:t>
      </w:r>
      <w:r w:rsidR="00835753" w:rsidRPr="00835753">
        <w:rPr>
          <w:rFonts w:ascii="Times New Roman" w:hAnsi="Times New Roman"/>
          <w:bCs w:val="0"/>
          <w:color w:val="auto"/>
          <w:sz w:val="24"/>
        </w:rPr>
        <w:t xml:space="preserve"> z</w:t>
      </w:r>
      <w:r w:rsidR="00835753">
        <w:rPr>
          <w:rFonts w:ascii="Times New Roman" w:hAnsi="Times New Roman"/>
          <w:bCs w:val="0"/>
          <w:color w:val="auto"/>
          <w:sz w:val="24"/>
        </w:rPr>
        <w:t> </w:t>
      </w:r>
      <w:r w:rsidR="00835753" w:rsidRPr="00835753">
        <w:rPr>
          <w:rFonts w:ascii="Times New Roman" w:hAnsi="Times New Roman"/>
          <w:bCs w:val="0"/>
          <w:color w:val="auto"/>
          <w:sz w:val="24"/>
        </w:rPr>
        <w:t>pon</w:t>
      </w:r>
      <w:r w:rsidRPr="00835753">
        <w:rPr>
          <w:rFonts w:ascii="Times New Roman" w:hAnsi="Times New Roman"/>
          <w:bCs w:val="0"/>
          <w:color w:val="auto"/>
          <w:sz w:val="24"/>
        </w:rPr>
        <w:t>iższymi instrukcjami zawartymi</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nin</w:t>
      </w:r>
      <w:r w:rsidRPr="00835753">
        <w:rPr>
          <w:rFonts w:ascii="Times New Roman" w:hAnsi="Times New Roman"/>
          <w:bCs w:val="0"/>
          <w:color w:val="auto"/>
          <w:sz w:val="24"/>
        </w:rPr>
        <w:t>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835753"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228A263D" w:rsidR="009360C9" w:rsidRPr="00835753" w:rsidRDefault="009360C9" w:rsidP="00155C96">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9360C9" w:rsidRPr="00835753" w14:paraId="167E12F4" w14:textId="77777777" w:rsidTr="00155C96">
        <w:trPr>
          <w:trHeight w:val="238"/>
        </w:trPr>
        <w:tc>
          <w:tcPr>
            <w:tcW w:w="1384" w:type="dxa"/>
            <w:shd w:val="clear" w:color="auto" w:fill="D9D9D9" w:themeFill="background1" w:themeFillShade="D9"/>
          </w:tcPr>
          <w:p w14:paraId="0C0AA326" w14:textId="77777777" w:rsidR="009360C9" w:rsidRPr="00835753" w:rsidRDefault="009360C9" w:rsidP="00155C96">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0F2195D7" w14:textId="77777777" w:rsidR="009360C9" w:rsidRPr="00835753" w:rsidRDefault="009360C9" w:rsidP="00155C96">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9360C9" w:rsidRPr="00835753"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F285FBA" w:rsidR="009360C9" w:rsidRPr="00835753" w:rsidRDefault="009360C9" w:rsidP="006D005E">
            <w:pPr>
              <w:pStyle w:val="Applicationdirecte"/>
              <w:spacing w:before="0" w:after="0"/>
              <w:jc w:val="center"/>
            </w:pPr>
            <w:r w:rsidRPr="00835753">
              <w:t>1, 4</w:t>
            </w:r>
            <w:r w:rsidR="00835753" w:rsidRPr="00835753">
              <w:t xml:space="preserve"> i</w:t>
            </w:r>
            <w:r w:rsidR="00835753">
              <w:t> </w:t>
            </w:r>
            <w:r w:rsidR="00835753" w:rsidRPr="00835753">
              <w:t>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835753" w:rsidRDefault="009360C9" w:rsidP="00FD7616">
            <w:pPr>
              <w:spacing w:before="60" w:after="120"/>
              <w:jc w:val="both"/>
              <w:rPr>
                <w:rFonts w:ascii="Times New Roman" w:hAnsi="Times New Roman"/>
                <w:b/>
                <w:sz w:val="24"/>
              </w:rPr>
            </w:pPr>
            <w:r w:rsidRPr="00835753">
              <w:rPr>
                <w:rFonts w:ascii="Times New Roman" w:hAnsi="Times New Roman"/>
                <w:b/>
                <w:sz w:val="24"/>
              </w:rPr>
              <w:t>Liczba pracowników należących do określonego personelu</w:t>
            </w:r>
          </w:p>
          <w:p w14:paraId="339D83E5" w14:textId="25F3AB94" w:rsidR="009360C9" w:rsidRPr="00835753" w:rsidRDefault="009360C9" w:rsidP="00FD7616">
            <w:pPr>
              <w:spacing w:before="60" w:after="120"/>
              <w:jc w:val="both"/>
              <w:rPr>
                <w:rFonts w:ascii="Times New Roman" w:hAnsi="Times New Roman" w:cs="Times New Roman"/>
                <w:sz w:val="24"/>
              </w:rPr>
            </w:pPr>
            <w:r w:rsidRPr="00835753">
              <w:rPr>
                <w:rFonts w:ascii="Times New Roman" w:hAnsi="Times New Roman"/>
                <w:sz w:val="24"/>
              </w:rPr>
              <w:t>Liczba pracowników należących do określonego personelu, których działalność zawodowa ma istotny wpływ na profil ryzyka instytucji,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92 CRD oraz</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delegowanym Komisji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 xml:space="preserve">awie </w:t>
            </w:r>
            <w:r w:rsidRPr="00835753">
              <w:rPr>
                <w:rFonts w:ascii="Times New Roman" w:hAnsi="Times New Roman"/>
                <w:sz w:val="24"/>
              </w:rPr>
              <w:lastRenderedPageBreak/>
              <w:t>zidentyfikowanych pracowników wdrażającym art.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2 CRD,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odn</w:t>
            </w:r>
            <w:r w:rsidRPr="00835753">
              <w:rPr>
                <w:rFonts w:ascii="Times New Roman" w:hAnsi="Times New Roman"/>
                <w:sz w:val="24"/>
              </w:rPr>
              <w:t>iesieniu do każdego</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pos</w:t>
            </w:r>
            <w:r w:rsidRPr="00835753">
              <w:rPr>
                <w:rFonts w:ascii="Times New Roman" w:hAnsi="Times New Roman"/>
                <w:sz w:val="24"/>
              </w:rPr>
              <w:t>zczególnych składników wynagrodzenia</w:t>
            </w:r>
          </w:p>
          <w:p w14:paraId="3CD9C986" w14:textId="3F1E8779" w:rsidR="009360C9" w:rsidRPr="00835753" w:rsidRDefault="009360C9" w:rsidP="00FD7616">
            <w:pPr>
              <w:spacing w:before="60" w:after="120"/>
              <w:jc w:val="both"/>
              <w:rPr>
                <w:rFonts w:ascii="Times New Roman" w:hAnsi="Times New Roman" w:cs="Times New Roman"/>
                <w:sz w:val="24"/>
              </w:rPr>
            </w:pPr>
            <w:r w:rsidRPr="00835753">
              <w:rPr>
                <w:rFonts w:ascii="Times New Roman" w:hAnsi="Times New Roman"/>
                <w:sz w:val="24"/>
              </w:rPr>
              <w:t>W przypadku kolumn a) oraz b) (organ zarządzający) niniejszego wzoru wartość opiera się na liczbie osób</w:t>
            </w:r>
            <w:r w:rsidR="00835753" w:rsidRPr="00835753">
              <w:rPr>
                <w:rFonts w:ascii="Times New Roman" w:hAnsi="Times New Roman"/>
                <w:sz w:val="24"/>
              </w:rPr>
              <w:t>.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kolumn c) oraz d) niniejszego wzoru wartość oblicza się</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wyk</w:t>
            </w:r>
            <w:r w:rsidRPr="00835753">
              <w:rPr>
                <w:rFonts w:ascii="Times New Roman" w:hAnsi="Times New Roman"/>
                <w:sz w:val="24"/>
              </w:rPr>
              <w:t>orzystaniem metody EPC (ekwiwalentu pełnego czasu pracy).</w:t>
            </w:r>
          </w:p>
          <w:p w14:paraId="0A14F1A6" w14:textId="2D506E7A" w:rsidR="009360C9" w:rsidRPr="00835753" w:rsidRDefault="009360C9" w:rsidP="00FD7616">
            <w:pPr>
              <w:spacing w:before="60" w:after="120"/>
              <w:jc w:val="both"/>
              <w:rPr>
                <w:rFonts w:ascii="Times New Roman" w:hAnsi="Times New Roman" w:cs="Times New Roman"/>
                <w:sz w:val="24"/>
              </w:rPr>
            </w:pPr>
            <w:r w:rsidRPr="00835753">
              <w:rPr>
                <w:rFonts w:ascii="Times New Roman" w:hAnsi="Times New Roman"/>
                <w:sz w:val="24"/>
              </w:rPr>
              <w:t>Wiersz 4 niniejszego wzoru odnosi się do płatności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rawą przyznanych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pop</w:t>
            </w:r>
            <w:r w:rsidRPr="00835753">
              <w:rPr>
                <w:rFonts w:ascii="Times New Roman" w:hAnsi="Times New Roman"/>
                <w:sz w:val="24"/>
              </w:rPr>
              <w:t>rzednich okresach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wyp</w:t>
            </w:r>
            <w:r w:rsidRPr="00835753">
              <w:rPr>
                <w:rFonts w:ascii="Times New Roman" w:hAnsi="Times New Roman"/>
                <w:sz w:val="24"/>
              </w:rPr>
              <w:t>łaconych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roku obrachunkowym (obecnym roku), podczas gdy wiersz 6 niniejszego wzoru odnosi się do płatności przyznanych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roku obrachunkowym (obecnym roku).</w:t>
            </w:r>
          </w:p>
        </w:tc>
      </w:tr>
      <w:tr w:rsidR="009360C9" w:rsidRPr="00835753"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835753" w:rsidRDefault="009360C9" w:rsidP="006D005E">
            <w:pPr>
              <w:pStyle w:val="Applicationdirecte"/>
              <w:spacing w:before="0" w:after="0"/>
              <w:jc w:val="center"/>
            </w:pPr>
            <w:r w:rsidRPr="00835753">
              <w:lastRenderedPageBreak/>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835753" w:rsidRDefault="009360C9" w:rsidP="00FD7616">
            <w:pPr>
              <w:spacing w:before="60" w:after="120"/>
              <w:jc w:val="both"/>
              <w:rPr>
                <w:rFonts w:ascii="Times New Roman" w:hAnsi="Times New Roman"/>
                <w:b/>
                <w:sz w:val="24"/>
              </w:rPr>
            </w:pPr>
            <w:r w:rsidRPr="00835753">
              <w:rPr>
                <w:rFonts w:ascii="Times New Roman" w:hAnsi="Times New Roman"/>
                <w:b/>
                <w:sz w:val="24"/>
              </w:rPr>
              <w:t>Przyznane gwarantowane wynagrodzenie zmienne – całkowita kwota</w:t>
            </w:r>
          </w:p>
          <w:p w14:paraId="4ED4990E" w14:textId="26C0CAC3" w:rsidR="009360C9" w:rsidRPr="00835753" w:rsidRDefault="009360C9" w:rsidP="00FD7616">
            <w:pPr>
              <w:spacing w:before="60" w:after="120"/>
              <w:jc w:val="both"/>
              <w:rPr>
                <w:rFonts w:ascii="Times New Roman" w:hAnsi="Times New Roman" w:cs="Times New Roman"/>
                <w:sz w:val="24"/>
              </w:rPr>
            </w:pPr>
            <w:r w:rsidRPr="00835753">
              <w:rPr>
                <w:rFonts w:ascii="Times New Roman" w:hAnsi="Times New Roman"/>
                <w:sz w:val="24"/>
              </w:rPr>
              <w:t>Wysokość przyznanego gwarantowanego wynagrodzenia zmiennego,</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rym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e) CRD</w:t>
            </w:r>
          </w:p>
        </w:tc>
      </w:tr>
      <w:tr w:rsidR="009360C9" w:rsidRPr="00835753"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835753" w:rsidRDefault="009360C9" w:rsidP="006D005E">
            <w:pPr>
              <w:pStyle w:val="Applicationdirecte"/>
              <w:spacing w:before="0" w:after="0"/>
              <w:jc w:val="center"/>
            </w:pPr>
            <w:r w:rsidRPr="00835753">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4F9A2ACA" w:rsidR="009360C9" w:rsidRPr="00835753" w:rsidRDefault="009360C9" w:rsidP="00FD7616">
            <w:pPr>
              <w:spacing w:before="60" w:after="120"/>
              <w:jc w:val="both"/>
              <w:rPr>
                <w:rFonts w:ascii="Times New Roman" w:hAnsi="Times New Roman"/>
                <w:b/>
                <w:sz w:val="24"/>
              </w:rPr>
            </w:pPr>
            <w:r w:rsidRPr="00835753">
              <w:rPr>
                <w:rFonts w:ascii="Times New Roman" w:hAnsi="Times New Roman"/>
                <w:b/>
                <w:sz w:val="24"/>
              </w:rPr>
              <w:t>W tym przyznane gwarantowane wynagrodzenie zmienne wypłacone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dan</w:t>
            </w:r>
            <w:r w:rsidRPr="00835753">
              <w:rPr>
                <w:rFonts w:ascii="Times New Roman" w:hAnsi="Times New Roman"/>
                <w:b/>
                <w:sz w:val="24"/>
              </w:rPr>
              <w:t>ym roku obrachunkowym, którego nie uwzględnia się</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lim</w:t>
            </w:r>
            <w:r w:rsidRPr="00835753">
              <w:rPr>
                <w:rFonts w:ascii="Times New Roman" w:hAnsi="Times New Roman"/>
                <w:b/>
                <w:sz w:val="24"/>
              </w:rPr>
              <w:t>icie premii</w:t>
            </w:r>
          </w:p>
          <w:p w14:paraId="55DAB21F" w14:textId="1C7222B7" w:rsidR="009360C9" w:rsidRPr="00835753" w:rsidRDefault="009360C9" w:rsidP="00FD7616">
            <w:pPr>
              <w:spacing w:before="60" w:after="120"/>
              <w:jc w:val="both"/>
              <w:rPr>
                <w:rFonts w:ascii="Times New Roman" w:hAnsi="Times New Roman" w:cs="Times New Roman"/>
                <w:sz w:val="24"/>
              </w:rPr>
            </w:pPr>
            <w:r w:rsidRPr="00835753">
              <w:rPr>
                <w:rFonts w:ascii="Times New Roman" w:hAnsi="Times New Roman"/>
                <w:sz w:val="24"/>
              </w:rPr>
              <w:t>Kwoty przyznanego gwarantowanego wynagrodzenia zmiennego,</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rym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e) CRD, wypłaconego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roku obrachunkowym (obecnym roku), którego nie uwzględnia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lim</w:t>
            </w:r>
            <w:r w:rsidRPr="00835753">
              <w:rPr>
                <w:rFonts w:ascii="Times New Roman" w:hAnsi="Times New Roman"/>
                <w:sz w:val="24"/>
              </w:rPr>
              <w:t>icie premii</w:t>
            </w:r>
          </w:p>
          <w:p w14:paraId="41F03CBB" w14:textId="5FDDF377" w:rsidR="009360C9" w:rsidRPr="00835753" w:rsidRDefault="009360C9" w:rsidP="00FD7616">
            <w:pPr>
              <w:spacing w:before="60" w:after="120"/>
              <w:jc w:val="both"/>
              <w:rPr>
                <w:rFonts w:ascii="Times New Roman" w:hAnsi="Times New Roman"/>
                <w:sz w:val="24"/>
              </w:rPr>
            </w:pPr>
            <w:r w:rsidRPr="00835753">
              <w:rPr>
                <w:rFonts w:ascii="Times New Roman" w:hAnsi="Times New Roman"/>
                <w:sz w:val="24"/>
              </w:rPr>
              <w:t>W odniesieniu do ujawnianych informacji,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450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g) oraz art.</w:t>
            </w:r>
            <w:r w:rsidR="00835753" w:rsidRPr="00835753">
              <w:rPr>
                <w:rFonts w:ascii="Times New Roman" w:hAnsi="Times New Roman"/>
                <w:sz w:val="24"/>
              </w:rPr>
              <w:t> </w:t>
            </w:r>
            <w:r w:rsidRPr="00835753">
              <w:rPr>
                <w:rFonts w:ascii="Times New Roman" w:hAnsi="Times New Roman"/>
                <w:sz w:val="24"/>
              </w:rPr>
              <w:t>450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h) ppkt (v</w:t>
            </w:r>
            <w:proofErr w:type="gramStart"/>
            <w:r w:rsidRPr="00835753">
              <w:rPr>
                <w:rFonts w:ascii="Times New Roman" w:hAnsi="Times New Roman"/>
                <w:sz w:val="24"/>
              </w:rPr>
              <w:t>)–(vi</w:t>
            </w:r>
            <w:proofErr w:type="gramEnd"/>
            <w:r w:rsidRPr="00835753">
              <w:rPr>
                <w:rFonts w:ascii="Times New Roman" w:hAnsi="Times New Roman"/>
                <w:sz w:val="24"/>
              </w:rPr>
              <w:t>) CRR, instytucje jasno określają, czy zagregowane informacje ilościowe dotyczące wynagrodzenia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ziałem na obszary działalności przedsiębiorstwa odzwierciedlają limit premii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płatności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yjęciem do pracy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rawą.</w:t>
            </w:r>
          </w:p>
        </w:tc>
      </w:tr>
      <w:tr w:rsidR="009360C9" w:rsidRPr="00835753"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835753" w:rsidRDefault="009360C9" w:rsidP="006D005E">
            <w:pPr>
              <w:pStyle w:val="Applicationdirecte"/>
              <w:spacing w:before="0" w:after="0"/>
              <w:jc w:val="center"/>
            </w:pPr>
            <w:r w:rsidRPr="00835753">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33F6B60" w:rsidR="009360C9" w:rsidRPr="00835753" w:rsidRDefault="009360C9" w:rsidP="00FD7616">
            <w:pPr>
              <w:spacing w:before="60" w:after="120"/>
              <w:jc w:val="both"/>
              <w:rPr>
                <w:rFonts w:ascii="Times New Roman" w:hAnsi="Times New Roman"/>
                <w:b/>
                <w:sz w:val="24"/>
              </w:rPr>
            </w:pPr>
            <w:r w:rsidRPr="00835753">
              <w:rPr>
                <w:rFonts w:ascii="Times New Roman" w:hAnsi="Times New Roman"/>
                <w:b/>
                <w:sz w:val="24"/>
              </w:rPr>
              <w:t>Płatności związane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odp</w:t>
            </w:r>
            <w:r w:rsidRPr="00835753">
              <w:rPr>
                <w:rFonts w:ascii="Times New Roman" w:hAnsi="Times New Roman"/>
                <w:b/>
                <w:sz w:val="24"/>
              </w:rPr>
              <w:t>rawą przyznane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pop</w:t>
            </w:r>
            <w:r w:rsidRPr="00835753">
              <w:rPr>
                <w:rFonts w:ascii="Times New Roman" w:hAnsi="Times New Roman"/>
                <w:b/>
                <w:sz w:val="24"/>
              </w:rPr>
              <w:t>rzednich okresach</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dok</w:t>
            </w:r>
            <w:r w:rsidRPr="00835753">
              <w:rPr>
                <w:rFonts w:ascii="Times New Roman" w:hAnsi="Times New Roman"/>
                <w:b/>
                <w:sz w:val="24"/>
              </w:rPr>
              <w:t>onane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dan</w:t>
            </w:r>
            <w:r w:rsidRPr="00835753">
              <w:rPr>
                <w:rFonts w:ascii="Times New Roman" w:hAnsi="Times New Roman"/>
                <w:b/>
                <w:sz w:val="24"/>
              </w:rPr>
              <w:t>ym roku obrachunkowym – całkowita kwota</w:t>
            </w:r>
          </w:p>
          <w:p w14:paraId="7ECBBDBF" w14:textId="51E3ECA2" w:rsidR="009360C9" w:rsidRPr="00835753" w:rsidRDefault="009360C9" w:rsidP="00FD7616">
            <w:pPr>
              <w:spacing w:before="60" w:after="120"/>
              <w:jc w:val="both"/>
              <w:rPr>
                <w:rFonts w:ascii="Times New Roman" w:hAnsi="Times New Roman" w:cs="Times New Roman"/>
                <w:sz w:val="24"/>
              </w:rPr>
            </w:pPr>
            <w:r w:rsidRPr="00835753">
              <w:rPr>
                <w:rFonts w:ascii="Times New Roman" w:hAnsi="Times New Roman"/>
                <w:sz w:val="24"/>
              </w:rPr>
              <w:t>Kwota płatności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rawą,</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h) CRD, przyznanych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pop</w:t>
            </w:r>
            <w:r w:rsidRPr="00835753">
              <w:rPr>
                <w:rFonts w:ascii="Times New Roman" w:hAnsi="Times New Roman"/>
                <w:sz w:val="24"/>
              </w:rPr>
              <w:t>rzednich okresach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dok</w:t>
            </w:r>
            <w:r w:rsidRPr="00835753">
              <w:rPr>
                <w:rFonts w:ascii="Times New Roman" w:hAnsi="Times New Roman"/>
                <w:sz w:val="24"/>
              </w:rPr>
              <w:t>onanych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roku obrachunkowym (obecnym roku)</w:t>
            </w:r>
          </w:p>
        </w:tc>
      </w:tr>
      <w:tr w:rsidR="009360C9" w:rsidRPr="00835753"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835753" w:rsidRDefault="009360C9" w:rsidP="006D005E">
            <w:pPr>
              <w:pStyle w:val="Applicationdirecte"/>
              <w:spacing w:before="0" w:after="0"/>
              <w:jc w:val="center"/>
            </w:pPr>
            <w:r w:rsidRPr="00835753">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236E5560" w:rsidR="009360C9" w:rsidRPr="00835753" w:rsidRDefault="009360C9" w:rsidP="00FD7616">
            <w:pPr>
              <w:spacing w:before="60" w:after="120"/>
              <w:jc w:val="both"/>
              <w:rPr>
                <w:rFonts w:ascii="Times New Roman" w:hAnsi="Times New Roman"/>
                <w:b/>
                <w:sz w:val="24"/>
              </w:rPr>
            </w:pPr>
            <w:r w:rsidRPr="00835753">
              <w:rPr>
                <w:rFonts w:ascii="Times New Roman" w:hAnsi="Times New Roman"/>
                <w:b/>
                <w:sz w:val="24"/>
              </w:rPr>
              <w:t>Płatności związane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odp</w:t>
            </w:r>
            <w:r w:rsidRPr="00835753">
              <w:rPr>
                <w:rFonts w:ascii="Times New Roman" w:hAnsi="Times New Roman"/>
                <w:b/>
                <w:sz w:val="24"/>
              </w:rPr>
              <w:t>rawą przyznane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dan</w:t>
            </w:r>
            <w:r w:rsidRPr="00835753">
              <w:rPr>
                <w:rFonts w:ascii="Times New Roman" w:hAnsi="Times New Roman"/>
                <w:b/>
                <w:sz w:val="24"/>
              </w:rPr>
              <w:t>ym roku obrachunkowym – całkowita kwota</w:t>
            </w:r>
          </w:p>
          <w:p w14:paraId="51AE3F53" w14:textId="16001AE3" w:rsidR="009360C9" w:rsidRPr="00835753" w:rsidRDefault="009360C9" w:rsidP="00FD7616">
            <w:pPr>
              <w:spacing w:before="60" w:after="120"/>
              <w:jc w:val="both"/>
              <w:rPr>
                <w:rFonts w:ascii="Times New Roman" w:hAnsi="Times New Roman" w:cs="Times New Roman"/>
                <w:sz w:val="24"/>
              </w:rPr>
            </w:pPr>
            <w:r w:rsidRPr="00835753">
              <w:rPr>
                <w:rFonts w:ascii="Times New Roman" w:hAnsi="Times New Roman"/>
                <w:sz w:val="24"/>
              </w:rPr>
              <w:t>Kwota płatności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rawą,</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h) CRD, przyznanych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roku obrachunkowym (obecnym roku)</w:t>
            </w:r>
          </w:p>
        </w:tc>
      </w:tr>
      <w:tr w:rsidR="009360C9" w:rsidRPr="00835753"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835753" w:rsidRDefault="009360C9" w:rsidP="006D005E">
            <w:pPr>
              <w:pStyle w:val="Applicationdirecte"/>
              <w:spacing w:before="0" w:after="0"/>
              <w:jc w:val="center"/>
            </w:pPr>
            <w:r w:rsidRPr="00835753">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2E0E847D" w:rsidR="009360C9" w:rsidRPr="00835753" w:rsidRDefault="009360C9" w:rsidP="00FD7616">
            <w:pPr>
              <w:spacing w:before="60" w:after="120"/>
              <w:jc w:val="both"/>
              <w:rPr>
                <w:rFonts w:ascii="Times New Roman" w:hAnsi="Times New Roman"/>
                <w:b/>
                <w:sz w:val="24"/>
              </w:rPr>
            </w:pPr>
            <w:r w:rsidRPr="00835753">
              <w:rPr>
                <w:rFonts w:ascii="Times New Roman" w:hAnsi="Times New Roman"/>
                <w:b/>
                <w:sz w:val="24"/>
              </w:rPr>
              <w:t>W tym płatności związane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odp</w:t>
            </w:r>
            <w:r w:rsidRPr="00835753">
              <w:rPr>
                <w:rFonts w:ascii="Times New Roman" w:hAnsi="Times New Roman"/>
                <w:b/>
                <w:sz w:val="24"/>
              </w:rPr>
              <w:t>rawą przyznane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dan</w:t>
            </w:r>
            <w:r w:rsidRPr="00835753">
              <w:rPr>
                <w:rFonts w:ascii="Times New Roman" w:hAnsi="Times New Roman"/>
                <w:b/>
                <w:sz w:val="24"/>
              </w:rPr>
              <w:t>ym roku obrachunkowym – dokonane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dan</w:t>
            </w:r>
            <w:r w:rsidRPr="00835753">
              <w:rPr>
                <w:rFonts w:ascii="Times New Roman" w:hAnsi="Times New Roman"/>
                <w:b/>
                <w:sz w:val="24"/>
              </w:rPr>
              <w:t>ym roku obrachunkowym</w:t>
            </w:r>
          </w:p>
          <w:p w14:paraId="28EB2362" w14:textId="017B7625" w:rsidR="009360C9" w:rsidRPr="00835753" w:rsidRDefault="009360C9" w:rsidP="00FD7616">
            <w:pPr>
              <w:spacing w:before="60" w:after="120"/>
              <w:jc w:val="both"/>
              <w:rPr>
                <w:rFonts w:ascii="Times New Roman" w:hAnsi="Times New Roman"/>
                <w:sz w:val="24"/>
              </w:rPr>
            </w:pPr>
            <w:r w:rsidRPr="00835753">
              <w:rPr>
                <w:rFonts w:ascii="Times New Roman" w:hAnsi="Times New Roman"/>
                <w:sz w:val="24"/>
              </w:rPr>
              <w:t>Kwota płatności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rawą,</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h) CRD, przyznanych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roku obrachunkowym, których dokonano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roku obrachunkowym</w:t>
            </w:r>
          </w:p>
        </w:tc>
      </w:tr>
      <w:tr w:rsidR="009360C9" w:rsidRPr="00835753"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835753" w:rsidRDefault="009360C9" w:rsidP="006D005E">
            <w:pPr>
              <w:pStyle w:val="Applicationdirecte"/>
              <w:spacing w:before="0" w:after="0"/>
              <w:jc w:val="center"/>
            </w:pPr>
            <w:r w:rsidRPr="00835753">
              <w:lastRenderedPageBreak/>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12E821E0" w:rsidR="009360C9" w:rsidRPr="00835753" w:rsidRDefault="009360C9" w:rsidP="00FD7616">
            <w:pPr>
              <w:spacing w:before="60" w:after="120"/>
              <w:jc w:val="both"/>
              <w:rPr>
                <w:rFonts w:ascii="Times New Roman" w:hAnsi="Times New Roman"/>
                <w:b/>
                <w:sz w:val="24"/>
              </w:rPr>
            </w:pPr>
            <w:r w:rsidRPr="00835753">
              <w:rPr>
                <w:rFonts w:ascii="Times New Roman" w:hAnsi="Times New Roman"/>
                <w:b/>
                <w:sz w:val="24"/>
              </w:rPr>
              <w:t>W tym płatności związane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odp</w:t>
            </w:r>
            <w:r w:rsidRPr="00835753">
              <w:rPr>
                <w:rFonts w:ascii="Times New Roman" w:hAnsi="Times New Roman"/>
                <w:b/>
                <w:sz w:val="24"/>
              </w:rPr>
              <w:t>rawą przyznane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dan</w:t>
            </w:r>
            <w:r w:rsidRPr="00835753">
              <w:rPr>
                <w:rFonts w:ascii="Times New Roman" w:hAnsi="Times New Roman"/>
                <w:b/>
                <w:sz w:val="24"/>
              </w:rPr>
              <w:t>ym roku obrachunkowym – odroczone</w:t>
            </w:r>
          </w:p>
          <w:p w14:paraId="09BF78DA" w14:textId="5806A8B4" w:rsidR="009360C9" w:rsidRPr="00835753" w:rsidRDefault="009360C9" w:rsidP="00FD7616">
            <w:pPr>
              <w:spacing w:before="60" w:after="120"/>
              <w:jc w:val="both"/>
              <w:rPr>
                <w:rFonts w:ascii="Times New Roman" w:hAnsi="Times New Roman" w:cs="Times New Roman"/>
                <w:sz w:val="24"/>
              </w:rPr>
            </w:pPr>
            <w:r w:rsidRPr="00835753">
              <w:rPr>
                <w:rFonts w:ascii="Times New Roman" w:hAnsi="Times New Roman"/>
                <w:sz w:val="24"/>
              </w:rPr>
              <w:t>Kwoty płatności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rawą,</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h) CRD, przyznanych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roku obrachunkowym, które są odroczone, ustalone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CRD</w:t>
            </w:r>
          </w:p>
        </w:tc>
      </w:tr>
      <w:tr w:rsidR="009360C9" w:rsidRPr="00835753"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835753" w:rsidRDefault="009360C9" w:rsidP="006D005E">
            <w:pPr>
              <w:pStyle w:val="Applicationdirecte"/>
              <w:spacing w:before="0" w:after="0"/>
              <w:jc w:val="center"/>
            </w:pPr>
            <w:r w:rsidRPr="00835753">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6494681C" w:rsidR="009360C9" w:rsidRPr="00835753" w:rsidRDefault="009360C9" w:rsidP="00FD7616">
            <w:pPr>
              <w:spacing w:before="60" w:after="120"/>
              <w:jc w:val="both"/>
              <w:rPr>
                <w:rFonts w:ascii="Times New Roman" w:hAnsi="Times New Roman"/>
                <w:b/>
                <w:sz w:val="24"/>
              </w:rPr>
            </w:pPr>
            <w:r w:rsidRPr="00835753">
              <w:rPr>
                <w:rFonts w:ascii="Times New Roman" w:hAnsi="Times New Roman"/>
                <w:b/>
                <w:sz w:val="24"/>
              </w:rPr>
              <w:t>W tym płatności związane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odp</w:t>
            </w:r>
            <w:r w:rsidRPr="00835753">
              <w:rPr>
                <w:rFonts w:ascii="Times New Roman" w:hAnsi="Times New Roman"/>
                <w:b/>
                <w:sz w:val="24"/>
              </w:rPr>
              <w:t>rawą dokonane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dan</w:t>
            </w:r>
            <w:r w:rsidRPr="00835753">
              <w:rPr>
                <w:rFonts w:ascii="Times New Roman" w:hAnsi="Times New Roman"/>
                <w:b/>
                <w:sz w:val="24"/>
              </w:rPr>
              <w:t>ym roku obrachunkowych, których nie uwzględnia się</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lim</w:t>
            </w:r>
            <w:r w:rsidRPr="00835753">
              <w:rPr>
                <w:rFonts w:ascii="Times New Roman" w:hAnsi="Times New Roman"/>
                <w:b/>
                <w:sz w:val="24"/>
              </w:rPr>
              <w:t>icie premii</w:t>
            </w:r>
          </w:p>
          <w:p w14:paraId="471902AA" w14:textId="193B7534" w:rsidR="009360C9" w:rsidRPr="00835753" w:rsidRDefault="009360C9" w:rsidP="00FD7616">
            <w:pPr>
              <w:spacing w:before="60" w:after="120"/>
              <w:jc w:val="both"/>
              <w:rPr>
                <w:rFonts w:ascii="Times New Roman" w:hAnsi="Times New Roman" w:cs="Times New Roman"/>
                <w:sz w:val="24"/>
              </w:rPr>
            </w:pPr>
            <w:r w:rsidRPr="00835753">
              <w:rPr>
                <w:rFonts w:ascii="Times New Roman" w:hAnsi="Times New Roman"/>
                <w:sz w:val="24"/>
              </w:rPr>
              <w:t>Kwoty płatności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rawą,</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h) CRD, dokonanych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roku obrachunkowym, których nie uwzględnia się</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lim</w:t>
            </w:r>
            <w:r w:rsidRPr="00835753">
              <w:rPr>
                <w:rFonts w:ascii="Times New Roman" w:hAnsi="Times New Roman"/>
                <w:sz w:val="24"/>
              </w:rPr>
              <w:t>icie premii</w:t>
            </w:r>
          </w:p>
          <w:p w14:paraId="25881BFC" w14:textId="4BE21595" w:rsidR="009360C9" w:rsidRPr="00835753" w:rsidRDefault="009360C9" w:rsidP="00FD7616">
            <w:pPr>
              <w:spacing w:before="60" w:after="120"/>
              <w:jc w:val="both"/>
              <w:rPr>
                <w:rFonts w:ascii="Times New Roman" w:hAnsi="Times New Roman"/>
                <w:sz w:val="24"/>
              </w:rPr>
            </w:pPr>
            <w:r w:rsidRPr="00835753">
              <w:rPr>
                <w:rFonts w:ascii="Times New Roman" w:hAnsi="Times New Roman"/>
                <w:sz w:val="24"/>
              </w:rPr>
              <w:t>W odniesieniu do ujawnianych informacji,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450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g) oraz art.</w:t>
            </w:r>
            <w:r w:rsidR="00835753" w:rsidRPr="00835753">
              <w:rPr>
                <w:rFonts w:ascii="Times New Roman" w:hAnsi="Times New Roman"/>
                <w:sz w:val="24"/>
              </w:rPr>
              <w:t> </w:t>
            </w:r>
            <w:r w:rsidRPr="00835753">
              <w:rPr>
                <w:rFonts w:ascii="Times New Roman" w:hAnsi="Times New Roman"/>
                <w:sz w:val="24"/>
              </w:rPr>
              <w:t>450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h) ppkt (v</w:t>
            </w:r>
            <w:proofErr w:type="gramStart"/>
            <w:r w:rsidRPr="00835753">
              <w:rPr>
                <w:rFonts w:ascii="Times New Roman" w:hAnsi="Times New Roman"/>
                <w:sz w:val="24"/>
              </w:rPr>
              <w:t>)–(vi</w:t>
            </w:r>
            <w:proofErr w:type="gramEnd"/>
            <w:r w:rsidRPr="00835753">
              <w:rPr>
                <w:rFonts w:ascii="Times New Roman" w:hAnsi="Times New Roman"/>
                <w:sz w:val="24"/>
              </w:rPr>
              <w:t>) CRR, instytucje jasno określają, czy zagregowane informacje ilościowe dotyczące wynagrodzenia</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ziałem na obszary działalności przedsiębiorstwa odzwierciedlają limit premii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ypadku płatności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yjęciem do pracy</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rawą.</w:t>
            </w:r>
          </w:p>
        </w:tc>
      </w:tr>
      <w:tr w:rsidR="009360C9" w:rsidRPr="00835753"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835753" w:rsidRDefault="009360C9" w:rsidP="006D005E">
            <w:pPr>
              <w:pStyle w:val="Applicationdirecte"/>
              <w:spacing w:before="0" w:after="0"/>
              <w:jc w:val="center"/>
            </w:pPr>
            <w:r w:rsidRPr="00835753">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52E3A08C" w:rsidR="009360C9" w:rsidRPr="00835753" w:rsidRDefault="009360C9" w:rsidP="00FD7616">
            <w:pPr>
              <w:spacing w:before="60" w:after="120"/>
              <w:jc w:val="both"/>
              <w:rPr>
                <w:rFonts w:ascii="Times New Roman" w:hAnsi="Times New Roman"/>
                <w:b/>
                <w:sz w:val="24"/>
              </w:rPr>
            </w:pPr>
            <w:r w:rsidRPr="00835753">
              <w:rPr>
                <w:rFonts w:ascii="Times New Roman" w:hAnsi="Times New Roman"/>
                <w:b/>
                <w:sz w:val="24"/>
              </w:rPr>
              <w:t>W tym płatności związane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odp</w:t>
            </w:r>
            <w:r w:rsidRPr="00835753">
              <w:rPr>
                <w:rFonts w:ascii="Times New Roman" w:hAnsi="Times New Roman"/>
                <w:b/>
                <w:sz w:val="24"/>
              </w:rPr>
              <w:t>rawą przyznane</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dan</w:t>
            </w:r>
            <w:r w:rsidRPr="00835753">
              <w:rPr>
                <w:rFonts w:ascii="Times New Roman" w:hAnsi="Times New Roman"/>
                <w:b/>
                <w:sz w:val="24"/>
              </w:rPr>
              <w:t>ym roku obrachunkowym – najwyższa płatność przyznana na rzecz jednej osoby</w:t>
            </w:r>
          </w:p>
          <w:p w14:paraId="52245E53" w14:textId="4699E399" w:rsidR="009360C9" w:rsidRPr="00835753" w:rsidRDefault="009360C9" w:rsidP="00FD7616">
            <w:pPr>
              <w:spacing w:before="60" w:after="120"/>
              <w:jc w:val="both"/>
              <w:rPr>
                <w:rFonts w:ascii="Times New Roman" w:hAnsi="Times New Roman"/>
                <w:sz w:val="24"/>
              </w:rPr>
            </w:pPr>
            <w:r w:rsidRPr="00835753">
              <w:rPr>
                <w:rFonts w:ascii="Times New Roman" w:hAnsi="Times New Roman"/>
                <w:sz w:val="24"/>
              </w:rPr>
              <w:t>Kwota najwyższej płatności związanej</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rawą,</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rej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h) CRD, która została przyznana na rzecz jednej osoby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roku obrachunkowym</w:t>
            </w:r>
          </w:p>
        </w:tc>
      </w:tr>
      <w:tr w:rsidR="009360C9" w:rsidRPr="00835753"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835753" w:rsidRDefault="009360C9" w:rsidP="006D005E">
            <w:pPr>
              <w:pStyle w:val="TableMainHeading"/>
              <w:spacing w:before="60"/>
              <w:jc w:val="center"/>
              <w:rPr>
                <w:rFonts w:ascii="Times New Roman" w:hAnsi="Times New Roman"/>
                <w:b/>
                <w:sz w:val="24"/>
                <w:szCs w:val="24"/>
              </w:rPr>
            </w:pPr>
            <w:r w:rsidRPr="00835753">
              <w:rPr>
                <w:rFonts w:ascii="Times New Roman" w:hAnsi="Times New Roman"/>
                <w:b/>
                <w:sz w:val="24"/>
                <w:szCs w:val="24"/>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835753" w:rsidRDefault="009360C9" w:rsidP="00FD7616">
            <w:pPr>
              <w:pStyle w:val="TableMainHeading"/>
              <w:spacing w:before="60"/>
              <w:jc w:val="both"/>
              <w:rPr>
                <w:rFonts w:ascii="Times New Roman" w:hAnsi="Times New Roman"/>
                <w:b/>
                <w:sz w:val="24"/>
                <w:szCs w:val="24"/>
              </w:rPr>
            </w:pPr>
            <w:r w:rsidRPr="00835753">
              <w:rPr>
                <w:rFonts w:ascii="Times New Roman" w:hAnsi="Times New Roman"/>
                <w:b/>
                <w:sz w:val="24"/>
                <w:szCs w:val="24"/>
              </w:rPr>
              <w:t>Wyjaśnienie</w:t>
            </w:r>
          </w:p>
        </w:tc>
      </w:tr>
      <w:tr w:rsidR="009360C9" w:rsidRPr="00835753"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835753" w:rsidRDefault="009360C9" w:rsidP="006D005E">
            <w:pPr>
              <w:pStyle w:val="Applicationdirecte"/>
              <w:spacing w:before="0" w:after="0"/>
              <w:jc w:val="center"/>
            </w:pPr>
            <w:proofErr w:type="gramStart"/>
            <w:r w:rsidRPr="00835753">
              <w:t>a</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835753" w:rsidRDefault="009360C9" w:rsidP="00FD7616">
            <w:pPr>
              <w:autoSpaceDE w:val="0"/>
              <w:autoSpaceDN w:val="0"/>
              <w:adjustRightInd w:val="0"/>
              <w:spacing w:before="60" w:after="120"/>
              <w:jc w:val="both"/>
              <w:rPr>
                <w:rFonts w:ascii="Times New Roman" w:hAnsi="Times New Roman"/>
                <w:b/>
                <w:sz w:val="24"/>
              </w:rPr>
            </w:pPr>
            <w:r w:rsidRPr="00835753">
              <w:rPr>
                <w:rFonts w:ascii="Times New Roman" w:hAnsi="Times New Roman"/>
                <w:b/>
                <w:sz w:val="24"/>
              </w:rPr>
              <w:t>Funkcja nadzorcza organu zarządzającego</w:t>
            </w:r>
          </w:p>
          <w:p w14:paraId="2D39782E" w14:textId="040E31B8" w:rsidR="009360C9" w:rsidRPr="00835753" w:rsidRDefault="009360C9" w:rsidP="00FD7616">
            <w:pPr>
              <w:spacing w:after="120"/>
              <w:jc w:val="both"/>
              <w:rPr>
                <w:rFonts w:ascii="Times New Roman" w:hAnsi="Times New Roman" w:cs="Times New Roman"/>
                <w:color w:val="000000"/>
                <w:sz w:val="24"/>
              </w:rPr>
            </w:pPr>
            <w:r w:rsidRPr="00835753">
              <w:rPr>
                <w:rFonts w:ascii="Times New Roman" w:hAnsi="Times New Roman"/>
                <w:sz w:val="24"/>
              </w:rPr>
              <w:t>Organ zarządzający pełniący funkcję nadzorczą jako organ zarządzający działający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swo</w:t>
            </w:r>
            <w:r w:rsidRPr="00835753">
              <w:rPr>
                <w:rFonts w:ascii="Times New Roman" w:hAnsi="Times New Roman"/>
                <w:sz w:val="24"/>
              </w:rPr>
              <w:t>jej roli nadzorowania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mon</w:t>
            </w:r>
            <w:r w:rsidRPr="00835753">
              <w:rPr>
                <w:rFonts w:ascii="Times New Roman" w:hAnsi="Times New Roman"/>
                <w:sz w:val="24"/>
              </w:rPr>
              <w:t>itorowania procesu podejmowania decyzji przez kierownictwo,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def</w:t>
            </w:r>
            <w:r w:rsidRPr="00835753">
              <w:rPr>
                <w:rFonts w:ascii="Times New Roman" w:hAnsi="Times New Roman"/>
                <w:sz w:val="24"/>
              </w:rPr>
              <w:t>inicją zawartą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 ust.</w:t>
            </w:r>
            <w:r w:rsidR="00835753" w:rsidRPr="00835753">
              <w:rPr>
                <w:rFonts w:ascii="Times New Roman" w:hAnsi="Times New Roman"/>
                <w:sz w:val="24"/>
              </w:rPr>
              <w:t> </w:t>
            </w:r>
            <w:r w:rsidRPr="00835753">
              <w:rPr>
                <w:rFonts w:ascii="Times New Roman" w:hAnsi="Times New Roman"/>
                <w:sz w:val="24"/>
              </w:rPr>
              <w:t>1 pkt</w:t>
            </w:r>
            <w:r w:rsidR="00835753" w:rsidRPr="00835753">
              <w:rPr>
                <w:rFonts w:ascii="Times New Roman" w:hAnsi="Times New Roman"/>
                <w:sz w:val="24"/>
              </w:rPr>
              <w:t> </w:t>
            </w:r>
            <w:r w:rsidRPr="00835753">
              <w:rPr>
                <w:rFonts w:ascii="Times New Roman" w:hAnsi="Times New Roman"/>
                <w:sz w:val="24"/>
              </w:rPr>
              <w:t>8 CRD (liczba osób)</w:t>
            </w:r>
          </w:p>
        </w:tc>
      </w:tr>
      <w:tr w:rsidR="009360C9" w:rsidRPr="00835753"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835753" w:rsidRDefault="009360C9" w:rsidP="006D005E">
            <w:pPr>
              <w:pStyle w:val="Applicationdirecte"/>
              <w:spacing w:before="0" w:after="0"/>
              <w:jc w:val="center"/>
            </w:pPr>
            <w:proofErr w:type="gramStart"/>
            <w:r w:rsidRPr="00835753">
              <w:t>b</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835753" w:rsidRDefault="009360C9" w:rsidP="00FD7616">
            <w:pPr>
              <w:autoSpaceDE w:val="0"/>
              <w:autoSpaceDN w:val="0"/>
              <w:adjustRightInd w:val="0"/>
              <w:spacing w:before="60" w:after="120"/>
              <w:jc w:val="both"/>
              <w:rPr>
                <w:rFonts w:ascii="Times New Roman" w:hAnsi="Times New Roman"/>
                <w:b/>
                <w:sz w:val="24"/>
              </w:rPr>
            </w:pPr>
            <w:r w:rsidRPr="00835753">
              <w:rPr>
                <w:rFonts w:ascii="Times New Roman" w:hAnsi="Times New Roman"/>
                <w:b/>
                <w:sz w:val="24"/>
              </w:rPr>
              <w:t>Funkcja zarządcza organu zarządzającego</w:t>
            </w:r>
          </w:p>
          <w:p w14:paraId="300616B8" w14:textId="77777777" w:rsidR="009360C9" w:rsidRPr="00835753" w:rsidRDefault="009360C9" w:rsidP="00FD7616">
            <w:pPr>
              <w:spacing w:after="120"/>
              <w:jc w:val="both"/>
              <w:rPr>
                <w:rFonts w:ascii="Times New Roman" w:hAnsi="Times New Roman" w:cs="Times New Roman"/>
                <w:color w:val="000000"/>
                <w:sz w:val="24"/>
              </w:rPr>
            </w:pPr>
            <w:r w:rsidRPr="00835753">
              <w:rPr>
                <w:rFonts w:ascii="Times New Roman" w:hAnsi="Times New Roman"/>
                <w:sz w:val="24"/>
              </w:rPr>
              <w:t>Członkowie organu zarządzającego, którzy są odpowiedzialni za jego funkcję zarządzania (liczba osób)</w:t>
            </w:r>
          </w:p>
        </w:tc>
      </w:tr>
      <w:tr w:rsidR="009360C9" w:rsidRPr="00835753"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835753" w:rsidRDefault="009360C9" w:rsidP="006D005E">
            <w:pPr>
              <w:pStyle w:val="Applicationdirecte"/>
              <w:spacing w:before="0" w:after="0"/>
              <w:jc w:val="center"/>
            </w:pPr>
            <w:proofErr w:type="gramStart"/>
            <w:r w:rsidRPr="00835753">
              <w:t>c</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835753" w:rsidRDefault="009360C9" w:rsidP="00FD7616">
            <w:pPr>
              <w:autoSpaceDE w:val="0"/>
              <w:autoSpaceDN w:val="0"/>
              <w:adjustRightInd w:val="0"/>
              <w:spacing w:before="60" w:after="120"/>
              <w:jc w:val="both"/>
              <w:rPr>
                <w:rFonts w:ascii="Times New Roman" w:hAnsi="Times New Roman"/>
                <w:b/>
                <w:sz w:val="24"/>
              </w:rPr>
            </w:pPr>
            <w:r w:rsidRPr="00835753">
              <w:rPr>
                <w:rFonts w:ascii="Times New Roman" w:hAnsi="Times New Roman"/>
                <w:b/>
                <w:sz w:val="24"/>
              </w:rPr>
              <w:t>Pozostali członkowie kadry kierowniczej wyższego szczebla</w:t>
            </w:r>
          </w:p>
          <w:p w14:paraId="71EC3B26" w14:textId="36652937" w:rsidR="009360C9" w:rsidRPr="00835753" w:rsidRDefault="009360C9" w:rsidP="00FD761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Kadra kierownicza wyższego szczebla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def</w:t>
            </w:r>
            <w:r w:rsidRPr="00835753">
              <w:rPr>
                <w:rFonts w:ascii="Times New Roman" w:hAnsi="Times New Roman"/>
                <w:sz w:val="24"/>
              </w:rPr>
              <w:t>inicją zawartą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 ust.</w:t>
            </w:r>
            <w:r w:rsidR="00835753" w:rsidRPr="00835753">
              <w:rPr>
                <w:rFonts w:ascii="Times New Roman" w:hAnsi="Times New Roman"/>
                <w:sz w:val="24"/>
              </w:rPr>
              <w:t> </w:t>
            </w:r>
            <w:r w:rsidRPr="00835753">
              <w:rPr>
                <w:rFonts w:ascii="Times New Roman" w:hAnsi="Times New Roman"/>
                <w:sz w:val="24"/>
              </w:rPr>
              <w:t>1 pkt</w:t>
            </w:r>
            <w:r w:rsidR="00835753" w:rsidRPr="00835753">
              <w:rPr>
                <w:rFonts w:ascii="Times New Roman" w:hAnsi="Times New Roman"/>
                <w:sz w:val="24"/>
              </w:rPr>
              <w:t> </w:t>
            </w:r>
            <w:r w:rsidRPr="00835753">
              <w:rPr>
                <w:rFonts w:ascii="Times New Roman" w:hAnsi="Times New Roman"/>
                <w:sz w:val="24"/>
              </w:rPr>
              <w:t>9 CRD</w:t>
            </w:r>
          </w:p>
          <w:p w14:paraId="0EA6176B" w14:textId="4A5AB5D7" w:rsidR="009360C9" w:rsidRPr="00835753" w:rsidRDefault="009360C9" w:rsidP="00FD7616">
            <w:pPr>
              <w:autoSpaceDE w:val="0"/>
              <w:autoSpaceDN w:val="0"/>
              <w:adjustRightInd w:val="0"/>
              <w:spacing w:before="60" w:after="120"/>
              <w:jc w:val="both"/>
              <w:rPr>
                <w:rFonts w:ascii="Times New Roman" w:hAnsi="Times New Roman"/>
                <w:sz w:val="24"/>
              </w:rPr>
            </w:pPr>
            <w:r w:rsidRPr="00835753">
              <w:rPr>
                <w:rFonts w:ascii="Times New Roman" w:hAnsi="Times New Roman"/>
                <w:sz w:val="24"/>
              </w:rPr>
              <w:t>Instytucje ujawniają liczbę członków kadry kierowniczej wyższego szczebla, których nie ujawniono jako członków organu zarządzającego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jeg</w:t>
            </w:r>
            <w:r w:rsidRPr="00835753">
              <w:rPr>
                <w:rFonts w:ascii="Times New Roman" w:hAnsi="Times New Roman"/>
                <w:sz w:val="24"/>
              </w:rPr>
              <w:t>o funkcji zarządzania ani jako Pozostały określony personel (EPC).</w:t>
            </w:r>
          </w:p>
        </w:tc>
      </w:tr>
      <w:tr w:rsidR="009360C9" w:rsidRPr="00835753"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835753" w:rsidRDefault="009360C9" w:rsidP="006D005E">
            <w:pPr>
              <w:pStyle w:val="Applicationdirecte"/>
              <w:spacing w:before="0" w:after="0"/>
              <w:jc w:val="center"/>
            </w:pPr>
            <w:proofErr w:type="gramStart"/>
            <w:r w:rsidRPr="00835753">
              <w:t>d</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835753" w:rsidRDefault="009360C9" w:rsidP="00FD7616">
            <w:pPr>
              <w:spacing w:before="60" w:after="120"/>
              <w:jc w:val="both"/>
              <w:rPr>
                <w:rFonts w:ascii="Times New Roman" w:hAnsi="Times New Roman"/>
                <w:b/>
                <w:sz w:val="24"/>
              </w:rPr>
            </w:pPr>
            <w:r w:rsidRPr="00835753">
              <w:rPr>
                <w:rFonts w:ascii="Times New Roman" w:hAnsi="Times New Roman"/>
                <w:b/>
                <w:sz w:val="24"/>
              </w:rPr>
              <w:t>Pozostały określony personel</w:t>
            </w:r>
          </w:p>
          <w:p w14:paraId="715DB04D" w14:textId="07565F28" w:rsidR="009360C9" w:rsidRPr="00835753" w:rsidRDefault="009360C9" w:rsidP="00FD7616">
            <w:pPr>
              <w:spacing w:after="120"/>
              <w:jc w:val="both"/>
              <w:rPr>
                <w:rFonts w:ascii="Times New Roman" w:hAnsi="Times New Roman" w:cs="Times New Roman"/>
                <w:sz w:val="24"/>
              </w:rPr>
            </w:pPr>
            <w:r w:rsidRPr="00835753">
              <w:rPr>
                <w:rFonts w:ascii="Times New Roman" w:hAnsi="Times New Roman"/>
                <w:sz w:val="24"/>
              </w:rPr>
              <w:t>Pracownicy niebędący członkami organu zarządzającego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jeg</w:t>
            </w:r>
            <w:r w:rsidRPr="00835753">
              <w:rPr>
                <w:rFonts w:ascii="Times New Roman" w:hAnsi="Times New Roman"/>
                <w:sz w:val="24"/>
              </w:rPr>
              <w:t xml:space="preserve">o funkcji nadzorczej lub funkcji zarządzania oraz niebędący członkami kadry </w:t>
            </w:r>
            <w:r w:rsidRPr="00835753">
              <w:rPr>
                <w:rFonts w:ascii="Times New Roman" w:hAnsi="Times New Roman"/>
                <w:sz w:val="24"/>
              </w:rPr>
              <w:lastRenderedPageBreak/>
              <w:t>kierowniczej wyższego szczebla, których działalność zawodowa ma istotny wpływ na profil ryzyka instytucji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kry</w:t>
            </w:r>
            <w:r w:rsidRPr="00835753">
              <w:rPr>
                <w:rFonts w:ascii="Times New Roman" w:hAnsi="Times New Roman"/>
                <w:sz w:val="24"/>
              </w:rPr>
              <w:t>teriami określonymi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porządzeniu delegowanym Komisji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awie określonego personelu wdrażającym art.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2 CRD oraz,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 dodatkowo na podstawie kryteriów instytucji</w:t>
            </w:r>
          </w:p>
          <w:p w14:paraId="32415F34" w14:textId="33C9EB92" w:rsidR="009360C9" w:rsidRPr="00835753" w:rsidRDefault="009360C9" w:rsidP="00FD7616">
            <w:pPr>
              <w:spacing w:after="120"/>
              <w:jc w:val="both"/>
              <w:rPr>
                <w:rFonts w:ascii="Times New Roman" w:hAnsi="Times New Roman" w:cs="Times New Roman"/>
                <w:color w:val="000000"/>
                <w:sz w:val="24"/>
              </w:rPr>
            </w:pPr>
            <w:r w:rsidRPr="00835753">
              <w:rPr>
                <w:rFonts w:ascii="Times New Roman" w:hAnsi="Times New Roman"/>
                <w:sz w:val="24"/>
              </w:rPr>
              <w:t>Instytucje mogą uwzględnić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nin</w:t>
            </w:r>
            <w:r w:rsidRPr="00835753">
              <w:rPr>
                <w:rFonts w:ascii="Times New Roman" w:hAnsi="Times New Roman"/>
                <w:sz w:val="24"/>
              </w:rPr>
              <w:t>iejszym wzorze podział na obszary działalności zaproponowany we wzorze EU REM5 (EPC).</w:t>
            </w:r>
          </w:p>
        </w:tc>
      </w:tr>
    </w:tbl>
    <w:p w14:paraId="1801AA71" w14:textId="77777777" w:rsidR="009360C9" w:rsidRPr="00835753" w:rsidRDefault="009360C9" w:rsidP="009360C9">
      <w:pPr>
        <w:rPr>
          <w:rFonts w:ascii="Times New Roman" w:eastAsia="Times New Roman" w:hAnsi="Times New Roman" w:cs="Times New Roman"/>
          <w:sz w:val="24"/>
          <w:highlight w:val="yellow"/>
        </w:rPr>
      </w:pPr>
    </w:p>
    <w:p w14:paraId="12F46760" w14:textId="74D94FB8" w:rsidR="009360C9" w:rsidRPr="00835753" w:rsidRDefault="00D95507" w:rsidP="009360C9">
      <w:pPr>
        <w:pStyle w:val="Titlelevel2"/>
        <w:spacing w:before="120" w:after="120"/>
        <w:rPr>
          <w:rFonts w:ascii="Times New Roman" w:hAnsi="Times New Roman" w:cs="Times New Roman"/>
          <w:b/>
          <w:color w:val="auto"/>
          <w:sz w:val="24"/>
        </w:rPr>
      </w:pPr>
      <w:r w:rsidRPr="00835753">
        <w:rPr>
          <w:rFonts w:ascii="Times New Roman" w:hAnsi="Times New Roman"/>
          <w:b/>
          <w:color w:val="auto"/>
          <w:sz w:val="24"/>
        </w:rPr>
        <w:t xml:space="preserve">Wzór EU REM3 – Wynagrodzenie odroczone. </w:t>
      </w:r>
      <w:r w:rsidRPr="00835753">
        <w:rPr>
          <w:rFonts w:ascii="Times New Roman" w:hAnsi="Times New Roman"/>
          <w:color w:val="auto"/>
          <w:sz w:val="24"/>
        </w:rPr>
        <w:t>Format stały</w:t>
      </w:r>
    </w:p>
    <w:p w14:paraId="452E9BCD" w14:textId="6415CA7A" w:rsidR="009360C9" w:rsidRPr="00835753"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35753">
        <w:rPr>
          <w:rFonts w:ascii="Times New Roman" w:hAnsi="Times New Roman"/>
          <w:bCs w:val="0"/>
          <w:color w:val="auto"/>
          <w:sz w:val="24"/>
        </w:rPr>
        <w:t>W celu wypełnienia wzoru EU REM3 zamieszczonego</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zał</w:t>
      </w:r>
      <w:r w:rsidRPr="00835753">
        <w:rPr>
          <w:rFonts w:ascii="Times New Roman" w:hAnsi="Times New Roman"/>
          <w:bCs w:val="0"/>
          <w:color w:val="auto"/>
          <w:sz w:val="24"/>
        </w:rPr>
        <w:t>ączniku XXXIII do niniejszego rozporządzenia wykonawczego instytucje ujawniają informacje,</w:t>
      </w:r>
      <w:r w:rsidR="00835753" w:rsidRPr="00835753">
        <w:rPr>
          <w:rFonts w:ascii="Times New Roman" w:hAnsi="Times New Roman"/>
          <w:bCs w:val="0"/>
          <w:color w:val="auto"/>
          <w:sz w:val="24"/>
        </w:rPr>
        <w:t xml:space="preserve"> o</w:t>
      </w:r>
      <w:r w:rsidR="00835753">
        <w:rPr>
          <w:rFonts w:ascii="Times New Roman" w:hAnsi="Times New Roman"/>
          <w:bCs w:val="0"/>
          <w:color w:val="auto"/>
          <w:sz w:val="24"/>
        </w:rPr>
        <w:t> </w:t>
      </w:r>
      <w:r w:rsidR="00835753" w:rsidRPr="00835753">
        <w:rPr>
          <w:rFonts w:ascii="Times New Roman" w:hAnsi="Times New Roman"/>
          <w:bCs w:val="0"/>
          <w:color w:val="auto"/>
          <w:sz w:val="24"/>
        </w:rPr>
        <w:t>któ</w:t>
      </w:r>
      <w:r w:rsidRPr="00835753">
        <w:rPr>
          <w:rFonts w:ascii="Times New Roman" w:hAnsi="Times New Roman"/>
          <w:bCs w:val="0"/>
          <w:color w:val="auto"/>
          <w:sz w:val="24"/>
        </w:rPr>
        <w:t>rych mowa</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art</w:t>
      </w:r>
      <w:r w:rsidRPr="00835753">
        <w:rPr>
          <w:rFonts w:ascii="Times New Roman" w:hAnsi="Times New Roman"/>
          <w:bCs w:val="0"/>
          <w:color w:val="auto"/>
          <w:sz w:val="24"/>
        </w:rPr>
        <w:t>.</w:t>
      </w:r>
      <w:r w:rsidR="00835753" w:rsidRPr="00835753">
        <w:rPr>
          <w:rFonts w:ascii="Times New Roman" w:hAnsi="Times New Roman"/>
          <w:bCs w:val="0"/>
          <w:color w:val="auto"/>
          <w:sz w:val="24"/>
        </w:rPr>
        <w:t> </w:t>
      </w:r>
      <w:r w:rsidRPr="00835753">
        <w:rPr>
          <w:rFonts w:ascii="Times New Roman" w:hAnsi="Times New Roman"/>
          <w:bCs w:val="0"/>
          <w:color w:val="auto"/>
          <w:sz w:val="24"/>
        </w:rPr>
        <w:t>450 ust.</w:t>
      </w:r>
      <w:r w:rsidR="00835753" w:rsidRPr="00835753">
        <w:rPr>
          <w:rFonts w:ascii="Times New Roman" w:hAnsi="Times New Roman"/>
          <w:bCs w:val="0"/>
          <w:color w:val="auto"/>
          <w:sz w:val="24"/>
        </w:rPr>
        <w:t> </w:t>
      </w:r>
      <w:r w:rsidRPr="00835753">
        <w:rPr>
          <w:rFonts w:ascii="Times New Roman" w:hAnsi="Times New Roman"/>
          <w:bCs w:val="0"/>
          <w:color w:val="auto"/>
          <w:sz w:val="24"/>
        </w:rPr>
        <w:t>1 lit.</w:t>
      </w:r>
      <w:r w:rsidR="00835753" w:rsidRPr="00835753">
        <w:rPr>
          <w:rFonts w:ascii="Times New Roman" w:hAnsi="Times New Roman"/>
          <w:bCs w:val="0"/>
          <w:color w:val="auto"/>
          <w:sz w:val="24"/>
        </w:rPr>
        <w:t> </w:t>
      </w:r>
      <w:r w:rsidRPr="00835753">
        <w:rPr>
          <w:rFonts w:ascii="Times New Roman" w:hAnsi="Times New Roman"/>
          <w:bCs w:val="0"/>
          <w:color w:val="auto"/>
          <w:sz w:val="24"/>
        </w:rPr>
        <w:t>h) ppkt (iii</w:t>
      </w:r>
      <w:proofErr w:type="gramStart"/>
      <w:r w:rsidRPr="00835753">
        <w:rPr>
          <w:rFonts w:ascii="Times New Roman" w:hAnsi="Times New Roman"/>
          <w:bCs w:val="0"/>
          <w:color w:val="auto"/>
          <w:sz w:val="24"/>
        </w:rPr>
        <w:t>)–(iv</w:t>
      </w:r>
      <w:proofErr w:type="gramEnd"/>
      <w:r w:rsidRPr="00835753">
        <w:rPr>
          <w:rFonts w:ascii="Times New Roman" w:hAnsi="Times New Roman"/>
          <w:bCs w:val="0"/>
          <w:color w:val="auto"/>
          <w:sz w:val="24"/>
        </w:rPr>
        <w:t>) CRR, zgodnie</w:t>
      </w:r>
      <w:r w:rsidR="00835753" w:rsidRPr="00835753">
        <w:rPr>
          <w:rFonts w:ascii="Times New Roman" w:hAnsi="Times New Roman"/>
          <w:bCs w:val="0"/>
          <w:color w:val="auto"/>
          <w:sz w:val="24"/>
        </w:rPr>
        <w:t xml:space="preserve"> z</w:t>
      </w:r>
      <w:r w:rsidR="00835753">
        <w:rPr>
          <w:rFonts w:ascii="Times New Roman" w:hAnsi="Times New Roman"/>
          <w:bCs w:val="0"/>
          <w:color w:val="auto"/>
          <w:sz w:val="24"/>
        </w:rPr>
        <w:t> </w:t>
      </w:r>
      <w:r w:rsidR="00835753" w:rsidRPr="00835753">
        <w:rPr>
          <w:rFonts w:ascii="Times New Roman" w:hAnsi="Times New Roman"/>
          <w:bCs w:val="0"/>
          <w:color w:val="auto"/>
          <w:sz w:val="24"/>
        </w:rPr>
        <w:t>ins</w:t>
      </w:r>
      <w:r w:rsidRPr="00835753">
        <w:rPr>
          <w:rFonts w:ascii="Times New Roman" w:hAnsi="Times New Roman"/>
          <w:bCs w:val="0"/>
          <w:color w:val="auto"/>
          <w:sz w:val="24"/>
        </w:rPr>
        <w:t>trukcjami zawartymi poniżej</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nin</w:t>
      </w:r>
      <w:r w:rsidRPr="00835753">
        <w:rPr>
          <w:rFonts w:ascii="Times New Roman" w:hAnsi="Times New Roman"/>
          <w:bCs w:val="0"/>
          <w:color w:val="auto"/>
          <w:sz w:val="24"/>
        </w:rPr>
        <w:t>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835753"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6B7516D5" w:rsidR="009360C9" w:rsidRPr="00835753" w:rsidRDefault="009360C9" w:rsidP="00155C96">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9360C9" w:rsidRPr="00835753" w14:paraId="2A960F4D" w14:textId="77777777" w:rsidTr="00155C96">
        <w:trPr>
          <w:trHeight w:val="238"/>
        </w:trPr>
        <w:tc>
          <w:tcPr>
            <w:tcW w:w="1384" w:type="dxa"/>
            <w:shd w:val="clear" w:color="auto" w:fill="D9D9D9" w:themeFill="background1" w:themeFillShade="D9"/>
          </w:tcPr>
          <w:p w14:paraId="668CA9EF" w14:textId="77777777" w:rsidR="009360C9" w:rsidRPr="00835753" w:rsidRDefault="009360C9" w:rsidP="00155C96">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3D60186E" w14:textId="77777777" w:rsidR="009360C9" w:rsidRPr="00835753" w:rsidRDefault="009360C9" w:rsidP="00155C96">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9360C9" w:rsidRPr="00835753"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835753" w:rsidRDefault="009360C9" w:rsidP="006D005E">
            <w:pPr>
              <w:pStyle w:val="Applicationdirecte"/>
              <w:spacing w:before="0" w:after="0"/>
              <w:jc w:val="center"/>
            </w:pPr>
            <w:r w:rsidRPr="00835753">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835753" w:rsidRDefault="009360C9" w:rsidP="00155C96">
            <w:pPr>
              <w:autoSpaceDE w:val="0"/>
              <w:autoSpaceDN w:val="0"/>
              <w:adjustRightInd w:val="0"/>
              <w:spacing w:before="60" w:after="120"/>
              <w:jc w:val="both"/>
              <w:rPr>
                <w:rFonts w:ascii="Times New Roman" w:hAnsi="Times New Roman"/>
                <w:b/>
                <w:sz w:val="24"/>
              </w:rPr>
            </w:pPr>
            <w:r w:rsidRPr="00835753">
              <w:rPr>
                <w:rFonts w:ascii="Times New Roman" w:hAnsi="Times New Roman"/>
                <w:b/>
                <w:sz w:val="24"/>
              </w:rPr>
              <w:t>Funkcja nadzorcza organu zarządzającego</w:t>
            </w:r>
          </w:p>
          <w:p w14:paraId="23D0ECA9" w14:textId="62828CE0" w:rsidR="009360C9" w:rsidRPr="00835753" w:rsidRDefault="009360C9" w:rsidP="00155C96">
            <w:pPr>
              <w:spacing w:before="60" w:after="120"/>
              <w:jc w:val="both"/>
              <w:rPr>
                <w:rFonts w:ascii="Times New Roman" w:hAnsi="Times New Roman" w:cs="Times New Roman"/>
                <w:sz w:val="24"/>
              </w:rPr>
            </w:pPr>
            <w:r w:rsidRPr="00835753">
              <w:rPr>
                <w:rFonts w:ascii="Times New Roman" w:hAnsi="Times New Roman"/>
                <w:sz w:val="24"/>
              </w:rPr>
              <w:t>Organ zarządzający pełniący funkcję nadzorczą jako organ zarządzający działający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swo</w:t>
            </w:r>
            <w:r w:rsidRPr="00835753">
              <w:rPr>
                <w:rFonts w:ascii="Times New Roman" w:hAnsi="Times New Roman"/>
                <w:sz w:val="24"/>
              </w:rPr>
              <w:t>jej roli nadzorowania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mon</w:t>
            </w:r>
            <w:r w:rsidRPr="00835753">
              <w:rPr>
                <w:rFonts w:ascii="Times New Roman" w:hAnsi="Times New Roman"/>
                <w:sz w:val="24"/>
              </w:rPr>
              <w:t>itorowania procesu podejmowania decyzji przez kierownictwo,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def</w:t>
            </w:r>
            <w:r w:rsidRPr="00835753">
              <w:rPr>
                <w:rFonts w:ascii="Times New Roman" w:hAnsi="Times New Roman"/>
                <w:sz w:val="24"/>
              </w:rPr>
              <w:t>inicją zawartą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 ust.</w:t>
            </w:r>
            <w:r w:rsidR="00835753" w:rsidRPr="00835753">
              <w:rPr>
                <w:rFonts w:ascii="Times New Roman" w:hAnsi="Times New Roman"/>
                <w:sz w:val="24"/>
              </w:rPr>
              <w:t> </w:t>
            </w:r>
            <w:r w:rsidRPr="00835753">
              <w:rPr>
                <w:rFonts w:ascii="Times New Roman" w:hAnsi="Times New Roman"/>
                <w:sz w:val="24"/>
              </w:rPr>
              <w:t>1 pkt</w:t>
            </w:r>
            <w:r w:rsidR="00835753" w:rsidRPr="00835753">
              <w:rPr>
                <w:rFonts w:ascii="Times New Roman" w:hAnsi="Times New Roman"/>
                <w:sz w:val="24"/>
              </w:rPr>
              <w:t> </w:t>
            </w:r>
            <w:r w:rsidRPr="00835753">
              <w:rPr>
                <w:rFonts w:ascii="Times New Roman" w:hAnsi="Times New Roman"/>
                <w:sz w:val="24"/>
              </w:rPr>
              <w:t>8 CRD</w:t>
            </w:r>
          </w:p>
          <w:p w14:paraId="2113E171" w14:textId="6C9A5AB1" w:rsidR="009360C9" w:rsidRPr="00835753" w:rsidRDefault="009360C9" w:rsidP="00155C96">
            <w:pPr>
              <w:spacing w:before="60" w:after="120"/>
              <w:jc w:val="both"/>
              <w:rPr>
                <w:rFonts w:ascii="Times New Roman" w:hAnsi="Times New Roman"/>
                <w:sz w:val="24"/>
              </w:rPr>
            </w:pPr>
            <w:r w:rsidRPr="00835753">
              <w:rPr>
                <w:rFonts w:ascii="Times New Roman" w:hAnsi="Times New Roman"/>
                <w:sz w:val="24"/>
              </w:rPr>
              <w:t>Suma wierszy 2, 3, 4, 5</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6</w:t>
            </w:r>
            <w:r w:rsidRPr="00835753">
              <w:rPr>
                <w:rFonts w:ascii="Times New Roman" w:hAnsi="Times New Roman"/>
                <w:sz w:val="24"/>
              </w:rPr>
              <w:t xml:space="preserve"> niniejszego wzoru</w:t>
            </w:r>
          </w:p>
        </w:tc>
      </w:tr>
      <w:tr w:rsidR="009360C9" w:rsidRPr="00835753"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1B347122" w:rsidR="009360C9" w:rsidRPr="00835753" w:rsidRDefault="009360C9" w:rsidP="006D005E">
            <w:pPr>
              <w:pStyle w:val="Applicationdirecte"/>
              <w:spacing w:before="0" w:after="0"/>
              <w:jc w:val="center"/>
            </w:pPr>
            <w:r w:rsidRPr="00835753">
              <w:t>2, 8, 14</w:t>
            </w:r>
            <w:r w:rsidR="00835753" w:rsidRPr="00835753">
              <w:t xml:space="preserve"> i</w:t>
            </w:r>
            <w:r w:rsidR="00835753">
              <w:t> </w:t>
            </w:r>
            <w:r w:rsidR="00835753" w:rsidRPr="00835753">
              <w:t>2</w:t>
            </w:r>
            <w:r w:rsidRPr="00835753">
              <w:t>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835753" w:rsidRDefault="009360C9" w:rsidP="00155C96">
            <w:pPr>
              <w:spacing w:before="60" w:after="120"/>
              <w:jc w:val="both"/>
              <w:rPr>
                <w:rFonts w:ascii="Times New Roman" w:hAnsi="Times New Roman"/>
                <w:b/>
                <w:sz w:val="24"/>
              </w:rPr>
            </w:pPr>
            <w:r w:rsidRPr="00835753">
              <w:rPr>
                <w:rFonts w:ascii="Times New Roman" w:hAnsi="Times New Roman"/>
                <w:b/>
                <w:sz w:val="24"/>
              </w:rPr>
              <w:t>W formie środków pieniężnych</w:t>
            </w:r>
          </w:p>
          <w:p w14:paraId="58955E4E" w14:textId="5C613412" w:rsidR="009360C9" w:rsidRPr="00835753" w:rsidRDefault="009360C9" w:rsidP="00155C96">
            <w:pPr>
              <w:spacing w:before="60" w:after="120"/>
              <w:jc w:val="both"/>
              <w:rPr>
                <w:rFonts w:ascii="Times New Roman" w:hAnsi="Times New Roman" w:cs="Times New Roman"/>
                <w:sz w:val="24"/>
              </w:rPr>
            </w:pPr>
            <w:r w:rsidRPr="00835753">
              <w:rPr>
                <w:rFonts w:ascii="Times New Roman" w:hAnsi="Times New Roman"/>
                <w:sz w:val="24"/>
              </w:rPr>
              <w:t>Wysokość wynagrodzenia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for</w:t>
            </w:r>
            <w:r w:rsidRPr="00835753">
              <w:rPr>
                <w:rFonts w:ascii="Times New Roman" w:hAnsi="Times New Roman"/>
                <w:sz w:val="24"/>
              </w:rPr>
              <w:t>mie środków pieniężnych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wynagrodzenia zmiennego</w:t>
            </w:r>
          </w:p>
        </w:tc>
      </w:tr>
      <w:tr w:rsidR="009360C9" w:rsidRPr="00835753"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20744D4C" w:rsidR="009360C9" w:rsidRPr="00835753" w:rsidRDefault="009360C9" w:rsidP="006D005E">
            <w:pPr>
              <w:pStyle w:val="Applicationdirecte"/>
              <w:spacing w:before="0" w:after="0"/>
              <w:jc w:val="center"/>
            </w:pPr>
            <w:r w:rsidRPr="00835753">
              <w:t>3, 9, 15</w:t>
            </w:r>
            <w:r w:rsidR="00835753" w:rsidRPr="00835753">
              <w:t xml:space="preserve"> i</w:t>
            </w:r>
            <w:r w:rsidR="00835753">
              <w:t> </w:t>
            </w:r>
            <w:r w:rsidR="00835753" w:rsidRPr="00835753">
              <w:t>2</w:t>
            </w:r>
            <w:r w:rsidRPr="00835753">
              <w:t>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835753" w:rsidRDefault="009360C9" w:rsidP="00155C96">
            <w:pPr>
              <w:autoSpaceDE w:val="0"/>
              <w:autoSpaceDN w:val="0"/>
              <w:adjustRightInd w:val="0"/>
              <w:spacing w:after="120"/>
              <w:rPr>
                <w:rFonts w:ascii="Times New Roman" w:hAnsi="Times New Roman"/>
                <w:b/>
                <w:sz w:val="24"/>
              </w:rPr>
            </w:pPr>
            <w:r w:rsidRPr="00835753">
              <w:rPr>
                <w:rFonts w:ascii="Times New Roman" w:hAnsi="Times New Roman"/>
                <w:b/>
                <w:sz w:val="24"/>
              </w:rPr>
              <w:t xml:space="preserve">Akcje lub odpowiadające im tytuły własności </w:t>
            </w:r>
          </w:p>
          <w:p w14:paraId="7C7C980D" w14:textId="1D3104A3" w:rsidR="009360C9" w:rsidRPr="00835753" w:rsidRDefault="009360C9" w:rsidP="00155C96">
            <w:pPr>
              <w:spacing w:before="60" w:after="120"/>
              <w:jc w:val="both"/>
              <w:rPr>
                <w:rFonts w:ascii="Times New Roman" w:hAnsi="Times New Roman"/>
                <w:b/>
                <w:sz w:val="24"/>
              </w:rPr>
            </w:pPr>
            <w:r w:rsidRPr="00835753">
              <w:rPr>
                <w:rFonts w:ascii="Times New Roman" w:hAnsi="Times New Roman"/>
                <w:sz w:val="24"/>
              </w:rPr>
              <w:t>Suma kwot akcji lub odpowiadających im tytułów własności,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eżności od struktury prawnej danej instytucji,</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l) ppkt (i) CRD,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wynagrodzenia zmiennego</w:t>
            </w:r>
          </w:p>
        </w:tc>
      </w:tr>
      <w:tr w:rsidR="009360C9" w:rsidRPr="00835753"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0FD4B575" w:rsidR="009360C9" w:rsidRPr="00835753" w:rsidRDefault="009360C9" w:rsidP="006D005E">
            <w:pPr>
              <w:pStyle w:val="Applicationdirecte"/>
              <w:spacing w:before="0" w:after="0"/>
              <w:jc w:val="center"/>
            </w:pPr>
            <w:r w:rsidRPr="00835753">
              <w:t>4, 10, 16</w:t>
            </w:r>
            <w:r w:rsidR="00835753" w:rsidRPr="00835753">
              <w:t xml:space="preserve"> i</w:t>
            </w:r>
            <w:r w:rsidR="00835753">
              <w:t> </w:t>
            </w:r>
            <w:r w:rsidR="00835753" w:rsidRPr="00835753">
              <w:t>2</w:t>
            </w:r>
            <w:r w:rsidRPr="00835753">
              <w:t>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2B7889B9" w:rsidR="009360C9" w:rsidRPr="00835753" w:rsidRDefault="009360C9" w:rsidP="00155C96">
            <w:pPr>
              <w:autoSpaceDE w:val="0"/>
              <w:autoSpaceDN w:val="0"/>
              <w:adjustRightInd w:val="0"/>
              <w:spacing w:after="120"/>
              <w:rPr>
                <w:rFonts w:ascii="Times New Roman" w:hAnsi="Times New Roman"/>
                <w:b/>
                <w:sz w:val="24"/>
              </w:rPr>
            </w:pPr>
            <w:r w:rsidRPr="00835753">
              <w:rPr>
                <w:rFonts w:ascii="Times New Roman" w:hAnsi="Times New Roman"/>
                <w:b/>
                <w:sz w:val="24"/>
              </w:rPr>
              <w:t>Instrumenty związane</w:t>
            </w:r>
            <w:r w:rsidR="00835753" w:rsidRPr="00835753">
              <w:rPr>
                <w:rFonts w:ascii="Times New Roman" w:hAnsi="Times New Roman"/>
                <w:b/>
                <w:sz w:val="24"/>
              </w:rPr>
              <w:t xml:space="preserve"> z</w:t>
            </w:r>
            <w:r w:rsidR="00835753">
              <w:rPr>
                <w:rFonts w:ascii="Times New Roman" w:hAnsi="Times New Roman"/>
                <w:b/>
                <w:sz w:val="24"/>
              </w:rPr>
              <w:t> </w:t>
            </w:r>
            <w:r w:rsidR="00835753" w:rsidRPr="00835753">
              <w:rPr>
                <w:rFonts w:ascii="Times New Roman" w:hAnsi="Times New Roman"/>
                <w:b/>
                <w:sz w:val="24"/>
              </w:rPr>
              <w:t>akc</w:t>
            </w:r>
            <w:r w:rsidRPr="00835753">
              <w:rPr>
                <w:rFonts w:ascii="Times New Roman" w:hAnsi="Times New Roman"/>
                <w:b/>
                <w:sz w:val="24"/>
              </w:rPr>
              <w:t xml:space="preserve">jami lub równoważne instrumenty niepieniężne </w:t>
            </w:r>
          </w:p>
          <w:p w14:paraId="57A17049" w14:textId="72976298" w:rsidR="009360C9" w:rsidRPr="00835753" w:rsidRDefault="009360C9" w:rsidP="00155C96">
            <w:pPr>
              <w:autoSpaceDE w:val="0"/>
              <w:autoSpaceDN w:val="0"/>
              <w:adjustRightInd w:val="0"/>
              <w:spacing w:after="120"/>
              <w:jc w:val="both"/>
              <w:rPr>
                <w:rFonts w:ascii="Times New Roman" w:hAnsi="Times New Roman"/>
                <w:sz w:val="24"/>
              </w:rPr>
            </w:pPr>
            <w:r w:rsidRPr="00835753">
              <w:rPr>
                <w:rFonts w:ascii="Times New Roman" w:hAnsi="Times New Roman"/>
                <w:sz w:val="24"/>
              </w:rPr>
              <w:t>Suma kwot instrumentów związanych</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akc</w:t>
            </w:r>
            <w:r w:rsidRPr="00835753">
              <w:rPr>
                <w:rFonts w:ascii="Times New Roman" w:hAnsi="Times New Roman"/>
                <w:sz w:val="24"/>
              </w:rPr>
              <w:t>jami lub równoważnych instrumentów niepieniężnych,</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l) ppkt (i) CRD,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wynagrodzenia zmiennego</w:t>
            </w:r>
          </w:p>
        </w:tc>
      </w:tr>
      <w:tr w:rsidR="009360C9" w:rsidRPr="00835753"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12349E76" w:rsidR="009360C9" w:rsidRPr="00835753" w:rsidRDefault="009360C9" w:rsidP="006D005E">
            <w:pPr>
              <w:pStyle w:val="Applicationdirecte"/>
              <w:spacing w:before="0" w:after="0"/>
              <w:jc w:val="center"/>
            </w:pPr>
            <w:r w:rsidRPr="00835753">
              <w:t>5, 11, 17</w:t>
            </w:r>
            <w:r w:rsidR="00835753" w:rsidRPr="00835753">
              <w:t xml:space="preserve"> i</w:t>
            </w:r>
            <w:r w:rsidR="00835753">
              <w:t> </w:t>
            </w:r>
            <w:r w:rsidR="00835753" w:rsidRPr="00835753">
              <w:t>2</w:t>
            </w:r>
            <w:r w:rsidRPr="00835753">
              <w:t>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835753" w:rsidRDefault="009360C9" w:rsidP="00155C96">
            <w:pPr>
              <w:spacing w:before="60" w:after="120"/>
              <w:jc w:val="both"/>
              <w:rPr>
                <w:rFonts w:ascii="Times New Roman" w:hAnsi="Times New Roman"/>
                <w:b/>
                <w:sz w:val="24"/>
              </w:rPr>
            </w:pPr>
            <w:r w:rsidRPr="00835753">
              <w:rPr>
                <w:rFonts w:ascii="Times New Roman" w:hAnsi="Times New Roman"/>
                <w:b/>
                <w:sz w:val="24"/>
              </w:rPr>
              <w:t>Inne instrumenty</w:t>
            </w:r>
          </w:p>
          <w:p w14:paraId="6FFE1D63" w14:textId="461C33E5" w:rsidR="009360C9" w:rsidRPr="00835753" w:rsidRDefault="009360C9" w:rsidP="00155C96">
            <w:pPr>
              <w:spacing w:before="60" w:after="120"/>
              <w:jc w:val="both"/>
              <w:rPr>
                <w:rFonts w:ascii="Times New Roman" w:hAnsi="Times New Roman"/>
                <w:sz w:val="24"/>
              </w:rPr>
            </w:pPr>
            <w:r w:rsidRPr="00835753">
              <w:rPr>
                <w:rFonts w:ascii="Times New Roman" w:hAnsi="Times New Roman"/>
                <w:sz w:val="24"/>
              </w:rPr>
              <w:t>Kwota innych instrumentów,</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l) ppkt (ii) CRD,</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ram</w:t>
            </w:r>
            <w:r w:rsidRPr="00835753">
              <w:rPr>
                <w:rFonts w:ascii="Times New Roman" w:hAnsi="Times New Roman"/>
                <w:sz w:val="24"/>
              </w:rPr>
              <w:t>ach wynagrodzenia zmiennego</w:t>
            </w:r>
          </w:p>
        </w:tc>
      </w:tr>
      <w:tr w:rsidR="009360C9" w:rsidRPr="00835753"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385D26B" w:rsidR="009360C9" w:rsidRPr="00835753" w:rsidRDefault="009360C9" w:rsidP="006D005E">
            <w:pPr>
              <w:pStyle w:val="Applicationdirecte"/>
              <w:spacing w:before="0" w:after="0"/>
              <w:jc w:val="center"/>
            </w:pPr>
            <w:r w:rsidRPr="00835753">
              <w:t>6, 12, 18</w:t>
            </w:r>
            <w:r w:rsidR="00835753" w:rsidRPr="00835753">
              <w:t xml:space="preserve"> i</w:t>
            </w:r>
            <w:r w:rsidR="00835753">
              <w:t> </w:t>
            </w:r>
            <w:r w:rsidR="00835753" w:rsidRPr="00835753">
              <w:t>2</w:t>
            </w:r>
            <w:r w:rsidRPr="00835753">
              <w:t>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835753" w:rsidRDefault="009360C9" w:rsidP="00155C96">
            <w:pPr>
              <w:autoSpaceDE w:val="0"/>
              <w:autoSpaceDN w:val="0"/>
              <w:adjustRightInd w:val="0"/>
              <w:spacing w:after="120"/>
              <w:rPr>
                <w:rFonts w:ascii="Times New Roman" w:hAnsi="Times New Roman"/>
                <w:b/>
                <w:sz w:val="24"/>
              </w:rPr>
            </w:pPr>
            <w:r w:rsidRPr="00835753">
              <w:rPr>
                <w:rFonts w:ascii="Times New Roman" w:hAnsi="Times New Roman"/>
                <w:b/>
                <w:sz w:val="24"/>
              </w:rPr>
              <w:t>Inne formy</w:t>
            </w:r>
          </w:p>
          <w:p w14:paraId="52974DA6" w14:textId="7AB87909" w:rsidR="009360C9" w:rsidRPr="00835753" w:rsidRDefault="009360C9" w:rsidP="00155C96">
            <w:pPr>
              <w:spacing w:before="60" w:after="120"/>
              <w:jc w:val="both"/>
              <w:rPr>
                <w:rFonts w:ascii="Times New Roman" w:hAnsi="Times New Roman" w:cs="Times New Roman"/>
                <w:sz w:val="24"/>
              </w:rPr>
            </w:pPr>
            <w:r w:rsidRPr="00835753">
              <w:rPr>
                <w:rFonts w:ascii="Times New Roman" w:hAnsi="Times New Roman"/>
                <w:sz w:val="24"/>
              </w:rPr>
              <w:t>Kwoty wynagrodzenia zmiennego inne niż ujawnione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rszach „W formie środków pieniężnych”, „Akcje lub odpowiadające im tytuły własności,</w:t>
            </w:r>
            <w:r w:rsidR="00835753" w:rsidRPr="00835753">
              <w:rPr>
                <w:rFonts w:ascii="Times New Roman" w:hAnsi="Times New Roman"/>
                <w:sz w:val="24"/>
              </w:rPr>
              <w:t xml:space="preserve"> </w:t>
            </w:r>
            <w:r w:rsidR="00835753" w:rsidRPr="00835753">
              <w:rPr>
                <w:rFonts w:ascii="Times New Roman" w:hAnsi="Times New Roman"/>
                <w:sz w:val="24"/>
              </w:rPr>
              <w:lastRenderedPageBreak/>
              <w:t>w</w:t>
            </w:r>
            <w:r w:rsidR="00835753">
              <w:rPr>
                <w:rFonts w:ascii="Times New Roman" w:hAnsi="Times New Roman"/>
                <w:sz w:val="24"/>
              </w:rPr>
              <w:t> </w:t>
            </w:r>
            <w:r w:rsidR="00835753" w:rsidRPr="00835753">
              <w:rPr>
                <w:rFonts w:ascii="Times New Roman" w:hAnsi="Times New Roman"/>
                <w:sz w:val="24"/>
              </w:rPr>
              <w:t>zal</w:t>
            </w:r>
            <w:r w:rsidRPr="00835753">
              <w:rPr>
                <w:rFonts w:ascii="Times New Roman" w:hAnsi="Times New Roman"/>
                <w:sz w:val="24"/>
              </w:rPr>
              <w:t>eżności od struktury prawnej danej instytucji, lub instrumenty związane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akc</w:t>
            </w:r>
            <w:r w:rsidRPr="00835753">
              <w:rPr>
                <w:rFonts w:ascii="Times New Roman" w:hAnsi="Times New Roman"/>
                <w:sz w:val="24"/>
              </w:rPr>
              <w:t>jami lub równoważne instrumenty niepieniężne” i „Inne instrumenty”</w:t>
            </w:r>
          </w:p>
          <w:p w14:paraId="118AC0A2" w14:textId="02108728" w:rsidR="009360C9" w:rsidRPr="00835753" w:rsidRDefault="009360C9" w:rsidP="00155C96">
            <w:pPr>
              <w:spacing w:before="60" w:after="120"/>
              <w:jc w:val="both"/>
              <w:rPr>
                <w:rFonts w:ascii="Times New Roman" w:hAnsi="Times New Roman" w:cs="Times New Roman"/>
                <w:sz w:val="24"/>
              </w:rPr>
            </w:pPr>
            <w:r w:rsidRPr="00835753">
              <w:rPr>
                <w:rFonts w:ascii="Times New Roman" w:hAnsi="Times New Roman"/>
                <w:sz w:val="24"/>
              </w:rPr>
              <w:t>Ta pozycja może obejmować proporcjonalne regularne składki emerytalne lub świadczenia (w przypadku gdy takie świadczenia nie zależą od żadnych kryteriów dotyczących wyników),</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mot</w:t>
            </w:r>
            <w:r w:rsidRPr="00835753">
              <w:rPr>
                <w:rFonts w:ascii="Times New Roman" w:hAnsi="Times New Roman"/>
                <w:sz w:val="24"/>
              </w:rPr>
              <w:t>ywie 64 CRD, lub inne formy wynagrodzenia, takie jak dodatek samochodowy.</w:t>
            </w:r>
          </w:p>
        </w:tc>
      </w:tr>
      <w:tr w:rsidR="009360C9" w:rsidRPr="00835753"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835753" w:rsidRDefault="009360C9" w:rsidP="006D005E">
            <w:pPr>
              <w:pStyle w:val="Applicationdirecte"/>
              <w:spacing w:before="0" w:after="0"/>
              <w:jc w:val="center"/>
            </w:pPr>
            <w:r w:rsidRPr="00835753">
              <w:lastRenderedPageBreak/>
              <w:t>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835753" w:rsidRDefault="009360C9" w:rsidP="00155C96">
            <w:pPr>
              <w:autoSpaceDE w:val="0"/>
              <w:autoSpaceDN w:val="0"/>
              <w:adjustRightInd w:val="0"/>
              <w:spacing w:before="60" w:after="120"/>
              <w:jc w:val="both"/>
              <w:rPr>
                <w:rFonts w:ascii="Times New Roman" w:hAnsi="Times New Roman"/>
                <w:b/>
                <w:sz w:val="24"/>
              </w:rPr>
            </w:pPr>
            <w:r w:rsidRPr="00835753">
              <w:rPr>
                <w:rFonts w:ascii="Times New Roman" w:hAnsi="Times New Roman"/>
                <w:b/>
                <w:sz w:val="24"/>
              </w:rPr>
              <w:t xml:space="preserve">Funkcja zarządcza organu zarządzającego </w:t>
            </w:r>
          </w:p>
          <w:p w14:paraId="58DBE153" w14:textId="2A50DD1F" w:rsidR="009360C9" w:rsidRPr="00835753" w:rsidRDefault="009360C9"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Członkowie organu zarządzającego, którzy są odpowiedzialni za jego funkcję zarządzania; suma wierszy 8, 9, 10, 11</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2 niniejszego wzoru</w:t>
            </w:r>
          </w:p>
        </w:tc>
      </w:tr>
      <w:tr w:rsidR="009360C9" w:rsidRPr="00835753"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835753" w:rsidRDefault="009360C9" w:rsidP="006D005E">
            <w:pPr>
              <w:pStyle w:val="Applicationdirecte"/>
              <w:spacing w:before="0" w:after="0"/>
              <w:jc w:val="center"/>
            </w:pPr>
            <w:r w:rsidRPr="00835753">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835753" w:rsidRDefault="009360C9" w:rsidP="00155C96">
            <w:pPr>
              <w:autoSpaceDE w:val="0"/>
              <w:autoSpaceDN w:val="0"/>
              <w:adjustRightInd w:val="0"/>
              <w:spacing w:before="60" w:after="120"/>
              <w:jc w:val="both"/>
              <w:rPr>
                <w:rFonts w:ascii="Times New Roman" w:hAnsi="Times New Roman"/>
                <w:b/>
                <w:sz w:val="24"/>
              </w:rPr>
            </w:pPr>
            <w:r w:rsidRPr="00835753">
              <w:rPr>
                <w:rFonts w:ascii="Times New Roman" w:hAnsi="Times New Roman"/>
                <w:b/>
                <w:sz w:val="24"/>
              </w:rPr>
              <w:t>Pozostali członkowie kadry kierowniczej wyższego szczebla</w:t>
            </w:r>
          </w:p>
          <w:p w14:paraId="619B3A4D" w14:textId="7C12617C"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Kadra kierownicza wyższego szczebla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def</w:t>
            </w:r>
            <w:r w:rsidRPr="00835753">
              <w:rPr>
                <w:rFonts w:ascii="Times New Roman" w:hAnsi="Times New Roman"/>
                <w:sz w:val="24"/>
              </w:rPr>
              <w:t>inicją zawartą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 ust.</w:t>
            </w:r>
            <w:r w:rsidR="00835753" w:rsidRPr="00835753">
              <w:rPr>
                <w:rFonts w:ascii="Times New Roman" w:hAnsi="Times New Roman"/>
                <w:sz w:val="24"/>
              </w:rPr>
              <w:t> </w:t>
            </w:r>
            <w:r w:rsidRPr="00835753">
              <w:rPr>
                <w:rFonts w:ascii="Times New Roman" w:hAnsi="Times New Roman"/>
                <w:sz w:val="24"/>
              </w:rPr>
              <w:t>1 pkt</w:t>
            </w:r>
            <w:r w:rsidR="00835753" w:rsidRPr="00835753">
              <w:rPr>
                <w:rFonts w:ascii="Times New Roman" w:hAnsi="Times New Roman"/>
                <w:sz w:val="24"/>
              </w:rPr>
              <w:t> </w:t>
            </w:r>
            <w:r w:rsidRPr="00835753">
              <w:rPr>
                <w:rFonts w:ascii="Times New Roman" w:hAnsi="Times New Roman"/>
                <w:sz w:val="24"/>
              </w:rPr>
              <w:t>9 CRD; suma wierszy 14, 15, 16, 17</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8 niniejszego wzoru</w:t>
            </w:r>
          </w:p>
          <w:p w14:paraId="1B188B52" w14:textId="5251AB05" w:rsidR="009360C9" w:rsidRPr="00835753" w:rsidRDefault="009360C9" w:rsidP="00155C96">
            <w:pPr>
              <w:autoSpaceDE w:val="0"/>
              <w:autoSpaceDN w:val="0"/>
              <w:adjustRightInd w:val="0"/>
              <w:spacing w:before="60" w:after="120"/>
              <w:jc w:val="both"/>
              <w:rPr>
                <w:rFonts w:ascii="Times New Roman" w:hAnsi="Times New Roman"/>
                <w:sz w:val="24"/>
              </w:rPr>
            </w:pPr>
            <w:r w:rsidRPr="00835753">
              <w:rPr>
                <w:rFonts w:ascii="Times New Roman" w:hAnsi="Times New Roman"/>
                <w:sz w:val="24"/>
              </w:rPr>
              <w:t>Instytucje ujawniają liczbę członków kadry kierowniczej wyższego szczebla, których nie ujawniono jako członków organu zarządzającego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jeg</w:t>
            </w:r>
            <w:r w:rsidRPr="00835753">
              <w:rPr>
                <w:rFonts w:ascii="Times New Roman" w:hAnsi="Times New Roman"/>
                <w:sz w:val="24"/>
              </w:rPr>
              <w:t>o funkcji zarządzania ani jako Pozostały określony personel.</w:t>
            </w:r>
          </w:p>
        </w:tc>
      </w:tr>
      <w:tr w:rsidR="009360C9" w:rsidRPr="00835753"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835753" w:rsidRDefault="009360C9" w:rsidP="006D005E">
            <w:pPr>
              <w:pStyle w:val="Applicationdirecte"/>
              <w:spacing w:before="0" w:after="0"/>
              <w:jc w:val="center"/>
            </w:pPr>
            <w:r w:rsidRPr="00835753">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835753" w:rsidRDefault="009360C9" w:rsidP="00155C96">
            <w:pPr>
              <w:spacing w:before="60" w:after="120"/>
              <w:jc w:val="both"/>
              <w:rPr>
                <w:rFonts w:ascii="Times New Roman" w:hAnsi="Times New Roman"/>
                <w:b/>
                <w:sz w:val="24"/>
              </w:rPr>
            </w:pPr>
            <w:r w:rsidRPr="00835753">
              <w:rPr>
                <w:rFonts w:ascii="Times New Roman" w:hAnsi="Times New Roman"/>
                <w:b/>
                <w:sz w:val="24"/>
              </w:rPr>
              <w:t>Pozostały określony personel</w:t>
            </w:r>
          </w:p>
          <w:p w14:paraId="2704A06A" w14:textId="5342AEF8" w:rsidR="009360C9" w:rsidRPr="00835753" w:rsidRDefault="009360C9" w:rsidP="00155C96">
            <w:pPr>
              <w:spacing w:before="60" w:after="120"/>
              <w:jc w:val="both"/>
              <w:rPr>
                <w:rFonts w:ascii="Times New Roman" w:hAnsi="Times New Roman"/>
                <w:sz w:val="24"/>
              </w:rPr>
            </w:pPr>
            <w:r w:rsidRPr="00835753">
              <w:rPr>
                <w:rFonts w:ascii="Times New Roman" w:hAnsi="Times New Roman"/>
                <w:sz w:val="24"/>
              </w:rPr>
              <w:t>Pracownicy niebędący członkami organu zarządzającego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jeg</w:t>
            </w:r>
            <w:r w:rsidRPr="00835753">
              <w:rPr>
                <w:rFonts w:ascii="Times New Roman" w:hAnsi="Times New Roman"/>
                <w:sz w:val="24"/>
              </w:rPr>
              <w:t>o funkcji nadzorczej lub funkcji zarządzania oraz niebędący członkami kadry kierowniczej wyższego szczebla, których działalność zawodowa ma istotny wpływ na profil ryzyka instytucji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kry</w:t>
            </w:r>
            <w:r w:rsidRPr="00835753">
              <w:rPr>
                <w:rFonts w:ascii="Times New Roman" w:hAnsi="Times New Roman"/>
                <w:sz w:val="24"/>
              </w:rPr>
              <w:t>teriami określonymi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porządzeniu delegowanym Komisji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awie określonego personelu wdrażającym art.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2 CRD oraz,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 dodatkowo na podstawie kryteriów instytucji; suma wierszy 20, 21, 22, 23</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2</w:t>
            </w:r>
            <w:r w:rsidRPr="00835753">
              <w:rPr>
                <w:rFonts w:ascii="Times New Roman" w:hAnsi="Times New Roman"/>
                <w:sz w:val="24"/>
              </w:rPr>
              <w:t>4 niniejszego wzoru</w:t>
            </w:r>
          </w:p>
        </w:tc>
      </w:tr>
      <w:tr w:rsidR="009360C9" w:rsidRPr="00835753"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835753" w:rsidRDefault="009360C9" w:rsidP="006D005E">
            <w:pPr>
              <w:pStyle w:val="Applicationdirecte"/>
              <w:spacing w:before="0" w:after="0"/>
              <w:jc w:val="center"/>
            </w:pPr>
            <w:r w:rsidRPr="00835753">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835753" w:rsidRDefault="002B7ED3" w:rsidP="00155C96">
            <w:pPr>
              <w:spacing w:before="60" w:after="120"/>
              <w:jc w:val="both"/>
              <w:rPr>
                <w:rFonts w:ascii="Times New Roman" w:hAnsi="Times New Roman"/>
                <w:b/>
                <w:sz w:val="24"/>
              </w:rPr>
            </w:pPr>
            <w:r w:rsidRPr="00835753">
              <w:rPr>
                <w:rFonts w:ascii="Times New Roman" w:hAnsi="Times New Roman"/>
                <w:b/>
                <w:sz w:val="24"/>
              </w:rPr>
              <w:t>Łączna kwota</w:t>
            </w:r>
          </w:p>
          <w:p w14:paraId="1149FC38" w14:textId="0E3A9AE5" w:rsidR="009360C9" w:rsidRPr="00835753" w:rsidRDefault="009360C9" w:rsidP="00155C96">
            <w:pPr>
              <w:spacing w:before="60" w:after="120"/>
              <w:jc w:val="both"/>
              <w:rPr>
                <w:rFonts w:ascii="Times New Roman" w:hAnsi="Times New Roman" w:cs="Times New Roman"/>
                <w:sz w:val="24"/>
              </w:rPr>
            </w:pPr>
            <w:r w:rsidRPr="00835753">
              <w:rPr>
                <w:rFonts w:ascii="Times New Roman" w:hAnsi="Times New Roman"/>
                <w:sz w:val="24"/>
              </w:rPr>
              <w:t>Suma wierszy 1, 7, 13</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1</w:t>
            </w:r>
            <w:r w:rsidRPr="00835753">
              <w:rPr>
                <w:rFonts w:ascii="Times New Roman" w:hAnsi="Times New Roman"/>
                <w:sz w:val="24"/>
              </w:rPr>
              <w:t>9 niniejszego wzoru</w:t>
            </w:r>
          </w:p>
        </w:tc>
      </w:tr>
      <w:tr w:rsidR="009360C9" w:rsidRPr="00835753"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835753" w:rsidRDefault="009360C9" w:rsidP="006D005E">
            <w:pPr>
              <w:pStyle w:val="TableMainHeading"/>
              <w:spacing w:before="60"/>
              <w:jc w:val="center"/>
              <w:rPr>
                <w:rFonts w:ascii="Times New Roman" w:hAnsi="Times New Roman"/>
                <w:b/>
                <w:sz w:val="24"/>
                <w:szCs w:val="24"/>
              </w:rPr>
            </w:pPr>
            <w:r w:rsidRPr="00835753">
              <w:rPr>
                <w:rFonts w:ascii="Times New Roman" w:hAnsi="Times New Roman"/>
                <w:b/>
                <w:sz w:val="24"/>
                <w:szCs w:val="24"/>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835753" w:rsidRDefault="009360C9" w:rsidP="00155C96">
            <w:pPr>
              <w:pStyle w:val="TableMainHeading"/>
              <w:spacing w:before="60"/>
              <w:rPr>
                <w:rFonts w:ascii="Times New Roman" w:hAnsi="Times New Roman"/>
                <w:b/>
                <w:sz w:val="24"/>
                <w:szCs w:val="24"/>
              </w:rPr>
            </w:pPr>
            <w:r w:rsidRPr="00835753">
              <w:rPr>
                <w:rFonts w:ascii="Times New Roman" w:hAnsi="Times New Roman"/>
                <w:b/>
                <w:sz w:val="24"/>
                <w:szCs w:val="24"/>
              </w:rPr>
              <w:t>Wyjaśnienie</w:t>
            </w:r>
          </w:p>
        </w:tc>
      </w:tr>
      <w:tr w:rsidR="009360C9" w:rsidRPr="00835753"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835753" w:rsidRDefault="009360C9" w:rsidP="006D005E">
            <w:pPr>
              <w:pStyle w:val="Applicationdirecte"/>
              <w:spacing w:before="0" w:after="0"/>
              <w:jc w:val="center"/>
            </w:pPr>
            <w:proofErr w:type="gramStart"/>
            <w:r w:rsidRPr="00835753">
              <w:t>a</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835753" w:rsidRDefault="009360C9" w:rsidP="00155C96">
            <w:pPr>
              <w:spacing w:after="120"/>
              <w:jc w:val="both"/>
              <w:rPr>
                <w:rFonts w:ascii="Times New Roman" w:hAnsi="Times New Roman"/>
                <w:b/>
                <w:color w:val="000000"/>
                <w:sz w:val="24"/>
              </w:rPr>
            </w:pPr>
            <w:r w:rsidRPr="00835753">
              <w:rPr>
                <w:rFonts w:ascii="Times New Roman" w:hAnsi="Times New Roman"/>
                <w:b/>
                <w:color w:val="000000"/>
                <w:sz w:val="24"/>
              </w:rPr>
              <w:t xml:space="preserve">Łączna </w:t>
            </w:r>
            <w:r w:rsidRPr="00835753">
              <w:rPr>
                <w:rFonts w:ascii="Times New Roman" w:hAnsi="Times New Roman"/>
                <w:b/>
                <w:sz w:val="24"/>
              </w:rPr>
              <w:t>wysokość wynagrodzenia odroczonego przyznanego za poprzednie okresy osiągnięcia wyników</w:t>
            </w:r>
          </w:p>
          <w:p w14:paraId="7F348F09" w14:textId="71AA0F81" w:rsidR="009360C9" w:rsidRPr="00835753" w:rsidRDefault="009360C9" w:rsidP="00155C96">
            <w:pPr>
              <w:spacing w:after="120"/>
              <w:jc w:val="both"/>
              <w:rPr>
                <w:rFonts w:ascii="Times New Roman" w:hAnsi="Times New Roman" w:cs="Times New Roman"/>
                <w:sz w:val="24"/>
              </w:rPr>
            </w:pPr>
            <w:r w:rsidRPr="00835753">
              <w:rPr>
                <w:rFonts w:ascii="Times New Roman" w:hAnsi="Times New Roman"/>
                <w:sz w:val="24"/>
              </w:rPr>
              <w:t>Wysokość wynagrodzenia odroczonego, ustalonego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CRD, które przyznano za poprzednie okresy osiągnięcia wyników (suma kolumn b) oraz c) niniejszego wzoru)</w:t>
            </w:r>
          </w:p>
        </w:tc>
      </w:tr>
      <w:tr w:rsidR="009360C9" w:rsidRPr="00835753"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835753" w:rsidRDefault="009360C9" w:rsidP="006D005E">
            <w:pPr>
              <w:pStyle w:val="Applicationdirecte"/>
              <w:spacing w:before="0" w:after="0"/>
              <w:jc w:val="center"/>
            </w:pPr>
            <w:proofErr w:type="gramStart"/>
            <w:r w:rsidRPr="00835753">
              <w:t>b</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0605A5C" w:rsidR="009360C9" w:rsidRPr="00835753" w:rsidRDefault="009360C9" w:rsidP="00155C96">
            <w:pPr>
              <w:spacing w:after="120"/>
              <w:jc w:val="both"/>
              <w:rPr>
                <w:rFonts w:ascii="Times New Roman" w:hAnsi="Times New Roman"/>
                <w:b/>
                <w:sz w:val="24"/>
              </w:rPr>
            </w:pPr>
            <w:r w:rsidRPr="00835753">
              <w:rPr>
                <w:rFonts w:ascii="Times New Roman" w:hAnsi="Times New Roman"/>
                <w:b/>
                <w:sz w:val="24"/>
              </w:rPr>
              <w:t>W tym kwota wynagrodzenia przysługującego</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dan</w:t>
            </w:r>
            <w:r w:rsidRPr="00835753">
              <w:rPr>
                <w:rFonts w:ascii="Times New Roman" w:hAnsi="Times New Roman"/>
                <w:b/>
                <w:sz w:val="24"/>
              </w:rPr>
              <w:t>ym roku obrachunkowym</w:t>
            </w:r>
          </w:p>
          <w:p w14:paraId="56243123" w14:textId="1DC15CBE" w:rsidR="009360C9" w:rsidRPr="00835753" w:rsidRDefault="009360C9" w:rsidP="00155C96">
            <w:pPr>
              <w:spacing w:after="120"/>
              <w:jc w:val="both"/>
              <w:rPr>
                <w:rFonts w:ascii="Times New Roman" w:hAnsi="Times New Roman"/>
                <w:color w:val="000000"/>
                <w:sz w:val="24"/>
              </w:rPr>
            </w:pPr>
            <w:r w:rsidRPr="00835753">
              <w:rPr>
                <w:rFonts w:ascii="Times New Roman" w:hAnsi="Times New Roman"/>
                <w:sz w:val="24"/>
              </w:rPr>
              <w:t>Wysokość wynagrodzenia odroczonego przyznanego za poprzednie okresy osiągnięcia wyników, ustalonego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CRD, które przysługuje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roku obrachunkowym</w:t>
            </w:r>
          </w:p>
        </w:tc>
      </w:tr>
      <w:tr w:rsidR="009360C9" w:rsidRPr="00835753"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835753" w:rsidRDefault="009360C9" w:rsidP="006D005E">
            <w:pPr>
              <w:pStyle w:val="Applicationdirecte"/>
              <w:spacing w:before="0" w:after="0"/>
              <w:jc w:val="center"/>
            </w:pPr>
            <w:proofErr w:type="gramStart"/>
            <w:r w:rsidRPr="00835753">
              <w:lastRenderedPageBreak/>
              <w:t>c</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2C611ABB" w:rsidR="009360C9" w:rsidRPr="00835753" w:rsidRDefault="009360C9" w:rsidP="00155C96">
            <w:pPr>
              <w:spacing w:after="120"/>
              <w:jc w:val="both"/>
              <w:rPr>
                <w:rFonts w:ascii="Times New Roman" w:hAnsi="Times New Roman"/>
                <w:b/>
                <w:sz w:val="24"/>
              </w:rPr>
            </w:pPr>
            <w:r w:rsidRPr="00835753">
              <w:rPr>
                <w:rFonts w:ascii="Times New Roman" w:hAnsi="Times New Roman"/>
                <w:b/>
                <w:sz w:val="24"/>
              </w:rPr>
              <w:t>W tym kwota wynagrodzenia przysługującego</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kol</w:t>
            </w:r>
            <w:r w:rsidRPr="00835753">
              <w:rPr>
                <w:rFonts w:ascii="Times New Roman" w:hAnsi="Times New Roman"/>
                <w:b/>
                <w:sz w:val="24"/>
              </w:rPr>
              <w:t>ejnych latach obrachunkowych</w:t>
            </w:r>
          </w:p>
          <w:p w14:paraId="168FD24F" w14:textId="4B51BE1D" w:rsidR="009360C9" w:rsidRPr="00835753" w:rsidRDefault="009360C9" w:rsidP="00155C96">
            <w:pPr>
              <w:spacing w:after="120"/>
              <w:jc w:val="both"/>
              <w:rPr>
                <w:rFonts w:ascii="Times New Roman" w:hAnsi="Times New Roman"/>
                <w:color w:val="000000"/>
                <w:sz w:val="24"/>
              </w:rPr>
            </w:pPr>
            <w:r w:rsidRPr="00835753">
              <w:rPr>
                <w:rFonts w:ascii="Times New Roman" w:hAnsi="Times New Roman"/>
                <w:sz w:val="24"/>
              </w:rPr>
              <w:t>Wysokość wynagrodzenia odroczonego przyznanego za poprzednie okresy osiągnięcia wyników, ustalonego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CRD, które będzie przysługiwało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kol</w:t>
            </w:r>
            <w:r w:rsidRPr="00835753">
              <w:rPr>
                <w:rFonts w:ascii="Times New Roman" w:hAnsi="Times New Roman"/>
                <w:sz w:val="24"/>
              </w:rPr>
              <w:t>ejnych latach obrachunkowych</w:t>
            </w:r>
          </w:p>
        </w:tc>
      </w:tr>
      <w:tr w:rsidR="009360C9" w:rsidRPr="00835753"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835753" w:rsidRDefault="009360C9" w:rsidP="006D005E">
            <w:pPr>
              <w:pStyle w:val="Applicationdirecte"/>
              <w:spacing w:before="0" w:after="0"/>
              <w:jc w:val="center"/>
            </w:pPr>
            <w:proofErr w:type="gramStart"/>
            <w:r w:rsidRPr="00835753">
              <w:t>d</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5CAB1FD9" w:rsidR="009360C9" w:rsidRPr="00835753" w:rsidRDefault="009360C9" w:rsidP="00155C96">
            <w:pPr>
              <w:spacing w:after="120"/>
              <w:jc w:val="both"/>
              <w:rPr>
                <w:rFonts w:ascii="Times New Roman" w:hAnsi="Times New Roman"/>
                <w:b/>
                <w:sz w:val="24"/>
              </w:rPr>
            </w:pPr>
            <w:r w:rsidRPr="00835753">
              <w:rPr>
                <w:rFonts w:ascii="Times New Roman" w:hAnsi="Times New Roman"/>
                <w:b/>
                <w:sz w:val="24"/>
              </w:rPr>
              <w:t>Wysokość korekty</w:t>
            </w:r>
            <w:r w:rsidR="00835753" w:rsidRPr="00835753">
              <w:rPr>
                <w:rFonts w:ascii="Times New Roman" w:hAnsi="Times New Roman"/>
                <w:b/>
                <w:sz w:val="24"/>
              </w:rPr>
              <w:t xml:space="preserve"> o</w:t>
            </w:r>
            <w:r w:rsidR="00835753">
              <w:rPr>
                <w:rFonts w:ascii="Times New Roman" w:hAnsi="Times New Roman"/>
                <w:b/>
                <w:sz w:val="24"/>
              </w:rPr>
              <w:t> </w:t>
            </w:r>
            <w:r w:rsidR="00835753" w:rsidRPr="00835753">
              <w:rPr>
                <w:rFonts w:ascii="Times New Roman" w:hAnsi="Times New Roman"/>
                <w:b/>
                <w:sz w:val="24"/>
              </w:rPr>
              <w:t>wyn</w:t>
            </w:r>
            <w:r w:rsidRPr="00835753">
              <w:rPr>
                <w:rFonts w:ascii="Times New Roman" w:hAnsi="Times New Roman"/>
                <w:b/>
                <w:sz w:val="24"/>
              </w:rPr>
              <w:t>iki dokonanej</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dan</w:t>
            </w:r>
            <w:r w:rsidRPr="00835753">
              <w:rPr>
                <w:rFonts w:ascii="Times New Roman" w:hAnsi="Times New Roman"/>
                <w:b/>
                <w:sz w:val="24"/>
              </w:rPr>
              <w:t>ym roku obrachunkowym</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wyn</w:t>
            </w:r>
            <w:r w:rsidRPr="00835753">
              <w:rPr>
                <w:rFonts w:ascii="Times New Roman" w:hAnsi="Times New Roman"/>
                <w:b/>
                <w:sz w:val="24"/>
              </w:rPr>
              <w:t>agrodzeniu odroczonym, które przysługiwało</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dan</w:t>
            </w:r>
            <w:r w:rsidRPr="00835753">
              <w:rPr>
                <w:rFonts w:ascii="Times New Roman" w:hAnsi="Times New Roman"/>
                <w:b/>
                <w:sz w:val="24"/>
              </w:rPr>
              <w:t>ym roku obrachunkowym</w:t>
            </w:r>
          </w:p>
          <w:p w14:paraId="1792F0FB" w14:textId="40E06DFE" w:rsidR="009360C9" w:rsidRPr="00835753" w:rsidRDefault="009360C9" w:rsidP="00155C96">
            <w:pPr>
              <w:spacing w:after="120"/>
              <w:jc w:val="both"/>
              <w:rPr>
                <w:rFonts w:ascii="Times New Roman" w:hAnsi="Times New Roman" w:cs="Times New Roman"/>
                <w:sz w:val="24"/>
              </w:rPr>
            </w:pPr>
            <w:r w:rsidRPr="00835753">
              <w:rPr>
                <w:rFonts w:ascii="Times New Roman" w:hAnsi="Times New Roman"/>
                <w:sz w:val="24"/>
              </w:rPr>
              <w:t>Wysokość korekty</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wyn</w:t>
            </w:r>
            <w:r w:rsidRPr="00835753">
              <w:rPr>
                <w:rFonts w:ascii="Times New Roman" w:hAnsi="Times New Roman"/>
                <w:sz w:val="24"/>
              </w:rPr>
              <w:t>iki wynagrodzenia odroczonego, ustalonego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CRD, które przysługiwało</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ych latach obrachunkowych</w:t>
            </w:r>
          </w:p>
        </w:tc>
      </w:tr>
      <w:tr w:rsidR="009360C9" w:rsidRPr="00835753"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835753" w:rsidRDefault="009360C9" w:rsidP="006D005E">
            <w:pPr>
              <w:pStyle w:val="Applicationdirecte"/>
              <w:spacing w:before="0" w:after="0"/>
              <w:jc w:val="center"/>
            </w:pPr>
            <w:proofErr w:type="gramStart"/>
            <w:r w:rsidRPr="00835753">
              <w:t>e</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D780936" w:rsidR="009360C9" w:rsidRPr="00835753" w:rsidRDefault="009360C9" w:rsidP="00155C96">
            <w:pPr>
              <w:spacing w:after="120"/>
              <w:jc w:val="both"/>
              <w:rPr>
                <w:rFonts w:ascii="Times New Roman" w:hAnsi="Times New Roman"/>
                <w:b/>
                <w:sz w:val="24"/>
              </w:rPr>
            </w:pPr>
            <w:r w:rsidRPr="00835753">
              <w:rPr>
                <w:rFonts w:ascii="Times New Roman" w:hAnsi="Times New Roman"/>
                <w:b/>
                <w:sz w:val="24"/>
              </w:rPr>
              <w:t>Wysokość korekty</w:t>
            </w:r>
            <w:r w:rsidR="00835753" w:rsidRPr="00835753">
              <w:rPr>
                <w:rFonts w:ascii="Times New Roman" w:hAnsi="Times New Roman"/>
                <w:b/>
                <w:sz w:val="24"/>
              </w:rPr>
              <w:t xml:space="preserve"> o</w:t>
            </w:r>
            <w:r w:rsidR="00835753">
              <w:rPr>
                <w:rFonts w:ascii="Times New Roman" w:hAnsi="Times New Roman"/>
                <w:b/>
                <w:sz w:val="24"/>
              </w:rPr>
              <w:t> </w:t>
            </w:r>
            <w:r w:rsidR="00835753" w:rsidRPr="00835753">
              <w:rPr>
                <w:rFonts w:ascii="Times New Roman" w:hAnsi="Times New Roman"/>
                <w:b/>
                <w:sz w:val="24"/>
              </w:rPr>
              <w:t>wyn</w:t>
            </w:r>
            <w:r w:rsidRPr="00835753">
              <w:rPr>
                <w:rFonts w:ascii="Times New Roman" w:hAnsi="Times New Roman"/>
                <w:b/>
                <w:sz w:val="24"/>
              </w:rPr>
              <w:t>iki dokonanej</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dan</w:t>
            </w:r>
            <w:r w:rsidRPr="00835753">
              <w:rPr>
                <w:rFonts w:ascii="Times New Roman" w:hAnsi="Times New Roman"/>
                <w:b/>
                <w:sz w:val="24"/>
              </w:rPr>
              <w:t>ym roku obrachunkowym</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wyn</w:t>
            </w:r>
            <w:r w:rsidRPr="00835753">
              <w:rPr>
                <w:rFonts w:ascii="Times New Roman" w:hAnsi="Times New Roman"/>
                <w:b/>
                <w:sz w:val="24"/>
              </w:rPr>
              <w:t>agrodzeniu odroczonym, które miało przysługiwać</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prz</w:t>
            </w:r>
            <w:r w:rsidRPr="00835753">
              <w:rPr>
                <w:rFonts w:ascii="Times New Roman" w:hAnsi="Times New Roman"/>
                <w:b/>
                <w:sz w:val="24"/>
              </w:rPr>
              <w:t>yszłych latach obrachunkowych</w:t>
            </w:r>
          </w:p>
          <w:p w14:paraId="237959D1" w14:textId="695DE0FF" w:rsidR="009360C9" w:rsidRPr="00835753" w:rsidRDefault="009360C9" w:rsidP="00155C96">
            <w:pPr>
              <w:spacing w:after="120"/>
              <w:jc w:val="both"/>
              <w:rPr>
                <w:rFonts w:ascii="Times New Roman" w:hAnsi="Times New Roman" w:cs="Times New Roman"/>
                <w:sz w:val="24"/>
              </w:rPr>
            </w:pPr>
            <w:r w:rsidRPr="00835753">
              <w:rPr>
                <w:rFonts w:ascii="Times New Roman" w:hAnsi="Times New Roman"/>
                <w:sz w:val="24"/>
              </w:rPr>
              <w:t>Wysokość korekty</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wyn</w:t>
            </w:r>
            <w:r w:rsidRPr="00835753">
              <w:rPr>
                <w:rFonts w:ascii="Times New Roman" w:hAnsi="Times New Roman"/>
                <w:sz w:val="24"/>
              </w:rPr>
              <w:t>iki wynagrodzenia odroczonego, ustalonego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CRD, które miało przysługiwać</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prz</w:t>
            </w:r>
            <w:r w:rsidRPr="00835753">
              <w:rPr>
                <w:rFonts w:ascii="Times New Roman" w:hAnsi="Times New Roman"/>
                <w:sz w:val="24"/>
              </w:rPr>
              <w:t>yszłych latach osiągnięcia wyników</w:t>
            </w:r>
          </w:p>
        </w:tc>
      </w:tr>
      <w:tr w:rsidR="009360C9" w:rsidRPr="00835753"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835753" w:rsidRDefault="009360C9" w:rsidP="006D005E">
            <w:pPr>
              <w:pStyle w:val="Applicationdirecte"/>
              <w:spacing w:before="0" w:after="0"/>
              <w:jc w:val="center"/>
            </w:pPr>
            <w:proofErr w:type="gramStart"/>
            <w:r w:rsidRPr="00835753">
              <w:t>f</w:t>
            </w:r>
            <w:proofErr w:type="gramEnd"/>
            <w:r w:rsidRPr="00835753">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595169E0" w:rsidR="009360C9" w:rsidRPr="00835753" w:rsidRDefault="009360C9" w:rsidP="00155C96">
            <w:pPr>
              <w:spacing w:after="120"/>
              <w:jc w:val="both"/>
              <w:rPr>
                <w:rFonts w:ascii="Times New Roman" w:hAnsi="Times New Roman"/>
                <w:b/>
                <w:sz w:val="24"/>
              </w:rPr>
            </w:pPr>
            <w:r w:rsidRPr="00835753">
              <w:rPr>
                <w:rFonts w:ascii="Times New Roman" w:hAnsi="Times New Roman"/>
                <w:b/>
                <w:sz w:val="24"/>
              </w:rPr>
              <w:t>Łączna wysokość korekty</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dan</w:t>
            </w:r>
            <w:r w:rsidRPr="00835753">
              <w:rPr>
                <w:rFonts w:ascii="Times New Roman" w:hAnsi="Times New Roman"/>
                <w:b/>
                <w:sz w:val="24"/>
              </w:rPr>
              <w:t xml:space="preserve">ym roku obrachunkowym ze względu na pośrednie korekty </w:t>
            </w:r>
            <w:r w:rsidRPr="00835753">
              <w:rPr>
                <w:rFonts w:ascii="Times New Roman" w:hAnsi="Times New Roman"/>
                <w:b/>
                <w:i/>
                <w:sz w:val="24"/>
              </w:rPr>
              <w:t>ex post</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dan</w:t>
            </w:r>
            <w:r w:rsidRPr="00835753">
              <w:rPr>
                <w:rFonts w:ascii="Times New Roman" w:hAnsi="Times New Roman"/>
                <w:b/>
                <w:sz w:val="24"/>
              </w:rPr>
              <w:t>ym roku obrachunkowym (tj. zmiany wartości wynagrodzenia odroczonego ze względu na zmiany cen instrumentów)</w:t>
            </w:r>
          </w:p>
          <w:p w14:paraId="623380BC" w14:textId="71C9F932" w:rsidR="009360C9" w:rsidRPr="00835753" w:rsidRDefault="009360C9" w:rsidP="00155C96">
            <w:pPr>
              <w:spacing w:after="120"/>
              <w:jc w:val="both"/>
              <w:rPr>
                <w:rFonts w:ascii="Times New Roman" w:hAnsi="Times New Roman" w:cs="Times New Roman"/>
                <w:sz w:val="24"/>
              </w:rPr>
            </w:pPr>
            <w:r w:rsidRPr="00835753">
              <w:rPr>
                <w:rFonts w:ascii="Times New Roman" w:hAnsi="Times New Roman"/>
                <w:sz w:val="24"/>
              </w:rPr>
              <w:t>W stosownych przypadkach kwota zmiany wartości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 xml:space="preserve">ym roku obrachunkowym ze względu na pośrednie korekty </w:t>
            </w:r>
            <w:r w:rsidRPr="00835753">
              <w:rPr>
                <w:rFonts w:ascii="Times New Roman" w:hAnsi="Times New Roman"/>
                <w:i/>
                <w:sz w:val="24"/>
              </w:rPr>
              <w:t>ex post</w:t>
            </w:r>
            <w:r w:rsidRPr="00835753">
              <w:rPr>
                <w:rFonts w:ascii="Times New Roman" w:hAnsi="Times New Roman"/>
                <w:sz w:val="24"/>
              </w:rPr>
              <w:t xml:space="preserve">, takie jak zmiany wartości wynagrodzenia odroczonego ze względu na zmiany cen instrumentów, oszacowana na zasadzie dołożenia wszelkich starań. </w:t>
            </w:r>
          </w:p>
        </w:tc>
      </w:tr>
      <w:tr w:rsidR="009360C9" w:rsidRPr="00835753"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835753" w:rsidRDefault="009360C9" w:rsidP="006D005E">
            <w:pPr>
              <w:pStyle w:val="Applicationdirecte"/>
              <w:spacing w:before="0" w:after="0"/>
              <w:jc w:val="center"/>
            </w:pPr>
            <w:r w:rsidRPr="00835753">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426F6393" w:rsidR="009360C9" w:rsidRPr="00835753" w:rsidRDefault="009360C9" w:rsidP="00155C96">
            <w:pPr>
              <w:spacing w:after="120"/>
              <w:jc w:val="both"/>
              <w:rPr>
                <w:rFonts w:ascii="Times New Roman" w:hAnsi="Times New Roman"/>
                <w:b/>
                <w:sz w:val="24"/>
              </w:rPr>
            </w:pPr>
            <w:r w:rsidRPr="00835753">
              <w:rPr>
                <w:rFonts w:ascii="Times New Roman" w:hAnsi="Times New Roman"/>
                <w:b/>
                <w:sz w:val="24"/>
              </w:rPr>
              <w:t>Łączna kwota odroczonych wynagrodzeń przyznanych przed danym rokiem obrachunkowym</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fak</w:t>
            </w:r>
            <w:r w:rsidRPr="00835753">
              <w:rPr>
                <w:rFonts w:ascii="Times New Roman" w:hAnsi="Times New Roman"/>
                <w:b/>
                <w:sz w:val="24"/>
              </w:rPr>
              <w:t>tycznie wypłaconych</w:t>
            </w:r>
            <w:r w:rsidR="00835753" w:rsidRPr="00835753">
              <w:rPr>
                <w:rFonts w:ascii="Times New Roman" w:hAnsi="Times New Roman"/>
                <w:b/>
                <w:sz w:val="24"/>
              </w:rPr>
              <w:t xml:space="preserve"> w</w:t>
            </w:r>
            <w:r w:rsidR="00835753">
              <w:rPr>
                <w:rFonts w:ascii="Times New Roman" w:hAnsi="Times New Roman"/>
                <w:b/>
                <w:sz w:val="24"/>
              </w:rPr>
              <w:t> </w:t>
            </w:r>
            <w:r w:rsidR="00835753" w:rsidRPr="00835753">
              <w:rPr>
                <w:rFonts w:ascii="Times New Roman" w:hAnsi="Times New Roman"/>
                <w:b/>
                <w:sz w:val="24"/>
              </w:rPr>
              <w:t>dan</w:t>
            </w:r>
            <w:r w:rsidRPr="00835753">
              <w:rPr>
                <w:rFonts w:ascii="Times New Roman" w:hAnsi="Times New Roman"/>
                <w:b/>
                <w:sz w:val="24"/>
              </w:rPr>
              <w:t>ym roku obrachunkowym</w:t>
            </w:r>
          </w:p>
          <w:p w14:paraId="42BA8D9A" w14:textId="55EC7892" w:rsidR="009360C9" w:rsidRPr="00835753" w:rsidRDefault="009360C9" w:rsidP="00155C96">
            <w:pPr>
              <w:spacing w:after="120"/>
              <w:jc w:val="both"/>
              <w:rPr>
                <w:rFonts w:ascii="Times New Roman" w:hAnsi="Times New Roman" w:cs="Times New Roman"/>
                <w:sz w:val="24"/>
              </w:rPr>
            </w:pPr>
            <w:r w:rsidRPr="00835753">
              <w:rPr>
                <w:rFonts w:ascii="Times New Roman" w:hAnsi="Times New Roman"/>
                <w:sz w:val="24"/>
              </w:rPr>
              <w:t>Wysokość wynagrodzenia odroczonego, ustalonego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CRD, które zostało wypłacone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dan</w:t>
            </w:r>
            <w:r w:rsidRPr="00835753">
              <w:rPr>
                <w:rFonts w:ascii="Times New Roman" w:hAnsi="Times New Roman"/>
                <w:sz w:val="24"/>
              </w:rPr>
              <w:t>ym roku obrachunkowym</w:t>
            </w:r>
          </w:p>
          <w:p w14:paraId="09D72464" w14:textId="54D47217" w:rsidR="009360C9" w:rsidRPr="00835753" w:rsidRDefault="009360C9" w:rsidP="00155C96">
            <w:pPr>
              <w:spacing w:after="120"/>
              <w:jc w:val="both"/>
              <w:rPr>
                <w:rFonts w:ascii="Times New Roman" w:hAnsi="Times New Roman" w:cs="Times New Roman"/>
                <w:sz w:val="24"/>
              </w:rPr>
            </w:pPr>
            <w:r w:rsidRPr="00835753">
              <w:rPr>
                <w:rFonts w:ascii="Times New Roman" w:hAnsi="Times New Roman"/>
                <w:sz w:val="24"/>
              </w:rPr>
              <w:t>Wynagrodzenie odroczone uznaje się za wypłacone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chw</w:t>
            </w:r>
            <w:r w:rsidRPr="00835753">
              <w:rPr>
                <w:rFonts w:ascii="Times New Roman" w:hAnsi="Times New Roman"/>
                <w:sz w:val="24"/>
              </w:rPr>
              <w:t>ilą, gdy zaczyna ono przysługiwać.</w:t>
            </w:r>
          </w:p>
        </w:tc>
      </w:tr>
      <w:tr w:rsidR="009360C9" w:rsidRPr="00835753"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835753" w:rsidRDefault="009360C9" w:rsidP="006D005E">
            <w:pPr>
              <w:pStyle w:val="Applicationdirecte"/>
              <w:spacing w:before="0" w:after="0"/>
              <w:jc w:val="center"/>
            </w:pPr>
            <w:r w:rsidRPr="00835753">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835753" w:rsidRDefault="009360C9" w:rsidP="00155C96">
            <w:pPr>
              <w:spacing w:after="120"/>
              <w:jc w:val="both"/>
              <w:rPr>
                <w:rFonts w:ascii="Times New Roman" w:hAnsi="Times New Roman"/>
                <w:b/>
                <w:sz w:val="24"/>
              </w:rPr>
            </w:pPr>
            <w:r w:rsidRPr="00835753">
              <w:rPr>
                <w:rFonts w:ascii="Times New Roman" w:hAnsi="Times New Roman"/>
                <w:b/>
                <w:sz w:val="24"/>
              </w:rPr>
              <w:t>Łączna wysokość wynagrodzenia odroczonego wypłatą przyznanego za poprzedni okres osiągnięcia wyników, które przysługuje, ale podlega okresom zatrzymania</w:t>
            </w:r>
          </w:p>
          <w:p w14:paraId="7B1AEBFC" w14:textId="43CD058F" w:rsidR="009360C9" w:rsidRPr="00835753" w:rsidRDefault="009360C9" w:rsidP="00155C96">
            <w:pPr>
              <w:spacing w:after="120"/>
              <w:jc w:val="both"/>
              <w:rPr>
                <w:rFonts w:ascii="Times New Roman" w:hAnsi="Times New Roman" w:cs="Times New Roman"/>
                <w:sz w:val="24"/>
              </w:rPr>
            </w:pPr>
            <w:r w:rsidRPr="00835753">
              <w:rPr>
                <w:rFonts w:ascii="Times New Roman" w:hAnsi="Times New Roman"/>
                <w:sz w:val="24"/>
              </w:rPr>
              <w:t>Wysokość wynagrodzenia odroczonego przyznanego za poprzednie okresy osiągnięcia wyników, które przysługuje, ale podlega okresom zatrzymania, jak ustalono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94 CRD</w:t>
            </w:r>
          </w:p>
        </w:tc>
      </w:tr>
    </w:tbl>
    <w:p w14:paraId="612E1D14" w14:textId="77777777" w:rsidR="009360C9" w:rsidRPr="00835753" w:rsidRDefault="009360C9" w:rsidP="009360C9">
      <w:pPr>
        <w:rPr>
          <w:rFonts w:ascii="Times New Roman" w:hAnsi="Times New Roman" w:cs="Times New Roman"/>
          <w:sz w:val="24"/>
        </w:rPr>
      </w:pPr>
    </w:p>
    <w:p w14:paraId="411E8519" w14:textId="556CA8E0" w:rsidR="009360C9" w:rsidRPr="00835753" w:rsidRDefault="00D95507" w:rsidP="009360C9">
      <w:pPr>
        <w:pStyle w:val="Titlelevel2"/>
        <w:spacing w:before="120" w:after="120"/>
        <w:rPr>
          <w:rFonts w:ascii="Times New Roman" w:hAnsi="Times New Roman" w:cs="Times New Roman"/>
          <w:color w:val="auto"/>
          <w:sz w:val="24"/>
        </w:rPr>
      </w:pPr>
      <w:r w:rsidRPr="00835753">
        <w:rPr>
          <w:rFonts w:ascii="Times New Roman" w:hAnsi="Times New Roman"/>
          <w:b/>
          <w:color w:val="auto"/>
          <w:sz w:val="24"/>
        </w:rPr>
        <w:t>Wzór EU REM4 – Wynagrodzenie</w:t>
      </w:r>
      <w:r w:rsidR="00835753" w:rsidRPr="00835753">
        <w:rPr>
          <w:rFonts w:ascii="Times New Roman" w:hAnsi="Times New Roman"/>
          <w:b/>
          <w:color w:val="auto"/>
          <w:sz w:val="24"/>
        </w:rPr>
        <w:t xml:space="preserve"> w</w:t>
      </w:r>
      <w:r w:rsidR="00835753">
        <w:rPr>
          <w:rFonts w:ascii="Times New Roman" w:hAnsi="Times New Roman"/>
          <w:b/>
          <w:color w:val="auto"/>
          <w:sz w:val="24"/>
        </w:rPr>
        <w:t> </w:t>
      </w:r>
      <w:r w:rsidR="00835753" w:rsidRPr="00835753">
        <w:rPr>
          <w:rFonts w:ascii="Times New Roman" w:hAnsi="Times New Roman"/>
          <w:b/>
          <w:color w:val="auto"/>
          <w:sz w:val="24"/>
        </w:rPr>
        <w:t>wys</w:t>
      </w:r>
      <w:r w:rsidRPr="00835753">
        <w:rPr>
          <w:rFonts w:ascii="Times New Roman" w:hAnsi="Times New Roman"/>
          <w:b/>
          <w:color w:val="auto"/>
          <w:sz w:val="24"/>
        </w:rPr>
        <w:t xml:space="preserve">okości co najmniej 1 mln EUR rocznie. </w:t>
      </w:r>
      <w:r w:rsidRPr="00835753">
        <w:rPr>
          <w:rFonts w:ascii="Times New Roman" w:hAnsi="Times New Roman"/>
          <w:color w:val="auto"/>
          <w:sz w:val="24"/>
        </w:rPr>
        <w:t>Format stały</w:t>
      </w:r>
    </w:p>
    <w:p w14:paraId="4AE4DB16" w14:textId="5CAFC571" w:rsidR="009360C9" w:rsidRPr="00835753"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35753">
        <w:rPr>
          <w:rFonts w:ascii="Times New Roman" w:hAnsi="Times New Roman"/>
          <w:bCs w:val="0"/>
          <w:color w:val="auto"/>
          <w:sz w:val="24"/>
        </w:rPr>
        <w:lastRenderedPageBreak/>
        <w:t>W celu wypełnienia wzoru EU REM4 zamieszczonego</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zał</w:t>
      </w:r>
      <w:r w:rsidRPr="00835753">
        <w:rPr>
          <w:rFonts w:ascii="Times New Roman" w:hAnsi="Times New Roman"/>
          <w:bCs w:val="0"/>
          <w:color w:val="auto"/>
          <w:sz w:val="24"/>
        </w:rPr>
        <w:t>ączniku XXXIII do niniejszego rozporządzenia wykonawczego instytucje ujawniają informacje,</w:t>
      </w:r>
      <w:r w:rsidR="00835753" w:rsidRPr="00835753">
        <w:rPr>
          <w:rFonts w:ascii="Times New Roman" w:hAnsi="Times New Roman"/>
          <w:bCs w:val="0"/>
          <w:color w:val="auto"/>
          <w:sz w:val="24"/>
        </w:rPr>
        <w:t xml:space="preserve"> o</w:t>
      </w:r>
      <w:r w:rsidR="00835753">
        <w:rPr>
          <w:rFonts w:ascii="Times New Roman" w:hAnsi="Times New Roman"/>
          <w:bCs w:val="0"/>
          <w:color w:val="auto"/>
          <w:sz w:val="24"/>
        </w:rPr>
        <w:t> </w:t>
      </w:r>
      <w:r w:rsidR="00835753" w:rsidRPr="00835753">
        <w:rPr>
          <w:rFonts w:ascii="Times New Roman" w:hAnsi="Times New Roman"/>
          <w:bCs w:val="0"/>
          <w:color w:val="auto"/>
          <w:sz w:val="24"/>
        </w:rPr>
        <w:t>któ</w:t>
      </w:r>
      <w:r w:rsidRPr="00835753">
        <w:rPr>
          <w:rFonts w:ascii="Times New Roman" w:hAnsi="Times New Roman"/>
          <w:bCs w:val="0"/>
          <w:color w:val="auto"/>
          <w:sz w:val="24"/>
        </w:rPr>
        <w:t>rych mowa</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art</w:t>
      </w:r>
      <w:r w:rsidRPr="00835753">
        <w:rPr>
          <w:rFonts w:ascii="Times New Roman" w:hAnsi="Times New Roman"/>
          <w:bCs w:val="0"/>
          <w:color w:val="auto"/>
          <w:sz w:val="24"/>
        </w:rPr>
        <w:t>.</w:t>
      </w:r>
      <w:r w:rsidR="00835753" w:rsidRPr="00835753">
        <w:rPr>
          <w:rFonts w:ascii="Times New Roman" w:hAnsi="Times New Roman"/>
          <w:bCs w:val="0"/>
          <w:color w:val="auto"/>
          <w:sz w:val="24"/>
        </w:rPr>
        <w:t> </w:t>
      </w:r>
      <w:r w:rsidRPr="00835753">
        <w:rPr>
          <w:rFonts w:ascii="Times New Roman" w:hAnsi="Times New Roman"/>
          <w:bCs w:val="0"/>
          <w:color w:val="auto"/>
          <w:sz w:val="24"/>
        </w:rPr>
        <w:t>450 ust.</w:t>
      </w:r>
      <w:r w:rsidR="00835753" w:rsidRPr="00835753">
        <w:rPr>
          <w:rFonts w:ascii="Times New Roman" w:hAnsi="Times New Roman"/>
          <w:bCs w:val="0"/>
          <w:color w:val="auto"/>
          <w:sz w:val="24"/>
        </w:rPr>
        <w:t> </w:t>
      </w:r>
      <w:r w:rsidRPr="00835753">
        <w:rPr>
          <w:rFonts w:ascii="Times New Roman" w:hAnsi="Times New Roman"/>
          <w:bCs w:val="0"/>
          <w:color w:val="auto"/>
          <w:sz w:val="24"/>
        </w:rPr>
        <w:t>1 lit.</w:t>
      </w:r>
      <w:r w:rsidR="00835753" w:rsidRPr="00835753">
        <w:rPr>
          <w:rFonts w:ascii="Times New Roman" w:hAnsi="Times New Roman"/>
          <w:bCs w:val="0"/>
          <w:color w:val="auto"/>
          <w:sz w:val="24"/>
        </w:rPr>
        <w:t> </w:t>
      </w:r>
      <w:r w:rsidRPr="00835753">
        <w:rPr>
          <w:rFonts w:ascii="Times New Roman" w:hAnsi="Times New Roman"/>
          <w:bCs w:val="0"/>
          <w:color w:val="auto"/>
          <w:sz w:val="24"/>
        </w:rPr>
        <w:t>i) CRR, zgodnie</w:t>
      </w:r>
      <w:r w:rsidR="00835753" w:rsidRPr="00835753">
        <w:rPr>
          <w:rFonts w:ascii="Times New Roman" w:hAnsi="Times New Roman"/>
          <w:bCs w:val="0"/>
          <w:color w:val="auto"/>
          <w:sz w:val="24"/>
        </w:rPr>
        <w:t xml:space="preserve"> z</w:t>
      </w:r>
      <w:r w:rsidR="00835753">
        <w:rPr>
          <w:rFonts w:ascii="Times New Roman" w:hAnsi="Times New Roman"/>
          <w:bCs w:val="0"/>
          <w:color w:val="auto"/>
          <w:sz w:val="24"/>
        </w:rPr>
        <w:t> </w:t>
      </w:r>
      <w:r w:rsidR="00835753" w:rsidRPr="00835753">
        <w:rPr>
          <w:rFonts w:ascii="Times New Roman" w:hAnsi="Times New Roman"/>
          <w:bCs w:val="0"/>
          <w:color w:val="auto"/>
          <w:sz w:val="24"/>
        </w:rPr>
        <w:t>ins</w:t>
      </w:r>
      <w:r w:rsidRPr="00835753">
        <w:rPr>
          <w:rFonts w:ascii="Times New Roman" w:hAnsi="Times New Roman"/>
          <w:bCs w:val="0"/>
          <w:color w:val="auto"/>
          <w:sz w:val="24"/>
        </w:rPr>
        <w:t>trukcjami zawartymi poniżej</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nin</w:t>
      </w:r>
      <w:r w:rsidRPr="00835753">
        <w:rPr>
          <w:rFonts w:ascii="Times New Roman" w:hAnsi="Times New Roman"/>
          <w:bCs w:val="0"/>
          <w:color w:val="auto"/>
          <w:sz w:val="24"/>
        </w:rPr>
        <w:t>iejszym załączniku.</w:t>
      </w:r>
    </w:p>
    <w:p w14:paraId="48B5AE03" w14:textId="0E62532F" w:rsidR="009360C9" w:rsidRPr="00835753"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35753">
        <w:rPr>
          <w:rFonts w:ascii="Times New Roman" w:hAnsi="Times New Roman"/>
          <w:bCs w:val="0"/>
          <w:color w:val="auto"/>
          <w:sz w:val="24"/>
        </w:rPr>
        <w:t>Dane przekazuje się</w:t>
      </w:r>
      <w:r w:rsidR="00835753" w:rsidRPr="00835753">
        <w:rPr>
          <w:rFonts w:ascii="Times New Roman" w:hAnsi="Times New Roman"/>
          <w:bCs w:val="0"/>
          <w:color w:val="auto"/>
          <w:sz w:val="24"/>
        </w:rPr>
        <w:t xml:space="preserve"> z</w:t>
      </w:r>
      <w:r w:rsidR="00835753">
        <w:rPr>
          <w:rFonts w:ascii="Times New Roman" w:hAnsi="Times New Roman"/>
          <w:bCs w:val="0"/>
          <w:color w:val="auto"/>
          <w:sz w:val="24"/>
        </w:rPr>
        <w:t> </w:t>
      </w:r>
      <w:r w:rsidR="00835753" w:rsidRPr="00835753">
        <w:rPr>
          <w:rFonts w:ascii="Times New Roman" w:hAnsi="Times New Roman"/>
          <w:bCs w:val="0"/>
          <w:color w:val="auto"/>
          <w:sz w:val="24"/>
        </w:rPr>
        <w:t>wyk</w:t>
      </w:r>
      <w:r w:rsidRPr="00835753">
        <w:rPr>
          <w:rFonts w:ascii="Times New Roman" w:hAnsi="Times New Roman"/>
          <w:bCs w:val="0"/>
          <w:color w:val="auto"/>
          <w:sz w:val="24"/>
        </w:rPr>
        <w:t>orzystaniem danych liczbowych na koniec roku obrachunkowego w EUR. Wszystkie kwoty ujawnia się</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pos</w:t>
      </w:r>
      <w:r w:rsidRPr="00835753">
        <w:rPr>
          <w:rFonts w:ascii="Times New Roman" w:hAnsi="Times New Roman"/>
          <w:bCs w:val="0"/>
          <w:color w:val="auto"/>
          <w:sz w:val="24"/>
        </w:rPr>
        <w:t>taci pełnych kwot, tj. niezaokrąglonych, w EUR (np.</w:t>
      </w:r>
      <w:r w:rsidR="00835753" w:rsidRPr="00835753">
        <w:rPr>
          <w:rFonts w:ascii="Times New Roman" w:hAnsi="Times New Roman"/>
          <w:bCs w:val="0"/>
          <w:color w:val="auto"/>
          <w:sz w:val="24"/>
        </w:rPr>
        <w:t> </w:t>
      </w:r>
      <w:r w:rsidRPr="00835753">
        <w:rPr>
          <w:rFonts w:ascii="Times New Roman" w:hAnsi="Times New Roman"/>
          <w:bCs w:val="0"/>
          <w:color w:val="auto"/>
          <w:sz w:val="24"/>
        </w:rPr>
        <w:t>1 234 567 EUR zamiast 1,2 mln EUR). Gdy wynagrodzenie jest wyrażone</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wal</w:t>
      </w:r>
      <w:r w:rsidRPr="00835753">
        <w:rPr>
          <w:rFonts w:ascii="Times New Roman" w:hAnsi="Times New Roman"/>
          <w:bCs w:val="0"/>
          <w:color w:val="auto"/>
          <w:sz w:val="24"/>
        </w:rPr>
        <w:t>ucie innej niż EUR, do przeliczenia skonsolidowanych danych liczbowych, które mają zostać ujawnione, stosuje się kurs wymiany walut stosowany przez Komisję do celów programowania finansowego</w:t>
      </w:r>
      <w:r w:rsidR="00835753" w:rsidRPr="00835753">
        <w:rPr>
          <w:rFonts w:ascii="Times New Roman" w:hAnsi="Times New Roman"/>
          <w:bCs w:val="0"/>
          <w:color w:val="auto"/>
          <w:sz w:val="24"/>
        </w:rPr>
        <w:t xml:space="preserve"> i</w:t>
      </w:r>
      <w:r w:rsidR="00835753">
        <w:rPr>
          <w:rFonts w:ascii="Times New Roman" w:hAnsi="Times New Roman"/>
          <w:bCs w:val="0"/>
          <w:color w:val="auto"/>
          <w:sz w:val="24"/>
        </w:rPr>
        <w:t> </w:t>
      </w:r>
      <w:r w:rsidR="00835753" w:rsidRPr="00835753">
        <w:rPr>
          <w:rFonts w:ascii="Times New Roman" w:hAnsi="Times New Roman"/>
          <w:bCs w:val="0"/>
          <w:color w:val="auto"/>
          <w:sz w:val="24"/>
        </w:rPr>
        <w:t>bud</w:t>
      </w:r>
      <w:r w:rsidRPr="00835753">
        <w:rPr>
          <w:rFonts w:ascii="Times New Roman" w:hAnsi="Times New Roman"/>
          <w:bCs w:val="0"/>
          <w:color w:val="auto"/>
          <w:sz w:val="24"/>
        </w:rPr>
        <w:t>żetu na grudzień danego roku sprawozdawczego.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835753"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6E11529" w:rsidR="009360C9" w:rsidRPr="00835753" w:rsidRDefault="009360C9" w:rsidP="00155C96">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9360C9" w:rsidRPr="00835753" w14:paraId="3C5CB55D" w14:textId="77777777" w:rsidTr="00155C96">
        <w:trPr>
          <w:trHeight w:val="238"/>
        </w:trPr>
        <w:tc>
          <w:tcPr>
            <w:tcW w:w="1384" w:type="dxa"/>
            <w:shd w:val="clear" w:color="auto" w:fill="D9D9D9" w:themeFill="background1" w:themeFillShade="D9"/>
          </w:tcPr>
          <w:p w14:paraId="126EA976" w14:textId="77777777" w:rsidR="009360C9" w:rsidRPr="00835753" w:rsidRDefault="009360C9" w:rsidP="00155C96">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3A67D4D5" w14:textId="77777777" w:rsidR="009360C9" w:rsidRPr="00835753" w:rsidRDefault="009360C9" w:rsidP="00155C96">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9360C9" w:rsidRPr="00835753"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835753" w:rsidRDefault="009360C9" w:rsidP="006D005E">
            <w:pPr>
              <w:autoSpaceDE w:val="0"/>
              <w:autoSpaceDN w:val="0"/>
              <w:adjustRightInd w:val="0"/>
              <w:jc w:val="center"/>
              <w:rPr>
                <w:rFonts w:ascii="Times New Roman" w:hAnsi="Times New Roman" w:cs="Times New Roman"/>
                <w:sz w:val="24"/>
              </w:rPr>
            </w:pPr>
            <w:r w:rsidRPr="00835753">
              <w:rPr>
                <w:rFonts w:ascii="Times New Roman" w:hAnsi="Times New Roman"/>
                <w:sz w:val="24"/>
              </w:rPr>
              <w:t>1–8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77FD1DE1" w:rsidR="009360C9" w:rsidRPr="00835753" w:rsidRDefault="009360C9" w:rsidP="00155C96">
            <w:pPr>
              <w:autoSpaceDE w:val="0"/>
              <w:autoSpaceDN w:val="0"/>
              <w:adjustRightInd w:val="0"/>
              <w:spacing w:after="120"/>
              <w:rPr>
                <w:rFonts w:ascii="Times New Roman" w:hAnsi="Times New Roman" w:cs="Times New Roman"/>
                <w:sz w:val="24"/>
              </w:rPr>
            </w:pPr>
            <w:r w:rsidRPr="00835753">
              <w:rPr>
                <w:rFonts w:ascii="Times New Roman" w:hAnsi="Times New Roman"/>
                <w:sz w:val="24"/>
              </w:rPr>
              <w:t>Wynagrodzenie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wys</w:t>
            </w:r>
            <w:r w:rsidRPr="00835753">
              <w:rPr>
                <w:rFonts w:ascii="Times New Roman" w:hAnsi="Times New Roman"/>
                <w:sz w:val="24"/>
              </w:rPr>
              <w:t>okości 1–5 mln EUR na rok obrachunkowy,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ziale po</w:t>
            </w:r>
            <w:r w:rsidR="00835753" w:rsidRPr="00835753">
              <w:rPr>
                <w:rFonts w:ascii="Times New Roman" w:hAnsi="Times New Roman"/>
                <w:sz w:val="24"/>
              </w:rPr>
              <w:t> </w:t>
            </w:r>
            <w:r w:rsidRPr="00835753">
              <w:rPr>
                <w:rFonts w:ascii="Times New Roman" w:hAnsi="Times New Roman"/>
                <w:sz w:val="24"/>
              </w:rPr>
              <w:t>500 000 EUR</w:t>
            </w:r>
          </w:p>
        </w:tc>
      </w:tr>
      <w:tr w:rsidR="009360C9" w:rsidRPr="00835753"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835753" w:rsidRDefault="009360C9" w:rsidP="006D005E">
            <w:pPr>
              <w:autoSpaceDE w:val="0"/>
              <w:autoSpaceDN w:val="0"/>
              <w:adjustRightInd w:val="0"/>
              <w:jc w:val="center"/>
              <w:rPr>
                <w:rFonts w:ascii="Times New Roman" w:hAnsi="Times New Roman" w:cs="Times New Roman"/>
                <w:sz w:val="24"/>
              </w:rPr>
            </w:pPr>
            <w:r w:rsidRPr="00835753">
              <w:rPr>
                <w:rFonts w:ascii="Times New Roman" w:hAnsi="Times New Roman"/>
                <w:sz w:val="24"/>
              </w:rPr>
              <w:t>9–x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4121AD51" w:rsidR="009360C9" w:rsidRPr="00835753" w:rsidRDefault="009360C9" w:rsidP="00155C96">
            <w:pPr>
              <w:autoSpaceDE w:val="0"/>
              <w:autoSpaceDN w:val="0"/>
              <w:adjustRightInd w:val="0"/>
              <w:spacing w:after="120"/>
              <w:rPr>
                <w:rFonts w:ascii="Times New Roman" w:hAnsi="Times New Roman" w:cs="Times New Roman"/>
                <w:sz w:val="24"/>
              </w:rPr>
            </w:pPr>
            <w:r w:rsidRPr="00835753">
              <w:rPr>
                <w:rFonts w:ascii="Times New Roman" w:hAnsi="Times New Roman"/>
                <w:sz w:val="24"/>
              </w:rPr>
              <w:t>Wynagrodzenie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wys</w:t>
            </w:r>
            <w:r w:rsidRPr="00835753">
              <w:rPr>
                <w:rFonts w:ascii="Times New Roman" w:hAnsi="Times New Roman"/>
                <w:sz w:val="24"/>
              </w:rPr>
              <w:t>okości powyżej 5 mln EUR na rok obrachunkowy,</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ziale po</w:t>
            </w:r>
            <w:r w:rsidR="00835753" w:rsidRPr="00835753">
              <w:rPr>
                <w:rFonts w:ascii="Times New Roman" w:hAnsi="Times New Roman"/>
                <w:sz w:val="24"/>
              </w:rPr>
              <w:t> </w:t>
            </w:r>
            <w:r w:rsidRPr="00835753">
              <w:rPr>
                <w:rFonts w:ascii="Times New Roman" w:hAnsi="Times New Roman"/>
                <w:sz w:val="24"/>
              </w:rPr>
              <w:t>1 mln EUR</w:t>
            </w:r>
          </w:p>
        </w:tc>
      </w:tr>
      <w:tr w:rsidR="009360C9" w:rsidRPr="00835753"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835753" w:rsidRDefault="009360C9" w:rsidP="006D005E">
            <w:pPr>
              <w:pStyle w:val="Applicationdirecte"/>
              <w:spacing w:before="0"/>
              <w:jc w:val="center"/>
              <w:rPr>
                <w:b/>
              </w:rPr>
            </w:pPr>
            <w:r w:rsidRPr="00835753">
              <w:rPr>
                <w:b/>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835753" w:rsidRDefault="009360C9" w:rsidP="00155C96">
            <w:pPr>
              <w:pStyle w:val="TableMainHeading"/>
              <w:spacing w:before="60"/>
              <w:rPr>
                <w:rFonts w:ascii="Times New Roman" w:hAnsi="Times New Roman"/>
                <w:b/>
                <w:sz w:val="24"/>
                <w:szCs w:val="24"/>
              </w:rPr>
            </w:pPr>
            <w:r w:rsidRPr="00835753">
              <w:rPr>
                <w:rFonts w:ascii="Times New Roman" w:hAnsi="Times New Roman"/>
                <w:b/>
                <w:sz w:val="24"/>
                <w:szCs w:val="24"/>
              </w:rPr>
              <w:t>Wyjaśnienie</w:t>
            </w:r>
          </w:p>
        </w:tc>
      </w:tr>
      <w:tr w:rsidR="009360C9" w:rsidRPr="00835753"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835753" w:rsidRDefault="009360C9" w:rsidP="006D005E">
            <w:pPr>
              <w:autoSpaceDE w:val="0"/>
              <w:autoSpaceDN w:val="0"/>
              <w:adjustRightInd w:val="0"/>
              <w:jc w:val="center"/>
              <w:rPr>
                <w:rFonts w:ascii="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Liczba pracowników należących do określonego personelu, których wynagrodzenie wyniosło 1 mln EUR lub więcej na rok obrachunkowy</w:t>
            </w:r>
          </w:p>
          <w:p w14:paraId="735DB200" w14:textId="77777777" w:rsidR="009360C9" w:rsidRPr="00835753" w:rsidRDefault="009360C9" w:rsidP="00155C96">
            <w:pPr>
              <w:autoSpaceDE w:val="0"/>
              <w:autoSpaceDN w:val="0"/>
              <w:adjustRightInd w:val="0"/>
              <w:spacing w:before="60" w:after="120"/>
              <w:jc w:val="both"/>
              <w:rPr>
                <w:rFonts w:ascii="Times New Roman" w:hAnsi="Times New Roman"/>
                <w:sz w:val="24"/>
              </w:rPr>
            </w:pPr>
            <w:r w:rsidRPr="00835753">
              <w:rPr>
                <w:rFonts w:ascii="Times New Roman" w:hAnsi="Times New Roman"/>
                <w:sz w:val="24"/>
              </w:rPr>
              <w:t>Instytucje ujawniają informacje na podstawie liczby osób.</w:t>
            </w:r>
          </w:p>
        </w:tc>
      </w:tr>
    </w:tbl>
    <w:p w14:paraId="68D74085" w14:textId="77777777" w:rsidR="009360C9" w:rsidRPr="00835753" w:rsidRDefault="009360C9" w:rsidP="009360C9">
      <w:pPr>
        <w:rPr>
          <w:rFonts w:ascii="Times New Roman" w:hAnsi="Times New Roman" w:cs="Times New Roman"/>
          <w:sz w:val="24"/>
        </w:rPr>
      </w:pPr>
    </w:p>
    <w:p w14:paraId="24D3144C" w14:textId="1A74D45D" w:rsidR="009360C9" w:rsidRPr="00835753" w:rsidRDefault="00D95507" w:rsidP="009360C9">
      <w:pPr>
        <w:pStyle w:val="Titlelevel2"/>
        <w:spacing w:before="120" w:after="120"/>
        <w:rPr>
          <w:rFonts w:ascii="Times New Roman" w:hAnsi="Times New Roman" w:cs="Times New Roman"/>
          <w:color w:val="auto"/>
          <w:sz w:val="24"/>
        </w:rPr>
      </w:pPr>
      <w:r w:rsidRPr="00835753">
        <w:rPr>
          <w:rFonts w:ascii="Times New Roman" w:hAnsi="Times New Roman"/>
          <w:b/>
          <w:color w:val="auto"/>
          <w:sz w:val="24"/>
        </w:rPr>
        <w:t xml:space="preserve">Wzór EU REM5 – Informacje na temat pracowników, których działalność zawodowa ma istotny wpływ na profil ryzyka instytucji (określony personel). </w:t>
      </w:r>
      <w:r w:rsidRPr="00835753">
        <w:rPr>
          <w:rFonts w:ascii="Times New Roman" w:hAnsi="Times New Roman"/>
          <w:color w:val="auto"/>
          <w:sz w:val="24"/>
        </w:rPr>
        <w:t>Format stały</w:t>
      </w:r>
    </w:p>
    <w:p w14:paraId="50BE6340" w14:textId="408181A0" w:rsidR="009360C9" w:rsidRPr="00835753"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35753">
        <w:rPr>
          <w:rFonts w:ascii="Times New Roman" w:hAnsi="Times New Roman"/>
          <w:bCs w:val="0"/>
          <w:color w:val="auto"/>
          <w:sz w:val="24"/>
        </w:rPr>
        <w:t>W celu wypełnienia wzoru EU REM5 zamieszczonego</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zał</w:t>
      </w:r>
      <w:r w:rsidRPr="00835753">
        <w:rPr>
          <w:rFonts w:ascii="Times New Roman" w:hAnsi="Times New Roman"/>
          <w:bCs w:val="0"/>
          <w:color w:val="auto"/>
          <w:sz w:val="24"/>
        </w:rPr>
        <w:t>ączniku XXXIII do niniejszego rozporządzenia wykonawczego instytucje ujawniają informacje,</w:t>
      </w:r>
      <w:r w:rsidR="00835753" w:rsidRPr="00835753">
        <w:rPr>
          <w:rFonts w:ascii="Times New Roman" w:hAnsi="Times New Roman"/>
          <w:bCs w:val="0"/>
          <w:color w:val="auto"/>
          <w:sz w:val="24"/>
        </w:rPr>
        <w:t xml:space="preserve"> o</w:t>
      </w:r>
      <w:r w:rsidR="00835753">
        <w:rPr>
          <w:rFonts w:ascii="Times New Roman" w:hAnsi="Times New Roman"/>
          <w:bCs w:val="0"/>
          <w:color w:val="auto"/>
          <w:sz w:val="24"/>
        </w:rPr>
        <w:t> </w:t>
      </w:r>
      <w:r w:rsidR="00835753" w:rsidRPr="00835753">
        <w:rPr>
          <w:rFonts w:ascii="Times New Roman" w:hAnsi="Times New Roman"/>
          <w:bCs w:val="0"/>
          <w:color w:val="auto"/>
          <w:sz w:val="24"/>
        </w:rPr>
        <w:t>któ</w:t>
      </w:r>
      <w:r w:rsidRPr="00835753">
        <w:rPr>
          <w:rFonts w:ascii="Times New Roman" w:hAnsi="Times New Roman"/>
          <w:bCs w:val="0"/>
          <w:color w:val="auto"/>
          <w:sz w:val="24"/>
        </w:rPr>
        <w:t>rych mowa</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art</w:t>
      </w:r>
      <w:r w:rsidRPr="00835753">
        <w:rPr>
          <w:rFonts w:ascii="Times New Roman" w:hAnsi="Times New Roman"/>
          <w:bCs w:val="0"/>
          <w:color w:val="auto"/>
          <w:sz w:val="24"/>
        </w:rPr>
        <w:t>.</w:t>
      </w:r>
      <w:r w:rsidR="00835753" w:rsidRPr="00835753">
        <w:rPr>
          <w:rFonts w:ascii="Times New Roman" w:hAnsi="Times New Roman"/>
          <w:bCs w:val="0"/>
          <w:color w:val="auto"/>
          <w:sz w:val="24"/>
        </w:rPr>
        <w:t> </w:t>
      </w:r>
      <w:r w:rsidRPr="00835753">
        <w:rPr>
          <w:rFonts w:ascii="Times New Roman" w:hAnsi="Times New Roman"/>
          <w:bCs w:val="0"/>
          <w:color w:val="auto"/>
          <w:sz w:val="24"/>
        </w:rPr>
        <w:t>450 ust.</w:t>
      </w:r>
      <w:r w:rsidR="00835753" w:rsidRPr="00835753">
        <w:rPr>
          <w:rFonts w:ascii="Times New Roman" w:hAnsi="Times New Roman"/>
          <w:bCs w:val="0"/>
          <w:color w:val="auto"/>
          <w:sz w:val="24"/>
        </w:rPr>
        <w:t> </w:t>
      </w:r>
      <w:r w:rsidRPr="00835753">
        <w:rPr>
          <w:rFonts w:ascii="Times New Roman" w:hAnsi="Times New Roman"/>
          <w:bCs w:val="0"/>
          <w:color w:val="auto"/>
          <w:sz w:val="24"/>
        </w:rPr>
        <w:t>1 lit.</w:t>
      </w:r>
      <w:r w:rsidR="00835753" w:rsidRPr="00835753">
        <w:rPr>
          <w:rFonts w:ascii="Times New Roman" w:hAnsi="Times New Roman"/>
          <w:bCs w:val="0"/>
          <w:color w:val="auto"/>
          <w:sz w:val="24"/>
        </w:rPr>
        <w:t> </w:t>
      </w:r>
      <w:r w:rsidRPr="00835753">
        <w:rPr>
          <w:rFonts w:ascii="Times New Roman" w:hAnsi="Times New Roman"/>
          <w:bCs w:val="0"/>
          <w:color w:val="auto"/>
          <w:sz w:val="24"/>
        </w:rPr>
        <w:t>g) CRR, zgodnie</w:t>
      </w:r>
      <w:r w:rsidR="00835753" w:rsidRPr="00835753">
        <w:rPr>
          <w:rFonts w:ascii="Times New Roman" w:hAnsi="Times New Roman"/>
          <w:bCs w:val="0"/>
          <w:color w:val="auto"/>
          <w:sz w:val="24"/>
        </w:rPr>
        <w:t xml:space="preserve"> z</w:t>
      </w:r>
      <w:r w:rsidR="00835753">
        <w:rPr>
          <w:rFonts w:ascii="Times New Roman" w:hAnsi="Times New Roman"/>
          <w:bCs w:val="0"/>
          <w:color w:val="auto"/>
          <w:sz w:val="24"/>
        </w:rPr>
        <w:t> </w:t>
      </w:r>
      <w:r w:rsidR="00835753" w:rsidRPr="00835753">
        <w:rPr>
          <w:rFonts w:ascii="Times New Roman" w:hAnsi="Times New Roman"/>
          <w:bCs w:val="0"/>
          <w:color w:val="auto"/>
          <w:sz w:val="24"/>
        </w:rPr>
        <w:t>ins</w:t>
      </w:r>
      <w:r w:rsidRPr="00835753">
        <w:rPr>
          <w:rFonts w:ascii="Times New Roman" w:hAnsi="Times New Roman"/>
          <w:bCs w:val="0"/>
          <w:color w:val="auto"/>
          <w:sz w:val="24"/>
        </w:rPr>
        <w:t>trukcjami zawartymi poniżej</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nin</w:t>
      </w:r>
      <w:r w:rsidRPr="00835753">
        <w:rPr>
          <w:rFonts w:ascii="Times New Roman" w:hAnsi="Times New Roman"/>
          <w:bCs w:val="0"/>
          <w:color w:val="auto"/>
          <w:sz w:val="24"/>
        </w:rPr>
        <w:t>iejszym załączniku.</w:t>
      </w:r>
    </w:p>
    <w:p w14:paraId="32F27E92" w14:textId="1DD665CB" w:rsidR="009360C9" w:rsidRPr="00835753"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35753">
        <w:rPr>
          <w:rFonts w:ascii="Times New Roman" w:hAnsi="Times New Roman"/>
          <w:bCs w:val="0"/>
          <w:color w:val="auto"/>
          <w:sz w:val="24"/>
        </w:rPr>
        <w:t>Jeśli chodzi</w:t>
      </w:r>
      <w:r w:rsidR="00835753" w:rsidRPr="00835753">
        <w:rPr>
          <w:rFonts w:ascii="Times New Roman" w:hAnsi="Times New Roman"/>
          <w:bCs w:val="0"/>
          <w:color w:val="auto"/>
          <w:sz w:val="24"/>
        </w:rPr>
        <w:t xml:space="preserve"> o</w:t>
      </w:r>
      <w:r w:rsidR="00835753">
        <w:rPr>
          <w:rFonts w:ascii="Times New Roman" w:hAnsi="Times New Roman"/>
          <w:bCs w:val="0"/>
          <w:color w:val="auto"/>
          <w:sz w:val="24"/>
        </w:rPr>
        <w:t> </w:t>
      </w:r>
      <w:r w:rsidR="00835753" w:rsidRPr="00835753">
        <w:rPr>
          <w:rFonts w:ascii="Times New Roman" w:hAnsi="Times New Roman"/>
          <w:bCs w:val="0"/>
          <w:color w:val="auto"/>
          <w:sz w:val="24"/>
        </w:rPr>
        <w:t>kol</w:t>
      </w:r>
      <w:r w:rsidRPr="00835753">
        <w:rPr>
          <w:rFonts w:ascii="Times New Roman" w:hAnsi="Times New Roman"/>
          <w:bCs w:val="0"/>
          <w:color w:val="auto"/>
          <w:sz w:val="24"/>
        </w:rPr>
        <w:t>umny</w:t>
      </w:r>
      <w:r w:rsidR="00835753" w:rsidRPr="00835753">
        <w:rPr>
          <w:rFonts w:ascii="Times New Roman" w:hAnsi="Times New Roman"/>
          <w:bCs w:val="0"/>
          <w:color w:val="auto"/>
          <w:sz w:val="24"/>
        </w:rPr>
        <w:t xml:space="preserve"> z</w:t>
      </w:r>
      <w:r w:rsidR="00835753">
        <w:rPr>
          <w:rFonts w:ascii="Times New Roman" w:hAnsi="Times New Roman"/>
          <w:bCs w:val="0"/>
          <w:color w:val="auto"/>
          <w:sz w:val="24"/>
        </w:rPr>
        <w:t> </w:t>
      </w:r>
      <w:r w:rsidR="00835753" w:rsidRPr="00835753">
        <w:rPr>
          <w:rFonts w:ascii="Times New Roman" w:hAnsi="Times New Roman"/>
          <w:bCs w:val="0"/>
          <w:color w:val="auto"/>
          <w:sz w:val="24"/>
        </w:rPr>
        <w:t>pod</w:t>
      </w:r>
      <w:r w:rsidRPr="00835753">
        <w:rPr>
          <w:rFonts w:ascii="Times New Roman" w:hAnsi="Times New Roman"/>
          <w:bCs w:val="0"/>
          <w:color w:val="auto"/>
          <w:sz w:val="24"/>
        </w:rPr>
        <w:t>ziałem na obszary działalności, udzielanie kredytów –</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tym</w:t>
      </w:r>
      <w:r w:rsidRPr="00835753">
        <w:rPr>
          <w:rFonts w:ascii="Times New Roman" w:hAnsi="Times New Roman"/>
          <w:bCs w:val="0"/>
          <w:color w:val="auto"/>
          <w:sz w:val="24"/>
        </w:rPr>
        <w:t xml:space="preserve"> udzielanie kredytów na rynku międzybankowym – uwzględnia się</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cał</w:t>
      </w:r>
      <w:r w:rsidRPr="00835753">
        <w:rPr>
          <w:rFonts w:ascii="Times New Roman" w:hAnsi="Times New Roman"/>
          <w:bCs w:val="0"/>
          <w:color w:val="auto"/>
          <w:sz w:val="24"/>
        </w:rPr>
        <w:t>ości</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det</w:t>
      </w:r>
      <w:r w:rsidRPr="00835753">
        <w:rPr>
          <w:rFonts w:ascii="Times New Roman" w:hAnsi="Times New Roman"/>
          <w:bCs w:val="0"/>
          <w:color w:val="auto"/>
          <w:sz w:val="24"/>
        </w:rPr>
        <w:t>alicznym udzielaniu kredytów. Bankowość inwestycyjna obejmuje finansowanie przedsiębiorstw oraz handel</w:t>
      </w:r>
      <w:r w:rsidR="00835753" w:rsidRPr="00835753">
        <w:rPr>
          <w:rFonts w:ascii="Times New Roman" w:hAnsi="Times New Roman"/>
          <w:bCs w:val="0"/>
          <w:color w:val="auto"/>
          <w:sz w:val="24"/>
        </w:rPr>
        <w:t xml:space="preserve"> i</w:t>
      </w:r>
      <w:r w:rsidR="00835753">
        <w:rPr>
          <w:rFonts w:ascii="Times New Roman" w:hAnsi="Times New Roman"/>
          <w:bCs w:val="0"/>
          <w:color w:val="auto"/>
          <w:sz w:val="24"/>
        </w:rPr>
        <w:t> </w:t>
      </w:r>
      <w:r w:rsidR="00835753" w:rsidRPr="00835753">
        <w:rPr>
          <w:rFonts w:ascii="Times New Roman" w:hAnsi="Times New Roman"/>
          <w:bCs w:val="0"/>
          <w:color w:val="auto"/>
          <w:sz w:val="24"/>
        </w:rPr>
        <w:t>spr</w:t>
      </w:r>
      <w:r w:rsidRPr="00835753">
        <w:rPr>
          <w:rFonts w:ascii="Times New Roman" w:hAnsi="Times New Roman"/>
          <w:bCs w:val="0"/>
          <w:color w:val="auto"/>
          <w:sz w:val="24"/>
        </w:rPr>
        <w:t>zedaż. Dalsze wytyczne dotyczące działań objętych tymi liniami biznesowych można znaleźć</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art</w:t>
      </w:r>
      <w:r w:rsidRPr="00835753">
        <w:rPr>
          <w:rFonts w:ascii="Times New Roman" w:hAnsi="Times New Roman"/>
          <w:bCs w:val="0"/>
          <w:color w:val="auto"/>
          <w:sz w:val="24"/>
        </w:rPr>
        <w:t>.</w:t>
      </w:r>
      <w:r w:rsidR="00835753" w:rsidRPr="00835753">
        <w:rPr>
          <w:rFonts w:ascii="Times New Roman" w:hAnsi="Times New Roman"/>
          <w:bCs w:val="0"/>
          <w:color w:val="auto"/>
          <w:sz w:val="24"/>
        </w:rPr>
        <w:t> </w:t>
      </w:r>
      <w:r w:rsidRPr="00835753">
        <w:rPr>
          <w:rFonts w:ascii="Times New Roman" w:hAnsi="Times New Roman"/>
          <w:bCs w:val="0"/>
          <w:color w:val="auto"/>
          <w:sz w:val="24"/>
        </w:rPr>
        <w:t>317 CRR</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tab</w:t>
      </w:r>
      <w:r w:rsidRPr="00835753">
        <w:rPr>
          <w:rFonts w:ascii="Times New Roman" w:hAnsi="Times New Roman"/>
          <w:bCs w:val="0"/>
          <w:color w:val="auto"/>
          <w:sz w:val="24"/>
        </w:rPr>
        <w:t>eli określającej linie biznesowe</w:t>
      </w:r>
      <w:r w:rsidR="00835753" w:rsidRPr="00835753">
        <w:rPr>
          <w:rFonts w:ascii="Times New Roman" w:hAnsi="Times New Roman"/>
          <w:bCs w:val="0"/>
          <w:color w:val="auto"/>
          <w:sz w:val="24"/>
        </w:rPr>
        <w:t xml:space="preserve"> w</w:t>
      </w:r>
      <w:r w:rsidR="00835753">
        <w:rPr>
          <w:rFonts w:ascii="Times New Roman" w:hAnsi="Times New Roman"/>
          <w:bCs w:val="0"/>
          <w:color w:val="auto"/>
          <w:sz w:val="24"/>
        </w:rPr>
        <w:t> </w:t>
      </w:r>
      <w:r w:rsidR="00835753" w:rsidRPr="00835753">
        <w:rPr>
          <w:rFonts w:ascii="Times New Roman" w:hAnsi="Times New Roman"/>
          <w:bCs w:val="0"/>
          <w:color w:val="auto"/>
          <w:sz w:val="24"/>
        </w:rPr>
        <w:t>ram</w:t>
      </w:r>
      <w:r w:rsidRPr="00835753">
        <w:rPr>
          <w:rFonts w:ascii="Times New Roman" w:hAnsi="Times New Roman"/>
          <w:bCs w:val="0"/>
          <w:color w:val="auto"/>
          <w:sz w:val="24"/>
        </w:rPr>
        <w:t>ach metody standardowej dotyczącej ryzyka operacyjnego.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835753"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1F37675E" w:rsidR="009360C9" w:rsidRPr="00835753" w:rsidRDefault="009360C9" w:rsidP="00155C96">
            <w:pPr>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9360C9" w:rsidRPr="00835753" w14:paraId="7AAF9E4D" w14:textId="77777777" w:rsidTr="00155C96">
        <w:trPr>
          <w:trHeight w:val="687"/>
        </w:trPr>
        <w:tc>
          <w:tcPr>
            <w:tcW w:w="1384" w:type="dxa"/>
            <w:shd w:val="clear" w:color="auto" w:fill="D9D9D9" w:themeFill="background1" w:themeFillShade="D9"/>
          </w:tcPr>
          <w:p w14:paraId="729E38E0" w14:textId="77777777" w:rsidR="009360C9" w:rsidRPr="00835753" w:rsidRDefault="009360C9" w:rsidP="00155C96">
            <w:pPr>
              <w:autoSpaceDE w:val="0"/>
              <w:autoSpaceDN w:val="0"/>
              <w:adjustRightInd w:val="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3AF8ED2D" w14:textId="77777777" w:rsidR="009360C9" w:rsidRPr="00835753" w:rsidRDefault="009360C9" w:rsidP="00155C96">
            <w:pPr>
              <w:autoSpaceDE w:val="0"/>
              <w:autoSpaceDN w:val="0"/>
              <w:adjustRightInd w:val="0"/>
              <w:rPr>
                <w:rFonts w:ascii="Times New Roman" w:hAnsi="Times New Roman" w:cs="Times New Roman"/>
                <w:color w:val="000000"/>
                <w:sz w:val="24"/>
              </w:rPr>
            </w:pPr>
            <w:r w:rsidRPr="00835753">
              <w:rPr>
                <w:rFonts w:ascii="Times New Roman" w:hAnsi="Times New Roman"/>
                <w:b/>
                <w:sz w:val="24"/>
              </w:rPr>
              <w:t>Wyjaśnienie</w:t>
            </w:r>
          </w:p>
        </w:tc>
      </w:tr>
      <w:tr w:rsidR="009360C9" w:rsidRPr="00835753"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835753" w:rsidRDefault="009360C9" w:rsidP="00155C96">
            <w:pPr>
              <w:autoSpaceDE w:val="0"/>
              <w:autoSpaceDN w:val="0"/>
              <w:adjustRightInd w:val="0"/>
              <w:rPr>
                <w:rFonts w:ascii="Times New Roman" w:hAnsi="Times New Roman" w:cs="Times New Roman"/>
                <w:sz w:val="24"/>
              </w:rPr>
            </w:pPr>
            <w:r w:rsidRPr="00835753">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835753" w:rsidRDefault="009360C9" w:rsidP="00155C96">
            <w:pPr>
              <w:autoSpaceDE w:val="0"/>
              <w:autoSpaceDN w:val="0"/>
              <w:adjustRightInd w:val="0"/>
              <w:spacing w:after="120"/>
              <w:jc w:val="both"/>
              <w:rPr>
                <w:rFonts w:ascii="Times New Roman" w:hAnsi="Times New Roman" w:cs="Times New Roman"/>
                <w:b/>
                <w:sz w:val="24"/>
              </w:rPr>
            </w:pPr>
            <w:r w:rsidRPr="00835753">
              <w:rPr>
                <w:rFonts w:ascii="Times New Roman" w:hAnsi="Times New Roman"/>
                <w:b/>
                <w:sz w:val="24"/>
              </w:rPr>
              <w:t>Łączna liczba pracowników należących do określonego personelu</w:t>
            </w:r>
          </w:p>
          <w:p w14:paraId="097FFE2F" w14:textId="2416FF23" w:rsidR="009360C9" w:rsidRPr="00835753" w:rsidRDefault="009360C9"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lastRenderedPageBreak/>
              <w:t>Pracownicy, których działalność zawodowa ma istotny wpływ na profil ryzyka instytucji (określony personel), instytucji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jej</w:t>
            </w:r>
            <w:r w:rsidRPr="00835753">
              <w:rPr>
                <w:rFonts w:ascii="Times New Roman" w:hAnsi="Times New Roman"/>
                <w:sz w:val="24"/>
              </w:rPr>
              <w:t xml:space="preserve"> jednostek zależnych,</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tym</w:t>
            </w:r>
            <w:r w:rsidRPr="00835753">
              <w:rPr>
                <w:rFonts w:ascii="Times New Roman" w:hAnsi="Times New Roman"/>
                <w:sz w:val="24"/>
              </w:rPr>
              <w:t xml:space="preserve"> jednostek zależnych niepodlegających CRD</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wsz</w:t>
            </w:r>
            <w:r w:rsidRPr="00835753">
              <w:rPr>
                <w:rFonts w:ascii="Times New Roman" w:hAnsi="Times New Roman"/>
                <w:sz w:val="24"/>
              </w:rPr>
              <w:t>ystkich członków ich odpowiednich organów zarządzających</w:t>
            </w:r>
          </w:p>
          <w:p w14:paraId="0E4719D5" w14:textId="77777777" w:rsidR="009360C9" w:rsidRPr="00835753" w:rsidRDefault="009360C9"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Wartość tę ujawnia się na podstawie EPC.</w:t>
            </w:r>
          </w:p>
        </w:tc>
      </w:tr>
      <w:tr w:rsidR="009360C9" w:rsidRPr="00835753"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835753" w:rsidRDefault="009360C9" w:rsidP="00155C96">
            <w:pPr>
              <w:autoSpaceDE w:val="0"/>
              <w:autoSpaceDN w:val="0"/>
              <w:adjustRightInd w:val="0"/>
              <w:rPr>
                <w:rFonts w:ascii="Times New Roman" w:hAnsi="Times New Roman" w:cs="Times New Roman"/>
                <w:sz w:val="24"/>
              </w:rPr>
            </w:pPr>
            <w:r w:rsidRPr="00835753">
              <w:rPr>
                <w:rFonts w:ascii="Times New Roman" w:hAnsi="Times New Roman"/>
                <w:sz w:val="24"/>
              </w:rPr>
              <w:lastRenderedPageBreak/>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835753" w:rsidRDefault="009360C9" w:rsidP="00155C96">
            <w:pPr>
              <w:autoSpaceDE w:val="0"/>
              <w:autoSpaceDN w:val="0"/>
              <w:adjustRightInd w:val="0"/>
              <w:spacing w:after="120"/>
              <w:jc w:val="both"/>
              <w:rPr>
                <w:rFonts w:ascii="Times New Roman" w:hAnsi="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członkowie organu zarządzającego</w:t>
            </w:r>
          </w:p>
          <w:p w14:paraId="45B2AD9B" w14:textId="5E7B71E2" w:rsidR="009360C9" w:rsidRPr="00835753" w:rsidRDefault="009360C9" w:rsidP="00155C96">
            <w:pPr>
              <w:autoSpaceDE w:val="0"/>
              <w:autoSpaceDN w:val="0"/>
              <w:adjustRightInd w:val="0"/>
              <w:spacing w:after="120"/>
              <w:jc w:val="both"/>
              <w:rPr>
                <w:rFonts w:ascii="Times New Roman" w:hAnsi="Times New Roman"/>
                <w:sz w:val="24"/>
              </w:rPr>
            </w:pPr>
            <w:r w:rsidRPr="00835753">
              <w:rPr>
                <w:rFonts w:ascii="Times New Roman" w:hAnsi="Times New Roman"/>
                <w:sz w:val="24"/>
              </w:rPr>
              <w:t>Liczba członków</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odp</w:t>
            </w:r>
            <w:r w:rsidRPr="00835753">
              <w:rPr>
                <w:rFonts w:ascii="Times New Roman" w:hAnsi="Times New Roman"/>
                <w:sz w:val="24"/>
              </w:rPr>
              <w:t>owiednim organie zarządzającym pełniącym funkcję nadzorczą</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fun</w:t>
            </w:r>
            <w:r w:rsidRPr="00835753">
              <w:rPr>
                <w:rFonts w:ascii="Times New Roman" w:hAnsi="Times New Roman"/>
                <w:sz w:val="24"/>
              </w:rPr>
              <w:t>kcję zarządzania oraz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cał</w:t>
            </w:r>
            <w:r w:rsidRPr="00835753">
              <w:rPr>
                <w:rFonts w:ascii="Times New Roman" w:hAnsi="Times New Roman"/>
                <w:sz w:val="24"/>
              </w:rPr>
              <w:t>ym organie zarządzającym</w:t>
            </w:r>
          </w:p>
        </w:tc>
      </w:tr>
      <w:tr w:rsidR="009360C9" w:rsidRPr="00835753"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835753" w:rsidRDefault="009360C9" w:rsidP="00155C96">
            <w:pPr>
              <w:autoSpaceDE w:val="0"/>
              <w:autoSpaceDN w:val="0"/>
              <w:adjustRightInd w:val="0"/>
              <w:rPr>
                <w:rFonts w:ascii="Times New Roman" w:hAnsi="Times New Roman" w:cs="Times New Roman"/>
                <w:sz w:val="24"/>
              </w:rPr>
            </w:pPr>
            <w:r w:rsidRPr="00835753">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835753" w:rsidRDefault="009360C9" w:rsidP="00155C96">
            <w:pPr>
              <w:autoSpaceDE w:val="0"/>
              <w:autoSpaceDN w:val="0"/>
              <w:adjustRightInd w:val="0"/>
              <w:spacing w:before="60" w:after="120"/>
              <w:jc w:val="both"/>
              <w:rPr>
                <w:rFonts w:ascii="Times New Roman" w:hAnsi="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pozostali członkowie kadry kierowniczej wyższego szczebla</w:t>
            </w:r>
          </w:p>
          <w:p w14:paraId="03A2678F" w14:textId="3539CDEF" w:rsidR="009360C9" w:rsidRPr="00835753" w:rsidRDefault="009360C9" w:rsidP="00155C96">
            <w:pPr>
              <w:autoSpaceDE w:val="0"/>
              <w:autoSpaceDN w:val="0"/>
              <w:adjustRightInd w:val="0"/>
              <w:spacing w:after="120"/>
              <w:jc w:val="both"/>
              <w:rPr>
                <w:rFonts w:ascii="Times New Roman" w:hAnsi="Times New Roman"/>
                <w:sz w:val="24"/>
              </w:rPr>
            </w:pPr>
            <w:r w:rsidRPr="00835753">
              <w:rPr>
                <w:rFonts w:ascii="Times New Roman" w:hAnsi="Times New Roman"/>
                <w:sz w:val="24"/>
              </w:rPr>
              <w:t>Pracownicy niebędący członkami organu zarządzającego, którzy są członkami kadry kierowniczej wyższego szczebla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def</w:t>
            </w:r>
            <w:r w:rsidRPr="00835753">
              <w:rPr>
                <w:rFonts w:ascii="Times New Roman" w:hAnsi="Times New Roman"/>
                <w:sz w:val="24"/>
              </w:rPr>
              <w:t>inicją zawartą</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art</w:t>
            </w:r>
            <w:r w:rsidRPr="00835753">
              <w:rPr>
                <w:rFonts w:ascii="Times New Roman" w:hAnsi="Times New Roman"/>
                <w:sz w:val="24"/>
              </w:rPr>
              <w:t>.</w:t>
            </w:r>
            <w:r w:rsidR="00835753" w:rsidRPr="00835753">
              <w:rPr>
                <w:rFonts w:ascii="Times New Roman" w:hAnsi="Times New Roman"/>
                <w:sz w:val="24"/>
              </w:rPr>
              <w:t> </w:t>
            </w:r>
            <w:r w:rsidRPr="00835753">
              <w:rPr>
                <w:rFonts w:ascii="Times New Roman" w:hAnsi="Times New Roman"/>
                <w:sz w:val="24"/>
              </w:rPr>
              <w:t>3 ust.</w:t>
            </w:r>
            <w:r w:rsidR="00835753" w:rsidRPr="00835753">
              <w:rPr>
                <w:rFonts w:ascii="Times New Roman" w:hAnsi="Times New Roman"/>
                <w:sz w:val="24"/>
              </w:rPr>
              <w:t> </w:t>
            </w:r>
            <w:r w:rsidRPr="00835753">
              <w:rPr>
                <w:rFonts w:ascii="Times New Roman" w:hAnsi="Times New Roman"/>
                <w:sz w:val="24"/>
              </w:rPr>
              <w:t>1 pkt</w:t>
            </w:r>
            <w:r w:rsidR="00835753" w:rsidRPr="00835753">
              <w:rPr>
                <w:rFonts w:ascii="Times New Roman" w:hAnsi="Times New Roman"/>
                <w:sz w:val="24"/>
              </w:rPr>
              <w:t> </w:t>
            </w:r>
            <w:r w:rsidRPr="00835753">
              <w:rPr>
                <w:rFonts w:ascii="Times New Roman" w:hAnsi="Times New Roman"/>
                <w:sz w:val="24"/>
              </w:rPr>
              <w:t>9 CRD</w:t>
            </w:r>
          </w:p>
        </w:tc>
      </w:tr>
      <w:tr w:rsidR="009360C9" w:rsidRPr="00835753"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835753" w:rsidRDefault="009360C9" w:rsidP="00155C96">
            <w:pPr>
              <w:autoSpaceDE w:val="0"/>
              <w:autoSpaceDN w:val="0"/>
              <w:adjustRightInd w:val="0"/>
              <w:rPr>
                <w:rFonts w:ascii="Times New Roman" w:hAnsi="Times New Roman" w:cs="Times New Roman"/>
                <w:sz w:val="24"/>
              </w:rPr>
            </w:pPr>
            <w:r w:rsidRPr="00835753">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835753" w:rsidRDefault="009360C9" w:rsidP="00155C96">
            <w:pPr>
              <w:autoSpaceDE w:val="0"/>
              <w:autoSpaceDN w:val="0"/>
              <w:adjustRightInd w:val="0"/>
              <w:spacing w:before="60" w:after="120"/>
              <w:jc w:val="both"/>
              <w:rPr>
                <w:rFonts w:ascii="Times New Roman" w:hAnsi="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pozostały określony personel</w:t>
            </w:r>
          </w:p>
          <w:p w14:paraId="57FA1182" w14:textId="35AD6F3C" w:rsidR="009360C9" w:rsidRPr="00835753" w:rsidRDefault="009360C9" w:rsidP="00155C96">
            <w:pPr>
              <w:autoSpaceDE w:val="0"/>
              <w:autoSpaceDN w:val="0"/>
              <w:adjustRightInd w:val="0"/>
              <w:spacing w:before="60" w:after="120"/>
              <w:jc w:val="both"/>
              <w:rPr>
                <w:rFonts w:ascii="Times New Roman" w:hAnsi="Times New Roman"/>
                <w:sz w:val="24"/>
                <w:highlight w:val="yellow"/>
              </w:rPr>
            </w:pPr>
            <w:r w:rsidRPr="00835753">
              <w:rPr>
                <w:rFonts w:ascii="Times New Roman" w:hAnsi="Times New Roman"/>
                <w:sz w:val="24"/>
              </w:rPr>
              <w:t>Pracownicy niebędący członkami organu zarządzającego oraz niebędący członkami kadry kierowniczej wyższego szczebla, których działalność zawodowa ma istotny wpływ na profil ryzyka instytucji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kry</w:t>
            </w:r>
            <w:r w:rsidRPr="00835753">
              <w:rPr>
                <w:rFonts w:ascii="Times New Roman" w:hAnsi="Times New Roman"/>
                <w:sz w:val="24"/>
              </w:rPr>
              <w:t>teriami określonymi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porządzeniu delegowanym Komisji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awie określonego personelu wdrażającym art.</w:t>
            </w:r>
            <w:r w:rsidR="00835753" w:rsidRPr="00835753">
              <w:rPr>
                <w:rFonts w:ascii="Times New Roman" w:hAnsi="Times New Roman"/>
                <w:sz w:val="24"/>
              </w:rPr>
              <w:t> </w:t>
            </w:r>
            <w:r w:rsidRPr="00835753">
              <w:rPr>
                <w:rFonts w:ascii="Times New Roman" w:hAnsi="Times New Roman"/>
                <w:sz w:val="24"/>
              </w:rPr>
              <w:t>94 ust.</w:t>
            </w:r>
            <w:r w:rsidR="00835753" w:rsidRPr="00835753">
              <w:rPr>
                <w:rFonts w:ascii="Times New Roman" w:hAnsi="Times New Roman"/>
                <w:sz w:val="24"/>
              </w:rPr>
              <w:t> </w:t>
            </w:r>
            <w:r w:rsidRPr="00835753">
              <w:rPr>
                <w:rFonts w:ascii="Times New Roman" w:hAnsi="Times New Roman"/>
                <w:sz w:val="24"/>
              </w:rPr>
              <w:t>2 CRD oraz,</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sto</w:t>
            </w:r>
            <w:r w:rsidRPr="00835753">
              <w:rPr>
                <w:rFonts w:ascii="Times New Roman" w:hAnsi="Times New Roman"/>
                <w:sz w:val="24"/>
              </w:rPr>
              <w:t>sownych przypadkach, dodatkowo na podstawie kryteriów instytucji</w:t>
            </w:r>
          </w:p>
        </w:tc>
      </w:tr>
      <w:tr w:rsidR="009360C9" w:rsidRPr="00835753"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835753" w:rsidRDefault="009360C9" w:rsidP="00155C96">
            <w:pPr>
              <w:autoSpaceDE w:val="0"/>
              <w:autoSpaceDN w:val="0"/>
              <w:adjustRightInd w:val="0"/>
              <w:rPr>
                <w:rFonts w:ascii="Times New Roman" w:hAnsi="Times New Roman" w:cs="Times New Roman"/>
                <w:sz w:val="24"/>
              </w:rPr>
            </w:pPr>
            <w:r w:rsidRPr="00835753">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835753" w:rsidRDefault="009360C9" w:rsidP="00155C96">
            <w:pPr>
              <w:autoSpaceDE w:val="0"/>
              <w:autoSpaceDN w:val="0"/>
              <w:adjustRightInd w:val="0"/>
              <w:spacing w:after="120"/>
              <w:jc w:val="both"/>
              <w:rPr>
                <w:rFonts w:ascii="Times New Roman" w:hAnsi="Times New Roman"/>
                <w:b/>
                <w:sz w:val="24"/>
              </w:rPr>
            </w:pPr>
            <w:r w:rsidRPr="00835753">
              <w:rPr>
                <w:rFonts w:ascii="Times New Roman" w:hAnsi="Times New Roman"/>
                <w:b/>
                <w:sz w:val="24"/>
              </w:rPr>
              <w:t>Łączne wynagrodzenie określonego personelu</w:t>
            </w:r>
          </w:p>
          <w:p w14:paraId="71B24B7F" w14:textId="14B48829" w:rsidR="009360C9" w:rsidRPr="00835753" w:rsidRDefault="009360C9"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Łączna wysokość wynagrodzenia oznacza wszystkie formy wynagrodzenia stałego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zmi</w:t>
            </w:r>
            <w:r w:rsidRPr="00835753">
              <w:rPr>
                <w:rFonts w:ascii="Times New Roman" w:hAnsi="Times New Roman"/>
                <w:sz w:val="24"/>
              </w:rPr>
              <w:t>ennego</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obe</w:t>
            </w:r>
            <w:r w:rsidRPr="00835753">
              <w:rPr>
                <w:rFonts w:ascii="Times New Roman" w:hAnsi="Times New Roman"/>
                <w:sz w:val="24"/>
              </w:rPr>
              <w:t>jmuje płatności</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świ</w:t>
            </w:r>
            <w:r w:rsidRPr="00835753">
              <w:rPr>
                <w:rFonts w:ascii="Times New Roman" w:hAnsi="Times New Roman"/>
                <w:sz w:val="24"/>
              </w:rPr>
              <w:t>adczenia, pieniężne lub niepieniężne, przyznawane pracownikom bezpośrednio przez instytucje lub</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imi</w:t>
            </w:r>
            <w:r w:rsidRPr="00835753">
              <w:rPr>
                <w:rFonts w:ascii="Times New Roman" w:hAnsi="Times New Roman"/>
                <w:sz w:val="24"/>
              </w:rPr>
              <w:t>eniu instytucji</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zam</w:t>
            </w:r>
            <w:r w:rsidRPr="00835753">
              <w:rPr>
                <w:rFonts w:ascii="Times New Roman" w:hAnsi="Times New Roman"/>
                <w:sz w:val="24"/>
              </w:rPr>
              <w:t>ian usługi zawodowe świadczone przez pracowników, płatności odsetek</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umieniu art.</w:t>
            </w:r>
            <w:r w:rsidR="00835753" w:rsidRPr="00835753">
              <w:rPr>
                <w:rFonts w:ascii="Times New Roman" w:hAnsi="Times New Roman"/>
                <w:sz w:val="24"/>
              </w:rPr>
              <w:t> </w:t>
            </w:r>
            <w:r w:rsidRPr="00835753">
              <w:rPr>
                <w:rFonts w:ascii="Times New Roman" w:hAnsi="Times New Roman"/>
                <w:sz w:val="24"/>
              </w:rPr>
              <w:t>4 ust.</w:t>
            </w:r>
            <w:r w:rsidR="00835753" w:rsidRPr="00835753">
              <w:rPr>
                <w:rFonts w:ascii="Times New Roman" w:hAnsi="Times New Roman"/>
                <w:sz w:val="24"/>
              </w:rPr>
              <w:t> </w:t>
            </w:r>
            <w:r w:rsidRPr="00835753">
              <w:rPr>
                <w:rFonts w:ascii="Times New Roman" w:hAnsi="Times New Roman"/>
                <w:sz w:val="24"/>
              </w:rPr>
              <w:t>1 lit.</w:t>
            </w:r>
            <w:r w:rsidR="00835753" w:rsidRPr="00835753">
              <w:rPr>
                <w:rFonts w:ascii="Times New Roman" w:hAnsi="Times New Roman"/>
                <w:sz w:val="24"/>
              </w:rPr>
              <w:t> </w:t>
            </w:r>
            <w:r w:rsidRPr="00835753">
              <w:rPr>
                <w:rFonts w:ascii="Times New Roman" w:hAnsi="Times New Roman"/>
                <w:sz w:val="24"/>
              </w:rPr>
              <w:t>d) dyrektywy 2011/61/UE</w:t>
            </w:r>
            <w:r w:rsidRPr="00835753">
              <w:rPr>
                <w:rStyle w:val="FootnoteReference"/>
                <w:rFonts w:cs="Times New Roman"/>
              </w:rPr>
              <w:footnoteReference w:id="53"/>
            </w:r>
            <w:r w:rsidRPr="00835753">
              <w:t xml:space="preserve"> </w:t>
            </w:r>
            <w:r w:rsidRPr="00835753">
              <w:rPr>
                <w:rFonts w:ascii="Times New Roman" w:hAnsi="Times New Roman"/>
                <w:sz w:val="24"/>
              </w:rPr>
              <w:t>oraz inne płatności dokonywane za pomocą metod</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kan</w:t>
            </w:r>
            <w:r w:rsidRPr="00835753">
              <w:rPr>
                <w:rFonts w:ascii="Times New Roman" w:hAnsi="Times New Roman"/>
                <w:sz w:val="24"/>
              </w:rPr>
              <w:t>ałów, które, gdyby nie zostały uznane za wynagrodzenie, prowadziłyby do obejścia wymogów dotyczących wynagrodzenia zawartych w CRD</w:t>
            </w:r>
            <w:r w:rsidRPr="00835753">
              <w:t>.</w:t>
            </w:r>
          </w:p>
        </w:tc>
      </w:tr>
      <w:tr w:rsidR="009360C9" w:rsidRPr="00835753"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835753" w:rsidRDefault="009360C9" w:rsidP="00155C96">
            <w:pPr>
              <w:autoSpaceDE w:val="0"/>
              <w:autoSpaceDN w:val="0"/>
              <w:adjustRightInd w:val="0"/>
              <w:rPr>
                <w:rFonts w:ascii="Times New Roman" w:hAnsi="Times New Roman" w:cs="Times New Roman"/>
                <w:sz w:val="24"/>
              </w:rPr>
            </w:pPr>
            <w:r w:rsidRPr="00835753">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835753" w:rsidRDefault="009360C9" w:rsidP="00155C96">
            <w:pPr>
              <w:autoSpaceDE w:val="0"/>
              <w:autoSpaceDN w:val="0"/>
              <w:adjustRightInd w:val="0"/>
              <w:spacing w:after="120"/>
              <w:jc w:val="both"/>
              <w:rPr>
                <w:rFonts w:ascii="Times New Roman" w:hAnsi="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wynagrodzenie zmienne</w:t>
            </w:r>
          </w:p>
          <w:p w14:paraId="747E669C" w14:textId="55925946" w:rsidR="009360C9" w:rsidRPr="00835753" w:rsidRDefault="009360C9"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Suma wszystkich składników wynagrodzenia, które nie są wynagrodzeniem stałym,</w:t>
            </w:r>
            <w:r w:rsidR="00835753" w:rsidRPr="00835753">
              <w:rPr>
                <w:rFonts w:ascii="Times New Roman" w:hAnsi="Times New Roman"/>
                <w:sz w:val="24"/>
              </w:rPr>
              <w:t xml:space="preserve"> o</w:t>
            </w:r>
            <w:r w:rsidR="00835753">
              <w:rPr>
                <w:rFonts w:ascii="Times New Roman" w:hAnsi="Times New Roman"/>
                <w:sz w:val="24"/>
              </w:rPr>
              <w:t> </w:t>
            </w:r>
            <w:r w:rsidR="00835753" w:rsidRPr="00835753">
              <w:rPr>
                <w:rFonts w:ascii="Times New Roman" w:hAnsi="Times New Roman"/>
                <w:sz w:val="24"/>
              </w:rPr>
              <w:t>któ</w:t>
            </w:r>
            <w:r w:rsidRPr="00835753">
              <w:rPr>
                <w:rFonts w:ascii="Times New Roman" w:hAnsi="Times New Roman"/>
                <w:sz w:val="24"/>
              </w:rPr>
              <w:t>rych mowa</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wie</w:t>
            </w:r>
            <w:r w:rsidRPr="00835753">
              <w:rPr>
                <w:rFonts w:ascii="Times New Roman" w:hAnsi="Times New Roman"/>
                <w:sz w:val="24"/>
              </w:rPr>
              <w:t>rszu 7 niniejszego wzoru.</w:t>
            </w:r>
          </w:p>
        </w:tc>
      </w:tr>
      <w:tr w:rsidR="009360C9" w:rsidRPr="00835753"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835753" w:rsidRDefault="009360C9" w:rsidP="00155C96">
            <w:pPr>
              <w:autoSpaceDE w:val="0"/>
              <w:autoSpaceDN w:val="0"/>
              <w:adjustRightInd w:val="0"/>
              <w:rPr>
                <w:rFonts w:ascii="Times New Roman" w:hAnsi="Times New Roman" w:cs="Times New Roman"/>
                <w:sz w:val="24"/>
              </w:rPr>
            </w:pPr>
            <w:r w:rsidRPr="00835753">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835753" w:rsidRDefault="009360C9" w:rsidP="00155C96">
            <w:pPr>
              <w:autoSpaceDE w:val="0"/>
              <w:autoSpaceDN w:val="0"/>
              <w:adjustRightInd w:val="0"/>
              <w:spacing w:after="120"/>
              <w:jc w:val="both"/>
              <w:rPr>
                <w:rFonts w:ascii="Times New Roman" w:hAnsi="Times New Roman"/>
                <w:b/>
                <w:sz w:val="24"/>
              </w:rPr>
            </w:pPr>
            <w:proofErr w:type="gramStart"/>
            <w:r w:rsidRPr="00835753">
              <w:rPr>
                <w:rFonts w:ascii="Times New Roman" w:hAnsi="Times New Roman"/>
                <w:b/>
                <w:sz w:val="24"/>
              </w:rPr>
              <w:t>w</w:t>
            </w:r>
            <w:proofErr w:type="gramEnd"/>
            <w:r w:rsidRPr="00835753">
              <w:rPr>
                <w:rFonts w:ascii="Times New Roman" w:hAnsi="Times New Roman"/>
                <w:b/>
                <w:sz w:val="24"/>
              </w:rPr>
              <w:t xml:space="preserve"> tym: wynagrodzenie stałe</w:t>
            </w:r>
          </w:p>
          <w:p w14:paraId="20607D40" w14:textId="77777777" w:rsidR="009360C9" w:rsidRPr="00835753" w:rsidRDefault="009360C9" w:rsidP="00155C96">
            <w:pPr>
              <w:autoSpaceDE w:val="0"/>
              <w:autoSpaceDN w:val="0"/>
              <w:adjustRightInd w:val="0"/>
              <w:spacing w:after="120"/>
              <w:jc w:val="both"/>
              <w:rPr>
                <w:rFonts w:ascii="Times New Roman" w:hAnsi="Times New Roman" w:cs="Times New Roman"/>
                <w:sz w:val="24"/>
              </w:rPr>
            </w:pPr>
            <w:r w:rsidRPr="00835753">
              <w:rPr>
                <w:rFonts w:ascii="Times New Roman" w:hAnsi="Times New Roman"/>
                <w:sz w:val="24"/>
              </w:rPr>
              <w:t xml:space="preserve">Instytucje uznają wynagrodzenie za stałe, gdy warunki jego przyznania oraz jego wysokość: </w:t>
            </w:r>
          </w:p>
          <w:p w14:paraId="30B1CA21" w14:textId="77777777" w:rsidR="009360C9" w:rsidRPr="00835753"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proofErr w:type="gramStart"/>
            <w:r w:rsidRPr="00835753">
              <w:rPr>
                <w:rFonts w:ascii="Times New Roman" w:hAnsi="Times New Roman"/>
                <w:sz w:val="24"/>
                <w:szCs w:val="24"/>
              </w:rPr>
              <w:t>opierają</w:t>
            </w:r>
            <w:proofErr w:type="gramEnd"/>
            <w:r w:rsidRPr="00835753">
              <w:rPr>
                <w:rFonts w:ascii="Times New Roman" w:hAnsi="Times New Roman"/>
                <w:sz w:val="24"/>
                <w:szCs w:val="24"/>
              </w:rPr>
              <w:t xml:space="preserve"> się na uprzednio określonych kryteriach;</w:t>
            </w:r>
          </w:p>
          <w:p w14:paraId="2FA43193" w14:textId="1055550D" w:rsidR="009360C9" w:rsidRPr="00835753"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proofErr w:type="gramStart"/>
            <w:r w:rsidRPr="00835753">
              <w:rPr>
                <w:rFonts w:ascii="Times New Roman" w:hAnsi="Times New Roman"/>
                <w:sz w:val="24"/>
                <w:szCs w:val="24"/>
              </w:rPr>
              <w:t>są</w:t>
            </w:r>
            <w:proofErr w:type="gramEnd"/>
            <w:r w:rsidRPr="00835753">
              <w:rPr>
                <w:rFonts w:ascii="Times New Roman" w:hAnsi="Times New Roman"/>
                <w:sz w:val="24"/>
                <w:szCs w:val="24"/>
              </w:rPr>
              <w:t xml:space="preserve"> nieuznaniowe</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odz</w:t>
            </w:r>
            <w:r w:rsidRPr="00835753">
              <w:rPr>
                <w:rFonts w:ascii="Times New Roman" w:hAnsi="Times New Roman"/>
                <w:sz w:val="24"/>
                <w:szCs w:val="24"/>
              </w:rPr>
              <w:t>wierciedlają poziom doświadczenia zawodowego</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sta</w:t>
            </w:r>
            <w:r w:rsidRPr="00835753">
              <w:rPr>
                <w:rFonts w:ascii="Times New Roman" w:hAnsi="Times New Roman"/>
                <w:sz w:val="24"/>
                <w:szCs w:val="24"/>
              </w:rPr>
              <w:t>rszeństwa służbowego pracowników;</w:t>
            </w:r>
          </w:p>
          <w:p w14:paraId="490EA939" w14:textId="427D64F3" w:rsidR="009360C9" w:rsidRPr="00835753"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proofErr w:type="gramStart"/>
            <w:r w:rsidRPr="00835753">
              <w:rPr>
                <w:rFonts w:ascii="Times New Roman" w:hAnsi="Times New Roman"/>
                <w:sz w:val="24"/>
                <w:szCs w:val="24"/>
              </w:rPr>
              <w:lastRenderedPageBreak/>
              <w:t>są</w:t>
            </w:r>
            <w:proofErr w:type="gramEnd"/>
            <w:r w:rsidRPr="00835753">
              <w:rPr>
                <w:rFonts w:ascii="Times New Roman" w:hAnsi="Times New Roman"/>
                <w:sz w:val="24"/>
                <w:szCs w:val="24"/>
              </w:rPr>
              <w:t xml:space="preserve"> przejrzyste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odn</w:t>
            </w:r>
            <w:r w:rsidRPr="00835753">
              <w:rPr>
                <w:rFonts w:ascii="Times New Roman" w:hAnsi="Times New Roman"/>
                <w:sz w:val="24"/>
                <w:szCs w:val="24"/>
              </w:rPr>
              <w:t>iesieniu do konkretnej kwoty przyznanej danemu pracownikowi;</w:t>
            </w:r>
          </w:p>
          <w:p w14:paraId="527EBADC" w14:textId="639FD0D1" w:rsidR="009360C9" w:rsidRPr="00835753"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proofErr w:type="gramStart"/>
            <w:r w:rsidRPr="00835753">
              <w:rPr>
                <w:rFonts w:ascii="Times New Roman" w:hAnsi="Times New Roman"/>
                <w:sz w:val="24"/>
                <w:szCs w:val="24"/>
              </w:rPr>
              <w:t>są</w:t>
            </w:r>
            <w:proofErr w:type="gramEnd"/>
            <w:r w:rsidRPr="00835753">
              <w:rPr>
                <w:rFonts w:ascii="Times New Roman" w:hAnsi="Times New Roman"/>
                <w:sz w:val="24"/>
                <w:szCs w:val="24"/>
              </w:rPr>
              <w:t xml:space="preserve"> stałe, tj. utrzymywane przez okres związany</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okr</w:t>
            </w:r>
            <w:r w:rsidRPr="00835753">
              <w:rPr>
                <w:rFonts w:ascii="Times New Roman" w:hAnsi="Times New Roman"/>
                <w:sz w:val="24"/>
                <w:szCs w:val="24"/>
              </w:rPr>
              <w:t>eśloną funkcją</w:t>
            </w:r>
            <w:r w:rsidR="00835753" w:rsidRPr="00835753">
              <w:rPr>
                <w:rFonts w:ascii="Times New Roman" w:hAnsi="Times New Roman"/>
                <w:sz w:val="24"/>
                <w:szCs w:val="24"/>
              </w:rPr>
              <w:t xml:space="preserve"> i</w:t>
            </w:r>
            <w:r w:rsidR="00835753">
              <w:rPr>
                <w:rFonts w:ascii="Times New Roman" w:hAnsi="Times New Roman"/>
                <w:sz w:val="24"/>
                <w:szCs w:val="24"/>
              </w:rPr>
              <w:t> </w:t>
            </w:r>
            <w:r w:rsidR="00835753" w:rsidRPr="00835753">
              <w:rPr>
                <w:rFonts w:ascii="Times New Roman" w:hAnsi="Times New Roman"/>
                <w:sz w:val="24"/>
                <w:szCs w:val="24"/>
              </w:rPr>
              <w:t>okr</w:t>
            </w:r>
            <w:r w:rsidRPr="00835753">
              <w:rPr>
                <w:rFonts w:ascii="Times New Roman" w:hAnsi="Times New Roman"/>
                <w:sz w:val="24"/>
                <w:szCs w:val="24"/>
              </w:rPr>
              <w:t>eślonymi obowiązkami organizacyjnymi;</w:t>
            </w:r>
          </w:p>
          <w:p w14:paraId="62D36AE1" w14:textId="5D2959D7" w:rsidR="009360C9" w:rsidRPr="00835753"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proofErr w:type="gramStart"/>
            <w:r w:rsidRPr="00835753">
              <w:rPr>
                <w:rFonts w:ascii="Times New Roman" w:hAnsi="Times New Roman"/>
                <w:sz w:val="24"/>
                <w:szCs w:val="24"/>
              </w:rPr>
              <w:t>są</w:t>
            </w:r>
            <w:proofErr w:type="gramEnd"/>
            <w:r w:rsidRPr="00835753">
              <w:rPr>
                <w:rFonts w:ascii="Times New Roman" w:hAnsi="Times New Roman"/>
                <w:sz w:val="24"/>
                <w:szCs w:val="24"/>
              </w:rPr>
              <w:t xml:space="preserve"> nieodwołalne; kwota stała podlega zmianie wyłącznie</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dro</w:t>
            </w:r>
            <w:r w:rsidRPr="00835753">
              <w:rPr>
                <w:rFonts w:ascii="Times New Roman" w:hAnsi="Times New Roman"/>
                <w:sz w:val="24"/>
                <w:szCs w:val="24"/>
              </w:rPr>
              <w:t>dze rokowań zbiorowych lub</w:t>
            </w:r>
            <w:r w:rsidR="00835753" w:rsidRPr="00835753">
              <w:rPr>
                <w:rFonts w:ascii="Times New Roman" w:hAnsi="Times New Roman"/>
                <w:sz w:val="24"/>
                <w:szCs w:val="24"/>
              </w:rPr>
              <w:t xml:space="preserve"> w</w:t>
            </w:r>
            <w:r w:rsidR="00835753">
              <w:rPr>
                <w:rFonts w:ascii="Times New Roman" w:hAnsi="Times New Roman"/>
                <w:sz w:val="24"/>
                <w:szCs w:val="24"/>
              </w:rPr>
              <w:t> </w:t>
            </w:r>
            <w:r w:rsidR="00835753" w:rsidRPr="00835753">
              <w:rPr>
                <w:rFonts w:ascii="Times New Roman" w:hAnsi="Times New Roman"/>
                <w:sz w:val="24"/>
                <w:szCs w:val="24"/>
              </w:rPr>
              <w:t>nas</w:t>
            </w:r>
            <w:r w:rsidRPr="00835753">
              <w:rPr>
                <w:rFonts w:ascii="Times New Roman" w:hAnsi="Times New Roman"/>
                <w:sz w:val="24"/>
                <w:szCs w:val="24"/>
              </w:rPr>
              <w:t>tępstwie renegocjacji zgodnie</w:t>
            </w:r>
            <w:r w:rsidR="00835753" w:rsidRPr="00835753">
              <w:rPr>
                <w:rFonts w:ascii="Times New Roman" w:hAnsi="Times New Roman"/>
                <w:sz w:val="24"/>
                <w:szCs w:val="24"/>
              </w:rPr>
              <w:t xml:space="preserve"> z</w:t>
            </w:r>
            <w:r w:rsidR="00835753">
              <w:rPr>
                <w:rFonts w:ascii="Times New Roman" w:hAnsi="Times New Roman"/>
                <w:sz w:val="24"/>
                <w:szCs w:val="24"/>
              </w:rPr>
              <w:t> </w:t>
            </w:r>
            <w:r w:rsidR="00835753" w:rsidRPr="00835753">
              <w:rPr>
                <w:rFonts w:ascii="Times New Roman" w:hAnsi="Times New Roman"/>
                <w:sz w:val="24"/>
                <w:szCs w:val="24"/>
              </w:rPr>
              <w:t>kra</w:t>
            </w:r>
            <w:r w:rsidRPr="00835753">
              <w:rPr>
                <w:rFonts w:ascii="Times New Roman" w:hAnsi="Times New Roman"/>
                <w:sz w:val="24"/>
                <w:szCs w:val="24"/>
              </w:rPr>
              <w:t>jowymi kryteriami ustalania płac;</w:t>
            </w:r>
          </w:p>
          <w:p w14:paraId="63B81539" w14:textId="77777777" w:rsidR="009360C9" w:rsidRPr="00835753"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proofErr w:type="gramStart"/>
            <w:r w:rsidRPr="00835753">
              <w:rPr>
                <w:rFonts w:ascii="Times New Roman" w:hAnsi="Times New Roman"/>
                <w:sz w:val="24"/>
                <w:szCs w:val="24"/>
              </w:rPr>
              <w:t>nie</w:t>
            </w:r>
            <w:proofErr w:type="gramEnd"/>
            <w:r w:rsidRPr="00835753">
              <w:rPr>
                <w:rFonts w:ascii="Times New Roman" w:hAnsi="Times New Roman"/>
                <w:sz w:val="24"/>
                <w:szCs w:val="24"/>
              </w:rPr>
              <w:t xml:space="preserve"> mogą zostać zmniejszone, zawieszone ani anulowane przez instytucję;</w:t>
            </w:r>
          </w:p>
          <w:p w14:paraId="28132398" w14:textId="77777777" w:rsidR="009360C9" w:rsidRPr="00835753"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proofErr w:type="gramStart"/>
            <w:r w:rsidRPr="00835753">
              <w:rPr>
                <w:rFonts w:ascii="Times New Roman" w:hAnsi="Times New Roman"/>
                <w:sz w:val="24"/>
                <w:szCs w:val="24"/>
              </w:rPr>
              <w:t>nie</w:t>
            </w:r>
            <w:proofErr w:type="gramEnd"/>
            <w:r w:rsidRPr="00835753">
              <w:rPr>
                <w:rFonts w:ascii="Times New Roman" w:hAnsi="Times New Roman"/>
                <w:sz w:val="24"/>
                <w:szCs w:val="24"/>
              </w:rPr>
              <w:t xml:space="preserve"> stanowią zachęty do podejmowania ryzyka oraz </w:t>
            </w:r>
          </w:p>
          <w:p w14:paraId="014949AD" w14:textId="77777777" w:rsidR="009360C9" w:rsidRPr="00835753"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proofErr w:type="gramStart"/>
            <w:r w:rsidRPr="00835753">
              <w:rPr>
                <w:rFonts w:ascii="Times New Roman" w:hAnsi="Times New Roman"/>
                <w:sz w:val="24"/>
                <w:szCs w:val="24"/>
              </w:rPr>
              <w:t>nie</w:t>
            </w:r>
            <w:proofErr w:type="gramEnd"/>
            <w:r w:rsidRPr="00835753">
              <w:rPr>
                <w:rFonts w:ascii="Times New Roman" w:hAnsi="Times New Roman"/>
                <w:sz w:val="24"/>
                <w:szCs w:val="24"/>
              </w:rPr>
              <w:t xml:space="preserve"> zależą od wyników. </w:t>
            </w:r>
          </w:p>
        </w:tc>
      </w:tr>
      <w:tr w:rsidR="009360C9" w:rsidRPr="00835753"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835753" w:rsidRDefault="009360C9" w:rsidP="00155C96">
            <w:pPr>
              <w:pStyle w:val="Applicationdirecte"/>
              <w:spacing w:before="0"/>
              <w:jc w:val="left"/>
              <w:rPr>
                <w:b/>
              </w:rPr>
            </w:pPr>
            <w:r w:rsidRPr="00835753">
              <w:rPr>
                <w:b/>
              </w:rPr>
              <w:lastRenderedPageBreak/>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835753" w:rsidRDefault="009360C9" w:rsidP="00155C96">
            <w:pPr>
              <w:pStyle w:val="TableMainHeading"/>
              <w:spacing w:before="60"/>
              <w:jc w:val="both"/>
              <w:rPr>
                <w:rFonts w:ascii="Times New Roman" w:hAnsi="Times New Roman"/>
                <w:b/>
                <w:sz w:val="24"/>
                <w:szCs w:val="24"/>
              </w:rPr>
            </w:pPr>
            <w:r w:rsidRPr="00835753">
              <w:rPr>
                <w:rFonts w:ascii="Times New Roman" w:hAnsi="Times New Roman"/>
                <w:b/>
                <w:sz w:val="24"/>
                <w:szCs w:val="24"/>
              </w:rPr>
              <w:t>Wyjaśnienie</w:t>
            </w:r>
          </w:p>
        </w:tc>
      </w:tr>
      <w:tr w:rsidR="009360C9" w:rsidRPr="00835753"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2CA7F11D" w:rsidR="009360C9" w:rsidRPr="00835753" w:rsidRDefault="009360C9" w:rsidP="00155C96">
            <w:pPr>
              <w:autoSpaceDE w:val="0"/>
              <w:autoSpaceDN w:val="0"/>
              <w:adjustRightInd w:val="0"/>
              <w:rPr>
                <w:rFonts w:ascii="Times New Roman" w:hAnsi="Times New Roman" w:cs="Times New Roman"/>
                <w:sz w:val="24"/>
              </w:rPr>
            </w:pPr>
            <w:proofErr w:type="gramStart"/>
            <w:r w:rsidRPr="00835753">
              <w:rPr>
                <w:rFonts w:ascii="Times New Roman" w:hAnsi="Times New Roman"/>
                <w:sz w:val="24"/>
              </w:rPr>
              <w:t>a</w:t>
            </w:r>
            <w:proofErr w:type="gramEnd"/>
            <w:r w:rsidR="00996FFB">
              <w:rPr>
                <w:rFonts w:ascii="Times New Roman" w:hAnsi="Times New Roman"/>
                <w:sz w:val="24"/>
              </w:rPr>
              <w:t>)</w:t>
            </w:r>
            <w:r w:rsidRPr="00835753">
              <w:rPr>
                <w:rFonts w:ascii="Times New Roman" w:hAnsi="Times New Roman"/>
                <w:sz w:val="24"/>
              </w:rPr>
              <w:t>, b</w:t>
            </w:r>
            <w:r w:rsidR="00996FFB">
              <w:rPr>
                <w:rFonts w:ascii="Times New Roman" w:hAnsi="Times New Roman"/>
                <w:sz w:val="24"/>
              </w:rPr>
              <w:t>)</w:t>
            </w:r>
            <w:r w:rsidRPr="00835753">
              <w:rPr>
                <w:rFonts w:ascii="Times New Roman" w:hAnsi="Times New Roman"/>
                <w:sz w:val="24"/>
              </w:rPr>
              <w:t xml:space="preserve"> oraz c</w:t>
            </w:r>
            <w:r w:rsidR="00996FFB">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835753" w:rsidRDefault="009360C9" w:rsidP="00155C96">
            <w:pPr>
              <w:autoSpaceDE w:val="0"/>
              <w:autoSpaceDN w:val="0"/>
              <w:adjustRightInd w:val="0"/>
              <w:spacing w:before="60" w:after="120"/>
              <w:jc w:val="both"/>
              <w:rPr>
                <w:rFonts w:ascii="Times New Roman" w:hAnsi="Times New Roman"/>
                <w:b/>
                <w:sz w:val="24"/>
              </w:rPr>
            </w:pPr>
            <w:r w:rsidRPr="00835753">
              <w:rPr>
                <w:rFonts w:ascii="Times New Roman" w:hAnsi="Times New Roman"/>
                <w:b/>
                <w:sz w:val="24"/>
              </w:rPr>
              <w:t>Organ zarządzający</w:t>
            </w:r>
          </w:p>
          <w:p w14:paraId="19CE9061" w14:textId="7BD7C06E"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Organ zarządzający instytucji,</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pod</w:t>
            </w:r>
            <w:r w:rsidRPr="00835753">
              <w:rPr>
                <w:rFonts w:ascii="Times New Roman" w:hAnsi="Times New Roman"/>
                <w:sz w:val="24"/>
              </w:rPr>
              <w:t>ziałem na funkcję nadzorczą</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fun</w:t>
            </w:r>
            <w:r w:rsidRPr="00835753">
              <w:rPr>
                <w:rFonts w:ascii="Times New Roman" w:hAnsi="Times New Roman"/>
                <w:sz w:val="24"/>
              </w:rPr>
              <w:t>kcję zarządzania</w:t>
            </w:r>
          </w:p>
          <w:p w14:paraId="24859795" w14:textId="77777777"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Instytucje ujawniają informacje na podstawie liczby osób.</w:t>
            </w:r>
          </w:p>
        </w:tc>
      </w:tr>
      <w:tr w:rsidR="009360C9" w:rsidRPr="00835753"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1B48A7C7" w:rsidR="009360C9" w:rsidRPr="00835753" w:rsidRDefault="009360C9" w:rsidP="00155C96">
            <w:pPr>
              <w:autoSpaceDE w:val="0"/>
              <w:autoSpaceDN w:val="0"/>
              <w:adjustRightInd w:val="0"/>
              <w:rPr>
                <w:rFonts w:ascii="Times New Roman" w:hAnsi="Times New Roman" w:cs="Times New Roman"/>
                <w:sz w:val="24"/>
              </w:rPr>
            </w:pPr>
            <w:r w:rsidRPr="00835753">
              <w:rPr>
                <w:rFonts w:ascii="Times New Roman" w:hAnsi="Times New Roman"/>
                <w:sz w:val="24"/>
              </w:rPr>
              <w:t>d</w:t>
            </w:r>
            <w:proofErr w:type="gramStart"/>
            <w:r w:rsidR="00996FFB">
              <w:rPr>
                <w:rFonts w:ascii="Times New Roman" w:hAnsi="Times New Roman"/>
                <w:sz w:val="24"/>
              </w:rPr>
              <w:t>)</w:t>
            </w:r>
            <w:r w:rsidRPr="00835753">
              <w:rPr>
                <w:rFonts w:ascii="Times New Roman" w:hAnsi="Times New Roman"/>
                <w:sz w:val="24"/>
              </w:rPr>
              <w:t>–h</w:t>
            </w:r>
            <w:proofErr w:type="gramEnd"/>
            <w:r w:rsidR="00996FFB">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835753" w:rsidRDefault="009360C9" w:rsidP="00155C96">
            <w:pPr>
              <w:autoSpaceDE w:val="0"/>
              <w:autoSpaceDN w:val="0"/>
              <w:adjustRightInd w:val="0"/>
              <w:spacing w:before="60" w:after="120"/>
              <w:jc w:val="both"/>
              <w:rPr>
                <w:rFonts w:ascii="Times New Roman" w:hAnsi="Times New Roman"/>
                <w:b/>
                <w:sz w:val="24"/>
              </w:rPr>
            </w:pPr>
            <w:r w:rsidRPr="00835753">
              <w:rPr>
                <w:rFonts w:ascii="Times New Roman" w:hAnsi="Times New Roman"/>
                <w:b/>
                <w:sz w:val="24"/>
              </w:rPr>
              <w:t>Obszary działalności</w:t>
            </w:r>
          </w:p>
          <w:p w14:paraId="0873CD9C" w14:textId="77777777"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 xml:space="preserve">Główne obszary działalności instytucji, takie jak bankowość inwestycyjna, bankowość detaliczna, zarządzanie aktywami, funkcje korporacyjne, funkcje niezależnej kontroli wewnętrznej </w:t>
            </w:r>
          </w:p>
          <w:p w14:paraId="5DA383DB" w14:textId="77777777"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Informacje ujawnia się na podstawie EPC.</w:t>
            </w:r>
          </w:p>
        </w:tc>
      </w:tr>
      <w:tr w:rsidR="009360C9" w:rsidRPr="00835753"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835753" w:rsidRDefault="009360C9" w:rsidP="00155C96">
            <w:pPr>
              <w:autoSpaceDE w:val="0"/>
              <w:autoSpaceDN w:val="0"/>
              <w:adjustRightInd w:val="0"/>
              <w:rPr>
                <w:rFonts w:ascii="Times New Roman" w:hAnsi="Times New Roman" w:cs="Times New Roman"/>
                <w:sz w:val="24"/>
              </w:rPr>
            </w:pPr>
            <w:proofErr w:type="gramStart"/>
            <w:r w:rsidRPr="00835753">
              <w:rPr>
                <w:rFonts w:ascii="Times New Roman" w:hAnsi="Times New Roman"/>
                <w:sz w:val="24"/>
              </w:rPr>
              <w:t>i</w:t>
            </w:r>
            <w:proofErr w:type="gramEnd"/>
            <w:r w:rsidRPr="00835753">
              <w:rPr>
                <w:rFonts w:ascii="Times New Roman" w:hAnsi="Times New Roman"/>
                <w:sz w:val="24"/>
              </w:rPr>
              <w:t>)</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835753" w:rsidRDefault="009360C9" w:rsidP="00155C96">
            <w:pPr>
              <w:autoSpaceDE w:val="0"/>
              <w:autoSpaceDN w:val="0"/>
              <w:adjustRightInd w:val="0"/>
              <w:spacing w:before="60" w:after="120"/>
              <w:jc w:val="both"/>
              <w:rPr>
                <w:rFonts w:ascii="Times New Roman" w:hAnsi="Times New Roman"/>
                <w:b/>
                <w:sz w:val="24"/>
              </w:rPr>
            </w:pPr>
            <w:r w:rsidRPr="00835753">
              <w:rPr>
                <w:rFonts w:ascii="Times New Roman" w:hAnsi="Times New Roman"/>
                <w:b/>
                <w:sz w:val="24"/>
              </w:rPr>
              <w:t>Wszystkie pozostałe</w:t>
            </w:r>
          </w:p>
          <w:p w14:paraId="727C82F7" w14:textId="283F0967"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Wszystkie pozostałe obszary działalności, które nie zostały uwzględnione oddzielnie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pop</w:t>
            </w:r>
            <w:r w:rsidRPr="00835753">
              <w:rPr>
                <w:rFonts w:ascii="Times New Roman" w:hAnsi="Times New Roman"/>
                <w:sz w:val="24"/>
              </w:rPr>
              <w:t xml:space="preserve">rzednich kolumnach </w:t>
            </w:r>
          </w:p>
          <w:p w14:paraId="2DB920DD" w14:textId="77777777" w:rsidR="009360C9" w:rsidRPr="00835753" w:rsidRDefault="009360C9" w:rsidP="00155C96">
            <w:pPr>
              <w:autoSpaceDE w:val="0"/>
              <w:autoSpaceDN w:val="0"/>
              <w:adjustRightInd w:val="0"/>
              <w:spacing w:before="60" w:after="120"/>
              <w:jc w:val="both"/>
              <w:rPr>
                <w:rFonts w:ascii="Times New Roman" w:hAnsi="Times New Roman" w:cs="Times New Roman"/>
                <w:sz w:val="24"/>
              </w:rPr>
            </w:pPr>
            <w:r w:rsidRPr="00835753">
              <w:rPr>
                <w:rFonts w:ascii="Times New Roman" w:hAnsi="Times New Roman"/>
                <w:sz w:val="24"/>
              </w:rPr>
              <w:t>Informacje ujawnia się na podstawie EPC.</w:t>
            </w:r>
          </w:p>
        </w:tc>
      </w:tr>
    </w:tbl>
    <w:p w14:paraId="3C9B02D2" w14:textId="77777777" w:rsidR="009360C9" w:rsidRPr="00835753" w:rsidRDefault="009360C9" w:rsidP="009360C9">
      <w:pPr>
        <w:rPr>
          <w:rFonts w:ascii="Times New Roman" w:hAnsi="Times New Roman" w:cs="Times New Roman"/>
          <w:sz w:val="24"/>
        </w:rPr>
      </w:pPr>
    </w:p>
    <w:p w14:paraId="4D5BA7B7" w14:textId="77777777" w:rsidR="003D6F47" w:rsidRPr="00835753" w:rsidRDefault="00D312C4">
      <w:pPr>
        <w:rPr>
          <w:rFonts w:ascii="Times New Roman" w:hAnsi="Times New Roman" w:cs="Times New Roman"/>
          <w:b/>
          <w:sz w:val="24"/>
        </w:rPr>
        <w:sectPr w:rsidR="003D6F47" w:rsidRPr="00835753" w:rsidSect="00155C96">
          <w:pgSz w:w="11900" w:h="16840"/>
          <w:pgMar w:top="2268" w:right="1418" w:bottom="1134" w:left="1701" w:header="709" w:footer="709" w:gutter="0"/>
          <w:pgNumType w:start="1" w:chapStyle="1"/>
          <w:cols w:space="708"/>
          <w:docGrid w:linePitch="299"/>
        </w:sectPr>
      </w:pPr>
      <w:r w:rsidRPr="00835753">
        <w:br w:type="page"/>
      </w:r>
    </w:p>
    <w:p w14:paraId="3D74F0CC" w14:textId="3DF380D0" w:rsidR="00D312C4" w:rsidRPr="00835753" w:rsidRDefault="00D312C4" w:rsidP="00D312C4">
      <w:pPr>
        <w:pStyle w:val="Annexetitre"/>
        <w:spacing w:before="0"/>
        <w:rPr>
          <w:u w:val="none"/>
        </w:rPr>
      </w:pPr>
      <w:r w:rsidRPr="00835753">
        <w:rPr>
          <w:u w:val="none"/>
        </w:rPr>
        <w:lastRenderedPageBreak/>
        <w:t>ZAŁĄCZNIK XXXVI – Instrukcje dotyczące wzorów do celów ujawniania informacji na temat obciążenia aktywów</w:t>
      </w:r>
    </w:p>
    <w:p w14:paraId="4A468F96" w14:textId="39C8AD6F" w:rsidR="00D312C4" w:rsidRPr="00835753"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bookmarkStart w:id="17" w:name="bookmark48"/>
      <w:r w:rsidRPr="00835753">
        <w:rPr>
          <w:sz w:val="24"/>
          <w:szCs w:val="24"/>
        </w:rPr>
        <w:t>W celu wypełnienia wzorów od EU AE1 do EU AE4 zamieszczonych</w:t>
      </w:r>
      <w:r w:rsidR="00835753" w:rsidRPr="00835753">
        <w:rPr>
          <w:sz w:val="24"/>
          <w:szCs w:val="24"/>
        </w:rPr>
        <w:t xml:space="preserve"> w</w:t>
      </w:r>
      <w:r w:rsidR="00835753">
        <w:rPr>
          <w:sz w:val="24"/>
          <w:szCs w:val="24"/>
        </w:rPr>
        <w:t> </w:t>
      </w:r>
      <w:r w:rsidR="00835753" w:rsidRPr="00835753">
        <w:rPr>
          <w:sz w:val="24"/>
          <w:szCs w:val="24"/>
        </w:rPr>
        <w:t>zał</w:t>
      </w:r>
      <w:r w:rsidRPr="00835753">
        <w:rPr>
          <w:sz w:val="24"/>
          <w:szCs w:val="24"/>
        </w:rPr>
        <w:t xml:space="preserve">ączniku XXXV do niniejszego rozporządzenia wykonawczego instytucje </w:t>
      </w:r>
      <w:r w:rsidRPr="00835753">
        <w:rPr>
          <w:sz w:val="24"/>
        </w:rPr>
        <w:t>ujawniają informacje,</w:t>
      </w:r>
      <w:r w:rsidR="00835753" w:rsidRPr="00835753">
        <w:rPr>
          <w:sz w:val="24"/>
        </w:rPr>
        <w:t xml:space="preserve"> o</w:t>
      </w:r>
      <w:r w:rsidR="00835753">
        <w:rPr>
          <w:sz w:val="24"/>
        </w:rPr>
        <w:t> </w:t>
      </w:r>
      <w:r w:rsidR="00835753" w:rsidRPr="00835753">
        <w:rPr>
          <w:sz w:val="24"/>
        </w:rPr>
        <w:t>któ</w:t>
      </w:r>
      <w:r w:rsidRPr="00835753">
        <w:rPr>
          <w:sz w:val="24"/>
        </w:rPr>
        <w:t>rych mowa</w:t>
      </w:r>
      <w:r w:rsidR="00835753" w:rsidRPr="00835753">
        <w:rPr>
          <w:sz w:val="24"/>
        </w:rPr>
        <w:t xml:space="preserve"> w</w:t>
      </w:r>
      <w:r w:rsidR="00835753">
        <w:rPr>
          <w:sz w:val="24"/>
        </w:rPr>
        <w:t> </w:t>
      </w:r>
      <w:r w:rsidR="00835753" w:rsidRPr="00835753">
        <w:rPr>
          <w:sz w:val="24"/>
          <w:szCs w:val="24"/>
        </w:rPr>
        <w:t>art</w:t>
      </w:r>
      <w:r w:rsidRPr="00835753">
        <w:rPr>
          <w:sz w:val="24"/>
          <w:szCs w:val="24"/>
        </w:rPr>
        <w:t>.</w:t>
      </w:r>
      <w:r w:rsidR="00835753" w:rsidRPr="00835753">
        <w:rPr>
          <w:sz w:val="24"/>
          <w:szCs w:val="24"/>
        </w:rPr>
        <w:t> </w:t>
      </w:r>
      <w:r w:rsidRPr="00835753">
        <w:rPr>
          <w:sz w:val="24"/>
          <w:szCs w:val="24"/>
        </w:rPr>
        <w:t>443 rozporządzenia (UE) nr</w:t>
      </w:r>
      <w:r w:rsidR="00835753" w:rsidRPr="00835753">
        <w:rPr>
          <w:sz w:val="24"/>
          <w:szCs w:val="24"/>
        </w:rPr>
        <w:t> </w:t>
      </w:r>
      <w:r w:rsidRPr="00835753">
        <w:rPr>
          <w:sz w:val="24"/>
          <w:szCs w:val="24"/>
        </w:rPr>
        <w:t>575/2013</w:t>
      </w:r>
      <w:r w:rsidRPr="00835753">
        <w:rPr>
          <w:rStyle w:val="FootnoteReference"/>
        </w:rPr>
        <w:footnoteReference w:id="54"/>
      </w:r>
      <w:r w:rsidRPr="00835753">
        <w:rPr>
          <w:sz w:val="24"/>
        </w:rPr>
        <w:t xml:space="preserve"> („CRR”), zgodnie</w:t>
      </w:r>
      <w:r w:rsidR="00835753" w:rsidRPr="00835753">
        <w:rPr>
          <w:sz w:val="24"/>
        </w:rPr>
        <w:t xml:space="preserve"> z</w:t>
      </w:r>
      <w:r w:rsidR="00835753">
        <w:rPr>
          <w:sz w:val="24"/>
        </w:rPr>
        <w:t> </w:t>
      </w:r>
      <w:r w:rsidR="00835753" w:rsidRPr="00835753">
        <w:rPr>
          <w:sz w:val="24"/>
        </w:rPr>
        <w:t>pon</w:t>
      </w:r>
      <w:r w:rsidRPr="00835753">
        <w:rPr>
          <w:sz w:val="24"/>
        </w:rPr>
        <w:t>iższymi instrukcjami zawartymi</w:t>
      </w:r>
      <w:r w:rsidR="00835753" w:rsidRPr="00835753">
        <w:rPr>
          <w:sz w:val="24"/>
        </w:rPr>
        <w:t xml:space="preserve"> w</w:t>
      </w:r>
      <w:r w:rsidR="00835753">
        <w:rPr>
          <w:sz w:val="24"/>
        </w:rPr>
        <w:t> </w:t>
      </w:r>
      <w:r w:rsidR="00835753" w:rsidRPr="00835753">
        <w:rPr>
          <w:sz w:val="24"/>
        </w:rPr>
        <w:t>nin</w:t>
      </w:r>
      <w:r w:rsidRPr="00835753">
        <w:rPr>
          <w:sz w:val="24"/>
        </w:rPr>
        <w:t>iejszym załączniku.</w:t>
      </w:r>
    </w:p>
    <w:bookmarkEnd w:id="17"/>
    <w:p w14:paraId="0FFF404B" w14:textId="1D557310" w:rsidR="00D312C4" w:rsidRPr="00835753"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sidRPr="00835753">
        <w:rPr>
          <w:sz w:val="24"/>
          <w:szCs w:val="24"/>
        </w:rPr>
        <w:t>Na potrzeby wzoru do celów ujawniania informacji na temat obciążenia aktywów stosuje się definicję obciążenia aktywów zawartą</w:t>
      </w:r>
      <w:r w:rsidR="00835753" w:rsidRPr="00835753">
        <w:rPr>
          <w:sz w:val="24"/>
          <w:szCs w:val="24"/>
        </w:rPr>
        <w:t xml:space="preserve"> w</w:t>
      </w:r>
      <w:r w:rsidR="00835753">
        <w:rPr>
          <w:sz w:val="24"/>
          <w:szCs w:val="24"/>
        </w:rPr>
        <w:t> </w:t>
      </w:r>
      <w:r w:rsidR="00835753" w:rsidRPr="00835753">
        <w:rPr>
          <w:rStyle w:val="TeksttreciTimesNewRoman105ptOdstpy0pt"/>
          <w:sz w:val="24"/>
          <w:szCs w:val="24"/>
        </w:rPr>
        <w:t>pkt </w:t>
      </w:r>
      <w:r w:rsidRPr="00835753">
        <w:rPr>
          <w:rStyle w:val="TeksttreciTimesNewRoman105ptOdstpy0pt"/>
          <w:sz w:val="24"/>
          <w:szCs w:val="24"/>
        </w:rPr>
        <w:t>1.7 załącznika XVII (instrukcje dotyczące wzorów sprawozdawczych</w:t>
      </w:r>
      <w:r w:rsidR="00835753" w:rsidRPr="00835753">
        <w:rPr>
          <w:rStyle w:val="TeksttreciTimesNewRoman105ptOdstpy0pt"/>
          <w:sz w:val="24"/>
          <w:szCs w:val="24"/>
        </w:rPr>
        <w:t xml:space="preserve"> w</w:t>
      </w:r>
      <w:r w:rsidR="00835753">
        <w:rPr>
          <w:rStyle w:val="TeksttreciTimesNewRoman105ptOdstpy0pt"/>
          <w:sz w:val="24"/>
          <w:szCs w:val="24"/>
        </w:rPr>
        <w:t> </w:t>
      </w:r>
      <w:r w:rsidR="00835753" w:rsidRPr="00835753">
        <w:rPr>
          <w:rStyle w:val="TeksttreciTimesNewRoman105ptOdstpy0pt"/>
          <w:sz w:val="24"/>
          <w:szCs w:val="24"/>
        </w:rPr>
        <w:t>zak</w:t>
      </w:r>
      <w:r w:rsidRPr="00835753">
        <w:rPr>
          <w:rStyle w:val="TeksttreciTimesNewRoman105ptOdstpy0pt"/>
          <w:sz w:val="24"/>
          <w:szCs w:val="24"/>
        </w:rPr>
        <w:t>resie obciążenia aktywów) do rozporządzenia wykonawczego Komisji (UE) 680/2014</w:t>
      </w:r>
      <w:r w:rsidRPr="00835753">
        <w:rPr>
          <w:rStyle w:val="FootnoteReference"/>
          <w:rFonts w:eastAsia="Calibri"/>
          <w:color w:val="000000"/>
          <w:shd w:val="clear" w:color="auto" w:fill="FFFFFF"/>
        </w:rPr>
        <w:footnoteReference w:id="55"/>
      </w:r>
      <w:r w:rsidRPr="00835753">
        <w:rPr>
          <w:rStyle w:val="TeksttreciTimesNewRoman105ptOdstpy0pt"/>
          <w:sz w:val="24"/>
          <w:szCs w:val="24"/>
        </w:rPr>
        <w:t>.</w:t>
      </w:r>
    </w:p>
    <w:p w14:paraId="4E5225B5" w14:textId="4CA6837C" w:rsidR="00D312C4" w:rsidRPr="00835753"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sidRPr="00835753">
        <w:rPr>
          <w:sz w:val="24"/>
          <w:szCs w:val="24"/>
        </w:rPr>
        <w:t>Instytucje ujawniają pozycje,</w:t>
      </w:r>
      <w:r w:rsidR="00835753" w:rsidRPr="00835753">
        <w:rPr>
          <w:sz w:val="24"/>
          <w:szCs w:val="24"/>
        </w:rPr>
        <w:t xml:space="preserve"> o</w:t>
      </w:r>
      <w:r w:rsidR="00835753">
        <w:rPr>
          <w:sz w:val="24"/>
          <w:szCs w:val="24"/>
        </w:rPr>
        <w:t> </w:t>
      </w:r>
      <w:r w:rsidR="00835753" w:rsidRPr="00835753">
        <w:rPr>
          <w:sz w:val="24"/>
          <w:szCs w:val="24"/>
        </w:rPr>
        <w:t>któ</w:t>
      </w:r>
      <w:r w:rsidRPr="00835753">
        <w:rPr>
          <w:sz w:val="24"/>
          <w:szCs w:val="24"/>
        </w:rPr>
        <w:t>rych mowa we wzorach EU AE1, EU AE2 i EU AE3,</w:t>
      </w:r>
      <w:r w:rsidR="00835753" w:rsidRPr="00835753">
        <w:rPr>
          <w:sz w:val="24"/>
          <w:szCs w:val="24"/>
        </w:rPr>
        <w:t xml:space="preserve"> w</w:t>
      </w:r>
      <w:r w:rsidR="00835753">
        <w:rPr>
          <w:sz w:val="24"/>
          <w:szCs w:val="24"/>
        </w:rPr>
        <w:t> </w:t>
      </w:r>
      <w:r w:rsidR="00835753" w:rsidRPr="00835753">
        <w:rPr>
          <w:sz w:val="24"/>
          <w:szCs w:val="24"/>
        </w:rPr>
        <w:t>tak</w:t>
      </w:r>
      <w:r w:rsidRPr="00835753">
        <w:rPr>
          <w:sz w:val="24"/>
          <w:szCs w:val="24"/>
        </w:rPr>
        <w:t>i sam sposób, jak je wykazywano zgodnie</w:t>
      </w:r>
      <w:r w:rsidR="00835753" w:rsidRPr="00835753">
        <w:rPr>
          <w:sz w:val="24"/>
          <w:szCs w:val="24"/>
        </w:rPr>
        <w:t xml:space="preserve"> z</w:t>
      </w:r>
      <w:r w:rsidR="00835753">
        <w:rPr>
          <w:sz w:val="24"/>
          <w:szCs w:val="24"/>
        </w:rPr>
        <w:t> </w:t>
      </w:r>
      <w:r w:rsidR="00835753" w:rsidRPr="00835753">
        <w:rPr>
          <w:sz w:val="24"/>
          <w:szCs w:val="24"/>
        </w:rPr>
        <w:t>zał</w:t>
      </w:r>
      <w:r w:rsidRPr="00835753">
        <w:rPr>
          <w:sz w:val="24"/>
          <w:szCs w:val="24"/>
        </w:rPr>
        <w:t>ącznikiem XVI (wzory sprawozdań dotyczących obciążenia aktywów) do rozporządzenia wykonawczego Komisji (UE) 680/2014,</w:t>
      </w:r>
      <w:r w:rsidR="00835753" w:rsidRPr="00835753">
        <w:rPr>
          <w:sz w:val="24"/>
          <w:szCs w:val="24"/>
        </w:rPr>
        <w:t xml:space="preserve"> o</w:t>
      </w:r>
      <w:r w:rsidR="00835753">
        <w:rPr>
          <w:sz w:val="24"/>
          <w:szCs w:val="24"/>
        </w:rPr>
        <w:t> </w:t>
      </w:r>
      <w:r w:rsidR="00835753" w:rsidRPr="00835753">
        <w:rPr>
          <w:sz w:val="24"/>
          <w:szCs w:val="24"/>
        </w:rPr>
        <w:t>ile w</w:t>
      </w:r>
      <w:r w:rsidR="00835753">
        <w:rPr>
          <w:sz w:val="24"/>
          <w:szCs w:val="24"/>
        </w:rPr>
        <w:t> </w:t>
      </w:r>
      <w:r w:rsidR="00835753" w:rsidRPr="00835753">
        <w:rPr>
          <w:sz w:val="24"/>
          <w:szCs w:val="24"/>
        </w:rPr>
        <w:t>tyc</w:t>
      </w:r>
      <w:r w:rsidRPr="00835753">
        <w:rPr>
          <w:sz w:val="24"/>
          <w:szCs w:val="24"/>
        </w:rPr>
        <w:t>h tabelach nie podano inaczej.</w:t>
      </w:r>
    </w:p>
    <w:p w14:paraId="407D6DE4" w14:textId="107FC699" w:rsidR="00D312C4" w:rsidRPr="00835753"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sidRPr="00835753">
        <w:rPr>
          <w:sz w:val="24"/>
          <w:szCs w:val="24"/>
        </w:rPr>
        <w:t>Pozycje,</w:t>
      </w:r>
      <w:r w:rsidR="00835753" w:rsidRPr="00835753">
        <w:rPr>
          <w:sz w:val="24"/>
          <w:szCs w:val="24"/>
        </w:rPr>
        <w:t xml:space="preserve"> o</w:t>
      </w:r>
      <w:r w:rsidR="00835753">
        <w:rPr>
          <w:sz w:val="24"/>
          <w:szCs w:val="24"/>
        </w:rPr>
        <w:t> </w:t>
      </w:r>
      <w:r w:rsidR="00835753" w:rsidRPr="00835753">
        <w:rPr>
          <w:sz w:val="24"/>
          <w:szCs w:val="24"/>
        </w:rPr>
        <w:t>któ</w:t>
      </w:r>
      <w:r w:rsidRPr="00835753">
        <w:rPr>
          <w:sz w:val="24"/>
          <w:szCs w:val="24"/>
        </w:rPr>
        <w:t>rych mowa</w:t>
      </w:r>
      <w:r w:rsidR="00835753" w:rsidRPr="00835753">
        <w:rPr>
          <w:sz w:val="24"/>
          <w:szCs w:val="24"/>
        </w:rPr>
        <w:t xml:space="preserve"> w</w:t>
      </w:r>
      <w:r w:rsidR="00835753">
        <w:rPr>
          <w:sz w:val="24"/>
          <w:szCs w:val="24"/>
        </w:rPr>
        <w:t> </w:t>
      </w:r>
      <w:r w:rsidR="00835753" w:rsidRPr="00835753">
        <w:rPr>
          <w:sz w:val="24"/>
          <w:szCs w:val="24"/>
        </w:rPr>
        <w:t>ust</w:t>
      </w:r>
      <w:r w:rsidRPr="00835753">
        <w:rPr>
          <w:sz w:val="24"/>
          <w:szCs w:val="24"/>
        </w:rPr>
        <w:t>.</w:t>
      </w:r>
      <w:r w:rsidR="00835753" w:rsidRPr="00835753">
        <w:rPr>
          <w:sz w:val="24"/>
          <w:szCs w:val="24"/>
        </w:rPr>
        <w:t> </w:t>
      </w:r>
      <w:r w:rsidRPr="00835753">
        <w:rPr>
          <w:sz w:val="24"/>
          <w:szCs w:val="24"/>
        </w:rPr>
        <w:t>3, są ujawniane przy użyciu średnich wartości. Średnie wartości opierają się na kroczących średnich wartościach kwartalnych</w:t>
      </w:r>
      <w:r w:rsidR="00835753" w:rsidRPr="00835753">
        <w:rPr>
          <w:sz w:val="24"/>
          <w:szCs w:val="24"/>
        </w:rPr>
        <w:t xml:space="preserve"> w</w:t>
      </w:r>
      <w:r w:rsidR="00835753">
        <w:rPr>
          <w:sz w:val="24"/>
          <w:szCs w:val="24"/>
        </w:rPr>
        <w:t> </w:t>
      </w:r>
      <w:r w:rsidR="00835753" w:rsidRPr="00835753">
        <w:rPr>
          <w:sz w:val="24"/>
          <w:szCs w:val="24"/>
        </w:rPr>
        <w:t>cią</w:t>
      </w:r>
      <w:r w:rsidRPr="00835753">
        <w:rPr>
          <w:sz w:val="24"/>
          <w:szCs w:val="24"/>
        </w:rPr>
        <w:t>gu poprzednich dwunastu miesięcy</w:t>
      </w:r>
      <w:r w:rsidR="00835753" w:rsidRPr="00835753">
        <w:rPr>
          <w:sz w:val="24"/>
          <w:szCs w:val="24"/>
        </w:rPr>
        <w:t xml:space="preserve"> i</w:t>
      </w:r>
      <w:r w:rsidR="00835753">
        <w:rPr>
          <w:sz w:val="24"/>
          <w:szCs w:val="24"/>
        </w:rPr>
        <w:t> </w:t>
      </w:r>
      <w:r w:rsidR="00835753" w:rsidRPr="00835753">
        <w:rPr>
          <w:sz w:val="24"/>
          <w:szCs w:val="24"/>
        </w:rPr>
        <w:t>ust</w:t>
      </w:r>
      <w:r w:rsidRPr="00835753">
        <w:rPr>
          <w:sz w:val="24"/>
          <w:szCs w:val="24"/>
        </w:rPr>
        <w:t>alane są</w:t>
      </w:r>
      <w:r w:rsidR="00835753" w:rsidRPr="00835753">
        <w:rPr>
          <w:sz w:val="24"/>
          <w:szCs w:val="24"/>
        </w:rPr>
        <w:t xml:space="preserve"> w</w:t>
      </w:r>
      <w:r w:rsidR="00835753">
        <w:rPr>
          <w:sz w:val="24"/>
          <w:szCs w:val="24"/>
        </w:rPr>
        <w:t> </w:t>
      </w:r>
      <w:r w:rsidR="00835753" w:rsidRPr="00835753">
        <w:rPr>
          <w:sz w:val="24"/>
          <w:szCs w:val="24"/>
        </w:rPr>
        <w:t>dro</w:t>
      </w:r>
      <w:r w:rsidRPr="00835753">
        <w:rPr>
          <w:sz w:val="24"/>
          <w:szCs w:val="24"/>
        </w:rPr>
        <w:t>dze interpolacji.</w:t>
      </w:r>
    </w:p>
    <w:p w14:paraId="26ED9534" w14:textId="357C4F5A" w:rsidR="00D312C4" w:rsidRPr="00835753"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sidRPr="00835753">
        <w:rPr>
          <w:sz w:val="24"/>
          <w:szCs w:val="24"/>
        </w:rPr>
        <w:t>Jeżeli ujawnianie informacji odbywa się na zasadzie skonsolidowanej, stosowany zakres konsolidacji jest zakresem konsolidacji ostrożnościowej zgodnie</w:t>
      </w:r>
      <w:r w:rsidR="00835753" w:rsidRPr="00835753">
        <w:rPr>
          <w:sz w:val="24"/>
          <w:szCs w:val="24"/>
        </w:rPr>
        <w:t xml:space="preserve"> z</w:t>
      </w:r>
      <w:r w:rsidR="00835753">
        <w:rPr>
          <w:sz w:val="24"/>
          <w:szCs w:val="24"/>
        </w:rPr>
        <w:t> </w:t>
      </w:r>
      <w:r w:rsidR="00835753" w:rsidRPr="00835753">
        <w:rPr>
          <w:sz w:val="24"/>
          <w:szCs w:val="24"/>
        </w:rPr>
        <w:t>def</w:t>
      </w:r>
      <w:r w:rsidRPr="00835753">
        <w:rPr>
          <w:sz w:val="24"/>
          <w:szCs w:val="24"/>
        </w:rPr>
        <w:t>inicją zawartą</w:t>
      </w:r>
      <w:r w:rsidR="00835753" w:rsidRPr="00835753">
        <w:rPr>
          <w:sz w:val="24"/>
          <w:szCs w:val="24"/>
        </w:rPr>
        <w:t xml:space="preserve"> w</w:t>
      </w:r>
      <w:r w:rsidR="00835753">
        <w:rPr>
          <w:sz w:val="24"/>
          <w:szCs w:val="24"/>
        </w:rPr>
        <w:t> </w:t>
      </w:r>
      <w:r w:rsidR="00835753" w:rsidRPr="00835753">
        <w:rPr>
          <w:sz w:val="24"/>
          <w:szCs w:val="24"/>
        </w:rPr>
        <w:t>czę</w:t>
      </w:r>
      <w:r w:rsidRPr="00835753">
        <w:rPr>
          <w:sz w:val="24"/>
          <w:szCs w:val="24"/>
        </w:rPr>
        <w:t>ści pierwszej tytuł II rozdział 2 lub sekcja 2 CRR.</w:t>
      </w:r>
    </w:p>
    <w:p w14:paraId="0381A969" w14:textId="3A907EC3" w:rsidR="00D312C4" w:rsidRPr="00835753" w:rsidRDefault="00D312C4" w:rsidP="00D312C4">
      <w:pPr>
        <w:pStyle w:val="Teksttreci50"/>
        <w:numPr>
          <w:ilvl w:val="0"/>
          <w:numId w:val="67"/>
        </w:numPr>
        <w:shd w:val="clear" w:color="auto" w:fill="auto"/>
        <w:tabs>
          <w:tab w:val="left" w:pos="815"/>
        </w:tabs>
        <w:spacing w:before="0" w:after="120" w:line="240" w:lineRule="auto"/>
        <w:ind w:left="860" w:right="20"/>
        <w:jc w:val="both"/>
      </w:pPr>
      <w:r w:rsidRPr="00835753">
        <w:rPr>
          <w:sz w:val="24"/>
          <w:szCs w:val="24"/>
        </w:rPr>
        <w:t>Wskaźniki jakości aktywów</w:t>
      </w:r>
      <w:r w:rsidR="00835753" w:rsidRPr="00835753">
        <w:rPr>
          <w:sz w:val="24"/>
          <w:szCs w:val="24"/>
        </w:rPr>
        <w:t xml:space="preserve"> w</w:t>
      </w:r>
      <w:r w:rsidR="00835753">
        <w:rPr>
          <w:sz w:val="24"/>
          <w:szCs w:val="24"/>
        </w:rPr>
        <w:t> </w:t>
      </w:r>
      <w:r w:rsidR="00835753" w:rsidRPr="00835753">
        <w:rPr>
          <w:sz w:val="24"/>
          <w:szCs w:val="24"/>
        </w:rPr>
        <w:t>pod</w:t>
      </w:r>
      <w:r w:rsidRPr="00835753">
        <w:rPr>
          <w:sz w:val="24"/>
          <w:szCs w:val="24"/>
        </w:rPr>
        <w:t>ziale na rodzaj aktywów</w:t>
      </w:r>
      <w:r w:rsidR="00835753" w:rsidRPr="00835753">
        <w:rPr>
          <w:sz w:val="24"/>
          <w:szCs w:val="24"/>
        </w:rPr>
        <w:t xml:space="preserve"> w</w:t>
      </w:r>
      <w:r w:rsidR="00835753">
        <w:rPr>
          <w:sz w:val="24"/>
          <w:szCs w:val="24"/>
        </w:rPr>
        <w:t> </w:t>
      </w:r>
      <w:r w:rsidR="00835753" w:rsidRPr="00835753">
        <w:rPr>
          <w:sz w:val="24"/>
          <w:szCs w:val="24"/>
        </w:rPr>
        <w:t>kol</w:t>
      </w:r>
      <w:r w:rsidRPr="00835753">
        <w:rPr>
          <w:sz w:val="24"/>
          <w:szCs w:val="24"/>
        </w:rPr>
        <w:t>umnach C030, C050, C080 i C100 wzoru AE1</w:t>
      </w:r>
      <w:r w:rsidR="00835753" w:rsidRPr="00835753">
        <w:rPr>
          <w:sz w:val="24"/>
          <w:szCs w:val="24"/>
        </w:rPr>
        <w:t xml:space="preserve"> i</w:t>
      </w:r>
      <w:r w:rsidR="00835753">
        <w:rPr>
          <w:sz w:val="24"/>
          <w:szCs w:val="24"/>
        </w:rPr>
        <w:t> </w:t>
      </w:r>
      <w:r w:rsidR="00835753" w:rsidRPr="00835753">
        <w:rPr>
          <w:sz w:val="24"/>
          <w:szCs w:val="24"/>
        </w:rPr>
        <w:t>w</w:t>
      </w:r>
      <w:r w:rsidR="00835753">
        <w:rPr>
          <w:sz w:val="24"/>
          <w:szCs w:val="24"/>
        </w:rPr>
        <w:t> </w:t>
      </w:r>
      <w:r w:rsidR="00835753" w:rsidRPr="00835753">
        <w:rPr>
          <w:sz w:val="24"/>
          <w:szCs w:val="24"/>
        </w:rPr>
        <w:t>pod</w:t>
      </w:r>
      <w:r w:rsidRPr="00835753">
        <w:rPr>
          <w:sz w:val="24"/>
          <w:szCs w:val="24"/>
        </w:rPr>
        <w:t>ziale na rodzaje otrzymanych zabezpieczeń</w:t>
      </w:r>
      <w:r w:rsidR="00835753" w:rsidRPr="00835753">
        <w:rPr>
          <w:sz w:val="24"/>
          <w:szCs w:val="24"/>
        </w:rPr>
        <w:t xml:space="preserve"> i</w:t>
      </w:r>
      <w:r w:rsidR="00835753">
        <w:rPr>
          <w:sz w:val="24"/>
          <w:szCs w:val="24"/>
        </w:rPr>
        <w:t> </w:t>
      </w:r>
      <w:r w:rsidR="00835753" w:rsidRPr="00835753">
        <w:rPr>
          <w:sz w:val="24"/>
          <w:szCs w:val="24"/>
        </w:rPr>
        <w:t>wye</w:t>
      </w:r>
      <w:r w:rsidRPr="00835753">
        <w:rPr>
          <w:sz w:val="24"/>
          <w:szCs w:val="24"/>
        </w:rPr>
        <w:t>mitowanych dłużnych papierów wartościowych,</w:t>
      </w:r>
      <w:r w:rsidR="00835753" w:rsidRPr="00835753">
        <w:rPr>
          <w:sz w:val="24"/>
          <w:szCs w:val="24"/>
        </w:rPr>
        <w:t xml:space="preserve"> w</w:t>
      </w:r>
      <w:r w:rsidR="00835753">
        <w:rPr>
          <w:sz w:val="24"/>
          <w:szCs w:val="24"/>
        </w:rPr>
        <w:t> </w:t>
      </w:r>
      <w:r w:rsidR="00835753" w:rsidRPr="00835753">
        <w:rPr>
          <w:sz w:val="24"/>
          <w:szCs w:val="24"/>
        </w:rPr>
        <w:t>tym</w:t>
      </w:r>
      <w:r w:rsidRPr="00835753">
        <w:rPr>
          <w:sz w:val="24"/>
          <w:szCs w:val="24"/>
        </w:rPr>
        <w:t xml:space="preserve"> obligacji zabezpieczonych</w:t>
      </w:r>
      <w:r w:rsidR="00835753" w:rsidRPr="00835753">
        <w:rPr>
          <w:sz w:val="24"/>
          <w:szCs w:val="24"/>
        </w:rPr>
        <w:t xml:space="preserve"> i</w:t>
      </w:r>
      <w:r w:rsidR="00835753">
        <w:rPr>
          <w:sz w:val="24"/>
          <w:szCs w:val="24"/>
        </w:rPr>
        <w:t> </w:t>
      </w:r>
      <w:r w:rsidR="00835753" w:rsidRPr="00835753">
        <w:rPr>
          <w:sz w:val="24"/>
          <w:szCs w:val="24"/>
        </w:rPr>
        <w:t>sek</w:t>
      </w:r>
      <w:r w:rsidRPr="00835753">
        <w:rPr>
          <w:sz w:val="24"/>
          <w:szCs w:val="24"/>
        </w:rPr>
        <w:t>urytyzacji,</w:t>
      </w:r>
      <w:r w:rsidR="00835753" w:rsidRPr="00835753">
        <w:rPr>
          <w:sz w:val="24"/>
          <w:szCs w:val="24"/>
        </w:rPr>
        <w:t xml:space="preserve"> w</w:t>
      </w:r>
      <w:r w:rsidR="00835753">
        <w:rPr>
          <w:sz w:val="24"/>
          <w:szCs w:val="24"/>
        </w:rPr>
        <w:t> </w:t>
      </w:r>
      <w:r w:rsidR="00835753" w:rsidRPr="00835753">
        <w:rPr>
          <w:sz w:val="24"/>
          <w:szCs w:val="24"/>
        </w:rPr>
        <w:t>kol</w:t>
      </w:r>
      <w:r w:rsidRPr="00835753">
        <w:rPr>
          <w:sz w:val="24"/>
          <w:szCs w:val="24"/>
        </w:rPr>
        <w:t>umnach C030 i C060, jak określono we wzorze AE2, mają zastosowanie wyłącznie do instytucji kredytowych, które spełniają którykolwiek</w:t>
      </w:r>
      <w:r w:rsidR="00835753" w:rsidRPr="00835753">
        <w:rPr>
          <w:sz w:val="24"/>
          <w:szCs w:val="24"/>
        </w:rPr>
        <w:t xml:space="preserve"> z</w:t>
      </w:r>
      <w:r w:rsidR="00835753">
        <w:rPr>
          <w:sz w:val="24"/>
          <w:szCs w:val="24"/>
        </w:rPr>
        <w:t> </w:t>
      </w:r>
      <w:r w:rsidR="00835753" w:rsidRPr="00835753">
        <w:rPr>
          <w:sz w:val="24"/>
          <w:szCs w:val="24"/>
        </w:rPr>
        <w:t>nas</w:t>
      </w:r>
      <w:r w:rsidRPr="00835753">
        <w:rPr>
          <w:sz w:val="24"/>
          <w:szCs w:val="24"/>
        </w:rPr>
        <w:t>tępujących warunków:</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D312C4" w:rsidRPr="00835753" w14:paraId="28A2C39C" w14:textId="77777777" w:rsidTr="00155C96">
        <w:trPr>
          <w:tblCellSpacing w:w="0" w:type="dxa"/>
        </w:trPr>
        <w:tc>
          <w:tcPr>
            <w:tcW w:w="0" w:type="auto"/>
            <w:hideMark/>
          </w:tcPr>
          <w:p w14:paraId="204CD97E" w14:textId="77777777" w:rsidR="00D312C4" w:rsidRPr="00835753" w:rsidRDefault="00D312C4" w:rsidP="00155C96">
            <w:pPr>
              <w:spacing w:after="120"/>
              <w:rPr>
                <w:rFonts w:ascii="Times New Roman" w:eastAsia="Times New Roman" w:hAnsi="Times New Roman" w:cs="Times New Roman"/>
                <w:sz w:val="24"/>
              </w:rPr>
            </w:pPr>
            <w:proofErr w:type="gramStart"/>
            <w:r w:rsidRPr="00835753">
              <w:rPr>
                <w:rFonts w:ascii="Times New Roman" w:hAnsi="Times New Roman"/>
                <w:sz w:val="24"/>
              </w:rPr>
              <w:t>a</w:t>
            </w:r>
            <w:proofErr w:type="gramEnd"/>
            <w:r w:rsidRPr="00835753">
              <w:rPr>
                <w:rFonts w:ascii="Times New Roman" w:hAnsi="Times New Roman"/>
                <w:sz w:val="24"/>
              </w:rPr>
              <w:t>)</w:t>
            </w:r>
          </w:p>
        </w:tc>
        <w:tc>
          <w:tcPr>
            <w:tcW w:w="0" w:type="auto"/>
            <w:hideMark/>
          </w:tcPr>
          <w:p w14:paraId="3F408107" w14:textId="5876FA7B" w:rsidR="00D312C4" w:rsidRPr="00835753" w:rsidRDefault="00D312C4" w:rsidP="00155C96">
            <w:pPr>
              <w:spacing w:after="120"/>
              <w:rPr>
                <w:rFonts w:ascii="Times New Roman" w:eastAsia="Times New Roman" w:hAnsi="Times New Roman" w:cs="Times New Roman"/>
                <w:sz w:val="24"/>
              </w:rPr>
            </w:pPr>
            <w:r w:rsidRPr="00835753">
              <w:rPr>
                <w:rFonts w:ascii="Times New Roman" w:hAnsi="Times New Roman"/>
                <w:sz w:val="24"/>
              </w:rPr>
              <w:t xml:space="preserve"> </w:t>
            </w:r>
            <w:proofErr w:type="gramStart"/>
            <w:r w:rsidRPr="00835753">
              <w:rPr>
                <w:rFonts w:ascii="Times New Roman" w:hAnsi="Times New Roman"/>
                <w:sz w:val="24"/>
              </w:rPr>
              <w:t>wartość</w:t>
            </w:r>
            <w:proofErr w:type="gramEnd"/>
            <w:r w:rsidRPr="00835753">
              <w:rPr>
                <w:rFonts w:ascii="Times New Roman" w:hAnsi="Times New Roman"/>
                <w:sz w:val="24"/>
              </w:rPr>
              <w:t xml:space="preserve"> ich aktywów łącznie, obliczona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pkt </w:t>
            </w:r>
            <w:r w:rsidRPr="00835753">
              <w:rPr>
                <w:rFonts w:ascii="Times New Roman" w:hAnsi="Times New Roman"/>
                <w:sz w:val="24"/>
              </w:rPr>
              <w:t>1.6 ppkt 10 załącznika XVII do rozporządzenia wykonawczego Komisji (UE) nr</w:t>
            </w:r>
            <w:r w:rsidR="00835753" w:rsidRPr="00835753">
              <w:rPr>
                <w:rFonts w:ascii="Times New Roman" w:hAnsi="Times New Roman"/>
                <w:sz w:val="24"/>
              </w:rPr>
              <w:t> </w:t>
            </w:r>
            <w:r w:rsidRPr="00835753">
              <w:rPr>
                <w:rFonts w:ascii="Times New Roman" w:hAnsi="Times New Roman"/>
                <w:sz w:val="24"/>
              </w:rPr>
              <w:t>680/2014, wynosi ponad 30 mld EUR;</w:t>
            </w:r>
          </w:p>
        </w:tc>
      </w:tr>
    </w:tbl>
    <w:p w14:paraId="0736F7E4" w14:textId="77777777" w:rsidR="00D312C4" w:rsidRPr="00835753" w:rsidRDefault="00D312C4"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D312C4" w:rsidRPr="00835753" w14:paraId="2AF4C5D0" w14:textId="77777777" w:rsidTr="00155C96">
        <w:trPr>
          <w:tblCellSpacing w:w="0" w:type="dxa"/>
        </w:trPr>
        <w:tc>
          <w:tcPr>
            <w:tcW w:w="0" w:type="auto"/>
            <w:hideMark/>
          </w:tcPr>
          <w:p w14:paraId="62D08C7D" w14:textId="77777777" w:rsidR="00D312C4" w:rsidRPr="00835753" w:rsidRDefault="00D312C4" w:rsidP="00155C96">
            <w:pPr>
              <w:spacing w:after="120"/>
              <w:rPr>
                <w:rFonts w:ascii="Times New Roman" w:eastAsia="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0" w:type="auto"/>
            <w:hideMark/>
          </w:tcPr>
          <w:p w14:paraId="75AA8D1F" w14:textId="4DDCA654" w:rsidR="00D312C4" w:rsidRPr="00835753" w:rsidRDefault="00D312C4" w:rsidP="00155C96">
            <w:pPr>
              <w:spacing w:after="120"/>
              <w:rPr>
                <w:rFonts w:ascii="Times New Roman" w:eastAsia="Times New Roman" w:hAnsi="Times New Roman" w:cs="Times New Roman"/>
                <w:sz w:val="24"/>
              </w:rPr>
            </w:pPr>
            <w:r w:rsidRPr="00835753">
              <w:rPr>
                <w:rFonts w:ascii="Times New Roman" w:hAnsi="Times New Roman"/>
                <w:sz w:val="24"/>
              </w:rPr>
              <w:t xml:space="preserve"> </w:t>
            </w:r>
            <w:proofErr w:type="gramStart"/>
            <w:r w:rsidRPr="00835753">
              <w:rPr>
                <w:rFonts w:ascii="Times New Roman" w:hAnsi="Times New Roman"/>
                <w:sz w:val="24"/>
              </w:rPr>
              <w:t>ich</w:t>
            </w:r>
            <w:proofErr w:type="gramEnd"/>
            <w:r w:rsidRPr="00835753">
              <w:rPr>
                <w:rFonts w:ascii="Times New Roman" w:hAnsi="Times New Roman"/>
                <w:sz w:val="24"/>
              </w:rPr>
              <w:t xml:space="preserve"> poziom obciążenia aktywów, obliczony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pkt </w:t>
            </w:r>
            <w:r w:rsidRPr="00835753">
              <w:rPr>
                <w:rFonts w:ascii="Times New Roman" w:hAnsi="Times New Roman"/>
                <w:sz w:val="24"/>
              </w:rPr>
              <w:t>1.6 ppkt 9 załącznika XVII do rozporządzenia wykonawczego Komisji (UE) nr</w:t>
            </w:r>
            <w:r w:rsidR="00835753" w:rsidRPr="00835753">
              <w:rPr>
                <w:rFonts w:ascii="Times New Roman" w:hAnsi="Times New Roman"/>
                <w:sz w:val="24"/>
              </w:rPr>
              <w:t> </w:t>
            </w:r>
            <w:r w:rsidRPr="00835753">
              <w:rPr>
                <w:rFonts w:ascii="Times New Roman" w:hAnsi="Times New Roman"/>
                <w:sz w:val="24"/>
              </w:rPr>
              <w:t>680/2014, wynosi ponad 15</w:t>
            </w:r>
            <w:r w:rsidR="00835753" w:rsidRPr="00835753">
              <w:rPr>
                <w:rFonts w:ascii="Times New Roman" w:hAnsi="Times New Roman"/>
                <w:sz w:val="24"/>
              </w:rPr>
              <w:t> </w:t>
            </w:r>
            <w:r w:rsidRPr="00835753">
              <w:rPr>
                <w:rFonts w:ascii="Times New Roman" w:hAnsi="Times New Roman"/>
                <w:sz w:val="24"/>
              </w:rPr>
              <w:t>%.</w:t>
            </w:r>
          </w:p>
        </w:tc>
      </w:tr>
    </w:tbl>
    <w:p w14:paraId="0B55979B" w14:textId="77777777" w:rsidR="00D312C4" w:rsidRPr="00835753" w:rsidRDefault="00D312C4" w:rsidP="00D312C4">
      <w:pPr>
        <w:spacing w:after="120"/>
        <w:rPr>
          <w:rFonts w:ascii="Times New Roman" w:hAnsi="Times New Roman" w:cs="Times New Roman"/>
        </w:rPr>
      </w:pPr>
    </w:p>
    <w:p w14:paraId="6DA5BD05" w14:textId="65570566" w:rsidR="00D312C4" w:rsidRPr="00835753" w:rsidRDefault="00D312C4" w:rsidP="00D312C4">
      <w:pPr>
        <w:spacing w:after="120"/>
        <w:rPr>
          <w:rFonts w:ascii="Times New Roman" w:hAnsi="Times New Roman" w:cs="Times New Roman"/>
          <w:b/>
        </w:rPr>
      </w:pPr>
      <w:r w:rsidRPr="00835753">
        <w:rPr>
          <w:rFonts w:ascii="Times New Roman" w:hAnsi="Times New Roman"/>
          <w:b/>
        </w:rPr>
        <w:t>Wzór EU AE1 – Aktywa obciążone</w:t>
      </w:r>
      <w:r w:rsidR="00835753" w:rsidRPr="00835753">
        <w:rPr>
          <w:rFonts w:ascii="Times New Roman" w:hAnsi="Times New Roman"/>
          <w:b/>
        </w:rPr>
        <w:t xml:space="preserve"> i</w:t>
      </w:r>
      <w:r w:rsidR="00835753">
        <w:rPr>
          <w:rFonts w:ascii="Times New Roman" w:hAnsi="Times New Roman"/>
          <w:b/>
        </w:rPr>
        <w:t> </w:t>
      </w:r>
      <w:r w:rsidR="00835753" w:rsidRPr="00835753">
        <w:rPr>
          <w:rFonts w:ascii="Times New Roman" w:hAnsi="Times New Roman"/>
          <w:b/>
        </w:rPr>
        <w:t>akt</w:t>
      </w:r>
      <w:r w:rsidRPr="00835753">
        <w:rPr>
          <w:rFonts w:ascii="Times New Roman" w:hAnsi="Times New Roman"/>
          <w:b/>
        </w:rPr>
        <w:t>ywa wolne od obciążeń</w:t>
      </w:r>
    </w:p>
    <w:p w14:paraId="0A514D00" w14:textId="2BD464D3" w:rsidR="00D312C4" w:rsidRPr="00835753" w:rsidRDefault="00D312C4" w:rsidP="00D312C4">
      <w:pPr>
        <w:pStyle w:val="Teksttreci50"/>
        <w:numPr>
          <w:ilvl w:val="0"/>
          <w:numId w:val="67"/>
        </w:numPr>
        <w:shd w:val="clear" w:color="auto" w:fill="auto"/>
        <w:tabs>
          <w:tab w:val="left" w:pos="815"/>
        </w:tabs>
        <w:spacing w:before="0" w:after="120" w:line="240" w:lineRule="auto"/>
        <w:ind w:right="20" w:firstLine="0"/>
        <w:jc w:val="both"/>
        <w:rPr>
          <w:rFonts w:eastAsiaTheme="minorEastAsia"/>
          <w:spacing w:val="0"/>
        </w:rPr>
      </w:pPr>
      <w:r w:rsidRPr="00835753">
        <w:rPr>
          <w:sz w:val="24"/>
          <w:szCs w:val="24"/>
        </w:rPr>
        <w:t>Instytucje wypełniają wzór EU AE1 zamieszczony</w:t>
      </w:r>
      <w:r w:rsidR="00835753" w:rsidRPr="00835753">
        <w:rPr>
          <w:sz w:val="24"/>
          <w:szCs w:val="24"/>
        </w:rPr>
        <w:t xml:space="preserve"> w</w:t>
      </w:r>
      <w:r w:rsidR="00835753">
        <w:rPr>
          <w:sz w:val="24"/>
          <w:szCs w:val="24"/>
        </w:rPr>
        <w:t> </w:t>
      </w:r>
      <w:r w:rsidR="00835753" w:rsidRPr="00835753">
        <w:rPr>
          <w:sz w:val="24"/>
          <w:szCs w:val="24"/>
        </w:rPr>
        <w:t>zał</w:t>
      </w:r>
      <w:r w:rsidRPr="00835753">
        <w:rPr>
          <w:sz w:val="24"/>
          <w:szCs w:val="24"/>
        </w:rPr>
        <w:t xml:space="preserve">ączniku XXXV do </w:t>
      </w:r>
      <w:r w:rsidRPr="00835753">
        <w:rPr>
          <w:sz w:val="24"/>
          <w:szCs w:val="24"/>
        </w:rPr>
        <w:lastRenderedPageBreak/>
        <w:t>niniejszego rozporządzenia wykonawczego</w:t>
      </w:r>
      <w:r w:rsidRPr="00835753">
        <w:rPr>
          <w:sz w:val="24"/>
        </w:rPr>
        <w:t xml:space="preserve"> </w:t>
      </w:r>
      <w:r w:rsidRPr="00835753">
        <w:rPr>
          <w:sz w:val="24"/>
          <w:szCs w:val="24"/>
        </w:rPr>
        <w:t>zgodnie</w:t>
      </w:r>
      <w:r w:rsidR="00835753" w:rsidRPr="00835753">
        <w:rPr>
          <w:sz w:val="24"/>
          <w:szCs w:val="24"/>
        </w:rPr>
        <w:t xml:space="preserve"> z</w:t>
      </w:r>
      <w:r w:rsidR="00835753">
        <w:rPr>
          <w:sz w:val="24"/>
          <w:szCs w:val="24"/>
        </w:rPr>
        <w:t> </w:t>
      </w:r>
      <w:r w:rsidR="00835753" w:rsidRPr="00835753">
        <w:rPr>
          <w:sz w:val="24"/>
          <w:szCs w:val="24"/>
        </w:rPr>
        <w:t>pon</w:t>
      </w:r>
      <w:r w:rsidRPr="00835753">
        <w:rPr>
          <w:sz w:val="24"/>
          <w:szCs w:val="24"/>
        </w:rPr>
        <w:t>iższymi instrukcjami.</w:t>
      </w:r>
    </w:p>
    <w:p w14:paraId="6C03A6EE" w14:textId="77777777" w:rsidR="00D312C4" w:rsidRPr="00835753"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835753"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5A122033" w:rsidR="00D312C4" w:rsidRPr="00835753" w:rsidRDefault="00D312C4"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D312C4" w:rsidRPr="00835753" w14:paraId="56C8E2DF" w14:textId="77777777" w:rsidTr="00155C96">
        <w:trPr>
          <w:trHeight w:val="238"/>
        </w:trPr>
        <w:tc>
          <w:tcPr>
            <w:tcW w:w="1384" w:type="dxa"/>
            <w:shd w:val="clear" w:color="auto" w:fill="D9D9D9" w:themeFill="background1" w:themeFillShade="D9"/>
          </w:tcPr>
          <w:p w14:paraId="3D7DBAFB" w14:textId="77777777" w:rsidR="00D312C4" w:rsidRPr="00835753" w:rsidRDefault="00D312C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1B7AF2FF" w14:textId="77777777" w:rsidR="00D312C4" w:rsidRPr="00835753" w:rsidRDefault="00D312C4" w:rsidP="00155C96">
            <w:pPr>
              <w:autoSpaceDE w:val="0"/>
              <w:autoSpaceDN w:val="0"/>
              <w:adjustRightInd w:val="0"/>
              <w:spacing w:after="120"/>
              <w:rPr>
                <w:rFonts w:ascii="Times New Roman" w:hAnsi="Times New Roman" w:cs="Times New Roman"/>
                <w:color w:val="000000"/>
                <w:sz w:val="20"/>
                <w:szCs w:val="20"/>
              </w:rPr>
            </w:pPr>
            <w:r w:rsidRPr="00835753">
              <w:rPr>
                <w:rFonts w:ascii="Times New Roman" w:hAnsi="Times New Roman"/>
                <w:b/>
                <w:sz w:val="24"/>
              </w:rPr>
              <w:t>Wyjaśnienie</w:t>
            </w:r>
          </w:p>
        </w:tc>
      </w:tr>
      <w:tr w:rsidR="00D312C4" w:rsidRPr="00835753" w14:paraId="4D04D013" w14:textId="77777777" w:rsidTr="00155C96">
        <w:trPr>
          <w:trHeight w:val="2031"/>
        </w:trPr>
        <w:tc>
          <w:tcPr>
            <w:tcW w:w="1384" w:type="dxa"/>
          </w:tcPr>
          <w:p w14:paraId="73B474BA" w14:textId="77777777" w:rsidR="00D312C4" w:rsidRPr="00835753" w:rsidRDefault="00D312C4" w:rsidP="00155C96">
            <w:pPr>
              <w:pStyle w:val="Applicationdirecte"/>
              <w:spacing w:before="0"/>
            </w:pPr>
            <w:r w:rsidRPr="00835753">
              <w:t>010</w:t>
            </w:r>
          </w:p>
        </w:tc>
        <w:tc>
          <w:tcPr>
            <w:tcW w:w="7655" w:type="dxa"/>
          </w:tcPr>
          <w:p w14:paraId="1EE37226" w14:textId="77777777" w:rsidR="0010160A" w:rsidRPr="00835753"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sidRPr="00835753">
              <w:rPr>
                <w:rStyle w:val="PogrubienieTeksttreciTimesNewRoman105ptOdstpy0pt"/>
                <w:rFonts w:eastAsia="Book Antiqua"/>
                <w:sz w:val="24"/>
                <w:szCs w:val="24"/>
              </w:rPr>
              <w:t xml:space="preserve">Aktywa instytucji ujawniającej informacje </w:t>
            </w:r>
          </w:p>
          <w:p w14:paraId="6CEEFD1A" w14:textId="6FA666BC" w:rsidR="00D312C4" w:rsidRPr="00835753" w:rsidRDefault="00D312C4" w:rsidP="00155C96">
            <w:pPr>
              <w:pStyle w:val="Teksttreci0"/>
              <w:shd w:val="clear" w:color="auto" w:fill="auto"/>
              <w:spacing w:after="120" w:line="240" w:lineRule="auto"/>
              <w:ind w:firstLine="0"/>
              <w:rPr>
                <w:b/>
                <w:sz w:val="24"/>
                <w:szCs w:val="24"/>
              </w:rPr>
            </w:pPr>
            <w:r w:rsidRPr="00835753">
              <w:rPr>
                <w:rStyle w:val="PogrubienieTeksttreciTimesNewRoman105ptOdstpy0pt"/>
                <w:rFonts w:eastAsia="Book Antiqua"/>
                <w:b w:val="0"/>
                <w:sz w:val="24"/>
                <w:szCs w:val="24"/>
              </w:rPr>
              <w:t>Międzynarodowe Standardy Rachunkowości (MSR) 1 pkt</w:t>
            </w:r>
            <w:r w:rsidR="00835753" w:rsidRPr="00835753">
              <w:rPr>
                <w:rStyle w:val="PogrubienieTeksttreciTimesNewRoman105ptOdstpy0pt"/>
                <w:rFonts w:eastAsia="Book Antiqua"/>
                <w:b w:val="0"/>
                <w:sz w:val="24"/>
                <w:szCs w:val="24"/>
              </w:rPr>
              <w:t> </w:t>
            </w:r>
            <w:r w:rsidRPr="00835753">
              <w:rPr>
                <w:rStyle w:val="PogrubienieTeksttreciTimesNewRoman105ptOdstpy0pt"/>
                <w:rFonts w:eastAsia="Book Antiqua"/>
                <w:b w:val="0"/>
                <w:sz w:val="24"/>
                <w:szCs w:val="24"/>
              </w:rPr>
              <w:t>9 lit.</w:t>
            </w:r>
            <w:r w:rsidR="00835753" w:rsidRPr="00835753">
              <w:rPr>
                <w:rStyle w:val="PogrubienieTeksttreciTimesNewRoman105ptOdstpy0pt"/>
                <w:rFonts w:eastAsia="Book Antiqua"/>
                <w:b w:val="0"/>
                <w:sz w:val="24"/>
                <w:szCs w:val="24"/>
              </w:rPr>
              <w:t> </w:t>
            </w:r>
            <w:r w:rsidRPr="00835753">
              <w:rPr>
                <w:rStyle w:val="PogrubienieTeksttreciTimesNewRoman105ptOdstpy0pt"/>
                <w:rFonts w:eastAsia="Book Antiqua"/>
                <w:b w:val="0"/>
                <w:sz w:val="24"/>
                <w:szCs w:val="24"/>
              </w:rPr>
              <w:t>a), Wytyczne stosowania (IG) 6,</w:t>
            </w:r>
            <w:r w:rsidR="00835753" w:rsidRPr="00835753">
              <w:rPr>
                <w:rStyle w:val="PogrubienieTeksttreciTimesNewRoman105ptOdstpy0pt"/>
                <w:rFonts w:eastAsia="Book Antiqua"/>
                <w:b w:val="0"/>
                <w:sz w:val="24"/>
                <w:szCs w:val="24"/>
              </w:rPr>
              <w:t xml:space="preserve"> w</w:t>
            </w:r>
            <w:r w:rsidR="00835753">
              <w:rPr>
                <w:rStyle w:val="PogrubienieTeksttreciTimesNewRoman105ptOdstpy0pt"/>
                <w:rFonts w:eastAsia="Book Antiqua"/>
                <w:b w:val="0"/>
                <w:sz w:val="24"/>
                <w:szCs w:val="24"/>
              </w:rPr>
              <w:t> </w:t>
            </w:r>
            <w:r w:rsidR="00835753" w:rsidRPr="00835753">
              <w:rPr>
                <w:rStyle w:val="PogrubienieTeksttreciTimesNewRoman105ptOdstpy0pt"/>
                <w:rFonts w:eastAsia="Book Antiqua"/>
                <w:b w:val="0"/>
                <w:sz w:val="24"/>
                <w:szCs w:val="24"/>
              </w:rPr>
              <w:t>prz</w:t>
            </w:r>
            <w:r w:rsidRPr="00835753">
              <w:rPr>
                <w:rStyle w:val="PogrubienieTeksttreciTimesNewRoman105ptOdstpy0pt"/>
                <w:rFonts w:eastAsia="Book Antiqua"/>
                <w:b w:val="0"/>
                <w:sz w:val="24"/>
                <w:szCs w:val="24"/>
              </w:rPr>
              <w:t>ypadku instytucji stosujących MSSF</w:t>
            </w:r>
          </w:p>
          <w:p w14:paraId="2770C043" w14:textId="5CAA24FA" w:rsidR="00D312C4" w:rsidRPr="00835753" w:rsidRDefault="00D312C4" w:rsidP="00155C96">
            <w:pPr>
              <w:spacing w:after="120"/>
              <w:jc w:val="both"/>
              <w:rPr>
                <w:rStyle w:val="TeksttreciTimesNewRoman105ptOdstpy0pt"/>
                <w:rFonts w:eastAsia="Calibri"/>
                <w:sz w:val="24"/>
              </w:rPr>
            </w:pPr>
            <w:r w:rsidRPr="00835753">
              <w:rPr>
                <w:rStyle w:val="TeksttreciTimesNewRoman105ptOdstpy0pt"/>
                <w:rFonts w:eastAsiaTheme="minorEastAsia"/>
                <w:sz w:val="24"/>
              </w:rPr>
              <w:t>Aktywa ogółem instytucji ujęte</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jej</w:t>
            </w:r>
            <w:r w:rsidRPr="00835753">
              <w:rPr>
                <w:rStyle w:val="TeksttreciTimesNewRoman105ptOdstpy0pt"/>
                <w:rFonts w:eastAsiaTheme="minorEastAsia"/>
                <w:sz w:val="24"/>
              </w:rPr>
              <w:t xml:space="preserve"> bilansie,</w:t>
            </w:r>
            <w:r w:rsidR="00835753" w:rsidRPr="00835753">
              <w:rPr>
                <w:rStyle w:val="TeksttreciTimesNewRoman105ptOdstpy0pt"/>
                <w:rFonts w:eastAsiaTheme="minorEastAsia"/>
                <w:sz w:val="24"/>
              </w:rPr>
              <w:t xml:space="preserve"> z</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wyj</w:t>
            </w:r>
            <w:r w:rsidRPr="00835753">
              <w:rPr>
                <w:rStyle w:val="TeksttreciTimesNewRoman105ptOdstpy0pt"/>
                <w:rFonts w:eastAsiaTheme="minorEastAsia"/>
                <w:sz w:val="24"/>
              </w:rPr>
              <w:t>ątkiem własnych dłużnych papierów wartościowych</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wła</w:t>
            </w:r>
            <w:r w:rsidRPr="00835753">
              <w:rPr>
                <w:rStyle w:val="TeksttreciTimesNewRoman105ptOdstpy0pt"/>
                <w:rFonts w:eastAsiaTheme="minorEastAsia"/>
                <w:sz w:val="24"/>
              </w:rPr>
              <w:t>snych instrumentów kapitałowych, jeżeli mające zastosowanie standardy rachunkowości pozwalają na ujęcie ich</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bil</w:t>
            </w:r>
            <w:r w:rsidRPr="00835753">
              <w:rPr>
                <w:rStyle w:val="TeksttreciTimesNewRoman105ptOdstpy0pt"/>
                <w:rFonts w:eastAsiaTheme="minorEastAsia"/>
                <w:sz w:val="24"/>
              </w:rPr>
              <w:t>ansie.</w:t>
            </w:r>
          </w:p>
          <w:p w14:paraId="2B8CA0E2" w14:textId="36A46C91" w:rsidR="00D312C4" w:rsidRPr="00835753" w:rsidRDefault="00D312C4" w:rsidP="00155C96">
            <w:pPr>
              <w:spacing w:after="120"/>
              <w:jc w:val="both"/>
              <w:rPr>
                <w:rFonts w:ascii="Times New Roman" w:hAnsi="Times New Roman" w:cs="Times New Roman"/>
                <w:sz w:val="24"/>
              </w:rPr>
            </w:pPr>
            <w:r w:rsidRPr="00835753">
              <w:rPr>
                <w:rStyle w:val="TeksttreciTimesNewRoman105ptOdstpy0pt"/>
                <w:rFonts w:eastAsiaTheme="minorEastAsia"/>
                <w:sz w:val="24"/>
              </w:rPr>
              <w:t>Wartością ujawnianą</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tym</w:t>
            </w:r>
            <w:r w:rsidRPr="00835753">
              <w:rPr>
                <w:rStyle w:val="TeksttreciTimesNewRoman105ptOdstpy0pt"/>
                <w:rFonts w:eastAsiaTheme="minorEastAsia"/>
                <w:sz w:val="24"/>
              </w:rPr>
              <w:t xml:space="preserve"> wierszu jest średnia sum czterech wartości na koniec kwartałów</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cią</w:t>
            </w:r>
            <w:r w:rsidRPr="00835753">
              <w:rPr>
                <w:rStyle w:val="TeksttreciTimesNewRoman105ptOdstpy0pt"/>
                <w:rFonts w:eastAsiaTheme="minorEastAsia"/>
                <w:sz w:val="24"/>
              </w:rPr>
              <w:t>gu poprzednich dwunastu miesięcy</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wie</w:t>
            </w:r>
            <w:r w:rsidRPr="00835753">
              <w:rPr>
                <w:rStyle w:val="TeksttreciTimesNewRoman105ptOdstpy0pt"/>
                <w:rFonts w:eastAsiaTheme="minorEastAsia"/>
                <w:sz w:val="24"/>
              </w:rPr>
              <w:t>rszach 030, 040</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1</w:t>
            </w:r>
            <w:r w:rsidRPr="00835753">
              <w:rPr>
                <w:rStyle w:val="TeksttreciTimesNewRoman105ptOdstpy0pt"/>
                <w:rFonts w:eastAsiaTheme="minorEastAsia"/>
                <w:sz w:val="24"/>
              </w:rPr>
              <w:t>20.</w:t>
            </w:r>
          </w:p>
        </w:tc>
      </w:tr>
      <w:tr w:rsidR="00D312C4" w:rsidRPr="00835753" w14:paraId="4AD23BC8" w14:textId="77777777" w:rsidTr="00155C96">
        <w:trPr>
          <w:trHeight w:val="316"/>
        </w:trPr>
        <w:tc>
          <w:tcPr>
            <w:tcW w:w="1384" w:type="dxa"/>
          </w:tcPr>
          <w:p w14:paraId="4CAF37CD" w14:textId="77777777" w:rsidR="00D312C4" w:rsidRPr="00835753" w:rsidRDefault="00D312C4" w:rsidP="00155C96">
            <w:pPr>
              <w:autoSpaceDE w:val="0"/>
              <w:autoSpaceDN w:val="0"/>
              <w:adjustRightInd w:val="0"/>
              <w:spacing w:after="120"/>
              <w:rPr>
                <w:rFonts w:ascii="Times New Roman" w:hAnsi="Times New Roman" w:cs="Times New Roman"/>
                <w:color w:val="000000"/>
                <w:sz w:val="20"/>
                <w:szCs w:val="20"/>
              </w:rPr>
            </w:pPr>
            <w:r w:rsidRPr="00835753">
              <w:rPr>
                <w:rFonts w:ascii="Times New Roman" w:hAnsi="Times New Roman"/>
                <w:sz w:val="24"/>
              </w:rPr>
              <w:t>030</w:t>
            </w:r>
          </w:p>
        </w:tc>
        <w:tc>
          <w:tcPr>
            <w:tcW w:w="7655" w:type="dxa"/>
          </w:tcPr>
          <w:p w14:paraId="78FC9793" w14:textId="77777777"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Instrumenty kapitałowe</w:t>
            </w:r>
          </w:p>
          <w:p w14:paraId="0D4FD605" w14:textId="1597BBC9" w:rsidR="00D312C4" w:rsidRPr="00835753" w:rsidRDefault="00D312C4" w:rsidP="00155C96">
            <w:pPr>
              <w:spacing w:after="120"/>
              <w:jc w:val="both"/>
              <w:rPr>
                <w:rFonts w:ascii="Times New Roman" w:hAnsi="Times New Roman" w:cs="Times New Roman"/>
                <w:bCs/>
                <w:sz w:val="24"/>
              </w:rPr>
            </w:pPr>
            <w:r w:rsidRPr="00835753">
              <w:rPr>
                <w:rStyle w:val="TeksttreciTimesNewRoman105ptOdstpy0pt"/>
                <w:rFonts w:eastAsiaTheme="minorEastAsia"/>
                <w:sz w:val="24"/>
              </w:rPr>
              <w:t>Średnie wartości</w:t>
            </w:r>
            <w:r w:rsidRPr="00835753">
              <w:rPr>
                <w:rStyle w:val="TeksttreciTimesNewRoman105ptOdstpy0pt"/>
                <w:rFonts w:eastAsiaTheme="minorEastAsia"/>
                <w:b/>
                <w:sz w:val="24"/>
              </w:rPr>
              <w:t xml:space="preserve"> </w:t>
            </w:r>
            <w:r w:rsidRPr="00835753">
              <w:rPr>
                <w:rStyle w:val="InstructionsTabelleberschrift"/>
                <w:rFonts w:ascii="Times New Roman" w:hAnsi="Times New Roman"/>
                <w:b w:val="0"/>
                <w:sz w:val="24"/>
                <w:u w:val="none"/>
              </w:rPr>
              <w:t>instrumentów kapitałowych określone</w:t>
            </w:r>
            <w:r w:rsidR="00835753" w:rsidRPr="00835753">
              <w:rPr>
                <w:rStyle w:val="InstructionsTabelleberschrift"/>
                <w:rFonts w:ascii="Times New Roman" w:hAnsi="Times New Roman"/>
                <w:b w:val="0"/>
                <w:sz w:val="24"/>
                <w:u w:val="none"/>
              </w:rPr>
              <w:t xml:space="preserve"> w</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maj</w:t>
            </w:r>
            <w:r w:rsidRPr="00835753">
              <w:rPr>
                <w:rStyle w:val="InstructionsTabelleberschrift"/>
                <w:rFonts w:ascii="Times New Roman" w:hAnsi="Times New Roman"/>
                <w:b w:val="0"/>
                <w:sz w:val="24"/>
                <w:u w:val="none"/>
              </w:rPr>
              <w:t>ących zastosowanie standardach rachunkowości (MSR 32 pkt</w:t>
            </w:r>
            <w:r w:rsidR="00835753" w:rsidRPr="00835753">
              <w:rPr>
                <w:rStyle w:val="InstructionsTabelleberschrift"/>
                <w:rFonts w:ascii="Times New Roman" w:hAnsi="Times New Roman"/>
                <w:b w:val="0"/>
                <w:sz w:val="24"/>
                <w:u w:val="none"/>
              </w:rPr>
              <w:t> </w:t>
            </w:r>
            <w:r w:rsidRPr="00835753">
              <w:rPr>
                <w:rStyle w:val="InstructionsTabelleberschrift"/>
                <w:rFonts w:ascii="Times New Roman" w:hAnsi="Times New Roman"/>
                <w:b w:val="0"/>
                <w:sz w:val="24"/>
                <w:u w:val="none"/>
              </w:rPr>
              <w:t>1</w:t>
            </w:r>
            <w:r w:rsidR="00835753" w:rsidRPr="00835753">
              <w:rPr>
                <w:rStyle w:val="InstructionsTabelleberschrift"/>
                <w:rFonts w:ascii="Times New Roman" w:hAnsi="Times New Roman"/>
                <w:b w:val="0"/>
                <w:sz w:val="24"/>
                <w:u w:val="none"/>
              </w:rPr>
              <w:t xml:space="preserve"> w</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prz</w:t>
            </w:r>
            <w:r w:rsidRPr="00835753">
              <w:rPr>
                <w:rStyle w:val="InstructionsTabelleberschrift"/>
                <w:rFonts w:ascii="Times New Roman" w:hAnsi="Times New Roman"/>
                <w:b w:val="0"/>
                <w:sz w:val="24"/>
                <w:u w:val="none"/>
              </w:rPr>
              <w:t>ypadku instytucji stosujących MSSF)</w:t>
            </w:r>
            <w:r w:rsidRPr="00835753">
              <w:rPr>
                <w:rStyle w:val="TeksttreciTimesNewRoman105ptOdstpy0pt"/>
                <w:rFonts w:eastAsiaTheme="minorEastAsia"/>
                <w:b/>
                <w:sz w:val="24"/>
              </w:rPr>
              <w:t>,</w:t>
            </w:r>
            <w:r w:rsidR="00835753" w:rsidRPr="00835753">
              <w:rPr>
                <w:rStyle w:val="TeksttreciTimesNewRoman105ptOdstpy0pt"/>
                <w:rFonts w:eastAsiaTheme="minorEastAsia"/>
                <w:sz w:val="24"/>
              </w:rPr>
              <w:t xml:space="preserve"> z</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wyj</w:t>
            </w:r>
            <w:r w:rsidRPr="00835753">
              <w:rPr>
                <w:rStyle w:val="TeksttreciTimesNewRoman105ptOdstpy0pt"/>
                <w:rFonts w:eastAsiaTheme="minorEastAsia"/>
                <w:sz w:val="24"/>
              </w:rPr>
              <w:t>ątkiem własnych instrumentów kapitałowych, jeżeli mające zastosowanie standardy rachunkowości pozwalają na ujęcie ich</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bil</w:t>
            </w:r>
            <w:r w:rsidRPr="00835753">
              <w:rPr>
                <w:rStyle w:val="TeksttreciTimesNewRoman105ptOdstpy0pt"/>
                <w:rFonts w:eastAsiaTheme="minorEastAsia"/>
                <w:sz w:val="24"/>
              </w:rPr>
              <w:t>ansie</w:t>
            </w:r>
          </w:p>
        </w:tc>
      </w:tr>
      <w:tr w:rsidR="00D312C4" w:rsidRPr="00835753" w14:paraId="3E9C6175" w14:textId="77777777" w:rsidTr="00155C96">
        <w:trPr>
          <w:trHeight w:val="316"/>
        </w:trPr>
        <w:tc>
          <w:tcPr>
            <w:tcW w:w="1384" w:type="dxa"/>
          </w:tcPr>
          <w:p w14:paraId="7E4C49CF"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040</w:t>
            </w:r>
          </w:p>
        </w:tc>
        <w:tc>
          <w:tcPr>
            <w:tcW w:w="7655" w:type="dxa"/>
          </w:tcPr>
          <w:p w14:paraId="4FB88874" w14:textId="77777777"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Dłużne papiery wartościowe</w:t>
            </w:r>
          </w:p>
          <w:p w14:paraId="7557A686" w14:textId="6D91270B" w:rsidR="00D312C4" w:rsidRPr="00835753" w:rsidRDefault="00D312C4" w:rsidP="00155C96">
            <w:pPr>
              <w:autoSpaceDE w:val="0"/>
              <w:autoSpaceDN w:val="0"/>
              <w:adjustRightInd w:val="0"/>
              <w:spacing w:after="120"/>
              <w:jc w:val="both"/>
              <w:rPr>
                <w:rFonts w:ascii="Times New Roman" w:hAnsi="Times New Roman" w:cs="Times New Roman"/>
                <w:b/>
                <w:sz w:val="24"/>
              </w:rPr>
            </w:pPr>
            <w:r w:rsidRPr="00835753">
              <w:rPr>
                <w:rStyle w:val="TeksttreciTimesNewRoman105ptOdstpy0pt"/>
                <w:rFonts w:eastAsiaTheme="minorEastAsia"/>
                <w:sz w:val="24"/>
              </w:rPr>
              <w:t>Średnie wartości instrumentów dłużnych posiadanych przez instytucję, wyemitowanych jako papiery wartościowe niebędące kredytami ani pożyczkami zgodnie</w:t>
            </w:r>
            <w:r w:rsidR="00835753" w:rsidRPr="00835753">
              <w:rPr>
                <w:rStyle w:val="TeksttreciTimesNewRoman105ptOdstpy0pt"/>
                <w:rFonts w:eastAsiaTheme="minorEastAsia"/>
                <w:sz w:val="24"/>
              </w:rPr>
              <w:t xml:space="preserve"> z</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roz</w:t>
            </w:r>
            <w:r w:rsidRPr="00835753">
              <w:rPr>
                <w:rStyle w:val="TeksttreciTimesNewRoman105ptOdstpy0pt"/>
                <w:rFonts w:eastAsiaTheme="minorEastAsia"/>
                <w:sz w:val="24"/>
              </w:rPr>
              <w:t>porządzeniem (UE) nr</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1071/2013 Europejskiego Banku Centralnego („rozporządzenie EBC</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spr</w:t>
            </w:r>
            <w:r w:rsidRPr="00835753">
              <w:rPr>
                <w:rStyle w:val="TeksttreciTimesNewRoman105ptOdstpy0pt"/>
                <w:rFonts w:eastAsiaTheme="minorEastAsia"/>
                <w:sz w:val="24"/>
              </w:rPr>
              <w:t>awie pozycji bilansowych</w:t>
            </w:r>
            <w:proofErr w:type="gramStart"/>
            <w:r w:rsidRPr="00835753">
              <w:rPr>
                <w:rStyle w:val="TeksttreciTimesNewRoman105ptOdstpy0pt"/>
                <w:rFonts w:eastAsiaTheme="minorEastAsia"/>
                <w:sz w:val="24"/>
              </w:rPr>
              <w:t>”)</w:t>
            </w:r>
            <w:r w:rsidRPr="00835753">
              <w:rPr>
                <w:rStyle w:val="FootnoteReference"/>
                <w:rFonts w:eastAsia="Calibri" w:cs="Times New Roman"/>
                <w:color w:val="000000"/>
                <w:spacing w:val="4"/>
                <w:shd w:val="clear" w:color="auto" w:fill="FFFFFF"/>
              </w:rPr>
              <w:footnoteReference w:id="56"/>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xml:space="preserve"> z</w:t>
            </w:r>
            <w:proofErr w:type="gramEnd"/>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wyj</w:t>
            </w:r>
            <w:r w:rsidRPr="00835753">
              <w:rPr>
                <w:rStyle w:val="TeksttreciTimesNewRoman105ptOdstpy0pt"/>
                <w:rFonts w:eastAsiaTheme="minorEastAsia"/>
                <w:sz w:val="24"/>
              </w:rPr>
              <w:t>ątkiem własnych dłużnych papierów wartościowych, jeżeli mające zastosowanie standardy rachunkowości pozwalają na ujęcie ich</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bil</w:t>
            </w:r>
            <w:r w:rsidRPr="00835753">
              <w:rPr>
                <w:rStyle w:val="TeksttreciTimesNewRoman105ptOdstpy0pt"/>
                <w:rFonts w:eastAsiaTheme="minorEastAsia"/>
                <w:sz w:val="24"/>
              </w:rPr>
              <w:t>ansie</w:t>
            </w:r>
          </w:p>
        </w:tc>
      </w:tr>
      <w:tr w:rsidR="00D312C4" w:rsidRPr="00835753" w14:paraId="2919FB45" w14:textId="77777777" w:rsidTr="00155C96">
        <w:trPr>
          <w:trHeight w:val="316"/>
        </w:trPr>
        <w:tc>
          <w:tcPr>
            <w:tcW w:w="1384" w:type="dxa"/>
          </w:tcPr>
          <w:p w14:paraId="1053AC3C"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050</w:t>
            </w:r>
          </w:p>
        </w:tc>
        <w:tc>
          <w:tcPr>
            <w:tcW w:w="7655" w:type="dxa"/>
          </w:tcPr>
          <w:p w14:paraId="75032E65" w14:textId="77777777" w:rsidR="00D312C4" w:rsidRPr="00835753" w:rsidRDefault="00D312C4" w:rsidP="00155C96">
            <w:pPr>
              <w:pStyle w:val="Teksttreci0"/>
              <w:shd w:val="clear" w:color="auto" w:fill="auto"/>
              <w:spacing w:after="120" w:line="240" w:lineRule="auto"/>
              <w:ind w:firstLine="0"/>
              <w:rPr>
                <w:sz w:val="24"/>
                <w:szCs w:val="24"/>
              </w:rPr>
            </w:pPr>
            <w:proofErr w:type="gramStart"/>
            <w:r w:rsidRPr="00835753">
              <w:rPr>
                <w:rStyle w:val="PogrubienieTeksttreciTimesNewRoman105ptOdstpy0pt"/>
                <w:rFonts w:eastAsia="Book Antiqua"/>
                <w:sz w:val="24"/>
                <w:szCs w:val="24"/>
              </w:rPr>
              <w:t>w</w:t>
            </w:r>
            <w:proofErr w:type="gramEnd"/>
            <w:r w:rsidRPr="00835753">
              <w:rPr>
                <w:rStyle w:val="PogrubienieTeksttreciTimesNewRoman105ptOdstpy0pt"/>
                <w:rFonts w:eastAsia="Book Antiqua"/>
                <w:sz w:val="24"/>
                <w:szCs w:val="24"/>
              </w:rPr>
              <w:t xml:space="preserve"> tym: obligacje zabezpieczone</w:t>
            </w:r>
          </w:p>
          <w:p w14:paraId="1617C62A" w14:textId="49CF49B5" w:rsidR="00D312C4" w:rsidRPr="00835753" w:rsidRDefault="00D312C4" w:rsidP="00155C96">
            <w:pPr>
              <w:autoSpaceDE w:val="0"/>
              <w:autoSpaceDN w:val="0"/>
              <w:adjustRightInd w:val="0"/>
              <w:spacing w:after="120"/>
              <w:jc w:val="both"/>
              <w:rPr>
                <w:rFonts w:ascii="Times New Roman" w:hAnsi="Times New Roman" w:cs="Times New Roman"/>
                <w:b/>
                <w:sz w:val="24"/>
              </w:rPr>
            </w:pPr>
            <w:r w:rsidRPr="00835753">
              <w:rPr>
                <w:rStyle w:val="TeksttreciTimesNewRoman105ptOdstpy0pt"/>
                <w:rFonts w:eastAsiaTheme="minorEastAsia"/>
                <w:sz w:val="24"/>
              </w:rPr>
              <w:t>Średnie wartości</w:t>
            </w:r>
            <w:r w:rsidRPr="00835753">
              <w:rPr>
                <w:rStyle w:val="Heading1Char"/>
                <w:rFonts w:ascii="Times New Roman" w:hAnsi="Times New Roman"/>
                <w:b w:val="0"/>
                <w:sz w:val="24"/>
              </w:rPr>
              <w:t xml:space="preserve"> </w:t>
            </w:r>
            <w:r w:rsidRPr="00835753">
              <w:rPr>
                <w:rStyle w:val="InstructionsTabelleberschrift"/>
                <w:rFonts w:ascii="Times New Roman" w:hAnsi="Times New Roman"/>
                <w:b w:val="0"/>
                <w:sz w:val="24"/>
                <w:u w:val="none"/>
              </w:rPr>
              <w:t>dłużnych papierów wartościowych posiadanych przez instytucję,</w:t>
            </w:r>
            <w:r w:rsidRPr="00835753">
              <w:rPr>
                <w:rStyle w:val="TeksttreciTimesNewRoman105ptOdstpy0pt"/>
                <w:rFonts w:eastAsiaTheme="minorEastAsia"/>
                <w:b/>
                <w:sz w:val="24"/>
              </w:rPr>
              <w:t xml:space="preserve"> </w:t>
            </w:r>
            <w:r w:rsidRPr="00835753">
              <w:rPr>
                <w:rStyle w:val="TeksttreciTimesNewRoman105ptOdstpy0pt"/>
                <w:rFonts w:eastAsiaTheme="minorEastAsia"/>
                <w:sz w:val="24"/>
              </w:rPr>
              <w:t>które są obligacjami,</w:t>
            </w:r>
            <w:r w:rsidR="00835753" w:rsidRPr="00835753">
              <w:rPr>
                <w:rStyle w:val="TeksttreciTimesNewRoman105ptOdstpy0pt"/>
                <w:rFonts w:eastAsiaTheme="minorEastAsia"/>
                <w:sz w:val="24"/>
              </w:rPr>
              <w:t xml:space="preserve"> o</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któ</w:t>
            </w:r>
            <w:r w:rsidRPr="00835753">
              <w:rPr>
                <w:rStyle w:val="TeksttreciTimesNewRoman105ptOdstpy0pt"/>
                <w:rFonts w:eastAsiaTheme="minorEastAsia"/>
                <w:sz w:val="24"/>
              </w:rPr>
              <w:t>rych mowa</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52 ust.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4 akapit pierwszy dyrektywy (WE) 2009/65</w:t>
            </w:r>
            <w:r w:rsidRPr="00835753">
              <w:rPr>
                <w:rStyle w:val="FootnoteReference"/>
                <w:rFonts w:eastAsia="Calibri" w:cs="Times New Roman"/>
                <w:color w:val="000000"/>
                <w:spacing w:val="4"/>
                <w:shd w:val="clear" w:color="auto" w:fill="FFFFFF"/>
              </w:rPr>
              <w:footnoteReference w:id="57"/>
            </w:r>
            <w:r w:rsidRPr="00835753">
              <w:rPr>
                <w:rStyle w:val="TeksttreciTimesNewRoman105ptOdstpy0pt"/>
                <w:rFonts w:eastAsiaTheme="minorEastAsia"/>
                <w:sz w:val="24"/>
              </w:rPr>
              <w:t>, niezależnie od tego, czy instrumenty te przyjmują formę prawną papieru wartościowego</w:t>
            </w:r>
          </w:p>
        </w:tc>
      </w:tr>
      <w:tr w:rsidR="00D312C4" w:rsidRPr="00835753" w14:paraId="38216DC5" w14:textId="77777777" w:rsidTr="00155C96">
        <w:trPr>
          <w:trHeight w:val="316"/>
        </w:trPr>
        <w:tc>
          <w:tcPr>
            <w:tcW w:w="1384" w:type="dxa"/>
          </w:tcPr>
          <w:p w14:paraId="64C960E1"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060</w:t>
            </w:r>
          </w:p>
        </w:tc>
        <w:tc>
          <w:tcPr>
            <w:tcW w:w="7655" w:type="dxa"/>
          </w:tcPr>
          <w:p w14:paraId="1C967746" w14:textId="77777777" w:rsidR="00D312C4" w:rsidRPr="00835753" w:rsidRDefault="00D312C4" w:rsidP="00155C96">
            <w:pPr>
              <w:pStyle w:val="Teksttreci0"/>
              <w:shd w:val="clear" w:color="auto" w:fill="auto"/>
              <w:spacing w:after="120" w:line="240" w:lineRule="auto"/>
              <w:ind w:firstLine="0"/>
              <w:rPr>
                <w:sz w:val="24"/>
                <w:szCs w:val="24"/>
              </w:rPr>
            </w:pPr>
            <w:proofErr w:type="gramStart"/>
            <w:r w:rsidRPr="00835753">
              <w:rPr>
                <w:rStyle w:val="PogrubienieTeksttreciTimesNewRoman105ptOdstpy0pt"/>
                <w:rFonts w:eastAsia="Book Antiqua"/>
                <w:sz w:val="24"/>
                <w:szCs w:val="24"/>
              </w:rPr>
              <w:t>w</w:t>
            </w:r>
            <w:proofErr w:type="gramEnd"/>
            <w:r w:rsidRPr="00835753">
              <w:rPr>
                <w:rStyle w:val="PogrubienieTeksttreciTimesNewRoman105ptOdstpy0pt"/>
                <w:rFonts w:eastAsia="Book Antiqua"/>
                <w:sz w:val="24"/>
                <w:szCs w:val="24"/>
              </w:rPr>
              <w:t xml:space="preserve"> tym: sekurytyzacje </w:t>
            </w:r>
          </w:p>
          <w:p w14:paraId="536A829C" w14:textId="113F5403" w:rsidR="00D312C4" w:rsidRPr="00835753" w:rsidRDefault="00D312C4" w:rsidP="00155C96">
            <w:pPr>
              <w:autoSpaceDE w:val="0"/>
              <w:autoSpaceDN w:val="0"/>
              <w:adjustRightInd w:val="0"/>
              <w:spacing w:after="120"/>
              <w:jc w:val="both"/>
              <w:rPr>
                <w:rFonts w:ascii="Times New Roman" w:hAnsi="Times New Roman" w:cs="Times New Roman"/>
                <w:b/>
                <w:sz w:val="24"/>
              </w:rPr>
            </w:pPr>
            <w:r w:rsidRPr="00835753">
              <w:rPr>
                <w:rStyle w:val="TeksttreciTimesNewRoman105ptOdstpy0pt"/>
                <w:rFonts w:eastAsiaTheme="minorEastAsia"/>
                <w:sz w:val="24"/>
              </w:rPr>
              <w:lastRenderedPageBreak/>
              <w:t>Średnie wartości dłużnych papierów wartościowych posiadanych przez instytucję, które są pozycjami sekurytyzacyjnymi zdefiniowanymi</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4 ust.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1 pkt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62 CRR</w:t>
            </w:r>
          </w:p>
        </w:tc>
      </w:tr>
      <w:tr w:rsidR="00D312C4" w:rsidRPr="00835753" w14:paraId="2EDC4B4F" w14:textId="77777777" w:rsidTr="00155C96">
        <w:trPr>
          <w:trHeight w:val="316"/>
        </w:trPr>
        <w:tc>
          <w:tcPr>
            <w:tcW w:w="1384" w:type="dxa"/>
          </w:tcPr>
          <w:p w14:paraId="757CE2E6"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lastRenderedPageBreak/>
              <w:t>070</w:t>
            </w:r>
          </w:p>
        </w:tc>
        <w:tc>
          <w:tcPr>
            <w:tcW w:w="7655" w:type="dxa"/>
          </w:tcPr>
          <w:p w14:paraId="53198492" w14:textId="12B20AF2" w:rsidR="00D312C4" w:rsidRPr="00835753" w:rsidRDefault="00D312C4" w:rsidP="00155C96">
            <w:pPr>
              <w:pStyle w:val="Teksttreci0"/>
              <w:shd w:val="clear" w:color="auto" w:fill="auto"/>
              <w:spacing w:after="120" w:line="240" w:lineRule="auto"/>
              <w:ind w:firstLine="0"/>
              <w:rPr>
                <w:sz w:val="24"/>
                <w:szCs w:val="24"/>
              </w:rPr>
            </w:pPr>
            <w:proofErr w:type="gramStart"/>
            <w:r w:rsidRPr="00835753">
              <w:rPr>
                <w:rStyle w:val="PogrubienieTeksttreciTimesNewRoman105ptOdstpy0pt"/>
                <w:rFonts w:eastAsia="Book Antiqua"/>
                <w:sz w:val="24"/>
                <w:szCs w:val="24"/>
              </w:rPr>
              <w:t>w</w:t>
            </w:r>
            <w:proofErr w:type="gramEnd"/>
            <w:r w:rsidRPr="00835753">
              <w:rPr>
                <w:rStyle w:val="PogrubienieTeksttreciTimesNewRoman105ptOdstpy0pt"/>
                <w:rFonts w:eastAsia="Book Antiqua"/>
                <w:sz w:val="24"/>
                <w:szCs w:val="24"/>
              </w:rPr>
              <w:t xml:space="preserve"> tym: wyemitowane przez sektor instytucji rządowych</w:t>
            </w:r>
            <w:r w:rsidR="00835753" w:rsidRPr="00835753">
              <w:rPr>
                <w:rStyle w:val="PogrubienieTeksttreciTimesNewRoman105ptOdstpy0pt"/>
                <w:rFonts w:eastAsia="Book Antiqua"/>
                <w:sz w:val="24"/>
                <w:szCs w:val="24"/>
              </w:rPr>
              <w:t xml:space="preserve"> i</w:t>
            </w:r>
            <w:r w:rsidR="00835753">
              <w:rPr>
                <w:rStyle w:val="PogrubienieTeksttreciTimesNewRoman105ptOdstpy0pt"/>
                <w:rFonts w:eastAsia="Book Antiqua"/>
                <w:sz w:val="24"/>
                <w:szCs w:val="24"/>
              </w:rPr>
              <w:t> </w:t>
            </w:r>
            <w:r w:rsidR="00835753" w:rsidRPr="00835753">
              <w:rPr>
                <w:rStyle w:val="PogrubienieTeksttreciTimesNewRoman105ptOdstpy0pt"/>
                <w:rFonts w:eastAsia="Book Antiqua"/>
                <w:sz w:val="24"/>
                <w:szCs w:val="24"/>
              </w:rPr>
              <w:t>sam</w:t>
            </w:r>
            <w:r w:rsidRPr="00835753">
              <w:rPr>
                <w:rStyle w:val="PogrubienieTeksttreciTimesNewRoman105ptOdstpy0pt"/>
                <w:rFonts w:eastAsia="Book Antiqua"/>
                <w:sz w:val="24"/>
                <w:szCs w:val="24"/>
              </w:rPr>
              <w:t>orządowych</w:t>
            </w:r>
          </w:p>
          <w:p w14:paraId="14FFA7FD" w14:textId="424562CD" w:rsidR="00D312C4" w:rsidRPr="00835753" w:rsidRDefault="00D312C4" w:rsidP="00155C96">
            <w:pPr>
              <w:autoSpaceDE w:val="0"/>
              <w:autoSpaceDN w:val="0"/>
              <w:adjustRightInd w:val="0"/>
              <w:spacing w:after="120"/>
              <w:jc w:val="both"/>
              <w:rPr>
                <w:rFonts w:ascii="Times New Roman" w:hAnsi="Times New Roman" w:cs="Times New Roman"/>
                <w:b/>
                <w:sz w:val="24"/>
              </w:rPr>
            </w:pPr>
            <w:r w:rsidRPr="00835753">
              <w:rPr>
                <w:rStyle w:val="TeksttreciTimesNewRoman105ptOdstpy0pt"/>
                <w:rFonts w:eastAsiaTheme="minorEastAsia"/>
                <w:sz w:val="24"/>
              </w:rPr>
              <w:t>Średnie wartości</w:t>
            </w:r>
            <w:r w:rsidRPr="00835753">
              <w:rPr>
                <w:rStyle w:val="TeksttreciTimesNewRoman105ptOdstpy0pt"/>
                <w:rFonts w:eastAsiaTheme="minorEastAsia"/>
                <w:b/>
                <w:sz w:val="24"/>
              </w:rPr>
              <w:t xml:space="preserve"> </w:t>
            </w:r>
            <w:r w:rsidRPr="00835753">
              <w:rPr>
                <w:rStyle w:val="InstructionsTabelleberschrift"/>
                <w:rFonts w:ascii="Times New Roman" w:hAnsi="Times New Roman"/>
                <w:b w:val="0"/>
                <w:sz w:val="24"/>
                <w:u w:val="none"/>
              </w:rPr>
              <w:t>dłużnych papierów wartościowych posiadanych przez instytucję, które zostały wyemitowane przez sektor instytucji rządowych</w:t>
            </w:r>
            <w:r w:rsidR="00835753" w:rsidRPr="00835753">
              <w:rPr>
                <w:rStyle w:val="InstructionsTabelleberschrift"/>
                <w:rFonts w:ascii="Times New Roman" w:hAnsi="Times New Roman"/>
                <w:b w:val="0"/>
                <w:sz w:val="24"/>
                <w:u w:val="none"/>
              </w:rPr>
              <w:t xml:space="preserve"> i</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sam</w:t>
            </w:r>
            <w:r w:rsidRPr="00835753">
              <w:rPr>
                <w:rStyle w:val="InstructionsTabelleberschrift"/>
                <w:rFonts w:ascii="Times New Roman" w:hAnsi="Times New Roman"/>
                <w:b w:val="0"/>
                <w:sz w:val="24"/>
                <w:u w:val="none"/>
              </w:rPr>
              <w:t>orządowych</w:t>
            </w:r>
          </w:p>
        </w:tc>
      </w:tr>
      <w:tr w:rsidR="00D312C4" w:rsidRPr="00835753" w14:paraId="6254BDE1" w14:textId="77777777" w:rsidTr="00155C96">
        <w:trPr>
          <w:trHeight w:val="316"/>
        </w:trPr>
        <w:tc>
          <w:tcPr>
            <w:tcW w:w="1384" w:type="dxa"/>
          </w:tcPr>
          <w:p w14:paraId="5441EA98"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080</w:t>
            </w:r>
          </w:p>
        </w:tc>
        <w:tc>
          <w:tcPr>
            <w:tcW w:w="7655" w:type="dxa"/>
          </w:tcPr>
          <w:p w14:paraId="7FD19B56" w14:textId="77777777" w:rsidR="00D312C4" w:rsidRPr="00835753" w:rsidRDefault="00D312C4" w:rsidP="00155C96">
            <w:pPr>
              <w:pStyle w:val="Teksttreci0"/>
              <w:shd w:val="clear" w:color="auto" w:fill="auto"/>
              <w:spacing w:after="120" w:line="240" w:lineRule="auto"/>
              <w:ind w:firstLine="0"/>
              <w:rPr>
                <w:sz w:val="24"/>
                <w:szCs w:val="24"/>
              </w:rPr>
            </w:pPr>
            <w:proofErr w:type="gramStart"/>
            <w:r w:rsidRPr="00835753">
              <w:rPr>
                <w:rStyle w:val="PogrubienieTeksttreciTimesNewRoman105ptOdstpy0pt"/>
                <w:rFonts w:eastAsia="Book Antiqua"/>
                <w:sz w:val="24"/>
                <w:szCs w:val="24"/>
              </w:rPr>
              <w:t>w</w:t>
            </w:r>
            <w:proofErr w:type="gramEnd"/>
            <w:r w:rsidRPr="00835753">
              <w:rPr>
                <w:rStyle w:val="PogrubienieTeksttreciTimesNewRoman105ptOdstpy0pt"/>
                <w:rFonts w:eastAsia="Book Antiqua"/>
                <w:sz w:val="24"/>
                <w:szCs w:val="24"/>
              </w:rPr>
              <w:t xml:space="preserve"> tym: wyemitowane przez instytucje finansowe</w:t>
            </w:r>
          </w:p>
          <w:p w14:paraId="27413572" w14:textId="0842BC25" w:rsidR="00D312C4" w:rsidRPr="00835753"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sidRPr="00835753">
              <w:rPr>
                <w:rStyle w:val="TeksttreciTimesNewRoman105ptOdstpy0pt"/>
                <w:rFonts w:eastAsiaTheme="minorEastAsia"/>
                <w:sz w:val="24"/>
              </w:rPr>
              <w:t xml:space="preserve">Średnie wartości </w:t>
            </w:r>
            <w:r w:rsidRPr="00835753">
              <w:rPr>
                <w:rStyle w:val="InstructionsTabelleberschrift"/>
                <w:rFonts w:ascii="Times New Roman" w:hAnsi="Times New Roman"/>
                <w:b w:val="0"/>
                <w:sz w:val="24"/>
                <w:u w:val="none"/>
              </w:rPr>
              <w:t>dłużnych papierów wartościowych posiadanych przez instytucję, wyemitowanych przez instytucje kredytowe zgodnie</w:t>
            </w:r>
            <w:r w:rsidR="00835753" w:rsidRPr="00835753">
              <w:rPr>
                <w:rStyle w:val="InstructionsTabelleberschrift"/>
                <w:rFonts w:ascii="Times New Roman" w:hAnsi="Times New Roman"/>
                <w:b w:val="0"/>
                <w:sz w:val="24"/>
                <w:u w:val="none"/>
              </w:rPr>
              <w:t xml:space="preserve"> z</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def</w:t>
            </w:r>
            <w:r w:rsidRPr="00835753">
              <w:rPr>
                <w:rStyle w:val="InstructionsTabelleberschrift"/>
                <w:rFonts w:ascii="Times New Roman" w:hAnsi="Times New Roman"/>
                <w:b w:val="0"/>
                <w:sz w:val="24"/>
                <w:u w:val="none"/>
              </w:rPr>
              <w:t>inicją zawartą</w:t>
            </w:r>
            <w:r w:rsidR="00835753" w:rsidRPr="00835753">
              <w:rPr>
                <w:rStyle w:val="InstructionsTabelleberschrift"/>
                <w:rFonts w:ascii="Times New Roman" w:hAnsi="Times New Roman"/>
                <w:b w:val="0"/>
                <w:sz w:val="24"/>
                <w:u w:val="none"/>
              </w:rPr>
              <w:t xml:space="preserve"> w</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art</w:t>
            </w:r>
            <w:r w:rsidRPr="00835753">
              <w:rPr>
                <w:rStyle w:val="InstructionsTabelleberschrift"/>
                <w:rFonts w:ascii="Times New Roman" w:hAnsi="Times New Roman"/>
                <w:b w:val="0"/>
                <w:sz w:val="24"/>
                <w:u w:val="none"/>
              </w:rPr>
              <w:t>.</w:t>
            </w:r>
            <w:r w:rsidR="00835753" w:rsidRPr="00835753">
              <w:rPr>
                <w:rStyle w:val="InstructionsTabelleberschrift"/>
                <w:rFonts w:ascii="Times New Roman" w:hAnsi="Times New Roman"/>
                <w:b w:val="0"/>
                <w:sz w:val="24"/>
                <w:u w:val="none"/>
              </w:rPr>
              <w:t> </w:t>
            </w:r>
            <w:r w:rsidRPr="00835753">
              <w:rPr>
                <w:rStyle w:val="InstructionsTabelleberschrift"/>
                <w:rFonts w:ascii="Times New Roman" w:hAnsi="Times New Roman"/>
                <w:b w:val="0"/>
                <w:sz w:val="24"/>
                <w:u w:val="none"/>
              </w:rPr>
              <w:t>4 ust.</w:t>
            </w:r>
            <w:r w:rsidR="00835753" w:rsidRPr="00835753">
              <w:rPr>
                <w:rStyle w:val="InstructionsTabelleberschrift"/>
                <w:rFonts w:ascii="Times New Roman" w:hAnsi="Times New Roman"/>
                <w:b w:val="0"/>
                <w:sz w:val="24"/>
                <w:u w:val="none"/>
              </w:rPr>
              <w:t> </w:t>
            </w:r>
            <w:r w:rsidRPr="00835753">
              <w:rPr>
                <w:rStyle w:val="InstructionsTabelleberschrift"/>
                <w:rFonts w:ascii="Times New Roman" w:hAnsi="Times New Roman"/>
                <w:b w:val="0"/>
                <w:sz w:val="24"/>
                <w:u w:val="none"/>
              </w:rPr>
              <w:t>1 pkt</w:t>
            </w:r>
            <w:r w:rsidR="00835753" w:rsidRPr="00835753">
              <w:rPr>
                <w:rStyle w:val="InstructionsTabelleberschrift"/>
                <w:rFonts w:ascii="Times New Roman" w:hAnsi="Times New Roman"/>
                <w:b w:val="0"/>
                <w:sz w:val="24"/>
                <w:u w:val="none"/>
              </w:rPr>
              <w:t> </w:t>
            </w:r>
            <w:r w:rsidRPr="00835753">
              <w:rPr>
                <w:rStyle w:val="InstructionsTabelleberschrift"/>
                <w:rFonts w:ascii="Times New Roman" w:hAnsi="Times New Roman"/>
                <w:b w:val="0"/>
                <w:sz w:val="24"/>
                <w:u w:val="none"/>
              </w:rPr>
              <w:t xml:space="preserve">1 CRR oraz przez inne przedsiębiorstwa finansowe </w:t>
            </w:r>
          </w:p>
          <w:p w14:paraId="0BAC0BFE" w14:textId="18740B2D" w:rsidR="00D312C4" w:rsidRPr="00835753" w:rsidRDefault="00D312C4" w:rsidP="00155C96">
            <w:pPr>
              <w:autoSpaceDE w:val="0"/>
              <w:autoSpaceDN w:val="0"/>
              <w:adjustRightInd w:val="0"/>
              <w:spacing w:after="120"/>
              <w:jc w:val="both"/>
              <w:rPr>
                <w:rFonts w:ascii="Times New Roman" w:hAnsi="Times New Roman" w:cs="Times New Roman"/>
                <w:b/>
                <w:sz w:val="24"/>
              </w:rPr>
            </w:pPr>
            <w:r w:rsidRPr="00835753">
              <w:rPr>
                <w:rStyle w:val="InstructionsTabelleberschrift"/>
                <w:rFonts w:ascii="Times New Roman" w:hAnsi="Times New Roman"/>
                <w:b w:val="0"/>
                <w:sz w:val="24"/>
                <w:u w:val="none"/>
              </w:rPr>
              <w:t>Do innych instytucji finansowych należą wszystkie instytucje finansowe</w:t>
            </w:r>
            <w:r w:rsidR="00835753" w:rsidRPr="00835753">
              <w:rPr>
                <w:rStyle w:val="InstructionsTabelleberschrift"/>
                <w:rFonts w:ascii="Times New Roman" w:hAnsi="Times New Roman"/>
                <w:b w:val="0"/>
                <w:sz w:val="24"/>
                <w:u w:val="none"/>
              </w:rPr>
              <w:t xml:space="preserve"> i</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jed</w:t>
            </w:r>
            <w:r w:rsidRPr="00835753">
              <w:rPr>
                <w:rStyle w:val="InstructionsTabelleberschrift"/>
                <w:rFonts w:ascii="Times New Roman" w:hAnsi="Times New Roman"/>
                <w:b w:val="0"/>
                <w:sz w:val="24"/>
                <w:u w:val="none"/>
              </w:rPr>
              <w:t>nostki typu przedsiębiorstwo inne niż instytucje kredytowe, takie jak firmy inwestycyjne, fundusze inwestycyjne, zakłady ubezpieczeń, fundusze emerytalne, przedsiębiorstwa zbiorowego inwestowania oraz izby rozliczeniowe, jak również pozostali pośrednicy finansowi, pomocnicze instytucje finansowe</w:t>
            </w:r>
            <w:r w:rsidR="00835753" w:rsidRPr="00835753">
              <w:rPr>
                <w:rStyle w:val="InstructionsTabelleberschrift"/>
                <w:rFonts w:ascii="Times New Roman" w:hAnsi="Times New Roman"/>
                <w:b w:val="0"/>
                <w:sz w:val="24"/>
                <w:u w:val="none"/>
              </w:rPr>
              <w:t xml:space="preserve"> i</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ins</w:t>
            </w:r>
            <w:r w:rsidRPr="00835753">
              <w:rPr>
                <w:rStyle w:val="InstructionsTabelleberschrift"/>
                <w:rFonts w:ascii="Times New Roman" w:hAnsi="Times New Roman"/>
                <w:b w:val="0"/>
                <w:sz w:val="24"/>
                <w:u w:val="none"/>
              </w:rPr>
              <w:t>tytucje finansowe typu „captive” oraz instytucje udzielające pożyczek.</w:t>
            </w:r>
          </w:p>
        </w:tc>
      </w:tr>
      <w:tr w:rsidR="00D312C4" w:rsidRPr="00835753" w14:paraId="0B0BDE77" w14:textId="77777777" w:rsidTr="00155C96">
        <w:trPr>
          <w:trHeight w:val="316"/>
        </w:trPr>
        <w:tc>
          <w:tcPr>
            <w:tcW w:w="1384" w:type="dxa"/>
          </w:tcPr>
          <w:p w14:paraId="680539D3"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090</w:t>
            </w:r>
          </w:p>
        </w:tc>
        <w:tc>
          <w:tcPr>
            <w:tcW w:w="7655" w:type="dxa"/>
          </w:tcPr>
          <w:p w14:paraId="2B8852BB" w14:textId="77777777" w:rsidR="00D312C4" w:rsidRPr="00835753" w:rsidRDefault="00D312C4" w:rsidP="00155C96">
            <w:pPr>
              <w:pStyle w:val="Teksttreci0"/>
              <w:shd w:val="clear" w:color="auto" w:fill="auto"/>
              <w:spacing w:after="120" w:line="240" w:lineRule="auto"/>
              <w:ind w:firstLine="0"/>
              <w:rPr>
                <w:sz w:val="24"/>
                <w:szCs w:val="24"/>
              </w:rPr>
            </w:pPr>
            <w:proofErr w:type="gramStart"/>
            <w:r w:rsidRPr="00835753">
              <w:rPr>
                <w:rStyle w:val="PogrubienieTeksttreciTimesNewRoman105ptOdstpy0pt"/>
                <w:rFonts w:eastAsia="Book Antiqua"/>
                <w:sz w:val="24"/>
                <w:szCs w:val="24"/>
              </w:rPr>
              <w:t>w</w:t>
            </w:r>
            <w:proofErr w:type="gramEnd"/>
            <w:r w:rsidRPr="00835753">
              <w:rPr>
                <w:rStyle w:val="PogrubienieTeksttreciTimesNewRoman105ptOdstpy0pt"/>
                <w:rFonts w:eastAsia="Book Antiqua"/>
                <w:sz w:val="24"/>
                <w:szCs w:val="24"/>
              </w:rPr>
              <w:t xml:space="preserve"> tym: wyemitowane przez przedsiębiorstwa niefinansowe</w:t>
            </w:r>
          </w:p>
          <w:p w14:paraId="27DAAC2C" w14:textId="7C412EF6" w:rsidR="00D312C4" w:rsidRPr="00835753" w:rsidRDefault="00D312C4" w:rsidP="00155C96">
            <w:pPr>
              <w:autoSpaceDE w:val="0"/>
              <w:autoSpaceDN w:val="0"/>
              <w:adjustRightInd w:val="0"/>
              <w:spacing w:after="120"/>
              <w:jc w:val="both"/>
              <w:rPr>
                <w:rFonts w:ascii="Times New Roman" w:hAnsi="Times New Roman"/>
                <w:sz w:val="24"/>
              </w:rPr>
            </w:pPr>
            <w:r w:rsidRPr="00835753">
              <w:rPr>
                <w:rStyle w:val="TeksttreciTimesNewRoman105ptOdstpy0pt"/>
                <w:rFonts w:eastAsiaTheme="minorEastAsia"/>
                <w:sz w:val="24"/>
              </w:rPr>
              <w:t xml:space="preserve">Średnie wartości </w:t>
            </w:r>
            <w:r w:rsidRPr="00835753">
              <w:rPr>
                <w:rStyle w:val="InstructionsTabelleberschrift"/>
                <w:rFonts w:ascii="Times New Roman" w:hAnsi="Times New Roman"/>
                <w:b w:val="0"/>
                <w:sz w:val="24"/>
                <w:u w:val="none"/>
              </w:rPr>
              <w:t>dłużnych papierów wartościowych posiadanych przez instytucję, emitowanych przez</w:t>
            </w:r>
            <w:r w:rsidRPr="00835753">
              <w:rPr>
                <w:rStyle w:val="InstructionsTabelleberschrift"/>
                <w:rFonts w:ascii="Times New Roman" w:hAnsi="Times New Roman"/>
                <w:sz w:val="24"/>
                <w:u w:val="none"/>
              </w:rPr>
              <w:t xml:space="preserve"> </w:t>
            </w:r>
            <w:r w:rsidRPr="00835753">
              <w:rPr>
                <w:rFonts w:ascii="Times New Roman" w:hAnsi="Times New Roman"/>
                <w:sz w:val="24"/>
              </w:rPr>
              <w:t>przedsiębiorstwa</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jed</w:t>
            </w:r>
            <w:r w:rsidRPr="00835753">
              <w:rPr>
                <w:rFonts w:ascii="Times New Roman" w:hAnsi="Times New Roman"/>
                <w:sz w:val="24"/>
              </w:rPr>
              <w:t>nostki typu przedsiębiorstwo niezaangażowane</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poś</w:t>
            </w:r>
            <w:r w:rsidRPr="00835753">
              <w:rPr>
                <w:rFonts w:ascii="Times New Roman" w:hAnsi="Times New Roman"/>
                <w:sz w:val="24"/>
              </w:rPr>
              <w:t>rednictwo finansowe, których podstawową działalnością jest produkcja wyrobów rynkowych</w:t>
            </w:r>
            <w:r w:rsidR="00835753" w:rsidRPr="00835753">
              <w:rPr>
                <w:rFonts w:ascii="Times New Roman" w:hAnsi="Times New Roman"/>
                <w:sz w:val="24"/>
              </w:rPr>
              <w:t xml:space="preserve"> i</w:t>
            </w:r>
            <w:r w:rsidR="00835753">
              <w:rPr>
                <w:rFonts w:ascii="Times New Roman" w:hAnsi="Times New Roman"/>
                <w:sz w:val="24"/>
              </w:rPr>
              <w:t> </w:t>
            </w:r>
            <w:r w:rsidR="00835753" w:rsidRPr="00835753">
              <w:rPr>
                <w:rFonts w:ascii="Times New Roman" w:hAnsi="Times New Roman"/>
                <w:sz w:val="24"/>
              </w:rPr>
              <w:t>usł</w:t>
            </w:r>
            <w:r w:rsidRPr="00835753">
              <w:rPr>
                <w:rFonts w:ascii="Times New Roman" w:hAnsi="Times New Roman"/>
                <w:sz w:val="24"/>
              </w:rPr>
              <w:t>ug niefinansowych zgodnie</w:t>
            </w:r>
            <w:r w:rsidR="00835753" w:rsidRPr="00835753">
              <w:rPr>
                <w:rFonts w:ascii="Times New Roman" w:hAnsi="Times New Roman"/>
                <w:sz w:val="24"/>
              </w:rPr>
              <w:t xml:space="preserve"> z</w:t>
            </w:r>
            <w:r w:rsidR="00835753">
              <w:rPr>
                <w:rFonts w:ascii="Times New Roman" w:hAnsi="Times New Roman"/>
                <w:sz w:val="24"/>
              </w:rPr>
              <w:t> </w:t>
            </w:r>
            <w:r w:rsidR="00835753" w:rsidRPr="00835753">
              <w:rPr>
                <w:rFonts w:ascii="Times New Roman" w:hAnsi="Times New Roman"/>
                <w:sz w:val="24"/>
              </w:rPr>
              <w:t>roz</w:t>
            </w:r>
            <w:r w:rsidRPr="00835753">
              <w:rPr>
                <w:rFonts w:ascii="Times New Roman" w:hAnsi="Times New Roman"/>
                <w:sz w:val="24"/>
              </w:rPr>
              <w:t>porządzeniem EBC</w:t>
            </w:r>
            <w:r w:rsidR="00835753" w:rsidRPr="00835753">
              <w:rPr>
                <w:rFonts w:ascii="Times New Roman" w:hAnsi="Times New Roman"/>
                <w:sz w:val="24"/>
              </w:rPr>
              <w:t xml:space="preserve"> w</w:t>
            </w:r>
            <w:r w:rsidR="00835753">
              <w:rPr>
                <w:rFonts w:ascii="Times New Roman" w:hAnsi="Times New Roman"/>
                <w:sz w:val="24"/>
              </w:rPr>
              <w:t> </w:t>
            </w:r>
            <w:r w:rsidR="00835753" w:rsidRPr="00835753">
              <w:rPr>
                <w:rFonts w:ascii="Times New Roman" w:hAnsi="Times New Roman"/>
                <w:sz w:val="24"/>
              </w:rPr>
              <w:t>spr</w:t>
            </w:r>
            <w:r w:rsidRPr="00835753">
              <w:rPr>
                <w:rFonts w:ascii="Times New Roman" w:hAnsi="Times New Roman"/>
                <w:sz w:val="24"/>
              </w:rPr>
              <w:t>awie pozycji bilansowych</w:t>
            </w:r>
          </w:p>
        </w:tc>
      </w:tr>
      <w:tr w:rsidR="00D312C4" w:rsidRPr="00835753" w14:paraId="0941537B" w14:textId="77777777" w:rsidTr="00155C96">
        <w:trPr>
          <w:trHeight w:val="316"/>
        </w:trPr>
        <w:tc>
          <w:tcPr>
            <w:tcW w:w="1384" w:type="dxa"/>
          </w:tcPr>
          <w:p w14:paraId="616243D6"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120</w:t>
            </w:r>
          </w:p>
        </w:tc>
        <w:tc>
          <w:tcPr>
            <w:tcW w:w="7655" w:type="dxa"/>
          </w:tcPr>
          <w:p w14:paraId="11D142F6" w14:textId="77777777"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Inne aktywa</w:t>
            </w:r>
          </w:p>
          <w:p w14:paraId="24027F28" w14:textId="18DC24F8" w:rsidR="00D312C4" w:rsidRPr="00835753" w:rsidRDefault="00D312C4" w:rsidP="00155C96">
            <w:pPr>
              <w:pStyle w:val="Teksttreci0"/>
              <w:shd w:val="clear" w:color="auto" w:fill="auto"/>
              <w:spacing w:after="120" w:line="240" w:lineRule="auto"/>
              <w:ind w:firstLine="0"/>
              <w:rPr>
                <w:rStyle w:val="TeksttreciTimesNewRoman105ptOdstpy0pt"/>
                <w:rFonts w:eastAsia="Calibri"/>
                <w:sz w:val="24"/>
              </w:rPr>
            </w:pPr>
            <w:r w:rsidRPr="00835753">
              <w:rPr>
                <w:rStyle w:val="TeksttreciTimesNewRoman105ptOdstpy0pt"/>
                <w:rFonts w:eastAsia="Book Antiqua"/>
                <w:sz w:val="24"/>
                <w:szCs w:val="24"/>
              </w:rPr>
              <w:t>Średnia wartość innych aktywów instytucji ujętych</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bil</w:t>
            </w:r>
            <w:r w:rsidRPr="00835753">
              <w:rPr>
                <w:rStyle w:val="TeksttreciTimesNewRoman105ptOdstpy0pt"/>
                <w:rFonts w:eastAsia="Book Antiqua"/>
                <w:sz w:val="24"/>
                <w:szCs w:val="24"/>
              </w:rPr>
              <w:t>ansie, innych niż aktywa ujawnione</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wie</w:t>
            </w:r>
            <w:r w:rsidRPr="00835753">
              <w:rPr>
                <w:rStyle w:val="TeksttreciTimesNewRoman105ptOdstpy0pt"/>
                <w:rFonts w:eastAsia="Book Antiqua"/>
                <w:sz w:val="24"/>
                <w:szCs w:val="24"/>
              </w:rPr>
              <w:t>rszach powyżej</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nie</w:t>
            </w:r>
            <w:r w:rsidRPr="00835753">
              <w:rPr>
                <w:rStyle w:val="TeksttreciTimesNewRoman105ptOdstpy0pt"/>
                <w:rFonts w:eastAsia="Book Antiqua"/>
                <w:sz w:val="24"/>
                <w:szCs w:val="24"/>
              </w:rPr>
              <w:t>będących własnymi dłużnymi papierami wartościowymi ani własnymi instrumentami kapitałowymi, których instytucja niestosująca MSSF nie może usunąć</w:t>
            </w:r>
            <w:r w:rsidR="00835753" w:rsidRPr="00835753">
              <w:rPr>
                <w:rStyle w:val="TeksttreciTimesNewRoman105ptOdstpy0pt"/>
                <w:rFonts w:eastAsia="Book Antiqua"/>
                <w:sz w:val="24"/>
                <w:szCs w:val="24"/>
              </w:rPr>
              <w:t xml:space="preserve"> z</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bil</w:t>
            </w:r>
            <w:r w:rsidRPr="00835753">
              <w:rPr>
                <w:rStyle w:val="TeksttreciTimesNewRoman105ptOdstpy0pt"/>
                <w:rFonts w:eastAsia="Book Antiqua"/>
                <w:sz w:val="24"/>
                <w:szCs w:val="24"/>
              </w:rPr>
              <w:t>ansu</w:t>
            </w:r>
          </w:p>
          <w:p w14:paraId="0ED4E652" w14:textId="50F3A9D7" w:rsidR="00D312C4" w:rsidRPr="00835753" w:rsidRDefault="00D312C4" w:rsidP="00155C96">
            <w:pPr>
              <w:pStyle w:val="Teksttreci0"/>
              <w:shd w:val="clear" w:color="auto" w:fill="auto"/>
              <w:spacing w:after="120" w:line="240" w:lineRule="auto"/>
              <w:ind w:firstLine="0"/>
              <w:rPr>
                <w:sz w:val="24"/>
                <w:szCs w:val="24"/>
              </w:rPr>
            </w:pPr>
            <w:r w:rsidRPr="00835753">
              <w:rPr>
                <w:rStyle w:val="TeksttreciTimesNewRoman105ptOdstpy0pt"/>
                <w:rFonts w:eastAsia="Book Antiqua"/>
                <w:sz w:val="24"/>
                <w:szCs w:val="24"/>
              </w:rPr>
              <w:t>W takim przypadku własne instrumenty dłużne wykazuje się</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wie</w:t>
            </w:r>
            <w:r w:rsidRPr="00835753">
              <w:rPr>
                <w:rStyle w:val="TeksttreciTimesNewRoman105ptOdstpy0pt"/>
                <w:rFonts w:eastAsia="Book Antiqua"/>
                <w:sz w:val="24"/>
                <w:szCs w:val="24"/>
              </w:rPr>
              <w:t>rszu 240 we wzorze EU AE2,</w:t>
            </w:r>
            <w:r w:rsidR="00835753" w:rsidRPr="00835753">
              <w:rPr>
                <w:rStyle w:val="TeksttreciTimesNewRoman105ptOdstpy0pt"/>
                <w:rFonts w:eastAsia="Book Antiqua"/>
                <w:sz w:val="24"/>
                <w:szCs w:val="24"/>
              </w:rPr>
              <w:t xml:space="preserve"> a</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wła</w:t>
            </w:r>
            <w:r w:rsidRPr="00835753">
              <w:rPr>
                <w:rStyle w:val="TeksttreciTimesNewRoman105ptOdstpy0pt"/>
                <w:rFonts w:eastAsia="Book Antiqua"/>
                <w:sz w:val="24"/>
                <w:szCs w:val="24"/>
              </w:rPr>
              <w:t>sne instrumenty kapitałowe są wyłączone</w:t>
            </w:r>
            <w:r w:rsidR="00835753" w:rsidRPr="00835753">
              <w:rPr>
                <w:rStyle w:val="TeksttreciTimesNewRoman105ptOdstpy0pt"/>
                <w:rFonts w:eastAsia="Book Antiqua"/>
                <w:sz w:val="24"/>
                <w:szCs w:val="24"/>
              </w:rPr>
              <w:t xml:space="preserve"> z</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uja</w:t>
            </w:r>
            <w:r w:rsidRPr="00835753">
              <w:rPr>
                <w:rStyle w:val="TeksttreciTimesNewRoman105ptOdstpy0pt"/>
                <w:rFonts w:eastAsia="Book Antiqua"/>
                <w:sz w:val="24"/>
                <w:szCs w:val="24"/>
              </w:rPr>
              <w:t>wniania obciążenia aktywów.</w:t>
            </w:r>
          </w:p>
          <w:p w14:paraId="18948187" w14:textId="39DFE7FA" w:rsidR="00D312C4" w:rsidRPr="00835753" w:rsidRDefault="00D312C4" w:rsidP="00155C96">
            <w:pPr>
              <w:pStyle w:val="Teksttreci0"/>
              <w:shd w:val="clear" w:color="auto" w:fill="auto"/>
              <w:spacing w:after="120" w:line="240" w:lineRule="auto"/>
              <w:ind w:firstLine="0"/>
              <w:rPr>
                <w:rFonts w:ascii="Times New Roman" w:hAnsi="Times New Roman" w:cs="Times New Roman"/>
                <w:bCs/>
                <w:sz w:val="24"/>
                <w:szCs w:val="24"/>
              </w:rPr>
            </w:pPr>
            <w:r w:rsidRPr="00835753">
              <w:rPr>
                <w:rStyle w:val="TeksttreciTimesNewRoman105ptOdstpy0pt"/>
                <w:rFonts w:eastAsia="Book Antiqua"/>
                <w:sz w:val="24"/>
                <w:szCs w:val="24"/>
              </w:rPr>
              <w:t>Inne aktywa obejmują gotówkę</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kas</w:t>
            </w:r>
            <w:r w:rsidRPr="00835753">
              <w:rPr>
                <w:rStyle w:val="TeksttreciTimesNewRoman105ptOdstpy0pt"/>
                <w:rFonts w:eastAsia="Book Antiqua"/>
                <w:sz w:val="24"/>
                <w:szCs w:val="24"/>
              </w:rPr>
              <w:t>ie (krajowe</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zag</w:t>
            </w:r>
            <w:r w:rsidRPr="00835753">
              <w:rPr>
                <w:rStyle w:val="TeksttreciTimesNewRoman105ptOdstpy0pt"/>
                <w:rFonts w:eastAsia="Book Antiqua"/>
                <w:sz w:val="24"/>
                <w:szCs w:val="24"/>
              </w:rPr>
              <w:t>raniczne banknoty</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mon</w:t>
            </w:r>
            <w:r w:rsidRPr="00835753">
              <w:rPr>
                <w:rStyle w:val="TeksttreciTimesNewRoman105ptOdstpy0pt"/>
                <w:rFonts w:eastAsia="Book Antiqua"/>
                <w:sz w:val="24"/>
                <w:szCs w:val="24"/>
              </w:rPr>
              <w:t>ety</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obi</w:t>
            </w:r>
            <w:r w:rsidRPr="00835753">
              <w:rPr>
                <w:rStyle w:val="TeksttreciTimesNewRoman105ptOdstpy0pt"/>
                <w:rFonts w:eastAsia="Book Antiqua"/>
                <w:sz w:val="24"/>
                <w:szCs w:val="24"/>
              </w:rPr>
              <w:t>egu, które są powszechnie wykorzystywane do dokonywania płatności), kredyty na żądanie (MSR 1 pkt</w:t>
            </w:r>
            <w:r w:rsidR="00835753" w:rsidRPr="00835753">
              <w:rPr>
                <w:rStyle w:val="TeksttreciTimesNewRoman105ptOdstpy0pt"/>
                <w:rFonts w:eastAsia="Book Antiqua"/>
                <w:sz w:val="24"/>
                <w:szCs w:val="24"/>
              </w:rPr>
              <w:t> </w:t>
            </w:r>
            <w:r w:rsidRPr="00835753">
              <w:rPr>
                <w:rStyle w:val="TeksttreciTimesNewRoman105ptOdstpy0pt"/>
                <w:rFonts w:eastAsia="Book Antiqua"/>
                <w:sz w:val="24"/>
                <w:szCs w:val="24"/>
              </w:rPr>
              <w:t>54 lit.</w:t>
            </w:r>
            <w:r w:rsidR="00835753" w:rsidRPr="00835753">
              <w:rPr>
                <w:rStyle w:val="TeksttreciTimesNewRoman105ptOdstpy0pt"/>
                <w:rFonts w:eastAsia="Book Antiqua"/>
                <w:sz w:val="24"/>
                <w:szCs w:val="24"/>
              </w:rPr>
              <w:t> </w:t>
            </w:r>
            <w:r w:rsidRPr="00835753">
              <w:rPr>
                <w:rStyle w:val="TeksttreciTimesNewRoman105ptOdstpy0pt"/>
                <w:rFonts w:eastAsia="Book Antiqua"/>
                <w:sz w:val="24"/>
                <w:szCs w:val="24"/>
              </w:rPr>
              <w:t>i)</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prz</w:t>
            </w:r>
            <w:r w:rsidRPr="00835753">
              <w:rPr>
                <w:rStyle w:val="TeksttreciTimesNewRoman105ptOdstpy0pt"/>
                <w:rFonts w:eastAsia="Book Antiqua"/>
                <w:sz w:val="24"/>
                <w:szCs w:val="24"/>
              </w:rPr>
              <w:t>ypadku instytucji stosujących MSSF),</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tym</w:t>
            </w:r>
            <w:r w:rsidRPr="00835753">
              <w:rPr>
                <w:rStyle w:val="TeksttreciTimesNewRoman105ptOdstpy0pt"/>
                <w:rFonts w:eastAsia="Book Antiqua"/>
                <w:sz w:val="24"/>
                <w:szCs w:val="24"/>
              </w:rPr>
              <w:t xml:space="preserve"> należności na żądanie</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ban</w:t>
            </w:r>
            <w:r w:rsidRPr="00835753">
              <w:rPr>
                <w:rStyle w:val="TeksttreciTimesNewRoman105ptOdstpy0pt"/>
                <w:rFonts w:eastAsia="Book Antiqua"/>
                <w:sz w:val="24"/>
                <w:szCs w:val="24"/>
              </w:rPr>
              <w:t>kach centralnych</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inn</w:t>
            </w:r>
            <w:r w:rsidRPr="00835753">
              <w:rPr>
                <w:rStyle w:val="TeksttreciTimesNewRoman105ptOdstpy0pt"/>
                <w:rFonts w:eastAsia="Book Antiqua"/>
                <w:sz w:val="24"/>
                <w:szCs w:val="24"/>
              </w:rPr>
              <w:t>ych instytucjach. Inne aktywa obejmują również kredyty</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zal</w:t>
            </w:r>
            <w:r w:rsidRPr="00835753">
              <w:rPr>
                <w:rStyle w:val="TeksttreciTimesNewRoman105ptOdstpy0pt"/>
                <w:rFonts w:eastAsia="Book Antiqua"/>
                <w:sz w:val="24"/>
                <w:szCs w:val="24"/>
              </w:rPr>
              <w:t>iczki inne niż kredyty na żądanie, to jest instrumenty dłużne posiadane przez instytucje, które nie są papierami wartościowymi, inne niż salda płatne na żądanie,</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tym</w:t>
            </w:r>
            <w:r w:rsidRPr="00835753">
              <w:rPr>
                <w:rStyle w:val="TeksttreciTimesNewRoman105ptOdstpy0pt"/>
                <w:rFonts w:eastAsia="Book Antiqua"/>
                <w:sz w:val="24"/>
                <w:szCs w:val="24"/>
              </w:rPr>
              <w:t xml:space="preserve"> kredyty zabezpieczone nieruchomościami zdefiniowane</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czę</w:t>
            </w:r>
            <w:r w:rsidRPr="00835753">
              <w:rPr>
                <w:rStyle w:val="TeksttreciTimesNewRoman105ptOdstpy0pt"/>
                <w:rFonts w:eastAsia="Book Antiqua"/>
                <w:sz w:val="24"/>
                <w:szCs w:val="24"/>
              </w:rPr>
              <w:t>ści 2 pkt</w:t>
            </w:r>
            <w:r w:rsidR="00835753" w:rsidRPr="00835753">
              <w:rPr>
                <w:rStyle w:val="TeksttreciTimesNewRoman105ptOdstpy0pt"/>
                <w:rFonts w:eastAsia="Book Antiqua"/>
                <w:sz w:val="24"/>
                <w:szCs w:val="24"/>
              </w:rPr>
              <w:t> </w:t>
            </w:r>
            <w:r w:rsidRPr="00835753">
              <w:rPr>
                <w:rStyle w:val="TeksttreciTimesNewRoman105ptOdstpy0pt"/>
                <w:rFonts w:eastAsia="Book Antiqua"/>
                <w:sz w:val="24"/>
                <w:szCs w:val="24"/>
              </w:rPr>
              <w:t>86 lit.</w:t>
            </w:r>
            <w:r w:rsidR="00835753" w:rsidRPr="00835753">
              <w:rPr>
                <w:rStyle w:val="TeksttreciTimesNewRoman105ptOdstpy0pt"/>
                <w:rFonts w:eastAsia="Book Antiqua"/>
                <w:sz w:val="24"/>
                <w:szCs w:val="24"/>
              </w:rPr>
              <w:t> </w:t>
            </w:r>
            <w:r w:rsidRPr="00835753">
              <w:rPr>
                <w:rStyle w:val="TeksttreciTimesNewRoman105ptOdstpy0pt"/>
                <w:rFonts w:eastAsia="Book Antiqua"/>
                <w:sz w:val="24"/>
                <w:szCs w:val="24"/>
              </w:rPr>
              <w:t xml:space="preserve">a) </w:t>
            </w:r>
            <w:r w:rsidRPr="00835753">
              <w:rPr>
                <w:rStyle w:val="InstructionsTabelleberschrift"/>
                <w:rFonts w:ascii="Times New Roman" w:hAnsi="Times New Roman"/>
                <w:b w:val="0"/>
                <w:sz w:val="24"/>
                <w:u w:val="none"/>
              </w:rPr>
              <w:t xml:space="preserve">załącznika V </w:t>
            </w:r>
            <w:r w:rsidRPr="00835753">
              <w:rPr>
                <w:rStyle w:val="TeksttreciTimesNewRoman105ptOdstpy0pt"/>
                <w:rFonts w:eastAsia="Book Antiqua"/>
                <w:sz w:val="24"/>
                <w:szCs w:val="24"/>
              </w:rPr>
              <w:t>do</w:t>
            </w:r>
            <w:r w:rsidRPr="00835753">
              <w:rPr>
                <w:rStyle w:val="TeksttreciTimesNewRoman105ptOdstpy0pt"/>
                <w:rFonts w:eastAsia="Book Antiqua"/>
                <w:b/>
                <w:sz w:val="24"/>
                <w:szCs w:val="24"/>
              </w:rPr>
              <w:t xml:space="preserve"> </w:t>
            </w:r>
            <w:r w:rsidRPr="00835753">
              <w:rPr>
                <w:rStyle w:val="TeksttreciTimesNewRoman105ptOdstpy0pt"/>
                <w:rFonts w:eastAsia="Book Antiqua"/>
                <w:sz w:val="24"/>
                <w:szCs w:val="24"/>
              </w:rPr>
              <w:lastRenderedPageBreak/>
              <w:t>rozporządzenia wykonawczego Komisji (UE) nr</w:t>
            </w:r>
            <w:r w:rsidR="00835753" w:rsidRPr="00835753">
              <w:rPr>
                <w:rStyle w:val="TeksttreciTimesNewRoman105ptOdstpy0pt"/>
                <w:rFonts w:eastAsia="Book Antiqua"/>
                <w:sz w:val="24"/>
                <w:szCs w:val="24"/>
              </w:rPr>
              <w:t> </w:t>
            </w:r>
            <w:r w:rsidRPr="00835753">
              <w:rPr>
                <w:rStyle w:val="TeksttreciTimesNewRoman105ptOdstpy0pt"/>
                <w:rFonts w:eastAsia="Book Antiqua"/>
                <w:sz w:val="24"/>
                <w:szCs w:val="24"/>
              </w:rPr>
              <w:t>680/2014. Inne aktywa mogą obejmować także wartości niematerialne</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pra</w:t>
            </w:r>
            <w:r w:rsidRPr="00835753">
              <w:rPr>
                <w:rStyle w:val="TeksttreciTimesNewRoman105ptOdstpy0pt"/>
                <w:rFonts w:eastAsia="Book Antiqua"/>
                <w:sz w:val="24"/>
                <w:szCs w:val="24"/>
              </w:rPr>
              <w:t>wne,</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tym</w:t>
            </w:r>
            <w:r w:rsidRPr="00835753">
              <w:rPr>
                <w:rStyle w:val="TeksttreciTimesNewRoman105ptOdstpy0pt"/>
                <w:rFonts w:eastAsia="Book Antiqua"/>
                <w:sz w:val="24"/>
                <w:szCs w:val="24"/>
              </w:rPr>
              <w:t xml:space="preserve"> wartość firmy, aktywa</w:t>
            </w:r>
            <w:r w:rsidR="00835753" w:rsidRPr="00835753">
              <w:rPr>
                <w:rStyle w:val="TeksttreciTimesNewRoman105ptOdstpy0pt"/>
                <w:rFonts w:eastAsia="Book Antiqua"/>
                <w:sz w:val="24"/>
                <w:szCs w:val="24"/>
              </w:rPr>
              <w:t xml:space="preserve"> z</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tyt</w:t>
            </w:r>
            <w:r w:rsidRPr="00835753">
              <w:rPr>
                <w:rStyle w:val="TeksttreciTimesNewRoman105ptOdstpy0pt"/>
                <w:rFonts w:eastAsia="Book Antiqua"/>
                <w:sz w:val="24"/>
                <w:szCs w:val="24"/>
              </w:rPr>
              <w:t>ułu odroczonego podatku dochodowego, rzeczowe aktywa trwałe</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inn</w:t>
            </w:r>
            <w:r w:rsidRPr="00835753">
              <w:rPr>
                <w:rStyle w:val="TeksttreciTimesNewRoman105ptOdstpy0pt"/>
                <w:rFonts w:eastAsia="Book Antiqua"/>
                <w:sz w:val="24"/>
                <w:szCs w:val="24"/>
              </w:rPr>
              <w:t>e środki trwałe, instrumenty pochodne będące aktywami, transakcje</w:t>
            </w:r>
            <w:r w:rsidR="00835753" w:rsidRPr="00835753">
              <w:rPr>
                <w:rStyle w:val="TeksttreciTimesNewRoman105ptOdstpy0pt"/>
                <w:rFonts w:eastAsia="Book Antiqua"/>
                <w:sz w:val="24"/>
                <w:szCs w:val="24"/>
              </w:rPr>
              <w:t xml:space="preserve"> z</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otr</w:t>
            </w:r>
            <w:r w:rsidRPr="00835753">
              <w:rPr>
                <w:rStyle w:val="TeksttreciTimesNewRoman105ptOdstpy0pt"/>
                <w:rFonts w:eastAsia="Book Antiqua"/>
                <w:sz w:val="24"/>
                <w:szCs w:val="24"/>
              </w:rPr>
              <w:t>zymanym przyrzeczeniem odkupu</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nal</w:t>
            </w:r>
            <w:r w:rsidRPr="00835753">
              <w:rPr>
                <w:rStyle w:val="TeksttreciTimesNewRoman105ptOdstpy0pt"/>
                <w:rFonts w:eastAsia="Book Antiqua"/>
                <w:sz w:val="24"/>
                <w:szCs w:val="24"/>
              </w:rPr>
              <w:t>eżności</w:t>
            </w:r>
            <w:r w:rsidR="00835753" w:rsidRPr="00835753">
              <w:rPr>
                <w:rStyle w:val="TeksttreciTimesNewRoman105ptOdstpy0pt"/>
                <w:rFonts w:eastAsia="Book Antiqua"/>
                <w:sz w:val="24"/>
                <w:szCs w:val="24"/>
              </w:rPr>
              <w:t xml:space="preserve"> z</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tyt</w:t>
            </w:r>
            <w:r w:rsidRPr="00835753">
              <w:rPr>
                <w:rStyle w:val="TeksttreciTimesNewRoman105ptOdstpy0pt"/>
                <w:rFonts w:eastAsia="Book Antiqua"/>
                <w:sz w:val="24"/>
                <w:szCs w:val="24"/>
              </w:rPr>
              <w:t>ułu pożyczania papierów wartościowych.</w:t>
            </w:r>
          </w:p>
          <w:p w14:paraId="1439D231" w14:textId="1ACAF3FF" w:rsidR="00D312C4" w:rsidRPr="00835753" w:rsidRDefault="00D312C4" w:rsidP="00155C96">
            <w:pPr>
              <w:autoSpaceDE w:val="0"/>
              <w:autoSpaceDN w:val="0"/>
              <w:adjustRightInd w:val="0"/>
              <w:spacing w:after="120"/>
              <w:jc w:val="both"/>
              <w:rPr>
                <w:rFonts w:ascii="Times New Roman" w:hAnsi="Times New Roman" w:cs="Times New Roman"/>
                <w:b/>
                <w:sz w:val="24"/>
              </w:rPr>
            </w:pPr>
            <w:r w:rsidRPr="00835753">
              <w:rPr>
                <w:rStyle w:val="TeksttreciTimesNewRoman105ptOdstpy0pt"/>
                <w:rFonts w:eastAsiaTheme="minorEastAsia"/>
                <w:sz w:val="24"/>
              </w:rPr>
              <w:t>W przypadku gdy aktywa bazowe</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akt</w:t>
            </w:r>
            <w:r w:rsidRPr="00835753">
              <w:rPr>
                <w:rStyle w:val="TeksttreciTimesNewRoman105ptOdstpy0pt"/>
                <w:rFonts w:eastAsiaTheme="minorEastAsia"/>
                <w:sz w:val="24"/>
              </w:rPr>
              <w:t>ywa</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pul</w:t>
            </w:r>
            <w:r w:rsidRPr="00835753">
              <w:rPr>
                <w:rStyle w:val="TeksttreciTimesNewRoman105ptOdstpy0pt"/>
                <w:rFonts w:eastAsiaTheme="minorEastAsia"/>
                <w:sz w:val="24"/>
              </w:rPr>
              <w:t>i aktywów stanowiących zabezpieczenie zatrzymanych sekurytyzacji</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zat</w:t>
            </w:r>
            <w:r w:rsidRPr="00835753">
              <w:rPr>
                <w:rStyle w:val="TeksttreciTimesNewRoman105ptOdstpy0pt"/>
                <w:rFonts w:eastAsiaTheme="minorEastAsia"/>
                <w:sz w:val="24"/>
              </w:rPr>
              <w:t>rzymanych obligacji zabezpieczonych są kredytami na żądanie lub kredytami</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zal</w:t>
            </w:r>
            <w:r w:rsidRPr="00835753">
              <w:rPr>
                <w:rStyle w:val="TeksttreciTimesNewRoman105ptOdstpy0pt"/>
                <w:rFonts w:eastAsiaTheme="minorEastAsia"/>
                <w:sz w:val="24"/>
              </w:rPr>
              <w:t>iczkami innymi niż kredyty na żądanie, należy je również wykazać</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tym</w:t>
            </w:r>
            <w:r w:rsidRPr="00835753">
              <w:rPr>
                <w:rStyle w:val="TeksttreciTimesNewRoman105ptOdstpy0pt"/>
                <w:rFonts w:eastAsiaTheme="minorEastAsia"/>
                <w:sz w:val="24"/>
              </w:rPr>
              <w:t xml:space="preserve"> wierszu.</w:t>
            </w:r>
          </w:p>
        </w:tc>
      </w:tr>
    </w:tbl>
    <w:p w14:paraId="2A2C5992" w14:textId="77777777" w:rsidR="00D312C4" w:rsidRPr="00835753"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835753" w14:paraId="5D70D91E" w14:textId="77777777" w:rsidTr="00155C96">
        <w:trPr>
          <w:trHeight w:val="238"/>
        </w:trPr>
        <w:tc>
          <w:tcPr>
            <w:tcW w:w="9039" w:type="dxa"/>
            <w:gridSpan w:val="2"/>
            <w:shd w:val="clear" w:color="auto" w:fill="D9D9D9" w:themeFill="background1" w:themeFillShade="D9"/>
          </w:tcPr>
          <w:p w14:paraId="0274FF40" w14:textId="50313661" w:rsidR="00D312C4" w:rsidRPr="00835753" w:rsidRDefault="00D312C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D312C4" w:rsidRPr="00835753" w14:paraId="03E180C6" w14:textId="77777777" w:rsidTr="00155C96">
        <w:trPr>
          <w:trHeight w:val="238"/>
        </w:trPr>
        <w:tc>
          <w:tcPr>
            <w:tcW w:w="1384" w:type="dxa"/>
            <w:shd w:val="clear" w:color="auto" w:fill="D9D9D9" w:themeFill="background1" w:themeFillShade="D9"/>
          </w:tcPr>
          <w:p w14:paraId="4D464DCF" w14:textId="77777777" w:rsidR="00D312C4" w:rsidRPr="00835753" w:rsidRDefault="00D312C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1D23DCFC" w14:textId="77777777" w:rsidR="00D312C4" w:rsidRPr="00835753" w:rsidRDefault="00D312C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Wyjaśnienie</w:t>
            </w:r>
          </w:p>
        </w:tc>
      </w:tr>
      <w:tr w:rsidR="00D312C4" w:rsidRPr="00835753" w14:paraId="4D2F488F" w14:textId="77777777" w:rsidTr="00155C96">
        <w:trPr>
          <w:trHeight w:val="841"/>
        </w:trPr>
        <w:tc>
          <w:tcPr>
            <w:tcW w:w="1384" w:type="dxa"/>
          </w:tcPr>
          <w:p w14:paraId="7D15DB81" w14:textId="77777777" w:rsidR="00D312C4" w:rsidRPr="00835753" w:rsidRDefault="00D312C4" w:rsidP="00155C96">
            <w:pPr>
              <w:pStyle w:val="Applicationdirecte"/>
              <w:spacing w:before="0"/>
            </w:pPr>
            <w:r w:rsidRPr="00835753">
              <w:t>010</w:t>
            </w:r>
          </w:p>
        </w:tc>
        <w:tc>
          <w:tcPr>
            <w:tcW w:w="7655" w:type="dxa"/>
          </w:tcPr>
          <w:p w14:paraId="4A92F12D" w14:textId="77777777"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Wartość bilansowa aktywów obciążonych</w:t>
            </w:r>
          </w:p>
          <w:p w14:paraId="023B3B5F" w14:textId="77777777" w:rsidR="00D312C4" w:rsidRPr="00835753" w:rsidRDefault="00D312C4" w:rsidP="00155C96">
            <w:pPr>
              <w:pStyle w:val="Fait"/>
              <w:spacing w:before="0" w:after="120"/>
              <w:rPr>
                <w:rStyle w:val="TeksttreciTimesNewRoman105ptOdstpy0pt"/>
                <w:rFonts w:eastAsia="Calibri"/>
              </w:rPr>
            </w:pPr>
            <w:r w:rsidRPr="00835753">
              <w:rPr>
                <w:rStyle w:val="TeksttreciTimesNewRoman105ptOdstpy0pt"/>
              </w:rPr>
              <w:t xml:space="preserve">Średnia wartość wartości bilansowej aktywów obciążonych posiadanych przez instytucję </w:t>
            </w:r>
          </w:p>
          <w:p w14:paraId="35614DD4" w14:textId="516F0CAF" w:rsidR="00D312C4" w:rsidRPr="00835753" w:rsidRDefault="00D312C4" w:rsidP="00155C96">
            <w:pPr>
              <w:pStyle w:val="Fait"/>
              <w:spacing w:before="0" w:after="120"/>
              <w:rPr>
                <w:rStyle w:val="TeksttreciTimesNewRoman105ptOdstpy0pt"/>
                <w:rFonts w:eastAsia="Calibri"/>
              </w:rPr>
            </w:pPr>
            <w:r w:rsidRPr="00835753">
              <w:rPr>
                <w:rStyle w:val="TeksttreciTimesNewRoman105ptOdstpy0pt"/>
              </w:rPr>
              <w:t>Wartość bilansowa oznacza kwotę</w:t>
            </w:r>
            <w:r w:rsidR="00835753" w:rsidRPr="00835753">
              <w:rPr>
                <w:rStyle w:val="TeksttreciTimesNewRoman105ptOdstpy0pt"/>
              </w:rPr>
              <w:t xml:space="preserve"> w</w:t>
            </w:r>
            <w:r w:rsidR="00835753">
              <w:rPr>
                <w:rStyle w:val="TeksttreciTimesNewRoman105ptOdstpy0pt"/>
              </w:rPr>
              <w:t> </w:t>
            </w:r>
            <w:r w:rsidR="00835753" w:rsidRPr="00835753">
              <w:rPr>
                <w:rStyle w:val="TeksttreciTimesNewRoman105ptOdstpy0pt"/>
              </w:rPr>
              <w:t>bil</w:t>
            </w:r>
            <w:r w:rsidRPr="00835753">
              <w:rPr>
                <w:rStyle w:val="TeksttreciTimesNewRoman105ptOdstpy0pt"/>
              </w:rPr>
              <w:t>ansie po stronie aktywów.</w:t>
            </w:r>
          </w:p>
          <w:p w14:paraId="70F39F33" w14:textId="51D0B4AD" w:rsidR="00D312C4" w:rsidRPr="00835753" w:rsidRDefault="00D312C4" w:rsidP="00155C96">
            <w:pPr>
              <w:pStyle w:val="Fait"/>
              <w:spacing w:before="0" w:after="120"/>
            </w:pPr>
            <w:r w:rsidRPr="00835753">
              <w:rPr>
                <w:rStyle w:val="TeksttreciTimesNewRoman105ptOdstpy0pt"/>
              </w:rPr>
              <w:t>W przypadku każdej</w:t>
            </w:r>
            <w:r w:rsidR="00835753" w:rsidRPr="00835753">
              <w:rPr>
                <w:rStyle w:val="TeksttreciTimesNewRoman105ptOdstpy0pt"/>
              </w:rPr>
              <w:t xml:space="preserve"> z</w:t>
            </w:r>
            <w:r w:rsidR="00835753">
              <w:rPr>
                <w:rStyle w:val="TeksttreciTimesNewRoman105ptOdstpy0pt"/>
              </w:rPr>
              <w:t> </w:t>
            </w:r>
            <w:r w:rsidR="00835753" w:rsidRPr="00835753">
              <w:rPr>
                <w:rStyle w:val="TeksttreciTimesNewRoman105ptOdstpy0pt"/>
              </w:rPr>
              <w:t>kla</w:t>
            </w:r>
            <w:r w:rsidRPr="00835753">
              <w:rPr>
                <w:rStyle w:val="TeksttreciTimesNewRoman105ptOdstpy0pt"/>
              </w:rPr>
              <w:t>s aktywów ujawniona wartość bilansowa jest średnią wartością poszczególnych ujawnionych wartości bilansowych na koniec każdego okresu, za który informacje podlegają ujawnieniu, uwzględnianego</w:t>
            </w:r>
            <w:r w:rsidR="00835753" w:rsidRPr="00835753">
              <w:rPr>
                <w:rStyle w:val="TeksttreciTimesNewRoman105ptOdstpy0pt"/>
              </w:rPr>
              <w:t xml:space="preserve"> w</w:t>
            </w:r>
            <w:r w:rsidR="00835753">
              <w:rPr>
                <w:rStyle w:val="TeksttreciTimesNewRoman105ptOdstpy0pt"/>
              </w:rPr>
              <w:t> </w:t>
            </w:r>
            <w:r w:rsidR="00835753" w:rsidRPr="00835753">
              <w:rPr>
                <w:rStyle w:val="TeksttreciTimesNewRoman105ptOdstpy0pt"/>
              </w:rPr>
              <w:t>wyl</w:t>
            </w:r>
            <w:r w:rsidRPr="00835753">
              <w:rPr>
                <w:rStyle w:val="TeksttreciTimesNewRoman105ptOdstpy0pt"/>
              </w:rPr>
              <w:t>iczaniu średniej wartości.</w:t>
            </w:r>
          </w:p>
        </w:tc>
      </w:tr>
      <w:tr w:rsidR="00D312C4" w:rsidRPr="00835753" w14:paraId="68911C28" w14:textId="77777777" w:rsidTr="00155C96">
        <w:trPr>
          <w:trHeight w:val="841"/>
        </w:trPr>
        <w:tc>
          <w:tcPr>
            <w:tcW w:w="1384" w:type="dxa"/>
          </w:tcPr>
          <w:p w14:paraId="29FF787B" w14:textId="77777777" w:rsidR="00D312C4" w:rsidRPr="00835753" w:rsidRDefault="00D312C4" w:rsidP="00155C96">
            <w:pPr>
              <w:pStyle w:val="Applicationdirecte"/>
              <w:spacing w:before="0"/>
            </w:pPr>
            <w:r w:rsidRPr="00835753">
              <w:t>030</w:t>
            </w:r>
          </w:p>
        </w:tc>
        <w:tc>
          <w:tcPr>
            <w:tcW w:w="7655" w:type="dxa"/>
          </w:tcPr>
          <w:p w14:paraId="48BDDB0D" w14:textId="77777777" w:rsidR="00D312C4" w:rsidRPr="00835753" w:rsidRDefault="00D312C4" w:rsidP="00155C96">
            <w:pPr>
              <w:pStyle w:val="Teksttreci0"/>
              <w:shd w:val="clear" w:color="auto" w:fill="auto"/>
              <w:spacing w:after="120" w:line="240" w:lineRule="auto"/>
              <w:ind w:firstLine="0"/>
              <w:rPr>
                <w:sz w:val="24"/>
                <w:szCs w:val="24"/>
              </w:rPr>
            </w:pPr>
            <w:proofErr w:type="gramStart"/>
            <w:r w:rsidRPr="00835753">
              <w:rPr>
                <w:rStyle w:val="PogrubienieTeksttreciTimesNewRoman105ptOdstpy0pt"/>
                <w:rFonts w:eastAsia="Book Antiqua"/>
                <w:sz w:val="24"/>
                <w:szCs w:val="24"/>
              </w:rPr>
              <w:t>w</w:t>
            </w:r>
            <w:proofErr w:type="gramEnd"/>
            <w:r w:rsidRPr="00835753">
              <w:rPr>
                <w:rStyle w:val="PogrubienieTeksttreciTimesNewRoman105ptOdstpy0pt"/>
                <w:rFonts w:eastAsia="Book Antiqua"/>
                <w:sz w:val="24"/>
                <w:szCs w:val="24"/>
              </w:rPr>
              <w:t xml:space="preserve"> tym: hipotetycznie kwalifikujące się EHQLA i HQLA</w:t>
            </w:r>
          </w:p>
          <w:p w14:paraId="36896FCB" w14:textId="2F5C5F45" w:rsidR="00D312C4" w:rsidRPr="00835753" w:rsidRDefault="00D312C4" w:rsidP="00155C96">
            <w:pPr>
              <w:autoSpaceDE w:val="0"/>
              <w:autoSpaceDN w:val="0"/>
              <w:adjustRightInd w:val="0"/>
              <w:spacing w:after="120"/>
              <w:jc w:val="both"/>
              <w:rPr>
                <w:rStyle w:val="TeksttreciTimesNewRoman105ptOdstpy0pt"/>
                <w:rFonts w:eastAsia="Calibri"/>
                <w:sz w:val="24"/>
              </w:rPr>
            </w:pPr>
            <w:r w:rsidRPr="00835753">
              <w:rPr>
                <w:rStyle w:val="TeksttreciTimesNewRoman105ptOdstpy0pt"/>
                <w:rFonts w:eastAsiaTheme="minorEastAsia"/>
                <w:sz w:val="24"/>
              </w:rPr>
              <w:t>Średnia wartość wartości bilansowej aktywów obciążonych, które hipotetycznie kwalifikują się jako aktywa charakteryzujące się wyjątkowo wysoką płynnością</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jak</w:t>
            </w:r>
            <w:r w:rsidRPr="00835753">
              <w:rPr>
                <w:rStyle w:val="TeksttreciTimesNewRoman105ptOdstpy0pt"/>
                <w:rFonts w:eastAsiaTheme="minorEastAsia"/>
                <w:sz w:val="24"/>
              </w:rPr>
              <w:t>ością kredytową (EHQLA) oraz jako aktywa charakteryzujące się wysoką płynnością</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jak</w:t>
            </w:r>
            <w:r w:rsidRPr="00835753">
              <w:rPr>
                <w:rStyle w:val="TeksttreciTimesNewRoman105ptOdstpy0pt"/>
                <w:rFonts w:eastAsiaTheme="minorEastAsia"/>
                <w:sz w:val="24"/>
              </w:rPr>
              <w:t>ością kredytową (HQLA)</w:t>
            </w:r>
          </w:p>
          <w:p w14:paraId="51929211" w14:textId="7B921E45" w:rsidR="00D312C4" w:rsidRPr="00835753" w:rsidRDefault="00D312C4" w:rsidP="00155C96">
            <w:pPr>
              <w:autoSpaceDE w:val="0"/>
              <w:autoSpaceDN w:val="0"/>
              <w:adjustRightInd w:val="0"/>
              <w:spacing w:after="120"/>
              <w:jc w:val="both"/>
              <w:rPr>
                <w:rStyle w:val="TeksttreciTimesNewRoman105ptOdstpy0pt"/>
                <w:rFonts w:eastAsia="Calibri"/>
                <w:sz w:val="24"/>
              </w:rPr>
            </w:pPr>
            <w:r w:rsidRPr="00835753">
              <w:rPr>
                <w:rStyle w:val="TeksttreciTimesNewRoman105ptOdstpy0pt"/>
                <w:rFonts w:eastAsiaTheme="minorEastAsia"/>
                <w:sz w:val="24"/>
              </w:rPr>
              <w:t>Do celów niniejszego rozporządzenia hipotetycznie kwalifikujące się obciążone EHQLA</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hip</w:t>
            </w:r>
            <w:r w:rsidRPr="00835753">
              <w:rPr>
                <w:rStyle w:val="TeksttreciTimesNewRoman105ptOdstpy0pt"/>
                <w:rFonts w:eastAsiaTheme="minorEastAsia"/>
                <w:sz w:val="24"/>
              </w:rPr>
              <w:t>otetycznie kwalifikujące się obciążone HQLA to aktywa wymienione</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10, 11, 12, 13, 15</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1</w:t>
            </w:r>
            <w:r w:rsidRPr="00835753">
              <w:rPr>
                <w:rStyle w:val="TeksttreciTimesNewRoman105ptOdstpy0pt"/>
                <w:rFonts w:eastAsiaTheme="minorEastAsia"/>
                <w:sz w:val="24"/>
              </w:rPr>
              <w:t>6 rozporządzenia delegowanego Komisji (UE) 2015/61</w:t>
            </w:r>
            <w:r w:rsidRPr="00835753">
              <w:rPr>
                <w:rStyle w:val="FootnoteReference"/>
                <w:rFonts w:eastAsia="Calibri" w:cs="Times New Roman"/>
                <w:color w:val="000000"/>
                <w:spacing w:val="4"/>
                <w:shd w:val="clear" w:color="auto" w:fill="FFFFFF"/>
              </w:rPr>
              <w:footnoteReference w:id="58"/>
            </w:r>
            <w:r w:rsidRPr="00835753">
              <w:rPr>
                <w:rStyle w:val="TeksttreciTimesNewRoman105ptOdstpy0pt"/>
                <w:rFonts w:eastAsiaTheme="minorEastAsia"/>
                <w:sz w:val="24"/>
              </w:rPr>
              <w:t>, które spełniałyby wymogi ogólne</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wym</w:t>
            </w:r>
            <w:r w:rsidRPr="00835753">
              <w:rPr>
                <w:rStyle w:val="TeksttreciTimesNewRoman105ptOdstpy0pt"/>
                <w:rFonts w:eastAsiaTheme="minorEastAsia"/>
                <w:sz w:val="24"/>
              </w:rPr>
              <w:t>agania operacyjne określone</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7</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8</w:t>
            </w:r>
            <w:r w:rsidRPr="00835753">
              <w:rPr>
                <w:rStyle w:val="TeksttreciTimesNewRoman105ptOdstpy0pt"/>
                <w:rFonts w:eastAsiaTheme="minorEastAsia"/>
                <w:sz w:val="24"/>
              </w:rPr>
              <w:t xml:space="preserve"> tego rozporządzenia delegowanego, gdyby nie ich status jako aktywa obciążone zgodnie</w:t>
            </w:r>
            <w:r w:rsidR="00835753" w:rsidRPr="00835753">
              <w:rPr>
                <w:rStyle w:val="TeksttreciTimesNewRoman105ptOdstpy0pt"/>
                <w:rFonts w:eastAsiaTheme="minorEastAsia"/>
                <w:sz w:val="24"/>
              </w:rPr>
              <w:t xml:space="preserve"> z</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zał</w:t>
            </w:r>
            <w:r w:rsidRPr="00835753">
              <w:rPr>
                <w:rStyle w:val="TeksttreciTimesNewRoman105ptOdstpy0pt"/>
                <w:rFonts w:eastAsiaTheme="minorEastAsia"/>
                <w:sz w:val="24"/>
              </w:rPr>
              <w:t>ącznikiem XVII do rozporządzenia wykonawczego Komisji (UE) nr</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680/2014. Hipotetycznie kwalifikujące się obciążone EHQLA</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hip</w:t>
            </w:r>
            <w:r w:rsidRPr="00835753">
              <w:rPr>
                <w:rStyle w:val="TeksttreciTimesNewRoman105ptOdstpy0pt"/>
                <w:rFonts w:eastAsiaTheme="minorEastAsia"/>
                <w:sz w:val="24"/>
              </w:rPr>
              <w:t>otetycznie kwalifikujące się obciążone HQLA muszą również spełniać wymogi dla poszczególnych kategorii ekspozycji określone</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10–16</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3</w:t>
            </w:r>
            <w:r w:rsidRPr="00835753">
              <w:rPr>
                <w:rStyle w:val="TeksttreciTimesNewRoman105ptOdstpy0pt"/>
                <w:rFonts w:eastAsiaTheme="minorEastAsia"/>
                <w:sz w:val="24"/>
              </w:rPr>
              <w:t>5–37 rozporządzenia delegowanego Komisji (UE) 2015/61. Wartość bilansowa hipotetycznie kwalifikujących się obciążonych EHQLA</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hip</w:t>
            </w:r>
            <w:r w:rsidRPr="00835753">
              <w:rPr>
                <w:rStyle w:val="TeksttreciTimesNewRoman105ptOdstpy0pt"/>
                <w:rFonts w:eastAsiaTheme="minorEastAsia"/>
                <w:sz w:val="24"/>
              </w:rPr>
              <w:t xml:space="preserve">otetycznie kwalifikujących się obciążonych HQLA to wartość </w:t>
            </w:r>
            <w:r w:rsidRPr="00835753">
              <w:rPr>
                <w:rStyle w:val="TeksttreciTimesNewRoman105ptOdstpy0pt"/>
                <w:rFonts w:eastAsiaTheme="minorEastAsia"/>
                <w:sz w:val="24"/>
              </w:rPr>
              <w:lastRenderedPageBreak/>
              <w:t>bilansowa przed zastosowaniem redukcji wartości określonych</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10–16 rozporządzenia delegowanego (UE) 2015/61.</w:t>
            </w:r>
          </w:p>
          <w:p w14:paraId="7EFA6F69" w14:textId="6E912B1C" w:rsidR="00D312C4" w:rsidRPr="00835753" w:rsidRDefault="00D312C4" w:rsidP="00155C96">
            <w:pPr>
              <w:autoSpaceDE w:val="0"/>
              <w:autoSpaceDN w:val="0"/>
              <w:adjustRightInd w:val="0"/>
              <w:spacing w:after="120"/>
              <w:jc w:val="both"/>
              <w:rPr>
                <w:rFonts w:ascii="Times New Roman" w:hAnsi="Times New Roman" w:cs="Times New Roman"/>
                <w:b/>
                <w:sz w:val="24"/>
              </w:rPr>
            </w:pPr>
            <w:r w:rsidRPr="00835753">
              <w:rPr>
                <w:rStyle w:val="TeksttreciTimesNewRoman105ptOdstpy0pt"/>
                <w:rFonts w:eastAsiaTheme="minorEastAsia"/>
                <w:sz w:val="24"/>
              </w:rPr>
              <w:t>W przypadku każdej</w:t>
            </w:r>
            <w:r w:rsidR="00835753" w:rsidRPr="00835753">
              <w:rPr>
                <w:rStyle w:val="TeksttreciTimesNewRoman105ptOdstpy0pt"/>
                <w:rFonts w:eastAsiaTheme="minorEastAsia"/>
                <w:sz w:val="24"/>
              </w:rPr>
              <w:t xml:space="preserve"> z</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kla</w:t>
            </w:r>
            <w:r w:rsidRPr="00835753">
              <w:rPr>
                <w:rStyle w:val="TeksttreciTimesNewRoman105ptOdstpy0pt"/>
                <w:rFonts w:eastAsiaTheme="minorEastAsia"/>
                <w:sz w:val="24"/>
              </w:rPr>
              <w:t>s aktywów ujawniona wartość bilansowa jest średnią wartością poszczególnych ujawnionych wartości bilansowych na koniec każdego okresu, za który informacje podlegają ujawnieniu, uwzględnianego</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wyl</w:t>
            </w:r>
            <w:r w:rsidRPr="00835753">
              <w:rPr>
                <w:rStyle w:val="TeksttreciTimesNewRoman105ptOdstpy0pt"/>
                <w:rFonts w:eastAsiaTheme="minorEastAsia"/>
                <w:sz w:val="24"/>
              </w:rPr>
              <w:t>iczaniu średniej wartości.</w:t>
            </w:r>
          </w:p>
        </w:tc>
      </w:tr>
      <w:tr w:rsidR="00D312C4" w:rsidRPr="00835753" w14:paraId="6B5BB829" w14:textId="77777777" w:rsidTr="00155C96">
        <w:trPr>
          <w:trHeight w:val="316"/>
        </w:trPr>
        <w:tc>
          <w:tcPr>
            <w:tcW w:w="1384" w:type="dxa"/>
          </w:tcPr>
          <w:p w14:paraId="21F2250B" w14:textId="77777777" w:rsidR="00D312C4" w:rsidRPr="00835753" w:rsidRDefault="00D312C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sz w:val="24"/>
              </w:rPr>
              <w:lastRenderedPageBreak/>
              <w:t xml:space="preserve">040 </w:t>
            </w:r>
          </w:p>
        </w:tc>
        <w:tc>
          <w:tcPr>
            <w:tcW w:w="7655" w:type="dxa"/>
          </w:tcPr>
          <w:p w14:paraId="6183C9CC" w14:textId="77777777" w:rsidR="00D312C4" w:rsidRPr="00835753"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sidRPr="00835753">
              <w:rPr>
                <w:rStyle w:val="PogrubienieTeksttreciTimesNewRoman105ptOdstpy0pt"/>
                <w:rFonts w:eastAsia="Book Antiqua"/>
                <w:sz w:val="24"/>
                <w:szCs w:val="24"/>
              </w:rPr>
              <w:t>Wartość godziwa aktywów obciążonych</w:t>
            </w:r>
          </w:p>
          <w:p w14:paraId="17E176CC" w14:textId="64D90511" w:rsidR="00D312C4" w:rsidRPr="00835753" w:rsidRDefault="00D312C4" w:rsidP="00155C96">
            <w:pPr>
              <w:spacing w:after="120"/>
              <w:jc w:val="both"/>
              <w:rPr>
                <w:rStyle w:val="InstructionsTabelleberschrift"/>
                <w:rFonts w:ascii="Times New Roman" w:hAnsi="Times New Roman"/>
                <w:b w:val="0"/>
                <w:sz w:val="24"/>
                <w:u w:val="none"/>
              </w:rPr>
            </w:pPr>
            <w:r w:rsidRPr="00835753">
              <w:rPr>
                <w:rStyle w:val="TeksttreciTimesNewRoman105ptOdstpy0pt"/>
                <w:rFonts w:eastAsiaTheme="minorEastAsia"/>
                <w:sz w:val="24"/>
              </w:rPr>
              <w:t xml:space="preserve">Średnia wartość </w:t>
            </w:r>
            <w:r w:rsidRPr="00835753">
              <w:rPr>
                <w:rStyle w:val="InstructionsTabelleberschrift"/>
                <w:rFonts w:ascii="Times New Roman" w:hAnsi="Times New Roman"/>
                <w:b w:val="0"/>
                <w:sz w:val="24"/>
                <w:u w:val="none"/>
              </w:rPr>
              <w:t>wartości godziwej dłużnych papierów wartościowych posiadanych przez ujawniającą instytucję, które są obciążone zgodnie</w:t>
            </w:r>
            <w:r w:rsidR="00835753" w:rsidRPr="00835753">
              <w:rPr>
                <w:rStyle w:val="InstructionsTabelleberschrift"/>
                <w:rFonts w:ascii="Times New Roman" w:hAnsi="Times New Roman"/>
                <w:b w:val="0"/>
                <w:sz w:val="24"/>
                <w:u w:val="none"/>
              </w:rPr>
              <w:t xml:space="preserve"> z</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def</w:t>
            </w:r>
            <w:r w:rsidRPr="00835753">
              <w:rPr>
                <w:rStyle w:val="InstructionsTabelleberschrift"/>
                <w:rFonts w:ascii="Times New Roman" w:hAnsi="Times New Roman"/>
                <w:b w:val="0"/>
                <w:sz w:val="24"/>
                <w:u w:val="none"/>
              </w:rPr>
              <w:t>inicją obciążenia aktywów</w:t>
            </w:r>
          </w:p>
          <w:p w14:paraId="3F9721DD" w14:textId="4AAFB64A" w:rsidR="00D312C4" w:rsidRPr="00835753" w:rsidRDefault="00D312C4" w:rsidP="00155C96">
            <w:pPr>
              <w:spacing w:after="120"/>
              <w:jc w:val="both"/>
              <w:rPr>
                <w:rStyle w:val="InstructionsTabelleberschrift"/>
                <w:rFonts w:ascii="Times New Roman" w:hAnsi="Times New Roman"/>
                <w:b w:val="0"/>
                <w:bCs w:val="0"/>
                <w:sz w:val="24"/>
                <w:u w:val="none"/>
              </w:rPr>
            </w:pPr>
            <w:r w:rsidRPr="00835753">
              <w:rPr>
                <w:rStyle w:val="InstructionsTabelleberschrift"/>
                <w:rFonts w:ascii="Times New Roman" w:hAnsi="Times New Roman"/>
                <w:b w:val="0"/>
                <w:sz w:val="24"/>
                <w:u w:val="none"/>
              </w:rPr>
              <w:t>Wartość godziwa instrumentu finansowego to cena, która zostałaby uzyskana ze sprzedaży składnika aktywów lub zapłacona za przeniesienie zobowiązania</w:t>
            </w:r>
            <w:r w:rsidR="00835753" w:rsidRPr="00835753">
              <w:rPr>
                <w:rStyle w:val="InstructionsTabelleberschrift"/>
                <w:rFonts w:ascii="Times New Roman" w:hAnsi="Times New Roman"/>
                <w:b w:val="0"/>
                <w:sz w:val="24"/>
                <w:u w:val="none"/>
              </w:rPr>
              <w:t xml:space="preserve"> w</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tra</w:t>
            </w:r>
            <w:r w:rsidRPr="00835753">
              <w:rPr>
                <w:rStyle w:val="InstructionsTabelleberschrift"/>
                <w:rFonts w:ascii="Times New Roman" w:hAnsi="Times New Roman"/>
                <w:b w:val="0"/>
                <w:sz w:val="24"/>
                <w:u w:val="none"/>
              </w:rPr>
              <w:t>nsakcji przeprowadzonej na zwykłych warunkach między uczestnikami rynku</w:t>
            </w:r>
            <w:r w:rsidR="00835753" w:rsidRPr="00835753">
              <w:rPr>
                <w:rStyle w:val="InstructionsTabelleberschrift"/>
                <w:rFonts w:ascii="Times New Roman" w:hAnsi="Times New Roman"/>
                <w:b w:val="0"/>
                <w:sz w:val="24"/>
                <w:u w:val="none"/>
              </w:rPr>
              <w:t xml:space="preserve"> w</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dni</w:t>
            </w:r>
            <w:r w:rsidRPr="00835753">
              <w:rPr>
                <w:rStyle w:val="InstructionsTabelleberschrift"/>
                <w:rFonts w:ascii="Times New Roman" w:hAnsi="Times New Roman"/>
                <w:b w:val="0"/>
                <w:sz w:val="24"/>
                <w:u w:val="none"/>
              </w:rPr>
              <w:t>u wyceny (zob. MSSF 13 Ustalanie wartości godziwej oraz MSSF 13</w:t>
            </w:r>
            <w:r w:rsidR="00835753" w:rsidRPr="00835753">
              <w:rPr>
                <w:rStyle w:val="InstructionsTabelleberschrift"/>
                <w:rFonts w:ascii="Times New Roman" w:hAnsi="Times New Roman"/>
                <w:b w:val="0"/>
                <w:sz w:val="24"/>
                <w:u w:val="none"/>
              </w:rPr>
              <w:t xml:space="preserve"> i</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art</w:t>
            </w:r>
            <w:r w:rsidRPr="00835753">
              <w:rPr>
                <w:rStyle w:val="InstructionsTabelleberschrift"/>
                <w:rFonts w:ascii="Times New Roman" w:hAnsi="Times New Roman"/>
                <w:b w:val="0"/>
                <w:sz w:val="24"/>
                <w:u w:val="none"/>
              </w:rPr>
              <w:t>.</w:t>
            </w:r>
            <w:r w:rsidR="00835753" w:rsidRPr="00835753">
              <w:rPr>
                <w:rStyle w:val="InstructionsTabelleberschrift"/>
                <w:rFonts w:ascii="Times New Roman" w:hAnsi="Times New Roman"/>
                <w:b w:val="0"/>
                <w:sz w:val="24"/>
                <w:u w:val="none"/>
              </w:rPr>
              <w:t> </w:t>
            </w:r>
            <w:r w:rsidRPr="00835753">
              <w:rPr>
                <w:rStyle w:val="InstructionsTabelleberschrift"/>
                <w:rFonts w:ascii="Times New Roman" w:hAnsi="Times New Roman"/>
                <w:b w:val="0"/>
                <w:sz w:val="24"/>
                <w:u w:val="none"/>
              </w:rPr>
              <w:t>8 dyrektywy 2013/34/UE</w:t>
            </w:r>
            <w:r w:rsidRPr="00835753">
              <w:rPr>
                <w:rStyle w:val="FootnoteReference"/>
                <w:rFonts w:ascii="Times New Roman" w:hAnsi="Times New Roman"/>
                <w:sz w:val="24"/>
                <w:lang w:eastAsia="de-DE"/>
              </w:rPr>
              <w:footnoteReference w:id="59"/>
            </w:r>
            <w:r w:rsidR="00835753" w:rsidRPr="00835753">
              <w:rPr>
                <w:rStyle w:val="InstructionsTabelleberschrift"/>
                <w:rFonts w:ascii="Times New Roman" w:hAnsi="Times New Roman"/>
                <w:b w:val="0"/>
                <w:sz w:val="24"/>
                <w:u w:val="none"/>
              </w:rPr>
              <w:t xml:space="preserve"> w</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prz</w:t>
            </w:r>
            <w:r w:rsidRPr="00835753">
              <w:rPr>
                <w:rStyle w:val="InstructionsTabelleberschrift"/>
                <w:rFonts w:ascii="Times New Roman" w:hAnsi="Times New Roman"/>
                <w:b w:val="0"/>
                <w:sz w:val="24"/>
                <w:u w:val="none"/>
              </w:rPr>
              <w:t xml:space="preserve">ypadku instytucji niestosujących MSSF). </w:t>
            </w:r>
          </w:p>
          <w:p w14:paraId="23FAE624" w14:textId="2A338227" w:rsidR="00D312C4" w:rsidRPr="00835753" w:rsidRDefault="00D312C4" w:rsidP="00155C96">
            <w:pPr>
              <w:autoSpaceDE w:val="0"/>
              <w:autoSpaceDN w:val="0"/>
              <w:adjustRightInd w:val="0"/>
              <w:spacing w:after="120"/>
              <w:jc w:val="both"/>
              <w:rPr>
                <w:rFonts w:ascii="Times New Roman" w:hAnsi="Times New Roman" w:cs="Times New Roman"/>
                <w:sz w:val="24"/>
              </w:rPr>
            </w:pPr>
            <w:r w:rsidRPr="00835753">
              <w:rPr>
                <w:rStyle w:val="TeksttreciTimesNewRoman105ptOdstpy0pt"/>
                <w:rFonts w:eastAsiaTheme="minorEastAsia"/>
                <w:sz w:val="24"/>
              </w:rPr>
              <w:t>W przypadku każdej</w:t>
            </w:r>
            <w:r w:rsidR="00835753" w:rsidRPr="00835753">
              <w:rPr>
                <w:rStyle w:val="TeksttreciTimesNewRoman105ptOdstpy0pt"/>
                <w:rFonts w:eastAsiaTheme="minorEastAsia"/>
                <w:sz w:val="24"/>
              </w:rPr>
              <w:t xml:space="preserve"> z</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kla</w:t>
            </w:r>
            <w:r w:rsidRPr="00835753">
              <w:rPr>
                <w:rStyle w:val="TeksttreciTimesNewRoman105ptOdstpy0pt"/>
                <w:rFonts w:eastAsiaTheme="minorEastAsia"/>
                <w:sz w:val="24"/>
              </w:rPr>
              <w:t>s aktywów ujawniona wartość godziwa musi być średnią wartością poszczególnych wartości godziwych zaobserwowanych na koniec każdego okresu, za który informacje podlegają ujawnieniu, uwzględnianego</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wyl</w:t>
            </w:r>
            <w:r w:rsidRPr="00835753">
              <w:rPr>
                <w:rStyle w:val="TeksttreciTimesNewRoman105ptOdstpy0pt"/>
                <w:rFonts w:eastAsiaTheme="minorEastAsia"/>
                <w:sz w:val="24"/>
              </w:rPr>
              <w:t>iczaniu średniej wartości.</w:t>
            </w:r>
          </w:p>
        </w:tc>
      </w:tr>
      <w:tr w:rsidR="00D312C4" w:rsidRPr="00835753" w14:paraId="4B3529C2" w14:textId="77777777" w:rsidTr="00155C96">
        <w:trPr>
          <w:trHeight w:val="316"/>
        </w:trPr>
        <w:tc>
          <w:tcPr>
            <w:tcW w:w="1384" w:type="dxa"/>
          </w:tcPr>
          <w:p w14:paraId="38B4E8DE"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050</w:t>
            </w:r>
          </w:p>
        </w:tc>
        <w:tc>
          <w:tcPr>
            <w:tcW w:w="7655" w:type="dxa"/>
          </w:tcPr>
          <w:p w14:paraId="0F565CC0" w14:textId="77777777" w:rsidR="00D312C4" w:rsidRPr="00835753" w:rsidRDefault="00D312C4" w:rsidP="00155C96">
            <w:pPr>
              <w:pStyle w:val="Teksttreci0"/>
              <w:shd w:val="clear" w:color="auto" w:fill="auto"/>
              <w:spacing w:after="120" w:line="240" w:lineRule="auto"/>
              <w:ind w:firstLine="0"/>
              <w:rPr>
                <w:sz w:val="24"/>
                <w:szCs w:val="24"/>
              </w:rPr>
            </w:pPr>
            <w:proofErr w:type="gramStart"/>
            <w:r w:rsidRPr="00835753">
              <w:rPr>
                <w:rStyle w:val="PogrubienieTeksttreciTimesNewRoman105ptOdstpy0pt"/>
                <w:rFonts w:eastAsia="Book Antiqua"/>
                <w:sz w:val="24"/>
                <w:szCs w:val="24"/>
              </w:rPr>
              <w:t>w</w:t>
            </w:r>
            <w:proofErr w:type="gramEnd"/>
            <w:r w:rsidRPr="00835753">
              <w:rPr>
                <w:rStyle w:val="PogrubienieTeksttreciTimesNewRoman105ptOdstpy0pt"/>
                <w:rFonts w:eastAsia="Book Antiqua"/>
                <w:sz w:val="24"/>
                <w:szCs w:val="24"/>
              </w:rPr>
              <w:t xml:space="preserve"> tym: hipotetycznie kwalifikujące się EHQLA i HQLA</w:t>
            </w:r>
          </w:p>
          <w:p w14:paraId="7F30EBE4" w14:textId="27FFF174" w:rsidR="00D312C4" w:rsidRPr="00835753" w:rsidRDefault="00D312C4" w:rsidP="00155C96">
            <w:pPr>
              <w:autoSpaceDE w:val="0"/>
              <w:autoSpaceDN w:val="0"/>
              <w:adjustRightInd w:val="0"/>
              <w:spacing w:after="120"/>
              <w:jc w:val="both"/>
              <w:rPr>
                <w:rStyle w:val="TeksttreciTimesNewRoman105ptOdstpy0pt"/>
                <w:rFonts w:eastAsia="Calibri"/>
                <w:sz w:val="24"/>
              </w:rPr>
            </w:pPr>
            <w:r w:rsidRPr="00835753">
              <w:rPr>
                <w:rStyle w:val="TeksttreciTimesNewRoman105ptOdstpy0pt"/>
                <w:rFonts w:eastAsiaTheme="minorEastAsia"/>
                <w:sz w:val="24"/>
              </w:rPr>
              <w:t>Średnia wartość wartości godziwej aktywów obciążonych, które hipotetycznie kwalifikują się jako EHQLA i HQLA. Do celów niniejszego rozporządzenia hipotetycznie kwalifikujące się obciążone EHQLA</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hip</w:t>
            </w:r>
            <w:r w:rsidRPr="00835753">
              <w:rPr>
                <w:rStyle w:val="TeksttreciTimesNewRoman105ptOdstpy0pt"/>
                <w:rFonts w:eastAsiaTheme="minorEastAsia"/>
                <w:sz w:val="24"/>
              </w:rPr>
              <w:t>otetycznie kwalifikujące się obciążone HQLA to aktywa wymienione</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10, 11, 12, 13, 15</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1</w:t>
            </w:r>
            <w:r w:rsidRPr="00835753">
              <w:rPr>
                <w:rStyle w:val="TeksttreciTimesNewRoman105ptOdstpy0pt"/>
                <w:rFonts w:eastAsiaTheme="minorEastAsia"/>
                <w:sz w:val="24"/>
              </w:rPr>
              <w:t>6 rozporządzenia delegowanego (UE) 2015/61, które spełniałyby wymogi ogólne</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wym</w:t>
            </w:r>
            <w:r w:rsidRPr="00835753">
              <w:rPr>
                <w:rStyle w:val="TeksttreciTimesNewRoman105ptOdstpy0pt"/>
                <w:rFonts w:eastAsiaTheme="minorEastAsia"/>
                <w:sz w:val="24"/>
              </w:rPr>
              <w:t>agania operacyjne określone</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7</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8</w:t>
            </w:r>
            <w:r w:rsidRPr="00835753">
              <w:rPr>
                <w:rStyle w:val="TeksttreciTimesNewRoman105ptOdstpy0pt"/>
                <w:rFonts w:eastAsiaTheme="minorEastAsia"/>
                <w:sz w:val="24"/>
              </w:rPr>
              <w:t xml:space="preserve"> rozporządzenia delegowanego Komisji (UE) 2015/61, gdyby nie ich status jako aktywa obciążone zgodnie</w:t>
            </w:r>
            <w:r w:rsidR="00835753" w:rsidRPr="00835753">
              <w:rPr>
                <w:rStyle w:val="TeksttreciTimesNewRoman105ptOdstpy0pt"/>
                <w:rFonts w:eastAsiaTheme="minorEastAsia"/>
                <w:sz w:val="24"/>
              </w:rPr>
              <w:t xml:space="preserve"> z</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zał</w:t>
            </w:r>
            <w:r w:rsidRPr="00835753">
              <w:rPr>
                <w:rStyle w:val="TeksttreciTimesNewRoman105ptOdstpy0pt"/>
                <w:rFonts w:eastAsiaTheme="minorEastAsia"/>
                <w:sz w:val="24"/>
              </w:rPr>
              <w:t>ącznikiem XVII do rozporządzenia wykonawczego Komisji (UE) nr</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680/2014. Hipotetycznie kwalifikujące się obciążone EHQLA</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hip</w:t>
            </w:r>
            <w:r w:rsidRPr="00835753">
              <w:rPr>
                <w:rStyle w:val="TeksttreciTimesNewRoman105ptOdstpy0pt"/>
                <w:rFonts w:eastAsiaTheme="minorEastAsia"/>
                <w:sz w:val="24"/>
              </w:rPr>
              <w:t>otetycznie kwalifikujące się obciążone HQLA muszą również spełniać wymogi dla poszczególnych kategorii ekspozycji określone</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10–16</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3</w:t>
            </w:r>
            <w:r w:rsidRPr="00835753">
              <w:rPr>
                <w:rStyle w:val="TeksttreciTimesNewRoman105ptOdstpy0pt"/>
                <w:rFonts w:eastAsiaTheme="minorEastAsia"/>
                <w:sz w:val="24"/>
              </w:rPr>
              <w:t>5–37 rozporządzenia delegowanego Komisji (UE) 2015/61. Wartość godziwa hipotetycznie kwalifikujących się obciążonych EHQLA</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hip</w:t>
            </w:r>
            <w:r w:rsidRPr="00835753">
              <w:rPr>
                <w:rStyle w:val="TeksttreciTimesNewRoman105ptOdstpy0pt"/>
                <w:rFonts w:eastAsiaTheme="minorEastAsia"/>
                <w:sz w:val="24"/>
              </w:rPr>
              <w:t>otetycznie kwalifikujących się obciążonych HQLA odpowiada wartości godziwej przed zastosowaniem redukcji wartości określonych</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10–16 rozporządzenia delegowanego Komisji (UE) 2015/61.</w:t>
            </w:r>
          </w:p>
          <w:p w14:paraId="12D6883C" w14:textId="363BFB4C" w:rsidR="00D312C4" w:rsidRPr="00835753" w:rsidRDefault="00D312C4" w:rsidP="00155C96">
            <w:pPr>
              <w:autoSpaceDE w:val="0"/>
              <w:autoSpaceDN w:val="0"/>
              <w:adjustRightInd w:val="0"/>
              <w:spacing w:after="120"/>
              <w:jc w:val="both"/>
              <w:rPr>
                <w:rFonts w:ascii="Times New Roman" w:hAnsi="Times New Roman" w:cs="Times New Roman"/>
                <w:sz w:val="24"/>
              </w:rPr>
            </w:pPr>
            <w:r w:rsidRPr="00835753">
              <w:rPr>
                <w:rStyle w:val="TeksttreciTimesNewRoman105ptOdstpy0pt"/>
                <w:rFonts w:eastAsiaTheme="minorEastAsia"/>
                <w:sz w:val="24"/>
              </w:rPr>
              <w:t>W przypadku każdej</w:t>
            </w:r>
            <w:r w:rsidR="00835753" w:rsidRPr="00835753">
              <w:rPr>
                <w:rStyle w:val="TeksttreciTimesNewRoman105ptOdstpy0pt"/>
                <w:rFonts w:eastAsiaTheme="minorEastAsia"/>
                <w:sz w:val="24"/>
              </w:rPr>
              <w:t xml:space="preserve"> z</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kla</w:t>
            </w:r>
            <w:r w:rsidRPr="00835753">
              <w:rPr>
                <w:rStyle w:val="TeksttreciTimesNewRoman105ptOdstpy0pt"/>
                <w:rFonts w:eastAsiaTheme="minorEastAsia"/>
                <w:sz w:val="24"/>
              </w:rPr>
              <w:t xml:space="preserve">s aktywów ujawniona wartość godziwa jest średnią wartością poszczególnych wartości godziwych zaobserwowanych </w:t>
            </w:r>
            <w:r w:rsidRPr="00835753">
              <w:rPr>
                <w:rStyle w:val="TeksttreciTimesNewRoman105ptOdstpy0pt"/>
                <w:rFonts w:eastAsiaTheme="minorEastAsia"/>
                <w:sz w:val="24"/>
              </w:rPr>
              <w:lastRenderedPageBreak/>
              <w:t>na koniec każdego okresu, za który informacje podlegają ujawnieniu, uwzględnianego</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wyl</w:t>
            </w:r>
            <w:r w:rsidRPr="00835753">
              <w:rPr>
                <w:rStyle w:val="TeksttreciTimesNewRoman105ptOdstpy0pt"/>
                <w:rFonts w:eastAsiaTheme="minorEastAsia"/>
                <w:sz w:val="24"/>
              </w:rPr>
              <w:t>iczaniu średniej wartości.</w:t>
            </w:r>
          </w:p>
        </w:tc>
      </w:tr>
      <w:tr w:rsidR="00D312C4" w:rsidRPr="00835753" w14:paraId="2789423A" w14:textId="77777777" w:rsidTr="00155C96">
        <w:trPr>
          <w:trHeight w:val="316"/>
        </w:trPr>
        <w:tc>
          <w:tcPr>
            <w:tcW w:w="1384" w:type="dxa"/>
          </w:tcPr>
          <w:p w14:paraId="518FC7A6"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lastRenderedPageBreak/>
              <w:t>060</w:t>
            </w:r>
          </w:p>
        </w:tc>
        <w:tc>
          <w:tcPr>
            <w:tcW w:w="7655" w:type="dxa"/>
          </w:tcPr>
          <w:p w14:paraId="13EB12C9" w14:textId="77777777"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Wartość bilansowa aktywów wolnych od obciążeń</w:t>
            </w:r>
          </w:p>
          <w:p w14:paraId="3C3C5694" w14:textId="1F90E4C7" w:rsidR="00D312C4" w:rsidRPr="00835753" w:rsidRDefault="00D312C4" w:rsidP="00C83CCD">
            <w:pPr>
              <w:autoSpaceDE w:val="0"/>
              <w:autoSpaceDN w:val="0"/>
              <w:adjustRightInd w:val="0"/>
              <w:spacing w:after="120"/>
              <w:jc w:val="both"/>
              <w:rPr>
                <w:rStyle w:val="TeksttreciTimesNewRoman105ptOdstpy0pt"/>
                <w:rFonts w:eastAsia="Calibri"/>
                <w:sz w:val="24"/>
              </w:rPr>
            </w:pPr>
            <w:r w:rsidRPr="00835753">
              <w:rPr>
                <w:rStyle w:val="TeksttreciTimesNewRoman105ptOdstpy0pt"/>
                <w:rFonts w:eastAsiaTheme="minorEastAsia"/>
                <w:sz w:val="24"/>
              </w:rPr>
              <w:t xml:space="preserve">Średnia wartość </w:t>
            </w:r>
            <w:r w:rsidRPr="00835753">
              <w:rPr>
                <w:rStyle w:val="InstructionsTabelleberschrift"/>
                <w:rFonts w:ascii="Times New Roman" w:hAnsi="Times New Roman"/>
                <w:b w:val="0"/>
                <w:sz w:val="24"/>
                <w:u w:val="none"/>
              </w:rPr>
              <w:t>wartości bilansowej aktywów posiadanych przez instytucję, które są wolne od obciążeń zgodnie</w:t>
            </w:r>
            <w:r w:rsidR="00835753" w:rsidRPr="00835753">
              <w:rPr>
                <w:rStyle w:val="InstructionsTabelleberschrift"/>
                <w:rFonts w:ascii="Times New Roman" w:hAnsi="Times New Roman"/>
                <w:b w:val="0"/>
                <w:sz w:val="24"/>
                <w:u w:val="none"/>
              </w:rPr>
              <w:t xml:space="preserve"> z</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prz</w:t>
            </w:r>
            <w:r w:rsidRPr="00835753">
              <w:rPr>
                <w:rStyle w:val="InstructionsTabelleberschrift"/>
                <w:rFonts w:ascii="Times New Roman" w:hAnsi="Times New Roman"/>
                <w:b w:val="0"/>
                <w:sz w:val="24"/>
                <w:u w:val="none"/>
              </w:rPr>
              <w:t>edstawioną definicją obciążenia aktywów. Wartość bilansowa oznacza kwotę ujawnioną</w:t>
            </w:r>
            <w:r w:rsidR="00835753" w:rsidRPr="00835753">
              <w:rPr>
                <w:rStyle w:val="InstructionsTabelleberschrift"/>
                <w:rFonts w:ascii="Times New Roman" w:hAnsi="Times New Roman"/>
                <w:b w:val="0"/>
                <w:sz w:val="24"/>
                <w:u w:val="none"/>
              </w:rPr>
              <w:t xml:space="preserve"> w</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bil</w:t>
            </w:r>
            <w:r w:rsidRPr="00835753">
              <w:rPr>
                <w:rStyle w:val="InstructionsTabelleberschrift"/>
                <w:rFonts w:ascii="Times New Roman" w:hAnsi="Times New Roman"/>
                <w:b w:val="0"/>
                <w:sz w:val="24"/>
                <w:u w:val="none"/>
              </w:rPr>
              <w:t>ansie po stronie aktywów.</w:t>
            </w:r>
          </w:p>
          <w:p w14:paraId="71D23006" w14:textId="0B8489C5" w:rsidR="00D312C4" w:rsidRPr="00835753" w:rsidRDefault="00D312C4" w:rsidP="00C83CCD">
            <w:pPr>
              <w:autoSpaceDE w:val="0"/>
              <w:autoSpaceDN w:val="0"/>
              <w:adjustRightInd w:val="0"/>
              <w:spacing w:after="120"/>
              <w:jc w:val="both"/>
              <w:rPr>
                <w:rFonts w:ascii="Times New Roman" w:hAnsi="Times New Roman" w:cs="Times New Roman"/>
                <w:sz w:val="24"/>
              </w:rPr>
            </w:pPr>
            <w:r w:rsidRPr="00835753">
              <w:rPr>
                <w:rStyle w:val="TeksttreciTimesNewRoman105ptOdstpy0pt"/>
                <w:rFonts w:eastAsiaTheme="minorEastAsia"/>
                <w:sz w:val="24"/>
              </w:rPr>
              <w:t>W przypadku każdej</w:t>
            </w:r>
            <w:r w:rsidR="00835753" w:rsidRPr="00835753">
              <w:rPr>
                <w:rStyle w:val="TeksttreciTimesNewRoman105ptOdstpy0pt"/>
                <w:rFonts w:eastAsiaTheme="minorEastAsia"/>
                <w:sz w:val="24"/>
              </w:rPr>
              <w:t xml:space="preserve"> z</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kla</w:t>
            </w:r>
            <w:r w:rsidRPr="00835753">
              <w:rPr>
                <w:rStyle w:val="TeksttreciTimesNewRoman105ptOdstpy0pt"/>
                <w:rFonts w:eastAsiaTheme="minorEastAsia"/>
                <w:sz w:val="24"/>
              </w:rPr>
              <w:t>s aktywów ujawniona wartość bilansowa jest średnią wartością poszczególnych ujawnionych wartości bilansowych na koniec każdego okresu, za który informacje podlegają ujawnieniu, uwzględnianego</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wyl</w:t>
            </w:r>
            <w:r w:rsidRPr="00835753">
              <w:rPr>
                <w:rStyle w:val="TeksttreciTimesNewRoman105ptOdstpy0pt"/>
                <w:rFonts w:eastAsiaTheme="minorEastAsia"/>
                <w:sz w:val="24"/>
              </w:rPr>
              <w:t>iczaniu średniej wartości.</w:t>
            </w:r>
          </w:p>
        </w:tc>
      </w:tr>
      <w:tr w:rsidR="00D312C4" w:rsidRPr="00835753" w14:paraId="655A46A2" w14:textId="77777777" w:rsidTr="00155C96">
        <w:trPr>
          <w:trHeight w:val="316"/>
        </w:trPr>
        <w:tc>
          <w:tcPr>
            <w:tcW w:w="1384" w:type="dxa"/>
          </w:tcPr>
          <w:p w14:paraId="57BE8236"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080</w:t>
            </w:r>
          </w:p>
        </w:tc>
        <w:tc>
          <w:tcPr>
            <w:tcW w:w="7655" w:type="dxa"/>
          </w:tcPr>
          <w:p w14:paraId="429634F9" w14:textId="77777777" w:rsidR="00D312C4" w:rsidRPr="00835753" w:rsidRDefault="00D312C4" w:rsidP="00155C96">
            <w:pPr>
              <w:pStyle w:val="Teksttreci0"/>
              <w:shd w:val="clear" w:color="auto" w:fill="auto"/>
              <w:spacing w:after="120" w:line="240" w:lineRule="auto"/>
              <w:ind w:firstLine="0"/>
              <w:rPr>
                <w:sz w:val="24"/>
                <w:szCs w:val="24"/>
              </w:rPr>
            </w:pPr>
            <w:proofErr w:type="gramStart"/>
            <w:r w:rsidRPr="00835753">
              <w:rPr>
                <w:rStyle w:val="PogrubienieTeksttreciTimesNewRoman105ptOdstpy0pt"/>
                <w:rFonts w:eastAsia="Book Antiqua"/>
                <w:sz w:val="24"/>
                <w:szCs w:val="24"/>
              </w:rPr>
              <w:t>w</w:t>
            </w:r>
            <w:proofErr w:type="gramEnd"/>
            <w:r w:rsidRPr="00835753">
              <w:rPr>
                <w:rStyle w:val="PogrubienieTeksttreciTimesNewRoman105ptOdstpy0pt"/>
                <w:rFonts w:eastAsia="Book Antiqua"/>
                <w:sz w:val="24"/>
                <w:szCs w:val="24"/>
              </w:rPr>
              <w:t xml:space="preserve"> tym: EHQLA i HQLA</w:t>
            </w:r>
          </w:p>
          <w:p w14:paraId="177B08C1" w14:textId="2B7E1096" w:rsidR="00D312C4" w:rsidRPr="00835753" w:rsidRDefault="00D312C4" w:rsidP="00C83CCD">
            <w:pPr>
              <w:autoSpaceDE w:val="0"/>
              <w:autoSpaceDN w:val="0"/>
              <w:adjustRightInd w:val="0"/>
              <w:spacing w:after="120"/>
              <w:jc w:val="both"/>
              <w:rPr>
                <w:rStyle w:val="TeksttreciTimesNewRoman105ptOdstpy0pt"/>
                <w:rFonts w:eastAsia="Calibri"/>
                <w:sz w:val="24"/>
              </w:rPr>
            </w:pPr>
            <w:r w:rsidRPr="00835753">
              <w:rPr>
                <w:rStyle w:val="TeksttreciTimesNewRoman105ptOdstpy0pt"/>
                <w:rFonts w:eastAsiaTheme="minorEastAsia"/>
                <w:sz w:val="24"/>
              </w:rPr>
              <w:t>Średnia wartość wartości bilansowej wolnych od obciążeń EHQLA i HQLA wymienionych</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10, 11, 12, 13, 15</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1</w:t>
            </w:r>
            <w:r w:rsidRPr="00835753">
              <w:rPr>
                <w:rStyle w:val="TeksttreciTimesNewRoman105ptOdstpy0pt"/>
                <w:rFonts w:eastAsiaTheme="minorEastAsia"/>
                <w:sz w:val="24"/>
              </w:rPr>
              <w:t>6 rozporządzenia delegowanego Komisji (UE) 2015/61, które spełniają wymogi ogólne</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wym</w:t>
            </w:r>
            <w:r w:rsidRPr="00835753">
              <w:rPr>
                <w:rStyle w:val="TeksttreciTimesNewRoman105ptOdstpy0pt"/>
                <w:rFonts w:eastAsiaTheme="minorEastAsia"/>
                <w:sz w:val="24"/>
              </w:rPr>
              <w:t>agania operacyjne określone</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7</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8</w:t>
            </w:r>
            <w:r w:rsidRPr="00835753">
              <w:rPr>
                <w:rStyle w:val="TeksttreciTimesNewRoman105ptOdstpy0pt"/>
                <w:rFonts w:eastAsiaTheme="minorEastAsia"/>
                <w:sz w:val="24"/>
              </w:rPr>
              <w:t xml:space="preserve"> rozporządzenia delegowanego Komisji (UE) 2015/61 oraz wymogi dla poszczególnych kategorii ekspozycji określone</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10–16</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3</w:t>
            </w:r>
            <w:r w:rsidRPr="00835753">
              <w:rPr>
                <w:rStyle w:val="TeksttreciTimesNewRoman105ptOdstpy0pt"/>
                <w:rFonts w:eastAsiaTheme="minorEastAsia"/>
                <w:sz w:val="24"/>
              </w:rPr>
              <w:t>5–37 rozporządzenia delegowanego Komisji (UE) 2015/61. Wartość bilansowa EHQLA i HQLA to wartość bilansowa przed zastosowaniem redukcji wartości określonych</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10–16 rozporządzenia delegowanego Komisji (UE) 2015/61.</w:t>
            </w:r>
          </w:p>
          <w:p w14:paraId="660B94D9" w14:textId="568181DC" w:rsidR="00D312C4" w:rsidRPr="00835753" w:rsidRDefault="00D312C4" w:rsidP="00155C96">
            <w:pPr>
              <w:autoSpaceDE w:val="0"/>
              <w:autoSpaceDN w:val="0"/>
              <w:adjustRightInd w:val="0"/>
              <w:spacing w:after="120"/>
              <w:rPr>
                <w:rFonts w:ascii="Times New Roman" w:hAnsi="Times New Roman" w:cs="Times New Roman"/>
                <w:b/>
                <w:sz w:val="24"/>
              </w:rPr>
            </w:pPr>
            <w:r w:rsidRPr="00835753">
              <w:rPr>
                <w:rStyle w:val="TeksttreciTimesNewRoman105ptOdstpy0pt"/>
                <w:rFonts w:eastAsiaTheme="minorEastAsia"/>
                <w:sz w:val="24"/>
              </w:rPr>
              <w:t>W przypadku każdej</w:t>
            </w:r>
            <w:r w:rsidR="00835753" w:rsidRPr="00835753">
              <w:rPr>
                <w:rStyle w:val="TeksttreciTimesNewRoman105ptOdstpy0pt"/>
                <w:rFonts w:eastAsiaTheme="minorEastAsia"/>
                <w:sz w:val="24"/>
              </w:rPr>
              <w:t xml:space="preserve"> z</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kla</w:t>
            </w:r>
            <w:r w:rsidRPr="00835753">
              <w:rPr>
                <w:rStyle w:val="TeksttreciTimesNewRoman105ptOdstpy0pt"/>
                <w:rFonts w:eastAsiaTheme="minorEastAsia"/>
                <w:sz w:val="24"/>
              </w:rPr>
              <w:t>s aktywów ujawniona wartość bilansowa jest średnią wartością poszczególnych ujawnionych wartości bilansowych na koniec każdego okresu, za który informacje podlegają ujawnieniu, uwzględnianego</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wyl</w:t>
            </w:r>
            <w:r w:rsidRPr="00835753">
              <w:rPr>
                <w:rStyle w:val="TeksttreciTimesNewRoman105ptOdstpy0pt"/>
                <w:rFonts w:eastAsiaTheme="minorEastAsia"/>
                <w:sz w:val="24"/>
              </w:rPr>
              <w:t>iczaniu średniej wartości.</w:t>
            </w:r>
          </w:p>
        </w:tc>
      </w:tr>
      <w:tr w:rsidR="00D312C4" w:rsidRPr="00835753" w14:paraId="5FE9D154" w14:textId="77777777" w:rsidTr="00155C96">
        <w:trPr>
          <w:trHeight w:val="695"/>
        </w:trPr>
        <w:tc>
          <w:tcPr>
            <w:tcW w:w="1384" w:type="dxa"/>
          </w:tcPr>
          <w:p w14:paraId="5354B414"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090</w:t>
            </w:r>
          </w:p>
        </w:tc>
        <w:tc>
          <w:tcPr>
            <w:tcW w:w="7655" w:type="dxa"/>
          </w:tcPr>
          <w:p w14:paraId="738D4D70" w14:textId="77777777" w:rsidR="00D312C4" w:rsidRPr="00835753"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sidRPr="00835753">
              <w:rPr>
                <w:rStyle w:val="PogrubienieTeksttreciTimesNewRoman105ptOdstpy0pt"/>
                <w:rFonts w:eastAsia="Book Antiqua"/>
                <w:sz w:val="24"/>
                <w:szCs w:val="24"/>
              </w:rPr>
              <w:t>Wartość godziwa aktywów wolnych od obciążeń</w:t>
            </w:r>
          </w:p>
          <w:p w14:paraId="0EE0AA4A" w14:textId="169C4399" w:rsidR="00D312C4" w:rsidRPr="00835753" w:rsidRDefault="00D312C4" w:rsidP="00155C96">
            <w:pPr>
              <w:spacing w:after="120"/>
              <w:rPr>
                <w:rFonts w:ascii="Times New Roman" w:hAnsi="Times New Roman" w:cs="Times New Roman"/>
                <w:sz w:val="24"/>
              </w:rPr>
            </w:pPr>
            <w:r w:rsidRPr="00835753">
              <w:rPr>
                <w:rStyle w:val="TeksttreciTimesNewRoman105ptOdstpy0pt"/>
                <w:rFonts w:eastAsiaTheme="minorEastAsia"/>
                <w:sz w:val="24"/>
              </w:rPr>
              <w:t xml:space="preserve">Średnia wartość </w:t>
            </w:r>
            <w:r w:rsidRPr="00835753">
              <w:rPr>
                <w:rStyle w:val="InstructionsTabelleberschrift"/>
                <w:rFonts w:ascii="Times New Roman" w:hAnsi="Times New Roman"/>
                <w:b w:val="0"/>
                <w:sz w:val="24"/>
                <w:u w:val="none"/>
              </w:rPr>
              <w:t>wartości godziwej wolnych od obciążeń dłużnych papierów wartościowych posiadanych przez instytucję. Wartość godziwa instrumentu finansowego to cena, która zostałaby uzyskana ze sprzedaży składnika aktywów lub zapłacona za przeniesienie zobowiązania</w:t>
            </w:r>
            <w:r w:rsidR="00835753" w:rsidRPr="00835753">
              <w:rPr>
                <w:rStyle w:val="InstructionsTabelleberschrift"/>
                <w:rFonts w:ascii="Times New Roman" w:hAnsi="Times New Roman"/>
                <w:b w:val="0"/>
                <w:sz w:val="24"/>
                <w:u w:val="none"/>
              </w:rPr>
              <w:t xml:space="preserve"> w</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tra</w:t>
            </w:r>
            <w:r w:rsidRPr="00835753">
              <w:rPr>
                <w:rStyle w:val="InstructionsTabelleberschrift"/>
                <w:rFonts w:ascii="Times New Roman" w:hAnsi="Times New Roman"/>
                <w:b w:val="0"/>
                <w:sz w:val="24"/>
                <w:u w:val="none"/>
              </w:rPr>
              <w:t>nsakcji przeprowadzonej na zwykłych warunkach między uczestnikami rynku</w:t>
            </w:r>
            <w:r w:rsidR="00835753" w:rsidRPr="00835753">
              <w:rPr>
                <w:rStyle w:val="InstructionsTabelleberschrift"/>
                <w:rFonts w:ascii="Times New Roman" w:hAnsi="Times New Roman"/>
                <w:b w:val="0"/>
                <w:sz w:val="24"/>
                <w:u w:val="none"/>
              </w:rPr>
              <w:t xml:space="preserve"> w</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dni</w:t>
            </w:r>
            <w:r w:rsidRPr="00835753">
              <w:rPr>
                <w:rStyle w:val="InstructionsTabelleberschrift"/>
                <w:rFonts w:ascii="Times New Roman" w:hAnsi="Times New Roman"/>
                <w:b w:val="0"/>
                <w:sz w:val="24"/>
                <w:u w:val="none"/>
              </w:rPr>
              <w:t>u wyceny. (Zob. MSSF 13 Ustalanie wartości godziwej oraz MSSF 13</w:t>
            </w:r>
            <w:r w:rsidR="00835753" w:rsidRPr="00835753">
              <w:rPr>
                <w:rStyle w:val="InstructionsTabelleberschrift"/>
                <w:rFonts w:ascii="Times New Roman" w:hAnsi="Times New Roman"/>
                <w:b w:val="0"/>
                <w:sz w:val="24"/>
                <w:u w:val="none"/>
              </w:rPr>
              <w:t xml:space="preserve"> i</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art</w:t>
            </w:r>
            <w:r w:rsidRPr="00835753">
              <w:rPr>
                <w:rStyle w:val="InstructionsTabelleberschrift"/>
                <w:rFonts w:ascii="Times New Roman" w:hAnsi="Times New Roman"/>
                <w:b w:val="0"/>
                <w:sz w:val="24"/>
                <w:u w:val="none"/>
              </w:rPr>
              <w:t>.</w:t>
            </w:r>
            <w:r w:rsidR="00835753" w:rsidRPr="00835753">
              <w:rPr>
                <w:rStyle w:val="InstructionsTabelleberschrift"/>
                <w:rFonts w:ascii="Times New Roman" w:hAnsi="Times New Roman"/>
                <w:b w:val="0"/>
                <w:sz w:val="24"/>
                <w:u w:val="none"/>
              </w:rPr>
              <w:t> </w:t>
            </w:r>
            <w:r w:rsidRPr="00835753">
              <w:rPr>
                <w:rStyle w:val="InstructionsTabelleberschrift"/>
                <w:rFonts w:ascii="Times New Roman" w:hAnsi="Times New Roman"/>
                <w:b w:val="0"/>
                <w:sz w:val="24"/>
                <w:u w:val="none"/>
              </w:rPr>
              <w:t xml:space="preserve">8 dyrektywy 2013/34/UE). </w:t>
            </w:r>
          </w:p>
          <w:p w14:paraId="5BF1A23C" w14:textId="583FF9A9" w:rsidR="00D312C4" w:rsidRPr="00835753" w:rsidRDefault="00D312C4" w:rsidP="00155C96">
            <w:pPr>
              <w:autoSpaceDE w:val="0"/>
              <w:autoSpaceDN w:val="0"/>
              <w:adjustRightInd w:val="0"/>
              <w:spacing w:after="120"/>
              <w:jc w:val="both"/>
              <w:rPr>
                <w:rFonts w:ascii="Times New Roman" w:hAnsi="Times New Roman" w:cs="Times New Roman"/>
                <w:sz w:val="24"/>
              </w:rPr>
            </w:pPr>
            <w:r w:rsidRPr="00835753">
              <w:rPr>
                <w:rStyle w:val="TeksttreciTimesNewRoman105ptOdstpy0pt"/>
                <w:rFonts w:eastAsiaTheme="minorEastAsia"/>
                <w:sz w:val="24"/>
              </w:rPr>
              <w:t>W przypadku każdej</w:t>
            </w:r>
            <w:r w:rsidR="00835753" w:rsidRPr="00835753">
              <w:rPr>
                <w:rStyle w:val="TeksttreciTimesNewRoman105ptOdstpy0pt"/>
                <w:rFonts w:eastAsiaTheme="minorEastAsia"/>
                <w:sz w:val="24"/>
              </w:rPr>
              <w:t xml:space="preserve"> z</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kla</w:t>
            </w:r>
            <w:r w:rsidRPr="00835753">
              <w:rPr>
                <w:rStyle w:val="TeksttreciTimesNewRoman105ptOdstpy0pt"/>
                <w:rFonts w:eastAsiaTheme="minorEastAsia"/>
                <w:sz w:val="24"/>
              </w:rPr>
              <w:t>s aktywów ujawniona wartość godziwa jest średnią wartością poszczególnych wartości godziwych zaobserwowanych na koniec każdego okresu, za który informacje podlegają ujawnieniu, uwzględnianego</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wyl</w:t>
            </w:r>
            <w:r w:rsidRPr="00835753">
              <w:rPr>
                <w:rStyle w:val="TeksttreciTimesNewRoman105ptOdstpy0pt"/>
                <w:rFonts w:eastAsiaTheme="minorEastAsia"/>
                <w:sz w:val="24"/>
              </w:rPr>
              <w:t>iczaniu średniej wartości.</w:t>
            </w:r>
          </w:p>
        </w:tc>
      </w:tr>
      <w:tr w:rsidR="00D312C4" w:rsidRPr="00835753" w14:paraId="07EBAA56" w14:textId="77777777" w:rsidTr="00155C96">
        <w:trPr>
          <w:trHeight w:val="695"/>
        </w:trPr>
        <w:tc>
          <w:tcPr>
            <w:tcW w:w="1384" w:type="dxa"/>
          </w:tcPr>
          <w:p w14:paraId="2810752F"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100</w:t>
            </w:r>
          </w:p>
        </w:tc>
        <w:tc>
          <w:tcPr>
            <w:tcW w:w="7655" w:type="dxa"/>
          </w:tcPr>
          <w:p w14:paraId="1A6C549C" w14:textId="77777777" w:rsidR="00D312C4" w:rsidRPr="00835753" w:rsidRDefault="00D312C4" w:rsidP="00155C96">
            <w:pPr>
              <w:pStyle w:val="Teksttreci0"/>
              <w:shd w:val="clear" w:color="auto" w:fill="auto"/>
              <w:spacing w:after="120" w:line="240" w:lineRule="auto"/>
              <w:ind w:firstLine="0"/>
              <w:rPr>
                <w:sz w:val="24"/>
                <w:szCs w:val="24"/>
              </w:rPr>
            </w:pPr>
            <w:proofErr w:type="gramStart"/>
            <w:r w:rsidRPr="00835753">
              <w:rPr>
                <w:rStyle w:val="PogrubienieTeksttreciTimesNewRoman105ptOdstpy0pt"/>
                <w:rFonts w:eastAsia="Book Antiqua"/>
                <w:sz w:val="24"/>
                <w:szCs w:val="24"/>
              </w:rPr>
              <w:t>w</w:t>
            </w:r>
            <w:proofErr w:type="gramEnd"/>
            <w:r w:rsidRPr="00835753">
              <w:rPr>
                <w:rStyle w:val="PogrubienieTeksttreciTimesNewRoman105ptOdstpy0pt"/>
                <w:rFonts w:eastAsia="Book Antiqua"/>
                <w:sz w:val="24"/>
                <w:szCs w:val="24"/>
              </w:rPr>
              <w:t xml:space="preserve"> tym: EHQLA i HQLA</w:t>
            </w:r>
          </w:p>
          <w:p w14:paraId="48F6918E" w14:textId="7AC513F7" w:rsidR="00D312C4" w:rsidRPr="00835753" w:rsidRDefault="00D312C4" w:rsidP="00155C96">
            <w:pPr>
              <w:pStyle w:val="Fait"/>
              <w:spacing w:before="0" w:after="120"/>
              <w:rPr>
                <w:rStyle w:val="TeksttreciTimesNewRoman105ptOdstpy0pt"/>
                <w:rFonts w:eastAsia="Calibri"/>
              </w:rPr>
            </w:pPr>
            <w:r w:rsidRPr="00835753">
              <w:rPr>
                <w:rStyle w:val="TeksttreciTimesNewRoman105ptOdstpy0pt"/>
              </w:rPr>
              <w:t>Średnia wartość wartości godziwej wolnych od obciążeń EHQLA i HQLA wymienionych</w:t>
            </w:r>
            <w:r w:rsidR="00835753" w:rsidRPr="00835753">
              <w:rPr>
                <w:rStyle w:val="TeksttreciTimesNewRoman105ptOdstpy0pt"/>
              </w:rPr>
              <w:t xml:space="preserve"> w</w:t>
            </w:r>
            <w:r w:rsidR="00835753">
              <w:rPr>
                <w:rStyle w:val="TeksttreciTimesNewRoman105ptOdstpy0pt"/>
              </w:rPr>
              <w:t> </w:t>
            </w:r>
            <w:r w:rsidR="00835753" w:rsidRPr="00835753">
              <w:rPr>
                <w:rStyle w:val="TeksttreciTimesNewRoman105ptOdstpy0pt"/>
              </w:rPr>
              <w:t>art</w:t>
            </w:r>
            <w:r w:rsidRPr="00835753">
              <w:rPr>
                <w:rStyle w:val="TeksttreciTimesNewRoman105ptOdstpy0pt"/>
              </w:rPr>
              <w:t>.</w:t>
            </w:r>
            <w:r w:rsidR="00835753" w:rsidRPr="00835753">
              <w:rPr>
                <w:rStyle w:val="TeksttreciTimesNewRoman105ptOdstpy0pt"/>
              </w:rPr>
              <w:t> </w:t>
            </w:r>
            <w:r w:rsidRPr="00835753">
              <w:rPr>
                <w:rStyle w:val="TeksttreciTimesNewRoman105ptOdstpy0pt"/>
              </w:rPr>
              <w:t>10, 11, 12, 13, 15</w:t>
            </w:r>
            <w:r w:rsidR="00835753" w:rsidRPr="00835753">
              <w:rPr>
                <w:rStyle w:val="TeksttreciTimesNewRoman105ptOdstpy0pt"/>
              </w:rPr>
              <w:t xml:space="preserve"> i</w:t>
            </w:r>
            <w:r w:rsidR="00835753">
              <w:rPr>
                <w:rStyle w:val="TeksttreciTimesNewRoman105ptOdstpy0pt"/>
              </w:rPr>
              <w:t> </w:t>
            </w:r>
            <w:r w:rsidR="00835753" w:rsidRPr="00835753">
              <w:rPr>
                <w:rStyle w:val="TeksttreciTimesNewRoman105ptOdstpy0pt"/>
              </w:rPr>
              <w:t>1</w:t>
            </w:r>
            <w:r w:rsidRPr="00835753">
              <w:rPr>
                <w:rStyle w:val="TeksttreciTimesNewRoman105ptOdstpy0pt"/>
              </w:rPr>
              <w:t>6 rozporządzenia delegowanego Komisji (UE) 2015/61, które spełniają wymogi ogólne</w:t>
            </w:r>
            <w:r w:rsidR="00835753" w:rsidRPr="00835753">
              <w:rPr>
                <w:rStyle w:val="TeksttreciTimesNewRoman105ptOdstpy0pt"/>
              </w:rPr>
              <w:t xml:space="preserve"> i</w:t>
            </w:r>
            <w:r w:rsidR="00835753">
              <w:rPr>
                <w:rStyle w:val="TeksttreciTimesNewRoman105ptOdstpy0pt"/>
              </w:rPr>
              <w:t> </w:t>
            </w:r>
            <w:r w:rsidR="00835753" w:rsidRPr="00835753">
              <w:rPr>
                <w:rStyle w:val="TeksttreciTimesNewRoman105ptOdstpy0pt"/>
              </w:rPr>
              <w:t>wym</w:t>
            </w:r>
            <w:r w:rsidRPr="00835753">
              <w:rPr>
                <w:rStyle w:val="TeksttreciTimesNewRoman105ptOdstpy0pt"/>
              </w:rPr>
              <w:t>agania operacyjne określone</w:t>
            </w:r>
            <w:r w:rsidR="00835753" w:rsidRPr="00835753">
              <w:rPr>
                <w:rStyle w:val="TeksttreciTimesNewRoman105ptOdstpy0pt"/>
              </w:rPr>
              <w:t xml:space="preserve"> w</w:t>
            </w:r>
            <w:r w:rsidR="00835753">
              <w:rPr>
                <w:rStyle w:val="TeksttreciTimesNewRoman105ptOdstpy0pt"/>
              </w:rPr>
              <w:t> </w:t>
            </w:r>
            <w:r w:rsidR="00835753" w:rsidRPr="00835753">
              <w:rPr>
                <w:rStyle w:val="TeksttreciTimesNewRoman105ptOdstpy0pt"/>
              </w:rPr>
              <w:t>art</w:t>
            </w:r>
            <w:r w:rsidRPr="00835753">
              <w:rPr>
                <w:rStyle w:val="TeksttreciTimesNewRoman105ptOdstpy0pt"/>
              </w:rPr>
              <w:t>.</w:t>
            </w:r>
            <w:r w:rsidR="00835753" w:rsidRPr="00835753">
              <w:rPr>
                <w:rStyle w:val="TeksttreciTimesNewRoman105ptOdstpy0pt"/>
              </w:rPr>
              <w:t> </w:t>
            </w:r>
            <w:r w:rsidRPr="00835753">
              <w:rPr>
                <w:rStyle w:val="TeksttreciTimesNewRoman105ptOdstpy0pt"/>
              </w:rPr>
              <w:t>7</w:t>
            </w:r>
            <w:r w:rsidR="00835753" w:rsidRPr="00835753">
              <w:rPr>
                <w:rStyle w:val="TeksttreciTimesNewRoman105ptOdstpy0pt"/>
              </w:rPr>
              <w:t xml:space="preserve"> i</w:t>
            </w:r>
            <w:r w:rsidR="00835753">
              <w:rPr>
                <w:rStyle w:val="TeksttreciTimesNewRoman105ptOdstpy0pt"/>
              </w:rPr>
              <w:t> </w:t>
            </w:r>
            <w:r w:rsidR="00835753" w:rsidRPr="00835753">
              <w:rPr>
                <w:rStyle w:val="TeksttreciTimesNewRoman105ptOdstpy0pt"/>
              </w:rPr>
              <w:t>8</w:t>
            </w:r>
            <w:r w:rsidRPr="00835753">
              <w:rPr>
                <w:rStyle w:val="TeksttreciTimesNewRoman105ptOdstpy0pt"/>
              </w:rPr>
              <w:t xml:space="preserve"> rozporządzenia delegowanego Komisji (UE) 2015/61 oraz wymogi dla poszczególnych kategorii ekspozycji określone</w:t>
            </w:r>
            <w:r w:rsidR="00835753" w:rsidRPr="00835753">
              <w:rPr>
                <w:rStyle w:val="TeksttreciTimesNewRoman105ptOdstpy0pt"/>
              </w:rPr>
              <w:t xml:space="preserve"> w</w:t>
            </w:r>
            <w:r w:rsidR="00835753">
              <w:rPr>
                <w:rStyle w:val="TeksttreciTimesNewRoman105ptOdstpy0pt"/>
              </w:rPr>
              <w:t> </w:t>
            </w:r>
            <w:r w:rsidR="00835753" w:rsidRPr="00835753">
              <w:rPr>
                <w:rStyle w:val="TeksttreciTimesNewRoman105ptOdstpy0pt"/>
              </w:rPr>
              <w:t>art</w:t>
            </w:r>
            <w:r w:rsidRPr="00835753">
              <w:rPr>
                <w:rStyle w:val="TeksttreciTimesNewRoman105ptOdstpy0pt"/>
              </w:rPr>
              <w:t>.</w:t>
            </w:r>
            <w:r w:rsidR="00835753" w:rsidRPr="00835753">
              <w:rPr>
                <w:rStyle w:val="TeksttreciTimesNewRoman105ptOdstpy0pt"/>
              </w:rPr>
              <w:t> </w:t>
            </w:r>
            <w:r w:rsidRPr="00835753">
              <w:rPr>
                <w:rStyle w:val="TeksttreciTimesNewRoman105ptOdstpy0pt"/>
              </w:rPr>
              <w:t>10–16</w:t>
            </w:r>
            <w:r w:rsidR="00835753" w:rsidRPr="00835753">
              <w:rPr>
                <w:rStyle w:val="TeksttreciTimesNewRoman105ptOdstpy0pt"/>
              </w:rPr>
              <w:t xml:space="preserve"> i</w:t>
            </w:r>
            <w:r w:rsidR="00835753">
              <w:rPr>
                <w:rStyle w:val="TeksttreciTimesNewRoman105ptOdstpy0pt"/>
              </w:rPr>
              <w:t> </w:t>
            </w:r>
            <w:r w:rsidR="00835753" w:rsidRPr="00835753">
              <w:rPr>
                <w:rStyle w:val="TeksttreciTimesNewRoman105ptOdstpy0pt"/>
              </w:rPr>
              <w:t>3</w:t>
            </w:r>
            <w:r w:rsidRPr="00835753">
              <w:rPr>
                <w:rStyle w:val="TeksttreciTimesNewRoman105ptOdstpy0pt"/>
              </w:rPr>
              <w:t xml:space="preserve">5–37 rozporządzenia delegowanego Komisji (UE) 2015/61. Wartość godziwa EHQLA i HQLA odpowiada </w:t>
            </w:r>
            <w:r w:rsidRPr="00835753">
              <w:rPr>
                <w:rStyle w:val="TeksttreciTimesNewRoman105ptOdstpy0pt"/>
              </w:rPr>
              <w:lastRenderedPageBreak/>
              <w:t>wartości godziwej przed zastosowaniem redukcji wartości określonych</w:t>
            </w:r>
            <w:r w:rsidR="00835753" w:rsidRPr="00835753">
              <w:rPr>
                <w:rStyle w:val="TeksttreciTimesNewRoman105ptOdstpy0pt"/>
              </w:rPr>
              <w:t xml:space="preserve"> w</w:t>
            </w:r>
            <w:r w:rsidR="00835753">
              <w:rPr>
                <w:rStyle w:val="TeksttreciTimesNewRoman105ptOdstpy0pt"/>
              </w:rPr>
              <w:t> </w:t>
            </w:r>
            <w:r w:rsidR="00835753" w:rsidRPr="00835753">
              <w:rPr>
                <w:rStyle w:val="TeksttreciTimesNewRoman105ptOdstpy0pt"/>
              </w:rPr>
              <w:t>art</w:t>
            </w:r>
            <w:r w:rsidRPr="00835753">
              <w:rPr>
                <w:rStyle w:val="TeksttreciTimesNewRoman105ptOdstpy0pt"/>
              </w:rPr>
              <w:t>.</w:t>
            </w:r>
            <w:r w:rsidR="00835753" w:rsidRPr="00835753">
              <w:rPr>
                <w:rStyle w:val="TeksttreciTimesNewRoman105ptOdstpy0pt"/>
              </w:rPr>
              <w:t> </w:t>
            </w:r>
            <w:r w:rsidRPr="00835753">
              <w:rPr>
                <w:rStyle w:val="TeksttreciTimesNewRoman105ptOdstpy0pt"/>
              </w:rPr>
              <w:t>10–16 rozporządzenia delegowanego Komisji (UE) 2015/61.</w:t>
            </w:r>
          </w:p>
          <w:p w14:paraId="363AC6DC" w14:textId="4C09DEC6" w:rsidR="00D312C4" w:rsidRPr="00835753" w:rsidRDefault="00D312C4" w:rsidP="00155C96">
            <w:pPr>
              <w:pStyle w:val="Fait"/>
              <w:spacing w:before="0" w:after="120"/>
            </w:pPr>
            <w:r w:rsidRPr="00835753">
              <w:rPr>
                <w:rStyle w:val="TeksttreciTimesNewRoman105ptOdstpy0pt"/>
              </w:rPr>
              <w:t>W przypadku każdej</w:t>
            </w:r>
            <w:r w:rsidR="00835753" w:rsidRPr="00835753">
              <w:rPr>
                <w:rStyle w:val="TeksttreciTimesNewRoman105ptOdstpy0pt"/>
              </w:rPr>
              <w:t xml:space="preserve"> z</w:t>
            </w:r>
            <w:r w:rsidR="00835753">
              <w:rPr>
                <w:rStyle w:val="TeksttreciTimesNewRoman105ptOdstpy0pt"/>
              </w:rPr>
              <w:t> </w:t>
            </w:r>
            <w:r w:rsidR="00835753" w:rsidRPr="00835753">
              <w:rPr>
                <w:rStyle w:val="TeksttreciTimesNewRoman105ptOdstpy0pt"/>
              </w:rPr>
              <w:t>kla</w:t>
            </w:r>
            <w:r w:rsidRPr="00835753">
              <w:rPr>
                <w:rStyle w:val="TeksttreciTimesNewRoman105ptOdstpy0pt"/>
              </w:rPr>
              <w:t>s aktywów ujawniona wartość godziwa jest średnią wartością poszczególnych wartości godziwych zaobserwowanych na koniec każdego okresu, za który informacje podlegają ujawnieniu, uwzględnianego</w:t>
            </w:r>
            <w:r w:rsidR="00835753" w:rsidRPr="00835753">
              <w:rPr>
                <w:rStyle w:val="TeksttreciTimesNewRoman105ptOdstpy0pt"/>
              </w:rPr>
              <w:t xml:space="preserve"> w</w:t>
            </w:r>
            <w:r w:rsidR="00835753">
              <w:rPr>
                <w:rStyle w:val="TeksttreciTimesNewRoman105ptOdstpy0pt"/>
              </w:rPr>
              <w:t> </w:t>
            </w:r>
            <w:r w:rsidR="00835753" w:rsidRPr="00835753">
              <w:rPr>
                <w:rStyle w:val="TeksttreciTimesNewRoman105ptOdstpy0pt"/>
              </w:rPr>
              <w:t>wyl</w:t>
            </w:r>
            <w:r w:rsidRPr="00835753">
              <w:rPr>
                <w:rStyle w:val="TeksttreciTimesNewRoman105ptOdstpy0pt"/>
              </w:rPr>
              <w:t>iczaniu średniej wartości.</w:t>
            </w:r>
          </w:p>
        </w:tc>
      </w:tr>
    </w:tbl>
    <w:p w14:paraId="76F2527F" w14:textId="77777777" w:rsidR="00D312C4" w:rsidRPr="00835753" w:rsidRDefault="00D312C4" w:rsidP="00D312C4">
      <w:pPr>
        <w:spacing w:after="120"/>
        <w:rPr>
          <w:rFonts w:ascii="Times New Roman" w:hAnsi="Times New Roman"/>
          <w:b/>
        </w:rPr>
      </w:pPr>
    </w:p>
    <w:p w14:paraId="4953C740" w14:textId="1D005DAB" w:rsidR="00D312C4" w:rsidRPr="00835753" w:rsidRDefault="00D312C4" w:rsidP="00D312C4">
      <w:pPr>
        <w:spacing w:after="120"/>
        <w:rPr>
          <w:rFonts w:ascii="Times New Roman" w:hAnsi="Times New Roman" w:cs="Times New Roman"/>
        </w:rPr>
      </w:pPr>
      <w:r w:rsidRPr="00835753">
        <w:rPr>
          <w:rFonts w:ascii="Times New Roman" w:hAnsi="Times New Roman"/>
          <w:b/>
        </w:rPr>
        <w:t>Wzór EU AE2 – Otrzymane zabezpieczenia</w:t>
      </w:r>
      <w:r w:rsidR="00835753" w:rsidRPr="00835753">
        <w:rPr>
          <w:rFonts w:ascii="Times New Roman" w:hAnsi="Times New Roman"/>
          <w:b/>
        </w:rPr>
        <w:t xml:space="preserve"> i</w:t>
      </w:r>
      <w:r w:rsidR="00835753">
        <w:rPr>
          <w:rFonts w:ascii="Times New Roman" w:hAnsi="Times New Roman"/>
          <w:b/>
        </w:rPr>
        <w:t> </w:t>
      </w:r>
      <w:r w:rsidR="00835753" w:rsidRPr="00835753">
        <w:rPr>
          <w:rFonts w:ascii="Times New Roman" w:hAnsi="Times New Roman"/>
          <w:b/>
        </w:rPr>
        <w:t>wye</w:t>
      </w:r>
      <w:r w:rsidRPr="00835753">
        <w:rPr>
          <w:rFonts w:ascii="Times New Roman" w:hAnsi="Times New Roman"/>
          <w:b/>
        </w:rPr>
        <w:t>mitowane własne dłużne papiery wartościowe</w:t>
      </w:r>
    </w:p>
    <w:p w14:paraId="2E0FB87E" w14:textId="06FD6493" w:rsidR="00D312C4" w:rsidRPr="00835753"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sidRPr="00835753">
        <w:rPr>
          <w:sz w:val="24"/>
          <w:szCs w:val="24"/>
        </w:rPr>
        <w:t>Instytucje wypełniają wzór EU AE2 zamieszczony</w:t>
      </w:r>
      <w:r w:rsidR="00835753" w:rsidRPr="00835753">
        <w:rPr>
          <w:sz w:val="24"/>
          <w:szCs w:val="24"/>
        </w:rPr>
        <w:t xml:space="preserve"> w</w:t>
      </w:r>
      <w:r w:rsidR="00835753">
        <w:rPr>
          <w:sz w:val="24"/>
          <w:szCs w:val="24"/>
        </w:rPr>
        <w:t> </w:t>
      </w:r>
      <w:r w:rsidR="00835753" w:rsidRPr="00835753">
        <w:rPr>
          <w:sz w:val="24"/>
          <w:szCs w:val="24"/>
        </w:rPr>
        <w:t>zał</w:t>
      </w:r>
      <w:r w:rsidRPr="00835753">
        <w:rPr>
          <w:sz w:val="24"/>
          <w:szCs w:val="24"/>
        </w:rPr>
        <w:t>ączniku XXXV do niniejszego rozporządzenia wykonawczego</w:t>
      </w:r>
      <w:r w:rsidRPr="00835753">
        <w:rPr>
          <w:sz w:val="24"/>
        </w:rPr>
        <w:t xml:space="preserve"> </w:t>
      </w:r>
      <w:r w:rsidRPr="00835753">
        <w:rPr>
          <w:sz w:val="24"/>
          <w:szCs w:val="24"/>
        </w:rPr>
        <w:t>zgodnie</w:t>
      </w:r>
      <w:r w:rsidR="00835753" w:rsidRPr="00835753">
        <w:rPr>
          <w:sz w:val="24"/>
          <w:szCs w:val="24"/>
        </w:rPr>
        <w:t xml:space="preserve"> z</w:t>
      </w:r>
      <w:r w:rsidR="00835753">
        <w:rPr>
          <w:sz w:val="24"/>
          <w:szCs w:val="24"/>
        </w:rPr>
        <w:t> </w:t>
      </w:r>
      <w:r w:rsidR="00835753" w:rsidRPr="00835753">
        <w:rPr>
          <w:sz w:val="24"/>
          <w:szCs w:val="24"/>
        </w:rPr>
        <w:t>pon</w:t>
      </w:r>
      <w:r w:rsidRPr="00835753">
        <w:rPr>
          <w:sz w:val="24"/>
          <w:szCs w:val="24"/>
        </w:rPr>
        <w:t>iższymi instrukcjami.</w:t>
      </w:r>
    </w:p>
    <w:p w14:paraId="2C25963D" w14:textId="77777777" w:rsidR="00D312C4" w:rsidRPr="00835753"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835753"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2A12BCBF" w:rsidR="00D312C4" w:rsidRPr="00835753" w:rsidRDefault="00D312C4"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D312C4" w:rsidRPr="00835753" w14:paraId="6C3E0F13" w14:textId="77777777" w:rsidTr="00155C96">
        <w:trPr>
          <w:trHeight w:val="704"/>
        </w:trPr>
        <w:tc>
          <w:tcPr>
            <w:tcW w:w="1384" w:type="dxa"/>
            <w:shd w:val="clear" w:color="auto" w:fill="D9D9D9" w:themeFill="background1" w:themeFillShade="D9"/>
          </w:tcPr>
          <w:p w14:paraId="0811BCC4" w14:textId="77777777" w:rsidR="00D312C4" w:rsidRPr="00835753" w:rsidRDefault="00D312C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2B836ECA" w14:textId="77777777" w:rsidR="00D312C4" w:rsidRPr="00835753" w:rsidRDefault="00D312C4" w:rsidP="00155C96">
            <w:pPr>
              <w:autoSpaceDE w:val="0"/>
              <w:autoSpaceDN w:val="0"/>
              <w:adjustRightInd w:val="0"/>
              <w:spacing w:after="120"/>
              <w:rPr>
                <w:rFonts w:ascii="Times New Roman" w:hAnsi="Times New Roman" w:cs="Times New Roman"/>
                <w:color w:val="000000"/>
                <w:sz w:val="20"/>
                <w:szCs w:val="20"/>
              </w:rPr>
            </w:pPr>
            <w:r w:rsidRPr="00835753">
              <w:rPr>
                <w:rFonts w:ascii="Times New Roman" w:hAnsi="Times New Roman"/>
                <w:b/>
                <w:sz w:val="24"/>
              </w:rPr>
              <w:t>Wyjaśnienie</w:t>
            </w:r>
          </w:p>
        </w:tc>
      </w:tr>
      <w:tr w:rsidR="00D312C4" w:rsidRPr="00835753" w14:paraId="75A894F9" w14:textId="77777777" w:rsidTr="00155C96">
        <w:trPr>
          <w:trHeight w:val="2031"/>
        </w:trPr>
        <w:tc>
          <w:tcPr>
            <w:tcW w:w="1384" w:type="dxa"/>
          </w:tcPr>
          <w:p w14:paraId="23D547FC" w14:textId="77777777" w:rsidR="00D312C4" w:rsidRPr="00835753" w:rsidRDefault="00D312C4" w:rsidP="00155C96">
            <w:pPr>
              <w:pStyle w:val="Applicationdirecte"/>
              <w:spacing w:before="0"/>
            </w:pPr>
            <w:r w:rsidRPr="00835753">
              <w:t>130</w:t>
            </w:r>
          </w:p>
        </w:tc>
        <w:tc>
          <w:tcPr>
            <w:tcW w:w="7655" w:type="dxa"/>
          </w:tcPr>
          <w:p w14:paraId="48376098" w14:textId="77777777"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Zabezpieczenia otrzymane przez instytucję ujawniającą informacje</w:t>
            </w:r>
          </w:p>
          <w:p w14:paraId="0F817D17" w14:textId="58E8BBA2" w:rsidR="00D312C4" w:rsidRPr="00835753" w:rsidRDefault="00D312C4" w:rsidP="00155C96">
            <w:pPr>
              <w:spacing w:after="120"/>
              <w:jc w:val="both"/>
              <w:rPr>
                <w:rFonts w:ascii="Times New Roman" w:hAnsi="Times New Roman" w:cs="Times New Roman"/>
                <w:sz w:val="24"/>
              </w:rPr>
            </w:pPr>
            <w:r w:rsidRPr="00835753">
              <w:rPr>
                <w:rStyle w:val="TeksttreciTimesNewRoman105ptOdstpy0pt"/>
                <w:rFonts w:eastAsiaTheme="minorEastAsia"/>
                <w:sz w:val="24"/>
              </w:rPr>
              <w:t>Wszystkie klasy zabezpieczenia otrzymanego przez ujawniającą instytucję</w:t>
            </w:r>
            <w:r w:rsidR="00835753" w:rsidRPr="00835753">
              <w:rPr>
                <w:rStyle w:val="TeksttreciTimesNewRoman105ptOdstpy0pt"/>
                <w:rFonts w:eastAsiaTheme="minorEastAsia"/>
                <w:sz w:val="24"/>
              </w:rPr>
              <w:t>.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tym</w:t>
            </w:r>
            <w:r w:rsidRPr="00835753">
              <w:rPr>
                <w:rStyle w:val="TeksttreciTimesNewRoman105ptOdstpy0pt"/>
                <w:rFonts w:eastAsiaTheme="minorEastAsia"/>
                <w:sz w:val="24"/>
              </w:rPr>
              <w:t xml:space="preserve"> wierszu ujawniane są wszystkie papiery wartościowe otrzymane przez instytucję zaciągającą pożyczkę</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ram</w:t>
            </w:r>
            <w:r w:rsidRPr="00835753">
              <w:rPr>
                <w:rStyle w:val="TeksttreciTimesNewRoman105ptOdstpy0pt"/>
                <w:rFonts w:eastAsiaTheme="minorEastAsia"/>
                <w:sz w:val="24"/>
              </w:rPr>
              <w:t>ach dowolnych transakcji zaciągania pożyczek papierów wartościowych. Łączne zabezpieczenia otrzymane przez instytucję jest średnią sum czterech wartości na koniec kwartału</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cią</w:t>
            </w:r>
            <w:r w:rsidRPr="00835753">
              <w:rPr>
                <w:rStyle w:val="TeksttreciTimesNewRoman105ptOdstpy0pt"/>
                <w:rFonts w:eastAsiaTheme="minorEastAsia"/>
                <w:sz w:val="24"/>
              </w:rPr>
              <w:t>gu poprzednich dwunastu miesięcy</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wie</w:t>
            </w:r>
            <w:r w:rsidRPr="00835753">
              <w:rPr>
                <w:rStyle w:val="TeksttreciTimesNewRoman105ptOdstpy0pt"/>
                <w:rFonts w:eastAsiaTheme="minorEastAsia"/>
                <w:sz w:val="24"/>
              </w:rPr>
              <w:t>rszach 140–160, 220</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2</w:t>
            </w:r>
            <w:r w:rsidRPr="00835753">
              <w:rPr>
                <w:rStyle w:val="TeksttreciTimesNewRoman105ptOdstpy0pt"/>
                <w:rFonts w:eastAsiaTheme="minorEastAsia"/>
                <w:sz w:val="24"/>
              </w:rPr>
              <w:t>30.</w:t>
            </w:r>
          </w:p>
        </w:tc>
      </w:tr>
      <w:tr w:rsidR="00D312C4" w:rsidRPr="00835753" w14:paraId="5D0D99D9" w14:textId="77777777" w:rsidTr="00155C96">
        <w:trPr>
          <w:trHeight w:val="316"/>
        </w:trPr>
        <w:tc>
          <w:tcPr>
            <w:tcW w:w="1384" w:type="dxa"/>
          </w:tcPr>
          <w:p w14:paraId="5F680872" w14:textId="77777777" w:rsidR="00D312C4" w:rsidRPr="00835753" w:rsidRDefault="00D312C4" w:rsidP="00155C96">
            <w:pPr>
              <w:autoSpaceDE w:val="0"/>
              <w:autoSpaceDN w:val="0"/>
              <w:adjustRightInd w:val="0"/>
              <w:spacing w:after="120"/>
              <w:rPr>
                <w:rFonts w:ascii="Times New Roman" w:hAnsi="Times New Roman" w:cs="Times New Roman"/>
                <w:color w:val="000000"/>
                <w:sz w:val="20"/>
                <w:szCs w:val="20"/>
              </w:rPr>
            </w:pPr>
            <w:r w:rsidRPr="00835753">
              <w:rPr>
                <w:rFonts w:ascii="Times New Roman" w:hAnsi="Times New Roman"/>
                <w:sz w:val="24"/>
              </w:rPr>
              <w:t>140</w:t>
            </w:r>
          </w:p>
        </w:tc>
        <w:tc>
          <w:tcPr>
            <w:tcW w:w="7655" w:type="dxa"/>
          </w:tcPr>
          <w:p w14:paraId="3518DE26" w14:textId="77777777"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Kredyty na żądanie</w:t>
            </w:r>
          </w:p>
          <w:p w14:paraId="160F1E64" w14:textId="412DE26E" w:rsidR="00D312C4" w:rsidRPr="00835753" w:rsidRDefault="00D312C4" w:rsidP="00155C96">
            <w:pPr>
              <w:autoSpaceDE w:val="0"/>
              <w:autoSpaceDN w:val="0"/>
              <w:adjustRightInd w:val="0"/>
              <w:spacing w:after="120"/>
              <w:jc w:val="both"/>
              <w:rPr>
                <w:rFonts w:ascii="Times New Roman" w:eastAsia="Times New Roman" w:hAnsi="Times New Roman" w:cs="Times New Roman"/>
                <w:sz w:val="24"/>
              </w:rPr>
            </w:pPr>
            <w:r w:rsidRPr="00835753">
              <w:rPr>
                <w:rStyle w:val="TeksttreciTimesNewRoman105ptOdstpy0pt"/>
                <w:rFonts w:eastAsiaTheme="minorEastAsia"/>
                <w:sz w:val="24"/>
              </w:rPr>
              <w:t>W tym wierszu ujawniana jest średnia wartość zabezpieczenia otrzymanego przez instytucję</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obe</w:t>
            </w:r>
            <w:r w:rsidRPr="00835753">
              <w:rPr>
                <w:rStyle w:val="TeksttreciTimesNewRoman105ptOdstpy0pt"/>
                <w:rFonts w:eastAsiaTheme="minorEastAsia"/>
                <w:sz w:val="24"/>
              </w:rPr>
              <w:t>jmującego kredyty na żądanie (zob. odniesienia prawne</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ins</w:t>
            </w:r>
            <w:r w:rsidRPr="00835753">
              <w:rPr>
                <w:rStyle w:val="TeksttreciTimesNewRoman105ptOdstpy0pt"/>
                <w:rFonts w:eastAsiaTheme="minorEastAsia"/>
                <w:sz w:val="24"/>
              </w:rPr>
              <w:t>trukcje dotyczące wiersza 120 we wzorze EU AE1). Obejmuje ona wszystkie papiery wartościowe otrzymane przez instytucję zaciągającą pożyczkę</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ram</w:t>
            </w:r>
            <w:r w:rsidRPr="00835753">
              <w:rPr>
                <w:rStyle w:val="TeksttreciTimesNewRoman105ptOdstpy0pt"/>
                <w:rFonts w:eastAsiaTheme="minorEastAsia"/>
                <w:sz w:val="24"/>
              </w:rPr>
              <w:t>ach dowolnych transakcji zaciągania pożyczek papierów wartościowych.</w:t>
            </w:r>
          </w:p>
        </w:tc>
      </w:tr>
      <w:tr w:rsidR="00D312C4" w:rsidRPr="00835753" w14:paraId="6661CBBF" w14:textId="77777777" w:rsidTr="00155C96">
        <w:trPr>
          <w:trHeight w:val="316"/>
        </w:trPr>
        <w:tc>
          <w:tcPr>
            <w:tcW w:w="1384" w:type="dxa"/>
          </w:tcPr>
          <w:p w14:paraId="6DD40A86"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150</w:t>
            </w:r>
          </w:p>
        </w:tc>
        <w:tc>
          <w:tcPr>
            <w:tcW w:w="7655" w:type="dxa"/>
          </w:tcPr>
          <w:p w14:paraId="7AA497B5" w14:textId="77777777"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Instrumenty kapitałowe</w:t>
            </w:r>
          </w:p>
          <w:p w14:paraId="175D03A7" w14:textId="01F32137" w:rsidR="00D312C4" w:rsidRPr="00835753" w:rsidRDefault="00D312C4" w:rsidP="00CD3A14">
            <w:pPr>
              <w:autoSpaceDE w:val="0"/>
              <w:autoSpaceDN w:val="0"/>
              <w:adjustRightInd w:val="0"/>
              <w:spacing w:after="120"/>
              <w:jc w:val="both"/>
              <w:rPr>
                <w:rFonts w:ascii="Times New Roman" w:hAnsi="Times New Roman" w:cs="Times New Roman"/>
                <w:b/>
                <w:sz w:val="24"/>
              </w:rPr>
            </w:pPr>
            <w:r w:rsidRPr="00835753">
              <w:rPr>
                <w:rStyle w:val="TeksttreciTimesNewRoman105ptOdstpy0pt"/>
                <w:rFonts w:eastAsiaTheme="minorEastAsia"/>
                <w:sz w:val="24"/>
              </w:rPr>
              <w:t>Średnia wartość zabezpieczenia otrzymanego przez instytucję</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obe</w:t>
            </w:r>
            <w:r w:rsidRPr="00835753">
              <w:rPr>
                <w:rStyle w:val="TeksttreciTimesNewRoman105ptOdstpy0pt"/>
                <w:rFonts w:eastAsiaTheme="minorEastAsia"/>
                <w:sz w:val="24"/>
              </w:rPr>
              <w:t>jmującego instrumenty kapitałowe (zob. odniesienia prawne</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ins</w:t>
            </w:r>
            <w:r w:rsidRPr="00835753">
              <w:rPr>
                <w:rStyle w:val="TeksttreciTimesNewRoman105ptOdstpy0pt"/>
                <w:rFonts w:eastAsiaTheme="minorEastAsia"/>
                <w:sz w:val="24"/>
              </w:rPr>
              <w:t>trukcje dotyczące wiersza 030 we wzorze EU AE1). Obejmuje ona wszystkie papiery wartościowe otrzymane przez instytucję zaciągającą pożyczkę</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ram</w:t>
            </w:r>
            <w:r w:rsidRPr="00835753">
              <w:rPr>
                <w:rStyle w:val="TeksttreciTimesNewRoman105ptOdstpy0pt"/>
                <w:rFonts w:eastAsiaTheme="minorEastAsia"/>
                <w:sz w:val="24"/>
              </w:rPr>
              <w:t>ach dowolnych transakcji zaciągania pożyczek papierów wartościowych.</w:t>
            </w:r>
          </w:p>
        </w:tc>
      </w:tr>
      <w:tr w:rsidR="00D312C4" w:rsidRPr="00835753" w14:paraId="63395E56" w14:textId="77777777" w:rsidTr="00155C96">
        <w:trPr>
          <w:trHeight w:val="316"/>
        </w:trPr>
        <w:tc>
          <w:tcPr>
            <w:tcW w:w="1384" w:type="dxa"/>
          </w:tcPr>
          <w:p w14:paraId="50D2536D"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160</w:t>
            </w:r>
          </w:p>
        </w:tc>
        <w:tc>
          <w:tcPr>
            <w:tcW w:w="7655" w:type="dxa"/>
          </w:tcPr>
          <w:p w14:paraId="2FD74BCC" w14:textId="77777777"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Dłużne papiery wartościowe</w:t>
            </w:r>
          </w:p>
          <w:p w14:paraId="7183AAB9" w14:textId="10882C8B" w:rsidR="00D312C4" w:rsidRPr="00835753" w:rsidRDefault="00D312C4" w:rsidP="00CD3A14">
            <w:pPr>
              <w:autoSpaceDE w:val="0"/>
              <w:autoSpaceDN w:val="0"/>
              <w:adjustRightInd w:val="0"/>
              <w:spacing w:after="120"/>
              <w:jc w:val="both"/>
              <w:rPr>
                <w:rFonts w:ascii="Times New Roman" w:hAnsi="Times New Roman" w:cs="Times New Roman"/>
                <w:b/>
                <w:sz w:val="24"/>
              </w:rPr>
            </w:pPr>
            <w:r w:rsidRPr="00835753">
              <w:rPr>
                <w:rStyle w:val="TeksttreciTimesNewRoman105ptOdstpy0pt"/>
                <w:rFonts w:eastAsiaTheme="minorEastAsia"/>
                <w:sz w:val="24"/>
              </w:rPr>
              <w:t>Średnia wartość zabezpieczenia otrzymanego przez instytucję</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obe</w:t>
            </w:r>
            <w:r w:rsidRPr="00835753">
              <w:rPr>
                <w:rStyle w:val="TeksttreciTimesNewRoman105ptOdstpy0pt"/>
                <w:rFonts w:eastAsiaTheme="minorEastAsia"/>
                <w:sz w:val="24"/>
              </w:rPr>
              <w:t>jmującego dłużne papiery wartościowe (zob. odniesienia prawne</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ins</w:t>
            </w:r>
            <w:r w:rsidRPr="00835753">
              <w:rPr>
                <w:rStyle w:val="TeksttreciTimesNewRoman105ptOdstpy0pt"/>
                <w:rFonts w:eastAsiaTheme="minorEastAsia"/>
                <w:sz w:val="24"/>
              </w:rPr>
              <w:t xml:space="preserve">trukcje dotyczące wiersza 040 we wzorze EU AE1). Obejmuje ona wszystkie papiery wartościowe otrzymane przez instytucję zaciągającą </w:t>
            </w:r>
            <w:r w:rsidRPr="00835753">
              <w:rPr>
                <w:rStyle w:val="TeksttreciTimesNewRoman105ptOdstpy0pt"/>
                <w:rFonts w:eastAsiaTheme="minorEastAsia"/>
                <w:sz w:val="24"/>
              </w:rPr>
              <w:lastRenderedPageBreak/>
              <w:t>pożyczkę</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ram</w:t>
            </w:r>
            <w:r w:rsidRPr="00835753">
              <w:rPr>
                <w:rStyle w:val="TeksttreciTimesNewRoman105ptOdstpy0pt"/>
                <w:rFonts w:eastAsiaTheme="minorEastAsia"/>
                <w:sz w:val="24"/>
              </w:rPr>
              <w:t>ach dowolnych transakcji zaciągania pożyczek papierów wartościowych.</w:t>
            </w:r>
          </w:p>
        </w:tc>
      </w:tr>
      <w:tr w:rsidR="00D312C4" w:rsidRPr="00835753" w14:paraId="340F3374" w14:textId="77777777" w:rsidTr="00155C96">
        <w:trPr>
          <w:trHeight w:val="316"/>
        </w:trPr>
        <w:tc>
          <w:tcPr>
            <w:tcW w:w="1384" w:type="dxa"/>
          </w:tcPr>
          <w:p w14:paraId="2AE4EF12"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lastRenderedPageBreak/>
              <w:t>170</w:t>
            </w:r>
          </w:p>
        </w:tc>
        <w:tc>
          <w:tcPr>
            <w:tcW w:w="7655" w:type="dxa"/>
          </w:tcPr>
          <w:p w14:paraId="2BB4599C" w14:textId="77777777" w:rsidR="00D312C4" w:rsidRPr="00835753" w:rsidRDefault="00D312C4" w:rsidP="00155C96">
            <w:pPr>
              <w:pStyle w:val="Teksttreci0"/>
              <w:shd w:val="clear" w:color="auto" w:fill="auto"/>
              <w:spacing w:after="120" w:line="240" w:lineRule="auto"/>
              <w:ind w:firstLine="0"/>
              <w:rPr>
                <w:sz w:val="24"/>
                <w:szCs w:val="24"/>
              </w:rPr>
            </w:pPr>
            <w:proofErr w:type="gramStart"/>
            <w:r w:rsidRPr="00835753">
              <w:rPr>
                <w:rStyle w:val="PogrubienieTeksttreciTimesNewRoman105ptOdstpy0pt"/>
                <w:rFonts w:eastAsia="Book Antiqua"/>
                <w:sz w:val="24"/>
                <w:szCs w:val="24"/>
              </w:rPr>
              <w:t>w</w:t>
            </w:r>
            <w:proofErr w:type="gramEnd"/>
            <w:r w:rsidRPr="00835753">
              <w:rPr>
                <w:rStyle w:val="PogrubienieTeksttreciTimesNewRoman105ptOdstpy0pt"/>
                <w:rFonts w:eastAsia="Book Antiqua"/>
                <w:sz w:val="24"/>
                <w:szCs w:val="24"/>
              </w:rPr>
              <w:t xml:space="preserve"> tym: obligacje zabezpieczone</w:t>
            </w:r>
          </w:p>
          <w:p w14:paraId="40DE87DE" w14:textId="67568318" w:rsidR="00D312C4" w:rsidRPr="00835753" w:rsidRDefault="00D312C4" w:rsidP="00155C96">
            <w:pPr>
              <w:autoSpaceDE w:val="0"/>
              <w:autoSpaceDN w:val="0"/>
              <w:adjustRightInd w:val="0"/>
              <w:spacing w:after="120"/>
              <w:jc w:val="both"/>
              <w:rPr>
                <w:rFonts w:ascii="Times New Roman" w:hAnsi="Times New Roman" w:cs="Times New Roman"/>
                <w:b/>
                <w:sz w:val="24"/>
              </w:rPr>
            </w:pPr>
            <w:r w:rsidRPr="00835753">
              <w:rPr>
                <w:rStyle w:val="TeksttreciTimesNewRoman105ptOdstpy0pt"/>
                <w:rFonts w:eastAsiaTheme="minorEastAsia"/>
                <w:sz w:val="24"/>
              </w:rPr>
              <w:t>Średnia wartość zabezpieczenia otrzymanego przez instytucję</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obe</w:t>
            </w:r>
            <w:r w:rsidRPr="00835753">
              <w:rPr>
                <w:rStyle w:val="TeksttreciTimesNewRoman105ptOdstpy0pt"/>
                <w:rFonts w:eastAsiaTheme="minorEastAsia"/>
                <w:sz w:val="24"/>
              </w:rPr>
              <w:t>jmującego obligacje zabezpieczone (zob. odniesienia prawne</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ins</w:t>
            </w:r>
            <w:r w:rsidRPr="00835753">
              <w:rPr>
                <w:rStyle w:val="TeksttreciTimesNewRoman105ptOdstpy0pt"/>
                <w:rFonts w:eastAsiaTheme="minorEastAsia"/>
                <w:sz w:val="24"/>
              </w:rPr>
              <w:t>trukcje dotyczące wiersza 050 we wzorze EU AE1). Obejmuje ona wszystkie papiery wartościowe otrzymane przez instytucję zaciągającą pożyczkę</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ram</w:t>
            </w:r>
            <w:r w:rsidRPr="00835753">
              <w:rPr>
                <w:rStyle w:val="TeksttreciTimesNewRoman105ptOdstpy0pt"/>
                <w:rFonts w:eastAsiaTheme="minorEastAsia"/>
                <w:sz w:val="24"/>
              </w:rPr>
              <w:t>ach dowolnych transakcji zaciągania pożyczek papierów wartościowych.</w:t>
            </w:r>
          </w:p>
        </w:tc>
      </w:tr>
      <w:tr w:rsidR="00D312C4" w:rsidRPr="00835753" w14:paraId="52165CD3" w14:textId="77777777" w:rsidTr="00155C96">
        <w:trPr>
          <w:trHeight w:val="316"/>
        </w:trPr>
        <w:tc>
          <w:tcPr>
            <w:tcW w:w="1384" w:type="dxa"/>
          </w:tcPr>
          <w:p w14:paraId="4635C0E2"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180</w:t>
            </w:r>
          </w:p>
        </w:tc>
        <w:tc>
          <w:tcPr>
            <w:tcW w:w="7655" w:type="dxa"/>
          </w:tcPr>
          <w:p w14:paraId="17356C7B" w14:textId="77777777" w:rsidR="00D312C4" w:rsidRPr="00835753" w:rsidRDefault="00D312C4" w:rsidP="00155C96">
            <w:pPr>
              <w:pStyle w:val="Teksttreci0"/>
              <w:shd w:val="clear" w:color="auto" w:fill="auto"/>
              <w:spacing w:after="120" w:line="240" w:lineRule="auto"/>
              <w:ind w:firstLine="0"/>
              <w:rPr>
                <w:sz w:val="24"/>
                <w:szCs w:val="24"/>
              </w:rPr>
            </w:pPr>
            <w:proofErr w:type="gramStart"/>
            <w:r w:rsidRPr="00835753">
              <w:rPr>
                <w:rStyle w:val="PogrubienieTeksttreciTimesNewRoman105ptOdstpy0pt"/>
                <w:rFonts w:eastAsia="Book Antiqua"/>
                <w:sz w:val="24"/>
                <w:szCs w:val="24"/>
              </w:rPr>
              <w:t>w</w:t>
            </w:r>
            <w:proofErr w:type="gramEnd"/>
            <w:r w:rsidRPr="00835753">
              <w:rPr>
                <w:rStyle w:val="PogrubienieTeksttreciTimesNewRoman105ptOdstpy0pt"/>
                <w:rFonts w:eastAsia="Book Antiqua"/>
                <w:sz w:val="24"/>
                <w:szCs w:val="24"/>
              </w:rPr>
              <w:t xml:space="preserve"> tym: sekurytyzacje</w:t>
            </w:r>
          </w:p>
          <w:p w14:paraId="778F5E02" w14:textId="3E562393" w:rsidR="00D312C4" w:rsidRPr="00835753" w:rsidRDefault="00D312C4" w:rsidP="00CD3A14">
            <w:pPr>
              <w:autoSpaceDE w:val="0"/>
              <w:autoSpaceDN w:val="0"/>
              <w:adjustRightInd w:val="0"/>
              <w:spacing w:after="120"/>
              <w:jc w:val="both"/>
              <w:rPr>
                <w:rFonts w:ascii="Times New Roman" w:hAnsi="Times New Roman" w:cs="Times New Roman"/>
                <w:b/>
                <w:sz w:val="24"/>
              </w:rPr>
            </w:pPr>
            <w:r w:rsidRPr="00835753">
              <w:rPr>
                <w:rStyle w:val="TeksttreciTimesNewRoman105ptOdstpy0pt"/>
                <w:rFonts w:eastAsiaTheme="minorEastAsia"/>
                <w:sz w:val="24"/>
              </w:rPr>
              <w:t>Średnia wartość zabezpieczenia otrzymanego przez instytucję</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obe</w:t>
            </w:r>
            <w:r w:rsidRPr="00835753">
              <w:rPr>
                <w:rStyle w:val="TeksttreciTimesNewRoman105ptOdstpy0pt"/>
                <w:rFonts w:eastAsiaTheme="minorEastAsia"/>
                <w:sz w:val="24"/>
              </w:rPr>
              <w:t>jmującego papiery wartościowe zabezpieczone aktywami (zob. odniesienia prawne</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ins</w:t>
            </w:r>
            <w:r w:rsidRPr="00835753">
              <w:rPr>
                <w:rStyle w:val="TeksttreciTimesNewRoman105ptOdstpy0pt"/>
                <w:rFonts w:eastAsiaTheme="minorEastAsia"/>
                <w:sz w:val="24"/>
              </w:rPr>
              <w:t>trukcje dotyczące wiersza 060 we wzorze EU AE1). Obejmuje ona wszystkie papiery wartościowe otrzymane przez instytucję zaciągającą pożyczkę</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ram</w:t>
            </w:r>
            <w:r w:rsidRPr="00835753">
              <w:rPr>
                <w:rStyle w:val="TeksttreciTimesNewRoman105ptOdstpy0pt"/>
                <w:rFonts w:eastAsiaTheme="minorEastAsia"/>
                <w:sz w:val="24"/>
              </w:rPr>
              <w:t>ach dowolnych transakcji zaciągania pożyczek papierów wartościowych.</w:t>
            </w:r>
          </w:p>
        </w:tc>
      </w:tr>
      <w:tr w:rsidR="00D312C4" w:rsidRPr="00835753" w14:paraId="2E4DB726" w14:textId="77777777" w:rsidTr="00155C96">
        <w:trPr>
          <w:trHeight w:val="316"/>
        </w:trPr>
        <w:tc>
          <w:tcPr>
            <w:tcW w:w="1384" w:type="dxa"/>
          </w:tcPr>
          <w:p w14:paraId="3EF3EC49"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190</w:t>
            </w:r>
          </w:p>
        </w:tc>
        <w:tc>
          <w:tcPr>
            <w:tcW w:w="7655" w:type="dxa"/>
          </w:tcPr>
          <w:p w14:paraId="2EBC79FF" w14:textId="2F394872" w:rsidR="00D312C4" w:rsidRPr="00835753" w:rsidRDefault="00D312C4" w:rsidP="00155C96">
            <w:pPr>
              <w:pStyle w:val="Teksttreci0"/>
              <w:shd w:val="clear" w:color="auto" w:fill="auto"/>
              <w:spacing w:after="120" w:line="240" w:lineRule="auto"/>
              <w:ind w:firstLine="0"/>
              <w:rPr>
                <w:sz w:val="24"/>
                <w:szCs w:val="24"/>
              </w:rPr>
            </w:pPr>
            <w:proofErr w:type="gramStart"/>
            <w:r w:rsidRPr="00835753">
              <w:rPr>
                <w:rStyle w:val="PogrubienieTeksttreciTimesNewRoman105ptOdstpy0pt"/>
                <w:rFonts w:eastAsia="Book Antiqua"/>
                <w:sz w:val="24"/>
                <w:szCs w:val="24"/>
              </w:rPr>
              <w:t>w</w:t>
            </w:r>
            <w:proofErr w:type="gramEnd"/>
            <w:r w:rsidRPr="00835753">
              <w:rPr>
                <w:rStyle w:val="PogrubienieTeksttreciTimesNewRoman105ptOdstpy0pt"/>
                <w:rFonts w:eastAsia="Book Antiqua"/>
                <w:sz w:val="24"/>
                <w:szCs w:val="24"/>
              </w:rPr>
              <w:t xml:space="preserve"> tym: wyemitowane przez sektor instytucji rządowych</w:t>
            </w:r>
            <w:r w:rsidR="00835753" w:rsidRPr="00835753">
              <w:rPr>
                <w:rStyle w:val="PogrubienieTeksttreciTimesNewRoman105ptOdstpy0pt"/>
                <w:rFonts w:eastAsia="Book Antiqua"/>
                <w:sz w:val="24"/>
                <w:szCs w:val="24"/>
              </w:rPr>
              <w:t xml:space="preserve"> i</w:t>
            </w:r>
            <w:r w:rsidR="00835753">
              <w:rPr>
                <w:rStyle w:val="PogrubienieTeksttreciTimesNewRoman105ptOdstpy0pt"/>
                <w:rFonts w:eastAsia="Book Antiqua"/>
                <w:sz w:val="24"/>
                <w:szCs w:val="24"/>
              </w:rPr>
              <w:t> </w:t>
            </w:r>
            <w:r w:rsidR="00835753" w:rsidRPr="00835753">
              <w:rPr>
                <w:rStyle w:val="PogrubienieTeksttreciTimesNewRoman105ptOdstpy0pt"/>
                <w:rFonts w:eastAsia="Book Antiqua"/>
                <w:sz w:val="24"/>
                <w:szCs w:val="24"/>
              </w:rPr>
              <w:t>sam</w:t>
            </w:r>
            <w:r w:rsidRPr="00835753">
              <w:rPr>
                <w:rStyle w:val="PogrubienieTeksttreciTimesNewRoman105ptOdstpy0pt"/>
                <w:rFonts w:eastAsia="Book Antiqua"/>
                <w:sz w:val="24"/>
                <w:szCs w:val="24"/>
              </w:rPr>
              <w:t>orządowych</w:t>
            </w:r>
          </w:p>
          <w:p w14:paraId="0FA0FE70" w14:textId="3E8CB294" w:rsidR="00D312C4" w:rsidRPr="00835753" w:rsidRDefault="00D312C4" w:rsidP="00CD3A14">
            <w:pPr>
              <w:autoSpaceDE w:val="0"/>
              <w:autoSpaceDN w:val="0"/>
              <w:adjustRightInd w:val="0"/>
              <w:spacing w:after="120"/>
              <w:jc w:val="both"/>
              <w:rPr>
                <w:rFonts w:ascii="Times New Roman" w:hAnsi="Times New Roman" w:cs="Times New Roman"/>
                <w:b/>
                <w:sz w:val="24"/>
              </w:rPr>
            </w:pPr>
            <w:r w:rsidRPr="00835753">
              <w:rPr>
                <w:rStyle w:val="TeksttreciTimesNewRoman105ptOdstpy0pt"/>
                <w:rFonts w:eastAsiaTheme="minorEastAsia"/>
                <w:sz w:val="24"/>
              </w:rPr>
              <w:t>Średnia wartość zabezpieczenia otrzymanego przez instytucję</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obe</w:t>
            </w:r>
            <w:r w:rsidRPr="00835753">
              <w:rPr>
                <w:rStyle w:val="TeksttreciTimesNewRoman105ptOdstpy0pt"/>
                <w:rFonts w:eastAsiaTheme="minorEastAsia"/>
                <w:sz w:val="24"/>
              </w:rPr>
              <w:t>jmującego dłużne</w:t>
            </w:r>
            <w:r w:rsidRPr="00835753">
              <w:rPr>
                <w:rFonts w:ascii="Times New Roman" w:hAnsi="Times New Roman"/>
                <w:b/>
                <w:sz w:val="24"/>
              </w:rPr>
              <w:t xml:space="preserve"> </w:t>
            </w:r>
            <w:r w:rsidRPr="00835753">
              <w:rPr>
                <w:rStyle w:val="TeksttreciTimesNewRoman105ptOdstpy0pt"/>
                <w:rFonts w:eastAsiaTheme="minorEastAsia"/>
                <w:sz w:val="24"/>
              </w:rPr>
              <w:t>papiery wartościowe wyemitowane przez sektor instytucji rządowych</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sam</w:t>
            </w:r>
            <w:r w:rsidRPr="00835753">
              <w:rPr>
                <w:rStyle w:val="TeksttreciTimesNewRoman105ptOdstpy0pt"/>
                <w:rFonts w:eastAsiaTheme="minorEastAsia"/>
                <w:sz w:val="24"/>
              </w:rPr>
              <w:t>orządowych (zob. odniesienia prawne</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ins</w:t>
            </w:r>
            <w:r w:rsidRPr="00835753">
              <w:rPr>
                <w:rStyle w:val="TeksttreciTimesNewRoman105ptOdstpy0pt"/>
                <w:rFonts w:eastAsiaTheme="minorEastAsia"/>
                <w:sz w:val="24"/>
              </w:rPr>
              <w:t>trukcje dotyczące wiersza 070 we wzorze EU AE1). Obejmuje ona wszystkie papiery wartościowe otrzymane przez instytucję zaciągającą pożyczkę</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ram</w:t>
            </w:r>
            <w:r w:rsidRPr="00835753">
              <w:rPr>
                <w:rStyle w:val="TeksttreciTimesNewRoman105ptOdstpy0pt"/>
                <w:rFonts w:eastAsiaTheme="minorEastAsia"/>
                <w:sz w:val="24"/>
              </w:rPr>
              <w:t>ach dowolnych transakcji zaciągania pożyczek papierów wartościowych.</w:t>
            </w:r>
          </w:p>
        </w:tc>
      </w:tr>
      <w:tr w:rsidR="00D312C4" w:rsidRPr="00835753" w14:paraId="32D8CD90" w14:textId="77777777" w:rsidTr="00155C96">
        <w:trPr>
          <w:trHeight w:val="316"/>
        </w:trPr>
        <w:tc>
          <w:tcPr>
            <w:tcW w:w="1384" w:type="dxa"/>
          </w:tcPr>
          <w:p w14:paraId="767809F0"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200</w:t>
            </w:r>
          </w:p>
        </w:tc>
        <w:tc>
          <w:tcPr>
            <w:tcW w:w="7655" w:type="dxa"/>
          </w:tcPr>
          <w:p w14:paraId="762233EC" w14:textId="77777777" w:rsidR="00D312C4" w:rsidRPr="00835753" w:rsidRDefault="00D312C4" w:rsidP="00155C96">
            <w:pPr>
              <w:pStyle w:val="Teksttreci0"/>
              <w:shd w:val="clear" w:color="auto" w:fill="auto"/>
              <w:spacing w:after="120" w:line="240" w:lineRule="auto"/>
              <w:ind w:firstLine="0"/>
              <w:rPr>
                <w:sz w:val="24"/>
                <w:szCs w:val="24"/>
              </w:rPr>
            </w:pPr>
            <w:proofErr w:type="gramStart"/>
            <w:r w:rsidRPr="00835753">
              <w:rPr>
                <w:rStyle w:val="PogrubienieTeksttreciTimesNewRoman105ptOdstpy0pt"/>
                <w:rFonts w:eastAsia="Book Antiqua"/>
                <w:sz w:val="24"/>
                <w:szCs w:val="24"/>
              </w:rPr>
              <w:t>w</w:t>
            </w:r>
            <w:proofErr w:type="gramEnd"/>
            <w:r w:rsidRPr="00835753">
              <w:rPr>
                <w:rStyle w:val="PogrubienieTeksttreciTimesNewRoman105ptOdstpy0pt"/>
                <w:rFonts w:eastAsia="Book Antiqua"/>
                <w:sz w:val="24"/>
                <w:szCs w:val="24"/>
              </w:rPr>
              <w:t xml:space="preserve"> tym: wyemitowane przez instytucje finansowe</w:t>
            </w:r>
          </w:p>
          <w:p w14:paraId="192EC8C4" w14:textId="44DFB90A" w:rsidR="00D312C4" w:rsidRPr="00835753" w:rsidRDefault="00D312C4" w:rsidP="00CD3A14">
            <w:pPr>
              <w:autoSpaceDE w:val="0"/>
              <w:autoSpaceDN w:val="0"/>
              <w:adjustRightInd w:val="0"/>
              <w:spacing w:after="120"/>
              <w:jc w:val="both"/>
              <w:rPr>
                <w:rFonts w:ascii="Times New Roman" w:hAnsi="Times New Roman" w:cs="Times New Roman"/>
                <w:b/>
                <w:sz w:val="24"/>
              </w:rPr>
            </w:pPr>
            <w:r w:rsidRPr="00835753">
              <w:rPr>
                <w:rStyle w:val="TeksttreciTimesNewRoman105ptOdstpy0pt"/>
                <w:rFonts w:eastAsiaTheme="minorEastAsia"/>
                <w:sz w:val="24"/>
              </w:rPr>
              <w:t>Średnia wartość zabezpieczenia otrzymanego przez instytucję</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obe</w:t>
            </w:r>
            <w:r w:rsidRPr="00835753">
              <w:rPr>
                <w:rStyle w:val="TeksttreciTimesNewRoman105ptOdstpy0pt"/>
                <w:rFonts w:eastAsiaTheme="minorEastAsia"/>
                <w:sz w:val="24"/>
              </w:rPr>
              <w:t>jmującego dłużne papiery wartościowe wyemitowane przez instytucje finansowe (zob. odniesienia prawne</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ins</w:t>
            </w:r>
            <w:r w:rsidRPr="00835753">
              <w:rPr>
                <w:rStyle w:val="TeksttreciTimesNewRoman105ptOdstpy0pt"/>
                <w:rFonts w:eastAsiaTheme="minorEastAsia"/>
                <w:sz w:val="24"/>
              </w:rPr>
              <w:t>trukcje dotyczące wiersza 080 we wzorze EU AE1). Obejmuje ona wszystkie papiery wartościowe otrzymane przez instytucję zaciągającą pożyczkę</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ram</w:t>
            </w:r>
            <w:r w:rsidRPr="00835753">
              <w:rPr>
                <w:rStyle w:val="TeksttreciTimesNewRoman105ptOdstpy0pt"/>
                <w:rFonts w:eastAsiaTheme="minorEastAsia"/>
                <w:sz w:val="24"/>
              </w:rPr>
              <w:t>ach dowolnych transakcji zaciągania pożyczek papierów wartościowych.</w:t>
            </w:r>
          </w:p>
        </w:tc>
      </w:tr>
      <w:tr w:rsidR="00D312C4" w:rsidRPr="00835753" w14:paraId="5974B9BD" w14:textId="77777777" w:rsidTr="00155C96">
        <w:trPr>
          <w:trHeight w:val="316"/>
        </w:trPr>
        <w:tc>
          <w:tcPr>
            <w:tcW w:w="1384" w:type="dxa"/>
          </w:tcPr>
          <w:p w14:paraId="4252D64B"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210</w:t>
            </w:r>
          </w:p>
        </w:tc>
        <w:tc>
          <w:tcPr>
            <w:tcW w:w="7655" w:type="dxa"/>
          </w:tcPr>
          <w:p w14:paraId="7EF3D1EF" w14:textId="77777777" w:rsidR="00D312C4" w:rsidRPr="00835753" w:rsidRDefault="00D312C4" w:rsidP="00155C96">
            <w:pPr>
              <w:pStyle w:val="Teksttreci0"/>
              <w:shd w:val="clear" w:color="auto" w:fill="auto"/>
              <w:spacing w:after="120" w:line="240" w:lineRule="auto"/>
              <w:ind w:firstLine="0"/>
              <w:rPr>
                <w:sz w:val="24"/>
                <w:szCs w:val="24"/>
              </w:rPr>
            </w:pPr>
            <w:proofErr w:type="gramStart"/>
            <w:r w:rsidRPr="00835753">
              <w:rPr>
                <w:rStyle w:val="PogrubienieTeksttreciTimesNewRoman105ptOdstpy0pt"/>
                <w:rFonts w:eastAsia="Book Antiqua"/>
                <w:sz w:val="24"/>
                <w:szCs w:val="24"/>
              </w:rPr>
              <w:t>w</w:t>
            </w:r>
            <w:proofErr w:type="gramEnd"/>
            <w:r w:rsidRPr="00835753">
              <w:rPr>
                <w:rStyle w:val="PogrubienieTeksttreciTimesNewRoman105ptOdstpy0pt"/>
                <w:rFonts w:eastAsia="Book Antiqua"/>
                <w:sz w:val="24"/>
                <w:szCs w:val="24"/>
              </w:rPr>
              <w:t xml:space="preserve"> tym: wyemitowane przez przedsiębiorstwa niefinansowe</w:t>
            </w:r>
          </w:p>
          <w:p w14:paraId="6AC9C418" w14:textId="40F57F2A" w:rsidR="00D312C4" w:rsidRPr="00835753" w:rsidRDefault="00D312C4" w:rsidP="001023C0">
            <w:pPr>
              <w:autoSpaceDE w:val="0"/>
              <w:autoSpaceDN w:val="0"/>
              <w:adjustRightInd w:val="0"/>
              <w:spacing w:after="120"/>
              <w:jc w:val="both"/>
              <w:rPr>
                <w:rFonts w:ascii="Times New Roman" w:hAnsi="Times New Roman" w:cs="Times New Roman"/>
                <w:b/>
                <w:sz w:val="24"/>
              </w:rPr>
            </w:pPr>
            <w:r w:rsidRPr="00835753">
              <w:rPr>
                <w:rStyle w:val="TeksttreciTimesNewRoman105ptOdstpy0pt"/>
                <w:rFonts w:eastAsiaTheme="minorEastAsia"/>
                <w:sz w:val="24"/>
              </w:rPr>
              <w:t>Średnia wartość zabezpieczenia otrzymanego przez instytucję</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obe</w:t>
            </w:r>
            <w:r w:rsidRPr="00835753">
              <w:rPr>
                <w:rStyle w:val="TeksttreciTimesNewRoman105ptOdstpy0pt"/>
                <w:rFonts w:eastAsiaTheme="minorEastAsia"/>
                <w:sz w:val="24"/>
              </w:rPr>
              <w:t>jmującego dłużne papiery wartościowe wyemitowane przez przedsiębiorstwa niefinansowe (zob. odniesienia prawne</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ins</w:t>
            </w:r>
            <w:r w:rsidRPr="00835753">
              <w:rPr>
                <w:rStyle w:val="TeksttreciTimesNewRoman105ptOdstpy0pt"/>
                <w:rFonts w:eastAsiaTheme="minorEastAsia"/>
                <w:sz w:val="24"/>
              </w:rPr>
              <w:t>trukcje dotyczące wiersza 090 we wzorze EU AE1). Obejmuje ona wszystkie papiery wartościowe otrzymane przez instytucję zaciągającą pożyczkę</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ram</w:t>
            </w:r>
            <w:r w:rsidRPr="00835753">
              <w:rPr>
                <w:rStyle w:val="TeksttreciTimesNewRoman105ptOdstpy0pt"/>
                <w:rFonts w:eastAsiaTheme="minorEastAsia"/>
                <w:sz w:val="24"/>
              </w:rPr>
              <w:t>ach dowolnych transakcji zaciągania pożyczek papierów wartościowych.</w:t>
            </w:r>
          </w:p>
        </w:tc>
      </w:tr>
      <w:tr w:rsidR="00D312C4" w:rsidRPr="00835753" w14:paraId="3D1D40DA" w14:textId="77777777" w:rsidTr="00155C96">
        <w:trPr>
          <w:trHeight w:val="316"/>
        </w:trPr>
        <w:tc>
          <w:tcPr>
            <w:tcW w:w="1384" w:type="dxa"/>
          </w:tcPr>
          <w:p w14:paraId="6E066C96"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220</w:t>
            </w:r>
          </w:p>
        </w:tc>
        <w:tc>
          <w:tcPr>
            <w:tcW w:w="7655" w:type="dxa"/>
          </w:tcPr>
          <w:p w14:paraId="0780AA09" w14:textId="36CA450D"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Kredyty</w:t>
            </w:r>
            <w:r w:rsidR="00835753" w:rsidRPr="00835753">
              <w:rPr>
                <w:rStyle w:val="PogrubienieTeksttreciTimesNewRoman105ptOdstpy0pt"/>
                <w:rFonts w:eastAsia="Book Antiqua"/>
                <w:sz w:val="24"/>
                <w:szCs w:val="24"/>
              </w:rPr>
              <w:t xml:space="preserve"> i</w:t>
            </w:r>
            <w:r w:rsidR="00835753">
              <w:rPr>
                <w:rStyle w:val="PogrubienieTeksttreciTimesNewRoman105ptOdstpy0pt"/>
                <w:rFonts w:eastAsia="Book Antiqua"/>
                <w:sz w:val="24"/>
                <w:szCs w:val="24"/>
              </w:rPr>
              <w:t> </w:t>
            </w:r>
            <w:r w:rsidR="00835753" w:rsidRPr="00835753">
              <w:rPr>
                <w:rStyle w:val="PogrubienieTeksttreciTimesNewRoman105ptOdstpy0pt"/>
                <w:rFonts w:eastAsia="Book Antiqua"/>
                <w:sz w:val="24"/>
                <w:szCs w:val="24"/>
              </w:rPr>
              <w:t>zal</w:t>
            </w:r>
            <w:r w:rsidRPr="00835753">
              <w:rPr>
                <w:rStyle w:val="PogrubienieTeksttreciTimesNewRoman105ptOdstpy0pt"/>
                <w:rFonts w:eastAsia="Book Antiqua"/>
                <w:sz w:val="24"/>
                <w:szCs w:val="24"/>
              </w:rPr>
              <w:t>iczki inne niż kredyty na żądanie</w:t>
            </w:r>
          </w:p>
          <w:p w14:paraId="6E07D257" w14:textId="41397989" w:rsidR="00D312C4" w:rsidRPr="00835753" w:rsidRDefault="00D312C4" w:rsidP="00155C96">
            <w:pPr>
              <w:autoSpaceDE w:val="0"/>
              <w:autoSpaceDN w:val="0"/>
              <w:adjustRightInd w:val="0"/>
              <w:spacing w:after="120"/>
              <w:rPr>
                <w:rFonts w:ascii="Times New Roman" w:hAnsi="Times New Roman" w:cs="Times New Roman"/>
                <w:b/>
                <w:sz w:val="24"/>
              </w:rPr>
            </w:pPr>
            <w:r w:rsidRPr="00835753">
              <w:rPr>
                <w:rStyle w:val="TeksttreciTimesNewRoman105ptOdstpy0pt"/>
                <w:rFonts w:eastAsiaTheme="minorEastAsia"/>
                <w:sz w:val="24"/>
              </w:rPr>
              <w:t>Średnia wartość zabezpieczenia otrzymanego przez instytucję</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obe</w:t>
            </w:r>
            <w:r w:rsidRPr="00835753">
              <w:rPr>
                <w:rStyle w:val="TeksttreciTimesNewRoman105ptOdstpy0pt"/>
                <w:rFonts w:eastAsiaTheme="minorEastAsia"/>
                <w:sz w:val="24"/>
              </w:rPr>
              <w:t>jmującego kredyty</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zal</w:t>
            </w:r>
            <w:r w:rsidRPr="00835753">
              <w:rPr>
                <w:rStyle w:val="TeksttreciTimesNewRoman105ptOdstpy0pt"/>
                <w:rFonts w:eastAsiaTheme="minorEastAsia"/>
                <w:sz w:val="24"/>
              </w:rPr>
              <w:t xml:space="preserve">iczki inne niż kredyty na żądanie (zob. </w:t>
            </w:r>
            <w:r w:rsidRPr="00835753">
              <w:rPr>
                <w:rStyle w:val="TeksttreciTimesNewRoman105ptOdstpy0pt"/>
                <w:rFonts w:eastAsiaTheme="minorEastAsia"/>
                <w:sz w:val="24"/>
              </w:rPr>
              <w:lastRenderedPageBreak/>
              <w:t>odniesienia prawne</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ins</w:t>
            </w:r>
            <w:r w:rsidRPr="00835753">
              <w:rPr>
                <w:rStyle w:val="TeksttreciTimesNewRoman105ptOdstpy0pt"/>
                <w:rFonts w:eastAsiaTheme="minorEastAsia"/>
                <w:sz w:val="24"/>
              </w:rPr>
              <w:t>trukcje dotyczące wiersza 120 we wzorze EU AE1). Obejmuje ona wszystkie papiery wartościowe otrzymane przez instytucję zaciągającą pożyczkę</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ram</w:t>
            </w:r>
            <w:r w:rsidRPr="00835753">
              <w:rPr>
                <w:rStyle w:val="TeksttreciTimesNewRoman105ptOdstpy0pt"/>
                <w:rFonts w:eastAsiaTheme="minorEastAsia"/>
                <w:sz w:val="24"/>
              </w:rPr>
              <w:t>ach dowolnych transakcji zaciągania pożyczek papierów wartościowych.</w:t>
            </w:r>
          </w:p>
        </w:tc>
      </w:tr>
      <w:tr w:rsidR="00D312C4" w:rsidRPr="00835753" w14:paraId="1501CBBF" w14:textId="77777777" w:rsidTr="00155C96">
        <w:trPr>
          <w:trHeight w:val="316"/>
        </w:trPr>
        <w:tc>
          <w:tcPr>
            <w:tcW w:w="1384" w:type="dxa"/>
          </w:tcPr>
          <w:p w14:paraId="264DBEBE"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lastRenderedPageBreak/>
              <w:t>230</w:t>
            </w:r>
          </w:p>
        </w:tc>
        <w:tc>
          <w:tcPr>
            <w:tcW w:w="7655" w:type="dxa"/>
          </w:tcPr>
          <w:p w14:paraId="0F9B46CF" w14:textId="77777777"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Inne otrzymane zabezpieczenia</w:t>
            </w:r>
          </w:p>
          <w:p w14:paraId="52F82720" w14:textId="1AF654A5" w:rsidR="00D312C4" w:rsidRPr="00835753"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sidRPr="00835753">
              <w:rPr>
                <w:rStyle w:val="TeksttreciTimesNewRoman105ptOdstpy0pt"/>
                <w:rFonts w:eastAsia="Book Antiqua"/>
                <w:sz w:val="24"/>
                <w:szCs w:val="24"/>
              </w:rPr>
              <w:t>Średnia wartość zabezpieczenia otrzymanego przez instytucję</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obe</w:t>
            </w:r>
            <w:r w:rsidRPr="00835753">
              <w:rPr>
                <w:rStyle w:val="TeksttreciTimesNewRoman105ptOdstpy0pt"/>
                <w:rFonts w:eastAsia="Book Antiqua"/>
                <w:sz w:val="24"/>
                <w:szCs w:val="24"/>
              </w:rPr>
              <w:t>jmującego inne otrzymane zabezpieczenia (zob. odniesienia prawne</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ins</w:t>
            </w:r>
            <w:r w:rsidRPr="00835753">
              <w:rPr>
                <w:rStyle w:val="TeksttreciTimesNewRoman105ptOdstpy0pt"/>
                <w:rFonts w:eastAsia="Book Antiqua"/>
                <w:sz w:val="24"/>
                <w:szCs w:val="24"/>
              </w:rPr>
              <w:t>trukcje dotyczące wiersza 120 we wzorze EU AE1). Obejmuje ona wszystkie papiery wartościowe otrzymane przez instytucję zaciągającą pożyczkę</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ram</w:t>
            </w:r>
            <w:r w:rsidRPr="00835753">
              <w:rPr>
                <w:rStyle w:val="TeksttreciTimesNewRoman105ptOdstpy0pt"/>
                <w:rFonts w:eastAsia="Book Antiqua"/>
                <w:sz w:val="24"/>
                <w:szCs w:val="24"/>
              </w:rPr>
              <w:t>ach dowolnych transakcji zaciągania pożyczek papierów wartościowych.</w:t>
            </w:r>
          </w:p>
        </w:tc>
      </w:tr>
      <w:tr w:rsidR="00D312C4" w:rsidRPr="00835753" w14:paraId="527A6C11" w14:textId="77777777" w:rsidTr="00155C96">
        <w:trPr>
          <w:trHeight w:val="316"/>
        </w:trPr>
        <w:tc>
          <w:tcPr>
            <w:tcW w:w="1384" w:type="dxa"/>
          </w:tcPr>
          <w:p w14:paraId="00F21F0E"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240</w:t>
            </w:r>
          </w:p>
        </w:tc>
        <w:tc>
          <w:tcPr>
            <w:tcW w:w="7655" w:type="dxa"/>
          </w:tcPr>
          <w:p w14:paraId="639E0632" w14:textId="77777777"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Wyemitowane własne dłużne papiery wartościowe inne niż własne obligacje zabezpieczone lub sekurytyzacje</w:t>
            </w:r>
          </w:p>
          <w:p w14:paraId="40608927" w14:textId="42D08FDB" w:rsidR="00D312C4" w:rsidRPr="00835753"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sidRPr="00835753">
              <w:rPr>
                <w:rStyle w:val="TeksttreciTimesNewRoman105ptOdstpy0pt"/>
                <w:rFonts w:eastAsia="Book Antiqua"/>
                <w:sz w:val="24"/>
                <w:szCs w:val="24"/>
              </w:rPr>
              <w:t>Średnia wartość wyemitowanych własnych dłużnych papierów wartościowych innych niż własne obligacje zabezpieczone lub sekurytyzacje. Ponieważ wyemitowane własne dłużne papiery wartościowe, które zostały zatrzymane lub wykupione – zgodnie z MSR 39 pkt</w:t>
            </w:r>
            <w:r w:rsidR="00835753" w:rsidRPr="00835753">
              <w:rPr>
                <w:rStyle w:val="TeksttreciTimesNewRoman105ptOdstpy0pt"/>
                <w:rFonts w:eastAsia="Book Antiqua"/>
                <w:sz w:val="24"/>
                <w:szCs w:val="24"/>
              </w:rPr>
              <w:t> </w:t>
            </w:r>
            <w:r w:rsidRPr="00835753">
              <w:rPr>
                <w:rStyle w:val="TeksttreciTimesNewRoman105ptOdstpy0pt"/>
                <w:rFonts w:eastAsia="Book Antiqua"/>
                <w:sz w:val="24"/>
                <w:szCs w:val="24"/>
              </w:rPr>
              <w:t>42</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prz</w:t>
            </w:r>
            <w:r w:rsidRPr="00835753">
              <w:rPr>
                <w:rStyle w:val="TeksttreciTimesNewRoman105ptOdstpy0pt"/>
                <w:rFonts w:eastAsia="Book Antiqua"/>
                <w:sz w:val="24"/>
                <w:szCs w:val="24"/>
              </w:rPr>
              <w:t>ypadku instytucji stosujących MSSF –</w:t>
            </w:r>
            <w:r w:rsidR="00835753" w:rsidRPr="00835753">
              <w:rPr>
                <w:rStyle w:val="TeksttreciTimesNewRoman105ptOdstpy0pt"/>
                <w:rFonts w:eastAsia="Book Antiqua"/>
                <w:sz w:val="24"/>
                <w:szCs w:val="24"/>
              </w:rPr>
              <w:t xml:space="preserve"> </w:t>
            </w:r>
            <w:r w:rsidRPr="00835753">
              <w:rPr>
                <w:rStyle w:val="TeksttreciTimesNewRoman105ptOdstpy0pt"/>
                <w:rFonts w:eastAsia="Book Antiqua"/>
                <w:sz w:val="24"/>
                <w:szCs w:val="24"/>
              </w:rPr>
              <w:t>zmniejszają odnośne zobowiązania finansowe, te papiery wartościowe nie są zaliczane do kategorii aktywów instytucji ujawniającej informacje</w:t>
            </w:r>
            <w:r w:rsidR="00835753" w:rsidRPr="00835753">
              <w:rPr>
                <w:rStyle w:val="TeksttreciTimesNewRoman105ptOdstpy0pt"/>
                <w:rFonts w:eastAsia="Book Antiqua"/>
                <w:sz w:val="24"/>
                <w:szCs w:val="24"/>
              </w:rPr>
              <w:t>.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tym</w:t>
            </w:r>
            <w:r w:rsidRPr="00835753">
              <w:rPr>
                <w:rStyle w:val="TeksttreciTimesNewRoman105ptOdstpy0pt"/>
                <w:rFonts w:eastAsia="Book Antiqua"/>
                <w:sz w:val="24"/>
                <w:szCs w:val="24"/>
              </w:rPr>
              <w:t xml:space="preserve"> wierszu ujmuje się własne dłużne papiery wartościowe, których instytucja niestosująca MSSF nie może wyłączyć</w:t>
            </w:r>
            <w:r w:rsidR="00835753" w:rsidRPr="00835753">
              <w:rPr>
                <w:rStyle w:val="TeksttreciTimesNewRoman105ptOdstpy0pt"/>
                <w:rFonts w:eastAsia="Book Antiqua"/>
                <w:sz w:val="24"/>
                <w:szCs w:val="24"/>
              </w:rPr>
              <w:t xml:space="preserve"> z</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bil</w:t>
            </w:r>
            <w:r w:rsidRPr="00835753">
              <w:rPr>
                <w:rStyle w:val="TeksttreciTimesNewRoman105ptOdstpy0pt"/>
                <w:rFonts w:eastAsia="Book Antiqua"/>
                <w:sz w:val="24"/>
                <w:szCs w:val="24"/>
              </w:rPr>
              <w:t>ansu.</w:t>
            </w:r>
          </w:p>
        </w:tc>
      </w:tr>
      <w:tr w:rsidR="00D312C4" w:rsidRPr="00835753" w14:paraId="513E648B" w14:textId="77777777" w:rsidTr="00155C96">
        <w:trPr>
          <w:trHeight w:val="316"/>
        </w:trPr>
        <w:tc>
          <w:tcPr>
            <w:tcW w:w="1384" w:type="dxa"/>
          </w:tcPr>
          <w:p w14:paraId="3D90AC48"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241</w:t>
            </w:r>
          </w:p>
        </w:tc>
        <w:tc>
          <w:tcPr>
            <w:tcW w:w="7655" w:type="dxa"/>
          </w:tcPr>
          <w:p w14:paraId="722E1368" w14:textId="6DF1FCD8"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Nieoddane jeszcze</w:t>
            </w:r>
            <w:r w:rsidR="00835753" w:rsidRPr="00835753">
              <w:rPr>
                <w:rStyle w:val="PogrubienieTeksttreciTimesNewRoman105ptOdstpy0pt"/>
                <w:rFonts w:eastAsia="Book Antiqua"/>
                <w:sz w:val="24"/>
                <w:szCs w:val="24"/>
              </w:rPr>
              <w:t xml:space="preserve"> w</w:t>
            </w:r>
            <w:r w:rsidR="00835753">
              <w:rPr>
                <w:rStyle w:val="PogrubienieTeksttreciTimesNewRoman105ptOdstpy0pt"/>
                <w:rFonts w:eastAsia="Book Antiqua"/>
                <w:sz w:val="24"/>
                <w:szCs w:val="24"/>
              </w:rPr>
              <w:t> </w:t>
            </w:r>
            <w:r w:rsidR="00835753" w:rsidRPr="00835753">
              <w:rPr>
                <w:rStyle w:val="PogrubienieTeksttreciTimesNewRoman105ptOdstpy0pt"/>
                <w:rFonts w:eastAsia="Book Antiqua"/>
                <w:sz w:val="24"/>
                <w:szCs w:val="24"/>
              </w:rPr>
              <w:t>zas</w:t>
            </w:r>
            <w:r w:rsidRPr="00835753">
              <w:rPr>
                <w:rStyle w:val="PogrubienieTeksttreciTimesNewRoman105ptOdstpy0pt"/>
                <w:rFonts w:eastAsia="Book Antiqua"/>
                <w:sz w:val="24"/>
                <w:szCs w:val="24"/>
              </w:rPr>
              <w:t>taw wyemitowane własne obligacje zabezpieczone</w:t>
            </w:r>
            <w:r w:rsidR="00835753" w:rsidRPr="00835753">
              <w:rPr>
                <w:rStyle w:val="PogrubienieTeksttreciTimesNewRoman105ptOdstpy0pt"/>
                <w:rFonts w:eastAsia="Book Antiqua"/>
                <w:sz w:val="24"/>
                <w:szCs w:val="24"/>
              </w:rPr>
              <w:t xml:space="preserve"> i</w:t>
            </w:r>
            <w:r w:rsidR="00835753">
              <w:rPr>
                <w:rStyle w:val="PogrubienieTeksttreciTimesNewRoman105ptOdstpy0pt"/>
                <w:rFonts w:eastAsia="Book Antiqua"/>
                <w:sz w:val="24"/>
                <w:szCs w:val="24"/>
              </w:rPr>
              <w:t> </w:t>
            </w:r>
            <w:r w:rsidR="00835753" w:rsidRPr="00835753">
              <w:rPr>
                <w:rStyle w:val="PogrubienieTeksttreciTimesNewRoman105ptOdstpy0pt"/>
                <w:rFonts w:eastAsia="Book Antiqua"/>
                <w:sz w:val="24"/>
                <w:szCs w:val="24"/>
              </w:rPr>
              <w:t>sek</w:t>
            </w:r>
            <w:r w:rsidRPr="00835753">
              <w:rPr>
                <w:rStyle w:val="PogrubienieTeksttreciTimesNewRoman105ptOdstpy0pt"/>
                <w:rFonts w:eastAsia="Book Antiqua"/>
                <w:sz w:val="24"/>
                <w:szCs w:val="24"/>
              </w:rPr>
              <w:t>urytyzacje</w:t>
            </w:r>
          </w:p>
          <w:p w14:paraId="6CAB6108" w14:textId="268E9616" w:rsidR="00D312C4" w:rsidRPr="00835753" w:rsidRDefault="00D312C4" w:rsidP="00155C96">
            <w:pPr>
              <w:spacing w:after="120"/>
              <w:rPr>
                <w:rStyle w:val="TeksttreciTimesNewRoman105ptOdstpy0pt"/>
                <w:rFonts w:eastAsia="Calibri"/>
                <w:sz w:val="24"/>
              </w:rPr>
            </w:pPr>
            <w:r w:rsidRPr="00835753">
              <w:rPr>
                <w:rStyle w:val="TeksttreciTimesNewRoman105ptOdstpy0pt"/>
                <w:rFonts w:eastAsiaTheme="minorEastAsia"/>
                <w:sz w:val="24"/>
              </w:rPr>
              <w:t xml:space="preserve">Średnia wartość </w:t>
            </w:r>
            <w:r w:rsidRPr="00835753">
              <w:rPr>
                <w:rStyle w:val="InstructionsTabelleberschrift"/>
                <w:rFonts w:ascii="Times New Roman" w:hAnsi="Times New Roman"/>
                <w:b w:val="0"/>
                <w:sz w:val="24"/>
                <w:u w:val="none"/>
              </w:rPr>
              <w:t>wyemitowanych własnych obligacji zabezpieczonych</w:t>
            </w:r>
            <w:r w:rsidR="00835753" w:rsidRPr="00835753">
              <w:rPr>
                <w:rStyle w:val="InstructionsTabelleberschrift"/>
                <w:rFonts w:ascii="Times New Roman" w:hAnsi="Times New Roman"/>
                <w:b w:val="0"/>
                <w:sz w:val="24"/>
                <w:u w:val="none"/>
              </w:rPr>
              <w:t xml:space="preserve"> i</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pap</w:t>
            </w:r>
            <w:r w:rsidRPr="00835753">
              <w:rPr>
                <w:rStyle w:val="InstructionsTabelleberschrift"/>
                <w:rFonts w:ascii="Times New Roman" w:hAnsi="Times New Roman"/>
                <w:b w:val="0"/>
                <w:sz w:val="24"/>
                <w:u w:val="none"/>
              </w:rPr>
              <w:t>ierów sekurytyzowanych, które zostały zatrzymane przez ujawniającą instytucję i są nieobciążone.</w:t>
            </w:r>
            <w:r w:rsidRPr="00835753">
              <w:rPr>
                <w:rStyle w:val="TeksttreciTimesNewRoman105ptOdstpy0pt"/>
                <w:rFonts w:eastAsiaTheme="minorEastAsia"/>
                <w:sz w:val="24"/>
              </w:rPr>
              <w:t xml:space="preserve"> Aby uniknąć podwójnego liczenia,</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odn</w:t>
            </w:r>
            <w:r w:rsidRPr="00835753">
              <w:rPr>
                <w:rStyle w:val="TeksttreciTimesNewRoman105ptOdstpy0pt"/>
                <w:rFonts w:eastAsiaTheme="minorEastAsia"/>
                <w:sz w:val="24"/>
              </w:rPr>
              <w:t>iesieniu do własnych obligacji zabezpieczonych</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sek</w:t>
            </w:r>
            <w:r w:rsidRPr="00835753">
              <w:rPr>
                <w:rStyle w:val="TeksttreciTimesNewRoman105ptOdstpy0pt"/>
                <w:rFonts w:eastAsiaTheme="minorEastAsia"/>
                <w:sz w:val="24"/>
              </w:rPr>
              <w:t>urytyzacji wyemitowanych</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zat</w:t>
            </w:r>
            <w:r w:rsidRPr="00835753">
              <w:rPr>
                <w:rStyle w:val="TeksttreciTimesNewRoman105ptOdstpy0pt"/>
                <w:rFonts w:eastAsiaTheme="minorEastAsia"/>
                <w:sz w:val="24"/>
              </w:rPr>
              <w:t>rzymanych przez ujawniającą instytucję stosuje się następującą zasadę:</w:t>
            </w:r>
          </w:p>
          <w:p w14:paraId="05B6719C" w14:textId="1CC8E4F2" w:rsidR="00D312C4" w:rsidRPr="00835753" w:rsidRDefault="00D312C4" w:rsidP="00D312C4">
            <w:pPr>
              <w:pStyle w:val="Teksttreci0"/>
              <w:numPr>
                <w:ilvl w:val="0"/>
                <w:numId w:val="66"/>
              </w:numPr>
              <w:shd w:val="clear" w:color="auto" w:fill="auto"/>
              <w:tabs>
                <w:tab w:val="left" w:pos="-81"/>
              </w:tabs>
              <w:spacing w:after="120" w:line="240" w:lineRule="auto"/>
              <w:ind w:hanging="460"/>
              <w:rPr>
                <w:sz w:val="24"/>
                <w:szCs w:val="24"/>
              </w:rPr>
            </w:pPr>
            <w:proofErr w:type="gramStart"/>
            <w:r w:rsidRPr="00835753">
              <w:rPr>
                <w:rStyle w:val="TeksttreciTimesNewRoman105ptOdstpy0pt"/>
                <w:rFonts w:eastAsia="Book Antiqua"/>
                <w:sz w:val="24"/>
                <w:szCs w:val="24"/>
              </w:rPr>
              <w:t>a</w:t>
            </w:r>
            <w:proofErr w:type="gramEnd"/>
            <w:r w:rsidRPr="00835753">
              <w:rPr>
                <w:rStyle w:val="TeksttreciTimesNewRoman105ptOdstpy0pt"/>
                <w:rFonts w:eastAsia="Book Antiqua"/>
                <w:sz w:val="24"/>
                <w:szCs w:val="24"/>
              </w:rPr>
              <w:t>) gdy papiery wartościowe są zastawione, kwotę puli aktywów/aktywów bazowych stanowiących ich zabezpieczenie wykazuje się we wzorze EU AE1 jako aktywa obciążone. Źródłem finansowania</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prz</w:t>
            </w:r>
            <w:r w:rsidRPr="00835753">
              <w:rPr>
                <w:rStyle w:val="TeksttreciTimesNewRoman105ptOdstpy0pt"/>
                <w:rFonts w:eastAsia="Book Antiqua"/>
                <w:sz w:val="24"/>
                <w:szCs w:val="24"/>
              </w:rPr>
              <w:t>ypadku zastawienia własnych obligacji zabezpieczonych</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sek</w:t>
            </w:r>
            <w:r w:rsidRPr="00835753">
              <w:rPr>
                <w:rStyle w:val="TeksttreciTimesNewRoman105ptOdstpy0pt"/>
                <w:rFonts w:eastAsia="Book Antiqua"/>
                <w:sz w:val="24"/>
                <w:szCs w:val="24"/>
              </w:rPr>
              <w:t>urytyzacji jest nowa transakcja,</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ram</w:t>
            </w:r>
            <w:r w:rsidRPr="00835753">
              <w:rPr>
                <w:rStyle w:val="TeksttreciTimesNewRoman105ptOdstpy0pt"/>
                <w:rFonts w:eastAsia="Book Antiqua"/>
                <w:sz w:val="24"/>
                <w:szCs w:val="24"/>
              </w:rPr>
              <w:t>ach której oddaje się</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zas</w:t>
            </w:r>
            <w:r w:rsidRPr="00835753">
              <w:rPr>
                <w:rStyle w:val="TeksttreciTimesNewRoman105ptOdstpy0pt"/>
                <w:rFonts w:eastAsia="Book Antiqua"/>
                <w:sz w:val="24"/>
                <w:szCs w:val="24"/>
              </w:rPr>
              <w:t>taw papiery wartościowe (finansowanie dostarczane przez bank centralny lub inny rodzaj zabezpieczonego finansowania),</w:t>
            </w:r>
            <w:r w:rsidR="00835753" w:rsidRPr="00835753">
              <w:rPr>
                <w:rStyle w:val="TeksttreciTimesNewRoman105ptOdstpy0pt"/>
                <w:rFonts w:eastAsia="Book Antiqua"/>
                <w:sz w:val="24"/>
                <w:szCs w:val="24"/>
              </w:rPr>
              <w:t xml:space="preserve"> a</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nie</w:t>
            </w:r>
            <w:r w:rsidRPr="00835753">
              <w:rPr>
                <w:rStyle w:val="TeksttreciTimesNewRoman105ptOdstpy0pt"/>
                <w:rFonts w:eastAsia="Book Antiqua"/>
                <w:sz w:val="24"/>
                <w:szCs w:val="24"/>
              </w:rPr>
              <w:t xml:space="preserve"> pierwotna emisja obligacji zabezpieczonych lub sekurytyzacji;</w:t>
            </w:r>
          </w:p>
          <w:p w14:paraId="43313155" w14:textId="134D1A5C" w:rsidR="00D312C4" w:rsidRPr="00835753"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proofErr w:type="gramStart"/>
            <w:r w:rsidRPr="00835753">
              <w:rPr>
                <w:rStyle w:val="TeksttreciTimesNewRoman105ptOdstpy0pt"/>
                <w:rFonts w:eastAsia="Book Antiqua"/>
                <w:sz w:val="24"/>
                <w:szCs w:val="24"/>
              </w:rPr>
              <w:t>b</w:t>
            </w:r>
            <w:proofErr w:type="gramEnd"/>
            <w:r w:rsidRPr="00835753">
              <w:rPr>
                <w:rStyle w:val="TeksttreciTimesNewRoman105ptOdstpy0pt"/>
                <w:rFonts w:eastAsia="Book Antiqua"/>
                <w:sz w:val="24"/>
                <w:szCs w:val="24"/>
              </w:rPr>
              <w:t>) gdy papiery wartościowe nie zostały jeszcze zastawione, kwotę puli aktywów/aktywów bazowych stanowiących zabezpieczenie tych papierów wartościowych wykazuje się we wzorze EU AE1 jako aktywa wolne od obciążeń.</w:t>
            </w:r>
          </w:p>
        </w:tc>
      </w:tr>
      <w:tr w:rsidR="00D312C4" w:rsidRPr="00835753" w14:paraId="00CE4653" w14:textId="77777777" w:rsidTr="00155C96">
        <w:trPr>
          <w:trHeight w:val="316"/>
        </w:trPr>
        <w:tc>
          <w:tcPr>
            <w:tcW w:w="1384" w:type="dxa"/>
          </w:tcPr>
          <w:p w14:paraId="61A3FA17"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250</w:t>
            </w:r>
          </w:p>
        </w:tc>
        <w:tc>
          <w:tcPr>
            <w:tcW w:w="7655" w:type="dxa"/>
          </w:tcPr>
          <w:p w14:paraId="6ABE3D23" w14:textId="7007A12C"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Łączne otrzymane zabezpieczenia</w:t>
            </w:r>
            <w:r w:rsidR="00835753" w:rsidRPr="00835753">
              <w:rPr>
                <w:rStyle w:val="PogrubienieTeksttreciTimesNewRoman105ptOdstpy0pt"/>
                <w:rFonts w:eastAsia="Book Antiqua"/>
                <w:sz w:val="24"/>
                <w:szCs w:val="24"/>
              </w:rPr>
              <w:t xml:space="preserve"> i</w:t>
            </w:r>
            <w:r w:rsidR="00835753">
              <w:rPr>
                <w:rStyle w:val="PogrubienieTeksttreciTimesNewRoman105ptOdstpy0pt"/>
                <w:rFonts w:eastAsia="Book Antiqua"/>
                <w:sz w:val="24"/>
                <w:szCs w:val="24"/>
              </w:rPr>
              <w:t> </w:t>
            </w:r>
            <w:r w:rsidR="00835753" w:rsidRPr="00835753">
              <w:rPr>
                <w:rStyle w:val="PogrubienieTeksttreciTimesNewRoman105ptOdstpy0pt"/>
                <w:rFonts w:eastAsia="Book Antiqua"/>
                <w:sz w:val="24"/>
                <w:szCs w:val="24"/>
              </w:rPr>
              <w:t>wye</w:t>
            </w:r>
            <w:r w:rsidRPr="00835753">
              <w:rPr>
                <w:rStyle w:val="PogrubienieTeksttreciTimesNewRoman105ptOdstpy0pt"/>
                <w:rFonts w:eastAsia="Book Antiqua"/>
                <w:sz w:val="24"/>
                <w:szCs w:val="24"/>
              </w:rPr>
              <w:t>mitowane własne dłużne papiery wartościowe</w:t>
            </w:r>
          </w:p>
          <w:p w14:paraId="1F3C606D" w14:textId="6EC8DFDB" w:rsidR="00D312C4" w:rsidRPr="00835753" w:rsidRDefault="00D312C4" w:rsidP="00155C96">
            <w:pPr>
              <w:pStyle w:val="Teksttreci0"/>
              <w:shd w:val="clear" w:color="auto" w:fill="auto"/>
              <w:spacing w:after="120" w:line="240" w:lineRule="auto"/>
              <w:ind w:firstLine="0"/>
              <w:rPr>
                <w:sz w:val="24"/>
                <w:szCs w:val="24"/>
              </w:rPr>
            </w:pPr>
            <w:r w:rsidRPr="00835753">
              <w:rPr>
                <w:rStyle w:val="TeksttreciTimesNewRoman105ptOdstpy0pt"/>
                <w:rFonts w:eastAsia="Book Antiqua"/>
                <w:sz w:val="24"/>
                <w:szCs w:val="24"/>
              </w:rPr>
              <w:lastRenderedPageBreak/>
              <w:t>Wszystkie klasy zabezpieczenia otrzymanego przez instytucję</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wye</w:t>
            </w:r>
            <w:r w:rsidRPr="00835753">
              <w:rPr>
                <w:rStyle w:val="TeksttreciTimesNewRoman105ptOdstpy0pt"/>
                <w:rFonts w:eastAsia="Book Antiqua"/>
                <w:sz w:val="24"/>
                <w:szCs w:val="24"/>
              </w:rPr>
              <w:t>mitowane własne dłużne papiery wartościowe zatrzymane przez instytucję, niebędące wyemitowanymi własnymi obligacjami zabezpieczonymi ani wyemitowanymi własnymi papierami sekurytyzowanymi.</w:t>
            </w:r>
          </w:p>
          <w:p w14:paraId="6A4C00F9" w14:textId="4BFAEE64" w:rsidR="00D312C4" w:rsidRPr="00835753" w:rsidRDefault="00D312C4" w:rsidP="001613AA">
            <w:pPr>
              <w:pStyle w:val="Teksttreci0"/>
              <w:shd w:val="clear" w:color="auto" w:fill="auto"/>
              <w:spacing w:after="120" w:line="240" w:lineRule="auto"/>
              <w:ind w:firstLine="0"/>
              <w:rPr>
                <w:rStyle w:val="PogrubienieTeksttreciTimesNewRoman105ptOdstpy0pt"/>
                <w:rFonts w:eastAsia="Calibri"/>
                <w:sz w:val="24"/>
                <w:szCs w:val="24"/>
              </w:rPr>
            </w:pPr>
            <w:r w:rsidRPr="00835753">
              <w:rPr>
                <w:rStyle w:val="TeksttreciTimesNewRoman105ptOdstpy0pt"/>
                <w:rFonts w:eastAsia="Book Antiqua"/>
                <w:sz w:val="24"/>
                <w:szCs w:val="24"/>
              </w:rPr>
              <w:t>W tym wierszu wykazuje się sumę średnich wartości dla wiersza 010 we wzorze EU AE1 oraz dla wierszy 130</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2</w:t>
            </w:r>
            <w:r w:rsidRPr="00835753">
              <w:rPr>
                <w:rStyle w:val="TeksttreciTimesNewRoman105ptOdstpy0pt"/>
                <w:rFonts w:eastAsia="Book Antiqua"/>
                <w:sz w:val="24"/>
                <w:szCs w:val="24"/>
              </w:rPr>
              <w:t>40 we wzorze EU AE2.</w:t>
            </w:r>
          </w:p>
        </w:tc>
      </w:tr>
    </w:tbl>
    <w:p w14:paraId="046C86EB" w14:textId="77777777" w:rsidR="00D312C4" w:rsidRPr="00835753" w:rsidRDefault="00D312C4" w:rsidP="00D312C4">
      <w:pPr>
        <w:spacing w:after="120"/>
        <w:rPr>
          <w:rFonts w:ascii="Times New Roman" w:hAnsi="Times New Roman" w:cs="Times New Roman"/>
        </w:rPr>
      </w:pPr>
    </w:p>
    <w:p w14:paraId="528091A7" w14:textId="77777777" w:rsidR="00D312C4" w:rsidRPr="00835753"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835753" w14:paraId="7BDD1CED" w14:textId="77777777" w:rsidTr="00155C96">
        <w:trPr>
          <w:trHeight w:val="238"/>
        </w:trPr>
        <w:tc>
          <w:tcPr>
            <w:tcW w:w="9039" w:type="dxa"/>
            <w:gridSpan w:val="2"/>
            <w:shd w:val="clear" w:color="auto" w:fill="D9D9D9" w:themeFill="background1" w:themeFillShade="D9"/>
          </w:tcPr>
          <w:p w14:paraId="2960A66B" w14:textId="5F86F07E" w:rsidR="00D312C4" w:rsidRPr="00835753" w:rsidRDefault="00D312C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D312C4" w:rsidRPr="00835753" w14:paraId="56E26971" w14:textId="77777777" w:rsidTr="00155C96">
        <w:trPr>
          <w:trHeight w:val="238"/>
        </w:trPr>
        <w:tc>
          <w:tcPr>
            <w:tcW w:w="1384" w:type="dxa"/>
            <w:shd w:val="clear" w:color="auto" w:fill="D9D9D9" w:themeFill="background1" w:themeFillShade="D9"/>
          </w:tcPr>
          <w:p w14:paraId="6CABA9EE" w14:textId="77777777" w:rsidR="00D312C4" w:rsidRPr="00835753" w:rsidRDefault="00D312C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10A2F6CA" w14:textId="77777777" w:rsidR="00D312C4" w:rsidRPr="00835753" w:rsidRDefault="00D312C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Wyjaśnienie</w:t>
            </w:r>
          </w:p>
        </w:tc>
      </w:tr>
      <w:tr w:rsidR="00D312C4" w:rsidRPr="00835753" w14:paraId="0D48BF8D" w14:textId="77777777" w:rsidTr="00155C96">
        <w:trPr>
          <w:trHeight w:val="841"/>
        </w:trPr>
        <w:tc>
          <w:tcPr>
            <w:tcW w:w="1384" w:type="dxa"/>
          </w:tcPr>
          <w:p w14:paraId="46F3E785" w14:textId="77777777" w:rsidR="00D312C4" w:rsidRPr="00835753" w:rsidRDefault="00D312C4" w:rsidP="00155C96">
            <w:pPr>
              <w:pStyle w:val="Applicationdirecte"/>
              <w:spacing w:before="0"/>
            </w:pPr>
            <w:r w:rsidRPr="00835753">
              <w:t>010</w:t>
            </w:r>
          </w:p>
        </w:tc>
        <w:tc>
          <w:tcPr>
            <w:tcW w:w="7655" w:type="dxa"/>
          </w:tcPr>
          <w:p w14:paraId="1605C07F" w14:textId="77777777"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Wartość godziwa otrzymanego obciążonego zabezpieczenia lub wyemitowanych własnych dłużnych papierów wartościowych</w:t>
            </w:r>
          </w:p>
          <w:p w14:paraId="75B6802E" w14:textId="662A078F" w:rsidR="00D312C4" w:rsidRPr="00835753" w:rsidRDefault="00D312C4" w:rsidP="00155C96">
            <w:pPr>
              <w:pStyle w:val="Teksttreci0"/>
              <w:shd w:val="clear" w:color="auto" w:fill="auto"/>
              <w:spacing w:after="120" w:line="240" w:lineRule="auto"/>
              <w:ind w:firstLine="0"/>
              <w:rPr>
                <w:sz w:val="24"/>
                <w:szCs w:val="24"/>
              </w:rPr>
            </w:pPr>
            <w:r w:rsidRPr="00835753">
              <w:rPr>
                <w:rStyle w:val="TeksttreciTimesNewRoman105ptOdstpy0pt"/>
                <w:rFonts w:eastAsia="Book Antiqua"/>
                <w:sz w:val="24"/>
                <w:szCs w:val="24"/>
              </w:rPr>
              <w:t>Średnia wartość wartości godziwej otrzymanego zabezpieczenia,</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tym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dow</w:t>
            </w:r>
            <w:r w:rsidRPr="00835753">
              <w:rPr>
                <w:rStyle w:val="TeksttreciTimesNewRoman105ptOdstpy0pt"/>
                <w:rFonts w:eastAsia="Book Antiqua"/>
                <w:sz w:val="24"/>
                <w:szCs w:val="24"/>
              </w:rPr>
              <w:t>olnych transakcjach zaciągania pożyczek papierów wartościowych, lub wyemitowanych własnych dłużnych papierów wartościowych posiadanych/zatrzymanych przez instytucję, które są obciążone zgodnie</w:t>
            </w:r>
            <w:r w:rsidR="00835753" w:rsidRPr="00835753">
              <w:rPr>
                <w:rStyle w:val="TeksttreciTimesNewRoman105ptOdstpy0pt"/>
                <w:rFonts w:eastAsia="Book Antiqua"/>
                <w:sz w:val="24"/>
                <w:szCs w:val="24"/>
              </w:rPr>
              <w:t xml:space="preserve"> z</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art</w:t>
            </w:r>
            <w:r w:rsidRPr="00835753">
              <w:rPr>
                <w:rStyle w:val="TeksttreciTimesNewRoman105ptOdstpy0pt"/>
                <w:rFonts w:eastAsia="Book Antiqua"/>
                <w:sz w:val="24"/>
                <w:szCs w:val="24"/>
              </w:rPr>
              <w:t>.</w:t>
            </w:r>
            <w:r w:rsidR="00835753" w:rsidRPr="00835753">
              <w:rPr>
                <w:rStyle w:val="TeksttreciTimesNewRoman105ptOdstpy0pt"/>
                <w:rFonts w:eastAsia="Book Antiqua"/>
                <w:sz w:val="24"/>
                <w:szCs w:val="24"/>
              </w:rPr>
              <w:t> </w:t>
            </w:r>
            <w:r w:rsidRPr="00835753">
              <w:rPr>
                <w:rStyle w:val="TeksttreciTimesNewRoman105ptOdstpy0pt"/>
                <w:rFonts w:eastAsia="Book Antiqua"/>
                <w:sz w:val="24"/>
                <w:szCs w:val="24"/>
              </w:rPr>
              <w:t>100 CRR.</w:t>
            </w:r>
          </w:p>
          <w:p w14:paraId="75605FD1" w14:textId="62797B09" w:rsidR="00D312C4" w:rsidRPr="00835753" w:rsidRDefault="00D312C4" w:rsidP="00155C96">
            <w:pPr>
              <w:pStyle w:val="Fait"/>
              <w:spacing w:before="0" w:after="120"/>
            </w:pPr>
            <w:r w:rsidRPr="00835753">
              <w:rPr>
                <w:rStyle w:val="TeksttreciTimesNewRoman105ptOdstpy0pt"/>
                <w:sz w:val="24"/>
                <w:szCs w:val="24"/>
              </w:rPr>
              <w:t>Wartość godziwa instrumentu finansowego jest to cena, która zostałaby uzyskana ze sprzedaży składnika aktywów lub zapłacona za przeniesienie zobowiązania</w:t>
            </w:r>
            <w:r w:rsidR="00835753" w:rsidRPr="00835753">
              <w:rPr>
                <w:rStyle w:val="TeksttreciTimesNewRoman105ptOdstpy0pt"/>
                <w:sz w:val="24"/>
                <w:szCs w:val="24"/>
              </w:rPr>
              <w:t xml:space="preserve"> w</w:t>
            </w:r>
            <w:r w:rsidR="00835753">
              <w:rPr>
                <w:rStyle w:val="TeksttreciTimesNewRoman105ptOdstpy0pt"/>
                <w:sz w:val="24"/>
                <w:szCs w:val="24"/>
              </w:rPr>
              <w:t> </w:t>
            </w:r>
            <w:r w:rsidR="00835753" w:rsidRPr="00835753">
              <w:rPr>
                <w:rStyle w:val="TeksttreciTimesNewRoman105ptOdstpy0pt"/>
                <w:sz w:val="24"/>
                <w:szCs w:val="24"/>
              </w:rPr>
              <w:t>tra</w:t>
            </w:r>
            <w:r w:rsidRPr="00835753">
              <w:rPr>
                <w:rStyle w:val="TeksttreciTimesNewRoman105ptOdstpy0pt"/>
                <w:sz w:val="24"/>
                <w:szCs w:val="24"/>
              </w:rPr>
              <w:t>nsakcji przeprowadzonej na zwykłych warunkach między uczestnikami rynku</w:t>
            </w:r>
            <w:r w:rsidR="00835753" w:rsidRPr="00835753">
              <w:rPr>
                <w:rStyle w:val="TeksttreciTimesNewRoman105ptOdstpy0pt"/>
                <w:sz w:val="24"/>
                <w:szCs w:val="24"/>
              </w:rPr>
              <w:t xml:space="preserve"> w</w:t>
            </w:r>
            <w:r w:rsidR="00835753">
              <w:rPr>
                <w:rStyle w:val="TeksttreciTimesNewRoman105ptOdstpy0pt"/>
                <w:sz w:val="24"/>
                <w:szCs w:val="24"/>
              </w:rPr>
              <w:t> </w:t>
            </w:r>
            <w:r w:rsidR="00835753" w:rsidRPr="00835753">
              <w:rPr>
                <w:rStyle w:val="TeksttreciTimesNewRoman105ptOdstpy0pt"/>
                <w:sz w:val="24"/>
                <w:szCs w:val="24"/>
              </w:rPr>
              <w:t>dni</w:t>
            </w:r>
            <w:r w:rsidRPr="00835753">
              <w:rPr>
                <w:rStyle w:val="TeksttreciTimesNewRoman105ptOdstpy0pt"/>
                <w:sz w:val="24"/>
                <w:szCs w:val="24"/>
              </w:rPr>
              <w:t>u wyceny (</w:t>
            </w:r>
            <w:r w:rsidRPr="00835753">
              <w:t>zgodnie z MSSF 13 Ustalanie wartości godziwej</w:t>
            </w:r>
            <w:r w:rsidR="00835753" w:rsidRPr="00835753">
              <w:t xml:space="preserve"> w</w:t>
            </w:r>
            <w:r w:rsidR="00835753">
              <w:t> </w:t>
            </w:r>
            <w:r w:rsidR="00835753" w:rsidRPr="00835753">
              <w:t>prz</w:t>
            </w:r>
            <w:r w:rsidRPr="00835753">
              <w:t>ypadku instytucji stosujących MSSF)</w:t>
            </w:r>
            <w:r w:rsidR="00835753" w:rsidRPr="00835753">
              <w:t>.</w:t>
            </w:r>
            <w:r w:rsidR="00835753" w:rsidRPr="00835753">
              <w:rPr>
                <w:rStyle w:val="TeksttreciTimesNewRoman105ptOdstpy0pt"/>
                <w:sz w:val="24"/>
                <w:szCs w:val="24"/>
              </w:rPr>
              <w:t xml:space="preserve"> W</w:t>
            </w:r>
            <w:r w:rsidR="00835753">
              <w:t> </w:t>
            </w:r>
            <w:r w:rsidR="00835753" w:rsidRPr="00835753">
              <w:rPr>
                <w:rStyle w:val="TeksttreciTimesNewRoman105ptOdstpy0pt"/>
                <w:sz w:val="24"/>
                <w:szCs w:val="24"/>
              </w:rPr>
              <w:t>prz</w:t>
            </w:r>
            <w:r w:rsidRPr="00835753">
              <w:rPr>
                <w:rStyle w:val="TeksttreciTimesNewRoman105ptOdstpy0pt"/>
                <w:sz w:val="24"/>
                <w:szCs w:val="24"/>
              </w:rPr>
              <w:t>ypadku każdej</w:t>
            </w:r>
            <w:r w:rsidR="00835753" w:rsidRPr="00835753">
              <w:rPr>
                <w:rStyle w:val="TeksttreciTimesNewRoman105ptOdstpy0pt"/>
                <w:sz w:val="24"/>
                <w:szCs w:val="24"/>
              </w:rPr>
              <w:t xml:space="preserve"> z</w:t>
            </w:r>
            <w:r w:rsidR="00835753">
              <w:rPr>
                <w:rStyle w:val="TeksttreciTimesNewRoman105ptOdstpy0pt"/>
                <w:sz w:val="24"/>
                <w:szCs w:val="24"/>
              </w:rPr>
              <w:t> </w:t>
            </w:r>
            <w:r w:rsidR="00835753" w:rsidRPr="00835753">
              <w:rPr>
                <w:rStyle w:val="TeksttreciTimesNewRoman105ptOdstpy0pt"/>
                <w:sz w:val="24"/>
                <w:szCs w:val="24"/>
              </w:rPr>
              <w:t>poz</w:t>
            </w:r>
            <w:r w:rsidRPr="00835753">
              <w:rPr>
                <w:rStyle w:val="TeksttreciTimesNewRoman105ptOdstpy0pt"/>
                <w:sz w:val="24"/>
                <w:szCs w:val="24"/>
              </w:rPr>
              <w:t>ycji zabezpieczenia ujawniona wartość godziwa jest średnią wartością poszczególnych wartości godziwych zaobserwowanych na koniec każdego okresu, za który informacje podlegają ujawnieniu, uwzględnianego</w:t>
            </w:r>
            <w:r w:rsidR="00835753" w:rsidRPr="00835753">
              <w:rPr>
                <w:rStyle w:val="TeksttreciTimesNewRoman105ptOdstpy0pt"/>
                <w:sz w:val="24"/>
                <w:szCs w:val="24"/>
              </w:rPr>
              <w:t xml:space="preserve"> w</w:t>
            </w:r>
            <w:r w:rsidR="00835753">
              <w:rPr>
                <w:rStyle w:val="TeksttreciTimesNewRoman105ptOdstpy0pt"/>
                <w:sz w:val="24"/>
                <w:szCs w:val="24"/>
              </w:rPr>
              <w:t> </w:t>
            </w:r>
            <w:r w:rsidR="00835753" w:rsidRPr="00835753">
              <w:rPr>
                <w:rStyle w:val="TeksttreciTimesNewRoman105ptOdstpy0pt"/>
                <w:sz w:val="24"/>
                <w:szCs w:val="24"/>
              </w:rPr>
              <w:t>wyl</w:t>
            </w:r>
            <w:r w:rsidRPr="00835753">
              <w:rPr>
                <w:rStyle w:val="TeksttreciTimesNewRoman105ptOdstpy0pt"/>
                <w:sz w:val="24"/>
                <w:szCs w:val="24"/>
              </w:rPr>
              <w:t>iczaniu średniej wartości.</w:t>
            </w:r>
          </w:p>
        </w:tc>
      </w:tr>
      <w:tr w:rsidR="00D312C4" w:rsidRPr="00835753" w14:paraId="775112DE" w14:textId="77777777" w:rsidTr="00155C96">
        <w:trPr>
          <w:trHeight w:val="841"/>
        </w:trPr>
        <w:tc>
          <w:tcPr>
            <w:tcW w:w="1384" w:type="dxa"/>
          </w:tcPr>
          <w:p w14:paraId="3AE949FB" w14:textId="77777777" w:rsidR="00D312C4" w:rsidRPr="00835753" w:rsidRDefault="00D312C4" w:rsidP="00155C96">
            <w:pPr>
              <w:pStyle w:val="Applicationdirecte"/>
              <w:spacing w:before="0"/>
            </w:pPr>
            <w:r w:rsidRPr="00835753">
              <w:t>030</w:t>
            </w:r>
          </w:p>
        </w:tc>
        <w:tc>
          <w:tcPr>
            <w:tcW w:w="7655" w:type="dxa"/>
          </w:tcPr>
          <w:p w14:paraId="22C80025" w14:textId="77777777" w:rsidR="00D312C4" w:rsidRPr="00835753" w:rsidRDefault="00D312C4" w:rsidP="00155C96">
            <w:pPr>
              <w:pStyle w:val="Teksttreci0"/>
              <w:shd w:val="clear" w:color="auto" w:fill="auto"/>
              <w:spacing w:after="120" w:line="240" w:lineRule="auto"/>
              <w:ind w:firstLine="0"/>
              <w:rPr>
                <w:sz w:val="24"/>
                <w:szCs w:val="24"/>
              </w:rPr>
            </w:pPr>
            <w:proofErr w:type="gramStart"/>
            <w:r w:rsidRPr="00835753">
              <w:rPr>
                <w:rStyle w:val="PogrubienieTeksttreciTimesNewRoman105ptOdstpy0pt"/>
                <w:rFonts w:eastAsia="Book Antiqua"/>
                <w:sz w:val="24"/>
                <w:szCs w:val="24"/>
              </w:rPr>
              <w:t>w</w:t>
            </w:r>
            <w:proofErr w:type="gramEnd"/>
            <w:r w:rsidRPr="00835753">
              <w:rPr>
                <w:rStyle w:val="PogrubienieTeksttreciTimesNewRoman105ptOdstpy0pt"/>
                <w:rFonts w:eastAsia="Book Antiqua"/>
                <w:sz w:val="24"/>
                <w:szCs w:val="24"/>
              </w:rPr>
              <w:t xml:space="preserve"> tym: hipotetycznie kwalifikujące się EHQLA i HQLA</w:t>
            </w:r>
          </w:p>
          <w:p w14:paraId="6DBA5CBC" w14:textId="2F9FBBEF" w:rsidR="00D312C4" w:rsidRPr="00835753" w:rsidRDefault="00D312C4" w:rsidP="00155C96">
            <w:pPr>
              <w:autoSpaceDE w:val="0"/>
              <w:autoSpaceDN w:val="0"/>
              <w:adjustRightInd w:val="0"/>
              <w:spacing w:after="120"/>
              <w:jc w:val="both"/>
              <w:rPr>
                <w:rStyle w:val="TeksttreciTimesNewRoman105ptOdstpy0pt"/>
                <w:rFonts w:eastAsia="Calibri"/>
                <w:sz w:val="24"/>
              </w:rPr>
            </w:pPr>
            <w:r w:rsidRPr="00835753">
              <w:rPr>
                <w:rStyle w:val="TeksttreciTimesNewRoman105ptOdstpy0pt"/>
                <w:rFonts w:eastAsiaTheme="minorEastAsia"/>
                <w:sz w:val="24"/>
              </w:rPr>
              <w:t>Średnia wartość wartości godziwej otrzymanego obciążonego zabezpieczenia,</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tym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dow</w:t>
            </w:r>
            <w:r w:rsidRPr="00835753">
              <w:rPr>
                <w:rStyle w:val="TeksttreciTimesNewRoman105ptOdstpy0pt"/>
                <w:rFonts w:eastAsiaTheme="minorEastAsia"/>
                <w:sz w:val="24"/>
              </w:rPr>
              <w:t>olnych transakcjach zaciągania pożyczek papierów wartościowych, lub wyemitowanych własnych dłużnych papierów wartościowych posiadanych/zatrzymanych przez instytucję, które hipotetycznie kwalifikują się jako EHQLA i HQLA. Do celów niniejszego rozporządzenia hipotetycznie kwalifikujące się obciążone EHQLA</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hip</w:t>
            </w:r>
            <w:r w:rsidRPr="00835753">
              <w:rPr>
                <w:rStyle w:val="TeksttreciTimesNewRoman105ptOdstpy0pt"/>
                <w:rFonts w:eastAsiaTheme="minorEastAsia"/>
                <w:sz w:val="24"/>
              </w:rPr>
              <w:t>otetycznie kwalifikujące się obciążone HQLA to</w:t>
            </w:r>
            <w:r w:rsidR="00835753" w:rsidRPr="00835753">
              <w:rPr>
                <w:rStyle w:val="TeksttreciTimesNewRoman105ptOdstpy0pt"/>
                <w:rFonts w:eastAsiaTheme="minorEastAsia"/>
                <w:sz w:val="24"/>
              </w:rPr>
              <w:t xml:space="preserve"> </w:t>
            </w:r>
            <w:r w:rsidRPr="00835753">
              <w:rPr>
                <w:rStyle w:val="TeksttreciTimesNewRoman105ptOdstpy0pt"/>
                <w:rFonts w:eastAsiaTheme="minorEastAsia"/>
                <w:sz w:val="24"/>
              </w:rPr>
              <w:t>otrzymane zabezpieczenie lub wyemitowane własne dłużne papiery wartościowe posiadane/zatrzymane przez instytucję, wymienione</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10, 11, 12, 13, 15</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1</w:t>
            </w:r>
            <w:r w:rsidRPr="00835753">
              <w:rPr>
                <w:rStyle w:val="TeksttreciTimesNewRoman105ptOdstpy0pt"/>
                <w:rFonts w:eastAsiaTheme="minorEastAsia"/>
                <w:sz w:val="24"/>
              </w:rPr>
              <w:t>6 rozporządzenia delegowanego Komisji (UE) 2015/61, które byłyby zgodne</w:t>
            </w:r>
            <w:r w:rsidR="00835753" w:rsidRPr="00835753">
              <w:rPr>
                <w:rStyle w:val="TeksttreciTimesNewRoman105ptOdstpy0pt"/>
                <w:rFonts w:eastAsiaTheme="minorEastAsia"/>
                <w:sz w:val="24"/>
              </w:rPr>
              <w:t xml:space="preserve"> z</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wym</w:t>
            </w:r>
            <w:r w:rsidRPr="00835753">
              <w:rPr>
                <w:rStyle w:val="TeksttreciTimesNewRoman105ptOdstpy0pt"/>
                <w:rFonts w:eastAsiaTheme="minorEastAsia"/>
                <w:sz w:val="24"/>
              </w:rPr>
              <w:t>ogami ogólnymi</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ope</w:t>
            </w:r>
            <w:r w:rsidRPr="00835753">
              <w:rPr>
                <w:rStyle w:val="TeksttreciTimesNewRoman105ptOdstpy0pt"/>
                <w:rFonts w:eastAsiaTheme="minorEastAsia"/>
                <w:sz w:val="24"/>
              </w:rPr>
              <w:t>racyjnymi określonymi</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7</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8</w:t>
            </w:r>
            <w:r w:rsidRPr="00835753">
              <w:rPr>
                <w:rStyle w:val="TeksttreciTimesNewRoman105ptOdstpy0pt"/>
                <w:rFonts w:eastAsiaTheme="minorEastAsia"/>
                <w:sz w:val="24"/>
              </w:rPr>
              <w:t xml:space="preserve"> rozporządzenia delegowanego Komisji (UE) 2015/61, gdyby nie miały statusu aktywów obciążonych zgodnie</w:t>
            </w:r>
            <w:r w:rsidR="00835753" w:rsidRPr="00835753">
              <w:rPr>
                <w:rStyle w:val="TeksttreciTimesNewRoman105ptOdstpy0pt"/>
                <w:rFonts w:eastAsiaTheme="minorEastAsia"/>
                <w:sz w:val="24"/>
              </w:rPr>
              <w:t xml:space="preserve"> z</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zał</w:t>
            </w:r>
            <w:r w:rsidRPr="00835753">
              <w:rPr>
                <w:rStyle w:val="TeksttreciTimesNewRoman105ptOdstpy0pt"/>
                <w:rFonts w:eastAsiaTheme="minorEastAsia"/>
                <w:sz w:val="24"/>
              </w:rPr>
              <w:t>ącznikiem XVII do rozporządzenia wykonawczego Komisji (UE) nr</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680/2014. Hipotetycznie kwalifikujące się obciążone EHQLA</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hip</w:t>
            </w:r>
            <w:r w:rsidRPr="00835753">
              <w:rPr>
                <w:rStyle w:val="TeksttreciTimesNewRoman105ptOdstpy0pt"/>
                <w:rFonts w:eastAsiaTheme="minorEastAsia"/>
                <w:sz w:val="24"/>
              </w:rPr>
              <w:t xml:space="preserve">otetycznie kwalifikujące się </w:t>
            </w:r>
            <w:r w:rsidRPr="00835753">
              <w:rPr>
                <w:rStyle w:val="TeksttreciTimesNewRoman105ptOdstpy0pt"/>
                <w:rFonts w:eastAsiaTheme="minorEastAsia"/>
                <w:sz w:val="24"/>
              </w:rPr>
              <w:lastRenderedPageBreak/>
              <w:t>obciążone HQLA muszą również spełniać wymogi dla poszczególnych kategorii ekspozycji określone</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10–16</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3</w:t>
            </w:r>
            <w:r w:rsidRPr="00835753">
              <w:rPr>
                <w:rStyle w:val="TeksttreciTimesNewRoman105ptOdstpy0pt"/>
                <w:rFonts w:eastAsiaTheme="minorEastAsia"/>
                <w:sz w:val="24"/>
              </w:rPr>
              <w:t>5–37 rozporządzenia delegowanego Komisji (UE) 2015/61. Wartość godziwa hipotetycznie kwalifikujących się obciążonych EHQLA</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hip</w:t>
            </w:r>
            <w:r w:rsidRPr="00835753">
              <w:rPr>
                <w:rStyle w:val="TeksttreciTimesNewRoman105ptOdstpy0pt"/>
                <w:rFonts w:eastAsiaTheme="minorEastAsia"/>
                <w:sz w:val="24"/>
              </w:rPr>
              <w:t>otetycznie kwalifikujących się obciążonych HQLA odpowiada wartości godziwej przed zastosowaniem redukcji wartości określonych</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10–16 rozporządzenia delegowanego Komisji (UE) 2015/61.</w:t>
            </w:r>
          </w:p>
          <w:p w14:paraId="21849B93" w14:textId="654A4A57" w:rsidR="00D312C4" w:rsidRPr="00835753" w:rsidRDefault="00D312C4" w:rsidP="00155C96">
            <w:pPr>
              <w:autoSpaceDE w:val="0"/>
              <w:autoSpaceDN w:val="0"/>
              <w:adjustRightInd w:val="0"/>
              <w:spacing w:after="120"/>
              <w:jc w:val="both"/>
              <w:rPr>
                <w:rFonts w:ascii="Times New Roman" w:hAnsi="Times New Roman" w:cs="Times New Roman"/>
                <w:b/>
                <w:sz w:val="24"/>
              </w:rPr>
            </w:pPr>
            <w:r w:rsidRPr="00835753">
              <w:rPr>
                <w:rStyle w:val="TeksttreciTimesNewRoman105ptOdstpy0pt"/>
                <w:rFonts w:eastAsiaTheme="minorEastAsia"/>
                <w:sz w:val="24"/>
              </w:rPr>
              <w:t>W przypadku każdej</w:t>
            </w:r>
            <w:r w:rsidR="00835753" w:rsidRPr="00835753">
              <w:rPr>
                <w:rStyle w:val="TeksttreciTimesNewRoman105ptOdstpy0pt"/>
                <w:rFonts w:eastAsiaTheme="minorEastAsia"/>
                <w:sz w:val="24"/>
              </w:rPr>
              <w:t xml:space="preserve"> z</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poz</w:t>
            </w:r>
            <w:r w:rsidRPr="00835753">
              <w:rPr>
                <w:rStyle w:val="TeksttreciTimesNewRoman105ptOdstpy0pt"/>
                <w:rFonts w:eastAsiaTheme="minorEastAsia"/>
                <w:sz w:val="24"/>
              </w:rPr>
              <w:t>ycji zabezpieczenia ujawniona wartość godziwa jest średnią wartością poszczególnych wartości godziwych zaobserwowanych na koniec każdego okresu, za który informacje podlegają ujawnieniu, uwzględnianego</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wyl</w:t>
            </w:r>
            <w:r w:rsidRPr="00835753">
              <w:rPr>
                <w:rStyle w:val="TeksttreciTimesNewRoman105ptOdstpy0pt"/>
                <w:rFonts w:eastAsiaTheme="minorEastAsia"/>
                <w:sz w:val="24"/>
              </w:rPr>
              <w:t>iczaniu średniej wartości.</w:t>
            </w:r>
          </w:p>
        </w:tc>
      </w:tr>
      <w:tr w:rsidR="00D312C4" w:rsidRPr="00835753" w14:paraId="610B8E52" w14:textId="77777777" w:rsidTr="00155C96">
        <w:trPr>
          <w:trHeight w:val="316"/>
        </w:trPr>
        <w:tc>
          <w:tcPr>
            <w:tcW w:w="1384" w:type="dxa"/>
          </w:tcPr>
          <w:p w14:paraId="7C4DBEE3" w14:textId="77777777" w:rsidR="00D312C4" w:rsidRPr="00835753" w:rsidRDefault="00D312C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sz w:val="24"/>
              </w:rPr>
              <w:lastRenderedPageBreak/>
              <w:t xml:space="preserve">040 </w:t>
            </w:r>
          </w:p>
        </w:tc>
        <w:tc>
          <w:tcPr>
            <w:tcW w:w="7655" w:type="dxa"/>
          </w:tcPr>
          <w:p w14:paraId="4DA10E90" w14:textId="77777777"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Wartość godziwa otrzymanego zabezpieczenia lub wyemitowanych własnych dłużnych papierów wartościowych, które mogą zostać obciążone</w:t>
            </w:r>
          </w:p>
          <w:p w14:paraId="36B88D25" w14:textId="523DA942" w:rsidR="00D312C4" w:rsidRPr="00835753" w:rsidRDefault="00D312C4" w:rsidP="00155C96">
            <w:pPr>
              <w:autoSpaceDE w:val="0"/>
              <w:autoSpaceDN w:val="0"/>
              <w:adjustRightInd w:val="0"/>
              <w:spacing w:after="120"/>
              <w:jc w:val="both"/>
              <w:rPr>
                <w:rFonts w:ascii="Times New Roman" w:hAnsi="Times New Roman" w:cs="Times New Roman"/>
                <w:sz w:val="24"/>
              </w:rPr>
            </w:pPr>
            <w:r w:rsidRPr="00835753">
              <w:rPr>
                <w:rStyle w:val="TeksttreciTimesNewRoman105ptOdstpy0pt"/>
                <w:rFonts w:eastAsiaTheme="minorEastAsia"/>
                <w:sz w:val="24"/>
              </w:rPr>
              <w:t>Średnia wartość wartości godziwej zabezpieczenia –</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tym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tra</w:t>
            </w:r>
            <w:r w:rsidRPr="00835753">
              <w:rPr>
                <w:rStyle w:val="TeksttreciTimesNewRoman105ptOdstpy0pt"/>
                <w:rFonts w:eastAsiaTheme="minorEastAsia"/>
                <w:sz w:val="24"/>
              </w:rPr>
              <w:t>nsakcjach zaciągania pożyczek papierów wartościowych – otrzymanego przez instytucję, które jest wolne od obciążeń, ale może zostać obciążone, ponieważ instytucja może je sprzedać lub ponownie zastawić, jeżeli nie wystąpiła sytuacja niewykonania zobowiązania przez właściciela zabezpieczenia. Obejmuje ona również wartość godziwą wyemitowanych własnych dłużnych papierów wartościowych innych niż własne obligacje zabezpieczone bądź pozycje sekurytyzacyjne, które są wolne od obciążeń, ale mogą zostać obciążone</w:t>
            </w:r>
            <w:r w:rsidR="00835753" w:rsidRPr="00835753">
              <w:rPr>
                <w:rStyle w:val="TeksttreciTimesNewRoman105ptOdstpy0pt"/>
                <w:rFonts w:eastAsiaTheme="minorEastAsia"/>
                <w:sz w:val="24"/>
              </w:rPr>
              <w:t>.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prz</w:t>
            </w:r>
            <w:r w:rsidRPr="00835753">
              <w:rPr>
                <w:rStyle w:val="TeksttreciTimesNewRoman105ptOdstpy0pt"/>
                <w:rFonts w:eastAsiaTheme="minorEastAsia"/>
                <w:sz w:val="24"/>
              </w:rPr>
              <w:t>ypadku każdej</w:t>
            </w:r>
            <w:r w:rsidR="00835753" w:rsidRPr="00835753">
              <w:rPr>
                <w:rStyle w:val="TeksttreciTimesNewRoman105ptOdstpy0pt"/>
                <w:rFonts w:eastAsiaTheme="minorEastAsia"/>
                <w:sz w:val="24"/>
              </w:rPr>
              <w:t xml:space="preserve"> z</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poz</w:t>
            </w:r>
            <w:r w:rsidRPr="00835753">
              <w:rPr>
                <w:rStyle w:val="TeksttreciTimesNewRoman105ptOdstpy0pt"/>
                <w:rFonts w:eastAsiaTheme="minorEastAsia"/>
                <w:sz w:val="24"/>
              </w:rPr>
              <w:t>ycji zabezpieczenia ujawniona wartość godziwa jest średnią wartością poszczególnych wartości godziwych zaobserwowanych na koniec każdego okresu, za który informacje podlegają ujawnieniu, uwzględnianego</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wyl</w:t>
            </w:r>
            <w:r w:rsidRPr="00835753">
              <w:rPr>
                <w:rStyle w:val="TeksttreciTimesNewRoman105ptOdstpy0pt"/>
                <w:rFonts w:eastAsiaTheme="minorEastAsia"/>
                <w:sz w:val="24"/>
              </w:rPr>
              <w:t>iczaniu średniej wartości.</w:t>
            </w:r>
          </w:p>
        </w:tc>
      </w:tr>
      <w:tr w:rsidR="00D312C4" w:rsidRPr="00835753" w14:paraId="30AC4DE2" w14:textId="77777777" w:rsidTr="00155C96">
        <w:trPr>
          <w:trHeight w:val="316"/>
        </w:trPr>
        <w:tc>
          <w:tcPr>
            <w:tcW w:w="1384" w:type="dxa"/>
          </w:tcPr>
          <w:p w14:paraId="135FBD61"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r w:rsidRPr="00835753">
              <w:rPr>
                <w:rFonts w:ascii="Times New Roman" w:hAnsi="Times New Roman"/>
                <w:sz w:val="24"/>
              </w:rPr>
              <w:t>060</w:t>
            </w:r>
          </w:p>
        </w:tc>
        <w:tc>
          <w:tcPr>
            <w:tcW w:w="7655" w:type="dxa"/>
          </w:tcPr>
          <w:p w14:paraId="5AF0E0B1" w14:textId="77777777" w:rsidR="00D312C4" w:rsidRPr="00835753" w:rsidRDefault="00D312C4" w:rsidP="00155C96">
            <w:pPr>
              <w:pStyle w:val="Teksttreci0"/>
              <w:shd w:val="clear" w:color="auto" w:fill="auto"/>
              <w:spacing w:after="120" w:line="240" w:lineRule="auto"/>
              <w:ind w:firstLine="0"/>
              <w:rPr>
                <w:sz w:val="24"/>
                <w:szCs w:val="24"/>
              </w:rPr>
            </w:pPr>
            <w:proofErr w:type="gramStart"/>
            <w:r w:rsidRPr="00835753">
              <w:rPr>
                <w:rStyle w:val="PogrubienieTeksttreciTimesNewRoman105ptOdstpy0pt"/>
                <w:rFonts w:eastAsia="Book Antiqua"/>
                <w:sz w:val="24"/>
                <w:szCs w:val="24"/>
              </w:rPr>
              <w:t>w</w:t>
            </w:r>
            <w:proofErr w:type="gramEnd"/>
            <w:r w:rsidRPr="00835753">
              <w:rPr>
                <w:rStyle w:val="PogrubienieTeksttreciTimesNewRoman105ptOdstpy0pt"/>
                <w:rFonts w:eastAsia="Book Antiqua"/>
                <w:sz w:val="24"/>
                <w:szCs w:val="24"/>
              </w:rPr>
              <w:t xml:space="preserve"> tym: EHQLA i HQLA</w:t>
            </w:r>
          </w:p>
          <w:p w14:paraId="65E8D7D1" w14:textId="407BC921" w:rsidR="00D312C4" w:rsidRPr="00835753" w:rsidRDefault="00D312C4" w:rsidP="00155C96">
            <w:pPr>
              <w:autoSpaceDE w:val="0"/>
              <w:autoSpaceDN w:val="0"/>
              <w:adjustRightInd w:val="0"/>
              <w:spacing w:after="120"/>
              <w:jc w:val="both"/>
              <w:rPr>
                <w:rFonts w:ascii="Times New Roman" w:hAnsi="Times New Roman" w:cs="Times New Roman"/>
                <w:sz w:val="24"/>
              </w:rPr>
            </w:pPr>
            <w:r w:rsidRPr="00835753">
              <w:rPr>
                <w:rStyle w:val="TeksttreciTimesNewRoman105ptOdstpy0pt"/>
                <w:rFonts w:eastAsiaTheme="minorEastAsia"/>
                <w:sz w:val="24"/>
              </w:rPr>
              <w:t>Średnia wartość wartości godziwej nieobciążonego otrzymanego zabezpieczenia lub wolnych od obciążeń wyemitowanych własnych dłużnych papierów wartościowych posiadanych/zatrzymanych przez instytucję, innych niż własne obligacje zabezpieczone lub pozycje sekurytyzacyjne, które mogą zostać obciążone, kwalifikujących się jako EHQLA i HQLA wymienione</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10, 11, 12, 13, 15</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1</w:t>
            </w:r>
            <w:r w:rsidRPr="00835753">
              <w:rPr>
                <w:rStyle w:val="TeksttreciTimesNewRoman105ptOdstpy0pt"/>
                <w:rFonts w:eastAsiaTheme="minorEastAsia"/>
                <w:sz w:val="24"/>
              </w:rPr>
              <w:t>6 rozporządzenia delegowanego Komisji (UE) 2015/61, które spełniają wymogi ogólne</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wym</w:t>
            </w:r>
            <w:r w:rsidRPr="00835753">
              <w:rPr>
                <w:rStyle w:val="TeksttreciTimesNewRoman105ptOdstpy0pt"/>
                <w:rFonts w:eastAsiaTheme="minorEastAsia"/>
                <w:sz w:val="24"/>
              </w:rPr>
              <w:t>agania operacyjne określone</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7</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8</w:t>
            </w:r>
            <w:r w:rsidRPr="00835753">
              <w:rPr>
                <w:rStyle w:val="TeksttreciTimesNewRoman105ptOdstpy0pt"/>
                <w:rFonts w:eastAsiaTheme="minorEastAsia"/>
                <w:sz w:val="24"/>
              </w:rPr>
              <w:t xml:space="preserve"> rozporządzenia delegowanego Komisji (UE) 2015/61 oraz wymogi dla poszczególnych kategorii ekspozycji określone</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10–16</w:t>
            </w:r>
            <w:r w:rsidR="00835753" w:rsidRPr="00835753">
              <w:rPr>
                <w:rStyle w:val="TeksttreciTimesNewRoman105ptOdstpy0pt"/>
                <w:rFonts w:eastAsiaTheme="minorEastAsia"/>
                <w:sz w:val="24"/>
              </w:rPr>
              <w:t xml:space="preserve"> i</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3</w:t>
            </w:r>
            <w:r w:rsidRPr="00835753">
              <w:rPr>
                <w:rStyle w:val="TeksttreciTimesNewRoman105ptOdstpy0pt"/>
                <w:rFonts w:eastAsiaTheme="minorEastAsia"/>
                <w:sz w:val="24"/>
              </w:rPr>
              <w:t>5–37 rozporządzenia delegowanego Komisji (UE) 2015/61. Wartość godziwa EHQLA i HQLA odpowiada wartości godziwej przed zastosowaniem redukcji wartości określonych</w:t>
            </w:r>
            <w:r w:rsidR="00835753" w:rsidRPr="00835753">
              <w:rPr>
                <w:rStyle w:val="TeksttreciTimesNewRoman105ptOdstpy0pt"/>
                <w:rFonts w:eastAsiaTheme="minorEastAsia"/>
                <w:sz w:val="24"/>
              </w:rPr>
              <w:t xml:space="preserve"> w</w:t>
            </w:r>
            <w:r w:rsidR="00835753">
              <w:rPr>
                <w:rStyle w:val="TeksttreciTimesNewRoman105ptOdstpy0pt"/>
                <w:rFonts w:eastAsiaTheme="minorEastAsia"/>
                <w:sz w:val="24"/>
              </w:rPr>
              <w:t> </w:t>
            </w:r>
            <w:r w:rsidR="00835753" w:rsidRPr="00835753">
              <w:rPr>
                <w:rStyle w:val="TeksttreciTimesNewRoman105ptOdstpy0pt"/>
                <w:rFonts w:eastAsiaTheme="minorEastAsia"/>
                <w:sz w:val="24"/>
              </w:rPr>
              <w:t>art</w:t>
            </w:r>
            <w:r w:rsidRPr="00835753">
              <w:rPr>
                <w:rStyle w:val="TeksttreciTimesNewRoman105ptOdstpy0pt"/>
                <w:rFonts w:eastAsiaTheme="minorEastAsia"/>
                <w:sz w:val="24"/>
              </w:rPr>
              <w:t>.</w:t>
            </w:r>
            <w:r w:rsidR="00835753" w:rsidRPr="00835753">
              <w:rPr>
                <w:rStyle w:val="TeksttreciTimesNewRoman105ptOdstpy0pt"/>
                <w:rFonts w:eastAsiaTheme="minorEastAsia"/>
                <w:sz w:val="24"/>
              </w:rPr>
              <w:t> </w:t>
            </w:r>
            <w:r w:rsidRPr="00835753">
              <w:rPr>
                <w:rStyle w:val="TeksttreciTimesNewRoman105ptOdstpy0pt"/>
                <w:rFonts w:eastAsiaTheme="minorEastAsia"/>
                <w:sz w:val="24"/>
              </w:rPr>
              <w:t xml:space="preserve">10–16 rozporządzenia delegowanego Komisji (UE) 2015/61. </w:t>
            </w:r>
          </w:p>
        </w:tc>
      </w:tr>
    </w:tbl>
    <w:p w14:paraId="5D34B296" w14:textId="77777777" w:rsidR="00D312C4" w:rsidRPr="00835753" w:rsidRDefault="00D312C4" w:rsidP="00D312C4">
      <w:pPr>
        <w:spacing w:after="120"/>
        <w:rPr>
          <w:rFonts w:ascii="Times New Roman" w:hAnsi="Times New Roman" w:cs="Times New Roman"/>
          <w:b/>
        </w:rPr>
      </w:pPr>
    </w:p>
    <w:p w14:paraId="49B41C61" w14:textId="3AF4A756" w:rsidR="00D312C4" w:rsidRPr="00835753" w:rsidRDefault="00D312C4" w:rsidP="00D312C4">
      <w:pPr>
        <w:spacing w:after="120"/>
        <w:rPr>
          <w:rFonts w:ascii="Times New Roman" w:hAnsi="Times New Roman" w:cs="Times New Roman"/>
          <w:sz w:val="24"/>
        </w:rPr>
      </w:pPr>
      <w:r w:rsidRPr="00835753">
        <w:rPr>
          <w:rFonts w:ascii="Times New Roman" w:hAnsi="Times New Roman"/>
          <w:b/>
          <w:sz w:val="24"/>
        </w:rPr>
        <w:t>Wzór EU AE3 – Źródła obciążenia</w:t>
      </w:r>
    </w:p>
    <w:p w14:paraId="1DB180B2" w14:textId="53CDB403" w:rsidR="00D312C4" w:rsidRPr="00835753"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sidRPr="00835753">
        <w:rPr>
          <w:sz w:val="24"/>
          <w:szCs w:val="24"/>
        </w:rPr>
        <w:t>Instytucje wypełniają wzór EU AE3 zamieszczony</w:t>
      </w:r>
      <w:r w:rsidR="00835753" w:rsidRPr="00835753">
        <w:rPr>
          <w:sz w:val="24"/>
          <w:szCs w:val="24"/>
        </w:rPr>
        <w:t xml:space="preserve"> w</w:t>
      </w:r>
      <w:r w:rsidR="00835753">
        <w:rPr>
          <w:sz w:val="24"/>
          <w:szCs w:val="24"/>
        </w:rPr>
        <w:t> </w:t>
      </w:r>
      <w:r w:rsidR="00835753" w:rsidRPr="00835753">
        <w:rPr>
          <w:sz w:val="24"/>
          <w:szCs w:val="24"/>
        </w:rPr>
        <w:t>zał</w:t>
      </w:r>
      <w:r w:rsidRPr="00835753">
        <w:rPr>
          <w:sz w:val="24"/>
          <w:szCs w:val="24"/>
        </w:rPr>
        <w:t xml:space="preserve">ączniku XXXV do </w:t>
      </w:r>
      <w:r w:rsidRPr="00835753">
        <w:rPr>
          <w:sz w:val="24"/>
          <w:szCs w:val="24"/>
        </w:rPr>
        <w:lastRenderedPageBreak/>
        <w:t>niniejszego rozporządzenia wykonawczego</w:t>
      </w:r>
      <w:r w:rsidRPr="00835753">
        <w:rPr>
          <w:sz w:val="24"/>
        </w:rPr>
        <w:t xml:space="preserve"> </w:t>
      </w:r>
      <w:r w:rsidRPr="00835753">
        <w:rPr>
          <w:sz w:val="24"/>
          <w:szCs w:val="24"/>
        </w:rPr>
        <w:t>zgodnie</w:t>
      </w:r>
      <w:r w:rsidR="00835753" w:rsidRPr="00835753">
        <w:rPr>
          <w:sz w:val="24"/>
          <w:szCs w:val="24"/>
        </w:rPr>
        <w:t xml:space="preserve"> z</w:t>
      </w:r>
      <w:r w:rsidR="00835753">
        <w:rPr>
          <w:sz w:val="24"/>
          <w:szCs w:val="24"/>
        </w:rPr>
        <w:t> </w:t>
      </w:r>
      <w:r w:rsidR="00835753" w:rsidRPr="00835753">
        <w:rPr>
          <w:sz w:val="24"/>
          <w:szCs w:val="24"/>
        </w:rPr>
        <w:t>pon</w:t>
      </w:r>
      <w:r w:rsidRPr="00835753">
        <w:rPr>
          <w:sz w:val="24"/>
          <w:szCs w:val="24"/>
        </w:rPr>
        <w:t>iższymi instrukcjami.</w:t>
      </w:r>
    </w:p>
    <w:p w14:paraId="3DA2DCC5" w14:textId="77777777" w:rsidR="00D312C4" w:rsidRPr="00835753"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835753"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2AA90661" w:rsidR="00D312C4" w:rsidRPr="00835753" w:rsidRDefault="00D312C4"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D312C4" w:rsidRPr="00835753" w14:paraId="4C3E238B" w14:textId="77777777" w:rsidTr="00155C96">
        <w:trPr>
          <w:trHeight w:val="704"/>
        </w:trPr>
        <w:tc>
          <w:tcPr>
            <w:tcW w:w="1384" w:type="dxa"/>
            <w:shd w:val="clear" w:color="auto" w:fill="D9D9D9" w:themeFill="background1" w:themeFillShade="D9"/>
          </w:tcPr>
          <w:p w14:paraId="22B9A32E" w14:textId="77777777" w:rsidR="00D312C4" w:rsidRPr="00835753" w:rsidRDefault="00D312C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46B5EC7C" w14:textId="77777777" w:rsidR="00D312C4" w:rsidRPr="00835753" w:rsidRDefault="00D312C4" w:rsidP="00155C96">
            <w:pPr>
              <w:autoSpaceDE w:val="0"/>
              <w:autoSpaceDN w:val="0"/>
              <w:adjustRightInd w:val="0"/>
              <w:spacing w:after="120"/>
              <w:rPr>
                <w:rFonts w:ascii="Times New Roman" w:hAnsi="Times New Roman" w:cs="Times New Roman"/>
                <w:color w:val="000000"/>
                <w:sz w:val="20"/>
                <w:szCs w:val="20"/>
              </w:rPr>
            </w:pPr>
            <w:r w:rsidRPr="00835753">
              <w:rPr>
                <w:rFonts w:ascii="Times New Roman" w:hAnsi="Times New Roman"/>
                <w:b/>
                <w:sz w:val="24"/>
              </w:rPr>
              <w:t>Wyjaśnienie</w:t>
            </w:r>
          </w:p>
        </w:tc>
      </w:tr>
      <w:tr w:rsidR="00D312C4" w:rsidRPr="00835753" w14:paraId="6EA434DC" w14:textId="77777777" w:rsidTr="00253301">
        <w:trPr>
          <w:trHeight w:val="1226"/>
        </w:trPr>
        <w:tc>
          <w:tcPr>
            <w:tcW w:w="1384" w:type="dxa"/>
          </w:tcPr>
          <w:p w14:paraId="06E664D0" w14:textId="77777777" w:rsidR="00D312C4" w:rsidRPr="00835753" w:rsidRDefault="00D312C4" w:rsidP="00155C96">
            <w:pPr>
              <w:pStyle w:val="Applicationdirecte"/>
              <w:spacing w:before="0"/>
            </w:pPr>
            <w:r w:rsidRPr="00835753">
              <w:t>010</w:t>
            </w:r>
          </w:p>
        </w:tc>
        <w:tc>
          <w:tcPr>
            <w:tcW w:w="7655" w:type="dxa"/>
          </w:tcPr>
          <w:p w14:paraId="4FB646D2" w14:textId="77777777"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Wartość bilansowa wybranych zobowiązań finansowych</w:t>
            </w:r>
          </w:p>
          <w:p w14:paraId="1EC7B62A" w14:textId="214572CF" w:rsidR="00D312C4" w:rsidRPr="00835753" w:rsidRDefault="00D312C4" w:rsidP="00155C96">
            <w:pPr>
              <w:spacing w:after="120"/>
              <w:jc w:val="both"/>
              <w:rPr>
                <w:rFonts w:ascii="Times New Roman" w:hAnsi="Times New Roman" w:cs="Times New Roman"/>
                <w:b/>
                <w:sz w:val="24"/>
              </w:rPr>
            </w:pPr>
            <w:r w:rsidRPr="00835753">
              <w:rPr>
                <w:rStyle w:val="InstructionsTabelleberschrift"/>
                <w:rFonts w:ascii="Times New Roman" w:hAnsi="Times New Roman"/>
                <w:b w:val="0"/>
                <w:sz w:val="24"/>
                <w:u w:val="none"/>
              </w:rPr>
              <w:t>Średnia wartość pozycji „Wartość bilansowa wybranych zobowiązań finansowych” instytucji,</w:t>
            </w:r>
            <w:r w:rsidR="00835753" w:rsidRPr="00835753">
              <w:rPr>
                <w:rStyle w:val="InstructionsTabelleberschrift"/>
                <w:rFonts w:ascii="Times New Roman" w:hAnsi="Times New Roman"/>
                <w:b w:val="0"/>
                <w:sz w:val="24"/>
                <w:u w:val="none"/>
              </w:rPr>
              <w:t xml:space="preserve"> o</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ile</w:t>
            </w:r>
            <w:r w:rsidRPr="00835753">
              <w:rPr>
                <w:rStyle w:val="InstructionsTabelleberschrift"/>
                <w:rFonts w:ascii="Times New Roman" w:hAnsi="Times New Roman"/>
                <w:b w:val="0"/>
                <w:sz w:val="24"/>
                <w:u w:val="none"/>
              </w:rPr>
              <w:t xml:space="preserve"> zobowiązania te wiążą się dla tej instytucji</w:t>
            </w:r>
            <w:r w:rsidR="00835753" w:rsidRPr="00835753">
              <w:rPr>
                <w:rStyle w:val="InstructionsTabelleberschrift"/>
                <w:rFonts w:ascii="Times New Roman" w:hAnsi="Times New Roman"/>
                <w:b w:val="0"/>
                <w:sz w:val="24"/>
                <w:u w:val="none"/>
              </w:rPr>
              <w:t xml:space="preserve"> z</w:t>
            </w:r>
            <w:r w:rsidR="00835753">
              <w:rPr>
                <w:rStyle w:val="InstructionsTabelleberschrift"/>
                <w:rFonts w:ascii="Times New Roman" w:hAnsi="Times New Roman"/>
                <w:b w:val="0"/>
                <w:sz w:val="24"/>
                <w:u w:val="none"/>
              </w:rPr>
              <w:t> </w:t>
            </w:r>
            <w:r w:rsidR="00835753" w:rsidRPr="00835753">
              <w:rPr>
                <w:rStyle w:val="InstructionsTabelleberschrift"/>
                <w:rFonts w:ascii="Times New Roman" w:hAnsi="Times New Roman"/>
                <w:b w:val="0"/>
                <w:sz w:val="24"/>
                <w:u w:val="none"/>
              </w:rPr>
              <w:t>obc</w:t>
            </w:r>
            <w:r w:rsidRPr="00835753">
              <w:rPr>
                <w:rStyle w:val="InstructionsTabelleberschrift"/>
                <w:rFonts w:ascii="Times New Roman" w:hAnsi="Times New Roman"/>
                <w:b w:val="0"/>
                <w:sz w:val="24"/>
                <w:u w:val="none"/>
              </w:rPr>
              <w:t xml:space="preserve">iążeniem aktywów. </w:t>
            </w:r>
          </w:p>
        </w:tc>
      </w:tr>
    </w:tbl>
    <w:p w14:paraId="2C8CC054" w14:textId="77777777" w:rsidR="00D312C4" w:rsidRPr="00835753"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835753" w14:paraId="5AC58C90" w14:textId="77777777" w:rsidTr="00155C96">
        <w:trPr>
          <w:trHeight w:val="238"/>
        </w:trPr>
        <w:tc>
          <w:tcPr>
            <w:tcW w:w="9039" w:type="dxa"/>
            <w:gridSpan w:val="2"/>
            <w:shd w:val="clear" w:color="auto" w:fill="D9D9D9" w:themeFill="background1" w:themeFillShade="D9"/>
          </w:tcPr>
          <w:p w14:paraId="2EBB1947" w14:textId="3D3C9B09" w:rsidR="00D312C4" w:rsidRPr="00835753" w:rsidRDefault="00D312C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D312C4" w:rsidRPr="00835753" w14:paraId="5EF84857" w14:textId="77777777" w:rsidTr="00155C96">
        <w:trPr>
          <w:trHeight w:val="238"/>
        </w:trPr>
        <w:tc>
          <w:tcPr>
            <w:tcW w:w="1384" w:type="dxa"/>
            <w:shd w:val="clear" w:color="auto" w:fill="D9D9D9" w:themeFill="background1" w:themeFillShade="D9"/>
          </w:tcPr>
          <w:p w14:paraId="67AE4CFF" w14:textId="77777777" w:rsidR="00D312C4" w:rsidRPr="00835753" w:rsidRDefault="00D312C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kolumny</w:t>
            </w:r>
          </w:p>
        </w:tc>
        <w:tc>
          <w:tcPr>
            <w:tcW w:w="7655" w:type="dxa"/>
            <w:shd w:val="clear" w:color="auto" w:fill="D9D9D9" w:themeFill="background1" w:themeFillShade="D9"/>
          </w:tcPr>
          <w:p w14:paraId="24CCC6ED" w14:textId="77777777" w:rsidR="00D312C4" w:rsidRPr="00835753" w:rsidRDefault="00D312C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Wyjaśnienie</w:t>
            </w:r>
          </w:p>
        </w:tc>
      </w:tr>
      <w:tr w:rsidR="00D312C4" w:rsidRPr="00835753" w14:paraId="1F6DE328" w14:textId="77777777" w:rsidTr="00155C96">
        <w:trPr>
          <w:trHeight w:val="841"/>
        </w:trPr>
        <w:tc>
          <w:tcPr>
            <w:tcW w:w="1384" w:type="dxa"/>
          </w:tcPr>
          <w:p w14:paraId="75FC0E10" w14:textId="77777777" w:rsidR="00D312C4" w:rsidRPr="00835753" w:rsidRDefault="00D312C4" w:rsidP="00155C96">
            <w:pPr>
              <w:pStyle w:val="Applicationdirecte"/>
              <w:spacing w:before="0"/>
            </w:pPr>
            <w:r w:rsidRPr="00835753">
              <w:t>010</w:t>
            </w:r>
          </w:p>
        </w:tc>
        <w:tc>
          <w:tcPr>
            <w:tcW w:w="7655" w:type="dxa"/>
          </w:tcPr>
          <w:p w14:paraId="61B4818F" w14:textId="77777777"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Odpowiadające im zobowiązania, zobowiązania warunkowe lub papiery wartościowe stanowiące przedmiot udzielonej pożyczki</w:t>
            </w:r>
          </w:p>
          <w:p w14:paraId="64DB2DA1" w14:textId="77589FB2" w:rsidR="00D312C4" w:rsidRPr="00835753"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sidRPr="00835753">
              <w:rPr>
                <w:rStyle w:val="TeksttreciTimesNewRoman105ptOdstpy0pt"/>
                <w:rFonts w:eastAsia="Book Antiqua"/>
                <w:sz w:val="24"/>
                <w:szCs w:val="24"/>
              </w:rPr>
              <w:t>Średnie wartości odpowiadających im zobowiązań, zobowiązań warunkowych (otrzymanych zobowiązań do udzielenia pożyczki</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otr</w:t>
            </w:r>
            <w:r w:rsidRPr="00835753">
              <w:rPr>
                <w:rStyle w:val="TeksttreciTimesNewRoman105ptOdstpy0pt"/>
                <w:rFonts w:eastAsia="Book Antiqua"/>
                <w:sz w:val="24"/>
                <w:szCs w:val="24"/>
              </w:rPr>
              <w:t>zymanych gwarancji finansowych) lub papierów wartościowych stanowiących przedmiot pożyczki udzielonej pod zabezpieczenie niegotówkowe,</w:t>
            </w:r>
            <w:r w:rsidR="00835753" w:rsidRPr="00835753">
              <w:rPr>
                <w:rStyle w:val="TeksttreciTimesNewRoman105ptOdstpy0pt"/>
                <w:rFonts w:eastAsia="Book Antiqua"/>
                <w:sz w:val="24"/>
                <w:szCs w:val="24"/>
              </w:rPr>
              <w:t xml:space="preserve"> o</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ile</w:t>
            </w:r>
            <w:r w:rsidRPr="00835753">
              <w:rPr>
                <w:rStyle w:val="TeksttreciTimesNewRoman105ptOdstpy0pt"/>
                <w:rFonts w:eastAsia="Book Antiqua"/>
                <w:sz w:val="24"/>
                <w:szCs w:val="24"/>
              </w:rPr>
              <w:t xml:space="preserve"> transakcje te wiążą się dla tej instytucji</w:t>
            </w:r>
            <w:r w:rsidR="00835753" w:rsidRPr="00835753">
              <w:rPr>
                <w:rStyle w:val="TeksttreciTimesNewRoman105ptOdstpy0pt"/>
                <w:rFonts w:eastAsia="Book Antiqua"/>
                <w:sz w:val="24"/>
                <w:szCs w:val="24"/>
              </w:rPr>
              <w:t xml:space="preserve"> z</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obc</w:t>
            </w:r>
            <w:r w:rsidRPr="00835753">
              <w:rPr>
                <w:rStyle w:val="TeksttreciTimesNewRoman105ptOdstpy0pt"/>
                <w:rFonts w:eastAsia="Book Antiqua"/>
                <w:sz w:val="24"/>
                <w:szCs w:val="24"/>
              </w:rPr>
              <w:t xml:space="preserve">iążeniem aktywów. </w:t>
            </w:r>
          </w:p>
          <w:p w14:paraId="47725BCB" w14:textId="6E529906" w:rsidR="00D312C4" w:rsidRPr="00835753"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sidRPr="00835753">
              <w:rPr>
                <w:rStyle w:val="TeksttreciTimesNewRoman105ptOdstpy0pt"/>
                <w:rFonts w:eastAsia="Book Antiqua"/>
                <w:sz w:val="24"/>
                <w:szCs w:val="24"/>
              </w:rPr>
              <w:t>Zobowiązania finansowe ujawnia się</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ich</w:t>
            </w:r>
            <w:r w:rsidRPr="00835753">
              <w:rPr>
                <w:rStyle w:val="TeksttreciTimesNewRoman105ptOdstpy0pt"/>
                <w:rFonts w:eastAsia="Book Antiqua"/>
                <w:sz w:val="24"/>
                <w:szCs w:val="24"/>
              </w:rPr>
              <w:t xml:space="preserve"> wartości bilansowej; zobowiązania warunkowe ujawnia się</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ich</w:t>
            </w:r>
            <w:r w:rsidRPr="00835753">
              <w:rPr>
                <w:rStyle w:val="TeksttreciTimesNewRoman105ptOdstpy0pt"/>
                <w:rFonts w:eastAsia="Book Antiqua"/>
                <w:sz w:val="24"/>
                <w:szCs w:val="24"/>
              </w:rPr>
              <w:t xml:space="preserve"> wartości nominalnej;</w:t>
            </w:r>
            <w:r w:rsidR="00835753" w:rsidRPr="00835753">
              <w:rPr>
                <w:rStyle w:val="TeksttreciTimesNewRoman105ptOdstpy0pt"/>
                <w:rFonts w:eastAsia="Book Antiqua"/>
                <w:sz w:val="24"/>
                <w:szCs w:val="24"/>
              </w:rPr>
              <w:t xml:space="preserve"> a</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pap</w:t>
            </w:r>
            <w:r w:rsidRPr="00835753">
              <w:rPr>
                <w:rStyle w:val="TeksttreciTimesNewRoman105ptOdstpy0pt"/>
                <w:rFonts w:eastAsia="Book Antiqua"/>
                <w:sz w:val="24"/>
                <w:szCs w:val="24"/>
              </w:rPr>
              <w:t>iery wartościowe stanowiące przedmiot pożyczki udzielonej pod zabezpieczenie niegotówkowe ujawnia się</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ich</w:t>
            </w:r>
            <w:r w:rsidRPr="00835753">
              <w:rPr>
                <w:rStyle w:val="TeksttreciTimesNewRoman105ptOdstpy0pt"/>
                <w:rFonts w:eastAsia="Book Antiqua"/>
                <w:sz w:val="24"/>
                <w:szCs w:val="24"/>
              </w:rPr>
              <w:t xml:space="preserve"> wartościach godziwych. </w:t>
            </w:r>
          </w:p>
          <w:p w14:paraId="09386094" w14:textId="2A36F7FD" w:rsidR="00D312C4" w:rsidRPr="00835753" w:rsidRDefault="00D312C4" w:rsidP="00155C96">
            <w:pPr>
              <w:pStyle w:val="Teksttreci0"/>
              <w:shd w:val="clear" w:color="auto" w:fill="auto"/>
              <w:spacing w:after="120" w:line="240" w:lineRule="auto"/>
              <w:ind w:firstLine="0"/>
              <w:rPr>
                <w:sz w:val="24"/>
                <w:szCs w:val="24"/>
              </w:rPr>
            </w:pPr>
            <w:r w:rsidRPr="00835753">
              <w:rPr>
                <w:rStyle w:val="TeksttreciTimesNewRoman105ptOdstpy0pt"/>
                <w:rFonts w:eastAsia="Book Antiqua"/>
                <w:sz w:val="24"/>
                <w:szCs w:val="24"/>
              </w:rPr>
              <w:t>Ujawniona wartość godziwa jest średnią wartością poszczególnych wartości godziwych zaobserwowanych na koniec każdego okresu, za który informacje podlegają ujawnieniu, uwzględnianego</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wyl</w:t>
            </w:r>
            <w:r w:rsidRPr="00835753">
              <w:rPr>
                <w:rStyle w:val="TeksttreciTimesNewRoman105ptOdstpy0pt"/>
                <w:rFonts w:eastAsia="Book Antiqua"/>
                <w:sz w:val="24"/>
                <w:szCs w:val="24"/>
              </w:rPr>
              <w:t>iczaniu średniej wartości.</w:t>
            </w:r>
          </w:p>
          <w:p w14:paraId="52DDBB79" w14:textId="77777777" w:rsidR="00D312C4" w:rsidRPr="00835753" w:rsidRDefault="00D312C4" w:rsidP="00155C96">
            <w:pPr>
              <w:pStyle w:val="Fait"/>
              <w:spacing w:before="0" w:after="120"/>
            </w:pPr>
            <w:r w:rsidRPr="00835753">
              <w:rPr>
                <w:rStyle w:val="TeksttreciTimesNewRoman105ptOdstpy0pt"/>
              </w:rPr>
              <w:t>Należy wykazać zobowiązania bez powiązanego finansowania, takie jak instrumenty pochodne.</w:t>
            </w:r>
          </w:p>
        </w:tc>
      </w:tr>
      <w:tr w:rsidR="00D312C4" w:rsidRPr="00835753" w14:paraId="0E0C266B" w14:textId="77777777" w:rsidTr="00155C96">
        <w:trPr>
          <w:trHeight w:val="841"/>
        </w:trPr>
        <w:tc>
          <w:tcPr>
            <w:tcW w:w="1384" w:type="dxa"/>
          </w:tcPr>
          <w:p w14:paraId="55B032F9" w14:textId="77777777" w:rsidR="00D312C4" w:rsidRPr="00835753" w:rsidRDefault="00D312C4" w:rsidP="00155C96">
            <w:pPr>
              <w:pStyle w:val="Applicationdirecte"/>
              <w:spacing w:before="0"/>
            </w:pPr>
            <w:r w:rsidRPr="00835753">
              <w:t>030</w:t>
            </w:r>
          </w:p>
        </w:tc>
        <w:tc>
          <w:tcPr>
            <w:tcW w:w="7655" w:type="dxa"/>
          </w:tcPr>
          <w:p w14:paraId="63A05232" w14:textId="5545F356" w:rsidR="00D312C4" w:rsidRPr="00835753" w:rsidRDefault="00D312C4" w:rsidP="00155C96">
            <w:pPr>
              <w:pStyle w:val="Teksttreci0"/>
              <w:shd w:val="clear" w:color="auto" w:fill="auto"/>
              <w:spacing w:after="120" w:line="240" w:lineRule="auto"/>
              <w:ind w:firstLine="0"/>
              <w:rPr>
                <w:sz w:val="24"/>
                <w:szCs w:val="24"/>
              </w:rPr>
            </w:pPr>
            <w:r w:rsidRPr="00835753">
              <w:rPr>
                <w:rStyle w:val="PogrubienieTeksttreciTimesNewRoman105ptOdstpy0pt"/>
                <w:rFonts w:eastAsia="Book Antiqua"/>
                <w:sz w:val="24"/>
                <w:szCs w:val="24"/>
              </w:rPr>
              <w:t>Aktywa, otrzymane zabezpieczenia</w:t>
            </w:r>
            <w:r w:rsidR="00835753" w:rsidRPr="00835753">
              <w:rPr>
                <w:rStyle w:val="PogrubienieTeksttreciTimesNewRoman105ptOdstpy0pt"/>
                <w:rFonts w:eastAsia="Book Antiqua"/>
                <w:sz w:val="24"/>
                <w:szCs w:val="24"/>
              </w:rPr>
              <w:t xml:space="preserve"> i</w:t>
            </w:r>
            <w:r w:rsidR="00835753">
              <w:rPr>
                <w:rStyle w:val="PogrubienieTeksttreciTimesNewRoman105ptOdstpy0pt"/>
                <w:rFonts w:eastAsia="Book Antiqua"/>
                <w:sz w:val="24"/>
                <w:szCs w:val="24"/>
              </w:rPr>
              <w:t> </w:t>
            </w:r>
            <w:r w:rsidR="00835753" w:rsidRPr="00835753">
              <w:rPr>
                <w:rStyle w:val="PogrubienieTeksttreciTimesNewRoman105ptOdstpy0pt"/>
                <w:rFonts w:eastAsia="Book Antiqua"/>
                <w:sz w:val="24"/>
                <w:szCs w:val="24"/>
              </w:rPr>
              <w:t>wye</w:t>
            </w:r>
            <w:r w:rsidRPr="00835753">
              <w:rPr>
                <w:rStyle w:val="PogrubienieTeksttreciTimesNewRoman105ptOdstpy0pt"/>
                <w:rFonts w:eastAsia="Book Antiqua"/>
                <w:sz w:val="24"/>
                <w:szCs w:val="24"/>
              </w:rPr>
              <w:t>mitowane własne papiery wartościowe inne niż obciążone obligacje zabezpieczone</w:t>
            </w:r>
            <w:r w:rsidR="00835753" w:rsidRPr="00835753">
              <w:rPr>
                <w:rStyle w:val="PogrubienieTeksttreciTimesNewRoman105ptOdstpy0pt"/>
                <w:rFonts w:eastAsia="Book Antiqua"/>
                <w:sz w:val="24"/>
                <w:szCs w:val="24"/>
              </w:rPr>
              <w:t xml:space="preserve"> i</w:t>
            </w:r>
            <w:r w:rsidR="00835753">
              <w:rPr>
                <w:rStyle w:val="PogrubienieTeksttreciTimesNewRoman105ptOdstpy0pt"/>
                <w:rFonts w:eastAsia="Book Antiqua"/>
                <w:sz w:val="24"/>
                <w:szCs w:val="24"/>
              </w:rPr>
              <w:t> </w:t>
            </w:r>
            <w:r w:rsidR="00835753" w:rsidRPr="00835753">
              <w:rPr>
                <w:rStyle w:val="PogrubienieTeksttreciTimesNewRoman105ptOdstpy0pt"/>
                <w:rFonts w:eastAsia="Book Antiqua"/>
                <w:sz w:val="24"/>
                <w:szCs w:val="24"/>
              </w:rPr>
              <w:t>sek</w:t>
            </w:r>
            <w:r w:rsidRPr="00835753">
              <w:rPr>
                <w:rStyle w:val="PogrubienieTeksttreciTimesNewRoman105ptOdstpy0pt"/>
                <w:rFonts w:eastAsia="Book Antiqua"/>
                <w:sz w:val="24"/>
                <w:szCs w:val="24"/>
              </w:rPr>
              <w:t>urytyzacje</w:t>
            </w:r>
          </w:p>
          <w:p w14:paraId="187E3CE8" w14:textId="3A248922" w:rsidR="00D312C4" w:rsidRPr="00835753" w:rsidRDefault="00D312C4" w:rsidP="00155C96">
            <w:pPr>
              <w:pStyle w:val="Teksttreci0"/>
              <w:shd w:val="clear" w:color="auto" w:fill="auto"/>
              <w:spacing w:after="120" w:line="240" w:lineRule="auto"/>
              <w:ind w:firstLine="0"/>
              <w:rPr>
                <w:sz w:val="24"/>
                <w:szCs w:val="24"/>
              </w:rPr>
            </w:pPr>
            <w:r w:rsidRPr="00835753">
              <w:rPr>
                <w:rStyle w:val="TeksttreciTimesNewRoman105ptOdstpy0pt"/>
                <w:rFonts w:eastAsia="Book Antiqua"/>
                <w:sz w:val="24"/>
                <w:szCs w:val="24"/>
              </w:rPr>
              <w:t>Kwota aktywów, otrzymanych zabezpieczeń</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wye</w:t>
            </w:r>
            <w:r w:rsidRPr="00835753">
              <w:rPr>
                <w:rStyle w:val="TeksttreciTimesNewRoman105ptOdstpy0pt"/>
                <w:rFonts w:eastAsia="Book Antiqua"/>
                <w:sz w:val="24"/>
                <w:szCs w:val="24"/>
              </w:rPr>
              <w:t>mitowanych własnych papierów wartościowych innych niż obligacje zabezpieczone</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sek</w:t>
            </w:r>
            <w:r w:rsidRPr="00835753">
              <w:rPr>
                <w:rStyle w:val="TeksttreciTimesNewRoman105ptOdstpy0pt"/>
                <w:rFonts w:eastAsia="Book Antiqua"/>
                <w:sz w:val="24"/>
                <w:szCs w:val="24"/>
              </w:rPr>
              <w:t>urytyzacje, które są obciążone</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wyn</w:t>
            </w:r>
            <w:r w:rsidRPr="00835753">
              <w:rPr>
                <w:rStyle w:val="TeksttreciTimesNewRoman105ptOdstpy0pt"/>
                <w:rFonts w:eastAsia="Book Antiqua"/>
                <w:sz w:val="24"/>
                <w:szCs w:val="24"/>
              </w:rPr>
              <w:t>iku różnego rodzaju ujawnionych tutaj transakcji.</w:t>
            </w:r>
          </w:p>
          <w:p w14:paraId="3DF3439C" w14:textId="0AA73787" w:rsidR="00D312C4" w:rsidRPr="00835753" w:rsidRDefault="00D312C4" w:rsidP="00155C96">
            <w:pPr>
              <w:pStyle w:val="Teksttreci0"/>
              <w:shd w:val="clear" w:color="auto" w:fill="auto"/>
              <w:spacing w:after="120" w:line="240" w:lineRule="auto"/>
              <w:ind w:firstLine="0"/>
              <w:rPr>
                <w:sz w:val="24"/>
                <w:szCs w:val="24"/>
              </w:rPr>
            </w:pPr>
            <w:r w:rsidRPr="00835753">
              <w:rPr>
                <w:rStyle w:val="TeksttreciTimesNewRoman105ptOdstpy0pt"/>
                <w:rFonts w:eastAsia="Book Antiqua"/>
                <w:sz w:val="24"/>
                <w:szCs w:val="24"/>
              </w:rPr>
              <w:t>W celu zapewnienia spójności</w:t>
            </w:r>
            <w:r w:rsidR="00835753" w:rsidRPr="00835753">
              <w:rPr>
                <w:rStyle w:val="TeksttreciTimesNewRoman105ptOdstpy0pt"/>
                <w:rFonts w:eastAsia="Book Antiqua"/>
                <w:sz w:val="24"/>
                <w:szCs w:val="24"/>
              </w:rPr>
              <w:t xml:space="preserve"> z</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kry</w:t>
            </w:r>
            <w:r w:rsidRPr="00835753">
              <w:rPr>
                <w:rStyle w:val="TeksttreciTimesNewRoman105ptOdstpy0pt"/>
                <w:rFonts w:eastAsia="Book Antiqua"/>
                <w:sz w:val="24"/>
                <w:szCs w:val="24"/>
              </w:rPr>
              <w:t>teriami określonymi we wzorach EU AE1 i EU AE2 aktywa instytucji zapisane</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bil</w:t>
            </w:r>
            <w:r w:rsidRPr="00835753">
              <w:rPr>
                <w:rStyle w:val="TeksttreciTimesNewRoman105ptOdstpy0pt"/>
                <w:rFonts w:eastAsia="Book Antiqua"/>
                <w:sz w:val="24"/>
                <w:szCs w:val="24"/>
              </w:rPr>
              <w:t>ansie wykazuje się</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śre</w:t>
            </w:r>
            <w:r w:rsidRPr="00835753">
              <w:rPr>
                <w:rStyle w:val="TeksttreciTimesNewRoman105ptOdstpy0pt"/>
                <w:rFonts w:eastAsia="Book Antiqua"/>
                <w:sz w:val="24"/>
                <w:szCs w:val="24"/>
              </w:rPr>
              <w:t xml:space="preserve">dniej wartości ich wartości bilansowej, natomiast ponownie </w:t>
            </w:r>
            <w:r w:rsidRPr="00835753">
              <w:rPr>
                <w:rStyle w:val="TeksttreciTimesNewRoman105ptOdstpy0pt"/>
                <w:rFonts w:eastAsia="Book Antiqua"/>
                <w:sz w:val="24"/>
                <w:szCs w:val="24"/>
              </w:rPr>
              <w:lastRenderedPageBreak/>
              <w:t>wykorzystane otrzymane zabezpieczenia</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wye</w:t>
            </w:r>
            <w:r w:rsidRPr="00835753">
              <w:rPr>
                <w:rStyle w:val="TeksttreciTimesNewRoman105ptOdstpy0pt"/>
                <w:rFonts w:eastAsia="Book Antiqua"/>
                <w:sz w:val="24"/>
                <w:szCs w:val="24"/>
              </w:rPr>
              <w:t>mitowane obciążone własne dłużne papiery wartościowe inne niż obligacje zabezpieczone</w:t>
            </w:r>
            <w:r w:rsidR="00835753" w:rsidRPr="00835753">
              <w:rPr>
                <w:rStyle w:val="TeksttreciTimesNewRoman105ptOdstpy0pt"/>
                <w:rFonts w:eastAsia="Book Antiqua"/>
                <w:sz w:val="24"/>
                <w:szCs w:val="24"/>
              </w:rPr>
              <w:t xml:space="preserve"> i</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sek</w:t>
            </w:r>
            <w:r w:rsidRPr="00835753">
              <w:rPr>
                <w:rStyle w:val="TeksttreciTimesNewRoman105ptOdstpy0pt"/>
                <w:rFonts w:eastAsia="Book Antiqua"/>
                <w:sz w:val="24"/>
                <w:szCs w:val="24"/>
              </w:rPr>
              <w:t>urytyzacje wykazuje się</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śre</w:t>
            </w:r>
            <w:r w:rsidRPr="00835753">
              <w:rPr>
                <w:rStyle w:val="TeksttreciTimesNewRoman105ptOdstpy0pt"/>
                <w:rFonts w:eastAsia="Book Antiqua"/>
                <w:sz w:val="24"/>
                <w:szCs w:val="24"/>
              </w:rPr>
              <w:t>dniej wartości ich wartości godziwej. Ujawniona wartość godziwa jest średnią wartością poszczególnych wartości godziwych zaobserwowanych na koniec każdego okresu, za który informacje podlegają ujawnieniu, uwzględnianego</w:t>
            </w:r>
            <w:r w:rsidR="00835753" w:rsidRPr="00835753">
              <w:rPr>
                <w:rStyle w:val="TeksttreciTimesNewRoman105ptOdstpy0pt"/>
                <w:rFonts w:eastAsia="Book Antiqua"/>
                <w:sz w:val="24"/>
                <w:szCs w:val="24"/>
              </w:rPr>
              <w:t xml:space="preserve"> w</w:t>
            </w:r>
            <w:r w:rsidR="00835753">
              <w:rPr>
                <w:rStyle w:val="TeksttreciTimesNewRoman105ptOdstpy0pt"/>
                <w:rFonts w:eastAsia="Book Antiqua"/>
                <w:sz w:val="24"/>
                <w:szCs w:val="24"/>
              </w:rPr>
              <w:t> </w:t>
            </w:r>
            <w:r w:rsidR="00835753" w:rsidRPr="00835753">
              <w:rPr>
                <w:rStyle w:val="TeksttreciTimesNewRoman105ptOdstpy0pt"/>
                <w:rFonts w:eastAsia="Book Antiqua"/>
                <w:sz w:val="24"/>
                <w:szCs w:val="24"/>
              </w:rPr>
              <w:t>wyl</w:t>
            </w:r>
            <w:r w:rsidRPr="00835753">
              <w:rPr>
                <w:rStyle w:val="TeksttreciTimesNewRoman105ptOdstpy0pt"/>
                <w:rFonts w:eastAsia="Book Antiqua"/>
                <w:sz w:val="24"/>
                <w:szCs w:val="24"/>
              </w:rPr>
              <w:t>iczaniu średniej wartości.</w:t>
            </w:r>
          </w:p>
          <w:p w14:paraId="38757B68" w14:textId="77777777" w:rsidR="00D312C4" w:rsidRPr="00835753" w:rsidRDefault="00D312C4" w:rsidP="00155C96">
            <w:pPr>
              <w:autoSpaceDE w:val="0"/>
              <w:autoSpaceDN w:val="0"/>
              <w:adjustRightInd w:val="0"/>
              <w:spacing w:after="120"/>
              <w:jc w:val="both"/>
              <w:rPr>
                <w:rFonts w:ascii="Times New Roman" w:hAnsi="Times New Roman" w:cs="Times New Roman"/>
                <w:b/>
                <w:sz w:val="24"/>
              </w:rPr>
            </w:pPr>
            <w:r w:rsidRPr="00835753">
              <w:rPr>
                <w:rStyle w:val="TeksttreciTimesNewRoman105ptOdstpy0pt"/>
                <w:rFonts w:eastAsiaTheme="minorEastAsia"/>
                <w:sz w:val="24"/>
              </w:rPr>
              <w:t>Należy również wykazać aktywa obciążone bez odpowiadających zobowiązań.</w:t>
            </w:r>
          </w:p>
        </w:tc>
      </w:tr>
    </w:tbl>
    <w:p w14:paraId="032A7DFD" w14:textId="77777777" w:rsidR="00D312C4" w:rsidRPr="00835753" w:rsidRDefault="00D312C4" w:rsidP="00D312C4">
      <w:pPr>
        <w:spacing w:after="120"/>
        <w:rPr>
          <w:rFonts w:ascii="Times New Roman" w:hAnsi="Times New Roman" w:cs="Times New Roman"/>
          <w:sz w:val="24"/>
        </w:rPr>
      </w:pPr>
    </w:p>
    <w:p w14:paraId="102FFF59" w14:textId="77777777" w:rsidR="00D312C4" w:rsidRPr="00835753" w:rsidRDefault="00D312C4" w:rsidP="00D312C4">
      <w:pPr>
        <w:pStyle w:val="Teksttreci50"/>
        <w:shd w:val="clear" w:color="auto" w:fill="auto"/>
        <w:tabs>
          <w:tab w:val="left" w:pos="815"/>
        </w:tabs>
        <w:spacing w:before="0" w:after="120" w:line="240" w:lineRule="auto"/>
        <w:ind w:right="20" w:firstLine="0"/>
        <w:jc w:val="both"/>
        <w:rPr>
          <w:sz w:val="24"/>
          <w:szCs w:val="24"/>
        </w:rPr>
      </w:pPr>
      <w:r w:rsidRPr="00835753">
        <w:rPr>
          <w:b/>
          <w:sz w:val="24"/>
          <w:szCs w:val="24"/>
        </w:rPr>
        <w:t>Tabela EU AE4 – Dołączone informacje opisowe</w:t>
      </w:r>
    </w:p>
    <w:p w14:paraId="1C63A1CC" w14:textId="043F69D9" w:rsidR="00D312C4" w:rsidRPr="00835753"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sidRPr="00835753">
        <w:rPr>
          <w:sz w:val="24"/>
          <w:szCs w:val="24"/>
        </w:rPr>
        <w:t xml:space="preserve">Instytucje </w:t>
      </w:r>
      <w:bookmarkStart w:id="18" w:name="_GoBack"/>
      <w:bookmarkEnd w:id="18"/>
      <w:r w:rsidRPr="00835753">
        <w:rPr>
          <w:sz w:val="24"/>
          <w:szCs w:val="24"/>
        </w:rPr>
        <w:t>wypełniają tabelę EU AE4 zamieszczoną</w:t>
      </w:r>
      <w:r w:rsidR="00835753" w:rsidRPr="00835753">
        <w:rPr>
          <w:sz w:val="24"/>
          <w:szCs w:val="24"/>
        </w:rPr>
        <w:t xml:space="preserve"> w</w:t>
      </w:r>
      <w:r w:rsidR="00835753">
        <w:rPr>
          <w:sz w:val="24"/>
          <w:szCs w:val="24"/>
        </w:rPr>
        <w:t> </w:t>
      </w:r>
      <w:r w:rsidR="00835753" w:rsidRPr="00835753">
        <w:rPr>
          <w:sz w:val="24"/>
          <w:szCs w:val="24"/>
        </w:rPr>
        <w:t>zał</w:t>
      </w:r>
      <w:r w:rsidRPr="00835753">
        <w:rPr>
          <w:sz w:val="24"/>
          <w:szCs w:val="24"/>
        </w:rPr>
        <w:t>ączniku XXXV do niniejszego rozporządzenia wykonawczego zgodnie</w:t>
      </w:r>
      <w:r w:rsidR="00835753" w:rsidRPr="00835753">
        <w:rPr>
          <w:sz w:val="24"/>
          <w:szCs w:val="24"/>
        </w:rPr>
        <w:t xml:space="preserve"> z</w:t>
      </w:r>
      <w:r w:rsidR="00835753">
        <w:rPr>
          <w:sz w:val="24"/>
          <w:szCs w:val="24"/>
        </w:rPr>
        <w:t> </w:t>
      </w:r>
      <w:r w:rsidR="00835753" w:rsidRPr="00835753">
        <w:rPr>
          <w:sz w:val="24"/>
          <w:szCs w:val="24"/>
        </w:rPr>
        <w:t>pon</w:t>
      </w:r>
      <w:r w:rsidRPr="00835753">
        <w:rPr>
          <w:sz w:val="24"/>
          <w:szCs w:val="24"/>
        </w:rPr>
        <w:t>iższymi instrukcjami.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835753"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4C68783C" w:rsidR="00D312C4" w:rsidRPr="00835753" w:rsidRDefault="00D312C4" w:rsidP="00155C96">
            <w:pPr>
              <w:spacing w:after="120"/>
              <w:rPr>
                <w:rFonts w:ascii="Times New Roman" w:hAnsi="Times New Roman" w:cs="Times New Roman"/>
                <w:b/>
                <w:sz w:val="24"/>
              </w:rPr>
            </w:pPr>
            <w:r w:rsidRPr="00835753">
              <w:rPr>
                <w:rFonts w:ascii="Times New Roman" w:hAnsi="Times New Roman"/>
                <w:b/>
                <w:sz w:val="24"/>
              </w:rPr>
              <w:t>Odniesienia prawne</w:t>
            </w:r>
            <w:r w:rsidR="00835753" w:rsidRPr="00835753">
              <w:rPr>
                <w:rFonts w:ascii="Times New Roman" w:hAnsi="Times New Roman"/>
                <w:b/>
                <w:sz w:val="24"/>
              </w:rPr>
              <w:t xml:space="preserve"> i</w:t>
            </w:r>
            <w:r w:rsidR="00835753">
              <w:rPr>
                <w:rFonts w:ascii="Times New Roman" w:hAnsi="Times New Roman"/>
                <w:b/>
                <w:sz w:val="24"/>
              </w:rPr>
              <w:t> </w:t>
            </w:r>
            <w:r w:rsidR="00835753" w:rsidRPr="00835753">
              <w:rPr>
                <w:rFonts w:ascii="Times New Roman" w:hAnsi="Times New Roman"/>
                <w:b/>
                <w:sz w:val="24"/>
              </w:rPr>
              <w:t>ins</w:t>
            </w:r>
            <w:r w:rsidRPr="00835753">
              <w:rPr>
                <w:rFonts w:ascii="Times New Roman" w:hAnsi="Times New Roman"/>
                <w:b/>
                <w:sz w:val="24"/>
              </w:rPr>
              <w:t>trukcje</w:t>
            </w:r>
          </w:p>
        </w:tc>
      </w:tr>
      <w:tr w:rsidR="00D312C4" w:rsidRPr="00835753" w14:paraId="3C66CFAD" w14:textId="77777777" w:rsidTr="00155C96">
        <w:trPr>
          <w:trHeight w:val="238"/>
        </w:trPr>
        <w:tc>
          <w:tcPr>
            <w:tcW w:w="1384" w:type="dxa"/>
            <w:shd w:val="clear" w:color="auto" w:fill="D9D9D9" w:themeFill="background1" w:themeFillShade="D9"/>
          </w:tcPr>
          <w:p w14:paraId="3F5D4245" w14:textId="77777777" w:rsidR="00D312C4" w:rsidRPr="00835753" w:rsidRDefault="00D312C4" w:rsidP="00155C96">
            <w:pPr>
              <w:autoSpaceDE w:val="0"/>
              <w:autoSpaceDN w:val="0"/>
              <w:adjustRightInd w:val="0"/>
              <w:spacing w:after="120"/>
              <w:rPr>
                <w:rFonts w:ascii="Times New Roman" w:hAnsi="Times New Roman" w:cs="Times New Roman"/>
                <w:b/>
                <w:sz w:val="24"/>
              </w:rPr>
            </w:pPr>
            <w:r w:rsidRPr="00835753">
              <w:rPr>
                <w:rFonts w:ascii="Times New Roman" w:hAnsi="Times New Roman"/>
                <w:b/>
                <w:sz w:val="24"/>
              </w:rPr>
              <w:t>Numer wiersza</w:t>
            </w:r>
          </w:p>
        </w:tc>
        <w:tc>
          <w:tcPr>
            <w:tcW w:w="7655" w:type="dxa"/>
            <w:shd w:val="clear" w:color="auto" w:fill="D9D9D9" w:themeFill="background1" w:themeFillShade="D9"/>
          </w:tcPr>
          <w:p w14:paraId="77C42FB3" w14:textId="77777777" w:rsidR="00D312C4" w:rsidRPr="00835753" w:rsidRDefault="00D312C4" w:rsidP="00155C96">
            <w:pPr>
              <w:autoSpaceDE w:val="0"/>
              <w:autoSpaceDN w:val="0"/>
              <w:adjustRightInd w:val="0"/>
              <w:spacing w:after="120"/>
              <w:rPr>
                <w:rFonts w:ascii="Times New Roman" w:hAnsi="Times New Roman" w:cs="Times New Roman"/>
                <w:color w:val="000000"/>
                <w:sz w:val="24"/>
              </w:rPr>
            </w:pPr>
            <w:r w:rsidRPr="00835753">
              <w:rPr>
                <w:rFonts w:ascii="Times New Roman" w:hAnsi="Times New Roman"/>
                <w:b/>
                <w:sz w:val="24"/>
              </w:rPr>
              <w:t>Wyjaśnienie</w:t>
            </w:r>
          </w:p>
        </w:tc>
      </w:tr>
      <w:tr w:rsidR="00D312C4" w:rsidRPr="00835753" w14:paraId="57F4C3E7" w14:textId="77777777" w:rsidTr="00155C96">
        <w:trPr>
          <w:trHeight w:val="1803"/>
        </w:trPr>
        <w:tc>
          <w:tcPr>
            <w:tcW w:w="1384" w:type="dxa"/>
          </w:tcPr>
          <w:p w14:paraId="4F39FE2F" w14:textId="77777777" w:rsidR="00D312C4" w:rsidRPr="00835753" w:rsidRDefault="00D312C4" w:rsidP="00155C96">
            <w:pPr>
              <w:pStyle w:val="Applicationdirecte"/>
              <w:spacing w:before="0"/>
            </w:pPr>
            <w:proofErr w:type="gramStart"/>
            <w:r w:rsidRPr="00835753">
              <w:t>a</w:t>
            </w:r>
            <w:proofErr w:type="gramEnd"/>
            <w:r w:rsidRPr="00835753">
              <w:t>)</w:t>
            </w:r>
          </w:p>
        </w:tc>
        <w:tc>
          <w:tcPr>
            <w:tcW w:w="7655" w:type="dxa"/>
          </w:tcPr>
          <w:p w14:paraId="7ED91ED9" w14:textId="36D199F1" w:rsidR="00D312C4" w:rsidRPr="00835753" w:rsidRDefault="00D312C4" w:rsidP="00155C96">
            <w:pPr>
              <w:pStyle w:val="Teksttreci50"/>
              <w:shd w:val="clear" w:color="auto" w:fill="auto"/>
              <w:tabs>
                <w:tab w:val="left" w:pos="343"/>
              </w:tabs>
              <w:spacing w:before="0" w:after="120" w:line="240" w:lineRule="auto"/>
              <w:ind w:firstLine="0"/>
              <w:jc w:val="both"/>
              <w:rPr>
                <w:sz w:val="24"/>
                <w:szCs w:val="24"/>
              </w:rPr>
            </w:pPr>
            <w:r w:rsidRPr="00835753">
              <w:rPr>
                <w:sz w:val="24"/>
                <w:szCs w:val="24"/>
              </w:rPr>
              <w:t>Ogólne informacje opisowe dotyczące obciążenia aktywów,</w:t>
            </w:r>
            <w:r w:rsidR="00835753" w:rsidRPr="00835753">
              <w:rPr>
                <w:sz w:val="24"/>
                <w:szCs w:val="24"/>
              </w:rPr>
              <w:t xml:space="preserve"> w</w:t>
            </w:r>
            <w:r w:rsidR="00835753">
              <w:rPr>
                <w:sz w:val="24"/>
                <w:szCs w:val="24"/>
              </w:rPr>
              <w:t> </w:t>
            </w:r>
            <w:r w:rsidR="00835753" w:rsidRPr="00835753">
              <w:rPr>
                <w:sz w:val="24"/>
                <w:szCs w:val="24"/>
              </w:rPr>
              <w:t>tym</w:t>
            </w:r>
            <w:r w:rsidRPr="00835753">
              <w:rPr>
                <w:sz w:val="24"/>
                <w:szCs w:val="24"/>
              </w:rPr>
              <w:t>:</w:t>
            </w:r>
          </w:p>
          <w:p w14:paraId="6A815980" w14:textId="1C936485" w:rsidR="00D312C4" w:rsidRPr="00835753"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sidRPr="00835753">
              <w:rPr>
                <w:sz w:val="24"/>
                <w:szCs w:val="24"/>
              </w:rPr>
              <w:t>wyjaśnienie wszelkich różnic między zakresem konsolidacji regulacyjnej stosowanej do celów ujawniania informacji dotyczących obciążenia aktywów</w:t>
            </w:r>
            <w:r w:rsidR="00835753" w:rsidRPr="00835753">
              <w:rPr>
                <w:sz w:val="24"/>
                <w:szCs w:val="24"/>
              </w:rPr>
              <w:t xml:space="preserve"> a</w:t>
            </w:r>
            <w:r w:rsidR="00835753">
              <w:rPr>
                <w:sz w:val="24"/>
                <w:szCs w:val="24"/>
              </w:rPr>
              <w:t> </w:t>
            </w:r>
            <w:r w:rsidR="00835753" w:rsidRPr="00835753">
              <w:rPr>
                <w:sz w:val="24"/>
                <w:szCs w:val="24"/>
              </w:rPr>
              <w:t>zak</w:t>
            </w:r>
            <w:r w:rsidRPr="00835753">
              <w:rPr>
                <w:sz w:val="24"/>
                <w:szCs w:val="24"/>
              </w:rPr>
              <w:t>resem zastosowania</w:t>
            </w:r>
            <w:r w:rsidR="00835753" w:rsidRPr="00835753">
              <w:rPr>
                <w:sz w:val="24"/>
                <w:szCs w:val="24"/>
              </w:rPr>
              <w:t xml:space="preserve"> w</w:t>
            </w:r>
            <w:r w:rsidR="00835753">
              <w:rPr>
                <w:sz w:val="24"/>
                <w:szCs w:val="24"/>
              </w:rPr>
              <w:t> </w:t>
            </w:r>
            <w:r w:rsidR="00835753" w:rsidRPr="00835753">
              <w:rPr>
                <w:sz w:val="24"/>
                <w:szCs w:val="24"/>
              </w:rPr>
              <w:t>odn</w:t>
            </w:r>
            <w:r w:rsidRPr="00835753">
              <w:rPr>
                <w:sz w:val="24"/>
                <w:szCs w:val="24"/>
              </w:rPr>
              <w:t>iesieniu do stosowania wymogów dotyczących płynności na zasadzie skonsolidowanej zgodnie</w:t>
            </w:r>
            <w:r w:rsidR="00835753" w:rsidRPr="00835753">
              <w:rPr>
                <w:sz w:val="24"/>
                <w:szCs w:val="24"/>
              </w:rPr>
              <w:t xml:space="preserve"> z</w:t>
            </w:r>
            <w:r w:rsidR="00835753">
              <w:rPr>
                <w:sz w:val="24"/>
                <w:szCs w:val="24"/>
              </w:rPr>
              <w:t> </w:t>
            </w:r>
            <w:r w:rsidR="00835753" w:rsidRPr="00835753">
              <w:rPr>
                <w:sz w:val="24"/>
                <w:szCs w:val="24"/>
              </w:rPr>
              <w:t>def</w:t>
            </w:r>
            <w:r w:rsidRPr="00835753">
              <w:rPr>
                <w:sz w:val="24"/>
                <w:szCs w:val="24"/>
              </w:rPr>
              <w:t>inicją</w:t>
            </w:r>
            <w:r w:rsidR="00835753" w:rsidRPr="00835753">
              <w:rPr>
                <w:sz w:val="24"/>
                <w:szCs w:val="24"/>
              </w:rPr>
              <w:t xml:space="preserve"> w</w:t>
            </w:r>
            <w:r w:rsidR="00835753">
              <w:rPr>
                <w:sz w:val="24"/>
                <w:szCs w:val="24"/>
              </w:rPr>
              <w:t> </w:t>
            </w:r>
            <w:r w:rsidR="00835753" w:rsidRPr="00835753">
              <w:rPr>
                <w:sz w:val="24"/>
                <w:szCs w:val="24"/>
              </w:rPr>
              <w:t>czę</w:t>
            </w:r>
            <w:r w:rsidRPr="00835753">
              <w:rPr>
                <w:sz w:val="24"/>
                <w:szCs w:val="24"/>
              </w:rPr>
              <w:t>ści drugiej rozdział 2 tytuł I</w:t>
            </w:r>
            <w:r w:rsidR="00835753" w:rsidRPr="00835753">
              <w:rPr>
                <w:sz w:val="24"/>
                <w:szCs w:val="24"/>
              </w:rPr>
              <w:t xml:space="preserve"> </w:t>
            </w:r>
            <w:r w:rsidRPr="00835753">
              <w:rPr>
                <w:sz w:val="24"/>
                <w:szCs w:val="24"/>
              </w:rPr>
              <w:t>CRR, co ma zastosowanie do określenia kwalifikowalności (E</w:t>
            </w:r>
            <w:proofErr w:type="gramStart"/>
            <w:r w:rsidRPr="00835753">
              <w:rPr>
                <w:sz w:val="24"/>
                <w:szCs w:val="24"/>
              </w:rPr>
              <w:t>)HQLA</w:t>
            </w:r>
            <w:proofErr w:type="gramEnd"/>
            <w:r w:rsidRPr="00835753">
              <w:rPr>
                <w:sz w:val="24"/>
                <w:szCs w:val="24"/>
              </w:rPr>
              <w:t>;</w:t>
            </w:r>
          </w:p>
          <w:p w14:paraId="7F536846" w14:textId="1F277426" w:rsidR="00D312C4" w:rsidRPr="00835753"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proofErr w:type="gramStart"/>
            <w:r w:rsidRPr="00835753">
              <w:rPr>
                <w:sz w:val="24"/>
                <w:szCs w:val="24"/>
              </w:rPr>
              <w:t>wyjaśnienie</w:t>
            </w:r>
            <w:proofErr w:type="gramEnd"/>
            <w:r w:rsidRPr="00835753">
              <w:rPr>
                <w:sz w:val="24"/>
                <w:szCs w:val="24"/>
              </w:rPr>
              <w:t xml:space="preserve"> wszelkich różnic pomiędzy,</w:t>
            </w:r>
            <w:r w:rsidR="00835753" w:rsidRPr="00835753">
              <w:rPr>
                <w:sz w:val="24"/>
                <w:szCs w:val="24"/>
              </w:rPr>
              <w:t xml:space="preserve"> z</w:t>
            </w:r>
            <w:r w:rsidR="00835753">
              <w:rPr>
                <w:sz w:val="24"/>
                <w:szCs w:val="24"/>
              </w:rPr>
              <w:t> </w:t>
            </w:r>
            <w:r w:rsidR="00835753" w:rsidRPr="00835753">
              <w:rPr>
                <w:sz w:val="24"/>
                <w:szCs w:val="24"/>
              </w:rPr>
              <w:t>jed</w:t>
            </w:r>
            <w:r w:rsidRPr="00835753">
              <w:rPr>
                <w:sz w:val="24"/>
                <w:szCs w:val="24"/>
              </w:rPr>
              <w:t>nej strony, aktywami zastawionymi</w:t>
            </w:r>
            <w:r w:rsidR="00835753" w:rsidRPr="00835753">
              <w:rPr>
                <w:sz w:val="24"/>
                <w:szCs w:val="24"/>
              </w:rPr>
              <w:t xml:space="preserve"> i</w:t>
            </w:r>
            <w:r w:rsidR="00835753">
              <w:rPr>
                <w:sz w:val="24"/>
                <w:szCs w:val="24"/>
              </w:rPr>
              <w:t> </w:t>
            </w:r>
            <w:r w:rsidR="00835753" w:rsidRPr="00835753">
              <w:rPr>
                <w:sz w:val="24"/>
                <w:szCs w:val="24"/>
              </w:rPr>
              <w:t>prz</w:t>
            </w:r>
            <w:r w:rsidRPr="00835753">
              <w:rPr>
                <w:sz w:val="24"/>
                <w:szCs w:val="24"/>
              </w:rPr>
              <w:t>eniesionymi zgodnie</w:t>
            </w:r>
            <w:r w:rsidR="00835753" w:rsidRPr="00835753">
              <w:rPr>
                <w:sz w:val="24"/>
                <w:szCs w:val="24"/>
              </w:rPr>
              <w:t xml:space="preserve"> z</w:t>
            </w:r>
            <w:r w:rsidR="00835753">
              <w:rPr>
                <w:sz w:val="24"/>
                <w:szCs w:val="24"/>
              </w:rPr>
              <w:t> </w:t>
            </w:r>
            <w:r w:rsidR="00835753" w:rsidRPr="00835753">
              <w:rPr>
                <w:sz w:val="24"/>
                <w:szCs w:val="24"/>
              </w:rPr>
              <w:t>obo</w:t>
            </w:r>
            <w:r w:rsidRPr="00835753">
              <w:rPr>
                <w:sz w:val="24"/>
                <w:szCs w:val="24"/>
              </w:rPr>
              <w:t>wiązującymi standardami rachunkowości</w:t>
            </w:r>
            <w:r w:rsidR="00835753" w:rsidRPr="00835753">
              <w:rPr>
                <w:sz w:val="24"/>
                <w:szCs w:val="24"/>
              </w:rPr>
              <w:t xml:space="preserve"> i</w:t>
            </w:r>
            <w:r w:rsidR="00835753">
              <w:rPr>
                <w:sz w:val="24"/>
                <w:szCs w:val="24"/>
              </w:rPr>
              <w:t> </w:t>
            </w:r>
            <w:r w:rsidR="00835753" w:rsidRPr="00835753">
              <w:rPr>
                <w:sz w:val="24"/>
                <w:szCs w:val="24"/>
              </w:rPr>
              <w:t>ich</w:t>
            </w:r>
            <w:r w:rsidRPr="00835753">
              <w:rPr>
                <w:sz w:val="24"/>
                <w:szCs w:val="24"/>
              </w:rPr>
              <w:t xml:space="preserve"> zastosowaniem przez instytucję a,</w:t>
            </w:r>
            <w:r w:rsidR="00835753" w:rsidRPr="00835753">
              <w:rPr>
                <w:sz w:val="24"/>
                <w:szCs w:val="24"/>
              </w:rPr>
              <w:t xml:space="preserve"> z</w:t>
            </w:r>
            <w:r w:rsidR="00835753">
              <w:rPr>
                <w:sz w:val="24"/>
                <w:szCs w:val="24"/>
              </w:rPr>
              <w:t> </w:t>
            </w:r>
            <w:r w:rsidR="00835753" w:rsidRPr="00835753">
              <w:rPr>
                <w:sz w:val="24"/>
                <w:szCs w:val="24"/>
              </w:rPr>
              <w:t>dru</w:t>
            </w:r>
            <w:r w:rsidRPr="00835753">
              <w:rPr>
                <w:sz w:val="24"/>
                <w:szCs w:val="24"/>
              </w:rPr>
              <w:t>giej strony, aktywami obciążonymi,</w:t>
            </w:r>
            <w:r w:rsidR="00835753" w:rsidRPr="00835753">
              <w:rPr>
                <w:sz w:val="24"/>
                <w:szCs w:val="24"/>
              </w:rPr>
              <w:t xml:space="preserve"> a</w:t>
            </w:r>
            <w:r w:rsidR="00835753">
              <w:rPr>
                <w:sz w:val="24"/>
                <w:szCs w:val="24"/>
              </w:rPr>
              <w:t> </w:t>
            </w:r>
            <w:r w:rsidR="00835753" w:rsidRPr="00835753">
              <w:rPr>
                <w:sz w:val="24"/>
                <w:szCs w:val="24"/>
              </w:rPr>
              <w:t>tak</w:t>
            </w:r>
            <w:r w:rsidRPr="00835753">
              <w:rPr>
                <w:sz w:val="24"/>
                <w:szCs w:val="24"/>
              </w:rPr>
              <w:t>że wskazanie ewentualnych różnic</w:t>
            </w:r>
            <w:r w:rsidR="00835753" w:rsidRPr="00835753">
              <w:rPr>
                <w:sz w:val="24"/>
                <w:szCs w:val="24"/>
              </w:rPr>
              <w:t xml:space="preserve"> w</w:t>
            </w:r>
            <w:r w:rsidR="00835753">
              <w:rPr>
                <w:sz w:val="24"/>
                <w:szCs w:val="24"/>
              </w:rPr>
              <w:t> </w:t>
            </w:r>
            <w:r w:rsidR="00835753" w:rsidRPr="00835753">
              <w:rPr>
                <w:sz w:val="24"/>
                <w:szCs w:val="24"/>
              </w:rPr>
              <w:t>tra</w:t>
            </w:r>
            <w:r w:rsidRPr="00835753">
              <w:rPr>
                <w:sz w:val="24"/>
                <w:szCs w:val="24"/>
              </w:rPr>
              <w:t>ktowaniu transakcji, na przykład gdy niektóre transakcje są uznawane za prowadzące do zastawienia lub przeniesienia aktywów, ale nie do obciążenia aktywów lub odwrotnie;</w:t>
            </w:r>
          </w:p>
          <w:p w14:paraId="3DD45165" w14:textId="59D26400" w:rsidR="00D312C4" w:rsidRPr="00835753"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proofErr w:type="gramStart"/>
            <w:r w:rsidRPr="00835753">
              <w:rPr>
                <w:sz w:val="24"/>
                <w:szCs w:val="24"/>
              </w:rPr>
              <w:t>wartość</w:t>
            </w:r>
            <w:proofErr w:type="gramEnd"/>
            <w:r w:rsidRPr="00835753">
              <w:rPr>
                <w:sz w:val="24"/>
                <w:szCs w:val="24"/>
              </w:rPr>
              <w:t xml:space="preserve"> ekspozycji wykorzystywana do celów ujawniania</w:t>
            </w:r>
            <w:r w:rsidR="00835753" w:rsidRPr="00835753">
              <w:rPr>
                <w:sz w:val="24"/>
                <w:szCs w:val="24"/>
              </w:rPr>
              <w:t xml:space="preserve"> i</w:t>
            </w:r>
            <w:r w:rsidR="00835753">
              <w:rPr>
                <w:sz w:val="24"/>
                <w:szCs w:val="24"/>
              </w:rPr>
              <w:t> </w:t>
            </w:r>
            <w:r w:rsidR="00835753" w:rsidRPr="00835753">
              <w:rPr>
                <w:sz w:val="24"/>
                <w:szCs w:val="24"/>
              </w:rPr>
              <w:t>spo</w:t>
            </w:r>
            <w:r w:rsidRPr="00835753">
              <w:rPr>
                <w:sz w:val="24"/>
                <w:szCs w:val="24"/>
              </w:rPr>
              <w:t>sób pozyskiwania średnich wartości ekspozycji.</w:t>
            </w:r>
          </w:p>
          <w:p w14:paraId="15437539" w14:textId="77777777" w:rsidR="00D312C4" w:rsidRPr="00835753" w:rsidRDefault="00D312C4" w:rsidP="00155C96">
            <w:pPr>
              <w:spacing w:after="120"/>
              <w:jc w:val="both"/>
              <w:rPr>
                <w:rFonts w:ascii="Times New Roman" w:hAnsi="Times New Roman" w:cs="Times New Roman"/>
                <w:sz w:val="24"/>
              </w:rPr>
            </w:pPr>
          </w:p>
        </w:tc>
      </w:tr>
      <w:tr w:rsidR="00D312C4" w:rsidRPr="00835753" w14:paraId="7FE07D9A" w14:textId="77777777" w:rsidTr="00155C96">
        <w:trPr>
          <w:trHeight w:val="316"/>
        </w:trPr>
        <w:tc>
          <w:tcPr>
            <w:tcW w:w="1384" w:type="dxa"/>
          </w:tcPr>
          <w:p w14:paraId="640C5799" w14:textId="77777777" w:rsidR="00D312C4" w:rsidRPr="00835753" w:rsidRDefault="00D312C4" w:rsidP="00155C96">
            <w:pPr>
              <w:autoSpaceDE w:val="0"/>
              <w:autoSpaceDN w:val="0"/>
              <w:adjustRightInd w:val="0"/>
              <w:spacing w:after="120"/>
              <w:rPr>
                <w:rFonts w:ascii="Times New Roman" w:eastAsia="Times New Roman" w:hAnsi="Times New Roman" w:cs="Times New Roman"/>
                <w:sz w:val="24"/>
              </w:rPr>
            </w:pPr>
            <w:proofErr w:type="gramStart"/>
            <w:r w:rsidRPr="00835753">
              <w:rPr>
                <w:rFonts w:ascii="Times New Roman" w:hAnsi="Times New Roman"/>
                <w:sz w:val="24"/>
              </w:rPr>
              <w:t>b</w:t>
            </w:r>
            <w:proofErr w:type="gramEnd"/>
            <w:r w:rsidRPr="00835753">
              <w:rPr>
                <w:rFonts w:ascii="Times New Roman" w:hAnsi="Times New Roman"/>
                <w:sz w:val="24"/>
              </w:rPr>
              <w:t>)</w:t>
            </w:r>
          </w:p>
        </w:tc>
        <w:tc>
          <w:tcPr>
            <w:tcW w:w="7655" w:type="dxa"/>
          </w:tcPr>
          <w:p w14:paraId="48896AE3" w14:textId="4DDEA207" w:rsidR="00D312C4" w:rsidRPr="00835753" w:rsidRDefault="00D312C4" w:rsidP="00155C96">
            <w:pPr>
              <w:pStyle w:val="Teksttreci50"/>
              <w:shd w:val="clear" w:color="auto" w:fill="auto"/>
              <w:tabs>
                <w:tab w:val="left" w:pos="343"/>
              </w:tabs>
              <w:spacing w:before="0" w:after="120" w:line="240" w:lineRule="auto"/>
              <w:ind w:right="40" w:firstLine="0"/>
              <w:jc w:val="both"/>
              <w:rPr>
                <w:sz w:val="24"/>
                <w:szCs w:val="24"/>
              </w:rPr>
            </w:pPr>
            <w:r w:rsidRPr="00835753">
              <w:rPr>
                <w:sz w:val="24"/>
                <w:szCs w:val="24"/>
              </w:rPr>
              <w:t>Informacje opisowe dotyczące wpływu modelu biznesowego instytucji na jej poziom obciążenia oraz dotyczące znaczenia obciążenia dla modelu finansowania instytucji,</w:t>
            </w:r>
            <w:r w:rsidR="00835753" w:rsidRPr="00835753">
              <w:rPr>
                <w:sz w:val="24"/>
                <w:szCs w:val="24"/>
              </w:rPr>
              <w:t xml:space="preserve"> w</w:t>
            </w:r>
            <w:r w:rsidR="00835753">
              <w:rPr>
                <w:sz w:val="24"/>
                <w:szCs w:val="24"/>
              </w:rPr>
              <w:t> </w:t>
            </w:r>
            <w:r w:rsidR="00835753" w:rsidRPr="00835753">
              <w:rPr>
                <w:sz w:val="24"/>
                <w:szCs w:val="24"/>
              </w:rPr>
              <w:t>tym</w:t>
            </w:r>
            <w:r w:rsidRPr="00835753">
              <w:rPr>
                <w:sz w:val="24"/>
                <w:szCs w:val="24"/>
              </w:rPr>
              <w:t>:</w:t>
            </w:r>
          </w:p>
          <w:p w14:paraId="5AD66C4B" w14:textId="3DF1E80D" w:rsidR="00D312C4" w:rsidRPr="00835753"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proofErr w:type="gramStart"/>
            <w:r w:rsidRPr="00835753">
              <w:rPr>
                <w:sz w:val="24"/>
                <w:szCs w:val="24"/>
              </w:rPr>
              <w:t>główne</w:t>
            </w:r>
            <w:proofErr w:type="gramEnd"/>
            <w:r w:rsidRPr="00835753">
              <w:rPr>
                <w:sz w:val="24"/>
                <w:szCs w:val="24"/>
              </w:rPr>
              <w:t xml:space="preserve"> źródła</w:t>
            </w:r>
            <w:r w:rsidR="00835753" w:rsidRPr="00835753">
              <w:rPr>
                <w:sz w:val="24"/>
                <w:szCs w:val="24"/>
              </w:rPr>
              <w:t xml:space="preserve"> i</w:t>
            </w:r>
            <w:r w:rsidR="00835753">
              <w:rPr>
                <w:sz w:val="24"/>
                <w:szCs w:val="24"/>
              </w:rPr>
              <w:t> </w:t>
            </w:r>
            <w:r w:rsidR="00835753" w:rsidRPr="00835753">
              <w:rPr>
                <w:sz w:val="24"/>
                <w:szCs w:val="24"/>
              </w:rPr>
              <w:t>rod</w:t>
            </w:r>
            <w:r w:rsidRPr="00835753">
              <w:rPr>
                <w:sz w:val="24"/>
                <w:szCs w:val="24"/>
              </w:rPr>
              <w:t>zaje obciążenia,</w:t>
            </w:r>
            <w:r w:rsidR="00835753" w:rsidRPr="00835753">
              <w:rPr>
                <w:sz w:val="24"/>
                <w:szCs w:val="24"/>
              </w:rPr>
              <w:t xml:space="preserve"> z</w:t>
            </w:r>
            <w:r w:rsidR="00835753">
              <w:rPr>
                <w:sz w:val="24"/>
                <w:szCs w:val="24"/>
              </w:rPr>
              <w:t> </w:t>
            </w:r>
            <w:r w:rsidR="00835753" w:rsidRPr="00835753">
              <w:rPr>
                <w:sz w:val="24"/>
                <w:szCs w:val="24"/>
              </w:rPr>
              <w:t>pod</w:t>
            </w:r>
            <w:r w:rsidRPr="00835753">
              <w:rPr>
                <w:sz w:val="24"/>
                <w:szCs w:val="24"/>
              </w:rPr>
              <w:t>aniem,</w:t>
            </w:r>
            <w:r w:rsidR="00835753" w:rsidRPr="00835753">
              <w:rPr>
                <w:sz w:val="24"/>
                <w:szCs w:val="24"/>
              </w:rPr>
              <w:t xml:space="preserve"> w</w:t>
            </w:r>
            <w:r w:rsidR="00835753">
              <w:rPr>
                <w:sz w:val="24"/>
                <w:szCs w:val="24"/>
              </w:rPr>
              <w:t> </w:t>
            </w:r>
            <w:r w:rsidR="00835753" w:rsidRPr="00835753">
              <w:rPr>
                <w:sz w:val="24"/>
                <w:szCs w:val="24"/>
              </w:rPr>
              <w:t>sto</w:t>
            </w:r>
            <w:r w:rsidRPr="00835753">
              <w:rPr>
                <w:sz w:val="24"/>
                <w:szCs w:val="24"/>
              </w:rPr>
              <w:t>sownych przypadkach, obciążenia wynikającego</w:t>
            </w:r>
            <w:r w:rsidR="00835753" w:rsidRPr="00835753">
              <w:rPr>
                <w:sz w:val="24"/>
                <w:szCs w:val="24"/>
              </w:rPr>
              <w:t xml:space="preserve"> z</w:t>
            </w:r>
            <w:r w:rsidR="00835753">
              <w:rPr>
                <w:sz w:val="24"/>
                <w:szCs w:val="24"/>
              </w:rPr>
              <w:t> </w:t>
            </w:r>
            <w:r w:rsidR="00835753" w:rsidRPr="00835753">
              <w:rPr>
                <w:sz w:val="24"/>
                <w:szCs w:val="24"/>
              </w:rPr>
              <w:t>ist</w:t>
            </w:r>
            <w:r w:rsidRPr="00835753">
              <w:rPr>
                <w:sz w:val="24"/>
                <w:szCs w:val="24"/>
              </w:rPr>
              <w:t>otnej działalności</w:t>
            </w:r>
            <w:r w:rsidR="00835753" w:rsidRPr="00835753">
              <w:rPr>
                <w:sz w:val="24"/>
                <w:szCs w:val="24"/>
              </w:rPr>
              <w:t xml:space="preserve"> w</w:t>
            </w:r>
            <w:r w:rsidR="00835753">
              <w:rPr>
                <w:sz w:val="24"/>
                <w:szCs w:val="24"/>
              </w:rPr>
              <w:t> </w:t>
            </w:r>
            <w:r w:rsidR="00835753" w:rsidRPr="00835753">
              <w:rPr>
                <w:sz w:val="24"/>
                <w:szCs w:val="24"/>
              </w:rPr>
              <w:t>odn</w:t>
            </w:r>
            <w:r w:rsidRPr="00835753">
              <w:rPr>
                <w:sz w:val="24"/>
                <w:szCs w:val="24"/>
              </w:rPr>
              <w:t xml:space="preserve">iesieniu do instrumentów </w:t>
            </w:r>
            <w:r w:rsidRPr="00835753">
              <w:rPr>
                <w:sz w:val="24"/>
                <w:szCs w:val="24"/>
              </w:rPr>
              <w:lastRenderedPageBreak/>
              <w:t>pochodnych, udzielania pożyczek papierów wartościowych, transakcji</w:t>
            </w:r>
            <w:r w:rsidR="00835753" w:rsidRPr="00835753">
              <w:rPr>
                <w:sz w:val="24"/>
                <w:szCs w:val="24"/>
              </w:rPr>
              <w:t xml:space="preserve"> z</w:t>
            </w:r>
            <w:r w:rsidR="00835753">
              <w:rPr>
                <w:sz w:val="24"/>
                <w:szCs w:val="24"/>
              </w:rPr>
              <w:t> </w:t>
            </w:r>
            <w:r w:rsidR="00835753" w:rsidRPr="00835753">
              <w:rPr>
                <w:sz w:val="24"/>
                <w:szCs w:val="24"/>
              </w:rPr>
              <w:t>udz</w:t>
            </w:r>
            <w:r w:rsidRPr="00835753">
              <w:rPr>
                <w:sz w:val="24"/>
                <w:szCs w:val="24"/>
              </w:rPr>
              <w:t>ielonym przyrzeczeniem odkupu, emisji obligacji zabezpieczonych</w:t>
            </w:r>
            <w:r w:rsidR="00835753" w:rsidRPr="00835753">
              <w:rPr>
                <w:sz w:val="24"/>
                <w:szCs w:val="24"/>
              </w:rPr>
              <w:t xml:space="preserve"> i</w:t>
            </w:r>
            <w:r w:rsidR="00835753">
              <w:rPr>
                <w:sz w:val="24"/>
                <w:szCs w:val="24"/>
              </w:rPr>
              <w:t> </w:t>
            </w:r>
            <w:r w:rsidR="00835753" w:rsidRPr="00835753">
              <w:rPr>
                <w:sz w:val="24"/>
                <w:szCs w:val="24"/>
              </w:rPr>
              <w:t>sek</w:t>
            </w:r>
            <w:r w:rsidRPr="00835753">
              <w:rPr>
                <w:sz w:val="24"/>
                <w:szCs w:val="24"/>
              </w:rPr>
              <w:t>urytyzacji;</w:t>
            </w:r>
          </w:p>
          <w:p w14:paraId="6F054D50" w14:textId="29D8ECE5" w:rsidR="00D312C4" w:rsidRPr="00835753"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proofErr w:type="gramStart"/>
            <w:r w:rsidRPr="00835753">
              <w:rPr>
                <w:sz w:val="24"/>
                <w:szCs w:val="24"/>
              </w:rPr>
              <w:t>struktura</w:t>
            </w:r>
            <w:proofErr w:type="gramEnd"/>
            <w:r w:rsidRPr="00835753">
              <w:rPr>
                <w:sz w:val="24"/>
                <w:szCs w:val="24"/>
              </w:rPr>
              <w:t xml:space="preserve"> obciążenia między podmiotami wchodzącymi</w:t>
            </w:r>
            <w:r w:rsidR="00835753" w:rsidRPr="00835753">
              <w:rPr>
                <w:sz w:val="24"/>
                <w:szCs w:val="24"/>
              </w:rPr>
              <w:t xml:space="preserve"> w</w:t>
            </w:r>
            <w:r w:rsidR="00835753">
              <w:rPr>
                <w:sz w:val="24"/>
                <w:szCs w:val="24"/>
              </w:rPr>
              <w:t> </w:t>
            </w:r>
            <w:r w:rsidR="00835753" w:rsidRPr="00835753">
              <w:rPr>
                <w:sz w:val="24"/>
                <w:szCs w:val="24"/>
              </w:rPr>
              <w:t>skł</w:t>
            </w:r>
            <w:r w:rsidRPr="00835753">
              <w:rPr>
                <w:sz w:val="24"/>
                <w:szCs w:val="24"/>
              </w:rPr>
              <w:t>ad grupy,</w:t>
            </w:r>
            <w:r w:rsidR="00835753" w:rsidRPr="00835753">
              <w:rPr>
                <w:sz w:val="24"/>
                <w:szCs w:val="24"/>
              </w:rPr>
              <w:t xml:space="preserve"> a</w:t>
            </w:r>
            <w:r w:rsidR="00835753">
              <w:rPr>
                <w:sz w:val="24"/>
                <w:szCs w:val="24"/>
              </w:rPr>
              <w:t> </w:t>
            </w:r>
            <w:r w:rsidR="00835753" w:rsidRPr="00835753">
              <w:rPr>
                <w:sz w:val="24"/>
                <w:szCs w:val="24"/>
              </w:rPr>
              <w:t>w</w:t>
            </w:r>
            <w:r w:rsidR="00835753">
              <w:rPr>
                <w:sz w:val="24"/>
                <w:szCs w:val="24"/>
              </w:rPr>
              <w:t> </w:t>
            </w:r>
            <w:r w:rsidR="00835753" w:rsidRPr="00835753">
              <w:rPr>
                <w:sz w:val="24"/>
                <w:szCs w:val="24"/>
              </w:rPr>
              <w:t>szc</w:t>
            </w:r>
            <w:r w:rsidRPr="00835753">
              <w:rPr>
                <w:sz w:val="24"/>
                <w:szCs w:val="24"/>
              </w:rPr>
              <w:t>zególności wskazanie, czy za poziom obciążenia skonsolidowanej grupy odpowiadają poszczególne podmioty</w:t>
            </w:r>
            <w:r w:rsidR="00835753" w:rsidRPr="00835753">
              <w:rPr>
                <w:sz w:val="24"/>
                <w:szCs w:val="24"/>
              </w:rPr>
              <w:t xml:space="preserve"> i</w:t>
            </w:r>
            <w:r w:rsidR="00835753">
              <w:rPr>
                <w:sz w:val="24"/>
                <w:szCs w:val="24"/>
              </w:rPr>
              <w:t> </w:t>
            </w:r>
            <w:r w:rsidR="00835753" w:rsidRPr="00835753">
              <w:rPr>
                <w:sz w:val="24"/>
                <w:szCs w:val="24"/>
              </w:rPr>
              <w:t>czy</w:t>
            </w:r>
            <w:r w:rsidRPr="00835753">
              <w:rPr>
                <w:sz w:val="24"/>
                <w:szCs w:val="24"/>
              </w:rPr>
              <w:t xml:space="preserve"> istnieje znaczne obciążenie wewnątrz grupy;</w:t>
            </w:r>
          </w:p>
          <w:p w14:paraId="3973EE9F" w14:textId="4875C08C" w:rsidR="00D312C4" w:rsidRPr="00835753"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proofErr w:type="gramStart"/>
            <w:r w:rsidRPr="00835753">
              <w:rPr>
                <w:sz w:val="24"/>
                <w:szCs w:val="24"/>
              </w:rPr>
              <w:t>informacje</w:t>
            </w:r>
            <w:proofErr w:type="gramEnd"/>
            <w:r w:rsidRPr="00835753">
              <w:rPr>
                <w:sz w:val="24"/>
                <w:szCs w:val="24"/>
              </w:rPr>
              <w:t xml:space="preserve"> dotyczące nadzabezpieczenia,</w:t>
            </w:r>
            <w:r w:rsidR="00835753" w:rsidRPr="00835753">
              <w:rPr>
                <w:sz w:val="24"/>
                <w:szCs w:val="24"/>
              </w:rPr>
              <w:t xml:space="preserve"> w</w:t>
            </w:r>
            <w:r w:rsidR="00835753">
              <w:rPr>
                <w:sz w:val="24"/>
                <w:szCs w:val="24"/>
              </w:rPr>
              <w:t> </w:t>
            </w:r>
            <w:r w:rsidR="00835753" w:rsidRPr="00835753">
              <w:rPr>
                <w:sz w:val="24"/>
                <w:szCs w:val="24"/>
              </w:rPr>
              <w:t>szc</w:t>
            </w:r>
            <w:r w:rsidRPr="00835753">
              <w:rPr>
                <w:sz w:val="24"/>
                <w:szCs w:val="24"/>
              </w:rPr>
              <w:t>zególności</w:t>
            </w:r>
            <w:r w:rsidR="00835753" w:rsidRPr="00835753">
              <w:rPr>
                <w:sz w:val="24"/>
                <w:szCs w:val="24"/>
              </w:rPr>
              <w:t xml:space="preserve"> w</w:t>
            </w:r>
            <w:r w:rsidR="00835753">
              <w:rPr>
                <w:sz w:val="24"/>
                <w:szCs w:val="24"/>
              </w:rPr>
              <w:t> </w:t>
            </w:r>
            <w:r w:rsidR="00835753" w:rsidRPr="00835753">
              <w:rPr>
                <w:sz w:val="24"/>
                <w:szCs w:val="24"/>
              </w:rPr>
              <w:t>odn</w:t>
            </w:r>
            <w:r w:rsidRPr="00835753">
              <w:rPr>
                <w:sz w:val="24"/>
                <w:szCs w:val="24"/>
              </w:rPr>
              <w:t>iesieniu do obligacji zabezpieczonych</w:t>
            </w:r>
            <w:r w:rsidR="00835753" w:rsidRPr="00835753">
              <w:rPr>
                <w:sz w:val="24"/>
                <w:szCs w:val="24"/>
              </w:rPr>
              <w:t xml:space="preserve"> i</w:t>
            </w:r>
            <w:r w:rsidR="00835753">
              <w:rPr>
                <w:sz w:val="24"/>
                <w:szCs w:val="24"/>
              </w:rPr>
              <w:t> </w:t>
            </w:r>
            <w:r w:rsidR="00835753" w:rsidRPr="00835753">
              <w:rPr>
                <w:sz w:val="24"/>
                <w:szCs w:val="24"/>
              </w:rPr>
              <w:t>sek</w:t>
            </w:r>
            <w:r w:rsidRPr="00835753">
              <w:rPr>
                <w:sz w:val="24"/>
                <w:szCs w:val="24"/>
              </w:rPr>
              <w:t>urytyzacji, oraz wpływu tego nadzabezpieczenia na poziomy obciążenia;</w:t>
            </w:r>
          </w:p>
          <w:p w14:paraId="2F962DA4" w14:textId="291C1046" w:rsidR="00D312C4" w:rsidRPr="00835753"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proofErr w:type="gramStart"/>
            <w:r w:rsidRPr="00835753">
              <w:rPr>
                <w:sz w:val="24"/>
                <w:szCs w:val="24"/>
              </w:rPr>
              <w:t>dodatkowe</w:t>
            </w:r>
            <w:proofErr w:type="gramEnd"/>
            <w:r w:rsidRPr="00835753">
              <w:rPr>
                <w:sz w:val="24"/>
                <w:szCs w:val="24"/>
              </w:rPr>
              <w:t xml:space="preserve"> informacje dotyczące obciążenia aktywów, zabezpieczenia</w:t>
            </w:r>
            <w:r w:rsidR="00835753" w:rsidRPr="00835753">
              <w:rPr>
                <w:sz w:val="24"/>
                <w:szCs w:val="24"/>
              </w:rPr>
              <w:t xml:space="preserve"> i</w:t>
            </w:r>
            <w:r w:rsidR="00835753">
              <w:rPr>
                <w:sz w:val="24"/>
                <w:szCs w:val="24"/>
              </w:rPr>
              <w:t> </w:t>
            </w:r>
            <w:r w:rsidR="00835753" w:rsidRPr="00835753">
              <w:rPr>
                <w:sz w:val="24"/>
                <w:szCs w:val="24"/>
              </w:rPr>
              <w:t>poz</w:t>
            </w:r>
            <w:r w:rsidRPr="00835753">
              <w:rPr>
                <w:sz w:val="24"/>
                <w:szCs w:val="24"/>
              </w:rPr>
              <w:t>ycji pozabilansowych oraz źródeł obciążenia przez jakiekolwiek istotne waluty inne niż waluta sprawozdawcza zgodnie</w:t>
            </w:r>
            <w:r w:rsidR="00835753" w:rsidRPr="00835753">
              <w:rPr>
                <w:sz w:val="24"/>
                <w:szCs w:val="24"/>
              </w:rPr>
              <w:t xml:space="preserve"> z</w:t>
            </w:r>
            <w:r w:rsidR="00835753">
              <w:rPr>
                <w:sz w:val="24"/>
                <w:szCs w:val="24"/>
              </w:rPr>
              <w:t> </w:t>
            </w:r>
            <w:r w:rsidR="00835753" w:rsidRPr="00835753">
              <w:rPr>
                <w:sz w:val="24"/>
                <w:szCs w:val="24"/>
              </w:rPr>
              <w:t>art</w:t>
            </w:r>
            <w:r w:rsidRPr="00835753">
              <w:rPr>
                <w:sz w:val="24"/>
                <w:szCs w:val="24"/>
              </w:rPr>
              <w:t>.</w:t>
            </w:r>
            <w:r w:rsidR="00835753" w:rsidRPr="00835753">
              <w:rPr>
                <w:sz w:val="24"/>
                <w:szCs w:val="24"/>
              </w:rPr>
              <w:t> </w:t>
            </w:r>
            <w:r w:rsidRPr="00835753">
              <w:rPr>
                <w:sz w:val="24"/>
                <w:szCs w:val="24"/>
              </w:rPr>
              <w:t>415 ust.</w:t>
            </w:r>
            <w:r w:rsidR="00835753" w:rsidRPr="00835753">
              <w:rPr>
                <w:sz w:val="24"/>
                <w:szCs w:val="24"/>
              </w:rPr>
              <w:t> </w:t>
            </w:r>
            <w:r w:rsidRPr="00835753">
              <w:rPr>
                <w:sz w:val="24"/>
                <w:szCs w:val="24"/>
              </w:rPr>
              <w:t>2 CRR;</w:t>
            </w:r>
          </w:p>
          <w:p w14:paraId="2F61CB4A" w14:textId="55086589" w:rsidR="00D312C4" w:rsidRPr="00835753"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proofErr w:type="gramStart"/>
            <w:r w:rsidRPr="00835753">
              <w:rPr>
                <w:sz w:val="24"/>
                <w:szCs w:val="24"/>
              </w:rPr>
              <w:t>ogólny</w:t>
            </w:r>
            <w:proofErr w:type="gramEnd"/>
            <w:r w:rsidRPr="00835753">
              <w:rPr>
                <w:sz w:val="24"/>
                <w:szCs w:val="24"/>
              </w:rPr>
              <w:t xml:space="preserve"> opis części pozycji wykazanych</w:t>
            </w:r>
            <w:r w:rsidR="00835753" w:rsidRPr="00835753">
              <w:rPr>
                <w:sz w:val="24"/>
                <w:szCs w:val="24"/>
              </w:rPr>
              <w:t xml:space="preserve"> w</w:t>
            </w:r>
            <w:r w:rsidR="00835753">
              <w:rPr>
                <w:sz w:val="24"/>
                <w:szCs w:val="24"/>
              </w:rPr>
              <w:t> </w:t>
            </w:r>
            <w:r w:rsidR="00835753" w:rsidRPr="00835753">
              <w:rPr>
                <w:sz w:val="24"/>
                <w:szCs w:val="24"/>
              </w:rPr>
              <w:t>kol</w:t>
            </w:r>
            <w:r w:rsidRPr="00835753">
              <w:rPr>
                <w:sz w:val="24"/>
                <w:szCs w:val="24"/>
              </w:rPr>
              <w:t>umnie 060 „Wartość bilansowa aktywów wolnych od obciążeń” we wzorze EU AE1, których instytucja nie uznałaby za pozycje, które mogą zostać obciążone</w:t>
            </w:r>
            <w:r w:rsidR="00835753" w:rsidRPr="00835753">
              <w:rPr>
                <w:sz w:val="24"/>
                <w:szCs w:val="24"/>
              </w:rPr>
              <w:t xml:space="preserve"> w</w:t>
            </w:r>
            <w:r w:rsidR="00835753">
              <w:rPr>
                <w:sz w:val="24"/>
                <w:szCs w:val="24"/>
              </w:rPr>
              <w:t> </w:t>
            </w:r>
            <w:r w:rsidR="00835753" w:rsidRPr="00835753">
              <w:rPr>
                <w:sz w:val="24"/>
                <w:szCs w:val="24"/>
              </w:rPr>
              <w:t>ram</w:t>
            </w:r>
            <w:r w:rsidRPr="00835753">
              <w:rPr>
                <w:sz w:val="24"/>
                <w:szCs w:val="24"/>
              </w:rPr>
              <w:t>ach normalnej działalności gospodarczej (np. wartości niematerialne</w:t>
            </w:r>
            <w:r w:rsidR="00835753" w:rsidRPr="00835753">
              <w:rPr>
                <w:sz w:val="24"/>
                <w:szCs w:val="24"/>
              </w:rPr>
              <w:t xml:space="preserve"> i</w:t>
            </w:r>
            <w:r w:rsidR="00835753">
              <w:rPr>
                <w:sz w:val="24"/>
                <w:szCs w:val="24"/>
              </w:rPr>
              <w:t> </w:t>
            </w:r>
            <w:r w:rsidR="00835753" w:rsidRPr="00835753">
              <w:rPr>
                <w:sz w:val="24"/>
                <w:szCs w:val="24"/>
              </w:rPr>
              <w:t>pra</w:t>
            </w:r>
            <w:r w:rsidRPr="00835753">
              <w:rPr>
                <w:sz w:val="24"/>
                <w:szCs w:val="24"/>
              </w:rPr>
              <w:t>wne,</w:t>
            </w:r>
            <w:r w:rsidR="00835753" w:rsidRPr="00835753">
              <w:rPr>
                <w:sz w:val="24"/>
                <w:szCs w:val="24"/>
              </w:rPr>
              <w:t xml:space="preserve"> w</w:t>
            </w:r>
            <w:r w:rsidR="00835753">
              <w:rPr>
                <w:sz w:val="24"/>
                <w:szCs w:val="24"/>
              </w:rPr>
              <w:t> </w:t>
            </w:r>
            <w:r w:rsidR="00835753" w:rsidRPr="00835753">
              <w:rPr>
                <w:sz w:val="24"/>
                <w:szCs w:val="24"/>
              </w:rPr>
              <w:t>tym</w:t>
            </w:r>
            <w:r w:rsidRPr="00835753">
              <w:rPr>
                <w:sz w:val="24"/>
                <w:szCs w:val="24"/>
              </w:rPr>
              <w:t xml:space="preserve"> wartość firmy, aktywa</w:t>
            </w:r>
            <w:r w:rsidR="00835753" w:rsidRPr="00835753">
              <w:rPr>
                <w:sz w:val="24"/>
                <w:szCs w:val="24"/>
              </w:rPr>
              <w:t xml:space="preserve"> z</w:t>
            </w:r>
            <w:r w:rsidR="00835753">
              <w:rPr>
                <w:sz w:val="24"/>
                <w:szCs w:val="24"/>
              </w:rPr>
              <w:t> </w:t>
            </w:r>
            <w:r w:rsidR="00835753" w:rsidRPr="00835753">
              <w:rPr>
                <w:sz w:val="24"/>
                <w:szCs w:val="24"/>
              </w:rPr>
              <w:t>tyt</w:t>
            </w:r>
            <w:r w:rsidRPr="00835753">
              <w:rPr>
                <w:sz w:val="24"/>
                <w:szCs w:val="24"/>
              </w:rPr>
              <w:t>ułu odroczonego podatku dochodowego, rzeczowe aktywa trwałe</w:t>
            </w:r>
            <w:r w:rsidR="00835753" w:rsidRPr="00835753">
              <w:rPr>
                <w:sz w:val="24"/>
                <w:szCs w:val="24"/>
              </w:rPr>
              <w:t xml:space="preserve"> i</w:t>
            </w:r>
            <w:r w:rsidR="00835753">
              <w:rPr>
                <w:sz w:val="24"/>
                <w:szCs w:val="24"/>
              </w:rPr>
              <w:t> </w:t>
            </w:r>
            <w:r w:rsidR="00835753" w:rsidRPr="00835753">
              <w:rPr>
                <w:sz w:val="24"/>
                <w:szCs w:val="24"/>
              </w:rPr>
              <w:t>inn</w:t>
            </w:r>
            <w:r w:rsidRPr="00835753">
              <w:rPr>
                <w:sz w:val="24"/>
                <w:szCs w:val="24"/>
              </w:rPr>
              <w:t>e środki trwałe, instrumenty pochodne będące aktywami, transakcje</w:t>
            </w:r>
            <w:r w:rsidR="00835753" w:rsidRPr="00835753">
              <w:rPr>
                <w:sz w:val="24"/>
                <w:szCs w:val="24"/>
              </w:rPr>
              <w:t xml:space="preserve"> z</w:t>
            </w:r>
            <w:r w:rsidR="00835753">
              <w:rPr>
                <w:sz w:val="24"/>
                <w:szCs w:val="24"/>
              </w:rPr>
              <w:t> </w:t>
            </w:r>
            <w:r w:rsidR="00835753" w:rsidRPr="00835753">
              <w:rPr>
                <w:sz w:val="24"/>
                <w:szCs w:val="24"/>
              </w:rPr>
              <w:t>otr</w:t>
            </w:r>
            <w:r w:rsidRPr="00835753">
              <w:rPr>
                <w:sz w:val="24"/>
                <w:szCs w:val="24"/>
              </w:rPr>
              <w:t>zymanym przyrzeczeniem odkupu</w:t>
            </w:r>
            <w:r w:rsidR="00835753" w:rsidRPr="00835753">
              <w:rPr>
                <w:sz w:val="24"/>
                <w:szCs w:val="24"/>
              </w:rPr>
              <w:t xml:space="preserve"> i</w:t>
            </w:r>
            <w:r w:rsidR="00835753">
              <w:rPr>
                <w:sz w:val="24"/>
                <w:szCs w:val="24"/>
              </w:rPr>
              <w:t> </w:t>
            </w:r>
            <w:r w:rsidR="00835753" w:rsidRPr="00835753">
              <w:rPr>
                <w:sz w:val="24"/>
                <w:szCs w:val="24"/>
              </w:rPr>
              <w:t>nal</w:t>
            </w:r>
            <w:r w:rsidRPr="00835753">
              <w:rPr>
                <w:sz w:val="24"/>
                <w:szCs w:val="24"/>
              </w:rPr>
              <w:t>eżności</w:t>
            </w:r>
            <w:r w:rsidR="00835753" w:rsidRPr="00835753">
              <w:rPr>
                <w:sz w:val="24"/>
                <w:szCs w:val="24"/>
              </w:rPr>
              <w:t xml:space="preserve"> z</w:t>
            </w:r>
            <w:r w:rsidR="00835753">
              <w:rPr>
                <w:sz w:val="24"/>
                <w:szCs w:val="24"/>
              </w:rPr>
              <w:t> </w:t>
            </w:r>
            <w:r w:rsidR="00835753" w:rsidRPr="00835753">
              <w:rPr>
                <w:sz w:val="24"/>
                <w:szCs w:val="24"/>
              </w:rPr>
              <w:t>tyt</w:t>
            </w:r>
            <w:r w:rsidRPr="00835753">
              <w:rPr>
                <w:sz w:val="24"/>
                <w:szCs w:val="24"/>
              </w:rPr>
              <w:t>ułu pożyczania papierów wartościowych);</w:t>
            </w:r>
          </w:p>
          <w:p w14:paraId="55C0A023" w14:textId="332F9E82" w:rsidR="00D312C4" w:rsidRPr="00835753"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proofErr w:type="gramStart"/>
            <w:r w:rsidRPr="00835753">
              <w:rPr>
                <w:sz w:val="24"/>
                <w:szCs w:val="24"/>
              </w:rPr>
              <w:t>kwota</w:t>
            </w:r>
            <w:proofErr w:type="gramEnd"/>
            <w:r w:rsidRPr="00835753">
              <w:rPr>
                <w:sz w:val="24"/>
                <w:szCs w:val="24"/>
              </w:rPr>
              <w:t xml:space="preserve"> aktywów bazowych</w:t>
            </w:r>
            <w:r w:rsidR="00835753" w:rsidRPr="00835753">
              <w:rPr>
                <w:sz w:val="24"/>
                <w:szCs w:val="24"/>
              </w:rPr>
              <w:t xml:space="preserve"> i</w:t>
            </w:r>
            <w:r w:rsidR="00835753">
              <w:rPr>
                <w:sz w:val="24"/>
                <w:szCs w:val="24"/>
              </w:rPr>
              <w:t> </w:t>
            </w:r>
            <w:r w:rsidR="00835753" w:rsidRPr="00835753">
              <w:rPr>
                <w:sz w:val="24"/>
                <w:szCs w:val="24"/>
              </w:rPr>
              <w:t>akt</w:t>
            </w:r>
            <w:r w:rsidRPr="00835753">
              <w:rPr>
                <w:sz w:val="24"/>
                <w:szCs w:val="24"/>
              </w:rPr>
              <w:t>ywów</w:t>
            </w:r>
            <w:r w:rsidR="00835753" w:rsidRPr="00835753">
              <w:rPr>
                <w:sz w:val="24"/>
                <w:szCs w:val="24"/>
              </w:rPr>
              <w:t xml:space="preserve"> w</w:t>
            </w:r>
            <w:r w:rsidR="00835753">
              <w:rPr>
                <w:sz w:val="24"/>
                <w:szCs w:val="24"/>
              </w:rPr>
              <w:t> </w:t>
            </w:r>
            <w:r w:rsidR="00835753" w:rsidRPr="00835753">
              <w:rPr>
                <w:sz w:val="24"/>
                <w:szCs w:val="24"/>
              </w:rPr>
              <w:t>pul</w:t>
            </w:r>
            <w:r w:rsidRPr="00835753">
              <w:rPr>
                <w:sz w:val="24"/>
                <w:szCs w:val="24"/>
              </w:rPr>
              <w:t>i aktywów stanowiących zabezpieczenie zatrzymanych papierów sekurytyzowanych</w:t>
            </w:r>
            <w:r w:rsidR="00835753" w:rsidRPr="00835753">
              <w:rPr>
                <w:sz w:val="24"/>
                <w:szCs w:val="24"/>
              </w:rPr>
              <w:t xml:space="preserve"> i</w:t>
            </w:r>
            <w:r w:rsidR="00835753">
              <w:rPr>
                <w:sz w:val="24"/>
                <w:szCs w:val="24"/>
              </w:rPr>
              <w:t> </w:t>
            </w:r>
            <w:r w:rsidR="00835753" w:rsidRPr="00835753">
              <w:rPr>
                <w:sz w:val="24"/>
                <w:szCs w:val="24"/>
              </w:rPr>
              <w:t>zat</w:t>
            </w:r>
            <w:r w:rsidRPr="00835753">
              <w:rPr>
                <w:sz w:val="24"/>
                <w:szCs w:val="24"/>
              </w:rPr>
              <w:t>rzymanych obligacji zabezpieczonych,</w:t>
            </w:r>
            <w:r w:rsidR="00835753" w:rsidRPr="00835753">
              <w:rPr>
                <w:sz w:val="24"/>
                <w:szCs w:val="24"/>
              </w:rPr>
              <w:t xml:space="preserve"> a</w:t>
            </w:r>
            <w:r w:rsidR="00835753">
              <w:rPr>
                <w:sz w:val="24"/>
                <w:szCs w:val="24"/>
              </w:rPr>
              <w:t> </w:t>
            </w:r>
            <w:r w:rsidR="00835753" w:rsidRPr="00835753">
              <w:rPr>
                <w:sz w:val="24"/>
                <w:szCs w:val="24"/>
              </w:rPr>
              <w:t>tak</w:t>
            </w:r>
            <w:r w:rsidRPr="00835753">
              <w:rPr>
                <w:sz w:val="24"/>
                <w:szCs w:val="24"/>
              </w:rPr>
              <w:t>że wskazanie, czy te aktywa bazowe</w:t>
            </w:r>
            <w:r w:rsidR="00835753" w:rsidRPr="00835753">
              <w:rPr>
                <w:sz w:val="24"/>
                <w:szCs w:val="24"/>
              </w:rPr>
              <w:t xml:space="preserve"> i</w:t>
            </w:r>
            <w:r w:rsidR="00835753">
              <w:rPr>
                <w:sz w:val="24"/>
                <w:szCs w:val="24"/>
              </w:rPr>
              <w:t> </w:t>
            </w:r>
            <w:r w:rsidR="00835753" w:rsidRPr="00835753">
              <w:rPr>
                <w:sz w:val="24"/>
                <w:szCs w:val="24"/>
              </w:rPr>
              <w:t>akt</w:t>
            </w:r>
            <w:r w:rsidRPr="00835753">
              <w:rPr>
                <w:sz w:val="24"/>
                <w:szCs w:val="24"/>
              </w:rPr>
              <w:t>ywa</w:t>
            </w:r>
            <w:r w:rsidR="00835753" w:rsidRPr="00835753">
              <w:rPr>
                <w:sz w:val="24"/>
                <w:szCs w:val="24"/>
              </w:rPr>
              <w:t xml:space="preserve"> w</w:t>
            </w:r>
            <w:r w:rsidR="00835753">
              <w:rPr>
                <w:sz w:val="24"/>
                <w:szCs w:val="24"/>
              </w:rPr>
              <w:t> </w:t>
            </w:r>
            <w:r w:rsidR="00835753" w:rsidRPr="00835753">
              <w:rPr>
                <w:sz w:val="24"/>
                <w:szCs w:val="24"/>
              </w:rPr>
              <w:t>pul</w:t>
            </w:r>
            <w:r w:rsidRPr="00835753">
              <w:rPr>
                <w:sz w:val="24"/>
                <w:szCs w:val="24"/>
              </w:rPr>
              <w:t>i aktywów są obciążone czy wolne od obciążeń, wraz</w:t>
            </w:r>
            <w:r w:rsidR="00835753" w:rsidRPr="00835753">
              <w:rPr>
                <w:sz w:val="24"/>
                <w:szCs w:val="24"/>
              </w:rPr>
              <w:t xml:space="preserve"> z</w:t>
            </w:r>
            <w:r w:rsidR="00835753">
              <w:rPr>
                <w:sz w:val="24"/>
                <w:szCs w:val="24"/>
              </w:rPr>
              <w:t> </w:t>
            </w:r>
            <w:r w:rsidR="00835753" w:rsidRPr="00835753">
              <w:rPr>
                <w:sz w:val="24"/>
                <w:szCs w:val="24"/>
              </w:rPr>
              <w:t>kwo</w:t>
            </w:r>
            <w:r w:rsidRPr="00835753">
              <w:rPr>
                <w:sz w:val="24"/>
                <w:szCs w:val="24"/>
              </w:rPr>
              <w:t>tą powiązanych zatrzymanych sekurytyzacji</w:t>
            </w:r>
            <w:r w:rsidR="00835753" w:rsidRPr="00835753">
              <w:rPr>
                <w:sz w:val="24"/>
                <w:szCs w:val="24"/>
              </w:rPr>
              <w:t xml:space="preserve"> i</w:t>
            </w:r>
            <w:r w:rsidR="00835753">
              <w:rPr>
                <w:sz w:val="24"/>
                <w:szCs w:val="24"/>
              </w:rPr>
              <w:t> </w:t>
            </w:r>
            <w:r w:rsidR="00835753" w:rsidRPr="00835753">
              <w:rPr>
                <w:sz w:val="24"/>
                <w:szCs w:val="24"/>
              </w:rPr>
              <w:t>zat</w:t>
            </w:r>
            <w:r w:rsidRPr="00835753">
              <w:rPr>
                <w:sz w:val="24"/>
                <w:szCs w:val="24"/>
              </w:rPr>
              <w:t>rzymanych obligacji zabezpieczonych;</w:t>
            </w:r>
          </w:p>
          <w:p w14:paraId="59CC38C7" w14:textId="7ACD5B03" w:rsidR="00D312C4" w:rsidRPr="00835753"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proofErr w:type="gramStart"/>
            <w:r w:rsidRPr="00835753">
              <w:rPr>
                <w:sz w:val="24"/>
                <w:szCs w:val="24"/>
              </w:rPr>
              <w:t>tam</w:t>
            </w:r>
            <w:proofErr w:type="gramEnd"/>
            <w:r w:rsidRPr="00835753">
              <w:rPr>
                <w:sz w:val="24"/>
                <w:szCs w:val="24"/>
              </w:rPr>
              <w:t>, gdzie jest to istotne dla wyjaśnienia wpływu modelu biznesowego na poziom obciążenia, dane (w stosownych przypadkach dane ilościowe) na temat każdej</w:t>
            </w:r>
            <w:r w:rsidR="00835753" w:rsidRPr="00835753">
              <w:rPr>
                <w:sz w:val="24"/>
                <w:szCs w:val="24"/>
              </w:rPr>
              <w:t xml:space="preserve"> z</w:t>
            </w:r>
            <w:r w:rsidR="00835753">
              <w:rPr>
                <w:sz w:val="24"/>
                <w:szCs w:val="24"/>
              </w:rPr>
              <w:t> </w:t>
            </w:r>
            <w:r w:rsidR="00835753" w:rsidRPr="00835753">
              <w:rPr>
                <w:sz w:val="24"/>
                <w:szCs w:val="24"/>
              </w:rPr>
              <w:t>nas</w:t>
            </w:r>
            <w:r w:rsidRPr="00835753">
              <w:rPr>
                <w:sz w:val="24"/>
                <w:szCs w:val="24"/>
              </w:rPr>
              <w:t>tępujących pozycji:</w:t>
            </w:r>
          </w:p>
          <w:p w14:paraId="0AAB10E0" w14:textId="25E7E4B8" w:rsidR="00D312C4" w:rsidRPr="00835753"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proofErr w:type="gramStart"/>
            <w:r w:rsidRPr="00835753">
              <w:rPr>
                <w:sz w:val="24"/>
                <w:szCs w:val="24"/>
              </w:rPr>
              <w:t>rodzaje</w:t>
            </w:r>
            <w:proofErr w:type="gramEnd"/>
            <w:r w:rsidR="00835753" w:rsidRPr="00835753">
              <w:rPr>
                <w:sz w:val="24"/>
                <w:szCs w:val="24"/>
              </w:rPr>
              <w:t xml:space="preserve"> i</w:t>
            </w:r>
            <w:r w:rsidR="00835753">
              <w:rPr>
                <w:sz w:val="24"/>
                <w:szCs w:val="24"/>
              </w:rPr>
              <w:t> </w:t>
            </w:r>
            <w:r w:rsidR="00835753" w:rsidRPr="00835753">
              <w:rPr>
                <w:sz w:val="24"/>
                <w:szCs w:val="24"/>
              </w:rPr>
              <w:t>kwo</w:t>
            </w:r>
            <w:r w:rsidRPr="00835753">
              <w:rPr>
                <w:sz w:val="24"/>
                <w:szCs w:val="24"/>
              </w:rPr>
              <w:t>ty aktywów obciążonych</w:t>
            </w:r>
            <w:r w:rsidR="00835753" w:rsidRPr="00835753">
              <w:rPr>
                <w:sz w:val="24"/>
                <w:szCs w:val="24"/>
              </w:rPr>
              <w:t xml:space="preserve"> i</w:t>
            </w:r>
            <w:r w:rsidR="00835753">
              <w:rPr>
                <w:sz w:val="24"/>
                <w:szCs w:val="24"/>
              </w:rPr>
              <w:t> </w:t>
            </w:r>
            <w:r w:rsidR="00835753" w:rsidRPr="00835753">
              <w:rPr>
                <w:sz w:val="24"/>
                <w:szCs w:val="24"/>
              </w:rPr>
              <w:t>wol</w:t>
            </w:r>
            <w:r w:rsidRPr="00835753">
              <w:rPr>
                <w:sz w:val="24"/>
                <w:szCs w:val="24"/>
              </w:rPr>
              <w:t>nych od obciążeń wykazanych</w:t>
            </w:r>
            <w:r w:rsidR="00835753" w:rsidRPr="00835753">
              <w:rPr>
                <w:sz w:val="24"/>
                <w:szCs w:val="24"/>
              </w:rPr>
              <w:t xml:space="preserve"> w</w:t>
            </w:r>
            <w:r w:rsidR="00835753">
              <w:rPr>
                <w:sz w:val="24"/>
                <w:szCs w:val="24"/>
              </w:rPr>
              <w:t> </w:t>
            </w:r>
            <w:r w:rsidR="00835753" w:rsidRPr="00835753">
              <w:rPr>
                <w:sz w:val="24"/>
                <w:szCs w:val="24"/>
              </w:rPr>
              <w:t>wie</w:t>
            </w:r>
            <w:r w:rsidRPr="00835753">
              <w:rPr>
                <w:sz w:val="24"/>
                <w:szCs w:val="24"/>
              </w:rPr>
              <w:t>rszu 120 we wzorze AE1;</w:t>
            </w:r>
          </w:p>
          <w:p w14:paraId="5FB30809" w14:textId="2756F425" w:rsidR="00D312C4" w:rsidRPr="00835753"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proofErr w:type="gramStart"/>
            <w:r w:rsidRPr="00835753">
              <w:rPr>
                <w:sz w:val="24"/>
                <w:szCs w:val="24"/>
              </w:rPr>
              <w:t>kwoty</w:t>
            </w:r>
            <w:proofErr w:type="gramEnd"/>
            <w:r w:rsidR="00835753" w:rsidRPr="00835753">
              <w:rPr>
                <w:sz w:val="24"/>
                <w:szCs w:val="24"/>
              </w:rPr>
              <w:t xml:space="preserve"> i</w:t>
            </w:r>
            <w:r w:rsidR="00835753">
              <w:rPr>
                <w:sz w:val="24"/>
                <w:szCs w:val="24"/>
              </w:rPr>
              <w:t> </w:t>
            </w:r>
            <w:r w:rsidR="00835753" w:rsidRPr="00835753">
              <w:rPr>
                <w:sz w:val="24"/>
                <w:szCs w:val="24"/>
              </w:rPr>
              <w:t>rod</w:t>
            </w:r>
            <w:r w:rsidRPr="00835753">
              <w:rPr>
                <w:sz w:val="24"/>
                <w:szCs w:val="24"/>
              </w:rPr>
              <w:t>zaje aktywów obciążonych</w:t>
            </w:r>
            <w:r w:rsidR="00835753" w:rsidRPr="00835753">
              <w:rPr>
                <w:sz w:val="24"/>
                <w:szCs w:val="24"/>
              </w:rPr>
              <w:t xml:space="preserve"> i</w:t>
            </w:r>
            <w:r w:rsidR="00835753">
              <w:rPr>
                <w:sz w:val="24"/>
                <w:szCs w:val="24"/>
              </w:rPr>
              <w:t> </w:t>
            </w:r>
            <w:r w:rsidR="00835753" w:rsidRPr="00835753">
              <w:rPr>
                <w:sz w:val="24"/>
                <w:szCs w:val="24"/>
              </w:rPr>
              <w:t>poz</w:t>
            </w:r>
            <w:r w:rsidRPr="00835753">
              <w:rPr>
                <w:sz w:val="24"/>
                <w:szCs w:val="24"/>
              </w:rPr>
              <w:t>ycji pozabilansowych wykazanych</w:t>
            </w:r>
            <w:r w:rsidR="00835753" w:rsidRPr="00835753">
              <w:rPr>
                <w:sz w:val="24"/>
                <w:szCs w:val="24"/>
              </w:rPr>
              <w:t xml:space="preserve"> w</w:t>
            </w:r>
            <w:r w:rsidR="00835753">
              <w:rPr>
                <w:sz w:val="24"/>
                <w:szCs w:val="24"/>
              </w:rPr>
              <w:t> </w:t>
            </w:r>
            <w:r w:rsidR="00835753" w:rsidRPr="00835753">
              <w:rPr>
                <w:sz w:val="24"/>
                <w:szCs w:val="24"/>
              </w:rPr>
              <w:t>wie</w:t>
            </w:r>
            <w:r w:rsidRPr="00835753">
              <w:rPr>
                <w:sz w:val="24"/>
                <w:szCs w:val="24"/>
              </w:rPr>
              <w:t>rszu 010 we wzorze EU AE3, które nie są związane</w:t>
            </w:r>
            <w:r w:rsidR="00835753" w:rsidRPr="00835753">
              <w:rPr>
                <w:sz w:val="24"/>
                <w:szCs w:val="24"/>
              </w:rPr>
              <w:t xml:space="preserve"> z</w:t>
            </w:r>
            <w:r w:rsidR="00835753">
              <w:rPr>
                <w:sz w:val="24"/>
                <w:szCs w:val="24"/>
              </w:rPr>
              <w:t> </w:t>
            </w:r>
            <w:r w:rsidR="00835753" w:rsidRPr="00835753">
              <w:rPr>
                <w:sz w:val="24"/>
                <w:szCs w:val="24"/>
              </w:rPr>
              <w:t>żad</w:t>
            </w:r>
            <w:r w:rsidRPr="00835753">
              <w:rPr>
                <w:sz w:val="24"/>
                <w:szCs w:val="24"/>
              </w:rPr>
              <w:t>nymi zobowiązaniami;</w:t>
            </w:r>
          </w:p>
          <w:p w14:paraId="724836FB" w14:textId="545200A1" w:rsidR="00D312C4" w:rsidRPr="00835753" w:rsidRDefault="00D312C4" w:rsidP="00D312C4">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rPr>
            </w:pPr>
            <w:proofErr w:type="gramStart"/>
            <w:r w:rsidRPr="00835753">
              <w:rPr>
                <w:rStyle w:val="TeksttreciTimesNewRoman105ptOdstpy0pt"/>
                <w:sz w:val="24"/>
                <w:szCs w:val="24"/>
              </w:rPr>
              <w:t>w</w:t>
            </w:r>
            <w:proofErr w:type="gramEnd"/>
            <w:r w:rsidRPr="00835753">
              <w:rPr>
                <w:rStyle w:val="TeksttreciTimesNewRoman105ptOdstpy0pt"/>
                <w:sz w:val="24"/>
                <w:szCs w:val="24"/>
              </w:rPr>
              <w:t xml:space="preserve"> stosownych przypadkach</w:t>
            </w:r>
            <w:r w:rsidR="00835753" w:rsidRPr="00835753">
              <w:rPr>
                <w:rStyle w:val="TeksttreciTimesNewRoman105ptOdstpy0pt"/>
                <w:sz w:val="24"/>
                <w:szCs w:val="24"/>
              </w:rPr>
              <w:t xml:space="preserve"> w</w:t>
            </w:r>
            <w:r w:rsidR="00835753">
              <w:rPr>
                <w:rStyle w:val="TeksttreciTimesNewRoman105ptOdstpy0pt"/>
                <w:sz w:val="24"/>
                <w:szCs w:val="24"/>
              </w:rPr>
              <w:t> </w:t>
            </w:r>
            <w:r w:rsidR="00835753" w:rsidRPr="00835753">
              <w:rPr>
                <w:rStyle w:val="TeksttreciTimesNewRoman105ptOdstpy0pt"/>
                <w:sz w:val="24"/>
                <w:szCs w:val="24"/>
              </w:rPr>
              <w:t>kon</w:t>
            </w:r>
            <w:r w:rsidRPr="00835753">
              <w:rPr>
                <w:rStyle w:val="TeksttreciTimesNewRoman105ptOdstpy0pt"/>
                <w:sz w:val="24"/>
                <w:szCs w:val="24"/>
              </w:rPr>
              <w:t xml:space="preserve">tekście wykorzystania </w:t>
            </w:r>
            <w:r w:rsidRPr="00835753">
              <w:rPr>
                <w:rStyle w:val="TeksttreciTimesNewRoman105ptOdstpy0pt"/>
                <w:sz w:val="24"/>
                <w:szCs w:val="24"/>
              </w:rPr>
              <w:lastRenderedPageBreak/>
              <w:t>przez nie obciążenia</w:t>
            </w:r>
            <w:r w:rsidR="00835753" w:rsidRPr="00835753">
              <w:rPr>
                <w:rStyle w:val="TeksttreciTimesNewRoman105ptOdstpy0pt"/>
                <w:sz w:val="24"/>
                <w:szCs w:val="24"/>
              </w:rPr>
              <w:t xml:space="preserve"> w</w:t>
            </w:r>
            <w:r w:rsidR="00835753">
              <w:rPr>
                <w:rStyle w:val="TeksttreciTimesNewRoman105ptOdstpy0pt"/>
                <w:sz w:val="24"/>
                <w:szCs w:val="24"/>
              </w:rPr>
              <w:t> </w:t>
            </w:r>
            <w:r w:rsidR="00835753" w:rsidRPr="00835753">
              <w:rPr>
                <w:rStyle w:val="TeksttreciTimesNewRoman105ptOdstpy0pt"/>
                <w:sz w:val="24"/>
                <w:szCs w:val="24"/>
              </w:rPr>
              <w:t>sto</w:t>
            </w:r>
            <w:r w:rsidRPr="00835753">
              <w:rPr>
                <w:rStyle w:val="TeksttreciTimesNewRoman105ptOdstpy0pt"/>
                <w:sz w:val="24"/>
                <w:szCs w:val="24"/>
              </w:rPr>
              <w:t xml:space="preserve">sunku do ich modelu biznesowego dodatkowe informacje na temat podziału następujących wierszy we wzorach EU AE1, EU AE2 i EU AE3: </w:t>
            </w:r>
          </w:p>
          <w:p w14:paraId="577222BC" w14:textId="26AE9741" w:rsidR="00D312C4" w:rsidRPr="00835753" w:rsidRDefault="00D312C4" w:rsidP="00D312C4">
            <w:pPr>
              <w:pStyle w:val="Teksttreci50"/>
              <w:numPr>
                <w:ilvl w:val="0"/>
                <w:numId w:val="69"/>
              </w:numPr>
              <w:shd w:val="clear" w:color="auto" w:fill="auto"/>
              <w:tabs>
                <w:tab w:val="left" w:pos="1430"/>
              </w:tabs>
              <w:spacing w:before="0" w:after="120" w:line="240" w:lineRule="auto"/>
              <w:ind w:left="1440" w:right="40" w:firstLine="31"/>
              <w:jc w:val="both"/>
              <w:rPr>
                <w:rStyle w:val="TeksttreciTimesNewRoman105ptOdstpy0pt"/>
                <w:sz w:val="24"/>
                <w:szCs w:val="24"/>
              </w:rPr>
            </w:pPr>
            <w:proofErr w:type="gramStart"/>
            <w:r w:rsidRPr="00835753">
              <w:rPr>
                <w:rStyle w:val="TeksttreciTimesNewRoman105ptOdstpy0pt"/>
                <w:sz w:val="24"/>
                <w:szCs w:val="24"/>
              </w:rPr>
              <w:t>wiersz</w:t>
            </w:r>
            <w:proofErr w:type="gramEnd"/>
            <w:r w:rsidRPr="00835753">
              <w:rPr>
                <w:rStyle w:val="TeksttreciTimesNewRoman105ptOdstpy0pt"/>
                <w:sz w:val="24"/>
                <w:szCs w:val="24"/>
              </w:rPr>
              <w:t xml:space="preserve"> 120 we wzorze EU AE1 – „Inne aktywa”, </w:t>
            </w:r>
          </w:p>
          <w:p w14:paraId="50AB6156" w14:textId="12ED668B" w:rsidR="00D312C4" w:rsidRPr="00835753" w:rsidRDefault="00D312C4" w:rsidP="00D312C4">
            <w:pPr>
              <w:pStyle w:val="Teksttreci50"/>
              <w:numPr>
                <w:ilvl w:val="0"/>
                <w:numId w:val="71"/>
              </w:numPr>
              <w:shd w:val="clear" w:color="auto" w:fill="auto"/>
              <w:tabs>
                <w:tab w:val="left" w:pos="1430"/>
              </w:tabs>
              <w:spacing w:before="0" w:after="120" w:line="240" w:lineRule="auto"/>
              <w:ind w:left="1471" w:right="40"/>
              <w:jc w:val="both"/>
              <w:rPr>
                <w:rStyle w:val="TeksttreciTimesNewRoman105ptOdstpy0pt"/>
                <w:sz w:val="24"/>
                <w:szCs w:val="24"/>
              </w:rPr>
            </w:pPr>
            <w:proofErr w:type="gramStart"/>
            <w:r w:rsidRPr="00835753">
              <w:rPr>
                <w:rStyle w:val="TeksttreciTimesNewRoman105ptOdstpy0pt"/>
                <w:sz w:val="24"/>
                <w:szCs w:val="24"/>
              </w:rPr>
              <w:t>wiersz</w:t>
            </w:r>
            <w:proofErr w:type="gramEnd"/>
            <w:r w:rsidRPr="00835753">
              <w:rPr>
                <w:rStyle w:val="TeksttreciTimesNewRoman105ptOdstpy0pt"/>
                <w:sz w:val="24"/>
                <w:szCs w:val="24"/>
              </w:rPr>
              <w:t xml:space="preserve"> 230 we wzorze EU AE2 – „Inne otrzymane zabezpieczenia”,</w:t>
            </w:r>
          </w:p>
          <w:p w14:paraId="59C1EE51" w14:textId="71960D97" w:rsidR="00D312C4" w:rsidRPr="00835753" w:rsidRDefault="00D312C4" w:rsidP="00D312C4">
            <w:pPr>
              <w:pStyle w:val="Teksttreci50"/>
              <w:numPr>
                <w:ilvl w:val="0"/>
                <w:numId w:val="72"/>
              </w:numPr>
              <w:shd w:val="clear" w:color="auto" w:fill="auto"/>
              <w:tabs>
                <w:tab w:val="left" w:pos="1430"/>
              </w:tabs>
              <w:spacing w:before="0" w:after="120" w:line="240" w:lineRule="auto"/>
              <w:ind w:left="1471" w:right="40"/>
              <w:jc w:val="both"/>
              <w:rPr>
                <w:sz w:val="24"/>
              </w:rPr>
            </w:pPr>
            <w:proofErr w:type="gramStart"/>
            <w:r w:rsidRPr="00835753">
              <w:rPr>
                <w:rStyle w:val="TeksttreciTimesNewRoman105ptOdstpy0pt"/>
                <w:sz w:val="24"/>
                <w:szCs w:val="24"/>
              </w:rPr>
              <w:t>wiersz</w:t>
            </w:r>
            <w:proofErr w:type="gramEnd"/>
            <w:r w:rsidRPr="00835753">
              <w:rPr>
                <w:rStyle w:val="TeksttreciTimesNewRoman105ptOdstpy0pt"/>
                <w:sz w:val="24"/>
                <w:szCs w:val="24"/>
              </w:rPr>
              <w:t xml:space="preserve"> 010 we wzorze EU AE3 – „Wartość bilansowa wybranych zobowiązań finansowych” (w szczególności jeżeli jedna część obciążenia aktywów jest związana ze zobowiązaniami,</w:t>
            </w:r>
            <w:r w:rsidR="00835753" w:rsidRPr="00835753">
              <w:rPr>
                <w:rStyle w:val="TeksttreciTimesNewRoman105ptOdstpy0pt"/>
                <w:sz w:val="24"/>
                <w:szCs w:val="24"/>
              </w:rPr>
              <w:t xml:space="preserve"> a</w:t>
            </w:r>
            <w:r w:rsidR="00835753">
              <w:rPr>
                <w:rStyle w:val="TeksttreciTimesNewRoman105ptOdstpy0pt"/>
                <w:sz w:val="24"/>
                <w:szCs w:val="24"/>
              </w:rPr>
              <w:t> </w:t>
            </w:r>
            <w:r w:rsidR="00835753" w:rsidRPr="00835753">
              <w:rPr>
                <w:rStyle w:val="TeksttreciTimesNewRoman105ptOdstpy0pt"/>
                <w:sz w:val="24"/>
                <w:szCs w:val="24"/>
              </w:rPr>
              <w:t>dru</w:t>
            </w:r>
            <w:r w:rsidRPr="00835753">
              <w:rPr>
                <w:rStyle w:val="TeksttreciTimesNewRoman105ptOdstpy0pt"/>
                <w:sz w:val="24"/>
                <w:szCs w:val="24"/>
              </w:rPr>
              <w:t>ga nie).</w:t>
            </w:r>
          </w:p>
        </w:tc>
      </w:tr>
    </w:tbl>
    <w:p w14:paraId="623F7787" w14:textId="77777777" w:rsidR="00D312C4" w:rsidRPr="00835753" w:rsidRDefault="00D312C4" w:rsidP="00D312C4">
      <w:pPr>
        <w:autoSpaceDE w:val="0"/>
        <w:autoSpaceDN w:val="0"/>
        <w:adjustRightInd w:val="0"/>
        <w:spacing w:after="120"/>
        <w:jc w:val="both"/>
        <w:rPr>
          <w:rFonts w:ascii="Times New Roman" w:hAnsi="Times New Roman" w:cs="Times New Roman"/>
          <w:sz w:val="24"/>
        </w:rPr>
      </w:pPr>
    </w:p>
    <w:p w14:paraId="21CA05FC" w14:textId="77777777" w:rsidR="005710A4" w:rsidRPr="00835753" w:rsidRDefault="005710A4" w:rsidP="00E258D8">
      <w:pPr>
        <w:tabs>
          <w:tab w:val="left" w:pos="1430"/>
        </w:tabs>
        <w:rPr>
          <w:rFonts w:ascii="Times New Roman" w:hAnsi="Times New Roman" w:cs="Times New Roman"/>
          <w:b/>
          <w:sz w:val="24"/>
        </w:rPr>
      </w:pPr>
    </w:p>
    <w:sectPr w:rsidR="005710A4" w:rsidRPr="00835753"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835753" w:rsidRPr="00835753" w:rsidRDefault="00835753" w:rsidP="00A00E34">
      <w:r w:rsidRPr="00835753">
        <w:separator/>
      </w:r>
    </w:p>
    <w:p w14:paraId="09D91489" w14:textId="77777777" w:rsidR="00835753" w:rsidRPr="00835753" w:rsidRDefault="00835753"/>
  </w:endnote>
  <w:endnote w:type="continuationSeparator" w:id="0">
    <w:p w14:paraId="51EB50DE" w14:textId="77777777" w:rsidR="00835753" w:rsidRPr="00835753" w:rsidRDefault="00835753" w:rsidP="00A00E34">
      <w:r w:rsidRPr="00835753">
        <w:continuationSeparator/>
      </w:r>
    </w:p>
    <w:p w14:paraId="4B8A26D8" w14:textId="77777777" w:rsidR="00835753" w:rsidRPr="00835753" w:rsidRDefault="00835753"/>
  </w:endnote>
  <w:endnote w:type="continuationNotice" w:id="1">
    <w:p w14:paraId="59DA252B" w14:textId="77777777" w:rsidR="00835753" w:rsidRPr="00835753" w:rsidRDefault="008357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835753" w:rsidRPr="00835753" w:rsidRDefault="00835753" w:rsidP="00C43FD9">
    <w:pPr>
      <w:pStyle w:val="Footer"/>
      <w:framePr w:wrap="around" w:vAnchor="text" w:hAnchor="margin" w:xAlign="right" w:y="1"/>
      <w:rPr>
        <w:rStyle w:val="PageNumber"/>
      </w:rPr>
    </w:pPr>
    <w:r w:rsidRPr="00835753">
      <w:rPr>
        <w:rStyle w:val="PageNumber"/>
      </w:rPr>
      <w:fldChar w:fldCharType="begin"/>
    </w:r>
    <w:r w:rsidRPr="00835753">
      <w:rPr>
        <w:rStyle w:val="PageNumber"/>
      </w:rPr>
      <w:instrText xml:space="preserve">PAGE  </w:instrText>
    </w:r>
    <w:r w:rsidRPr="00835753">
      <w:rPr>
        <w:rStyle w:val="PageNumber"/>
      </w:rPr>
      <w:fldChar w:fldCharType="end"/>
    </w:r>
  </w:p>
  <w:p w14:paraId="0443F07D" w14:textId="77777777" w:rsidR="00835753" w:rsidRPr="00835753" w:rsidRDefault="00835753"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1CEBA89D" w:rsidR="00835753" w:rsidRPr="00835753" w:rsidRDefault="00835753" w:rsidP="00C43FD9">
    <w:pPr>
      <w:pStyle w:val="Footer"/>
      <w:framePr w:wrap="around" w:vAnchor="text" w:hAnchor="margin" w:xAlign="right" w:y="1"/>
      <w:rPr>
        <w:rStyle w:val="PageNumber"/>
      </w:rPr>
    </w:pPr>
    <w:r w:rsidRPr="00835753">
      <w:rPr>
        <w:rStyle w:val="PageNumber"/>
      </w:rPr>
      <w:fldChar w:fldCharType="begin"/>
    </w:r>
    <w:r w:rsidRPr="00835753">
      <w:rPr>
        <w:rStyle w:val="PageNumber"/>
      </w:rPr>
      <w:instrText xml:space="preserve">PAGE  </w:instrText>
    </w:r>
    <w:r w:rsidRPr="00835753">
      <w:rPr>
        <w:rStyle w:val="PageNumber"/>
      </w:rPr>
      <w:fldChar w:fldCharType="separate"/>
    </w:r>
    <w:r w:rsidR="00996FFB">
      <w:rPr>
        <w:rStyle w:val="PageNumber"/>
        <w:noProof/>
      </w:rPr>
      <w:t>14</w:t>
    </w:r>
    <w:r w:rsidRPr="00835753">
      <w:rPr>
        <w:rStyle w:val="PageNumber"/>
      </w:rPr>
      <w:fldChar w:fldCharType="end"/>
    </w:r>
  </w:p>
  <w:p w14:paraId="1ADEF20C" w14:textId="2F6876BD" w:rsidR="00835753" w:rsidRPr="00835753" w:rsidRDefault="00835753" w:rsidP="00155C96">
    <w:pPr>
      <w:pStyle w:val="Footer"/>
      <w:tabs>
        <w:tab w:val="clear" w:pos="4320"/>
        <w:tab w:val="clear" w:pos="8640"/>
        <w:tab w:val="left" w:pos="1093"/>
      </w:tabs>
      <w:ind w:right="360"/>
    </w:pPr>
    <w:r w:rsidRPr="00835753">
      <w:rPr>
        <w:lang w:eastAsia="pl-PL"/>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rsidRPr="00835753">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835753" w:rsidRPr="00835753" w:rsidRDefault="00835753">
      <w:pPr>
        <w:rPr>
          <w:sz w:val="12"/>
          <w:szCs w:val="12"/>
        </w:rPr>
      </w:pPr>
      <w:r w:rsidRPr="00835753">
        <w:rPr>
          <w:sz w:val="12"/>
          <w:szCs w:val="12"/>
        </w:rPr>
        <w:separator/>
      </w:r>
    </w:p>
  </w:footnote>
  <w:footnote w:type="continuationSeparator" w:id="0">
    <w:p w14:paraId="7486523A" w14:textId="77777777" w:rsidR="00835753" w:rsidRPr="00835753" w:rsidRDefault="00835753" w:rsidP="00A00E34">
      <w:r w:rsidRPr="00835753">
        <w:continuationSeparator/>
      </w:r>
    </w:p>
    <w:p w14:paraId="600D8191" w14:textId="77777777" w:rsidR="00835753" w:rsidRPr="00835753" w:rsidRDefault="00835753"/>
  </w:footnote>
  <w:footnote w:type="continuationNotice" w:id="1">
    <w:p w14:paraId="3AC4A386" w14:textId="77777777" w:rsidR="00835753" w:rsidRPr="00835753" w:rsidRDefault="00835753"/>
  </w:footnote>
  <w:footnote w:id="2">
    <w:p w14:paraId="262BD994" w14:textId="4A279B04" w:rsidR="00835753" w:rsidRPr="00835753" w:rsidRDefault="00835753" w:rsidP="00BB5993">
      <w:pPr>
        <w:pStyle w:val="FootnoteText"/>
        <w:rPr>
          <w:rFonts w:eastAsia="Calibri"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1" w:history="1">
        <w:r w:rsidRPr="00835753">
          <w:rPr>
            <w:color w:val="800080"/>
            <w:u w:val="single"/>
          </w:rPr>
          <w:t>Dz.U. L 176 z</w:t>
        </w:r>
        <w:r>
          <w:rPr>
            <w:color w:val="800080"/>
            <w:u w:val="single"/>
          </w:rPr>
          <w:t> </w:t>
        </w:r>
        <w:r w:rsidRPr="00835753">
          <w:rPr>
            <w:color w:val="800080"/>
            <w:u w:val="single"/>
          </w:rPr>
          <w:t xml:space="preserve">27.6.2013, </w:t>
        </w:r>
        <w:proofErr w:type="gramStart"/>
        <w:r w:rsidRPr="00835753">
          <w:rPr>
            <w:color w:val="800080"/>
            <w:u w:val="single"/>
          </w:rPr>
          <w:t>s</w:t>
        </w:r>
        <w:proofErr w:type="gramEnd"/>
        <w:r w:rsidRPr="00835753">
          <w:rPr>
            <w:color w:val="800080"/>
            <w:u w:val="single"/>
          </w:rPr>
          <w:t>. 1</w:t>
        </w:r>
      </w:hyperlink>
      <w:r w:rsidRPr="00835753">
        <w:t>).</w:t>
      </w:r>
    </w:p>
  </w:footnote>
  <w:footnote w:id="3">
    <w:p w14:paraId="65DAF6E3" w14:textId="3E7106F6" w:rsidR="00835753" w:rsidRPr="00835753" w:rsidRDefault="00835753" w:rsidP="00BB5993">
      <w:pPr>
        <w:pStyle w:val="FootnoteText"/>
        <w:rPr>
          <w:rFonts w:cstheme="minorHAnsi"/>
        </w:rPr>
      </w:pPr>
      <w:r w:rsidRPr="00835753">
        <w:rPr>
          <w:rStyle w:val="FootnoteReference"/>
          <w:rFonts w:cstheme="minorHAnsi"/>
          <w:sz w:val="18"/>
        </w:rPr>
        <w:footnoteRef/>
      </w:r>
      <w:r w:rsidRPr="00835753">
        <w:t>Zmienione wytyczne EUNB dotyczące wspólnych procedur i</w:t>
      </w:r>
      <w:r>
        <w:t> </w:t>
      </w:r>
      <w:r w:rsidRPr="00835753">
        <w:t>metod stosowanych w</w:t>
      </w:r>
      <w:r>
        <w:t> </w:t>
      </w:r>
      <w:r w:rsidRPr="00835753">
        <w:t>ramach procesu przeglądu i</w:t>
      </w:r>
      <w:r>
        <w:t> </w:t>
      </w:r>
      <w:r w:rsidRPr="00835753">
        <w:t>oceny nadzorczej oraz nadzorczych testów warunków skrajnych (EBA/GL/2018/03, 19 lipca 2018 r.).</w:t>
      </w:r>
    </w:p>
  </w:footnote>
  <w:footnote w:id="4">
    <w:p w14:paraId="6EEE1EF0" w14:textId="38CFDEB8" w:rsidR="00835753" w:rsidRPr="00835753" w:rsidRDefault="00835753" w:rsidP="00BB5993">
      <w:pPr>
        <w:pStyle w:val="FootnoteText"/>
        <w:rPr>
          <w:rFonts w:cstheme="minorHAnsi"/>
        </w:rPr>
      </w:pPr>
      <w:r w:rsidRPr="00835753">
        <w:rPr>
          <w:rStyle w:val="FootnoteReference"/>
          <w:rFonts w:cstheme="minorHAnsi"/>
          <w:sz w:val="18"/>
        </w:rPr>
        <w:footnoteRef/>
      </w:r>
      <w:r w:rsidRPr="00835753">
        <w:t xml:space="preserve"> </w:t>
      </w:r>
      <w:r w:rsidRPr="00835753">
        <w:tab/>
        <w:t>Rozporządzenie delegowane Komisji (UE) 2015/61 z</w:t>
      </w:r>
      <w:r>
        <w:t> </w:t>
      </w:r>
      <w:r w:rsidRPr="00835753">
        <w:t>dnia 10 października 2014 r. uzupełniające rozporządzenie Parlamentu Europejskiego i</w:t>
      </w:r>
      <w:r>
        <w:t> </w:t>
      </w:r>
      <w:r w:rsidRPr="00835753">
        <w:t>Rady (UE) nr 575/2013 w</w:t>
      </w:r>
      <w:r>
        <w:t> </w:t>
      </w:r>
      <w:r w:rsidRPr="00835753">
        <w:t>odniesieniu do wymogu pokrycia wypływów netto dla instytucji kredytowych (Dz.U. L 11 z</w:t>
      </w:r>
      <w:r>
        <w:t> </w:t>
      </w:r>
      <w:r w:rsidRPr="00835753">
        <w:t xml:space="preserve">17.1.2015, </w:t>
      </w:r>
      <w:proofErr w:type="gramStart"/>
      <w:r w:rsidRPr="00835753">
        <w:t>s</w:t>
      </w:r>
      <w:proofErr w:type="gramEnd"/>
      <w:r w:rsidRPr="00835753">
        <w:t>. 1).</w:t>
      </w:r>
    </w:p>
  </w:footnote>
  <w:footnote w:id="5">
    <w:p w14:paraId="2A17ED68" w14:textId="7850E483" w:rsidR="00835753" w:rsidRPr="00835753" w:rsidRDefault="00835753" w:rsidP="00BB5993">
      <w:pPr>
        <w:pStyle w:val="FootnoteText"/>
        <w:rPr>
          <w:rFonts w:cstheme="minorHAnsi"/>
        </w:rPr>
      </w:pPr>
      <w:r w:rsidRPr="00835753">
        <w:rPr>
          <w:rStyle w:val="FootnoteReference"/>
          <w:rFonts w:cstheme="minorHAnsi"/>
          <w:sz w:val="18"/>
        </w:rPr>
        <w:footnoteRef/>
      </w:r>
      <w:r w:rsidRPr="00835753">
        <w:t xml:space="preserve"> </w:t>
      </w:r>
      <w:r w:rsidRPr="00835753">
        <w:tab/>
        <w:t>Dyrektywa 2002/87/WE Parlamentu Europejskiego i</w:t>
      </w:r>
      <w:r>
        <w:t> </w:t>
      </w:r>
      <w:r w:rsidRPr="00835753">
        <w:t>Rady z</w:t>
      </w:r>
      <w:r>
        <w:t> </w:t>
      </w:r>
      <w:r w:rsidRPr="00835753">
        <w:t>dnia 16 grudnia 2002 r. w</w:t>
      </w:r>
      <w:r>
        <w:t> </w:t>
      </w:r>
      <w:r w:rsidRPr="00835753">
        <w:t>sprawie dodatkowego nadzoru nad instytucjami kredytowymi, zakładami ubezpieczeń oraz przedsiębiorstwami inwestycyjnymi konglomeratu finansowego i</w:t>
      </w:r>
      <w:r>
        <w:t> </w:t>
      </w:r>
      <w:r w:rsidRPr="00835753">
        <w:t>zmieniająca dyrektywy Rady 73/239/EWG, 79/267/EWG, 92/49/EWG, 92/96/EWG, 93/6/EWG i</w:t>
      </w:r>
      <w:r>
        <w:t> </w:t>
      </w:r>
      <w:r w:rsidRPr="00835753">
        <w:t>93/22/EWG oraz dyrektywy 98/78/WE i</w:t>
      </w:r>
      <w:r>
        <w:t> </w:t>
      </w:r>
      <w:r w:rsidRPr="00835753">
        <w:t>2000/12/WE Parlamentu Europejskiego i</w:t>
      </w:r>
      <w:r>
        <w:t> </w:t>
      </w:r>
      <w:r w:rsidRPr="00835753">
        <w:t>Rady (Dz.U. L 35 z</w:t>
      </w:r>
      <w:r>
        <w:t> </w:t>
      </w:r>
      <w:r w:rsidRPr="00835753">
        <w:t xml:space="preserve">11.2.2003, </w:t>
      </w:r>
      <w:proofErr w:type="gramStart"/>
      <w:r w:rsidRPr="00835753">
        <w:t>s</w:t>
      </w:r>
      <w:proofErr w:type="gramEnd"/>
      <w:r w:rsidRPr="00835753">
        <w:t>. 1).</w:t>
      </w:r>
    </w:p>
  </w:footnote>
  <w:footnote w:id="6">
    <w:p w14:paraId="0F97224E" w14:textId="6010823C" w:rsidR="00835753" w:rsidRPr="00835753" w:rsidRDefault="00835753" w:rsidP="00BB5993">
      <w:pPr>
        <w:pStyle w:val="FootnoteText"/>
        <w:rPr>
          <w:rFonts w:eastAsia="Calibri"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2" w:history="1">
        <w:r w:rsidRPr="00835753">
          <w:rPr>
            <w:color w:val="800080"/>
            <w:u w:val="single"/>
          </w:rPr>
          <w:t>Dz.U. L 176 z</w:t>
        </w:r>
        <w:r>
          <w:rPr>
            <w:color w:val="800080"/>
            <w:u w:val="single"/>
          </w:rPr>
          <w:t> </w:t>
        </w:r>
        <w:r w:rsidRPr="00835753">
          <w:rPr>
            <w:color w:val="800080"/>
            <w:u w:val="single"/>
          </w:rPr>
          <w:t xml:space="preserve">27.6.2013, </w:t>
        </w:r>
        <w:proofErr w:type="gramStart"/>
        <w:r w:rsidRPr="00835753">
          <w:rPr>
            <w:color w:val="800080"/>
            <w:u w:val="single"/>
          </w:rPr>
          <w:t>s</w:t>
        </w:r>
        <w:proofErr w:type="gramEnd"/>
        <w:r w:rsidRPr="00835753">
          <w:rPr>
            <w:color w:val="800080"/>
            <w:u w:val="single"/>
          </w:rPr>
          <w:t>. 1</w:t>
        </w:r>
      </w:hyperlink>
      <w:r w:rsidRPr="00835753">
        <w:t>).</w:t>
      </w:r>
    </w:p>
  </w:footnote>
  <w:footnote w:id="7">
    <w:p w14:paraId="340BC0CF" w14:textId="5EBBC3BF" w:rsidR="00835753" w:rsidRPr="00835753" w:rsidRDefault="00835753" w:rsidP="00BB5993">
      <w:pPr>
        <w:pStyle w:val="FootnoteText"/>
        <w:rPr>
          <w:rFonts w:cstheme="minorHAnsi"/>
        </w:rPr>
      </w:pPr>
      <w:r w:rsidRPr="00835753">
        <w:rPr>
          <w:rStyle w:val="FootnoteReference"/>
          <w:rFonts w:cstheme="minorHAnsi"/>
          <w:sz w:val="18"/>
        </w:rPr>
        <w:footnoteRef/>
      </w:r>
      <w:r w:rsidRPr="00835753">
        <w:t xml:space="preserve"> </w:t>
      </w:r>
      <w:r w:rsidRPr="00835753">
        <w:tab/>
        <w:t>DYREKTYWA PARLAMENTU EUROPEJSKIEGO I RADY 2013/36/UE z</w:t>
      </w:r>
      <w:r>
        <w:t> </w:t>
      </w:r>
      <w:r w:rsidRPr="00835753">
        <w:t>dnia 26 czerwca 2013 r. w</w:t>
      </w:r>
      <w:r>
        <w:t> </w:t>
      </w:r>
      <w:r w:rsidRPr="00835753">
        <w:t>sprawie warunków dopuszczenia instytucji kredytowych do działalności oraz nadzoru ostrożnościowego nad instytucjami kredytowymi i</w:t>
      </w:r>
      <w:r>
        <w:t> </w:t>
      </w:r>
      <w:r w:rsidRPr="00835753">
        <w:t>firmami inwestycyjnymi, zmieniająca dyrektywę 2002/87/WE i</w:t>
      </w:r>
      <w:r>
        <w:t> </w:t>
      </w:r>
      <w:r w:rsidRPr="00835753">
        <w:t>uchylająca dyrektywy 2006/48/WE oraz 2006/49/WE (Dz.U. L 176 z</w:t>
      </w:r>
      <w:r>
        <w:t> </w:t>
      </w:r>
      <w:r w:rsidRPr="00835753">
        <w:t xml:space="preserve">27.6.2013, </w:t>
      </w:r>
      <w:proofErr w:type="gramStart"/>
      <w:r w:rsidRPr="00835753">
        <w:t>s</w:t>
      </w:r>
      <w:proofErr w:type="gramEnd"/>
      <w:r w:rsidRPr="00835753">
        <w:t>. 338).</w:t>
      </w:r>
    </w:p>
  </w:footnote>
  <w:footnote w:id="8">
    <w:p w14:paraId="1BE208BA" w14:textId="00C3C037" w:rsidR="00835753" w:rsidRPr="00835753" w:rsidRDefault="00835753" w:rsidP="00BB5993">
      <w:pPr>
        <w:pStyle w:val="FootnoteText"/>
        <w:rPr>
          <w:rFonts w:eastAsia="Calibri"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3" w:history="1">
        <w:r w:rsidRPr="00835753">
          <w:rPr>
            <w:color w:val="800080"/>
            <w:u w:val="single"/>
          </w:rPr>
          <w:t>Dz.U. L 176 z</w:t>
        </w:r>
        <w:r>
          <w:rPr>
            <w:color w:val="800080"/>
            <w:u w:val="single"/>
          </w:rPr>
          <w:t> </w:t>
        </w:r>
        <w:r w:rsidRPr="00835753">
          <w:rPr>
            <w:color w:val="800080"/>
            <w:u w:val="single"/>
          </w:rPr>
          <w:t xml:space="preserve">27.6.2013, </w:t>
        </w:r>
        <w:proofErr w:type="gramStart"/>
        <w:r w:rsidRPr="00835753">
          <w:rPr>
            <w:color w:val="800080"/>
            <w:u w:val="single"/>
          </w:rPr>
          <w:t>s</w:t>
        </w:r>
        <w:proofErr w:type="gramEnd"/>
        <w:r w:rsidRPr="00835753">
          <w:rPr>
            <w:color w:val="800080"/>
            <w:u w:val="single"/>
          </w:rPr>
          <w:t>. 1</w:t>
        </w:r>
      </w:hyperlink>
      <w:r w:rsidRPr="00835753">
        <w:t>).</w:t>
      </w:r>
    </w:p>
  </w:footnote>
  <w:footnote w:id="9">
    <w:p w14:paraId="49757893" w14:textId="7B234BB9" w:rsidR="00835753" w:rsidRPr="00835753" w:rsidRDefault="00835753" w:rsidP="00BB5993">
      <w:pPr>
        <w:pStyle w:val="FootnoteText"/>
        <w:rPr>
          <w:rFonts w:cstheme="minorHAnsi"/>
        </w:rPr>
      </w:pPr>
      <w:r w:rsidRPr="00835753">
        <w:rPr>
          <w:rStyle w:val="FootnoteReference"/>
          <w:rFonts w:cstheme="minorHAnsi"/>
          <w:sz w:val="18"/>
        </w:rPr>
        <w:footnoteRef/>
      </w:r>
      <w:r w:rsidRPr="00835753">
        <w:t xml:space="preserve"> </w:t>
      </w:r>
      <w:r w:rsidRPr="00835753">
        <w:tab/>
        <w:t>Dyrektywa Parlamentu Europejskiego i</w:t>
      </w:r>
      <w:r>
        <w:t> </w:t>
      </w:r>
      <w:r w:rsidRPr="00835753">
        <w:t>Rady 2013/34/UE z</w:t>
      </w:r>
      <w:r>
        <w:t> </w:t>
      </w:r>
      <w:r w:rsidRPr="00835753">
        <w:t>dnia 26 czerwca 2013 r. w</w:t>
      </w:r>
      <w:r>
        <w:t> </w:t>
      </w:r>
      <w:r w:rsidRPr="00835753">
        <w:t>sprawie rocznych sprawozdań finansowych, skonsolidowanych sprawozdań finansowych i</w:t>
      </w:r>
      <w:r>
        <w:t> </w:t>
      </w:r>
      <w:r w:rsidRPr="00835753">
        <w:t>powiązanych sprawozdań niektórych rodzajów jednostek, zmieniająca dyrektywę Parlamentu Europejskiego i</w:t>
      </w:r>
      <w:r>
        <w:t> </w:t>
      </w:r>
      <w:r w:rsidRPr="00835753">
        <w:t>Rady 2006/43/WE oraz uchylająca dyrektywy Rady 78/660/EWG i</w:t>
      </w:r>
      <w:r>
        <w:t> </w:t>
      </w:r>
      <w:r w:rsidRPr="00835753">
        <w:t>83/349/EWG (Dz.U. L 182 z</w:t>
      </w:r>
      <w:r>
        <w:t> </w:t>
      </w:r>
      <w:r w:rsidRPr="00835753">
        <w:t xml:space="preserve">29.6.2013, </w:t>
      </w:r>
      <w:proofErr w:type="gramStart"/>
      <w:r w:rsidRPr="00835753">
        <w:t>s</w:t>
      </w:r>
      <w:proofErr w:type="gramEnd"/>
      <w:r w:rsidRPr="00835753">
        <w:t>. 19).</w:t>
      </w:r>
    </w:p>
  </w:footnote>
  <w:footnote w:id="10">
    <w:p w14:paraId="3A9F714D" w14:textId="41918FF8"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(WE) NR 1606/2002 PARLAMENTU EUROPEJSKIEGO I RADY z</w:t>
      </w:r>
      <w:r>
        <w:t> </w:t>
      </w:r>
      <w:r w:rsidRPr="00835753">
        <w:t>dnia 19 lipca 2002 r. w</w:t>
      </w:r>
      <w:r>
        <w:t> </w:t>
      </w:r>
      <w:r w:rsidRPr="00835753">
        <w:t>sprawie stosowania międzynarodowych standardów rachunkowości (Dz.U. L 243 z</w:t>
      </w:r>
      <w:r>
        <w:t> </w:t>
      </w:r>
      <w:r w:rsidRPr="00835753">
        <w:t xml:space="preserve">11.9.2002, </w:t>
      </w:r>
      <w:proofErr w:type="gramStart"/>
      <w:r w:rsidRPr="00835753">
        <w:t>s</w:t>
      </w:r>
      <w:proofErr w:type="gramEnd"/>
      <w:r w:rsidRPr="00835753">
        <w:t>. 1).</w:t>
      </w:r>
    </w:p>
  </w:footnote>
  <w:footnote w:id="11">
    <w:p w14:paraId="11CA5EE8" w14:textId="38B75D92"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DYREKTYWA RADY 86/635/EWG z</w:t>
      </w:r>
      <w:r>
        <w:t> </w:t>
      </w:r>
      <w:r w:rsidRPr="00835753">
        <w:t>dnia 8 grudnia 1986 r. w</w:t>
      </w:r>
      <w:r>
        <w:t> </w:t>
      </w:r>
      <w:r w:rsidRPr="00835753">
        <w:t>sprawie rocznych i</w:t>
      </w:r>
      <w:r>
        <w:t> </w:t>
      </w:r>
      <w:r w:rsidRPr="00835753">
        <w:t>skonsolidowanych sprawozdań finansowych banków i</w:t>
      </w:r>
      <w:r>
        <w:t> </w:t>
      </w:r>
      <w:r w:rsidRPr="00835753">
        <w:t>innych instytucji finansowych (Dz.U. L 372 z</w:t>
      </w:r>
      <w:r>
        <w:t> </w:t>
      </w:r>
      <w:r w:rsidRPr="00835753">
        <w:t xml:space="preserve">31.12.1986, </w:t>
      </w:r>
      <w:proofErr w:type="gramStart"/>
      <w:r w:rsidRPr="00835753">
        <w:t>s</w:t>
      </w:r>
      <w:proofErr w:type="gramEnd"/>
      <w:r w:rsidRPr="00835753">
        <w:t>. 1).</w:t>
      </w:r>
    </w:p>
  </w:footnote>
  <w:footnote w:id="12">
    <w:p w14:paraId="1BA7AC25" w14:textId="164365F5"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DELEGOWANE KOMISJI (UE) nr 183/2014 z</w:t>
      </w:r>
      <w:r>
        <w:t> </w:t>
      </w:r>
      <w:r w:rsidRPr="00835753">
        <w:t>dnia 20 grudnia 2013 r. uzupełniające rozporządzenie Parlamentu Europejskiego i</w:t>
      </w:r>
      <w:r>
        <w:t> </w:t>
      </w:r>
      <w:r w:rsidRPr="00835753">
        <w:t>Rady (UE) nr 575/2013 w</w:t>
      </w:r>
      <w:r>
        <w:t> </w:t>
      </w:r>
      <w:r w:rsidRPr="00835753">
        <w:t>sprawie wymogów ostrożnościowych dla instytucji kredytowych i</w:t>
      </w:r>
      <w:r>
        <w:t> </w:t>
      </w:r>
      <w:r w:rsidRPr="00835753">
        <w:t>firm inwestycyjnych w</w:t>
      </w:r>
      <w:r>
        <w:t> </w:t>
      </w:r>
      <w:r w:rsidRPr="00835753">
        <w:t>odniesieniu do regulacyjnych standardów technicznych dotyczących określenia sposobu obliczania korekt z</w:t>
      </w:r>
      <w:r>
        <w:t> </w:t>
      </w:r>
      <w:r w:rsidRPr="00835753">
        <w:t>tytułu szczególnego i</w:t>
      </w:r>
      <w:r>
        <w:t> </w:t>
      </w:r>
      <w:r w:rsidRPr="00835753">
        <w:t>ogólnego ryzyka kredytowego (Dz.U. L 57 z</w:t>
      </w:r>
      <w:r>
        <w:t> </w:t>
      </w:r>
      <w:r w:rsidRPr="00835753">
        <w:t xml:space="preserve">27.2.2014, </w:t>
      </w:r>
      <w:proofErr w:type="gramStart"/>
      <w:r w:rsidRPr="00835753">
        <w:t>s</w:t>
      </w:r>
      <w:proofErr w:type="gramEnd"/>
      <w:r w:rsidRPr="00835753">
        <w:t>. 3).</w:t>
      </w:r>
    </w:p>
  </w:footnote>
  <w:footnote w:id="13">
    <w:p w14:paraId="0A83D452" w14:textId="282B5152"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DELEGOWANE KOMISJI (UE) 2016/101 z</w:t>
      </w:r>
      <w:r>
        <w:t> </w:t>
      </w:r>
      <w:r w:rsidRPr="00835753">
        <w:t>dnia 26 października 2015 r. uzupełniające rozporządzenie Parlamentu Europejskiego i</w:t>
      </w:r>
      <w:r>
        <w:t> </w:t>
      </w:r>
      <w:r w:rsidRPr="00835753">
        <w:t>Rady (UE) nr 575/2013 w</w:t>
      </w:r>
      <w:r>
        <w:t> </w:t>
      </w:r>
      <w:r w:rsidRPr="00835753">
        <w:t>odniesieniu do regulacyjnych standardów technicznych dotyczących ostrożnej wyceny zgodnie z</w:t>
      </w:r>
      <w:r>
        <w:t> </w:t>
      </w:r>
      <w:r w:rsidRPr="00835753">
        <w:t>art. 105 ust. 14 (Dz.U. L 21 z</w:t>
      </w:r>
      <w:r>
        <w:t> </w:t>
      </w:r>
      <w:r w:rsidRPr="00835753">
        <w:t xml:space="preserve">28.1.2016, </w:t>
      </w:r>
      <w:proofErr w:type="gramStart"/>
      <w:r w:rsidRPr="00835753">
        <w:t>s</w:t>
      </w:r>
      <w:proofErr w:type="gramEnd"/>
      <w:r w:rsidRPr="00835753">
        <w:t>. 54).</w:t>
      </w:r>
    </w:p>
  </w:footnote>
  <w:footnote w:id="14">
    <w:p w14:paraId="334F3E32" w14:textId="5CFA8DDC"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4" w:history="1">
        <w:r w:rsidRPr="00835753">
          <w:rPr>
            <w:rStyle w:val="Hyperlink"/>
          </w:rPr>
          <w:t>Dz.U. L 176 z</w:t>
        </w:r>
        <w:r>
          <w:rPr>
            <w:rStyle w:val="Hyperlink"/>
          </w:rPr>
          <w:t> </w:t>
        </w:r>
        <w:r w:rsidRPr="00835753">
          <w:rPr>
            <w:rStyle w:val="Hyperlink"/>
          </w:rPr>
          <w:t xml:space="preserve">27.6.2013, </w:t>
        </w:r>
        <w:proofErr w:type="gramStart"/>
        <w:r w:rsidRPr="00835753">
          <w:rPr>
            <w:rStyle w:val="Hyperlink"/>
          </w:rPr>
          <w:t>s</w:t>
        </w:r>
        <w:proofErr w:type="gramEnd"/>
        <w:r w:rsidRPr="00835753">
          <w:rPr>
            <w:rStyle w:val="Hyperlink"/>
          </w:rPr>
          <w:t>. 1</w:t>
        </w:r>
      </w:hyperlink>
      <w:r w:rsidRPr="00835753">
        <w:t>).</w:t>
      </w:r>
    </w:p>
    <w:p w14:paraId="6BE73D03" w14:textId="37FE378A" w:rsidR="00835753" w:rsidRPr="00835753" w:rsidRDefault="00835753">
      <w:pPr>
        <w:pStyle w:val="FootnoteText"/>
        <w:rPr>
          <w:rFonts w:cstheme="minorHAnsi"/>
        </w:rPr>
      </w:pPr>
    </w:p>
  </w:footnote>
  <w:footnote w:id="15">
    <w:p w14:paraId="24515CC3" w14:textId="77777777" w:rsidR="00835753" w:rsidRPr="00835753" w:rsidRDefault="00835753" w:rsidP="00346640">
      <w:pPr>
        <w:pStyle w:val="FootnoteText"/>
        <w:rPr>
          <w:rFonts w:cstheme="minorHAnsi"/>
        </w:rPr>
      </w:pPr>
    </w:p>
    <w:p w14:paraId="211C8118" w14:textId="77777777" w:rsidR="00835753" w:rsidRPr="00835753" w:rsidRDefault="00835753" w:rsidP="00346640">
      <w:pPr>
        <w:pStyle w:val="FootnoteText"/>
        <w:rPr>
          <w:rFonts w:cstheme="minorHAnsi"/>
        </w:rPr>
      </w:pPr>
    </w:p>
  </w:footnote>
  <w:footnote w:id="16">
    <w:p w14:paraId="5D9149DD" w14:textId="7A706703"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DYREKTYWA PARLAMENTU EUROPEJSKIEGO I RADY (UE) 2019/879 z</w:t>
      </w:r>
      <w:r>
        <w:t> </w:t>
      </w:r>
      <w:r w:rsidRPr="00835753">
        <w:t>dnia 20 maja 2019 r. zmieniająca dyrektywę 2014/59/UE w</w:t>
      </w:r>
      <w:r>
        <w:t> </w:t>
      </w:r>
      <w:r w:rsidRPr="00835753">
        <w:t>odniesieniu do zdolności do pokrycia strat i</w:t>
      </w:r>
      <w:r>
        <w:t> </w:t>
      </w:r>
      <w:r w:rsidRPr="00835753">
        <w:t>dokapitalizowania instytucji kredytowych i</w:t>
      </w:r>
      <w:r>
        <w:t> </w:t>
      </w:r>
      <w:r w:rsidRPr="00835753">
        <w:t>firm inwestycyjnych oraz dyrektywę 98/26/WE (Dz.U. L 150 z</w:t>
      </w:r>
      <w:r>
        <w:t> </w:t>
      </w:r>
      <w:r w:rsidRPr="00835753">
        <w:t xml:space="preserve">7.6.2019, </w:t>
      </w:r>
      <w:proofErr w:type="gramStart"/>
      <w:r w:rsidRPr="00835753">
        <w:t>s</w:t>
      </w:r>
      <w:proofErr w:type="gramEnd"/>
      <w:r w:rsidRPr="00835753">
        <w:t>. 296).</w:t>
      </w:r>
    </w:p>
  </w:footnote>
  <w:footnote w:id="17">
    <w:p w14:paraId="0E03FE55" w14:textId="32DCF72D"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5" w:history="1">
        <w:r w:rsidRPr="00835753">
          <w:rPr>
            <w:rStyle w:val="Hyperlink"/>
          </w:rPr>
          <w:t>Dz.U. L 176 z</w:t>
        </w:r>
        <w:r>
          <w:rPr>
            <w:rStyle w:val="Hyperlink"/>
          </w:rPr>
          <w:t> </w:t>
        </w:r>
        <w:r w:rsidRPr="00835753">
          <w:rPr>
            <w:rStyle w:val="Hyperlink"/>
          </w:rPr>
          <w:t xml:space="preserve">27.6.2013, </w:t>
        </w:r>
        <w:proofErr w:type="gramStart"/>
        <w:r w:rsidRPr="00835753">
          <w:rPr>
            <w:rStyle w:val="Hyperlink"/>
          </w:rPr>
          <w:t>s</w:t>
        </w:r>
        <w:proofErr w:type="gramEnd"/>
        <w:r w:rsidRPr="00835753">
          <w:rPr>
            <w:rStyle w:val="Hyperlink"/>
          </w:rPr>
          <w:t>. 1</w:t>
        </w:r>
      </w:hyperlink>
      <w:r w:rsidRPr="00835753">
        <w:t>).</w:t>
      </w:r>
    </w:p>
  </w:footnote>
  <w:footnote w:id="18">
    <w:p w14:paraId="4A40AE56" w14:textId="65D475A3"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DYREKTYWA PARLAMENTU EUROPEJSKIEGO I RADY 2013/36/UE z</w:t>
      </w:r>
      <w:r>
        <w:t> </w:t>
      </w:r>
      <w:r w:rsidRPr="00835753">
        <w:t>dnia 26 czerwca 2013 r. w</w:t>
      </w:r>
      <w:r>
        <w:t> </w:t>
      </w:r>
      <w:r w:rsidRPr="00835753">
        <w:t>sprawie warunków dopuszczenia instytucji kredytowych do działalności oraz nadzoru ostrożnościowego nad instytucjami kredytowymi i</w:t>
      </w:r>
      <w:r>
        <w:t> </w:t>
      </w:r>
      <w:r w:rsidRPr="00835753">
        <w:t>firmami inwestycyjnymi, zmieniająca dyrektywę 2002/87/WE i</w:t>
      </w:r>
      <w:r>
        <w:t> </w:t>
      </w:r>
      <w:r w:rsidRPr="00835753">
        <w:t>uchylająca dyrektywy 2006/48/WE oraz 2006/49/WE (Dz.U. L 176 z</w:t>
      </w:r>
      <w:r>
        <w:t> </w:t>
      </w:r>
      <w:r w:rsidRPr="00835753">
        <w:t xml:space="preserve">27.6.2013, </w:t>
      </w:r>
      <w:proofErr w:type="gramStart"/>
      <w:r w:rsidRPr="00835753">
        <w:t>s</w:t>
      </w:r>
      <w:proofErr w:type="gramEnd"/>
      <w:r w:rsidRPr="00835753">
        <w:t>. 338).</w:t>
      </w:r>
    </w:p>
  </w:footnote>
  <w:footnote w:id="19">
    <w:p w14:paraId="2E6D0092" w14:textId="1F28CEF9"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DELEGOWANE KOMISJI (UE) nr 1152/2014 z</w:t>
      </w:r>
      <w:r>
        <w:t> </w:t>
      </w:r>
      <w:r w:rsidRPr="00835753">
        <w:t>dnia 4 czerwca 2014 r. uzupełniające dyrektywę Parlamentu Europejskiego i</w:t>
      </w:r>
      <w:r>
        <w:t> </w:t>
      </w:r>
      <w:r w:rsidRPr="00835753">
        <w:t>Rady 2013/36/UE w</w:t>
      </w:r>
      <w:r>
        <w:t> </w:t>
      </w:r>
      <w:r w:rsidRPr="00835753">
        <w:t>odniesieniu do regulacyjnych standardów technicznych dotyczących ustalania lokalizacji geograficznej odnośnych ekspozycji kredytowych na potrzeby obliczania specyficznych dla instytucji wskaźników bufora antycyklicznego (Dz.U. L 309 z</w:t>
      </w:r>
      <w:r>
        <w:t> </w:t>
      </w:r>
      <w:r w:rsidRPr="00835753">
        <w:t xml:space="preserve">30.10.2014, </w:t>
      </w:r>
      <w:proofErr w:type="gramStart"/>
      <w:r w:rsidRPr="00835753">
        <w:t>s</w:t>
      </w:r>
      <w:proofErr w:type="gramEnd"/>
      <w:r w:rsidRPr="00835753">
        <w:t>. 5).</w:t>
      </w:r>
    </w:p>
  </w:footnote>
  <w:footnote w:id="20">
    <w:p w14:paraId="06491F87" w14:textId="61F31186"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6" w:history="1">
        <w:r w:rsidRPr="00835753">
          <w:rPr>
            <w:rStyle w:val="Hyperlink"/>
          </w:rPr>
          <w:t>Dz.U. L 176 z</w:t>
        </w:r>
        <w:r>
          <w:rPr>
            <w:rStyle w:val="Hyperlink"/>
          </w:rPr>
          <w:t> </w:t>
        </w:r>
        <w:r w:rsidRPr="00835753">
          <w:rPr>
            <w:rStyle w:val="Hyperlink"/>
          </w:rPr>
          <w:t xml:space="preserve">27.6.2013, </w:t>
        </w:r>
        <w:proofErr w:type="gramStart"/>
        <w:r w:rsidRPr="00835753">
          <w:rPr>
            <w:rStyle w:val="Hyperlink"/>
          </w:rPr>
          <w:t>s</w:t>
        </w:r>
        <w:proofErr w:type="gramEnd"/>
        <w:r w:rsidRPr="00835753">
          <w:rPr>
            <w:rStyle w:val="Hyperlink"/>
          </w:rPr>
          <w:t>. 1</w:t>
        </w:r>
      </w:hyperlink>
      <w:r w:rsidRPr="00835753">
        <w:t>).</w:t>
      </w:r>
    </w:p>
  </w:footnote>
  <w:footnote w:id="21">
    <w:p w14:paraId="60C78B1A" w14:textId="7BECF716"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7" w:history="1">
        <w:r w:rsidRPr="00835753">
          <w:rPr>
            <w:rStyle w:val="Hyperlink"/>
          </w:rPr>
          <w:t>Dz.U. L 176 z</w:t>
        </w:r>
        <w:r>
          <w:rPr>
            <w:rStyle w:val="Hyperlink"/>
          </w:rPr>
          <w:t> </w:t>
        </w:r>
        <w:r w:rsidRPr="00835753">
          <w:rPr>
            <w:rStyle w:val="Hyperlink"/>
          </w:rPr>
          <w:t xml:space="preserve">27.6.2013, </w:t>
        </w:r>
        <w:proofErr w:type="gramStart"/>
        <w:r w:rsidRPr="00835753">
          <w:rPr>
            <w:rStyle w:val="Hyperlink"/>
          </w:rPr>
          <w:t>s</w:t>
        </w:r>
        <w:proofErr w:type="gramEnd"/>
        <w:r w:rsidRPr="00835753">
          <w:rPr>
            <w:rStyle w:val="Hyperlink"/>
          </w:rPr>
          <w:t>. 1</w:t>
        </w:r>
      </w:hyperlink>
      <w:r w:rsidRPr="00835753">
        <w:t>).</w:t>
      </w:r>
    </w:p>
  </w:footnote>
  <w:footnote w:id="22">
    <w:p w14:paraId="62305A9B" w14:textId="3C9F27BC"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DELEGOWANE KOMISJI (UE) 2015/61 z</w:t>
      </w:r>
      <w:r>
        <w:t> </w:t>
      </w:r>
      <w:r w:rsidRPr="00835753">
        <w:t>dnia 10 października 2014 r. uzupełniające rozporządzenie Parlamentu Europejskiego i</w:t>
      </w:r>
      <w:r>
        <w:t> </w:t>
      </w:r>
      <w:r w:rsidRPr="00835753">
        <w:t>Rady (UE) nr 575/2013 w</w:t>
      </w:r>
      <w:r>
        <w:t> </w:t>
      </w:r>
      <w:r w:rsidRPr="00835753">
        <w:t>odniesieniu do wymogu pokrycia wypływów netto dla instytucji kredytowych (Dz.U. L 11 z</w:t>
      </w:r>
      <w:r>
        <w:t> </w:t>
      </w:r>
      <w:r w:rsidRPr="00835753">
        <w:t xml:space="preserve">17.1.2015, </w:t>
      </w:r>
      <w:proofErr w:type="gramStart"/>
      <w:r w:rsidRPr="00835753">
        <w:t>s</w:t>
      </w:r>
      <w:proofErr w:type="gramEnd"/>
      <w:r w:rsidRPr="00835753">
        <w:t xml:space="preserve">. 1). </w:t>
      </w:r>
    </w:p>
  </w:footnote>
  <w:footnote w:id="23">
    <w:p w14:paraId="7410D74E" w14:textId="59F2A3E8"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DYREKTYWA 94/19/WE PARLAMENTU EUROPEJSKIEGO I RADY z</w:t>
      </w:r>
      <w:r>
        <w:t> </w:t>
      </w:r>
      <w:r w:rsidRPr="00835753">
        <w:t>dnia 30 maja 1994 r. w</w:t>
      </w:r>
      <w:r>
        <w:t> </w:t>
      </w:r>
      <w:r w:rsidRPr="00835753">
        <w:t>sprawie systemów gwarancji depozytów (Dz.U. L 135 z</w:t>
      </w:r>
      <w:r>
        <w:t> </w:t>
      </w:r>
      <w:r w:rsidRPr="00835753">
        <w:t xml:space="preserve">31.5.1994, </w:t>
      </w:r>
      <w:proofErr w:type="gramStart"/>
      <w:r w:rsidRPr="00835753">
        <w:t>s</w:t>
      </w:r>
      <w:proofErr w:type="gramEnd"/>
      <w:r w:rsidRPr="00835753">
        <w:t>. 5).</w:t>
      </w:r>
    </w:p>
  </w:footnote>
  <w:footnote w:id="24">
    <w:p w14:paraId="4520B3DC" w14:textId="0A985A3C"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DYREKTYWA PARLAMENTU EUROPEJSKIEGO I RADY 2014/49/UE z</w:t>
      </w:r>
      <w:r>
        <w:t> </w:t>
      </w:r>
      <w:r w:rsidRPr="00835753">
        <w:t>dnia 16 kwietnia 2014 r. w</w:t>
      </w:r>
      <w:r>
        <w:t> </w:t>
      </w:r>
      <w:r w:rsidRPr="00835753">
        <w:t>sprawie systemów gwarancji depozytów (Dz.U. L 173 z</w:t>
      </w:r>
      <w:r>
        <w:t> </w:t>
      </w:r>
      <w:r w:rsidRPr="00835753">
        <w:t xml:space="preserve">12.6.2014, </w:t>
      </w:r>
      <w:proofErr w:type="gramStart"/>
      <w:r w:rsidRPr="00835753">
        <w:t>s</w:t>
      </w:r>
      <w:proofErr w:type="gramEnd"/>
      <w:r w:rsidRPr="00835753">
        <w:t>. 149).</w:t>
      </w:r>
    </w:p>
  </w:footnote>
  <w:footnote w:id="25">
    <w:p w14:paraId="12A0E7C0" w14:textId="71A6CCC5"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DELEGOWANE KOMISJI (UE) 2017/208 z</w:t>
      </w:r>
      <w:r>
        <w:t> </w:t>
      </w:r>
      <w:r w:rsidRPr="00835753">
        <w:t>dnia 31 października 2016 r. uzupełniające rozporządzenie Parlamentu Europejskiego i</w:t>
      </w:r>
      <w:r>
        <w:t> </w:t>
      </w:r>
      <w:r w:rsidRPr="00835753">
        <w:t>Rady (UE) nr 575/2013 w</w:t>
      </w:r>
      <w:r>
        <w:t> </w:t>
      </w:r>
      <w:r w:rsidRPr="00835753">
        <w:t>odniesieniu do regulacyjnych standardów technicznych dotyczących dodatkowych wypływów płynności odpowiadających potrzebom w</w:t>
      </w:r>
      <w:r>
        <w:t> </w:t>
      </w:r>
      <w:r w:rsidRPr="00835753">
        <w:t>zakresie zabezpieczenia wynikającym z</w:t>
      </w:r>
      <w:r>
        <w:t> </w:t>
      </w:r>
      <w:r w:rsidRPr="00835753">
        <w:t>wpływu scenariusza niekorzystnych warunków rynkowych na operacje instytucji w</w:t>
      </w:r>
      <w:r>
        <w:t> </w:t>
      </w:r>
      <w:r w:rsidRPr="00835753">
        <w:t>ramach transakcji na instrumentach pochodnych (Dz.U. L 33 z</w:t>
      </w:r>
      <w:r>
        <w:t> </w:t>
      </w:r>
      <w:r w:rsidRPr="00835753">
        <w:t xml:space="preserve">8.2.2017, </w:t>
      </w:r>
      <w:proofErr w:type="gramStart"/>
      <w:r w:rsidRPr="00835753">
        <w:t>s</w:t>
      </w:r>
      <w:proofErr w:type="gramEnd"/>
      <w:r w:rsidRPr="00835753">
        <w:t>. 14).</w:t>
      </w:r>
    </w:p>
  </w:footnote>
  <w:footnote w:id="26">
    <w:p w14:paraId="41E768A6" w14:textId="3EF3B9E6"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WYKONAWCZE KOMISJI (UE) nr 680/2014 z</w:t>
      </w:r>
      <w:r>
        <w:t> </w:t>
      </w:r>
      <w:r w:rsidRPr="00835753">
        <w:t>dnia 16 kwietnia 2014 r. ustanawiające wykonawcze standardy techniczne dotyczące sprawozdawczości nadzorczej instytucji zgodnie z</w:t>
      </w:r>
      <w:r>
        <w:t> </w:t>
      </w:r>
      <w:r w:rsidRPr="00835753">
        <w:t>rozporządzeniem Parlamentu Europejskiego i</w:t>
      </w:r>
      <w:r>
        <w:t> </w:t>
      </w:r>
      <w:r w:rsidRPr="00835753">
        <w:t>Rady (UE) nr 575/2013 (Dz.U. L 191 z</w:t>
      </w:r>
      <w:r>
        <w:t> </w:t>
      </w:r>
      <w:r w:rsidRPr="00835753">
        <w:t xml:space="preserve">28.6.2014, </w:t>
      </w:r>
      <w:proofErr w:type="gramStart"/>
      <w:r w:rsidRPr="00835753">
        <w:t>s</w:t>
      </w:r>
      <w:proofErr w:type="gramEnd"/>
      <w:r w:rsidRPr="00835753">
        <w:t>. 1).</w:t>
      </w:r>
    </w:p>
  </w:footnote>
  <w:footnote w:id="27">
    <w:p w14:paraId="65A66F1C" w14:textId="16D84A4E"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DYREKTYWA PARLAMENTU EUROPEJSKIEGO I RADY 2009/65/WE z</w:t>
      </w:r>
      <w:r>
        <w:t> </w:t>
      </w:r>
      <w:r w:rsidRPr="00835753">
        <w:t>dnia 13 lipca 2009 r. w</w:t>
      </w:r>
      <w:r>
        <w:t> </w:t>
      </w:r>
      <w:r w:rsidRPr="00835753">
        <w:t>sprawie koordynacji przepisów ustawowych, wykonawczych i</w:t>
      </w:r>
      <w:r>
        <w:t> </w:t>
      </w:r>
      <w:r w:rsidRPr="00835753">
        <w:t>administracyjnych odnoszących się do przedsiębiorstw zbiorowego inwestowania w</w:t>
      </w:r>
      <w:r>
        <w:t> </w:t>
      </w:r>
      <w:r w:rsidRPr="00835753">
        <w:t>zbywalne papiery wartościowe (UCITS) (Dz.U. L 302 z</w:t>
      </w:r>
      <w:r>
        <w:t> </w:t>
      </w:r>
      <w:r w:rsidRPr="00835753">
        <w:t xml:space="preserve">17.11.2009, </w:t>
      </w:r>
      <w:proofErr w:type="gramStart"/>
      <w:r w:rsidRPr="00835753">
        <w:t>s</w:t>
      </w:r>
      <w:proofErr w:type="gramEnd"/>
      <w:r w:rsidRPr="00835753">
        <w:t>. 32).</w:t>
      </w:r>
    </w:p>
  </w:footnote>
  <w:footnote w:id="28">
    <w:p w14:paraId="1E2B4845" w14:textId="053BFE62"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8" w:history="1">
        <w:r w:rsidRPr="00835753">
          <w:rPr>
            <w:rStyle w:val="Hyperlink"/>
          </w:rPr>
          <w:t>Dz.U. L 176 z</w:t>
        </w:r>
        <w:r>
          <w:rPr>
            <w:rStyle w:val="Hyperlink"/>
          </w:rPr>
          <w:t> </w:t>
        </w:r>
        <w:r w:rsidRPr="00835753">
          <w:rPr>
            <w:rStyle w:val="Hyperlink"/>
          </w:rPr>
          <w:t xml:space="preserve">27.6.2013, </w:t>
        </w:r>
        <w:proofErr w:type="gramStart"/>
        <w:r w:rsidRPr="00835753">
          <w:rPr>
            <w:rStyle w:val="Hyperlink"/>
          </w:rPr>
          <w:t>s</w:t>
        </w:r>
        <w:proofErr w:type="gramEnd"/>
        <w:r w:rsidRPr="00835753">
          <w:rPr>
            <w:rStyle w:val="Hyperlink"/>
          </w:rPr>
          <w:t>. 1</w:t>
        </w:r>
      </w:hyperlink>
      <w:r w:rsidRPr="00835753">
        <w:t>).</w:t>
      </w:r>
    </w:p>
  </w:footnote>
  <w:footnote w:id="29">
    <w:p w14:paraId="7D803589" w14:textId="03724FF6"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WYKONAWCZE KOMISJI (UE) nr 680/2014 z</w:t>
      </w:r>
      <w:r>
        <w:t> </w:t>
      </w:r>
      <w:r w:rsidRPr="00835753">
        <w:t>dnia 16 kwietnia 2014 r. ustanawiające wykonawcze standardy techniczne dotyczące sprawozdawczości nadzorczej instytucji zgodnie z</w:t>
      </w:r>
      <w:r>
        <w:t> </w:t>
      </w:r>
      <w:r w:rsidRPr="00835753">
        <w:t>rozporządzeniem Parlamentu Europejskiego i</w:t>
      </w:r>
      <w:r>
        <w:t> </w:t>
      </w:r>
      <w:r w:rsidRPr="00835753">
        <w:t>Rady (UE) nr 575/2013 (Dz.U. L 191 z</w:t>
      </w:r>
      <w:r>
        <w:t> </w:t>
      </w:r>
      <w:r w:rsidRPr="00835753">
        <w:t xml:space="preserve">28.6.2014, </w:t>
      </w:r>
      <w:proofErr w:type="gramStart"/>
      <w:r w:rsidRPr="00835753">
        <w:t>s</w:t>
      </w:r>
      <w:proofErr w:type="gramEnd"/>
      <w:r w:rsidRPr="00835753">
        <w:t>. 1).</w:t>
      </w:r>
    </w:p>
  </w:footnote>
  <w:footnote w:id="30">
    <w:p w14:paraId="3A92CAFF" w14:textId="42CDA12F"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EUROPEJSKIEGO BANKU CENTRALNEGO (UE) nr 1071/2013 z</w:t>
      </w:r>
      <w:r>
        <w:t> </w:t>
      </w:r>
      <w:r w:rsidRPr="00835753">
        <w:t>dnia 24 września 2013 r. dotyczące bilansu sektora monetarnych instytucji finansowych (EBC/2013/33) (Dz.U. L 297 z</w:t>
      </w:r>
      <w:r>
        <w:t> </w:t>
      </w:r>
      <w:r w:rsidRPr="00835753">
        <w:t xml:space="preserve">7.11.2013, </w:t>
      </w:r>
      <w:proofErr w:type="gramStart"/>
      <w:r w:rsidRPr="00835753">
        <w:t>s</w:t>
      </w:r>
      <w:proofErr w:type="gramEnd"/>
      <w:r w:rsidRPr="00835753">
        <w:t>. 1).</w:t>
      </w:r>
    </w:p>
  </w:footnote>
  <w:footnote w:id="31">
    <w:p w14:paraId="2C8266CA" w14:textId="4F079E4B"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DYREKTYWA RADY 86/635/EWG z</w:t>
      </w:r>
      <w:r>
        <w:t> </w:t>
      </w:r>
      <w:r w:rsidRPr="00835753">
        <w:t>dnia 8 grudnia 1986 r. w</w:t>
      </w:r>
      <w:r>
        <w:t> </w:t>
      </w:r>
      <w:r w:rsidRPr="00835753">
        <w:t>sprawie rocznych i</w:t>
      </w:r>
      <w:r>
        <w:t> </w:t>
      </w:r>
      <w:r w:rsidRPr="00835753">
        <w:t>skonsolidowanych sprawozdań finansowych banków i</w:t>
      </w:r>
      <w:r>
        <w:t> </w:t>
      </w:r>
      <w:r w:rsidRPr="00835753">
        <w:t>innych instytucji finansowych (Dz.U. L 372 z</w:t>
      </w:r>
      <w:r>
        <w:t> </w:t>
      </w:r>
      <w:r w:rsidRPr="00835753">
        <w:t xml:space="preserve">31.12.1986, </w:t>
      </w:r>
      <w:proofErr w:type="gramStart"/>
      <w:r w:rsidRPr="00835753">
        <w:t>s</w:t>
      </w:r>
      <w:proofErr w:type="gramEnd"/>
      <w:r w:rsidRPr="00835753">
        <w:t>. 1).</w:t>
      </w:r>
    </w:p>
  </w:footnote>
  <w:footnote w:id="32">
    <w:p w14:paraId="21AE182B" w14:textId="03A10F28"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ZALECENIE EUROPEJSKIEJ RADY DS. RYZYKA SYSTEMOWEGO z</w:t>
      </w:r>
      <w:r>
        <w:t> </w:t>
      </w:r>
      <w:r w:rsidRPr="00835753">
        <w:t>dnia 31 października 2016 r. w</w:t>
      </w:r>
      <w:r>
        <w:t> </w:t>
      </w:r>
      <w:r w:rsidRPr="00835753">
        <w:t>sprawie uzupełniania luk w</w:t>
      </w:r>
      <w:r>
        <w:t> </w:t>
      </w:r>
      <w:r w:rsidRPr="00835753">
        <w:t>danych dotyczących sektora nieruchomości (ERRS/2016/14) (Dz.U. C 31 z</w:t>
      </w:r>
      <w:r>
        <w:t> </w:t>
      </w:r>
      <w:r w:rsidRPr="00835753">
        <w:t xml:space="preserve">31.1.2017, </w:t>
      </w:r>
      <w:proofErr w:type="gramStart"/>
      <w:r w:rsidRPr="00835753">
        <w:t>s</w:t>
      </w:r>
      <w:proofErr w:type="gramEnd"/>
      <w:r w:rsidRPr="00835753">
        <w:t>. 1).</w:t>
      </w:r>
    </w:p>
  </w:footnote>
  <w:footnote w:id="33">
    <w:p w14:paraId="3C3116D6" w14:textId="75A0FB4E"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9" w:history="1">
        <w:r w:rsidRPr="00835753">
          <w:rPr>
            <w:rStyle w:val="Hyperlink"/>
          </w:rPr>
          <w:t>Dz.U. L 176 z</w:t>
        </w:r>
        <w:r>
          <w:rPr>
            <w:rStyle w:val="Hyperlink"/>
          </w:rPr>
          <w:t> </w:t>
        </w:r>
        <w:r w:rsidRPr="00835753">
          <w:rPr>
            <w:rStyle w:val="Hyperlink"/>
          </w:rPr>
          <w:t xml:space="preserve">27.6.2013, </w:t>
        </w:r>
        <w:proofErr w:type="gramStart"/>
        <w:r w:rsidRPr="00835753">
          <w:rPr>
            <w:rStyle w:val="Hyperlink"/>
          </w:rPr>
          <w:t>s</w:t>
        </w:r>
        <w:proofErr w:type="gramEnd"/>
        <w:r w:rsidRPr="00835753">
          <w:rPr>
            <w:rStyle w:val="Hyperlink"/>
          </w:rPr>
          <w:t>. 1</w:t>
        </w:r>
      </w:hyperlink>
      <w:r w:rsidRPr="00835753">
        <w:t>).</w:t>
      </w:r>
    </w:p>
  </w:footnote>
  <w:footnote w:id="34">
    <w:p w14:paraId="0FC5834E" w14:textId="2174C638"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EUROPEJSKIEGO BANKU CENTRALNEGO (UE) nr 1071/2013 z</w:t>
      </w:r>
      <w:r>
        <w:t> </w:t>
      </w:r>
      <w:r w:rsidRPr="00835753">
        <w:t>dnia 24 września 2013 r. dotyczące bilansu sektora monetarnych instytucji finansowych (EBC/2013/33) (Dz.U. L 297 z</w:t>
      </w:r>
      <w:r>
        <w:t> </w:t>
      </w:r>
      <w:r w:rsidRPr="00835753">
        <w:t xml:space="preserve">7.11.2013, </w:t>
      </w:r>
      <w:proofErr w:type="gramStart"/>
      <w:r w:rsidRPr="00835753">
        <w:t>s</w:t>
      </w:r>
      <w:proofErr w:type="gramEnd"/>
      <w:r w:rsidRPr="00835753">
        <w:t>. 1).</w:t>
      </w:r>
    </w:p>
  </w:footnote>
  <w:footnote w:id="35">
    <w:p w14:paraId="274AF186" w14:textId="379A4C95"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WYKONAWCZE KOMISJI (UE) nr 680/2014 z</w:t>
      </w:r>
      <w:r>
        <w:t> </w:t>
      </w:r>
      <w:r w:rsidRPr="00835753">
        <w:t>dnia 16 kwietnia 2014 r. ustanawiające wykonawcze standardy techniczne dotyczące sprawozdawczości nadzorczej instytucji zgodnie z</w:t>
      </w:r>
      <w:r>
        <w:t> </w:t>
      </w:r>
      <w:r w:rsidRPr="00835753">
        <w:t>rozporządzeniem Parlamentu Europejskiego i</w:t>
      </w:r>
      <w:r>
        <w:t> </w:t>
      </w:r>
      <w:r w:rsidRPr="00835753">
        <w:t>Rady (UE) nr 575/2013 (Dz.U. L 191 z</w:t>
      </w:r>
      <w:r>
        <w:t> </w:t>
      </w:r>
      <w:r w:rsidRPr="00835753">
        <w:t xml:space="preserve">28.6.2014, </w:t>
      </w:r>
      <w:proofErr w:type="gramStart"/>
      <w:r w:rsidRPr="00835753">
        <w:t>s</w:t>
      </w:r>
      <w:proofErr w:type="gramEnd"/>
      <w:r w:rsidRPr="00835753">
        <w:t>. 1).</w:t>
      </w:r>
    </w:p>
  </w:footnote>
  <w:footnote w:id="36">
    <w:p w14:paraId="345D93EA" w14:textId="0B0132D9"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10" w:history="1">
        <w:r w:rsidRPr="00835753">
          <w:rPr>
            <w:rStyle w:val="Hyperlink"/>
          </w:rPr>
          <w:t>Dz.U. L 176 z</w:t>
        </w:r>
        <w:r>
          <w:rPr>
            <w:rStyle w:val="Hyperlink"/>
          </w:rPr>
          <w:t> </w:t>
        </w:r>
        <w:r w:rsidRPr="00835753">
          <w:rPr>
            <w:rStyle w:val="Hyperlink"/>
          </w:rPr>
          <w:t xml:space="preserve">27.6.2013, </w:t>
        </w:r>
        <w:proofErr w:type="gramStart"/>
        <w:r w:rsidRPr="00835753">
          <w:rPr>
            <w:rStyle w:val="Hyperlink"/>
          </w:rPr>
          <w:t>s</w:t>
        </w:r>
        <w:proofErr w:type="gramEnd"/>
        <w:r w:rsidRPr="00835753">
          <w:rPr>
            <w:rStyle w:val="Hyperlink"/>
          </w:rPr>
          <w:t>. 1</w:t>
        </w:r>
      </w:hyperlink>
      <w:r w:rsidRPr="00835753">
        <w:t>).</w:t>
      </w:r>
    </w:p>
  </w:footnote>
  <w:footnote w:id="37">
    <w:p w14:paraId="0500421E" w14:textId="3323BEB3"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DELEGOWANE KOMISJI (UE) nr 183/2014 z</w:t>
      </w:r>
      <w:r>
        <w:t> </w:t>
      </w:r>
      <w:r w:rsidRPr="00835753">
        <w:t>dnia 20 grudnia 2013 r. uzupełniające rozporządzenie Parlamentu Europejskiego i</w:t>
      </w:r>
      <w:r>
        <w:t> </w:t>
      </w:r>
      <w:r w:rsidRPr="00835753">
        <w:t>Rady (UE) nr 575/2013 w</w:t>
      </w:r>
      <w:r>
        <w:t> </w:t>
      </w:r>
      <w:r w:rsidRPr="00835753">
        <w:t>sprawie wymogów ostrożnościowych dla instytucji kredytowych i</w:t>
      </w:r>
      <w:r>
        <w:t> </w:t>
      </w:r>
      <w:r w:rsidRPr="00835753">
        <w:t>firm inwestycyjnych w</w:t>
      </w:r>
      <w:r>
        <w:t> </w:t>
      </w:r>
      <w:r w:rsidRPr="00835753">
        <w:t>odniesieniu do regulacyjnych standardów technicznych dotyczących określenia sposobu obliczania korekt z</w:t>
      </w:r>
      <w:r>
        <w:t> </w:t>
      </w:r>
      <w:r w:rsidRPr="00835753">
        <w:t>tytułu szczególnego i</w:t>
      </w:r>
      <w:r>
        <w:t> </w:t>
      </w:r>
      <w:r w:rsidRPr="00835753">
        <w:t>ogólnego ryzyka kredytowego (Dz.U. L 57 z</w:t>
      </w:r>
      <w:r>
        <w:t> </w:t>
      </w:r>
      <w:r w:rsidRPr="00835753">
        <w:t xml:space="preserve">27.2.2014, </w:t>
      </w:r>
      <w:proofErr w:type="gramStart"/>
      <w:r w:rsidRPr="00835753">
        <w:t>s</w:t>
      </w:r>
      <w:proofErr w:type="gramEnd"/>
      <w:r w:rsidRPr="00835753">
        <w:t>. 3).</w:t>
      </w:r>
    </w:p>
  </w:footnote>
  <w:footnote w:id="38">
    <w:p w14:paraId="1BBA1BD5" w14:textId="192EC52C"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11" w:history="1">
        <w:r w:rsidRPr="00835753">
          <w:rPr>
            <w:rStyle w:val="Hyperlink"/>
          </w:rPr>
          <w:t>Dz.U. L 176 z</w:t>
        </w:r>
        <w:r>
          <w:rPr>
            <w:rStyle w:val="Hyperlink"/>
          </w:rPr>
          <w:t> </w:t>
        </w:r>
        <w:r w:rsidRPr="00835753">
          <w:rPr>
            <w:rStyle w:val="Hyperlink"/>
          </w:rPr>
          <w:t xml:space="preserve">27.6.2013, </w:t>
        </w:r>
        <w:proofErr w:type="gramStart"/>
        <w:r w:rsidRPr="00835753">
          <w:rPr>
            <w:rStyle w:val="Hyperlink"/>
          </w:rPr>
          <w:t>s</w:t>
        </w:r>
        <w:proofErr w:type="gramEnd"/>
        <w:r w:rsidRPr="00835753">
          <w:rPr>
            <w:rStyle w:val="Hyperlink"/>
          </w:rPr>
          <w:t>. 1</w:t>
        </w:r>
      </w:hyperlink>
      <w:r w:rsidRPr="00835753">
        <w:t>).</w:t>
      </w:r>
    </w:p>
  </w:footnote>
  <w:footnote w:id="39">
    <w:p w14:paraId="4DCA811C" w14:textId="36184262"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DELEGOWANE KOMISJI (UE) nr 183/2014 z</w:t>
      </w:r>
      <w:r>
        <w:t> </w:t>
      </w:r>
      <w:r w:rsidRPr="00835753">
        <w:t>dnia 20 grudnia 2013 r. uzupełniające rozporządzenie Parlamentu Europejskiego i</w:t>
      </w:r>
      <w:r>
        <w:t> </w:t>
      </w:r>
      <w:r w:rsidRPr="00835753">
        <w:t>Rady (UE) nr 575/2013 w</w:t>
      </w:r>
      <w:r>
        <w:t> </w:t>
      </w:r>
      <w:r w:rsidRPr="00835753">
        <w:t>sprawie wymogów ostrożnościowych dla instytucji kredytowych i</w:t>
      </w:r>
      <w:r>
        <w:t> </w:t>
      </w:r>
      <w:r w:rsidRPr="00835753">
        <w:t>firm inwestycyjnych w</w:t>
      </w:r>
      <w:r>
        <w:t> </w:t>
      </w:r>
      <w:r w:rsidRPr="00835753">
        <w:t>odniesieniu do regulacyjnych standardów technicznych dotyczących określenia sposobu obliczania korekt z</w:t>
      </w:r>
      <w:r>
        <w:t> </w:t>
      </w:r>
      <w:r w:rsidRPr="00835753">
        <w:t>tytułu szczególnego i</w:t>
      </w:r>
      <w:r>
        <w:t> </w:t>
      </w:r>
      <w:r w:rsidRPr="00835753">
        <w:t>ogólnego ryzyka kredytowego (Dz.U. L 57 z</w:t>
      </w:r>
      <w:r>
        <w:t> </w:t>
      </w:r>
      <w:r w:rsidRPr="00835753">
        <w:t xml:space="preserve">27.2.2014, </w:t>
      </w:r>
      <w:proofErr w:type="gramStart"/>
      <w:r w:rsidRPr="00835753">
        <w:t>s</w:t>
      </w:r>
      <w:proofErr w:type="gramEnd"/>
      <w:r w:rsidRPr="00835753">
        <w:t>. 3).</w:t>
      </w:r>
    </w:p>
  </w:footnote>
  <w:footnote w:id="40">
    <w:p w14:paraId="40EFF385" w14:textId="35D2CF5B"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12" w:history="1">
        <w:r w:rsidRPr="00835753">
          <w:rPr>
            <w:rStyle w:val="Hyperlink"/>
          </w:rPr>
          <w:t>Dz.U. L 176 z</w:t>
        </w:r>
        <w:r>
          <w:rPr>
            <w:rStyle w:val="Hyperlink"/>
          </w:rPr>
          <w:t> </w:t>
        </w:r>
        <w:r w:rsidRPr="00835753">
          <w:rPr>
            <w:rStyle w:val="Hyperlink"/>
          </w:rPr>
          <w:t xml:space="preserve">27.6.2013, </w:t>
        </w:r>
        <w:proofErr w:type="gramStart"/>
        <w:r w:rsidRPr="00835753">
          <w:rPr>
            <w:rStyle w:val="Hyperlink"/>
          </w:rPr>
          <w:t>s</w:t>
        </w:r>
        <w:proofErr w:type="gramEnd"/>
        <w:r w:rsidRPr="00835753">
          <w:rPr>
            <w:rStyle w:val="Hyperlink"/>
          </w:rPr>
          <w:t>. 1</w:t>
        </w:r>
      </w:hyperlink>
      <w:r w:rsidRPr="00835753">
        <w:t>).</w:t>
      </w:r>
    </w:p>
    <w:p w14:paraId="5A21779D" w14:textId="65905555" w:rsidR="00835753" w:rsidRPr="00835753" w:rsidRDefault="00835753">
      <w:pPr>
        <w:pStyle w:val="FootnoteText"/>
        <w:rPr>
          <w:rFonts w:cstheme="minorHAnsi"/>
        </w:rPr>
      </w:pPr>
    </w:p>
  </w:footnote>
  <w:footnote w:id="41">
    <w:p w14:paraId="50C71071" w14:textId="33D20695"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13" w:history="1">
        <w:r w:rsidRPr="00835753">
          <w:rPr>
            <w:rStyle w:val="Hyperlink"/>
          </w:rPr>
          <w:t>Dz.U. L 176 z</w:t>
        </w:r>
        <w:r>
          <w:rPr>
            <w:rStyle w:val="Hyperlink"/>
          </w:rPr>
          <w:t> </w:t>
        </w:r>
        <w:r w:rsidRPr="00835753">
          <w:rPr>
            <w:rStyle w:val="Hyperlink"/>
          </w:rPr>
          <w:t xml:space="preserve">27.6.2013, </w:t>
        </w:r>
        <w:proofErr w:type="gramStart"/>
        <w:r w:rsidRPr="00835753">
          <w:rPr>
            <w:rStyle w:val="Hyperlink"/>
          </w:rPr>
          <w:t>s</w:t>
        </w:r>
        <w:proofErr w:type="gramEnd"/>
        <w:r w:rsidRPr="00835753">
          <w:rPr>
            <w:rStyle w:val="Hyperlink"/>
          </w:rPr>
          <w:t>. 1</w:t>
        </w:r>
      </w:hyperlink>
      <w:r w:rsidRPr="00835753">
        <w:t>).</w:t>
      </w:r>
    </w:p>
    <w:p w14:paraId="1354A9D5" w14:textId="1DB9F003" w:rsidR="00835753" w:rsidRPr="00835753" w:rsidRDefault="00835753">
      <w:pPr>
        <w:pStyle w:val="FootnoteText"/>
        <w:rPr>
          <w:rFonts w:cstheme="minorHAnsi"/>
        </w:rPr>
      </w:pPr>
    </w:p>
  </w:footnote>
  <w:footnote w:id="42">
    <w:p w14:paraId="5E5D6FE4" w14:textId="58865151"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14" w:history="1">
        <w:r w:rsidRPr="00835753">
          <w:rPr>
            <w:rStyle w:val="Hyperlink"/>
          </w:rPr>
          <w:t>Dz.U. L 176 z</w:t>
        </w:r>
        <w:r>
          <w:rPr>
            <w:rStyle w:val="Hyperlink"/>
          </w:rPr>
          <w:t> </w:t>
        </w:r>
        <w:r w:rsidRPr="00835753">
          <w:rPr>
            <w:rStyle w:val="Hyperlink"/>
          </w:rPr>
          <w:t xml:space="preserve">27.6.2013, </w:t>
        </w:r>
        <w:proofErr w:type="gramStart"/>
        <w:r w:rsidRPr="00835753">
          <w:rPr>
            <w:rStyle w:val="Hyperlink"/>
          </w:rPr>
          <w:t>s</w:t>
        </w:r>
        <w:proofErr w:type="gramEnd"/>
        <w:r w:rsidRPr="00835753">
          <w:rPr>
            <w:rStyle w:val="Hyperlink"/>
          </w:rPr>
          <w:t>. 1</w:t>
        </w:r>
      </w:hyperlink>
      <w:r w:rsidRPr="00835753">
        <w:t>).</w:t>
      </w:r>
    </w:p>
    <w:p w14:paraId="6D017CEF" w14:textId="140A98B1" w:rsidR="00835753" w:rsidRPr="00835753" w:rsidRDefault="00835753">
      <w:pPr>
        <w:pStyle w:val="FootnoteText"/>
        <w:rPr>
          <w:rFonts w:cstheme="minorHAnsi"/>
        </w:rPr>
      </w:pPr>
    </w:p>
  </w:footnote>
  <w:footnote w:id="43">
    <w:p w14:paraId="6D22D42F" w14:textId="305AA7DB"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PARLAMENTU EUROPEJSKIEGO I RADY (UE) 2017/2402 z</w:t>
      </w:r>
      <w:r>
        <w:t> </w:t>
      </w:r>
      <w:r w:rsidRPr="00835753">
        <w:t>dnia 12 grudnia 2017 r. w</w:t>
      </w:r>
      <w:r>
        <w:t> </w:t>
      </w:r>
      <w:r w:rsidRPr="00835753">
        <w:t>sprawie ustanowienia ogólnych ram dla sekurytyzacji oraz utworzenia szczególnych ram dla prostych, przejrzystych i</w:t>
      </w:r>
      <w:r>
        <w:t> </w:t>
      </w:r>
      <w:r w:rsidRPr="00835753">
        <w:t>standardowych sekurytyzacji, a</w:t>
      </w:r>
      <w:r>
        <w:t> </w:t>
      </w:r>
      <w:r w:rsidRPr="00835753">
        <w:t>także zmieniające dyrektywy 2009/65/WE, 2009/138/WE i</w:t>
      </w:r>
      <w:r>
        <w:t> </w:t>
      </w:r>
      <w:r w:rsidRPr="00835753">
        <w:t>2011/61/UE oraz rozporządzenia (WE) nr 1060/2009 i (UE) nr 648/2012 (Dz.U. L 347 z</w:t>
      </w:r>
      <w:r>
        <w:t> </w:t>
      </w:r>
      <w:r w:rsidRPr="00835753">
        <w:t xml:space="preserve">28.12.2017, </w:t>
      </w:r>
      <w:proofErr w:type="gramStart"/>
      <w:r w:rsidRPr="00835753">
        <w:t>s</w:t>
      </w:r>
      <w:proofErr w:type="gramEnd"/>
      <w:r w:rsidRPr="00835753">
        <w:t>. 35).</w:t>
      </w:r>
    </w:p>
  </w:footnote>
  <w:footnote w:id="44">
    <w:p w14:paraId="1C33D3DE" w14:textId="14CD2BFC"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15" w:history="1">
        <w:r w:rsidRPr="00835753">
          <w:rPr>
            <w:rStyle w:val="Hyperlink"/>
          </w:rPr>
          <w:t>Dz.U. L 176 z</w:t>
        </w:r>
        <w:r>
          <w:rPr>
            <w:rStyle w:val="Hyperlink"/>
          </w:rPr>
          <w:t> </w:t>
        </w:r>
        <w:r w:rsidRPr="00835753">
          <w:rPr>
            <w:rStyle w:val="Hyperlink"/>
          </w:rPr>
          <w:t xml:space="preserve">27.6.2013, </w:t>
        </w:r>
        <w:proofErr w:type="gramStart"/>
        <w:r w:rsidRPr="00835753">
          <w:rPr>
            <w:rStyle w:val="Hyperlink"/>
          </w:rPr>
          <w:t>s</w:t>
        </w:r>
        <w:proofErr w:type="gramEnd"/>
        <w:r w:rsidRPr="00835753">
          <w:rPr>
            <w:rStyle w:val="Hyperlink"/>
          </w:rPr>
          <w:t>. 1</w:t>
        </w:r>
      </w:hyperlink>
      <w:r w:rsidRPr="00835753">
        <w:t>).</w:t>
      </w:r>
    </w:p>
    <w:p w14:paraId="0B53A160" w14:textId="77777777" w:rsidR="00835753" w:rsidRPr="00835753" w:rsidRDefault="00835753">
      <w:pPr>
        <w:pStyle w:val="FootnoteText"/>
        <w:rPr>
          <w:rFonts w:cstheme="minorHAnsi"/>
        </w:rPr>
      </w:pPr>
    </w:p>
  </w:footnote>
  <w:footnote w:id="45">
    <w:p w14:paraId="22629C6B" w14:textId="361EA361"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Zgodnie z</w:t>
      </w:r>
      <w:r>
        <w:t> </w:t>
      </w:r>
      <w:r w:rsidRPr="00835753">
        <w:t>definicją zawartą w ROZPORZĄDZENIU DELEGOWANYM KOMISJI (UE) nr 528/2014 z</w:t>
      </w:r>
      <w:r>
        <w:t> </w:t>
      </w:r>
      <w:r w:rsidRPr="00835753">
        <w:t>dnia 12 marca 2014 r. uzupełniającym rozporządzenie Parlamentu Europejskiego i</w:t>
      </w:r>
      <w:r>
        <w:t> </w:t>
      </w:r>
      <w:r w:rsidRPr="00835753">
        <w:t>Rady (UE) nr 575/2013 w</w:t>
      </w:r>
      <w:r>
        <w:t> </w:t>
      </w:r>
      <w:r w:rsidRPr="00835753">
        <w:t>odniesieniu do regulacyjnych standardów technicznych dotyczących ryzyka związanego z</w:t>
      </w:r>
      <w:r>
        <w:t> </w:t>
      </w:r>
      <w:r w:rsidRPr="00835753">
        <w:t>opcjami innego niż ryzyko delta w</w:t>
      </w:r>
      <w:r>
        <w:t> </w:t>
      </w:r>
      <w:r w:rsidRPr="00835753">
        <w:t>ramach standardowego podejścia do ryzyka rynkowego (Dz.U. L 148 z</w:t>
      </w:r>
      <w:r>
        <w:t> </w:t>
      </w:r>
      <w:r w:rsidRPr="00835753">
        <w:t xml:space="preserve">20.5.2014, </w:t>
      </w:r>
      <w:proofErr w:type="gramStart"/>
      <w:r w:rsidRPr="00835753">
        <w:t>s</w:t>
      </w:r>
      <w:proofErr w:type="gramEnd"/>
      <w:r w:rsidRPr="00835753">
        <w:t>. 29).</w:t>
      </w:r>
    </w:p>
  </w:footnote>
  <w:footnote w:id="46">
    <w:p w14:paraId="3C1785B8" w14:textId="3A8A6101"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Zgodnie z</w:t>
      </w:r>
      <w:r>
        <w:t> </w:t>
      </w:r>
      <w:r w:rsidRPr="00835753">
        <w:t>definicją zawartą w ROZPORZĄDZENIU DELEGOWANYM KOMISJI (UE) nr 528/2014 z</w:t>
      </w:r>
      <w:r>
        <w:t> </w:t>
      </w:r>
      <w:r w:rsidRPr="00835753">
        <w:t>dnia 12 marca 2014 r. uzupełniającym rozporządzenie Parlamentu Europejskiego i</w:t>
      </w:r>
      <w:r>
        <w:t> </w:t>
      </w:r>
      <w:r w:rsidRPr="00835753">
        <w:t>Rady (UE) nr 575/2013 w</w:t>
      </w:r>
      <w:r>
        <w:t> </w:t>
      </w:r>
      <w:r w:rsidRPr="00835753">
        <w:t>odniesieniu do regulacyjnych standardów technicznych dotyczących ryzyka związanego z</w:t>
      </w:r>
      <w:r>
        <w:t> </w:t>
      </w:r>
      <w:r w:rsidRPr="00835753">
        <w:t>opcjami innego niż ryzyko delta w</w:t>
      </w:r>
      <w:r>
        <w:t> </w:t>
      </w:r>
      <w:r w:rsidRPr="00835753">
        <w:t>ramach standardowego podejścia do ryzyka rynkowego (Dz.U. L 148 z</w:t>
      </w:r>
      <w:r>
        <w:t> </w:t>
      </w:r>
      <w:r w:rsidRPr="00835753">
        <w:t xml:space="preserve">20.5.2014, </w:t>
      </w:r>
      <w:proofErr w:type="gramStart"/>
      <w:r w:rsidRPr="00835753">
        <w:t>s</w:t>
      </w:r>
      <w:proofErr w:type="gramEnd"/>
      <w:r w:rsidRPr="00835753">
        <w:t>. 29).</w:t>
      </w:r>
    </w:p>
  </w:footnote>
  <w:footnote w:id="47">
    <w:p w14:paraId="6D71BD4E" w14:textId="7FEFEADB"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Zgodnie z</w:t>
      </w:r>
      <w:r>
        <w:t> </w:t>
      </w:r>
      <w:r w:rsidRPr="00835753">
        <w:t>definicją zawartą w ROZPORZĄDZENIU DELEGOWANYM KOMISJI (UE) nr 528/2014 z</w:t>
      </w:r>
      <w:r>
        <w:t> </w:t>
      </w:r>
      <w:r w:rsidRPr="00835753">
        <w:t>dnia 12 marca 2014 r. uzupełniającym rozporządzenie Parlamentu Europejskiego i</w:t>
      </w:r>
      <w:r>
        <w:t> </w:t>
      </w:r>
      <w:r w:rsidRPr="00835753">
        <w:t>Rady (UE) nr 575/2013 w</w:t>
      </w:r>
      <w:r>
        <w:t> </w:t>
      </w:r>
      <w:r w:rsidRPr="00835753">
        <w:t>odniesieniu do regulacyjnych standardów technicznych dotyczących ryzyka związanego z</w:t>
      </w:r>
      <w:r>
        <w:t> </w:t>
      </w:r>
      <w:r w:rsidRPr="00835753">
        <w:t>opcjami innego niż ryzyko delta w</w:t>
      </w:r>
      <w:r>
        <w:t> </w:t>
      </w:r>
      <w:r w:rsidRPr="00835753">
        <w:t>ramach standardowego podejścia do ryzyka rynkowego (Dz.U. L 148 z</w:t>
      </w:r>
      <w:r>
        <w:t> </w:t>
      </w:r>
      <w:r w:rsidRPr="00835753">
        <w:t xml:space="preserve">20.5.2014, </w:t>
      </w:r>
      <w:proofErr w:type="gramStart"/>
      <w:r w:rsidRPr="00835753">
        <w:t>s</w:t>
      </w:r>
      <w:proofErr w:type="gramEnd"/>
      <w:r w:rsidRPr="00835753">
        <w:t>. 29).</w:t>
      </w:r>
    </w:p>
  </w:footnote>
  <w:footnote w:id="48">
    <w:p w14:paraId="1D6CBC8D" w14:textId="49E02B8A"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Zob. rysunek w</w:t>
      </w:r>
      <w:r>
        <w:t> </w:t>
      </w:r>
      <w:r w:rsidRPr="00835753">
        <w:t xml:space="preserve">publikacji Bazylejskiego Komitetu Nadzoru Bankowego Banku Rozrachunków Międzynarodowych </w:t>
      </w:r>
      <w:r w:rsidRPr="00835753">
        <w:rPr>
          <w:i/>
        </w:rPr>
        <w:t>DIS</w:t>
      </w:r>
      <w:r w:rsidRPr="00835753">
        <w:t xml:space="preserve"> </w:t>
      </w:r>
      <w:r w:rsidRPr="00835753">
        <w:rPr>
          <w:i/>
        </w:rPr>
        <w:t>Disclosure requirements DIS 99 Worked examples</w:t>
      </w:r>
      <w:r w:rsidRPr="00835753">
        <w:t>, grudzień 2019 r.</w:t>
      </w:r>
    </w:p>
    <w:p w14:paraId="065D9CE7" w14:textId="17A04201" w:rsidR="00835753" w:rsidRPr="00835753" w:rsidRDefault="00835753">
      <w:pPr>
        <w:pStyle w:val="FootnoteText"/>
        <w:rPr>
          <w:rFonts w:cstheme="minorHAnsi"/>
        </w:rPr>
      </w:pPr>
    </w:p>
  </w:footnote>
  <w:footnote w:id="49">
    <w:p w14:paraId="7B9D7DCE" w14:textId="1C126DF1"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16" w:history="1">
        <w:r w:rsidRPr="00835753">
          <w:rPr>
            <w:rStyle w:val="Hyperlink"/>
          </w:rPr>
          <w:t>Dz.U. L 176 z</w:t>
        </w:r>
        <w:r>
          <w:rPr>
            <w:rStyle w:val="Hyperlink"/>
          </w:rPr>
          <w:t> </w:t>
        </w:r>
        <w:r w:rsidRPr="00835753">
          <w:rPr>
            <w:rStyle w:val="Hyperlink"/>
          </w:rPr>
          <w:t xml:space="preserve">27.6.2013, </w:t>
        </w:r>
        <w:proofErr w:type="gramStart"/>
        <w:r w:rsidRPr="00835753">
          <w:rPr>
            <w:rStyle w:val="Hyperlink"/>
          </w:rPr>
          <w:t>s</w:t>
        </w:r>
        <w:proofErr w:type="gramEnd"/>
        <w:r w:rsidRPr="00835753">
          <w:rPr>
            <w:rStyle w:val="Hyperlink"/>
          </w:rPr>
          <w:t>. 1</w:t>
        </w:r>
      </w:hyperlink>
      <w:r w:rsidRPr="00835753">
        <w:t>).</w:t>
      </w:r>
    </w:p>
    <w:p w14:paraId="013701B3" w14:textId="2DF11389" w:rsidR="00835753" w:rsidRPr="00835753" w:rsidRDefault="00835753">
      <w:pPr>
        <w:pStyle w:val="FootnoteText"/>
        <w:rPr>
          <w:rFonts w:cstheme="minorHAnsi"/>
        </w:rPr>
      </w:pPr>
    </w:p>
  </w:footnote>
  <w:footnote w:id="50">
    <w:p w14:paraId="11FA91EC" w14:textId="480A9818"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17" w:history="1">
        <w:r w:rsidRPr="00835753">
          <w:rPr>
            <w:rStyle w:val="Hyperlink"/>
          </w:rPr>
          <w:t>Dz.U. L 176 z</w:t>
        </w:r>
        <w:r>
          <w:rPr>
            <w:rStyle w:val="Hyperlink"/>
          </w:rPr>
          <w:t> </w:t>
        </w:r>
        <w:r w:rsidRPr="00835753">
          <w:rPr>
            <w:rStyle w:val="Hyperlink"/>
          </w:rPr>
          <w:t xml:space="preserve">27.6.2013, </w:t>
        </w:r>
        <w:proofErr w:type="gramStart"/>
        <w:r w:rsidRPr="00835753">
          <w:rPr>
            <w:rStyle w:val="Hyperlink"/>
          </w:rPr>
          <w:t>s</w:t>
        </w:r>
        <w:proofErr w:type="gramEnd"/>
        <w:r w:rsidRPr="00835753">
          <w:rPr>
            <w:rStyle w:val="Hyperlink"/>
          </w:rPr>
          <w:t>. 1</w:t>
        </w:r>
      </w:hyperlink>
      <w:r w:rsidRPr="00835753">
        <w:t>).</w:t>
      </w:r>
    </w:p>
    <w:p w14:paraId="21C8047D" w14:textId="443E7EDB" w:rsidR="00835753" w:rsidRPr="00835753" w:rsidRDefault="00835753">
      <w:pPr>
        <w:pStyle w:val="FootnoteText"/>
        <w:rPr>
          <w:rFonts w:cstheme="minorHAnsi"/>
        </w:rPr>
      </w:pPr>
    </w:p>
  </w:footnote>
  <w:footnote w:id="51">
    <w:p w14:paraId="1160ECDB" w14:textId="585624C1"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DYREKTYWA PARLAMENTU EUROPEJSKIEGO I RADY 2013/36/UE z</w:t>
      </w:r>
      <w:r>
        <w:t> </w:t>
      </w:r>
      <w:r w:rsidRPr="00835753">
        <w:t>dnia 26 czerwca 2013 r. w</w:t>
      </w:r>
      <w:r>
        <w:t> </w:t>
      </w:r>
      <w:r w:rsidRPr="00835753">
        <w:t>sprawie warunków dopuszczenia instytucji kredytowych do działalności oraz nadzoru ostrożnościowego nad instytucjami kredytowymi i</w:t>
      </w:r>
      <w:r>
        <w:t> </w:t>
      </w:r>
      <w:r w:rsidRPr="00835753">
        <w:t>firmami inwestycyjnymi, zmieniająca dyrektywę 2002/87/WE i</w:t>
      </w:r>
      <w:r>
        <w:t> </w:t>
      </w:r>
      <w:r w:rsidRPr="00835753">
        <w:t>uchylająca dyrektywy 2006/48/WE oraz 2006/49/WE (Dz.U. L 176 z</w:t>
      </w:r>
      <w:r>
        <w:t> </w:t>
      </w:r>
      <w:r w:rsidRPr="00835753">
        <w:t xml:space="preserve">27.6.2013, </w:t>
      </w:r>
      <w:proofErr w:type="gramStart"/>
      <w:r w:rsidRPr="00835753">
        <w:t>s</w:t>
      </w:r>
      <w:proofErr w:type="gramEnd"/>
      <w:r w:rsidRPr="00835753">
        <w:t>. 338).</w:t>
      </w:r>
    </w:p>
  </w:footnote>
  <w:footnote w:id="52">
    <w:p w14:paraId="4E6B3EF0" w14:textId="663F28B8" w:rsidR="00835753" w:rsidRPr="00835753" w:rsidRDefault="00835753" w:rsidP="00346640">
      <w:pPr>
        <w:pStyle w:val="FootnoteText"/>
        <w:rPr>
          <w:rFonts w:cstheme="minorHAnsi"/>
        </w:rPr>
      </w:pPr>
      <w:r w:rsidRPr="00835753">
        <w:rPr>
          <w:rStyle w:val="FootnoteReference"/>
          <w:rFonts w:cstheme="minorHAnsi"/>
          <w:sz w:val="18"/>
        </w:rPr>
        <w:footnoteRef/>
      </w:r>
      <w:r w:rsidRPr="00835753">
        <w:t xml:space="preserve"> </w:t>
      </w:r>
      <w:r w:rsidRPr="00835753">
        <w:tab/>
        <w:t>ROZPORZĄDZENIE DELEGOWANE KOMISJI (UE) nr 604/2014 z</w:t>
      </w:r>
      <w:r>
        <w:t> </w:t>
      </w:r>
      <w:r w:rsidRPr="00835753">
        <w:t>dnia 4 marca 2014 r. uzupełniające dyrektywę Parlamentu Europejskiego i</w:t>
      </w:r>
      <w:r>
        <w:t> </w:t>
      </w:r>
      <w:r w:rsidRPr="00835753">
        <w:t>Rady 2013/36/UE w</w:t>
      </w:r>
      <w:r>
        <w:t> </w:t>
      </w:r>
      <w:r w:rsidRPr="00835753">
        <w:t>odniesieniu do regulacyjnych standardów technicznych w</w:t>
      </w:r>
      <w:r>
        <w:t> </w:t>
      </w:r>
      <w:r w:rsidRPr="00835753">
        <w:t>odniesieniu do kryteriów jakościowych i</w:t>
      </w:r>
      <w:r>
        <w:t> </w:t>
      </w:r>
      <w:r w:rsidRPr="00835753">
        <w:t>właściwych kryteriów ilościowych ustalania kategorii pracowników, których działalność zawodowa ma istotny wpływ na profil ryzyka instytucji (Dz.U. L 167 z</w:t>
      </w:r>
      <w:r>
        <w:t> </w:t>
      </w:r>
      <w:r w:rsidRPr="00835753">
        <w:t xml:space="preserve">6.6.2014, </w:t>
      </w:r>
      <w:proofErr w:type="gramStart"/>
      <w:r w:rsidRPr="00835753">
        <w:t>s</w:t>
      </w:r>
      <w:proofErr w:type="gramEnd"/>
      <w:r w:rsidRPr="00835753">
        <w:t>. 30).</w:t>
      </w:r>
    </w:p>
  </w:footnote>
  <w:footnote w:id="53">
    <w:p w14:paraId="1CD04175" w14:textId="40537D2C" w:rsidR="00835753" w:rsidRPr="00835753" w:rsidRDefault="00835753">
      <w:pPr>
        <w:pStyle w:val="FootnoteText"/>
      </w:pPr>
      <w:r w:rsidRPr="00835753">
        <w:rPr>
          <w:rStyle w:val="FootnoteReference"/>
        </w:rPr>
        <w:footnoteRef/>
      </w:r>
      <w:r w:rsidRPr="00835753">
        <w:tab/>
        <w:t>Dyrektywa Parlamentu Europejskiego i</w:t>
      </w:r>
      <w:r>
        <w:t> </w:t>
      </w:r>
      <w:r w:rsidRPr="00835753">
        <w:t>Rady 2011/61/UE z</w:t>
      </w:r>
      <w:r>
        <w:t> </w:t>
      </w:r>
      <w:r w:rsidRPr="00835753">
        <w:t>dnia 8 czerwca 2011 r. w</w:t>
      </w:r>
      <w:r>
        <w:t> </w:t>
      </w:r>
      <w:r w:rsidRPr="00835753">
        <w:t>sprawie zarządzających alternatywnymi funduszami inwestycyjnymi i</w:t>
      </w:r>
      <w:r>
        <w:t> </w:t>
      </w:r>
      <w:r w:rsidRPr="00835753">
        <w:t>zmiany dyrektyw 2003/41/WE i</w:t>
      </w:r>
      <w:r>
        <w:t> </w:t>
      </w:r>
      <w:r w:rsidRPr="00835753">
        <w:t>2009/65/WE oraz rozporządzeń (WE) nr 1060/2009 i (UE) nr 1095/2010 (Dz.U. L 174 z</w:t>
      </w:r>
      <w:r>
        <w:t> </w:t>
      </w:r>
      <w:r w:rsidRPr="00835753">
        <w:t xml:space="preserve">1.7.2011, </w:t>
      </w:r>
      <w:proofErr w:type="gramStart"/>
      <w:r w:rsidRPr="00835753">
        <w:t>s</w:t>
      </w:r>
      <w:proofErr w:type="gramEnd"/>
      <w:r w:rsidRPr="00835753">
        <w:t>. 1).</w:t>
      </w:r>
    </w:p>
  </w:footnote>
  <w:footnote w:id="54">
    <w:p w14:paraId="37D9562D" w14:textId="2C9AEC57"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Parlamentu Europejskiego i</w:t>
      </w:r>
      <w:r>
        <w:t> </w:t>
      </w:r>
      <w:r w:rsidRPr="00835753">
        <w:t>rady (UE) nr 575/2013 z</w:t>
      </w:r>
      <w:r>
        <w:t> </w:t>
      </w:r>
      <w:r w:rsidRPr="00835753">
        <w:t>dnia 26 czerwca 2013 r. w</w:t>
      </w:r>
      <w:r>
        <w:t> </w:t>
      </w:r>
      <w:r w:rsidRPr="00835753">
        <w:t>sprawie wymogów ostrożnościowych dla instytucji kredytowych i</w:t>
      </w:r>
      <w:r>
        <w:t> </w:t>
      </w:r>
      <w:r w:rsidRPr="00835753">
        <w:t>firm inwestycyjnych, zmieniające rozporządzenie (UE) nr 648/2012 (</w:t>
      </w:r>
      <w:hyperlink r:id="rId18" w:history="1">
        <w:r w:rsidRPr="00835753">
          <w:rPr>
            <w:rStyle w:val="Hyperlink"/>
          </w:rPr>
          <w:t>Dz.U. L 176 z</w:t>
        </w:r>
        <w:r>
          <w:rPr>
            <w:rStyle w:val="Hyperlink"/>
          </w:rPr>
          <w:t> </w:t>
        </w:r>
        <w:r w:rsidRPr="00835753">
          <w:rPr>
            <w:rStyle w:val="Hyperlink"/>
          </w:rPr>
          <w:t xml:space="preserve">27.6.2013, </w:t>
        </w:r>
        <w:proofErr w:type="gramStart"/>
        <w:r w:rsidRPr="00835753">
          <w:rPr>
            <w:rStyle w:val="Hyperlink"/>
          </w:rPr>
          <w:t>s</w:t>
        </w:r>
        <w:proofErr w:type="gramEnd"/>
        <w:r w:rsidRPr="00835753">
          <w:rPr>
            <w:rStyle w:val="Hyperlink"/>
          </w:rPr>
          <w:t>. 1</w:t>
        </w:r>
      </w:hyperlink>
      <w:r w:rsidRPr="00835753">
        <w:t>).</w:t>
      </w:r>
    </w:p>
  </w:footnote>
  <w:footnote w:id="55">
    <w:p w14:paraId="27CBD7E9" w14:textId="37C36107"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WYKONAWCZE KOMISJI (UE) nr 680/2014 z</w:t>
      </w:r>
      <w:r>
        <w:t> </w:t>
      </w:r>
      <w:r w:rsidRPr="00835753">
        <w:t>dnia 16 kwietnia 2014 r. ustanawiające wykonawcze standardy techniczne dotyczące sprawozdawczości nadzorczej instytucji zgodnie z</w:t>
      </w:r>
      <w:r>
        <w:t> </w:t>
      </w:r>
      <w:r w:rsidRPr="00835753">
        <w:t>rozporządzeniem Parlamentu Europejskiego i</w:t>
      </w:r>
      <w:r>
        <w:t> </w:t>
      </w:r>
      <w:r w:rsidRPr="00835753">
        <w:t>Rady (UE) nr 575/2013 (Dz.U. L 191 z</w:t>
      </w:r>
      <w:r>
        <w:t> </w:t>
      </w:r>
      <w:r w:rsidRPr="00835753">
        <w:t xml:space="preserve">28.6.2014, </w:t>
      </w:r>
      <w:proofErr w:type="gramStart"/>
      <w:r w:rsidRPr="00835753">
        <w:t>s</w:t>
      </w:r>
      <w:proofErr w:type="gramEnd"/>
      <w:r w:rsidRPr="00835753">
        <w:t>. 1).</w:t>
      </w:r>
    </w:p>
  </w:footnote>
  <w:footnote w:id="56">
    <w:p w14:paraId="5226DE22" w14:textId="55A98B30"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EUROPEJSKIEGO BANKU CENTRALNEGO (UE) nr 1071/2013 z</w:t>
      </w:r>
      <w:r>
        <w:t> </w:t>
      </w:r>
      <w:r w:rsidRPr="00835753">
        <w:t>dnia 24 września 2013 r. dotyczące bilansu sektora monetarnych instytucji finansowych (EBC/2013/33) (Dz.U. L 297 z</w:t>
      </w:r>
      <w:r>
        <w:t> </w:t>
      </w:r>
      <w:r w:rsidRPr="00835753">
        <w:t xml:space="preserve">7.11.2013, </w:t>
      </w:r>
      <w:proofErr w:type="gramStart"/>
      <w:r w:rsidRPr="00835753">
        <w:t>s</w:t>
      </w:r>
      <w:proofErr w:type="gramEnd"/>
      <w:r w:rsidRPr="00835753">
        <w:t>. 1).</w:t>
      </w:r>
    </w:p>
  </w:footnote>
  <w:footnote w:id="57">
    <w:p w14:paraId="3824AC0C" w14:textId="09FA0B6B"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DYREKTYWA PARLAMENTU EUROPEJSKIEGO I RADY 2009/65/WE z</w:t>
      </w:r>
      <w:r>
        <w:t> </w:t>
      </w:r>
      <w:r w:rsidRPr="00835753">
        <w:t>dnia 13 lipca 2009 r. w</w:t>
      </w:r>
      <w:r>
        <w:t> </w:t>
      </w:r>
      <w:r w:rsidRPr="00835753">
        <w:t>sprawie koordynacji przepisów ustawowych, wykonawczych i</w:t>
      </w:r>
      <w:r>
        <w:t> </w:t>
      </w:r>
      <w:r w:rsidRPr="00835753">
        <w:t>administracyjnych odnoszących się do przedsiębiorstw zbiorowego inwestowania w</w:t>
      </w:r>
      <w:r>
        <w:t> </w:t>
      </w:r>
      <w:r w:rsidRPr="00835753">
        <w:t>zbywalne papiery wartościowe (UCITS) (Dz.U. L 302 z</w:t>
      </w:r>
      <w:r>
        <w:t> </w:t>
      </w:r>
      <w:r w:rsidRPr="00835753">
        <w:t xml:space="preserve">17.11.2009, </w:t>
      </w:r>
      <w:proofErr w:type="gramStart"/>
      <w:r w:rsidRPr="00835753">
        <w:t>s</w:t>
      </w:r>
      <w:proofErr w:type="gramEnd"/>
      <w:r w:rsidRPr="00835753">
        <w:t>. 32).</w:t>
      </w:r>
    </w:p>
  </w:footnote>
  <w:footnote w:id="58">
    <w:p w14:paraId="71E91F33" w14:textId="336642C0"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ROZPORZĄDZENIE DELEGOWANE KOMISJI (UE) 2015/61 z</w:t>
      </w:r>
      <w:r>
        <w:t> </w:t>
      </w:r>
      <w:r w:rsidRPr="00835753">
        <w:t>dnia 10 października 2014 r. uzupełniające rozporządzenie Parlamentu Europejskiego i</w:t>
      </w:r>
      <w:r>
        <w:t> </w:t>
      </w:r>
      <w:r w:rsidRPr="00835753">
        <w:t>Rady (UE) nr 575/2013 w</w:t>
      </w:r>
      <w:r>
        <w:t> </w:t>
      </w:r>
      <w:r w:rsidRPr="00835753">
        <w:t>odniesieniu do wymogu pokrycia wypływów netto dla instytucji kredytowych (Dz.U. L 11 z</w:t>
      </w:r>
      <w:r>
        <w:t> </w:t>
      </w:r>
      <w:r w:rsidRPr="00835753">
        <w:t xml:space="preserve">17.1.2015, </w:t>
      </w:r>
      <w:proofErr w:type="gramStart"/>
      <w:r w:rsidRPr="00835753">
        <w:t>s</w:t>
      </w:r>
      <w:proofErr w:type="gramEnd"/>
      <w:r w:rsidRPr="00835753">
        <w:t>. 1).</w:t>
      </w:r>
    </w:p>
  </w:footnote>
  <w:footnote w:id="59">
    <w:p w14:paraId="175ED560" w14:textId="2E681495" w:rsidR="00835753" w:rsidRPr="00835753" w:rsidRDefault="00835753">
      <w:pPr>
        <w:pStyle w:val="FootnoteText"/>
        <w:rPr>
          <w:rFonts w:cstheme="minorHAnsi"/>
        </w:rPr>
      </w:pPr>
      <w:r w:rsidRPr="00835753">
        <w:rPr>
          <w:rStyle w:val="FootnoteReference"/>
          <w:rFonts w:cstheme="minorHAnsi"/>
          <w:sz w:val="18"/>
        </w:rPr>
        <w:footnoteRef/>
      </w:r>
      <w:r w:rsidRPr="00835753">
        <w:t xml:space="preserve"> </w:t>
      </w:r>
      <w:r w:rsidRPr="00835753">
        <w:tab/>
        <w:t>Dyrektywa Parlamentu Europejskiego i</w:t>
      </w:r>
      <w:r>
        <w:t> </w:t>
      </w:r>
      <w:r w:rsidRPr="00835753">
        <w:t>Rady 2013/34/UE z</w:t>
      </w:r>
      <w:r>
        <w:t> </w:t>
      </w:r>
      <w:r w:rsidRPr="00835753">
        <w:t>dnia 26 czerwca 2013 r. w</w:t>
      </w:r>
      <w:r>
        <w:t> </w:t>
      </w:r>
      <w:r w:rsidRPr="00835753">
        <w:t>sprawie rocznych sprawozdań finansowych, skonsolidowanych sprawozdań finansowych i</w:t>
      </w:r>
      <w:r>
        <w:t> </w:t>
      </w:r>
      <w:r w:rsidRPr="00835753">
        <w:t>powiązanych sprawozdań niektórych rodzajów jednostek, zmieniająca dyrektywę Parlamentu Europejskiego i</w:t>
      </w:r>
      <w:r>
        <w:t> </w:t>
      </w:r>
      <w:r w:rsidRPr="00835753">
        <w:t>Rady 2006/43/WE oraz uchylająca dyrektywy Rady 78/660/EWG i</w:t>
      </w:r>
      <w:r>
        <w:t> </w:t>
      </w:r>
      <w:r w:rsidRPr="00835753">
        <w:t>83/349/EWG (Dz.U. L 182 z</w:t>
      </w:r>
      <w:r>
        <w:t> </w:t>
      </w:r>
      <w:r w:rsidRPr="00835753">
        <w:t xml:space="preserve">29.6.2013, </w:t>
      </w:r>
      <w:proofErr w:type="gramStart"/>
      <w:r w:rsidRPr="00835753">
        <w:t>s</w:t>
      </w:r>
      <w:proofErr w:type="gramEnd"/>
      <w:r w:rsidRPr="00835753">
        <w:t>.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835753" w:rsidRPr="00835753" w:rsidRDefault="00835753">
    <w:sdt>
      <w:sdtPr>
        <w:id w:val="-1905980668"/>
        <w:temporary/>
        <w:showingPlcHdr/>
      </w:sdtPr>
      <w:sdtContent>
        <w:r w:rsidRPr="00835753">
          <w:t>[Type text]</w:t>
        </w:r>
      </w:sdtContent>
    </w:sdt>
    <w:r w:rsidRPr="00835753">
      <w:ptab w:relativeTo="margin" w:alignment="center" w:leader="none"/>
    </w:r>
    <w:sdt>
      <w:sdtPr>
        <w:id w:val="-476227318"/>
        <w:temporary/>
        <w:showingPlcHdr/>
      </w:sdtPr>
      <w:sdtContent>
        <w:r w:rsidRPr="00835753">
          <w:t>[Type text]</w:t>
        </w:r>
      </w:sdtContent>
    </w:sdt>
    <w:r w:rsidRPr="00835753">
      <w:ptab w:relativeTo="margin" w:alignment="right" w:leader="none"/>
    </w:r>
    <w:sdt>
      <w:sdtPr>
        <w:id w:val="807362839"/>
        <w:temporary/>
        <w:showingPlcHdr/>
      </w:sdtPr>
      <w:sdtContent>
        <w:r w:rsidRPr="00835753">
          <w:t>[Type text]</w:t>
        </w:r>
      </w:sdtContent>
    </w:sdt>
  </w:p>
  <w:p w14:paraId="3846A006" w14:textId="77777777" w:rsidR="00835753" w:rsidRPr="00835753" w:rsidRDefault="0083575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835753" w:rsidRPr="00835753" w:rsidRDefault="00835753" w:rsidP="00E677EF">
    <w:pPr>
      <w:pStyle w:val="Runningtitle"/>
    </w:pPr>
    <w:r w:rsidRPr="00835753">
      <w:t>running title comes here in running title style</w:t>
    </w:r>
    <w:r w:rsidRPr="00835753">
      <w:rPr>
        <w:lang w:eastAsia="pl-PL"/>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5"/>
  </w:num>
  <w:num w:numId="6">
    <w:abstractNumId w:val="2"/>
  </w:num>
  <w:num w:numId="7">
    <w:abstractNumId w:val="63"/>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69"/>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2"/>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6"/>
  </w:num>
  <w:num w:numId="37">
    <w:abstractNumId w:val="40"/>
  </w:num>
  <w:num w:numId="38">
    <w:abstractNumId w:val="39"/>
  </w:num>
  <w:num w:numId="39">
    <w:abstractNumId w:val="31"/>
  </w:num>
  <w:num w:numId="40">
    <w:abstractNumId w:val="49"/>
  </w:num>
  <w:num w:numId="41">
    <w:abstractNumId w:val="58"/>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8"/>
  </w:num>
  <w:num w:numId="53">
    <w:abstractNumId w:val="60"/>
  </w:num>
  <w:num w:numId="54">
    <w:abstractNumId w:val="45"/>
  </w:num>
  <w:num w:numId="55">
    <w:abstractNumId w:val="59"/>
  </w:num>
  <w:num w:numId="56">
    <w:abstractNumId w:val="67"/>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4"/>
  </w:num>
  <w:num w:numId="68">
    <w:abstractNumId w:val="56"/>
  </w:num>
  <w:num w:numId="69">
    <w:abstractNumId w:val="32"/>
  </w:num>
  <w:num w:numId="70">
    <w:abstractNumId w:val="38"/>
  </w:num>
  <w:num w:numId="71">
    <w:abstractNumId w:val="34"/>
  </w:num>
  <w:num w:numId="72">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activeWritingStyle w:appName="MSWord" w:lang="de-DE" w:vendorID="64" w:dllVersion="131078" w:nlCheck="1" w:checkStyle="0"/>
  <w:proofState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78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5FC4"/>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6D3"/>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184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35753"/>
    <w:rsid w:val="00843373"/>
    <w:rsid w:val="0084468C"/>
    <w:rsid w:val="00844EE2"/>
    <w:rsid w:val="008461B5"/>
    <w:rsid w:val="00846679"/>
    <w:rsid w:val="0084689D"/>
    <w:rsid w:val="00846C63"/>
    <w:rsid w:val="00850101"/>
    <w:rsid w:val="0085041F"/>
    <w:rsid w:val="00850CDC"/>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2879"/>
    <w:rsid w:val="00896D04"/>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6FFB"/>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57F7"/>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7889"/>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pl-PL"/>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pl-PL"/>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pl-PL"/>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pl-PL"/>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pl-PL"/>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pl-PL"/>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pl-PL"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pl-PL"/>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pl-PL"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PL/AUTO/?uri=OJ:L:2013:176:TOC" TargetMode="External"/><Relationship Id="rId13" Type="http://schemas.openxmlformats.org/officeDocument/2006/relationships/hyperlink" Target="https://eur-lex.europa.eu/legal-content/PL/AUTO/?uri=OJ:L:2013:176:TOC" TargetMode="External"/><Relationship Id="rId18" Type="http://schemas.openxmlformats.org/officeDocument/2006/relationships/hyperlink" Target="https://eur-lex.europa.eu/legal-content/PL/AUTO/?uri=OJ:L:2013:176:TOC" TargetMode="External"/><Relationship Id="rId3" Type="http://schemas.openxmlformats.org/officeDocument/2006/relationships/hyperlink" Target="https://eur-lex.europa.eu/legal-content/PL/AUTO/?uri=OJ:L:2013:176:TOC" TargetMode="External"/><Relationship Id="rId7" Type="http://schemas.openxmlformats.org/officeDocument/2006/relationships/hyperlink" Target="https://eur-lex.europa.eu/legal-content/PL/AUTO/?uri=OJ:L:2013:176:TOC" TargetMode="External"/><Relationship Id="rId12" Type="http://schemas.openxmlformats.org/officeDocument/2006/relationships/hyperlink" Target="https://eur-lex.europa.eu/legal-content/PL/AUTO/?uri=OJ:L:2013:176:TOC" TargetMode="External"/><Relationship Id="rId17" Type="http://schemas.openxmlformats.org/officeDocument/2006/relationships/hyperlink" Target="https://eur-lex.europa.eu/legal-content/PL/AUTO/?uri=OJ:L:2013:176:TOC" TargetMode="External"/><Relationship Id="rId2" Type="http://schemas.openxmlformats.org/officeDocument/2006/relationships/hyperlink" Target="https://eur-lex.europa.eu/legal-content/PL/AUTO/?uri=OJ:L:2013:176:TOC" TargetMode="External"/><Relationship Id="rId16" Type="http://schemas.openxmlformats.org/officeDocument/2006/relationships/hyperlink" Target="https://eur-lex.europa.eu/legal-content/PL/AUTO/?uri=OJ:L:2013:176:TOC" TargetMode="External"/><Relationship Id="rId1" Type="http://schemas.openxmlformats.org/officeDocument/2006/relationships/hyperlink" Target="https://eur-lex.europa.eu/legal-content/PL/AUTO/?uri=OJ:L:2013:176:TOC" TargetMode="External"/><Relationship Id="rId6" Type="http://schemas.openxmlformats.org/officeDocument/2006/relationships/hyperlink" Target="https://eur-lex.europa.eu/legal-content/PL/AUTO/?uri=OJ:L:2013:176:TOC" TargetMode="External"/><Relationship Id="rId11" Type="http://schemas.openxmlformats.org/officeDocument/2006/relationships/hyperlink" Target="https://eur-lex.europa.eu/legal-content/PL/AUTO/?uri=OJ:L:2013:176:TOC" TargetMode="External"/><Relationship Id="rId5" Type="http://schemas.openxmlformats.org/officeDocument/2006/relationships/hyperlink" Target="https://eur-lex.europa.eu/legal-content/PL/AUTO/?uri=OJ:L:2013:176:TOC" TargetMode="External"/><Relationship Id="rId15" Type="http://schemas.openxmlformats.org/officeDocument/2006/relationships/hyperlink" Target="https://eur-lex.europa.eu/legal-content/PL/AUTO/?uri=OJ:L:2013:176:TOC" TargetMode="External"/><Relationship Id="rId10" Type="http://schemas.openxmlformats.org/officeDocument/2006/relationships/hyperlink" Target="https://eur-lex.europa.eu/legal-content/PL/AUTO/?uri=OJ:L:2013:176:TOC" TargetMode="External"/><Relationship Id="rId4" Type="http://schemas.openxmlformats.org/officeDocument/2006/relationships/hyperlink" Target="https://eur-lex.europa.eu/legal-content/PL/AUTO/?uri=OJ:L:2013:176:TOC" TargetMode="External"/><Relationship Id="rId9" Type="http://schemas.openxmlformats.org/officeDocument/2006/relationships/hyperlink" Target="https://eur-lex.europa.eu/legal-content/PL/AUTO/?uri=OJ:L:2013:176:TOC" TargetMode="External"/><Relationship Id="rId14" Type="http://schemas.openxmlformats.org/officeDocument/2006/relationships/hyperlink" Target="https://eur-lex.europa.eu/legal-content/PL/AUTO/?uri=OJ:L:2013:176:TOC"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88851-3DD8-4CA7-BA6C-C422A0123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252</Pages>
  <Words>71699</Words>
  <Characters>454576</Characters>
  <Application>Microsoft Office Word</Application>
  <DocSecurity>0</DocSecurity>
  <Lines>10823</Lines>
  <Paragraphs>5210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2021-02-26T15:42:00Z</dcterms:modified>
</cp:coreProperties>
</file>